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CA1" w:rsidRPr="0053423A" w:rsidRDefault="00E03CA1" w:rsidP="00A67858">
      <w:pPr>
        <w:pStyle w:val="mechtex"/>
        <w:spacing w:line="276" w:lineRule="auto"/>
        <w:jc w:val="right"/>
        <w:rPr>
          <w:rFonts w:ascii="GHEA Grapalat" w:hAnsi="GHEA Grapalat"/>
          <w:spacing w:val="4"/>
          <w:sz w:val="20"/>
          <w:lang w:val="hy-AM"/>
        </w:rPr>
      </w:pPr>
      <w:r w:rsidRPr="0053423A">
        <w:rPr>
          <w:rFonts w:ascii="GHEA Grapalat" w:hAnsi="GHEA Grapalat"/>
          <w:spacing w:val="4"/>
          <w:sz w:val="20"/>
          <w:lang w:val="hy-AM"/>
        </w:rPr>
        <w:t xml:space="preserve">Հավելված </w:t>
      </w:r>
      <w:r w:rsidRPr="0053423A">
        <w:rPr>
          <w:rFonts w:ascii="GHEA Grapalat" w:hAnsi="GHEA Grapalat"/>
          <w:spacing w:val="4"/>
          <w:sz w:val="20"/>
        </w:rPr>
        <w:t>N</w:t>
      </w:r>
      <w:r w:rsidRPr="0053423A">
        <w:rPr>
          <w:rFonts w:ascii="GHEA Grapalat" w:hAnsi="GHEA Grapalat"/>
          <w:spacing w:val="4"/>
          <w:sz w:val="20"/>
          <w:lang w:val="hy-AM"/>
        </w:rPr>
        <w:t xml:space="preserve"> 2</w:t>
      </w:r>
    </w:p>
    <w:p w:rsidR="00E03CA1" w:rsidRPr="0053423A" w:rsidRDefault="00E03CA1" w:rsidP="00A67858">
      <w:pPr>
        <w:pStyle w:val="mechtex"/>
        <w:spacing w:line="276" w:lineRule="auto"/>
        <w:jc w:val="right"/>
        <w:rPr>
          <w:rFonts w:ascii="GHEA Grapalat" w:hAnsi="GHEA Grapalat"/>
          <w:spacing w:val="-8"/>
          <w:sz w:val="20"/>
        </w:rPr>
      </w:pPr>
      <w:r w:rsidRPr="0053423A">
        <w:rPr>
          <w:rFonts w:ascii="GHEA Grapalat" w:hAnsi="GHEA Grapalat"/>
          <w:spacing w:val="4"/>
          <w:sz w:val="20"/>
        </w:rPr>
        <w:t>ՀՀ կառավարության 2019 թվականի</w:t>
      </w:r>
    </w:p>
    <w:p w:rsidR="00E03CA1" w:rsidRPr="0053423A" w:rsidRDefault="00E03CA1" w:rsidP="00A67858">
      <w:pPr>
        <w:spacing w:after="0" w:line="276" w:lineRule="auto"/>
        <w:jc w:val="right"/>
        <w:rPr>
          <w:rFonts w:cs="Sylfaen"/>
          <w:sz w:val="20"/>
          <w:szCs w:val="20"/>
        </w:rPr>
      </w:pPr>
      <w:r w:rsidRPr="0053423A">
        <w:rPr>
          <w:spacing w:val="-2"/>
          <w:sz w:val="20"/>
          <w:szCs w:val="20"/>
          <w:lang w:val="hy-AM"/>
        </w:rPr>
        <w:t>մայիսի</w:t>
      </w:r>
      <w:r w:rsidRPr="0053423A">
        <w:rPr>
          <w:spacing w:val="-2"/>
          <w:sz w:val="20"/>
          <w:szCs w:val="20"/>
        </w:rPr>
        <w:t xml:space="preserve">  -ի N -Լ որոշման</w:t>
      </w:r>
    </w:p>
    <w:p w:rsidR="00E03CA1" w:rsidRPr="0053423A" w:rsidRDefault="00E03CA1" w:rsidP="00A67858">
      <w:pPr>
        <w:spacing w:after="0" w:line="276" w:lineRule="auto"/>
        <w:rPr>
          <w:sz w:val="20"/>
          <w:szCs w:val="20"/>
        </w:rPr>
      </w:pPr>
    </w:p>
    <w:p w:rsidR="00E03CA1" w:rsidRPr="0053423A" w:rsidRDefault="00E03CA1" w:rsidP="00A67858">
      <w:pPr>
        <w:spacing w:after="0" w:line="276" w:lineRule="auto"/>
        <w:rPr>
          <w:sz w:val="20"/>
          <w:szCs w:val="20"/>
        </w:rPr>
      </w:pPr>
    </w:p>
    <w:p w:rsidR="00764E6F" w:rsidRPr="0053423A" w:rsidRDefault="00764E6F" w:rsidP="00A67858">
      <w:pPr>
        <w:spacing w:after="0" w:line="276" w:lineRule="auto"/>
        <w:jc w:val="center"/>
        <w:rPr>
          <w:rFonts w:eastAsia="Times New Roman" w:cs="Times New Roman"/>
          <w:b/>
          <w:caps/>
          <w:sz w:val="20"/>
          <w:szCs w:val="20"/>
          <w:lang w:val="hy-AM" w:eastAsia="ru-RU"/>
        </w:rPr>
      </w:pPr>
      <w:r w:rsidRPr="0053423A">
        <w:rPr>
          <w:rFonts w:eastAsia="Times New Roman" w:cs="Tahoma"/>
          <w:b/>
          <w:caps/>
          <w:sz w:val="20"/>
          <w:szCs w:val="20"/>
          <w:lang w:val="hy-AM" w:eastAsia="ru-RU"/>
        </w:rPr>
        <w:t>Հ</w:t>
      </w:r>
      <w:r w:rsidRPr="0053423A">
        <w:rPr>
          <w:rFonts w:eastAsia="Times New Roman" w:cs="Arial Armenian"/>
          <w:b/>
          <w:caps/>
          <w:sz w:val="20"/>
          <w:szCs w:val="20"/>
          <w:lang w:val="hy-AM" w:eastAsia="ru-RU"/>
        </w:rPr>
        <w:t xml:space="preserve"> </w:t>
      </w:r>
      <w:r w:rsidRPr="0053423A">
        <w:rPr>
          <w:rFonts w:eastAsia="Times New Roman" w:cs="Tahoma"/>
          <w:b/>
          <w:caps/>
          <w:sz w:val="20"/>
          <w:szCs w:val="20"/>
          <w:lang w:val="hy-AM" w:eastAsia="ru-RU"/>
        </w:rPr>
        <w:t>ի</w:t>
      </w:r>
      <w:r w:rsidRPr="0053423A">
        <w:rPr>
          <w:rFonts w:eastAsia="Times New Roman" w:cs="Arial Armenian"/>
          <w:b/>
          <w:caps/>
          <w:sz w:val="20"/>
          <w:szCs w:val="20"/>
          <w:lang w:val="hy-AM" w:eastAsia="ru-RU"/>
        </w:rPr>
        <w:t xml:space="preserve"> </w:t>
      </w:r>
      <w:r w:rsidRPr="0053423A">
        <w:rPr>
          <w:rFonts w:eastAsia="Times New Roman" w:cs="Tahoma"/>
          <w:b/>
          <w:caps/>
          <w:sz w:val="20"/>
          <w:szCs w:val="20"/>
          <w:lang w:val="hy-AM" w:eastAsia="ru-RU"/>
        </w:rPr>
        <w:t>մ</w:t>
      </w:r>
      <w:r w:rsidRPr="0053423A">
        <w:rPr>
          <w:rFonts w:eastAsia="Times New Roman" w:cs="Arial Armenian"/>
          <w:b/>
          <w:caps/>
          <w:sz w:val="20"/>
          <w:szCs w:val="20"/>
          <w:lang w:val="hy-AM" w:eastAsia="ru-RU"/>
        </w:rPr>
        <w:t xml:space="preserve"> </w:t>
      </w:r>
      <w:r w:rsidRPr="0053423A">
        <w:rPr>
          <w:rFonts w:eastAsia="Times New Roman" w:cs="Tahoma"/>
          <w:b/>
          <w:caps/>
          <w:sz w:val="20"/>
          <w:szCs w:val="20"/>
          <w:lang w:val="hy-AM" w:eastAsia="ru-RU"/>
        </w:rPr>
        <w:t>ն</w:t>
      </w:r>
      <w:r w:rsidRPr="0053423A">
        <w:rPr>
          <w:rFonts w:eastAsia="Times New Roman" w:cs="Arial Armenian"/>
          <w:b/>
          <w:caps/>
          <w:sz w:val="20"/>
          <w:szCs w:val="20"/>
          <w:lang w:val="hy-AM" w:eastAsia="ru-RU"/>
        </w:rPr>
        <w:t xml:space="preserve"> </w:t>
      </w:r>
      <w:r w:rsidRPr="0053423A">
        <w:rPr>
          <w:rFonts w:eastAsia="Times New Roman" w:cs="Tahoma"/>
          <w:b/>
          <w:caps/>
          <w:sz w:val="20"/>
          <w:szCs w:val="20"/>
          <w:lang w:val="hy-AM" w:eastAsia="ru-RU"/>
        </w:rPr>
        <w:t>ա</w:t>
      </w:r>
      <w:r w:rsidRPr="0053423A">
        <w:rPr>
          <w:rFonts w:eastAsia="Times New Roman" w:cs="Arial Armenian"/>
          <w:b/>
          <w:caps/>
          <w:sz w:val="20"/>
          <w:szCs w:val="20"/>
          <w:lang w:val="hy-AM" w:eastAsia="ru-RU"/>
        </w:rPr>
        <w:t xml:space="preserve"> </w:t>
      </w:r>
      <w:r w:rsidRPr="0053423A">
        <w:rPr>
          <w:rFonts w:eastAsia="Times New Roman" w:cs="Tahoma"/>
          <w:b/>
          <w:caps/>
          <w:sz w:val="20"/>
          <w:szCs w:val="20"/>
          <w:lang w:val="hy-AM" w:eastAsia="ru-RU"/>
        </w:rPr>
        <w:t>վ</w:t>
      </w:r>
      <w:r w:rsidRPr="0053423A">
        <w:rPr>
          <w:rFonts w:eastAsia="Times New Roman" w:cs="Arial Armenian"/>
          <w:b/>
          <w:caps/>
          <w:sz w:val="20"/>
          <w:szCs w:val="20"/>
          <w:lang w:val="hy-AM" w:eastAsia="ru-RU"/>
        </w:rPr>
        <w:t xml:space="preserve"> </w:t>
      </w:r>
      <w:r w:rsidRPr="0053423A">
        <w:rPr>
          <w:rFonts w:eastAsia="Times New Roman" w:cs="Tahoma"/>
          <w:b/>
          <w:caps/>
          <w:sz w:val="20"/>
          <w:szCs w:val="20"/>
          <w:lang w:val="hy-AM" w:eastAsia="ru-RU"/>
        </w:rPr>
        <w:t>ո</w:t>
      </w:r>
      <w:r w:rsidRPr="0053423A">
        <w:rPr>
          <w:rFonts w:eastAsia="Times New Roman" w:cs="Arial Armenian"/>
          <w:b/>
          <w:caps/>
          <w:sz w:val="20"/>
          <w:szCs w:val="20"/>
          <w:lang w:val="hy-AM" w:eastAsia="ru-RU"/>
        </w:rPr>
        <w:t xml:space="preserve"> </w:t>
      </w:r>
      <w:r w:rsidRPr="0053423A">
        <w:rPr>
          <w:rFonts w:eastAsia="Times New Roman" w:cs="Tahoma"/>
          <w:b/>
          <w:caps/>
          <w:sz w:val="20"/>
          <w:szCs w:val="20"/>
          <w:lang w:val="hy-AM" w:eastAsia="ru-RU"/>
        </w:rPr>
        <w:t>ր</w:t>
      </w:r>
      <w:r w:rsidRPr="0053423A">
        <w:rPr>
          <w:rFonts w:eastAsia="Times New Roman" w:cs="Arial Armenian"/>
          <w:b/>
          <w:caps/>
          <w:sz w:val="20"/>
          <w:szCs w:val="20"/>
          <w:lang w:val="hy-AM" w:eastAsia="ru-RU"/>
        </w:rPr>
        <w:t xml:space="preserve"> </w:t>
      </w:r>
      <w:r w:rsidRPr="0053423A">
        <w:rPr>
          <w:rFonts w:eastAsia="Times New Roman" w:cs="Tahoma"/>
          <w:b/>
          <w:caps/>
          <w:sz w:val="20"/>
          <w:szCs w:val="20"/>
          <w:lang w:val="hy-AM" w:eastAsia="ru-RU"/>
        </w:rPr>
        <w:t>ու</w:t>
      </w:r>
      <w:r w:rsidRPr="0053423A">
        <w:rPr>
          <w:rFonts w:eastAsia="Times New Roman" w:cs="Arial Armenian"/>
          <w:b/>
          <w:caps/>
          <w:sz w:val="20"/>
          <w:szCs w:val="20"/>
          <w:lang w:val="hy-AM" w:eastAsia="ru-RU"/>
        </w:rPr>
        <w:t xml:space="preserve"> </w:t>
      </w:r>
      <w:r w:rsidRPr="0053423A">
        <w:rPr>
          <w:rFonts w:eastAsia="Times New Roman" w:cs="Tahoma"/>
          <w:b/>
          <w:caps/>
          <w:sz w:val="20"/>
          <w:szCs w:val="20"/>
          <w:lang w:val="hy-AM" w:eastAsia="ru-RU"/>
        </w:rPr>
        <w:t>մ</w:t>
      </w:r>
      <w:r w:rsidRPr="0053423A">
        <w:rPr>
          <w:rFonts w:eastAsia="Times New Roman" w:cs="Arial Armenian"/>
          <w:b/>
          <w:caps/>
          <w:sz w:val="20"/>
          <w:szCs w:val="20"/>
          <w:lang w:val="hy-AM" w:eastAsia="ru-RU"/>
        </w:rPr>
        <w:t xml:space="preserve"> </w:t>
      </w:r>
      <w:r w:rsidRPr="0053423A">
        <w:rPr>
          <w:rFonts w:eastAsia="Times New Roman" w:cs="Tahoma"/>
          <w:b/>
          <w:caps/>
          <w:sz w:val="20"/>
          <w:szCs w:val="20"/>
          <w:lang w:val="hy-AM" w:eastAsia="ru-RU"/>
        </w:rPr>
        <w:t>ն</w:t>
      </w:r>
      <w:r w:rsidRPr="0053423A">
        <w:rPr>
          <w:rFonts w:eastAsia="Times New Roman" w:cs="Arial Armenian"/>
          <w:b/>
          <w:caps/>
          <w:sz w:val="20"/>
          <w:szCs w:val="20"/>
          <w:lang w:val="hy-AM" w:eastAsia="ru-RU"/>
        </w:rPr>
        <w:t xml:space="preserve"> </w:t>
      </w:r>
      <w:r w:rsidRPr="0053423A">
        <w:rPr>
          <w:rFonts w:eastAsia="Times New Roman" w:cs="Tahoma"/>
          <w:b/>
          <w:caps/>
          <w:sz w:val="20"/>
          <w:szCs w:val="20"/>
          <w:lang w:val="hy-AM" w:eastAsia="ru-RU"/>
        </w:rPr>
        <w:t>ե</w:t>
      </w:r>
      <w:r w:rsidRPr="0053423A">
        <w:rPr>
          <w:rFonts w:eastAsia="Times New Roman" w:cs="Arial Armenian"/>
          <w:b/>
          <w:caps/>
          <w:sz w:val="20"/>
          <w:szCs w:val="20"/>
          <w:lang w:val="hy-AM" w:eastAsia="ru-RU"/>
        </w:rPr>
        <w:t xml:space="preserve"> </w:t>
      </w:r>
      <w:r w:rsidRPr="0053423A">
        <w:rPr>
          <w:rFonts w:eastAsia="Times New Roman" w:cs="Tahoma"/>
          <w:b/>
          <w:caps/>
          <w:sz w:val="20"/>
          <w:szCs w:val="20"/>
          <w:lang w:val="hy-AM" w:eastAsia="ru-RU"/>
        </w:rPr>
        <w:t>ր</w:t>
      </w:r>
    </w:p>
    <w:p w:rsidR="00764E6F" w:rsidRPr="0053423A" w:rsidRDefault="00764E6F" w:rsidP="00A67858">
      <w:pPr>
        <w:spacing w:after="0" w:line="276" w:lineRule="auto"/>
        <w:jc w:val="center"/>
        <w:rPr>
          <w:rFonts w:eastAsia="Times New Roman" w:cs="Times New Roman"/>
          <w:b/>
          <w:caps/>
          <w:sz w:val="20"/>
          <w:szCs w:val="20"/>
          <w:lang w:val="hy-AM" w:eastAsia="ru-RU"/>
        </w:rPr>
      </w:pPr>
    </w:p>
    <w:p w:rsidR="00E03CA1" w:rsidRPr="0053423A" w:rsidRDefault="00E03CA1" w:rsidP="00A67858">
      <w:pPr>
        <w:spacing w:after="0" w:line="276" w:lineRule="auto"/>
        <w:ind w:firstLine="375"/>
        <w:jc w:val="center"/>
        <w:rPr>
          <w:rFonts w:eastAsia="Times New Roman"/>
          <w:b/>
          <w:bCs/>
          <w:sz w:val="20"/>
          <w:szCs w:val="20"/>
          <w:lang w:val="hy-AM"/>
        </w:rPr>
      </w:pPr>
      <w:r w:rsidRPr="0053423A">
        <w:rPr>
          <w:rFonts w:eastAsia="Times New Roman"/>
          <w:b/>
          <w:bCs/>
          <w:sz w:val="20"/>
          <w:szCs w:val="20"/>
          <w:lang w:val="hy-AM"/>
        </w:rPr>
        <w:t>ԿԱՌԱՎԱՐՈՒԹՅԱՆ 2019-2023 ԹՎԱԿԱՆՆԵՐԻ ԳՈՐԾՈՒՆԵՈՒԹՅԱՆ ԾՐԱԳՐԻ ԿԱՏԱՐՈՒՄՆ ԱՊԱՀՈՎՈՂ ՄԻՋՈՑԱՌՈՒՄՆԵՐԻ</w:t>
      </w:r>
    </w:p>
    <w:p w:rsidR="00E03CA1" w:rsidRPr="0053423A" w:rsidRDefault="00E03CA1" w:rsidP="00A67858">
      <w:pPr>
        <w:spacing w:after="0" w:line="276" w:lineRule="auto"/>
        <w:ind w:firstLine="375"/>
        <w:jc w:val="center"/>
        <w:rPr>
          <w:rFonts w:eastAsia="Times New Roman"/>
          <w:b/>
          <w:bCs/>
          <w:sz w:val="20"/>
          <w:szCs w:val="20"/>
          <w:lang w:val="hy-AM"/>
        </w:rPr>
      </w:pPr>
    </w:p>
    <w:p w:rsidR="00764E6F" w:rsidRPr="0053423A" w:rsidRDefault="00764E6F" w:rsidP="00A67858">
      <w:pPr>
        <w:spacing w:after="0" w:line="276" w:lineRule="auto"/>
        <w:jc w:val="both"/>
        <w:rPr>
          <w:rFonts w:eastAsia="Times New Roman" w:cs="Times New Roman"/>
          <w:caps/>
          <w:sz w:val="20"/>
          <w:szCs w:val="20"/>
          <w:lang w:val="hy-AM" w:eastAsia="ru-RU"/>
        </w:rPr>
      </w:pPr>
    </w:p>
    <w:tbl>
      <w:tblPr>
        <w:tblStyle w:val="TableGrid"/>
        <w:tblW w:w="11500" w:type="dxa"/>
        <w:tblInd w:w="198" w:type="dxa"/>
        <w:tblLook w:val="04A0" w:firstRow="1" w:lastRow="0" w:firstColumn="1" w:lastColumn="0" w:noHBand="0" w:noVBand="1"/>
      </w:tblPr>
      <w:tblGrid>
        <w:gridCol w:w="630"/>
        <w:gridCol w:w="10870"/>
      </w:tblGrid>
      <w:tr w:rsidR="00E03CA1" w:rsidRPr="0053423A" w:rsidTr="006D2AD6">
        <w:tc>
          <w:tcPr>
            <w:tcW w:w="630" w:type="dxa"/>
          </w:tcPr>
          <w:p w:rsidR="00E03CA1" w:rsidRPr="0053423A" w:rsidRDefault="00E03CA1" w:rsidP="00A67858">
            <w:pPr>
              <w:spacing w:line="276" w:lineRule="auto"/>
              <w:jc w:val="center"/>
            </w:pPr>
            <w:r w:rsidRPr="0053423A">
              <w:t>NN</w:t>
            </w:r>
          </w:p>
        </w:tc>
        <w:tc>
          <w:tcPr>
            <w:tcW w:w="10870" w:type="dxa"/>
          </w:tcPr>
          <w:p w:rsidR="00E03CA1" w:rsidRPr="0053423A" w:rsidRDefault="00E03CA1" w:rsidP="00A67858">
            <w:pPr>
              <w:spacing w:line="276" w:lineRule="auto"/>
              <w:jc w:val="center"/>
              <w:rPr>
                <w:rFonts w:cs="Sylfaen"/>
                <w:b/>
                <w:lang w:val="hy-AM"/>
              </w:rPr>
            </w:pPr>
            <w:r w:rsidRPr="0053423A">
              <w:rPr>
                <w:rFonts w:cs="Sylfaen"/>
                <w:b/>
                <w:lang w:val="hy-AM"/>
              </w:rPr>
              <w:t>ՀԻՄՆԱՎՈՐՈՒՄՆԵՐ</w:t>
            </w:r>
          </w:p>
        </w:tc>
      </w:tr>
      <w:tr w:rsidR="00E03CA1" w:rsidRPr="00DE2EFA" w:rsidTr="006D2AD6">
        <w:tc>
          <w:tcPr>
            <w:tcW w:w="630" w:type="dxa"/>
            <w:shd w:val="clear" w:color="auto" w:fill="FFFF00"/>
          </w:tcPr>
          <w:p w:rsidR="00E03CA1" w:rsidRPr="0053423A" w:rsidRDefault="00E03CA1" w:rsidP="00A67858">
            <w:pPr>
              <w:spacing w:line="276" w:lineRule="auto"/>
              <w:jc w:val="center"/>
            </w:pPr>
          </w:p>
        </w:tc>
        <w:tc>
          <w:tcPr>
            <w:tcW w:w="10870" w:type="dxa"/>
            <w:shd w:val="clear" w:color="auto" w:fill="FFFF00"/>
          </w:tcPr>
          <w:p w:rsidR="00E03CA1" w:rsidRPr="0053423A" w:rsidRDefault="00E03CA1" w:rsidP="00A67858">
            <w:pPr>
              <w:spacing w:line="276" w:lineRule="auto"/>
              <w:jc w:val="center"/>
              <w:rPr>
                <w:rFonts w:cs="Sylfaen"/>
                <w:b/>
              </w:rPr>
            </w:pPr>
            <w:r w:rsidRPr="0053423A">
              <w:rPr>
                <w:rFonts w:cs="Sylfaen"/>
                <w:b/>
                <w:lang w:val="hy-AM" w:eastAsia="en-GB"/>
              </w:rPr>
              <w:t>Ա</w:t>
            </w:r>
            <w:r w:rsidRPr="0053423A">
              <w:rPr>
                <w:b/>
                <w:lang w:val="hy-AM"/>
              </w:rPr>
              <w:t>շխատանքի</w:t>
            </w:r>
            <w:r w:rsidRPr="0053423A">
              <w:rPr>
                <w:rFonts w:ascii="Calibri" w:hAnsi="Calibri" w:cs="Calibri"/>
                <w:b/>
                <w:lang w:val="hy-AM"/>
              </w:rPr>
              <w:t> </w:t>
            </w:r>
            <w:r w:rsidRPr="0053423A">
              <w:rPr>
                <w:rFonts w:cs="Arial Unicode"/>
                <w:b/>
                <w:lang w:val="hy-AM"/>
              </w:rPr>
              <w:t>և</w:t>
            </w:r>
            <w:r w:rsidRPr="0053423A">
              <w:rPr>
                <w:rFonts w:ascii="Calibri" w:hAnsi="Calibri" w:cs="Calibri"/>
                <w:b/>
                <w:lang w:val="hy-AM"/>
              </w:rPr>
              <w:t> </w:t>
            </w:r>
            <w:r w:rsidRPr="0053423A">
              <w:rPr>
                <w:rFonts w:cs="Arial Unicode"/>
                <w:b/>
                <w:lang w:val="hy-AM"/>
              </w:rPr>
              <w:t>սոցիալական</w:t>
            </w:r>
            <w:r w:rsidRPr="0053423A">
              <w:rPr>
                <w:b/>
                <w:lang w:val="hy-AM"/>
              </w:rPr>
              <w:t xml:space="preserve"> </w:t>
            </w:r>
            <w:r w:rsidRPr="0053423A">
              <w:rPr>
                <w:rFonts w:cs="Arial Unicode"/>
                <w:b/>
                <w:lang w:val="hy-AM"/>
              </w:rPr>
              <w:t>հարցերի</w:t>
            </w:r>
            <w:r w:rsidRPr="0053423A">
              <w:rPr>
                <w:b/>
                <w:lang w:val="hy-AM"/>
              </w:rPr>
              <w:t xml:space="preserve"> </w:t>
            </w:r>
            <w:r w:rsidRPr="0053423A">
              <w:rPr>
                <w:rFonts w:cs="Arial Unicode"/>
                <w:b/>
                <w:lang w:val="hy-AM"/>
              </w:rPr>
              <w:t>նախարարություն</w:t>
            </w:r>
          </w:p>
        </w:tc>
      </w:tr>
    </w:tbl>
    <w:p w:rsidR="00365399" w:rsidRPr="001F6D5D" w:rsidRDefault="00365399">
      <w:pPr>
        <w:rPr>
          <w:sz w:val="20"/>
          <w:szCs w:val="20"/>
          <w:lang w:val="ru-RU"/>
        </w:rPr>
      </w:pPr>
    </w:p>
    <w:tbl>
      <w:tblPr>
        <w:tblStyle w:val="TableGrid3"/>
        <w:tblW w:w="11520" w:type="dxa"/>
        <w:tblInd w:w="198" w:type="dxa"/>
        <w:tblLook w:val="04A0" w:firstRow="1" w:lastRow="0" w:firstColumn="1" w:lastColumn="0" w:noHBand="0" w:noVBand="1"/>
      </w:tblPr>
      <w:tblGrid>
        <w:gridCol w:w="630"/>
        <w:gridCol w:w="10890"/>
      </w:tblGrid>
      <w:tr w:rsidR="00514E01" w:rsidRPr="00DE2EFA" w:rsidTr="00BC61ED">
        <w:tc>
          <w:tcPr>
            <w:tcW w:w="630" w:type="dxa"/>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1</w:t>
            </w: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rPr>
            </w:pPr>
            <w:r w:rsidRPr="0053423A">
              <w:rPr>
                <w:rFonts w:eastAsia="Times New Roman" w:cs="Times New Roman"/>
                <w:b/>
                <w:sz w:val="20"/>
                <w:szCs w:val="20"/>
                <w:u w:val="single"/>
                <w:lang w:val="hy-AM"/>
              </w:rPr>
              <w:t>1.1 «Ա</w:t>
            </w:r>
            <w:r w:rsidRPr="0053423A">
              <w:rPr>
                <w:rFonts w:eastAsia="Times New Roman" w:cs="Arian AMU"/>
                <w:b/>
                <w:sz w:val="20"/>
                <w:szCs w:val="20"/>
                <w:u w:val="single"/>
                <w:lang w:val="hy-AM"/>
              </w:rPr>
              <w:t xml:space="preserve">շխատանքի և սոցիալական պաշտպանության ոլորտի զարգացման ռազմավարությանը հավանություն տալու </w:t>
            </w:r>
            <w:r w:rsidRPr="0053423A">
              <w:rPr>
                <w:rFonts w:eastAsia="Times New Roman" w:cs="Times New Roman"/>
                <w:b/>
                <w:sz w:val="20"/>
                <w:szCs w:val="20"/>
                <w:u w:val="single"/>
                <w:lang w:val="hy-AM"/>
              </w:rPr>
              <w:t xml:space="preserve"> մասին»  ՀՀ կառավարության որոշման նախագծի մշակում և Վարչապետի աշխատակազմ ներկայացում</w:t>
            </w:r>
          </w:p>
          <w:p w:rsidR="00514E01" w:rsidRPr="0053423A" w:rsidRDefault="00514E01" w:rsidP="00A67858">
            <w:pPr>
              <w:spacing w:line="276" w:lineRule="auto"/>
              <w:jc w:val="both"/>
              <w:rPr>
                <w:rFonts w:eastAsia="Calibri" w:cs="Times New Roman"/>
                <w:b/>
                <w:sz w:val="20"/>
                <w:szCs w:val="20"/>
                <w:u w:val="single"/>
                <w:lang w:val="hy-AM"/>
              </w:rPr>
            </w:pPr>
          </w:p>
          <w:p w:rsidR="00514E01" w:rsidRPr="0053423A" w:rsidRDefault="00514E01" w:rsidP="001F6D5D">
            <w:pPr>
              <w:numPr>
                <w:ilvl w:val="0"/>
                <w:numId w:val="193"/>
              </w:numPr>
              <w:tabs>
                <w:tab w:val="left" w:pos="360"/>
              </w:tabs>
              <w:spacing w:line="276" w:lineRule="auto"/>
              <w:contextualSpacing/>
              <w:jc w:val="both"/>
              <w:rPr>
                <w:rFonts w:eastAsia="Times New Roman" w:cs="Times New Roman"/>
                <w:b/>
                <w:sz w:val="20"/>
                <w:szCs w:val="20"/>
              </w:rPr>
            </w:pPr>
            <w:r w:rsidRPr="0053423A">
              <w:rPr>
                <w:rFonts w:eastAsia="Times New Roman" w:cs="Times New Roman"/>
                <w:b/>
                <w:sz w:val="20"/>
                <w:szCs w:val="20"/>
                <w:lang w:val="hy-AM"/>
              </w:rPr>
              <w:t>Միջոցառման իրականացման անհրաժեշտությունը և նպատակը</w:t>
            </w:r>
          </w:p>
          <w:p w:rsidR="00514E01" w:rsidRPr="0053423A" w:rsidRDefault="00514E01" w:rsidP="00A67858">
            <w:pPr>
              <w:spacing w:line="276" w:lineRule="auto"/>
              <w:contextualSpacing/>
              <w:jc w:val="both"/>
              <w:rPr>
                <w:rFonts w:eastAsia="Times New Roman" w:cs="Sylfaen"/>
                <w:sz w:val="20"/>
                <w:szCs w:val="20"/>
                <w:lang w:eastAsia="ru-RU"/>
              </w:rPr>
            </w:pPr>
            <w:r w:rsidRPr="0053423A">
              <w:rPr>
                <w:rFonts w:eastAsia="Calibri" w:cs="Sylfaen"/>
                <w:sz w:val="20"/>
                <w:szCs w:val="20"/>
              </w:rPr>
              <w:t xml:space="preserve">Աշխատանքի և սոցիալական պաշտպանության ոլորտում </w:t>
            </w:r>
            <w:r w:rsidRPr="0053423A">
              <w:rPr>
                <w:rFonts w:eastAsia="Calibri" w:cs="Sylfaen"/>
                <w:sz w:val="20"/>
                <w:szCs w:val="20"/>
                <w:lang w:val="hy-AM"/>
              </w:rPr>
              <w:t>վարվող</w:t>
            </w:r>
            <w:r w:rsidRPr="0053423A">
              <w:rPr>
                <w:rFonts w:eastAsia="Calibri" w:cs="Times New Roman"/>
                <w:sz w:val="20"/>
                <w:szCs w:val="20"/>
                <w:lang w:val="hy-AM"/>
              </w:rPr>
              <w:t xml:space="preserve"> </w:t>
            </w:r>
            <w:r w:rsidRPr="0053423A">
              <w:rPr>
                <w:rFonts w:eastAsia="Calibri" w:cs="Sylfaen"/>
                <w:bCs/>
                <w:sz w:val="20"/>
                <w:szCs w:val="20"/>
                <w:lang w:val="hy-AM"/>
              </w:rPr>
              <w:t>պետական</w:t>
            </w:r>
            <w:r w:rsidRPr="0053423A">
              <w:rPr>
                <w:rFonts w:eastAsia="Calibri" w:cs="Times New Roman"/>
                <w:bCs/>
                <w:sz w:val="20"/>
                <w:szCs w:val="20"/>
                <w:lang w:val="hy-AM"/>
              </w:rPr>
              <w:t xml:space="preserve"> </w:t>
            </w:r>
            <w:r w:rsidRPr="0053423A">
              <w:rPr>
                <w:rFonts w:eastAsia="Calibri" w:cs="Sylfaen"/>
                <w:bCs/>
                <w:sz w:val="20"/>
                <w:szCs w:val="20"/>
                <w:lang w:val="hy-AM"/>
              </w:rPr>
              <w:t>քաղաքականության</w:t>
            </w:r>
            <w:r w:rsidRPr="0053423A">
              <w:rPr>
                <w:rFonts w:eastAsia="Calibri" w:cs="Sylfaen"/>
                <w:bCs/>
                <w:sz w:val="20"/>
                <w:szCs w:val="20"/>
              </w:rPr>
              <w:t xml:space="preserve"> հիմնական </w:t>
            </w:r>
            <w:r w:rsidRPr="0053423A">
              <w:rPr>
                <w:rFonts w:eastAsia="Calibri" w:cs="Sylfaen"/>
                <w:bCs/>
                <w:sz w:val="20"/>
                <w:szCs w:val="20"/>
                <w:lang w:val="hy-AM"/>
              </w:rPr>
              <w:t>առաջնահերթություններ</w:t>
            </w:r>
            <w:r w:rsidRPr="0053423A">
              <w:rPr>
                <w:rFonts w:eastAsia="Calibri" w:cs="Sylfaen"/>
                <w:bCs/>
                <w:sz w:val="20"/>
                <w:szCs w:val="20"/>
              </w:rPr>
              <w:t>ի</w:t>
            </w:r>
            <w:r w:rsidRPr="0053423A">
              <w:rPr>
                <w:rFonts w:eastAsia="Calibri" w:cs="Times New Roman"/>
                <w:bCs/>
                <w:sz w:val="20"/>
                <w:szCs w:val="20"/>
                <w:lang w:val="hy-AM"/>
              </w:rPr>
              <w:t xml:space="preserve"> </w:t>
            </w:r>
            <w:r w:rsidRPr="0053423A">
              <w:rPr>
                <w:rFonts w:eastAsia="Calibri" w:cs="Sylfaen"/>
                <w:sz w:val="20"/>
                <w:szCs w:val="20"/>
                <w:lang w:val="hy-AM"/>
              </w:rPr>
              <w:t>սահման</w:t>
            </w:r>
            <w:r w:rsidRPr="0053423A">
              <w:rPr>
                <w:rFonts w:eastAsia="Calibri" w:cs="Sylfaen"/>
                <w:sz w:val="20"/>
                <w:szCs w:val="20"/>
              </w:rPr>
              <w:t xml:space="preserve">ման, </w:t>
            </w:r>
            <w:r w:rsidRPr="0053423A">
              <w:rPr>
                <w:rFonts w:eastAsia="Calibri" w:cs="Times New Roman"/>
                <w:sz w:val="20"/>
                <w:szCs w:val="20"/>
              </w:rPr>
              <w:t xml:space="preserve">ոլորտի </w:t>
            </w:r>
            <w:r w:rsidRPr="0053423A">
              <w:rPr>
                <w:rFonts w:eastAsia="Calibri" w:cs="Sylfaen"/>
                <w:sz w:val="20"/>
                <w:szCs w:val="20"/>
                <w:lang w:val="hy-AM"/>
              </w:rPr>
              <w:t>կառավարման</w:t>
            </w:r>
            <w:r w:rsidRPr="0053423A">
              <w:rPr>
                <w:rFonts w:eastAsia="Calibri" w:cs="Times New Roman"/>
                <w:sz w:val="20"/>
                <w:szCs w:val="20"/>
                <w:lang w:val="hy-AM"/>
              </w:rPr>
              <w:t xml:space="preserve"> </w:t>
            </w:r>
            <w:r w:rsidRPr="0053423A">
              <w:rPr>
                <w:rFonts w:eastAsia="Calibri" w:cs="Sylfaen"/>
                <w:sz w:val="20"/>
                <w:szCs w:val="20"/>
                <w:lang w:val="hy-AM"/>
              </w:rPr>
              <w:t>արդյունավետության</w:t>
            </w:r>
            <w:r w:rsidRPr="0053423A">
              <w:rPr>
                <w:rFonts w:eastAsia="Calibri" w:cs="Sylfaen"/>
                <w:sz w:val="20"/>
                <w:szCs w:val="20"/>
              </w:rPr>
              <w:t xml:space="preserve"> բարձրացման, այդ թվում՝ սոցիալական պաշտպանության ոլորտի տարբեր բնագավառներում վարվող քաղաքականությունները փոխկապակցելու </w:t>
            </w:r>
            <w:r w:rsidRPr="0053423A">
              <w:rPr>
                <w:rFonts w:eastAsia="Calibri" w:cs="Times New Roman"/>
                <w:sz w:val="20"/>
                <w:szCs w:val="20"/>
              </w:rPr>
              <w:t xml:space="preserve">նպատակով  անհրաժեշտ է  մշակել  </w:t>
            </w:r>
            <w:r w:rsidRPr="0053423A">
              <w:rPr>
                <w:rFonts w:eastAsia="Times New Roman" w:cs="Arian AMU"/>
                <w:sz w:val="20"/>
                <w:szCs w:val="20"/>
              </w:rPr>
              <w:t xml:space="preserve">աշխատանքի և սոցիալական պաշտպանության ոլորտի զարգացման ռազմավարություն: Սույն միջոցառման մշակման անհրաժեշտությունը </w:t>
            </w:r>
            <w:r w:rsidRPr="0053423A">
              <w:rPr>
                <w:rFonts w:eastAsia="Calibri" w:cs="Times New Roman"/>
                <w:sz w:val="20"/>
                <w:szCs w:val="20"/>
              </w:rPr>
              <w:t xml:space="preserve"> </w:t>
            </w:r>
            <w:r w:rsidRPr="0053423A">
              <w:rPr>
                <w:rFonts w:eastAsia="Calibri" w:cs="Sylfaen"/>
                <w:sz w:val="20"/>
                <w:szCs w:val="20"/>
              </w:rPr>
              <w:t>բխում է</w:t>
            </w:r>
            <w:r w:rsidRPr="0053423A">
              <w:rPr>
                <w:rFonts w:eastAsia="Calibri" w:cs="Times New Roman"/>
                <w:sz w:val="20"/>
                <w:szCs w:val="20"/>
              </w:rPr>
              <w:t xml:space="preserve"> </w:t>
            </w:r>
            <w:r w:rsidRPr="0053423A">
              <w:rPr>
                <w:rFonts w:eastAsia="Times New Roman" w:cs="Times New Roman"/>
                <w:sz w:val="20"/>
                <w:szCs w:val="20"/>
                <w:lang w:val="hy-AM" w:eastAsia="ru-RU"/>
              </w:rPr>
              <w:t>ՀՀ կառավարության 2019</w:t>
            </w:r>
            <w:r w:rsidRPr="0053423A">
              <w:rPr>
                <w:rFonts w:eastAsia="Times New Roman" w:cs="Sylfaen"/>
                <w:sz w:val="20"/>
                <w:szCs w:val="20"/>
                <w:lang w:val="hy-AM" w:eastAsia="ru-RU"/>
              </w:rPr>
              <w:t>թ</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փետրվարի 8</w:t>
            </w:r>
            <w:r w:rsidRPr="0053423A">
              <w:rPr>
                <w:rFonts w:eastAsia="Times New Roman" w:cs="Times New Roman"/>
                <w:sz w:val="20"/>
                <w:szCs w:val="20"/>
                <w:lang w:val="hy-AM" w:eastAsia="ru-RU"/>
              </w:rPr>
              <w:t>-</w:t>
            </w:r>
            <w:r w:rsidRPr="0053423A">
              <w:rPr>
                <w:rFonts w:eastAsia="Times New Roman" w:cs="Sylfaen"/>
                <w:sz w:val="20"/>
                <w:szCs w:val="20"/>
                <w:lang w:val="hy-AM" w:eastAsia="ru-RU"/>
              </w:rPr>
              <w:t>ի</w:t>
            </w:r>
            <w:r w:rsidRPr="0053423A">
              <w:rPr>
                <w:rFonts w:eastAsia="Times New Roman" w:cs="Times New Roman"/>
                <w:sz w:val="20"/>
                <w:szCs w:val="20"/>
                <w:lang w:val="hy-AM" w:eastAsia="ru-RU"/>
              </w:rPr>
              <w:t xml:space="preserve"> N 65-</w:t>
            </w:r>
            <w:r w:rsidRPr="0053423A">
              <w:rPr>
                <w:rFonts w:eastAsia="Times New Roman" w:cs="Sylfaen"/>
                <w:sz w:val="20"/>
                <w:szCs w:val="20"/>
                <w:lang w:val="hy-AM" w:eastAsia="ru-RU"/>
              </w:rPr>
              <w:t>Ա</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որոշման</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հավելվածի</w:t>
            </w:r>
            <w:r w:rsidRPr="0053423A">
              <w:rPr>
                <w:rFonts w:eastAsia="Times New Roman" w:cs="Times New Roman"/>
                <w:sz w:val="20"/>
                <w:szCs w:val="20"/>
                <w:lang w:val="hy-AM" w:eastAsia="ru-RU"/>
              </w:rPr>
              <w:t xml:space="preserve"> 4.2-</w:t>
            </w:r>
            <w:r w:rsidRPr="0053423A">
              <w:rPr>
                <w:rFonts w:eastAsia="Times New Roman" w:cs="Sylfaen"/>
                <w:sz w:val="20"/>
                <w:szCs w:val="20"/>
                <w:lang w:val="hy-AM" w:eastAsia="ru-RU"/>
              </w:rPr>
              <w:t xml:space="preserve">րդ` </w:t>
            </w:r>
            <w:r w:rsidRPr="0053423A">
              <w:rPr>
                <w:rFonts w:eastAsia="Times New Roman" w:cs="Times New Roman"/>
                <w:sz w:val="20"/>
                <w:szCs w:val="20"/>
                <w:lang w:val="hy-AM" w:eastAsia="ru-RU"/>
              </w:rPr>
              <w:t>«Ա</w:t>
            </w:r>
            <w:r w:rsidRPr="0053423A">
              <w:rPr>
                <w:rFonts w:eastAsia="Calibri" w:cs="Times New Roman"/>
                <w:bCs/>
                <w:sz w:val="20"/>
                <w:szCs w:val="20"/>
                <w:lang w:val="hy-AM"/>
              </w:rPr>
              <w:t>ղքատության</w:t>
            </w:r>
            <w:r w:rsidRPr="0053423A">
              <w:rPr>
                <w:rFonts w:eastAsia="Calibri" w:cs="Times New Roman"/>
                <w:bCs/>
                <w:sz w:val="20"/>
                <w:szCs w:val="20"/>
                <w:lang w:val="af-ZA"/>
              </w:rPr>
              <w:t xml:space="preserve"> </w:t>
            </w:r>
            <w:r w:rsidRPr="0053423A">
              <w:rPr>
                <w:rFonts w:eastAsia="Calibri" w:cs="Times New Roman"/>
                <w:bCs/>
                <w:sz w:val="20"/>
                <w:szCs w:val="20"/>
                <w:lang w:val="hy-AM"/>
              </w:rPr>
              <w:t>հաղթահարումը</w:t>
            </w:r>
            <w:r w:rsidRPr="0053423A">
              <w:rPr>
                <w:rFonts w:eastAsia="Calibri" w:cs="Times New Roman"/>
                <w:bCs/>
                <w:sz w:val="20"/>
                <w:szCs w:val="20"/>
                <w:lang w:val="af-ZA"/>
              </w:rPr>
              <w:t xml:space="preserve">, </w:t>
            </w:r>
            <w:r w:rsidRPr="0053423A">
              <w:rPr>
                <w:rFonts w:eastAsia="Calibri" w:cs="Times New Roman"/>
                <w:bCs/>
                <w:sz w:val="20"/>
                <w:szCs w:val="20"/>
                <w:lang w:val="hy-AM"/>
              </w:rPr>
              <w:t>սոցիալական</w:t>
            </w:r>
            <w:r w:rsidRPr="0053423A">
              <w:rPr>
                <w:rFonts w:eastAsia="Calibri" w:cs="Times New Roman"/>
                <w:bCs/>
                <w:sz w:val="20"/>
                <w:szCs w:val="20"/>
                <w:lang w:val="af-ZA"/>
              </w:rPr>
              <w:t xml:space="preserve"> </w:t>
            </w:r>
            <w:r w:rsidRPr="0053423A">
              <w:rPr>
                <w:rFonts w:eastAsia="Calibri" w:cs="Times New Roman"/>
                <w:bCs/>
                <w:sz w:val="20"/>
                <w:szCs w:val="20"/>
                <w:lang w:val="hy-AM"/>
              </w:rPr>
              <w:t>պաշտպանությունը</w:t>
            </w:r>
            <w:r w:rsidRPr="0053423A">
              <w:rPr>
                <w:rFonts w:eastAsia="Calibri" w:cs="Times New Roman"/>
                <w:bCs/>
                <w:sz w:val="20"/>
                <w:szCs w:val="20"/>
                <w:lang w:val="af-ZA"/>
              </w:rPr>
              <w:t xml:space="preserve"> </w:t>
            </w:r>
            <w:r w:rsidRPr="0053423A">
              <w:rPr>
                <w:rFonts w:eastAsia="Calibri" w:cs="Times New Roman"/>
                <w:bCs/>
                <w:sz w:val="20"/>
                <w:szCs w:val="20"/>
                <w:lang w:val="hy-AM"/>
              </w:rPr>
              <w:t>և</w:t>
            </w:r>
            <w:r w:rsidRPr="0053423A">
              <w:rPr>
                <w:rFonts w:eastAsia="Calibri" w:cs="Times New Roman"/>
                <w:bCs/>
                <w:sz w:val="20"/>
                <w:szCs w:val="20"/>
                <w:lang w:val="af-ZA"/>
              </w:rPr>
              <w:t xml:space="preserve"> </w:t>
            </w:r>
            <w:r w:rsidRPr="0053423A">
              <w:rPr>
                <w:rFonts w:eastAsia="Calibri" w:cs="Times New Roman"/>
                <w:bCs/>
                <w:sz w:val="20"/>
                <w:szCs w:val="20"/>
                <w:lang w:val="hy-AM"/>
              </w:rPr>
              <w:t>ժողովրդագրությունը</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բաժնի</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պահանջներից:</w:t>
            </w:r>
          </w:p>
          <w:p w:rsidR="00514E01" w:rsidRPr="0053423A" w:rsidRDefault="00514E01" w:rsidP="001F6D5D">
            <w:pPr>
              <w:numPr>
                <w:ilvl w:val="1"/>
                <w:numId w:val="193"/>
              </w:numPr>
              <w:spacing w:line="276" w:lineRule="auto"/>
              <w:contextualSpacing/>
              <w:jc w:val="both"/>
              <w:rPr>
                <w:rFonts w:eastAsia="GHEAMariam" w:cs="GHEAMariam"/>
                <w:b/>
                <w:bCs/>
                <w:sz w:val="20"/>
                <w:szCs w:val="20"/>
                <w:lang w:val="af-ZA" w:eastAsia="ru-RU"/>
              </w:rPr>
            </w:pPr>
            <w:r w:rsidRPr="0053423A">
              <w:rPr>
                <w:rFonts w:eastAsia="GHEAMariam" w:cs="GHEAMariam"/>
                <w:b/>
                <w:bCs/>
                <w:sz w:val="20"/>
                <w:szCs w:val="20"/>
                <w:lang w:val="af-ZA" w:eastAsia="ru-RU"/>
              </w:rPr>
              <w:t xml:space="preserve">Կարգավորման հարաբերությունների ներկա իրավիճակը և առկա խնդիրները </w:t>
            </w:r>
          </w:p>
          <w:p w:rsidR="00514E01" w:rsidRPr="0053423A" w:rsidRDefault="00514E01" w:rsidP="00A67858">
            <w:pPr>
              <w:spacing w:line="276" w:lineRule="auto"/>
              <w:jc w:val="both"/>
              <w:rPr>
                <w:rFonts w:eastAsia="Calibri" w:cs="Times New Roman"/>
                <w:b/>
                <w:sz w:val="20"/>
                <w:szCs w:val="20"/>
                <w:lang w:val="af-ZA"/>
              </w:rPr>
            </w:pPr>
            <w:r w:rsidRPr="0053423A">
              <w:rPr>
                <w:rFonts w:eastAsia="Calibri" w:cs="Sylfaen"/>
                <w:sz w:val="20"/>
                <w:szCs w:val="20"/>
              </w:rPr>
              <w:t>Աշխատանքի</w:t>
            </w:r>
            <w:r w:rsidRPr="0053423A">
              <w:rPr>
                <w:rFonts w:eastAsia="Calibri" w:cs="Sylfaen"/>
                <w:sz w:val="20"/>
                <w:szCs w:val="20"/>
                <w:lang w:val="af-ZA"/>
              </w:rPr>
              <w:t xml:space="preserve"> </w:t>
            </w:r>
            <w:r w:rsidRPr="0053423A">
              <w:rPr>
                <w:rFonts w:eastAsia="Calibri" w:cs="Sylfaen"/>
                <w:sz w:val="20"/>
                <w:szCs w:val="20"/>
              </w:rPr>
              <w:t>և</w:t>
            </w:r>
            <w:r w:rsidRPr="0053423A">
              <w:rPr>
                <w:rFonts w:eastAsia="Calibri" w:cs="Sylfaen"/>
                <w:sz w:val="20"/>
                <w:szCs w:val="20"/>
                <w:lang w:val="af-ZA"/>
              </w:rPr>
              <w:t xml:space="preserve"> </w:t>
            </w:r>
            <w:r w:rsidRPr="0053423A">
              <w:rPr>
                <w:rFonts w:eastAsia="Calibri" w:cs="Sylfaen"/>
                <w:sz w:val="20"/>
                <w:szCs w:val="20"/>
              </w:rPr>
              <w:t>սոցիալական</w:t>
            </w:r>
            <w:r w:rsidRPr="0053423A">
              <w:rPr>
                <w:rFonts w:eastAsia="GHEAMariam-Bold" w:cs="GHEAMariam-Bold"/>
                <w:bCs/>
                <w:sz w:val="20"/>
                <w:szCs w:val="20"/>
                <w:lang w:val="hy-AM"/>
              </w:rPr>
              <w:t xml:space="preserve"> պաշտպանության</w:t>
            </w:r>
            <w:r w:rsidRPr="0053423A">
              <w:rPr>
                <w:rFonts w:eastAsia="GHEAMariam-Bold" w:cs="GHEAMariam-Bold"/>
                <w:bCs/>
                <w:sz w:val="20"/>
                <w:szCs w:val="20"/>
                <w:lang w:val="af-ZA"/>
              </w:rPr>
              <w:t xml:space="preserve"> </w:t>
            </w:r>
            <w:r w:rsidRPr="0053423A">
              <w:rPr>
                <w:rFonts w:eastAsia="GHEAMariam-Bold" w:cs="GHEAMariam-Bold"/>
                <w:bCs/>
                <w:sz w:val="20"/>
                <w:szCs w:val="20"/>
              </w:rPr>
              <w:t>տարբեր</w:t>
            </w:r>
            <w:r w:rsidRPr="0053423A">
              <w:rPr>
                <w:rFonts w:eastAsia="GHEAMariam-Bold" w:cs="GHEAMariam-Bold"/>
                <w:bCs/>
                <w:sz w:val="20"/>
                <w:szCs w:val="20"/>
                <w:lang w:val="af-ZA"/>
              </w:rPr>
              <w:t xml:space="preserve"> </w:t>
            </w:r>
            <w:r w:rsidRPr="0053423A">
              <w:rPr>
                <w:rFonts w:eastAsia="GHEAMariam-Bold" w:cs="GHEAMariam-Bold"/>
                <w:bCs/>
                <w:sz w:val="20"/>
                <w:szCs w:val="20"/>
              </w:rPr>
              <w:t>բնագավառներում</w:t>
            </w:r>
            <w:r w:rsidRPr="0053423A">
              <w:rPr>
                <w:rFonts w:eastAsia="GHEAMariam-Bold" w:cs="GHEAMariam-Bold"/>
                <w:bCs/>
                <w:sz w:val="20"/>
                <w:szCs w:val="20"/>
                <w:lang w:val="af-ZA"/>
              </w:rPr>
              <w:t xml:space="preserve"> </w:t>
            </w:r>
            <w:r w:rsidRPr="0053423A">
              <w:rPr>
                <w:rFonts w:eastAsia="GHEAMariam-Bold" w:cs="GHEAMariam-Bold"/>
                <w:bCs/>
                <w:sz w:val="20"/>
                <w:szCs w:val="20"/>
                <w:lang w:val="hy-AM"/>
              </w:rPr>
              <w:t xml:space="preserve"> իրականացվող բարեփոխումների համատեքստու</w:t>
            </w:r>
            <w:r w:rsidRPr="0053423A">
              <w:rPr>
                <w:rFonts w:eastAsia="GHEAMariam-Bold" w:cs="GHEAMariam-Bold"/>
                <w:bCs/>
                <w:sz w:val="20"/>
                <w:szCs w:val="20"/>
              </w:rPr>
              <w:t>մ</w:t>
            </w:r>
            <w:r w:rsidRPr="0053423A">
              <w:rPr>
                <w:rFonts w:eastAsia="GHEAMariam-Bold" w:cs="GHEAMariam-Bold"/>
                <w:bCs/>
                <w:sz w:val="20"/>
                <w:szCs w:val="20"/>
                <w:lang w:val="hy-AM"/>
              </w:rPr>
              <w:t>, հաշվի առնելով</w:t>
            </w:r>
            <w:r w:rsidRPr="0053423A">
              <w:rPr>
                <w:rFonts w:eastAsia="GHEAMariam-Bold" w:cs="GHEAMariam-Bold"/>
                <w:bCs/>
                <w:sz w:val="20"/>
                <w:szCs w:val="20"/>
                <w:lang w:val="af-ZA"/>
              </w:rPr>
              <w:t xml:space="preserve"> </w:t>
            </w:r>
            <w:r w:rsidRPr="0053423A">
              <w:rPr>
                <w:rFonts w:eastAsia="GHEAMariam-Bold" w:cs="GHEAMariam-Bold"/>
                <w:bCs/>
                <w:sz w:val="20"/>
                <w:szCs w:val="20"/>
              </w:rPr>
              <w:t>նաև</w:t>
            </w:r>
            <w:r w:rsidRPr="0053423A">
              <w:rPr>
                <w:rFonts w:eastAsia="GHEAMariam-Bold" w:cs="GHEAMariam-Bold"/>
                <w:bCs/>
                <w:sz w:val="20"/>
                <w:szCs w:val="20"/>
                <w:lang w:val="hy-AM"/>
              </w:rPr>
              <w:t>, որ ՀՀ պետական բյուջեի  ծախսերի շուրջ 30 տոկոսն ուղղվում է սոցիալական պաշտպանության ոլորտին,</w:t>
            </w:r>
            <w:r w:rsidRPr="0053423A">
              <w:rPr>
                <w:rFonts w:eastAsia="GHEAMariam-Bold" w:cs="GHEAMariam-Bold"/>
                <w:bCs/>
                <w:sz w:val="20"/>
                <w:szCs w:val="20"/>
                <w:lang w:val="af-ZA"/>
              </w:rPr>
              <w:t xml:space="preserve"> </w:t>
            </w:r>
            <w:r w:rsidRPr="0053423A">
              <w:rPr>
                <w:rFonts w:eastAsia="GHEAMariam-Bold" w:cs="GHEAMariam-Bold"/>
                <w:bCs/>
                <w:sz w:val="20"/>
                <w:szCs w:val="20"/>
              </w:rPr>
              <w:t>արդիական</w:t>
            </w:r>
            <w:r w:rsidRPr="0053423A">
              <w:rPr>
                <w:rFonts w:eastAsia="GHEAMariam-Bold" w:cs="GHEAMariam-Bold"/>
                <w:bCs/>
                <w:sz w:val="20"/>
                <w:szCs w:val="20"/>
                <w:lang w:val="af-ZA"/>
              </w:rPr>
              <w:t xml:space="preserve"> </w:t>
            </w:r>
            <w:r w:rsidRPr="0053423A">
              <w:rPr>
                <w:rFonts w:eastAsia="GHEAMariam-Bold" w:cs="GHEAMariam-Bold"/>
                <w:bCs/>
                <w:sz w:val="20"/>
                <w:szCs w:val="20"/>
              </w:rPr>
              <w:t>է</w:t>
            </w:r>
            <w:r w:rsidRPr="0053423A">
              <w:rPr>
                <w:rFonts w:eastAsia="GHEAMariam-Bold" w:cs="GHEAMariam-Bold"/>
                <w:bCs/>
                <w:sz w:val="20"/>
                <w:szCs w:val="20"/>
                <w:lang w:val="hy-AM"/>
              </w:rPr>
              <w:t xml:space="preserve"> </w:t>
            </w:r>
            <w:r w:rsidRPr="0053423A">
              <w:rPr>
                <w:rFonts w:eastAsia="GHEAMariam-Bold" w:cs="GHEAMariam-Bold"/>
                <w:bCs/>
                <w:sz w:val="20"/>
                <w:szCs w:val="20"/>
              </w:rPr>
              <w:t>սոցիալական</w:t>
            </w:r>
            <w:r w:rsidRPr="0053423A">
              <w:rPr>
                <w:rFonts w:eastAsia="GHEAMariam-Bold" w:cs="GHEAMariam-Bold"/>
                <w:bCs/>
                <w:sz w:val="20"/>
                <w:szCs w:val="20"/>
                <w:lang w:val="af-ZA"/>
              </w:rPr>
              <w:t xml:space="preserve"> </w:t>
            </w:r>
            <w:r w:rsidRPr="0053423A">
              <w:rPr>
                <w:rFonts w:eastAsia="GHEAMariam-Bold" w:cs="GHEAMariam-Bold"/>
                <w:bCs/>
                <w:sz w:val="20"/>
                <w:szCs w:val="20"/>
              </w:rPr>
              <w:t>պաշտպանության</w:t>
            </w:r>
            <w:r w:rsidRPr="0053423A">
              <w:rPr>
                <w:rFonts w:eastAsia="GHEAMariam-Bold" w:cs="GHEAMariam-Bold"/>
                <w:bCs/>
                <w:sz w:val="20"/>
                <w:szCs w:val="20"/>
                <w:lang w:val="af-ZA"/>
              </w:rPr>
              <w:t xml:space="preserve"> </w:t>
            </w:r>
            <w:r w:rsidRPr="0053423A">
              <w:rPr>
                <w:rFonts w:eastAsia="GHEAMariam-Bold" w:cs="GHEAMariam-Bold"/>
                <w:bCs/>
                <w:sz w:val="20"/>
                <w:szCs w:val="20"/>
              </w:rPr>
              <w:t>ոլորտում</w:t>
            </w:r>
            <w:r w:rsidRPr="0053423A">
              <w:rPr>
                <w:rFonts w:eastAsia="GHEAMariam-Bold" w:cs="GHEAMariam-Bold"/>
                <w:bCs/>
                <w:sz w:val="20"/>
                <w:szCs w:val="20"/>
                <w:lang w:val="af-ZA"/>
              </w:rPr>
              <w:t xml:space="preserve">  </w:t>
            </w:r>
            <w:r w:rsidRPr="0053423A">
              <w:rPr>
                <w:rFonts w:eastAsia="GHEAMariam-Bold" w:cs="GHEAMariam-Bold"/>
                <w:bCs/>
                <w:sz w:val="20"/>
                <w:szCs w:val="20"/>
              </w:rPr>
              <w:t>առաջիկա</w:t>
            </w:r>
            <w:r w:rsidRPr="0053423A">
              <w:rPr>
                <w:rFonts w:eastAsia="GHEAMariam-Bold" w:cs="GHEAMariam-Bold"/>
                <w:bCs/>
                <w:sz w:val="20"/>
                <w:szCs w:val="20"/>
                <w:lang w:val="af-ZA"/>
              </w:rPr>
              <w:t xml:space="preserve"> </w:t>
            </w:r>
            <w:r w:rsidRPr="0053423A">
              <w:rPr>
                <w:rFonts w:eastAsia="GHEAMariam-Bold" w:cs="GHEAMariam-Bold"/>
                <w:bCs/>
                <w:sz w:val="20"/>
                <w:szCs w:val="20"/>
              </w:rPr>
              <w:t>տարիների</w:t>
            </w:r>
            <w:r w:rsidRPr="0053423A">
              <w:rPr>
                <w:rFonts w:eastAsia="GHEAMariam-Bold" w:cs="GHEAMariam-Bold"/>
                <w:bCs/>
                <w:sz w:val="20"/>
                <w:szCs w:val="20"/>
                <w:lang w:val="af-ZA"/>
              </w:rPr>
              <w:t xml:space="preserve"> </w:t>
            </w:r>
            <w:r w:rsidRPr="0053423A">
              <w:rPr>
                <w:rFonts w:eastAsia="GHEAMariam-Bold" w:cs="GHEAMariam-Bold"/>
                <w:bCs/>
                <w:sz w:val="20"/>
                <w:szCs w:val="20"/>
              </w:rPr>
              <w:t>տեսլականի՝</w:t>
            </w:r>
            <w:r w:rsidRPr="0053423A">
              <w:rPr>
                <w:rFonts w:eastAsia="GHEAMariam-Bold" w:cs="GHEAMariam-Bold"/>
                <w:bCs/>
                <w:sz w:val="20"/>
                <w:szCs w:val="20"/>
                <w:lang w:val="af-ZA"/>
              </w:rPr>
              <w:t xml:space="preserve"> </w:t>
            </w:r>
            <w:r w:rsidRPr="0053423A">
              <w:rPr>
                <w:rFonts w:eastAsia="GHEAMariam-Bold" w:cs="GHEAMariam-Bold"/>
                <w:bCs/>
                <w:sz w:val="20"/>
                <w:szCs w:val="20"/>
              </w:rPr>
              <w:t>մեկ</w:t>
            </w:r>
            <w:r w:rsidRPr="0053423A">
              <w:rPr>
                <w:rFonts w:eastAsia="GHEAMariam-Bold" w:cs="GHEAMariam-Bold"/>
                <w:bCs/>
                <w:sz w:val="20"/>
                <w:szCs w:val="20"/>
                <w:lang w:val="af-ZA"/>
              </w:rPr>
              <w:t xml:space="preserve"> </w:t>
            </w:r>
            <w:r w:rsidRPr="0053423A">
              <w:rPr>
                <w:rFonts w:eastAsia="GHEAMariam-Bold" w:cs="GHEAMariam-Bold"/>
                <w:bCs/>
                <w:sz w:val="20"/>
                <w:szCs w:val="20"/>
              </w:rPr>
              <w:t>միասնական</w:t>
            </w:r>
            <w:r w:rsidRPr="0053423A">
              <w:rPr>
                <w:rFonts w:eastAsia="GHEAMariam-Bold" w:cs="GHEAMariam-Bold"/>
                <w:bCs/>
                <w:sz w:val="20"/>
                <w:szCs w:val="20"/>
                <w:lang w:val="af-ZA"/>
              </w:rPr>
              <w:t xml:space="preserve"> </w:t>
            </w:r>
            <w:r w:rsidRPr="0053423A">
              <w:rPr>
                <w:rFonts w:eastAsia="GHEAMariam-Bold" w:cs="GHEAMariam-Bold"/>
                <w:bCs/>
                <w:sz w:val="20"/>
                <w:szCs w:val="20"/>
              </w:rPr>
              <w:t>ռազմավարության</w:t>
            </w:r>
            <w:r w:rsidRPr="0053423A">
              <w:rPr>
                <w:rFonts w:eastAsia="GHEAMariam-Bold" w:cs="GHEAMariam-Bold"/>
                <w:bCs/>
                <w:sz w:val="20"/>
                <w:szCs w:val="20"/>
                <w:lang w:val="af-ZA"/>
              </w:rPr>
              <w:t xml:space="preserve"> </w:t>
            </w:r>
            <w:r w:rsidRPr="0053423A">
              <w:rPr>
                <w:rFonts w:eastAsia="GHEAMariam-Bold" w:cs="GHEAMariam-Bold"/>
                <w:bCs/>
                <w:sz w:val="20"/>
                <w:szCs w:val="20"/>
                <w:lang w:val="hy-AM"/>
              </w:rPr>
              <w:t>առկայությ</w:t>
            </w:r>
            <w:r w:rsidRPr="0053423A">
              <w:rPr>
                <w:rFonts w:eastAsia="GHEAMariam-Bold" w:cs="GHEAMariam-Bold"/>
                <w:bCs/>
                <w:sz w:val="20"/>
                <w:szCs w:val="20"/>
              </w:rPr>
              <w:t>ան</w:t>
            </w:r>
            <w:r w:rsidRPr="0053423A">
              <w:rPr>
                <w:rFonts w:eastAsia="GHEAMariam-Bold" w:cs="GHEAMariam-Bold"/>
                <w:bCs/>
                <w:sz w:val="20"/>
                <w:szCs w:val="20"/>
                <w:lang w:val="af-ZA"/>
              </w:rPr>
              <w:t xml:space="preserve"> </w:t>
            </w:r>
            <w:r w:rsidRPr="0053423A">
              <w:rPr>
                <w:rFonts w:eastAsia="GHEAMariam-Bold" w:cs="GHEAMariam-Bold"/>
                <w:bCs/>
                <w:sz w:val="20"/>
                <w:szCs w:val="20"/>
              </w:rPr>
              <w:t>խնդիրը</w:t>
            </w:r>
            <w:r w:rsidRPr="0053423A">
              <w:rPr>
                <w:rFonts w:eastAsia="GHEAMariam-Bold" w:cs="GHEAMariam-Bold"/>
                <w:bCs/>
                <w:sz w:val="20"/>
                <w:szCs w:val="20"/>
                <w:lang w:val="af-ZA"/>
              </w:rPr>
              <w:t xml:space="preserve">, </w:t>
            </w:r>
            <w:r w:rsidRPr="0053423A">
              <w:rPr>
                <w:rFonts w:eastAsia="GHEAMariam-Bold" w:cs="GHEAMariam-Bold"/>
                <w:bCs/>
                <w:sz w:val="20"/>
                <w:szCs w:val="20"/>
              </w:rPr>
              <w:t>որը</w:t>
            </w:r>
            <w:r w:rsidRPr="0053423A">
              <w:rPr>
                <w:rFonts w:eastAsia="GHEAMariam-Bold" w:cs="GHEAMariam-Bold"/>
                <w:bCs/>
                <w:sz w:val="20"/>
                <w:szCs w:val="20"/>
                <w:lang w:val="af-ZA"/>
              </w:rPr>
              <w:t xml:space="preserve"> </w:t>
            </w:r>
            <w:r w:rsidRPr="0053423A">
              <w:rPr>
                <w:rFonts w:eastAsia="GHEAMariam-Bold" w:cs="GHEAMariam-Bold"/>
                <w:bCs/>
                <w:sz w:val="20"/>
                <w:szCs w:val="20"/>
              </w:rPr>
              <w:t>միաժամանակ</w:t>
            </w:r>
            <w:r w:rsidRPr="0053423A">
              <w:rPr>
                <w:rFonts w:eastAsia="GHEAMariam-Bold" w:cs="GHEAMariam-Bold"/>
                <w:bCs/>
                <w:sz w:val="20"/>
                <w:szCs w:val="20"/>
                <w:lang w:val="af-ZA"/>
              </w:rPr>
              <w:t xml:space="preserve"> </w:t>
            </w:r>
            <w:r w:rsidRPr="0053423A">
              <w:rPr>
                <w:rFonts w:eastAsia="GHEAMariam-Bold" w:cs="GHEAMariam-Bold"/>
                <w:bCs/>
                <w:sz w:val="20"/>
                <w:szCs w:val="20"/>
              </w:rPr>
              <w:t>համահունչ</w:t>
            </w:r>
            <w:r w:rsidRPr="0053423A">
              <w:rPr>
                <w:rFonts w:eastAsia="GHEAMariam-Bold" w:cs="GHEAMariam-Bold"/>
                <w:bCs/>
                <w:sz w:val="20"/>
                <w:szCs w:val="20"/>
                <w:lang w:val="af-ZA"/>
              </w:rPr>
              <w:t xml:space="preserve"> </w:t>
            </w:r>
            <w:r w:rsidRPr="0053423A">
              <w:rPr>
                <w:rFonts w:eastAsia="GHEAMariam-Bold" w:cs="GHEAMariam-Bold"/>
                <w:bCs/>
                <w:sz w:val="20"/>
                <w:szCs w:val="20"/>
              </w:rPr>
              <w:t>կլինի</w:t>
            </w:r>
            <w:r w:rsidRPr="0053423A">
              <w:rPr>
                <w:rFonts w:eastAsia="GHEAMariam-Bold" w:cs="GHEAMariam-Bold"/>
                <w:bCs/>
                <w:sz w:val="20"/>
                <w:szCs w:val="20"/>
                <w:lang w:val="af-ZA"/>
              </w:rPr>
              <w:t xml:space="preserve"> </w:t>
            </w:r>
            <w:r w:rsidRPr="0053423A">
              <w:rPr>
                <w:rFonts w:eastAsia="GHEAMariam-Bold" w:cs="GHEAMariam-Bold"/>
                <w:bCs/>
                <w:sz w:val="20"/>
                <w:szCs w:val="20"/>
              </w:rPr>
              <w:t>երկրում՝</w:t>
            </w:r>
            <w:r w:rsidRPr="0053423A">
              <w:rPr>
                <w:rFonts w:eastAsia="GHEAMariam-Bold" w:cs="GHEAMariam-Bold"/>
                <w:bCs/>
                <w:sz w:val="20"/>
                <w:szCs w:val="20"/>
                <w:lang w:val="af-ZA"/>
              </w:rPr>
              <w:t xml:space="preserve"> </w:t>
            </w:r>
            <w:r w:rsidRPr="0053423A">
              <w:rPr>
                <w:rFonts w:eastAsia="GHEAMariam-Bold" w:cs="GHEAMariam-Bold"/>
                <w:bCs/>
                <w:sz w:val="20"/>
                <w:szCs w:val="20"/>
              </w:rPr>
              <w:t>սոցիալ</w:t>
            </w:r>
            <w:r w:rsidRPr="0053423A">
              <w:rPr>
                <w:rFonts w:eastAsia="GHEAMariam-Bold" w:cs="GHEAMariam-Bold"/>
                <w:bCs/>
                <w:sz w:val="20"/>
                <w:szCs w:val="20"/>
                <w:lang w:val="af-ZA"/>
              </w:rPr>
              <w:t>-</w:t>
            </w:r>
            <w:r w:rsidRPr="0053423A">
              <w:rPr>
                <w:rFonts w:eastAsia="GHEAMariam-Bold" w:cs="GHEAMariam-Bold"/>
                <w:bCs/>
                <w:sz w:val="20"/>
                <w:szCs w:val="20"/>
              </w:rPr>
              <w:t>տնտեսական</w:t>
            </w:r>
            <w:r w:rsidRPr="0053423A">
              <w:rPr>
                <w:rFonts w:eastAsia="GHEAMariam-Bold" w:cs="GHEAMariam-Bold"/>
                <w:bCs/>
                <w:sz w:val="20"/>
                <w:szCs w:val="20"/>
                <w:lang w:val="af-ZA"/>
              </w:rPr>
              <w:t xml:space="preserve"> </w:t>
            </w:r>
            <w:r w:rsidRPr="0053423A">
              <w:rPr>
                <w:rFonts w:eastAsia="GHEAMariam-Bold" w:cs="GHEAMariam-Bold"/>
                <w:bCs/>
                <w:sz w:val="20"/>
                <w:szCs w:val="20"/>
              </w:rPr>
              <w:t>և</w:t>
            </w:r>
            <w:r w:rsidRPr="0053423A">
              <w:rPr>
                <w:rFonts w:eastAsia="GHEAMariam-Bold" w:cs="GHEAMariam-Bold"/>
                <w:bCs/>
                <w:sz w:val="20"/>
                <w:szCs w:val="20"/>
                <w:lang w:val="af-ZA"/>
              </w:rPr>
              <w:t xml:space="preserve"> </w:t>
            </w:r>
            <w:r w:rsidRPr="0053423A">
              <w:rPr>
                <w:rFonts w:eastAsia="GHEAMariam-Bold" w:cs="GHEAMariam-Bold"/>
                <w:bCs/>
                <w:sz w:val="20"/>
                <w:szCs w:val="20"/>
              </w:rPr>
              <w:t>այլ</w:t>
            </w:r>
            <w:r w:rsidRPr="0053423A">
              <w:rPr>
                <w:rFonts w:eastAsia="GHEAMariam-Bold" w:cs="GHEAMariam-Bold"/>
                <w:bCs/>
                <w:sz w:val="20"/>
                <w:szCs w:val="20"/>
                <w:lang w:val="af-ZA"/>
              </w:rPr>
              <w:t xml:space="preserve"> </w:t>
            </w:r>
            <w:r w:rsidRPr="0053423A">
              <w:rPr>
                <w:rFonts w:eastAsia="GHEAMariam-Bold" w:cs="GHEAMariam-Bold"/>
                <w:bCs/>
                <w:sz w:val="20"/>
                <w:szCs w:val="20"/>
              </w:rPr>
              <w:t>ոլորտներում</w:t>
            </w:r>
            <w:r w:rsidRPr="0053423A">
              <w:rPr>
                <w:rFonts w:eastAsia="GHEAMariam-Bold" w:cs="GHEAMariam-Bold"/>
                <w:bCs/>
                <w:sz w:val="20"/>
                <w:szCs w:val="20"/>
                <w:lang w:val="af-ZA"/>
              </w:rPr>
              <w:t xml:space="preserve"> </w:t>
            </w:r>
            <w:r w:rsidRPr="0053423A">
              <w:rPr>
                <w:rFonts w:eastAsia="GHEAMariam-Bold" w:cs="GHEAMariam-Bold"/>
                <w:bCs/>
                <w:sz w:val="20"/>
                <w:szCs w:val="20"/>
              </w:rPr>
              <w:t>վարվող</w:t>
            </w:r>
            <w:r w:rsidRPr="0053423A">
              <w:rPr>
                <w:rFonts w:eastAsia="GHEAMariam-Bold" w:cs="GHEAMariam-Bold"/>
                <w:bCs/>
                <w:sz w:val="20"/>
                <w:szCs w:val="20"/>
                <w:lang w:val="af-ZA"/>
              </w:rPr>
              <w:t xml:space="preserve"> </w:t>
            </w:r>
            <w:r w:rsidRPr="0053423A">
              <w:rPr>
                <w:rFonts w:eastAsia="GHEAMariam-Bold" w:cs="GHEAMariam-Bold"/>
                <w:bCs/>
                <w:sz w:val="20"/>
                <w:szCs w:val="20"/>
              </w:rPr>
              <w:t>քաղաքականությունների</w:t>
            </w:r>
            <w:r w:rsidRPr="0053423A">
              <w:rPr>
                <w:rFonts w:eastAsia="GHEAMariam-Bold" w:cs="GHEAMariam-Bold"/>
                <w:bCs/>
                <w:sz w:val="20"/>
                <w:szCs w:val="20"/>
                <w:lang w:val="af-ZA"/>
              </w:rPr>
              <w:t xml:space="preserve"> </w:t>
            </w:r>
            <w:r w:rsidRPr="0053423A">
              <w:rPr>
                <w:rFonts w:eastAsia="GHEAMariam-Bold" w:cs="GHEAMariam-Bold"/>
                <w:bCs/>
                <w:sz w:val="20"/>
                <w:szCs w:val="20"/>
              </w:rPr>
              <w:t>հիմնական</w:t>
            </w:r>
            <w:r w:rsidRPr="0053423A">
              <w:rPr>
                <w:rFonts w:eastAsia="GHEAMariam-Bold" w:cs="GHEAMariam-Bold"/>
                <w:bCs/>
                <w:sz w:val="20"/>
                <w:szCs w:val="20"/>
                <w:lang w:val="af-ZA"/>
              </w:rPr>
              <w:t xml:space="preserve"> </w:t>
            </w:r>
            <w:r w:rsidRPr="0053423A">
              <w:rPr>
                <w:rFonts w:eastAsia="GHEAMariam-Bold" w:cs="GHEAMariam-Bold"/>
                <w:bCs/>
                <w:sz w:val="20"/>
                <w:szCs w:val="20"/>
              </w:rPr>
              <w:t>ուղղություններին</w:t>
            </w:r>
            <w:r w:rsidRPr="0053423A">
              <w:rPr>
                <w:rFonts w:eastAsia="GHEAMariam-Bold" w:cs="GHEAMariam-Bold"/>
                <w:bCs/>
                <w:sz w:val="20"/>
                <w:szCs w:val="20"/>
                <w:lang w:val="af-ZA"/>
              </w:rPr>
              <w:t>:</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Sylfaen"/>
                <w:sz w:val="20"/>
                <w:szCs w:val="20"/>
              </w:rPr>
              <w:t>Աշխատանքի</w:t>
            </w:r>
            <w:r w:rsidRPr="0053423A">
              <w:rPr>
                <w:rFonts w:eastAsia="Calibri" w:cs="Sylfaen"/>
                <w:sz w:val="20"/>
                <w:szCs w:val="20"/>
                <w:lang w:val="af-ZA"/>
              </w:rPr>
              <w:t xml:space="preserve"> </w:t>
            </w:r>
            <w:r w:rsidRPr="0053423A">
              <w:rPr>
                <w:rFonts w:eastAsia="Calibri" w:cs="Sylfaen"/>
                <w:sz w:val="20"/>
                <w:szCs w:val="20"/>
              </w:rPr>
              <w:t>և</w:t>
            </w:r>
            <w:r w:rsidRPr="0053423A">
              <w:rPr>
                <w:rFonts w:eastAsia="Calibri" w:cs="Sylfaen"/>
                <w:sz w:val="20"/>
                <w:szCs w:val="20"/>
                <w:lang w:val="af-ZA"/>
              </w:rPr>
              <w:t xml:space="preserve"> </w:t>
            </w:r>
            <w:r w:rsidRPr="0053423A">
              <w:rPr>
                <w:rFonts w:eastAsia="Calibri" w:cs="Sylfaen"/>
                <w:sz w:val="20"/>
                <w:szCs w:val="20"/>
              </w:rPr>
              <w:t>սոցիալական</w:t>
            </w:r>
            <w:r w:rsidRPr="0053423A">
              <w:rPr>
                <w:rFonts w:eastAsia="Calibri" w:cs="Sylfaen"/>
                <w:sz w:val="20"/>
                <w:szCs w:val="20"/>
                <w:lang w:val="af-ZA"/>
              </w:rPr>
              <w:t xml:space="preserve"> </w:t>
            </w:r>
            <w:r w:rsidRPr="0053423A">
              <w:rPr>
                <w:rFonts w:eastAsia="Calibri" w:cs="Sylfaen"/>
                <w:sz w:val="20"/>
                <w:szCs w:val="20"/>
              </w:rPr>
              <w:t>պաշտպանության</w:t>
            </w:r>
            <w:r w:rsidRPr="0053423A">
              <w:rPr>
                <w:rFonts w:eastAsia="Calibri" w:cs="Sylfaen"/>
                <w:sz w:val="20"/>
                <w:szCs w:val="20"/>
                <w:lang w:val="af-ZA"/>
              </w:rPr>
              <w:t xml:space="preserve"> </w:t>
            </w:r>
            <w:r w:rsidRPr="0053423A">
              <w:rPr>
                <w:rFonts w:eastAsia="Calibri" w:cs="Sylfaen"/>
                <w:sz w:val="20"/>
                <w:szCs w:val="20"/>
              </w:rPr>
              <w:t>ոլորտի</w:t>
            </w:r>
            <w:r w:rsidRPr="0053423A">
              <w:rPr>
                <w:rFonts w:eastAsia="Calibri" w:cs="Sylfaen"/>
                <w:sz w:val="20"/>
                <w:szCs w:val="20"/>
                <w:lang w:val="af-ZA"/>
              </w:rPr>
              <w:t xml:space="preserve"> </w:t>
            </w:r>
            <w:r w:rsidRPr="0053423A">
              <w:rPr>
                <w:rFonts w:eastAsia="Calibri" w:cs="Sylfaen"/>
                <w:sz w:val="20"/>
                <w:szCs w:val="20"/>
              </w:rPr>
              <w:t>տարբեր</w:t>
            </w:r>
            <w:r w:rsidRPr="0053423A">
              <w:rPr>
                <w:rFonts w:eastAsia="Calibri" w:cs="Sylfaen"/>
                <w:sz w:val="20"/>
                <w:szCs w:val="20"/>
                <w:lang w:val="af-ZA"/>
              </w:rPr>
              <w:t xml:space="preserve"> </w:t>
            </w:r>
            <w:r w:rsidRPr="0053423A">
              <w:rPr>
                <w:rFonts w:eastAsia="Calibri" w:cs="Sylfaen"/>
                <w:sz w:val="20"/>
                <w:szCs w:val="20"/>
              </w:rPr>
              <w:t>բնագավառներում</w:t>
            </w:r>
            <w:r w:rsidRPr="0053423A">
              <w:rPr>
                <w:rFonts w:eastAsia="Calibri" w:cs="Sylfaen"/>
                <w:sz w:val="20"/>
                <w:szCs w:val="20"/>
                <w:lang w:val="af-ZA"/>
              </w:rPr>
              <w:t xml:space="preserve"> </w:t>
            </w:r>
            <w:r w:rsidRPr="0053423A">
              <w:rPr>
                <w:rFonts w:eastAsia="Calibri" w:cs="Sylfaen"/>
                <w:sz w:val="20"/>
                <w:szCs w:val="20"/>
              </w:rPr>
              <w:t>վարվող</w:t>
            </w:r>
            <w:r w:rsidRPr="0053423A">
              <w:rPr>
                <w:rFonts w:eastAsia="Calibri" w:cs="Sylfaen"/>
                <w:sz w:val="20"/>
                <w:szCs w:val="20"/>
                <w:lang w:val="af-ZA"/>
              </w:rPr>
              <w:t xml:space="preserve"> </w:t>
            </w:r>
            <w:r w:rsidRPr="0053423A">
              <w:rPr>
                <w:rFonts w:eastAsia="Calibri" w:cs="Sylfaen"/>
                <w:sz w:val="20"/>
                <w:szCs w:val="20"/>
              </w:rPr>
              <w:t>քաղաքականությունները</w:t>
            </w:r>
            <w:r w:rsidRPr="0053423A">
              <w:rPr>
                <w:rFonts w:eastAsia="Calibri" w:cs="Times New Roman"/>
                <w:sz w:val="20"/>
                <w:szCs w:val="20"/>
                <w:lang w:val="af-ZA"/>
              </w:rPr>
              <w:t xml:space="preserve"> </w:t>
            </w:r>
            <w:r w:rsidRPr="0053423A">
              <w:rPr>
                <w:rFonts w:eastAsia="Calibri" w:cs="Times New Roman"/>
                <w:sz w:val="20"/>
                <w:szCs w:val="20"/>
              </w:rPr>
              <w:t>առավել</w:t>
            </w:r>
            <w:r w:rsidRPr="0053423A">
              <w:rPr>
                <w:rFonts w:eastAsia="Calibri" w:cs="Times New Roman"/>
                <w:sz w:val="20"/>
                <w:szCs w:val="20"/>
                <w:lang w:val="af-ZA"/>
              </w:rPr>
              <w:t xml:space="preserve"> </w:t>
            </w:r>
            <w:r w:rsidRPr="0053423A">
              <w:rPr>
                <w:rFonts w:eastAsia="Calibri" w:cs="Times New Roman"/>
                <w:sz w:val="20"/>
                <w:szCs w:val="20"/>
              </w:rPr>
              <w:t>արդյունավետ</w:t>
            </w:r>
            <w:r w:rsidRPr="0053423A">
              <w:rPr>
                <w:rFonts w:eastAsia="Calibri" w:cs="Times New Roman"/>
                <w:sz w:val="20"/>
                <w:szCs w:val="20"/>
                <w:lang w:val="af-ZA"/>
              </w:rPr>
              <w:t xml:space="preserve"> </w:t>
            </w:r>
            <w:r w:rsidRPr="0053423A">
              <w:rPr>
                <w:rFonts w:eastAsia="Calibri" w:cs="Times New Roman"/>
                <w:sz w:val="20"/>
                <w:szCs w:val="20"/>
              </w:rPr>
              <w:t>իրականացնելու</w:t>
            </w:r>
            <w:r w:rsidRPr="0053423A">
              <w:rPr>
                <w:rFonts w:eastAsia="Calibri" w:cs="Times New Roman"/>
                <w:sz w:val="20"/>
                <w:szCs w:val="20"/>
                <w:lang w:val="af-ZA"/>
              </w:rPr>
              <w:t xml:space="preserve"> </w:t>
            </w:r>
            <w:r w:rsidRPr="0053423A">
              <w:rPr>
                <w:rFonts w:eastAsia="Calibri" w:cs="Times New Roman"/>
                <w:sz w:val="20"/>
                <w:szCs w:val="20"/>
              </w:rPr>
              <w:t>նպատակով</w:t>
            </w:r>
            <w:r w:rsidRPr="0053423A">
              <w:rPr>
                <w:rFonts w:eastAsia="Calibri" w:cs="Times New Roman"/>
                <w:sz w:val="20"/>
                <w:szCs w:val="20"/>
                <w:lang w:val="af-ZA"/>
              </w:rPr>
              <w:t xml:space="preserve"> </w:t>
            </w:r>
            <w:r w:rsidRPr="0053423A">
              <w:rPr>
                <w:rFonts w:eastAsia="Calibri" w:cs="Times New Roman"/>
                <w:sz w:val="20"/>
                <w:szCs w:val="20"/>
              </w:rPr>
              <w:t>անհրաժեշտ</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նաև</w:t>
            </w:r>
            <w:r w:rsidRPr="0053423A">
              <w:rPr>
                <w:rFonts w:eastAsia="Calibri" w:cs="Times New Roman"/>
                <w:sz w:val="20"/>
                <w:szCs w:val="20"/>
                <w:lang w:val="af-ZA"/>
              </w:rPr>
              <w:t xml:space="preserve"> </w:t>
            </w:r>
            <w:r w:rsidRPr="0053423A">
              <w:rPr>
                <w:rFonts w:eastAsia="Calibri" w:cs="Times New Roman"/>
                <w:sz w:val="20"/>
                <w:szCs w:val="20"/>
              </w:rPr>
              <w:t>ապահովել</w:t>
            </w:r>
            <w:r w:rsidRPr="0053423A">
              <w:rPr>
                <w:rFonts w:eastAsia="Calibri" w:cs="Times New Roman"/>
                <w:sz w:val="20"/>
                <w:szCs w:val="20"/>
                <w:lang w:val="af-ZA"/>
              </w:rPr>
              <w:t xml:space="preserve"> </w:t>
            </w:r>
            <w:r w:rsidRPr="0053423A">
              <w:rPr>
                <w:rFonts w:eastAsia="Calibri" w:cs="Times New Roman"/>
                <w:sz w:val="20"/>
                <w:szCs w:val="20"/>
              </w:rPr>
              <w:t>դրանց</w:t>
            </w:r>
            <w:r w:rsidRPr="0053423A">
              <w:rPr>
                <w:rFonts w:eastAsia="Calibri" w:cs="Times New Roman"/>
                <w:sz w:val="20"/>
                <w:szCs w:val="20"/>
                <w:lang w:val="af-ZA"/>
              </w:rPr>
              <w:t xml:space="preserve"> </w:t>
            </w:r>
            <w:r w:rsidRPr="0053423A">
              <w:rPr>
                <w:rFonts w:eastAsia="Calibri" w:cs="Times New Roman"/>
                <w:sz w:val="20"/>
                <w:szCs w:val="20"/>
              </w:rPr>
              <w:t>փոխկապակցվածությունը՝</w:t>
            </w:r>
            <w:r w:rsidRPr="0053423A">
              <w:rPr>
                <w:rFonts w:eastAsia="Calibri" w:cs="Times New Roman"/>
                <w:sz w:val="20"/>
                <w:szCs w:val="20"/>
                <w:lang w:val="af-ZA"/>
              </w:rPr>
              <w:t xml:space="preserve"> </w:t>
            </w:r>
            <w:r w:rsidRPr="0053423A">
              <w:rPr>
                <w:rFonts w:eastAsia="Calibri" w:cs="Times New Roman"/>
                <w:sz w:val="20"/>
                <w:szCs w:val="20"/>
              </w:rPr>
              <w:t>բացառելով</w:t>
            </w:r>
            <w:r w:rsidRPr="0053423A">
              <w:rPr>
                <w:rFonts w:eastAsia="Calibri" w:cs="Times New Roman"/>
                <w:sz w:val="20"/>
                <w:szCs w:val="20"/>
                <w:lang w:val="af-ZA"/>
              </w:rPr>
              <w:t xml:space="preserve"> </w:t>
            </w:r>
            <w:r w:rsidRPr="0053423A">
              <w:rPr>
                <w:rFonts w:eastAsia="Calibri" w:cs="Times New Roman"/>
                <w:sz w:val="20"/>
                <w:szCs w:val="20"/>
              </w:rPr>
              <w:t>տրամադրվող</w:t>
            </w:r>
            <w:r w:rsidRPr="0053423A">
              <w:rPr>
                <w:rFonts w:eastAsia="Calibri" w:cs="Times New Roman"/>
                <w:sz w:val="20"/>
                <w:szCs w:val="20"/>
                <w:lang w:val="af-ZA"/>
              </w:rPr>
              <w:t xml:space="preserve"> </w:t>
            </w:r>
            <w:r w:rsidRPr="0053423A">
              <w:rPr>
                <w:rFonts w:eastAsia="Calibri" w:cs="Times New Roman"/>
                <w:sz w:val="20"/>
                <w:szCs w:val="20"/>
              </w:rPr>
              <w:t>ծառայությունների</w:t>
            </w:r>
            <w:r w:rsidRPr="0053423A">
              <w:rPr>
                <w:rFonts w:eastAsia="Calibri" w:cs="Times New Roman"/>
                <w:sz w:val="20"/>
                <w:szCs w:val="20"/>
                <w:lang w:val="af-ZA"/>
              </w:rPr>
              <w:t xml:space="preserve"> </w:t>
            </w:r>
            <w:r w:rsidRPr="0053423A">
              <w:rPr>
                <w:rFonts w:eastAsia="Calibri" w:cs="Times New Roman"/>
                <w:sz w:val="20"/>
                <w:szCs w:val="20"/>
              </w:rPr>
              <w:t>կրկնությունները</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ապահովելով</w:t>
            </w:r>
            <w:r w:rsidRPr="0053423A">
              <w:rPr>
                <w:rFonts w:eastAsia="Calibri" w:cs="Times New Roman"/>
                <w:sz w:val="20"/>
                <w:szCs w:val="20"/>
                <w:lang w:val="af-ZA"/>
              </w:rPr>
              <w:t xml:space="preserve"> </w:t>
            </w:r>
            <w:r w:rsidRPr="0053423A">
              <w:rPr>
                <w:rFonts w:eastAsia="Calibri" w:cs="Times New Roman"/>
                <w:sz w:val="20"/>
                <w:szCs w:val="20"/>
              </w:rPr>
              <w:t>դրանց</w:t>
            </w:r>
            <w:r w:rsidRPr="0053423A">
              <w:rPr>
                <w:rFonts w:eastAsia="Calibri" w:cs="Times New Roman"/>
                <w:sz w:val="20"/>
                <w:szCs w:val="20"/>
                <w:lang w:val="af-ZA"/>
              </w:rPr>
              <w:t xml:space="preserve"> </w:t>
            </w:r>
            <w:r w:rsidRPr="0053423A">
              <w:rPr>
                <w:rFonts w:eastAsia="Calibri" w:cs="Times New Roman"/>
                <w:sz w:val="20"/>
                <w:szCs w:val="20"/>
              </w:rPr>
              <w:t>առավել</w:t>
            </w:r>
            <w:r w:rsidRPr="0053423A">
              <w:rPr>
                <w:rFonts w:eastAsia="Calibri" w:cs="Times New Roman"/>
                <w:sz w:val="20"/>
                <w:szCs w:val="20"/>
                <w:lang w:val="af-ZA"/>
              </w:rPr>
              <w:t xml:space="preserve"> </w:t>
            </w:r>
            <w:r w:rsidRPr="0053423A">
              <w:rPr>
                <w:rFonts w:eastAsia="Calibri" w:cs="Times New Roman"/>
                <w:sz w:val="20"/>
                <w:szCs w:val="20"/>
              </w:rPr>
              <w:t>հասցեականությունն</w:t>
            </w:r>
            <w:r w:rsidRPr="0053423A">
              <w:rPr>
                <w:rFonts w:eastAsia="Calibri" w:cs="Times New Roman"/>
                <w:sz w:val="20"/>
                <w:szCs w:val="20"/>
                <w:lang w:val="af-ZA"/>
              </w:rPr>
              <w:t xml:space="preserve"> </w:t>
            </w:r>
            <w:r w:rsidRPr="0053423A">
              <w:rPr>
                <w:rFonts w:eastAsia="Calibri" w:cs="Times New Roman"/>
                <w:sz w:val="20"/>
                <w:szCs w:val="20"/>
              </w:rPr>
              <w:t>ու</w:t>
            </w:r>
            <w:r w:rsidRPr="0053423A">
              <w:rPr>
                <w:rFonts w:eastAsia="Calibri" w:cs="Times New Roman"/>
                <w:sz w:val="20"/>
                <w:szCs w:val="20"/>
                <w:lang w:val="af-ZA"/>
              </w:rPr>
              <w:t xml:space="preserve"> </w:t>
            </w:r>
            <w:r w:rsidRPr="0053423A">
              <w:rPr>
                <w:rFonts w:eastAsia="Calibri" w:cs="Times New Roman"/>
                <w:sz w:val="20"/>
                <w:szCs w:val="20"/>
              </w:rPr>
              <w:t>որակը</w:t>
            </w:r>
            <w:r w:rsidRPr="0053423A">
              <w:rPr>
                <w:rFonts w:eastAsia="Calibri" w:cs="Times New Roman"/>
                <w:sz w:val="20"/>
                <w:szCs w:val="20"/>
                <w:lang w:val="af-ZA"/>
              </w:rPr>
              <w:t>:</w:t>
            </w:r>
          </w:p>
          <w:p w:rsidR="00514E01" w:rsidRPr="0053423A" w:rsidRDefault="00514E01" w:rsidP="00A67858">
            <w:pPr>
              <w:spacing w:line="276" w:lineRule="auto"/>
              <w:jc w:val="both"/>
              <w:rPr>
                <w:rFonts w:eastAsia="GHEAMariam" w:cs="GHEAMariam"/>
                <w:b/>
                <w:bCs/>
                <w:sz w:val="20"/>
                <w:szCs w:val="20"/>
                <w:lang w:val="af-ZA" w:eastAsia="ru-RU"/>
              </w:rPr>
            </w:pPr>
            <w:r w:rsidRPr="0053423A">
              <w:rPr>
                <w:rFonts w:eastAsia="GHEAMariam" w:cs="GHEAMariam"/>
                <w:b/>
                <w:bCs/>
                <w:sz w:val="20"/>
                <w:szCs w:val="20"/>
                <w:lang w:val="af-ZA" w:eastAsia="ru-RU"/>
              </w:rPr>
              <w:t>1.2.</w:t>
            </w:r>
            <w:r w:rsidRPr="0053423A">
              <w:rPr>
                <w:rFonts w:eastAsia="GHEAMariam" w:cs="GHEAMariam"/>
                <w:b/>
                <w:bCs/>
                <w:sz w:val="20"/>
                <w:szCs w:val="20"/>
                <w:lang w:val="af-ZA" w:eastAsia="ru-RU"/>
              </w:rPr>
              <w:tab/>
              <w:t>Առկա խնդիրների առաջարկվող լուծումները</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Sylfaen"/>
                <w:sz w:val="20"/>
                <w:szCs w:val="20"/>
              </w:rPr>
              <w:t>Ռազմավարությամբ</w:t>
            </w:r>
            <w:r w:rsidRPr="0053423A">
              <w:rPr>
                <w:rFonts w:eastAsia="Calibri" w:cs="Sylfaen"/>
                <w:sz w:val="20"/>
                <w:szCs w:val="20"/>
                <w:lang w:val="af-ZA"/>
              </w:rPr>
              <w:t xml:space="preserve"> </w:t>
            </w:r>
            <w:r w:rsidRPr="0053423A">
              <w:rPr>
                <w:rFonts w:eastAsia="Calibri" w:cs="Sylfaen"/>
                <w:sz w:val="20"/>
                <w:szCs w:val="20"/>
              </w:rPr>
              <w:t>կամարագրվեն</w:t>
            </w:r>
            <w:r w:rsidRPr="0053423A">
              <w:rPr>
                <w:rFonts w:eastAsia="Calibri" w:cs="Sylfaen"/>
                <w:sz w:val="20"/>
                <w:szCs w:val="20"/>
                <w:lang w:val="af-ZA"/>
              </w:rPr>
              <w:t xml:space="preserve"> </w:t>
            </w:r>
            <w:r w:rsidRPr="0053423A">
              <w:rPr>
                <w:rFonts w:eastAsia="Calibri" w:cs="Sylfaen"/>
                <w:sz w:val="20"/>
                <w:szCs w:val="20"/>
              </w:rPr>
              <w:t>առաջիկա</w:t>
            </w:r>
            <w:r w:rsidRPr="0053423A">
              <w:rPr>
                <w:rFonts w:eastAsia="Calibri" w:cs="Sylfaen"/>
                <w:sz w:val="20"/>
                <w:szCs w:val="20"/>
                <w:lang w:val="af-ZA"/>
              </w:rPr>
              <w:t xml:space="preserve"> 5 </w:t>
            </w:r>
            <w:r w:rsidRPr="0053423A">
              <w:rPr>
                <w:rFonts w:eastAsia="Calibri" w:cs="Sylfaen"/>
                <w:sz w:val="20"/>
                <w:szCs w:val="20"/>
              </w:rPr>
              <w:t>տարիների</w:t>
            </w:r>
            <w:r w:rsidRPr="0053423A">
              <w:rPr>
                <w:rFonts w:eastAsia="Calibri" w:cs="Sylfaen"/>
                <w:sz w:val="20"/>
                <w:szCs w:val="20"/>
                <w:lang w:val="af-ZA"/>
              </w:rPr>
              <w:t xml:space="preserve"> </w:t>
            </w:r>
            <w:r w:rsidRPr="0053423A">
              <w:rPr>
                <w:rFonts w:eastAsia="Calibri" w:cs="Sylfaen"/>
                <w:sz w:val="20"/>
                <w:szCs w:val="20"/>
              </w:rPr>
              <w:t>սոցիալական</w:t>
            </w:r>
            <w:r w:rsidRPr="0053423A">
              <w:rPr>
                <w:rFonts w:eastAsia="Calibri" w:cs="Sylfaen"/>
                <w:sz w:val="20"/>
                <w:szCs w:val="20"/>
                <w:lang w:val="af-ZA"/>
              </w:rPr>
              <w:t xml:space="preserve"> </w:t>
            </w:r>
            <w:r w:rsidRPr="0053423A">
              <w:rPr>
                <w:rFonts w:eastAsia="Calibri" w:cs="Sylfaen"/>
                <w:sz w:val="20"/>
                <w:szCs w:val="20"/>
              </w:rPr>
              <w:t>պաշտպանության</w:t>
            </w:r>
            <w:r w:rsidRPr="0053423A">
              <w:rPr>
                <w:rFonts w:eastAsia="Calibri" w:cs="Sylfaen"/>
                <w:sz w:val="20"/>
                <w:szCs w:val="20"/>
                <w:lang w:val="af-ZA"/>
              </w:rPr>
              <w:t xml:space="preserve"> </w:t>
            </w:r>
            <w:r w:rsidRPr="0053423A">
              <w:rPr>
                <w:rFonts w:eastAsia="Calibri" w:cs="Sylfaen"/>
                <w:sz w:val="20"/>
                <w:szCs w:val="20"/>
              </w:rPr>
              <w:t>ոլորտի</w:t>
            </w:r>
            <w:r w:rsidRPr="0053423A">
              <w:rPr>
                <w:rFonts w:eastAsia="Calibri" w:cs="Times New Roman"/>
                <w:sz w:val="20"/>
                <w:szCs w:val="20"/>
                <w:lang w:val="af-ZA"/>
              </w:rPr>
              <w:t xml:space="preserve"> </w:t>
            </w:r>
            <w:r w:rsidRPr="0053423A">
              <w:rPr>
                <w:rFonts w:eastAsia="Calibri" w:cs="Sylfaen"/>
                <w:sz w:val="20"/>
                <w:szCs w:val="20"/>
              </w:rPr>
              <w:t>զարգացման</w:t>
            </w:r>
            <w:r w:rsidRPr="0053423A">
              <w:rPr>
                <w:rFonts w:eastAsia="Calibri" w:cs="Times New Roman"/>
                <w:sz w:val="20"/>
                <w:szCs w:val="20"/>
                <w:lang w:val="af-ZA"/>
              </w:rPr>
              <w:t xml:space="preserve"> </w:t>
            </w:r>
            <w:r w:rsidRPr="0053423A">
              <w:rPr>
                <w:rFonts w:eastAsia="Calibri" w:cs="Times New Roman"/>
                <w:sz w:val="20"/>
                <w:szCs w:val="20"/>
              </w:rPr>
              <w:t>հիմնական</w:t>
            </w:r>
            <w:r w:rsidRPr="0053423A">
              <w:rPr>
                <w:rFonts w:eastAsia="Calibri" w:cs="Times New Roman"/>
                <w:sz w:val="20"/>
                <w:szCs w:val="20"/>
                <w:lang w:val="af-ZA"/>
              </w:rPr>
              <w:t xml:space="preserve"> </w:t>
            </w:r>
            <w:r w:rsidRPr="0053423A">
              <w:rPr>
                <w:rFonts w:eastAsia="Calibri" w:cs="Sylfaen"/>
                <w:sz w:val="20"/>
                <w:szCs w:val="20"/>
              </w:rPr>
              <w:t>գերակայությունները</w:t>
            </w:r>
            <w:r w:rsidRPr="0053423A">
              <w:rPr>
                <w:rFonts w:eastAsia="Calibri" w:cs="Sylfaen"/>
                <w:sz w:val="20"/>
                <w:szCs w:val="20"/>
                <w:lang w:val="af-ZA"/>
              </w:rPr>
              <w:t xml:space="preserve">/ </w:t>
            </w:r>
            <w:r w:rsidRPr="0053423A">
              <w:rPr>
                <w:rFonts w:eastAsia="Calibri" w:cs="Sylfaen"/>
                <w:sz w:val="20"/>
                <w:szCs w:val="20"/>
              </w:rPr>
              <w:t>առաջնահերթությունները</w:t>
            </w:r>
            <w:r w:rsidRPr="0053423A">
              <w:rPr>
                <w:rFonts w:eastAsia="Calibri" w:cs="Times New Roman"/>
                <w:sz w:val="20"/>
                <w:szCs w:val="20"/>
                <w:lang w:val="af-ZA"/>
              </w:rPr>
              <w:t xml:space="preserve">, </w:t>
            </w:r>
            <w:r w:rsidRPr="0053423A">
              <w:rPr>
                <w:rFonts w:eastAsia="Calibri" w:cs="Sylfaen"/>
                <w:sz w:val="20"/>
                <w:szCs w:val="20"/>
              </w:rPr>
              <w:t>նպատակները</w:t>
            </w:r>
            <w:r w:rsidRPr="0053423A">
              <w:rPr>
                <w:rFonts w:eastAsia="Calibri" w:cs="Times New Roman"/>
                <w:sz w:val="20"/>
                <w:szCs w:val="20"/>
                <w:lang w:val="af-ZA"/>
              </w:rPr>
              <w:t xml:space="preserve">, </w:t>
            </w:r>
            <w:r w:rsidRPr="0053423A">
              <w:rPr>
                <w:rFonts w:eastAsia="Calibri" w:cs="Sylfaen"/>
                <w:sz w:val="20"/>
                <w:szCs w:val="20"/>
              </w:rPr>
              <w:t>դրանց</w:t>
            </w:r>
            <w:r w:rsidRPr="0053423A">
              <w:rPr>
                <w:rFonts w:eastAsia="Calibri" w:cs="Times New Roman"/>
                <w:sz w:val="20"/>
                <w:szCs w:val="20"/>
                <w:lang w:val="af-ZA"/>
              </w:rPr>
              <w:t xml:space="preserve"> </w:t>
            </w:r>
            <w:r w:rsidRPr="0053423A">
              <w:rPr>
                <w:rFonts w:eastAsia="Calibri" w:cs="Sylfaen"/>
                <w:sz w:val="20"/>
                <w:szCs w:val="20"/>
              </w:rPr>
              <w:t>հասնելու</w:t>
            </w:r>
            <w:r w:rsidRPr="0053423A">
              <w:rPr>
                <w:rFonts w:eastAsia="Calibri" w:cs="Times New Roman"/>
                <w:sz w:val="20"/>
                <w:szCs w:val="20"/>
                <w:lang w:val="af-ZA"/>
              </w:rPr>
              <w:t xml:space="preserve"> </w:t>
            </w:r>
            <w:r w:rsidRPr="0053423A">
              <w:rPr>
                <w:rFonts w:eastAsia="Calibri" w:cs="Sylfaen"/>
                <w:sz w:val="20"/>
                <w:szCs w:val="20"/>
              </w:rPr>
              <w:t>համար</w:t>
            </w:r>
            <w:r w:rsidRPr="0053423A">
              <w:rPr>
                <w:rFonts w:eastAsia="Calibri" w:cs="Times New Roman"/>
                <w:sz w:val="20"/>
                <w:szCs w:val="20"/>
                <w:lang w:val="af-ZA"/>
              </w:rPr>
              <w:t xml:space="preserve"> </w:t>
            </w:r>
            <w:r w:rsidRPr="0053423A">
              <w:rPr>
                <w:rFonts w:eastAsia="Calibri" w:cs="Sylfaen"/>
                <w:sz w:val="20"/>
                <w:szCs w:val="20"/>
              </w:rPr>
              <w:t>անհրաժեշտ</w:t>
            </w:r>
            <w:r w:rsidRPr="0053423A">
              <w:rPr>
                <w:rFonts w:eastAsia="Calibri" w:cs="Times New Roman"/>
                <w:sz w:val="20"/>
                <w:szCs w:val="20"/>
                <w:lang w:val="af-ZA"/>
              </w:rPr>
              <w:t xml:space="preserve"> </w:t>
            </w:r>
            <w:r w:rsidRPr="0053423A">
              <w:rPr>
                <w:rFonts w:eastAsia="Calibri" w:cs="Sylfaen"/>
                <w:sz w:val="20"/>
                <w:szCs w:val="20"/>
              </w:rPr>
              <w:t>առանցքային</w:t>
            </w:r>
            <w:r w:rsidRPr="0053423A">
              <w:rPr>
                <w:rFonts w:eastAsia="Calibri" w:cs="Times New Roman"/>
                <w:sz w:val="20"/>
                <w:szCs w:val="20"/>
                <w:lang w:val="af-ZA"/>
              </w:rPr>
              <w:t xml:space="preserve"> </w:t>
            </w:r>
            <w:r w:rsidRPr="0053423A">
              <w:rPr>
                <w:rFonts w:eastAsia="Calibri" w:cs="Sylfaen"/>
                <w:sz w:val="20"/>
                <w:szCs w:val="20"/>
              </w:rPr>
              <w:t>բարեփոխումներն</w:t>
            </w:r>
            <w:r w:rsidRPr="0053423A">
              <w:rPr>
                <w:rFonts w:eastAsia="Calibri" w:cs="Times New Roman"/>
                <w:sz w:val="20"/>
                <w:szCs w:val="20"/>
                <w:lang w:val="af-ZA"/>
              </w:rPr>
              <w:t xml:space="preserve"> </w:t>
            </w:r>
            <w:r w:rsidRPr="0053423A">
              <w:rPr>
                <w:rFonts w:eastAsia="Calibri" w:cs="Sylfaen"/>
                <w:sz w:val="20"/>
                <w:szCs w:val="20"/>
              </w:rPr>
              <w:t>ու</w:t>
            </w:r>
            <w:r w:rsidRPr="0053423A">
              <w:rPr>
                <w:rFonts w:eastAsia="Calibri" w:cs="Times New Roman"/>
                <w:sz w:val="20"/>
                <w:szCs w:val="20"/>
                <w:lang w:val="af-ZA"/>
              </w:rPr>
              <w:t xml:space="preserve"> </w:t>
            </w:r>
            <w:r w:rsidRPr="0053423A">
              <w:rPr>
                <w:rFonts w:eastAsia="Calibri" w:cs="Sylfaen"/>
                <w:sz w:val="20"/>
                <w:szCs w:val="20"/>
              </w:rPr>
              <w:t>քաղաքականության</w:t>
            </w:r>
            <w:r w:rsidRPr="0053423A">
              <w:rPr>
                <w:rFonts w:eastAsia="Calibri" w:cs="Times New Roman"/>
                <w:sz w:val="20"/>
                <w:szCs w:val="20"/>
                <w:lang w:val="af-ZA"/>
              </w:rPr>
              <w:t xml:space="preserve"> </w:t>
            </w:r>
            <w:r w:rsidRPr="0053423A">
              <w:rPr>
                <w:rFonts w:eastAsia="Calibri" w:cs="Sylfaen"/>
                <w:sz w:val="20"/>
                <w:szCs w:val="20"/>
              </w:rPr>
              <w:t>գործիքները</w:t>
            </w:r>
            <w:r w:rsidRPr="0053423A">
              <w:rPr>
                <w:rFonts w:eastAsia="Calibri" w:cs="Times New Roman"/>
                <w:sz w:val="20"/>
                <w:szCs w:val="20"/>
                <w:lang w:val="af-ZA"/>
              </w:rPr>
              <w:t xml:space="preserve">, </w:t>
            </w:r>
            <w:r w:rsidRPr="0053423A">
              <w:rPr>
                <w:rFonts w:eastAsia="Calibri" w:cs="Sylfaen"/>
                <w:sz w:val="20"/>
                <w:szCs w:val="20"/>
              </w:rPr>
              <w:t>ինչպես</w:t>
            </w:r>
            <w:r w:rsidRPr="0053423A">
              <w:rPr>
                <w:rFonts w:eastAsia="Calibri" w:cs="Times New Roman"/>
                <w:sz w:val="20"/>
                <w:szCs w:val="20"/>
                <w:lang w:val="af-ZA"/>
              </w:rPr>
              <w:t xml:space="preserve"> </w:t>
            </w:r>
            <w:r w:rsidRPr="0053423A">
              <w:rPr>
                <w:rFonts w:eastAsia="Calibri" w:cs="Sylfaen"/>
                <w:sz w:val="20"/>
                <w:szCs w:val="20"/>
              </w:rPr>
              <w:t>նաև</w:t>
            </w:r>
            <w:r w:rsidRPr="0053423A">
              <w:rPr>
                <w:rFonts w:eastAsia="Calibri" w:cs="Times New Roman"/>
                <w:sz w:val="20"/>
                <w:szCs w:val="20"/>
                <w:lang w:val="af-ZA"/>
              </w:rPr>
              <w:t xml:space="preserve"> </w:t>
            </w:r>
            <w:r w:rsidRPr="0053423A">
              <w:rPr>
                <w:rFonts w:eastAsia="Calibri" w:cs="Sylfaen"/>
                <w:sz w:val="20"/>
                <w:szCs w:val="20"/>
              </w:rPr>
              <w:t>առկա</w:t>
            </w:r>
            <w:r w:rsidRPr="0053423A">
              <w:rPr>
                <w:rFonts w:eastAsia="Calibri" w:cs="Times New Roman"/>
                <w:sz w:val="20"/>
                <w:szCs w:val="20"/>
                <w:lang w:val="af-ZA"/>
              </w:rPr>
              <w:t xml:space="preserve"> </w:t>
            </w:r>
            <w:r w:rsidRPr="0053423A">
              <w:rPr>
                <w:rFonts w:eastAsia="Calibri" w:cs="Sylfaen"/>
                <w:sz w:val="20"/>
                <w:szCs w:val="20"/>
              </w:rPr>
              <w:t>խոչընդոտները</w:t>
            </w:r>
            <w:r w:rsidRPr="0053423A">
              <w:rPr>
                <w:rFonts w:eastAsia="Calibri" w:cs="Times New Roman"/>
                <w:sz w:val="20"/>
                <w:szCs w:val="20"/>
                <w:lang w:val="af-ZA"/>
              </w:rPr>
              <w:t xml:space="preserve"> </w:t>
            </w:r>
            <w:r w:rsidRPr="0053423A">
              <w:rPr>
                <w:rFonts w:eastAsia="Calibri" w:cs="Sylfaen"/>
                <w:sz w:val="20"/>
                <w:szCs w:val="20"/>
              </w:rPr>
              <w:t>և</w:t>
            </w:r>
            <w:r w:rsidRPr="0053423A">
              <w:rPr>
                <w:rFonts w:eastAsia="Calibri" w:cs="Times New Roman"/>
                <w:sz w:val="20"/>
                <w:szCs w:val="20"/>
                <w:lang w:val="af-ZA"/>
              </w:rPr>
              <w:t xml:space="preserve"> </w:t>
            </w:r>
            <w:r w:rsidRPr="0053423A">
              <w:rPr>
                <w:rFonts w:eastAsia="Calibri" w:cs="Sylfaen"/>
                <w:sz w:val="20"/>
                <w:szCs w:val="20"/>
              </w:rPr>
              <w:t>հիմնական</w:t>
            </w:r>
            <w:r w:rsidRPr="0053423A">
              <w:rPr>
                <w:rFonts w:eastAsia="Calibri" w:cs="Times New Roman"/>
                <w:sz w:val="20"/>
                <w:szCs w:val="20"/>
                <w:lang w:val="af-ZA"/>
              </w:rPr>
              <w:t xml:space="preserve"> </w:t>
            </w:r>
            <w:r w:rsidRPr="0053423A">
              <w:rPr>
                <w:rFonts w:eastAsia="Calibri" w:cs="Sylfaen"/>
                <w:sz w:val="20"/>
                <w:szCs w:val="20"/>
              </w:rPr>
              <w:t>ռիսկերը</w:t>
            </w:r>
            <w:r w:rsidRPr="0053423A">
              <w:rPr>
                <w:rFonts w:eastAsia="Calibri" w:cs="Times New Roman"/>
                <w:sz w:val="20"/>
                <w:szCs w:val="20"/>
                <w:lang w:val="af-ZA"/>
              </w:rPr>
              <w:t xml:space="preserve">: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Sylfaen"/>
                <w:sz w:val="20"/>
                <w:szCs w:val="20"/>
              </w:rPr>
              <w:t>Ռազմավարությունը</w:t>
            </w:r>
            <w:r w:rsidRPr="0053423A">
              <w:rPr>
                <w:rFonts w:eastAsia="Calibri" w:cs="Sylfaen"/>
                <w:sz w:val="20"/>
                <w:szCs w:val="20"/>
                <w:lang w:val="af-ZA"/>
              </w:rPr>
              <w:t xml:space="preserve"> </w:t>
            </w:r>
            <w:r w:rsidRPr="0053423A">
              <w:rPr>
                <w:rFonts w:eastAsia="Calibri" w:cs="Sylfaen"/>
                <w:sz w:val="20"/>
                <w:szCs w:val="20"/>
              </w:rPr>
              <w:t>սոցիալական</w:t>
            </w:r>
            <w:r w:rsidRPr="0053423A">
              <w:rPr>
                <w:rFonts w:eastAsia="Calibri" w:cs="Sylfaen"/>
                <w:sz w:val="20"/>
                <w:szCs w:val="20"/>
                <w:lang w:val="af-ZA"/>
              </w:rPr>
              <w:t xml:space="preserve"> </w:t>
            </w:r>
            <w:r w:rsidRPr="0053423A">
              <w:rPr>
                <w:rFonts w:eastAsia="Calibri" w:cs="Sylfaen"/>
                <w:sz w:val="20"/>
                <w:szCs w:val="20"/>
              </w:rPr>
              <w:t>պաշտպանության</w:t>
            </w:r>
            <w:r w:rsidRPr="0053423A">
              <w:rPr>
                <w:rFonts w:eastAsia="Calibri" w:cs="Times New Roman"/>
                <w:sz w:val="20"/>
                <w:szCs w:val="20"/>
                <w:lang w:val="af-ZA"/>
              </w:rPr>
              <w:t xml:space="preserve"> </w:t>
            </w:r>
            <w:r w:rsidRPr="0053423A">
              <w:rPr>
                <w:rFonts w:eastAsia="Calibri" w:cs="Sylfaen"/>
                <w:sz w:val="20"/>
                <w:szCs w:val="20"/>
              </w:rPr>
              <w:t>առանձին</w:t>
            </w:r>
            <w:r w:rsidRPr="0053423A">
              <w:rPr>
                <w:rFonts w:eastAsia="Calibri" w:cs="Times New Roman"/>
                <w:sz w:val="20"/>
                <w:szCs w:val="20"/>
                <w:lang w:val="af-ZA"/>
              </w:rPr>
              <w:t xml:space="preserve"> </w:t>
            </w:r>
            <w:r w:rsidRPr="0053423A">
              <w:rPr>
                <w:rFonts w:eastAsia="Calibri" w:cs="Sylfaen"/>
                <w:sz w:val="20"/>
                <w:szCs w:val="20"/>
              </w:rPr>
              <w:t>բնագավառներին</w:t>
            </w:r>
            <w:r w:rsidRPr="0053423A">
              <w:rPr>
                <w:rFonts w:eastAsia="Calibri" w:cs="Times New Roman"/>
                <w:sz w:val="20"/>
                <w:szCs w:val="20"/>
                <w:lang w:val="af-ZA"/>
              </w:rPr>
              <w:t xml:space="preserve"> </w:t>
            </w:r>
            <w:r w:rsidRPr="0053423A">
              <w:rPr>
                <w:rFonts w:eastAsia="Calibri" w:cs="Sylfaen"/>
                <w:sz w:val="20"/>
                <w:szCs w:val="20"/>
              </w:rPr>
              <w:t>առնչվող</w:t>
            </w:r>
            <w:r w:rsidRPr="0053423A">
              <w:rPr>
                <w:rFonts w:eastAsia="Calibri" w:cs="Times New Roman"/>
                <w:sz w:val="20"/>
                <w:szCs w:val="20"/>
                <w:lang w:val="af-ZA"/>
              </w:rPr>
              <w:t xml:space="preserve"> </w:t>
            </w:r>
            <w:r w:rsidRPr="0053423A">
              <w:rPr>
                <w:rFonts w:eastAsia="Calibri" w:cs="Sylfaen"/>
                <w:sz w:val="20"/>
                <w:szCs w:val="20"/>
              </w:rPr>
              <w:t>մանրամասներ</w:t>
            </w:r>
            <w:r w:rsidRPr="0053423A">
              <w:rPr>
                <w:rFonts w:eastAsia="Calibri" w:cs="Times New Roman"/>
                <w:sz w:val="20"/>
                <w:szCs w:val="20"/>
                <w:lang w:val="af-ZA"/>
              </w:rPr>
              <w:t xml:space="preserve"> </w:t>
            </w:r>
            <w:r w:rsidRPr="0053423A">
              <w:rPr>
                <w:rFonts w:eastAsia="Calibri" w:cs="Sylfaen"/>
                <w:sz w:val="20"/>
                <w:szCs w:val="20"/>
              </w:rPr>
              <w:t>չի</w:t>
            </w:r>
            <w:r w:rsidRPr="0053423A">
              <w:rPr>
                <w:rFonts w:eastAsia="Calibri" w:cs="Times New Roman"/>
                <w:sz w:val="20"/>
                <w:szCs w:val="20"/>
                <w:lang w:val="af-ZA"/>
              </w:rPr>
              <w:t xml:space="preserve"> </w:t>
            </w:r>
            <w:r w:rsidRPr="0053423A">
              <w:rPr>
                <w:rFonts w:eastAsia="Calibri" w:cs="Sylfaen"/>
                <w:sz w:val="20"/>
                <w:szCs w:val="20"/>
              </w:rPr>
              <w:t>ներառի</w:t>
            </w:r>
            <w:r w:rsidRPr="0053423A">
              <w:rPr>
                <w:rFonts w:eastAsia="Calibri" w:cs="Times New Roman"/>
                <w:sz w:val="20"/>
                <w:szCs w:val="20"/>
                <w:lang w:val="af-ZA"/>
              </w:rPr>
              <w:t xml:space="preserve">, </w:t>
            </w:r>
            <w:r w:rsidRPr="0053423A">
              <w:rPr>
                <w:rFonts w:eastAsia="Calibri" w:cs="Sylfaen"/>
                <w:sz w:val="20"/>
                <w:szCs w:val="20"/>
              </w:rPr>
              <w:t>սակայն</w:t>
            </w:r>
            <w:r w:rsidRPr="0053423A">
              <w:rPr>
                <w:rFonts w:eastAsia="Calibri" w:cs="Times New Roman"/>
                <w:sz w:val="20"/>
                <w:szCs w:val="20"/>
                <w:lang w:val="af-ZA"/>
              </w:rPr>
              <w:t xml:space="preserve"> </w:t>
            </w:r>
            <w:r w:rsidRPr="0053423A">
              <w:rPr>
                <w:rFonts w:eastAsia="Calibri" w:cs="Sylfaen"/>
                <w:sz w:val="20"/>
                <w:szCs w:val="20"/>
              </w:rPr>
              <w:t>ապահովելու</w:t>
            </w:r>
            <w:r w:rsidRPr="0053423A">
              <w:rPr>
                <w:rFonts w:eastAsia="Calibri" w:cs="Sylfaen"/>
                <w:sz w:val="20"/>
                <w:szCs w:val="20"/>
                <w:lang w:val="af-ZA"/>
              </w:rPr>
              <w:t xml:space="preserve"> </w:t>
            </w:r>
            <w:r w:rsidRPr="0053423A">
              <w:rPr>
                <w:rFonts w:eastAsia="Calibri" w:cs="Sylfaen"/>
                <w:sz w:val="20"/>
                <w:szCs w:val="20"/>
              </w:rPr>
              <w:t>է</w:t>
            </w:r>
            <w:r w:rsidRPr="0053423A">
              <w:rPr>
                <w:rFonts w:eastAsia="Calibri" w:cs="Times New Roman"/>
                <w:sz w:val="20"/>
                <w:szCs w:val="20"/>
                <w:lang w:val="af-ZA"/>
              </w:rPr>
              <w:t xml:space="preserve"> </w:t>
            </w:r>
            <w:r w:rsidRPr="0053423A">
              <w:rPr>
                <w:rFonts w:eastAsia="Calibri" w:cs="Sylfaen"/>
                <w:sz w:val="20"/>
                <w:szCs w:val="20"/>
              </w:rPr>
              <w:t>բավարար</w:t>
            </w:r>
            <w:r w:rsidRPr="0053423A">
              <w:rPr>
                <w:rFonts w:eastAsia="Calibri" w:cs="Times New Roman"/>
                <w:sz w:val="20"/>
                <w:szCs w:val="20"/>
                <w:lang w:val="af-ZA"/>
              </w:rPr>
              <w:t xml:space="preserve"> </w:t>
            </w:r>
            <w:r w:rsidRPr="0053423A">
              <w:rPr>
                <w:rFonts w:eastAsia="Calibri" w:cs="Sylfaen"/>
                <w:sz w:val="20"/>
                <w:szCs w:val="20"/>
              </w:rPr>
              <w:t>ուղենիշեր</w:t>
            </w:r>
            <w:r w:rsidRPr="0053423A">
              <w:rPr>
                <w:rFonts w:eastAsia="Calibri" w:cs="Times New Roman"/>
                <w:sz w:val="20"/>
                <w:szCs w:val="20"/>
                <w:lang w:val="af-ZA"/>
              </w:rPr>
              <w:t xml:space="preserve"> </w:t>
            </w:r>
            <w:r w:rsidRPr="0053423A">
              <w:rPr>
                <w:rFonts w:eastAsia="Calibri" w:cs="Sylfaen"/>
                <w:sz w:val="20"/>
                <w:szCs w:val="20"/>
              </w:rPr>
              <w:t>ժողովրդագրության</w:t>
            </w:r>
            <w:r w:rsidRPr="0053423A">
              <w:rPr>
                <w:rFonts w:eastAsia="Calibri" w:cs="Sylfaen"/>
                <w:sz w:val="20"/>
                <w:szCs w:val="20"/>
                <w:lang w:val="af-ZA"/>
              </w:rPr>
              <w:t xml:space="preserve">, </w:t>
            </w:r>
            <w:r w:rsidRPr="0053423A">
              <w:rPr>
                <w:rFonts w:eastAsia="Calibri" w:cs="Sylfaen"/>
                <w:sz w:val="20"/>
                <w:szCs w:val="20"/>
              </w:rPr>
              <w:t>աշխատանքի</w:t>
            </w:r>
            <w:r w:rsidRPr="0053423A">
              <w:rPr>
                <w:rFonts w:eastAsia="Calibri" w:cs="Sylfaen"/>
                <w:sz w:val="20"/>
                <w:szCs w:val="20"/>
                <w:lang w:val="af-ZA"/>
              </w:rPr>
              <w:t xml:space="preserve"> </w:t>
            </w:r>
            <w:r w:rsidRPr="0053423A">
              <w:rPr>
                <w:rFonts w:eastAsia="Calibri" w:cs="Sylfaen"/>
                <w:sz w:val="20"/>
                <w:szCs w:val="20"/>
              </w:rPr>
              <w:t>և</w:t>
            </w:r>
            <w:r w:rsidRPr="0053423A">
              <w:rPr>
                <w:rFonts w:eastAsia="Calibri" w:cs="Sylfaen"/>
                <w:sz w:val="20"/>
                <w:szCs w:val="20"/>
                <w:lang w:val="af-ZA"/>
              </w:rPr>
              <w:t xml:space="preserve"> </w:t>
            </w:r>
            <w:r w:rsidRPr="0053423A">
              <w:rPr>
                <w:rFonts w:eastAsia="Calibri" w:cs="Sylfaen"/>
                <w:sz w:val="20"/>
                <w:szCs w:val="20"/>
              </w:rPr>
              <w:t>զբաղվածության</w:t>
            </w:r>
            <w:r w:rsidRPr="0053423A">
              <w:rPr>
                <w:rFonts w:eastAsia="Calibri" w:cs="Sylfaen"/>
                <w:sz w:val="20"/>
                <w:szCs w:val="20"/>
                <w:lang w:val="af-ZA"/>
              </w:rPr>
              <w:t xml:space="preserve">, </w:t>
            </w:r>
            <w:r w:rsidRPr="0053423A">
              <w:rPr>
                <w:rFonts w:eastAsia="Calibri" w:cs="Sylfaen"/>
                <w:sz w:val="20"/>
                <w:szCs w:val="20"/>
              </w:rPr>
              <w:t>կենսաթոշակային</w:t>
            </w:r>
            <w:r w:rsidRPr="0053423A">
              <w:rPr>
                <w:rFonts w:eastAsia="Calibri" w:cs="Sylfaen"/>
                <w:sz w:val="20"/>
                <w:szCs w:val="20"/>
                <w:lang w:val="af-ZA"/>
              </w:rPr>
              <w:t xml:space="preserve"> </w:t>
            </w:r>
            <w:r w:rsidRPr="0053423A">
              <w:rPr>
                <w:rFonts w:eastAsia="Calibri" w:cs="Sylfaen"/>
                <w:sz w:val="20"/>
                <w:szCs w:val="20"/>
              </w:rPr>
              <w:t>ապահովության</w:t>
            </w:r>
            <w:r w:rsidRPr="0053423A">
              <w:rPr>
                <w:rFonts w:eastAsia="Calibri" w:cs="Sylfaen"/>
                <w:sz w:val="20"/>
                <w:szCs w:val="20"/>
                <w:lang w:val="af-ZA"/>
              </w:rPr>
              <w:t xml:space="preserve">, </w:t>
            </w:r>
            <w:r w:rsidRPr="0053423A">
              <w:rPr>
                <w:rFonts w:eastAsia="Calibri" w:cs="Sylfaen"/>
                <w:sz w:val="20"/>
                <w:szCs w:val="20"/>
              </w:rPr>
              <w:t>սոցիալական</w:t>
            </w:r>
            <w:r w:rsidRPr="0053423A">
              <w:rPr>
                <w:rFonts w:eastAsia="Calibri" w:cs="Sylfaen"/>
                <w:sz w:val="20"/>
                <w:szCs w:val="20"/>
                <w:lang w:val="af-ZA"/>
              </w:rPr>
              <w:t xml:space="preserve"> </w:t>
            </w:r>
            <w:r w:rsidRPr="0053423A">
              <w:rPr>
                <w:rFonts w:eastAsia="Calibri" w:cs="Sylfaen"/>
                <w:sz w:val="20"/>
                <w:szCs w:val="20"/>
              </w:rPr>
              <w:t>աջակցության</w:t>
            </w:r>
            <w:r w:rsidRPr="0053423A">
              <w:rPr>
                <w:rFonts w:eastAsia="Calibri" w:cs="Times New Roman"/>
                <w:sz w:val="20"/>
                <w:szCs w:val="20"/>
                <w:lang w:val="af-ZA"/>
              </w:rPr>
              <w:t xml:space="preserve"> </w:t>
            </w:r>
            <w:r w:rsidRPr="0053423A">
              <w:rPr>
                <w:rFonts w:eastAsia="Calibri" w:cs="Times New Roman"/>
                <w:sz w:val="20"/>
                <w:szCs w:val="20"/>
              </w:rPr>
              <w:t>բնագավառներում</w:t>
            </w:r>
            <w:r w:rsidRPr="0053423A">
              <w:rPr>
                <w:rFonts w:eastAsia="Calibri" w:cs="Times New Roman"/>
                <w:sz w:val="20"/>
                <w:szCs w:val="20"/>
                <w:lang w:val="af-ZA"/>
              </w:rPr>
              <w:t xml:space="preserve">, </w:t>
            </w:r>
            <w:r w:rsidRPr="0053423A">
              <w:rPr>
                <w:rFonts w:eastAsia="Calibri" w:cs="Times New Roman"/>
                <w:sz w:val="20"/>
                <w:szCs w:val="20"/>
              </w:rPr>
              <w:t>ինչպես</w:t>
            </w:r>
            <w:r w:rsidRPr="0053423A">
              <w:rPr>
                <w:rFonts w:eastAsia="Calibri" w:cs="Times New Roman"/>
                <w:sz w:val="20"/>
                <w:szCs w:val="20"/>
                <w:lang w:val="af-ZA"/>
              </w:rPr>
              <w:t xml:space="preserve"> </w:t>
            </w:r>
            <w:r w:rsidRPr="0053423A">
              <w:rPr>
                <w:rFonts w:eastAsia="Calibri" w:cs="Times New Roman"/>
                <w:sz w:val="20"/>
                <w:szCs w:val="20"/>
              </w:rPr>
              <w:t>նաև</w:t>
            </w:r>
            <w:r w:rsidRPr="0053423A">
              <w:rPr>
                <w:rFonts w:eastAsia="Calibri" w:cs="Times New Roman"/>
                <w:sz w:val="20"/>
                <w:szCs w:val="20"/>
                <w:lang w:val="af-ZA"/>
              </w:rPr>
              <w:t xml:space="preserve"> </w:t>
            </w:r>
            <w:r w:rsidRPr="0053423A">
              <w:rPr>
                <w:rFonts w:eastAsia="Calibri" w:cs="Times New Roman"/>
                <w:sz w:val="20"/>
                <w:szCs w:val="20"/>
              </w:rPr>
              <w:t>հաշմանդամություն</w:t>
            </w:r>
            <w:r w:rsidRPr="0053423A">
              <w:rPr>
                <w:rFonts w:eastAsia="Calibri" w:cs="Times New Roman"/>
                <w:sz w:val="20"/>
                <w:szCs w:val="20"/>
                <w:lang w:val="af-ZA"/>
              </w:rPr>
              <w:t xml:space="preserve"> </w:t>
            </w:r>
            <w:r w:rsidRPr="0053423A">
              <w:rPr>
                <w:rFonts w:eastAsia="Calibri" w:cs="Times New Roman"/>
                <w:sz w:val="20"/>
                <w:szCs w:val="20"/>
              </w:rPr>
              <w:t>ունեցող</w:t>
            </w:r>
            <w:r w:rsidRPr="0053423A">
              <w:rPr>
                <w:rFonts w:eastAsia="Calibri" w:cs="Times New Roman"/>
                <w:sz w:val="20"/>
                <w:szCs w:val="20"/>
                <w:lang w:val="af-ZA"/>
              </w:rPr>
              <w:t xml:space="preserve"> </w:t>
            </w:r>
            <w:r w:rsidRPr="0053423A">
              <w:rPr>
                <w:rFonts w:eastAsia="Calibri" w:cs="Times New Roman"/>
                <w:sz w:val="20"/>
                <w:szCs w:val="20"/>
              </w:rPr>
              <w:t>անձանց</w:t>
            </w:r>
            <w:r w:rsidRPr="0053423A">
              <w:rPr>
                <w:rFonts w:eastAsia="Calibri" w:cs="Times New Roman"/>
                <w:sz w:val="20"/>
                <w:szCs w:val="20"/>
                <w:lang w:val="af-ZA"/>
              </w:rPr>
              <w:t xml:space="preserve">, </w:t>
            </w:r>
            <w:r w:rsidRPr="0053423A">
              <w:rPr>
                <w:rFonts w:eastAsia="Calibri" w:cs="Times New Roman"/>
                <w:sz w:val="20"/>
                <w:szCs w:val="20"/>
              </w:rPr>
              <w:t>կանաց</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երեխաների</w:t>
            </w:r>
            <w:r w:rsidRPr="0053423A">
              <w:rPr>
                <w:rFonts w:eastAsia="Calibri" w:cs="Times New Roman"/>
                <w:sz w:val="20"/>
                <w:szCs w:val="20"/>
                <w:lang w:val="af-ZA"/>
              </w:rPr>
              <w:t xml:space="preserve">, </w:t>
            </w:r>
            <w:r w:rsidRPr="0053423A">
              <w:rPr>
                <w:rFonts w:eastAsia="Calibri" w:cs="Times New Roman"/>
                <w:sz w:val="20"/>
                <w:szCs w:val="20"/>
              </w:rPr>
              <w:t>տարեցների</w:t>
            </w:r>
            <w:r w:rsidRPr="0053423A">
              <w:rPr>
                <w:rFonts w:eastAsia="Calibri" w:cs="Times New Roman"/>
                <w:sz w:val="20"/>
                <w:szCs w:val="20"/>
                <w:lang w:val="af-ZA"/>
              </w:rPr>
              <w:t xml:space="preserve"> </w:t>
            </w:r>
            <w:r w:rsidRPr="0053423A">
              <w:rPr>
                <w:rFonts w:eastAsia="Calibri" w:cs="Times New Roman"/>
                <w:sz w:val="20"/>
                <w:szCs w:val="20"/>
              </w:rPr>
              <w:t>հիմնահարցերին</w:t>
            </w:r>
            <w:r w:rsidRPr="0053423A">
              <w:rPr>
                <w:rFonts w:eastAsia="Calibri" w:cs="Times New Roman"/>
                <w:sz w:val="20"/>
                <w:szCs w:val="20"/>
                <w:lang w:val="af-ZA"/>
              </w:rPr>
              <w:t xml:space="preserve"> </w:t>
            </w:r>
            <w:r w:rsidRPr="0053423A">
              <w:rPr>
                <w:rFonts w:eastAsia="Calibri" w:cs="Times New Roman"/>
                <w:sz w:val="20"/>
                <w:szCs w:val="20"/>
              </w:rPr>
              <w:t>առնչվող</w:t>
            </w:r>
            <w:r w:rsidRPr="0053423A">
              <w:rPr>
                <w:rFonts w:eastAsia="Calibri" w:cs="Times New Roman"/>
                <w:sz w:val="20"/>
                <w:szCs w:val="20"/>
                <w:lang w:val="af-ZA"/>
              </w:rPr>
              <w:t xml:space="preserve"> </w:t>
            </w:r>
            <w:r w:rsidRPr="0053423A">
              <w:rPr>
                <w:rFonts w:eastAsia="Calibri" w:cs="Sylfaen"/>
                <w:sz w:val="20"/>
                <w:szCs w:val="20"/>
              </w:rPr>
              <w:t>ծրագրերի</w:t>
            </w:r>
            <w:r w:rsidRPr="0053423A">
              <w:rPr>
                <w:rFonts w:eastAsia="Calibri" w:cs="Times New Roman"/>
                <w:sz w:val="20"/>
                <w:szCs w:val="20"/>
                <w:lang w:val="af-ZA"/>
              </w:rPr>
              <w:t xml:space="preserve"> </w:t>
            </w:r>
            <w:r w:rsidRPr="0053423A">
              <w:rPr>
                <w:rFonts w:eastAsia="Calibri" w:cs="Sylfaen"/>
                <w:sz w:val="20"/>
                <w:szCs w:val="20"/>
              </w:rPr>
              <w:t>մշակման</w:t>
            </w:r>
            <w:r w:rsidRPr="0053423A">
              <w:rPr>
                <w:rFonts w:eastAsia="Calibri" w:cs="Times New Roman"/>
                <w:sz w:val="20"/>
                <w:szCs w:val="20"/>
                <w:lang w:val="af-ZA"/>
              </w:rPr>
              <w:t xml:space="preserve"> </w:t>
            </w:r>
            <w:r w:rsidRPr="0053423A">
              <w:rPr>
                <w:rFonts w:eastAsia="Calibri" w:cs="Sylfaen"/>
                <w:sz w:val="20"/>
                <w:szCs w:val="20"/>
              </w:rPr>
              <w:t>ժամանակ</w:t>
            </w:r>
            <w:r w:rsidRPr="0053423A">
              <w:rPr>
                <w:rFonts w:eastAsia="Calibri" w:cs="Times New Roman"/>
                <w:sz w:val="20"/>
                <w:szCs w:val="20"/>
                <w:lang w:val="af-ZA"/>
              </w:rPr>
              <w:t xml:space="preserve"> </w:t>
            </w:r>
            <w:r w:rsidRPr="0053423A">
              <w:rPr>
                <w:rFonts w:eastAsia="Calibri" w:cs="Sylfaen"/>
                <w:sz w:val="20"/>
                <w:szCs w:val="20"/>
              </w:rPr>
              <w:t>ընդհանուր</w:t>
            </w:r>
            <w:r w:rsidRPr="0053423A">
              <w:rPr>
                <w:rFonts w:eastAsia="Calibri" w:cs="Times New Roman"/>
                <w:sz w:val="20"/>
                <w:szCs w:val="20"/>
                <w:lang w:val="af-ZA"/>
              </w:rPr>
              <w:t xml:space="preserve"> </w:t>
            </w:r>
            <w:r w:rsidRPr="0053423A">
              <w:rPr>
                <w:rFonts w:eastAsia="Calibri" w:cs="Sylfaen"/>
                <w:sz w:val="20"/>
                <w:szCs w:val="20"/>
              </w:rPr>
              <w:t>տրամաբանությամբ</w:t>
            </w:r>
            <w:r w:rsidRPr="0053423A">
              <w:rPr>
                <w:rFonts w:eastAsia="Calibri" w:cs="Times New Roman"/>
                <w:sz w:val="20"/>
                <w:szCs w:val="20"/>
                <w:lang w:val="af-ZA"/>
              </w:rPr>
              <w:t xml:space="preserve"> </w:t>
            </w:r>
            <w:r w:rsidRPr="0053423A">
              <w:rPr>
                <w:rFonts w:eastAsia="Calibri" w:cs="Sylfaen"/>
                <w:sz w:val="20"/>
                <w:szCs w:val="20"/>
              </w:rPr>
              <w:t>առաջնորդվելու</w:t>
            </w:r>
            <w:r w:rsidRPr="0053423A">
              <w:rPr>
                <w:rFonts w:eastAsia="Calibri" w:cs="Times New Roman"/>
                <w:sz w:val="20"/>
                <w:szCs w:val="20"/>
                <w:lang w:val="af-ZA"/>
              </w:rPr>
              <w:t xml:space="preserve"> </w:t>
            </w:r>
            <w:r w:rsidRPr="0053423A">
              <w:rPr>
                <w:rFonts w:eastAsia="Calibri" w:cs="Sylfaen"/>
                <w:sz w:val="20"/>
                <w:szCs w:val="20"/>
              </w:rPr>
              <w:t>համար</w:t>
            </w:r>
            <w:r w:rsidRPr="0053423A">
              <w:rPr>
                <w:rFonts w:eastAsia="Calibri" w:cs="Times New Roman"/>
                <w:sz w:val="20"/>
                <w:szCs w:val="20"/>
                <w:lang w:val="af-ZA"/>
              </w:rPr>
              <w:t xml:space="preserve">: </w:t>
            </w:r>
          </w:p>
          <w:p w:rsidR="00514E01" w:rsidRPr="0053423A" w:rsidRDefault="00514E01" w:rsidP="00A67858">
            <w:pPr>
              <w:tabs>
                <w:tab w:val="left" w:pos="1080"/>
              </w:tabs>
              <w:spacing w:line="276" w:lineRule="auto"/>
              <w:rPr>
                <w:rFonts w:eastAsia="Times New Roman" w:cs="Tahoma"/>
                <w:b/>
                <w:spacing w:val="-4"/>
                <w:sz w:val="20"/>
                <w:szCs w:val="20"/>
                <w:lang w:val="hy-AM" w:eastAsia="ru-RU"/>
              </w:rPr>
            </w:pPr>
            <w:r w:rsidRPr="0053423A">
              <w:rPr>
                <w:rFonts w:eastAsia="Times New Roman" w:cs="Tahoma"/>
                <w:b/>
                <w:spacing w:val="-4"/>
                <w:sz w:val="20"/>
                <w:szCs w:val="20"/>
                <w:lang w:val="hy-AM" w:eastAsia="ru-RU"/>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Calibri" w:cs="Times New Roman"/>
                <w:sz w:val="20"/>
                <w:szCs w:val="20"/>
                <w:lang w:val="hy-AM"/>
              </w:rPr>
              <w:lastRenderedPageBreak/>
              <w:t>Նախագծով ակնկալվում է ունենալ</w:t>
            </w:r>
            <w:r w:rsidRPr="0053423A">
              <w:rPr>
                <w:rFonts w:eastAsia="Calibri" w:cs="Times New Roman"/>
                <w:sz w:val="20"/>
                <w:szCs w:val="20"/>
                <w:lang w:val="af-ZA"/>
              </w:rPr>
              <w:t xml:space="preserve">  </w:t>
            </w:r>
            <w:r w:rsidRPr="0053423A">
              <w:rPr>
                <w:rFonts w:eastAsia="Calibri" w:cs="Times New Roman"/>
                <w:sz w:val="20"/>
                <w:szCs w:val="20"/>
                <w:lang w:val="hy-AM"/>
              </w:rPr>
              <w:t>աշխատանքի</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w:t>
            </w:r>
            <w:r w:rsidRPr="0053423A">
              <w:rPr>
                <w:rFonts w:eastAsia="Calibri" w:cs="Times New Roman"/>
                <w:sz w:val="20"/>
                <w:szCs w:val="20"/>
                <w:lang w:val="hy-AM"/>
              </w:rPr>
              <w:t>սոցիալական</w:t>
            </w:r>
            <w:r w:rsidRPr="0053423A">
              <w:rPr>
                <w:rFonts w:eastAsia="Calibri" w:cs="Times New Roman"/>
                <w:sz w:val="20"/>
                <w:szCs w:val="20"/>
                <w:lang w:val="af-ZA"/>
              </w:rPr>
              <w:t xml:space="preserve"> </w:t>
            </w:r>
            <w:r w:rsidRPr="0053423A">
              <w:rPr>
                <w:rFonts w:eastAsia="Calibri" w:cs="Times New Roman"/>
                <w:sz w:val="20"/>
                <w:szCs w:val="20"/>
                <w:lang w:val="hy-AM"/>
              </w:rPr>
              <w:t>պաշտպանության</w:t>
            </w:r>
            <w:r w:rsidRPr="0053423A">
              <w:rPr>
                <w:rFonts w:eastAsia="Calibri" w:cs="Times New Roman"/>
                <w:sz w:val="20"/>
                <w:szCs w:val="20"/>
                <w:lang w:val="af-ZA"/>
              </w:rPr>
              <w:t xml:space="preserve"> </w:t>
            </w:r>
            <w:r w:rsidRPr="0053423A">
              <w:rPr>
                <w:rFonts w:eastAsia="Calibri" w:cs="Times New Roman"/>
                <w:sz w:val="20"/>
                <w:szCs w:val="20"/>
                <w:lang w:val="hy-AM"/>
              </w:rPr>
              <w:t>ոլոտի</w:t>
            </w:r>
            <w:r w:rsidRPr="0053423A">
              <w:rPr>
                <w:rFonts w:eastAsia="Calibri" w:cs="Times New Roman"/>
                <w:sz w:val="20"/>
                <w:szCs w:val="20"/>
                <w:lang w:val="af-ZA"/>
              </w:rPr>
              <w:t xml:space="preserve"> </w:t>
            </w:r>
            <w:r w:rsidRPr="0053423A">
              <w:rPr>
                <w:rFonts w:eastAsia="Calibri" w:cs="Times New Roman"/>
                <w:sz w:val="20"/>
                <w:szCs w:val="20"/>
                <w:lang w:val="hy-AM"/>
              </w:rPr>
              <w:t>զարգացմանն</w:t>
            </w:r>
            <w:r w:rsidRPr="0053423A">
              <w:rPr>
                <w:rFonts w:eastAsia="Calibri" w:cs="Times New Roman"/>
                <w:sz w:val="20"/>
                <w:szCs w:val="20"/>
                <w:lang w:val="af-ZA"/>
              </w:rPr>
              <w:t xml:space="preserve">  </w:t>
            </w:r>
            <w:r w:rsidRPr="0053423A">
              <w:rPr>
                <w:rFonts w:eastAsia="Calibri" w:cs="Times New Roman"/>
                <w:sz w:val="20"/>
                <w:szCs w:val="20"/>
                <w:lang w:val="hy-AM"/>
              </w:rPr>
              <w:t>ուղղված</w:t>
            </w:r>
            <w:r w:rsidRPr="0053423A">
              <w:rPr>
                <w:rFonts w:eastAsia="Calibri" w:cs="Times New Roman"/>
                <w:sz w:val="20"/>
                <w:szCs w:val="20"/>
                <w:lang w:val="af-ZA"/>
              </w:rPr>
              <w:t xml:space="preserve">  </w:t>
            </w:r>
            <w:r w:rsidRPr="0053423A">
              <w:rPr>
                <w:rFonts w:eastAsia="Calibri" w:cs="Times New Roman"/>
                <w:sz w:val="20"/>
                <w:szCs w:val="20"/>
                <w:lang w:val="hy-AM"/>
              </w:rPr>
              <w:t>համապարփակ</w:t>
            </w:r>
            <w:r w:rsidRPr="0053423A">
              <w:rPr>
                <w:rFonts w:eastAsia="Calibri" w:cs="Times New Roman"/>
                <w:sz w:val="20"/>
                <w:szCs w:val="20"/>
                <w:lang w:val="af-ZA"/>
              </w:rPr>
              <w:t xml:space="preserve"> </w:t>
            </w:r>
            <w:r w:rsidRPr="0053423A">
              <w:rPr>
                <w:rFonts w:eastAsia="Calibri" w:cs="Times New Roman"/>
                <w:sz w:val="20"/>
                <w:szCs w:val="20"/>
                <w:lang w:val="hy-AM"/>
              </w:rPr>
              <w:t>փաստաթուղթ</w:t>
            </w:r>
            <w:r w:rsidRPr="0053423A">
              <w:rPr>
                <w:rFonts w:eastAsia="Calibri" w:cs="Times New Roman"/>
                <w:sz w:val="20"/>
                <w:szCs w:val="20"/>
                <w:lang w:val="af-ZA"/>
              </w:rPr>
              <w:t xml:space="preserve">, </w:t>
            </w:r>
            <w:r w:rsidRPr="0053423A">
              <w:rPr>
                <w:rFonts w:eastAsia="Calibri" w:cs="Times New Roman"/>
                <w:sz w:val="20"/>
                <w:szCs w:val="20"/>
                <w:lang w:val="hy-AM"/>
              </w:rPr>
              <w:t>որը</w:t>
            </w:r>
            <w:r w:rsidRPr="0053423A">
              <w:rPr>
                <w:rFonts w:eastAsia="Calibri" w:cs="Times New Roman"/>
                <w:sz w:val="20"/>
                <w:szCs w:val="20"/>
                <w:lang w:val="af-ZA"/>
              </w:rPr>
              <w:t xml:space="preserve"> </w:t>
            </w:r>
            <w:r w:rsidRPr="0053423A">
              <w:rPr>
                <w:rFonts w:eastAsia="Calibri" w:cs="Times New Roman"/>
                <w:sz w:val="20"/>
                <w:szCs w:val="20"/>
                <w:lang w:val="hy-AM"/>
              </w:rPr>
              <w:t>հիմք</w:t>
            </w:r>
            <w:r w:rsidRPr="0053423A">
              <w:rPr>
                <w:rFonts w:eastAsia="Calibri" w:cs="Times New Roman"/>
                <w:sz w:val="20"/>
                <w:szCs w:val="20"/>
                <w:lang w:val="af-ZA"/>
              </w:rPr>
              <w:t xml:space="preserve"> </w:t>
            </w:r>
            <w:r w:rsidRPr="0053423A">
              <w:rPr>
                <w:rFonts w:eastAsia="Calibri" w:cs="Times New Roman"/>
                <w:sz w:val="20"/>
                <w:szCs w:val="20"/>
                <w:lang w:val="hy-AM"/>
              </w:rPr>
              <w:t>կհանդիսանա</w:t>
            </w:r>
            <w:r w:rsidRPr="0053423A">
              <w:rPr>
                <w:rFonts w:eastAsia="Calibri" w:cs="Times New Roman"/>
                <w:sz w:val="20"/>
                <w:szCs w:val="20"/>
                <w:lang w:val="af-ZA"/>
              </w:rPr>
              <w:t xml:space="preserve"> </w:t>
            </w:r>
            <w:r w:rsidRPr="0053423A">
              <w:rPr>
                <w:rFonts w:eastAsia="Calibri" w:cs="Times New Roman"/>
                <w:sz w:val="20"/>
                <w:szCs w:val="20"/>
                <w:lang w:val="hy-AM"/>
              </w:rPr>
              <w:t>սոցիալական</w:t>
            </w:r>
            <w:r w:rsidRPr="0053423A">
              <w:rPr>
                <w:rFonts w:eastAsia="Calibri" w:cs="Times New Roman"/>
                <w:sz w:val="20"/>
                <w:szCs w:val="20"/>
                <w:lang w:val="af-ZA"/>
              </w:rPr>
              <w:t xml:space="preserve"> </w:t>
            </w:r>
            <w:r w:rsidRPr="0053423A">
              <w:rPr>
                <w:rFonts w:eastAsia="Calibri" w:cs="Times New Roman"/>
                <w:sz w:val="20"/>
                <w:szCs w:val="20"/>
                <w:lang w:val="hy-AM"/>
              </w:rPr>
              <w:t>պաշտպանության</w:t>
            </w:r>
            <w:r w:rsidRPr="0053423A">
              <w:rPr>
                <w:rFonts w:eastAsia="Calibri" w:cs="Times New Roman"/>
                <w:sz w:val="20"/>
                <w:szCs w:val="20"/>
                <w:lang w:val="af-ZA"/>
              </w:rPr>
              <w:t xml:space="preserve"> </w:t>
            </w:r>
            <w:r w:rsidRPr="0053423A">
              <w:rPr>
                <w:rFonts w:eastAsia="Calibri" w:cs="Times New Roman"/>
                <w:sz w:val="20"/>
                <w:szCs w:val="20"/>
                <w:lang w:val="hy-AM"/>
              </w:rPr>
              <w:t>առանձին</w:t>
            </w:r>
            <w:r w:rsidRPr="0053423A">
              <w:rPr>
                <w:rFonts w:eastAsia="Calibri" w:cs="Times New Roman"/>
                <w:sz w:val="20"/>
                <w:szCs w:val="20"/>
                <w:lang w:val="af-ZA"/>
              </w:rPr>
              <w:t xml:space="preserve"> </w:t>
            </w:r>
            <w:r w:rsidRPr="0053423A">
              <w:rPr>
                <w:rFonts w:eastAsia="Calibri" w:cs="Times New Roman"/>
                <w:sz w:val="20"/>
                <w:szCs w:val="20"/>
                <w:lang w:val="hy-AM"/>
              </w:rPr>
              <w:t>բնագավառներում</w:t>
            </w:r>
            <w:r w:rsidRPr="0053423A">
              <w:rPr>
                <w:rFonts w:eastAsia="Calibri" w:cs="Times New Roman"/>
                <w:sz w:val="20"/>
                <w:szCs w:val="20"/>
                <w:lang w:val="af-ZA"/>
              </w:rPr>
              <w:t xml:space="preserve">  </w:t>
            </w:r>
            <w:r w:rsidRPr="0053423A">
              <w:rPr>
                <w:rFonts w:eastAsia="Calibri" w:cs="Times New Roman"/>
                <w:sz w:val="20"/>
                <w:szCs w:val="20"/>
                <w:lang w:val="hy-AM"/>
              </w:rPr>
              <w:t>փոխկապակցված</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w:t>
            </w:r>
            <w:r w:rsidRPr="0053423A">
              <w:rPr>
                <w:rFonts w:eastAsia="Calibri" w:cs="Times New Roman"/>
                <w:sz w:val="20"/>
                <w:szCs w:val="20"/>
                <w:lang w:val="hy-AM"/>
              </w:rPr>
              <w:t>արդյունավետ</w:t>
            </w:r>
            <w:r w:rsidRPr="0053423A">
              <w:rPr>
                <w:rFonts w:eastAsia="Calibri" w:cs="Times New Roman"/>
                <w:sz w:val="20"/>
                <w:szCs w:val="20"/>
                <w:lang w:val="af-ZA"/>
              </w:rPr>
              <w:t xml:space="preserve"> </w:t>
            </w:r>
            <w:r w:rsidRPr="0053423A">
              <w:rPr>
                <w:rFonts w:eastAsia="Calibri" w:cs="Times New Roman"/>
                <w:sz w:val="20"/>
                <w:szCs w:val="20"/>
                <w:lang w:val="hy-AM"/>
              </w:rPr>
              <w:t>քաղաքականության</w:t>
            </w:r>
            <w:r w:rsidRPr="0053423A">
              <w:rPr>
                <w:rFonts w:eastAsia="Calibri" w:cs="Times New Roman"/>
                <w:sz w:val="20"/>
                <w:szCs w:val="20"/>
                <w:lang w:val="af-ZA"/>
              </w:rPr>
              <w:t xml:space="preserve"> </w:t>
            </w:r>
            <w:r w:rsidRPr="0053423A">
              <w:rPr>
                <w:rFonts w:eastAsia="Calibri" w:cs="Times New Roman"/>
                <w:sz w:val="20"/>
                <w:szCs w:val="20"/>
                <w:lang w:val="hy-AM"/>
              </w:rPr>
              <w:t>իրականացման</w:t>
            </w:r>
            <w:r w:rsidRPr="0053423A">
              <w:rPr>
                <w:rFonts w:eastAsia="Calibri" w:cs="Times New Roman"/>
                <w:sz w:val="20"/>
                <w:szCs w:val="20"/>
                <w:lang w:val="af-ZA"/>
              </w:rPr>
              <w:t xml:space="preserve"> </w:t>
            </w:r>
            <w:r w:rsidRPr="0053423A">
              <w:rPr>
                <w:rFonts w:eastAsia="Calibri" w:cs="Times New Roman"/>
                <w:sz w:val="20"/>
                <w:szCs w:val="20"/>
                <w:lang w:val="hy-AM"/>
              </w:rPr>
              <w:t>համար</w:t>
            </w:r>
            <w:r w:rsidRPr="0053423A">
              <w:rPr>
                <w:rFonts w:eastAsia="Calibri" w:cs="Times New Roman"/>
                <w:sz w:val="20"/>
                <w:szCs w:val="20"/>
                <w:lang w:val="af-ZA"/>
              </w:rPr>
              <w:t>:</w:t>
            </w:r>
          </w:p>
        </w:tc>
      </w:tr>
      <w:tr w:rsidR="00514E01" w:rsidRPr="00DE2EFA" w:rsidTr="00BC61ED">
        <w:tc>
          <w:tcPr>
            <w:tcW w:w="630" w:type="dxa"/>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lastRenderedPageBreak/>
              <w:t>2</w:t>
            </w:r>
          </w:p>
        </w:tc>
        <w:tc>
          <w:tcPr>
            <w:tcW w:w="10890" w:type="dxa"/>
          </w:tcPr>
          <w:p w:rsidR="00514E01" w:rsidRPr="0053423A" w:rsidRDefault="00514E01" w:rsidP="00A67858">
            <w:pPr>
              <w:spacing w:line="276" w:lineRule="auto"/>
              <w:jc w:val="both"/>
              <w:rPr>
                <w:rFonts w:eastAsia="Calibri" w:cs="Times New Roman"/>
                <w:b/>
                <w:sz w:val="20"/>
                <w:szCs w:val="20"/>
                <w:u w:val="single"/>
                <w:lang w:val="af-ZA"/>
              </w:rPr>
            </w:pPr>
            <w:r w:rsidRPr="0053423A">
              <w:rPr>
                <w:rFonts w:eastAsia="Calibri" w:cs="Times New Roman"/>
                <w:b/>
                <w:sz w:val="20"/>
                <w:szCs w:val="20"/>
                <w:u w:val="single"/>
                <w:lang w:val="af-ZA"/>
              </w:rPr>
              <w:t>2.1 «</w:t>
            </w:r>
            <w:r w:rsidRPr="0053423A">
              <w:rPr>
                <w:rFonts w:eastAsia="Calibri" w:cs="Times New Roman"/>
                <w:b/>
                <w:sz w:val="20"/>
                <w:szCs w:val="20"/>
                <w:u w:val="single"/>
                <w:lang w:val="hy-AM"/>
              </w:rPr>
              <w:t>Տարեցների</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խնամքի</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ապաինստիտուցիոնալացման</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և</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այլընտրանքային</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համայնքային</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ծառայությունների</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զարգացման</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հայեցակարգը</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և</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դրա</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իրականացումն</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ապահովելու</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միջոցառումների</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ծրագիրը</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հաստատելու</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մասին</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ՀՀ</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կառավարության</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որոշման</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նախագծի</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մշակում</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և</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Վարչապետի</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աշխատակազմ</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ներկայացում</w:t>
            </w:r>
          </w:p>
          <w:p w:rsidR="00514E01" w:rsidRPr="0053423A" w:rsidRDefault="00514E01" w:rsidP="00A67858">
            <w:pPr>
              <w:spacing w:line="276" w:lineRule="auto"/>
              <w:jc w:val="both"/>
              <w:rPr>
                <w:rFonts w:eastAsia="Calibri" w:cs="Times New Roman"/>
                <w:b/>
                <w:sz w:val="20"/>
                <w:szCs w:val="20"/>
                <w:u w:val="single"/>
                <w:lang w:val="af-ZA"/>
              </w:rPr>
            </w:pP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af-ZA"/>
              </w:rPr>
              <w:t>1.</w:t>
            </w:r>
            <w:r w:rsidRPr="0053423A">
              <w:rPr>
                <w:rFonts w:eastAsia="Calibri" w:cs="Times New Roman"/>
                <w:b/>
                <w:sz w:val="20"/>
                <w:szCs w:val="20"/>
                <w:lang w:val="hy-AM"/>
              </w:rPr>
              <w:t>Միջոցառման իրակա</w:t>
            </w:r>
            <w:r w:rsidRPr="0053423A">
              <w:rPr>
                <w:rFonts w:eastAsia="Calibri" w:cs="Times New Roman"/>
                <w:b/>
                <w:sz w:val="20"/>
                <w:szCs w:val="20"/>
              </w:rPr>
              <w:t>նա</w:t>
            </w:r>
            <w:r w:rsidRPr="0053423A">
              <w:rPr>
                <w:rFonts w:eastAsia="Calibri" w:cs="Times New Roman"/>
                <w:b/>
                <w:sz w:val="20"/>
                <w:szCs w:val="20"/>
                <w:lang w:val="hy-AM"/>
              </w:rPr>
              <w:t xml:space="preserve">ցման անհրաժեշտությունը և նպատակը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Սույն որոշման նախագծի ընդունումը բխում է ՀՀ Ազգային ժողովի 2019 թվականի փետրվարի 14-ի ԱԺՈ-002-Ն որոշմամբ հավանության արժանացած ՀՀ կառավարության ծրագրի 4.2. գլխի՝ «Աղքատության հաղթահարումը, սոցիալական պաշտպանությունը և ժողովրդագրությունը» դրույթներից:</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       Նախագծի նպատակն է ստեղծել բարենպաստ և առողջ միջավայր տարեց մարդկանց համար, ապահովելով նրանց արժանապատիվ ծերացման գործընթացը՝ միաժամանակ իրականացնելով խնամքի ինստիտուցիոնալ ծառայություններից աստիճանաբար և անցնցում անցում համայնքային ծառայությունների մատուցմանը, շեշտադրելով համայնքի և ընտանիքի դերը տարեցի կյանքում, ինչպես նաև տարեցի մասնակցությունը համայնքային  կյանքում և որոշումների կայացմանը: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       ՀՀ Սահմանադրության 48-րդ հոդվածն ամրագրում է, որ տարեց մարդկանց արժանապատիվ կենսամակարդակի ապահովումը տնտեսական, սոցիալական և մշակութային ոլորտներում պետության հիմնական խնդիրներից մեկն է և պետությունը պարտավոր է իր հնարավորությունների շրջանակներում միջոցներ ձեռնարկել նշված հոդվածում ամրագրված խնդիրների իրականացման համար:</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       Սույն նախագիծը մշակելիս հաշվի են առնվելու նաև հետևյալ միջազգային փաստաթղթերի հիմնարար դրույթները, որոնց միացել է մեր երկիրը՝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 </w:t>
            </w:r>
            <w:r w:rsidRPr="0053423A">
              <w:rPr>
                <w:rFonts w:eastAsia="Calibri" w:cs="Times New Roman"/>
                <w:sz w:val="20"/>
                <w:szCs w:val="20"/>
                <w:lang w:val="hy-AM"/>
              </w:rPr>
              <w:tab/>
              <w:t>1)ՄԱԿ-ի «Ծերության խնդիրների վերաբերյալ Մադրիդի միջազգային գոր</w:t>
            </w:r>
            <w:r w:rsidRPr="0053423A">
              <w:rPr>
                <w:rFonts w:eastAsia="Calibri" w:cs="Times New Roman"/>
                <w:sz w:val="20"/>
                <w:szCs w:val="20"/>
                <w:lang w:val="hy-AM"/>
              </w:rPr>
              <w:softHyphen/>
              <w:t>ծողությունների պլանի ռեգիոնալ իրականացման ռազմավարությունը» (2002թ.), որն ամրագրում է ծերացման խնդիրներին առնչվող՝ մասնակից երկրների համար 10 հանձնառություն:</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2)Առողջապահության համաշխարհային կազմակերպության  «Ծերացման և առողջության զեկույցը» (2015 թ.)</w:t>
            </w:r>
          </w:p>
          <w:p w:rsidR="00514E01" w:rsidRPr="0053423A" w:rsidRDefault="00514E01" w:rsidP="00A67858">
            <w:pPr>
              <w:spacing w:line="276" w:lineRule="auto"/>
              <w:jc w:val="both"/>
              <w:rPr>
                <w:rFonts w:eastAsia="Calibri" w:cs="Times New Roman"/>
                <w:bCs/>
                <w:sz w:val="20"/>
                <w:szCs w:val="20"/>
                <w:lang w:val="hy-AM"/>
              </w:rPr>
            </w:pPr>
            <w:r w:rsidRPr="0053423A">
              <w:rPr>
                <w:rFonts w:eastAsia="Calibri" w:cs="Times New Roman"/>
                <w:bCs/>
                <w:sz w:val="20"/>
                <w:szCs w:val="20"/>
                <w:lang w:val="hy-AM"/>
              </w:rPr>
              <w:t xml:space="preserve">          3)Վիեննայի նախարարների հռչակագրի  հիմնական նպատակները  (2012թ.)</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          4) ՄԱԿ-ի Եվրոպայի տնտեսական հանձնաժողովի «Կայուն հասարակություն բոլոր տարիքի անձանց համար. երկարակեցության ներուժի իրացումը» խորագրով նախարարական համաժողովում ընդունված փաստաթուղթ (Լիսաբոն, 2017թ.), որտեղ արձանագրված է, որ առաջադեմ երկրներում ծերացման հիմնահարցերի ոլորտում գրանցված հաջողությունները հիմնականում պայմանավորված են հետևյալ ուղղություններով կատարված աշխատանքներով,</w:t>
            </w:r>
          </w:p>
          <w:p w:rsidR="00514E01" w:rsidRPr="0053423A" w:rsidRDefault="00514E01" w:rsidP="001F6D5D">
            <w:pPr>
              <w:numPr>
                <w:ilvl w:val="0"/>
                <w:numId w:val="168"/>
              </w:numPr>
              <w:spacing w:line="276" w:lineRule="auto"/>
              <w:jc w:val="both"/>
              <w:rPr>
                <w:rFonts w:eastAsia="Calibri" w:cs="Times New Roman"/>
                <w:sz w:val="20"/>
                <w:szCs w:val="20"/>
                <w:lang w:val="hy-AM"/>
              </w:rPr>
            </w:pPr>
            <w:r w:rsidRPr="0053423A">
              <w:rPr>
                <w:rFonts w:eastAsia="Calibri" w:cs="Times New Roman"/>
                <w:sz w:val="20"/>
                <w:szCs w:val="20"/>
                <w:lang w:val="hy-AM"/>
              </w:rPr>
              <w:t>Տարեց անձանց համար առողջապահական ծառայությունների որակի և մատչելիության ապահովում.</w:t>
            </w:r>
          </w:p>
          <w:p w:rsidR="00514E01" w:rsidRPr="0053423A" w:rsidRDefault="00514E01" w:rsidP="001F6D5D">
            <w:pPr>
              <w:numPr>
                <w:ilvl w:val="0"/>
                <w:numId w:val="168"/>
              </w:numPr>
              <w:spacing w:line="276" w:lineRule="auto"/>
              <w:jc w:val="both"/>
              <w:rPr>
                <w:rFonts w:eastAsia="Calibri" w:cs="Times New Roman"/>
                <w:sz w:val="20"/>
                <w:szCs w:val="20"/>
                <w:lang w:val="hy-AM"/>
              </w:rPr>
            </w:pPr>
            <w:r w:rsidRPr="0053423A">
              <w:rPr>
                <w:rFonts w:eastAsia="Calibri" w:cs="Times New Roman"/>
                <w:sz w:val="20"/>
                <w:szCs w:val="20"/>
                <w:lang w:val="hy-AM"/>
              </w:rPr>
              <w:t>Տարեց անձանց կրթության ապահովում՝ ողջ կյանքի ընթացքում.</w:t>
            </w:r>
          </w:p>
          <w:p w:rsidR="00514E01" w:rsidRPr="0053423A" w:rsidRDefault="00514E01" w:rsidP="001F6D5D">
            <w:pPr>
              <w:numPr>
                <w:ilvl w:val="0"/>
                <w:numId w:val="168"/>
              </w:numPr>
              <w:spacing w:line="276" w:lineRule="auto"/>
              <w:jc w:val="both"/>
              <w:rPr>
                <w:rFonts w:eastAsia="Calibri" w:cs="Times New Roman"/>
                <w:sz w:val="20"/>
                <w:szCs w:val="20"/>
                <w:lang w:val="hy-AM"/>
              </w:rPr>
            </w:pPr>
            <w:r w:rsidRPr="0053423A">
              <w:rPr>
                <w:rFonts w:eastAsia="Calibri" w:cs="Times New Roman"/>
                <w:sz w:val="20"/>
                <w:szCs w:val="20"/>
                <w:lang w:val="hy-AM"/>
              </w:rPr>
              <w:t>Տարեց անձանց ավելի երկար աշխատանքային կյանքի ապահովում.</w:t>
            </w:r>
          </w:p>
          <w:p w:rsidR="00514E01" w:rsidRPr="0053423A" w:rsidRDefault="00514E01" w:rsidP="001F6D5D">
            <w:pPr>
              <w:numPr>
                <w:ilvl w:val="0"/>
                <w:numId w:val="168"/>
              </w:numPr>
              <w:spacing w:line="276" w:lineRule="auto"/>
              <w:jc w:val="both"/>
              <w:rPr>
                <w:rFonts w:eastAsia="Calibri" w:cs="Times New Roman"/>
                <w:sz w:val="20"/>
                <w:szCs w:val="20"/>
                <w:lang w:val="hy-AM"/>
              </w:rPr>
            </w:pPr>
            <w:r w:rsidRPr="0053423A">
              <w:rPr>
                <w:rFonts w:eastAsia="Calibri" w:cs="Times New Roman"/>
                <w:sz w:val="20"/>
                <w:szCs w:val="20"/>
                <w:lang w:val="hy-AM"/>
              </w:rPr>
              <w:t>Սոցիալական այլընտրանքային ծառայությունների (տնային խնամք, ցերեկային կենտրոններ և այլն) համակարգի ներդնում:</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Միաժամանակ, 2014թ. փետրվարի 19-ին Եվրոպայի խորհրդի Նախարարների կոմիտեի կողմից ընդունվել է Տարեցների իրավունքների պաշտպանության խթանման վերաբերյալ առաջարկ-հանձնարարականը (CM Recommendation (2014) 2), որով վերահաստատվում է տարեցների իրավունքների պաշտպանության անհրաժեշտությունը, և անդամ պետություններին առաջարկվում են մի շարք միջոցառումներ տարիքային խտրականության դեմ պայքարելու համար: Փաստաթղթում նշված են տարեցների առջև ծառացած հիմնական մարտահրավերները և առաջարկվում հետևյալ քայլերը՝ խտրականության բացառում, ինքնավարության և մասնակցության ապահովում, բռնությունից և չարաշահումից պաշտպանություն, սոցիալական պաշտպանություն և զբաղվածություն, խնամք և արդարադատության իրականացում:</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       Վերը նշված  փաստաթղթերը հիմնվում են տարեցների  առողջության և ակտիվ ապրելակերպի  իրավունքի վրա, ընդգծում են տարեցների ներուժն ու փորձը և  նրանց պոտենցիալ ներդրումները՝ անկախ ֆիզիկական և մտավոր խոչընդոտներից: </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 xml:space="preserve">1.1.Կարգավորման հարաբերությունների ներկա վիճակը և առկա խնդիրները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lastRenderedPageBreak/>
              <w:t xml:space="preserve">        Ըստ վիճակագրական տվյալների, Հայաստանի Հանրապետության մշտական բնակչությունը 2019թ. հունվարի 1-ի դրությամբ կազմում է 2 965,1 հազ. մարդ, 63 տարին լրացած անձանց թիվը 328 410 է  (որից կին՝ 243 071):  Տարիքային կենսաթոշակառուները կազմում են բնակչության ընդհանուր թվաքանակի  ավելի քան 11%-ը :  Կյանքի միջին տևողությունը 75,4 տարի է (կանանց համար՝ 78,7, տղամարդկանց համար՝ 71,9): Աշխատող տարիքային կենսաթոշակառուների թիվը 47 789 է, կամ նրանց ընդհանուր թվի 14,5 %-ը: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       Հայաստանի Հանրապետությունը, ինչպես և ողջ աշխարհը, կանգնած է  բնակչության ծերացման և դրա հետևանքները հաղթահարելու մարտահրավերի առջև: Եթե տարիներ առաջ մեր պետությունը իր պարտավորությունն էր համարում միայն տարեցների սոցիալական ու նյութական կարիքները բավարարելը, ապա այսօր տարեց բնակչության պահանջմունքների սպեկտրը  դիտարկվում է ավելի բազմաշերտ և բազմազան՝ պայմանավորված ժամանակակից զարգացած երկրների փորձի վերաբերյալ տեղեկատվության հասանելիության մեծացման, մարդկանց գիտակցական մակարդակի բարձրացման և այլ գործոնների հետ: Այս համատեքստում, մենք խնդիր ունենք փոխելու տարեցերի նկատմամբ մեր մարտավարությունը և մինչ այժմ առաջնահերթ համարվող՝ տարեցների սոցիալական պաշտպա</w:t>
            </w:r>
            <w:r w:rsidRPr="0053423A">
              <w:rPr>
                <w:rFonts w:eastAsia="Calibri" w:cs="Times New Roman"/>
                <w:sz w:val="20"/>
                <w:szCs w:val="20"/>
                <w:lang w:val="hy-AM"/>
              </w:rPr>
              <w:softHyphen/>
              <w:t>նու</w:t>
            </w:r>
            <w:r w:rsidRPr="0053423A">
              <w:rPr>
                <w:rFonts w:eastAsia="Calibri" w:cs="Times New Roman"/>
                <w:sz w:val="20"/>
                <w:szCs w:val="20"/>
                <w:lang w:val="hy-AM"/>
              </w:rPr>
              <w:softHyphen/>
              <w:t xml:space="preserve">թյունից ու խնամքից անցում կատարել (պահպանելով, իհարկե, ըստ անհրաժեշտության, նաև այդ բաղադրիչը) դեպի առողջ և ակտիվ կենսակերպ վարելով ծերացմանն ուղղված գործողությունների իրականացում, խնամքի ավանդական հաստատություններից՝ դեպի համայնքային ծառայություններ, ինչը հնարավոր կդարձնի, որ մարդիկ հասկանան, զարգացնեն և օգտագործեն իրենց ֆիզիկական, սոցիալական և մտավոր  ներուժը ողջ կյանքի ընթացքում ու ըստ իրենց նախասիրությունների և հնարավորությունների՝ մասնակցեն հասարակական կյանքին և որոշումների կայացմանը: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    Ներկա դրությամբ Հայաստանի Հանրապետությունում գործում է տարեց և/կամ հաշմանդամություն ունեցող (այդ թվում՝ հոգեկան առողջության կամ մտավոր խնդիրներ ունեցող) անձանց շուրջօրյա խնամքի ծառայություն մատուցող 12 հաստատություն (տուն-ինտերնատ, խնամքի կենտրոն, խնամքի տուն), այդ թվում 7-ը՝ ոչ պետական: Բոլոր հաստատություններում միասին բնակվում է շուրջ 1390 մարդ (որից՝ ոչ պետական հաստատություններում 180 մարդ), իսկ տնային պայմաններում սպասարկվում է ավելի քան 3800 մարդ, իսկ ցերեկային կենտրոններ հաճախում է շուրջ 2000-ը:  Միաժամանակ 150 տարեց ընդգրկված է Լոռու և Շիրակի մարզերի 10 համայնքներում 2018թ. ստեղծված ակտիվ երկարակեցության խմբերում, որոնք ակտիվորեն զբաղվում են համայնքի խնդիրներով, օգնում համայնքի խնամքի կարիք ունեցող տարեցներին: Յուրաքանչյուր խումբ ունի իր լիդերը, իսկ նրանց աշխատանքը համակարգվում է մարզային համակարգողի կողմից:</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      Անկախ այն հանգամանքից, որ </w:t>
            </w:r>
            <w:r w:rsidRPr="0053423A">
              <w:rPr>
                <w:rFonts w:eastAsia="Calibri" w:cs="Times New Roman"/>
                <w:sz w:val="20"/>
                <w:szCs w:val="20"/>
                <w:lang w:val="et-EE"/>
              </w:rPr>
              <w:t>ծերացման հետևանքների հաղթահարման և տարեցների սոցիա</w:t>
            </w:r>
            <w:r w:rsidRPr="0053423A">
              <w:rPr>
                <w:rFonts w:eastAsia="Calibri" w:cs="Times New Roman"/>
                <w:sz w:val="20"/>
                <w:szCs w:val="20"/>
                <w:lang w:val="et-EE"/>
              </w:rPr>
              <w:softHyphen/>
              <w:t xml:space="preserve">լական պաշտպանության ոլորտում վերջին տարիներին </w:t>
            </w:r>
            <w:r w:rsidRPr="0053423A">
              <w:rPr>
                <w:rFonts w:eastAsia="Calibri" w:cs="Times New Roman"/>
                <w:sz w:val="20"/>
                <w:szCs w:val="20"/>
                <w:lang w:val="hy-AM"/>
              </w:rPr>
              <w:t>իրականացվել են բազմաթիվ ծրագրեր, միջոցառումներ, ընդունվել՝ իրավական ակտեր, դեռևս առկա են  բազմաթիվ չլուծված խնդիրներ և նոր մարտահրավերներ.</w:t>
            </w:r>
          </w:p>
          <w:p w:rsidR="00514E01" w:rsidRPr="0053423A" w:rsidRDefault="00514E01" w:rsidP="001F6D5D">
            <w:pPr>
              <w:numPr>
                <w:ilvl w:val="0"/>
                <w:numId w:val="167"/>
              </w:numPr>
              <w:spacing w:line="276" w:lineRule="auto"/>
              <w:jc w:val="both"/>
              <w:rPr>
                <w:rFonts w:eastAsia="Calibri" w:cs="Times New Roman"/>
                <w:sz w:val="20"/>
                <w:szCs w:val="20"/>
                <w:lang w:val="hy-AM"/>
              </w:rPr>
            </w:pPr>
            <w:r w:rsidRPr="0053423A">
              <w:rPr>
                <w:rFonts w:eastAsia="Calibri" w:cs="Times New Roman"/>
                <w:sz w:val="20"/>
                <w:szCs w:val="20"/>
                <w:lang w:val="hy-AM"/>
              </w:rPr>
              <w:t>գործող սոցիա</w:t>
            </w:r>
            <w:r w:rsidRPr="0053423A">
              <w:rPr>
                <w:rFonts w:eastAsia="Calibri" w:cs="Times New Roman"/>
                <w:sz w:val="20"/>
                <w:szCs w:val="20"/>
                <w:lang w:val="hy-AM"/>
              </w:rPr>
              <w:softHyphen/>
              <w:t>լական ծառայությունների տրամադրման ներկա համակարգի կողմից՝ տարեցների սոցիալ-հոգեբանական, իրավական, առողջապահական, բնակարանային ապահո</w:t>
            </w:r>
            <w:r w:rsidRPr="0053423A">
              <w:rPr>
                <w:rFonts w:eastAsia="Calibri" w:cs="Times New Roman"/>
                <w:sz w:val="20"/>
                <w:szCs w:val="20"/>
                <w:lang w:val="hy-AM"/>
              </w:rPr>
              <w:softHyphen/>
              <w:t>վության կարիքներն ամբողջ ծավալով բավարարելու անկարողությունը.</w:t>
            </w:r>
          </w:p>
          <w:p w:rsidR="00514E01" w:rsidRPr="0053423A" w:rsidRDefault="00514E01" w:rsidP="001F6D5D">
            <w:pPr>
              <w:numPr>
                <w:ilvl w:val="0"/>
                <w:numId w:val="167"/>
              </w:numPr>
              <w:spacing w:line="276" w:lineRule="auto"/>
              <w:jc w:val="both"/>
              <w:rPr>
                <w:rFonts w:eastAsia="Calibri" w:cs="Times New Roman"/>
                <w:sz w:val="20"/>
                <w:szCs w:val="20"/>
                <w:lang w:val="hy-AM"/>
              </w:rPr>
            </w:pPr>
            <w:r w:rsidRPr="0053423A">
              <w:rPr>
                <w:rFonts w:eastAsia="Calibri" w:cs="Times New Roman"/>
                <w:sz w:val="20"/>
                <w:szCs w:val="20"/>
                <w:lang w:val="hy-AM"/>
              </w:rPr>
              <w:t>տարեցներին տրամադրվող սոցիալական ծառայությունների աշխարհա</w:t>
            </w:r>
            <w:r w:rsidRPr="0053423A">
              <w:rPr>
                <w:rFonts w:eastAsia="Calibri" w:cs="Times New Roman"/>
                <w:sz w:val="20"/>
                <w:szCs w:val="20"/>
                <w:lang w:val="hy-AM"/>
              </w:rPr>
              <w:softHyphen/>
              <w:t xml:space="preserve">գրորեն անհամաչափ  բաշխվածությունը  (դրանք հիմնականում տեղակայված են քաղաքային համայնքներում և սպասարկում են սահմանափակ թվով տարեցների). </w:t>
            </w:r>
          </w:p>
          <w:p w:rsidR="00514E01" w:rsidRPr="0053423A" w:rsidRDefault="00514E01" w:rsidP="001F6D5D">
            <w:pPr>
              <w:numPr>
                <w:ilvl w:val="0"/>
                <w:numId w:val="167"/>
              </w:numPr>
              <w:spacing w:line="276" w:lineRule="auto"/>
              <w:jc w:val="both"/>
              <w:rPr>
                <w:rFonts w:eastAsia="Calibri" w:cs="Times New Roman"/>
                <w:sz w:val="20"/>
                <w:szCs w:val="20"/>
                <w:lang w:val="hy-AM"/>
              </w:rPr>
            </w:pPr>
            <w:r w:rsidRPr="0053423A">
              <w:rPr>
                <w:rFonts w:eastAsia="Calibri" w:cs="Times New Roman"/>
                <w:sz w:val="20"/>
                <w:szCs w:val="20"/>
                <w:lang w:val="hy-AM"/>
              </w:rPr>
              <w:t>Հայաստանում  տարեցների ակտիվության ցուցանիշների ամբողջական հա</w:t>
            </w:r>
            <w:r w:rsidRPr="0053423A">
              <w:rPr>
                <w:rFonts w:eastAsia="Calibri" w:cs="Times New Roman"/>
                <w:sz w:val="20"/>
                <w:szCs w:val="20"/>
                <w:lang w:val="hy-AM"/>
              </w:rPr>
              <w:softHyphen/>
              <w:t>վաքագրման մեխանիզմի բացակայությունը. (ՄԱԿ</w:t>
            </w:r>
            <w:r w:rsidRPr="0053423A">
              <w:rPr>
                <w:rFonts w:eastAsia="Calibri" w:cs="Times New Roman"/>
                <w:sz w:val="20"/>
                <w:szCs w:val="20"/>
                <w:lang w:val="af-ZA"/>
              </w:rPr>
              <w:t>-</w:t>
            </w:r>
            <w:r w:rsidRPr="0053423A">
              <w:rPr>
                <w:rFonts w:eastAsia="Calibri" w:cs="Times New Roman"/>
                <w:sz w:val="20"/>
                <w:szCs w:val="20"/>
                <w:lang w:val="hy-AM"/>
              </w:rPr>
              <w:t xml:space="preserve">ի Եվրոպական տնտեսական հանձնաժողովի վիճակագրական բաժանմունքի </w:t>
            </w:r>
            <w:r w:rsidRPr="0053423A">
              <w:rPr>
                <w:rFonts w:eastAsia="Calibri" w:cs="Times New Roman"/>
                <w:sz w:val="20"/>
                <w:szCs w:val="20"/>
                <w:lang w:val="af-ZA"/>
              </w:rPr>
              <w:t xml:space="preserve">կողմից </w:t>
            </w:r>
            <w:r w:rsidRPr="0053423A">
              <w:rPr>
                <w:rFonts w:eastAsia="Calibri" w:cs="Times New Roman"/>
                <w:sz w:val="20"/>
                <w:szCs w:val="20"/>
                <w:lang w:val="hy-AM"/>
              </w:rPr>
              <w:t>տարածաշրջանի երկրների տարեցների ակտիվության իրավիճակի գնահատման համար</w:t>
            </w:r>
            <w:r w:rsidRPr="0053423A">
              <w:rPr>
                <w:rFonts w:eastAsia="Calibri" w:cs="Times New Roman"/>
                <w:sz w:val="20"/>
                <w:szCs w:val="20"/>
                <w:lang w:val="af-ZA"/>
              </w:rPr>
              <w:t xml:space="preserve"> առաջարկված </w:t>
            </w:r>
            <w:r w:rsidRPr="0053423A">
              <w:rPr>
                <w:rFonts w:eastAsia="Calibri" w:cs="Times New Roman"/>
                <w:sz w:val="20"/>
                <w:szCs w:val="20"/>
                <w:lang w:val="hy-AM"/>
              </w:rPr>
              <w:t>22 հիմնական ցուցանիշներով բնութագրվում են տարեցների զբաղվածության մակարդակը, նրանց մասնակցությունը հասարակական կյանքին, անկախ, առողջ և անվտանգ կյանքը, տարեցների ակտիվ կենսաակերպ վարելու համար հնարավորություններն ու բարենպաստ միջավայրը, սակայն Հայաստանում ներկայումս հավաքագրվում է ընդամենը 11 ցուցանիշ:  Քանի որ ժամանակակից հասարակություններում տարեցների ակտի</w:t>
            </w:r>
            <w:r w:rsidRPr="0053423A">
              <w:rPr>
                <w:rFonts w:eastAsia="Calibri" w:cs="Times New Roman"/>
                <w:sz w:val="20"/>
                <w:szCs w:val="20"/>
                <w:lang w:val="hy-AM"/>
              </w:rPr>
              <w:softHyphen/>
              <w:t>վու</w:t>
            </w:r>
            <w:r w:rsidRPr="0053423A">
              <w:rPr>
                <w:rFonts w:eastAsia="Calibri" w:cs="Times New Roman"/>
                <w:sz w:val="20"/>
                <w:szCs w:val="20"/>
                <w:lang w:val="hy-AM"/>
              </w:rPr>
              <w:softHyphen/>
              <w:t>թյան ցուցանիշները համարվում են անհրաժեշտ գործիք տարեց մարդկանց ներուժի չափման համար, ուստի Հայաստանում բացակայող ցուցանիշները խոչընդոտ են հանդիսանում տարեցների ակտիվությունը լիարժեք գնահատելու համար).</w:t>
            </w:r>
          </w:p>
          <w:p w:rsidR="00514E01" w:rsidRPr="0053423A" w:rsidRDefault="00514E01" w:rsidP="001F6D5D">
            <w:pPr>
              <w:numPr>
                <w:ilvl w:val="0"/>
                <w:numId w:val="167"/>
              </w:numPr>
              <w:spacing w:line="276" w:lineRule="auto"/>
              <w:jc w:val="both"/>
              <w:rPr>
                <w:rFonts w:eastAsia="Calibri" w:cs="Times New Roman"/>
                <w:sz w:val="20"/>
                <w:szCs w:val="20"/>
                <w:lang w:val="hy-AM"/>
              </w:rPr>
            </w:pPr>
            <w:r w:rsidRPr="0053423A">
              <w:rPr>
                <w:rFonts w:eastAsia="Calibri" w:cs="Times New Roman"/>
                <w:sz w:val="20"/>
                <w:szCs w:val="20"/>
                <w:lang w:val="hy-AM"/>
              </w:rPr>
              <w:t>տարեցներին մատուցվող սոցիալական և առողջապահական ծառայությունների  ոչ բավարար որակը և մատչելիությունը.</w:t>
            </w:r>
          </w:p>
          <w:p w:rsidR="00514E01" w:rsidRPr="0053423A" w:rsidRDefault="00514E01" w:rsidP="001F6D5D">
            <w:pPr>
              <w:numPr>
                <w:ilvl w:val="0"/>
                <w:numId w:val="167"/>
              </w:numPr>
              <w:spacing w:line="276" w:lineRule="auto"/>
              <w:jc w:val="both"/>
              <w:rPr>
                <w:rFonts w:eastAsia="Calibri" w:cs="Times New Roman"/>
                <w:sz w:val="20"/>
                <w:szCs w:val="20"/>
                <w:lang w:val="hy-AM"/>
              </w:rPr>
            </w:pPr>
            <w:r w:rsidRPr="0053423A">
              <w:rPr>
                <w:rFonts w:eastAsia="Calibri" w:cs="Times New Roman"/>
                <w:sz w:val="20"/>
                <w:szCs w:val="20"/>
                <w:lang w:val="hy-AM"/>
              </w:rPr>
              <w:t>տ</w:t>
            </w:r>
            <w:r w:rsidRPr="0053423A">
              <w:rPr>
                <w:rFonts w:eastAsia="Calibri" w:cs="Times New Roman"/>
                <w:bCs/>
                <w:sz w:val="20"/>
                <w:szCs w:val="20"/>
                <w:lang w:val="hy-AM"/>
              </w:rPr>
              <w:t>արեցների՝ սեփական իրավունքների և գործող ծառայությունների վերա</w:t>
            </w:r>
            <w:r w:rsidRPr="0053423A">
              <w:rPr>
                <w:rFonts w:eastAsia="Calibri" w:cs="Times New Roman"/>
                <w:bCs/>
                <w:sz w:val="20"/>
                <w:szCs w:val="20"/>
                <w:lang w:val="hy-AM"/>
              </w:rPr>
              <w:softHyphen/>
              <w:t xml:space="preserve">բերյալ իրազեկվածության ցածր </w:t>
            </w:r>
            <w:r w:rsidRPr="0053423A">
              <w:rPr>
                <w:rFonts w:eastAsia="Calibri" w:cs="Times New Roman"/>
                <w:bCs/>
                <w:sz w:val="20"/>
                <w:szCs w:val="20"/>
                <w:lang w:val="hy-AM"/>
              </w:rPr>
              <w:lastRenderedPageBreak/>
              <w:t>մակարդակը.</w:t>
            </w:r>
          </w:p>
          <w:p w:rsidR="00514E01" w:rsidRPr="0053423A" w:rsidRDefault="00514E01" w:rsidP="001F6D5D">
            <w:pPr>
              <w:numPr>
                <w:ilvl w:val="0"/>
                <w:numId w:val="167"/>
              </w:numPr>
              <w:spacing w:line="276" w:lineRule="auto"/>
              <w:jc w:val="both"/>
              <w:rPr>
                <w:rFonts w:eastAsia="Calibri" w:cs="Times New Roman"/>
                <w:sz w:val="20"/>
                <w:szCs w:val="20"/>
                <w:lang w:val="hy-AM"/>
              </w:rPr>
            </w:pPr>
            <w:r w:rsidRPr="0053423A">
              <w:rPr>
                <w:rFonts w:eastAsia="Calibri" w:cs="Times New Roman"/>
                <w:sz w:val="20"/>
                <w:szCs w:val="20"/>
                <w:lang w:val="hy-AM"/>
              </w:rPr>
              <w:t>տարեցների՝ առավել երկար աշխատանքային կյանքի ապահովման բա</w:t>
            </w:r>
            <w:r w:rsidRPr="0053423A">
              <w:rPr>
                <w:rFonts w:eastAsia="Calibri" w:cs="Times New Roman"/>
                <w:sz w:val="20"/>
                <w:szCs w:val="20"/>
                <w:lang w:val="hy-AM"/>
              </w:rPr>
              <w:softHyphen/>
              <w:t>վա</w:t>
            </w:r>
            <w:r w:rsidRPr="0053423A">
              <w:rPr>
                <w:rFonts w:eastAsia="Calibri" w:cs="Times New Roman"/>
                <w:sz w:val="20"/>
                <w:szCs w:val="20"/>
                <w:lang w:val="hy-AM"/>
              </w:rPr>
              <w:softHyphen/>
              <w:t>րար հիմքերի բացակայությունը.</w:t>
            </w:r>
          </w:p>
          <w:p w:rsidR="00514E01" w:rsidRPr="0053423A" w:rsidRDefault="00514E01" w:rsidP="001F6D5D">
            <w:pPr>
              <w:numPr>
                <w:ilvl w:val="0"/>
                <w:numId w:val="167"/>
              </w:numPr>
              <w:spacing w:line="276" w:lineRule="auto"/>
              <w:jc w:val="both"/>
              <w:rPr>
                <w:rFonts w:eastAsia="Calibri" w:cs="Times New Roman"/>
                <w:sz w:val="20"/>
                <w:szCs w:val="20"/>
                <w:lang w:val="hy-AM"/>
              </w:rPr>
            </w:pPr>
            <w:r w:rsidRPr="0053423A">
              <w:rPr>
                <w:rFonts w:eastAsia="Calibri" w:cs="Times New Roman"/>
                <w:sz w:val="20"/>
                <w:szCs w:val="20"/>
                <w:lang w:val="hy-AM"/>
              </w:rPr>
              <w:t xml:space="preserve">պետական և համայնքային մակարդակներում որոշումների կայացմանը տարեցների մասնակցության ապահովման մեխանիզմների բացակայությունը. </w:t>
            </w:r>
          </w:p>
          <w:p w:rsidR="00514E01" w:rsidRPr="0053423A" w:rsidRDefault="00514E01" w:rsidP="001F6D5D">
            <w:pPr>
              <w:numPr>
                <w:ilvl w:val="0"/>
                <w:numId w:val="167"/>
              </w:numPr>
              <w:spacing w:line="276" w:lineRule="auto"/>
              <w:jc w:val="both"/>
              <w:rPr>
                <w:rFonts w:eastAsia="Calibri" w:cs="Times New Roman"/>
                <w:sz w:val="20"/>
                <w:szCs w:val="20"/>
                <w:lang w:val="hy-AM"/>
              </w:rPr>
            </w:pPr>
            <w:r w:rsidRPr="0053423A">
              <w:rPr>
                <w:rFonts w:eastAsia="Calibri" w:cs="Times New Roman"/>
                <w:sz w:val="20"/>
                <w:szCs w:val="20"/>
                <w:lang w:val="hy-AM"/>
              </w:rPr>
              <w:t>տարեցներին համայնքային պատշաճ ծառայություններ մատուցելու համար պետական ու տեղական ինքնակառավարման մարմինների կողմից ստացվող ֆինանսավոր</w:t>
            </w:r>
            <w:r w:rsidRPr="0053423A">
              <w:rPr>
                <w:rFonts w:eastAsia="Calibri" w:cs="Times New Roman"/>
                <w:sz w:val="20"/>
                <w:szCs w:val="20"/>
                <w:lang w:val="hy-AM"/>
              </w:rPr>
              <w:softHyphen/>
              <w:t>ման ոչ բավարար լինելը.</w:t>
            </w:r>
          </w:p>
          <w:p w:rsidR="00514E01" w:rsidRPr="0053423A" w:rsidRDefault="00514E01" w:rsidP="001F6D5D">
            <w:pPr>
              <w:numPr>
                <w:ilvl w:val="0"/>
                <w:numId w:val="167"/>
              </w:numPr>
              <w:spacing w:line="276" w:lineRule="auto"/>
              <w:jc w:val="both"/>
              <w:rPr>
                <w:rFonts w:eastAsia="Calibri" w:cs="Times New Roman"/>
                <w:sz w:val="20"/>
                <w:szCs w:val="20"/>
                <w:lang w:val="hy-AM"/>
              </w:rPr>
            </w:pPr>
            <w:r w:rsidRPr="0053423A">
              <w:rPr>
                <w:rFonts w:eastAsia="Calibri" w:cs="Times New Roman"/>
                <w:sz w:val="20"/>
                <w:szCs w:val="20"/>
                <w:lang w:val="hy-AM"/>
              </w:rPr>
              <w:t>ծառայությունների պատվիրակման համար ռեսուրս</w:t>
            </w:r>
            <w:r w:rsidRPr="0053423A">
              <w:rPr>
                <w:rFonts w:eastAsia="Calibri" w:cs="Times New Roman"/>
                <w:sz w:val="20"/>
                <w:szCs w:val="20"/>
                <w:lang w:val="hy-AM"/>
              </w:rPr>
              <w:softHyphen/>
              <w:t>ների և  «մրցակցային» մեխանիզմների անբավարար լինելը և այլն.</w:t>
            </w:r>
          </w:p>
          <w:p w:rsidR="00514E01" w:rsidRPr="0053423A" w:rsidRDefault="00514E01" w:rsidP="001F6D5D">
            <w:pPr>
              <w:numPr>
                <w:ilvl w:val="0"/>
                <w:numId w:val="167"/>
              </w:numPr>
              <w:spacing w:line="276" w:lineRule="auto"/>
              <w:jc w:val="both"/>
              <w:rPr>
                <w:rFonts w:eastAsia="Calibri" w:cs="Times New Roman"/>
                <w:sz w:val="20"/>
                <w:szCs w:val="20"/>
                <w:lang w:val="hy-AM"/>
              </w:rPr>
            </w:pPr>
            <w:r w:rsidRPr="0053423A">
              <w:rPr>
                <w:rFonts w:eastAsia="Calibri" w:cs="Times New Roman"/>
                <w:sz w:val="20"/>
                <w:szCs w:val="20"/>
                <w:lang w:val="hy-AM"/>
              </w:rPr>
              <w:t>համայնքային և այլընտրանքյաին ծառայությունների անբավարար լինելը.</w:t>
            </w:r>
          </w:p>
          <w:p w:rsidR="00514E01" w:rsidRPr="0053423A" w:rsidRDefault="00514E01" w:rsidP="001F6D5D">
            <w:pPr>
              <w:numPr>
                <w:ilvl w:val="0"/>
                <w:numId w:val="167"/>
              </w:numPr>
              <w:spacing w:line="276" w:lineRule="auto"/>
              <w:jc w:val="both"/>
              <w:rPr>
                <w:rFonts w:eastAsia="Calibri" w:cs="Times New Roman"/>
                <w:sz w:val="20"/>
                <w:szCs w:val="20"/>
                <w:lang w:val="hy-AM"/>
              </w:rPr>
            </w:pPr>
            <w:r w:rsidRPr="0053423A">
              <w:rPr>
                <w:rFonts w:eastAsia="Calibri" w:cs="Times New Roman"/>
                <w:sz w:val="20"/>
                <w:szCs w:val="20"/>
                <w:lang w:val="hy-AM"/>
              </w:rPr>
              <w:t>ծերաբանության և ծերաբուժության (գերիատրիա, գերոնտոլոգիա) ինստիտուտների անկատարությունը և այլն:</w:t>
            </w:r>
          </w:p>
          <w:p w:rsidR="00514E01" w:rsidRPr="0053423A" w:rsidRDefault="00514E01" w:rsidP="00A67858">
            <w:pPr>
              <w:spacing w:line="276" w:lineRule="auto"/>
              <w:jc w:val="both"/>
              <w:rPr>
                <w:rFonts w:eastAsia="Calibri" w:cs="Times New Roman"/>
                <w:b/>
                <w:bCs/>
                <w:sz w:val="20"/>
                <w:szCs w:val="20"/>
                <w:lang w:val="hy-AM"/>
              </w:rPr>
            </w:pPr>
            <w:r w:rsidRPr="0053423A">
              <w:rPr>
                <w:rFonts w:eastAsia="Calibri" w:cs="Times New Roman"/>
                <w:b/>
                <w:sz w:val="20"/>
                <w:szCs w:val="20"/>
                <w:lang w:val="hy-AM"/>
              </w:rPr>
              <w:t xml:space="preserve">1.2.Առկա խնդիրների առաջարկվող լուծումները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Առկա խնդիրները համակարգային փոփոխություններն ու հայեցակարգային մոտեցումների նորովի սահմանումն են, որին միտված է սույն նախագծի ընդունումը: Մասնավորապես, այսօր արդեն հրամայական է խնամքի ապաինստիտուցիոնալացումը և դրա փոխարինումը այլընտրանքային համայնքային ծառայություններով: Սույն նախագծով հաստատվող հայեցակարգը կտա մի շարք հարցերի պատասխանը: Միաժամանակ պետք է ամրագրել այն փաստը, որ  համայնքային ծառայությունների զարգացումը մի պետական մարմնի մենաշնորհ չէ, այս գործընթացում պետք է ներգրավված լինեն պետական և տարածքային կառավարման տարբեր մարմիններ, ինչպես նաև իմպերատիվ միջոցներով շատ արագ փոխել տասնամյակներով գործող խնամքի հաստատությունները նույնպես հնարավոր և իրատեսական չէ, քանի որ այսօր դեռ չկան համարժեք ծառայությունները և ռեսուրսները: Միջազգային փորձը ցույց է տվել, որ նման գործընթացը պետություններում իրականացվում է տասնյակ տարիներով (օրինակ՝ Հունգարիայում, Չեխիայում, Բուլղարիայում ապաինստիտուցիոնալացման գործընթացն իրականացվել է մոտ 20 տարում): Ուստի սույն հայեցակարգը առաջին հերթին կապահովի տարեցների  խնամքի ապաինստիտուցիոնալացման գործընթացի իրավական կողմը՝ սահմանելով մոդելներ և մեխանիզմներ համայնքներում ներդրվող այլընտրանքային տարբեր ծառայությունների մատուցման համար, այդ թվում՝ ֆինանսավորման տարբեր մոդելներ, նաև կամրագրվեն հստակ գործողություններ և կատարման ժամկետներ առաջիկա հինգ տարիների համար:</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2. Միջոցառման իրականացումից ակնկալվող արդյունքը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        Սույն իրավական ակտի ընդունման արդյունքում, ակնկալվում է, որ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1)յուրաքանչյուր տարի, խնամքի հաստատությունների կարողությունների  և շահառուների կարիքների անհատական գնահատման հիման վրա  շահառուների առնվազն 5%-ը կվերադառնա ընտանիք (ի դեպ՝ ընտանիք ունեցող շահառուները կազմում են շուրջօրյա խնամքի հաստատություններում բնակվողների ավելի քան 50%-ը), առնվազն 10%-ը կօգտվի համայնքային այլընտրանքային ծառայություններից: Ակնկալվում է, որ յուրաքանչյուր տարի առնվազն 3 համայնքում կմատուցվեն այլընտրանքային ծառայություններ նվազագույնը 70 տարեցի: Գործընթացի սկզբնական փուլում այն կվերաբերի միայն շուրջօրյա խնամքի ընդհանուր տիպի հաստատությունների խնամվողներին: Արդյունքում 5 տարվա ընթացքում ընդհանուր տիպի հաստատություններում բնակվող 640 շահառուից ընտանիք կվերադառնա կամ համայնքային տարբեր ծառայություններից կօգտվի 480 մարդ:</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2)Կսահմանվեն և կներդրվեն ծառայությունների ֆինանսավորման այլընտրանքային մոդելներ (պետություն-համայնք-մասնավոր-հասարակական կազմակերպություն-շահառու  և այլ ձևաչափերով համագործակցության շրջանակներում):</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3)Կզարգանան և կհզորանան  համայնքի կարողություններն ու ռեսուրսները՝ տեղական սոցիալական ծրագրերի մշակման և իրականացման համատեքստում:</w:t>
            </w:r>
            <w:r w:rsidRPr="0053423A">
              <w:rPr>
                <w:rFonts w:ascii="Calibri" w:eastAsia="Calibri" w:hAnsi="Calibri" w:cs="Calibri"/>
                <w:b/>
                <w:sz w:val="20"/>
                <w:szCs w:val="20"/>
                <w:lang w:val="hy-AM"/>
              </w:rPr>
              <w:t> </w:t>
            </w:r>
          </w:p>
          <w:p w:rsidR="00514E01" w:rsidRPr="0053423A" w:rsidRDefault="00514E01" w:rsidP="00A67858">
            <w:pPr>
              <w:spacing w:line="276" w:lineRule="auto"/>
              <w:rPr>
                <w:sz w:val="20"/>
                <w:szCs w:val="20"/>
                <w:lang w:val="hy-AM"/>
              </w:rPr>
            </w:pPr>
          </w:p>
        </w:tc>
      </w:tr>
      <w:tr w:rsidR="00514E01" w:rsidRPr="00DE2EFA" w:rsidTr="00BC61ED">
        <w:tc>
          <w:tcPr>
            <w:tcW w:w="630" w:type="dxa"/>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lastRenderedPageBreak/>
              <w:t>3</w:t>
            </w: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eastAsia="ru-RU"/>
              </w:rPr>
            </w:pPr>
            <w:r w:rsidRPr="0053423A">
              <w:rPr>
                <w:rFonts w:eastAsia="Times New Roman" w:cs="Times New Roman"/>
                <w:b/>
                <w:sz w:val="20"/>
                <w:szCs w:val="20"/>
                <w:u w:val="single"/>
                <w:lang w:val="hy-AM" w:eastAsia="ru-RU"/>
              </w:rPr>
              <w:t>3.1. Յուրաքանչյուր տարի պետական միջնաժամկետ ծախսերի ծրագրի քննարկման արդյունքներով նվազագույն աշխատավարձի բարձրացման համապատասխան հնարավորության առկայության պարագայում՝ «Նվազագույն ամսական աշխատավարձի մասին» Հայաստանի Հանրապետության օրենքում փոփոխություններ կատարելու մասին» ՀՀ օրենքի նախագծի մշակում և Վարչապետի աշխատակազմ ներկայացում</w:t>
            </w:r>
          </w:p>
          <w:p w:rsidR="00514E01" w:rsidRPr="0053423A" w:rsidRDefault="00514E01" w:rsidP="00A67858">
            <w:pPr>
              <w:spacing w:line="276" w:lineRule="auto"/>
              <w:jc w:val="both"/>
              <w:rPr>
                <w:rFonts w:eastAsia="Times New Roman" w:cs="Times New Roman"/>
                <w:b/>
                <w:sz w:val="20"/>
                <w:szCs w:val="20"/>
                <w:lang w:val="hy-AM" w:eastAsia="ru-RU"/>
              </w:rPr>
            </w:pPr>
            <w:r w:rsidRPr="0053423A">
              <w:rPr>
                <w:rFonts w:eastAsia="Times New Roman" w:cs="Times New Roman"/>
                <w:b/>
                <w:sz w:val="20"/>
                <w:szCs w:val="20"/>
                <w:lang w:val="hy-AM" w:eastAsia="ru-RU"/>
              </w:rPr>
              <w:t>1.</w:t>
            </w:r>
            <w:r w:rsidRPr="0053423A">
              <w:rPr>
                <w:rFonts w:eastAsia="Times New Roman" w:cs="Times New Roman"/>
                <w:b/>
                <w:sz w:val="20"/>
                <w:szCs w:val="20"/>
                <w:lang w:val="hy-AM" w:eastAsia="ru-RU"/>
              </w:rPr>
              <w:tab/>
              <w:t>Միջոցառման իրականացման անհրաժեշտությունը և նպատակը</w:t>
            </w:r>
          </w:p>
          <w:p w:rsidR="00514E01" w:rsidRPr="0053423A" w:rsidRDefault="00514E01" w:rsidP="00A67858">
            <w:pPr>
              <w:spacing w:line="276" w:lineRule="auto"/>
              <w:jc w:val="both"/>
              <w:rPr>
                <w:rFonts w:eastAsia="Times New Roman" w:cs="Times Armenian"/>
                <w:bCs/>
                <w:iCs/>
                <w:sz w:val="20"/>
                <w:szCs w:val="20"/>
                <w:lang w:val="af-ZA" w:eastAsia="ru-RU"/>
              </w:rPr>
            </w:pPr>
            <w:r w:rsidRPr="0053423A">
              <w:rPr>
                <w:rFonts w:eastAsia="Times New Roman" w:cs="Times New Roman"/>
                <w:sz w:val="20"/>
                <w:szCs w:val="20"/>
                <w:lang w:val="hy-AM" w:eastAsia="ru-RU"/>
              </w:rPr>
              <w:t>Միջոցառման անհրաժեշտությունը բխում է ՀՀ կառավարության 2019</w:t>
            </w:r>
            <w:r w:rsidRPr="0053423A">
              <w:rPr>
                <w:rFonts w:eastAsia="Times New Roman" w:cs="Sylfaen"/>
                <w:sz w:val="20"/>
                <w:szCs w:val="20"/>
                <w:lang w:val="hy-AM" w:eastAsia="ru-RU"/>
              </w:rPr>
              <w:t>թ</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փետրվարի 8</w:t>
            </w:r>
            <w:r w:rsidRPr="0053423A">
              <w:rPr>
                <w:rFonts w:eastAsia="Times New Roman" w:cs="Times New Roman"/>
                <w:sz w:val="20"/>
                <w:szCs w:val="20"/>
                <w:lang w:val="hy-AM" w:eastAsia="ru-RU"/>
              </w:rPr>
              <w:t>-</w:t>
            </w:r>
            <w:r w:rsidRPr="0053423A">
              <w:rPr>
                <w:rFonts w:eastAsia="Times New Roman" w:cs="Sylfaen"/>
                <w:sz w:val="20"/>
                <w:szCs w:val="20"/>
                <w:lang w:val="hy-AM" w:eastAsia="ru-RU"/>
              </w:rPr>
              <w:t>ի</w:t>
            </w:r>
            <w:r w:rsidRPr="0053423A">
              <w:rPr>
                <w:rFonts w:eastAsia="Times New Roman" w:cs="Times New Roman"/>
                <w:sz w:val="20"/>
                <w:szCs w:val="20"/>
                <w:lang w:val="hy-AM" w:eastAsia="ru-RU"/>
              </w:rPr>
              <w:t xml:space="preserve"> N 65-</w:t>
            </w:r>
            <w:r w:rsidRPr="0053423A">
              <w:rPr>
                <w:rFonts w:eastAsia="Times New Roman" w:cs="Sylfaen"/>
                <w:sz w:val="20"/>
                <w:szCs w:val="20"/>
                <w:lang w:val="hy-AM" w:eastAsia="ru-RU"/>
              </w:rPr>
              <w:t>Ա</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որոշման</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 xml:space="preserve">դրույթներից, </w:t>
            </w:r>
            <w:r w:rsidRPr="0053423A">
              <w:rPr>
                <w:rFonts w:eastAsia="Times New Roman" w:cs="Times Armenian"/>
                <w:bCs/>
                <w:iCs/>
                <w:sz w:val="20"/>
                <w:szCs w:val="20"/>
                <w:lang w:val="af-ZA" w:eastAsia="ru-RU"/>
              </w:rPr>
              <w:t>որի 4-րդ «Ազատ, արժանապատիվ և երջանիկ քաղաքացի» բաժնի 4.2-րդ «Աղքատության հաղթահարումը, սոցիալական պաշտպանությունը և ժողովրդագրությունը» ենթաբաժնի 8-րդ պարբերությամբ նախատեսված է, որ արժանապատիվ աշխատանքի իրավունքի իրականացման նպատակով, հաշվի առնելով երկրի մակրոտնտեսական ցուցանիշները, կիրականացվի նվազագույն ամսական աշխատավարձի շարունակական բարձրացում:</w:t>
            </w:r>
          </w:p>
          <w:p w:rsidR="00514E01" w:rsidRPr="0053423A" w:rsidRDefault="00514E01" w:rsidP="00A67858">
            <w:pPr>
              <w:spacing w:line="276" w:lineRule="auto"/>
              <w:jc w:val="both"/>
              <w:rPr>
                <w:rFonts w:eastAsia="Times New Roman" w:cs="Times New Roman"/>
                <w:sz w:val="20"/>
                <w:szCs w:val="20"/>
                <w:lang w:val="af-ZA" w:eastAsia="ru-RU"/>
              </w:rPr>
            </w:pPr>
            <w:r w:rsidRPr="0053423A">
              <w:rPr>
                <w:rFonts w:eastAsia="Times New Roman" w:cs="Times Armenian"/>
                <w:bCs/>
                <w:iCs/>
                <w:sz w:val="20"/>
                <w:szCs w:val="20"/>
                <w:lang w:val="af-ZA"/>
              </w:rPr>
              <w:t>Նվազագույն աշխատավարձի բարձրացումը բխում է նաև ՀՀ վավերացրած միջազգային պայմանագրերով (Վերանայված Եվրոպական սոցիալական խարտիա, Աշխատանքի միջազգային կազմակերպության N 131 կոնվենցիա) ստանձնած պարտավորություններից:</w:t>
            </w:r>
          </w:p>
          <w:p w:rsidR="00514E01" w:rsidRPr="0053423A" w:rsidRDefault="00514E01" w:rsidP="00A67858">
            <w:pPr>
              <w:spacing w:line="276" w:lineRule="auto"/>
              <w:jc w:val="both"/>
              <w:rPr>
                <w:rFonts w:eastAsia="Times New Roman" w:cs="Times New Roman"/>
                <w:sz w:val="20"/>
                <w:szCs w:val="20"/>
                <w:lang w:val="af-ZA" w:eastAsia="ru-RU"/>
              </w:rPr>
            </w:pPr>
            <w:r w:rsidRPr="0053423A">
              <w:rPr>
                <w:rFonts w:eastAsia="Times New Roman" w:cs="Times New Roman"/>
                <w:sz w:val="20"/>
                <w:szCs w:val="20"/>
                <w:lang w:val="af-ZA" w:eastAsia="ru-RU"/>
              </w:rPr>
              <w:t>«</w:t>
            </w:r>
            <w:r w:rsidRPr="0053423A">
              <w:rPr>
                <w:rFonts w:eastAsia="Times New Roman" w:cs="Times New Roman"/>
                <w:sz w:val="20"/>
                <w:szCs w:val="20"/>
                <w:lang w:eastAsia="ru-RU"/>
              </w:rPr>
              <w:t>Նվազագույն</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ամսական</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աշխատավարձի</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մասին</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Հայաստանի</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Հանրապետության</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օրենքում</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փոփոխություններ</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կատարելու</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մասին</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ՀՀ</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օրենքի</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նախագծի</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մշակման</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նպատակը</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նվազագույն</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աշխատավարձի</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չափի</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բարձրացման</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համար</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համապատասխան</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իրավական</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հիմքի</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ապահովումն</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է</w:t>
            </w:r>
            <w:r w:rsidRPr="0053423A">
              <w:rPr>
                <w:rFonts w:eastAsia="Times New Roman" w:cs="Times New Roman"/>
                <w:sz w:val="20"/>
                <w:szCs w:val="20"/>
                <w:lang w:val="af-ZA" w:eastAsia="ru-RU"/>
              </w:rPr>
              <w:t xml:space="preserve">: </w:t>
            </w:r>
          </w:p>
          <w:p w:rsidR="00514E01" w:rsidRPr="0053423A" w:rsidRDefault="00514E01" w:rsidP="00A67858">
            <w:pPr>
              <w:spacing w:line="276" w:lineRule="auto"/>
              <w:jc w:val="both"/>
              <w:rPr>
                <w:rFonts w:eastAsia="Times New Roman" w:cs="Times New Roman"/>
                <w:b/>
                <w:sz w:val="20"/>
                <w:szCs w:val="20"/>
                <w:lang w:val="af-ZA" w:eastAsia="ru-RU"/>
              </w:rPr>
            </w:pPr>
            <w:r w:rsidRPr="0053423A">
              <w:rPr>
                <w:rFonts w:eastAsia="Times New Roman" w:cs="Times New Roman"/>
                <w:b/>
                <w:sz w:val="20"/>
                <w:szCs w:val="20"/>
                <w:lang w:val="af-ZA" w:eastAsia="ru-RU"/>
              </w:rPr>
              <w:t xml:space="preserve">1.1. </w:t>
            </w:r>
            <w:r w:rsidRPr="0053423A">
              <w:rPr>
                <w:rFonts w:eastAsia="Times New Roman" w:cs="Times New Roman"/>
                <w:b/>
                <w:sz w:val="20"/>
                <w:szCs w:val="20"/>
                <w:lang w:eastAsia="ru-RU"/>
              </w:rPr>
              <w:t>Կարգավորման</w:t>
            </w:r>
            <w:r w:rsidRPr="0053423A">
              <w:rPr>
                <w:rFonts w:eastAsia="Times New Roman" w:cs="Times New Roman"/>
                <w:b/>
                <w:sz w:val="20"/>
                <w:szCs w:val="20"/>
                <w:lang w:val="af-ZA" w:eastAsia="ru-RU"/>
              </w:rPr>
              <w:t xml:space="preserve"> </w:t>
            </w:r>
            <w:r w:rsidRPr="0053423A">
              <w:rPr>
                <w:rFonts w:eastAsia="Times New Roman" w:cs="Times New Roman"/>
                <w:b/>
                <w:sz w:val="20"/>
                <w:szCs w:val="20"/>
                <w:lang w:eastAsia="ru-RU"/>
              </w:rPr>
              <w:t>հարաբերությունների</w:t>
            </w:r>
            <w:r w:rsidRPr="0053423A">
              <w:rPr>
                <w:rFonts w:eastAsia="Times New Roman" w:cs="Times New Roman"/>
                <w:b/>
                <w:sz w:val="20"/>
                <w:szCs w:val="20"/>
                <w:lang w:val="af-ZA" w:eastAsia="ru-RU"/>
              </w:rPr>
              <w:t xml:space="preserve"> </w:t>
            </w:r>
            <w:r w:rsidRPr="0053423A">
              <w:rPr>
                <w:rFonts w:eastAsia="Times New Roman" w:cs="Times New Roman"/>
                <w:b/>
                <w:sz w:val="20"/>
                <w:szCs w:val="20"/>
                <w:lang w:eastAsia="ru-RU"/>
              </w:rPr>
              <w:t>ներկա</w:t>
            </w:r>
            <w:r w:rsidRPr="0053423A">
              <w:rPr>
                <w:rFonts w:eastAsia="Times New Roman" w:cs="Times New Roman"/>
                <w:b/>
                <w:sz w:val="20"/>
                <w:szCs w:val="20"/>
                <w:lang w:val="af-ZA" w:eastAsia="ru-RU"/>
              </w:rPr>
              <w:t xml:space="preserve"> </w:t>
            </w:r>
            <w:r w:rsidRPr="0053423A">
              <w:rPr>
                <w:rFonts w:eastAsia="Times New Roman" w:cs="Times New Roman"/>
                <w:b/>
                <w:sz w:val="20"/>
                <w:szCs w:val="20"/>
                <w:lang w:eastAsia="ru-RU"/>
              </w:rPr>
              <w:t>վիճակը</w:t>
            </w:r>
            <w:r w:rsidRPr="0053423A">
              <w:rPr>
                <w:rFonts w:eastAsia="Times New Roman" w:cs="Times New Roman"/>
                <w:b/>
                <w:sz w:val="20"/>
                <w:szCs w:val="20"/>
                <w:lang w:val="af-ZA" w:eastAsia="ru-RU"/>
              </w:rPr>
              <w:t xml:space="preserve"> </w:t>
            </w:r>
            <w:r w:rsidRPr="0053423A">
              <w:rPr>
                <w:rFonts w:eastAsia="Times New Roman" w:cs="Times New Roman"/>
                <w:b/>
                <w:sz w:val="20"/>
                <w:szCs w:val="20"/>
                <w:lang w:eastAsia="ru-RU"/>
              </w:rPr>
              <w:t>և</w:t>
            </w:r>
            <w:r w:rsidRPr="0053423A">
              <w:rPr>
                <w:rFonts w:eastAsia="Times New Roman" w:cs="Times New Roman"/>
                <w:b/>
                <w:sz w:val="20"/>
                <w:szCs w:val="20"/>
                <w:lang w:val="af-ZA" w:eastAsia="ru-RU"/>
              </w:rPr>
              <w:t xml:space="preserve"> </w:t>
            </w:r>
            <w:r w:rsidRPr="0053423A">
              <w:rPr>
                <w:rFonts w:eastAsia="Times New Roman" w:cs="Times New Roman"/>
                <w:b/>
                <w:sz w:val="20"/>
                <w:szCs w:val="20"/>
                <w:lang w:eastAsia="ru-RU"/>
              </w:rPr>
              <w:t>առկա</w:t>
            </w:r>
            <w:r w:rsidRPr="0053423A">
              <w:rPr>
                <w:rFonts w:eastAsia="Times New Roman" w:cs="Times New Roman"/>
                <w:b/>
                <w:sz w:val="20"/>
                <w:szCs w:val="20"/>
                <w:lang w:val="af-ZA" w:eastAsia="ru-RU"/>
              </w:rPr>
              <w:t xml:space="preserve"> </w:t>
            </w:r>
            <w:r w:rsidRPr="0053423A">
              <w:rPr>
                <w:rFonts w:eastAsia="Times New Roman" w:cs="Times New Roman"/>
                <w:b/>
                <w:sz w:val="20"/>
                <w:szCs w:val="20"/>
                <w:lang w:eastAsia="ru-RU"/>
              </w:rPr>
              <w:t>խնդիրները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Sylfaen"/>
                <w:sz w:val="20"/>
                <w:szCs w:val="20"/>
                <w:lang w:val="af-ZA"/>
              </w:rPr>
              <w:t>Հայաստանում ա</w:t>
            </w:r>
            <w:r w:rsidRPr="0053423A">
              <w:rPr>
                <w:rFonts w:eastAsia="Times New Roman" w:cs="Sylfaen"/>
                <w:sz w:val="20"/>
                <w:szCs w:val="20"/>
                <w:lang w:val="hy-AM"/>
              </w:rPr>
              <w:t>շխատավարձերի</w:t>
            </w:r>
            <w:r w:rsidRPr="0053423A">
              <w:rPr>
                <w:rFonts w:eastAsia="Times New Roman" w:cs="Times New Roman"/>
                <w:sz w:val="20"/>
                <w:szCs w:val="20"/>
                <w:lang w:val="af-ZA"/>
              </w:rPr>
              <w:t xml:space="preserve"> </w:t>
            </w:r>
            <w:r w:rsidRPr="0053423A">
              <w:rPr>
                <w:rFonts w:eastAsia="Times New Roman" w:cs="Sylfaen"/>
                <w:sz w:val="20"/>
                <w:szCs w:val="20"/>
                <w:lang w:val="hy-AM"/>
              </w:rPr>
              <w:t>պետական</w:t>
            </w:r>
            <w:r w:rsidRPr="0053423A">
              <w:rPr>
                <w:rFonts w:eastAsia="Times New Roman" w:cs="Times New Roman"/>
                <w:sz w:val="20"/>
                <w:szCs w:val="20"/>
                <w:lang w:val="af-ZA"/>
              </w:rPr>
              <w:t xml:space="preserve"> </w:t>
            </w:r>
            <w:r w:rsidRPr="0053423A">
              <w:rPr>
                <w:rFonts w:eastAsia="Times New Roman" w:cs="Sylfaen"/>
                <w:sz w:val="20"/>
                <w:szCs w:val="20"/>
                <w:lang w:val="hy-AM"/>
              </w:rPr>
              <w:t>կարգավորման</w:t>
            </w:r>
            <w:r w:rsidRPr="0053423A">
              <w:rPr>
                <w:rFonts w:eastAsia="Times New Roman" w:cs="Times New Roman"/>
                <w:sz w:val="20"/>
                <w:szCs w:val="20"/>
                <w:lang w:val="af-ZA"/>
              </w:rPr>
              <w:t xml:space="preserve"> </w:t>
            </w:r>
            <w:r w:rsidRPr="0053423A">
              <w:rPr>
                <w:rFonts w:eastAsia="Times New Roman" w:cs="Sylfaen"/>
                <w:sz w:val="20"/>
                <w:szCs w:val="20"/>
                <w:lang w:val="hy-AM"/>
              </w:rPr>
              <w:t>հիմնական</w:t>
            </w:r>
            <w:r w:rsidRPr="0053423A">
              <w:rPr>
                <w:rFonts w:eastAsia="Times New Roman" w:cs="Times New Roman"/>
                <w:sz w:val="20"/>
                <w:szCs w:val="20"/>
                <w:lang w:val="af-ZA"/>
              </w:rPr>
              <w:t xml:space="preserve"> </w:t>
            </w:r>
            <w:r w:rsidRPr="0053423A">
              <w:rPr>
                <w:rFonts w:eastAsia="Times New Roman" w:cs="Sylfaen"/>
                <w:sz w:val="20"/>
                <w:szCs w:val="20"/>
                <w:lang w:val="hy-AM"/>
              </w:rPr>
              <w:t>գործիք</w:t>
            </w:r>
            <w:r w:rsidRPr="0053423A">
              <w:rPr>
                <w:rFonts w:eastAsia="Times New Roman" w:cs="Sylfaen"/>
                <w:sz w:val="20"/>
                <w:szCs w:val="20"/>
                <w:lang w:val="af-ZA"/>
              </w:rPr>
              <w:t xml:space="preserve">ը </w:t>
            </w:r>
            <w:r w:rsidRPr="0053423A">
              <w:rPr>
                <w:rFonts w:eastAsia="Times New Roman" w:cs="Sylfaen"/>
                <w:sz w:val="20"/>
                <w:szCs w:val="20"/>
                <w:lang w:val="hy-AM"/>
              </w:rPr>
              <w:t>նվազագույն</w:t>
            </w:r>
            <w:r w:rsidRPr="0053423A">
              <w:rPr>
                <w:rFonts w:eastAsia="Times New Roman" w:cs="Times New Roman"/>
                <w:sz w:val="20"/>
                <w:szCs w:val="20"/>
                <w:lang w:val="af-ZA"/>
              </w:rPr>
              <w:t xml:space="preserve"> </w:t>
            </w:r>
            <w:r w:rsidRPr="0053423A">
              <w:rPr>
                <w:rFonts w:eastAsia="Times New Roman" w:cs="Sylfaen"/>
                <w:sz w:val="20"/>
                <w:szCs w:val="20"/>
                <w:lang w:val="hy-AM"/>
              </w:rPr>
              <w:t>աշխատավարձն</w:t>
            </w:r>
            <w:r w:rsidRPr="0053423A">
              <w:rPr>
                <w:rFonts w:eastAsia="Times New Roman" w:cs="Sylfaen"/>
                <w:sz w:val="20"/>
                <w:szCs w:val="20"/>
                <w:lang w:val="af-ZA"/>
              </w:rPr>
              <w:t xml:space="preserve"> </w:t>
            </w:r>
            <w:r w:rsidRPr="0053423A">
              <w:rPr>
                <w:rFonts w:eastAsia="Times New Roman" w:cs="Sylfaen"/>
                <w:sz w:val="20"/>
                <w:szCs w:val="20"/>
                <w:lang w:val="hy-AM"/>
              </w:rPr>
              <w:t>է</w:t>
            </w:r>
            <w:r w:rsidRPr="0053423A">
              <w:rPr>
                <w:rFonts w:eastAsia="Times New Roman" w:cs="Times New Roman"/>
                <w:sz w:val="20"/>
                <w:szCs w:val="20"/>
                <w:lang w:val="af-ZA"/>
              </w:rPr>
              <w:t xml:space="preserve">, </w:t>
            </w:r>
            <w:r w:rsidRPr="0053423A">
              <w:rPr>
                <w:rFonts w:eastAsia="Times New Roman" w:cs="Sylfaen"/>
                <w:sz w:val="20"/>
                <w:szCs w:val="20"/>
                <w:lang w:val="hy-AM"/>
              </w:rPr>
              <w:t>որը</w:t>
            </w:r>
            <w:r w:rsidRPr="0053423A">
              <w:rPr>
                <w:rFonts w:eastAsia="Times New Roman" w:cs="Times New Roman"/>
                <w:sz w:val="20"/>
                <w:szCs w:val="20"/>
                <w:lang w:val="af-ZA"/>
              </w:rPr>
              <w:t xml:space="preserve"> </w:t>
            </w:r>
            <w:r w:rsidRPr="0053423A">
              <w:rPr>
                <w:rFonts w:eastAsia="Times New Roman" w:cs="Sylfaen"/>
                <w:sz w:val="20"/>
                <w:szCs w:val="20"/>
                <w:lang w:val="hy-AM"/>
              </w:rPr>
              <w:t>սահմանվում</w:t>
            </w:r>
            <w:r w:rsidRPr="0053423A">
              <w:rPr>
                <w:rFonts w:eastAsia="Times New Roman" w:cs="Sylfaen"/>
                <w:sz w:val="20"/>
                <w:szCs w:val="20"/>
                <w:lang w:val="af-ZA"/>
              </w:rPr>
              <w:t xml:space="preserve"> </w:t>
            </w:r>
            <w:r w:rsidRPr="0053423A">
              <w:rPr>
                <w:rFonts w:eastAsia="Times New Roman" w:cs="Sylfaen"/>
                <w:sz w:val="20"/>
                <w:szCs w:val="20"/>
                <w:lang w:val="hy-AM"/>
              </w:rPr>
              <w:t>է</w:t>
            </w:r>
            <w:r w:rsidRPr="0053423A">
              <w:rPr>
                <w:rFonts w:eastAsia="Times New Roman" w:cs="Sylfaen"/>
                <w:sz w:val="20"/>
                <w:szCs w:val="20"/>
                <w:lang w:val="af-ZA"/>
              </w:rPr>
              <w:t xml:space="preserve"> </w:t>
            </w:r>
            <w:r w:rsidRPr="0053423A">
              <w:rPr>
                <w:rFonts w:eastAsia="Times New Roman" w:cs="Sylfaen"/>
                <w:sz w:val="20"/>
                <w:szCs w:val="20"/>
                <w:lang w:val="hy-AM"/>
              </w:rPr>
              <w:t>օրենքով</w:t>
            </w:r>
            <w:r w:rsidRPr="0053423A">
              <w:rPr>
                <w:rFonts w:eastAsia="Times New Roman" w:cs="Sylfaen"/>
                <w:sz w:val="20"/>
                <w:szCs w:val="20"/>
                <w:lang w:val="sk-SK"/>
              </w:rPr>
              <w:t>`</w:t>
            </w:r>
            <w:r w:rsidRPr="0053423A">
              <w:rPr>
                <w:rFonts w:eastAsia="Times New Roman" w:cs="Sylfaen"/>
                <w:sz w:val="20"/>
                <w:szCs w:val="20"/>
                <w:lang w:val="af-ZA"/>
              </w:rPr>
              <w:t xml:space="preserve"> </w:t>
            </w:r>
            <w:r w:rsidRPr="0053423A">
              <w:rPr>
                <w:rFonts w:eastAsia="Times New Roman" w:cs="Sylfaen"/>
                <w:sz w:val="20"/>
                <w:szCs w:val="20"/>
                <w:lang w:val="hy-AM"/>
              </w:rPr>
              <w:t>Հայաստանի</w:t>
            </w:r>
            <w:r w:rsidRPr="0053423A">
              <w:rPr>
                <w:rFonts w:eastAsia="Times New Roman" w:cs="Sylfaen"/>
                <w:sz w:val="20"/>
                <w:szCs w:val="20"/>
                <w:lang w:val="af-ZA"/>
              </w:rPr>
              <w:t xml:space="preserve"> </w:t>
            </w:r>
            <w:r w:rsidRPr="0053423A">
              <w:rPr>
                <w:rFonts w:eastAsia="Times New Roman" w:cs="Sylfaen"/>
                <w:sz w:val="20"/>
                <w:szCs w:val="20"/>
                <w:lang w:val="hy-AM"/>
              </w:rPr>
              <w:t>ողջ</w:t>
            </w:r>
            <w:r w:rsidRPr="0053423A">
              <w:rPr>
                <w:rFonts w:eastAsia="Times New Roman" w:cs="Sylfaen"/>
                <w:sz w:val="20"/>
                <w:szCs w:val="20"/>
                <w:lang w:val="af-ZA"/>
              </w:rPr>
              <w:t xml:space="preserve"> </w:t>
            </w:r>
            <w:r w:rsidRPr="0053423A">
              <w:rPr>
                <w:rFonts w:eastAsia="Times New Roman" w:cs="Sylfaen"/>
                <w:sz w:val="20"/>
                <w:szCs w:val="20"/>
                <w:lang w:val="hy-AM"/>
              </w:rPr>
              <w:t>տնտեսության</w:t>
            </w:r>
            <w:r w:rsidRPr="0053423A">
              <w:rPr>
                <w:rFonts w:eastAsia="Times New Roman" w:cs="Sylfaen"/>
                <w:sz w:val="20"/>
                <w:szCs w:val="20"/>
                <w:lang w:val="af-ZA"/>
              </w:rPr>
              <w:t xml:space="preserve"> </w:t>
            </w:r>
            <w:r w:rsidRPr="0053423A">
              <w:rPr>
                <w:rFonts w:eastAsia="Times New Roman" w:cs="Sylfaen"/>
                <w:sz w:val="20"/>
                <w:szCs w:val="20"/>
                <w:lang w:val="hy-AM"/>
              </w:rPr>
              <w:t>համար</w:t>
            </w:r>
            <w:r w:rsidRPr="0053423A">
              <w:rPr>
                <w:rFonts w:eastAsia="Times New Roman" w:cs="Sylfaen"/>
                <w:sz w:val="20"/>
                <w:szCs w:val="20"/>
                <w:lang w:val="af-ZA"/>
              </w:rPr>
              <w:t xml:space="preserve">: </w:t>
            </w:r>
            <w:r w:rsidRPr="0053423A">
              <w:rPr>
                <w:rFonts w:eastAsia="Times New Roman" w:cs="Sylfaen"/>
                <w:sz w:val="20"/>
                <w:szCs w:val="20"/>
                <w:lang w:val="hy-AM"/>
              </w:rPr>
              <w:t>Նվազագույն</w:t>
            </w:r>
            <w:r w:rsidRPr="0053423A">
              <w:rPr>
                <w:rFonts w:eastAsia="Times New Roman" w:cs="Sylfaen"/>
                <w:sz w:val="20"/>
                <w:szCs w:val="20"/>
                <w:lang w:val="af-ZA"/>
              </w:rPr>
              <w:t xml:space="preserve"> </w:t>
            </w:r>
            <w:r w:rsidRPr="0053423A">
              <w:rPr>
                <w:rFonts w:eastAsia="Times New Roman" w:cs="Sylfaen"/>
                <w:sz w:val="20"/>
                <w:szCs w:val="20"/>
                <w:lang w:val="hy-AM"/>
              </w:rPr>
              <w:t>աշխատավարձը</w:t>
            </w:r>
            <w:r w:rsidRPr="0053423A">
              <w:rPr>
                <w:rFonts w:eastAsia="Times New Roman" w:cs="Times New Roman"/>
                <w:sz w:val="20"/>
                <w:szCs w:val="20"/>
                <w:lang w:val="af-ZA"/>
              </w:rPr>
              <w:t xml:space="preserve"> </w:t>
            </w:r>
            <w:r w:rsidRPr="0053423A">
              <w:rPr>
                <w:rFonts w:eastAsia="Times New Roman" w:cs="Times New Roman"/>
                <w:sz w:val="20"/>
                <w:szCs w:val="20"/>
                <w:lang w:val="pt-BR"/>
              </w:rPr>
              <w:t>պետության</w:t>
            </w:r>
            <w:r w:rsidRPr="0053423A">
              <w:rPr>
                <w:rFonts w:eastAsia="Times New Roman" w:cs="Times New Roman"/>
                <w:sz w:val="20"/>
                <w:szCs w:val="20"/>
                <w:lang w:val="af-ZA"/>
              </w:rPr>
              <w:t xml:space="preserve"> </w:t>
            </w:r>
            <w:r w:rsidRPr="0053423A">
              <w:rPr>
                <w:rFonts w:eastAsia="Times New Roman" w:cs="Times New Roman"/>
                <w:sz w:val="20"/>
                <w:szCs w:val="20"/>
                <w:lang w:val="pt-BR"/>
              </w:rPr>
              <w:t>կողմից</w:t>
            </w:r>
            <w:r w:rsidRPr="0053423A">
              <w:rPr>
                <w:rFonts w:eastAsia="Times New Roman" w:cs="Times New Roman"/>
                <w:sz w:val="20"/>
                <w:szCs w:val="20"/>
                <w:lang w:val="af-ZA"/>
              </w:rPr>
              <w:t xml:space="preserve"> </w:t>
            </w:r>
            <w:r w:rsidRPr="0053423A">
              <w:rPr>
                <w:rFonts w:eastAsia="Times New Roman" w:cs="Times New Roman"/>
                <w:sz w:val="20"/>
                <w:szCs w:val="20"/>
                <w:lang w:val="pt-BR"/>
              </w:rPr>
              <w:t>սահմանվող</w:t>
            </w:r>
            <w:r w:rsidRPr="0053423A">
              <w:rPr>
                <w:rFonts w:eastAsia="Times New Roman" w:cs="Times New Roman"/>
                <w:sz w:val="20"/>
                <w:szCs w:val="20"/>
                <w:lang w:val="af-ZA"/>
              </w:rPr>
              <w:t xml:space="preserve"> </w:t>
            </w:r>
            <w:r w:rsidRPr="0053423A">
              <w:rPr>
                <w:rFonts w:eastAsia="Times New Roman" w:cs="Times New Roman"/>
                <w:sz w:val="20"/>
                <w:szCs w:val="20"/>
                <w:lang w:val="pt-BR"/>
              </w:rPr>
              <w:t>նվազագույն</w:t>
            </w:r>
            <w:r w:rsidRPr="0053423A">
              <w:rPr>
                <w:rFonts w:eastAsia="Times New Roman" w:cs="Times New Roman"/>
                <w:sz w:val="20"/>
                <w:szCs w:val="20"/>
                <w:lang w:val="af-ZA"/>
              </w:rPr>
              <w:t xml:space="preserve"> </w:t>
            </w:r>
            <w:r w:rsidRPr="0053423A">
              <w:rPr>
                <w:rFonts w:eastAsia="Times New Roman" w:cs="Times New Roman"/>
                <w:sz w:val="20"/>
                <w:szCs w:val="20"/>
                <w:lang w:val="pt-BR"/>
              </w:rPr>
              <w:t>երաշխիք</w:t>
            </w:r>
            <w:r w:rsidRPr="0053423A">
              <w:rPr>
                <w:rFonts w:eastAsia="Times New Roman" w:cs="Times New Roman"/>
                <w:sz w:val="20"/>
                <w:szCs w:val="20"/>
                <w:lang w:val="af-ZA"/>
              </w:rPr>
              <w:t xml:space="preserve"> </w:t>
            </w:r>
            <w:r w:rsidRPr="0053423A">
              <w:rPr>
                <w:rFonts w:eastAsia="Times New Roman" w:cs="Times New Roman"/>
                <w:sz w:val="20"/>
                <w:szCs w:val="20"/>
                <w:lang w:val="pt-BR"/>
              </w:rPr>
              <w:t>է</w:t>
            </w:r>
            <w:r w:rsidRPr="0053423A">
              <w:rPr>
                <w:rFonts w:eastAsia="Times New Roman" w:cs="Times New Roman"/>
                <w:sz w:val="20"/>
                <w:szCs w:val="20"/>
                <w:lang w:val="af-ZA"/>
              </w:rPr>
              <w:t xml:space="preserve">, </w:t>
            </w:r>
            <w:r w:rsidRPr="0053423A">
              <w:rPr>
                <w:rFonts w:eastAsia="Times New Roman" w:cs="Times New Roman"/>
                <w:sz w:val="20"/>
                <w:szCs w:val="20"/>
                <w:lang w:val="pt-BR"/>
              </w:rPr>
              <w:t>որը</w:t>
            </w:r>
            <w:r w:rsidRPr="0053423A">
              <w:rPr>
                <w:rFonts w:eastAsia="Times New Roman" w:cs="Times New Roman"/>
                <w:sz w:val="20"/>
                <w:szCs w:val="20"/>
                <w:lang w:val="af-ZA"/>
              </w:rPr>
              <w:t xml:space="preserve"> </w:t>
            </w:r>
            <w:r w:rsidRPr="0053423A">
              <w:rPr>
                <w:rFonts w:eastAsia="Times New Roman" w:cs="Times New Roman"/>
                <w:sz w:val="20"/>
                <w:szCs w:val="20"/>
                <w:lang w:val="pt-BR"/>
              </w:rPr>
              <w:t>պետք</w:t>
            </w:r>
            <w:r w:rsidRPr="0053423A">
              <w:rPr>
                <w:rFonts w:eastAsia="Times New Roman" w:cs="Times New Roman"/>
                <w:sz w:val="20"/>
                <w:szCs w:val="20"/>
                <w:lang w:val="af-ZA"/>
              </w:rPr>
              <w:t xml:space="preserve"> </w:t>
            </w:r>
            <w:r w:rsidRPr="0053423A">
              <w:rPr>
                <w:rFonts w:eastAsia="Times New Roman" w:cs="Times New Roman"/>
                <w:sz w:val="20"/>
                <w:szCs w:val="20"/>
                <w:lang w:val="pt-BR"/>
              </w:rPr>
              <w:t>է</w:t>
            </w:r>
            <w:r w:rsidRPr="0053423A">
              <w:rPr>
                <w:rFonts w:eastAsia="Times New Roman" w:cs="Times New Roman"/>
                <w:sz w:val="20"/>
                <w:szCs w:val="20"/>
                <w:lang w:val="af-ZA"/>
              </w:rPr>
              <w:t xml:space="preserve"> </w:t>
            </w:r>
            <w:r w:rsidRPr="0053423A">
              <w:rPr>
                <w:rFonts w:eastAsia="Times New Roman" w:cs="Times New Roman"/>
                <w:sz w:val="20"/>
                <w:szCs w:val="20"/>
                <w:lang w:val="hy-AM"/>
              </w:rPr>
              <w:t>ապահովի</w:t>
            </w:r>
            <w:r w:rsidRPr="0053423A">
              <w:rPr>
                <w:rFonts w:eastAsia="Times New Roman" w:cs="Times New Roman"/>
                <w:sz w:val="20"/>
                <w:szCs w:val="20"/>
                <w:lang w:val="af-ZA"/>
              </w:rPr>
              <w:t xml:space="preserve"> </w:t>
            </w:r>
            <w:r w:rsidRPr="0053423A">
              <w:rPr>
                <w:rFonts w:eastAsia="Times New Roman" w:cs="Times New Roman"/>
                <w:sz w:val="20"/>
                <w:szCs w:val="20"/>
                <w:lang w:val="hy-AM"/>
              </w:rPr>
              <w:t>աշխատողի</w:t>
            </w:r>
            <w:r w:rsidRPr="0053423A">
              <w:rPr>
                <w:rFonts w:eastAsia="Times New Roman" w:cs="Times New Roman"/>
                <w:sz w:val="20"/>
                <w:szCs w:val="20"/>
                <w:lang w:val="af-ZA"/>
              </w:rPr>
              <w:t xml:space="preserve"> </w:t>
            </w:r>
            <w:r w:rsidRPr="0053423A">
              <w:rPr>
                <w:rFonts w:eastAsia="Times New Roman" w:cs="Times New Roman"/>
                <w:sz w:val="20"/>
                <w:szCs w:val="20"/>
                <w:lang w:val="hy-AM"/>
              </w:rPr>
              <w:t>և</w:t>
            </w:r>
            <w:r w:rsidRPr="0053423A">
              <w:rPr>
                <w:rFonts w:eastAsia="Times New Roman" w:cs="Times New Roman"/>
                <w:sz w:val="20"/>
                <w:szCs w:val="20"/>
                <w:lang w:val="af-ZA"/>
              </w:rPr>
              <w:t xml:space="preserve"> աշխատողի </w:t>
            </w:r>
            <w:r w:rsidRPr="0053423A">
              <w:rPr>
                <w:rFonts w:eastAsia="Times New Roman" w:cs="Times New Roman"/>
                <w:sz w:val="20"/>
                <w:szCs w:val="20"/>
                <w:lang w:val="hy-AM"/>
              </w:rPr>
              <w:t>ընտանիքի</w:t>
            </w:r>
            <w:r w:rsidRPr="0053423A">
              <w:rPr>
                <w:rFonts w:eastAsia="Times New Roman" w:cs="Times New Roman"/>
                <w:sz w:val="20"/>
                <w:szCs w:val="20"/>
                <w:lang w:val="af-ZA"/>
              </w:rPr>
              <w:t xml:space="preserve"> անդամների </w:t>
            </w:r>
            <w:r w:rsidRPr="0053423A">
              <w:rPr>
                <w:rFonts w:eastAsia="Times New Roman" w:cs="Times New Roman"/>
                <w:sz w:val="20"/>
                <w:szCs w:val="20"/>
                <w:lang w:val="hy-AM"/>
              </w:rPr>
              <w:t>կենսագործունեության</w:t>
            </w:r>
            <w:r w:rsidRPr="0053423A">
              <w:rPr>
                <w:rFonts w:eastAsia="Times New Roman" w:cs="Times New Roman"/>
                <w:sz w:val="20"/>
                <w:szCs w:val="20"/>
                <w:lang w:val="af-ZA"/>
              </w:rPr>
              <w:t xml:space="preserve"> </w:t>
            </w:r>
            <w:r w:rsidRPr="0053423A">
              <w:rPr>
                <w:rFonts w:eastAsia="Times New Roman" w:cs="Times New Roman"/>
                <w:sz w:val="20"/>
                <w:szCs w:val="20"/>
                <w:lang w:val="hy-AM"/>
              </w:rPr>
              <w:t>համար</w:t>
            </w:r>
            <w:r w:rsidRPr="0053423A">
              <w:rPr>
                <w:rFonts w:eastAsia="Times New Roman" w:cs="Times New Roman"/>
                <w:sz w:val="20"/>
                <w:szCs w:val="20"/>
                <w:lang w:val="af-ZA"/>
              </w:rPr>
              <w:t xml:space="preserve"> </w:t>
            </w:r>
            <w:r w:rsidRPr="0053423A">
              <w:rPr>
                <w:rFonts w:eastAsia="Times New Roman" w:cs="Times New Roman"/>
                <w:sz w:val="20"/>
                <w:szCs w:val="20"/>
                <w:lang w:val="hy-AM"/>
              </w:rPr>
              <w:t>բավարար</w:t>
            </w:r>
            <w:r w:rsidRPr="0053423A">
              <w:rPr>
                <w:rFonts w:eastAsia="Times New Roman" w:cs="Times New Roman"/>
                <w:sz w:val="20"/>
                <w:szCs w:val="20"/>
                <w:lang w:val="af-ZA"/>
              </w:rPr>
              <w:t xml:space="preserve"> </w:t>
            </w:r>
            <w:r w:rsidRPr="0053423A">
              <w:rPr>
                <w:rFonts w:eastAsia="Times New Roman" w:cs="Times New Roman"/>
                <w:sz w:val="20"/>
                <w:szCs w:val="20"/>
                <w:lang w:val="hy-AM"/>
              </w:rPr>
              <w:t>եկամուտ:</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Times New Roman" w:cs="Times New Roman"/>
                <w:sz w:val="20"/>
                <w:szCs w:val="20"/>
                <w:lang w:val="hy-AM" w:eastAsia="ru-RU"/>
              </w:rPr>
              <w:t xml:space="preserve">2015թ. հուլիսի 1-ից մինչ օրս նվազագույն աշխատավարձի չափի փոփոխություն տեղի չի ունեցել: Ներկայումս այն կազմում 55000 դրամ, որը բարձր է ՀՀ վիճակագրական կոմիտեի կողմից համաշխարհային բանկի մեթոդաբանությամբ հաշվարկված նվազագույն սպառողական զամբյուղի արժեքից (2018թ. 4-րդ եռամսյակում կազմել է 44 199.2 դրամ), սակայն ցածր է առողջապահության նախարարության կողմից մշակված պարենային զամբյուղի հիման վրա հաշվարկվող նվազագույն սպառողական զամբյուղի արժեքից (2018թ. 4-րդ եռամսյակում կազմել է 61 113.6 դրամ): </w:t>
            </w:r>
          </w:p>
          <w:p w:rsidR="00514E01" w:rsidRPr="0053423A" w:rsidRDefault="00514E01" w:rsidP="00A67858">
            <w:pPr>
              <w:spacing w:line="276" w:lineRule="auto"/>
              <w:jc w:val="both"/>
              <w:rPr>
                <w:rFonts w:eastAsia="Times New Roman" w:cs="Times New Roman"/>
                <w:b/>
                <w:sz w:val="20"/>
                <w:szCs w:val="20"/>
                <w:lang w:val="hy-AM" w:eastAsia="ru-RU"/>
              </w:rPr>
            </w:pPr>
            <w:r w:rsidRPr="0053423A">
              <w:rPr>
                <w:rFonts w:eastAsia="Times New Roman" w:cs="Times New Roman"/>
                <w:b/>
                <w:sz w:val="20"/>
                <w:szCs w:val="20"/>
                <w:lang w:val="hy-AM" w:eastAsia="ru-RU"/>
              </w:rPr>
              <w:t>1.2. Առկա խնդիրների առաջարկվող լուծումները</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Times New Roman" w:cs="Times New Roman"/>
                <w:sz w:val="20"/>
                <w:szCs w:val="20"/>
                <w:lang w:val="hy-AM" w:eastAsia="ru-RU"/>
              </w:rPr>
              <w:t>Առաջարկվում է ՀՀ կառավարության 2019</w:t>
            </w:r>
            <w:r w:rsidRPr="0053423A">
              <w:rPr>
                <w:rFonts w:eastAsia="Times New Roman" w:cs="Sylfaen"/>
                <w:sz w:val="20"/>
                <w:szCs w:val="20"/>
                <w:lang w:val="hy-AM" w:eastAsia="ru-RU"/>
              </w:rPr>
              <w:t>թ</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փետրվարի 8</w:t>
            </w:r>
            <w:r w:rsidRPr="0053423A">
              <w:rPr>
                <w:rFonts w:eastAsia="Times New Roman" w:cs="Times New Roman"/>
                <w:sz w:val="20"/>
                <w:szCs w:val="20"/>
                <w:lang w:val="hy-AM" w:eastAsia="ru-RU"/>
              </w:rPr>
              <w:t>-</w:t>
            </w:r>
            <w:r w:rsidRPr="0053423A">
              <w:rPr>
                <w:rFonts w:eastAsia="Times New Roman" w:cs="Sylfaen"/>
                <w:sz w:val="20"/>
                <w:szCs w:val="20"/>
                <w:lang w:val="hy-AM" w:eastAsia="ru-RU"/>
              </w:rPr>
              <w:t>ի</w:t>
            </w:r>
            <w:r w:rsidRPr="0053423A">
              <w:rPr>
                <w:rFonts w:eastAsia="Times New Roman" w:cs="Times New Roman"/>
                <w:sz w:val="20"/>
                <w:szCs w:val="20"/>
                <w:lang w:val="hy-AM" w:eastAsia="ru-RU"/>
              </w:rPr>
              <w:t xml:space="preserve"> N 65-</w:t>
            </w:r>
            <w:r w:rsidRPr="0053423A">
              <w:rPr>
                <w:rFonts w:eastAsia="Times New Roman" w:cs="Sylfaen"/>
                <w:sz w:val="20"/>
                <w:szCs w:val="20"/>
                <w:lang w:val="hy-AM" w:eastAsia="ru-RU"/>
              </w:rPr>
              <w:t>Ա</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 xml:space="preserve">որոշմամբ </w:t>
            </w:r>
            <w:r w:rsidRPr="0053423A">
              <w:rPr>
                <w:rFonts w:eastAsia="Times New Roman" w:cs="Times New Roman"/>
                <w:sz w:val="20"/>
                <w:szCs w:val="20"/>
                <w:lang w:val="hy-AM" w:eastAsia="ru-RU"/>
              </w:rPr>
              <w:t xml:space="preserve"> հավանության արժանացած ՀՀ կառավարության ծրագրի դրույթների համաձայն՝ երկրի մակրոտնտեսական իրավիճակից ելնելով, ՀՀ պետական բյուջեի միջնաժամկետ ծախսերի ծրագրերի շրջանակներում նվազագույն աշխատավարձի չափի բարձրացման հնարավորությունը քննարկելուց և համապատասխան պետական միջնաժամկետ ծախսերի ծրագրում նվազագույն աշխատավարձի չափի բարձրացում նախատեսելուց հետ՝ մշակել «Նվազագույն ամսական աշխատավարձի մասին» Հայաստանի Հանրապետության օրենքում փոփոխություններ կատարելու մասին» ՀՀ օրենքի նախագիծ, որով կնախատեսվի նվազագույն աշխատավարձի չափի բարձրացում` համապատասխան պետական միջնաժամկետ ծախսային ծրագրում նախատեսված չափով: </w:t>
            </w:r>
          </w:p>
          <w:p w:rsidR="00514E01" w:rsidRPr="0053423A" w:rsidRDefault="00514E01" w:rsidP="00A67858">
            <w:pPr>
              <w:spacing w:line="276" w:lineRule="auto"/>
              <w:jc w:val="both"/>
              <w:rPr>
                <w:rFonts w:eastAsia="Times New Roman" w:cs="Times New Roman"/>
                <w:b/>
                <w:sz w:val="20"/>
                <w:szCs w:val="20"/>
                <w:lang w:val="hy-AM" w:eastAsia="ru-RU"/>
              </w:rPr>
            </w:pPr>
            <w:r w:rsidRPr="0053423A">
              <w:rPr>
                <w:rFonts w:eastAsia="Times New Roman" w:cs="Times New Roman"/>
                <w:b/>
                <w:sz w:val="20"/>
                <w:szCs w:val="20"/>
                <w:lang w:val="hy-AM" w:eastAsia="ru-RU"/>
              </w:rPr>
              <w:t>2.</w:t>
            </w:r>
            <w:r w:rsidRPr="0053423A">
              <w:rPr>
                <w:rFonts w:eastAsia="Times New Roman" w:cs="Times New Roman"/>
                <w:b/>
                <w:sz w:val="20"/>
                <w:szCs w:val="20"/>
                <w:lang w:val="hy-AM" w:eastAsia="ru-RU"/>
              </w:rPr>
              <w:tab/>
              <w:t>Միջոցառման իրականացումից ակնկալվող արդյունքը</w:t>
            </w:r>
          </w:p>
          <w:p w:rsidR="00514E01" w:rsidRPr="0053423A" w:rsidRDefault="00514E01" w:rsidP="00A67858">
            <w:pPr>
              <w:spacing w:line="276" w:lineRule="auto"/>
              <w:rPr>
                <w:rFonts w:eastAsia="Times New Roman" w:cs="Times New Roman"/>
                <w:sz w:val="20"/>
                <w:szCs w:val="20"/>
                <w:lang w:val="hy-AM" w:eastAsia="ru-RU"/>
              </w:rPr>
            </w:pPr>
            <w:r w:rsidRPr="0053423A">
              <w:rPr>
                <w:rFonts w:eastAsia="Times New Roman" w:cs="Times New Roman"/>
                <w:sz w:val="20"/>
                <w:szCs w:val="20"/>
                <w:lang w:val="hy-AM" w:eastAsia="ru-RU"/>
              </w:rPr>
              <w:t>Նվազագույն աշխատավարձի բարձրացում, ՀՀ կառավարության 2019թ. փետրվարի 8-ի N 65-Ա որոշմամբ հավանության արժանացած ՀՀ կառավարության ծրագրի՝ նվազագույն աշխատավարձի բարձրացման վերաբերյալ դրույթների, ինչպես նաև ՀՀ վավերացրած միջազգային պայմանագրերի դրույթների ապահովում, զբաղված անձանց շրջանում աղքատության կրճատում, նվազագույն և միջին աշխատավարձերի միջև հարաբերակցության նվազում, բնակչության կենսամակարդակի բարձրացում:</w:t>
            </w:r>
          </w:p>
          <w:p w:rsidR="00514E01" w:rsidRPr="0053423A" w:rsidRDefault="00514E01" w:rsidP="00A67858">
            <w:pPr>
              <w:spacing w:line="276" w:lineRule="auto"/>
              <w:rPr>
                <w:rFonts w:eastAsia="Times New Roman" w:cs="Times New Roman"/>
                <w:sz w:val="20"/>
                <w:szCs w:val="20"/>
                <w:lang w:val="hy-AM" w:eastAsia="ru-RU"/>
              </w:rPr>
            </w:pPr>
          </w:p>
          <w:p w:rsidR="00514E01" w:rsidRPr="0053423A" w:rsidRDefault="00514E01" w:rsidP="00A67858">
            <w:pPr>
              <w:spacing w:line="276" w:lineRule="auto"/>
              <w:rPr>
                <w:rFonts w:eastAsia="Times New Roman" w:cs="Times New Roman"/>
                <w:sz w:val="20"/>
                <w:szCs w:val="20"/>
                <w:lang w:val="hy-AM" w:eastAsia="ru-RU"/>
              </w:rPr>
            </w:pPr>
          </w:p>
          <w:p w:rsidR="00514E01" w:rsidRPr="0053423A" w:rsidRDefault="00514E01" w:rsidP="00A67858">
            <w:pPr>
              <w:spacing w:line="276" w:lineRule="auto"/>
              <w:rPr>
                <w:rFonts w:eastAsia="Times New Roman" w:cs="Times New Roman"/>
                <w:sz w:val="20"/>
                <w:szCs w:val="20"/>
                <w:lang w:val="hy-AM" w:eastAsia="ru-RU"/>
              </w:rPr>
            </w:pPr>
          </w:p>
          <w:p w:rsidR="00514E01" w:rsidRPr="0053423A" w:rsidRDefault="00514E01" w:rsidP="00A67858">
            <w:pPr>
              <w:spacing w:line="276" w:lineRule="auto"/>
              <w:rPr>
                <w:rFonts w:eastAsia="Times New Roman" w:cs="Times New Roman"/>
                <w:sz w:val="20"/>
                <w:szCs w:val="20"/>
                <w:lang w:val="hy-AM" w:eastAsia="ru-RU"/>
              </w:rPr>
            </w:pPr>
          </w:p>
          <w:p w:rsidR="00514E01" w:rsidRPr="0053423A" w:rsidRDefault="00514E01" w:rsidP="00A67858">
            <w:pPr>
              <w:spacing w:line="276" w:lineRule="auto"/>
              <w:rPr>
                <w:sz w:val="20"/>
                <w:szCs w:val="20"/>
                <w:lang w:val="hy-AM"/>
              </w:rPr>
            </w:pPr>
          </w:p>
        </w:tc>
      </w:tr>
      <w:tr w:rsidR="00514E01" w:rsidRPr="00DE2EFA" w:rsidTr="00BC61ED">
        <w:tc>
          <w:tcPr>
            <w:tcW w:w="630" w:type="dxa"/>
            <w:vMerge w:val="restart"/>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4</w:t>
            </w: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eastAsia="ru-RU"/>
              </w:rPr>
            </w:pPr>
            <w:r w:rsidRPr="0053423A">
              <w:rPr>
                <w:rFonts w:eastAsia="Times New Roman" w:cs="Times New Roman"/>
                <w:b/>
                <w:sz w:val="20"/>
                <w:szCs w:val="20"/>
                <w:u w:val="single"/>
                <w:lang w:val="hy-AM" w:eastAsia="ru-RU"/>
              </w:rPr>
              <w:t>4.1. Հայաստանի Հանրապետության աշխատանքային օրենսդրության բարեփոխումների հայեցակարգի նախագծի մշակում և ներկայացում ՀՀ վարչապետի աշխատակազմ</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1. Միջոցառման իրականացման անհրաժեշտությունը և նպատակը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eastAsia="ru-RU"/>
              </w:rPr>
              <w:t>Միջոցառման անհրաժեշտությունը բխում է ՀՀ կառավարության 2019</w:t>
            </w:r>
            <w:r w:rsidRPr="0053423A">
              <w:rPr>
                <w:rFonts w:eastAsia="Times New Roman" w:cs="Sylfaen"/>
                <w:sz w:val="20"/>
                <w:szCs w:val="20"/>
                <w:lang w:val="hy-AM" w:eastAsia="ru-RU"/>
              </w:rPr>
              <w:t>թ</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փետրվարի 8</w:t>
            </w:r>
            <w:r w:rsidRPr="0053423A">
              <w:rPr>
                <w:rFonts w:eastAsia="Times New Roman" w:cs="Times New Roman"/>
                <w:sz w:val="20"/>
                <w:szCs w:val="20"/>
                <w:lang w:val="hy-AM" w:eastAsia="ru-RU"/>
              </w:rPr>
              <w:t>-</w:t>
            </w:r>
            <w:r w:rsidRPr="0053423A">
              <w:rPr>
                <w:rFonts w:eastAsia="Times New Roman" w:cs="Sylfaen"/>
                <w:sz w:val="20"/>
                <w:szCs w:val="20"/>
                <w:lang w:val="hy-AM" w:eastAsia="ru-RU"/>
              </w:rPr>
              <w:t>ի</w:t>
            </w:r>
            <w:r w:rsidRPr="0053423A">
              <w:rPr>
                <w:rFonts w:eastAsia="Times New Roman" w:cs="Times New Roman"/>
                <w:sz w:val="20"/>
                <w:szCs w:val="20"/>
                <w:lang w:val="hy-AM" w:eastAsia="ru-RU"/>
              </w:rPr>
              <w:t xml:space="preserve"> N 65-</w:t>
            </w:r>
            <w:r w:rsidRPr="0053423A">
              <w:rPr>
                <w:rFonts w:eastAsia="Times New Roman" w:cs="Sylfaen"/>
                <w:sz w:val="20"/>
                <w:szCs w:val="20"/>
                <w:lang w:val="hy-AM" w:eastAsia="ru-RU"/>
              </w:rPr>
              <w:t>Ա</w:t>
            </w:r>
            <w:r w:rsidRPr="0053423A">
              <w:rPr>
                <w:rFonts w:eastAsia="Times New Roman" w:cs="Times New Roman"/>
                <w:sz w:val="20"/>
                <w:szCs w:val="20"/>
                <w:lang w:val="hy-AM" w:eastAsia="ru-RU"/>
              </w:rPr>
              <w:t xml:space="preserve"> որոշմամբ հավանության արժանացած ՀՀ կառավարության ծրագրի դրույթներից, որի 4-րդ «Ազատ, արժանապատիվ և երջանիկ քաղաքացի» բաժնի 4.2-րդ «Աղքատության հաղթահարումը, սոցիալական պաշտպանությունը և ժողովրդագրությունը» ենթաբաժնի 8-րդ պարբերությամբ նախատեսված է, որ արժանապատիվ աշխատանքի իրավունքի իրականացման նպատակով շարունակաբար կպարզեցվեն աշխատանքային հարաբերությունների կարգավորման մեխանիզմները, կհամապատասխանեցվեն միջազգային պայմանագրերով ամրագրված պահանջներին: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eastAsia="ru-RU"/>
              </w:rPr>
              <w:t>Միջոցառման իրականացումը պայմանավորված է ՀՀ աշխատանքային օրենսդրության առանձին դրույթների՝ միջազգային պայմանագրերով ամրագրված պահանջներին համապատասխանեցման, ոչ հստակ կամ տարաբնույթ ընկալման տեղիք տվող դրույթների հստակեցվեն, ինչպես նաև որոշակի խմբերի համար աշխատանքային պայմանագրի լուծման պարագայում առանձին երաշխիքների սահմանման անհրաժեշտությամբ:</w:t>
            </w:r>
          </w:p>
          <w:p w:rsidR="00514E01" w:rsidRPr="0053423A" w:rsidRDefault="00514E01" w:rsidP="00A67858">
            <w:pPr>
              <w:autoSpaceDE w:val="0"/>
              <w:autoSpaceDN w:val="0"/>
              <w:adjustRightInd w:val="0"/>
              <w:spacing w:line="276" w:lineRule="auto"/>
              <w:jc w:val="both"/>
              <w:rPr>
                <w:rFonts w:eastAsia="GHEAMariam-Bold" w:cs="GHEAMariam-Bold"/>
                <w:b/>
                <w:bCs/>
                <w:sz w:val="20"/>
                <w:szCs w:val="20"/>
                <w:lang w:val="hy-AM"/>
              </w:rPr>
            </w:pPr>
            <w:r w:rsidRPr="0053423A">
              <w:rPr>
                <w:rFonts w:eastAsia="Times New Roman" w:cs="GHEA Mariam"/>
                <w:b/>
                <w:bCs/>
                <w:sz w:val="20"/>
                <w:szCs w:val="20"/>
                <w:lang w:val="hy-AM"/>
              </w:rPr>
              <w:t xml:space="preserve">1.1. </w:t>
            </w:r>
            <w:r w:rsidRPr="0053423A">
              <w:rPr>
                <w:rFonts w:eastAsia="GHEAMariam-Bold" w:cs="GHEAMariam-Bold"/>
                <w:b/>
                <w:bCs/>
                <w:sz w:val="20"/>
                <w:szCs w:val="20"/>
                <w:lang w:val="hy-AM"/>
              </w:rPr>
              <w:t>Կարգավորման հարաբերությունների ներկա վիճակը և առկա խնդիրները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2015 </w:t>
            </w:r>
            <w:r w:rsidRPr="0053423A">
              <w:rPr>
                <w:rFonts w:eastAsia="Times New Roman" w:cs="Sylfaen"/>
                <w:sz w:val="20"/>
                <w:szCs w:val="20"/>
                <w:lang w:val="hy-AM"/>
              </w:rPr>
              <w:t>թվականի</w:t>
            </w:r>
            <w:r w:rsidRPr="0053423A">
              <w:rPr>
                <w:rFonts w:eastAsia="Times New Roman" w:cs="Times New Roman"/>
                <w:sz w:val="20"/>
                <w:szCs w:val="20"/>
                <w:lang w:val="hy-AM"/>
              </w:rPr>
              <w:t xml:space="preserve"> </w:t>
            </w:r>
            <w:r w:rsidRPr="0053423A">
              <w:rPr>
                <w:rFonts w:eastAsia="Times New Roman" w:cs="Sylfaen"/>
                <w:sz w:val="20"/>
                <w:szCs w:val="20"/>
                <w:lang w:val="hy-AM"/>
              </w:rPr>
              <w:t>հունիսի</w:t>
            </w:r>
            <w:r w:rsidRPr="0053423A">
              <w:rPr>
                <w:rFonts w:eastAsia="Times New Roman" w:cs="Times New Roman"/>
                <w:sz w:val="20"/>
                <w:szCs w:val="20"/>
                <w:lang w:val="hy-AM"/>
              </w:rPr>
              <w:t xml:space="preserve"> 22-</w:t>
            </w:r>
            <w:r w:rsidRPr="0053423A">
              <w:rPr>
                <w:rFonts w:eastAsia="Times New Roman" w:cs="Sylfaen"/>
                <w:sz w:val="20"/>
                <w:szCs w:val="20"/>
                <w:lang w:val="hy-AM"/>
              </w:rPr>
              <w:t>ին</w:t>
            </w:r>
            <w:r w:rsidRPr="0053423A">
              <w:rPr>
                <w:rFonts w:eastAsia="Times New Roman" w:cs="Times New Roman"/>
                <w:sz w:val="20"/>
                <w:szCs w:val="20"/>
                <w:lang w:val="hy-AM"/>
              </w:rPr>
              <w:t xml:space="preserve"> </w:t>
            </w:r>
            <w:r w:rsidRPr="0053423A">
              <w:rPr>
                <w:rFonts w:eastAsia="Times New Roman" w:cs="Sylfaen"/>
                <w:sz w:val="20"/>
                <w:szCs w:val="20"/>
                <w:lang w:val="hy-AM"/>
              </w:rPr>
              <w:t>ընդունված</w:t>
            </w:r>
            <w:r w:rsidRPr="0053423A">
              <w:rPr>
                <w:rFonts w:eastAsia="Times New Roman" w:cs="Times New Roman"/>
                <w:sz w:val="20"/>
                <w:szCs w:val="20"/>
                <w:lang w:val="hy-AM"/>
              </w:rPr>
              <w:t xml:space="preserve"> «</w:t>
            </w:r>
            <w:r w:rsidRPr="0053423A">
              <w:rPr>
                <w:rFonts w:eastAsia="Times New Roman" w:cs="Sylfaen"/>
                <w:sz w:val="20"/>
                <w:szCs w:val="20"/>
                <w:lang w:val="hy-AM"/>
              </w:rPr>
              <w:t>Հայաստանի</w:t>
            </w:r>
            <w:r w:rsidRPr="0053423A">
              <w:rPr>
                <w:rFonts w:eastAsia="Times New Roman" w:cs="Times New Roman"/>
                <w:sz w:val="20"/>
                <w:szCs w:val="20"/>
                <w:lang w:val="hy-AM"/>
              </w:rPr>
              <w:t xml:space="preserve"> </w:t>
            </w:r>
            <w:r w:rsidRPr="0053423A">
              <w:rPr>
                <w:rFonts w:eastAsia="Times New Roman" w:cs="Sylfaen"/>
                <w:sz w:val="20"/>
                <w:szCs w:val="20"/>
                <w:lang w:val="hy-AM"/>
              </w:rPr>
              <w:t>Հանրապետության</w:t>
            </w:r>
            <w:r w:rsidRPr="0053423A">
              <w:rPr>
                <w:rFonts w:eastAsia="Times New Roman" w:cs="Times New Roman"/>
                <w:sz w:val="20"/>
                <w:szCs w:val="20"/>
                <w:lang w:val="hy-AM"/>
              </w:rPr>
              <w:t xml:space="preserve"> </w:t>
            </w:r>
            <w:r w:rsidRPr="0053423A">
              <w:rPr>
                <w:rFonts w:eastAsia="Times New Roman" w:cs="Sylfaen"/>
                <w:sz w:val="20"/>
                <w:szCs w:val="20"/>
                <w:lang w:val="hy-AM"/>
              </w:rPr>
              <w:t>աշխատանքային</w:t>
            </w:r>
            <w:r w:rsidRPr="0053423A">
              <w:rPr>
                <w:rFonts w:eastAsia="Times New Roman" w:cs="Times New Roman"/>
                <w:sz w:val="20"/>
                <w:szCs w:val="20"/>
                <w:lang w:val="hy-AM"/>
              </w:rPr>
              <w:t xml:space="preserve"> </w:t>
            </w:r>
            <w:r w:rsidRPr="0053423A">
              <w:rPr>
                <w:rFonts w:eastAsia="Times New Roman" w:cs="Sylfaen"/>
                <w:sz w:val="20"/>
                <w:szCs w:val="20"/>
                <w:lang w:val="hy-AM"/>
              </w:rPr>
              <w:t>օրենսգրքում</w:t>
            </w:r>
            <w:r w:rsidRPr="0053423A">
              <w:rPr>
                <w:rFonts w:eastAsia="Times New Roman" w:cs="Times New Roman"/>
                <w:sz w:val="20"/>
                <w:szCs w:val="20"/>
                <w:lang w:val="hy-AM"/>
              </w:rPr>
              <w:t xml:space="preserve"> </w:t>
            </w:r>
            <w:r w:rsidRPr="0053423A">
              <w:rPr>
                <w:rFonts w:eastAsia="Times New Roman" w:cs="Sylfaen"/>
                <w:sz w:val="20"/>
                <w:szCs w:val="20"/>
                <w:lang w:val="hy-AM"/>
              </w:rPr>
              <w:t>լրացումներ</w:t>
            </w:r>
            <w:r w:rsidRPr="0053423A">
              <w:rPr>
                <w:rFonts w:eastAsia="Times New Roman" w:cs="Times New Roman"/>
                <w:sz w:val="20"/>
                <w:szCs w:val="20"/>
                <w:lang w:val="hy-AM"/>
              </w:rPr>
              <w:t xml:space="preserve"> </w:t>
            </w:r>
            <w:r w:rsidRPr="0053423A">
              <w:rPr>
                <w:rFonts w:eastAsia="Times New Roman" w:cs="Sylfaen"/>
                <w:sz w:val="20"/>
                <w:szCs w:val="20"/>
                <w:lang w:val="hy-AM"/>
              </w:rPr>
              <w:t>և</w:t>
            </w:r>
            <w:r w:rsidRPr="0053423A">
              <w:rPr>
                <w:rFonts w:eastAsia="Times New Roman" w:cs="Times New Roman"/>
                <w:sz w:val="20"/>
                <w:szCs w:val="20"/>
                <w:lang w:val="hy-AM"/>
              </w:rPr>
              <w:t xml:space="preserve"> </w:t>
            </w:r>
            <w:r w:rsidRPr="0053423A">
              <w:rPr>
                <w:rFonts w:eastAsia="Times New Roman" w:cs="Sylfaen"/>
                <w:sz w:val="20"/>
                <w:szCs w:val="20"/>
                <w:lang w:val="hy-AM"/>
              </w:rPr>
              <w:t>փոփոխություններ</w:t>
            </w:r>
            <w:r w:rsidRPr="0053423A">
              <w:rPr>
                <w:rFonts w:eastAsia="Times New Roman" w:cs="Times New Roman"/>
                <w:sz w:val="20"/>
                <w:szCs w:val="20"/>
                <w:lang w:val="hy-AM"/>
              </w:rPr>
              <w:t xml:space="preserve"> </w:t>
            </w:r>
            <w:r w:rsidRPr="0053423A">
              <w:rPr>
                <w:rFonts w:eastAsia="Times New Roman" w:cs="Sylfaen"/>
                <w:sz w:val="20"/>
                <w:szCs w:val="20"/>
                <w:lang w:val="hy-AM"/>
              </w:rPr>
              <w:t>կատարելու</w:t>
            </w:r>
            <w:r w:rsidRPr="0053423A">
              <w:rPr>
                <w:rFonts w:eastAsia="Times New Roman" w:cs="Times New Roman"/>
                <w:sz w:val="20"/>
                <w:szCs w:val="20"/>
                <w:lang w:val="hy-AM"/>
              </w:rPr>
              <w:t xml:space="preserve"> </w:t>
            </w:r>
            <w:r w:rsidRPr="0053423A">
              <w:rPr>
                <w:rFonts w:eastAsia="Times New Roman" w:cs="Sylfaen"/>
                <w:sz w:val="20"/>
                <w:szCs w:val="20"/>
                <w:lang w:val="hy-AM"/>
              </w:rPr>
              <w:t>մասին</w:t>
            </w:r>
            <w:r w:rsidRPr="0053423A">
              <w:rPr>
                <w:rFonts w:eastAsia="Times New Roman" w:cs="Times New Roman"/>
                <w:sz w:val="20"/>
                <w:szCs w:val="20"/>
                <w:lang w:val="hy-AM"/>
              </w:rPr>
              <w:t xml:space="preserve">» </w:t>
            </w:r>
            <w:r w:rsidRPr="0053423A">
              <w:rPr>
                <w:rFonts w:eastAsia="Times New Roman" w:cs="Sylfaen"/>
                <w:sz w:val="20"/>
                <w:szCs w:val="20"/>
                <w:lang w:val="hy-AM"/>
              </w:rPr>
              <w:t>ՀՕ</w:t>
            </w:r>
            <w:r w:rsidRPr="0053423A">
              <w:rPr>
                <w:rFonts w:eastAsia="Times New Roman" w:cs="Times New Roman"/>
                <w:sz w:val="20"/>
                <w:szCs w:val="20"/>
                <w:lang w:val="hy-AM"/>
              </w:rPr>
              <w:t>-96-</w:t>
            </w:r>
            <w:r w:rsidRPr="0053423A">
              <w:rPr>
                <w:rFonts w:eastAsia="Times New Roman" w:cs="Sylfaen"/>
                <w:sz w:val="20"/>
                <w:szCs w:val="20"/>
                <w:lang w:val="hy-AM"/>
              </w:rPr>
              <w:t>Ն</w:t>
            </w:r>
            <w:r w:rsidRPr="0053423A">
              <w:rPr>
                <w:rFonts w:eastAsia="Times New Roman" w:cs="Times New Roman"/>
                <w:sz w:val="20"/>
                <w:szCs w:val="20"/>
                <w:lang w:val="hy-AM"/>
              </w:rPr>
              <w:t xml:space="preserve"> </w:t>
            </w:r>
            <w:r w:rsidRPr="0053423A">
              <w:rPr>
                <w:rFonts w:eastAsia="Times New Roman" w:cs="Sylfaen"/>
                <w:sz w:val="20"/>
                <w:szCs w:val="20"/>
                <w:lang w:val="hy-AM"/>
              </w:rPr>
              <w:t>օրենքով</w:t>
            </w:r>
            <w:r w:rsidRPr="0053423A">
              <w:rPr>
                <w:rFonts w:eastAsia="Times New Roman" w:cs="Times New Roman"/>
                <w:sz w:val="20"/>
                <w:szCs w:val="20"/>
                <w:lang w:val="hy-AM"/>
              </w:rPr>
              <w:t xml:space="preserve"> ՀՀ աշխատանքային օրենսգրքում </w:t>
            </w:r>
            <w:r w:rsidRPr="0053423A">
              <w:rPr>
                <w:rFonts w:eastAsia="Times New Roman" w:cs="Sylfaen"/>
                <w:sz w:val="20"/>
                <w:szCs w:val="20"/>
                <w:lang w:val="hy-AM"/>
              </w:rPr>
              <w:t>կատարվեցին</w:t>
            </w:r>
            <w:r w:rsidRPr="0053423A">
              <w:rPr>
                <w:rFonts w:eastAsia="Times New Roman" w:cs="Times New Roman"/>
                <w:sz w:val="20"/>
                <w:szCs w:val="20"/>
                <w:lang w:val="hy-AM"/>
              </w:rPr>
              <w:t xml:space="preserve"> </w:t>
            </w:r>
            <w:r w:rsidRPr="0053423A">
              <w:rPr>
                <w:rFonts w:eastAsia="Times New Roman" w:cs="Sylfaen"/>
                <w:sz w:val="20"/>
                <w:szCs w:val="20"/>
                <w:lang w:val="hy-AM"/>
              </w:rPr>
              <w:t>բավականին</w:t>
            </w:r>
            <w:r w:rsidRPr="0053423A">
              <w:rPr>
                <w:rFonts w:eastAsia="Times New Roman" w:cs="Times New Roman"/>
                <w:sz w:val="20"/>
                <w:szCs w:val="20"/>
                <w:lang w:val="hy-AM"/>
              </w:rPr>
              <w:t xml:space="preserve"> </w:t>
            </w:r>
            <w:r w:rsidRPr="0053423A">
              <w:rPr>
                <w:rFonts w:eastAsia="Times New Roman" w:cs="Sylfaen"/>
                <w:sz w:val="20"/>
                <w:szCs w:val="20"/>
                <w:lang w:val="hy-AM"/>
              </w:rPr>
              <w:t>մեծ</w:t>
            </w:r>
            <w:r w:rsidRPr="0053423A">
              <w:rPr>
                <w:rFonts w:eastAsia="Times New Roman" w:cs="Times New Roman"/>
                <w:sz w:val="20"/>
                <w:szCs w:val="20"/>
                <w:lang w:val="hy-AM"/>
              </w:rPr>
              <w:t xml:space="preserve"> </w:t>
            </w:r>
            <w:r w:rsidRPr="0053423A">
              <w:rPr>
                <w:rFonts w:eastAsia="Times New Roman" w:cs="Sylfaen"/>
                <w:sz w:val="20"/>
                <w:szCs w:val="20"/>
                <w:lang w:val="hy-AM"/>
              </w:rPr>
              <w:t>թվով</w:t>
            </w:r>
            <w:r w:rsidRPr="0053423A">
              <w:rPr>
                <w:rFonts w:eastAsia="Times New Roman" w:cs="Times New Roman"/>
                <w:sz w:val="20"/>
                <w:szCs w:val="20"/>
                <w:lang w:val="hy-AM"/>
              </w:rPr>
              <w:t xml:space="preserve"> </w:t>
            </w:r>
            <w:r w:rsidRPr="0053423A">
              <w:rPr>
                <w:rFonts w:eastAsia="Times New Roman" w:cs="Sylfaen"/>
                <w:sz w:val="20"/>
                <w:szCs w:val="20"/>
                <w:lang w:val="hy-AM"/>
              </w:rPr>
              <w:t>փոփոխություններ</w:t>
            </w:r>
            <w:r w:rsidRPr="0053423A">
              <w:rPr>
                <w:rFonts w:eastAsia="Times New Roman" w:cs="Times New Roman"/>
                <w:sz w:val="20"/>
                <w:szCs w:val="20"/>
                <w:lang w:val="hy-AM"/>
              </w:rPr>
              <w:t xml:space="preserve">, </w:t>
            </w:r>
            <w:r w:rsidRPr="0053423A">
              <w:rPr>
                <w:rFonts w:eastAsia="Times New Roman" w:cs="Sylfaen"/>
                <w:sz w:val="20"/>
                <w:szCs w:val="20"/>
                <w:lang w:val="hy-AM"/>
              </w:rPr>
              <w:t>որոնց</w:t>
            </w:r>
            <w:r w:rsidRPr="0053423A">
              <w:rPr>
                <w:rFonts w:eastAsia="Times New Roman" w:cs="Times New Roman"/>
                <w:sz w:val="20"/>
                <w:szCs w:val="20"/>
                <w:lang w:val="hy-AM"/>
              </w:rPr>
              <w:t xml:space="preserve"> </w:t>
            </w:r>
            <w:r w:rsidRPr="0053423A">
              <w:rPr>
                <w:rFonts w:eastAsia="Times New Roman" w:cs="Sylfaen"/>
                <w:sz w:val="20"/>
                <w:szCs w:val="20"/>
                <w:lang w:val="hy-AM"/>
              </w:rPr>
              <w:t>զգալի</w:t>
            </w:r>
            <w:r w:rsidRPr="0053423A">
              <w:rPr>
                <w:rFonts w:eastAsia="Times New Roman" w:cs="Times New Roman"/>
                <w:sz w:val="20"/>
                <w:szCs w:val="20"/>
                <w:lang w:val="hy-AM"/>
              </w:rPr>
              <w:t xml:space="preserve"> </w:t>
            </w:r>
            <w:r w:rsidRPr="0053423A">
              <w:rPr>
                <w:rFonts w:eastAsia="Times New Roman" w:cs="Sylfaen"/>
                <w:sz w:val="20"/>
                <w:szCs w:val="20"/>
                <w:lang w:val="hy-AM"/>
              </w:rPr>
              <w:t>մասը</w:t>
            </w:r>
            <w:r w:rsidRPr="0053423A">
              <w:rPr>
                <w:rFonts w:eastAsia="Times New Roman" w:cs="Times New Roman"/>
                <w:sz w:val="20"/>
                <w:szCs w:val="20"/>
                <w:lang w:val="hy-AM"/>
              </w:rPr>
              <w:t xml:space="preserve"> </w:t>
            </w:r>
            <w:r w:rsidRPr="0053423A">
              <w:rPr>
                <w:rFonts w:eastAsia="Times New Roman" w:cs="Sylfaen"/>
                <w:sz w:val="20"/>
                <w:szCs w:val="20"/>
                <w:lang w:val="hy-AM"/>
              </w:rPr>
              <w:t>ՀՀ</w:t>
            </w:r>
            <w:r w:rsidRPr="0053423A">
              <w:rPr>
                <w:rFonts w:eastAsia="Times New Roman" w:cs="Times New Roman"/>
                <w:sz w:val="20"/>
                <w:szCs w:val="20"/>
                <w:lang w:val="hy-AM"/>
              </w:rPr>
              <w:t xml:space="preserve"> </w:t>
            </w:r>
            <w:r w:rsidRPr="0053423A">
              <w:rPr>
                <w:rFonts w:eastAsia="Times New Roman" w:cs="Sylfaen"/>
                <w:sz w:val="20"/>
                <w:szCs w:val="20"/>
                <w:lang w:val="hy-AM"/>
              </w:rPr>
              <w:t>աշխատանքային</w:t>
            </w:r>
            <w:r w:rsidRPr="0053423A">
              <w:rPr>
                <w:rFonts w:eastAsia="Times New Roman" w:cs="Times New Roman"/>
                <w:sz w:val="20"/>
                <w:szCs w:val="20"/>
                <w:lang w:val="hy-AM"/>
              </w:rPr>
              <w:t xml:space="preserve"> </w:t>
            </w:r>
            <w:r w:rsidRPr="0053423A">
              <w:rPr>
                <w:rFonts w:eastAsia="Times New Roman" w:cs="Sylfaen"/>
                <w:sz w:val="20"/>
                <w:szCs w:val="20"/>
                <w:lang w:val="hy-AM"/>
              </w:rPr>
              <w:t>օրենսգրքի</w:t>
            </w:r>
            <w:r w:rsidRPr="0053423A">
              <w:rPr>
                <w:rFonts w:eastAsia="Times New Roman" w:cs="Times New Roman"/>
                <w:sz w:val="20"/>
                <w:szCs w:val="20"/>
                <w:lang w:val="hy-AM"/>
              </w:rPr>
              <w:t xml:space="preserve"> </w:t>
            </w:r>
            <w:r w:rsidRPr="0053423A">
              <w:rPr>
                <w:rFonts w:eastAsia="Times New Roman" w:cs="Sylfaen"/>
                <w:sz w:val="20"/>
                <w:szCs w:val="20"/>
                <w:lang w:val="hy-AM"/>
              </w:rPr>
              <w:t>դրույթները</w:t>
            </w:r>
            <w:r w:rsidRPr="0053423A">
              <w:rPr>
                <w:rFonts w:eastAsia="Times New Roman" w:cs="Times New Roman"/>
                <w:sz w:val="20"/>
                <w:szCs w:val="20"/>
                <w:lang w:val="hy-AM"/>
              </w:rPr>
              <w:t xml:space="preserve"> </w:t>
            </w:r>
            <w:r w:rsidRPr="0053423A">
              <w:rPr>
                <w:rFonts w:eastAsia="Times New Roman" w:cs="Sylfaen"/>
                <w:sz w:val="20"/>
                <w:szCs w:val="20"/>
                <w:lang w:val="hy-AM"/>
              </w:rPr>
              <w:t>միջազգային</w:t>
            </w:r>
            <w:r w:rsidRPr="0053423A">
              <w:rPr>
                <w:rFonts w:eastAsia="Times New Roman" w:cs="Times New Roman"/>
                <w:sz w:val="20"/>
                <w:szCs w:val="20"/>
                <w:lang w:val="hy-AM"/>
              </w:rPr>
              <w:t xml:space="preserve"> </w:t>
            </w:r>
            <w:r w:rsidRPr="0053423A">
              <w:rPr>
                <w:rFonts w:eastAsia="Times New Roman" w:cs="Sylfaen"/>
                <w:sz w:val="20"/>
                <w:szCs w:val="20"/>
                <w:lang w:val="hy-AM"/>
              </w:rPr>
              <w:t>իրավունքի</w:t>
            </w:r>
            <w:r w:rsidRPr="0053423A">
              <w:rPr>
                <w:rFonts w:eastAsia="Times New Roman" w:cs="Times New Roman"/>
                <w:sz w:val="20"/>
                <w:szCs w:val="20"/>
                <w:lang w:val="hy-AM"/>
              </w:rPr>
              <w:t xml:space="preserve"> </w:t>
            </w:r>
            <w:r w:rsidRPr="0053423A">
              <w:rPr>
                <w:rFonts w:eastAsia="Times New Roman" w:cs="Sylfaen"/>
                <w:sz w:val="20"/>
                <w:szCs w:val="20"/>
                <w:lang w:val="hy-AM"/>
              </w:rPr>
              <w:t>նորմերին</w:t>
            </w:r>
            <w:r w:rsidRPr="0053423A">
              <w:rPr>
                <w:rFonts w:eastAsia="Times New Roman" w:cs="Times New Roman"/>
                <w:sz w:val="20"/>
                <w:szCs w:val="20"/>
                <w:lang w:val="hy-AM"/>
              </w:rPr>
              <w:t xml:space="preserve">, </w:t>
            </w:r>
            <w:r w:rsidRPr="0053423A">
              <w:rPr>
                <w:rFonts w:eastAsia="Times New Roman" w:cs="Sylfaen"/>
                <w:sz w:val="20"/>
                <w:szCs w:val="20"/>
                <w:lang w:val="hy-AM"/>
              </w:rPr>
              <w:t>այդ</w:t>
            </w:r>
            <w:r w:rsidRPr="0053423A">
              <w:rPr>
                <w:rFonts w:eastAsia="Times New Roman" w:cs="Times New Roman"/>
                <w:sz w:val="20"/>
                <w:szCs w:val="20"/>
                <w:lang w:val="hy-AM"/>
              </w:rPr>
              <w:t xml:space="preserve"> </w:t>
            </w:r>
            <w:r w:rsidRPr="0053423A">
              <w:rPr>
                <w:rFonts w:eastAsia="Times New Roman" w:cs="Sylfaen"/>
                <w:sz w:val="20"/>
                <w:szCs w:val="20"/>
                <w:lang w:val="hy-AM"/>
              </w:rPr>
              <w:t>թվում</w:t>
            </w:r>
            <w:r w:rsidRPr="0053423A">
              <w:rPr>
                <w:rFonts w:eastAsia="Times New Roman" w:cs="Times New Roman"/>
                <w:sz w:val="20"/>
                <w:szCs w:val="20"/>
                <w:lang w:val="hy-AM"/>
              </w:rPr>
              <w:t xml:space="preserve">` </w:t>
            </w:r>
            <w:r w:rsidRPr="0053423A">
              <w:rPr>
                <w:rFonts w:eastAsia="Times New Roman" w:cs="Sylfaen"/>
                <w:sz w:val="20"/>
                <w:szCs w:val="20"/>
                <w:lang w:val="hy-AM"/>
              </w:rPr>
              <w:t>նաև</w:t>
            </w:r>
            <w:r w:rsidRPr="0053423A">
              <w:rPr>
                <w:rFonts w:eastAsia="Times New Roman" w:cs="Times New Roman"/>
                <w:sz w:val="20"/>
                <w:szCs w:val="20"/>
                <w:lang w:val="hy-AM"/>
              </w:rPr>
              <w:t xml:space="preserve"> </w:t>
            </w:r>
            <w:r w:rsidRPr="0053423A">
              <w:rPr>
                <w:rFonts w:eastAsia="Times New Roman" w:cs="Sylfaen"/>
                <w:sz w:val="20"/>
                <w:szCs w:val="20"/>
                <w:lang w:val="hy-AM"/>
              </w:rPr>
              <w:t>Վերանայված</w:t>
            </w:r>
            <w:r w:rsidRPr="0053423A">
              <w:rPr>
                <w:rFonts w:eastAsia="Times New Roman" w:cs="Times New Roman"/>
                <w:sz w:val="20"/>
                <w:szCs w:val="20"/>
                <w:lang w:val="hy-AM"/>
              </w:rPr>
              <w:t xml:space="preserve"> </w:t>
            </w:r>
            <w:r w:rsidRPr="0053423A">
              <w:rPr>
                <w:rFonts w:eastAsia="Times New Roman" w:cs="Sylfaen"/>
                <w:sz w:val="20"/>
                <w:szCs w:val="20"/>
                <w:lang w:val="hy-AM"/>
              </w:rPr>
              <w:t>եվրոպական</w:t>
            </w:r>
            <w:r w:rsidRPr="0053423A">
              <w:rPr>
                <w:rFonts w:eastAsia="Times New Roman" w:cs="Times New Roman"/>
                <w:sz w:val="20"/>
                <w:szCs w:val="20"/>
                <w:lang w:val="hy-AM"/>
              </w:rPr>
              <w:t xml:space="preserve"> </w:t>
            </w:r>
            <w:r w:rsidRPr="0053423A">
              <w:rPr>
                <w:rFonts w:eastAsia="Times New Roman" w:cs="Sylfaen"/>
                <w:sz w:val="20"/>
                <w:szCs w:val="20"/>
                <w:lang w:val="hy-AM"/>
              </w:rPr>
              <w:t>սոցիալական</w:t>
            </w:r>
            <w:r w:rsidRPr="0053423A">
              <w:rPr>
                <w:rFonts w:eastAsia="Times New Roman" w:cs="Times New Roman"/>
                <w:sz w:val="20"/>
                <w:szCs w:val="20"/>
                <w:lang w:val="hy-AM"/>
              </w:rPr>
              <w:t xml:space="preserve"> </w:t>
            </w:r>
            <w:r w:rsidRPr="0053423A">
              <w:rPr>
                <w:rFonts w:eastAsia="Times New Roman" w:cs="Sylfaen"/>
                <w:sz w:val="20"/>
                <w:szCs w:val="20"/>
                <w:lang w:val="hy-AM"/>
              </w:rPr>
              <w:t>խարտիայի</w:t>
            </w:r>
            <w:r w:rsidRPr="0053423A">
              <w:rPr>
                <w:rFonts w:eastAsia="Times New Roman" w:cs="Times New Roman"/>
                <w:sz w:val="20"/>
                <w:szCs w:val="20"/>
                <w:lang w:val="hy-AM"/>
              </w:rPr>
              <w:t xml:space="preserve"> </w:t>
            </w:r>
            <w:r w:rsidRPr="0053423A">
              <w:rPr>
                <w:rFonts w:eastAsia="Times New Roman" w:cs="Sylfaen"/>
                <w:sz w:val="20"/>
                <w:szCs w:val="20"/>
                <w:lang w:val="hy-AM"/>
              </w:rPr>
              <w:t>և</w:t>
            </w:r>
            <w:r w:rsidRPr="0053423A">
              <w:rPr>
                <w:rFonts w:eastAsia="Times New Roman" w:cs="Times New Roman"/>
                <w:sz w:val="20"/>
                <w:szCs w:val="20"/>
                <w:lang w:val="hy-AM"/>
              </w:rPr>
              <w:t xml:space="preserve"> </w:t>
            </w:r>
            <w:r w:rsidRPr="0053423A">
              <w:rPr>
                <w:rFonts w:eastAsia="Times New Roman" w:cs="Sylfaen"/>
                <w:sz w:val="20"/>
                <w:szCs w:val="20"/>
                <w:lang w:val="hy-AM"/>
              </w:rPr>
              <w:t>ԱՄԿ</w:t>
            </w:r>
            <w:r w:rsidRPr="0053423A">
              <w:rPr>
                <w:rFonts w:eastAsia="Times New Roman" w:cs="Times New Roman"/>
                <w:sz w:val="20"/>
                <w:szCs w:val="20"/>
                <w:lang w:val="hy-AM"/>
              </w:rPr>
              <w:t>-</w:t>
            </w:r>
            <w:r w:rsidRPr="0053423A">
              <w:rPr>
                <w:rFonts w:eastAsia="Times New Roman" w:cs="Sylfaen"/>
                <w:sz w:val="20"/>
                <w:szCs w:val="20"/>
                <w:lang w:val="hy-AM"/>
              </w:rPr>
              <w:t>ի</w:t>
            </w:r>
            <w:r w:rsidRPr="0053423A">
              <w:rPr>
                <w:rFonts w:eastAsia="Times New Roman" w:cs="Times New Roman"/>
                <w:sz w:val="20"/>
                <w:szCs w:val="20"/>
                <w:lang w:val="hy-AM"/>
              </w:rPr>
              <w:t xml:space="preserve"> </w:t>
            </w:r>
            <w:r w:rsidRPr="0053423A">
              <w:rPr>
                <w:rFonts w:eastAsia="Times New Roman" w:cs="Sylfaen"/>
                <w:sz w:val="20"/>
                <w:szCs w:val="20"/>
                <w:lang w:val="hy-AM"/>
              </w:rPr>
              <w:t>կոնվենցիաների</w:t>
            </w:r>
            <w:r w:rsidRPr="0053423A">
              <w:rPr>
                <w:rFonts w:eastAsia="Times New Roman" w:cs="Times New Roman"/>
                <w:sz w:val="20"/>
                <w:szCs w:val="20"/>
                <w:lang w:val="hy-AM"/>
              </w:rPr>
              <w:t xml:space="preserve"> </w:t>
            </w:r>
            <w:r w:rsidRPr="0053423A">
              <w:rPr>
                <w:rFonts w:eastAsia="Times New Roman" w:cs="Sylfaen"/>
                <w:sz w:val="20"/>
                <w:szCs w:val="20"/>
                <w:lang w:val="hy-AM"/>
              </w:rPr>
              <w:t>դրույթներին</w:t>
            </w:r>
            <w:r w:rsidRPr="0053423A">
              <w:rPr>
                <w:rFonts w:eastAsia="Times New Roman" w:cs="Times New Roman"/>
                <w:sz w:val="20"/>
                <w:szCs w:val="20"/>
                <w:lang w:val="hy-AM"/>
              </w:rPr>
              <w:t xml:space="preserve"> </w:t>
            </w:r>
            <w:r w:rsidRPr="0053423A">
              <w:rPr>
                <w:rFonts w:eastAsia="Times New Roman" w:cs="Sylfaen"/>
                <w:sz w:val="20"/>
                <w:szCs w:val="20"/>
                <w:lang w:val="hy-AM"/>
              </w:rPr>
              <w:t>համապատասխանեցնելու</w:t>
            </w:r>
            <w:r w:rsidRPr="0053423A">
              <w:rPr>
                <w:rFonts w:eastAsia="Times New Roman" w:cs="Times New Roman"/>
                <w:sz w:val="20"/>
                <w:szCs w:val="20"/>
                <w:lang w:val="hy-AM"/>
              </w:rPr>
              <w:t xml:space="preserve"> </w:t>
            </w:r>
            <w:r w:rsidRPr="0053423A">
              <w:rPr>
                <w:rFonts w:eastAsia="Times New Roman" w:cs="Sylfaen"/>
                <w:sz w:val="20"/>
                <w:szCs w:val="20"/>
                <w:lang w:val="hy-AM"/>
              </w:rPr>
              <w:t>գործընթացի</w:t>
            </w:r>
            <w:r w:rsidRPr="0053423A">
              <w:rPr>
                <w:rFonts w:eastAsia="Times New Roman" w:cs="Times New Roman"/>
                <w:sz w:val="20"/>
                <w:szCs w:val="20"/>
                <w:lang w:val="hy-AM"/>
              </w:rPr>
              <w:t xml:space="preserve"> </w:t>
            </w:r>
            <w:r w:rsidRPr="0053423A">
              <w:rPr>
                <w:rFonts w:eastAsia="Times New Roman" w:cs="Sylfaen"/>
                <w:sz w:val="20"/>
                <w:szCs w:val="20"/>
                <w:lang w:val="hy-AM"/>
              </w:rPr>
              <w:t>համատեքստում</w:t>
            </w:r>
            <w:r w:rsidRPr="0053423A">
              <w:rPr>
                <w:rFonts w:eastAsia="Times New Roman" w:cs="Times New Roman"/>
                <w:sz w:val="20"/>
                <w:szCs w:val="20"/>
                <w:lang w:val="hy-AM"/>
              </w:rPr>
              <w:t xml:space="preserve"> </w:t>
            </w:r>
            <w:r w:rsidRPr="0053423A">
              <w:rPr>
                <w:rFonts w:eastAsia="Times New Roman" w:cs="Sylfaen"/>
                <w:sz w:val="20"/>
                <w:szCs w:val="20"/>
                <w:lang w:val="hy-AM"/>
              </w:rPr>
              <w:t>էր</w:t>
            </w:r>
            <w:r w:rsidRPr="0053423A">
              <w:rPr>
                <w:rFonts w:eastAsia="Times New Roman" w:cs="Times New Roman"/>
                <w:sz w:val="20"/>
                <w:szCs w:val="20"/>
                <w:lang w:val="hy-AM"/>
              </w:rPr>
              <w:t xml:space="preserve">: </w:t>
            </w:r>
            <w:r w:rsidRPr="0053423A">
              <w:rPr>
                <w:rFonts w:eastAsia="Times New Roman" w:cs="Sylfaen"/>
                <w:sz w:val="20"/>
                <w:szCs w:val="20"/>
                <w:lang w:val="hy-AM"/>
              </w:rPr>
              <w:t>Օրենքի</w:t>
            </w:r>
            <w:r w:rsidRPr="0053423A">
              <w:rPr>
                <w:rFonts w:eastAsia="Times New Roman" w:cs="Times New Roman"/>
                <w:sz w:val="20"/>
                <w:szCs w:val="20"/>
                <w:lang w:val="hy-AM"/>
              </w:rPr>
              <w:t xml:space="preserve"> </w:t>
            </w:r>
            <w:r w:rsidRPr="0053423A">
              <w:rPr>
                <w:rFonts w:eastAsia="Times New Roman" w:cs="Sylfaen"/>
                <w:sz w:val="20"/>
                <w:szCs w:val="20"/>
                <w:lang w:val="hy-AM"/>
              </w:rPr>
              <w:t>ընդունումը</w:t>
            </w:r>
            <w:r w:rsidRPr="0053423A">
              <w:rPr>
                <w:rFonts w:eastAsia="Times New Roman" w:cs="Times New Roman"/>
                <w:sz w:val="20"/>
                <w:szCs w:val="20"/>
                <w:lang w:val="hy-AM"/>
              </w:rPr>
              <w:t xml:space="preserve"> </w:t>
            </w:r>
            <w:r w:rsidRPr="0053423A">
              <w:rPr>
                <w:rFonts w:eastAsia="Times New Roman" w:cs="Sylfaen"/>
                <w:sz w:val="20"/>
                <w:szCs w:val="20"/>
                <w:lang w:val="hy-AM"/>
              </w:rPr>
              <w:t>պայմանավորված</w:t>
            </w:r>
            <w:r w:rsidRPr="0053423A">
              <w:rPr>
                <w:rFonts w:eastAsia="Times New Roman" w:cs="Times New Roman"/>
                <w:sz w:val="20"/>
                <w:szCs w:val="20"/>
                <w:lang w:val="hy-AM"/>
              </w:rPr>
              <w:t xml:space="preserve"> </w:t>
            </w:r>
            <w:r w:rsidRPr="0053423A">
              <w:rPr>
                <w:rFonts w:eastAsia="Times New Roman" w:cs="Sylfaen"/>
                <w:sz w:val="20"/>
                <w:szCs w:val="20"/>
                <w:lang w:val="hy-AM"/>
              </w:rPr>
              <w:t>էր</w:t>
            </w:r>
            <w:r w:rsidRPr="0053423A">
              <w:rPr>
                <w:rFonts w:eastAsia="Times New Roman" w:cs="Times New Roman"/>
                <w:sz w:val="20"/>
                <w:szCs w:val="20"/>
                <w:lang w:val="hy-AM"/>
              </w:rPr>
              <w:t xml:space="preserve"> </w:t>
            </w:r>
            <w:r w:rsidRPr="0053423A">
              <w:rPr>
                <w:rFonts w:eastAsia="Times New Roman" w:cs="Sylfaen"/>
                <w:sz w:val="20"/>
                <w:szCs w:val="20"/>
                <w:lang w:val="hy-AM"/>
              </w:rPr>
              <w:t>նաև</w:t>
            </w:r>
            <w:r w:rsidRPr="0053423A">
              <w:rPr>
                <w:rFonts w:eastAsia="Times New Roman" w:cs="Times New Roman"/>
                <w:sz w:val="20"/>
                <w:szCs w:val="20"/>
                <w:lang w:val="hy-AM"/>
              </w:rPr>
              <w:t xml:space="preserve"> </w:t>
            </w:r>
            <w:r w:rsidRPr="0053423A">
              <w:rPr>
                <w:rFonts w:eastAsia="Times New Roman" w:cs="Sylfaen"/>
                <w:sz w:val="20"/>
                <w:szCs w:val="20"/>
                <w:lang w:val="hy-AM"/>
              </w:rPr>
              <w:t>ՀՀ</w:t>
            </w:r>
            <w:r w:rsidRPr="0053423A">
              <w:rPr>
                <w:rFonts w:eastAsia="Times New Roman" w:cs="Times New Roman"/>
                <w:sz w:val="20"/>
                <w:szCs w:val="20"/>
                <w:lang w:val="hy-AM"/>
              </w:rPr>
              <w:t xml:space="preserve"> </w:t>
            </w:r>
            <w:r w:rsidRPr="0053423A">
              <w:rPr>
                <w:rFonts w:eastAsia="Times New Roman" w:cs="Sylfaen"/>
                <w:sz w:val="20"/>
                <w:szCs w:val="20"/>
                <w:lang w:val="hy-AM"/>
              </w:rPr>
              <w:t>աշխատանքային</w:t>
            </w:r>
            <w:r w:rsidRPr="0053423A">
              <w:rPr>
                <w:rFonts w:eastAsia="Times New Roman" w:cs="Times New Roman"/>
                <w:sz w:val="20"/>
                <w:szCs w:val="20"/>
                <w:lang w:val="hy-AM"/>
              </w:rPr>
              <w:t xml:space="preserve"> </w:t>
            </w:r>
            <w:r w:rsidRPr="0053423A">
              <w:rPr>
                <w:rFonts w:eastAsia="Times New Roman" w:cs="Sylfaen"/>
                <w:sz w:val="20"/>
                <w:szCs w:val="20"/>
                <w:lang w:val="hy-AM"/>
              </w:rPr>
              <w:t>օրենսգրքի</w:t>
            </w:r>
            <w:r w:rsidRPr="0053423A">
              <w:rPr>
                <w:rFonts w:eastAsia="Times New Roman" w:cs="Times New Roman"/>
                <w:sz w:val="20"/>
                <w:szCs w:val="20"/>
                <w:lang w:val="hy-AM"/>
              </w:rPr>
              <w:t xml:space="preserve"> </w:t>
            </w:r>
            <w:r w:rsidRPr="0053423A">
              <w:rPr>
                <w:rFonts w:eastAsia="Times New Roman" w:cs="Sylfaen"/>
                <w:sz w:val="20"/>
                <w:szCs w:val="20"/>
                <w:lang w:val="hy-AM"/>
              </w:rPr>
              <w:t>որոշակի</w:t>
            </w:r>
            <w:r w:rsidRPr="0053423A">
              <w:rPr>
                <w:rFonts w:eastAsia="Times New Roman" w:cs="Times New Roman"/>
                <w:sz w:val="20"/>
                <w:szCs w:val="20"/>
                <w:lang w:val="hy-AM"/>
              </w:rPr>
              <w:t xml:space="preserve"> </w:t>
            </w:r>
            <w:r w:rsidRPr="0053423A">
              <w:rPr>
                <w:rFonts w:eastAsia="Times New Roman" w:cs="Sylfaen"/>
                <w:sz w:val="20"/>
                <w:szCs w:val="20"/>
                <w:lang w:val="hy-AM"/>
              </w:rPr>
              <w:t>դրույթների</w:t>
            </w:r>
            <w:r w:rsidRPr="0053423A">
              <w:rPr>
                <w:rFonts w:eastAsia="Times New Roman" w:cs="Times New Roman"/>
                <w:sz w:val="20"/>
                <w:szCs w:val="20"/>
                <w:lang w:val="hy-AM"/>
              </w:rPr>
              <w:t xml:space="preserve"> </w:t>
            </w:r>
            <w:r w:rsidRPr="0053423A">
              <w:rPr>
                <w:rFonts w:eastAsia="Times New Roman" w:cs="Sylfaen"/>
                <w:sz w:val="20"/>
                <w:szCs w:val="20"/>
                <w:lang w:val="hy-AM"/>
              </w:rPr>
              <w:t>կիրարկման</w:t>
            </w:r>
            <w:r w:rsidRPr="0053423A">
              <w:rPr>
                <w:rFonts w:eastAsia="Times New Roman" w:cs="Times New Roman"/>
                <w:sz w:val="20"/>
                <w:szCs w:val="20"/>
                <w:lang w:val="hy-AM"/>
              </w:rPr>
              <w:t xml:space="preserve"> </w:t>
            </w:r>
            <w:r w:rsidRPr="0053423A">
              <w:rPr>
                <w:rFonts w:eastAsia="Times New Roman" w:cs="Sylfaen"/>
                <w:sz w:val="20"/>
                <w:szCs w:val="20"/>
                <w:lang w:val="hy-AM"/>
              </w:rPr>
              <w:t>ընթացքում</w:t>
            </w:r>
            <w:r w:rsidRPr="0053423A">
              <w:rPr>
                <w:rFonts w:eastAsia="Times New Roman" w:cs="Times New Roman"/>
                <w:sz w:val="20"/>
                <w:szCs w:val="20"/>
                <w:lang w:val="hy-AM"/>
              </w:rPr>
              <w:t xml:space="preserve"> </w:t>
            </w:r>
            <w:r w:rsidRPr="0053423A">
              <w:rPr>
                <w:rFonts w:eastAsia="Times New Roman" w:cs="Sylfaen"/>
                <w:sz w:val="20"/>
                <w:szCs w:val="20"/>
                <w:lang w:val="hy-AM"/>
              </w:rPr>
              <w:t>ի</w:t>
            </w:r>
            <w:r w:rsidRPr="0053423A">
              <w:rPr>
                <w:rFonts w:eastAsia="Times New Roman" w:cs="Times New Roman"/>
                <w:sz w:val="20"/>
                <w:szCs w:val="20"/>
                <w:lang w:val="hy-AM"/>
              </w:rPr>
              <w:t xml:space="preserve"> </w:t>
            </w:r>
            <w:r w:rsidRPr="0053423A">
              <w:rPr>
                <w:rFonts w:eastAsia="Times New Roman" w:cs="Sylfaen"/>
                <w:sz w:val="20"/>
                <w:szCs w:val="20"/>
                <w:lang w:val="hy-AM"/>
              </w:rPr>
              <w:t>հայտ</w:t>
            </w:r>
            <w:r w:rsidRPr="0053423A">
              <w:rPr>
                <w:rFonts w:eastAsia="Times New Roman" w:cs="Times New Roman"/>
                <w:sz w:val="20"/>
                <w:szCs w:val="20"/>
                <w:lang w:val="hy-AM"/>
              </w:rPr>
              <w:t xml:space="preserve"> </w:t>
            </w:r>
            <w:r w:rsidRPr="0053423A">
              <w:rPr>
                <w:rFonts w:eastAsia="Times New Roman" w:cs="Sylfaen"/>
                <w:sz w:val="20"/>
                <w:szCs w:val="20"/>
                <w:lang w:val="hy-AM"/>
              </w:rPr>
              <w:t>եկած</w:t>
            </w:r>
            <w:r w:rsidRPr="0053423A">
              <w:rPr>
                <w:rFonts w:eastAsia="Times New Roman" w:cs="Times New Roman"/>
                <w:sz w:val="20"/>
                <w:szCs w:val="20"/>
                <w:lang w:val="hy-AM"/>
              </w:rPr>
              <w:t xml:space="preserve"> </w:t>
            </w:r>
            <w:r w:rsidRPr="0053423A">
              <w:rPr>
                <w:rFonts w:eastAsia="Times New Roman" w:cs="Sylfaen"/>
                <w:sz w:val="20"/>
                <w:szCs w:val="20"/>
                <w:lang w:val="hy-AM"/>
              </w:rPr>
              <w:t>խնդիրների լուծման անհրաժեշտությամբ</w:t>
            </w:r>
            <w:r w:rsidRPr="0053423A">
              <w:rPr>
                <w:rFonts w:eastAsia="Times New Roman" w:cs="Times New Roman"/>
                <w:sz w:val="20"/>
                <w:szCs w:val="20"/>
                <w:lang w:val="hy-AM"/>
              </w:rPr>
              <w:t xml:space="preserve">: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eastAsia="ru-RU"/>
              </w:rPr>
              <w:t xml:space="preserve">ՀՀ աշխատանքային օրենսդրությամբ առկա կարգավորումների շարունակական բարելավման ու կատարելագործման, աշխատանքային հարաբերությունների կարգավորման առավել ճկուն մեխանիզմներ նախատեսելու, ինչպես նաև աշխատանքային հարաբերությունների կարգավորման ոլորտում ՀՀ կողմից վավերացված միջազգային պայմանագրերի առանձին դրույթներին՝ Օրենսգրքի պահանջների համապատասխանեցման անհրաժեշտությունից ելնելով հարկավոր է առանձին հայեցակարգ, որով կնախանշվեն այն խնդիրներն ու ուղղությունները, որոնց անհրաժեշտ է տալ համապատասխան օրենսդրական կարգավորումներ:  </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1.2. </w:t>
            </w:r>
            <w:r w:rsidRPr="0053423A">
              <w:rPr>
                <w:rFonts w:eastAsia="Times New Roman" w:cs="Sylfaen"/>
                <w:b/>
                <w:sz w:val="20"/>
                <w:szCs w:val="20"/>
                <w:lang w:val="hy-AM"/>
              </w:rPr>
              <w:t>Առկա</w:t>
            </w:r>
            <w:r w:rsidRPr="0053423A">
              <w:rPr>
                <w:rFonts w:eastAsia="Times New Roman" w:cs="Times New Roman"/>
                <w:b/>
                <w:sz w:val="20"/>
                <w:szCs w:val="20"/>
                <w:lang w:val="hy-AM"/>
              </w:rPr>
              <w:t xml:space="preserve"> </w:t>
            </w:r>
            <w:r w:rsidRPr="0053423A">
              <w:rPr>
                <w:rFonts w:eastAsia="Times New Roman" w:cs="Sylfaen"/>
                <w:b/>
                <w:sz w:val="20"/>
                <w:szCs w:val="20"/>
                <w:lang w:val="hy-AM"/>
              </w:rPr>
              <w:t>խնդիրների</w:t>
            </w:r>
            <w:r w:rsidRPr="0053423A">
              <w:rPr>
                <w:rFonts w:eastAsia="Times New Roman" w:cs="Times New Roman"/>
                <w:b/>
                <w:sz w:val="20"/>
                <w:szCs w:val="20"/>
                <w:lang w:val="hy-AM"/>
              </w:rPr>
              <w:t xml:space="preserve"> </w:t>
            </w:r>
            <w:r w:rsidRPr="0053423A">
              <w:rPr>
                <w:rFonts w:eastAsia="Times New Roman" w:cs="Sylfaen"/>
                <w:b/>
                <w:sz w:val="20"/>
                <w:szCs w:val="20"/>
                <w:lang w:val="hy-AM"/>
              </w:rPr>
              <w:t>առաջարկվող</w:t>
            </w:r>
            <w:r w:rsidRPr="0053423A">
              <w:rPr>
                <w:rFonts w:eastAsia="Times New Roman" w:cs="Times New Roman"/>
                <w:b/>
                <w:sz w:val="20"/>
                <w:szCs w:val="20"/>
                <w:lang w:val="hy-AM"/>
              </w:rPr>
              <w:t xml:space="preserve"> </w:t>
            </w:r>
            <w:r w:rsidRPr="0053423A">
              <w:rPr>
                <w:rFonts w:eastAsia="Times New Roman" w:cs="Sylfaen"/>
                <w:b/>
                <w:sz w:val="20"/>
                <w:szCs w:val="20"/>
                <w:lang w:val="hy-AM"/>
              </w:rPr>
              <w:t>լուծումները</w:t>
            </w:r>
            <w:r w:rsidRPr="0053423A">
              <w:rPr>
                <w:rFonts w:eastAsia="Times New Roman" w:cs="Times New Roman"/>
                <w:b/>
                <w:sz w:val="20"/>
                <w:szCs w:val="20"/>
                <w:lang w:val="hy-AM"/>
              </w:rPr>
              <w:t xml:space="preserve">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Միջոցառման շրջանակներում աշխատանքային հարաբերությունների կարգավորման ոլորտում ՀՀ կողմից վավերացված միջազգային պայմանագրերի պահանջներին ՀՀ աշխատանքային օրենսգրքի դրույթների անհամապատասխանությունների, ինչպես նաև իրավակիրառական պրակտիկայում ի հայտ եկած խնդիրների  վերլուծության արդյունքում կբացահայտվեն այն հիմնական խնդիրները, որոնց առնչությամբ լուծումներն ու առաջարկությունները պետք է տեղ գտնեն հայեցակարգի ընդունումից հետո մշակվող </w:t>
            </w:r>
            <w:r w:rsidRPr="0053423A">
              <w:rPr>
                <w:rFonts w:eastAsia="Calibri" w:cs="Times New Roman"/>
                <w:sz w:val="20"/>
                <w:szCs w:val="20"/>
                <w:lang w:val="hy-AM"/>
              </w:rPr>
              <w:t xml:space="preserve">ՀՀ </w:t>
            </w:r>
            <w:r w:rsidRPr="0053423A">
              <w:rPr>
                <w:rFonts w:eastAsia="Times New Roman" w:cs="Times New Roman"/>
                <w:sz w:val="20"/>
                <w:szCs w:val="20"/>
                <w:lang w:val="hy-AM"/>
              </w:rPr>
              <w:t>աշխատանքային օրենսդրությունում փոփոխությունների առաջարկների փաթեթում:</w:t>
            </w:r>
          </w:p>
          <w:p w:rsidR="00514E01" w:rsidRPr="0053423A" w:rsidRDefault="00514E01" w:rsidP="00A67858">
            <w:pPr>
              <w:spacing w:line="276" w:lineRule="auto"/>
              <w:jc w:val="both"/>
              <w:rPr>
                <w:rFonts w:eastAsia="Times New Roman" w:cs="Sylfaen"/>
                <w:sz w:val="20"/>
                <w:szCs w:val="20"/>
                <w:lang w:val="hy-AM"/>
              </w:rPr>
            </w:pPr>
            <w:r w:rsidRPr="0053423A">
              <w:rPr>
                <w:rFonts w:eastAsia="Times New Roman" w:cs="Times New Roman"/>
                <w:b/>
                <w:sz w:val="20"/>
                <w:szCs w:val="20"/>
                <w:lang w:val="hy-AM"/>
              </w:rPr>
              <w:t>3.Միջոցառման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Times New Roman" w:cs="Sylfaen"/>
                <w:sz w:val="20"/>
                <w:szCs w:val="20"/>
                <w:lang w:val="hy-AM"/>
              </w:rPr>
              <w:t>Միջոցառման իրականացումից ակնկալվող</w:t>
            </w:r>
            <w:r w:rsidRPr="0053423A">
              <w:rPr>
                <w:rFonts w:eastAsia="Times New Roman" w:cs="Times New Roman"/>
                <w:sz w:val="20"/>
                <w:szCs w:val="20"/>
                <w:lang w:val="hy-AM"/>
              </w:rPr>
              <w:t xml:space="preserve"> </w:t>
            </w:r>
            <w:r w:rsidRPr="0053423A">
              <w:rPr>
                <w:rFonts w:eastAsia="Times New Roman" w:cs="Sylfaen"/>
                <w:sz w:val="20"/>
                <w:szCs w:val="20"/>
                <w:lang w:val="hy-AM"/>
              </w:rPr>
              <w:t xml:space="preserve">արդյունքը այն խնդիրների և ուղղությունների մատնանշումն է, որոնց լուծումներին միտված համապատասխան առաջարկությունների ներկայացման պարագայում կերաշխավորվեն ՀՀ կողմից ստանձնած միջազգային պարտավորությունների իրականացումը, ինչպես նաև կհստակեցվեն ոչ </w:t>
            </w:r>
            <w:r w:rsidRPr="0053423A">
              <w:rPr>
                <w:rFonts w:eastAsia="GHEAMariam" w:cs="Sylfaen"/>
                <w:sz w:val="20"/>
                <w:szCs w:val="20"/>
                <w:lang w:val="hy-AM"/>
              </w:rPr>
              <w:t>հստակ կամ տարաբնույթ ընկալման տեղիք տվող դրույթները:</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eastAsia="ru-RU"/>
              </w:rPr>
            </w:pPr>
            <w:r w:rsidRPr="0053423A">
              <w:rPr>
                <w:rFonts w:eastAsia="Times New Roman" w:cs="Times New Roman"/>
                <w:b/>
                <w:sz w:val="20"/>
                <w:szCs w:val="20"/>
                <w:u w:val="single"/>
                <w:lang w:val="hy-AM" w:eastAsia="ru-RU"/>
              </w:rPr>
              <w:t xml:space="preserve">4.2. Աշխատանքային հարաբերությունների կարգավորման ոլորտում ՀՀ կողմից վավերացված միջազգային պայմանագրերի պահանջներին ՀՀ աշխատանքային օրենսգրքի դրույթների համապատասխանության վերլուծության, իրավակիրառական պրակտիկայում ի հայտ եկած խնդիրների վերհանման, ինչպես նաև միջազգային փորձի ուսումնասիրության հիման վրա ՀՀ աշխատանքային օրենսդրությունում փոփոխությունների առաջարկների փաթեթի մշակում և Վարչապետի աշխատակազմ ներկայացում </w:t>
            </w:r>
          </w:p>
          <w:p w:rsidR="00514E01" w:rsidRPr="0053423A" w:rsidRDefault="00514E01" w:rsidP="00A67858">
            <w:pPr>
              <w:spacing w:line="276" w:lineRule="auto"/>
              <w:jc w:val="both"/>
              <w:rPr>
                <w:rFonts w:eastAsia="Times New Roman" w:cs="Times New Roman"/>
                <w:b/>
                <w:sz w:val="20"/>
                <w:szCs w:val="20"/>
                <w:u w:val="single"/>
                <w:lang w:val="hy-AM" w:eastAsia="ru-RU"/>
              </w:rPr>
            </w:pP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1. Միջոցառման իրականացման անհրաժեշտությունը և նպատակը</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Times New Roman" w:cs="Times New Roman"/>
                <w:sz w:val="20"/>
                <w:szCs w:val="20"/>
                <w:lang w:val="hy-AM" w:eastAsia="ru-RU"/>
              </w:rPr>
              <w:t>Միջոցառման անհրաժեշտությունը բխում է ՀՀ կառավարության 2019</w:t>
            </w:r>
            <w:r w:rsidRPr="0053423A">
              <w:rPr>
                <w:rFonts w:eastAsia="Times New Roman" w:cs="Sylfaen"/>
                <w:sz w:val="20"/>
                <w:szCs w:val="20"/>
                <w:lang w:val="hy-AM" w:eastAsia="ru-RU"/>
              </w:rPr>
              <w:t>թ</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փետրվարի 8</w:t>
            </w:r>
            <w:r w:rsidRPr="0053423A">
              <w:rPr>
                <w:rFonts w:eastAsia="Times New Roman" w:cs="Times New Roman"/>
                <w:sz w:val="20"/>
                <w:szCs w:val="20"/>
                <w:lang w:val="hy-AM" w:eastAsia="ru-RU"/>
              </w:rPr>
              <w:t>-</w:t>
            </w:r>
            <w:r w:rsidRPr="0053423A">
              <w:rPr>
                <w:rFonts w:eastAsia="Times New Roman" w:cs="Sylfaen"/>
                <w:sz w:val="20"/>
                <w:szCs w:val="20"/>
                <w:lang w:val="hy-AM" w:eastAsia="ru-RU"/>
              </w:rPr>
              <w:t>ի</w:t>
            </w:r>
            <w:r w:rsidRPr="0053423A">
              <w:rPr>
                <w:rFonts w:eastAsia="Times New Roman" w:cs="Times New Roman"/>
                <w:sz w:val="20"/>
                <w:szCs w:val="20"/>
                <w:lang w:val="hy-AM" w:eastAsia="ru-RU"/>
              </w:rPr>
              <w:t xml:space="preserve"> N 65-</w:t>
            </w:r>
            <w:r w:rsidRPr="0053423A">
              <w:rPr>
                <w:rFonts w:eastAsia="Times New Roman" w:cs="Sylfaen"/>
                <w:sz w:val="20"/>
                <w:szCs w:val="20"/>
                <w:lang w:val="hy-AM" w:eastAsia="ru-RU"/>
              </w:rPr>
              <w:t>Ա</w:t>
            </w:r>
            <w:r w:rsidRPr="0053423A">
              <w:rPr>
                <w:rFonts w:eastAsia="Times New Roman" w:cs="Times New Roman"/>
                <w:sz w:val="20"/>
                <w:szCs w:val="20"/>
                <w:lang w:val="hy-AM" w:eastAsia="ru-RU"/>
              </w:rPr>
              <w:t xml:space="preserve"> որոշմամբ հավանության արժանացած ՀՀ կառավարության ծրագրի դրույթներից, որի 4-րդ «Ազատ, արժանապատիվ և երջանիկ քաղաքացի» բաժնի 4.2-րդ «Աղքատության հաղթահարումը, սոցիալական պաշտպանությունը և ժողովրդագրությունը» ենթաբաժնի 8-րդ պարբերությամբ նախատեսված է, որ արժանապատիվ աշխատանքի իրավունքի իրականացման նպատակով շարունակաբար կպարզեցվեն աշխատանքային հարաբերությունների կարգավորման մեխանիզմները, կհամապատասխանեցվեն միջազգային պայմանագրերով ամրագրված պահանջներին:</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Times New Roman" w:cs="Times New Roman"/>
                <w:sz w:val="20"/>
                <w:szCs w:val="20"/>
                <w:lang w:val="hy-AM" w:eastAsia="ru-RU"/>
              </w:rPr>
              <w:t xml:space="preserve">Միջոցառման իրականացումը պայմանավորված է ՀՀ աշխատանքային օրենսդրության առանձին դրույթների՝ միջազգային պայմանագրերով ամրագրված պահանջներին համապատասխանեցման, ոչ հստակ կամ տարաբնույթ ընկալման տեղիք տվող դրույթների հստակեցվեն, ինչպես նաև որոշակի խմբերի համար աշխատանքային պայմանագրի լուծման պարագայում առանձին երաշխիքների սահմանման անհրաժեշտությամբ: </w:t>
            </w:r>
          </w:p>
          <w:p w:rsidR="00514E01" w:rsidRPr="0053423A" w:rsidRDefault="00514E01" w:rsidP="00A67858">
            <w:pPr>
              <w:autoSpaceDE w:val="0"/>
              <w:autoSpaceDN w:val="0"/>
              <w:adjustRightInd w:val="0"/>
              <w:spacing w:line="276" w:lineRule="auto"/>
              <w:jc w:val="both"/>
              <w:rPr>
                <w:rFonts w:eastAsia="GHEAMariam-Bold" w:cs="GHEAMariam-Bold"/>
                <w:b/>
                <w:bCs/>
                <w:sz w:val="20"/>
                <w:szCs w:val="20"/>
                <w:lang w:val="hy-AM"/>
              </w:rPr>
            </w:pPr>
            <w:r w:rsidRPr="0053423A">
              <w:rPr>
                <w:rFonts w:eastAsia="Times New Roman" w:cs="GHEA Mariam"/>
                <w:b/>
                <w:bCs/>
                <w:sz w:val="20"/>
                <w:szCs w:val="20"/>
                <w:lang w:val="hy-AM"/>
              </w:rPr>
              <w:t xml:space="preserve">1.1. </w:t>
            </w:r>
            <w:r w:rsidRPr="0053423A">
              <w:rPr>
                <w:rFonts w:eastAsia="GHEAMariam-Bold" w:cs="GHEAMariam-Bold"/>
                <w:b/>
                <w:bCs/>
                <w:sz w:val="20"/>
                <w:szCs w:val="20"/>
                <w:lang w:val="hy-AM"/>
              </w:rPr>
              <w:t>Կարգավորման հարաբերությունների ներկա վիճակը և առկա խնդիրները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2015 </w:t>
            </w:r>
            <w:r w:rsidRPr="0053423A">
              <w:rPr>
                <w:rFonts w:eastAsia="Times New Roman" w:cs="Sylfaen"/>
                <w:sz w:val="20"/>
                <w:szCs w:val="20"/>
                <w:lang w:val="hy-AM"/>
              </w:rPr>
              <w:t>թվականի</w:t>
            </w:r>
            <w:r w:rsidRPr="0053423A">
              <w:rPr>
                <w:rFonts w:eastAsia="Times New Roman" w:cs="Times New Roman"/>
                <w:sz w:val="20"/>
                <w:szCs w:val="20"/>
                <w:lang w:val="hy-AM"/>
              </w:rPr>
              <w:t xml:space="preserve"> </w:t>
            </w:r>
            <w:r w:rsidRPr="0053423A">
              <w:rPr>
                <w:rFonts w:eastAsia="Times New Roman" w:cs="Sylfaen"/>
                <w:sz w:val="20"/>
                <w:szCs w:val="20"/>
                <w:lang w:val="hy-AM"/>
              </w:rPr>
              <w:t>հունիսի</w:t>
            </w:r>
            <w:r w:rsidRPr="0053423A">
              <w:rPr>
                <w:rFonts w:eastAsia="Times New Roman" w:cs="Times New Roman"/>
                <w:sz w:val="20"/>
                <w:szCs w:val="20"/>
                <w:lang w:val="hy-AM"/>
              </w:rPr>
              <w:t xml:space="preserve"> 22-</w:t>
            </w:r>
            <w:r w:rsidRPr="0053423A">
              <w:rPr>
                <w:rFonts w:eastAsia="Times New Roman" w:cs="Sylfaen"/>
                <w:sz w:val="20"/>
                <w:szCs w:val="20"/>
                <w:lang w:val="hy-AM"/>
              </w:rPr>
              <w:t>ին</w:t>
            </w:r>
            <w:r w:rsidRPr="0053423A">
              <w:rPr>
                <w:rFonts w:eastAsia="Times New Roman" w:cs="Times New Roman"/>
                <w:sz w:val="20"/>
                <w:szCs w:val="20"/>
                <w:lang w:val="hy-AM"/>
              </w:rPr>
              <w:t xml:space="preserve"> </w:t>
            </w:r>
            <w:r w:rsidRPr="0053423A">
              <w:rPr>
                <w:rFonts w:eastAsia="Times New Roman" w:cs="Sylfaen"/>
                <w:sz w:val="20"/>
                <w:szCs w:val="20"/>
                <w:lang w:val="hy-AM"/>
              </w:rPr>
              <w:t>ընդունված</w:t>
            </w:r>
            <w:r w:rsidRPr="0053423A">
              <w:rPr>
                <w:rFonts w:eastAsia="Times New Roman" w:cs="Times New Roman"/>
                <w:sz w:val="20"/>
                <w:szCs w:val="20"/>
                <w:lang w:val="hy-AM"/>
              </w:rPr>
              <w:t xml:space="preserve"> «</w:t>
            </w:r>
            <w:r w:rsidRPr="0053423A">
              <w:rPr>
                <w:rFonts w:eastAsia="Times New Roman" w:cs="Sylfaen"/>
                <w:sz w:val="20"/>
                <w:szCs w:val="20"/>
                <w:lang w:val="hy-AM"/>
              </w:rPr>
              <w:t>Հայաստանի</w:t>
            </w:r>
            <w:r w:rsidRPr="0053423A">
              <w:rPr>
                <w:rFonts w:eastAsia="Times New Roman" w:cs="Times New Roman"/>
                <w:sz w:val="20"/>
                <w:szCs w:val="20"/>
                <w:lang w:val="hy-AM"/>
              </w:rPr>
              <w:t xml:space="preserve"> </w:t>
            </w:r>
            <w:r w:rsidRPr="0053423A">
              <w:rPr>
                <w:rFonts w:eastAsia="Times New Roman" w:cs="Sylfaen"/>
                <w:sz w:val="20"/>
                <w:szCs w:val="20"/>
                <w:lang w:val="hy-AM"/>
              </w:rPr>
              <w:t>Հանրապետության</w:t>
            </w:r>
            <w:r w:rsidRPr="0053423A">
              <w:rPr>
                <w:rFonts w:eastAsia="Times New Roman" w:cs="Times New Roman"/>
                <w:sz w:val="20"/>
                <w:szCs w:val="20"/>
                <w:lang w:val="hy-AM"/>
              </w:rPr>
              <w:t xml:space="preserve"> </w:t>
            </w:r>
            <w:r w:rsidRPr="0053423A">
              <w:rPr>
                <w:rFonts w:eastAsia="Times New Roman" w:cs="Sylfaen"/>
                <w:sz w:val="20"/>
                <w:szCs w:val="20"/>
                <w:lang w:val="hy-AM"/>
              </w:rPr>
              <w:t>աշխատանքային</w:t>
            </w:r>
            <w:r w:rsidRPr="0053423A">
              <w:rPr>
                <w:rFonts w:eastAsia="Times New Roman" w:cs="Times New Roman"/>
                <w:sz w:val="20"/>
                <w:szCs w:val="20"/>
                <w:lang w:val="hy-AM"/>
              </w:rPr>
              <w:t xml:space="preserve"> </w:t>
            </w:r>
            <w:r w:rsidRPr="0053423A">
              <w:rPr>
                <w:rFonts w:eastAsia="Times New Roman" w:cs="Sylfaen"/>
                <w:sz w:val="20"/>
                <w:szCs w:val="20"/>
                <w:lang w:val="hy-AM"/>
              </w:rPr>
              <w:t>օրենսգրքում</w:t>
            </w:r>
            <w:r w:rsidRPr="0053423A">
              <w:rPr>
                <w:rFonts w:eastAsia="Times New Roman" w:cs="Times New Roman"/>
                <w:sz w:val="20"/>
                <w:szCs w:val="20"/>
                <w:lang w:val="hy-AM"/>
              </w:rPr>
              <w:t xml:space="preserve"> </w:t>
            </w:r>
            <w:r w:rsidRPr="0053423A">
              <w:rPr>
                <w:rFonts w:eastAsia="Times New Roman" w:cs="Sylfaen"/>
                <w:sz w:val="20"/>
                <w:szCs w:val="20"/>
                <w:lang w:val="hy-AM"/>
              </w:rPr>
              <w:t>լրացումներ</w:t>
            </w:r>
            <w:r w:rsidRPr="0053423A">
              <w:rPr>
                <w:rFonts w:eastAsia="Times New Roman" w:cs="Times New Roman"/>
                <w:sz w:val="20"/>
                <w:szCs w:val="20"/>
                <w:lang w:val="hy-AM"/>
              </w:rPr>
              <w:t xml:space="preserve"> </w:t>
            </w:r>
            <w:r w:rsidRPr="0053423A">
              <w:rPr>
                <w:rFonts w:eastAsia="Times New Roman" w:cs="Sylfaen"/>
                <w:sz w:val="20"/>
                <w:szCs w:val="20"/>
                <w:lang w:val="hy-AM"/>
              </w:rPr>
              <w:t>և</w:t>
            </w:r>
            <w:r w:rsidRPr="0053423A">
              <w:rPr>
                <w:rFonts w:eastAsia="Times New Roman" w:cs="Times New Roman"/>
                <w:sz w:val="20"/>
                <w:szCs w:val="20"/>
                <w:lang w:val="hy-AM"/>
              </w:rPr>
              <w:t xml:space="preserve"> </w:t>
            </w:r>
            <w:r w:rsidRPr="0053423A">
              <w:rPr>
                <w:rFonts w:eastAsia="Times New Roman" w:cs="Sylfaen"/>
                <w:sz w:val="20"/>
                <w:szCs w:val="20"/>
                <w:lang w:val="hy-AM"/>
              </w:rPr>
              <w:t>փոփոխություններ</w:t>
            </w:r>
            <w:r w:rsidRPr="0053423A">
              <w:rPr>
                <w:rFonts w:eastAsia="Times New Roman" w:cs="Times New Roman"/>
                <w:sz w:val="20"/>
                <w:szCs w:val="20"/>
                <w:lang w:val="hy-AM"/>
              </w:rPr>
              <w:t xml:space="preserve"> </w:t>
            </w:r>
            <w:r w:rsidRPr="0053423A">
              <w:rPr>
                <w:rFonts w:eastAsia="Times New Roman" w:cs="Sylfaen"/>
                <w:sz w:val="20"/>
                <w:szCs w:val="20"/>
                <w:lang w:val="hy-AM"/>
              </w:rPr>
              <w:t>կատարելու</w:t>
            </w:r>
            <w:r w:rsidRPr="0053423A">
              <w:rPr>
                <w:rFonts w:eastAsia="Times New Roman" w:cs="Times New Roman"/>
                <w:sz w:val="20"/>
                <w:szCs w:val="20"/>
                <w:lang w:val="hy-AM"/>
              </w:rPr>
              <w:t xml:space="preserve"> </w:t>
            </w:r>
            <w:r w:rsidRPr="0053423A">
              <w:rPr>
                <w:rFonts w:eastAsia="Times New Roman" w:cs="Sylfaen"/>
                <w:sz w:val="20"/>
                <w:szCs w:val="20"/>
                <w:lang w:val="hy-AM"/>
              </w:rPr>
              <w:t>մասին</w:t>
            </w:r>
            <w:r w:rsidRPr="0053423A">
              <w:rPr>
                <w:rFonts w:eastAsia="Times New Roman" w:cs="Times New Roman"/>
                <w:sz w:val="20"/>
                <w:szCs w:val="20"/>
                <w:lang w:val="hy-AM"/>
              </w:rPr>
              <w:t xml:space="preserve">» </w:t>
            </w:r>
            <w:r w:rsidRPr="0053423A">
              <w:rPr>
                <w:rFonts w:eastAsia="Times New Roman" w:cs="Sylfaen"/>
                <w:sz w:val="20"/>
                <w:szCs w:val="20"/>
                <w:lang w:val="hy-AM"/>
              </w:rPr>
              <w:t>ՀՕ</w:t>
            </w:r>
            <w:r w:rsidRPr="0053423A">
              <w:rPr>
                <w:rFonts w:eastAsia="Times New Roman" w:cs="Times New Roman"/>
                <w:sz w:val="20"/>
                <w:szCs w:val="20"/>
                <w:lang w:val="hy-AM"/>
              </w:rPr>
              <w:t>-96-</w:t>
            </w:r>
            <w:r w:rsidRPr="0053423A">
              <w:rPr>
                <w:rFonts w:eastAsia="Times New Roman" w:cs="Sylfaen"/>
                <w:sz w:val="20"/>
                <w:szCs w:val="20"/>
                <w:lang w:val="hy-AM"/>
              </w:rPr>
              <w:t>Ն</w:t>
            </w:r>
            <w:r w:rsidRPr="0053423A">
              <w:rPr>
                <w:rFonts w:eastAsia="Times New Roman" w:cs="Times New Roman"/>
                <w:sz w:val="20"/>
                <w:szCs w:val="20"/>
                <w:lang w:val="hy-AM"/>
              </w:rPr>
              <w:t xml:space="preserve"> </w:t>
            </w:r>
            <w:r w:rsidRPr="0053423A">
              <w:rPr>
                <w:rFonts w:eastAsia="Times New Roman" w:cs="Sylfaen"/>
                <w:sz w:val="20"/>
                <w:szCs w:val="20"/>
                <w:lang w:val="hy-AM"/>
              </w:rPr>
              <w:t>օրենքով</w:t>
            </w:r>
            <w:r w:rsidRPr="0053423A">
              <w:rPr>
                <w:rFonts w:eastAsia="Times New Roman" w:cs="Times New Roman"/>
                <w:sz w:val="20"/>
                <w:szCs w:val="20"/>
                <w:lang w:val="hy-AM"/>
              </w:rPr>
              <w:t xml:space="preserve"> ՀՀ աշխատանքային օրենսգրքում </w:t>
            </w:r>
            <w:r w:rsidRPr="0053423A">
              <w:rPr>
                <w:rFonts w:eastAsia="Times New Roman" w:cs="Sylfaen"/>
                <w:sz w:val="20"/>
                <w:szCs w:val="20"/>
                <w:lang w:val="hy-AM"/>
              </w:rPr>
              <w:t>կատարվեցին</w:t>
            </w:r>
            <w:r w:rsidRPr="0053423A">
              <w:rPr>
                <w:rFonts w:eastAsia="Times New Roman" w:cs="Times New Roman"/>
                <w:sz w:val="20"/>
                <w:szCs w:val="20"/>
                <w:lang w:val="hy-AM"/>
              </w:rPr>
              <w:t xml:space="preserve"> </w:t>
            </w:r>
            <w:r w:rsidRPr="0053423A">
              <w:rPr>
                <w:rFonts w:eastAsia="Times New Roman" w:cs="Sylfaen"/>
                <w:sz w:val="20"/>
                <w:szCs w:val="20"/>
                <w:lang w:val="hy-AM"/>
              </w:rPr>
              <w:t>բավականին</w:t>
            </w:r>
            <w:r w:rsidRPr="0053423A">
              <w:rPr>
                <w:rFonts w:eastAsia="Times New Roman" w:cs="Times New Roman"/>
                <w:sz w:val="20"/>
                <w:szCs w:val="20"/>
                <w:lang w:val="hy-AM"/>
              </w:rPr>
              <w:t xml:space="preserve"> </w:t>
            </w:r>
            <w:r w:rsidRPr="0053423A">
              <w:rPr>
                <w:rFonts w:eastAsia="Times New Roman" w:cs="Sylfaen"/>
                <w:sz w:val="20"/>
                <w:szCs w:val="20"/>
                <w:lang w:val="hy-AM"/>
              </w:rPr>
              <w:t>մեծ</w:t>
            </w:r>
            <w:r w:rsidRPr="0053423A">
              <w:rPr>
                <w:rFonts w:eastAsia="Times New Roman" w:cs="Times New Roman"/>
                <w:sz w:val="20"/>
                <w:szCs w:val="20"/>
                <w:lang w:val="hy-AM"/>
              </w:rPr>
              <w:t xml:space="preserve"> </w:t>
            </w:r>
            <w:r w:rsidRPr="0053423A">
              <w:rPr>
                <w:rFonts w:eastAsia="Times New Roman" w:cs="Sylfaen"/>
                <w:sz w:val="20"/>
                <w:szCs w:val="20"/>
                <w:lang w:val="hy-AM"/>
              </w:rPr>
              <w:t>թվով</w:t>
            </w:r>
            <w:r w:rsidRPr="0053423A">
              <w:rPr>
                <w:rFonts w:eastAsia="Times New Roman" w:cs="Times New Roman"/>
                <w:sz w:val="20"/>
                <w:szCs w:val="20"/>
                <w:lang w:val="hy-AM"/>
              </w:rPr>
              <w:t xml:space="preserve"> </w:t>
            </w:r>
            <w:r w:rsidRPr="0053423A">
              <w:rPr>
                <w:rFonts w:eastAsia="Times New Roman" w:cs="Sylfaen"/>
                <w:sz w:val="20"/>
                <w:szCs w:val="20"/>
                <w:lang w:val="hy-AM"/>
              </w:rPr>
              <w:t>փոփոխություններ</w:t>
            </w:r>
            <w:r w:rsidRPr="0053423A">
              <w:rPr>
                <w:rFonts w:eastAsia="Times New Roman" w:cs="Times New Roman"/>
                <w:sz w:val="20"/>
                <w:szCs w:val="20"/>
                <w:lang w:val="hy-AM"/>
              </w:rPr>
              <w:t xml:space="preserve">, </w:t>
            </w:r>
            <w:r w:rsidRPr="0053423A">
              <w:rPr>
                <w:rFonts w:eastAsia="Times New Roman" w:cs="Sylfaen"/>
                <w:sz w:val="20"/>
                <w:szCs w:val="20"/>
                <w:lang w:val="hy-AM"/>
              </w:rPr>
              <w:t>որոնց</w:t>
            </w:r>
            <w:r w:rsidRPr="0053423A">
              <w:rPr>
                <w:rFonts w:eastAsia="Times New Roman" w:cs="Times New Roman"/>
                <w:sz w:val="20"/>
                <w:szCs w:val="20"/>
                <w:lang w:val="hy-AM"/>
              </w:rPr>
              <w:t xml:space="preserve"> </w:t>
            </w:r>
            <w:r w:rsidRPr="0053423A">
              <w:rPr>
                <w:rFonts w:eastAsia="Times New Roman" w:cs="Sylfaen"/>
                <w:sz w:val="20"/>
                <w:szCs w:val="20"/>
                <w:lang w:val="hy-AM"/>
              </w:rPr>
              <w:t>զգալի</w:t>
            </w:r>
            <w:r w:rsidRPr="0053423A">
              <w:rPr>
                <w:rFonts w:eastAsia="Times New Roman" w:cs="Times New Roman"/>
                <w:sz w:val="20"/>
                <w:szCs w:val="20"/>
                <w:lang w:val="hy-AM"/>
              </w:rPr>
              <w:t xml:space="preserve"> </w:t>
            </w:r>
            <w:r w:rsidRPr="0053423A">
              <w:rPr>
                <w:rFonts w:eastAsia="Times New Roman" w:cs="Sylfaen"/>
                <w:sz w:val="20"/>
                <w:szCs w:val="20"/>
                <w:lang w:val="hy-AM"/>
              </w:rPr>
              <w:t>մասը</w:t>
            </w:r>
            <w:r w:rsidRPr="0053423A">
              <w:rPr>
                <w:rFonts w:eastAsia="Times New Roman" w:cs="Times New Roman"/>
                <w:sz w:val="20"/>
                <w:szCs w:val="20"/>
                <w:lang w:val="hy-AM"/>
              </w:rPr>
              <w:t xml:space="preserve"> </w:t>
            </w:r>
            <w:r w:rsidRPr="0053423A">
              <w:rPr>
                <w:rFonts w:eastAsia="Times New Roman" w:cs="Sylfaen"/>
                <w:sz w:val="20"/>
                <w:szCs w:val="20"/>
                <w:lang w:val="hy-AM"/>
              </w:rPr>
              <w:t>ՀՀ</w:t>
            </w:r>
            <w:r w:rsidRPr="0053423A">
              <w:rPr>
                <w:rFonts w:eastAsia="Times New Roman" w:cs="Times New Roman"/>
                <w:sz w:val="20"/>
                <w:szCs w:val="20"/>
                <w:lang w:val="hy-AM"/>
              </w:rPr>
              <w:t xml:space="preserve"> </w:t>
            </w:r>
            <w:r w:rsidRPr="0053423A">
              <w:rPr>
                <w:rFonts w:eastAsia="Times New Roman" w:cs="Sylfaen"/>
                <w:sz w:val="20"/>
                <w:szCs w:val="20"/>
                <w:lang w:val="hy-AM"/>
              </w:rPr>
              <w:t>աշխատանքային</w:t>
            </w:r>
            <w:r w:rsidRPr="0053423A">
              <w:rPr>
                <w:rFonts w:eastAsia="Times New Roman" w:cs="Times New Roman"/>
                <w:sz w:val="20"/>
                <w:szCs w:val="20"/>
                <w:lang w:val="hy-AM"/>
              </w:rPr>
              <w:t xml:space="preserve"> </w:t>
            </w:r>
            <w:r w:rsidRPr="0053423A">
              <w:rPr>
                <w:rFonts w:eastAsia="Times New Roman" w:cs="Sylfaen"/>
                <w:sz w:val="20"/>
                <w:szCs w:val="20"/>
                <w:lang w:val="hy-AM"/>
              </w:rPr>
              <w:t>օրենսգրքի</w:t>
            </w:r>
            <w:r w:rsidRPr="0053423A">
              <w:rPr>
                <w:rFonts w:eastAsia="Times New Roman" w:cs="Times New Roman"/>
                <w:sz w:val="20"/>
                <w:szCs w:val="20"/>
                <w:lang w:val="hy-AM"/>
              </w:rPr>
              <w:t xml:space="preserve"> </w:t>
            </w:r>
            <w:r w:rsidRPr="0053423A">
              <w:rPr>
                <w:rFonts w:eastAsia="Times New Roman" w:cs="Sylfaen"/>
                <w:sz w:val="20"/>
                <w:szCs w:val="20"/>
                <w:lang w:val="hy-AM"/>
              </w:rPr>
              <w:t>դրույթները</w:t>
            </w:r>
            <w:r w:rsidRPr="0053423A">
              <w:rPr>
                <w:rFonts w:eastAsia="Times New Roman" w:cs="Times New Roman"/>
                <w:sz w:val="20"/>
                <w:szCs w:val="20"/>
                <w:lang w:val="hy-AM"/>
              </w:rPr>
              <w:t xml:space="preserve"> </w:t>
            </w:r>
            <w:r w:rsidRPr="0053423A">
              <w:rPr>
                <w:rFonts w:eastAsia="Times New Roman" w:cs="Sylfaen"/>
                <w:sz w:val="20"/>
                <w:szCs w:val="20"/>
                <w:lang w:val="hy-AM"/>
              </w:rPr>
              <w:t>միջազգային</w:t>
            </w:r>
            <w:r w:rsidRPr="0053423A">
              <w:rPr>
                <w:rFonts w:eastAsia="Times New Roman" w:cs="Times New Roman"/>
                <w:sz w:val="20"/>
                <w:szCs w:val="20"/>
                <w:lang w:val="hy-AM"/>
              </w:rPr>
              <w:t xml:space="preserve"> </w:t>
            </w:r>
            <w:r w:rsidRPr="0053423A">
              <w:rPr>
                <w:rFonts w:eastAsia="Times New Roman" w:cs="Sylfaen"/>
                <w:sz w:val="20"/>
                <w:szCs w:val="20"/>
                <w:lang w:val="hy-AM"/>
              </w:rPr>
              <w:t>իրավունքի</w:t>
            </w:r>
            <w:r w:rsidRPr="0053423A">
              <w:rPr>
                <w:rFonts w:eastAsia="Times New Roman" w:cs="Times New Roman"/>
                <w:sz w:val="20"/>
                <w:szCs w:val="20"/>
                <w:lang w:val="hy-AM"/>
              </w:rPr>
              <w:t xml:space="preserve"> </w:t>
            </w:r>
            <w:r w:rsidRPr="0053423A">
              <w:rPr>
                <w:rFonts w:eastAsia="Times New Roman" w:cs="Sylfaen"/>
                <w:sz w:val="20"/>
                <w:szCs w:val="20"/>
                <w:lang w:val="hy-AM"/>
              </w:rPr>
              <w:t>նորմերին</w:t>
            </w:r>
            <w:r w:rsidRPr="0053423A">
              <w:rPr>
                <w:rFonts w:eastAsia="Times New Roman" w:cs="Times New Roman"/>
                <w:sz w:val="20"/>
                <w:szCs w:val="20"/>
                <w:lang w:val="hy-AM"/>
              </w:rPr>
              <w:t xml:space="preserve">, </w:t>
            </w:r>
            <w:r w:rsidRPr="0053423A">
              <w:rPr>
                <w:rFonts w:eastAsia="Times New Roman" w:cs="Sylfaen"/>
                <w:sz w:val="20"/>
                <w:szCs w:val="20"/>
                <w:lang w:val="hy-AM"/>
              </w:rPr>
              <w:t>այդ</w:t>
            </w:r>
            <w:r w:rsidRPr="0053423A">
              <w:rPr>
                <w:rFonts w:eastAsia="Times New Roman" w:cs="Times New Roman"/>
                <w:sz w:val="20"/>
                <w:szCs w:val="20"/>
                <w:lang w:val="hy-AM"/>
              </w:rPr>
              <w:t xml:space="preserve"> </w:t>
            </w:r>
            <w:r w:rsidRPr="0053423A">
              <w:rPr>
                <w:rFonts w:eastAsia="Times New Roman" w:cs="Sylfaen"/>
                <w:sz w:val="20"/>
                <w:szCs w:val="20"/>
                <w:lang w:val="hy-AM"/>
              </w:rPr>
              <w:t>թվում</w:t>
            </w:r>
            <w:r w:rsidRPr="0053423A">
              <w:rPr>
                <w:rFonts w:eastAsia="Times New Roman" w:cs="Times New Roman"/>
                <w:sz w:val="20"/>
                <w:szCs w:val="20"/>
                <w:lang w:val="hy-AM"/>
              </w:rPr>
              <w:t xml:space="preserve">` </w:t>
            </w:r>
            <w:r w:rsidRPr="0053423A">
              <w:rPr>
                <w:rFonts w:eastAsia="Times New Roman" w:cs="Sylfaen"/>
                <w:sz w:val="20"/>
                <w:szCs w:val="20"/>
                <w:lang w:val="hy-AM"/>
              </w:rPr>
              <w:t>նաև</w:t>
            </w:r>
            <w:r w:rsidRPr="0053423A">
              <w:rPr>
                <w:rFonts w:eastAsia="Times New Roman" w:cs="Times New Roman"/>
                <w:sz w:val="20"/>
                <w:szCs w:val="20"/>
                <w:lang w:val="hy-AM"/>
              </w:rPr>
              <w:t xml:space="preserve"> </w:t>
            </w:r>
            <w:r w:rsidRPr="0053423A">
              <w:rPr>
                <w:rFonts w:eastAsia="Times New Roman" w:cs="Sylfaen"/>
                <w:sz w:val="20"/>
                <w:szCs w:val="20"/>
                <w:lang w:val="hy-AM"/>
              </w:rPr>
              <w:t>Վերանայված</w:t>
            </w:r>
            <w:r w:rsidRPr="0053423A">
              <w:rPr>
                <w:rFonts w:eastAsia="Times New Roman" w:cs="Times New Roman"/>
                <w:sz w:val="20"/>
                <w:szCs w:val="20"/>
                <w:lang w:val="hy-AM"/>
              </w:rPr>
              <w:t xml:space="preserve"> </w:t>
            </w:r>
            <w:r w:rsidRPr="0053423A">
              <w:rPr>
                <w:rFonts w:eastAsia="Times New Roman" w:cs="Sylfaen"/>
                <w:sz w:val="20"/>
                <w:szCs w:val="20"/>
                <w:lang w:val="hy-AM"/>
              </w:rPr>
              <w:t>եվրոպական</w:t>
            </w:r>
            <w:r w:rsidRPr="0053423A">
              <w:rPr>
                <w:rFonts w:eastAsia="Times New Roman" w:cs="Times New Roman"/>
                <w:sz w:val="20"/>
                <w:szCs w:val="20"/>
                <w:lang w:val="hy-AM"/>
              </w:rPr>
              <w:t xml:space="preserve"> </w:t>
            </w:r>
            <w:r w:rsidRPr="0053423A">
              <w:rPr>
                <w:rFonts w:eastAsia="Times New Roman" w:cs="Sylfaen"/>
                <w:sz w:val="20"/>
                <w:szCs w:val="20"/>
                <w:lang w:val="hy-AM"/>
              </w:rPr>
              <w:t>սոցիալական</w:t>
            </w:r>
            <w:r w:rsidRPr="0053423A">
              <w:rPr>
                <w:rFonts w:eastAsia="Times New Roman" w:cs="Times New Roman"/>
                <w:sz w:val="20"/>
                <w:szCs w:val="20"/>
                <w:lang w:val="hy-AM"/>
              </w:rPr>
              <w:t xml:space="preserve"> </w:t>
            </w:r>
            <w:r w:rsidRPr="0053423A">
              <w:rPr>
                <w:rFonts w:eastAsia="Times New Roman" w:cs="Sylfaen"/>
                <w:sz w:val="20"/>
                <w:szCs w:val="20"/>
                <w:lang w:val="hy-AM"/>
              </w:rPr>
              <w:t>խարտիայի</w:t>
            </w:r>
            <w:r w:rsidRPr="0053423A">
              <w:rPr>
                <w:rFonts w:eastAsia="Times New Roman" w:cs="Times New Roman"/>
                <w:sz w:val="20"/>
                <w:szCs w:val="20"/>
                <w:lang w:val="hy-AM"/>
              </w:rPr>
              <w:t xml:space="preserve"> </w:t>
            </w:r>
            <w:r w:rsidRPr="0053423A">
              <w:rPr>
                <w:rFonts w:eastAsia="Times New Roman" w:cs="Sylfaen"/>
                <w:sz w:val="20"/>
                <w:szCs w:val="20"/>
                <w:lang w:val="hy-AM"/>
              </w:rPr>
              <w:t>և</w:t>
            </w:r>
            <w:r w:rsidRPr="0053423A">
              <w:rPr>
                <w:rFonts w:eastAsia="Times New Roman" w:cs="Times New Roman"/>
                <w:sz w:val="20"/>
                <w:szCs w:val="20"/>
                <w:lang w:val="hy-AM"/>
              </w:rPr>
              <w:t xml:space="preserve"> </w:t>
            </w:r>
            <w:r w:rsidRPr="0053423A">
              <w:rPr>
                <w:rFonts w:eastAsia="Times New Roman" w:cs="Sylfaen"/>
                <w:sz w:val="20"/>
                <w:szCs w:val="20"/>
                <w:lang w:val="hy-AM"/>
              </w:rPr>
              <w:t>ԱՄԿ</w:t>
            </w:r>
            <w:r w:rsidRPr="0053423A">
              <w:rPr>
                <w:rFonts w:eastAsia="Times New Roman" w:cs="Times New Roman"/>
                <w:sz w:val="20"/>
                <w:szCs w:val="20"/>
                <w:lang w:val="hy-AM"/>
              </w:rPr>
              <w:t>-</w:t>
            </w:r>
            <w:r w:rsidRPr="0053423A">
              <w:rPr>
                <w:rFonts w:eastAsia="Times New Roman" w:cs="Sylfaen"/>
                <w:sz w:val="20"/>
                <w:szCs w:val="20"/>
                <w:lang w:val="hy-AM"/>
              </w:rPr>
              <w:t>ի</w:t>
            </w:r>
            <w:r w:rsidRPr="0053423A">
              <w:rPr>
                <w:rFonts w:eastAsia="Times New Roman" w:cs="Times New Roman"/>
                <w:sz w:val="20"/>
                <w:szCs w:val="20"/>
                <w:lang w:val="hy-AM"/>
              </w:rPr>
              <w:t xml:space="preserve"> </w:t>
            </w:r>
            <w:r w:rsidRPr="0053423A">
              <w:rPr>
                <w:rFonts w:eastAsia="Times New Roman" w:cs="Sylfaen"/>
                <w:sz w:val="20"/>
                <w:szCs w:val="20"/>
                <w:lang w:val="hy-AM"/>
              </w:rPr>
              <w:t>կոնվենցիաների</w:t>
            </w:r>
            <w:r w:rsidRPr="0053423A">
              <w:rPr>
                <w:rFonts w:eastAsia="Times New Roman" w:cs="Times New Roman"/>
                <w:sz w:val="20"/>
                <w:szCs w:val="20"/>
                <w:lang w:val="hy-AM"/>
              </w:rPr>
              <w:t xml:space="preserve"> </w:t>
            </w:r>
            <w:r w:rsidRPr="0053423A">
              <w:rPr>
                <w:rFonts w:eastAsia="Times New Roman" w:cs="Sylfaen"/>
                <w:sz w:val="20"/>
                <w:szCs w:val="20"/>
                <w:lang w:val="hy-AM"/>
              </w:rPr>
              <w:t>դրույթներին</w:t>
            </w:r>
            <w:r w:rsidRPr="0053423A">
              <w:rPr>
                <w:rFonts w:eastAsia="Times New Roman" w:cs="Times New Roman"/>
                <w:sz w:val="20"/>
                <w:szCs w:val="20"/>
                <w:lang w:val="hy-AM"/>
              </w:rPr>
              <w:t xml:space="preserve"> </w:t>
            </w:r>
            <w:r w:rsidRPr="0053423A">
              <w:rPr>
                <w:rFonts w:eastAsia="Times New Roman" w:cs="Sylfaen"/>
                <w:sz w:val="20"/>
                <w:szCs w:val="20"/>
                <w:lang w:val="hy-AM"/>
              </w:rPr>
              <w:t>համապատասխանեցնելու</w:t>
            </w:r>
            <w:r w:rsidRPr="0053423A">
              <w:rPr>
                <w:rFonts w:eastAsia="Times New Roman" w:cs="Times New Roman"/>
                <w:sz w:val="20"/>
                <w:szCs w:val="20"/>
                <w:lang w:val="hy-AM"/>
              </w:rPr>
              <w:t xml:space="preserve"> </w:t>
            </w:r>
            <w:r w:rsidRPr="0053423A">
              <w:rPr>
                <w:rFonts w:eastAsia="Times New Roman" w:cs="Sylfaen"/>
                <w:sz w:val="20"/>
                <w:szCs w:val="20"/>
                <w:lang w:val="hy-AM"/>
              </w:rPr>
              <w:t>գործընթացի</w:t>
            </w:r>
            <w:r w:rsidRPr="0053423A">
              <w:rPr>
                <w:rFonts w:eastAsia="Times New Roman" w:cs="Times New Roman"/>
                <w:sz w:val="20"/>
                <w:szCs w:val="20"/>
                <w:lang w:val="hy-AM"/>
              </w:rPr>
              <w:t xml:space="preserve"> </w:t>
            </w:r>
            <w:r w:rsidRPr="0053423A">
              <w:rPr>
                <w:rFonts w:eastAsia="Times New Roman" w:cs="Sylfaen"/>
                <w:sz w:val="20"/>
                <w:szCs w:val="20"/>
                <w:lang w:val="hy-AM"/>
              </w:rPr>
              <w:t>համատեքստում</w:t>
            </w:r>
            <w:r w:rsidRPr="0053423A">
              <w:rPr>
                <w:rFonts w:eastAsia="Times New Roman" w:cs="Times New Roman"/>
                <w:sz w:val="20"/>
                <w:szCs w:val="20"/>
                <w:lang w:val="hy-AM"/>
              </w:rPr>
              <w:t xml:space="preserve"> </w:t>
            </w:r>
            <w:r w:rsidRPr="0053423A">
              <w:rPr>
                <w:rFonts w:eastAsia="Times New Roman" w:cs="Sylfaen"/>
                <w:sz w:val="20"/>
                <w:szCs w:val="20"/>
                <w:lang w:val="hy-AM"/>
              </w:rPr>
              <w:t>էր</w:t>
            </w:r>
            <w:r w:rsidRPr="0053423A">
              <w:rPr>
                <w:rFonts w:eastAsia="Times New Roman" w:cs="Times New Roman"/>
                <w:sz w:val="20"/>
                <w:szCs w:val="20"/>
                <w:lang w:val="hy-AM"/>
              </w:rPr>
              <w:t xml:space="preserve">: </w:t>
            </w:r>
            <w:r w:rsidRPr="0053423A">
              <w:rPr>
                <w:rFonts w:eastAsia="Times New Roman" w:cs="Sylfaen"/>
                <w:sz w:val="20"/>
                <w:szCs w:val="20"/>
                <w:lang w:val="hy-AM"/>
              </w:rPr>
              <w:t>Օրենքի</w:t>
            </w:r>
            <w:r w:rsidRPr="0053423A">
              <w:rPr>
                <w:rFonts w:eastAsia="Times New Roman" w:cs="Times New Roman"/>
                <w:sz w:val="20"/>
                <w:szCs w:val="20"/>
                <w:lang w:val="hy-AM"/>
              </w:rPr>
              <w:t xml:space="preserve"> </w:t>
            </w:r>
            <w:r w:rsidRPr="0053423A">
              <w:rPr>
                <w:rFonts w:eastAsia="Times New Roman" w:cs="Sylfaen"/>
                <w:sz w:val="20"/>
                <w:szCs w:val="20"/>
                <w:lang w:val="hy-AM"/>
              </w:rPr>
              <w:t>ընդունումը</w:t>
            </w:r>
            <w:r w:rsidRPr="0053423A">
              <w:rPr>
                <w:rFonts w:eastAsia="Times New Roman" w:cs="Times New Roman"/>
                <w:sz w:val="20"/>
                <w:szCs w:val="20"/>
                <w:lang w:val="hy-AM"/>
              </w:rPr>
              <w:t xml:space="preserve"> </w:t>
            </w:r>
            <w:r w:rsidRPr="0053423A">
              <w:rPr>
                <w:rFonts w:eastAsia="Times New Roman" w:cs="Sylfaen"/>
                <w:sz w:val="20"/>
                <w:szCs w:val="20"/>
                <w:lang w:val="hy-AM"/>
              </w:rPr>
              <w:t>պայմանավորված</w:t>
            </w:r>
            <w:r w:rsidRPr="0053423A">
              <w:rPr>
                <w:rFonts w:eastAsia="Times New Roman" w:cs="Times New Roman"/>
                <w:sz w:val="20"/>
                <w:szCs w:val="20"/>
                <w:lang w:val="hy-AM"/>
              </w:rPr>
              <w:t xml:space="preserve"> </w:t>
            </w:r>
            <w:r w:rsidRPr="0053423A">
              <w:rPr>
                <w:rFonts w:eastAsia="Times New Roman" w:cs="Sylfaen"/>
                <w:sz w:val="20"/>
                <w:szCs w:val="20"/>
                <w:lang w:val="hy-AM"/>
              </w:rPr>
              <w:t>էր</w:t>
            </w:r>
            <w:r w:rsidRPr="0053423A">
              <w:rPr>
                <w:rFonts w:eastAsia="Times New Roman" w:cs="Times New Roman"/>
                <w:sz w:val="20"/>
                <w:szCs w:val="20"/>
                <w:lang w:val="hy-AM"/>
              </w:rPr>
              <w:t xml:space="preserve"> </w:t>
            </w:r>
            <w:r w:rsidRPr="0053423A">
              <w:rPr>
                <w:rFonts w:eastAsia="Times New Roman" w:cs="Sylfaen"/>
                <w:sz w:val="20"/>
                <w:szCs w:val="20"/>
                <w:lang w:val="hy-AM"/>
              </w:rPr>
              <w:t>նաև</w:t>
            </w:r>
            <w:r w:rsidRPr="0053423A">
              <w:rPr>
                <w:rFonts w:eastAsia="Times New Roman" w:cs="Times New Roman"/>
                <w:sz w:val="20"/>
                <w:szCs w:val="20"/>
                <w:lang w:val="hy-AM"/>
              </w:rPr>
              <w:t xml:space="preserve"> </w:t>
            </w:r>
            <w:r w:rsidRPr="0053423A">
              <w:rPr>
                <w:rFonts w:eastAsia="Times New Roman" w:cs="Sylfaen"/>
                <w:sz w:val="20"/>
                <w:szCs w:val="20"/>
                <w:lang w:val="hy-AM"/>
              </w:rPr>
              <w:t>ՀՀ</w:t>
            </w:r>
            <w:r w:rsidRPr="0053423A">
              <w:rPr>
                <w:rFonts w:eastAsia="Times New Roman" w:cs="Times New Roman"/>
                <w:sz w:val="20"/>
                <w:szCs w:val="20"/>
                <w:lang w:val="hy-AM"/>
              </w:rPr>
              <w:t xml:space="preserve"> </w:t>
            </w:r>
            <w:r w:rsidRPr="0053423A">
              <w:rPr>
                <w:rFonts w:eastAsia="Times New Roman" w:cs="Sylfaen"/>
                <w:sz w:val="20"/>
                <w:szCs w:val="20"/>
                <w:lang w:val="hy-AM"/>
              </w:rPr>
              <w:t>աշխատանքային</w:t>
            </w:r>
            <w:r w:rsidRPr="0053423A">
              <w:rPr>
                <w:rFonts w:eastAsia="Times New Roman" w:cs="Times New Roman"/>
                <w:sz w:val="20"/>
                <w:szCs w:val="20"/>
                <w:lang w:val="hy-AM"/>
              </w:rPr>
              <w:t xml:space="preserve"> </w:t>
            </w:r>
            <w:r w:rsidRPr="0053423A">
              <w:rPr>
                <w:rFonts w:eastAsia="Times New Roman" w:cs="Sylfaen"/>
                <w:sz w:val="20"/>
                <w:szCs w:val="20"/>
                <w:lang w:val="hy-AM"/>
              </w:rPr>
              <w:t>օրենսգրքի</w:t>
            </w:r>
            <w:r w:rsidRPr="0053423A">
              <w:rPr>
                <w:rFonts w:eastAsia="Times New Roman" w:cs="Times New Roman"/>
                <w:sz w:val="20"/>
                <w:szCs w:val="20"/>
                <w:lang w:val="hy-AM"/>
              </w:rPr>
              <w:t xml:space="preserve"> </w:t>
            </w:r>
            <w:r w:rsidRPr="0053423A">
              <w:rPr>
                <w:rFonts w:eastAsia="Times New Roman" w:cs="Sylfaen"/>
                <w:sz w:val="20"/>
                <w:szCs w:val="20"/>
                <w:lang w:val="hy-AM"/>
              </w:rPr>
              <w:t>որոշակի</w:t>
            </w:r>
            <w:r w:rsidRPr="0053423A">
              <w:rPr>
                <w:rFonts w:eastAsia="Times New Roman" w:cs="Times New Roman"/>
                <w:sz w:val="20"/>
                <w:szCs w:val="20"/>
                <w:lang w:val="hy-AM"/>
              </w:rPr>
              <w:t xml:space="preserve"> </w:t>
            </w:r>
            <w:r w:rsidRPr="0053423A">
              <w:rPr>
                <w:rFonts w:eastAsia="Times New Roman" w:cs="Sylfaen"/>
                <w:sz w:val="20"/>
                <w:szCs w:val="20"/>
                <w:lang w:val="hy-AM"/>
              </w:rPr>
              <w:t>դրույթների</w:t>
            </w:r>
            <w:r w:rsidRPr="0053423A">
              <w:rPr>
                <w:rFonts w:eastAsia="Times New Roman" w:cs="Times New Roman"/>
                <w:sz w:val="20"/>
                <w:szCs w:val="20"/>
                <w:lang w:val="hy-AM"/>
              </w:rPr>
              <w:t xml:space="preserve"> </w:t>
            </w:r>
            <w:r w:rsidRPr="0053423A">
              <w:rPr>
                <w:rFonts w:eastAsia="Times New Roman" w:cs="Sylfaen"/>
                <w:sz w:val="20"/>
                <w:szCs w:val="20"/>
                <w:lang w:val="hy-AM"/>
              </w:rPr>
              <w:t>կիրարկման</w:t>
            </w:r>
            <w:r w:rsidRPr="0053423A">
              <w:rPr>
                <w:rFonts w:eastAsia="Times New Roman" w:cs="Times New Roman"/>
                <w:sz w:val="20"/>
                <w:szCs w:val="20"/>
                <w:lang w:val="hy-AM"/>
              </w:rPr>
              <w:t xml:space="preserve"> </w:t>
            </w:r>
            <w:r w:rsidRPr="0053423A">
              <w:rPr>
                <w:rFonts w:eastAsia="Times New Roman" w:cs="Sylfaen"/>
                <w:sz w:val="20"/>
                <w:szCs w:val="20"/>
                <w:lang w:val="hy-AM"/>
              </w:rPr>
              <w:t>ընթացքում</w:t>
            </w:r>
            <w:r w:rsidRPr="0053423A">
              <w:rPr>
                <w:rFonts w:eastAsia="Times New Roman" w:cs="Times New Roman"/>
                <w:sz w:val="20"/>
                <w:szCs w:val="20"/>
                <w:lang w:val="hy-AM"/>
              </w:rPr>
              <w:t xml:space="preserve"> </w:t>
            </w:r>
            <w:r w:rsidRPr="0053423A">
              <w:rPr>
                <w:rFonts w:eastAsia="Times New Roman" w:cs="Sylfaen"/>
                <w:sz w:val="20"/>
                <w:szCs w:val="20"/>
                <w:lang w:val="hy-AM"/>
              </w:rPr>
              <w:t>ի</w:t>
            </w:r>
            <w:r w:rsidRPr="0053423A">
              <w:rPr>
                <w:rFonts w:eastAsia="Times New Roman" w:cs="Times New Roman"/>
                <w:sz w:val="20"/>
                <w:szCs w:val="20"/>
                <w:lang w:val="hy-AM"/>
              </w:rPr>
              <w:t xml:space="preserve"> </w:t>
            </w:r>
            <w:r w:rsidRPr="0053423A">
              <w:rPr>
                <w:rFonts w:eastAsia="Times New Roman" w:cs="Sylfaen"/>
                <w:sz w:val="20"/>
                <w:szCs w:val="20"/>
                <w:lang w:val="hy-AM"/>
              </w:rPr>
              <w:t>հայտ</w:t>
            </w:r>
            <w:r w:rsidRPr="0053423A">
              <w:rPr>
                <w:rFonts w:eastAsia="Times New Roman" w:cs="Times New Roman"/>
                <w:sz w:val="20"/>
                <w:szCs w:val="20"/>
                <w:lang w:val="hy-AM"/>
              </w:rPr>
              <w:t xml:space="preserve"> </w:t>
            </w:r>
            <w:r w:rsidRPr="0053423A">
              <w:rPr>
                <w:rFonts w:eastAsia="Times New Roman" w:cs="Sylfaen"/>
                <w:sz w:val="20"/>
                <w:szCs w:val="20"/>
                <w:lang w:val="hy-AM"/>
              </w:rPr>
              <w:t>եկած</w:t>
            </w:r>
            <w:r w:rsidRPr="0053423A">
              <w:rPr>
                <w:rFonts w:eastAsia="Times New Roman" w:cs="Times New Roman"/>
                <w:sz w:val="20"/>
                <w:szCs w:val="20"/>
                <w:lang w:val="hy-AM"/>
              </w:rPr>
              <w:t xml:space="preserve"> </w:t>
            </w:r>
            <w:r w:rsidRPr="0053423A">
              <w:rPr>
                <w:rFonts w:eastAsia="Times New Roman" w:cs="Sylfaen"/>
                <w:sz w:val="20"/>
                <w:szCs w:val="20"/>
                <w:lang w:val="hy-AM"/>
              </w:rPr>
              <w:t>խնդիրների լուծման անհրաժեշտությամբ</w:t>
            </w:r>
            <w:r w:rsidRPr="0053423A">
              <w:rPr>
                <w:rFonts w:eastAsia="Times New Roman" w:cs="Times New Roman"/>
                <w:sz w:val="20"/>
                <w:szCs w:val="20"/>
                <w:lang w:val="hy-AM"/>
              </w:rPr>
              <w:t xml:space="preserve">: </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Times New Roman" w:cs="Times New Roman"/>
                <w:sz w:val="20"/>
                <w:szCs w:val="20"/>
                <w:lang w:val="hy-AM" w:eastAsia="ru-RU"/>
              </w:rPr>
              <w:t>ՀՀ աշխատանքային օրենսդրությամբ առկա կարգավորումների շարունակական բարելավման ու կատարելագործման, աշխատանքային հարաբերությունների կարգավորման առավել ճկուն մեխանիզմներ նախատեսելու, ինչպես նաև աշխատանքային հարաբերությունների կարգավորման ոլորտում ՀՀ կողմից վավերացված միջազգային պայմանագրերի առանձին դրույթներին՝ Օրենսգրքի պահանջների համապատասխանեցման անհրաժեշտությունից ելնելով հարկավոր է մշակել ՀՀ աշխատանքային օրենսդրությունում փոփոխությունների առաջարկների փաթեթ:</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Մասնավորապես անհրաժեշտ է նախատեսել սոցիալական գործընկերությանը, կոլեկտիվ պայմանագրերին, արհմիությունների դերին, աշխատանքային հարաբերություններում խտրականության արգելմանը, հարկադիր աշխատանքին, գործադուլին, ամենամյա արձակուրդներին, որոշակի ժամկետով կնքվող աշխատանքային պայմանագրերին, աշխատանքային պայմանագրի բովանդակությանը վերաբերող, ինչպես նաև աշխատանքային հարաբերությունների մի շարք այլ կարգավորումների համապատասխանեցում ՀՀ կողմից վավերացված միջազգային պայմանագրերի պահանջներին:</w:t>
            </w:r>
            <w:r w:rsidRPr="0053423A">
              <w:rPr>
                <w:rFonts w:eastAsia="Times New Roman" w:cs="Times New Roman"/>
                <w:sz w:val="20"/>
                <w:szCs w:val="20"/>
                <w:lang w:val="hy-AM" w:eastAsia="ru-RU"/>
              </w:rPr>
              <w:t xml:space="preserve">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Sylfaen"/>
                <w:sz w:val="20"/>
                <w:szCs w:val="20"/>
                <w:lang w:val="hy-AM"/>
              </w:rPr>
              <w:t>Միաժամանակ, օբյեկտիվ անհրաժեշտությամբ պայմանավորված հարկավոր է որոշակի խմբերի համար աշխատանքային պայմանագրի լուծման պարագայում սահմանել առանձին երաշխիքներ:</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1.2. </w:t>
            </w:r>
            <w:r w:rsidRPr="0053423A">
              <w:rPr>
                <w:rFonts w:eastAsia="Times New Roman" w:cs="Sylfaen"/>
                <w:b/>
                <w:sz w:val="20"/>
                <w:szCs w:val="20"/>
                <w:lang w:val="hy-AM"/>
              </w:rPr>
              <w:t>Առկա</w:t>
            </w:r>
            <w:r w:rsidRPr="0053423A">
              <w:rPr>
                <w:rFonts w:eastAsia="Times New Roman" w:cs="Times New Roman"/>
                <w:b/>
                <w:sz w:val="20"/>
                <w:szCs w:val="20"/>
                <w:lang w:val="hy-AM"/>
              </w:rPr>
              <w:t xml:space="preserve"> </w:t>
            </w:r>
            <w:r w:rsidRPr="0053423A">
              <w:rPr>
                <w:rFonts w:eastAsia="Times New Roman" w:cs="Sylfaen"/>
                <w:b/>
                <w:sz w:val="20"/>
                <w:szCs w:val="20"/>
                <w:lang w:val="hy-AM"/>
              </w:rPr>
              <w:t>խնդիրների</w:t>
            </w:r>
            <w:r w:rsidRPr="0053423A">
              <w:rPr>
                <w:rFonts w:eastAsia="Times New Roman" w:cs="Times New Roman"/>
                <w:b/>
                <w:sz w:val="20"/>
                <w:szCs w:val="20"/>
                <w:lang w:val="hy-AM"/>
              </w:rPr>
              <w:t xml:space="preserve"> </w:t>
            </w:r>
            <w:r w:rsidRPr="0053423A">
              <w:rPr>
                <w:rFonts w:eastAsia="Times New Roman" w:cs="Sylfaen"/>
                <w:b/>
                <w:sz w:val="20"/>
                <w:szCs w:val="20"/>
                <w:lang w:val="hy-AM"/>
              </w:rPr>
              <w:t>առաջարկվող</w:t>
            </w:r>
            <w:r w:rsidRPr="0053423A">
              <w:rPr>
                <w:rFonts w:eastAsia="Times New Roman" w:cs="Times New Roman"/>
                <w:b/>
                <w:sz w:val="20"/>
                <w:szCs w:val="20"/>
                <w:lang w:val="hy-AM"/>
              </w:rPr>
              <w:t xml:space="preserve"> </w:t>
            </w:r>
            <w:r w:rsidRPr="0053423A">
              <w:rPr>
                <w:rFonts w:eastAsia="Times New Roman" w:cs="Sylfaen"/>
                <w:b/>
                <w:sz w:val="20"/>
                <w:szCs w:val="20"/>
                <w:lang w:val="hy-AM"/>
              </w:rPr>
              <w:t>լուծումները</w:t>
            </w:r>
            <w:r w:rsidRPr="0053423A">
              <w:rPr>
                <w:rFonts w:eastAsia="Times New Roman" w:cs="Times New Roman"/>
                <w:b/>
                <w:sz w:val="20"/>
                <w:szCs w:val="20"/>
                <w:lang w:val="hy-AM"/>
              </w:rPr>
              <w:t xml:space="preserve">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Միջոցառման շրջանակներում աշխատանքային հարաբերությունների կարգավորման ոլորտում ՀՀ կողմից վավերացված միջազգային պայմանագրերի պահանջներին ՀՀ աշխատանքային օրենսդրության դրույթների անհամապատասխանությունների վերլուծության և բացահայտման, իրավակիրառական պրակտիկայում ի հայտ եկած խնդիրների  վերլուծության արդյունքում կմշակվի ՀՀ աշխատանքային օրենսդրությունում </w:t>
            </w:r>
            <w:r w:rsidRPr="0053423A">
              <w:rPr>
                <w:rFonts w:eastAsia="Times New Roman" w:cs="Times New Roman"/>
                <w:sz w:val="20"/>
                <w:szCs w:val="20"/>
                <w:lang w:val="hy-AM" w:eastAsia="ru-RU"/>
              </w:rPr>
              <w:t>փոփոխությունների առաջարկների փաթեթ</w:t>
            </w:r>
            <w:r w:rsidRPr="0053423A">
              <w:rPr>
                <w:rFonts w:eastAsia="Times New Roman" w:cs="Times New Roman"/>
                <w:sz w:val="20"/>
                <w:szCs w:val="20"/>
                <w:lang w:val="hy-AM"/>
              </w:rPr>
              <w:t>, որով կնախատեսվի սոցիալական գործընկերությանը, կոլեկտիվ պայմանագրերին, արհմիությունների դերին, աշխատանքային հարաբերություններում խտրականության արգելմանը, հարկադիր աշխատանքին, գործադուլին, ամենամյա արձակուրդներին, աշխատանքային պայմանագրի բովանդակությանը վերաբերող, ինչպես նաև աշխատանքային հարաբերությունների մի շարք այլ կարգավորումների համապատասխանեցում ՀՀ կողմից վավերացված միջազգային պայմանագրերի պահանջներին, կհստակեցվեն ՀՀ աշխատանքային օրենսդրության այն դրույթները, որոնք իրավակիրառական պրակտիկայում ոչ հստակ կամ տարաբնույթ ընկալման տեղիք են տալիս, ինչպես նաև աշխատանքային պայմանագրի լուծման պարագայում որոշակի խմբերի համար կսահմանվեն առանձին երաշխիքներ:</w:t>
            </w:r>
          </w:p>
          <w:p w:rsidR="00514E01" w:rsidRPr="0053423A" w:rsidRDefault="00514E01" w:rsidP="00A67858">
            <w:pPr>
              <w:spacing w:line="276" w:lineRule="auto"/>
              <w:jc w:val="both"/>
              <w:rPr>
                <w:rFonts w:eastAsia="Times New Roman" w:cs="Sylfaen"/>
                <w:sz w:val="20"/>
                <w:szCs w:val="20"/>
                <w:lang w:val="hy-AM"/>
              </w:rPr>
            </w:pPr>
            <w:r w:rsidRPr="0053423A">
              <w:rPr>
                <w:rFonts w:eastAsia="Times New Roman" w:cs="Times New Roman"/>
                <w:b/>
                <w:sz w:val="20"/>
                <w:szCs w:val="20"/>
                <w:lang w:val="hy-AM"/>
              </w:rPr>
              <w:t>3.Միջոցառման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Times New Roman" w:cs="Sylfaen"/>
                <w:sz w:val="20"/>
                <w:szCs w:val="20"/>
                <w:lang w:val="hy-AM"/>
              </w:rPr>
              <w:tab/>
            </w:r>
            <w:r w:rsidRPr="0053423A">
              <w:rPr>
                <w:rFonts w:eastAsia="Times New Roman" w:cs="Sylfaen"/>
                <w:sz w:val="20"/>
                <w:szCs w:val="20"/>
                <w:lang w:val="hy-AM"/>
              </w:rPr>
              <w:tab/>
              <w:t>Միջոցառման իրականացումից ակնկալվող</w:t>
            </w:r>
            <w:r w:rsidRPr="0053423A">
              <w:rPr>
                <w:rFonts w:eastAsia="Times New Roman" w:cs="Times New Roman"/>
                <w:sz w:val="20"/>
                <w:szCs w:val="20"/>
                <w:lang w:val="hy-AM"/>
              </w:rPr>
              <w:t xml:space="preserve"> </w:t>
            </w:r>
            <w:r w:rsidRPr="0053423A">
              <w:rPr>
                <w:rFonts w:eastAsia="Times New Roman" w:cs="Sylfaen"/>
                <w:sz w:val="20"/>
                <w:szCs w:val="20"/>
                <w:lang w:val="hy-AM"/>
              </w:rPr>
              <w:t>արդյունքը ՀՀ կողմից վավերացված միջազգային պայմանագրերի առանձին դրույթներին ՀՀ օրենսդրության համապատասխանեցումը,</w:t>
            </w:r>
            <w:r w:rsidRPr="0053423A">
              <w:rPr>
                <w:rFonts w:eastAsia="Calibri" w:cs="Sylfaen"/>
                <w:sz w:val="20"/>
                <w:szCs w:val="20"/>
                <w:lang w:val="hy-AM"/>
              </w:rPr>
              <w:t xml:space="preserve"> աշխատանքային</w:t>
            </w:r>
            <w:r w:rsidRPr="0053423A">
              <w:rPr>
                <w:rFonts w:eastAsia="Calibri" w:cs="Times New Roman"/>
                <w:sz w:val="20"/>
                <w:szCs w:val="20"/>
                <w:lang w:val="hy-AM"/>
              </w:rPr>
              <w:t xml:space="preserve"> հարաբերությունների մի շարք կարգավորումների</w:t>
            </w:r>
            <w:r w:rsidRPr="0053423A">
              <w:rPr>
                <w:rFonts w:eastAsia="Times New Roman" w:cs="Sylfaen"/>
                <w:sz w:val="20"/>
                <w:szCs w:val="20"/>
                <w:lang w:val="hy-AM"/>
              </w:rPr>
              <w:t xml:space="preserve"> հստակեցումը, ինչպես նաև</w:t>
            </w:r>
            <w:r w:rsidRPr="0053423A">
              <w:rPr>
                <w:rFonts w:eastAsia="Calibri" w:cs="Times New Roman"/>
                <w:sz w:val="20"/>
                <w:szCs w:val="20"/>
                <w:lang w:val="hy-AM"/>
              </w:rPr>
              <w:t xml:space="preserve"> </w:t>
            </w:r>
            <w:r w:rsidRPr="0053423A">
              <w:rPr>
                <w:rFonts w:eastAsia="Times New Roman" w:cs="Sylfaen"/>
                <w:sz w:val="20"/>
                <w:szCs w:val="20"/>
                <w:lang w:val="hy-AM"/>
              </w:rPr>
              <w:t>իրավակիրառական պրակտիկայում ի հայտ եկած խնդիրների կարգավորումն ու որոշակի խմբերի համար աշխատանքային պայմանագրի լուծման պարագայում առանձին երաշխիքների սահմանումն է:</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eastAsia="ru-RU"/>
              </w:rPr>
            </w:pPr>
            <w:r w:rsidRPr="0053423A">
              <w:rPr>
                <w:rFonts w:eastAsia="Times New Roman" w:cs="Times New Roman"/>
                <w:b/>
                <w:sz w:val="20"/>
                <w:szCs w:val="20"/>
                <w:u w:val="single"/>
                <w:lang w:val="hy-AM" w:eastAsia="ru-RU"/>
              </w:rPr>
              <w:t>4.3. Աշխատողների առողջության պահպանման և անվտանգության ապահովման պահանջները սահմանող ՀՀ օրենսդրության կատարելագործման և ամբողջականացման համար համապատասխան իրավական ակտերի նախագծերի մշակում ու Վարչապետի աշխատակազմ ներկայացում</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1. Միջոցառման իրականացման անհրաժեշտությունը և նպատակը</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Times New Roman" w:cs="Times New Roman"/>
                <w:sz w:val="20"/>
                <w:szCs w:val="20"/>
                <w:lang w:val="hy-AM" w:eastAsia="ru-RU"/>
              </w:rPr>
              <w:t>Միջոցառման անհրաժեշտությունը բխում է ՀՀ կառավարության 2019</w:t>
            </w:r>
            <w:r w:rsidRPr="0053423A">
              <w:rPr>
                <w:rFonts w:eastAsia="Times New Roman" w:cs="Sylfaen"/>
                <w:sz w:val="20"/>
                <w:szCs w:val="20"/>
                <w:lang w:val="hy-AM" w:eastAsia="ru-RU"/>
              </w:rPr>
              <w:t>թ</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փետրվարի 8</w:t>
            </w:r>
            <w:r w:rsidRPr="0053423A">
              <w:rPr>
                <w:rFonts w:eastAsia="Times New Roman" w:cs="Times New Roman"/>
                <w:sz w:val="20"/>
                <w:szCs w:val="20"/>
                <w:lang w:val="hy-AM" w:eastAsia="ru-RU"/>
              </w:rPr>
              <w:t>-</w:t>
            </w:r>
            <w:r w:rsidRPr="0053423A">
              <w:rPr>
                <w:rFonts w:eastAsia="Times New Roman" w:cs="Sylfaen"/>
                <w:sz w:val="20"/>
                <w:szCs w:val="20"/>
                <w:lang w:val="hy-AM" w:eastAsia="ru-RU"/>
              </w:rPr>
              <w:t>ի</w:t>
            </w:r>
            <w:r w:rsidRPr="0053423A">
              <w:rPr>
                <w:rFonts w:eastAsia="Times New Roman" w:cs="Times New Roman"/>
                <w:sz w:val="20"/>
                <w:szCs w:val="20"/>
                <w:lang w:val="hy-AM" w:eastAsia="ru-RU"/>
              </w:rPr>
              <w:t xml:space="preserve"> N 65-</w:t>
            </w:r>
            <w:r w:rsidRPr="0053423A">
              <w:rPr>
                <w:rFonts w:eastAsia="Times New Roman" w:cs="Sylfaen"/>
                <w:sz w:val="20"/>
                <w:szCs w:val="20"/>
                <w:lang w:val="hy-AM" w:eastAsia="ru-RU"/>
              </w:rPr>
              <w:t>Ա</w:t>
            </w:r>
            <w:r w:rsidRPr="0053423A">
              <w:rPr>
                <w:rFonts w:eastAsia="Times New Roman" w:cs="Times New Roman"/>
                <w:sz w:val="20"/>
                <w:szCs w:val="20"/>
                <w:lang w:val="hy-AM" w:eastAsia="ru-RU"/>
              </w:rPr>
              <w:t xml:space="preserve"> որոշմամբ հավանության արժանացած ՀՀ կառավարության ծրագրի դրույթներից, որի 4-րդ «Ազատ, արժանապատիվ և երջանիկ քաղաքացի» բաժնի 4.2-րդ «Աղքատության հաղթահարումը, սոցիալական պաշտպանությունը և ժողովրդագրությունը» ենթաբաժնի 8-րդ պարբերությամբ նախատեսված է, որ արժանապատիվ աշխատանքի իրավունքի իրականացման նպատակով շարունակաբար կպարզեցվեն աշխատանքային հարաբերությունների կարգավորման մեխանիզմները, կհամապատասխանեցվեն միջազգային պայմանագրերով ամրագրված պահանջներին:</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Times New Roman" w:cs="Times New Roman"/>
                <w:sz w:val="20"/>
                <w:szCs w:val="20"/>
                <w:lang w:val="hy-AM" w:eastAsia="ru-RU"/>
              </w:rPr>
              <w:t>Առողջ և անվտանգ աշխատանքային պայմաններում աշխատելու իրավունքն առաջին հերթին ամրագրված է ՀՀ Սահմանադրությամբ, որի 82-րդ հոդվածի համաձայն՝ յուրաքանչյուր աշխատող, օրենքին համապատասխան, ունի առողջ, անվտանգ և արժանապատիվ աշխատանքային պայմանների, առավելագույն աշխատաժամանակի սահմանափակման, ամենօրյա և շաբաթական հանգստի, ինչպես նաև ամենամյա վճարովի արձակուրդի իրավունք:</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Times New Roman" w:cs="Times New Roman"/>
                <w:sz w:val="20"/>
                <w:szCs w:val="20"/>
                <w:lang w:val="hy-AM" w:eastAsia="ru-RU"/>
              </w:rPr>
              <w:t>ՀՀ աշխատանքային օրենսդրության հիմնական սկզբունքների շարքում թվարկվում է նաև յուրաքանչյուր աշխատողի համար աշխատանքի արդարացի պայմանների իրավունքի ապահովման (ներառյալ` անվտանգության ապահովման և հիգիենայի պահանջները բավարարող պայմանները, հանգստի իրավունքը) սկզբունքը:</w:t>
            </w:r>
          </w:p>
          <w:p w:rsidR="00514E01" w:rsidRPr="0053423A" w:rsidRDefault="00514E01" w:rsidP="00A67858">
            <w:pPr>
              <w:tabs>
                <w:tab w:val="left" w:pos="0"/>
                <w:tab w:val="left" w:pos="252"/>
              </w:tabs>
              <w:spacing w:line="276" w:lineRule="auto"/>
              <w:ind w:right="180"/>
              <w:contextualSpacing/>
              <w:jc w:val="both"/>
              <w:rPr>
                <w:rFonts w:eastAsia="GHEAMariam" w:cs="Sylfaen"/>
                <w:sz w:val="20"/>
                <w:szCs w:val="20"/>
                <w:lang w:val="hy-AM"/>
              </w:rPr>
            </w:pPr>
            <w:r w:rsidRPr="0053423A">
              <w:rPr>
                <w:rFonts w:eastAsia="Times New Roman" w:cs="Sylfaen"/>
                <w:b/>
                <w:sz w:val="20"/>
                <w:szCs w:val="20"/>
                <w:lang w:val="hy-AM"/>
              </w:rPr>
              <w:t>1.1. Կարգավորման հարաբերությունների ներկա վիճակը և առկա խնդիրները</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Times New Roman" w:cs="Times New Roman"/>
                <w:sz w:val="20"/>
                <w:szCs w:val="20"/>
                <w:lang w:val="hy-AM" w:eastAsia="ru-RU"/>
              </w:rPr>
              <w:t xml:space="preserve">Հարկ է նկատել, որ աշխատողների անվտանգության ապահովման և առողջության պահպանման պահանջները սահմանող ՀՀ գործող ակտերը շատ հաճախ կազմակերպություններում գործնականում կիրառելու տեսանկյունից էական դժվարություններ են առաջացնում, քանի որ դրանք որոշ դեպքերում բարդ են, անհարկի ծանրաբեռնված, երբեմն կրում են խիստ տեսական բնույթ և չեն համապատասխանում գործնական արդի պահանջներին: </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Times New Roman" w:cs="Times New Roman"/>
                <w:sz w:val="20"/>
                <w:szCs w:val="20"/>
                <w:lang w:val="hy-AM" w:eastAsia="ru-RU"/>
              </w:rPr>
              <w:t>Բացի այդ, ՀՀ աշխատաքային օրենսգրքով աշխատողների առողջությանն ու անվտանգությանը վերաբերող մի շարք պահանջների մասով առկա չեն համապատասխան կարգավորումներ:</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Times New Roman" w:cs="Times New Roman"/>
                <w:sz w:val="20"/>
                <w:szCs w:val="20"/>
                <w:lang w:val="hy-AM" w:eastAsia="ru-RU"/>
              </w:rPr>
              <w:t>Միաժամանակ, հարկ է նշել, որ համապատասխան կարգավորումների անհրաժեշտությունը բխում է նաև Հայաստանի Հանրապետության կողմից ստանձնած միջազգային մի շարք պարտավորությունների կատարման պահանջներից:</w:t>
            </w:r>
          </w:p>
          <w:p w:rsidR="00514E01" w:rsidRPr="0053423A" w:rsidRDefault="00514E01" w:rsidP="00A67858">
            <w:pPr>
              <w:spacing w:line="276" w:lineRule="auto"/>
              <w:jc w:val="both"/>
              <w:rPr>
                <w:rFonts w:eastAsia="Times New Roman" w:cs="Sylfaen"/>
                <w:b/>
                <w:sz w:val="20"/>
                <w:szCs w:val="20"/>
                <w:lang w:val="hy-AM"/>
              </w:rPr>
            </w:pPr>
            <w:r w:rsidRPr="0053423A">
              <w:rPr>
                <w:rFonts w:eastAsia="Times New Roman" w:cs="Times New Roman"/>
                <w:b/>
                <w:sz w:val="20"/>
                <w:szCs w:val="20"/>
                <w:lang w:val="hy-AM"/>
              </w:rPr>
              <w:t xml:space="preserve">1.2 </w:t>
            </w:r>
            <w:r w:rsidRPr="0053423A">
              <w:rPr>
                <w:rFonts w:eastAsia="Times New Roman" w:cs="Sylfaen"/>
                <w:b/>
                <w:sz w:val="20"/>
                <w:szCs w:val="20"/>
                <w:lang w:val="hy-AM"/>
              </w:rPr>
              <w:t>Առկա</w:t>
            </w:r>
            <w:r w:rsidRPr="0053423A">
              <w:rPr>
                <w:rFonts w:eastAsia="Times New Roman" w:cs="Times New Roman"/>
                <w:b/>
                <w:sz w:val="20"/>
                <w:szCs w:val="20"/>
                <w:lang w:val="hy-AM"/>
              </w:rPr>
              <w:t xml:space="preserve"> </w:t>
            </w:r>
            <w:r w:rsidRPr="0053423A">
              <w:rPr>
                <w:rFonts w:eastAsia="Times New Roman" w:cs="Sylfaen"/>
                <w:b/>
                <w:sz w:val="20"/>
                <w:szCs w:val="20"/>
                <w:lang w:val="hy-AM"/>
              </w:rPr>
              <w:t>խնդիրների</w:t>
            </w:r>
            <w:r w:rsidRPr="0053423A">
              <w:rPr>
                <w:rFonts w:eastAsia="Times New Roman" w:cs="Times New Roman"/>
                <w:b/>
                <w:sz w:val="20"/>
                <w:szCs w:val="20"/>
                <w:lang w:val="hy-AM"/>
              </w:rPr>
              <w:t xml:space="preserve"> </w:t>
            </w:r>
            <w:r w:rsidRPr="0053423A">
              <w:rPr>
                <w:rFonts w:eastAsia="Times New Roman" w:cs="Sylfaen"/>
                <w:b/>
                <w:sz w:val="20"/>
                <w:szCs w:val="20"/>
                <w:lang w:val="hy-AM"/>
              </w:rPr>
              <w:t>առաջարկվող</w:t>
            </w:r>
            <w:r w:rsidRPr="0053423A">
              <w:rPr>
                <w:rFonts w:eastAsia="Times New Roman" w:cs="Times New Roman"/>
                <w:b/>
                <w:sz w:val="20"/>
                <w:szCs w:val="20"/>
                <w:lang w:val="hy-AM"/>
              </w:rPr>
              <w:t xml:space="preserve"> </w:t>
            </w:r>
            <w:r w:rsidRPr="0053423A">
              <w:rPr>
                <w:rFonts w:eastAsia="Times New Roman" w:cs="Sylfaen"/>
                <w:b/>
                <w:sz w:val="20"/>
                <w:szCs w:val="20"/>
                <w:lang w:val="hy-AM"/>
              </w:rPr>
              <w:t>լուծումները</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Times New Roman" w:cs="Times New Roman"/>
                <w:sz w:val="20"/>
                <w:szCs w:val="20"/>
                <w:lang w:val="hy-AM" w:eastAsia="ru-RU"/>
              </w:rPr>
              <w:t>ՀՀ աշխատաքային օրենսգրքով աշխատողների առողջությանն ու անվտանգությանը վերաբերող մի շարք պահանջների մասով համապատասխան կարգավորումների նախատեսման, ինչպես նաև այս մասով Հայաստանի Հանրապետության կողմից ստանձնած միջազգային մի շարք պարտավորությունների կատարման նպատակով՝ նախատեսվում է աշխատողների առողջության պահպանման և անվտանգության ապահովման պահանջները սահմանող ՀՀ օրենսդրության վերլուծության և առկա բացերի վերհանման արդյունքում՝ համապատասխան առաջարկությունների ներկայացում Վարչապետի աշխատակազմ:</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Times New Roman" w:cs="Times New Roman"/>
                <w:sz w:val="20"/>
                <w:szCs w:val="20"/>
                <w:lang w:val="hy-AM" w:eastAsia="ru-RU"/>
              </w:rPr>
              <w:t>Որպես միջոցառման համակատարող նշված է Առողջապահության նախարարությունը:</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Times New Roman" w:cs="Times New Roman"/>
                <w:sz w:val="20"/>
                <w:szCs w:val="20"/>
                <w:lang w:val="hy-AM" w:eastAsia="ru-RU"/>
              </w:rPr>
              <w:t>Միջոցառման համակատարողից ակնկալվում է նախատեսված աշխատանքների իրականացման ժամանակ համատեղ քննարկումների անցկացում աշխատանքների իրականացման ողջ ընթացքում, ինչպես նաև վերջնական փաստաթղթերի վերաբերյալ կարծիքի ամփոփում՝ մինչև փաստաթղթի ներկայացումը Վարչապետի աշխատակազմ:</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Times New Roman" w:cs="Times New Roman"/>
                <w:b/>
                <w:sz w:val="20"/>
                <w:szCs w:val="20"/>
                <w:lang w:val="hy-AM"/>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Calibri" w:cs="Times New Roman"/>
                <w:sz w:val="20"/>
                <w:szCs w:val="20"/>
                <w:lang w:val="hy-AM"/>
              </w:rPr>
              <w:t>Միջոցառման արդյունքում ակնկալվում է աշխատողների առողջության պահպանման և անվտանգության ապահովման պահանջները սահմանող ՀՀ օրենսդրության կատարելագործում և ամբողջականացում, առկա բացերի վերացում, աշխատողների համար անվտանգ և առողջության համար անվնաս աշխատանքային պայմաններում աշխատելու իրավունքի իրացում:</w:t>
            </w:r>
          </w:p>
        </w:tc>
      </w:tr>
      <w:tr w:rsidR="00514E01" w:rsidRPr="00DE2EFA" w:rsidTr="00BC61ED">
        <w:tc>
          <w:tcPr>
            <w:tcW w:w="630" w:type="dxa"/>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5</w:t>
            </w: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eastAsia="ru-RU"/>
              </w:rPr>
            </w:pPr>
            <w:r w:rsidRPr="0053423A">
              <w:rPr>
                <w:rFonts w:eastAsia="Times New Roman" w:cs="Times New Roman"/>
                <w:b/>
                <w:sz w:val="20"/>
                <w:szCs w:val="20"/>
                <w:u w:val="single"/>
                <w:lang w:val="hy-AM" w:eastAsia="ru-RU"/>
              </w:rPr>
              <w:t>5.1. Աշխատանքային օրենսդրության պահանջների կատարման նկատմամբ գործող վերահսկողության համակարգի կատարելագործման նպատակով համապատասխան իրավական ակտերի նախագծերի մշակում և Վարչապետի աշխատակազմ ներկայացում՝ հիմք ընդունելով շահագրգիռ կողմերի հետ համաձայնեցված աշխատանքների ճանապարհային քարտեզը</w:t>
            </w:r>
          </w:p>
          <w:p w:rsidR="00514E01" w:rsidRPr="0053423A" w:rsidRDefault="00514E01" w:rsidP="00A67858">
            <w:pPr>
              <w:spacing w:line="276" w:lineRule="auto"/>
              <w:jc w:val="both"/>
              <w:rPr>
                <w:rFonts w:eastAsia="Calibri" w:cs="Times New Roman"/>
                <w:b/>
                <w:sz w:val="20"/>
                <w:szCs w:val="20"/>
                <w:u w:val="single"/>
                <w:lang w:val="hy-AM"/>
              </w:rPr>
            </w:pP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1. Միջոցառման իրականացման անհրաժեշտությունը և նպատակը</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Times New Roman" w:cs="Times New Roman"/>
                <w:sz w:val="20"/>
                <w:szCs w:val="20"/>
                <w:lang w:val="hy-AM" w:eastAsia="ru-RU"/>
              </w:rPr>
              <w:t>Միջոցառման անհրաժեշտությունը բխում է ՀՀ կառավարության 2019</w:t>
            </w:r>
            <w:r w:rsidRPr="0053423A">
              <w:rPr>
                <w:rFonts w:eastAsia="Times New Roman" w:cs="Sylfaen"/>
                <w:sz w:val="20"/>
                <w:szCs w:val="20"/>
                <w:lang w:val="hy-AM" w:eastAsia="ru-RU"/>
              </w:rPr>
              <w:t>թ</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փետրվարի 8</w:t>
            </w:r>
            <w:r w:rsidRPr="0053423A">
              <w:rPr>
                <w:rFonts w:eastAsia="Times New Roman" w:cs="Times New Roman"/>
                <w:sz w:val="20"/>
                <w:szCs w:val="20"/>
                <w:lang w:val="hy-AM" w:eastAsia="ru-RU"/>
              </w:rPr>
              <w:t>-</w:t>
            </w:r>
            <w:r w:rsidRPr="0053423A">
              <w:rPr>
                <w:rFonts w:eastAsia="Times New Roman" w:cs="Sylfaen"/>
                <w:sz w:val="20"/>
                <w:szCs w:val="20"/>
                <w:lang w:val="hy-AM" w:eastAsia="ru-RU"/>
              </w:rPr>
              <w:t>ի</w:t>
            </w:r>
            <w:r w:rsidRPr="0053423A">
              <w:rPr>
                <w:rFonts w:eastAsia="Times New Roman" w:cs="Times New Roman"/>
                <w:sz w:val="20"/>
                <w:szCs w:val="20"/>
                <w:lang w:val="hy-AM" w:eastAsia="ru-RU"/>
              </w:rPr>
              <w:t xml:space="preserve"> N 65-</w:t>
            </w:r>
            <w:r w:rsidRPr="0053423A">
              <w:rPr>
                <w:rFonts w:eastAsia="Times New Roman" w:cs="Sylfaen"/>
                <w:sz w:val="20"/>
                <w:szCs w:val="20"/>
                <w:lang w:val="hy-AM" w:eastAsia="ru-RU"/>
              </w:rPr>
              <w:t>Ա</w:t>
            </w:r>
            <w:r w:rsidRPr="0053423A">
              <w:rPr>
                <w:rFonts w:eastAsia="Times New Roman" w:cs="Times New Roman"/>
                <w:sz w:val="20"/>
                <w:szCs w:val="20"/>
                <w:lang w:val="hy-AM" w:eastAsia="ru-RU"/>
              </w:rPr>
              <w:t xml:space="preserve"> որոշմամբ հավանության արժանացած ՀՀ կառավարության ծրագրի դրույթներից, որտեղ որպես կառավարության նպատակադրում ամրագրված է աշխատանքային օրենսդրության պահանջների կատարման նկատմամբ ամբողջական և արդյունավետ վերահսկողության համակարգի ներդրումը:</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Times New Roman" w:cs="Times New Roman"/>
                <w:sz w:val="20"/>
                <w:szCs w:val="20"/>
                <w:lang w:val="hy-AM" w:eastAsia="ru-RU"/>
              </w:rPr>
              <w:t>Միջոցառման նպատակը «Արդյունաբերության և առևտրի մեջ աշխատանքի տեսչության մասին» Աշխատանքի միջազգային կազմակերպության թիվ 81 կոնվենցիայի պահանջներին համապատասխան՝ ՀՀ-ում աշխատանքային օրենսդրության պահանջների կատարման նկատմամբ վերահսկողության համակարգի ապահովման համար անհրաժեշտ իրավական հիմքերի ամբողջականացումն է:</w:t>
            </w:r>
          </w:p>
          <w:p w:rsidR="00514E01" w:rsidRPr="0053423A" w:rsidRDefault="00514E01" w:rsidP="00A67858">
            <w:pPr>
              <w:spacing w:line="276" w:lineRule="auto"/>
              <w:jc w:val="both"/>
              <w:rPr>
                <w:rFonts w:eastAsia="GHEAMariam-Bold" w:cs="GHEAMariam-Bold"/>
                <w:b/>
                <w:bCs/>
                <w:sz w:val="20"/>
                <w:szCs w:val="20"/>
                <w:lang w:val="hy-AM"/>
              </w:rPr>
            </w:pPr>
            <w:r w:rsidRPr="0053423A">
              <w:rPr>
                <w:rFonts w:eastAsia="Times New Roman" w:cs="GHEA Mariam"/>
                <w:b/>
                <w:bCs/>
                <w:sz w:val="20"/>
                <w:szCs w:val="20"/>
                <w:lang w:val="hy-AM"/>
              </w:rPr>
              <w:t xml:space="preserve">1.1. </w:t>
            </w:r>
            <w:r w:rsidRPr="0053423A">
              <w:rPr>
                <w:rFonts w:eastAsia="GHEAMariam-Bold" w:cs="GHEAMariam-Bold"/>
                <w:b/>
                <w:bCs/>
                <w:sz w:val="20"/>
                <w:szCs w:val="20"/>
                <w:lang w:val="hy-AM"/>
              </w:rPr>
              <w:t>Կարգավորման հարաբերությունների ներկա վիճակը և առկա խնդիրները</w:t>
            </w:r>
          </w:p>
          <w:p w:rsidR="00514E01" w:rsidRPr="0053423A" w:rsidRDefault="00514E01" w:rsidP="00A67858">
            <w:pPr>
              <w:spacing w:line="276" w:lineRule="auto"/>
              <w:jc w:val="both"/>
              <w:rPr>
                <w:rFonts w:eastAsia="Calibri" w:cs="Times New Roman"/>
                <w:bCs/>
                <w:sz w:val="20"/>
                <w:szCs w:val="20"/>
                <w:lang w:val="hy-AM"/>
              </w:rPr>
            </w:pPr>
            <w:r w:rsidRPr="0053423A">
              <w:rPr>
                <w:rFonts w:eastAsia="Calibri" w:cs="Times New Roman"/>
                <w:sz w:val="20"/>
                <w:szCs w:val="20"/>
                <w:lang w:val="hy-AM"/>
              </w:rPr>
              <w:t xml:space="preserve">ՀՀ վարչապետի 2018 թվականի հունիսի 11-ի «Հայաստանի Հանրապետության առողջապահական և աշխատանքի տեսչական մարմնի կանոնադրությունը հաստատելու մասին» N 755-Լ որոշմամբ հաստատված Առողջապահական և աշխատանքի տեսչական մարմնի կանոնադրությամբ վերջինիս վերապահված է միայն </w:t>
            </w:r>
            <w:r w:rsidRPr="0053423A">
              <w:rPr>
                <w:rFonts w:eastAsia="Calibri" w:cs="Times New Roman"/>
                <w:bCs/>
                <w:sz w:val="20"/>
                <w:szCs w:val="20"/>
                <w:lang w:val="hy-AM"/>
              </w:rPr>
              <w:t>աշխատողների առողջության պահպանման և անվտանգության ապահովման հետ կապված հարաբերությունների նկատմամբ վերահսկողությունը և մինչև 18 տարեկան անձանց, ինչպես նաև հղի կամ երեխային կրծքով կերակրող կանանց և երեխա խնամող աշխատողների համար աշխատանքային օրենսդրությամբ սահմանված երաշխիքների ապահովման նկատմամբ վերահսկողությունը:</w:t>
            </w:r>
          </w:p>
          <w:p w:rsidR="00514E01" w:rsidRPr="0053423A" w:rsidRDefault="00514E01" w:rsidP="00A67858">
            <w:pPr>
              <w:spacing w:line="276" w:lineRule="auto"/>
              <w:jc w:val="both"/>
              <w:rPr>
                <w:rFonts w:eastAsia="GHEAMariam-Bold" w:cs="GHEAMariam-Bold"/>
                <w:b/>
                <w:bCs/>
                <w:sz w:val="20"/>
                <w:szCs w:val="20"/>
                <w:lang w:val="hy-AM"/>
              </w:rPr>
            </w:pPr>
            <w:r w:rsidRPr="0053423A">
              <w:rPr>
                <w:rFonts w:eastAsia="Calibri" w:cs="Times New Roman"/>
                <w:bCs/>
                <w:sz w:val="20"/>
                <w:szCs w:val="20"/>
                <w:lang w:val="hy-AM"/>
              </w:rPr>
              <w:t xml:space="preserve">Այսինքն, ներկայում վերահսկողություն է իրականացվում </w:t>
            </w:r>
            <w:r w:rsidRPr="0053423A">
              <w:rPr>
                <w:rFonts w:eastAsia="Calibri" w:cs="Times New Roman"/>
                <w:sz w:val="20"/>
                <w:szCs w:val="20"/>
                <w:lang w:val="hy-AM"/>
              </w:rPr>
              <w:t xml:space="preserve">միայն </w:t>
            </w:r>
            <w:r w:rsidRPr="0053423A">
              <w:rPr>
                <w:rFonts w:eastAsia="Calibri" w:cs="Times New Roman"/>
                <w:bCs/>
                <w:sz w:val="20"/>
                <w:szCs w:val="20"/>
                <w:lang w:val="hy-AM"/>
              </w:rPr>
              <w:t>աշխատողների առողջության պահպանման և անվտանգության ապահովման հետ կապված հարաբերությունների նկատմամբ և մինչև 18 տարեկան անձանց, ինչպես նաև հղի կամ երեխային կրծքով կերակրող կանանց և երեխա խնամող աշխատողների համար աշխատանքային օրենսդրությամբ սահմանված երաշխիքների ապահովման նկատմամբ:</w:t>
            </w:r>
          </w:p>
          <w:p w:rsidR="00514E01" w:rsidRPr="0053423A" w:rsidRDefault="00514E01" w:rsidP="00A67858">
            <w:pPr>
              <w:spacing w:line="276" w:lineRule="auto"/>
              <w:jc w:val="both"/>
              <w:rPr>
                <w:rFonts w:eastAsia="Times New Roman" w:cs="Sylfaen"/>
                <w:b/>
                <w:sz w:val="20"/>
                <w:szCs w:val="20"/>
                <w:lang w:val="hy-AM"/>
              </w:rPr>
            </w:pPr>
            <w:r w:rsidRPr="0053423A">
              <w:rPr>
                <w:rFonts w:eastAsia="Times New Roman" w:cs="Times New Roman"/>
                <w:b/>
                <w:sz w:val="20"/>
                <w:szCs w:val="20"/>
                <w:lang w:val="hy-AM"/>
              </w:rPr>
              <w:t xml:space="preserve">1.2 </w:t>
            </w:r>
            <w:r w:rsidRPr="0053423A">
              <w:rPr>
                <w:rFonts w:eastAsia="Times New Roman" w:cs="Sylfaen"/>
                <w:b/>
                <w:sz w:val="20"/>
                <w:szCs w:val="20"/>
                <w:lang w:val="hy-AM"/>
              </w:rPr>
              <w:t>Առկա</w:t>
            </w:r>
            <w:r w:rsidRPr="0053423A">
              <w:rPr>
                <w:rFonts w:eastAsia="Times New Roman" w:cs="Times New Roman"/>
                <w:b/>
                <w:sz w:val="20"/>
                <w:szCs w:val="20"/>
                <w:lang w:val="hy-AM"/>
              </w:rPr>
              <w:t xml:space="preserve"> </w:t>
            </w:r>
            <w:r w:rsidRPr="0053423A">
              <w:rPr>
                <w:rFonts w:eastAsia="Times New Roman" w:cs="Sylfaen"/>
                <w:b/>
                <w:sz w:val="20"/>
                <w:szCs w:val="20"/>
                <w:lang w:val="hy-AM"/>
              </w:rPr>
              <w:t>խնդիրների</w:t>
            </w:r>
            <w:r w:rsidRPr="0053423A">
              <w:rPr>
                <w:rFonts w:eastAsia="Times New Roman" w:cs="Times New Roman"/>
                <w:b/>
                <w:sz w:val="20"/>
                <w:szCs w:val="20"/>
                <w:lang w:val="hy-AM"/>
              </w:rPr>
              <w:t xml:space="preserve"> </w:t>
            </w:r>
            <w:r w:rsidRPr="0053423A">
              <w:rPr>
                <w:rFonts w:eastAsia="Times New Roman" w:cs="Sylfaen"/>
                <w:b/>
                <w:sz w:val="20"/>
                <w:szCs w:val="20"/>
                <w:lang w:val="hy-AM"/>
              </w:rPr>
              <w:t>առաջարկվող</w:t>
            </w:r>
            <w:r w:rsidRPr="0053423A">
              <w:rPr>
                <w:rFonts w:eastAsia="Times New Roman" w:cs="Times New Roman"/>
                <w:b/>
                <w:sz w:val="20"/>
                <w:szCs w:val="20"/>
                <w:lang w:val="hy-AM"/>
              </w:rPr>
              <w:t xml:space="preserve"> </w:t>
            </w:r>
            <w:r w:rsidRPr="0053423A">
              <w:rPr>
                <w:rFonts w:eastAsia="Times New Roman" w:cs="Sylfaen"/>
                <w:b/>
                <w:sz w:val="20"/>
                <w:szCs w:val="20"/>
                <w:lang w:val="hy-AM"/>
              </w:rPr>
              <w:t>լուծումները</w:t>
            </w:r>
          </w:p>
          <w:p w:rsidR="00514E01" w:rsidRPr="0053423A" w:rsidRDefault="00514E01" w:rsidP="00A67858">
            <w:pPr>
              <w:spacing w:line="276" w:lineRule="auto"/>
              <w:contextualSpacing/>
              <w:jc w:val="both"/>
              <w:rPr>
                <w:rFonts w:eastAsia="Times New Roman" w:cs="Times New Roman"/>
                <w:sz w:val="20"/>
                <w:szCs w:val="20"/>
                <w:lang w:val="hy-AM" w:eastAsia="ru-RU"/>
              </w:rPr>
            </w:pPr>
            <w:r w:rsidRPr="0053423A">
              <w:rPr>
                <w:rFonts w:eastAsia="Times New Roman" w:cs="Times New Roman"/>
                <w:sz w:val="20"/>
                <w:szCs w:val="20"/>
                <w:lang w:val="hy-AM" w:eastAsia="ru-RU"/>
              </w:rPr>
              <w:t xml:space="preserve">«Արդյունաբերության և առևտրի մեջ աշխատանքի տեսչության մասին» Աշխատանքի միջազգային կազմակերպության թիվ 81 կոնվենցիայի պահանջների, ինչպես նաև այդ պահանջներին ՀՀ օրենսդրության համապատասխանության վերլուծության և ՀՀ-ում աշխատանքային օրենսդրության պահանջների կատարման նկատմամբ վերահսկողության համակարգի մարմինների գործառույթների ուսումնասիրության, ոլորտում առկա խնդիրների բացահայտման արդյունքում՝ համապատասխան իրավական ակտերի նախագծերի մշակում և ընդունում, որով կապահովվի աշխատանքային օրենսդրության պահանջների կատարման նկատմամբ բարելավված և ամբողջական վերահսկողություն: </w:t>
            </w:r>
          </w:p>
          <w:p w:rsidR="00514E01" w:rsidRPr="0053423A" w:rsidRDefault="00514E01" w:rsidP="00A67858">
            <w:pPr>
              <w:spacing w:line="276" w:lineRule="auto"/>
              <w:contextualSpacing/>
              <w:jc w:val="both"/>
              <w:rPr>
                <w:rFonts w:eastAsia="Times New Roman" w:cs="Times New Roman"/>
                <w:sz w:val="20"/>
                <w:szCs w:val="20"/>
                <w:lang w:val="hy-AM" w:eastAsia="ru-RU"/>
              </w:rPr>
            </w:pPr>
            <w:r w:rsidRPr="0053423A">
              <w:rPr>
                <w:rFonts w:eastAsia="Times New Roman" w:cs="Times New Roman"/>
                <w:sz w:val="20"/>
                <w:szCs w:val="20"/>
                <w:lang w:val="hy-AM" w:eastAsia="ru-RU"/>
              </w:rPr>
              <w:t>Համակատարողներից ակնկալվում է նախատեսված աշխատանքների իրականացման ժամանակ համատեղ քննարկումների անցկացում աշխատանքների իրականացման ողջ ընթացքում, ինչպես նաև վերջնական իրավական ակտերի նախագծերի վերաբերյալ կարծիքի ամփոփում՝ մինչև փաստաթղթի ներկայացումը շահագրգիռ մարմիններ և Վարչապետի աշխատակազմ:</w:t>
            </w:r>
          </w:p>
          <w:p w:rsidR="00514E01" w:rsidRPr="0053423A" w:rsidRDefault="00514E01" w:rsidP="00A67858">
            <w:pPr>
              <w:spacing w:line="276" w:lineRule="auto"/>
              <w:contextualSpacing/>
              <w:jc w:val="both"/>
              <w:rPr>
                <w:rFonts w:eastAsia="Times New Roman" w:cs="Times New Roman"/>
                <w:b/>
                <w:sz w:val="20"/>
                <w:szCs w:val="20"/>
                <w:lang w:val="hy-AM"/>
              </w:rPr>
            </w:pPr>
            <w:r w:rsidRPr="0053423A">
              <w:rPr>
                <w:rFonts w:eastAsia="Times New Roman" w:cs="Times New Roman"/>
                <w:b/>
                <w:sz w:val="20"/>
                <w:szCs w:val="20"/>
                <w:lang w:val="hy-AM"/>
              </w:rPr>
              <w:t>3.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Times New Roman" w:cs="Times New Roman"/>
                <w:sz w:val="20"/>
                <w:szCs w:val="20"/>
                <w:lang w:val="hy-AM" w:eastAsia="ru-RU"/>
              </w:rPr>
              <w:t>Աշխատանքային օրենսդրության պահանջների կատարման նկատմամբ բարելավված և ամբողջական վերահսկողության համակարգի առկայություն, ինչն անուղղակիորեն կնպաստի նաև աշխատողների իրավունքների խախտման դեպքերի նվազմանը:</w:t>
            </w:r>
          </w:p>
        </w:tc>
      </w:tr>
      <w:tr w:rsidR="00514E01" w:rsidRPr="00DE2EFA" w:rsidTr="00BC61ED">
        <w:tc>
          <w:tcPr>
            <w:tcW w:w="630" w:type="dxa"/>
            <w:vMerge w:val="restart"/>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6</w:t>
            </w:r>
          </w:p>
        </w:tc>
        <w:tc>
          <w:tcPr>
            <w:tcW w:w="10890" w:type="dxa"/>
          </w:tcPr>
          <w:p w:rsidR="00514E01" w:rsidRPr="0053423A" w:rsidRDefault="00514E01" w:rsidP="00A67858">
            <w:pPr>
              <w:spacing w:line="276" w:lineRule="auto"/>
              <w:jc w:val="both"/>
              <w:rPr>
                <w:rFonts w:eastAsia="Calibri" w:cs="Times New Roman"/>
                <w:b/>
                <w:sz w:val="20"/>
                <w:szCs w:val="20"/>
                <w:u w:val="single"/>
                <w:lang w:val="hy-AM"/>
              </w:rPr>
            </w:pPr>
            <w:r w:rsidRPr="0053423A">
              <w:rPr>
                <w:rFonts w:eastAsia="Calibri" w:cs="Times New Roman"/>
                <w:b/>
                <w:sz w:val="20"/>
                <w:szCs w:val="20"/>
                <w:u w:val="single"/>
                <w:lang w:val="hy-AM"/>
              </w:rPr>
              <w:t xml:space="preserve">6.1 </w:t>
            </w:r>
            <w:r w:rsidRPr="0053423A">
              <w:rPr>
                <w:rFonts w:eastAsia="Times New Roman" w:cs="Arian AMU"/>
                <w:b/>
                <w:sz w:val="20"/>
                <w:szCs w:val="20"/>
                <w:u w:val="single"/>
                <w:lang w:val="hy-AM"/>
              </w:rPr>
              <w:t>««Զբաղվածության մասին» Հայաստանի Հանրապետության օրենքում փոփոխություններ և լրացումներ կատարելու մասին» ՀՀ օրենքի նախագծի մշակում և Վարչապետի աշխատակազմ ներկայացում</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1. Միջոցառման իրականացման անհրաժեշտությունը և նպատակը</w:t>
            </w:r>
          </w:p>
          <w:p w:rsidR="00514E01" w:rsidRPr="0053423A" w:rsidRDefault="00514E01" w:rsidP="00A67858">
            <w:pPr>
              <w:tabs>
                <w:tab w:val="left" w:pos="1440"/>
              </w:tabs>
              <w:spacing w:line="276" w:lineRule="auto"/>
              <w:contextualSpacing/>
              <w:jc w:val="both"/>
              <w:rPr>
                <w:rFonts w:eastAsia="GHEAMariam" w:cs="GHEAMariam"/>
                <w:bCs/>
                <w:sz w:val="20"/>
                <w:szCs w:val="20"/>
                <w:lang w:val="hy-AM"/>
              </w:rPr>
            </w:pPr>
            <w:r w:rsidRPr="0053423A">
              <w:rPr>
                <w:rFonts w:eastAsia="Times New Roman" w:cs="Arian AMU"/>
                <w:sz w:val="20"/>
                <w:szCs w:val="20"/>
                <w:lang w:val="hy-AM"/>
              </w:rPr>
              <w:t xml:space="preserve"> ««Զբաղվածության մասին» Հայաստանի Հանրապետության օրենքում փոփոխություններ և լրացումներ կատարելու մասին» Հայաստանի Հանրապետության օրենքի նախագծի մշակումը պայմանավորված է </w:t>
            </w:r>
            <w:r w:rsidRPr="0053423A">
              <w:rPr>
                <w:rFonts w:eastAsia="Calibri" w:cs="Times New Roman"/>
                <w:sz w:val="20"/>
                <w:szCs w:val="20"/>
                <w:lang w:val="hy-AM"/>
              </w:rPr>
              <w:t>աշխատաշուկայում երիտասարդների, հաշմանդամություն ունեցող անձանց, կանանց մրցունակության բարձրացմանն ուղղված նոր ծրագրերի ներդրմամբ և</w:t>
            </w:r>
            <w:r w:rsidRPr="0053423A">
              <w:rPr>
                <w:rFonts w:eastAsia="Times New Roman" w:cs="Arian AMU"/>
                <w:sz w:val="20"/>
                <w:szCs w:val="20"/>
                <w:lang w:val="hy-AM"/>
              </w:rPr>
              <w:t xml:space="preserve"> բխում է </w:t>
            </w:r>
            <w:r w:rsidRPr="0053423A">
              <w:rPr>
                <w:rFonts w:eastAsia="Times New Roman" w:cs="Times New Roman"/>
                <w:sz w:val="20"/>
                <w:szCs w:val="20"/>
                <w:lang w:val="hy-AM" w:eastAsia="ru-RU"/>
              </w:rPr>
              <w:t>ՀՀ կառավարության 2019</w:t>
            </w:r>
            <w:r w:rsidRPr="0053423A">
              <w:rPr>
                <w:rFonts w:eastAsia="Times New Roman" w:cs="Sylfaen"/>
                <w:sz w:val="20"/>
                <w:szCs w:val="20"/>
                <w:lang w:val="hy-AM" w:eastAsia="ru-RU"/>
              </w:rPr>
              <w:t>թ</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փետրվարի 8</w:t>
            </w:r>
            <w:r w:rsidRPr="0053423A">
              <w:rPr>
                <w:rFonts w:eastAsia="Times New Roman" w:cs="Times New Roman"/>
                <w:sz w:val="20"/>
                <w:szCs w:val="20"/>
                <w:lang w:val="hy-AM" w:eastAsia="ru-RU"/>
              </w:rPr>
              <w:t>-</w:t>
            </w:r>
            <w:r w:rsidRPr="0053423A">
              <w:rPr>
                <w:rFonts w:eastAsia="Times New Roman" w:cs="Sylfaen"/>
                <w:sz w:val="20"/>
                <w:szCs w:val="20"/>
                <w:lang w:val="hy-AM" w:eastAsia="ru-RU"/>
              </w:rPr>
              <w:t>ի</w:t>
            </w:r>
            <w:r w:rsidRPr="0053423A">
              <w:rPr>
                <w:rFonts w:eastAsia="Times New Roman" w:cs="Times New Roman"/>
                <w:sz w:val="20"/>
                <w:szCs w:val="20"/>
                <w:lang w:val="hy-AM" w:eastAsia="ru-RU"/>
              </w:rPr>
              <w:t xml:space="preserve"> N 65-</w:t>
            </w:r>
            <w:r w:rsidRPr="0053423A">
              <w:rPr>
                <w:rFonts w:eastAsia="Times New Roman" w:cs="Sylfaen"/>
                <w:sz w:val="20"/>
                <w:szCs w:val="20"/>
                <w:lang w:val="hy-AM" w:eastAsia="ru-RU"/>
              </w:rPr>
              <w:t>Ա</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որոշման</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հավելվածի</w:t>
            </w:r>
            <w:r w:rsidRPr="0053423A">
              <w:rPr>
                <w:rFonts w:eastAsia="Times New Roman" w:cs="Times New Roman"/>
                <w:sz w:val="20"/>
                <w:szCs w:val="20"/>
                <w:lang w:val="hy-AM" w:eastAsia="ru-RU"/>
              </w:rPr>
              <w:t xml:space="preserve"> 4.2-</w:t>
            </w:r>
            <w:r w:rsidRPr="0053423A">
              <w:rPr>
                <w:rFonts w:eastAsia="Times New Roman" w:cs="Sylfaen"/>
                <w:sz w:val="20"/>
                <w:szCs w:val="20"/>
                <w:lang w:val="hy-AM" w:eastAsia="ru-RU"/>
              </w:rPr>
              <w:t xml:space="preserve">րդ` </w:t>
            </w:r>
            <w:r w:rsidRPr="0053423A">
              <w:rPr>
                <w:rFonts w:eastAsia="Times New Roman" w:cs="Times New Roman"/>
                <w:sz w:val="20"/>
                <w:szCs w:val="20"/>
                <w:lang w:val="hy-AM" w:eastAsia="ru-RU"/>
              </w:rPr>
              <w:t>«Ա</w:t>
            </w:r>
            <w:r w:rsidRPr="0053423A">
              <w:rPr>
                <w:rFonts w:eastAsia="Calibri" w:cs="Times New Roman"/>
                <w:bCs/>
                <w:sz w:val="20"/>
                <w:szCs w:val="20"/>
                <w:lang w:val="hy-AM"/>
              </w:rPr>
              <w:t>ղքատության</w:t>
            </w:r>
            <w:r w:rsidRPr="0053423A">
              <w:rPr>
                <w:rFonts w:eastAsia="Calibri" w:cs="Times New Roman"/>
                <w:bCs/>
                <w:sz w:val="20"/>
                <w:szCs w:val="20"/>
                <w:lang w:val="af-ZA"/>
              </w:rPr>
              <w:t xml:space="preserve"> </w:t>
            </w:r>
            <w:r w:rsidRPr="0053423A">
              <w:rPr>
                <w:rFonts w:eastAsia="Calibri" w:cs="Times New Roman"/>
                <w:bCs/>
                <w:sz w:val="20"/>
                <w:szCs w:val="20"/>
                <w:lang w:val="hy-AM"/>
              </w:rPr>
              <w:t>հաղթահարումը</w:t>
            </w:r>
            <w:r w:rsidRPr="0053423A">
              <w:rPr>
                <w:rFonts w:eastAsia="Calibri" w:cs="Times New Roman"/>
                <w:bCs/>
                <w:sz w:val="20"/>
                <w:szCs w:val="20"/>
                <w:lang w:val="af-ZA"/>
              </w:rPr>
              <w:t xml:space="preserve">, </w:t>
            </w:r>
            <w:r w:rsidRPr="0053423A">
              <w:rPr>
                <w:rFonts w:eastAsia="Calibri" w:cs="Times New Roman"/>
                <w:bCs/>
                <w:sz w:val="20"/>
                <w:szCs w:val="20"/>
                <w:lang w:val="hy-AM"/>
              </w:rPr>
              <w:t>սոցիալական</w:t>
            </w:r>
            <w:r w:rsidRPr="0053423A">
              <w:rPr>
                <w:rFonts w:eastAsia="Calibri" w:cs="Times New Roman"/>
                <w:bCs/>
                <w:sz w:val="20"/>
                <w:szCs w:val="20"/>
                <w:lang w:val="af-ZA"/>
              </w:rPr>
              <w:t xml:space="preserve"> </w:t>
            </w:r>
            <w:r w:rsidRPr="0053423A">
              <w:rPr>
                <w:rFonts w:eastAsia="Calibri" w:cs="Times New Roman"/>
                <w:bCs/>
                <w:sz w:val="20"/>
                <w:szCs w:val="20"/>
                <w:lang w:val="hy-AM"/>
              </w:rPr>
              <w:t>պաշտպանությունը</w:t>
            </w:r>
            <w:r w:rsidRPr="0053423A">
              <w:rPr>
                <w:rFonts w:eastAsia="Calibri" w:cs="Times New Roman"/>
                <w:bCs/>
                <w:sz w:val="20"/>
                <w:szCs w:val="20"/>
                <w:lang w:val="af-ZA"/>
              </w:rPr>
              <w:t xml:space="preserve"> </w:t>
            </w:r>
            <w:r w:rsidRPr="0053423A">
              <w:rPr>
                <w:rFonts w:eastAsia="Calibri" w:cs="Times New Roman"/>
                <w:bCs/>
                <w:sz w:val="20"/>
                <w:szCs w:val="20"/>
                <w:lang w:val="hy-AM"/>
              </w:rPr>
              <w:t>և</w:t>
            </w:r>
            <w:r w:rsidRPr="0053423A">
              <w:rPr>
                <w:rFonts w:eastAsia="Calibri" w:cs="Times New Roman"/>
                <w:bCs/>
                <w:sz w:val="20"/>
                <w:szCs w:val="20"/>
                <w:lang w:val="af-ZA"/>
              </w:rPr>
              <w:t xml:space="preserve"> </w:t>
            </w:r>
            <w:r w:rsidRPr="0053423A">
              <w:rPr>
                <w:rFonts w:eastAsia="Calibri" w:cs="Times New Roman"/>
                <w:bCs/>
                <w:sz w:val="20"/>
                <w:szCs w:val="20"/>
                <w:lang w:val="hy-AM"/>
              </w:rPr>
              <w:t>ժողովրդագրությունը</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բաժնի</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պահանջներից:</w:t>
            </w:r>
          </w:p>
          <w:p w:rsidR="00514E01" w:rsidRPr="0053423A" w:rsidRDefault="00514E01" w:rsidP="00A67858">
            <w:pPr>
              <w:spacing w:line="276" w:lineRule="auto"/>
              <w:jc w:val="both"/>
              <w:rPr>
                <w:rFonts w:eastAsia="GHEAMariam" w:cs="GHEAMariam"/>
                <w:b/>
                <w:bCs/>
                <w:sz w:val="20"/>
                <w:szCs w:val="20"/>
                <w:lang w:val="af-ZA" w:eastAsia="ru-RU"/>
              </w:rPr>
            </w:pPr>
            <w:r w:rsidRPr="0053423A">
              <w:rPr>
                <w:rFonts w:eastAsia="GHEAMariam" w:cs="GHEAMariam"/>
                <w:b/>
                <w:bCs/>
                <w:sz w:val="20"/>
                <w:szCs w:val="20"/>
                <w:lang w:val="af-ZA" w:eastAsia="ru-RU"/>
              </w:rPr>
              <w:t>1.1.</w:t>
            </w:r>
            <w:r w:rsidRPr="0053423A">
              <w:rPr>
                <w:rFonts w:eastAsia="GHEAMariam" w:cs="GHEAMariam"/>
                <w:b/>
                <w:bCs/>
                <w:sz w:val="20"/>
                <w:szCs w:val="20"/>
                <w:lang w:val="af-ZA" w:eastAsia="ru-RU"/>
              </w:rPr>
              <w:tab/>
              <w:t xml:space="preserve">Կարգավորման հարաբերությունների ներկա իրավիճակը և առկա խնդիրները </w:t>
            </w:r>
          </w:p>
          <w:p w:rsidR="00514E01" w:rsidRPr="0053423A" w:rsidRDefault="00514E01" w:rsidP="00A67858">
            <w:pPr>
              <w:tabs>
                <w:tab w:val="left" w:pos="270"/>
              </w:tabs>
              <w:spacing w:line="276" w:lineRule="auto"/>
              <w:jc w:val="both"/>
              <w:rPr>
                <w:rFonts w:eastAsia="Times New Roman" w:cs="IRTEK Courier"/>
                <w:b/>
                <w:sz w:val="20"/>
                <w:szCs w:val="20"/>
                <w:lang w:val="hy-AM"/>
              </w:rPr>
            </w:pPr>
            <w:r w:rsidRPr="0053423A">
              <w:rPr>
                <w:rFonts w:eastAsia="Times New Roman" w:cs="Times New Roman"/>
                <w:sz w:val="20"/>
                <w:szCs w:val="20"/>
                <w:lang w:val="hy-AM" w:eastAsia="ru-RU"/>
              </w:rPr>
              <w:t>Ժողովրդագրական իրավիճակի ու մարտահրավերների տեսանկյունից կարևորվում են զբաղվածության ռազմավարական մոտեցումները և հիմնախնդիրների համալիր լուծումները: Իրականացվող բարեփոխումների գործնական կիրառումն ապահովելու տեսանկյունից էապես կարևորվում են զբաղվածության ակտիվ նոր ծրագրերի փորձարկումը և դրանց ներդրումը, գործող ծրագրերի վերաիմաստավորումը, որն ուղղակիորեն միտված կլինի նաև ժողովրդագրական և աշխատանքային միգրացիայի դրական միտումների պահպանմանն ու հետևողական բարելավմանը: Զբաղվածության կարգավորվման նոր ակտիվ ծրագրերի ներդրմամբ երիտասարդների, հաշմանդամություն ունեցող անձանց և կանանց համար կստեղծվեն նաև օբյեկտիվ հնարավորություններ իրենց բնակավայրում ամրանալու և կայուն եկամուտ ստեղծելու համար:</w:t>
            </w:r>
          </w:p>
          <w:p w:rsidR="00514E01" w:rsidRPr="0053423A" w:rsidRDefault="00514E01" w:rsidP="00A67858">
            <w:pPr>
              <w:tabs>
                <w:tab w:val="left" w:pos="900"/>
              </w:tabs>
              <w:spacing w:line="276" w:lineRule="auto"/>
              <w:jc w:val="both"/>
              <w:rPr>
                <w:rFonts w:eastAsia="GHEAMariam" w:cs="GHEAMariam"/>
                <w:b/>
                <w:bCs/>
                <w:sz w:val="20"/>
                <w:szCs w:val="20"/>
                <w:lang w:val="af-ZA" w:eastAsia="ru-RU"/>
              </w:rPr>
            </w:pPr>
            <w:r w:rsidRPr="0053423A">
              <w:rPr>
                <w:rFonts w:eastAsia="GHEAMariam" w:cs="GHEAMariam"/>
                <w:b/>
                <w:bCs/>
                <w:sz w:val="20"/>
                <w:szCs w:val="20"/>
                <w:lang w:val="af-ZA" w:eastAsia="ru-RU"/>
              </w:rPr>
              <w:t>1.2.</w:t>
            </w:r>
            <w:r w:rsidRPr="0053423A">
              <w:rPr>
                <w:rFonts w:eastAsia="GHEAMariam" w:cs="GHEAMariam"/>
                <w:b/>
                <w:bCs/>
                <w:sz w:val="20"/>
                <w:szCs w:val="20"/>
                <w:lang w:val="af-ZA" w:eastAsia="ru-RU"/>
              </w:rPr>
              <w:tab/>
              <w:t>Առկա խնդիրների առաջարկվող լուծումները</w:t>
            </w:r>
          </w:p>
          <w:p w:rsidR="00514E01" w:rsidRPr="0053423A" w:rsidRDefault="00514E01" w:rsidP="00A67858">
            <w:pPr>
              <w:tabs>
                <w:tab w:val="left" w:pos="1080"/>
              </w:tabs>
              <w:spacing w:line="276" w:lineRule="auto"/>
              <w:jc w:val="both"/>
              <w:rPr>
                <w:rFonts w:eastAsia="Calibri" w:cs="Times New Roman"/>
                <w:sz w:val="20"/>
                <w:szCs w:val="20"/>
                <w:lang w:val="hy-AM"/>
              </w:rPr>
            </w:pPr>
            <w:r w:rsidRPr="0053423A">
              <w:rPr>
                <w:rFonts w:eastAsia="Calibri" w:cs="Times New Roman"/>
                <w:sz w:val="20"/>
                <w:szCs w:val="20"/>
                <w:lang w:val="hy-AM"/>
              </w:rPr>
              <w:t>Նախագծով առաջարկվում է սահմանել նոր ծրագրային ուղղություններ` ուղղված աշխատաշուկայում  երիտասարդների, հաշմանդամություն ունեցող անձանց, կանանց մրցունակության բարձրացմանը և զբաղվածության ապահովմանը:</w:t>
            </w:r>
          </w:p>
          <w:p w:rsidR="00514E01" w:rsidRPr="0053423A" w:rsidRDefault="00514E01" w:rsidP="00A67858">
            <w:pPr>
              <w:tabs>
                <w:tab w:val="left" w:pos="1080"/>
              </w:tabs>
              <w:spacing w:line="276" w:lineRule="auto"/>
              <w:rPr>
                <w:rFonts w:eastAsia="Times New Roman" w:cs="Tahoma"/>
                <w:b/>
                <w:spacing w:val="-4"/>
                <w:sz w:val="20"/>
                <w:szCs w:val="20"/>
                <w:lang w:val="hy-AM" w:eastAsia="ru-RU"/>
              </w:rPr>
            </w:pPr>
            <w:r w:rsidRPr="0053423A">
              <w:rPr>
                <w:rFonts w:eastAsia="Times New Roman" w:cs="Tahoma"/>
                <w:b/>
                <w:spacing w:val="-4"/>
                <w:sz w:val="20"/>
                <w:szCs w:val="20"/>
                <w:lang w:val="hy-AM" w:eastAsia="ru-RU"/>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Calibri" w:cs="Times New Roman"/>
                <w:sz w:val="20"/>
                <w:szCs w:val="20"/>
                <w:lang w:val="hy-AM"/>
              </w:rPr>
              <w:t>Նախագծով ակնկալվում է մեծացնել գործազուրկների, աշխատանք փնտրող անձանց կայուն զբաղվածության ապահովման հնարավորությունները, ինչպես նաև ներդնել նոր ծրագրեր` ուղղված նրանց մրցունակության բարձրացմանը:</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Times New Roman" w:cs="Times New Roman"/>
                <w:b/>
                <w:sz w:val="20"/>
                <w:szCs w:val="20"/>
                <w:u w:val="single"/>
                <w:lang w:val="af-ZA"/>
              </w:rPr>
            </w:pPr>
            <w:r w:rsidRPr="0053423A">
              <w:rPr>
                <w:rFonts w:eastAsia="Calibri" w:cs="Times New Roman"/>
                <w:b/>
                <w:sz w:val="20"/>
                <w:szCs w:val="20"/>
                <w:u w:val="single"/>
                <w:lang w:val="hy-AM"/>
              </w:rPr>
              <w:t xml:space="preserve">6.2 </w:t>
            </w:r>
            <w:r w:rsidRPr="0053423A">
              <w:rPr>
                <w:rFonts w:eastAsia="Calibri" w:cs="Times New Roman"/>
                <w:b/>
                <w:sz w:val="20"/>
                <w:szCs w:val="20"/>
                <w:u w:val="single"/>
                <w:lang w:val="af-ZA"/>
              </w:rPr>
              <w:t xml:space="preserve">«Հայաստանի Հանրապետության կառավարության 2014 թվականի ապրիլի 17-ի N 534-Ն որոշման մեջ փոփոխություններ և լրացումներ կատարելու մասին» ՀՀ </w:t>
            </w:r>
            <w:r w:rsidRPr="0053423A">
              <w:rPr>
                <w:rFonts w:eastAsia="Times New Roman" w:cs="Times New Roman"/>
                <w:b/>
                <w:sz w:val="20"/>
                <w:szCs w:val="20"/>
                <w:u w:val="single"/>
                <w:lang w:val="hy-AM"/>
              </w:rPr>
              <w:t>կառավարության որոշման նախագծի մշակում և Վարչապետի աշխատակազմ ներկայացում</w:t>
            </w:r>
          </w:p>
          <w:p w:rsidR="00514E01" w:rsidRPr="0053423A" w:rsidRDefault="00514E01" w:rsidP="00A67858">
            <w:pPr>
              <w:spacing w:line="276" w:lineRule="auto"/>
              <w:jc w:val="both"/>
              <w:rPr>
                <w:rFonts w:eastAsia="Times New Roman" w:cs="Times New Roman"/>
                <w:b/>
                <w:sz w:val="20"/>
                <w:szCs w:val="20"/>
                <w:lang w:val="af-ZA"/>
              </w:rPr>
            </w:pPr>
            <w:r w:rsidRPr="0053423A">
              <w:rPr>
                <w:rFonts w:eastAsia="Times New Roman" w:cs="Times New Roman"/>
                <w:b/>
                <w:sz w:val="20"/>
                <w:szCs w:val="20"/>
                <w:lang w:val="hy-AM"/>
              </w:rPr>
              <w:t>1.</w:t>
            </w:r>
            <w:r w:rsidRPr="0053423A">
              <w:rPr>
                <w:rFonts w:eastAsia="Times New Roman" w:cs="Times New Roman"/>
                <w:b/>
                <w:sz w:val="20"/>
                <w:szCs w:val="20"/>
                <w:lang w:val="af-ZA"/>
              </w:rPr>
              <w:t xml:space="preserve"> </w:t>
            </w:r>
            <w:r w:rsidRPr="0053423A">
              <w:rPr>
                <w:rFonts w:eastAsia="Times New Roman" w:cs="Times New Roman"/>
                <w:b/>
                <w:sz w:val="20"/>
                <w:szCs w:val="20"/>
                <w:lang w:val="hy-AM"/>
              </w:rPr>
              <w:t>Միջոցառման իրականացման անհրաժեշտությունը և նպատակը</w:t>
            </w:r>
          </w:p>
          <w:p w:rsidR="00514E01" w:rsidRPr="0053423A" w:rsidRDefault="00514E01" w:rsidP="00A67858">
            <w:pPr>
              <w:spacing w:line="276" w:lineRule="auto"/>
              <w:jc w:val="both"/>
              <w:rPr>
                <w:rFonts w:eastAsia="Times New Roman" w:cs="Times New Roman"/>
                <w:sz w:val="20"/>
                <w:szCs w:val="20"/>
                <w:lang w:val="hy-AM" w:eastAsia="ru-RU"/>
              </w:rPr>
            </w:pPr>
            <w:r w:rsidRPr="0053423A">
              <w:rPr>
                <w:rFonts w:eastAsia="GHEAMariam" w:cs="GHEAMariam"/>
                <w:bCs/>
                <w:sz w:val="20"/>
                <w:szCs w:val="20"/>
                <w:lang w:val="af-ZA" w:eastAsia="ru-RU"/>
              </w:rPr>
              <w:t xml:space="preserve">«Հայաստանի Հանրապետության կառավարության 2014թ. ապրիլի 17-ի N 534-Ն որոշման մեջ փոփոխություններ և լրացումներ կատարելու մասին» ՀՀ կառավարության որոշման նախագծի մշակումը պայմանավորված է վերոհիշյալ որոշմամբ հաստատված կարգերի կիրարկման ընթացքում ծագած խնդիրների լուծման, ժողովրդագրական արդի մարտահրավերներին արձագանքելու, իրավիճակի վերլուծություն իրականացնելու անհրաժեշտությամբ, ինչպես նաև բխում է </w:t>
            </w:r>
            <w:r w:rsidRPr="0053423A">
              <w:rPr>
                <w:rFonts w:eastAsia="Times New Roman" w:cs="Times New Roman"/>
                <w:sz w:val="20"/>
                <w:szCs w:val="20"/>
                <w:lang w:val="hy-AM" w:eastAsia="ru-RU"/>
              </w:rPr>
              <w:t>ՀՀ կառավարության 2019</w:t>
            </w:r>
            <w:r w:rsidRPr="0053423A">
              <w:rPr>
                <w:rFonts w:eastAsia="Times New Roman" w:cs="Sylfaen"/>
                <w:sz w:val="20"/>
                <w:szCs w:val="20"/>
                <w:lang w:val="hy-AM" w:eastAsia="ru-RU"/>
              </w:rPr>
              <w:t>թ</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փետրվարի 8</w:t>
            </w:r>
            <w:r w:rsidRPr="0053423A">
              <w:rPr>
                <w:rFonts w:eastAsia="Times New Roman" w:cs="Times New Roman"/>
                <w:sz w:val="20"/>
                <w:szCs w:val="20"/>
                <w:lang w:val="hy-AM" w:eastAsia="ru-RU"/>
              </w:rPr>
              <w:t>-</w:t>
            </w:r>
            <w:r w:rsidRPr="0053423A">
              <w:rPr>
                <w:rFonts w:eastAsia="Times New Roman" w:cs="Sylfaen"/>
                <w:sz w:val="20"/>
                <w:szCs w:val="20"/>
                <w:lang w:val="hy-AM" w:eastAsia="ru-RU"/>
              </w:rPr>
              <w:t>ի</w:t>
            </w:r>
            <w:r w:rsidRPr="0053423A">
              <w:rPr>
                <w:rFonts w:eastAsia="Times New Roman" w:cs="Times New Roman"/>
                <w:sz w:val="20"/>
                <w:szCs w:val="20"/>
                <w:lang w:val="hy-AM" w:eastAsia="ru-RU"/>
              </w:rPr>
              <w:t xml:space="preserve"> N 65-</w:t>
            </w:r>
            <w:r w:rsidRPr="0053423A">
              <w:rPr>
                <w:rFonts w:eastAsia="Times New Roman" w:cs="Sylfaen"/>
                <w:sz w:val="20"/>
                <w:szCs w:val="20"/>
                <w:lang w:val="hy-AM" w:eastAsia="ru-RU"/>
              </w:rPr>
              <w:t>Ա</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որոշման</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հավելվածի</w:t>
            </w:r>
            <w:r w:rsidRPr="0053423A">
              <w:rPr>
                <w:rFonts w:eastAsia="Times New Roman" w:cs="Times New Roman"/>
                <w:sz w:val="20"/>
                <w:szCs w:val="20"/>
                <w:lang w:val="hy-AM" w:eastAsia="ru-RU"/>
              </w:rPr>
              <w:t xml:space="preserve"> 4.2-</w:t>
            </w:r>
            <w:r w:rsidRPr="0053423A">
              <w:rPr>
                <w:rFonts w:eastAsia="Times New Roman" w:cs="Sylfaen"/>
                <w:sz w:val="20"/>
                <w:szCs w:val="20"/>
                <w:lang w:val="hy-AM" w:eastAsia="ru-RU"/>
              </w:rPr>
              <w:t xml:space="preserve">րդ` </w:t>
            </w:r>
            <w:r w:rsidRPr="0053423A">
              <w:rPr>
                <w:rFonts w:eastAsia="Times New Roman" w:cs="Times New Roman"/>
                <w:sz w:val="20"/>
                <w:szCs w:val="20"/>
                <w:lang w:val="hy-AM" w:eastAsia="ru-RU"/>
              </w:rPr>
              <w:t>«Ա</w:t>
            </w:r>
            <w:r w:rsidRPr="0053423A">
              <w:rPr>
                <w:rFonts w:eastAsia="Calibri" w:cs="Times New Roman"/>
                <w:bCs/>
                <w:sz w:val="20"/>
                <w:szCs w:val="20"/>
              </w:rPr>
              <w:t>ղքատության</w:t>
            </w:r>
            <w:r w:rsidRPr="0053423A">
              <w:rPr>
                <w:rFonts w:eastAsia="Calibri" w:cs="Times New Roman"/>
                <w:bCs/>
                <w:sz w:val="20"/>
                <w:szCs w:val="20"/>
                <w:lang w:val="af-ZA"/>
              </w:rPr>
              <w:t xml:space="preserve"> </w:t>
            </w:r>
            <w:r w:rsidRPr="0053423A">
              <w:rPr>
                <w:rFonts w:eastAsia="Calibri" w:cs="Times New Roman"/>
                <w:bCs/>
                <w:sz w:val="20"/>
                <w:szCs w:val="20"/>
              </w:rPr>
              <w:t>հաղթահարումը</w:t>
            </w:r>
            <w:r w:rsidRPr="0053423A">
              <w:rPr>
                <w:rFonts w:eastAsia="Calibri" w:cs="Times New Roman"/>
                <w:bCs/>
                <w:sz w:val="20"/>
                <w:szCs w:val="20"/>
                <w:lang w:val="af-ZA"/>
              </w:rPr>
              <w:t xml:space="preserve">, </w:t>
            </w:r>
            <w:r w:rsidRPr="0053423A">
              <w:rPr>
                <w:rFonts w:eastAsia="Calibri" w:cs="Times New Roman"/>
                <w:bCs/>
                <w:sz w:val="20"/>
                <w:szCs w:val="20"/>
              </w:rPr>
              <w:t>սոցիալական</w:t>
            </w:r>
            <w:r w:rsidRPr="0053423A">
              <w:rPr>
                <w:rFonts w:eastAsia="Calibri" w:cs="Times New Roman"/>
                <w:bCs/>
                <w:sz w:val="20"/>
                <w:szCs w:val="20"/>
                <w:lang w:val="af-ZA"/>
              </w:rPr>
              <w:t xml:space="preserve"> </w:t>
            </w:r>
            <w:r w:rsidRPr="0053423A">
              <w:rPr>
                <w:rFonts w:eastAsia="Calibri" w:cs="Times New Roman"/>
                <w:bCs/>
                <w:sz w:val="20"/>
                <w:szCs w:val="20"/>
              </w:rPr>
              <w:t>պաշտպանությունը</w:t>
            </w:r>
            <w:r w:rsidRPr="0053423A">
              <w:rPr>
                <w:rFonts w:eastAsia="Calibri" w:cs="Times New Roman"/>
                <w:bCs/>
                <w:sz w:val="20"/>
                <w:szCs w:val="20"/>
                <w:lang w:val="af-ZA"/>
              </w:rPr>
              <w:t xml:space="preserve"> </w:t>
            </w:r>
            <w:r w:rsidRPr="0053423A">
              <w:rPr>
                <w:rFonts w:eastAsia="Calibri" w:cs="Times New Roman"/>
                <w:bCs/>
                <w:sz w:val="20"/>
                <w:szCs w:val="20"/>
                <w:lang w:val="hy-AM"/>
              </w:rPr>
              <w:t>և</w:t>
            </w:r>
            <w:r w:rsidRPr="0053423A">
              <w:rPr>
                <w:rFonts w:eastAsia="Calibri" w:cs="Times New Roman"/>
                <w:bCs/>
                <w:sz w:val="20"/>
                <w:szCs w:val="20"/>
                <w:lang w:val="af-ZA"/>
              </w:rPr>
              <w:t xml:space="preserve"> </w:t>
            </w:r>
            <w:r w:rsidRPr="0053423A">
              <w:rPr>
                <w:rFonts w:eastAsia="Calibri" w:cs="Times New Roman"/>
                <w:bCs/>
                <w:sz w:val="20"/>
                <w:szCs w:val="20"/>
              </w:rPr>
              <w:t>ժողովրդագրությունը</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բաժնի</w:t>
            </w:r>
            <w:r w:rsidRPr="0053423A">
              <w:rPr>
                <w:rFonts w:eastAsia="Times New Roman" w:cs="Times New Roman"/>
                <w:sz w:val="20"/>
                <w:szCs w:val="20"/>
                <w:lang w:val="hy-AM" w:eastAsia="ru-RU"/>
              </w:rPr>
              <w:t xml:space="preserve"> </w:t>
            </w:r>
            <w:r w:rsidRPr="0053423A">
              <w:rPr>
                <w:rFonts w:eastAsia="Times New Roman" w:cs="Sylfaen"/>
                <w:sz w:val="20"/>
                <w:szCs w:val="20"/>
                <w:lang w:val="hy-AM" w:eastAsia="ru-RU"/>
              </w:rPr>
              <w:t>պահանջներից:</w:t>
            </w:r>
          </w:p>
          <w:p w:rsidR="00514E01" w:rsidRPr="0053423A" w:rsidRDefault="00514E01" w:rsidP="00A67858">
            <w:pPr>
              <w:spacing w:line="276" w:lineRule="auto"/>
              <w:jc w:val="both"/>
              <w:rPr>
                <w:rFonts w:eastAsia="GHEAMariam" w:cs="GHEAMariam"/>
                <w:b/>
                <w:bCs/>
                <w:sz w:val="20"/>
                <w:szCs w:val="20"/>
                <w:lang w:val="af-ZA" w:eastAsia="ru-RU"/>
              </w:rPr>
            </w:pPr>
            <w:r w:rsidRPr="0053423A">
              <w:rPr>
                <w:rFonts w:eastAsia="GHEAMariam" w:cs="GHEAMariam"/>
                <w:b/>
                <w:bCs/>
                <w:sz w:val="20"/>
                <w:szCs w:val="20"/>
                <w:lang w:val="af-ZA" w:eastAsia="ru-RU"/>
              </w:rPr>
              <w:t>1.1.</w:t>
            </w:r>
            <w:r w:rsidRPr="0053423A">
              <w:rPr>
                <w:rFonts w:eastAsia="GHEAMariam" w:cs="GHEAMariam"/>
                <w:b/>
                <w:bCs/>
                <w:sz w:val="20"/>
                <w:szCs w:val="20"/>
                <w:lang w:val="af-ZA" w:eastAsia="ru-RU"/>
              </w:rPr>
              <w:tab/>
              <w:t xml:space="preserve">Կարգավորման հարաբերությունների ներկա իրավիճակը և առկա խնդիրները </w:t>
            </w:r>
          </w:p>
          <w:p w:rsidR="00514E01" w:rsidRPr="0053423A" w:rsidRDefault="00514E01" w:rsidP="00A67858">
            <w:pPr>
              <w:tabs>
                <w:tab w:val="left" w:pos="1440"/>
              </w:tabs>
              <w:spacing w:line="276" w:lineRule="auto"/>
              <w:jc w:val="both"/>
              <w:rPr>
                <w:rFonts w:eastAsia="Calibri" w:cs="Sylfaen"/>
                <w:sz w:val="20"/>
                <w:szCs w:val="20"/>
                <w:lang w:val="hy-AM" w:eastAsia="ru-RU"/>
              </w:rPr>
            </w:pPr>
            <w:r w:rsidRPr="0053423A">
              <w:rPr>
                <w:rFonts w:eastAsia="Calibri" w:cs="Sylfaen"/>
                <w:sz w:val="20"/>
                <w:szCs w:val="20"/>
                <w:lang w:val="hy-AM" w:eastAsia="ru-RU"/>
              </w:rPr>
              <w:t>Զբաղվածության պետական քաղաքականության բարեփոխումների, այդ թվում` իրավակիրառական պրակտիկայի ընթացքում վեր հանված խնդիրների լուծմանն ուղղված առաջարկությունների մշակում, ինչպես նաև զբաղվածության պետական նոր ծրագրերի ներդրում` նպատակաուղղված շահառուների շրջանակների ընդլայնմանը և  հասցեականության բարձրացմանը:</w:t>
            </w:r>
          </w:p>
          <w:p w:rsidR="00514E01" w:rsidRPr="0053423A" w:rsidRDefault="00514E01" w:rsidP="00A67858">
            <w:pPr>
              <w:tabs>
                <w:tab w:val="left" w:pos="900"/>
              </w:tabs>
              <w:spacing w:line="276" w:lineRule="auto"/>
              <w:jc w:val="both"/>
              <w:rPr>
                <w:rFonts w:eastAsia="GHEAMariam" w:cs="GHEAMariam"/>
                <w:b/>
                <w:bCs/>
                <w:sz w:val="20"/>
                <w:szCs w:val="20"/>
                <w:lang w:val="af-ZA" w:eastAsia="ru-RU"/>
              </w:rPr>
            </w:pPr>
            <w:r w:rsidRPr="0053423A">
              <w:rPr>
                <w:rFonts w:eastAsia="GHEAMariam" w:cs="GHEAMariam"/>
                <w:b/>
                <w:bCs/>
                <w:sz w:val="20"/>
                <w:szCs w:val="20"/>
                <w:lang w:val="af-ZA" w:eastAsia="ru-RU"/>
              </w:rPr>
              <w:t>1.2.</w:t>
            </w:r>
            <w:r w:rsidRPr="0053423A">
              <w:rPr>
                <w:rFonts w:eastAsia="GHEAMariam" w:cs="GHEAMariam"/>
                <w:b/>
                <w:bCs/>
                <w:sz w:val="20"/>
                <w:szCs w:val="20"/>
                <w:lang w:val="af-ZA" w:eastAsia="ru-RU"/>
              </w:rPr>
              <w:tab/>
              <w:t>Առկա խնդիրների առաջարկվող լուծումները</w:t>
            </w:r>
          </w:p>
          <w:p w:rsidR="00514E01" w:rsidRPr="0053423A" w:rsidRDefault="00514E01" w:rsidP="00A67858">
            <w:pPr>
              <w:spacing w:line="276" w:lineRule="auto"/>
              <w:jc w:val="both"/>
              <w:rPr>
                <w:rFonts w:eastAsia="GHEAMariam" w:cs="GHEAMariam"/>
                <w:bCs/>
                <w:sz w:val="20"/>
                <w:szCs w:val="20"/>
                <w:lang w:val="hy-AM" w:eastAsia="ru-RU"/>
              </w:rPr>
            </w:pPr>
            <w:r w:rsidRPr="0053423A">
              <w:rPr>
                <w:rFonts w:eastAsia="GHEAMariam" w:cs="GHEAMariam"/>
                <w:sz w:val="20"/>
                <w:szCs w:val="20"/>
                <w:lang w:val="hy-AM" w:eastAsia="ru-RU"/>
              </w:rPr>
              <w:t>Նախագծով առաջարկվում է սահմանել համապատասխան դրույթներ</w:t>
            </w:r>
            <w:r w:rsidRPr="0053423A">
              <w:rPr>
                <w:rFonts w:eastAsia="Times New Roman" w:cs="GHEA Mariam"/>
                <w:sz w:val="20"/>
                <w:szCs w:val="20"/>
                <w:lang w:val="hy-AM" w:eastAsia="ru-RU"/>
              </w:rPr>
              <w:t>,</w:t>
            </w:r>
            <w:r w:rsidRPr="0053423A">
              <w:rPr>
                <w:rFonts w:eastAsia="GHEAMariam" w:cs="GHEAMariam"/>
                <w:bCs/>
                <w:sz w:val="20"/>
                <w:szCs w:val="20"/>
                <w:lang w:val="af-ZA" w:eastAsia="ru-RU"/>
              </w:rPr>
              <w:t xml:space="preserve"> որոնցով կ</w:t>
            </w:r>
            <w:r w:rsidRPr="0053423A">
              <w:rPr>
                <w:rFonts w:eastAsia="GHEAMariam" w:cs="GHEAMariam"/>
                <w:bCs/>
                <w:sz w:val="20"/>
                <w:szCs w:val="20"/>
                <w:lang w:val="hy-AM" w:eastAsia="ru-RU"/>
              </w:rPr>
              <w:t>լրամշակ</w:t>
            </w:r>
            <w:r w:rsidRPr="0053423A">
              <w:rPr>
                <w:rFonts w:eastAsia="GHEAMariam" w:cs="GHEAMariam"/>
                <w:bCs/>
                <w:sz w:val="20"/>
                <w:szCs w:val="20"/>
                <w:lang w:val="af-ZA" w:eastAsia="ru-RU"/>
              </w:rPr>
              <w:t xml:space="preserve">վեն արդեն իսկ իրավական կարգավորում ունեցող </w:t>
            </w:r>
            <w:r w:rsidRPr="0053423A">
              <w:rPr>
                <w:rFonts w:eastAsia="GHEAMariam" w:cs="GHEAMariam"/>
                <w:bCs/>
                <w:sz w:val="20"/>
                <w:szCs w:val="20"/>
                <w:lang w:val="hy-AM" w:eastAsia="ru-RU"/>
              </w:rPr>
              <w:t xml:space="preserve">զբաղվածության պետական ծրագրերի իրականացման </w:t>
            </w:r>
            <w:r w:rsidRPr="0053423A">
              <w:rPr>
                <w:rFonts w:eastAsia="GHEAMariam" w:cs="GHEAMariam"/>
                <w:bCs/>
                <w:sz w:val="20"/>
                <w:szCs w:val="20"/>
                <w:lang w:val="af-ZA" w:eastAsia="ru-RU"/>
              </w:rPr>
              <w:t>մեխանիզմներն ու գործիքները, որոնց գործադրումը բխում է պետական քաղաքականության սոցիալական հիմնական նպատակից և սկզբունքներից</w:t>
            </w:r>
            <w:r w:rsidRPr="0053423A">
              <w:rPr>
                <w:rFonts w:eastAsia="GHEAMariam" w:cs="GHEAMariam"/>
                <w:bCs/>
                <w:sz w:val="20"/>
                <w:szCs w:val="20"/>
                <w:lang w:val="hy-AM" w:eastAsia="ru-RU"/>
              </w:rPr>
              <w:t>: Ը</w:t>
            </w:r>
            <w:r w:rsidRPr="0053423A">
              <w:rPr>
                <w:rFonts w:eastAsia="GHEAMariam" w:cs="GHEAMariam"/>
                <w:bCs/>
                <w:sz w:val="20"/>
                <w:szCs w:val="20"/>
                <w:lang w:val="af-ZA" w:eastAsia="ru-RU"/>
              </w:rPr>
              <w:t>ստ նախապես սահմանված առաջնահերթությունների և առկա օբյեկտիվ հնարավորությունների</w:t>
            </w:r>
            <w:r w:rsidRPr="0053423A">
              <w:rPr>
                <w:rFonts w:eastAsia="GHEAMariam" w:cs="GHEAMariam"/>
                <w:bCs/>
                <w:sz w:val="20"/>
                <w:szCs w:val="20"/>
                <w:lang w:val="hy-AM" w:eastAsia="ru-RU"/>
              </w:rPr>
              <w:t>,</w:t>
            </w:r>
            <w:r w:rsidRPr="0053423A">
              <w:rPr>
                <w:rFonts w:eastAsia="GHEAMariam" w:cs="GHEAMariam"/>
                <w:bCs/>
                <w:sz w:val="20"/>
                <w:szCs w:val="20"/>
                <w:lang w:val="af-ZA" w:eastAsia="ru-RU"/>
              </w:rPr>
              <w:t xml:space="preserve"> </w:t>
            </w:r>
            <w:r w:rsidRPr="0053423A">
              <w:rPr>
                <w:rFonts w:eastAsia="GHEAMariam" w:cs="GHEAMariam"/>
                <w:bCs/>
                <w:sz w:val="20"/>
                <w:szCs w:val="20"/>
                <w:lang w:val="hy-AM" w:eastAsia="ru-RU"/>
              </w:rPr>
              <w:t>կմշակվեն և կներդրվեն նոր ծրագրեր` նպատակաուղղված ՀՀ-ում առկա թափուր աշխատատեղերը գործազուրկ անձանցով համալրելուն:</w:t>
            </w:r>
          </w:p>
          <w:p w:rsidR="00514E01" w:rsidRPr="0053423A" w:rsidRDefault="00514E01" w:rsidP="00A67858">
            <w:pPr>
              <w:spacing w:line="276" w:lineRule="auto"/>
              <w:jc w:val="both"/>
              <w:rPr>
                <w:rFonts w:eastAsia="GHEAMariam" w:cs="GHEAMariam"/>
                <w:b/>
                <w:bCs/>
                <w:sz w:val="20"/>
                <w:szCs w:val="20"/>
                <w:lang w:val="hy-AM" w:eastAsia="ru-RU"/>
              </w:rPr>
            </w:pPr>
            <w:r w:rsidRPr="0053423A">
              <w:rPr>
                <w:rFonts w:eastAsia="GHEAMariam" w:cs="GHEAMariam"/>
                <w:b/>
                <w:bCs/>
                <w:sz w:val="20"/>
                <w:szCs w:val="20"/>
                <w:lang w:val="hy-AM" w:eastAsia="ru-RU"/>
              </w:rPr>
              <w:t>2.</w:t>
            </w:r>
            <w:r w:rsidRPr="0053423A">
              <w:rPr>
                <w:rFonts w:eastAsia="GHEAMariam" w:cs="GHEAMariam"/>
                <w:b/>
                <w:bCs/>
                <w:sz w:val="20"/>
                <w:szCs w:val="20"/>
                <w:lang w:val="hy-AM" w:eastAsia="ru-RU"/>
              </w:rPr>
              <w:tab/>
              <w:t>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GHEAMariam" w:cs="GHEAMariam"/>
                <w:bCs/>
                <w:sz w:val="20"/>
                <w:szCs w:val="20"/>
                <w:lang w:val="hy-AM" w:eastAsia="ru-RU"/>
              </w:rPr>
              <w:t>Նախագծով ակնկալվում է</w:t>
            </w:r>
            <w:r w:rsidRPr="0053423A">
              <w:rPr>
                <w:rFonts w:eastAsia="GHEAMariam" w:cs="GHEAMariam"/>
                <w:bCs/>
                <w:sz w:val="20"/>
                <w:szCs w:val="20"/>
                <w:lang w:val="af-ZA" w:eastAsia="ru-RU"/>
              </w:rPr>
              <w:t xml:space="preserve"> </w:t>
            </w:r>
            <w:r w:rsidRPr="0053423A">
              <w:rPr>
                <w:rFonts w:eastAsia="Calibri" w:cs="Times New Roman"/>
                <w:sz w:val="20"/>
                <w:szCs w:val="20"/>
                <w:lang w:val="hy-AM"/>
              </w:rPr>
              <w:t>զբաղվածության կարգավորման պետական ծրագրերի հասցեականության բարձրացում, նոր ծրագրերի ներդրում` նպատակաուղղված աշխատաշուկայում երիտասարդների, հաշմանդամություն ունեցող անձանց, կանանց մրցունակության բարձրացմանը, «կրթություն-աշխատաշուկա» փոխառնչությունների խթանմանը, առկա թափուր աշխատատեղերի համալրմանը, հետևաբար` գործազրկության մակարդակի նվազմանը:</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Calibri" w:cs="Arial"/>
                <w:b/>
                <w:sz w:val="20"/>
                <w:szCs w:val="20"/>
                <w:u w:val="single"/>
                <w:lang w:val="hy-AM"/>
              </w:rPr>
            </w:pPr>
            <w:r w:rsidRPr="0053423A">
              <w:rPr>
                <w:rFonts w:eastAsia="Calibri" w:cs="Arial"/>
                <w:b/>
                <w:sz w:val="20"/>
                <w:szCs w:val="20"/>
                <w:u w:val="single"/>
                <w:lang w:val="hy-AM"/>
              </w:rPr>
              <w:t>6.3. Զբաղվածության էլեկտրոնային հարթակի ներդրում</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1. Միջոցառման իրականացման անհրաժեշտությունը և նպատակը</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sz w:val="20"/>
                <w:szCs w:val="20"/>
                <w:lang w:val="hy-AM"/>
              </w:rPr>
              <w:t xml:space="preserve">Զբաղվածության էլեկտրոնային հարթակի մշակման նպատակն է ապահովել </w:t>
            </w:r>
            <w:r w:rsidRPr="0053423A">
              <w:rPr>
                <w:rFonts w:eastAsia="Calibri" w:cs="Sylfaen"/>
                <w:sz w:val="20"/>
                <w:szCs w:val="20"/>
                <w:lang w:val="hy-AM"/>
              </w:rPr>
              <w:t>աշխատանք</w:t>
            </w:r>
            <w:r w:rsidRPr="0053423A">
              <w:rPr>
                <w:rFonts w:eastAsia="Calibri" w:cs="Times New Roman"/>
                <w:sz w:val="20"/>
                <w:szCs w:val="20"/>
                <w:lang w:val="hy-AM"/>
              </w:rPr>
              <w:t xml:space="preserve"> </w:t>
            </w:r>
            <w:r w:rsidRPr="0053423A">
              <w:rPr>
                <w:rFonts w:eastAsia="Calibri" w:cs="Sylfaen"/>
                <w:sz w:val="20"/>
                <w:szCs w:val="20"/>
                <w:lang w:val="hy-AM"/>
              </w:rPr>
              <w:t>փնտրողների</w:t>
            </w:r>
            <w:r w:rsidRPr="0053423A">
              <w:rPr>
                <w:rFonts w:eastAsia="Calibri" w:cs="Times New Roman"/>
                <w:sz w:val="20"/>
                <w:szCs w:val="20"/>
                <w:lang w:val="hy-AM"/>
              </w:rPr>
              <w:t xml:space="preserve"> և </w:t>
            </w:r>
            <w:r w:rsidRPr="0053423A">
              <w:rPr>
                <w:rFonts w:eastAsia="Calibri" w:cs="Sylfaen"/>
                <w:sz w:val="20"/>
                <w:szCs w:val="20"/>
                <w:lang w:val="hy-AM"/>
              </w:rPr>
              <w:t>գործատուների համար</w:t>
            </w:r>
            <w:r w:rsidRPr="0053423A">
              <w:rPr>
                <w:rFonts w:eastAsia="Calibri" w:cs="Times New Roman"/>
                <w:sz w:val="20"/>
                <w:szCs w:val="20"/>
                <w:lang w:val="hy-AM"/>
              </w:rPr>
              <w:t xml:space="preserve"> </w:t>
            </w:r>
            <w:r w:rsidRPr="0053423A">
              <w:rPr>
                <w:rFonts w:eastAsia="Calibri" w:cs="Sylfaen"/>
                <w:sz w:val="20"/>
                <w:szCs w:val="20"/>
                <w:lang w:val="hy-AM"/>
              </w:rPr>
              <w:t>առցանց միասնական հարթակ, որը այլընտրանքային հնարավորություն է՝ ուղղված աշխատաշուկայի առաջարկի և պահանջարկի հավասարակշռմանը:</w:t>
            </w:r>
          </w:p>
          <w:p w:rsidR="00514E01" w:rsidRPr="0053423A" w:rsidRDefault="00514E01" w:rsidP="00A67858">
            <w:pPr>
              <w:spacing w:line="276" w:lineRule="auto"/>
              <w:jc w:val="both"/>
              <w:rPr>
                <w:rFonts w:eastAsia="GHEAMariam" w:cs="GHEAMariam"/>
                <w:b/>
                <w:bCs/>
                <w:sz w:val="20"/>
                <w:szCs w:val="20"/>
                <w:lang w:val="af-ZA" w:eastAsia="ru-RU"/>
              </w:rPr>
            </w:pPr>
            <w:r w:rsidRPr="0053423A">
              <w:rPr>
                <w:rFonts w:eastAsia="GHEAMariam" w:cs="GHEAMariam"/>
                <w:b/>
                <w:bCs/>
                <w:sz w:val="20"/>
                <w:szCs w:val="20"/>
                <w:lang w:val="af-ZA" w:eastAsia="ru-RU"/>
              </w:rPr>
              <w:t>1.1.</w:t>
            </w:r>
            <w:r w:rsidRPr="0053423A">
              <w:rPr>
                <w:rFonts w:eastAsia="GHEAMariam" w:cs="GHEAMariam"/>
                <w:b/>
                <w:bCs/>
                <w:sz w:val="20"/>
                <w:szCs w:val="20"/>
                <w:lang w:val="af-ZA" w:eastAsia="ru-RU"/>
              </w:rPr>
              <w:tab/>
              <w:t xml:space="preserve">Կարգավորման հարաբերությունների ներկա իրավիճակը և առկա խնդիրները </w:t>
            </w:r>
          </w:p>
          <w:p w:rsidR="00514E01" w:rsidRPr="0053423A" w:rsidRDefault="00514E01" w:rsidP="00A67858">
            <w:pPr>
              <w:spacing w:line="276" w:lineRule="auto"/>
              <w:jc w:val="both"/>
              <w:rPr>
                <w:rFonts w:eastAsia="Calibri" w:cs="Sylfaen"/>
                <w:sz w:val="20"/>
                <w:szCs w:val="20"/>
                <w:lang w:val="hy-AM"/>
              </w:rPr>
            </w:pPr>
            <w:r w:rsidRPr="0053423A">
              <w:rPr>
                <w:rFonts w:eastAsia="Calibri" w:cs="Times New Roman"/>
                <w:sz w:val="20"/>
                <w:szCs w:val="20"/>
                <w:lang w:val="hy-AM"/>
              </w:rPr>
              <w:t xml:space="preserve">Ներկայումս աշխատաշուկայում </w:t>
            </w:r>
            <w:r w:rsidRPr="0053423A">
              <w:rPr>
                <w:rFonts w:eastAsia="Calibri" w:cs="Sylfaen"/>
                <w:sz w:val="20"/>
                <w:szCs w:val="20"/>
                <w:lang w:val="hy-AM"/>
              </w:rPr>
              <w:t>աշխատանք</w:t>
            </w:r>
            <w:r w:rsidRPr="0053423A">
              <w:rPr>
                <w:rFonts w:eastAsia="Calibri" w:cs="Times New Roman"/>
                <w:sz w:val="20"/>
                <w:szCs w:val="20"/>
                <w:lang w:val="hy-AM"/>
              </w:rPr>
              <w:t xml:space="preserve"> </w:t>
            </w:r>
            <w:r w:rsidRPr="0053423A">
              <w:rPr>
                <w:rFonts w:eastAsia="Calibri" w:cs="Sylfaen"/>
                <w:sz w:val="20"/>
                <w:szCs w:val="20"/>
                <w:lang w:val="hy-AM"/>
              </w:rPr>
              <w:t xml:space="preserve">փնտրողների համար </w:t>
            </w:r>
            <w:r w:rsidRPr="0053423A">
              <w:rPr>
                <w:rFonts w:eastAsia="Calibri" w:cs="Times New Roman"/>
                <w:sz w:val="20"/>
                <w:szCs w:val="20"/>
                <w:lang w:val="hy-AM"/>
              </w:rPr>
              <w:t xml:space="preserve">առաջնային խնդիր է </w:t>
            </w:r>
            <w:r w:rsidRPr="0053423A">
              <w:rPr>
                <w:rFonts w:eastAsia="Calibri" w:cs="Sylfaen"/>
                <w:sz w:val="20"/>
                <w:szCs w:val="20"/>
                <w:lang w:val="hy-AM"/>
              </w:rPr>
              <w:t xml:space="preserve">իրենց </w:t>
            </w:r>
            <w:r w:rsidRPr="0053423A">
              <w:rPr>
                <w:rFonts w:eastAsia="Calibri" w:cs="Times New Roman"/>
                <w:sz w:val="20"/>
                <w:szCs w:val="20"/>
                <w:lang w:val="hy-AM"/>
              </w:rPr>
              <w:t xml:space="preserve">հմտություններին և կարողություններին համապատասխան արժանապատիվ աշխատանք գտնելը, իսկ գործատուների համար՝ իրենց կողմից ներկայացվող թափուր աշխատատեղերի արագ համալրումը համապատասխան գիտելիքներ և հմտություններ ունեցող մասնագետներով, </w:t>
            </w:r>
            <w:r w:rsidRPr="0053423A">
              <w:rPr>
                <w:rFonts w:eastAsia="Calibri" w:cs="Sylfaen"/>
                <w:sz w:val="20"/>
                <w:szCs w:val="20"/>
                <w:lang w:val="hy-AM"/>
              </w:rPr>
              <w:t>որն այսօր հնարավոր է ապահովել տեղեկատվական տեխնոլոգիական լուծումների ներդրմամբ:</w:t>
            </w:r>
          </w:p>
          <w:p w:rsidR="00514E01" w:rsidRPr="0053423A" w:rsidRDefault="00514E01" w:rsidP="00A67858">
            <w:pPr>
              <w:tabs>
                <w:tab w:val="left" w:pos="630"/>
                <w:tab w:val="left" w:pos="900"/>
              </w:tabs>
              <w:spacing w:line="276" w:lineRule="auto"/>
              <w:jc w:val="both"/>
              <w:rPr>
                <w:rFonts w:eastAsia="GHEAMariam" w:cs="GHEAMariam"/>
                <w:b/>
                <w:bCs/>
                <w:sz w:val="20"/>
                <w:szCs w:val="20"/>
                <w:lang w:val="af-ZA" w:eastAsia="ru-RU"/>
              </w:rPr>
            </w:pPr>
            <w:r w:rsidRPr="0053423A">
              <w:rPr>
                <w:rFonts w:eastAsia="GHEAMariam" w:cs="GHEAMariam"/>
                <w:b/>
                <w:bCs/>
                <w:sz w:val="20"/>
                <w:szCs w:val="20"/>
                <w:lang w:val="af-ZA" w:eastAsia="ru-RU"/>
              </w:rPr>
              <w:t>1.2.</w:t>
            </w:r>
            <w:r w:rsidRPr="0053423A">
              <w:rPr>
                <w:rFonts w:eastAsia="GHEAMariam" w:cs="GHEAMariam"/>
                <w:b/>
                <w:bCs/>
                <w:sz w:val="20"/>
                <w:szCs w:val="20"/>
                <w:lang w:val="af-ZA" w:eastAsia="ru-RU"/>
              </w:rPr>
              <w:tab/>
              <w:t>Առկա խնդիրների առաջարկվող լուծումները</w:t>
            </w:r>
          </w:p>
          <w:p w:rsidR="00514E01" w:rsidRPr="0053423A" w:rsidRDefault="00514E01" w:rsidP="00A67858">
            <w:pPr>
              <w:spacing w:line="276" w:lineRule="auto"/>
              <w:jc w:val="both"/>
              <w:rPr>
                <w:rFonts w:eastAsia="Calibri" w:cs="Arial"/>
                <w:sz w:val="20"/>
                <w:szCs w:val="20"/>
                <w:lang w:val="hy-AM"/>
              </w:rPr>
            </w:pPr>
            <w:r w:rsidRPr="0053423A">
              <w:rPr>
                <w:rFonts w:eastAsia="Calibri" w:cs="Sylfaen"/>
                <w:sz w:val="20"/>
                <w:szCs w:val="20"/>
                <w:lang w:val="hy-AM"/>
              </w:rPr>
              <w:t>Զբաղվածության ծառայությունների մատուցման արդյունավետության տեսանկյունից կարևոր դեր կարող են խաղալ ժամանակակից տեխնոլոգիական լուծումները, որոնք հնարավորություն կտան առցանց եղանակով ծանոթանալու աշխատաշուկայի հիմնական միտումներին, առանց ժամանակ ծախսելու և բյուրոկրատական քաշքշուքների փնտրելու աշխատանք կամ աշխատողի, ինքնաշխատ եղանակով կազմելու ինքնակենսագրական, ծանոթանալու զբաղվածության ոլորտում առաջարկվող ծրագրերին, անցնելու առցանց դասընթացներ և այլն: Ինտերնետի լայն հասանելիությունը և խելացի հեռախոսների տարածվածությունը անհրաժեշտ է օգտագործել զբաղվածության խթանման նպատակով: Հաշվի առնելով այն հանգամանքը, որ զբաղվածության ծառայությունների ներկայիս մատուցման ձևը</w:t>
            </w:r>
            <w:r w:rsidRPr="0053423A">
              <w:rPr>
                <w:rFonts w:eastAsia="Calibri" w:cs="Sylfaen"/>
                <w:sz w:val="20"/>
                <w:szCs w:val="20"/>
                <w:lang w:val="af-ZA"/>
              </w:rPr>
              <w:t xml:space="preserve"> </w:t>
            </w:r>
            <w:r w:rsidRPr="0053423A">
              <w:rPr>
                <w:rFonts w:eastAsia="Calibri" w:cs="Sylfaen"/>
                <w:sz w:val="20"/>
                <w:szCs w:val="20"/>
                <w:lang w:val="hy-AM"/>
              </w:rPr>
              <w:t xml:space="preserve">երբեմն գրավիչ չէ աշխատանք փնտրողների համար մի շարք պատճառներով, առաջարկվող նոր լուծումները թույլ կտան ներգրավելու առավել մեծ թվով մարդկանց: Ուստի առաջարկվում է ստեղծել նոր առցանց հարթակ, </w:t>
            </w:r>
            <w:r w:rsidRPr="0053423A">
              <w:rPr>
                <w:rFonts w:eastAsia="Calibri" w:cs="Arial"/>
                <w:sz w:val="20"/>
                <w:szCs w:val="20"/>
                <w:lang w:val="hy-AM"/>
              </w:rPr>
              <w:t>որը հնարավորություն կտա մեքենայական ուսուցման և այլ ժամանակակից տեխնոլոգիաների միջոցով ապահովել աշխատանք փնտրող-գործատու կապը և հստակ թիրախավորել առաջարկվող զբաղվածության ծրագրերը:</w:t>
            </w:r>
          </w:p>
          <w:p w:rsidR="00514E01" w:rsidRPr="0053423A" w:rsidRDefault="00514E01" w:rsidP="00A67858">
            <w:pPr>
              <w:tabs>
                <w:tab w:val="left" w:pos="1080"/>
              </w:tabs>
              <w:spacing w:line="276" w:lineRule="auto"/>
              <w:rPr>
                <w:rFonts w:eastAsia="Times New Roman" w:cs="Tahoma"/>
                <w:b/>
                <w:spacing w:val="-4"/>
                <w:sz w:val="20"/>
                <w:szCs w:val="20"/>
                <w:lang w:val="hy-AM" w:eastAsia="ru-RU"/>
              </w:rPr>
            </w:pPr>
            <w:r w:rsidRPr="0053423A">
              <w:rPr>
                <w:rFonts w:eastAsia="Times New Roman" w:cs="Tahoma"/>
                <w:b/>
                <w:spacing w:val="-4"/>
                <w:sz w:val="20"/>
                <w:szCs w:val="20"/>
                <w:lang w:val="hy-AM" w:eastAsia="ru-RU"/>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Times New Roman" w:cs="Times New Roman"/>
                <w:bCs/>
                <w:noProof/>
                <w:sz w:val="20"/>
                <w:szCs w:val="20"/>
                <w:lang w:val="hy-AM"/>
              </w:rPr>
              <w:t xml:space="preserve">Զբաղվածության էլեկտրոնային </w:t>
            </w:r>
            <w:r w:rsidRPr="0053423A">
              <w:rPr>
                <w:rFonts w:eastAsia="Calibri" w:cs="Times New Roman"/>
                <w:sz w:val="20"/>
                <w:szCs w:val="20"/>
                <w:lang w:val="hy-AM"/>
              </w:rPr>
              <w:t>հարթակի</w:t>
            </w:r>
            <w:r w:rsidRPr="0053423A">
              <w:rPr>
                <w:rFonts w:eastAsia="Times New Roman" w:cs="Times New Roman"/>
                <w:bCs/>
                <w:noProof/>
                <w:sz w:val="20"/>
                <w:szCs w:val="20"/>
                <w:lang w:val="hy-AM"/>
              </w:rPr>
              <w:t xml:space="preserve"> ներդրմամբ կբարելավվի զբաղվածության ոլորտում մատուցվող էլեկտրոնային ծառայությունների որակը, հասարակության լայն շերտերի իրազեկվածության մակարդակը, կբարձրանա ծրագրերի հասցեականությունը, ինչպես նաև առցանց տիրույթում գործատու-աշխատանք փնտրող համագործակցությունը:</w:t>
            </w:r>
          </w:p>
        </w:tc>
      </w:tr>
      <w:tr w:rsidR="00514E01" w:rsidRPr="00DE2EFA" w:rsidTr="00BC61ED">
        <w:tc>
          <w:tcPr>
            <w:tcW w:w="630" w:type="dxa"/>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7</w:t>
            </w:r>
          </w:p>
        </w:tc>
        <w:tc>
          <w:tcPr>
            <w:tcW w:w="10890" w:type="dxa"/>
          </w:tcPr>
          <w:p w:rsidR="00514E01" w:rsidRPr="0053423A" w:rsidRDefault="00514E01" w:rsidP="00A67858">
            <w:pPr>
              <w:spacing w:line="276" w:lineRule="auto"/>
              <w:jc w:val="both"/>
              <w:rPr>
                <w:rFonts w:eastAsia="Calibri" w:cs="Times New Roman"/>
                <w:b/>
                <w:sz w:val="20"/>
                <w:szCs w:val="20"/>
                <w:u w:val="single"/>
                <w:lang w:val="hy-AM"/>
              </w:rPr>
            </w:pPr>
            <w:r w:rsidRPr="0053423A">
              <w:rPr>
                <w:rFonts w:eastAsia="Calibri" w:cs="Times New Roman"/>
                <w:b/>
                <w:sz w:val="20"/>
                <w:szCs w:val="20"/>
                <w:u w:val="single"/>
                <w:lang w:val="hy-AM"/>
              </w:rPr>
              <w:t>7.1 «Հաշմանդամություն ունեցող անձանց իրավունքների մասին» Հայաստանի Հանրապետու</w:t>
            </w:r>
            <w:r w:rsidRPr="0053423A">
              <w:rPr>
                <w:rFonts w:eastAsia="Calibri" w:cs="Times New Roman"/>
                <w:b/>
                <w:sz w:val="20"/>
                <w:szCs w:val="20"/>
                <w:u w:val="single"/>
                <w:lang w:val="hy-AM"/>
              </w:rPr>
              <w:softHyphen/>
              <w:t>թյան օրենքի նախագծին հավանություն տալու մասին» ՀՀ կառավարության որոշման նախագծի մշակում և  Վարչապետի աշխատակազմ ներկայացում</w:t>
            </w:r>
          </w:p>
          <w:p w:rsidR="00514E01" w:rsidRPr="0053423A" w:rsidRDefault="00514E01" w:rsidP="001F6D5D">
            <w:pPr>
              <w:numPr>
                <w:ilvl w:val="0"/>
                <w:numId w:val="190"/>
              </w:numPr>
              <w:spacing w:line="276" w:lineRule="auto"/>
              <w:contextualSpacing/>
              <w:jc w:val="both"/>
              <w:rPr>
                <w:rFonts w:eastAsia="Times New Roman" w:cs="Times New Roman"/>
                <w:b/>
                <w:sz w:val="20"/>
                <w:szCs w:val="20"/>
                <w:lang w:val="hy-AM"/>
              </w:rPr>
            </w:pPr>
            <w:r w:rsidRPr="0053423A">
              <w:rPr>
                <w:rFonts w:eastAsia="Times New Roman" w:cs="Times New Roman"/>
                <w:b/>
                <w:sz w:val="20"/>
                <w:szCs w:val="20"/>
                <w:lang w:val="hy-AM"/>
              </w:rPr>
              <w:t xml:space="preserve">Միջոցառման իրակացման անհրաժեշտությունը և նպատակը </w:t>
            </w:r>
          </w:p>
          <w:p w:rsidR="00514E01" w:rsidRPr="0053423A" w:rsidRDefault="00514E01" w:rsidP="00A67858">
            <w:pPr>
              <w:autoSpaceDE w:val="0"/>
              <w:autoSpaceDN w:val="0"/>
              <w:adjustRightInd w:val="0"/>
              <w:spacing w:line="276" w:lineRule="auto"/>
              <w:jc w:val="both"/>
              <w:rPr>
                <w:rFonts w:eastAsia="Times New Roman" w:cs="Sylfaen"/>
                <w:bCs/>
                <w:sz w:val="20"/>
                <w:szCs w:val="20"/>
                <w:lang w:val="hy-AM"/>
              </w:rPr>
            </w:pPr>
            <w:r w:rsidRPr="0053423A">
              <w:rPr>
                <w:rFonts w:eastAsia="Times New Roman" w:cs="Sylfaen"/>
                <w:bCs/>
                <w:sz w:val="20"/>
                <w:szCs w:val="20"/>
                <w:lang w:val="hy-AM"/>
              </w:rPr>
              <w:t>ՄԱԿ-ի Գլխավոր Ասամբլեայի կողմից 2006թ. դեկտեմբերի 13-ին ընդունվել է  «Հաշմանդամություն ունեցող անձանց իրավունքների մասին»  կոնվենցիան,  որը վավերացվել է Հայաստանի Հանրապետության ԱԺ կողմից և ուժի մեջ   մտել  2010 թվականի հոկտեմբերի 22-ից:</w:t>
            </w:r>
          </w:p>
          <w:p w:rsidR="00514E01" w:rsidRPr="0053423A" w:rsidRDefault="00514E01" w:rsidP="00A67858">
            <w:pPr>
              <w:autoSpaceDE w:val="0"/>
              <w:autoSpaceDN w:val="0"/>
              <w:adjustRightInd w:val="0"/>
              <w:spacing w:line="276" w:lineRule="auto"/>
              <w:jc w:val="both"/>
              <w:rPr>
                <w:rFonts w:eastAsia="Times New Roman" w:cs="Sylfaen"/>
                <w:bCs/>
                <w:sz w:val="20"/>
                <w:szCs w:val="20"/>
                <w:lang w:val="hy-AM"/>
              </w:rPr>
            </w:pPr>
            <w:r w:rsidRPr="0053423A">
              <w:rPr>
                <w:rFonts w:eastAsia="Times New Roman" w:cs="Times New Roman"/>
                <w:sz w:val="20"/>
                <w:szCs w:val="20"/>
                <w:lang w:val="hy-AM"/>
              </w:rPr>
              <w:t>Վ</w:t>
            </w:r>
            <w:r w:rsidRPr="0053423A">
              <w:rPr>
                <w:rFonts w:eastAsia="Times New Roman" w:cs="ArTarumianBakhum"/>
                <w:sz w:val="20"/>
                <w:szCs w:val="20"/>
                <w:lang w:val="hy-AM"/>
              </w:rPr>
              <w:t>ավերացնելով ՄԱԿ-ի «Հաշմանդամություն ունեցող անձանց իրավունքների մասին» կոնվենցիան, կառավարությունը միջազգային պարտավորություն է ստանձնել ՀՀ օրենսդրության և պետական քաղաքականությունը  համապատասխանեցնել Կոնվենցիայի սկզբունքներին և պահանջներին:</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b/>
                <w:sz w:val="20"/>
                <w:szCs w:val="20"/>
                <w:lang w:val="hy-AM"/>
              </w:rPr>
              <w:t xml:space="preserve">1.1.կարգավորման հարաբերությունների ներկա վիճակը և առկա խնդիրները      </w:t>
            </w:r>
            <w:r w:rsidRPr="0053423A">
              <w:rPr>
                <w:rFonts w:eastAsia="Times New Roman" w:cs="Times New Roman"/>
                <w:sz w:val="20"/>
                <w:szCs w:val="20"/>
                <w:lang w:val="hy-AM"/>
              </w:rPr>
              <w:t>Հայաստանի Հանրապետությունում հաշմանդամների հիմնախնդիրների հետ կապված հարցերը կարգավորվում են «Հայաստանի Հանրապետությունում հաշմանդամների սոցիալական պաշտպանության մասին» 1993 թվականին ընդունված Հայաստանի Հանրապետության օրենքով, որով հիմնականում սահմանվում են հաշմանդամություն ունեցող անձանց սոցիալական պաշտպանության սկզբունքները և մոտեցումները: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Գործող օրենքում ամրագրված մոտեցումները չեն համապատասխանում հաշմանդամություն ունեցող անձանց սոցիալական ներառման միջազգայնորեն ընդունված սկզբունքներին և մոտեցումներին: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Հաշմանդամություն ունեցող անձանց համար  ապահովված չեն մատչելի պայմաններ, ինչը նույնպես լուրջ խոչնդոտ է հանդիսանում նրանց սոցիալական ներառման համար:</w:t>
            </w:r>
          </w:p>
          <w:p w:rsidR="00514E01" w:rsidRPr="0053423A" w:rsidRDefault="00514E01" w:rsidP="00A67858">
            <w:pPr>
              <w:spacing w:line="276" w:lineRule="auto"/>
              <w:contextualSpacing/>
              <w:jc w:val="both"/>
              <w:rPr>
                <w:rFonts w:eastAsia="Calibri" w:cs="Times New Roman"/>
                <w:b/>
                <w:bCs/>
                <w:sz w:val="20"/>
                <w:szCs w:val="20"/>
                <w:lang w:val="hy-AM"/>
              </w:rPr>
            </w:pPr>
            <w:r w:rsidRPr="0053423A">
              <w:rPr>
                <w:rFonts w:eastAsia="Times New Roman" w:cs="Times New Roman"/>
                <w:b/>
                <w:sz w:val="20"/>
                <w:szCs w:val="20"/>
                <w:lang w:val="hy-AM"/>
              </w:rPr>
              <w:t xml:space="preserve">1.2. առկա խնդիրների առաջարկվող լուծումները (միջոցառումը </w:t>
            </w:r>
            <w:r w:rsidRPr="0053423A">
              <w:rPr>
                <w:rFonts w:eastAsia="Calibri" w:cs="Times New Roman"/>
                <w:b/>
                <w:bCs/>
                <w:sz w:val="20"/>
                <w:szCs w:val="20"/>
                <w:lang w:val="hy-AM"/>
              </w:rPr>
              <w:t xml:space="preserve">համակատարող ունենալու դեպքում </w:t>
            </w:r>
            <w:r w:rsidRPr="0053423A">
              <w:rPr>
                <w:rFonts w:eastAsia="Times New Roman" w:cs="Times New Roman"/>
                <w:b/>
                <w:sz w:val="20"/>
                <w:szCs w:val="20"/>
                <w:lang w:val="hy-AM"/>
              </w:rPr>
              <w:t xml:space="preserve">նշելով նաև համակատարողի </w:t>
            </w:r>
            <w:r w:rsidRPr="0053423A">
              <w:rPr>
                <w:rFonts w:eastAsia="Calibri" w:cs="Times New Roman"/>
                <w:b/>
                <w:bCs/>
                <w:sz w:val="20"/>
                <w:szCs w:val="20"/>
                <w:lang w:val="hy-AM"/>
              </w:rPr>
              <w:t>կողմից համապատասխան միջոցառման առնչությամբ կատարման ենթակա գործողությունները)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Նախատեսվում է «Հաշմանդամություն ունեցող անձանց իրավունքների մասին» Հայաստանի Հանրապետության օրենքի նախագծի մշակում: Նախագծում հաշմանդամություն ունեցող անձանց իրավունքների պաշտպանության հիմնական սկզբունքներն ու ուղղությունները պետք է սահմանվեն Կոնվենցիայի դրույթներին և սկզբունքներին համապատասխան` ապահովելով հաշմանդամություն ունեցող անձանց՝ այլ անձանց հետ համահավասար հիմունքներով Հայաստանի Հանրապետության Սահմանադրությամբ երաշխավորված, Հայաստանի Հանրապետության վավերացրած միջազգային պայմանագրերին համապատասխան՝ քաղաքացիական, քաղաքական, տնտեսական, սոցիալական և մշակութային  իրավունքների ու ազատությունների իրականացումը, հասարակական կյանքում նրանց հավասար մասնակցությունը և արդյունավետ սոցիալական ներառումը: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Հաշվի առնելով, որ նախագծով </w:t>
            </w:r>
            <w:r w:rsidRPr="0053423A">
              <w:rPr>
                <w:rFonts w:eastAsia="Calibri" w:cs="Times New Roman"/>
                <w:sz w:val="20"/>
                <w:szCs w:val="20"/>
                <w:lang w:val="af-ZA"/>
              </w:rPr>
              <w:t>սահմանվ</w:t>
            </w:r>
            <w:r w:rsidRPr="0053423A">
              <w:rPr>
                <w:rFonts w:eastAsia="Calibri" w:cs="Times New Roman"/>
                <w:sz w:val="20"/>
                <w:szCs w:val="20"/>
                <w:lang w:val="hy-AM"/>
              </w:rPr>
              <w:t xml:space="preserve">ելու են </w:t>
            </w:r>
            <w:r w:rsidRPr="0053423A">
              <w:rPr>
                <w:rFonts w:eastAsia="Calibri" w:cs="Times New Roman"/>
                <w:sz w:val="20"/>
                <w:szCs w:val="20"/>
                <w:lang w:val="af-ZA"/>
              </w:rPr>
              <w:t xml:space="preserve">հաշմանդամություն ունեցող անձանց իրավունքների պաշտպանության և սոցիալական ներառման պետական քաղաքականության նպատակները, սկզբունքները և ուղղությունները, հաշմանդամություն ունեցող անձանց վերականգնման, իրավունքների պաշտպանության </w:t>
            </w:r>
            <w:r w:rsidRPr="0053423A">
              <w:rPr>
                <w:rFonts w:eastAsia="Calibri" w:cs="Times New Roman"/>
                <w:sz w:val="20"/>
                <w:szCs w:val="20"/>
                <w:lang w:val="hy-AM"/>
              </w:rPr>
              <w:t>և</w:t>
            </w:r>
            <w:r w:rsidRPr="0053423A">
              <w:rPr>
                <w:rFonts w:eastAsia="Calibri" w:cs="Times New Roman"/>
                <w:sz w:val="20"/>
                <w:szCs w:val="20"/>
                <w:lang w:val="af-ZA"/>
              </w:rPr>
              <w:t xml:space="preserve"> սոցիալական ներառման համար մատչելի պայմանների </w:t>
            </w:r>
            <w:r w:rsidRPr="0053423A">
              <w:rPr>
                <w:rFonts w:eastAsia="Calibri" w:cs="Times New Roman"/>
                <w:sz w:val="20"/>
                <w:szCs w:val="20"/>
                <w:lang w:val="hy-AM"/>
              </w:rPr>
              <w:t>և</w:t>
            </w:r>
            <w:r w:rsidRPr="0053423A">
              <w:rPr>
                <w:rFonts w:eastAsia="Calibri" w:cs="Times New Roman"/>
                <w:sz w:val="20"/>
                <w:szCs w:val="20"/>
                <w:lang w:val="af-ZA"/>
              </w:rPr>
              <w:t xml:space="preserve"> հավասար հնարավորությունների ապահովման հետ կապված այլ հարաբերություններ</w:t>
            </w:r>
            <w:r w:rsidRPr="0053423A">
              <w:rPr>
                <w:rFonts w:eastAsia="Calibri" w:cs="Times New Roman"/>
                <w:sz w:val="20"/>
                <w:szCs w:val="20"/>
                <w:lang w:val="hy-AM"/>
              </w:rPr>
              <w:t>ը և որ նշյալ  հարաբերությունները վերաբերում են հասարակական կյանքի տարբեր ոլորտներին, ուստի նախագծի մշակման աշխատանքներին ներգրավվելու են նաև շահագրգիռ նախարարություններ և գերատեսչություններ, հասարակական կազմակերպություններ, ինչպես նաև հաշմանդամություն ունեցող անձինք:</w:t>
            </w:r>
          </w:p>
          <w:p w:rsidR="00514E01" w:rsidRPr="0053423A" w:rsidRDefault="00514E01" w:rsidP="00A67858">
            <w:pPr>
              <w:spacing w:line="276" w:lineRule="auto"/>
              <w:jc w:val="both"/>
              <w:rPr>
                <w:rFonts w:eastAsia="Calibri" w:cs="Times New Roman"/>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Calibri" w:cs="Times New Roman"/>
                <w:sz w:val="20"/>
                <w:szCs w:val="20"/>
                <w:lang w:val="af-ZA"/>
              </w:rPr>
              <w:t>Հաշմանդամություն ունեցող անձանց իրավունքների պաշտպանության, նրանց համար հավասար հնարավորությունների և մատչելի պայմանների ապահովման իրավական պահանջների սահմանում, hասարակական կյանքի բոլոր ոլորտներում նրանց իրավունքների ապահովում` բացառելով  հաշմանդամության հիմքով խտրականությունը:</w:t>
            </w:r>
          </w:p>
        </w:tc>
      </w:tr>
      <w:tr w:rsidR="00514E01" w:rsidRPr="00DE2EFA" w:rsidTr="00BC61ED">
        <w:tc>
          <w:tcPr>
            <w:tcW w:w="630" w:type="dxa"/>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8</w:t>
            </w:r>
          </w:p>
        </w:tc>
        <w:tc>
          <w:tcPr>
            <w:tcW w:w="10890" w:type="dxa"/>
          </w:tcPr>
          <w:p w:rsidR="00514E01" w:rsidRPr="0053423A" w:rsidRDefault="00514E01" w:rsidP="00A67858">
            <w:pPr>
              <w:spacing w:line="276" w:lineRule="auto"/>
              <w:jc w:val="both"/>
              <w:rPr>
                <w:rFonts w:eastAsia="Calibri" w:cs="Times New Roman"/>
                <w:b/>
                <w:sz w:val="20"/>
                <w:szCs w:val="20"/>
                <w:u w:val="single"/>
                <w:lang w:val="hy-AM"/>
              </w:rPr>
            </w:pPr>
            <w:r w:rsidRPr="0053423A">
              <w:rPr>
                <w:rFonts w:eastAsia="Calibri" w:cs="Times New Roman"/>
                <w:b/>
                <w:sz w:val="20"/>
                <w:szCs w:val="20"/>
                <w:u w:val="single"/>
                <w:lang w:val="hy-AM"/>
              </w:rPr>
              <w:t>8.1 Հաշմանդամություն ունեցող անձի կարիքի  գնահատման նոր մոդելի ներդրում</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 xml:space="preserve">1.Միջոցառման իրականացման անհրաժեշտությունը և նպատակը </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sz w:val="20"/>
                <w:szCs w:val="20"/>
                <w:lang w:val="hy-AM"/>
              </w:rPr>
              <w:t>Հաշմանդամություն ունեցող անձանց սոցիալական ներառմանն ուղղված բարեփոխումները հիմնված են «Հաշմանդամություն ունեցող անձանց իրավունքների մասին» ՄԱԿ-ի 2006թ. Կոնվենցիայի (այսուհետ` կոնվենցիա) պահանջների վրա, որը Հայաստանի Հանրապետությունը վավերացրել է 2010 թվականին:</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b/>
                <w:sz w:val="20"/>
                <w:szCs w:val="20"/>
                <w:lang w:val="hy-AM"/>
              </w:rPr>
              <w:t>1.1 Կարգավորման</w:t>
            </w:r>
            <w:r w:rsidRPr="0053423A">
              <w:rPr>
                <w:rFonts w:eastAsia="Calibri" w:cs="Times New Roman"/>
                <w:b/>
                <w:sz w:val="20"/>
                <w:szCs w:val="20"/>
                <w:lang w:val="af-ZA"/>
              </w:rPr>
              <w:t xml:space="preserve"> </w:t>
            </w:r>
            <w:r w:rsidRPr="0053423A">
              <w:rPr>
                <w:rFonts w:eastAsia="Calibri" w:cs="Times New Roman"/>
                <w:b/>
                <w:sz w:val="20"/>
                <w:szCs w:val="20"/>
                <w:lang w:val="hy-AM"/>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lang w:val="hy-AM"/>
              </w:rPr>
              <w:t>ներկա</w:t>
            </w:r>
            <w:r w:rsidRPr="0053423A">
              <w:rPr>
                <w:rFonts w:eastAsia="Calibri" w:cs="Times New Roman"/>
                <w:b/>
                <w:sz w:val="20"/>
                <w:szCs w:val="20"/>
                <w:lang w:val="af-ZA"/>
              </w:rPr>
              <w:t xml:space="preserve"> </w:t>
            </w:r>
            <w:r w:rsidRPr="0053423A">
              <w:rPr>
                <w:rFonts w:eastAsia="Calibri" w:cs="Times New Roman"/>
                <w:b/>
                <w:sz w:val="20"/>
                <w:szCs w:val="20"/>
                <w:lang w:val="hy-AM"/>
              </w:rPr>
              <w:t>վիճակը</w:t>
            </w:r>
            <w:r w:rsidRPr="0053423A">
              <w:rPr>
                <w:rFonts w:eastAsia="Calibri" w:cs="Times New Roman"/>
                <w:b/>
                <w:sz w:val="20"/>
                <w:szCs w:val="20"/>
                <w:lang w:val="af-ZA"/>
              </w:rPr>
              <w:t xml:space="preserve"> </w:t>
            </w:r>
            <w:r w:rsidRPr="0053423A">
              <w:rPr>
                <w:rFonts w:eastAsia="Calibri" w:cs="Times New Roman"/>
                <w:b/>
                <w:sz w:val="20"/>
                <w:szCs w:val="20"/>
                <w:lang w:val="hy-AM"/>
              </w:rPr>
              <w:t>և</w:t>
            </w:r>
            <w:r w:rsidRPr="0053423A">
              <w:rPr>
                <w:rFonts w:eastAsia="Calibri" w:cs="Times New Roman"/>
                <w:b/>
                <w:sz w:val="20"/>
                <w:szCs w:val="20"/>
                <w:lang w:val="af-ZA"/>
              </w:rPr>
              <w:t xml:space="preserve"> </w:t>
            </w:r>
            <w:r w:rsidRPr="0053423A">
              <w:rPr>
                <w:rFonts w:eastAsia="Calibri" w:cs="Times New Roman"/>
                <w:b/>
                <w:sz w:val="20"/>
                <w:szCs w:val="20"/>
                <w:lang w:val="hy-AM"/>
              </w:rPr>
              <w:t>առկա</w:t>
            </w:r>
            <w:r w:rsidRPr="0053423A">
              <w:rPr>
                <w:rFonts w:eastAsia="Calibri" w:cs="Times New Roman"/>
                <w:b/>
                <w:sz w:val="20"/>
                <w:szCs w:val="20"/>
                <w:lang w:val="af-ZA"/>
              </w:rPr>
              <w:t xml:space="preserve"> </w:t>
            </w:r>
            <w:r w:rsidRPr="0053423A">
              <w:rPr>
                <w:rFonts w:eastAsia="Calibri" w:cs="Times New Roman"/>
                <w:b/>
                <w:sz w:val="20"/>
                <w:szCs w:val="20"/>
                <w:lang w:val="hy-AM"/>
              </w:rPr>
              <w:t xml:space="preserve">խնդիրները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Ներկայումս հաշմանդամության սահմանման մեխանիզմները և չափորոշիչները հիմնված են առավելապես բժշկական մոդելի վրա՝ հիմնականում հաշվի են առնում անձի առողջական խնդիրները: Հաշմանդամության գնահատման գործընթացին մասնակցում են միայն բժիշկներ, ովքեր չեն կարողանում անձի համար համապարփակ ծառայությունների փաթեթ մշակել, ինչը կապահովի անձի լիարժեք մասնակցությունը հասարակական կյանքին: </w:t>
            </w:r>
          </w:p>
          <w:p w:rsidR="00514E01" w:rsidRPr="0053423A" w:rsidRDefault="00514E01" w:rsidP="00A67858">
            <w:pPr>
              <w:spacing w:line="276" w:lineRule="auto"/>
              <w:jc w:val="both"/>
              <w:rPr>
                <w:rFonts w:eastAsia="Calibri" w:cs="Times New Roman"/>
                <w:b/>
                <w:bCs/>
                <w:sz w:val="20"/>
                <w:szCs w:val="20"/>
                <w:lang w:val="hy-AM"/>
              </w:rPr>
            </w:pPr>
            <w:r w:rsidRPr="0053423A">
              <w:rPr>
                <w:rFonts w:eastAsia="Calibri" w:cs="Times New Roman"/>
                <w:b/>
                <w:sz w:val="20"/>
                <w:szCs w:val="20"/>
                <w:lang w:val="hy-AM"/>
              </w:rPr>
              <w:t>1.2.Առկա</w:t>
            </w:r>
            <w:r w:rsidRPr="0053423A">
              <w:rPr>
                <w:rFonts w:eastAsia="Calibri" w:cs="Times New Roman"/>
                <w:b/>
                <w:sz w:val="20"/>
                <w:szCs w:val="20"/>
                <w:lang w:val="af-ZA"/>
              </w:rPr>
              <w:t xml:space="preserve"> </w:t>
            </w:r>
            <w:r w:rsidRPr="0053423A">
              <w:rPr>
                <w:rFonts w:eastAsia="Calibri" w:cs="Times New Roman"/>
                <w:b/>
                <w:sz w:val="20"/>
                <w:szCs w:val="20"/>
                <w:lang w:val="hy-AM"/>
              </w:rPr>
              <w:t>խնդիրների</w:t>
            </w:r>
            <w:r w:rsidRPr="0053423A">
              <w:rPr>
                <w:rFonts w:eastAsia="Calibri" w:cs="Times New Roman"/>
                <w:b/>
                <w:sz w:val="20"/>
                <w:szCs w:val="20"/>
                <w:lang w:val="af-ZA"/>
              </w:rPr>
              <w:t xml:space="preserve"> </w:t>
            </w:r>
            <w:r w:rsidRPr="0053423A">
              <w:rPr>
                <w:rFonts w:eastAsia="Calibri" w:cs="Times New Roman"/>
                <w:b/>
                <w:sz w:val="20"/>
                <w:szCs w:val="20"/>
                <w:lang w:val="hy-AM"/>
              </w:rPr>
              <w:t>առաջարկվող</w:t>
            </w:r>
            <w:r w:rsidRPr="0053423A">
              <w:rPr>
                <w:rFonts w:eastAsia="Calibri" w:cs="Times New Roman"/>
                <w:b/>
                <w:sz w:val="20"/>
                <w:szCs w:val="20"/>
                <w:lang w:val="af-ZA"/>
              </w:rPr>
              <w:t xml:space="preserve"> </w:t>
            </w:r>
            <w:r w:rsidRPr="0053423A">
              <w:rPr>
                <w:rFonts w:eastAsia="Calibri" w:cs="Times New Roman"/>
                <w:b/>
                <w:sz w:val="20"/>
                <w:szCs w:val="20"/>
                <w:lang w:val="hy-AM"/>
              </w:rPr>
              <w:t xml:space="preserve">լուծումները </w:t>
            </w:r>
          </w:p>
          <w:p w:rsidR="00514E01" w:rsidRPr="0053423A" w:rsidRDefault="00514E01" w:rsidP="00A67858">
            <w:pPr>
              <w:spacing w:line="276" w:lineRule="auto"/>
              <w:jc w:val="both"/>
              <w:rPr>
                <w:rFonts w:eastAsia="Calibri" w:cs="Sylfaen"/>
                <w:sz w:val="20"/>
                <w:szCs w:val="20"/>
                <w:lang w:val="hy-AM"/>
              </w:rPr>
            </w:pPr>
            <w:r w:rsidRPr="0053423A">
              <w:rPr>
                <w:rFonts w:eastAsia="Calibri" w:cs="Times New Roman"/>
                <w:sz w:val="20"/>
                <w:szCs w:val="20"/>
                <w:lang w:val="hy-AM"/>
              </w:rPr>
              <w:t>Հաշմանդամություն ունեցող անձի կարիքի  գնահատման համակարգի հիմքում պետք է դրված լինի հաշմանդամության սոցիալական մոդելը, այսինքն հաշմանդամություն սահմանելիս պետք է հաշվի առնվեն ոչ միայն առողջական խնդիրները, այլ բոլոր այն գործոնները, որոնք այս կամ այն կերպ ազդում են անձի գործունեության վրա: Միաժամանակ, այդ գնահատման արդյունքում պետք է յուրաքանչյուր անձի համար երաշխավորվեն այն ծառայությունները (ծառայությունների փաթեթը), որոնք անհրաժեշտ են առողջական խնդիրների հաղթահարման, միջավայրային խոչընդոտների վերացման համար:</w:t>
            </w:r>
            <w:r w:rsidRPr="0053423A">
              <w:rPr>
                <w:rFonts w:eastAsia="Calibri" w:cs="Sylfaen"/>
                <w:sz w:val="20"/>
                <w:szCs w:val="20"/>
                <w:lang w:val="hy-AM"/>
              </w:rPr>
              <w:t xml:space="preserve">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Նախատեսվում է բժշկասոցիալական փորձաքննության համակարգում կատարել արմատական փոփոխություններ և Բժշկասոցիական փորձաքննության հանձնաժողովների փոխարեն  ստեղծել հաշմանդա-մություն ունեցող անձի կարիքի գնահատման կենտրոններ: Նոր մոդելի ներդրման համատեքստում անձի գնահատման  տեղեկատվական համակարգը առցանց տեղեկատվություն է փոխանակում կրթության և գիտության և առողջապահության նախարարությունների հետ: Կրթության և գիտության նախարարությունից ստացվում է տեղեկատվություն մինչև 18  տարեկան անձանց գործունեության, մասնակցության և միջավայրային գործոնների վերաբերյալ, առողջապահության նախարարությունից` անձի կարիքի գնահատման համար ուղեգիր, հետազոտությունների արդյունքներ, բժշկական եզրակացություններ: Միաժամանակ ձևավորվելու   է մասնագետների ռեեստր, որտեղ գրանցված առողջապահական համակարգի բժիշկները համատեղության կարգով կիրականացնեն  անձի առողջական բաղադրիչի գնահատումը: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 </w:t>
            </w:r>
            <w:r w:rsidRPr="0053423A">
              <w:rPr>
                <w:rFonts w:eastAsia="Calibri" w:cs="Times New Roman"/>
                <w:sz w:val="20"/>
                <w:szCs w:val="20"/>
                <w:lang w:val="hy-AM"/>
              </w:rPr>
              <w:tab/>
              <w:t>Հաշմանդամություն ունեցող անձի կարիքի գնահատման նոր մոդելի ներդրման ուղղությամբ 2015-2018թթ. ընթացքում մշակվել են հաշմանդամության սահմանման նոր գործիքներ, մեթոդական ուղեցույցեր՝ հիմնված  ԱՀԿ ՖՄԴ սկզբունքների վրա: Այս միջոցառման շրջանակներում՝ միջազգային փորձի ուսումնասիրության արդյունքում կներդրվեն նոր մեխանիզմներ և գործընթացային մոտեցումներ՝ տեղայնացնելով այլ երկրների լավագույն փորձը: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Նոր մոդելի հիմքում կլինի հաշմանդամություն ունեցող անձի կարիքների գնահատումը: </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2.Միջոցառման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Calibri" w:cs="Times New Roman"/>
                <w:sz w:val="20"/>
                <w:szCs w:val="20"/>
                <w:lang w:val="hy-AM"/>
              </w:rPr>
              <w:t>Իրավական հենքի առկայություն, հաշմանդամություն ունեցող անձանց կարիքների գնահատման համակարգի բարեփոխումների ծրագիր, մասնագետների ռեեստրի առկայություն, վերապատրաստված մասնագետներ, հաշմանդամություն ունեցող անձի կարիքի   գնահատման նոր մոդելի փորձնական գործարկում, միասնական էլեկտրոնային համակարգի գործարկում, հաշմանդամություն ունեցող անձի գնահատված կարիքին համարժեք ծառայությունների փաթեթի մշակում, հաշմանդամություն ունեցող անձանց կարիքների գնահատման կենտրոնների ստեղծում:</w:t>
            </w:r>
          </w:p>
        </w:tc>
      </w:tr>
      <w:tr w:rsidR="00514E01" w:rsidRPr="0053423A" w:rsidTr="00BC61ED">
        <w:tc>
          <w:tcPr>
            <w:tcW w:w="630" w:type="dxa"/>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9</w:t>
            </w:r>
          </w:p>
        </w:tc>
        <w:tc>
          <w:tcPr>
            <w:tcW w:w="10890" w:type="dxa"/>
          </w:tcPr>
          <w:p w:rsidR="00514E01" w:rsidRPr="0053423A" w:rsidRDefault="00514E01" w:rsidP="00A67858">
            <w:pPr>
              <w:spacing w:line="276" w:lineRule="auto"/>
              <w:jc w:val="both"/>
              <w:rPr>
                <w:rFonts w:eastAsia="Calibri" w:cs="Courier New"/>
                <w:sz w:val="20"/>
                <w:szCs w:val="20"/>
                <w:u w:val="single"/>
                <w:lang w:val="hy-AM"/>
              </w:rPr>
            </w:pPr>
            <w:r w:rsidRPr="0053423A">
              <w:rPr>
                <w:rFonts w:eastAsia="Calibri" w:cs="Times New Roman"/>
                <w:b/>
                <w:sz w:val="20"/>
                <w:szCs w:val="20"/>
                <w:u w:val="single"/>
                <w:lang w:val="hy-AM"/>
              </w:rPr>
              <w:t>9.1 «Գենդերային քաղաքականության իրականացման 2019-2023 թվական</w:t>
            </w:r>
            <w:r w:rsidRPr="0053423A">
              <w:rPr>
                <w:rFonts w:eastAsia="Calibri" w:cs="Times New Roman"/>
                <w:b/>
                <w:sz w:val="20"/>
                <w:szCs w:val="20"/>
                <w:u w:val="single"/>
                <w:lang w:val="hy-AM"/>
              </w:rPr>
              <w:softHyphen/>
              <w:t>ների ռազմավարությունը և միջոցա</w:t>
            </w:r>
            <w:r w:rsidRPr="0053423A">
              <w:rPr>
                <w:rFonts w:eastAsia="Calibri" w:cs="Times New Roman"/>
                <w:b/>
                <w:sz w:val="20"/>
                <w:szCs w:val="20"/>
                <w:u w:val="single"/>
                <w:lang w:val="hy-AM"/>
              </w:rPr>
              <w:softHyphen/>
              <w:t>ռումների ծրագիրը հաստատելու մասին» ՀՀ կառավարության որոշման նախագծի մշակում և Վարչապետի աշխատակազմ ներկայացում</w:t>
            </w:r>
          </w:p>
          <w:p w:rsidR="00514E01" w:rsidRPr="0053423A" w:rsidRDefault="00514E01" w:rsidP="001F6D5D">
            <w:pPr>
              <w:numPr>
                <w:ilvl w:val="0"/>
                <w:numId w:val="170"/>
              </w:numPr>
              <w:spacing w:line="276" w:lineRule="auto"/>
              <w:jc w:val="both"/>
              <w:rPr>
                <w:rFonts w:eastAsia="Calibri" w:cs="Times New Roman"/>
                <w:b/>
                <w:sz w:val="20"/>
                <w:szCs w:val="20"/>
              </w:rPr>
            </w:pPr>
            <w:r w:rsidRPr="0053423A">
              <w:rPr>
                <w:rFonts w:eastAsia="Calibri" w:cs="Times New Roman"/>
                <w:b/>
                <w:sz w:val="20"/>
                <w:szCs w:val="20"/>
              </w:rPr>
              <w:t>Միջոցառման իրականացման անհրաժեշտությունը և նպատակը</w:t>
            </w:r>
          </w:p>
          <w:p w:rsidR="00514E01" w:rsidRPr="0053423A" w:rsidRDefault="00514E01" w:rsidP="00A67858">
            <w:pPr>
              <w:spacing w:line="276" w:lineRule="auto"/>
              <w:jc w:val="both"/>
              <w:rPr>
                <w:rFonts w:eastAsia="Calibri" w:cs="Times New Roman"/>
                <w:sz w:val="20"/>
                <w:szCs w:val="20"/>
              </w:rPr>
            </w:pPr>
            <w:r w:rsidRPr="0053423A">
              <w:rPr>
                <w:rFonts w:eastAsia="Calibri" w:cs="Times New Roman"/>
                <w:sz w:val="20"/>
                <w:szCs w:val="20"/>
              </w:rPr>
              <w:t xml:space="preserve">Միջոցառման իրականացումը պայմանավորված է ՀՀ Սահմանադրության 86-րդ հոդվածի 4-րդ կետի և </w:t>
            </w:r>
            <w:r w:rsidRPr="0053423A">
              <w:rPr>
                <w:rFonts w:eastAsia="Calibri" w:cs="Times New Roman"/>
                <w:bCs/>
                <w:sz w:val="20"/>
                <w:szCs w:val="20"/>
              </w:rPr>
              <w:t>«</w:t>
            </w:r>
            <w:r w:rsidRPr="0053423A">
              <w:rPr>
                <w:rFonts w:eastAsia="Calibri" w:cs="Times New Roman"/>
                <w:sz w:val="20"/>
                <w:szCs w:val="20"/>
                <w:lang w:val="hy-AM"/>
              </w:rPr>
              <w:t>Կանանց</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w:t>
            </w:r>
            <w:r w:rsidRPr="0053423A">
              <w:rPr>
                <w:rFonts w:eastAsia="Calibri" w:cs="Times New Roman"/>
                <w:sz w:val="20"/>
                <w:szCs w:val="20"/>
                <w:lang w:val="hy-AM"/>
              </w:rPr>
              <w:t>տղամարդկանց</w:t>
            </w:r>
            <w:r w:rsidRPr="0053423A">
              <w:rPr>
                <w:rFonts w:eastAsia="Calibri" w:cs="Times New Roman"/>
                <w:sz w:val="20"/>
                <w:szCs w:val="20"/>
                <w:lang w:val="af-ZA"/>
              </w:rPr>
              <w:t xml:space="preserve"> </w:t>
            </w:r>
            <w:r w:rsidRPr="0053423A">
              <w:rPr>
                <w:rFonts w:eastAsia="Calibri" w:cs="Times New Roman"/>
                <w:sz w:val="20"/>
                <w:szCs w:val="20"/>
                <w:lang w:val="hy-AM"/>
              </w:rPr>
              <w:t>հավասար</w:t>
            </w:r>
            <w:r w:rsidRPr="0053423A">
              <w:rPr>
                <w:rFonts w:eastAsia="Calibri" w:cs="Times New Roman"/>
                <w:sz w:val="20"/>
                <w:szCs w:val="20"/>
                <w:lang w:val="af-ZA"/>
              </w:rPr>
              <w:t xml:space="preserve"> </w:t>
            </w:r>
            <w:r w:rsidRPr="0053423A">
              <w:rPr>
                <w:rFonts w:eastAsia="Calibri" w:cs="Times New Roman"/>
                <w:sz w:val="20"/>
                <w:szCs w:val="20"/>
                <w:lang w:val="hy-AM"/>
              </w:rPr>
              <w:t>իրավունքների</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w:t>
            </w:r>
            <w:r w:rsidRPr="0053423A">
              <w:rPr>
                <w:rFonts w:eastAsia="Calibri" w:cs="Times New Roman"/>
                <w:sz w:val="20"/>
                <w:szCs w:val="20"/>
                <w:lang w:val="hy-AM"/>
              </w:rPr>
              <w:t>հավասար</w:t>
            </w:r>
            <w:r w:rsidRPr="0053423A">
              <w:rPr>
                <w:rFonts w:eastAsia="Calibri" w:cs="Times New Roman"/>
                <w:sz w:val="20"/>
                <w:szCs w:val="20"/>
                <w:lang w:val="af-ZA"/>
              </w:rPr>
              <w:t xml:space="preserve"> </w:t>
            </w:r>
            <w:r w:rsidRPr="0053423A">
              <w:rPr>
                <w:rFonts w:eastAsia="Calibri" w:cs="Times New Roman"/>
                <w:sz w:val="20"/>
                <w:szCs w:val="20"/>
                <w:lang w:val="hy-AM"/>
              </w:rPr>
              <w:t>հնարավորությունների</w:t>
            </w:r>
            <w:r w:rsidRPr="0053423A">
              <w:rPr>
                <w:rFonts w:eastAsia="Calibri" w:cs="Times New Roman"/>
                <w:sz w:val="20"/>
                <w:szCs w:val="20"/>
                <w:lang w:val="af-ZA"/>
              </w:rPr>
              <w:t xml:space="preserve"> </w:t>
            </w:r>
            <w:r w:rsidRPr="0053423A">
              <w:rPr>
                <w:rFonts w:eastAsia="Calibri" w:cs="Times New Roman"/>
                <w:sz w:val="20"/>
                <w:szCs w:val="20"/>
                <w:lang w:val="hy-AM"/>
              </w:rPr>
              <w:t>ապահովման</w:t>
            </w:r>
            <w:r w:rsidRPr="0053423A">
              <w:rPr>
                <w:rFonts w:eastAsia="Calibri" w:cs="Times New Roman"/>
                <w:sz w:val="20"/>
                <w:szCs w:val="20"/>
                <w:lang w:val="af-ZA"/>
              </w:rPr>
              <w:t xml:space="preserve"> </w:t>
            </w:r>
            <w:r w:rsidRPr="0053423A">
              <w:rPr>
                <w:rFonts w:eastAsia="Calibri" w:cs="Times New Roman"/>
                <w:sz w:val="20"/>
                <w:szCs w:val="20"/>
                <w:lang w:val="hy-AM"/>
              </w:rPr>
              <w:t>մասին</w:t>
            </w:r>
            <w:r w:rsidRPr="0053423A">
              <w:rPr>
                <w:rFonts w:eastAsia="Calibri" w:cs="Times New Roman"/>
                <w:sz w:val="20"/>
                <w:szCs w:val="20"/>
              </w:rPr>
              <w:t>»</w:t>
            </w:r>
            <w:r w:rsidRPr="0053423A">
              <w:rPr>
                <w:rFonts w:eastAsia="Calibri" w:cs="Times New Roman"/>
                <w:sz w:val="20"/>
                <w:szCs w:val="20"/>
                <w:lang w:val="af-ZA"/>
              </w:rPr>
              <w:t xml:space="preserve"> </w:t>
            </w:r>
            <w:r w:rsidRPr="0053423A">
              <w:rPr>
                <w:rFonts w:eastAsia="Calibri" w:cs="Times New Roman"/>
                <w:sz w:val="20"/>
                <w:szCs w:val="20"/>
                <w:lang w:val="hy-AM"/>
              </w:rPr>
              <w:t>ՀՀ</w:t>
            </w:r>
            <w:r w:rsidRPr="0053423A">
              <w:rPr>
                <w:rFonts w:eastAsia="Calibri" w:cs="Times New Roman"/>
                <w:sz w:val="20"/>
                <w:szCs w:val="20"/>
                <w:lang w:val="af-ZA"/>
              </w:rPr>
              <w:t xml:space="preserve"> </w:t>
            </w:r>
            <w:r w:rsidRPr="0053423A">
              <w:rPr>
                <w:rFonts w:eastAsia="Calibri" w:cs="Times New Roman"/>
                <w:sz w:val="20"/>
                <w:szCs w:val="20"/>
                <w:lang w:val="hy-AM"/>
              </w:rPr>
              <w:t>օրենքի</w:t>
            </w:r>
            <w:r w:rsidRPr="0053423A">
              <w:rPr>
                <w:rFonts w:eastAsia="Calibri" w:cs="Times New Roman"/>
                <w:sz w:val="20"/>
                <w:szCs w:val="20"/>
                <w:lang w:val="af-ZA"/>
              </w:rPr>
              <w:t xml:space="preserve"> 8-րդ հոդվածի կիրարկման անհրաժեշտությամբ: </w:t>
            </w:r>
            <w:r w:rsidRPr="0053423A">
              <w:rPr>
                <w:rFonts w:eastAsia="Calibri" w:cs="Times New Roman"/>
                <w:sz w:val="20"/>
                <w:szCs w:val="20"/>
              </w:rPr>
              <w:t xml:space="preserve">Միջոցառման նպատակը </w:t>
            </w:r>
            <w:r w:rsidRPr="0053423A">
              <w:rPr>
                <w:rFonts w:eastAsia="Calibri" w:cs="Times New Roman"/>
                <w:bCs/>
                <w:sz w:val="20"/>
                <w:szCs w:val="20"/>
                <w:lang w:val="hy-AM"/>
              </w:rPr>
              <w:t>Հայաստանի Հանրապետությ</w:t>
            </w:r>
            <w:r w:rsidRPr="0053423A">
              <w:rPr>
                <w:rFonts w:eastAsia="Calibri" w:cs="Times New Roman"/>
                <w:bCs/>
                <w:sz w:val="20"/>
                <w:szCs w:val="20"/>
              </w:rPr>
              <w:t>ու</w:t>
            </w:r>
            <w:r w:rsidRPr="0053423A">
              <w:rPr>
                <w:rFonts w:eastAsia="Calibri" w:cs="Times New Roman"/>
                <w:bCs/>
                <w:sz w:val="20"/>
                <w:szCs w:val="20"/>
                <w:lang w:val="hy-AM"/>
              </w:rPr>
              <w:t>ն</w:t>
            </w:r>
            <w:r w:rsidRPr="0053423A">
              <w:rPr>
                <w:rFonts w:eastAsia="Calibri" w:cs="Times New Roman"/>
                <w:sz w:val="20"/>
                <w:szCs w:val="20"/>
              </w:rPr>
              <w:t>ում հ</w:t>
            </w:r>
            <w:r w:rsidRPr="0053423A">
              <w:rPr>
                <w:rFonts w:eastAsia="Calibri" w:cs="Times New Roman"/>
                <w:sz w:val="20"/>
                <w:szCs w:val="20"/>
                <w:lang w:val="hy-AM"/>
              </w:rPr>
              <w:t>ասարակական կյանքի բոլոր ոլորտներում կանանց և տղա</w:t>
            </w:r>
            <w:r w:rsidRPr="0053423A">
              <w:rPr>
                <w:rFonts w:eastAsia="Calibri" w:cs="Times New Roman"/>
                <w:sz w:val="20"/>
                <w:szCs w:val="20"/>
                <w:lang w:val="hy-AM"/>
              </w:rPr>
              <w:softHyphen/>
              <w:t>մարդկանց իրավունքների և հնարավորությունների իրաց</w:t>
            </w:r>
            <w:r w:rsidRPr="0053423A">
              <w:rPr>
                <w:rFonts w:eastAsia="Calibri" w:cs="Times New Roman"/>
                <w:sz w:val="20"/>
                <w:szCs w:val="20"/>
                <w:lang w:val="hy-AM"/>
              </w:rPr>
              <w:softHyphen/>
              <w:t xml:space="preserve">ման </w:t>
            </w:r>
            <w:r w:rsidRPr="0053423A">
              <w:rPr>
                <w:rFonts w:eastAsia="Calibri" w:cs="Times New Roman"/>
                <w:sz w:val="20"/>
                <w:szCs w:val="20"/>
              </w:rPr>
              <w:t xml:space="preserve">ապահովումն է: Դրան հասնելու համար անհրաժեշտ է սահմանել </w:t>
            </w:r>
            <w:r w:rsidRPr="0053423A">
              <w:rPr>
                <w:rFonts w:eastAsia="Calibri" w:cs="Times New Roman"/>
                <w:sz w:val="20"/>
                <w:szCs w:val="20"/>
                <w:lang w:val="hy-AM"/>
              </w:rPr>
              <w:t>պետական քաղաքականության առաջնահերթ ուղղություններ</w:t>
            </w:r>
            <w:r w:rsidRPr="0053423A">
              <w:rPr>
                <w:rFonts w:eastAsia="Calibri" w:cs="Times New Roman"/>
                <w:sz w:val="20"/>
                <w:szCs w:val="20"/>
              </w:rPr>
              <w:t>ը, քաղաքականության</w:t>
            </w:r>
            <w:r w:rsidRPr="0053423A">
              <w:rPr>
                <w:rFonts w:eastAsia="Calibri" w:cs="Times New Roman"/>
                <w:sz w:val="20"/>
                <w:szCs w:val="20"/>
                <w:lang w:val="pt-PT"/>
              </w:rPr>
              <w:t xml:space="preserve"> </w:t>
            </w:r>
            <w:r w:rsidRPr="0053423A">
              <w:rPr>
                <w:rFonts w:eastAsia="Calibri" w:cs="Times New Roman"/>
                <w:sz w:val="20"/>
                <w:szCs w:val="20"/>
              </w:rPr>
              <w:t>և</w:t>
            </w:r>
            <w:r w:rsidRPr="0053423A">
              <w:rPr>
                <w:rFonts w:eastAsia="Calibri" w:cs="Times New Roman"/>
                <w:sz w:val="20"/>
                <w:szCs w:val="20"/>
                <w:lang w:val="pt-PT"/>
              </w:rPr>
              <w:t xml:space="preserve"> </w:t>
            </w:r>
            <w:r w:rsidRPr="0053423A">
              <w:rPr>
                <w:rFonts w:eastAsia="Calibri" w:cs="Times New Roman"/>
                <w:sz w:val="20"/>
                <w:szCs w:val="20"/>
              </w:rPr>
              <w:t>նպատակային</w:t>
            </w:r>
            <w:r w:rsidRPr="0053423A">
              <w:rPr>
                <w:rFonts w:eastAsia="Calibri" w:cs="Times New Roman"/>
                <w:sz w:val="20"/>
                <w:szCs w:val="20"/>
                <w:lang w:val="pt-PT"/>
              </w:rPr>
              <w:t xml:space="preserve"> </w:t>
            </w:r>
            <w:r w:rsidRPr="0053423A">
              <w:rPr>
                <w:rFonts w:eastAsia="Calibri" w:cs="Times New Roman"/>
                <w:sz w:val="20"/>
                <w:szCs w:val="20"/>
              </w:rPr>
              <w:t xml:space="preserve">ծրագրերում </w:t>
            </w:r>
            <w:r w:rsidRPr="0053423A">
              <w:rPr>
                <w:rFonts w:eastAsia="Calibri" w:cs="Times New Roman"/>
                <w:sz w:val="20"/>
                <w:szCs w:val="20"/>
                <w:lang w:val="pt-PT"/>
              </w:rPr>
              <w:t xml:space="preserve"> </w:t>
            </w:r>
            <w:r w:rsidRPr="0053423A">
              <w:rPr>
                <w:rFonts w:eastAsia="Calibri" w:cs="Times New Roman"/>
                <w:sz w:val="20"/>
                <w:szCs w:val="20"/>
                <w:lang w:val="hy-AM"/>
              </w:rPr>
              <w:t>կանանց և տղամարդկանց հավասար իրավունքների և հավասար հնարավորությունների ապահովման</w:t>
            </w:r>
            <w:r w:rsidRPr="0053423A">
              <w:rPr>
                <w:rFonts w:eastAsia="Calibri" w:cs="Times New Roman"/>
                <w:sz w:val="20"/>
                <w:szCs w:val="20"/>
              </w:rPr>
              <w:t xml:space="preserve"> համար գործուն մեխանիզմների ներդումը:</w:t>
            </w:r>
          </w:p>
          <w:p w:rsidR="00514E01" w:rsidRPr="0053423A" w:rsidRDefault="00514E01" w:rsidP="00A67858">
            <w:pPr>
              <w:spacing w:line="276" w:lineRule="auto"/>
              <w:jc w:val="both"/>
              <w:rPr>
                <w:rFonts w:eastAsia="Calibri" w:cs="Times New Roman"/>
                <w:sz w:val="20"/>
                <w:szCs w:val="20"/>
              </w:rPr>
            </w:pPr>
            <w:r w:rsidRPr="0053423A">
              <w:rPr>
                <w:rFonts w:eastAsia="Calibri" w:cs="Times New Roman"/>
                <w:sz w:val="20"/>
                <w:szCs w:val="20"/>
              </w:rPr>
              <w:t xml:space="preserve">Միջոցառման իրականացումը պայմանավորված է նաև </w:t>
            </w:r>
            <w:r w:rsidRPr="0053423A">
              <w:rPr>
                <w:rFonts w:eastAsia="Calibri" w:cs="Times New Roman"/>
                <w:bCs/>
                <w:sz w:val="20"/>
                <w:szCs w:val="20"/>
                <w:lang w:val="hy-AM"/>
              </w:rPr>
              <w:t>Հայաստանի Հանրապետությ</w:t>
            </w:r>
            <w:r w:rsidRPr="0053423A">
              <w:rPr>
                <w:rFonts w:eastAsia="Calibri" w:cs="Times New Roman"/>
                <w:bCs/>
                <w:sz w:val="20"/>
                <w:szCs w:val="20"/>
              </w:rPr>
              <w:t>ա</w:t>
            </w:r>
            <w:r w:rsidRPr="0053423A">
              <w:rPr>
                <w:rFonts w:eastAsia="Calibri" w:cs="Times New Roman"/>
                <w:bCs/>
                <w:sz w:val="20"/>
                <w:szCs w:val="20"/>
                <w:lang w:val="hy-AM"/>
              </w:rPr>
              <w:t>ն</w:t>
            </w:r>
            <w:r w:rsidRPr="0053423A">
              <w:rPr>
                <w:rFonts w:eastAsia="Calibri" w:cs="Times New Roman"/>
                <w:sz w:val="20"/>
                <w:szCs w:val="20"/>
              </w:rPr>
              <w:t xml:space="preserve"> կողմից ստանձնած մարդու իրավունքներին վերաբերող, մասնավորապես, </w:t>
            </w:r>
            <w:r w:rsidRPr="0053423A">
              <w:rPr>
                <w:rFonts w:eastAsia="Calibri" w:cs="Times New Roman"/>
                <w:sz w:val="20"/>
                <w:szCs w:val="20"/>
                <w:lang w:val="hy-AM"/>
              </w:rPr>
              <w:t>«</w:t>
            </w:r>
            <w:r w:rsidRPr="0053423A">
              <w:rPr>
                <w:rFonts w:eastAsia="Calibri" w:cs="Times New Roman"/>
                <w:sz w:val="20"/>
                <w:szCs w:val="20"/>
                <w:lang w:val="et-EE"/>
              </w:rPr>
              <w:t xml:space="preserve">Կանանց նկատմամբ </w:t>
            </w:r>
            <w:r w:rsidRPr="0053423A">
              <w:rPr>
                <w:rFonts w:eastAsia="Calibri" w:cs="Times New Roman"/>
                <w:sz w:val="20"/>
                <w:szCs w:val="20"/>
                <w:lang w:val="hy-AM"/>
              </w:rPr>
              <w:t>խտրականության</w:t>
            </w:r>
            <w:r w:rsidRPr="0053423A">
              <w:rPr>
                <w:rFonts w:eastAsia="Calibri" w:cs="Times New Roman"/>
                <w:sz w:val="20"/>
                <w:szCs w:val="20"/>
                <w:lang w:val="et-EE"/>
              </w:rPr>
              <w:t xml:space="preserve"> բոլոր ձևերի վերացման մասին</w:t>
            </w:r>
            <w:r w:rsidRPr="0053423A">
              <w:rPr>
                <w:rFonts w:eastAsia="Calibri" w:cs="Times New Roman"/>
                <w:sz w:val="20"/>
                <w:szCs w:val="20"/>
                <w:lang w:val="hy-AM"/>
              </w:rPr>
              <w:t>»</w:t>
            </w:r>
            <w:r w:rsidRPr="0053423A">
              <w:rPr>
                <w:rFonts w:eastAsia="Calibri" w:cs="Times New Roman"/>
                <w:sz w:val="20"/>
                <w:szCs w:val="20"/>
                <w:lang w:val="et-EE"/>
              </w:rPr>
              <w:t xml:space="preserve"> ՄԱԿ-ի կոնվենցիայի, Պեկինի 4-րդ Համաշխարհային համաժողովի /1995թ./ հանձնարարականների, Եվրախորհրդի Կանանց և տղամարդկանց  իրավահավասարության հանձնաժողովի փաստաթղթերի,  ՄԱԿ-ի Հազարամյակի հռչակագրի պահանջների</w:t>
            </w:r>
            <w:r w:rsidRPr="0053423A">
              <w:rPr>
                <w:rFonts w:eastAsia="Calibri" w:cs="Times New Roman"/>
                <w:sz w:val="20"/>
                <w:szCs w:val="20"/>
                <w:lang w:val="hy-AM"/>
              </w:rPr>
              <w:t xml:space="preserve">  կատարման</w:t>
            </w:r>
            <w:r w:rsidRPr="0053423A">
              <w:rPr>
                <w:rFonts w:eastAsia="Calibri" w:cs="Times New Roman"/>
                <w:sz w:val="20"/>
                <w:szCs w:val="20"/>
              </w:rPr>
              <w:t xml:space="preserve"> անհրաժեշտությամբ: </w:t>
            </w:r>
          </w:p>
          <w:p w:rsidR="00514E01" w:rsidRPr="0053423A" w:rsidRDefault="00514E01" w:rsidP="00A67858">
            <w:pPr>
              <w:spacing w:line="276" w:lineRule="auto"/>
              <w:jc w:val="both"/>
              <w:rPr>
                <w:rFonts w:eastAsia="Calibri" w:cs="Times New Roman"/>
                <w:sz w:val="20"/>
                <w:szCs w:val="20"/>
              </w:rPr>
            </w:pPr>
            <w:r w:rsidRPr="0053423A">
              <w:rPr>
                <w:rFonts w:eastAsia="Calibri" w:cs="Times New Roman"/>
                <w:sz w:val="20"/>
                <w:szCs w:val="20"/>
              </w:rPr>
              <w:t xml:space="preserve">Բացի այդ, </w:t>
            </w:r>
            <w:r w:rsidRPr="0053423A">
              <w:rPr>
                <w:rFonts w:eastAsia="Calibri" w:cs="Times New Roman"/>
                <w:sz w:val="20"/>
                <w:szCs w:val="20"/>
                <w:lang w:val="hy-AM"/>
              </w:rPr>
              <w:t>Հայաստանի Հանրապետությունը 2014-201</w:t>
            </w:r>
            <w:r w:rsidRPr="0053423A">
              <w:rPr>
                <w:rFonts w:eastAsia="Calibri" w:cs="Times New Roman"/>
                <w:sz w:val="20"/>
                <w:szCs w:val="20"/>
              </w:rPr>
              <w:t xml:space="preserve">6թթ. </w:t>
            </w:r>
            <w:r w:rsidRPr="0053423A">
              <w:rPr>
                <w:rFonts w:eastAsia="Calibri" w:cs="Times New Roman"/>
                <w:sz w:val="20"/>
                <w:szCs w:val="20"/>
                <w:lang w:val="hy-AM"/>
              </w:rPr>
              <w:t>ստորագրել է Եվրոպայի Միության տնտեսական աջակցության փաստաթղթեր՝ «Արտոնությունների ընդհանրացված և համալրված համակարգ» («GSP+») առևտրային ռեժիմի մասին (2014թ.), «Աջակցություն Հայաստանում մարդու իրավունքների պաշտպանությանը» (2015թ.) և «Հանրային ֆինանսական քաղաքականության բարեփոխումները Հայաստանում» ԵՄ բյուջետային աջակցության համաձայնագրերը, ըստ որի պարտավորվել է ապահովել «Կանանց նկատմամբ խտրականության բոլոր ձևերի վերացման մասին» կոնվենցիայի կատարումը</w:t>
            </w:r>
            <w:r w:rsidRPr="0053423A">
              <w:rPr>
                <w:rFonts w:eastAsia="Calibri" w:cs="Times New Roman"/>
                <w:sz w:val="20"/>
                <w:szCs w:val="20"/>
              </w:rPr>
              <w:t xml:space="preserve"> և </w:t>
            </w:r>
            <w:r w:rsidRPr="0053423A">
              <w:rPr>
                <w:rFonts w:eastAsia="Calibri" w:cs="Times New Roman"/>
                <w:sz w:val="20"/>
                <w:szCs w:val="20"/>
                <w:lang w:val="hy-AM"/>
              </w:rPr>
              <w:t>մշտադիտարկումը, ընտ</w:t>
            </w:r>
            <w:r w:rsidRPr="0053423A">
              <w:rPr>
                <w:rFonts w:eastAsia="Calibri" w:cs="Times New Roman"/>
                <w:sz w:val="20"/>
                <w:szCs w:val="20"/>
              </w:rPr>
              <w:t>իքում</w:t>
            </w:r>
            <w:r w:rsidRPr="0053423A">
              <w:rPr>
                <w:rFonts w:eastAsia="Calibri" w:cs="Times New Roman"/>
                <w:sz w:val="20"/>
                <w:szCs w:val="20"/>
                <w:lang w:val="hy-AM"/>
              </w:rPr>
              <w:t xml:space="preserve"> բռնության </w:t>
            </w:r>
            <w:r w:rsidRPr="0053423A">
              <w:rPr>
                <w:rFonts w:eastAsia="Calibri" w:cs="Times New Roman"/>
                <w:sz w:val="20"/>
                <w:szCs w:val="20"/>
              </w:rPr>
              <w:t xml:space="preserve">երևույթի </w:t>
            </w:r>
            <w:r w:rsidRPr="0053423A">
              <w:rPr>
                <w:rFonts w:eastAsia="Calibri" w:cs="Times New Roman"/>
                <w:sz w:val="20"/>
                <w:szCs w:val="20"/>
                <w:lang w:val="hy-AM"/>
              </w:rPr>
              <w:t>կանխարգելմանն ուղղված միջոցառումների իրականացում</w:t>
            </w:r>
            <w:r w:rsidRPr="0053423A">
              <w:rPr>
                <w:rFonts w:eastAsia="Calibri" w:cs="Times New Roman"/>
                <w:sz w:val="20"/>
                <w:szCs w:val="20"/>
              </w:rPr>
              <w:t>ը:</w:t>
            </w:r>
            <w:r w:rsidRPr="0053423A">
              <w:rPr>
                <w:rFonts w:eastAsia="Calibri" w:cs="Times New Roman"/>
                <w:sz w:val="20"/>
                <w:szCs w:val="20"/>
                <w:lang w:val="hy-AM"/>
              </w:rPr>
              <w:t xml:space="preserve"> </w:t>
            </w:r>
          </w:p>
          <w:p w:rsidR="00514E01" w:rsidRPr="0053423A" w:rsidRDefault="00514E01" w:rsidP="001F6D5D">
            <w:pPr>
              <w:numPr>
                <w:ilvl w:val="1"/>
                <w:numId w:val="176"/>
              </w:numPr>
              <w:spacing w:line="276" w:lineRule="auto"/>
              <w:contextualSpacing/>
              <w:jc w:val="both"/>
              <w:rPr>
                <w:rFonts w:eastAsia="Calibri" w:cs="Times New Roman"/>
                <w:b/>
                <w:sz w:val="20"/>
                <w:szCs w:val="20"/>
              </w:rPr>
            </w:pPr>
            <w:r w:rsidRPr="0053423A">
              <w:rPr>
                <w:rFonts w:eastAsia="Calibri" w:cs="Sylfaen"/>
                <w:b/>
                <w:sz w:val="20"/>
                <w:szCs w:val="20"/>
              </w:rPr>
              <w:t>Կարգավորման</w:t>
            </w:r>
            <w:r w:rsidRPr="0053423A">
              <w:rPr>
                <w:rFonts w:eastAsia="Calibri" w:cs="Times New Roman"/>
                <w:b/>
                <w:sz w:val="20"/>
                <w:szCs w:val="20"/>
              </w:rPr>
              <w:t xml:space="preserve"> հարաբերությունների ներկա վիճակը և առկա խնդիրները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Կանանց</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w:t>
            </w:r>
            <w:r w:rsidRPr="0053423A">
              <w:rPr>
                <w:rFonts w:eastAsia="Calibri" w:cs="Times New Roman"/>
                <w:sz w:val="20"/>
                <w:szCs w:val="20"/>
                <w:lang w:val="hy-AM"/>
              </w:rPr>
              <w:t>տղամարդկանց</w:t>
            </w:r>
            <w:r w:rsidRPr="0053423A">
              <w:rPr>
                <w:rFonts w:eastAsia="Calibri" w:cs="Times New Roman"/>
                <w:sz w:val="20"/>
                <w:szCs w:val="20"/>
                <w:lang w:val="af-ZA"/>
              </w:rPr>
              <w:t xml:space="preserve"> </w:t>
            </w:r>
            <w:r w:rsidRPr="0053423A">
              <w:rPr>
                <w:rFonts w:eastAsia="Calibri" w:cs="Times New Roman"/>
                <w:sz w:val="20"/>
                <w:szCs w:val="20"/>
                <w:lang w:val="hy-AM"/>
              </w:rPr>
              <w:t>հավասար</w:t>
            </w:r>
            <w:r w:rsidRPr="0053423A">
              <w:rPr>
                <w:rFonts w:eastAsia="Calibri" w:cs="Times New Roman"/>
                <w:sz w:val="20"/>
                <w:szCs w:val="20"/>
                <w:lang w:val="af-ZA"/>
              </w:rPr>
              <w:t xml:space="preserve"> </w:t>
            </w:r>
            <w:r w:rsidRPr="0053423A">
              <w:rPr>
                <w:rFonts w:eastAsia="Calibri" w:cs="Times New Roman"/>
                <w:sz w:val="20"/>
                <w:szCs w:val="20"/>
                <w:lang w:val="hy-AM"/>
              </w:rPr>
              <w:t>իրավունքների</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w:t>
            </w:r>
            <w:r w:rsidRPr="0053423A">
              <w:rPr>
                <w:rFonts w:eastAsia="Calibri" w:cs="Times New Roman"/>
                <w:sz w:val="20"/>
                <w:szCs w:val="20"/>
                <w:lang w:val="hy-AM"/>
              </w:rPr>
              <w:t>հավասար</w:t>
            </w:r>
            <w:r w:rsidRPr="0053423A">
              <w:rPr>
                <w:rFonts w:eastAsia="Calibri" w:cs="Times New Roman"/>
                <w:sz w:val="20"/>
                <w:szCs w:val="20"/>
                <w:lang w:val="af-ZA"/>
              </w:rPr>
              <w:t xml:space="preserve"> </w:t>
            </w:r>
            <w:r w:rsidRPr="0053423A">
              <w:rPr>
                <w:rFonts w:eastAsia="Calibri" w:cs="Times New Roman"/>
                <w:sz w:val="20"/>
                <w:szCs w:val="20"/>
                <w:lang w:val="hy-AM"/>
              </w:rPr>
              <w:t>հնարավորությունների</w:t>
            </w:r>
            <w:r w:rsidRPr="0053423A">
              <w:rPr>
                <w:rFonts w:eastAsia="Calibri" w:cs="Times New Roman"/>
                <w:sz w:val="20"/>
                <w:szCs w:val="20"/>
                <w:lang w:val="af-ZA"/>
              </w:rPr>
              <w:t xml:space="preserve"> </w:t>
            </w:r>
            <w:r w:rsidRPr="0053423A">
              <w:rPr>
                <w:rFonts w:eastAsia="Calibri" w:cs="Times New Roman"/>
                <w:sz w:val="20"/>
                <w:szCs w:val="20"/>
                <w:lang w:val="hy-AM"/>
              </w:rPr>
              <w:t>ապահովման պետական քաղաքականությունն իրականացվում է պետական կառավարման մարմինների</w:t>
            </w:r>
            <w:r w:rsidRPr="0053423A">
              <w:rPr>
                <w:rFonts w:eastAsia="Calibri" w:cs="Times New Roman"/>
                <w:sz w:val="20"/>
                <w:szCs w:val="20"/>
                <w:lang w:val="af-ZA"/>
              </w:rPr>
              <w:t xml:space="preserve"> </w:t>
            </w:r>
            <w:r w:rsidRPr="0053423A">
              <w:rPr>
                <w:rFonts w:eastAsia="Calibri" w:cs="Times New Roman"/>
                <w:sz w:val="20"/>
                <w:szCs w:val="20"/>
                <w:lang w:val="hy-AM"/>
              </w:rPr>
              <w:t>կողմից մշակվող և իրականացվող միջնաժամկետ և երկարաժամկետ պետական նպատակային ծրագրերի միջոցով</w:t>
            </w:r>
            <w:r w:rsidRPr="0053423A">
              <w:rPr>
                <w:rFonts w:eastAsia="Calibri" w:cs="Times New Roman"/>
                <w:sz w:val="20"/>
                <w:szCs w:val="20"/>
                <w:lang w:val="af-ZA"/>
              </w:rPr>
              <w:t xml:space="preserve">: </w:t>
            </w:r>
            <w:r w:rsidRPr="0053423A">
              <w:rPr>
                <w:rFonts w:eastAsia="Calibri" w:cs="Times New Roman"/>
                <w:sz w:val="20"/>
                <w:szCs w:val="20"/>
                <w:lang w:val="hy-AM"/>
              </w:rPr>
              <w:t xml:space="preserve">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Այդ համատեքստում ՀՀ կառավարության 2011թ. մայիսի 20-ի որոշմամբ հաստատվեց «Գենդերային քաղաքականության 2011-2015 թվականների ռազմավարական ծրագիրը», որը սահմանեց կանանց և տղամարդկանց նկատմամբ պետական քաղաքականության առաջնահերթ ուղղությունները, իսկ ՀՀ կառավարության 2011թ. հունիսի 17-ի նիստի N 23 արձանագրային որոշմամբ՝  «Ընդդեմ գենդերային բռնության 2011-2015թթ. ազգային ծրագիրը», որի հիմնական նպատակն էր նպաստել սեռի հատկանիշով բռնության կրճատմանը  Հայաստանի Հանրապետությունում:</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Յուրա</w:t>
            </w:r>
            <w:r w:rsidRPr="0053423A">
              <w:rPr>
                <w:rFonts w:eastAsia="Calibri" w:cs="Times New Roman"/>
                <w:sz w:val="20"/>
                <w:szCs w:val="20"/>
                <w:lang w:val="hy-AM"/>
              </w:rPr>
              <w:softHyphen/>
              <w:t>քանչյուր տարի ռազմավարական ծրագրերով նախանշված նպատակներն իրականացնելու համար ՀՀ կառավարության կողմից հաստատվում էին համապատասխան տարեկան ծրագրեր: Դրանցում ներառված միջոցառումներն ուղղված էին կառավարման ոլորտում և որոշումների ընդունման մակարդակում, սոցիալ-տնտեսական, կրթության, առողջապահության, մշակույթի և հանրային տեղեկատվության ոլորտներում կանանց</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w:t>
            </w:r>
            <w:r w:rsidRPr="0053423A">
              <w:rPr>
                <w:rFonts w:eastAsia="Calibri" w:cs="Times New Roman"/>
                <w:sz w:val="20"/>
                <w:szCs w:val="20"/>
                <w:lang w:val="hy-AM"/>
              </w:rPr>
              <w:t>տղամարդկանց</w:t>
            </w:r>
            <w:r w:rsidRPr="0053423A">
              <w:rPr>
                <w:rFonts w:eastAsia="Calibri" w:cs="Times New Roman"/>
                <w:sz w:val="20"/>
                <w:szCs w:val="20"/>
                <w:lang w:val="af-ZA"/>
              </w:rPr>
              <w:t xml:space="preserve"> </w:t>
            </w:r>
            <w:r w:rsidRPr="0053423A">
              <w:rPr>
                <w:rFonts w:eastAsia="Calibri" w:cs="Times New Roman"/>
                <w:sz w:val="20"/>
                <w:szCs w:val="20"/>
                <w:lang w:val="hy-AM"/>
              </w:rPr>
              <w:t xml:space="preserve">հավասարության հաստատմանը և ընտանեկան բռնության երևույթի կանխարգելմանը: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Վերոհիշյալ ռազմավարական ծրագրերի մոնիթորինգի արդյունքները, ինչպես նաև 2015 թվականի ՀՀ աշխատանքի և սոցիալական հարցերի նախարարության  նախաձեռնությամբ և ՄԱԿ-ի՝ ՄԱԶԾ, ՄԱԲՀ և ՄԱԿ-ի մանկական հիմնադրամի աջակցությամբ իրականացված ««Հայաստանի Հանրապետության գենդերային քաղաքականության 2011-2015 թվա</w:t>
            </w:r>
            <w:r w:rsidRPr="0053423A">
              <w:rPr>
                <w:rFonts w:eastAsia="Calibri" w:cs="Times New Roman"/>
                <w:sz w:val="20"/>
                <w:szCs w:val="20"/>
                <w:lang w:val="hy-AM"/>
              </w:rPr>
              <w:softHyphen/>
              <w:t>կանների ռազմավարական ծրագրի» և «Ընդդեմ գենդերային բռնության 2011-2015 թվականների ազգային ծրագրի» գնահատման հետազոտության» արդյունքում գնահատման փորձագիտական խմբի եզրակացությունները վկայում են, որ պլանավորված</w:t>
            </w:r>
            <w:r w:rsidRPr="0053423A">
              <w:rPr>
                <w:rFonts w:eastAsia="Calibri" w:cs="Times New Roman"/>
                <w:sz w:val="20"/>
                <w:szCs w:val="20"/>
                <w:lang w:val="pl-PL"/>
              </w:rPr>
              <w:t xml:space="preserve"> </w:t>
            </w:r>
            <w:r w:rsidRPr="0053423A">
              <w:rPr>
                <w:rFonts w:eastAsia="Calibri" w:cs="Times New Roman"/>
                <w:sz w:val="20"/>
                <w:szCs w:val="20"/>
                <w:lang w:val="hy-AM"/>
              </w:rPr>
              <w:t>և</w:t>
            </w:r>
            <w:r w:rsidRPr="0053423A">
              <w:rPr>
                <w:rFonts w:eastAsia="Calibri" w:cs="Times New Roman"/>
                <w:sz w:val="20"/>
                <w:szCs w:val="20"/>
                <w:lang w:val="pl-PL"/>
              </w:rPr>
              <w:t xml:space="preserve">  </w:t>
            </w:r>
            <w:r w:rsidRPr="0053423A">
              <w:rPr>
                <w:rFonts w:eastAsia="Calibri" w:cs="Times New Roman"/>
                <w:sz w:val="20"/>
                <w:szCs w:val="20"/>
                <w:lang w:val="hy-AM"/>
              </w:rPr>
              <w:t>անցկացված</w:t>
            </w:r>
            <w:r w:rsidRPr="0053423A">
              <w:rPr>
                <w:rFonts w:eastAsia="Calibri" w:cs="Times New Roman"/>
                <w:sz w:val="20"/>
                <w:szCs w:val="20"/>
                <w:lang w:val="pl-PL"/>
              </w:rPr>
              <w:t xml:space="preserve"> </w:t>
            </w:r>
            <w:r w:rsidRPr="0053423A">
              <w:rPr>
                <w:rFonts w:eastAsia="Calibri" w:cs="Times New Roman"/>
                <w:sz w:val="20"/>
                <w:szCs w:val="20"/>
                <w:lang w:val="hy-AM"/>
              </w:rPr>
              <w:t xml:space="preserve">միջոցառումները </w:t>
            </w:r>
            <w:r w:rsidRPr="0053423A">
              <w:rPr>
                <w:rFonts w:eastAsia="Calibri" w:cs="Times New Roman"/>
                <w:sz w:val="20"/>
                <w:szCs w:val="20"/>
                <w:lang w:val="pl-PL"/>
              </w:rPr>
              <w:t>հիմնականում համապատասխանում են պետության կողմից ստանձնած պարտավորությունների կատարմանը և ռ</w:t>
            </w:r>
            <w:r w:rsidRPr="0053423A">
              <w:rPr>
                <w:rFonts w:eastAsia="Calibri" w:cs="Times New Roman"/>
                <w:sz w:val="20"/>
                <w:szCs w:val="20"/>
                <w:lang w:val="hy-AM"/>
              </w:rPr>
              <w:t>ազմավարական ծրագրերը նպաստել են հանրապետությունում կանանց</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տ</w:t>
            </w:r>
            <w:r w:rsidRPr="0053423A">
              <w:rPr>
                <w:rFonts w:eastAsia="Calibri" w:cs="Times New Roman"/>
                <w:sz w:val="20"/>
                <w:szCs w:val="20"/>
                <w:lang w:val="hy-AM"/>
              </w:rPr>
              <w:t>ղամարդկանց</w:t>
            </w:r>
            <w:r w:rsidRPr="0053423A">
              <w:rPr>
                <w:rFonts w:eastAsia="Calibri" w:cs="Times New Roman"/>
                <w:sz w:val="20"/>
                <w:szCs w:val="20"/>
                <w:lang w:val="af-ZA"/>
              </w:rPr>
              <w:t xml:space="preserve"> </w:t>
            </w:r>
            <w:r w:rsidRPr="0053423A">
              <w:rPr>
                <w:rFonts w:eastAsia="Calibri" w:cs="Times New Roman"/>
                <w:sz w:val="20"/>
                <w:szCs w:val="20"/>
                <w:lang w:val="hy-AM"/>
              </w:rPr>
              <w:t>հավասար</w:t>
            </w:r>
            <w:r w:rsidRPr="0053423A">
              <w:rPr>
                <w:rFonts w:eastAsia="Calibri" w:cs="Times New Roman"/>
                <w:sz w:val="20"/>
                <w:szCs w:val="20"/>
                <w:lang w:val="af-ZA"/>
              </w:rPr>
              <w:t xml:space="preserve"> </w:t>
            </w:r>
            <w:r w:rsidRPr="0053423A">
              <w:rPr>
                <w:rFonts w:eastAsia="Calibri" w:cs="Times New Roman"/>
                <w:sz w:val="20"/>
                <w:szCs w:val="20"/>
                <w:lang w:val="hy-AM"/>
              </w:rPr>
              <w:t>իրավունքների</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w:t>
            </w:r>
            <w:r w:rsidRPr="0053423A">
              <w:rPr>
                <w:rFonts w:eastAsia="Calibri" w:cs="Times New Roman"/>
                <w:sz w:val="20"/>
                <w:szCs w:val="20"/>
                <w:lang w:val="hy-AM"/>
              </w:rPr>
              <w:t>հավասար</w:t>
            </w:r>
            <w:r w:rsidRPr="0053423A">
              <w:rPr>
                <w:rFonts w:eastAsia="Calibri" w:cs="Times New Roman"/>
                <w:sz w:val="20"/>
                <w:szCs w:val="20"/>
                <w:lang w:val="af-ZA"/>
              </w:rPr>
              <w:t xml:space="preserve"> </w:t>
            </w:r>
            <w:r w:rsidRPr="0053423A">
              <w:rPr>
                <w:rFonts w:eastAsia="Calibri" w:cs="Times New Roman"/>
                <w:sz w:val="20"/>
                <w:szCs w:val="20"/>
                <w:lang w:val="hy-AM"/>
              </w:rPr>
              <w:t>հնարավորությունների</w:t>
            </w:r>
            <w:r w:rsidRPr="0053423A">
              <w:rPr>
                <w:rFonts w:eastAsia="Calibri" w:cs="Times New Roman"/>
                <w:sz w:val="20"/>
                <w:szCs w:val="20"/>
                <w:lang w:val="af-ZA"/>
              </w:rPr>
              <w:t xml:space="preserve"> </w:t>
            </w:r>
            <w:r w:rsidRPr="0053423A">
              <w:rPr>
                <w:rFonts w:eastAsia="Calibri" w:cs="Times New Roman"/>
                <w:sz w:val="20"/>
                <w:szCs w:val="20"/>
                <w:lang w:val="hy-AM"/>
              </w:rPr>
              <w:t xml:space="preserve">ապահովման ուղղված ինստիտուցիոնալ մեխանիզմների զարգացմանը: </w:t>
            </w:r>
            <w:r w:rsidRPr="0053423A">
              <w:rPr>
                <w:rFonts w:eastAsia="Calibri" w:cs="Times New Roman"/>
                <w:sz w:val="20"/>
                <w:szCs w:val="20"/>
                <w:lang w:val="pl-PL"/>
              </w:rPr>
              <w:t>Ը</w:t>
            </w:r>
            <w:r w:rsidRPr="0053423A">
              <w:rPr>
                <w:rFonts w:eastAsia="Calibri" w:cs="Times New Roman"/>
                <w:sz w:val="20"/>
                <w:szCs w:val="20"/>
                <w:lang w:val="hy-AM"/>
              </w:rPr>
              <w:t xml:space="preserve">ստ էության իրականացված աշխատանքների շրջանակում ստեղծվել են այն անհրաժեշտ հիմքերը, որոնք հաջորդ ծրագրային փուլում կարող են ստեղծել ներգործուն միջավայր ուղղորդված ոլորտային և միջոլորտային քաղաքականության իրականացման համար: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Սակայն, գենդերային հավասարության հասնելու և խտրականությունը կանխելու նպատակով անհրաժեշտ է ներդնել այնպիսի մեխանիզմներ և գործիքներ, որոնք կնպաստեն կանանց և տղամարդկանց միջև փաստացի հավասարության խթանմանը: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b/>
                <w:sz w:val="20"/>
                <w:szCs w:val="20"/>
                <w:lang w:val="hy-AM"/>
              </w:rPr>
              <w:t xml:space="preserve">1.2 </w:t>
            </w:r>
            <w:r w:rsidRPr="0053423A">
              <w:rPr>
                <w:rFonts w:eastAsia="Calibri" w:cs="Sylfaen"/>
                <w:b/>
                <w:sz w:val="20"/>
                <w:szCs w:val="20"/>
                <w:lang w:val="hy-AM"/>
              </w:rPr>
              <w:t>առկա</w:t>
            </w:r>
            <w:r w:rsidRPr="0053423A">
              <w:rPr>
                <w:rFonts w:eastAsia="Calibri" w:cs="Times New Roman"/>
                <w:b/>
                <w:sz w:val="20"/>
                <w:szCs w:val="20"/>
                <w:lang w:val="hy-AM"/>
              </w:rPr>
              <w:t xml:space="preserve"> խնդիրների առաջարկվող լուծումները</w:t>
            </w:r>
          </w:p>
          <w:p w:rsidR="00514E01" w:rsidRPr="0053423A" w:rsidRDefault="00514E01" w:rsidP="00A67858">
            <w:pPr>
              <w:spacing w:line="276" w:lineRule="auto"/>
              <w:jc w:val="both"/>
              <w:rPr>
                <w:rFonts w:eastAsia="Calibri" w:cs="Times New Roman"/>
                <w:iCs/>
                <w:sz w:val="20"/>
                <w:szCs w:val="20"/>
                <w:lang w:val="hy-AM"/>
              </w:rPr>
            </w:pPr>
            <w:r w:rsidRPr="0053423A">
              <w:rPr>
                <w:rFonts w:eastAsia="Calibri" w:cs="Times New Roman"/>
                <w:iCs/>
                <w:sz w:val="20"/>
                <w:szCs w:val="20"/>
                <w:lang w:val="af-ZA"/>
              </w:rPr>
              <w:t>ՀՀ-ում կ</w:t>
            </w:r>
            <w:r w:rsidRPr="0053423A">
              <w:rPr>
                <w:rFonts w:eastAsia="Calibri" w:cs="Times New Roman"/>
                <w:sz w:val="20"/>
                <w:szCs w:val="20"/>
                <w:lang w:val="hy-AM"/>
              </w:rPr>
              <w:t>անանց</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w:t>
            </w:r>
            <w:r w:rsidRPr="0053423A">
              <w:rPr>
                <w:rFonts w:eastAsia="Calibri" w:cs="Times New Roman"/>
                <w:sz w:val="20"/>
                <w:szCs w:val="20"/>
                <w:lang w:val="hy-AM"/>
              </w:rPr>
              <w:t>տղամարդկանց</w:t>
            </w:r>
            <w:r w:rsidRPr="0053423A">
              <w:rPr>
                <w:rFonts w:eastAsia="Calibri" w:cs="Times New Roman"/>
                <w:sz w:val="20"/>
                <w:szCs w:val="20"/>
                <w:lang w:val="af-ZA"/>
              </w:rPr>
              <w:t xml:space="preserve"> </w:t>
            </w:r>
            <w:r w:rsidRPr="0053423A">
              <w:rPr>
                <w:rFonts w:eastAsia="Calibri" w:cs="Times New Roman"/>
                <w:sz w:val="20"/>
                <w:szCs w:val="20"/>
                <w:lang w:val="hy-AM"/>
              </w:rPr>
              <w:t>հավասար</w:t>
            </w:r>
            <w:r w:rsidRPr="0053423A">
              <w:rPr>
                <w:rFonts w:eastAsia="Calibri" w:cs="Times New Roman"/>
                <w:sz w:val="20"/>
                <w:szCs w:val="20"/>
                <w:lang w:val="af-ZA"/>
              </w:rPr>
              <w:t xml:space="preserve"> </w:t>
            </w:r>
            <w:r w:rsidRPr="0053423A">
              <w:rPr>
                <w:rFonts w:eastAsia="Calibri" w:cs="Times New Roman"/>
                <w:sz w:val="20"/>
                <w:szCs w:val="20"/>
                <w:lang w:val="hy-AM"/>
              </w:rPr>
              <w:t>իրավունքների</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w:t>
            </w:r>
            <w:r w:rsidRPr="0053423A">
              <w:rPr>
                <w:rFonts w:eastAsia="Calibri" w:cs="Times New Roman"/>
                <w:sz w:val="20"/>
                <w:szCs w:val="20"/>
                <w:lang w:val="hy-AM"/>
              </w:rPr>
              <w:t>հավասար</w:t>
            </w:r>
            <w:r w:rsidRPr="0053423A">
              <w:rPr>
                <w:rFonts w:eastAsia="Calibri" w:cs="Times New Roman"/>
                <w:sz w:val="20"/>
                <w:szCs w:val="20"/>
                <w:lang w:val="af-ZA"/>
              </w:rPr>
              <w:t xml:space="preserve"> </w:t>
            </w:r>
            <w:r w:rsidRPr="0053423A">
              <w:rPr>
                <w:rFonts w:eastAsia="Calibri" w:cs="Times New Roman"/>
                <w:sz w:val="20"/>
                <w:szCs w:val="20"/>
                <w:lang w:val="hy-AM"/>
              </w:rPr>
              <w:t>հնարավորությունների</w:t>
            </w:r>
            <w:r w:rsidRPr="0053423A">
              <w:rPr>
                <w:rFonts w:eastAsia="Calibri" w:cs="Times New Roman"/>
                <w:sz w:val="20"/>
                <w:szCs w:val="20"/>
                <w:lang w:val="af-ZA"/>
              </w:rPr>
              <w:t xml:space="preserve"> </w:t>
            </w:r>
            <w:r w:rsidRPr="0053423A">
              <w:rPr>
                <w:rFonts w:eastAsia="Calibri" w:cs="Times New Roman"/>
                <w:sz w:val="20"/>
                <w:szCs w:val="20"/>
                <w:lang w:val="hy-AM"/>
              </w:rPr>
              <w:t>ապահովման</w:t>
            </w:r>
            <w:r w:rsidRPr="0053423A">
              <w:rPr>
                <w:rFonts w:eastAsia="Calibri" w:cs="Times New Roman"/>
                <w:iCs/>
                <w:sz w:val="20"/>
                <w:szCs w:val="20"/>
                <w:lang w:val="af-ZA"/>
              </w:rPr>
              <w:t xml:space="preserve"> հավասարության քաղաքականության շարունակականությունն ապահովելու </w:t>
            </w:r>
            <w:r w:rsidRPr="0053423A">
              <w:rPr>
                <w:rFonts w:eastAsia="Calibri" w:cs="Times New Roman"/>
                <w:sz w:val="20"/>
                <w:szCs w:val="20"/>
                <w:lang w:val="hy-AM"/>
              </w:rPr>
              <w:t xml:space="preserve"> համար անհրաժեշտ է նոր ռազմավարական ծրագրի ընդունում 2019-2023 թվականների համար, որն ուղղված կլինի.</w:t>
            </w:r>
          </w:p>
          <w:p w:rsidR="00514E01" w:rsidRPr="0053423A" w:rsidRDefault="00514E01" w:rsidP="001F6D5D">
            <w:pPr>
              <w:numPr>
                <w:ilvl w:val="0"/>
                <w:numId w:val="169"/>
              </w:numPr>
              <w:spacing w:line="276" w:lineRule="auto"/>
              <w:jc w:val="both"/>
              <w:rPr>
                <w:rFonts w:eastAsia="Calibri" w:cs="Times New Roman"/>
                <w:sz w:val="20"/>
                <w:szCs w:val="20"/>
                <w:lang w:val="hy-AM"/>
              </w:rPr>
            </w:pPr>
            <w:r w:rsidRPr="0053423A">
              <w:rPr>
                <w:rFonts w:eastAsia="Calibri" w:cs="Times New Roman"/>
                <w:sz w:val="20"/>
                <w:szCs w:val="20"/>
                <w:lang w:val="hy-AM"/>
              </w:rPr>
              <w:t>կանանց և տղամարդկանց անհատական ներուժի ինքնադրսևորման համար հավասար պայմանների և հավասար հնարավորությունների ստեղծմանը,</w:t>
            </w:r>
          </w:p>
          <w:p w:rsidR="00514E01" w:rsidRPr="0053423A" w:rsidRDefault="00514E01" w:rsidP="001F6D5D">
            <w:pPr>
              <w:numPr>
                <w:ilvl w:val="0"/>
                <w:numId w:val="169"/>
              </w:numPr>
              <w:spacing w:line="276" w:lineRule="auto"/>
              <w:jc w:val="both"/>
              <w:rPr>
                <w:rFonts w:eastAsia="Calibri" w:cs="Times New Roman"/>
                <w:sz w:val="20"/>
                <w:szCs w:val="20"/>
                <w:lang w:val="hy-AM"/>
              </w:rPr>
            </w:pPr>
            <w:r w:rsidRPr="0053423A">
              <w:rPr>
                <w:rFonts w:eastAsia="Calibri" w:cs="Times New Roman"/>
                <w:sz w:val="20"/>
                <w:szCs w:val="20"/>
                <w:lang w:val="hy-AM"/>
              </w:rPr>
              <w:t xml:space="preserve">իրավունքների, պարտականությունների և պատասխանատվության իրական հավասարության ապահովմանը, </w:t>
            </w:r>
          </w:p>
          <w:p w:rsidR="00514E01" w:rsidRPr="0053423A" w:rsidRDefault="00514E01" w:rsidP="001F6D5D">
            <w:pPr>
              <w:numPr>
                <w:ilvl w:val="0"/>
                <w:numId w:val="169"/>
              </w:numPr>
              <w:spacing w:line="276" w:lineRule="auto"/>
              <w:jc w:val="both"/>
              <w:rPr>
                <w:rFonts w:eastAsia="Calibri" w:cs="Times New Roman"/>
                <w:sz w:val="20"/>
                <w:szCs w:val="20"/>
                <w:lang w:val="hy-AM"/>
              </w:rPr>
            </w:pPr>
            <w:r w:rsidRPr="0053423A">
              <w:rPr>
                <w:rFonts w:eastAsia="Calibri" w:cs="Times New Roman"/>
                <w:sz w:val="20"/>
                <w:szCs w:val="20"/>
                <w:lang w:val="hy-AM"/>
              </w:rPr>
              <w:t>հասարակական կյանքի բոլոր ոլորտներում երկու սեռերի հավասար մասնակցության ապահովմանը,</w:t>
            </w:r>
          </w:p>
          <w:p w:rsidR="00514E01" w:rsidRPr="0053423A" w:rsidRDefault="00514E01" w:rsidP="001F6D5D">
            <w:pPr>
              <w:numPr>
                <w:ilvl w:val="0"/>
                <w:numId w:val="169"/>
              </w:numPr>
              <w:spacing w:line="276" w:lineRule="auto"/>
              <w:jc w:val="both"/>
              <w:rPr>
                <w:rFonts w:eastAsia="Calibri" w:cs="Times New Roman"/>
                <w:sz w:val="20"/>
                <w:szCs w:val="20"/>
                <w:lang w:val="hy-AM"/>
              </w:rPr>
            </w:pPr>
            <w:r w:rsidRPr="0053423A">
              <w:rPr>
                <w:rFonts w:eastAsia="Calibri" w:cs="Times New Roman"/>
                <w:sz w:val="20"/>
                <w:szCs w:val="20"/>
              </w:rPr>
              <w:t>գենդերային</w:t>
            </w:r>
            <w:r w:rsidRPr="0053423A">
              <w:rPr>
                <w:rFonts w:eastAsia="Calibri" w:cs="Times New Roman"/>
                <w:sz w:val="20"/>
                <w:szCs w:val="20"/>
                <w:lang w:val="hy-AM"/>
              </w:rPr>
              <w:t xml:space="preserve"> կարծրատիպերի հաղթահարմանը:</w:t>
            </w:r>
          </w:p>
          <w:p w:rsidR="00514E01" w:rsidRPr="0053423A" w:rsidRDefault="00514E01" w:rsidP="001F6D5D">
            <w:pPr>
              <w:numPr>
                <w:ilvl w:val="0"/>
                <w:numId w:val="170"/>
              </w:numPr>
              <w:spacing w:line="276" w:lineRule="auto"/>
              <w:jc w:val="both"/>
              <w:rPr>
                <w:rFonts w:eastAsia="Calibri" w:cs="Times New Roman"/>
                <w:b/>
                <w:sz w:val="20"/>
                <w:szCs w:val="20"/>
              </w:rPr>
            </w:pPr>
            <w:r w:rsidRPr="0053423A">
              <w:rPr>
                <w:rFonts w:eastAsia="Calibri" w:cs="Times New Roman"/>
                <w:b/>
                <w:sz w:val="20"/>
                <w:szCs w:val="20"/>
              </w:rPr>
              <w:t>Միջոցառման իրակացումից ակնկալվող արդյունքը</w:t>
            </w:r>
          </w:p>
          <w:p w:rsidR="00514E01" w:rsidRPr="0053423A" w:rsidRDefault="00514E01" w:rsidP="00A67858">
            <w:pPr>
              <w:spacing w:line="276" w:lineRule="auto"/>
              <w:rPr>
                <w:sz w:val="20"/>
                <w:szCs w:val="20"/>
                <w:lang w:val="hy-AM"/>
              </w:rPr>
            </w:pPr>
            <w:r w:rsidRPr="0053423A">
              <w:rPr>
                <w:rFonts w:ascii="Calibri" w:eastAsia="Calibri" w:hAnsi="Calibri" w:cs="Calibri"/>
                <w:sz w:val="20"/>
                <w:szCs w:val="20"/>
              </w:rPr>
              <w:t> </w:t>
            </w:r>
            <w:r w:rsidRPr="0053423A">
              <w:rPr>
                <w:rFonts w:eastAsia="Calibri" w:cs="Courier New"/>
                <w:sz w:val="20"/>
                <w:szCs w:val="20"/>
              </w:rPr>
              <w:t>Ռազմավարության դրույթների իրացումը կնպաստի հ</w:t>
            </w:r>
            <w:r w:rsidRPr="0053423A">
              <w:rPr>
                <w:rFonts w:eastAsia="Calibri" w:cs="Times New Roman"/>
                <w:sz w:val="20"/>
                <w:szCs w:val="20"/>
              </w:rPr>
              <w:t>ասարակական</w:t>
            </w:r>
            <w:r w:rsidRPr="0053423A">
              <w:rPr>
                <w:rFonts w:eastAsia="Calibri" w:cs="Times New Roman"/>
                <w:sz w:val="20"/>
                <w:szCs w:val="20"/>
                <w:lang w:val="af-ZA"/>
              </w:rPr>
              <w:t xml:space="preserve"> </w:t>
            </w:r>
            <w:r w:rsidRPr="0053423A">
              <w:rPr>
                <w:rFonts w:eastAsia="Calibri" w:cs="Times New Roman"/>
                <w:sz w:val="20"/>
                <w:szCs w:val="20"/>
              </w:rPr>
              <w:t>կյանքի</w:t>
            </w:r>
            <w:r w:rsidRPr="0053423A">
              <w:rPr>
                <w:rFonts w:eastAsia="Calibri" w:cs="Times New Roman"/>
                <w:sz w:val="20"/>
                <w:szCs w:val="20"/>
                <w:lang w:val="af-ZA"/>
              </w:rPr>
              <w:t xml:space="preserve"> </w:t>
            </w:r>
            <w:r w:rsidRPr="0053423A">
              <w:rPr>
                <w:rFonts w:eastAsia="Calibri" w:cs="Times New Roman"/>
                <w:sz w:val="20"/>
                <w:szCs w:val="20"/>
              </w:rPr>
              <w:t>բոլոր</w:t>
            </w:r>
            <w:r w:rsidRPr="0053423A">
              <w:rPr>
                <w:rFonts w:eastAsia="Calibri" w:cs="Times New Roman"/>
                <w:sz w:val="20"/>
                <w:szCs w:val="20"/>
                <w:lang w:val="af-ZA"/>
              </w:rPr>
              <w:t xml:space="preserve"> </w:t>
            </w:r>
            <w:r w:rsidRPr="0053423A">
              <w:rPr>
                <w:rFonts w:eastAsia="Calibri" w:cs="Times New Roman"/>
                <w:sz w:val="20"/>
                <w:szCs w:val="20"/>
              </w:rPr>
              <w:t>ոլորտներում</w:t>
            </w:r>
            <w:r w:rsidRPr="0053423A">
              <w:rPr>
                <w:rFonts w:eastAsia="Calibri" w:cs="Times New Roman"/>
                <w:sz w:val="20"/>
                <w:szCs w:val="20"/>
                <w:lang w:val="af-ZA"/>
              </w:rPr>
              <w:t xml:space="preserve"> </w:t>
            </w:r>
            <w:r w:rsidRPr="0053423A">
              <w:rPr>
                <w:rFonts w:eastAsia="Calibri" w:cs="Times New Roman"/>
                <w:sz w:val="20"/>
                <w:szCs w:val="20"/>
              </w:rPr>
              <w:t>գ</w:t>
            </w:r>
            <w:r w:rsidRPr="0053423A">
              <w:rPr>
                <w:rFonts w:eastAsia="Calibri" w:cs="Times New Roman"/>
                <w:sz w:val="20"/>
                <w:szCs w:val="20"/>
                <w:lang w:val="hy-AM"/>
              </w:rPr>
              <w:t>ենդերային խտրականության հաղթահար</w:t>
            </w:r>
            <w:r w:rsidRPr="0053423A">
              <w:rPr>
                <w:rFonts w:eastAsia="Calibri" w:cs="Times New Roman"/>
                <w:sz w:val="20"/>
                <w:szCs w:val="20"/>
              </w:rPr>
              <w:t>մանը</w:t>
            </w:r>
            <w:r w:rsidRPr="0053423A">
              <w:rPr>
                <w:rFonts w:eastAsia="Calibri" w:cs="Times New Roman"/>
                <w:sz w:val="20"/>
                <w:szCs w:val="20"/>
                <w:lang w:val="hy-AM"/>
              </w:rPr>
              <w:t xml:space="preserve"> և </w:t>
            </w:r>
            <w:r w:rsidRPr="0053423A">
              <w:rPr>
                <w:rFonts w:eastAsia="Calibri" w:cs="Times New Roman"/>
                <w:sz w:val="20"/>
                <w:szCs w:val="20"/>
              </w:rPr>
              <w:t xml:space="preserve">կանանց </w:t>
            </w:r>
            <w:r w:rsidRPr="0053423A">
              <w:rPr>
                <w:rFonts w:eastAsia="Calibri" w:cs="Times New Roman"/>
                <w:sz w:val="20"/>
                <w:szCs w:val="20"/>
                <w:lang w:val="hy-AM"/>
              </w:rPr>
              <w:t>հավասար մասնակցությ</w:t>
            </w:r>
            <w:r w:rsidRPr="0053423A">
              <w:rPr>
                <w:rFonts w:eastAsia="Calibri" w:cs="Times New Roman"/>
                <w:sz w:val="20"/>
                <w:szCs w:val="20"/>
              </w:rPr>
              <w:t>ա</w:t>
            </w:r>
            <w:r w:rsidRPr="0053423A">
              <w:rPr>
                <w:rFonts w:eastAsia="Calibri" w:cs="Times New Roman"/>
                <w:sz w:val="20"/>
                <w:szCs w:val="20"/>
                <w:lang w:val="hy-AM"/>
              </w:rPr>
              <w:t xml:space="preserve">ն </w:t>
            </w:r>
            <w:r w:rsidRPr="0053423A">
              <w:rPr>
                <w:rFonts w:eastAsia="Calibri" w:cs="Times New Roman"/>
                <w:sz w:val="20"/>
                <w:szCs w:val="20"/>
              </w:rPr>
              <w:t xml:space="preserve">ապահովմանը </w:t>
            </w:r>
            <w:r w:rsidRPr="0053423A">
              <w:rPr>
                <w:rFonts w:eastAsia="Calibri" w:cs="Times New Roman"/>
                <w:sz w:val="20"/>
                <w:szCs w:val="20"/>
                <w:lang w:val="hy-AM"/>
              </w:rPr>
              <w:t xml:space="preserve">կառավարման </w:t>
            </w:r>
            <w:r w:rsidRPr="0053423A">
              <w:rPr>
                <w:rFonts w:eastAsia="Calibri" w:cs="Times New Roman"/>
                <w:sz w:val="20"/>
                <w:szCs w:val="20"/>
              </w:rPr>
              <w:t xml:space="preserve">և որոշումների կայացման </w:t>
            </w:r>
            <w:r w:rsidRPr="0053423A">
              <w:rPr>
                <w:rFonts w:eastAsia="Calibri" w:cs="Times New Roman"/>
                <w:sz w:val="20"/>
                <w:szCs w:val="20"/>
                <w:lang w:val="hy-AM"/>
              </w:rPr>
              <w:t>ոլորտում</w:t>
            </w:r>
            <w:r w:rsidRPr="0053423A">
              <w:rPr>
                <w:rFonts w:eastAsia="Calibri" w:cs="Times New Roman"/>
                <w:sz w:val="20"/>
                <w:szCs w:val="20"/>
              </w:rPr>
              <w:t xml:space="preserve">, </w:t>
            </w:r>
            <w:r w:rsidRPr="0053423A">
              <w:rPr>
                <w:rFonts w:eastAsia="Calibri" w:cs="Times New Roman"/>
                <w:sz w:val="20"/>
                <w:szCs w:val="20"/>
                <w:lang w:val="hy-AM"/>
              </w:rPr>
              <w:t xml:space="preserve"> </w:t>
            </w:r>
            <w:r w:rsidRPr="0053423A">
              <w:rPr>
                <w:rFonts w:eastAsia="Calibri" w:cs="Times New Roman"/>
                <w:sz w:val="20"/>
                <w:szCs w:val="20"/>
              </w:rPr>
              <w:t>տնտեսության ոլորտում կանանց հնարավորությունների ընդլայնմանը՝ կանանց ձեռներեցությունը խթանող ծրագրերի իրականացման միջոցով, կրթական և առողջապահական ծրագրերի հավասար մատչելիությանը, կ</w:t>
            </w:r>
            <w:r w:rsidRPr="0053423A">
              <w:rPr>
                <w:rFonts w:eastAsia="Calibri" w:cs="Times New Roman"/>
                <w:sz w:val="20"/>
                <w:szCs w:val="20"/>
                <w:lang w:val="hy-AM"/>
              </w:rPr>
              <w:t xml:space="preserve">անանց առաջխաղացման ազգային մեխանիզմի </w:t>
            </w:r>
            <w:r w:rsidRPr="0053423A">
              <w:rPr>
                <w:rFonts w:eastAsia="Calibri" w:cs="Times New Roman"/>
                <w:sz w:val="20"/>
                <w:szCs w:val="20"/>
              </w:rPr>
              <w:t>հզորացմանը:</w:t>
            </w:r>
          </w:p>
        </w:tc>
      </w:tr>
      <w:tr w:rsidR="00514E01" w:rsidRPr="0053423A" w:rsidTr="00BC61ED">
        <w:tc>
          <w:tcPr>
            <w:tcW w:w="630" w:type="dxa"/>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10</w:t>
            </w:r>
          </w:p>
        </w:tc>
        <w:tc>
          <w:tcPr>
            <w:tcW w:w="10890" w:type="dxa"/>
          </w:tcPr>
          <w:p w:rsidR="00514E01" w:rsidRPr="0053423A" w:rsidRDefault="00514E01" w:rsidP="00A67858">
            <w:pPr>
              <w:spacing w:line="276" w:lineRule="auto"/>
              <w:jc w:val="both"/>
              <w:rPr>
                <w:rFonts w:eastAsia="Calibri" w:cs="Sylfaen"/>
                <w:b/>
                <w:sz w:val="20"/>
                <w:szCs w:val="20"/>
                <w:u w:val="single"/>
                <w:lang w:val="hy-AM"/>
              </w:rPr>
            </w:pPr>
            <w:r w:rsidRPr="0053423A">
              <w:rPr>
                <w:rFonts w:eastAsia="Calibri" w:cs="Sylfaen"/>
                <w:b/>
                <w:sz w:val="20"/>
                <w:szCs w:val="20"/>
                <w:u w:val="single"/>
                <w:lang w:val="hy-AM"/>
              </w:rPr>
              <w:t>10.1 Ընտանիքում բռնության կանխարգելման իրավական դաշտի բարելավում, ընտանիքում բռնության դեպքերի հաշվառման և ընտանիքում բռնության ենթարկված անձանց ուղղորդման համակարգի և աջակցության տրամադրման մեխանիզմների ներդրում,  ինչպես նաև խնդրով զբաղվող տարբեր մարմինների և կառույցների միջև գործընկերային հարաբերությունների ամրապնդում</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1.Միջոցառման իրականացման անհրաժեշտությունը և նպատակը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Միջոցառման իրականացումը պայմանավորված է </w:t>
            </w:r>
            <w:r w:rsidRPr="0053423A">
              <w:rPr>
                <w:rFonts w:eastAsia="Calibri" w:cs="Times New Roman"/>
                <w:iCs/>
                <w:sz w:val="20"/>
                <w:szCs w:val="20"/>
                <w:lang w:val="af-ZA"/>
              </w:rPr>
              <w:t>«</w:t>
            </w:r>
            <w:r w:rsidRPr="0053423A">
              <w:rPr>
                <w:rFonts w:eastAsia="Calibri" w:cs="Times New Roman"/>
                <w:sz w:val="20"/>
                <w:szCs w:val="20"/>
                <w:lang w:val="hy-AM"/>
              </w:rPr>
              <w:t>Ընտանիքում</w:t>
            </w:r>
            <w:r w:rsidRPr="0053423A">
              <w:rPr>
                <w:rFonts w:eastAsia="Calibri" w:cs="Times New Roman"/>
                <w:sz w:val="20"/>
                <w:szCs w:val="20"/>
                <w:lang w:val="af-ZA"/>
              </w:rPr>
              <w:t xml:space="preserve"> </w:t>
            </w:r>
            <w:r w:rsidRPr="0053423A">
              <w:rPr>
                <w:rFonts w:eastAsia="Calibri" w:cs="Times New Roman"/>
                <w:sz w:val="20"/>
                <w:szCs w:val="20"/>
                <w:lang w:val="hy-AM"/>
              </w:rPr>
              <w:t>բռնության</w:t>
            </w:r>
            <w:r w:rsidRPr="0053423A">
              <w:rPr>
                <w:rFonts w:eastAsia="Calibri" w:cs="Times New Roman"/>
                <w:sz w:val="20"/>
                <w:szCs w:val="20"/>
                <w:lang w:val="af-ZA"/>
              </w:rPr>
              <w:t xml:space="preserve"> </w:t>
            </w:r>
            <w:r w:rsidRPr="0053423A">
              <w:rPr>
                <w:rFonts w:eastAsia="Calibri" w:cs="Times New Roman"/>
                <w:sz w:val="20"/>
                <w:szCs w:val="20"/>
                <w:lang w:val="hy-AM"/>
              </w:rPr>
              <w:t>կանխարգելման</w:t>
            </w:r>
            <w:r w:rsidRPr="0053423A">
              <w:rPr>
                <w:rFonts w:eastAsia="Calibri" w:cs="Times New Roman"/>
                <w:sz w:val="20"/>
                <w:szCs w:val="20"/>
                <w:lang w:val="af-ZA"/>
              </w:rPr>
              <w:t xml:space="preserve">, </w:t>
            </w:r>
            <w:r w:rsidRPr="0053423A">
              <w:rPr>
                <w:rFonts w:eastAsia="Calibri" w:cs="Times New Roman"/>
                <w:sz w:val="20"/>
                <w:szCs w:val="20"/>
                <w:lang w:val="hy-AM"/>
              </w:rPr>
              <w:t>ընտանիքում</w:t>
            </w:r>
            <w:r w:rsidRPr="0053423A">
              <w:rPr>
                <w:rFonts w:eastAsia="Calibri" w:cs="Times New Roman"/>
                <w:sz w:val="20"/>
                <w:szCs w:val="20"/>
                <w:lang w:val="af-ZA"/>
              </w:rPr>
              <w:t xml:space="preserve"> </w:t>
            </w:r>
            <w:r w:rsidRPr="0053423A">
              <w:rPr>
                <w:rFonts w:eastAsia="Calibri" w:cs="Times New Roman"/>
                <w:sz w:val="20"/>
                <w:szCs w:val="20"/>
                <w:lang w:val="hy-AM"/>
              </w:rPr>
              <w:t>բռնության</w:t>
            </w:r>
            <w:r w:rsidRPr="0053423A">
              <w:rPr>
                <w:rFonts w:eastAsia="Calibri" w:cs="Times New Roman"/>
                <w:sz w:val="20"/>
                <w:szCs w:val="20"/>
                <w:lang w:val="af-ZA"/>
              </w:rPr>
              <w:t xml:space="preserve"> </w:t>
            </w:r>
            <w:r w:rsidRPr="0053423A">
              <w:rPr>
                <w:rFonts w:eastAsia="Calibri" w:cs="Times New Roman"/>
                <w:sz w:val="20"/>
                <w:szCs w:val="20"/>
                <w:lang w:val="hy-AM"/>
              </w:rPr>
              <w:t>ենթարկված</w:t>
            </w:r>
            <w:r w:rsidRPr="0053423A">
              <w:rPr>
                <w:rFonts w:eastAsia="Calibri" w:cs="Times New Roman"/>
                <w:sz w:val="20"/>
                <w:szCs w:val="20"/>
                <w:lang w:val="af-ZA"/>
              </w:rPr>
              <w:t xml:space="preserve"> </w:t>
            </w:r>
            <w:r w:rsidRPr="0053423A">
              <w:rPr>
                <w:rFonts w:eastAsia="Calibri" w:cs="Times New Roman"/>
                <w:sz w:val="20"/>
                <w:szCs w:val="20"/>
                <w:lang w:val="hy-AM"/>
              </w:rPr>
              <w:t>անձանց</w:t>
            </w:r>
            <w:r w:rsidRPr="0053423A">
              <w:rPr>
                <w:rFonts w:eastAsia="Calibri" w:cs="Times New Roman"/>
                <w:sz w:val="20"/>
                <w:szCs w:val="20"/>
                <w:lang w:val="af-ZA"/>
              </w:rPr>
              <w:t xml:space="preserve"> </w:t>
            </w:r>
            <w:r w:rsidRPr="0053423A">
              <w:rPr>
                <w:rFonts w:eastAsia="Calibri" w:cs="Times New Roman"/>
                <w:sz w:val="20"/>
                <w:szCs w:val="20"/>
                <w:lang w:val="hy-AM"/>
              </w:rPr>
              <w:t>պաշտպանության</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w:t>
            </w:r>
            <w:r w:rsidRPr="0053423A">
              <w:rPr>
                <w:rFonts w:eastAsia="Calibri" w:cs="Times New Roman"/>
                <w:sz w:val="20"/>
                <w:szCs w:val="20"/>
                <w:lang w:val="hy-AM"/>
              </w:rPr>
              <w:t>ընտանիքում</w:t>
            </w:r>
            <w:r w:rsidRPr="0053423A">
              <w:rPr>
                <w:rFonts w:eastAsia="Calibri" w:cs="Times New Roman"/>
                <w:sz w:val="20"/>
                <w:szCs w:val="20"/>
                <w:lang w:val="af-ZA"/>
              </w:rPr>
              <w:t xml:space="preserve"> </w:t>
            </w:r>
            <w:r w:rsidRPr="0053423A">
              <w:rPr>
                <w:rFonts w:eastAsia="Calibri" w:cs="Times New Roman"/>
                <w:sz w:val="20"/>
                <w:szCs w:val="20"/>
                <w:lang w:val="hy-AM"/>
              </w:rPr>
              <w:t>համերաշխության</w:t>
            </w:r>
            <w:r w:rsidRPr="0053423A">
              <w:rPr>
                <w:rFonts w:eastAsia="Calibri" w:cs="Times New Roman"/>
                <w:sz w:val="20"/>
                <w:szCs w:val="20"/>
                <w:lang w:val="af-ZA"/>
              </w:rPr>
              <w:t xml:space="preserve"> </w:t>
            </w:r>
            <w:r w:rsidRPr="0053423A">
              <w:rPr>
                <w:rFonts w:eastAsia="Calibri" w:cs="Times New Roman"/>
                <w:sz w:val="20"/>
                <w:szCs w:val="20"/>
                <w:lang w:val="hy-AM"/>
              </w:rPr>
              <w:t>վերականգնման</w:t>
            </w:r>
            <w:r w:rsidRPr="0053423A">
              <w:rPr>
                <w:rFonts w:eastAsia="Calibri" w:cs="Times New Roman"/>
                <w:sz w:val="20"/>
                <w:szCs w:val="20"/>
                <w:lang w:val="af-ZA"/>
              </w:rPr>
              <w:t xml:space="preserve"> </w:t>
            </w:r>
            <w:r w:rsidRPr="0053423A">
              <w:rPr>
                <w:rFonts w:eastAsia="Calibri" w:cs="Times New Roman"/>
                <w:sz w:val="20"/>
                <w:szCs w:val="20"/>
                <w:lang w:val="hy-AM"/>
              </w:rPr>
              <w:t>մասին» օրենքով և դրա կիրարկուն ապահովող իրավական ակտերով սահմանված մեխանիզմների ներդրման անհրաժեշտությամբ:</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Բացի այդ, Հայաստանի Հանրապետությունը 2015թ. ստորագրել է «Հանրային ֆինանսական քաղաքականության բարեփոխումները Հայաստանում» ԵՄ բյուջետային աջակցության համաձայնագրերը, ըստ որի պարտավորվել է ստեղծել՝ ընտանիքում բռնության ենթարկված անձանց ուղղորդման և աջակցության արդյունավետ մեխանիզմներ և  ստեղծել Հայաստանի բոլոր մարզերում և մայրաքաղաքում գործող, պետության կողմից ֆինանսավորվող աջակցության կենտրոններ:</w:t>
            </w:r>
          </w:p>
          <w:p w:rsidR="00514E01" w:rsidRPr="0053423A" w:rsidRDefault="00514E01" w:rsidP="001F6D5D">
            <w:pPr>
              <w:numPr>
                <w:ilvl w:val="1"/>
                <w:numId w:val="171"/>
              </w:numPr>
              <w:spacing w:line="276" w:lineRule="auto"/>
              <w:jc w:val="both"/>
              <w:rPr>
                <w:rFonts w:eastAsia="Calibri" w:cs="Times New Roman"/>
                <w:b/>
                <w:sz w:val="20"/>
                <w:szCs w:val="20"/>
                <w:lang w:val="hy-AM"/>
              </w:rPr>
            </w:pPr>
            <w:r w:rsidRPr="0053423A">
              <w:rPr>
                <w:rFonts w:eastAsia="Calibri" w:cs="Times New Roman"/>
                <w:b/>
                <w:sz w:val="20"/>
                <w:szCs w:val="20"/>
                <w:lang w:val="hy-AM"/>
              </w:rPr>
              <w:t>Կարգավորման հարաբերությունների ներկա վիճակը և առկա խնդիրները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Շարունակելով միջազգային իրավական փաստաթղթերի պահանջներին համապատասխան և ժամանակի մարտահրավերներին համահունչ օրենսդրության կատարելագործման աշխատանքները Հայաստանի Հանրապետության Ազգային ժողովի կողմից 2017 թվականի դեկտեմբերի 13-ին</w:t>
            </w:r>
            <w:r w:rsidRPr="0053423A">
              <w:rPr>
                <w:rFonts w:eastAsia="Calibri" w:cs="Times New Roman"/>
                <w:iCs/>
                <w:sz w:val="20"/>
                <w:szCs w:val="20"/>
                <w:lang w:val="af-ZA"/>
              </w:rPr>
              <w:t xml:space="preserve"> ընդունվել է «</w:t>
            </w:r>
            <w:r w:rsidRPr="0053423A">
              <w:rPr>
                <w:rFonts w:eastAsia="Calibri" w:cs="Times New Roman"/>
                <w:sz w:val="20"/>
                <w:szCs w:val="20"/>
                <w:lang w:val="hy-AM"/>
              </w:rPr>
              <w:t>Ընտանիքում</w:t>
            </w:r>
            <w:r w:rsidRPr="0053423A">
              <w:rPr>
                <w:rFonts w:eastAsia="Calibri" w:cs="Times New Roman"/>
                <w:sz w:val="20"/>
                <w:szCs w:val="20"/>
                <w:lang w:val="af-ZA"/>
              </w:rPr>
              <w:t xml:space="preserve"> </w:t>
            </w:r>
            <w:r w:rsidRPr="0053423A">
              <w:rPr>
                <w:rFonts w:eastAsia="Calibri" w:cs="Times New Roman"/>
                <w:sz w:val="20"/>
                <w:szCs w:val="20"/>
                <w:lang w:val="hy-AM"/>
              </w:rPr>
              <w:t>բռնության</w:t>
            </w:r>
            <w:r w:rsidRPr="0053423A">
              <w:rPr>
                <w:rFonts w:eastAsia="Calibri" w:cs="Times New Roman"/>
                <w:sz w:val="20"/>
                <w:szCs w:val="20"/>
                <w:lang w:val="af-ZA"/>
              </w:rPr>
              <w:t xml:space="preserve"> </w:t>
            </w:r>
            <w:r w:rsidRPr="0053423A">
              <w:rPr>
                <w:rFonts w:eastAsia="Calibri" w:cs="Times New Roman"/>
                <w:sz w:val="20"/>
                <w:szCs w:val="20"/>
                <w:lang w:val="hy-AM"/>
              </w:rPr>
              <w:t>կանխարգելման</w:t>
            </w:r>
            <w:r w:rsidRPr="0053423A">
              <w:rPr>
                <w:rFonts w:eastAsia="Calibri" w:cs="Times New Roman"/>
                <w:sz w:val="20"/>
                <w:szCs w:val="20"/>
                <w:lang w:val="af-ZA"/>
              </w:rPr>
              <w:t xml:space="preserve">, </w:t>
            </w:r>
            <w:r w:rsidRPr="0053423A">
              <w:rPr>
                <w:rFonts w:eastAsia="Calibri" w:cs="Times New Roman"/>
                <w:sz w:val="20"/>
                <w:szCs w:val="20"/>
                <w:lang w:val="hy-AM"/>
              </w:rPr>
              <w:t>ընտանիքում</w:t>
            </w:r>
            <w:r w:rsidRPr="0053423A">
              <w:rPr>
                <w:rFonts w:eastAsia="Calibri" w:cs="Times New Roman"/>
                <w:sz w:val="20"/>
                <w:szCs w:val="20"/>
                <w:lang w:val="af-ZA"/>
              </w:rPr>
              <w:t xml:space="preserve"> </w:t>
            </w:r>
            <w:r w:rsidRPr="0053423A">
              <w:rPr>
                <w:rFonts w:eastAsia="Calibri" w:cs="Times New Roman"/>
                <w:sz w:val="20"/>
                <w:szCs w:val="20"/>
                <w:lang w:val="hy-AM"/>
              </w:rPr>
              <w:t>բռնության</w:t>
            </w:r>
            <w:r w:rsidRPr="0053423A">
              <w:rPr>
                <w:rFonts w:eastAsia="Calibri" w:cs="Times New Roman"/>
                <w:sz w:val="20"/>
                <w:szCs w:val="20"/>
                <w:lang w:val="af-ZA"/>
              </w:rPr>
              <w:t xml:space="preserve"> </w:t>
            </w:r>
            <w:r w:rsidRPr="0053423A">
              <w:rPr>
                <w:rFonts w:eastAsia="Calibri" w:cs="Times New Roman"/>
                <w:sz w:val="20"/>
                <w:szCs w:val="20"/>
                <w:lang w:val="hy-AM"/>
              </w:rPr>
              <w:t>ենթարկված</w:t>
            </w:r>
            <w:r w:rsidRPr="0053423A">
              <w:rPr>
                <w:rFonts w:eastAsia="Calibri" w:cs="Times New Roman"/>
                <w:sz w:val="20"/>
                <w:szCs w:val="20"/>
                <w:lang w:val="af-ZA"/>
              </w:rPr>
              <w:t xml:space="preserve"> </w:t>
            </w:r>
            <w:r w:rsidRPr="0053423A">
              <w:rPr>
                <w:rFonts w:eastAsia="Calibri" w:cs="Times New Roman"/>
                <w:sz w:val="20"/>
                <w:szCs w:val="20"/>
                <w:lang w:val="hy-AM"/>
              </w:rPr>
              <w:t>անձանց</w:t>
            </w:r>
            <w:r w:rsidRPr="0053423A">
              <w:rPr>
                <w:rFonts w:eastAsia="Calibri" w:cs="Times New Roman"/>
                <w:sz w:val="20"/>
                <w:szCs w:val="20"/>
                <w:lang w:val="af-ZA"/>
              </w:rPr>
              <w:t xml:space="preserve"> </w:t>
            </w:r>
            <w:r w:rsidRPr="0053423A">
              <w:rPr>
                <w:rFonts w:eastAsia="Calibri" w:cs="Times New Roman"/>
                <w:sz w:val="20"/>
                <w:szCs w:val="20"/>
                <w:lang w:val="hy-AM"/>
              </w:rPr>
              <w:t>պաշտպանության</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w:t>
            </w:r>
            <w:r w:rsidRPr="0053423A">
              <w:rPr>
                <w:rFonts w:eastAsia="Calibri" w:cs="Times New Roman"/>
                <w:sz w:val="20"/>
                <w:szCs w:val="20"/>
                <w:lang w:val="hy-AM"/>
              </w:rPr>
              <w:t>ընտանիքում</w:t>
            </w:r>
            <w:r w:rsidRPr="0053423A">
              <w:rPr>
                <w:rFonts w:eastAsia="Calibri" w:cs="Times New Roman"/>
                <w:sz w:val="20"/>
                <w:szCs w:val="20"/>
                <w:lang w:val="af-ZA"/>
              </w:rPr>
              <w:t xml:space="preserve"> </w:t>
            </w:r>
            <w:r w:rsidRPr="0053423A">
              <w:rPr>
                <w:rFonts w:eastAsia="Calibri" w:cs="Times New Roman"/>
                <w:sz w:val="20"/>
                <w:szCs w:val="20"/>
                <w:lang w:val="hy-AM"/>
              </w:rPr>
              <w:t>համերաշխության</w:t>
            </w:r>
            <w:r w:rsidRPr="0053423A">
              <w:rPr>
                <w:rFonts w:eastAsia="Calibri" w:cs="Times New Roman"/>
                <w:sz w:val="20"/>
                <w:szCs w:val="20"/>
                <w:lang w:val="af-ZA"/>
              </w:rPr>
              <w:t xml:space="preserve"> </w:t>
            </w:r>
            <w:r w:rsidRPr="0053423A">
              <w:rPr>
                <w:rFonts w:eastAsia="Calibri" w:cs="Times New Roman"/>
                <w:sz w:val="20"/>
                <w:szCs w:val="20"/>
                <w:lang w:val="hy-AM"/>
              </w:rPr>
              <w:t>վերականգնման</w:t>
            </w:r>
            <w:r w:rsidRPr="0053423A">
              <w:rPr>
                <w:rFonts w:eastAsia="Calibri" w:cs="Times New Roman"/>
                <w:sz w:val="20"/>
                <w:szCs w:val="20"/>
                <w:lang w:val="af-ZA"/>
              </w:rPr>
              <w:t xml:space="preserve"> </w:t>
            </w:r>
            <w:r w:rsidRPr="0053423A">
              <w:rPr>
                <w:rFonts w:eastAsia="Calibri" w:cs="Times New Roman"/>
                <w:sz w:val="20"/>
                <w:szCs w:val="20"/>
                <w:lang w:val="hy-AM"/>
              </w:rPr>
              <w:t>մասին</w:t>
            </w:r>
            <w:r w:rsidRPr="0053423A">
              <w:rPr>
                <w:rFonts w:eastAsia="Calibri" w:cs="Times New Roman"/>
                <w:sz w:val="20"/>
                <w:szCs w:val="20"/>
                <w:lang w:val="af-ZA"/>
              </w:rPr>
              <w:t xml:space="preserve">» </w:t>
            </w:r>
            <w:r w:rsidRPr="0053423A">
              <w:rPr>
                <w:rFonts w:eastAsia="Calibri" w:cs="Times New Roman"/>
                <w:sz w:val="20"/>
                <w:szCs w:val="20"/>
                <w:lang w:val="hy-AM"/>
              </w:rPr>
              <w:t>Հայաստանի</w:t>
            </w:r>
            <w:r w:rsidRPr="0053423A">
              <w:rPr>
                <w:rFonts w:eastAsia="Calibri" w:cs="Times New Roman"/>
                <w:sz w:val="20"/>
                <w:szCs w:val="20"/>
                <w:lang w:val="af-ZA"/>
              </w:rPr>
              <w:t xml:space="preserve"> </w:t>
            </w:r>
            <w:r w:rsidRPr="0053423A">
              <w:rPr>
                <w:rFonts w:eastAsia="Calibri" w:cs="Times New Roman"/>
                <w:sz w:val="20"/>
                <w:szCs w:val="20"/>
                <w:lang w:val="hy-AM"/>
              </w:rPr>
              <w:t>Հանրապետության</w:t>
            </w:r>
            <w:r w:rsidRPr="0053423A">
              <w:rPr>
                <w:rFonts w:eastAsia="Calibri" w:cs="Times New Roman"/>
                <w:sz w:val="20"/>
                <w:szCs w:val="20"/>
                <w:lang w:val="af-ZA"/>
              </w:rPr>
              <w:t xml:space="preserve"> </w:t>
            </w:r>
            <w:r w:rsidRPr="0053423A">
              <w:rPr>
                <w:rFonts w:eastAsia="Calibri" w:cs="Times New Roman"/>
                <w:sz w:val="20"/>
                <w:szCs w:val="20"/>
                <w:lang w:val="hy-AM"/>
              </w:rPr>
              <w:t xml:space="preserve">օրենքը, որի նպատակն է ձևավորել ընտանիքում բռնության կանխարգելման, ընտանիքում բռնության ենթարկված անձանց անվտանգության և պաշտպանության, նրանց իրավունքների և օրինական շահերի ապահովման, ինչպես նաև հոգեբանական, նյութական և սոցիալական աջակցության տրամադրման և նրանց սոցիալական վերականգնման համար անհրաժեշտ իրավական կառուցակարգեր: Օրենքի համաձայն Աշխատանքր և սոցիալական հարցերի նախարարությունը հանդիսանում է սոցիալական հարցերի ոլորտում ընտանիքում բռնության կանխարգելման և ընտանիքում բռնության ենթարկված անձանց պաշտպանության լիազոր մարմին և մշակում է պետական ռազմավարությունը և համակարգում դրանից բխող միջոցառումների իրականացումը: Ի թիվս այլ լիազորությունների՝ Լիազոր մարմինը ստեղծում է ընտանիքում բռնության ենթարկված անձանց ծառայություններ տրամադրող աջակցության կենտրոններ և հիմնադրում ապաստարաններ: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2018 թվականի ընթացքում օրենքի կիրարկումն ապահովելու նպատակով մշակվել և ընդունվել են մի շարք իրավական ակտեր, աշխատանքներ են տարվել ընտանիքում բռնության ենթարկված անձանց տրամադրվող ծառայությունների ստեղծման ուղղությամբ: Մասնավորապես, ՀՀ աշխատանքի և սոցիալական հարցերի նախարարության համակարգի վեց հաստատությունների՝ ի թիվս այլ գործառույթների,  վերապահվել են նաև օրենքով սահմանված ընտանիքում բռնության ենթարկված անձանց «աջակցության կենտրոնների» գործառույթներ:</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Վերոնշյալ ծառայություններ տրամադրող կենտրոններից երեքը գտնվում են Երևան քաղաքում, իսկ երեքը՝ համապատասխանաբար ՀՀ Շիրակի, ՀՀ Լոռու և ՀՀ Սյունիքի մարզերում.</w:t>
            </w:r>
          </w:p>
          <w:p w:rsidR="00514E01" w:rsidRPr="0053423A" w:rsidRDefault="00514E01" w:rsidP="001F6D5D">
            <w:pPr>
              <w:numPr>
                <w:ilvl w:val="0"/>
                <w:numId w:val="172"/>
              </w:numPr>
              <w:spacing w:line="276" w:lineRule="auto"/>
              <w:jc w:val="both"/>
              <w:rPr>
                <w:rFonts w:eastAsia="Calibri" w:cs="Times New Roman"/>
                <w:sz w:val="20"/>
                <w:szCs w:val="20"/>
                <w:lang w:val="fr-FR"/>
              </w:rPr>
            </w:pPr>
            <w:r w:rsidRPr="0053423A">
              <w:rPr>
                <w:rFonts w:eastAsia="Calibri" w:cs="Times New Roman"/>
                <w:sz w:val="20"/>
                <w:szCs w:val="20"/>
                <w:lang w:val="fr-FR"/>
              </w:rPr>
              <w:t xml:space="preserve"> «</w:t>
            </w:r>
            <w:r w:rsidRPr="0053423A">
              <w:rPr>
                <w:rFonts w:eastAsia="Calibri" w:cs="Times New Roman"/>
                <w:sz w:val="20"/>
                <w:szCs w:val="20"/>
              </w:rPr>
              <w:t>Երևանի</w:t>
            </w:r>
            <w:r w:rsidRPr="0053423A">
              <w:rPr>
                <w:rFonts w:eastAsia="Calibri" w:cs="Times New Roman"/>
                <w:sz w:val="20"/>
                <w:szCs w:val="20"/>
                <w:lang w:val="fr-FR"/>
              </w:rPr>
              <w:t xml:space="preserve"> «</w:t>
            </w:r>
            <w:r w:rsidRPr="0053423A">
              <w:rPr>
                <w:rFonts w:eastAsia="Calibri" w:cs="Times New Roman"/>
                <w:sz w:val="20"/>
                <w:szCs w:val="20"/>
              </w:rPr>
              <w:t>Զատիկ</w:t>
            </w:r>
            <w:r w:rsidRPr="0053423A">
              <w:rPr>
                <w:rFonts w:eastAsia="Calibri" w:cs="Times New Roman"/>
                <w:sz w:val="20"/>
                <w:szCs w:val="20"/>
                <w:lang w:val="fr-FR"/>
              </w:rPr>
              <w:t xml:space="preserve">» </w:t>
            </w:r>
            <w:r w:rsidRPr="0053423A">
              <w:rPr>
                <w:rFonts w:eastAsia="Calibri" w:cs="Times New Roman"/>
                <w:sz w:val="20"/>
                <w:szCs w:val="20"/>
              </w:rPr>
              <w:t>երեխաների</w:t>
            </w:r>
            <w:r w:rsidRPr="0053423A">
              <w:rPr>
                <w:rFonts w:eastAsia="Calibri" w:cs="Times New Roman"/>
                <w:sz w:val="20"/>
                <w:szCs w:val="20"/>
                <w:lang w:val="fr-FR"/>
              </w:rPr>
              <w:t xml:space="preserve"> </w:t>
            </w:r>
            <w:r w:rsidRPr="0053423A">
              <w:rPr>
                <w:rFonts w:eastAsia="Calibri" w:cs="Times New Roman"/>
                <w:sz w:val="20"/>
                <w:szCs w:val="20"/>
              </w:rPr>
              <w:t>աջակցության</w:t>
            </w:r>
            <w:r w:rsidRPr="0053423A">
              <w:rPr>
                <w:rFonts w:eastAsia="Calibri" w:cs="Times New Roman"/>
                <w:sz w:val="20"/>
                <w:szCs w:val="20"/>
                <w:lang w:val="fr-FR"/>
              </w:rPr>
              <w:t xml:space="preserve"> </w:t>
            </w:r>
            <w:r w:rsidRPr="0053423A">
              <w:rPr>
                <w:rFonts w:eastAsia="Calibri" w:cs="Times New Roman"/>
                <w:sz w:val="20"/>
                <w:szCs w:val="20"/>
              </w:rPr>
              <w:t>կենտրոն</w:t>
            </w:r>
            <w:r w:rsidRPr="0053423A">
              <w:rPr>
                <w:rFonts w:eastAsia="Calibri" w:cs="Times New Roman"/>
                <w:sz w:val="20"/>
                <w:szCs w:val="20"/>
                <w:lang w:val="fr-FR"/>
              </w:rPr>
              <w:t xml:space="preserve">» </w:t>
            </w:r>
            <w:r w:rsidRPr="0053423A">
              <w:rPr>
                <w:rFonts w:eastAsia="Calibri" w:cs="Times New Roman"/>
                <w:sz w:val="20"/>
                <w:szCs w:val="20"/>
              </w:rPr>
              <w:t>ՊՈԱԿ</w:t>
            </w:r>
            <w:r w:rsidRPr="0053423A">
              <w:rPr>
                <w:rFonts w:eastAsia="Calibri" w:cs="Times New Roman"/>
                <w:sz w:val="20"/>
                <w:szCs w:val="20"/>
                <w:lang w:val="fr-FR"/>
              </w:rPr>
              <w:t>,</w:t>
            </w:r>
          </w:p>
          <w:p w:rsidR="00514E01" w:rsidRPr="0053423A" w:rsidRDefault="00514E01" w:rsidP="001F6D5D">
            <w:pPr>
              <w:numPr>
                <w:ilvl w:val="0"/>
                <w:numId w:val="172"/>
              </w:numPr>
              <w:spacing w:line="276" w:lineRule="auto"/>
              <w:jc w:val="both"/>
              <w:rPr>
                <w:rFonts w:eastAsia="Calibri" w:cs="Times New Roman"/>
                <w:sz w:val="20"/>
                <w:szCs w:val="20"/>
                <w:lang w:val="fr-FR"/>
              </w:rPr>
            </w:pPr>
            <w:r w:rsidRPr="0053423A">
              <w:rPr>
                <w:rFonts w:eastAsia="Calibri" w:cs="Times New Roman"/>
                <w:sz w:val="20"/>
                <w:szCs w:val="20"/>
                <w:lang w:val="fr-FR"/>
              </w:rPr>
              <w:t>«</w:t>
            </w:r>
            <w:r w:rsidRPr="0053423A">
              <w:rPr>
                <w:rFonts w:eastAsia="Calibri" w:cs="Times New Roman"/>
                <w:sz w:val="20"/>
                <w:szCs w:val="20"/>
                <w:lang w:val="ru-RU"/>
              </w:rPr>
              <w:t>Երեխայի</w:t>
            </w:r>
            <w:r w:rsidRPr="0053423A">
              <w:rPr>
                <w:rFonts w:eastAsia="Calibri" w:cs="Times New Roman"/>
                <w:sz w:val="20"/>
                <w:szCs w:val="20"/>
                <w:lang w:val="fr-FR"/>
              </w:rPr>
              <w:t xml:space="preserve"> </w:t>
            </w:r>
            <w:r w:rsidRPr="0053423A">
              <w:rPr>
                <w:rFonts w:eastAsia="Calibri" w:cs="Times New Roman"/>
                <w:sz w:val="20"/>
                <w:szCs w:val="20"/>
                <w:lang w:val="ru-RU"/>
              </w:rPr>
              <w:t>և</w:t>
            </w:r>
            <w:r w:rsidRPr="0053423A">
              <w:rPr>
                <w:rFonts w:eastAsia="Calibri" w:cs="Times New Roman"/>
                <w:sz w:val="20"/>
                <w:szCs w:val="20"/>
                <w:lang w:val="fr-FR"/>
              </w:rPr>
              <w:t xml:space="preserve"> </w:t>
            </w:r>
            <w:r w:rsidRPr="0053423A">
              <w:rPr>
                <w:rFonts w:eastAsia="Calibri" w:cs="Times New Roman"/>
                <w:sz w:val="20"/>
                <w:szCs w:val="20"/>
                <w:lang w:val="ru-RU"/>
              </w:rPr>
              <w:t>ընտանիքի</w:t>
            </w:r>
            <w:r w:rsidRPr="0053423A">
              <w:rPr>
                <w:rFonts w:eastAsia="Calibri" w:cs="Times New Roman"/>
                <w:sz w:val="20"/>
                <w:szCs w:val="20"/>
                <w:lang w:val="fr-FR"/>
              </w:rPr>
              <w:t xml:space="preserve"> </w:t>
            </w:r>
            <w:r w:rsidRPr="0053423A">
              <w:rPr>
                <w:rFonts w:eastAsia="Calibri" w:cs="Times New Roman"/>
                <w:sz w:val="20"/>
                <w:szCs w:val="20"/>
                <w:lang w:val="ru-RU"/>
              </w:rPr>
              <w:t>աջակցության</w:t>
            </w:r>
            <w:r w:rsidRPr="0053423A">
              <w:rPr>
                <w:rFonts w:eastAsia="Calibri" w:cs="Times New Roman"/>
                <w:sz w:val="20"/>
                <w:szCs w:val="20"/>
                <w:lang w:val="fr-FR"/>
              </w:rPr>
              <w:t xml:space="preserve"> </w:t>
            </w:r>
            <w:r w:rsidRPr="0053423A">
              <w:rPr>
                <w:rFonts w:eastAsia="Calibri" w:cs="Times New Roman"/>
                <w:sz w:val="20"/>
                <w:szCs w:val="20"/>
                <w:lang w:val="ru-RU"/>
              </w:rPr>
              <w:t>կենտրոն</w:t>
            </w:r>
            <w:r w:rsidRPr="0053423A">
              <w:rPr>
                <w:rFonts w:eastAsia="Calibri" w:cs="Times New Roman"/>
                <w:sz w:val="20"/>
                <w:szCs w:val="20"/>
                <w:lang w:val="fr-FR"/>
              </w:rPr>
              <w:t xml:space="preserve">» </w:t>
            </w:r>
            <w:r w:rsidRPr="0053423A">
              <w:rPr>
                <w:rFonts w:eastAsia="Calibri" w:cs="Times New Roman"/>
                <w:sz w:val="20"/>
                <w:szCs w:val="20"/>
                <w:lang w:val="ru-RU"/>
              </w:rPr>
              <w:t>ՊՈԱԿ</w:t>
            </w:r>
            <w:r w:rsidRPr="0053423A">
              <w:rPr>
                <w:rFonts w:eastAsia="Calibri" w:cs="Times New Roman"/>
                <w:sz w:val="20"/>
                <w:szCs w:val="20"/>
                <w:lang w:val="fr-FR"/>
              </w:rPr>
              <w:t>,</w:t>
            </w:r>
          </w:p>
          <w:p w:rsidR="00514E01" w:rsidRPr="0053423A" w:rsidRDefault="00514E01" w:rsidP="001F6D5D">
            <w:pPr>
              <w:numPr>
                <w:ilvl w:val="0"/>
                <w:numId w:val="172"/>
              </w:numPr>
              <w:spacing w:line="276" w:lineRule="auto"/>
              <w:jc w:val="both"/>
              <w:rPr>
                <w:rFonts w:eastAsia="Calibri" w:cs="Times New Roman"/>
                <w:sz w:val="20"/>
                <w:szCs w:val="20"/>
                <w:lang w:val="fr-FR"/>
              </w:rPr>
            </w:pPr>
            <w:r w:rsidRPr="0053423A">
              <w:rPr>
                <w:rFonts w:eastAsia="Calibri" w:cs="Times New Roman"/>
                <w:sz w:val="20"/>
                <w:szCs w:val="20"/>
                <w:lang w:val="fr-FR"/>
              </w:rPr>
              <w:t>«</w:t>
            </w:r>
            <w:r w:rsidRPr="0053423A">
              <w:rPr>
                <w:rFonts w:eastAsia="Calibri" w:cs="Times New Roman"/>
                <w:sz w:val="20"/>
                <w:szCs w:val="20"/>
                <w:lang w:val="ru-RU"/>
              </w:rPr>
              <w:t>Սյունիքի</w:t>
            </w:r>
            <w:r w:rsidRPr="0053423A">
              <w:rPr>
                <w:rFonts w:eastAsia="Calibri" w:cs="Times New Roman"/>
                <w:sz w:val="20"/>
                <w:szCs w:val="20"/>
                <w:lang w:val="fr-FR"/>
              </w:rPr>
              <w:t xml:space="preserve"> </w:t>
            </w:r>
            <w:r w:rsidRPr="0053423A">
              <w:rPr>
                <w:rFonts w:eastAsia="Calibri" w:cs="Times New Roman"/>
                <w:sz w:val="20"/>
                <w:szCs w:val="20"/>
                <w:lang w:val="ru-RU"/>
              </w:rPr>
              <w:t>մարզի</w:t>
            </w:r>
            <w:r w:rsidRPr="0053423A">
              <w:rPr>
                <w:rFonts w:eastAsia="Calibri" w:cs="Times New Roman"/>
                <w:sz w:val="20"/>
                <w:szCs w:val="20"/>
                <w:lang w:val="fr-FR"/>
              </w:rPr>
              <w:t xml:space="preserve"> </w:t>
            </w:r>
            <w:r w:rsidRPr="0053423A">
              <w:rPr>
                <w:rFonts w:eastAsia="Calibri" w:cs="Times New Roman"/>
                <w:sz w:val="20"/>
                <w:szCs w:val="20"/>
                <w:lang w:val="ru-RU"/>
              </w:rPr>
              <w:t>երեխայի</w:t>
            </w:r>
            <w:r w:rsidRPr="0053423A">
              <w:rPr>
                <w:rFonts w:eastAsia="Calibri" w:cs="Times New Roman"/>
                <w:sz w:val="20"/>
                <w:szCs w:val="20"/>
                <w:lang w:val="fr-FR"/>
              </w:rPr>
              <w:t xml:space="preserve"> </w:t>
            </w:r>
            <w:r w:rsidRPr="0053423A">
              <w:rPr>
                <w:rFonts w:eastAsia="Calibri" w:cs="Times New Roman"/>
                <w:sz w:val="20"/>
                <w:szCs w:val="20"/>
                <w:lang w:val="ru-RU"/>
              </w:rPr>
              <w:t>և</w:t>
            </w:r>
            <w:r w:rsidRPr="0053423A">
              <w:rPr>
                <w:rFonts w:eastAsia="Calibri" w:cs="Times New Roman"/>
                <w:sz w:val="20"/>
                <w:szCs w:val="20"/>
                <w:lang w:val="fr-FR"/>
              </w:rPr>
              <w:t xml:space="preserve"> </w:t>
            </w:r>
            <w:r w:rsidRPr="0053423A">
              <w:rPr>
                <w:rFonts w:eastAsia="Calibri" w:cs="Times New Roman"/>
                <w:sz w:val="20"/>
                <w:szCs w:val="20"/>
                <w:lang w:val="ru-RU"/>
              </w:rPr>
              <w:t>ընտանիքի</w:t>
            </w:r>
            <w:r w:rsidRPr="0053423A">
              <w:rPr>
                <w:rFonts w:eastAsia="Calibri" w:cs="Times New Roman"/>
                <w:sz w:val="20"/>
                <w:szCs w:val="20"/>
                <w:lang w:val="fr-FR"/>
              </w:rPr>
              <w:t xml:space="preserve"> </w:t>
            </w:r>
            <w:r w:rsidRPr="0053423A">
              <w:rPr>
                <w:rFonts w:eastAsia="Calibri" w:cs="Times New Roman"/>
                <w:sz w:val="20"/>
                <w:szCs w:val="20"/>
                <w:lang w:val="ru-RU"/>
              </w:rPr>
              <w:t>աջակցության</w:t>
            </w:r>
            <w:r w:rsidRPr="0053423A">
              <w:rPr>
                <w:rFonts w:eastAsia="Calibri" w:cs="Times New Roman"/>
                <w:sz w:val="20"/>
                <w:szCs w:val="20"/>
                <w:lang w:val="fr-FR"/>
              </w:rPr>
              <w:t xml:space="preserve"> </w:t>
            </w:r>
            <w:r w:rsidRPr="0053423A">
              <w:rPr>
                <w:rFonts w:eastAsia="Calibri" w:cs="Times New Roman"/>
                <w:sz w:val="20"/>
                <w:szCs w:val="20"/>
                <w:lang w:val="ru-RU"/>
              </w:rPr>
              <w:t>կենտրոն</w:t>
            </w:r>
            <w:r w:rsidRPr="0053423A">
              <w:rPr>
                <w:rFonts w:eastAsia="Calibri" w:cs="Times New Roman"/>
                <w:sz w:val="20"/>
                <w:szCs w:val="20"/>
                <w:lang w:val="fr-FR"/>
              </w:rPr>
              <w:t xml:space="preserve">» </w:t>
            </w:r>
            <w:r w:rsidRPr="0053423A">
              <w:rPr>
                <w:rFonts w:eastAsia="Calibri" w:cs="Times New Roman"/>
                <w:sz w:val="20"/>
                <w:szCs w:val="20"/>
                <w:lang w:val="ru-RU"/>
              </w:rPr>
              <w:t>հիմնադրամ</w:t>
            </w:r>
            <w:r w:rsidRPr="0053423A">
              <w:rPr>
                <w:rFonts w:eastAsia="Calibri" w:cs="Times New Roman"/>
                <w:sz w:val="20"/>
                <w:szCs w:val="20"/>
                <w:lang w:val="fr-FR"/>
              </w:rPr>
              <w:t>,</w:t>
            </w:r>
          </w:p>
          <w:p w:rsidR="00514E01" w:rsidRPr="0053423A" w:rsidRDefault="00514E01" w:rsidP="001F6D5D">
            <w:pPr>
              <w:numPr>
                <w:ilvl w:val="0"/>
                <w:numId w:val="172"/>
              </w:numPr>
              <w:spacing w:line="276" w:lineRule="auto"/>
              <w:jc w:val="both"/>
              <w:rPr>
                <w:rFonts w:eastAsia="Calibri" w:cs="Times New Roman"/>
                <w:sz w:val="20"/>
                <w:szCs w:val="20"/>
                <w:lang w:val="fr-FR"/>
              </w:rPr>
            </w:pPr>
            <w:r w:rsidRPr="0053423A">
              <w:rPr>
                <w:rFonts w:eastAsia="Calibri" w:cs="Times New Roman"/>
                <w:sz w:val="20"/>
                <w:szCs w:val="20"/>
                <w:lang w:val="fr-FR"/>
              </w:rPr>
              <w:t>«</w:t>
            </w:r>
            <w:r w:rsidRPr="0053423A">
              <w:rPr>
                <w:rFonts w:eastAsia="Calibri" w:cs="Times New Roman"/>
                <w:sz w:val="20"/>
                <w:szCs w:val="20"/>
              </w:rPr>
              <w:t>Լոռու</w:t>
            </w:r>
            <w:r w:rsidRPr="0053423A">
              <w:rPr>
                <w:rFonts w:eastAsia="Calibri" w:cs="Times New Roman"/>
                <w:sz w:val="20"/>
                <w:szCs w:val="20"/>
                <w:lang w:val="fr-FR"/>
              </w:rPr>
              <w:t xml:space="preserve"> </w:t>
            </w:r>
            <w:r w:rsidRPr="0053423A">
              <w:rPr>
                <w:rFonts w:eastAsia="Calibri" w:cs="Times New Roman"/>
                <w:sz w:val="20"/>
                <w:szCs w:val="20"/>
              </w:rPr>
              <w:t>մարզի</w:t>
            </w:r>
            <w:r w:rsidRPr="0053423A">
              <w:rPr>
                <w:rFonts w:eastAsia="Calibri" w:cs="Times New Roman"/>
                <w:sz w:val="20"/>
                <w:szCs w:val="20"/>
                <w:lang w:val="fr-FR"/>
              </w:rPr>
              <w:t xml:space="preserve"> </w:t>
            </w:r>
            <w:r w:rsidRPr="0053423A">
              <w:rPr>
                <w:rFonts w:eastAsia="Calibri" w:cs="Times New Roman"/>
                <w:sz w:val="20"/>
                <w:szCs w:val="20"/>
              </w:rPr>
              <w:t>երեխայի</w:t>
            </w:r>
            <w:r w:rsidRPr="0053423A">
              <w:rPr>
                <w:rFonts w:eastAsia="Calibri" w:cs="Times New Roman"/>
                <w:sz w:val="20"/>
                <w:szCs w:val="20"/>
                <w:lang w:val="fr-FR"/>
              </w:rPr>
              <w:t xml:space="preserve"> </w:t>
            </w:r>
            <w:r w:rsidRPr="0053423A">
              <w:rPr>
                <w:rFonts w:eastAsia="Calibri" w:cs="Times New Roman"/>
                <w:sz w:val="20"/>
                <w:szCs w:val="20"/>
              </w:rPr>
              <w:t>և</w:t>
            </w:r>
            <w:r w:rsidRPr="0053423A">
              <w:rPr>
                <w:rFonts w:eastAsia="Calibri" w:cs="Times New Roman"/>
                <w:sz w:val="20"/>
                <w:szCs w:val="20"/>
                <w:lang w:val="fr-FR"/>
              </w:rPr>
              <w:t xml:space="preserve"> </w:t>
            </w:r>
            <w:r w:rsidRPr="0053423A">
              <w:rPr>
                <w:rFonts w:eastAsia="Calibri" w:cs="Times New Roman"/>
                <w:sz w:val="20"/>
                <w:szCs w:val="20"/>
              </w:rPr>
              <w:t>ընտանիքի</w:t>
            </w:r>
            <w:r w:rsidRPr="0053423A">
              <w:rPr>
                <w:rFonts w:eastAsia="Calibri" w:cs="Times New Roman"/>
                <w:sz w:val="20"/>
                <w:szCs w:val="20"/>
                <w:lang w:val="fr-FR"/>
              </w:rPr>
              <w:t xml:space="preserve"> </w:t>
            </w:r>
            <w:r w:rsidRPr="0053423A">
              <w:rPr>
                <w:rFonts w:eastAsia="Calibri" w:cs="Times New Roman"/>
                <w:sz w:val="20"/>
                <w:szCs w:val="20"/>
              </w:rPr>
              <w:t>աջակցության</w:t>
            </w:r>
            <w:r w:rsidRPr="0053423A">
              <w:rPr>
                <w:rFonts w:eastAsia="Calibri" w:cs="Times New Roman"/>
                <w:sz w:val="20"/>
                <w:szCs w:val="20"/>
                <w:lang w:val="fr-FR"/>
              </w:rPr>
              <w:t xml:space="preserve"> </w:t>
            </w:r>
            <w:r w:rsidRPr="0053423A">
              <w:rPr>
                <w:rFonts w:eastAsia="Calibri" w:cs="Times New Roman"/>
                <w:sz w:val="20"/>
                <w:szCs w:val="20"/>
              </w:rPr>
              <w:t>կենտրոն</w:t>
            </w:r>
            <w:r w:rsidRPr="0053423A">
              <w:rPr>
                <w:rFonts w:eastAsia="Calibri" w:cs="Times New Roman"/>
                <w:sz w:val="20"/>
                <w:szCs w:val="20"/>
                <w:lang w:val="fr-FR"/>
              </w:rPr>
              <w:t xml:space="preserve">» </w:t>
            </w:r>
            <w:r w:rsidRPr="0053423A">
              <w:rPr>
                <w:rFonts w:eastAsia="Calibri" w:cs="Times New Roman"/>
                <w:sz w:val="20"/>
                <w:szCs w:val="20"/>
              </w:rPr>
              <w:t>ՊՈԱԿ</w:t>
            </w:r>
            <w:r w:rsidRPr="0053423A">
              <w:rPr>
                <w:rFonts w:eastAsia="Calibri" w:cs="Times New Roman"/>
                <w:sz w:val="20"/>
                <w:szCs w:val="20"/>
                <w:lang w:val="fr-FR"/>
              </w:rPr>
              <w:t>,</w:t>
            </w:r>
          </w:p>
          <w:p w:rsidR="00514E01" w:rsidRPr="0053423A" w:rsidRDefault="00514E01" w:rsidP="001F6D5D">
            <w:pPr>
              <w:numPr>
                <w:ilvl w:val="0"/>
                <w:numId w:val="172"/>
              </w:numPr>
              <w:spacing w:line="276" w:lineRule="auto"/>
              <w:jc w:val="both"/>
              <w:rPr>
                <w:rFonts w:eastAsia="Calibri" w:cs="Times New Roman"/>
                <w:sz w:val="20"/>
                <w:szCs w:val="20"/>
                <w:lang w:val="fr-FR"/>
              </w:rPr>
            </w:pPr>
            <w:r w:rsidRPr="0053423A">
              <w:rPr>
                <w:rFonts w:eastAsia="Calibri" w:cs="Times New Roman"/>
                <w:sz w:val="20"/>
                <w:szCs w:val="20"/>
                <w:lang w:val="fr-FR"/>
              </w:rPr>
              <w:t>«</w:t>
            </w:r>
            <w:r w:rsidRPr="0053423A">
              <w:rPr>
                <w:rFonts w:eastAsia="Calibri" w:cs="Times New Roman"/>
                <w:sz w:val="20"/>
                <w:szCs w:val="20"/>
              </w:rPr>
              <w:t>Երևանի</w:t>
            </w:r>
            <w:r w:rsidRPr="0053423A">
              <w:rPr>
                <w:rFonts w:eastAsia="Calibri" w:cs="Times New Roman"/>
                <w:sz w:val="20"/>
                <w:szCs w:val="20"/>
                <w:lang w:val="fr-FR"/>
              </w:rPr>
              <w:t xml:space="preserve"> </w:t>
            </w:r>
            <w:r w:rsidRPr="0053423A">
              <w:rPr>
                <w:rFonts w:eastAsia="Calibri" w:cs="Times New Roman"/>
                <w:sz w:val="20"/>
                <w:szCs w:val="20"/>
              </w:rPr>
              <w:t>Աջափնյակ</w:t>
            </w:r>
            <w:r w:rsidRPr="0053423A">
              <w:rPr>
                <w:rFonts w:eastAsia="Calibri" w:cs="Times New Roman"/>
                <w:sz w:val="20"/>
                <w:szCs w:val="20"/>
                <w:lang w:val="fr-FR"/>
              </w:rPr>
              <w:t xml:space="preserve"> </w:t>
            </w:r>
            <w:r w:rsidRPr="0053423A">
              <w:rPr>
                <w:rFonts w:eastAsia="Calibri" w:cs="Times New Roman"/>
                <w:sz w:val="20"/>
                <w:szCs w:val="20"/>
              </w:rPr>
              <w:t>վարչական</w:t>
            </w:r>
            <w:r w:rsidRPr="0053423A">
              <w:rPr>
                <w:rFonts w:eastAsia="Calibri" w:cs="Times New Roman"/>
                <w:sz w:val="20"/>
                <w:szCs w:val="20"/>
                <w:lang w:val="fr-FR"/>
              </w:rPr>
              <w:t xml:space="preserve"> </w:t>
            </w:r>
            <w:r w:rsidRPr="0053423A">
              <w:rPr>
                <w:rFonts w:eastAsia="Calibri" w:cs="Times New Roman"/>
                <w:sz w:val="20"/>
                <w:szCs w:val="20"/>
              </w:rPr>
              <w:t>շրջանի</w:t>
            </w:r>
            <w:r w:rsidRPr="0053423A">
              <w:rPr>
                <w:rFonts w:eastAsia="Calibri" w:cs="Times New Roman"/>
                <w:sz w:val="20"/>
                <w:szCs w:val="20"/>
                <w:lang w:val="fr-FR"/>
              </w:rPr>
              <w:t xml:space="preserve"> </w:t>
            </w:r>
            <w:r w:rsidRPr="0053423A">
              <w:rPr>
                <w:rFonts w:eastAsia="Calibri" w:cs="Times New Roman"/>
                <w:sz w:val="20"/>
                <w:szCs w:val="20"/>
              </w:rPr>
              <w:t>երեխաների</w:t>
            </w:r>
            <w:r w:rsidRPr="0053423A">
              <w:rPr>
                <w:rFonts w:eastAsia="Calibri" w:cs="Times New Roman"/>
                <w:sz w:val="20"/>
                <w:szCs w:val="20"/>
                <w:lang w:val="fr-FR"/>
              </w:rPr>
              <w:t xml:space="preserve"> </w:t>
            </w:r>
            <w:r w:rsidRPr="0053423A">
              <w:rPr>
                <w:rFonts w:eastAsia="Calibri" w:cs="Times New Roman"/>
                <w:sz w:val="20"/>
                <w:szCs w:val="20"/>
              </w:rPr>
              <w:t>սոցիալական</w:t>
            </w:r>
            <w:r w:rsidRPr="0053423A">
              <w:rPr>
                <w:rFonts w:eastAsia="Calibri" w:cs="Times New Roman"/>
                <w:sz w:val="20"/>
                <w:szCs w:val="20"/>
                <w:lang w:val="fr-FR"/>
              </w:rPr>
              <w:t xml:space="preserve"> </w:t>
            </w:r>
            <w:r w:rsidRPr="0053423A">
              <w:rPr>
                <w:rFonts w:eastAsia="Calibri" w:cs="Times New Roman"/>
                <w:sz w:val="20"/>
                <w:szCs w:val="20"/>
              </w:rPr>
              <w:t>հոգածության</w:t>
            </w:r>
            <w:r w:rsidRPr="0053423A">
              <w:rPr>
                <w:rFonts w:eastAsia="Calibri" w:cs="Times New Roman"/>
                <w:sz w:val="20"/>
                <w:szCs w:val="20"/>
                <w:lang w:val="fr-FR"/>
              </w:rPr>
              <w:t xml:space="preserve"> </w:t>
            </w:r>
            <w:r w:rsidRPr="0053423A">
              <w:rPr>
                <w:rFonts w:eastAsia="Calibri" w:cs="Times New Roman"/>
                <w:sz w:val="20"/>
                <w:szCs w:val="20"/>
              </w:rPr>
              <w:t>կենտրոն</w:t>
            </w:r>
            <w:r w:rsidRPr="0053423A">
              <w:rPr>
                <w:rFonts w:eastAsia="Calibri" w:cs="Times New Roman"/>
                <w:sz w:val="20"/>
                <w:szCs w:val="20"/>
                <w:lang w:val="fr-FR"/>
              </w:rPr>
              <w:t xml:space="preserve">» </w:t>
            </w:r>
            <w:r w:rsidRPr="0053423A">
              <w:rPr>
                <w:rFonts w:eastAsia="Calibri" w:cs="Times New Roman"/>
                <w:sz w:val="20"/>
                <w:szCs w:val="20"/>
              </w:rPr>
              <w:t>ՊՈԱԿ</w:t>
            </w:r>
            <w:r w:rsidRPr="0053423A">
              <w:rPr>
                <w:rFonts w:eastAsia="Calibri" w:cs="Times New Roman"/>
                <w:sz w:val="20"/>
                <w:szCs w:val="20"/>
                <w:lang w:val="fr-FR"/>
              </w:rPr>
              <w:t>,</w:t>
            </w:r>
          </w:p>
          <w:p w:rsidR="00514E01" w:rsidRPr="0053423A" w:rsidRDefault="00514E01" w:rsidP="001F6D5D">
            <w:pPr>
              <w:numPr>
                <w:ilvl w:val="0"/>
                <w:numId w:val="172"/>
              </w:numPr>
              <w:spacing w:line="276" w:lineRule="auto"/>
              <w:jc w:val="both"/>
              <w:rPr>
                <w:rFonts w:eastAsia="Calibri" w:cs="Times New Roman"/>
                <w:sz w:val="20"/>
                <w:szCs w:val="20"/>
                <w:lang w:val="fr-FR"/>
              </w:rPr>
            </w:pPr>
            <w:r w:rsidRPr="0053423A">
              <w:rPr>
                <w:rFonts w:eastAsia="Calibri" w:cs="Times New Roman"/>
                <w:sz w:val="20"/>
                <w:szCs w:val="20"/>
                <w:lang w:val="fr-FR"/>
              </w:rPr>
              <w:t>«</w:t>
            </w:r>
            <w:r w:rsidRPr="0053423A">
              <w:rPr>
                <w:rFonts w:eastAsia="Calibri" w:cs="Times New Roman"/>
                <w:sz w:val="20"/>
                <w:szCs w:val="20"/>
              </w:rPr>
              <w:t>Գյումրի</w:t>
            </w:r>
            <w:r w:rsidRPr="0053423A">
              <w:rPr>
                <w:rFonts w:eastAsia="Calibri" w:cs="Times New Roman"/>
                <w:sz w:val="20"/>
                <w:szCs w:val="20"/>
                <w:lang w:val="fr-FR"/>
              </w:rPr>
              <w:t xml:space="preserve"> </w:t>
            </w:r>
            <w:r w:rsidRPr="0053423A">
              <w:rPr>
                <w:rFonts w:eastAsia="Calibri" w:cs="Times New Roman"/>
                <w:sz w:val="20"/>
                <w:szCs w:val="20"/>
              </w:rPr>
              <w:t>քաղաքի</w:t>
            </w:r>
            <w:r w:rsidRPr="0053423A">
              <w:rPr>
                <w:rFonts w:eastAsia="Calibri" w:cs="Times New Roman"/>
                <w:sz w:val="20"/>
                <w:szCs w:val="20"/>
                <w:lang w:val="fr-FR"/>
              </w:rPr>
              <w:t xml:space="preserve"> </w:t>
            </w:r>
            <w:r w:rsidRPr="0053423A">
              <w:rPr>
                <w:rFonts w:eastAsia="Calibri" w:cs="Times New Roman"/>
                <w:sz w:val="20"/>
                <w:szCs w:val="20"/>
              </w:rPr>
              <w:t>երեխաների</w:t>
            </w:r>
            <w:r w:rsidRPr="0053423A">
              <w:rPr>
                <w:rFonts w:eastAsia="Calibri" w:cs="Times New Roman"/>
                <w:sz w:val="20"/>
                <w:szCs w:val="20"/>
                <w:lang w:val="fr-FR"/>
              </w:rPr>
              <w:t xml:space="preserve"> </w:t>
            </w:r>
            <w:r w:rsidRPr="0053423A">
              <w:rPr>
                <w:rFonts w:eastAsia="Calibri" w:cs="Times New Roman"/>
                <w:sz w:val="20"/>
                <w:szCs w:val="20"/>
              </w:rPr>
              <w:t>սոցիալական</w:t>
            </w:r>
            <w:r w:rsidRPr="0053423A">
              <w:rPr>
                <w:rFonts w:eastAsia="Calibri" w:cs="Times New Roman"/>
                <w:sz w:val="20"/>
                <w:szCs w:val="20"/>
                <w:lang w:val="fr-FR"/>
              </w:rPr>
              <w:t xml:space="preserve"> </w:t>
            </w:r>
            <w:r w:rsidRPr="0053423A">
              <w:rPr>
                <w:rFonts w:eastAsia="Calibri" w:cs="Times New Roman"/>
                <w:sz w:val="20"/>
                <w:szCs w:val="20"/>
              </w:rPr>
              <w:t>հոգածության</w:t>
            </w:r>
            <w:r w:rsidRPr="0053423A">
              <w:rPr>
                <w:rFonts w:eastAsia="Calibri" w:cs="Times New Roman"/>
                <w:sz w:val="20"/>
                <w:szCs w:val="20"/>
                <w:lang w:val="fr-FR"/>
              </w:rPr>
              <w:t xml:space="preserve"> </w:t>
            </w:r>
            <w:r w:rsidRPr="0053423A">
              <w:rPr>
                <w:rFonts w:eastAsia="Calibri" w:cs="Times New Roman"/>
                <w:sz w:val="20"/>
                <w:szCs w:val="20"/>
              </w:rPr>
              <w:t>կենտրոն</w:t>
            </w:r>
            <w:r w:rsidRPr="0053423A">
              <w:rPr>
                <w:rFonts w:eastAsia="Calibri" w:cs="Times New Roman"/>
                <w:sz w:val="20"/>
                <w:szCs w:val="20"/>
                <w:lang w:val="fr-FR"/>
              </w:rPr>
              <w:t xml:space="preserve">» </w:t>
            </w:r>
            <w:r w:rsidRPr="0053423A">
              <w:rPr>
                <w:rFonts w:eastAsia="Calibri" w:cs="Times New Roman"/>
                <w:sz w:val="20"/>
                <w:szCs w:val="20"/>
              </w:rPr>
              <w:t>ՊՈԱԿ</w:t>
            </w:r>
            <w:r w:rsidRPr="0053423A">
              <w:rPr>
                <w:rFonts w:eastAsia="Calibri" w:cs="Times New Roman"/>
                <w:sz w:val="20"/>
                <w:szCs w:val="20"/>
                <w:lang w:val="fr-FR"/>
              </w:rPr>
              <w:t>:</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rPr>
              <w:t>Հաշվի</w:t>
            </w:r>
            <w:r w:rsidRPr="0053423A">
              <w:rPr>
                <w:rFonts w:eastAsia="Calibri" w:cs="Times New Roman"/>
                <w:sz w:val="20"/>
                <w:szCs w:val="20"/>
                <w:lang w:val="fr-FR"/>
              </w:rPr>
              <w:t xml:space="preserve"> </w:t>
            </w:r>
            <w:r w:rsidRPr="0053423A">
              <w:rPr>
                <w:rFonts w:eastAsia="Calibri" w:cs="Times New Roman"/>
                <w:sz w:val="20"/>
                <w:szCs w:val="20"/>
              </w:rPr>
              <w:t>առնելով</w:t>
            </w:r>
            <w:r w:rsidRPr="0053423A">
              <w:rPr>
                <w:rFonts w:eastAsia="Calibri" w:cs="Times New Roman"/>
                <w:sz w:val="20"/>
                <w:szCs w:val="20"/>
                <w:lang w:val="fr-FR"/>
              </w:rPr>
              <w:t xml:space="preserve"> </w:t>
            </w:r>
            <w:r w:rsidRPr="0053423A">
              <w:rPr>
                <w:rFonts w:eastAsia="Calibri" w:cs="Times New Roman"/>
                <w:sz w:val="20"/>
                <w:szCs w:val="20"/>
                <w:lang w:val="hy-AM"/>
              </w:rPr>
              <w:t xml:space="preserve">այն հանգամանքը, որ </w:t>
            </w:r>
            <w:r w:rsidRPr="0053423A">
              <w:rPr>
                <w:rFonts w:eastAsia="Calibri" w:cs="Times New Roman"/>
                <w:sz w:val="20"/>
                <w:szCs w:val="20"/>
              </w:rPr>
              <w:t>վերոնշյալ</w:t>
            </w:r>
            <w:r w:rsidRPr="0053423A">
              <w:rPr>
                <w:rFonts w:eastAsia="Calibri" w:cs="Times New Roman"/>
                <w:sz w:val="20"/>
                <w:szCs w:val="20"/>
                <w:lang w:val="fr-FR"/>
              </w:rPr>
              <w:t xml:space="preserve"> </w:t>
            </w:r>
            <w:r w:rsidRPr="0053423A">
              <w:rPr>
                <w:rFonts w:eastAsia="Calibri" w:cs="Times New Roman"/>
                <w:sz w:val="20"/>
                <w:szCs w:val="20"/>
              </w:rPr>
              <w:t>կենտրոնները</w:t>
            </w:r>
            <w:r w:rsidRPr="0053423A">
              <w:rPr>
                <w:rFonts w:eastAsia="Calibri" w:cs="Times New Roman"/>
                <w:sz w:val="20"/>
                <w:szCs w:val="20"/>
                <w:lang w:val="fr-FR"/>
              </w:rPr>
              <w:t xml:space="preserve"> </w:t>
            </w:r>
            <w:r w:rsidRPr="0053423A">
              <w:rPr>
                <w:rFonts w:eastAsia="Calibri" w:cs="Times New Roman"/>
                <w:sz w:val="20"/>
                <w:szCs w:val="20"/>
              </w:rPr>
              <w:t>ոչ</w:t>
            </w:r>
            <w:r w:rsidRPr="0053423A">
              <w:rPr>
                <w:rFonts w:eastAsia="Calibri" w:cs="Times New Roman"/>
                <w:sz w:val="20"/>
                <w:szCs w:val="20"/>
                <w:lang w:val="fr-FR"/>
              </w:rPr>
              <w:t xml:space="preserve"> </w:t>
            </w:r>
            <w:r w:rsidRPr="0053423A">
              <w:rPr>
                <w:rFonts w:eastAsia="Calibri" w:cs="Times New Roman"/>
                <w:sz w:val="20"/>
                <w:szCs w:val="20"/>
              </w:rPr>
              <w:t>բոլոր</w:t>
            </w:r>
            <w:r w:rsidRPr="0053423A">
              <w:rPr>
                <w:rFonts w:eastAsia="Calibri" w:cs="Times New Roman"/>
                <w:sz w:val="20"/>
                <w:szCs w:val="20"/>
                <w:lang w:val="fr-FR"/>
              </w:rPr>
              <w:t xml:space="preserve"> </w:t>
            </w:r>
            <w:r w:rsidRPr="0053423A">
              <w:rPr>
                <w:rFonts w:eastAsia="Calibri" w:cs="Times New Roman"/>
                <w:sz w:val="20"/>
                <w:szCs w:val="20"/>
              </w:rPr>
              <w:t>մարզերում</w:t>
            </w:r>
            <w:r w:rsidRPr="0053423A">
              <w:rPr>
                <w:rFonts w:eastAsia="Calibri" w:cs="Times New Roman"/>
                <w:sz w:val="20"/>
                <w:szCs w:val="20"/>
                <w:lang w:val="fr-FR"/>
              </w:rPr>
              <w:t xml:space="preserve"> </w:t>
            </w:r>
            <w:r w:rsidRPr="0053423A">
              <w:rPr>
                <w:rFonts w:eastAsia="Calibri" w:cs="Times New Roman"/>
                <w:sz w:val="20"/>
                <w:szCs w:val="20"/>
              </w:rPr>
              <w:t>են</w:t>
            </w:r>
            <w:r w:rsidRPr="0053423A">
              <w:rPr>
                <w:rFonts w:eastAsia="Calibri" w:cs="Times New Roman"/>
                <w:sz w:val="20"/>
                <w:szCs w:val="20"/>
                <w:lang w:val="fr-FR"/>
              </w:rPr>
              <w:t xml:space="preserve"> </w:t>
            </w:r>
            <w:r w:rsidRPr="0053423A">
              <w:rPr>
                <w:rFonts w:eastAsia="Calibri" w:cs="Times New Roman"/>
                <w:sz w:val="20"/>
                <w:szCs w:val="20"/>
              </w:rPr>
              <w:t>ստեղված</w:t>
            </w:r>
            <w:r w:rsidRPr="0053423A">
              <w:rPr>
                <w:rFonts w:eastAsia="Calibri" w:cs="Times New Roman"/>
                <w:sz w:val="20"/>
                <w:szCs w:val="20"/>
                <w:lang w:val="fr-FR"/>
              </w:rPr>
              <w:t xml:space="preserve">, </w:t>
            </w:r>
            <w:r w:rsidRPr="0053423A">
              <w:rPr>
                <w:rFonts w:eastAsia="Calibri" w:cs="Times New Roman"/>
                <w:sz w:val="20"/>
                <w:szCs w:val="20"/>
              </w:rPr>
              <w:t>անհրաժեշտ</w:t>
            </w:r>
            <w:r w:rsidRPr="0053423A">
              <w:rPr>
                <w:rFonts w:eastAsia="Calibri" w:cs="Times New Roman"/>
                <w:sz w:val="20"/>
                <w:szCs w:val="20"/>
                <w:lang w:val="fr-FR"/>
              </w:rPr>
              <w:t xml:space="preserve"> </w:t>
            </w:r>
            <w:r w:rsidRPr="0053423A">
              <w:rPr>
                <w:rFonts w:eastAsia="Calibri" w:cs="Times New Roman"/>
                <w:sz w:val="20"/>
                <w:szCs w:val="20"/>
              </w:rPr>
              <w:t>է</w:t>
            </w:r>
            <w:r w:rsidRPr="0053423A">
              <w:rPr>
                <w:rFonts w:eastAsia="Calibri" w:cs="Times New Roman"/>
                <w:sz w:val="20"/>
                <w:szCs w:val="20"/>
                <w:lang w:val="fr-FR"/>
              </w:rPr>
              <w:t xml:space="preserve"> </w:t>
            </w:r>
            <w:r w:rsidRPr="0053423A">
              <w:rPr>
                <w:rFonts w:eastAsia="Calibri" w:cs="Times New Roman"/>
                <w:sz w:val="20"/>
                <w:szCs w:val="20"/>
              </w:rPr>
              <w:t>հանրապետության</w:t>
            </w:r>
            <w:r w:rsidRPr="0053423A">
              <w:rPr>
                <w:rFonts w:eastAsia="Calibri" w:cs="Times New Roman"/>
                <w:sz w:val="20"/>
                <w:szCs w:val="20"/>
                <w:lang w:val="fr-FR"/>
              </w:rPr>
              <w:t xml:space="preserve"> </w:t>
            </w:r>
            <w:r w:rsidRPr="0053423A">
              <w:rPr>
                <w:rFonts w:eastAsia="Calibri" w:cs="Times New Roman"/>
                <w:sz w:val="20"/>
                <w:szCs w:val="20"/>
              </w:rPr>
              <w:t>ևս</w:t>
            </w:r>
            <w:r w:rsidRPr="0053423A">
              <w:rPr>
                <w:rFonts w:eastAsia="Calibri" w:cs="Times New Roman"/>
                <w:sz w:val="20"/>
                <w:szCs w:val="20"/>
                <w:lang w:val="fr-FR"/>
              </w:rPr>
              <w:t xml:space="preserve"> 7 </w:t>
            </w:r>
            <w:r w:rsidRPr="0053423A">
              <w:rPr>
                <w:rFonts w:eastAsia="Calibri" w:cs="Times New Roman"/>
                <w:sz w:val="20"/>
                <w:szCs w:val="20"/>
              </w:rPr>
              <w:t>մարզերում</w:t>
            </w:r>
            <w:r w:rsidRPr="0053423A">
              <w:rPr>
                <w:rFonts w:eastAsia="Calibri" w:cs="Times New Roman"/>
                <w:sz w:val="20"/>
                <w:szCs w:val="20"/>
                <w:lang w:val="fr-FR"/>
              </w:rPr>
              <w:t xml:space="preserve"> </w:t>
            </w:r>
            <w:r w:rsidRPr="0053423A">
              <w:rPr>
                <w:rFonts w:eastAsia="Calibri" w:cs="Times New Roman"/>
                <w:sz w:val="20"/>
                <w:szCs w:val="20"/>
              </w:rPr>
              <w:t>ստեղծել</w:t>
            </w:r>
            <w:r w:rsidRPr="0053423A">
              <w:rPr>
                <w:rFonts w:eastAsia="Calibri" w:cs="Times New Roman"/>
                <w:sz w:val="20"/>
                <w:szCs w:val="20"/>
                <w:lang w:val="fr-FR"/>
              </w:rPr>
              <w:t xml:space="preserve"> </w:t>
            </w:r>
            <w:r w:rsidRPr="0053423A">
              <w:rPr>
                <w:rFonts w:eastAsia="Calibri" w:cs="Times New Roman"/>
                <w:sz w:val="20"/>
                <w:szCs w:val="20"/>
              </w:rPr>
              <w:t>նման</w:t>
            </w:r>
            <w:r w:rsidRPr="0053423A">
              <w:rPr>
                <w:rFonts w:eastAsia="Calibri" w:cs="Times New Roman"/>
                <w:sz w:val="20"/>
                <w:szCs w:val="20"/>
                <w:lang w:val="fr-FR"/>
              </w:rPr>
              <w:t xml:space="preserve"> </w:t>
            </w:r>
            <w:r w:rsidRPr="0053423A">
              <w:rPr>
                <w:rFonts w:eastAsia="Calibri" w:cs="Times New Roman"/>
                <w:sz w:val="20"/>
                <w:szCs w:val="20"/>
              </w:rPr>
              <w:t>ծառայություններ</w:t>
            </w:r>
            <w:r w:rsidRPr="0053423A">
              <w:rPr>
                <w:rFonts w:eastAsia="Calibri" w:cs="Times New Roman"/>
                <w:sz w:val="20"/>
                <w:szCs w:val="20"/>
                <w:lang w:val="fr-FR"/>
              </w:rPr>
              <w:t xml:space="preserve"> </w:t>
            </w:r>
            <w:r w:rsidRPr="0053423A">
              <w:rPr>
                <w:rFonts w:eastAsia="Calibri" w:cs="Times New Roman"/>
                <w:sz w:val="20"/>
                <w:szCs w:val="20"/>
              </w:rPr>
              <w:t>մատուցող</w:t>
            </w:r>
            <w:r w:rsidRPr="0053423A">
              <w:rPr>
                <w:rFonts w:eastAsia="Calibri" w:cs="Times New Roman"/>
                <w:sz w:val="20"/>
                <w:szCs w:val="20"/>
                <w:lang w:val="fr-FR"/>
              </w:rPr>
              <w:t xml:space="preserve"> </w:t>
            </w:r>
            <w:r w:rsidRPr="0053423A">
              <w:rPr>
                <w:rFonts w:eastAsia="Calibri" w:cs="Times New Roman"/>
                <w:sz w:val="20"/>
                <w:szCs w:val="20"/>
              </w:rPr>
              <w:t>ծառայություններ</w:t>
            </w:r>
            <w:r w:rsidRPr="0053423A">
              <w:rPr>
                <w:rFonts w:eastAsia="Calibri" w:cs="Times New Roman"/>
                <w:sz w:val="20"/>
                <w:szCs w:val="20"/>
                <w:lang w:val="fr-FR"/>
              </w:rPr>
              <w:t xml:space="preserve">, </w:t>
            </w:r>
            <w:r w:rsidRPr="0053423A">
              <w:rPr>
                <w:rFonts w:eastAsia="Calibri" w:cs="Times New Roman"/>
                <w:sz w:val="20"/>
                <w:szCs w:val="20"/>
              </w:rPr>
              <w:t>ինչը</w:t>
            </w:r>
            <w:r w:rsidRPr="0053423A">
              <w:rPr>
                <w:rFonts w:eastAsia="Calibri" w:cs="Times New Roman"/>
                <w:sz w:val="20"/>
                <w:szCs w:val="20"/>
                <w:lang w:val="fr-FR"/>
              </w:rPr>
              <w:t xml:space="preserve"> </w:t>
            </w:r>
            <w:r w:rsidRPr="0053423A">
              <w:rPr>
                <w:rFonts w:eastAsia="Calibri" w:cs="Times New Roman"/>
                <w:sz w:val="20"/>
                <w:szCs w:val="20"/>
              </w:rPr>
              <w:t>հնարավորություն</w:t>
            </w:r>
            <w:r w:rsidRPr="0053423A">
              <w:rPr>
                <w:rFonts w:eastAsia="Calibri" w:cs="Times New Roman"/>
                <w:sz w:val="20"/>
                <w:szCs w:val="20"/>
                <w:lang w:val="fr-FR"/>
              </w:rPr>
              <w:t xml:space="preserve"> </w:t>
            </w:r>
            <w:r w:rsidRPr="0053423A">
              <w:rPr>
                <w:rFonts w:eastAsia="Calibri" w:cs="Times New Roman"/>
                <w:sz w:val="20"/>
                <w:szCs w:val="20"/>
              </w:rPr>
              <w:t>կտա</w:t>
            </w:r>
            <w:r w:rsidRPr="0053423A">
              <w:rPr>
                <w:rFonts w:eastAsia="Calibri" w:cs="Times New Roman"/>
                <w:sz w:val="20"/>
                <w:szCs w:val="20"/>
                <w:lang w:val="fr-FR"/>
              </w:rPr>
              <w:t xml:space="preserve"> </w:t>
            </w:r>
            <w:r w:rsidRPr="0053423A">
              <w:rPr>
                <w:rFonts w:eastAsia="Calibri" w:cs="Times New Roman"/>
                <w:sz w:val="20"/>
                <w:szCs w:val="20"/>
              </w:rPr>
              <w:t>ապահովել</w:t>
            </w:r>
            <w:r w:rsidRPr="0053423A">
              <w:rPr>
                <w:rFonts w:eastAsia="Calibri" w:cs="Times New Roman"/>
                <w:sz w:val="20"/>
                <w:szCs w:val="20"/>
                <w:lang w:val="fr-FR"/>
              </w:rPr>
              <w:t xml:space="preserve"> </w:t>
            </w:r>
            <w:r w:rsidRPr="0053423A">
              <w:rPr>
                <w:rFonts w:eastAsia="Calibri" w:cs="Times New Roman"/>
                <w:sz w:val="20"/>
                <w:szCs w:val="20"/>
              </w:rPr>
              <w:t>օրենքով</w:t>
            </w:r>
            <w:r w:rsidRPr="0053423A">
              <w:rPr>
                <w:rFonts w:eastAsia="Calibri" w:cs="Times New Roman"/>
                <w:sz w:val="20"/>
                <w:szCs w:val="20"/>
                <w:lang w:val="fr-FR"/>
              </w:rPr>
              <w:t xml:space="preserve"> </w:t>
            </w:r>
            <w:r w:rsidRPr="0053423A">
              <w:rPr>
                <w:rFonts w:eastAsia="Calibri" w:cs="Times New Roman"/>
                <w:sz w:val="20"/>
                <w:szCs w:val="20"/>
              </w:rPr>
              <w:t>սահմանված</w:t>
            </w:r>
            <w:r w:rsidRPr="0053423A">
              <w:rPr>
                <w:rFonts w:eastAsia="Calibri" w:cs="Times New Roman"/>
                <w:sz w:val="20"/>
                <w:szCs w:val="20"/>
                <w:lang w:val="fr-FR"/>
              </w:rPr>
              <w:t xml:space="preserve"> </w:t>
            </w:r>
            <w:r w:rsidRPr="0053423A">
              <w:rPr>
                <w:rFonts w:eastAsia="Calibri" w:cs="Times New Roman"/>
                <w:sz w:val="20"/>
                <w:szCs w:val="20"/>
              </w:rPr>
              <w:t>ընտանիքում</w:t>
            </w:r>
            <w:r w:rsidRPr="0053423A">
              <w:rPr>
                <w:rFonts w:eastAsia="Calibri" w:cs="Times New Roman"/>
                <w:sz w:val="20"/>
                <w:szCs w:val="20"/>
                <w:lang w:val="fr-FR"/>
              </w:rPr>
              <w:t xml:space="preserve"> </w:t>
            </w:r>
            <w:r w:rsidRPr="0053423A">
              <w:rPr>
                <w:rFonts w:eastAsia="Calibri" w:cs="Times New Roman"/>
                <w:sz w:val="20"/>
                <w:szCs w:val="20"/>
              </w:rPr>
              <w:t>բռնության</w:t>
            </w:r>
            <w:r w:rsidRPr="0053423A">
              <w:rPr>
                <w:rFonts w:eastAsia="Calibri" w:cs="Times New Roman"/>
                <w:sz w:val="20"/>
                <w:szCs w:val="20"/>
                <w:lang w:val="fr-FR"/>
              </w:rPr>
              <w:t xml:space="preserve"> </w:t>
            </w:r>
            <w:r w:rsidRPr="0053423A">
              <w:rPr>
                <w:rFonts w:eastAsia="Calibri" w:cs="Times New Roman"/>
                <w:sz w:val="20"/>
                <w:szCs w:val="20"/>
              </w:rPr>
              <w:t>ենթարկված</w:t>
            </w:r>
            <w:r w:rsidRPr="0053423A">
              <w:rPr>
                <w:rFonts w:eastAsia="Calibri" w:cs="Times New Roman"/>
                <w:sz w:val="20"/>
                <w:szCs w:val="20"/>
                <w:lang w:val="fr-FR"/>
              </w:rPr>
              <w:t xml:space="preserve"> </w:t>
            </w:r>
            <w:r w:rsidRPr="0053423A">
              <w:rPr>
                <w:rFonts w:eastAsia="Calibri" w:cs="Times New Roman"/>
                <w:sz w:val="20"/>
                <w:szCs w:val="20"/>
              </w:rPr>
              <w:t>անձանց</w:t>
            </w:r>
            <w:r w:rsidRPr="0053423A">
              <w:rPr>
                <w:rFonts w:eastAsia="Calibri" w:cs="Times New Roman"/>
                <w:sz w:val="20"/>
                <w:szCs w:val="20"/>
                <w:lang w:val="fr-FR"/>
              </w:rPr>
              <w:t xml:space="preserve"> </w:t>
            </w:r>
            <w:r w:rsidRPr="0053423A">
              <w:rPr>
                <w:rFonts w:eastAsia="Calibri" w:cs="Times New Roman"/>
                <w:sz w:val="20"/>
                <w:szCs w:val="20"/>
              </w:rPr>
              <w:t>հաշվառման</w:t>
            </w:r>
            <w:r w:rsidRPr="0053423A">
              <w:rPr>
                <w:rFonts w:eastAsia="Calibri" w:cs="Times New Roman"/>
                <w:sz w:val="20"/>
                <w:szCs w:val="20"/>
                <w:lang w:val="fr-FR"/>
              </w:rPr>
              <w:t xml:space="preserve">, </w:t>
            </w:r>
            <w:r w:rsidRPr="0053423A">
              <w:rPr>
                <w:rFonts w:eastAsia="Calibri" w:cs="Times New Roman"/>
                <w:sz w:val="20"/>
                <w:szCs w:val="20"/>
              </w:rPr>
              <w:t>նրանց</w:t>
            </w:r>
            <w:r w:rsidRPr="0053423A">
              <w:rPr>
                <w:rFonts w:eastAsia="Calibri" w:cs="Times New Roman"/>
                <w:sz w:val="20"/>
                <w:szCs w:val="20"/>
                <w:lang w:val="fr-FR"/>
              </w:rPr>
              <w:t xml:space="preserve"> </w:t>
            </w:r>
            <w:r w:rsidRPr="0053423A">
              <w:rPr>
                <w:rFonts w:eastAsia="Calibri" w:cs="Times New Roman"/>
                <w:sz w:val="20"/>
                <w:szCs w:val="20"/>
              </w:rPr>
              <w:t>ուղղորդման</w:t>
            </w:r>
            <w:r w:rsidRPr="0053423A">
              <w:rPr>
                <w:rFonts w:eastAsia="Calibri" w:cs="Times New Roman"/>
                <w:sz w:val="20"/>
                <w:szCs w:val="20"/>
                <w:lang w:val="fr-FR"/>
              </w:rPr>
              <w:t xml:space="preserve"> </w:t>
            </w:r>
            <w:r w:rsidRPr="0053423A">
              <w:rPr>
                <w:rFonts w:eastAsia="Calibri" w:cs="Times New Roman"/>
                <w:sz w:val="20"/>
                <w:szCs w:val="20"/>
              </w:rPr>
              <w:t>և</w:t>
            </w:r>
            <w:r w:rsidRPr="0053423A">
              <w:rPr>
                <w:rFonts w:eastAsia="Calibri" w:cs="Times New Roman"/>
                <w:sz w:val="20"/>
                <w:szCs w:val="20"/>
                <w:lang w:val="fr-FR"/>
              </w:rPr>
              <w:t xml:space="preserve"> </w:t>
            </w:r>
            <w:r w:rsidRPr="0053423A">
              <w:rPr>
                <w:rFonts w:eastAsia="Calibri" w:cs="Times New Roman"/>
                <w:sz w:val="20"/>
                <w:szCs w:val="20"/>
              </w:rPr>
              <w:t>համապատասխան</w:t>
            </w:r>
            <w:r w:rsidRPr="0053423A">
              <w:rPr>
                <w:rFonts w:eastAsia="Calibri" w:cs="Times New Roman"/>
                <w:sz w:val="20"/>
                <w:szCs w:val="20"/>
                <w:lang w:val="fr-FR"/>
              </w:rPr>
              <w:t xml:space="preserve"> </w:t>
            </w:r>
            <w:r w:rsidRPr="0053423A">
              <w:rPr>
                <w:rFonts w:eastAsia="Calibri" w:cs="Times New Roman"/>
                <w:sz w:val="20"/>
                <w:szCs w:val="20"/>
              </w:rPr>
              <w:t>ծառայությունների</w:t>
            </w:r>
            <w:r w:rsidRPr="0053423A">
              <w:rPr>
                <w:rFonts w:eastAsia="Calibri" w:cs="Times New Roman"/>
                <w:sz w:val="20"/>
                <w:szCs w:val="20"/>
                <w:lang w:val="fr-FR"/>
              </w:rPr>
              <w:t xml:space="preserve"> </w:t>
            </w:r>
            <w:r w:rsidRPr="0053423A">
              <w:rPr>
                <w:rFonts w:eastAsia="Calibri" w:cs="Times New Roman"/>
                <w:sz w:val="20"/>
                <w:szCs w:val="20"/>
              </w:rPr>
              <w:t>տրամադրման</w:t>
            </w:r>
            <w:r w:rsidRPr="0053423A">
              <w:rPr>
                <w:rFonts w:eastAsia="Calibri" w:cs="Times New Roman"/>
                <w:sz w:val="20"/>
                <w:szCs w:val="20"/>
                <w:lang w:val="fr-FR"/>
              </w:rPr>
              <w:t xml:space="preserve"> </w:t>
            </w:r>
            <w:r w:rsidRPr="0053423A">
              <w:rPr>
                <w:rFonts w:eastAsia="Calibri" w:cs="Times New Roman"/>
                <w:sz w:val="20"/>
                <w:szCs w:val="20"/>
              </w:rPr>
              <w:t>գործընթացը</w:t>
            </w:r>
            <w:r w:rsidRPr="0053423A">
              <w:rPr>
                <w:rFonts w:eastAsia="Calibri" w:cs="Times New Roman"/>
                <w:sz w:val="20"/>
                <w:szCs w:val="20"/>
                <w:lang w:val="fr-FR"/>
              </w:rPr>
              <w:t>:</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Ընտանիքում բռնության ենթարկված անձանց մասնագիտական ծառայություններ տրամադրելու և նրանց անվտանգությունն ապահովելու հարցում մեծ կարևորություն ունեն նաև ապաստարանները՝ իբրև անվտանգ ժամանակավոր կացարան՝ ուղեկցող  սոցիալական ծառայություններով: Ներկայում հանրապետությունում ընտանիքում բռնության ենթարկված անձանց ապաստարանի ծառայություններ տրամադրվում են ՀԿ-ների կողմից: Տարեկան կտրվածքով, ՀԿ-ների կողմից տրամադրվող առկա 2 ապաստարաններն ընդհանուր առմամբ ծառայություններ են տրամադրում ընտանիքում բռնության ենթարկված շուրջ 200 անձանց: Սակայն նման գործունեություն ծավալող ՀԿ-ների ցանցը և ծրագրերի բաշխվածությունը հանրապետության տարածքում հավասարաչափ չէ, ինչպես նաև բավարար չէ՝ հաշվի առնելով ընտանիքում բռնության դեպքերի վերաբերյալ տարբեր պետական մարմինների և հասարակական կառույցների կողմից վարվող վիճակագրությունը, որի համաձայն այդ թիվը գնահատվում է տարեկան շուրջ 2000 դեպքի սահմանում։ Կան մարզեր,</w:t>
            </w:r>
            <w:r w:rsidRPr="0053423A">
              <w:rPr>
                <w:rFonts w:eastAsia="Calibri" w:cs="Times New Roman"/>
                <w:b/>
                <w:bCs/>
                <w:i/>
                <w:iCs/>
                <w:sz w:val="20"/>
                <w:szCs w:val="20"/>
                <w:lang w:val="hy-AM"/>
              </w:rPr>
              <w:t xml:space="preserve"> </w:t>
            </w:r>
            <w:r w:rsidRPr="0053423A">
              <w:rPr>
                <w:rFonts w:eastAsia="Calibri" w:cs="Times New Roman"/>
                <w:sz w:val="20"/>
                <w:szCs w:val="20"/>
                <w:lang w:val="hy-AM"/>
              </w:rPr>
              <w:t xml:space="preserve"> որտեղ ՀԿ-ները հիմնախնդրին առնչվող ծրագրեր չեն իրականացնում և ծառայություններ չեն մատուցում: Հետևաբար ընտանիքում բռնության ենթարկված անձանց ուղղված ծառայությունները շահառուների մի զգալի մասի հասանելի չեն: Բացի այդ, ընտանիքում բռնության կանխարգելման և անհրաժեշտ ծառայությունների տրամադրման երաշխավորը, համաձայն օրենքի, պետությունն է։</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Հաշվի առնելով ապաստարանների կողմից տրամադրվող ծառայությունների կարևորությունը և ՀԿ-ների կողմից իրականացվող ծրագրերի շարունակականության երաշխիքի բացակայությունը, անհրաժեշտ է ստեղծել պետական ֆինանսավորմամբ ապաստարաններ և աջակցության կենտրոններ՝ հիմք դնելով ընտանիքում բռնության երևույթի համակարգված կանխարգելմանը՝ նպաստելով կանանց և տղամարդկանց իրապես հավասար հնարավորությունների և իրավունքների արմատավորմանը: Ընդ որում, այս գործընթացը ենթադրում է սերտ համագործակցություն քաղաքացիական դաշտի հետ, քանի որ անհրաժեշտ ծառայությունները կարող են նաև պատվիրակվել համապատասխան հասարակական կազմակերպություններին։ </w:t>
            </w:r>
          </w:p>
          <w:p w:rsidR="00514E01" w:rsidRPr="0053423A" w:rsidRDefault="00514E01" w:rsidP="001F6D5D">
            <w:pPr>
              <w:numPr>
                <w:ilvl w:val="1"/>
                <w:numId w:val="171"/>
              </w:numPr>
              <w:spacing w:line="276" w:lineRule="auto"/>
              <w:jc w:val="both"/>
              <w:rPr>
                <w:rFonts w:eastAsia="Calibri" w:cs="Times New Roman"/>
                <w:b/>
                <w:sz w:val="20"/>
                <w:szCs w:val="20"/>
              </w:rPr>
            </w:pPr>
            <w:r w:rsidRPr="0053423A">
              <w:rPr>
                <w:rFonts w:eastAsia="Calibri" w:cs="Times New Roman"/>
                <w:b/>
                <w:sz w:val="20"/>
                <w:szCs w:val="20"/>
              </w:rPr>
              <w:t>առկա խնդիրների առաջարկվող լուծումները</w:t>
            </w:r>
          </w:p>
          <w:p w:rsidR="00514E01" w:rsidRPr="0053423A" w:rsidRDefault="00514E01" w:rsidP="00A67858">
            <w:pPr>
              <w:spacing w:line="276" w:lineRule="auto"/>
              <w:jc w:val="both"/>
              <w:rPr>
                <w:rFonts w:eastAsia="Calibri" w:cs="Times New Roman"/>
                <w:sz w:val="20"/>
                <w:szCs w:val="20"/>
              </w:rPr>
            </w:pPr>
            <w:r w:rsidRPr="0053423A">
              <w:rPr>
                <w:rFonts w:eastAsia="Calibri" w:cs="Times New Roman"/>
                <w:sz w:val="20"/>
                <w:szCs w:val="20"/>
              </w:rPr>
              <w:t>Ընտանիքում բռնության ենթարկված անձանց օրենսդրությամբ սահմանված աջակցության տրամադրման նպատակով առաջարկվում է ապահովել դրա իրականացման համար համապատասխան իրավական հիմքերը, իրավաբանական անձանց հետ կնքել ապաստարանի ֆինանսավորման պայմանագրեր և ստեղծել պետության կողմից ֆինանսվորվող ապաստարաններ:</w:t>
            </w:r>
          </w:p>
          <w:p w:rsidR="00514E01" w:rsidRPr="0053423A" w:rsidRDefault="00514E01" w:rsidP="001F6D5D">
            <w:pPr>
              <w:numPr>
                <w:ilvl w:val="0"/>
                <w:numId w:val="171"/>
              </w:numPr>
              <w:spacing w:line="276" w:lineRule="auto"/>
              <w:ind w:hanging="735"/>
              <w:jc w:val="both"/>
              <w:rPr>
                <w:rFonts w:eastAsia="Calibri" w:cs="Times New Roman"/>
                <w:b/>
                <w:sz w:val="20"/>
                <w:szCs w:val="20"/>
              </w:rPr>
            </w:pPr>
            <w:r w:rsidRPr="0053423A">
              <w:rPr>
                <w:rFonts w:eastAsia="Calibri" w:cs="Times New Roman"/>
                <w:b/>
                <w:sz w:val="20"/>
                <w:szCs w:val="20"/>
              </w:rPr>
              <w:t>Միջոցառման իրակացումից ակնկալվող արդյունքը</w:t>
            </w:r>
          </w:p>
          <w:p w:rsidR="00514E01" w:rsidRPr="0053423A" w:rsidRDefault="00514E01" w:rsidP="00A67858">
            <w:pPr>
              <w:spacing w:line="276" w:lineRule="auto"/>
              <w:jc w:val="both"/>
              <w:rPr>
                <w:rFonts w:eastAsia="Calibri" w:cs="Times New Roman"/>
                <w:bCs/>
                <w:sz w:val="20"/>
                <w:szCs w:val="20"/>
              </w:rPr>
            </w:pPr>
            <w:r w:rsidRPr="0053423A">
              <w:rPr>
                <w:rFonts w:eastAsia="Calibri" w:cs="Times New Roman"/>
                <w:sz w:val="20"/>
                <w:szCs w:val="20"/>
              </w:rPr>
              <w:t xml:space="preserve">Կապահովվի ընտանիքում բռնության ենթարկված անձանց </w:t>
            </w:r>
            <w:r w:rsidRPr="0053423A">
              <w:rPr>
                <w:rFonts w:eastAsia="Calibri" w:cs="Times New Roman"/>
                <w:bCs/>
                <w:sz w:val="20"/>
                <w:szCs w:val="20"/>
              </w:rPr>
              <w:t>անվտանգ միջավայրի, ինչպես նաև օրեսդրությամբ սահմանված սոցիալական այլ ծառայությունների տրամադրման, ինչպես նաև ՀՀ օրենսդրությամբ և միջազգային պայմանագրերով ամրագրված դրույթների կատարումը:</w:t>
            </w:r>
          </w:p>
          <w:p w:rsidR="00514E01" w:rsidRPr="0053423A" w:rsidRDefault="00514E01" w:rsidP="00A67858">
            <w:pPr>
              <w:spacing w:line="276" w:lineRule="auto"/>
              <w:rPr>
                <w:sz w:val="20"/>
                <w:szCs w:val="20"/>
              </w:rPr>
            </w:pPr>
          </w:p>
        </w:tc>
      </w:tr>
      <w:tr w:rsidR="00514E01" w:rsidRPr="00DE2EFA" w:rsidTr="00BC61ED">
        <w:tc>
          <w:tcPr>
            <w:tcW w:w="630" w:type="dxa"/>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11</w:t>
            </w:r>
          </w:p>
        </w:tc>
        <w:tc>
          <w:tcPr>
            <w:tcW w:w="10890" w:type="dxa"/>
          </w:tcPr>
          <w:p w:rsidR="00514E01" w:rsidRPr="0053423A" w:rsidRDefault="00514E01" w:rsidP="00A67858">
            <w:pPr>
              <w:spacing w:line="276" w:lineRule="auto"/>
              <w:jc w:val="both"/>
              <w:rPr>
                <w:rFonts w:eastAsia="Calibri" w:cs="Times New Roman"/>
                <w:b/>
                <w:sz w:val="20"/>
                <w:szCs w:val="20"/>
                <w:u w:val="single"/>
                <w:lang w:val="hy-AM"/>
              </w:rPr>
            </w:pPr>
            <w:r w:rsidRPr="0053423A">
              <w:rPr>
                <w:rFonts w:eastAsia="Calibri" w:cs="Times New Roman"/>
                <w:b/>
                <w:sz w:val="20"/>
                <w:szCs w:val="20"/>
                <w:u w:val="single"/>
                <w:lang w:val="hy-AM"/>
              </w:rPr>
              <w:t xml:space="preserve">11.1 ՀՀ օրենսդրական դաշտի կատարելագործում և </w:t>
            </w:r>
            <w:r w:rsidRPr="0053423A">
              <w:rPr>
                <w:rFonts w:eastAsia="Calibri" w:cs="Times New Roman"/>
                <w:b/>
                <w:sz w:val="20"/>
                <w:szCs w:val="20"/>
                <w:u w:val="single"/>
                <w:lang w:val="af-ZA"/>
              </w:rPr>
              <w:t xml:space="preserve">«Կանանց նկատմամբ բռնության և ընտանեկան բռնության կանխարգելման և դրա դեմ պայքարի մասին» կոնվենցիայով ստանձնած </w:t>
            </w:r>
            <w:r w:rsidRPr="0053423A">
              <w:rPr>
                <w:rFonts w:eastAsia="Calibri" w:cs="Times New Roman"/>
                <w:b/>
                <w:sz w:val="20"/>
                <w:szCs w:val="20"/>
                <w:u w:val="single"/>
                <w:lang w:val="hy-AM"/>
              </w:rPr>
              <w:t>հանձնառություններին համապատասխանեցում</w:t>
            </w:r>
          </w:p>
          <w:p w:rsidR="00514E01" w:rsidRPr="0053423A" w:rsidRDefault="00514E01" w:rsidP="00A67858">
            <w:pPr>
              <w:spacing w:line="276" w:lineRule="auto"/>
              <w:jc w:val="both"/>
              <w:rPr>
                <w:rFonts w:eastAsia="Calibri" w:cs="Times New Roman"/>
                <w:b/>
                <w:bCs/>
                <w:sz w:val="20"/>
                <w:szCs w:val="20"/>
                <w:lang w:val="hy-AM"/>
              </w:rPr>
            </w:pPr>
            <w:r w:rsidRPr="0053423A">
              <w:rPr>
                <w:rFonts w:eastAsia="Calibri" w:cs="Times New Roman"/>
                <w:b/>
                <w:bCs/>
                <w:sz w:val="20"/>
                <w:szCs w:val="20"/>
                <w:lang w:val="hy-AM"/>
              </w:rPr>
              <w:t xml:space="preserve">1. </w:t>
            </w:r>
            <w:r w:rsidRPr="0053423A">
              <w:rPr>
                <w:rFonts w:eastAsia="Calibri" w:cs="Times New Roman"/>
                <w:b/>
                <w:bCs/>
                <w:sz w:val="20"/>
                <w:szCs w:val="20"/>
                <w:lang w:val="af-ZA"/>
              </w:rPr>
              <w:t>Միջոցառման իրականացման անհրաժեշտությունը և նպատակը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Միջոցառման անհրաժեշտությունը պայմանավորված է 2015 թվականի դեկտեմբերի 29-ին ուժի մեջ մտած Հայաստանի Հանրապետության և Եվրոպական Միության միջև «Աջակցություն Հայաստանում մարդու իրավունքների պաշտպանությանը» ԵՄ բյուջետային աջակցության ֆինանսավորման 2016-2018 թվականների համաձայնագրի 4.3 կետի և Հայաստանի Հանրապետության կառավարության 2017 թվականի մայիսի  4-ի N 483-Ն որոշմամբ՝ Հայաստանի Հանրա</w:t>
            </w:r>
            <w:r w:rsidRPr="0053423A">
              <w:rPr>
                <w:rFonts w:eastAsia="Calibri" w:cs="Times New Roman"/>
                <w:sz w:val="20"/>
                <w:szCs w:val="20"/>
                <w:lang w:val="hy-AM"/>
              </w:rPr>
              <w:softHyphen/>
              <w:t>պետության կառավարության կողմից ընդունված Մարդու իրավունքների պաշտպա</w:t>
            </w:r>
            <w:r w:rsidRPr="0053423A">
              <w:rPr>
                <w:rFonts w:eastAsia="Calibri" w:cs="Times New Roman"/>
                <w:sz w:val="20"/>
                <w:szCs w:val="20"/>
                <w:lang w:val="hy-AM"/>
              </w:rPr>
              <w:softHyphen/>
              <w:t>նության ազգային ռազմավարությունից բխող 2017-2019 թվական</w:t>
            </w:r>
            <w:r w:rsidRPr="0053423A">
              <w:rPr>
                <w:rFonts w:eastAsia="Calibri" w:cs="Times New Roman"/>
                <w:sz w:val="20"/>
                <w:szCs w:val="20"/>
                <w:lang w:val="hy-AM"/>
              </w:rPr>
              <w:softHyphen/>
              <w:t>ների գործողությունների ծրագրի 74-րդ կետի կատարմամբ, ըստ որի նախատեսվում է ստորագրել «Կանանց նկատմամբ բռնության և ընտանեկան բռնության կանխարգելման և դրանց դեմ պայքարի մասին» Եվրոպայի խորհրդի կոնվենցիան և այն վավերացման ներկայացնելու նպատակով ձեռնարկել անհրաժեշտ քայլեր։</w:t>
            </w:r>
          </w:p>
          <w:p w:rsidR="00514E01" w:rsidRPr="0053423A" w:rsidRDefault="00514E01" w:rsidP="00A67858">
            <w:pPr>
              <w:spacing w:line="276" w:lineRule="auto"/>
              <w:jc w:val="both"/>
              <w:rPr>
                <w:rFonts w:eastAsia="Calibri" w:cs="Times New Roman"/>
                <w:b/>
                <w:bCs/>
                <w:sz w:val="20"/>
                <w:szCs w:val="20"/>
                <w:lang w:val="af-ZA"/>
              </w:rPr>
            </w:pPr>
            <w:r w:rsidRPr="0053423A">
              <w:rPr>
                <w:rFonts w:eastAsia="Calibri" w:cs="Times New Roman"/>
                <w:b/>
                <w:bCs/>
                <w:sz w:val="20"/>
                <w:szCs w:val="20"/>
                <w:lang w:val="af-ZA"/>
              </w:rPr>
              <w:t>1.1.</w:t>
            </w:r>
            <w:r w:rsidRPr="0053423A">
              <w:rPr>
                <w:rFonts w:eastAsia="Calibri" w:cs="Times New Roman"/>
                <w:b/>
                <w:bCs/>
                <w:sz w:val="20"/>
                <w:szCs w:val="20"/>
                <w:lang w:val="af-ZA"/>
              </w:rPr>
              <w:tab/>
              <w:t xml:space="preserve">կարգավորման հարաբերությունների ներկա իրավիճակը և առկա խնդիրները </w:t>
            </w:r>
          </w:p>
          <w:p w:rsidR="00514E01" w:rsidRPr="0053423A" w:rsidRDefault="00514E01" w:rsidP="00A67858">
            <w:pPr>
              <w:spacing w:line="276" w:lineRule="auto"/>
              <w:jc w:val="both"/>
              <w:rPr>
                <w:rFonts w:eastAsia="Calibri" w:cs="Times New Roman"/>
                <w:b/>
                <w:i/>
                <w:sz w:val="20"/>
                <w:szCs w:val="20"/>
                <w:lang w:val="af-ZA"/>
              </w:rPr>
            </w:pPr>
            <w:r w:rsidRPr="0053423A">
              <w:rPr>
                <w:rFonts w:eastAsia="Calibri" w:cs="Times New Roman"/>
                <w:sz w:val="20"/>
                <w:szCs w:val="20"/>
                <w:lang w:val="hy-AM"/>
              </w:rPr>
              <w:t xml:space="preserve">«Կանանց նկատմամբ բռնության և ընտանեկան բռնության կանխարգելման և դրա պայքարի մասին» </w:t>
            </w:r>
            <w:r w:rsidRPr="0053423A">
              <w:rPr>
                <w:rFonts w:eastAsia="Calibri" w:cs="Times New Roman"/>
                <w:sz w:val="20"/>
                <w:szCs w:val="20"/>
              </w:rPr>
              <w:t>Եվրոպայի</w:t>
            </w:r>
            <w:r w:rsidRPr="0053423A">
              <w:rPr>
                <w:rFonts w:eastAsia="Calibri" w:cs="Times New Roman"/>
                <w:sz w:val="20"/>
                <w:szCs w:val="20"/>
                <w:lang w:val="af-ZA"/>
              </w:rPr>
              <w:t xml:space="preserve"> </w:t>
            </w:r>
            <w:r w:rsidRPr="0053423A">
              <w:rPr>
                <w:rFonts w:eastAsia="Calibri" w:cs="Times New Roman"/>
                <w:sz w:val="20"/>
                <w:szCs w:val="20"/>
              </w:rPr>
              <w:t>Խորհրդի</w:t>
            </w:r>
            <w:r w:rsidRPr="0053423A">
              <w:rPr>
                <w:rFonts w:eastAsia="Calibri" w:cs="Times New Roman"/>
                <w:sz w:val="20"/>
                <w:szCs w:val="20"/>
                <w:lang w:val="af-ZA"/>
              </w:rPr>
              <w:t xml:space="preserve"> </w:t>
            </w:r>
            <w:r w:rsidRPr="0053423A">
              <w:rPr>
                <w:rFonts w:eastAsia="Calibri" w:cs="Times New Roman"/>
                <w:sz w:val="20"/>
                <w:szCs w:val="20"/>
              </w:rPr>
              <w:t>կոնվենցիան</w:t>
            </w:r>
            <w:r w:rsidRPr="0053423A">
              <w:rPr>
                <w:rFonts w:eastAsia="Calibri" w:cs="Times New Roman"/>
                <w:sz w:val="20"/>
                <w:szCs w:val="20"/>
                <w:lang w:val="af-ZA"/>
              </w:rPr>
              <w:t xml:space="preserve"> (</w:t>
            </w:r>
            <w:r w:rsidRPr="0053423A">
              <w:rPr>
                <w:rFonts w:eastAsia="Calibri" w:cs="Times New Roman"/>
                <w:sz w:val="20"/>
                <w:szCs w:val="20"/>
              </w:rPr>
              <w:t>այսուհետ՝</w:t>
            </w:r>
            <w:r w:rsidRPr="0053423A">
              <w:rPr>
                <w:rFonts w:eastAsia="Calibri" w:cs="Times New Roman"/>
                <w:sz w:val="20"/>
                <w:szCs w:val="20"/>
                <w:lang w:val="af-ZA"/>
              </w:rPr>
              <w:t xml:space="preserve"> </w:t>
            </w:r>
            <w:r w:rsidRPr="0053423A">
              <w:rPr>
                <w:rFonts w:eastAsia="Calibri" w:cs="Times New Roman"/>
                <w:sz w:val="20"/>
                <w:szCs w:val="20"/>
              </w:rPr>
              <w:t>կոնվենցիա</w:t>
            </w:r>
            <w:r w:rsidRPr="0053423A">
              <w:rPr>
                <w:rFonts w:eastAsia="Calibri" w:cs="Times New Roman"/>
                <w:sz w:val="20"/>
                <w:szCs w:val="20"/>
                <w:lang w:val="af-ZA"/>
              </w:rPr>
              <w:t xml:space="preserve">) </w:t>
            </w:r>
            <w:r w:rsidRPr="0053423A">
              <w:rPr>
                <w:rFonts w:eastAsia="Calibri" w:cs="Times New Roman"/>
                <w:sz w:val="20"/>
                <w:szCs w:val="20"/>
              </w:rPr>
              <w:t>կանանց</w:t>
            </w:r>
            <w:r w:rsidRPr="0053423A">
              <w:rPr>
                <w:rFonts w:eastAsia="Calibri" w:cs="Times New Roman"/>
                <w:sz w:val="20"/>
                <w:szCs w:val="20"/>
                <w:lang w:val="af-ZA"/>
              </w:rPr>
              <w:t xml:space="preserve"> </w:t>
            </w:r>
            <w:r w:rsidRPr="0053423A">
              <w:rPr>
                <w:rFonts w:eastAsia="Calibri" w:cs="Times New Roman"/>
                <w:sz w:val="20"/>
                <w:szCs w:val="20"/>
              </w:rPr>
              <w:t>իրավունքների</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գենդերային</w:t>
            </w:r>
            <w:r w:rsidRPr="0053423A">
              <w:rPr>
                <w:rFonts w:eastAsia="Calibri" w:cs="Times New Roman"/>
                <w:sz w:val="20"/>
                <w:szCs w:val="20"/>
                <w:lang w:val="af-ZA"/>
              </w:rPr>
              <w:t xml:space="preserve"> </w:t>
            </w:r>
            <w:r w:rsidRPr="0053423A">
              <w:rPr>
                <w:rFonts w:eastAsia="Calibri" w:cs="Times New Roman"/>
                <w:sz w:val="20"/>
                <w:szCs w:val="20"/>
              </w:rPr>
              <w:t>հավասարության</w:t>
            </w:r>
            <w:r w:rsidRPr="0053423A">
              <w:rPr>
                <w:rFonts w:eastAsia="Calibri" w:cs="Times New Roman"/>
                <w:sz w:val="20"/>
                <w:szCs w:val="20"/>
                <w:lang w:val="af-ZA"/>
              </w:rPr>
              <w:t xml:space="preserve"> </w:t>
            </w:r>
            <w:r w:rsidRPr="0053423A">
              <w:rPr>
                <w:rFonts w:eastAsia="Calibri" w:cs="Times New Roman"/>
                <w:sz w:val="20"/>
                <w:szCs w:val="20"/>
              </w:rPr>
              <w:t>խթանման</w:t>
            </w:r>
            <w:r w:rsidRPr="0053423A">
              <w:rPr>
                <w:rFonts w:eastAsia="Calibri" w:cs="Times New Roman"/>
                <w:sz w:val="20"/>
                <w:szCs w:val="20"/>
                <w:lang w:val="af-ZA"/>
              </w:rPr>
              <w:t xml:space="preserve"> </w:t>
            </w:r>
            <w:r w:rsidRPr="0053423A">
              <w:rPr>
                <w:rFonts w:eastAsia="Calibri" w:cs="Times New Roman"/>
                <w:sz w:val="20"/>
                <w:szCs w:val="20"/>
              </w:rPr>
              <w:t>միջազգային</w:t>
            </w:r>
            <w:r w:rsidRPr="0053423A">
              <w:rPr>
                <w:rFonts w:eastAsia="Calibri" w:cs="Times New Roman"/>
                <w:sz w:val="20"/>
                <w:szCs w:val="20"/>
                <w:lang w:val="af-ZA"/>
              </w:rPr>
              <w:t xml:space="preserve"> </w:t>
            </w:r>
            <w:r w:rsidRPr="0053423A">
              <w:rPr>
                <w:rFonts w:eastAsia="Calibri" w:cs="Times New Roman"/>
                <w:sz w:val="20"/>
                <w:szCs w:val="20"/>
              </w:rPr>
              <w:t>գործիքակազմում</w:t>
            </w:r>
            <w:r w:rsidRPr="0053423A">
              <w:rPr>
                <w:rFonts w:eastAsia="Calibri" w:cs="Times New Roman"/>
                <w:sz w:val="20"/>
                <w:szCs w:val="20"/>
                <w:lang w:val="af-ZA"/>
              </w:rPr>
              <w:t xml:space="preserve"> </w:t>
            </w:r>
            <w:r w:rsidRPr="0053423A">
              <w:rPr>
                <w:rFonts w:eastAsia="Calibri" w:cs="Times New Roman"/>
                <w:sz w:val="20"/>
                <w:szCs w:val="20"/>
              </w:rPr>
              <w:t>մարդու</w:t>
            </w:r>
            <w:r w:rsidRPr="0053423A">
              <w:rPr>
                <w:rFonts w:eastAsia="Calibri" w:cs="Times New Roman"/>
                <w:sz w:val="20"/>
                <w:szCs w:val="20"/>
                <w:lang w:val="af-ZA"/>
              </w:rPr>
              <w:t xml:space="preserve"> </w:t>
            </w:r>
            <w:r w:rsidRPr="0053423A">
              <w:rPr>
                <w:rFonts w:eastAsia="Calibri" w:cs="Times New Roman"/>
                <w:sz w:val="20"/>
                <w:szCs w:val="20"/>
              </w:rPr>
              <w:t>իրավունքների</w:t>
            </w:r>
            <w:r w:rsidRPr="0053423A">
              <w:rPr>
                <w:rFonts w:eastAsia="Calibri" w:cs="Times New Roman"/>
                <w:sz w:val="20"/>
                <w:szCs w:val="20"/>
                <w:lang w:val="af-ZA"/>
              </w:rPr>
              <w:t xml:space="preserve"> </w:t>
            </w:r>
            <w:r w:rsidRPr="0053423A">
              <w:rPr>
                <w:rFonts w:eastAsia="Calibri" w:cs="Times New Roman"/>
                <w:sz w:val="20"/>
                <w:szCs w:val="20"/>
              </w:rPr>
              <w:t>պաշտպանության</w:t>
            </w:r>
            <w:r w:rsidRPr="0053423A">
              <w:rPr>
                <w:rFonts w:eastAsia="Calibri" w:cs="Times New Roman"/>
                <w:sz w:val="20"/>
                <w:szCs w:val="20"/>
                <w:lang w:val="af-ZA"/>
              </w:rPr>
              <w:t xml:space="preserve"> </w:t>
            </w:r>
            <w:r w:rsidRPr="0053423A">
              <w:rPr>
                <w:rFonts w:eastAsia="Calibri" w:cs="Times New Roman"/>
                <w:sz w:val="20"/>
                <w:szCs w:val="20"/>
              </w:rPr>
              <w:t>փաստաթղթերից</w:t>
            </w:r>
            <w:r w:rsidRPr="0053423A">
              <w:rPr>
                <w:rFonts w:eastAsia="Calibri" w:cs="Times New Roman"/>
                <w:sz w:val="20"/>
                <w:szCs w:val="20"/>
                <w:lang w:val="af-ZA"/>
              </w:rPr>
              <w:t xml:space="preserve"> </w:t>
            </w:r>
            <w:r w:rsidRPr="0053423A">
              <w:rPr>
                <w:rFonts w:eastAsia="Calibri" w:cs="Times New Roman"/>
                <w:sz w:val="20"/>
                <w:szCs w:val="20"/>
              </w:rPr>
              <w:t>մեկն</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lang w:val="en-GB"/>
              </w:rPr>
              <w:t>որով</w:t>
            </w:r>
            <w:r w:rsidRPr="0053423A">
              <w:rPr>
                <w:rFonts w:eastAsia="Calibri" w:cs="Times New Roman"/>
                <w:sz w:val="20"/>
                <w:szCs w:val="20"/>
                <w:lang w:val="af-ZA"/>
              </w:rPr>
              <w:t xml:space="preserve"> </w:t>
            </w:r>
            <w:r w:rsidRPr="0053423A">
              <w:rPr>
                <w:rFonts w:eastAsia="Calibri" w:cs="Times New Roman"/>
                <w:sz w:val="20"/>
                <w:szCs w:val="20"/>
                <w:lang w:val="en-GB"/>
              </w:rPr>
              <w:t>կարևոր</w:t>
            </w:r>
            <w:r w:rsidRPr="0053423A">
              <w:rPr>
                <w:rFonts w:eastAsia="Calibri" w:cs="Times New Roman"/>
                <w:sz w:val="20"/>
                <w:szCs w:val="20"/>
                <w:lang w:val="af-ZA"/>
              </w:rPr>
              <w:t xml:space="preserve"> </w:t>
            </w:r>
            <w:r w:rsidRPr="0053423A">
              <w:rPr>
                <w:rFonts w:eastAsia="Calibri" w:cs="Times New Roman"/>
                <w:sz w:val="20"/>
                <w:szCs w:val="20"/>
                <w:lang w:val="en-GB"/>
              </w:rPr>
              <w:t>չափորորշիչներ</w:t>
            </w:r>
            <w:r w:rsidRPr="0053423A">
              <w:rPr>
                <w:rFonts w:eastAsia="Calibri" w:cs="Times New Roman"/>
                <w:sz w:val="20"/>
                <w:szCs w:val="20"/>
                <w:lang w:val="af-ZA"/>
              </w:rPr>
              <w:t xml:space="preserve"> </w:t>
            </w:r>
            <w:r w:rsidRPr="0053423A">
              <w:rPr>
                <w:rFonts w:eastAsia="Calibri" w:cs="Times New Roman"/>
                <w:sz w:val="20"/>
                <w:szCs w:val="20"/>
                <w:lang w:val="en-GB"/>
              </w:rPr>
              <w:t>են</w:t>
            </w:r>
            <w:r w:rsidRPr="0053423A">
              <w:rPr>
                <w:rFonts w:eastAsia="Calibri" w:cs="Times New Roman"/>
                <w:sz w:val="20"/>
                <w:szCs w:val="20"/>
                <w:lang w:val="af-ZA"/>
              </w:rPr>
              <w:t xml:space="preserve"> </w:t>
            </w:r>
            <w:r w:rsidRPr="0053423A">
              <w:rPr>
                <w:rFonts w:eastAsia="Calibri" w:cs="Times New Roman"/>
                <w:sz w:val="20"/>
                <w:szCs w:val="20"/>
                <w:lang w:val="en-GB"/>
              </w:rPr>
              <w:t>ամրագրվում</w:t>
            </w:r>
            <w:r w:rsidRPr="0053423A">
              <w:rPr>
                <w:rFonts w:eastAsia="Calibri" w:cs="Times New Roman"/>
                <w:sz w:val="20"/>
                <w:szCs w:val="20"/>
                <w:lang w:val="af-ZA"/>
              </w:rPr>
              <w:t xml:space="preserve"> </w:t>
            </w:r>
            <w:r w:rsidRPr="0053423A">
              <w:rPr>
                <w:rFonts w:eastAsia="Calibri" w:cs="Times New Roman"/>
                <w:sz w:val="20"/>
                <w:szCs w:val="20"/>
                <w:lang w:val="en-GB"/>
              </w:rPr>
              <w:t>կանանց</w:t>
            </w:r>
            <w:r w:rsidRPr="0053423A">
              <w:rPr>
                <w:rFonts w:eastAsia="Calibri" w:cs="Times New Roman"/>
                <w:sz w:val="20"/>
                <w:szCs w:val="20"/>
                <w:lang w:val="af-ZA"/>
              </w:rPr>
              <w:t xml:space="preserve"> </w:t>
            </w:r>
            <w:r w:rsidRPr="0053423A">
              <w:rPr>
                <w:rFonts w:eastAsia="Calibri" w:cs="Times New Roman"/>
                <w:sz w:val="20"/>
                <w:szCs w:val="20"/>
                <w:lang w:val="en-GB"/>
              </w:rPr>
              <w:t>դեմ</w:t>
            </w:r>
            <w:r w:rsidRPr="0053423A">
              <w:rPr>
                <w:rFonts w:eastAsia="Calibri" w:cs="Times New Roman"/>
                <w:sz w:val="20"/>
                <w:szCs w:val="20"/>
                <w:lang w:val="af-ZA"/>
              </w:rPr>
              <w:t xml:space="preserve"> </w:t>
            </w:r>
            <w:r w:rsidRPr="0053423A">
              <w:rPr>
                <w:rFonts w:eastAsia="Calibri" w:cs="Times New Roman"/>
                <w:sz w:val="20"/>
                <w:szCs w:val="20"/>
                <w:lang w:val="en-GB"/>
              </w:rPr>
              <w:t>բռնության</w:t>
            </w:r>
            <w:r w:rsidRPr="0053423A">
              <w:rPr>
                <w:rFonts w:eastAsia="Calibri" w:cs="Times New Roman"/>
                <w:sz w:val="20"/>
                <w:szCs w:val="20"/>
                <w:lang w:val="af-ZA"/>
              </w:rPr>
              <w:t xml:space="preserve"> </w:t>
            </w:r>
            <w:r w:rsidRPr="0053423A">
              <w:rPr>
                <w:rFonts w:eastAsia="Calibri" w:cs="Times New Roman"/>
                <w:sz w:val="20"/>
                <w:szCs w:val="20"/>
                <w:lang w:val="en-GB"/>
              </w:rPr>
              <w:t>ոլորտում</w:t>
            </w:r>
            <w:r w:rsidRPr="0053423A">
              <w:rPr>
                <w:rFonts w:eastAsia="Calibri" w:cs="Times New Roman"/>
                <w:sz w:val="20"/>
                <w:szCs w:val="20"/>
                <w:lang w:val="af-ZA"/>
              </w:rPr>
              <w:t xml:space="preserve">: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rPr>
              <w:t>Կոնվենցիան</w:t>
            </w:r>
            <w:r w:rsidRPr="0053423A">
              <w:rPr>
                <w:rFonts w:eastAsia="Calibri" w:cs="Times New Roman"/>
                <w:sz w:val="20"/>
                <w:szCs w:val="20"/>
                <w:lang w:val="af-ZA"/>
              </w:rPr>
              <w:t xml:space="preserve"> </w:t>
            </w:r>
            <w:r w:rsidRPr="0053423A">
              <w:rPr>
                <w:rFonts w:eastAsia="Calibri" w:cs="Times New Roman"/>
                <w:sz w:val="20"/>
                <w:szCs w:val="20"/>
              </w:rPr>
              <w:t>ուղղված</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Հայաստանի</w:t>
            </w:r>
            <w:r w:rsidRPr="0053423A">
              <w:rPr>
                <w:rFonts w:eastAsia="Calibri" w:cs="Times New Roman"/>
                <w:sz w:val="20"/>
                <w:szCs w:val="20"/>
                <w:lang w:val="af-ZA"/>
              </w:rPr>
              <w:t xml:space="preserve"> </w:t>
            </w:r>
            <w:r w:rsidRPr="0053423A">
              <w:rPr>
                <w:rFonts w:eastAsia="Calibri" w:cs="Times New Roman"/>
                <w:sz w:val="20"/>
                <w:szCs w:val="20"/>
              </w:rPr>
              <w:t>Հանրապետության</w:t>
            </w:r>
            <w:r w:rsidRPr="0053423A">
              <w:rPr>
                <w:rFonts w:eastAsia="Calibri" w:cs="Times New Roman"/>
                <w:sz w:val="20"/>
                <w:szCs w:val="20"/>
                <w:lang w:val="af-ZA"/>
              </w:rPr>
              <w:t xml:space="preserve"> </w:t>
            </w:r>
            <w:r w:rsidRPr="0053423A">
              <w:rPr>
                <w:rFonts w:eastAsia="Calibri" w:cs="Times New Roman"/>
                <w:sz w:val="20"/>
                <w:szCs w:val="20"/>
              </w:rPr>
              <w:t>կողմից</w:t>
            </w:r>
            <w:r w:rsidRPr="0053423A">
              <w:rPr>
                <w:rFonts w:eastAsia="Calibri" w:cs="Times New Roman"/>
                <w:sz w:val="20"/>
                <w:szCs w:val="20"/>
                <w:lang w:val="af-ZA"/>
              </w:rPr>
              <w:t xml:space="preserve"> </w:t>
            </w:r>
            <w:r w:rsidRPr="0053423A">
              <w:rPr>
                <w:rFonts w:eastAsia="Calibri" w:cs="Times New Roman"/>
                <w:sz w:val="20"/>
                <w:szCs w:val="20"/>
              </w:rPr>
              <w:t>վավերցված</w:t>
            </w:r>
            <w:r w:rsidRPr="0053423A">
              <w:rPr>
                <w:rFonts w:eastAsia="Calibri" w:cs="Times New Roman"/>
                <w:sz w:val="20"/>
                <w:szCs w:val="20"/>
                <w:lang w:val="af-ZA"/>
              </w:rPr>
              <w:t xml:space="preserve"> </w:t>
            </w:r>
            <w:r w:rsidRPr="0053423A">
              <w:rPr>
                <w:rFonts w:eastAsia="Calibri" w:cs="Times New Roman"/>
                <w:sz w:val="20"/>
                <w:szCs w:val="20"/>
              </w:rPr>
              <w:t>միջազգային</w:t>
            </w:r>
            <w:r w:rsidRPr="0053423A">
              <w:rPr>
                <w:rFonts w:eastAsia="Calibri" w:cs="Times New Roman"/>
                <w:sz w:val="20"/>
                <w:szCs w:val="20"/>
                <w:lang w:val="af-ZA"/>
              </w:rPr>
              <w:t xml:space="preserve"> </w:t>
            </w:r>
            <w:r w:rsidRPr="0053423A">
              <w:rPr>
                <w:rFonts w:eastAsia="Calibri" w:cs="Times New Roman"/>
                <w:sz w:val="20"/>
                <w:szCs w:val="20"/>
              </w:rPr>
              <w:t>մի</w:t>
            </w:r>
            <w:r w:rsidRPr="0053423A">
              <w:rPr>
                <w:rFonts w:eastAsia="Calibri" w:cs="Times New Roman"/>
                <w:sz w:val="20"/>
                <w:szCs w:val="20"/>
                <w:lang w:val="af-ZA"/>
              </w:rPr>
              <w:t xml:space="preserve"> </w:t>
            </w:r>
            <w:r w:rsidRPr="0053423A">
              <w:rPr>
                <w:rFonts w:eastAsia="Calibri" w:cs="Times New Roman"/>
                <w:sz w:val="20"/>
                <w:szCs w:val="20"/>
              </w:rPr>
              <w:t>շարք</w:t>
            </w:r>
            <w:r w:rsidRPr="0053423A">
              <w:rPr>
                <w:rFonts w:eastAsia="Calibri" w:cs="Times New Roman"/>
                <w:sz w:val="20"/>
                <w:szCs w:val="20"/>
                <w:lang w:val="af-ZA"/>
              </w:rPr>
              <w:t xml:space="preserve"> </w:t>
            </w:r>
            <w:r w:rsidRPr="0053423A">
              <w:rPr>
                <w:rFonts w:eastAsia="Calibri" w:cs="Times New Roman"/>
                <w:sz w:val="20"/>
                <w:szCs w:val="20"/>
              </w:rPr>
              <w:t>այլ</w:t>
            </w:r>
            <w:r w:rsidRPr="0053423A">
              <w:rPr>
                <w:rFonts w:eastAsia="Calibri" w:cs="Times New Roman"/>
                <w:sz w:val="20"/>
                <w:szCs w:val="20"/>
                <w:lang w:val="af-ZA"/>
              </w:rPr>
              <w:t xml:space="preserve"> </w:t>
            </w:r>
            <w:r w:rsidRPr="0053423A">
              <w:rPr>
                <w:rFonts w:eastAsia="Calibri" w:cs="Times New Roman"/>
                <w:sz w:val="20"/>
                <w:szCs w:val="20"/>
              </w:rPr>
              <w:t>փաստաթղթերի</w:t>
            </w:r>
            <w:r w:rsidRPr="0053423A">
              <w:rPr>
                <w:rFonts w:eastAsia="Calibri" w:cs="Times New Roman"/>
                <w:sz w:val="20"/>
                <w:szCs w:val="20"/>
                <w:lang w:val="af-ZA"/>
              </w:rPr>
              <w:t xml:space="preserve">, </w:t>
            </w:r>
            <w:r w:rsidRPr="0053423A">
              <w:rPr>
                <w:rFonts w:eastAsia="Calibri" w:cs="Times New Roman"/>
                <w:sz w:val="20"/>
                <w:szCs w:val="20"/>
              </w:rPr>
              <w:t>մասնավորապես</w:t>
            </w:r>
            <w:r w:rsidRPr="0053423A">
              <w:rPr>
                <w:rFonts w:eastAsia="Calibri" w:cs="Times New Roman"/>
                <w:sz w:val="20"/>
                <w:szCs w:val="20"/>
                <w:lang w:val="af-ZA"/>
              </w:rPr>
              <w:t xml:space="preserve">, </w:t>
            </w:r>
            <w:r w:rsidRPr="0053423A">
              <w:rPr>
                <w:rFonts w:eastAsia="Calibri" w:cs="Times New Roman"/>
                <w:sz w:val="20"/>
                <w:szCs w:val="20"/>
                <w:lang w:val="en-GB"/>
              </w:rPr>
              <w:t>Քաղաքացիական</w:t>
            </w:r>
            <w:r w:rsidRPr="0053423A">
              <w:rPr>
                <w:rFonts w:eastAsia="Calibri" w:cs="Times New Roman"/>
                <w:sz w:val="20"/>
                <w:szCs w:val="20"/>
                <w:lang w:val="af-ZA"/>
              </w:rPr>
              <w:t xml:space="preserve"> </w:t>
            </w:r>
            <w:r w:rsidRPr="0053423A">
              <w:rPr>
                <w:rFonts w:eastAsia="Calibri" w:cs="Times New Roman"/>
                <w:sz w:val="20"/>
                <w:szCs w:val="20"/>
                <w:lang w:val="en-GB"/>
              </w:rPr>
              <w:t>և</w:t>
            </w:r>
            <w:r w:rsidRPr="0053423A">
              <w:rPr>
                <w:rFonts w:eastAsia="Calibri" w:cs="Times New Roman"/>
                <w:sz w:val="20"/>
                <w:szCs w:val="20"/>
                <w:lang w:val="af-ZA"/>
              </w:rPr>
              <w:t xml:space="preserve"> </w:t>
            </w:r>
            <w:r w:rsidRPr="0053423A">
              <w:rPr>
                <w:rFonts w:eastAsia="Calibri" w:cs="Times New Roman"/>
                <w:sz w:val="20"/>
                <w:szCs w:val="20"/>
                <w:lang w:val="en-GB"/>
              </w:rPr>
              <w:t>քաղաքական</w:t>
            </w:r>
            <w:r w:rsidRPr="0053423A">
              <w:rPr>
                <w:rFonts w:eastAsia="Calibri" w:cs="Times New Roman"/>
                <w:sz w:val="20"/>
                <w:szCs w:val="20"/>
                <w:lang w:val="af-ZA"/>
              </w:rPr>
              <w:t xml:space="preserve"> </w:t>
            </w:r>
            <w:r w:rsidRPr="0053423A">
              <w:rPr>
                <w:rFonts w:eastAsia="Calibri" w:cs="Times New Roman"/>
                <w:sz w:val="20"/>
                <w:szCs w:val="20"/>
                <w:lang w:val="en-GB"/>
              </w:rPr>
              <w:t>իրավունքների</w:t>
            </w:r>
            <w:r w:rsidRPr="0053423A">
              <w:rPr>
                <w:rFonts w:eastAsia="Calibri" w:cs="Times New Roman"/>
                <w:sz w:val="20"/>
                <w:szCs w:val="20"/>
                <w:lang w:val="af-ZA"/>
              </w:rPr>
              <w:t xml:space="preserve"> </w:t>
            </w:r>
            <w:r w:rsidRPr="0053423A">
              <w:rPr>
                <w:rFonts w:eastAsia="Calibri" w:cs="Times New Roman"/>
                <w:sz w:val="20"/>
                <w:szCs w:val="20"/>
                <w:lang w:val="en-GB"/>
              </w:rPr>
              <w:t>մասին</w:t>
            </w:r>
            <w:r w:rsidRPr="0053423A">
              <w:rPr>
                <w:rFonts w:eastAsia="Calibri" w:cs="Times New Roman"/>
                <w:sz w:val="20"/>
                <w:szCs w:val="20"/>
                <w:lang w:val="af-ZA"/>
              </w:rPr>
              <w:t xml:space="preserve"> </w:t>
            </w:r>
            <w:r w:rsidRPr="0053423A">
              <w:rPr>
                <w:rFonts w:eastAsia="Calibri" w:cs="Times New Roman"/>
                <w:sz w:val="20"/>
                <w:szCs w:val="20"/>
                <w:lang w:val="en-GB"/>
              </w:rPr>
              <w:t>միջազգային</w:t>
            </w:r>
            <w:r w:rsidRPr="0053423A">
              <w:rPr>
                <w:rFonts w:eastAsia="Calibri" w:cs="Times New Roman"/>
                <w:sz w:val="20"/>
                <w:szCs w:val="20"/>
                <w:lang w:val="af-ZA"/>
              </w:rPr>
              <w:t xml:space="preserve"> </w:t>
            </w:r>
            <w:r w:rsidRPr="0053423A">
              <w:rPr>
                <w:rFonts w:eastAsia="Calibri" w:cs="Times New Roman"/>
                <w:sz w:val="20"/>
                <w:szCs w:val="20"/>
                <w:lang w:val="en-GB"/>
              </w:rPr>
              <w:t>դաշնագրի</w:t>
            </w:r>
            <w:r w:rsidRPr="0053423A">
              <w:rPr>
                <w:rFonts w:eastAsia="Calibri" w:cs="Times New Roman"/>
                <w:sz w:val="20"/>
                <w:szCs w:val="20"/>
                <w:lang w:val="af-ZA"/>
              </w:rPr>
              <w:t xml:space="preserve"> (1966</w:t>
            </w:r>
            <w:r w:rsidRPr="0053423A">
              <w:rPr>
                <w:rFonts w:eastAsia="Calibri" w:cs="Times New Roman"/>
                <w:sz w:val="20"/>
                <w:szCs w:val="20"/>
                <w:lang w:val="en-GB"/>
              </w:rPr>
              <w:t>թ</w:t>
            </w:r>
            <w:r w:rsidRPr="0053423A">
              <w:rPr>
                <w:rFonts w:eastAsia="Calibri" w:cs="Times New Roman"/>
                <w:sz w:val="20"/>
                <w:szCs w:val="20"/>
                <w:lang w:val="af-ZA"/>
              </w:rPr>
              <w:t xml:space="preserve">), </w:t>
            </w:r>
            <w:r w:rsidRPr="0053423A">
              <w:rPr>
                <w:rFonts w:eastAsia="Calibri" w:cs="Times New Roman"/>
                <w:sz w:val="20"/>
                <w:szCs w:val="20"/>
                <w:lang w:val="en-GB"/>
              </w:rPr>
              <w:t>Տնտեսական</w:t>
            </w:r>
            <w:r w:rsidRPr="0053423A">
              <w:rPr>
                <w:rFonts w:eastAsia="Calibri" w:cs="Times New Roman"/>
                <w:sz w:val="20"/>
                <w:szCs w:val="20"/>
                <w:lang w:val="af-ZA"/>
              </w:rPr>
              <w:t xml:space="preserve">, </w:t>
            </w:r>
            <w:r w:rsidRPr="0053423A">
              <w:rPr>
                <w:rFonts w:eastAsia="Calibri" w:cs="Times New Roman"/>
                <w:sz w:val="20"/>
                <w:szCs w:val="20"/>
                <w:lang w:val="en-GB"/>
              </w:rPr>
              <w:t>սոցիալական</w:t>
            </w:r>
            <w:r w:rsidRPr="0053423A">
              <w:rPr>
                <w:rFonts w:eastAsia="Calibri" w:cs="Times New Roman"/>
                <w:sz w:val="20"/>
                <w:szCs w:val="20"/>
                <w:lang w:val="af-ZA"/>
              </w:rPr>
              <w:t xml:space="preserve"> </w:t>
            </w:r>
            <w:r w:rsidRPr="0053423A">
              <w:rPr>
                <w:rFonts w:eastAsia="Calibri" w:cs="Times New Roman"/>
                <w:sz w:val="20"/>
                <w:szCs w:val="20"/>
                <w:lang w:val="en-GB"/>
              </w:rPr>
              <w:t>և</w:t>
            </w:r>
            <w:r w:rsidRPr="0053423A">
              <w:rPr>
                <w:rFonts w:eastAsia="Calibri" w:cs="Times New Roman"/>
                <w:sz w:val="20"/>
                <w:szCs w:val="20"/>
                <w:lang w:val="af-ZA"/>
              </w:rPr>
              <w:t xml:space="preserve"> </w:t>
            </w:r>
            <w:r w:rsidRPr="0053423A">
              <w:rPr>
                <w:rFonts w:eastAsia="Calibri" w:cs="Times New Roman"/>
                <w:sz w:val="20"/>
                <w:szCs w:val="20"/>
                <w:lang w:val="en-GB"/>
              </w:rPr>
              <w:t>մշակութային</w:t>
            </w:r>
            <w:r w:rsidRPr="0053423A">
              <w:rPr>
                <w:rFonts w:eastAsia="Calibri" w:cs="Times New Roman"/>
                <w:sz w:val="20"/>
                <w:szCs w:val="20"/>
                <w:lang w:val="af-ZA"/>
              </w:rPr>
              <w:t xml:space="preserve"> </w:t>
            </w:r>
            <w:r w:rsidRPr="0053423A">
              <w:rPr>
                <w:rFonts w:eastAsia="Calibri" w:cs="Times New Roman"/>
                <w:sz w:val="20"/>
                <w:szCs w:val="20"/>
                <w:lang w:val="en-GB"/>
              </w:rPr>
              <w:t>իրավունքների</w:t>
            </w:r>
            <w:r w:rsidRPr="0053423A">
              <w:rPr>
                <w:rFonts w:eastAsia="Calibri" w:cs="Times New Roman"/>
                <w:sz w:val="20"/>
                <w:szCs w:val="20"/>
                <w:lang w:val="af-ZA"/>
              </w:rPr>
              <w:t xml:space="preserve"> </w:t>
            </w:r>
            <w:r w:rsidRPr="0053423A">
              <w:rPr>
                <w:rFonts w:eastAsia="Calibri" w:cs="Times New Roman"/>
                <w:sz w:val="20"/>
                <w:szCs w:val="20"/>
                <w:lang w:val="en-GB"/>
              </w:rPr>
              <w:t>մասին</w:t>
            </w:r>
            <w:r w:rsidRPr="0053423A">
              <w:rPr>
                <w:rFonts w:eastAsia="Calibri" w:cs="Times New Roman"/>
                <w:sz w:val="20"/>
                <w:szCs w:val="20"/>
                <w:lang w:val="af-ZA"/>
              </w:rPr>
              <w:t xml:space="preserve"> </w:t>
            </w:r>
            <w:r w:rsidRPr="0053423A">
              <w:rPr>
                <w:rFonts w:eastAsia="Calibri" w:cs="Times New Roman"/>
                <w:sz w:val="20"/>
                <w:szCs w:val="20"/>
                <w:lang w:val="en-GB"/>
              </w:rPr>
              <w:t>միջազգային</w:t>
            </w:r>
            <w:r w:rsidRPr="0053423A">
              <w:rPr>
                <w:rFonts w:eastAsia="Calibri" w:cs="Times New Roman"/>
                <w:sz w:val="20"/>
                <w:szCs w:val="20"/>
                <w:lang w:val="af-ZA"/>
              </w:rPr>
              <w:t xml:space="preserve"> </w:t>
            </w:r>
            <w:r w:rsidRPr="0053423A">
              <w:rPr>
                <w:rFonts w:eastAsia="Calibri" w:cs="Times New Roman"/>
                <w:sz w:val="20"/>
                <w:szCs w:val="20"/>
                <w:lang w:val="en-GB"/>
              </w:rPr>
              <w:t>դաշնագրի</w:t>
            </w:r>
            <w:r w:rsidRPr="0053423A">
              <w:rPr>
                <w:rFonts w:eastAsia="Calibri" w:cs="Times New Roman"/>
                <w:sz w:val="20"/>
                <w:szCs w:val="20"/>
                <w:lang w:val="af-ZA"/>
              </w:rPr>
              <w:t xml:space="preserve"> (1966</w:t>
            </w:r>
            <w:r w:rsidRPr="0053423A">
              <w:rPr>
                <w:rFonts w:eastAsia="Calibri" w:cs="Times New Roman"/>
                <w:sz w:val="20"/>
                <w:szCs w:val="20"/>
                <w:lang w:val="en-GB"/>
              </w:rPr>
              <w:t>թ</w:t>
            </w:r>
            <w:r w:rsidRPr="0053423A">
              <w:rPr>
                <w:rFonts w:eastAsia="Calibri" w:cs="Times New Roman"/>
                <w:sz w:val="20"/>
                <w:szCs w:val="20"/>
                <w:lang w:val="af-ZA"/>
              </w:rPr>
              <w:t xml:space="preserve">.), </w:t>
            </w:r>
            <w:r w:rsidRPr="0053423A">
              <w:rPr>
                <w:rFonts w:eastAsia="Calibri" w:cs="Times New Roman"/>
                <w:sz w:val="20"/>
                <w:szCs w:val="20"/>
                <w:lang w:val="en-GB"/>
              </w:rPr>
              <w:t>Կանանց</w:t>
            </w:r>
            <w:r w:rsidRPr="0053423A">
              <w:rPr>
                <w:rFonts w:eastAsia="Calibri" w:cs="Times New Roman"/>
                <w:sz w:val="20"/>
                <w:szCs w:val="20"/>
                <w:lang w:val="af-ZA"/>
              </w:rPr>
              <w:t xml:space="preserve"> </w:t>
            </w:r>
            <w:r w:rsidRPr="0053423A">
              <w:rPr>
                <w:rFonts w:eastAsia="Calibri" w:cs="Times New Roman"/>
                <w:sz w:val="20"/>
                <w:szCs w:val="20"/>
                <w:lang w:val="en-GB"/>
              </w:rPr>
              <w:t>նկատմամբ</w:t>
            </w:r>
            <w:r w:rsidRPr="0053423A">
              <w:rPr>
                <w:rFonts w:eastAsia="Calibri" w:cs="Times New Roman"/>
                <w:sz w:val="20"/>
                <w:szCs w:val="20"/>
                <w:lang w:val="af-ZA"/>
              </w:rPr>
              <w:t xml:space="preserve"> </w:t>
            </w:r>
            <w:r w:rsidRPr="0053423A">
              <w:rPr>
                <w:rFonts w:eastAsia="Calibri" w:cs="Times New Roman"/>
                <w:sz w:val="20"/>
                <w:szCs w:val="20"/>
                <w:lang w:val="en-GB"/>
              </w:rPr>
              <w:t>խտրականության</w:t>
            </w:r>
            <w:r w:rsidRPr="0053423A">
              <w:rPr>
                <w:rFonts w:eastAsia="Calibri" w:cs="Times New Roman"/>
                <w:sz w:val="20"/>
                <w:szCs w:val="20"/>
                <w:lang w:val="af-ZA"/>
              </w:rPr>
              <w:t xml:space="preserve"> </w:t>
            </w:r>
            <w:r w:rsidRPr="0053423A">
              <w:rPr>
                <w:rFonts w:eastAsia="Calibri" w:cs="Times New Roman"/>
                <w:sz w:val="20"/>
                <w:szCs w:val="20"/>
                <w:lang w:val="en-GB"/>
              </w:rPr>
              <w:t>բոլոր</w:t>
            </w:r>
            <w:r w:rsidRPr="0053423A">
              <w:rPr>
                <w:rFonts w:eastAsia="Calibri" w:cs="Times New Roman"/>
                <w:sz w:val="20"/>
                <w:szCs w:val="20"/>
                <w:lang w:val="af-ZA"/>
              </w:rPr>
              <w:t xml:space="preserve"> </w:t>
            </w:r>
            <w:r w:rsidRPr="0053423A">
              <w:rPr>
                <w:rFonts w:eastAsia="Calibri" w:cs="Times New Roman"/>
                <w:sz w:val="20"/>
                <w:szCs w:val="20"/>
                <w:lang w:val="en-GB"/>
              </w:rPr>
              <w:t>ձևերի</w:t>
            </w:r>
            <w:r w:rsidRPr="0053423A">
              <w:rPr>
                <w:rFonts w:eastAsia="Calibri" w:cs="Times New Roman"/>
                <w:sz w:val="20"/>
                <w:szCs w:val="20"/>
                <w:lang w:val="af-ZA"/>
              </w:rPr>
              <w:t xml:space="preserve"> </w:t>
            </w:r>
            <w:r w:rsidRPr="0053423A">
              <w:rPr>
                <w:rFonts w:eastAsia="Calibri" w:cs="Times New Roman"/>
                <w:sz w:val="20"/>
                <w:szCs w:val="20"/>
                <w:lang w:val="en-GB"/>
              </w:rPr>
              <w:t>վերացման</w:t>
            </w:r>
            <w:r w:rsidRPr="0053423A">
              <w:rPr>
                <w:rFonts w:eastAsia="Calibri" w:cs="Times New Roman"/>
                <w:sz w:val="20"/>
                <w:szCs w:val="20"/>
                <w:lang w:val="af-ZA"/>
              </w:rPr>
              <w:t xml:space="preserve"> </w:t>
            </w:r>
            <w:r w:rsidRPr="0053423A">
              <w:rPr>
                <w:rFonts w:eastAsia="Calibri" w:cs="Times New Roman"/>
                <w:sz w:val="20"/>
                <w:szCs w:val="20"/>
                <w:lang w:val="en-GB"/>
              </w:rPr>
              <w:t>մասին</w:t>
            </w:r>
            <w:r w:rsidRPr="0053423A">
              <w:rPr>
                <w:rFonts w:eastAsia="Calibri" w:cs="Times New Roman"/>
                <w:sz w:val="20"/>
                <w:szCs w:val="20"/>
                <w:lang w:val="af-ZA"/>
              </w:rPr>
              <w:t xml:space="preserve"> </w:t>
            </w:r>
            <w:r w:rsidRPr="0053423A">
              <w:rPr>
                <w:rFonts w:eastAsia="Calibri" w:cs="Times New Roman"/>
                <w:sz w:val="20"/>
                <w:szCs w:val="20"/>
                <w:lang w:val="en-GB"/>
              </w:rPr>
              <w:t>Միավորված</w:t>
            </w:r>
            <w:r w:rsidRPr="0053423A">
              <w:rPr>
                <w:rFonts w:eastAsia="Calibri" w:cs="Times New Roman"/>
                <w:sz w:val="20"/>
                <w:szCs w:val="20"/>
                <w:lang w:val="af-ZA"/>
              </w:rPr>
              <w:t xml:space="preserve"> </w:t>
            </w:r>
            <w:r w:rsidRPr="0053423A">
              <w:rPr>
                <w:rFonts w:eastAsia="Calibri" w:cs="Times New Roman"/>
                <w:sz w:val="20"/>
                <w:szCs w:val="20"/>
                <w:lang w:val="en-GB"/>
              </w:rPr>
              <w:t>ազգերի</w:t>
            </w:r>
            <w:r w:rsidRPr="0053423A">
              <w:rPr>
                <w:rFonts w:eastAsia="Calibri" w:cs="Times New Roman"/>
                <w:sz w:val="20"/>
                <w:szCs w:val="20"/>
                <w:lang w:val="af-ZA"/>
              </w:rPr>
              <w:t xml:space="preserve"> </w:t>
            </w:r>
            <w:r w:rsidRPr="0053423A">
              <w:rPr>
                <w:rFonts w:eastAsia="Calibri" w:cs="Times New Roman"/>
                <w:sz w:val="20"/>
                <w:szCs w:val="20"/>
                <w:lang w:val="en-GB"/>
              </w:rPr>
              <w:t>կազմակերպության</w:t>
            </w:r>
            <w:r w:rsidRPr="0053423A">
              <w:rPr>
                <w:rFonts w:eastAsia="Calibri" w:cs="Times New Roman"/>
                <w:sz w:val="20"/>
                <w:szCs w:val="20"/>
                <w:lang w:val="af-ZA"/>
              </w:rPr>
              <w:t xml:space="preserve"> </w:t>
            </w:r>
            <w:r w:rsidRPr="0053423A">
              <w:rPr>
                <w:rFonts w:eastAsia="Calibri" w:cs="Times New Roman"/>
                <w:sz w:val="20"/>
                <w:szCs w:val="20"/>
                <w:lang w:val="en-GB"/>
              </w:rPr>
              <w:t>կոնվենցիայի</w:t>
            </w:r>
            <w:r w:rsidRPr="0053423A">
              <w:rPr>
                <w:rFonts w:eastAsia="Calibri" w:cs="Times New Roman"/>
                <w:sz w:val="20"/>
                <w:szCs w:val="20"/>
                <w:lang w:val="af-ZA"/>
              </w:rPr>
              <w:t xml:space="preserve"> (1979</w:t>
            </w:r>
            <w:r w:rsidRPr="0053423A">
              <w:rPr>
                <w:rFonts w:eastAsia="Calibri" w:cs="Times New Roman"/>
                <w:sz w:val="20"/>
                <w:szCs w:val="20"/>
                <w:lang w:val="en-GB"/>
              </w:rPr>
              <w:t>թ</w:t>
            </w:r>
            <w:r w:rsidRPr="0053423A">
              <w:rPr>
                <w:rFonts w:eastAsia="Calibri" w:cs="Times New Roman"/>
                <w:sz w:val="20"/>
                <w:szCs w:val="20"/>
                <w:lang w:val="af-ZA"/>
              </w:rPr>
              <w:t xml:space="preserve">.) </w:t>
            </w:r>
            <w:r w:rsidRPr="0053423A">
              <w:rPr>
                <w:rFonts w:eastAsia="Calibri" w:cs="Times New Roman"/>
                <w:sz w:val="20"/>
                <w:szCs w:val="20"/>
                <w:lang w:val="en-GB"/>
              </w:rPr>
              <w:t>և</w:t>
            </w:r>
            <w:r w:rsidRPr="0053423A">
              <w:rPr>
                <w:rFonts w:eastAsia="Calibri" w:cs="Times New Roman"/>
                <w:sz w:val="20"/>
                <w:szCs w:val="20"/>
                <w:lang w:val="af-ZA"/>
              </w:rPr>
              <w:t xml:space="preserve"> </w:t>
            </w:r>
            <w:r w:rsidRPr="0053423A">
              <w:rPr>
                <w:rFonts w:eastAsia="Calibri" w:cs="Times New Roman"/>
                <w:sz w:val="20"/>
                <w:szCs w:val="20"/>
                <w:lang w:val="en-GB"/>
              </w:rPr>
              <w:t>դրա</w:t>
            </w:r>
            <w:r w:rsidRPr="0053423A">
              <w:rPr>
                <w:rFonts w:eastAsia="Calibri" w:cs="Times New Roman"/>
                <w:sz w:val="20"/>
                <w:szCs w:val="20"/>
                <w:lang w:val="af-ZA"/>
              </w:rPr>
              <w:t xml:space="preserve"> </w:t>
            </w:r>
            <w:r w:rsidRPr="0053423A">
              <w:rPr>
                <w:rFonts w:eastAsia="Calibri" w:cs="Times New Roman"/>
                <w:sz w:val="20"/>
                <w:szCs w:val="20"/>
                <w:lang w:val="en-GB"/>
              </w:rPr>
              <w:t>Կամընտիր</w:t>
            </w:r>
            <w:r w:rsidRPr="0053423A">
              <w:rPr>
                <w:rFonts w:eastAsia="Calibri" w:cs="Times New Roman"/>
                <w:sz w:val="20"/>
                <w:szCs w:val="20"/>
                <w:lang w:val="af-ZA"/>
              </w:rPr>
              <w:t xml:space="preserve"> </w:t>
            </w:r>
            <w:r w:rsidRPr="0053423A">
              <w:rPr>
                <w:rFonts w:eastAsia="Calibri" w:cs="Times New Roman"/>
                <w:sz w:val="20"/>
                <w:szCs w:val="20"/>
                <w:lang w:val="en-GB"/>
              </w:rPr>
              <w:t>արձանագրության</w:t>
            </w:r>
            <w:r w:rsidRPr="0053423A">
              <w:rPr>
                <w:rFonts w:eastAsia="Calibri" w:cs="Times New Roman"/>
                <w:sz w:val="20"/>
                <w:szCs w:val="20"/>
                <w:lang w:val="af-ZA"/>
              </w:rPr>
              <w:t xml:space="preserve"> (1999</w:t>
            </w:r>
            <w:r w:rsidRPr="0053423A">
              <w:rPr>
                <w:rFonts w:eastAsia="Calibri" w:cs="Times New Roman"/>
                <w:sz w:val="20"/>
                <w:szCs w:val="20"/>
                <w:lang w:val="en-GB"/>
              </w:rPr>
              <w:t>թ</w:t>
            </w:r>
            <w:r w:rsidRPr="0053423A">
              <w:rPr>
                <w:rFonts w:eastAsia="MS Mincho" w:cs="MS Mincho"/>
                <w:sz w:val="20"/>
                <w:szCs w:val="20"/>
                <w:lang w:val="af-ZA"/>
              </w:rPr>
              <w:t>.</w:t>
            </w:r>
            <w:r w:rsidRPr="0053423A">
              <w:rPr>
                <w:rFonts w:eastAsia="Calibri" w:cs="Times New Roman"/>
                <w:sz w:val="20"/>
                <w:szCs w:val="20"/>
                <w:lang w:val="af-ZA"/>
              </w:rPr>
              <w:t xml:space="preserve">), </w:t>
            </w:r>
            <w:r w:rsidRPr="0053423A">
              <w:rPr>
                <w:rFonts w:eastAsia="Calibri" w:cs="Times New Roman"/>
                <w:sz w:val="20"/>
                <w:szCs w:val="20"/>
                <w:lang w:val="en-GB"/>
              </w:rPr>
              <w:t>ինչպես</w:t>
            </w:r>
            <w:r w:rsidRPr="0053423A">
              <w:rPr>
                <w:rFonts w:eastAsia="Calibri" w:cs="Times New Roman"/>
                <w:sz w:val="20"/>
                <w:szCs w:val="20"/>
                <w:lang w:val="af-ZA"/>
              </w:rPr>
              <w:t xml:space="preserve"> </w:t>
            </w:r>
            <w:r w:rsidRPr="0053423A">
              <w:rPr>
                <w:rFonts w:eastAsia="Calibri" w:cs="Times New Roman"/>
                <w:sz w:val="20"/>
                <w:szCs w:val="20"/>
                <w:lang w:val="en-GB"/>
              </w:rPr>
              <w:t>նաև</w:t>
            </w:r>
            <w:r w:rsidRPr="0053423A">
              <w:rPr>
                <w:rFonts w:eastAsia="Calibri" w:cs="Times New Roman"/>
                <w:sz w:val="20"/>
                <w:szCs w:val="20"/>
                <w:lang w:val="af-ZA"/>
              </w:rPr>
              <w:t xml:space="preserve"> </w:t>
            </w:r>
            <w:r w:rsidRPr="0053423A">
              <w:rPr>
                <w:rFonts w:eastAsia="Calibri" w:cs="Times New Roman"/>
                <w:sz w:val="20"/>
                <w:szCs w:val="20"/>
                <w:lang w:val="en-GB"/>
              </w:rPr>
              <w:t>Երեխայի</w:t>
            </w:r>
            <w:r w:rsidRPr="0053423A">
              <w:rPr>
                <w:rFonts w:eastAsia="Calibri" w:cs="Times New Roman"/>
                <w:sz w:val="20"/>
                <w:szCs w:val="20"/>
                <w:lang w:val="af-ZA"/>
              </w:rPr>
              <w:t xml:space="preserve"> </w:t>
            </w:r>
            <w:r w:rsidRPr="0053423A">
              <w:rPr>
                <w:rFonts w:eastAsia="Calibri" w:cs="Times New Roman"/>
                <w:sz w:val="20"/>
                <w:szCs w:val="20"/>
                <w:lang w:val="en-GB"/>
              </w:rPr>
              <w:t>իրավունքների</w:t>
            </w:r>
            <w:r w:rsidRPr="0053423A">
              <w:rPr>
                <w:rFonts w:eastAsia="Calibri" w:cs="Times New Roman"/>
                <w:sz w:val="20"/>
                <w:szCs w:val="20"/>
                <w:lang w:val="af-ZA"/>
              </w:rPr>
              <w:t xml:space="preserve"> </w:t>
            </w:r>
            <w:r w:rsidRPr="0053423A">
              <w:rPr>
                <w:rFonts w:eastAsia="Calibri" w:cs="Times New Roman"/>
                <w:sz w:val="20"/>
                <w:szCs w:val="20"/>
                <w:lang w:val="en-GB"/>
              </w:rPr>
              <w:t>մասին</w:t>
            </w:r>
            <w:r w:rsidRPr="0053423A">
              <w:rPr>
                <w:rFonts w:eastAsia="Calibri" w:cs="Times New Roman"/>
                <w:sz w:val="20"/>
                <w:szCs w:val="20"/>
                <w:lang w:val="af-ZA"/>
              </w:rPr>
              <w:t xml:space="preserve"> </w:t>
            </w:r>
            <w:r w:rsidRPr="0053423A">
              <w:rPr>
                <w:rFonts w:eastAsia="Calibri" w:cs="Times New Roman"/>
                <w:sz w:val="20"/>
                <w:szCs w:val="20"/>
                <w:lang w:val="en-GB"/>
              </w:rPr>
              <w:t>Միավորված</w:t>
            </w:r>
            <w:r w:rsidRPr="0053423A">
              <w:rPr>
                <w:rFonts w:eastAsia="Calibri" w:cs="Times New Roman"/>
                <w:sz w:val="20"/>
                <w:szCs w:val="20"/>
                <w:lang w:val="af-ZA"/>
              </w:rPr>
              <w:t xml:space="preserve"> </w:t>
            </w:r>
            <w:r w:rsidRPr="0053423A">
              <w:rPr>
                <w:rFonts w:eastAsia="Calibri" w:cs="Times New Roman"/>
                <w:sz w:val="20"/>
                <w:szCs w:val="20"/>
                <w:lang w:val="en-GB"/>
              </w:rPr>
              <w:t>ազգերի</w:t>
            </w:r>
            <w:r w:rsidRPr="0053423A">
              <w:rPr>
                <w:rFonts w:eastAsia="Calibri" w:cs="Times New Roman"/>
                <w:sz w:val="20"/>
                <w:szCs w:val="20"/>
                <w:lang w:val="af-ZA"/>
              </w:rPr>
              <w:t xml:space="preserve"> </w:t>
            </w:r>
            <w:r w:rsidRPr="0053423A">
              <w:rPr>
                <w:rFonts w:eastAsia="Calibri" w:cs="Times New Roman"/>
                <w:sz w:val="20"/>
                <w:szCs w:val="20"/>
                <w:lang w:val="en-GB"/>
              </w:rPr>
              <w:t>կազմակերպության</w:t>
            </w:r>
            <w:r w:rsidRPr="0053423A">
              <w:rPr>
                <w:rFonts w:eastAsia="Calibri" w:cs="Times New Roman"/>
                <w:sz w:val="20"/>
                <w:szCs w:val="20"/>
                <w:lang w:val="af-ZA"/>
              </w:rPr>
              <w:t xml:space="preserve"> </w:t>
            </w:r>
            <w:r w:rsidRPr="0053423A">
              <w:rPr>
                <w:rFonts w:eastAsia="Calibri" w:cs="Times New Roman"/>
                <w:sz w:val="20"/>
                <w:szCs w:val="20"/>
                <w:lang w:val="en-GB"/>
              </w:rPr>
              <w:t>կոնվենցիայի</w:t>
            </w:r>
            <w:r w:rsidRPr="0053423A">
              <w:rPr>
                <w:rFonts w:eastAsia="Calibri" w:cs="Times New Roman"/>
                <w:sz w:val="20"/>
                <w:szCs w:val="20"/>
                <w:lang w:val="af-ZA"/>
              </w:rPr>
              <w:t xml:space="preserve"> (1989</w:t>
            </w:r>
            <w:r w:rsidRPr="0053423A">
              <w:rPr>
                <w:rFonts w:eastAsia="Calibri" w:cs="Times New Roman"/>
                <w:sz w:val="20"/>
                <w:szCs w:val="20"/>
                <w:lang w:val="en-GB"/>
              </w:rPr>
              <w:t>թ</w:t>
            </w:r>
            <w:r w:rsidRPr="0053423A">
              <w:rPr>
                <w:rFonts w:eastAsia="Calibri" w:cs="Times New Roman"/>
                <w:sz w:val="20"/>
                <w:szCs w:val="20"/>
                <w:lang w:val="af-ZA"/>
              </w:rPr>
              <w:t xml:space="preserve">.) </w:t>
            </w:r>
            <w:r w:rsidRPr="0053423A">
              <w:rPr>
                <w:rFonts w:eastAsia="Calibri" w:cs="Times New Roman"/>
                <w:sz w:val="20"/>
                <w:szCs w:val="20"/>
                <w:lang w:val="en-GB"/>
              </w:rPr>
              <w:t>և</w:t>
            </w:r>
            <w:r w:rsidRPr="0053423A">
              <w:rPr>
                <w:rFonts w:eastAsia="Calibri" w:cs="Times New Roman"/>
                <w:sz w:val="20"/>
                <w:szCs w:val="20"/>
                <w:lang w:val="af-ZA"/>
              </w:rPr>
              <w:t xml:space="preserve"> </w:t>
            </w:r>
            <w:r w:rsidRPr="0053423A">
              <w:rPr>
                <w:rFonts w:eastAsia="Calibri" w:cs="Times New Roman"/>
                <w:sz w:val="20"/>
                <w:szCs w:val="20"/>
                <w:lang w:val="en-GB"/>
              </w:rPr>
              <w:t>դրա</w:t>
            </w:r>
            <w:r w:rsidRPr="0053423A">
              <w:rPr>
                <w:rFonts w:eastAsia="Calibri" w:cs="Times New Roman"/>
                <w:sz w:val="20"/>
                <w:szCs w:val="20"/>
                <w:lang w:val="af-ZA"/>
              </w:rPr>
              <w:t xml:space="preserve"> </w:t>
            </w:r>
            <w:r w:rsidRPr="0053423A">
              <w:rPr>
                <w:rFonts w:eastAsia="Calibri" w:cs="Times New Roman"/>
                <w:sz w:val="20"/>
                <w:szCs w:val="20"/>
                <w:lang w:val="en-GB"/>
              </w:rPr>
              <w:t>Կամընտիր</w:t>
            </w:r>
            <w:r w:rsidRPr="0053423A">
              <w:rPr>
                <w:rFonts w:eastAsia="Calibri" w:cs="Times New Roman"/>
                <w:sz w:val="20"/>
                <w:szCs w:val="20"/>
                <w:lang w:val="af-ZA"/>
              </w:rPr>
              <w:t xml:space="preserve"> </w:t>
            </w:r>
            <w:r w:rsidRPr="0053423A">
              <w:rPr>
                <w:rFonts w:eastAsia="Calibri" w:cs="Times New Roman"/>
                <w:sz w:val="20"/>
                <w:szCs w:val="20"/>
                <w:lang w:val="en-GB"/>
              </w:rPr>
              <w:t>արձանագրությունների</w:t>
            </w:r>
            <w:r w:rsidRPr="0053423A">
              <w:rPr>
                <w:rFonts w:eastAsia="Calibri" w:cs="Times New Roman"/>
                <w:sz w:val="20"/>
                <w:szCs w:val="20"/>
                <w:lang w:val="af-ZA"/>
              </w:rPr>
              <w:t xml:space="preserve"> (2000</w:t>
            </w:r>
            <w:r w:rsidRPr="0053423A">
              <w:rPr>
                <w:rFonts w:eastAsia="Calibri" w:cs="Times New Roman"/>
                <w:sz w:val="20"/>
                <w:szCs w:val="20"/>
                <w:lang w:val="en-GB"/>
              </w:rPr>
              <w:t>թ</w:t>
            </w:r>
            <w:r w:rsidRPr="0053423A">
              <w:rPr>
                <w:rFonts w:eastAsia="MS Mincho" w:cs="MS Mincho"/>
                <w:sz w:val="20"/>
                <w:szCs w:val="20"/>
                <w:lang w:val="af-ZA"/>
              </w:rPr>
              <w:t>.</w:t>
            </w:r>
            <w:r w:rsidRPr="0053423A">
              <w:rPr>
                <w:rFonts w:eastAsia="Calibri" w:cs="Times New Roman"/>
                <w:sz w:val="20"/>
                <w:szCs w:val="20"/>
                <w:lang w:val="af-ZA"/>
              </w:rPr>
              <w:t xml:space="preserve">) </w:t>
            </w:r>
            <w:r w:rsidRPr="0053423A">
              <w:rPr>
                <w:rFonts w:eastAsia="Calibri" w:cs="Times New Roman"/>
                <w:sz w:val="20"/>
                <w:szCs w:val="20"/>
              </w:rPr>
              <w:t>դրույթների</w:t>
            </w:r>
            <w:r w:rsidRPr="0053423A">
              <w:rPr>
                <w:rFonts w:eastAsia="Calibri" w:cs="Times New Roman"/>
                <w:sz w:val="20"/>
                <w:szCs w:val="20"/>
                <w:lang w:val="af-ZA"/>
              </w:rPr>
              <w:t xml:space="preserve"> </w:t>
            </w:r>
            <w:r w:rsidRPr="0053423A">
              <w:rPr>
                <w:rFonts w:eastAsia="Calibri" w:cs="Times New Roman"/>
                <w:sz w:val="20"/>
                <w:szCs w:val="20"/>
              </w:rPr>
              <w:t>ամրապնդմանը</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դրանցում</w:t>
            </w:r>
            <w:r w:rsidRPr="0053423A">
              <w:rPr>
                <w:rFonts w:eastAsia="Calibri" w:cs="Times New Roman"/>
                <w:sz w:val="20"/>
                <w:szCs w:val="20"/>
                <w:lang w:val="af-ZA"/>
              </w:rPr>
              <w:t xml:space="preserve"> </w:t>
            </w:r>
            <w:r w:rsidRPr="0053423A">
              <w:rPr>
                <w:rFonts w:eastAsia="Calibri" w:cs="Times New Roman"/>
                <w:sz w:val="20"/>
                <w:szCs w:val="20"/>
              </w:rPr>
              <w:t>սահմանված</w:t>
            </w:r>
            <w:r w:rsidRPr="0053423A">
              <w:rPr>
                <w:rFonts w:eastAsia="Calibri" w:cs="Times New Roman"/>
                <w:sz w:val="20"/>
                <w:szCs w:val="20"/>
                <w:lang w:val="af-ZA"/>
              </w:rPr>
              <w:t xml:space="preserve">  </w:t>
            </w:r>
            <w:r w:rsidRPr="0053423A">
              <w:rPr>
                <w:rFonts w:eastAsia="Calibri" w:cs="Times New Roman"/>
                <w:sz w:val="20"/>
                <w:szCs w:val="20"/>
              </w:rPr>
              <w:t>չափանիշների</w:t>
            </w:r>
            <w:r w:rsidRPr="0053423A">
              <w:rPr>
                <w:rFonts w:eastAsia="Calibri" w:cs="Times New Roman"/>
                <w:sz w:val="20"/>
                <w:szCs w:val="20"/>
                <w:lang w:val="af-ZA"/>
              </w:rPr>
              <w:t xml:space="preserve"> </w:t>
            </w:r>
            <w:r w:rsidRPr="0053423A">
              <w:rPr>
                <w:rFonts w:eastAsia="Calibri" w:cs="Times New Roman"/>
                <w:sz w:val="20"/>
                <w:szCs w:val="20"/>
              </w:rPr>
              <w:t>կիրառմանը</w:t>
            </w:r>
            <w:r w:rsidRPr="0053423A">
              <w:rPr>
                <w:rFonts w:eastAsia="Calibri" w:cs="Times New Roman"/>
                <w:sz w:val="20"/>
                <w:szCs w:val="20"/>
                <w:lang w:val="af-ZA"/>
              </w:rPr>
              <w:t xml:space="preserve">: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rPr>
              <w:t>Կոնվենցիայի</w:t>
            </w:r>
            <w:r w:rsidRPr="0053423A">
              <w:rPr>
                <w:rFonts w:eastAsia="Calibri" w:cs="Times New Roman"/>
                <w:sz w:val="20"/>
                <w:szCs w:val="20"/>
                <w:lang w:val="af-ZA"/>
              </w:rPr>
              <w:t xml:space="preserve"> </w:t>
            </w:r>
            <w:r w:rsidRPr="0053423A">
              <w:rPr>
                <w:rFonts w:eastAsia="Calibri" w:cs="Times New Roman"/>
                <w:sz w:val="20"/>
                <w:szCs w:val="20"/>
              </w:rPr>
              <w:t>հիմնական</w:t>
            </w:r>
            <w:r w:rsidRPr="0053423A">
              <w:rPr>
                <w:rFonts w:eastAsia="Calibri" w:cs="Times New Roman"/>
                <w:sz w:val="20"/>
                <w:szCs w:val="20"/>
                <w:lang w:val="af-ZA"/>
              </w:rPr>
              <w:t xml:space="preserve"> </w:t>
            </w:r>
            <w:r w:rsidRPr="0053423A">
              <w:rPr>
                <w:rFonts w:eastAsia="Calibri" w:cs="Times New Roman"/>
                <w:sz w:val="20"/>
                <w:szCs w:val="20"/>
                <w:lang w:val="en-GB"/>
              </w:rPr>
              <w:t>նպատակն</w:t>
            </w:r>
            <w:r w:rsidRPr="0053423A">
              <w:rPr>
                <w:rFonts w:eastAsia="Calibri" w:cs="Times New Roman"/>
                <w:sz w:val="20"/>
                <w:szCs w:val="20"/>
                <w:lang w:val="af-ZA"/>
              </w:rPr>
              <w:t xml:space="preserve"> </w:t>
            </w:r>
            <w:r w:rsidRPr="0053423A">
              <w:rPr>
                <w:rFonts w:eastAsia="Calibri" w:cs="Times New Roman"/>
                <w:sz w:val="20"/>
                <w:szCs w:val="20"/>
                <w:lang w:val="en-GB"/>
              </w:rPr>
              <w:t>է</w:t>
            </w:r>
            <w:r w:rsidRPr="0053423A">
              <w:rPr>
                <w:rFonts w:eastAsia="Calibri" w:cs="Times New Roman"/>
                <w:b/>
                <w:sz w:val="20"/>
                <w:szCs w:val="20"/>
                <w:lang w:val="af-ZA"/>
              </w:rPr>
              <w:t xml:space="preserve"> </w:t>
            </w:r>
            <w:r w:rsidRPr="0053423A">
              <w:rPr>
                <w:rFonts w:eastAsia="Calibri" w:cs="Times New Roman"/>
                <w:sz w:val="20"/>
                <w:szCs w:val="20"/>
                <w:lang w:val="en-GB"/>
              </w:rPr>
              <w:t>կանանց</w:t>
            </w:r>
            <w:r w:rsidRPr="0053423A">
              <w:rPr>
                <w:rFonts w:eastAsia="Calibri" w:cs="Times New Roman"/>
                <w:sz w:val="20"/>
                <w:szCs w:val="20"/>
                <w:lang w:val="af-ZA"/>
              </w:rPr>
              <w:t xml:space="preserve"> </w:t>
            </w:r>
            <w:r w:rsidRPr="0053423A">
              <w:rPr>
                <w:rFonts w:eastAsia="Calibri" w:cs="Times New Roman"/>
                <w:sz w:val="20"/>
                <w:szCs w:val="20"/>
                <w:lang w:val="en-GB"/>
              </w:rPr>
              <w:t>պաշտպանությունը</w:t>
            </w:r>
            <w:r w:rsidRPr="0053423A">
              <w:rPr>
                <w:rFonts w:eastAsia="Calibri" w:cs="Times New Roman"/>
                <w:sz w:val="20"/>
                <w:szCs w:val="20"/>
                <w:lang w:val="af-ZA"/>
              </w:rPr>
              <w:t xml:space="preserve"> </w:t>
            </w:r>
            <w:r w:rsidRPr="0053423A">
              <w:rPr>
                <w:rFonts w:eastAsia="Calibri" w:cs="Times New Roman"/>
                <w:sz w:val="20"/>
                <w:szCs w:val="20"/>
                <w:lang w:val="en-GB"/>
              </w:rPr>
              <w:t>բռնությունից</w:t>
            </w:r>
            <w:r w:rsidRPr="0053423A">
              <w:rPr>
                <w:rFonts w:eastAsia="Calibri" w:cs="Times New Roman"/>
                <w:sz w:val="20"/>
                <w:szCs w:val="20"/>
                <w:lang w:val="af-ZA"/>
              </w:rPr>
              <w:t xml:space="preserve">, </w:t>
            </w:r>
            <w:r w:rsidRPr="0053423A">
              <w:rPr>
                <w:rFonts w:eastAsia="Calibri" w:cs="Times New Roman"/>
                <w:sz w:val="20"/>
                <w:szCs w:val="20"/>
                <w:lang w:val="en-GB"/>
              </w:rPr>
              <w:t>ընտանեկան</w:t>
            </w:r>
            <w:r w:rsidRPr="0053423A">
              <w:rPr>
                <w:rFonts w:eastAsia="Calibri" w:cs="Times New Roman"/>
                <w:sz w:val="20"/>
                <w:szCs w:val="20"/>
                <w:lang w:val="af-ZA"/>
              </w:rPr>
              <w:t xml:space="preserve"> </w:t>
            </w:r>
            <w:r w:rsidRPr="0053423A">
              <w:rPr>
                <w:rFonts w:eastAsia="Calibri" w:cs="Times New Roman"/>
                <w:sz w:val="20"/>
                <w:szCs w:val="20"/>
                <w:lang w:val="en-GB"/>
              </w:rPr>
              <w:t>բռնության</w:t>
            </w:r>
            <w:r w:rsidRPr="0053423A">
              <w:rPr>
                <w:rFonts w:eastAsia="Calibri" w:cs="Times New Roman"/>
                <w:sz w:val="20"/>
                <w:szCs w:val="20"/>
                <w:lang w:val="af-ZA"/>
              </w:rPr>
              <w:t xml:space="preserve"> </w:t>
            </w:r>
            <w:r w:rsidRPr="0053423A">
              <w:rPr>
                <w:rFonts w:eastAsia="Calibri" w:cs="Times New Roman"/>
                <w:sz w:val="20"/>
                <w:szCs w:val="20"/>
                <w:lang w:val="en-GB"/>
              </w:rPr>
              <w:t>կանխարգելումը</w:t>
            </w:r>
            <w:r w:rsidRPr="0053423A">
              <w:rPr>
                <w:rFonts w:eastAsia="Calibri" w:cs="Times New Roman"/>
                <w:sz w:val="20"/>
                <w:szCs w:val="20"/>
                <w:lang w:val="af-ZA"/>
              </w:rPr>
              <w:t xml:space="preserve">, </w:t>
            </w:r>
            <w:r w:rsidRPr="0053423A">
              <w:rPr>
                <w:rFonts w:eastAsia="Calibri" w:cs="Times New Roman"/>
                <w:sz w:val="20"/>
                <w:szCs w:val="20"/>
                <w:lang w:val="en-GB"/>
              </w:rPr>
              <w:t>քրեական</w:t>
            </w:r>
            <w:r w:rsidRPr="0053423A">
              <w:rPr>
                <w:rFonts w:eastAsia="Calibri" w:cs="Times New Roman"/>
                <w:sz w:val="20"/>
                <w:szCs w:val="20"/>
                <w:lang w:val="af-ZA"/>
              </w:rPr>
              <w:t xml:space="preserve"> </w:t>
            </w:r>
            <w:r w:rsidRPr="0053423A">
              <w:rPr>
                <w:rFonts w:eastAsia="Calibri" w:cs="Times New Roman"/>
                <w:sz w:val="20"/>
                <w:szCs w:val="20"/>
                <w:lang w:val="en-GB"/>
              </w:rPr>
              <w:t>հետապնդումը</w:t>
            </w:r>
            <w:r w:rsidRPr="0053423A">
              <w:rPr>
                <w:rFonts w:eastAsia="Calibri" w:cs="Times New Roman"/>
                <w:sz w:val="20"/>
                <w:szCs w:val="20"/>
                <w:lang w:val="af-ZA"/>
              </w:rPr>
              <w:t xml:space="preserve"> </w:t>
            </w:r>
            <w:r w:rsidRPr="0053423A">
              <w:rPr>
                <w:rFonts w:eastAsia="Calibri" w:cs="Times New Roman"/>
                <w:sz w:val="20"/>
                <w:szCs w:val="20"/>
                <w:lang w:val="en-GB"/>
              </w:rPr>
              <w:t>և</w:t>
            </w:r>
            <w:r w:rsidRPr="0053423A">
              <w:rPr>
                <w:rFonts w:eastAsia="Calibri" w:cs="Times New Roman"/>
                <w:sz w:val="20"/>
                <w:szCs w:val="20"/>
                <w:lang w:val="af-ZA"/>
              </w:rPr>
              <w:t xml:space="preserve"> </w:t>
            </w:r>
            <w:r w:rsidRPr="0053423A">
              <w:rPr>
                <w:rFonts w:eastAsia="Calibri" w:cs="Times New Roman"/>
                <w:sz w:val="20"/>
                <w:szCs w:val="20"/>
              </w:rPr>
              <w:t>երևույթի</w:t>
            </w:r>
            <w:r w:rsidRPr="0053423A">
              <w:rPr>
                <w:rFonts w:eastAsia="Calibri" w:cs="Times New Roman"/>
                <w:sz w:val="20"/>
                <w:szCs w:val="20"/>
                <w:lang w:val="af-ZA"/>
              </w:rPr>
              <w:t xml:space="preserve"> </w:t>
            </w:r>
            <w:r w:rsidRPr="0053423A">
              <w:rPr>
                <w:rFonts w:eastAsia="Calibri" w:cs="Times New Roman"/>
                <w:sz w:val="20"/>
                <w:szCs w:val="20"/>
                <w:lang w:val="en-GB"/>
              </w:rPr>
              <w:t>վերացումը</w:t>
            </w:r>
            <w:r w:rsidRPr="0053423A">
              <w:rPr>
                <w:rFonts w:eastAsia="Calibri" w:cs="Times New Roman"/>
                <w:sz w:val="20"/>
                <w:szCs w:val="20"/>
                <w:lang w:val="af-ZA"/>
              </w:rPr>
              <w:t xml:space="preserve">, </w:t>
            </w:r>
            <w:r w:rsidRPr="0053423A">
              <w:rPr>
                <w:rFonts w:eastAsia="Calibri" w:cs="Times New Roman"/>
                <w:sz w:val="20"/>
                <w:szCs w:val="20"/>
                <w:lang w:val="en-GB"/>
              </w:rPr>
              <w:t>ընտանեկան</w:t>
            </w:r>
            <w:r w:rsidRPr="0053423A">
              <w:rPr>
                <w:rFonts w:eastAsia="Calibri" w:cs="Times New Roman"/>
                <w:sz w:val="20"/>
                <w:szCs w:val="20"/>
                <w:lang w:val="af-ZA"/>
              </w:rPr>
              <w:t xml:space="preserve"> </w:t>
            </w:r>
            <w:r w:rsidRPr="0053423A">
              <w:rPr>
                <w:rFonts w:eastAsia="Calibri" w:cs="Times New Roman"/>
                <w:sz w:val="20"/>
                <w:szCs w:val="20"/>
                <w:lang w:val="en-GB"/>
              </w:rPr>
              <w:t>բռնության</w:t>
            </w:r>
            <w:r w:rsidRPr="0053423A">
              <w:rPr>
                <w:rFonts w:eastAsia="Calibri" w:cs="Times New Roman"/>
                <w:sz w:val="20"/>
                <w:szCs w:val="20"/>
                <w:lang w:val="af-ZA"/>
              </w:rPr>
              <w:t xml:space="preserve"> </w:t>
            </w:r>
            <w:r w:rsidRPr="0053423A">
              <w:rPr>
                <w:rFonts w:eastAsia="Calibri" w:cs="Times New Roman"/>
                <w:sz w:val="20"/>
                <w:szCs w:val="20"/>
                <w:lang w:val="en-GB"/>
              </w:rPr>
              <w:t>բոլոր</w:t>
            </w:r>
            <w:r w:rsidRPr="0053423A">
              <w:rPr>
                <w:rFonts w:eastAsia="Calibri" w:cs="Times New Roman"/>
                <w:sz w:val="20"/>
                <w:szCs w:val="20"/>
                <w:lang w:val="af-ZA"/>
              </w:rPr>
              <w:t xml:space="preserve"> </w:t>
            </w:r>
            <w:r w:rsidRPr="0053423A">
              <w:rPr>
                <w:rFonts w:eastAsia="Calibri" w:cs="Times New Roman"/>
                <w:sz w:val="20"/>
                <w:szCs w:val="20"/>
                <w:lang w:val="en-GB"/>
              </w:rPr>
              <w:t>զոհերի</w:t>
            </w:r>
            <w:r w:rsidRPr="0053423A">
              <w:rPr>
                <w:rFonts w:eastAsia="Calibri" w:cs="Times New Roman"/>
                <w:sz w:val="20"/>
                <w:szCs w:val="20"/>
                <w:lang w:val="af-ZA"/>
              </w:rPr>
              <w:t xml:space="preserve"> </w:t>
            </w:r>
            <w:r w:rsidRPr="0053423A">
              <w:rPr>
                <w:rFonts w:eastAsia="Calibri" w:cs="Times New Roman"/>
                <w:sz w:val="20"/>
                <w:szCs w:val="20"/>
                <w:lang w:val="en-GB"/>
              </w:rPr>
              <w:t>պաշտպանությունը</w:t>
            </w:r>
            <w:r w:rsidRPr="0053423A">
              <w:rPr>
                <w:rFonts w:eastAsia="Calibri" w:cs="Times New Roman"/>
                <w:sz w:val="20"/>
                <w:szCs w:val="20"/>
                <w:lang w:val="af-ZA"/>
              </w:rPr>
              <w:t xml:space="preserve"> </w:t>
            </w:r>
            <w:r w:rsidRPr="0053423A">
              <w:rPr>
                <w:rFonts w:eastAsia="Calibri" w:cs="Times New Roman"/>
                <w:sz w:val="20"/>
                <w:szCs w:val="20"/>
                <w:lang w:val="en-GB"/>
              </w:rPr>
              <w:t>և</w:t>
            </w:r>
            <w:r w:rsidRPr="0053423A">
              <w:rPr>
                <w:rFonts w:eastAsia="Calibri" w:cs="Times New Roman"/>
                <w:sz w:val="20"/>
                <w:szCs w:val="20"/>
                <w:lang w:val="af-ZA"/>
              </w:rPr>
              <w:t xml:space="preserve"> </w:t>
            </w:r>
            <w:r w:rsidRPr="0053423A">
              <w:rPr>
                <w:rFonts w:eastAsia="Calibri" w:cs="Times New Roman"/>
                <w:sz w:val="20"/>
                <w:szCs w:val="20"/>
                <w:lang w:val="en-GB"/>
              </w:rPr>
              <w:t>նրանց</w:t>
            </w:r>
            <w:r w:rsidRPr="0053423A">
              <w:rPr>
                <w:rFonts w:eastAsia="Calibri" w:cs="Times New Roman"/>
                <w:sz w:val="20"/>
                <w:szCs w:val="20"/>
                <w:lang w:val="af-ZA"/>
              </w:rPr>
              <w:t xml:space="preserve"> </w:t>
            </w:r>
            <w:r w:rsidRPr="0053423A">
              <w:rPr>
                <w:rFonts w:eastAsia="Calibri" w:cs="Times New Roman"/>
                <w:sz w:val="20"/>
                <w:szCs w:val="20"/>
                <w:lang w:val="en-GB"/>
              </w:rPr>
              <w:t>աջակցությունը</w:t>
            </w:r>
            <w:r w:rsidRPr="0053423A">
              <w:rPr>
                <w:rFonts w:eastAsia="Calibri" w:cs="Times New Roman"/>
                <w:sz w:val="20"/>
                <w:szCs w:val="20"/>
                <w:lang w:val="af-ZA"/>
              </w:rPr>
              <w:t xml:space="preserve">, </w:t>
            </w:r>
            <w:r w:rsidRPr="0053423A">
              <w:rPr>
                <w:rFonts w:eastAsia="Calibri" w:cs="Times New Roman"/>
                <w:sz w:val="20"/>
                <w:szCs w:val="20"/>
                <w:lang w:val="en-GB"/>
              </w:rPr>
              <w:t>միջազգային</w:t>
            </w:r>
            <w:r w:rsidRPr="0053423A">
              <w:rPr>
                <w:rFonts w:eastAsia="Calibri" w:cs="Times New Roman"/>
                <w:sz w:val="20"/>
                <w:szCs w:val="20"/>
                <w:lang w:val="af-ZA"/>
              </w:rPr>
              <w:t xml:space="preserve"> </w:t>
            </w:r>
            <w:r w:rsidRPr="0053423A">
              <w:rPr>
                <w:rFonts w:eastAsia="Calibri" w:cs="Times New Roman"/>
                <w:sz w:val="20"/>
                <w:szCs w:val="20"/>
                <w:lang w:val="en-GB"/>
              </w:rPr>
              <w:t>համագործակցության</w:t>
            </w:r>
            <w:r w:rsidRPr="0053423A">
              <w:rPr>
                <w:rFonts w:eastAsia="Calibri" w:cs="Times New Roman"/>
                <w:sz w:val="20"/>
                <w:szCs w:val="20"/>
                <w:lang w:val="af-ZA"/>
              </w:rPr>
              <w:t xml:space="preserve"> </w:t>
            </w:r>
            <w:r w:rsidRPr="0053423A">
              <w:rPr>
                <w:rFonts w:eastAsia="Calibri" w:cs="Times New Roman"/>
                <w:sz w:val="20"/>
                <w:szCs w:val="20"/>
                <w:lang w:val="en-GB"/>
              </w:rPr>
              <w:t>խթանումը</w:t>
            </w:r>
            <w:r w:rsidRPr="0053423A">
              <w:rPr>
                <w:rFonts w:eastAsia="Calibri" w:cs="Times New Roman"/>
                <w:sz w:val="20"/>
                <w:szCs w:val="20"/>
                <w:lang w:val="af-ZA"/>
              </w:rPr>
              <w:t xml:space="preserve">, </w:t>
            </w:r>
            <w:r w:rsidRPr="0053423A">
              <w:rPr>
                <w:rFonts w:eastAsia="Calibri" w:cs="Times New Roman"/>
                <w:sz w:val="20"/>
                <w:szCs w:val="20"/>
                <w:lang w:val="en-GB"/>
              </w:rPr>
              <w:t>կոնվենցիայի</w:t>
            </w:r>
            <w:r w:rsidRPr="0053423A">
              <w:rPr>
                <w:rFonts w:eastAsia="Calibri" w:cs="Times New Roman"/>
                <w:sz w:val="20"/>
                <w:szCs w:val="20"/>
                <w:lang w:val="af-ZA"/>
              </w:rPr>
              <w:t xml:space="preserve"> </w:t>
            </w:r>
            <w:r w:rsidRPr="0053423A">
              <w:rPr>
                <w:rFonts w:eastAsia="Calibri" w:cs="Times New Roman"/>
                <w:sz w:val="20"/>
                <w:szCs w:val="20"/>
                <w:lang w:val="en-GB"/>
              </w:rPr>
              <w:t>դրույթների</w:t>
            </w:r>
            <w:r w:rsidRPr="0053423A">
              <w:rPr>
                <w:rFonts w:eastAsia="Calibri" w:cs="Times New Roman"/>
                <w:sz w:val="20"/>
                <w:szCs w:val="20"/>
                <w:lang w:val="af-ZA"/>
              </w:rPr>
              <w:t xml:space="preserve"> </w:t>
            </w:r>
            <w:r w:rsidRPr="0053423A">
              <w:rPr>
                <w:rFonts w:eastAsia="Calibri" w:cs="Times New Roman"/>
                <w:sz w:val="20"/>
                <w:szCs w:val="20"/>
                <w:lang w:val="en-GB"/>
              </w:rPr>
              <w:t>արդյունավետ</w:t>
            </w:r>
            <w:r w:rsidRPr="0053423A">
              <w:rPr>
                <w:rFonts w:eastAsia="Calibri" w:cs="Times New Roman"/>
                <w:sz w:val="20"/>
                <w:szCs w:val="20"/>
                <w:lang w:val="af-ZA"/>
              </w:rPr>
              <w:t xml:space="preserve"> </w:t>
            </w:r>
            <w:r w:rsidRPr="0053423A">
              <w:rPr>
                <w:rFonts w:eastAsia="Calibri" w:cs="Times New Roman"/>
                <w:sz w:val="20"/>
                <w:szCs w:val="20"/>
                <w:lang w:val="en-GB"/>
              </w:rPr>
              <w:t>իրականացումն</w:t>
            </w:r>
            <w:r w:rsidRPr="0053423A">
              <w:rPr>
                <w:rFonts w:eastAsia="Calibri" w:cs="Times New Roman"/>
                <w:sz w:val="20"/>
                <w:szCs w:val="20"/>
                <w:lang w:val="af-ZA"/>
              </w:rPr>
              <w:t xml:space="preserve"> </w:t>
            </w:r>
            <w:r w:rsidRPr="0053423A">
              <w:rPr>
                <w:rFonts w:eastAsia="Calibri" w:cs="Times New Roman"/>
                <w:sz w:val="20"/>
                <w:szCs w:val="20"/>
                <w:lang w:val="en-GB"/>
              </w:rPr>
              <w:t>ապահովող</w:t>
            </w:r>
            <w:r w:rsidRPr="0053423A">
              <w:rPr>
                <w:rFonts w:eastAsia="Calibri" w:cs="Times New Roman"/>
                <w:sz w:val="20"/>
                <w:szCs w:val="20"/>
                <w:lang w:val="af-ZA"/>
              </w:rPr>
              <w:t xml:space="preserve"> </w:t>
            </w:r>
            <w:r w:rsidRPr="0053423A">
              <w:rPr>
                <w:rFonts w:eastAsia="Calibri" w:cs="Times New Roman"/>
                <w:sz w:val="20"/>
                <w:szCs w:val="20"/>
                <w:lang w:val="en-GB"/>
              </w:rPr>
              <w:t>վերահսկողության</w:t>
            </w:r>
            <w:r w:rsidRPr="0053423A">
              <w:rPr>
                <w:rFonts w:eastAsia="Calibri" w:cs="Times New Roman"/>
                <w:sz w:val="20"/>
                <w:szCs w:val="20"/>
                <w:lang w:val="af-ZA"/>
              </w:rPr>
              <w:t xml:space="preserve"> </w:t>
            </w:r>
            <w:r w:rsidRPr="0053423A">
              <w:rPr>
                <w:rFonts w:eastAsia="Calibri" w:cs="Times New Roman"/>
                <w:sz w:val="20"/>
                <w:szCs w:val="20"/>
                <w:lang w:val="en-GB"/>
              </w:rPr>
              <w:t>հատուկ</w:t>
            </w:r>
            <w:r w:rsidRPr="0053423A">
              <w:rPr>
                <w:rFonts w:eastAsia="Calibri" w:cs="Times New Roman"/>
                <w:sz w:val="20"/>
                <w:szCs w:val="20"/>
                <w:lang w:val="af-ZA"/>
              </w:rPr>
              <w:t xml:space="preserve"> </w:t>
            </w:r>
            <w:r w:rsidRPr="0053423A">
              <w:rPr>
                <w:rFonts w:eastAsia="Calibri" w:cs="Times New Roman"/>
                <w:sz w:val="20"/>
                <w:szCs w:val="20"/>
                <w:lang w:val="en-GB"/>
              </w:rPr>
              <w:t>մեխանիզմի</w:t>
            </w:r>
            <w:r w:rsidRPr="0053423A">
              <w:rPr>
                <w:rFonts w:eastAsia="Calibri" w:cs="Times New Roman"/>
                <w:sz w:val="20"/>
                <w:szCs w:val="20"/>
                <w:lang w:val="af-ZA"/>
              </w:rPr>
              <w:t xml:space="preserve"> </w:t>
            </w:r>
            <w:r w:rsidRPr="0053423A">
              <w:rPr>
                <w:rFonts w:eastAsia="Calibri" w:cs="Times New Roman"/>
                <w:sz w:val="20"/>
                <w:szCs w:val="20"/>
                <w:lang w:val="en-GB"/>
              </w:rPr>
              <w:t>ստեղծումը</w:t>
            </w:r>
            <w:r w:rsidRPr="0053423A">
              <w:rPr>
                <w:rFonts w:eastAsia="Calibri" w:cs="Times New Roman"/>
                <w:sz w:val="20"/>
                <w:szCs w:val="20"/>
                <w:lang w:val="af-ZA"/>
              </w:rPr>
              <w:t xml:space="preserve">: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b/>
                <w:sz w:val="20"/>
                <w:szCs w:val="20"/>
              </w:rPr>
              <w:t>Կոնվենցիան</w:t>
            </w:r>
            <w:r w:rsidRPr="0053423A">
              <w:rPr>
                <w:rFonts w:eastAsia="Calibri" w:cs="Times New Roman"/>
                <w:b/>
                <w:sz w:val="20"/>
                <w:szCs w:val="20"/>
                <w:lang w:val="af-ZA"/>
              </w:rPr>
              <w:t xml:space="preserve"> </w:t>
            </w:r>
            <w:r w:rsidRPr="0053423A">
              <w:rPr>
                <w:rFonts w:eastAsia="Calibri" w:cs="Times New Roman"/>
                <w:b/>
                <w:sz w:val="20"/>
                <w:szCs w:val="20"/>
              </w:rPr>
              <w:t>ՀՀ</w:t>
            </w:r>
            <w:r w:rsidRPr="0053423A">
              <w:rPr>
                <w:rFonts w:eastAsia="Calibri" w:cs="Times New Roman"/>
                <w:b/>
                <w:sz w:val="20"/>
                <w:szCs w:val="20"/>
                <w:lang w:val="af-ZA"/>
              </w:rPr>
              <w:t>-</w:t>
            </w:r>
            <w:r w:rsidRPr="0053423A">
              <w:rPr>
                <w:rFonts w:eastAsia="Calibri" w:cs="Times New Roman"/>
                <w:b/>
                <w:sz w:val="20"/>
                <w:szCs w:val="20"/>
              </w:rPr>
              <w:t>ի</w:t>
            </w:r>
            <w:r w:rsidRPr="0053423A">
              <w:rPr>
                <w:rFonts w:eastAsia="Calibri" w:cs="Times New Roman"/>
                <w:b/>
                <w:sz w:val="20"/>
                <w:szCs w:val="20"/>
                <w:lang w:val="af-ZA"/>
              </w:rPr>
              <w:t xml:space="preserve"> </w:t>
            </w:r>
            <w:r w:rsidRPr="0053423A">
              <w:rPr>
                <w:rFonts w:eastAsia="Calibri" w:cs="Times New Roman"/>
                <w:b/>
                <w:sz w:val="20"/>
                <w:szCs w:val="20"/>
              </w:rPr>
              <w:t>կողմից</w:t>
            </w:r>
            <w:r w:rsidRPr="0053423A">
              <w:rPr>
                <w:rFonts w:eastAsia="Calibri" w:cs="Times New Roman"/>
                <w:b/>
                <w:sz w:val="20"/>
                <w:szCs w:val="20"/>
                <w:lang w:val="af-ZA"/>
              </w:rPr>
              <w:t xml:space="preserve"> </w:t>
            </w:r>
            <w:r w:rsidRPr="0053423A">
              <w:rPr>
                <w:rFonts w:eastAsia="Calibri" w:cs="Times New Roman"/>
                <w:b/>
                <w:sz w:val="20"/>
                <w:szCs w:val="20"/>
              </w:rPr>
              <w:t>ստորագրվել</w:t>
            </w:r>
            <w:r w:rsidRPr="0053423A">
              <w:rPr>
                <w:rFonts w:eastAsia="Calibri" w:cs="Times New Roman"/>
                <w:b/>
                <w:sz w:val="20"/>
                <w:szCs w:val="20"/>
                <w:lang w:val="af-ZA"/>
              </w:rPr>
              <w:t xml:space="preserve"> </w:t>
            </w:r>
            <w:r w:rsidRPr="0053423A">
              <w:rPr>
                <w:rFonts w:eastAsia="Calibri" w:cs="Times New Roman"/>
                <w:b/>
                <w:sz w:val="20"/>
                <w:szCs w:val="20"/>
              </w:rPr>
              <w:t>է</w:t>
            </w:r>
            <w:r w:rsidRPr="0053423A">
              <w:rPr>
                <w:rFonts w:eastAsia="Calibri" w:cs="Times New Roman"/>
                <w:b/>
                <w:sz w:val="20"/>
                <w:szCs w:val="20"/>
                <w:lang w:val="af-ZA"/>
              </w:rPr>
              <w:t xml:space="preserve"> 2018</w:t>
            </w:r>
            <w:r w:rsidRPr="0053423A">
              <w:rPr>
                <w:rFonts w:eastAsia="Calibri" w:cs="Times New Roman"/>
                <w:b/>
                <w:sz w:val="20"/>
                <w:szCs w:val="20"/>
              </w:rPr>
              <w:t>թ</w:t>
            </w:r>
            <w:r w:rsidRPr="0053423A">
              <w:rPr>
                <w:rFonts w:eastAsia="Calibri" w:cs="Times New Roman"/>
                <w:b/>
                <w:sz w:val="20"/>
                <w:szCs w:val="20"/>
                <w:lang w:val="af-ZA"/>
              </w:rPr>
              <w:t xml:space="preserve">. </w:t>
            </w:r>
            <w:r w:rsidRPr="0053423A">
              <w:rPr>
                <w:rFonts w:eastAsia="Calibri" w:cs="Times New Roman"/>
                <w:b/>
                <w:sz w:val="20"/>
                <w:szCs w:val="20"/>
              </w:rPr>
              <w:t>հունվարի</w:t>
            </w:r>
            <w:r w:rsidRPr="0053423A">
              <w:rPr>
                <w:rFonts w:eastAsia="Calibri" w:cs="Times New Roman"/>
                <w:b/>
                <w:sz w:val="20"/>
                <w:szCs w:val="20"/>
                <w:lang w:val="af-ZA"/>
              </w:rPr>
              <w:t xml:space="preserve"> 18-</w:t>
            </w:r>
            <w:r w:rsidRPr="0053423A">
              <w:rPr>
                <w:rFonts w:eastAsia="Calibri" w:cs="Times New Roman"/>
                <w:b/>
                <w:sz w:val="20"/>
                <w:szCs w:val="20"/>
              </w:rPr>
              <w:t>ին</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ներկայում</w:t>
            </w:r>
            <w:r w:rsidRPr="0053423A">
              <w:rPr>
                <w:rFonts w:eastAsia="Calibri" w:cs="Times New Roman"/>
                <w:sz w:val="20"/>
                <w:szCs w:val="20"/>
                <w:lang w:val="af-ZA"/>
              </w:rPr>
              <w:t xml:space="preserve"> </w:t>
            </w:r>
            <w:r w:rsidRPr="0053423A">
              <w:rPr>
                <w:rFonts w:eastAsia="Calibri" w:cs="Times New Roman"/>
                <w:sz w:val="20"/>
                <w:szCs w:val="20"/>
              </w:rPr>
              <w:t>գտնվում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վավերացման</w:t>
            </w:r>
            <w:r w:rsidRPr="0053423A">
              <w:rPr>
                <w:rFonts w:eastAsia="Calibri" w:cs="Times New Roman"/>
                <w:sz w:val="20"/>
                <w:szCs w:val="20"/>
                <w:lang w:val="af-ZA"/>
              </w:rPr>
              <w:t xml:space="preserve"> </w:t>
            </w:r>
            <w:r w:rsidRPr="0053423A">
              <w:rPr>
                <w:rFonts w:eastAsia="Calibri" w:cs="Times New Roman"/>
                <w:sz w:val="20"/>
                <w:szCs w:val="20"/>
              </w:rPr>
              <w:t>փուլում</w:t>
            </w:r>
            <w:r w:rsidRPr="0053423A">
              <w:rPr>
                <w:rFonts w:eastAsia="Calibri" w:cs="Times New Roman"/>
                <w:sz w:val="20"/>
                <w:szCs w:val="20"/>
                <w:lang w:val="af-ZA"/>
              </w:rPr>
              <w:t>:</w:t>
            </w:r>
          </w:p>
          <w:p w:rsidR="00514E01" w:rsidRPr="0053423A" w:rsidRDefault="00514E01" w:rsidP="00A67858">
            <w:pPr>
              <w:spacing w:line="276" w:lineRule="auto"/>
              <w:jc w:val="both"/>
              <w:rPr>
                <w:rFonts w:eastAsia="Calibri" w:cs="Times New Roman"/>
                <w:b/>
                <w:bCs/>
                <w:sz w:val="20"/>
                <w:szCs w:val="20"/>
                <w:lang w:val="af-ZA"/>
              </w:rPr>
            </w:pPr>
            <w:r w:rsidRPr="0053423A">
              <w:rPr>
                <w:rFonts w:eastAsia="Calibri" w:cs="Times New Roman"/>
                <w:b/>
                <w:bCs/>
                <w:sz w:val="20"/>
                <w:szCs w:val="20"/>
                <w:lang w:val="af-ZA"/>
              </w:rPr>
              <w:t>1.2.</w:t>
            </w:r>
            <w:r w:rsidRPr="0053423A">
              <w:rPr>
                <w:rFonts w:eastAsia="Calibri" w:cs="Times New Roman"/>
                <w:b/>
                <w:bCs/>
                <w:sz w:val="20"/>
                <w:szCs w:val="20"/>
                <w:lang w:val="af-ZA"/>
              </w:rPr>
              <w:tab/>
              <w:t>առկա խնդիրների առաջարկվող լուծումները</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rPr>
              <w:t>Հաշվի</w:t>
            </w:r>
            <w:r w:rsidRPr="0053423A">
              <w:rPr>
                <w:rFonts w:eastAsia="Calibri" w:cs="Times New Roman"/>
                <w:sz w:val="20"/>
                <w:szCs w:val="20"/>
                <w:lang w:val="af-ZA"/>
              </w:rPr>
              <w:t xml:space="preserve"> </w:t>
            </w:r>
            <w:r w:rsidRPr="0053423A">
              <w:rPr>
                <w:rFonts w:eastAsia="Calibri" w:cs="Times New Roman"/>
                <w:sz w:val="20"/>
                <w:szCs w:val="20"/>
              </w:rPr>
              <w:t>առնելով</w:t>
            </w:r>
            <w:r w:rsidRPr="0053423A">
              <w:rPr>
                <w:rFonts w:eastAsia="Calibri" w:cs="Times New Roman"/>
                <w:sz w:val="20"/>
                <w:szCs w:val="20"/>
                <w:lang w:val="af-ZA"/>
              </w:rPr>
              <w:t xml:space="preserve"> </w:t>
            </w:r>
            <w:r w:rsidRPr="0053423A">
              <w:rPr>
                <w:rFonts w:eastAsia="Calibri" w:cs="Times New Roman"/>
                <w:sz w:val="20"/>
                <w:szCs w:val="20"/>
              </w:rPr>
              <w:t>այն</w:t>
            </w:r>
            <w:r w:rsidRPr="0053423A">
              <w:rPr>
                <w:rFonts w:eastAsia="Calibri" w:cs="Times New Roman"/>
                <w:sz w:val="20"/>
                <w:szCs w:val="20"/>
                <w:lang w:val="af-ZA"/>
              </w:rPr>
              <w:t xml:space="preserve"> </w:t>
            </w:r>
            <w:r w:rsidRPr="0053423A">
              <w:rPr>
                <w:rFonts w:eastAsia="Calibri" w:cs="Times New Roman"/>
                <w:sz w:val="20"/>
                <w:szCs w:val="20"/>
              </w:rPr>
              <w:t>հանգամանքը</w:t>
            </w:r>
            <w:r w:rsidRPr="0053423A">
              <w:rPr>
                <w:rFonts w:eastAsia="Calibri" w:cs="Times New Roman"/>
                <w:sz w:val="20"/>
                <w:szCs w:val="20"/>
                <w:lang w:val="af-ZA"/>
              </w:rPr>
              <w:t xml:space="preserve">, </w:t>
            </w:r>
            <w:r w:rsidRPr="0053423A">
              <w:rPr>
                <w:rFonts w:eastAsia="Calibri" w:cs="Times New Roman"/>
                <w:sz w:val="20"/>
                <w:szCs w:val="20"/>
              </w:rPr>
              <w:t>որ</w:t>
            </w:r>
            <w:r w:rsidRPr="0053423A">
              <w:rPr>
                <w:rFonts w:eastAsia="Calibri" w:cs="Times New Roman"/>
                <w:sz w:val="20"/>
                <w:szCs w:val="20"/>
                <w:lang w:val="af-ZA"/>
              </w:rPr>
              <w:t xml:space="preserve"> </w:t>
            </w:r>
            <w:r w:rsidRPr="0053423A">
              <w:rPr>
                <w:rFonts w:eastAsia="Calibri" w:cs="Times New Roman"/>
                <w:sz w:val="20"/>
                <w:szCs w:val="20"/>
              </w:rPr>
              <w:t>Կոնվենցիան</w:t>
            </w:r>
            <w:r w:rsidRPr="0053423A">
              <w:rPr>
                <w:rFonts w:eastAsia="Calibri" w:cs="Times New Roman"/>
                <w:sz w:val="20"/>
                <w:szCs w:val="20"/>
                <w:lang w:val="af-ZA"/>
              </w:rPr>
              <w:t xml:space="preserve"> </w:t>
            </w:r>
            <w:r w:rsidRPr="0053423A">
              <w:rPr>
                <w:rFonts w:eastAsia="Calibri" w:cs="Times New Roman"/>
                <w:sz w:val="20"/>
                <w:szCs w:val="20"/>
              </w:rPr>
              <w:t>վավերացրած</w:t>
            </w:r>
            <w:r w:rsidRPr="0053423A">
              <w:rPr>
                <w:rFonts w:eastAsia="Calibri" w:cs="Times New Roman"/>
                <w:sz w:val="20"/>
                <w:szCs w:val="20"/>
                <w:lang w:val="af-ZA"/>
              </w:rPr>
              <w:t xml:space="preserve"> </w:t>
            </w:r>
            <w:r w:rsidRPr="0053423A">
              <w:rPr>
                <w:rFonts w:eastAsia="Calibri" w:cs="Times New Roman"/>
                <w:sz w:val="20"/>
                <w:szCs w:val="20"/>
              </w:rPr>
              <w:t>յուրաքանչյուր</w:t>
            </w:r>
            <w:r w:rsidRPr="0053423A">
              <w:rPr>
                <w:rFonts w:eastAsia="Calibri" w:cs="Times New Roman"/>
                <w:sz w:val="20"/>
                <w:szCs w:val="20"/>
                <w:lang w:val="af-ZA"/>
              </w:rPr>
              <w:t xml:space="preserve"> </w:t>
            </w:r>
            <w:r w:rsidRPr="0053423A">
              <w:rPr>
                <w:rFonts w:eastAsia="Calibri" w:cs="Times New Roman"/>
                <w:sz w:val="20"/>
                <w:szCs w:val="20"/>
              </w:rPr>
              <w:t>երկիր</w:t>
            </w:r>
            <w:r w:rsidRPr="0053423A">
              <w:rPr>
                <w:rFonts w:eastAsia="Calibri" w:cs="Times New Roman"/>
                <w:sz w:val="20"/>
                <w:szCs w:val="20"/>
                <w:lang w:val="af-ZA"/>
              </w:rPr>
              <w:t xml:space="preserve"> </w:t>
            </w:r>
            <w:r w:rsidRPr="0053423A">
              <w:rPr>
                <w:rFonts w:eastAsia="Calibri" w:cs="Times New Roman"/>
                <w:sz w:val="20"/>
                <w:szCs w:val="20"/>
              </w:rPr>
              <w:t>պարտավորվում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ձեռնարկել</w:t>
            </w:r>
            <w:r w:rsidRPr="0053423A">
              <w:rPr>
                <w:rFonts w:eastAsia="Calibri" w:cs="Times New Roman"/>
                <w:sz w:val="20"/>
                <w:szCs w:val="20"/>
                <w:lang w:val="af-ZA"/>
              </w:rPr>
              <w:t xml:space="preserve"> </w:t>
            </w:r>
            <w:r w:rsidRPr="0053423A">
              <w:rPr>
                <w:rFonts w:eastAsia="Calibri" w:cs="Times New Roman"/>
                <w:sz w:val="20"/>
                <w:szCs w:val="20"/>
              </w:rPr>
              <w:t>օրենսդրական</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այլ</w:t>
            </w:r>
            <w:r w:rsidRPr="0053423A">
              <w:rPr>
                <w:rFonts w:eastAsia="Calibri" w:cs="Times New Roman"/>
                <w:sz w:val="20"/>
                <w:szCs w:val="20"/>
                <w:lang w:val="af-ZA"/>
              </w:rPr>
              <w:t xml:space="preserve"> </w:t>
            </w:r>
            <w:r w:rsidRPr="0053423A">
              <w:rPr>
                <w:rFonts w:eastAsia="Calibri" w:cs="Times New Roman"/>
                <w:sz w:val="20"/>
                <w:szCs w:val="20"/>
              </w:rPr>
              <w:t>բնույթի</w:t>
            </w:r>
            <w:r w:rsidRPr="0053423A">
              <w:rPr>
                <w:rFonts w:eastAsia="Calibri" w:cs="Times New Roman"/>
                <w:sz w:val="20"/>
                <w:szCs w:val="20"/>
                <w:lang w:val="af-ZA"/>
              </w:rPr>
              <w:t xml:space="preserve"> </w:t>
            </w:r>
            <w:r w:rsidRPr="0053423A">
              <w:rPr>
                <w:rFonts w:eastAsia="Calibri" w:cs="Times New Roman"/>
                <w:sz w:val="20"/>
                <w:szCs w:val="20"/>
              </w:rPr>
              <w:t>անհրաժեշտ</w:t>
            </w:r>
            <w:r w:rsidRPr="0053423A">
              <w:rPr>
                <w:rFonts w:eastAsia="Calibri" w:cs="Times New Roman"/>
                <w:sz w:val="20"/>
                <w:szCs w:val="20"/>
                <w:lang w:val="af-ZA"/>
              </w:rPr>
              <w:t xml:space="preserve"> </w:t>
            </w:r>
            <w:r w:rsidRPr="0053423A">
              <w:rPr>
                <w:rFonts w:eastAsia="Calibri" w:cs="Times New Roman"/>
                <w:sz w:val="20"/>
                <w:szCs w:val="20"/>
              </w:rPr>
              <w:t>բոլոր</w:t>
            </w:r>
            <w:r w:rsidRPr="0053423A">
              <w:rPr>
                <w:rFonts w:eastAsia="Calibri" w:cs="Times New Roman"/>
                <w:sz w:val="20"/>
                <w:szCs w:val="20"/>
                <w:lang w:val="af-ZA"/>
              </w:rPr>
              <w:t xml:space="preserve"> </w:t>
            </w:r>
            <w:r w:rsidRPr="0053423A">
              <w:rPr>
                <w:rFonts w:eastAsia="Calibri" w:cs="Times New Roman"/>
                <w:sz w:val="20"/>
                <w:szCs w:val="20"/>
              </w:rPr>
              <w:t>միջոցները</w:t>
            </w:r>
            <w:r w:rsidRPr="0053423A">
              <w:rPr>
                <w:rFonts w:eastAsia="Calibri" w:cs="Times New Roman"/>
                <w:sz w:val="20"/>
                <w:szCs w:val="20"/>
                <w:lang w:val="af-ZA"/>
              </w:rPr>
              <w:t xml:space="preserve">, </w:t>
            </w:r>
            <w:r w:rsidRPr="0053423A">
              <w:rPr>
                <w:rFonts w:eastAsia="Calibri" w:cs="Times New Roman"/>
                <w:sz w:val="20"/>
                <w:szCs w:val="20"/>
              </w:rPr>
              <w:t>ահնրաժեշտ</w:t>
            </w:r>
            <w:r w:rsidRPr="0053423A">
              <w:rPr>
                <w:rFonts w:eastAsia="Calibri" w:cs="Times New Roman"/>
                <w:sz w:val="20"/>
                <w:szCs w:val="20"/>
                <w:lang w:val="af-ZA"/>
              </w:rPr>
              <w:t xml:space="preserve"> </w:t>
            </w:r>
            <w:r w:rsidRPr="0053423A">
              <w:rPr>
                <w:rFonts w:eastAsia="Calibri" w:cs="Times New Roman"/>
                <w:sz w:val="20"/>
                <w:szCs w:val="20"/>
              </w:rPr>
              <w:t>կլինեն</w:t>
            </w:r>
            <w:r w:rsidRPr="0053423A">
              <w:rPr>
                <w:rFonts w:eastAsia="Calibri" w:cs="Times New Roman"/>
                <w:sz w:val="20"/>
                <w:szCs w:val="20"/>
                <w:lang w:val="af-ZA"/>
              </w:rPr>
              <w:t xml:space="preserve"> </w:t>
            </w:r>
            <w:r w:rsidRPr="0053423A">
              <w:rPr>
                <w:rFonts w:eastAsia="Calibri" w:cs="Times New Roman"/>
                <w:sz w:val="20"/>
                <w:szCs w:val="20"/>
              </w:rPr>
              <w:t>քալեր</w:t>
            </w:r>
            <w:r w:rsidRPr="0053423A">
              <w:rPr>
                <w:rFonts w:eastAsia="Calibri" w:cs="Times New Roman"/>
                <w:sz w:val="20"/>
                <w:szCs w:val="20"/>
                <w:lang w:val="af-ZA"/>
              </w:rPr>
              <w:t xml:space="preserve"> </w:t>
            </w:r>
            <w:r w:rsidRPr="0053423A">
              <w:rPr>
                <w:rFonts w:eastAsia="Calibri" w:cs="Times New Roman"/>
                <w:sz w:val="20"/>
                <w:szCs w:val="20"/>
              </w:rPr>
              <w:t>ձեռնարկել</w:t>
            </w:r>
            <w:r w:rsidRPr="0053423A">
              <w:rPr>
                <w:rFonts w:eastAsia="Calibri" w:cs="Times New Roman"/>
                <w:sz w:val="20"/>
                <w:szCs w:val="20"/>
                <w:lang w:val="af-ZA"/>
              </w:rPr>
              <w:t>.</w:t>
            </w:r>
          </w:p>
          <w:p w:rsidR="00514E01" w:rsidRPr="0053423A" w:rsidRDefault="00514E01" w:rsidP="001F6D5D">
            <w:pPr>
              <w:numPr>
                <w:ilvl w:val="0"/>
                <w:numId w:val="174"/>
              </w:numPr>
              <w:spacing w:line="276" w:lineRule="auto"/>
              <w:jc w:val="both"/>
              <w:rPr>
                <w:rFonts w:eastAsia="Calibri" w:cs="Times New Roman"/>
                <w:sz w:val="20"/>
                <w:szCs w:val="20"/>
                <w:lang w:val="af-ZA"/>
              </w:rPr>
            </w:pPr>
            <w:r w:rsidRPr="0053423A">
              <w:rPr>
                <w:rFonts w:eastAsia="Calibri" w:cs="Times New Roman"/>
                <w:sz w:val="20"/>
                <w:szCs w:val="20"/>
              </w:rPr>
              <w:t>որպեսզի</w:t>
            </w:r>
            <w:r w:rsidRPr="0053423A">
              <w:rPr>
                <w:rFonts w:eastAsia="Calibri" w:cs="Times New Roman"/>
                <w:sz w:val="20"/>
                <w:szCs w:val="20"/>
                <w:lang w:val="af-ZA"/>
              </w:rPr>
              <w:t xml:space="preserve"> </w:t>
            </w:r>
            <w:r w:rsidRPr="0053423A">
              <w:rPr>
                <w:rFonts w:eastAsia="Calibri" w:cs="Times New Roman"/>
                <w:sz w:val="20"/>
                <w:szCs w:val="20"/>
              </w:rPr>
              <w:t>ընդունվեն</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երկրի</w:t>
            </w:r>
            <w:r w:rsidRPr="0053423A">
              <w:rPr>
                <w:rFonts w:eastAsia="Calibri" w:cs="Times New Roman"/>
                <w:sz w:val="20"/>
                <w:szCs w:val="20"/>
                <w:lang w:val="af-ZA"/>
              </w:rPr>
              <w:t xml:space="preserve"> </w:t>
            </w:r>
            <w:r w:rsidRPr="0053423A">
              <w:rPr>
                <w:rFonts w:eastAsia="Calibri" w:cs="Times New Roman"/>
                <w:sz w:val="20"/>
                <w:szCs w:val="20"/>
              </w:rPr>
              <w:t>ամբողջ</w:t>
            </w:r>
            <w:r w:rsidRPr="0053423A">
              <w:rPr>
                <w:rFonts w:eastAsia="Calibri" w:cs="Times New Roman"/>
                <w:sz w:val="20"/>
                <w:szCs w:val="20"/>
                <w:lang w:val="af-ZA"/>
              </w:rPr>
              <w:t xml:space="preserve"> </w:t>
            </w:r>
            <w:r w:rsidRPr="0053423A">
              <w:rPr>
                <w:rFonts w:eastAsia="Calibri" w:cs="Times New Roman"/>
                <w:sz w:val="20"/>
                <w:szCs w:val="20"/>
              </w:rPr>
              <w:t>տարածքում</w:t>
            </w:r>
            <w:r w:rsidRPr="0053423A">
              <w:rPr>
                <w:rFonts w:eastAsia="Calibri" w:cs="Times New Roman"/>
                <w:sz w:val="20"/>
                <w:szCs w:val="20"/>
                <w:lang w:val="af-ZA"/>
              </w:rPr>
              <w:t xml:space="preserve"> </w:t>
            </w:r>
            <w:r w:rsidRPr="0053423A">
              <w:rPr>
                <w:rFonts w:eastAsia="Calibri" w:cs="Times New Roman"/>
                <w:sz w:val="20"/>
                <w:szCs w:val="20"/>
              </w:rPr>
              <w:t>իրականացվեն</w:t>
            </w:r>
            <w:r w:rsidRPr="0053423A">
              <w:rPr>
                <w:rFonts w:eastAsia="Calibri" w:cs="Times New Roman"/>
                <w:sz w:val="20"/>
                <w:szCs w:val="20"/>
                <w:lang w:val="af-ZA"/>
              </w:rPr>
              <w:t xml:space="preserve"> </w:t>
            </w:r>
            <w:r w:rsidRPr="0053423A">
              <w:rPr>
                <w:rFonts w:eastAsia="Calibri" w:cs="Times New Roman"/>
                <w:sz w:val="20"/>
                <w:szCs w:val="20"/>
              </w:rPr>
              <w:t>արդյունավետ</w:t>
            </w:r>
            <w:r w:rsidRPr="0053423A">
              <w:rPr>
                <w:rFonts w:eastAsia="Calibri" w:cs="Times New Roman"/>
                <w:sz w:val="20"/>
                <w:szCs w:val="20"/>
                <w:lang w:val="af-ZA"/>
              </w:rPr>
              <w:t xml:space="preserve">, </w:t>
            </w:r>
            <w:r w:rsidRPr="0053423A">
              <w:rPr>
                <w:rFonts w:eastAsia="Calibri" w:cs="Times New Roman"/>
                <w:sz w:val="20"/>
                <w:szCs w:val="20"/>
              </w:rPr>
              <w:t>համակողմանի</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համակարգված</w:t>
            </w:r>
            <w:r w:rsidRPr="0053423A">
              <w:rPr>
                <w:rFonts w:eastAsia="Calibri" w:cs="Times New Roman"/>
                <w:sz w:val="20"/>
                <w:szCs w:val="20"/>
                <w:lang w:val="af-ZA"/>
              </w:rPr>
              <w:t xml:space="preserve"> </w:t>
            </w:r>
            <w:r w:rsidRPr="0053423A">
              <w:rPr>
                <w:rFonts w:eastAsia="Calibri" w:cs="Times New Roman"/>
                <w:sz w:val="20"/>
                <w:szCs w:val="20"/>
              </w:rPr>
              <w:t>քաղաքականություններ</w:t>
            </w:r>
            <w:r w:rsidRPr="0053423A">
              <w:rPr>
                <w:rFonts w:eastAsia="Calibri" w:cs="Times New Roman"/>
                <w:sz w:val="20"/>
                <w:szCs w:val="20"/>
                <w:lang w:val="af-ZA"/>
              </w:rPr>
              <w:t xml:space="preserve">, </w:t>
            </w:r>
            <w:r w:rsidRPr="0053423A">
              <w:rPr>
                <w:rFonts w:eastAsia="Calibri" w:cs="Times New Roman"/>
                <w:sz w:val="20"/>
                <w:szCs w:val="20"/>
                <w:lang w:val="en-GB"/>
              </w:rPr>
              <w:t>հատկացվեն</w:t>
            </w:r>
            <w:r w:rsidRPr="0053423A">
              <w:rPr>
                <w:rFonts w:eastAsia="Calibri" w:cs="Times New Roman"/>
                <w:sz w:val="20"/>
                <w:szCs w:val="20"/>
                <w:lang w:val="af-ZA"/>
              </w:rPr>
              <w:t xml:space="preserve"> </w:t>
            </w:r>
            <w:r w:rsidRPr="0053423A">
              <w:rPr>
                <w:rFonts w:eastAsia="Calibri" w:cs="Times New Roman"/>
                <w:sz w:val="20"/>
                <w:szCs w:val="20"/>
                <w:lang w:val="en-GB"/>
              </w:rPr>
              <w:t>դրանց</w:t>
            </w:r>
            <w:r w:rsidRPr="0053423A">
              <w:rPr>
                <w:rFonts w:eastAsia="Calibri" w:cs="Times New Roman"/>
                <w:sz w:val="20"/>
                <w:szCs w:val="20"/>
                <w:lang w:val="af-ZA"/>
              </w:rPr>
              <w:t xml:space="preserve"> </w:t>
            </w:r>
            <w:r w:rsidRPr="0053423A">
              <w:rPr>
                <w:rFonts w:eastAsia="Calibri" w:cs="Times New Roman"/>
                <w:sz w:val="20"/>
                <w:szCs w:val="20"/>
                <w:lang w:val="en-GB"/>
              </w:rPr>
              <w:t>իրականացման</w:t>
            </w:r>
            <w:r w:rsidRPr="0053423A">
              <w:rPr>
                <w:rFonts w:eastAsia="Calibri" w:cs="Times New Roman"/>
                <w:sz w:val="20"/>
                <w:szCs w:val="20"/>
                <w:lang w:val="af-ZA"/>
              </w:rPr>
              <w:t xml:space="preserve"> </w:t>
            </w:r>
            <w:r w:rsidRPr="0053423A">
              <w:rPr>
                <w:rFonts w:eastAsia="Calibri" w:cs="Times New Roman"/>
                <w:sz w:val="20"/>
                <w:szCs w:val="20"/>
                <w:lang w:val="en-GB"/>
              </w:rPr>
              <w:t>համար</w:t>
            </w:r>
            <w:r w:rsidRPr="0053423A">
              <w:rPr>
                <w:rFonts w:eastAsia="Calibri" w:cs="Times New Roman"/>
                <w:sz w:val="20"/>
                <w:szCs w:val="20"/>
                <w:lang w:val="af-ZA"/>
              </w:rPr>
              <w:t xml:space="preserve"> </w:t>
            </w:r>
            <w:r w:rsidRPr="0053423A">
              <w:rPr>
                <w:rFonts w:eastAsia="Calibri" w:cs="Times New Roman"/>
                <w:sz w:val="20"/>
                <w:szCs w:val="20"/>
                <w:lang w:val="en-GB"/>
              </w:rPr>
              <w:t>անհրաժեշտ</w:t>
            </w:r>
            <w:r w:rsidRPr="0053423A">
              <w:rPr>
                <w:rFonts w:eastAsia="Calibri" w:cs="Times New Roman"/>
                <w:sz w:val="20"/>
                <w:szCs w:val="20"/>
                <w:lang w:val="af-ZA"/>
              </w:rPr>
              <w:t xml:space="preserve"> </w:t>
            </w:r>
            <w:r w:rsidRPr="0053423A">
              <w:rPr>
                <w:rFonts w:eastAsia="Calibri" w:cs="Times New Roman"/>
                <w:sz w:val="20"/>
                <w:szCs w:val="20"/>
                <w:lang w:val="en-GB"/>
              </w:rPr>
              <w:t>ֆինանսական</w:t>
            </w:r>
            <w:r w:rsidRPr="0053423A">
              <w:rPr>
                <w:rFonts w:eastAsia="Calibri" w:cs="Times New Roman"/>
                <w:sz w:val="20"/>
                <w:szCs w:val="20"/>
                <w:lang w:val="af-ZA"/>
              </w:rPr>
              <w:t xml:space="preserve"> </w:t>
            </w:r>
            <w:r w:rsidRPr="0053423A">
              <w:rPr>
                <w:rFonts w:eastAsia="Calibri" w:cs="Times New Roman"/>
                <w:sz w:val="20"/>
                <w:szCs w:val="20"/>
                <w:lang w:val="en-GB"/>
              </w:rPr>
              <w:t>և</w:t>
            </w:r>
            <w:r w:rsidRPr="0053423A">
              <w:rPr>
                <w:rFonts w:eastAsia="Calibri" w:cs="Times New Roman"/>
                <w:sz w:val="20"/>
                <w:szCs w:val="20"/>
                <w:lang w:val="af-ZA"/>
              </w:rPr>
              <w:t xml:space="preserve"> </w:t>
            </w:r>
            <w:r w:rsidRPr="0053423A">
              <w:rPr>
                <w:rFonts w:eastAsia="Calibri" w:cs="Times New Roman"/>
                <w:sz w:val="20"/>
                <w:szCs w:val="20"/>
                <w:lang w:val="en-GB"/>
              </w:rPr>
              <w:t>մարդկային</w:t>
            </w:r>
            <w:r w:rsidRPr="0053423A">
              <w:rPr>
                <w:rFonts w:eastAsia="Calibri" w:cs="Times New Roman"/>
                <w:sz w:val="20"/>
                <w:szCs w:val="20"/>
                <w:lang w:val="af-ZA"/>
              </w:rPr>
              <w:t xml:space="preserve"> </w:t>
            </w:r>
            <w:r w:rsidRPr="0053423A">
              <w:rPr>
                <w:rFonts w:eastAsia="Calibri" w:cs="Times New Roman"/>
                <w:sz w:val="20"/>
                <w:szCs w:val="20"/>
                <w:lang w:val="en-GB"/>
              </w:rPr>
              <w:t>ռեսուրսներ</w:t>
            </w:r>
            <w:r w:rsidRPr="0053423A">
              <w:rPr>
                <w:rFonts w:eastAsia="Calibri" w:cs="Times New Roman"/>
                <w:sz w:val="20"/>
                <w:szCs w:val="20"/>
                <w:lang w:val="af-ZA"/>
              </w:rPr>
              <w:t>,</w:t>
            </w:r>
          </w:p>
          <w:p w:rsidR="00514E01" w:rsidRPr="0053423A" w:rsidRDefault="00514E01" w:rsidP="001F6D5D">
            <w:pPr>
              <w:numPr>
                <w:ilvl w:val="0"/>
                <w:numId w:val="174"/>
              </w:numPr>
              <w:spacing w:line="276" w:lineRule="auto"/>
              <w:jc w:val="both"/>
              <w:rPr>
                <w:rFonts w:eastAsia="Calibri" w:cs="Times New Roman"/>
                <w:sz w:val="20"/>
                <w:szCs w:val="20"/>
                <w:lang w:val="af-ZA"/>
              </w:rPr>
            </w:pPr>
            <w:r w:rsidRPr="0053423A">
              <w:rPr>
                <w:rFonts w:eastAsia="Calibri" w:cs="Times New Roman"/>
                <w:sz w:val="20"/>
                <w:szCs w:val="20"/>
                <w:lang w:val="en-GB"/>
              </w:rPr>
              <w:t>ապահովելու</w:t>
            </w:r>
            <w:r w:rsidRPr="0053423A">
              <w:rPr>
                <w:rFonts w:eastAsia="Calibri" w:cs="Times New Roman"/>
                <w:sz w:val="20"/>
                <w:szCs w:val="20"/>
                <w:lang w:val="af-ZA"/>
              </w:rPr>
              <w:t xml:space="preserve"> </w:t>
            </w:r>
            <w:r w:rsidRPr="0053423A">
              <w:rPr>
                <w:rFonts w:eastAsia="Calibri" w:cs="Times New Roman"/>
                <w:sz w:val="20"/>
                <w:szCs w:val="20"/>
                <w:lang w:val="en-GB"/>
              </w:rPr>
              <w:t>համար</w:t>
            </w:r>
            <w:r w:rsidRPr="0053423A">
              <w:rPr>
                <w:rFonts w:eastAsia="Calibri" w:cs="Times New Roman"/>
                <w:sz w:val="20"/>
                <w:szCs w:val="20"/>
                <w:lang w:val="af-ZA"/>
              </w:rPr>
              <w:t xml:space="preserve"> </w:t>
            </w:r>
            <w:r w:rsidRPr="0053423A">
              <w:rPr>
                <w:rFonts w:eastAsia="Calibri" w:cs="Times New Roman"/>
                <w:sz w:val="20"/>
                <w:szCs w:val="20"/>
                <w:lang w:val="en-GB"/>
              </w:rPr>
              <w:t>կոնվենցիայի</w:t>
            </w:r>
            <w:r w:rsidRPr="0053423A">
              <w:rPr>
                <w:rFonts w:eastAsia="Calibri" w:cs="Times New Roman"/>
                <w:sz w:val="20"/>
                <w:szCs w:val="20"/>
                <w:lang w:val="af-ZA"/>
              </w:rPr>
              <w:t xml:space="preserve"> </w:t>
            </w:r>
            <w:r w:rsidRPr="0053423A">
              <w:rPr>
                <w:rFonts w:eastAsia="Calibri" w:cs="Times New Roman"/>
                <w:sz w:val="20"/>
                <w:szCs w:val="20"/>
                <w:lang w:val="en-GB"/>
              </w:rPr>
              <w:t>առարկա</w:t>
            </w:r>
            <w:r w:rsidRPr="0053423A">
              <w:rPr>
                <w:rFonts w:eastAsia="Calibri" w:cs="Times New Roman"/>
                <w:sz w:val="20"/>
                <w:szCs w:val="20"/>
                <w:lang w:val="af-ZA"/>
              </w:rPr>
              <w:t xml:space="preserve"> </w:t>
            </w:r>
            <w:r w:rsidRPr="0053423A">
              <w:rPr>
                <w:rFonts w:eastAsia="Calibri" w:cs="Times New Roman"/>
                <w:sz w:val="20"/>
                <w:szCs w:val="20"/>
                <w:lang w:val="en-GB"/>
              </w:rPr>
              <w:t>հանդիսացող</w:t>
            </w:r>
            <w:r w:rsidRPr="0053423A">
              <w:rPr>
                <w:rFonts w:eastAsia="Calibri" w:cs="Times New Roman"/>
                <w:sz w:val="20"/>
                <w:szCs w:val="20"/>
                <w:lang w:val="af-ZA"/>
              </w:rPr>
              <w:t xml:space="preserve"> </w:t>
            </w:r>
            <w:r w:rsidRPr="0053423A">
              <w:rPr>
                <w:rFonts w:eastAsia="Calibri" w:cs="Times New Roman"/>
                <w:sz w:val="20"/>
                <w:szCs w:val="20"/>
                <w:lang w:val="en-GB"/>
              </w:rPr>
              <w:t>բռնության</w:t>
            </w:r>
            <w:r w:rsidRPr="0053423A">
              <w:rPr>
                <w:rFonts w:eastAsia="Calibri" w:cs="Times New Roman"/>
                <w:sz w:val="20"/>
                <w:szCs w:val="20"/>
                <w:lang w:val="af-ZA"/>
              </w:rPr>
              <w:t xml:space="preserve"> </w:t>
            </w:r>
            <w:r w:rsidRPr="0053423A">
              <w:rPr>
                <w:rFonts w:eastAsia="Calibri" w:cs="Times New Roman"/>
                <w:sz w:val="20"/>
                <w:szCs w:val="20"/>
                <w:lang w:val="en-GB"/>
              </w:rPr>
              <w:t>գործողությունների</w:t>
            </w:r>
            <w:r w:rsidRPr="0053423A">
              <w:rPr>
                <w:rFonts w:eastAsia="Calibri" w:cs="Times New Roman"/>
                <w:sz w:val="20"/>
                <w:szCs w:val="20"/>
                <w:lang w:val="af-ZA"/>
              </w:rPr>
              <w:t xml:space="preserve"> </w:t>
            </w:r>
            <w:r w:rsidRPr="0053423A">
              <w:rPr>
                <w:rFonts w:eastAsia="Calibri" w:cs="Times New Roman"/>
                <w:sz w:val="20"/>
                <w:szCs w:val="20"/>
                <w:lang w:val="en-GB"/>
              </w:rPr>
              <w:t>կանխարգելումը</w:t>
            </w:r>
            <w:r w:rsidRPr="0053423A">
              <w:rPr>
                <w:rFonts w:eastAsia="Calibri" w:cs="Times New Roman"/>
                <w:sz w:val="20"/>
                <w:szCs w:val="20"/>
                <w:lang w:val="af-ZA"/>
              </w:rPr>
              <w:t xml:space="preserve"> (</w:t>
            </w:r>
            <w:r w:rsidRPr="0053423A">
              <w:rPr>
                <w:rFonts w:eastAsia="Calibri" w:cs="Times New Roman"/>
                <w:sz w:val="20"/>
                <w:szCs w:val="20"/>
                <w:lang w:val="en-GB"/>
              </w:rPr>
              <w:t>կարծրատիպերի</w:t>
            </w:r>
            <w:r w:rsidRPr="0053423A">
              <w:rPr>
                <w:rFonts w:eastAsia="Calibri" w:cs="Times New Roman"/>
                <w:sz w:val="20"/>
                <w:szCs w:val="20"/>
                <w:lang w:val="af-ZA"/>
              </w:rPr>
              <w:t xml:space="preserve"> </w:t>
            </w:r>
            <w:r w:rsidRPr="0053423A">
              <w:rPr>
                <w:rFonts w:eastAsia="Calibri" w:cs="Times New Roman"/>
                <w:sz w:val="20"/>
                <w:szCs w:val="20"/>
                <w:lang w:val="en-GB"/>
              </w:rPr>
              <w:t>հաղթահարումը</w:t>
            </w:r>
            <w:r w:rsidRPr="0053423A">
              <w:rPr>
                <w:rFonts w:eastAsia="Calibri" w:cs="Times New Roman"/>
                <w:sz w:val="20"/>
                <w:szCs w:val="20"/>
                <w:lang w:val="af-ZA"/>
              </w:rPr>
              <w:t xml:space="preserve">) </w:t>
            </w:r>
            <w:r w:rsidRPr="0053423A">
              <w:rPr>
                <w:rFonts w:eastAsia="Calibri" w:cs="Times New Roman"/>
                <w:sz w:val="20"/>
                <w:szCs w:val="20"/>
                <w:lang w:val="en-GB"/>
              </w:rPr>
              <w:t>և</w:t>
            </w:r>
            <w:r w:rsidRPr="0053423A">
              <w:rPr>
                <w:rFonts w:eastAsia="Calibri" w:cs="Times New Roman"/>
                <w:sz w:val="20"/>
                <w:szCs w:val="20"/>
                <w:lang w:val="af-ZA"/>
              </w:rPr>
              <w:t xml:space="preserve"> </w:t>
            </w:r>
            <w:r w:rsidRPr="0053423A">
              <w:rPr>
                <w:rFonts w:eastAsia="Calibri" w:cs="Times New Roman"/>
                <w:sz w:val="20"/>
                <w:szCs w:val="20"/>
                <w:lang w:val="en-GB"/>
              </w:rPr>
              <w:t>իրազեկության</w:t>
            </w:r>
            <w:r w:rsidRPr="0053423A">
              <w:rPr>
                <w:rFonts w:eastAsia="Calibri" w:cs="Times New Roman"/>
                <w:sz w:val="20"/>
                <w:szCs w:val="20"/>
                <w:lang w:val="af-ZA"/>
              </w:rPr>
              <w:t xml:space="preserve"> </w:t>
            </w:r>
            <w:r w:rsidRPr="0053423A">
              <w:rPr>
                <w:rFonts w:eastAsia="Calibri" w:cs="Times New Roman"/>
                <w:sz w:val="20"/>
                <w:szCs w:val="20"/>
                <w:lang w:val="en-GB"/>
              </w:rPr>
              <w:t>բարձրացումը</w:t>
            </w:r>
            <w:r w:rsidRPr="0053423A">
              <w:rPr>
                <w:rFonts w:eastAsia="Calibri" w:cs="Times New Roman"/>
                <w:sz w:val="20"/>
                <w:szCs w:val="20"/>
                <w:lang w:val="af-ZA"/>
              </w:rPr>
              <w:t xml:space="preserve">,   </w:t>
            </w:r>
          </w:p>
          <w:p w:rsidR="00514E01" w:rsidRPr="0053423A" w:rsidRDefault="00514E01" w:rsidP="001F6D5D">
            <w:pPr>
              <w:numPr>
                <w:ilvl w:val="0"/>
                <w:numId w:val="174"/>
              </w:numPr>
              <w:spacing w:line="276" w:lineRule="auto"/>
              <w:jc w:val="both"/>
              <w:rPr>
                <w:rFonts w:eastAsia="Calibri" w:cs="Times New Roman"/>
                <w:b/>
                <w:sz w:val="20"/>
                <w:szCs w:val="20"/>
                <w:lang w:val="af-ZA"/>
              </w:rPr>
            </w:pPr>
            <w:r w:rsidRPr="0053423A">
              <w:rPr>
                <w:rFonts w:eastAsia="Calibri" w:cs="Times New Roman"/>
                <w:sz w:val="20"/>
                <w:szCs w:val="20"/>
                <w:lang w:val="en-GB"/>
              </w:rPr>
              <w:t>բռնության</w:t>
            </w:r>
            <w:r w:rsidRPr="0053423A">
              <w:rPr>
                <w:rFonts w:eastAsia="Calibri" w:cs="Times New Roman"/>
                <w:sz w:val="20"/>
                <w:szCs w:val="20"/>
                <w:lang w:val="af-ZA"/>
              </w:rPr>
              <w:t xml:space="preserve"> </w:t>
            </w:r>
            <w:r w:rsidRPr="0053423A">
              <w:rPr>
                <w:rFonts w:eastAsia="Calibri" w:cs="Times New Roman"/>
                <w:sz w:val="20"/>
                <w:szCs w:val="20"/>
                <w:lang w:val="en-GB"/>
              </w:rPr>
              <w:t>հետագա</w:t>
            </w:r>
            <w:r w:rsidRPr="0053423A">
              <w:rPr>
                <w:rFonts w:eastAsia="Calibri" w:cs="Times New Roman"/>
                <w:sz w:val="20"/>
                <w:szCs w:val="20"/>
                <w:lang w:val="af-ZA"/>
              </w:rPr>
              <w:t xml:space="preserve"> </w:t>
            </w:r>
            <w:r w:rsidRPr="0053423A">
              <w:rPr>
                <w:rFonts w:eastAsia="Calibri" w:cs="Times New Roman"/>
                <w:sz w:val="20"/>
                <w:szCs w:val="20"/>
                <w:lang w:val="en-GB"/>
              </w:rPr>
              <w:t>գործողություններից</w:t>
            </w:r>
            <w:r w:rsidRPr="0053423A">
              <w:rPr>
                <w:rFonts w:eastAsia="Calibri" w:cs="Times New Roman"/>
                <w:sz w:val="20"/>
                <w:szCs w:val="20"/>
                <w:lang w:val="af-ZA"/>
              </w:rPr>
              <w:t xml:space="preserve"> </w:t>
            </w:r>
            <w:r w:rsidRPr="0053423A">
              <w:rPr>
                <w:rFonts w:eastAsia="Calibri" w:cs="Times New Roman"/>
                <w:sz w:val="20"/>
                <w:szCs w:val="20"/>
                <w:lang w:val="en-GB"/>
              </w:rPr>
              <w:t>բոլոր</w:t>
            </w:r>
            <w:r w:rsidRPr="0053423A">
              <w:rPr>
                <w:rFonts w:eastAsia="Calibri" w:cs="Times New Roman"/>
                <w:sz w:val="20"/>
                <w:szCs w:val="20"/>
                <w:lang w:val="af-ZA"/>
              </w:rPr>
              <w:t xml:space="preserve"> </w:t>
            </w:r>
            <w:r w:rsidRPr="0053423A">
              <w:rPr>
                <w:rFonts w:eastAsia="Calibri" w:cs="Times New Roman"/>
                <w:sz w:val="20"/>
                <w:szCs w:val="20"/>
                <w:lang w:val="en-GB"/>
              </w:rPr>
              <w:t>տուժողների</w:t>
            </w:r>
            <w:r w:rsidRPr="0053423A">
              <w:rPr>
                <w:rFonts w:eastAsia="Calibri" w:cs="Times New Roman"/>
                <w:sz w:val="20"/>
                <w:szCs w:val="20"/>
                <w:lang w:val="af-ZA"/>
              </w:rPr>
              <w:t xml:space="preserve"> </w:t>
            </w:r>
            <w:r w:rsidRPr="0053423A">
              <w:rPr>
                <w:rFonts w:eastAsia="Calibri" w:cs="Times New Roman"/>
                <w:sz w:val="20"/>
                <w:szCs w:val="20"/>
                <w:lang w:val="en-GB"/>
              </w:rPr>
              <w:t>պաշտպանությունը</w:t>
            </w:r>
            <w:r w:rsidRPr="0053423A">
              <w:rPr>
                <w:rFonts w:eastAsia="Calibri" w:cs="Times New Roman"/>
                <w:sz w:val="20"/>
                <w:szCs w:val="20"/>
                <w:lang w:val="af-ZA"/>
              </w:rPr>
              <w:t xml:space="preserve"> </w:t>
            </w:r>
            <w:r w:rsidRPr="0053423A">
              <w:rPr>
                <w:rFonts w:eastAsia="Calibri" w:cs="Times New Roman"/>
                <w:sz w:val="20"/>
                <w:szCs w:val="20"/>
                <w:lang w:val="en-GB"/>
              </w:rPr>
              <w:t>և</w:t>
            </w:r>
            <w:r w:rsidRPr="0053423A">
              <w:rPr>
                <w:rFonts w:eastAsia="Calibri" w:cs="Times New Roman"/>
                <w:sz w:val="20"/>
                <w:szCs w:val="20"/>
                <w:lang w:val="af-ZA"/>
              </w:rPr>
              <w:t xml:space="preserve"> </w:t>
            </w:r>
            <w:r w:rsidRPr="0053423A">
              <w:rPr>
                <w:rFonts w:eastAsia="Calibri" w:cs="Times New Roman"/>
                <w:sz w:val="20"/>
                <w:szCs w:val="20"/>
                <w:lang w:val="en-GB"/>
              </w:rPr>
              <w:t>օժանդակությունը</w:t>
            </w:r>
            <w:r w:rsidRPr="0053423A">
              <w:rPr>
                <w:rFonts w:eastAsia="Calibri" w:cs="Times New Roman"/>
                <w:sz w:val="20"/>
                <w:szCs w:val="20"/>
                <w:lang w:val="af-ZA"/>
              </w:rPr>
              <w:t xml:space="preserve"> </w:t>
            </w:r>
            <w:r w:rsidRPr="0053423A">
              <w:rPr>
                <w:rFonts w:eastAsia="Calibri" w:cs="Times New Roman"/>
                <w:sz w:val="20"/>
                <w:szCs w:val="20"/>
                <w:lang w:val="en-GB"/>
              </w:rPr>
              <w:t>և</w:t>
            </w:r>
            <w:r w:rsidRPr="0053423A">
              <w:rPr>
                <w:rFonts w:eastAsia="Calibri" w:cs="Times New Roman"/>
                <w:sz w:val="20"/>
                <w:szCs w:val="20"/>
                <w:lang w:val="af-ZA"/>
              </w:rPr>
              <w:t xml:space="preserve"> </w:t>
            </w:r>
            <w:r w:rsidRPr="0053423A">
              <w:rPr>
                <w:rFonts w:eastAsia="Calibri" w:cs="Times New Roman"/>
                <w:sz w:val="20"/>
                <w:szCs w:val="20"/>
                <w:lang w:val="en-GB"/>
              </w:rPr>
              <w:t>այլն</w:t>
            </w:r>
            <w:r w:rsidRPr="0053423A">
              <w:rPr>
                <w:rFonts w:eastAsia="Calibri" w:cs="Times New Roman"/>
                <w:sz w:val="20"/>
                <w:szCs w:val="20"/>
                <w:lang w:val="af-ZA"/>
              </w:rPr>
              <w:t>:</w:t>
            </w:r>
          </w:p>
          <w:p w:rsidR="00514E01" w:rsidRPr="0053423A" w:rsidRDefault="00514E01" w:rsidP="001F6D5D">
            <w:pPr>
              <w:numPr>
                <w:ilvl w:val="0"/>
                <w:numId w:val="173"/>
              </w:numPr>
              <w:spacing w:line="276" w:lineRule="auto"/>
              <w:jc w:val="both"/>
              <w:rPr>
                <w:rFonts w:eastAsia="Calibri" w:cs="Times New Roman"/>
                <w:b/>
                <w:sz w:val="20"/>
                <w:szCs w:val="20"/>
                <w:lang w:val="hy-AM"/>
              </w:rPr>
            </w:pPr>
            <w:r w:rsidRPr="0053423A">
              <w:rPr>
                <w:rFonts w:eastAsia="Calibri" w:cs="Times New Roman"/>
                <w:b/>
                <w:sz w:val="20"/>
                <w:szCs w:val="20"/>
                <w:lang w:val="hy-AM"/>
              </w:rPr>
              <w:t>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Calibri" w:cs="Times New Roman"/>
                <w:sz w:val="20"/>
                <w:szCs w:val="20"/>
                <w:lang w:val="hy-AM"/>
              </w:rPr>
              <w:t>ՀՀ օրենսդրական դաշտի կատարելագործում և ՀՀ միջազգային հանձնառություններին համապատասխանեցում:</w:t>
            </w:r>
          </w:p>
        </w:tc>
      </w:tr>
      <w:tr w:rsidR="00514E01" w:rsidRPr="00DE2EFA" w:rsidTr="00BC61ED">
        <w:tc>
          <w:tcPr>
            <w:tcW w:w="630" w:type="dxa"/>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12</w:t>
            </w:r>
          </w:p>
        </w:tc>
        <w:tc>
          <w:tcPr>
            <w:tcW w:w="10890" w:type="dxa"/>
          </w:tcPr>
          <w:p w:rsidR="00514E01" w:rsidRPr="0053423A" w:rsidRDefault="00514E01" w:rsidP="00A67858">
            <w:pPr>
              <w:spacing w:line="276" w:lineRule="auto"/>
              <w:jc w:val="both"/>
              <w:rPr>
                <w:rFonts w:eastAsia="Calibri" w:cs="Times New Roman"/>
                <w:b/>
                <w:sz w:val="20"/>
                <w:szCs w:val="20"/>
                <w:u w:val="single"/>
                <w:lang w:val="hy-AM"/>
              </w:rPr>
            </w:pPr>
            <w:r w:rsidRPr="0053423A">
              <w:rPr>
                <w:rFonts w:eastAsia="Calibri" w:cs="Times New Roman"/>
                <w:b/>
                <w:sz w:val="20"/>
                <w:szCs w:val="20"/>
                <w:u w:val="single"/>
                <w:lang w:val="hy-AM"/>
              </w:rPr>
              <w:t>12.1 Հայաս</w:t>
            </w:r>
            <w:r w:rsidRPr="0053423A">
              <w:rPr>
                <w:rFonts w:eastAsia="Calibri" w:cs="Times New Roman"/>
                <w:b/>
                <w:sz w:val="20"/>
                <w:szCs w:val="20"/>
                <w:u w:val="single"/>
                <w:lang w:val="hy-AM"/>
              </w:rPr>
              <w:softHyphen/>
              <w:t>տանի Հանրապետությունում մարդկանց թրաֆիքինգի և շահագործման դեմ պայքարի կազմակերպման Ազգային ծրագրի միջոցառումների իրականացում</w:t>
            </w:r>
          </w:p>
          <w:p w:rsidR="00514E01" w:rsidRPr="0053423A" w:rsidRDefault="00514E01" w:rsidP="00A67858">
            <w:pPr>
              <w:spacing w:line="276" w:lineRule="auto"/>
              <w:jc w:val="both"/>
              <w:rPr>
                <w:rFonts w:eastAsia="Calibri" w:cs="Times New Roman"/>
                <w:b/>
                <w:bCs/>
                <w:sz w:val="20"/>
                <w:szCs w:val="20"/>
                <w:lang w:val="hy-AM"/>
              </w:rPr>
            </w:pPr>
            <w:r w:rsidRPr="0053423A">
              <w:rPr>
                <w:rFonts w:eastAsia="Calibri" w:cs="Times New Roman"/>
                <w:b/>
                <w:bCs/>
                <w:sz w:val="20"/>
                <w:szCs w:val="20"/>
                <w:lang w:val="hy-AM"/>
              </w:rPr>
              <w:t xml:space="preserve">1. </w:t>
            </w:r>
            <w:r w:rsidRPr="0053423A">
              <w:rPr>
                <w:rFonts w:eastAsia="Calibri" w:cs="Times New Roman"/>
                <w:b/>
                <w:bCs/>
                <w:sz w:val="20"/>
                <w:szCs w:val="20"/>
                <w:lang w:val="af-ZA"/>
              </w:rPr>
              <w:t xml:space="preserve">Միջոցառման անհրաժեշտությունը </w:t>
            </w:r>
            <w:r w:rsidRPr="0053423A">
              <w:rPr>
                <w:rFonts w:eastAsia="Calibri" w:cs="Times New Roman"/>
                <w:b/>
                <w:bCs/>
                <w:sz w:val="20"/>
                <w:szCs w:val="20"/>
                <w:lang w:val="hy-AM"/>
              </w:rPr>
              <w:t xml:space="preserve">և </w:t>
            </w:r>
            <w:r w:rsidRPr="0053423A">
              <w:rPr>
                <w:rFonts w:eastAsia="Calibri" w:cs="Times New Roman"/>
                <w:b/>
                <w:bCs/>
                <w:sz w:val="20"/>
                <w:szCs w:val="20"/>
                <w:lang w:val="af-ZA"/>
              </w:rPr>
              <w:t>նպատակը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Միջոցառման անհրաժեշտությունը պայմանավորված է նրանով, որ թրաֆիքինգի դեմ պայքարը իրականացվում է եռամյա ծրագրերի շրջանակում: Նոր, եռամյա ծրագրի նախագիծն արդեն պատրաստ է և ներկայացվելու ՀՀ կառավարության հաստատմանը: Ծրագրի ժամանակացույցով նախատեսված միջոցառումների նպատակն է մշակել և իրականացնել ընթացիք, փոփոխվող իրավիճակին և միջազգային պարտավորություններին համահունչ քաղաքականություն՝</w:t>
            </w:r>
            <w:r w:rsidRPr="0053423A">
              <w:rPr>
                <w:rFonts w:eastAsia="Calibri" w:cs="Times New Roman"/>
                <w:sz w:val="20"/>
                <w:szCs w:val="20"/>
                <w:lang w:val="hy-AM"/>
              </w:rPr>
              <w:tab/>
              <w:t xml:space="preserve"> մարդկանց թրաֆիքինգի և շահագործման կանխարգելման, թրաֆիքինգի և շահագործման  ենթարկված անձանց աջակցության և պաշտպանության ոլորտում, ինչպես նաև մշակել լրացուցիչ մեխանիզմներ երեխաների իրավունքների պաշտպանության մասով:</w:t>
            </w:r>
          </w:p>
          <w:p w:rsidR="00514E01" w:rsidRPr="0053423A" w:rsidRDefault="00514E01" w:rsidP="00A67858">
            <w:pPr>
              <w:spacing w:line="276" w:lineRule="auto"/>
              <w:jc w:val="both"/>
              <w:rPr>
                <w:rFonts w:eastAsia="Calibri" w:cs="Times New Roman"/>
                <w:b/>
                <w:bCs/>
                <w:sz w:val="20"/>
                <w:szCs w:val="20"/>
                <w:lang w:val="af-ZA"/>
              </w:rPr>
            </w:pPr>
            <w:r w:rsidRPr="0053423A">
              <w:rPr>
                <w:rFonts w:eastAsia="Calibri" w:cs="Times New Roman"/>
                <w:b/>
                <w:bCs/>
                <w:sz w:val="20"/>
                <w:szCs w:val="20"/>
                <w:lang w:val="af-ZA"/>
              </w:rPr>
              <w:t>1.1.</w:t>
            </w:r>
            <w:r w:rsidRPr="0053423A">
              <w:rPr>
                <w:rFonts w:eastAsia="Calibri" w:cs="Times New Roman"/>
                <w:b/>
                <w:bCs/>
                <w:sz w:val="20"/>
                <w:szCs w:val="20"/>
                <w:lang w:val="af-ZA"/>
              </w:rPr>
              <w:tab/>
              <w:t xml:space="preserve">Կարգավորման հարաբերությունների ներկա իրավիճակը և առկա խնդիրները </w:t>
            </w:r>
          </w:p>
          <w:p w:rsidR="00514E01" w:rsidRPr="0053423A" w:rsidRDefault="00514E01" w:rsidP="00A67858">
            <w:pPr>
              <w:spacing w:line="276" w:lineRule="auto"/>
              <w:jc w:val="both"/>
              <w:rPr>
                <w:rFonts w:eastAsia="Calibri" w:cs="Times New Roman"/>
                <w:b/>
                <w:sz w:val="20"/>
                <w:szCs w:val="20"/>
                <w:lang w:val="af-ZA"/>
              </w:rPr>
            </w:pPr>
            <w:r w:rsidRPr="0053423A">
              <w:rPr>
                <w:rFonts w:eastAsia="Calibri" w:cs="Times New Roman"/>
                <w:sz w:val="20"/>
                <w:szCs w:val="20"/>
              </w:rPr>
              <w:t>Այսօր</w:t>
            </w:r>
            <w:r w:rsidRPr="0053423A">
              <w:rPr>
                <w:rFonts w:eastAsia="Calibri" w:cs="Times New Roman"/>
                <w:sz w:val="20"/>
                <w:szCs w:val="20"/>
                <w:lang w:val="af-ZA"/>
              </w:rPr>
              <w:t xml:space="preserve"> </w:t>
            </w:r>
            <w:r w:rsidRPr="0053423A">
              <w:rPr>
                <w:rFonts w:eastAsia="Calibri" w:cs="Times New Roman"/>
                <w:sz w:val="20"/>
                <w:szCs w:val="20"/>
              </w:rPr>
              <w:t>հանրապետությունում</w:t>
            </w:r>
            <w:r w:rsidRPr="0053423A">
              <w:rPr>
                <w:rFonts w:eastAsia="Calibri" w:cs="Times New Roman"/>
                <w:sz w:val="20"/>
                <w:szCs w:val="20"/>
                <w:lang w:val="af-ZA"/>
              </w:rPr>
              <w:t xml:space="preserve"> </w:t>
            </w:r>
            <w:r w:rsidRPr="0053423A">
              <w:rPr>
                <w:rFonts w:eastAsia="Calibri" w:cs="Times New Roman"/>
                <w:sz w:val="20"/>
                <w:szCs w:val="20"/>
              </w:rPr>
              <w:t>գործում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մարդկանց</w:t>
            </w:r>
            <w:r w:rsidRPr="0053423A">
              <w:rPr>
                <w:rFonts w:eastAsia="Calibri" w:cs="Times New Roman"/>
                <w:sz w:val="20"/>
                <w:szCs w:val="20"/>
                <w:lang w:val="af-ZA"/>
              </w:rPr>
              <w:t xml:space="preserve"> </w:t>
            </w:r>
            <w:r w:rsidRPr="0053423A">
              <w:rPr>
                <w:rFonts w:eastAsia="Calibri" w:cs="Times New Roman"/>
                <w:sz w:val="20"/>
                <w:szCs w:val="20"/>
              </w:rPr>
              <w:t>թրաֆիքինգի</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շահագործման</w:t>
            </w:r>
            <w:r w:rsidRPr="0053423A">
              <w:rPr>
                <w:rFonts w:eastAsia="Calibri" w:cs="Times New Roman"/>
                <w:sz w:val="20"/>
                <w:szCs w:val="20"/>
                <w:lang w:val="af-ZA"/>
              </w:rPr>
              <w:t xml:space="preserve"> </w:t>
            </w:r>
            <w:r w:rsidRPr="0053423A">
              <w:rPr>
                <w:rFonts w:eastAsia="Calibri" w:cs="Times New Roman"/>
                <w:sz w:val="20"/>
                <w:szCs w:val="20"/>
              </w:rPr>
              <w:t>դեմ</w:t>
            </w:r>
            <w:r w:rsidRPr="0053423A">
              <w:rPr>
                <w:rFonts w:eastAsia="Calibri" w:cs="Times New Roman"/>
                <w:sz w:val="20"/>
                <w:szCs w:val="20"/>
                <w:lang w:val="af-ZA"/>
              </w:rPr>
              <w:t xml:space="preserve"> </w:t>
            </w:r>
            <w:r w:rsidRPr="0053423A">
              <w:rPr>
                <w:rFonts w:eastAsia="Calibri" w:cs="Times New Roman"/>
                <w:sz w:val="20"/>
                <w:szCs w:val="20"/>
              </w:rPr>
              <w:t>պայքարի</w:t>
            </w:r>
            <w:r w:rsidRPr="0053423A">
              <w:rPr>
                <w:rFonts w:eastAsia="Calibri" w:cs="Times New Roman"/>
                <w:sz w:val="20"/>
                <w:szCs w:val="20"/>
                <w:lang w:val="af-ZA"/>
              </w:rPr>
              <w:t xml:space="preserve"> </w:t>
            </w:r>
            <w:r w:rsidRPr="0053423A">
              <w:rPr>
                <w:rFonts w:eastAsia="Calibri" w:cs="Times New Roman"/>
                <w:sz w:val="20"/>
                <w:szCs w:val="20"/>
              </w:rPr>
              <w:t>եռաստիճան</w:t>
            </w:r>
            <w:r w:rsidRPr="0053423A">
              <w:rPr>
                <w:rFonts w:eastAsia="Calibri" w:cs="Times New Roman"/>
                <w:sz w:val="20"/>
                <w:szCs w:val="20"/>
                <w:lang w:val="af-ZA"/>
              </w:rPr>
              <w:t xml:space="preserve"> </w:t>
            </w:r>
            <w:r w:rsidRPr="0053423A">
              <w:rPr>
                <w:rFonts w:eastAsia="Calibri" w:cs="Times New Roman"/>
                <w:sz w:val="20"/>
                <w:szCs w:val="20"/>
              </w:rPr>
              <w:t>համակարգ</w:t>
            </w:r>
            <w:r w:rsidRPr="0053423A">
              <w:rPr>
                <w:rFonts w:eastAsia="Calibri" w:cs="Times New Roman"/>
                <w:sz w:val="20"/>
                <w:szCs w:val="20"/>
                <w:lang w:val="af-ZA"/>
              </w:rPr>
              <w:t xml:space="preserve">, </w:t>
            </w:r>
            <w:r w:rsidRPr="0053423A">
              <w:rPr>
                <w:rFonts w:eastAsia="Calibri" w:cs="Times New Roman"/>
                <w:sz w:val="20"/>
                <w:szCs w:val="20"/>
              </w:rPr>
              <w:t>որի</w:t>
            </w:r>
            <w:r w:rsidRPr="0053423A">
              <w:rPr>
                <w:rFonts w:eastAsia="Calibri" w:cs="Times New Roman"/>
                <w:sz w:val="20"/>
                <w:szCs w:val="20"/>
                <w:lang w:val="af-ZA"/>
              </w:rPr>
              <w:t xml:space="preserve"> </w:t>
            </w:r>
            <w:r w:rsidRPr="0053423A">
              <w:rPr>
                <w:rFonts w:eastAsia="Calibri" w:cs="Times New Roman"/>
                <w:sz w:val="20"/>
                <w:szCs w:val="20"/>
              </w:rPr>
              <w:t>միջոցով</w:t>
            </w:r>
            <w:r w:rsidRPr="0053423A">
              <w:rPr>
                <w:rFonts w:eastAsia="Calibri" w:cs="Times New Roman"/>
                <w:sz w:val="20"/>
                <w:szCs w:val="20"/>
                <w:lang w:val="af-ZA"/>
              </w:rPr>
              <w:t xml:space="preserve"> </w:t>
            </w:r>
            <w:r w:rsidRPr="0053423A">
              <w:rPr>
                <w:rFonts w:eastAsia="Calibri" w:cs="Times New Roman"/>
                <w:sz w:val="20"/>
                <w:szCs w:val="20"/>
              </w:rPr>
              <w:t>կազմակերպվում</w:t>
            </w:r>
            <w:r w:rsidRPr="0053423A">
              <w:rPr>
                <w:rFonts w:eastAsia="Calibri" w:cs="Times New Roman"/>
                <w:sz w:val="20"/>
                <w:szCs w:val="20"/>
                <w:lang w:val="af-ZA"/>
              </w:rPr>
              <w:t xml:space="preserve"> </w:t>
            </w:r>
            <w:r w:rsidRPr="0053423A">
              <w:rPr>
                <w:rFonts w:eastAsia="Calibri" w:cs="Times New Roman"/>
                <w:sz w:val="20"/>
                <w:szCs w:val="20"/>
              </w:rPr>
              <w:t>են</w:t>
            </w:r>
            <w:r w:rsidRPr="0053423A">
              <w:rPr>
                <w:rFonts w:eastAsia="Calibri" w:cs="Times New Roman"/>
                <w:sz w:val="20"/>
                <w:szCs w:val="20"/>
                <w:lang w:val="af-ZA"/>
              </w:rPr>
              <w:t xml:space="preserve"> </w:t>
            </w:r>
            <w:r w:rsidRPr="0053423A">
              <w:rPr>
                <w:rFonts w:eastAsia="Calibri" w:cs="Times New Roman"/>
                <w:sz w:val="20"/>
                <w:szCs w:val="20"/>
              </w:rPr>
              <w:t>աշխատանքները</w:t>
            </w:r>
            <w:r w:rsidRPr="0053423A">
              <w:rPr>
                <w:rFonts w:eastAsia="Calibri" w:cs="Times New Roman"/>
                <w:sz w:val="20"/>
                <w:szCs w:val="20"/>
                <w:lang w:val="af-ZA"/>
              </w:rPr>
              <w:t xml:space="preserve">,  </w:t>
            </w:r>
            <w:r w:rsidRPr="0053423A">
              <w:rPr>
                <w:rFonts w:eastAsia="Calibri" w:cs="Times New Roman"/>
                <w:sz w:val="20"/>
                <w:szCs w:val="20"/>
              </w:rPr>
              <w:t>ապահովվում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միջգերատեսչական</w:t>
            </w:r>
            <w:r w:rsidRPr="0053423A">
              <w:rPr>
                <w:rFonts w:eastAsia="Calibri" w:cs="Times New Roman"/>
                <w:sz w:val="20"/>
                <w:szCs w:val="20"/>
                <w:lang w:val="af-ZA"/>
              </w:rPr>
              <w:t xml:space="preserve"> </w:t>
            </w:r>
            <w:r w:rsidRPr="0053423A">
              <w:rPr>
                <w:rFonts w:eastAsia="Calibri" w:cs="Times New Roman"/>
                <w:sz w:val="20"/>
                <w:szCs w:val="20"/>
              </w:rPr>
              <w:t>համագործակցությունը</w:t>
            </w:r>
            <w:r w:rsidRPr="0053423A">
              <w:rPr>
                <w:rFonts w:eastAsia="Calibri" w:cs="Times New Roman"/>
                <w:sz w:val="20"/>
                <w:szCs w:val="20"/>
                <w:lang w:val="af-ZA"/>
              </w:rPr>
              <w:t xml:space="preserve">, </w:t>
            </w:r>
            <w:r w:rsidRPr="0053423A">
              <w:rPr>
                <w:rFonts w:eastAsia="Calibri" w:cs="Times New Roman"/>
                <w:sz w:val="20"/>
                <w:szCs w:val="20"/>
              </w:rPr>
              <w:t>իրականացվում</w:t>
            </w:r>
            <w:r w:rsidRPr="0053423A">
              <w:rPr>
                <w:rFonts w:eastAsia="Calibri" w:cs="Times New Roman"/>
                <w:sz w:val="20"/>
                <w:szCs w:val="20"/>
                <w:lang w:val="af-ZA"/>
              </w:rPr>
              <w:t xml:space="preserve"> </w:t>
            </w:r>
            <w:r w:rsidRPr="0053423A">
              <w:rPr>
                <w:rFonts w:eastAsia="Calibri" w:cs="Times New Roman"/>
                <w:sz w:val="20"/>
                <w:szCs w:val="20"/>
              </w:rPr>
              <w:t>են</w:t>
            </w:r>
            <w:r w:rsidRPr="0053423A">
              <w:rPr>
                <w:rFonts w:eastAsia="Calibri" w:cs="Times New Roman"/>
                <w:sz w:val="20"/>
                <w:szCs w:val="20"/>
                <w:lang w:val="af-ZA"/>
              </w:rPr>
              <w:t xml:space="preserve"> </w:t>
            </w:r>
            <w:r w:rsidRPr="0053423A">
              <w:rPr>
                <w:rFonts w:eastAsia="Calibri" w:cs="Times New Roman"/>
                <w:sz w:val="20"/>
                <w:szCs w:val="20"/>
              </w:rPr>
              <w:t>տարբեր</w:t>
            </w:r>
            <w:r w:rsidRPr="0053423A">
              <w:rPr>
                <w:rFonts w:eastAsia="Calibri" w:cs="Times New Roman"/>
                <w:sz w:val="20"/>
                <w:szCs w:val="20"/>
                <w:lang w:val="af-ZA"/>
              </w:rPr>
              <w:t xml:space="preserve"> </w:t>
            </w:r>
            <w:r w:rsidRPr="0053423A">
              <w:rPr>
                <w:rFonts w:eastAsia="Calibri" w:cs="Times New Roman"/>
                <w:sz w:val="20"/>
                <w:szCs w:val="20"/>
              </w:rPr>
              <w:t>ծրագրեր</w:t>
            </w:r>
            <w:r w:rsidRPr="0053423A">
              <w:rPr>
                <w:rFonts w:eastAsia="Calibri" w:cs="Times New Roman"/>
                <w:sz w:val="20"/>
                <w:szCs w:val="20"/>
                <w:lang w:val="af-ZA"/>
              </w:rPr>
              <w:t xml:space="preserve">: </w:t>
            </w:r>
            <w:r w:rsidRPr="0053423A">
              <w:rPr>
                <w:rFonts w:eastAsia="Calibri" w:cs="Times New Roman"/>
                <w:sz w:val="20"/>
                <w:szCs w:val="20"/>
              </w:rPr>
              <w:t>Աշխատանքներն</w:t>
            </w:r>
            <w:r w:rsidRPr="0053423A">
              <w:rPr>
                <w:rFonts w:eastAsia="Calibri" w:cs="Times New Roman"/>
                <w:sz w:val="20"/>
                <w:szCs w:val="20"/>
                <w:lang w:val="af-ZA"/>
              </w:rPr>
              <w:t xml:space="preserve"> </w:t>
            </w:r>
            <w:r w:rsidRPr="0053423A">
              <w:rPr>
                <w:rFonts w:eastAsia="Calibri" w:cs="Times New Roman"/>
                <w:sz w:val="20"/>
                <w:szCs w:val="20"/>
              </w:rPr>
              <w:t>ուղղված</w:t>
            </w:r>
            <w:r w:rsidRPr="0053423A">
              <w:rPr>
                <w:rFonts w:eastAsia="Calibri" w:cs="Times New Roman"/>
                <w:sz w:val="20"/>
                <w:szCs w:val="20"/>
                <w:lang w:val="af-ZA"/>
              </w:rPr>
              <w:t xml:space="preserve"> </w:t>
            </w:r>
            <w:r w:rsidRPr="0053423A">
              <w:rPr>
                <w:rFonts w:eastAsia="Calibri" w:cs="Times New Roman"/>
                <w:sz w:val="20"/>
                <w:szCs w:val="20"/>
              </w:rPr>
              <w:t>են</w:t>
            </w:r>
            <w:r w:rsidRPr="0053423A">
              <w:rPr>
                <w:rFonts w:eastAsia="Calibri" w:cs="Times New Roman"/>
                <w:sz w:val="20"/>
                <w:szCs w:val="20"/>
                <w:lang w:val="af-ZA"/>
              </w:rPr>
              <w:t xml:space="preserve"> </w:t>
            </w:r>
            <w:r w:rsidRPr="0053423A">
              <w:rPr>
                <w:rFonts w:eastAsia="Calibri" w:cs="Times New Roman"/>
                <w:sz w:val="20"/>
                <w:szCs w:val="20"/>
              </w:rPr>
              <w:t>դեպքերի</w:t>
            </w:r>
            <w:r w:rsidRPr="0053423A">
              <w:rPr>
                <w:rFonts w:eastAsia="Calibri" w:cs="Times New Roman"/>
                <w:sz w:val="20"/>
                <w:szCs w:val="20"/>
                <w:lang w:val="af-ZA"/>
              </w:rPr>
              <w:t xml:space="preserve"> </w:t>
            </w:r>
            <w:r w:rsidRPr="0053423A">
              <w:rPr>
                <w:rFonts w:eastAsia="Calibri" w:cs="Times New Roman"/>
                <w:sz w:val="20"/>
                <w:szCs w:val="20"/>
              </w:rPr>
              <w:t>հայտնաբերմանը</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բացահայտմանը</w:t>
            </w:r>
            <w:r w:rsidRPr="0053423A">
              <w:rPr>
                <w:rFonts w:eastAsia="Calibri" w:cs="Times New Roman"/>
                <w:sz w:val="20"/>
                <w:szCs w:val="20"/>
                <w:lang w:val="af-ZA"/>
              </w:rPr>
              <w:t xml:space="preserve">, </w:t>
            </w:r>
            <w:r w:rsidRPr="0053423A">
              <w:rPr>
                <w:rFonts w:eastAsia="Calibri" w:cs="Times New Roman"/>
                <w:sz w:val="20"/>
                <w:szCs w:val="20"/>
              </w:rPr>
              <w:t>զոհերի</w:t>
            </w:r>
            <w:r w:rsidRPr="0053423A">
              <w:rPr>
                <w:rFonts w:eastAsia="Calibri" w:cs="Times New Roman"/>
                <w:sz w:val="20"/>
                <w:szCs w:val="20"/>
                <w:lang w:val="af-ZA"/>
              </w:rPr>
              <w:t xml:space="preserve"> </w:t>
            </w:r>
            <w:r w:rsidRPr="0053423A">
              <w:rPr>
                <w:rFonts w:eastAsia="Calibri" w:cs="Times New Roman"/>
                <w:sz w:val="20"/>
                <w:szCs w:val="20"/>
              </w:rPr>
              <w:t>նույնացմանը</w:t>
            </w:r>
            <w:r w:rsidRPr="0053423A">
              <w:rPr>
                <w:rFonts w:eastAsia="Calibri" w:cs="Times New Roman"/>
                <w:sz w:val="20"/>
                <w:szCs w:val="20"/>
                <w:lang w:val="af-ZA"/>
              </w:rPr>
              <w:t xml:space="preserve">, </w:t>
            </w:r>
            <w:r w:rsidRPr="0053423A">
              <w:rPr>
                <w:rFonts w:eastAsia="Calibri" w:cs="Times New Roman"/>
                <w:sz w:val="20"/>
                <w:szCs w:val="20"/>
              </w:rPr>
              <w:t>ուղղորդմանը</w:t>
            </w:r>
            <w:r w:rsidRPr="0053423A">
              <w:rPr>
                <w:rFonts w:eastAsia="Calibri" w:cs="Times New Roman"/>
                <w:sz w:val="20"/>
                <w:szCs w:val="20"/>
                <w:lang w:val="af-ZA"/>
              </w:rPr>
              <w:t xml:space="preserve">, </w:t>
            </w:r>
            <w:r w:rsidRPr="0053423A">
              <w:rPr>
                <w:rFonts w:eastAsia="Calibri" w:cs="Times New Roman"/>
                <w:sz w:val="20"/>
                <w:szCs w:val="20"/>
              </w:rPr>
              <w:t>ինչպես</w:t>
            </w:r>
            <w:r w:rsidRPr="0053423A">
              <w:rPr>
                <w:rFonts w:eastAsia="Calibri" w:cs="Times New Roman"/>
                <w:sz w:val="20"/>
                <w:szCs w:val="20"/>
                <w:lang w:val="af-ZA"/>
              </w:rPr>
              <w:t xml:space="preserve"> </w:t>
            </w:r>
            <w:r w:rsidRPr="0053423A">
              <w:rPr>
                <w:rFonts w:eastAsia="Calibri" w:cs="Times New Roman"/>
                <w:sz w:val="20"/>
                <w:szCs w:val="20"/>
              </w:rPr>
              <w:t>նաև</w:t>
            </w:r>
            <w:r w:rsidRPr="0053423A">
              <w:rPr>
                <w:rFonts w:eastAsia="Calibri" w:cs="Times New Roman"/>
                <w:sz w:val="20"/>
                <w:szCs w:val="20"/>
                <w:lang w:val="af-ZA"/>
              </w:rPr>
              <w:t xml:space="preserve"> </w:t>
            </w:r>
            <w:r w:rsidRPr="0053423A">
              <w:rPr>
                <w:rFonts w:eastAsia="Calibri" w:cs="Times New Roman"/>
                <w:sz w:val="20"/>
                <w:szCs w:val="20"/>
              </w:rPr>
              <w:t>թրաֆիքինգի</w:t>
            </w:r>
            <w:r w:rsidRPr="0053423A">
              <w:rPr>
                <w:rFonts w:eastAsia="Calibri" w:cs="Times New Roman"/>
                <w:sz w:val="20"/>
                <w:szCs w:val="20"/>
                <w:lang w:val="af-ZA"/>
              </w:rPr>
              <w:t xml:space="preserve"> </w:t>
            </w:r>
            <w:r w:rsidRPr="0053423A">
              <w:rPr>
                <w:rFonts w:eastAsia="Calibri" w:cs="Times New Roman"/>
                <w:sz w:val="20"/>
                <w:szCs w:val="20"/>
              </w:rPr>
              <w:t>կանխարգելմանը՝</w:t>
            </w:r>
            <w:r w:rsidRPr="0053423A">
              <w:rPr>
                <w:rFonts w:eastAsia="Calibri" w:cs="Times New Roman"/>
                <w:sz w:val="20"/>
                <w:szCs w:val="20"/>
                <w:lang w:val="af-ZA"/>
              </w:rPr>
              <w:t xml:space="preserve"> </w:t>
            </w:r>
            <w:r w:rsidRPr="0053423A">
              <w:rPr>
                <w:rFonts w:eastAsia="Calibri" w:cs="Times New Roman"/>
                <w:sz w:val="20"/>
                <w:szCs w:val="20"/>
              </w:rPr>
              <w:t>մասնագիտական</w:t>
            </w:r>
            <w:r w:rsidRPr="0053423A">
              <w:rPr>
                <w:rFonts w:eastAsia="Calibri" w:cs="Times New Roman"/>
                <w:sz w:val="20"/>
                <w:szCs w:val="20"/>
                <w:lang w:val="af-ZA"/>
              </w:rPr>
              <w:t xml:space="preserve"> </w:t>
            </w:r>
            <w:r w:rsidRPr="0053423A">
              <w:rPr>
                <w:rFonts w:eastAsia="Calibri" w:cs="Times New Roman"/>
                <w:sz w:val="20"/>
                <w:szCs w:val="20"/>
              </w:rPr>
              <w:t>վերապատրաստումների</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իրազեկման</w:t>
            </w:r>
            <w:r w:rsidRPr="0053423A">
              <w:rPr>
                <w:rFonts w:eastAsia="Calibri" w:cs="Times New Roman"/>
                <w:sz w:val="20"/>
                <w:szCs w:val="20"/>
                <w:lang w:val="af-ZA"/>
              </w:rPr>
              <w:t xml:space="preserve"> </w:t>
            </w:r>
            <w:r w:rsidRPr="0053423A">
              <w:rPr>
                <w:rFonts w:eastAsia="Calibri" w:cs="Times New Roman"/>
                <w:sz w:val="20"/>
                <w:szCs w:val="20"/>
              </w:rPr>
              <w:t>աշխատանքների</w:t>
            </w:r>
            <w:r w:rsidRPr="0053423A">
              <w:rPr>
                <w:rFonts w:eastAsia="Calibri" w:cs="Times New Roman"/>
                <w:sz w:val="20"/>
                <w:szCs w:val="20"/>
                <w:lang w:val="af-ZA"/>
              </w:rPr>
              <w:t xml:space="preserve"> </w:t>
            </w:r>
            <w:r w:rsidRPr="0053423A">
              <w:rPr>
                <w:rFonts w:eastAsia="Calibri" w:cs="Times New Roman"/>
                <w:sz w:val="20"/>
                <w:szCs w:val="20"/>
              </w:rPr>
              <w:t>միջոցով</w:t>
            </w:r>
            <w:r w:rsidRPr="0053423A">
              <w:rPr>
                <w:rFonts w:eastAsia="Calibri" w:cs="Times New Roman"/>
                <w:sz w:val="20"/>
                <w:szCs w:val="20"/>
                <w:lang w:val="af-ZA"/>
              </w:rPr>
              <w:t xml:space="preserve">: </w:t>
            </w:r>
            <w:r w:rsidRPr="0053423A">
              <w:rPr>
                <w:rFonts w:eastAsia="Calibri" w:cs="Times New Roman"/>
                <w:sz w:val="20"/>
                <w:szCs w:val="20"/>
              </w:rPr>
              <w:t>Սակայն</w:t>
            </w:r>
            <w:r w:rsidRPr="0053423A">
              <w:rPr>
                <w:rFonts w:eastAsia="Calibri" w:cs="Times New Roman"/>
                <w:sz w:val="20"/>
                <w:szCs w:val="20"/>
                <w:lang w:val="af-ZA"/>
              </w:rPr>
              <w:t xml:space="preserve"> </w:t>
            </w:r>
            <w:r w:rsidRPr="0053423A">
              <w:rPr>
                <w:rFonts w:eastAsia="Calibri" w:cs="Times New Roman"/>
                <w:sz w:val="20"/>
                <w:szCs w:val="20"/>
              </w:rPr>
              <w:t>թրաֆիքինգի</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շահագործման</w:t>
            </w:r>
            <w:r w:rsidRPr="0053423A">
              <w:rPr>
                <w:rFonts w:eastAsia="Calibri" w:cs="Times New Roman"/>
                <w:sz w:val="20"/>
                <w:szCs w:val="20"/>
                <w:lang w:val="af-ZA"/>
              </w:rPr>
              <w:t xml:space="preserve"> </w:t>
            </w:r>
            <w:r w:rsidRPr="0053423A">
              <w:rPr>
                <w:rFonts w:eastAsia="Calibri" w:cs="Times New Roman"/>
                <w:sz w:val="20"/>
                <w:szCs w:val="20"/>
              </w:rPr>
              <w:t>ձևերը</w:t>
            </w:r>
            <w:r w:rsidRPr="0053423A">
              <w:rPr>
                <w:rFonts w:eastAsia="Calibri" w:cs="Times New Roman"/>
                <w:sz w:val="20"/>
                <w:szCs w:val="20"/>
                <w:lang w:val="af-ZA"/>
              </w:rPr>
              <w:t xml:space="preserve"> </w:t>
            </w:r>
            <w:r w:rsidRPr="0053423A">
              <w:rPr>
                <w:rFonts w:eastAsia="Calibri" w:cs="Times New Roman"/>
                <w:sz w:val="20"/>
                <w:szCs w:val="20"/>
              </w:rPr>
              <w:t>ենթարկվել</w:t>
            </w:r>
            <w:r w:rsidRPr="0053423A">
              <w:rPr>
                <w:rFonts w:eastAsia="Calibri" w:cs="Times New Roman"/>
                <w:sz w:val="20"/>
                <w:szCs w:val="20"/>
                <w:lang w:val="af-ZA"/>
              </w:rPr>
              <w:t xml:space="preserve"> </w:t>
            </w:r>
            <w:r w:rsidRPr="0053423A">
              <w:rPr>
                <w:rFonts w:eastAsia="Calibri" w:cs="Times New Roman"/>
                <w:sz w:val="20"/>
                <w:szCs w:val="20"/>
              </w:rPr>
              <w:t>են</w:t>
            </w:r>
            <w:r w:rsidRPr="0053423A">
              <w:rPr>
                <w:rFonts w:eastAsia="Calibri" w:cs="Times New Roman"/>
                <w:sz w:val="20"/>
                <w:szCs w:val="20"/>
                <w:lang w:val="af-ZA"/>
              </w:rPr>
              <w:t xml:space="preserve"> </w:t>
            </w:r>
            <w:r w:rsidRPr="0053423A">
              <w:rPr>
                <w:rFonts w:eastAsia="Calibri" w:cs="Times New Roman"/>
                <w:sz w:val="20"/>
                <w:szCs w:val="20"/>
              </w:rPr>
              <w:t>փոփոխությունների</w:t>
            </w:r>
            <w:r w:rsidRPr="0053423A">
              <w:rPr>
                <w:rFonts w:eastAsia="Calibri" w:cs="Times New Roman"/>
                <w:sz w:val="20"/>
                <w:szCs w:val="20"/>
                <w:lang w:val="af-ZA"/>
              </w:rPr>
              <w:t xml:space="preserve">, </w:t>
            </w:r>
            <w:r w:rsidRPr="0053423A">
              <w:rPr>
                <w:rFonts w:eastAsia="Calibri" w:cs="Times New Roman"/>
                <w:sz w:val="20"/>
                <w:szCs w:val="20"/>
              </w:rPr>
              <w:t>դրանց</w:t>
            </w:r>
            <w:r w:rsidRPr="0053423A">
              <w:rPr>
                <w:rFonts w:eastAsia="Calibri" w:cs="Times New Roman"/>
                <w:sz w:val="20"/>
                <w:szCs w:val="20"/>
                <w:lang w:val="af-ZA"/>
              </w:rPr>
              <w:t xml:space="preserve"> </w:t>
            </w:r>
            <w:r w:rsidRPr="0053423A">
              <w:rPr>
                <w:rFonts w:eastAsia="Calibri" w:cs="Times New Roman"/>
                <w:sz w:val="20"/>
                <w:szCs w:val="20"/>
              </w:rPr>
              <w:t>նոր</w:t>
            </w:r>
            <w:r w:rsidRPr="0053423A">
              <w:rPr>
                <w:rFonts w:eastAsia="Calibri" w:cs="Times New Roman"/>
                <w:sz w:val="20"/>
                <w:szCs w:val="20"/>
                <w:lang w:val="af-ZA"/>
              </w:rPr>
              <w:t xml:space="preserve"> </w:t>
            </w:r>
            <w:r w:rsidRPr="0053423A">
              <w:rPr>
                <w:rFonts w:eastAsia="Calibri" w:cs="Times New Roman"/>
                <w:sz w:val="20"/>
                <w:szCs w:val="20"/>
              </w:rPr>
              <w:t>դրսևորումները</w:t>
            </w:r>
            <w:r w:rsidRPr="0053423A">
              <w:rPr>
                <w:rFonts w:eastAsia="Calibri" w:cs="Times New Roman"/>
                <w:sz w:val="20"/>
                <w:szCs w:val="20"/>
                <w:lang w:val="af-ZA"/>
              </w:rPr>
              <w:t xml:space="preserve">  </w:t>
            </w:r>
            <w:r w:rsidRPr="0053423A">
              <w:rPr>
                <w:rFonts w:eastAsia="Calibri" w:cs="Times New Roman"/>
                <w:sz w:val="20"/>
                <w:szCs w:val="20"/>
              </w:rPr>
              <w:t>պահանջում</w:t>
            </w:r>
            <w:r w:rsidRPr="0053423A">
              <w:rPr>
                <w:rFonts w:eastAsia="Calibri" w:cs="Times New Roman"/>
                <w:sz w:val="20"/>
                <w:szCs w:val="20"/>
                <w:lang w:val="af-ZA"/>
              </w:rPr>
              <w:t xml:space="preserve"> </w:t>
            </w:r>
            <w:r w:rsidRPr="0053423A">
              <w:rPr>
                <w:rFonts w:eastAsia="Calibri" w:cs="Times New Roman"/>
                <w:sz w:val="20"/>
                <w:szCs w:val="20"/>
              </w:rPr>
              <w:t>են</w:t>
            </w:r>
            <w:r w:rsidRPr="0053423A">
              <w:rPr>
                <w:rFonts w:eastAsia="Calibri" w:cs="Times New Roman"/>
                <w:sz w:val="20"/>
                <w:szCs w:val="20"/>
                <w:lang w:val="af-ZA"/>
              </w:rPr>
              <w:t xml:space="preserve"> </w:t>
            </w:r>
            <w:r w:rsidRPr="0053423A">
              <w:rPr>
                <w:rFonts w:eastAsia="Calibri" w:cs="Times New Roman"/>
                <w:sz w:val="20"/>
                <w:szCs w:val="20"/>
              </w:rPr>
              <w:t>լրացուցիչ</w:t>
            </w:r>
            <w:r w:rsidRPr="0053423A">
              <w:rPr>
                <w:rFonts w:eastAsia="Calibri" w:cs="Times New Roman"/>
                <w:sz w:val="20"/>
                <w:szCs w:val="20"/>
                <w:lang w:val="af-ZA"/>
              </w:rPr>
              <w:t xml:space="preserve"> </w:t>
            </w:r>
            <w:r w:rsidRPr="0053423A">
              <w:rPr>
                <w:rFonts w:eastAsia="Calibri" w:cs="Times New Roman"/>
                <w:sz w:val="20"/>
                <w:szCs w:val="20"/>
              </w:rPr>
              <w:t>պարզաբանում՝</w:t>
            </w:r>
            <w:r w:rsidRPr="0053423A">
              <w:rPr>
                <w:rFonts w:eastAsia="Calibri" w:cs="Times New Roman"/>
                <w:sz w:val="20"/>
                <w:szCs w:val="20"/>
                <w:lang w:val="af-ZA"/>
              </w:rPr>
              <w:t xml:space="preserve"> </w:t>
            </w:r>
            <w:r w:rsidRPr="0053423A">
              <w:rPr>
                <w:rFonts w:eastAsia="Calibri" w:cs="Times New Roman"/>
                <w:sz w:val="20"/>
                <w:szCs w:val="20"/>
              </w:rPr>
              <w:t>յուրաքանչյուր</w:t>
            </w:r>
            <w:r w:rsidRPr="0053423A">
              <w:rPr>
                <w:rFonts w:eastAsia="Calibri" w:cs="Times New Roman"/>
                <w:sz w:val="20"/>
                <w:szCs w:val="20"/>
                <w:lang w:val="af-ZA"/>
              </w:rPr>
              <w:t xml:space="preserve"> </w:t>
            </w:r>
            <w:r w:rsidRPr="0053423A">
              <w:rPr>
                <w:rFonts w:eastAsia="Calibri" w:cs="Times New Roman"/>
                <w:sz w:val="20"/>
                <w:szCs w:val="20"/>
              </w:rPr>
              <w:t>դեպքը</w:t>
            </w:r>
            <w:r w:rsidRPr="0053423A">
              <w:rPr>
                <w:rFonts w:eastAsia="Calibri" w:cs="Times New Roman"/>
                <w:sz w:val="20"/>
                <w:szCs w:val="20"/>
                <w:lang w:val="af-ZA"/>
              </w:rPr>
              <w:t xml:space="preserve"> </w:t>
            </w:r>
            <w:r w:rsidRPr="0053423A">
              <w:rPr>
                <w:rFonts w:eastAsia="Calibri" w:cs="Times New Roman"/>
                <w:sz w:val="20"/>
                <w:szCs w:val="20"/>
              </w:rPr>
              <w:t>գնահատելու</w:t>
            </w:r>
            <w:r w:rsidRPr="0053423A">
              <w:rPr>
                <w:rFonts w:eastAsia="Calibri" w:cs="Times New Roman"/>
                <w:sz w:val="20"/>
                <w:szCs w:val="20"/>
                <w:lang w:val="af-ZA"/>
              </w:rPr>
              <w:t xml:space="preserve"> </w:t>
            </w:r>
            <w:r w:rsidRPr="0053423A">
              <w:rPr>
                <w:rFonts w:eastAsia="Calibri" w:cs="Times New Roman"/>
                <w:sz w:val="20"/>
                <w:szCs w:val="20"/>
              </w:rPr>
              <w:t>համար</w:t>
            </w:r>
            <w:r w:rsidRPr="0053423A">
              <w:rPr>
                <w:rFonts w:eastAsia="Calibri" w:cs="Times New Roman"/>
                <w:sz w:val="20"/>
                <w:szCs w:val="20"/>
                <w:lang w:val="af-ZA"/>
              </w:rPr>
              <w:t xml:space="preserve">: </w:t>
            </w:r>
            <w:r w:rsidRPr="0053423A">
              <w:rPr>
                <w:rFonts w:eastAsia="Calibri" w:cs="Times New Roman"/>
                <w:sz w:val="20"/>
                <w:szCs w:val="20"/>
              </w:rPr>
              <w:t>Որոշակի</w:t>
            </w:r>
            <w:r w:rsidRPr="0053423A">
              <w:rPr>
                <w:rFonts w:eastAsia="Calibri" w:cs="Times New Roman"/>
                <w:sz w:val="20"/>
                <w:szCs w:val="20"/>
                <w:lang w:val="af-ZA"/>
              </w:rPr>
              <w:t xml:space="preserve"> </w:t>
            </w:r>
            <w:r w:rsidRPr="0053423A">
              <w:rPr>
                <w:rFonts w:eastAsia="Calibri" w:cs="Times New Roman"/>
                <w:sz w:val="20"/>
                <w:szCs w:val="20"/>
              </w:rPr>
              <w:t>բարդություններ</w:t>
            </w:r>
            <w:r w:rsidRPr="0053423A">
              <w:rPr>
                <w:rFonts w:eastAsia="Calibri" w:cs="Times New Roman"/>
                <w:sz w:val="20"/>
                <w:szCs w:val="20"/>
                <w:lang w:val="af-ZA"/>
              </w:rPr>
              <w:t xml:space="preserve"> </w:t>
            </w:r>
            <w:r w:rsidRPr="0053423A">
              <w:rPr>
                <w:rFonts w:eastAsia="Calibri" w:cs="Times New Roman"/>
                <w:sz w:val="20"/>
                <w:szCs w:val="20"/>
              </w:rPr>
              <w:t>առաջանում</w:t>
            </w:r>
            <w:r w:rsidRPr="0053423A">
              <w:rPr>
                <w:rFonts w:eastAsia="Calibri" w:cs="Times New Roman"/>
                <w:sz w:val="20"/>
                <w:szCs w:val="20"/>
                <w:lang w:val="af-ZA"/>
              </w:rPr>
              <w:t xml:space="preserve"> </w:t>
            </w:r>
            <w:r w:rsidRPr="0053423A">
              <w:rPr>
                <w:rFonts w:eastAsia="Calibri" w:cs="Times New Roman"/>
                <w:sz w:val="20"/>
                <w:szCs w:val="20"/>
              </w:rPr>
              <w:t>են</w:t>
            </w:r>
            <w:r w:rsidRPr="0053423A">
              <w:rPr>
                <w:rFonts w:eastAsia="Calibri" w:cs="Times New Roman"/>
                <w:sz w:val="20"/>
                <w:szCs w:val="20"/>
                <w:lang w:val="af-ZA"/>
              </w:rPr>
              <w:t xml:space="preserve"> </w:t>
            </w:r>
            <w:r w:rsidRPr="0053423A">
              <w:rPr>
                <w:rFonts w:eastAsia="Calibri" w:cs="Times New Roman"/>
                <w:sz w:val="20"/>
                <w:szCs w:val="20"/>
              </w:rPr>
              <w:t>նաև</w:t>
            </w:r>
            <w:r w:rsidRPr="0053423A">
              <w:rPr>
                <w:rFonts w:eastAsia="Calibri" w:cs="Times New Roman"/>
                <w:sz w:val="20"/>
                <w:szCs w:val="20"/>
                <w:lang w:val="af-ZA"/>
              </w:rPr>
              <w:t xml:space="preserve"> </w:t>
            </w:r>
            <w:r w:rsidRPr="0053423A">
              <w:rPr>
                <w:rFonts w:eastAsia="Calibri" w:cs="Times New Roman"/>
                <w:sz w:val="20"/>
                <w:szCs w:val="20"/>
              </w:rPr>
              <w:t>երեխաների</w:t>
            </w:r>
            <w:r w:rsidRPr="0053423A">
              <w:rPr>
                <w:rFonts w:eastAsia="Calibri" w:cs="Times New Roman"/>
                <w:sz w:val="20"/>
                <w:szCs w:val="20"/>
                <w:lang w:val="af-ZA"/>
              </w:rPr>
              <w:t xml:space="preserve"> </w:t>
            </w:r>
            <w:r w:rsidRPr="0053423A">
              <w:rPr>
                <w:rFonts w:eastAsia="Calibri" w:cs="Times New Roman"/>
                <w:sz w:val="20"/>
                <w:szCs w:val="20"/>
              </w:rPr>
              <w:t>պաշտպանության</w:t>
            </w:r>
            <w:r w:rsidRPr="0053423A">
              <w:rPr>
                <w:rFonts w:eastAsia="Calibri" w:cs="Times New Roman"/>
                <w:sz w:val="20"/>
                <w:szCs w:val="20"/>
                <w:lang w:val="af-ZA"/>
              </w:rPr>
              <w:t xml:space="preserve"> </w:t>
            </w:r>
            <w:r w:rsidRPr="0053423A">
              <w:rPr>
                <w:rFonts w:eastAsia="Calibri" w:cs="Times New Roman"/>
                <w:sz w:val="20"/>
                <w:szCs w:val="20"/>
              </w:rPr>
              <w:t>մեխանիզմների</w:t>
            </w:r>
            <w:r w:rsidRPr="0053423A">
              <w:rPr>
                <w:rFonts w:eastAsia="Calibri" w:cs="Times New Roman"/>
                <w:sz w:val="20"/>
                <w:szCs w:val="20"/>
                <w:lang w:val="af-ZA"/>
              </w:rPr>
              <w:t xml:space="preserve"> </w:t>
            </w:r>
            <w:r w:rsidRPr="0053423A">
              <w:rPr>
                <w:rFonts w:eastAsia="Calibri" w:cs="Times New Roman"/>
                <w:sz w:val="20"/>
                <w:szCs w:val="20"/>
              </w:rPr>
              <w:t>անկատարության</w:t>
            </w:r>
            <w:r w:rsidRPr="0053423A">
              <w:rPr>
                <w:rFonts w:eastAsia="Calibri" w:cs="Times New Roman"/>
                <w:sz w:val="20"/>
                <w:szCs w:val="20"/>
                <w:lang w:val="af-ZA"/>
              </w:rPr>
              <w:t xml:space="preserve"> </w:t>
            </w:r>
            <w:r w:rsidRPr="0053423A">
              <w:rPr>
                <w:rFonts w:eastAsia="Calibri" w:cs="Times New Roman"/>
                <w:sz w:val="20"/>
                <w:szCs w:val="20"/>
              </w:rPr>
              <w:t>հետ</w:t>
            </w:r>
            <w:r w:rsidRPr="0053423A">
              <w:rPr>
                <w:rFonts w:eastAsia="Calibri" w:cs="Times New Roman"/>
                <w:sz w:val="20"/>
                <w:szCs w:val="20"/>
                <w:lang w:val="af-ZA"/>
              </w:rPr>
              <w:t>:</w:t>
            </w:r>
          </w:p>
          <w:p w:rsidR="00514E01" w:rsidRPr="0053423A" w:rsidRDefault="00514E01" w:rsidP="00A67858">
            <w:pPr>
              <w:spacing w:line="276" w:lineRule="auto"/>
              <w:jc w:val="both"/>
              <w:rPr>
                <w:rFonts w:eastAsia="Calibri" w:cs="Times New Roman"/>
                <w:b/>
                <w:bCs/>
                <w:sz w:val="20"/>
                <w:szCs w:val="20"/>
                <w:lang w:val="af-ZA"/>
              </w:rPr>
            </w:pPr>
            <w:r w:rsidRPr="0053423A">
              <w:rPr>
                <w:rFonts w:eastAsia="Calibri" w:cs="Times New Roman"/>
                <w:b/>
                <w:bCs/>
                <w:sz w:val="20"/>
                <w:szCs w:val="20"/>
                <w:lang w:val="af-ZA"/>
              </w:rPr>
              <w:t>1.2.</w:t>
            </w:r>
            <w:r w:rsidRPr="0053423A">
              <w:rPr>
                <w:rFonts w:eastAsia="Calibri" w:cs="Times New Roman"/>
                <w:b/>
                <w:bCs/>
                <w:sz w:val="20"/>
                <w:szCs w:val="20"/>
                <w:lang w:val="af-ZA"/>
              </w:rPr>
              <w:tab/>
              <w:t>Առկա խնդիրների առաջարկվող լուծումները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Նախագ</w:t>
            </w:r>
            <w:r w:rsidRPr="0053423A">
              <w:rPr>
                <w:rFonts w:eastAsia="Calibri" w:cs="Times New Roman"/>
                <w:sz w:val="20"/>
                <w:szCs w:val="20"/>
              </w:rPr>
              <w:t>իծը</w:t>
            </w:r>
            <w:r w:rsidRPr="0053423A">
              <w:rPr>
                <w:rFonts w:eastAsia="Calibri" w:cs="Times New Roman"/>
                <w:sz w:val="20"/>
                <w:szCs w:val="20"/>
                <w:lang w:val="af-ZA"/>
              </w:rPr>
              <w:t xml:space="preserve"> </w:t>
            </w:r>
            <w:r w:rsidRPr="0053423A">
              <w:rPr>
                <w:rFonts w:eastAsia="Calibri" w:cs="Times New Roman"/>
                <w:sz w:val="20"/>
                <w:szCs w:val="20"/>
              </w:rPr>
              <w:t>հնարավորություն</w:t>
            </w:r>
            <w:r w:rsidRPr="0053423A">
              <w:rPr>
                <w:rFonts w:eastAsia="Calibri" w:cs="Times New Roman"/>
                <w:sz w:val="20"/>
                <w:szCs w:val="20"/>
                <w:lang w:val="af-ZA"/>
              </w:rPr>
              <w:t xml:space="preserve"> </w:t>
            </w:r>
            <w:r w:rsidRPr="0053423A">
              <w:rPr>
                <w:rFonts w:eastAsia="Calibri" w:cs="Times New Roman"/>
                <w:sz w:val="20"/>
                <w:szCs w:val="20"/>
              </w:rPr>
              <w:t>կտա</w:t>
            </w:r>
            <w:r w:rsidRPr="0053423A">
              <w:rPr>
                <w:rFonts w:eastAsia="Calibri" w:cs="Times New Roman"/>
                <w:sz w:val="20"/>
                <w:szCs w:val="20"/>
                <w:lang w:val="af-ZA"/>
              </w:rPr>
              <w:t xml:space="preserve"> </w:t>
            </w:r>
            <w:r w:rsidRPr="0053423A">
              <w:rPr>
                <w:rFonts w:eastAsia="Calibri" w:cs="Times New Roman"/>
                <w:sz w:val="20"/>
                <w:szCs w:val="20"/>
              </w:rPr>
              <w:t>նոր</w:t>
            </w:r>
            <w:r w:rsidRPr="0053423A">
              <w:rPr>
                <w:rFonts w:eastAsia="Calibri" w:cs="Times New Roman"/>
                <w:sz w:val="20"/>
                <w:szCs w:val="20"/>
                <w:lang w:val="af-ZA"/>
              </w:rPr>
              <w:t xml:space="preserve"> </w:t>
            </w:r>
            <w:r w:rsidRPr="0053423A">
              <w:rPr>
                <w:rFonts w:eastAsia="Calibri" w:cs="Times New Roman"/>
                <w:sz w:val="20"/>
                <w:szCs w:val="20"/>
              </w:rPr>
              <w:t>մոտեցումներ</w:t>
            </w:r>
            <w:r w:rsidRPr="0053423A">
              <w:rPr>
                <w:rFonts w:eastAsia="Calibri" w:cs="Times New Roman"/>
                <w:sz w:val="20"/>
                <w:szCs w:val="20"/>
                <w:lang w:val="af-ZA"/>
              </w:rPr>
              <w:t xml:space="preserve"> </w:t>
            </w:r>
            <w:r w:rsidRPr="0053423A">
              <w:rPr>
                <w:rFonts w:eastAsia="Calibri" w:cs="Times New Roman"/>
                <w:sz w:val="20"/>
                <w:szCs w:val="20"/>
              </w:rPr>
              <w:t>դրսևորել</w:t>
            </w:r>
            <w:r w:rsidRPr="0053423A">
              <w:rPr>
                <w:rFonts w:eastAsia="Calibri" w:cs="Times New Roman"/>
                <w:sz w:val="20"/>
                <w:szCs w:val="20"/>
                <w:lang w:val="af-ZA"/>
              </w:rPr>
              <w:t xml:space="preserve">, </w:t>
            </w:r>
            <w:r w:rsidRPr="0053423A">
              <w:rPr>
                <w:rFonts w:eastAsia="Calibri" w:cs="Times New Roman"/>
                <w:sz w:val="20"/>
                <w:szCs w:val="20"/>
              </w:rPr>
              <w:t>տարանջատել</w:t>
            </w:r>
            <w:r w:rsidRPr="0053423A">
              <w:rPr>
                <w:rFonts w:eastAsia="Calibri" w:cs="Times New Roman"/>
                <w:sz w:val="20"/>
                <w:szCs w:val="20"/>
                <w:lang w:val="af-ZA"/>
              </w:rPr>
              <w:t xml:space="preserve"> </w:t>
            </w:r>
            <w:r w:rsidRPr="0053423A">
              <w:rPr>
                <w:rFonts w:eastAsia="Calibri" w:cs="Times New Roman"/>
                <w:sz w:val="20"/>
                <w:szCs w:val="20"/>
              </w:rPr>
              <w:t>թրաֆիքինգի</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շահագործման</w:t>
            </w:r>
            <w:r w:rsidRPr="0053423A">
              <w:rPr>
                <w:rFonts w:eastAsia="Calibri" w:cs="Times New Roman"/>
                <w:sz w:val="20"/>
                <w:szCs w:val="20"/>
                <w:lang w:val="af-ZA"/>
              </w:rPr>
              <w:t xml:space="preserve"> </w:t>
            </w:r>
            <w:r w:rsidRPr="0053423A">
              <w:rPr>
                <w:rFonts w:eastAsia="Calibri" w:cs="Times New Roman"/>
                <w:sz w:val="20"/>
                <w:szCs w:val="20"/>
              </w:rPr>
              <w:t>դեպքերը</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ձևերը</w:t>
            </w:r>
            <w:r w:rsidRPr="0053423A">
              <w:rPr>
                <w:rFonts w:eastAsia="Calibri" w:cs="Times New Roman"/>
                <w:sz w:val="20"/>
                <w:szCs w:val="20"/>
                <w:lang w:val="af-ZA"/>
              </w:rPr>
              <w:t xml:space="preserve">, </w:t>
            </w:r>
            <w:r w:rsidRPr="0053423A">
              <w:rPr>
                <w:rFonts w:eastAsia="Calibri" w:cs="Times New Roman"/>
                <w:sz w:val="20"/>
                <w:szCs w:val="20"/>
              </w:rPr>
              <w:t>սահմանել</w:t>
            </w:r>
            <w:r w:rsidRPr="0053423A">
              <w:rPr>
                <w:rFonts w:eastAsia="Calibri" w:cs="Times New Roman"/>
                <w:sz w:val="20"/>
                <w:szCs w:val="20"/>
                <w:lang w:val="af-ZA"/>
              </w:rPr>
              <w:t xml:space="preserve"> </w:t>
            </w:r>
            <w:r w:rsidRPr="0053423A">
              <w:rPr>
                <w:rFonts w:eastAsia="Calibri" w:cs="Times New Roman"/>
                <w:sz w:val="20"/>
                <w:szCs w:val="20"/>
              </w:rPr>
              <w:t>ուղղորդման</w:t>
            </w:r>
            <w:r w:rsidRPr="0053423A">
              <w:rPr>
                <w:rFonts w:eastAsia="Calibri" w:cs="Times New Roman"/>
                <w:sz w:val="20"/>
                <w:szCs w:val="20"/>
                <w:lang w:val="af-ZA"/>
              </w:rPr>
              <w:t xml:space="preserve"> </w:t>
            </w:r>
            <w:r w:rsidRPr="0053423A">
              <w:rPr>
                <w:rFonts w:eastAsia="Calibri" w:cs="Times New Roman"/>
                <w:sz w:val="20"/>
                <w:szCs w:val="20"/>
              </w:rPr>
              <w:t>մեխանիզմներ</w:t>
            </w:r>
            <w:r w:rsidRPr="0053423A">
              <w:rPr>
                <w:rFonts w:eastAsia="Calibri" w:cs="Times New Roman"/>
                <w:sz w:val="20"/>
                <w:szCs w:val="20"/>
                <w:lang w:val="af-ZA"/>
              </w:rPr>
              <w:t xml:space="preserve">, </w:t>
            </w:r>
            <w:r w:rsidRPr="0053423A">
              <w:rPr>
                <w:rFonts w:eastAsia="Calibri" w:cs="Times New Roman"/>
                <w:sz w:val="20"/>
                <w:szCs w:val="20"/>
              </w:rPr>
              <w:t>ելնելով</w:t>
            </w:r>
            <w:r w:rsidRPr="0053423A">
              <w:rPr>
                <w:rFonts w:eastAsia="Calibri" w:cs="Times New Roman"/>
                <w:sz w:val="20"/>
                <w:szCs w:val="20"/>
                <w:lang w:val="af-ZA"/>
              </w:rPr>
              <w:t xml:space="preserve"> </w:t>
            </w:r>
            <w:r w:rsidRPr="0053423A">
              <w:rPr>
                <w:rFonts w:eastAsia="Calibri" w:cs="Times New Roman"/>
                <w:sz w:val="20"/>
                <w:szCs w:val="20"/>
              </w:rPr>
              <w:t>զոհի</w:t>
            </w:r>
            <w:r w:rsidRPr="0053423A">
              <w:rPr>
                <w:rFonts w:eastAsia="Calibri" w:cs="Times New Roman"/>
                <w:sz w:val="20"/>
                <w:szCs w:val="20"/>
                <w:lang w:val="af-ZA"/>
              </w:rPr>
              <w:t xml:space="preserve"> </w:t>
            </w:r>
            <w:r w:rsidRPr="0053423A">
              <w:rPr>
                <w:rFonts w:eastAsia="Calibri" w:cs="Times New Roman"/>
                <w:sz w:val="20"/>
                <w:szCs w:val="20"/>
              </w:rPr>
              <w:t>տարիքային</w:t>
            </w:r>
            <w:r w:rsidRPr="0053423A">
              <w:rPr>
                <w:rFonts w:eastAsia="Calibri" w:cs="Times New Roman"/>
                <w:sz w:val="20"/>
                <w:szCs w:val="20"/>
                <w:lang w:val="af-ZA"/>
              </w:rPr>
              <w:t xml:space="preserve"> </w:t>
            </w:r>
            <w:r w:rsidRPr="0053423A">
              <w:rPr>
                <w:rFonts w:eastAsia="Calibri" w:cs="Times New Roman"/>
                <w:sz w:val="20"/>
                <w:szCs w:val="20"/>
              </w:rPr>
              <w:t>առանձնահատկություններից</w:t>
            </w:r>
            <w:r w:rsidRPr="0053423A">
              <w:rPr>
                <w:rFonts w:eastAsia="Calibri" w:cs="Times New Roman"/>
                <w:sz w:val="20"/>
                <w:szCs w:val="20"/>
                <w:lang w:val="af-ZA"/>
              </w:rPr>
              <w:t xml:space="preserve">, </w:t>
            </w:r>
            <w:r w:rsidRPr="0053423A">
              <w:rPr>
                <w:rFonts w:eastAsia="Calibri" w:cs="Times New Roman"/>
                <w:sz w:val="20"/>
                <w:szCs w:val="20"/>
              </w:rPr>
              <w:t>տալ</w:t>
            </w:r>
            <w:r w:rsidRPr="0053423A">
              <w:rPr>
                <w:rFonts w:eastAsia="Calibri" w:cs="Times New Roman"/>
                <w:sz w:val="20"/>
                <w:szCs w:val="20"/>
                <w:lang w:val="af-ZA"/>
              </w:rPr>
              <w:t xml:space="preserve"> </w:t>
            </w:r>
            <w:r w:rsidRPr="0053423A">
              <w:rPr>
                <w:rFonts w:eastAsia="Calibri" w:cs="Times New Roman"/>
                <w:sz w:val="20"/>
                <w:szCs w:val="20"/>
              </w:rPr>
              <w:t>օրենսդրական</w:t>
            </w:r>
            <w:r w:rsidRPr="0053423A">
              <w:rPr>
                <w:rFonts w:eastAsia="Calibri" w:cs="Times New Roman"/>
                <w:sz w:val="20"/>
                <w:szCs w:val="20"/>
                <w:lang w:val="af-ZA"/>
              </w:rPr>
              <w:t xml:space="preserve"> </w:t>
            </w:r>
            <w:r w:rsidRPr="0053423A">
              <w:rPr>
                <w:rFonts w:eastAsia="Calibri" w:cs="Times New Roman"/>
                <w:sz w:val="20"/>
                <w:szCs w:val="20"/>
              </w:rPr>
              <w:t>նոր</w:t>
            </w:r>
            <w:r w:rsidRPr="0053423A">
              <w:rPr>
                <w:rFonts w:eastAsia="Calibri" w:cs="Times New Roman"/>
                <w:sz w:val="20"/>
                <w:szCs w:val="20"/>
                <w:lang w:val="af-ZA"/>
              </w:rPr>
              <w:t xml:space="preserve"> </w:t>
            </w:r>
            <w:r w:rsidRPr="0053423A">
              <w:rPr>
                <w:rFonts w:eastAsia="Calibri" w:cs="Times New Roman"/>
                <w:sz w:val="20"/>
                <w:szCs w:val="20"/>
              </w:rPr>
              <w:t>կարգավորումներ</w:t>
            </w:r>
            <w:r w:rsidRPr="0053423A">
              <w:rPr>
                <w:rFonts w:eastAsia="Calibri" w:cs="Times New Roman"/>
                <w:sz w:val="20"/>
                <w:szCs w:val="20"/>
                <w:lang w:val="hy-AM"/>
              </w:rPr>
              <w:t>:</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Calibri" w:cs="Times New Roman"/>
                <w:sz w:val="20"/>
                <w:szCs w:val="20"/>
                <w:lang w:val="hy-AM"/>
              </w:rPr>
              <w:t>Նախագծով ակնկալվում է բարելավել թրաֆիքինգի և շահագործման զոհերի նույնացման և ուղղորդման գործընթացները, բարձրացնել ոլորտում աշխատող պատասխանատուների մասնագիտական որակը և պատրաստվածությունը:</w:t>
            </w:r>
          </w:p>
        </w:tc>
      </w:tr>
      <w:tr w:rsidR="00514E01" w:rsidRPr="00DE2EFA" w:rsidTr="00BC61ED">
        <w:tc>
          <w:tcPr>
            <w:tcW w:w="630" w:type="dxa"/>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13</w:t>
            </w:r>
          </w:p>
        </w:tc>
        <w:tc>
          <w:tcPr>
            <w:tcW w:w="10890" w:type="dxa"/>
          </w:tcPr>
          <w:p w:rsidR="00514E01" w:rsidRPr="0053423A" w:rsidRDefault="00514E01" w:rsidP="00A67858">
            <w:pPr>
              <w:spacing w:line="276" w:lineRule="auto"/>
              <w:jc w:val="both"/>
              <w:rPr>
                <w:rFonts w:eastAsia="Calibri" w:cs="Times New Roman"/>
                <w:b/>
                <w:sz w:val="20"/>
                <w:szCs w:val="20"/>
                <w:u w:val="single"/>
                <w:lang w:val="hy-AM"/>
              </w:rPr>
            </w:pPr>
            <w:r w:rsidRPr="0053423A">
              <w:rPr>
                <w:rFonts w:eastAsia="Calibri" w:cs="Times New Roman"/>
                <w:b/>
                <w:sz w:val="20"/>
                <w:szCs w:val="20"/>
                <w:u w:val="single"/>
                <w:lang w:val="hy-AM"/>
              </w:rPr>
              <w:t>13.1 «Սեռական շահագործումից և սեռական բնույթի չարաշահումներից երեխաներին պաշտպանելու մասին» Եվրոպայի Խորհրդի կոնվենցիայի վավերացմանն ուղղված միջոցառումներին մասնակցություն</w:t>
            </w:r>
          </w:p>
          <w:p w:rsidR="00514E01" w:rsidRPr="0053423A" w:rsidRDefault="00514E01" w:rsidP="00A67858">
            <w:pPr>
              <w:spacing w:line="276" w:lineRule="auto"/>
              <w:jc w:val="both"/>
              <w:rPr>
                <w:rFonts w:eastAsia="Calibri" w:cs="Times New Roman"/>
                <w:b/>
                <w:sz w:val="20"/>
                <w:szCs w:val="20"/>
                <w:u w:val="single"/>
                <w:lang w:val="hy-AM"/>
              </w:rPr>
            </w:pPr>
          </w:p>
          <w:p w:rsidR="00514E01" w:rsidRPr="0053423A" w:rsidRDefault="00514E01" w:rsidP="00A67858">
            <w:pPr>
              <w:spacing w:line="276" w:lineRule="auto"/>
              <w:jc w:val="both"/>
              <w:rPr>
                <w:rFonts w:eastAsia="Calibri" w:cs="Times New Roman"/>
                <w:b/>
                <w:bCs/>
                <w:sz w:val="20"/>
                <w:szCs w:val="20"/>
                <w:lang w:val="hy-AM"/>
              </w:rPr>
            </w:pPr>
            <w:r w:rsidRPr="0053423A">
              <w:rPr>
                <w:rFonts w:eastAsia="Calibri" w:cs="Times New Roman"/>
                <w:b/>
                <w:bCs/>
                <w:sz w:val="20"/>
                <w:szCs w:val="20"/>
                <w:lang w:val="hy-AM"/>
              </w:rPr>
              <w:t xml:space="preserve">1. </w:t>
            </w:r>
            <w:r w:rsidRPr="0053423A">
              <w:rPr>
                <w:rFonts w:eastAsia="Calibri" w:cs="Times New Roman"/>
                <w:b/>
                <w:bCs/>
                <w:sz w:val="20"/>
                <w:szCs w:val="20"/>
                <w:lang w:val="af-ZA"/>
              </w:rPr>
              <w:t xml:space="preserve">Միջոցառման անհրաժեշտությունը </w:t>
            </w:r>
            <w:r w:rsidRPr="0053423A">
              <w:rPr>
                <w:rFonts w:eastAsia="Calibri" w:cs="Times New Roman"/>
                <w:b/>
                <w:bCs/>
                <w:sz w:val="20"/>
                <w:szCs w:val="20"/>
                <w:lang w:val="hy-AM"/>
              </w:rPr>
              <w:t xml:space="preserve">և </w:t>
            </w:r>
            <w:r w:rsidRPr="0053423A">
              <w:rPr>
                <w:rFonts w:eastAsia="Calibri" w:cs="Times New Roman"/>
                <w:b/>
                <w:bCs/>
                <w:sz w:val="20"/>
                <w:szCs w:val="20"/>
                <w:lang w:val="af-ZA"/>
              </w:rPr>
              <w:t>նպատակը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Կոնվենցիայի վավերացման հարցը մտավ օրակարգ դեռևս 2010 թվականին, երբ Հայաստանը ստորագրեց փաստաթուղթը, որում շեշտը դրված էր երեխայի սեռական անձեռնմխելիության ապահովման հարցերին:  Ստորագրմանը հաջորդեցին մի շարք ուսումնասիրություններ՝ պետական կառավարման մարմինների, հասարակական կազմակերպությունների նախաձեռնությամբ, որոնք հաստատեցին խնդրի առկայությունը Հայաստանում: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Կոնվենցիայի վավերացումը նախատեսված է Հայաստանի Հանրա</w:t>
            </w:r>
            <w:r w:rsidRPr="0053423A">
              <w:rPr>
                <w:rFonts w:eastAsia="Calibri" w:cs="Times New Roman"/>
                <w:sz w:val="20"/>
                <w:szCs w:val="20"/>
                <w:lang w:val="hy-AM"/>
              </w:rPr>
              <w:softHyphen/>
              <w:t xml:space="preserve">պետությունում 2019-2021 թվականների ընթացքում մարդկանց թրաֆիքինգի և շահագործման  դեմ պայքարի կազմակերպման ազգային ծրագրի և միջոցառումների ժամանակացույցի նախագծում, որը առաջիկայում ներկայացվելու է ՀՀ կառավարության հաստատմանը: </w:t>
            </w:r>
          </w:p>
          <w:p w:rsidR="00514E01" w:rsidRPr="0053423A" w:rsidRDefault="00514E01" w:rsidP="00A67858">
            <w:pPr>
              <w:spacing w:line="276" w:lineRule="auto"/>
              <w:jc w:val="both"/>
              <w:rPr>
                <w:rFonts w:eastAsia="Calibri" w:cs="Times New Roman"/>
                <w:b/>
                <w:bCs/>
                <w:sz w:val="20"/>
                <w:szCs w:val="20"/>
                <w:lang w:val="af-ZA"/>
              </w:rPr>
            </w:pPr>
            <w:r w:rsidRPr="0053423A">
              <w:rPr>
                <w:rFonts w:eastAsia="Calibri" w:cs="Times New Roman"/>
                <w:b/>
                <w:bCs/>
                <w:sz w:val="20"/>
                <w:szCs w:val="20"/>
                <w:lang w:val="af-ZA"/>
              </w:rPr>
              <w:t>1.1.</w:t>
            </w:r>
            <w:r w:rsidRPr="0053423A">
              <w:rPr>
                <w:rFonts w:eastAsia="Calibri" w:cs="Times New Roman"/>
                <w:b/>
                <w:bCs/>
                <w:sz w:val="20"/>
                <w:szCs w:val="20"/>
                <w:lang w:val="af-ZA"/>
              </w:rPr>
              <w:tab/>
              <w:t xml:space="preserve">կարգավորման հարաբերությունների ներկա իրավիճակը և առկա խնդիրները </w:t>
            </w:r>
          </w:p>
          <w:p w:rsidR="00514E01" w:rsidRPr="0053423A" w:rsidRDefault="00514E01" w:rsidP="00A67858">
            <w:pPr>
              <w:spacing w:line="276" w:lineRule="auto"/>
              <w:jc w:val="both"/>
              <w:rPr>
                <w:rFonts w:eastAsia="Calibri" w:cs="Times New Roman"/>
                <w:b/>
                <w:i/>
                <w:sz w:val="20"/>
                <w:szCs w:val="20"/>
                <w:lang w:val="af-ZA"/>
              </w:rPr>
            </w:pPr>
            <w:r w:rsidRPr="0053423A">
              <w:rPr>
                <w:rFonts w:eastAsia="Calibri" w:cs="Times New Roman"/>
                <w:sz w:val="20"/>
                <w:szCs w:val="20"/>
                <w:lang w:val="hy-AM"/>
              </w:rPr>
              <w:t>«Սեռական շահագործումից և սեռական բնույթի չարաշահումներից երեխաներին պաշտպանելու մասին» Եվրոպայի Խորհրդի կոնվենցիա</w:t>
            </w:r>
            <w:r w:rsidRPr="0053423A">
              <w:rPr>
                <w:rFonts w:eastAsia="Calibri" w:cs="Times New Roman"/>
                <w:sz w:val="20"/>
                <w:szCs w:val="20"/>
              </w:rPr>
              <w:t>ն</w:t>
            </w:r>
            <w:r w:rsidRPr="0053423A">
              <w:rPr>
                <w:rFonts w:eastAsia="Calibri" w:cs="Times New Roman"/>
                <w:sz w:val="20"/>
                <w:szCs w:val="20"/>
                <w:lang w:val="af-ZA"/>
              </w:rPr>
              <w:t xml:space="preserve"> </w:t>
            </w:r>
            <w:r w:rsidRPr="0053423A">
              <w:rPr>
                <w:rFonts w:eastAsia="Calibri" w:cs="Times New Roman"/>
                <w:sz w:val="20"/>
                <w:szCs w:val="20"/>
              </w:rPr>
              <w:t>գործիք</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երեխայի</w:t>
            </w:r>
            <w:r w:rsidRPr="0053423A">
              <w:rPr>
                <w:rFonts w:eastAsia="Calibri" w:cs="Times New Roman"/>
                <w:sz w:val="20"/>
                <w:szCs w:val="20"/>
                <w:lang w:val="af-ZA"/>
              </w:rPr>
              <w:t xml:space="preserve"> </w:t>
            </w:r>
            <w:r w:rsidRPr="0053423A">
              <w:rPr>
                <w:rFonts w:eastAsia="Calibri" w:cs="Times New Roman"/>
                <w:sz w:val="20"/>
                <w:szCs w:val="20"/>
              </w:rPr>
              <w:t>նկատմամբ</w:t>
            </w:r>
            <w:r w:rsidRPr="0053423A">
              <w:rPr>
                <w:rFonts w:eastAsia="Calibri" w:cs="Times New Roman"/>
                <w:sz w:val="20"/>
                <w:szCs w:val="20"/>
                <w:lang w:val="af-ZA"/>
              </w:rPr>
              <w:t xml:space="preserve"> </w:t>
            </w:r>
            <w:r w:rsidRPr="0053423A">
              <w:rPr>
                <w:rFonts w:eastAsia="Calibri" w:cs="Times New Roman"/>
                <w:sz w:val="20"/>
                <w:szCs w:val="20"/>
              </w:rPr>
              <w:t>հանցագործությունը</w:t>
            </w:r>
            <w:r w:rsidRPr="0053423A">
              <w:rPr>
                <w:rFonts w:eastAsia="Calibri" w:cs="Times New Roman"/>
                <w:sz w:val="20"/>
                <w:szCs w:val="20"/>
                <w:lang w:val="af-ZA"/>
              </w:rPr>
              <w:t xml:space="preserve"> </w:t>
            </w:r>
            <w:r w:rsidRPr="0053423A">
              <w:rPr>
                <w:rFonts w:eastAsia="Calibri" w:cs="Times New Roman"/>
                <w:sz w:val="20"/>
                <w:szCs w:val="20"/>
              </w:rPr>
              <w:t>կանխելու</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տուժողի</w:t>
            </w:r>
            <w:r w:rsidRPr="0053423A">
              <w:rPr>
                <w:rFonts w:eastAsia="Calibri" w:cs="Times New Roman"/>
                <w:sz w:val="20"/>
                <w:szCs w:val="20"/>
                <w:lang w:val="af-ZA"/>
              </w:rPr>
              <w:t xml:space="preserve"> </w:t>
            </w:r>
            <w:r w:rsidRPr="0053423A">
              <w:rPr>
                <w:rFonts w:eastAsia="Calibri" w:cs="Times New Roman"/>
                <w:sz w:val="20"/>
                <w:szCs w:val="20"/>
              </w:rPr>
              <w:t>պաշտպանությունն</w:t>
            </w:r>
            <w:r w:rsidRPr="0053423A">
              <w:rPr>
                <w:rFonts w:eastAsia="Calibri" w:cs="Times New Roman"/>
                <w:sz w:val="20"/>
                <w:szCs w:val="20"/>
                <w:lang w:val="af-ZA"/>
              </w:rPr>
              <w:t xml:space="preserve"> </w:t>
            </w:r>
            <w:r w:rsidRPr="0053423A">
              <w:rPr>
                <w:rFonts w:eastAsia="Calibri" w:cs="Times New Roman"/>
                <w:sz w:val="20"/>
                <w:szCs w:val="20"/>
              </w:rPr>
              <w:t>ապահովելու</w:t>
            </w:r>
            <w:r w:rsidRPr="0053423A">
              <w:rPr>
                <w:rFonts w:eastAsia="Calibri" w:cs="Times New Roman"/>
                <w:sz w:val="20"/>
                <w:szCs w:val="20"/>
                <w:lang w:val="af-ZA"/>
              </w:rPr>
              <w:t xml:space="preserve"> </w:t>
            </w:r>
            <w:r w:rsidRPr="0053423A">
              <w:rPr>
                <w:rFonts w:eastAsia="Calibri" w:cs="Times New Roman"/>
                <w:sz w:val="20"/>
                <w:szCs w:val="20"/>
              </w:rPr>
              <w:t>համար</w:t>
            </w:r>
            <w:r w:rsidRPr="0053423A">
              <w:rPr>
                <w:rFonts w:eastAsia="Calibri" w:cs="Times New Roman"/>
                <w:sz w:val="20"/>
                <w:szCs w:val="20"/>
                <w:lang w:val="af-ZA"/>
              </w:rPr>
              <w:t xml:space="preserve">: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rPr>
              <w:t>Կոնվենցիան</w:t>
            </w:r>
            <w:r w:rsidRPr="0053423A">
              <w:rPr>
                <w:rFonts w:eastAsia="Calibri" w:cs="Times New Roman"/>
                <w:sz w:val="20"/>
                <w:szCs w:val="20"/>
                <w:lang w:val="af-ZA"/>
              </w:rPr>
              <w:t xml:space="preserve"> </w:t>
            </w:r>
            <w:r w:rsidRPr="0053423A">
              <w:rPr>
                <w:rFonts w:eastAsia="Calibri" w:cs="Times New Roman"/>
                <w:sz w:val="20"/>
                <w:szCs w:val="20"/>
              </w:rPr>
              <w:t>սահմանում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մանկական</w:t>
            </w:r>
            <w:r w:rsidRPr="0053423A">
              <w:rPr>
                <w:rFonts w:eastAsia="Calibri" w:cs="Times New Roman"/>
                <w:sz w:val="20"/>
                <w:szCs w:val="20"/>
                <w:lang w:val="af-ZA"/>
              </w:rPr>
              <w:t xml:space="preserve"> </w:t>
            </w:r>
            <w:r w:rsidRPr="0053423A">
              <w:rPr>
                <w:rFonts w:eastAsia="Calibri" w:cs="Times New Roman"/>
                <w:sz w:val="20"/>
                <w:szCs w:val="20"/>
              </w:rPr>
              <w:t>մարմնավաճառություն</w:t>
            </w:r>
            <w:r w:rsidRPr="0053423A">
              <w:rPr>
                <w:rFonts w:eastAsia="Calibri" w:cs="Times New Roman"/>
                <w:sz w:val="20"/>
                <w:szCs w:val="20"/>
                <w:lang w:val="af-ZA"/>
              </w:rPr>
              <w:t xml:space="preserve">, </w:t>
            </w:r>
            <w:r w:rsidRPr="0053423A">
              <w:rPr>
                <w:rFonts w:eastAsia="Calibri" w:cs="Times New Roman"/>
                <w:sz w:val="20"/>
                <w:szCs w:val="20"/>
              </w:rPr>
              <w:t>մանկական</w:t>
            </w:r>
            <w:r w:rsidRPr="0053423A">
              <w:rPr>
                <w:rFonts w:eastAsia="Calibri" w:cs="Times New Roman"/>
                <w:sz w:val="20"/>
                <w:szCs w:val="20"/>
                <w:lang w:val="af-ZA"/>
              </w:rPr>
              <w:t xml:space="preserve"> </w:t>
            </w:r>
            <w:r w:rsidRPr="0053423A">
              <w:rPr>
                <w:rFonts w:eastAsia="Calibri" w:cs="Times New Roman"/>
                <w:sz w:val="20"/>
                <w:szCs w:val="20"/>
              </w:rPr>
              <w:t>պորնոգրաֆիա</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երեխայի</w:t>
            </w:r>
            <w:r w:rsidRPr="0053423A">
              <w:rPr>
                <w:rFonts w:eastAsia="Calibri" w:cs="Times New Roman"/>
                <w:sz w:val="20"/>
                <w:szCs w:val="20"/>
                <w:lang w:val="af-ZA"/>
              </w:rPr>
              <w:t xml:space="preserve"> </w:t>
            </w:r>
            <w:r w:rsidRPr="0053423A">
              <w:rPr>
                <w:rFonts w:eastAsia="Calibri" w:cs="Times New Roman"/>
                <w:sz w:val="20"/>
                <w:szCs w:val="20"/>
              </w:rPr>
              <w:t>նկատմամբ</w:t>
            </w:r>
            <w:r w:rsidRPr="0053423A">
              <w:rPr>
                <w:rFonts w:eastAsia="Calibri" w:cs="Times New Roman"/>
                <w:sz w:val="20"/>
                <w:szCs w:val="20"/>
                <w:lang w:val="af-ZA"/>
              </w:rPr>
              <w:t xml:space="preserve"> </w:t>
            </w:r>
            <w:r w:rsidRPr="0053423A">
              <w:rPr>
                <w:rFonts w:eastAsia="Calibri" w:cs="Times New Roman"/>
                <w:sz w:val="20"/>
                <w:szCs w:val="20"/>
              </w:rPr>
              <w:t>սեռական</w:t>
            </w:r>
            <w:r w:rsidRPr="0053423A">
              <w:rPr>
                <w:rFonts w:eastAsia="Calibri" w:cs="Times New Roman"/>
                <w:sz w:val="20"/>
                <w:szCs w:val="20"/>
                <w:lang w:val="af-ZA"/>
              </w:rPr>
              <w:t xml:space="preserve"> </w:t>
            </w:r>
            <w:r w:rsidRPr="0053423A">
              <w:rPr>
                <w:rFonts w:eastAsia="Calibri" w:cs="Times New Roman"/>
                <w:sz w:val="20"/>
                <w:szCs w:val="20"/>
              </w:rPr>
              <w:t>բռնություն</w:t>
            </w:r>
            <w:r w:rsidRPr="0053423A">
              <w:rPr>
                <w:rFonts w:eastAsia="Calibri" w:cs="Times New Roman"/>
                <w:sz w:val="20"/>
                <w:szCs w:val="20"/>
                <w:lang w:val="af-ZA"/>
              </w:rPr>
              <w:t xml:space="preserve"> </w:t>
            </w:r>
            <w:r w:rsidRPr="0053423A">
              <w:rPr>
                <w:rFonts w:eastAsia="Calibri" w:cs="Times New Roman"/>
                <w:sz w:val="20"/>
                <w:szCs w:val="20"/>
              </w:rPr>
              <w:t>հասկացությունները</w:t>
            </w:r>
            <w:r w:rsidRPr="0053423A">
              <w:rPr>
                <w:rFonts w:eastAsia="Calibri" w:cs="Times New Roman"/>
                <w:sz w:val="20"/>
                <w:szCs w:val="20"/>
                <w:lang w:val="af-ZA"/>
              </w:rPr>
              <w:t xml:space="preserve"> </w:t>
            </w:r>
            <w:r w:rsidRPr="0053423A">
              <w:rPr>
                <w:rFonts w:eastAsia="Calibri" w:cs="Times New Roman"/>
                <w:sz w:val="20"/>
                <w:szCs w:val="20"/>
                <w:lang w:val="en-GB"/>
              </w:rPr>
              <w:t>և</w:t>
            </w:r>
            <w:r w:rsidRPr="0053423A">
              <w:rPr>
                <w:rFonts w:eastAsia="Calibri" w:cs="Times New Roman"/>
                <w:sz w:val="20"/>
                <w:szCs w:val="20"/>
                <w:lang w:val="af-ZA"/>
              </w:rPr>
              <w:t xml:space="preserve">  </w:t>
            </w:r>
            <w:r w:rsidRPr="0053423A">
              <w:rPr>
                <w:rFonts w:eastAsia="Calibri" w:cs="Times New Roman"/>
                <w:sz w:val="20"/>
                <w:szCs w:val="20"/>
              </w:rPr>
              <w:t>նախատեսում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քրեական</w:t>
            </w:r>
            <w:r w:rsidRPr="0053423A">
              <w:rPr>
                <w:rFonts w:eastAsia="Calibri" w:cs="Times New Roman"/>
                <w:sz w:val="20"/>
                <w:szCs w:val="20"/>
                <w:lang w:val="af-ZA"/>
              </w:rPr>
              <w:t xml:space="preserve"> </w:t>
            </w:r>
            <w:r w:rsidRPr="0053423A">
              <w:rPr>
                <w:rFonts w:eastAsia="Calibri" w:cs="Times New Roman"/>
                <w:sz w:val="20"/>
                <w:szCs w:val="20"/>
              </w:rPr>
              <w:t>պատասխանատվության</w:t>
            </w:r>
            <w:r w:rsidRPr="0053423A">
              <w:rPr>
                <w:rFonts w:eastAsia="Calibri" w:cs="Times New Roman"/>
                <w:sz w:val="20"/>
                <w:szCs w:val="20"/>
                <w:lang w:val="af-ZA"/>
              </w:rPr>
              <w:t xml:space="preserve"> </w:t>
            </w:r>
            <w:r w:rsidRPr="0053423A">
              <w:rPr>
                <w:rFonts w:eastAsia="Calibri" w:cs="Times New Roman"/>
                <w:sz w:val="20"/>
                <w:szCs w:val="20"/>
              </w:rPr>
              <w:t>խստացում</w:t>
            </w:r>
            <w:r w:rsidRPr="0053423A">
              <w:rPr>
                <w:rFonts w:eastAsia="Calibri" w:cs="Times New Roman"/>
                <w:sz w:val="20"/>
                <w:szCs w:val="20"/>
                <w:lang w:val="af-ZA"/>
              </w:rPr>
              <w:t xml:space="preserve"> </w:t>
            </w:r>
            <w:r w:rsidRPr="0053423A">
              <w:rPr>
                <w:rFonts w:eastAsia="Calibri" w:cs="Times New Roman"/>
                <w:sz w:val="20"/>
                <w:szCs w:val="20"/>
              </w:rPr>
              <w:t>երեխային</w:t>
            </w:r>
            <w:r w:rsidRPr="0053423A">
              <w:rPr>
                <w:rFonts w:eastAsia="Calibri" w:cs="Times New Roman"/>
                <w:sz w:val="20"/>
                <w:szCs w:val="20"/>
                <w:lang w:val="af-ZA"/>
              </w:rPr>
              <w:t xml:space="preserve"> </w:t>
            </w:r>
            <w:r w:rsidRPr="0053423A">
              <w:rPr>
                <w:rFonts w:eastAsia="Calibri" w:cs="Times New Roman"/>
                <w:sz w:val="20"/>
                <w:szCs w:val="20"/>
              </w:rPr>
              <w:t>մարմնավաճառության</w:t>
            </w:r>
            <w:r w:rsidRPr="0053423A">
              <w:rPr>
                <w:rFonts w:eastAsia="Calibri" w:cs="Times New Roman"/>
                <w:sz w:val="20"/>
                <w:szCs w:val="20"/>
                <w:lang w:val="af-ZA"/>
              </w:rPr>
              <w:t xml:space="preserve"> </w:t>
            </w:r>
            <w:r w:rsidRPr="0053423A">
              <w:rPr>
                <w:rFonts w:eastAsia="Calibri" w:cs="Times New Roman"/>
                <w:sz w:val="20"/>
                <w:szCs w:val="20"/>
              </w:rPr>
              <w:t>մեջ</w:t>
            </w:r>
            <w:r w:rsidRPr="0053423A">
              <w:rPr>
                <w:rFonts w:eastAsia="Calibri" w:cs="Times New Roman"/>
                <w:sz w:val="20"/>
                <w:szCs w:val="20"/>
                <w:lang w:val="af-ZA"/>
              </w:rPr>
              <w:t xml:space="preserve"> </w:t>
            </w:r>
            <w:r w:rsidRPr="0053423A">
              <w:rPr>
                <w:rFonts w:eastAsia="Calibri" w:cs="Times New Roman"/>
                <w:sz w:val="20"/>
                <w:szCs w:val="20"/>
              </w:rPr>
              <w:t>ներգրավելու</w:t>
            </w:r>
            <w:r w:rsidRPr="0053423A">
              <w:rPr>
                <w:rFonts w:eastAsia="Calibri" w:cs="Times New Roman"/>
                <w:sz w:val="20"/>
                <w:szCs w:val="20"/>
                <w:lang w:val="af-ZA"/>
              </w:rPr>
              <w:t xml:space="preserve">, </w:t>
            </w:r>
            <w:r w:rsidRPr="0053423A">
              <w:rPr>
                <w:rFonts w:eastAsia="Calibri" w:cs="Times New Roman"/>
                <w:sz w:val="20"/>
                <w:szCs w:val="20"/>
              </w:rPr>
              <w:t>նրա</w:t>
            </w:r>
            <w:r w:rsidRPr="0053423A">
              <w:rPr>
                <w:rFonts w:eastAsia="Calibri" w:cs="Times New Roman"/>
                <w:sz w:val="20"/>
                <w:szCs w:val="20"/>
                <w:lang w:val="af-ZA"/>
              </w:rPr>
              <w:t xml:space="preserve"> </w:t>
            </w:r>
            <w:r w:rsidRPr="0053423A">
              <w:rPr>
                <w:rFonts w:eastAsia="Calibri" w:cs="Times New Roman"/>
                <w:sz w:val="20"/>
                <w:szCs w:val="20"/>
              </w:rPr>
              <w:t>հետ</w:t>
            </w:r>
            <w:r w:rsidRPr="0053423A">
              <w:rPr>
                <w:rFonts w:eastAsia="Calibri" w:cs="Times New Roman"/>
                <w:sz w:val="20"/>
                <w:szCs w:val="20"/>
                <w:lang w:val="af-ZA"/>
              </w:rPr>
              <w:t xml:space="preserve"> </w:t>
            </w:r>
            <w:r w:rsidRPr="0053423A">
              <w:rPr>
                <w:rFonts w:eastAsia="Calibri" w:cs="Times New Roman"/>
                <w:sz w:val="20"/>
                <w:szCs w:val="20"/>
              </w:rPr>
              <w:t>սեռական</w:t>
            </w:r>
            <w:r w:rsidRPr="0053423A">
              <w:rPr>
                <w:rFonts w:eastAsia="Calibri" w:cs="Times New Roman"/>
                <w:sz w:val="20"/>
                <w:szCs w:val="20"/>
                <w:lang w:val="af-ZA"/>
              </w:rPr>
              <w:t xml:space="preserve"> </w:t>
            </w:r>
            <w:r w:rsidRPr="0053423A">
              <w:rPr>
                <w:rFonts w:eastAsia="Calibri" w:cs="Times New Roman"/>
                <w:sz w:val="20"/>
                <w:szCs w:val="20"/>
              </w:rPr>
              <w:t>բնույթի</w:t>
            </w:r>
            <w:r w:rsidRPr="0053423A">
              <w:rPr>
                <w:rFonts w:eastAsia="Calibri" w:cs="Times New Roman"/>
                <w:sz w:val="20"/>
                <w:szCs w:val="20"/>
                <w:lang w:val="af-ZA"/>
              </w:rPr>
              <w:t xml:space="preserve"> </w:t>
            </w:r>
            <w:r w:rsidRPr="0053423A">
              <w:rPr>
                <w:rFonts w:eastAsia="Calibri" w:cs="Times New Roman"/>
                <w:sz w:val="20"/>
                <w:szCs w:val="20"/>
              </w:rPr>
              <w:t>գործողություններ</w:t>
            </w:r>
            <w:r w:rsidRPr="0053423A">
              <w:rPr>
                <w:rFonts w:eastAsia="Calibri" w:cs="Times New Roman"/>
                <w:sz w:val="20"/>
                <w:szCs w:val="20"/>
                <w:lang w:val="af-ZA"/>
              </w:rPr>
              <w:t xml:space="preserve"> </w:t>
            </w:r>
            <w:r w:rsidRPr="0053423A">
              <w:rPr>
                <w:rFonts w:eastAsia="Calibri" w:cs="Times New Roman"/>
                <w:sz w:val="20"/>
                <w:szCs w:val="20"/>
              </w:rPr>
              <w:t>կամ</w:t>
            </w:r>
            <w:r w:rsidRPr="0053423A">
              <w:rPr>
                <w:rFonts w:eastAsia="Calibri" w:cs="Times New Roman"/>
                <w:sz w:val="20"/>
                <w:szCs w:val="20"/>
                <w:lang w:val="af-ZA"/>
              </w:rPr>
              <w:t xml:space="preserve"> </w:t>
            </w:r>
            <w:r w:rsidRPr="0053423A">
              <w:rPr>
                <w:rFonts w:eastAsia="Calibri" w:cs="Times New Roman"/>
                <w:sz w:val="20"/>
                <w:szCs w:val="20"/>
              </w:rPr>
              <w:t>հանցագործություններ</w:t>
            </w:r>
            <w:r w:rsidRPr="0053423A">
              <w:rPr>
                <w:rFonts w:eastAsia="Calibri" w:cs="Times New Roman"/>
                <w:sz w:val="20"/>
                <w:szCs w:val="20"/>
                <w:lang w:val="af-ZA"/>
              </w:rPr>
              <w:t xml:space="preserve"> </w:t>
            </w:r>
            <w:r w:rsidRPr="0053423A">
              <w:rPr>
                <w:rFonts w:eastAsia="Calibri" w:cs="Times New Roman"/>
                <w:sz w:val="20"/>
                <w:szCs w:val="20"/>
              </w:rPr>
              <w:t>կատարելու</w:t>
            </w:r>
            <w:r w:rsidRPr="0053423A">
              <w:rPr>
                <w:rFonts w:eastAsia="Calibri" w:cs="Times New Roman"/>
                <w:sz w:val="20"/>
                <w:szCs w:val="20"/>
                <w:lang w:val="af-ZA"/>
              </w:rPr>
              <w:t xml:space="preserve"> </w:t>
            </w:r>
            <w:r w:rsidRPr="0053423A">
              <w:rPr>
                <w:rFonts w:eastAsia="Calibri" w:cs="Times New Roman"/>
                <w:sz w:val="20"/>
                <w:szCs w:val="20"/>
              </w:rPr>
              <w:t>համար</w:t>
            </w:r>
            <w:r w:rsidRPr="0053423A">
              <w:rPr>
                <w:rFonts w:eastAsia="Calibri" w:cs="Times New Roman"/>
                <w:sz w:val="20"/>
                <w:szCs w:val="20"/>
                <w:lang w:val="af-ZA"/>
              </w:rPr>
              <w:t xml:space="preserve">: </w:t>
            </w:r>
            <w:r w:rsidRPr="0053423A">
              <w:rPr>
                <w:rFonts w:eastAsia="Calibri" w:cs="Times New Roman"/>
                <w:sz w:val="20"/>
                <w:szCs w:val="20"/>
              </w:rPr>
              <w:t>Միևնույն</w:t>
            </w:r>
            <w:r w:rsidRPr="0053423A">
              <w:rPr>
                <w:rFonts w:eastAsia="Calibri" w:cs="Times New Roman"/>
                <w:sz w:val="20"/>
                <w:szCs w:val="20"/>
                <w:lang w:val="af-ZA"/>
              </w:rPr>
              <w:t xml:space="preserve"> </w:t>
            </w:r>
            <w:r w:rsidRPr="0053423A">
              <w:rPr>
                <w:rFonts w:eastAsia="Calibri" w:cs="Times New Roman"/>
                <w:sz w:val="20"/>
                <w:szCs w:val="20"/>
              </w:rPr>
              <w:t>ժամանակ</w:t>
            </w:r>
            <w:r w:rsidRPr="0053423A">
              <w:rPr>
                <w:rFonts w:eastAsia="Calibri" w:cs="Times New Roman"/>
                <w:sz w:val="20"/>
                <w:szCs w:val="20"/>
                <w:lang w:val="af-ZA"/>
              </w:rPr>
              <w:t xml:space="preserve"> </w:t>
            </w:r>
            <w:r w:rsidRPr="0053423A">
              <w:rPr>
                <w:rFonts w:eastAsia="Calibri" w:cs="Times New Roman"/>
                <w:sz w:val="20"/>
                <w:szCs w:val="20"/>
              </w:rPr>
              <w:t>այն</w:t>
            </w:r>
            <w:r w:rsidRPr="0053423A">
              <w:rPr>
                <w:rFonts w:eastAsia="Calibri" w:cs="Times New Roman"/>
                <w:sz w:val="20"/>
                <w:szCs w:val="20"/>
                <w:lang w:val="af-ZA"/>
              </w:rPr>
              <w:t xml:space="preserve"> </w:t>
            </w:r>
            <w:r w:rsidRPr="0053423A">
              <w:rPr>
                <w:rFonts w:eastAsia="Calibri" w:cs="Times New Roman"/>
                <w:sz w:val="20"/>
                <w:szCs w:val="20"/>
              </w:rPr>
              <w:t>կնպաստի</w:t>
            </w:r>
            <w:r w:rsidRPr="0053423A">
              <w:rPr>
                <w:rFonts w:eastAsia="Calibri" w:cs="Times New Roman"/>
                <w:sz w:val="20"/>
                <w:szCs w:val="20"/>
                <w:lang w:val="af-ZA"/>
              </w:rPr>
              <w:t xml:space="preserve"> </w:t>
            </w:r>
            <w:r w:rsidRPr="0053423A">
              <w:rPr>
                <w:rFonts w:eastAsia="Calibri" w:cs="Times New Roman"/>
                <w:sz w:val="20"/>
                <w:szCs w:val="20"/>
              </w:rPr>
              <w:t>հատուկ</w:t>
            </w:r>
            <w:r w:rsidRPr="0053423A">
              <w:rPr>
                <w:rFonts w:eastAsia="Calibri" w:cs="Times New Roman"/>
                <w:sz w:val="20"/>
                <w:szCs w:val="20"/>
                <w:lang w:val="af-ZA"/>
              </w:rPr>
              <w:t xml:space="preserve"> </w:t>
            </w:r>
            <w:r w:rsidRPr="0053423A">
              <w:rPr>
                <w:rFonts w:eastAsia="Calibri" w:cs="Times New Roman"/>
                <w:sz w:val="20"/>
                <w:szCs w:val="20"/>
              </w:rPr>
              <w:t>հարմարեցված</w:t>
            </w:r>
            <w:r w:rsidRPr="0053423A">
              <w:rPr>
                <w:rFonts w:eastAsia="Calibri" w:cs="Times New Roman"/>
                <w:sz w:val="20"/>
                <w:szCs w:val="20"/>
                <w:lang w:val="af-ZA"/>
              </w:rPr>
              <w:t xml:space="preserve"> </w:t>
            </w:r>
            <w:r w:rsidRPr="0053423A">
              <w:rPr>
                <w:rFonts w:eastAsia="Calibri" w:cs="Times New Roman"/>
                <w:sz w:val="20"/>
                <w:szCs w:val="20"/>
              </w:rPr>
              <w:t>ծրագրերի</w:t>
            </w:r>
            <w:r w:rsidRPr="0053423A">
              <w:rPr>
                <w:rFonts w:eastAsia="Calibri" w:cs="Times New Roman"/>
                <w:sz w:val="20"/>
                <w:szCs w:val="20"/>
                <w:lang w:val="af-ZA"/>
              </w:rPr>
              <w:t xml:space="preserve"> </w:t>
            </w:r>
            <w:r w:rsidRPr="0053423A">
              <w:rPr>
                <w:rFonts w:eastAsia="Calibri" w:cs="Times New Roman"/>
                <w:sz w:val="20"/>
                <w:szCs w:val="20"/>
              </w:rPr>
              <w:t>մշակմանը՝</w:t>
            </w:r>
            <w:r w:rsidRPr="0053423A">
              <w:rPr>
                <w:rFonts w:eastAsia="Calibri" w:cs="Times New Roman"/>
                <w:sz w:val="20"/>
                <w:szCs w:val="20"/>
                <w:lang w:val="af-ZA"/>
              </w:rPr>
              <w:t xml:space="preserve"> </w:t>
            </w:r>
            <w:r w:rsidRPr="0053423A">
              <w:rPr>
                <w:rFonts w:eastAsia="Calibri" w:cs="Times New Roman"/>
                <w:sz w:val="20"/>
                <w:szCs w:val="20"/>
              </w:rPr>
              <w:t>սեռական</w:t>
            </w:r>
            <w:r w:rsidRPr="0053423A">
              <w:rPr>
                <w:rFonts w:eastAsia="Calibri" w:cs="Times New Roman"/>
                <w:sz w:val="20"/>
                <w:szCs w:val="20"/>
                <w:lang w:val="af-ZA"/>
              </w:rPr>
              <w:t xml:space="preserve"> </w:t>
            </w:r>
            <w:r w:rsidRPr="0053423A">
              <w:rPr>
                <w:rFonts w:eastAsia="Calibri" w:cs="Times New Roman"/>
                <w:sz w:val="20"/>
                <w:szCs w:val="20"/>
              </w:rPr>
              <w:t>բնույթի</w:t>
            </w:r>
            <w:r w:rsidRPr="0053423A">
              <w:rPr>
                <w:rFonts w:eastAsia="Calibri" w:cs="Times New Roman"/>
                <w:sz w:val="20"/>
                <w:szCs w:val="20"/>
                <w:lang w:val="af-ZA"/>
              </w:rPr>
              <w:t xml:space="preserve"> </w:t>
            </w:r>
            <w:r w:rsidRPr="0053423A">
              <w:rPr>
                <w:rFonts w:eastAsia="Calibri" w:cs="Times New Roman"/>
                <w:sz w:val="20"/>
                <w:szCs w:val="20"/>
              </w:rPr>
              <w:t>հանցագործություններ</w:t>
            </w:r>
            <w:r w:rsidRPr="0053423A">
              <w:rPr>
                <w:rFonts w:eastAsia="Calibri" w:cs="Times New Roman"/>
                <w:sz w:val="20"/>
                <w:szCs w:val="20"/>
                <w:lang w:val="af-ZA"/>
              </w:rPr>
              <w:t xml:space="preserve"> </w:t>
            </w:r>
            <w:r w:rsidRPr="0053423A">
              <w:rPr>
                <w:rFonts w:eastAsia="Calibri" w:cs="Times New Roman"/>
                <w:sz w:val="20"/>
                <w:szCs w:val="20"/>
              </w:rPr>
              <w:t>կատարած</w:t>
            </w:r>
            <w:r w:rsidRPr="0053423A">
              <w:rPr>
                <w:rFonts w:eastAsia="Calibri" w:cs="Times New Roman"/>
                <w:sz w:val="20"/>
                <w:szCs w:val="20"/>
                <w:lang w:val="af-ZA"/>
              </w:rPr>
              <w:t xml:space="preserve"> </w:t>
            </w:r>
            <w:r w:rsidRPr="0053423A">
              <w:rPr>
                <w:rFonts w:eastAsia="Calibri" w:cs="Times New Roman"/>
                <w:sz w:val="20"/>
                <w:szCs w:val="20"/>
              </w:rPr>
              <w:t>անչափահասների</w:t>
            </w:r>
            <w:r w:rsidRPr="0053423A">
              <w:rPr>
                <w:rFonts w:eastAsia="Calibri" w:cs="Times New Roman"/>
                <w:sz w:val="20"/>
                <w:szCs w:val="20"/>
                <w:lang w:val="af-ZA"/>
              </w:rPr>
              <w:t xml:space="preserve"> </w:t>
            </w:r>
            <w:r w:rsidRPr="0053423A">
              <w:rPr>
                <w:rFonts w:eastAsia="Calibri" w:cs="Times New Roman"/>
                <w:sz w:val="20"/>
                <w:szCs w:val="20"/>
              </w:rPr>
              <w:t>համար</w:t>
            </w:r>
            <w:r w:rsidRPr="0053423A">
              <w:rPr>
                <w:rFonts w:eastAsia="Calibri" w:cs="Times New Roman"/>
                <w:sz w:val="20"/>
                <w:szCs w:val="20"/>
                <w:lang w:val="af-ZA"/>
              </w:rPr>
              <w:t xml:space="preserve">: </w:t>
            </w:r>
          </w:p>
          <w:p w:rsidR="00514E01" w:rsidRPr="0053423A" w:rsidRDefault="00514E01" w:rsidP="00A67858">
            <w:pPr>
              <w:spacing w:line="276" w:lineRule="auto"/>
              <w:jc w:val="both"/>
              <w:rPr>
                <w:rFonts w:eastAsia="Calibri" w:cs="Times New Roman"/>
                <w:b/>
                <w:bCs/>
                <w:sz w:val="20"/>
                <w:szCs w:val="20"/>
                <w:lang w:val="af-ZA"/>
              </w:rPr>
            </w:pPr>
            <w:r w:rsidRPr="0053423A">
              <w:rPr>
                <w:rFonts w:eastAsia="Calibri" w:cs="Times New Roman"/>
                <w:b/>
                <w:bCs/>
                <w:sz w:val="20"/>
                <w:szCs w:val="20"/>
                <w:lang w:val="af-ZA"/>
              </w:rPr>
              <w:t>1.2.</w:t>
            </w:r>
            <w:r w:rsidRPr="0053423A">
              <w:rPr>
                <w:rFonts w:eastAsia="Calibri" w:cs="Times New Roman"/>
                <w:b/>
                <w:bCs/>
                <w:sz w:val="20"/>
                <w:szCs w:val="20"/>
                <w:lang w:val="af-ZA"/>
              </w:rPr>
              <w:tab/>
              <w:t>Առկա խնդիրների առաջարկվող լուծումները</w:t>
            </w:r>
          </w:p>
          <w:p w:rsidR="00514E01" w:rsidRPr="0053423A" w:rsidRDefault="00514E01" w:rsidP="00A67858">
            <w:pPr>
              <w:spacing w:line="276" w:lineRule="auto"/>
              <w:jc w:val="both"/>
              <w:rPr>
                <w:rFonts w:eastAsia="Calibri" w:cs="Times New Roman"/>
                <w:bCs/>
                <w:sz w:val="20"/>
                <w:szCs w:val="20"/>
                <w:lang w:val="af-ZA"/>
              </w:rPr>
            </w:pPr>
            <w:r w:rsidRPr="0053423A">
              <w:rPr>
                <w:rFonts w:eastAsia="Calibri" w:cs="Times New Roman"/>
                <w:bCs/>
                <w:sz w:val="20"/>
                <w:szCs w:val="20"/>
                <w:lang w:val="af-ZA"/>
              </w:rPr>
              <w:t xml:space="preserve">2015-2017թթ. ուսումնասիրությունները ցույց են տվել, որ այդ ժամանակահատվածում  սեռական բռնության զոհ են դարձել շուրջ 500 անձ, որոնց մոտ   70%-ը կազմել են 12 - 17 տարեկան անչափահասներ, իսկ դրանց գրեթե 90%-ը աղջիկներ են: </w:t>
            </w:r>
          </w:p>
          <w:p w:rsidR="00514E01" w:rsidRPr="0053423A" w:rsidRDefault="00514E01" w:rsidP="00A67858">
            <w:pPr>
              <w:spacing w:line="276" w:lineRule="auto"/>
              <w:jc w:val="both"/>
              <w:rPr>
                <w:rFonts w:eastAsia="Calibri" w:cs="Times New Roman"/>
                <w:bCs/>
                <w:sz w:val="20"/>
                <w:szCs w:val="20"/>
                <w:lang w:val="af-ZA"/>
              </w:rPr>
            </w:pPr>
            <w:r w:rsidRPr="0053423A">
              <w:rPr>
                <w:rFonts w:eastAsia="Calibri" w:cs="Times New Roman"/>
                <w:bCs/>
                <w:sz w:val="20"/>
                <w:szCs w:val="20"/>
                <w:lang w:val="af-ZA"/>
              </w:rPr>
              <w:t>Կոնվենիցայի վավերցամամբ կիրականացվեն տեղեկատվական քարոզարշավներ, կրթական ծրագրեր, կպատրաստվեն մասնագետներ, երեխաները կներգրավվեն քաղաքականության մշակմանը, ծրագրերի և տարբեր միջոցառումների իրականացմանը, կսահմանվի ֆինանսական պատասխանատվություն քաղաքականության իրականացումն ապահովելու համար, կմշակվեն ուղղորդման և մշտադւտարկման մեխանիզմներ և այլն:</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af-ZA"/>
              </w:rPr>
              <w:t>2.</w:t>
            </w:r>
            <w:r w:rsidRPr="0053423A">
              <w:rPr>
                <w:rFonts w:eastAsia="Calibri" w:cs="Times New Roman"/>
                <w:b/>
                <w:sz w:val="20"/>
                <w:szCs w:val="20"/>
                <w:lang w:val="hy-AM"/>
              </w:rPr>
              <w:t>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Calibri" w:cs="Times New Roman"/>
                <w:sz w:val="20"/>
                <w:szCs w:val="20"/>
                <w:lang w:val="hy-AM"/>
              </w:rPr>
              <w:t>Կսահմանվի ներգրավված կողմերի պատասխանատվության շրջանակը, կվերանայվեն երեխայի լավագույն շահից բխող  քննության սկզբունքները (փակ դատական լսումներ, երեխայի հարցաքննութան հատուկ ընթացակարգեր, կներդրվեն առանց երեխայի մասնակցության քննության նոր մեթոդներ), կստեղծվեն պաշտպանության և վերահսկման նոր մեխանիզմներ:</w:t>
            </w:r>
          </w:p>
        </w:tc>
      </w:tr>
      <w:tr w:rsidR="00514E01" w:rsidRPr="00DE2EFA" w:rsidTr="00BC61ED">
        <w:tc>
          <w:tcPr>
            <w:tcW w:w="630" w:type="dxa"/>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14</w:t>
            </w:r>
          </w:p>
        </w:tc>
        <w:tc>
          <w:tcPr>
            <w:tcW w:w="10890" w:type="dxa"/>
          </w:tcPr>
          <w:p w:rsidR="00514E01" w:rsidRPr="0053423A" w:rsidRDefault="00514E01" w:rsidP="00A67858">
            <w:pPr>
              <w:spacing w:line="276" w:lineRule="auto"/>
              <w:jc w:val="both"/>
              <w:rPr>
                <w:rFonts w:eastAsia="Calibri" w:cs="Times New Roman"/>
                <w:b/>
                <w:sz w:val="20"/>
                <w:szCs w:val="20"/>
                <w:u w:val="single"/>
                <w:lang w:val="hy-AM"/>
              </w:rPr>
            </w:pPr>
            <w:r w:rsidRPr="0053423A">
              <w:rPr>
                <w:rFonts w:eastAsia="Calibri" w:cs="Times New Roman"/>
                <w:b/>
                <w:bCs/>
                <w:sz w:val="20"/>
                <w:szCs w:val="20"/>
                <w:u w:val="single"/>
                <w:lang w:val="hy-AM"/>
              </w:rPr>
              <w:t>14.1 Երեխաներին, այդ թվում՝ հաշմանդամություն ունեցող</w:t>
            </w:r>
            <w:r w:rsidR="0092791F" w:rsidRPr="0053423A">
              <w:rPr>
                <w:rFonts w:eastAsia="Calibri" w:cs="Times New Roman"/>
                <w:b/>
                <w:bCs/>
                <w:sz w:val="20"/>
                <w:szCs w:val="20"/>
                <w:u w:val="single"/>
                <w:lang w:val="hy-AM"/>
              </w:rPr>
              <w:t>,</w:t>
            </w:r>
            <w:r w:rsidRPr="0053423A">
              <w:rPr>
                <w:rFonts w:eastAsia="Calibri" w:cs="Times New Roman"/>
                <w:b/>
                <w:bCs/>
                <w:sz w:val="20"/>
                <w:szCs w:val="20"/>
                <w:u w:val="single"/>
                <w:lang w:val="hy-AM"/>
              </w:rPr>
              <w:t xml:space="preserve"> </w:t>
            </w:r>
            <w:r w:rsidRPr="0053423A">
              <w:rPr>
                <w:rFonts w:eastAsia="Calibri" w:cs="Times New Roman"/>
                <w:b/>
                <w:sz w:val="20"/>
                <w:szCs w:val="20"/>
                <w:u w:val="single"/>
                <w:lang w:val="hy-AM"/>
              </w:rPr>
              <w:t xml:space="preserve">այլընտրանքային ծառայությունների ընդլայնում </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Calibri" w:cs="Times New Roman"/>
                <w:b/>
                <w:sz w:val="20"/>
                <w:szCs w:val="20"/>
                <w:lang w:val="hy-AM"/>
              </w:rPr>
              <w:t>1</w:t>
            </w:r>
            <w:r w:rsidRPr="0053423A">
              <w:rPr>
                <w:rFonts w:eastAsia="Times New Roman" w:cs="Times New Roman"/>
                <w:b/>
                <w:sz w:val="20"/>
                <w:szCs w:val="20"/>
                <w:lang w:val="hy-AM"/>
              </w:rPr>
              <w:t>.Միջոցառման իրականացման անհրաժեշտությունը և նպատակը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Սույն միջոցառման իրականացումը պայմանավորված է ՀՀ կառավարության 2017 թվականի հուլիսի 13-ի N 30 արձանագրային որոշման N 2 հավելվածի 1.2.4. կետի և Հայաստանի Հանրապետության կառավարության 2016թ. սեպտեմբերի 15-ի «Հայաստանի Հանրապետությունում կյանքի դժվարին իրավիճակում հայտնված երեխաների խնամքի այլընտրանքային ծառայությունների համակարգի զարգացման հայեցակարգի կատարումն ապահովող միջոցառումների ծրագրին հավանություն տալու մասին» N 36 արձանագրային որոշման հավելվածի 1.2 կետի կատարման անհրաժեշտությամբ:</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fr-FR"/>
              </w:rPr>
              <w:t>Միջոցառման նպատակը՝ ե</w:t>
            </w:r>
            <w:r w:rsidRPr="0053423A">
              <w:rPr>
                <w:rFonts w:eastAsia="Calibri" w:cs="Times New Roman"/>
                <w:iCs/>
                <w:sz w:val="20"/>
                <w:szCs w:val="20"/>
                <w:lang w:val="et-EE"/>
              </w:rPr>
              <w:t xml:space="preserve">րեխայի ընտանիքում ապրելու իրավունքի իրացումն է, </w:t>
            </w:r>
            <w:r w:rsidRPr="0053423A">
              <w:rPr>
                <w:rFonts w:eastAsia="Calibri" w:cs="Times New Roman"/>
                <w:sz w:val="20"/>
                <w:szCs w:val="20"/>
                <w:lang w:val="fr-FR"/>
              </w:rPr>
              <w:t xml:space="preserve">երեխաներին ուղղված այլընտրանքային ծառայությունների որակի բարելավումն ու զարգացումն է, ոլորտի հասարակական կազմակերպությունների </w:t>
            </w:r>
            <w:r w:rsidRPr="0053423A">
              <w:rPr>
                <w:rFonts w:eastAsia="Calibri" w:cs="Times New Roman"/>
                <w:sz w:val="20"/>
                <w:szCs w:val="20"/>
                <w:lang w:val="hy-AM"/>
              </w:rPr>
              <w:t>կողմից տրամադրվող ծառայությունների ընդլայնումը:</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1.1 կարգավորման հարաբերությունների ներկա վիճակը և առկա խնդիրները</w:t>
            </w:r>
          </w:p>
          <w:p w:rsidR="00514E01" w:rsidRPr="0053423A" w:rsidRDefault="00514E01" w:rsidP="00A67858">
            <w:pPr>
              <w:spacing w:line="276" w:lineRule="auto"/>
              <w:jc w:val="both"/>
              <w:rPr>
                <w:rFonts w:eastAsia="Calibri" w:cs="Times New Roman"/>
                <w:bCs/>
                <w:iCs/>
                <w:sz w:val="20"/>
                <w:szCs w:val="20"/>
                <w:lang w:val="hy-AM"/>
              </w:rPr>
            </w:pPr>
            <w:r w:rsidRPr="0053423A">
              <w:rPr>
                <w:rFonts w:eastAsia="Calibri" w:cs="Times New Roman"/>
                <w:bCs/>
                <w:iCs/>
                <w:sz w:val="20"/>
                <w:szCs w:val="20"/>
                <w:lang w:val="hy-AM"/>
              </w:rPr>
              <w:t xml:space="preserve">ՀՀ աշխատանքի և սոցիալական հարցերի նախարարության կողմից 2006 թվականից սկսած կյանքի դժվարին իրավիճակում հայտնված երեխաներին ծառայություններ տրամադրելու նպատակով հասարակական կազմակերպություններին պատվիրակվել են ծրագրեր և դրանց թիվը տարիների ընթացքում ընդլայնվել է: </w:t>
            </w:r>
          </w:p>
          <w:p w:rsidR="00514E01" w:rsidRPr="0053423A" w:rsidRDefault="00514E01" w:rsidP="00A67858">
            <w:pPr>
              <w:spacing w:line="276" w:lineRule="auto"/>
              <w:jc w:val="both"/>
              <w:rPr>
                <w:rFonts w:eastAsia="Calibri" w:cs="Times New Roman"/>
                <w:bCs/>
                <w:iCs/>
                <w:sz w:val="20"/>
                <w:szCs w:val="20"/>
                <w:lang w:val="hy-AM"/>
              </w:rPr>
            </w:pPr>
            <w:r w:rsidRPr="0053423A">
              <w:rPr>
                <w:rFonts w:eastAsia="Calibri" w:cs="Times New Roman"/>
                <w:bCs/>
                <w:iCs/>
                <w:sz w:val="20"/>
                <w:szCs w:val="20"/>
                <w:lang w:val="hy-AM"/>
              </w:rPr>
              <w:t>Իրականացվող ծրագրերի դրական փորձի հիման վրա և երեխաների շուրջօրյա հաստանությունների վերակազմակերպման արդյունքում պատվիրակվող ծրագրերի ընդլայնումը առաջնահերթություն է: Ներկայում խնդիր է առկա ռեսուրսների գնահատումը, համապատասխան իրավական դաշտի ձևավորումը:</w:t>
            </w:r>
          </w:p>
          <w:p w:rsidR="00514E01" w:rsidRPr="0053423A" w:rsidRDefault="00514E01" w:rsidP="00A67858">
            <w:pPr>
              <w:spacing w:line="276" w:lineRule="auto"/>
              <w:jc w:val="both"/>
              <w:rPr>
                <w:rFonts w:eastAsia="Calibri" w:cs="Times New Roman"/>
                <w:bCs/>
                <w:iCs/>
                <w:sz w:val="20"/>
                <w:szCs w:val="20"/>
                <w:lang w:val="hy-AM"/>
              </w:rPr>
            </w:pPr>
            <w:r w:rsidRPr="0053423A">
              <w:rPr>
                <w:rFonts w:eastAsia="Calibri" w:cs="Times New Roman"/>
                <w:bCs/>
                <w:iCs/>
                <w:sz w:val="20"/>
                <w:szCs w:val="20"/>
                <w:lang w:val="hy-AM"/>
              </w:rPr>
              <w:t>Այս քաղաքականությանն է ուղղված նաև 2019 թվականի   Ընտանիքներին, կանանց և երեխաներին աջակցություն ծախսային ծրագրում որպես նոր նախաձեռնություն ներառված՝</w:t>
            </w:r>
          </w:p>
          <w:p w:rsidR="00514E01" w:rsidRPr="0053423A" w:rsidRDefault="00514E01" w:rsidP="00A67858">
            <w:pPr>
              <w:spacing w:line="276" w:lineRule="auto"/>
              <w:jc w:val="both"/>
              <w:rPr>
                <w:rFonts w:eastAsia="Calibri" w:cs="Times New Roman"/>
                <w:bCs/>
                <w:iCs/>
                <w:sz w:val="20"/>
                <w:szCs w:val="20"/>
                <w:lang w:val="hy-AM"/>
              </w:rPr>
            </w:pPr>
            <w:r w:rsidRPr="0053423A">
              <w:rPr>
                <w:rFonts w:eastAsia="Calibri" w:cs="Times New Roman"/>
                <w:bCs/>
                <w:iCs/>
                <w:sz w:val="20"/>
                <w:szCs w:val="20"/>
                <w:lang w:val="hy-AM"/>
              </w:rPr>
              <w:t>ա) «Սպիտակ քաղաքի երեխաների զարգացման կենտրոնի» միջոցառումը (5 հաստիքային միավոր (այդ թվում հոգեբան) նախատեսված աշխատողի միջոցով՝ կյանքի դժվարին իրավիճակում հայտնված և հաշմանդամություն ունեցող երեխաներին բազմամասնագիտական ծառայություններ տրամադրելու նպատակով),</w:t>
            </w:r>
          </w:p>
          <w:p w:rsidR="00514E01" w:rsidRPr="0053423A" w:rsidRDefault="00514E01" w:rsidP="00A67858">
            <w:pPr>
              <w:spacing w:line="276" w:lineRule="auto"/>
              <w:jc w:val="both"/>
              <w:rPr>
                <w:rFonts w:eastAsia="Calibri" w:cs="Times New Roman"/>
                <w:bCs/>
                <w:iCs/>
                <w:sz w:val="20"/>
                <w:szCs w:val="20"/>
                <w:lang w:val="hy-AM"/>
              </w:rPr>
            </w:pPr>
            <w:r w:rsidRPr="0053423A">
              <w:rPr>
                <w:rFonts w:eastAsia="Calibri" w:cs="Times New Roman"/>
                <w:bCs/>
                <w:iCs/>
                <w:sz w:val="20"/>
                <w:szCs w:val="20"/>
                <w:lang w:val="hy-AM"/>
              </w:rPr>
              <w:t>բ) ՀՀ Կոտայքի և Գեղարքունիքի մարզերում «Կյանքի դժվարին իրավիճակում հայտնված և հաշմանդամություն ունեցող երեխաներին տրամադրվող  սոցիալական հոգածության ծառայություններ» միջոցառումը,</w:t>
            </w:r>
          </w:p>
          <w:p w:rsidR="00514E01" w:rsidRPr="0053423A" w:rsidRDefault="00514E01" w:rsidP="00A67858">
            <w:pPr>
              <w:spacing w:line="276" w:lineRule="auto"/>
              <w:jc w:val="both"/>
              <w:rPr>
                <w:rFonts w:eastAsia="Calibri" w:cs="Times New Roman"/>
                <w:bCs/>
                <w:iCs/>
                <w:sz w:val="20"/>
                <w:szCs w:val="20"/>
                <w:lang w:val="hy-AM"/>
              </w:rPr>
            </w:pPr>
            <w:r w:rsidRPr="0053423A">
              <w:rPr>
                <w:rFonts w:eastAsia="Calibri" w:cs="Times New Roman"/>
                <w:bCs/>
                <w:iCs/>
                <w:sz w:val="20"/>
                <w:szCs w:val="20"/>
                <w:lang w:val="hy-AM"/>
              </w:rPr>
              <w:t>գ)«Համայնքահեն ծառայություններ հաշմանդամություն ունեցող երեխաների համար» միջոցառումը՝  Արմավիրում և Գավառում:</w:t>
            </w:r>
          </w:p>
          <w:p w:rsidR="00514E01" w:rsidRPr="0053423A" w:rsidRDefault="00514E01" w:rsidP="00A67858">
            <w:pPr>
              <w:spacing w:line="276" w:lineRule="auto"/>
              <w:jc w:val="both"/>
              <w:rPr>
                <w:rFonts w:eastAsia="Calibri" w:cs="Times New Roman"/>
                <w:bCs/>
                <w:iCs/>
                <w:sz w:val="20"/>
                <w:szCs w:val="20"/>
                <w:lang w:val="hy-AM"/>
              </w:rPr>
            </w:pPr>
            <w:r w:rsidRPr="0053423A">
              <w:rPr>
                <w:rFonts w:eastAsia="Calibri" w:cs="Times New Roman"/>
                <w:bCs/>
                <w:iCs/>
                <w:sz w:val="20"/>
                <w:szCs w:val="20"/>
                <w:lang w:val="hy-AM"/>
              </w:rPr>
              <w:t xml:space="preserve">2019 թվականից սույն միջոցառումները կիրականացվեն մասնակի պետական ֆինանսավորմամբ հասարակական կազմակերպությունների միջոցով:  </w:t>
            </w:r>
          </w:p>
          <w:p w:rsidR="00514E01" w:rsidRPr="0053423A" w:rsidRDefault="00514E01" w:rsidP="00A67858">
            <w:pPr>
              <w:spacing w:line="276" w:lineRule="auto"/>
              <w:jc w:val="both"/>
              <w:rPr>
                <w:rFonts w:eastAsia="Calibri" w:cs="Times New Roman"/>
                <w:bCs/>
                <w:iCs/>
                <w:sz w:val="20"/>
                <w:szCs w:val="20"/>
                <w:lang w:val="hy-AM"/>
              </w:rPr>
            </w:pPr>
            <w:r w:rsidRPr="0053423A">
              <w:rPr>
                <w:rFonts w:eastAsia="Calibri" w:cs="Times New Roman"/>
                <w:bCs/>
                <w:iCs/>
                <w:sz w:val="20"/>
                <w:szCs w:val="20"/>
                <w:lang w:val="hy-AM"/>
              </w:rPr>
              <w:t xml:space="preserve">2019 թվականին սույն ծրագրերը ՀՀ աշխատանքի և սոցիալական հարցերի նախարարի 2017 թվականի 163-Ա/1  հրամանի համաձայն՝ կյանքի դժվարին իրավիճակում հայտնված երեխաների խնդիրներով մասնագիտացված կազմակերպություններին պատվիրակելու նպատակով՝ դրամաշնորհի տրամադրման համար մրցույթ է հայտարարվել </w:t>
            </w:r>
            <w:hyperlink r:id="rId8" w:history="1">
              <w:r w:rsidRPr="0053423A">
                <w:rPr>
                  <w:rFonts w:eastAsia="Calibri" w:cs="Times New Roman"/>
                  <w:bCs/>
                  <w:iCs/>
                  <w:sz w:val="20"/>
                  <w:szCs w:val="20"/>
                  <w:u w:val="single"/>
                  <w:lang w:val="hy-AM"/>
                </w:rPr>
                <w:t>www.azdarar.am</w:t>
              </w:r>
            </w:hyperlink>
            <w:r w:rsidRPr="0053423A">
              <w:rPr>
                <w:rFonts w:eastAsia="Calibri" w:cs="Times New Roman"/>
                <w:bCs/>
                <w:iCs/>
                <w:sz w:val="20"/>
                <w:szCs w:val="20"/>
                <w:lang w:val="hy-AM"/>
              </w:rPr>
              <w:t xml:space="preserve"> կայքում: </w:t>
            </w:r>
          </w:p>
          <w:p w:rsidR="00514E01" w:rsidRPr="0053423A" w:rsidRDefault="00514E01" w:rsidP="00A67858">
            <w:pPr>
              <w:spacing w:line="276" w:lineRule="auto"/>
              <w:jc w:val="both"/>
              <w:rPr>
                <w:rFonts w:eastAsia="Calibri" w:cs="Times New Roman"/>
                <w:bCs/>
                <w:iCs/>
                <w:sz w:val="20"/>
                <w:szCs w:val="20"/>
                <w:lang w:val="hy-AM"/>
              </w:rPr>
            </w:pPr>
            <w:r w:rsidRPr="0053423A">
              <w:rPr>
                <w:rFonts w:eastAsia="Calibri" w:cs="Times New Roman"/>
                <w:bCs/>
                <w:iCs/>
                <w:sz w:val="20"/>
                <w:szCs w:val="20"/>
                <w:lang w:val="hy-AM"/>
              </w:rPr>
              <w:t xml:space="preserve">Մրցույթներն իրականացվել են իսկ արդյունքների մասին եզրակացությունները տեղադրված են ՀՀ աշխատանքի և սոցիալական հարցերի նախարարության </w:t>
            </w:r>
            <w:hyperlink r:id="rId9" w:history="1">
              <w:r w:rsidRPr="0053423A">
                <w:rPr>
                  <w:rFonts w:eastAsia="Calibri" w:cs="Times New Roman"/>
                  <w:bCs/>
                  <w:iCs/>
                  <w:sz w:val="20"/>
                  <w:szCs w:val="20"/>
                  <w:u w:val="single"/>
                  <w:lang w:val="hy-AM"/>
                </w:rPr>
                <w:t>www.mlsa.am</w:t>
              </w:r>
            </w:hyperlink>
            <w:r w:rsidRPr="0053423A">
              <w:rPr>
                <w:rFonts w:eastAsia="Calibri" w:cs="Times New Roman"/>
                <w:bCs/>
                <w:iCs/>
                <w:sz w:val="20"/>
                <w:szCs w:val="20"/>
                <w:lang w:val="hy-AM"/>
              </w:rPr>
              <w:t xml:space="preserve"> կայքում:</w:t>
            </w:r>
          </w:p>
          <w:p w:rsidR="00514E01" w:rsidRPr="0053423A" w:rsidRDefault="00514E01" w:rsidP="00A67858">
            <w:pPr>
              <w:spacing w:line="276" w:lineRule="auto"/>
              <w:jc w:val="both"/>
              <w:rPr>
                <w:rFonts w:eastAsia="Calibri" w:cs="Times New Roman"/>
                <w:bCs/>
                <w:iCs/>
                <w:sz w:val="20"/>
                <w:szCs w:val="20"/>
                <w:lang w:val="hy-AM"/>
              </w:rPr>
            </w:pPr>
            <w:r w:rsidRPr="0053423A">
              <w:rPr>
                <w:rFonts w:eastAsia="Calibri" w:cs="Times New Roman"/>
                <w:bCs/>
                <w:iCs/>
                <w:sz w:val="20"/>
                <w:szCs w:val="20"/>
                <w:lang w:val="hy-AM"/>
              </w:rPr>
              <w:t>Այլընտրանքային ծառայությունների ընդլայնման ողջ գործընթացում (օրենսդրության բարելավում, ծառայությունների ընդլայնում) համակատարող են նաև ՀՀ կրթության և գիտության, առողջապահության, տարածքային կառավարման և զարգացման նախարարությունները:</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1.2 առկա խնդիրների առաջարկվող լուծումները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Սույն միջոցառման կարգավորման առարկան երեխաներ ունեցող ընտանիքների՝ կյանքի դժվարին իրավիճակում հայտնվելու կանխարգելելումն է, այդ թվում՝ կյանքի դժվարին իրավիճակում հայտնված 3-18 տարեկան երեխաներին խնամքի տրամադրումը, այդ երեխաների՝ ընտանիքում ապրելու և դաստիարակվելու իրավունքի իրականացմանն աջակցությունը:</w:t>
            </w:r>
          </w:p>
          <w:p w:rsidR="00514E01" w:rsidRPr="0053423A" w:rsidRDefault="00514E01" w:rsidP="00A67858">
            <w:pPr>
              <w:spacing w:line="276" w:lineRule="auto"/>
              <w:jc w:val="both"/>
              <w:rPr>
                <w:rFonts w:eastAsia="Calibri" w:cs="Times New Roman"/>
                <w:sz w:val="20"/>
                <w:szCs w:val="20"/>
                <w:lang w:val="fr-FR"/>
              </w:rPr>
            </w:pPr>
            <w:r w:rsidRPr="0053423A">
              <w:rPr>
                <w:rFonts w:eastAsia="Calibri" w:cs="Times New Roman"/>
                <w:sz w:val="20"/>
                <w:szCs w:val="20"/>
                <w:lang w:val="fr-FR"/>
              </w:rPr>
              <w:t>Երեխաների և նրանց ընտանիքների համար կստեղծվեն այլընտրանքային ծառայություններ, այլընտրանքային հնարավորություն կընձեռնվի նաև վերակազմակերպված հաստատության սաների կենսաբանական ընտանիքներին և</w:t>
            </w:r>
            <w:r w:rsidRPr="0053423A">
              <w:rPr>
                <w:rFonts w:eastAsia="Calibri" w:cs="Times New Roman"/>
                <w:sz w:val="20"/>
                <w:szCs w:val="20"/>
                <w:lang w:val="hy-AM"/>
              </w:rPr>
              <w:t xml:space="preserve"> սոցիալական հրատապ աջակցության կարիք ունեցող սոցիալապես անապահով ընտանիքներին</w:t>
            </w:r>
          </w:p>
          <w:p w:rsidR="00514E01" w:rsidRPr="0053423A" w:rsidRDefault="00514E01" w:rsidP="00A67858">
            <w:pPr>
              <w:spacing w:line="276" w:lineRule="auto"/>
              <w:jc w:val="both"/>
              <w:rPr>
                <w:rFonts w:eastAsia="Calibri" w:cs="Times New Roman"/>
                <w:sz w:val="20"/>
                <w:szCs w:val="20"/>
                <w:lang w:val="fr-FR"/>
              </w:rPr>
            </w:pPr>
            <w:r w:rsidRPr="0053423A">
              <w:rPr>
                <w:rFonts w:eastAsia="Calibri" w:cs="Times New Roman"/>
                <w:sz w:val="20"/>
                <w:szCs w:val="20"/>
                <w:lang w:val="fr-FR"/>
              </w:rPr>
              <w:t>Կստեղծվեն երեխայի խնամքի ցերեկային կենտրոններ և ՀՀ օրենսդրությամբ սահմանված կարգով դրանց  մասնաճյուղերը, որոնք մասնագիտացված ծառայություններ կտրամադրեն կյանքի դժվարին իրավիճակում հայտնված, կամ նման իրավիճակում հայտնվելու ռիսկի ենթակա՝ այդ թվում հաշմանդամություն ունեցող երեխաներին և նրանց ընտանիքներին, ինչպես նաև ընտանիքում բռնության ենթարկված անձանց:</w:t>
            </w:r>
          </w:p>
          <w:p w:rsidR="00514E01" w:rsidRPr="0053423A" w:rsidRDefault="00514E01" w:rsidP="00A67858">
            <w:pPr>
              <w:spacing w:line="276" w:lineRule="auto"/>
              <w:jc w:val="both"/>
              <w:rPr>
                <w:rFonts w:eastAsia="Calibri" w:cs="Times New Roman"/>
                <w:sz w:val="20"/>
                <w:szCs w:val="20"/>
                <w:lang w:val="fr-FR"/>
              </w:rPr>
            </w:pPr>
            <w:r w:rsidRPr="0053423A">
              <w:rPr>
                <w:rFonts w:eastAsia="Calibri" w:cs="Times New Roman"/>
                <w:sz w:val="20"/>
                <w:szCs w:val="20"/>
                <w:lang w:val="fr-FR"/>
              </w:rPr>
              <w:t xml:space="preserve">      Նախագծի ընդունմամբ կապահովվի պետության և հասարակական կազմակերպությունների միջև համագործակցության լայն շրջանակ, կստեղծվեն  գործուն և  թափանցիկ մեխանիզմներ ոլորտում առկա խնդիրների լուծման գործընթացում: </w:t>
            </w:r>
          </w:p>
          <w:p w:rsidR="00514E01" w:rsidRPr="0053423A" w:rsidRDefault="00514E01" w:rsidP="00A67858">
            <w:pPr>
              <w:tabs>
                <w:tab w:val="left" w:pos="0"/>
              </w:tabs>
              <w:spacing w:line="276" w:lineRule="auto"/>
              <w:jc w:val="both"/>
              <w:rPr>
                <w:rFonts w:eastAsia="Calibri" w:cs="Times New Roman"/>
                <w:b/>
                <w:sz w:val="20"/>
                <w:szCs w:val="20"/>
                <w:lang w:val="fr-FR"/>
              </w:rPr>
            </w:pPr>
            <w:r w:rsidRPr="0053423A">
              <w:rPr>
                <w:rFonts w:eastAsia="Calibri" w:cs="Sylfaen"/>
                <w:b/>
                <w:sz w:val="20"/>
                <w:szCs w:val="20"/>
                <w:lang w:val="fr-FR"/>
              </w:rPr>
              <w:t>2.</w:t>
            </w:r>
            <w:r w:rsidRPr="0053423A">
              <w:rPr>
                <w:rFonts w:eastAsia="Calibri" w:cs="Sylfaen"/>
                <w:b/>
                <w:sz w:val="20"/>
                <w:szCs w:val="20"/>
              </w:rPr>
              <w:t>Միջոցառման</w:t>
            </w:r>
            <w:r w:rsidRPr="0053423A">
              <w:rPr>
                <w:rFonts w:eastAsia="Calibri" w:cs="Times New Roman"/>
                <w:b/>
                <w:sz w:val="20"/>
                <w:szCs w:val="20"/>
                <w:lang w:val="fr-FR"/>
              </w:rPr>
              <w:t xml:space="preserve"> </w:t>
            </w:r>
            <w:r w:rsidRPr="0053423A">
              <w:rPr>
                <w:rFonts w:eastAsia="Calibri" w:cs="Times New Roman"/>
                <w:b/>
                <w:sz w:val="20"/>
                <w:szCs w:val="20"/>
              </w:rPr>
              <w:t>իրականացումից</w:t>
            </w:r>
            <w:r w:rsidRPr="0053423A">
              <w:rPr>
                <w:rFonts w:eastAsia="Calibri" w:cs="Times New Roman"/>
                <w:b/>
                <w:sz w:val="20"/>
                <w:szCs w:val="20"/>
                <w:lang w:val="fr-FR"/>
              </w:rPr>
              <w:t xml:space="preserve"> </w:t>
            </w:r>
            <w:r w:rsidRPr="0053423A">
              <w:rPr>
                <w:rFonts w:eastAsia="Calibri" w:cs="Times New Roman"/>
                <w:b/>
                <w:sz w:val="20"/>
                <w:szCs w:val="20"/>
              </w:rPr>
              <w:t>ակնկալվող</w:t>
            </w:r>
            <w:r w:rsidRPr="0053423A">
              <w:rPr>
                <w:rFonts w:eastAsia="Calibri" w:cs="Times New Roman"/>
                <w:b/>
                <w:sz w:val="20"/>
                <w:szCs w:val="20"/>
                <w:lang w:val="fr-FR"/>
              </w:rPr>
              <w:t xml:space="preserve"> </w:t>
            </w:r>
            <w:r w:rsidRPr="0053423A">
              <w:rPr>
                <w:rFonts w:eastAsia="Calibri" w:cs="Times New Roman"/>
                <w:b/>
                <w:sz w:val="20"/>
                <w:szCs w:val="20"/>
              </w:rPr>
              <w:t>արդյունքը</w:t>
            </w:r>
          </w:p>
          <w:p w:rsidR="00514E01" w:rsidRPr="0053423A" w:rsidRDefault="00514E01" w:rsidP="00A67858">
            <w:pPr>
              <w:spacing w:line="276" w:lineRule="auto"/>
              <w:jc w:val="both"/>
              <w:rPr>
                <w:rFonts w:eastAsia="Calibri" w:cs="Times New Roman"/>
                <w:sz w:val="20"/>
                <w:szCs w:val="20"/>
                <w:lang w:val="fr-FR"/>
              </w:rPr>
            </w:pPr>
            <w:r w:rsidRPr="0053423A">
              <w:rPr>
                <w:rFonts w:ascii="Calibri" w:eastAsia="Calibri" w:hAnsi="Calibri" w:cs="Calibri"/>
                <w:sz w:val="20"/>
                <w:szCs w:val="20"/>
                <w:lang w:val="fr-FR"/>
              </w:rPr>
              <w:t> </w:t>
            </w:r>
            <w:r w:rsidRPr="0053423A">
              <w:rPr>
                <w:rFonts w:eastAsia="Calibri" w:cs="Times New Roman"/>
                <w:sz w:val="20"/>
                <w:szCs w:val="20"/>
              </w:rPr>
              <w:t>Արդյունքում</w:t>
            </w:r>
            <w:r w:rsidRPr="0053423A">
              <w:rPr>
                <w:rFonts w:eastAsia="Calibri" w:cs="Times New Roman"/>
                <w:sz w:val="20"/>
                <w:szCs w:val="20"/>
                <w:lang w:val="fr-FR"/>
              </w:rPr>
              <w:t xml:space="preserve"> </w:t>
            </w:r>
            <w:r w:rsidRPr="0053423A">
              <w:rPr>
                <w:rFonts w:eastAsia="Calibri" w:cs="Times New Roman"/>
                <w:sz w:val="20"/>
                <w:szCs w:val="20"/>
              </w:rPr>
              <w:t>կապահովվի</w:t>
            </w:r>
            <w:r w:rsidRPr="0053423A">
              <w:rPr>
                <w:rFonts w:eastAsia="Calibri" w:cs="Times New Roman"/>
                <w:sz w:val="20"/>
                <w:szCs w:val="20"/>
                <w:lang w:val="fr-FR"/>
              </w:rPr>
              <w:t xml:space="preserve"> </w:t>
            </w:r>
            <w:r w:rsidRPr="0053423A">
              <w:rPr>
                <w:rFonts w:eastAsia="Calibri" w:cs="Times New Roman"/>
                <w:sz w:val="20"/>
                <w:szCs w:val="20"/>
              </w:rPr>
              <w:t>երեխաների</w:t>
            </w:r>
            <w:r w:rsidRPr="0053423A">
              <w:rPr>
                <w:rFonts w:eastAsia="Calibri" w:cs="Times New Roman"/>
                <w:sz w:val="20"/>
                <w:szCs w:val="20"/>
                <w:lang w:val="fr-FR"/>
              </w:rPr>
              <w:t xml:space="preserve"> </w:t>
            </w:r>
            <w:r w:rsidRPr="0053423A">
              <w:rPr>
                <w:rFonts w:eastAsia="Calibri" w:cs="Times New Roman"/>
                <w:sz w:val="20"/>
                <w:szCs w:val="20"/>
              </w:rPr>
              <w:t>հետագա</w:t>
            </w:r>
            <w:r w:rsidRPr="0053423A">
              <w:rPr>
                <w:rFonts w:eastAsia="Calibri" w:cs="Times New Roman"/>
                <w:sz w:val="20"/>
                <w:szCs w:val="20"/>
                <w:lang w:val="fr-FR"/>
              </w:rPr>
              <w:t xml:space="preserve"> </w:t>
            </w:r>
            <w:r w:rsidRPr="0053423A">
              <w:rPr>
                <w:rFonts w:eastAsia="Calibri" w:cs="Times New Roman"/>
                <w:sz w:val="20"/>
                <w:szCs w:val="20"/>
              </w:rPr>
              <w:t>խնամքի</w:t>
            </w:r>
            <w:r w:rsidRPr="0053423A">
              <w:rPr>
                <w:rFonts w:eastAsia="Calibri" w:cs="Times New Roman"/>
                <w:sz w:val="20"/>
                <w:szCs w:val="20"/>
                <w:lang w:val="fr-FR"/>
              </w:rPr>
              <w:t xml:space="preserve"> </w:t>
            </w:r>
            <w:r w:rsidRPr="0053423A">
              <w:rPr>
                <w:rFonts w:eastAsia="Calibri" w:cs="Times New Roman"/>
                <w:sz w:val="20"/>
                <w:szCs w:val="20"/>
              </w:rPr>
              <w:t>կազմակերպումը</w:t>
            </w:r>
            <w:r w:rsidRPr="0053423A">
              <w:rPr>
                <w:rFonts w:eastAsia="Calibri" w:cs="Times New Roman"/>
                <w:sz w:val="20"/>
                <w:szCs w:val="20"/>
                <w:lang w:val="fr-FR"/>
              </w:rPr>
              <w:t xml:space="preserve"> </w:t>
            </w:r>
            <w:r w:rsidRPr="0053423A">
              <w:rPr>
                <w:rFonts w:eastAsia="Calibri" w:cs="Times New Roman"/>
                <w:sz w:val="20"/>
                <w:szCs w:val="20"/>
              </w:rPr>
              <w:t>ընտանիքում</w:t>
            </w:r>
            <w:r w:rsidRPr="0053423A">
              <w:rPr>
                <w:rFonts w:eastAsia="Calibri" w:cs="Times New Roman"/>
                <w:sz w:val="20"/>
                <w:szCs w:val="20"/>
                <w:lang w:val="fr-FR"/>
              </w:rPr>
              <w:t xml:space="preserve">,  </w:t>
            </w:r>
            <w:r w:rsidRPr="0053423A">
              <w:rPr>
                <w:rFonts w:eastAsia="Calibri" w:cs="Times New Roman"/>
                <w:sz w:val="20"/>
                <w:szCs w:val="20"/>
              </w:rPr>
              <w:t>կբարելավվի</w:t>
            </w:r>
            <w:r w:rsidRPr="0053423A">
              <w:rPr>
                <w:rFonts w:eastAsia="Calibri" w:cs="Times New Roman"/>
                <w:sz w:val="20"/>
                <w:szCs w:val="20"/>
                <w:lang w:val="fr-FR"/>
              </w:rPr>
              <w:t xml:space="preserve"> </w:t>
            </w:r>
            <w:r w:rsidRPr="0053423A">
              <w:rPr>
                <w:rFonts w:eastAsia="Calibri" w:cs="Times New Roman"/>
                <w:sz w:val="20"/>
                <w:szCs w:val="20"/>
              </w:rPr>
              <w:t>նրանց</w:t>
            </w:r>
            <w:r w:rsidRPr="0053423A">
              <w:rPr>
                <w:rFonts w:eastAsia="Calibri" w:cs="Times New Roman"/>
                <w:sz w:val="20"/>
                <w:szCs w:val="20"/>
                <w:lang w:val="fr-FR"/>
              </w:rPr>
              <w:t xml:space="preserve"> </w:t>
            </w:r>
            <w:r w:rsidRPr="0053423A">
              <w:rPr>
                <w:rFonts w:eastAsia="Calibri" w:cs="Times New Roman"/>
                <w:sz w:val="20"/>
                <w:szCs w:val="20"/>
              </w:rPr>
              <w:t>կյանքի</w:t>
            </w:r>
            <w:r w:rsidRPr="0053423A">
              <w:rPr>
                <w:rFonts w:eastAsia="Calibri" w:cs="Times New Roman"/>
                <w:sz w:val="20"/>
                <w:szCs w:val="20"/>
                <w:lang w:val="fr-FR"/>
              </w:rPr>
              <w:t xml:space="preserve"> </w:t>
            </w:r>
            <w:r w:rsidRPr="0053423A">
              <w:rPr>
                <w:rFonts w:eastAsia="Calibri" w:cs="Times New Roman"/>
                <w:sz w:val="20"/>
                <w:szCs w:val="20"/>
              </w:rPr>
              <w:t>որակը</w:t>
            </w:r>
            <w:r w:rsidRPr="0053423A">
              <w:rPr>
                <w:rFonts w:eastAsia="Calibri" w:cs="Times New Roman"/>
                <w:sz w:val="20"/>
                <w:szCs w:val="20"/>
                <w:lang w:val="fr-FR"/>
              </w:rPr>
              <w:t xml:space="preserve">,  </w:t>
            </w:r>
            <w:r w:rsidRPr="0053423A">
              <w:rPr>
                <w:rFonts w:eastAsia="Calibri" w:cs="Times New Roman"/>
                <w:sz w:val="20"/>
                <w:szCs w:val="20"/>
              </w:rPr>
              <w:t>կնպաստի</w:t>
            </w:r>
            <w:r w:rsidRPr="0053423A">
              <w:rPr>
                <w:rFonts w:eastAsia="Calibri" w:cs="Times New Roman"/>
                <w:sz w:val="20"/>
                <w:szCs w:val="20"/>
                <w:lang w:val="fr-FR"/>
              </w:rPr>
              <w:t xml:space="preserve"> </w:t>
            </w:r>
            <w:r w:rsidRPr="0053423A">
              <w:rPr>
                <w:rFonts w:eastAsia="Calibri" w:cs="Times New Roman"/>
                <w:sz w:val="20"/>
                <w:szCs w:val="20"/>
              </w:rPr>
              <w:t>նրանց</w:t>
            </w:r>
            <w:r w:rsidRPr="0053423A">
              <w:rPr>
                <w:rFonts w:eastAsia="Calibri" w:cs="Times New Roman"/>
                <w:sz w:val="20"/>
                <w:szCs w:val="20"/>
                <w:lang w:val="fr-FR"/>
              </w:rPr>
              <w:t xml:space="preserve"> </w:t>
            </w:r>
            <w:r w:rsidRPr="0053423A">
              <w:rPr>
                <w:rFonts w:eastAsia="Calibri" w:cs="Times New Roman"/>
                <w:sz w:val="20"/>
                <w:szCs w:val="20"/>
              </w:rPr>
              <w:t>ինտեգրմանը</w:t>
            </w:r>
            <w:r w:rsidRPr="0053423A">
              <w:rPr>
                <w:rFonts w:eastAsia="Calibri" w:cs="Times New Roman"/>
                <w:sz w:val="20"/>
                <w:szCs w:val="20"/>
                <w:lang w:val="fr-FR"/>
              </w:rPr>
              <w:t xml:space="preserve"> </w:t>
            </w:r>
            <w:r w:rsidRPr="0053423A">
              <w:rPr>
                <w:rFonts w:eastAsia="Calibri" w:cs="Times New Roman"/>
                <w:sz w:val="20"/>
                <w:szCs w:val="20"/>
              </w:rPr>
              <w:t>հասարակություն</w:t>
            </w:r>
            <w:r w:rsidRPr="0053423A">
              <w:rPr>
                <w:rFonts w:eastAsia="Calibri" w:cs="Times New Roman"/>
                <w:sz w:val="20"/>
                <w:szCs w:val="20"/>
                <w:lang w:val="fr-FR"/>
              </w:rPr>
              <w:t xml:space="preserve">, </w:t>
            </w:r>
            <w:r w:rsidRPr="0053423A">
              <w:rPr>
                <w:rFonts w:eastAsia="Calibri" w:cs="Times New Roman"/>
                <w:sz w:val="20"/>
                <w:szCs w:val="20"/>
              </w:rPr>
              <w:t>ինչպես</w:t>
            </w:r>
            <w:r w:rsidRPr="0053423A">
              <w:rPr>
                <w:rFonts w:eastAsia="Calibri" w:cs="Times New Roman"/>
                <w:sz w:val="20"/>
                <w:szCs w:val="20"/>
                <w:lang w:val="fr-FR"/>
              </w:rPr>
              <w:t xml:space="preserve"> </w:t>
            </w:r>
            <w:r w:rsidRPr="0053423A">
              <w:rPr>
                <w:rFonts w:eastAsia="Calibri" w:cs="Times New Roman"/>
                <w:sz w:val="20"/>
                <w:szCs w:val="20"/>
              </w:rPr>
              <w:t>նաև</w:t>
            </w:r>
            <w:r w:rsidRPr="0053423A">
              <w:rPr>
                <w:rFonts w:eastAsia="Calibri" w:cs="Times New Roman"/>
                <w:sz w:val="20"/>
                <w:szCs w:val="20"/>
                <w:lang w:val="fr-FR"/>
              </w:rPr>
              <w:t xml:space="preserve"> </w:t>
            </w:r>
            <w:r w:rsidRPr="0053423A">
              <w:rPr>
                <w:rFonts w:eastAsia="Calibri" w:cs="Times New Roman"/>
                <w:sz w:val="20"/>
                <w:szCs w:val="20"/>
              </w:rPr>
              <w:t>կապահովվի</w:t>
            </w:r>
            <w:r w:rsidRPr="0053423A">
              <w:rPr>
                <w:rFonts w:eastAsia="Calibri" w:cs="Times New Roman"/>
                <w:sz w:val="20"/>
                <w:szCs w:val="20"/>
                <w:lang w:val="fr-FR"/>
              </w:rPr>
              <w:t xml:space="preserve"> </w:t>
            </w:r>
            <w:r w:rsidRPr="0053423A">
              <w:rPr>
                <w:rFonts w:eastAsia="Calibri" w:cs="Times New Roman"/>
                <w:sz w:val="20"/>
                <w:szCs w:val="20"/>
              </w:rPr>
              <w:t>հաստատություններ</w:t>
            </w:r>
            <w:r w:rsidRPr="0053423A">
              <w:rPr>
                <w:rFonts w:eastAsia="Calibri" w:cs="Times New Roman"/>
                <w:sz w:val="20"/>
                <w:szCs w:val="20"/>
                <w:lang w:val="fr-FR"/>
              </w:rPr>
              <w:t xml:space="preserve"> </w:t>
            </w:r>
            <w:r w:rsidRPr="0053423A">
              <w:rPr>
                <w:rFonts w:eastAsia="Calibri" w:cs="Times New Roman"/>
                <w:sz w:val="20"/>
                <w:szCs w:val="20"/>
              </w:rPr>
              <w:t>երեխաների</w:t>
            </w:r>
            <w:r w:rsidRPr="0053423A">
              <w:rPr>
                <w:rFonts w:eastAsia="Calibri" w:cs="Times New Roman"/>
                <w:sz w:val="20"/>
                <w:szCs w:val="20"/>
                <w:lang w:val="fr-FR"/>
              </w:rPr>
              <w:t xml:space="preserve"> </w:t>
            </w:r>
            <w:r w:rsidRPr="0053423A">
              <w:rPr>
                <w:rFonts w:eastAsia="Calibri" w:cs="Times New Roman"/>
                <w:sz w:val="20"/>
                <w:szCs w:val="20"/>
              </w:rPr>
              <w:t>մուտքի</w:t>
            </w:r>
            <w:r w:rsidRPr="0053423A">
              <w:rPr>
                <w:rFonts w:eastAsia="Calibri" w:cs="Times New Roman"/>
                <w:sz w:val="20"/>
                <w:szCs w:val="20"/>
                <w:lang w:val="fr-FR"/>
              </w:rPr>
              <w:t xml:space="preserve"> </w:t>
            </w:r>
            <w:r w:rsidRPr="0053423A">
              <w:rPr>
                <w:rFonts w:eastAsia="Calibri" w:cs="Times New Roman"/>
                <w:sz w:val="20"/>
                <w:szCs w:val="20"/>
              </w:rPr>
              <w:t>կանխարգելմանը</w:t>
            </w:r>
            <w:r w:rsidRPr="0053423A">
              <w:rPr>
                <w:rFonts w:eastAsia="Calibri" w:cs="Times New Roman"/>
                <w:sz w:val="20"/>
                <w:szCs w:val="20"/>
                <w:lang w:val="fr-FR"/>
              </w:rPr>
              <w:t>:</w:t>
            </w:r>
          </w:p>
          <w:p w:rsidR="00514E01" w:rsidRPr="0053423A" w:rsidRDefault="00514E01" w:rsidP="00A67858">
            <w:pPr>
              <w:spacing w:line="276" w:lineRule="auto"/>
              <w:jc w:val="both"/>
              <w:rPr>
                <w:rFonts w:eastAsia="Calibri" w:cs="Times New Roman"/>
                <w:sz w:val="20"/>
                <w:szCs w:val="20"/>
                <w:lang w:val="fr-FR"/>
              </w:rPr>
            </w:pPr>
            <w:r w:rsidRPr="0053423A">
              <w:rPr>
                <w:rFonts w:ascii="Calibri" w:eastAsia="Calibri" w:hAnsi="Calibri" w:cs="Calibri"/>
                <w:sz w:val="20"/>
                <w:szCs w:val="20"/>
                <w:lang w:val="fr-FR"/>
              </w:rPr>
              <w:t> </w:t>
            </w:r>
            <w:r w:rsidRPr="0053423A">
              <w:rPr>
                <w:rFonts w:eastAsia="Calibri" w:cs="Times New Roman"/>
                <w:sz w:val="20"/>
                <w:szCs w:val="20"/>
              </w:rPr>
              <w:t>Իրավական</w:t>
            </w:r>
            <w:r w:rsidRPr="0053423A">
              <w:rPr>
                <w:rFonts w:eastAsia="Calibri" w:cs="Times New Roman"/>
                <w:sz w:val="20"/>
                <w:szCs w:val="20"/>
                <w:lang w:val="fr-FR"/>
              </w:rPr>
              <w:t xml:space="preserve"> </w:t>
            </w:r>
            <w:r w:rsidRPr="0053423A">
              <w:rPr>
                <w:rFonts w:eastAsia="Calibri" w:cs="Times New Roman"/>
                <w:sz w:val="20"/>
                <w:szCs w:val="20"/>
              </w:rPr>
              <w:t>ակտի</w:t>
            </w:r>
            <w:r w:rsidRPr="0053423A">
              <w:rPr>
                <w:rFonts w:eastAsia="Calibri" w:cs="Times New Roman"/>
                <w:sz w:val="20"/>
                <w:szCs w:val="20"/>
                <w:lang w:val="fr-FR"/>
              </w:rPr>
              <w:t xml:space="preserve"> </w:t>
            </w:r>
            <w:r w:rsidRPr="0053423A">
              <w:rPr>
                <w:rFonts w:eastAsia="Calibri" w:cs="Times New Roman"/>
                <w:sz w:val="20"/>
                <w:szCs w:val="20"/>
              </w:rPr>
              <w:t>ընդունման</w:t>
            </w:r>
            <w:r w:rsidRPr="0053423A">
              <w:rPr>
                <w:rFonts w:eastAsia="Calibri" w:cs="Times New Roman"/>
                <w:sz w:val="20"/>
                <w:szCs w:val="20"/>
                <w:lang w:val="fr-FR"/>
              </w:rPr>
              <w:t xml:space="preserve"> </w:t>
            </w:r>
            <w:r w:rsidRPr="0053423A">
              <w:rPr>
                <w:rFonts w:eastAsia="Calibri" w:cs="Times New Roman"/>
                <w:sz w:val="20"/>
                <w:szCs w:val="20"/>
              </w:rPr>
              <w:t>արդյունքում</w:t>
            </w:r>
            <w:r w:rsidRPr="0053423A">
              <w:rPr>
                <w:rFonts w:eastAsia="Calibri" w:cs="Times New Roman"/>
                <w:sz w:val="20"/>
                <w:szCs w:val="20"/>
                <w:lang w:val="fr-FR"/>
              </w:rPr>
              <w:t xml:space="preserve"> </w:t>
            </w:r>
            <w:r w:rsidRPr="0053423A">
              <w:rPr>
                <w:rFonts w:eastAsia="Calibri" w:cs="Times New Roman"/>
                <w:sz w:val="20"/>
                <w:szCs w:val="20"/>
              </w:rPr>
              <w:t>կապահովվեն</w:t>
            </w:r>
            <w:r w:rsidRPr="0053423A">
              <w:rPr>
                <w:rFonts w:eastAsia="Calibri" w:cs="Times New Roman"/>
                <w:sz w:val="20"/>
                <w:szCs w:val="20"/>
                <w:lang w:val="fr-FR"/>
              </w:rPr>
              <w:t xml:space="preserve"> </w:t>
            </w:r>
            <w:r w:rsidRPr="0053423A">
              <w:rPr>
                <w:rFonts w:eastAsia="Calibri" w:cs="Times New Roman"/>
                <w:sz w:val="20"/>
                <w:szCs w:val="20"/>
              </w:rPr>
              <w:t>երեխաներին</w:t>
            </w:r>
            <w:r w:rsidRPr="0053423A">
              <w:rPr>
                <w:rFonts w:eastAsia="Calibri" w:cs="Times New Roman"/>
                <w:sz w:val="20"/>
                <w:szCs w:val="20"/>
                <w:lang w:val="fr-FR"/>
              </w:rPr>
              <w:t xml:space="preserve"> </w:t>
            </w:r>
            <w:r w:rsidRPr="0053423A">
              <w:rPr>
                <w:rFonts w:eastAsia="Calibri" w:cs="Times New Roman"/>
                <w:sz w:val="20"/>
                <w:szCs w:val="20"/>
              </w:rPr>
              <w:t>և</w:t>
            </w:r>
            <w:r w:rsidRPr="0053423A">
              <w:rPr>
                <w:rFonts w:eastAsia="Calibri" w:cs="Times New Roman"/>
                <w:sz w:val="20"/>
                <w:szCs w:val="20"/>
                <w:lang w:val="fr-FR"/>
              </w:rPr>
              <w:t xml:space="preserve"> </w:t>
            </w:r>
            <w:r w:rsidRPr="0053423A">
              <w:rPr>
                <w:rFonts w:eastAsia="Calibri" w:cs="Times New Roman"/>
                <w:sz w:val="20"/>
                <w:szCs w:val="20"/>
              </w:rPr>
              <w:t>նրանց</w:t>
            </w:r>
            <w:r w:rsidRPr="0053423A">
              <w:rPr>
                <w:rFonts w:eastAsia="Calibri" w:cs="Times New Roman"/>
                <w:sz w:val="20"/>
                <w:szCs w:val="20"/>
                <w:lang w:val="fr-FR"/>
              </w:rPr>
              <w:t xml:space="preserve"> </w:t>
            </w:r>
            <w:r w:rsidRPr="0053423A">
              <w:rPr>
                <w:rFonts w:eastAsia="Calibri" w:cs="Times New Roman"/>
                <w:sz w:val="20"/>
                <w:szCs w:val="20"/>
              </w:rPr>
              <w:t>ընտանիքներին</w:t>
            </w:r>
            <w:r w:rsidRPr="0053423A">
              <w:rPr>
                <w:rFonts w:eastAsia="Calibri" w:cs="Times New Roman"/>
                <w:sz w:val="20"/>
                <w:szCs w:val="20"/>
                <w:lang w:val="fr-FR"/>
              </w:rPr>
              <w:t xml:space="preserve"> </w:t>
            </w:r>
            <w:r w:rsidRPr="0053423A">
              <w:rPr>
                <w:rFonts w:eastAsia="Calibri" w:cs="Times New Roman"/>
                <w:sz w:val="20"/>
                <w:szCs w:val="20"/>
              </w:rPr>
              <w:t>բազմաբնույթ</w:t>
            </w:r>
            <w:r w:rsidRPr="0053423A">
              <w:rPr>
                <w:rFonts w:eastAsia="Calibri" w:cs="Times New Roman"/>
                <w:sz w:val="20"/>
                <w:szCs w:val="20"/>
                <w:lang w:val="fr-FR"/>
              </w:rPr>
              <w:t xml:space="preserve">, </w:t>
            </w:r>
            <w:r w:rsidRPr="0053423A">
              <w:rPr>
                <w:rFonts w:eastAsia="Calibri" w:cs="Times New Roman"/>
                <w:sz w:val="20"/>
                <w:szCs w:val="20"/>
              </w:rPr>
              <w:t>հասցեական</w:t>
            </w:r>
            <w:r w:rsidRPr="0053423A">
              <w:rPr>
                <w:rFonts w:eastAsia="Calibri" w:cs="Times New Roman"/>
                <w:sz w:val="20"/>
                <w:szCs w:val="20"/>
                <w:lang w:val="fr-FR"/>
              </w:rPr>
              <w:t xml:space="preserve"> </w:t>
            </w:r>
            <w:r w:rsidRPr="0053423A">
              <w:rPr>
                <w:rFonts w:eastAsia="Calibri" w:cs="Times New Roman"/>
                <w:sz w:val="20"/>
                <w:szCs w:val="20"/>
              </w:rPr>
              <w:t>ծառայություններ</w:t>
            </w:r>
            <w:r w:rsidRPr="0053423A">
              <w:rPr>
                <w:rFonts w:eastAsia="Calibri" w:cs="Times New Roman"/>
                <w:sz w:val="20"/>
                <w:szCs w:val="20"/>
                <w:lang w:val="fr-FR"/>
              </w:rPr>
              <w:t xml:space="preserve">, </w:t>
            </w:r>
            <w:r w:rsidRPr="0053423A">
              <w:rPr>
                <w:rFonts w:eastAsia="Calibri" w:cs="Times New Roman"/>
                <w:sz w:val="20"/>
                <w:szCs w:val="20"/>
              </w:rPr>
              <w:t>կկանոնակարգվի</w:t>
            </w:r>
            <w:r w:rsidRPr="0053423A">
              <w:rPr>
                <w:rFonts w:eastAsia="Calibri" w:cs="Times New Roman"/>
                <w:sz w:val="20"/>
                <w:szCs w:val="20"/>
                <w:lang w:val="fr-FR"/>
              </w:rPr>
              <w:t xml:space="preserve"> </w:t>
            </w:r>
            <w:r w:rsidRPr="0053423A">
              <w:rPr>
                <w:rFonts w:eastAsia="Calibri" w:cs="Times New Roman"/>
                <w:sz w:val="20"/>
                <w:szCs w:val="20"/>
              </w:rPr>
              <w:t>իրավական</w:t>
            </w:r>
            <w:r w:rsidRPr="0053423A">
              <w:rPr>
                <w:rFonts w:eastAsia="Calibri" w:cs="Times New Roman"/>
                <w:sz w:val="20"/>
                <w:szCs w:val="20"/>
                <w:lang w:val="fr-FR"/>
              </w:rPr>
              <w:t xml:space="preserve"> </w:t>
            </w:r>
            <w:r w:rsidRPr="0053423A">
              <w:rPr>
                <w:rFonts w:eastAsia="Calibri" w:cs="Times New Roman"/>
                <w:sz w:val="20"/>
                <w:szCs w:val="20"/>
              </w:rPr>
              <w:t>դաշտը</w:t>
            </w:r>
            <w:r w:rsidRPr="0053423A">
              <w:rPr>
                <w:rFonts w:eastAsia="Calibri" w:cs="Times New Roman"/>
                <w:sz w:val="20"/>
                <w:szCs w:val="20"/>
                <w:lang w:val="fr-FR"/>
              </w:rPr>
              <w:t>:</w:t>
            </w:r>
          </w:p>
          <w:p w:rsidR="00514E01" w:rsidRPr="0053423A" w:rsidRDefault="00514E01" w:rsidP="00A67858">
            <w:pPr>
              <w:spacing w:line="276" w:lineRule="auto"/>
              <w:jc w:val="both"/>
              <w:rPr>
                <w:rFonts w:eastAsia="Calibri" w:cs="Times New Roman"/>
                <w:sz w:val="20"/>
                <w:szCs w:val="20"/>
                <w:lang w:val="fr-FR"/>
              </w:rPr>
            </w:pPr>
            <w:r w:rsidRPr="0053423A">
              <w:rPr>
                <w:rFonts w:eastAsia="Calibri" w:cs="Times New Roman"/>
                <w:sz w:val="20"/>
                <w:szCs w:val="20"/>
                <w:lang w:val="fr-FR"/>
              </w:rPr>
              <w:t>Կստեղծվեն հասարակական կազմակերպություններին պատվիրակվող ծրագրերի նոր մեխանիզմներ, կկանոնակարգվի իրավահարաբերությունները:</w:t>
            </w:r>
          </w:p>
          <w:p w:rsidR="00514E01" w:rsidRPr="0053423A" w:rsidRDefault="00514E01" w:rsidP="00A67858">
            <w:pPr>
              <w:spacing w:line="276" w:lineRule="auto"/>
              <w:rPr>
                <w:sz w:val="20"/>
                <w:szCs w:val="20"/>
                <w:lang w:val="hy-AM"/>
              </w:rPr>
            </w:pPr>
            <w:r w:rsidRPr="0053423A">
              <w:rPr>
                <w:rFonts w:eastAsia="Calibri" w:cs="Times New Roman"/>
                <w:sz w:val="20"/>
                <w:szCs w:val="20"/>
                <w:lang w:val="af-ZA"/>
              </w:rPr>
              <w:t xml:space="preserve">Կվերակազմակերպվեն, կլուծարվեն </w:t>
            </w:r>
            <w:r w:rsidRPr="0053423A">
              <w:rPr>
                <w:rFonts w:eastAsia="Calibri" w:cs="Times New Roman"/>
                <w:sz w:val="20"/>
                <w:szCs w:val="20"/>
              </w:rPr>
              <w:t>նախարարության</w:t>
            </w:r>
            <w:r w:rsidRPr="0053423A">
              <w:rPr>
                <w:rFonts w:eastAsia="Calibri" w:cs="Times New Roman"/>
                <w:sz w:val="20"/>
                <w:szCs w:val="20"/>
                <w:lang w:val="af-ZA"/>
              </w:rPr>
              <w:t xml:space="preserve"> </w:t>
            </w:r>
            <w:r w:rsidRPr="0053423A">
              <w:rPr>
                <w:rFonts w:eastAsia="Calibri" w:cs="Times New Roman"/>
                <w:sz w:val="20"/>
                <w:szCs w:val="20"/>
              </w:rPr>
              <w:t>համակարգի</w:t>
            </w:r>
            <w:r w:rsidRPr="0053423A">
              <w:rPr>
                <w:rFonts w:eastAsia="Calibri" w:cs="Times New Roman"/>
                <w:sz w:val="20"/>
                <w:szCs w:val="20"/>
                <w:lang w:val="af-ZA"/>
              </w:rPr>
              <w:t xml:space="preserve"> </w:t>
            </w:r>
            <w:r w:rsidRPr="0053423A">
              <w:rPr>
                <w:rFonts w:eastAsia="Calibri" w:cs="Times New Roman"/>
                <w:sz w:val="20"/>
                <w:szCs w:val="20"/>
              </w:rPr>
              <w:t>բնակչության</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պաշտպանության</w:t>
            </w:r>
            <w:r w:rsidRPr="0053423A">
              <w:rPr>
                <w:rFonts w:eastAsia="Calibri" w:cs="Times New Roman"/>
                <w:sz w:val="20"/>
                <w:szCs w:val="20"/>
                <w:lang w:val="af-ZA"/>
              </w:rPr>
              <w:t xml:space="preserve"> </w:t>
            </w:r>
            <w:r w:rsidRPr="0053423A">
              <w:rPr>
                <w:rFonts w:eastAsia="Calibri" w:cs="Times New Roman"/>
                <w:sz w:val="20"/>
                <w:szCs w:val="20"/>
              </w:rPr>
              <w:t>հաստատությունները</w:t>
            </w:r>
            <w:r w:rsidRPr="0053423A">
              <w:rPr>
                <w:rFonts w:eastAsia="Calibri" w:cs="Times New Roman"/>
                <w:sz w:val="20"/>
                <w:szCs w:val="20"/>
                <w:lang w:val="af-ZA"/>
              </w:rPr>
              <w:t xml:space="preserve"> (Բյուրեղավանի երեխաների խնամքի և պաշտպանության գիշերօթիկ հաստատություն, Գյումրու երեխաների խնամքի և պաշտպանության թիվ 1 գիշերօթիկ հաստատություն, Գյումրու երեխաների խնամքի և պաշտպանության թիվ 2 գիշերօթիկ հաստատություն, Դիլիջանի երեխաների խնամքի և պաշտպանության թիվ 1 գիշերօթիկ հաստատություն).</w:t>
            </w:r>
            <w:r w:rsidRPr="0053423A">
              <w:rPr>
                <w:rFonts w:eastAsia="Calibri" w:cs="Times New Roman"/>
                <w:sz w:val="20"/>
                <w:szCs w:val="20"/>
                <w:lang w:val="et-EE"/>
              </w:rPr>
              <w:t xml:space="preserve"> դրանցում խնամվող երեխաները կվերադառնան կենսաբանական ընտանիքներ, </w:t>
            </w:r>
            <w:r w:rsidRPr="0053423A">
              <w:rPr>
                <w:rFonts w:eastAsia="Calibri" w:cs="Times New Roman"/>
                <w:sz w:val="20"/>
                <w:szCs w:val="20"/>
                <w:lang w:val="af-ZA"/>
              </w:rPr>
              <w:t xml:space="preserve">կստեղծվեն կյանքի դժվարին իրավիճակում հայտնված երեխաներին և ընտանիքներին </w:t>
            </w:r>
            <w:r w:rsidRPr="0053423A">
              <w:rPr>
                <w:rFonts w:eastAsia="Calibri" w:cs="Times New Roman"/>
                <w:bCs/>
                <w:sz w:val="20"/>
                <w:szCs w:val="20"/>
                <w:lang w:val="af-ZA"/>
              </w:rPr>
              <w:t xml:space="preserve">սոցիալ-վերականգնողական ծառայություններ տրամադրող այլընտրանքային  կառույցներ: </w:t>
            </w:r>
            <w:r w:rsidRPr="0053423A">
              <w:rPr>
                <w:rFonts w:eastAsia="Calibri" w:cs="Times New Roman"/>
                <w:sz w:val="20"/>
                <w:szCs w:val="20"/>
              </w:rPr>
              <w:t>Ի</w:t>
            </w:r>
            <w:r w:rsidRPr="0053423A">
              <w:rPr>
                <w:rFonts w:eastAsia="Calibri" w:cs="Times New Roman"/>
                <w:sz w:val="20"/>
                <w:szCs w:val="20"/>
                <w:lang w:val="ru-RU"/>
              </w:rPr>
              <w:t>նչպես</w:t>
            </w:r>
            <w:r w:rsidRPr="0053423A">
              <w:rPr>
                <w:rFonts w:eastAsia="Calibri" w:cs="Times New Roman"/>
                <w:sz w:val="20"/>
                <w:szCs w:val="20"/>
                <w:lang w:val="fr-FR"/>
              </w:rPr>
              <w:t xml:space="preserve"> </w:t>
            </w:r>
            <w:r w:rsidRPr="0053423A">
              <w:rPr>
                <w:rFonts w:eastAsia="Calibri" w:cs="Times New Roman"/>
                <w:sz w:val="20"/>
                <w:szCs w:val="20"/>
                <w:lang w:val="ru-RU"/>
              </w:rPr>
              <w:t>նաև</w:t>
            </w:r>
            <w:r w:rsidRPr="0053423A">
              <w:rPr>
                <w:rFonts w:eastAsia="Calibri" w:cs="Times New Roman"/>
                <w:sz w:val="20"/>
                <w:szCs w:val="20"/>
                <w:lang w:val="fr-FR"/>
              </w:rPr>
              <w:t xml:space="preserve"> </w:t>
            </w:r>
            <w:r w:rsidRPr="0053423A">
              <w:rPr>
                <w:rFonts w:eastAsia="Calibri" w:cs="Times New Roman"/>
                <w:sz w:val="20"/>
                <w:szCs w:val="20"/>
                <w:lang w:val="ru-RU"/>
              </w:rPr>
              <w:t>շուրջօրյա</w:t>
            </w:r>
            <w:r w:rsidRPr="0053423A">
              <w:rPr>
                <w:rFonts w:eastAsia="Calibri" w:cs="Times New Roman"/>
                <w:sz w:val="20"/>
                <w:szCs w:val="20"/>
                <w:lang w:val="fr-FR"/>
              </w:rPr>
              <w:t xml:space="preserve"> </w:t>
            </w:r>
            <w:r w:rsidRPr="0053423A">
              <w:rPr>
                <w:rFonts w:eastAsia="Calibri" w:cs="Times New Roman"/>
                <w:sz w:val="20"/>
                <w:szCs w:val="20"/>
                <w:lang w:val="ru-RU"/>
              </w:rPr>
              <w:t>խնամքի</w:t>
            </w:r>
            <w:r w:rsidRPr="0053423A">
              <w:rPr>
                <w:rFonts w:eastAsia="Calibri" w:cs="Times New Roman"/>
                <w:sz w:val="20"/>
                <w:szCs w:val="20"/>
                <w:lang w:val="fr-FR"/>
              </w:rPr>
              <w:t xml:space="preserve"> </w:t>
            </w:r>
            <w:r w:rsidRPr="0053423A">
              <w:rPr>
                <w:rFonts w:eastAsia="Calibri" w:cs="Times New Roman"/>
                <w:sz w:val="20"/>
                <w:szCs w:val="20"/>
                <w:lang w:val="ru-RU"/>
              </w:rPr>
              <w:t>կարիք</w:t>
            </w:r>
            <w:r w:rsidRPr="0053423A">
              <w:rPr>
                <w:rFonts w:eastAsia="Calibri" w:cs="Times New Roman"/>
                <w:sz w:val="20"/>
                <w:szCs w:val="20"/>
                <w:lang w:val="fr-FR"/>
              </w:rPr>
              <w:t xml:space="preserve"> </w:t>
            </w:r>
            <w:r w:rsidRPr="0053423A">
              <w:rPr>
                <w:rFonts w:eastAsia="Calibri" w:cs="Times New Roman"/>
                <w:sz w:val="20"/>
                <w:szCs w:val="20"/>
                <w:lang w:val="ru-RU"/>
              </w:rPr>
              <w:t>ունեցող</w:t>
            </w:r>
            <w:r w:rsidRPr="0053423A">
              <w:rPr>
                <w:rFonts w:eastAsia="Calibri" w:cs="Times New Roman"/>
                <w:sz w:val="20"/>
                <w:szCs w:val="20"/>
                <w:lang w:val="fr-FR"/>
              </w:rPr>
              <w:t xml:space="preserve"> </w:t>
            </w:r>
            <w:r w:rsidRPr="0053423A">
              <w:rPr>
                <w:rFonts w:eastAsia="Calibri" w:cs="Times New Roman"/>
                <w:sz w:val="20"/>
                <w:szCs w:val="20"/>
                <w:lang w:val="ru-RU"/>
              </w:rPr>
              <w:t>երեխաների</w:t>
            </w:r>
            <w:r w:rsidRPr="0053423A">
              <w:rPr>
                <w:rFonts w:eastAsia="Calibri" w:cs="Times New Roman"/>
                <w:sz w:val="20"/>
                <w:szCs w:val="20"/>
                <w:lang w:val="fr-FR"/>
              </w:rPr>
              <w:t xml:space="preserve"> </w:t>
            </w:r>
            <w:r w:rsidRPr="0053423A">
              <w:rPr>
                <w:rFonts w:eastAsia="Calibri" w:cs="Times New Roman"/>
                <w:sz w:val="20"/>
                <w:szCs w:val="20"/>
                <w:lang w:val="ru-RU"/>
              </w:rPr>
              <w:t>հետագա</w:t>
            </w:r>
            <w:r w:rsidRPr="0053423A">
              <w:rPr>
                <w:rFonts w:eastAsia="Calibri" w:cs="Times New Roman"/>
                <w:sz w:val="20"/>
                <w:szCs w:val="20"/>
                <w:lang w:val="fr-FR"/>
              </w:rPr>
              <w:t xml:space="preserve"> </w:t>
            </w:r>
            <w:r w:rsidRPr="0053423A">
              <w:rPr>
                <w:rFonts w:eastAsia="Calibri" w:cs="Times New Roman"/>
                <w:sz w:val="20"/>
                <w:szCs w:val="20"/>
                <w:lang w:val="ru-RU"/>
              </w:rPr>
              <w:t>խնամքը</w:t>
            </w:r>
            <w:r w:rsidRPr="0053423A">
              <w:rPr>
                <w:rFonts w:eastAsia="Calibri" w:cs="Times New Roman"/>
                <w:sz w:val="20"/>
                <w:szCs w:val="20"/>
                <w:lang w:val="fr-FR"/>
              </w:rPr>
              <w:t xml:space="preserve"> </w:t>
            </w:r>
            <w:r w:rsidRPr="0053423A">
              <w:rPr>
                <w:rFonts w:eastAsia="Calibri" w:cs="Times New Roman"/>
                <w:sz w:val="20"/>
                <w:szCs w:val="20"/>
                <w:lang w:val="ru-RU"/>
              </w:rPr>
              <w:t>կկազմակերպվի</w:t>
            </w:r>
            <w:r w:rsidRPr="0053423A">
              <w:rPr>
                <w:rFonts w:eastAsia="Calibri" w:cs="Times New Roman"/>
                <w:sz w:val="20"/>
                <w:szCs w:val="20"/>
                <w:lang w:val="et-EE"/>
              </w:rPr>
              <w:t xml:space="preserve"> փոխարինող ընտանիքներում, (խնամակալի, հոգաբարձուի, խնամատար ծնողի)</w:t>
            </w:r>
            <w:r w:rsidRPr="0053423A">
              <w:rPr>
                <w:rFonts w:eastAsia="Calibri" w:cs="Times New Roman"/>
                <w:sz w:val="20"/>
                <w:szCs w:val="20"/>
                <w:lang w:val="hy-AM"/>
              </w:rPr>
              <w:t>,</w:t>
            </w:r>
            <w:r w:rsidRPr="0053423A">
              <w:rPr>
                <w:rFonts w:eastAsia="Calibri" w:cs="Times New Roman"/>
                <w:sz w:val="20"/>
                <w:szCs w:val="20"/>
                <w:lang w:val="et-EE"/>
              </w:rPr>
              <w:t xml:space="preserve"> իսկ դրա անհնարինության դեպ</w:t>
            </w:r>
            <w:r w:rsidRPr="0053423A">
              <w:rPr>
                <w:rFonts w:eastAsia="Calibri" w:cs="Times New Roman"/>
                <w:sz w:val="20"/>
                <w:szCs w:val="20"/>
                <w:lang w:val="hy-AM"/>
              </w:rPr>
              <w:t>ք</w:t>
            </w:r>
            <w:r w:rsidRPr="0053423A">
              <w:rPr>
                <w:rFonts w:eastAsia="Calibri" w:cs="Times New Roman"/>
                <w:sz w:val="20"/>
                <w:szCs w:val="20"/>
                <w:lang w:val="et-EE"/>
              </w:rPr>
              <w:t xml:space="preserve">ում՝ </w:t>
            </w:r>
            <w:r w:rsidRPr="0053423A">
              <w:rPr>
                <w:rFonts w:eastAsia="Calibri" w:cs="Times New Roman"/>
                <w:sz w:val="20"/>
                <w:szCs w:val="20"/>
                <w:lang w:val="ru-RU"/>
              </w:rPr>
              <w:t>շուրջօրյա</w:t>
            </w:r>
            <w:r w:rsidRPr="0053423A">
              <w:rPr>
                <w:rFonts w:eastAsia="Calibri" w:cs="Times New Roman"/>
                <w:sz w:val="20"/>
                <w:szCs w:val="20"/>
                <w:lang w:val="fr-FR"/>
              </w:rPr>
              <w:t xml:space="preserve"> </w:t>
            </w:r>
            <w:r w:rsidRPr="0053423A">
              <w:rPr>
                <w:rFonts w:eastAsia="Calibri" w:cs="Times New Roman"/>
                <w:sz w:val="20"/>
                <w:szCs w:val="20"/>
                <w:lang w:val="ru-RU"/>
              </w:rPr>
              <w:t>խնամք</w:t>
            </w:r>
            <w:r w:rsidRPr="0053423A">
              <w:rPr>
                <w:rFonts w:eastAsia="Calibri" w:cs="Times New Roman"/>
                <w:sz w:val="20"/>
                <w:szCs w:val="20"/>
                <w:lang w:val="fr-FR"/>
              </w:rPr>
              <w:t xml:space="preserve"> </w:t>
            </w:r>
            <w:r w:rsidRPr="0053423A">
              <w:rPr>
                <w:rFonts w:eastAsia="Calibri" w:cs="Times New Roman"/>
                <w:sz w:val="20"/>
                <w:szCs w:val="20"/>
                <w:lang w:val="ru-RU"/>
              </w:rPr>
              <w:t>տրամադրող</w:t>
            </w:r>
            <w:r w:rsidRPr="0053423A">
              <w:rPr>
                <w:rFonts w:eastAsia="Calibri" w:cs="Times New Roman"/>
                <w:sz w:val="20"/>
                <w:szCs w:val="20"/>
                <w:lang w:val="fr-FR"/>
              </w:rPr>
              <w:t xml:space="preserve"> </w:t>
            </w:r>
            <w:r w:rsidRPr="0053423A">
              <w:rPr>
                <w:rFonts w:eastAsia="Calibri" w:cs="Times New Roman"/>
                <w:sz w:val="20"/>
                <w:szCs w:val="20"/>
                <w:lang w:val="ru-RU"/>
              </w:rPr>
              <w:t>փոքր</w:t>
            </w:r>
            <w:r w:rsidRPr="0053423A">
              <w:rPr>
                <w:rFonts w:eastAsia="Calibri" w:cs="Times New Roman"/>
                <w:sz w:val="20"/>
                <w:szCs w:val="20"/>
                <w:lang w:val="fr-FR"/>
              </w:rPr>
              <w:t xml:space="preserve"> </w:t>
            </w:r>
            <w:r w:rsidRPr="0053423A">
              <w:rPr>
                <w:rFonts w:eastAsia="Calibri" w:cs="Times New Roman"/>
                <w:sz w:val="20"/>
                <w:szCs w:val="20"/>
                <w:lang w:val="ru-RU"/>
              </w:rPr>
              <w:t>տներում</w:t>
            </w:r>
            <w:r w:rsidRPr="0053423A">
              <w:rPr>
                <w:rFonts w:eastAsia="Calibri" w:cs="Times New Roman"/>
                <w:sz w:val="20"/>
                <w:szCs w:val="20"/>
                <w:lang w:val="fr-FR"/>
              </w:rPr>
              <w:t xml:space="preserve">: </w:t>
            </w:r>
            <w:r w:rsidRPr="0053423A">
              <w:rPr>
                <w:rFonts w:eastAsia="Calibri" w:cs="Times New Roman"/>
                <w:sz w:val="20"/>
                <w:szCs w:val="20"/>
              </w:rPr>
              <w:t>Կ</w:t>
            </w:r>
            <w:r w:rsidRPr="0053423A">
              <w:rPr>
                <w:rFonts w:eastAsia="Calibri" w:cs="Times New Roman"/>
                <w:sz w:val="20"/>
                <w:szCs w:val="20"/>
                <w:lang w:val="ru-RU"/>
              </w:rPr>
              <w:t>ավելացվի</w:t>
            </w:r>
            <w:r w:rsidRPr="0053423A">
              <w:rPr>
                <w:rFonts w:eastAsia="Calibri" w:cs="Times New Roman"/>
                <w:sz w:val="20"/>
                <w:szCs w:val="20"/>
                <w:lang w:val="fr-FR"/>
              </w:rPr>
              <w:t xml:space="preserve"> </w:t>
            </w:r>
            <w:r w:rsidRPr="0053423A">
              <w:rPr>
                <w:rFonts w:eastAsia="Calibri" w:cs="Times New Roman"/>
                <w:sz w:val="20"/>
                <w:szCs w:val="20"/>
                <w:lang w:val="ru-RU"/>
              </w:rPr>
              <w:t>խնամատար</w:t>
            </w:r>
            <w:r w:rsidRPr="0053423A">
              <w:rPr>
                <w:rFonts w:eastAsia="Calibri" w:cs="Times New Roman"/>
                <w:sz w:val="20"/>
                <w:szCs w:val="20"/>
                <w:lang w:val="fr-FR"/>
              </w:rPr>
              <w:t xml:space="preserve"> </w:t>
            </w:r>
            <w:r w:rsidRPr="0053423A">
              <w:rPr>
                <w:rFonts w:eastAsia="Calibri" w:cs="Times New Roman"/>
                <w:sz w:val="20"/>
                <w:szCs w:val="20"/>
                <w:lang w:val="ru-RU"/>
              </w:rPr>
              <w:t>ընտանիքների</w:t>
            </w:r>
            <w:r w:rsidRPr="0053423A">
              <w:rPr>
                <w:rFonts w:eastAsia="Calibri" w:cs="Times New Roman"/>
                <w:sz w:val="20"/>
                <w:szCs w:val="20"/>
                <w:lang w:val="fr-FR"/>
              </w:rPr>
              <w:t xml:space="preserve"> </w:t>
            </w:r>
            <w:r w:rsidRPr="0053423A">
              <w:rPr>
                <w:rFonts w:eastAsia="Calibri" w:cs="Times New Roman"/>
                <w:sz w:val="20"/>
                <w:szCs w:val="20"/>
                <w:lang w:val="ru-RU"/>
              </w:rPr>
              <w:t>թիվը</w:t>
            </w:r>
            <w:r w:rsidRPr="0053423A">
              <w:rPr>
                <w:rFonts w:eastAsia="Calibri" w:cs="Times New Roman"/>
                <w:sz w:val="20"/>
                <w:szCs w:val="20"/>
                <w:lang w:val="fr-FR"/>
              </w:rPr>
              <w:t xml:space="preserve">, </w:t>
            </w:r>
            <w:r w:rsidRPr="0053423A">
              <w:rPr>
                <w:rFonts w:eastAsia="Calibri" w:cs="Times New Roman"/>
                <w:sz w:val="20"/>
                <w:szCs w:val="20"/>
                <w:lang w:val="ru-RU"/>
              </w:rPr>
              <w:t>ինչպես</w:t>
            </w:r>
            <w:r w:rsidRPr="0053423A">
              <w:rPr>
                <w:rFonts w:eastAsia="Calibri" w:cs="Times New Roman"/>
                <w:sz w:val="20"/>
                <w:szCs w:val="20"/>
                <w:lang w:val="fr-FR"/>
              </w:rPr>
              <w:t xml:space="preserve"> </w:t>
            </w:r>
            <w:r w:rsidRPr="0053423A">
              <w:rPr>
                <w:rFonts w:eastAsia="Calibri" w:cs="Times New Roman"/>
                <w:sz w:val="20"/>
                <w:szCs w:val="20"/>
                <w:lang w:val="ru-RU"/>
              </w:rPr>
              <w:t>նաև</w:t>
            </w:r>
            <w:r w:rsidRPr="0053423A">
              <w:rPr>
                <w:rFonts w:eastAsia="Calibri" w:cs="Times New Roman"/>
                <w:sz w:val="20"/>
                <w:szCs w:val="20"/>
                <w:lang w:val="fr-FR"/>
              </w:rPr>
              <w:t xml:space="preserve"> </w:t>
            </w:r>
            <w:r w:rsidRPr="0053423A">
              <w:rPr>
                <w:rFonts w:eastAsia="Calibri" w:cs="Times New Roman"/>
                <w:sz w:val="20"/>
                <w:szCs w:val="20"/>
              </w:rPr>
              <w:t>միջոցներ</w:t>
            </w:r>
            <w:r w:rsidRPr="0053423A">
              <w:rPr>
                <w:rFonts w:eastAsia="Calibri" w:cs="Times New Roman"/>
                <w:sz w:val="20"/>
                <w:szCs w:val="20"/>
                <w:lang w:val="fr-FR"/>
              </w:rPr>
              <w:t xml:space="preserve"> </w:t>
            </w:r>
            <w:r w:rsidRPr="0053423A">
              <w:rPr>
                <w:rFonts w:eastAsia="Calibri" w:cs="Times New Roman"/>
                <w:sz w:val="20"/>
                <w:szCs w:val="20"/>
              </w:rPr>
              <w:t>կտրամադրվեն</w:t>
            </w:r>
            <w:r w:rsidRPr="0053423A">
              <w:rPr>
                <w:rFonts w:eastAsia="Calibri" w:cs="Times New Roman"/>
                <w:sz w:val="20"/>
                <w:szCs w:val="20"/>
                <w:lang w:val="fr-FR"/>
              </w:rPr>
              <w:t xml:space="preserve"> </w:t>
            </w:r>
            <w:r w:rsidRPr="0053423A">
              <w:rPr>
                <w:rFonts w:eastAsia="Calibri" w:cs="Times New Roman"/>
                <w:sz w:val="20"/>
                <w:szCs w:val="20"/>
                <w:lang w:val="ru-RU"/>
              </w:rPr>
              <w:t>հաստատություններ</w:t>
            </w:r>
            <w:r w:rsidRPr="0053423A">
              <w:rPr>
                <w:rFonts w:eastAsia="Calibri" w:cs="Times New Roman"/>
                <w:sz w:val="20"/>
                <w:szCs w:val="20"/>
                <w:lang w:val="fr-FR"/>
              </w:rPr>
              <w:t xml:space="preserve"> </w:t>
            </w:r>
            <w:r w:rsidRPr="0053423A">
              <w:rPr>
                <w:rFonts w:eastAsia="Calibri" w:cs="Times New Roman"/>
                <w:sz w:val="20"/>
                <w:szCs w:val="20"/>
                <w:lang w:val="ru-RU"/>
              </w:rPr>
              <w:t>երեխաների</w:t>
            </w:r>
            <w:r w:rsidRPr="0053423A">
              <w:rPr>
                <w:rFonts w:eastAsia="Calibri" w:cs="Times New Roman"/>
                <w:sz w:val="20"/>
                <w:szCs w:val="20"/>
                <w:lang w:val="fr-FR"/>
              </w:rPr>
              <w:t xml:space="preserve"> </w:t>
            </w:r>
            <w:r w:rsidRPr="0053423A">
              <w:rPr>
                <w:rFonts w:eastAsia="Calibri" w:cs="Times New Roman"/>
                <w:sz w:val="20"/>
                <w:szCs w:val="20"/>
                <w:lang w:val="ru-RU"/>
              </w:rPr>
              <w:t>մուտքի</w:t>
            </w:r>
            <w:r w:rsidRPr="0053423A">
              <w:rPr>
                <w:rFonts w:eastAsia="Calibri" w:cs="Times New Roman"/>
                <w:sz w:val="20"/>
                <w:szCs w:val="20"/>
                <w:lang w:val="fr-FR"/>
              </w:rPr>
              <w:t xml:space="preserve"> </w:t>
            </w:r>
            <w:r w:rsidRPr="0053423A">
              <w:rPr>
                <w:rFonts w:eastAsia="Calibri" w:cs="Times New Roman"/>
                <w:sz w:val="20"/>
                <w:szCs w:val="20"/>
                <w:lang w:val="ru-RU"/>
              </w:rPr>
              <w:t>կանխարգելման</w:t>
            </w:r>
            <w:r w:rsidRPr="0053423A">
              <w:rPr>
                <w:rFonts w:eastAsia="Calibri" w:cs="Times New Roman"/>
                <w:sz w:val="20"/>
                <w:szCs w:val="20"/>
                <w:lang w:val="fr-FR"/>
              </w:rPr>
              <w:t xml:space="preserve"> </w:t>
            </w:r>
            <w:r w:rsidRPr="0053423A">
              <w:rPr>
                <w:rFonts w:eastAsia="Calibri" w:cs="Times New Roman"/>
                <w:sz w:val="20"/>
                <w:szCs w:val="20"/>
                <w:lang w:val="ru-RU"/>
              </w:rPr>
              <w:t>ծրագրերին</w:t>
            </w:r>
            <w:r w:rsidRPr="0053423A">
              <w:rPr>
                <w:rFonts w:eastAsia="Calibri" w:cs="Times New Roman"/>
                <w:sz w:val="20"/>
                <w:szCs w:val="20"/>
                <w:lang w:val="fr-FR"/>
              </w:rPr>
              <w:t>:</w:t>
            </w:r>
          </w:p>
        </w:tc>
      </w:tr>
      <w:tr w:rsidR="00514E01" w:rsidRPr="00DE2EFA" w:rsidTr="00BC61ED">
        <w:tc>
          <w:tcPr>
            <w:tcW w:w="630" w:type="dxa"/>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15</w:t>
            </w:r>
          </w:p>
        </w:tc>
        <w:tc>
          <w:tcPr>
            <w:tcW w:w="10890" w:type="dxa"/>
          </w:tcPr>
          <w:p w:rsidR="00514E01" w:rsidRPr="0053423A" w:rsidRDefault="00514E01" w:rsidP="00A67858">
            <w:pPr>
              <w:spacing w:line="276" w:lineRule="auto"/>
              <w:jc w:val="both"/>
              <w:rPr>
                <w:rFonts w:eastAsia="Calibri" w:cs="Times New Roman"/>
                <w:sz w:val="20"/>
                <w:szCs w:val="20"/>
                <w:u w:val="single"/>
                <w:lang w:val="fr-FR"/>
              </w:rPr>
            </w:pPr>
            <w:r w:rsidRPr="0053423A">
              <w:rPr>
                <w:rFonts w:eastAsia="Calibri" w:cs="Times New Roman"/>
                <w:b/>
                <w:bCs/>
                <w:iCs/>
                <w:sz w:val="20"/>
                <w:szCs w:val="20"/>
                <w:u w:val="single"/>
                <w:lang w:val="fr-FR"/>
              </w:rPr>
              <w:t xml:space="preserve">15.1 </w:t>
            </w:r>
            <w:r w:rsidRPr="0053423A">
              <w:rPr>
                <w:rFonts w:eastAsia="Times New Roman" w:cs="Calibri"/>
                <w:b/>
                <w:bCs/>
                <w:sz w:val="20"/>
                <w:szCs w:val="20"/>
                <w:u w:val="single"/>
                <w:lang w:val="hy-AM"/>
              </w:rPr>
              <w:t>Երեխաների</w:t>
            </w:r>
            <w:r w:rsidRPr="0053423A">
              <w:rPr>
                <w:rFonts w:eastAsia="Times New Roman" w:cs="Calibri"/>
                <w:b/>
                <w:bCs/>
                <w:sz w:val="20"/>
                <w:szCs w:val="20"/>
                <w:u w:val="single"/>
                <w:lang w:val="fr-FR"/>
              </w:rPr>
              <w:t xml:space="preserve"> </w:t>
            </w:r>
            <w:r w:rsidRPr="0053423A">
              <w:rPr>
                <w:rFonts w:eastAsia="Times New Roman" w:cs="Calibri"/>
                <w:b/>
                <w:bCs/>
                <w:sz w:val="20"/>
                <w:szCs w:val="20"/>
                <w:u w:val="single"/>
                <w:lang w:val="hy-AM"/>
              </w:rPr>
              <w:t>իրավունքների</w:t>
            </w:r>
            <w:r w:rsidRPr="0053423A">
              <w:rPr>
                <w:rFonts w:eastAsia="Times New Roman" w:cs="Calibri"/>
                <w:b/>
                <w:bCs/>
                <w:sz w:val="20"/>
                <w:szCs w:val="20"/>
                <w:u w:val="single"/>
                <w:lang w:val="fr-FR"/>
              </w:rPr>
              <w:t xml:space="preserve"> </w:t>
            </w:r>
            <w:r w:rsidRPr="0053423A">
              <w:rPr>
                <w:rFonts w:eastAsia="Times New Roman" w:cs="Calibri"/>
                <w:b/>
                <w:bCs/>
                <w:sz w:val="20"/>
                <w:szCs w:val="20"/>
                <w:u w:val="single"/>
                <w:lang w:val="hy-AM"/>
              </w:rPr>
              <w:t>պաշտպանության</w:t>
            </w:r>
            <w:r w:rsidRPr="0053423A">
              <w:rPr>
                <w:rFonts w:eastAsia="Times New Roman" w:cs="Calibri"/>
                <w:b/>
                <w:bCs/>
                <w:sz w:val="20"/>
                <w:szCs w:val="20"/>
                <w:u w:val="single"/>
                <w:lang w:val="fr-FR"/>
              </w:rPr>
              <w:t xml:space="preserve"> </w:t>
            </w:r>
            <w:r w:rsidRPr="0053423A">
              <w:rPr>
                <w:rFonts w:eastAsia="Times New Roman" w:cs="Calibri"/>
                <w:b/>
                <w:bCs/>
                <w:sz w:val="20"/>
                <w:szCs w:val="20"/>
                <w:u w:val="single"/>
                <w:lang w:val="hy-AM"/>
              </w:rPr>
              <w:t>եռաստիճան</w:t>
            </w:r>
            <w:r w:rsidRPr="0053423A">
              <w:rPr>
                <w:rFonts w:eastAsia="Times New Roman" w:cs="Calibri"/>
                <w:b/>
                <w:bCs/>
                <w:sz w:val="20"/>
                <w:szCs w:val="20"/>
                <w:u w:val="single"/>
                <w:lang w:val="fr-FR"/>
              </w:rPr>
              <w:t xml:space="preserve"> </w:t>
            </w:r>
            <w:r w:rsidRPr="0053423A">
              <w:rPr>
                <w:rFonts w:eastAsia="Times New Roman" w:cs="Calibri"/>
                <w:b/>
                <w:bCs/>
                <w:sz w:val="20"/>
                <w:szCs w:val="20"/>
                <w:u w:val="single"/>
                <w:lang w:val="hy-AM"/>
              </w:rPr>
              <w:t>համակարգի</w:t>
            </w:r>
            <w:r w:rsidRPr="0053423A">
              <w:rPr>
                <w:rFonts w:eastAsia="Times New Roman" w:cs="Calibri"/>
                <w:b/>
                <w:bCs/>
                <w:sz w:val="20"/>
                <w:szCs w:val="20"/>
                <w:u w:val="single"/>
                <w:lang w:val="fr-FR"/>
              </w:rPr>
              <w:t xml:space="preserve"> </w:t>
            </w:r>
            <w:r w:rsidRPr="0053423A">
              <w:rPr>
                <w:rFonts w:eastAsia="Times New Roman" w:cs="Calibri"/>
                <w:b/>
                <w:bCs/>
                <w:sz w:val="20"/>
                <w:szCs w:val="20"/>
                <w:u w:val="single"/>
                <w:lang w:val="hy-AM"/>
              </w:rPr>
              <w:t>գործառույթների</w:t>
            </w:r>
            <w:r w:rsidRPr="0053423A">
              <w:rPr>
                <w:rFonts w:eastAsia="Times New Roman" w:cs="Calibri"/>
                <w:b/>
                <w:bCs/>
                <w:sz w:val="20"/>
                <w:szCs w:val="20"/>
                <w:u w:val="single"/>
                <w:lang w:val="fr-FR"/>
              </w:rPr>
              <w:t xml:space="preserve"> </w:t>
            </w:r>
            <w:r w:rsidRPr="0053423A">
              <w:rPr>
                <w:rFonts w:eastAsia="Times New Roman" w:cs="Calibri"/>
                <w:b/>
                <w:bCs/>
                <w:sz w:val="20"/>
                <w:szCs w:val="20"/>
                <w:u w:val="single"/>
                <w:lang w:val="hy-AM"/>
              </w:rPr>
              <w:t>վերանայում</w:t>
            </w:r>
            <w:r w:rsidRPr="0053423A">
              <w:rPr>
                <w:rFonts w:eastAsia="Calibri" w:cs="Times New Roman"/>
                <w:sz w:val="20"/>
                <w:szCs w:val="20"/>
                <w:u w:val="single"/>
                <w:lang w:val="fr-FR"/>
              </w:rPr>
              <w:t xml:space="preserve">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rPr>
              <w:t>Սույն</w:t>
            </w:r>
            <w:r w:rsidRPr="0053423A">
              <w:rPr>
                <w:rFonts w:eastAsia="Calibri" w:cs="Times New Roman"/>
                <w:sz w:val="20"/>
                <w:szCs w:val="20"/>
                <w:lang w:val="fr-FR"/>
              </w:rPr>
              <w:t xml:space="preserve"> </w:t>
            </w:r>
            <w:r w:rsidRPr="0053423A">
              <w:rPr>
                <w:rFonts w:eastAsia="Calibri" w:cs="Times New Roman"/>
                <w:sz w:val="20"/>
                <w:szCs w:val="20"/>
              </w:rPr>
              <w:t>միջոցառումը</w:t>
            </w:r>
            <w:r w:rsidRPr="0053423A">
              <w:rPr>
                <w:rFonts w:eastAsia="Calibri" w:cs="Times New Roman"/>
                <w:sz w:val="20"/>
                <w:szCs w:val="20"/>
                <w:lang w:val="fr-FR"/>
              </w:rPr>
              <w:t xml:space="preserve"> </w:t>
            </w:r>
            <w:r w:rsidRPr="0053423A">
              <w:rPr>
                <w:rFonts w:eastAsia="Calibri" w:cs="Times New Roman"/>
                <w:sz w:val="20"/>
                <w:szCs w:val="20"/>
              </w:rPr>
              <w:t>բխում</w:t>
            </w:r>
            <w:r w:rsidRPr="0053423A">
              <w:rPr>
                <w:rFonts w:eastAsia="Calibri" w:cs="Times New Roman"/>
                <w:sz w:val="20"/>
                <w:szCs w:val="20"/>
                <w:lang w:val="fr-FR"/>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ՀՀ</w:t>
            </w:r>
            <w:r w:rsidRPr="0053423A">
              <w:rPr>
                <w:rFonts w:eastAsia="Calibri" w:cs="Times New Roman"/>
                <w:sz w:val="20"/>
                <w:szCs w:val="20"/>
                <w:lang w:val="fr-FR"/>
              </w:rPr>
              <w:t xml:space="preserve"> </w:t>
            </w:r>
            <w:r w:rsidRPr="0053423A">
              <w:rPr>
                <w:rFonts w:eastAsia="Calibri" w:cs="Times New Roman"/>
                <w:sz w:val="20"/>
                <w:szCs w:val="20"/>
              </w:rPr>
              <w:t>կառավարության</w:t>
            </w:r>
            <w:r w:rsidRPr="0053423A">
              <w:rPr>
                <w:rFonts w:eastAsia="Calibri" w:cs="Times New Roman"/>
                <w:sz w:val="20"/>
                <w:szCs w:val="20"/>
                <w:lang w:val="fr-FR"/>
              </w:rPr>
              <w:t xml:space="preserve"> 2017 </w:t>
            </w:r>
            <w:r w:rsidRPr="0053423A">
              <w:rPr>
                <w:rFonts w:eastAsia="Calibri" w:cs="Times New Roman"/>
                <w:sz w:val="20"/>
                <w:szCs w:val="20"/>
                <w:lang w:val="pt-BR"/>
              </w:rPr>
              <w:t xml:space="preserve">թվականի </w:t>
            </w:r>
            <w:r w:rsidRPr="0053423A">
              <w:rPr>
                <w:rFonts w:eastAsia="Calibri" w:cs="Times New Roman"/>
                <w:sz w:val="20"/>
                <w:szCs w:val="20"/>
              </w:rPr>
              <w:t>հուլիսի</w:t>
            </w:r>
            <w:r w:rsidRPr="0053423A">
              <w:rPr>
                <w:rFonts w:eastAsia="Calibri" w:cs="Times New Roman"/>
                <w:sz w:val="20"/>
                <w:szCs w:val="20"/>
                <w:lang w:val="fr-FR"/>
              </w:rPr>
              <w:t xml:space="preserve"> 13-</w:t>
            </w:r>
            <w:r w:rsidRPr="0053423A">
              <w:rPr>
                <w:rFonts w:eastAsia="Calibri" w:cs="Times New Roman"/>
                <w:sz w:val="20"/>
                <w:szCs w:val="20"/>
              </w:rPr>
              <w:t>ի</w:t>
            </w:r>
            <w:r w:rsidRPr="0053423A">
              <w:rPr>
                <w:rFonts w:eastAsia="Calibri" w:cs="Times New Roman"/>
                <w:sz w:val="20"/>
                <w:szCs w:val="20"/>
                <w:lang w:val="fr-FR"/>
              </w:rPr>
              <w:t xml:space="preserve"> </w:t>
            </w:r>
            <w:r w:rsidRPr="0053423A">
              <w:rPr>
                <w:rFonts w:eastAsia="Calibri" w:cs="Times New Roman"/>
                <w:sz w:val="20"/>
                <w:szCs w:val="20"/>
              </w:rPr>
              <w:t>նիստի</w:t>
            </w:r>
            <w:r w:rsidRPr="0053423A">
              <w:rPr>
                <w:rFonts w:eastAsia="Calibri" w:cs="Times New Roman"/>
                <w:sz w:val="20"/>
                <w:szCs w:val="20"/>
                <w:lang w:val="fr-FR"/>
              </w:rPr>
              <w:t xml:space="preserve"> </w:t>
            </w:r>
            <w:r w:rsidRPr="0053423A">
              <w:rPr>
                <w:rFonts w:eastAsia="Calibri" w:cs="Times New Roman"/>
                <w:bCs/>
                <w:sz w:val="20"/>
                <w:szCs w:val="20"/>
                <w:lang w:val="fr-FR"/>
              </w:rPr>
              <w:t>«</w:t>
            </w:r>
            <w:r w:rsidRPr="0053423A">
              <w:rPr>
                <w:rFonts w:eastAsia="Calibri" w:cs="Times New Roman"/>
                <w:sz w:val="20"/>
                <w:szCs w:val="20"/>
              </w:rPr>
              <w:t>Հ</w:t>
            </w:r>
            <w:r w:rsidRPr="0053423A">
              <w:rPr>
                <w:rFonts w:eastAsia="Calibri" w:cs="Times New Roman"/>
                <w:sz w:val="20"/>
                <w:szCs w:val="20"/>
                <w:lang w:val="hy-AM"/>
              </w:rPr>
              <w:t>այաստանի</w:t>
            </w:r>
            <w:r w:rsidRPr="0053423A">
              <w:rPr>
                <w:rFonts w:eastAsia="Calibri" w:cs="Times New Roman"/>
                <w:sz w:val="20"/>
                <w:szCs w:val="20"/>
                <w:lang w:val="af-ZA"/>
              </w:rPr>
              <w:t xml:space="preserve"> </w:t>
            </w:r>
            <w:r w:rsidRPr="0053423A">
              <w:rPr>
                <w:rFonts w:eastAsia="Calibri" w:cs="Times New Roman"/>
                <w:sz w:val="20"/>
                <w:szCs w:val="20"/>
              </w:rPr>
              <w:t>Հ</w:t>
            </w:r>
            <w:r w:rsidRPr="0053423A">
              <w:rPr>
                <w:rFonts w:eastAsia="Calibri" w:cs="Times New Roman"/>
                <w:sz w:val="20"/>
                <w:szCs w:val="20"/>
                <w:lang w:val="hy-AM"/>
              </w:rPr>
              <w:t>անրապետությունում</w:t>
            </w:r>
            <w:r w:rsidRPr="0053423A">
              <w:rPr>
                <w:rFonts w:eastAsia="Calibri" w:cs="Times New Roman"/>
                <w:sz w:val="20"/>
                <w:szCs w:val="20"/>
                <w:lang w:val="af-ZA"/>
              </w:rPr>
              <w:t xml:space="preserve"> </w:t>
            </w:r>
            <w:r w:rsidRPr="0053423A">
              <w:rPr>
                <w:rFonts w:eastAsia="Calibri" w:cs="Times New Roman"/>
                <w:sz w:val="20"/>
                <w:szCs w:val="20"/>
                <w:lang w:val="hy-AM"/>
              </w:rPr>
              <w:t>երեխայի</w:t>
            </w:r>
            <w:r w:rsidRPr="0053423A">
              <w:rPr>
                <w:rFonts w:eastAsia="Calibri" w:cs="Times New Roman"/>
                <w:sz w:val="20"/>
                <w:szCs w:val="20"/>
                <w:lang w:val="af-ZA"/>
              </w:rPr>
              <w:t xml:space="preserve"> </w:t>
            </w:r>
            <w:r w:rsidRPr="0053423A">
              <w:rPr>
                <w:rFonts w:eastAsia="Calibri" w:cs="Times New Roman"/>
                <w:sz w:val="20"/>
                <w:szCs w:val="20"/>
                <w:lang w:val="hy-AM"/>
              </w:rPr>
              <w:t>իրավունքների</w:t>
            </w:r>
            <w:r w:rsidRPr="0053423A">
              <w:rPr>
                <w:rFonts w:eastAsia="Calibri" w:cs="Times New Roman"/>
                <w:sz w:val="20"/>
                <w:szCs w:val="20"/>
                <w:lang w:val="fr-FR"/>
              </w:rPr>
              <w:t xml:space="preserve"> </w:t>
            </w:r>
            <w:r w:rsidRPr="0053423A">
              <w:rPr>
                <w:rFonts w:eastAsia="Calibri" w:cs="Times New Roman"/>
                <w:sz w:val="20"/>
                <w:szCs w:val="20"/>
              </w:rPr>
              <w:t>պ</w:t>
            </w:r>
            <w:r w:rsidRPr="0053423A">
              <w:rPr>
                <w:rFonts w:eastAsia="Calibri" w:cs="Times New Roman"/>
                <w:sz w:val="20"/>
                <w:szCs w:val="20"/>
                <w:lang w:val="hy-AM"/>
              </w:rPr>
              <w:t>աշտպանության</w:t>
            </w:r>
            <w:r w:rsidRPr="0053423A">
              <w:rPr>
                <w:rFonts w:eastAsia="Calibri" w:cs="Times New Roman"/>
                <w:sz w:val="20"/>
                <w:szCs w:val="20"/>
                <w:lang w:val="af-ZA"/>
              </w:rPr>
              <w:t xml:space="preserve"> 2017-2021 </w:t>
            </w:r>
            <w:r w:rsidRPr="0053423A">
              <w:rPr>
                <w:rFonts w:eastAsia="Calibri" w:cs="Times New Roman"/>
                <w:sz w:val="20"/>
                <w:szCs w:val="20"/>
                <w:lang w:val="hy-AM"/>
              </w:rPr>
              <w:t>թվականների ռազմավարական</w:t>
            </w:r>
            <w:r w:rsidRPr="0053423A">
              <w:rPr>
                <w:rFonts w:eastAsia="Calibri" w:cs="Times New Roman"/>
                <w:sz w:val="20"/>
                <w:szCs w:val="20"/>
                <w:lang w:val="af-ZA"/>
              </w:rPr>
              <w:t xml:space="preserve"> </w:t>
            </w:r>
            <w:r w:rsidRPr="0053423A">
              <w:rPr>
                <w:rFonts w:eastAsia="Calibri" w:cs="Times New Roman"/>
                <w:sz w:val="20"/>
                <w:szCs w:val="20"/>
                <w:lang w:val="hy-AM"/>
              </w:rPr>
              <w:t>ծրագր</w:t>
            </w:r>
            <w:r w:rsidRPr="0053423A">
              <w:rPr>
                <w:rFonts w:eastAsia="Calibri" w:cs="Times New Roman"/>
                <w:sz w:val="20"/>
                <w:szCs w:val="20"/>
              </w:rPr>
              <w:t>ին</w:t>
            </w:r>
            <w:r w:rsidRPr="0053423A">
              <w:rPr>
                <w:rFonts w:eastAsia="Calibri" w:cs="Times New Roman"/>
                <w:sz w:val="20"/>
                <w:szCs w:val="20"/>
                <w:lang w:val="fr-FR"/>
              </w:rPr>
              <w:t xml:space="preserve"> </w:t>
            </w:r>
            <w:r w:rsidRPr="0053423A">
              <w:rPr>
                <w:rFonts w:eastAsia="Calibri" w:cs="Times New Roman"/>
                <w:sz w:val="20"/>
                <w:szCs w:val="20"/>
                <w:lang w:val="af-ZA"/>
              </w:rPr>
              <w:t xml:space="preserve">և </w:t>
            </w:r>
            <w:r w:rsidRPr="0053423A">
              <w:rPr>
                <w:rFonts w:eastAsia="Calibri" w:cs="Times New Roman"/>
                <w:sz w:val="20"/>
                <w:szCs w:val="20"/>
                <w:lang w:val="hy-AM"/>
              </w:rPr>
              <w:t>երեխայի</w:t>
            </w:r>
            <w:r w:rsidRPr="0053423A">
              <w:rPr>
                <w:rFonts w:eastAsia="Calibri" w:cs="Times New Roman"/>
                <w:sz w:val="20"/>
                <w:szCs w:val="20"/>
                <w:lang w:val="af-ZA"/>
              </w:rPr>
              <w:t xml:space="preserve"> </w:t>
            </w:r>
            <w:r w:rsidRPr="0053423A">
              <w:rPr>
                <w:rFonts w:eastAsia="Calibri" w:cs="Times New Roman"/>
                <w:sz w:val="20"/>
                <w:szCs w:val="20"/>
                <w:lang w:val="hy-AM"/>
              </w:rPr>
              <w:t>իրավունքների</w:t>
            </w:r>
            <w:r w:rsidRPr="0053423A">
              <w:rPr>
                <w:rFonts w:eastAsia="Calibri" w:cs="Times New Roman"/>
                <w:sz w:val="20"/>
                <w:szCs w:val="20"/>
                <w:lang w:val="af-ZA"/>
              </w:rPr>
              <w:t xml:space="preserve"> </w:t>
            </w:r>
            <w:r w:rsidRPr="0053423A">
              <w:rPr>
                <w:rFonts w:eastAsia="Calibri" w:cs="Times New Roman"/>
                <w:sz w:val="20"/>
                <w:szCs w:val="20"/>
                <w:lang w:val="hy-AM"/>
              </w:rPr>
              <w:t>պաշտպանության</w:t>
            </w:r>
            <w:r w:rsidRPr="0053423A">
              <w:rPr>
                <w:rFonts w:eastAsia="Calibri" w:cs="Times New Roman"/>
                <w:sz w:val="20"/>
                <w:szCs w:val="20"/>
                <w:lang w:val="af-ZA"/>
              </w:rPr>
              <w:t xml:space="preserve"> 2017-2021 </w:t>
            </w:r>
            <w:r w:rsidRPr="0053423A">
              <w:rPr>
                <w:rFonts w:eastAsia="Calibri" w:cs="Times New Roman"/>
                <w:sz w:val="20"/>
                <w:szCs w:val="20"/>
                <w:lang w:val="hy-AM"/>
              </w:rPr>
              <w:t>թվակա</w:t>
            </w:r>
            <w:r w:rsidRPr="0053423A">
              <w:rPr>
                <w:rFonts w:eastAsia="Calibri" w:cs="Times New Roman"/>
                <w:sz w:val="20"/>
                <w:szCs w:val="20"/>
              </w:rPr>
              <w:t>ն</w:t>
            </w:r>
            <w:r w:rsidRPr="0053423A">
              <w:rPr>
                <w:rFonts w:eastAsia="Calibri" w:cs="Times New Roman"/>
                <w:sz w:val="20"/>
                <w:szCs w:val="20"/>
                <w:lang w:val="hy-AM"/>
              </w:rPr>
              <w:t>ների</w:t>
            </w:r>
            <w:r w:rsidRPr="0053423A">
              <w:rPr>
                <w:rFonts w:eastAsia="Calibri" w:cs="Times New Roman"/>
                <w:sz w:val="20"/>
                <w:szCs w:val="20"/>
                <w:lang w:val="af-ZA"/>
              </w:rPr>
              <w:t xml:space="preserve">  </w:t>
            </w:r>
            <w:r w:rsidRPr="0053423A">
              <w:rPr>
                <w:rFonts w:eastAsia="Calibri" w:cs="Times New Roman"/>
                <w:sz w:val="20"/>
                <w:szCs w:val="20"/>
                <w:lang w:val="hy-AM"/>
              </w:rPr>
              <w:t>ռազմավարական</w:t>
            </w:r>
            <w:r w:rsidRPr="0053423A">
              <w:rPr>
                <w:rFonts w:eastAsia="Calibri" w:cs="Times New Roman"/>
                <w:sz w:val="20"/>
                <w:szCs w:val="20"/>
                <w:lang w:val="af-ZA"/>
              </w:rPr>
              <w:t xml:space="preserve"> </w:t>
            </w:r>
            <w:r w:rsidRPr="0053423A">
              <w:rPr>
                <w:rFonts w:eastAsia="Calibri" w:cs="Times New Roman"/>
                <w:sz w:val="20"/>
                <w:szCs w:val="20"/>
                <w:lang w:val="hy-AM"/>
              </w:rPr>
              <w:t>ծրագրի</w:t>
            </w:r>
            <w:r w:rsidRPr="0053423A">
              <w:rPr>
                <w:rFonts w:eastAsia="Calibri" w:cs="Times New Roman"/>
                <w:sz w:val="20"/>
                <w:szCs w:val="20"/>
                <w:lang w:val="af-ZA"/>
              </w:rPr>
              <w:t xml:space="preserve"> </w:t>
            </w:r>
            <w:r w:rsidRPr="0053423A">
              <w:rPr>
                <w:rFonts w:eastAsia="Calibri" w:cs="Times New Roman"/>
                <w:sz w:val="20"/>
                <w:szCs w:val="20"/>
                <w:lang w:val="hy-AM"/>
              </w:rPr>
              <w:t>իրականացման</w:t>
            </w:r>
            <w:r w:rsidRPr="0053423A">
              <w:rPr>
                <w:rFonts w:eastAsia="Calibri" w:cs="Times New Roman"/>
                <w:sz w:val="20"/>
                <w:szCs w:val="20"/>
                <w:lang w:val="af-ZA"/>
              </w:rPr>
              <w:t xml:space="preserve"> </w:t>
            </w:r>
            <w:r w:rsidRPr="0053423A">
              <w:rPr>
                <w:rFonts w:eastAsia="Calibri" w:cs="Times New Roman"/>
                <w:sz w:val="20"/>
                <w:szCs w:val="20"/>
                <w:lang w:val="hy-AM"/>
              </w:rPr>
              <w:t>միջոցառումների</w:t>
            </w:r>
            <w:r w:rsidRPr="0053423A">
              <w:rPr>
                <w:rFonts w:eastAsia="Calibri" w:cs="Times New Roman"/>
                <w:sz w:val="20"/>
                <w:szCs w:val="20"/>
                <w:lang w:val="af-ZA"/>
              </w:rPr>
              <w:t xml:space="preserve"> </w:t>
            </w:r>
            <w:r w:rsidRPr="0053423A">
              <w:rPr>
                <w:rFonts w:eastAsia="Calibri" w:cs="Times New Roman"/>
                <w:sz w:val="20"/>
                <w:szCs w:val="20"/>
                <w:lang w:val="hy-AM"/>
              </w:rPr>
              <w:t>ժամանակացույց</w:t>
            </w:r>
            <w:r w:rsidRPr="0053423A">
              <w:rPr>
                <w:rFonts w:eastAsia="Calibri" w:cs="Times New Roman"/>
                <w:sz w:val="20"/>
                <w:szCs w:val="20"/>
              </w:rPr>
              <w:t>ին</w:t>
            </w:r>
            <w:r w:rsidRPr="0053423A">
              <w:rPr>
                <w:rFonts w:eastAsia="Calibri" w:cs="Times New Roman"/>
                <w:sz w:val="20"/>
                <w:szCs w:val="20"/>
                <w:lang w:val="af-ZA"/>
              </w:rPr>
              <w:t xml:space="preserve"> </w:t>
            </w:r>
            <w:r w:rsidRPr="0053423A">
              <w:rPr>
                <w:rFonts w:eastAsia="Calibri" w:cs="Times New Roman"/>
                <w:sz w:val="20"/>
                <w:szCs w:val="20"/>
              </w:rPr>
              <w:t>հավանություն</w:t>
            </w:r>
            <w:r w:rsidRPr="0053423A">
              <w:rPr>
                <w:rFonts w:eastAsia="Calibri" w:cs="Times New Roman"/>
                <w:sz w:val="20"/>
                <w:szCs w:val="20"/>
                <w:lang w:val="af-ZA"/>
              </w:rPr>
              <w:t xml:space="preserve"> </w:t>
            </w:r>
            <w:r w:rsidRPr="0053423A">
              <w:rPr>
                <w:rFonts w:eastAsia="Calibri" w:cs="Times New Roman"/>
                <w:sz w:val="20"/>
                <w:szCs w:val="20"/>
              </w:rPr>
              <w:t>տալու</w:t>
            </w:r>
            <w:r w:rsidRPr="0053423A">
              <w:rPr>
                <w:rFonts w:eastAsia="Calibri" w:cs="Times New Roman"/>
                <w:sz w:val="20"/>
                <w:szCs w:val="20"/>
                <w:lang w:val="af-ZA"/>
              </w:rPr>
              <w:t xml:space="preserve"> </w:t>
            </w:r>
            <w:r w:rsidRPr="0053423A">
              <w:rPr>
                <w:rFonts w:eastAsia="Calibri" w:cs="Times New Roman"/>
                <w:sz w:val="20"/>
                <w:szCs w:val="20"/>
              </w:rPr>
              <w:t>մասին</w:t>
            </w:r>
            <w:r w:rsidRPr="0053423A">
              <w:rPr>
                <w:rFonts w:eastAsia="Calibri" w:cs="Times New Roman"/>
                <w:bCs/>
                <w:sz w:val="20"/>
                <w:szCs w:val="20"/>
                <w:lang w:val="fr-FR"/>
              </w:rPr>
              <w:t>»</w:t>
            </w:r>
            <w:r w:rsidRPr="0053423A">
              <w:rPr>
                <w:rFonts w:eastAsia="Calibri" w:cs="Times New Roman"/>
                <w:sz w:val="20"/>
                <w:szCs w:val="20"/>
                <w:lang w:val="fr-FR"/>
              </w:rPr>
              <w:t xml:space="preserve"> </w:t>
            </w:r>
            <w:r w:rsidRPr="0053423A">
              <w:rPr>
                <w:rFonts w:eastAsia="Calibri" w:cs="Times New Roman"/>
                <w:sz w:val="20"/>
                <w:szCs w:val="20"/>
                <w:lang w:val="af-ZA"/>
              </w:rPr>
              <w:t>N 3</w:t>
            </w:r>
            <w:r w:rsidRPr="0053423A">
              <w:rPr>
                <w:rFonts w:eastAsia="Calibri" w:cs="Times New Roman"/>
                <w:sz w:val="20"/>
                <w:szCs w:val="20"/>
                <w:lang w:val="fr-FR"/>
              </w:rPr>
              <w:t xml:space="preserve">0 </w:t>
            </w:r>
            <w:r w:rsidRPr="0053423A">
              <w:rPr>
                <w:rFonts w:eastAsia="Calibri" w:cs="Times New Roman"/>
                <w:sz w:val="20"/>
                <w:szCs w:val="20"/>
              </w:rPr>
              <w:t>արձանագրային</w:t>
            </w:r>
            <w:r w:rsidRPr="0053423A">
              <w:rPr>
                <w:rFonts w:eastAsia="Calibri" w:cs="Times New Roman"/>
                <w:sz w:val="20"/>
                <w:szCs w:val="20"/>
                <w:lang w:val="fr-FR"/>
              </w:rPr>
              <w:t xml:space="preserve"> </w:t>
            </w:r>
            <w:r w:rsidRPr="0053423A">
              <w:rPr>
                <w:rFonts w:eastAsia="Calibri" w:cs="Times New Roman"/>
                <w:sz w:val="20"/>
                <w:szCs w:val="20"/>
              </w:rPr>
              <w:t>որոշմամբ</w:t>
            </w:r>
            <w:r w:rsidRPr="0053423A">
              <w:rPr>
                <w:rFonts w:eastAsia="Calibri" w:cs="Times New Roman"/>
                <w:sz w:val="20"/>
                <w:szCs w:val="20"/>
                <w:lang w:val="fr-FR"/>
              </w:rPr>
              <w:t xml:space="preserve">  </w:t>
            </w:r>
            <w:r w:rsidRPr="0053423A">
              <w:rPr>
                <w:rFonts w:eastAsia="Calibri" w:cs="Times New Roman"/>
                <w:sz w:val="20"/>
                <w:szCs w:val="20"/>
              </w:rPr>
              <w:t>նախա</w:t>
            </w:r>
            <w:r w:rsidRPr="0053423A">
              <w:rPr>
                <w:rFonts w:eastAsia="Calibri" w:cs="Times New Roman"/>
                <w:sz w:val="20"/>
                <w:szCs w:val="20"/>
                <w:lang w:val="fr-FR"/>
              </w:rPr>
              <w:softHyphen/>
            </w:r>
            <w:r w:rsidRPr="0053423A">
              <w:rPr>
                <w:rFonts w:eastAsia="Calibri" w:cs="Times New Roman"/>
                <w:sz w:val="20"/>
                <w:szCs w:val="20"/>
              </w:rPr>
              <w:t>տեսված</w:t>
            </w:r>
            <w:r w:rsidRPr="0053423A">
              <w:rPr>
                <w:rFonts w:eastAsia="Calibri" w:cs="Times New Roman"/>
                <w:sz w:val="20"/>
                <w:szCs w:val="20"/>
                <w:lang w:val="fr-FR"/>
              </w:rPr>
              <w:t xml:space="preserve"> </w:t>
            </w:r>
            <w:r w:rsidRPr="0053423A">
              <w:rPr>
                <w:rFonts w:eastAsia="Calibri" w:cs="Times New Roman"/>
                <w:sz w:val="20"/>
                <w:szCs w:val="20"/>
              </w:rPr>
              <w:t>միջոցառումներից</w:t>
            </w:r>
            <w:r w:rsidRPr="0053423A">
              <w:rPr>
                <w:rFonts w:eastAsia="Calibri" w:cs="Times New Roman"/>
                <w:sz w:val="20"/>
                <w:szCs w:val="20"/>
                <w:lang w:val="fr-FR"/>
              </w:rPr>
              <w:t xml:space="preserve"> </w:t>
            </w:r>
            <w:r w:rsidRPr="0053423A">
              <w:rPr>
                <w:rFonts w:eastAsia="Calibri" w:cs="Times New Roman"/>
                <w:sz w:val="20"/>
                <w:szCs w:val="20"/>
              </w:rPr>
              <w:t>և</w:t>
            </w:r>
            <w:r w:rsidRPr="0053423A">
              <w:rPr>
                <w:rFonts w:eastAsia="Calibri" w:cs="Times New Roman"/>
                <w:sz w:val="20"/>
                <w:szCs w:val="20"/>
                <w:lang w:val="fr-FR"/>
              </w:rPr>
              <w:t xml:space="preserve"> </w:t>
            </w:r>
            <w:r w:rsidRPr="0053423A">
              <w:rPr>
                <w:rFonts w:eastAsia="Calibri" w:cs="Times New Roman"/>
                <w:sz w:val="20"/>
                <w:szCs w:val="20"/>
              </w:rPr>
              <w:t>պայմանավորված</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Հայաստանի</w:t>
            </w:r>
            <w:r w:rsidRPr="0053423A">
              <w:rPr>
                <w:rFonts w:eastAsia="Calibri" w:cs="Times New Roman"/>
                <w:sz w:val="20"/>
                <w:szCs w:val="20"/>
                <w:lang w:val="af-ZA"/>
              </w:rPr>
              <w:t xml:space="preserve">  </w:t>
            </w:r>
            <w:r w:rsidRPr="0053423A">
              <w:rPr>
                <w:rFonts w:eastAsia="Calibri" w:cs="Times New Roman"/>
                <w:sz w:val="20"/>
                <w:szCs w:val="20"/>
              </w:rPr>
              <w:t>Հանրա</w:t>
            </w:r>
            <w:r w:rsidRPr="0053423A">
              <w:rPr>
                <w:rFonts w:eastAsia="Calibri" w:cs="Times New Roman"/>
                <w:sz w:val="20"/>
                <w:szCs w:val="20"/>
                <w:lang w:val="fr-FR"/>
              </w:rPr>
              <w:softHyphen/>
            </w:r>
            <w:r w:rsidRPr="0053423A">
              <w:rPr>
                <w:rFonts w:eastAsia="Calibri" w:cs="Times New Roman"/>
                <w:sz w:val="20"/>
                <w:szCs w:val="20"/>
              </w:rPr>
              <w:t>պե</w:t>
            </w:r>
            <w:r w:rsidRPr="0053423A">
              <w:rPr>
                <w:rFonts w:eastAsia="Calibri" w:cs="Times New Roman"/>
                <w:sz w:val="20"/>
                <w:szCs w:val="20"/>
                <w:lang w:val="fr-FR"/>
              </w:rPr>
              <w:softHyphen/>
            </w:r>
            <w:r w:rsidRPr="0053423A">
              <w:rPr>
                <w:rFonts w:eastAsia="Calibri" w:cs="Times New Roman"/>
                <w:sz w:val="20"/>
                <w:szCs w:val="20"/>
              </w:rPr>
              <w:t>տությունում</w:t>
            </w:r>
            <w:r w:rsidRPr="0053423A">
              <w:rPr>
                <w:rFonts w:eastAsia="Calibri" w:cs="Times New Roman"/>
                <w:sz w:val="20"/>
                <w:szCs w:val="20"/>
                <w:lang w:val="af-ZA"/>
              </w:rPr>
              <w:t xml:space="preserve"> </w:t>
            </w:r>
            <w:r w:rsidRPr="0053423A">
              <w:rPr>
                <w:rFonts w:eastAsia="Calibri" w:cs="Times New Roman"/>
                <w:sz w:val="20"/>
                <w:szCs w:val="20"/>
              </w:rPr>
              <w:t>երեխաների</w:t>
            </w:r>
            <w:r w:rsidRPr="0053423A">
              <w:rPr>
                <w:rFonts w:eastAsia="Calibri" w:cs="Times New Roman"/>
                <w:sz w:val="20"/>
                <w:szCs w:val="20"/>
                <w:lang w:val="af-ZA"/>
              </w:rPr>
              <w:t xml:space="preserve"> </w:t>
            </w:r>
            <w:r w:rsidRPr="0053423A">
              <w:rPr>
                <w:rFonts w:eastAsia="Calibri" w:cs="Times New Roman"/>
                <w:sz w:val="20"/>
                <w:szCs w:val="20"/>
              </w:rPr>
              <w:t>պաշտպանության</w:t>
            </w:r>
            <w:r w:rsidRPr="0053423A">
              <w:rPr>
                <w:rFonts w:eastAsia="Calibri" w:cs="Times New Roman"/>
                <w:sz w:val="20"/>
                <w:szCs w:val="20"/>
                <w:lang w:val="af-ZA"/>
              </w:rPr>
              <w:t xml:space="preserve"> </w:t>
            </w:r>
            <w:r w:rsidRPr="0053423A">
              <w:rPr>
                <w:rFonts w:eastAsia="Calibri" w:cs="Times New Roman"/>
                <w:sz w:val="20"/>
                <w:szCs w:val="20"/>
              </w:rPr>
              <w:t>ոլորտում</w:t>
            </w:r>
            <w:r w:rsidRPr="0053423A">
              <w:rPr>
                <w:rFonts w:eastAsia="Calibri" w:cs="Times New Roman"/>
                <w:sz w:val="20"/>
                <w:szCs w:val="20"/>
                <w:lang w:val="af-ZA"/>
              </w:rPr>
              <w:t xml:space="preserve"> </w:t>
            </w:r>
            <w:r w:rsidRPr="0053423A">
              <w:rPr>
                <w:rFonts w:eastAsia="Calibri" w:cs="Times New Roman"/>
                <w:sz w:val="20"/>
                <w:szCs w:val="20"/>
              </w:rPr>
              <w:t>իրականացվող</w:t>
            </w:r>
            <w:r w:rsidRPr="0053423A">
              <w:rPr>
                <w:rFonts w:eastAsia="Calibri" w:cs="Times New Roman"/>
                <w:sz w:val="20"/>
                <w:szCs w:val="20"/>
                <w:lang w:val="af-ZA"/>
              </w:rPr>
              <w:t xml:space="preserve"> </w:t>
            </w:r>
            <w:r w:rsidRPr="0053423A">
              <w:rPr>
                <w:rFonts w:eastAsia="Calibri" w:cs="Times New Roman"/>
                <w:sz w:val="20"/>
                <w:szCs w:val="20"/>
              </w:rPr>
              <w:t>բարեփոխումներով</w:t>
            </w:r>
            <w:r w:rsidRPr="0053423A">
              <w:rPr>
                <w:rFonts w:eastAsia="Calibri" w:cs="Times New Roman"/>
                <w:sz w:val="20"/>
                <w:szCs w:val="20"/>
                <w:lang w:val="af-ZA"/>
              </w:rPr>
              <w:t xml:space="preserve">` </w:t>
            </w:r>
            <w:r w:rsidRPr="0053423A">
              <w:rPr>
                <w:rFonts w:eastAsia="Calibri" w:cs="Times New Roman"/>
                <w:sz w:val="20"/>
                <w:szCs w:val="20"/>
              </w:rPr>
              <w:t>երեխաների</w:t>
            </w:r>
            <w:r w:rsidRPr="0053423A">
              <w:rPr>
                <w:rFonts w:eastAsia="Calibri" w:cs="Times New Roman"/>
                <w:sz w:val="20"/>
                <w:szCs w:val="20"/>
                <w:lang w:val="af-ZA"/>
              </w:rPr>
              <w:t xml:space="preserve"> </w:t>
            </w:r>
            <w:r w:rsidRPr="0053423A">
              <w:rPr>
                <w:rFonts w:eastAsia="Calibri" w:cs="Times New Roman"/>
                <w:sz w:val="20"/>
                <w:szCs w:val="20"/>
              </w:rPr>
              <w:t>խնամքի</w:t>
            </w:r>
            <w:r w:rsidRPr="0053423A">
              <w:rPr>
                <w:rFonts w:eastAsia="Calibri" w:cs="Times New Roman"/>
                <w:sz w:val="20"/>
                <w:szCs w:val="20"/>
                <w:lang w:val="af-ZA"/>
              </w:rPr>
              <w:t xml:space="preserve"> </w:t>
            </w:r>
            <w:r w:rsidRPr="0053423A">
              <w:rPr>
                <w:rFonts w:eastAsia="Calibri" w:cs="Times New Roman"/>
                <w:sz w:val="20"/>
                <w:szCs w:val="20"/>
              </w:rPr>
              <w:t>հաստատություններ</w:t>
            </w:r>
            <w:r w:rsidRPr="0053423A">
              <w:rPr>
                <w:rFonts w:eastAsia="Calibri" w:cs="Times New Roman"/>
                <w:sz w:val="20"/>
                <w:szCs w:val="20"/>
                <w:lang w:val="af-ZA"/>
              </w:rPr>
              <w:t xml:space="preserve"> </w:t>
            </w:r>
            <w:r w:rsidRPr="0053423A">
              <w:rPr>
                <w:rFonts w:eastAsia="Calibri" w:cs="Times New Roman"/>
                <w:sz w:val="20"/>
                <w:szCs w:val="20"/>
              </w:rPr>
              <w:t>երեխաների</w:t>
            </w:r>
            <w:r w:rsidRPr="0053423A">
              <w:rPr>
                <w:rFonts w:eastAsia="Calibri" w:cs="Times New Roman"/>
                <w:sz w:val="20"/>
                <w:szCs w:val="20"/>
                <w:lang w:val="af-ZA"/>
              </w:rPr>
              <w:t xml:space="preserve"> </w:t>
            </w:r>
            <w:r w:rsidRPr="0053423A">
              <w:rPr>
                <w:rFonts w:eastAsia="Calibri" w:cs="Times New Roman"/>
                <w:sz w:val="20"/>
                <w:szCs w:val="20"/>
              </w:rPr>
              <w:t>մուտքի</w:t>
            </w:r>
            <w:r w:rsidRPr="0053423A">
              <w:rPr>
                <w:rFonts w:eastAsia="Calibri" w:cs="Times New Roman"/>
                <w:sz w:val="20"/>
                <w:szCs w:val="20"/>
                <w:lang w:val="af-ZA"/>
              </w:rPr>
              <w:t xml:space="preserve"> </w:t>
            </w:r>
            <w:r w:rsidRPr="0053423A">
              <w:rPr>
                <w:rFonts w:eastAsia="Calibri" w:cs="Times New Roman"/>
                <w:sz w:val="20"/>
                <w:szCs w:val="20"/>
              </w:rPr>
              <w:t>կանխարգելմամբ</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այդ</w:t>
            </w:r>
            <w:r w:rsidRPr="0053423A">
              <w:rPr>
                <w:rFonts w:eastAsia="Calibri" w:cs="Times New Roman"/>
                <w:sz w:val="20"/>
                <w:szCs w:val="20"/>
                <w:lang w:val="af-ZA"/>
              </w:rPr>
              <w:t xml:space="preserve"> </w:t>
            </w:r>
            <w:r w:rsidRPr="0053423A">
              <w:rPr>
                <w:rFonts w:eastAsia="Calibri" w:cs="Times New Roman"/>
                <w:sz w:val="20"/>
                <w:szCs w:val="20"/>
              </w:rPr>
              <w:t>հաստատություններում</w:t>
            </w:r>
            <w:r w:rsidRPr="0053423A">
              <w:rPr>
                <w:rFonts w:eastAsia="Calibri" w:cs="Times New Roman"/>
                <w:sz w:val="20"/>
                <w:szCs w:val="20"/>
                <w:lang w:val="af-ZA"/>
              </w:rPr>
              <w:t xml:space="preserve"> </w:t>
            </w:r>
            <w:r w:rsidRPr="0053423A">
              <w:rPr>
                <w:rFonts w:eastAsia="Calibri" w:cs="Times New Roman"/>
                <w:sz w:val="20"/>
                <w:szCs w:val="20"/>
              </w:rPr>
              <w:t>երեխաների</w:t>
            </w:r>
            <w:r w:rsidRPr="0053423A">
              <w:rPr>
                <w:rFonts w:eastAsia="Calibri" w:cs="Times New Roman"/>
                <w:sz w:val="20"/>
                <w:szCs w:val="20"/>
                <w:lang w:val="af-ZA"/>
              </w:rPr>
              <w:t xml:space="preserve"> </w:t>
            </w:r>
            <w:r w:rsidRPr="0053423A">
              <w:rPr>
                <w:rFonts w:eastAsia="Calibri" w:cs="Times New Roman"/>
                <w:sz w:val="20"/>
                <w:szCs w:val="20"/>
              </w:rPr>
              <w:t>թվի</w:t>
            </w:r>
            <w:r w:rsidRPr="0053423A">
              <w:rPr>
                <w:rFonts w:eastAsia="Calibri" w:cs="Times New Roman"/>
                <w:sz w:val="20"/>
                <w:szCs w:val="20"/>
                <w:lang w:val="af-ZA"/>
              </w:rPr>
              <w:t xml:space="preserve"> </w:t>
            </w:r>
            <w:r w:rsidRPr="0053423A">
              <w:rPr>
                <w:rFonts w:eastAsia="Calibri" w:cs="Times New Roman"/>
                <w:sz w:val="20"/>
                <w:szCs w:val="20"/>
              </w:rPr>
              <w:t>նվազեցմամբ</w:t>
            </w:r>
            <w:r w:rsidRPr="0053423A">
              <w:rPr>
                <w:rFonts w:eastAsia="Calibri" w:cs="Times New Roman"/>
                <w:sz w:val="20"/>
                <w:szCs w:val="20"/>
                <w:lang w:val="af-ZA"/>
              </w:rPr>
              <w:t xml:space="preserve">, </w:t>
            </w:r>
            <w:r w:rsidRPr="0053423A">
              <w:rPr>
                <w:rFonts w:eastAsia="Calibri" w:cs="Times New Roman"/>
                <w:sz w:val="20"/>
                <w:szCs w:val="20"/>
              </w:rPr>
              <w:t>ինչպես</w:t>
            </w:r>
            <w:r w:rsidRPr="0053423A">
              <w:rPr>
                <w:rFonts w:eastAsia="Calibri" w:cs="Times New Roman"/>
                <w:sz w:val="20"/>
                <w:szCs w:val="20"/>
                <w:lang w:val="af-ZA"/>
              </w:rPr>
              <w:t xml:space="preserve"> </w:t>
            </w:r>
            <w:r w:rsidRPr="0053423A">
              <w:rPr>
                <w:rFonts w:eastAsia="Calibri" w:cs="Times New Roman"/>
                <w:sz w:val="20"/>
                <w:szCs w:val="20"/>
              </w:rPr>
              <w:t>նաև</w:t>
            </w:r>
            <w:r w:rsidRPr="0053423A">
              <w:rPr>
                <w:rFonts w:eastAsia="Calibri" w:cs="Times New Roman"/>
                <w:sz w:val="20"/>
                <w:szCs w:val="20"/>
                <w:lang w:val="af-ZA"/>
              </w:rPr>
              <w:t xml:space="preserve"> </w:t>
            </w:r>
            <w:r w:rsidRPr="0053423A">
              <w:rPr>
                <w:rFonts w:eastAsia="Calibri" w:cs="Times New Roman"/>
                <w:sz w:val="20"/>
                <w:szCs w:val="20"/>
                <w:lang w:val="hy-AM"/>
              </w:rPr>
              <w:t>խնամքի տրամադրման այլընտրանքային սոցիալական ծառայությունների</w:t>
            </w:r>
            <w:r w:rsidRPr="0053423A">
              <w:rPr>
                <w:rFonts w:eastAsia="Calibri" w:cs="Times New Roman"/>
                <w:sz w:val="20"/>
                <w:szCs w:val="20"/>
                <w:lang w:val="af-ZA"/>
              </w:rPr>
              <w:t xml:space="preserve"> </w:t>
            </w:r>
            <w:r w:rsidRPr="0053423A">
              <w:rPr>
                <w:rFonts w:eastAsia="Calibri" w:cs="Times New Roman"/>
                <w:sz w:val="20"/>
                <w:szCs w:val="20"/>
              </w:rPr>
              <w:t>ցանցի</w:t>
            </w:r>
            <w:r w:rsidRPr="0053423A">
              <w:rPr>
                <w:rFonts w:eastAsia="Calibri" w:cs="Times New Roman"/>
                <w:sz w:val="20"/>
                <w:szCs w:val="20"/>
                <w:lang w:val="af-ZA"/>
              </w:rPr>
              <w:t xml:space="preserve"> </w:t>
            </w:r>
            <w:r w:rsidRPr="0053423A">
              <w:rPr>
                <w:rFonts w:eastAsia="Calibri" w:cs="Times New Roman"/>
                <w:sz w:val="20"/>
                <w:szCs w:val="20"/>
              </w:rPr>
              <w:t>զարգացման</w:t>
            </w:r>
            <w:r w:rsidRPr="0053423A">
              <w:rPr>
                <w:rFonts w:eastAsia="Calibri" w:cs="Times New Roman"/>
                <w:sz w:val="20"/>
                <w:szCs w:val="20"/>
                <w:lang w:val="af-ZA"/>
              </w:rPr>
              <w:t xml:space="preserve"> </w:t>
            </w:r>
            <w:r w:rsidRPr="0053423A">
              <w:rPr>
                <w:rFonts w:eastAsia="Calibri" w:cs="Times New Roman"/>
                <w:sz w:val="20"/>
                <w:szCs w:val="20"/>
              </w:rPr>
              <w:t>անհրաժեշտությամբ</w:t>
            </w:r>
            <w:r w:rsidRPr="0053423A">
              <w:rPr>
                <w:rFonts w:eastAsia="Calibri" w:cs="Times New Roman"/>
                <w:sz w:val="20"/>
                <w:szCs w:val="20"/>
                <w:lang w:val="af-ZA"/>
              </w:rPr>
              <w:t xml:space="preserve">: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rPr>
              <w:t>Գործընթացի</w:t>
            </w:r>
            <w:r w:rsidRPr="0053423A">
              <w:rPr>
                <w:rFonts w:eastAsia="Calibri" w:cs="Times New Roman"/>
                <w:sz w:val="20"/>
                <w:szCs w:val="20"/>
                <w:lang w:val="af-ZA"/>
              </w:rPr>
              <w:t xml:space="preserve"> </w:t>
            </w:r>
            <w:r w:rsidRPr="0053423A">
              <w:rPr>
                <w:rFonts w:eastAsia="Calibri" w:cs="Times New Roman"/>
                <w:sz w:val="20"/>
                <w:szCs w:val="20"/>
              </w:rPr>
              <w:t>նպատակը</w:t>
            </w:r>
            <w:r w:rsidRPr="0053423A">
              <w:rPr>
                <w:rFonts w:eastAsia="Calibri" w:cs="Times New Roman"/>
                <w:sz w:val="20"/>
                <w:szCs w:val="20"/>
                <w:lang w:val="af-ZA"/>
              </w:rPr>
              <w:t xml:space="preserve"> </w:t>
            </w:r>
            <w:r w:rsidRPr="0053423A">
              <w:rPr>
                <w:rFonts w:eastAsia="Calibri" w:cs="Times New Roman"/>
                <w:sz w:val="20"/>
                <w:szCs w:val="20"/>
              </w:rPr>
              <w:t>կյանքի</w:t>
            </w:r>
            <w:r w:rsidRPr="0053423A">
              <w:rPr>
                <w:rFonts w:eastAsia="Calibri" w:cs="Times New Roman"/>
                <w:sz w:val="20"/>
                <w:szCs w:val="20"/>
                <w:lang w:val="af-ZA"/>
              </w:rPr>
              <w:t xml:space="preserve"> </w:t>
            </w:r>
            <w:r w:rsidRPr="0053423A">
              <w:rPr>
                <w:rFonts w:eastAsia="Calibri" w:cs="Times New Roman"/>
                <w:sz w:val="20"/>
                <w:szCs w:val="20"/>
              </w:rPr>
              <w:t>դժվարին</w:t>
            </w:r>
            <w:r w:rsidRPr="0053423A">
              <w:rPr>
                <w:rFonts w:eastAsia="Calibri" w:cs="Times New Roman"/>
                <w:sz w:val="20"/>
                <w:szCs w:val="20"/>
                <w:lang w:val="af-ZA"/>
              </w:rPr>
              <w:t xml:space="preserve"> </w:t>
            </w:r>
            <w:r w:rsidRPr="0053423A">
              <w:rPr>
                <w:rFonts w:eastAsia="Calibri" w:cs="Times New Roman"/>
                <w:sz w:val="20"/>
                <w:szCs w:val="20"/>
              </w:rPr>
              <w:t>իրավիճակում</w:t>
            </w:r>
            <w:r w:rsidRPr="0053423A">
              <w:rPr>
                <w:rFonts w:eastAsia="Calibri" w:cs="Times New Roman"/>
                <w:sz w:val="20"/>
                <w:szCs w:val="20"/>
                <w:lang w:val="af-ZA"/>
              </w:rPr>
              <w:t xml:space="preserve"> </w:t>
            </w:r>
            <w:r w:rsidRPr="0053423A">
              <w:rPr>
                <w:rFonts w:eastAsia="Calibri" w:cs="Times New Roman"/>
                <w:sz w:val="20"/>
                <w:szCs w:val="20"/>
              </w:rPr>
              <w:t>հայտնված</w:t>
            </w:r>
            <w:r w:rsidRPr="0053423A">
              <w:rPr>
                <w:rFonts w:eastAsia="Calibri" w:cs="Times New Roman"/>
                <w:sz w:val="20"/>
                <w:szCs w:val="20"/>
                <w:lang w:val="af-ZA"/>
              </w:rPr>
              <w:t xml:space="preserve"> </w:t>
            </w:r>
            <w:r w:rsidRPr="0053423A">
              <w:rPr>
                <w:rFonts w:eastAsia="Calibri" w:cs="Times New Roman"/>
                <w:sz w:val="20"/>
                <w:szCs w:val="20"/>
              </w:rPr>
              <w:t>երեխաների</w:t>
            </w:r>
            <w:r w:rsidRPr="0053423A">
              <w:rPr>
                <w:rFonts w:eastAsia="Calibri" w:cs="Times New Roman"/>
                <w:sz w:val="20"/>
                <w:szCs w:val="20"/>
                <w:lang w:val="af-ZA"/>
              </w:rPr>
              <w:t xml:space="preserve"> </w:t>
            </w:r>
            <w:r w:rsidRPr="0053423A">
              <w:rPr>
                <w:rFonts w:eastAsia="Calibri" w:cs="Times New Roman"/>
                <w:sz w:val="20"/>
                <w:szCs w:val="20"/>
              </w:rPr>
              <w:t>կյանքի</w:t>
            </w:r>
            <w:r w:rsidRPr="0053423A">
              <w:rPr>
                <w:rFonts w:eastAsia="Calibri" w:cs="Times New Roman"/>
                <w:sz w:val="20"/>
                <w:szCs w:val="20"/>
                <w:lang w:val="af-ZA"/>
              </w:rPr>
              <w:t xml:space="preserve"> </w:t>
            </w:r>
            <w:r w:rsidRPr="0053423A">
              <w:rPr>
                <w:rFonts w:eastAsia="Calibri" w:cs="Times New Roman"/>
                <w:sz w:val="20"/>
                <w:szCs w:val="20"/>
              </w:rPr>
              <w:t>որակի</w:t>
            </w:r>
            <w:r w:rsidRPr="0053423A">
              <w:rPr>
                <w:rFonts w:eastAsia="Calibri" w:cs="Times New Roman"/>
                <w:sz w:val="20"/>
                <w:szCs w:val="20"/>
                <w:lang w:val="af-ZA"/>
              </w:rPr>
              <w:t xml:space="preserve"> </w:t>
            </w:r>
            <w:r w:rsidRPr="0053423A">
              <w:rPr>
                <w:rFonts w:eastAsia="Calibri" w:cs="Times New Roman"/>
                <w:sz w:val="20"/>
                <w:szCs w:val="20"/>
              </w:rPr>
              <w:t>բարելավումը</w:t>
            </w:r>
            <w:r w:rsidRPr="0053423A">
              <w:rPr>
                <w:rFonts w:eastAsia="Calibri" w:cs="Times New Roman"/>
                <w:sz w:val="20"/>
                <w:szCs w:val="20"/>
                <w:lang w:val="af-ZA"/>
              </w:rPr>
              <w:t xml:space="preserve">,  </w:t>
            </w:r>
            <w:r w:rsidRPr="0053423A">
              <w:rPr>
                <w:rFonts w:eastAsia="Calibri" w:cs="Times New Roman"/>
                <w:sz w:val="20"/>
                <w:szCs w:val="20"/>
              </w:rPr>
              <w:t>երեխայի՝</w:t>
            </w:r>
            <w:r w:rsidRPr="0053423A">
              <w:rPr>
                <w:rFonts w:eastAsia="Calibri" w:cs="Times New Roman"/>
                <w:sz w:val="20"/>
                <w:szCs w:val="20"/>
                <w:lang w:val="af-ZA"/>
              </w:rPr>
              <w:t xml:space="preserve"> </w:t>
            </w:r>
            <w:r w:rsidRPr="0053423A">
              <w:rPr>
                <w:rFonts w:eastAsia="Calibri" w:cs="Times New Roman"/>
                <w:sz w:val="20"/>
                <w:szCs w:val="20"/>
              </w:rPr>
              <w:t>ընտանիքում</w:t>
            </w:r>
            <w:r w:rsidRPr="0053423A">
              <w:rPr>
                <w:rFonts w:eastAsia="Calibri" w:cs="Times New Roman"/>
                <w:sz w:val="20"/>
                <w:szCs w:val="20"/>
                <w:lang w:val="af-ZA"/>
              </w:rPr>
              <w:t xml:space="preserve"> </w:t>
            </w:r>
            <w:r w:rsidRPr="0053423A">
              <w:rPr>
                <w:rFonts w:eastAsia="Calibri" w:cs="Times New Roman"/>
                <w:sz w:val="20"/>
                <w:szCs w:val="20"/>
              </w:rPr>
              <w:t>ապրելու</w:t>
            </w:r>
            <w:r w:rsidRPr="0053423A">
              <w:rPr>
                <w:rFonts w:eastAsia="Calibri" w:cs="Times New Roman"/>
                <w:sz w:val="20"/>
                <w:szCs w:val="20"/>
                <w:lang w:val="af-ZA"/>
              </w:rPr>
              <w:t xml:space="preserve"> </w:t>
            </w:r>
            <w:r w:rsidRPr="0053423A">
              <w:rPr>
                <w:rFonts w:eastAsia="Calibri" w:cs="Times New Roman"/>
                <w:sz w:val="20"/>
                <w:szCs w:val="20"/>
              </w:rPr>
              <w:t>իրավունքի</w:t>
            </w:r>
            <w:r w:rsidRPr="0053423A">
              <w:rPr>
                <w:rFonts w:eastAsia="Calibri" w:cs="Times New Roman"/>
                <w:sz w:val="20"/>
                <w:szCs w:val="20"/>
                <w:lang w:val="af-ZA"/>
              </w:rPr>
              <w:t xml:space="preserve">, </w:t>
            </w:r>
            <w:r w:rsidRPr="0053423A">
              <w:rPr>
                <w:rFonts w:eastAsia="Calibri" w:cs="Times New Roman"/>
                <w:sz w:val="20"/>
                <w:szCs w:val="20"/>
              </w:rPr>
              <w:t>երեխայի</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նրա</w:t>
            </w:r>
            <w:r w:rsidRPr="0053423A">
              <w:rPr>
                <w:rFonts w:eastAsia="Calibri" w:cs="Times New Roman"/>
                <w:sz w:val="20"/>
                <w:szCs w:val="20"/>
                <w:lang w:val="af-ZA"/>
              </w:rPr>
              <w:t xml:space="preserve"> </w:t>
            </w:r>
            <w:r w:rsidRPr="0053423A">
              <w:rPr>
                <w:rFonts w:eastAsia="Calibri" w:cs="Times New Roman"/>
                <w:sz w:val="20"/>
                <w:szCs w:val="20"/>
              </w:rPr>
              <w:t>ընտանիքի</w:t>
            </w:r>
            <w:r w:rsidRPr="0053423A">
              <w:rPr>
                <w:rFonts w:eastAsia="Calibri" w:cs="Times New Roman"/>
                <w:sz w:val="20"/>
                <w:szCs w:val="20"/>
                <w:lang w:val="af-ZA"/>
              </w:rPr>
              <w:t xml:space="preserve"> </w:t>
            </w:r>
            <w:r w:rsidRPr="0053423A">
              <w:rPr>
                <w:rFonts w:eastAsia="Calibri" w:cs="Times New Roman"/>
                <w:sz w:val="20"/>
                <w:szCs w:val="20"/>
              </w:rPr>
              <w:t>սոցիալա</w:t>
            </w:r>
            <w:r w:rsidRPr="0053423A">
              <w:rPr>
                <w:rFonts w:eastAsia="Calibri" w:cs="Times New Roman"/>
                <w:sz w:val="20"/>
                <w:szCs w:val="20"/>
                <w:lang w:val="af-ZA"/>
              </w:rPr>
              <w:softHyphen/>
            </w:r>
            <w:r w:rsidRPr="0053423A">
              <w:rPr>
                <w:rFonts w:eastAsia="Calibri" w:cs="Times New Roman"/>
                <w:sz w:val="20"/>
                <w:szCs w:val="20"/>
              </w:rPr>
              <w:t>կան</w:t>
            </w:r>
            <w:r w:rsidRPr="0053423A">
              <w:rPr>
                <w:rFonts w:eastAsia="Calibri" w:cs="Times New Roman"/>
                <w:sz w:val="20"/>
                <w:szCs w:val="20"/>
                <w:lang w:val="af-ZA"/>
              </w:rPr>
              <w:t xml:space="preserve"> </w:t>
            </w:r>
            <w:r w:rsidRPr="0053423A">
              <w:rPr>
                <w:rFonts w:eastAsia="Calibri" w:cs="Times New Roman"/>
                <w:sz w:val="20"/>
                <w:szCs w:val="20"/>
              </w:rPr>
              <w:t>պաշտպանության</w:t>
            </w:r>
            <w:r w:rsidRPr="0053423A">
              <w:rPr>
                <w:rFonts w:eastAsia="Calibri" w:cs="Times New Roman"/>
                <w:sz w:val="20"/>
                <w:szCs w:val="20"/>
                <w:lang w:val="af-ZA"/>
              </w:rPr>
              <w:t xml:space="preserve"> </w:t>
            </w:r>
            <w:r w:rsidRPr="0053423A">
              <w:rPr>
                <w:rFonts w:eastAsia="Calibri" w:cs="Times New Roman"/>
                <w:sz w:val="20"/>
                <w:szCs w:val="20"/>
              </w:rPr>
              <w:t>երաշխիքների</w:t>
            </w:r>
            <w:r w:rsidRPr="0053423A">
              <w:rPr>
                <w:rFonts w:eastAsia="Calibri" w:cs="Times New Roman"/>
                <w:sz w:val="20"/>
                <w:szCs w:val="20"/>
                <w:lang w:val="af-ZA"/>
              </w:rPr>
              <w:t xml:space="preserve"> </w:t>
            </w:r>
            <w:r w:rsidRPr="0053423A">
              <w:rPr>
                <w:rFonts w:eastAsia="Calibri" w:cs="Times New Roman"/>
                <w:sz w:val="20"/>
                <w:szCs w:val="20"/>
              </w:rPr>
              <w:t>ապահո</w:t>
            </w:r>
            <w:r w:rsidRPr="0053423A">
              <w:rPr>
                <w:rFonts w:eastAsia="Calibri" w:cs="Times New Roman"/>
                <w:sz w:val="20"/>
                <w:szCs w:val="20"/>
                <w:lang w:val="af-ZA"/>
              </w:rPr>
              <w:softHyphen/>
            </w:r>
            <w:r w:rsidRPr="0053423A">
              <w:rPr>
                <w:rFonts w:eastAsia="Calibri" w:cs="Times New Roman"/>
                <w:sz w:val="20"/>
                <w:szCs w:val="20"/>
              </w:rPr>
              <w:t>վումը</w:t>
            </w:r>
            <w:r w:rsidRPr="0053423A">
              <w:rPr>
                <w:rFonts w:eastAsia="Calibri" w:cs="Times New Roman"/>
                <w:sz w:val="20"/>
                <w:szCs w:val="20"/>
                <w:lang w:val="af-ZA"/>
              </w:rPr>
              <w:t>:</w:t>
            </w:r>
          </w:p>
          <w:p w:rsidR="00514E01" w:rsidRPr="0053423A" w:rsidRDefault="00514E01" w:rsidP="00A67858">
            <w:pPr>
              <w:spacing w:line="276" w:lineRule="auto"/>
              <w:jc w:val="both"/>
              <w:rPr>
                <w:rFonts w:eastAsia="Calibri" w:cs="Times New Roman"/>
                <w:b/>
                <w:sz w:val="20"/>
                <w:szCs w:val="20"/>
                <w:lang w:val="af-ZA"/>
              </w:rPr>
            </w:pPr>
            <w:r w:rsidRPr="0053423A">
              <w:rPr>
                <w:rFonts w:eastAsia="Calibri" w:cs="Times New Roman"/>
                <w:b/>
                <w:sz w:val="20"/>
                <w:szCs w:val="20"/>
                <w:lang w:val="af-ZA"/>
              </w:rPr>
              <w:t>1.1 կ</w:t>
            </w:r>
            <w:r w:rsidRPr="0053423A">
              <w:rPr>
                <w:rFonts w:eastAsia="Calibri" w:cs="Times New Roman"/>
                <w:b/>
                <w:sz w:val="20"/>
                <w:szCs w:val="20"/>
              </w:rPr>
              <w:t>արգավորման</w:t>
            </w:r>
            <w:r w:rsidRPr="0053423A">
              <w:rPr>
                <w:rFonts w:eastAsia="Calibri" w:cs="Times New Roman"/>
                <w:b/>
                <w:sz w:val="20"/>
                <w:szCs w:val="20"/>
                <w:lang w:val="af-ZA"/>
              </w:rPr>
              <w:t xml:space="preserve"> </w:t>
            </w:r>
            <w:r w:rsidRPr="0053423A">
              <w:rPr>
                <w:rFonts w:eastAsia="Calibri" w:cs="Times New Roman"/>
                <w:b/>
                <w:sz w:val="20"/>
                <w:szCs w:val="20"/>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rPr>
              <w:t>ներկա</w:t>
            </w:r>
            <w:r w:rsidRPr="0053423A">
              <w:rPr>
                <w:rFonts w:eastAsia="Calibri" w:cs="Times New Roman"/>
                <w:b/>
                <w:sz w:val="20"/>
                <w:szCs w:val="20"/>
                <w:lang w:val="af-ZA"/>
              </w:rPr>
              <w:t xml:space="preserve"> </w:t>
            </w:r>
            <w:r w:rsidRPr="0053423A">
              <w:rPr>
                <w:rFonts w:eastAsia="Calibri" w:cs="Times New Roman"/>
                <w:b/>
                <w:sz w:val="20"/>
                <w:szCs w:val="20"/>
              </w:rPr>
              <w:t>վիճակը</w:t>
            </w:r>
            <w:r w:rsidRPr="0053423A">
              <w:rPr>
                <w:rFonts w:eastAsia="Calibri" w:cs="Times New Roman"/>
                <w:b/>
                <w:sz w:val="20"/>
                <w:szCs w:val="20"/>
                <w:lang w:val="af-ZA"/>
              </w:rPr>
              <w:t xml:space="preserve"> </w:t>
            </w:r>
            <w:r w:rsidRPr="0053423A">
              <w:rPr>
                <w:rFonts w:eastAsia="Calibri" w:cs="Times New Roman"/>
                <w:b/>
                <w:sz w:val="20"/>
                <w:szCs w:val="20"/>
              </w:rPr>
              <w:t>և</w:t>
            </w:r>
            <w:r w:rsidRPr="0053423A">
              <w:rPr>
                <w:rFonts w:eastAsia="Calibri" w:cs="Times New Roman"/>
                <w:b/>
                <w:sz w:val="20"/>
                <w:szCs w:val="20"/>
                <w:lang w:val="af-ZA"/>
              </w:rPr>
              <w:t xml:space="preserve"> </w:t>
            </w:r>
            <w:r w:rsidRPr="0053423A">
              <w:rPr>
                <w:rFonts w:eastAsia="Calibri" w:cs="Times New Roman"/>
                <w:b/>
                <w:sz w:val="20"/>
                <w:szCs w:val="20"/>
              </w:rPr>
              <w:t>առկա</w:t>
            </w:r>
            <w:r w:rsidRPr="0053423A">
              <w:rPr>
                <w:rFonts w:eastAsia="Calibri" w:cs="Times New Roman"/>
                <w:b/>
                <w:sz w:val="20"/>
                <w:szCs w:val="20"/>
                <w:lang w:val="af-ZA"/>
              </w:rPr>
              <w:t xml:space="preserve"> </w:t>
            </w:r>
            <w:r w:rsidRPr="0053423A">
              <w:rPr>
                <w:rFonts w:eastAsia="Calibri" w:cs="Times New Roman"/>
                <w:b/>
                <w:sz w:val="20"/>
                <w:szCs w:val="20"/>
              </w:rPr>
              <w:t>խնդիրները</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lang w:val="af-ZA"/>
              </w:rPr>
              <w:t xml:space="preserve">Ներկայում երեխաների իրավունքների պաշտպանությունը իրականացվում է եռաստիճան համակարգով, որի առաջին օղակը համայնքներում՝ խնամակալության և հոգաբարձության մարմիններն են, մարզերում՝ ընտանիքի, կանանց և երեխաների իրավունքների պաշտպանության բաժինները և երեխաների իրավունքների պաշտպանության ազգային հանձնաժողովը: Պայմանավորված մի շարք հանգամանքներով՝ վերջին տարիներին եռաստիճան համակարգի գործունեությունը լիարժեք չի իրականացվում: Ներկայում անհրաժեշտ է ուսումնասիրել և գնահատել եռաստիճան համակարգի գործունեության արդյունավետությունը: </w:t>
            </w:r>
          </w:p>
          <w:p w:rsidR="00514E01" w:rsidRPr="0053423A" w:rsidRDefault="00514E01" w:rsidP="001F6D5D">
            <w:pPr>
              <w:numPr>
                <w:ilvl w:val="1"/>
                <w:numId w:val="175"/>
              </w:numPr>
              <w:spacing w:line="276" w:lineRule="auto"/>
              <w:jc w:val="both"/>
              <w:rPr>
                <w:rFonts w:eastAsia="Calibri" w:cs="Times New Roman"/>
                <w:b/>
                <w:sz w:val="20"/>
                <w:szCs w:val="20"/>
                <w:lang w:val="af-ZA"/>
              </w:rPr>
            </w:pPr>
            <w:r w:rsidRPr="0053423A">
              <w:rPr>
                <w:rFonts w:eastAsia="Calibri" w:cs="Times New Roman"/>
                <w:b/>
                <w:sz w:val="20"/>
                <w:szCs w:val="20"/>
                <w:lang w:val="x-none"/>
              </w:rPr>
              <w:t>Առկա</w:t>
            </w:r>
            <w:r w:rsidRPr="0053423A">
              <w:rPr>
                <w:rFonts w:eastAsia="Calibri" w:cs="Times New Roman"/>
                <w:b/>
                <w:sz w:val="20"/>
                <w:szCs w:val="20"/>
                <w:lang w:val="af-ZA"/>
              </w:rPr>
              <w:t xml:space="preserve"> </w:t>
            </w:r>
            <w:r w:rsidRPr="0053423A">
              <w:rPr>
                <w:rFonts w:eastAsia="Calibri" w:cs="Times New Roman"/>
                <w:b/>
                <w:sz w:val="20"/>
                <w:szCs w:val="20"/>
                <w:lang w:val="x-none"/>
              </w:rPr>
              <w:t>խնդիրների</w:t>
            </w:r>
            <w:r w:rsidRPr="0053423A">
              <w:rPr>
                <w:rFonts w:eastAsia="Calibri" w:cs="Times New Roman"/>
                <w:b/>
                <w:sz w:val="20"/>
                <w:szCs w:val="20"/>
                <w:lang w:val="af-ZA"/>
              </w:rPr>
              <w:t xml:space="preserve"> </w:t>
            </w:r>
            <w:r w:rsidRPr="0053423A">
              <w:rPr>
                <w:rFonts w:eastAsia="Calibri" w:cs="Times New Roman"/>
                <w:b/>
                <w:sz w:val="20"/>
                <w:szCs w:val="20"/>
                <w:lang w:val="x-none"/>
              </w:rPr>
              <w:t>առաջարկվող</w:t>
            </w:r>
            <w:r w:rsidRPr="0053423A">
              <w:rPr>
                <w:rFonts w:eastAsia="Calibri" w:cs="Times New Roman"/>
                <w:b/>
                <w:sz w:val="20"/>
                <w:szCs w:val="20"/>
                <w:lang w:val="af-ZA"/>
              </w:rPr>
              <w:t xml:space="preserve"> </w:t>
            </w:r>
            <w:r w:rsidRPr="0053423A">
              <w:rPr>
                <w:rFonts w:eastAsia="Calibri" w:cs="Times New Roman"/>
                <w:b/>
                <w:sz w:val="20"/>
                <w:szCs w:val="20"/>
                <w:lang w:val="x-none"/>
              </w:rPr>
              <w:t>լուծումները</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bCs/>
                <w:sz w:val="20"/>
                <w:szCs w:val="20"/>
                <w:lang w:val="af-ZA"/>
              </w:rPr>
              <w:t xml:space="preserve">Նախատեսվում է գնահատել համակարգի արդյունավետությունը բարելավել </w:t>
            </w:r>
            <w:r w:rsidRPr="0053423A">
              <w:rPr>
                <w:rFonts w:eastAsia="Calibri" w:cs="Times New Roman"/>
                <w:bCs/>
                <w:sz w:val="20"/>
                <w:szCs w:val="20"/>
              </w:rPr>
              <w:t>Երեխաների</w:t>
            </w:r>
            <w:r w:rsidRPr="0053423A">
              <w:rPr>
                <w:rFonts w:eastAsia="Calibri" w:cs="Times New Roman"/>
                <w:bCs/>
                <w:sz w:val="20"/>
                <w:szCs w:val="20"/>
                <w:lang w:val="af-ZA"/>
              </w:rPr>
              <w:t xml:space="preserve"> </w:t>
            </w:r>
            <w:r w:rsidRPr="0053423A">
              <w:rPr>
                <w:rFonts w:eastAsia="Calibri" w:cs="Times New Roman"/>
                <w:bCs/>
                <w:sz w:val="20"/>
                <w:szCs w:val="20"/>
              </w:rPr>
              <w:t>իրավունքների</w:t>
            </w:r>
            <w:r w:rsidRPr="0053423A">
              <w:rPr>
                <w:rFonts w:eastAsia="Calibri" w:cs="Times New Roman"/>
                <w:bCs/>
                <w:sz w:val="20"/>
                <w:szCs w:val="20"/>
                <w:lang w:val="af-ZA"/>
              </w:rPr>
              <w:t xml:space="preserve"> </w:t>
            </w:r>
            <w:r w:rsidRPr="0053423A">
              <w:rPr>
                <w:rFonts w:eastAsia="Calibri" w:cs="Times New Roman"/>
                <w:bCs/>
                <w:sz w:val="20"/>
                <w:szCs w:val="20"/>
              </w:rPr>
              <w:t>պաշտպանության</w:t>
            </w:r>
            <w:r w:rsidRPr="0053423A">
              <w:rPr>
                <w:rFonts w:eastAsia="Calibri" w:cs="Times New Roman"/>
                <w:bCs/>
                <w:sz w:val="20"/>
                <w:szCs w:val="20"/>
                <w:lang w:val="af-ZA"/>
              </w:rPr>
              <w:t xml:space="preserve"> </w:t>
            </w:r>
            <w:r w:rsidRPr="0053423A">
              <w:rPr>
                <w:rFonts w:eastAsia="Calibri" w:cs="Times New Roman"/>
                <w:sz w:val="20"/>
                <w:szCs w:val="20"/>
              </w:rPr>
              <w:t>իրավական</w:t>
            </w:r>
            <w:r w:rsidRPr="0053423A">
              <w:rPr>
                <w:rFonts w:eastAsia="Calibri" w:cs="Times New Roman"/>
                <w:sz w:val="20"/>
                <w:szCs w:val="20"/>
                <w:lang w:val="af-ZA"/>
              </w:rPr>
              <w:t xml:space="preserve"> </w:t>
            </w:r>
            <w:r w:rsidRPr="0053423A">
              <w:rPr>
                <w:rFonts w:eastAsia="Calibri" w:cs="Times New Roman"/>
                <w:sz w:val="20"/>
                <w:szCs w:val="20"/>
              </w:rPr>
              <w:t>դաշտը</w:t>
            </w:r>
            <w:r w:rsidRPr="0053423A">
              <w:rPr>
                <w:rFonts w:eastAsia="Calibri" w:cs="Times New Roman"/>
                <w:sz w:val="20"/>
                <w:szCs w:val="20"/>
                <w:lang w:val="af-ZA"/>
              </w:rPr>
              <w:t xml:space="preserve"> </w:t>
            </w:r>
            <w:r w:rsidRPr="0053423A">
              <w:rPr>
                <w:rFonts w:eastAsia="Calibri" w:cs="Times New Roman"/>
                <w:sz w:val="20"/>
                <w:szCs w:val="20"/>
              </w:rPr>
              <w:t>այն</w:t>
            </w:r>
            <w:r w:rsidRPr="0053423A">
              <w:rPr>
                <w:rFonts w:eastAsia="Calibri" w:cs="Times New Roman"/>
                <w:sz w:val="20"/>
                <w:szCs w:val="20"/>
                <w:lang w:val="af-ZA"/>
              </w:rPr>
              <w:t xml:space="preserve"> </w:t>
            </w:r>
            <w:r w:rsidRPr="0053423A">
              <w:rPr>
                <w:rFonts w:eastAsia="Calibri" w:cs="Times New Roman"/>
                <w:sz w:val="20"/>
                <w:szCs w:val="20"/>
              </w:rPr>
              <w:t>համապատասխանեցնելով</w:t>
            </w:r>
            <w:r w:rsidRPr="0053423A">
              <w:rPr>
                <w:rFonts w:eastAsia="Calibri" w:cs="Times New Roman"/>
                <w:sz w:val="20"/>
                <w:szCs w:val="20"/>
                <w:lang w:val="af-ZA"/>
              </w:rPr>
              <w:t xml:space="preserve"> «</w:t>
            </w:r>
            <w:r w:rsidRPr="0053423A">
              <w:rPr>
                <w:rFonts w:eastAsia="Calibri" w:cs="Times New Roman"/>
                <w:sz w:val="20"/>
                <w:szCs w:val="20"/>
              </w:rPr>
              <w:t>Երեխայի</w:t>
            </w:r>
            <w:r w:rsidRPr="0053423A">
              <w:rPr>
                <w:rFonts w:eastAsia="Calibri" w:cs="Times New Roman"/>
                <w:sz w:val="20"/>
                <w:szCs w:val="20"/>
                <w:lang w:val="af-ZA"/>
              </w:rPr>
              <w:t xml:space="preserve"> </w:t>
            </w:r>
            <w:r w:rsidRPr="0053423A">
              <w:rPr>
                <w:rFonts w:eastAsia="Calibri" w:cs="Times New Roman"/>
                <w:sz w:val="20"/>
                <w:szCs w:val="20"/>
              </w:rPr>
              <w:t>իրավունքների</w:t>
            </w:r>
            <w:r w:rsidRPr="0053423A">
              <w:rPr>
                <w:rFonts w:eastAsia="Calibri" w:cs="Times New Roman"/>
                <w:sz w:val="20"/>
                <w:szCs w:val="20"/>
                <w:lang w:val="af-ZA"/>
              </w:rPr>
              <w:t xml:space="preserve"> </w:t>
            </w:r>
            <w:r w:rsidRPr="0053423A">
              <w:rPr>
                <w:rFonts w:eastAsia="Calibri" w:cs="Times New Roman"/>
                <w:sz w:val="20"/>
                <w:szCs w:val="20"/>
              </w:rPr>
              <w:t>մասին</w:t>
            </w:r>
            <w:r w:rsidRPr="0053423A">
              <w:rPr>
                <w:rFonts w:eastAsia="Calibri" w:cs="Times New Roman"/>
                <w:sz w:val="20"/>
                <w:szCs w:val="20"/>
                <w:lang w:val="af-ZA"/>
              </w:rPr>
              <w:t xml:space="preserve">» </w:t>
            </w:r>
            <w:r w:rsidRPr="0053423A">
              <w:rPr>
                <w:rFonts w:eastAsia="Calibri" w:cs="Times New Roman"/>
                <w:sz w:val="20"/>
                <w:szCs w:val="20"/>
              </w:rPr>
              <w:t>ՄԱԿ</w:t>
            </w:r>
            <w:r w:rsidRPr="0053423A">
              <w:rPr>
                <w:rFonts w:eastAsia="Calibri" w:cs="Times New Roman"/>
                <w:sz w:val="20"/>
                <w:szCs w:val="20"/>
                <w:lang w:val="af-ZA"/>
              </w:rPr>
              <w:t>-</w:t>
            </w:r>
            <w:r w:rsidRPr="0053423A">
              <w:rPr>
                <w:rFonts w:eastAsia="Calibri" w:cs="Times New Roman"/>
                <w:sz w:val="20"/>
                <w:szCs w:val="20"/>
              </w:rPr>
              <w:t>ի</w:t>
            </w:r>
            <w:r w:rsidRPr="0053423A">
              <w:rPr>
                <w:rFonts w:eastAsia="Calibri" w:cs="Times New Roman"/>
                <w:sz w:val="20"/>
                <w:szCs w:val="20"/>
                <w:lang w:val="af-ZA"/>
              </w:rPr>
              <w:t xml:space="preserve"> </w:t>
            </w:r>
            <w:r w:rsidRPr="0053423A">
              <w:rPr>
                <w:rFonts w:eastAsia="Calibri" w:cs="Times New Roman"/>
                <w:sz w:val="20"/>
                <w:szCs w:val="20"/>
              </w:rPr>
              <w:t>կոնվենցիայի</w:t>
            </w:r>
            <w:r w:rsidRPr="0053423A">
              <w:rPr>
                <w:rFonts w:eastAsia="Calibri" w:cs="Times New Roman"/>
                <w:sz w:val="20"/>
                <w:szCs w:val="20"/>
                <w:lang w:val="af-ZA"/>
              </w:rPr>
              <w:t xml:space="preserve">, </w:t>
            </w:r>
            <w:r w:rsidRPr="0053423A">
              <w:rPr>
                <w:rFonts w:eastAsia="Calibri" w:cs="Times New Roman"/>
                <w:sz w:val="20"/>
                <w:szCs w:val="20"/>
              </w:rPr>
              <w:t>Վերանայված</w:t>
            </w:r>
            <w:r w:rsidRPr="0053423A">
              <w:rPr>
                <w:rFonts w:eastAsia="Calibri" w:cs="Times New Roman"/>
                <w:sz w:val="20"/>
                <w:szCs w:val="20"/>
                <w:lang w:val="af-ZA"/>
              </w:rPr>
              <w:t xml:space="preserve"> </w:t>
            </w:r>
            <w:r w:rsidRPr="0053423A">
              <w:rPr>
                <w:rFonts w:eastAsia="Calibri" w:cs="Times New Roman"/>
                <w:sz w:val="20"/>
                <w:szCs w:val="20"/>
              </w:rPr>
              <w:t>Եվրոպական</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խարտիայի</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Հայաստանի</w:t>
            </w:r>
            <w:r w:rsidRPr="0053423A">
              <w:rPr>
                <w:rFonts w:eastAsia="Calibri" w:cs="Times New Roman"/>
                <w:sz w:val="20"/>
                <w:szCs w:val="20"/>
                <w:lang w:val="af-ZA"/>
              </w:rPr>
              <w:t xml:space="preserve"> </w:t>
            </w:r>
            <w:r w:rsidRPr="0053423A">
              <w:rPr>
                <w:rFonts w:eastAsia="Calibri" w:cs="Times New Roman"/>
                <w:sz w:val="20"/>
                <w:szCs w:val="20"/>
              </w:rPr>
              <w:t>Հանրապետության</w:t>
            </w:r>
            <w:r w:rsidRPr="0053423A">
              <w:rPr>
                <w:rFonts w:eastAsia="Calibri" w:cs="Times New Roman"/>
                <w:sz w:val="20"/>
                <w:szCs w:val="20"/>
                <w:lang w:val="af-ZA"/>
              </w:rPr>
              <w:t xml:space="preserve"> </w:t>
            </w:r>
            <w:r w:rsidRPr="0053423A">
              <w:rPr>
                <w:rFonts w:eastAsia="Calibri" w:cs="Times New Roman"/>
                <w:sz w:val="20"/>
                <w:szCs w:val="20"/>
              </w:rPr>
              <w:t>միջազգային</w:t>
            </w:r>
            <w:r w:rsidRPr="0053423A">
              <w:rPr>
                <w:rFonts w:eastAsia="Calibri" w:cs="Times New Roman"/>
                <w:sz w:val="20"/>
                <w:szCs w:val="20"/>
                <w:lang w:val="af-ZA"/>
              </w:rPr>
              <w:t xml:space="preserve"> </w:t>
            </w:r>
            <w:r w:rsidRPr="0053423A">
              <w:rPr>
                <w:rFonts w:eastAsia="Calibri" w:cs="Times New Roman"/>
                <w:sz w:val="20"/>
                <w:szCs w:val="20"/>
              </w:rPr>
              <w:t>այլ</w:t>
            </w:r>
            <w:r w:rsidRPr="0053423A">
              <w:rPr>
                <w:rFonts w:eastAsia="Calibri" w:cs="Times New Roman"/>
                <w:sz w:val="20"/>
                <w:szCs w:val="20"/>
                <w:lang w:val="af-ZA"/>
              </w:rPr>
              <w:t xml:space="preserve"> </w:t>
            </w:r>
            <w:r w:rsidRPr="0053423A">
              <w:rPr>
                <w:rFonts w:eastAsia="Calibri" w:cs="Times New Roman"/>
                <w:sz w:val="20"/>
                <w:szCs w:val="20"/>
              </w:rPr>
              <w:t>փաստաթղթերով</w:t>
            </w:r>
            <w:r w:rsidRPr="0053423A">
              <w:rPr>
                <w:rFonts w:eastAsia="Calibri" w:cs="Times New Roman"/>
                <w:sz w:val="20"/>
                <w:szCs w:val="20"/>
                <w:lang w:val="af-ZA"/>
              </w:rPr>
              <w:t xml:space="preserve"> </w:t>
            </w:r>
            <w:r w:rsidRPr="0053423A">
              <w:rPr>
                <w:rFonts w:eastAsia="Calibri" w:cs="Times New Roman"/>
                <w:sz w:val="20"/>
                <w:szCs w:val="20"/>
              </w:rPr>
              <w:t>սահմանված</w:t>
            </w:r>
            <w:r w:rsidRPr="0053423A">
              <w:rPr>
                <w:rFonts w:eastAsia="Calibri" w:cs="Times New Roman"/>
                <w:sz w:val="20"/>
                <w:szCs w:val="20"/>
                <w:lang w:val="af-ZA"/>
              </w:rPr>
              <w:t xml:space="preserve"> </w:t>
            </w:r>
            <w:r w:rsidRPr="0053423A">
              <w:rPr>
                <w:rFonts w:eastAsia="Calibri" w:cs="Times New Roman"/>
                <w:sz w:val="20"/>
                <w:szCs w:val="20"/>
              </w:rPr>
              <w:t>պարտավորությունների</w:t>
            </w:r>
            <w:r w:rsidRPr="0053423A">
              <w:rPr>
                <w:rFonts w:eastAsia="Calibri" w:cs="Times New Roman"/>
                <w:sz w:val="20"/>
                <w:szCs w:val="20"/>
                <w:lang w:val="af-ZA"/>
              </w:rPr>
              <w:t xml:space="preserve"> </w:t>
            </w:r>
            <w:r w:rsidRPr="0053423A">
              <w:rPr>
                <w:rFonts w:eastAsia="Calibri" w:cs="Times New Roman"/>
                <w:sz w:val="20"/>
                <w:szCs w:val="20"/>
              </w:rPr>
              <w:t>կատարման</w:t>
            </w:r>
            <w:r w:rsidRPr="0053423A">
              <w:rPr>
                <w:rFonts w:eastAsia="Calibri" w:cs="Times New Roman"/>
                <w:sz w:val="20"/>
                <w:szCs w:val="20"/>
                <w:lang w:val="af-ZA"/>
              </w:rPr>
              <w:t xml:space="preserve"> </w:t>
            </w:r>
            <w:r w:rsidRPr="0053423A">
              <w:rPr>
                <w:rFonts w:eastAsia="Calibri" w:cs="Times New Roman"/>
                <w:sz w:val="20"/>
                <w:szCs w:val="20"/>
              </w:rPr>
              <w:t>պահանջներին</w:t>
            </w:r>
            <w:r w:rsidRPr="0053423A">
              <w:rPr>
                <w:rFonts w:eastAsia="Calibri" w:cs="Times New Roman"/>
                <w:sz w:val="20"/>
                <w:szCs w:val="20"/>
                <w:lang w:val="af-ZA"/>
              </w:rPr>
              <w:t xml:space="preserve"> </w:t>
            </w:r>
            <w:r w:rsidRPr="0053423A">
              <w:rPr>
                <w:rFonts w:eastAsia="Calibri" w:cs="Times New Roman"/>
                <w:sz w:val="20"/>
                <w:szCs w:val="20"/>
              </w:rPr>
              <w:t>համապատասխան</w:t>
            </w:r>
            <w:r w:rsidRPr="0053423A">
              <w:rPr>
                <w:rFonts w:eastAsia="Calibri" w:cs="Times New Roman"/>
                <w:sz w:val="20"/>
                <w:szCs w:val="20"/>
                <w:lang w:val="af-ZA"/>
              </w:rPr>
              <w:t>:</w:t>
            </w:r>
          </w:p>
          <w:p w:rsidR="00514E01" w:rsidRPr="0053423A" w:rsidRDefault="00514E01" w:rsidP="00A67858">
            <w:pPr>
              <w:spacing w:line="276" w:lineRule="auto"/>
              <w:jc w:val="both"/>
              <w:rPr>
                <w:rFonts w:eastAsia="Calibri" w:cs="Times New Roman"/>
                <w:b/>
                <w:bCs/>
                <w:sz w:val="20"/>
                <w:szCs w:val="20"/>
                <w:lang w:val="hy-AM"/>
              </w:rPr>
            </w:pPr>
            <w:r w:rsidRPr="0053423A">
              <w:rPr>
                <w:rFonts w:eastAsia="Calibri" w:cs="Times New Roman"/>
                <w:b/>
                <w:bCs/>
                <w:sz w:val="20"/>
                <w:szCs w:val="20"/>
                <w:lang w:val="hy-AM"/>
              </w:rPr>
              <w:t>2. Միջոցառման իրականացումից ակնկալվող արդյունքը</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rPr>
              <w:t>Կապահովվի</w:t>
            </w:r>
            <w:r w:rsidRPr="0053423A">
              <w:rPr>
                <w:rFonts w:eastAsia="Calibri" w:cs="Times New Roman"/>
                <w:sz w:val="20"/>
                <w:szCs w:val="20"/>
                <w:lang w:val="af-ZA"/>
              </w:rPr>
              <w:t xml:space="preserve"> </w:t>
            </w:r>
            <w:r w:rsidRPr="0053423A">
              <w:rPr>
                <w:rFonts w:eastAsia="Calibri" w:cs="Times New Roman"/>
                <w:sz w:val="20"/>
                <w:szCs w:val="20"/>
              </w:rPr>
              <w:t>կյանքի</w:t>
            </w:r>
            <w:r w:rsidRPr="0053423A">
              <w:rPr>
                <w:rFonts w:eastAsia="Calibri" w:cs="Times New Roman"/>
                <w:sz w:val="20"/>
                <w:szCs w:val="20"/>
                <w:lang w:val="af-ZA"/>
              </w:rPr>
              <w:t xml:space="preserve"> </w:t>
            </w:r>
            <w:r w:rsidRPr="0053423A">
              <w:rPr>
                <w:rFonts w:eastAsia="Calibri" w:cs="Times New Roman"/>
                <w:sz w:val="20"/>
                <w:szCs w:val="20"/>
              </w:rPr>
              <w:t>դժվարին</w:t>
            </w:r>
            <w:r w:rsidRPr="0053423A">
              <w:rPr>
                <w:rFonts w:eastAsia="Calibri" w:cs="Times New Roman"/>
                <w:sz w:val="20"/>
                <w:szCs w:val="20"/>
                <w:lang w:val="af-ZA"/>
              </w:rPr>
              <w:t xml:space="preserve"> </w:t>
            </w:r>
            <w:r w:rsidRPr="0053423A">
              <w:rPr>
                <w:rFonts w:eastAsia="Calibri" w:cs="Times New Roman"/>
                <w:sz w:val="20"/>
                <w:szCs w:val="20"/>
              </w:rPr>
              <w:t>իրավիճակում</w:t>
            </w:r>
            <w:r w:rsidRPr="0053423A">
              <w:rPr>
                <w:rFonts w:eastAsia="Calibri" w:cs="Times New Roman"/>
                <w:sz w:val="20"/>
                <w:szCs w:val="20"/>
                <w:lang w:val="af-ZA"/>
              </w:rPr>
              <w:t xml:space="preserve"> </w:t>
            </w:r>
            <w:r w:rsidRPr="0053423A">
              <w:rPr>
                <w:rFonts w:eastAsia="Calibri" w:cs="Times New Roman"/>
                <w:sz w:val="20"/>
                <w:szCs w:val="20"/>
              </w:rPr>
              <w:t>հայտնված</w:t>
            </w:r>
            <w:r w:rsidRPr="0053423A">
              <w:rPr>
                <w:rFonts w:eastAsia="Calibri" w:cs="Times New Roman"/>
                <w:sz w:val="20"/>
                <w:szCs w:val="20"/>
                <w:lang w:val="af-ZA"/>
              </w:rPr>
              <w:t xml:space="preserve"> </w:t>
            </w:r>
            <w:r w:rsidRPr="0053423A">
              <w:rPr>
                <w:rFonts w:eastAsia="Calibri" w:cs="Times New Roman"/>
                <w:sz w:val="20"/>
                <w:szCs w:val="20"/>
              </w:rPr>
              <w:t>երեխաների</w:t>
            </w:r>
            <w:r w:rsidRPr="0053423A">
              <w:rPr>
                <w:rFonts w:eastAsia="Calibri" w:cs="Times New Roman"/>
                <w:sz w:val="20"/>
                <w:szCs w:val="20"/>
                <w:lang w:val="af-ZA"/>
              </w:rPr>
              <w:t xml:space="preserve"> </w:t>
            </w:r>
            <w:r w:rsidRPr="0053423A">
              <w:rPr>
                <w:rFonts w:eastAsia="Calibri" w:cs="Times New Roman"/>
                <w:sz w:val="20"/>
                <w:szCs w:val="20"/>
              </w:rPr>
              <w:t>վիճակի</w:t>
            </w:r>
            <w:r w:rsidRPr="0053423A">
              <w:rPr>
                <w:rFonts w:eastAsia="Calibri" w:cs="Times New Roman"/>
                <w:sz w:val="20"/>
                <w:szCs w:val="20"/>
                <w:lang w:val="af-ZA"/>
              </w:rPr>
              <w:t xml:space="preserve"> </w:t>
            </w:r>
            <w:r w:rsidRPr="0053423A">
              <w:rPr>
                <w:rFonts w:eastAsia="Calibri" w:cs="Times New Roman"/>
                <w:sz w:val="20"/>
                <w:szCs w:val="20"/>
              </w:rPr>
              <w:t>բարելավումը</w:t>
            </w:r>
            <w:r w:rsidRPr="0053423A">
              <w:rPr>
                <w:rFonts w:eastAsia="Calibri" w:cs="Times New Roman"/>
                <w:sz w:val="20"/>
                <w:szCs w:val="20"/>
                <w:lang w:val="af-ZA"/>
              </w:rPr>
              <w:t xml:space="preserve">: </w:t>
            </w:r>
          </w:p>
          <w:p w:rsidR="00514E01" w:rsidRPr="0053423A" w:rsidRDefault="00514E01" w:rsidP="00A67858">
            <w:pPr>
              <w:spacing w:line="276" w:lineRule="auto"/>
              <w:rPr>
                <w:sz w:val="20"/>
                <w:szCs w:val="20"/>
                <w:lang w:val="hy-AM"/>
              </w:rPr>
            </w:pPr>
            <w:r w:rsidRPr="0053423A">
              <w:rPr>
                <w:rFonts w:eastAsia="Calibri" w:cs="Times New Roman"/>
                <w:sz w:val="20"/>
                <w:szCs w:val="20"/>
              </w:rPr>
              <w:t>Կբարելավվի</w:t>
            </w:r>
            <w:r w:rsidRPr="0053423A">
              <w:rPr>
                <w:rFonts w:eastAsia="Calibri" w:cs="Times New Roman"/>
                <w:sz w:val="20"/>
                <w:szCs w:val="20"/>
                <w:lang w:val="af-ZA"/>
              </w:rPr>
              <w:t xml:space="preserve"> </w:t>
            </w:r>
            <w:r w:rsidRPr="0053423A">
              <w:rPr>
                <w:rFonts w:eastAsia="Calibri" w:cs="Times New Roman"/>
                <w:sz w:val="20"/>
                <w:szCs w:val="20"/>
              </w:rPr>
              <w:t>կյանքի</w:t>
            </w:r>
            <w:r w:rsidRPr="0053423A">
              <w:rPr>
                <w:rFonts w:eastAsia="Calibri" w:cs="Times New Roman"/>
                <w:sz w:val="20"/>
                <w:szCs w:val="20"/>
                <w:lang w:val="af-ZA"/>
              </w:rPr>
              <w:t xml:space="preserve"> </w:t>
            </w:r>
            <w:r w:rsidRPr="0053423A">
              <w:rPr>
                <w:rFonts w:eastAsia="Calibri" w:cs="Times New Roman"/>
                <w:sz w:val="20"/>
                <w:szCs w:val="20"/>
              </w:rPr>
              <w:t>դժվարին</w:t>
            </w:r>
            <w:r w:rsidRPr="0053423A">
              <w:rPr>
                <w:rFonts w:eastAsia="Calibri" w:cs="Times New Roman"/>
                <w:sz w:val="20"/>
                <w:szCs w:val="20"/>
                <w:lang w:val="af-ZA"/>
              </w:rPr>
              <w:t xml:space="preserve"> </w:t>
            </w:r>
            <w:r w:rsidRPr="0053423A">
              <w:rPr>
                <w:rFonts w:eastAsia="Calibri" w:cs="Times New Roman"/>
                <w:sz w:val="20"/>
                <w:szCs w:val="20"/>
              </w:rPr>
              <w:t>իրավիճակում</w:t>
            </w:r>
            <w:r w:rsidRPr="0053423A">
              <w:rPr>
                <w:rFonts w:eastAsia="Calibri" w:cs="Times New Roman"/>
                <w:sz w:val="20"/>
                <w:szCs w:val="20"/>
                <w:lang w:val="af-ZA"/>
              </w:rPr>
              <w:t xml:space="preserve"> </w:t>
            </w:r>
            <w:r w:rsidRPr="0053423A">
              <w:rPr>
                <w:rFonts w:eastAsia="Calibri" w:cs="Times New Roman"/>
                <w:sz w:val="20"/>
                <w:szCs w:val="20"/>
              </w:rPr>
              <w:t>հայտնված</w:t>
            </w:r>
            <w:r w:rsidRPr="0053423A">
              <w:rPr>
                <w:rFonts w:eastAsia="Calibri" w:cs="Times New Roman"/>
                <w:sz w:val="20"/>
                <w:szCs w:val="20"/>
                <w:lang w:val="af-ZA"/>
              </w:rPr>
              <w:t xml:space="preserve"> </w:t>
            </w:r>
            <w:r w:rsidRPr="0053423A">
              <w:rPr>
                <w:rFonts w:eastAsia="Calibri" w:cs="Times New Roman"/>
                <w:sz w:val="20"/>
                <w:szCs w:val="20"/>
              </w:rPr>
              <w:t>երեխայի</w:t>
            </w:r>
            <w:r w:rsidRPr="0053423A">
              <w:rPr>
                <w:rFonts w:eastAsia="Calibri" w:cs="Times New Roman"/>
                <w:sz w:val="20"/>
                <w:szCs w:val="20"/>
                <w:lang w:val="af-ZA"/>
              </w:rPr>
              <w:t xml:space="preserve"> </w:t>
            </w:r>
            <w:r w:rsidRPr="0053423A">
              <w:rPr>
                <w:rFonts w:eastAsia="Calibri" w:cs="Times New Roman"/>
                <w:sz w:val="20"/>
                <w:szCs w:val="20"/>
              </w:rPr>
              <w:t>տեղեկատվական</w:t>
            </w:r>
            <w:r w:rsidRPr="0053423A">
              <w:rPr>
                <w:rFonts w:eastAsia="Calibri" w:cs="Times New Roman"/>
                <w:sz w:val="20"/>
                <w:szCs w:val="20"/>
                <w:lang w:val="af-ZA"/>
              </w:rPr>
              <w:t xml:space="preserve"> </w:t>
            </w:r>
            <w:r w:rsidRPr="0053423A">
              <w:rPr>
                <w:rFonts w:eastAsia="Calibri" w:cs="Times New Roman"/>
                <w:sz w:val="20"/>
                <w:szCs w:val="20"/>
              </w:rPr>
              <w:t>համակարգը</w:t>
            </w:r>
            <w:r w:rsidRPr="0053423A">
              <w:rPr>
                <w:rFonts w:eastAsia="Calibri" w:cs="Times New Roman"/>
                <w:sz w:val="20"/>
                <w:szCs w:val="20"/>
                <w:lang w:val="af-ZA"/>
              </w:rPr>
              <w:t>:</w:t>
            </w:r>
          </w:p>
        </w:tc>
      </w:tr>
      <w:tr w:rsidR="00514E01" w:rsidRPr="00DE2EFA" w:rsidTr="00BC61ED">
        <w:tc>
          <w:tcPr>
            <w:tcW w:w="630" w:type="dxa"/>
            <w:vMerge w:val="restart"/>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16</w:t>
            </w:r>
          </w:p>
        </w:tc>
        <w:tc>
          <w:tcPr>
            <w:tcW w:w="10890" w:type="dxa"/>
          </w:tcPr>
          <w:p w:rsidR="00514E01" w:rsidRPr="0053423A" w:rsidRDefault="00514E01" w:rsidP="00A67858">
            <w:pPr>
              <w:spacing w:line="276" w:lineRule="auto"/>
              <w:jc w:val="both"/>
              <w:rPr>
                <w:rFonts w:eastAsia="Calibri" w:cs="Times New Roman"/>
                <w:b/>
                <w:bCs/>
                <w:iCs/>
                <w:sz w:val="20"/>
                <w:szCs w:val="20"/>
                <w:u w:val="single"/>
                <w:lang w:val="af-ZA"/>
              </w:rPr>
            </w:pPr>
            <w:r w:rsidRPr="0053423A">
              <w:rPr>
                <w:rFonts w:eastAsia="Calibri" w:cs="Times New Roman"/>
                <w:b/>
                <w:bCs/>
                <w:iCs/>
                <w:sz w:val="20"/>
                <w:szCs w:val="20"/>
                <w:u w:val="single"/>
                <w:lang w:val="af-ZA"/>
              </w:rPr>
              <w:t>16.1 «</w:t>
            </w:r>
            <w:r w:rsidRPr="0053423A">
              <w:rPr>
                <w:rFonts w:eastAsia="Calibri" w:cs="Times New Roman"/>
                <w:b/>
                <w:bCs/>
                <w:iCs/>
                <w:sz w:val="20"/>
                <w:szCs w:val="20"/>
                <w:u w:val="single"/>
                <w:lang w:val="hy-AM"/>
              </w:rPr>
              <w:t>Պետական նպաստների մասին» ՀՀ օրենքում փոփոխություններ և լրացումներ կատարելու մասին» ՀՀ օրենքի նախագծի</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մշակում</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և</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Վարչապետի</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աշխատակազմ</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ներկայացում</w:t>
            </w:r>
          </w:p>
          <w:p w:rsidR="00514E01" w:rsidRPr="0053423A" w:rsidRDefault="00514E01" w:rsidP="00A67858">
            <w:pPr>
              <w:spacing w:line="276" w:lineRule="auto"/>
              <w:jc w:val="both"/>
              <w:rPr>
                <w:rFonts w:eastAsia="Calibri" w:cs="Times New Roman"/>
                <w:b/>
                <w:sz w:val="20"/>
                <w:szCs w:val="20"/>
                <w:lang w:val="af-ZA"/>
              </w:rPr>
            </w:pPr>
            <w:r w:rsidRPr="0053423A">
              <w:rPr>
                <w:rFonts w:eastAsia="Calibri" w:cs="Times New Roman"/>
                <w:b/>
                <w:sz w:val="20"/>
                <w:szCs w:val="20"/>
                <w:lang w:val="af-ZA"/>
              </w:rPr>
              <w:t xml:space="preserve"> </w:t>
            </w:r>
            <w:r w:rsidRPr="0053423A">
              <w:rPr>
                <w:rFonts w:eastAsia="Calibri" w:cs="Times New Roman"/>
                <w:b/>
                <w:sz w:val="20"/>
                <w:szCs w:val="20"/>
                <w:lang w:val="hy-AM"/>
              </w:rPr>
              <w:t>1.</w:t>
            </w:r>
            <w:r w:rsidRPr="0053423A">
              <w:rPr>
                <w:rFonts w:eastAsia="Calibri" w:cs="Times New Roman"/>
                <w:b/>
                <w:sz w:val="20"/>
                <w:szCs w:val="20"/>
                <w:lang w:val="hy-AM"/>
              </w:rPr>
              <w:tab/>
              <w:t>Միջոցառման իրակա</w:t>
            </w:r>
            <w:r w:rsidRPr="0053423A">
              <w:rPr>
                <w:rFonts w:eastAsia="Calibri" w:cs="Times New Roman"/>
                <w:b/>
                <w:sz w:val="20"/>
                <w:szCs w:val="20"/>
              </w:rPr>
              <w:t>նա</w:t>
            </w:r>
            <w:r w:rsidRPr="0053423A">
              <w:rPr>
                <w:rFonts w:eastAsia="Calibri" w:cs="Times New Roman"/>
                <w:b/>
                <w:sz w:val="20"/>
                <w:szCs w:val="20"/>
                <w:lang w:val="hy-AM"/>
              </w:rPr>
              <w:t xml:space="preserve">ցման անհրաժեշտությունը և նպատակը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lang w:val="hy-AM"/>
              </w:rPr>
              <w:t>Միջոցառման  իրակացման անհրաժեշտությունը բխում է ՀՀ կառավարության 2019 թվականի փետրվարի 8-ի N 65 - Ա որոշման հավելվածի 4.2 բաժնի առաջին պարբերությունով սահմանված նպատակից՝ քաղաքացիների կենսամակարդակի և սոցիալական վիճակի բարելավելում:</w:t>
            </w:r>
          </w:p>
          <w:p w:rsidR="00514E01" w:rsidRPr="0053423A" w:rsidRDefault="00514E01" w:rsidP="001F6D5D">
            <w:pPr>
              <w:numPr>
                <w:ilvl w:val="1"/>
                <w:numId w:val="177"/>
              </w:numPr>
              <w:spacing w:line="276" w:lineRule="auto"/>
              <w:contextualSpacing/>
              <w:jc w:val="both"/>
              <w:rPr>
                <w:rFonts w:eastAsia="Calibri" w:cs="Times New Roman"/>
                <w:b/>
                <w:sz w:val="20"/>
                <w:szCs w:val="20"/>
                <w:lang w:val="hy-AM"/>
              </w:rPr>
            </w:pPr>
            <w:r w:rsidRPr="0053423A">
              <w:rPr>
                <w:rFonts w:eastAsia="Calibri" w:cs="Sylfaen"/>
                <w:b/>
                <w:sz w:val="20"/>
                <w:szCs w:val="20"/>
                <w:lang w:val="hy-AM"/>
              </w:rPr>
              <w:t>կարգավորման</w:t>
            </w:r>
            <w:r w:rsidRPr="0053423A">
              <w:rPr>
                <w:rFonts w:eastAsia="Calibri" w:cs="Times New Roman"/>
                <w:b/>
                <w:sz w:val="20"/>
                <w:szCs w:val="20"/>
                <w:lang w:val="hy-AM"/>
              </w:rPr>
              <w:t xml:space="preserve"> հարաբերությունների ներկա վիճակը և առկա խնդիրները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Պետական նպաստների, այդ թվում ընտանիքի կենսամակարդակի բարձրացմանն ուղղված նպաստների տրամադրման իրավակարգավորումները սահմանված են «Պետական նպաստների մասին» ՀՀ օրենքով: «Պետական նպաստների մասին» ՀՀ օրենքի համաձայն ընտանիքի կենսամակարդակի բարձրացմանն ուղղված նպաստների նշանակման հիմքում ընկած է տվյալ ընտանիքի աղքատությունը, բացարձակ հաշվի չառնելով այդ ընտանիքի աշխատանքային տնտեսական ներուժը, որը երբեմն ծնում է սոցիալական խնամառություն: </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lang w:val="hy-AM"/>
              </w:rPr>
              <w:t xml:space="preserve">ՀՀ վարչապետի 2019թ.ի փետրվարի 26-ի N180-Ա որոշմամբ ընտանեկան և սոցիալական նպաստների համակարգում առկա խնդիրների բացահայտման, համակարգի հասցեականության և արդյունավետության բարձրացման, նպաստառուների համար կայուն եկամտի ստեղծմանն ուղղված համակարգի ներդրման նպատակով ստեղծվել է աշխատանքային խումբ, որն առաջարկությունները ներկայացնելու է մինչև նոյեմբերի 30-ը: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rPr>
              <w:t>Աշխատանքային</w:t>
            </w:r>
            <w:r w:rsidRPr="0053423A">
              <w:rPr>
                <w:rFonts w:eastAsia="Calibri" w:cs="Times New Roman"/>
                <w:sz w:val="20"/>
                <w:szCs w:val="20"/>
                <w:lang w:val="af-ZA"/>
              </w:rPr>
              <w:t xml:space="preserve"> </w:t>
            </w:r>
            <w:r w:rsidRPr="0053423A">
              <w:rPr>
                <w:rFonts w:eastAsia="Calibri" w:cs="Times New Roman"/>
                <w:b/>
                <w:sz w:val="20"/>
                <w:szCs w:val="20"/>
              </w:rPr>
              <w:t>խմբի</w:t>
            </w:r>
            <w:r w:rsidRPr="0053423A">
              <w:rPr>
                <w:rFonts w:eastAsia="Calibri" w:cs="Times New Roman"/>
                <w:b/>
                <w:sz w:val="20"/>
                <w:szCs w:val="20"/>
                <w:lang w:val="af-ZA"/>
              </w:rPr>
              <w:t xml:space="preserve"> </w:t>
            </w:r>
            <w:r w:rsidRPr="0053423A">
              <w:rPr>
                <w:rFonts w:eastAsia="Calibri" w:cs="Times New Roman"/>
                <w:b/>
                <w:sz w:val="20"/>
                <w:szCs w:val="20"/>
              </w:rPr>
              <w:t>առաջարկությունների</w:t>
            </w:r>
            <w:r w:rsidRPr="0053423A">
              <w:rPr>
                <w:rFonts w:eastAsia="Calibri" w:cs="Times New Roman"/>
                <w:b/>
                <w:sz w:val="20"/>
                <w:szCs w:val="20"/>
                <w:lang w:val="af-ZA"/>
              </w:rPr>
              <w:t xml:space="preserve"> </w:t>
            </w:r>
            <w:r w:rsidRPr="0053423A">
              <w:rPr>
                <w:rFonts w:eastAsia="Calibri" w:cs="Times New Roman"/>
                <w:b/>
                <w:sz w:val="20"/>
                <w:szCs w:val="20"/>
              </w:rPr>
              <w:t>հաշվառմամբ</w:t>
            </w:r>
            <w:r w:rsidRPr="0053423A">
              <w:rPr>
                <w:rFonts w:eastAsia="Calibri" w:cs="Times New Roman"/>
                <w:sz w:val="20"/>
                <w:szCs w:val="20"/>
                <w:lang w:val="af-ZA"/>
              </w:rPr>
              <w:t xml:space="preserve"> </w:t>
            </w:r>
            <w:r w:rsidRPr="0053423A">
              <w:rPr>
                <w:rFonts w:eastAsia="Calibri" w:cs="Times New Roman"/>
                <w:sz w:val="20"/>
                <w:szCs w:val="20"/>
              </w:rPr>
              <w:t>ՀՀ</w:t>
            </w:r>
            <w:r w:rsidRPr="0053423A">
              <w:rPr>
                <w:rFonts w:eastAsia="Calibri" w:cs="Times New Roman"/>
                <w:sz w:val="20"/>
                <w:szCs w:val="20"/>
                <w:lang w:val="af-ZA"/>
              </w:rPr>
              <w:t xml:space="preserve"> </w:t>
            </w:r>
            <w:r w:rsidRPr="0053423A">
              <w:rPr>
                <w:rFonts w:eastAsia="Calibri" w:cs="Times New Roman"/>
                <w:sz w:val="20"/>
                <w:szCs w:val="20"/>
              </w:rPr>
              <w:t>վարչապետի</w:t>
            </w:r>
            <w:r w:rsidRPr="0053423A">
              <w:rPr>
                <w:rFonts w:eastAsia="Calibri" w:cs="Times New Roman"/>
                <w:sz w:val="20"/>
                <w:szCs w:val="20"/>
                <w:lang w:val="af-ZA"/>
              </w:rPr>
              <w:t xml:space="preserve"> </w:t>
            </w:r>
            <w:r w:rsidRPr="0053423A">
              <w:rPr>
                <w:rFonts w:eastAsia="Calibri" w:cs="Times New Roman"/>
                <w:sz w:val="20"/>
                <w:szCs w:val="20"/>
              </w:rPr>
              <w:t>աշխատակազմ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ներկայացվելու</w:t>
            </w:r>
            <w:r w:rsidRPr="0053423A">
              <w:rPr>
                <w:rFonts w:eastAsia="Calibri" w:cs="Times New Roman"/>
                <w:sz w:val="20"/>
                <w:szCs w:val="20"/>
                <w:lang w:val="af-ZA"/>
              </w:rPr>
              <w:t xml:space="preserve"> ««</w:t>
            </w:r>
            <w:r w:rsidRPr="0053423A">
              <w:rPr>
                <w:rFonts w:eastAsia="Calibri" w:cs="Times New Roman"/>
                <w:sz w:val="20"/>
                <w:szCs w:val="20"/>
              </w:rPr>
              <w:t>Պետական</w:t>
            </w:r>
            <w:r w:rsidRPr="0053423A">
              <w:rPr>
                <w:rFonts w:eastAsia="Calibri" w:cs="Times New Roman"/>
                <w:sz w:val="20"/>
                <w:szCs w:val="20"/>
                <w:lang w:val="af-ZA"/>
              </w:rPr>
              <w:t xml:space="preserve"> </w:t>
            </w:r>
            <w:r w:rsidRPr="0053423A">
              <w:rPr>
                <w:rFonts w:eastAsia="Calibri" w:cs="Times New Roman"/>
                <w:sz w:val="20"/>
                <w:szCs w:val="20"/>
              </w:rPr>
              <w:t>նպաստների</w:t>
            </w:r>
            <w:r w:rsidRPr="0053423A">
              <w:rPr>
                <w:rFonts w:eastAsia="Calibri" w:cs="Times New Roman"/>
                <w:sz w:val="20"/>
                <w:szCs w:val="20"/>
                <w:lang w:val="af-ZA"/>
              </w:rPr>
              <w:t xml:space="preserve"> </w:t>
            </w:r>
            <w:r w:rsidRPr="0053423A">
              <w:rPr>
                <w:rFonts w:eastAsia="Calibri" w:cs="Times New Roman"/>
                <w:sz w:val="20"/>
                <w:szCs w:val="20"/>
              </w:rPr>
              <w:t>մասին</w:t>
            </w:r>
            <w:r w:rsidRPr="0053423A">
              <w:rPr>
                <w:rFonts w:eastAsia="Calibri" w:cs="Times New Roman"/>
                <w:sz w:val="20"/>
                <w:szCs w:val="20"/>
                <w:lang w:val="af-ZA"/>
              </w:rPr>
              <w:t xml:space="preserve">» </w:t>
            </w:r>
            <w:r w:rsidRPr="0053423A">
              <w:rPr>
                <w:rFonts w:eastAsia="Calibri" w:cs="Times New Roman"/>
                <w:sz w:val="20"/>
                <w:szCs w:val="20"/>
              </w:rPr>
              <w:t>ՀՀ</w:t>
            </w:r>
            <w:r w:rsidRPr="0053423A">
              <w:rPr>
                <w:rFonts w:eastAsia="Calibri" w:cs="Times New Roman"/>
                <w:sz w:val="20"/>
                <w:szCs w:val="20"/>
                <w:lang w:val="af-ZA"/>
              </w:rPr>
              <w:t xml:space="preserve"> </w:t>
            </w:r>
            <w:r w:rsidRPr="0053423A">
              <w:rPr>
                <w:rFonts w:eastAsia="Calibri" w:cs="Times New Roman"/>
                <w:sz w:val="20"/>
                <w:szCs w:val="20"/>
              </w:rPr>
              <w:t>օրենքում</w:t>
            </w:r>
            <w:r w:rsidRPr="0053423A">
              <w:rPr>
                <w:rFonts w:eastAsia="Calibri" w:cs="Times New Roman"/>
                <w:sz w:val="20"/>
                <w:szCs w:val="20"/>
                <w:lang w:val="af-ZA"/>
              </w:rPr>
              <w:t xml:space="preserve"> </w:t>
            </w:r>
            <w:r w:rsidRPr="0053423A">
              <w:rPr>
                <w:rFonts w:eastAsia="Calibri" w:cs="Times New Roman"/>
                <w:sz w:val="20"/>
                <w:szCs w:val="20"/>
              </w:rPr>
              <w:t>փոփոխություններ</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լրացումներ</w:t>
            </w:r>
            <w:r w:rsidRPr="0053423A">
              <w:rPr>
                <w:rFonts w:eastAsia="Calibri" w:cs="Times New Roman"/>
                <w:sz w:val="20"/>
                <w:szCs w:val="20"/>
                <w:lang w:val="af-ZA"/>
              </w:rPr>
              <w:t xml:space="preserve"> </w:t>
            </w:r>
            <w:r w:rsidRPr="0053423A">
              <w:rPr>
                <w:rFonts w:eastAsia="Calibri" w:cs="Times New Roman"/>
                <w:sz w:val="20"/>
                <w:szCs w:val="20"/>
              </w:rPr>
              <w:t>կատարելու</w:t>
            </w:r>
            <w:r w:rsidRPr="0053423A">
              <w:rPr>
                <w:rFonts w:eastAsia="Calibri" w:cs="Times New Roman"/>
                <w:sz w:val="20"/>
                <w:szCs w:val="20"/>
                <w:lang w:val="af-ZA"/>
              </w:rPr>
              <w:t xml:space="preserve"> </w:t>
            </w:r>
            <w:r w:rsidRPr="0053423A">
              <w:rPr>
                <w:rFonts w:eastAsia="Calibri" w:cs="Times New Roman"/>
                <w:sz w:val="20"/>
                <w:szCs w:val="20"/>
              </w:rPr>
              <w:t>մասին</w:t>
            </w:r>
            <w:r w:rsidRPr="0053423A">
              <w:rPr>
                <w:rFonts w:eastAsia="Calibri" w:cs="Times New Roman"/>
                <w:sz w:val="20"/>
                <w:szCs w:val="20"/>
                <w:lang w:val="af-ZA"/>
              </w:rPr>
              <w:t xml:space="preserve">» </w:t>
            </w:r>
            <w:r w:rsidRPr="0053423A">
              <w:rPr>
                <w:rFonts w:eastAsia="Calibri" w:cs="Times New Roman"/>
                <w:sz w:val="20"/>
                <w:szCs w:val="20"/>
              </w:rPr>
              <w:t>ՀՀ</w:t>
            </w:r>
            <w:r w:rsidRPr="0053423A">
              <w:rPr>
                <w:rFonts w:eastAsia="Calibri" w:cs="Times New Roman"/>
                <w:sz w:val="20"/>
                <w:szCs w:val="20"/>
                <w:lang w:val="af-ZA"/>
              </w:rPr>
              <w:t xml:space="preserve"> </w:t>
            </w:r>
            <w:r w:rsidRPr="0053423A">
              <w:rPr>
                <w:rFonts w:eastAsia="Calibri" w:cs="Times New Roman"/>
                <w:sz w:val="20"/>
                <w:szCs w:val="20"/>
              </w:rPr>
              <w:t>օրենքի</w:t>
            </w:r>
            <w:r w:rsidRPr="0053423A">
              <w:rPr>
                <w:rFonts w:eastAsia="Calibri" w:cs="Times New Roman"/>
                <w:sz w:val="20"/>
                <w:szCs w:val="20"/>
                <w:lang w:val="af-ZA"/>
              </w:rPr>
              <w:t xml:space="preserve"> </w:t>
            </w:r>
            <w:r w:rsidRPr="0053423A">
              <w:rPr>
                <w:rFonts w:eastAsia="Calibri" w:cs="Times New Roman"/>
                <w:sz w:val="20"/>
                <w:szCs w:val="20"/>
              </w:rPr>
              <w:t>նախագիծ</w:t>
            </w:r>
            <w:r w:rsidRPr="0053423A">
              <w:rPr>
                <w:rFonts w:eastAsia="Calibri" w:cs="Times New Roman"/>
                <w:sz w:val="20"/>
                <w:szCs w:val="20"/>
                <w:lang w:val="af-ZA"/>
              </w:rPr>
              <w:t xml:space="preserve">: </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Calibri" w:cs="Times New Roman"/>
                <w:sz w:val="20"/>
                <w:szCs w:val="20"/>
                <w:lang w:val="hy-AM"/>
              </w:rPr>
              <w:t>Օրենքի նախագծի ընդունումով ձևավորվելու է անապահով ընտանիքների կարողությունների զարգացման</w:t>
            </w:r>
            <w:r w:rsidRPr="0053423A">
              <w:rPr>
                <w:rFonts w:eastAsia="Calibri" w:cs="Times New Roman"/>
                <w:sz w:val="20"/>
                <w:szCs w:val="20"/>
                <w:lang w:val="af-ZA"/>
              </w:rPr>
              <w:t>`</w:t>
            </w:r>
            <w:r w:rsidRPr="0053423A">
              <w:rPr>
                <w:rFonts w:eastAsia="Calibri" w:cs="Times New Roman"/>
                <w:sz w:val="20"/>
                <w:szCs w:val="20"/>
                <w:lang w:val="hy-AM"/>
              </w:rPr>
              <w:t xml:space="preserve"> նրանց ինքնաբավ դարձնելուն ուղղված և արժանապատիվ ու սեփական վաստակ ունեցող ընտանիք ձևավորելու</w:t>
            </w:r>
            <w:r w:rsidRPr="0053423A">
              <w:rPr>
                <w:rFonts w:eastAsia="Calibri" w:cs="Times New Roman"/>
                <w:sz w:val="20"/>
                <w:szCs w:val="20"/>
                <w:lang w:val="af-ZA"/>
              </w:rPr>
              <w:t>,</w:t>
            </w:r>
            <w:r w:rsidRPr="0053423A">
              <w:rPr>
                <w:rFonts w:eastAsia="Calibri" w:cs="Times New Roman"/>
                <w:sz w:val="20"/>
                <w:szCs w:val="20"/>
                <w:lang w:val="hy-AM"/>
              </w:rPr>
              <w:t xml:space="preserve"> այդ ընտանքիների պետական աջակցությունից</w:t>
            </w:r>
            <w:r w:rsidRPr="0053423A">
              <w:rPr>
                <w:rFonts w:eastAsia="Calibri" w:cs="Times New Roman"/>
                <w:sz w:val="20"/>
                <w:szCs w:val="20"/>
                <w:lang w:val="af-ZA"/>
              </w:rPr>
              <w:t>`</w:t>
            </w:r>
            <w:r w:rsidRPr="0053423A">
              <w:rPr>
                <w:rFonts w:eastAsia="Calibri" w:cs="Times New Roman"/>
                <w:sz w:val="20"/>
                <w:szCs w:val="20"/>
                <w:lang w:val="hy-AM"/>
              </w:rPr>
              <w:t xml:space="preserve"> երկարատև կախվածությունից ձերբազատվելու իրավական հենքը, ինչպես նաև կապահովվի  աստիճական և սահուն անցում՝ նպաստների անկանխիկ վճարմանը՝ մինչև 2023թ. տարեվերջ:</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Calibri" w:cs="Times New Roman"/>
                <w:b/>
                <w:bCs/>
                <w:iCs/>
                <w:sz w:val="20"/>
                <w:szCs w:val="20"/>
                <w:u w:val="single"/>
                <w:lang w:val="af-ZA"/>
              </w:rPr>
            </w:pPr>
            <w:r w:rsidRPr="0053423A">
              <w:rPr>
                <w:rFonts w:eastAsia="Calibri" w:cs="Times New Roman"/>
                <w:b/>
                <w:bCs/>
                <w:iCs/>
                <w:sz w:val="20"/>
                <w:szCs w:val="20"/>
                <w:u w:val="single"/>
                <w:lang w:val="af-ZA"/>
              </w:rPr>
              <w:t>16.2 «</w:t>
            </w:r>
            <w:r w:rsidRPr="0053423A">
              <w:rPr>
                <w:rFonts w:eastAsia="Calibri" w:cs="Times New Roman"/>
                <w:b/>
                <w:bCs/>
                <w:iCs/>
                <w:sz w:val="20"/>
                <w:szCs w:val="20"/>
                <w:u w:val="single"/>
                <w:lang w:val="hy-AM"/>
              </w:rPr>
              <w:t>ՀՀ</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կառավարության</w:t>
            </w:r>
            <w:r w:rsidRPr="0053423A">
              <w:rPr>
                <w:rFonts w:eastAsia="Calibri" w:cs="Times New Roman"/>
                <w:b/>
                <w:bCs/>
                <w:iCs/>
                <w:sz w:val="20"/>
                <w:szCs w:val="20"/>
                <w:u w:val="single"/>
                <w:lang w:val="af-ZA"/>
              </w:rPr>
              <w:t xml:space="preserve"> 30.01.2014</w:t>
            </w:r>
            <w:r w:rsidRPr="0053423A">
              <w:rPr>
                <w:rFonts w:eastAsia="Calibri" w:cs="Times New Roman"/>
                <w:b/>
                <w:bCs/>
                <w:iCs/>
                <w:sz w:val="20"/>
                <w:szCs w:val="20"/>
                <w:u w:val="single"/>
                <w:lang w:val="hy-AM"/>
              </w:rPr>
              <w:t>թ</w:t>
            </w:r>
            <w:r w:rsidRPr="0053423A">
              <w:rPr>
                <w:rFonts w:eastAsia="Calibri" w:cs="Times New Roman"/>
                <w:b/>
                <w:bCs/>
                <w:iCs/>
                <w:sz w:val="20"/>
                <w:szCs w:val="20"/>
                <w:u w:val="single"/>
                <w:lang w:val="af-ZA"/>
              </w:rPr>
              <w:t>. N145-</w:t>
            </w:r>
            <w:r w:rsidRPr="0053423A">
              <w:rPr>
                <w:rFonts w:eastAsia="Calibri" w:cs="Times New Roman"/>
                <w:b/>
                <w:bCs/>
                <w:iCs/>
                <w:sz w:val="20"/>
                <w:szCs w:val="20"/>
                <w:u w:val="single"/>
                <w:lang w:val="hy-AM"/>
              </w:rPr>
              <w:t>Ն</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որոշման</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մեջ</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փոփոխություններ</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և</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լրացումներ</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կատարելու</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մասին</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ՀՀ</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կառավարության</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որոշման</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մշակում</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և</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Վարչապետի</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աշխատակազմ</w:t>
            </w:r>
            <w:r w:rsidRPr="0053423A">
              <w:rPr>
                <w:rFonts w:eastAsia="Calibri" w:cs="Times New Roman"/>
                <w:b/>
                <w:bCs/>
                <w:iCs/>
                <w:sz w:val="20"/>
                <w:szCs w:val="20"/>
                <w:u w:val="single"/>
                <w:lang w:val="af-ZA"/>
              </w:rPr>
              <w:t xml:space="preserve"> </w:t>
            </w:r>
            <w:r w:rsidRPr="0053423A">
              <w:rPr>
                <w:rFonts w:eastAsia="Calibri" w:cs="Times New Roman"/>
                <w:b/>
                <w:bCs/>
                <w:iCs/>
                <w:sz w:val="20"/>
                <w:szCs w:val="20"/>
                <w:u w:val="single"/>
                <w:lang w:val="hy-AM"/>
              </w:rPr>
              <w:t>ներկայացում</w:t>
            </w:r>
          </w:p>
          <w:p w:rsidR="00514E01" w:rsidRPr="0053423A" w:rsidRDefault="00514E01" w:rsidP="00A67858">
            <w:pPr>
              <w:spacing w:line="276" w:lineRule="auto"/>
              <w:jc w:val="both"/>
              <w:rPr>
                <w:rFonts w:eastAsia="Calibri" w:cs="Times New Roman"/>
                <w:b/>
                <w:sz w:val="20"/>
                <w:szCs w:val="20"/>
                <w:lang w:val="af-ZA"/>
              </w:rPr>
            </w:pPr>
            <w:r w:rsidRPr="0053423A">
              <w:rPr>
                <w:rFonts w:eastAsia="Calibri" w:cs="Times New Roman"/>
                <w:b/>
                <w:sz w:val="20"/>
                <w:szCs w:val="20"/>
                <w:lang w:val="hy-AM"/>
              </w:rPr>
              <w:t>1.</w:t>
            </w:r>
            <w:r w:rsidRPr="0053423A">
              <w:rPr>
                <w:rFonts w:eastAsia="Calibri" w:cs="Times New Roman"/>
                <w:b/>
                <w:sz w:val="20"/>
                <w:szCs w:val="20"/>
                <w:lang w:val="hy-AM"/>
              </w:rPr>
              <w:tab/>
              <w:t>Միջոցառման իրակա</w:t>
            </w:r>
            <w:r w:rsidRPr="0053423A">
              <w:rPr>
                <w:rFonts w:eastAsia="Calibri" w:cs="Times New Roman"/>
                <w:b/>
                <w:sz w:val="20"/>
                <w:szCs w:val="20"/>
              </w:rPr>
              <w:t>նա</w:t>
            </w:r>
            <w:r w:rsidRPr="0053423A">
              <w:rPr>
                <w:rFonts w:eastAsia="Calibri" w:cs="Times New Roman"/>
                <w:b/>
                <w:sz w:val="20"/>
                <w:szCs w:val="20"/>
                <w:lang w:val="hy-AM"/>
              </w:rPr>
              <w:t>ցման անհրաժեշտությունը և նպատակը</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lang w:val="hy-AM"/>
              </w:rPr>
              <w:t>Միջոցառման իրակացման անհրաժեշտությունը բխում է ՀՀ կառավարության 2019 թվականի փետրվարի 8-ի N 65 - Ա որոշման հավելվածի 4.2 բաժնի առաջին պարբերությունով սահմանված նպատակից՝ քաղաքացիների կենսամակարդակի և սոցիալական վիճակի բարելավելում:</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1.1 կարգավորման հարաբերությունների ներկա վիճակը և առկա խնդիրները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Ընտանիքի կենսամակարդակի բարձրացմանն ուղղված նպաստների նշանակման և վճարման գործընթացը կազմակերպվում է ՀՀ կառավարության 30.01.2014թ. N 145-Ն որոշմամբ, որն ապահովում է «Պետական նպաստների մասին» ՀՀ գործող օրենքով սահմանված դրույթների կատարումը: </w:t>
            </w:r>
          </w:p>
          <w:p w:rsidR="00514E01" w:rsidRPr="0053423A" w:rsidRDefault="00514E01" w:rsidP="00A67858">
            <w:pPr>
              <w:spacing w:line="276" w:lineRule="auto"/>
              <w:jc w:val="both"/>
              <w:rPr>
                <w:rFonts w:eastAsia="Calibri" w:cs="Times New Roman"/>
                <w:b/>
                <w:bCs/>
                <w:sz w:val="20"/>
                <w:szCs w:val="20"/>
                <w:lang w:val="hy-AM"/>
              </w:rPr>
            </w:pPr>
            <w:r w:rsidRPr="0053423A">
              <w:rPr>
                <w:rFonts w:eastAsia="Calibri"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Օրենքում փոփոխությունների և լրացումների կատարումից հետո, դրանց կատարումն ապահովելու նպատակով աանհրաժեշտ է նախատեսել «ՀՀ կառավարության 30.01.2014թ. N145-Ն որոշման մեջ փոփոխություններ և լրացումներ կատարելու մասին» ՀՀ կառավարության որոշման նախագիծ: </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Calibri" w:cs="Times New Roman"/>
                <w:sz w:val="20"/>
                <w:szCs w:val="20"/>
                <w:lang w:val="hy-AM"/>
              </w:rPr>
              <w:t>ՀՀ կառավարության որոշման նախագծի ընդունմամբ սահմանվելու են ընտանիքների կենսամակարդակի բարձրացմանն ուղղված նպաստների նշանակման և վճարման հստակեցված ընթացակարգ, նոր մոտեցումներ, որոնց կիրառմամբ բարելավվելու են ընտանեկան, սոցիալական նպաստների և հրատապ օգնության տրամադրման արդյունավետությունը և հասցեականությունը։</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Calibri" w:cs="Times New Roman"/>
                <w:b/>
                <w:bCs/>
                <w:iCs/>
                <w:sz w:val="20"/>
                <w:szCs w:val="20"/>
                <w:u w:val="single"/>
                <w:lang w:val="hy-AM"/>
              </w:rPr>
            </w:pPr>
            <w:r w:rsidRPr="0053423A">
              <w:rPr>
                <w:rFonts w:eastAsia="Calibri" w:cs="Times New Roman"/>
                <w:b/>
                <w:bCs/>
                <w:iCs/>
                <w:sz w:val="20"/>
                <w:szCs w:val="20"/>
                <w:u w:val="single"/>
                <w:lang w:val="hy-AM"/>
              </w:rPr>
              <w:t xml:space="preserve">16.3 Ընտանիքի սոցիալական գնահատման համակարգի գործարկում՝ ընտանիքի գնահատված սոցիալական կարիքներին համարժեք սոցիալական ծառայությունների տրամադրման գործընթացի ապահովում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b/>
                <w:sz w:val="20"/>
                <w:szCs w:val="20"/>
                <w:lang w:val="hy-AM"/>
              </w:rPr>
              <w:t>1.Միջոցառման իրականացման անհրաժեշտությունը և նպատակը</w:t>
            </w:r>
            <w:r w:rsidRPr="0053423A">
              <w:rPr>
                <w:rFonts w:eastAsia="Calibri" w:cs="Times New Roman"/>
                <w:sz w:val="20"/>
                <w:szCs w:val="20"/>
                <w:lang w:val="hy-AM"/>
              </w:rPr>
              <w:t xml:space="preserve"> բխում է ՀՀ կառավարության 2019 թվականի փետրվարի 8-ի N 65 - Ա որոշման հավելվածի 4.2 բաժնի առաջին պարբերությունով սահմանված նպատակից՝ քաղաքացիների կենսամակարդակի և սոցիալական վիճակի բարելավելում:</w:t>
            </w:r>
          </w:p>
          <w:p w:rsidR="00514E01" w:rsidRPr="0053423A" w:rsidRDefault="00514E01" w:rsidP="001F6D5D">
            <w:pPr>
              <w:numPr>
                <w:ilvl w:val="1"/>
                <w:numId w:val="192"/>
              </w:numPr>
              <w:spacing w:line="276" w:lineRule="auto"/>
              <w:contextualSpacing/>
              <w:jc w:val="both"/>
              <w:rPr>
                <w:rFonts w:eastAsia="Calibri" w:cs="Times New Roman"/>
                <w:b/>
                <w:sz w:val="20"/>
                <w:szCs w:val="20"/>
                <w:lang w:val="hy-AM"/>
              </w:rPr>
            </w:pPr>
            <w:r w:rsidRPr="0053423A">
              <w:rPr>
                <w:rFonts w:eastAsia="Calibri" w:cs="Sylfaen"/>
                <w:b/>
                <w:sz w:val="20"/>
                <w:szCs w:val="20"/>
                <w:lang w:val="hy-AM"/>
              </w:rPr>
              <w:t>կարգավորման</w:t>
            </w:r>
            <w:r w:rsidRPr="0053423A">
              <w:rPr>
                <w:rFonts w:eastAsia="Calibri" w:cs="Times New Roman"/>
                <w:b/>
                <w:sz w:val="20"/>
                <w:szCs w:val="20"/>
                <w:lang w:val="hy-AM"/>
              </w:rPr>
              <w:t xml:space="preserve"> հարաբերությունների ներկա վիճակը և առկա խնդիրները (նշելով նաև ելակետային տվյալներ, եթե դրանք առկա են)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Գործող օրենսդրության շրջանակներում սոցիալապես անապահով ընտանիքներին տրամադրվող սոցիալական ծառայությունները հիմնականում իրականացվում են աղքատության, կամ ընտանիքի անապահովության գնահատման հիմքով, հաշվի չառնելով ընտանիքների ոչ նյութական կարիքներն ու ռեսուրսները: </w:t>
            </w:r>
          </w:p>
          <w:p w:rsidR="00514E01" w:rsidRPr="0053423A" w:rsidRDefault="00514E01" w:rsidP="001F6D5D">
            <w:pPr>
              <w:numPr>
                <w:ilvl w:val="1"/>
                <w:numId w:val="192"/>
              </w:numPr>
              <w:spacing w:line="276" w:lineRule="auto"/>
              <w:contextualSpacing/>
              <w:jc w:val="both"/>
              <w:rPr>
                <w:rFonts w:eastAsia="Calibri" w:cs="Times New Roman"/>
                <w:b/>
                <w:sz w:val="20"/>
                <w:szCs w:val="20"/>
                <w:lang w:val="hy-AM"/>
              </w:rPr>
            </w:pPr>
            <w:r w:rsidRPr="0053423A">
              <w:rPr>
                <w:rFonts w:eastAsia="Calibri" w:cs="Sylfaen"/>
                <w:b/>
                <w:sz w:val="20"/>
                <w:szCs w:val="20"/>
                <w:lang w:val="hy-AM"/>
              </w:rPr>
              <w:t>առկա</w:t>
            </w:r>
            <w:r w:rsidRPr="0053423A">
              <w:rPr>
                <w:rFonts w:eastAsia="Calibri" w:cs="Times New Roman"/>
                <w:b/>
                <w:sz w:val="20"/>
                <w:szCs w:val="20"/>
                <w:lang w:val="hy-AM"/>
              </w:rPr>
              <w:t xml:space="preserve"> խնդիրների առաջարկվող լուծումները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1) Նախատեսվում է ՀՀ վարչապետի աշխատակազմ ներկայացնել «ՀՀ կառավարության մի շարք որոշումներում փոփոխություններ և լրացումներ կատարելու մասին» ՀՀ կառավարության որոշման նախագիծ, որով.</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Ընտանիքների անապահովության գնահատման համակարգը վերաձևավորվում է որպես` ընտանիքի սոցիալական գնահատման համակարգ, դրա մեկ բաղադրիչը դիտարկելով ընտանիքի անապահովության մակարդակի որոշումը, նախատեսելով նաև սոցիալական աշխատողի կողմից ընտանիքի սոցիալական խնդիրների ու ռեսուրսների գնահատում, որոնց համադրմամբ՝ ռեսուրսների անբավարար լինելու պարագայում, սոցիալական խնդիրը կդիտարկվի որպես սոցիալական կարիք: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Նախագծով առաջարկվում է վերանայել նաև տարբեր սոցիալական ծառայությունների տրամադրման ընթացակարգերի որոշակի դրույթներ՝ հնարավորինս հստակեցնելով դրանք՝ կրճատելով թե</w:t>
            </w:r>
            <w:r w:rsidRPr="0053423A">
              <w:rPr>
                <w:rFonts w:eastAsia="Calibri" w:cs="Times New Roman"/>
                <w:sz w:val="20"/>
                <w:szCs w:val="20"/>
                <w:lang w:val="vi-VN"/>
              </w:rPr>
              <w:t>́</w:t>
            </w:r>
            <w:r w:rsidRPr="0053423A">
              <w:rPr>
                <w:rFonts w:eastAsia="Calibri" w:cs="Times New Roman"/>
                <w:sz w:val="20"/>
                <w:szCs w:val="20"/>
                <w:lang w:val="hy-AM"/>
              </w:rPr>
              <w:t xml:space="preserve"> շահառուի, թե</w:t>
            </w:r>
            <w:r w:rsidRPr="0053423A">
              <w:rPr>
                <w:rFonts w:eastAsia="Calibri" w:cs="Times New Roman"/>
                <w:sz w:val="20"/>
                <w:szCs w:val="20"/>
                <w:lang w:val="vi-VN"/>
              </w:rPr>
              <w:t>́</w:t>
            </w:r>
            <w:r w:rsidRPr="0053423A">
              <w:rPr>
                <w:rFonts w:eastAsia="Calibri" w:cs="Times New Roman"/>
                <w:sz w:val="20"/>
                <w:szCs w:val="20"/>
                <w:lang w:val="hy-AM"/>
              </w:rPr>
              <w:t xml:space="preserve"> տարածքային կենտրոնների կողմից իրականացվող կրկնվող գործողությունները (դիմում, փաստաթղթերի ներկայացում, տվյալ սոցիալական ծառայությունը տրամադրելու որոշումը կայացնելու համար՝ անձնական գործի կազմում և այլն): Միաժամանակ, գործող օրենսդրությամբ երբեմն նույն շահառուի նույն խնդրի լուծման համար նախատեսվում են պատասխանատու մասնագետներ՝ տարբեր մարմիններից, որոնց լիազորությունների շրջանակը միահյուսվում է և խանգարում դրանց արդյունավետ իրականացմանը: Օր.՝ առանց ծնողական խնամքի մնացած երեխաների խնամքի կազմակերպման (տեղավորման՝ ընտանիք, խնամատար ընտանիք, խնամակալի ընտանիք կամ շուրջօրյա խնամք տրամադրող կազմակերպություն) գործընթացում ներառված են սոցիալական աջակցության տարածքային մարմնի, խնամակալության և հոգաբարձության մարմնի, մարզպետարանի կամ Երևանի քաղաքապետարանի ընտանիքի, կանանց, երեխաների իրավունքների պաշտպանության բաժինների և աշխատանքի և սոցիալական հարցերի նախարարության համապատասխան ստորբաժանման (չհաշված այդ ոլորտում գործող հասարակական կազմակերպություների) մասնագետները, կամ՝ գրեթե նույն իրողությունն է միայնակ տարեցների և (կամ) հաշմանդամություն ունեցող անձանց խնամքի ծառայությունների տրամադրման գործընթացում:</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Ընդ որում նշված ընթացակարգերը սահմանվել են ՀՀ կառավարության տարբեր որոշումներով, որոնցում երբեմն առկա են կրկնություններ և (կամ) հակասություններ: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lang w:val="hy-AM"/>
              </w:rPr>
              <w:t xml:space="preserve">Նախագիծը նախատեսում է սոցիալական աջակցության հայցող ընտանիքի սոցիալական կարիքների գնահատում, այդ թվում նաև անապահովություն, որով հաշվի է առնվում այն հանգամանքը, որ մեկ ընտանիքում </w:t>
            </w:r>
            <w:r w:rsidRPr="0053423A">
              <w:rPr>
                <w:rFonts w:eastAsia="Calibri" w:cs="Times New Roman"/>
                <w:sz w:val="20"/>
                <w:szCs w:val="20"/>
                <w:lang w:val="af-ZA"/>
              </w:rPr>
              <w:t xml:space="preserve">սոցիալական խնդիրներն ու կարիքները բազմազան են, նաև՝ միջոլորտային, այդ խնդիրների լուծումներն ու բավարարումը պահանջում են մեկից ավելի սոցիալական ծառայությունների տրամադրում, ընդ որում տարբեր մարմինների և կազմակերպությունների միջոցով՝ ապահովելով դրանց միաժամանակյա կամ հաջորդական տրամադրման բնականոն ընթացք: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դեպքի</w:t>
            </w:r>
            <w:r w:rsidRPr="0053423A">
              <w:rPr>
                <w:rFonts w:eastAsia="Calibri" w:cs="Times New Roman"/>
                <w:sz w:val="20"/>
                <w:szCs w:val="20"/>
                <w:lang w:val="af-ZA"/>
              </w:rPr>
              <w:t xml:space="preserve"> </w:t>
            </w:r>
            <w:r w:rsidRPr="0053423A">
              <w:rPr>
                <w:rFonts w:eastAsia="Calibri" w:cs="Times New Roman"/>
                <w:sz w:val="20"/>
                <w:szCs w:val="20"/>
              </w:rPr>
              <w:t>վարումը</w:t>
            </w:r>
            <w:r w:rsidRPr="0053423A">
              <w:rPr>
                <w:rFonts w:eastAsia="Calibri" w:cs="Times New Roman"/>
                <w:sz w:val="20"/>
                <w:szCs w:val="20"/>
                <w:lang w:val="af-ZA"/>
              </w:rPr>
              <w:t xml:space="preserve">, </w:t>
            </w:r>
            <w:r w:rsidRPr="0053423A">
              <w:rPr>
                <w:rFonts w:eastAsia="Calibri" w:cs="Times New Roman"/>
                <w:sz w:val="20"/>
                <w:szCs w:val="20"/>
              </w:rPr>
              <w:t>այն</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ընտանիքի</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գնահատումը</w:t>
            </w:r>
            <w:r w:rsidRPr="0053423A">
              <w:rPr>
                <w:rFonts w:eastAsia="Calibri" w:cs="Times New Roman"/>
                <w:sz w:val="20"/>
                <w:szCs w:val="20"/>
                <w:lang w:val="af-ZA"/>
              </w:rPr>
              <w:t xml:space="preserve">, </w:t>
            </w:r>
            <w:r w:rsidRPr="0053423A">
              <w:rPr>
                <w:rFonts w:eastAsia="Calibri" w:cs="Times New Roman"/>
                <w:sz w:val="20"/>
                <w:szCs w:val="20"/>
              </w:rPr>
              <w:t>ինչպես</w:t>
            </w:r>
            <w:r w:rsidRPr="0053423A">
              <w:rPr>
                <w:rFonts w:eastAsia="Calibri" w:cs="Times New Roman"/>
                <w:sz w:val="20"/>
                <w:szCs w:val="20"/>
                <w:lang w:val="af-ZA"/>
              </w:rPr>
              <w:t xml:space="preserve"> </w:t>
            </w:r>
            <w:r w:rsidRPr="0053423A">
              <w:rPr>
                <w:rFonts w:eastAsia="Calibri" w:cs="Times New Roman"/>
                <w:sz w:val="20"/>
                <w:szCs w:val="20"/>
              </w:rPr>
              <w:t>նաև</w:t>
            </w:r>
            <w:r w:rsidRPr="0053423A">
              <w:rPr>
                <w:rFonts w:eastAsia="Calibri" w:cs="Times New Roman"/>
                <w:sz w:val="20"/>
                <w:szCs w:val="20"/>
                <w:lang w:val="af-ZA"/>
              </w:rPr>
              <w:t xml:space="preserve"> </w:t>
            </w:r>
            <w:r w:rsidRPr="0053423A">
              <w:rPr>
                <w:rFonts w:eastAsia="Calibri" w:cs="Times New Roman"/>
                <w:sz w:val="20"/>
                <w:szCs w:val="20"/>
              </w:rPr>
              <w:t>դրա</w:t>
            </w:r>
            <w:r w:rsidRPr="0053423A">
              <w:rPr>
                <w:rFonts w:eastAsia="Calibri" w:cs="Times New Roman"/>
                <w:sz w:val="20"/>
                <w:szCs w:val="20"/>
                <w:lang w:val="af-ZA"/>
              </w:rPr>
              <w:t xml:space="preserve"> </w:t>
            </w:r>
            <w:r w:rsidRPr="0053423A">
              <w:rPr>
                <w:rFonts w:eastAsia="Calibri" w:cs="Times New Roman"/>
                <w:sz w:val="20"/>
                <w:szCs w:val="20"/>
              </w:rPr>
              <w:t>արդյունքներով</w:t>
            </w:r>
            <w:r w:rsidRPr="0053423A">
              <w:rPr>
                <w:rFonts w:eastAsia="Calibri" w:cs="Times New Roman"/>
                <w:sz w:val="20"/>
                <w:szCs w:val="20"/>
                <w:lang w:val="af-ZA"/>
              </w:rPr>
              <w:t xml:space="preserve"> </w:t>
            </w:r>
            <w:r w:rsidRPr="0053423A">
              <w:rPr>
                <w:rFonts w:eastAsia="Calibri" w:cs="Times New Roman"/>
                <w:sz w:val="20"/>
                <w:szCs w:val="20"/>
              </w:rPr>
              <w:t>տարբեր</w:t>
            </w:r>
            <w:r w:rsidRPr="0053423A">
              <w:rPr>
                <w:rFonts w:eastAsia="Calibri" w:cs="Times New Roman"/>
                <w:sz w:val="20"/>
                <w:szCs w:val="20"/>
                <w:lang w:val="af-ZA"/>
              </w:rPr>
              <w:t xml:space="preserve"> </w:t>
            </w:r>
            <w:r w:rsidRPr="0053423A">
              <w:rPr>
                <w:rFonts w:eastAsia="Calibri" w:cs="Times New Roman"/>
                <w:sz w:val="20"/>
                <w:szCs w:val="20"/>
              </w:rPr>
              <w:t>մարմինների</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կազմակերպությունների</w:t>
            </w:r>
            <w:r w:rsidRPr="0053423A">
              <w:rPr>
                <w:rFonts w:eastAsia="Calibri" w:cs="Times New Roman"/>
                <w:sz w:val="20"/>
                <w:szCs w:val="20"/>
                <w:lang w:val="af-ZA"/>
              </w:rPr>
              <w:t xml:space="preserve"> </w:t>
            </w:r>
            <w:r w:rsidRPr="0053423A">
              <w:rPr>
                <w:rFonts w:eastAsia="Calibri" w:cs="Times New Roman"/>
                <w:sz w:val="20"/>
                <w:szCs w:val="20"/>
              </w:rPr>
              <w:t>կողմից</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ծառայությունների</w:t>
            </w:r>
            <w:r w:rsidRPr="0053423A">
              <w:rPr>
                <w:rFonts w:eastAsia="Calibri" w:cs="Times New Roman"/>
                <w:sz w:val="20"/>
                <w:szCs w:val="20"/>
                <w:lang w:val="af-ZA"/>
              </w:rPr>
              <w:t xml:space="preserve"> </w:t>
            </w:r>
            <w:r w:rsidRPr="0053423A">
              <w:rPr>
                <w:rFonts w:eastAsia="Calibri" w:cs="Times New Roman"/>
                <w:sz w:val="20"/>
                <w:szCs w:val="20"/>
              </w:rPr>
              <w:t>տրամադրման</w:t>
            </w:r>
            <w:r w:rsidRPr="0053423A">
              <w:rPr>
                <w:rFonts w:eastAsia="Calibri" w:cs="Times New Roman"/>
                <w:sz w:val="20"/>
                <w:szCs w:val="20"/>
                <w:lang w:val="af-ZA"/>
              </w:rPr>
              <w:t xml:space="preserve"> </w:t>
            </w:r>
            <w:r w:rsidRPr="0053423A">
              <w:rPr>
                <w:rFonts w:eastAsia="Calibri" w:cs="Times New Roman"/>
                <w:sz w:val="20"/>
                <w:szCs w:val="20"/>
              </w:rPr>
              <w:t>գործընթացի</w:t>
            </w:r>
            <w:r w:rsidRPr="0053423A">
              <w:rPr>
                <w:rFonts w:eastAsia="Calibri" w:cs="Times New Roman"/>
                <w:sz w:val="20"/>
                <w:szCs w:val="20"/>
                <w:lang w:val="af-ZA"/>
              </w:rPr>
              <w:t xml:space="preserve"> </w:t>
            </w:r>
            <w:r w:rsidRPr="0053423A">
              <w:rPr>
                <w:rFonts w:eastAsia="Calibri" w:cs="Times New Roman"/>
                <w:sz w:val="20"/>
                <w:szCs w:val="20"/>
              </w:rPr>
              <w:t>համակարգումը</w:t>
            </w:r>
            <w:r w:rsidRPr="0053423A">
              <w:rPr>
                <w:rFonts w:eastAsia="Calibri" w:cs="Times New Roman"/>
                <w:sz w:val="20"/>
                <w:szCs w:val="20"/>
                <w:lang w:val="af-ZA"/>
              </w:rPr>
              <w:t xml:space="preserve">, </w:t>
            </w:r>
            <w:r w:rsidRPr="0053423A">
              <w:rPr>
                <w:rFonts w:eastAsia="Calibri" w:cs="Times New Roman"/>
                <w:sz w:val="20"/>
                <w:szCs w:val="20"/>
              </w:rPr>
              <w:t>հնարավոր</w:t>
            </w:r>
            <w:r w:rsidRPr="0053423A">
              <w:rPr>
                <w:rFonts w:eastAsia="Calibri" w:cs="Times New Roman"/>
                <w:sz w:val="20"/>
                <w:szCs w:val="20"/>
                <w:lang w:val="af-ZA"/>
              </w:rPr>
              <w:t xml:space="preserve"> </w:t>
            </w:r>
            <w:r w:rsidRPr="0053423A">
              <w:rPr>
                <w:rFonts w:eastAsia="Calibri" w:cs="Times New Roman"/>
                <w:sz w:val="20"/>
                <w:szCs w:val="20"/>
              </w:rPr>
              <w:t>կլինի</w:t>
            </w:r>
            <w:r w:rsidRPr="0053423A">
              <w:rPr>
                <w:rFonts w:eastAsia="Calibri" w:cs="Times New Roman"/>
                <w:sz w:val="20"/>
                <w:szCs w:val="20"/>
                <w:lang w:val="af-ZA"/>
              </w:rPr>
              <w:t xml:space="preserve"> </w:t>
            </w:r>
            <w:r w:rsidRPr="0053423A">
              <w:rPr>
                <w:rFonts w:eastAsia="Calibri" w:cs="Times New Roman"/>
                <w:sz w:val="20"/>
                <w:szCs w:val="20"/>
              </w:rPr>
              <w:t>արդյունավետ</w:t>
            </w:r>
            <w:r w:rsidRPr="0053423A">
              <w:rPr>
                <w:rFonts w:eastAsia="Calibri" w:cs="Times New Roman"/>
                <w:sz w:val="20"/>
                <w:szCs w:val="20"/>
                <w:lang w:val="af-ZA"/>
              </w:rPr>
              <w:t xml:space="preserve"> </w:t>
            </w:r>
            <w:r w:rsidRPr="0053423A">
              <w:rPr>
                <w:rFonts w:eastAsia="Calibri" w:cs="Times New Roman"/>
                <w:sz w:val="20"/>
                <w:szCs w:val="20"/>
              </w:rPr>
              <w:t>իրականացնել</w:t>
            </w:r>
            <w:r w:rsidRPr="0053423A">
              <w:rPr>
                <w:rFonts w:eastAsia="Calibri" w:cs="Times New Roman"/>
                <w:sz w:val="20"/>
                <w:szCs w:val="20"/>
                <w:lang w:val="af-ZA"/>
              </w:rPr>
              <w:t xml:space="preserve">, </w:t>
            </w:r>
            <w:r w:rsidRPr="0053423A">
              <w:rPr>
                <w:rFonts w:eastAsia="Calibri" w:cs="Times New Roman"/>
                <w:sz w:val="20"/>
                <w:szCs w:val="20"/>
              </w:rPr>
              <w:t>եթե</w:t>
            </w:r>
            <w:r w:rsidRPr="0053423A">
              <w:rPr>
                <w:rFonts w:eastAsia="Calibri" w:cs="Times New Roman"/>
                <w:sz w:val="20"/>
                <w:szCs w:val="20"/>
                <w:lang w:val="af-ZA"/>
              </w:rPr>
              <w:t xml:space="preserve"> </w:t>
            </w:r>
            <w:r w:rsidRPr="0053423A">
              <w:rPr>
                <w:rFonts w:eastAsia="Calibri" w:cs="Times New Roman"/>
                <w:sz w:val="20"/>
                <w:szCs w:val="20"/>
              </w:rPr>
              <w:t>յուրաքանչյուր</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դեպքի</w:t>
            </w:r>
            <w:r w:rsidRPr="0053423A">
              <w:rPr>
                <w:rFonts w:eastAsia="Calibri" w:cs="Times New Roman"/>
                <w:sz w:val="20"/>
                <w:szCs w:val="20"/>
                <w:lang w:val="af-ZA"/>
              </w:rPr>
              <w:t xml:space="preserve"> </w:t>
            </w:r>
            <w:r w:rsidRPr="0053423A">
              <w:rPr>
                <w:rFonts w:eastAsia="Calibri" w:cs="Times New Roman"/>
                <w:sz w:val="20"/>
                <w:szCs w:val="20"/>
              </w:rPr>
              <w:t>համար</w:t>
            </w:r>
            <w:r w:rsidRPr="0053423A">
              <w:rPr>
                <w:rFonts w:eastAsia="Calibri" w:cs="Times New Roman"/>
                <w:sz w:val="20"/>
                <w:szCs w:val="20"/>
                <w:lang w:val="af-ZA"/>
              </w:rPr>
              <w:t xml:space="preserve"> </w:t>
            </w:r>
            <w:r w:rsidRPr="0053423A">
              <w:rPr>
                <w:rFonts w:eastAsia="Calibri" w:cs="Times New Roman"/>
                <w:sz w:val="20"/>
                <w:szCs w:val="20"/>
              </w:rPr>
              <w:t>նշանակվի</w:t>
            </w:r>
            <w:r w:rsidRPr="0053423A">
              <w:rPr>
                <w:rFonts w:eastAsia="Calibri" w:cs="Times New Roman"/>
                <w:sz w:val="20"/>
                <w:szCs w:val="20"/>
                <w:lang w:val="af-ZA"/>
              </w:rPr>
              <w:t xml:space="preserve"> </w:t>
            </w:r>
            <w:r w:rsidRPr="0053423A">
              <w:rPr>
                <w:rFonts w:eastAsia="Calibri" w:cs="Times New Roman"/>
                <w:sz w:val="20"/>
                <w:szCs w:val="20"/>
              </w:rPr>
              <w:t>մեկ</w:t>
            </w:r>
            <w:r w:rsidRPr="0053423A">
              <w:rPr>
                <w:rFonts w:eastAsia="Calibri" w:cs="Times New Roman"/>
                <w:sz w:val="20"/>
                <w:szCs w:val="20"/>
                <w:lang w:val="af-ZA"/>
              </w:rPr>
              <w:t xml:space="preserve"> </w:t>
            </w:r>
            <w:r w:rsidRPr="0053423A">
              <w:rPr>
                <w:rFonts w:eastAsia="Calibri" w:cs="Times New Roman"/>
                <w:sz w:val="20"/>
                <w:szCs w:val="20"/>
              </w:rPr>
              <w:t>պատասխանատու</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նա</w:t>
            </w:r>
            <w:r w:rsidRPr="0053423A">
              <w:rPr>
                <w:rFonts w:eastAsia="Calibri" w:cs="Times New Roman"/>
                <w:sz w:val="20"/>
                <w:szCs w:val="20"/>
                <w:lang w:val="af-ZA"/>
              </w:rPr>
              <w:t xml:space="preserve"> </w:t>
            </w:r>
            <w:r w:rsidRPr="0053423A">
              <w:rPr>
                <w:rFonts w:eastAsia="Calibri" w:cs="Times New Roman"/>
                <w:sz w:val="20"/>
                <w:szCs w:val="20"/>
              </w:rPr>
              <w:t>աշխատի</w:t>
            </w:r>
            <w:r w:rsidRPr="0053423A">
              <w:rPr>
                <w:rFonts w:eastAsia="Calibri" w:cs="Times New Roman"/>
                <w:sz w:val="20"/>
                <w:szCs w:val="20"/>
                <w:lang w:val="af-ZA"/>
              </w:rPr>
              <w:t xml:space="preserve"> </w:t>
            </w:r>
            <w:r w:rsidRPr="0053423A">
              <w:rPr>
                <w:rFonts w:eastAsia="Calibri" w:cs="Times New Roman"/>
                <w:sz w:val="20"/>
                <w:szCs w:val="20"/>
              </w:rPr>
              <w:t>տվյալ</w:t>
            </w:r>
            <w:r w:rsidRPr="0053423A">
              <w:rPr>
                <w:rFonts w:eastAsia="Calibri" w:cs="Times New Roman"/>
                <w:sz w:val="20"/>
                <w:szCs w:val="20"/>
                <w:lang w:val="af-ZA"/>
              </w:rPr>
              <w:t xml:space="preserve"> </w:t>
            </w:r>
            <w:r w:rsidRPr="0053423A">
              <w:rPr>
                <w:rFonts w:eastAsia="Calibri" w:cs="Times New Roman"/>
                <w:sz w:val="20"/>
                <w:szCs w:val="20"/>
              </w:rPr>
              <w:t>դեպքի</w:t>
            </w:r>
            <w:r w:rsidRPr="0053423A">
              <w:rPr>
                <w:rFonts w:eastAsia="Calibri" w:cs="Times New Roman"/>
                <w:sz w:val="20"/>
                <w:szCs w:val="20"/>
                <w:lang w:val="af-ZA"/>
              </w:rPr>
              <w:t xml:space="preserve"> </w:t>
            </w:r>
            <w:r w:rsidRPr="0053423A">
              <w:rPr>
                <w:rFonts w:eastAsia="Calibri" w:cs="Times New Roman"/>
                <w:sz w:val="20"/>
                <w:szCs w:val="20"/>
              </w:rPr>
              <w:t>համար</w:t>
            </w:r>
            <w:r w:rsidRPr="0053423A">
              <w:rPr>
                <w:rFonts w:eastAsia="Calibri" w:cs="Times New Roman"/>
                <w:sz w:val="20"/>
                <w:szCs w:val="20"/>
                <w:lang w:val="af-ZA"/>
              </w:rPr>
              <w:t xml:space="preserve"> </w:t>
            </w:r>
            <w:r w:rsidRPr="0053423A">
              <w:rPr>
                <w:rFonts w:eastAsia="Calibri" w:cs="Times New Roman"/>
                <w:sz w:val="20"/>
                <w:szCs w:val="20"/>
              </w:rPr>
              <w:t>ձևավորված</w:t>
            </w:r>
            <w:r w:rsidRPr="0053423A">
              <w:rPr>
                <w:rFonts w:eastAsia="Calibri" w:cs="Times New Roman"/>
                <w:sz w:val="20"/>
                <w:szCs w:val="20"/>
                <w:lang w:val="af-ZA"/>
              </w:rPr>
              <w:t xml:space="preserve"> </w:t>
            </w:r>
            <w:r w:rsidRPr="0053423A">
              <w:rPr>
                <w:rFonts w:eastAsia="Calibri" w:cs="Times New Roman"/>
                <w:sz w:val="20"/>
                <w:szCs w:val="20"/>
              </w:rPr>
              <w:t>աջակցող</w:t>
            </w:r>
            <w:r w:rsidRPr="0053423A">
              <w:rPr>
                <w:rFonts w:eastAsia="Calibri" w:cs="Times New Roman"/>
                <w:sz w:val="20"/>
                <w:szCs w:val="20"/>
                <w:lang w:val="af-ZA"/>
              </w:rPr>
              <w:t xml:space="preserve"> </w:t>
            </w:r>
            <w:r w:rsidRPr="0053423A">
              <w:rPr>
                <w:rFonts w:eastAsia="Calibri" w:cs="Times New Roman"/>
                <w:sz w:val="20"/>
                <w:szCs w:val="20"/>
              </w:rPr>
              <w:t>ցանցի</w:t>
            </w:r>
            <w:r w:rsidRPr="0053423A">
              <w:rPr>
                <w:rFonts w:eastAsia="Calibri" w:cs="Times New Roman"/>
                <w:sz w:val="20"/>
                <w:szCs w:val="20"/>
                <w:lang w:val="af-ZA"/>
              </w:rPr>
              <w:t xml:space="preserve"> (</w:t>
            </w:r>
            <w:r w:rsidRPr="0053423A">
              <w:rPr>
                <w:rFonts w:eastAsia="Calibri" w:cs="Times New Roman"/>
                <w:sz w:val="20"/>
                <w:szCs w:val="20"/>
              </w:rPr>
              <w:t>տարբեր</w:t>
            </w:r>
            <w:r w:rsidRPr="0053423A">
              <w:rPr>
                <w:rFonts w:eastAsia="Calibri" w:cs="Times New Roman"/>
                <w:sz w:val="20"/>
                <w:szCs w:val="20"/>
                <w:lang w:val="af-ZA"/>
              </w:rPr>
              <w:t xml:space="preserve"> </w:t>
            </w:r>
            <w:r w:rsidRPr="0053423A">
              <w:rPr>
                <w:rFonts w:eastAsia="Calibri" w:cs="Times New Roman"/>
                <w:sz w:val="20"/>
                <w:szCs w:val="20"/>
              </w:rPr>
              <w:t>մարմինների</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կազմակերպությունների</w:t>
            </w:r>
            <w:r w:rsidRPr="0053423A">
              <w:rPr>
                <w:rFonts w:eastAsia="Calibri" w:cs="Times New Roman"/>
                <w:sz w:val="20"/>
                <w:szCs w:val="20"/>
                <w:lang w:val="af-ZA"/>
              </w:rPr>
              <w:t xml:space="preserve"> </w:t>
            </w:r>
            <w:r w:rsidRPr="0053423A">
              <w:rPr>
                <w:rFonts w:eastAsia="Calibri" w:cs="Times New Roman"/>
                <w:sz w:val="20"/>
                <w:szCs w:val="20"/>
              </w:rPr>
              <w:t>մասնագետների</w:t>
            </w:r>
            <w:r w:rsidRPr="0053423A">
              <w:rPr>
                <w:rFonts w:eastAsia="Calibri" w:cs="Times New Roman"/>
                <w:sz w:val="20"/>
                <w:szCs w:val="20"/>
                <w:lang w:val="af-ZA"/>
              </w:rPr>
              <w:t xml:space="preserve">) </w:t>
            </w:r>
            <w:r w:rsidRPr="0053423A">
              <w:rPr>
                <w:rFonts w:eastAsia="Calibri" w:cs="Times New Roman"/>
                <w:sz w:val="20"/>
                <w:szCs w:val="20"/>
              </w:rPr>
              <w:t>հետ՝</w:t>
            </w:r>
            <w:r w:rsidRPr="0053423A">
              <w:rPr>
                <w:rFonts w:eastAsia="Calibri" w:cs="Times New Roman"/>
                <w:sz w:val="20"/>
                <w:szCs w:val="20"/>
                <w:lang w:val="af-ZA"/>
              </w:rPr>
              <w:t xml:space="preserve"> </w:t>
            </w:r>
            <w:r w:rsidRPr="0053423A">
              <w:rPr>
                <w:rFonts w:eastAsia="Calibri" w:cs="Times New Roman"/>
                <w:sz w:val="20"/>
                <w:szCs w:val="20"/>
              </w:rPr>
              <w:t>համակարգելով</w:t>
            </w:r>
            <w:r w:rsidRPr="0053423A">
              <w:rPr>
                <w:rFonts w:eastAsia="Calibri" w:cs="Times New Roman"/>
                <w:sz w:val="20"/>
                <w:szCs w:val="20"/>
                <w:lang w:val="af-ZA"/>
              </w:rPr>
              <w:t xml:space="preserve"> </w:t>
            </w:r>
            <w:r w:rsidRPr="0053423A">
              <w:rPr>
                <w:rFonts w:eastAsia="Calibri" w:cs="Times New Roman"/>
                <w:sz w:val="20"/>
                <w:szCs w:val="20"/>
              </w:rPr>
              <w:t>դրանք</w:t>
            </w:r>
            <w:r w:rsidRPr="0053423A">
              <w:rPr>
                <w:rFonts w:eastAsia="Calibri" w:cs="Times New Roman"/>
                <w:sz w:val="20"/>
                <w:szCs w:val="20"/>
                <w:lang w:val="af-ZA"/>
              </w:rPr>
              <w:t xml:space="preserve"> </w:t>
            </w:r>
            <w:r w:rsidRPr="0053423A">
              <w:rPr>
                <w:rFonts w:eastAsia="Calibri" w:cs="Times New Roman"/>
                <w:sz w:val="20"/>
                <w:szCs w:val="20"/>
              </w:rPr>
              <w:t>ժամանակի</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մարմինների</w:t>
            </w:r>
            <w:r w:rsidRPr="0053423A">
              <w:rPr>
                <w:rFonts w:eastAsia="Calibri" w:cs="Times New Roman"/>
                <w:sz w:val="20"/>
                <w:szCs w:val="20"/>
                <w:lang w:val="af-ZA"/>
              </w:rPr>
              <w:t xml:space="preserve"> </w:t>
            </w:r>
            <w:r w:rsidRPr="0053423A">
              <w:rPr>
                <w:rFonts w:eastAsia="Calibri" w:cs="Times New Roman"/>
                <w:sz w:val="20"/>
                <w:szCs w:val="20"/>
              </w:rPr>
              <w:t>ու</w:t>
            </w:r>
            <w:r w:rsidRPr="0053423A">
              <w:rPr>
                <w:rFonts w:eastAsia="Calibri" w:cs="Times New Roman"/>
                <w:sz w:val="20"/>
                <w:szCs w:val="20"/>
                <w:lang w:val="af-ZA"/>
              </w:rPr>
              <w:t xml:space="preserve"> </w:t>
            </w:r>
            <w:r w:rsidRPr="0053423A">
              <w:rPr>
                <w:rFonts w:eastAsia="Calibri" w:cs="Times New Roman"/>
                <w:sz w:val="20"/>
                <w:szCs w:val="20"/>
              </w:rPr>
              <w:t>կազմակերպություների</w:t>
            </w:r>
            <w:r w:rsidRPr="0053423A">
              <w:rPr>
                <w:rFonts w:eastAsia="Calibri" w:cs="Times New Roman"/>
                <w:sz w:val="20"/>
                <w:szCs w:val="20"/>
                <w:lang w:val="af-ZA"/>
              </w:rPr>
              <w:t xml:space="preserve"> </w:t>
            </w:r>
            <w:r w:rsidRPr="0053423A">
              <w:rPr>
                <w:rFonts w:eastAsia="Calibri" w:cs="Times New Roman"/>
                <w:sz w:val="20"/>
                <w:szCs w:val="20"/>
              </w:rPr>
              <w:t>աշխատանքների</w:t>
            </w:r>
            <w:r w:rsidRPr="0053423A">
              <w:rPr>
                <w:rFonts w:eastAsia="Calibri" w:cs="Times New Roman"/>
                <w:sz w:val="20"/>
                <w:szCs w:val="20"/>
                <w:lang w:val="af-ZA"/>
              </w:rPr>
              <w:t xml:space="preserve"> </w:t>
            </w:r>
            <w:r w:rsidRPr="0053423A">
              <w:rPr>
                <w:rFonts w:eastAsia="Calibri" w:cs="Times New Roman"/>
                <w:sz w:val="20"/>
                <w:szCs w:val="20"/>
              </w:rPr>
              <w:t>համատեքստում</w:t>
            </w:r>
            <w:r w:rsidRPr="0053423A">
              <w:rPr>
                <w:rFonts w:eastAsia="Calibri" w:cs="Times New Roman"/>
                <w:sz w:val="20"/>
                <w:szCs w:val="20"/>
                <w:lang w:val="af-ZA"/>
              </w:rPr>
              <w:t xml:space="preserve">: </w:t>
            </w:r>
            <w:r w:rsidRPr="0053423A">
              <w:rPr>
                <w:rFonts w:eastAsia="Calibri" w:cs="Times New Roman"/>
                <w:sz w:val="20"/>
                <w:szCs w:val="20"/>
              </w:rPr>
              <w:t>Նման</w:t>
            </w:r>
            <w:r w:rsidRPr="0053423A">
              <w:rPr>
                <w:rFonts w:eastAsia="Calibri" w:cs="Times New Roman"/>
                <w:sz w:val="20"/>
                <w:szCs w:val="20"/>
                <w:lang w:val="af-ZA"/>
              </w:rPr>
              <w:t xml:space="preserve"> </w:t>
            </w:r>
            <w:r w:rsidRPr="0053423A">
              <w:rPr>
                <w:rFonts w:eastAsia="Calibri" w:cs="Times New Roman"/>
                <w:sz w:val="20"/>
                <w:szCs w:val="20"/>
              </w:rPr>
              <w:t>մոտեցումը</w:t>
            </w:r>
            <w:r w:rsidRPr="0053423A">
              <w:rPr>
                <w:rFonts w:eastAsia="Calibri" w:cs="Times New Roman"/>
                <w:sz w:val="20"/>
                <w:szCs w:val="20"/>
                <w:lang w:val="af-ZA"/>
              </w:rPr>
              <w:t xml:space="preserve"> </w:t>
            </w:r>
            <w:r w:rsidRPr="0053423A">
              <w:rPr>
                <w:rFonts w:eastAsia="Calibri" w:cs="Times New Roman"/>
                <w:sz w:val="20"/>
                <w:szCs w:val="20"/>
              </w:rPr>
              <w:t>հնարավորություն</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տալիս</w:t>
            </w:r>
            <w:r w:rsidRPr="0053423A">
              <w:rPr>
                <w:rFonts w:eastAsia="Calibri" w:cs="Times New Roman"/>
                <w:sz w:val="20"/>
                <w:szCs w:val="20"/>
                <w:lang w:val="af-ZA"/>
              </w:rPr>
              <w:t xml:space="preserve"> </w:t>
            </w:r>
            <w:r w:rsidRPr="0053423A">
              <w:rPr>
                <w:rFonts w:eastAsia="Calibri" w:cs="Times New Roman"/>
                <w:sz w:val="20"/>
                <w:szCs w:val="20"/>
              </w:rPr>
              <w:t>նաև</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աջակցություն</w:t>
            </w:r>
            <w:r w:rsidRPr="0053423A">
              <w:rPr>
                <w:rFonts w:eastAsia="Calibri" w:cs="Times New Roman"/>
                <w:sz w:val="20"/>
                <w:szCs w:val="20"/>
                <w:lang w:val="af-ZA"/>
              </w:rPr>
              <w:t xml:space="preserve"> </w:t>
            </w:r>
            <w:r w:rsidRPr="0053423A">
              <w:rPr>
                <w:rFonts w:eastAsia="Calibri" w:cs="Times New Roman"/>
                <w:sz w:val="20"/>
                <w:szCs w:val="20"/>
              </w:rPr>
              <w:t>ստացողին</w:t>
            </w:r>
            <w:r w:rsidRPr="0053423A">
              <w:rPr>
                <w:rFonts w:eastAsia="Calibri" w:cs="Times New Roman"/>
                <w:sz w:val="20"/>
                <w:szCs w:val="20"/>
                <w:lang w:val="af-ZA"/>
              </w:rPr>
              <w:t xml:space="preserve"> (</w:t>
            </w:r>
            <w:r w:rsidRPr="0053423A">
              <w:rPr>
                <w:rFonts w:eastAsia="Calibri" w:cs="Times New Roman"/>
                <w:sz w:val="20"/>
                <w:szCs w:val="20"/>
              </w:rPr>
              <w:t>շահառուին</w:t>
            </w:r>
            <w:r w:rsidRPr="0053423A">
              <w:rPr>
                <w:rFonts w:eastAsia="Calibri" w:cs="Times New Roman"/>
                <w:sz w:val="20"/>
                <w:szCs w:val="20"/>
                <w:lang w:val="af-ZA"/>
              </w:rPr>
              <w:t xml:space="preserve">) </w:t>
            </w:r>
            <w:r w:rsidRPr="0053423A">
              <w:rPr>
                <w:rFonts w:eastAsia="Calibri" w:cs="Times New Roman"/>
                <w:sz w:val="20"/>
                <w:szCs w:val="20"/>
              </w:rPr>
              <w:t>շփվել</w:t>
            </w:r>
            <w:r w:rsidRPr="0053423A">
              <w:rPr>
                <w:rFonts w:eastAsia="Calibri" w:cs="Times New Roman"/>
                <w:sz w:val="20"/>
                <w:szCs w:val="20"/>
                <w:lang w:val="af-ZA"/>
              </w:rPr>
              <w:t xml:space="preserve">, </w:t>
            </w:r>
            <w:r w:rsidRPr="0053423A">
              <w:rPr>
                <w:rFonts w:eastAsia="Calibri" w:cs="Times New Roman"/>
                <w:sz w:val="20"/>
                <w:szCs w:val="20"/>
              </w:rPr>
              <w:t>առնչվել</w:t>
            </w:r>
            <w:r w:rsidRPr="0053423A">
              <w:rPr>
                <w:rFonts w:eastAsia="Calibri" w:cs="Times New Roman"/>
                <w:sz w:val="20"/>
                <w:szCs w:val="20"/>
                <w:lang w:val="af-ZA"/>
              </w:rPr>
              <w:t xml:space="preserve"> </w:t>
            </w:r>
            <w:r w:rsidRPr="0053423A">
              <w:rPr>
                <w:rFonts w:eastAsia="Calibri" w:cs="Times New Roman"/>
                <w:sz w:val="20"/>
                <w:szCs w:val="20"/>
              </w:rPr>
              <w:t>միայն</w:t>
            </w:r>
            <w:r w:rsidRPr="0053423A">
              <w:rPr>
                <w:rFonts w:eastAsia="Calibri" w:cs="Times New Roman"/>
                <w:sz w:val="20"/>
                <w:szCs w:val="20"/>
                <w:lang w:val="af-ZA"/>
              </w:rPr>
              <w:t xml:space="preserve"> </w:t>
            </w:r>
            <w:r w:rsidRPr="0053423A">
              <w:rPr>
                <w:rFonts w:eastAsia="Calibri" w:cs="Times New Roman"/>
                <w:sz w:val="20"/>
                <w:szCs w:val="20"/>
              </w:rPr>
              <w:t>մեկ</w:t>
            </w:r>
            <w:r w:rsidRPr="0053423A">
              <w:rPr>
                <w:rFonts w:eastAsia="Calibri" w:cs="Times New Roman"/>
                <w:sz w:val="20"/>
                <w:szCs w:val="20"/>
                <w:lang w:val="af-ZA"/>
              </w:rPr>
              <w:t xml:space="preserve"> </w:t>
            </w:r>
            <w:r w:rsidRPr="0053423A">
              <w:rPr>
                <w:rFonts w:eastAsia="Calibri" w:cs="Times New Roman"/>
                <w:sz w:val="20"/>
                <w:szCs w:val="20"/>
              </w:rPr>
              <w:t>մասնագետի</w:t>
            </w:r>
            <w:r w:rsidRPr="0053423A">
              <w:rPr>
                <w:rFonts w:eastAsia="Calibri" w:cs="Times New Roman"/>
                <w:sz w:val="20"/>
                <w:szCs w:val="20"/>
                <w:lang w:val="af-ZA"/>
              </w:rPr>
              <w:t xml:space="preserve"> </w:t>
            </w:r>
            <w:r w:rsidRPr="0053423A">
              <w:rPr>
                <w:rFonts w:eastAsia="Calibri" w:cs="Times New Roman"/>
                <w:sz w:val="20"/>
                <w:szCs w:val="20"/>
              </w:rPr>
              <w:t>հետ</w:t>
            </w:r>
            <w:r w:rsidRPr="0053423A">
              <w:rPr>
                <w:rFonts w:eastAsia="Calibri" w:cs="Times New Roman"/>
                <w:sz w:val="20"/>
                <w:szCs w:val="20"/>
                <w:lang w:val="af-ZA"/>
              </w:rPr>
              <w:t xml:space="preserve">, </w:t>
            </w:r>
            <w:r w:rsidRPr="0053423A">
              <w:rPr>
                <w:rFonts w:eastAsia="Calibri" w:cs="Times New Roman"/>
                <w:sz w:val="20"/>
                <w:szCs w:val="20"/>
              </w:rPr>
              <w:t>բացառելով</w:t>
            </w:r>
            <w:r w:rsidRPr="0053423A">
              <w:rPr>
                <w:rFonts w:eastAsia="Calibri" w:cs="Times New Roman"/>
                <w:sz w:val="20"/>
                <w:szCs w:val="20"/>
                <w:lang w:val="af-ZA"/>
              </w:rPr>
              <w:t xml:space="preserve"> </w:t>
            </w:r>
            <w:r w:rsidRPr="0053423A">
              <w:rPr>
                <w:rFonts w:eastAsia="Calibri" w:cs="Times New Roman"/>
                <w:sz w:val="20"/>
                <w:szCs w:val="20"/>
              </w:rPr>
              <w:t>նրա</w:t>
            </w:r>
            <w:r w:rsidRPr="0053423A">
              <w:rPr>
                <w:rFonts w:eastAsia="Calibri" w:cs="Times New Roman"/>
                <w:sz w:val="20"/>
                <w:szCs w:val="20"/>
                <w:lang w:val="af-ZA"/>
              </w:rPr>
              <w:t xml:space="preserve"> </w:t>
            </w:r>
            <w:r w:rsidRPr="0053423A">
              <w:rPr>
                <w:rFonts w:eastAsia="Calibri" w:cs="Times New Roman"/>
                <w:sz w:val="20"/>
                <w:szCs w:val="20"/>
              </w:rPr>
              <w:t>դռնեդուռ՝</w:t>
            </w:r>
            <w:r w:rsidRPr="0053423A">
              <w:rPr>
                <w:rFonts w:eastAsia="Calibri" w:cs="Times New Roman"/>
                <w:sz w:val="20"/>
                <w:szCs w:val="20"/>
                <w:lang w:val="af-ZA"/>
              </w:rPr>
              <w:t xml:space="preserve"> </w:t>
            </w:r>
            <w:r w:rsidRPr="0053423A">
              <w:rPr>
                <w:rFonts w:eastAsia="Calibri" w:cs="Times New Roman"/>
                <w:sz w:val="20"/>
                <w:szCs w:val="20"/>
              </w:rPr>
              <w:t>տարբեր</w:t>
            </w:r>
            <w:r w:rsidRPr="0053423A">
              <w:rPr>
                <w:rFonts w:eastAsia="Calibri" w:cs="Times New Roman"/>
                <w:sz w:val="20"/>
                <w:szCs w:val="20"/>
                <w:lang w:val="af-ZA"/>
              </w:rPr>
              <w:t xml:space="preserve"> </w:t>
            </w:r>
            <w:r w:rsidRPr="0053423A">
              <w:rPr>
                <w:rFonts w:eastAsia="Calibri" w:cs="Times New Roman"/>
                <w:sz w:val="20"/>
                <w:szCs w:val="20"/>
              </w:rPr>
              <w:t>մարմիններ</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կազմակերպություններ</w:t>
            </w:r>
            <w:r w:rsidRPr="0053423A">
              <w:rPr>
                <w:rFonts w:eastAsia="Calibri" w:cs="Times New Roman"/>
                <w:sz w:val="20"/>
                <w:szCs w:val="20"/>
                <w:lang w:val="af-ZA"/>
              </w:rPr>
              <w:t xml:space="preserve"> </w:t>
            </w:r>
            <w:r w:rsidRPr="0053423A">
              <w:rPr>
                <w:rFonts w:eastAsia="Calibri" w:cs="Times New Roman"/>
                <w:sz w:val="20"/>
                <w:szCs w:val="20"/>
              </w:rPr>
              <w:t>դիմելը</w:t>
            </w:r>
            <w:r w:rsidRPr="0053423A">
              <w:rPr>
                <w:rFonts w:eastAsia="Calibri" w:cs="Times New Roman"/>
                <w:sz w:val="20"/>
                <w:szCs w:val="20"/>
                <w:lang w:val="af-ZA"/>
              </w:rPr>
              <w:t xml:space="preserve">, </w:t>
            </w:r>
            <w:r w:rsidRPr="0053423A">
              <w:rPr>
                <w:rFonts w:eastAsia="Calibri" w:cs="Times New Roman"/>
                <w:sz w:val="20"/>
                <w:szCs w:val="20"/>
              </w:rPr>
              <w:t>խուսափել</w:t>
            </w:r>
            <w:r w:rsidRPr="0053423A">
              <w:rPr>
                <w:rFonts w:eastAsia="Calibri" w:cs="Times New Roman"/>
                <w:sz w:val="20"/>
                <w:szCs w:val="20"/>
                <w:lang w:val="af-ZA"/>
              </w:rPr>
              <w:t xml:space="preserve"> </w:t>
            </w:r>
            <w:r w:rsidRPr="0053423A">
              <w:rPr>
                <w:rFonts w:eastAsia="Calibri" w:cs="Times New Roman"/>
                <w:sz w:val="20"/>
                <w:szCs w:val="20"/>
              </w:rPr>
              <w:t>բյուրոկրատական</w:t>
            </w:r>
            <w:r w:rsidRPr="0053423A">
              <w:rPr>
                <w:rFonts w:eastAsia="Calibri" w:cs="Times New Roman"/>
                <w:sz w:val="20"/>
                <w:szCs w:val="20"/>
                <w:lang w:val="af-ZA"/>
              </w:rPr>
              <w:t xml:space="preserve"> </w:t>
            </w:r>
            <w:r w:rsidRPr="0053423A">
              <w:rPr>
                <w:rFonts w:eastAsia="Calibri" w:cs="Times New Roman"/>
                <w:sz w:val="20"/>
                <w:szCs w:val="20"/>
              </w:rPr>
              <w:t>քաշքշուկներից</w:t>
            </w:r>
            <w:r w:rsidRPr="0053423A">
              <w:rPr>
                <w:rFonts w:eastAsia="Calibri" w:cs="Times New Roman"/>
                <w:sz w:val="20"/>
                <w:szCs w:val="20"/>
                <w:lang w:val="af-ZA"/>
              </w:rPr>
              <w:t xml:space="preserve">, </w:t>
            </w:r>
            <w:r w:rsidRPr="0053423A">
              <w:rPr>
                <w:rFonts w:eastAsia="Calibri" w:cs="Times New Roman"/>
                <w:sz w:val="20"/>
                <w:szCs w:val="20"/>
              </w:rPr>
              <w:t>իսկ</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աշխատողին</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դեպք</w:t>
            </w:r>
            <w:r w:rsidRPr="0053423A">
              <w:rPr>
                <w:rFonts w:eastAsia="Calibri" w:cs="Times New Roman"/>
                <w:sz w:val="20"/>
                <w:szCs w:val="20"/>
                <w:lang w:val="af-ZA"/>
              </w:rPr>
              <w:t xml:space="preserve"> </w:t>
            </w:r>
            <w:r w:rsidRPr="0053423A">
              <w:rPr>
                <w:rFonts w:eastAsia="Calibri" w:cs="Times New Roman"/>
                <w:sz w:val="20"/>
                <w:szCs w:val="20"/>
              </w:rPr>
              <w:t>վարողին</w:t>
            </w:r>
            <w:r w:rsidRPr="0053423A">
              <w:rPr>
                <w:rFonts w:eastAsia="Calibri" w:cs="Times New Roman"/>
                <w:sz w:val="20"/>
                <w:szCs w:val="20"/>
                <w:lang w:val="af-ZA"/>
              </w:rPr>
              <w:t xml:space="preserve">)` </w:t>
            </w:r>
            <w:r w:rsidRPr="0053423A">
              <w:rPr>
                <w:rFonts w:eastAsia="Calibri" w:cs="Times New Roman"/>
                <w:sz w:val="20"/>
                <w:szCs w:val="20"/>
              </w:rPr>
              <w:t>իրազեկ</w:t>
            </w:r>
            <w:r w:rsidRPr="0053423A">
              <w:rPr>
                <w:rFonts w:eastAsia="Calibri" w:cs="Times New Roman"/>
                <w:sz w:val="20"/>
                <w:szCs w:val="20"/>
                <w:lang w:val="af-ZA"/>
              </w:rPr>
              <w:t xml:space="preserve"> </w:t>
            </w:r>
            <w:r w:rsidRPr="0053423A">
              <w:rPr>
                <w:rFonts w:eastAsia="Calibri" w:cs="Times New Roman"/>
                <w:sz w:val="20"/>
                <w:szCs w:val="20"/>
              </w:rPr>
              <w:t>լինել</w:t>
            </w:r>
            <w:r w:rsidRPr="0053423A">
              <w:rPr>
                <w:rFonts w:eastAsia="Calibri" w:cs="Times New Roman"/>
                <w:sz w:val="20"/>
                <w:szCs w:val="20"/>
                <w:lang w:val="af-ZA"/>
              </w:rPr>
              <w:t xml:space="preserve"> </w:t>
            </w:r>
            <w:r w:rsidRPr="0053423A">
              <w:rPr>
                <w:rFonts w:eastAsia="Calibri" w:cs="Times New Roman"/>
                <w:sz w:val="20"/>
                <w:szCs w:val="20"/>
              </w:rPr>
              <w:t>իր</w:t>
            </w:r>
            <w:r w:rsidRPr="0053423A">
              <w:rPr>
                <w:rFonts w:eastAsia="Calibri" w:cs="Times New Roman"/>
                <w:sz w:val="20"/>
                <w:szCs w:val="20"/>
                <w:lang w:val="af-ZA"/>
              </w:rPr>
              <w:t xml:space="preserve"> </w:t>
            </w:r>
            <w:r w:rsidRPr="0053423A">
              <w:rPr>
                <w:rFonts w:eastAsia="Calibri" w:cs="Times New Roman"/>
                <w:sz w:val="20"/>
                <w:szCs w:val="20"/>
              </w:rPr>
              <w:t>կողմից</w:t>
            </w:r>
            <w:r w:rsidRPr="0053423A">
              <w:rPr>
                <w:rFonts w:eastAsia="Calibri" w:cs="Times New Roman"/>
                <w:sz w:val="20"/>
                <w:szCs w:val="20"/>
                <w:lang w:val="af-ZA"/>
              </w:rPr>
              <w:t xml:space="preserve"> </w:t>
            </w:r>
            <w:r w:rsidRPr="0053423A">
              <w:rPr>
                <w:rFonts w:eastAsia="Calibri" w:cs="Times New Roman"/>
                <w:sz w:val="20"/>
                <w:szCs w:val="20"/>
              </w:rPr>
              <w:t>սպասարկվող</w:t>
            </w:r>
            <w:r w:rsidRPr="0053423A">
              <w:rPr>
                <w:rFonts w:eastAsia="Calibri" w:cs="Times New Roman"/>
                <w:sz w:val="20"/>
                <w:szCs w:val="20"/>
                <w:lang w:val="af-ZA"/>
              </w:rPr>
              <w:t xml:space="preserve"> </w:t>
            </w:r>
            <w:r w:rsidRPr="0053423A">
              <w:rPr>
                <w:rFonts w:eastAsia="Calibri" w:cs="Times New Roman"/>
                <w:sz w:val="20"/>
                <w:szCs w:val="20"/>
              </w:rPr>
              <w:t>ընտանիքի</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աջակցություն</w:t>
            </w:r>
            <w:r w:rsidRPr="0053423A">
              <w:rPr>
                <w:rFonts w:eastAsia="Calibri" w:cs="Times New Roman"/>
                <w:sz w:val="20"/>
                <w:szCs w:val="20"/>
                <w:lang w:val="af-ZA"/>
              </w:rPr>
              <w:t xml:space="preserve"> </w:t>
            </w:r>
            <w:r w:rsidRPr="0053423A">
              <w:rPr>
                <w:rFonts w:eastAsia="Calibri" w:cs="Times New Roman"/>
                <w:sz w:val="20"/>
                <w:szCs w:val="20"/>
              </w:rPr>
              <w:t>ստացողի</w:t>
            </w:r>
            <w:r w:rsidRPr="0053423A">
              <w:rPr>
                <w:rFonts w:eastAsia="Calibri" w:cs="Times New Roman"/>
                <w:sz w:val="20"/>
                <w:szCs w:val="20"/>
                <w:lang w:val="af-ZA"/>
              </w:rPr>
              <w:t xml:space="preserve">) </w:t>
            </w:r>
            <w:r w:rsidRPr="0053423A">
              <w:rPr>
                <w:rFonts w:eastAsia="Calibri" w:cs="Times New Roman"/>
                <w:sz w:val="20"/>
                <w:szCs w:val="20"/>
              </w:rPr>
              <w:t>ամբողջ</w:t>
            </w:r>
            <w:r w:rsidRPr="0053423A">
              <w:rPr>
                <w:rFonts w:eastAsia="Calibri" w:cs="Times New Roman"/>
                <w:sz w:val="20"/>
                <w:szCs w:val="20"/>
                <w:lang w:val="af-ZA"/>
              </w:rPr>
              <w:t xml:space="preserve"> </w:t>
            </w:r>
            <w:r w:rsidRPr="0053423A">
              <w:rPr>
                <w:rFonts w:eastAsia="Calibri" w:cs="Times New Roman"/>
                <w:sz w:val="20"/>
                <w:szCs w:val="20"/>
              </w:rPr>
              <w:t>պատմությանը</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գիտակցել</w:t>
            </w:r>
            <w:r w:rsidRPr="0053423A">
              <w:rPr>
                <w:rFonts w:eastAsia="Calibri" w:cs="Times New Roman"/>
                <w:sz w:val="20"/>
                <w:szCs w:val="20"/>
                <w:lang w:val="af-ZA"/>
              </w:rPr>
              <w:t xml:space="preserve"> </w:t>
            </w:r>
            <w:r w:rsidRPr="0053423A">
              <w:rPr>
                <w:rFonts w:eastAsia="Calibri" w:cs="Times New Roman"/>
                <w:sz w:val="20"/>
                <w:szCs w:val="20"/>
              </w:rPr>
              <w:t>ինչպես</w:t>
            </w:r>
            <w:r w:rsidRPr="0053423A">
              <w:rPr>
                <w:rFonts w:eastAsia="Calibri" w:cs="Times New Roman"/>
                <w:sz w:val="20"/>
                <w:szCs w:val="20"/>
                <w:lang w:val="af-ZA"/>
              </w:rPr>
              <w:t xml:space="preserve"> </w:t>
            </w:r>
            <w:r w:rsidRPr="0053423A">
              <w:rPr>
                <w:rFonts w:eastAsia="Calibri" w:cs="Times New Roman"/>
                <w:sz w:val="20"/>
                <w:szCs w:val="20"/>
              </w:rPr>
              <w:t>իր</w:t>
            </w:r>
            <w:r w:rsidRPr="0053423A">
              <w:rPr>
                <w:rFonts w:eastAsia="Calibri" w:cs="Times New Roman"/>
                <w:sz w:val="20"/>
                <w:szCs w:val="20"/>
                <w:lang w:val="af-ZA"/>
              </w:rPr>
              <w:t xml:space="preserve"> </w:t>
            </w:r>
            <w:r w:rsidRPr="0053423A">
              <w:rPr>
                <w:rFonts w:eastAsia="Calibri" w:cs="Times New Roman"/>
                <w:sz w:val="20"/>
                <w:szCs w:val="20"/>
              </w:rPr>
              <w:t>լիազորությունների</w:t>
            </w:r>
            <w:r w:rsidRPr="0053423A">
              <w:rPr>
                <w:rFonts w:eastAsia="Calibri" w:cs="Times New Roman"/>
                <w:sz w:val="20"/>
                <w:szCs w:val="20"/>
                <w:lang w:val="af-ZA"/>
              </w:rPr>
              <w:t xml:space="preserve">, </w:t>
            </w:r>
            <w:r w:rsidRPr="0053423A">
              <w:rPr>
                <w:rFonts w:eastAsia="Calibri" w:cs="Times New Roman"/>
                <w:sz w:val="20"/>
                <w:szCs w:val="20"/>
              </w:rPr>
              <w:t>այնպես</w:t>
            </w:r>
            <w:r w:rsidRPr="0053423A">
              <w:rPr>
                <w:rFonts w:eastAsia="Calibri" w:cs="Times New Roman"/>
                <w:sz w:val="20"/>
                <w:szCs w:val="20"/>
                <w:lang w:val="af-ZA"/>
              </w:rPr>
              <w:t xml:space="preserve"> </w:t>
            </w:r>
            <w:r w:rsidRPr="0053423A">
              <w:rPr>
                <w:rFonts w:eastAsia="Calibri" w:cs="Times New Roman"/>
                <w:sz w:val="20"/>
                <w:szCs w:val="20"/>
              </w:rPr>
              <w:t>էլ</w:t>
            </w:r>
            <w:r w:rsidRPr="0053423A">
              <w:rPr>
                <w:rFonts w:eastAsia="Calibri" w:cs="Times New Roman"/>
                <w:sz w:val="20"/>
                <w:szCs w:val="20"/>
                <w:lang w:val="af-ZA"/>
              </w:rPr>
              <w:t xml:space="preserve"> </w:t>
            </w:r>
            <w:r w:rsidRPr="0053423A">
              <w:rPr>
                <w:rFonts w:eastAsia="Calibri" w:cs="Times New Roman"/>
                <w:sz w:val="20"/>
                <w:szCs w:val="20"/>
              </w:rPr>
              <w:t>պատասխանատվության</w:t>
            </w:r>
            <w:r w:rsidRPr="0053423A">
              <w:rPr>
                <w:rFonts w:eastAsia="Calibri" w:cs="Times New Roman"/>
                <w:sz w:val="20"/>
                <w:szCs w:val="20"/>
                <w:lang w:val="af-ZA"/>
              </w:rPr>
              <w:t xml:space="preserve"> </w:t>
            </w:r>
            <w:r w:rsidRPr="0053423A">
              <w:rPr>
                <w:rFonts w:eastAsia="Calibri" w:cs="Times New Roman"/>
                <w:sz w:val="20"/>
                <w:szCs w:val="20"/>
              </w:rPr>
              <w:t>հստակ</w:t>
            </w:r>
            <w:r w:rsidRPr="0053423A">
              <w:rPr>
                <w:rFonts w:eastAsia="Calibri" w:cs="Times New Roman"/>
                <w:sz w:val="20"/>
                <w:szCs w:val="20"/>
                <w:lang w:val="af-ZA"/>
              </w:rPr>
              <w:t xml:space="preserve"> </w:t>
            </w:r>
            <w:r w:rsidRPr="0053423A">
              <w:rPr>
                <w:rFonts w:eastAsia="Calibri" w:cs="Times New Roman"/>
                <w:sz w:val="20"/>
                <w:szCs w:val="20"/>
              </w:rPr>
              <w:t>շրջանակները</w:t>
            </w:r>
            <w:r w:rsidRPr="0053423A">
              <w:rPr>
                <w:rFonts w:eastAsia="Calibri" w:cs="Times New Roman"/>
                <w:sz w:val="20"/>
                <w:szCs w:val="20"/>
                <w:lang w:val="af-ZA"/>
              </w:rPr>
              <w:t xml:space="preserve">: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lang w:val="af-ZA"/>
              </w:rPr>
              <w:t xml:space="preserve">2) </w:t>
            </w:r>
            <w:r w:rsidRPr="0053423A">
              <w:rPr>
                <w:rFonts w:eastAsia="Calibri" w:cs="Times New Roman"/>
                <w:sz w:val="20"/>
                <w:szCs w:val="20"/>
              </w:rPr>
              <w:t>Ընտանիքների</w:t>
            </w:r>
            <w:r w:rsidRPr="0053423A">
              <w:rPr>
                <w:rFonts w:eastAsia="Calibri" w:cs="Times New Roman"/>
                <w:sz w:val="20"/>
                <w:szCs w:val="20"/>
                <w:lang w:val="af-ZA"/>
              </w:rPr>
              <w:t xml:space="preserve"> </w:t>
            </w:r>
            <w:r w:rsidRPr="0053423A">
              <w:rPr>
                <w:rFonts w:eastAsia="Calibri" w:cs="Times New Roman"/>
                <w:sz w:val="20"/>
                <w:szCs w:val="20"/>
              </w:rPr>
              <w:t>անապահովության</w:t>
            </w:r>
            <w:r w:rsidRPr="0053423A">
              <w:rPr>
                <w:rFonts w:eastAsia="Calibri" w:cs="Times New Roman"/>
                <w:sz w:val="20"/>
                <w:szCs w:val="20"/>
                <w:lang w:val="af-ZA"/>
              </w:rPr>
              <w:t xml:space="preserve"> </w:t>
            </w:r>
            <w:r w:rsidRPr="0053423A">
              <w:rPr>
                <w:rFonts w:eastAsia="Calibri" w:cs="Times New Roman"/>
                <w:sz w:val="20"/>
                <w:szCs w:val="20"/>
              </w:rPr>
              <w:t>գնահատման</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նպաստների</w:t>
            </w:r>
            <w:r w:rsidRPr="0053423A">
              <w:rPr>
                <w:rFonts w:eastAsia="Calibri" w:cs="Times New Roman"/>
                <w:sz w:val="20"/>
                <w:szCs w:val="20"/>
                <w:lang w:val="af-ZA"/>
              </w:rPr>
              <w:t xml:space="preserve"> </w:t>
            </w:r>
            <w:r w:rsidRPr="0053423A">
              <w:rPr>
                <w:rFonts w:eastAsia="Calibri" w:cs="Times New Roman"/>
                <w:sz w:val="20"/>
                <w:szCs w:val="20"/>
              </w:rPr>
              <w:t>համակարգերը</w:t>
            </w:r>
            <w:r w:rsidRPr="0053423A">
              <w:rPr>
                <w:rFonts w:eastAsia="Calibri" w:cs="Times New Roman"/>
                <w:sz w:val="20"/>
                <w:szCs w:val="20"/>
                <w:lang w:val="af-ZA"/>
              </w:rPr>
              <w:t xml:space="preserve">, </w:t>
            </w:r>
            <w:r w:rsidRPr="0053423A">
              <w:rPr>
                <w:rFonts w:eastAsia="Calibri" w:cs="Times New Roman"/>
                <w:sz w:val="20"/>
                <w:szCs w:val="20"/>
              </w:rPr>
              <w:t>որպես</w:t>
            </w:r>
            <w:r w:rsidRPr="0053423A">
              <w:rPr>
                <w:rFonts w:eastAsia="Calibri" w:cs="Times New Roman"/>
                <w:sz w:val="20"/>
                <w:szCs w:val="20"/>
                <w:lang w:val="af-ZA"/>
              </w:rPr>
              <w:t xml:space="preserve"> </w:t>
            </w:r>
            <w:r w:rsidRPr="0053423A">
              <w:rPr>
                <w:rFonts w:eastAsia="Calibri" w:cs="Times New Roman"/>
                <w:sz w:val="20"/>
                <w:szCs w:val="20"/>
              </w:rPr>
              <w:t>ընտանիքի</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գնահատման</w:t>
            </w:r>
            <w:r w:rsidRPr="0053423A">
              <w:rPr>
                <w:rFonts w:eastAsia="Calibri" w:cs="Times New Roman"/>
                <w:sz w:val="20"/>
                <w:szCs w:val="20"/>
                <w:lang w:val="af-ZA"/>
              </w:rPr>
              <w:t xml:space="preserve"> </w:t>
            </w:r>
            <w:r w:rsidRPr="0053423A">
              <w:rPr>
                <w:rFonts w:eastAsia="Calibri" w:cs="Times New Roman"/>
                <w:sz w:val="20"/>
                <w:szCs w:val="20"/>
              </w:rPr>
              <w:t>առանձին</w:t>
            </w:r>
            <w:r w:rsidRPr="0053423A">
              <w:rPr>
                <w:rFonts w:eastAsia="Calibri" w:cs="Times New Roman"/>
                <w:sz w:val="20"/>
                <w:szCs w:val="20"/>
                <w:lang w:val="af-ZA"/>
              </w:rPr>
              <w:t xml:space="preserve"> </w:t>
            </w:r>
            <w:r w:rsidRPr="0053423A">
              <w:rPr>
                <w:rFonts w:eastAsia="Calibri" w:cs="Times New Roman"/>
                <w:sz w:val="20"/>
                <w:szCs w:val="20"/>
              </w:rPr>
              <w:t>բաղադրիչ</w:t>
            </w:r>
            <w:r w:rsidRPr="0053423A">
              <w:rPr>
                <w:rFonts w:eastAsia="Calibri" w:cs="Times New Roman"/>
                <w:sz w:val="20"/>
                <w:szCs w:val="20"/>
                <w:lang w:val="af-ZA"/>
              </w:rPr>
              <w:t xml:space="preserve">, </w:t>
            </w:r>
            <w:r w:rsidRPr="0053423A">
              <w:rPr>
                <w:rFonts w:eastAsia="Calibri" w:cs="Times New Roman"/>
                <w:sz w:val="20"/>
                <w:szCs w:val="20"/>
              </w:rPr>
              <w:t>զուգահեռելով</w:t>
            </w:r>
            <w:r w:rsidRPr="0053423A">
              <w:rPr>
                <w:rFonts w:eastAsia="Calibri" w:cs="Times New Roman"/>
                <w:sz w:val="20"/>
                <w:szCs w:val="20"/>
                <w:lang w:val="af-ZA"/>
              </w:rPr>
              <w:t xml:space="preserve"> </w:t>
            </w:r>
            <w:r w:rsidRPr="0053423A">
              <w:rPr>
                <w:rFonts w:eastAsia="Calibri" w:cs="Times New Roman"/>
                <w:sz w:val="20"/>
                <w:szCs w:val="20"/>
              </w:rPr>
              <w:t>թիրախային</w:t>
            </w:r>
            <w:r w:rsidRPr="0053423A">
              <w:rPr>
                <w:rFonts w:eastAsia="Calibri" w:cs="Times New Roman"/>
                <w:sz w:val="20"/>
                <w:szCs w:val="20"/>
                <w:lang w:val="af-ZA"/>
              </w:rPr>
              <w:t xml:space="preserve">  </w:t>
            </w:r>
            <w:r w:rsidRPr="0053423A">
              <w:rPr>
                <w:rFonts w:eastAsia="Calibri" w:cs="Times New Roman"/>
                <w:sz w:val="20"/>
                <w:szCs w:val="20"/>
              </w:rPr>
              <w:t>մեխանիզմներով</w:t>
            </w:r>
            <w:r w:rsidRPr="0053423A">
              <w:rPr>
                <w:rFonts w:eastAsia="Calibri" w:cs="Times New Roman"/>
                <w:sz w:val="20"/>
                <w:szCs w:val="20"/>
                <w:lang w:val="af-ZA"/>
              </w:rPr>
              <w:t xml:space="preserve"> </w:t>
            </w:r>
            <w:r w:rsidRPr="0053423A">
              <w:rPr>
                <w:rFonts w:eastAsia="Calibri" w:cs="Times New Roman"/>
                <w:sz w:val="20"/>
                <w:szCs w:val="20"/>
              </w:rPr>
              <w:t>հայտնաբերված</w:t>
            </w:r>
            <w:r w:rsidRPr="0053423A">
              <w:rPr>
                <w:rFonts w:eastAsia="Calibri" w:cs="Times New Roman"/>
                <w:sz w:val="20"/>
                <w:szCs w:val="20"/>
                <w:lang w:val="af-ZA"/>
              </w:rPr>
              <w:t xml:space="preserve"> </w:t>
            </w:r>
            <w:r w:rsidRPr="0053423A">
              <w:rPr>
                <w:rFonts w:eastAsia="Calibri" w:cs="Times New Roman"/>
                <w:sz w:val="20"/>
                <w:szCs w:val="20"/>
              </w:rPr>
              <w:t>ծայրահեղ</w:t>
            </w:r>
            <w:r w:rsidRPr="0053423A">
              <w:rPr>
                <w:rFonts w:eastAsia="Calibri" w:cs="Times New Roman"/>
                <w:sz w:val="20"/>
                <w:szCs w:val="20"/>
                <w:lang w:val="af-ZA"/>
              </w:rPr>
              <w:t xml:space="preserve"> </w:t>
            </w:r>
            <w:r w:rsidRPr="0053423A">
              <w:rPr>
                <w:rFonts w:eastAsia="Calibri" w:cs="Times New Roman"/>
                <w:sz w:val="20"/>
                <w:szCs w:val="20"/>
              </w:rPr>
              <w:t>աղքատ</w:t>
            </w:r>
            <w:r w:rsidRPr="0053423A">
              <w:rPr>
                <w:rFonts w:eastAsia="Calibri" w:cs="Times New Roman"/>
                <w:sz w:val="20"/>
                <w:szCs w:val="20"/>
                <w:lang w:val="af-ZA"/>
              </w:rPr>
              <w:t xml:space="preserve"> </w:t>
            </w:r>
            <w:r w:rsidRPr="0053423A">
              <w:rPr>
                <w:rFonts w:eastAsia="Calibri" w:cs="Times New Roman"/>
                <w:sz w:val="20"/>
                <w:szCs w:val="20"/>
              </w:rPr>
              <w:t>ընտանիքների</w:t>
            </w:r>
            <w:r w:rsidRPr="0053423A">
              <w:rPr>
                <w:rFonts w:eastAsia="Calibri" w:cs="Times New Roman"/>
                <w:sz w:val="20"/>
                <w:szCs w:val="20"/>
                <w:lang w:val="af-ZA"/>
              </w:rPr>
              <w:t xml:space="preserve"> </w:t>
            </w:r>
            <w:r w:rsidRPr="0053423A">
              <w:rPr>
                <w:rFonts w:eastAsia="Calibri" w:cs="Times New Roman"/>
                <w:sz w:val="20"/>
                <w:szCs w:val="20"/>
              </w:rPr>
              <w:t>հետ</w:t>
            </w:r>
            <w:r w:rsidRPr="0053423A">
              <w:rPr>
                <w:rFonts w:eastAsia="Calibri" w:cs="Times New Roman"/>
                <w:sz w:val="20"/>
                <w:szCs w:val="20"/>
                <w:lang w:val="af-ZA"/>
              </w:rPr>
              <w:t xml:space="preserve">, </w:t>
            </w:r>
            <w:r w:rsidRPr="0053423A">
              <w:rPr>
                <w:rFonts w:eastAsia="Calibri" w:cs="Times New Roman"/>
                <w:sz w:val="20"/>
                <w:szCs w:val="20"/>
              </w:rPr>
              <w:t>հնարավորություն</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ընձեռելու</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աշխատողներին՝</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աջակցության</w:t>
            </w:r>
            <w:r w:rsidRPr="0053423A">
              <w:rPr>
                <w:rFonts w:eastAsia="Calibri" w:cs="Times New Roman"/>
                <w:sz w:val="20"/>
                <w:szCs w:val="20"/>
                <w:lang w:val="af-ZA"/>
              </w:rPr>
              <w:t xml:space="preserve"> </w:t>
            </w:r>
            <w:r w:rsidRPr="0053423A">
              <w:rPr>
                <w:rFonts w:eastAsia="Calibri" w:cs="Times New Roman"/>
                <w:sz w:val="20"/>
                <w:szCs w:val="20"/>
              </w:rPr>
              <w:t>ծառայությունները</w:t>
            </w:r>
            <w:r w:rsidRPr="0053423A">
              <w:rPr>
                <w:rFonts w:eastAsia="Calibri" w:cs="Times New Roman"/>
                <w:sz w:val="20"/>
                <w:szCs w:val="20"/>
                <w:lang w:val="af-ZA"/>
              </w:rPr>
              <w:t xml:space="preserve"> </w:t>
            </w:r>
            <w:r w:rsidRPr="0053423A">
              <w:rPr>
                <w:rFonts w:eastAsia="Calibri" w:cs="Times New Roman"/>
                <w:sz w:val="20"/>
                <w:szCs w:val="20"/>
              </w:rPr>
              <w:t>կապել</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պաշտպանության</w:t>
            </w:r>
            <w:r w:rsidRPr="0053423A">
              <w:rPr>
                <w:rFonts w:eastAsia="Calibri" w:cs="Times New Roman"/>
                <w:sz w:val="20"/>
                <w:szCs w:val="20"/>
                <w:lang w:val="af-ZA"/>
              </w:rPr>
              <w:t xml:space="preserve">, </w:t>
            </w:r>
            <w:r w:rsidRPr="0053423A">
              <w:rPr>
                <w:rFonts w:eastAsia="Calibri" w:cs="Times New Roman"/>
                <w:sz w:val="20"/>
                <w:szCs w:val="20"/>
              </w:rPr>
              <w:t>առավելապես</w:t>
            </w:r>
            <w:r w:rsidRPr="0053423A">
              <w:rPr>
                <w:rFonts w:eastAsia="Calibri" w:cs="Times New Roman"/>
                <w:sz w:val="20"/>
                <w:szCs w:val="20"/>
                <w:lang w:val="af-ZA"/>
              </w:rPr>
              <w:t xml:space="preserve"> </w:t>
            </w:r>
            <w:r w:rsidRPr="0053423A">
              <w:rPr>
                <w:rFonts w:eastAsia="Calibri" w:cs="Times New Roman"/>
                <w:sz w:val="20"/>
                <w:szCs w:val="20"/>
              </w:rPr>
              <w:t>ակտիվ</w:t>
            </w:r>
            <w:r w:rsidRPr="0053423A">
              <w:rPr>
                <w:rFonts w:eastAsia="Calibri" w:cs="Times New Roman"/>
                <w:sz w:val="20"/>
                <w:szCs w:val="20"/>
                <w:lang w:val="af-ZA"/>
              </w:rPr>
              <w:t xml:space="preserve"> </w:t>
            </w:r>
            <w:r w:rsidRPr="0053423A">
              <w:rPr>
                <w:rFonts w:eastAsia="Calibri" w:cs="Times New Roman"/>
                <w:sz w:val="20"/>
                <w:szCs w:val="20"/>
              </w:rPr>
              <w:t>աշխատաշուկայի</w:t>
            </w:r>
            <w:r w:rsidRPr="0053423A">
              <w:rPr>
                <w:rFonts w:eastAsia="Calibri" w:cs="Times New Roman"/>
                <w:sz w:val="20"/>
                <w:szCs w:val="20"/>
                <w:lang w:val="af-ZA"/>
              </w:rPr>
              <w:t xml:space="preserve"> </w:t>
            </w:r>
            <w:r w:rsidRPr="0053423A">
              <w:rPr>
                <w:rFonts w:eastAsia="Calibri" w:cs="Times New Roman"/>
                <w:sz w:val="20"/>
                <w:szCs w:val="20"/>
              </w:rPr>
              <w:t>քաղաքականության</w:t>
            </w:r>
            <w:r w:rsidRPr="0053423A">
              <w:rPr>
                <w:rFonts w:eastAsia="Calibri" w:cs="Times New Roman"/>
                <w:sz w:val="20"/>
                <w:szCs w:val="20"/>
                <w:lang w:val="af-ZA"/>
              </w:rPr>
              <w:t xml:space="preserve">, </w:t>
            </w:r>
            <w:r w:rsidRPr="0053423A">
              <w:rPr>
                <w:rFonts w:eastAsia="Calibri" w:cs="Times New Roman"/>
                <w:sz w:val="20"/>
                <w:szCs w:val="20"/>
              </w:rPr>
              <w:t>ինչպես</w:t>
            </w:r>
            <w:r w:rsidRPr="0053423A">
              <w:rPr>
                <w:rFonts w:eastAsia="Calibri" w:cs="Times New Roman"/>
                <w:sz w:val="20"/>
                <w:szCs w:val="20"/>
                <w:lang w:val="af-ZA"/>
              </w:rPr>
              <w:t xml:space="preserve"> </w:t>
            </w:r>
            <w:r w:rsidRPr="0053423A">
              <w:rPr>
                <w:rFonts w:eastAsia="Calibri" w:cs="Times New Roman"/>
                <w:sz w:val="20"/>
                <w:szCs w:val="20"/>
              </w:rPr>
              <w:t>նաև</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խնամքի</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աջակցության</w:t>
            </w:r>
            <w:r w:rsidRPr="0053423A">
              <w:rPr>
                <w:rFonts w:eastAsia="Calibri" w:cs="Times New Roman"/>
                <w:sz w:val="20"/>
                <w:szCs w:val="20"/>
                <w:lang w:val="af-ZA"/>
              </w:rPr>
              <w:t xml:space="preserve"> </w:t>
            </w:r>
            <w:r w:rsidRPr="0053423A">
              <w:rPr>
                <w:rFonts w:eastAsia="Calibri" w:cs="Times New Roman"/>
                <w:sz w:val="20"/>
                <w:szCs w:val="20"/>
              </w:rPr>
              <w:t>ծառայությունների</w:t>
            </w:r>
            <w:r w:rsidRPr="0053423A">
              <w:rPr>
                <w:rFonts w:eastAsia="Calibri" w:cs="Times New Roman"/>
                <w:sz w:val="20"/>
                <w:szCs w:val="20"/>
                <w:lang w:val="af-ZA"/>
              </w:rPr>
              <w:t xml:space="preserve"> </w:t>
            </w:r>
            <w:r w:rsidRPr="0053423A">
              <w:rPr>
                <w:rFonts w:eastAsia="Calibri" w:cs="Times New Roman"/>
                <w:sz w:val="20"/>
                <w:szCs w:val="20"/>
              </w:rPr>
              <w:t>հետ</w:t>
            </w:r>
            <w:r w:rsidRPr="0053423A">
              <w:rPr>
                <w:rFonts w:eastAsia="Calibri" w:cs="Times New Roman"/>
                <w:sz w:val="20"/>
                <w:szCs w:val="20"/>
                <w:lang w:val="af-ZA"/>
              </w:rPr>
              <w:t xml:space="preserve">, </w:t>
            </w:r>
            <w:r w:rsidRPr="0053423A">
              <w:rPr>
                <w:rFonts w:eastAsia="Calibri" w:cs="Times New Roman"/>
                <w:sz w:val="20"/>
                <w:szCs w:val="20"/>
              </w:rPr>
              <w:t>դրանք</w:t>
            </w:r>
            <w:r w:rsidRPr="0053423A">
              <w:rPr>
                <w:rFonts w:eastAsia="Calibri" w:cs="Times New Roman"/>
                <w:sz w:val="20"/>
                <w:szCs w:val="20"/>
                <w:lang w:val="af-ZA"/>
              </w:rPr>
              <w:t xml:space="preserve"> </w:t>
            </w:r>
            <w:r w:rsidRPr="0053423A">
              <w:rPr>
                <w:rFonts w:eastAsia="Calibri" w:cs="Times New Roman"/>
                <w:sz w:val="20"/>
                <w:szCs w:val="20"/>
              </w:rPr>
              <w:t>համակարգված</w:t>
            </w:r>
            <w:r w:rsidRPr="0053423A">
              <w:rPr>
                <w:rFonts w:eastAsia="Calibri" w:cs="Times New Roman"/>
                <w:sz w:val="20"/>
                <w:szCs w:val="20"/>
                <w:lang w:val="af-ZA"/>
              </w:rPr>
              <w:t xml:space="preserve">, </w:t>
            </w:r>
            <w:r w:rsidRPr="0053423A">
              <w:rPr>
                <w:rFonts w:eastAsia="Calibri" w:cs="Times New Roman"/>
                <w:sz w:val="20"/>
                <w:szCs w:val="20"/>
              </w:rPr>
              <w:t>ըստ</w:t>
            </w:r>
            <w:r w:rsidRPr="0053423A">
              <w:rPr>
                <w:rFonts w:eastAsia="Calibri" w:cs="Times New Roman"/>
                <w:sz w:val="20"/>
                <w:szCs w:val="20"/>
                <w:lang w:val="af-ZA"/>
              </w:rPr>
              <w:t xml:space="preserve"> </w:t>
            </w:r>
            <w:r w:rsidRPr="0053423A">
              <w:rPr>
                <w:rFonts w:eastAsia="Calibri" w:cs="Times New Roman"/>
                <w:sz w:val="20"/>
                <w:szCs w:val="20"/>
              </w:rPr>
              <w:t>ընտանիքի</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կարիքների</w:t>
            </w:r>
            <w:r w:rsidRPr="0053423A">
              <w:rPr>
                <w:rFonts w:eastAsia="Calibri" w:cs="Times New Roman"/>
                <w:sz w:val="20"/>
                <w:szCs w:val="20"/>
                <w:lang w:val="af-ZA"/>
              </w:rPr>
              <w:t xml:space="preserve">, </w:t>
            </w:r>
            <w:r w:rsidRPr="0053423A">
              <w:rPr>
                <w:rFonts w:eastAsia="Calibri" w:cs="Times New Roman"/>
                <w:sz w:val="20"/>
                <w:szCs w:val="20"/>
              </w:rPr>
              <w:t>փաթեթով</w:t>
            </w:r>
            <w:r w:rsidRPr="0053423A">
              <w:rPr>
                <w:rFonts w:eastAsia="Calibri" w:cs="Times New Roman"/>
                <w:sz w:val="20"/>
                <w:szCs w:val="20"/>
                <w:lang w:val="af-ZA"/>
              </w:rPr>
              <w:t xml:space="preserve"> </w:t>
            </w:r>
            <w:r w:rsidRPr="0053423A">
              <w:rPr>
                <w:rFonts w:eastAsia="Calibri" w:cs="Times New Roman"/>
                <w:sz w:val="20"/>
                <w:szCs w:val="20"/>
              </w:rPr>
              <w:t>տրամադրել՝</w:t>
            </w:r>
            <w:r w:rsidRPr="0053423A">
              <w:rPr>
                <w:rFonts w:eastAsia="Calibri" w:cs="Times New Roman"/>
                <w:sz w:val="20"/>
                <w:szCs w:val="20"/>
                <w:lang w:val="af-ZA"/>
              </w:rPr>
              <w:t xml:space="preserve"> </w:t>
            </w:r>
            <w:r w:rsidRPr="0053423A">
              <w:rPr>
                <w:rFonts w:eastAsia="Calibri" w:cs="Times New Roman"/>
                <w:sz w:val="20"/>
                <w:szCs w:val="20"/>
              </w:rPr>
              <w:t>զարգացնելով</w:t>
            </w:r>
            <w:r w:rsidRPr="0053423A">
              <w:rPr>
                <w:rFonts w:eastAsia="Calibri" w:cs="Times New Roman"/>
                <w:sz w:val="20"/>
                <w:szCs w:val="20"/>
                <w:lang w:val="af-ZA"/>
              </w:rPr>
              <w:t xml:space="preserve"> </w:t>
            </w:r>
            <w:r w:rsidRPr="0053423A">
              <w:rPr>
                <w:rFonts w:eastAsia="Calibri" w:cs="Times New Roman"/>
                <w:sz w:val="20"/>
                <w:szCs w:val="20"/>
              </w:rPr>
              <w:t>այդ</w:t>
            </w:r>
            <w:r w:rsidRPr="0053423A">
              <w:rPr>
                <w:rFonts w:eastAsia="Calibri" w:cs="Times New Roman"/>
                <w:sz w:val="20"/>
                <w:szCs w:val="20"/>
                <w:lang w:val="af-ZA"/>
              </w:rPr>
              <w:t xml:space="preserve"> </w:t>
            </w:r>
            <w:r w:rsidRPr="0053423A">
              <w:rPr>
                <w:rFonts w:eastAsia="Calibri" w:cs="Times New Roman"/>
                <w:sz w:val="20"/>
                <w:szCs w:val="20"/>
              </w:rPr>
              <w:t>ընտանիքների</w:t>
            </w:r>
            <w:r w:rsidRPr="0053423A">
              <w:rPr>
                <w:rFonts w:eastAsia="Calibri" w:cs="Times New Roman"/>
                <w:sz w:val="20"/>
                <w:szCs w:val="20"/>
                <w:lang w:val="af-ZA"/>
              </w:rPr>
              <w:t xml:space="preserve"> </w:t>
            </w:r>
            <w:r w:rsidRPr="0053423A">
              <w:rPr>
                <w:rFonts w:eastAsia="Calibri" w:cs="Times New Roman"/>
                <w:sz w:val="20"/>
                <w:szCs w:val="20"/>
              </w:rPr>
              <w:t>աշխատանքային</w:t>
            </w:r>
            <w:r w:rsidRPr="0053423A">
              <w:rPr>
                <w:rFonts w:eastAsia="Calibri" w:cs="Times New Roman"/>
                <w:sz w:val="20"/>
                <w:szCs w:val="20"/>
                <w:lang w:val="af-ZA"/>
              </w:rPr>
              <w:t xml:space="preserve"> </w:t>
            </w:r>
            <w:r w:rsidRPr="0053423A">
              <w:rPr>
                <w:rFonts w:eastAsia="Calibri" w:cs="Times New Roman"/>
                <w:sz w:val="20"/>
                <w:szCs w:val="20"/>
              </w:rPr>
              <w:t>տնտեսական</w:t>
            </w:r>
            <w:r w:rsidRPr="0053423A">
              <w:rPr>
                <w:rFonts w:eastAsia="Calibri" w:cs="Times New Roman"/>
                <w:sz w:val="20"/>
                <w:szCs w:val="20"/>
                <w:lang w:val="af-ZA"/>
              </w:rPr>
              <w:t xml:space="preserve"> </w:t>
            </w:r>
            <w:r w:rsidRPr="0053423A">
              <w:rPr>
                <w:rFonts w:eastAsia="Calibri" w:cs="Times New Roman"/>
                <w:sz w:val="20"/>
                <w:szCs w:val="20"/>
              </w:rPr>
              <w:t>ներուժը</w:t>
            </w:r>
            <w:r w:rsidRPr="0053423A">
              <w:rPr>
                <w:rFonts w:eastAsia="Calibri" w:cs="Times New Roman"/>
                <w:sz w:val="20"/>
                <w:szCs w:val="20"/>
                <w:lang w:val="af-ZA"/>
              </w:rPr>
              <w:t>:</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lang w:val="af-ZA"/>
              </w:rPr>
              <w:t xml:space="preserve">3) </w:t>
            </w:r>
            <w:r w:rsidRPr="0053423A">
              <w:rPr>
                <w:rFonts w:eastAsia="Calibri" w:cs="Times New Roman"/>
                <w:sz w:val="20"/>
                <w:szCs w:val="20"/>
              </w:rPr>
              <w:t>Տնտեսության</w:t>
            </w:r>
            <w:r w:rsidRPr="0053423A">
              <w:rPr>
                <w:rFonts w:eastAsia="Calibri" w:cs="Times New Roman"/>
                <w:sz w:val="20"/>
                <w:szCs w:val="20"/>
                <w:lang w:val="af-ZA"/>
              </w:rPr>
              <w:t xml:space="preserve"> </w:t>
            </w:r>
            <w:r w:rsidRPr="0053423A">
              <w:rPr>
                <w:rFonts w:eastAsia="Calibri" w:cs="Times New Roman"/>
                <w:sz w:val="20"/>
                <w:szCs w:val="20"/>
              </w:rPr>
              <w:t>փոփոխությունները</w:t>
            </w:r>
            <w:r w:rsidRPr="0053423A">
              <w:rPr>
                <w:rFonts w:eastAsia="Calibri" w:cs="Times New Roman"/>
                <w:sz w:val="20"/>
                <w:szCs w:val="20"/>
                <w:lang w:val="af-ZA"/>
              </w:rPr>
              <w:t xml:space="preserve"> (</w:t>
            </w:r>
            <w:r w:rsidRPr="0053423A">
              <w:rPr>
                <w:rFonts w:eastAsia="Calibri" w:cs="Times New Roman"/>
                <w:sz w:val="20"/>
                <w:szCs w:val="20"/>
              </w:rPr>
              <w:t>զարգացում</w:t>
            </w:r>
            <w:r w:rsidRPr="0053423A">
              <w:rPr>
                <w:rFonts w:eastAsia="Calibri" w:cs="Times New Roman"/>
                <w:sz w:val="20"/>
                <w:szCs w:val="20"/>
                <w:lang w:val="af-ZA"/>
              </w:rPr>
              <w:t xml:space="preserve">, </w:t>
            </w:r>
            <w:r w:rsidRPr="0053423A">
              <w:rPr>
                <w:rFonts w:eastAsia="Calibri" w:cs="Times New Roman"/>
                <w:sz w:val="20"/>
                <w:szCs w:val="20"/>
              </w:rPr>
              <w:t>անկում</w:t>
            </w:r>
            <w:r w:rsidRPr="0053423A">
              <w:rPr>
                <w:rFonts w:eastAsia="Calibri" w:cs="Times New Roman"/>
                <w:sz w:val="20"/>
                <w:szCs w:val="20"/>
                <w:lang w:val="af-ZA"/>
              </w:rPr>
              <w:t xml:space="preserve">, </w:t>
            </w:r>
            <w:r w:rsidRPr="0053423A">
              <w:rPr>
                <w:rFonts w:eastAsia="Calibri" w:cs="Times New Roman"/>
                <w:sz w:val="20"/>
                <w:szCs w:val="20"/>
              </w:rPr>
              <w:t>ճգնաժամ</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այլն</w:t>
            </w:r>
            <w:r w:rsidRPr="0053423A">
              <w:rPr>
                <w:rFonts w:eastAsia="Calibri" w:cs="Times New Roman"/>
                <w:sz w:val="20"/>
                <w:szCs w:val="20"/>
                <w:lang w:val="af-ZA"/>
              </w:rPr>
              <w:t xml:space="preserve">) </w:t>
            </w:r>
            <w:r w:rsidRPr="0053423A">
              <w:rPr>
                <w:rFonts w:eastAsia="Calibri" w:cs="Times New Roman"/>
                <w:sz w:val="20"/>
                <w:szCs w:val="20"/>
              </w:rPr>
              <w:t>հանգեցնում</w:t>
            </w:r>
            <w:r w:rsidRPr="0053423A">
              <w:rPr>
                <w:rFonts w:eastAsia="Calibri" w:cs="Times New Roman"/>
                <w:sz w:val="20"/>
                <w:szCs w:val="20"/>
                <w:lang w:val="af-ZA"/>
              </w:rPr>
              <w:t xml:space="preserve"> </w:t>
            </w:r>
            <w:r w:rsidRPr="0053423A">
              <w:rPr>
                <w:rFonts w:eastAsia="Calibri" w:cs="Times New Roman"/>
                <w:sz w:val="20"/>
                <w:szCs w:val="20"/>
              </w:rPr>
              <w:t>են</w:t>
            </w:r>
            <w:r w:rsidRPr="0053423A">
              <w:rPr>
                <w:rFonts w:eastAsia="Calibri" w:cs="Times New Roman"/>
                <w:sz w:val="20"/>
                <w:szCs w:val="20"/>
                <w:lang w:val="af-ZA"/>
              </w:rPr>
              <w:t xml:space="preserve"> </w:t>
            </w:r>
            <w:r w:rsidRPr="0053423A">
              <w:rPr>
                <w:rFonts w:eastAsia="Calibri" w:cs="Times New Roman"/>
                <w:sz w:val="20"/>
                <w:szCs w:val="20"/>
              </w:rPr>
              <w:t>ընտանիքների</w:t>
            </w:r>
            <w:r w:rsidRPr="0053423A">
              <w:rPr>
                <w:rFonts w:eastAsia="Calibri" w:cs="Times New Roman"/>
                <w:sz w:val="20"/>
                <w:szCs w:val="20"/>
                <w:lang w:val="af-ZA"/>
              </w:rPr>
              <w:t xml:space="preserve"> </w:t>
            </w:r>
            <w:r w:rsidRPr="0053423A">
              <w:rPr>
                <w:rFonts w:eastAsia="Calibri" w:cs="Times New Roman"/>
                <w:sz w:val="20"/>
                <w:szCs w:val="20"/>
              </w:rPr>
              <w:t>աղքատացման</w:t>
            </w:r>
            <w:r w:rsidRPr="0053423A">
              <w:rPr>
                <w:rFonts w:eastAsia="Calibri" w:cs="Times New Roman"/>
                <w:sz w:val="20"/>
                <w:szCs w:val="20"/>
                <w:lang w:val="af-ZA"/>
              </w:rPr>
              <w:t xml:space="preserve"> </w:t>
            </w:r>
            <w:r w:rsidRPr="0053423A">
              <w:rPr>
                <w:rFonts w:eastAsia="Calibri" w:cs="Times New Roman"/>
                <w:sz w:val="20"/>
                <w:szCs w:val="20"/>
              </w:rPr>
              <w:t>կամ</w:t>
            </w:r>
            <w:r w:rsidRPr="0053423A">
              <w:rPr>
                <w:rFonts w:eastAsia="Calibri" w:cs="Times New Roman"/>
                <w:sz w:val="20"/>
                <w:szCs w:val="20"/>
                <w:lang w:val="af-ZA"/>
              </w:rPr>
              <w:t xml:space="preserve"> </w:t>
            </w:r>
            <w:r w:rsidRPr="0053423A">
              <w:rPr>
                <w:rFonts w:eastAsia="Calibri" w:cs="Times New Roman"/>
                <w:sz w:val="20"/>
                <w:szCs w:val="20"/>
              </w:rPr>
              <w:t>աղքատությունից</w:t>
            </w:r>
            <w:r w:rsidRPr="0053423A">
              <w:rPr>
                <w:rFonts w:eastAsia="Calibri" w:cs="Times New Roman"/>
                <w:sz w:val="20"/>
                <w:szCs w:val="20"/>
                <w:lang w:val="af-ZA"/>
              </w:rPr>
              <w:t xml:space="preserve"> </w:t>
            </w:r>
            <w:r w:rsidRPr="0053423A">
              <w:rPr>
                <w:rFonts w:eastAsia="Calibri" w:cs="Times New Roman"/>
                <w:sz w:val="20"/>
                <w:szCs w:val="20"/>
              </w:rPr>
              <w:t>դուրս</w:t>
            </w:r>
            <w:r w:rsidRPr="0053423A">
              <w:rPr>
                <w:rFonts w:eastAsia="Calibri" w:cs="Times New Roman"/>
                <w:sz w:val="20"/>
                <w:szCs w:val="20"/>
                <w:lang w:val="af-ZA"/>
              </w:rPr>
              <w:t xml:space="preserve"> </w:t>
            </w:r>
            <w:r w:rsidRPr="0053423A">
              <w:rPr>
                <w:rFonts w:eastAsia="Calibri" w:cs="Times New Roman"/>
                <w:sz w:val="20"/>
                <w:szCs w:val="20"/>
              </w:rPr>
              <w:t>գալու</w:t>
            </w:r>
            <w:r w:rsidRPr="0053423A">
              <w:rPr>
                <w:rFonts w:eastAsia="Calibri" w:cs="Times New Roman"/>
                <w:sz w:val="20"/>
                <w:szCs w:val="20"/>
                <w:lang w:val="af-ZA"/>
              </w:rPr>
              <w:t xml:space="preserve"> </w:t>
            </w:r>
            <w:r w:rsidRPr="0053423A">
              <w:rPr>
                <w:rFonts w:eastAsia="Calibri" w:cs="Times New Roman"/>
                <w:sz w:val="20"/>
                <w:szCs w:val="20"/>
              </w:rPr>
              <w:t>հարցում</w:t>
            </w:r>
            <w:r w:rsidRPr="0053423A">
              <w:rPr>
                <w:rFonts w:eastAsia="Calibri" w:cs="Times New Roman"/>
                <w:sz w:val="20"/>
                <w:szCs w:val="20"/>
                <w:lang w:val="af-ZA"/>
              </w:rPr>
              <w:t xml:space="preserve"> </w:t>
            </w:r>
            <w:r w:rsidRPr="0053423A">
              <w:rPr>
                <w:rFonts w:eastAsia="Calibri" w:cs="Times New Roman"/>
                <w:sz w:val="20"/>
                <w:szCs w:val="20"/>
              </w:rPr>
              <w:t>նշանակություն</w:t>
            </w:r>
            <w:r w:rsidRPr="0053423A">
              <w:rPr>
                <w:rFonts w:eastAsia="Calibri" w:cs="Times New Roman"/>
                <w:sz w:val="20"/>
                <w:szCs w:val="20"/>
                <w:lang w:val="af-ZA"/>
              </w:rPr>
              <w:t xml:space="preserve"> </w:t>
            </w:r>
            <w:r w:rsidRPr="0053423A">
              <w:rPr>
                <w:rFonts w:eastAsia="Calibri" w:cs="Times New Roman"/>
                <w:sz w:val="20"/>
                <w:szCs w:val="20"/>
              </w:rPr>
              <w:t>ունեցող</w:t>
            </w:r>
            <w:r w:rsidRPr="0053423A">
              <w:rPr>
                <w:rFonts w:eastAsia="Calibri" w:cs="Times New Roman"/>
                <w:sz w:val="20"/>
                <w:szCs w:val="20"/>
                <w:lang w:val="af-ZA"/>
              </w:rPr>
              <w:t xml:space="preserve"> </w:t>
            </w:r>
            <w:r w:rsidRPr="0053423A">
              <w:rPr>
                <w:rFonts w:eastAsia="Calibri" w:cs="Times New Roman"/>
                <w:sz w:val="20"/>
                <w:szCs w:val="20"/>
              </w:rPr>
              <w:t>որոշակի</w:t>
            </w:r>
            <w:r w:rsidRPr="0053423A">
              <w:rPr>
                <w:rFonts w:eastAsia="Calibri" w:cs="Times New Roman"/>
                <w:sz w:val="20"/>
                <w:szCs w:val="20"/>
                <w:lang w:val="af-ZA"/>
              </w:rPr>
              <w:t xml:space="preserve"> </w:t>
            </w:r>
            <w:r w:rsidRPr="0053423A">
              <w:rPr>
                <w:rFonts w:eastAsia="Calibri" w:cs="Times New Roman"/>
                <w:sz w:val="20"/>
                <w:szCs w:val="20"/>
              </w:rPr>
              <w:t>հանգամանքների</w:t>
            </w:r>
            <w:r w:rsidRPr="0053423A">
              <w:rPr>
                <w:rFonts w:eastAsia="Calibri" w:cs="Times New Roman"/>
                <w:sz w:val="20"/>
                <w:szCs w:val="20"/>
                <w:lang w:val="af-ZA"/>
              </w:rPr>
              <w:t xml:space="preserve"> </w:t>
            </w:r>
            <w:r w:rsidRPr="0053423A">
              <w:rPr>
                <w:rFonts w:eastAsia="Calibri" w:cs="Times New Roman"/>
                <w:sz w:val="20"/>
                <w:szCs w:val="20"/>
              </w:rPr>
              <w:t>ազդեցության</w:t>
            </w:r>
            <w:r w:rsidRPr="0053423A">
              <w:rPr>
                <w:rFonts w:eastAsia="Calibri" w:cs="Times New Roman"/>
                <w:sz w:val="20"/>
                <w:szCs w:val="20"/>
                <w:lang w:val="af-ZA"/>
              </w:rPr>
              <w:t xml:space="preserve"> </w:t>
            </w:r>
            <w:r w:rsidRPr="0053423A">
              <w:rPr>
                <w:rFonts w:eastAsia="Calibri" w:cs="Times New Roman"/>
                <w:sz w:val="20"/>
                <w:szCs w:val="20"/>
              </w:rPr>
              <w:t>կշռի</w:t>
            </w:r>
            <w:r w:rsidRPr="0053423A">
              <w:rPr>
                <w:rFonts w:eastAsia="Calibri" w:cs="Times New Roman"/>
                <w:sz w:val="20"/>
                <w:szCs w:val="20"/>
                <w:lang w:val="af-ZA"/>
              </w:rPr>
              <w:t xml:space="preserve"> </w:t>
            </w:r>
            <w:r w:rsidRPr="0053423A">
              <w:rPr>
                <w:rFonts w:eastAsia="Calibri" w:cs="Times New Roman"/>
                <w:sz w:val="20"/>
                <w:szCs w:val="20"/>
              </w:rPr>
              <w:t>փոփոխության</w:t>
            </w:r>
            <w:r w:rsidRPr="0053423A">
              <w:rPr>
                <w:rFonts w:eastAsia="Calibri" w:cs="Times New Roman"/>
                <w:sz w:val="20"/>
                <w:szCs w:val="20"/>
                <w:lang w:val="af-ZA"/>
              </w:rPr>
              <w:t xml:space="preserve">: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rPr>
              <w:t>Նշված</w:t>
            </w:r>
            <w:r w:rsidRPr="0053423A">
              <w:rPr>
                <w:rFonts w:eastAsia="Calibri" w:cs="Times New Roman"/>
                <w:sz w:val="20"/>
                <w:szCs w:val="20"/>
                <w:lang w:val="af-ZA"/>
              </w:rPr>
              <w:t xml:space="preserve"> </w:t>
            </w:r>
            <w:r w:rsidRPr="0053423A">
              <w:rPr>
                <w:rFonts w:eastAsia="Calibri" w:cs="Times New Roman"/>
                <w:sz w:val="20"/>
                <w:szCs w:val="20"/>
              </w:rPr>
              <w:t>տենդենցները</w:t>
            </w:r>
            <w:r w:rsidRPr="0053423A">
              <w:rPr>
                <w:rFonts w:eastAsia="Calibri" w:cs="Times New Roman"/>
                <w:sz w:val="20"/>
                <w:szCs w:val="20"/>
                <w:lang w:val="af-ZA"/>
              </w:rPr>
              <w:t xml:space="preserve"> </w:t>
            </w:r>
            <w:r w:rsidRPr="0053423A">
              <w:rPr>
                <w:rFonts w:eastAsia="Calibri" w:cs="Times New Roman"/>
                <w:sz w:val="20"/>
                <w:szCs w:val="20"/>
              </w:rPr>
              <w:t>գնահատվում</w:t>
            </w:r>
            <w:r w:rsidRPr="0053423A">
              <w:rPr>
                <w:rFonts w:eastAsia="Calibri" w:cs="Times New Roman"/>
                <w:sz w:val="20"/>
                <w:szCs w:val="20"/>
                <w:lang w:val="af-ZA"/>
              </w:rPr>
              <w:t xml:space="preserve"> </w:t>
            </w:r>
            <w:r w:rsidRPr="0053423A">
              <w:rPr>
                <w:rFonts w:eastAsia="Calibri" w:cs="Times New Roman"/>
                <w:sz w:val="20"/>
                <w:szCs w:val="20"/>
              </w:rPr>
              <w:t>են</w:t>
            </w:r>
            <w:r w:rsidRPr="0053423A">
              <w:rPr>
                <w:rFonts w:eastAsia="Calibri" w:cs="Times New Roman"/>
                <w:sz w:val="20"/>
                <w:szCs w:val="20"/>
                <w:lang w:val="af-ZA"/>
              </w:rPr>
              <w:t xml:space="preserve"> </w:t>
            </w:r>
            <w:r w:rsidRPr="0053423A">
              <w:rPr>
                <w:rFonts w:eastAsia="Calibri" w:cs="Times New Roman"/>
                <w:sz w:val="20"/>
                <w:szCs w:val="20"/>
              </w:rPr>
              <w:t>տնային</w:t>
            </w:r>
            <w:r w:rsidRPr="0053423A">
              <w:rPr>
                <w:rFonts w:eastAsia="Calibri" w:cs="Times New Roman"/>
                <w:sz w:val="20"/>
                <w:szCs w:val="20"/>
                <w:lang w:val="af-ZA"/>
              </w:rPr>
              <w:t xml:space="preserve"> </w:t>
            </w:r>
            <w:r w:rsidRPr="0053423A">
              <w:rPr>
                <w:rFonts w:eastAsia="Calibri" w:cs="Times New Roman"/>
                <w:sz w:val="20"/>
                <w:szCs w:val="20"/>
              </w:rPr>
              <w:t>տնտեսությունների</w:t>
            </w:r>
            <w:r w:rsidRPr="0053423A">
              <w:rPr>
                <w:rFonts w:eastAsia="Calibri" w:cs="Times New Roman"/>
                <w:sz w:val="20"/>
                <w:szCs w:val="20"/>
                <w:lang w:val="af-ZA"/>
              </w:rPr>
              <w:t xml:space="preserve"> </w:t>
            </w:r>
            <w:r w:rsidRPr="0053423A">
              <w:rPr>
                <w:rFonts w:eastAsia="Calibri" w:cs="Times New Roman"/>
                <w:sz w:val="20"/>
                <w:szCs w:val="20"/>
              </w:rPr>
              <w:t>կենսապայմանների</w:t>
            </w:r>
            <w:r w:rsidRPr="0053423A">
              <w:rPr>
                <w:rFonts w:eastAsia="Calibri" w:cs="Times New Roman"/>
                <w:sz w:val="20"/>
                <w:szCs w:val="20"/>
                <w:lang w:val="af-ZA"/>
              </w:rPr>
              <w:t xml:space="preserve"> </w:t>
            </w:r>
            <w:r w:rsidRPr="0053423A">
              <w:rPr>
                <w:rFonts w:eastAsia="Calibri" w:cs="Times New Roman"/>
                <w:sz w:val="20"/>
                <w:szCs w:val="20"/>
              </w:rPr>
              <w:t>հետազոտություններով</w:t>
            </w:r>
            <w:r w:rsidRPr="0053423A">
              <w:rPr>
                <w:rFonts w:eastAsia="Calibri" w:cs="Times New Roman"/>
                <w:sz w:val="20"/>
                <w:szCs w:val="20"/>
                <w:lang w:val="af-ZA"/>
              </w:rPr>
              <w:t xml:space="preserve">: </w:t>
            </w:r>
            <w:r w:rsidRPr="0053423A">
              <w:rPr>
                <w:rFonts w:eastAsia="Calibri" w:cs="Times New Roman"/>
                <w:sz w:val="20"/>
                <w:szCs w:val="20"/>
              </w:rPr>
              <w:t>ՀՀ</w:t>
            </w:r>
            <w:r w:rsidRPr="0053423A">
              <w:rPr>
                <w:rFonts w:eastAsia="Calibri" w:cs="Times New Roman"/>
                <w:sz w:val="20"/>
                <w:szCs w:val="20"/>
                <w:lang w:val="af-ZA"/>
              </w:rPr>
              <w:t>–</w:t>
            </w:r>
            <w:r w:rsidRPr="0053423A">
              <w:rPr>
                <w:rFonts w:eastAsia="Calibri" w:cs="Times New Roman"/>
                <w:sz w:val="20"/>
                <w:szCs w:val="20"/>
              </w:rPr>
              <w:t>ում</w:t>
            </w:r>
            <w:r w:rsidRPr="0053423A">
              <w:rPr>
                <w:rFonts w:eastAsia="Calibri" w:cs="Times New Roman"/>
                <w:sz w:val="20"/>
                <w:szCs w:val="20"/>
                <w:lang w:val="af-ZA"/>
              </w:rPr>
              <w:t xml:space="preserve"> </w:t>
            </w:r>
            <w:r w:rsidRPr="0053423A">
              <w:rPr>
                <w:rFonts w:eastAsia="Calibri" w:cs="Times New Roman"/>
                <w:sz w:val="20"/>
                <w:szCs w:val="20"/>
              </w:rPr>
              <w:t>նման</w:t>
            </w:r>
            <w:r w:rsidRPr="0053423A">
              <w:rPr>
                <w:rFonts w:eastAsia="Calibri" w:cs="Times New Roman"/>
                <w:sz w:val="20"/>
                <w:szCs w:val="20"/>
                <w:lang w:val="af-ZA"/>
              </w:rPr>
              <w:t xml:space="preserve"> </w:t>
            </w:r>
            <w:r w:rsidRPr="0053423A">
              <w:rPr>
                <w:rFonts w:eastAsia="Calibri" w:cs="Times New Roman"/>
                <w:sz w:val="20"/>
                <w:szCs w:val="20"/>
              </w:rPr>
              <w:t>հիմնական</w:t>
            </w:r>
            <w:r w:rsidRPr="0053423A">
              <w:rPr>
                <w:rFonts w:eastAsia="Calibri" w:cs="Times New Roman"/>
                <w:sz w:val="20"/>
                <w:szCs w:val="20"/>
                <w:lang w:val="af-ZA"/>
              </w:rPr>
              <w:t xml:space="preserve"> </w:t>
            </w:r>
            <w:r w:rsidRPr="0053423A">
              <w:rPr>
                <w:rFonts w:eastAsia="Calibri" w:cs="Times New Roman"/>
                <w:sz w:val="20"/>
                <w:szCs w:val="20"/>
              </w:rPr>
              <w:t>հետազոտությունն</w:t>
            </w:r>
            <w:r w:rsidRPr="0053423A">
              <w:rPr>
                <w:rFonts w:eastAsia="Calibri" w:cs="Times New Roman"/>
                <w:sz w:val="20"/>
                <w:szCs w:val="20"/>
                <w:lang w:val="af-ZA"/>
              </w:rPr>
              <w:t xml:space="preserve"> </w:t>
            </w:r>
            <w:r w:rsidRPr="0053423A">
              <w:rPr>
                <w:rFonts w:eastAsia="Calibri" w:cs="Times New Roman"/>
                <w:sz w:val="20"/>
                <w:szCs w:val="20"/>
              </w:rPr>
              <w:t>իրականացնում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ՀՀ</w:t>
            </w:r>
            <w:r w:rsidRPr="0053423A">
              <w:rPr>
                <w:rFonts w:eastAsia="Calibri" w:cs="Times New Roman"/>
                <w:sz w:val="20"/>
                <w:szCs w:val="20"/>
                <w:lang w:val="af-ZA"/>
              </w:rPr>
              <w:t xml:space="preserve"> </w:t>
            </w:r>
            <w:r w:rsidRPr="0053423A">
              <w:rPr>
                <w:rFonts w:eastAsia="Calibri" w:cs="Times New Roman"/>
                <w:sz w:val="20"/>
                <w:szCs w:val="20"/>
              </w:rPr>
              <w:t>վիճակագրական</w:t>
            </w:r>
            <w:r w:rsidRPr="0053423A">
              <w:rPr>
                <w:rFonts w:eastAsia="Calibri" w:cs="Times New Roman"/>
                <w:sz w:val="20"/>
                <w:szCs w:val="20"/>
                <w:lang w:val="af-ZA"/>
              </w:rPr>
              <w:t xml:space="preserve"> </w:t>
            </w:r>
            <w:r w:rsidRPr="0053423A">
              <w:rPr>
                <w:rFonts w:eastAsia="Calibri" w:cs="Times New Roman"/>
                <w:sz w:val="20"/>
                <w:szCs w:val="20"/>
              </w:rPr>
              <w:t>կոմիտեն</w:t>
            </w:r>
            <w:r w:rsidRPr="0053423A">
              <w:rPr>
                <w:rFonts w:eastAsia="Calibri" w:cs="Times New Roman"/>
                <w:sz w:val="20"/>
                <w:szCs w:val="20"/>
                <w:lang w:val="af-ZA"/>
              </w:rPr>
              <w:t xml:space="preserve"> </w:t>
            </w:r>
            <w:r w:rsidRPr="0053423A">
              <w:rPr>
                <w:rFonts w:eastAsia="Calibri" w:cs="Times New Roman"/>
                <w:sz w:val="20"/>
                <w:szCs w:val="20"/>
              </w:rPr>
              <w:t>յուրաքանչյուր</w:t>
            </w:r>
            <w:r w:rsidRPr="0053423A">
              <w:rPr>
                <w:rFonts w:eastAsia="Calibri" w:cs="Times New Roman"/>
                <w:sz w:val="20"/>
                <w:szCs w:val="20"/>
                <w:lang w:val="af-ZA"/>
              </w:rPr>
              <w:t xml:space="preserve"> </w:t>
            </w:r>
            <w:r w:rsidRPr="0053423A">
              <w:rPr>
                <w:rFonts w:eastAsia="Calibri" w:cs="Times New Roman"/>
                <w:sz w:val="20"/>
                <w:szCs w:val="20"/>
              </w:rPr>
              <w:t>տարի</w:t>
            </w:r>
            <w:r w:rsidRPr="0053423A">
              <w:rPr>
                <w:rFonts w:eastAsia="Calibri" w:cs="Times New Roman"/>
                <w:sz w:val="20"/>
                <w:szCs w:val="20"/>
                <w:lang w:val="af-ZA"/>
              </w:rPr>
              <w:t xml:space="preserve">: </w:t>
            </w:r>
            <w:r w:rsidRPr="0053423A">
              <w:rPr>
                <w:rFonts w:eastAsia="Calibri" w:cs="Times New Roman"/>
                <w:sz w:val="20"/>
                <w:szCs w:val="20"/>
              </w:rPr>
              <w:t>Այդ</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նման</w:t>
            </w:r>
            <w:r w:rsidRPr="0053423A">
              <w:rPr>
                <w:rFonts w:eastAsia="Calibri" w:cs="Times New Roman"/>
                <w:sz w:val="20"/>
                <w:szCs w:val="20"/>
                <w:lang w:val="af-ZA"/>
              </w:rPr>
              <w:t xml:space="preserve"> </w:t>
            </w:r>
            <w:r w:rsidRPr="0053423A">
              <w:rPr>
                <w:rFonts w:eastAsia="Calibri" w:cs="Times New Roman"/>
                <w:sz w:val="20"/>
                <w:szCs w:val="20"/>
              </w:rPr>
              <w:t>այլ</w:t>
            </w:r>
            <w:r w:rsidRPr="0053423A">
              <w:rPr>
                <w:rFonts w:eastAsia="Calibri" w:cs="Times New Roman"/>
                <w:sz w:val="20"/>
                <w:szCs w:val="20"/>
                <w:lang w:val="af-ZA"/>
              </w:rPr>
              <w:t xml:space="preserve"> </w:t>
            </w:r>
            <w:r w:rsidRPr="0053423A">
              <w:rPr>
                <w:rFonts w:eastAsia="Calibri" w:cs="Times New Roman"/>
                <w:sz w:val="20"/>
                <w:szCs w:val="20"/>
              </w:rPr>
              <w:t>հետազոտությունների</w:t>
            </w:r>
            <w:r w:rsidRPr="0053423A">
              <w:rPr>
                <w:rFonts w:eastAsia="Calibri" w:cs="Times New Roman"/>
                <w:sz w:val="20"/>
                <w:szCs w:val="20"/>
                <w:lang w:val="af-ZA"/>
              </w:rPr>
              <w:t xml:space="preserve">, </w:t>
            </w:r>
            <w:r w:rsidRPr="0053423A">
              <w:rPr>
                <w:rFonts w:eastAsia="Calibri" w:cs="Times New Roman"/>
                <w:sz w:val="20"/>
                <w:szCs w:val="20"/>
              </w:rPr>
              <w:t>ներառյալ</w:t>
            </w:r>
            <w:r w:rsidRPr="0053423A">
              <w:rPr>
                <w:rFonts w:eastAsia="Calibri" w:cs="Times New Roman"/>
                <w:sz w:val="20"/>
                <w:szCs w:val="20"/>
                <w:lang w:val="af-ZA"/>
              </w:rPr>
              <w:t xml:space="preserve"> </w:t>
            </w:r>
            <w:r w:rsidRPr="0053423A">
              <w:rPr>
                <w:rFonts w:eastAsia="Calibri" w:cs="Times New Roman"/>
                <w:sz w:val="20"/>
                <w:szCs w:val="20"/>
              </w:rPr>
              <w:t>նախարարության</w:t>
            </w:r>
            <w:r w:rsidRPr="0053423A">
              <w:rPr>
                <w:rFonts w:eastAsia="Calibri" w:cs="Times New Roman"/>
                <w:sz w:val="20"/>
                <w:szCs w:val="20"/>
                <w:lang w:val="af-ZA"/>
              </w:rPr>
              <w:t xml:space="preserve"> </w:t>
            </w:r>
            <w:r w:rsidRPr="0053423A">
              <w:rPr>
                <w:rFonts w:eastAsia="Calibri" w:cs="Times New Roman"/>
                <w:sz w:val="20"/>
                <w:szCs w:val="20"/>
              </w:rPr>
              <w:t>տնօրինման</w:t>
            </w:r>
            <w:r w:rsidRPr="0053423A">
              <w:rPr>
                <w:rFonts w:eastAsia="Calibri" w:cs="Times New Roman"/>
                <w:sz w:val="20"/>
                <w:szCs w:val="20"/>
                <w:lang w:val="af-ZA"/>
              </w:rPr>
              <w:t xml:space="preserve"> </w:t>
            </w:r>
            <w:r w:rsidRPr="0053423A">
              <w:rPr>
                <w:rFonts w:eastAsia="Calibri" w:cs="Times New Roman"/>
                <w:sz w:val="20"/>
                <w:szCs w:val="20"/>
              </w:rPr>
              <w:t>տիրույթում</w:t>
            </w:r>
            <w:r w:rsidRPr="0053423A">
              <w:rPr>
                <w:rFonts w:eastAsia="Calibri" w:cs="Times New Roman"/>
                <w:sz w:val="20"/>
                <w:szCs w:val="20"/>
                <w:lang w:val="af-ZA"/>
              </w:rPr>
              <w:t xml:space="preserve"> </w:t>
            </w:r>
            <w:r w:rsidRPr="0053423A">
              <w:rPr>
                <w:rFonts w:eastAsia="Calibri" w:cs="Times New Roman"/>
                <w:sz w:val="20"/>
                <w:szCs w:val="20"/>
              </w:rPr>
              <w:t>գտնվող</w:t>
            </w:r>
            <w:r w:rsidRPr="0053423A">
              <w:rPr>
                <w:rFonts w:eastAsia="Calibri" w:cs="Times New Roman"/>
                <w:sz w:val="20"/>
                <w:szCs w:val="20"/>
                <w:lang w:val="af-ZA"/>
              </w:rPr>
              <w:t xml:space="preserve"> </w:t>
            </w:r>
            <w:r w:rsidRPr="0053423A">
              <w:rPr>
                <w:rFonts w:eastAsia="Calibri" w:cs="Times New Roman"/>
                <w:sz w:val="20"/>
                <w:szCs w:val="20"/>
              </w:rPr>
              <w:t>տարբեր</w:t>
            </w:r>
            <w:r w:rsidRPr="0053423A">
              <w:rPr>
                <w:rFonts w:eastAsia="Calibri" w:cs="Times New Roman"/>
                <w:sz w:val="20"/>
                <w:szCs w:val="20"/>
                <w:lang w:val="af-ZA"/>
              </w:rPr>
              <w:t xml:space="preserve"> </w:t>
            </w:r>
            <w:r w:rsidRPr="0053423A">
              <w:rPr>
                <w:rFonts w:eastAsia="Calibri" w:cs="Times New Roman"/>
                <w:sz w:val="20"/>
                <w:szCs w:val="20"/>
              </w:rPr>
              <w:t>տեղեկատվական</w:t>
            </w:r>
            <w:r w:rsidRPr="0053423A">
              <w:rPr>
                <w:rFonts w:eastAsia="Calibri" w:cs="Times New Roman"/>
                <w:sz w:val="20"/>
                <w:szCs w:val="20"/>
                <w:lang w:val="af-ZA"/>
              </w:rPr>
              <w:t xml:space="preserve"> </w:t>
            </w:r>
            <w:r w:rsidRPr="0053423A">
              <w:rPr>
                <w:rFonts w:eastAsia="Calibri" w:cs="Times New Roman"/>
                <w:sz w:val="20"/>
                <w:szCs w:val="20"/>
              </w:rPr>
              <w:t>համակարգերի</w:t>
            </w:r>
            <w:r w:rsidRPr="0053423A">
              <w:rPr>
                <w:rFonts w:eastAsia="Calibri" w:cs="Times New Roman"/>
                <w:sz w:val="20"/>
                <w:szCs w:val="20"/>
                <w:lang w:val="af-ZA"/>
              </w:rPr>
              <w:t xml:space="preserve"> </w:t>
            </w:r>
            <w:r w:rsidRPr="0053423A">
              <w:rPr>
                <w:rFonts w:eastAsia="Calibri" w:cs="Times New Roman"/>
                <w:sz w:val="20"/>
                <w:szCs w:val="20"/>
              </w:rPr>
              <w:t>տվյալների</w:t>
            </w:r>
            <w:r w:rsidRPr="0053423A">
              <w:rPr>
                <w:rFonts w:eastAsia="Calibri" w:cs="Times New Roman"/>
                <w:sz w:val="20"/>
                <w:szCs w:val="20"/>
                <w:lang w:val="af-ZA"/>
              </w:rPr>
              <w:t xml:space="preserve"> </w:t>
            </w:r>
            <w:r w:rsidRPr="0053423A">
              <w:rPr>
                <w:rFonts w:eastAsia="Calibri" w:cs="Times New Roman"/>
                <w:sz w:val="20"/>
                <w:szCs w:val="20"/>
              </w:rPr>
              <w:t>հիման</w:t>
            </w:r>
            <w:r w:rsidRPr="0053423A">
              <w:rPr>
                <w:rFonts w:eastAsia="Calibri" w:cs="Times New Roman"/>
                <w:sz w:val="20"/>
                <w:szCs w:val="20"/>
                <w:lang w:val="af-ZA"/>
              </w:rPr>
              <w:t xml:space="preserve"> </w:t>
            </w:r>
            <w:r w:rsidRPr="0053423A">
              <w:rPr>
                <w:rFonts w:eastAsia="Calibri" w:cs="Times New Roman"/>
                <w:sz w:val="20"/>
                <w:szCs w:val="20"/>
              </w:rPr>
              <w:t>վրա</w:t>
            </w:r>
            <w:r w:rsidRPr="0053423A">
              <w:rPr>
                <w:rFonts w:eastAsia="Calibri" w:cs="Times New Roman"/>
                <w:sz w:val="20"/>
                <w:szCs w:val="20"/>
                <w:lang w:val="af-ZA"/>
              </w:rPr>
              <w:t xml:space="preserve">, </w:t>
            </w:r>
            <w:r w:rsidRPr="0053423A">
              <w:rPr>
                <w:rFonts w:eastAsia="Calibri" w:cs="Times New Roman"/>
                <w:sz w:val="20"/>
                <w:szCs w:val="20"/>
              </w:rPr>
              <w:t>վերլուծական</w:t>
            </w:r>
            <w:r w:rsidRPr="0053423A">
              <w:rPr>
                <w:rFonts w:eastAsia="Calibri" w:cs="Times New Roman"/>
                <w:sz w:val="20"/>
                <w:szCs w:val="20"/>
                <w:lang w:val="af-ZA"/>
              </w:rPr>
              <w:t xml:space="preserve"> </w:t>
            </w:r>
            <w:r w:rsidRPr="0053423A">
              <w:rPr>
                <w:rFonts w:eastAsia="Calibri" w:cs="Times New Roman"/>
                <w:sz w:val="20"/>
                <w:szCs w:val="20"/>
              </w:rPr>
              <w:t>աշխատանքների</w:t>
            </w:r>
            <w:r w:rsidRPr="0053423A">
              <w:rPr>
                <w:rFonts w:eastAsia="Calibri" w:cs="Times New Roman"/>
                <w:sz w:val="20"/>
                <w:szCs w:val="20"/>
                <w:lang w:val="af-ZA"/>
              </w:rPr>
              <w:t xml:space="preserve"> </w:t>
            </w:r>
            <w:r w:rsidRPr="0053423A">
              <w:rPr>
                <w:rFonts w:eastAsia="Calibri" w:cs="Times New Roman"/>
                <w:sz w:val="20"/>
                <w:szCs w:val="20"/>
              </w:rPr>
              <w:t>արդյունքում</w:t>
            </w:r>
            <w:r w:rsidRPr="0053423A">
              <w:rPr>
                <w:rFonts w:eastAsia="Calibri" w:cs="Times New Roman"/>
                <w:sz w:val="20"/>
                <w:szCs w:val="20"/>
                <w:lang w:val="af-ZA"/>
              </w:rPr>
              <w:t xml:space="preserve"> </w:t>
            </w:r>
            <w:r w:rsidRPr="0053423A">
              <w:rPr>
                <w:rFonts w:eastAsia="Calibri" w:cs="Times New Roman"/>
                <w:sz w:val="20"/>
                <w:szCs w:val="20"/>
              </w:rPr>
              <w:t>հասցեական</w:t>
            </w:r>
            <w:r w:rsidRPr="0053423A">
              <w:rPr>
                <w:rFonts w:eastAsia="Calibri" w:cs="Times New Roman"/>
                <w:sz w:val="20"/>
                <w:szCs w:val="20"/>
                <w:lang w:val="af-ZA"/>
              </w:rPr>
              <w:t xml:space="preserve"> </w:t>
            </w:r>
            <w:r w:rsidRPr="0053423A">
              <w:rPr>
                <w:rFonts w:eastAsia="Calibri" w:cs="Times New Roman"/>
                <w:sz w:val="20"/>
                <w:szCs w:val="20"/>
              </w:rPr>
              <w:t>ծրագրերի</w:t>
            </w:r>
            <w:r w:rsidRPr="0053423A">
              <w:rPr>
                <w:rFonts w:eastAsia="Calibri" w:cs="Times New Roman"/>
                <w:sz w:val="20"/>
                <w:szCs w:val="20"/>
                <w:lang w:val="af-ZA"/>
              </w:rPr>
              <w:t xml:space="preserve"> </w:t>
            </w:r>
            <w:r w:rsidRPr="0053423A">
              <w:rPr>
                <w:rFonts w:eastAsia="Calibri" w:cs="Times New Roman"/>
                <w:sz w:val="20"/>
                <w:szCs w:val="20"/>
              </w:rPr>
              <w:t>թիրախավորման</w:t>
            </w:r>
            <w:r w:rsidRPr="0053423A">
              <w:rPr>
                <w:rFonts w:eastAsia="Calibri" w:cs="Times New Roman"/>
                <w:sz w:val="20"/>
                <w:szCs w:val="20"/>
                <w:lang w:val="af-ZA"/>
              </w:rPr>
              <w:t xml:space="preserve"> </w:t>
            </w:r>
            <w:r w:rsidRPr="0053423A">
              <w:rPr>
                <w:rFonts w:eastAsia="Calibri" w:cs="Times New Roman"/>
                <w:sz w:val="20"/>
                <w:szCs w:val="20"/>
              </w:rPr>
              <w:t>բանաձևում</w:t>
            </w:r>
            <w:r w:rsidRPr="0053423A">
              <w:rPr>
                <w:rFonts w:eastAsia="Calibri" w:cs="Times New Roman"/>
                <w:sz w:val="20"/>
                <w:szCs w:val="20"/>
                <w:lang w:val="af-ZA"/>
              </w:rPr>
              <w:t xml:space="preserve"> </w:t>
            </w:r>
            <w:r w:rsidRPr="0053423A">
              <w:rPr>
                <w:rFonts w:eastAsia="Calibri" w:cs="Times New Roman"/>
                <w:sz w:val="20"/>
                <w:szCs w:val="20"/>
              </w:rPr>
              <w:t>օգտագործվող</w:t>
            </w:r>
            <w:r w:rsidRPr="0053423A">
              <w:rPr>
                <w:rFonts w:eastAsia="Calibri" w:cs="Times New Roman"/>
                <w:sz w:val="20"/>
                <w:szCs w:val="20"/>
                <w:lang w:val="af-ZA"/>
              </w:rPr>
              <w:t xml:space="preserve"> </w:t>
            </w:r>
            <w:r w:rsidRPr="0053423A">
              <w:rPr>
                <w:rFonts w:eastAsia="Calibri" w:cs="Times New Roman"/>
                <w:sz w:val="20"/>
                <w:szCs w:val="20"/>
              </w:rPr>
              <w:t>աղքատության</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զրկանքների</w:t>
            </w:r>
            <w:r w:rsidRPr="0053423A">
              <w:rPr>
                <w:rFonts w:eastAsia="Calibri" w:cs="Times New Roman"/>
                <w:sz w:val="20"/>
                <w:szCs w:val="20"/>
                <w:lang w:val="af-ZA"/>
              </w:rPr>
              <w:t xml:space="preserve"> </w:t>
            </w:r>
            <w:r w:rsidRPr="0053423A">
              <w:rPr>
                <w:rFonts w:eastAsia="Calibri" w:cs="Times New Roman"/>
                <w:sz w:val="20"/>
                <w:szCs w:val="20"/>
              </w:rPr>
              <w:t>բնութագրիչների</w:t>
            </w:r>
            <w:r w:rsidRPr="0053423A">
              <w:rPr>
                <w:rFonts w:eastAsia="Calibri" w:cs="Times New Roman"/>
                <w:sz w:val="20"/>
                <w:szCs w:val="20"/>
                <w:lang w:val="af-ZA"/>
              </w:rPr>
              <w:t xml:space="preserve"> </w:t>
            </w:r>
            <w:r w:rsidRPr="0053423A">
              <w:rPr>
                <w:rFonts w:eastAsia="Calibri" w:cs="Times New Roman"/>
                <w:sz w:val="20"/>
                <w:szCs w:val="20"/>
              </w:rPr>
              <w:t>կշիռները</w:t>
            </w:r>
            <w:r w:rsidRPr="0053423A">
              <w:rPr>
                <w:rFonts w:eastAsia="Calibri" w:cs="Times New Roman"/>
                <w:sz w:val="20"/>
                <w:szCs w:val="20"/>
                <w:lang w:val="af-ZA"/>
              </w:rPr>
              <w:t xml:space="preserve"> կ</w:t>
            </w:r>
            <w:r w:rsidRPr="0053423A">
              <w:rPr>
                <w:rFonts w:eastAsia="Calibri" w:cs="Times New Roman"/>
                <w:sz w:val="20"/>
                <w:szCs w:val="20"/>
              </w:rPr>
              <w:t>վերանայվեն</w:t>
            </w:r>
            <w:r w:rsidRPr="0053423A">
              <w:rPr>
                <w:rFonts w:eastAsia="Calibri" w:cs="Times New Roman"/>
                <w:sz w:val="20"/>
                <w:szCs w:val="20"/>
                <w:lang w:val="af-ZA"/>
              </w:rPr>
              <w:t>, կ</w:t>
            </w:r>
            <w:r w:rsidRPr="0053423A">
              <w:rPr>
                <w:rFonts w:eastAsia="Calibri" w:cs="Times New Roman"/>
                <w:sz w:val="20"/>
                <w:szCs w:val="20"/>
              </w:rPr>
              <w:t>կիրառվեն</w:t>
            </w:r>
            <w:r w:rsidRPr="0053423A">
              <w:rPr>
                <w:rFonts w:eastAsia="Calibri" w:cs="Times New Roman"/>
                <w:sz w:val="20"/>
                <w:szCs w:val="20"/>
                <w:lang w:val="af-ZA"/>
              </w:rPr>
              <w:t xml:space="preserve"> </w:t>
            </w:r>
            <w:r w:rsidRPr="0053423A">
              <w:rPr>
                <w:rFonts w:eastAsia="Calibri" w:cs="Times New Roman"/>
                <w:sz w:val="20"/>
                <w:szCs w:val="20"/>
              </w:rPr>
              <w:t>լրացուցիչ</w:t>
            </w:r>
            <w:r w:rsidRPr="0053423A">
              <w:rPr>
                <w:rFonts w:eastAsia="Calibri" w:cs="Times New Roman"/>
                <w:sz w:val="20"/>
                <w:szCs w:val="20"/>
                <w:lang w:val="af-ZA"/>
              </w:rPr>
              <w:t xml:space="preserve"> </w:t>
            </w:r>
            <w:r w:rsidRPr="0053423A">
              <w:rPr>
                <w:rFonts w:eastAsia="Calibri" w:cs="Times New Roman"/>
                <w:sz w:val="20"/>
                <w:szCs w:val="20"/>
              </w:rPr>
              <w:t>այլ</w:t>
            </w:r>
            <w:r w:rsidRPr="0053423A">
              <w:rPr>
                <w:rFonts w:eastAsia="Calibri" w:cs="Times New Roman"/>
                <w:sz w:val="20"/>
                <w:szCs w:val="20"/>
                <w:lang w:val="af-ZA"/>
              </w:rPr>
              <w:t xml:space="preserve"> </w:t>
            </w:r>
            <w:r w:rsidRPr="0053423A">
              <w:rPr>
                <w:rFonts w:eastAsia="Calibri" w:cs="Times New Roman"/>
                <w:sz w:val="20"/>
                <w:szCs w:val="20"/>
              </w:rPr>
              <w:t>ցուցանիշներ</w:t>
            </w:r>
            <w:r w:rsidRPr="0053423A">
              <w:rPr>
                <w:rFonts w:eastAsia="Calibri" w:cs="Times New Roman"/>
                <w:sz w:val="20"/>
                <w:szCs w:val="20"/>
                <w:lang w:val="af-ZA"/>
              </w:rPr>
              <w:t>:</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rPr>
              <w:t>Ընտանիքների</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խոցելիության</w:t>
            </w:r>
            <w:r w:rsidRPr="0053423A">
              <w:rPr>
                <w:rFonts w:eastAsia="Calibri" w:cs="Times New Roman"/>
                <w:sz w:val="20"/>
                <w:szCs w:val="20"/>
                <w:lang w:val="af-ZA"/>
              </w:rPr>
              <w:t xml:space="preserve">, </w:t>
            </w:r>
            <w:r w:rsidRPr="0053423A">
              <w:rPr>
                <w:rFonts w:eastAsia="Calibri" w:cs="Times New Roman"/>
                <w:sz w:val="20"/>
                <w:szCs w:val="20"/>
              </w:rPr>
              <w:t>աղքատության</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զրկանքների</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բացառումների</w:t>
            </w:r>
            <w:r w:rsidRPr="0053423A">
              <w:rPr>
                <w:rFonts w:eastAsia="Calibri" w:cs="Times New Roman"/>
                <w:sz w:val="20"/>
                <w:szCs w:val="20"/>
                <w:lang w:val="af-ZA"/>
              </w:rPr>
              <w:t xml:space="preserve"> </w:t>
            </w:r>
            <w:r w:rsidRPr="0053423A">
              <w:rPr>
                <w:rFonts w:eastAsia="Calibri" w:cs="Times New Roman"/>
                <w:sz w:val="20"/>
                <w:szCs w:val="20"/>
              </w:rPr>
              <w:t>գնահատման</w:t>
            </w:r>
            <w:r w:rsidRPr="0053423A">
              <w:rPr>
                <w:rFonts w:eastAsia="Calibri" w:cs="Times New Roman"/>
                <w:sz w:val="20"/>
                <w:szCs w:val="20"/>
                <w:lang w:val="af-ZA"/>
              </w:rPr>
              <w:t xml:space="preserve"> </w:t>
            </w:r>
            <w:r w:rsidRPr="0053423A">
              <w:rPr>
                <w:rFonts w:eastAsia="Calibri" w:cs="Times New Roman"/>
                <w:sz w:val="20"/>
                <w:szCs w:val="20"/>
              </w:rPr>
              <w:t>մեթոդաբանության</w:t>
            </w:r>
            <w:r w:rsidRPr="0053423A">
              <w:rPr>
                <w:rFonts w:eastAsia="Calibri" w:cs="Times New Roman"/>
                <w:sz w:val="20"/>
                <w:szCs w:val="20"/>
                <w:lang w:val="af-ZA"/>
              </w:rPr>
              <w:t xml:space="preserve"> </w:t>
            </w:r>
            <w:r w:rsidRPr="0053423A">
              <w:rPr>
                <w:rFonts w:eastAsia="Calibri" w:cs="Times New Roman"/>
                <w:sz w:val="20"/>
                <w:szCs w:val="20"/>
              </w:rPr>
              <w:t>փոփոխությունների</w:t>
            </w:r>
            <w:r w:rsidRPr="0053423A">
              <w:rPr>
                <w:rFonts w:eastAsia="Calibri" w:cs="Times New Roman"/>
                <w:sz w:val="20"/>
                <w:szCs w:val="20"/>
                <w:lang w:val="af-ZA"/>
              </w:rPr>
              <w:t xml:space="preserve"> </w:t>
            </w:r>
            <w:r w:rsidRPr="0053423A">
              <w:rPr>
                <w:rFonts w:eastAsia="Calibri" w:cs="Times New Roman"/>
                <w:sz w:val="20"/>
                <w:szCs w:val="20"/>
              </w:rPr>
              <w:t>հիման</w:t>
            </w:r>
            <w:r w:rsidRPr="0053423A">
              <w:rPr>
                <w:rFonts w:eastAsia="Calibri" w:cs="Times New Roman"/>
                <w:sz w:val="20"/>
                <w:szCs w:val="20"/>
                <w:lang w:val="af-ZA"/>
              </w:rPr>
              <w:t xml:space="preserve"> </w:t>
            </w:r>
            <w:r w:rsidRPr="0053423A">
              <w:rPr>
                <w:rFonts w:eastAsia="Calibri" w:cs="Times New Roman"/>
                <w:sz w:val="20"/>
                <w:szCs w:val="20"/>
              </w:rPr>
              <w:t>վրա</w:t>
            </w:r>
            <w:r w:rsidRPr="0053423A">
              <w:rPr>
                <w:rFonts w:eastAsia="Calibri" w:cs="Times New Roman"/>
                <w:sz w:val="20"/>
                <w:szCs w:val="20"/>
                <w:lang w:val="af-ZA"/>
              </w:rPr>
              <w:t xml:space="preserve"> </w:t>
            </w:r>
            <w:r w:rsidRPr="0053423A">
              <w:rPr>
                <w:rFonts w:eastAsia="Calibri" w:cs="Times New Roman"/>
                <w:sz w:val="20"/>
                <w:szCs w:val="20"/>
              </w:rPr>
              <w:t>փոխվում</w:t>
            </w:r>
            <w:r w:rsidRPr="0053423A">
              <w:rPr>
                <w:rFonts w:eastAsia="Calibri" w:cs="Times New Roman"/>
                <w:sz w:val="20"/>
                <w:szCs w:val="20"/>
                <w:lang w:val="af-ZA"/>
              </w:rPr>
              <w:t xml:space="preserve"> </w:t>
            </w:r>
            <w:r w:rsidRPr="0053423A">
              <w:rPr>
                <w:rFonts w:eastAsia="Calibri" w:cs="Times New Roman"/>
                <w:sz w:val="20"/>
                <w:szCs w:val="20"/>
              </w:rPr>
              <w:t>են</w:t>
            </w:r>
            <w:r w:rsidRPr="0053423A">
              <w:rPr>
                <w:rFonts w:eastAsia="Calibri" w:cs="Times New Roman"/>
                <w:sz w:val="20"/>
                <w:szCs w:val="20"/>
                <w:lang w:val="af-ZA"/>
              </w:rPr>
              <w:t xml:space="preserve"> </w:t>
            </w:r>
            <w:r w:rsidRPr="0053423A">
              <w:rPr>
                <w:rFonts w:eastAsia="Calibri" w:cs="Times New Roman"/>
                <w:sz w:val="20"/>
                <w:szCs w:val="20"/>
              </w:rPr>
              <w:t>նաև</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դեպքի</w:t>
            </w:r>
            <w:r w:rsidRPr="0053423A">
              <w:rPr>
                <w:rFonts w:eastAsia="Calibri" w:cs="Times New Roman"/>
                <w:sz w:val="20"/>
                <w:szCs w:val="20"/>
                <w:lang w:val="af-ZA"/>
              </w:rPr>
              <w:t xml:space="preserve"> </w:t>
            </w:r>
            <w:r w:rsidRPr="0053423A">
              <w:rPr>
                <w:rFonts w:eastAsia="Calibri" w:cs="Times New Roman"/>
                <w:sz w:val="20"/>
                <w:szCs w:val="20"/>
              </w:rPr>
              <w:t>վարման</w:t>
            </w:r>
            <w:r w:rsidRPr="0053423A">
              <w:rPr>
                <w:rFonts w:eastAsia="Calibri" w:cs="Times New Roman"/>
                <w:sz w:val="20"/>
                <w:szCs w:val="20"/>
                <w:lang w:val="af-ZA"/>
              </w:rPr>
              <w:t xml:space="preserve"> </w:t>
            </w:r>
            <w:r w:rsidRPr="0053423A">
              <w:rPr>
                <w:rFonts w:eastAsia="Calibri" w:cs="Times New Roman"/>
                <w:sz w:val="20"/>
                <w:szCs w:val="20"/>
              </w:rPr>
              <w:t>ժամանակ</w:t>
            </w:r>
            <w:r w:rsidRPr="0053423A">
              <w:rPr>
                <w:rFonts w:eastAsia="Calibri" w:cs="Times New Roman"/>
                <w:sz w:val="20"/>
                <w:szCs w:val="20"/>
                <w:lang w:val="af-ZA"/>
              </w:rPr>
              <w:t xml:space="preserve"> </w:t>
            </w:r>
            <w:r w:rsidRPr="0053423A">
              <w:rPr>
                <w:rFonts w:eastAsia="Calibri" w:cs="Times New Roman"/>
                <w:sz w:val="20"/>
                <w:szCs w:val="20"/>
              </w:rPr>
              <w:t>կիրառվող</w:t>
            </w:r>
            <w:r w:rsidRPr="0053423A">
              <w:rPr>
                <w:rFonts w:eastAsia="Calibri" w:cs="Times New Roman"/>
                <w:sz w:val="20"/>
                <w:szCs w:val="20"/>
                <w:lang w:val="af-ZA"/>
              </w:rPr>
              <w:t xml:space="preserve"> </w:t>
            </w:r>
            <w:r w:rsidRPr="0053423A">
              <w:rPr>
                <w:rFonts w:eastAsia="Calibri" w:cs="Times New Roman"/>
                <w:sz w:val="20"/>
                <w:szCs w:val="20"/>
              </w:rPr>
              <w:t>ցուցանիշները</w:t>
            </w:r>
            <w:r w:rsidRPr="0053423A">
              <w:rPr>
                <w:rFonts w:eastAsia="Calibri" w:cs="Times New Roman"/>
                <w:sz w:val="20"/>
                <w:szCs w:val="20"/>
                <w:lang w:val="af-ZA"/>
              </w:rPr>
              <w:t xml:space="preserve">: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lang w:val="af-ZA"/>
              </w:rPr>
              <w:t xml:space="preserve">4) </w:t>
            </w:r>
            <w:r w:rsidRPr="0053423A">
              <w:rPr>
                <w:rFonts w:eastAsia="Calibri" w:cs="Times New Roman"/>
                <w:sz w:val="20"/>
                <w:szCs w:val="20"/>
              </w:rPr>
              <w:t>ընտանիքի</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գնահատման</w:t>
            </w:r>
            <w:r w:rsidRPr="0053423A">
              <w:rPr>
                <w:rFonts w:eastAsia="Calibri" w:cs="Times New Roman"/>
                <w:sz w:val="20"/>
                <w:szCs w:val="20"/>
                <w:lang w:val="af-ZA"/>
              </w:rPr>
              <w:t xml:space="preserve">  </w:t>
            </w:r>
            <w:r w:rsidRPr="0053423A">
              <w:rPr>
                <w:rFonts w:eastAsia="Calibri" w:cs="Times New Roman"/>
                <w:sz w:val="20"/>
                <w:szCs w:val="20"/>
              </w:rPr>
              <w:t>համակարգի</w:t>
            </w:r>
            <w:r w:rsidRPr="0053423A">
              <w:rPr>
                <w:rFonts w:eastAsia="Calibri" w:cs="Times New Roman"/>
                <w:sz w:val="20"/>
                <w:szCs w:val="20"/>
                <w:lang w:val="af-ZA"/>
              </w:rPr>
              <w:t xml:space="preserve"> </w:t>
            </w:r>
            <w:r w:rsidRPr="0053423A">
              <w:rPr>
                <w:rFonts w:eastAsia="Calibri" w:cs="Times New Roman"/>
                <w:sz w:val="20"/>
                <w:szCs w:val="20"/>
              </w:rPr>
              <w:t>տեղեկատվական</w:t>
            </w:r>
            <w:r w:rsidRPr="0053423A">
              <w:rPr>
                <w:rFonts w:eastAsia="Calibri" w:cs="Times New Roman"/>
                <w:sz w:val="20"/>
                <w:szCs w:val="20"/>
                <w:lang w:val="af-ZA"/>
              </w:rPr>
              <w:t xml:space="preserve"> </w:t>
            </w:r>
            <w:r w:rsidRPr="0053423A">
              <w:rPr>
                <w:rFonts w:eastAsia="Calibri" w:cs="Times New Roman"/>
                <w:sz w:val="20"/>
                <w:szCs w:val="20"/>
              </w:rPr>
              <w:t>ենթահամակարգը</w:t>
            </w:r>
            <w:r w:rsidRPr="0053423A">
              <w:rPr>
                <w:rFonts w:eastAsia="Calibri" w:cs="Times New Roman"/>
                <w:sz w:val="20"/>
                <w:szCs w:val="20"/>
                <w:lang w:val="af-ZA"/>
              </w:rPr>
              <w:t xml:space="preserve"> </w:t>
            </w:r>
            <w:r w:rsidRPr="0053423A">
              <w:rPr>
                <w:rFonts w:eastAsia="Calibri" w:cs="Times New Roman"/>
                <w:sz w:val="20"/>
                <w:szCs w:val="20"/>
              </w:rPr>
              <w:t>մշակված</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որի</w:t>
            </w:r>
            <w:r w:rsidRPr="0053423A">
              <w:rPr>
                <w:rFonts w:eastAsia="Calibri" w:cs="Times New Roman"/>
                <w:sz w:val="20"/>
                <w:szCs w:val="20"/>
                <w:lang w:val="af-ZA"/>
              </w:rPr>
              <w:t xml:space="preserve"> </w:t>
            </w:r>
            <w:r w:rsidRPr="0053423A">
              <w:rPr>
                <w:rFonts w:eastAsia="Calibri" w:cs="Times New Roman"/>
                <w:sz w:val="20"/>
                <w:szCs w:val="20"/>
              </w:rPr>
              <w:t>արդյունքում</w:t>
            </w:r>
            <w:r w:rsidRPr="0053423A">
              <w:rPr>
                <w:rFonts w:eastAsia="Calibri" w:cs="Times New Roman"/>
                <w:sz w:val="20"/>
                <w:szCs w:val="20"/>
                <w:lang w:val="af-ZA"/>
              </w:rPr>
              <w:t xml:space="preserve"> </w:t>
            </w:r>
            <w:r w:rsidRPr="0053423A">
              <w:rPr>
                <w:rFonts w:eastAsia="Calibri" w:cs="Times New Roman"/>
                <w:sz w:val="20"/>
                <w:szCs w:val="20"/>
              </w:rPr>
              <w:t>ընտանիքի</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գնահատման</w:t>
            </w:r>
            <w:r w:rsidRPr="0053423A">
              <w:rPr>
                <w:rFonts w:eastAsia="Calibri" w:cs="Times New Roman"/>
                <w:sz w:val="20"/>
                <w:szCs w:val="20"/>
                <w:lang w:val="af-ZA"/>
              </w:rPr>
              <w:t xml:space="preserve"> </w:t>
            </w:r>
            <w:r w:rsidRPr="0053423A">
              <w:rPr>
                <w:rFonts w:eastAsia="Calibri" w:cs="Times New Roman"/>
                <w:sz w:val="20"/>
                <w:szCs w:val="20"/>
              </w:rPr>
              <w:t>համակարգի</w:t>
            </w:r>
            <w:r w:rsidRPr="0053423A">
              <w:rPr>
                <w:rFonts w:eastAsia="Calibri" w:cs="Times New Roman"/>
                <w:sz w:val="20"/>
                <w:szCs w:val="20"/>
                <w:lang w:val="af-ZA"/>
              </w:rPr>
              <w:t xml:space="preserve"> </w:t>
            </w:r>
            <w:r w:rsidRPr="0053423A">
              <w:rPr>
                <w:rFonts w:eastAsia="Calibri" w:cs="Times New Roman"/>
                <w:sz w:val="20"/>
                <w:szCs w:val="20"/>
              </w:rPr>
              <w:t>տեղեկատվական</w:t>
            </w:r>
            <w:r w:rsidRPr="0053423A">
              <w:rPr>
                <w:rFonts w:eastAsia="Calibri" w:cs="Times New Roman"/>
                <w:sz w:val="20"/>
                <w:szCs w:val="20"/>
                <w:lang w:val="af-ZA"/>
              </w:rPr>
              <w:t xml:space="preserve"> </w:t>
            </w:r>
            <w:r w:rsidRPr="0053423A">
              <w:rPr>
                <w:rFonts w:eastAsia="Calibri" w:cs="Times New Roman"/>
                <w:sz w:val="20"/>
                <w:szCs w:val="20"/>
              </w:rPr>
              <w:t>ենթահամակարգը</w:t>
            </w:r>
            <w:r w:rsidRPr="0053423A">
              <w:rPr>
                <w:rFonts w:eastAsia="Calibri" w:cs="Times New Roman"/>
                <w:sz w:val="20"/>
                <w:szCs w:val="20"/>
                <w:lang w:val="af-ZA"/>
              </w:rPr>
              <w:t xml:space="preserve"> </w:t>
            </w:r>
            <w:r w:rsidRPr="0053423A">
              <w:rPr>
                <w:rFonts w:eastAsia="Calibri" w:cs="Times New Roman"/>
                <w:sz w:val="20"/>
                <w:szCs w:val="20"/>
              </w:rPr>
              <w:t>շահագործվում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ՀՀ</w:t>
            </w:r>
            <w:r w:rsidRPr="0053423A">
              <w:rPr>
                <w:rFonts w:eastAsia="Calibri" w:cs="Times New Roman"/>
                <w:sz w:val="20"/>
                <w:szCs w:val="20"/>
                <w:lang w:val="af-ZA"/>
              </w:rPr>
              <w:t xml:space="preserve"> 55 </w:t>
            </w:r>
            <w:r w:rsidRPr="0053423A">
              <w:rPr>
                <w:rFonts w:eastAsia="Calibri" w:cs="Times New Roman"/>
                <w:sz w:val="20"/>
                <w:szCs w:val="20"/>
              </w:rPr>
              <w:t>ՍԱՏՄ</w:t>
            </w:r>
            <w:r w:rsidRPr="0053423A">
              <w:rPr>
                <w:rFonts w:eastAsia="Calibri" w:cs="Times New Roman"/>
                <w:sz w:val="20"/>
                <w:szCs w:val="20"/>
                <w:lang w:val="af-ZA"/>
              </w:rPr>
              <w:t>-</w:t>
            </w:r>
            <w:r w:rsidRPr="0053423A">
              <w:rPr>
                <w:rFonts w:eastAsia="Calibri" w:cs="Times New Roman"/>
                <w:sz w:val="20"/>
                <w:szCs w:val="20"/>
              </w:rPr>
              <w:t>ների</w:t>
            </w:r>
            <w:r w:rsidRPr="0053423A">
              <w:rPr>
                <w:rFonts w:eastAsia="Calibri" w:cs="Times New Roman"/>
                <w:sz w:val="20"/>
                <w:szCs w:val="20"/>
                <w:lang w:val="af-ZA"/>
              </w:rPr>
              <w:t xml:space="preserve"> </w:t>
            </w:r>
            <w:r w:rsidRPr="0053423A">
              <w:rPr>
                <w:rFonts w:eastAsia="Calibri" w:cs="Times New Roman"/>
                <w:sz w:val="20"/>
                <w:szCs w:val="20"/>
              </w:rPr>
              <w:t>կողմից</w:t>
            </w:r>
            <w:r w:rsidRPr="0053423A">
              <w:rPr>
                <w:rFonts w:eastAsia="Calibri" w:cs="Times New Roman"/>
                <w:sz w:val="20"/>
                <w:szCs w:val="20"/>
                <w:lang w:val="af-ZA"/>
              </w:rPr>
              <w:t xml:space="preserve">, </w:t>
            </w:r>
            <w:r w:rsidRPr="0053423A">
              <w:rPr>
                <w:rFonts w:eastAsia="Calibri" w:cs="Times New Roman"/>
                <w:sz w:val="20"/>
                <w:szCs w:val="20"/>
              </w:rPr>
              <w:t>տվյալները</w:t>
            </w:r>
            <w:r w:rsidRPr="0053423A">
              <w:rPr>
                <w:rFonts w:eastAsia="Calibri" w:cs="Times New Roman"/>
                <w:sz w:val="20"/>
                <w:szCs w:val="20"/>
                <w:lang w:val="af-ZA"/>
              </w:rPr>
              <w:t xml:space="preserve"> </w:t>
            </w:r>
            <w:r w:rsidRPr="0053423A">
              <w:rPr>
                <w:rFonts w:eastAsia="Calibri" w:cs="Times New Roman"/>
                <w:sz w:val="20"/>
                <w:szCs w:val="20"/>
              </w:rPr>
              <w:t>ստացվում</w:t>
            </w:r>
            <w:r w:rsidRPr="0053423A">
              <w:rPr>
                <w:rFonts w:eastAsia="Calibri" w:cs="Times New Roman"/>
                <w:sz w:val="20"/>
                <w:szCs w:val="20"/>
                <w:lang w:val="af-ZA"/>
              </w:rPr>
              <w:t xml:space="preserve"> </w:t>
            </w:r>
            <w:r w:rsidRPr="0053423A">
              <w:rPr>
                <w:rFonts w:eastAsia="Calibri" w:cs="Times New Roman"/>
                <w:sz w:val="20"/>
                <w:szCs w:val="20"/>
              </w:rPr>
              <w:t>են</w:t>
            </w:r>
            <w:r w:rsidRPr="0053423A">
              <w:rPr>
                <w:rFonts w:eastAsia="Calibri" w:cs="Times New Roman"/>
                <w:sz w:val="20"/>
                <w:szCs w:val="20"/>
                <w:lang w:val="af-ZA"/>
              </w:rPr>
              <w:t xml:space="preserve"> </w:t>
            </w:r>
            <w:r w:rsidRPr="0053423A">
              <w:rPr>
                <w:rFonts w:eastAsia="Calibri" w:cs="Times New Roman"/>
                <w:sz w:val="20"/>
                <w:szCs w:val="20"/>
              </w:rPr>
              <w:t>առցանց</w:t>
            </w:r>
            <w:r w:rsidRPr="0053423A">
              <w:rPr>
                <w:rFonts w:eastAsia="Calibri" w:cs="Times New Roman"/>
                <w:sz w:val="20"/>
                <w:szCs w:val="20"/>
                <w:lang w:val="af-ZA"/>
              </w:rPr>
              <w:t xml:space="preserve"> </w:t>
            </w:r>
            <w:r w:rsidRPr="0053423A">
              <w:rPr>
                <w:rFonts w:eastAsia="Calibri" w:cs="Times New Roman"/>
                <w:sz w:val="20"/>
                <w:szCs w:val="20"/>
              </w:rPr>
              <w:t>ինքնաշխատ</w:t>
            </w:r>
            <w:r w:rsidRPr="0053423A">
              <w:rPr>
                <w:rFonts w:eastAsia="Calibri" w:cs="Times New Roman"/>
                <w:sz w:val="20"/>
                <w:szCs w:val="20"/>
                <w:lang w:val="af-ZA"/>
              </w:rPr>
              <w:t xml:space="preserve"> </w:t>
            </w:r>
            <w:r w:rsidRPr="0053423A">
              <w:rPr>
                <w:rFonts w:eastAsia="Calibri" w:cs="Times New Roman"/>
                <w:sz w:val="20"/>
                <w:szCs w:val="20"/>
              </w:rPr>
              <w:t>եղանակով</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կարիքների</w:t>
            </w:r>
            <w:r w:rsidRPr="0053423A">
              <w:rPr>
                <w:rFonts w:eastAsia="Calibri" w:cs="Times New Roman"/>
                <w:sz w:val="20"/>
                <w:szCs w:val="20"/>
                <w:lang w:val="af-ZA"/>
              </w:rPr>
              <w:t xml:space="preserve"> </w:t>
            </w:r>
            <w:r w:rsidRPr="0053423A">
              <w:rPr>
                <w:rFonts w:eastAsia="Calibri" w:cs="Times New Roman"/>
                <w:sz w:val="20"/>
                <w:szCs w:val="20"/>
              </w:rPr>
              <w:t>գնահատումն</w:t>
            </w:r>
            <w:r w:rsidRPr="0053423A">
              <w:rPr>
                <w:rFonts w:eastAsia="Calibri" w:cs="Times New Roman"/>
                <w:sz w:val="20"/>
                <w:szCs w:val="20"/>
                <w:lang w:val="af-ZA"/>
              </w:rPr>
              <w:t xml:space="preserve"> </w:t>
            </w:r>
            <w:r w:rsidRPr="0053423A">
              <w:rPr>
                <w:rFonts w:eastAsia="Calibri" w:cs="Times New Roman"/>
                <w:sz w:val="20"/>
                <w:szCs w:val="20"/>
              </w:rPr>
              <w:t>իրականցվում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արդյունավետ</w:t>
            </w:r>
            <w:r w:rsidRPr="0053423A">
              <w:rPr>
                <w:rFonts w:eastAsia="Calibri" w:cs="Times New Roman"/>
                <w:sz w:val="20"/>
                <w:szCs w:val="20"/>
                <w:lang w:val="af-ZA"/>
              </w:rPr>
              <w:t xml:space="preserve"> </w:t>
            </w:r>
            <w:r w:rsidRPr="0053423A">
              <w:rPr>
                <w:rFonts w:eastAsia="Calibri" w:cs="Times New Roman"/>
                <w:sz w:val="20"/>
                <w:szCs w:val="20"/>
              </w:rPr>
              <w:t>եղանակով՝</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ծառայությունների</w:t>
            </w:r>
            <w:r w:rsidRPr="0053423A">
              <w:rPr>
                <w:rFonts w:eastAsia="Calibri" w:cs="Times New Roman"/>
                <w:sz w:val="20"/>
                <w:szCs w:val="20"/>
                <w:lang w:val="af-ZA"/>
              </w:rPr>
              <w:t xml:space="preserve"> </w:t>
            </w:r>
            <w:r w:rsidRPr="0053423A">
              <w:rPr>
                <w:rFonts w:eastAsia="Calibri" w:cs="Times New Roman"/>
                <w:sz w:val="20"/>
                <w:szCs w:val="20"/>
              </w:rPr>
              <w:t>համախումբը</w:t>
            </w:r>
            <w:r w:rsidRPr="0053423A">
              <w:rPr>
                <w:rFonts w:eastAsia="Calibri" w:cs="Times New Roman"/>
                <w:sz w:val="20"/>
                <w:szCs w:val="20"/>
                <w:lang w:val="af-ZA"/>
              </w:rPr>
              <w:t xml:space="preserve"> </w:t>
            </w:r>
            <w:r w:rsidRPr="0053423A">
              <w:rPr>
                <w:rFonts w:eastAsia="Calibri" w:cs="Times New Roman"/>
                <w:sz w:val="20"/>
                <w:szCs w:val="20"/>
              </w:rPr>
              <w:t>ընտրվում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ելնելով</w:t>
            </w:r>
            <w:r w:rsidRPr="0053423A">
              <w:rPr>
                <w:rFonts w:eastAsia="Calibri" w:cs="Times New Roman"/>
                <w:sz w:val="20"/>
                <w:szCs w:val="20"/>
                <w:lang w:val="af-ZA"/>
              </w:rPr>
              <w:t xml:space="preserve"> </w:t>
            </w:r>
            <w:r w:rsidRPr="0053423A">
              <w:rPr>
                <w:rFonts w:eastAsia="Calibri" w:cs="Times New Roman"/>
                <w:sz w:val="20"/>
                <w:szCs w:val="20"/>
              </w:rPr>
              <w:t>ընտանիքի</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կարիքներից</w:t>
            </w:r>
            <w:r w:rsidRPr="0053423A">
              <w:rPr>
                <w:rFonts w:eastAsia="Calibri" w:cs="Times New Roman"/>
                <w:sz w:val="20"/>
                <w:szCs w:val="20"/>
                <w:lang w:val="af-ZA"/>
              </w:rPr>
              <w:t xml:space="preserve">, </w:t>
            </w:r>
            <w:r w:rsidRPr="0053423A">
              <w:rPr>
                <w:rFonts w:eastAsia="Calibri" w:cs="Times New Roman"/>
                <w:sz w:val="20"/>
                <w:szCs w:val="20"/>
              </w:rPr>
              <w:t>արդյունավետորեն</w:t>
            </w:r>
            <w:r w:rsidRPr="0053423A">
              <w:rPr>
                <w:rFonts w:eastAsia="Calibri" w:cs="Times New Roman"/>
                <w:sz w:val="20"/>
                <w:szCs w:val="20"/>
                <w:lang w:val="af-ZA"/>
              </w:rPr>
              <w:t xml:space="preserve"> </w:t>
            </w:r>
            <w:r w:rsidRPr="0053423A">
              <w:rPr>
                <w:rFonts w:eastAsia="Calibri" w:cs="Times New Roman"/>
                <w:sz w:val="20"/>
                <w:szCs w:val="20"/>
              </w:rPr>
              <w:t>արձագանքում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ընտանիքների</w:t>
            </w:r>
            <w:r w:rsidRPr="0053423A">
              <w:rPr>
                <w:rFonts w:eastAsia="Calibri" w:cs="Times New Roman"/>
                <w:sz w:val="20"/>
                <w:szCs w:val="20"/>
                <w:lang w:val="af-ZA"/>
              </w:rPr>
              <w:t xml:space="preserve">, </w:t>
            </w:r>
            <w:r w:rsidRPr="0053423A">
              <w:rPr>
                <w:rFonts w:eastAsia="Calibri" w:cs="Times New Roman"/>
                <w:sz w:val="20"/>
                <w:szCs w:val="20"/>
              </w:rPr>
              <w:t>առավելապես</w:t>
            </w:r>
            <w:r w:rsidRPr="0053423A">
              <w:rPr>
                <w:rFonts w:eastAsia="Calibri" w:cs="Times New Roman"/>
                <w:sz w:val="20"/>
                <w:szCs w:val="20"/>
                <w:lang w:val="af-ZA"/>
              </w:rPr>
              <w:t xml:space="preserve"> </w:t>
            </w:r>
            <w:r w:rsidRPr="0053423A">
              <w:rPr>
                <w:rFonts w:eastAsia="Calibri" w:cs="Times New Roman"/>
                <w:sz w:val="20"/>
                <w:szCs w:val="20"/>
              </w:rPr>
              <w:t>մանկական</w:t>
            </w:r>
            <w:r w:rsidRPr="0053423A">
              <w:rPr>
                <w:rFonts w:eastAsia="Calibri" w:cs="Times New Roman"/>
                <w:sz w:val="20"/>
                <w:szCs w:val="20"/>
                <w:lang w:val="af-ZA"/>
              </w:rPr>
              <w:t xml:space="preserve"> </w:t>
            </w:r>
            <w:r w:rsidRPr="0053423A">
              <w:rPr>
                <w:rFonts w:eastAsia="Calibri" w:cs="Times New Roman"/>
                <w:sz w:val="20"/>
                <w:szCs w:val="20"/>
              </w:rPr>
              <w:t>աղքատության</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զրկանքների</w:t>
            </w:r>
            <w:r w:rsidRPr="0053423A">
              <w:rPr>
                <w:rFonts w:eastAsia="Calibri" w:cs="Times New Roman"/>
                <w:sz w:val="20"/>
                <w:szCs w:val="20"/>
                <w:lang w:val="af-ZA"/>
              </w:rPr>
              <w:t xml:space="preserve"> </w:t>
            </w:r>
            <w:r w:rsidRPr="0053423A">
              <w:rPr>
                <w:rFonts w:eastAsia="Calibri" w:cs="Times New Roman"/>
                <w:sz w:val="20"/>
                <w:szCs w:val="20"/>
              </w:rPr>
              <w:t>նվազեցմանը</w:t>
            </w:r>
            <w:r w:rsidRPr="0053423A">
              <w:rPr>
                <w:rFonts w:eastAsia="Calibri" w:cs="Times New Roman"/>
                <w:sz w:val="20"/>
                <w:szCs w:val="20"/>
                <w:lang w:val="af-ZA"/>
              </w:rPr>
              <w:t>:</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lang w:val="af-ZA"/>
              </w:rPr>
              <w:t xml:space="preserve">5)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դեպքի</w:t>
            </w:r>
            <w:r w:rsidRPr="0053423A">
              <w:rPr>
                <w:rFonts w:eastAsia="Calibri" w:cs="Times New Roman"/>
                <w:sz w:val="20"/>
                <w:szCs w:val="20"/>
                <w:lang w:val="af-ZA"/>
              </w:rPr>
              <w:t xml:space="preserve"> </w:t>
            </w:r>
            <w:r w:rsidRPr="0053423A">
              <w:rPr>
                <w:rFonts w:eastAsia="Calibri" w:cs="Times New Roman"/>
                <w:sz w:val="20"/>
                <w:szCs w:val="20"/>
              </w:rPr>
              <w:t>վարման</w:t>
            </w:r>
            <w:r w:rsidRPr="0053423A">
              <w:rPr>
                <w:rFonts w:eastAsia="Calibri" w:cs="Times New Roman"/>
                <w:sz w:val="20"/>
                <w:szCs w:val="20"/>
                <w:lang w:val="af-ZA"/>
              </w:rPr>
              <w:t xml:space="preserve"> </w:t>
            </w:r>
            <w:r w:rsidRPr="0053423A">
              <w:rPr>
                <w:rFonts w:eastAsia="Calibri" w:cs="Times New Roman"/>
                <w:sz w:val="20"/>
                <w:szCs w:val="20"/>
              </w:rPr>
              <w:t>համար</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աշխատողը</w:t>
            </w:r>
            <w:r w:rsidRPr="0053423A">
              <w:rPr>
                <w:rFonts w:eastAsia="Calibri" w:cs="Times New Roman"/>
                <w:sz w:val="20"/>
                <w:szCs w:val="20"/>
                <w:lang w:val="af-ZA"/>
              </w:rPr>
              <w:t xml:space="preserve"> </w:t>
            </w:r>
            <w:r w:rsidRPr="0053423A">
              <w:rPr>
                <w:rFonts w:eastAsia="Calibri" w:cs="Times New Roman"/>
                <w:sz w:val="20"/>
                <w:szCs w:val="20"/>
              </w:rPr>
              <w:t>կատարում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տնային</w:t>
            </w:r>
            <w:r w:rsidRPr="0053423A">
              <w:rPr>
                <w:rFonts w:eastAsia="Calibri" w:cs="Times New Roman"/>
                <w:sz w:val="20"/>
                <w:szCs w:val="20"/>
                <w:lang w:val="af-ZA"/>
              </w:rPr>
              <w:t xml:space="preserve"> </w:t>
            </w:r>
            <w:r w:rsidRPr="0053423A">
              <w:rPr>
                <w:rFonts w:eastAsia="Calibri" w:cs="Times New Roman"/>
                <w:sz w:val="20"/>
                <w:szCs w:val="20"/>
              </w:rPr>
              <w:t>այցելություններ՝</w:t>
            </w:r>
            <w:r w:rsidRPr="0053423A">
              <w:rPr>
                <w:rFonts w:eastAsia="Calibri" w:cs="Times New Roman"/>
                <w:sz w:val="20"/>
                <w:szCs w:val="20"/>
                <w:lang w:val="af-ZA"/>
              </w:rPr>
              <w:t xml:space="preserve"> </w:t>
            </w:r>
            <w:r w:rsidRPr="0053423A">
              <w:rPr>
                <w:rFonts w:eastAsia="Calibri" w:cs="Times New Roman"/>
                <w:sz w:val="20"/>
                <w:szCs w:val="20"/>
              </w:rPr>
              <w:t>միջինում</w:t>
            </w:r>
            <w:r w:rsidRPr="0053423A">
              <w:rPr>
                <w:rFonts w:eastAsia="Calibri" w:cs="Times New Roman"/>
                <w:sz w:val="20"/>
                <w:szCs w:val="20"/>
                <w:lang w:val="af-ZA"/>
              </w:rPr>
              <w:t xml:space="preserve"> </w:t>
            </w:r>
            <w:r w:rsidRPr="0053423A">
              <w:rPr>
                <w:rFonts w:eastAsia="Calibri" w:cs="Times New Roman"/>
                <w:sz w:val="20"/>
                <w:szCs w:val="20"/>
              </w:rPr>
              <w:t>տարեկան</w:t>
            </w:r>
            <w:r w:rsidRPr="0053423A">
              <w:rPr>
                <w:rFonts w:eastAsia="Calibri" w:cs="Times New Roman"/>
                <w:sz w:val="20"/>
                <w:szCs w:val="20"/>
                <w:lang w:val="af-ZA"/>
              </w:rPr>
              <w:t xml:space="preserve"> 5-8 </w:t>
            </w:r>
            <w:r w:rsidRPr="0053423A">
              <w:rPr>
                <w:rFonts w:eastAsia="Calibri" w:cs="Times New Roman"/>
                <w:sz w:val="20"/>
                <w:szCs w:val="20"/>
              </w:rPr>
              <w:t>անգամ</w:t>
            </w:r>
            <w:r w:rsidRPr="0053423A">
              <w:rPr>
                <w:rFonts w:eastAsia="Calibri" w:cs="Times New Roman"/>
                <w:sz w:val="20"/>
                <w:szCs w:val="20"/>
                <w:lang w:val="af-ZA"/>
              </w:rPr>
              <w:t xml:space="preserve">: </w:t>
            </w:r>
            <w:r w:rsidRPr="0053423A">
              <w:rPr>
                <w:rFonts w:eastAsia="Calibri" w:cs="Times New Roman"/>
                <w:sz w:val="20"/>
                <w:szCs w:val="20"/>
              </w:rPr>
              <w:t>Այդ</w:t>
            </w:r>
            <w:r w:rsidRPr="0053423A">
              <w:rPr>
                <w:rFonts w:eastAsia="Calibri" w:cs="Times New Roman"/>
                <w:sz w:val="20"/>
                <w:szCs w:val="20"/>
                <w:lang w:val="af-ZA"/>
              </w:rPr>
              <w:t xml:space="preserve"> </w:t>
            </w:r>
            <w:r w:rsidRPr="0053423A">
              <w:rPr>
                <w:rFonts w:eastAsia="Calibri" w:cs="Times New Roman"/>
                <w:sz w:val="20"/>
                <w:szCs w:val="20"/>
              </w:rPr>
              <w:t>այցելությունը</w:t>
            </w:r>
            <w:r w:rsidRPr="0053423A">
              <w:rPr>
                <w:rFonts w:eastAsia="Calibri" w:cs="Times New Roman"/>
                <w:sz w:val="20"/>
                <w:szCs w:val="20"/>
                <w:lang w:val="af-ZA"/>
              </w:rPr>
              <w:t xml:space="preserve"> </w:t>
            </w:r>
            <w:r w:rsidRPr="0053423A">
              <w:rPr>
                <w:rFonts w:eastAsia="Calibri" w:cs="Times New Roman"/>
                <w:sz w:val="20"/>
                <w:szCs w:val="20"/>
              </w:rPr>
              <w:t>կարող</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լինել</w:t>
            </w:r>
            <w:r w:rsidRPr="0053423A">
              <w:rPr>
                <w:rFonts w:eastAsia="Calibri" w:cs="Times New Roman"/>
                <w:sz w:val="20"/>
                <w:szCs w:val="20"/>
                <w:lang w:val="af-ZA"/>
              </w:rPr>
              <w:t xml:space="preserve"> </w:t>
            </w:r>
            <w:r w:rsidRPr="0053423A">
              <w:rPr>
                <w:rFonts w:eastAsia="Calibri" w:cs="Times New Roman"/>
                <w:sz w:val="20"/>
                <w:szCs w:val="20"/>
              </w:rPr>
              <w:t>ինչպես</w:t>
            </w:r>
            <w:r w:rsidRPr="0053423A">
              <w:rPr>
                <w:rFonts w:eastAsia="Calibri" w:cs="Times New Roman"/>
                <w:sz w:val="20"/>
                <w:szCs w:val="20"/>
                <w:lang w:val="af-ZA"/>
              </w:rPr>
              <w:t xml:space="preserve"> </w:t>
            </w:r>
            <w:r w:rsidRPr="0053423A">
              <w:rPr>
                <w:rFonts w:eastAsia="Calibri" w:cs="Times New Roman"/>
                <w:sz w:val="20"/>
                <w:szCs w:val="20"/>
              </w:rPr>
              <w:t>ՍԱՏՄ</w:t>
            </w:r>
            <w:r w:rsidRPr="0053423A">
              <w:rPr>
                <w:rFonts w:eastAsia="Calibri" w:cs="Times New Roman"/>
                <w:sz w:val="20"/>
                <w:szCs w:val="20"/>
                <w:lang w:val="af-ZA"/>
              </w:rPr>
              <w:t xml:space="preserve"> </w:t>
            </w:r>
            <w:r w:rsidRPr="0053423A">
              <w:rPr>
                <w:rFonts w:eastAsia="Calibri" w:cs="Times New Roman"/>
                <w:sz w:val="20"/>
                <w:szCs w:val="20"/>
              </w:rPr>
              <w:t>գտնվելու</w:t>
            </w:r>
            <w:r w:rsidRPr="0053423A">
              <w:rPr>
                <w:rFonts w:eastAsia="Calibri" w:cs="Times New Roman"/>
                <w:sz w:val="20"/>
                <w:szCs w:val="20"/>
                <w:lang w:val="af-ZA"/>
              </w:rPr>
              <w:t xml:space="preserve"> </w:t>
            </w:r>
            <w:r w:rsidRPr="0053423A">
              <w:rPr>
                <w:rFonts w:eastAsia="Calibri" w:cs="Times New Roman"/>
                <w:sz w:val="20"/>
                <w:szCs w:val="20"/>
              </w:rPr>
              <w:t>բնակավայրում</w:t>
            </w:r>
            <w:r w:rsidRPr="0053423A">
              <w:rPr>
                <w:rFonts w:eastAsia="Calibri" w:cs="Times New Roman"/>
                <w:sz w:val="20"/>
                <w:szCs w:val="20"/>
                <w:lang w:val="af-ZA"/>
              </w:rPr>
              <w:t xml:space="preserve">, </w:t>
            </w:r>
            <w:r w:rsidRPr="0053423A">
              <w:rPr>
                <w:rFonts w:eastAsia="Calibri" w:cs="Times New Roman"/>
                <w:sz w:val="20"/>
                <w:szCs w:val="20"/>
              </w:rPr>
              <w:t>այնպես</w:t>
            </w:r>
            <w:r w:rsidRPr="0053423A">
              <w:rPr>
                <w:rFonts w:eastAsia="Calibri" w:cs="Times New Roman"/>
                <w:sz w:val="20"/>
                <w:szCs w:val="20"/>
                <w:lang w:val="af-ZA"/>
              </w:rPr>
              <w:t xml:space="preserve"> </w:t>
            </w:r>
            <w:r w:rsidRPr="0053423A">
              <w:rPr>
                <w:rFonts w:eastAsia="Calibri" w:cs="Times New Roman"/>
                <w:sz w:val="20"/>
                <w:szCs w:val="20"/>
              </w:rPr>
              <w:t>էլ</w:t>
            </w:r>
            <w:r w:rsidRPr="0053423A">
              <w:rPr>
                <w:rFonts w:eastAsia="Calibri" w:cs="Times New Roman"/>
                <w:sz w:val="20"/>
                <w:szCs w:val="20"/>
                <w:lang w:val="af-ZA"/>
              </w:rPr>
              <w:t xml:space="preserve"> </w:t>
            </w:r>
            <w:r w:rsidRPr="0053423A">
              <w:rPr>
                <w:rFonts w:eastAsia="Calibri" w:cs="Times New Roman"/>
                <w:sz w:val="20"/>
                <w:szCs w:val="20"/>
              </w:rPr>
              <w:t>այդ</w:t>
            </w:r>
            <w:r w:rsidRPr="0053423A">
              <w:rPr>
                <w:rFonts w:eastAsia="Calibri" w:cs="Times New Roman"/>
                <w:sz w:val="20"/>
                <w:szCs w:val="20"/>
                <w:lang w:val="af-ZA"/>
              </w:rPr>
              <w:t xml:space="preserve"> </w:t>
            </w:r>
            <w:r w:rsidRPr="0053423A">
              <w:rPr>
                <w:rFonts w:eastAsia="Calibri" w:cs="Times New Roman"/>
                <w:sz w:val="20"/>
                <w:szCs w:val="20"/>
              </w:rPr>
              <w:t>բնակավայրից</w:t>
            </w:r>
            <w:r w:rsidRPr="0053423A">
              <w:rPr>
                <w:rFonts w:eastAsia="Calibri" w:cs="Times New Roman"/>
                <w:sz w:val="20"/>
                <w:szCs w:val="20"/>
                <w:lang w:val="af-ZA"/>
              </w:rPr>
              <w:t xml:space="preserve"> </w:t>
            </w:r>
            <w:r w:rsidRPr="0053423A">
              <w:rPr>
                <w:rFonts w:eastAsia="Calibri" w:cs="Times New Roman"/>
                <w:sz w:val="20"/>
                <w:szCs w:val="20"/>
              </w:rPr>
              <w:t>դուրս</w:t>
            </w:r>
            <w:r w:rsidRPr="0053423A">
              <w:rPr>
                <w:rFonts w:eastAsia="Calibri" w:cs="Times New Roman"/>
                <w:sz w:val="20"/>
                <w:szCs w:val="20"/>
                <w:lang w:val="af-ZA"/>
              </w:rPr>
              <w:t xml:space="preserve"> (</w:t>
            </w:r>
            <w:r w:rsidRPr="0053423A">
              <w:rPr>
                <w:rFonts w:eastAsia="Calibri" w:cs="Times New Roman"/>
                <w:sz w:val="20"/>
                <w:szCs w:val="20"/>
              </w:rPr>
              <w:t>մինչև</w:t>
            </w:r>
            <w:r w:rsidRPr="0053423A">
              <w:rPr>
                <w:rFonts w:eastAsia="Calibri" w:cs="Times New Roman"/>
                <w:sz w:val="20"/>
                <w:szCs w:val="20"/>
                <w:lang w:val="af-ZA"/>
              </w:rPr>
              <w:t xml:space="preserve"> 65-70 </w:t>
            </w:r>
            <w:r w:rsidRPr="0053423A">
              <w:rPr>
                <w:rFonts w:eastAsia="Calibri" w:cs="Times New Roman"/>
                <w:sz w:val="20"/>
                <w:szCs w:val="20"/>
              </w:rPr>
              <w:t>կմ</w:t>
            </w:r>
            <w:r w:rsidRPr="0053423A">
              <w:rPr>
                <w:rFonts w:eastAsia="Calibri" w:cs="Times New Roman"/>
                <w:sz w:val="20"/>
                <w:szCs w:val="20"/>
                <w:lang w:val="af-ZA"/>
              </w:rPr>
              <w:t xml:space="preserve">): </w:t>
            </w:r>
            <w:r w:rsidRPr="0053423A">
              <w:rPr>
                <w:rFonts w:eastAsia="Calibri" w:cs="Times New Roman"/>
                <w:sz w:val="20"/>
                <w:szCs w:val="20"/>
              </w:rPr>
              <w:t>Միաժամանակ</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աշխատողը</w:t>
            </w:r>
            <w:r w:rsidRPr="0053423A">
              <w:rPr>
                <w:rFonts w:eastAsia="Calibri" w:cs="Times New Roman"/>
                <w:sz w:val="20"/>
                <w:szCs w:val="20"/>
                <w:lang w:val="af-ZA"/>
              </w:rPr>
              <w:t xml:space="preserve"> </w:t>
            </w:r>
            <w:r w:rsidRPr="0053423A">
              <w:rPr>
                <w:rFonts w:eastAsia="Calibri" w:cs="Times New Roman"/>
                <w:sz w:val="20"/>
                <w:szCs w:val="20"/>
              </w:rPr>
              <w:t>համագործակցում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այլ</w:t>
            </w:r>
            <w:r w:rsidRPr="0053423A">
              <w:rPr>
                <w:rFonts w:eastAsia="Calibri" w:cs="Times New Roman"/>
                <w:sz w:val="20"/>
                <w:szCs w:val="20"/>
                <w:lang w:val="af-ZA"/>
              </w:rPr>
              <w:t xml:space="preserve"> </w:t>
            </w:r>
            <w:r w:rsidRPr="0053423A">
              <w:rPr>
                <w:rFonts w:eastAsia="Calibri" w:cs="Times New Roman"/>
                <w:sz w:val="20"/>
                <w:szCs w:val="20"/>
              </w:rPr>
              <w:t>կազմակերպությունների</w:t>
            </w:r>
            <w:r w:rsidRPr="0053423A">
              <w:rPr>
                <w:rFonts w:eastAsia="Calibri" w:cs="Times New Roman"/>
                <w:sz w:val="20"/>
                <w:szCs w:val="20"/>
                <w:lang w:val="af-ZA"/>
              </w:rPr>
              <w:t xml:space="preserve"> </w:t>
            </w:r>
            <w:r w:rsidRPr="0053423A">
              <w:rPr>
                <w:rFonts w:eastAsia="Calibri" w:cs="Times New Roman"/>
                <w:sz w:val="20"/>
                <w:szCs w:val="20"/>
              </w:rPr>
              <w:t>մասնագետների</w:t>
            </w:r>
            <w:r w:rsidRPr="0053423A">
              <w:rPr>
                <w:rFonts w:eastAsia="Calibri" w:cs="Times New Roman"/>
                <w:sz w:val="20"/>
                <w:szCs w:val="20"/>
                <w:lang w:val="af-ZA"/>
              </w:rPr>
              <w:t xml:space="preserve"> </w:t>
            </w:r>
            <w:r w:rsidRPr="0053423A">
              <w:rPr>
                <w:rFonts w:eastAsia="Calibri" w:cs="Times New Roman"/>
                <w:sz w:val="20"/>
                <w:szCs w:val="20"/>
              </w:rPr>
              <w:t>հետ՝</w:t>
            </w:r>
            <w:r w:rsidRPr="0053423A">
              <w:rPr>
                <w:rFonts w:eastAsia="Calibri" w:cs="Times New Roman"/>
                <w:sz w:val="20"/>
                <w:szCs w:val="20"/>
                <w:lang w:val="af-ZA"/>
              </w:rPr>
              <w:t xml:space="preserve"> </w:t>
            </w:r>
            <w:r w:rsidRPr="0053423A">
              <w:rPr>
                <w:rFonts w:eastAsia="Calibri" w:cs="Times New Roman"/>
                <w:sz w:val="20"/>
                <w:szCs w:val="20"/>
              </w:rPr>
              <w:t>թե</w:t>
            </w:r>
            <w:r w:rsidRPr="0053423A">
              <w:rPr>
                <w:rFonts w:eastAsia="Calibri" w:cs="Times New Roman"/>
                <w:sz w:val="20"/>
                <w:szCs w:val="20"/>
                <w:lang w:val="af-ZA"/>
              </w:rPr>
              <w:t xml:space="preserve"> </w:t>
            </w:r>
            <w:r w:rsidRPr="0053423A">
              <w:rPr>
                <w:rFonts w:eastAsia="Calibri" w:cs="Times New Roman"/>
                <w:sz w:val="20"/>
                <w:szCs w:val="20"/>
              </w:rPr>
              <w:t>այցելությունների</w:t>
            </w:r>
            <w:r w:rsidRPr="0053423A">
              <w:rPr>
                <w:rFonts w:eastAsia="Calibri" w:cs="Times New Roman"/>
                <w:sz w:val="20"/>
                <w:szCs w:val="20"/>
                <w:lang w:val="af-ZA"/>
              </w:rPr>
              <w:t xml:space="preserve">, </w:t>
            </w:r>
            <w:r w:rsidRPr="0053423A">
              <w:rPr>
                <w:rFonts w:eastAsia="Calibri" w:cs="Times New Roman"/>
                <w:sz w:val="20"/>
                <w:szCs w:val="20"/>
              </w:rPr>
              <w:t>թե</w:t>
            </w:r>
            <w:r w:rsidRPr="0053423A">
              <w:rPr>
                <w:rFonts w:eastAsia="Calibri" w:cs="Times New Roman"/>
                <w:sz w:val="20"/>
                <w:szCs w:val="20"/>
                <w:lang w:val="af-ZA"/>
              </w:rPr>
              <w:t xml:space="preserve"> </w:t>
            </w:r>
            <w:r w:rsidRPr="0053423A">
              <w:rPr>
                <w:rFonts w:eastAsia="Calibri" w:cs="Times New Roman"/>
                <w:sz w:val="20"/>
                <w:szCs w:val="20"/>
              </w:rPr>
              <w:t>հեռախոսազանգերի</w:t>
            </w:r>
            <w:r w:rsidRPr="0053423A">
              <w:rPr>
                <w:rFonts w:eastAsia="Calibri" w:cs="Times New Roman"/>
                <w:sz w:val="20"/>
                <w:szCs w:val="20"/>
                <w:lang w:val="af-ZA"/>
              </w:rPr>
              <w:t xml:space="preserve"> </w:t>
            </w:r>
            <w:r w:rsidRPr="0053423A">
              <w:rPr>
                <w:rFonts w:eastAsia="Calibri" w:cs="Times New Roman"/>
                <w:sz w:val="20"/>
                <w:szCs w:val="20"/>
              </w:rPr>
              <w:t>միջոցով</w:t>
            </w:r>
            <w:r w:rsidRPr="0053423A">
              <w:rPr>
                <w:rFonts w:eastAsia="Calibri" w:cs="Times New Roman"/>
                <w:sz w:val="20"/>
                <w:szCs w:val="20"/>
                <w:lang w:val="af-ZA"/>
              </w:rPr>
              <w:t xml:space="preserve">: </w:t>
            </w:r>
            <w:r w:rsidRPr="0053423A">
              <w:rPr>
                <w:rFonts w:eastAsia="Calibri" w:cs="Times New Roman"/>
                <w:sz w:val="20"/>
                <w:szCs w:val="20"/>
              </w:rPr>
              <w:t>Այս</w:t>
            </w:r>
            <w:r w:rsidRPr="0053423A">
              <w:rPr>
                <w:rFonts w:eastAsia="Calibri" w:cs="Times New Roman"/>
                <w:sz w:val="20"/>
                <w:szCs w:val="20"/>
                <w:lang w:val="af-ZA"/>
              </w:rPr>
              <w:t xml:space="preserve"> </w:t>
            </w:r>
            <w:r w:rsidRPr="0053423A">
              <w:rPr>
                <w:rFonts w:eastAsia="Calibri" w:cs="Times New Roman"/>
                <w:sz w:val="20"/>
                <w:szCs w:val="20"/>
              </w:rPr>
              <w:t>աշխատանքների</w:t>
            </w:r>
            <w:r w:rsidRPr="0053423A">
              <w:rPr>
                <w:rFonts w:eastAsia="Calibri" w:cs="Times New Roman"/>
                <w:sz w:val="20"/>
                <w:szCs w:val="20"/>
                <w:lang w:val="af-ZA"/>
              </w:rPr>
              <w:t xml:space="preserve"> </w:t>
            </w:r>
            <w:r w:rsidRPr="0053423A">
              <w:rPr>
                <w:rFonts w:eastAsia="Calibri" w:cs="Times New Roman"/>
                <w:sz w:val="20"/>
                <w:szCs w:val="20"/>
              </w:rPr>
              <w:t>իրականացման</w:t>
            </w:r>
            <w:r w:rsidRPr="0053423A">
              <w:rPr>
                <w:rFonts w:eastAsia="Calibri" w:cs="Times New Roman"/>
                <w:sz w:val="20"/>
                <w:szCs w:val="20"/>
                <w:lang w:val="af-ZA"/>
              </w:rPr>
              <w:t xml:space="preserve"> </w:t>
            </w:r>
            <w:r w:rsidRPr="0053423A">
              <w:rPr>
                <w:rFonts w:eastAsia="Calibri" w:cs="Times New Roman"/>
                <w:sz w:val="20"/>
                <w:szCs w:val="20"/>
              </w:rPr>
              <w:t>համար</w:t>
            </w:r>
            <w:r w:rsidRPr="0053423A">
              <w:rPr>
                <w:rFonts w:eastAsia="Calibri" w:cs="Times New Roman"/>
                <w:sz w:val="20"/>
                <w:szCs w:val="20"/>
                <w:lang w:val="af-ZA"/>
              </w:rPr>
              <w:t xml:space="preserve"> </w:t>
            </w:r>
            <w:r w:rsidRPr="0053423A">
              <w:rPr>
                <w:rFonts w:eastAsia="Calibri" w:cs="Times New Roman"/>
                <w:sz w:val="20"/>
                <w:szCs w:val="20"/>
              </w:rPr>
              <w:t>անհրաժեշտ</w:t>
            </w:r>
            <w:r w:rsidRPr="0053423A">
              <w:rPr>
                <w:rFonts w:eastAsia="Calibri" w:cs="Times New Roman"/>
                <w:sz w:val="20"/>
                <w:szCs w:val="20"/>
                <w:lang w:val="af-ZA"/>
              </w:rPr>
              <w:t xml:space="preserve"> </w:t>
            </w:r>
            <w:r w:rsidRPr="0053423A">
              <w:rPr>
                <w:rFonts w:eastAsia="Calibri" w:cs="Times New Roman"/>
                <w:sz w:val="20"/>
                <w:szCs w:val="20"/>
              </w:rPr>
              <w:t>են</w:t>
            </w:r>
            <w:r w:rsidRPr="0053423A">
              <w:rPr>
                <w:rFonts w:eastAsia="Calibri" w:cs="Times New Roman"/>
                <w:sz w:val="20"/>
                <w:szCs w:val="20"/>
                <w:lang w:val="af-ZA"/>
              </w:rPr>
              <w:t xml:space="preserve"> </w:t>
            </w:r>
            <w:r w:rsidRPr="0053423A">
              <w:rPr>
                <w:rFonts w:eastAsia="Calibri" w:cs="Times New Roman"/>
                <w:sz w:val="20"/>
                <w:szCs w:val="20"/>
              </w:rPr>
              <w:t>որոշակի</w:t>
            </w:r>
            <w:r w:rsidRPr="0053423A">
              <w:rPr>
                <w:rFonts w:eastAsia="Calibri" w:cs="Times New Roman"/>
                <w:sz w:val="20"/>
                <w:szCs w:val="20"/>
                <w:lang w:val="af-ZA"/>
              </w:rPr>
              <w:t xml:space="preserve"> </w:t>
            </w:r>
            <w:r w:rsidRPr="0053423A">
              <w:rPr>
                <w:rFonts w:eastAsia="Calibri" w:cs="Times New Roman"/>
                <w:sz w:val="20"/>
                <w:szCs w:val="20"/>
              </w:rPr>
              <w:t>ֆինանսական</w:t>
            </w:r>
            <w:r w:rsidRPr="0053423A">
              <w:rPr>
                <w:rFonts w:eastAsia="Calibri" w:cs="Times New Roman"/>
                <w:sz w:val="20"/>
                <w:szCs w:val="20"/>
                <w:lang w:val="af-ZA"/>
              </w:rPr>
              <w:t xml:space="preserve"> </w:t>
            </w:r>
            <w:r w:rsidRPr="0053423A">
              <w:rPr>
                <w:rFonts w:eastAsia="Calibri" w:cs="Times New Roman"/>
                <w:sz w:val="20"/>
                <w:szCs w:val="20"/>
              </w:rPr>
              <w:t>միջոցներ</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դեպքի</w:t>
            </w:r>
            <w:r w:rsidRPr="0053423A">
              <w:rPr>
                <w:rFonts w:eastAsia="Calibri" w:cs="Times New Roman"/>
                <w:sz w:val="20"/>
                <w:szCs w:val="20"/>
                <w:lang w:val="af-ZA"/>
              </w:rPr>
              <w:t xml:space="preserve"> </w:t>
            </w:r>
            <w:r w:rsidRPr="0053423A">
              <w:rPr>
                <w:rFonts w:eastAsia="Calibri" w:cs="Times New Roman"/>
                <w:sz w:val="20"/>
                <w:szCs w:val="20"/>
              </w:rPr>
              <w:t>վարման</w:t>
            </w:r>
            <w:r w:rsidRPr="0053423A">
              <w:rPr>
                <w:rFonts w:eastAsia="Calibri" w:cs="Times New Roman"/>
                <w:sz w:val="20"/>
                <w:szCs w:val="20"/>
                <w:lang w:val="af-ZA"/>
              </w:rPr>
              <w:t xml:space="preserve"> </w:t>
            </w:r>
            <w:r w:rsidRPr="0053423A">
              <w:rPr>
                <w:rFonts w:eastAsia="Calibri" w:cs="Times New Roman"/>
                <w:sz w:val="20"/>
                <w:szCs w:val="20"/>
              </w:rPr>
              <w:t>մեկ</w:t>
            </w:r>
            <w:r w:rsidRPr="0053423A">
              <w:rPr>
                <w:rFonts w:eastAsia="Calibri" w:cs="Times New Roman"/>
                <w:sz w:val="20"/>
                <w:szCs w:val="20"/>
                <w:lang w:val="af-ZA"/>
              </w:rPr>
              <w:t xml:space="preserve"> </w:t>
            </w:r>
            <w:r w:rsidRPr="0053423A">
              <w:rPr>
                <w:rFonts w:eastAsia="Calibri" w:cs="Times New Roman"/>
                <w:sz w:val="20"/>
                <w:szCs w:val="20"/>
              </w:rPr>
              <w:t>միավորի</w:t>
            </w:r>
            <w:r w:rsidRPr="0053423A">
              <w:rPr>
                <w:rFonts w:eastAsia="Calibri" w:cs="Times New Roman"/>
                <w:sz w:val="20"/>
                <w:szCs w:val="20"/>
                <w:lang w:val="af-ZA"/>
              </w:rPr>
              <w:t xml:space="preserve"> </w:t>
            </w:r>
            <w:r w:rsidRPr="0053423A">
              <w:rPr>
                <w:rFonts w:eastAsia="Calibri" w:cs="Times New Roman"/>
                <w:sz w:val="20"/>
                <w:szCs w:val="20"/>
              </w:rPr>
              <w:t>կազմակերպական</w:t>
            </w:r>
            <w:r w:rsidRPr="0053423A">
              <w:rPr>
                <w:rFonts w:eastAsia="Calibri" w:cs="Times New Roman"/>
                <w:sz w:val="20"/>
                <w:szCs w:val="20"/>
                <w:lang w:val="af-ZA"/>
              </w:rPr>
              <w:t xml:space="preserve"> </w:t>
            </w:r>
            <w:r w:rsidRPr="0053423A">
              <w:rPr>
                <w:rFonts w:eastAsia="Calibri" w:cs="Times New Roman"/>
                <w:sz w:val="20"/>
                <w:szCs w:val="20"/>
              </w:rPr>
              <w:t>ծախսերի</w:t>
            </w:r>
            <w:r w:rsidRPr="0053423A">
              <w:rPr>
                <w:rFonts w:eastAsia="Calibri" w:cs="Times New Roman"/>
                <w:sz w:val="20"/>
                <w:szCs w:val="20"/>
                <w:lang w:val="af-ZA"/>
              </w:rPr>
              <w:t xml:space="preserve"> </w:t>
            </w:r>
            <w:r w:rsidRPr="0053423A">
              <w:rPr>
                <w:rFonts w:eastAsia="Calibri" w:cs="Times New Roman"/>
                <w:sz w:val="20"/>
                <w:szCs w:val="20"/>
              </w:rPr>
              <w:t>արժեքը</w:t>
            </w:r>
            <w:r w:rsidRPr="0053423A">
              <w:rPr>
                <w:rFonts w:eastAsia="Calibri" w:cs="Times New Roman"/>
                <w:sz w:val="20"/>
                <w:szCs w:val="20"/>
                <w:lang w:val="af-ZA"/>
              </w:rPr>
              <w:t xml:space="preserve"> </w:t>
            </w:r>
            <w:r w:rsidRPr="0053423A">
              <w:rPr>
                <w:rFonts w:eastAsia="Calibri" w:cs="Times New Roman"/>
                <w:sz w:val="20"/>
                <w:szCs w:val="20"/>
              </w:rPr>
              <w:t>որոշված</w:t>
            </w:r>
            <w:r w:rsidRPr="0053423A">
              <w:rPr>
                <w:rFonts w:eastAsia="Calibri" w:cs="Times New Roman"/>
                <w:sz w:val="20"/>
                <w:szCs w:val="20"/>
                <w:lang w:val="af-ZA"/>
              </w:rPr>
              <w:t xml:space="preserve"> </w:t>
            </w:r>
            <w:r w:rsidRPr="0053423A">
              <w:rPr>
                <w:rFonts w:eastAsia="Calibri" w:cs="Times New Roman"/>
                <w:sz w:val="20"/>
                <w:szCs w:val="20"/>
              </w:rPr>
              <w:t>լինելու</w:t>
            </w:r>
            <w:r w:rsidRPr="0053423A">
              <w:rPr>
                <w:rFonts w:eastAsia="Calibri" w:cs="Times New Roman"/>
                <w:sz w:val="20"/>
                <w:szCs w:val="20"/>
                <w:lang w:val="af-ZA"/>
              </w:rPr>
              <w:t xml:space="preserve"> </w:t>
            </w:r>
            <w:r w:rsidRPr="0053423A">
              <w:rPr>
                <w:rFonts w:eastAsia="Calibri" w:cs="Times New Roman"/>
                <w:sz w:val="20"/>
                <w:szCs w:val="20"/>
              </w:rPr>
              <w:t>պարագայում</w:t>
            </w:r>
            <w:r w:rsidRPr="0053423A">
              <w:rPr>
                <w:rFonts w:eastAsia="Calibri" w:cs="Times New Roman"/>
                <w:sz w:val="20"/>
                <w:szCs w:val="20"/>
                <w:lang w:val="af-ZA"/>
              </w:rPr>
              <w:t xml:space="preserve"> </w:t>
            </w:r>
            <w:r w:rsidRPr="0053423A">
              <w:rPr>
                <w:rFonts w:eastAsia="Calibri" w:cs="Times New Roman"/>
                <w:sz w:val="20"/>
                <w:szCs w:val="20"/>
              </w:rPr>
              <w:t>հնարավոր</w:t>
            </w:r>
            <w:r w:rsidRPr="0053423A">
              <w:rPr>
                <w:rFonts w:eastAsia="Calibri" w:cs="Times New Roman"/>
                <w:sz w:val="20"/>
                <w:szCs w:val="20"/>
                <w:lang w:val="af-ZA"/>
              </w:rPr>
              <w:t xml:space="preserve"> </w:t>
            </w:r>
            <w:r w:rsidRPr="0053423A">
              <w:rPr>
                <w:rFonts w:eastAsia="Calibri" w:cs="Times New Roman"/>
                <w:sz w:val="20"/>
                <w:szCs w:val="20"/>
              </w:rPr>
              <w:t>կլինի</w:t>
            </w:r>
            <w:r w:rsidRPr="0053423A">
              <w:rPr>
                <w:rFonts w:eastAsia="Calibri" w:cs="Times New Roman"/>
                <w:sz w:val="20"/>
                <w:szCs w:val="20"/>
                <w:lang w:val="af-ZA"/>
              </w:rPr>
              <w:t xml:space="preserve"> </w:t>
            </w:r>
            <w:r w:rsidRPr="0053423A">
              <w:rPr>
                <w:rFonts w:eastAsia="Calibri" w:cs="Times New Roman"/>
                <w:sz w:val="20"/>
                <w:szCs w:val="20"/>
              </w:rPr>
              <w:t>ՀՀ</w:t>
            </w:r>
            <w:r w:rsidRPr="0053423A">
              <w:rPr>
                <w:rFonts w:eastAsia="Calibri" w:cs="Times New Roman"/>
                <w:sz w:val="20"/>
                <w:szCs w:val="20"/>
                <w:lang w:val="af-ZA"/>
              </w:rPr>
              <w:t xml:space="preserve"> </w:t>
            </w:r>
            <w:r w:rsidRPr="0053423A">
              <w:rPr>
                <w:rFonts w:eastAsia="Calibri" w:cs="Times New Roman"/>
                <w:sz w:val="20"/>
                <w:szCs w:val="20"/>
              </w:rPr>
              <w:t>պետական</w:t>
            </w:r>
            <w:r w:rsidRPr="0053423A">
              <w:rPr>
                <w:rFonts w:eastAsia="Calibri" w:cs="Times New Roman"/>
                <w:sz w:val="20"/>
                <w:szCs w:val="20"/>
                <w:lang w:val="af-ZA"/>
              </w:rPr>
              <w:t xml:space="preserve"> </w:t>
            </w:r>
            <w:r w:rsidRPr="0053423A">
              <w:rPr>
                <w:rFonts w:eastAsia="Calibri" w:cs="Times New Roman"/>
                <w:sz w:val="20"/>
                <w:szCs w:val="20"/>
              </w:rPr>
              <w:t>բյուջեում</w:t>
            </w:r>
            <w:r w:rsidRPr="0053423A">
              <w:rPr>
                <w:rFonts w:eastAsia="Calibri" w:cs="Times New Roman"/>
                <w:sz w:val="20"/>
                <w:szCs w:val="20"/>
                <w:lang w:val="af-ZA"/>
              </w:rPr>
              <w:t xml:space="preserve"> </w:t>
            </w:r>
            <w:r w:rsidRPr="0053423A">
              <w:rPr>
                <w:rFonts w:eastAsia="Calibri" w:cs="Times New Roman"/>
                <w:sz w:val="20"/>
                <w:szCs w:val="20"/>
              </w:rPr>
              <w:t>նախատեսել</w:t>
            </w:r>
            <w:r w:rsidRPr="0053423A">
              <w:rPr>
                <w:rFonts w:eastAsia="Calibri" w:cs="Times New Roman"/>
                <w:sz w:val="20"/>
                <w:szCs w:val="20"/>
                <w:lang w:val="af-ZA"/>
              </w:rPr>
              <w:t xml:space="preserve"> </w:t>
            </w:r>
            <w:r w:rsidRPr="0053423A">
              <w:rPr>
                <w:rFonts w:eastAsia="Calibri" w:cs="Times New Roman"/>
                <w:sz w:val="20"/>
                <w:szCs w:val="20"/>
              </w:rPr>
              <w:t>համապատասխան</w:t>
            </w:r>
            <w:r w:rsidRPr="0053423A">
              <w:rPr>
                <w:rFonts w:eastAsia="Calibri" w:cs="Times New Roman"/>
                <w:sz w:val="20"/>
                <w:szCs w:val="20"/>
                <w:lang w:val="af-ZA"/>
              </w:rPr>
              <w:t xml:space="preserve"> </w:t>
            </w:r>
            <w:r w:rsidRPr="0053423A">
              <w:rPr>
                <w:rFonts w:eastAsia="Calibri" w:cs="Times New Roman"/>
                <w:sz w:val="20"/>
                <w:szCs w:val="20"/>
              </w:rPr>
              <w:t>ֆինանսական</w:t>
            </w:r>
            <w:r w:rsidRPr="0053423A">
              <w:rPr>
                <w:rFonts w:eastAsia="Calibri" w:cs="Times New Roman"/>
                <w:sz w:val="20"/>
                <w:szCs w:val="20"/>
                <w:lang w:val="af-ZA"/>
              </w:rPr>
              <w:t xml:space="preserve"> </w:t>
            </w:r>
            <w:r w:rsidRPr="0053423A">
              <w:rPr>
                <w:rFonts w:eastAsia="Calibri" w:cs="Times New Roman"/>
                <w:sz w:val="20"/>
                <w:szCs w:val="20"/>
              </w:rPr>
              <w:t>միջոցներ՝</w:t>
            </w:r>
            <w:r w:rsidRPr="0053423A">
              <w:rPr>
                <w:rFonts w:eastAsia="Calibri" w:cs="Times New Roman"/>
                <w:sz w:val="20"/>
                <w:szCs w:val="20"/>
                <w:lang w:val="af-ZA"/>
              </w:rPr>
              <w:t xml:space="preserve"> </w:t>
            </w:r>
            <w:r w:rsidRPr="0053423A">
              <w:rPr>
                <w:rFonts w:eastAsia="Calibri" w:cs="Times New Roman"/>
                <w:sz w:val="20"/>
                <w:szCs w:val="20"/>
              </w:rPr>
              <w:t>հիմնավորված</w:t>
            </w:r>
            <w:r w:rsidRPr="0053423A">
              <w:rPr>
                <w:rFonts w:eastAsia="Calibri" w:cs="Times New Roman"/>
                <w:sz w:val="20"/>
                <w:szCs w:val="20"/>
                <w:lang w:val="af-ZA"/>
              </w:rPr>
              <w:t xml:space="preserve"> </w:t>
            </w:r>
            <w:r w:rsidRPr="0053423A">
              <w:rPr>
                <w:rFonts w:eastAsia="Calibri" w:cs="Times New Roman"/>
                <w:sz w:val="20"/>
                <w:szCs w:val="20"/>
              </w:rPr>
              <w:t>հայտի</w:t>
            </w:r>
            <w:r w:rsidRPr="0053423A">
              <w:rPr>
                <w:rFonts w:eastAsia="Calibri" w:cs="Times New Roman"/>
                <w:sz w:val="20"/>
                <w:szCs w:val="20"/>
                <w:lang w:val="af-ZA"/>
              </w:rPr>
              <w:t xml:space="preserve"> </w:t>
            </w:r>
            <w:r w:rsidRPr="0053423A">
              <w:rPr>
                <w:rFonts w:eastAsia="Calibri" w:cs="Times New Roman"/>
                <w:sz w:val="20"/>
                <w:szCs w:val="20"/>
              </w:rPr>
              <w:t>հիման</w:t>
            </w:r>
            <w:r w:rsidRPr="0053423A">
              <w:rPr>
                <w:rFonts w:eastAsia="Calibri" w:cs="Times New Roman"/>
                <w:sz w:val="20"/>
                <w:szCs w:val="20"/>
                <w:lang w:val="af-ZA"/>
              </w:rPr>
              <w:t xml:space="preserve"> </w:t>
            </w:r>
            <w:r w:rsidRPr="0053423A">
              <w:rPr>
                <w:rFonts w:eastAsia="Calibri" w:cs="Times New Roman"/>
                <w:sz w:val="20"/>
                <w:szCs w:val="20"/>
              </w:rPr>
              <w:t>վրա</w:t>
            </w:r>
            <w:r w:rsidRPr="0053423A">
              <w:rPr>
                <w:rFonts w:eastAsia="Calibri" w:cs="Times New Roman"/>
                <w:sz w:val="20"/>
                <w:szCs w:val="20"/>
                <w:lang w:val="af-ZA"/>
              </w:rPr>
              <w:t xml:space="preserve">: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lang w:val="af-ZA"/>
              </w:rPr>
              <w:t xml:space="preserve">6) </w:t>
            </w:r>
            <w:r w:rsidRPr="0053423A">
              <w:rPr>
                <w:rFonts w:eastAsia="Calibri" w:cs="Times New Roman"/>
                <w:sz w:val="20"/>
                <w:szCs w:val="20"/>
              </w:rPr>
              <w:t>կյանքի</w:t>
            </w:r>
            <w:r w:rsidRPr="0053423A">
              <w:rPr>
                <w:rFonts w:eastAsia="Calibri" w:cs="Times New Roman"/>
                <w:sz w:val="20"/>
                <w:szCs w:val="20"/>
                <w:lang w:val="af-ZA"/>
              </w:rPr>
              <w:t xml:space="preserve"> </w:t>
            </w:r>
            <w:r w:rsidRPr="0053423A">
              <w:rPr>
                <w:rFonts w:eastAsia="Calibri" w:cs="Times New Roman"/>
                <w:sz w:val="20"/>
                <w:szCs w:val="20"/>
              </w:rPr>
              <w:t>դժվարին</w:t>
            </w:r>
            <w:r w:rsidRPr="0053423A">
              <w:rPr>
                <w:rFonts w:eastAsia="Calibri" w:cs="Times New Roman"/>
                <w:sz w:val="20"/>
                <w:szCs w:val="20"/>
                <w:lang w:val="af-ZA"/>
              </w:rPr>
              <w:t xml:space="preserve"> </w:t>
            </w:r>
            <w:r w:rsidRPr="0053423A">
              <w:rPr>
                <w:rFonts w:eastAsia="Calibri" w:cs="Times New Roman"/>
                <w:sz w:val="20"/>
                <w:szCs w:val="20"/>
              </w:rPr>
              <w:t>իրավիճակում</w:t>
            </w:r>
            <w:r w:rsidRPr="0053423A">
              <w:rPr>
                <w:rFonts w:eastAsia="Calibri" w:cs="Times New Roman"/>
                <w:sz w:val="20"/>
                <w:szCs w:val="20"/>
                <w:lang w:val="af-ZA"/>
              </w:rPr>
              <w:t xml:space="preserve"> </w:t>
            </w:r>
            <w:r w:rsidRPr="0053423A">
              <w:rPr>
                <w:rFonts w:eastAsia="Calibri" w:cs="Times New Roman"/>
                <w:sz w:val="20"/>
                <w:szCs w:val="20"/>
              </w:rPr>
              <w:t>գտնվող</w:t>
            </w:r>
            <w:r w:rsidRPr="0053423A">
              <w:rPr>
                <w:rFonts w:eastAsia="Calibri" w:cs="Times New Roman"/>
                <w:sz w:val="20"/>
                <w:szCs w:val="20"/>
                <w:lang w:val="af-ZA"/>
              </w:rPr>
              <w:t xml:space="preserve"> </w:t>
            </w:r>
            <w:r w:rsidRPr="0053423A">
              <w:rPr>
                <w:rFonts w:eastAsia="Calibri" w:cs="Times New Roman"/>
                <w:sz w:val="20"/>
                <w:szCs w:val="20"/>
              </w:rPr>
              <w:t>շահառուն</w:t>
            </w:r>
            <w:r w:rsidRPr="0053423A">
              <w:rPr>
                <w:rFonts w:eastAsia="Calibri" w:cs="Times New Roman"/>
                <w:sz w:val="20"/>
                <w:szCs w:val="20"/>
                <w:lang w:val="af-ZA"/>
              </w:rPr>
              <w:t xml:space="preserve"> </w:t>
            </w:r>
            <w:r w:rsidRPr="0053423A">
              <w:rPr>
                <w:rFonts w:eastAsia="Calibri" w:cs="Times New Roman"/>
                <w:sz w:val="20"/>
                <w:szCs w:val="20"/>
              </w:rPr>
              <w:t>ունի</w:t>
            </w:r>
            <w:r w:rsidRPr="0053423A">
              <w:rPr>
                <w:rFonts w:eastAsia="Calibri" w:cs="Times New Roman"/>
                <w:sz w:val="20"/>
                <w:szCs w:val="20"/>
                <w:lang w:val="af-ZA"/>
              </w:rPr>
              <w:t xml:space="preserve"> </w:t>
            </w:r>
            <w:r w:rsidRPr="0053423A">
              <w:rPr>
                <w:rFonts w:eastAsia="Calibri" w:cs="Times New Roman"/>
                <w:sz w:val="20"/>
                <w:szCs w:val="20"/>
              </w:rPr>
              <w:t>բազմաբնույթ</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խնդիրներ</w:t>
            </w:r>
            <w:r w:rsidRPr="0053423A">
              <w:rPr>
                <w:rFonts w:eastAsia="Calibri" w:cs="Times New Roman"/>
                <w:sz w:val="20"/>
                <w:szCs w:val="20"/>
                <w:lang w:val="af-ZA"/>
              </w:rPr>
              <w:t xml:space="preserve">, </w:t>
            </w:r>
            <w:r w:rsidRPr="0053423A">
              <w:rPr>
                <w:rFonts w:eastAsia="Calibri" w:cs="Times New Roman"/>
                <w:sz w:val="20"/>
                <w:szCs w:val="20"/>
              </w:rPr>
              <w:t>որոնց</w:t>
            </w:r>
            <w:r w:rsidRPr="0053423A">
              <w:rPr>
                <w:rFonts w:eastAsia="Calibri" w:cs="Times New Roman"/>
                <w:sz w:val="20"/>
                <w:szCs w:val="20"/>
                <w:lang w:val="af-ZA"/>
              </w:rPr>
              <w:t xml:space="preserve"> </w:t>
            </w:r>
            <w:r w:rsidRPr="0053423A">
              <w:rPr>
                <w:rFonts w:eastAsia="Calibri" w:cs="Times New Roman"/>
                <w:sz w:val="20"/>
                <w:szCs w:val="20"/>
              </w:rPr>
              <w:t>լուծում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պահանջում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տարբեր</w:t>
            </w:r>
            <w:r w:rsidRPr="0053423A">
              <w:rPr>
                <w:rFonts w:eastAsia="Calibri" w:cs="Times New Roman"/>
                <w:sz w:val="20"/>
                <w:szCs w:val="20"/>
                <w:lang w:val="af-ZA"/>
              </w:rPr>
              <w:t xml:space="preserve"> </w:t>
            </w:r>
            <w:r w:rsidRPr="0053423A">
              <w:rPr>
                <w:rFonts w:eastAsia="Calibri" w:cs="Times New Roman"/>
                <w:sz w:val="20"/>
                <w:szCs w:val="20"/>
              </w:rPr>
              <w:t>մոտեցումներ՝</w:t>
            </w:r>
            <w:r w:rsidRPr="0053423A">
              <w:rPr>
                <w:rFonts w:eastAsia="Calibri" w:cs="Times New Roman"/>
                <w:sz w:val="20"/>
                <w:szCs w:val="20"/>
                <w:lang w:val="af-ZA"/>
              </w:rPr>
              <w:t xml:space="preserve"> </w:t>
            </w:r>
            <w:r w:rsidRPr="0053423A">
              <w:rPr>
                <w:rFonts w:eastAsia="Calibri" w:cs="Times New Roman"/>
                <w:sz w:val="20"/>
                <w:szCs w:val="20"/>
              </w:rPr>
              <w:t>իրենց</w:t>
            </w:r>
            <w:r w:rsidRPr="0053423A">
              <w:rPr>
                <w:rFonts w:eastAsia="Calibri" w:cs="Times New Roman"/>
                <w:sz w:val="20"/>
                <w:szCs w:val="20"/>
                <w:lang w:val="af-ZA"/>
              </w:rPr>
              <w:t xml:space="preserve"> </w:t>
            </w:r>
            <w:r w:rsidRPr="0053423A">
              <w:rPr>
                <w:rFonts w:eastAsia="Calibri" w:cs="Times New Roman"/>
                <w:sz w:val="20"/>
                <w:szCs w:val="20"/>
              </w:rPr>
              <w:t>համապատասխան</w:t>
            </w:r>
            <w:r w:rsidRPr="0053423A">
              <w:rPr>
                <w:rFonts w:eastAsia="Calibri" w:cs="Times New Roman"/>
                <w:sz w:val="20"/>
                <w:szCs w:val="20"/>
                <w:lang w:val="af-ZA"/>
              </w:rPr>
              <w:t xml:space="preserve"> </w:t>
            </w:r>
            <w:r w:rsidRPr="0053423A">
              <w:rPr>
                <w:rFonts w:eastAsia="Calibri" w:cs="Times New Roman"/>
                <w:sz w:val="20"/>
                <w:szCs w:val="20"/>
              </w:rPr>
              <w:t>ֆինանսական</w:t>
            </w:r>
            <w:r w:rsidRPr="0053423A">
              <w:rPr>
                <w:rFonts w:eastAsia="Calibri" w:cs="Times New Roman"/>
                <w:sz w:val="20"/>
                <w:szCs w:val="20"/>
                <w:lang w:val="af-ZA"/>
              </w:rPr>
              <w:t xml:space="preserve"> </w:t>
            </w:r>
            <w:r w:rsidRPr="0053423A">
              <w:rPr>
                <w:rFonts w:eastAsia="Calibri" w:cs="Times New Roman"/>
                <w:sz w:val="20"/>
                <w:szCs w:val="20"/>
              </w:rPr>
              <w:t>միջոցներով</w:t>
            </w:r>
            <w:r w:rsidRPr="0053423A">
              <w:rPr>
                <w:rFonts w:eastAsia="Calibri" w:cs="Times New Roman"/>
                <w:sz w:val="20"/>
                <w:szCs w:val="20"/>
                <w:lang w:val="af-ZA"/>
              </w:rPr>
              <w:t xml:space="preserve">: </w:t>
            </w:r>
            <w:r w:rsidRPr="0053423A">
              <w:rPr>
                <w:rFonts w:eastAsia="Calibri" w:cs="Times New Roman"/>
                <w:sz w:val="20"/>
                <w:szCs w:val="20"/>
              </w:rPr>
              <w:t>Ներկայումս</w:t>
            </w:r>
            <w:r w:rsidRPr="0053423A">
              <w:rPr>
                <w:rFonts w:eastAsia="Calibri" w:cs="Times New Roman"/>
                <w:sz w:val="20"/>
                <w:szCs w:val="20"/>
                <w:lang w:val="af-ZA"/>
              </w:rPr>
              <w:t xml:space="preserve"> </w:t>
            </w:r>
            <w:r w:rsidRPr="0053423A">
              <w:rPr>
                <w:rFonts w:eastAsia="Calibri" w:cs="Times New Roman"/>
                <w:sz w:val="20"/>
                <w:szCs w:val="20"/>
              </w:rPr>
              <w:t>նման</w:t>
            </w:r>
            <w:r w:rsidRPr="0053423A">
              <w:rPr>
                <w:rFonts w:eastAsia="Calibri" w:cs="Times New Roman"/>
                <w:sz w:val="20"/>
                <w:szCs w:val="20"/>
                <w:lang w:val="af-ZA"/>
              </w:rPr>
              <w:t xml:space="preserve"> </w:t>
            </w:r>
            <w:r w:rsidRPr="0053423A">
              <w:rPr>
                <w:rFonts w:eastAsia="Calibri" w:cs="Times New Roman"/>
                <w:sz w:val="20"/>
                <w:szCs w:val="20"/>
              </w:rPr>
              <w:t>ծրագրեր</w:t>
            </w:r>
            <w:r w:rsidRPr="0053423A">
              <w:rPr>
                <w:rFonts w:eastAsia="Calibri" w:cs="Times New Roman"/>
                <w:sz w:val="20"/>
                <w:szCs w:val="20"/>
                <w:lang w:val="af-ZA"/>
              </w:rPr>
              <w:t xml:space="preserve"> </w:t>
            </w:r>
            <w:r w:rsidRPr="0053423A">
              <w:rPr>
                <w:rFonts w:eastAsia="Calibri" w:cs="Times New Roman"/>
                <w:sz w:val="20"/>
                <w:szCs w:val="20"/>
              </w:rPr>
              <w:t>իրականացնում</w:t>
            </w:r>
            <w:r w:rsidRPr="0053423A">
              <w:rPr>
                <w:rFonts w:eastAsia="Calibri" w:cs="Times New Roman"/>
                <w:sz w:val="20"/>
                <w:szCs w:val="20"/>
                <w:lang w:val="af-ZA"/>
              </w:rPr>
              <w:t xml:space="preserve"> </w:t>
            </w:r>
            <w:r w:rsidRPr="0053423A">
              <w:rPr>
                <w:rFonts w:eastAsia="Calibri" w:cs="Times New Roman"/>
                <w:sz w:val="20"/>
                <w:szCs w:val="20"/>
              </w:rPr>
              <w:t>են</w:t>
            </w:r>
            <w:r w:rsidRPr="0053423A">
              <w:rPr>
                <w:rFonts w:eastAsia="Calibri" w:cs="Times New Roman"/>
                <w:sz w:val="20"/>
                <w:szCs w:val="20"/>
                <w:lang w:val="af-ZA"/>
              </w:rPr>
              <w:t xml:space="preserve"> </w:t>
            </w:r>
            <w:r w:rsidRPr="0053423A">
              <w:rPr>
                <w:rFonts w:eastAsia="Calibri" w:cs="Times New Roman"/>
                <w:sz w:val="20"/>
                <w:szCs w:val="20"/>
              </w:rPr>
              <w:t>աշխատանքի</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հարցերի</w:t>
            </w:r>
            <w:r w:rsidRPr="0053423A">
              <w:rPr>
                <w:rFonts w:eastAsia="Calibri" w:cs="Times New Roman"/>
                <w:sz w:val="20"/>
                <w:szCs w:val="20"/>
                <w:lang w:val="af-ZA"/>
              </w:rPr>
              <w:t xml:space="preserve"> </w:t>
            </w:r>
            <w:r w:rsidRPr="0053423A">
              <w:rPr>
                <w:rFonts w:eastAsia="Calibri" w:cs="Times New Roman"/>
                <w:sz w:val="20"/>
                <w:szCs w:val="20"/>
              </w:rPr>
              <w:t>նախարարության</w:t>
            </w:r>
            <w:r w:rsidRPr="0053423A">
              <w:rPr>
                <w:rFonts w:eastAsia="Calibri" w:cs="Times New Roman"/>
                <w:sz w:val="20"/>
                <w:szCs w:val="20"/>
                <w:lang w:val="af-ZA"/>
              </w:rPr>
              <w:t xml:space="preserve"> </w:t>
            </w:r>
            <w:r w:rsidRPr="0053423A">
              <w:rPr>
                <w:rFonts w:eastAsia="Calibri" w:cs="Times New Roman"/>
                <w:sz w:val="20"/>
                <w:szCs w:val="20"/>
              </w:rPr>
              <w:t>գործընկեր</w:t>
            </w:r>
            <w:r w:rsidRPr="0053423A">
              <w:rPr>
                <w:rFonts w:eastAsia="Calibri" w:cs="Times New Roman"/>
                <w:sz w:val="20"/>
                <w:szCs w:val="20"/>
                <w:lang w:val="af-ZA"/>
              </w:rPr>
              <w:t xml:space="preserve"> </w:t>
            </w:r>
            <w:r w:rsidRPr="0053423A">
              <w:rPr>
                <w:rFonts w:eastAsia="Calibri" w:cs="Times New Roman"/>
                <w:sz w:val="20"/>
                <w:szCs w:val="20"/>
              </w:rPr>
              <w:t>ոչ</w:t>
            </w:r>
            <w:r w:rsidRPr="0053423A">
              <w:rPr>
                <w:rFonts w:eastAsia="Calibri" w:cs="Times New Roman"/>
                <w:sz w:val="20"/>
                <w:szCs w:val="20"/>
                <w:lang w:val="af-ZA"/>
              </w:rPr>
              <w:t xml:space="preserve"> </w:t>
            </w:r>
            <w:r w:rsidRPr="0053423A">
              <w:rPr>
                <w:rFonts w:eastAsia="Calibri" w:cs="Times New Roman"/>
                <w:sz w:val="20"/>
                <w:szCs w:val="20"/>
              </w:rPr>
              <w:t>պետական</w:t>
            </w:r>
            <w:r w:rsidRPr="0053423A">
              <w:rPr>
                <w:rFonts w:eastAsia="Calibri" w:cs="Times New Roman"/>
                <w:sz w:val="20"/>
                <w:szCs w:val="20"/>
                <w:lang w:val="af-ZA"/>
              </w:rPr>
              <w:t xml:space="preserve"> </w:t>
            </w:r>
            <w:r w:rsidRPr="0053423A">
              <w:rPr>
                <w:rFonts w:eastAsia="Calibri" w:cs="Times New Roman"/>
                <w:sz w:val="20"/>
                <w:szCs w:val="20"/>
              </w:rPr>
              <w:t>տեղական</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միջազգային</w:t>
            </w:r>
            <w:r w:rsidRPr="0053423A">
              <w:rPr>
                <w:rFonts w:eastAsia="Calibri" w:cs="Times New Roman"/>
                <w:sz w:val="20"/>
                <w:szCs w:val="20"/>
                <w:lang w:val="af-ZA"/>
              </w:rPr>
              <w:t xml:space="preserve"> </w:t>
            </w:r>
            <w:r w:rsidRPr="0053423A">
              <w:rPr>
                <w:rFonts w:eastAsia="Calibri" w:cs="Times New Roman"/>
                <w:sz w:val="20"/>
                <w:szCs w:val="20"/>
              </w:rPr>
              <w:t>կազմակերպությունները՝</w:t>
            </w:r>
            <w:r w:rsidRPr="0053423A">
              <w:rPr>
                <w:rFonts w:eastAsia="Calibri" w:cs="Times New Roman"/>
                <w:sz w:val="20"/>
                <w:szCs w:val="20"/>
                <w:lang w:val="af-ZA"/>
              </w:rPr>
              <w:t xml:space="preserve"> </w:t>
            </w:r>
            <w:r w:rsidRPr="0053423A">
              <w:rPr>
                <w:rFonts w:eastAsia="Calibri" w:cs="Times New Roman"/>
                <w:sz w:val="20"/>
                <w:szCs w:val="20"/>
              </w:rPr>
              <w:t>զարգացնելով</w:t>
            </w:r>
            <w:r w:rsidRPr="0053423A">
              <w:rPr>
                <w:rFonts w:eastAsia="Calibri" w:cs="Times New Roman"/>
                <w:sz w:val="20"/>
                <w:szCs w:val="20"/>
                <w:lang w:val="af-ZA"/>
              </w:rPr>
              <w:t xml:space="preserve"> </w:t>
            </w:r>
            <w:r w:rsidRPr="0053423A">
              <w:rPr>
                <w:rFonts w:eastAsia="Calibri" w:cs="Times New Roman"/>
                <w:sz w:val="20"/>
                <w:szCs w:val="20"/>
              </w:rPr>
              <w:t>այդ</w:t>
            </w:r>
            <w:r w:rsidRPr="0053423A">
              <w:rPr>
                <w:rFonts w:eastAsia="Calibri" w:cs="Times New Roman"/>
                <w:sz w:val="20"/>
                <w:szCs w:val="20"/>
                <w:lang w:val="af-ZA"/>
              </w:rPr>
              <w:t xml:space="preserve"> </w:t>
            </w:r>
            <w:r w:rsidRPr="0053423A">
              <w:rPr>
                <w:rFonts w:eastAsia="Calibri" w:cs="Times New Roman"/>
                <w:sz w:val="20"/>
                <w:szCs w:val="20"/>
              </w:rPr>
              <w:t>անձանց</w:t>
            </w:r>
            <w:r w:rsidRPr="0053423A">
              <w:rPr>
                <w:rFonts w:eastAsia="Calibri" w:cs="Times New Roman"/>
                <w:sz w:val="20"/>
                <w:szCs w:val="20"/>
                <w:lang w:val="af-ZA"/>
              </w:rPr>
              <w:t xml:space="preserve"> (</w:t>
            </w:r>
            <w:r w:rsidRPr="0053423A">
              <w:rPr>
                <w:rFonts w:eastAsia="Calibri" w:cs="Times New Roman"/>
                <w:sz w:val="20"/>
                <w:szCs w:val="20"/>
              </w:rPr>
              <w:t>ընտանիքների</w:t>
            </w:r>
            <w:r w:rsidRPr="0053423A">
              <w:rPr>
                <w:rFonts w:eastAsia="Calibri" w:cs="Times New Roman"/>
                <w:sz w:val="20"/>
                <w:szCs w:val="20"/>
                <w:lang w:val="af-ZA"/>
              </w:rPr>
              <w:t xml:space="preserve">) </w:t>
            </w:r>
            <w:r w:rsidRPr="0053423A">
              <w:rPr>
                <w:rFonts w:eastAsia="Calibri" w:cs="Times New Roman"/>
                <w:sz w:val="20"/>
                <w:szCs w:val="20"/>
              </w:rPr>
              <w:t>տնտեսական</w:t>
            </w:r>
            <w:r w:rsidRPr="0053423A">
              <w:rPr>
                <w:rFonts w:eastAsia="Calibri" w:cs="Times New Roman"/>
                <w:sz w:val="20"/>
                <w:szCs w:val="20"/>
                <w:lang w:val="af-ZA"/>
              </w:rPr>
              <w:t xml:space="preserve"> </w:t>
            </w:r>
            <w:r w:rsidRPr="0053423A">
              <w:rPr>
                <w:rFonts w:eastAsia="Calibri" w:cs="Times New Roman"/>
                <w:sz w:val="20"/>
                <w:szCs w:val="20"/>
              </w:rPr>
              <w:t>աշխատանքային</w:t>
            </w:r>
            <w:r w:rsidRPr="0053423A">
              <w:rPr>
                <w:rFonts w:eastAsia="Calibri" w:cs="Times New Roman"/>
                <w:sz w:val="20"/>
                <w:szCs w:val="20"/>
                <w:lang w:val="af-ZA"/>
              </w:rPr>
              <w:t xml:space="preserve"> </w:t>
            </w:r>
            <w:r w:rsidRPr="0053423A">
              <w:rPr>
                <w:rFonts w:eastAsia="Calibri" w:cs="Times New Roman"/>
                <w:sz w:val="20"/>
                <w:szCs w:val="20"/>
              </w:rPr>
              <w:t>կարողությունները</w:t>
            </w:r>
            <w:r w:rsidRPr="0053423A">
              <w:rPr>
                <w:rFonts w:eastAsia="Calibri" w:cs="Times New Roman"/>
                <w:sz w:val="20"/>
                <w:szCs w:val="20"/>
                <w:lang w:val="af-ZA"/>
              </w:rPr>
              <w:t xml:space="preserve">: </w:t>
            </w:r>
            <w:r w:rsidRPr="0053423A">
              <w:rPr>
                <w:rFonts w:eastAsia="Calibri" w:cs="Times New Roman"/>
                <w:sz w:val="20"/>
                <w:szCs w:val="20"/>
              </w:rPr>
              <w:t>Աջակցության</w:t>
            </w:r>
            <w:r w:rsidRPr="0053423A">
              <w:rPr>
                <w:rFonts w:eastAsia="Calibri" w:cs="Times New Roman"/>
                <w:sz w:val="20"/>
                <w:szCs w:val="20"/>
                <w:lang w:val="af-ZA"/>
              </w:rPr>
              <w:t xml:space="preserve"> </w:t>
            </w:r>
            <w:r w:rsidRPr="0053423A">
              <w:rPr>
                <w:rFonts w:eastAsia="Calibri" w:cs="Times New Roman"/>
                <w:sz w:val="20"/>
                <w:szCs w:val="20"/>
              </w:rPr>
              <w:t>այդ</w:t>
            </w:r>
            <w:r w:rsidRPr="0053423A">
              <w:rPr>
                <w:rFonts w:eastAsia="Calibri" w:cs="Times New Roman"/>
                <w:sz w:val="20"/>
                <w:szCs w:val="20"/>
                <w:lang w:val="af-ZA"/>
              </w:rPr>
              <w:t xml:space="preserve"> </w:t>
            </w:r>
            <w:r w:rsidRPr="0053423A">
              <w:rPr>
                <w:rFonts w:eastAsia="Calibri" w:cs="Times New Roman"/>
                <w:sz w:val="20"/>
                <w:szCs w:val="20"/>
              </w:rPr>
              <w:t>փաթեթն</w:t>
            </w:r>
            <w:r w:rsidRPr="0053423A">
              <w:rPr>
                <w:rFonts w:eastAsia="Calibri" w:cs="Times New Roman"/>
                <w:sz w:val="20"/>
                <w:szCs w:val="20"/>
                <w:lang w:val="af-ZA"/>
              </w:rPr>
              <w:t xml:space="preserve"> </w:t>
            </w:r>
            <w:r w:rsidRPr="0053423A">
              <w:rPr>
                <w:rFonts w:eastAsia="Calibri" w:cs="Times New Roman"/>
                <w:sz w:val="20"/>
                <w:szCs w:val="20"/>
              </w:rPr>
              <w:t>ունի</w:t>
            </w:r>
            <w:r w:rsidRPr="0053423A">
              <w:rPr>
                <w:rFonts w:eastAsia="Calibri" w:cs="Times New Roman"/>
                <w:sz w:val="20"/>
                <w:szCs w:val="20"/>
                <w:lang w:val="af-ZA"/>
              </w:rPr>
              <w:t xml:space="preserve"> </w:t>
            </w:r>
            <w:r w:rsidRPr="0053423A">
              <w:rPr>
                <w:rFonts w:eastAsia="Calibri" w:cs="Times New Roman"/>
                <w:sz w:val="20"/>
                <w:szCs w:val="20"/>
              </w:rPr>
              <w:t>դրամական</w:t>
            </w:r>
            <w:r w:rsidRPr="0053423A">
              <w:rPr>
                <w:rFonts w:eastAsia="Calibri" w:cs="Times New Roman"/>
                <w:sz w:val="20"/>
                <w:szCs w:val="20"/>
                <w:lang w:val="af-ZA"/>
              </w:rPr>
              <w:t xml:space="preserve"> </w:t>
            </w:r>
            <w:r w:rsidRPr="0053423A">
              <w:rPr>
                <w:rFonts w:eastAsia="Calibri" w:cs="Times New Roman"/>
                <w:sz w:val="20"/>
                <w:szCs w:val="20"/>
              </w:rPr>
              <w:t>որոշակի</w:t>
            </w:r>
            <w:r w:rsidRPr="0053423A">
              <w:rPr>
                <w:rFonts w:eastAsia="Calibri" w:cs="Times New Roman"/>
                <w:sz w:val="20"/>
                <w:szCs w:val="20"/>
                <w:lang w:val="af-ZA"/>
              </w:rPr>
              <w:t xml:space="preserve"> </w:t>
            </w:r>
            <w:r w:rsidRPr="0053423A">
              <w:rPr>
                <w:rFonts w:eastAsia="Calibri" w:cs="Times New Roman"/>
                <w:sz w:val="20"/>
                <w:szCs w:val="20"/>
              </w:rPr>
              <w:t>արժեք</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ծրագրերի</w:t>
            </w:r>
            <w:r w:rsidRPr="0053423A">
              <w:rPr>
                <w:rFonts w:eastAsia="Calibri" w:cs="Times New Roman"/>
                <w:sz w:val="20"/>
                <w:szCs w:val="20"/>
                <w:lang w:val="af-ZA"/>
              </w:rPr>
              <w:t xml:space="preserve"> </w:t>
            </w:r>
            <w:r w:rsidRPr="0053423A">
              <w:rPr>
                <w:rFonts w:eastAsia="Calibri" w:cs="Times New Roman"/>
                <w:sz w:val="20"/>
                <w:szCs w:val="20"/>
              </w:rPr>
              <w:t>շարունականությունն</w:t>
            </w:r>
            <w:r w:rsidRPr="0053423A">
              <w:rPr>
                <w:rFonts w:eastAsia="Calibri" w:cs="Times New Roman"/>
                <w:sz w:val="20"/>
                <w:szCs w:val="20"/>
                <w:lang w:val="af-ZA"/>
              </w:rPr>
              <w:t xml:space="preserve"> </w:t>
            </w:r>
            <w:r w:rsidRPr="0053423A">
              <w:rPr>
                <w:rFonts w:eastAsia="Calibri" w:cs="Times New Roman"/>
                <w:sz w:val="20"/>
                <w:szCs w:val="20"/>
              </w:rPr>
              <w:t>ապահովելու</w:t>
            </w:r>
            <w:r w:rsidRPr="0053423A">
              <w:rPr>
                <w:rFonts w:eastAsia="Calibri" w:cs="Times New Roman"/>
                <w:sz w:val="20"/>
                <w:szCs w:val="20"/>
                <w:lang w:val="af-ZA"/>
              </w:rPr>
              <w:t xml:space="preserve"> </w:t>
            </w:r>
            <w:r w:rsidRPr="0053423A">
              <w:rPr>
                <w:rFonts w:eastAsia="Calibri" w:cs="Times New Roman"/>
                <w:sz w:val="20"/>
                <w:szCs w:val="20"/>
              </w:rPr>
              <w:t>համար</w:t>
            </w:r>
            <w:r w:rsidRPr="0053423A">
              <w:rPr>
                <w:rFonts w:eastAsia="Calibri" w:cs="Times New Roman"/>
                <w:sz w:val="20"/>
                <w:szCs w:val="20"/>
                <w:lang w:val="af-ZA"/>
              </w:rPr>
              <w:t xml:space="preserve"> </w:t>
            </w:r>
            <w:r w:rsidRPr="0053423A">
              <w:rPr>
                <w:rFonts w:eastAsia="Calibri" w:cs="Times New Roman"/>
                <w:sz w:val="20"/>
                <w:szCs w:val="20"/>
              </w:rPr>
              <w:t>անհրաժեշտ</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հաշվարկել</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փաթեթի</w:t>
            </w:r>
            <w:r w:rsidRPr="0053423A">
              <w:rPr>
                <w:rFonts w:eastAsia="Calibri" w:cs="Times New Roman"/>
                <w:sz w:val="20"/>
                <w:szCs w:val="20"/>
                <w:lang w:val="af-ZA"/>
              </w:rPr>
              <w:t xml:space="preserve"> </w:t>
            </w:r>
            <w:r w:rsidRPr="0053423A">
              <w:rPr>
                <w:rFonts w:eastAsia="Calibri" w:cs="Times New Roman"/>
                <w:sz w:val="20"/>
                <w:szCs w:val="20"/>
              </w:rPr>
              <w:t>միջին</w:t>
            </w:r>
            <w:r w:rsidRPr="0053423A">
              <w:rPr>
                <w:rFonts w:eastAsia="Calibri" w:cs="Times New Roman"/>
                <w:sz w:val="20"/>
                <w:szCs w:val="20"/>
                <w:lang w:val="af-ZA"/>
              </w:rPr>
              <w:t xml:space="preserve"> </w:t>
            </w:r>
            <w:r w:rsidRPr="0053423A">
              <w:rPr>
                <w:rFonts w:eastAsia="Calibri" w:cs="Times New Roman"/>
                <w:sz w:val="20"/>
                <w:szCs w:val="20"/>
              </w:rPr>
              <w:t>արժեք՝</w:t>
            </w:r>
            <w:r w:rsidRPr="0053423A">
              <w:rPr>
                <w:rFonts w:eastAsia="Calibri" w:cs="Times New Roman"/>
                <w:sz w:val="20"/>
                <w:szCs w:val="20"/>
                <w:lang w:val="af-ZA"/>
              </w:rPr>
              <w:t xml:space="preserve"> </w:t>
            </w:r>
            <w:r w:rsidRPr="0053423A">
              <w:rPr>
                <w:rFonts w:eastAsia="Calibri" w:cs="Times New Roman"/>
                <w:sz w:val="20"/>
                <w:szCs w:val="20"/>
              </w:rPr>
              <w:t>դրա</w:t>
            </w:r>
            <w:r w:rsidRPr="0053423A">
              <w:rPr>
                <w:rFonts w:eastAsia="Calibri" w:cs="Times New Roman"/>
                <w:sz w:val="20"/>
                <w:szCs w:val="20"/>
                <w:lang w:val="af-ZA"/>
              </w:rPr>
              <w:t xml:space="preserve"> </w:t>
            </w:r>
            <w:r w:rsidRPr="0053423A">
              <w:rPr>
                <w:rFonts w:eastAsia="Calibri" w:cs="Times New Roman"/>
                <w:sz w:val="20"/>
                <w:szCs w:val="20"/>
              </w:rPr>
              <w:t>նվազագույն</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առավելագույն</w:t>
            </w:r>
            <w:r w:rsidRPr="0053423A">
              <w:rPr>
                <w:rFonts w:eastAsia="Calibri" w:cs="Times New Roman"/>
                <w:sz w:val="20"/>
                <w:szCs w:val="20"/>
                <w:lang w:val="af-ZA"/>
              </w:rPr>
              <w:t xml:space="preserve"> </w:t>
            </w:r>
            <w:r w:rsidRPr="0053423A">
              <w:rPr>
                <w:rFonts w:eastAsia="Calibri" w:cs="Times New Roman"/>
                <w:sz w:val="20"/>
                <w:szCs w:val="20"/>
              </w:rPr>
              <w:t>չափերով</w:t>
            </w:r>
            <w:r w:rsidRPr="0053423A">
              <w:rPr>
                <w:rFonts w:eastAsia="Calibri" w:cs="Times New Roman"/>
                <w:sz w:val="20"/>
                <w:szCs w:val="20"/>
                <w:lang w:val="af-ZA"/>
              </w:rPr>
              <w:t xml:space="preserve">: </w:t>
            </w:r>
            <w:r w:rsidRPr="0053423A">
              <w:rPr>
                <w:rFonts w:eastAsia="Calibri" w:cs="Times New Roman"/>
                <w:sz w:val="20"/>
                <w:szCs w:val="20"/>
              </w:rPr>
              <w:t>Այս</w:t>
            </w:r>
            <w:r w:rsidRPr="0053423A">
              <w:rPr>
                <w:rFonts w:eastAsia="Calibri" w:cs="Times New Roman"/>
                <w:sz w:val="20"/>
                <w:szCs w:val="20"/>
                <w:lang w:val="af-ZA"/>
              </w:rPr>
              <w:t xml:space="preserve"> </w:t>
            </w:r>
            <w:r w:rsidRPr="0053423A">
              <w:rPr>
                <w:rFonts w:eastAsia="Calibri" w:cs="Times New Roman"/>
                <w:sz w:val="20"/>
                <w:szCs w:val="20"/>
              </w:rPr>
              <w:t>մոտեցումը</w:t>
            </w:r>
            <w:r w:rsidRPr="0053423A">
              <w:rPr>
                <w:rFonts w:eastAsia="Calibri" w:cs="Times New Roman"/>
                <w:sz w:val="20"/>
                <w:szCs w:val="20"/>
                <w:lang w:val="af-ZA"/>
              </w:rPr>
              <w:t xml:space="preserve"> </w:t>
            </w:r>
            <w:r w:rsidRPr="0053423A">
              <w:rPr>
                <w:rFonts w:eastAsia="Calibri" w:cs="Times New Roman"/>
                <w:sz w:val="20"/>
                <w:szCs w:val="20"/>
              </w:rPr>
              <w:t>պայմանավորված</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այն</w:t>
            </w:r>
            <w:r w:rsidRPr="0053423A">
              <w:rPr>
                <w:rFonts w:eastAsia="Calibri" w:cs="Times New Roman"/>
                <w:sz w:val="20"/>
                <w:szCs w:val="20"/>
                <w:lang w:val="af-ZA"/>
              </w:rPr>
              <w:t xml:space="preserve"> </w:t>
            </w:r>
            <w:r w:rsidRPr="0053423A">
              <w:rPr>
                <w:rFonts w:eastAsia="Calibri" w:cs="Times New Roman"/>
                <w:sz w:val="20"/>
                <w:szCs w:val="20"/>
              </w:rPr>
              <w:t>հանգամանքով</w:t>
            </w:r>
            <w:r w:rsidRPr="0053423A">
              <w:rPr>
                <w:rFonts w:eastAsia="Calibri" w:cs="Times New Roman"/>
                <w:sz w:val="20"/>
                <w:szCs w:val="20"/>
                <w:lang w:val="af-ZA"/>
              </w:rPr>
              <w:t xml:space="preserve">, </w:t>
            </w:r>
            <w:r w:rsidRPr="0053423A">
              <w:rPr>
                <w:rFonts w:eastAsia="Calibri" w:cs="Times New Roman"/>
                <w:sz w:val="20"/>
                <w:szCs w:val="20"/>
              </w:rPr>
              <w:t>որ</w:t>
            </w:r>
            <w:r w:rsidRPr="0053423A">
              <w:rPr>
                <w:rFonts w:eastAsia="Calibri" w:cs="Times New Roman"/>
                <w:sz w:val="20"/>
                <w:szCs w:val="20"/>
                <w:lang w:val="af-ZA"/>
              </w:rPr>
              <w:t xml:space="preserve"> </w:t>
            </w:r>
            <w:r w:rsidRPr="0053423A">
              <w:rPr>
                <w:rFonts w:eastAsia="Calibri" w:cs="Times New Roman"/>
                <w:sz w:val="20"/>
                <w:szCs w:val="20"/>
              </w:rPr>
              <w:t>յուրաքանչյուր</w:t>
            </w:r>
            <w:r w:rsidRPr="0053423A">
              <w:rPr>
                <w:rFonts w:eastAsia="Calibri" w:cs="Times New Roman"/>
                <w:sz w:val="20"/>
                <w:szCs w:val="20"/>
                <w:lang w:val="af-ZA"/>
              </w:rPr>
              <w:t xml:space="preserve"> </w:t>
            </w:r>
            <w:r w:rsidRPr="0053423A">
              <w:rPr>
                <w:rFonts w:eastAsia="Calibri" w:cs="Times New Roman"/>
                <w:sz w:val="20"/>
                <w:szCs w:val="20"/>
              </w:rPr>
              <w:t>շահառու</w:t>
            </w:r>
            <w:r w:rsidRPr="0053423A">
              <w:rPr>
                <w:rFonts w:eastAsia="Calibri" w:cs="Times New Roman"/>
                <w:sz w:val="20"/>
                <w:szCs w:val="20"/>
                <w:lang w:val="af-ZA"/>
              </w:rPr>
              <w:t xml:space="preserve"> </w:t>
            </w:r>
            <w:r w:rsidRPr="0053423A">
              <w:rPr>
                <w:rFonts w:eastAsia="Calibri" w:cs="Times New Roman"/>
                <w:sz w:val="20"/>
                <w:szCs w:val="20"/>
              </w:rPr>
              <w:t>ունի</w:t>
            </w:r>
            <w:r w:rsidRPr="0053423A">
              <w:rPr>
                <w:rFonts w:eastAsia="Calibri" w:cs="Times New Roman"/>
                <w:sz w:val="20"/>
                <w:szCs w:val="20"/>
                <w:lang w:val="af-ZA"/>
              </w:rPr>
              <w:t xml:space="preserve"> </w:t>
            </w:r>
            <w:r w:rsidRPr="0053423A">
              <w:rPr>
                <w:rFonts w:eastAsia="Calibri" w:cs="Times New Roman"/>
                <w:sz w:val="20"/>
                <w:szCs w:val="20"/>
              </w:rPr>
              <w:t>իր</w:t>
            </w:r>
            <w:r w:rsidRPr="0053423A">
              <w:rPr>
                <w:rFonts w:eastAsia="Calibri" w:cs="Times New Roman"/>
                <w:sz w:val="20"/>
                <w:szCs w:val="20"/>
                <w:lang w:val="af-ZA"/>
              </w:rPr>
              <w:t xml:space="preserve"> </w:t>
            </w:r>
            <w:r w:rsidRPr="0053423A">
              <w:rPr>
                <w:rFonts w:eastAsia="Calibri" w:cs="Times New Roman"/>
                <w:sz w:val="20"/>
                <w:szCs w:val="20"/>
              </w:rPr>
              <w:t>կարիքները՝</w:t>
            </w:r>
            <w:r w:rsidRPr="0053423A">
              <w:rPr>
                <w:rFonts w:eastAsia="Calibri" w:cs="Times New Roman"/>
                <w:sz w:val="20"/>
                <w:szCs w:val="20"/>
                <w:lang w:val="af-ZA"/>
              </w:rPr>
              <w:t xml:space="preserve"> </w:t>
            </w:r>
            <w:r w:rsidRPr="0053423A">
              <w:rPr>
                <w:rFonts w:eastAsia="Calibri" w:cs="Times New Roman"/>
                <w:sz w:val="20"/>
                <w:szCs w:val="20"/>
              </w:rPr>
              <w:t>թեթև</w:t>
            </w:r>
            <w:r w:rsidRPr="0053423A">
              <w:rPr>
                <w:rFonts w:eastAsia="Calibri" w:cs="Times New Roman"/>
                <w:sz w:val="20"/>
                <w:szCs w:val="20"/>
                <w:lang w:val="af-ZA"/>
              </w:rPr>
              <w:t xml:space="preserve">, </w:t>
            </w:r>
            <w:r w:rsidRPr="0053423A">
              <w:rPr>
                <w:rFonts w:eastAsia="Calibri" w:cs="Times New Roman"/>
                <w:sz w:val="20"/>
                <w:szCs w:val="20"/>
              </w:rPr>
              <w:t>միջին</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ծանր</w:t>
            </w:r>
            <w:r w:rsidRPr="0053423A">
              <w:rPr>
                <w:rFonts w:eastAsia="Calibri" w:cs="Times New Roman"/>
                <w:sz w:val="20"/>
                <w:szCs w:val="20"/>
                <w:lang w:val="af-ZA"/>
              </w:rPr>
              <w:t xml:space="preserve"> </w:t>
            </w:r>
            <w:r w:rsidRPr="0053423A">
              <w:rPr>
                <w:rFonts w:eastAsia="Calibri" w:cs="Times New Roman"/>
                <w:sz w:val="20"/>
                <w:szCs w:val="20"/>
              </w:rPr>
              <w:t>ու</w:t>
            </w:r>
            <w:r w:rsidRPr="0053423A">
              <w:rPr>
                <w:rFonts w:eastAsia="Calibri" w:cs="Times New Roman"/>
                <w:sz w:val="20"/>
                <w:szCs w:val="20"/>
                <w:lang w:val="af-ZA"/>
              </w:rPr>
              <w:t xml:space="preserve"> </w:t>
            </w:r>
            <w:r w:rsidRPr="0053423A">
              <w:rPr>
                <w:rFonts w:eastAsia="Calibri" w:cs="Times New Roman"/>
                <w:sz w:val="20"/>
                <w:szCs w:val="20"/>
              </w:rPr>
              <w:t>քրոնիկ</w:t>
            </w:r>
            <w:r w:rsidRPr="0053423A">
              <w:rPr>
                <w:rFonts w:eastAsia="Calibri" w:cs="Times New Roman"/>
                <w:sz w:val="20"/>
                <w:szCs w:val="20"/>
                <w:lang w:val="af-ZA"/>
              </w:rPr>
              <w:t xml:space="preserve"> </w:t>
            </w:r>
            <w:r w:rsidRPr="0053423A">
              <w:rPr>
                <w:rFonts w:eastAsia="Calibri" w:cs="Times New Roman"/>
                <w:sz w:val="20"/>
                <w:szCs w:val="20"/>
              </w:rPr>
              <w:t>կարգավիճակով</w:t>
            </w:r>
            <w:r w:rsidRPr="0053423A">
              <w:rPr>
                <w:rFonts w:eastAsia="Calibri" w:cs="Times New Roman"/>
                <w:sz w:val="20"/>
                <w:szCs w:val="20"/>
                <w:lang w:val="af-ZA"/>
              </w:rPr>
              <w:t xml:space="preserve">: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lang w:val="af-ZA"/>
              </w:rPr>
              <w:t xml:space="preserve">7) </w:t>
            </w:r>
            <w:r w:rsidRPr="0053423A">
              <w:rPr>
                <w:rFonts w:eastAsia="Calibri" w:cs="Times New Roman"/>
                <w:sz w:val="20"/>
                <w:szCs w:val="20"/>
              </w:rPr>
              <w:t>ՀՀ</w:t>
            </w:r>
            <w:r w:rsidRPr="0053423A">
              <w:rPr>
                <w:rFonts w:eastAsia="Calibri" w:cs="Times New Roman"/>
                <w:sz w:val="20"/>
                <w:szCs w:val="20"/>
                <w:lang w:val="af-ZA"/>
              </w:rPr>
              <w:t xml:space="preserve"> </w:t>
            </w:r>
            <w:r w:rsidRPr="0053423A">
              <w:rPr>
                <w:rFonts w:eastAsia="Calibri" w:cs="Times New Roman"/>
                <w:sz w:val="20"/>
                <w:szCs w:val="20"/>
              </w:rPr>
              <w:t>պետական</w:t>
            </w:r>
            <w:r w:rsidRPr="0053423A">
              <w:rPr>
                <w:rFonts w:eastAsia="Calibri" w:cs="Times New Roman"/>
                <w:sz w:val="20"/>
                <w:szCs w:val="20"/>
                <w:lang w:val="af-ZA"/>
              </w:rPr>
              <w:t xml:space="preserve"> </w:t>
            </w:r>
            <w:r w:rsidRPr="0053423A">
              <w:rPr>
                <w:rFonts w:eastAsia="Calibri" w:cs="Times New Roman"/>
                <w:sz w:val="20"/>
                <w:szCs w:val="20"/>
              </w:rPr>
              <w:t>բյուջեում</w:t>
            </w:r>
            <w:r w:rsidRPr="0053423A">
              <w:rPr>
                <w:rFonts w:eastAsia="Calibri" w:cs="Times New Roman"/>
                <w:sz w:val="20"/>
                <w:szCs w:val="20"/>
                <w:lang w:val="af-ZA"/>
              </w:rPr>
              <w:t xml:space="preserve"> «</w:t>
            </w:r>
            <w:r w:rsidRPr="0053423A">
              <w:rPr>
                <w:rFonts w:eastAsia="Calibri" w:cs="Times New Roman"/>
                <w:sz w:val="20"/>
                <w:szCs w:val="20"/>
              </w:rPr>
              <w:t>Սոցիալապես</w:t>
            </w:r>
            <w:r w:rsidRPr="0053423A">
              <w:rPr>
                <w:rFonts w:eastAsia="Calibri" w:cs="Times New Roman"/>
                <w:sz w:val="20"/>
                <w:szCs w:val="20"/>
                <w:lang w:val="af-ZA"/>
              </w:rPr>
              <w:t xml:space="preserve"> </w:t>
            </w:r>
            <w:r w:rsidRPr="0053423A">
              <w:rPr>
                <w:rFonts w:eastAsia="Calibri" w:cs="Times New Roman"/>
                <w:sz w:val="20"/>
                <w:szCs w:val="20"/>
              </w:rPr>
              <w:t>անապահով</w:t>
            </w:r>
            <w:r w:rsidRPr="0053423A">
              <w:rPr>
                <w:rFonts w:eastAsia="Calibri" w:cs="Times New Roman"/>
                <w:sz w:val="20"/>
                <w:szCs w:val="20"/>
                <w:lang w:val="af-ZA"/>
              </w:rPr>
              <w:t xml:space="preserve"> </w:t>
            </w:r>
            <w:r w:rsidRPr="0053423A">
              <w:rPr>
                <w:rFonts w:eastAsia="Calibri" w:cs="Times New Roman"/>
                <w:sz w:val="20"/>
                <w:szCs w:val="20"/>
              </w:rPr>
              <w:t>ընտանիքների</w:t>
            </w:r>
            <w:r w:rsidRPr="0053423A">
              <w:rPr>
                <w:rFonts w:eastAsia="Calibri" w:cs="Times New Roman"/>
                <w:sz w:val="20"/>
                <w:szCs w:val="20"/>
                <w:lang w:val="af-ZA"/>
              </w:rPr>
              <w:t xml:space="preserve"> </w:t>
            </w:r>
            <w:r w:rsidRPr="0053423A">
              <w:rPr>
                <w:rFonts w:eastAsia="Calibri" w:cs="Times New Roman"/>
                <w:sz w:val="20"/>
                <w:szCs w:val="20"/>
              </w:rPr>
              <w:t>աջակցություն</w:t>
            </w:r>
            <w:r w:rsidRPr="0053423A">
              <w:rPr>
                <w:rFonts w:eastAsia="Calibri" w:cs="Times New Roman"/>
                <w:sz w:val="20"/>
                <w:szCs w:val="20"/>
                <w:lang w:val="af-ZA"/>
              </w:rPr>
              <w:t xml:space="preserve">» </w:t>
            </w:r>
            <w:r w:rsidRPr="0053423A">
              <w:rPr>
                <w:rFonts w:eastAsia="Calibri" w:cs="Times New Roman"/>
                <w:sz w:val="20"/>
                <w:szCs w:val="20"/>
              </w:rPr>
              <w:t>ծրագրում</w:t>
            </w:r>
            <w:r w:rsidRPr="0053423A">
              <w:rPr>
                <w:rFonts w:eastAsia="Calibri" w:cs="Times New Roman"/>
                <w:sz w:val="20"/>
                <w:szCs w:val="20"/>
                <w:lang w:val="af-ZA"/>
              </w:rPr>
              <w:t xml:space="preserve"> </w:t>
            </w:r>
            <w:r w:rsidRPr="0053423A">
              <w:rPr>
                <w:rFonts w:eastAsia="Calibri" w:cs="Times New Roman"/>
                <w:sz w:val="20"/>
                <w:szCs w:val="20"/>
              </w:rPr>
              <w:t>ներառված</w:t>
            </w:r>
            <w:r w:rsidRPr="0053423A">
              <w:rPr>
                <w:rFonts w:eastAsia="Calibri" w:cs="Times New Roman"/>
                <w:sz w:val="20"/>
                <w:szCs w:val="20"/>
                <w:lang w:val="af-ZA"/>
              </w:rPr>
              <w:t xml:space="preserve"> </w:t>
            </w:r>
            <w:r w:rsidRPr="0053423A">
              <w:rPr>
                <w:rFonts w:eastAsia="Calibri" w:cs="Times New Roman"/>
                <w:sz w:val="20"/>
                <w:szCs w:val="20"/>
              </w:rPr>
              <w:t>են</w:t>
            </w:r>
            <w:r w:rsidRPr="0053423A">
              <w:rPr>
                <w:rFonts w:eastAsia="Calibri" w:cs="Times New Roman"/>
                <w:sz w:val="20"/>
                <w:szCs w:val="20"/>
                <w:lang w:val="af-ZA"/>
              </w:rPr>
              <w:t xml:space="preserve"> </w:t>
            </w:r>
            <w:r w:rsidRPr="0053423A">
              <w:rPr>
                <w:rFonts w:eastAsia="Calibri" w:cs="Times New Roman"/>
                <w:sz w:val="20"/>
                <w:szCs w:val="20"/>
              </w:rPr>
              <w:t>նաև</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դեպքի</w:t>
            </w:r>
            <w:r w:rsidRPr="0053423A">
              <w:rPr>
                <w:rFonts w:eastAsia="Calibri" w:cs="Times New Roman"/>
                <w:sz w:val="20"/>
                <w:szCs w:val="20"/>
                <w:lang w:val="af-ZA"/>
              </w:rPr>
              <w:t xml:space="preserve"> </w:t>
            </w:r>
            <w:r w:rsidRPr="0053423A">
              <w:rPr>
                <w:rFonts w:eastAsia="Calibri" w:cs="Times New Roman"/>
                <w:sz w:val="20"/>
                <w:szCs w:val="20"/>
              </w:rPr>
              <w:t>վարման</w:t>
            </w:r>
            <w:r w:rsidRPr="0053423A">
              <w:rPr>
                <w:rFonts w:eastAsia="Calibri" w:cs="Times New Roman"/>
                <w:sz w:val="20"/>
                <w:szCs w:val="20"/>
                <w:lang w:val="af-ZA"/>
              </w:rPr>
              <w:t xml:space="preserve"> </w:t>
            </w:r>
            <w:r w:rsidRPr="0053423A">
              <w:rPr>
                <w:rFonts w:eastAsia="Calibri" w:cs="Times New Roman"/>
                <w:sz w:val="20"/>
                <w:szCs w:val="20"/>
              </w:rPr>
              <w:t>ծառայության</w:t>
            </w:r>
            <w:r w:rsidRPr="0053423A">
              <w:rPr>
                <w:rFonts w:eastAsia="Calibri" w:cs="Times New Roman"/>
                <w:sz w:val="20"/>
                <w:szCs w:val="20"/>
                <w:lang w:val="af-ZA"/>
              </w:rPr>
              <w:t xml:space="preserve"> </w:t>
            </w:r>
            <w:r w:rsidRPr="0053423A">
              <w:rPr>
                <w:rFonts w:eastAsia="Calibri" w:cs="Times New Roman"/>
                <w:sz w:val="20"/>
                <w:szCs w:val="20"/>
              </w:rPr>
              <w:t>ձեռք</w:t>
            </w:r>
            <w:r w:rsidRPr="0053423A">
              <w:rPr>
                <w:rFonts w:eastAsia="Calibri" w:cs="Times New Roman"/>
                <w:sz w:val="20"/>
                <w:szCs w:val="20"/>
                <w:lang w:val="af-ZA"/>
              </w:rPr>
              <w:t xml:space="preserve"> </w:t>
            </w:r>
            <w:r w:rsidRPr="0053423A">
              <w:rPr>
                <w:rFonts w:eastAsia="Calibri" w:cs="Times New Roman"/>
                <w:sz w:val="20"/>
                <w:szCs w:val="20"/>
              </w:rPr>
              <w:t>բերում</w:t>
            </w:r>
            <w:r w:rsidRPr="0053423A">
              <w:rPr>
                <w:rFonts w:eastAsia="Calibri" w:cs="Times New Roman"/>
                <w:sz w:val="20"/>
                <w:szCs w:val="20"/>
                <w:lang w:val="af-ZA"/>
              </w:rPr>
              <w:t>», «</w:t>
            </w:r>
            <w:r w:rsidRPr="0053423A">
              <w:rPr>
                <w:rFonts w:eastAsia="Calibri" w:cs="Times New Roman"/>
                <w:sz w:val="20"/>
                <w:szCs w:val="20"/>
              </w:rPr>
              <w:t>Կայնքի</w:t>
            </w:r>
            <w:r w:rsidRPr="0053423A">
              <w:rPr>
                <w:rFonts w:eastAsia="Calibri" w:cs="Times New Roman"/>
                <w:sz w:val="20"/>
                <w:szCs w:val="20"/>
                <w:lang w:val="af-ZA"/>
              </w:rPr>
              <w:t xml:space="preserve"> </w:t>
            </w:r>
            <w:r w:rsidRPr="0053423A">
              <w:rPr>
                <w:rFonts w:eastAsia="Calibri" w:cs="Times New Roman"/>
                <w:sz w:val="20"/>
                <w:szCs w:val="20"/>
              </w:rPr>
              <w:t>դժվարին</w:t>
            </w:r>
            <w:r w:rsidRPr="0053423A">
              <w:rPr>
                <w:rFonts w:eastAsia="Calibri" w:cs="Times New Roman"/>
                <w:sz w:val="20"/>
                <w:szCs w:val="20"/>
                <w:lang w:val="af-ZA"/>
              </w:rPr>
              <w:t xml:space="preserve"> </w:t>
            </w:r>
            <w:r w:rsidRPr="0053423A">
              <w:rPr>
                <w:rFonts w:eastAsia="Calibri" w:cs="Times New Roman"/>
                <w:sz w:val="20"/>
                <w:szCs w:val="20"/>
              </w:rPr>
              <w:t>իրավիճակում</w:t>
            </w:r>
            <w:r w:rsidRPr="0053423A">
              <w:rPr>
                <w:rFonts w:eastAsia="Calibri" w:cs="Times New Roman"/>
                <w:sz w:val="20"/>
                <w:szCs w:val="20"/>
                <w:lang w:val="af-ZA"/>
              </w:rPr>
              <w:t xml:space="preserve"> </w:t>
            </w:r>
            <w:r w:rsidRPr="0053423A">
              <w:rPr>
                <w:rFonts w:eastAsia="Calibri" w:cs="Times New Roman"/>
                <w:sz w:val="20"/>
                <w:szCs w:val="20"/>
              </w:rPr>
              <w:t>հայտնված</w:t>
            </w:r>
            <w:r w:rsidRPr="0053423A">
              <w:rPr>
                <w:rFonts w:eastAsia="Calibri" w:cs="Times New Roman"/>
                <w:sz w:val="20"/>
                <w:szCs w:val="20"/>
                <w:lang w:val="af-ZA"/>
              </w:rPr>
              <w:t xml:space="preserve"> </w:t>
            </w:r>
            <w:r w:rsidRPr="0053423A">
              <w:rPr>
                <w:rFonts w:eastAsia="Calibri" w:cs="Times New Roman"/>
                <w:sz w:val="20"/>
                <w:szCs w:val="20"/>
              </w:rPr>
              <w:t>անձանց</w:t>
            </w:r>
            <w:r w:rsidRPr="0053423A">
              <w:rPr>
                <w:rFonts w:eastAsia="Calibri" w:cs="Times New Roman"/>
                <w:sz w:val="20"/>
                <w:szCs w:val="20"/>
                <w:lang w:val="af-ZA"/>
              </w:rPr>
              <w:t xml:space="preserve"> (</w:t>
            </w:r>
            <w:r w:rsidRPr="0053423A">
              <w:rPr>
                <w:rFonts w:eastAsia="Calibri" w:cs="Times New Roman"/>
                <w:sz w:val="20"/>
                <w:szCs w:val="20"/>
              </w:rPr>
              <w:t>ընտանիքներին</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աջակցության</w:t>
            </w:r>
            <w:r w:rsidRPr="0053423A">
              <w:rPr>
                <w:rFonts w:eastAsia="Calibri" w:cs="Times New Roman"/>
                <w:sz w:val="20"/>
                <w:szCs w:val="20"/>
                <w:lang w:val="af-ZA"/>
              </w:rPr>
              <w:t xml:space="preserve"> </w:t>
            </w:r>
            <w:r w:rsidRPr="0053423A">
              <w:rPr>
                <w:rFonts w:eastAsia="Calibri" w:cs="Times New Roman"/>
                <w:sz w:val="20"/>
                <w:szCs w:val="20"/>
              </w:rPr>
              <w:t>փաթեթի</w:t>
            </w:r>
            <w:r w:rsidRPr="0053423A">
              <w:rPr>
                <w:rFonts w:eastAsia="Calibri" w:cs="Times New Roman"/>
                <w:sz w:val="20"/>
                <w:szCs w:val="20"/>
                <w:lang w:val="af-ZA"/>
              </w:rPr>
              <w:t xml:space="preserve"> </w:t>
            </w:r>
            <w:r w:rsidRPr="0053423A">
              <w:rPr>
                <w:rFonts w:eastAsia="Calibri" w:cs="Times New Roman"/>
                <w:sz w:val="20"/>
                <w:szCs w:val="20"/>
              </w:rPr>
              <w:t>տրամադրում</w:t>
            </w:r>
            <w:r w:rsidRPr="0053423A">
              <w:rPr>
                <w:rFonts w:eastAsia="Calibri" w:cs="Times New Roman"/>
                <w:sz w:val="20"/>
                <w:szCs w:val="20"/>
                <w:lang w:val="af-ZA"/>
              </w:rPr>
              <w:t xml:space="preserve">» </w:t>
            </w:r>
            <w:r w:rsidRPr="0053423A">
              <w:rPr>
                <w:rFonts w:eastAsia="Calibri" w:cs="Times New Roman"/>
                <w:sz w:val="20"/>
                <w:szCs w:val="20"/>
              </w:rPr>
              <w:t>միջոցառումները</w:t>
            </w:r>
            <w:r w:rsidRPr="0053423A">
              <w:rPr>
                <w:rFonts w:eastAsia="Calibri" w:cs="Times New Roman"/>
                <w:sz w:val="20"/>
                <w:szCs w:val="20"/>
                <w:lang w:val="af-ZA"/>
              </w:rPr>
              <w:t xml:space="preserve">: </w:t>
            </w:r>
            <w:r w:rsidRPr="0053423A">
              <w:rPr>
                <w:rFonts w:eastAsia="Calibri" w:cs="Times New Roman"/>
                <w:sz w:val="20"/>
                <w:szCs w:val="20"/>
              </w:rPr>
              <w:t>Վերջին</w:t>
            </w:r>
            <w:r w:rsidRPr="0053423A">
              <w:rPr>
                <w:rFonts w:eastAsia="Calibri" w:cs="Times New Roman"/>
                <w:sz w:val="20"/>
                <w:szCs w:val="20"/>
                <w:lang w:val="af-ZA"/>
              </w:rPr>
              <w:t xml:space="preserve"> </w:t>
            </w:r>
            <w:r w:rsidRPr="0053423A">
              <w:rPr>
                <w:rFonts w:eastAsia="Calibri" w:cs="Times New Roman"/>
                <w:sz w:val="20"/>
                <w:szCs w:val="20"/>
              </w:rPr>
              <w:t>միջոցառումը</w:t>
            </w:r>
            <w:r w:rsidRPr="0053423A">
              <w:rPr>
                <w:rFonts w:eastAsia="Calibri" w:cs="Times New Roman"/>
                <w:sz w:val="20"/>
                <w:szCs w:val="20"/>
                <w:lang w:val="af-ZA"/>
              </w:rPr>
              <w:t xml:space="preserve"> </w:t>
            </w:r>
            <w:r w:rsidRPr="0053423A">
              <w:rPr>
                <w:rFonts w:eastAsia="Calibri" w:cs="Times New Roman"/>
                <w:sz w:val="20"/>
                <w:szCs w:val="20"/>
              </w:rPr>
              <w:t>կարող</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ունենալ</w:t>
            </w:r>
            <w:r w:rsidRPr="0053423A">
              <w:rPr>
                <w:rFonts w:eastAsia="Calibri" w:cs="Times New Roman"/>
                <w:sz w:val="20"/>
                <w:szCs w:val="20"/>
                <w:lang w:val="af-ZA"/>
              </w:rPr>
              <w:t xml:space="preserve"> </w:t>
            </w:r>
            <w:r w:rsidRPr="0053423A">
              <w:rPr>
                <w:rFonts w:eastAsia="Calibri" w:cs="Times New Roman"/>
                <w:sz w:val="20"/>
                <w:szCs w:val="20"/>
              </w:rPr>
              <w:t>ենթամիջոցառումներ՝</w:t>
            </w:r>
            <w:r w:rsidRPr="0053423A">
              <w:rPr>
                <w:rFonts w:eastAsia="Calibri" w:cs="Times New Roman"/>
                <w:sz w:val="20"/>
                <w:szCs w:val="20"/>
                <w:lang w:val="af-ZA"/>
              </w:rPr>
              <w:t xml:space="preserve"> </w:t>
            </w:r>
            <w:r w:rsidRPr="0053423A">
              <w:rPr>
                <w:rFonts w:eastAsia="Calibri" w:cs="Times New Roman"/>
                <w:sz w:val="20"/>
                <w:szCs w:val="20"/>
              </w:rPr>
              <w:t>ըստ</w:t>
            </w:r>
            <w:r w:rsidRPr="0053423A">
              <w:rPr>
                <w:rFonts w:eastAsia="Calibri" w:cs="Times New Roman"/>
                <w:sz w:val="20"/>
                <w:szCs w:val="20"/>
                <w:lang w:val="af-ZA"/>
              </w:rPr>
              <w:t xml:space="preserve"> </w:t>
            </w:r>
            <w:r w:rsidRPr="0053423A">
              <w:rPr>
                <w:rFonts w:eastAsia="Calibri" w:cs="Times New Roman"/>
                <w:sz w:val="20"/>
                <w:szCs w:val="20"/>
              </w:rPr>
              <w:t>սոցիալական</w:t>
            </w:r>
            <w:r w:rsidRPr="0053423A">
              <w:rPr>
                <w:rFonts w:eastAsia="Calibri" w:cs="Times New Roman"/>
                <w:sz w:val="20"/>
                <w:szCs w:val="20"/>
                <w:lang w:val="af-ZA"/>
              </w:rPr>
              <w:t xml:space="preserve"> </w:t>
            </w:r>
            <w:r w:rsidRPr="0053423A">
              <w:rPr>
                <w:rFonts w:eastAsia="Calibri" w:cs="Times New Roman"/>
                <w:sz w:val="20"/>
                <w:szCs w:val="20"/>
              </w:rPr>
              <w:t>կարիքների</w:t>
            </w:r>
            <w:r w:rsidRPr="0053423A">
              <w:rPr>
                <w:rFonts w:eastAsia="Calibri" w:cs="Times New Roman"/>
                <w:sz w:val="20"/>
                <w:szCs w:val="20"/>
                <w:lang w:val="af-ZA"/>
              </w:rPr>
              <w:t xml:space="preserve"> </w:t>
            </w:r>
            <w:r w:rsidRPr="0053423A">
              <w:rPr>
                <w:rFonts w:eastAsia="Calibri" w:cs="Times New Roman"/>
                <w:sz w:val="20"/>
                <w:szCs w:val="20"/>
              </w:rPr>
              <w:t>կամ</w:t>
            </w:r>
            <w:r w:rsidRPr="0053423A">
              <w:rPr>
                <w:rFonts w:eastAsia="Calibri" w:cs="Times New Roman"/>
                <w:sz w:val="20"/>
                <w:szCs w:val="20"/>
                <w:lang w:val="af-ZA"/>
              </w:rPr>
              <w:t xml:space="preserve"> </w:t>
            </w:r>
            <w:r w:rsidRPr="0053423A">
              <w:rPr>
                <w:rFonts w:eastAsia="Calibri" w:cs="Times New Roman"/>
                <w:sz w:val="20"/>
                <w:szCs w:val="20"/>
              </w:rPr>
              <w:t>շահառուների</w:t>
            </w:r>
            <w:r w:rsidRPr="0053423A">
              <w:rPr>
                <w:rFonts w:eastAsia="Calibri" w:cs="Times New Roman"/>
                <w:sz w:val="20"/>
                <w:szCs w:val="20"/>
                <w:lang w:val="af-ZA"/>
              </w:rPr>
              <w:t xml:space="preserve"> </w:t>
            </w:r>
            <w:r w:rsidRPr="0053423A">
              <w:rPr>
                <w:rFonts w:eastAsia="Calibri" w:cs="Times New Roman"/>
                <w:sz w:val="20"/>
                <w:szCs w:val="20"/>
              </w:rPr>
              <w:t>հիմնական</w:t>
            </w:r>
            <w:r w:rsidRPr="0053423A">
              <w:rPr>
                <w:rFonts w:eastAsia="Calibri" w:cs="Times New Roman"/>
                <w:sz w:val="20"/>
                <w:szCs w:val="20"/>
                <w:lang w:val="af-ZA"/>
              </w:rPr>
              <w:t xml:space="preserve"> </w:t>
            </w:r>
            <w:r w:rsidRPr="0053423A">
              <w:rPr>
                <w:rFonts w:eastAsia="Calibri" w:cs="Times New Roman"/>
                <w:sz w:val="20"/>
                <w:szCs w:val="20"/>
              </w:rPr>
              <w:t>խմբերի</w:t>
            </w:r>
            <w:r w:rsidRPr="0053423A">
              <w:rPr>
                <w:rFonts w:eastAsia="Calibri" w:cs="Times New Roman"/>
                <w:sz w:val="20"/>
                <w:szCs w:val="20"/>
                <w:lang w:val="af-ZA"/>
              </w:rPr>
              <w:t xml:space="preserve">: </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lang w:val="af-ZA"/>
              </w:rPr>
              <w:t xml:space="preserve">8) </w:t>
            </w:r>
            <w:r w:rsidRPr="0053423A">
              <w:rPr>
                <w:rFonts w:eastAsia="Calibri" w:cs="Times New Roman"/>
                <w:sz w:val="20"/>
                <w:szCs w:val="20"/>
              </w:rPr>
              <w:t>Սույն</w:t>
            </w:r>
            <w:r w:rsidRPr="0053423A">
              <w:rPr>
                <w:rFonts w:eastAsia="Calibri" w:cs="Times New Roman"/>
                <w:sz w:val="20"/>
                <w:szCs w:val="20"/>
                <w:lang w:val="af-ZA"/>
              </w:rPr>
              <w:t xml:space="preserve"> </w:t>
            </w:r>
            <w:r w:rsidRPr="0053423A">
              <w:rPr>
                <w:rFonts w:eastAsia="Calibri" w:cs="Times New Roman"/>
                <w:sz w:val="20"/>
                <w:szCs w:val="20"/>
              </w:rPr>
              <w:t>ծրագրի</w:t>
            </w:r>
            <w:r w:rsidRPr="0053423A">
              <w:rPr>
                <w:rFonts w:eastAsia="Calibri" w:cs="Times New Roman"/>
                <w:sz w:val="20"/>
                <w:szCs w:val="20"/>
                <w:lang w:val="af-ZA"/>
              </w:rPr>
              <w:t xml:space="preserve"> 7-</w:t>
            </w:r>
            <w:r w:rsidRPr="0053423A">
              <w:rPr>
                <w:rFonts w:eastAsia="Calibri" w:cs="Times New Roman"/>
                <w:sz w:val="20"/>
                <w:szCs w:val="20"/>
              </w:rPr>
              <w:t>րդ</w:t>
            </w:r>
            <w:r w:rsidRPr="0053423A">
              <w:rPr>
                <w:rFonts w:eastAsia="Calibri" w:cs="Times New Roman"/>
                <w:sz w:val="20"/>
                <w:szCs w:val="20"/>
                <w:lang w:val="af-ZA"/>
              </w:rPr>
              <w:t xml:space="preserve"> </w:t>
            </w:r>
            <w:r w:rsidRPr="0053423A">
              <w:rPr>
                <w:rFonts w:eastAsia="Calibri" w:cs="Times New Roman"/>
                <w:sz w:val="20"/>
                <w:szCs w:val="20"/>
              </w:rPr>
              <w:t>կետով</w:t>
            </w:r>
            <w:r w:rsidRPr="0053423A">
              <w:rPr>
                <w:rFonts w:eastAsia="Calibri" w:cs="Times New Roman"/>
                <w:sz w:val="20"/>
                <w:szCs w:val="20"/>
                <w:lang w:val="af-ZA"/>
              </w:rPr>
              <w:t xml:space="preserve"> </w:t>
            </w:r>
            <w:r w:rsidRPr="0053423A">
              <w:rPr>
                <w:rFonts w:eastAsia="Calibri" w:cs="Times New Roman"/>
                <w:sz w:val="20"/>
                <w:szCs w:val="20"/>
              </w:rPr>
              <w:t>նախատեսված</w:t>
            </w:r>
            <w:r w:rsidRPr="0053423A">
              <w:rPr>
                <w:rFonts w:eastAsia="Calibri" w:cs="Times New Roman"/>
                <w:sz w:val="20"/>
                <w:szCs w:val="20"/>
                <w:lang w:val="af-ZA"/>
              </w:rPr>
              <w:t xml:space="preserve"> </w:t>
            </w:r>
            <w:r w:rsidRPr="0053423A">
              <w:rPr>
                <w:rFonts w:eastAsia="Calibri" w:cs="Times New Roman"/>
                <w:sz w:val="20"/>
                <w:szCs w:val="20"/>
              </w:rPr>
              <w:t>միջոցառումների</w:t>
            </w:r>
            <w:r w:rsidRPr="0053423A">
              <w:rPr>
                <w:rFonts w:eastAsia="Calibri" w:cs="Times New Roman"/>
                <w:sz w:val="20"/>
                <w:szCs w:val="20"/>
                <w:lang w:val="af-ZA"/>
              </w:rPr>
              <w:t xml:space="preserve"> </w:t>
            </w:r>
            <w:r w:rsidRPr="0053423A">
              <w:rPr>
                <w:rFonts w:eastAsia="Calibri" w:cs="Times New Roman"/>
                <w:sz w:val="20"/>
                <w:szCs w:val="20"/>
              </w:rPr>
              <w:t>իրականացվելու</w:t>
            </w:r>
            <w:r w:rsidRPr="0053423A">
              <w:rPr>
                <w:rFonts w:eastAsia="Calibri" w:cs="Times New Roman"/>
                <w:sz w:val="20"/>
                <w:szCs w:val="20"/>
                <w:lang w:val="af-ZA"/>
              </w:rPr>
              <w:t xml:space="preserve"> </w:t>
            </w:r>
            <w:r w:rsidRPr="0053423A">
              <w:rPr>
                <w:rFonts w:eastAsia="Calibri" w:cs="Times New Roman"/>
                <w:sz w:val="20"/>
                <w:szCs w:val="20"/>
              </w:rPr>
              <w:t>են</w:t>
            </w:r>
            <w:r w:rsidRPr="0053423A">
              <w:rPr>
                <w:rFonts w:eastAsia="Calibri" w:cs="Times New Roman"/>
                <w:sz w:val="20"/>
                <w:szCs w:val="20"/>
                <w:lang w:val="af-ZA"/>
              </w:rPr>
              <w:t xml:space="preserve"> </w:t>
            </w:r>
            <w:r w:rsidRPr="0053423A">
              <w:rPr>
                <w:rFonts w:eastAsia="Calibri" w:cs="Times New Roman"/>
                <w:sz w:val="20"/>
                <w:szCs w:val="20"/>
              </w:rPr>
              <w:t>մրցույթային</w:t>
            </w:r>
            <w:r w:rsidRPr="0053423A">
              <w:rPr>
                <w:rFonts w:eastAsia="Calibri" w:cs="Times New Roman"/>
                <w:sz w:val="20"/>
                <w:szCs w:val="20"/>
                <w:lang w:val="af-ZA"/>
              </w:rPr>
              <w:t xml:space="preserve"> </w:t>
            </w:r>
            <w:r w:rsidRPr="0053423A">
              <w:rPr>
                <w:rFonts w:eastAsia="Calibri" w:cs="Times New Roman"/>
                <w:sz w:val="20"/>
                <w:szCs w:val="20"/>
              </w:rPr>
              <w:t>հիմունքներով</w:t>
            </w:r>
            <w:r w:rsidRPr="0053423A">
              <w:rPr>
                <w:rFonts w:eastAsia="Calibri" w:cs="Times New Roman"/>
                <w:sz w:val="20"/>
                <w:szCs w:val="20"/>
                <w:lang w:val="af-ZA"/>
              </w:rPr>
              <w:t xml:space="preserve"> </w:t>
            </w:r>
            <w:r w:rsidRPr="0053423A">
              <w:rPr>
                <w:rFonts w:eastAsia="Calibri" w:cs="Times New Roman"/>
                <w:sz w:val="20"/>
                <w:szCs w:val="20"/>
              </w:rPr>
              <w:t>ընտրված</w:t>
            </w:r>
            <w:r w:rsidRPr="0053423A">
              <w:rPr>
                <w:rFonts w:eastAsia="Calibri" w:cs="Times New Roman"/>
                <w:sz w:val="20"/>
                <w:szCs w:val="20"/>
                <w:lang w:val="af-ZA"/>
              </w:rPr>
              <w:t xml:space="preserve"> </w:t>
            </w:r>
            <w:r w:rsidRPr="0053423A">
              <w:rPr>
                <w:rFonts w:eastAsia="Calibri" w:cs="Times New Roman"/>
                <w:sz w:val="20"/>
                <w:szCs w:val="20"/>
              </w:rPr>
              <w:t>կազմակերպությունների</w:t>
            </w:r>
            <w:r w:rsidRPr="0053423A">
              <w:rPr>
                <w:rFonts w:eastAsia="Calibri" w:cs="Times New Roman"/>
                <w:sz w:val="20"/>
                <w:szCs w:val="20"/>
                <w:lang w:val="af-ZA"/>
              </w:rPr>
              <w:t xml:space="preserve"> </w:t>
            </w:r>
            <w:r w:rsidRPr="0053423A">
              <w:rPr>
                <w:rFonts w:eastAsia="Calibri" w:cs="Times New Roman"/>
                <w:sz w:val="20"/>
                <w:szCs w:val="20"/>
              </w:rPr>
              <w:t>միջոցով</w:t>
            </w:r>
            <w:r w:rsidRPr="0053423A">
              <w:rPr>
                <w:rFonts w:eastAsia="Calibri" w:cs="Times New Roman"/>
                <w:sz w:val="20"/>
                <w:szCs w:val="20"/>
                <w:lang w:val="af-ZA"/>
              </w:rPr>
              <w:t xml:space="preserve">: </w:t>
            </w:r>
            <w:r w:rsidRPr="0053423A">
              <w:rPr>
                <w:rFonts w:eastAsia="Calibri" w:cs="Times New Roman"/>
                <w:sz w:val="20"/>
                <w:szCs w:val="20"/>
              </w:rPr>
              <w:t>Մրցույթին</w:t>
            </w:r>
            <w:r w:rsidRPr="0053423A">
              <w:rPr>
                <w:rFonts w:eastAsia="Calibri" w:cs="Times New Roman"/>
                <w:sz w:val="20"/>
                <w:szCs w:val="20"/>
                <w:lang w:val="af-ZA"/>
              </w:rPr>
              <w:t xml:space="preserve"> </w:t>
            </w:r>
            <w:r w:rsidRPr="0053423A">
              <w:rPr>
                <w:rFonts w:eastAsia="Calibri" w:cs="Times New Roman"/>
                <w:sz w:val="20"/>
                <w:szCs w:val="20"/>
              </w:rPr>
              <w:t>մասնակցելու</w:t>
            </w:r>
            <w:r w:rsidRPr="0053423A">
              <w:rPr>
                <w:rFonts w:eastAsia="Calibri" w:cs="Times New Roman"/>
                <w:sz w:val="20"/>
                <w:szCs w:val="20"/>
                <w:lang w:val="af-ZA"/>
              </w:rPr>
              <w:t xml:space="preserve"> </w:t>
            </w:r>
            <w:r w:rsidRPr="0053423A">
              <w:rPr>
                <w:rFonts w:eastAsia="Calibri" w:cs="Times New Roman"/>
                <w:sz w:val="20"/>
                <w:szCs w:val="20"/>
              </w:rPr>
              <w:t>իրավասություն</w:t>
            </w:r>
            <w:r w:rsidRPr="0053423A">
              <w:rPr>
                <w:rFonts w:eastAsia="Calibri" w:cs="Times New Roman"/>
                <w:sz w:val="20"/>
                <w:szCs w:val="20"/>
                <w:lang w:val="af-ZA"/>
              </w:rPr>
              <w:t xml:space="preserve"> </w:t>
            </w:r>
            <w:r w:rsidRPr="0053423A">
              <w:rPr>
                <w:rFonts w:eastAsia="Calibri" w:cs="Times New Roman"/>
                <w:sz w:val="20"/>
                <w:szCs w:val="20"/>
              </w:rPr>
              <w:t>կունենա</w:t>
            </w:r>
            <w:r w:rsidRPr="0053423A">
              <w:rPr>
                <w:rFonts w:eastAsia="Calibri" w:cs="Times New Roman"/>
                <w:sz w:val="20"/>
                <w:szCs w:val="20"/>
                <w:lang w:val="af-ZA"/>
              </w:rPr>
              <w:t xml:space="preserve"> </w:t>
            </w:r>
            <w:r w:rsidRPr="0053423A">
              <w:rPr>
                <w:rFonts w:eastAsia="Calibri" w:cs="Times New Roman"/>
                <w:sz w:val="20"/>
                <w:szCs w:val="20"/>
              </w:rPr>
              <w:t>այն</w:t>
            </w:r>
            <w:r w:rsidRPr="0053423A">
              <w:rPr>
                <w:rFonts w:eastAsia="Calibri" w:cs="Times New Roman"/>
                <w:sz w:val="20"/>
                <w:szCs w:val="20"/>
                <w:lang w:val="af-ZA"/>
              </w:rPr>
              <w:t xml:space="preserve"> </w:t>
            </w:r>
            <w:r w:rsidRPr="0053423A">
              <w:rPr>
                <w:rFonts w:eastAsia="Calibri" w:cs="Times New Roman"/>
                <w:sz w:val="20"/>
                <w:szCs w:val="20"/>
              </w:rPr>
              <w:t>կազմակերպությունը</w:t>
            </w:r>
            <w:r w:rsidRPr="0053423A">
              <w:rPr>
                <w:rFonts w:eastAsia="Calibri" w:cs="Times New Roman"/>
                <w:sz w:val="20"/>
                <w:szCs w:val="20"/>
                <w:lang w:val="af-ZA"/>
              </w:rPr>
              <w:t xml:space="preserve">, </w:t>
            </w:r>
            <w:r w:rsidRPr="0053423A">
              <w:rPr>
                <w:rFonts w:eastAsia="Calibri" w:cs="Times New Roman"/>
                <w:sz w:val="20"/>
                <w:szCs w:val="20"/>
              </w:rPr>
              <w:t>որը</w:t>
            </w:r>
            <w:r w:rsidRPr="0053423A">
              <w:rPr>
                <w:rFonts w:eastAsia="Calibri" w:cs="Times New Roman"/>
                <w:sz w:val="20"/>
                <w:szCs w:val="20"/>
                <w:lang w:val="af-ZA"/>
              </w:rPr>
              <w:t xml:space="preserve"> </w:t>
            </w:r>
            <w:r w:rsidRPr="0053423A">
              <w:rPr>
                <w:rFonts w:eastAsia="Calibri" w:cs="Times New Roman"/>
                <w:sz w:val="20"/>
                <w:szCs w:val="20"/>
              </w:rPr>
              <w:t>կբավարարի</w:t>
            </w:r>
            <w:r w:rsidRPr="0053423A">
              <w:rPr>
                <w:rFonts w:eastAsia="Calibri" w:cs="Times New Roman"/>
                <w:sz w:val="20"/>
                <w:szCs w:val="20"/>
                <w:lang w:val="af-ZA"/>
              </w:rPr>
              <w:t xml:space="preserve"> </w:t>
            </w:r>
            <w:r w:rsidRPr="0053423A">
              <w:rPr>
                <w:rFonts w:eastAsia="Calibri" w:cs="Times New Roman"/>
                <w:sz w:val="20"/>
                <w:szCs w:val="20"/>
              </w:rPr>
              <w:t>ծրագրի</w:t>
            </w:r>
            <w:r w:rsidRPr="0053423A">
              <w:rPr>
                <w:rFonts w:eastAsia="Calibri" w:cs="Times New Roman"/>
                <w:sz w:val="20"/>
                <w:szCs w:val="20"/>
                <w:lang w:val="af-ZA"/>
              </w:rPr>
              <w:t xml:space="preserve"> </w:t>
            </w:r>
            <w:r w:rsidRPr="0053423A">
              <w:rPr>
                <w:rFonts w:eastAsia="Calibri" w:cs="Times New Roman"/>
                <w:sz w:val="20"/>
                <w:szCs w:val="20"/>
              </w:rPr>
              <w:t>համար</w:t>
            </w:r>
            <w:r w:rsidRPr="0053423A">
              <w:rPr>
                <w:rFonts w:eastAsia="Calibri" w:cs="Times New Roman"/>
                <w:sz w:val="20"/>
                <w:szCs w:val="20"/>
                <w:lang w:val="af-ZA"/>
              </w:rPr>
              <w:t xml:space="preserve"> </w:t>
            </w:r>
            <w:r w:rsidRPr="0053423A">
              <w:rPr>
                <w:rFonts w:eastAsia="Calibri" w:cs="Times New Roman"/>
                <w:sz w:val="20"/>
                <w:szCs w:val="20"/>
              </w:rPr>
              <w:t>սահմանված</w:t>
            </w:r>
            <w:r w:rsidRPr="0053423A">
              <w:rPr>
                <w:rFonts w:eastAsia="Calibri" w:cs="Times New Roman"/>
                <w:sz w:val="20"/>
                <w:szCs w:val="20"/>
                <w:lang w:val="af-ZA"/>
              </w:rPr>
              <w:t xml:space="preserve"> </w:t>
            </w:r>
            <w:r w:rsidRPr="0053423A">
              <w:rPr>
                <w:rFonts w:eastAsia="Calibri" w:cs="Times New Roman"/>
                <w:sz w:val="20"/>
                <w:szCs w:val="20"/>
              </w:rPr>
              <w:t>չափորոշիչներով</w:t>
            </w:r>
            <w:r w:rsidRPr="0053423A">
              <w:rPr>
                <w:rFonts w:eastAsia="Calibri" w:cs="Times New Roman"/>
                <w:sz w:val="20"/>
                <w:szCs w:val="20"/>
                <w:lang w:val="af-ZA"/>
              </w:rPr>
              <w:t xml:space="preserve"> </w:t>
            </w:r>
            <w:r w:rsidRPr="0053423A">
              <w:rPr>
                <w:rFonts w:eastAsia="Calibri" w:cs="Times New Roman"/>
                <w:sz w:val="20"/>
                <w:szCs w:val="20"/>
              </w:rPr>
              <w:t>ծառայությունների</w:t>
            </w:r>
            <w:r w:rsidRPr="0053423A">
              <w:rPr>
                <w:rFonts w:eastAsia="Calibri" w:cs="Times New Roman"/>
                <w:sz w:val="20"/>
                <w:szCs w:val="20"/>
                <w:lang w:val="af-ZA"/>
              </w:rPr>
              <w:t xml:space="preserve"> </w:t>
            </w:r>
            <w:r w:rsidRPr="0053423A">
              <w:rPr>
                <w:rFonts w:eastAsia="Calibri" w:cs="Times New Roman"/>
                <w:sz w:val="20"/>
                <w:szCs w:val="20"/>
              </w:rPr>
              <w:t>տրամադրման</w:t>
            </w:r>
            <w:r w:rsidRPr="0053423A">
              <w:rPr>
                <w:rFonts w:eastAsia="Calibri" w:cs="Times New Roman"/>
                <w:sz w:val="20"/>
                <w:szCs w:val="20"/>
                <w:lang w:val="af-ZA"/>
              </w:rPr>
              <w:t xml:space="preserve"> </w:t>
            </w:r>
            <w:r w:rsidRPr="0053423A">
              <w:rPr>
                <w:rFonts w:eastAsia="Calibri" w:cs="Times New Roman"/>
                <w:sz w:val="20"/>
                <w:szCs w:val="20"/>
              </w:rPr>
              <w:t>պահանջներին</w:t>
            </w:r>
            <w:r w:rsidRPr="0053423A">
              <w:rPr>
                <w:rFonts w:eastAsia="Calibri" w:cs="Times New Roman"/>
                <w:sz w:val="20"/>
                <w:szCs w:val="20"/>
                <w:lang w:val="af-ZA"/>
              </w:rPr>
              <w:t>:</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2. Միջոցառման իրականացումից ակնկալվող արդյունքը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ա. ընտանեկան և սոցիալական նպաստ ստացող ընտանիքների թիվը չի գերազանցi բնակչության 14%-ը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բ. . ՍԱՏՄ համակարգչային պարկն ամբողջությամբ կվերազինվի, 55 ՍԱՏՄ-ների բոլոր աշխատողները կշահագործեն արդիական համակարգիչներ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գ. կապահովվի պետական բյուջեից ֆինանսավորումը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Կսահմանվեն սոցիալական պաշտպանության ոլորտում պատվիրակման ենթակա ծրագրերի չափորոշիչները </w:t>
            </w:r>
          </w:p>
          <w:p w:rsidR="00514E01" w:rsidRPr="0053423A" w:rsidRDefault="00514E01" w:rsidP="00A67858">
            <w:pPr>
              <w:spacing w:line="276" w:lineRule="auto"/>
              <w:rPr>
                <w:sz w:val="20"/>
                <w:szCs w:val="20"/>
                <w:lang w:val="hy-AM"/>
              </w:rPr>
            </w:pPr>
            <w:r w:rsidRPr="0053423A">
              <w:rPr>
                <w:rFonts w:eastAsia="Calibri" w:cs="Times New Roman"/>
                <w:sz w:val="20"/>
                <w:szCs w:val="20"/>
                <w:lang w:val="hy-AM"/>
              </w:rPr>
              <w:t>դ. կկնքվեն մրցույթային հիմունքով սոցիալական ծառայությունների պատվիրակման պայմանագրերը:</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Calibri" w:cs="Times New Roman"/>
                <w:b/>
                <w:bCs/>
                <w:iCs/>
                <w:sz w:val="20"/>
                <w:szCs w:val="20"/>
                <w:u w:val="single"/>
                <w:lang w:val="hy-AM"/>
              </w:rPr>
            </w:pPr>
            <w:r w:rsidRPr="0053423A">
              <w:rPr>
                <w:rFonts w:eastAsia="Calibri" w:cs="Times New Roman"/>
                <w:b/>
                <w:bCs/>
                <w:iCs/>
                <w:sz w:val="20"/>
                <w:szCs w:val="20"/>
                <w:u w:val="single"/>
                <w:lang w:val="hy-AM"/>
              </w:rPr>
              <w:t>16.4 Սոցիալական պաշտպանության համակարգի՝ արտակարգ անհետաձգելի իրավիճակների, աղետների և ցնցումների արձագանքման, դիմակայունության մեխանիզմների ներդրում</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1. </w:t>
            </w:r>
            <w:r w:rsidRPr="0053423A">
              <w:rPr>
                <w:rFonts w:eastAsia="Calibri" w:cs="Times New Roman"/>
                <w:b/>
                <w:sz w:val="20"/>
                <w:szCs w:val="20"/>
                <w:lang w:val="hy-AM"/>
              </w:rPr>
              <w:t xml:space="preserve">Միջոցառման իրականացման անհրաժեշտությունը </w:t>
            </w:r>
            <w:r w:rsidRPr="0053423A">
              <w:rPr>
                <w:rFonts w:eastAsia="Calibri" w:cs="Times New Roman"/>
                <w:sz w:val="20"/>
                <w:szCs w:val="20"/>
                <w:lang w:val="hy-AM"/>
              </w:rPr>
              <w:t>բխում է ՀՀ կառավարության 2019 թվականի փետրվարի 8-ի N 65 - Ա որոշման հավելվածի 4.2 բաժնի առաջին պարբերությունով սահմանված նպատակից՝ քաղաքացիների կենսամակարդակի և սոցիալական վիճակի բարելավելում:</w:t>
            </w:r>
          </w:p>
          <w:p w:rsidR="00514E01" w:rsidRPr="0053423A" w:rsidRDefault="00514E01" w:rsidP="001F6D5D">
            <w:pPr>
              <w:numPr>
                <w:ilvl w:val="1"/>
                <w:numId w:val="178"/>
              </w:numPr>
              <w:spacing w:line="276" w:lineRule="auto"/>
              <w:contextualSpacing/>
              <w:jc w:val="both"/>
              <w:rPr>
                <w:rFonts w:eastAsia="Calibri" w:cs="Times New Roman"/>
                <w:b/>
                <w:sz w:val="20"/>
                <w:szCs w:val="20"/>
                <w:lang w:val="hy-AM"/>
              </w:rPr>
            </w:pPr>
            <w:r w:rsidRPr="0053423A">
              <w:rPr>
                <w:rFonts w:eastAsia="Calibri" w:cs="Sylfaen"/>
                <w:b/>
                <w:sz w:val="20"/>
                <w:szCs w:val="20"/>
                <w:lang w:val="hy-AM"/>
              </w:rPr>
              <w:t>կարգավորման</w:t>
            </w:r>
            <w:r w:rsidRPr="0053423A">
              <w:rPr>
                <w:rFonts w:eastAsia="Calibri" w:cs="Times New Roman"/>
                <w:b/>
                <w:sz w:val="20"/>
                <w:szCs w:val="20"/>
                <w:lang w:val="hy-AM"/>
              </w:rPr>
              <w:t xml:space="preserve"> հարաբերությունների ներկա վիճակը և առկա խնդիրները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Հայաստանում արտակարգ անհետաձգելի իրավիճակների, աղետների, ռիսկը բարձր է, սակայն սոցիալական պաշտպանության համակարգի արագ արձագանքման մեխանիզմները խիստ անբավարար են: </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1) ընտանիքի, անձի համար առաջացած արտակարգ, կյանքին, առողջությանը վտանգ սպառնացող իրավիճակի առաջացման դեպքում սոցիալական պաշտպանության համակարգի կողմից արագ արձագանքման մեխանիզմ կարող է հանդես գալ սոցիալական շտապ օգնության, այդ թվում մթերային բանկի ստեղծումը: Նախատեսվում է, որ սոցիալական շտապ օգնության, այդ թվում մթերային բանկի, ստեղծումն իրականացվելու է պետություն-մասնավոր գործակցության միջոցով: Այս ծրագրում իր ներդրումը կարող է ունենալ յուրաքանչյուր ոք, համակարգին նվիրաբերելով որոշակի նյութական՝ կենցաղային առաջին անհրաժեշտության ապրանքներ, հագուստ, մթերք և այլն, օգնություն, որը պահեստավորվելուց հետո վերաբաշխվելու է դրանց կարիքն ունեցող ընտանիքներին, անձանց: Պետություն-մասնավոր հատված գործակցության միջոցով ներդրվելու է արագ արձագանքման գործիք՝ տեղեկատվական հարթակ, որտեղ կգրանցվեն շտապ օգնության կարիքները և համագործակցող կողմերը կկարողանան արագ հասցնել անհրաժեշտ օգնությունը:</w:t>
            </w:r>
          </w:p>
          <w:p w:rsidR="00514E01" w:rsidRPr="0053423A" w:rsidRDefault="00514E01" w:rsidP="00A67858">
            <w:pPr>
              <w:spacing w:line="276" w:lineRule="auto"/>
              <w:jc w:val="both"/>
              <w:rPr>
                <w:rFonts w:eastAsia="Calibri" w:cs="Times New Roman"/>
                <w:bCs/>
                <w:sz w:val="20"/>
                <w:szCs w:val="20"/>
                <w:lang w:val="hy-AM"/>
              </w:rPr>
            </w:pPr>
            <w:r w:rsidRPr="0053423A">
              <w:rPr>
                <w:rFonts w:eastAsia="Calibri" w:cs="Times New Roman"/>
                <w:sz w:val="20"/>
                <w:szCs w:val="20"/>
                <w:lang w:val="hy-AM"/>
              </w:rPr>
              <w:t xml:space="preserve">2) ընտանիքի սոցիալական գնահատման համակարգի տեղեկատվական ենթահամակարգում ներառված է կյանքի դժվարին իրավիճակում հայտնված անձանց, հատուկ կարիք ունեցող (տեսողության, լսողության, տեղաշարժման խնդիրներ ունենալու հանգամանք) տվյալները, որը հնարավորություն կտա աղետների,  ռիսկերի դեպքում անմիջական և թիրախային աջակցություն ցույց տալ նրանց: </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2. Միջոցառման իրականացումից ակնկալվող արդյունքը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ա. կձևավորվի է սոցիալական շտապ օգնության, այդ թվում՝ մթերային բանկի, համակարգը</w:t>
            </w:r>
          </w:p>
          <w:p w:rsidR="00514E01" w:rsidRPr="0053423A" w:rsidRDefault="00514E01" w:rsidP="00A67858">
            <w:pPr>
              <w:spacing w:line="276" w:lineRule="auto"/>
              <w:rPr>
                <w:sz w:val="20"/>
                <w:szCs w:val="20"/>
                <w:lang w:val="hy-AM"/>
              </w:rPr>
            </w:pPr>
            <w:r w:rsidRPr="0053423A">
              <w:rPr>
                <w:rFonts w:eastAsia="Calibri" w:cs="Times New Roman"/>
                <w:sz w:val="20"/>
                <w:szCs w:val="20"/>
                <w:lang w:val="hy-AM"/>
              </w:rPr>
              <w:t>բ. ընտանիքի սոցիալական գնահատման համակարգի տեղեկատվական ենթահամակարգում կներառվի է աղետների,  ռիսկերի դեպքում արագ արձագանքման մեխանիզմների ծրագրային փաթեթը:</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Times New Roman" w:cs="Times New Roman"/>
                <w:b/>
                <w:bCs/>
                <w:sz w:val="20"/>
                <w:szCs w:val="20"/>
                <w:u w:val="single"/>
                <w:lang w:val="hy-AM"/>
              </w:rPr>
            </w:pPr>
            <w:r w:rsidRPr="0053423A">
              <w:rPr>
                <w:rFonts w:eastAsia="Times New Roman" w:cs="Times New Roman"/>
                <w:b/>
                <w:bCs/>
                <w:sz w:val="20"/>
                <w:szCs w:val="20"/>
                <w:u w:val="single"/>
                <w:lang w:val="hy-AM"/>
              </w:rPr>
              <w:t>16.5 Ի</w:t>
            </w:r>
            <w:r w:rsidRPr="0053423A">
              <w:rPr>
                <w:rFonts w:eastAsia="Times New Roman" w:cs="Sylfaen"/>
                <w:b/>
                <w:bCs/>
                <w:sz w:val="20"/>
                <w:szCs w:val="20"/>
                <w:u w:val="single"/>
                <w:lang w:val="hy-AM"/>
              </w:rPr>
              <w:t>նտեգրված</w:t>
            </w:r>
            <w:r w:rsidRPr="0053423A">
              <w:rPr>
                <w:rFonts w:eastAsia="Times New Roman" w:cs="Times New Roman"/>
                <w:b/>
                <w:bCs/>
                <w:sz w:val="20"/>
                <w:szCs w:val="20"/>
                <w:u w:val="single"/>
                <w:lang w:val="hy-AM"/>
              </w:rPr>
              <w:t xml:space="preserve"> </w:t>
            </w:r>
            <w:r w:rsidRPr="0053423A">
              <w:rPr>
                <w:rFonts w:eastAsia="Times New Roman" w:cs="Sylfaen"/>
                <w:b/>
                <w:bCs/>
                <w:sz w:val="20"/>
                <w:szCs w:val="20"/>
                <w:u w:val="single"/>
                <w:lang w:val="hy-AM"/>
              </w:rPr>
              <w:t>սոցիալական</w:t>
            </w:r>
            <w:r w:rsidRPr="0053423A">
              <w:rPr>
                <w:rFonts w:eastAsia="Times New Roman" w:cs="Times New Roman"/>
                <w:b/>
                <w:bCs/>
                <w:sz w:val="20"/>
                <w:szCs w:val="20"/>
                <w:u w:val="single"/>
                <w:lang w:val="hy-AM"/>
              </w:rPr>
              <w:t xml:space="preserve"> </w:t>
            </w:r>
            <w:r w:rsidRPr="0053423A">
              <w:rPr>
                <w:rFonts w:eastAsia="Times New Roman" w:cs="Sylfaen"/>
                <w:b/>
                <w:bCs/>
                <w:sz w:val="20"/>
                <w:szCs w:val="20"/>
                <w:u w:val="single"/>
                <w:lang w:val="hy-AM"/>
              </w:rPr>
              <w:t>ծառայությունների</w:t>
            </w:r>
            <w:r w:rsidRPr="0053423A">
              <w:rPr>
                <w:rFonts w:eastAsia="Times New Roman" w:cs="Times New Roman"/>
                <w:b/>
                <w:bCs/>
                <w:sz w:val="20"/>
                <w:szCs w:val="20"/>
                <w:u w:val="single"/>
                <w:lang w:val="hy-AM"/>
              </w:rPr>
              <w:t xml:space="preserve"> </w:t>
            </w:r>
            <w:r w:rsidRPr="0053423A">
              <w:rPr>
                <w:rFonts w:eastAsia="Times New Roman" w:cs="Sylfaen"/>
                <w:b/>
                <w:bCs/>
                <w:sz w:val="20"/>
                <w:szCs w:val="20"/>
                <w:u w:val="single"/>
                <w:lang w:val="hy-AM"/>
              </w:rPr>
              <w:t>համակարգի</w:t>
            </w:r>
            <w:r w:rsidRPr="0053423A">
              <w:rPr>
                <w:rFonts w:eastAsia="Times New Roman" w:cs="Times New Roman"/>
                <w:b/>
                <w:bCs/>
                <w:sz w:val="20"/>
                <w:szCs w:val="20"/>
                <w:u w:val="single"/>
                <w:lang w:val="hy-AM"/>
              </w:rPr>
              <w:t xml:space="preserve"> </w:t>
            </w:r>
            <w:r w:rsidRPr="0053423A">
              <w:rPr>
                <w:rFonts w:eastAsia="Times New Roman" w:cs="Sylfaen"/>
                <w:b/>
                <w:bCs/>
                <w:sz w:val="20"/>
                <w:szCs w:val="20"/>
                <w:u w:val="single"/>
                <w:lang w:val="hy-AM"/>
              </w:rPr>
              <w:t>ամբողջական</w:t>
            </w:r>
            <w:r w:rsidRPr="0053423A">
              <w:rPr>
                <w:rFonts w:eastAsia="Times New Roman" w:cs="Times New Roman"/>
                <w:b/>
                <w:bCs/>
                <w:sz w:val="20"/>
                <w:szCs w:val="20"/>
                <w:u w:val="single"/>
                <w:lang w:val="hy-AM"/>
              </w:rPr>
              <w:t xml:space="preserve"> </w:t>
            </w:r>
            <w:r w:rsidRPr="0053423A">
              <w:rPr>
                <w:rFonts w:eastAsia="Times New Roman" w:cs="Sylfaen"/>
                <w:b/>
                <w:bCs/>
                <w:sz w:val="20"/>
                <w:szCs w:val="20"/>
                <w:u w:val="single"/>
                <w:lang w:val="hy-AM"/>
              </w:rPr>
              <w:t>ներդրում</w:t>
            </w:r>
            <w:r w:rsidRPr="0053423A">
              <w:rPr>
                <w:rFonts w:eastAsia="Times New Roman" w:cs="Times New Roman"/>
                <w:b/>
                <w:bCs/>
                <w:sz w:val="20"/>
                <w:szCs w:val="20"/>
                <w:u w:val="single"/>
                <w:lang w:val="hy-AM"/>
              </w:rPr>
              <w:t xml:space="preserve">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b/>
                <w:bCs/>
                <w:sz w:val="20"/>
                <w:szCs w:val="20"/>
                <w:lang w:val="hy-AM"/>
              </w:rPr>
              <w:t>1.</w:t>
            </w:r>
            <w:r w:rsidRPr="0053423A">
              <w:rPr>
                <w:rFonts w:eastAsia="Times New Roman" w:cs="Sylfaen"/>
                <w:b/>
                <w:bCs/>
                <w:sz w:val="20"/>
                <w:szCs w:val="20"/>
                <w:lang w:val="hy-AM"/>
              </w:rPr>
              <w:t>Միջոցառման</w:t>
            </w:r>
            <w:r w:rsidRPr="0053423A">
              <w:rPr>
                <w:rFonts w:eastAsia="Times New Roman" w:cs="Times New Roman"/>
                <w:b/>
                <w:bCs/>
                <w:sz w:val="20"/>
                <w:szCs w:val="20"/>
                <w:lang w:val="hy-AM"/>
              </w:rPr>
              <w:t xml:space="preserve"> </w:t>
            </w:r>
            <w:r w:rsidRPr="0053423A">
              <w:rPr>
                <w:rFonts w:eastAsia="Times New Roman" w:cs="Sylfaen"/>
                <w:b/>
                <w:bCs/>
                <w:sz w:val="20"/>
                <w:szCs w:val="20"/>
                <w:lang w:val="hy-AM"/>
              </w:rPr>
              <w:t>իրականացման</w:t>
            </w:r>
            <w:r w:rsidRPr="0053423A">
              <w:rPr>
                <w:rFonts w:eastAsia="Times New Roman" w:cs="Times New Roman"/>
                <w:b/>
                <w:bCs/>
                <w:sz w:val="20"/>
                <w:szCs w:val="20"/>
                <w:lang w:val="hy-AM"/>
              </w:rPr>
              <w:t xml:space="preserve"> </w:t>
            </w:r>
            <w:r w:rsidRPr="0053423A">
              <w:rPr>
                <w:rFonts w:eastAsia="Times New Roman" w:cs="Sylfaen"/>
                <w:b/>
                <w:bCs/>
                <w:sz w:val="20"/>
                <w:szCs w:val="20"/>
                <w:lang w:val="hy-AM"/>
              </w:rPr>
              <w:t>անհրաժեշտությունը</w:t>
            </w:r>
            <w:r w:rsidRPr="0053423A">
              <w:rPr>
                <w:rFonts w:eastAsia="Times New Roman" w:cs="Times New Roman"/>
                <w:b/>
                <w:bCs/>
                <w:sz w:val="20"/>
                <w:szCs w:val="20"/>
                <w:lang w:val="hy-AM"/>
              </w:rPr>
              <w:t xml:space="preserve"> </w:t>
            </w:r>
            <w:r w:rsidRPr="0053423A">
              <w:rPr>
                <w:rFonts w:eastAsia="Times New Roman" w:cs="Sylfaen"/>
                <w:b/>
                <w:bCs/>
                <w:sz w:val="20"/>
                <w:szCs w:val="20"/>
                <w:lang w:val="hy-AM"/>
              </w:rPr>
              <w:t>և</w:t>
            </w:r>
            <w:r w:rsidRPr="0053423A">
              <w:rPr>
                <w:rFonts w:eastAsia="Times New Roman" w:cs="Times New Roman"/>
                <w:b/>
                <w:bCs/>
                <w:sz w:val="20"/>
                <w:szCs w:val="20"/>
                <w:lang w:val="hy-AM"/>
              </w:rPr>
              <w:t xml:space="preserve"> </w:t>
            </w:r>
            <w:r w:rsidRPr="0053423A">
              <w:rPr>
                <w:rFonts w:eastAsia="Times New Roman" w:cs="Sylfaen"/>
                <w:b/>
                <w:bCs/>
                <w:sz w:val="20"/>
                <w:szCs w:val="20"/>
                <w:lang w:val="hy-AM"/>
              </w:rPr>
              <w:t>նպատակը</w:t>
            </w:r>
            <w:r w:rsidRPr="0053423A">
              <w:rPr>
                <w:rFonts w:eastAsia="Times New Roman" w:cs="Times New Roman"/>
                <w:sz w:val="20"/>
                <w:szCs w:val="20"/>
                <w:lang w:val="hy-AM"/>
              </w:rPr>
              <w:t xml:space="preserve">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Sylfaen"/>
                <w:sz w:val="20"/>
                <w:szCs w:val="20"/>
                <w:lang w:val="hy-AM"/>
              </w:rPr>
              <w:t>Միջոցառման</w:t>
            </w:r>
            <w:r w:rsidRPr="0053423A">
              <w:rPr>
                <w:rFonts w:eastAsia="Times New Roman" w:cs="Times New Roman"/>
                <w:sz w:val="20"/>
                <w:szCs w:val="20"/>
                <w:lang w:val="hy-AM"/>
              </w:rPr>
              <w:t xml:space="preserve"> </w:t>
            </w:r>
            <w:r w:rsidRPr="0053423A">
              <w:rPr>
                <w:rFonts w:eastAsia="Times New Roman" w:cs="Sylfaen"/>
                <w:sz w:val="20"/>
                <w:szCs w:val="20"/>
                <w:lang w:val="hy-AM"/>
              </w:rPr>
              <w:t>իրակացման</w:t>
            </w:r>
            <w:r w:rsidRPr="0053423A">
              <w:rPr>
                <w:rFonts w:eastAsia="Times New Roman" w:cs="Times New Roman"/>
                <w:sz w:val="20"/>
                <w:szCs w:val="20"/>
                <w:lang w:val="hy-AM"/>
              </w:rPr>
              <w:t xml:space="preserve"> </w:t>
            </w:r>
            <w:r w:rsidRPr="0053423A">
              <w:rPr>
                <w:rFonts w:eastAsia="Times New Roman" w:cs="Sylfaen"/>
                <w:sz w:val="20"/>
                <w:szCs w:val="20"/>
                <w:lang w:val="hy-AM"/>
              </w:rPr>
              <w:t>անհրաժեշտությունը</w:t>
            </w:r>
            <w:r w:rsidRPr="0053423A">
              <w:rPr>
                <w:rFonts w:eastAsia="Times New Roman" w:cs="Times New Roman"/>
                <w:sz w:val="20"/>
                <w:szCs w:val="20"/>
                <w:lang w:val="hy-AM"/>
              </w:rPr>
              <w:t xml:space="preserve"> </w:t>
            </w:r>
            <w:r w:rsidRPr="0053423A">
              <w:rPr>
                <w:rFonts w:eastAsia="Times New Roman" w:cs="Sylfaen"/>
                <w:sz w:val="20"/>
                <w:szCs w:val="20"/>
                <w:lang w:val="hy-AM"/>
              </w:rPr>
              <w:t>բխում</w:t>
            </w:r>
            <w:r w:rsidRPr="0053423A">
              <w:rPr>
                <w:rFonts w:eastAsia="Times New Roman" w:cs="Times New Roman"/>
                <w:sz w:val="20"/>
                <w:szCs w:val="20"/>
                <w:lang w:val="hy-AM"/>
              </w:rPr>
              <w:t xml:space="preserve"> </w:t>
            </w:r>
            <w:r w:rsidRPr="0053423A">
              <w:rPr>
                <w:rFonts w:eastAsia="Times New Roman" w:cs="Sylfaen"/>
                <w:sz w:val="20"/>
                <w:szCs w:val="20"/>
                <w:lang w:val="hy-AM"/>
              </w:rPr>
              <w:t>է</w:t>
            </w:r>
            <w:r w:rsidRPr="0053423A">
              <w:rPr>
                <w:rFonts w:eastAsia="Times New Roman" w:cs="Times New Roman"/>
                <w:sz w:val="20"/>
                <w:szCs w:val="20"/>
                <w:lang w:val="hy-AM"/>
              </w:rPr>
              <w:t xml:space="preserve"> </w:t>
            </w:r>
            <w:r w:rsidRPr="0053423A">
              <w:rPr>
                <w:rFonts w:eastAsia="Times New Roman" w:cs="Sylfaen"/>
                <w:sz w:val="20"/>
                <w:szCs w:val="20"/>
                <w:lang w:val="hy-AM"/>
              </w:rPr>
              <w:t>ՀՀ</w:t>
            </w:r>
            <w:r w:rsidRPr="0053423A">
              <w:rPr>
                <w:rFonts w:eastAsia="Times New Roman" w:cs="Times New Roman"/>
                <w:sz w:val="20"/>
                <w:szCs w:val="20"/>
                <w:lang w:val="hy-AM"/>
              </w:rPr>
              <w:t xml:space="preserve"> </w:t>
            </w:r>
            <w:r w:rsidRPr="0053423A">
              <w:rPr>
                <w:rFonts w:eastAsia="Times New Roman" w:cs="Sylfaen"/>
                <w:sz w:val="20"/>
                <w:szCs w:val="20"/>
                <w:lang w:val="hy-AM"/>
              </w:rPr>
              <w:t>կառավարության</w:t>
            </w:r>
            <w:r w:rsidRPr="0053423A">
              <w:rPr>
                <w:rFonts w:eastAsia="Times New Roman" w:cs="Times New Roman"/>
                <w:sz w:val="20"/>
                <w:szCs w:val="20"/>
                <w:lang w:val="hy-AM"/>
              </w:rPr>
              <w:t xml:space="preserve"> 2019 </w:t>
            </w:r>
            <w:r w:rsidRPr="0053423A">
              <w:rPr>
                <w:rFonts w:eastAsia="Times New Roman" w:cs="Sylfaen"/>
                <w:sz w:val="20"/>
                <w:szCs w:val="20"/>
                <w:lang w:val="hy-AM"/>
              </w:rPr>
              <w:t>թվականի</w:t>
            </w:r>
            <w:r w:rsidRPr="0053423A">
              <w:rPr>
                <w:rFonts w:eastAsia="Times New Roman" w:cs="Times New Roman"/>
                <w:sz w:val="20"/>
                <w:szCs w:val="20"/>
                <w:lang w:val="hy-AM"/>
              </w:rPr>
              <w:t xml:space="preserve"> </w:t>
            </w:r>
            <w:r w:rsidRPr="0053423A">
              <w:rPr>
                <w:rFonts w:eastAsia="Times New Roman" w:cs="Sylfaen"/>
                <w:sz w:val="20"/>
                <w:szCs w:val="20"/>
                <w:lang w:val="hy-AM"/>
              </w:rPr>
              <w:t>փետրվարի</w:t>
            </w:r>
            <w:r w:rsidRPr="0053423A">
              <w:rPr>
                <w:rFonts w:eastAsia="Times New Roman" w:cs="Times New Roman"/>
                <w:sz w:val="20"/>
                <w:szCs w:val="20"/>
                <w:lang w:val="hy-AM"/>
              </w:rPr>
              <w:t xml:space="preserve"> 8-</w:t>
            </w:r>
            <w:r w:rsidRPr="0053423A">
              <w:rPr>
                <w:rFonts w:eastAsia="Times New Roman" w:cs="Sylfaen"/>
                <w:sz w:val="20"/>
                <w:szCs w:val="20"/>
                <w:lang w:val="hy-AM"/>
              </w:rPr>
              <w:t>ի</w:t>
            </w:r>
            <w:r w:rsidRPr="0053423A">
              <w:rPr>
                <w:rFonts w:eastAsia="Times New Roman" w:cs="Times New Roman"/>
                <w:sz w:val="20"/>
                <w:szCs w:val="20"/>
                <w:lang w:val="hy-AM"/>
              </w:rPr>
              <w:t xml:space="preserve"> N 65 - </w:t>
            </w:r>
            <w:r w:rsidRPr="0053423A">
              <w:rPr>
                <w:rFonts w:eastAsia="Times New Roman" w:cs="Sylfaen"/>
                <w:sz w:val="20"/>
                <w:szCs w:val="20"/>
                <w:lang w:val="hy-AM"/>
              </w:rPr>
              <w:t>Ա</w:t>
            </w:r>
            <w:r w:rsidRPr="0053423A">
              <w:rPr>
                <w:rFonts w:eastAsia="Times New Roman" w:cs="Times New Roman"/>
                <w:sz w:val="20"/>
                <w:szCs w:val="20"/>
                <w:lang w:val="hy-AM"/>
              </w:rPr>
              <w:t xml:space="preserve"> </w:t>
            </w:r>
            <w:r w:rsidRPr="0053423A">
              <w:rPr>
                <w:rFonts w:eastAsia="Times New Roman" w:cs="Sylfaen"/>
                <w:sz w:val="20"/>
                <w:szCs w:val="20"/>
                <w:lang w:val="hy-AM"/>
              </w:rPr>
              <w:t>որոշման</w:t>
            </w:r>
            <w:r w:rsidRPr="0053423A">
              <w:rPr>
                <w:rFonts w:eastAsia="Times New Roman" w:cs="Times New Roman"/>
                <w:sz w:val="20"/>
                <w:szCs w:val="20"/>
                <w:lang w:val="hy-AM"/>
              </w:rPr>
              <w:t xml:space="preserve"> </w:t>
            </w:r>
            <w:r w:rsidRPr="0053423A">
              <w:rPr>
                <w:rFonts w:eastAsia="Times New Roman" w:cs="Sylfaen"/>
                <w:sz w:val="20"/>
                <w:szCs w:val="20"/>
                <w:lang w:val="hy-AM"/>
              </w:rPr>
              <w:t>հավելվածի</w:t>
            </w:r>
            <w:r w:rsidRPr="0053423A">
              <w:rPr>
                <w:rFonts w:eastAsia="Times New Roman" w:cs="Times New Roman"/>
                <w:sz w:val="20"/>
                <w:szCs w:val="20"/>
                <w:lang w:val="hy-AM"/>
              </w:rPr>
              <w:t xml:space="preserve"> 4.2 </w:t>
            </w:r>
            <w:r w:rsidRPr="0053423A">
              <w:rPr>
                <w:rFonts w:eastAsia="Times New Roman" w:cs="Sylfaen"/>
                <w:sz w:val="20"/>
                <w:szCs w:val="20"/>
                <w:lang w:val="hy-AM"/>
              </w:rPr>
              <w:t>բաժնի</w:t>
            </w:r>
            <w:r w:rsidRPr="0053423A">
              <w:rPr>
                <w:rFonts w:eastAsia="Times New Roman" w:cs="Times New Roman"/>
                <w:sz w:val="20"/>
                <w:szCs w:val="20"/>
                <w:lang w:val="hy-AM"/>
              </w:rPr>
              <w:t xml:space="preserve"> </w:t>
            </w:r>
            <w:r w:rsidRPr="0053423A">
              <w:rPr>
                <w:rFonts w:eastAsia="Times New Roman" w:cs="Sylfaen"/>
                <w:sz w:val="20"/>
                <w:szCs w:val="20"/>
                <w:lang w:val="hy-AM"/>
              </w:rPr>
              <w:t>առաջին</w:t>
            </w:r>
            <w:r w:rsidRPr="0053423A">
              <w:rPr>
                <w:rFonts w:eastAsia="Times New Roman" w:cs="Times New Roman"/>
                <w:sz w:val="20"/>
                <w:szCs w:val="20"/>
                <w:lang w:val="hy-AM"/>
              </w:rPr>
              <w:t xml:space="preserve"> </w:t>
            </w:r>
            <w:r w:rsidRPr="0053423A">
              <w:rPr>
                <w:rFonts w:eastAsia="Times New Roman" w:cs="Sylfaen"/>
                <w:sz w:val="20"/>
                <w:szCs w:val="20"/>
                <w:lang w:val="hy-AM"/>
              </w:rPr>
              <w:t>պարբերությունով</w:t>
            </w:r>
            <w:r w:rsidRPr="0053423A">
              <w:rPr>
                <w:rFonts w:eastAsia="Times New Roman" w:cs="Times New Roman"/>
                <w:sz w:val="20"/>
                <w:szCs w:val="20"/>
                <w:lang w:val="hy-AM"/>
              </w:rPr>
              <w:t xml:space="preserve"> </w:t>
            </w:r>
            <w:r w:rsidRPr="0053423A">
              <w:rPr>
                <w:rFonts w:eastAsia="Times New Roman" w:cs="Sylfaen"/>
                <w:sz w:val="20"/>
                <w:szCs w:val="20"/>
                <w:lang w:val="hy-AM"/>
              </w:rPr>
              <w:t>սահմանված</w:t>
            </w:r>
            <w:r w:rsidRPr="0053423A">
              <w:rPr>
                <w:rFonts w:eastAsia="Times New Roman" w:cs="Times New Roman"/>
                <w:sz w:val="20"/>
                <w:szCs w:val="20"/>
                <w:lang w:val="hy-AM"/>
              </w:rPr>
              <w:t xml:space="preserve"> </w:t>
            </w:r>
            <w:r w:rsidRPr="0053423A">
              <w:rPr>
                <w:rFonts w:eastAsia="Times New Roman" w:cs="Sylfaen"/>
                <w:sz w:val="20"/>
                <w:szCs w:val="20"/>
                <w:lang w:val="hy-AM"/>
              </w:rPr>
              <w:t>նպատակից՝</w:t>
            </w:r>
            <w:r w:rsidRPr="0053423A">
              <w:rPr>
                <w:rFonts w:eastAsia="Times New Roman" w:cs="Times New Roman"/>
                <w:sz w:val="20"/>
                <w:szCs w:val="20"/>
                <w:lang w:val="hy-AM"/>
              </w:rPr>
              <w:t xml:space="preserve"> </w:t>
            </w:r>
            <w:r w:rsidRPr="0053423A">
              <w:rPr>
                <w:rFonts w:eastAsia="Times New Roman" w:cs="Sylfaen"/>
                <w:sz w:val="20"/>
                <w:szCs w:val="20"/>
                <w:lang w:val="hy-AM"/>
              </w:rPr>
              <w:t>քաղաքացիների</w:t>
            </w:r>
            <w:r w:rsidRPr="0053423A">
              <w:rPr>
                <w:rFonts w:eastAsia="Times New Roman" w:cs="Times New Roman"/>
                <w:sz w:val="20"/>
                <w:szCs w:val="20"/>
                <w:lang w:val="hy-AM"/>
              </w:rPr>
              <w:t xml:space="preserve"> </w:t>
            </w:r>
            <w:r w:rsidRPr="0053423A">
              <w:rPr>
                <w:rFonts w:eastAsia="Times New Roman" w:cs="Sylfaen"/>
                <w:sz w:val="20"/>
                <w:szCs w:val="20"/>
                <w:lang w:val="hy-AM"/>
              </w:rPr>
              <w:t>կենսամակարդակի</w:t>
            </w:r>
            <w:r w:rsidRPr="0053423A">
              <w:rPr>
                <w:rFonts w:eastAsia="Times New Roman" w:cs="Times New Roman"/>
                <w:sz w:val="20"/>
                <w:szCs w:val="20"/>
                <w:lang w:val="hy-AM"/>
              </w:rPr>
              <w:t xml:space="preserve"> </w:t>
            </w:r>
            <w:r w:rsidRPr="0053423A">
              <w:rPr>
                <w:rFonts w:eastAsia="Times New Roman" w:cs="Sylfaen"/>
                <w:sz w:val="20"/>
                <w:szCs w:val="20"/>
                <w:lang w:val="hy-AM"/>
              </w:rPr>
              <w:t>և</w:t>
            </w:r>
            <w:r w:rsidRPr="0053423A">
              <w:rPr>
                <w:rFonts w:eastAsia="Times New Roman" w:cs="Times New Roman"/>
                <w:sz w:val="20"/>
                <w:szCs w:val="20"/>
                <w:lang w:val="hy-AM"/>
              </w:rPr>
              <w:t xml:space="preserve"> </w:t>
            </w:r>
            <w:r w:rsidRPr="0053423A">
              <w:rPr>
                <w:rFonts w:eastAsia="Times New Roman" w:cs="Sylfaen"/>
                <w:sz w:val="20"/>
                <w:szCs w:val="20"/>
                <w:lang w:val="hy-AM"/>
              </w:rPr>
              <w:t>սոցիալական</w:t>
            </w:r>
            <w:r w:rsidRPr="0053423A">
              <w:rPr>
                <w:rFonts w:eastAsia="Times New Roman" w:cs="Times New Roman"/>
                <w:sz w:val="20"/>
                <w:szCs w:val="20"/>
                <w:lang w:val="hy-AM"/>
              </w:rPr>
              <w:t xml:space="preserve"> </w:t>
            </w:r>
            <w:r w:rsidRPr="0053423A">
              <w:rPr>
                <w:rFonts w:eastAsia="Times New Roman" w:cs="Sylfaen"/>
                <w:sz w:val="20"/>
                <w:szCs w:val="20"/>
                <w:lang w:val="hy-AM"/>
              </w:rPr>
              <w:t>վիճակի</w:t>
            </w:r>
            <w:r w:rsidRPr="0053423A">
              <w:rPr>
                <w:rFonts w:eastAsia="Times New Roman" w:cs="Times New Roman"/>
                <w:sz w:val="20"/>
                <w:szCs w:val="20"/>
                <w:lang w:val="hy-AM"/>
              </w:rPr>
              <w:t xml:space="preserve"> </w:t>
            </w:r>
            <w:r w:rsidRPr="0053423A">
              <w:rPr>
                <w:rFonts w:eastAsia="Times New Roman" w:cs="Sylfaen"/>
                <w:sz w:val="20"/>
                <w:szCs w:val="20"/>
                <w:lang w:val="hy-AM"/>
              </w:rPr>
              <w:t>բարելավելում</w:t>
            </w:r>
            <w:r w:rsidRPr="0053423A">
              <w:rPr>
                <w:rFonts w:eastAsia="Times New Roman" w:cs="Times New Roman"/>
                <w:sz w:val="20"/>
                <w:szCs w:val="20"/>
                <w:lang w:val="hy-AM"/>
              </w:rPr>
              <w:t>:</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b/>
                <w:bCs/>
                <w:sz w:val="20"/>
                <w:szCs w:val="20"/>
                <w:lang w:val="hy-AM"/>
              </w:rPr>
              <w:t xml:space="preserve">1.1. </w:t>
            </w:r>
            <w:r w:rsidRPr="0053423A">
              <w:rPr>
                <w:rFonts w:eastAsia="Times New Roman" w:cs="Sylfaen"/>
                <w:b/>
                <w:bCs/>
                <w:sz w:val="20"/>
                <w:szCs w:val="20"/>
                <w:lang w:val="hy-AM"/>
              </w:rPr>
              <w:t>կարգավորման</w:t>
            </w:r>
            <w:r w:rsidRPr="0053423A">
              <w:rPr>
                <w:rFonts w:eastAsia="Times New Roman" w:cs="Times New Roman"/>
                <w:b/>
                <w:bCs/>
                <w:sz w:val="20"/>
                <w:szCs w:val="20"/>
                <w:lang w:val="hy-AM"/>
              </w:rPr>
              <w:t xml:space="preserve"> </w:t>
            </w:r>
            <w:r w:rsidRPr="0053423A">
              <w:rPr>
                <w:rFonts w:eastAsia="Times New Roman" w:cs="Sylfaen"/>
                <w:b/>
                <w:bCs/>
                <w:sz w:val="20"/>
                <w:szCs w:val="20"/>
                <w:lang w:val="hy-AM"/>
              </w:rPr>
              <w:t>հարաբերությունների</w:t>
            </w:r>
            <w:r w:rsidRPr="0053423A">
              <w:rPr>
                <w:rFonts w:eastAsia="Times New Roman" w:cs="Times New Roman"/>
                <w:b/>
                <w:bCs/>
                <w:sz w:val="20"/>
                <w:szCs w:val="20"/>
                <w:lang w:val="hy-AM"/>
              </w:rPr>
              <w:t xml:space="preserve"> </w:t>
            </w:r>
            <w:r w:rsidRPr="0053423A">
              <w:rPr>
                <w:rFonts w:eastAsia="Times New Roman" w:cs="Sylfaen"/>
                <w:b/>
                <w:bCs/>
                <w:sz w:val="20"/>
                <w:szCs w:val="20"/>
                <w:lang w:val="hy-AM"/>
              </w:rPr>
              <w:t>ներկա</w:t>
            </w:r>
            <w:r w:rsidRPr="0053423A">
              <w:rPr>
                <w:rFonts w:eastAsia="Times New Roman" w:cs="Times New Roman"/>
                <w:b/>
                <w:bCs/>
                <w:sz w:val="20"/>
                <w:szCs w:val="20"/>
                <w:lang w:val="hy-AM"/>
              </w:rPr>
              <w:t xml:space="preserve"> </w:t>
            </w:r>
            <w:r w:rsidRPr="0053423A">
              <w:rPr>
                <w:rFonts w:eastAsia="Times New Roman" w:cs="Sylfaen"/>
                <w:b/>
                <w:bCs/>
                <w:sz w:val="20"/>
                <w:szCs w:val="20"/>
                <w:lang w:val="hy-AM"/>
              </w:rPr>
              <w:t>վիճակը</w:t>
            </w:r>
            <w:r w:rsidRPr="0053423A">
              <w:rPr>
                <w:rFonts w:eastAsia="Times New Roman" w:cs="Times New Roman"/>
                <w:b/>
                <w:bCs/>
                <w:sz w:val="20"/>
                <w:szCs w:val="20"/>
                <w:lang w:val="hy-AM"/>
              </w:rPr>
              <w:t xml:space="preserve"> </w:t>
            </w:r>
            <w:r w:rsidRPr="0053423A">
              <w:rPr>
                <w:rFonts w:eastAsia="Times New Roman" w:cs="Sylfaen"/>
                <w:b/>
                <w:bCs/>
                <w:sz w:val="20"/>
                <w:szCs w:val="20"/>
                <w:lang w:val="hy-AM"/>
              </w:rPr>
              <w:t>և</w:t>
            </w:r>
            <w:r w:rsidRPr="0053423A">
              <w:rPr>
                <w:rFonts w:eastAsia="Times New Roman" w:cs="Times New Roman"/>
                <w:b/>
                <w:bCs/>
                <w:sz w:val="20"/>
                <w:szCs w:val="20"/>
                <w:lang w:val="hy-AM"/>
              </w:rPr>
              <w:t xml:space="preserve"> </w:t>
            </w:r>
            <w:r w:rsidRPr="0053423A">
              <w:rPr>
                <w:rFonts w:eastAsia="Times New Roman" w:cs="Sylfaen"/>
                <w:b/>
                <w:bCs/>
                <w:sz w:val="20"/>
                <w:szCs w:val="20"/>
                <w:lang w:val="hy-AM"/>
              </w:rPr>
              <w:t>առկա</w:t>
            </w:r>
            <w:r w:rsidRPr="0053423A">
              <w:rPr>
                <w:rFonts w:eastAsia="Times New Roman" w:cs="Times New Roman"/>
                <w:b/>
                <w:bCs/>
                <w:sz w:val="20"/>
                <w:szCs w:val="20"/>
                <w:lang w:val="hy-AM"/>
              </w:rPr>
              <w:t xml:space="preserve"> </w:t>
            </w:r>
            <w:r w:rsidRPr="0053423A">
              <w:rPr>
                <w:rFonts w:eastAsia="Times New Roman" w:cs="Sylfaen"/>
                <w:b/>
                <w:bCs/>
                <w:sz w:val="20"/>
                <w:szCs w:val="20"/>
                <w:lang w:val="hy-AM"/>
              </w:rPr>
              <w:t>խնդիրները</w:t>
            </w:r>
            <w:r w:rsidRPr="0053423A">
              <w:rPr>
                <w:rFonts w:eastAsia="Times New Roman" w:cs="Times New Roman"/>
                <w:b/>
                <w:bCs/>
                <w:sz w:val="20"/>
                <w:szCs w:val="20"/>
                <w:lang w:val="hy-AM"/>
              </w:rPr>
              <w:t xml:space="preserve">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Sylfaen"/>
                <w:sz w:val="20"/>
                <w:szCs w:val="20"/>
                <w:lang w:val="hy-AM"/>
              </w:rPr>
              <w:t>Հանրապետությունում</w:t>
            </w:r>
            <w:r w:rsidRPr="0053423A">
              <w:rPr>
                <w:rFonts w:eastAsia="Times New Roman" w:cs="Times New Roman"/>
                <w:sz w:val="20"/>
                <w:szCs w:val="20"/>
                <w:lang w:val="hy-AM"/>
              </w:rPr>
              <w:t xml:space="preserve"> </w:t>
            </w:r>
            <w:r w:rsidRPr="0053423A">
              <w:rPr>
                <w:rFonts w:eastAsia="Times New Roman" w:cs="Sylfaen"/>
                <w:sz w:val="20"/>
                <w:szCs w:val="20"/>
                <w:lang w:val="hy-AM"/>
              </w:rPr>
              <w:t>ինտեգրված</w:t>
            </w:r>
            <w:r w:rsidRPr="0053423A">
              <w:rPr>
                <w:rFonts w:eastAsia="Times New Roman" w:cs="Times New Roman"/>
                <w:sz w:val="20"/>
                <w:szCs w:val="20"/>
                <w:lang w:val="hy-AM"/>
              </w:rPr>
              <w:t xml:space="preserve"> </w:t>
            </w:r>
            <w:r w:rsidRPr="0053423A">
              <w:rPr>
                <w:rFonts w:eastAsia="Times New Roman" w:cs="Sylfaen"/>
                <w:sz w:val="20"/>
                <w:szCs w:val="20"/>
                <w:lang w:val="hy-AM"/>
              </w:rPr>
              <w:t>սոցիալական</w:t>
            </w:r>
            <w:r w:rsidRPr="0053423A">
              <w:rPr>
                <w:rFonts w:eastAsia="Times New Roman" w:cs="Times New Roman"/>
                <w:sz w:val="20"/>
                <w:szCs w:val="20"/>
                <w:lang w:val="hy-AM"/>
              </w:rPr>
              <w:t xml:space="preserve"> </w:t>
            </w:r>
            <w:r w:rsidRPr="0053423A">
              <w:rPr>
                <w:rFonts w:eastAsia="Times New Roman" w:cs="Sylfaen"/>
                <w:sz w:val="20"/>
                <w:szCs w:val="20"/>
                <w:lang w:val="hy-AM"/>
              </w:rPr>
              <w:t>ծառայություների</w:t>
            </w:r>
            <w:r w:rsidRPr="0053423A">
              <w:rPr>
                <w:rFonts w:eastAsia="Times New Roman" w:cs="Times New Roman"/>
                <w:sz w:val="20"/>
                <w:szCs w:val="20"/>
                <w:lang w:val="hy-AM"/>
              </w:rPr>
              <w:t xml:space="preserve"> </w:t>
            </w:r>
            <w:r w:rsidRPr="0053423A">
              <w:rPr>
                <w:rFonts w:eastAsia="Times New Roman" w:cs="Sylfaen"/>
                <w:sz w:val="20"/>
                <w:szCs w:val="20"/>
                <w:lang w:val="hy-AM"/>
              </w:rPr>
              <w:t>համակարգը</w:t>
            </w:r>
            <w:r w:rsidRPr="0053423A">
              <w:rPr>
                <w:rFonts w:eastAsia="Times New Roman" w:cs="Times New Roman"/>
                <w:sz w:val="20"/>
                <w:szCs w:val="20"/>
                <w:lang w:val="hy-AM"/>
              </w:rPr>
              <w:t xml:space="preserve"> </w:t>
            </w:r>
            <w:r w:rsidRPr="0053423A">
              <w:rPr>
                <w:rFonts w:eastAsia="Times New Roman" w:cs="Sylfaen"/>
                <w:sz w:val="20"/>
                <w:szCs w:val="20"/>
                <w:lang w:val="hy-AM"/>
              </w:rPr>
              <w:t>ներդրվում</w:t>
            </w:r>
            <w:r w:rsidRPr="0053423A">
              <w:rPr>
                <w:rFonts w:eastAsia="Times New Roman" w:cs="Times New Roman"/>
                <w:sz w:val="20"/>
                <w:szCs w:val="20"/>
                <w:lang w:val="hy-AM"/>
              </w:rPr>
              <w:t xml:space="preserve"> </w:t>
            </w:r>
            <w:r w:rsidRPr="0053423A">
              <w:rPr>
                <w:rFonts w:eastAsia="Times New Roman" w:cs="Sylfaen"/>
                <w:sz w:val="20"/>
                <w:szCs w:val="20"/>
                <w:lang w:val="hy-AM"/>
              </w:rPr>
              <w:t>է</w:t>
            </w:r>
            <w:r w:rsidRPr="0053423A">
              <w:rPr>
                <w:rFonts w:eastAsia="Times New Roman" w:cs="Times New Roman"/>
                <w:sz w:val="20"/>
                <w:szCs w:val="20"/>
                <w:lang w:val="hy-AM"/>
              </w:rPr>
              <w:t xml:space="preserve"> </w:t>
            </w:r>
            <w:r w:rsidRPr="0053423A">
              <w:rPr>
                <w:rFonts w:eastAsia="Times New Roman" w:cs="Calibri"/>
                <w:sz w:val="20"/>
                <w:szCs w:val="20"/>
                <w:lang w:val="hy-AM"/>
              </w:rPr>
              <w:t>«</w:t>
            </w:r>
            <w:r w:rsidRPr="0053423A">
              <w:rPr>
                <w:rFonts w:eastAsia="Times New Roman" w:cs="Sylfaen"/>
                <w:sz w:val="20"/>
                <w:szCs w:val="20"/>
                <w:lang w:val="hy-AM"/>
              </w:rPr>
              <w:t>Սոցիալական</w:t>
            </w:r>
            <w:r w:rsidRPr="0053423A">
              <w:rPr>
                <w:rFonts w:eastAsia="Times New Roman" w:cs="Times New Roman"/>
                <w:sz w:val="20"/>
                <w:szCs w:val="20"/>
                <w:lang w:val="hy-AM"/>
              </w:rPr>
              <w:t xml:space="preserve"> </w:t>
            </w:r>
            <w:r w:rsidRPr="0053423A">
              <w:rPr>
                <w:rFonts w:eastAsia="Times New Roman" w:cs="Sylfaen"/>
                <w:sz w:val="20"/>
                <w:szCs w:val="20"/>
                <w:lang w:val="hy-AM"/>
              </w:rPr>
              <w:t>աջակցության</w:t>
            </w:r>
            <w:r w:rsidRPr="0053423A">
              <w:rPr>
                <w:rFonts w:eastAsia="Times New Roman" w:cs="Times New Roman"/>
                <w:sz w:val="20"/>
                <w:szCs w:val="20"/>
                <w:lang w:val="hy-AM"/>
              </w:rPr>
              <w:t xml:space="preserve"> </w:t>
            </w:r>
            <w:r w:rsidRPr="0053423A">
              <w:rPr>
                <w:rFonts w:eastAsia="Times New Roman" w:cs="Sylfaen"/>
                <w:sz w:val="20"/>
                <w:szCs w:val="20"/>
                <w:lang w:val="hy-AM"/>
              </w:rPr>
              <w:t>մասին</w:t>
            </w:r>
            <w:r w:rsidRPr="0053423A">
              <w:rPr>
                <w:rFonts w:eastAsia="Times New Roman" w:cs="Calibri"/>
                <w:sz w:val="20"/>
                <w:szCs w:val="20"/>
                <w:lang w:val="hy-AM"/>
              </w:rPr>
              <w:t>»</w:t>
            </w:r>
            <w:r w:rsidRPr="0053423A">
              <w:rPr>
                <w:rFonts w:eastAsia="Times New Roman" w:cs="Times New Roman"/>
                <w:sz w:val="20"/>
                <w:szCs w:val="20"/>
                <w:lang w:val="hy-AM"/>
              </w:rPr>
              <w:t xml:space="preserve"> </w:t>
            </w:r>
            <w:r w:rsidRPr="0053423A">
              <w:rPr>
                <w:rFonts w:eastAsia="Times New Roman" w:cs="Sylfaen"/>
                <w:sz w:val="20"/>
                <w:szCs w:val="20"/>
                <w:lang w:val="hy-AM"/>
              </w:rPr>
              <w:t>ՀՀ</w:t>
            </w:r>
            <w:r w:rsidRPr="0053423A">
              <w:rPr>
                <w:rFonts w:eastAsia="Times New Roman" w:cs="Times New Roman"/>
                <w:sz w:val="20"/>
                <w:szCs w:val="20"/>
                <w:lang w:val="hy-AM"/>
              </w:rPr>
              <w:t xml:space="preserve"> </w:t>
            </w:r>
            <w:r w:rsidRPr="0053423A">
              <w:rPr>
                <w:rFonts w:eastAsia="Times New Roman" w:cs="Sylfaen"/>
                <w:sz w:val="20"/>
                <w:szCs w:val="20"/>
                <w:lang w:val="hy-AM"/>
              </w:rPr>
              <w:t>օրենքի</w:t>
            </w:r>
            <w:r w:rsidRPr="0053423A">
              <w:rPr>
                <w:rFonts w:eastAsia="Times New Roman" w:cs="Times New Roman"/>
                <w:sz w:val="20"/>
                <w:szCs w:val="20"/>
                <w:lang w:val="hy-AM"/>
              </w:rPr>
              <w:t xml:space="preserve"> 33-</w:t>
            </w:r>
            <w:r w:rsidRPr="0053423A">
              <w:rPr>
                <w:rFonts w:eastAsia="Times New Roman" w:cs="Sylfaen"/>
                <w:sz w:val="20"/>
                <w:szCs w:val="20"/>
                <w:lang w:val="hy-AM"/>
              </w:rPr>
              <w:t>րդ</w:t>
            </w:r>
            <w:r w:rsidRPr="0053423A">
              <w:rPr>
                <w:rFonts w:eastAsia="Times New Roman" w:cs="Times New Roman"/>
                <w:sz w:val="20"/>
                <w:szCs w:val="20"/>
                <w:lang w:val="hy-AM"/>
              </w:rPr>
              <w:t xml:space="preserve"> </w:t>
            </w:r>
            <w:r w:rsidRPr="0053423A">
              <w:rPr>
                <w:rFonts w:eastAsia="Times New Roman" w:cs="Sylfaen"/>
                <w:sz w:val="20"/>
                <w:szCs w:val="20"/>
                <w:lang w:val="hy-AM"/>
              </w:rPr>
              <w:t>հոդվածի</w:t>
            </w:r>
            <w:r w:rsidRPr="0053423A">
              <w:rPr>
                <w:rFonts w:eastAsia="Times New Roman" w:cs="Times New Roman"/>
                <w:sz w:val="20"/>
                <w:szCs w:val="20"/>
                <w:lang w:val="hy-AM"/>
              </w:rPr>
              <w:t xml:space="preserve"> </w:t>
            </w:r>
            <w:r w:rsidRPr="0053423A">
              <w:rPr>
                <w:rFonts w:eastAsia="Times New Roman" w:cs="Sylfaen"/>
                <w:sz w:val="20"/>
                <w:szCs w:val="20"/>
                <w:lang w:val="hy-AM"/>
              </w:rPr>
              <w:t>համաձայն</w:t>
            </w:r>
            <w:r w:rsidRPr="0053423A">
              <w:rPr>
                <w:rFonts w:eastAsia="Times New Roman" w:cs="Times New Roman"/>
                <w:sz w:val="20"/>
                <w:szCs w:val="20"/>
                <w:lang w:val="hy-AM"/>
              </w:rPr>
              <w:t xml:space="preserve">: </w:t>
            </w:r>
            <w:r w:rsidRPr="0053423A">
              <w:rPr>
                <w:rFonts w:eastAsia="Times New Roman" w:cs="Sylfaen"/>
                <w:sz w:val="20"/>
                <w:szCs w:val="20"/>
                <w:lang w:val="hy-AM"/>
              </w:rPr>
              <w:t>Ինտեգրված</w:t>
            </w:r>
            <w:r w:rsidRPr="0053423A">
              <w:rPr>
                <w:rFonts w:eastAsia="Times New Roman" w:cs="Times New Roman"/>
                <w:sz w:val="20"/>
                <w:szCs w:val="20"/>
                <w:lang w:val="hy-AM"/>
              </w:rPr>
              <w:t xml:space="preserve"> </w:t>
            </w:r>
            <w:r w:rsidRPr="0053423A">
              <w:rPr>
                <w:rFonts w:eastAsia="Times New Roman" w:cs="Sylfaen"/>
                <w:sz w:val="20"/>
                <w:szCs w:val="20"/>
                <w:lang w:val="hy-AM"/>
              </w:rPr>
              <w:t>սոցիալական</w:t>
            </w:r>
            <w:r w:rsidRPr="0053423A">
              <w:rPr>
                <w:rFonts w:eastAsia="Times New Roman" w:cs="Times New Roman"/>
                <w:sz w:val="20"/>
                <w:szCs w:val="20"/>
                <w:lang w:val="hy-AM"/>
              </w:rPr>
              <w:t xml:space="preserve"> </w:t>
            </w:r>
            <w:r w:rsidRPr="0053423A">
              <w:rPr>
                <w:rFonts w:eastAsia="Times New Roman" w:cs="Sylfaen"/>
                <w:sz w:val="20"/>
                <w:szCs w:val="20"/>
                <w:lang w:val="hy-AM"/>
              </w:rPr>
              <w:t>ծառայությունների</w:t>
            </w:r>
            <w:r w:rsidRPr="0053423A">
              <w:rPr>
                <w:rFonts w:eastAsia="Times New Roman" w:cs="Times New Roman"/>
                <w:sz w:val="20"/>
                <w:szCs w:val="20"/>
                <w:lang w:val="hy-AM"/>
              </w:rPr>
              <w:t xml:space="preserve"> </w:t>
            </w:r>
            <w:r w:rsidRPr="0053423A">
              <w:rPr>
                <w:rFonts w:eastAsia="Times New Roman" w:cs="Sylfaen"/>
                <w:sz w:val="20"/>
                <w:szCs w:val="20"/>
                <w:lang w:val="hy-AM"/>
              </w:rPr>
              <w:t>համակարգի</w:t>
            </w:r>
            <w:r w:rsidRPr="0053423A">
              <w:rPr>
                <w:rFonts w:eastAsia="Times New Roman" w:cs="Times New Roman"/>
                <w:sz w:val="20"/>
                <w:szCs w:val="20"/>
                <w:lang w:val="hy-AM"/>
              </w:rPr>
              <w:t xml:space="preserve"> </w:t>
            </w:r>
            <w:r w:rsidRPr="0053423A">
              <w:rPr>
                <w:rFonts w:eastAsia="Times New Roman" w:cs="Sylfaen"/>
                <w:sz w:val="20"/>
                <w:szCs w:val="20"/>
                <w:lang w:val="hy-AM"/>
              </w:rPr>
              <w:t>բաղադրևիչներն</w:t>
            </w:r>
            <w:r w:rsidRPr="0053423A">
              <w:rPr>
                <w:rFonts w:eastAsia="Times New Roman" w:cs="Times New Roman"/>
                <w:sz w:val="20"/>
                <w:szCs w:val="20"/>
                <w:lang w:val="hy-AM"/>
              </w:rPr>
              <w:t xml:space="preserve"> </w:t>
            </w:r>
            <w:r w:rsidRPr="0053423A">
              <w:rPr>
                <w:rFonts w:eastAsia="Times New Roman" w:cs="Sylfaen"/>
                <w:sz w:val="20"/>
                <w:szCs w:val="20"/>
                <w:lang w:val="hy-AM"/>
              </w:rPr>
              <w:t>են՝</w:t>
            </w:r>
            <w:r w:rsidRPr="0053423A">
              <w:rPr>
                <w:rFonts w:eastAsia="Times New Roman" w:cs="Times New Roman"/>
                <w:sz w:val="20"/>
                <w:szCs w:val="20"/>
                <w:lang w:val="hy-AM"/>
              </w:rPr>
              <w:t xml:space="preserve"> </w:t>
            </w:r>
            <w:r w:rsidRPr="0053423A">
              <w:rPr>
                <w:rFonts w:eastAsia="Times New Roman" w:cs="Sylfaen"/>
                <w:sz w:val="20"/>
                <w:szCs w:val="20"/>
                <w:lang w:val="hy-AM"/>
              </w:rPr>
              <w:t>լիազորած</w:t>
            </w:r>
            <w:r w:rsidRPr="0053423A">
              <w:rPr>
                <w:rFonts w:eastAsia="Times New Roman" w:cs="Times New Roman"/>
                <w:sz w:val="20"/>
                <w:szCs w:val="20"/>
                <w:lang w:val="hy-AM"/>
              </w:rPr>
              <w:t xml:space="preserve"> </w:t>
            </w:r>
            <w:r w:rsidRPr="0053423A">
              <w:rPr>
                <w:rFonts w:eastAsia="Times New Roman" w:cs="Sylfaen"/>
                <w:sz w:val="20"/>
                <w:szCs w:val="20"/>
                <w:lang w:val="hy-AM"/>
              </w:rPr>
              <w:t>պետական</w:t>
            </w:r>
            <w:r w:rsidRPr="0053423A">
              <w:rPr>
                <w:rFonts w:eastAsia="Times New Roman" w:cs="Times New Roman"/>
                <w:sz w:val="20"/>
                <w:szCs w:val="20"/>
                <w:lang w:val="hy-AM"/>
              </w:rPr>
              <w:t xml:space="preserve"> </w:t>
            </w:r>
            <w:r w:rsidRPr="0053423A">
              <w:rPr>
                <w:rFonts w:eastAsia="Times New Roman" w:cs="Sylfaen"/>
                <w:sz w:val="20"/>
                <w:szCs w:val="20"/>
                <w:lang w:val="hy-AM"/>
              </w:rPr>
              <w:t>մարմինը</w:t>
            </w:r>
            <w:r w:rsidRPr="0053423A">
              <w:rPr>
                <w:rFonts w:eastAsia="Times New Roman" w:cs="Times New Roman"/>
                <w:sz w:val="20"/>
                <w:szCs w:val="20"/>
                <w:lang w:val="hy-AM"/>
              </w:rPr>
              <w:t xml:space="preserve">, </w:t>
            </w:r>
            <w:r w:rsidRPr="0053423A">
              <w:rPr>
                <w:rFonts w:eastAsia="Times New Roman" w:cs="Sylfaen"/>
                <w:sz w:val="20"/>
                <w:szCs w:val="20"/>
                <w:lang w:val="hy-AM"/>
              </w:rPr>
              <w:t>միջգերատեսչական</w:t>
            </w:r>
            <w:r w:rsidRPr="0053423A">
              <w:rPr>
                <w:rFonts w:eastAsia="Times New Roman" w:cs="Times New Roman"/>
                <w:sz w:val="20"/>
                <w:szCs w:val="20"/>
                <w:lang w:val="hy-AM"/>
              </w:rPr>
              <w:t xml:space="preserve"> </w:t>
            </w:r>
            <w:r w:rsidRPr="0053423A">
              <w:rPr>
                <w:rFonts w:eastAsia="Times New Roman" w:cs="Sylfaen"/>
                <w:sz w:val="20"/>
                <w:szCs w:val="20"/>
                <w:lang w:val="hy-AM"/>
              </w:rPr>
              <w:t>սոցիալական</w:t>
            </w:r>
            <w:r w:rsidRPr="0053423A">
              <w:rPr>
                <w:rFonts w:eastAsia="Times New Roman" w:cs="Times New Roman"/>
                <w:sz w:val="20"/>
                <w:szCs w:val="20"/>
                <w:lang w:val="hy-AM"/>
              </w:rPr>
              <w:t xml:space="preserve"> </w:t>
            </w:r>
            <w:r w:rsidRPr="0053423A">
              <w:rPr>
                <w:rFonts w:eastAsia="Times New Roman" w:cs="Sylfaen"/>
                <w:sz w:val="20"/>
                <w:szCs w:val="20"/>
                <w:lang w:val="hy-AM"/>
              </w:rPr>
              <w:t>համագործակցության</w:t>
            </w:r>
            <w:r w:rsidRPr="0053423A">
              <w:rPr>
                <w:rFonts w:eastAsia="Times New Roman" w:cs="Times New Roman"/>
                <w:sz w:val="20"/>
                <w:szCs w:val="20"/>
                <w:lang w:val="hy-AM"/>
              </w:rPr>
              <w:t xml:space="preserve"> </w:t>
            </w:r>
            <w:r w:rsidRPr="0053423A">
              <w:rPr>
                <w:rFonts w:eastAsia="Times New Roman" w:cs="Sylfaen"/>
                <w:sz w:val="20"/>
                <w:szCs w:val="20"/>
                <w:lang w:val="hy-AM"/>
              </w:rPr>
              <w:t>կողմերը</w:t>
            </w:r>
            <w:r w:rsidRPr="0053423A">
              <w:rPr>
                <w:rFonts w:eastAsia="Times New Roman" w:cs="Times New Roman"/>
                <w:sz w:val="20"/>
                <w:szCs w:val="20"/>
                <w:lang w:val="hy-AM"/>
              </w:rPr>
              <w:t xml:space="preserve">, </w:t>
            </w:r>
            <w:r w:rsidRPr="0053423A">
              <w:rPr>
                <w:rFonts w:eastAsia="Times New Roman" w:cs="Sylfaen"/>
                <w:sz w:val="20"/>
                <w:szCs w:val="20"/>
                <w:lang w:val="hy-AM"/>
              </w:rPr>
              <w:t>աջակցող</w:t>
            </w:r>
            <w:r w:rsidRPr="0053423A">
              <w:rPr>
                <w:rFonts w:eastAsia="Times New Roman" w:cs="Times New Roman"/>
                <w:sz w:val="20"/>
                <w:szCs w:val="20"/>
                <w:lang w:val="hy-AM"/>
              </w:rPr>
              <w:t xml:space="preserve"> </w:t>
            </w:r>
            <w:r w:rsidRPr="0053423A">
              <w:rPr>
                <w:rFonts w:eastAsia="Times New Roman" w:cs="Sylfaen"/>
                <w:sz w:val="20"/>
                <w:szCs w:val="20"/>
                <w:lang w:val="hy-AM"/>
              </w:rPr>
              <w:t>ցանցը</w:t>
            </w:r>
            <w:r w:rsidRPr="0053423A">
              <w:rPr>
                <w:rFonts w:eastAsia="Times New Roman" w:cs="Times New Roman"/>
                <w:sz w:val="20"/>
                <w:szCs w:val="20"/>
                <w:lang w:val="hy-AM"/>
              </w:rPr>
              <w:t xml:space="preserve"> (</w:t>
            </w:r>
            <w:r w:rsidRPr="0053423A">
              <w:rPr>
                <w:rFonts w:eastAsia="Times New Roman" w:cs="Sylfaen"/>
                <w:sz w:val="20"/>
                <w:szCs w:val="20"/>
                <w:lang w:val="hy-AM"/>
              </w:rPr>
              <w:t>սույն</w:t>
            </w:r>
            <w:r w:rsidRPr="0053423A">
              <w:rPr>
                <w:rFonts w:eastAsia="Times New Roman" w:cs="Times New Roman"/>
                <w:sz w:val="20"/>
                <w:szCs w:val="20"/>
                <w:lang w:val="hy-AM"/>
              </w:rPr>
              <w:t xml:space="preserve"> </w:t>
            </w:r>
            <w:r w:rsidRPr="0053423A">
              <w:rPr>
                <w:rFonts w:eastAsia="Times New Roman" w:cs="Sylfaen"/>
                <w:sz w:val="20"/>
                <w:szCs w:val="20"/>
                <w:lang w:val="hy-AM"/>
              </w:rPr>
              <w:t>օրենքով</w:t>
            </w:r>
            <w:r w:rsidRPr="0053423A">
              <w:rPr>
                <w:rFonts w:eastAsia="Times New Roman" w:cs="Times New Roman"/>
                <w:sz w:val="20"/>
                <w:szCs w:val="20"/>
                <w:lang w:val="hy-AM"/>
              </w:rPr>
              <w:t xml:space="preserve"> </w:t>
            </w:r>
            <w:r w:rsidRPr="0053423A">
              <w:rPr>
                <w:rFonts w:eastAsia="Times New Roman" w:cs="Sylfaen"/>
                <w:sz w:val="20"/>
                <w:szCs w:val="20"/>
                <w:lang w:val="hy-AM"/>
              </w:rPr>
              <w:t>սահմանված</w:t>
            </w:r>
            <w:r w:rsidRPr="0053423A">
              <w:rPr>
                <w:rFonts w:eastAsia="Times New Roman" w:cs="Times New Roman"/>
                <w:sz w:val="20"/>
                <w:szCs w:val="20"/>
                <w:lang w:val="hy-AM"/>
              </w:rPr>
              <w:t xml:space="preserve"> </w:t>
            </w:r>
            <w:r w:rsidRPr="0053423A">
              <w:rPr>
                <w:rFonts w:eastAsia="Times New Roman" w:cs="Sylfaen"/>
                <w:sz w:val="20"/>
                <w:szCs w:val="20"/>
                <w:lang w:val="hy-AM"/>
              </w:rPr>
              <w:t>սոցիալական</w:t>
            </w:r>
            <w:r w:rsidRPr="0053423A">
              <w:rPr>
                <w:rFonts w:eastAsia="Times New Roman" w:cs="Times New Roman"/>
                <w:sz w:val="20"/>
                <w:szCs w:val="20"/>
                <w:lang w:val="hy-AM"/>
              </w:rPr>
              <w:t xml:space="preserve"> </w:t>
            </w:r>
            <w:r w:rsidRPr="0053423A">
              <w:rPr>
                <w:rFonts w:eastAsia="Times New Roman" w:cs="Sylfaen"/>
                <w:sz w:val="20"/>
                <w:szCs w:val="20"/>
                <w:lang w:val="hy-AM"/>
              </w:rPr>
              <w:t>համագործակցության</w:t>
            </w:r>
            <w:r w:rsidRPr="0053423A">
              <w:rPr>
                <w:rFonts w:eastAsia="Times New Roman" w:cs="Times New Roman"/>
                <w:sz w:val="20"/>
                <w:szCs w:val="20"/>
                <w:lang w:val="hy-AM"/>
              </w:rPr>
              <w:t xml:space="preserve"> </w:t>
            </w:r>
            <w:r w:rsidRPr="0053423A">
              <w:rPr>
                <w:rFonts w:eastAsia="Times New Roman" w:cs="Sylfaen"/>
                <w:sz w:val="20"/>
                <w:szCs w:val="20"/>
                <w:lang w:val="hy-AM"/>
              </w:rPr>
              <w:t>համաձայնագրի</w:t>
            </w:r>
            <w:r w:rsidRPr="0053423A">
              <w:rPr>
                <w:rFonts w:eastAsia="Times New Roman" w:cs="Times New Roman"/>
                <w:sz w:val="20"/>
                <w:szCs w:val="20"/>
                <w:lang w:val="hy-AM"/>
              </w:rPr>
              <w:t xml:space="preserve"> </w:t>
            </w:r>
            <w:r w:rsidRPr="0053423A">
              <w:rPr>
                <w:rFonts w:eastAsia="Times New Roman" w:cs="Sylfaen"/>
                <w:sz w:val="20"/>
                <w:szCs w:val="20"/>
                <w:lang w:val="hy-AM"/>
              </w:rPr>
              <w:t>կողմերը</w:t>
            </w:r>
            <w:r w:rsidRPr="0053423A">
              <w:rPr>
                <w:rFonts w:eastAsia="Times New Roman" w:cs="Times New Roman"/>
                <w:sz w:val="20"/>
                <w:szCs w:val="20"/>
                <w:lang w:val="hy-AM"/>
              </w:rPr>
              <w:t xml:space="preserve">), </w:t>
            </w:r>
            <w:r w:rsidRPr="0053423A">
              <w:rPr>
                <w:rFonts w:eastAsia="Times New Roman" w:cs="Sylfaen"/>
                <w:sz w:val="20"/>
                <w:szCs w:val="20"/>
                <w:lang w:val="hy-AM"/>
              </w:rPr>
              <w:t>համալիր</w:t>
            </w:r>
            <w:r w:rsidRPr="0053423A">
              <w:rPr>
                <w:rFonts w:eastAsia="Times New Roman" w:cs="Times New Roman"/>
                <w:sz w:val="20"/>
                <w:szCs w:val="20"/>
                <w:lang w:val="hy-AM"/>
              </w:rPr>
              <w:t xml:space="preserve"> </w:t>
            </w:r>
            <w:r w:rsidRPr="0053423A">
              <w:rPr>
                <w:rFonts w:eastAsia="Times New Roman" w:cs="Sylfaen"/>
                <w:sz w:val="20"/>
                <w:szCs w:val="20"/>
                <w:lang w:val="hy-AM"/>
              </w:rPr>
              <w:t>կենտրոնը</w:t>
            </w:r>
            <w:r w:rsidRPr="0053423A">
              <w:rPr>
                <w:rFonts w:eastAsia="Times New Roman" w:cs="Times New Roman"/>
                <w:sz w:val="20"/>
                <w:szCs w:val="20"/>
                <w:lang w:val="hy-AM"/>
              </w:rPr>
              <w:t xml:space="preserve">, </w:t>
            </w:r>
            <w:r w:rsidRPr="0053423A">
              <w:rPr>
                <w:rFonts w:eastAsia="Times New Roman" w:cs="Sylfaen"/>
                <w:sz w:val="20"/>
                <w:szCs w:val="20"/>
                <w:lang w:val="hy-AM"/>
              </w:rPr>
              <w:t>տարածքային</w:t>
            </w:r>
            <w:r w:rsidRPr="0053423A">
              <w:rPr>
                <w:rFonts w:eastAsia="Times New Roman" w:cs="Times New Roman"/>
                <w:sz w:val="20"/>
                <w:szCs w:val="20"/>
                <w:lang w:val="hy-AM"/>
              </w:rPr>
              <w:t xml:space="preserve"> </w:t>
            </w:r>
            <w:r w:rsidRPr="0053423A">
              <w:rPr>
                <w:rFonts w:eastAsia="Times New Roman" w:cs="Sylfaen"/>
                <w:sz w:val="20"/>
                <w:szCs w:val="20"/>
                <w:lang w:val="hy-AM"/>
              </w:rPr>
              <w:t>մարմինները</w:t>
            </w:r>
            <w:r w:rsidRPr="0053423A">
              <w:rPr>
                <w:rFonts w:eastAsia="Times New Roman" w:cs="Times New Roman"/>
                <w:sz w:val="20"/>
                <w:szCs w:val="20"/>
                <w:lang w:val="hy-AM"/>
              </w:rPr>
              <w:t xml:space="preserve">, </w:t>
            </w:r>
            <w:r w:rsidRPr="0053423A">
              <w:rPr>
                <w:rFonts w:eastAsia="Times New Roman" w:cs="Sylfaen"/>
                <w:sz w:val="20"/>
                <w:szCs w:val="20"/>
                <w:lang w:val="hy-AM"/>
              </w:rPr>
              <w:t>ընտանիքի</w:t>
            </w:r>
            <w:r w:rsidRPr="0053423A">
              <w:rPr>
                <w:rFonts w:eastAsia="Times New Roman" w:cs="Times New Roman"/>
                <w:sz w:val="20"/>
                <w:szCs w:val="20"/>
                <w:lang w:val="hy-AM"/>
              </w:rPr>
              <w:t xml:space="preserve"> </w:t>
            </w:r>
            <w:r w:rsidRPr="0053423A">
              <w:rPr>
                <w:rFonts w:eastAsia="Times New Roman" w:cs="Sylfaen"/>
                <w:sz w:val="20"/>
                <w:szCs w:val="20"/>
                <w:lang w:val="hy-AM"/>
              </w:rPr>
              <w:t>սոցիալական</w:t>
            </w:r>
            <w:r w:rsidRPr="0053423A">
              <w:rPr>
                <w:rFonts w:eastAsia="Times New Roman" w:cs="Times New Roman"/>
                <w:sz w:val="20"/>
                <w:szCs w:val="20"/>
                <w:lang w:val="hy-AM"/>
              </w:rPr>
              <w:t xml:space="preserve"> </w:t>
            </w:r>
            <w:r w:rsidRPr="0053423A">
              <w:rPr>
                <w:rFonts w:eastAsia="Times New Roman" w:cs="Sylfaen"/>
                <w:sz w:val="20"/>
                <w:szCs w:val="20"/>
                <w:lang w:val="hy-AM"/>
              </w:rPr>
              <w:t>գնահատման</w:t>
            </w:r>
            <w:r w:rsidRPr="0053423A">
              <w:rPr>
                <w:rFonts w:eastAsia="Times New Roman" w:cs="Times New Roman"/>
                <w:sz w:val="20"/>
                <w:szCs w:val="20"/>
                <w:lang w:val="hy-AM"/>
              </w:rPr>
              <w:t xml:space="preserve"> </w:t>
            </w:r>
            <w:r w:rsidRPr="0053423A">
              <w:rPr>
                <w:rFonts w:eastAsia="Times New Roman" w:cs="Sylfaen"/>
                <w:sz w:val="20"/>
                <w:szCs w:val="20"/>
                <w:lang w:val="hy-AM"/>
              </w:rPr>
              <w:t>համակարգը</w:t>
            </w:r>
            <w:r w:rsidRPr="0053423A">
              <w:rPr>
                <w:rFonts w:eastAsia="Times New Roman" w:cs="Times New Roman"/>
                <w:sz w:val="20"/>
                <w:szCs w:val="20"/>
                <w:lang w:val="hy-AM"/>
              </w:rPr>
              <w:t xml:space="preserve"> </w:t>
            </w:r>
            <w:r w:rsidRPr="0053423A">
              <w:rPr>
                <w:rFonts w:eastAsia="Times New Roman" w:cs="Sylfaen"/>
                <w:sz w:val="20"/>
                <w:szCs w:val="20"/>
                <w:lang w:val="hy-AM"/>
              </w:rPr>
              <w:t>և</w:t>
            </w:r>
            <w:r w:rsidRPr="0053423A">
              <w:rPr>
                <w:rFonts w:eastAsia="Times New Roman" w:cs="Times New Roman"/>
                <w:sz w:val="20"/>
                <w:szCs w:val="20"/>
                <w:lang w:val="hy-AM"/>
              </w:rPr>
              <w:t xml:space="preserve"> </w:t>
            </w:r>
            <w:r w:rsidRPr="0053423A">
              <w:rPr>
                <w:rFonts w:ascii="Calibri" w:eastAsia="Times New Roman" w:hAnsi="Calibri" w:cs="Calibri"/>
                <w:sz w:val="20"/>
                <w:szCs w:val="20"/>
                <w:lang w:val="hy-AM"/>
              </w:rPr>
              <w:t> </w:t>
            </w:r>
            <w:r w:rsidRPr="0053423A">
              <w:rPr>
                <w:rFonts w:eastAsia="Times New Roman" w:cs="Sylfaen"/>
                <w:sz w:val="20"/>
                <w:szCs w:val="20"/>
                <w:lang w:val="hy-AM"/>
              </w:rPr>
              <w:t>միասնական</w:t>
            </w:r>
            <w:r w:rsidRPr="0053423A">
              <w:rPr>
                <w:rFonts w:eastAsia="Times New Roman" w:cs="Times New Roman"/>
                <w:sz w:val="20"/>
                <w:szCs w:val="20"/>
                <w:lang w:val="hy-AM"/>
              </w:rPr>
              <w:t xml:space="preserve"> </w:t>
            </w:r>
            <w:r w:rsidRPr="0053423A">
              <w:rPr>
                <w:rFonts w:eastAsia="Times New Roman" w:cs="Sylfaen"/>
                <w:sz w:val="20"/>
                <w:szCs w:val="20"/>
                <w:lang w:val="hy-AM"/>
              </w:rPr>
              <w:t>տեղեկատվական</w:t>
            </w:r>
            <w:r w:rsidRPr="0053423A">
              <w:rPr>
                <w:rFonts w:eastAsia="Times New Roman" w:cs="Times New Roman"/>
                <w:sz w:val="20"/>
                <w:szCs w:val="20"/>
                <w:lang w:val="hy-AM"/>
              </w:rPr>
              <w:t xml:space="preserve"> </w:t>
            </w:r>
            <w:r w:rsidRPr="0053423A">
              <w:rPr>
                <w:rFonts w:eastAsia="Times New Roman" w:cs="Sylfaen"/>
                <w:sz w:val="20"/>
                <w:szCs w:val="20"/>
                <w:lang w:val="hy-AM"/>
              </w:rPr>
              <w:t>համակարգը</w:t>
            </w:r>
            <w:r w:rsidRPr="0053423A">
              <w:rPr>
                <w:rFonts w:eastAsia="Times New Roman" w:cs="Times New Roman"/>
                <w:sz w:val="20"/>
                <w:szCs w:val="20"/>
                <w:lang w:val="hy-AM"/>
              </w:rPr>
              <w:t>:</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b/>
                <w:bCs/>
                <w:sz w:val="20"/>
                <w:szCs w:val="20"/>
                <w:lang w:val="hy-AM"/>
              </w:rPr>
              <w:t xml:space="preserve">1.2. </w:t>
            </w:r>
            <w:r w:rsidRPr="0053423A">
              <w:rPr>
                <w:rFonts w:eastAsia="Times New Roman" w:cs="Sylfaen"/>
                <w:b/>
                <w:bCs/>
                <w:sz w:val="20"/>
                <w:szCs w:val="20"/>
                <w:lang w:val="hy-AM"/>
              </w:rPr>
              <w:t>առկա</w:t>
            </w:r>
            <w:r w:rsidRPr="0053423A">
              <w:rPr>
                <w:rFonts w:eastAsia="Times New Roman" w:cs="Times New Roman"/>
                <w:b/>
                <w:bCs/>
                <w:sz w:val="20"/>
                <w:szCs w:val="20"/>
                <w:lang w:val="hy-AM"/>
              </w:rPr>
              <w:t xml:space="preserve"> </w:t>
            </w:r>
            <w:r w:rsidRPr="0053423A">
              <w:rPr>
                <w:rFonts w:eastAsia="Times New Roman" w:cs="Sylfaen"/>
                <w:b/>
                <w:bCs/>
                <w:sz w:val="20"/>
                <w:szCs w:val="20"/>
                <w:lang w:val="hy-AM"/>
              </w:rPr>
              <w:t>խնդիրների</w:t>
            </w:r>
            <w:r w:rsidRPr="0053423A">
              <w:rPr>
                <w:rFonts w:eastAsia="Times New Roman" w:cs="Times New Roman"/>
                <w:b/>
                <w:bCs/>
                <w:sz w:val="20"/>
                <w:szCs w:val="20"/>
                <w:lang w:val="hy-AM"/>
              </w:rPr>
              <w:t xml:space="preserve"> </w:t>
            </w:r>
            <w:r w:rsidRPr="0053423A">
              <w:rPr>
                <w:rFonts w:eastAsia="Times New Roman" w:cs="Sylfaen"/>
                <w:b/>
                <w:bCs/>
                <w:sz w:val="20"/>
                <w:szCs w:val="20"/>
                <w:lang w:val="hy-AM"/>
              </w:rPr>
              <w:t>առաջարկվող</w:t>
            </w:r>
            <w:r w:rsidRPr="0053423A">
              <w:rPr>
                <w:rFonts w:eastAsia="Times New Roman" w:cs="Times New Roman"/>
                <w:b/>
                <w:bCs/>
                <w:sz w:val="20"/>
                <w:szCs w:val="20"/>
                <w:lang w:val="hy-AM"/>
              </w:rPr>
              <w:t xml:space="preserve"> </w:t>
            </w:r>
            <w:r w:rsidRPr="0053423A">
              <w:rPr>
                <w:rFonts w:eastAsia="Times New Roman" w:cs="Sylfaen"/>
                <w:b/>
                <w:bCs/>
                <w:sz w:val="20"/>
                <w:szCs w:val="20"/>
                <w:lang w:val="hy-AM"/>
              </w:rPr>
              <w:t>լուծումները</w:t>
            </w:r>
            <w:r w:rsidRPr="0053423A">
              <w:rPr>
                <w:rFonts w:eastAsia="Times New Roman" w:cs="Times New Roman"/>
                <w:b/>
                <w:bCs/>
                <w:sz w:val="20"/>
                <w:szCs w:val="20"/>
                <w:lang w:val="hy-AM"/>
              </w:rPr>
              <w:t xml:space="preserve">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Sylfaen"/>
                <w:sz w:val="20"/>
                <w:szCs w:val="20"/>
                <w:lang w:val="hy-AM"/>
              </w:rPr>
              <w:t>Հանրապետությունում</w:t>
            </w:r>
            <w:r w:rsidRPr="0053423A">
              <w:rPr>
                <w:rFonts w:eastAsia="Times New Roman" w:cs="Times New Roman"/>
                <w:sz w:val="20"/>
                <w:szCs w:val="20"/>
                <w:lang w:val="hy-AM"/>
              </w:rPr>
              <w:t xml:space="preserve"> </w:t>
            </w:r>
            <w:r w:rsidRPr="0053423A">
              <w:rPr>
                <w:rFonts w:eastAsia="Times New Roman" w:cs="Sylfaen"/>
                <w:sz w:val="20"/>
                <w:szCs w:val="20"/>
                <w:lang w:val="hy-AM"/>
              </w:rPr>
              <w:t>գործում</w:t>
            </w:r>
            <w:r w:rsidRPr="0053423A">
              <w:rPr>
                <w:rFonts w:eastAsia="Times New Roman" w:cs="Times New Roman"/>
                <w:sz w:val="20"/>
                <w:szCs w:val="20"/>
                <w:lang w:val="hy-AM"/>
              </w:rPr>
              <w:t xml:space="preserve"> </w:t>
            </w:r>
            <w:r w:rsidRPr="0053423A">
              <w:rPr>
                <w:rFonts w:eastAsia="Times New Roman" w:cs="Sylfaen"/>
                <w:sz w:val="20"/>
                <w:szCs w:val="20"/>
                <w:lang w:val="hy-AM"/>
              </w:rPr>
              <w:t>են</w:t>
            </w:r>
            <w:r w:rsidRPr="0053423A">
              <w:rPr>
                <w:rFonts w:eastAsia="Times New Roman" w:cs="Times New Roman"/>
                <w:sz w:val="20"/>
                <w:szCs w:val="20"/>
                <w:lang w:val="hy-AM"/>
              </w:rPr>
              <w:t xml:space="preserve"> </w:t>
            </w:r>
            <w:r w:rsidRPr="0053423A">
              <w:rPr>
                <w:rFonts w:eastAsia="Times New Roman" w:cs="Sylfaen"/>
                <w:sz w:val="20"/>
                <w:szCs w:val="20"/>
                <w:lang w:val="hy-AM"/>
              </w:rPr>
              <w:t>դեռևս</w:t>
            </w:r>
            <w:r w:rsidRPr="0053423A">
              <w:rPr>
                <w:rFonts w:eastAsia="Times New Roman" w:cs="Times New Roman"/>
                <w:sz w:val="20"/>
                <w:szCs w:val="20"/>
                <w:lang w:val="hy-AM"/>
              </w:rPr>
              <w:t xml:space="preserve"> 24 </w:t>
            </w:r>
            <w:r w:rsidRPr="0053423A">
              <w:rPr>
                <w:rFonts w:eastAsia="Times New Roman" w:cs="Sylfaen"/>
                <w:sz w:val="20"/>
                <w:szCs w:val="20"/>
                <w:lang w:val="hy-AM"/>
              </w:rPr>
              <w:t>համալիր</w:t>
            </w:r>
            <w:r w:rsidRPr="0053423A">
              <w:rPr>
                <w:rFonts w:eastAsia="Times New Roman" w:cs="Times New Roman"/>
                <w:sz w:val="20"/>
                <w:szCs w:val="20"/>
                <w:lang w:val="hy-AM"/>
              </w:rPr>
              <w:t xml:space="preserve"> </w:t>
            </w:r>
            <w:r w:rsidRPr="0053423A">
              <w:rPr>
                <w:rFonts w:eastAsia="Times New Roman" w:cs="Sylfaen"/>
                <w:sz w:val="20"/>
                <w:szCs w:val="20"/>
                <w:lang w:val="hy-AM"/>
              </w:rPr>
              <w:t>սոցիալական</w:t>
            </w:r>
            <w:r w:rsidRPr="0053423A">
              <w:rPr>
                <w:rFonts w:eastAsia="Times New Roman" w:cs="Times New Roman"/>
                <w:sz w:val="20"/>
                <w:szCs w:val="20"/>
                <w:lang w:val="hy-AM"/>
              </w:rPr>
              <w:t xml:space="preserve"> </w:t>
            </w:r>
            <w:r w:rsidRPr="0053423A">
              <w:rPr>
                <w:rFonts w:eastAsia="Times New Roman" w:cs="Sylfaen"/>
                <w:sz w:val="20"/>
                <w:szCs w:val="20"/>
                <w:lang w:val="hy-AM"/>
              </w:rPr>
              <w:t>ծառայությունների</w:t>
            </w:r>
            <w:r w:rsidRPr="0053423A">
              <w:rPr>
                <w:rFonts w:eastAsia="Times New Roman" w:cs="Times New Roman"/>
                <w:sz w:val="20"/>
                <w:szCs w:val="20"/>
                <w:lang w:val="hy-AM"/>
              </w:rPr>
              <w:t xml:space="preserve"> </w:t>
            </w:r>
            <w:r w:rsidRPr="0053423A">
              <w:rPr>
                <w:rFonts w:eastAsia="Times New Roman" w:cs="Sylfaen"/>
                <w:sz w:val="20"/>
                <w:szCs w:val="20"/>
                <w:lang w:val="hy-AM"/>
              </w:rPr>
              <w:t>տարածքային</w:t>
            </w:r>
            <w:r w:rsidRPr="0053423A">
              <w:rPr>
                <w:rFonts w:eastAsia="Times New Roman" w:cs="Times New Roman"/>
                <w:sz w:val="20"/>
                <w:szCs w:val="20"/>
                <w:lang w:val="hy-AM"/>
              </w:rPr>
              <w:t xml:space="preserve"> </w:t>
            </w:r>
            <w:r w:rsidRPr="0053423A">
              <w:rPr>
                <w:rFonts w:eastAsia="Times New Roman" w:cs="Sylfaen"/>
                <w:sz w:val="20"/>
                <w:szCs w:val="20"/>
                <w:lang w:val="hy-AM"/>
              </w:rPr>
              <w:t>կենտրոններ</w:t>
            </w:r>
            <w:r w:rsidRPr="0053423A">
              <w:rPr>
                <w:rFonts w:eastAsia="Times New Roman" w:cs="Times New Roman"/>
                <w:sz w:val="20"/>
                <w:szCs w:val="20"/>
                <w:lang w:val="hy-AM"/>
              </w:rPr>
              <w:t xml:space="preserve"> </w:t>
            </w:r>
            <w:r w:rsidRPr="0053423A">
              <w:rPr>
                <w:rFonts w:eastAsia="Times New Roman" w:cs="Sylfaen"/>
                <w:sz w:val="20"/>
                <w:szCs w:val="20"/>
                <w:lang w:val="hy-AM"/>
              </w:rPr>
              <w:t>նախատեսված</w:t>
            </w:r>
            <w:r w:rsidRPr="0053423A">
              <w:rPr>
                <w:rFonts w:eastAsia="Times New Roman" w:cs="Times New Roman"/>
                <w:sz w:val="20"/>
                <w:szCs w:val="20"/>
                <w:lang w:val="hy-AM"/>
              </w:rPr>
              <w:t xml:space="preserve"> 55-</w:t>
            </w:r>
            <w:r w:rsidRPr="0053423A">
              <w:rPr>
                <w:rFonts w:eastAsia="Times New Roman" w:cs="Sylfaen"/>
                <w:sz w:val="20"/>
                <w:szCs w:val="20"/>
                <w:lang w:val="hy-AM"/>
              </w:rPr>
              <w:t>ի</w:t>
            </w:r>
            <w:r w:rsidRPr="0053423A">
              <w:rPr>
                <w:rFonts w:eastAsia="Times New Roman" w:cs="Times New Roman"/>
                <w:sz w:val="20"/>
                <w:szCs w:val="20"/>
                <w:lang w:val="hy-AM"/>
              </w:rPr>
              <w:t xml:space="preserve"> </w:t>
            </w:r>
            <w:r w:rsidRPr="0053423A">
              <w:rPr>
                <w:rFonts w:eastAsia="Times New Roman" w:cs="Sylfaen"/>
                <w:sz w:val="20"/>
                <w:szCs w:val="20"/>
                <w:lang w:val="hy-AM"/>
              </w:rPr>
              <w:t>դիմաց</w:t>
            </w:r>
            <w:r w:rsidRPr="0053423A">
              <w:rPr>
                <w:rFonts w:eastAsia="Times New Roman" w:cs="Times New Roman"/>
                <w:sz w:val="20"/>
                <w:szCs w:val="20"/>
                <w:lang w:val="hy-AM"/>
              </w:rPr>
              <w:t xml:space="preserve">: </w:t>
            </w:r>
            <w:r w:rsidRPr="0053423A">
              <w:rPr>
                <w:rFonts w:eastAsia="Times New Roman" w:cs="Sylfaen"/>
                <w:sz w:val="20"/>
                <w:szCs w:val="20"/>
                <w:lang w:val="hy-AM"/>
              </w:rPr>
              <w:t>Դեռևս</w:t>
            </w:r>
            <w:r w:rsidRPr="0053423A">
              <w:rPr>
                <w:rFonts w:eastAsia="Times New Roman" w:cs="Times New Roman"/>
                <w:sz w:val="20"/>
                <w:szCs w:val="20"/>
                <w:lang w:val="hy-AM"/>
              </w:rPr>
              <w:t xml:space="preserve"> </w:t>
            </w:r>
            <w:r w:rsidRPr="0053423A">
              <w:rPr>
                <w:rFonts w:eastAsia="Times New Roman" w:cs="Sylfaen"/>
                <w:sz w:val="20"/>
                <w:szCs w:val="20"/>
                <w:lang w:val="hy-AM"/>
              </w:rPr>
              <w:t>չի</w:t>
            </w:r>
            <w:r w:rsidRPr="0053423A">
              <w:rPr>
                <w:rFonts w:eastAsia="Times New Roman" w:cs="Times New Roman"/>
                <w:sz w:val="20"/>
                <w:szCs w:val="20"/>
                <w:lang w:val="hy-AM"/>
              </w:rPr>
              <w:t xml:space="preserve"> </w:t>
            </w:r>
            <w:r w:rsidRPr="0053423A">
              <w:rPr>
                <w:rFonts w:eastAsia="Times New Roman" w:cs="Sylfaen"/>
                <w:sz w:val="20"/>
                <w:szCs w:val="20"/>
                <w:lang w:val="hy-AM"/>
              </w:rPr>
              <w:t>գործում</w:t>
            </w:r>
            <w:r w:rsidRPr="0053423A">
              <w:rPr>
                <w:rFonts w:eastAsia="Times New Roman" w:cs="Times New Roman"/>
                <w:sz w:val="20"/>
                <w:szCs w:val="20"/>
                <w:lang w:val="hy-AM"/>
              </w:rPr>
              <w:t xml:space="preserve"> </w:t>
            </w:r>
            <w:r w:rsidRPr="0053423A">
              <w:rPr>
                <w:rFonts w:eastAsia="Times New Roman" w:cs="Sylfaen"/>
                <w:sz w:val="20"/>
                <w:szCs w:val="20"/>
                <w:lang w:val="hy-AM"/>
              </w:rPr>
              <w:t>միասնական</w:t>
            </w:r>
            <w:r w:rsidRPr="0053423A">
              <w:rPr>
                <w:rFonts w:eastAsia="Times New Roman" w:cs="Times New Roman"/>
                <w:sz w:val="20"/>
                <w:szCs w:val="20"/>
                <w:lang w:val="hy-AM"/>
              </w:rPr>
              <w:t xml:space="preserve"> </w:t>
            </w:r>
            <w:r w:rsidRPr="0053423A">
              <w:rPr>
                <w:rFonts w:eastAsia="Times New Roman" w:cs="Sylfaen"/>
                <w:sz w:val="20"/>
                <w:szCs w:val="20"/>
                <w:lang w:val="hy-AM"/>
              </w:rPr>
              <w:t>տեղեկատվական</w:t>
            </w:r>
            <w:r w:rsidRPr="0053423A">
              <w:rPr>
                <w:rFonts w:eastAsia="Times New Roman" w:cs="Times New Roman"/>
                <w:sz w:val="20"/>
                <w:szCs w:val="20"/>
                <w:lang w:val="hy-AM"/>
              </w:rPr>
              <w:t xml:space="preserve"> </w:t>
            </w:r>
            <w:r w:rsidRPr="0053423A">
              <w:rPr>
                <w:rFonts w:eastAsia="Times New Roman" w:cs="Sylfaen"/>
                <w:sz w:val="20"/>
                <w:szCs w:val="20"/>
                <w:lang w:val="hy-AM"/>
              </w:rPr>
              <w:t>համակարգը</w:t>
            </w:r>
            <w:r w:rsidRPr="0053423A">
              <w:rPr>
                <w:rFonts w:eastAsia="Times New Roman" w:cs="Times New Roman"/>
                <w:sz w:val="20"/>
                <w:szCs w:val="20"/>
                <w:lang w:val="hy-AM"/>
              </w:rPr>
              <w:t xml:space="preserve"> </w:t>
            </w:r>
            <w:r w:rsidRPr="0053423A">
              <w:rPr>
                <w:rFonts w:eastAsia="Times New Roman" w:cs="Sylfaen"/>
                <w:sz w:val="20"/>
                <w:szCs w:val="20"/>
                <w:lang w:val="hy-AM"/>
              </w:rPr>
              <w:t>և</w:t>
            </w:r>
            <w:r w:rsidRPr="0053423A">
              <w:rPr>
                <w:rFonts w:eastAsia="Times New Roman" w:cs="Times New Roman"/>
                <w:sz w:val="20"/>
                <w:szCs w:val="20"/>
                <w:lang w:val="hy-AM"/>
              </w:rPr>
              <w:t xml:space="preserve"> </w:t>
            </w:r>
            <w:r w:rsidRPr="0053423A">
              <w:rPr>
                <w:rFonts w:eastAsia="Times New Roman" w:cs="Sylfaen"/>
                <w:sz w:val="20"/>
                <w:szCs w:val="20"/>
                <w:lang w:val="hy-AM"/>
              </w:rPr>
              <w:t>ամբողջությամբ</w:t>
            </w:r>
            <w:r w:rsidRPr="0053423A">
              <w:rPr>
                <w:rFonts w:eastAsia="Times New Roman" w:cs="Times New Roman"/>
                <w:sz w:val="20"/>
                <w:szCs w:val="20"/>
                <w:lang w:val="hy-AM"/>
              </w:rPr>
              <w:t xml:space="preserve"> </w:t>
            </w:r>
            <w:r w:rsidRPr="0053423A">
              <w:rPr>
                <w:rFonts w:eastAsia="Times New Roman" w:cs="Sylfaen"/>
                <w:sz w:val="20"/>
                <w:szCs w:val="20"/>
                <w:lang w:val="hy-AM"/>
              </w:rPr>
              <w:t>չի</w:t>
            </w:r>
            <w:r w:rsidRPr="0053423A">
              <w:rPr>
                <w:rFonts w:eastAsia="Times New Roman" w:cs="Times New Roman"/>
                <w:sz w:val="20"/>
                <w:szCs w:val="20"/>
                <w:lang w:val="hy-AM"/>
              </w:rPr>
              <w:t xml:space="preserve"> </w:t>
            </w:r>
            <w:r w:rsidRPr="0053423A">
              <w:rPr>
                <w:rFonts w:eastAsia="Times New Roman" w:cs="Sylfaen"/>
                <w:sz w:val="20"/>
                <w:szCs w:val="20"/>
                <w:lang w:val="hy-AM"/>
              </w:rPr>
              <w:t>ներդրված</w:t>
            </w:r>
            <w:r w:rsidRPr="0053423A">
              <w:rPr>
                <w:rFonts w:eastAsia="Times New Roman" w:cs="Times New Roman"/>
                <w:sz w:val="20"/>
                <w:szCs w:val="20"/>
                <w:lang w:val="hy-AM"/>
              </w:rPr>
              <w:t xml:space="preserve"> </w:t>
            </w:r>
            <w:r w:rsidRPr="0053423A">
              <w:rPr>
                <w:rFonts w:eastAsia="Times New Roman" w:cs="Sylfaen"/>
                <w:sz w:val="20"/>
                <w:szCs w:val="20"/>
                <w:lang w:val="hy-AM"/>
              </w:rPr>
              <w:t>ընտանիքի</w:t>
            </w:r>
            <w:r w:rsidRPr="0053423A">
              <w:rPr>
                <w:rFonts w:eastAsia="Times New Roman" w:cs="Times New Roman"/>
                <w:sz w:val="20"/>
                <w:szCs w:val="20"/>
                <w:lang w:val="hy-AM"/>
              </w:rPr>
              <w:t xml:space="preserve"> </w:t>
            </w:r>
            <w:r w:rsidRPr="0053423A">
              <w:rPr>
                <w:rFonts w:eastAsia="Times New Roman" w:cs="Sylfaen"/>
                <w:sz w:val="20"/>
                <w:szCs w:val="20"/>
                <w:lang w:val="hy-AM"/>
              </w:rPr>
              <w:t>սոցիալական</w:t>
            </w:r>
            <w:r w:rsidRPr="0053423A">
              <w:rPr>
                <w:rFonts w:eastAsia="Times New Roman" w:cs="Times New Roman"/>
                <w:sz w:val="20"/>
                <w:szCs w:val="20"/>
                <w:lang w:val="hy-AM"/>
              </w:rPr>
              <w:t xml:space="preserve"> </w:t>
            </w:r>
            <w:r w:rsidRPr="0053423A">
              <w:rPr>
                <w:rFonts w:eastAsia="Times New Roman" w:cs="Sylfaen"/>
                <w:sz w:val="20"/>
                <w:szCs w:val="20"/>
                <w:lang w:val="hy-AM"/>
              </w:rPr>
              <w:t>գնահատման</w:t>
            </w:r>
            <w:r w:rsidRPr="0053423A">
              <w:rPr>
                <w:rFonts w:eastAsia="Times New Roman" w:cs="Times New Roman"/>
                <w:sz w:val="20"/>
                <w:szCs w:val="20"/>
                <w:lang w:val="hy-AM"/>
              </w:rPr>
              <w:t xml:space="preserve"> </w:t>
            </w:r>
            <w:r w:rsidRPr="0053423A">
              <w:rPr>
                <w:rFonts w:eastAsia="Times New Roman" w:cs="Sylfaen"/>
                <w:sz w:val="20"/>
                <w:szCs w:val="20"/>
                <w:lang w:val="hy-AM"/>
              </w:rPr>
              <w:t>համակարգը</w:t>
            </w:r>
            <w:r w:rsidRPr="0053423A">
              <w:rPr>
                <w:rFonts w:eastAsia="Times New Roman" w:cs="Times New Roman"/>
                <w:sz w:val="20"/>
                <w:szCs w:val="20"/>
                <w:lang w:val="hy-AM"/>
              </w:rPr>
              <w:t xml:space="preserve">: </w:t>
            </w:r>
            <w:r w:rsidRPr="0053423A">
              <w:rPr>
                <w:rFonts w:eastAsia="Times New Roman" w:cs="Sylfaen"/>
                <w:sz w:val="20"/>
                <w:szCs w:val="20"/>
                <w:lang w:val="hy-AM"/>
              </w:rPr>
              <w:t>Առաջարկվող</w:t>
            </w:r>
            <w:r w:rsidRPr="0053423A">
              <w:rPr>
                <w:rFonts w:eastAsia="Times New Roman" w:cs="Times New Roman"/>
                <w:sz w:val="20"/>
                <w:szCs w:val="20"/>
                <w:lang w:val="hy-AM"/>
              </w:rPr>
              <w:t xml:space="preserve"> </w:t>
            </w:r>
            <w:r w:rsidRPr="0053423A">
              <w:rPr>
                <w:rFonts w:eastAsia="Times New Roman" w:cs="Sylfaen"/>
                <w:sz w:val="20"/>
                <w:szCs w:val="20"/>
                <w:lang w:val="hy-AM"/>
              </w:rPr>
              <w:t>լուծումները</w:t>
            </w:r>
            <w:r w:rsidRPr="0053423A">
              <w:rPr>
                <w:rFonts w:eastAsia="Times New Roman" w:cs="Times New Roman"/>
                <w:sz w:val="20"/>
                <w:szCs w:val="20"/>
                <w:lang w:val="hy-AM"/>
              </w:rPr>
              <w:t xml:space="preserve"> </w:t>
            </w:r>
            <w:r w:rsidRPr="0053423A">
              <w:rPr>
                <w:rFonts w:eastAsia="Times New Roman" w:cs="Sylfaen"/>
                <w:sz w:val="20"/>
                <w:szCs w:val="20"/>
                <w:lang w:val="hy-AM"/>
              </w:rPr>
              <w:t>միջոցառումների</w:t>
            </w:r>
            <w:r w:rsidRPr="0053423A">
              <w:rPr>
                <w:rFonts w:eastAsia="Times New Roman" w:cs="Times New Roman"/>
                <w:sz w:val="20"/>
                <w:szCs w:val="20"/>
                <w:lang w:val="hy-AM"/>
              </w:rPr>
              <w:t xml:space="preserve"> </w:t>
            </w:r>
            <w:r w:rsidRPr="0053423A">
              <w:rPr>
                <w:rFonts w:eastAsia="Times New Roman" w:cs="Sylfaen"/>
                <w:sz w:val="20"/>
                <w:szCs w:val="20"/>
                <w:lang w:val="hy-AM"/>
              </w:rPr>
              <w:t>ծրագրի</w:t>
            </w:r>
            <w:r w:rsidRPr="0053423A">
              <w:rPr>
                <w:rFonts w:eastAsia="Times New Roman" w:cs="Times New Roman"/>
                <w:sz w:val="20"/>
                <w:szCs w:val="20"/>
                <w:lang w:val="hy-AM"/>
              </w:rPr>
              <w:t xml:space="preserve"> 15.3 </w:t>
            </w:r>
            <w:r w:rsidRPr="0053423A">
              <w:rPr>
                <w:rFonts w:eastAsia="Times New Roman" w:cs="Sylfaen"/>
                <w:sz w:val="20"/>
                <w:szCs w:val="20"/>
                <w:lang w:val="hy-AM"/>
              </w:rPr>
              <w:t>և</w:t>
            </w:r>
            <w:r w:rsidRPr="0053423A">
              <w:rPr>
                <w:rFonts w:eastAsia="Times New Roman" w:cs="Times New Roman"/>
                <w:sz w:val="20"/>
                <w:szCs w:val="20"/>
                <w:lang w:val="hy-AM"/>
              </w:rPr>
              <w:t xml:space="preserve"> 16.1 </w:t>
            </w:r>
            <w:r w:rsidRPr="0053423A">
              <w:rPr>
                <w:rFonts w:eastAsia="Times New Roman" w:cs="Sylfaen"/>
                <w:sz w:val="20"/>
                <w:szCs w:val="20"/>
                <w:lang w:val="hy-AM"/>
              </w:rPr>
              <w:t>կետերով</w:t>
            </w:r>
            <w:r w:rsidRPr="0053423A">
              <w:rPr>
                <w:rFonts w:eastAsia="Times New Roman" w:cs="Times New Roman"/>
                <w:sz w:val="20"/>
                <w:szCs w:val="20"/>
                <w:lang w:val="hy-AM"/>
              </w:rPr>
              <w:t xml:space="preserve"> </w:t>
            </w:r>
            <w:r w:rsidRPr="0053423A">
              <w:rPr>
                <w:rFonts w:eastAsia="Times New Roman" w:cs="Sylfaen"/>
                <w:sz w:val="20"/>
                <w:szCs w:val="20"/>
                <w:lang w:val="hy-AM"/>
              </w:rPr>
              <w:t>նախատեսված</w:t>
            </w:r>
            <w:r w:rsidRPr="0053423A">
              <w:rPr>
                <w:rFonts w:eastAsia="Times New Roman" w:cs="Times New Roman"/>
                <w:sz w:val="20"/>
                <w:szCs w:val="20"/>
                <w:lang w:val="hy-AM"/>
              </w:rPr>
              <w:t xml:space="preserve"> </w:t>
            </w:r>
            <w:r w:rsidRPr="0053423A">
              <w:rPr>
                <w:rFonts w:eastAsia="Times New Roman" w:cs="Sylfaen"/>
                <w:sz w:val="20"/>
                <w:szCs w:val="20"/>
                <w:lang w:val="hy-AM"/>
              </w:rPr>
              <w:t>ընտանիքի</w:t>
            </w:r>
            <w:r w:rsidRPr="0053423A">
              <w:rPr>
                <w:rFonts w:eastAsia="Times New Roman" w:cs="Times New Roman"/>
                <w:sz w:val="20"/>
                <w:szCs w:val="20"/>
                <w:lang w:val="hy-AM"/>
              </w:rPr>
              <w:t xml:space="preserve"> </w:t>
            </w:r>
            <w:r w:rsidRPr="0053423A">
              <w:rPr>
                <w:rFonts w:eastAsia="Times New Roman" w:cs="Sylfaen"/>
                <w:sz w:val="20"/>
                <w:szCs w:val="20"/>
                <w:lang w:val="hy-AM"/>
              </w:rPr>
              <w:t>սոցիալական</w:t>
            </w:r>
            <w:r w:rsidRPr="0053423A">
              <w:rPr>
                <w:rFonts w:eastAsia="Times New Roman" w:cs="Times New Roman"/>
                <w:sz w:val="20"/>
                <w:szCs w:val="20"/>
                <w:lang w:val="hy-AM"/>
              </w:rPr>
              <w:t xml:space="preserve"> </w:t>
            </w:r>
            <w:r w:rsidRPr="0053423A">
              <w:rPr>
                <w:rFonts w:eastAsia="Times New Roman" w:cs="Sylfaen"/>
                <w:sz w:val="20"/>
                <w:szCs w:val="20"/>
                <w:lang w:val="hy-AM"/>
              </w:rPr>
              <w:t>գնահատման</w:t>
            </w:r>
            <w:r w:rsidRPr="0053423A">
              <w:rPr>
                <w:rFonts w:eastAsia="Times New Roman" w:cs="Times New Roman"/>
                <w:sz w:val="20"/>
                <w:szCs w:val="20"/>
                <w:lang w:val="hy-AM"/>
              </w:rPr>
              <w:t xml:space="preserve"> </w:t>
            </w:r>
            <w:r w:rsidRPr="0053423A">
              <w:rPr>
                <w:rFonts w:eastAsia="Times New Roman" w:cs="Sylfaen"/>
                <w:sz w:val="20"/>
                <w:szCs w:val="20"/>
                <w:lang w:val="hy-AM"/>
              </w:rPr>
              <w:t>և</w:t>
            </w:r>
            <w:r w:rsidRPr="0053423A">
              <w:rPr>
                <w:rFonts w:eastAsia="Times New Roman" w:cs="Times New Roman"/>
                <w:sz w:val="20"/>
                <w:szCs w:val="20"/>
                <w:lang w:val="hy-AM"/>
              </w:rPr>
              <w:t xml:space="preserve"> </w:t>
            </w:r>
            <w:r w:rsidRPr="0053423A">
              <w:rPr>
                <w:rFonts w:eastAsia="Times New Roman" w:cs="Sylfaen"/>
                <w:sz w:val="20"/>
                <w:szCs w:val="20"/>
                <w:lang w:val="hy-AM"/>
              </w:rPr>
              <w:t>միասնական</w:t>
            </w:r>
            <w:r w:rsidRPr="0053423A">
              <w:rPr>
                <w:rFonts w:eastAsia="Times New Roman" w:cs="Times New Roman"/>
                <w:sz w:val="20"/>
                <w:szCs w:val="20"/>
                <w:lang w:val="hy-AM"/>
              </w:rPr>
              <w:t xml:space="preserve"> </w:t>
            </w:r>
            <w:r w:rsidRPr="0053423A">
              <w:rPr>
                <w:rFonts w:eastAsia="Times New Roman" w:cs="Sylfaen"/>
                <w:sz w:val="20"/>
                <w:szCs w:val="20"/>
                <w:lang w:val="hy-AM"/>
              </w:rPr>
              <w:t>տեղեկատվական</w:t>
            </w:r>
            <w:r w:rsidRPr="0053423A">
              <w:rPr>
                <w:rFonts w:eastAsia="Times New Roman" w:cs="Times New Roman"/>
                <w:sz w:val="20"/>
                <w:szCs w:val="20"/>
                <w:lang w:val="hy-AM"/>
              </w:rPr>
              <w:t xml:space="preserve"> </w:t>
            </w:r>
            <w:r w:rsidRPr="0053423A">
              <w:rPr>
                <w:rFonts w:eastAsia="Times New Roman" w:cs="Sylfaen"/>
                <w:sz w:val="20"/>
                <w:szCs w:val="20"/>
                <w:lang w:val="hy-AM"/>
              </w:rPr>
              <w:t>համակարգերի</w:t>
            </w:r>
            <w:r w:rsidRPr="0053423A">
              <w:rPr>
                <w:rFonts w:eastAsia="Times New Roman" w:cs="Times New Roman"/>
                <w:sz w:val="20"/>
                <w:szCs w:val="20"/>
                <w:lang w:val="hy-AM"/>
              </w:rPr>
              <w:t xml:space="preserve"> </w:t>
            </w:r>
            <w:r w:rsidRPr="0053423A">
              <w:rPr>
                <w:rFonts w:eastAsia="Times New Roman" w:cs="Sylfaen"/>
                <w:sz w:val="20"/>
                <w:szCs w:val="20"/>
                <w:lang w:val="hy-AM"/>
              </w:rPr>
              <w:t>ներդրումն</w:t>
            </w:r>
            <w:r w:rsidRPr="0053423A">
              <w:rPr>
                <w:rFonts w:eastAsia="Times New Roman" w:cs="Times New Roman"/>
                <w:sz w:val="20"/>
                <w:szCs w:val="20"/>
                <w:lang w:val="hy-AM"/>
              </w:rPr>
              <w:t xml:space="preserve"> </w:t>
            </w:r>
            <w:r w:rsidRPr="0053423A">
              <w:rPr>
                <w:rFonts w:eastAsia="Times New Roman" w:cs="Sylfaen"/>
                <w:sz w:val="20"/>
                <w:szCs w:val="20"/>
                <w:lang w:val="hy-AM"/>
              </w:rPr>
              <w:t>է</w:t>
            </w:r>
            <w:r w:rsidRPr="0053423A">
              <w:rPr>
                <w:rFonts w:eastAsia="Times New Roman" w:cs="Times New Roman"/>
                <w:sz w:val="20"/>
                <w:szCs w:val="20"/>
                <w:lang w:val="hy-AM"/>
              </w:rPr>
              <w:t xml:space="preserve">: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b/>
                <w:bCs/>
                <w:sz w:val="20"/>
                <w:szCs w:val="20"/>
                <w:lang w:val="hy-AM"/>
              </w:rPr>
              <w:t xml:space="preserve">2. </w:t>
            </w:r>
            <w:r w:rsidRPr="0053423A">
              <w:rPr>
                <w:rFonts w:eastAsia="Times New Roman" w:cs="Sylfaen"/>
                <w:b/>
                <w:bCs/>
                <w:sz w:val="20"/>
                <w:szCs w:val="20"/>
                <w:lang w:val="hy-AM"/>
              </w:rPr>
              <w:t>Միջոցառման</w:t>
            </w:r>
            <w:r w:rsidRPr="0053423A">
              <w:rPr>
                <w:rFonts w:eastAsia="Times New Roman" w:cs="Times New Roman"/>
                <w:b/>
                <w:bCs/>
                <w:sz w:val="20"/>
                <w:szCs w:val="20"/>
                <w:lang w:val="hy-AM"/>
              </w:rPr>
              <w:t xml:space="preserve"> </w:t>
            </w:r>
            <w:r w:rsidRPr="0053423A">
              <w:rPr>
                <w:rFonts w:eastAsia="Times New Roman" w:cs="Sylfaen"/>
                <w:b/>
                <w:bCs/>
                <w:sz w:val="20"/>
                <w:szCs w:val="20"/>
                <w:lang w:val="hy-AM"/>
              </w:rPr>
              <w:t>իրականացումից</w:t>
            </w:r>
            <w:r w:rsidRPr="0053423A">
              <w:rPr>
                <w:rFonts w:eastAsia="Times New Roman" w:cs="Times New Roman"/>
                <w:b/>
                <w:bCs/>
                <w:sz w:val="20"/>
                <w:szCs w:val="20"/>
                <w:lang w:val="hy-AM"/>
              </w:rPr>
              <w:t xml:space="preserve"> </w:t>
            </w:r>
            <w:r w:rsidRPr="0053423A">
              <w:rPr>
                <w:rFonts w:eastAsia="Times New Roman" w:cs="Sylfaen"/>
                <w:b/>
                <w:bCs/>
                <w:sz w:val="20"/>
                <w:szCs w:val="20"/>
                <w:lang w:val="hy-AM"/>
              </w:rPr>
              <w:t>ակնկալվող</w:t>
            </w:r>
            <w:r w:rsidRPr="0053423A">
              <w:rPr>
                <w:rFonts w:eastAsia="Times New Roman" w:cs="Times New Roman"/>
                <w:b/>
                <w:bCs/>
                <w:sz w:val="20"/>
                <w:szCs w:val="20"/>
                <w:lang w:val="hy-AM"/>
              </w:rPr>
              <w:t xml:space="preserve"> </w:t>
            </w:r>
            <w:r w:rsidRPr="0053423A">
              <w:rPr>
                <w:rFonts w:eastAsia="Times New Roman" w:cs="Sylfaen"/>
                <w:b/>
                <w:bCs/>
                <w:sz w:val="20"/>
                <w:szCs w:val="20"/>
                <w:lang w:val="hy-AM"/>
              </w:rPr>
              <w:t>արդյունքը</w:t>
            </w:r>
          </w:p>
          <w:p w:rsidR="00514E01" w:rsidRPr="0053423A" w:rsidRDefault="00514E01" w:rsidP="00A67858">
            <w:pPr>
              <w:spacing w:line="276" w:lineRule="auto"/>
              <w:rPr>
                <w:sz w:val="20"/>
                <w:szCs w:val="20"/>
                <w:lang w:val="hy-AM"/>
              </w:rPr>
            </w:pPr>
            <w:r w:rsidRPr="0053423A">
              <w:rPr>
                <w:rFonts w:eastAsia="Times New Roman" w:cs="Sylfaen"/>
                <w:sz w:val="20"/>
                <w:szCs w:val="20"/>
                <w:lang w:val="hy-AM"/>
              </w:rPr>
              <w:t>Կբարելավվի</w:t>
            </w:r>
            <w:r w:rsidRPr="0053423A">
              <w:rPr>
                <w:rFonts w:eastAsia="Times New Roman" w:cs="Times New Roman"/>
                <w:sz w:val="20"/>
                <w:szCs w:val="20"/>
                <w:lang w:val="hy-AM"/>
              </w:rPr>
              <w:t xml:space="preserve"> </w:t>
            </w:r>
            <w:r w:rsidRPr="0053423A">
              <w:rPr>
                <w:rFonts w:eastAsia="Times New Roman" w:cs="Sylfaen"/>
                <w:sz w:val="20"/>
                <w:szCs w:val="20"/>
                <w:lang w:val="hy-AM"/>
              </w:rPr>
              <w:t>սոցիալական</w:t>
            </w:r>
            <w:r w:rsidRPr="0053423A">
              <w:rPr>
                <w:rFonts w:eastAsia="Times New Roman" w:cs="Times New Roman"/>
                <w:sz w:val="20"/>
                <w:szCs w:val="20"/>
                <w:lang w:val="hy-AM"/>
              </w:rPr>
              <w:t xml:space="preserve"> </w:t>
            </w:r>
            <w:r w:rsidRPr="0053423A">
              <w:rPr>
                <w:rFonts w:eastAsia="Times New Roman" w:cs="Sylfaen"/>
                <w:sz w:val="20"/>
                <w:szCs w:val="20"/>
                <w:lang w:val="hy-AM"/>
              </w:rPr>
              <w:t>աջակցության</w:t>
            </w:r>
            <w:r w:rsidRPr="0053423A">
              <w:rPr>
                <w:rFonts w:eastAsia="Times New Roman" w:cs="Times New Roman"/>
                <w:sz w:val="20"/>
                <w:szCs w:val="20"/>
                <w:lang w:val="hy-AM"/>
              </w:rPr>
              <w:t xml:space="preserve"> </w:t>
            </w:r>
            <w:r w:rsidRPr="0053423A">
              <w:rPr>
                <w:rFonts w:eastAsia="Times New Roman" w:cs="Sylfaen"/>
                <w:sz w:val="20"/>
                <w:szCs w:val="20"/>
                <w:lang w:val="hy-AM"/>
              </w:rPr>
              <w:t>տարածքային</w:t>
            </w:r>
            <w:r w:rsidRPr="0053423A">
              <w:rPr>
                <w:rFonts w:eastAsia="Times New Roman" w:cs="Times New Roman"/>
                <w:sz w:val="20"/>
                <w:szCs w:val="20"/>
                <w:lang w:val="hy-AM"/>
              </w:rPr>
              <w:t xml:space="preserve"> </w:t>
            </w:r>
            <w:r w:rsidRPr="0053423A">
              <w:rPr>
                <w:rFonts w:eastAsia="Times New Roman" w:cs="Sylfaen"/>
                <w:sz w:val="20"/>
                <w:szCs w:val="20"/>
                <w:lang w:val="hy-AM"/>
              </w:rPr>
              <w:t>մարմինների</w:t>
            </w:r>
            <w:r w:rsidRPr="0053423A">
              <w:rPr>
                <w:rFonts w:eastAsia="Times New Roman" w:cs="Times New Roman"/>
                <w:sz w:val="20"/>
                <w:szCs w:val="20"/>
                <w:lang w:val="hy-AM"/>
              </w:rPr>
              <w:t xml:space="preserve"> </w:t>
            </w:r>
            <w:r w:rsidRPr="0053423A">
              <w:rPr>
                <w:rFonts w:eastAsia="Times New Roman" w:cs="Sylfaen"/>
                <w:sz w:val="20"/>
                <w:szCs w:val="20"/>
                <w:lang w:val="hy-AM"/>
              </w:rPr>
              <w:t>կառավարման</w:t>
            </w:r>
            <w:r w:rsidRPr="0053423A">
              <w:rPr>
                <w:rFonts w:eastAsia="Times New Roman" w:cs="Times New Roman"/>
                <w:sz w:val="20"/>
                <w:szCs w:val="20"/>
                <w:lang w:val="hy-AM"/>
              </w:rPr>
              <w:t xml:space="preserve"> </w:t>
            </w:r>
            <w:r w:rsidRPr="0053423A">
              <w:rPr>
                <w:rFonts w:eastAsia="Times New Roman" w:cs="Sylfaen"/>
                <w:sz w:val="20"/>
                <w:szCs w:val="20"/>
                <w:lang w:val="hy-AM"/>
              </w:rPr>
              <w:t>համակարգը՝</w:t>
            </w:r>
            <w:r w:rsidRPr="0053423A">
              <w:rPr>
                <w:rFonts w:eastAsia="Times New Roman" w:cs="Times New Roman"/>
                <w:sz w:val="20"/>
                <w:szCs w:val="20"/>
                <w:lang w:val="hy-AM"/>
              </w:rPr>
              <w:t xml:space="preserve"> </w:t>
            </w:r>
            <w:r w:rsidRPr="0053423A">
              <w:rPr>
                <w:rFonts w:eastAsia="Times New Roman" w:cs="Sylfaen"/>
                <w:sz w:val="20"/>
                <w:szCs w:val="20"/>
                <w:lang w:val="hy-AM"/>
              </w:rPr>
              <w:t>ապահովելով</w:t>
            </w:r>
            <w:r w:rsidRPr="0053423A">
              <w:rPr>
                <w:rFonts w:eastAsia="Times New Roman" w:cs="Times New Roman"/>
                <w:sz w:val="20"/>
                <w:szCs w:val="20"/>
                <w:lang w:val="hy-AM"/>
              </w:rPr>
              <w:t xml:space="preserve"> </w:t>
            </w:r>
            <w:r w:rsidRPr="0053423A">
              <w:rPr>
                <w:rFonts w:eastAsia="Times New Roman" w:cs="Sylfaen"/>
                <w:sz w:val="20"/>
                <w:szCs w:val="20"/>
                <w:lang w:val="hy-AM"/>
              </w:rPr>
              <w:t>դրանց</w:t>
            </w:r>
            <w:r w:rsidRPr="0053423A">
              <w:rPr>
                <w:rFonts w:eastAsia="Times New Roman" w:cs="Times New Roman"/>
                <w:sz w:val="20"/>
                <w:szCs w:val="20"/>
                <w:lang w:val="hy-AM"/>
              </w:rPr>
              <w:t xml:space="preserve"> </w:t>
            </w:r>
            <w:r w:rsidRPr="0053423A">
              <w:rPr>
                <w:rFonts w:eastAsia="Times New Roman" w:cs="Sylfaen"/>
                <w:sz w:val="20"/>
                <w:szCs w:val="20"/>
                <w:lang w:val="hy-AM"/>
              </w:rPr>
              <w:t>միասնական</w:t>
            </w:r>
            <w:r w:rsidRPr="0053423A">
              <w:rPr>
                <w:rFonts w:eastAsia="Times New Roman" w:cs="Times New Roman"/>
                <w:sz w:val="20"/>
                <w:szCs w:val="20"/>
                <w:lang w:val="hy-AM"/>
              </w:rPr>
              <w:t xml:space="preserve"> </w:t>
            </w:r>
            <w:r w:rsidRPr="0053423A">
              <w:rPr>
                <w:rFonts w:eastAsia="Times New Roman" w:cs="Sylfaen"/>
                <w:sz w:val="20"/>
                <w:szCs w:val="20"/>
                <w:lang w:val="hy-AM"/>
              </w:rPr>
              <w:t>ենթակայություն</w:t>
            </w:r>
            <w:r w:rsidRPr="0053423A">
              <w:rPr>
                <w:rFonts w:eastAsia="Times New Roman" w:cs="Times New Roman"/>
                <w:sz w:val="20"/>
                <w:szCs w:val="20"/>
                <w:lang w:val="hy-AM"/>
              </w:rPr>
              <w:t xml:space="preserve">, </w:t>
            </w:r>
            <w:r w:rsidRPr="0053423A">
              <w:rPr>
                <w:rFonts w:eastAsia="Times New Roman" w:cs="Sylfaen"/>
                <w:sz w:val="20"/>
                <w:szCs w:val="20"/>
                <w:lang w:val="hy-AM"/>
              </w:rPr>
              <w:t>կձևավորվեն</w:t>
            </w:r>
            <w:r w:rsidRPr="0053423A">
              <w:rPr>
                <w:rFonts w:eastAsia="Times New Roman" w:cs="Times New Roman"/>
                <w:sz w:val="20"/>
                <w:szCs w:val="20"/>
                <w:lang w:val="hy-AM"/>
              </w:rPr>
              <w:t xml:space="preserve"> </w:t>
            </w:r>
            <w:r w:rsidRPr="0053423A">
              <w:rPr>
                <w:rFonts w:eastAsia="Times New Roman" w:cs="Sylfaen"/>
                <w:sz w:val="20"/>
                <w:szCs w:val="20"/>
                <w:lang w:val="hy-AM"/>
              </w:rPr>
              <w:t>ընտանիքի</w:t>
            </w:r>
            <w:r w:rsidRPr="0053423A">
              <w:rPr>
                <w:rFonts w:eastAsia="Times New Roman" w:cs="Times New Roman"/>
                <w:sz w:val="20"/>
                <w:szCs w:val="20"/>
                <w:lang w:val="hy-AM"/>
              </w:rPr>
              <w:t xml:space="preserve"> </w:t>
            </w:r>
            <w:r w:rsidRPr="0053423A">
              <w:rPr>
                <w:rFonts w:eastAsia="Times New Roman" w:cs="Sylfaen"/>
                <w:sz w:val="20"/>
                <w:szCs w:val="20"/>
                <w:lang w:val="hy-AM"/>
              </w:rPr>
              <w:t>սոցիալական</w:t>
            </w:r>
            <w:r w:rsidRPr="0053423A">
              <w:rPr>
                <w:rFonts w:eastAsia="Times New Roman" w:cs="Times New Roman"/>
                <w:sz w:val="20"/>
                <w:szCs w:val="20"/>
                <w:lang w:val="hy-AM"/>
              </w:rPr>
              <w:t xml:space="preserve"> </w:t>
            </w:r>
            <w:r w:rsidRPr="0053423A">
              <w:rPr>
                <w:rFonts w:eastAsia="Times New Roman" w:cs="Sylfaen"/>
                <w:sz w:val="20"/>
                <w:szCs w:val="20"/>
                <w:lang w:val="hy-AM"/>
              </w:rPr>
              <w:t>գնահատման</w:t>
            </w:r>
            <w:r w:rsidRPr="0053423A">
              <w:rPr>
                <w:rFonts w:eastAsia="Times New Roman" w:cs="Times New Roman"/>
                <w:sz w:val="20"/>
                <w:szCs w:val="20"/>
                <w:lang w:val="hy-AM"/>
              </w:rPr>
              <w:t xml:space="preserve"> </w:t>
            </w:r>
            <w:r w:rsidRPr="0053423A">
              <w:rPr>
                <w:rFonts w:eastAsia="Times New Roman" w:cs="Sylfaen"/>
                <w:sz w:val="20"/>
                <w:szCs w:val="20"/>
                <w:lang w:val="hy-AM"/>
              </w:rPr>
              <w:t>և</w:t>
            </w:r>
            <w:r w:rsidRPr="0053423A">
              <w:rPr>
                <w:rFonts w:eastAsia="Times New Roman" w:cs="Times New Roman"/>
                <w:sz w:val="20"/>
                <w:szCs w:val="20"/>
                <w:lang w:val="hy-AM"/>
              </w:rPr>
              <w:t xml:space="preserve"> </w:t>
            </w:r>
            <w:r w:rsidRPr="0053423A">
              <w:rPr>
                <w:rFonts w:eastAsia="Times New Roman" w:cs="Sylfaen"/>
                <w:sz w:val="20"/>
                <w:szCs w:val="20"/>
                <w:lang w:val="hy-AM"/>
              </w:rPr>
              <w:t>միասնական</w:t>
            </w:r>
            <w:r w:rsidRPr="0053423A">
              <w:rPr>
                <w:rFonts w:eastAsia="Times New Roman" w:cs="Times New Roman"/>
                <w:sz w:val="20"/>
                <w:szCs w:val="20"/>
                <w:lang w:val="hy-AM"/>
              </w:rPr>
              <w:t xml:space="preserve"> </w:t>
            </w:r>
            <w:r w:rsidRPr="0053423A">
              <w:rPr>
                <w:rFonts w:eastAsia="Times New Roman" w:cs="Sylfaen"/>
                <w:sz w:val="20"/>
                <w:szCs w:val="20"/>
                <w:lang w:val="hy-AM"/>
              </w:rPr>
              <w:t>տեղեկատվական</w:t>
            </w:r>
            <w:r w:rsidRPr="0053423A">
              <w:rPr>
                <w:rFonts w:eastAsia="Times New Roman" w:cs="Times New Roman"/>
                <w:sz w:val="20"/>
                <w:szCs w:val="20"/>
                <w:lang w:val="hy-AM"/>
              </w:rPr>
              <w:t xml:space="preserve"> </w:t>
            </w:r>
            <w:r w:rsidRPr="0053423A">
              <w:rPr>
                <w:rFonts w:eastAsia="Times New Roman" w:cs="Sylfaen"/>
                <w:sz w:val="20"/>
                <w:szCs w:val="20"/>
                <w:lang w:val="hy-AM"/>
              </w:rPr>
              <w:t>համակարգերը</w:t>
            </w:r>
            <w:r w:rsidRPr="0053423A">
              <w:rPr>
                <w:rFonts w:eastAsia="Times New Roman" w:cs="Times New Roman"/>
                <w:sz w:val="20"/>
                <w:szCs w:val="20"/>
                <w:lang w:val="hy-AM"/>
              </w:rPr>
              <w:t xml:space="preserve">, </w:t>
            </w:r>
            <w:r w:rsidRPr="0053423A">
              <w:rPr>
                <w:rFonts w:eastAsia="Times New Roman" w:cs="Sylfaen"/>
                <w:sz w:val="20"/>
                <w:szCs w:val="20"/>
                <w:lang w:val="hy-AM"/>
              </w:rPr>
              <w:t>որոնց</w:t>
            </w:r>
            <w:r w:rsidRPr="0053423A">
              <w:rPr>
                <w:rFonts w:eastAsia="Times New Roman" w:cs="Times New Roman"/>
                <w:sz w:val="20"/>
                <w:szCs w:val="20"/>
                <w:lang w:val="hy-AM"/>
              </w:rPr>
              <w:t xml:space="preserve"> </w:t>
            </w:r>
            <w:r w:rsidRPr="0053423A">
              <w:rPr>
                <w:rFonts w:eastAsia="Times New Roman" w:cs="Sylfaen"/>
                <w:sz w:val="20"/>
                <w:szCs w:val="20"/>
                <w:lang w:val="hy-AM"/>
              </w:rPr>
              <w:t>արդյունքով</w:t>
            </w:r>
            <w:r w:rsidRPr="0053423A">
              <w:rPr>
                <w:rFonts w:eastAsia="Times New Roman" w:cs="Times New Roman"/>
                <w:sz w:val="20"/>
                <w:szCs w:val="20"/>
                <w:lang w:val="hy-AM"/>
              </w:rPr>
              <w:t xml:space="preserve"> 2023</w:t>
            </w:r>
            <w:r w:rsidRPr="0053423A">
              <w:rPr>
                <w:rFonts w:eastAsia="Times New Roman" w:cs="Sylfaen"/>
                <w:sz w:val="20"/>
                <w:szCs w:val="20"/>
                <w:lang w:val="hy-AM"/>
              </w:rPr>
              <w:t>թ</w:t>
            </w:r>
            <w:r w:rsidRPr="0053423A">
              <w:rPr>
                <w:rFonts w:eastAsia="Times New Roman" w:cs="Times New Roman"/>
                <w:sz w:val="20"/>
                <w:szCs w:val="20"/>
                <w:lang w:val="hy-AM"/>
              </w:rPr>
              <w:t xml:space="preserve">. </w:t>
            </w:r>
            <w:r w:rsidRPr="0053423A">
              <w:rPr>
                <w:rFonts w:eastAsia="Times New Roman" w:cs="Sylfaen"/>
                <w:sz w:val="20"/>
                <w:szCs w:val="20"/>
                <w:lang w:val="hy-AM"/>
              </w:rPr>
              <w:t>տարեվերջ</w:t>
            </w:r>
            <w:r w:rsidRPr="0053423A">
              <w:rPr>
                <w:rFonts w:eastAsia="Times New Roman" w:cs="Times New Roman"/>
                <w:sz w:val="20"/>
                <w:szCs w:val="20"/>
                <w:lang w:val="hy-AM"/>
              </w:rPr>
              <w:t xml:space="preserve"> </w:t>
            </w:r>
            <w:r w:rsidRPr="0053423A">
              <w:rPr>
                <w:rFonts w:eastAsia="Times New Roman" w:cs="Sylfaen"/>
                <w:sz w:val="20"/>
                <w:szCs w:val="20"/>
                <w:lang w:val="hy-AM"/>
              </w:rPr>
              <w:t>կգործեն</w:t>
            </w:r>
            <w:r w:rsidRPr="0053423A">
              <w:rPr>
                <w:rFonts w:eastAsia="Times New Roman" w:cs="Times New Roman"/>
                <w:sz w:val="20"/>
                <w:szCs w:val="20"/>
                <w:lang w:val="hy-AM"/>
              </w:rPr>
              <w:t xml:space="preserve"> </w:t>
            </w:r>
            <w:r w:rsidRPr="0053423A">
              <w:rPr>
                <w:rFonts w:eastAsia="Times New Roman" w:cs="Sylfaen"/>
                <w:sz w:val="20"/>
                <w:szCs w:val="20"/>
                <w:lang w:val="hy-AM"/>
              </w:rPr>
              <w:t>բոլոր</w:t>
            </w:r>
            <w:r w:rsidRPr="0053423A">
              <w:rPr>
                <w:rFonts w:eastAsia="Times New Roman" w:cs="Times New Roman"/>
                <w:sz w:val="20"/>
                <w:szCs w:val="20"/>
                <w:lang w:val="hy-AM"/>
              </w:rPr>
              <w:t xml:space="preserve"> 55 </w:t>
            </w:r>
            <w:r w:rsidRPr="0053423A">
              <w:rPr>
                <w:rFonts w:eastAsia="Times New Roman" w:cs="Sylfaen"/>
                <w:sz w:val="20"/>
                <w:szCs w:val="20"/>
                <w:lang w:val="hy-AM"/>
              </w:rPr>
              <w:t>ՀՍԾՏԿ</w:t>
            </w:r>
            <w:r w:rsidRPr="0053423A">
              <w:rPr>
                <w:rFonts w:eastAsia="Times New Roman" w:cs="Times New Roman"/>
                <w:sz w:val="20"/>
                <w:szCs w:val="20"/>
                <w:lang w:val="hy-AM"/>
              </w:rPr>
              <w:t>-</w:t>
            </w:r>
            <w:r w:rsidRPr="0053423A">
              <w:rPr>
                <w:rFonts w:eastAsia="Times New Roman" w:cs="Sylfaen"/>
                <w:sz w:val="20"/>
                <w:szCs w:val="20"/>
                <w:lang w:val="hy-AM"/>
              </w:rPr>
              <w:t>ները</w:t>
            </w:r>
            <w:r w:rsidRPr="0053423A">
              <w:rPr>
                <w:rFonts w:eastAsia="Times New Roman" w:cs="Times New Roman"/>
                <w:sz w:val="20"/>
                <w:szCs w:val="20"/>
                <w:lang w:val="hy-AM"/>
              </w:rPr>
              <w:t>:</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Calibri" w:cs="Times New Roman"/>
                <w:b/>
                <w:sz w:val="20"/>
                <w:szCs w:val="20"/>
                <w:u w:val="single"/>
                <w:lang w:val="hy-AM"/>
              </w:rPr>
            </w:pPr>
            <w:r w:rsidRPr="0053423A">
              <w:rPr>
                <w:rFonts w:eastAsia="Calibri" w:cs="Times New Roman"/>
                <w:b/>
                <w:sz w:val="20"/>
                <w:szCs w:val="20"/>
                <w:u w:val="single"/>
                <w:lang w:val="hy-AM"/>
              </w:rPr>
              <w:t>16.6 Բնակարանային ապահովության համալիր ծրագրի իրականացում սոցիալական առանձին խմբերի համար</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b/>
                <w:sz w:val="20"/>
                <w:szCs w:val="20"/>
                <w:lang w:val="hy-AM"/>
              </w:rPr>
              <w:t>1.Միջոցառման իրականացման անհրաժեշտությունը և նպատակը</w:t>
            </w:r>
            <w:r w:rsidRPr="0053423A">
              <w:rPr>
                <w:rFonts w:eastAsia="Calibri" w:cs="Times New Roman"/>
                <w:sz w:val="20"/>
                <w:szCs w:val="20"/>
                <w:lang w:val="hy-AM"/>
              </w:rPr>
              <w:t xml:space="preserve">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Միջոցառման իրակացման անհրաժեշտությունը բխում է ՀՀ կառավարության 2019 թվականի փետրվարի 8-ի N 65 - Ա որոշման հավելվածի 4.2 բաժնի առաջին պարբերությունով սահմանված նպատակից՝ քաղաքացիների կենսամակարդակի և սոցիալական վիճակի բարելավելում:</w:t>
            </w:r>
          </w:p>
          <w:p w:rsidR="00514E01" w:rsidRPr="0053423A" w:rsidRDefault="00514E01" w:rsidP="001F6D5D">
            <w:pPr>
              <w:numPr>
                <w:ilvl w:val="1"/>
                <w:numId w:val="191"/>
              </w:numPr>
              <w:spacing w:line="276" w:lineRule="auto"/>
              <w:contextualSpacing/>
              <w:jc w:val="both"/>
              <w:rPr>
                <w:rFonts w:eastAsia="Calibri" w:cs="Times New Roman"/>
                <w:b/>
                <w:sz w:val="20"/>
                <w:szCs w:val="20"/>
                <w:lang w:val="hy-AM"/>
              </w:rPr>
            </w:pPr>
            <w:r w:rsidRPr="0053423A">
              <w:rPr>
                <w:rFonts w:eastAsia="Calibri" w:cs="Sylfaen"/>
                <w:b/>
                <w:sz w:val="20"/>
                <w:szCs w:val="20"/>
                <w:lang w:val="hy-AM"/>
              </w:rPr>
              <w:t>կարգավորման</w:t>
            </w:r>
            <w:r w:rsidRPr="0053423A">
              <w:rPr>
                <w:rFonts w:eastAsia="Calibri" w:cs="Times New Roman"/>
                <w:b/>
                <w:sz w:val="20"/>
                <w:szCs w:val="20"/>
                <w:lang w:val="hy-AM"/>
              </w:rPr>
              <w:t xml:space="preserve"> հարաբերությունների ներկա վիճակը և առկա խնդիրները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ՀՀ կառավարության 10.09.2015թ. N1069-Ն որոշմամբ սահմանված կարգով կացարանում տեղավորվելու իրենց հերթին են սպասում մանկատան 219  շրջանավարտներ, առանց ծնողական խնամքի մնացած երեխաների թվին դասված 128 և սոցիալապես անապահով  59 անձինք:  Որոշմամբ սահմանված կարգով կացարանում բնակվելու իրավունքը իրացվում է պայմանագրային հիմունքով՝ առավելագույնը 10 տարի ժամկետով:</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Սոցիալական բնակարանային հերթացուցակում առանձին խումբ է մանկատան շրջանավարտ լինելը: Ընդ որում ներկայումս մանկատներում շարունակում են բնակվել 18 տարեկանը լրացրած անձինք, որի պատճառը բնակարան չունենալն է: Մանկատան շրջանավարտները, մնացած սոցիալական խմբերը, որպես կանոն, բացի բնակարանային խնդրից ունեն նաև հասարակության ներառման, ուսման, աշխատանքի տեղավորման, ինքնիրացման խնդիրներ, որոնց լուծումն ապահովելու է արժանապատիվ կյանք ունենալը: Բնակարանային ապահովման համալիր ծրագիրն իր մեջ ներառելու է տարբեր սոցիալական խմբերի ներկայացուցիչ յուրաքանչյուր ընտանիքի, անձի սոցիալական կարիքների գնահատման հիման վրա ձևավորված սոցիալական ծառայությունների փաթեթի տրամադրում՝ կացարանի տրամադրմանը զուգահեռ:</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Այս համատեքստում նաև նախատեսվելու են կացարանի ձեռք բերման այլընտրանքային մեխանիզմներ՝ բնակարանի գնման վկայագրերի տրամադրում, հիպոտեքային վարկի սպասարկում՝ պետական բյուջեի միջոցներից, վարձակալության գումարի մասնակի հատուցում և այլն: Ծրագրի իրականացման պայմաններից է լինելու պետություն մասնավոր հատված գործակցությունը: </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2. Միջոցառման իրականացումից ակնկալվող արդյունքը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ա.մանկատան շրջանավարտներին ասրժանապատիվ կյանքի հնարավորությունների ընձեռում՝ այդ թվում բնակարանի տրամադրում (219 շրջանավարտ)</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բ.գործող մանկատներում բնակվող 18 տարեկանը լրացրած անձանց բնակարանի  տրամադրում</w:t>
            </w:r>
          </w:p>
          <w:p w:rsidR="00514E01" w:rsidRPr="0053423A" w:rsidRDefault="00514E01" w:rsidP="00A67858">
            <w:pPr>
              <w:spacing w:line="276" w:lineRule="auto"/>
              <w:rPr>
                <w:sz w:val="20"/>
                <w:szCs w:val="20"/>
                <w:lang w:val="hy-AM"/>
              </w:rPr>
            </w:pPr>
            <w:r w:rsidRPr="0053423A">
              <w:rPr>
                <w:rFonts w:eastAsia="Calibri" w:cs="Times New Roman"/>
                <w:sz w:val="20"/>
                <w:szCs w:val="20"/>
                <w:lang w:val="hy-AM"/>
              </w:rPr>
              <w:t>գ.սոցիալապես խոցելի, միջին և ցածր վճարունակ ընտանիքների համար բնակ.տարածության տրամադրման այլըտրանքային մեխանիզմները սահմանված են:</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Calibri" w:cs="Times New Roman"/>
                <w:b/>
                <w:sz w:val="20"/>
                <w:szCs w:val="20"/>
                <w:u w:val="single"/>
                <w:lang w:val="hy-AM"/>
              </w:rPr>
            </w:pPr>
            <w:r w:rsidRPr="0053423A">
              <w:rPr>
                <w:rFonts w:eastAsia="Calibri" w:cs="Times New Roman"/>
                <w:b/>
                <w:sz w:val="20"/>
                <w:szCs w:val="20"/>
                <w:u w:val="single"/>
                <w:lang w:val="hy-AM"/>
              </w:rPr>
              <w:t>16.7</w:t>
            </w:r>
            <w:r w:rsidRPr="0053423A">
              <w:rPr>
                <w:rFonts w:eastAsia="Times New Roman" w:cs="Times New Roman"/>
                <w:sz w:val="20"/>
                <w:szCs w:val="20"/>
                <w:u w:val="single"/>
                <w:lang w:val="hy-AM"/>
              </w:rPr>
              <w:t xml:space="preserve"> </w:t>
            </w:r>
            <w:r w:rsidRPr="0053423A">
              <w:rPr>
                <w:rFonts w:eastAsia="Calibri" w:cs="Times New Roman"/>
                <w:b/>
                <w:sz w:val="20"/>
                <w:szCs w:val="20"/>
                <w:u w:val="single"/>
                <w:lang w:val="hy-AM"/>
              </w:rPr>
              <w:t>Բնակչության սոցիալական իրավական գիտելիքների շրջանակի ընդլայնում</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b/>
                <w:sz w:val="20"/>
                <w:szCs w:val="20"/>
                <w:lang w:val="hy-AM"/>
              </w:rPr>
              <w:t>1.Միջոցառման իրականացման անհրաժեշտությունը և նպատակը</w:t>
            </w:r>
            <w:r w:rsidRPr="0053423A">
              <w:rPr>
                <w:rFonts w:eastAsia="Calibri" w:cs="Times New Roman"/>
                <w:sz w:val="20"/>
                <w:szCs w:val="20"/>
                <w:lang w:val="hy-AM"/>
              </w:rPr>
              <w:t xml:space="preserve">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 Միջոցառման իրակացման անհրաժեշտությունը բխում է ՀՀ կառավարության 2019 թվականի փետրվարի 8-ի N 65 - Ա որոշման հավելվածի 4.2 բաժնի առաջին պարբերությունով սահմանված նպատակից՝ քաղաքացիների կենսամակարդակի և սոցիալական վիճակի բարելավելում:</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 xml:space="preserve">1.1. կարգավորման հարաբերությունների ներկա վիճակը և առկա խնդիրները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Ներկայումս իրականացվում է հիմնականում իրազեկման աշխատանքներ՝ գործող ծրագրերի մասով:</w:t>
            </w:r>
          </w:p>
          <w:p w:rsidR="00514E01" w:rsidRPr="0053423A" w:rsidRDefault="00514E01" w:rsidP="00A67858">
            <w:pPr>
              <w:spacing w:line="276" w:lineRule="auto"/>
              <w:jc w:val="both"/>
              <w:rPr>
                <w:rFonts w:eastAsia="Calibri" w:cs="Times New Roman"/>
                <w:b/>
                <w:bCs/>
                <w:sz w:val="20"/>
                <w:szCs w:val="20"/>
                <w:lang w:val="hy-AM"/>
              </w:rPr>
            </w:pPr>
            <w:r w:rsidRPr="0053423A">
              <w:rPr>
                <w:rFonts w:eastAsia="Calibri"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Նախատեսվում է զանգվածային լրատվամիջոցներով, այդ թվում` մարզային, իրականացնել ուսուցողական բնույթի հաղորդումներ և հրապարակումներ, որոնք բնակչության լայն զանգվածներին կսովորեցնի իրենց սոցիալական իրավունքները, դրանց իրականացման մեխանիզմները և կարևորությունը:</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Calibri" w:cs="Times New Roman"/>
                <w:sz w:val="20"/>
                <w:szCs w:val="20"/>
                <w:lang w:val="hy-AM"/>
              </w:rPr>
              <w:t>Բնակչության սոցիալական իրավագիտակցության բարձր մակարդակ:</w:t>
            </w:r>
          </w:p>
        </w:tc>
      </w:tr>
      <w:tr w:rsidR="00514E01" w:rsidRPr="00DE2EFA" w:rsidTr="00BC61ED">
        <w:tc>
          <w:tcPr>
            <w:tcW w:w="630" w:type="dxa"/>
            <w:vMerge w:val="restart"/>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17</w:t>
            </w:r>
          </w:p>
        </w:tc>
        <w:tc>
          <w:tcPr>
            <w:tcW w:w="10890" w:type="dxa"/>
          </w:tcPr>
          <w:p w:rsidR="00514E01" w:rsidRPr="0053423A" w:rsidRDefault="00514E01" w:rsidP="00A67858">
            <w:pPr>
              <w:spacing w:line="276" w:lineRule="auto"/>
              <w:jc w:val="both"/>
              <w:rPr>
                <w:rFonts w:eastAsia="Times New Roman" w:cs="GHEA Grapalat"/>
                <w:b/>
                <w:sz w:val="20"/>
                <w:szCs w:val="20"/>
                <w:u w:val="single"/>
                <w:lang w:val="hy-AM"/>
              </w:rPr>
            </w:pPr>
            <w:r w:rsidRPr="0053423A">
              <w:rPr>
                <w:rFonts w:eastAsia="Calibri" w:cs="Times New Roman"/>
                <w:b/>
                <w:sz w:val="20"/>
                <w:szCs w:val="20"/>
                <w:u w:val="single"/>
                <w:lang w:val="hy-AM"/>
              </w:rPr>
              <w:t xml:space="preserve">17.1 </w:t>
            </w:r>
            <w:r w:rsidRPr="0053423A">
              <w:rPr>
                <w:rFonts w:eastAsia="Times New Roman" w:cs="Times New Roman"/>
                <w:b/>
                <w:sz w:val="20"/>
                <w:szCs w:val="20"/>
                <w:u w:val="single"/>
                <w:lang w:val="hy-AM"/>
              </w:rPr>
              <w:t xml:space="preserve">. «Սոցիալական աջակցության մասին» ՀՀ օրենքում փոփոխություններ և լրացումներ կատարելու մասին» ՀՀ օրենքի նախագծի մշակում և </w:t>
            </w:r>
            <w:r w:rsidRPr="0053423A">
              <w:rPr>
                <w:rFonts w:ascii="Calibri" w:eastAsia="Times New Roman" w:hAnsi="Calibri" w:cs="Calibri"/>
                <w:b/>
                <w:sz w:val="20"/>
                <w:szCs w:val="20"/>
                <w:u w:val="single"/>
                <w:lang w:val="hy-AM"/>
              </w:rPr>
              <w:t> </w:t>
            </w:r>
            <w:r w:rsidRPr="0053423A">
              <w:rPr>
                <w:rFonts w:eastAsia="Times New Roman" w:cs="GHEA Grapalat"/>
                <w:b/>
                <w:sz w:val="20"/>
                <w:szCs w:val="20"/>
                <w:u w:val="single"/>
                <w:lang w:val="hy-AM"/>
              </w:rPr>
              <w:t>Վարչապետի</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աշխատակազմ</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ներկայացում</w:t>
            </w:r>
          </w:p>
          <w:p w:rsidR="00514E01" w:rsidRPr="0053423A" w:rsidRDefault="00514E01" w:rsidP="00A67858">
            <w:pPr>
              <w:spacing w:line="276" w:lineRule="auto"/>
              <w:jc w:val="both"/>
              <w:rPr>
                <w:rFonts w:eastAsia="Calibri" w:cs="Times New Roman"/>
                <w:b/>
                <w:sz w:val="20"/>
                <w:szCs w:val="20"/>
                <w:u w:val="single"/>
                <w:lang w:val="hy-AM"/>
              </w:rPr>
            </w:pP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b/>
                <w:sz w:val="20"/>
                <w:szCs w:val="20"/>
                <w:lang w:val="hy-AM"/>
              </w:rPr>
              <w:t>1.Միջոցառման իրականացման անհրաժեշտությունը և նպատակը</w:t>
            </w:r>
            <w:r w:rsidRPr="0053423A">
              <w:rPr>
                <w:rFonts w:eastAsia="Calibri" w:cs="Times New Roman"/>
                <w:sz w:val="20"/>
                <w:szCs w:val="20"/>
                <w:lang w:val="hy-AM"/>
              </w:rPr>
              <w:t xml:space="preserve">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Միջոցառման իրակացման անհրաժեշտությունը բխում է ՀՀ կառավարության 2019 թվականի փետրվարի 8-ի N 65 - Ա որոշման հավելվածի 4.2 բաժնի առաջին պարբերությունով սահմանված նպատակից՝ քաղաքացիների կենսամակարդակի և սոցիալական վիճակի բարելավելում:</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 xml:space="preserve">1.1. կարգավորման հարաբերությունների ներկա վիճակը և առկա խնդիրները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Սոցիալական պաշտպանության հավանության արժանացած ռազմավարությամբ սահմանված հիմնական ուղղություններից սոցիալական աջակցության բնագավառը կարգավորող իրավական դաշտը կունենա հնարավոր հակասություններ ռազմավարությամբ սահմանված հիմնական դրույթների հետ:</w:t>
            </w:r>
          </w:p>
          <w:p w:rsidR="00514E01" w:rsidRPr="0053423A" w:rsidRDefault="00514E01" w:rsidP="00A67858">
            <w:pPr>
              <w:spacing w:line="276" w:lineRule="auto"/>
              <w:jc w:val="both"/>
              <w:rPr>
                <w:rFonts w:eastAsia="Calibri" w:cs="Times New Roman"/>
                <w:b/>
                <w:bCs/>
                <w:sz w:val="20"/>
                <w:szCs w:val="20"/>
                <w:lang w:val="hy-AM"/>
              </w:rPr>
            </w:pPr>
            <w:r w:rsidRPr="0053423A">
              <w:rPr>
                <w:rFonts w:eastAsia="Calibri"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Calibri" w:cs="Times New Roman"/>
                <w:bCs/>
                <w:sz w:val="20"/>
                <w:szCs w:val="20"/>
                <w:lang w:val="hy-AM"/>
              </w:rPr>
            </w:pPr>
            <w:r w:rsidRPr="0053423A">
              <w:rPr>
                <w:rFonts w:eastAsia="Calibri" w:cs="Times New Roman"/>
                <w:sz w:val="20"/>
                <w:szCs w:val="20"/>
                <w:lang w:val="hy-AM"/>
              </w:rPr>
              <w:t>Նշված հակասությունները վերացնելու, սոցիալական աջակցության բնագավառի իրավակարգավորումները ռազմավարությամբ սահմանված դրույթներին համապատասխանեցնելու համար մշակվելու է «Սոցիալական աջակցության մասին» ՀՀ օրենքում փոփոխություններ և լրացումներ կատարելու մասին» ՀՀ օրենքի նախագիծ, որով ձևավորվելու է սոցիալական պաշտպանության ոլորտի սոցիալական աջակցության բնագառին վերաբերող հատվածի իրավական հենքը</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Calibri" w:cs="Times New Roman"/>
                <w:sz w:val="20"/>
                <w:szCs w:val="20"/>
                <w:lang w:val="hy-AM"/>
              </w:rPr>
              <w:t>«Սոցիալական աջակցության մասին» ՀՀ օրենքում փոփոխություններ և լրացումներ կատարելու մասին» ՀՀ օրենքի նախագիծը կներկայացվի  Վարչապետի աշխատակազմ:</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Calibri" w:cs="Times New Roman"/>
                <w:b/>
                <w:sz w:val="20"/>
                <w:szCs w:val="20"/>
                <w:u w:val="single"/>
                <w:lang w:val="hy-AM"/>
              </w:rPr>
            </w:pPr>
            <w:r w:rsidRPr="0053423A">
              <w:rPr>
                <w:rFonts w:eastAsia="Calibri" w:cs="Times New Roman"/>
                <w:b/>
                <w:sz w:val="20"/>
                <w:szCs w:val="20"/>
                <w:u w:val="single"/>
                <w:lang w:val="hy-AM"/>
              </w:rPr>
              <w:t>17.2 «Սոցիալական աշխատանքի մասին» ՀՀ օրենքի նախագծի մշակում և Վարչապետի աշխատակազմ ներկայացում</w:t>
            </w:r>
          </w:p>
          <w:p w:rsidR="00514E01" w:rsidRPr="0053423A" w:rsidRDefault="00514E01" w:rsidP="00A67858">
            <w:pPr>
              <w:spacing w:line="276" w:lineRule="auto"/>
              <w:jc w:val="both"/>
              <w:rPr>
                <w:rFonts w:eastAsia="Calibri" w:cs="Times New Roman"/>
                <w:b/>
                <w:sz w:val="20"/>
                <w:szCs w:val="20"/>
                <w:u w:val="single"/>
                <w:lang w:val="hy-AM"/>
              </w:rPr>
            </w:pP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 xml:space="preserve">1.Միջոցառման իրականացման անհրաժեշտությունը և նպատակը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Միջոցառման իրակացման անհրաժեշտությունը բխում է ՀՀ կառավարության 2019 թվականի փետրվարի 8-ի N 65 - Ա որոշման հավելվածի 4.2 բաժնի առաջին պարբերությունով սահմանված նպատակից՝ քաղաքացիների կենսամակարդակի և սոցիալական վիճակի բարելավելում:</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 xml:space="preserve">1.1. կարգավորման հարաբերությունների ներկա վիճակը և առկա խնդիրները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Մարդու իրավունքների պաշտպանության ոլորտում մեծ դերակատարում ունեն սոցիալական աշխատողները: Սոցիալական աշխատանքը մասնագիտական գործունեություն է, այն ուղղված է մարդու իրավունքների պաշտպանությանը, մարդու կարողությունների զարգացմանը, ինքնիրացմանն ու ինքնորոշմանը: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Ներկայումս պետական համակարգում հիմնականում, ոչ պետական ոչ առևտրային կազմակերպություններում հաճախ, որպես սոցիալական աշխատողներ են աշխատում մասնագիտական կրթություն չստացած անձինք: </w:t>
            </w:r>
          </w:p>
          <w:p w:rsidR="00514E01" w:rsidRPr="0053423A" w:rsidRDefault="00514E01" w:rsidP="00A67858">
            <w:pPr>
              <w:spacing w:line="276" w:lineRule="auto"/>
              <w:jc w:val="both"/>
              <w:rPr>
                <w:rFonts w:eastAsia="Calibri" w:cs="Times New Roman"/>
                <w:b/>
                <w:bCs/>
                <w:sz w:val="20"/>
                <w:szCs w:val="20"/>
                <w:lang w:val="hy-AM"/>
              </w:rPr>
            </w:pPr>
            <w:r w:rsidRPr="0053423A">
              <w:rPr>
                <w:rFonts w:eastAsia="Calibri"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1) նախատեսվում է մշակել «Սոցիալական աշխատանքի մասին» ՀՀ օրենքի նախագիծ, որով կարգավորվելու են սոցիալական աշխատանքի մասնագետների իրավունքներ, պարտականություններ, սոցիալական երաշխիքներ, սոցիալական աշխատանքի ստանդարտների մշակման և հաստատման մեխանիզմներ, մասնագետների շարունակական մասնագիտական զարգացման համակարգը: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2) Օրենքի ընդունմամբ սոցիալական աշխատանքի մասնագետների որակի վերահսկողության մեխանիզմների կիրառմամբ սոցիալական աշխատուժն ու ծառայությունները ավելի պրոֆեսիոնալ կլինեն՝ որակավորման ծրագրերի զարգացման, դասընթացների հնարավորությունների և բարելավված աշխատանքային պայմանների միջոցով, ներառյալ համարժեք փոխհատուցումը, ինչպես նաև սոցիալական ծառայությունների մատուցման և սոցիալական աշխատանքի վերաբերյալ նվազագույն ստանդարտների սահմանմամբ: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2) կձևավորվի սոցիալական աշխատանքի մասնագիտական կրթություն իրականացնող ԲՈՒՀ-երի կոնսորցիումը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3) կմաշկվի սոցիալական աշխատողի որակավորման կրեդիտային սանդղակը,</w:t>
            </w:r>
          </w:p>
          <w:p w:rsidR="00514E01" w:rsidRPr="0053423A" w:rsidRDefault="00514E01" w:rsidP="00A67858">
            <w:pPr>
              <w:spacing w:line="276" w:lineRule="auto"/>
              <w:jc w:val="both"/>
              <w:rPr>
                <w:rFonts w:eastAsia="Calibri" w:cs="Times New Roman"/>
                <w:sz w:val="20"/>
                <w:szCs w:val="20"/>
                <w:lang w:val="af-ZA"/>
              </w:rPr>
            </w:pPr>
            <w:r w:rsidRPr="0053423A">
              <w:rPr>
                <w:rFonts w:eastAsia="Calibri" w:cs="Times New Roman"/>
                <w:sz w:val="20"/>
                <w:szCs w:val="20"/>
                <w:lang w:val="hy-AM"/>
              </w:rPr>
              <w:t>4) կսահմանվի սոցիալական աշխատողների հավաստագրման ընթացակարգը</w:t>
            </w:r>
            <w:r w:rsidRPr="0053423A">
              <w:rPr>
                <w:rFonts w:eastAsia="Calibri" w:cs="Times New Roman"/>
                <w:sz w:val="20"/>
                <w:szCs w:val="20"/>
                <w:lang w:val="af-ZA"/>
              </w:rPr>
              <w:t>,</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af-ZA"/>
              </w:rPr>
              <w:t xml:space="preserve">5) սոցիալական աշխատողների </w:t>
            </w:r>
            <w:r w:rsidRPr="0053423A">
              <w:rPr>
                <w:rFonts w:eastAsia="Calibri" w:cs="Times New Roman"/>
                <w:sz w:val="20"/>
                <w:szCs w:val="20"/>
              </w:rPr>
              <w:t>վերապատրաստման</w:t>
            </w:r>
            <w:r w:rsidRPr="0053423A">
              <w:rPr>
                <w:rFonts w:eastAsia="Calibri" w:cs="Times New Roman"/>
                <w:sz w:val="20"/>
                <w:szCs w:val="20"/>
                <w:lang w:val="af-ZA"/>
              </w:rPr>
              <w:t xml:space="preserve"> </w:t>
            </w:r>
            <w:r w:rsidRPr="0053423A">
              <w:rPr>
                <w:rFonts w:eastAsia="Calibri" w:cs="Times New Roman"/>
                <w:sz w:val="20"/>
                <w:szCs w:val="20"/>
                <w:lang w:val="hy-AM"/>
              </w:rPr>
              <w:t>դասընթացներ</w:t>
            </w:r>
            <w:r w:rsidRPr="0053423A">
              <w:rPr>
                <w:rFonts w:eastAsia="Calibri" w:cs="Times New Roman"/>
                <w:sz w:val="20"/>
                <w:szCs w:val="20"/>
              </w:rPr>
              <w:t>ը</w:t>
            </w:r>
            <w:r w:rsidRPr="0053423A">
              <w:rPr>
                <w:rFonts w:eastAsia="Calibri" w:cs="Times New Roman"/>
                <w:sz w:val="20"/>
                <w:szCs w:val="20"/>
                <w:lang w:val="af-ZA"/>
              </w:rPr>
              <w:t xml:space="preserve"> </w:t>
            </w:r>
            <w:r w:rsidRPr="0053423A">
              <w:rPr>
                <w:rFonts w:eastAsia="Calibri" w:cs="Times New Roman"/>
                <w:sz w:val="20"/>
                <w:szCs w:val="20"/>
                <w:lang w:val="hy-AM"/>
              </w:rPr>
              <w:t>կկազմակերպվեն աշխատողների վերապատրաստումների կարիքների գնահատման արդյունքների հաշվառմա</w:t>
            </w:r>
            <w:r w:rsidRPr="0053423A">
              <w:rPr>
                <w:rFonts w:eastAsia="Calibri" w:cs="Times New Roman"/>
                <w:sz w:val="20"/>
                <w:szCs w:val="20"/>
              </w:rPr>
              <w:t>մ</w:t>
            </w:r>
            <w:r w:rsidRPr="0053423A">
              <w:rPr>
                <w:rFonts w:eastAsia="Calibri" w:cs="Times New Roman"/>
                <w:sz w:val="20"/>
                <w:szCs w:val="20"/>
                <w:lang w:val="hy-AM"/>
              </w:rPr>
              <w:t>բ</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6) քաղաքացիական ծառայության և համայնքային ծառայության վերապատրաստումների դասընթացներում կներառվեն սոցիալական աշխատողների կատարելագործման դասընթացներ</w:t>
            </w:r>
          </w:p>
          <w:p w:rsidR="00514E01" w:rsidRPr="0053423A" w:rsidRDefault="00514E01" w:rsidP="00A67858">
            <w:pPr>
              <w:spacing w:line="276" w:lineRule="auto"/>
              <w:jc w:val="both"/>
              <w:rPr>
                <w:rFonts w:eastAsia="Calibri" w:cs="Times New Roman"/>
                <w:bCs/>
                <w:sz w:val="20"/>
                <w:szCs w:val="20"/>
                <w:lang w:val="hy-AM"/>
              </w:rPr>
            </w:pPr>
            <w:r w:rsidRPr="0053423A">
              <w:rPr>
                <w:rFonts w:eastAsia="Calibri" w:cs="Times New Roman"/>
                <w:sz w:val="20"/>
                <w:szCs w:val="20"/>
                <w:lang w:val="hy-AM"/>
              </w:rPr>
              <w:t>7) սոցիալական աշխատանքի մասնագիտական կրթական չափորոշիչը կսահմանվի մասնակցային գործընթացի արդյունքում</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Calibri" w:cs="Times New Roman"/>
                <w:sz w:val="20"/>
                <w:szCs w:val="20"/>
                <w:lang w:val="hy-AM"/>
              </w:rPr>
              <w:t>Կյանքի դժվարին իրավիճակում հայտնված ընտանիքների, անձանց տրամադրվում են որակյալ սոցիալական ծառայություններ:</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Calibri" w:cs="Times New Roman"/>
                <w:b/>
                <w:sz w:val="20"/>
                <w:szCs w:val="20"/>
                <w:u w:val="single"/>
                <w:lang w:val="hy-AM"/>
              </w:rPr>
            </w:pPr>
            <w:r w:rsidRPr="0053423A">
              <w:rPr>
                <w:rFonts w:eastAsia="Calibri" w:cs="Times New Roman"/>
                <w:b/>
                <w:sz w:val="20"/>
                <w:szCs w:val="20"/>
                <w:u w:val="single"/>
                <w:lang w:val="hy-AM"/>
              </w:rPr>
              <w:t>17.3 Տնտեսության բոլոր ճյուղերում հանրային զգայուն, մարդու կենսապայմանների և կյանքի որակի վրա հնարավոր ազդեցություն ունեցող նոր ներդրվող, կամ գործողներում փոփոխություններ կատարող ծրագրերի, ռազմավարությունների իրավական ակտերի նախագծերի (այսուհետ՝ Ծրագիր) սոցիալական ազդեցության գնահատման իրականացում</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 xml:space="preserve">1.Միջոցառման իրականացման անհրաժեշտությունը և նպատակը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Միջոցառման իրակացման անհրաժեշտությունը բխում է ՀՀ կառավարության 2019 թվականի փետրվարի 8-ի N 65 - Ա որոշման հավելվածի 4.2 բաժնի առաջին պարբերությունով սահմանված նպատակից՝ քաղաքացիների կենսամակարդակի և սոցիալական վիճակի բարելավելում:</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 xml:space="preserve">1.1. կարգավորման հարաբերությունների ներկա վիճակը և առկա խնդիրները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Տնտեսության բոլոր ճյուղերում հանրային զգայուն, մարդու կենսապայմանների և կյանքի որակի վրա հնարավոր ազդեցություն ունեցող նոր ներդրվող, կամ գործողներում փոփոխություններ կատարող ծրագրերի, ռազմավարությունների իրավական ակտերի նախագծերի (այսուհետ՝ Ծրագիր) ծրագրերից ոչ բոլորն գնահատվում դրանց սոցիալական ազդեցությունը տեսանկյունից, գնահատումն էլ կատարվում է արագ, առանց հետազոտության: </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1.2. առկա խնդիրների առաջարկվող լուծումները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1) Ծրագրերի սոցիալական ազդեցության գնահատման մեթոդաբանությունը մշակվելու է հաշվի առնելով միջազգային և հայաստանյան փորձը՝ մասնակցային ակզբունքով: Ծրագրերի գնահատումը իրականացվելու է գիտականորեն հիմնավորված մեթոդաբանությամբ:</w:t>
            </w:r>
          </w:p>
          <w:p w:rsidR="00514E01" w:rsidRPr="0053423A" w:rsidRDefault="00514E01" w:rsidP="00A67858">
            <w:pPr>
              <w:spacing w:line="276" w:lineRule="auto"/>
              <w:jc w:val="both"/>
              <w:rPr>
                <w:rFonts w:eastAsia="Calibri" w:cs="Times New Roman"/>
                <w:bCs/>
                <w:sz w:val="20"/>
                <w:szCs w:val="20"/>
                <w:lang w:val="hy-AM"/>
              </w:rPr>
            </w:pPr>
            <w:r w:rsidRPr="0053423A">
              <w:rPr>
                <w:rFonts w:eastAsia="Calibri" w:cs="Times New Roman"/>
                <w:sz w:val="20"/>
                <w:szCs w:val="20"/>
                <w:lang w:val="hy-AM"/>
              </w:rPr>
              <w:t>2) Ծրագրերը սոցիալական ազդեցության գնահատումը կրում է բնականոն ընթացք</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Calibri" w:cs="Times New Roman"/>
                <w:sz w:val="20"/>
                <w:szCs w:val="20"/>
                <w:lang w:val="hy-AM"/>
              </w:rPr>
              <w:t>Տնտեսության տարբեր ճյուղերում իրականացվող բարեփոխումները կատարվում են առանց բնակչության շրջանում սոցիալական լարվածության:</w:t>
            </w:r>
          </w:p>
        </w:tc>
      </w:tr>
      <w:tr w:rsidR="00514E01" w:rsidRPr="00DE2EFA" w:rsidTr="00BC61ED">
        <w:tc>
          <w:tcPr>
            <w:tcW w:w="630" w:type="dxa"/>
            <w:vMerge w:val="restart"/>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18</w:t>
            </w:r>
          </w:p>
        </w:tc>
        <w:tc>
          <w:tcPr>
            <w:tcW w:w="10890" w:type="dxa"/>
          </w:tcPr>
          <w:p w:rsidR="00514E01" w:rsidRPr="0053423A" w:rsidRDefault="00514E01" w:rsidP="00A67858">
            <w:pPr>
              <w:spacing w:line="276" w:lineRule="auto"/>
              <w:jc w:val="both"/>
              <w:rPr>
                <w:rFonts w:eastAsia="Calibri" w:cs="Times New Roman"/>
                <w:b/>
                <w:sz w:val="20"/>
                <w:szCs w:val="20"/>
                <w:u w:val="single"/>
                <w:lang w:val="hy-AM"/>
              </w:rPr>
            </w:pPr>
            <w:r w:rsidRPr="0053423A">
              <w:rPr>
                <w:rFonts w:eastAsia="Calibri" w:cs="Times New Roman"/>
                <w:b/>
                <w:sz w:val="20"/>
                <w:szCs w:val="20"/>
                <w:u w:val="single"/>
                <w:lang w:val="hy-AM"/>
              </w:rPr>
              <w:t>18.1 «Երիտասարդ և երեխաներ ունեցող ընտանիքների աջակցության և սոցիալական երաշխիքների մասին» ՀՀ օրենքի նախագծի (փաթեթը) Վարչապետի աշխատակազմ ներկայացում</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 xml:space="preserve">1. Միջոցառման իրականացման անհրաժեշտությունը և նպատակը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Նախագծի անհրաժեշտությունը պայմանավորված է ՀՀ Սահմանադրության պահանջներով և նպատակ ունի մեղմել նախորդ ժամանակահատվածում արձանագրված և առաջիկայում կանխատեսվող ժողովրդագրական իրավիճակի զարգացման բացասական միտումները ։</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 xml:space="preserve">1.1. կարգավորման հարաբերությունների ներկա վիճակը և առկա խնդիրները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Անկախության շրջանում ՀՀ ժողովրդագրական իրավիճակում արձանագրվել են բացասական միտումները։ Մասնավորապես, 1992-2018թթ. ժամանակահատվածում ծնունդների թիվը նվազել է գրեթե կրկնակի և կազմել է 1992թ.՝ 70 581 ծնունդ, 2018թ.՝ 36502 ծնունդ, իսկ բնական աճի ցուցանիշը (ծնունդների և մահերի դրական տարբերությունը) նվազել է շուրջ 4 անգամ և կազմել է 1992թ.՝ 44 757, 2018թ.՝ 10857։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Խնդրո առարկա ժամանակահատվածում էական անկում է գրանցել ծնելիության գումարային գործակիցը և կազմել է 1992թ.՝ 2,347, 2018թ.՝ 1,556, իսկ ՀՀ-ում բնական աճի ցուցանիշը կազմել է շուրջ 490 000 անձ, որից 1991-2000թթ.՝ 263811 անձ, 2001-2010թթ.՝ 119042 անձ, 2011-2018թթ.՝ 107867 անձ։</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Խնդիրը հատկապես խորն է գյուղական բնակավայրերում, որտեղ ծնելիության գումարային գործակիցը 1992թ. 3,242-ից նվազել է մինչև 1,465 (քաղաքային բնակավայրերում նույն ցուցանիշները կազմել են համապատասխանաբար 2,342 և 1,627).  </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Միաժամանակ, նույն ժամանակահատվածում ՀՀ բնակչության թիվը նվազել է շուրջ 500 000 անձով և կազմել է 1992թ.՝ 3,463.7 հազ. անձ, 2018թ.՝ 2965.1 հազ. անձ, ինչը հետևանք է արտագաղթի բարձր տեպերի. 1992-2018թթ. ՀՀ-ից հեռացել է շուրջ 1 մլն անձ։</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Հարկ է նկատի ունենալ, որ վերը նշված գործոնների ազդեցության արդյունքում առաջիկայում իրավիճակն էլ ավելի կվատթարանա.  նույնիսկ զրոյական արտագաղթի դեպքում, եթե չարձանագրվի ծնելիության ցուցանիշի բարելավում, սկսած 2020-ական թվականներից ՀՀ-ում մահերի թիվը կգերազանցի ծնուննդների թվին, այսինքն կարձանագրվի բնակչության թվաքանակի բնական անկում։</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Միաժամանակ, համաձայն ՀՀ Սահմանադրության 86-րդ հոդվածի՝ տնտեսական, սոցիալական և մշակութային ոլորտներում պետության քաղաքականության հիմնական նպատակներն են ծնելիության և բազմազավակության խթանումը, իսկ ՀՀ կառավարության ծրագրի 4.2-րդ մասի համաձայն նախատեսվում է մշակվել և կյանքի կոչել ծնելիության խրախուսման, երիտասարդ և երեխաներ ունեցող ընտանիքների աջակցության նոր</w:t>
            </w:r>
            <w:r w:rsidRPr="0053423A">
              <w:rPr>
                <w:rFonts w:ascii="Calibri" w:eastAsia="Calibri" w:hAnsi="Calibri" w:cs="Calibri"/>
                <w:sz w:val="20"/>
                <w:szCs w:val="20"/>
                <w:lang w:val="hy-AM"/>
              </w:rPr>
              <w:t> </w:t>
            </w:r>
            <w:r w:rsidRPr="0053423A">
              <w:rPr>
                <w:rFonts w:eastAsia="Calibri" w:cs="Times New Roman"/>
                <w:sz w:val="20"/>
                <w:szCs w:val="20"/>
                <w:lang w:val="hy-AM"/>
              </w:rPr>
              <w:t>ծրագրեր։</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1.2. առկա խնդիրների առաջարկվող լուծումները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Հաշվի առնելով վերը նշված իրողությունները՝ առաջարկվում է ՀՀ ԱԺ-ում քննարկել «Երիտասարդ և երեխաներ ունեցող ընտանիքների աջակցության և սոցիալական երաշխիքների մասին» ՀՀ օրենքի նախագիծը (փաթեթը)։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Օրենքի նախագծով առաջարկվում է սահմանել երիտասարդ և երեխաներ ունեցող ընտանիքների, բազմազավակ ընտանիքների  աջակցության հիմնական ուղղությունները (սկզբունքները) և ծրագրերը։</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Մասնավորապես, նախատեսվում են քննարկել աջակցության հետևյալ տեսակները.</w:t>
            </w:r>
          </w:p>
          <w:p w:rsidR="00514E01" w:rsidRPr="0053423A" w:rsidRDefault="00514E01" w:rsidP="001F6D5D">
            <w:pPr>
              <w:numPr>
                <w:ilvl w:val="0"/>
                <w:numId w:val="179"/>
              </w:numPr>
              <w:spacing w:line="276" w:lineRule="auto"/>
              <w:jc w:val="both"/>
              <w:rPr>
                <w:rFonts w:eastAsia="Calibri" w:cs="Times New Roman"/>
                <w:sz w:val="20"/>
                <w:szCs w:val="20"/>
                <w:lang w:val="hy-AM"/>
              </w:rPr>
            </w:pPr>
            <w:r w:rsidRPr="0053423A">
              <w:rPr>
                <w:rFonts w:eastAsia="Calibri" w:cs="Times New Roman"/>
                <w:sz w:val="20"/>
                <w:szCs w:val="20"/>
                <w:lang w:val="hy-AM"/>
              </w:rPr>
              <w:t xml:space="preserve">Երիտասարդ և երեխաներ ունեցող (խնամող) ընտանիքների հիպոթեկային վարկով բնակարան ձեռք բերելու համար կանխավճարի մասնակի կամ ամբողջական ֆինանսավորում (օրինակ՝ անտոկոս վարկի միջոցով),  հիպոթեկային վարկի մայր գումարի և տոկոսների մասնակի կամ ամբողջական սուբսիդավորում, </w:t>
            </w:r>
          </w:p>
          <w:p w:rsidR="00514E01" w:rsidRPr="0053423A" w:rsidRDefault="00514E01" w:rsidP="001F6D5D">
            <w:pPr>
              <w:numPr>
                <w:ilvl w:val="0"/>
                <w:numId w:val="179"/>
              </w:numPr>
              <w:spacing w:line="276" w:lineRule="auto"/>
              <w:jc w:val="both"/>
              <w:rPr>
                <w:rFonts w:eastAsia="Calibri" w:cs="Times New Roman"/>
                <w:sz w:val="20"/>
                <w:szCs w:val="20"/>
                <w:lang w:val="hy-AM"/>
              </w:rPr>
            </w:pPr>
            <w:r w:rsidRPr="0053423A">
              <w:rPr>
                <w:rFonts w:eastAsia="Calibri" w:cs="Times New Roman"/>
                <w:sz w:val="20"/>
                <w:szCs w:val="20"/>
                <w:lang w:val="hy-AM"/>
              </w:rPr>
              <w:t>Երեխաների թվից և ծնողների վճարած եկամտային հարկի գումարից կախված` նպաստների համակարգ,</w:t>
            </w:r>
          </w:p>
          <w:p w:rsidR="00514E01" w:rsidRPr="0053423A" w:rsidRDefault="00514E01" w:rsidP="001F6D5D">
            <w:pPr>
              <w:numPr>
                <w:ilvl w:val="0"/>
                <w:numId w:val="179"/>
              </w:numPr>
              <w:spacing w:line="276" w:lineRule="auto"/>
              <w:jc w:val="both"/>
              <w:rPr>
                <w:rFonts w:eastAsia="Calibri" w:cs="Times New Roman"/>
                <w:sz w:val="20"/>
                <w:szCs w:val="20"/>
                <w:lang w:val="hy-AM"/>
              </w:rPr>
            </w:pPr>
            <w:r w:rsidRPr="0053423A">
              <w:rPr>
                <w:rFonts w:eastAsia="Calibri" w:cs="Times New Roman"/>
                <w:sz w:val="20"/>
                <w:szCs w:val="20"/>
                <w:lang w:val="hy-AM"/>
              </w:rPr>
              <w:t>Երեխա խնամող վարձու աշխատողների (ծնողների) համար լրացուցիչ աշխատանքային արտոնությունների և երաշխիքների սահմանում,</w:t>
            </w:r>
          </w:p>
          <w:p w:rsidR="00514E01" w:rsidRPr="0053423A" w:rsidRDefault="00514E01" w:rsidP="001F6D5D">
            <w:pPr>
              <w:numPr>
                <w:ilvl w:val="0"/>
                <w:numId w:val="179"/>
              </w:numPr>
              <w:spacing w:line="276" w:lineRule="auto"/>
              <w:jc w:val="both"/>
              <w:rPr>
                <w:rFonts w:eastAsia="Calibri" w:cs="Times New Roman"/>
                <w:sz w:val="20"/>
                <w:szCs w:val="20"/>
                <w:lang w:val="hy-AM"/>
              </w:rPr>
            </w:pPr>
            <w:r w:rsidRPr="0053423A">
              <w:rPr>
                <w:rFonts w:eastAsia="Calibri" w:cs="Times New Roman"/>
                <w:sz w:val="20"/>
                <w:szCs w:val="20"/>
                <w:lang w:val="hy-AM"/>
              </w:rPr>
              <w:t xml:space="preserve">Գյուղական բնակավայրում բնակվող՝ Երիտասարդ և երեխաներ ունեցող (խնամող) ընտանիքների համար թիրախային ծրագրերի իրականացում, </w:t>
            </w:r>
          </w:p>
          <w:p w:rsidR="00514E01" w:rsidRPr="0053423A" w:rsidRDefault="00514E01" w:rsidP="001F6D5D">
            <w:pPr>
              <w:numPr>
                <w:ilvl w:val="0"/>
                <w:numId w:val="179"/>
              </w:numPr>
              <w:spacing w:line="276" w:lineRule="auto"/>
              <w:jc w:val="both"/>
              <w:rPr>
                <w:rFonts w:eastAsia="Calibri" w:cs="Times New Roman"/>
                <w:sz w:val="20"/>
                <w:szCs w:val="20"/>
                <w:lang w:val="hy-AM"/>
              </w:rPr>
            </w:pPr>
            <w:r w:rsidRPr="0053423A">
              <w:rPr>
                <w:rFonts w:eastAsia="Calibri" w:cs="Times New Roman"/>
                <w:sz w:val="20"/>
                <w:szCs w:val="20"/>
                <w:lang w:val="hy-AM"/>
              </w:rPr>
              <w:t xml:space="preserve">Վերարտադրողական առողջության խնդիր ունեցող անձանց համար </w:t>
            </w:r>
            <w:r w:rsidRPr="0053423A">
              <w:rPr>
                <w:rFonts w:eastAsia="Times New Roman" w:cs="Times New Roman"/>
                <w:bCs/>
                <w:sz w:val="20"/>
                <w:szCs w:val="20"/>
                <w:lang w:val="hy-AM" w:eastAsia="ru-RU"/>
              </w:rPr>
              <w:t>աջակցության տեսակների</w:t>
            </w:r>
            <w:r w:rsidRPr="0053423A">
              <w:rPr>
                <w:rFonts w:eastAsia="Calibri" w:cs="Times New Roman"/>
                <w:sz w:val="20"/>
                <w:szCs w:val="20"/>
                <w:lang w:val="hy-AM"/>
              </w:rPr>
              <w:t xml:space="preserve"> սահմանում և այլն։</w:t>
            </w:r>
          </w:p>
          <w:p w:rsidR="00514E01" w:rsidRPr="0053423A" w:rsidRDefault="00514E01" w:rsidP="00A67858">
            <w:pPr>
              <w:spacing w:line="276" w:lineRule="auto"/>
              <w:jc w:val="both"/>
              <w:rPr>
                <w:rFonts w:eastAsia="Calibri" w:cs="Times New Roman"/>
                <w:sz w:val="20"/>
                <w:szCs w:val="20"/>
                <w:lang w:val="hy-AM"/>
              </w:rPr>
            </w:pPr>
            <w:r w:rsidRPr="0053423A">
              <w:rPr>
                <w:rFonts w:eastAsia="Calibri" w:cs="Times New Roman"/>
                <w:sz w:val="20"/>
                <w:szCs w:val="20"/>
                <w:lang w:val="hy-AM"/>
              </w:rPr>
              <w:t xml:space="preserve">Աջակցության ծրագրերի ընտրությունը կկատարվի՝ հաշվի առնելով ՀՀ վարչապետի ղեկավարությամբ գործող ազգային խորհրդի շրջանակներում ծավալված քննարկումները։ </w:t>
            </w:r>
          </w:p>
          <w:p w:rsidR="00514E01" w:rsidRPr="0053423A" w:rsidRDefault="00514E01" w:rsidP="00A67858">
            <w:pPr>
              <w:spacing w:line="276" w:lineRule="auto"/>
              <w:jc w:val="both"/>
              <w:rPr>
                <w:rFonts w:eastAsia="Calibri" w:cs="Times New Roman"/>
                <w:b/>
                <w:sz w:val="20"/>
                <w:szCs w:val="20"/>
                <w:lang w:val="hy-AM"/>
              </w:rPr>
            </w:pPr>
            <w:r w:rsidRPr="0053423A">
              <w:rPr>
                <w:rFonts w:eastAsia="Calibri" w:cs="Times New Roman"/>
                <w:b/>
                <w:sz w:val="20"/>
                <w:szCs w:val="20"/>
                <w:lang w:val="hy-AM"/>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Calibri" w:cs="Times New Roman"/>
                <w:sz w:val="20"/>
                <w:szCs w:val="20"/>
                <w:lang w:val="hy-AM"/>
              </w:rPr>
              <w:t>Միջոցառման արդյունքում ակնկալվում է խթանել ծնելիությունը և նվազեցնել արտագաղթի տեմպերը՝ հաստատուն հիմքեր և նախապայմաններ ձևավորելով բնակչության թվաքանակի հետագա կայուն աճն ապահովելու համար։</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Calibri" w:cs="Times New Roman"/>
                <w:b/>
                <w:sz w:val="20"/>
                <w:szCs w:val="20"/>
                <w:u w:val="single"/>
                <w:lang w:val="hy-AM"/>
              </w:rPr>
            </w:pPr>
            <w:r w:rsidRPr="0053423A">
              <w:rPr>
                <w:rFonts w:eastAsia="Calibri" w:cs="Times New Roman"/>
                <w:b/>
                <w:sz w:val="20"/>
                <w:szCs w:val="20"/>
                <w:u w:val="single"/>
                <w:lang w:val="hy-AM"/>
              </w:rPr>
              <w:t>18.2 «Պետական նպաստների  մասին» Հայաստանի Հանրապետության օրենքում փոփոխություններ կատարելու մասին» ՀՀ օրենքի նախագծի (փաթեթը) Վարչապետի աշխատակազմ ներկայացում</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 Միջոցառման իրականացման անհրաժեշտությունը և նպատակը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Նախագծի անհրաժեշտությունը պայմանավորված է ՀՀ Սահմանադրության պահանջներով և նպատակ ունի մեղմել նախորդ ժամանակահատվածում արձանագրված և առաջիկայում կանխատեսվող ժողովրդագրական իրավիճակի զարգացման բացասական միտումները։</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1.1. կարգավորման հարաբերությունների ներկա վիճակը և առկա խնդիրները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«Պետական նպաստների  մասին» ՀՀ օրենքով կարգավորվում է երեխայի ծննդյան միանվագ նպաստի և երեխայի խնամքի նպաստի նշանակման և վճարման հետ կապված հարաբերությունները։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Մասնավորապես, համաձայն օրենքի՝ ե</w:t>
            </w:r>
            <w:r w:rsidRPr="0053423A">
              <w:rPr>
                <w:rFonts w:eastAsia="Calibri" w:cs="Times New Roman"/>
                <w:sz w:val="20"/>
                <w:szCs w:val="20"/>
                <w:shd w:val="clear" w:color="auto" w:fill="FFFFFF"/>
                <w:lang w:val="hy-AM"/>
              </w:rPr>
              <w:t xml:space="preserve">րեխայի ծննդյան միանվագ նպաստի չափը տարբերակվում է նոր </w:t>
            </w:r>
            <w:r w:rsidRPr="0053423A">
              <w:rPr>
                <w:rFonts w:eastAsia="Times New Roman" w:cs="Times New Roman"/>
                <w:sz w:val="20"/>
                <w:szCs w:val="20"/>
                <w:lang w:val="hy-AM"/>
              </w:rPr>
              <w:t>ծնված երեխայի հերթական կարգաթվով՝ հաշվի առնելով նոր ծնված երեխայի ծնողների մյուս երեխաների և զավակների թիվը: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Միաժամանակ, երրորդ և հաջորդ երեխայի ծնվելու դեպքում (եթե երեխայի ծննդյան միանվագ նպաստը նշանակվում է ընտանիքում ծնված երրորդ և հաջորդ երեխայի համար սահմանված չափով) երեխայի ծննդյան միանվագ նպաստի մի մասը վճարվում է բանկում նոր ծնված երեխայի անվամբ բացված հատուկ հաշվին (պետական աջակցության հաշվին) մուտքագրելու միջոցով: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Մյուս կողմից, վերը նշված օրենքի համաձայն՝ մինչև երկու տարեկան երեխայի խնամքի նպաստի իրավունք ունեն երեխայի` ՀՀ աշխատանքային օրենսգրքով սահմանված կարգով մինչև երեք տարեկան երեխայի խնամքի արձակուրդում գտնվող ծնողը։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Հաշվի առնելով նախընթաց ժամանակահատվածում ՀՀ ժողովրդագրական իրավիճակում արձանագրված բացասական միտումները՝ գործող իրավակարգավորումները և տրամադրված երաշխիքները համահունչ չեն ժողովրդագրության բնագավառում մեր երկրի առջև ծառացած մարտահրավերներներին։</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Հաշվի առնելով վերը նշված իրողությունները՝ առաջարկվում է ՀՀ ԱԺ-ում քննարկել «Պետական նպաստների  մասին» Հայաստանի Հանրապետության փոփոխություններ կատարելու մասին» օրենքում ՀՀ օրենքի նախագիծը (փաթեթը)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Օրենքի նախագծով առաջարկվում է. </w:t>
            </w:r>
          </w:p>
          <w:p w:rsidR="00514E01" w:rsidRPr="0053423A" w:rsidRDefault="00514E01" w:rsidP="001F6D5D">
            <w:pPr>
              <w:numPr>
                <w:ilvl w:val="0"/>
                <w:numId w:val="180"/>
              </w:numPr>
              <w:spacing w:line="276" w:lineRule="auto"/>
              <w:ind w:firstLine="375"/>
              <w:jc w:val="both"/>
              <w:rPr>
                <w:rFonts w:eastAsia="Times New Roman" w:cs="Times New Roman"/>
                <w:sz w:val="20"/>
                <w:szCs w:val="20"/>
                <w:lang w:val="hy-AM"/>
              </w:rPr>
            </w:pPr>
            <w:r w:rsidRPr="0053423A">
              <w:rPr>
                <w:rFonts w:eastAsia="Times New Roman" w:cs="Times New Roman"/>
                <w:sz w:val="20"/>
                <w:szCs w:val="20"/>
                <w:lang w:val="hy-AM"/>
              </w:rPr>
              <w:t>վերանայել երեխայի ծննդյան միանվագ նպաստի չափի տարբերակման սկզբունքը՝ ավելացնելով 1-ին և 2-րդ երեխաների դեպքում տրվող նպաստի չափը,</w:t>
            </w:r>
          </w:p>
          <w:p w:rsidR="00514E01" w:rsidRPr="0053423A" w:rsidRDefault="00514E01" w:rsidP="001F6D5D">
            <w:pPr>
              <w:numPr>
                <w:ilvl w:val="0"/>
                <w:numId w:val="180"/>
              </w:numPr>
              <w:spacing w:line="276" w:lineRule="auto"/>
              <w:ind w:firstLine="375"/>
              <w:jc w:val="both"/>
              <w:rPr>
                <w:rFonts w:eastAsia="Times New Roman" w:cs="Times New Roman"/>
                <w:sz w:val="20"/>
                <w:szCs w:val="20"/>
                <w:lang w:val="hy-AM"/>
              </w:rPr>
            </w:pPr>
            <w:r w:rsidRPr="0053423A">
              <w:rPr>
                <w:rFonts w:eastAsia="Times New Roman" w:cs="Times New Roman"/>
                <w:sz w:val="20"/>
                <w:szCs w:val="20"/>
                <w:lang w:val="hy-AM"/>
              </w:rPr>
              <w:t>վերացնել ընտանեկան դրամագլխի համակարգը՝ այն ինտեգրելով «Երիտասարդ և երեխաներ ունեցող ընտանիքների աջակցության և սոցիալական երաշխիքների մասին» ՀՀ օրենքով սահմանված երաշխիքներին,</w:t>
            </w:r>
          </w:p>
          <w:p w:rsidR="00514E01" w:rsidRPr="0053423A" w:rsidRDefault="00514E01" w:rsidP="001F6D5D">
            <w:pPr>
              <w:numPr>
                <w:ilvl w:val="0"/>
                <w:numId w:val="180"/>
              </w:numPr>
              <w:spacing w:line="276" w:lineRule="auto"/>
              <w:ind w:firstLine="375"/>
              <w:jc w:val="both"/>
              <w:rPr>
                <w:rFonts w:eastAsia="Times New Roman" w:cs="Times New Roman"/>
                <w:sz w:val="20"/>
                <w:szCs w:val="20"/>
                <w:lang w:val="hy-AM"/>
              </w:rPr>
            </w:pPr>
            <w:r w:rsidRPr="0053423A">
              <w:rPr>
                <w:rFonts w:eastAsia="Times New Roman" w:cs="Times New Roman"/>
                <w:sz w:val="20"/>
                <w:szCs w:val="20"/>
                <w:lang w:val="hy-AM"/>
              </w:rPr>
              <w:t>ընդյալնել խնամքի նպաստի ծածկույթը և չափը։ Ի լրումն դրա, կներդրվի մեխանիզմ, որը հնարավորություն կտա Կառավարությանը որոշակի չափորոշիչների հիման վրա սահմանել նպաստի վճարման այլ պայմաններ, օրինակ, բարձր լեռնային և սահմանամերձ բնակավայրում։</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Միջոցառման արդյունքում ակնկալվում է խթանել ծնելիությունը և նվազեցնել արտագաղթի տեմպերը՝ հաստատուն հիմքեր և նախապայմաններ ձևավորելով բնակչության թվաքանակի հետագա կայուն աճն ապահովելու համար։</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rPr>
            </w:pPr>
            <w:r w:rsidRPr="0053423A">
              <w:rPr>
                <w:rFonts w:eastAsia="Times New Roman" w:cs="Times New Roman"/>
                <w:b/>
                <w:sz w:val="20"/>
                <w:szCs w:val="20"/>
                <w:u w:val="single"/>
                <w:lang w:val="hy-AM"/>
              </w:rPr>
              <w:t>18.3 «ՀՀ կառավարության 2014 թվականի մարտի 6-ի N 275-Ն որոշման մեջ փոփոխություն և լրացումներ կատարելու մասին» ՀՀ կառավարության որոշման նախագծի Վարչապետի աշխատակազմ ներկայացում</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 Միջոցառման իրակացման անհրաժեշտությունը և նպատակը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Նախագծի անհրաժեշտությունը բխում է ՀՀ օրենքի պահանջներից և նպատակ ունի մեղմել նախորդ ժամանակահատվածում արձանագրված և առաջիկայում կանխատեսվող ժողովրդագրական իրավիճակի զարգացման բացասական միտումները։</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1.1. կարգավորման հարաբերությունների ներկա վիճակը և առկա խնդիրները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Համաձայն «Պետական նպաստների մասին» ՀՀ օրենքի՝ ՀՀ կառավարության 2014 թվականի մարտի 6-ի N 275-Ն որոշմամբ սահմանված է երեխայի ծննդյան միանվագ նպաստի չափը.</w:t>
            </w:r>
          </w:p>
          <w:p w:rsidR="00514E01" w:rsidRPr="0053423A" w:rsidRDefault="00514E01" w:rsidP="001F6D5D">
            <w:pPr>
              <w:numPr>
                <w:ilvl w:val="0"/>
                <w:numId w:val="181"/>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Առաջին երեխայի ծննդյան դեպքում՝ 50 000 դրամ,</w:t>
            </w:r>
          </w:p>
          <w:p w:rsidR="00514E01" w:rsidRPr="0053423A" w:rsidRDefault="00514E01" w:rsidP="001F6D5D">
            <w:pPr>
              <w:numPr>
                <w:ilvl w:val="0"/>
                <w:numId w:val="181"/>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Երկրորդ երեխայի ծննդյան դեպքում՝ 150 000 դրամ,</w:t>
            </w:r>
          </w:p>
          <w:p w:rsidR="00514E01" w:rsidRPr="0053423A" w:rsidRDefault="00514E01" w:rsidP="001F6D5D">
            <w:pPr>
              <w:numPr>
                <w:ilvl w:val="0"/>
                <w:numId w:val="181"/>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Երրորդ և չորորդ երեխայի ծննդյան դեպքում՝ 1 000 000 դրամ,</w:t>
            </w:r>
          </w:p>
          <w:p w:rsidR="00514E01" w:rsidRPr="0053423A" w:rsidRDefault="00514E01" w:rsidP="001F6D5D">
            <w:pPr>
              <w:numPr>
                <w:ilvl w:val="0"/>
                <w:numId w:val="181"/>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Հինգերորդ և հաջորդ երեխայի ծննդյան դեպքում՝ 1 500 000 դրամ,</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Հաշվի առնելով նախընթաց ժամանակահատվածում ՀՀ ժողովրդագրական իրավիճակում արձանագրված բացասական միտումները՝ ակնհայտ է, որ երեխայի ծննդյան միանվագ սահմանված չափերը համահունչ չեն ժողովրդագրության բնագավառում մեր երկրի առջև ծառացած մարտահրավերներներին։</w:t>
            </w:r>
          </w:p>
          <w:p w:rsidR="00514E01" w:rsidRPr="0053423A" w:rsidRDefault="00514E01" w:rsidP="00A67858">
            <w:pPr>
              <w:spacing w:line="276" w:lineRule="auto"/>
              <w:jc w:val="both"/>
              <w:rPr>
                <w:rFonts w:eastAsia="Times New Roman" w:cs="Times New Roman"/>
                <w:i/>
                <w:sz w:val="20"/>
                <w:szCs w:val="20"/>
                <w:lang w:val="hy-AM"/>
              </w:rPr>
            </w:pPr>
            <w:r w:rsidRPr="0053423A">
              <w:rPr>
                <w:rFonts w:eastAsia="Times New Roman" w:cs="Times New Roman"/>
                <w:sz w:val="20"/>
                <w:szCs w:val="20"/>
                <w:lang w:val="hy-AM"/>
              </w:rPr>
              <w:t xml:space="preserve">Միաժամանակ, համաձայն ՀՀ ԱԺ հավանությանն արժանացած ՀՀ կառավարության ծրագրի 4.2-րդ մասի՝ նախորդ ժամանակահատվածում արձանագրված ժողովրդագրական իրավիճակի զարգացման բացասական միտումները մեղմելու նպատակով մշակվելու և կյանքի են կոչվելու ծնելիության խրախուսման, երիտասարդ և երեխաներ ունեցող ընտանիքների աջակցության նոր ծրագրեր, որոնց շրջանակներում, </w:t>
            </w:r>
            <w:r w:rsidRPr="0053423A">
              <w:rPr>
                <w:rFonts w:eastAsia="Times New Roman" w:cs="Times New Roman"/>
                <w:i/>
                <w:sz w:val="20"/>
                <w:szCs w:val="20"/>
                <w:lang w:val="hy-AM"/>
              </w:rPr>
              <w:t>ըստ անհրաժեշտության, կվերանայվեն նաև գործող ծրագրերը։</w:t>
            </w:r>
            <w:r w:rsidRPr="0053423A">
              <w:rPr>
                <w:rFonts w:ascii="Calibri" w:eastAsia="Times New Roman" w:hAnsi="Calibri" w:cs="Calibri"/>
                <w:i/>
                <w:sz w:val="20"/>
                <w:szCs w:val="20"/>
                <w:lang w:val="hy-AM"/>
              </w:rPr>
              <w:t> </w:t>
            </w:r>
            <w:r w:rsidRPr="0053423A">
              <w:rPr>
                <w:rFonts w:eastAsia="Times New Roman" w:cs="Times New Roman"/>
                <w:i/>
                <w:sz w:val="20"/>
                <w:szCs w:val="20"/>
                <w:lang w:val="hy-AM"/>
              </w:rPr>
              <w:t xml:space="preserve"> </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Հաշվի առնելով վերը նշվածը և «Պետական նպաստների մասին» ՀՀ օրենքում կատարված՝ երեխայի ծննդյան միանվագ նպաստի չափի տարբերակման սկզբունքներին վերաբերող փոփոխությունները՝ նախատեսվում է համապատասխան փոփոխություններ կատարել ՀՀ կառավարության 2014 թվականի մարտի 6-ի N 275-Ն որոշման մեջ և սահմանել երեխայի ծննդյան միանվագ նպաստի նոր չափեր։</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Միաժամանակ, հաշվի առնելով «Պետական նպաստների մասին» ՀՀ օրենքի դրույթները (կատարված փոփոխությունները)՝ համապատասխան փոփոխություններ կակատարվեն նաև երեխայի ծննդյան միանվագ նպաստի նշանակման և վճարման կարգում։</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Times New Roman" w:cs="Times New Roman"/>
                <w:sz w:val="20"/>
                <w:szCs w:val="20"/>
                <w:lang w:val="hy-AM"/>
              </w:rPr>
              <w:t>Միջոցառման արդյունքում ակնկալվում է խթանել ծնելիությունը և նվազեցնել արտագաղթի տեմպերը՝ հաստատուն հիմքեր և նախապայմաններ ձևավորելով բնակչության թվաքանակի հետագա կայուն աճն ապահովելու համար։</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rPr>
            </w:pPr>
            <w:r w:rsidRPr="0053423A">
              <w:rPr>
                <w:rFonts w:eastAsia="Times New Roman" w:cs="Times New Roman"/>
                <w:b/>
                <w:sz w:val="20"/>
                <w:szCs w:val="20"/>
                <w:u w:val="single"/>
                <w:lang w:val="hy-AM"/>
              </w:rPr>
              <w:t>18.4 «ՀՀ կառավարության 2015 թվականի դեկտեմբերի</w:t>
            </w:r>
            <w:r w:rsidRPr="0053423A">
              <w:rPr>
                <w:rFonts w:ascii="Calibri" w:eastAsia="Times New Roman" w:hAnsi="Calibri" w:cs="Calibri"/>
                <w:b/>
                <w:sz w:val="20"/>
                <w:szCs w:val="20"/>
                <w:u w:val="single"/>
                <w:lang w:val="hy-AM"/>
              </w:rPr>
              <w:t> </w:t>
            </w:r>
            <w:r w:rsidRPr="0053423A">
              <w:rPr>
                <w:rFonts w:eastAsia="Times New Roman" w:cs="Times New Roman"/>
                <w:b/>
                <w:sz w:val="20"/>
                <w:szCs w:val="20"/>
                <w:u w:val="single"/>
                <w:lang w:val="hy-AM"/>
              </w:rPr>
              <w:t>29-ի N 1566-Ն որոշման մեջ փոփոխություն և լրացումներ կատարելու մասին» ՀՀ կառավարության որոշման նախագծի Վարչապետի աշխատակազմ ներկայացում</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 Միջոցառման իրականացման անհրաժեշտությունը և նպատակը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Նախագծի անհրաժեշտությունը բխում է ՀՀ օրենքի պահանջներից և նպատակ ունի մեղմել նախորդ ժամանակահատվածում արձանագրված և առաջիկայում կանխատեսվող ժողովրդագրական իրավիճակի զարգացման բացասական միտումները։</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1.1. կարգավորման հարաբերությունների ներկա վիճակը և առկա խնդիրները (նշելով նաև ելակետային տվյալներ, եթե դրանք առկա են)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Համաձայն «Պետական նպաստների մասին» ՀՀ օրենքի՝ ՀՀ կառավարության 2015 թվականի դեկտեմբերի 29-ի N 1566-Ն որոշմամբ սահմանված է երեխայի խնամքի նպաստի չափը՝ 18000 դրամ։</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Հաշվի առնելով նախընթաց ժամանակահատվածում ՀՀ ժողովրդագրական իրավիճակում արձանագրված բացասական միտումները՝ ակնհայտ է, որ սահմանված չափը համահունչ չէ ժողովրդագրության բնագավառում մեր երկրի առջև ծառացած մարտահրավերներներին։</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Միաժամանակ, համաձայն ՀՀ ԱԺ հավանությանն արժանացած ՀՀ կառավարության ծրագրի 4.2-րդ մասի՝ նախորդ ժամանակահատվածում արձանագրված ժողովրդագրական իրավիճակի զարգացման բացասական միտումները մեղմելու նպատակով մշակվելու և կյանքի են կոչվելու ծնելիության խրախուսման, երիտասարդ և երեխաներ ունեցող ընտանիքների աջակցության նոր ծրագրեր, որոնց շրջանակներում, ըստ անհրաժեշտության, կվերանայվեն նաև գործող ծրագրերը։</w:t>
            </w:r>
            <w:r w:rsidRPr="0053423A">
              <w:rPr>
                <w:rFonts w:ascii="Calibri" w:eastAsia="Times New Roman" w:hAnsi="Calibri" w:cs="Calibri"/>
                <w:sz w:val="20"/>
                <w:szCs w:val="20"/>
                <w:lang w:val="hy-AM"/>
              </w:rPr>
              <w:t> </w:t>
            </w:r>
            <w:r w:rsidRPr="0053423A">
              <w:rPr>
                <w:rFonts w:eastAsia="Times New Roman" w:cs="Times New Roman"/>
                <w:sz w:val="20"/>
                <w:szCs w:val="20"/>
                <w:lang w:val="hy-AM"/>
              </w:rPr>
              <w:t xml:space="preserve"> </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1.2. առկա խնդիրների առաջարկվող լուծումները (միջոցառումը համակատարող ունենալու դեպքում նշելով նաև համակատարողի կողմից համապատասխան միջոցառման առնչությամբ կատարման ենթակա գործողությունները)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Հաշվի առնելով վերը նշվածը և «Պետական նպաստների մասին» ՀՀ օրենքում կատարված՝ խնամքի նպաստին վերաբերող փոփոխությունները՝ նախատեսվում է համապատասխան փոփոխություններ կատարել ՀՀ կառավարության 2015 թվականի դեկտեմբերի 29-ի N 1566-Ն որոշման մեջ՝ համապատասխան փոփոխություններ կատարելով նաև խնամքի նպաստի նշանակման և վճարման կարգում։</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Times New Roman" w:cs="Times New Roman"/>
                <w:sz w:val="20"/>
                <w:szCs w:val="20"/>
                <w:lang w:val="hy-AM"/>
              </w:rPr>
              <w:t>Միջոցառման արդյունքում ակնկալվում է խթանել ծնելիությունը և նվազեցնել արտագաղթի տեմպերը՝ հաստատուն հիմքեր և նախապայմաններ ձևավորելով բնակչության թվաքանակի հետագա կայուն աճն ապահովելու համար։</w:t>
            </w:r>
          </w:p>
        </w:tc>
      </w:tr>
      <w:tr w:rsidR="00514E01" w:rsidRPr="00DE2EFA" w:rsidTr="00BC61ED">
        <w:tc>
          <w:tcPr>
            <w:tcW w:w="630" w:type="dxa"/>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19</w:t>
            </w: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rPr>
            </w:pPr>
            <w:r w:rsidRPr="0053423A">
              <w:rPr>
                <w:rFonts w:eastAsia="Times New Roman" w:cs="Times New Roman"/>
                <w:b/>
                <w:sz w:val="20"/>
                <w:szCs w:val="20"/>
                <w:u w:val="single"/>
                <w:lang w:val="hy-AM"/>
              </w:rPr>
              <w:t>19.1 «ՀՀ կառավարության 2010 թվականի դեկտեմբերի 30-ի</w:t>
            </w:r>
            <w:r w:rsidRPr="0053423A">
              <w:rPr>
                <w:rFonts w:ascii="Calibri" w:eastAsia="Times New Roman" w:hAnsi="Calibri" w:cs="Calibri"/>
                <w:b/>
                <w:sz w:val="20"/>
                <w:szCs w:val="20"/>
                <w:u w:val="single"/>
                <w:lang w:val="hy-AM"/>
              </w:rPr>
              <w:t> </w:t>
            </w:r>
            <w:r w:rsidRPr="0053423A">
              <w:rPr>
                <w:rFonts w:eastAsia="Times New Roman" w:cs="Times New Roman"/>
                <w:b/>
                <w:sz w:val="20"/>
                <w:szCs w:val="20"/>
                <w:u w:val="single"/>
                <w:lang w:val="hy-AM"/>
              </w:rPr>
              <w:t>N 1734-Ն և 2013 թվականի դեկտեմբերի 26-ի N 1489-Ն որոշումներում փոփոխություններ կատարելու մասին» ՀՀ կառավարության որոշման նախագծի մշակում և Վարչապետի աշխատակազմ ներկայացում</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 Միջոցառման իրականացման անհրաժեշտությունը և նպատակը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Նախագծի անհրաժեշտությունը նպատակ ունի ապահովել ՀՀ կառավարության ծրագրի 4.2-րդ մասի՝ կենսաթոշակների բարձրացմանը վերաբերող դրույթների իրականացումը։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«Պետական կենսաթոշակների մասին» ՀՀ օրենքի համաձայն՝ աշխատանքային կենսաթոշակի չափը հաշվարկվում է հիմնական կենսաթոշակի չափից և աշխատանքային ստաժի մեկ տարվա արժեքից (հաշվի առնելով աշխատանքային ստաժի տևողությունը)։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Զինվորական կենսաթոշակի չափը հաշվարկվում է հիմնական կենսաթոշակի չափից և զինվորական ստաժի մեկ տարվա արժեքից (հաշվի առնելով զինվորական ստաժի տևողությունը)։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Աշխատանքային և զինվորական կենսաթոշակների չափերը հաշվարկելու համար հիմնական կենսաթոշակների չափերը, նվազագույն կենսաթոշակի չափը, աշխատանքային ստաժի մեկ տարվա արժեքը, զինվորական ծառայության ստաժի մեկ տարվա արժեքը, ինչպես նաև՝ օրենքով սահմանված դեպքերում կենսաթոշակների չափերը սահմանված են ՀՀ կառավարության 2010 թվականի դեկտեմբերի 30-ի N 1734-Ն որոշմամբ։</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Համաձայն «Պետական նպաստների մասին» ՀՀ օրենքի՝ ՀՀ կառավարության 2013 թվականի դեկտեմբերի 26-ի N 1489-Ն որոշմամբ սահմանված են ծերության, հաշմանդամության, կերակրողին կորցնելու դեպքում նպաստների (նախկին սոցիալական կենսաթոշակներ) չափերը։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Ըստ այդմ, կառավարության ծրագրի վերը նշված դրույթի իրականացումն ապահովելու` կենսաթոշակների և նպաստների չափերը բարձրացնելու համար անհրաժեշտ է փոփոխություններ կատարել ՀՀ կառավարության 2010 թվականի դեկտեմբերի 30-ի N 1734-Ն և 2013 թվականի դեկտեմբերի 26-ի N 1489-Ն որոշումներում՝</w:t>
            </w:r>
            <w:r w:rsidRPr="0053423A">
              <w:rPr>
                <w:rFonts w:eastAsia="Calibri" w:cs="Sylfaen"/>
                <w:sz w:val="20"/>
                <w:szCs w:val="20"/>
                <w:lang w:val="hy-AM"/>
              </w:rPr>
              <w:t xml:space="preserve"> </w:t>
            </w:r>
            <w:r w:rsidRPr="0053423A">
              <w:rPr>
                <w:rFonts w:eastAsia="Times New Roman" w:cs="Times New Roman"/>
                <w:sz w:val="20"/>
                <w:szCs w:val="20"/>
                <w:lang w:val="hy-AM"/>
              </w:rPr>
              <w:t>բարձրացնելով  հիմնական կենսաթոշակների չափերը, նվազագույն կենսաթոշակի չափը, աշխատանքային և զինվորական ծառայության ստաժների մեկ տարվա արժեքները, նպաստների չափերը։</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1.1. Կարգավորման հարաբերությունների ներկա վիճակը և առկա խնդիրները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ՀՀ կառավարության ծրագրի 4.2-րդ մասի համաձայն՝ նախատեսվում է պարբերաբար բարձրացնել պետական կենսաթոշակների չափերը՝ ապահովելով գնաճի նկատմամբ միջին կենսաթոշակի չափի առաջանցիկ աճ։</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Ըստ այդմ, հաշվի առնելով այն հանգամանքը, որ հիմնական կենսաթոշակների չափերը, նվազագույն կենսաթոշակի չափը, աշխատանքային ստաժի և զինվորական ծառայության ստաժների մեկ տարվա արժեքը, նպաստների և օրենքով սահմանված դեպքերում` կենսաթոշակների չափերը սահմանելու լիազորություններն օրենքներով վերապահված է ՀՀ կառավարությանը, դրանց պարբերաբար բարձրացման միջոցով կապահովվի կենսաթոշակների և նպաստների չափերի բարձրացումը:</w:t>
            </w:r>
            <w:r w:rsidRPr="0053423A">
              <w:rPr>
                <w:rFonts w:ascii="Calibri" w:eastAsia="Times New Roman" w:hAnsi="Calibri" w:cs="Calibri"/>
                <w:sz w:val="20"/>
                <w:szCs w:val="20"/>
                <w:lang w:val="hy-AM"/>
              </w:rPr>
              <w:t> </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Հաշվի առնելով վերը նշվածը՝ նախատեսվում է 2019-2022թթ. ժամանակահատվածում, յուրաքանչյուր տարվա դեկտեմբերի 1-ին տասնօրյակում (Բյուջեի մասին օրենքն ընդունվելուց հետո) ՀՀ վարչապետի աշխատակազմ ներկայացնել «ՀՀ կառավարության 2010 թվականի դեկտեմբերի 30-ի</w:t>
            </w:r>
            <w:r w:rsidRPr="0053423A">
              <w:rPr>
                <w:rFonts w:ascii="Calibri" w:eastAsia="Times New Roman" w:hAnsi="Calibri" w:cs="Calibri"/>
                <w:sz w:val="20"/>
                <w:szCs w:val="20"/>
                <w:lang w:val="hy-AM"/>
              </w:rPr>
              <w:t> </w:t>
            </w:r>
            <w:r w:rsidRPr="0053423A">
              <w:rPr>
                <w:rFonts w:eastAsia="Times New Roman" w:cs="Times New Roman"/>
                <w:sz w:val="20"/>
                <w:szCs w:val="20"/>
                <w:lang w:val="hy-AM"/>
              </w:rPr>
              <w:t>N 1734-</w:t>
            </w:r>
            <w:r w:rsidRPr="0053423A">
              <w:rPr>
                <w:rFonts w:eastAsia="Times New Roman" w:cs="GHEA Grapalat"/>
                <w:sz w:val="20"/>
                <w:szCs w:val="20"/>
                <w:lang w:val="hy-AM"/>
              </w:rPr>
              <w:t>Ն</w:t>
            </w:r>
            <w:r w:rsidRPr="0053423A">
              <w:rPr>
                <w:rFonts w:eastAsia="Times New Roman" w:cs="Times New Roman"/>
                <w:sz w:val="20"/>
                <w:szCs w:val="20"/>
                <w:lang w:val="hy-AM"/>
              </w:rPr>
              <w:t xml:space="preserve"> </w:t>
            </w:r>
            <w:r w:rsidRPr="0053423A">
              <w:rPr>
                <w:rFonts w:eastAsia="Times New Roman" w:cs="GHEA Grapalat"/>
                <w:sz w:val="20"/>
                <w:szCs w:val="20"/>
                <w:lang w:val="hy-AM"/>
              </w:rPr>
              <w:t>և</w:t>
            </w:r>
            <w:r w:rsidRPr="0053423A">
              <w:rPr>
                <w:rFonts w:eastAsia="Times New Roman" w:cs="Times New Roman"/>
                <w:sz w:val="20"/>
                <w:szCs w:val="20"/>
                <w:lang w:val="hy-AM"/>
              </w:rPr>
              <w:t xml:space="preserve"> 2013 </w:t>
            </w:r>
            <w:r w:rsidRPr="0053423A">
              <w:rPr>
                <w:rFonts w:eastAsia="Times New Roman" w:cs="GHEA Grapalat"/>
                <w:sz w:val="20"/>
                <w:szCs w:val="20"/>
                <w:lang w:val="hy-AM"/>
              </w:rPr>
              <w:t>թվականի</w:t>
            </w:r>
            <w:r w:rsidRPr="0053423A">
              <w:rPr>
                <w:rFonts w:eastAsia="Times New Roman" w:cs="Times New Roman"/>
                <w:sz w:val="20"/>
                <w:szCs w:val="20"/>
                <w:lang w:val="hy-AM"/>
              </w:rPr>
              <w:t xml:space="preserve"> </w:t>
            </w:r>
            <w:r w:rsidRPr="0053423A">
              <w:rPr>
                <w:rFonts w:eastAsia="Times New Roman" w:cs="GHEA Grapalat"/>
                <w:sz w:val="20"/>
                <w:szCs w:val="20"/>
                <w:lang w:val="hy-AM"/>
              </w:rPr>
              <w:t>դեկտեմբերի</w:t>
            </w:r>
            <w:r w:rsidRPr="0053423A">
              <w:rPr>
                <w:rFonts w:eastAsia="Times New Roman" w:cs="Times New Roman"/>
                <w:sz w:val="20"/>
                <w:szCs w:val="20"/>
                <w:lang w:val="hy-AM"/>
              </w:rPr>
              <w:t xml:space="preserve"> 26-</w:t>
            </w:r>
            <w:r w:rsidRPr="0053423A">
              <w:rPr>
                <w:rFonts w:eastAsia="Times New Roman" w:cs="GHEA Grapalat"/>
                <w:sz w:val="20"/>
                <w:szCs w:val="20"/>
                <w:lang w:val="hy-AM"/>
              </w:rPr>
              <w:t>ի</w:t>
            </w:r>
            <w:r w:rsidRPr="0053423A">
              <w:rPr>
                <w:rFonts w:eastAsia="Times New Roman" w:cs="Times New Roman"/>
                <w:sz w:val="20"/>
                <w:szCs w:val="20"/>
                <w:lang w:val="hy-AM"/>
              </w:rPr>
              <w:t xml:space="preserve"> N 1489-</w:t>
            </w:r>
            <w:r w:rsidRPr="0053423A">
              <w:rPr>
                <w:rFonts w:eastAsia="Times New Roman" w:cs="GHEA Grapalat"/>
                <w:sz w:val="20"/>
                <w:szCs w:val="20"/>
                <w:lang w:val="hy-AM"/>
              </w:rPr>
              <w:t>Ն</w:t>
            </w:r>
            <w:r w:rsidRPr="0053423A">
              <w:rPr>
                <w:rFonts w:eastAsia="Times New Roman" w:cs="Times New Roman"/>
                <w:sz w:val="20"/>
                <w:szCs w:val="20"/>
                <w:lang w:val="hy-AM"/>
              </w:rPr>
              <w:t xml:space="preserve"> </w:t>
            </w:r>
            <w:r w:rsidRPr="0053423A">
              <w:rPr>
                <w:rFonts w:eastAsia="Times New Roman" w:cs="GHEA Grapalat"/>
                <w:sz w:val="20"/>
                <w:szCs w:val="20"/>
                <w:lang w:val="hy-AM"/>
              </w:rPr>
              <w:t>որոշումներում</w:t>
            </w:r>
            <w:r w:rsidRPr="0053423A">
              <w:rPr>
                <w:rFonts w:eastAsia="Times New Roman" w:cs="Times New Roman"/>
                <w:sz w:val="20"/>
                <w:szCs w:val="20"/>
                <w:lang w:val="hy-AM"/>
              </w:rPr>
              <w:t xml:space="preserve"> </w:t>
            </w:r>
            <w:r w:rsidRPr="0053423A">
              <w:rPr>
                <w:rFonts w:eastAsia="Times New Roman" w:cs="GHEA Grapalat"/>
                <w:sz w:val="20"/>
                <w:szCs w:val="20"/>
                <w:lang w:val="hy-AM"/>
              </w:rPr>
              <w:t>փոփոխություններ</w:t>
            </w:r>
            <w:r w:rsidRPr="0053423A">
              <w:rPr>
                <w:rFonts w:eastAsia="Times New Roman" w:cs="Times New Roman"/>
                <w:sz w:val="20"/>
                <w:szCs w:val="20"/>
                <w:lang w:val="hy-AM"/>
              </w:rPr>
              <w:t xml:space="preserve"> </w:t>
            </w:r>
            <w:r w:rsidRPr="0053423A">
              <w:rPr>
                <w:rFonts w:eastAsia="Times New Roman" w:cs="GHEA Grapalat"/>
                <w:sz w:val="20"/>
                <w:szCs w:val="20"/>
                <w:lang w:val="hy-AM"/>
              </w:rPr>
              <w:t>կատարելու</w:t>
            </w:r>
            <w:r w:rsidRPr="0053423A">
              <w:rPr>
                <w:rFonts w:eastAsia="Times New Roman" w:cs="Times New Roman"/>
                <w:sz w:val="20"/>
                <w:szCs w:val="20"/>
                <w:lang w:val="hy-AM"/>
              </w:rPr>
              <w:t xml:space="preserve"> </w:t>
            </w:r>
            <w:r w:rsidRPr="0053423A">
              <w:rPr>
                <w:rFonts w:eastAsia="Times New Roman" w:cs="GHEA Grapalat"/>
                <w:sz w:val="20"/>
                <w:szCs w:val="20"/>
                <w:lang w:val="hy-AM"/>
              </w:rPr>
              <w:t>մասին»</w:t>
            </w:r>
            <w:r w:rsidRPr="0053423A">
              <w:rPr>
                <w:rFonts w:eastAsia="Times New Roman" w:cs="Times New Roman"/>
                <w:sz w:val="20"/>
                <w:szCs w:val="20"/>
                <w:lang w:val="hy-AM"/>
              </w:rPr>
              <w:t xml:space="preserve"> </w:t>
            </w:r>
            <w:r w:rsidRPr="0053423A">
              <w:rPr>
                <w:rFonts w:eastAsia="Times New Roman" w:cs="GHEA Grapalat"/>
                <w:sz w:val="20"/>
                <w:szCs w:val="20"/>
                <w:lang w:val="hy-AM"/>
              </w:rPr>
              <w:t>ՀՀ</w:t>
            </w:r>
            <w:r w:rsidRPr="0053423A">
              <w:rPr>
                <w:rFonts w:eastAsia="Times New Roman" w:cs="Times New Roman"/>
                <w:sz w:val="20"/>
                <w:szCs w:val="20"/>
                <w:lang w:val="hy-AM"/>
              </w:rPr>
              <w:t xml:space="preserve"> </w:t>
            </w:r>
            <w:r w:rsidRPr="0053423A">
              <w:rPr>
                <w:rFonts w:eastAsia="Times New Roman" w:cs="GHEA Grapalat"/>
                <w:sz w:val="20"/>
                <w:szCs w:val="20"/>
                <w:lang w:val="hy-AM"/>
              </w:rPr>
              <w:t>կառավարության</w:t>
            </w:r>
            <w:r w:rsidRPr="0053423A">
              <w:rPr>
                <w:rFonts w:eastAsia="Times New Roman" w:cs="Times New Roman"/>
                <w:sz w:val="20"/>
                <w:szCs w:val="20"/>
                <w:lang w:val="hy-AM"/>
              </w:rPr>
              <w:t xml:space="preserve"> </w:t>
            </w:r>
            <w:r w:rsidRPr="0053423A">
              <w:rPr>
                <w:rFonts w:eastAsia="Times New Roman" w:cs="GHEA Grapalat"/>
                <w:sz w:val="20"/>
                <w:szCs w:val="20"/>
                <w:lang w:val="hy-AM"/>
              </w:rPr>
              <w:t>որոշման</w:t>
            </w:r>
            <w:r w:rsidRPr="0053423A">
              <w:rPr>
                <w:rFonts w:eastAsia="Times New Roman" w:cs="Times New Roman"/>
                <w:sz w:val="20"/>
                <w:szCs w:val="20"/>
                <w:lang w:val="hy-AM"/>
              </w:rPr>
              <w:t xml:space="preserve"> </w:t>
            </w:r>
            <w:r w:rsidRPr="0053423A">
              <w:rPr>
                <w:rFonts w:eastAsia="Times New Roman" w:cs="GHEA Grapalat"/>
                <w:sz w:val="20"/>
                <w:szCs w:val="20"/>
                <w:lang w:val="hy-AM"/>
              </w:rPr>
              <w:t>նախագիծը՝</w:t>
            </w:r>
            <w:r w:rsidRPr="0053423A">
              <w:rPr>
                <w:rFonts w:eastAsia="Times New Roman" w:cs="Times New Roman"/>
                <w:sz w:val="20"/>
                <w:szCs w:val="20"/>
                <w:lang w:val="hy-AM"/>
              </w:rPr>
              <w:t xml:space="preserve"> 2020 թվականի հունվարի 1-ից, 2021 թվականի հունվարի 1-ից, 2022 թվականի հունվարի 1-ից և 2023 թվականի հունվարի 1-ից վերանայել կենսաթոշակների չափերը հաշվարկելու համար հիմք ընդունվող հիմնական ցուցանիշները, այդ թվում՝ նվազագույն կենսաթոշակի չափը՝ այն սահմանելով ծայրահեղ (պարենային) աղքատության գծի չափ։</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ՀՀ 2019թ. պետական բյուջեով աշխատանքային և զինվորական կենսաթոշակների, ծերության, հաշմանդամության և կերակրողին կորցնելու դեպքում նպաստների համար հատկացվել է ավելի քան 270 մլրդ դրամ։</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Միջոցառման արդյունքում ակնկալվում է ապահովելով աշխատանքային և զինվորական միջին կենսաթոշակի չափի աճ՝ յուրաքանչյուր տարի 10 %-ով, ինչպես նաև՝ ծերության, հաշմանդամության, կերակրողին կորցնելու դեպքում նպաստների չափերի աճ՝  յուրաքանչյուր տարի շուրջ 4 %-ով (կանխատեսվող գնաճի չափով)։</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Արդյունքում, նվազագույն կենսաթոշակի չափը (ծերության, հաշմանդամության, կերակրողին կորցնելու դեպքում նպաստների չափերը) և միջին աշխատանքային կենսաթոշակի չափը համապատասխանաբար կկազմեն.</w:t>
            </w:r>
          </w:p>
          <w:p w:rsidR="00514E01" w:rsidRPr="0053423A" w:rsidRDefault="00514E01" w:rsidP="00A67858">
            <w:pPr>
              <w:spacing w:line="276" w:lineRule="auto"/>
              <w:rPr>
                <w:rFonts w:eastAsia="Times New Roman" w:cs="Times New Roman"/>
                <w:sz w:val="20"/>
                <w:szCs w:val="20"/>
                <w:lang w:val="hy-AM"/>
              </w:rPr>
            </w:pPr>
            <w:r w:rsidRPr="0053423A">
              <w:rPr>
                <w:rFonts w:eastAsia="Times New Roman" w:cs="Times New Roman"/>
                <w:sz w:val="20"/>
                <w:szCs w:val="20"/>
                <w:lang w:val="hy-AM"/>
              </w:rPr>
              <w:t>2020թ.՝ շուրջ 26500 դրամ և շուրջ 44000 դրամ,</w:t>
            </w:r>
          </w:p>
          <w:p w:rsidR="00514E01" w:rsidRPr="0053423A" w:rsidRDefault="00514E01" w:rsidP="00A67858">
            <w:pPr>
              <w:spacing w:line="276" w:lineRule="auto"/>
              <w:rPr>
                <w:rFonts w:eastAsia="Times New Roman" w:cs="Times New Roman"/>
                <w:sz w:val="20"/>
                <w:szCs w:val="20"/>
                <w:lang w:val="hy-AM"/>
              </w:rPr>
            </w:pPr>
            <w:r w:rsidRPr="0053423A">
              <w:rPr>
                <w:rFonts w:eastAsia="Times New Roman" w:cs="Times New Roman"/>
                <w:sz w:val="20"/>
                <w:szCs w:val="20"/>
                <w:lang w:val="hy-AM"/>
              </w:rPr>
              <w:t xml:space="preserve">2021թ.՝ շուրջ 27500 դրամ և շուրջ 48000 դրամ, </w:t>
            </w:r>
          </w:p>
          <w:p w:rsidR="00514E01" w:rsidRPr="0053423A" w:rsidRDefault="00514E01" w:rsidP="00A67858">
            <w:pPr>
              <w:spacing w:line="276" w:lineRule="auto"/>
              <w:rPr>
                <w:rFonts w:eastAsia="Times New Roman" w:cs="Times New Roman"/>
                <w:sz w:val="20"/>
                <w:szCs w:val="20"/>
                <w:lang w:val="hy-AM"/>
              </w:rPr>
            </w:pPr>
            <w:r w:rsidRPr="0053423A">
              <w:rPr>
                <w:rFonts w:eastAsia="Times New Roman" w:cs="Times New Roman"/>
                <w:sz w:val="20"/>
                <w:szCs w:val="20"/>
                <w:lang w:val="hy-AM"/>
              </w:rPr>
              <w:t xml:space="preserve">2022թ.՝ շուրջ 28500 դրամ և շուրջ 52000  դրամ, </w:t>
            </w:r>
          </w:p>
          <w:p w:rsidR="00514E01" w:rsidRPr="0053423A" w:rsidRDefault="00514E01" w:rsidP="00A67858">
            <w:pPr>
              <w:spacing w:line="276" w:lineRule="auto"/>
              <w:rPr>
                <w:rFonts w:eastAsia="Times New Roman" w:cs="Times New Roman"/>
                <w:sz w:val="20"/>
                <w:szCs w:val="20"/>
                <w:lang w:val="hy-AM"/>
              </w:rPr>
            </w:pPr>
            <w:r w:rsidRPr="0053423A">
              <w:rPr>
                <w:rFonts w:eastAsia="Times New Roman" w:cs="Times New Roman"/>
                <w:sz w:val="20"/>
                <w:szCs w:val="20"/>
                <w:lang w:val="hy-AM"/>
              </w:rPr>
              <w:t>2023թ.՝ շուրջ 29500 դրամ և շուրջ 57000  դրամ։</w:t>
            </w:r>
          </w:p>
          <w:p w:rsidR="00514E01" w:rsidRPr="0053423A" w:rsidRDefault="00514E01" w:rsidP="00A67858">
            <w:pPr>
              <w:spacing w:line="276" w:lineRule="auto"/>
              <w:rPr>
                <w:rFonts w:eastAsia="Times New Roman" w:cs="Times New Roman"/>
                <w:sz w:val="20"/>
                <w:szCs w:val="20"/>
                <w:lang w:val="hy-AM"/>
              </w:rPr>
            </w:pPr>
            <w:r w:rsidRPr="0053423A">
              <w:rPr>
                <w:rFonts w:eastAsia="Times New Roman" w:cs="Times New Roman"/>
                <w:sz w:val="20"/>
                <w:szCs w:val="20"/>
                <w:lang w:val="hy-AM"/>
              </w:rPr>
              <w:t>Աշխատանքային և զինվորական կենսաթոշակների, ծերության, հաշմանդամության, կերակրողին կորցնելու դեպքում նպաստների վճարման համար անհրաժեշտ լրացուցիչ միջոցները կկազմեն.</w:t>
            </w:r>
          </w:p>
          <w:p w:rsidR="00514E01" w:rsidRPr="0053423A" w:rsidRDefault="00514E01" w:rsidP="00A67858">
            <w:pPr>
              <w:spacing w:line="276" w:lineRule="auto"/>
              <w:rPr>
                <w:rFonts w:eastAsia="Times New Roman" w:cs="Times New Roman"/>
                <w:sz w:val="20"/>
                <w:szCs w:val="20"/>
                <w:lang w:val="hy-AM"/>
              </w:rPr>
            </w:pPr>
            <w:r w:rsidRPr="0053423A">
              <w:rPr>
                <w:rFonts w:eastAsia="Times New Roman" w:cs="Times New Roman"/>
                <w:sz w:val="20"/>
                <w:szCs w:val="20"/>
                <w:lang w:val="hy-AM"/>
              </w:rPr>
              <w:t>2020թ.՝ 27 մլրդ դրամ,</w:t>
            </w:r>
          </w:p>
          <w:p w:rsidR="00514E01" w:rsidRPr="0053423A" w:rsidRDefault="00514E01" w:rsidP="00A67858">
            <w:pPr>
              <w:spacing w:line="276" w:lineRule="auto"/>
              <w:rPr>
                <w:rFonts w:eastAsia="Times New Roman" w:cs="Times New Roman"/>
                <w:sz w:val="20"/>
                <w:szCs w:val="20"/>
                <w:lang w:val="hy-AM"/>
              </w:rPr>
            </w:pPr>
            <w:r w:rsidRPr="0053423A">
              <w:rPr>
                <w:rFonts w:eastAsia="Times New Roman" w:cs="Times New Roman"/>
                <w:sz w:val="20"/>
                <w:szCs w:val="20"/>
                <w:lang w:val="hy-AM"/>
              </w:rPr>
              <w:t>2021թ.՝ 28 մլրդ դրամ (2019թ. նկատմամբ՝ 55 մլրդ դրամ),</w:t>
            </w:r>
          </w:p>
          <w:p w:rsidR="00514E01" w:rsidRPr="0053423A" w:rsidRDefault="00514E01" w:rsidP="00A67858">
            <w:pPr>
              <w:spacing w:line="276" w:lineRule="auto"/>
              <w:rPr>
                <w:rFonts w:eastAsia="Times New Roman" w:cs="Times New Roman"/>
                <w:sz w:val="20"/>
                <w:szCs w:val="20"/>
                <w:lang w:val="hy-AM"/>
              </w:rPr>
            </w:pPr>
            <w:r w:rsidRPr="0053423A">
              <w:rPr>
                <w:rFonts w:eastAsia="Times New Roman" w:cs="Times New Roman"/>
                <w:sz w:val="20"/>
                <w:szCs w:val="20"/>
                <w:lang w:val="hy-AM"/>
              </w:rPr>
              <w:t>2022թ.՝ 31 մլրդ դրամ (2019թ. նկատմամբ՝ 86 մլրդ դրամ),</w:t>
            </w:r>
          </w:p>
          <w:p w:rsidR="00514E01" w:rsidRPr="0053423A" w:rsidRDefault="00514E01" w:rsidP="00A67858">
            <w:pPr>
              <w:spacing w:line="276" w:lineRule="auto"/>
              <w:rPr>
                <w:rFonts w:eastAsia="Times New Roman" w:cs="Times New Roman"/>
                <w:sz w:val="20"/>
                <w:szCs w:val="20"/>
                <w:lang w:val="hy-AM"/>
              </w:rPr>
            </w:pPr>
            <w:r w:rsidRPr="0053423A">
              <w:rPr>
                <w:rFonts w:eastAsia="Times New Roman" w:cs="Times New Roman"/>
                <w:sz w:val="20"/>
                <w:szCs w:val="20"/>
                <w:lang w:val="hy-AM"/>
              </w:rPr>
              <w:t xml:space="preserve">2023թ.՝ 34 մլրդ դրամ (2019թ. նկատմամբ՝ 120 մլրդ դրամ)։  </w:t>
            </w:r>
          </w:p>
          <w:p w:rsidR="00514E01" w:rsidRPr="0053423A" w:rsidRDefault="00514E01" w:rsidP="00A67858">
            <w:pPr>
              <w:spacing w:line="276" w:lineRule="auto"/>
              <w:rPr>
                <w:sz w:val="20"/>
                <w:szCs w:val="20"/>
                <w:lang w:val="hy-AM"/>
              </w:rPr>
            </w:pPr>
            <w:r w:rsidRPr="0053423A">
              <w:rPr>
                <w:rFonts w:eastAsia="Times New Roman" w:cs="Times New Roman"/>
                <w:sz w:val="20"/>
                <w:szCs w:val="20"/>
                <w:lang w:val="hy-AM"/>
              </w:rPr>
              <w:t>Ծայրահեղ աղքատության գծի հաշվարկման համար հիմք են ընդունվել յուրաքանչյուր տարվա պետական բյուջեի օրենքով սահմանվող` 12-ամսյա գնաճի տատանումների թույլատրելի միջակայքը` 4 +/-1.5 տոկոսային կետ  և ծայրահեղ աղքատության գծի 2019թ. կանխատեսվող մեծությունը` 25500 դրամ:</w:t>
            </w:r>
          </w:p>
        </w:tc>
      </w:tr>
      <w:tr w:rsidR="00514E01" w:rsidRPr="00DE2EFA" w:rsidTr="00BC61ED">
        <w:tc>
          <w:tcPr>
            <w:tcW w:w="630" w:type="dxa"/>
            <w:vMerge w:val="restart"/>
          </w:tcPr>
          <w:p w:rsidR="00514E01" w:rsidRPr="0053423A" w:rsidRDefault="00514E01" w:rsidP="00A67858">
            <w:pPr>
              <w:spacing w:line="276" w:lineRule="auto"/>
              <w:ind w:left="-108" w:right="-18" w:firstLine="108"/>
              <w:jc w:val="center"/>
              <w:rPr>
                <w:b/>
                <w:sz w:val="20"/>
                <w:szCs w:val="20"/>
                <w:lang w:val="hy-AM"/>
              </w:rPr>
            </w:pPr>
            <w:r w:rsidRPr="0053423A">
              <w:rPr>
                <w:b/>
                <w:sz w:val="20"/>
                <w:szCs w:val="20"/>
                <w:lang w:val="hy-AM"/>
              </w:rPr>
              <w:t>20</w:t>
            </w: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rPr>
            </w:pPr>
            <w:r w:rsidRPr="0053423A">
              <w:rPr>
                <w:rFonts w:eastAsia="Times New Roman" w:cs="Times New Roman"/>
                <w:b/>
                <w:sz w:val="20"/>
                <w:szCs w:val="20"/>
                <w:u w:val="single"/>
                <w:lang w:val="hy-AM"/>
              </w:rPr>
              <w:t xml:space="preserve">20.1 Կենսաթոշակ և դրամական այլ վճարների վերաբերյալ որոշումներ կայացնելու ընթացակարգերի վերակազմակերպում, նոր ընթացակարգերի ամրագրում ՀՀ օրենսդրությամբ և կիրարկում </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 Միջոցառման իրականացման անհրաժեշտությունը և նպատակը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Միջոցառումը նպատակ ունի կատարելագործել բնակչությանը սոցիալական ծառայությունների մատուցման ընթացակարգերը՝ բարելավելով շահառուներին մատուցվող ծառայությունների որակը, շարունակական նվազեցնել կոռուպցիոն ռիսկերը` շահառուի և որոշում ընդունողների միջև շփումը նվազագույնի հասցնելու միջոցով։</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1.1. Կարգավորման հարաբերությունների ներկա վիճակը և առկա խնդիրները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Համաձայն «Պետական կենսաթոշակների մասին» ՀՀ օրենքի և ՀՀ կառավարության 2011 թվականի մայիսի 5-ի N 665-Ն որոշման՝ կենսաթոշակների և այլ դրամական վճարների վերաբերյալ որոշումները կայացնում են  ՀՀ աշխատանքի և սոցիալական հարցերի նախարարության սոցիալական ապահովության ծառայությունը՝ տարածքային ստորաբաժանումների միջոցով։</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Գործող իրավակարգավորումների շրջանակներում առկա են հետևյալ հիմնական խնդիրները.</w:t>
            </w:r>
          </w:p>
          <w:p w:rsidR="00514E01" w:rsidRPr="0053423A" w:rsidRDefault="00514E01" w:rsidP="001F6D5D">
            <w:pPr>
              <w:numPr>
                <w:ilvl w:val="0"/>
                <w:numId w:val="182"/>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նույն օղակն է իրականացնում թե ոչ մասնագիտական գործառույթը (դիմումների հաշվառում և այլն), թե բուն մասնագիտական գործառույթը՝ կենսաթոշակների և այլ դրամական վճարների նշանակման և վճարման վերաբերյալ որոշումների կայացումը, ինչը խնդրահարույց է ռեսուրսների արդյունավետ օգտագործման տեսանկյունից,</w:t>
            </w:r>
          </w:p>
          <w:p w:rsidR="00514E01" w:rsidRPr="0053423A" w:rsidRDefault="00514E01" w:rsidP="001F6D5D">
            <w:pPr>
              <w:numPr>
                <w:ilvl w:val="0"/>
                <w:numId w:val="182"/>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տարածքային բաժինները ձևավորված են նախկին վարչատարածքային բաժանման (շրջանների) հիման վրա և արդյունքում առկա է ծանրաբեռնվածության խիստ անհավասարակշռվածություն տարբեր ստորաբաժանումների (աշխատակիցների) միջև,</w:t>
            </w:r>
          </w:p>
          <w:p w:rsidR="00514E01" w:rsidRPr="0053423A" w:rsidRDefault="00514E01" w:rsidP="001F6D5D">
            <w:pPr>
              <w:numPr>
                <w:ilvl w:val="0"/>
                <w:numId w:val="182"/>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 գործող կառուցակարգերը (սահմանված ընթացակարգերը) անհնար են դարձնում առանձին ծառայությունների (գործառույթների) պատվիրակումը մասնավոր հատվածին և այլն։ </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Հաշվի առնելով վերը նշվածը՝ նախատեսվում է վերակազմակերպել կենսաթոշակների և այլ դրամական վճարների վերաբերյալ որոշումներ կայացնելու ընթացակարգերը։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Մասնավորապես, Ծառայության կողմից իրականացվող վարչարարության արդյունավետությունը բարելավելու նպատակով առաջարկվում է Ծառայության տարածքային բաժինների փոխարեն ձևավորել սպասարկման գրասենյակներ, որտեղ իրականացվելու է դիմումների հաշվառման, ոչ մասնագիտական ծառայությունների մատուցման գործընթացը (օրինակ՝ վճարման եղանակի փոփոխություն կամ լիազորագրով կենսաթոշակի վճարում) և կենսաթոշակների և այլ դրամական վճարների նշանակման կենտրոններ (որտեղ կայացվելու են կենսաթոշակ կամ այլ դրամական վճար նշանակելու վերաբերյալ որոշումները)։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Ըստ այդմ, նախատեսվում է.</w:t>
            </w:r>
          </w:p>
          <w:p w:rsidR="00514E01" w:rsidRPr="0053423A" w:rsidRDefault="00514E01" w:rsidP="001F6D5D">
            <w:pPr>
              <w:numPr>
                <w:ilvl w:val="0"/>
                <w:numId w:val="183"/>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իրականացնել նոր ընթացակարգերի կիրարկման փորձնական ծրագիր և փորձնական ծրագրի արդյունքների հաշվառմամբ՝ լրամշակել ընթացակարգերը,</w:t>
            </w:r>
          </w:p>
          <w:p w:rsidR="00514E01" w:rsidRPr="0053423A" w:rsidRDefault="00514E01" w:rsidP="001F6D5D">
            <w:pPr>
              <w:numPr>
                <w:ilvl w:val="0"/>
                <w:numId w:val="183"/>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փոփոխություններ կատարել ՀՀ կառավարության 2011 թվականի մայիսի 5-ի N 665-Ն որոշման մեջ՝  նոր ընթացակարգերն ամրագրելով ՀՀ օրենսդրությամբ,</w:t>
            </w:r>
          </w:p>
          <w:p w:rsidR="00514E01" w:rsidRPr="0053423A" w:rsidRDefault="00514E01" w:rsidP="001F6D5D">
            <w:pPr>
              <w:numPr>
                <w:ilvl w:val="0"/>
                <w:numId w:val="183"/>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համապատասխան փոփոխություններ կատարել ՀՀ աշխատանքի և սոցիալական հարցերի նախարարի 2018 թվականի հունիսի 14-ի N 74-Լ հրամանում՝ Ծառայության կառուցվածքը համապատասխանեցնելով նոր իրողություններին,</w:t>
            </w:r>
          </w:p>
          <w:p w:rsidR="00514E01" w:rsidRPr="0053423A" w:rsidRDefault="00514E01" w:rsidP="001F6D5D">
            <w:pPr>
              <w:numPr>
                <w:ilvl w:val="0"/>
                <w:numId w:val="183"/>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հաստատել Սպասարկման կենտրոնների և նշանակման կենտրոնների կանոնադրությունները՝ տարանջատելով սպասարկման գրասենյակների և նշանակման կենտրոնների գործառույթները (լիազորությունները, պատասխանատվության շրջանակը),</w:t>
            </w:r>
          </w:p>
          <w:p w:rsidR="00514E01" w:rsidRPr="0053423A" w:rsidRDefault="00514E01" w:rsidP="001F6D5D">
            <w:pPr>
              <w:numPr>
                <w:ilvl w:val="0"/>
                <w:numId w:val="183"/>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համապատասխան փոփոխություններ կատարել «Էլեկտրոնային կենսաթոշակ» ՏՀ-ում։</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Միջոցառման արդյունքում ակնկալվում է.</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մասնագիտական ներուժի համախմբման միջոցով բարելավել կայացվող որոշումների իրավաչափությունը,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ձևավորել նախապայմաններ՝ առանձին գործառույթներ պատվիրակելու միջոցով իրականացնելու համար։</w:t>
            </w:r>
          </w:p>
          <w:p w:rsidR="00514E01" w:rsidRPr="0053423A" w:rsidRDefault="00514E01" w:rsidP="00A67858">
            <w:pPr>
              <w:spacing w:line="276" w:lineRule="auto"/>
              <w:rPr>
                <w:sz w:val="20"/>
                <w:szCs w:val="20"/>
                <w:lang w:val="hy-AM"/>
              </w:rPr>
            </w:pPr>
            <w:r w:rsidRPr="0053423A">
              <w:rPr>
                <w:rFonts w:eastAsia="Times New Roman" w:cs="Times New Roman"/>
                <w:sz w:val="20"/>
                <w:szCs w:val="20"/>
                <w:lang w:val="hy-AM"/>
              </w:rPr>
              <w:t>Ծառայության 51 տարածքային բաժինների փոխարեն ձևավորել շուրջ 50 սպասարկման գրասենյակներ և շուրջ 10 կենսաթոշակների և այլ դրամական վճարների նշանակման կենտրոններ։</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rPr>
            </w:pPr>
            <w:r w:rsidRPr="0053423A">
              <w:rPr>
                <w:rFonts w:eastAsia="Times New Roman" w:cs="Times New Roman"/>
                <w:b/>
                <w:sz w:val="20"/>
                <w:szCs w:val="20"/>
                <w:u w:val="single"/>
                <w:lang w:val="hy-AM"/>
              </w:rPr>
              <w:t xml:space="preserve">20.2 «ՀՀ կառավարության 2014 թվականի մարտի 6-ի N 275-Ն որոշման մեջ փոփոխություն և լրացումներ կատարելու մասին» ՀՀ կառավարության որոշման նախագծի Վարչապետի աշխատակազմ ներկայացում </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 Միջոցառման իրականացման անհրաժեշտությունը և նպատակը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Նախագիծը նպատակ ունի կատարելագործել բնակչությանը սոցիալական ծառայությունների մատուցման ընթացակարգերը՝ բարելավելով շահառուներին մատուցվող ծառայությունների որակը, շարունակական նվազեցնել կոռուպցիոն ռիսկերը` շահառուի և որոշում ընդունողների միջև շփումը նվազագույնի հասցնելու միջոցով։</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1.1. կարգավորման հարաբերությունների ներկա վիճակը և առկա խնդիրները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Համաձայն «Պետական նպաստների մասին» ՀՀ օրենքի՝ ՀՀ կառավարության 2014 թվականի մարտի 6-ի N 275-Ն որոշմամբ սահմանված է երեխայի ծննդյան միանվագ նպաստ նշանակելու և վճարելու պայմաններն ու կարգը, այդ թվում՝ նպաստ նշանակելու համար անհրաժեշտ փաստաթղթերի ցանկը։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Հարկ է նաև նկատի ունենալ, որ նախընթաց ժամանակահատվածում մշակվել և գործարկվել է երեխայի ծննդյան միանվագ նպաստը առցանց դիմումի հիման վրա նշանակելն ու վճարելն ապահովող ենթահամակարգ (եթե երեխայի ծնունդը գրանցել է ՀՀ ՔԿԱԳ մարմինը), որի շրջանակներում նպաստը, անկախ երեխայի կարգաթվից, նշանակվում և վճարվում է առանց որևէ փաստաթուղթ ներկայացնելու՝ ընդունելով այլ տեղեկատվական համակարգերից ստացված տվյալները։</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Հաշվի առնելով վերը նշվածը՝ նախատեսվում է համապատասխան փոփոխություններ կատարել ՀՀ կառավարության 2014 թվականի մարտի 6-ի N 275-Ն որոշման մեջ՝ վերացնելով երեխայի ծննդյան միանվագ նպաստ նշանակելու համար փաստաթուղթ ներկայացնելու պահանջը։</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Միջոցառման արդյունքում ակնկալվում է վերացնել Երեխայի ծննդյան միանվագ նպաստ նշանակելու համար փաստաթուղթ ներկայացնելու պահանջը (եթե երեխայի ծնունդը գրանցել է ՀՀ ՔԿԱԳ մարմինը) և թեթևացնել շահառուների վարչական բեռը։</w:t>
            </w:r>
          </w:p>
          <w:p w:rsidR="00514E01" w:rsidRPr="0053423A" w:rsidRDefault="00514E01" w:rsidP="00A67858">
            <w:pPr>
              <w:spacing w:line="276" w:lineRule="auto"/>
              <w:rPr>
                <w:sz w:val="20"/>
                <w:szCs w:val="20"/>
                <w:lang w:val="hy-AM"/>
              </w:rPr>
            </w:pP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rPr>
            </w:pPr>
            <w:r w:rsidRPr="0053423A">
              <w:rPr>
                <w:rFonts w:eastAsia="Times New Roman" w:cs="Times New Roman"/>
                <w:b/>
                <w:sz w:val="20"/>
                <w:szCs w:val="20"/>
                <w:u w:val="single"/>
                <w:lang w:val="hy-AM"/>
              </w:rPr>
              <w:t>20.3 Գործատուների մոտ գտնվող Ա</w:t>
            </w:r>
            <w:r w:rsidRPr="0053423A">
              <w:rPr>
                <w:rFonts w:eastAsia="Times New Roman" w:cs="Times New Roman"/>
                <w:b/>
                <w:sz w:val="20"/>
                <w:szCs w:val="20"/>
                <w:u w:val="single"/>
                <w:lang w:val="af-ZA"/>
              </w:rPr>
              <w:t>շխատանքային գրքույկների թվայնաց</w:t>
            </w:r>
            <w:r w:rsidRPr="0053423A">
              <w:rPr>
                <w:rFonts w:eastAsia="Times New Roman" w:cs="Times New Roman"/>
                <w:b/>
                <w:sz w:val="20"/>
                <w:szCs w:val="20"/>
                <w:u w:val="single"/>
                <w:lang w:val="hy-AM"/>
              </w:rPr>
              <w:t xml:space="preserve">ում </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 Միջոցառման իրականացման անհրաժեշտությունը և նպատակը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Միջոցառումը նպատակ ունի կատարելագործել բնակչությանը սոցիալական ծառայությունների մատուցման ընթացակարգերը՝ բարելավելով շահառուներին մատուցվող ծառայությունների որակը։</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1.1. Կարգավորման հարաբերությունների ներկա վիճակը և առկա խնդիրները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«Հայաստանի Հանրապետության աշխատանքային օրենսգրքում փոփոխություն կատարելու մասին» Հայաստանի Հանրապետության 2015 թվականի հունիսի 22-ի ՀՕ-96-Ն օրենքի 57-րդ հոդվածի 2-րդ մասի  համաձայն՝ վերացվել է աշխատանքային գրքույկների պարտադիր կիրառությունը։ Ըստ այդմ, հիմնական աշխատավայրի գործատուն պարտավոր է Հայաստանի Հանրապետության կառավարության սահմանած կարգով իր մոտ վարվող աշխատանքային գրքույկները ներկայացնել ՀՀ կառավարության լիազորած պետական կառավարման մարմին՝ ՀՀ աշխատանքի և սոցիալական հարցերի նախարարության սոցիալական ապահովության ծառայություն` աշխատանքային գրքույկում առկա տեղեկատվությունը պետական կենսաթոշակային համակարգի տվյալների շտեմարան ներառելու նպատակով:</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2017-2018թթ. թվայնացվել են գործատուների մոտ գտնվող Աշխատանքային գրքույկների մի մասը միայն։</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Հաշվի առնելով վերը նշվածը՝ նախատեսվում է շարունակել և ավարտին գործատուների մոտ գտնվող աշխատանքային գրքույկները սոցիալական ապահովության ծառայություն ներկայացնելու և սկանավորելու գործընթացը։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Գործատուների մոտ գտնվող աշխատանքային գրքույկները թվայնացնելու (սկանավորելու) համար անհրաժեշտ միջոցները կազմում են շուրջ 73 մլն. դրամ:</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Times New Roman" w:cs="Times New Roman"/>
                <w:sz w:val="20"/>
                <w:szCs w:val="20"/>
                <w:lang w:val="hy-AM"/>
              </w:rPr>
              <w:t>Միջոցառման արդյունքում ակնկալվում է թվայնացնել գործատուների մոտ գտնվող աշխատանքային գրքույկները և գրքույկում առկա տեղեկատվությունը ներառել պետական կենսաթոշակային համակարգի տվյալների շտեմարան, ինչը հնարավորություն կտա ունենալ անձանց աշխատանքային գործունեության՝ մինչև 2013թ. ընկած ժամանակահատվածի վերաբերյալ հավաստի տեղեկատվություն՝ բացառելով ոչ իրավաչափ փաստաթղթերի հիման վրա կենսաթոշակ նշանակելու հավանականությունը և նվազեցնելով կոռուպցիոն ռիսկերը։</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rPr>
            </w:pPr>
            <w:r w:rsidRPr="0053423A">
              <w:rPr>
                <w:rFonts w:eastAsia="Times New Roman" w:cs="Times New Roman"/>
                <w:b/>
                <w:sz w:val="20"/>
                <w:szCs w:val="20"/>
                <w:u w:val="single"/>
                <w:lang w:val="hy-AM"/>
              </w:rPr>
              <w:t>20.4 Կենսաթոշակների, ծերության, հաշմանդամության, կերակրողին կորցնելու դեպ¬քում, մայրության, երեխայի ծննդյան միանվագ, մինչև 2 տարեկան երեխայի խնամքի նպաստների բնագավառում ռիսկերի վրա հիմնված վերահսկողության համակարգի մոդելի կիրարկում</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1. Միջոցառման իրականացման անհրաժեշտությունը և նպատակը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Միջոցառումը նպատակ ունի նվազեցնել ծե</w:t>
            </w:r>
            <w:r w:rsidRPr="0053423A">
              <w:rPr>
                <w:rFonts w:eastAsia="Times New Roman" w:cs="Times New Roman"/>
                <w:sz w:val="20"/>
                <w:szCs w:val="20"/>
                <w:lang w:val="hy-AM"/>
              </w:rPr>
              <w:softHyphen/>
              <w:t>րության, հաշմանդամության, կերակրողին կորցնելու դեպ</w:t>
            </w:r>
            <w:r w:rsidRPr="0053423A">
              <w:rPr>
                <w:rFonts w:eastAsia="Times New Roman" w:cs="Times New Roman"/>
                <w:sz w:val="20"/>
                <w:szCs w:val="20"/>
                <w:lang w:val="hy-AM"/>
              </w:rPr>
              <w:softHyphen/>
              <w:t>քում, մայրության, երեխայի ծննդյան միանվագ, մինչև 2 տարեկան երեխայի խնամքի նպաստների բնագավառներում առկա կոռուպցիոն ռիսկերը և, ռիսկերի վրա հիմնված վերահսկողության համակարգի անցում կատարելու միջոցով բարձրացնել ՀՀ պետական բյուջեի ծախսերի հասցեականությունը։</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1.1. Կարգավորման հարաբերությունների ներկա վիճակը և առկա խնդիրները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Տարեցտարի աճում են սոցիալական ապահովության ծրագրերին ուղղվող բյուջետային միջոցները: Մասնավորապես, ՀՀ աշխատանքի և սոցիալական հարցերի նախարարության սոցիալական ապահովության ծառայության միջոցով տրամադրվող գումարները՝ կազմել են 2014 թվականին՝ 250,051,278.3 հազ. դրամ, 2015 թվականին՝ 285,966,371.8 հազ. դրամ, 2016 թվականին՝ 293,340,730.0 հազ. դրամ, 2017 թվականին՝ 291,775,171.1 հազ. դրամ։</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Ակնհայտ է, որ վերը նշված ծավալների պարագայում անհնար է միայն վարչական մեթոդներով արդյունավետ կերպով կառավարել առկա ռիսկերը։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Հաշվի առնելով վերը նշվածը՝ նախատեսվում է հզորացնել ՀՀ աշխատանքի և սոցիալական հարցերի նախարարության սոցիալական ապահովության ծառայության աշխատակազմի վերլուծական կարողությունները՝ անցում կատարելով ռիսկերի վրա հիմնված վերահսկողության համակարգի։</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Նախընթաց ժամանակահատվածում ձևավորվել են վերը նշվածի իրականացման համար բավարար նախապայմաններ: Մասնավորապես, կատարվել են կենսաթոշակների և նպաստների նշանակման և վճարման գործընթացների արդյունավետությունն ապահովող օրենսդրական փոփոխությունները, կատարելագործվել է «Էլեկտրոնային կենսաթոշակ» տեղեկատվական համակարգը, որի շրջանակներում կիրառվող տեխնոլոգիաներն ու առաջադրված լուծումները բավարար հիմքեր են ստեղծել շահառուներին մատուցվող ծառայությունները որակական նոր հարթություն տեղափոխելու, պետական կենսաթոշակային ապահովության և նպաստների ոլորտի կառավարման համակարգի արդյունավետությունը բարձրացնելու համար:</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1.2. Առկա խնդիրների առաջարկվող լուծումները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Կենսաթոշակային ապահովության և պետական նպաստների բնագավառի կառավարման համակարգի արդյունավետության հետագա բարելավումը ենթադրում է անցում կատարել ռիսկերի վրա հիմնված վերահսկողության համակարգի:</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Ըստ այդմ, նախատեսվում է իրականացնել հետևյալ աշխատանքները`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1) նկարագրել ռիսկերի կառավարման ինստիտուցիոնալ շրջանակը,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2) սահմանել ռիսկերի կառավարման գործընթացի փուլերը  և նկարագրել այդ փուլերից յուրաքանչյուրը,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3) նկարագրել ռիսկերի բացահայտման և կառավարման համար անհրաժեշտ, ինչպես նաև ռիսկերի հավանականության աստիճանի գնահատման համար անհրաժեշտ ցուցանիշները և ցուցիչները, ինչպես նաև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4) նկարագրել անհրաժեշտ ցուցանիշների ու ցուցիչների ստացման պարբերականությունը և ընթացակարգերը, ստացվող հաշվետվությունները և դրանցում առկա տեղեկատվության կազմն ու բովանդակությունը),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5) նկարագրել ՌԿԵ-ի տեղեկատվական բաղադրիչը (այդ թվում` «Էլեկտրոնային կենսաթոշակ» տեղեկատվական համակարգում անհրաժեշտ փոփոխությունները) և մշակել Էլեկտրոնային կենսաթոշակ տեղեկատվական համակարգում նախատեսվող փոփոխությունների տեխնիկական առաջադրանքը,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6)  մշակել ՌԿԵ կիրարկումն ապահովող իրավական ակտի նախագիծ:</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Times New Roman" w:cs="Times New Roman"/>
                <w:sz w:val="20"/>
                <w:szCs w:val="20"/>
                <w:lang w:val="hy-AM"/>
              </w:rPr>
              <w:t>Միջացառման արդյունքում կներդրվի Հայաստանի Հանրապետության կենսաթոշակային ապահովության, մայրության, երեխայի ծննդյան միանվագ և խնամքի նպաստների ոլորտների գործառնական ռիսկերի կառավարման ենթահամակարգ:</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rPr>
            </w:pPr>
            <w:r w:rsidRPr="0053423A">
              <w:rPr>
                <w:rFonts w:eastAsia="Times New Roman" w:cs="Times New Roman"/>
                <w:b/>
                <w:sz w:val="20"/>
                <w:szCs w:val="20"/>
                <w:u w:val="single"/>
                <w:lang w:val="hy-AM"/>
              </w:rPr>
              <w:t xml:space="preserve">20.5 Պետական կենսաթոշակային համակարգի տվյալների շտեմարանում դիմումը մերժելու դեպքում՝ մերժման մասին ծանուցումը (ներառյալ՝ պատճառները) ինքնաշխատ եղանակով ձևավորելու, խնամքի նպաստը նշանակելու կամ մերժելու վերաբերյալ տեղեկատվությունը գործատուի էլեկտրոնային փոստի հասցեին ուղարկելու  ենթահամակարգի մշակում և գործարկում </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 Միջոցառման իրականացման անհրաժեշտությունը և նպատակը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Միջոցառումը նպատակ ունի կատարելագործել բնակչությանը սոցիալական ծառայությունների մատուցման ընթացակարգերը՝ բարելավելով շահառուներին մատուցվող ծառայությունների որակը, շարունակական նվազեցնել կոռուպցիոն ռիսկերը։</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1.1. Կարգավորման հարաբերությունների ներկա վիճակը և առկա խնդիրները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Ներկայումս կենսաթոշակների, ծե</w:t>
            </w:r>
            <w:r w:rsidRPr="0053423A">
              <w:rPr>
                <w:rFonts w:eastAsia="Times New Roman" w:cs="Times New Roman"/>
                <w:sz w:val="20"/>
                <w:szCs w:val="20"/>
                <w:lang w:val="hy-AM"/>
              </w:rPr>
              <w:softHyphen/>
              <w:t>րության, հաշմանդամության, կերակրողին կորցնելու դեպ</w:t>
            </w:r>
            <w:r w:rsidRPr="0053423A">
              <w:rPr>
                <w:rFonts w:eastAsia="Times New Roman" w:cs="Times New Roman"/>
                <w:sz w:val="20"/>
                <w:szCs w:val="20"/>
                <w:lang w:val="hy-AM"/>
              </w:rPr>
              <w:softHyphen/>
              <w:t>քում, մայրության, երեխայի ծննդյան միանվագ, մինչև 2 տարեկան երեխայի խնամքի նպաստների նշանակում ու վճարումն իրականացվում է «Էլեկտրոնային կենսաթոշակ» տեղեկատվական համակարգի միջոցով։</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Արդյունքում էապես բարելավվել է ոլորտի կառավարման համակարգի արդյունավետությունը՝ բավարար նախապայմաններ ստեղծելով շահառուներին մատուցվող ծառայությունները որակական նոր հարթություն տեղափոխելու համար։</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Մասնավորապես, «Էլեկտրոնային կենսաթոշակ» տեղեկատվական համակարգում.</w:t>
            </w:r>
          </w:p>
          <w:p w:rsidR="00514E01" w:rsidRPr="0053423A" w:rsidRDefault="00514E01" w:rsidP="001F6D5D">
            <w:pPr>
              <w:numPr>
                <w:ilvl w:val="0"/>
                <w:numId w:val="184"/>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անձի նույնականացումն իրականացվում է բնակչության պետական ռեգիստրի տվյալների հիման վրա,</w:t>
            </w:r>
          </w:p>
          <w:p w:rsidR="00514E01" w:rsidRPr="0053423A" w:rsidRDefault="00514E01" w:rsidP="001F6D5D">
            <w:pPr>
              <w:numPr>
                <w:ilvl w:val="0"/>
                <w:numId w:val="184"/>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ինքնաշխատ եղանակով է իրականացվում աշխատանքային ստաժի տևողության հաշվարկը՝ հիմք ընդունելով աշխատանքային գործունեության ժամանակահատվածի սկիզբը և ավարտը, ինչպես նաև գործունեության ժամանակահատվածի բնույթը,</w:t>
            </w:r>
          </w:p>
          <w:p w:rsidR="00514E01" w:rsidRPr="0053423A" w:rsidRDefault="00514E01" w:rsidP="001F6D5D">
            <w:pPr>
              <w:numPr>
                <w:ilvl w:val="0"/>
                <w:numId w:val="184"/>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անձի բնակության (հաշվառման) վայրի հասցեի, մահվան  վերաբերյալ տեղեկատվությունը կիրառվում է ինքնաշխատ եղանակով,</w:t>
            </w:r>
          </w:p>
          <w:p w:rsidR="00514E01" w:rsidRPr="0053423A" w:rsidRDefault="00514E01" w:rsidP="001F6D5D">
            <w:pPr>
              <w:numPr>
                <w:ilvl w:val="0"/>
                <w:numId w:val="184"/>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ավտոմատացված են կենսաթոշակի իրավունքը որոշելու ընթացակարգերը՝ հիմք ընդունելով բնակչության պետական ռեգիստրից ներբեռնված՝ անձի ծննդյան օրվա (տարիքի) վերաբերյալ տվյալները, աշխատանքային ստաժի տևողությունը և աշխատանքային գործունեության ժամանակահատվածի բնույթը,</w:t>
            </w:r>
          </w:p>
          <w:p w:rsidR="00514E01" w:rsidRPr="0053423A" w:rsidRDefault="00514E01" w:rsidP="001F6D5D">
            <w:pPr>
              <w:numPr>
                <w:ilvl w:val="0"/>
                <w:numId w:val="184"/>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հնարավորինս ավտոմատացված են վճարման ցուցակների ձևավորման գործընթացը և այլն։</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Միաժամանակ, համաձայն ՀՀ կառավարության 2015 թվականի դեկտեմբերի 29-ի N 1566-Ն որոշմաբ հաստատված կարգի՝ եթե խնամքի նպաստի դիմումը մերժվում է խնամքի արձակուրդի մասին տեղեկատվության բացակայության հիմքով կամ անձին նշանակվում է նպաստ, ապա տարածքային բաժինը դիմումը մերժելու կամ նպաստ նշանակելու մասին որոշում ընդունելու օրվանից հետո 15 օրվա ընթացքում գրությամբ տեղեկացնում է գործատուին (գործատուներին): Գրության օրինակելի ձևը սահմանում է ծառայությունը: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Հարկ է նկատի ունենալ, որ խնդրո առարկա գրությունն ամբողջությամբ ձևավորվում է ինքնաշխատ եղանակով։</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Սակայն հարկ է նկատի ունենալ, որ դեռևս ոչ բոլոր գործառույթներն են ավտոմատացված։</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Մասնավորապես, ինքնաշխատ եղանակով է ձևավորվում դիմումը մերժելու մասին ծանուցումը (ներառյալ՝ պատճառները) խնամքի նպաստի դիմումի դեպքում (կենսաթոշակի, այլ նպաստների դեպքում մերժման մասին ծանուցումը, ներառյալ՝ պատճառները, ձևավորում է աշխատակիցը)։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Իսկ խնամքի նպաստի դեպքում գրությունը գործատուին է առաքվում փոստով, թղթային եղանակով, չնայած այն հանգամանքին, որ արդեն իսկ հասանելի է  գործատուի էլեկտրոնային փոստի պարտադիր հասցե, որին կարող է առաքվել  մերժման մասին ծանուցման էլեկտրոնային տարբերակը։</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Հաշվի առնելով վերը նշվածը՝ առաջարկվում է կատարելագործել «Էլեկտրոնային կենսաթոշակ» տեղեկատվական համակարգը։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Մասնավորապես, նախատեսվում է՝</w:t>
            </w:r>
          </w:p>
          <w:p w:rsidR="00514E01" w:rsidRPr="0053423A" w:rsidRDefault="00514E01" w:rsidP="001F6D5D">
            <w:pPr>
              <w:numPr>
                <w:ilvl w:val="0"/>
                <w:numId w:val="185"/>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մշակել և ներդնել կենսաթոշակ, ծե</w:t>
            </w:r>
            <w:r w:rsidRPr="0053423A">
              <w:rPr>
                <w:rFonts w:eastAsia="Times New Roman" w:cs="Times New Roman"/>
                <w:sz w:val="20"/>
                <w:szCs w:val="20"/>
                <w:lang w:val="hy-AM"/>
              </w:rPr>
              <w:softHyphen/>
              <w:t>րության, հաշմանդամության, կերակրողին կորցնելու դեպ</w:t>
            </w:r>
            <w:r w:rsidRPr="0053423A">
              <w:rPr>
                <w:rFonts w:eastAsia="Times New Roman" w:cs="Times New Roman"/>
                <w:sz w:val="20"/>
                <w:szCs w:val="20"/>
                <w:lang w:val="hy-AM"/>
              </w:rPr>
              <w:softHyphen/>
              <w:t>քում, մայրության, երեխայի ծննդյան միանվագ, մինչև 2 տարեկան երեխայի խնամքի նպաստների դիմումը մերժելու մասին ծանուցումը (ներառյալ՝ պատճառները) ինքնաշխատ եղանակով ձևավորելու մոդուլ,</w:t>
            </w:r>
          </w:p>
          <w:p w:rsidR="00514E01" w:rsidRPr="0053423A" w:rsidRDefault="00514E01" w:rsidP="001F6D5D">
            <w:pPr>
              <w:numPr>
                <w:ilvl w:val="0"/>
                <w:numId w:val="185"/>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մշակել և ներդնել խնամքի նպաստը նշանակելու կամ մերժելու վերաբերյալ տեղեկատվությունը գործատուի էլեկտրոնային փոստի հասցեին ուղարկելու  ենթահամակարգ։</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Times New Roman" w:cs="Times New Roman"/>
                <w:sz w:val="20"/>
                <w:szCs w:val="20"/>
                <w:lang w:val="hy-AM"/>
              </w:rPr>
              <w:t>Միջոցառման արդյունքում ակնկալվում է բարելավել տարածքային ստորաբաժանումների աշխատանքների արդյունավետությունը՝ էապես նվազեցնելով կոռուպցիոն ռիսկերն ու ապահովելով անձանց իրավունքների իրականացումը։</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rPr>
            </w:pPr>
            <w:r w:rsidRPr="0053423A">
              <w:rPr>
                <w:rFonts w:eastAsia="Times New Roman" w:cs="Times New Roman"/>
                <w:b/>
                <w:sz w:val="20"/>
                <w:szCs w:val="20"/>
                <w:u w:val="single"/>
                <w:lang w:val="hy-AM"/>
              </w:rPr>
              <w:t xml:space="preserve">20.6 Բանկերի հետ </w:t>
            </w:r>
            <w:r w:rsidRPr="0053423A">
              <w:rPr>
                <w:rFonts w:ascii="Calibri" w:eastAsia="Times New Roman" w:hAnsi="Calibri" w:cs="Calibri"/>
                <w:b/>
                <w:sz w:val="20"/>
                <w:szCs w:val="20"/>
                <w:u w:val="single"/>
                <w:lang w:val="hy-AM"/>
              </w:rPr>
              <w:t> </w:t>
            </w:r>
            <w:r w:rsidRPr="0053423A">
              <w:rPr>
                <w:rFonts w:eastAsia="Times New Roman" w:cs="Times New Roman"/>
                <w:b/>
                <w:sz w:val="20"/>
                <w:szCs w:val="20"/>
                <w:u w:val="single"/>
                <w:lang w:val="hy-AM"/>
              </w:rPr>
              <w:t xml:space="preserve">միանվագ դրամական վճարների և սոցիալական ապահովության հաշիվների վերաբերյալ  տեղեկատվության ինքնաշխատ եղանակով փոխանակության համակարգի  մշակում և գործարկում </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1. Միջոցառման իրականացման անհրաժեշտությունը և նպատակը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Միջոցառումը պայմանավորված է բնակչությանը սոցիալական ծառայությունների մատուցման ընթացակարգերը կատարելագործելու անհրաժեշտությամբ և նպատակ ունի ավտոմատացնել որոշումների կայացման գործընթացը, ինչպես նաև բարելավել շահառուներին մատուցվող ծառայությունների որակը և կենսաթոշակային ապահովության, պետական նպաստների բնագավառի կառավարման համակարգի արդյունավետությունը։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b/>
                <w:sz w:val="20"/>
                <w:szCs w:val="20"/>
                <w:lang w:val="hy-AM"/>
              </w:rPr>
              <w:t>1.1. Կարգավորման հարաբերությունների ներկա վիճակը և առկա խնդիրները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Ներկայումս կենսաթոշակների, ծե</w:t>
            </w:r>
            <w:r w:rsidRPr="0053423A">
              <w:rPr>
                <w:rFonts w:eastAsia="Times New Roman" w:cs="Times New Roman"/>
                <w:sz w:val="20"/>
                <w:szCs w:val="20"/>
                <w:lang w:val="hy-AM"/>
              </w:rPr>
              <w:softHyphen/>
              <w:t>րության, հաշմանդամության, կերակրողին կորցնելու դեպ</w:t>
            </w:r>
            <w:r w:rsidRPr="0053423A">
              <w:rPr>
                <w:rFonts w:eastAsia="Times New Roman" w:cs="Times New Roman"/>
                <w:sz w:val="20"/>
                <w:szCs w:val="20"/>
                <w:lang w:val="hy-AM"/>
              </w:rPr>
              <w:softHyphen/>
              <w:t>քում, մայրության, երեխայի ծննդյան միանվագ, մինչև 2 տարեկան երեխայի խնամքի նպաստների նշանակում ու վճարումն իրականացվում է «Էլեկտրոնային կենսաթոշակ» տեղեկատվական համակարգի միջոցով։</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Արդյունքում էապես բարելավվել է ոլորտի կառավարման համակարգի արդյունավետությունը՝ բավարար նախապայմաններ ստեղծելով շահառուներին մատուցվող ծառայությունները որակական նոր հարթություն տեղափոխելու համար։</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Սակայն հարկ է նկատի ունենալ, որ դեռևս ոչ բոլոր գործառույթներն են ավտոմատացված։</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Դեռևս ինքնաշխատ եղանակով չի իրականացվում բանկերի հետ տեղեկատվության փոխանակության և այդ տեղեկատվությունը «Էլեկտրոնային կենսաթոշակ» տեղեկատվական համակարգում կիրառելու ընթացակարգերը։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Վերը նշվածն էական խոչընդոտ է հանդիսանում սոցիալական ծառայությունների մատուցման ընթացակարգերը կատարելագործելու ճանապարհին։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Մասնավորապես, հնարավոր չէ ապահովել առցանց դիմումի հիման վրա վճարման եղանակի (բանկի) ընտրության հնարավորությունը։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Միաժամանակ, ներդրվել և կիրարկվում է թաղման նպաստը առցանց դիմումի հիման վրա բանկի միջոցով վճարելու ընթացակարգ։ Այն էապես կրճատել է թաղման նպաստի ժամկետները, սակայն դեռևս ամբողջությամբ չեն բավարարում շահառուների կարիքներին, քանի որ թաղման արարողությունը ենթադրում է անհետաձգելի ծախսեր։ Ընդ որում, խնդրո առարկա ժամկետի հետագա կրճատումը ևս փոխկապակցված է բանկերի հետ տեղեկատվության փոխանակության ինքնաշխատ համակարգի ներդրամանը։</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Հաշվի առնելով վերը նշվածը՝ առաջարկվում է մշակել և ներդնել (գործարկել) բանկերի հետ </w:t>
            </w:r>
            <w:r w:rsidRPr="0053423A">
              <w:rPr>
                <w:rFonts w:ascii="Calibri" w:eastAsia="Times New Roman" w:hAnsi="Calibri" w:cs="Calibri"/>
                <w:sz w:val="20"/>
                <w:szCs w:val="20"/>
                <w:lang w:val="hy-AM"/>
              </w:rPr>
              <w:t> </w:t>
            </w:r>
            <w:r w:rsidRPr="0053423A">
              <w:rPr>
                <w:rFonts w:eastAsia="Times New Roman" w:cs="GHEA Grapalat"/>
                <w:sz w:val="20"/>
                <w:szCs w:val="20"/>
                <w:lang w:val="hy-AM"/>
              </w:rPr>
              <w:t>միանվագ</w:t>
            </w:r>
            <w:r w:rsidRPr="0053423A">
              <w:rPr>
                <w:rFonts w:eastAsia="Times New Roman" w:cs="Times New Roman"/>
                <w:sz w:val="20"/>
                <w:szCs w:val="20"/>
                <w:lang w:val="hy-AM"/>
              </w:rPr>
              <w:t xml:space="preserve"> </w:t>
            </w:r>
            <w:r w:rsidRPr="0053423A">
              <w:rPr>
                <w:rFonts w:eastAsia="Times New Roman" w:cs="GHEA Grapalat"/>
                <w:sz w:val="20"/>
                <w:szCs w:val="20"/>
                <w:lang w:val="hy-AM"/>
              </w:rPr>
              <w:t>դրամական</w:t>
            </w:r>
            <w:r w:rsidRPr="0053423A">
              <w:rPr>
                <w:rFonts w:eastAsia="Times New Roman" w:cs="Times New Roman"/>
                <w:sz w:val="20"/>
                <w:szCs w:val="20"/>
                <w:lang w:val="hy-AM"/>
              </w:rPr>
              <w:t xml:space="preserve"> </w:t>
            </w:r>
            <w:r w:rsidRPr="0053423A">
              <w:rPr>
                <w:rFonts w:eastAsia="Times New Roman" w:cs="GHEA Grapalat"/>
                <w:sz w:val="20"/>
                <w:szCs w:val="20"/>
                <w:lang w:val="hy-AM"/>
              </w:rPr>
              <w:t>վճարների</w:t>
            </w:r>
            <w:r w:rsidRPr="0053423A">
              <w:rPr>
                <w:rFonts w:eastAsia="Times New Roman" w:cs="Times New Roman"/>
                <w:sz w:val="20"/>
                <w:szCs w:val="20"/>
                <w:lang w:val="hy-AM"/>
              </w:rPr>
              <w:t xml:space="preserve"> </w:t>
            </w:r>
            <w:r w:rsidRPr="0053423A">
              <w:rPr>
                <w:rFonts w:eastAsia="Times New Roman" w:cs="GHEA Grapalat"/>
                <w:sz w:val="20"/>
                <w:szCs w:val="20"/>
                <w:lang w:val="hy-AM"/>
              </w:rPr>
              <w:t>և</w:t>
            </w:r>
            <w:r w:rsidRPr="0053423A">
              <w:rPr>
                <w:rFonts w:eastAsia="Times New Roman" w:cs="Times New Roman"/>
                <w:sz w:val="20"/>
                <w:szCs w:val="20"/>
                <w:lang w:val="hy-AM"/>
              </w:rPr>
              <w:t xml:space="preserve"> </w:t>
            </w:r>
            <w:r w:rsidRPr="0053423A">
              <w:rPr>
                <w:rFonts w:eastAsia="Times New Roman" w:cs="GHEA Grapalat"/>
                <w:sz w:val="20"/>
                <w:szCs w:val="20"/>
                <w:lang w:val="hy-AM"/>
              </w:rPr>
              <w:t>սոցիալական</w:t>
            </w:r>
            <w:r w:rsidRPr="0053423A">
              <w:rPr>
                <w:rFonts w:eastAsia="Times New Roman" w:cs="Times New Roman"/>
                <w:sz w:val="20"/>
                <w:szCs w:val="20"/>
                <w:lang w:val="hy-AM"/>
              </w:rPr>
              <w:t xml:space="preserve"> </w:t>
            </w:r>
            <w:r w:rsidRPr="0053423A">
              <w:rPr>
                <w:rFonts w:eastAsia="Times New Roman" w:cs="GHEA Grapalat"/>
                <w:sz w:val="20"/>
                <w:szCs w:val="20"/>
                <w:lang w:val="hy-AM"/>
              </w:rPr>
              <w:t>ապահովության</w:t>
            </w:r>
            <w:r w:rsidRPr="0053423A">
              <w:rPr>
                <w:rFonts w:eastAsia="Times New Roman" w:cs="Times New Roman"/>
                <w:sz w:val="20"/>
                <w:szCs w:val="20"/>
                <w:lang w:val="hy-AM"/>
              </w:rPr>
              <w:t xml:space="preserve"> </w:t>
            </w:r>
            <w:r w:rsidRPr="0053423A">
              <w:rPr>
                <w:rFonts w:eastAsia="Times New Roman" w:cs="GHEA Grapalat"/>
                <w:sz w:val="20"/>
                <w:szCs w:val="20"/>
                <w:lang w:val="hy-AM"/>
              </w:rPr>
              <w:t>հաշիվների</w:t>
            </w:r>
            <w:r w:rsidRPr="0053423A">
              <w:rPr>
                <w:rFonts w:eastAsia="Times New Roman" w:cs="Times New Roman"/>
                <w:sz w:val="20"/>
                <w:szCs w:val="20"/>
                <w:lang w:val="hy-AM"/>
              </w:rPr>
              <w:t xml:space="preserve"> </w:t>
            </w:r>
            <w:r w:rsidRPr="0053423A">
              <w:rPr>
                <w:rFonts w:eastAsia="Times New Roman" w:cs="GHEA Grapalat"/>
                <w:sz w:val="20"/>
                <w:szCs w:val="20"/>
                <w:lang w:val="hy-AM"/>
              </w:rPr>
              <w:t>վերաբերյալ</w:t>
            </w:r>
            <w:r w:rsidRPr="0053423A">
              <w:rPr>
                <w:rFonts w:eastAsia="Times New Roman" w:cs="Times New Roman"/>
                <w:sz w:val="20"/>
                <w:szCs w:val="20"/>
                <w:lang w:val="hy-AM"/>
              </w:rPr>
              <w:t xml:space="preserve"> </w:t>
            </w:r>
            <w:r w:rsidRPr="0053423A">
              <w:rPr>
                <w:rFonts w:eastAsia="Times New Roman" w:cs="GHEA Grapalat"/>
                <w:sz w:val="20"/>
                <w:szCs w:val="20"/>
                <w:lang w:val="hy-AM"/>
              </w:rPr>
              <w:t>տեղեկատվության</w:t>
            </w:r>
            <w:r w:rsidRPr="0053423A">
              <w:rPr>
                <w:rFonts w:eastAsia="Times New Roman" w:cs="Times New Roman"/>
                <w:sz w:val="20"/>
                <w:szCs w:val="20"/>
                <w:lang w:val="hy-AM"/>
              </w:rPr>
              <w:t xml:space="preserve"> </w:t>
            </w:r>
            <w:r w:rsidRPr="0053423A">
              <w:rPr>
                <w:rFonts w:eastAsia="Times New Roman" w:cs="GHEA Grapalat"/>
                <w:sz w:val="20"/>
                <w:szCs w:val="20"/>
                <w:lang w:val="hy-AM"/>
              </w:rPr>
              <w:t>ինքնաշխատ</w:t>
            </w:r>
            <w:r w:rsidRPr="0053423A">
              <w:rPr>
                <w:rFonts w:eastAsia="Times New Roman" w:cs="Times New Roman"/>
                <w:sz w:val="20"/>
                <w:szCs w:val="20"/>
                <w:lang w:val="hy-AM"/>
              </w:rPr>
              <w:t xml:space="preserve"> </w:t>
            </w:r>
            <w:r w:rsidRPr="0053423A">
              <w:rPr>
                <w:rFonts w:eastAsia="Times New Roman" w:cs="GHEA Grapalat"/>
                <w:sz w:val="20"/>
                <w:szCs w:val="20"/>
                <w:lang w:val="hy-AM"/>
              </w:rPr>
              <w:t>փոխանակության</w:t>
            </w:r>
            <w:r w:rsidRPr="0053423A">
              <w:rPr>
                <w:rFonts w:eastAsia="Times New Roman" w:cs="Times New Roman"/>
                <w:sz w:val="20"/>
                <w:szCs w:val="20"/>
                <w:lang w:val="hy-AM"/>
              </w:rPr>
              <w:t xml:space="preserve"> </w:t>
            </w:r>
            <w:r w:rsidRPr="0053423A">
              <w:rPr>
                <w:rFonts w:eastAsia="Times New Roman" w:cs="GHEA Grapalat"/>
                <w:sz w:val="20"/>
                <w:szCs w:val="20"/>
                <w:lang w:val="hy-AM"/>
              </w:rPr>
              <w:t>համակարգ՝</w:t>
            </w:r>
            <w:r w:rsidRPr="0053423A">
              <w:rPr>
                <w:rFonts w:eastAsia="Times New Roman" w:cs="Times New Roman"/>
                <w:sz w:val="20"/>
                <w:szCs w:val="20"/>
                <w:lang w:val="hy-AM"/>
              </w:rPr>
              <w:t xml:space="preserve"> </w:t>
            </w:r>
            <w:r w:rsidRPr="0053423A">
              <w:rPr>
                <w:rFonts w:eastAsia="Times New Roman" w:cs="GHEA Grapalat"/>
                <w:sz w:val="20"/>
                <w:szCs w:val="20"/>
                <w:lang w:val="hy-AM"/>
              </w:rPr>
              <w:t>հնարավորություն</w:t>
            </w:r>
            <w:r w:rsidRPr="0053423A">
              <w:rPr>
                <w:rFonts w:eastAsia="Times New Roman" w:cs="Times New Roman"/>
                <w:sz w:val="20"/>
                <w:szCs w:val="20"/>
                <w:lang w:val="hy-AM"/>
              </w:rPr>
              <w:t xml:space="preserve"> </w:t>
            </w:r>
            <w:r w:rsidRPr="0053423A">
              <w:rPr>
                <w:rFonts w:eastAsia="Times New Roman" w:cs="GHEA Grapalat"/>
                <w:sz w:val="20"/>
                <w:szCs w:val="20"/>
                <w:lang w:val="hy-AM"/>
              </w:rPr>
              <w:t>վճարման</w:t>
            </w:r>
            <w:r w:rsidRPr="0053423A">
              <w:rPr>
                <w:rFonts w:eastAsia="Times New Roman" w:cs="Times New Roman"/>
                <w:sz w:val="20"/>
                <w:szCs w:val="20"/>
                <w:lang w:val="hy-AM"/>
              </w:rPr>
              <w:t xml:space="preserve"> </w:t>
            </w:r>
            <w:r w:rsidRPr="0053423A">
              <w:rPr>
                <w:rFonts w:eastAsia="Times New Roman" w:cs="GHEA Grapalat"/>
                <w:sz w:val="20"/>
                <w:szCs w:val="20"/>
                <w:lang w:val="hy-AM"/>
              </w:rPr>
              <w:t>եղանակի</w:t>
            </w:r>
            <w:r w:rsidRPr="0053423A">
              <w:rPr>
                <w:rFonts w:eastAsia="Times New Roman" w:cs="Times New Roman"/>
                <w:sz w:val="20"/>
                <w:szCs w:val="20"/>
                <w:lang w:val="hy-AM"/>
              </w:rPr>
              <w:t xml:space="preserve"> (</w:t>
            </w:r>
            <w:r w:rsidRPr="0053423A">
              <w:rPr>
                <w:rFonts w:eastAsia="Times New Roman" w:cs="GHEA Grapalat"/>
                <w:sz w:val="20"/>
                <w:szCs w:val="20"/>
                <w:lang w:val="hy-AM"/>
              </w:rPr>
              <w:t>բանկի</w:t>
            </w:r>
            <w:r w:rsidRPr="0053423A">
              <w:rPr>
                <w:rFonts w:eastAsia="Times New Roman" w:cs="Times New Roman"/>
                <w:sz w:val="20"/>
                <w:szCs w:val="20"/>
                <w:lang w:val="hy-AM"/>
              </w:rPr>
              <w:t xml:space="preserve">) </w:t>
            </w:r>
            <w:r w:rsidRPr="0053423A">
              <w:rPr>
                <w:rFonts w:eastAsia="Times New Roman" w:cs="GHEA Grapalat"/>
                <w:sz w:val="20"/>
                <w:szCs w:val="20"/>
                <w:lang w:val="hy-AM"/>
              </w:rPr>
              <w:t>ընտրությունը</w:t>
            </w:r>
            <w:r w:rsidRPr="0053423A">
              <w:rPr>
                <w:rFonts w:eastAsia="Times New Roman" w:cs="Times New Roman"/>
                <w:sz w:val="20"/>
                <w:szCs w:val="20"/>
                <w:lang w:val="hy-AM"/>
              </w:rPr>
              <w:t xml:space="preserve"> </w:t>
            </w:r>
            <w:r w:rsidRPr="0053423A">
              <w:rPr>
                <w:rFonts w:eastAsia="Times New Roman" w:cs="GHEA Grapalat"/>
                <w:sz w:val="20"/>
                <w:szCs w:val="20"/>
                <w:lang w:val="hy-AM"/>
              </w:rPr>
              <w:t>կատա</w:t>
            </w:r>
            <w:r w:rsidRPr="0053423A">
              <w:rPr>
                <w:rFonts w:eastAsia="Times New Roman" w:cs="Times New Roman"/>
                <w:sz w:val="20"/>
                <w:szCs w:val="20"/>
                <w:lang w:val="hy-AM"/>
              </w:rPr>
              <w:t>րել առցանց դիմումի հիման վրա, իսկ թաղման նպաստը՝ վճարել մեկ օրվա ընթացքում։</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Ըստ այդմ, նախատեսվում է.</w:t>
            </w:r>
          </w:p>
          <w:p w:rsidR="00514E01" w:rsidRPr="0053423A" w:rsidRDefault="00514E01" w:rsidP="001F6D5D">
            <w:pPr>
              <w:numPr>
                <w:ilvl w:val="0"/>
                <w:numId w:val="186"/>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մշակել և ՀՀ վարչապետի աշխատակազմ ներկայացնել «ՀՀ կառավարության 2011 թվականի մայիսի 5-ի N 670-Ն որոշման մեջ փոփոխություններ կատարելու մասին» ՀՀ կառավարության որոշման նախագիծը՝ </w:t>
            </w:r>
          </w:p>
          <w:p w:rsidR="00514E01" w:rsidRPr="0053423A" w:rsidRDefault="00514E01" w:rsidP="001F6D5D">
            <w:pPr>
              <w:numPr>
                <w:ilvl w:val="0"/>
                <w:numId w:val="186"/>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մշակել և բանկերի հետ փոխհամաձայնեցնել միանվագ դրամական վճարների և սոցիալական ապահովության հաշիվների վերաբերյալ տեղեկատվության ինքնաշխատ փոխանակության ընթացակարգերը,</w:t>
            </w:r>
          </w:p>
          <w:p w:rsidR="00514E01" w:rsidRPr="0053423A" w:rsidRDefault="00514E01" w:rsidP="001F6D5D">
            <w:pPr>
              <w:numPr>
                <w:ilvl w:val="0"/>
                <w:numId w:val="186"/>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մշակել և ՀՀ վարչապետի աշխատակազմ ներկայացնել «Էլեկտրոնային կենսաթոշակ» տեղեկատվական համակարգում փոփոխություններ կատարելու (համապատասխան ծրագրային ապահովություն մշակելու) համար անհրաժեշտ միջոցներ հատկացնելու վերաբերյալ ՀՀ կառավարության որոշման նախագիծ,</w:t>
            </w:r>
          </w:p>
          <w:p w:rsidR="00514E01" w:rsidRPr="0053423A" w:rsidRDefault="00514E01" w:rsidP="001F6D5D">
            <w:pPr>
              <w:numPr>
                <w:ilvl w:val="0"/>
                <w:numId w:val="186"/>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հիմք ընդունելով բանկերի հետ փոխհամաձայնեցված ընթացակարգերը և  ՀՀ կառավարության 2011 թվականի մայիսի 5-ի N 670-Ն որոշման մեջ առաջարկվող փոփոխությունները՝ մշակել և ներդնել (գործարկել) համապատասխան տեղեկատվական  գործիքը (ներառյալ՝ առցանց դիմումի մոդուլը)։</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Միջոցառման արդյունքում ակնկալվում է բարելավել տարածքային ստորաբաժանումների աշխատանքների արդյունավետությունը՝ էապես նվազեցնելով կոռուպցիոն ռիսկերը, պատահական և միտումնավոր սխալների հավանականությունը, ինչպես նաև ապահովելով անձանց իրավունքների իրականացումը։</w:t>
            </w:r>
          </w:p>
          <w:p w:rsidR="00514E01" w:rsidRPr="0053423A" w:rsidRDefault="00514E01" w:rsidP="00A67858">
            <w:pPr>
              <w:spacing w:line="276" w:lineRule="auto"/>
              <w:rPr>
                <w:sz w:val="20"/>
                <w:szCs w:val="20"/>
                <w:lang w:val="hy-AM"/>
              </w:rPr>
            </w:pPr>
            <w:r w:rsidRPr="0053423A">
              <w:rPr>
                <w:rFonts w:eastAsia="Times New Roman" w:cs="Times New Roman"/>
                <w:sz w:val="20"/>
                <w:szCs w:val="20"/>
                <w:lang w:val="hy-AM"/>
              </w:rPr>
              <w:t>Միաժամանակ, կձևավորվեն իրավական հիմքեր՝ Կենսաթոշակների և նպաստների վճարման եղանակի (բանկի) ընտրության համար առցանց դիմում ներկայացնելու և  Թաղման նպաստը մեկօրյա ժամկետում վճարելու համար և  (կնկարագրվի գործընթացը), ինչպես նաև բանկերի հետ կկնքվի համապատասխան համաձայնագիր։</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rPr>
            </w:pPr>
            <w:r w:rsidRPr="0053423A">
              <w:rPr>
                <w:rFonts w:eastAsia="Times New Roman" w:cs="Times New Roman"/>
                <w:b/>
                <w:sz w:val="20"/>
                <w:szCs w:val="20"/>
                <w:u w:val="single"/>
                <w:lang w:val="hy-AM"/>
              </w:rPr>
              <w:t xml:space="preserve">20.7 ՍԷԿՏ համակարգի հետ տեղեկատվության փոխանակության և դրա  կիրառության  ընթացակարգերի կատարելագործում </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1. Միջոցառման իրականացման անհրաժեշտությունը և նպատակը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Միջոցառումը պայմանավորված է բնակչությանը սոցիալական ծառայությունների մատուցման ընթացակարգերը կատարելագործելու անհրաժեշտությամբ և նպատակ ունի բարելավել շահառուներին մատուցվող ծառայությունների որակը, ինչպես նաև ավտոմատացնել որոշումների կայացման գործընթացը և կենսաթոշակային ապահովության, պետական նպաստների բնագավառի կառավարման համակարգի արդյունավետությունը: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b/>
                <w:sz w:val="20"/>
                <w:szCs w:val="20"/>
                <w:lang w:val="hy-AM"/>
              </w:rPr>
              <w:t>1.1. Կարգավորման հարաբերությունների ներկա վիճակը և առկա խնդիրները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Ներկայումս կենսաթոշակների, ծե</w:t>
            </w:r>
            <w:r w:rsidRPr="0053423A">
              <w:rPr>
                <w:rFonts w:eastAsia="Times New Roman" w:cs="Times New Roman"/>
                <w:sz w:val="20"/>
                <w:szCs w:val="20"/>
                <w:lang w:val="hy-AM"/>
              </w:rPr>
              <w:softHyphen/>
              <w:t>րության, հաշմանդամության, կերակրողին կորցնելու դեպ</w:t>
            </w:r>
            <w:r w:rsidRPr="0053423A">
              <w:rPr>
                <w:rFonts w:eastAsia="Times New Roman" w:cs="Times New Roman"/>
                <w:sz w:val="20"/>
                <w:szCs w:val="20"/>
                <w:lang w:val="hy-AM"/>
              </w:rPr>
              <w:softHyphen/>
              <w:t>քում, մայրության, երեխայի ծննդյան միանվագ, մինչև 2 տարեկան երեխայի խնամքի նպաստների նշանակում ու վճարումն իրականացվում է «Էլեկտրոնային կենսաթոշակ» տեղեկատվական համակարգի միջոցով։</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Արդյունքում էապես բարելավվել է ոլորտի կառավարման համակարգի արդյունավետությունը՝ բավարար նախապայմաններ ստեղծելով շահառուներին մատուցվող ծառայությունները որակական նոր հարթություն տեղափոխելու համար։</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Սակայն հարկ է նկատի ունենալ, որ դեռևս ոչ բոլոր գործառույթներն են ավտոմատացված։</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Մասնավորապես, ՀՀ աշխատանքի և սոցիալական հարցերի նախարարությունը, ՀՀ օրենսդրության համաձայն՝ հանդիսանում է ՍԷԿՏ համակարգի օգտվող և տեղեկատվություն է ստանում կենսաթոշակառուների սահմանահատում իրականացնելու վերաբերյալ։</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Սակայն, փոխանակվող տեղեկատվության կազմն ու բովանդակությունը հնարավորություն չեն տալիս այդ տեղեկատվությունն ինքնաշխատ եղանակով կիրառել «Էլեկտրոնային կենսաթոշակ» տեղեկատվական համակարգում, ինչն էլ իր հերթին խոչընդոտ է հանդիսանում սոցիալական ծառայությունների մատուցման ընթացակարգերը կատարելագործելու ճանապարհին։</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Հարկ է նկատի ունենալ, որ «Պետական կենսաթոշակների մասին» ՀՀ օրենքով առանձին դեպքերում սահմանված է ՀՀ-ում փաստացի գտնվելու պահանջ՝ որպես կենսաթոշակային ապահովության իրավունքի իրականացման նախապայման։</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Ըստ այդմ, գործում է առանձին դեպքերում անձամբ դիմում ներկայացնելու (ըստ էության՝ ՀՀ-ում գտնվելը հավաստելու) պահանջ։</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Մասնավորապես, կենսաթոշակը անկանխիկ եղանակով ստացող կենսաթոշակառուների օբյեկտիվ դժգոհությունն է առաջացնում տարեկան մեկ անգամ բանկ ներկայանալու պահանջը։</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Հաշվի առնելով վերը նշվածը՝ առաջարկվում է կատարելագործել ՍԷԿՏ համակարգի հետ տեղեկատվության փոխանակության և այդ տեղեկատվությունը   «Էլեկտրոնային կենսաթոշակ» տեղեկատվական համակարգում կիրառելու  ընթացակարգերը։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Ըստ այդմ, նախատեսվում է.</w:t>
            </w:r>
          </w:p>
          <w:p w:rsidR="00514E01" w:rsidRPr="0053423A" w:rsidRDefault="00514E01" w:rsidP="001F6D5D">
            <w:pPr>
              <w:numPr>
                <w:ilvl w:val="0"/>
                <w:numId w:val="187"/>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մշակել և ՀՀ վարչապետի աշխատակազմ ներկայացնել «Էլեկտրոնային կենսաթոշակ» տեղեկատվական համակարգում և ՍԷԿՏ համակարգում փոփոխություններ կատարելու (համապատասխան ծրագրային ապահովություն մշակելու) համար անհրաժեշտ միջոցներ հատկացնելու վերաբերյալ ՀՀ կառավարության որոշման նախագիծ,</w:t>
            </w:r>
          </w:p>
          <w:p w:rsidR="00514E01" w:rsidRPr="0053423A" w:rsidRDefault="00514E01" w:rsidP="001F6D5D">
            <w:pPr>
              <w:numPr>
                <w:ilvl w:val="0"/>
                <w:numId w:val="187"/>
              </w:numPr>
              <w:spacing w:line="276" w:lineRule="auto"/>
              <w:jc w:val="both"/>
              <w:rPr>
                <w:rFonts w:eastAsia="Times New Roman" w:cs="Times New Roman"/>
                <w:b/>
                <w:sz w:val="20"/>
                <w:szCs w:val="20"/>
                <w:lang w:val="hy-AM"/>
              </w:rPr>
            </w:pPr>
            <w:r w:rsidRPr="0053423A">
              <w:rPr>
                <w:rFonts w:eastAsia="Times New Roman" w:cs="Times New Roman"/>
                <w:sz w:val="20"/>
                <w:szCs w:val="20"/>
                <w:lang w:val="hy-AM"/>
              </w:rPr>
              <w:t xml:space="preserve">մշակել համապատասխան ծրագրային ապահովություն և ապահովել փոփոխությունների իրականացումը «Էլեկտրոնային կենսաթոշակ» տեղեկատվական համակարգում և ՍԷԿՏ համակարգում։ </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Միջոցառման արդյունքում ակնկալվում է կենսաթոշակառուի՝ ՀՀ-ում գտնվելու փաստը ճշտել առցանց եղանակով (իրական ժամանակում)։</w:t>
            </w:r>
          </w:p>
          <w:p w:rsidR="00514E01" w:rsidRPr="0053423A" w:rsidRDefault="00514E01" w:rsidP="00A67858">
            <w:pPr>
              <w:spacing w:line="276" w:lineRule="auto"/>
              <w:rPr>
                <w:sz w:val="20"/>
                <w:szCs w:val="20"/>
                <w:lang w:val="hy-AM"/>
              </w:rPr>
            </w:pPr>
            <w:r w:rsidRPr="0053423A">
              <w:rPr>
                <w:rFonts w:eastAsia="Times New Roman" w:cs="Times New Roman"/>
                <w:sz w:val="20"/>
                <w:szCs w:val="20"/>
                <w:lang w:val="hy-AM"/>
              </w:rPr>
              <w:t>Վերը նշվածը հնարավորություն կտա բարելավել իրականացվող վարչարարության արդյունավետությունը, ինչպես նաև նվազեցնել կոռուպցիոն ռիսկերը, պատահական և միտումնավոր սխալների հավանականությունը, իսկ կենսաթոշակառուներին՝ ազատելով վարչական պարտականություններից։</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rPr>
            </w:pPr>
            <w:r w:rsidRPr="0053423A">
              <w:rPr>
                <w:rFonts w:eastAsia="Times New Roman" w:cs="Times New Roman"/>
                <w:b/>
                <w:sz w:val="20"/>
                <w:szCs w:val="20"/>
                <w:u w:val="single"/>
                <w:lang w:val="hy-AM"/>
              </w:rPr>
              <w:t xml:space="preserve">20.8 ՀՀ պետական բյուջե վերականգնված՝ սխալմամբ (ՀՀ օրենսդրության խախտմամբ) ավել վճարված կենսաթոշակների և նպաստների գումարների հաշվառման ենթահամակարգի գործարկում </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1. Միջոցառման իրականացման անհրաժեշտությունը և նպատակը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Միջոցառումը պայմանավորված է որոշումների կայացման գործընթացը ավտոմատացնելու անհրաժեշտությամբ և նպատակ ունի բարելավել կենսաթոշակային ապահովության, պետական նպաստների բնագավառի կառավարման համակարգի արդյունավետությունը։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b/>
                <w:sz w:val="20"/>
                <w:szCs w:val="20"/>
                <w:lang w:val="hy-AM"/>
              </w:rPr>
              <w:t>1.1. կարգավորման հարաբերությունների ներկա վիճակը և առկա խնդիրները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Ներկայումս կենսաթոշակների, ծե</w:t>
            </w:r>
            <w:r w:rsidRPr="0053423A">
              <w:rPr>
                <w:rFonts w:eastAsia="Times New Roman" w:cs="Times New Roman"/>
                <w:sz w:val="20"/>
                <w:szCs w:val="20"/>
                <w:lang w:val="hy-AM"/>
              </w:rPr>
              <w:softHyphen/>
              <w:t>րության, հաշմանդամության, կերակրողին կորցնելու դեպ</w:t>
            </w:r>
            <w:r w:rsidRPr="0053423A">
              <w:rPr>
                <w:rFonts w:eastAsia="Times New Roman" w:cs="Times New Roman"/>
                <w:sz w:val="20"/>
                <w:szCs w:val="20"/>
                <w:lang w:val="hy-AM"/>
              </w:rPr>
              <w:softHyphen/>
              <w:t>քում, մայրության, երեխայի ծննդյան միանվագ, մինչև 2 տարեկան երեխայի խնամքի նպաստների նշանակում ու վճարումն իրականացվում է «Էլեկտրոնային կենսաթոշակ» տեղեկատվական համակարգի միջոցով։</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Արդյունքում էապես բարելավվել է ոլորտի կառավարման համակարգի արդյունավետությունը՝ բավարար նախապայմաններ ստեղծելով շահառուներին մատուցվող ծառայությունները որակական նոր հարթություն տեղափոխելու համար։</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Սակայն հարկ է նկատի ունենալ, որ դեռևս ոչ բոլոր գործառույթներն են ավտոմատացված։</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Մասնավորապես, դեռևս համակարգի շրջանակներում չի տարվում սխալմամբ ավել վճարված, ինչպես նաև  ՀՀ պետական բյուջե վերականգնված՝ սխալմամբ (ՀՀ օրենսդրության խախտմամբ) ավել վճարված կենսաթոշակների և նպաստների գումարների հաշվառում։</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Հաշվի առնելով վերը նշվածը՝ առաջարկվում է ներդնել ՀՀ պետական բյուջե վերականգնված՝ սխալմամբ (ՀՀ օրենսդրության խախտմամբ) ավել վճարված կենսաթոշակների և նպաստների գումարների հաշվառման ենթահամակարգ։</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Ըստ այդմ, նախատեսվում է.</w:t>
            </w:r>
          </w:p>
          <w:p w:rsidR="00514E01" w:rsidRPr="0053423A" w:rsidRDefault="00514E01" w:rsidP="001F6D5D">
            <w:pPr>
              <w:numPr>
                <w:ilvl w:val="0"/>
                <w:numId w:val="188"/>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մշակել և ՀՀ վարչապետի աշխատակազմ ներկայացնել ՀՀ պետական բյուջե վերականգնված՝ սխալմամբ (ՀՀ օրենսդրության խախտմամբ) ավել վճարված կենսաթոշակների և նպաստների գումարների հաշվառման ենթահամակարգ (համապատասխան ծրագրային ապահովություն) մշակելու համար անհրաժեշտ միջոցներ հատկացնելու վերաբերյալ ՀՀ կառավարության որոշման նախագիծ,</w:t>
            </w:r>
          </w:p>
          <w:p w:rsidR="00514E01" w:rsidRPr="0053423A" w:rsidRDefault="00514E01" w:rsidP="001F6D5D">
            <w:pPr>
              <w:numPr>
                <w:ilvl w:val="0"/>
                <w:numId w:val="188"/>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մշակել և ներդնել (գործարկել) համապատասխան ենթահամակարգը (ծրագրային ապահովությունը)։</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Times New Roman" w:cs="Times New Roman"/>
                <w:sz w:val="20"/>
                <w:szCs w:val="20"/>
                <w:lang w:val="hy-AM"/>
              </w:rPr>
              <w:t>Միջոցառման արդյունքում ակնկալվում է բարելավել իրականացվող վարչարարության արդյունավետությունը, ինչպես նաև նվազեցնել կոռուպցիոն ռիսկերը, պատահական և միտումնավոր սխալների հավանականությունը։</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rPr>
            </w:pPr>
            <w:r w:rsidRPr="0053423A">
              <w:rPr>
                <w:rFonts w:eastAsia="Times New Roman" w:cs="Times New Roman"/>
                <w:b/>
                <w:sz w:val="20"/>
                <w:szCs w:val="20"/>
                <w:u w:val="single"/>
                <w:lang w:val="hy-AM"/>
              </w:rPr>
              <w:t xml:space="preserve">20.9 Առցանց դիմումի հիման վրա աշխատող կենսաթոշակառուի կենսաթոշակը վերահաշվարկելն ապահովող ենթահամակարգի մշակում և գործարկում </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1. Միջոցառման իրականացման անհրաժեշտությունը և նպատակը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Միջոցառումը պայմանավորված է բնակչությանը սոցիալական ծառայությունների մատուցման ընթացակարգերը կատարելագործելու անհրաժեշտությամբ և նպատակ ունի ավտոմատացնել որոշումների կայացման գործընթացը, ինչպես նաև բարելավել շահառուներին մատուցվող ծառայությունների որակը և կենսաթոշակային ապահովության, պետական նպաստների բնագավառի կառավարման համակարգի արդյունավետությունը։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b/>
                <w:sz w:val="20"/>
                <w:szCs w:val="20"/>
                <w:lang w:val="hy-AM"/>
              </w:rPr>
              <w:t>1.1. Կարգավորման հարաբերությունների ներկա վիճակը և առկա խնդիրները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Ներկայումս կենսաթոշակների, ծե</w:t>
            </w:r>
            <w:r w:rsidRPr="0053423A">
              <w:rPr>
                <w:rFonts w:eastAsia="Times New Roman" w:cs="Times New Roman"/>
                <w:sz w:val="20"/>
                <w:szCs w:val="20"/>
                <w:lang w:val="hy-AM"/>
              </w:rPr>
              <w:softHyphen/>
              <w:t>րության, հաշմանդամության, կերակրողին կորցնելու դեպ</w:t>
            </w:r>
            <w:r w:rsidRPr="0053423A">
              <w:rPr>
                <w:rFonts w:eastAsia="Times New Roman" w:cs="Times New Roman"/>
                <w:sz w:val="20"/>
                <w:szCs w:val="20"/>
                <w:lang w:val="hy-AM"/>
              </w:rPr>
              <w:softHyphen/>
              <w:t>քում, մայրության, երեխայի ծննդյան միանվագ, մինչև 2 տարեկան երեխայի խնամքի նպաստների նշանակում ու վճարումն իրականացվում է «Էլեկտրոնային կենսաթոշակ» տեղեկատվական համակարգի միջոցով։</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Արդյունքում էապես բարելավվել է ոլորտի կառավարման համակարգի արդյունավետությունը՝ բավարար նախապայմաններ ստեղծելով շահառուներին մատուցվող ծառայությունները որակական նոր հարթություն տեղափոխելու համար։</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Միաժամանակ, Սոցիալական ապահովության ծառայությունը Հարկային մարմնից ստանում է անձնավորված տեղեկատվություն անձանց աշխատանքային գործունեության վերաբերյալ։</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Հաշվի առնելով վերը նշվածը՝ առաջարկվում է ներդնել Առցանց դիմումի հիման վրա աշխատող կենսաթոշակառուի կենսաթոշակը վերահաշվարկելն ապահովող ենթահամակարգ։</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Ըստ այդմ, նախատեսվում է.</w:t>
            </w:r>
          </w:p>
          <w:p w:rsidR="00514E01" w:rsidRPr="0053423A" w:rsidRDefault="00514E01" w:rsidP="001F6D5D">
            <w:pPr>
              <w:numPr>
                <w:ilvl w:val="0"/>
                <w:numId w:val="189"/>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մշակել և ՀՀ վարչապետի աշխատակազմ ներկայացնել «ՀՀ կառավարության 2011 թվականի մայիսի 5-ի N 665-Ն որոշման մեջ փոփոխություններ կատարելու մասին» ՀՀ կառավարության որոշման նախագիծը,</w:t>
            </w:r>
          </w:p>
          <w:p w:rsidR="00514E01" w:rsidRPr="0053423A" w:rsidRDefault="00514E01" w:rsidP="001F6D5D">
            <w:pPr>
              <w:numPr>
                <w:ilvl w:val="0"/>
                <w:numId w:val="189"/>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մշակել և ՀՀ վարչապետի աշխատակազմ ներկայացնել Առցանց դիմումի հիման վրա աշխատող կենսաթոշակառուի կենսաթոշակը վերահաշվարկելն ապահովող ենթահամակարգ (համապատասխան ծրագրային ապահովություն) մշակելու համար անհրաժեշտ միջոցներ հատկացնելու վերաբերյալ ՀՀ կառավարության որոշման նախագիծ,</w:t>
            </w:r>
          </w:p>
          <w:p w:rsidR="00514E01" w:rsidRPr="0053423A" w:rsidRDefault="00514E01" w:rsidP="001F6D5D">
            <w:pPr>
              <w:numPr>
                <w:ilvl w:val="0"/>
                <w:numId w:val="189"/>
              </w:num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հիմք ընդունելով ՀՀ կառավարության 2011 թվականի մայիսի 5-ի N 665-Ն որոշման մեջ կատարված փոփոխություններ՝ մշակել և ներդնել (գործարկել) համապատասխան ենթահամակարգը (ծրագրային ապահովությունը)։</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Միջոցառման արդյունքում ակնկալվում է բարելավել տարածքային ստորաբաժանումների աշխատանքների արդյունավետությունը՝ էապես նվազեցնելով կոռուպցիոն ռիսկերը, պատահական և միտումնավոր սխալների հավանականությունը, ինչպես նաև ապահովելով անձանց իրավունքների իրականացումը։</w:t>
            </w:r>
          </w:p>
          <w:p w:rsidR="00514E01" w:rsidRPr="0053423A" w:rsidRDefault="00514E01" w:rsidP="00A67858">
            <w:pPr>
              <w:spacing w:line="276" w:lineRule="auto"/>
              <w:rPr>
                <w:sz w:val="20"/>
                <w:szCs w:val="20"/>
                <w:lang w:val="hy-AM"/>
              </w:rPr>
            </w:pPr>
            <w:r w:rsidRPr="0053423A">
              <w:rPr>
                <w:rFonts w:eastAsia="Times New Roman" w:cs="Times New Roman"/>
                <w:sz w:val="20"/>
                <w:szCs w:val="20"/>
                <w:lang w:val="hy-AM"/>
              </w:rPr>
              <w:t>Միաժամանակ, կձևավորվեն իրավական հիմքեր՝ Առցանց դիմումի հիման վրա աշխատող կենսաթոշակառուի կենսաթոշակը վերահաշվարկելու համար։</w:t>
            </w:r>
          </w:p>
        </w:tc>
      </w:tr>
      <w:tr w:rsidR="00514E01" w:rsidRPr="00DE2EFA" w:rsidTr="00BC61ED">
        <w:tc>
          <w:tcPr>
            <w:tcW w:w="630" w:type="dxa"/>
            <w:vMerge/>
          </w:tcPr>
          <w:p w:rsidR="00514E01" w:rsidRPr="0053423A" w:rsidRDefault="00514E01" w:rsidP="00A67858">
            <w:pPr>
              <w:spacing w:line="276" w:lineRule="auto"/>
              <w:ind w:left="-108" w:right="-18" w:firstLine="108"/>
              <w:jc w:val="center"/>
              <w:rPr>
                <w:b/>
                <w:sz w:val="20"/>
                <w:szCs w:val="20"/>
                <w:lang w:val="hy-AM"/>
              </w:rPr>
            </w:pPr>
          </w:p>
        </w:tc>
        <w:tc>
          <w:tcPr>
            <w:tcW w:w="10890" w:type="dxa"/>
          </w:tcPr>
          <w:p w:rsidR="00514E01" w:rsidRPr="0053423A" w:rsidRDefault="00514E01" w:rsidP="00A67858">
            <w:pPr>
              <w:spacing w:line="276" w:lineRule="auto"/>
              <w:jc w:val="both"/>
              <w:rPr>
                <w:rFonts w:eastAsia="Times New Roman" w:cs="Times New Roman"/>
                <w:b/>
                <w:sz w:val="20"/>
                <w:szCs w:val="20"/>
                <w:u w:val="single"/>
                <w:lang w:val="hy-AM"/>
              </w:rPr>
            </w:pPr>
            <w:r w:rsidRPr="0053423A">
              <w:rPr>
                <w:rFonts w:eastAsia="Times New Roman" w:cs="Times New Roman"/>
                <w:b/>
                <w:sz w:val="20"/>
                <w:szCs w:val="20"/>
                <w:u w:val="single"/>
                <w:lang w:val="hy-AM"/>
              </w:rPr>
              <w:t xml:space="preserve">20.10 «Պետական կենսաթոշակների  մասին» Հայաստանի Հանրապետության օրենքում փոփոխություններ կատարելու մասին» ՀՀ օրենքի նախագծի Վարչապետի աշխատակազմ ներկայացում </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1. Միջոցառման իրականացման անհրաժեշտությունը և նպատակը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Միջոցառումը նպատակը կենսաթոշակի վճարման գործընթացի արդյունավետության բարձրացումն է անկանխիկ վճարման համակարգի ներդրման միջոցով, ինչը կնպաստի վճարումների հասցեականությունը բարձրացնելուն, առկա ռիսկերը էապես նվազեցնելուն, ինչպես նաև  բյուջետային ռեսուրսներն արդյունավետ օգտագործելուն։</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b/>
                <w:sz w:val="20"/>
                <w:szCs w:val="20"/>
                <w:lang w:val="hy-AM"/>
              </w:rPr>
              <w:t>1.1. Կարգավորման հարաբերությունների ներկա վիճակը և առկա խնդիրները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«Պետական կենսաթոշակների մասին» ՀՀ օրենքի համաձայն` յուրաքանչյուր ամսվա կենսաթոշակը վճարվում է տվյալ ամսվա ընթացքում կենսաթոշակառուի դիմումի հիման վրա` անկանխիկ կամ կանխիկ եղանակով: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Կենսաթոշակի համար սահմանված կարգով են վճարվում նաև «Պաշտոնատար անձանց գործունեության ապահովման, սպասարկման և սոցիալական երաշխիքների մասին» ՀՀ օրենքով սահմանված կենսաթոշակները, «Պետական նպաստների մասին» ՀՀ օրենքով սահմանված ծերության, հաշմանդամության, կերակրողին կորցնելու դեպքում նպաստները, «Զինվորական ծառայության և զինծառայողի կարգավիճակի մասին» ՀՀ օրենքով սահմանված պարգևավճարները: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Հարկ է նշել, որ կենսաթոշակային ապահովության, ծերության, հաշմանդամության, կերակրողին կորցնելու դեպքում նպաստների, պարգևավճարների, պատվովճարների և այլ ծրագրերի վճարման հետ կապված ծառայություններ ձեռքբերելու ծախսերի ավելի քան 92%-ն ուղղվում է կանխիկ եղանակով վճարումներ կատարելու ծառայությունների ձեռքբերմանը` պայմանավորված ծառայության ձեռք բերման վճարի չափով (վճարվող գումարի մեկ տոկոսը):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Ըստ այդմ, նպատակահարմար է օրենսդրորեն ամրագրել կենսաթոշակային ապահովության, ծերության, հաշմանդամության, կերակրողին կորցնելու դեպքում նպաստների, պարգևավճարների, պատվովճարների և այլ ծրագրերի վճարումները   անկանխիկ եղանակով կատարելը:</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1.2. Առկա խնդիրների առաջարկվող լուծումները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Հաշվի առնելով վերը նշվածը՝ առաջարկվում է փոփոխություններ կատարել «Պետական կենսաթոշակների մասին» Հայաստանի Հանրապետության օրենքում` ստեղծելով կենսաթոշակների անկանխիկ վճարման համակարգի իրավական հիմքերը: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Ընդ որում, անցնցում իրականացնելու համար անցումը կենսաթոշակների վճարման անկանխիկ համակարգի կիրականացվի փուլային՝ նախ Երևան, Գյումրի և Վանաձոր քաղաքներում, ապա մնացած քաղաքային բնակավայրերում, իսկ վերջում՝ 1000-ից ավել բնակիչ ունեցող գյուղական բնակավայրերում։</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Կենսաթոշակների վճարումը կանխիկ եղանակով կշարունակվի` </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ա. կենսաթոշակների անկանխիկ եղանակով վճարման պահանջն ուժի մեջ մտնելու օրվա դրությամբ կանխիկ եղանակով վճարվելու (օրենքով քաղաքացուն տրված` կենսաթոշակի վճարման եղանակն ընտրելու իրավունքն իրացված լինելու) դեպքում՝ մինչև կենսաթոշակի վճարման եղանակը փոխելու դիմում ներկայացնելը կամ կենսաթոշակ վճարելը կամ կենսաթոշակ ստանալու իրավունքը դադարեցնելը,</w:t>
            </w:r>
          </w:p>
          <w:p w:rsidR="00514E01" w:rsidRPr="0053423A" w:rsidRDefault="00514E01" w:rsidP="00A67858">
            <w:pPr>
              <w:spacing w:line="276" w:lineRule="auto"/>
              <w:jc w:val="both"/>
              <w:rPr>
                <w:rFonts w:eastAsia="Times New Roman" w:cs="Times New Roman"/>
                <w:sz w:val="20"/>
                <w:szCs w:val="20"/>
                <w:lang w:val="hy-AM"/>
              </w:rPr>
            </w:pPr>
            <w:r w:rsidRPr="0053423A">
              <w:rPr>
                <w:rFonts w:eastAsia="Times New Roman" w:cs="Times New Roman"/>
                <w:sz w:val="20"/>
                <w:szCs w:val="20"/>
                <w:lang w:val="hy-AM"/>
              </w:rPr>
              <w:t>բ. եթե կենսաթոշակառուն ունի ազատ տեղաշարժվելու սահմանափակում։</w:t>
            </w:r>
          </w:p>
          <w:p w:rsidR="00514E01" w:rsidRPr="0053423A" w:rsidRDefault="00514E01" w:rsidP="00A67858">
            <w:pPr>
              <w:spacing w:line="276" w:lineRule="auto"/>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514E01" w:rsidRPr="0053423A" w:rsidRDefault="00514E01" w:rsidP="00A67858">
            <w:pPr>
              <w:spacing w:line="276" w:lineRule="auto"/>
              <w:rPr>
                <w:sz w:val="20"/>
                <w:szCs w:val="20"/>
                <w:lang w:val="hy-AM"/>
              </w:rPr>
            </w:pPr>
            <w:r w:rsidRPr="0053423A">
              <w:rPr>
                <w:rFonts w:eastAsia="Times New Roman" w:cs="Times New Roman"/>
                <w:sz w:val="20"/>
                <w:szCs w:val="20"/>
                <w:lang w:val="hy-AM"/>
              </w:rPr>
              <w:t>Միջոցառման արդյունքում ակնկալվում է աստիճանաբար անցում կատարել կենսաթոշակների վճարման անկանխիկ համակարգին՝ ապահովելով վճարումների հասցեականությունը, էապես նվազեցնելով առկա ռիսկերը և արդյունավետ օգտագործել բյուջետային միջոցները։</w:t>
            </w:r>
          </w:p>
        </w:tc>
      </w:tr>
    </w:tbl>
    <w:p w:rsidR="00365399" w:rsidRPr="001F6D5D" w:rsidRDefault="00365399">
      <w:pPr>
        <w:rPr>
          <w:sz w:val="20"/>
          <w:szCs w:val="20"/>
          <w:lang w:val="hy-AM"/>
        </w:rPr>
      </w:pPr>
    </w:p>
    <w:tbl>
      <w:tblPr>
        <w:tblStyle w:val="TableGrid"/>
        <w:tblW w:w="11508" w:type="dxa"/>
        <w:tblInd w:w="198" w:type="dxa"/>
        <w:tblLook w:val="04A0" w:firstRow="1" w:lastRow="0" w:firstColumn="1" w:lastColumn="0" w:noHBand="0" w:noVBand="1"/>
      </w:tblPr>
      <w:tblGrid>
        <w:gridCol w:w="630"/>
        <w:gridCol w:w="10878"/>
      </w:tblGrid>
      <w:tr w:rsidR="00E03CA1" w:rsidRPr="0053423A" w:rsidTr="00365399">
        <w:tc>
          <w:tcPr>
            <w:tcW w:w="630" w:type="dxa"/>
            <w:shd w:val="clear" w:color="auto" w:fill="FFFF00"/>
          </w:tcPr>
          <w:p w:rsidR="00E03CA1" w:rsidRPr="0053423A" w:rsidRDefault="00E03CA1" w:rsidP="00A67858">
            <w:pPr>
              <w:spacing w:line="276" w:lineRule="auto"/>
              <w:jc w:val="center"/>
              <w:rPr>
                <w:lang w:val="hy-AM"/>
              </w:rPr>
            </w:pPr>
          </w:p>
        </w:tc>
        <w:tc>
          <w:tcPr>
            <w:tcW w:w="10878" w:type="dxa"/>
            <w:shd w:val="clear" w:color="auto" w:fill="FFFF00"/>
          </w:tcPr>
          <w:p w:rsidR="00E03CA1" w:rsidRPr="0053423A" w:rsidRDefault="00E03CA1" w:rsidP="00A67858">
            <w:pPr>
              <w:spacing w:line="276" w:lineRule="auto"/>
              <w:jc w:val="center"/>
              <w:rPr>
                <w:rFonts w:cs="Sylfaen"/>
                <w:b/>
              </w:rPr>
            </w:pPr>
            <w:r w:rsidRPr="0053423A">
              <w:rPr>
                <w:rFonts w:cs="Sylfaen"/>
                <w:b/>
                <w:lang w:val="hy-AM" w:eastAsia="en-GB"/>
              </w:rPr>
              <w:t>Առողջապահության նախարարություն</w:t>
            </w:r>
          </w:p>
        </w:tc>
      </w:tr>
    </w:tbl>
    <w:p w:rsidR="00365399" w:rsidRPr="0053423A" w:rsidRDefault="00365399">
      <w:pPr>
        <w:rPr>
          <w:sz w:val="20"/>
          <w:szCs w:val="20"/>
        </w:rPr>
      </w:pPr>
    </w:p>
    <w:tbl>
      <w:tblPr>
        <w:tblStyle w:val="TableGrid"/>
        <w:tblW w:w="11508" w:type="dxa"/>
        <w:tblInd w:w="198" w:type="dxa"/>
        <w:tblLook w:val="04A0" w:firstRow="1" w:lastRow="0" w:firstColumn="1" w:lastColumn="0" w:noHBand="0" w:noVBand="1"/>
      </w:tblPr>
      <w:tblGrid>
        <w:gridCol w:w="630"/>
        <w:gridCol w:w="10878"/>
      </w:tblGrid>
      <w:tr w:rsidR="00764E6F" w:rsidRPr="00DE2EFA" w:rsidTr="009843B0">
        <w:tc>
          <w:tcPr>
            <w:tcW w:w="630" w:type="dxa"/>
          </w:tcPr>
          <w:p w:rsidR="00764E6F" w:rsidRPr="0053423A" w:rsidRDefault="009843B0" w:rsidP="00A67858">
            <w:pPr>
              <w:spacing w:line="276" w:lineRule="auto"/>
              <w:jc w:val="center"/>
            </w:pPr>
            <w:r w:rsidRPr="0053423A">
              <w:rPr>
                <w:lang w:val="hy-AM"/>
              </w:rPr>
              <w:t>2</w:t>
            </w:r>
            <w:r w:rsidR="00764E6F" w:rsidRPr="0053423A">
              <w:t>1</w:t>
            </w:r>
          </w:p>
        </w:tc>
        <w:tc>
          <w:tcPr>
            <w:tcW w:w="10878" w:type="dxa"/>
          </w:tcPr>
          <w:p w:rsidR="00764E6F" w:rsidRPr="0053423A" w:rsidRDefault="009843B0" w:rsidP="00A67858">
            <w:pPr>
              <w:spacing w:line="276" w:lineRule="auto"/>
              <w:jc w:val="center"/>
              <w:rPr>
                <w:b/>
              </w:rPr>
            </w:pPr>
            <w:r w:rsidRPr="0053423A">
              <w:rPr>
                <w:rFonts w:cs="Sylfaen"/>
                <w:b/>
                <w:lang w:val="hy-AM"/>
              </w:rPr>
              <w:t>2</w:t>
            </w:r>
            <w:r w:rsidR="00764E6F" w:rsidRPr="0053423A">
              <w:rPr>
                <w:rFonts w:cs="Sylfaen"/>
                <w:b/>
              </w:rPr>
              <w:t>1</w:t>
            </w:r>
            <w:r w:rsidR="00764E6F" w:rsidRPr="0053423A">
              <w:rPr>
                <w:rFonts w:cs="Sylfaen"/>
                <w:b/>
                <w:lang w:val="hy-AM"/>
              </w:rPr>
              <w:t>.</w:t>
            </w:r>
            <w:r w:rsidR="00764E6F" w:rsidRPr="0053423A">
              <w:rPr>
                <w:rFonts w:cs="Sylfaen"/>
                <w:b/>
              </w:rPr>
              <w:t>1</w:t>
            </w:r>
            <w:r w:rsidR="00764E6F" w:rsidRPr="0053423A">
              <w:rPr>
                <w:rFonts w:cs="Sylfaen"/>
                <w:b/>
                <w:lang w:val="hy-AM"/>
              </w:rPr>
              <w:t xml:space="preserve"> Առողջ</w:t>
            </w:r>
            <w:r w:rsidR="00764E6F" w:rsidRPr="0053423A">
              <w:rPr>
                <w:b/>
                <w:lang w:val="hy-AM"/>
              </w:rPr>
              <w:t xml:space="preserve"> ապրելակերպի, այդ թվում</w:t>
            </w:r>
            <w:r w:rsidR="00764E6F" w:rsidRPr="0053423A">
              <w:rPr>
                <w:b/>
              </w:rPr>
              <w:t>`</w:t>
            </w:r>
            <w:r w:rsidR="00764E6F" w:rsidRPr="0053423A">
              <w:rPr>
                <w:b/>
                <w:lang w:val="hy-AM"/>
              </w:rPr>
              <w:t xml:space="preserve"> ծխախոտի օգտագործման և ծխախոտի ծխի</w:t>
            </w:r>
          </w:p>
          <w:p w:rsidR="00764E6F" w:rsidRPr="0053423A" w:rsidRDefault="00764E6F" w:rsidP="00A67858">
            <w:pPr>
              <w:tabs>
                <w:tab w:val="left" w:pos="459"/>
              </w:tabs>
              <w:spacing w:line="276" w:lineRule="auto"/>
              <w:jc w:val="center"/>
              <w:rPr>
                <w:b/>
                <w:lang w:val="hy-AM"/>
              </w:rPr>
            </w:pPr>
            <w:r w:rsidRPr="0053423A">
              <w:rPr>
                <w:b/>
                <w:lang w:val="hy-AM"/>
              </w:rPr>
              <w:t>վնասակար  ազդեցության  վերաբերյալ հանրային իրազեկման արշավի իրականացում</w:t>
            </w:r>
            <w:r w:rsidRPr="0053423A">
              <w:rPr>
                <w:b/>
              </w:rPr>
              <w:t xml:space="preserve"> </w:t>
            </w:r>
            <w:r w:rsidRPr="0053423A">
              <w:rPr>
                <w:b/>
                <w:lang w:val="hy-AM"/>
              </w:rPr>
              <w:t>(հեռուստատեսու</w:t>
            </w:r>
            <w:r w:rsidRPr="0053423A">
              <w:rPr>
                <w:b/>
                <w:lang w:val="hy-AM"/>
              </w:rPr>
              <w:softHyphen/>
              <w:t>թյամբ` հաղորդումներով, սոցիալական տեսահոլովակներով, ռադիո հաղորդա</w:t>
            </w:r>
            <w:r w:rsidRPr="0053423A">
              <w:rPr>
                <w:b/>
                <w:lang w:val="hy-AM"/>
              </w:rPr>
              <w:softHyphen/>
              <w:t>շարերի, տպագիր մամուլի և ցուցապաստառների միջոցով)</w:t>
            </w:r>
          </w:p>
          <w:p w:rsidR="00764E6F" w:rsidRPr="0053423A" w:rsidRDefault="00764E6F" w:rsidP="00A67858">
            <w:pPr>
              <w:spacing w:line="276" w:lineRule="auto"/>
              <w:jc w:val="center"/>
              <w:rPr>
                <w:rFonts w:cs="Sylfaen"/>
                <w:b/>
                <w:lang w:val="hy-AM"/>
              </w:rPr>
            </w:pPr>
          </w:p>
          <w:p w:rsidR="00764E6F" w:rsidRPr="0053423A" w:rsidRDefault="00764E6F" w:rsidP="00A67858">
            <w:pPr>
              <w:spacing w:line="276" w:lineRule="auto"/>
              <w:jc w:val="both"/>
              <w:rPr>
                <w:rFonts w:cs="Sylfaen"/>
                <w:b/>
                <w:lang w:val="hy-AM"/>
              </w:rPr>
            </w:pPr>
            <w:r w:rsidRPr="0053423A">
              <w:rPr>
                <w:rFonts w:cs="Sylfaen"/>
                <w:b/>
                <w:lang w:val="hy-AM"/>
              </w:rPr>
              <w:t xml:space="preserve">   1. Միջոցառման անհրաժեշտությունը և նպատակը.</w:t>
            </w:r>
          </w:p>
          <w:p w:rsidR="00764E6F" w:rsidRPr="0053423A" w:rsidRDefault="00764E6F" w:rsidP="00A67858">
            <w:pPr>
              <w:spacing w:line="276" w:lineRule="auto"/>
              <w:jc w:val="both"/>
              <w:rPr>
                <w:rFonts w:cs="Sylfaen"/>
                <w:lang w:val="hy-AM"/>
              </w:rPr>
            </w:pPr>
            <w:r w:rsidRPr="0053423A">
              <w:rPr>
                <w:rFonts w:cs="Sylfaen"/>
                <w:b/>
                <w:lang w:val="hy-AM"/>
              </w:rPr>
              <w:t xml:space="preserve">   </w:t>
            </w:r>
            <w:r w:rsidRPr="0053423A">
              <w:rPr>
                <w:rFonts w:cs="Sylfaen"/>
                <w:lang w:val="hy-AM"/>
              </w:rPr>
              <w:t xml:space="preserve">Համաձայն ԱՀԿ-ի և միջազգային փորձագետների գնահատման արդյունքների Հայաստանի Հանրապետությունում առավել տարածված ՈՎՀ-երի (արյան շրջանառության համակարգի հիվանդություններ, չարորակ նորագոյացություններ, շաքարային դիաբետ, թոքերի քրոնիկ օբստրուկտիվ  հիվանդություններ) հետ կապված համատեղ ընդհանուր գնահատված ծախսերը կազմում են 356,4 մլրդ դրամ (ՀՆԱ-ի 6.4%): Պետության կողմից կատարվող անուղղակի ծախսերը կազմում են 67,7 մլրդ դրամ, իսկ տնտեսության անուղղակի ծախսերը 288,8 մլրդ դրամ:  </w:t>
            </w:r>
          </w:p>
          <w:p w:rsidR="00764E6F" w:rsidRPr="0053423A" w:rsidRDefault="00764E6F" w:rsidP="00A67858">
            <w:pPr>
              <w:spacing w:line="276" w:lineRule="auto"/>
              <w:jc w:val="both"/>
              <w:rPr>
                <w:rFonts w:cs="Sylfaen"/>
                <w:lang w:val="hy-AM"/>
              </w:rPr>
            </w:pPr>
            <w:r w:rsidRPr="0053423A">
              <w:rPr>
                <w:rFonts w:cs="Sylfaen"/>
                <w:lang w:val="hy-AM"/>
              </w:rPr>
              <w:t>Ոչ վարակիչ հիվանդությունների ռիսկի գործոնների վերաբերյալ բնակչության իրազեկվածության բարձրացումը և առողջ ապրելակերպի խթանումը կնպաստի ոչ վարակիչ հիվանդություններով պայմանավորված հիվանդացության բեռի և վաղաժամ մահացության նվազեցմանը, ինչպես նաև ոչ վարակիչ հիվանդություններով պայմանավորված տնտեսական բեռի նվազեցմանը:</w:t>
            </w:r>
          </w:p>
          <w:p w:rsidR="00764E6F" w:rsidRPr="0053423A" w:rsidRDefault="00764E6F" w:rsidP="00A67858">
            <w:pPr>
              <w:spacing w:line="276" w:lineRule="auto"/>
              <w:jc w:val="both"/>
              <w:rPr>
                <w:rFonts w:cs="Sylfaen"/>
                <w:b/>
                <w:lang w:val="hy-AM"/>
              </w:rPr>
            </w:pPr>
          </w:p>
          <w:p w:rsidR="00764E6F" w:rsidRPr="0053423A" w:rsidRDefault="00764E6F" w:rsidP="00A67858">
            <w:pPr>
              <w:numPr>
                <w:ilvl w:val="1"/>
                <w:numId w:val="8"/>
              </w:numPr>
              <w:spacing w:line="276" w:lineRule="auto"/>
              <w:contextualSpacing/>
              <w:jc w:val="both"/>
              <w:rPr>
                <w:rFonts w:eastAsia="Calibri" w:cs="Sylfaen"/>
                <w:b/>
                <w:lang w:val="hy-AM"/>
              </w:rPr>
            </w:pPr>
            <w:r w:rsidRPr="0053423A">
              <w:rPr>
                <w:rFonts w:eastAsia="Calibri" w:cs="Sylfaen"/>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contextualSpacing/>
              <w:jc w:val="both"/>
              <w:rPr>
                <w:rFonts w:cs="Sylfaen"/>
                <w:lang w:val="hy-AM"/>
              </w:rPr>
            </w:pPr>
            <w:r w:rsidRPr="0053423A">
              <w:rPr>
                <w:rFonts w:cs="Sylfaen"/>
                <w:lang w:val="hy-AM"/>
              </w:rPr>
              <w:t xml:space="preserve">   Ներկայում, ապրելակերպն ու վարքագիծը պայմանավորում են հիվանդությունների գլոբալ բեռի ավելի քան 25%-ը: Մահացության, հիվանդացության և հաշմանդամության բարձր մակարդակների համար պատասխանատու հիվանդությունների (սիրտ-անոթային հիվանդություններ, նորագոյացություններ, մահվան արտաքին պատճառներ, շնչառական և մարսողական համակարգերի հիվանդություններ) զարգացման ռիսկի գլխավոր գործոնները կապված են ապրելակերպի և վնասկար վարքագծային սովորությունների հետ: Առողջ ապրելակերպի ձևավորումը կարևորագույն առողջապահական կարողություն է, որի ուղղությամբ զգալի և բազմոլորտ գործողություններ են անհրաժեշտ:</w:t>
            </w:r>
          </w:p>
          <w:p w:rsidR="00764E6F" w:rsidRPr="0053423A" w:rsidRDefault="00764E6F" w:rsidP="00A67858">
            <w:pPr>
              <w:spacing w:line="276" w:lineRule="auto"/>
              <w:contextualSpacing/>
              <w:jc w:val="both"/>
              <w:rPr>
                <w:rFonts w:eastAsia="Calibri" w:cs="Sylfaen"/>
                <w:b/>
                <w:lang w:val="hy-AM"/>
              </w:rPr>
            </w:pPr>
          </w:p>
          <w:p w:rsidR="00764E6F" w:rsidRPr="0053423A" w:rsidRDefault="00764E6F" w:rsidP="00A67858">
            <w:pPr>
              <w:spacing w:line="276" w:lineRule="auto"/>
              <w:jc w:val="both"/>
              <w:rPr>
                <w:rFonts w:cs="Sylfaen"/>
                <w:b/>
                <w:lang w:val="hy-AM"/>
              </w:rPr>
            </w:pPr>
            <w:r w:rsidRPr="0053423A">
              <w:rPr>
                <w:rFonts w:cs="Sylfaen"/>
                <w:b/>
                <w:lang w:val="hy-AM"/>
              </w:rPr>
              <w:t xml:space="preserve">   1.2. Առկա խնդիրների առաջարկվող լուծումները</w:t>
            </w:r>
          </w:p>
          <w:p w:rsidR="00764E6F" w:rsidRPr="0053423A" w:rsidRDefault="00764E6F" w:rsidP="00A67858">
            <w:pPr>
              <w:spacing w:line="276" w:lineRule="auto"/>
              <w:jc w:val="both"/>
              <w:rPr>
                <w:rFonts w:cs="Sylfaen"/>
                <w:lang w:val="hy-AM"/>
              </w:rPr>
            </w:pPr>
            <w:r w:rsidRPr="0053423A">
              <w:rPr>
                <w:rFonts w:cs="Sylfaen"/>
                <w:lang w:val="hy-AM"/>
              </w:rPr>
              <w:t xml:space="preserve">   Իրականացնել առողջ կենսակերպի վերաբերյալ հանրային</w:t>
            </w:r>
            <w:r w:rsidRPr="0053423A">
              <w:rPr>
                <w:lang w:val="hy-AM"/>
              </w:rPr>
              <w:t xml:space="preserve"> </w:t>
            </w:r>
            <w:r w:rsidRPr="0053423A">
              <w:rPr>
                <w:rFonts w:cs="Sylfaen"/>
                <w:lang w:val="hy-AM"/>
              </w:rPr>
              <w:t>տարբեր</w:t>
            </w:r>
            <w:r w:rsidRPr="0053423A">
              <w:rPr>
                <w:lang w:val="hy-AM"/>
              </w:rPr>
              <w:t xml:space="preserve"> </w:t>
            </w:r>
            <w:r w:rsidRPr="0053423A">
              <w:rPr>
                <w:rFonts w:cs="Sylfaen"/>
                <w:lang w:val="hy-AM"/>
              </w:rPr>
              <w:t>խմբերին</w:t>
            </w:r>
            <w:r w:rsidRPr="0053423A">
              <w:rPr>
                <w:lang w:val="hy-AM"/>
              </w:rPr>
              <w:t xml:space="preserve"> </w:t>
            </w:r>
            <w:r w:rsidRPr="0053423A">
              <w:rPr>
                <w:rFonts w:cs="Sylfaen"/>
                <w:lang w:val="hy-AM"/>
              </w:rPr>
              <w:t>ուղղված</w:t>
            </w:r>
            <w:r w:rsidRPr="0053423A">
              <w:rPr>
                <w:lang w:val="hy-AM"/>
              </w:rPr>
              <w:t xml:space="preserve"> </w:t>
            </w:r>
            <w:r w:rsidRPr="0053423A">
              <w:rPr>
                <w:rFonts w:cs="Sylfaen"/>
                <w:lang w:val="hy-AM"/>
              </w:rPr>
              <w:t>թիրախային</w:t>
            </w:r>
            <w:r w:rsidRPr="0053423A">
              <w:rPr>
                <w:lang w:val="hy-AM"/>
              </w:rPr>
              <w:t xml:space="preserve"> </w:t>
            </w:r>
            <w:r w:rsidRPr="0053423A">
              <w:rPr>
                <w:rFonts w:cs="Sylfaen"/>
                <w:lang w:val="hy-AM"/>
              </w:rPr>
              <w:t>իրազեկման</w:t>
            </w:r>
            <w:r w:rsidRPr="0053423A">
              <w:rPr>
                <w:lang w:val="hy-AM"/>
              </w:rPr>
              <w:t xml:space="preserve"> </w:t>
            </w:r>
            <w:r w:rsidRPr="0053423A">
              <w:rPr>
                <w:rFonts w:cs="Sylfaen"/>
                <w:lang w:val="hy-AM"/>
              </w:rPr>
              <w:t>ծրագրեր, ներառյալ` հեռուստա-հաղորդումներ, ռադիո- հաղորդաշարեր, տպագիր մամուլով իրազեկում և այլն:</w:t>
            </w:r>
          </w:p>
          <w:p w:rsidR="00764E6F" w:rsidRPr="0053423A" w:rsidRDefault="00764E6F" w:rsidP="00A67858">
            <w:pPr>
              <w:spacing w:line="276" w:lineRule="auto"/>
              <w:jc w:val="both"/>
              <w:rPr>
                <w:lang w:val="hy-AM"/>
              </w:rPr>
            </w:pPr>
            <w:r w:rsidRPr="0053423A">
              <w:rPr>
                <w:rFonts w:cs="Sylfaen"/>
                <w:lang w:val="hy-AM"/>
              </w:rPr>
              <w:t xml:space="preserve">   Հանրային իրազեկման միջոցառումների իրականացման հարցում անհրաժեշտ է միջճյուղային համագործակցություն` բոլոր շահագրգիռ գերատեսչությունների, այդ թվում </w:t>
            </w:r>
            <w:r w:rsidRPr="0053423A">
              <w:rPr>
                <w:color w:val="000000"/>
                <w:lang w:val="hy-AM"/>
              </w:rPr>
              <w:t xml:space="preserve">Կրթության և գիտության նախարարության, Պաշտպանության նախարարության, </w:t>
            </w:r>
            <w:r w:rsidRPr="0053423A">
              <w:rPr>
                <w:lang w:val="hy-AM"/>
              </w:rPr>
              <w:t>Ոստիկանության, Առողջապահական և աշխատանքի տեսչական մարմնի, Երևանի քաղաքապետարանի,  ՀՀ մարզպետարանների</w:t>
            </w:r>
            <w:r w:rsidRPr="0053423A">
              <w:rPr>
                <w:rFonts w:cs="Sylfaen"/>
                <w:lang w:val="hy-AM"/>
              </w:rPr>
              <w:t xml:space="preserve"> հետ</w:t>
            </w:r>
            <w:r w:rsidRPr="0053423A">
              <w:rPr>
                <w:lang w:val="hy-AM"/>
              </w:rPr>
              <w:t>` իրենց լիազորությունների շրջանակներում:</w:t>
            </w:r>
          </w:p>
          <w:p w:rsidR="00764E6F" w:rsidRPr="0053423A" w:rsidRDefault="00764E6F" w:rsidP="00A67858">
            <w:pPr>
              <w:spacing w:line="276" w:lineRule="auto"/>
              <w:jc w:val="both"/>
              <w:rPr>
                <w:rFonts w:cs="Sylfaen"/>
                <w:b/>
                <w:lang w:val="hy-AM"/>
              </w:rPr>
            </w:pPr>
            <w:r w:rsidRPr="0053423A">
              <w:rPr>
                <w:rFonts w:cs="Sylfaen"/>
                <w:b/>
                <w:lang w:val="hy-AM"/>
              </w:rPr>
              <w:t xml:space="preserve">   2. Միջոցառման իրականացումից ակնկալվող արդյունքը</w:t>
            </w:r>
          </w:p>
          <w:p w:rsidR="00764E6F" w:rsidRPr="0053423A" w:rsidRDefault="00764E6F" w:rsidP="00A67858">
            <w:pPr>
              <w:spacing w:line="276" w:lineRule="auto"/>
              <w:jc w:val="both"/>
              <w:rPr>
                <w:rFonts w:cs="Sylfaen"/>
                <w:lang w:val="hy-AM"/>
              </w:rPr>
            </w:pPr>
            <w:r w:rsidRPr="0053423A">
              <w:rPr>
                <w:lang w:val="hy-AM"/>
              </w:rPr>
              <w:t xml:space="preserve">   Անառողջ սնուցման, ֆիզիկական թերակտիվության, ալկոհոլի չարաշահման, ծխելու և ծխախոտի երկրորդային ծխի հետևանքով առողջությանը հասցված վնասների վերաբերյալ իրազեկվածության բարձրացումը և առողջ ապրելակերպի խթանումը </w:t>
            </w:r>
            <w:r w:rsidRPr="0053423A">
              <w:rPr>
                <w:rFonts w:cs="Sylfaen"/>
                <w:lang w:val="hy-AM"/>
              </w:rPr>
              <w:t>կնպաստի ոչ վարակիչ հիվանդություններով պայմանավորված հիվանդացության բեռի և վաղաժամ մահացության նվազեցմանը, ինչպես նաև ոչ վարակիչ հիվանդություններով պայմանավորված տնտեսական բեռի նվազեցմանը:</w:t>
            </w:r>
          </w:p>
          <w:p w:rsidR="00764E6F" w:rsidRPr="0053423A" w:rsidRDefault="00764E6F" w:rsidP="00A67858">
            <w:pPr>
              <w:spacing w:line="276" w:lineRule="auto"/>
              <w:jc w:val="center"/>
              <w:rPr>
                <w:rFonts w:cs="Sylfaen"/>
                <w:b/>
                <w:lang w:val="hy-AM"/>
              </w:rPr>
            </w:pPr>
          </w:p>
          <w:p w:rsidR="00764E6F" w:rsidRPr="0053423A" w:rsidRDefault="00764E6F" w:rsidP="00A67858">
            <w:pPr>
              <w:spacing w:line="276" w:lineRule="auto"/>
              <w:jc w:val="center"/>
              <w:rPr>
                <w:rFonts w:cs="Sylfaen"/>
                <w:b/>
                <w:lang w:val="hy-AM"/>
              </w:rPr>
            </w:pPr>
          </w:p>
          <w:p w:rsidR="00764E6F" w:rsidRPr="0053423A" w:rsidRDefault="009843B0" w:rsidP="00A67858">
            <w:pPr>
              <w:spacing w:line="276" w:lineRule="auto"/>
              <w:jc w:val="center"/>
              <w:rPr>
                <w:rFonts w:cs="Sylfaen"/>
                <w:b/>
                <w:lang w:val="hy-AM"/>
              </w:rPr>
            </w:pPr>
            <w:r w:rsidRPr="0053423A">
              <w:rPr>
                <w:rFonts w:cs="Sylfaen"/>
                <w:b/>
                <w:lang w:val="hy-AM"/>
              </w:rPr>
              <w:t>2</w:t>
            </w:r>
            <w:r w:rsidR="00764E6F" w:rsidRPr="0053423A">
              <w:rPr>
                <w:rFonts w:cs="Sylfaen"/>
                <w:b/>
                <w:lang w:val="hy-AM"/>
              </w:rPr>
              <w:t>1.2. Առողջության առաջնային պահպանման օղակի թերապևտների/ընտանեկան բժիշկների վերապատրաստման դասընթացների իրականացում` ծխելու դադարեցմանն ուղղված բուժման և խորհրդատվության վերաբերյալ</w:t>
            </w:r>
          </w:p>
          <w:p w:rsidR="00764E6F" w:rsidRPr="0053423A" w:rsidRDefault="00764E6F" w:rsidP="00A67858">
            <w:pPr>
              <w:spacing w:line="276" w:lineRule="auto"/>
              <w:jc w:val="center"/>
              <w:rPr>
                <w:rFonts w:cs="Sylfaen"/>
                <w:b/>
                <w:lang w:val="hy-AM"/>
              </w:rPr>
            </w:pPr>
          </w:p>
          <w:p w:rsidR="00764E6F" w:rsidRPr="0053423A" w:rsidRDefault="00764E6F" w:rsidP="00A67858">
            <w:pPr>
              <w:spacing w:line="276" w:lineRule="auto"/>
              <w:jc w:val="both"/>
              <w:rPr>
                <w:rFonts w:cs="Sylfaen"/>
                <w:b/>
                <w:lang w:val="hy-AM"/>
              </w:rPr>
            </w:pPr>
            <w:r w:rsidRPr="0053423A">
              <w:rPr>
                <w:rFonts w:cs="Sylfaen"/>
                <w:b/>
                <w:lang w:val="hy-AM"/>
              </w:rPr>
              <w:t xml:space="preserve">     1. Միջոցառման անհրաժեշտությունը և նպատակը. </w:t>
            </w:r>
          </w:p>
          <w:p w:rsidR="00764E6F" w:rsidRPr="0053423A" w:rsidRDefault="00764E6F" w:rsidP="00A67858">
            <w:pPr>
              <w:spacing w:line="276" w:lineRule="auto"/>
              <w:jc w:val="both"/>
              <w:rPr>
                <w:rFonts w:cs="Sylfaen"/>
                <w:lang w:val="hy-AM"/>
              </w:rPr>
            </w:pPr>
            <w:r w:rsidRPr="0053423A">
              <w:rPr>
                <w:rFonts w:cs="Sylfaen"/>
                <w:lang w:val="hy-AM"/>
              </w:rPr>
              <w:t xml:space="preserve">     Ծխախոտի օգտագործումը ռիսկի գործոն է ՈՎՀ-ի զարգացման հարցում և դրա հետևանքով առաջացած ՈՎՀ-ի հիվանդացության և մահացության բարձր ցուցանիշները առողջապահական և տնտեսական լուրջ խնդիրներ են ստեղծում: Ծխախոտի ռիսկի գործոնի տարածվածության կրճատումը նպաստում է առողջության ցուցանիշների բարելավմանը, մասնավորապես, կյանքի սպասվող տևողության աճին, ՈՎՀ-ի տարածվածության և մահացության կրճատմանը:</w:t>
            </w:r>
          </w:p>
          <w:p w:rsidR="00764E6F" w:rsidRPr="0053423A" w:rsidRDefault="00764E6F" w:rsidP="00A67858">
            <w:pPr>
              <w:spacing w:line="276" w:lineRule="auto"/>
              <w:jc w:val="both"/>
              <w:rPr>
                <w:rFonts w:cs="Sylfaen"/>
                <w:lang w:val="hy-AM"/>
              </w:rPr>
            </w:pPr>
            <w:r w:rsidRPr="0053423A">
              <w:rPr>
                <w:rFonts w:cs="Sylfaen"/>
                <w:lang w:val="hy-AM"/>
              </w:rPr>
              <w:t xml:space="preserve">    Համաձայն ԱՀԿ-ի՝ այն պետությունները, որոնք իրականացնում են ծխելու   հակազդմանն ուղղված ռազմավարություններ և ծրագրեր, ներառյալ ծխելը դադարեցնելու վերաբերյալ բժշկական անձնակազմի կողմից խորհրդատվության տրամադրման ծառայությունները, հետագայում ստանում են զգալի դրական արդյունքներ՝ ազգաբնակչության առողջության և բարեկեցության, աշխատանքի արտադրողականության բարձրացման և սոցիալական զարգացման առումով: </w:t>
            </w:r>
          </w:p>
          <w:p w:rsidR="00764E6F" w:rsidRPr="0053423A" w:rsidRDefault="00764E6F" w:rsidP="00A67858">
            <w:pPr>
              <w:spacing w:line="276" w:lineRule="auto"/>
              <w:jc w:val="both"/>
              <w:rPr>
                <w:rFonts w:cs="Sylfaen"/>
                <w:lang w:val="hy-AM"/>
              </w:rPr>
            </w:pPr>
          </w:p>
          <w:p w:rsidR="00764E6F" w:rsidRPr="0053423A" w:rsidRDefault="00764E6F" w:rsidP="00A67858">
            <w:pPr>
              <w:spacing w:line="276" w:lineRule="auto"/>
              <w:jc w:val="both"/>
              <w:rPr>
                <w:rFonts w:cs="Sylfaen"/>
                <w:b/>
                <w:lang w:val="hy-AM"/>
              </w:rPr>
            </w:pPr>
            <w:r w:rsidRPr="0053423A">
              <w:rPr>
                <w:rFonts w:cs="Sylfaen"/>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jc w:val="both"/>
              <w:rPr>
                <w:lang w:val="hy-AM"/>
              </w:rPr>
            </w:pPr>
            <w:r w:rsidRPr="0053423A">
              <w:rPr>
                <w:rFonts w:cs="Sylfaen"/>
                <w:lang w:val="hy-AM"/>
              </w:rPr>
              <w:t xml:space="preserve">   Վիճակագրական</w:t>
            </w:r>
            <w:r w:rsidRPr="0053423A">
              <w:rPr>
                <w:lang w:val="hy-AM"/>
              </w:rPr>
              <w:t xml:space="preserve"> </w:t>
            </w:r>
            <w:r w:rsidRPr="0053423A">
              <w:rPr>
                <w:rFonts w:cs="Sylfaen"/>
                <w:lang w:val="hy-AM"/>
              </w:rPr>
              <w:t>տվյալների</w:t>
            </w:r>
            <w:r w:rsidRPr="0053423A">
              <w:rPr>
                <w:lang w:val="hy-AM"/>
              </w:rPr>
              <w:t xml:space="preserve"> </w:t>
            </w:r>
            <w:r w:rsidRPr="0053423A">
              <w:rPr>
                <w:rFonts w:cs="Sylfaen"/>
                <w:lang w:val="hy-AM"/>
              </w:rPr>
              <w:t>համաձայն</w:t>
            </w:r>
            <w:r w:rsidRPr="0053423A">
              <w:rPr>
                <w:lang w:val="hy-AM"/>
              </w:rPr>
              <w:t xml:space="preserve"> </w:t>
            </w:r>
            <w:r w:rsidRPr="0053423A">
              <w:rPr>
                <w:rFonts w:cs="Sylfaen"/>
                <w:lang w:val="hy-AM"/>
              </w:rPr>
              <w:t>ՀՀ</w:t>
            </w:r>
            <w:r w:rsidRPr="0053423A">
              <w:rPr>
                <w:lang w:val="hy-AM"/>
              </w:rPr>
              <w:t xml:space="preserve"> </w:t>
            </w:r>
            <w:r w:rsidRPr="0053423A">
              <w:rPr>
                <w:rFonts w:cs="Sylfaen"/>
                <w:lang w:val="hy-AM"/>
              </w:rPr>
              <w:t>մեծահասակ</w:t>
            </w:r>
            <w:r w:rsidRPr="0053423A">
              <w:rPr>
                <w:lang w:val="hy-AM"/>
              </w:rPr>
              <w:t xml:space="preserve"> (</w:t>
            </w:r>
            <w:r w:rsidRPr="0053423A">
              <w:rPr>
                <w:rFonts w:cs="Sylfaen"/>
                <w:lang w:val="hy-AM"/>
              </w:rPr>
              <w:t>սկսած</w:t>
            </w:r>
            <w:r w:rsidRPr="0053423A">
              <w:rPr>
                <w:lang w:val="hy-AM"/>
              </w:rPr>
              <w:t xml:space="preserve"> 16 </w:t>
            </w:r>
            <w:r w:rsidRPr="0053423A">
              <w:rPr>
                <w:rFonts w:cs="Sylfaen"/>
                <w:lang w:val="hy-AM"/>
              </w:rPr>
              <w:t>տարեկանից</w:t>
            </w:r>
            <w:r w:rsidRPr="0053423A">
              <w:rPr>
                <w:lang w:val="hy-AM"/>
              </w:rPr>
              <w:t xml:space="preserve">) </w:t>
            </w:r>
            <w:r w:rsidRPr="0053423A">
              <w:rPr>
                <w:rFonts w:cs="Sylfaen"/>
                <w:lang w:val="hy-AM"/>
              </w:rPr>
              <w:t>բնակչության</w:t>
            </w:r>
            <w:r w:rsidRPr="0053423A">
              <w:rPr>
                <w:lang w:val="hy-AM"/>
              </w:rPr>
              <w:t xml:space="preserve"> 25%-</w:t>
            </w:r>
            <w:r w:rsidRPr="0053423A">
              <w:rPr>
                <w:rFonts w:cs="Sylfaen"/>
                <w:lang w:val="hy-AM"/>
              </w:rPr>
              <w:t>ից</w:t>
            </w:r>
            <w:r w:rsidRPr="0053423A">
              <w:rPr>
                <w:lang w:val="hy-AM"/>
              </w:rPr>
              <w:t xml:space="preserve"> </w:t>
            </w:r>
            <w:r w:rsidRPr="0053423A">
              <w:rPr>
                <w:rFonts w:cs="Sylfaen"/>
                <w:lang w:val="hy-AM"/>
              </w:rPr>
              <w:t>ավելին</w:t>
            </w:r>
            <w:r w:rsidRPr="0053423A">
              <w:rPr>
                <w:lang w:val="hy-AM"/>
              </w:rPr>
              <w:t xml:space="preserve"> </w:t>
            </w:r>
            <w:r w:rsidRPr="0053423A">
              <w:rPr>
                <w:rFonts w:cs="Sylfaen"/>
                <w:lang w:val="hy-AM"/>
              </w:rPr>
              <w:t>կանոնավոր</w:t>
            </w:r>
            <w:r w:rsidRPr="0053423A">
              <w:rPr>
                <w:lang w:val="hy-AM"/>
              </w:rPr>
              <w:t xml:space="preserve"> (</w:t>
            </w:r>
            <w:r w:rsidRPr="0053423A">
              <w:rPr>
                <w:rFonts w:cs="Sylfaen"/>
                <w:lang w:val="hy-AM"/>
              </w:rPr>
              <w:t>ամենօրյա</w:t>
            </w:r>
            <w:r w:rsidRPr="0053423A">
              <w:rPr>
                <w:lang w:val="hy-AM"/>
              </w:rPr>
              <w:t xml:space="preserve">) </w:t>
            </w:r>
            <w:r w:rsidRPr="0053423A">
              <w:rPr>
                <w:rFonts w:cs="Sylfaen"/>
                <w:lang w:val="hy-AM"/>
              </w:rPr>
              <w:t>ծխող</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որտեղ</w:t>
            </w:r>
            <w:r w:rsidRPr="0053423A">
              <w:rPr>
                <w:lang w:val="hy-AM"/>
              </w:rPr>
              <w:t xml:space="preserve"> </w:t>
            </w:r>
            <w:r w:rsidRPr="0053423A">
              <w:rPr>
                <w:rFonts w:cs="Sylfaen"/>
                <w:lang w:val="hy-AM"/>
              </w:rPr>
              <w:t>տղամարդկանց</w:t>
            </w:r>
            <w:r w:rsidRPr="0053423A">
              <w:rPr>
                <w:lang w:val="hy-AM"/>
              </w:rPr>
              <w:t xml:space="preserve"> </w:t>
            </w:r>
            <w:r w:rsidRPr="0053423A">
              <w:rPr>
                <w:rFonts w:cs="Sylfaen"/>
                <w:lang w:val="hy-AM"/>
              </w:rPr>
              <w:t>մասնաբաժինը</w:t>
            </w:r>
            <w:r w:rsidRPr="0053423A">
              <w:rPr>
                <w:lang w:val="hy-AM"/>
              </w:rPr>
              <w:t xml:space="preserve"> </w:t>
            </w:r>
            <w:r w:rsidRPr="0053423A">
              <w:rPr>
                <w:rFonts w:cs="Sylfaen"/>
                <w:lang w:val="hy-AM"/>
              </w:rPr>
              <w:t>գերազանցում</w:t>
            </w:r>
            <w:r w:rsidRPr="0053423A">
              <w:rPr>
                <w:lang w:val="hy-AM"/>
              </w:rPr>
              <w:t xml:space="preserve"> </w:t>
            </w:r>
            <w:r w:rsidRPr="0053423A">
              <w:rPr>
                <w:rFonts w:cs="Sylfaen"/>
                <w:lang w:val="hy-AM"/>
              </w:rPr>
              <w:t>է</w:t>
            </w:r>
            <w:r w:rsidRPr="0053423A">
              <w:rPr>
                <w:lang w:val="hy-AM"/>
              </w:rPr>
              <w:t xml:space="preserve"> 50%-</w:t>
            </w:r>
            <w:r w:rsidRPr="0053423A">
              <w:rPr>
                <w:rFonts w:cs="Sylfaen"/>
                <w:lang w:val="hy-AM"/>
              </w:rPr>
              <w:t>ը</w:t>
            </w:r>
            <w:r w:rsidRPr="0053423A">
              <w:rPr>
                <w:lang w:val="hy-AM"/>
              </w:rPr>
              <w:t>:</w:t>
            </w:r>
          </w:p>
          <w:p w:rsidR="00764E6F" w:rsidRPr="0053423A" w:rsidRDefault="00764E6F" w:rsidP="00A67858">
            <w:pPr>
              <w:spacing w:line="276" w:lineRule="auto"/>
              <w:jc w:val="both"/>
              <w:rPr>
                <w:rFonts w:cs="Sylfaen"/>
                <w:lang w:val="hy-AM"/>
              </w:rPr>
            </w:pPr>
            <w:r w:rsidRPr="0053423A">
              <w:rPr>
                <w:rFonts w:cs="Sylfaen"/>
                <w:lang w:val="hy-AM"/>
              </w:rPr>
              <w:t xml:space="preserve">   Ամեն</w:t>
            </w:r>
            <w:r w:rsidRPr="0053423A">
              <w:rPr>
                <w:lang w:val="hy-AM"/>
              </w:rPr>
              <w:t xml:space="preserve"> </w:t>
            </w:r>
            <w:r w:rsidRPr="0053423A">
              <w:rPr>
                <w:rFonts w:cs="Sylfaen"/>
                <w:lang w:val="hy-AM"/>
              </w:rPr>
              <w:t>օր</w:t>
            </w:r>
            <w:r w:rsidRPr="0053423A">
              <w:rPr>
                <w:lang w:val="hy-AM"/>
              </w:rPr>
              <w:t xml:space="preserve"> </w:t>
            </w:r>
            <w:r w:rsidRPr="0053423A">
              <w:rPr>
                <w:rFonts w:cs="Sylfaen"/>
                <w:lang w:val="hy-AM"/>
              </w:rPr>
              <w:t>ծխող</w:t>
            </w:r>
            <w:r w:rsidRPr="0053423A">
              <w:rPr>
                <w:lang w:val="hy-AM"/>
              </w:rPr>
              <w:t xml:space="preserve"> </w:t>
            </w:r>
            <w:r w:rsidRPr="0053423A">
              <w:rPr>
                <w:rFonts w:cs="Sylfaen"/>
                <w:lang w:val="hy-AM"/>
              </w:rPr>
              <w:t>տղամարդկանց</w:t>
            </w:r>
            <w:r w:rsidRPr="0053423A">
              <w:rPr>
                <w:lang w:val="hy-AM"/>
              </w:rPr>
              <w:t xml:space="preserve"> </w:t>
            </w:r>
            <w:r w:rsidRPr="0053423A">
              <w:rPr>
                <w:rFonts w:cs="Sylfaen"/>
                <w:lang w:val="hy-AM"/>
              </w:rPr>
              <w:t>թիվն</w:t>
            </w:r>
            <w:r w:rsidRPr="0053423A">
              <w:rPr>
                <w:lang w:val="hy-AM"/>
              </w:rPr>
              <w:t xml:space="preserve"> վերջին տարիներին </w:t>
            </w:r>
            <w:r w:rsidRPr="0053423A">
              <w:rPr>
                <w:rFonts w:cs="Sylfaen"/>
                <w:lang w:val="hy-AM"/>
              </w:rPr>
              <w:t>ավելացել</w:t>
            </w:r>
            <w:r w:rsidRPr="0053423A">
              <w:rPr>
                <w:lang w:val="hy-AM"/>
              </w:rPr>
              <w:t xml:space="preserve"> </w:t>
            </w:r>
            <w:r w:rsidRPr="0053423A">
              <w:rPr>
                <w:rFonts w:cs="Sylfaen"/>
                <w:lang w:val="hy-AM"/>
              </w:rPr>
              <w:t>է</w:t>
            </w:r>
            <w:r w:rsidRPr="0053423A">
              <w:rPr>
                <w:lang w:val="hy-AM"/>
              </w:rPr>
              <w:t xml:space="preserve"> 48.7%-</w:t>
            </w:r>
            <w:r w:rsidRPr="0053423A">
              <w:rPr>
                <w:rFonts w:cs="Sylfaen"/>
                <w:lang w:val="hy-AM"/>
              </w:rPr>
              <w:t>ից</w:t>
            </w:r>
            <w:r w:rsidRPr="0053423A">
              <w:rPr>
                <w:lang w:val="hy-AM"/>
              </w:rPr>
              <w:t xml:space="preserve"> </w:t>
            </w:r>
            <w:r w:rsidRPr="0053423A">
              <w:rPr>
                <w:rFonts w:cs="Sylfaen"/>
                <w:lang w:val="hy-AM"/>
              </w:rPr>
              <w:t>մինչև</w:t>
            </w:r>
            <w:r w:rsidRPr="0053423A">
              <w:rPr>
                <w:lang w:val="hy-AM"/>
              </w:rPr>
              <w:t xml:space="preserve"> 53.4%, </w:t>
            </w:r>
            <w:r w:rsidRPr="0053423A">
              <w:rPr>
                <w:rFonts w:cs="Sylfaen"/>
                <w:lang w:val="hy-AM"/>
              </w:rPr>
              <w:t>իսկ</w:t>
            </w:r>
            <w:r w:rsidRPr="0053423A">
              <w:rPr>
                <w:lang w:val="hy-AM"/>
              </w:rPr>
              <w:t xml:space="preserve"> </w:t>
            </w:r>
            <w:r w:rsidRPr="0053423A">
              <w:rPr>
                <w:rFonts w:cs="Sylfaen"/>
                <w:lang w:val="hy-AM"/>
              </w:rPr>
              <w:t>կանանց</w:t>
            </w:r>
            <w:r w:rsidRPr="0053423A">
              <w:rPr>
                <w:lang w:val="hy-AM"/>
              </w:rPr>
              <w:t xml:space="preserve"> </w:t>
            </w:r>
            <w:r w:rsidRPr="0053423A">
              <w:rPr>
                <w:rFonts w:cs="Sylfaen"/>
                <w:lang w:val="hy-AM"/>
              </w:rPr>
              <w:t>թիվը՝</w:t>
            </w:r>
            <w:r w:rsidRPr="0053423A">
              <w:rPr>
                <w:lang w:val="hy-AM"/>
              </w:rPr>
              <w:t xml:space="preserve"> 1.3%-</w:t>
            </w:r>
            <w:r w:rsidRPr="0053423A">
              <w:rPr>
                <w:rFonts w:cs="Sylfaen"/>
                <w:lang w:val="hy-AM"/>
              </w:rPr>
              <w:t>ից</w:t>
            </w:r>
            <w:r w:rsidRPr="0053423A">
              <w:rPr>
                <w:lang w:val="hy-AM"/>
              </w:rPr>
              <w:t xml:space="preserve"> </w:t>
            </w:r>
            <w:r w:rsidRPr="0053423A">
              <w:rPr>
                <w:rFonts w:cs="Sylfaen"/>
                <w:lang w:val="hy-AM"/>
              </w:rPr>
              <w:t>մինչև</w:t>
            </w:r>
            <w:r w:rsidRPr="0053423A">
              <w:rPr>
                <w:lang w:val="hy-AM"/>
              </w:rPr>
              <w:t xml:space="preserve"> 2.3%:  Ոչ </w:t>
            </w:r>
            <w:r w:rsidRPr="0053423A">
              <w:rPr>
                <w:rFonts w:cs="Sylfaen"/>
                <w:lang w:val="hy-AM"/>
              </w:rPr>
              <w:t xml:space="preserve"> վարակիչ հիվանդությունների (այսուհետ` ՈՎՀ) զարգացումն ասոցացվում է կենսակերպային առանձնահատկությունների և դրանց հետ կապված՝ ռիսկի գործոնների հետ:</w:t>
            </w:r>
            <w:r w:rsidRPr="0053423A">
              <w:rPr>
                <w:lang w:val="hy-AM"/>
              </w:rPr>
              <w:t xml:space="preserve"> Ծխախոտի օգտագործումը հանդիսանում է </w:t>
            </w:r>
            <w:r w:rsidRPr="0053423A">
              <w:rPr>
                <w:rFonts w:cs="Sylfaen"/>
                <w:lang w:val="hy-AM"/>
              </w:rPr>
              <w:t xml:space="preserve"> ՈՎՀ-ի առաջացման հիմնական ռիսկի գործոններից մեկը: Հայաստանում առավել տարածված ոչ վարակիչ հիվանդությունների մահացության կառուցվածքը կրկնօրինակում է եվրոպական տարածաշրջանի մահացության պատկերը: Բնակչության մահացության ընդհանուր կառուցվածքում ՈՎՀ մահացության բեռը կազմում է մոտ 80%, ընդ որում սրտանոթային հիվանդություններից (ՍԱՀ) մահացությունը զբաղեցնում է առաջատար տեղը (55.6%), որոնց հաջորդում են չարորակ նորագոյացությունները՝ 20,4%, շաքարային դիաբետը (ՇԴ)՝ 3%, թոքերի քրոնիկ օբստրուկտիվ հիվանդությունները (բրոնխիտ, ասթմա, քրոնիկական այլ թոքային և բրոնխոէկտատիկ հիվանդություններ)` 2.4%: Ընդհանուր մահերի կառուցվածքում առավել տարածված ՈՎՀ-ով պայմանավորված վաղաժամ մահացությունը կազմում է 18.6%: </w:t>
            </w:r>
          </w:p>
          <w:p w:rsidR="00764E6F" w:rsidRPr="0053423A" w:rsidRDefault="00764E6F" w:rsidP="00A67858">
            <w:pPr>
              <w:spacing w:line="276" w:lineRule="auto"/>
              <w:ind w:firstLine="567"/>
              <w:jc w:val="both"/>
              <w:rPr>
                <w:rFonts w:cs="Sylfaen"/>
                <w:lang w:val="hy-AM"/>
              </w:rPr>
            </w:pPr>
          </w:p>
          <w:p w:rsidR="00764E6F" w:rsidRPr="0053423A" w:rsidRDefault="00764E6F" w:rsidP="00A67858">
            <w:pPr>
              <w:spacing w:line="276" w:lineRule="auto"/>
              <w:jc w:val="both"/>
              <w:rPr>
                <w:b/>
                <w:lang w:val="hy-AM"/>
              </w:rPr>
            </w:pPr>
            <w:r w:rsidRPr="0053423A">
              <w:rPr>
                <w:rFonts w:cs="Sylfaen"/>
                <w:b/>
                <w:lang w:val="hy-AM"/>
              </w:rPr>
              <w:t xml:space="preserve">   1.2.</w:t>
            </w:r>
            <w:r w:rsidRPr="0053423A">
              <w:rPr>
                <w:b/>
                <w:lang w:val="hy-AM"/>
              </w:rPr>
              <w:t xml:space="preserve"> Առկա խնդիրների առաջարկվող լուծումները</w:t>
            </w:r>
          </w:p>
          <w:p w:rsidR="00764E6F" w:rsidRPr="0053423A" w:rsidRDefault="00764E6F" w:rsidP="00A67858">
            <w:pPr>
              <w:spacing w:line="276" w:lineRule="auto"/>
              <w:jc w:val="both"/>
              <w:rPr>
                <w:rFonts w:cs="Sylfaen"/>
                <w:lang w:val="hy-AM"/>
              </w:rPr>
            </w:pPr>
            <w:r w:rsidRPr="0053423A">
              <w:rPr>
                <w:rFonts w:cs="Sylfaen"/>
                <w:lang w:val="hy-AM"/>
              </w:rPr>
              <w:t xml:space="preserve">   Ծխախոտային արտադրատեսակների օգտագործման և ծխախոտի ծխի վնասակար ազդեցության նվազմանն ուղղված  առողջապահության նախարարության ներկայիս քաղաքականության արդյունավետ իրականացման համար խիստ անհրաժեշտ է ծխելու դադարեցմանն ուղղված բուժման և խորհրդատվության տրամադրման հարցերում վերապատրաստված առողջության առաջնային պահպանման օղակի մասնագետների առկայություն:</w:t>
            </w:r>
          </w:p>
          <w:p w:rsidR="00764E6F" w:rsidRPr="0053423A" w:rsidRDefault="00764E6F" w:rsidP="00A67858">
            <w:pPr>
              <w:spacing w:line="276" w:lineRule="auto"/>
              <w:jc w:val="both"/>
              <w:rPr>
                <w:lang w:val="hy-AM"/>
              </w:rPr>
            </w:pPr>
            <w:r w:rsidRPr="0053423A">
              <w:rPr>
                <w:rFonts w:cs="Sylfaen"/>
                <w:lang w:val="hy-AM"/>
              </w:rPr>
              <w:t xml:space="preserve">Ֆինանսավորումն կիրականացվի </w:t>
            </w:r>
            <w:r w:rsidRPr="0053423A">
              <w:rPr>
                <w:lang w:val="hy-AM"/>
              </w:rPr>
              <w:t>ծխելու դեմ պայքարի և շրջակա միջավայրի պահպանության պետական ծրագրի միջոցառումների համար նախատեսված միջոցների հաշվին:</w:t>
            </w:r>
          </w:p>
          <w:p w:rsidR="00764E6F" w:rsidRPr="0053423A" w:rsidRDefault="00764E6F" w:rsidP="00A67858">
            <w:pPr>
              <w:spacing w:line="276" w:lineRule="auto"/>
              <w:jc w:val="both"/>
              <w:rPr>
                <w:rFonts w:cs="Sylfaen"/>
                <w:lang w:val="hy-AM"/>
              </w:rPr>
            </w:pPr>
            <w:r w:rsidRPr="0053423A">
              <w:rPr>
                <w:rFonts w:cs="Sylfaen"/>
                <w:lang w:val="hy-AM"/>
              </w:rPr>
              <w:t xml:space="preserve">   ԱԱՊ օղակի մասնագետների վերապատրաստման գործընթացի իրականացման համար անհրաժեշտ է ՀՀ մարզպետարանների և Երևանի քաղաքապետարանի հետ համագործակցություն` վերոնշյալ կառույցների ենթակայության տակ գտնվող բժշկական կազմակերպությունների համապատասխան մասնագետների մասնակցությունն ապահովելու համար:</w:t>
            </w:r>
          </w:p>
          <w:p w:rsidR="00764E6F" w:rsidRPr="0053423A" w:rsidRDefault="00764E6F" w:rsidP="00A67858">
            <w:pPr>
              <w:spacing w:line="276" w:lineRule="auto"/>
              <w:jc w:val="both"/>
              <w:rPr>
                <w:rFonts w:cs="Sylfaen"/>
                <w:b/>
                <w:lang w:val="hy-AM"/>
              </w:rPr>
            </w:pPr>
            <w:r w:rsidRPr="0053423A">
              <w:rPr>
                <w:rFonts w:cs="Sylfaen"/>
                <w:b/>
                <w:lang w:val="hy-AM"/>
              </w:rPr>
              <w:t xml:space="preserve">   2. Միջոցառման իրականացումից ակնկալվող արդյունքը</w:t>
            </w:r>
          </w:p>
          <w:p w:rsidR="00764E6F" w:rsidRPr="0053423A" w:rsidRDefault="00764E6F" w:rsidP="00A67858">
            <w:pPr>
              <w:spacing w:line="276" w:lineRule="auto"/>
              <w:jc w:val="both"/>
              <w:rPr>
                <w:rFonts w:cs="Sylfaen"/>
                <w:lang w:val="hy-AM"/>
              </w:rPr>
            </w:pPr>
            <w:r w:rsidRPr="0053423A">
              <w:rPr>
                <w:rFonts w:cs="Sylfaen"/>
                <w:lang w:val="hy-AM"/>
              </w:rPr>
              <w:t xml:space="preserve">   Առողջության առաջնային պահպանման (ԱԱՊ) մասնագետները (թերապևտներ և ընտանեկան բժիշկներ) քաղաքացու կողմից առողջապահական ծառայությունների հետ առնչման առաջին օղակն են: Այս մասնագետների կողմից պացիենտներին ծխելու դադարեցմանն ուղղված բուժման և խորհրդատվական ծառայությունների տրամադրումը կնպաստի ծխախոտ օգտագործողների թվի նվազեցմանը, որի արդյունքում կբարելավվեն առողջության ցուցանիշները:</w:t>
            </w:r>
          </w:p>
          <w:p w:rsidR="00764E6F" w:rsidRPr="0053423A" w:rsidRDefault="00764E6F" w:rsidP="00A67858">
            <w:pPr>
              <w:spacing w:line="276" w:lineRule="auto"/>
              <w:jc w:val="both"/>
              <w:rPr>
                <w:rFonts w:cs="Sylfaen"/>
                <w:lang w:val="hy-AM"/>
              </w:rPr>
            </w:pPr>
          </w:p>
          <w:p w:rsidR="00764E6F" w:rsidRPr="0053423A" w:rsidRDefault="00764E6F" w:rsidP="00A67858">
            <w:pPr>
              <w:spacing w:line="276" w:lineRule="auto"/>
              <w:jc w:val="both"/>
              <w:rPr>
                <w:rFonts w:cs="Sylfaen"/>
                <w:lang w:val="hy-AM"/>
              </w:rPr>
            </w:pPr>
          </w:p>
          <w:p w:rsidR="00764E6F" w:rsidRPr="0053423A" w:rsidRDefault="009843B0" w:rsidP="00A67858">
            <w:pPr>
              <w:tabs>
                <w:tab w:val="left" w:pos="180"/>
              </w:tabs>
              <w:spacing w:line="276" w:lineRule="auto"/>
              <w:jc w:val="center"/>
              <w:rPr>
                <w:b/>
                <w:lang w:val="hy-AM"/>
              </w:rPr>
            </w:pPr>
            <w:r w:rsidRPr="0053423A">
              <w:rPr>
                <w:b/>
                <w:lang w:val="hy-AM"/>
              </w:rPr>
              <w:t>2</w:t>
            </w:r>
            <w:r w:rsidR="00764E6F" w:rsidRPr="0053423A">
              <w:rPr>
                <w:b/>
                <w:lang w:val="hy-AM"/>
              </w:rPr>
              <w:t>1.3 «Առողջ ապրելակերպի խթանմանն ուղղված  միջոցառումների ծրագիրը հաստատելու մասին»</w:t>
            </w:r>
          </w:p>
          <w:p w:rsidR="00764E6F" w:rsidRPr="0053423A" w:rsidRDefault="00764E6F" w:rsidP="00A67858">
            <w:pPr>
              <w:tabs>
                <w:tab w:val="left" w:pos="180"/>
              </w:tabs>
              <w:spacing w:line="276" w:lineRule="auto"/>
              <w:jc w:val="center"/>
              <w:rPr>
                <w:b/>
                <w:lang w:val="hy-AM"/>
              </w:rPr>
            </w:pPr>
            <w:r w:rsidRPr="0053423A">
              <w:rPr>
                <w:b/>
                <w:lang w:val="hy-AM"/>
              </w:rPr>
              <w:t>Կառավարության որոշման նախագիծը վարչապետի աշխատակազմ ներկայացնելը</w:t>
            </w:r>
          </w:p>
          <w:p w:rsidR="00764E6F" w:rsidRPr="0053423A" w:rsidRDefault="00764E6F" w:rsidP="00A67858">
            <w:pPr>
              <w:tabs>
                <w:tab w:val="left" w:pos="180"/>
              </w:tabs>
              <w:spacing w:line="276" w:lineRule="auto"/>
              <w:rPr>
                <w:b/>
                <w:lang w:val="hy-AM"/>
              </w:rPr>
            </w:pPr>
          </w:p>
          <w:p w:rsidR="00764E6F" w:rsidRPr="0053423A" w:rsidRDefault="00764E6F" w:rsidP="00A67858">
            <w:pPr>
              <w:tabs>
                <w:tab w:val="left" w:pos="180"/>
              </w:tabs>
              <w:spacing w:line="276" w:lineRule="auto"/>
              <w:rPr>
                <w:lang w:val="hy-AM"/>
              </w:rPr>
            </w:pPr>
            <w:r w:rsidRPr="0053423A">
              <w:rPr>
                <w:b/>
                <w:lang w:val="hy-AM"/>
              </w:rPr>
              <w:t xml:space="preserve">   1. Միջոցառման անհրաժեշտությունը և նպատակը</w:t>
            </w:r>
          </w:p>
          <w:p w:rsidR="00764E6F" w:rsidRPr="0053423A" w:rsidRDefault="00764E6F" w:rsidP="00A67858">
            <w:pPr>
              <w:widowControl w:val="0"/>
              <w:autoSpaceDE w:val="0"/>
              <w:autoSpaceDN w:val="0"/>
              <w:adjustRightInd w:val="0"/>
              <w:spacing w:line="276" w:lineRule="auto"/>
              <w:jc w:val="both"/>
              <w:rPr>
                <w:rFonts w:cs="Sylfaen"/>
                <w:lang w:val="hy-AM"/>
              </w:rPr>
            </w:pPr>
            <w:r w:rsidRPr="0053423A">
              <w:rPr>
                <w:rFonts w:cs="Sylfaen"/>
                <w:lang w:val="hy-AM"/>
              </w:rPr>
              <w:t>Հայաստանում առավել տարածված ոչ վարակիչ հիվանդությունների (ՈՎՀ) մահացության կառուցվածքը կրկնօրինակում է եվրոպական տարածաշրջանի մահացության պատկերը: Բնակչության մահացության ընդհանուր կառուցվածքում ՈՎՀ մահացության բեռը կազմում է մոտ 80%, ընդ որում սրտանոթային հիվանդություններից (ՍԱՀ) մահացությունը զբաղեցնում է առաջատար տեղը (48%), որոնց հաջորդում են չարորակ նորագոյացությունները՝ 20,0%, շաքարային դիաբետը (ՇԴ)՝ 4,2%:</w:t>
            </w:r>
          </w:p>
          <w:p w:rsidR="00764E6F" w:rsidRPr="0053423A" w:rsidRDefault="00764E6F" w:rsidP="00A67858">
            <w:pPr>
              <w:widowControl w:val="0"/>
              <w:autoSpaceDE w:val="0"/>
              <w:autoSpaceDN w:val="0"/>
              <w:adjustRightInd w:val="0"/>
              <w:spacing w:line="276" w:lineRule="auto"/>
              <w:jc w:val="both"/>
              <w:rPr>
                <w:lang w:val="hy-AM"/>
              </w:rPr>
            </w:pPr>
            <w:r w:rsidRPr="0053423A">
              <w:rPr>
                <w:lang w:val="hy-AM"/>
              </w:rPr>
              <w:t>Անառողջ սնունդը, ֆիզիկական թերակտիվությունը, ալկոհոլը, ծխելը  ռիսկի գործոններ են ոչ վարակիչ հիվանդությունների  զարգացման հարցում, որոնք  աշխարհի պետությունների առողջապահական համակարգերի համար մեծ տնտեսական բեռ են համարվում:</w:t>
            </w:r>
          </w:p>
          <w:p w:rsidR="00764E6F" w:rsidRPr="0053423A" w:rsidRDefault="00764E6F" w:rsidP="00A67858">
            <w:pPr>
              <w:widowControl w:val="0"/>
              <w:autoSpaceDE w:val="0"/>
              <w:autoSpaceDN w:val="0"/>
              <w:adjustRightInd w:val="0"/>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jc w:val="both"/>
              <w:rPr>
                <w:bCs/>
                <w:color w:val="000000"/>
                <w:shd w:val="clear" w:color="auto" w:fill="FFFFFF"/>
                <w:lang w:val="hy-AM"/>
              </w:rPr>
            </w:pPr>
            <w:r w:rsidRPr="0053423A">
              <w:rPr>
                <w:bCs/>
                <w:color w:val="000000"/>
                <w:shd w:val="clear" w:color="auto" w:fill="FFFFFF"/>
                <w:lang w:val="hy-AM"/>
              </w:rPr>
              <w:t xml:space="preserve">   Ոչ վարակիչ  հիվանդություններից առաջացած վաղաժամ  մահերի  դեպքերի մի զգալի մասը հնարավոր է կանխել առողջ կենսակերպի համար համապատասխան նպաստավոր պայմաններ և շրջանակներ ապահովելու միջոցով, և այդ հարցում առանցքային նշանակություն ունեն առողջ ապրելակերպի` ներառյալ առողջ սնուցման, ֆիզիկական ակտիվության խթանմանն ուղղված, ալկոհոլի չարաշահմանը և ծխելու դեմ ուղղված միջոցառումների իրականացումը:</w:t>
            </w:r>
          </w:p>
          <w:p w:rsidR="00764E6F" w:rsidRPr="0053423A" w:rsidRDefault="00764E6F" w:rsidP="00A67858">
            <w:pPr>
              <w:spacing w:line="276" w:lineRule="auto"/>
              <w:jc w:val="both"/>
              <w:rPr>
                <w:bCs/>
                <w:color w:val="000000"/>
                <w:shd w:val="clear" w:color="auto" w:fill="FFFFFF"/>
                <w:lang w:val="hy-AM"/>
              </w:rPr>
            </w:pPr>
          </w:p>
          <w:p w:rsidR="00764E6F" w:rsidRPr="0053423A" w:rsidRDefault="00764E6F" w:rsidP="00A67858">
            <w:pPr>
              <w:spacing w:line="276" w:lineRule="auto"/>
              <w:jc w:val="both"/>
              <w:rPr>
                <w:b/>
                <w:lang w:val="hy-AM"/>
              </w:rPr>
            </w:pPr>
            <w:r w:rsidRPr="0053423A">
              <w:rPr>
                <w:b/>
                <w:lang w:val="hy-AM"/>
              </w:rPr>
              <w:t xml:space="preserve">    1.2.Առկա խնդիրների առաջարկվող լուծումները</w:t>
            </w:r>
          </w:p>
          <w:p w:rsidR="00764E6F" w:rsidRPr="0053423A" w:rsidRDefault="00764E6F" w:rsidP="00A67858">
            <w:pPr>
              <w:spacing w:line="276" w:lineRule="auto"/>
              <w:jc w:val="both"/>
              <w:rPr>
                <w:lang w:val="hy-AM"/>
              </w:rPr>
            </w:pPr>
            <w:r w:rsidRPr="0053423A">
              <w:rPr>
                <w:lang w:val="hy-AM"/>
              </w:rPr>
              <w:t xml:space="preserve">   Մշակվելու և նեդրվելու են առողջ ապրելակերպի խթանմանն ուղղված հետևյալ միջոցառումները.</w:t>
            </w:r>
          </w:p>
          <w:p w:rsidR="00764E6F" w:rsidRPr="0053423A" w:rsidRDefault="00764E6F" w:rsidP="00A67858">
            <w:pPr>
              <w:numPr>
                <w:ilvl w:val="0"/>
                <w:numId w:val="6"/>
              </w:numPr>
              <w:spacing w:line="276" w:lineRule="auto"/>
              <w:contextualSpacing/>
              <w:jc w:val="both"/>
              <w:rPr>
                <w:lang w:val="hy-AM"/>
              </w:rPr>
            </w:pPr>
            <w:r w:rsidRPr="0053423A">
              <w:rPr>
                <w:lang w:val="hy-AM"/>
              </w:rPr>
              <w:t>- առողջության ամրապնդմանը նպաստող և անառողջ սնուցման սահմանափակմանն ուղղված քաղաքականության և օրենսդրության կատարելագործում,</w:t>
            </w:r>
          </w:p>
          <w:p w:rsidR="00764E6F" w:rsidRPr="0053423A" w:rsidRDefault="00764E6F" w:rsidP="00A67858">
            <w:pPr>
              <w:numPr>
                <w:ilvl w:val="0"/>
                <w:numId w:val="6"/>
              </w:numPr>
              <w:spacing w:line="276" w:lineRule="auto"/>
              <w:contextualSpacing/>
              <w:jc w:val="both"/>
              <w:rPr>
                <w:lang w:val="hy-AM"/>
              </w:rPr>
            </w:pPr>
            <w:r w:rsidRPr="0053423A">
              <w:rPr>
                <w:lang w:val="hy-AM"/>
              </w:rPr>
              <w:t>- առողջ ապրելակերպի քարոզչությանն ուղղված, առողջ ապրելակերպը սատարող մասնագիտացված ծառայությունների զարգացում,</w:t>
            </w:r>
          </w:p>
          <w:p w:rsidR="00764E6F" w:rsidRPr="0053423A" w:rsidRDefault="00764E6F" w:rsidP="00A67858">
            <w:pPr>
              <w:numPr>
                <w:ilvl w:val="0"/>
                <w:numId w:val="6"/>
              </w:numPr>
              <w:spacing w:line="276" w:lineRule="auto"/>
              <w:contextualSpacing/>
              <w:jc w:val="both"/>
              <w:rPr>
                <w:lang w:val="hy-AM"/>
              </w:rPr>
            </w:pPr>
            <w:r w:rsidRPr="0053423A">
              <w:rPr>
                <w:lang w:val="hy-AM"/>
              </w:rPr>
              <w:t xml:space="preserve">- միջճյուղային համագործակցության իրականացում` առողջ ապրելակերպի խթանման ուղղությամբ, </w:t>
            </w:r>
          </w:p>
          <w:p w:rsidR="00764E6F" w:rsidRPr="0053423A" w:rsidRDefault="00764E6F" w:rsidP="00A67858">
            <w:pPr>
              <w:numPr>
                <w:ilvl w:val="0"/>
                <w:numId w:val="6"/>
              </w:numPr>
              <w:spacing w:line="276" w:lineRule="auto"/>
              <w:contextualSpacing/>
              <w:jc w:val="both"/>
              <w:rPr>
                <w:lang w:val="hy-AM"/>
              </w:rPr>
            </w:pPr>
            <w:r w:rsidRPr="0053423A">
              <w:rPr>
                <w:lang w:val="hy-AM"/>
              </w:rPr>
              <w:t>առողջ ապրելակերպի խթանման և անառողջ սնուցման սահմանափակման ուղղությամբ նախատեսվող միջոցառումների գործադրման մոնիթորինգի համակարգի ձևավորում և ներդնում` ապահովելով համագործակցություն միջազգային և հասարակական կազմակերպությունների հետ:</w:t>
            </w:r>
          </w:p>
          <w:p w:rsidR="00764E6F" w:rsidRPr="0053423A" w:rsidRDefault="00764E6F" w:rsidP="00A67858">
            <w:pPr>
              <w:numPr>
                <w:ilvl w:val="0"/>
                <w:numId w:val="6"/>
              </w:numPr>
              <w:spacing w:line="276" w:lineRule="auto"/>
              <w:contextualSpacing/>
              <w:jc w:val="both"/>
              <w:rPr>
                <w:lang w:val="hy-AM"/>
              </w:rPr>
            </w:pPr>
            <w:r w:rsidRPr="0053423A">
              <w:rPr>
                <w:rFonts w:eastAsia="Calibri"/>
                <w:lang w:val="hy-AM"/>
              </w:rPr>
              <w:t xml:space="preserve">   Առողջ ապրելակերպի խթանմանն ուղղված ռազմավարական ծրագրի մշակման նպատակով անհրաժեշտ է բոլոր շահագրգիռ գերատեսչությունների մասնակցությունը` ռազմավարությամբ ներառված միջոցառումների վերաբերյալ կարծիքների տրամադրման հարցում: </w:t>
            </w:r>
          </w:p>
          <w:p w:rsidR="00764E6F" w:rsidRPr="0053423A" w:rsidRDefault="00764E6F" w:rsidP="00A67858">
            <w:pPr>
              <w:spacing w:line="276" w:lineRule="auto"/>
              <w:jc w:val="both"/>
              <w:rPr>
                <w:b/>
                <w:lang w:val="hy-AM"/>
              </w:rPr>
            </w:pPr>
            <w:r w:rsidRPr="0053423A">
              <w:rPr>
                <w:b/>
                <w:lang w:val="hy-AM"/>
              </w:rPr>
              <w:t xml:space="preserve">   2. Միջոցառման իրականացումից ակնկալվող արդյունքը</w:t>
            </w:r>
          </w:p>
          <w:p w:rsidR="00764E6F" w:rsidRPr="0053423A" w:rsidRDefault="00764E6F" w:rsidP="00A67858">
            <w:pPr>
              <w:spacing w:line="276" w:lineRule="auto"/>
              <w:jc w:val="both"/>
              <w:rPr>
                <w:rFonts w:cs="Sylfaen"/>
                <w:lang w:val="hy-AM"/>
              </w:rPr>
            </w:pPr>
            <w:r w:rsidRPr="0053423A">
              <w:rPr>
                <w:lang w:val="hy-AM"/>
              </w:rPr>
              <w:t xml:space="preserve">   Միջոցառման կատարման դեպքում ակնկալվող արդյունքը ներառում է.</w:t>
            </w:r>
            <w:r w:rsidRPr="0053423A">
              <w:rPr>
                <w:rFonts w:cs="Sylfaen"/>
                <w:lang w:val="hy-AM"/>
              </w:rPr>
              <w:t xml:space="preserve"> </w:t>
            </w:r>
          </w:p>
          <w:p w:rsidR="00764E6F" w:rsidRPr="0053423A" w:rsidRDefault="00764E6F" w:rsidP="00A67858">
            <w:pPr>
              <w:numPr>
                <w:ilvl w:val="0"/>
                <w:numId w:val="7"/>
              </w:numPr>
              <w:spacing w:line="276" w:lineRule="auto"/>
              <w:contextualSpacing/>
              <w:jc w:val="both"/>
              <w:rPr>
                <w:lang w:val="hy-AM"/>
              </w:rPr>
            </w:pPr>
            <w:r w:rsidRPr="0053423A">
              <w:rPr>
                <w:lang w:val="hy-AM"/>
              </w:rPr>
              <w:t xml:space="preserve">- առողջ ապրելակերպի խթանման ուղղությամբ բոլոր շահագրգիռ կողմերի ակտիվ համագործակցության ապահովում, </w:t>
            </w:r>
          </w:p>
          <w:p w:rsidR="00764E6F" w:rsidRPr="0053423A" w:rsidRDefault="00764E6F" w:rsidP="00A67858">
            <w:pPr>
              <w:numPr>
                <w:ilvl w:val="0"/>
                <w:numId w:val="7"/>
              </w:numPr>
              <w:spacing w:line="276" w:lineRule="auto"/>
              <w:contextualSpacing/>
              <w:jc w:val="both"/>
              <w:rPr>
                <w:lang w:val="hy-AM"/>
              </w:rPr>
            </w:pPr>
            <w:r w:rsidRPr="0053423A">
              <w:rPr>
                <w:lang w:val="hy-AM"/>
              </w:rPr>
              <w:t>- առողջ ապրելակերպի խթանման  վերաբերյալ ազգաբնակչության իրազեկության բարձրացում:</w:t>
            </w:r>
          </w:p>
          <w:p w:rsidR="00764E6F" w:rsidRPr="0053423A" w:rsidRDefault="00764E6F" w:rsidP="00A67858">
            <w:pPr>
              <w:numPr>
                <w:ilvl w:val="0"/>
                <w:numId w:val="7"/>
              </w:numPr>
              <w:spacing w:line="276" w:lineRule="auto"/>
              <w:contextualSpacing/>
              <w:jc w:val="both"/>
              <w:rPr>
                <w:rFonts w:eastAsia="Calibri" w:cs="Sylfaen"/>
                <w:lang w:val="hy-AM"/>
              </w:rPr>
            </w:pPr>
            <w:r w:rsidRPr="0053423A">
              <w:rPr>
                <w:lang w:val="hy-AM"/>
              </w:rPr>
              <w:t>- անառողջ սնուցման, ֆիզիկական թերակտիվության, ալկոհոլի չարաշահման, ծխելու հետևանքով առողջությանը հասցված վնասների տվյալների ու մասշտաբների վերլուծության արդյունքների առկայություն:</w:t>
            </w:r>
          </w:p>
          <w:p w:rsidR="00764E6F" w:rsidRPr="0053423A" w:rsidRDefault="00764E6F" w:rsidP="00A67858">
            <w:pPr>
              <w:spacing w:line="276" w:lineRule="auto"/>
              <w:jc w:val="center"/>
              <w:rPr>
                <w:b/>
                <w:bCs/>
                <w:lang w:val="hy-AM"/>
              </w:rPr>
            </w:pPr>
          </w:p>
        </w:tc>
      </w:tr>
      <w:tr w:rsidR="00764E6F" w:rsidRPr="00DE2EFA" w:rsidTr="009843B0">
        <w:tc>
          <w:tcPr>
            <w:tcW w:w="630" w:type="dxa"/>
          </w:tcPr>
          <w:p w:rsidR="00764E6F" w:rsidRPr="0053423A" w:rsidRDefault="009843B0" w:rsidP="00A67858">
            <w:pPr>
              <w:spacing w:line="276" w:lineRule="auto"/>
              <w:jc w:val="center"/>
            </w:pPr>
            <w:r w:rsidRPr="0053423A">
              <w:rPr>
                <w:lang w:val="hy-AM"/>
              </w:rPr>
              <w:t>2</w:t>
            </w:r>
            <w:r w:rsidR="00764E6F" w:rsidRPr="0053423A">
              <w:t>2</w:t>
            </w:r>
          </w:p>
        </w:tc>
        <w:tc>
          <w:tcPr>
            <w:tcW w:w="10878" w:type="dxa"/>
          </w:tcPr>
          <w:p w:rsidR="00764E6F" w:rsidRPr="0053423A" w:rsidRDefault="009843B0" w:rsidP="00A67858">
            <w:pPr>
              <w:spacing w:line="276" w:lineRule="auto"/>
              <w:jc w:val="center"/>
              <w:rPr>
                <w:rFonts w:cs="Sylfaen"/>
                <w:b/>
                <w:lang w:val="hy-AM"/>
              </w:rPr>
            </w:pPr>
            <w:r w:rsidRPr="0053423A">
              <w:rPr>
                <w:rFonts w:cs="Sylfaen"/>
                <w:b/>
                <w:lang w:val="hy-AM"/>
              </w:rPr>
              <w:t>2</w:t>
            </w:r>
            <w:r w:rsidR="00764E6F" w:rsidRPr="0053423A">
              <w:rPr>
                <w:rFonts w:cs="Sylfaen"/>
                <w:b/>
              </w:rPr>
              <w:t>2</w:t>
            </w:r>
            <w:r w:rsidR="00764E6F" w:rsidRPr="0053423A">
              <w:rPr>
                <w:rFonts w:cs="Sylfaen"/>
                <w:b/>
                <w:lang w:val="hy-AM"/>
              </w:rPr>
              <w:t xml:space="preserve">.1 </w:t>
            </w:r>
            <w:r w:rsidR="00855F3D" w:rsidRPr="0053423A">
              <w:rPr>
                <w:rFonts w:cs="Sylfaen"/>
                <w:b/>
                <w:lang w:val="hy-AM"/>
              </w:rPr>
              <w:t>«</w:t>
            </w:r>
            <w:r w:rsidR="00764E6F" w:rsidRPr="0053423A">
              <w:rPr>
                <w:rFonts w:cs="Sylfaen"/>
                <w:b/>
                <w:lang w:val="hy-AM"/>
              </w:rPr>
              <w:t xml:space="preserve">Արտաընդերային վիրուսային հեպատիտների կանխարգելման և վերահսկման 2019-2023 </w:t>
            </w:r>
          </w:p>
          <w:p w:rsidR="00764E6F" w:rsidRPr="0053423A" w:rsidRDefault="00764E6F" w:rsidP="00A67858">
            <w:pPr>
              <w:spacing w:line="276" w:lineRule="auto"/>
              <w:jc w:val="center"/>
              <w:rPr>
                <w:rFonts w:cs="Sylfaen"/>
                <w:b/>
                <w:lang w:val="hy-AM"/>
              </w:rPr>
            </w:pPr>
            <w:r w:rsidRPr="0053423A">
              <w:rPr>
                <w:rFonts w:cs="Sylfaen"/>
                <w:b/>
                <w:lang w:val="hy-AM"/>
              </w:rPr>
              <w:t>թվականների միջոցառումների ծրագիրը հաստատելու մասին» Առողջապահության նախարարի</w:t>
            </w:r>
          </w:p>
          <w:p w:rsidR="00764E6F" w:rsidRPr="0053423A" w:rsidRDefault="00764E6F" w:rsidP="00A67858">
            <w:pPr>
              <w:spacing w:line="276" w:lineRule="auto"/>
              <w:jc w:val="center"/>
              <w:rPr>
                <w:rFonts w:cs="Sylfaen"/>
                <w:b/>
                <w:lang w:val="hy-AM"/>
              </w:rPr>
            </w:pPr>
            <w:r w:rsidRPr="0053423A">
              <w:rPr>
                <w:rFonts w:cs="Sylfaen"/>
                <w:b/>
                <w:lang w:val="hy-AM"/>
              </w:rPr>
              <w:t xml:space="preserve"> հրամանի հաստատում</w:t>
            </w:r>
          </w:p>
          <w:p w:rsidR="00764E6F" w:rsidRPr="0053423A" w:rsidRDefault="00764E6F" w:rsidP="00A67858">
            <w:pPr>
              <w:spacing w:line="276" w:lineRule="auto"/>
              <w:jc w:val="center"/>
              <w:rPr>
                <w:rFonts w:cs="Sylfaen"/>
                <w:b/>
                <w:lang w:val="hy-AM"/>
              </w:rPr>
            </w:pPr>
          </w:p>
          <w:p w:rsidR="00764E6F" w:rsidRPr="0053423A" w:rsidRDefault="00764E6F" w:rsidP="00A67858">
            <w:pPr>
              <w:spacing w:line="276" w:lineRule="auto"/>
              <w:jc w:val="both"/>
              <w:rPr>
                <w:rFonts w:cs="IRTEK Courier"/>
                <w:b/>
                <w:lang w:val="hy-AM"/>
              </w:rPr>
            </w:pPr>
            <w:r w:rsidRPr="0053423A">
              <w:rPr>
                <w:rFonts w:cs="IRTEK Courier"/>
                <w:b/>
                <w:lang w:val="hy-AM"/>
              </w:rPr>
              <w:t xml:space="preserve">   1. Միջոցառման իրականացման անհրաժեշտությունը և նպատակը</w:t>
            </w:r>
          </w:p>
          <w:p w:rsidR="00764E6F" w:rsidRPr="0053423A" w:rsidRDefault="00764E6F" w:rsidP="00A67858">
            <w:pPr>
              <w:spacing w:line="276" w:lineRule="auto"/>
              <w:jc w:val="both"/>
              <w:rPr>
                <w:rFonts w:cs="IRTEK Courier"/>
                <w:lang w:val="hy-AM"/>
              </w:rPr>
            </w:pPr>
            <w:r w:rsidRPr="0053423A">
              <w:rPr>
                <w:rFonts w:cs="IRTEK Courier"/>
                <w:lang w:val="hy-AM"/>
              </w:rPr>
              <w:t xml:space="preserve">   Միջոցառման իրականացումը կարևոր է սոցիալական նշանակության առավել տարածված վարակիչ հիվանդություններից արտաընդերային հեպատիտների դեմ պայքարի,  համաճարակաբանական հսկողության, կանխարգելման,  կադրային ներուժի զարգացման կազմակերպման և իրականացման անհրաժեշտությունից ելնելով` ՀՀ-ում նշյալ վարակներից հիվանդացությունն ու մահացությունը նվազեցնելու նպատակով:</w:t>
            </w:r>
          </w:p>
          <w:p w:rsidR="00764E6F" w:rsidRPr="0053423A" w:rsidRDefault="00764E6F" w:rsidP="00A67858">
            <w:pPr>
              <w:spacing w:line="276" w:lineRule="auto"/>
              <w:jc w:val="both"/>
              <w:rPr>
                <w:rFonts w:cs="IRTEK Courier"/>
                <w:lang w:val="hy-AM"/>
              </w:rPr>
            </w:pPr>
          </w:p>
          <w:p w:rsidR="00764E6F" w:rsidRPr="0053423A" w:rsidRDefault="00764E6F" w:rsidP="00A67858">
            <w:pPr>
              <w:spacing w:line="276" w:lineRule="auto"/>
              <w:jc w:val="both"/>
              <w:rPr>
                <w:rFonts w:cs="IRTEK Courier"/>
                <w:lang w:val="hy-AM"/>
              </w:rPr>
            </w:pPr>
            <w:r w:rsidRPr="0053423A">
              <w:rPr>
                <w:rFonts w:cs="IRTEK Courier"/>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jc w:val="both"/>
              <w:rPr>
                <w:rFonts w:cs="IRTEK Courier"/>
                <w:lang w:val="hy-AM"/>
              </w:rPr>
            </w:pPr>
            <w:r w:rsidRPr="0053423A">
              <w:rPr>
                <w:rFonts w:cs="IRTEK Courier"/>
                <w:lang w:val="hy-AM"/>
              </w:rPr>
              <w:t xml:space="preserve">   Արտաընդերային հեպատիտները ՀՀ-ում սոցիալական նշանակության առավել տարածված  վարակիչ հիվանդություններ են և ունեն արտահայտված համաճարակային ներուժ, լայն տարածում և զգալի սոցիալ-տնտեսական բեռ: ՀՀ-ում վիրուսային հեպատիտ Բ-ի նկատմամբ հետազոտությւններն իրականացվում են ՀՀ կառավարության 2003 թվականի մարտի 27-ի թիվ 347-Ն որոշման պահանջներին համապատասխան, իսկ վիրուսային հեպատիտ Ց-ի նկատմամբ հետազոտությունների գործընթացը դեռևս կանոնակարգման խնդիր ունի: ՀՀ-ում հեպատիտների դեմ պայքարի և կանխարգելման ուղղությամբ աշխատանքները կատարվում են հիմնականում վարակիչ հիվանդությունների դեմ պայքարի և ընդհանուր մոտեցումների հիման վրա, սակայն դրանց առաջացման ռիսկերն առանձնահատուկ են` յուրօրինակ փոխանցման գործոններով և տարածման առանձնահատկություններով, ինչպես նաև հաճախ զարգացող ծանր բարդություններով /լյարդի ցիռոզ, առաջնային քացկեղ/: Ուստի հեպատիտների դեմ պայքարի արդյունավետ միջոցառումների սահմանումը շատ կարևոր է հիվանդության համաճարակաբանական հսկողության համակարգի կատարելագործման, ինչպես նաև վերջիններիս հետևանքով առաջացող ծանր բարդությունների  հսկողության տեսանկյունից: </w:t>
            </w:r>
          </w:p>
          <w:p w:rsidR="00764E6F" w:rsidRPr="0053423A" w:rsidRDefault="00764E6F" w:rsidP="00A67858">
            <w:pPr>
              <w:spacing w:line="276" w:lineRule="auto"/>
              <w:jc w:val="both"/>
              <w:rPr>
                <w:rFonts w:cs="IRTEK Courier"/>
                <w:lang w:val="hy-AM"/>
              </w:rPr>
            </w:pPr>
          </w:p>
          <w:p w:rsidR="00764E6F" w:rsidRPr="0053423A" w:rsidRDefault="00764E6F" w:rsidP="00A67858">
            <w:pPr>
              <w:spacing w:line="276" w:lineRule="auto"/>
              <w:jc w:val="both"/>
              <w:rPr>
                <w:rFonts w:cs="IRTEK Courier"/>
                <w:lang w:val="hy-AM"/>
              </w:rPr>
            </w:pPr>
            <w:r w:rsidRPr="0053423A">
              <w:rPr>
                <w:rFonts w:cs="IRTEK Courier"/>
                <w:b/>
                <w:lang w:val="hy-AM"/>
              </w:rPr>
              <w:t xml:space="preserve">   1.2. Առկա խնդիրների առաջարկվող լուծումները</w:t>
            </w:r>
          </w:p>
          <w:p w:rsidR="00764E6F" w:rsidRPr="0053423A" w:rsidRDefault="00764E6F" w:rsidP="00A67858">
            <w:pPr>
              <w:spacing w:line="276" w:lineRule="auto"/>
              <w:jc w:val="both"/>
              <w:rPr>
                <w:rFonts w:cs="IRTEK Courier"/>
                <w:lang w:val="hy-AM"/>
              </w:rPr>
            </w:pPr>
            <w:r w:rsidRPr="0053423A">
              <w:rPr>
                <w:rFonts w:cs="IRTEK Courier"/>
                <w:lang w:val="hy-AM"/>
              </w:rPr>
              <w:t xml:space="preserve">   Հեպատիտներին հակազդումն արդյունավետ կլինի պայքարի համալիր և համակարգված միջոցառումների կիրառման դեպքում: Հատկապես կարևորվում է վարակի վերահսկման, կանխարգելման, ախտորոշման և բուժման համակարգերի ստեղծումը, կադրային ներուժի զարգացումը` դրանց իրականացման համար իրավական դաշտ ապահովելով: </w:t>
            </w:r>
          </w:p>
          <w:p w:rsidR="00764E6F" w:rsidRPr="0053423A" w:rsidRDefault="00764E6F" w:rsidP="00A67858">
            <w:pPr>
              <w:spacing w:line="276" w:lineRule="auto"/>
              <w:jc w:val="both"/>
              <w:rPr>
                <w:rFonts w:cs="IRTEK Courier"/>
                <w:lang w:val="hy-AM"/>
              </w:rPr>
            </w:pPr>
          </w:p>
          <w:p w:rsidR="00764E6F" w:rsidRPr="0053423A" w:rsidRDefault="00764E6F" w:rsidP="00A67858">
            <w:pPr>
              <w:spacing w:line="276" w:lineRule="auto"/>
              <w:jc w:val="both"/>
              <w:rPr>
                <w:rFonts w:cs="IRTEK Courier"/>
                <w:b/>
                <w:lang w:val="hy-AM"/>
              </w:rPr>
            </w:pPr>
            <w:r w:rsidRPr="0053423A">
              <w:rPr>
                <w:rFonts w:cs="IRTEK Courier"/>
                <w:lang w:val="hy-AM"/>
              </w:rPr>
              <w:t xml:space="preserve">  </w:t>
            </w:r>
            <w:r w:rsidRPr="0053423A">
              <w:rPr>
                <w:rFonts w:cs="IRTEK Courier"/>
                <w:b/>
                <w:lang w:val="hy-AM"/>
              </w:rPr>
              <w:t xml:space="preserve"> 2. Միջոցառման իրականացումից ակնկալվող արդյունքը</w:t>
            </w:r>
          </w:p>
          <w:p w:rsidR="00764E6F" w:rsidRPr="0053423A" w:rsidRDefault="00764E6F" w:rsidP="00A67858">
            <w:pPr>
              <w:spacing w:line="276" w:lineRule="auto"/>
              <w:jc w:val="both"/>
              <w:rPr>
                <w:rFonts w:cs="IRTEK Courier"/>
                <w:lang w:val="hy-AM"/>
              </w:rPr>
            </w:pPr>
            <w:r w:rsidRPr="0053423A">
              <w:rPr>
                <w:rFonts w:cs="IRTEK Courier"/>
                <w:lang w:val="hy-AM"/>
              </w:rPr>
              <w:t xml:space="preserve">   ՀՀ-ում արտաընդերային հեպատիտների կանխարգելում, հիվանդացության և մահացության մակարդակների նվազում:</w:t>
            </w:r>
          </w:p>
          <w:p w:rsidR="00764E6F" w:rsidRPr="0053423A" w:rsidRDefault="00764E6F" w:rsidP="00A67858">
            <w:pPr>
              <w:spacing w:line="276" w:lineRule="auto"/>
              <w:jc w:val="both"/>
              <w:rPr>
                <w:rFonts w:cs="IRTEK Courier"/>
                <w:lang w:val="hy-AM"/>
              </w:rPr>
            </w:pPr>
          </w:p>
          <w:p w:rsidR="00764E6F" w:rsidRPr="0053423A" w:rsidRDefault="008B3845" w:rsidP="00A67858">
            <w:pPr>
              <w:tabs>
                <w:tab w:val="left" w:pos="297"/>
              </w:tabs>
              <w:spacing w:line="276" w:lineRule="auto"/>
              <w:jc w:val="center"/>
              <w:rPr>
                <w:b/>
                <w:lang w:val="hy-AM"/>
              </w:rPr>
            </w:pPr>
            <w:r w:rsidRPr="0053423A">
              <w:rPr>
                <w:rFonts w:cs="IRTEK Courier"/>
                <w:b/>
                <w:lang w:val="hy-AM"/>
              </w:rPr>
              <w:t xml:space="preserve"> 2</w:t>
            </w:r>
            <w:r w:rsidR="00764E6F" w:rsidRPr="0053423A">
              <w:rPr>
                <w:rFonts w:cs="IRTEK Courier"/>
                <w:b/>
                <w:lang w:val="hy-AM"/>
              </w:rPr>
              <w:t>2.2</w:t>
            </w:r>
            <w:r w:rsidR="00764E6F" w:rsidRPr="0053423A">
              <w:rPr>
                <w:b/>
                <w:lang w:val="hy-AM"/>
              </w:rPr>
              <w:t xml:space="preserve"> </w:t>
            </w:r>
            <w:r w:rsidR="00855F3D" w:rsidRPr="0053423A">
              <w:rPr>
                <w:b/>
                <w:lang w:val="hy-AM"/>
              </w:rPr>
              <w:t>«</w:t>
            </w:r>
            <w:r w:rsidR="00764E6F" w:rsidRPr="0053423A">
              <w:rPr>
                <w:b/>
                <w:lang w:val="hy-AM"/>
              </w:rPr>
              <w:t>Տուբերկուլոզին և ՄԻԱՎ/ՁԻԱՀ-ին հակազդման ծրագրերի  (տուբերկուլոզ` 2021-2023 թթ., ՄԻԱՎ/ՁԻԱՀ` 2022-2023թթ.) հաստատելու մասին» Առողջապահության նախարարի</w:t>
            </w:r>
          </w:p>
          <w:p w:rsidR="00764E6F" w:rsidRPr="0053423A" w:rsidRDefault="00764E6F" w:rsidP="00A67858">
            <w:pPr>
              <w:tabs>
                <w:tab w:val="left" w:pos="297"/>
              </w:tabs>
              <w:spacing w:line="276" w:lineRule="auto"/>
              <w:jc w:val="center"/>
              <w:rPr>
                <w:b/>
                <w:lang w:val="hy-AM"/>
              </w:rPr>
            </w:pPr>
            <w:r w:rsidRPr="0053423A">
              <w:rPr>
                <w:b/>
                <w:lang w:val="hy-AM"/>
              </w:rPr>
              <w:t xml:space="preserve"> հրամանի հաստատում</w:t>
            </w:r>
          </w:p>
          <w:p w:rsidR="00764E6F" w:rsidRPr="0053423A" w:rsidRDefault="00764E6F" w:rsidP="00A67858">
            <w:pPr>
              <w:spacing w:line="276" w:lineRule="auto"/>
              <w:jc w:val="both"/>
              <w:rPr>
                <w:rFonts w:cs="IRTEK Courier"/>
                <w:lang w:val="hy-AM"/>
              </w:rPr>
            </w:pPr>
          </w:p>
          <w:p w:rsidR="00764E6F" w:rsidRPr="0053423A" w:rsidRDefault="00764E6F" w:rsidP="00A67858">
            <w:pPr>
              <w:spacing w:line="276" w:lineRule="auto"/>
              <w:jc w:val="both"/>
              <w:rPr>
                <w:rFonts w:cs="IRTEK Courier"/>
                <w:b/>
                <w:lang w:val="hy-AM"/>
              </w:rPr>
            </w:pPr>
            <w:r w:rsidRPr="0053423A">
              <w:rPr>
                <w:rFonts w:cs="IRTEK Courier"/>
                <w:b/>
                <w:lang w:val="hy-AM"/>
              </w:rPr>
              <w:t xml:space="preserve">   1. Միջոցառման իրականացման անհրաժեշտությունը և նպատակը </w:t>
            </w:r>
          </w:p>
          <w:p w:rsidR="00764E6F" w:rsidRPr="0053423A" w:rsidRDefault="00764E6F" w:rsidP="00A67858">
            <w:pPr>
              <w:spacing w:line="276" w:lineRule="auto"/>
              <w:jc w:val="both"/>
              <w:rPr>
                <w:rFonts w:cs="IRTEK Courier"/>
                <w:lang w:val="hy-AM"/>
              </w:rPr>
            </w:pPr>
            <w:r w:rsidRPr="0053423A">
              <w:rPr>
                <w:rFonts w:cs="IRTEK Courier"/>
                <w:b/>
                <w:lang w:val="hy-AM"/>
              </w:rPr>
              <w:t xml:space="preserve">   </w:t>
            </w:r>
            <w:r w:rsidRPr="0053423A">
              <w:rPr>
                <w:rFonts w:cs="IRTEK Courier"/>
                <w:lang w:val="hy-AM"/>
              </w:rPr>
              <w:t>Միջոցառումների իրականացումը կարևոր է սոցիալական նշանակության առավել տարածված վարակիչ հիվանդություններից տուբերկուլոզի և ՄԻԱՎ/ՁԻԱՀ-ի դեմ պայքարի,  համաճարակաբանական հսկողության, բնակչության շրջանում  այդ հիվանդությունների կանխարգելման վերաբերյալ գիտելիքների տարածման, ախտորոշիչ, բուժական օպտիմալ և մարդակենտրոն համակարգերի ներդրման, կադրային ներուժի զարգացման կազմակերպման և իրականացման անհրաժեշտությունից ելնելով` ՀՀ-ում նշյալ վարակներից հիվանդացությունն ու մահացությունը նվազեցնելու նպատակով:</w:t>
            </w:r>
          </w:p>
          <w:p w:rsidR="00764E6F" w:rsidRPr="0053423A" w:rsidRDefault="00764E6F" w:rsidP="00A67858">
            <w:pPr>
              <w:spacing w:line="276" w:lineRule="auto"/>
              <w:jc w:val="both"/>
              <w:rPr>
                <w:rFonts w:cs="IRTEK Courier"/>
                <w:lang w:val="hy-AM"/>
              </w:rPr>
            </w:pPr>
          </w:p>
          <w:p w:rsidR="00764E6F" w:rsidRPr="0053423A" w:rsidRDefault="00764E6F" w:rsidP="00A67858">
            <w:pPr>
              <w:spacing w:line="276" w:lineRule="auto"/>
              <w:jc w:val="both"/>
              <w:rPr>
                <w:rFonts w:cs="IRTEK Courier"/>
                <w:lang w:val="hy-AM"/>
              </w:rPr>
            </w:pPr>
            <w:r w:rsidRPr="0053423A">
              <w:rPr>
                <w:rFonts w:cs="IRTEK Courier"/>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jc w:val="both"/>
              <w:rPr>
                <w:rFonts w:cs="IRTEK Courier"/>
                <w:lang w:val="hy-AM"/>
              </w:rPr>
            </w:pPr>
            <w:r w:rsidRPr="0053423A">
              <w:rPr>
                <w:rFonts w:cs="IRTEK Courier"/>
                <w:lang w:val="hy-AM"/>
              </w:rPr>
              <w:t xml:space="preserve">   Տուբերկուլոզը և ՄԻԱՎ/ՁԻԱՀ-ը ՀՀ-ում սոցիալական նշանակության առավել տարածված  վարակիչ հիվանդություններ են: Մասնավորապես բարձր է տուբերկուլոզի դեղակայուն ձևերի բեռը, որը հանգեցնում է համաճարակային իրավիճակի բարդացմանը: ՄԻԱՎ/ՁԻԱՀ-ն առայժմ սահմանափակված է ՄԻԱՎ-ի նկատմամբ խոցելի խմբերի շրջանում, սակայն վերջին տարիներին արձանագրված դեպքերում գերակշռում են  հետերոսեքսուալ ճանապահով փոխանցված դեպքերը, մասնավորապես այլ երկրներ արտագնա սեզոնային աշխատանքի մեկնող միգրանտ բնակչության և նրանց զուգընկերների շրջանում, ինչը լուրջ մարտահրավերներ է առաջացնում բնակչության այս հատուկ խմբի համար վարակի կանխարգելման արդյունավետ ծառայությունների մշակման անհրաժեշտության իմաստով: ՀՀ կառավարության 2015 թվականի մարտի 24-ի նիստի թիվ 11 արձանագրային որոշմամբ ընդունվել է ՀՀ-ում տուբերկուլոզի կառավարման 2016-2020 թթ. ազգային ռազմավարությունը և միջոցառումների ծրագիրը, իսկ 2017 թվականի հունիսի 15-ի նիստի թիվ 25 արձանագրությամբ` ՀՀ-ում 2017-2021 թթ. ՄԻԱՎ/ՁԻԱՀ-ի կանխարգելման պետական նպատակային ծրագիրը և առաջնահերթ միջոցառումների ցանկը: Անհրաժեշտ է մշակել նոր ծրագրեր` հետագա տարիների համար:</w:t>
            </w:r>
          </w:p>
          <w:p w:rsidR="00764E6F" w:rsidRPr="0053423A" w:rsidRDefault="00764E6F" w:rsidP="00A67858">
            <w:pPr>
              <w:spacing w:line="276" w:lineRule="auto"/>
              <w:jc w:val="both"/>
              <w:rPr>
                <w:rFonts w:cs="IRTEK Courier"/>
                <w:lang w:val="hy-AM"/>
              </w:rPr>
            </w:pPr>
            <w:r w:rsidRPr="0053423A">
              <w:rPr>
                <w:rFonts w:cs="IRTEK Courier"/>
                <w:b/>
                <w:lang w:val="hy-AM"/>
              </w:rPr>
              <w:t xml:space="preserve">   1.2. Առկա խնդիրների առաջարկվող լուծումները</w:t>
            </w:r>
          </w:p>
          <w:p w:rsidR="00764E6F" w:rsidRPr="0053423A" w:rsidRDefault="00764E6F" w:rsidP="00A67858">
            <w:pPr>
              <w:spacing w:line="276" w:lineRule="auto"/>
              <w:jc w:val="both"/>
              <w:rPr>
                <w:rFonts w:cs="IRTEK Courier"/>
                <w:lang w:val="hy-AM"/>
              </w:rPr>
            </w:pPr>
            <w:r w:rsidRPr="0053423A">
              <w:rPr>
                <w:rFonts w:cs="IRTEK Courier"/>
                <w:lang w:val="hy-AM"/>
              </w:rPr>
              <w:t xml:space="preserve">   Տուբերկուլոզին և ՄԻԱՎ/ՁԻԱՀ-ին հակազդումն արդյունավետ կլինի պայքարի համալիր և համակարգված միջոցառումների կիրառման դեպքում: Հատկապես կարևորվում է վարակի վերահսկման, կանխարգելման, ախտորոշման և բուժման արտահիվադանոցային մարդակենտրոն ծառայությունների համակարգերի ստեղծումը, կադրային ներուժի զարգացումը, հանրային իրազեկման միջոցառումները, բնակչության խոցելի խմբերի շրջանում հիվանդությունների կանխարգելմանն ուղղված գիտելիքների տարածումը, խնդիրների լուծմանն ուղղված միջգերատեսչական, ինչպես նաև համայնքահեն, հասարարակական և միջազգային կազմակերպությունների հետ համագործակցությունը` դրանց իրականացման համար իրավական դաշտ ապահովելով: </w:t>
            </w:r>
          </w:p>
          <w:p w:rsidR="00764E6F" w:rsidRPr="0053423A" w:rsidRDefault="00764E6F" w:rsidP="00A67858">
            <w:pPr>
              <w:spacing w:line="276" w:lineRule="auto"/>
              <w:ind w:firstLine="229"/>
              <w:jc w:val="both"/>
              <w:rPr>
                <w:rFonts w:cs="IRTEK Courier"/>
                <w:lang w:val="hy-AM"/>
              </w:rPr>
            </w:pPr>
            <w:r w:rsidRPr="0053423A">
              <w:rPr>
                <w:rFonts w:cs="IRTEK Courier"/>
                <w:lang w:val="hy-AM"/>
              </w:rPr>
              <w:t>ՀՀ առողջապահության կողմից մշակված ռազմավարական ծրագրերը, միջոցառումները և տարեկան բյուջեները նախատեսվում է քննարկել և համաձայնեցնել շահագրգիռ նախարարությունների` ՀՀ աշխատանքի և սոցիալական հարցերի, կրթության, ֆինանսների և տարածքային կառավարման նախարարությունների հետ, ինչպես նաև ՀՀ մարզպետարանների և Երևանի քաղաքապետարանի հետ:</w:t>
            </w:r>
          </w:p>
          <w:p w:rsidR="00764E6F" w:rsidRPr="0053423A" w:rsidRDefault="00764E6F" w:rsidP="00A67858">
            <w:pPr>
              <w:spacing w:line="276" w:lineRule="auto"/>
              <w:jc w:val="both"/>
              <w:rPr>
                <w:rFonts w:cs="IRTEK Courier"/>
                <w:b/>
                <w:lang w:val="hy-AM"/>
              </w:rPr>
            </w:pPr>
            <w:r w:rsidRPr="0053423A">
              <w:rPr>
                <w:rFonts w:cs="IRTEK Courier"/>
                <w:lang w:val="hy-AM"/>
              </w:rPr>
              <w:t xml:space="preserve">  </w:t>
            </w:r>
            <w:r w:rsidRPr="0053423A">
              <w:rPr>
                <w:rFonts w:cs="IRTEK Courier"/>
                <w:b/>
                <w:lang w:val="hy-AM"/>
              </w:rPr>
              <w:t xml:space="preserve"> 2. Միջոցառման իրականացումից ակնկալվող արդյունքը</w:t>
            </w:r>
          </w:p>
          <w:p w:rsidR="00764E6F" w:rsidRPr="0053423A" w:rsidRDefault="00764E6F" w:rsidP="00A67858">
            <w:pPr>
              <w:spacing w:line="276" w:lineRule="auto"/>
              <w:jc w:val="both"/>
              <w:rPr>
                <w:rFonts w:cs="IRTEK Courier"/>
                <w:lang w:val="hy-AM"/>
              </w:rPr>
            </w:pPr>
            <w:r w:rsidRPr="0053423A">
              <w:rPr>
                <w:rFonts w:cs="IRTEK Courier"/>
                <w:lang w:val="hy-AM"/>
              </w:rPr>
              <w:t xml:space="preserve">   ՀՀ-ում տուբերկուլոզի, մասնավորապես հիվանդության դեղակայուն ձևերի և ՄԻԱՎ/ՁԻԱՀ-ի, կանխարգելում, հիվանդացության և մահացության մակարդակների նվազում:</w:t>
            </w:r>
          </w:p>
          <w:p w:rsidR="00764E6F" w:rsidRPr="0053423A" w:rsidRDefault="00764E6F" w:rsidP="00A67858">
            <w:pPr>
              <w:spacing w:line="276" w:lineRule="auto"/>
              <w:jc w:val="both"/>
              <w:rPr>
                <w:rFonts w:cs="Sylfaen"/>
                <w:b/>
                <w:lang w:val="hy-AM"/>
              </w:rPr>
            </w:pPr>
          </w:p>
        </w:tc>
      </w:tr>
      <w:tr w:rsidR="00764E6F" w:rsidRPr="00DE2EFA" w:rsidTr="009843B0">
        <w:tc>
          <w:tcPr>
            <w:tcW w:w="630" w:type="dxa"/>
          </w:tcPr>
          <w:p w:rsidR="00764E6F" w:rsidRPr="0053423A" w:rsidRDefault="008B3845" w:rsidP="00A67858">
            <w:pPr>
              <w:spacing w:line="276" w:lineRule="auto"/>
              <w:jc w:val="center"/>
            </w:pPr>
            <w:r w:rsidRPr="0053423A">
              <w:rPr>
                <w:lang w:val="hy-AM"/>
              </w:rPr>
              <w:t>23</w:t>
            </w:r>
          </w:p>
        </w:tc>
        <w:tc>
          <w:tcPr>
            <w:tcW w:w="10878" w:type="dxa"/>
          </w:tcPr>
          <w:p w:rsidR="00764E6F" w:rsidRPr="0053423A" w:rsidRDefault="008B3845" w:rsidP="00A67858">
            <w:pPr>
              <w:spacing w:line="276" w:lineRule="auto"/>
              <w:contextualSpacing/>
              <w:jc w:val="center"/>
              <w:rPr>
                <w:b/>
                <w:lang w:val="hy-AM"/>
              </w:rPr>
            </w:pPr>
            <w:r w:rsidRPr="0053423A">
              <w:rPr>
                <w:rFonts w:cs="Arial"/>
                <w:b/>
                <w:lang w:val="hy-AM"/>
              </w:rPr>
              <w:t>2</w:t>
            </w:r>
            <w:r w:rsidR="00764E6F" w:rsidRPr="0053423A">
              <w:rPr>
                <w:rFonts w:cs="Arial"/>
                <w:b/>
              </w:rPr>
              <w:t>3</w:t>
            </w:r>
            <w:r w:rsidR="00764E6F" w:rsidRPr="0053423A">
              <w:rPr>
                <w:rFonts w:cs="Arial"/>
                <w:b/>
                <w:lang w:val="hy-AM"/>
              </w:rPr>
              <w:t>.</w:t>
            </w:r>
            <w:r w:rsidR="00764E6F" w:rsidRPr="0053423A">
              <w:rPr>
                <w:rFonts w:cs="Arial"/>
                <w:b/>
              </w:rPr>
              <w:t>1</w:t>
            </w:r>
            <w:r w:rsidR="00764E6F" w:rsidRPr="0053423A">
              <w:rPr>
                <w:rFonts w:cs="Arial"/>
                <w:b/>
                <w:lang w:val="hy-AM"/>
              </w:rPr>
              <w:t xml:space="preserve"> «Առողջության համապարփակ բժշկական ապահովագրության մասին» օ</w:t>
            </w:r>
            <w:r w:rsidR="00764E6F" w:rsidRPr="0053423A">
              <w:rPr>
                <w:b/>
                <w:lang w:val="hy-AM"/>
              </w:rPr>
              <w:t>րենքի նախագիծը վարչապետի աշխատակազմ ներկայացնելը</w:t>
            </w:r>
          </w:p>
          <w:p w:rsidR="00764E6F" w:rsidRPr="0053423A" w:rsidRDefault="00764E6F" w:rsidP="00A67858">
            <w:pPr>
              <w:spacing w:line="276" w:lineRule="auto"/>
              <w:contextualSpacing/>
              <w:jc w:val="center"/>
              <w:rPr>
                <w:rFonts w:cs="Arial"/>
                <w:b/>
                <w:lang w:val="hy-AM"/>
              </w:rPr>
            </w:pPr>
          </w:p>
          <w:p w:rsidR="00764E6F" w:rsidRPr="0053423A" w:rsidRDefault="00764E6F" w:rsidP="00A67858">
            <w:pPr>
              <w:spacing w:line="276" w:lineRule="auto"/>
              <w:contextualSpacing/>
              <w:jc w:val="both"/>
              <w:rPr>
                <w:rFonts w:cs="Arial"/>
                <w:b/>
                <w:lang w:val="hy-AM"/>
              </w:rPr>
            </w:pPr>
            <w:r w:rsidRPr="0053423A">
              <w:rPr>
                <w:rFonts w:cs="Arial"/>
                <w:b/>
                <w:lang w:val="hy-AM"/>
              </w:rPr>
              <w:t xml:space="preserve">   1. Միջոցառման իրականացման անհրաժեշտությունը և նպատակը.</w:t>
            </w:r>
          </w:p>
          <w:p w:rsidR="00764E6F" w:rsidRPr="0053423A" w:rsidRDefault="00764E6F" w:rsidP="00A67858">
            <w:pPr>
              <w:spacing w:line="276" w:lineRule="auto"/>
              <w:contextualSpacing/>
              <w:jc w:val="both"/>
              <w:rPr>
                <w:lang w:val="hy-AM"/>
              </w:rPr>
            </w:pPr>
            <w:r w:rsidRPr="0053423A">
              <w:rPr>
                <w:rFonts w:cs="Arial"/>
                <w:lang w:val="hy-AM"/>
              </w:rPr>
              <w:t xml:space="preserve">   </w:t>
            </w:r>
            <w:r w:rsidRPr="0053423A">
              <w:rPr>
                <w:lang w:val="hy-AM"/>
              </w:rPr>
              <w:t>Միջոցառման անհրաժեշտությունը պայմանավորված է առողջության համապարփակ բժշկական ապահովագրության ներդրման նպատակով օրենսդրական հիմքերի ամրագրման անհրաժեշտությամբ:</w:t>
            </w:r>
          </w:p>
          <w:p w:rsidR="00764E6F" w:rsidRPr="0053423A" w:rsidRDefault="00764E6F" w:rsidP="00A67858">
            <w:pPr>
              <w:spacing w:line="276" w:lineRule="auto"/>
              <w:contextualSpacing/>
              <w:jc w:val="both"/>
              <w:rPr>
                <w:rFonts w:cs="Arial"/>
                <w:b/>
                <w:lang w:val="hy-AM"/>
              </w:rPr>
            </w:pPr>
          </w:p>
          <w:p w:rsidR="00764E6F" w:rsidRPr="0053423A" w:rsidRDefault="00764E6F" w:rsidP="00A67858">
            <w:pPr>
              <w:tabs>
                <w:tab w:val="left" w:pos="567"/>
                <w:tab w:val="left" w:pos="827"/>
              </w:tabs>
              <w:spacing w:line="276" w:lineRule="auto"/>
              <w:contextualSpacing/>
              <w:jc w:val="both"/>
              <w:rPr>
                <w:rFonts w:cs="Arial"/>
                <w:b/>
                <w:lang w:val="hy-AM"/>
              </w:rPr>
            </w:pPr>
            <w:r w:rsidRPr="0053423A">
              <w:rPr>
                <w:rFonts w:cs="Arial"/>
                <w:b/>
                <w:lang w:val="hy-AM"/>
              </w:rPr>
              <w:t xml:space="preserve">   1.1. Կարգավորման ենթակա հարաբերությունների ներկա վիճակը և առկա խնդիրները.</w:t>
            </w:r>
          </w:p>
          <w:p w:rsidR="00764E6F" w:rsidRPr="0053423A" w:rsidRDefault="00764E6F" w:rsidP="00A67858">
            <w:pPr>
              <w:spacing w:line="276" w:lineRule="auto"/>
              <w:contextualSpacing/>
              <w:jc w:val="both"/>
              <w:rPr>
                <w:rFonts w:cs="Arial"/>
                <w:b/>
                <w:lang w:val="hy-AM"/>
              </w:rPr>
            </w:pPr>
            <w:r w:rsidRPr="0053423A">
              <w:rPr>
                <w:rFonts w:cs="Arial"/>
                <w:lang w:val="hy-AM"/>
              </w:rPr>
              <w:t xml:space="preserve">   </w:t>
            </w:r>
            <w:r w:rsidRPr="0053423A">
              <w:rPr>
                <w:lang w:val="hy-AM"/>
              </w:rPr>
              <w:t>Ներկայումս Հայաստանի Հանրապետությունում գործում են ապահովագրության ոլորտը կանոնակարգող </w:t>
            </w:r>
            <w:r w:rsidRPr="0053423A">
              <w:rPr>
                <w:bCs/>
                <w:lang w:val="hy-AM"/>
              </w:rPr>
              <w:t>Ապահովագրության և ապահովագրական գործունեության մասին</w:t>
            </w:r>
            <w:r w:rsidRPr="0053423A">
              <w:rPr>
                <w:lang w:val="hy-AM"/>
              </w:rPr>
              <w:t> և  </w:t>
            </w:r>
            <w:r w:rsidRPr="0053423A">
              <w:rPr>
                <w:bCs/>
                <w:lang w:val="hy-AM"/>
              </w:rPr>
              <w:t>Ավտոտրանսպորտային միջոցների օգտագործումից բխող պատասխանատվության պարտադիր ապահովագրության մասին</w:t>
            </w:r>
            <w:r w:rsidRPr="0053423A">
              <w:rPr>
                <w:b/>
                <w:bCs/>
                <w:color w:val="000000"/>
                <w:shd w:val="clear" w:color="auto" w:fill="FFFFFF"/>
                <w:lang w:val="hy-AM"/>
              </w:rPr>
              <w:t xml:space="preserve"> </w:t>
            </w:r>
            <w:r w:rsidRPr="0053423A">
              <w:rPr>
                <w:lang w:val="hy-AM"/>
              </w:rPr>
              <w:t xml:space="preserve"> ՀՀ օրենքները, իսկ </w:t>
            </w:r>
            <w:r w:rsidRPr="0053423A">
              <w:rPr>
                <w:rFonts w:cs="Arial"/>
                <w:lang w:val="hy-AM"/>
              </w:rPr>
              <w:t>առողջության համապարփակ բժշկական ապահովագրության մասին որևէ օրենսդրական կանոնակարգում չկա:</w:t>
            </w:r>
          </w:p>
          <w:p w:rsidR="00764E6F" w:rsidRPr="0053423A" w:rsidRDefault="00764E6F" w:rsidP="00A67858">
            <w:pPr>
              <w:spacing w:line="276" w:lineRule="auto"/>
              <w:ind w:firstLine="381"/>
              <w:contextualSpacing/>
              <w:jc w:val="both"/>
              <w:rPr>
                <w:color w:val="000000"/>
                <w:shd w:val="clear" w:color="auto" w:fill="FFFFFF"/>
                <w:lang w:val="hy-AM"/>
              </w:rPr>
            </w:pPr>
          </w:p>
          <w:p w:rsidR="00764E6F" w:rsidRPr="0053423A" w:rsidRDefault="00764E6F" w:rsidP="00A67858">
            <w:pPr>
              <w:tabs>
                <w:tab w:val="left" w:pos="567"/>
                <w:tab w:val="left" w:pos="897"/>
              </w:tabs>
              <w:spacing w:line="276" w:lineRule="auto"/>
              <w:contextualSpacing/>
              <w:jc w:val="both"/>
              <w:rPr>
                <w:rFonts w:cs="Arial"/>
                <w:b/>
                <w:lang w:val="hy-AM"/>
              </w:rPr>
            </w:pPr>
            <w:r w:rsidRPr="0053423A">
              <w:rPr>
                <w:rFonts w:cs="Arial"/>
                <w:b/>
                <w:lang w:val="hy-AM"/>
              </w:rPr>
              <w:t xml:space="preserve">   1.2. Առկա խնդիրների առաջարկվող լուծումները</w:t>
            </w:r>
          </w:p>
          <w:p w:rsidR="00764E6F" w:rsidRPr="0053423A" w:rsidRDefault="00764E6F" w:rsidP="00A67858">
            <w:pPr>
              <w:tabs>
                <w:tab w:val="left" w:pos="567"/>
              </w:tabs>
              <w:spacing w:line="276" w:lineRule="auto"/>
              <w:contextualSpacing/>
              <w:jc w:val="both"/>
              <w:rPr>
                <w:rFonts w:eastAsia="Calibri"/>
                <w:lang w:val="hy-AM"/>
              </w:rPr>
            </w:pPr>
            <w:r w:rsidRPr="0053423A">
              <w:rPr>
                <w:rFonts w:eastAsia="Calibri"/>
                <w:lang w:val="hy-AM"/>
              </w:rPr>
              <w:t>Առաջարկվում է օրենքի ընդունումով լրացնել և կանոնակարգել առողջության ապահովագրության ոլորտը:</w:t>
            </w:r>
          </w:p>
          <w:p w:rsidR="00764E6F" w:rsidRPr="0053423A" w:rsidRDefault="00764E6F" w:rsidP="00A67858">
            <w:pPr>
              <w:tabs>
                <w:tab w:val="left" w:pos="567"/>
              </w:tabs>
              <w:spacing w:line="276" w:lineRule="auto"/>
              <w:contextualSpacing/>
              <w:jc w:val="both"/>
              <w:rPr>
                <w:rFonts w:eastAsia="Calibri"/>
                <w:lang w:val="hy-AM"/>
              </w:rPr>
            </w:pPr>
          </w:p>
          <w:p w:rsidR="00764E6F" w:rsidRPr="0053423A" w:rsidRDefault="00764E6F" w:rsidP="00A67858">
            <w:pPr>
              <w:spacing w:line="276" w:lineRule="auto"/>
              <w:contextualSpacing/>
              <w:jc w:val="both"/>
              <w:rPr>
                <w:rFonts w:cs="Arial"/>
                <w:b/>
                <w:lang w:val="hy-AM"/>
              </w:rPr>
            </w:pPr>
            <w:r w:rsidRPr="0053423A">
              <w:rPr>
                <w:rFonts w:cs="Arial"/>
                <w:b/>
                <w:lang w:val="hy-AM"/>
              </w:rPr>
              <w:t xml:space="preserve">   2. </w:t>
            </w:r>
            <w:r w:rsidRPr="0053423A">
              <w:rPr>
                <w:b/>
                <w:color w:val="000000"/>
                <w:shd w:val="clear" w:color="auto" w:fill="FFFFFF"/>
                <w:lang w:val="hy-AM"/>
              </w:rPr>
              <w:t>Միջոցառման իրականացումից ակնկալվող արդյունքը</w:t>
            </w:r>
          </w:p>
          <w:p w:rsidR="00764E6F" w:rsidRPr="0053423A" w:rsidRDefault="00764E6F" w:rsidP="00A67858">
            <w:pPr>
              <w:spacing w:line="276" w:lineRule="auto"/>
              <w:jc w:val="both"/>
              <w:rPr>
                <w:b/>
                <w:bCs/>
                <w:lang w:val="hy-AM"/>
              </w:rPr>
            </w:pPr>
            <w:r w:rsidRPr="0053423A">
              <w:rPr>
                <w:rFonts w:cs="Arial"/>
                <w:lang w:val="hy-AM"/>
              </w:rPr>
              <w:t xml:space="preserve">   Առողջության համապարփակ բժշկական ապահովագրության մասին» օ</w:t>
            </w:r>
            <w:r w:rsidRPr="0053423A">
              <w:rPr>
                <w:lang w:val="hy-AM"/>
              </w:rPr>
              <w:t xml:space="preserve">րենքի ընդունումը հնարավորություն կտա Հայաստանի Հանրապետությունում ներդնել </w:t>
            </w:r>
            <w:r w:rsidRPr="0053423A">
              <w:rPr>
                <w:rFonts w:cs="Arial"/>
                <w:lang w:val="hy-AM"/>
              </w:rPr>
              <w:t xml:space="preserve">առողջության համապարփակ բժշկական ապահովագրությունը, որը </w:t>
            </w:r>
            <w:r w:rsidRPr="0053423A">
              <w:rPr>
                <w:lang w:val="hy-AM"/>
              </w:rPr>
              <w:t>բժշկական օգնության և սպասարկման անհրաժեշտություն ունեցող յուրաքանչյուր ապահովագրված քաղաքացու հնարավորություն կտա օգտվելու առողջապահական ծառայությունների փաթեթից՝ անկախ սեռից, տարիքից, բնակության վայրից և սոցիալական կարգավիճակից:</w:t>
            </w:r>
          </w:p>
        </w:tc>
      </w:tr>
      <w:tr w:rsidR="00764E6F" w:rsidRPr="00DE2EFA" w:rsidTr="009843B0">
        <w:tc>
          <w:tcPr>
            <w:tcW w:w="630" w:type="dxa"/>
          </w:tcPr>
          <w:p w:rsidR="00764E6F" w:rsidRPr="0053423A" w:rsidRDefault="008B3845" w:rsidP="00A67858">
            <w:pPr>
              <w:spacing w:line="276" w:lineRule="auto"/>
              <w:jc w:val="center"/>
            </w:pPr>
            <w:r w:rsidRPr="0053423A">
              <w:rPr>
                <w:lang w:val="hy-AM"/>
              </w:rPr>
              <w:t>2</w:t>
            </w:r>
            <w:r w:rsidR="00764E6F" w:rsidRPr="0053423A">
              <w:t>4</w:t>
            </w:r>
          </w:p>
        </w:tc>
        <w:tc>
          <w:tcPr>
            <w:tcW w:w="10878" w:type="dxa"/>
          </w:tcPr>
          <w:p w:rsidR="00764E6F" w:rsidRPr="0053423A" w:rsidRDefault="008B3845" w:rsidP="00A67858">
            <w:pPr>
              <w:spacing w:line="276" w:lineRule="auto"/>
              <w:jc w:val="center"/>
              <w:rPr>
                <w:rFonts w:cs="Arial"/>
                <w:b/>
                <w:lang w:val="hy-AM"/>
              </w:rPr>
            </w:pPr>
            <w:r w:rsidRPr="0053423A">
              <w:rPr>
                <w:rFonts w:cs="Arial"/>
                <w:b/>
                <w:lang w:val="hy-AM"/>
              </w:rPr>
              <w:t xml:space="preserve"> 2</w:t>
            </w:r>
            <w:r w:rsidR="00764E6F" w:rsidRPr="0053423A">
              <w:rPr>
                <w:rFonts w:cs="Arial"/>
                <w:b/>
              </w:rPr>
              <w:t>4.1</w:t>
            </w:r>
            <w:r w:rsidR="00764E6F" w:rsidRPr="0053423A">
              <w:rPr>
                <w:rFonts w:cs="Arial"/>
                <w:b/>
                <w:lang w:val="hy-AM"/>
              </w:rPr>
              <w:t xml:space="preserve"> </w:t>
            </w:r>
            <w:r w:rsidR="00764E6F" w:rsidRPr="0053423A">
              <w:rPr>
                <w:b/>
                <w:lang w:val="hy-AM"/>
              </w:rPr>
              <w:t xml:space="preserve">«Էլեկտրոնային առողջապահության համակարգի զարգացման </w:t>
            </w:r>
            <w:r w:rsidR="00764E6F" w:rsidRPr="0053423A">
              <w:rPr>
                <w:rFonts w:cs="Sylfaen"/>
                <w:b/>
                <w:lang w:val="hy-AM"/>
              </w:rPr>
              <w:t>ռազմավարությ</w:t>
            </w:r>
            <w:r w:rsidR="00764E6F" w:rsidRPr="0053423A">
              <w:rPr>
                <w:rFonts w:cs="Sylfaen"/>
                <w:b/>
              </w:rPr>
              <w:t>ունը հաստատելու մասին</w:t>
            </w:r>
            <w:r w:rsidR="00764E6F" w:rsidRPr="0053423A">
              <w:rPr>
                <w:rFonts w:cs="Sylfaen"/>
                <w:b/>
                <w:lang w:val="hy-AM"/>
              </w:rPr>
              <w:t>» Կառավարության որոշման նախագիծը վարչապետի աշխատակազմ ներկայացնելը</w:t>
            </w:r>
            <w:r w:rsidR="00764E6F" w:rsidRPr="0053423A">
              <w:rPr>
                <w:rFonts w:cs="Arial"/>
                <w:b/>
                <w:lang w:val="hy-AM"/>
              </w:rPr>
              <w:t xml:space="preserve"> </w:t>
            </w:r>
          </w:p>
          <w:p w:rsidR="00764E6F" w:rsidRPr="0053423A" w:rsidRDefault="00764E6F" w:rsidP="00A67858">
            <w:pPr>
              <w:spacing w:line="276" w:lineRule="auto"/>
              <w:contextualSpacing/>
              <w:jc w:val="center"/>
              <w:rPr>
                <w:rFonts w:cs="Arial"/>
                <w:b/>
                <w:lang w:val="hy-AM"/>
              </w:rPr>
            </w:pPr>
          </w:p>
          <w:p w:rsidR="00764E6F" w:rsidRPr="0053423A" w:rsidRDefault="00764E6F" w:rsidP="00A67858">
            <w:pPr>
              <w:spacing w:line="276" w:lineRule="auto"/>
              <w:contextualSpacing/>
              <w:jc w:val="both"/>
              <w:rPr>
                <w:rFonts w:cs="Arial"/>
                <w:b/>
                <w:lang w:val="hy-AM"/>
              </w:rPr>
            </w:pPr>
            <w:r w:rsidRPr="0053423A">
              <w:rPr>
                <w:rFonts w:cs="Arial"/>
                <w:b/>
                <w:lang w:val="hy-AM"/>
              </w:rPr>
              <w:t xml:space="preserve">   1. Միջոցառման իրականացման անհրաժեշտությունը և նպատակը</w:t>
            </w:r>
          </w:p>
          <w:p w:rsidR="00764E6F" w:rsidRPr="0053423A" w:rsidRDefault="00764E6F" w:rsidP="00A67858">
            <w:pPr>
              <w:spacing w:line="276" w:lineRule="auto"/>
              <w:jc w:val="both"/>
              <w:rPr>
                <w:rFonts w:cs="Arial"/>
                <w:lang w:val="hy-AM"/>
              </w:rPr>
            </w:pPr>
            <w:r w:rsidRPr="0053423A">
              <w:rPr>
                <w:rFonts w:cs="Arial"/>
                <w:lang w:val="hy-AM"/>
              </w:rPr>
              <w:t xml:space="preserve">   </w:t>
            </w:r>
            <w:r w:rsidRPr="0053423A">
              <w:rPr>
                <w:rFonts w:cs="Sylfaen"/>
                <w:color w:val="000000"/>
                <w:shd w:val="clear" w:color="auto" w:fill="FFFFFF"/>
                <w:lang w:val="hy-AM"/>
              </w:rPr>
              <w:t xml:space="preserve">   Միջոցառման անհրաժեշտությունը պայմանավորված է առողջապահական և բժշկական տվյալների ամբողջական համակարգի ստեղծումով: Էլեկտրոնային առողջապահության համակարգի ամբողջական ներդրումը նպատակ ունի դառնալ առողջապահական տվյալների կառավարման միասնական համակարգ, որտեղ կմուտքագրվեն և կպահվեն բնակչի առողջությանը վերաբերվող ամբողջական տվյալներ: Էլեկտրոնային առողջապահության համակարգը կբարձրացնի պացիենտի՝ սեփական առողջությանը իրազեկվածության և դրա բարելավմանը մասնակցության մակարդակը: ՀՀ-ում առողջապահության ոլորտում միասնական տեղեկատվական համակարգը հանդես կգա որպես տվյալների փոխանցման համապարփակ և համաժամանակյա հարթակ երեք տեսակի տվյալների համար` կլինիկական, վարչական և ֆինանսական: </w:t>
            </w:r>
          </w:p>
          <w:p w:rsidR="00764E6F" w:rsidRPr="0053423A" w:rsidRDefault="00764E6F" w:rsidP="00A67858">
            <w:pPr>
              <w:spacing w:line="276" w:lineRule="auto"/>
              <w:contextualSpacing/>
              <w:jc w:val="both"/>
              <w:rPr>
                <w:rFonts w:cs="Arial"/>
                <w:b/>
                <w:lang w:val="hy-AM"/>
              </w:rPr>
            </w:pPr>
          </w:p>
          <w:p w:rsidR="00764E6F" w:rsidRPr="0053423A" w:rsidRDefault="00764E6F" w:rsidP="00A67858">
            <w:pPr>
              <w:tabs>
                <w:tab w:val="left" w:pos="567"/>
                <w:tab w:val="left" w:pos="827"/>
              </w:tabs>
              <w:spacing w:line="276" w:lineRule="auto"/>
              <w:contextualSpacing/>
              <w:jc w:val="both"/>
              <w:rPr>
                <w:rFonts w:cs="Arial"/>
                <w:b/>
                <w:lang w:val="hy-AM"/>
              </w:rPr>
            </w:pPr>
            <w:r w:rsidRPr="0053423A">
              <w:rPr>
                <w:rFonts w:cs="Arial"/>
                <w:b/>
                <w:lang w:val="hy-AM"/>
              </w:rPr>
              <w:t xml:space="preserve">   1.1. Կարգավորման ենթակա հարաբերությունների ներկա վիճակը և առկա խնդիրները</w:t>
            </w:r>
          </w:p>
          <w:p w:rsidR="00764E6F" w:rsidRPr="0053423A" w:rsidRDefault="00764E6F" w:rsidP="00A67858">
            <w:pPr>
              <w:spacing w:line="276" w:lineRule="auto"/>
              <w:jc w:val="both"/>
              <w:rPr>
                <w:rFonts w:cs="Sylfaen"/>
                <w:color w:val="000000"/>
                <w:shd w:val="clear" w:color="auto" w:fill="FFFFFF"/>
                <w:lang w:val="hy-AM"/>
              </w:rPr>
            </w:pPr>
            <w:r w:rsidRPr="0053423A">
              <w:rPr>
                <w:rFonts w:cs="Arial"/>
                <w:lang w:val="hy-AM"/>
              </w:rPr>
              <w:t xml:space="preserve">   </w:t>
            </w:r>
            <w:r w:rsidRPr="0053423A">
              <w:rPr>
                <w:rFonts w:cs="Sylfaen"/>
                <w:color w:val="000000"/>
                <w:shd w:val="clear" w:color="auto" w:fill="FFFFFF"/>
                <w:lang w:val="hy-AM"/>
              </w:rPr>
              <w:t>Ներկայումս Էլեկտրոնային առողջապահության համակարգը ներդրված է ոչ ամբողջությամբ (մասնակի), միաժամանակ կանոնակարգված չեն համակարգի ամբողջական ներդրման և շահագործման վերաբերյալ իրավական հիմքերը, մշակված և հաստատված չեն բժշկական ստանդարտները, ներգրավված չէ բժշկական անձնակազմը: Համակարգը ինտեգրված է միայն Բնակչության պետական ռեգիստրին:</w:t>
            </w:r>
          </w:p>
          <w:p w:rsidR="00764E6F" w:rsidRPr="0053423A" w:rsidRDefault="00764E6F" w:rsidP="00A67858">
            <w:pPr>
              <w:spacing w:line="276" w:lineRule="auto"/>
              <w:ind w:firstLine="381"/>
              <w:contextualSpacing/>
              <w:jc w:val="both"/>
              <w:rPr>
                <w:color w:val="000000"/>
                <w:shd w:val="clear" w:color="auto" w:fill="FFFFFF"/>
                <w:lang w:val="hy-AM"/>
              </w:rPr>
            </w:pPr>
          </w:p>
          <w:p w:rsidR="00764E6F" w:rsidRPr="0053423A" w:rsidRDefault="00764E6F" w:rsidP="00A67858">
            <w:pPr>
              <w:tabs>
                <w:tab w:val="left" w:pos="567"/>
                <w:tab w:val="left" w:pos="897"/>
              </w:tabs>
              <w:spacing w:line="276" w:lineRule="auto"/>
              <w:contextualSpacing/>
              <w:jc w:val="both"/>
              <w:rPr>
                <w:rFonts w:cs="Arial"/>
                <w:b/>
                <w:lang w:val="hy-AM"/>
              </w:rPr>
            </w:pPr>
            <w:r w:rsidRPr="0053423A">
              <w:rPr>
                <w:rFonts w:cs="Arial"/>
                <w:b/>
                <w:lang w:val="hy-AM"/>
              </w:rPr>
              <w:t xml:space="preserve">   1.2. Առկա խնդիրների առաջարկվող լուծումները</w:t>
            </w:r>
          </w:p>
          <w:p w:rsidR="00764E6F" w:rsidRPr="0053423A" w:rsidRDefault="00764E6F" w:rsidP="00A67858">
            <w:pPr>
              <w:spacing w:line="276" w:lineRule="auto"/>
              <w:jc w:val="both"/>
              <w:rPr>
                <w:rFonts w:cs="Sylfaen"/>
                <w:color w:val="000000"/>
                <w:shd w:val="clear" w:color="auto" w:fill="FFFFFF"/>
                <w:lang w:val="hy-AM"/>
              </w:rPr>
            </w:pPr>
            <w:r w:rsidRPr="0053423A">
              <w:rPr>
                <w:rFonts w:cs="Sylfaen"/>
                <w:color w:val="000000"/>
                <w:shd w:val="clear" w:color="auto" w:fill="FFFFFF"/>
                <w:lang w:val="hy-AM"/>
              </w:rPr>
              <w:t xml:space="preserve">   Էլեկտրոնային առողջապահության ռազմավարության և ներդրման ճանապարհային քարտեզի նախագծի մշակում, ոլորտը կարգավորող իրավական դաշտի կանոնակարգում և նոր իրավական ակտերի ընդունում, ստանդարտների մշակում, հաստատում և ներդնում, բժշկական անձնակազմին համակարգիչներով ապահովման ծրագրի մշակում և շարունակական վերապատրաստումների կազմակերպում: Բացի այդ, նախատեսվում է տվյալների ամբողջականության և հավաստիության ապահովման նպատակով կառավարչական այլ համակարգերի և տվյալների կրկնօրինակումից և անհամապատասխանությունից խուսափելու համար բժշկական կազմակերպությունների ներքին կառավարման համակարգերի հետ ինտեգրում:</w:t>
            </w:r>
          </w:p>
          <w:p w:rsidR="00764E6F" w:rsidRPr="0053423A" w:rsidRDefault="00764E6F" w:rsidP="00A67858">
            <w:pPr>
              <w:spacing w:line="276" w:lineRule="auto"/>
              <w:contextualSpacing/>
              <w:jc w:val="both"/>
              <w:rPr>
                <w:rFonts w:cs="Arial"/>
                <w:b/>
                <w:lang w:val="hy-AM"/>
              </w:rPr>
            </w:pPr>
          </w:p>
          <w:p w:rsidR="00764E6F" w:rsidRPr="0053423A" w:rsidRDefault="00764E6F" w:rsidP="00A67858">
            <w:pPr>
              <w:spacing w:line="276" w:lineRule="auto"/>
              <w:contextualSpacing/>
              <w:jc w:val="both"/>
              <w:rPr>
                <w:rFonts w:cs="Arial"/>
                <w:b/>
                <w:lang w:val="hy-AM"/>
              </w:rPr>
            </w:pPr>
            <w:r w:rsidRPr="0053423A">
              <w:rPr>
                <w:rFonts w:cs="Arial"/>
                <w:b/>
                <w:lang w:val="hy-AM"/>
              </w:rPr>
              <w:t xml:space="preserve">   2. </w:t>
            </w:r>
            <w:r w:rsidRPr="0053423A">
              <w:rPr>
                <w:rFonts w:cs="Sylfaen"/>
                <w:b/>
                <w:lang w:val="hy-AM"/>
              </w:rPr>
              <w:t>Միջոցառման իրականացումից ակնկալվող արդյունքը</w:t>
            </w:r>
          </w:p>
          <w:p w:rsidR="00764E6F" w:rsidRPr="0053423A" w:rsidRDefault="00764E6F" w:rsidP="00A67858">
            <w:pPr>
              <w:spacing w:line="276" w:lineRule="auto"/>
              <w:contextualSpacing/>
              <w:jc w:val="both"/>
              <w:rPr>
                <w:rFonts w:cs="Sylfaen"/>
                <w:color w:val="000000"/>
                <w:shd w:val="clear" w:color="auto" w:fill="FFFFFF"/>
                <w:lang w:val="hy-AM"/>
              </w:rPr>
            </w:pPr>
            <w:r w:rsidRPr="0053423A">
              <w:rPr>
                <w:rFonts w:cs="Sylfaen"/>
                <w:color w:val="000000"/>
                <w:shd w:val="clear" w:color="auto" w:fill="FFFFFF"/>
                <w:lang w:val="hy-AM"/>
              </w:rPr>
              <w:t xml:space="preserve">  - Էլեկտրոնային առողջապահության ամբողջական ներդրում` հաստատված ստանդարների ներառումով,</w:t>
            </w:r>
          </w:p>
          <w:p w:rsidR="00764E6F" w:rsidRPr="0053423A" w:rsidRDefault="00764E6F" w:rsidP="00A67858">
            <w:pPr>
              <w:spacing w:line="276" w:lineRule="auto"/>
              <w:contextualSpacing/>
              <w:jc w:val="both"/>
              <w:rPr>
                <w:rFonts w:cs="Sylfaen"/>
                <w:color w:val="000000"/>
                <w:shd w:val="clear" w:color="auto" w:fill="FFFFFF"/>
                <w:lang w:val="hy-AM"/>
              </w:rPr>
            </w:pPr>
            <w:r w:rsidRPr="0053423A">
              <w:rPr>
                <w:rFonts w:cs="Sylfaen"/>
                <w:color w:val="000000"/>
                <w:shd w:val="clear" w:color="auto" w:fill="FFFFFF"/>
                <w:lang w:val="hy-AM"/>
              </w:rPr>
              <w:t xml:space="preserve"> - Առողջապահական և բժշկական տվյալների ամբողջական թվայնացում,</w:t>
            </w:r>
          </w:p>
          <w:p w:rsidR="00764E6F" w:rsidRPr="0053423A" w:rsidRDefault="00764E6F" w:rsidP="00A67858">
            <w:pPr>
              <w:spacing w:line="276" w:lineRule="auto"/>
              <w:contextualSpacing/>
              <w:jc w:val="both"/>
              <w:rPr>
                <w:rFonts w:cs="Sylfaen"/>
                <w:color w:val="000000"/>
                <w:shd w:val="clear" w:color="auto" w:fill="FFFFFF"/>
                <w:lang w:val="hy-AM"/>
              </w:rPr>
            </w:pPr>
            <w:r w:rsidRPr="0053423A">
              <w:rPr>
                <w:rFonts w:cs="Sylfaen"/>
                <w:color w:val="000000"/>
                <w:shd w:val="clear" w:color="auto" w:fill="FFFFFF"/>
                <w:lang w:val="hy-AM"/>
              </w:rPr>
              <w:t>- Իրական ժամանակում տվյալների մուտքագրում` բժշկական անձնակազմին ներառելով,</w:t>
            </w:r>
          </w:p>
          <w:p w:rsidR="00764E6F" w:rsidRPr="0053423A" w:rsidRDefault="00764E6F" w:rsidP="00A67858">
            <w:pPr>
              <w:spacing w:line="276" w:lineRule="auto"/>
              <w:contextualSpacing/>
              <w:jc w:val="both"/>
              <w:rPr>
                <w:rFonts w:cs="Sylfaen"/>
                <w:color w:val="000000"/>
                <w:shd w:val="clear" w:color="auto" w:fill="FFFFFF"/>
                <w:lang w:val="hy-AM"/>
              </w:rPr>
            </w:pPr>
            <w:r w:rsidRPr="0053423A">
              <w:rPr>
                <w:rFonts w:cs="Sylfaen"/>
                <w:color w:val="000000"/>
                <w:shd w:val="clear" w:color="auto" w:fill="FFFFFF"/>
                <w:lang w:val="hy-AM"/>
              </w:rPr>
              <w:t xml:space="preserve">- Ցուցանիշների, գնահատման, վերլուծության, վերահսկման և կանոնկարգման լայն հնարավորություն, </w:t>
            </w:r>
          </w:p>
          <w:p w:rsidR="00764E6F" w:rsidRPr="0053423A" w:rsidRDefault="00764E6F" w:rsidP="00A67858">
            <w:pPr>
              <w:spacing w:line="276" w:lineRule="auto"/>
              <w:contextualSpacing/>
              <w:jc w:val="both"/>
              <w:rPr>
                <w:rFonts w:cs="Arial"/>
                <w:b/>
                <w:lang w:val="hy-AM"/>
              </w:rPr>
            </w:pPr>
            <w:r w:rsidRPr="0053423A">
              <w:rPr>
                <w:rFonts w:cs="Sylfaen"/>
                <w:color w:val="000000"/>
                <w:shd w:val="clear" w:color="auto" w:fill="FFFFFF"/>
                <w:lang w:val="hy-AM"/>
              </w:rPr>
              <w:t>- Ոլորտը կանոնակարգող իրավական դաշտի ստեղծում:</w:t>
            </w:r>
          </w:p>
          <w:p w:rsidR="00764E6F" w:rsidRPr="0053423A" w:rsidRDefault="00764E6F" w:rsidP="00A67858">
            <w:pPr>
              <w:spacing w:line="276" w:lineRule="auto"/>
              <w:contextualSpacing/>
              <w:jc w:val="both"/>
              <w:rPr>
                <w:rFonts w:cs="Arial"/>
                <w:b/>
                <w:lang w:val="hy-AM"/>
              </w:rPr>
            </w:pPr>
          </w:p>
        </w:tc>
      </w:tr>
      <w:tr w:rsidR="00764E6F" w:rsidRPr="00DE2EFA" w:rsidTr="009843B0">
        <w:tc>
          <w:tcPr>
            <w:tcW w:w="630" w:type="dxa"/>
          </w:tcPr>
          <w:p w:rsidR="00764E6F" w:rsidRPr="0053423A" w:rsidRDefault="008B3845" w:rsidP="00A67858">
            <w:pPr>
              <w:spacing w:line="276" w:lineRule="auto"/>
              <w:jc w:val="center"/>
              <w:rPr>
                <w:lang w:val="hy-AM"/>
              </w:rPr>
            </w:pPr>
            <w:r w:rsidRPr="0053423A">
              <w:rPr>
                <w:lang w:val="hy-AM"/>
              </w:rPr>
              <w:t>2</w:t>
            </w:r>
            <w:r w:rsidR="00764E6F" w:rsidRPr="0053423A">
              <w:t>5</w:t>
            </w:r>
          </w:p>
        </w:tc>
        <w:tc>
          <w:tcPr>
            <w:tcW w:w="10878" w:type="dxa"/>
          </w:tcPr>
          <w:p w:rsidR="00764E6F" w:rsidRPr="0053423A" w:rsidRDefault="008B3845" w:rsidP="00A67858">
            <w:pPr>
              <w:spacing w:line="276" w:lineRule="auto"/>
              <w:jc w:val="center"/>
              <w:rPr>
                <w:b/>
                <w:lang w:val="hy-AM"/>
              </w:rPr>
            </w:pPr>
            <w:r w:rsidRPr="0053423A">
              <w:rPr>
                <w:b/>
                <w:lang w:val="hy-AM"/>
              </w:rPr>
              <w:t>2</w:t>
            </w:r>
            <w:r w:rsidR="00764E6F" w:rsidRPr="0053423A">
              <w:rPr>
                <w:b/>
                <w:lang w:val="hy-AM"/>
              </w:rPr>
              <w:t xml:space="preserve">5.1 «Առողջապահական գործոնով պայմանավորված ծնելիության բարելավման միջոցառումների ծրագիրը հաստատելու մասին» </w:t>
            </w:r>
            <w:r w:rsidR="00764E6F" w:rsidRPr="0053423A">
              <w:rPr>
                <w:b/>
                <w:shd w:val="clear" w:color="auto" w:fill="FFFFFF"/>
                <w:lang w:val="hy-AM"/>
              </w:rPr>
              <w:t>Կառավարության որոշման նախագիծը վարչապետի աշխատակազմ ներկայացնելը</w:t>
            </w:r>
            <w:r w:rsidR="00764E6F" w:rsidRPr="0053423A">
              <w:rPr>
                <w:b/>
                <w:lang w:val="hy-AM"/>
              </w:rPr>
              <w:t xml:space="preserve"> </w:t>
            </w:r>
          </w:p>
          <w:p w:rsidR="00764E6F" w:rsidRPr="0053423A" w:rsidRDefault="00764E6F" w:rsidP="00A67858">
            <w:pPr>
              <w:spacing w:line="276" w:lineRule="auto"/>
              <w:jc w:val="center"/>
              <w:rPr>
                <w:b/>
                <w:lang w:val="hy-AM"/>
              </w:rPr>
            </w:pPr>
          </w:p>
          <w:p w:rsidR="00764E6F" w:rsidRPr="0053423A" w:rsidRDefault="00764E6F" w:rsidP="00A67858">
            <w:pPr>
              <w:spacing w:line="276" w:lineRule="auto"/>
              <w:contextualSpacing/>
              <w:rPr>
                <w:b/>
                <w:lang w:val="hy-AM"/>
              </w:rPr>
            </w:pPr>
            <w:r w:rsidRPr="0053423A">
              <w:rPr>
                <w:b/>
                <w:lang w:val="hy-AM"/>
              </w:rPr>
              <w:t xml:space="preserve">   1. Միջոցառման իրակացման անհրաժեշտությունը և նպատակը</w:t>
            </w:r>
          </w:p>
          <w:p w:rsidR="00764E6F" w:rsidRPr="0053423A" w:rsidRDefault="00764E6F" w:rsidP="00A67858">
            <w:pPr>
              <w:tabs>
                <w:tab w:val="left" w:pos="567"/>
              </w:tabs>
              <w:spacing w:line="276" w:lineRule="auto"/>
              <w:jc w:val="both"/>
              <w:rPr>
                <w:lang w:val="hy-AM"/>
              </w:rPr>
            </w:pPr>
            <w:r w:rsidRPr="0053423A">
              <w:rPr>
                <w:lang w:val="hy-AM"/>
              </w:rPr>
              <w:t xml:space="preserve">   Միջոցառման անհրաժեշտությունը պայմանավորված է երկրում առկա ժողովրդագրական իրավիճակով, ծնելիության գնացող ավելիի ահագնացող բացասական միտումներով: Խնդրի արդիականությունն արտացոլված է նաև Կառավարության կողմից հավանություն արժանացած Վերարտադրողական առողջության բարելավման 2016-2020թթ. ազգային ռազմավարության (հավանության է արժանացել ՀՀ կառավարության 2016թ. հունիսի 23-ի N24 որոշմամբ) դրույթներում: </w:t>
            </w:r>
          </w:p>
          <w:p w:rsidR="00764E6F" w:rsidRPr="0053423A" w:rsidRDefault="00764E6F" w:rsidP="00A67858">
            <w:pPr>
              <w:tabs>
                <w:tab w:val="left" w:pos="567"/>
              </w:tabs>
              <w:spacing w:line="276" w:lineRule="auto"/>
              <w:jc w:val="both"/>
              <w:rPr>
                <w:lang w:val="hy-AM"/>
              </w:rPr>
            </w:pPr>
            <w:r w:rsidRPr="0053423A">
              <w:rPr>
                <w:lang w:val="hy-AM"/>
              </w:rPr>
              <w:t xml:space="preserve">   Միջոցառման նպատակն է` ծննդօգնության ծառայությունների մատչելիության և որակի բարձրացման միջոցով նպաստել առողջապահական գործոնով պայմանավորված վերարտադրողական կորուստների նվազեցմանը և հետևաբար` ծնելիության բարձրացմանը:</w:t>
            </w:r>
          </w:p>
          <w:p w:rsidR="00764E6F" w:rsidRPr="0053423A" w:rsidRDefault="00764E6F" w:rsidP="00A67858">
            <w:pPr>
              <w:tabs>
                <w:tab w:val="left" w:pos="389"/>
                <w:tab w:val="left" w:pos="993"/>
              </w:tabs>
              <w:spacing w:line="276" w:lineRule="auto"/>
              <w:contextualSpacing/>
              <w:jc w:val="both"/>
              <w:rPr>
                <w:b/>
                <w:lang w:val="hy-AM"/>
              </w:rPr>
            </w:pPr>
            <w:r w:rsidRPr="0053423A">
              <w:rPr>
                <w:b/>
                <w:lang w:val="hy-AM"/>
              </w:rPr>
              <w:t xml:space="preserve">   1.1.</w:t>
            </w:r>
            <w:r w:rsidRPr="0053423A">
              <w:rPr>
                <w:rFonts w:cs="Sylfaen"/>
                <w:b/>
                <w:lang w:val="hy-AM"/>
              </w:rPr>
              <w:t xml:space="preserve"> Կարգավորման հարաբերությունների ներկա վիճակը և առկա խնդիրները</w:t>
            </w:r>
          </w:p>
          <w:p w:rsidR="00764E6F" w:rsidRPr="0053423A" w:rsidRDefault="00764E6F" w:rsidP="00A67858">
            <w:pPr>
              <w:tabs>
                <w:tab w:val="left" w:pos="567"/>
              </w:tabs>
              <w:spacing w:line="276" w:lineRule="auto"/>
              <w:jc w:val="both"/>
              <w:rPr>
                <w:lang w:val="hy-AM"/>
              </w:rPr>
            </w:pPr>
            <w:r w:rsidRPr="0053423A">
              <w:rPr>
                <w:lang w:val="hy-AM"/>
              </w:rPr>
              <w:t xml:space="preserve">   Ըստ ԱՎԾ պաշտոնական տվյալների, 1990-2017թթ. ժամանակահատվածում Հայաստանում գրանցվել է ծնելիության մակարդակի զգալի անկում: Ընդ որում, բնակչության 1000 շնչին ընկնող  ծնելիության ցուցանիշը կրճատվել է գրեթե կիսով չափ, իսկ բնական աճի ցուցանիշը` ավելի քան 4,6 անգամ (ծնելիություն`  1990թ.- 22.5, 2017թ.–12.7, բնական աճ` 1990թ.-16,3, 2017թ.-3,5):</w:t>
            </w:r>
          </w:p>
          <w:p w:rsidR="00764E6F" w:rsidRPr="0053423A" w:rsidRDefault="00764E6F" w:rsidP="00A67858">
            <w:pPr>
              <w:tabs>
                <w:tab w:val="left" w:pos="567"/>
              </w:tabs>
              <w:spacing w:line="276" w:lineRule="auto"/>
              <w:jc w:val="both"/>
              <w:rPr>
                <w:lang w:val="hy-AM"/>
              </w:rPr>
            </w:pPr>
            <w:r w:rsidRPr="0053423A">
              <w:rPr>
                <w:lang w:val="hy-AM"/>
              </w:rPr>
              <w:t xml:space="preserve">   Երկրի ժողովրդագրական իրավիճակը բնորոշվում է ծնելիության գումարային գործակցի 1,7 ցուցանիշով, որը չի ապահովում անգամ պարզ վերարտադրությունը: 2017թ. ընթացքում հանրապետությունում ծնվել է 37699 երեխա` 2893 նորածնով պակաս 2016թ. համեմատությամբ (բնական աճի ցուցանիշը կազմել է` 3,1), ինչն արդեն իսկ ժողովրդագրական լուրջ խնդիր է` ազգային անվտանգության տեսանկյունից:</w:t>
            </w:r>
          </w:p>
          <w:p w:rsidR="00764E6F" w:rsidRPr="0053423A" w:rsidRDefault="00764E6F" w:rsidP="00A67858">
            <w:pPr>
              <w:tabs>
                <w:tab w:val="left" w:pos="567"/>
              </w:tabs>
              <w:spacing w:line="276" w:lineRule="auto"/>
              <w:jc w:val="both"/>
              <w:rPr>
                <w:lang w:val="hy-AM"/>
              </w:rPr>
            </w:pPr>
            <w:r w:rsidRPr="0053423A">
              <w:rPr>
                <w:lang w:val="hy-AM"/>
              </w:rPr>
              <w:t xml:space="preserve">   Վերարտադրողական առողջությանն առնչվող խնդիրները, որոնք ազդեցություն ունեն ծնելիության վրա,  հետևյալն են.</w:t>
            </w:r>
          </w:p>
          <w:p w:rsidR="00764E6F" w:rsidRPr="0053423A" w:rsidRDefault="00764E6F" w:rsidP="00A67858">
            <w:pPr>
              <w:numPr>
                <w:ilvl w:val="0"/>
                <w:numId w:val="9"/>
              </w:numPr>
              <w:tabs>
                <w:tab w:val="left" w:pos="317"/>
              </w:tabs>
              <w:spacing w:line="276" w:lineRule="auto"/>
              <w:ind w:firstLine="229"/>
              <w:contextualSpacing/>
              <w:jc w:val="both"/>
              <w:rPr>
                <w:lang w:val="hy-AM"/>
              </w:rPr>
            </w:pPr>
            <w:r w:rsidRPr="0053423A">
              <w:rPr>
                <w:rFonts w:cs="Sylfaen"/>
                <w:lang w:val="hy-AM"/>
              </w:rPr>
              <w:t>ծնելիության</w:t>
            </w:r>
            <w:r w:rsidRPr="0053423A">
              <w:rPr>
                <w:lang w:val="hy-AM"/>
              </w:rPr>
              <w:t xml:space="preserve"> ցածր, անգամ պարզ վերարտադրություն չապահովող մակարդակ: Ծնելիության անկման առկա միտումների պահպանման դեպքում, ըստ կանխատեսումների 2024թ. կարձանագրվի ընդամենը 25 000 ծննդաբերություն, </w:t>
            </w:r>
          </w:p>
          <w:p w:rsidR="00764E6F" w:rsidRPr="0053423A" w:rsidRDefault="00764E6F" w:rsidP="00A67858">
            <w:pPr>
              <w:numPr>
                <w:ilvl w:val="0"/>
                <w:numId w:val="9"/>
              </w:numPr>
              <w:tabs>
                <w:tab w:val="left" w:pos="317"/>
              </w:tabs>
              <w:spacing w:line="276" w:lineRule="auto"/>
              <w:ind w:firstLine="229"/>
              <w:contextualSpacing/>
              <w:jc w:val="both"/>
              <w:rPr>
                <w:lang w:val="hy-AM"/>
              </w:rPr>
            </w:pPr>
            <w:r w:rsidRPr="0053423A">
              <w:rPr>
                <w:lang w:val="hy-AM"/>
              </w:rPr>
              <w:t>դեռահաս աղջիկների վերարտադրողական ախտաբանությունների բարձր մակարդակ և բուժման համար միջոցների բացակայություն,</w:t>
            </w:r>
          </w:p>
          <w:p w:rsidR="00764E6F" w:rsidRPr="0053423A" w:rsidRDefault="00764E6F" w:rsidP="00A67858">
            <w:pPr>
              <w:numPr>
                <w:ilvl w:val="0"/>
                <w:numId w:val="9"/>
              </w:numPr>
              <w:tabs>
                <w:tab w:val="left" w:pos="317"/>
              </w:tabs>
              <w:spacing w:line="276" w:lineRule="auto"/>
              <w:ind w:firstLine="229"/>
              <w:contextualSpacing/>
              <w:jc w:val="both"/>
              <w:rPr>
                <w:lang w:val="hy-AM"/>
              </w:rPr>
            </w:pPr>
            <w:r w:rsidRPr="0053423A">
              <w:rPr>
                <w:rFonts w:cs="Sylfaen"/>
                <w:lang w:val="hy-AM"/>
              </w:rPr>
              <w:t>զույգերի</w:t>
            </w:r>
            <w:r w:rsidRPr="0053423A">
              <w:rPr>
                <w:lang w:val="hy-AM"/>
              </w:rPr>
              <w:t xml:space="preserve"> մինչամուսնական հետազոտման և նախաբեղմնավորման խնամքի ծառայությունների բացակայություն, </w:t>
            </w:r>
          </w:p>
          <w:p w:rsidR="00764E6F" w:rsidRPr="0053423A" w:rsidRDefault="00764E6F" w:rsidP="00A67858">
            <w:pPr>
              <w:numPr>
                <w:ilvl w:val="0"/>
                <w:numId w:val="9"/>
              </w:numPr>
              <w:tabs>
                <w:tab w:val="left" w:pos="317"/>
              </w:tabs>
              <w:spacing w:line="276" w:lineRule="auto"/>
              <w:ind w:firstLine="229"/>
              <w:contextualSpacing/>
              <w:jc w:val="both"/>
              <w:rPr>
                <w:lang w:val="hy-AM"/>
              </w:rPr>
            </w:pPr>
            <w:r w:rsidRPr="0053423A">
              <w:rPr>
                <w:lang w:val="hy-AM"/>
              </w:rPr>
              <w:t>տարեկան շուրջ 4500 պերինատալ կորուստներ (ինքնաբեր վիժումներ, պտղի ներարգանդային մահ, վաղածնություն, մեռելածնություն, պտղի ներարգանդային ինֆեկցվածություն), պայմանավորված հղիության հսկողության և  հետազոտությունների ոչ բավարար մակարդակով,</w:t>
            </w:r>
          </w:p>
          <w:p w:rsidR="00764E6F" w:rsidRPr="0053423A" w:rsidRDefault="00764E6F" w:rsidP="00A67858">
            <w:pPr>
              <w:numPr>
                <w:ilvl w:val="0"/>
                <w:numId w:val="9"/>
              </w:numPr>
              <w:tabs>
                <w:tab w:val="left" w:pos="317"/>
              </w:tabs>
              <w:spacing w:line="276" w:lineRule="auto"/>
              <w:ind w:firstLine="229"/>
              <w:contextualSpacing/>
              <w:jc w:val="both"/>
              <w:rPr>
                <w:lang w:val="hy-AM"/>
              </w:rPr>
            </w:pPr>
            <w:r w:rsidRPr="0053423A">
              <w:rPr>
                <w:lang w:val="hy-AM"/>
              </w:rPr>
              <w:t xml:space="preserve"> անպտղության, ժողովրդագրության վրա ազդող բարձր մակարդակ, 14.9 տոկոս, հետազոտման և բուժման սահմանափակ միջոցներ: Վերարտադրողական  օժանդակ տեխնոլոգիաների անհասանելիություն բնակչության սոցանապահով խմբերի համար,</w:t>
            </w:r>
          </w:p>
          <w:p w:rsidR="00764E6F" w:rsidRPr="0053423A" w:rsidRDefault="00764E6F" w:rsidP="00A67858">
            <w:pPr>
              <w:numPr>
                <w:ilvl w:val="0"/>
                <w:numId w:val="9"/>
              </w:numPr>
              <w:tabs>
                <w:tab w:val="left" w:pos="317"/>
              </w:tabs>
              <w:spacing w:line="276" w:lineRule="auto"/>
              <w:ind w:firstLine="229"/>
              <w:contextualSpacing/>
              <w:jc w:val="both"/>
              <w:rPr>
                <w:lang w:val="hy-AM"/>
              </w:rPr>
            </w:pPr>
            <w:r w:rsidRPr="0053423A">
              <w:rPr>
                <w:rFonts w:cs="Sylfaen"/>
                <w:lang w:val="hy-AM"/>
              </w:rPr>
              <w:t>հղիության</w:t>
            </w:r>
            <w:r w:rsidRPr="0053423A">
              <w:rPr>
                <w:lang w:val="hy-AM"/>
              </w:rPr>
              <w:t xml:space="preserve"> նախածննդյան հսկողության սկրինինգների սահմանափակ ծավալներ, ախտաբանությունների հայտնաբերման դեպքում հղիությունը  պահպանող բուժման սահմանափակ միջոցներ, </w:t>
            </w:r>
            <w:r w:rsidRPr="0053423A">
              <w:rPr>
                <w:lang w:val="hy-AM"/>
              </w:rPr>
              <w:tab/>
            </w:r>
          </w:p>
          <w:p w:rsidR="00764E6F" w:rsidRPr="0053423A" w:rsidRDefault="00764E6F" w:rsidP="00A67858">
            <w:pPr>
              <w:numPr>
                <w:ilvl w:val="0"/>
                <w:numId w:val="9"/>
              </w:numPr>
              <w:tabs>
                <w:tab w:val="left" w:pos="317"/>
              </w:tabs>
              <w:spacing w:line="276" w:lineRule="auto"/>
              <w:ind w:firstLine="229"/>
              <w:contextualSpacing/>
              <w:jc w:val="both"/>
              <w:rPr>
                <w:lang w:val="hy-AM"/>
              </w:rPr>
            </w:pPr>
            <w:r w:rsidRPr="0053423A">
              <w:rPr>
                <w:lang w:val="hy-AM"/>
              </w:rPr>
              <w:t>զարգացման  բնածին արատների բարձր մակարդակ, կապված պտղի անտենատալ ախտորոշման ոչ բավարար հնարավորությունների հետ,</w:t>
            </w:r>
          </w:p>
          <w:p w:rsidR="00764E6F" w:rsidRPr="0053423A" w:rsidRDefault="00764E6F" w:rsidP="00A67858">
            <w:pPr>
              <w:numPr>
                <w:ilvl w:val="0"/>
                <w:numId w:val="9"/>
              </w:numPr>
              <w:tabs>
                <w:tab w:val="left" w:pos="317"/>
              </w:tabs>
              <w:spacing w:line="276" w:lineRule="auto"/>
              <w:ind w:firstLine="229"/>
              <w:contextualSpacing/>
              <w:jc w:val="both"/>
              <w:rPr>
                <w:lang w:val="hy-AM"/>
              </w:rPr>
            </w:pPr>
            <w:r w:rsidRPr="0053423A">
              <w:rPr>
                <w:rFonts w:cs="Sylfaen"/>
                <w:lang w:val="hy-AM"/>
              </w:rPr>
              <w:t>մանկական</w:t>
            </w:r>
            <w:r w:rsidRPr="0053423A">
              <w:rPr>
                <w:lang w:val="hy-AM"/>
              </w:rPr>
              <w:t xml:space="preserve"> մահացության կառուցվածքում նորածնային մահացության դեպքերի մեծ տեսակարար կշիռ` շուրջ 70%,</w:t>
            </w:r>
          </w:p>
          <w:p w:rsidR="00764E6F" w:rsidRPr="0053423A" w:rsidRDefault="00764E6F" w:rsidP="00A67858">
            <w:pPr>
              <w:numPr>
                <w:ilvl w:val="0"/>
                <w:numId w:val="9"/>
              </w:numPr>
              <w:tabs>
                <w:tab w:val="left" w:pos="317"/>
              </w:tabs>
              <w:spacing w:line="276" w:lineRule="auto"/>
              <w:ind w:firstLine="229"/>
              <w:contextualSpacing/>
              <w:jc w:val="both"/>
              <w:rPr>
                <w:lang w:val="hy-AM"/>
              </w:rPr>
            </w:pPr>
            <w:r w:rsidRPr="0053423A">
              <w:rPr>
                <w:rFonts w:cs="Sylfaen"/>
                <w:lang w:val="hy-AM"/>
              </w:rPr>
              <w:t>անհաս</w:t>
            </w:r>
            <w:r w:rsidRPr="0053423A">
              <w:rPr>
                <w:lang w:val="hy-AM"/>
              </w:rPr>
              <w:t xml:space="preserve">, ցածր քաշով և ախտաբանություններով ծնված նորածինների ապրեցման, բուժման և խնամքի միջոցների անբավարարություն: </w:t>
            </w:r>
          </w:p>
          <w:p w:rsidR="00764E6F" w:rsidRPr="0053423A" w:rsidRDefault="00764E6F" w:rsidP="00A67858">
            <w:pPr>
              <w:tabs>
                <w:tab w:val="left" w:pos="567"/>
              </w:tabs>
              <w:spacing w:line="276" w:lineRule="auto"/>
              <w:jc w:val="both"/>
              <w:rPr>
                <w:lang w:val="hy-AM"/>
              </w:rPr>
            </w:pPr>
            <w:r w:rsidRPr="0053423A">
              <w:rPr>
                <w:lang w:val="hy-AM"/>
              </w:rPr>
              <w:t xml:space="preserve">   Համակարգային հիմնախնդիրների շարքում օրակարգային հարց է մասնագետների  պատրաստման և շարունակական հմտությունների ու գիտելիքների զարգացման, մարզերում երիտասարդ մասնագետների աշխատելու գրավիչ պայմանների ու խրախուսման միջոցների անբավարարությունը:</w:t>
            </w:r>
          </w:p>
          <w:p w:rsidR="00764E6F" w:rsidRPr="0053423A" w:rsidRDefault="00764E6F" w:rsidP="00A67858">
            <w:pPr>
              <w:tabs>
                <w:tab w:val="left" w:pos="567"/>
              </w:tabs>
              <w:spacing w:line="276" w:lineRule="auto"/>
              <w:jc w:val="both"/>
              <w:rPr>
                <w:lang w:val="hy-AM"/>
              </w:rPr>
            </w:pPr>
          </w:p>
          <w:p w:rsidR="00764E6F" w:rsidRPr="0053423A" w:rsidRDefault="00764E6F" w:rsidP="00A67858">
            <w:pPr>
              <w:tabs>
                <w:tab w:val="left" w:pos="567"/>
              </w:tabs>
              <w:spacing w:line="276" w:lineRule="auto"/>
              <w:jc w:val="both"/>
              <w:rPr>
                <w:lang w:val="hy-AM"/>
              </w:rPr>
            </w:pPr>
            <w:r w:rsidRPr="0053423A">
              <w:rPr>
                <w:rFonts w:cs="Sylfaen"/>
                <w:b/>
                <w:lang w:val="hy-AM"/>
              </w:rPr>
              <w:t xml:space="preserve">   1.2.</w:t>
            </w:r>
            <w:r w:rsidRPr="0053423A">
              <w:rPr>
                <w:b/>
                <w:lang w:val="hy-AM"/>
              </w:rPr>
              <w:t xml:space="preserve"> Առկա խնդիրների առաջարկվող լուծումները</w:t>
            </w:r>
          </w:p>
          <w:p w:rsidR="00764E6F" w:rsidRPr="0053423A" w:rsidRDefault="00764E6F" w:rsidP="00A67858">
            <w:pPr>
              <w:tabs>
                <w:tab w:val="left" w:pos="567"/>
              </w:tabs>
              <w:spacing w:line="276" w:lineRule="auto"/>
              <w:jc w:val="both"/>
              <w:rPr>
                <w:lang w:val="hy-AM"/>
              </w:rPr>
            </w:pPr>
            <w:r w:rsidRPr="0053423A">
              <w:rPr>
                <w:lang w:val="hy-AM"/>
              </w:rPr>
              <w:t xml:space="preserve">   Առաջարկվող լուծումը  վերարտադրողական առողջության բարելավմանը և պերինատալ կորուստների նվազեցմանն ուղղված համալիր ծրագրի մշակումը և ներդրումն է: Ծրագիրը կունենա հետևյալ հիմնական բաղադրիչները.</w:t>
            </w:r>
          </w:p>
          <w:p w:rsidR="00764E6F" w:rsidRPr="0053423A" w:rsidRDefault="00764E6F" w:rsidP="00A67858">
            <w:pPr>
              <w:tabs>
                <w:tab w:val="left" w:pos="389"/>
              </w:tabs>
              <w:spacing w:line="276" w:lineRule="auto"/>
              <w:rPr>
                <w:lang w:val="hy-AM"/>
              </w:rPr>
            </w:pPr>
            <w:r w:rsidRPr="0053423A">
              <w:rPr>
                <w:lang w:val="hy-AM"/>
              </w:rPr>
              <w:t xml:space="preserve">   1. </w:t>
            </w:r>
            <w:r w:rsidRPr="0053423A">
              <w:rPr>
                <w:rFonts w:cs="Sylfaen"/>
                <w:lang w:val="hy-AM"/>
              </w:rPr>
              <w:t>հղիների ախտաբանության վաղ ախտորոշման և բուժման բարելավում,</w:t>
            </w:r>
          </w:p>
          <w:p w:rsidR="00764E6F" w:rsidRPr="0053423A" w:rsidRDefault="00764E6F" w:rsidP="00A67858">
            <w:pPr>
              <w:tabs>
                <w:tab w:val="left" w:pos="389"/>
              </w:tabs>
              <w:spacing w:line="276" w:lineRule="auto"/>
              <w:rPr>
                <w:lang w:val="hy-AM"/>
              </w:rPr>
            </w:pPr>
            <w:r w:rsidRPr="0053423A">
              <w:rPr>
                <w:lang w:val="hy-AM"/>
              </w:rPr>
              <w:t xml:space="preserve">   2. </w:t>
            </w:r>
            <w:r w:rsidRPr="0053423A">
              <w:rPr>
                <w:rFonts w:cs="Sylfaen"/>
                <w:lang w:val="hy-AM"/>
              </w:rPr>
              <w:t>հղիների վարման և հսկողության որակի բարելավման ծրագիր,</w:t>
            </w:r>
          </w:p>
          <w:p w:rsidR="00764E6F" w:rsidRPr="0053423A" w:rsidRDefault="00764E6F" w:rsidP="00A67858">
            <w:pPr>
              <w:tabs>
                <w:tab w:val="left" w:pos="389"/>
              </w:tabs>
              <w:spacing w:line="276" w:lineRule="auto"/>
              <w:rPr>
                <w:lang w:val="hy-AM"/>
              </w:rPr>
            </w:pPr>
            <w:r w:rsidRPr="0053423A">
              <w:rPr>
                <w:lang w:val="hy-AM"/>
              </w:rPr>
              <w:t xml:space="preserve">   3. </w:t>
            </w:r>
            <w:r w:rsidRPr="0053423A">
              <w:rPr>
                <w:rFonts w:cs="Sylfaen"/>
                <w:lang w:val="hy-AM"/>
              </w:rPr>
              <w:t>անհաս</w:t>
            </w:r>
            <w:r w:rsidRPr="0053423A">
              <w:rPr>
                <w:lang w:val="hy-AM"/>
              </w:rPr>
              <w:t xml:space="preserve">, </w:t>
            </w:r>
            <w:r w:rsidRPr="0053423A">
              <w:rPr>
                <w:rFonts w:cs="Sylfaen"/>
                <w:lang w:val="hy-AM"/>
              </w:rPr>
              <w:t>ցածր քաշով և ախտաբանություններով նորածինների խնամքի բարելավում,</w:t>
            </w:r>
          </w:p>
          <w:p w:rsidR="00764E6F" w:rsidRPr="0053423A" w:rsidRDefault="00764E6F" w:rsidP="00A67858">
            <w:pPr>
              <w:tabs>
                <w:tab w:val="left" w:pos="389"/>
              </w:tabs>
              <w:spacing w:line="276" w:lineRule="auto"/>
              <w:rPr>
                <w:lang w:val="hy-AM"/>
              </w:rPr>
            </w:pPr>
            <w:r w:rsidRPr="0053423A">
              <w:rPr>
                <w:lang w:val="hy-AM"/>
              </w:rPr>
              <w:t xml:space="preserve">   4. </w:t>
            </w:r>
            <w:r w:rsidRPr="0053423A">
              <w:rPr>
                <w:rFonts w:cs="Sylfaen"/>
                <w:lang w:val="hy-AM"/>
              </w:rPr>
              <w:t>ծննդօգնության որակի բարելավում,</w:t>
            </w:r>
          </w:p>
          <w:p w:rsidR="00764E6F" w:rsidRPr="0053423A" w:rsidRDefault="00764E6F" w:rsidP="00A67858">
            <w:pPr>
              <w:tabs>
                <w:tab w:val="left" w:pos="389"/>
              </w:tabs>
              <w:spacing w:line="276" w:lineRule="auto"/>
              <w:rPr>
                <w:lang w:val="hy-AM"/>
              </w:rPr>
            </w:pPr>
            <w:r w:rsidRPr="0053423A">
              <w:rPr>
                <w:lang w:val="hy-AM"/>
              </w:rPr>
              <w:t xml:space="preserve">   5. </w:t>
            </w:r>
            <w:r w:rsidRPr="0053423A">
              <w:rPr>
                <w:rFonts w:cs="Sylfaen"/>
                <w:lang w:val="hy-AM"/>
              </w:rPr>
              <w:t>պրենատալ ախտորոշման բարելավում,</w:t>
            </w:r>
          </w:p>
          <w:p w:rsidR="00764E6F" w:rsidRPr="0053423A" w:rsidRDefault="00764E6F" w:rsidP="00A67858">
            <w:pPr>
              <w:tabs>
                <w:tab w:val="left" w:pos="389"/>
              </w:tabs>
              <w:spacing w:line="276" w:lineRule="auto"/>
              <w:rPr>
                <w:lang w:val="hy-AM"/>
              </w:rPr>
            </w:pPr>
            <w:r w:rsidRPr="0053423A">
              <w:rPr>
                <w:lang w:val="hy-AM"/>
              </w:rPr>
              <w:t xml:space="preserve">   6. </w:t>
            </w:r>
            <w:r w:rsidRPr="0053423A">
              <w:rPr>
                <w:rFonts w:cs="Sylfaen"/>
                <w:lang w:val="hy-AM"/>
              </w:rPr>
              <w:t>դեռահաս աղջիկների հետազոտման և բուժման բարելավման ծրագիր,</w:t>
            </w:r>
          </w:p>
          <w:p w:rsidR="00764E6F" w:rsidRPr="0053423A" w:rsidRDefault="00764E6F" w:rsidP="00A67858">
            <w:pPr>
              <w:tabs>
                <w:tab w:val="left" w:pos="389"/>
              </w:tabs>
              <w:spacing w:line="276" w:lineRule="auto"/>
              <w:jc w:val="both"/>
              <w:rPr>
                <w:lang w:val="hy-AM"/>
              </w:rPr>
            </w:pPr>
            <w:r w:rsidRPr="0053423A">
              <w:rPr>
                <w:lang w:val="hy-AM"/>
              </w:rPr>
              <w:t xml:space="preserve">   7. </w:t>
            </w:r>
            <w:r w:rsidRPr="0053423A">
              <w:rPr>
                <w:rFonts w:cs="Sylfaen"/>
                <w:lang w:val="hy-AM"/>
              </w:rPr>
              <w:t>անպտուղ զույգերի հետազոտման և բուժման բարելավում, ներառյալ վերարտադրողական օժանդակ տեխնոլոգիաների կիրառումը,</w:t>
            </w:r>
          </w:p>
          <w:p w:rsidR="00764E6F" w:rsidRPr="0053423A" w:rsidRDefault="00764E6F" w:rsidP="00A67858">
            <w:pPr>
              <w:tabs>
                <w:tab w:val="left" w:pos="389"/>
              </w:tabs>
              <w:spacing w:line="276" w:lineRule="auto"/>
              <w:jc w:val="both"/>
              <w:rPr>
                <w:lang w:val="hy-AM"/>
              </w:rPr>
            </w:pPr>
            <w:r w:rsidRPr="0053423A">
              <w:rPr>
                <w:lang w:val="hy-AM"/>
              </w:rPr>
              <w:t xml:space="preserve">   8. </w:t>
            </w:r>
            <w:r w:rsidRPr="0053423A">
              <w:rPr>
                <w:rFonts w:cs="Sylfaen"/>
                <w:lang w:val="hy-AM"/>
              </w:rPr>
              <w:t>զույգերի մինչամուսնական հետազոտման և նախաբեղմնավորման խնամքի ծրագիր:</w:t>
            </w:r>
          </w:p>
          <w:p w:rsidR="00764E6F" w:rsidRPr="0053423A" w:rsidRDefault="00764E6F" w:rsidP="00A67858">
            <w:pPr>
              <w:spacing w:line="276" w:lineRule="auto"/>
              <w:ind w:firstLine="284"/>
              <w:jc w:val="both"/>
              <w:rPr>
                <w:lang w:val="hy-AM"/>
              </w:rPr>
            </w:pPr>
            <w:r w:rsidRPr="0053423A">
              <w:rPr>
                <w:lang w:val="hy-AM"/>
              </w:rPr>
              <w:t>Համակատարողը ՄԱԿ-ի բնակչության հիմնադրամն է, որը կաջակցի ծրագրի մշակմանը` այդ թվում միջազգային փորձի ուսումնասիրության գործընթացին, իր մանդատի շրջանակներում կտրամադրի փորձագիտական աջակցություն:</w:t>
            </w:r>
          </w:p>
          <w:p w:rsidR="00764E6F" w:rsidRPr="0053423A" w:rsidRDefault="00764E6F" w:rsidP="00A67858">
            <w:pPr>
              <w:spacing w:line="276" w:lineRule="auto"/>
              <w:ind w:firstLine="284"/>
              <w:jc w:val="both"/>
              <w:rPr>
                <w:b/>
                <w:lang w:val="hy-AM"/>
              </w:rPr>
            </w:pPr>
            <w:r w:rsidRPr="0053423A">
              <w:rPr>
                <w:b/>
                <w:lang w:val="hy-AM"/>
              </w:rPr>
              <w:t xml:space="preserve"> </w:t>
            </w:r>
          </w:p>
          <w:p w:rsidR="00764E6F" w:rsidRPr="0053423A" w:rsidRDefault="00764E6F" w:rsidP="00A67858">
            <w:pPr>
              <w:spacing w:line="276" w:lineRule="auto"/>
              <w:jc w:val="both"/>
              <w:rPr>
                <w:b/>
                <w:lang w:val="hy-AM"/>
              </w:rPr>
            </w:pPr>
            <w:r w:rsidRPr="0053423A">
              <w:rPr>
                <w:b/>
                <w:lang w:val="hy-AM"/>
              </w:rPr>
              <w:t xml:space="preserve">   2. </w:t>
            </w:r>
            <w:r w:rsidRPr="0053423A">
              <w:rPr>
                <w:rFonts w:cs="Sylfaen"/>
                <w:b/>
                <w:lang w:val="hy-AM"/>
              </w:rPr>
              <w:t>Միջոցառման իրականացումից ակնկալվող արդյունքը</w:t>
            </w:r>
          </w:p>
          <w:p w:rsidR="00764E6F" w:rsidRPr="0053423A" w:rsidRDefault="00764E6F" w:rsidP="00A67858">
            <w:pPr>
              <w:spacing w:line="276" w:lineRule="auto"/>
              <w:jc w:val="both"/>
              <w:rPr>
                <w:lang w:val="hy-AM"/>
              </w:rPr>
            </w:pPr>
            <w:r w:rsidRPr="0053423A">
              <w:rPr>
                <w:lang w:val="hy-AM"/>
              </w:rPr>
              <w:t xml:space="preserve">   Ակնկալվում է, որ վերարտադրողական առողջության բարելավմանը և ծննդօգնության ծառայությունների մատչելիության և որակի բարձրացմանն ուղղված առողջապահական ծրագրային միջացառումների իրականացման միջոցով կբարելավվեն ծնելիության ցուցանիշները, քանզի վերարտադրողական առողջության ոլորտի հիմնախնդիրները բացի բժշկասոցիալական նշանակությունից ունեն նաև որոշիչ ազդեցություն  ժողովրդագրության վրա և այդ ոլորտի կորուստների նվազեցումը կարող է անուղակիորեն նպաստել ծնելիության բարձրացմանը:</w:t>
            </w:r>
          </w:p>
          <w:p w:rsidR="00764E6F" w:rsidRPr="0053423A" w:rsidRDefault="00764E6F" w:rsidP="00A67858">
            <w:pPr>
              <w:spacing w:line="276" w:lineRule="auto"/>
              <w:jc w:val="both"/>
              <w:rPr>
                <w:b/>
                <w:bCs/>
                <w:lang w:val="hy-AM"/>
              </w:rPr>
            </w:pPr>
          </w:p>
        </w:tc>
      </w:tr>
      <w:tr w:rsidR="00764E6F" w:rsidRPr="00DE2EFA" w:rsidTr="009843B0">
        <w:tc>
          <w:tcPr>
            <w:tcW w:w="630" w:type="dxa"/>
          </w:tcPr>
          <w:p w:rsidR="00764E6F" w:rsidRPr="0053423A" w:rsidRDefault="008B3845" w:rsidP="00A67858">
            <w:pPr>
              <w:spacing w:line="276" w:lineRule="auto"/>
              <w:jc w:val="center"/>
            </w:pPr>
            <w:r w:rsidRPr="0053423A">
              <w:rPr>
                <w:lang w:val="hy-AM"/>
              </w:rPr>
              <w:t>2</w:t>
            </w:r>
            <w:r w:rsidR="00764E6F" w:rsidRPr="0053423A">
              <w:t xml:space="preserve">6 </w:t>
            </w:r>
          </w:p>
        </w:tc>
        <w:tc>
          <w:tcPr>
            <w:tcW w:w="10878" w:type="dxa"/>
          </w:tcPr>
          <w:p w:rsidR="00764E6F" w:rsidRPr="0053423A" w:rsidRDefault="008B3845" w:rsidP="00A67858">
            <w:pPr>
              <w:spacing w:line="276" w:lineRule="auto"/>
              <w:jc w:val="center"/>
              <w:rPr>
                <w:b/>
                <w:lang w:val="hy-AM"/>
              </w:rPr>
            </w:pPr>
            <w:r w:rsidRPr="0053423A">
              <w:rPr>
                <w:b/>
                <w:lang w:val="hy-AM"/>
              </w:rPr>
              <w:t>2</w:t>
            </w:r>
            <w:r w:rsidR="00764E6F" w:rsidRPr="0053423A">
              <w:rPr>
                <w:b/>
              </w:rPr>
              <w:t>6</w:t>
            </w:r>
            <w:r w:rsidR="00764E6F" w:rsidRPr="0053423A">
              <w:rPr>
                <w:b/>
                <w:lang w:val="hy-AM"/>
              </w:rPr>
              <w:t xml:space="preserve">.1 </w:t>
            </w:r>
            <w:r w:rsidR="00855F3D" w:rsidRPr="0053423A">
              <w:rPr>
                <w:b/>
                <w:lang w:val="hy-AM"/>
              </w:rPr>
              <w:t>«</w:t>
            </w:r>
            <w:r w:rsidR="00764E6F" w:rsidRPr="0053423A">
              <w:rPr>
                <w:b/>
                <w:lang w:val="hy-AM"/>
              </w:rPr>
              <w:t>Մանկական վերականգնողական բժշկական օգնության և սպասարկման մատչելիո</w:t>
            </w:r>
            <w:r w:rsidR="00764E6F" w:rsidRPr="0053423A">
              <w:rPr>
                <w:b/>
              </w:rPr>
              <w:t>ւ</w:t>
            </w:r>
            <w:r w:rsidR="00764E6F" w:rsidRPr="0053423A">
              <w:rPr>
                <w:b/>
                <w:lang w:val="hy-AM"/>
              </w:rPr>
              <w:t xml:space="preserve">թյան բարելավման միջոցառումների ժամանակացույցը հաստատելու մասին» </w:t>
            </w:r>
          </w:p>
          <w:p w:rsidR="00764E6F" w:rsidRPr="0053423A" w:rsidRDefault="00764E6F" w:rsidP="00A67858">
            <w:pPr>
              <w:spacing w:line="276" w:lineRule="auto"/>
              <w:jc w:val="center"/>
              <w:rPr>
                <w:b/>
                <w:lang w:val="hy-AM"/>
              </w:rPr>
            </w:pPr>
            <w:r w:rsidRPr="0053423A">
              <w:rPr>
                <w:b/>
                <w:lang w:val="hy-AM"/>
              </w:rPr>
              <w:t xml:space="preserve">Առողջապահության նախարարի հրամանի հաստատում </w:t>
            </w:r>
          </w:p>
          <w:p w:rsidR="00764E6F" w:rsidRPr="0053423A" w:rsidRDefault="00764E6F" w:rsidP="00A67858">
            <w:pPr>
              <w:spacing w:line="276" w:lineRule="auto"/>
              <w:jc w:val="center"/>
              <w:rPr>
                <w:b/>
                <w:lang w:val="hy-AM"/>
              </w:rPr>
            </w:pPr>
          </w:p>
          <w:p w:rsidR="00764E6F" w:rsidRPr="0053423A" w:rsidRDefault="00764E6F" w:rsidP="00A67858">
            <w:pPr>
              <w:spacing w:line="276" w:lineRule="auto"/>
              <w:rPr>
                <w:b/>
                <w:lang w:val="hy-AM"/>
              </w:rPr>
            </w:pPr>
            <w:r w:rsidRPr="0053423A">
              <w:rPr>
                <w:b/>
                <w:lang w:val="hy-AM"/>
              </w:rPr>
              <w:t xml:space="preserve">   1. Միջոցառման իրակացման անհրաժեշտությունը և նպատակը</w:t>
            </w:r>
          </w:p>
          <w:p w:rsidR="00764E6F" w:rsidRPr="0053423A" w:rsidRDefault="00764E6F" w:rsidP="00A67858">
            <w:pPr>
              <w:spacing w:line="276" w:lineRule="auto"/>
              <w:jc w:val="both"/>
              <w:rPr>
                <w:lang w:val="hy-AM"/>
              </w:rPr>
            </w:pPr>
            <w:r w:rsidRPr="0053423A">
              <w:rPr>
                <w:lang w:val="hy-AM"/>
              </w:rPr>
              <w:t xml:space="preserve">   Միջոցառման անհրաժեշտությունը բխում է Կառավարության կողմից հավանություն արժանացած Երեխաների և դեռահասների առողջության բարելավման 2016-2020թթ. ազգային ռազմավարության (հավանության է արժանացել ՀՀ կառավարության 2016թ. սեպտեմբերի 2-ի N34 որոշմամբ) դրույթներից, ինչպես նաև երեխաների, մասնավորապես` հատուկ կարիքներով և հաշմանդամ երեխաների համար վերականգնողական ծառայությունների սահմանափակ մատչելիությամբ պայմանավորված ներկայիս իրավիճակով: </w:t>
            </w:r>
          </w:p>
          <w:p w:rsidR="00764E6F" w:rsidRPr="0053423A" w:rsidRDefault="00764E6F" w:rsidP="00A67858">
            <w:pPr>
              <w:spacing w:line="276" w:lineRule="auto"/>
              <w:ind w:firstLine="284"/>
              <w:jc w:val="both"/>
              <w:rPr>
                <w:lang w:val="hy-AM"/>
              </w:rPr>
            </w:pPr>
            <w:r w:rsidRPr="0053423A">
              <w:rPr>
                <w:lang w:val="hy-AM"/>
              </w:rPr>
              <w:t>Միջոցառման նպատակը` Հատուկ կարիքներով և հաշմանդամ երեխաների համար վերականգնողական ծառայությունների հասանելիության, մատչելիության և որակի բարելավումն է, պետական պատվերով մատուցվող ծառայությունների հնարավորությունների ընդլայնման ճանապարհով:</w:t>
            </w:r>
          </w:p>
          <w:p w:rsidR="00764E6F" w:rsidRPr="0053423A" w:rsidRDefault="00764E6F" w:rsidP="00A67858">
            <w:pPr>
              <w:spacing w:line="276" w:lineRule="auto"/>
              <w:ind w:firstLine="284"/>
              <w:jc w:val="both"/>
              <w:rPr>
                <w:lang w:val="hy-AM"/>
              </w:rPr>
            </w:pPr>
          </w:p>
          <w:p w:rsidR="00764E6F" w:rsidRPr="0053423A" w:rsidRDefault="00764E6F" w:rsidP="00A67858">
            <w:pPr>
              <w:spacing w:line="276" w:lineRule="auto"/>
              <w:ind w:firstLine="284"/>
              <w:jc w:val="both"/>
              <w:rPr>
                <w:b/>
                <w:lang w:val="hy-AM"/>
              </w:rPr>
            </w:pPr>
            <w:r w:rsidRPr="0053423A">
              <w:rPr>
                <w:b/>
                <w:lang w:val="hy-AM"/>
              </w:rPr>
              <w:t>1.1 Կարգավորման հարաբերությունների ներկա վիճակը և առկա խնդիրները</w:t>
            </w:r>
          </w:p>
          <w:p w:rsidR="00764E6F" w:rsidRPr="0053423A" w:rsidRDefault="00764E6F" w:rsidP="00A67858">
            <w:pPr>
              <w:tabs>
                <w:tab w:val="left" w:pos="389"/>
              </w:tabs>
              <w:spacing w:line="276" w:lineRule="auto"/>
              <w:ind w:firstLine="284"/>
              <w:jc w:val="both"/>
              <w:rPr>
                <w:lang w:val="hy-AM"/>
              </w:rPr>
            </w:pPr>
            <w:r w:rsidRPr="0053423A">
              <w:rPr>
                <w:lang w:val="hy-AM"/>
              </w:rPr>
              <w:t>Հայաստանի Հանրապետությունում երեխաների վերականգնողական բուժօգնության հետ կապված ծառայությունները տրամադրվում են  առավելապես պետական պատվերի շրջանակներում (0-7տարեկան և 7-18տ. սոցանապահով ու հատուկ խմբերի ցանկում ընդգրկված երեխաներ)` վերականգնողական հիվանդանոցային և արտահիվանդանոցային, ինչպես նաև առողջարանային բուժօգնության կազմակերպման միջոցով: Սակայն այս ծառայությունների հնարավորությունները գրեթե մի քանի անգամներ զիջում են առկա պահանջարկին:</w:t>
            </w:r>
          </w:p>
          <w:p w:rsidR="00764E6F" w:rsidRPr="0053423A" w:rsidRDefault="00764E6F" w:rsidP="00A67858">
            <w:pPr>
              <w:tabs>
                <w:tab w:val="left" w:pos="389"/>
              </w:tabs>
              <w:spacing w:line="276" w:lineRule="auto"/>
              <w:ind w:firstLine="284"/>
              <w:jc w:val="both"/>
              <w:rPr>
                <w:lang w:val="hy-AM"/>
              </w:rPr>
            </w:pPr>
            <w:r w:rsidRPr="0053423A">
              <w:rPr>
                <w:lang w:val="hy-AM"/>
              </w:rPr>
              <w:t>Մանկական վերականգնողական ծառայությունների հետ կապված ներկայիս հիմնախնդիրներ են.</w:t>
            </w:r>
          </w:p>
          <w:p w:rsidR="00764E6F" w:rsidRPr="0053423A" w:rsidRDefault="00764E6F" w:rsidP="00A67858">
            <w:pPr>
              <w:tabs>
                <w:tab w:val="left" w:pos="389"/>
              </w:tabs>
              <w:spacing w:line="276" w:lineRule="auto"/>
              <w:ind w:firstLine="284"/>
              <w:jc w:val="both"/>
              <w:rPr>
                <w:lang w:val="hy-AM"/>
              </w:rPr>
            </w:pPr>
            <w:r w:rsidRPr="0053423A">
              <w:rPr>
                <w:lang w:val="hy-AM"/>
              </w:rPr>
              <w:t>1)</w:t>
            </w:r>
            <w:r w:rsidRPr="0053423A">
              <w:rPr>
                <w:lang w:val="hy-AM"/>
              </w:rPr>
              <w:tab/>
              <w:t xml:space="preserve">Պոլիտրավմաներին և/կամ այլ ծագման (օր. նեյրովիրաբուժություն, օնկոլոգիա, ՄՈՒԿ` բարդություններով, գենետիկ հիվանդություններ և այլն) վիրահատական միջամտություններից հետո երեխաներին անհրաժեշտ հիվանդանոցային սուր և ենթասուր վերականգնողական/inpatient բուժօգնության ծառայությունների գրեթե բացակայություն, այն թվում բազմապրոֆիլ հիվանդանոցներու, որի արդյունքում երեխաները հաճախ դուրս են գրվում երկրորդային և անդառնալի բարդություններով` հետագա վերականգնման խիստ դժվարություններով:  </w:t>
            </w:r>
          </w:p>
          <w:p w:rsidR="00764E6F" w:rsidRPr="0053423A" w:rsidRDefault="00764E6F" w:rsidP="00A67858">
            <w:pPr>
              <w:tabs>
                <w:tab w:val="left" w:pos="389"/>
              </w:tabs>
              <w:spacing w:line="276" w:lineRule="auto"/>
              <w:ind w:firstLine="284"/>
              <w:jc w:val="both"/>
              <w:rPr>
                <w:lang w:val="hy-AM"/>
              </w:rPr>
            </w:pPr>
            <w:r w:rsidRPr="0053423A">
              <w:rPr>
                <w:lang w:val="hy-AM"/>
              </w:rPr>
              <w:t>2)</w:t>
            </w:r>
            <w:r w:rsidRPr="0053423A">
              <w:rPr>
                <w:lang w:val="hy-AM"/>
              </w:rPr>
              <w:tab/>
              <w:t>Հիվանդանոցային վերականգնողական ծառայություններ մատուցող կենտրոնների շենքային պայմանների բարելավման անհրաժեշտություն, մասնավորապես, հաշմանդամների տեղաշարժման (սայլակներ,   քայլակներ, այլ), ինչպես նաև օժանդակ ծառայություններից օգտվելու հնարավորությունների տեսանկյունից:</w:t>
            </w:r>
          </w:p>
          <w:p w:rsidR="00764E6F" w:rsidRPr="0053423A" w:rsidRDefault="00764E6F" w:rsidP="00A67858">
            <w:pPr>
              <w:tabs>
                <w:tab w:val="left" w:pos="389"/>
              </w:tabs>
              <w:spacing w:line="276" w:lineRule="auto"/>
              <w:ind w:firstLine="284"/>
              <w:jc w:val="both"/>
              <w:rPr>
                <w:lang w:val="hy-AM"/>
              </w:rPr>
            </w:pPr>
            <w:r w:rsidRPr="0053423A">
              <w:rPr>
                <w:lang w:val="hy-AM"/>
              </w:rPr>
              <w:t>3)</w:t>
            </w:r>
            <w:r w:rsidRPr="0053423A">
              <w:rPr>
                <w:lang w:val="hy-AM"/>
              </w:rPr>
              <w:tab/>
              <w:t xml:space="preserve"> Հիվանդանոցային վերականգնողական և առողջարանային բուժօգնության համար հատկացվող բյուջետային հատկացումների խիստ սահմանափակ հնարավորություններ: Պետական պատվերով բուժվող երեխաների տարեկան միջին թիվը չի գերազանցում 700-1000 երեխան` շուրջօրյա (յուրաքանչյուր երեխան տարեկան 1-2 էպիզոդից ոչ ավելի), 1300 երեխան` ամբուլատոր բուժման (տարեկան շուրջ 24 000 այցերի թվով/յուրաքանչյուր երեխան տարեկան 70 այցից ոչ ավելի) և 100-150 երեխան`  առողջարանային բուժման պարագայում` շուրջ 400 մլն դրամ տարեկան բյուջետային ծախսերով: </w:t>
            </w:r>
          </w:p>
          <w:p w:rsidR="00764E6F" w:rsidRPr="0053423A" w:rsidRDefault="00764E6F" w:rsidP="00A67858">
            <w:pPr>
              <w:tabs>
                <w:tab w:val="left" w:pos="389"/>
              </w:tabs>
              <w:spacing w:line="276" w:lineRule="auto"/>
              <w:ind w:firstLine="284"/>
              <w:jc w:val="both"/>
              <w:rPr>
                <w:lang w:val="hy-AM"/>
              </w:rPr>
            </w:pPr>
            <w:r w:rsidRPr="0053423A">
              <w:rPr>
                <w:lang w:val="hy-AM"/>
              </w:rPr>
              <w:t>4)</w:t>
            </w:r>
            <w:r w:rsidRPr="0053423A">
              <w:rPr>
                <w:lang w:val="hy-AM"/>
              </w:rPr>
              <w:tab/>
              <w:t xml:space="preserve"> Մանկական վերականգնողական ծառայությունների պահանջարկը 3-4 անգամ գերազանցում է առկա հնարավորությունները: Ըստ փորձագիտական գնահատականների, շարունակական վերականգնողական բուժօգնության կարիք ունի մինչև 6000 երեխա: Պաշտոնապես հաշվառված շուրջ 8000 հաշմանդամ երեխաների 70 տոկոսը ունի հենաշարժական կամ մենտալ խնդիրներ, որոնք գրեթե բոլորը ունեն վերականգնողական բուժման կարիք:</w:t>
            </w:r>
          </w:p>
          <w:p w:rsidR="00764E6F" w:rsidRPr="0053423A" w:rsidRDefault="00764E6F" w:rsidP="00A67858">
            <w:pPr>
              <w:tabs>
                <w:tab w:val="left" w:pos="389"/>
              </w:tabs>
              <w:spacing w:line="276" w:lineRule="auto"/>
              <w:ind w:firstLine="284"/>
              <w:jc w:val="both"/>
              <w:rPr>
                <w:lang w:val="hy-AM"/>
              </w:rPr>
            </w:pPr>
            <w:r w:rsidRPr="0053423A">
              <w:rPr>
                <w:lang w:val="hy-AM"/>
              </w:rPr>
              <w:t>5)</w:t>
            </w:r>
            <w:r w:rsidRPr="0053423A">
              <w:rPr>
                <w:lang w:val="hy-AM"/>
              </w:rPr>
              <w:tab/>
              <w:t>Տարեկան գրանցվում է տրավմաների 2250 և ավելի դեպք` հոսպիտալացման ելքով, որից մոտ 20%-ը` գանգուղեղային տրավմաներ, որոնց շուրջ 60-70 %  կարիք է ունենում հետագա վերականգնողական բուժման` ինչի հնարավորությունը գրեթե բացակայում է:</w:t>
            </w:r>
          </w:p>
          <w:p w:rsidR="00764E6F" w:rsidRPr="0053423A" w:rsidRDefault="00764E6F" w:rsidP="00A67858">
            <w:pPr>
              <w:tabs>
                <w:tab w:val="left" w:pos="389"/>
              </w:tabs>
              <w:spacing w:line="276" w:lineRule="auto"/>
              <w:ind w:firstLine="284"/>
              <w:jc w:val="both"/>
              <w:rPr>
                <w:lang w:val="hy-AM"/>
              </w:rPr>
            </w:pPr>
          </w:p>
          <w:p w:rsidR="00764E6F" w:rsidRPr="0053423A" w:rsidRDefault="00764E6F" w:rsidP="00A67858">
            <w:pPr>
              <w:tabs>
                <w:tab w:val="left" w:pos="389"/>
              </w:tabs>
              <w:spacing w:line="276" w:lineRule="auto"/>
              <w:ind w:firstLine="284"/>
              <w:contextualSpacing/>
              <w:rPr>
                <w:b/>
                <w:lang w:val="hy-AM"/>
              </w:rPr>
            </w:pPr>
            <w:r w:rsidRPr="0053423A">
              <w:rPr>
                <w:b/>
                <w:lang w:val="hy-AM"/>
              </w:rPr>
              <w:t xml:space="preserve">     1.2. Առկա խնդիրների առաջարկվող լուծումները</w:t>
            </w:r>
          </w:p>
          <w:p w:rsidR="00764E6F" w:rsidRPr="0053423A" w:rsidRDefault="00764E6F" w:rsidP="00A67858">
            <w:pPr>
              <w:tabs>
                <w:tab w:val="left" w:pos="389"/>
              </w:tabs>
              <w:spacing w:line="276" w:lineRule="auto"/>
              <w:ind w:firstLine="284"/>
              <w:contextualSpacing/>
              <w:jc w:val="both"/>
              <w:rPr>
                <w:lang w:val="hy-AM"/>
              </w:rPr>
            </w:pPr>
            <w:r w:rsidRPr="0053423A">
              <w:rPr>
                <w:lang w:val="hy-AM"/>
              </w:rPr>
              <w:t>Մանկական վերականգնողական ծառայությունների կարողությունների ներկայիս վիճակի գնահատման հիման վրա իրավիճակի բարելավման   առաջարկությունների մշակում, որտեղ տեղ կգտնեն առաջարկներ` մանկական վերականգնողական ծառայություն մատուցող նոր բժշկական կենտրոնի ստեղծման, պետական պատվերի համապատասխան ծավալների մեծացման, պետպատվերի շրջանակներում մանկական վերականգնողաբանության նպատակային կլինիկական օրդինատուրայի  տեղերի հատկացման ուղղությամբ:</w:t>
            </w:r>
          </w:p>
          <w:p w:rsidR="00764E6F" w:rsidRPr="0053423A" w:rsidRDefault="00764E6F" w:rsidP="00A67858">
            <w:pPr>
              <w:tabs>
                <w:tab w:val="left" w:pos="389"/>
              </w:tabs>
              <w:spacing w:line="276" w:lineRule="auto"/>
              <w:jc w:val="both"/>
              <w:rPr>
                <w:lang w:val="hy-AM"/>
              </w:rPr>
            </w:pPr>
            <w:r w:rsidRPr="0053423A">
              <w:rPr>
                <w:lang w:val="hy-AM"/>
              </w:rPr>
              <w:t>Համակատարողը Ջինիշյան հիշատակի հիմնադրամն է, որը պատրաստակամություն է հայտնել ստեղծել վերականգնողական մարզային 1 կենտրոն և ապահովել վերջինիս գործունեության ընթացիկ ծախսերը շուրջ 1 տարի:</w:t>
            </w:r>
          </w:p>
          <w:p w:rsidR="00764E6F" w:rsidRPr="0053423A" w:rsidRDefault="00764E6F" w:rsidP="00A67858">
            <w:pPr>
              <w:tabs>
                <w:tab w:val="left" w:pos="389"/>
              </w:tabs>
              <w:spacing w:line="276" w:lineRule="auto"/>
              <w:jc w:val="both"/>
              <w:rPr>
                <w:lang w:val="hy-AM"/>
              </w:rPr>
            </w:pPr>
          </w:p>
          <w:p w:rsidR="00764E6F" w:rsidRPr="0053423A" w:rsidRDefault="00764E6F" w:rsidP="00A67858">
            <w:pPr>
              <w:spacing w:line="276" w:lineRule="auto"/>
              <w:rPr>
                <w:b/>
                <w:lang w:val="hy-AM"/>
              </w:rPr>
            </w:pPr>
            <w:r w:rsidRPr="0053423A">
              <w:rPr>
                <w:b/>
                <w:lang w:val="hy-AM"/>
              </w:rPr>
              <w:t xml:space="preserve">   2. </w:t>
            </w:r>
            <w:r w:rsidRPr="0053423A">
              <w:rPr>
                <w:b/>
                <w:color w:val="000000"/>
                <w:lang w:val="hy-AM"/>
              </w:rPr>
              <w:t>2.</w:t>
            </w:r>
            <w:r w:rsidRPr="0053423A">
              <w:rPr>
                <w:b/>
                <w:color w:val="FF0000"/>
                <w:lang w:val="hy-AM"/>
              </w:rPr>
              <w:t xml:space="preserve"> </w:t>
            </w:r>
            <w:r w:rsidRPr="0053423A">
              <w:rPr>
                <w:b/>
                <w:color w:val="000000"/>
                <w:lang w:val="hy-AM"/>
              </w:rPr>
              <w:t>Միջոցառման իրականացումից ակնկալվող արդյունքը</w:t>
            </w:r>
          </w:p>
          <w:p w:rsidR="00764E6F" w:rsidRPr="0053423A" w:rsidRDefault="00764E6F" w:rsidP="00A67858">
            <w:pPr>
              <w:spacing w:line="276" w:lineRule="auto"/>
              <w:ind w:firstLine="226"/>
              <w:contextualSpacing/>
              <w:jc w:val="both"/>
              <w:rPr>
                <w:lang w:val="hy-AM"/>
              </w:rPr>
            </w:pPr>
            <w:r w:rsidRPr="0053423A">
              <w:rPr>
                <w:lang w:val="hy-AM"/>
              </w:rPr>
              <w:t xml:space="preserve">Կբարելավվի հատուկ կարիքներով և հաշմանդամ երեխաների համար վերականգնողական ծառայությունների հասանելիությունը, մատչելիությունը և որակը, Սյս երեխաների համար կստեղծվի նոր վերականգնողական կենտրոն` վերականգնման համար ավելի նպաստավոր պայմաններով:  </w:t>
            </w:r>
          </w:p>
          <w:p w:rsidR="00764E6F" w:rsidRPr="0053423A" w:rsidRDefault="00764E6F" w:rsidP="00A67858">
            <w:pPr>
              <w:spacing w:line="276" w:lineRule="auto"/>
              <w:jc w:val="both"/>
              <w:rPr>
                <w:b/>
                <w:bCs/>
                <w:lang w:val="hy-AM"/>
              </w:rPr>
            </w:pPr>
          </w:p>
        </w:tc>
      </w:tr>
      <w:tr w:rsidR="00764E6F" w:rsidRPr="00DE2EFA" w:rsidTr="009843B0">
        <w:tc>
          <w:tcPr>
            <w:tcW w:w="630" w:type="dxa"/>
          </w:tcPr>
          <w:p w:rsidR="00764E6F" w:rsidRPr="0053423A" w:rsidRDefault="008B3845" w:rsidP="00A67858">
            <w:pPr>
              <w:spacing w:line="276" w:lineRule="auto"/>
              <w:jc w:val="center"/>
              <w:rPr>
                <w:lang w:val="hy-AM"/>
              </w:rPr>
            </w:pPr>
            <w:r w:rsidRPr="0053423A">
              <w:rPr>
                <w:lang w:val="hy-AM"/>
              </w:rPr>
              <w:t>2</w:t>
            </w:r>
            <w:r w:rsidR="00764E6F" w:rsidRPr="0053423A">
              <w:t>7</w:t>
            </w:r>
          </w:p>
        </w:tc>
        <w:tc>
          <w:tcPr>
            <w:tcW w:w="10878" w:type="dxa"/>
          </w:tcPr>
          <w:p w:rsidR="00764E6F" w:rsidRPr="0053423A" w:rsidRDefault="008B3845" w:rsidP="00A67858">
            <w:pPr>
              <w:spacing w:line="276" w:lineRule="auto"/>
              <w:jc w:val="center"/>
              <w:rPr>
                <w:rFonts w:cs="Sylfaen"/>
                <w:b/>
                <w:lang w:val="hy-AM"/>
              </w:rPr>
            </w:pPr>
            <w:r w:rsidRPr="0053423A">
              <w:rPr>
                <w:b/>
                <w:lang w:val="hy-AM"/>
              </w:rPr>
              <w:t>2</w:t>
            </w:r>
            <w:r w:rsidR="00764E6F" w:rsidRPr="0053423A">
              <w:rPr>
                <w:b/>
                <w:lang w:val="hy-AM"/>
              </w:rPr>
              <w:t xml:space="preserve">7.1 </w:t>
            </w:r>
            <w:r w:rsidR="00764E6F" w:rsidRPr="0053423A">
              <w:rPr>
                <w:rFonts w:cs="Sylfaen"/>
                <w:b/>
                <w:lang w:val="hy-AM"/>
              </w:rPr>
              <w:t>«Բժշկական օգնություն և սպասարկում իրականացնող կազմակերպություններում բնակչությանը մատուցվող բժշկական օգնության և սպասարկման որակի բարելավման ռազմավարությունը հաստատելու մասին» Կառավարության որոշման նախագիծը վարչապետի աշխատակազմ ներկայացնելը</w:t>
            </w:r>
          </w:p>
          <w:p w:rsidR="00764E6F" w:rsidRPr="0053423A" w:rsidRDefault="00764E6F" w:rsidP="00A67858">
            <w:pPr>
              <w:tabs>
                <w:tab w:val="left" w:pos="180"/>
              </w:tabs>
              <w:spacing w:line="276" w:lineRule="auto"/>
              <w:rPr>
                <w:b/>
                <w:lang w:val="hy-AM"/>
              </w:rPr>
            </w:pPr>
          </w:p>
          <w:p w:rsidR="00764E6F" w:rsidRPr="0053423A" w:rsidRDefault="00764E6F" w:rsidP="00A67858">
            <w:pPr>
              <w:tabs>
                <w:tab w:val="left" w:pos="180"/>
              </w:tabs>
              <w:spacing w:line="276" w:lineRule="auto"/>
              <w:rPr>
                <w:b/>
                <w:lang w:val="hy-AM"/>
              </w:rPr>
            </w:pPr>
            <w:r w:rsidRPr="0053423A">
              <w:rPr>
                <w:b/>
                <w:lang w:val="hy-AM"/>
              </w:rPr>
              <w:t xml:space="preserve">   1. Միջոցառման իրականացման անհրաժեշտությունը և նպատակը</w:t>
            </w:r>
          </w:p>
          <w:p w:rsidR="00764E6F" w:rsidRPr="0053423A" w:rsidRDefault="00764E6F" w:rsidP="00A67858">
            <w:pPr>
              <w:spacing w:line="276" w:lineRule="auto"/>
              <w:jc w:val="both"/>
              <w:rPr>
                <w:lang w:val="hy-AM"/>
              </w:rPr>
            </w:pPr>
            <w:r w:rsidRPr="0053423A">
              <w:rPr>
                <w:lang w:val="hy-AM"/>
              </w:rPr>
              <w:t xml:space="preserve">   Բժշկական օգնություն և սպասարկում իրականացնող կազմակերպություններում բնակչությանը մատուցվող բժշկական օգնության և սպասարկման  որակի բարելավման ռազմավարության ներդրման նպատակն է հիվանդանոցային բժշկական օգնություն և սպասարկում իրականացնող կազմակերպություններում բժշկական օգնության որակի բարելավման և վերահսկման մեխանիզմներ սահմանելը: </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jc w:val="both"/>
              <w:rPr>
                <w:lang w:val="hy-AM"/>
              </w:rPr>
            </w:pPr>
            <w:r w:rsidRPr="0053423A">
              <w:rPr>
                <w:lang w:val="hy-AM"/>
              </w:rPr>
              <w:t xml:space="preserve">   Ներկայում առողջապահական ոլորտում առկա են սակավաթիվ  նորմատիվ իրավական ակտեր, որոնք ուղղված են բժշկական օգնության որակի բարելավման: Լիարժեք և թափանցիկ չեն ուսումնասիրվում բժշկական օգնության որակի վերաբերյալ դիմում-բողոքները, կրկնակի հոսպիտալացումների հիմնավորումները, ներհիվանդանոցային վարակների համաճարակաբանական իրավիճակը, հակաբիոտիկների կիրառման հսկողությունը,  առանձնահատուկ ուշադրության արժանի, բժշկական օգնության և սպասարկման դեպքերը (կոնսերվատիվ կամ վիրաբուժական բուժման մեթոդներ, նորարարություններ և այլն):</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1.2 Առկա խնդիրների առաջարկվող լուծումները</w:t>
            </w:r>
          </w:p>
          <w:p w:rsidR="00764E6F" w:rsidRPr="0053423A" w:rsidRDefault="00764E6F" w:rsidP="00A67858">
            <w:pPr>
              <w:spacing w:line="276" w:lineRule="auto"/>
              <w:jc w:val="both"/>
              <w:rPr>
                <w:lang w:val="hy-AM"/>
              </w:rPr>
            </w:pPr>
            <w:r w:rsidRPr="0053423A">
              <w:rPr>
                <w:lang w:val="hy-AM"/>
              </w:rPr>
              <w:t xml:space="preserve">   Բժշկական օգնություն և սպասարկում իրականացնող կազմակերպություններում բնակչությանը մատուցվող բժշկական օգնության և սպասարկման  որակի բարելավման ռազմավարության ներդրմամբ նախատեսվում է. </w:t>
            </w:r>
          </w:p>
          <w:p w:rsidR="00764E6F" w:rsidRPr="0053423A" w:rsidRDefault="00764E6F" w:rsidP="00A67858">
            <w:pPr>
              <w:spacing w:line="276" w:lineRule="auto"/>
              <w:jc w:val="both"/>
              <w:rPr>
                <w:lang w:val="hy-AM"/>
              </w:rPr>
            </w:pPr>
            <w:r w:rsidRPr="0053423A">
              <w:rPr>
                <w:lang w:val="hy-AM"/>
              </w:rPr>
              <w:t xml:space="preserve">   1)</w:t>
            </w:r>
            <w:r w:rsidRPr="0053423A">
              <w:rPr>
                <w:lang w:val="hy-AM"/>
              </w:rPr>
              <w:tab/>
              <w:t>բժշկական օգնություն  և սպասարկում իրականացնող բժշկական կազմակերպություններում բժշկական օգնության  և սպասարկման կազմակերպման գործող իրավական ակտերին համապատասխանությունը պարզելու, ինչպես նաև իրականացված աշխատանքների որակի վերահսկման նպատակով ստեղծել որակի բարելավման և վերահսկման խորհուրդներ,</w:t>
            </w:r>
          </w:p>
          <w:p w:rsidR="00764E6F" w:rsidRPr="0053423A" w:rsidRDefault="00764E6F" w:rsidP="00A67858">
            <w:pPr>
              <w:spacing w:line="276" w:lineRule="auto"/>
              <w:jc w:val="both"/>
              <w:rPr>
                <w:lang w:val="hy-AM"/>
              </w:rPr>
            </w:pPr>
            <w:r w:rsidRPr="0053423A">
              <w:rPr>
                <w:lang w:val="hy-AM"/>
              </w:rPr>
              <w:t xml:space="preserve">   2)</w:t>
            </w:r>
            <w:r w:rsidRPr="0053423A">
              <w:rPr>
                <w:lang w:val="hy-AM"/>
              </w:rPr>
              <w:tab/>
              <w:t>սահմանել խորհրդի գործառույթները, որոնք կքննարկեն քաղաքացիների կամ կազմակերպությունների կողմից բժշկական օգնության որակի վերաբերյալ դիմում-բողոքները, հաշվետու ժամանակահատվածում կրկնակի հոսպիտալացման դեպքերը, այն մահվան դեպքերը, որոնց կլինիկական ախտորոշումները և ախտաբանաանատոմիական դիահերձումների եզրակացությունները չեն համընկել, այն դեպքերը, երբ բժշկական օգնության և սպասարկման աշխատանքները չեն կազմակերպվել Հայաստանի Հանրապետության օրենքներին, Կառավարության որոշումներին, Առողջապահության նախարարի նորմատիվ և անհատական հրամաններին (ներառյալ դրանցով հաստատված կարգերին, չափորոշիչներին, մեթոդական ցուցումներին, ուղեցույցներին և գործելակարգերին) համապատասխան, բժշկական օգնությունը և սպասարկումն ուշացնելու կամ դրա կասկածի յուրաքանչյուր դեպք, վարակի հսկողության ծրագրի իրականացման արդյունքները,  ներհիվանդանոցային վարակների համաճարակաբանական իրավիճակը, հիվանդների բուժման ընթացքում բարդությունների առաջացման հնարավոր ռիսկերը, դրանց  նվազեցման ուղղությամբ միջոցառումները, բուժանձնակազմի` վարակի հսկողության հարցերի ուղղությամբ ուսուցման հարցերը, սանիտարահիգիենիկ և հակահամաճարակային միջոցառումների, ախտահանման և մանրէազերծման աշխատանքների, մեկուսացման և այլ կանխարգելիչ միջոցառումների հարցեր, հակաբիոտիկների օգտագործման և կայունության մշտադիտարկման համակարգի ներդրման հարցեր,</w:t>
            </w:r>
          </w:p>
          <w:p w:rsidR="00764E6F" w:rsidRPr="0053423A" w:rsidRDefault="00764E6F" w:rsidP="00A67858">
            <w:pPr>
              <w:spacing w:line="276" w:lineRule="auto"/>
              <w:jc w:val="both"/>
              <w:rPr>
                <w:lang w:val="hy-AM"/>
              </w:rPr>
            </w:pPr>
            <w:r w:rsidRPr="0053423A">
              <w:rPr>
                <w:lang w:val="hy-AM"/>
              </w:rPr>
              <w:t xml:space="preserve">   3)</w:t>
            </w:r>
            <w:r w:rsidRPr="0053423A">
              <w:rPr>
                <w:lang w:val="hy-AM"/>
              </w:rPr>
              <w:tab/>
              <w:t>սահմանել հիվանդանոցային որակի ցուցանիշները,</w:t>
            </w:r>
            <w:r w:rsidRPr="0053423A">
              <w:rPr>
                <w:rFonts w:cs="Sylfaen"/>
                <w:lang w:val="hy-AM"/>
              </w:rPr>
              <w:t xml:space="preserve"> </w:t>
            </w:r>
            <w:r w:rsidRPr="0053423A">
              <w:rPr>
                <w:lang w:val="hy-AM"/>
              </w:rPr>
              <w:t>որակի գնահատման և բարելավման գործիքակազմ և խորհուրդների  կողմից կատարած աշխատանքների և ձեռնարկված միջոցառումների վերաբերյալ հաշվետվության  ներկայացման ձևաչափը:</w:t>
            </w:r>
          </w:p>
          <w:p w:rsidR="00764E6F" w:rsidRPr="0053423A" w:rsidRDefault="00764E6F" w:rsidP="00A67858">
            <w:pPr>
              <w:spacing w:line="276" w:lineRule="auto"/>
              <w:jc w:val="both"/>
              <w:rPr>
                <w:lang w:val="hy-AM"/>
              </w:rPr>
            </w:pPr>
            <w:r w:rsidRPr="0053423A">
              <w:rPr>
                <w:lang w:val="hy-AM"/>
              </w:rPr>
              <w:t xml:space="preserve">  Նախատեսվում է մշակված փաստաթղթերը և իրականացվող միջոցառումները քննարկել և կարծիք ստանալ բոլոր շահագրգիռ կառույցներից, մասնավորապես, Տարածքային կառավարման և զարգացման նախարարությունից,  ՀՀ մարզպետարաններից և Երևանի քաղաքապետարանից: </w:t>
            </w:r>
          </w:p>
          <w:p w:rsidR="00764E6F" w:rsidRPr="0053423A" w:rsidRDefault="00764E6F" w:rsidP="00A67858">
            <w:pPr>
              <w:spacing w:line="276" w:lineRule="auto"/>
              <w:ind w:firstLine="706"/>
              <w:jc w:val="both"/>
              <w:rPr>
                <w:lang w:val="hy-AM"/>
              </w:rPr>
            </w:pPr>
          </w:p>
          <w:p w:rsidR="00764E6F" w:rsidRPr="0053423A" w:rsidRDefault="00764E6F" w:rsidP="00A67858">
            <w:pPr>
              <w:tabs>
                <w:tab w:val="left" w:pos="180"/>
              </w:tabs>
              <w:spacing w:line="276" w:lineRule="auto"/>
              <w:jc w:val="both"/>
              <w:rPr>
                <w:b/>
                <w:lang w:val="hy-AM"/>
              </w:rPr>
            </w:pPr>
            <w:r w:rsidRPr="0053423A">
              <w:rPr>
                <w:b/>
                <w:lang w:val="hy-AM"/>
              </w:rPr>
              <w:t xml:space="preserve">   2. Միջոցառման իրականացումից ակնկալվող արդյունքը</w:t>
            </w:r>
          </w:p>
          <w:p w:rsidR="00764E6F" w:rsidRPr="0053423A" w:rsidRDefault="00764E6F" w:rsidP="00A67858">
            <w:pPr>
              <w:spacing w:line="276" w:lineRule="auto"/>
              <w:jc w:val="both"/>
              <w:rPr>
                <w:lang w:val="hy-AM"/>
              </w:rPr>
            </w:pPr>
            <w:r w:rsidRPr="0053423A">
              <w:rPr>
                <w:lang w:val="hy-AM"/>
              </w:rPr>
              <w:t xml:space="preserve">   Բժշկական օգնություն և սպասարկում իրականացնող կազմակերպություններում բնակչությանը մատուցվող բժշկական օգնության և սպասարկման  որակի բարելավման ռազմավարության ներդրման դեպքում ակնկալվում է բարելավել բժշկական օգնության և սպասարկման որակը հիվանդանոցային բժշկական օգնություն և սպասարկում իրականացնող կազմակերպություններում` որակի բարելավման և վերահսկման խորհուրդների աշխատանքի և հիվանդանոցային բուժօգնության որակի ցուցանիշների, մեթոդների/գործիքների հաստատման  միջոցով, ինչը կնպաստի  բժշկական միջամտություններով պայմանավորված վարակների վերահսկմանը,  կանխարգելմանը, ինչպես նաև պացիենտների անվտանգության բարձրացմանը: Ակնկալվում է հիվանդանոցային բուժօգնության որակի ցուցանիշների և մեթոդների/գործիքների ներդրումից առնվազն 5 տարի անց ունենալ միջազգային ստանդարտներին համապատասխան ցուցանիշներ:</w:t>
            </w:r>
          </w:p>
          <w:p w:rsidR="00764E6F" w:rsidRPr="0053423A" w:rsidRDefault="00764E6F" w:rsidP="00A67858">
            <w:pPr>
              <w:spacing w:line="276" w:lineRule="auto"/>
              <w:jc w:val="both"/>
              <w:rPr>
                <w:lang w:val="hy-AM"/>
              </w:rPr>
            </w:pPr>
          </w:p>
          <w:p w:rsidR="00764E6F" w:rsidRPr="0053423A" w:rsidRDefault="008B3845" w:rsidP="00A67858">
            <w:pPr>
              <w:spacing w:line="276" w:lineRule="auto"/>
              <w:jc w:val="center"/>
              <w:rPr>
                <w:rFonts w:cs="Sylfaen"/>
                <w:lang w:val="hy-AM"/>
              </w:rPr>
            </w:pPr>
            <w:r w:rsidRPr="0053423A">
              <w:rPr>
                <w:b/>
                <w:lang w:val="hy-AM"/>
              </w:rPr>
              <w:t>2</w:t>
            </w:r>
            <w:r w:rsidR="00764E6F" w:rsidRPr="0053423A">
              <w:rPr>
                <w:b/>
                <w:lang w:val="hy-AM"/>
              </w:rPr>
              <w:t xml:space="preserve">7.2 «Արյան ռեեստրի գործունեության, տեղեկությունների գրանցման, օգտագործման և տրամադրման կարգը հաստատելու մասին» </w:t>
            </w:r>
            <w:r w:rsidR="00764E6F" w:rsidRPr="0053423A">
              <w:rPr>
                <w:rFonts w:cs="Sylfaen"/>
                <w:b/>
                <w:lang w:val="hy-AM"/>
              </w:rPr>
              <w:t>Կառավարության որոշման նախագիծը վարչապետի աշխատակազմ ներկայացնելը</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 </w:t>
            </w:r>
            <w:r w:rsidRPr="0053423A">
              <w:rPr>
                <w:rFonts w:cs="Sylfaen"/>
                <w:b/>
                <w:lang w:val="hy-AM"/>
              </w:rPr>
              <w:t>Միջոցառման</w:t>
            </w:r>
            <w:r w:rsidRPr="0053423A">
              <w:rPr>
                <w:b/>
                <w:lang w:val="hy-AM"/>
              </w:rPr>
              <w:t xml:space="preserve"> </w:t>
            </w:r>
            <w:r w:rsidRPr="0053423A">
              <w:rPr>
                <w:rFonts w:cs="Sylfaen"/>
                <w:b/>
                <w:lang w:val="hy-AM"/>
              </w:rPr>
              <w:t>իրականացման</w:t>
            </w:r>
            <w:r w:rsidRPr="0053423A">
              <w:rPr>
                <w:b/>
                <w:lang w:val="hy-AM"/>
              </w:rPr>
              <w:t xml:space="preserve"> </w:t>
            </w:r>
            <w:r w:rsidRPr="0053423A">
              <w:rPr>
                <w:rFonts w:cs="Sylfaen"/>
                <w:b/>
                <w:lang w:val="hy-AM"/>
              </w:rPr>
              <w:t>անհրաժեշտությունը</w:t>
            </w:r>
            <w:r w:rsidRPr="0053423A">
              <w:rPr>
                <w:b/>
                <w:lang w:val="hy-AM"/>
              </w:rPr>
              <w:t xml:space="preserve"> </w:t>
            </w:r>
            <w:r w:rsidRPr="0053423A">
              <w:rPr>
                <w:rFonts w:cs="Sylfaen"/>
                <w:b/>
                <w:lang w:val="hy-AM"/>
              </w:rPr>
              <w:t>և</w:t>
            </w:r>
            <w:r w:rsidRPr="0053423A">
              <w:rPr>
                <w:b/>
                <w:lang w:val="hy-AM"/>
              </w:rPr>
              <w:t xml:space="preserve"> </w:t>
            </w:r>
            <w:r w:rsidRPr="0053423A">
              <w:rPr>
                <w:rFonts w:cs="Sylfaen"/>
                <w:b/>
                <w:lang w:val="hy-AM"/>
              </w:rPr>
              <w:t>նպատակը</w:t>
            </w:r>
            <w:r w:rsidRPr="0053423A">
              <w:rPr>
                <w:b/>
                <w:lang w:val="hy-AM"/>
              </w:rPr>
              <w:t xml:space="preserve"> </w:t>
            </w:r>
          </w:p>
          <w:p w:rsidR="00764E6F" w:rsidRPr="0053423A" w:rsidRDefault="00764E6F" w:rsidP="00A67858">
            <w:pPr>
              <w:spacing w:line="276" w:lineRule="auto"/>
              <w:jc w:val="both"/>
              <w:rPr>
                <w:lang w:val="hy-AM"/>
              </w:rPr>
            </w:pP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ռեեստրի</w:t>
            </w:r>
            <w:r w:rsidRPr="0053423A">
              <w:rPr>
                <w:lang w:val="hy-AM"/>
              </w:rPr>
              <w:t xml:space="preserve"> </w:t>
            </w:r>
            <w:r w:rsidRPr="0053423A">
              <w:rPr>
                <w:rFonts w:cs="Sylfaen"/>
                <w:lang w:val="hy-AM"/>
              </w:rPr>
              <w:t>գործունեության</w:t>
            </w:r>
            <w:r w:rsidRPr="0053423A">
              <w:rPr>
                <w:lang w:val="hy-AM"/>
              </w:rPr>
              <w:t xml:space="preserve">, </w:t>
            </w:r>
            <w:r w:rsidRPr="0053423A">
              <w:rPr>
                <w:rFonts w:cs="Sylfaen"/>
                <w:lang w:val="hy-AM"/>
              </w:rPr>
              <w:t>տեղեկությունների</w:t>
            </w:r>
            <w:r w:rsidRPr="0053423A">
              <w:rPr>
                <w:lang w:val="hy-AM"/>
              </w:rPr>
              <w:t xml:space="preserve"> </w:t>
            </w:r>
            <w:r w:rsidRPr="0053423A">
              <w:rPr>
                <w:rFonts w:cs="Sylfaen"/>
                <w:lang w:val="hy-AM"/>
              </w:rPr>
              <w:t>գրանցման</w:t>
            </w:r>
            <w:r w:rsidRPr="0053423A">
              <w:rPr>
                <w:lang w:val="hy-AM"/>
              </w:rPr>
              <w:t xml:space="preserve">, </w:t>
            </w:r>
            <w:r w:rsidRPr="0053423A">
              <w:rPr>
                <w:rFonts w:cs="Sylfaen"/>
                <w:lang w:val="hy-AM"/>
              </w:rPr>
              <w:t>օգտագործման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տրամադրման</w:t>
            </w:r>
            <w:r w:rsidRPr="0053423A">
              <w:rPr>
                <w:lang w:val="hy-AM"/>
              </w:rPr>
              <w:t xml:space="preserve"> </w:t>
            </w:r>
            <w:r w:rsidRPr="0053423A">
              <w:rPr>
                <w:rFonts w:cs="Sylfaen"/>
                <w:lang w:val="hy-AM"/>
              </w:rPr>
              <w:t>կարգը</w:t>
            </w:r>
            <w:r w:rsidRPr="0053423A">
              <w:rPr>
                <w:lang w:val="hy-AM"/>
              </w:rPr>
              <w:t xml:space="preserve"> </w:t>
            </w:r>
            <w:r w:rsidRPr="0053423A">
              <w:rPr>
                <w:rFonts w:cs="Sylfaen"/>
                <w:lang w:val="hy-AM"/>
              </w:rPr>
              <w:t>հաստատելու</w:t>
            </w:r>
            <w:r w:rsidRPr="0053423A">
              <w:rPr>
                <w:lang w:val="hy-AM"/>
              </w:rPr>
              <w:t xml:space="preserve"> </w:t>
            </w:r>
            <w:r w:rsidRPr="0053423A">
              <w:rPr>
                <w:rFonts w:cs="Sylfaen"/>
                <w:lang w:val="hy-AM"/>
              </w:rPr>
              <w:t>մասին</w:t>
            </w:r>
            <w:r w:rsidRPr="0053423A">
              <w:rPr>
                <w:rFonts w:cs="Arial Armenian"/>
                <w:lang w:val="hy-AM"/>
              </w:rPr>
              <w:t>»</w:t>
            </w:r>
            <w:r w:rsidRPr="0053423A">
              <w:rPr>
                <w:lang w:val="hy-AM"/>
              </w:rPr>
              <w:t xml:space="preserve"> </w:t>
            </w:r>
            <w:r w:rsidRPr="0053423A">
              <w:rPr>
                <w:rFonts w:cs="Sylfaen"/>
                <w:lang w:val="hy-AM"/>
              </w:rPr>
              <w:t>կառավարության</w:t>
            </w:r>
            <w:r w:rsidRPr="0053423A">
              <w:rPr>
                <w:lang w:val="hy-AM"/>
              </w:rPr>
              <w:t xml:space="preserve"> </w:t>
            </w:r>
            <w:r w:rsidRPr="0053423A">
              <w:rPr>
                <w:rFonts w:cs="Sylfaen"/>
                <w:lang w:val="hy-AM"/>
              </w:rPr>
              <w:t>որոշման</w:t>
            </w:r>
            <w:r w:rsidRPr="0053423A">
              <w:rPr>
                <w:lang w:val="hy-AM"/>
              </w:rPr>
              <w:t xml:space="preserve"> </w:t>
            </w:r>
            <w:r w:rsidRPr="0053423A">
              <w:rPr>
                <w:rFonts w:cs="Sylfaen"/>
                <w:lang w:val="hy-AM"/>
              </w:rPr>
              <w:t>նախագծի</w:t>
            </w:r>
            <w:r w:rsidRPr="0053423A">
              <w:rPr>
                <w:lang w:val="hy-AM"/>
              </w:rPr>
              <w:t xml:space="preserve"> </w:t>
            </w:r>
            <w:r w:rsidRPr="0053423A">
              <w:rPr>
                <w:rFonts w:cs="Sylfaen"/>
                <w:lang w:val="hy-AM"/>
              </w:rPr>
              <w:t>ընդունման</w:t>
            </w:r>
            <w:r w:rsidRPr="0053423A">
              <w:rPr>
                <w:lang w:val="hy-AM"/>
              </w:rPr>
              <w:t xml:space="preserve"> </w:t>
            </w:r>
            <w:r w:rsidRPr="0053423A">
              <w:rPr>
                <w:rFonts w:cs="Sylfaen"/>
                <w:lang w:val="hy-AM"/>
              </w:rPr>
              <w:t>անհրաժեշտությունը</w:t>
            </w:r>
            <w:r w:rsidRPr="0053423A">
              <w:rPr>
                <w:lang w:val="hy-AM"/>
              </w:rPr>
              <w:t xml:space="preserve"> </w:t>
            </w:r>
            <w:r w:rsidRPr="0053423A">
              <w:rPr>
                <w:rFonts w:cs="Sylfaen"/>
                <w:lang w:val="hy-AM"/>
              </w:rPr>
              <w:t>բխում</w:t>
            </w:r>
            <w:r w:rsidRPr="0053423A">
              <w:rPr>
                <w:lang w:val="hy-AM"/>
              </w:rPr>
              <w:t xml:space="preserve"> </w:t>
            </w:r>
            <w:r w:rsidRPr="0053423A">
              <w:rPr>
                <w:rFonts w:cs="Sylfaen"/>
                <w:lang w:val="hy-AM"/>
              </w:rPr>
              <w:t>է</w:t>
            </w:r>
            <w:r w:rsidRPr="0053423A">
              <w:rPr>
                <w:lang w:val="hy-AM"/>
              </w:rPr>
              <w:t xml:space="preserve">  </w:t>
            </w:r>
            <w:r w:rsidRPr="0053423A">
              <w:rPr>
                <w:rFonts w:cs="Arial Armenian"/>
                <w:lang w:val="hy-AM"/>
              </w:rPr>
              <w:t>«</w:t>
            </w:r>
            <w:r w:rsidRPr="0053423A">
              <w:rPr>
                <w:rFonts w:cs="Sylfaen"/>
                <w:lang w:val="hy-AM"/>
              </w:rPr>
              <w:t>Մարդու</w:t>
            </w: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դրա</w:t>
            </w:r>
            <w:r w:rsidRPr="0053423A">
              <w:rPr>
                <w:lang w:val="hy-AM"/>
              </w:rPr>
              <w:t xml:space="preserve"> </w:t>
            </w:r>
            <w:r w:rsidRPr="0053423A">
              <w:rPr>
                <w:rFonts w:cs="Sylfaen"/>
                <w:lang w:val="hy-AM"/>
              </w:rPr>
              <w:t>բաղադրամասերի</w:t>
            </w:r>
            <w:r w:rsidRPr="0053423A">
              <w:rPr>
                <w:lang w:val="hy-AM"/>
              </w:rPr>
              <w:t xml:space="preserve"> </w:t>
            </w:r>
            <w:r w:rsidRPr="0053423A">
              <w:rPr>
                <w:rFonts w:cs="Sylfaen"/>
                <w:lang w:val="hy-AM"/>
              </w:rPr>
              <w:t>դոնորության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փոխներարկումային</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օգնության</w:t>
            </w:r>
            <w:r w:rsidRPr="0053423A">
              <w:rPr>
                <w:lang w:val="hy-AM"/>
              </w:rPr>
              <w:t xml:space="preserve"> </w:t>
            </w:r>
            <w:r w:rsidRPr="0053423A">
              <w:rPr>
                <w:rFonts w:cs="Sylfaen"/>
                <w:lang w:val="hy-AM"/>
              </w:rPr>
              <w:t>մասին</w:t>
            </w:r>
            <w:r w:rsidRPr="0053423A">
              <w:rPr>
                <w:rFonts w:cs="Arial Armenian"/>
                <w:lang w:val="hy-AM"/>
              </w:rPr>
              <w:t>»</w:t>
            </w:r>
            <w:r w:rsidRPr="0053423A">
              <w:rPr>
                <w:lang w:val="hy-AM"/>
              </w:rPr>
              <w:t xml:space="preserve"> </w:t>
            </w:r>
            <w:r w:rsidRPr="0053423A">
              <w:rPr>
                <w:rFonts w:cs="Sylfaen"/>
                <w:lang w:val="hy-AM"/>
              </w:rPr>
              <w:t>Հայաստանի</w:t>
            </w:r>
            <w:r w:rsidRPr="0053423A">
              <w:rPr>
                <w:lang w:val="hy-AM"/>
              </w:rPr>
              <w:t xml:space="preserve"> </w:t>
            </w:r>
            <w:r w:rsidRPr="0053423A">
              <w:rPr>
                <w:rFonts w:cs="Sylfaen"/>
                <w:lang w:val="hy-AM"/>
              </w:rPr>
              <w:t>Հանրապետության</w:t>
            </w:r>
            <w:r w:rsidRPr="0053423A">
              <w:rPr>
                <w:lang w:val="hy-AM"/>
              </w:rPr>
              <w:t xml:space="preserve"> </w:t>
            </w:r>
            <w:r w:rsidRPr="0053423A">
              <w:rPr>
                <w:rFonts w:cs="Sylfaen"/>
                <w:lang w:val="hy-AM"/>
              </w:rPr>
              <w:t>օրենքի</w:t>
            </w:r>
            <w:r w:rsidRPr="0053423A">
              <w:rPr>
                <w:lang w:val="hy-AM"/>
              </w:rPr>
              <w:t xml:space="preserve"> </w:t>
            </w:r>
            <w:r w:rsidRPr="0053423A">
              <w:rPr>
                <w:rFonts w:cs="Sylfaen"/>
                <w:lang w:val="hy-AM"/>
              </w:rPr>
              <w:t>պահանջներից</w:t>
            </w:r>
            <w:r w:rsidRPr="0053423A">
              <w:rPr>
                <w:lang w:val="hy-AM"/>
              </w:rPr>
              <w:t xml:space="preserve"> (</w:t>
            </w:r>
            <w:r w:rsidRPr="0053423A">
              <w:rPr>
                <w:rFonts w:cs="Sylfaen"/>
                <w:lang w:val="hy-AM"/>
              </w:rPr>
              <w:t>հոդված</w:t>
            </w:r>
            <w:r w:rsidRPr="0053423A">
              <w:rPr>
                <w:lang w:val="hy-AM"/>
              </w:rPr>
              <w:t xml:space="preserve"> 6, </w:t>
            </w:r>
            <w:r w:rsidRPr="0053423A">
              <w:rPr>
                <w:rFonts w:cs="Sylfaen"/>
                <w:lang w:val="hy-AM"/>
              </w:rPr>
              <w:t>մաս</w:t>
            </w:r>
            <w:r w:rsidRPr="0053423A">
              <w:rPr>
                <w:lang w:val="hy-AM"/>
              </w:rPr>
              <w:t xml:space="preserve"> 1, </w:t>
            </w:r>
            <w:r w:rsidRPr="0053423A">
              <w:rPr>
                <w:rFonts w:cs="Sylfaen"/>
                <w:lang w:val="hy-AM"/>
              </w:rPr>
              <w:t>կետ</w:t>
            </w:r>
            <w:r w:rsidRPr="0053423A">
              <w:rPr>
                <w:lang w:val="hy-AM"/>
              </w:rPr>
              <w:t xml:space="preserve"> 4)` </w:t>
            </w:r>
            <w:r w:rsidRPr="0053423A">
              <w:rPr>
                <w:rFonts w:cs="Sylfaen"/>
                <w:lang w:val="hy-AM"/>
              </w:rPr>
              <w:t>նպատակ</w:t>
            </w:r>
            <w:r w:rsidRPr="0053423A">
              <w:rPr>
                <w:lang w:val="hy-AM"/>
              </w:rPr>
              <w:t xml:space="preserve"> </w:t>
            </w:r>
            <w:r w:rsidRPr="0053423A">
              <w:rPr>
                <w:rFonts w:cs="Sylfaen"/>
                <w:lang w:val="hy-AM"/>
              </w:rPr>
              <w:t>ունենալով</w:t>
            </w:r>
            <w:r w:rsidRPr="0053423A">
              <w:rPr>
                <w:lang w:val="hy-AM"/>
              </w:rPr>
              <w:t xml:space="preserve"> </w:t>
            </w:r>
            <w:r w:rsidRPr="0053423A">
              <w:rPr>
                <w:rFonts w:cs="Sylfaen"/>
                <w:lang w:val="hy-AM"/>
              </w:rPr>
              <w:t>կանոնակարգել</w:t>
            </w: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ռեեստրի</w:t>
            </w:r>
            <w:r w:rsidRPr="0053423A">
              <w:rPr>
                <w:lang w:val="hy-AM"/>
              </w:rPr>
              <w:t xml:space="preserve"> </w:t>
            </w:r>
            <w:r w:rsidRPr="0053423A">
              <w:rPr>
                <w:rFonts w:cs="Sylfaen"/>
                <w:lang w:val="hy-AM"/>
              </w:rPr>
              <w:t>գործունեության</w:t>
            </w:r>
            <w:r w:rsidRPr="0053423A">
              <w:rPr>
                <w:lang w:val="hy-AM"/>
              </w:rPr>
              <w:t xml:space="preserve">, </w:t>
            </w:r>
            <w:r w:rsidRPr="0053423A">
              <w:rPr>
                <w:rFonts w:cs="Sylfaen"/>
                <w:lang w:val="hy-AM"/>
              </w:rPr>
              <w:t>դրանում</w:t>
            </w:r>
            <w:r w:rsidRPr="0053423A">
              <w:rPr>
                <w:lang w:val="hy-AM"/>
              </w:rPr>
              <w:t xml:space="preserve"> </w:t>
            </w:r>
            <w:r w:rsidRPr="0053423A">
              <w:rPr>
                <w:rFonts w:cs="Sylfaen"/>
                <w:lang w:val="hy-AM"/>
              </w:rPr>
              <w:t>տեղեկատվությունների</w:t>
            </w:r>
            <w:r w:rsidRPr="0053423A">
              <w:rPr>
                <w:lang w:val="hy-AM"/>
              </w:rPr>
              <w:t xml:space="preserve"> </w:t>
            </w:r>
            <w:r w:rsidRPr="0053423A">
              <w:rPr>
                <w:rFonts w:cs="Sylfaen"/>
                <w:lang w:val="hy-AM"/>
              </w:rPr>
              <w:t>գրանցման</w:t>
            </w:r>
            <w:r w:rsidRPr="0053423A">
              <w:rPr>
                <w:lang w:val="hy-AM"/>
              </w:rPr>
              <w:t xml:space="preserve">, </w:t>
            </w:r>
            <w:r w:rsidRPr="0053423A">
              <w:rPr>
                <w:rFonts w:cs="Sylfaen"/>
                <w:lang w:val="hy-AM"/>
              </w:rPr>
              <w:t>օգտագործման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տրամադրման</w:t>
            </w:r>
            <w:r w:rsidRPr="0053423A">
              <w:rPr>
                <w:lang w:val="hy-AM"/>
              </w:rPr>
              <w:t xml:space="preserve"> </w:t>
            </w:r>
            <w:r w:rsidRPr="0053423A">
              <w:rPr>
                <w:rFonts w:cs="Sylfaen"/>
                <w:lang w:val="hy-AM"/>
              </w:rPr>
              <w:t>հետ</w:t>
            </w:r>
            <w:r w:rsidRPr="0053423A">
              <w:rPr>
                <w:lang w:val="hy-AM"/>
              </w:rPr>
              <w:t xml:space="preserve"> </w:t>
            </w:r>
            <w:r w:rsidRPr="0053423A">
              <w:rPr>
                <w:rFonts w:cs="Sylfaen"/>
                <w:lang w:val="hy-AM"/>
              </w:rPr>
              <w:t>կապված</w:t>
            </w:r>
            <w:r w:rsidRPr="0053423A">
              <w:rPr>
                <w:lang w:val="hy-AM"/>
              </w:rPr>
              <w:t xml:space="preserve"> </w:t>
            </w:r>
            <w:r w:rsidRPr="0053423A">
              <w:rPr>
                <w:rFonts w:cs="Sylfaen"/>
                <w:lang w:val="hy-AM"/>
              </w:rPr>
              <w:t>հարաբերությունները</w:t>
            </w:r>
            <w:r w:rsidRPr="0053423A">
              <w:rPr>
                <w:lang w:val="hy-AM"/>
              </w:rPr>
              <w:t xml:space="preserve">: </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1.1. </w:t>
            </w:r>
            <w:r w:rsidRPr="0053423A">
              <w:rPr>
                <w:rFonts w:cs="Sylfaen"/>
                <w:b/>
                <w:lang w:val="hy-AM"/>
              </w:rPr>
              <w:t>Կարգավորման</w:t>
            </w:r>
            <w:r w:rsidRPr="0053423A">
              <w:rPr>
                <w:b/>
                <w:lang w:val="hy-AM"/>
              </w:rPr>
              <w:t xml:space="preserve"> </w:t>
            </w:r>
            <w:r w:rsidRPr="0053423A">
              <w:rPr>
                <w:rFonts w:cs="Sylfaen"/>
                <w:b/>
                <w:lang w:val="hy-AM"/>
              </w:rPr>
              <w:t>հարաբերությունների</w:t>
            </w:r>
            <w:r w:rsidRPr="0053423A">
              <w:rPr>
                <w:b/>
                <w:lang w:val="hy-AM"/>
              </w:rPr>
              <w:t xml:space="preserve"> </w:t>
            </w:r>
            <w:r w:rsidRPr="0053423A">
              <w:rPr>
                <w:rFonts w:cs="Sylfaen"/>
                <w:b/>
                <w:lang w:val="hy-AM"/>
              </w:rPr>
              <w:t>ներկա</w:t>
            </w:r>
            <w:r w:rsidRPr="0053423A">
              <w:rPr>
                <w:b/>
                <w:lang w:val="hy-AM"/>
              </w:rPr>
              <w:t xml:space="preserve"> </w:t>
            </w:r>
            <w:r w:rsidRPr="0053423A">
              <w:rPr>
                <w:rFonts w:cs="Sylfaen"/>
                <w:b/>
                <w:lang w:val="hy-AM"/>
              </w:rPr>
              <w:t>վիճակը</w:t>
            </w:r>
            <w:r w:rsidRPr="0053423A">
              <w:rPr>
                <w:b/>
                <w:lang w:val="hy-AM"/>
              </w:rPr>
              <w:t xml:space="preserve"> </w:t>
            </w:r>
            <w:r w:rsidRPr="0053423A">
              <w:rPr>
                <w:rFonts w:cs="Sylfaen"/>
                <w:b/>
                <w:lang w:val="hy-AM"/>
              </w:rPr>
              <w:t>և</w:t>
            </w:r>
            <w:r w:rsidRPr="0053423A">
              <w:rPr>
                <w:b/>
                <w:lang w:val="hy-AM"/>
              </w:rPr>
              <w:t xml:space="preserve"> </w:t>
            </w:r>
            <w:r w:rsidRPr="0053423A">
              <w:rPr>
                <w:rFonts w:cs="Sylfaen"/>
                <w:b/>
                <w:lang w:val="hy-AM"/>
              </w:rPr>
              <w:t>առկա</w:t>
            </w:r>
            <w:r w:rsidRPr="0053423A">
              <w:rPr>
                <w:b/>
                <w:lang w:val="hy-AM"/>
              </w:rPr>
              <w:t xml:space="preserve"> </w:t>
            </w:r>
            <w:r w:rsidRPr="0053423A">
              <w:rPr>
                <w:rFonts w:cs="Sylfaen"/>
                <w:b/>
                <w:lang w:val="hy-AM"/>
              </w:rPr>
              <w:t>խնդիրները</w:t>
            </w:r>
          </w:p>
          <w:p w:rsidR="00764E6F" w:rsidRPr="0053423A" w:rsidRDefault="00764E6F" w:rsidP="00A67858">
            <w:pPr>
              <w:spacing w:line="276" w:lineRule="auto"/>
              <w:jc w:val="both"/>
              <w:rPr>
                <w:lang w:val="hy-AM"/>
              </w:rPr>
            </w:pPr>
            <w:r w:rsidRPr="0053423A">
              <w:rPr>
                <w:rFonts w:cs="Sylfaen"/>
                <w:lang w:val="hy-AM"/>
              </w:rPr>
              <w:t xml:space="preserve">   ՀՀ</w:t>
            </w: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ծառայության</w:t>
            </w:r>
            <w:r w:rsidRPr="0053423A">
              <w:rPr>
                <w:lang w:val="hy-AM"/>
              </w:rPr>
              <w:t xml:space="preserve"> </w:t>
            </w:r>
            <w:r w:rsidRPr="0053423A">
              <w:rPr>
                <w:rFonts w:cs="Sylfaen"/>
                <w:lang w:val="hy-AM"/>
              </w:rPr>
              <w:t>ստորաբաժանումներում</w:t>
            </w:r>
            <w:r w:rsidRPr="0053423A">
              <w:rPr>
                <w:lang w:val="hy-AM"/>
              </w:rPr>
              <w:t xml:space="preserve"> </w:t>
            </w:r>
            <w:r w:rsidRPr="0053423A">
              <w:rPr>
                <w:rFonts w:cs="Sylfaen"/>
                <w:lang w:val="hy-AM"/>
              </w:rPr>
              <w:t>տարեկան</w:t>
            </w:r>
            <w:r w:rsidRPr="0053423A">
              <w:rPr>
                <w:lang w:val="hy-AM"/>
              </w:rPr>
              <w:t xml:space="preserve"> </w:t>
            </w:r>
            <w:r w:rsidRPr="0053423A">
              <w:rPr>
                <w:rFonts w:cs="Sylfaen"/>
                <w:lang w:val="hy-AM"/>
              </w:rPr>
              <w:t>մոտ</w:t>
            </w:r>
            <w:r w:rsidRPr="0053423A">
              <w:rPr>
                <w:lang w:val="hy-AM"/>
              </w:rPr>
              <w:t xml:space="preserve"> 10 000 </w:t>
            </w:r>
            <w:r w:rsidRPr="0053423A">
              <w:rPr>
                <w:rFonts w:cs="Sylfaen"/>
                <w:lang w:val="hy-AM"/>
              </w:rPr>
              <w:t>անձից</w:t>
            </w:r>
            <w:r w:rsidRPr="0053423A">
              <w:rPr>
                <w:lang w:val="hy-AM"/>
              </w:rPr>
              <w:t xml:space="preserve"> </w:t>
            </w:r>
            <w:r w:rsidRPr="0053423A">
              <w:rPr>
                <w:rFonts w:cs="Sylfaen"/>
                <w:lang w:val="hy-AM"/>
              </w:rPr>
              <w:t>հավաքվում</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ավելի</w:t>
            </w:r>
            <w:r w:rsidRPr="0053423A">
              <w:rPr>
                <w:lang w:val="hy-AM"/>
              </w:rPr>
              <w:t xml:space="preserve"> </w:t>
            </w:r>
            <w:r w:rsidRPr="0053423A">
              <w:rPr>
                <w:rFonts w:cs="Sylfaen"/>
                <w:lang w:val="hy-AM"/>
              </w:rPr>
              <w:t>քան</w:t>
            </w:r>
            <w:r w:rsidRPr="0053423A">
              <w:rPr>
                <w:lang w:val="hy-AM"/>
              </w:rPr>
              <w:t xml:space="preserve"> 25 000 </w:t>
            </w:r>
            <w:r w:rsidRPr="0053423A">
              <w:rPr>
                <w:rFonts w:cs="Sylfaen"/>
                <w:lang w:val="hy-AM"/>
              </w:rPr>
              <w:t>միավոր</w:t>
            </w: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բաղադրամաս</w:t>
            </w:r>
            <w:r w:rsidRPr="0053423A">
              <w:rPr>
                <w:lang w:val="hy-AM"/>
              </w:rPr>
              <w:t xml:space="preserve">: </w:t>
            </w:r>
            <w:r w:rsidRPr="0053423A">
              <w:rPr>
                <w:rFonts w:cs="Sylfaen"/>
                <w:lang w:val="hy-AM"/>
              </w:rPr>
              <w:t>Ներկայումս</w:t>
            </w:r>
            <w:r w:rsidRPr="0053423A">
              <w:rPr>
                <w:lang w:val="hy-AM"/>
              </w:rPr>
              <w:t xml:space="preserve"> </w:t>
            </w:r>
            <w:r w:rsidRPr="0053423A">
              <w:rPr>
                <w:rFonts w:cs="Sylfaen"/>
                <w:lang w:val="hy-AM"/>
              </w:rPr>
              <w:t>յուրաքանչյուր</w:t>
            </w:r>
            <w:r w:rsidRPr="0053423A">
              <w:rPr>
                <w:lang w:val="hy-AM"/>
              </w:rPr>
              <w:t xml:space="preserve"> </w:t>
            </w:r>
            <w:r w:rsidRPr="0053423A">
              <w:rPr>
                <w:rFonts w:cs="Sylfaen"/>
                <w:lang w:val="hy-AM"/>
              </w:rPr>
              <w:t>ստորաբաժանում</w:t>
            </w:r>
            <w:r w:rsidRPr="0053423A">
              <w:rPr>
                <w:lang w:val="hy-AM"/>
              </w:rPr>
              <w:t xml:space="preserve"> </w:t>
            </w:r>
            <w:r w:rsidRPr="0053423A">
              <w:rPr>
                <w:rFonts w:cs="Sylfaen"/>
                <w:lang w:val="hy-AM"/>
              </w:rPr>
              <w:t>գործում</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ինքնուրույն</w:t>
            </w:r>
            <w:r w:rsidRPr="0053423A">
              <w:rPr>
                <w:lang w:val="hy-AM"/>
              </w:rPr>
              <w:t xml:space="preserve">, </w:t>
            </w:r>
            <w:r w:rsidRPr="0053423A">
              <w:rPr>
                <w:rFonts w:cs="Sylfaen"/>
                <w:lang w:val="hy-AM"/>
              </w:rPr>
              <w:t>չեն</w:t>
            </w:r>
            <w:r w:rsidRPr="0053423A">
              <w:rPr>
                <w:lang w:val="hy-AM"/>
              </w:rPr>
              <w:t xml:space="preserve"> </w:t>
            </w:r>
            <w:r w:rsidRPr="0053423A">
              <w:rPr>
                <w:rFonts w:cs="Sylfaen"/>
                <w:lang w:val="hy-AM"/>
              </w:rPr>
              <w:t>տիրապետում</w:t>
            </w:r>
            <w:r w:rsidRPr="0053423A">
              <w:rPr>
                <w:lang w:val="hy-AM"/>
              </w:rPr>
              <w:t xml:space="preserve"> </w:t>
            </w:r>
            <w:r w:rsidRPr="0053423A">
              <w:rPr>
                <w:rFonts w:cs="Sylfaen"/>
                <w:lang w:val="hy-AM"/>
              </w:rPr>
              <w:t>այլ</w:t>
            </w:r>
            <w:r w:rsidRPr="0053423A">
              <w:rPr>
                <w:lang w:val="hy-AM"/>
              </w:rPr>
              <w:t xml:space="preserve"> </w:t>
            </w:r>
            <w:r w:rsidRPr="0053423A">
              <w:rPr>
                <w:rFonts w:cs="Sylfaen"/>
                <w:lang w:val="hy-AM"/>
              </w:rPr>
              <w:t>ստորաբաժանումներում</w:t>
            </w:r>
            <w:r w:rsidRPr="0053423A">
              <w:rPr>
                <w:lang w:val="hy-AM"/>
              </w:rPr>
              <w:t xml:space="preserve"> </w:t>
            </w:r>
            <w:r w:rsidRPr="0053423A">
              <w:rPr>
                <w:rFonts w:cs="Sylfaen"/>
                <w:lang w:val="hy-AM"/>
              </w:rPr>
              <w:t>առկա</w:t>
            </w:r>
            <w:r w:rsidRPr="0053423A">
              <w:rPr>
                <w:lang w:val="hy-AM"/>
              </w:rPr>
              <w:t xml:space="preserve"> </w:t>
            </w:r>
            <w:r w:rsidRPr="0053423A">
              <w:rPr>
                <w:rFonts w:cs="Sylfaen"/>
                <w:lang w:val="hy-AM"/>
              </w:rPr>
              <w:t>պաշարների</w:t>
            </w:r>
            <w:r w:rsidRPr="0053423A">
              <w:rPr>
                <w:lang w:val="hy-AM"/>
              </w:rPr>
              <w:t xml:space="preserve"> </w:t>
            </w:r>
            <w:r w:rsidRPr="0053423A">
              <w:rPr>
                <w:rFonts w:cs="Sylfaen"/>
                <w:lang w:val="hy-AM"/>
              </w:rPr>
              <w:t>վերաբերյալ</w:t>
            </w:r>
            <w:r w:rsidRPr="0053423A">
              <w:rPr>
                <w:lang w:val="hy-AM"/>
              </w:rPr>
              <w:t xml:space="preserve"> </w:t>
            </w:r>
            <w:r w:rsidRPr="0053423A">
              <w:rPr>
                <w:rFonts w:cs="Sylfaen"/>
                <w:lang w:val="hy-AM"/>
              </w:rPr>
              <w:t>տեղեկատվությանը</w:t>
            </w:r>
            <w:r w:rsidRPr="0053423A">
              <w:rPr>
                <w:lang w:val="hy-AM"/>
              </w:rPr>
              <w:t xml:space="preserve">, </w:t>
            </w:r>
            <w:r w:rsidRPr="0053423A">
              <w:rPr>
                <w:rFonts w:cs="Sylfaen"/>
                <w:lang w:val="hy-AM"/>
              </w:rPr>
              <w:t>ինչի</w:t>
            </w:r>
            <w:r w:rsidRPr="0053423A">
              <w:rPr>
                <w:lang w:val="hy-AM"/>
              </w:rPr>
              <w:t xml:space="preserve"> </w:t>
            </w:r>
            <w:r w:rsidRPr="0053423A">
              <w:rPr>
                <w:rFonts w:cs="Sylfaen"/>
                <w:lang w:val="hy-AM"/>
              </w:rPr>
              <w:t>հետևանքով</w:t>
            </w:r>
            <w:r w:rsidRPr="0053423A">
              <w:rPr>
                <w:lang w:val="hy-AM"/>
              </w:rPr>
              <w:t xml:space="preserve"> </w:t>
            </w:r>
            <w:r w:rsidRPr="0053423A">
              <w:rPr>
                <w:rFonts w:cs="Sylfaen"/>
                <w:lang w:val="hy-AM"/>
              </w:rPr>
              <w:t>հնարավոր</w:t>
            </w:r>
            <w:r w:rsidRPr="0053423A">
              <w:rPr>
                <w:lang w:val="hy-AM"/>
              </w:rPr>
              <w:t xml:space="preserve"> </w:t>
            </w:r>
            <w:r w:rsidRPr="0053423A">
              <w:rPr>
                <w:rFonts w:cs="Sylfaen"/>
                <w:lang w:val="hy-AM"/>
              </w:rPr>
              <w:t>չէ</w:t>
            </w:r>
            <w:r w:rsidRPr="0053423A">
              <w:rPr>
                <w:lang w:val="hy-AM"/>
              </w:rPr>
              <w:t xml:space="preserve"> </w:t>
            </w:r>
            <w:r w:rsidRPr="0053423A">
              <w:rPr>
                <w:rFonts w:cs="Sylfaen"/>
                <w:lang w:val="hy-AM"/>
              </w:rPr>
              <w:t>օպերատիվ</w:t>
            </w:r>
            <w:r w:rsidRPr="0053423A">
              <w:rPr>
                <w:lang w:val="hy-AM"/>
              </w:rPr>
              <w:t xml:space="preserve"> </w:t>
            </w:r>
            <w:r w:rsidRPr="0053423A">
              <w:rPr>
                <w:rFonts w:cs="Sylfaen"/>
                <w:lang w:val="hy-AM"/>
              </w:rPr>
              <w:t>կերպով</w:t>
            </w:r>
            <w:r w:rsidRPr="0053423A">
              <w:rPr>
                <w:lang w:val="hy-AM"/>
              </w:rPr>
              <w:t xml:space="preserve"> </w:t>
            </w:r>
            <w:r w:rsidRPr="0053423A">
              <w:rPr>
                <w:rFonts w:cs="Sylfaen"/>
                <w:lang w:val="hy-AM"/>
              </w:rPr>
              <w:t>ճշտել</w:t>
            </w:r>
            <w:r w:rsidRPr="0053423A">
              <w:rPr>
                <w:lang w:val="hy-AM"/>
              </w:rPr>
              <w:t xml:space="preserve"> </w:t>
            </w:r>
            <w:r w:rsidRPr="0053423A">
              <w:rPr>
                <w:rFonts w:cs="Sylfaen"/>
                <w:lang w:val="hy-AM"/>
              </w:rPr>
              <w:t>անհրաժեշտ</w:t>
            </w:r>
            <w:r w:rsidRPr="0053423A">
              <w:rPr>
                <w:lang w:val="hy-AM"/>
              </w:rPr>
              <w:t xml:space="preserve"> </w:t>
            </w:r>
            <w:r w:rsidRPr="0053423A">
              <w:rPr>
                <w:rFonts w:cs="Sylfaen"/>
                <w:lang w:val="hy-AM"/>
              </w:rPr>
              <w:t>բաղադրամասի</w:t>
            </w:r>
            <w:r w:rsidRPr="0053423A">
              <w:rPr>
                <w:lang w:val="hy-AM"/>
              </w:rPr>
              <w:t xml:space="preserve"> </w:t>
            </w:r>
            <w:r w:rsidRPr="0053423A">
              <w:rPr>
                <w:rFonts w:cs="Sylfaen"/>
                <w:lang w:val="hy-AM"/>
              </w:rPr>
              <w:t>առկայությունը</w:t>
            </w:r>
            <w:r w:rsidRPr="0053423A">
              <w:rPr>
                <w:lang w:val="hy-AM"/>
              </w:rPr>
              <w:t xml:space="preserve">: </w:t>
            </w:r>
            <w:r w:rsidRPr="0053423A">
              <w:rPr>
                <w:rFonts w:cs="Sylfaen"/>
                <w:lang w:val="hy-AM"/>
              </w:rPr>
              <w:t>Բացի</w:t>
            </w:r>
            <w:r w:rsidRPr="0053423A">
              <w:rPr>
                <w:lang w:val="hy-AM"/>
              </w:rPr>
              <w:t xml:space="preserve"> </w:t>
            </w:r>
            <w:r w:rsidRPr="0053423A">
              <w:rPr>
                <w:rFonts w:cs="Sylfaen"/>
                <w:lang w:val="hy-AM"/>
              </w:rPr>
              <w:t>այդ</w:t>
            </w:r>
            <w:r w:rsidRPr="0053423A">
              <w:rPr>
                <w:lang w:val="hy-AM"/>
              </w:rPr>
              <w:t xml:space="preserve">, </w:t>
            </w:r>
            <w:r w:rsidRPr="0053423A">
              <w:rPr>
                <w:rFonts w:cs="Sylfaen"/>
                <w:lang w:val="hy-AM"/>
              </w:rPr>
              <w:t>բավականին</w:t>
            </w:r>
            <w:r w:rsidRPr="0053423A">
              <w:rPr>
                <w:lang w:val="hy-AM"/>
              </w:rPr>
              <w:t xml:space="preserve"> </w:t>
            </w:r>
            <w:r w:rsidRPr="0053423A">
              <w:rPr>
                <w:rFonts w:cs="Sylfaen"/>
                <w:lang w:val="hy-AM"/>
              </w:rPr>
              <w:t>բարձր</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բաղադրամասերի</w:t>
            </w:r>
            <w:r w:rsidRPr="0053423A">
              <w:rPr>
                <w:lang w:val="hy-AM"/>
              </w:rPr>
              <w:t xml:space="preserve"> </w:t>
            </w:r>
            <w:r w:rsidRPr="0053423A">
              <w:rPr>
                <w:rFonts w:cs="Sylfaen"/>
                <w:lang w:val="hy-AM"/>
              </w:rPr>
              <w:t>խոտանումը</w:t>
            </w:r>
            <w:r w:rsidRPr="0053423A">
              <w:rPr>
                <w:lang w:val="hy-AM"/>
              </w:rPr>
              <w:t xml:space="preserve"> </w:t>
            </w:r>
            <w:r w:rsidRPr="0053423A">
              <w:rPr>
                <w:rFonts w:cs="Sylfaen"/>
                <w:lang w:val="hy-AM"/>
              </w:rPr>
              <w:t>ժամկետը</w:t>
            </w:r>
            <w:r w:rsidRPr="0053423A">
              <w:rPr>
                <w:lang w:val="hy-AM"/>
              </w:rPr>
              <w:t xml:space="preserve"> </w:t>
            </w:r>
            <w:r w:rsidRPr="0053423A">
              <w:rPr>
                <w:rFonts w:cs="Sylfaen"/>
                <w:lang w:val="hy-AM"/>
              </w:rPr>
              <w:t>լրանալու</w:t>
            </w:r>
            <w:r w:rsidRPr="0053423A">
              <w:rPr>
                <w:lang w:val="hy-AM"/>
              </w:rPr>
              <w:t xml:space="preserve"> </w:t>
            </w:r>
            <w:r w:rsidRPr="0053423A">
              <w:rPr>
                <w:rFonts w:cs="Sylfaen"/>
                <w:lang w:val="hy-AM"/>
              </w:rPr>
              <w:t>պատճառով</w:t>
            </w:r>
            <w:r w:rsidRPr="0053423A">
              <w:rPr>
                <w:lang w:val="hy-AM"/>
              </w:rPr>
              <w:t xml:space="preserve">: </w:t>
            </w:r>
          </w:p>
          <w:p w:rsidR="00764E6F" w:rsidRPr="0053423A" w:rsidRDefault="00764E6F" w:rsidP="00A67858">
            <w:pPr>
              <w:spacing w:line="276" w:lineRule="auto"/>
              <w:jc w:val="both"/>
              <w:rPr>
                <w:lang w:val="hy-AM"/>
              </w:rPr>
            </w:pPr>
            <w:r w:rsidRPr="0053423A">
              <w:rPr>
                <w:rFonts w:cs="Sylfaen"/>
                <w:lang w:val="hy-AM"/>
              </w:rPr>
              <w:t>Արյան</w:t>
            </w:r>
            <w:r w:rsidRPr="0053423A">
              <w:rPr>
                <w:lang w:val="hy-AM"/>
              </w:rPr>
              <w:t xml:space="preserve"> </w:t>
            </w:r>
            <w:r w:rsidRPr="0053423A">
              <w:rPr>
                <w:rFonts w:cs="Sylfaen"/>
                <w:lang w:val="hy-AM"/>
              </w:rPr>
              <w:t>ծառայության</w:t>
            </w:r>
            <w:r w:rsidRPr="0053423A">
              <w:rPr>
                <w:lang w:val="hy-AM"/>
              </w:rPr>
              <w:t xml:space="preserve"> </w:t>
            </w:r>
            <w:r w:rsidRPr="0053423A">
              <w:rPr>
                <w:rFonts w:cs="Sylfaen"/>
                <w:lang w:val="hy-AM"/>
              </w:rPr>
              <w:t>ստորաբաժանումների</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ՁԻԱՀ</w:t>
            </w:r>
            <w:r w:rsidRPr="0053423A">
              <w:rPr>
                <w:lang w:val="hy-AM"/>
              </w:rPr>
              <w:t>-</w:t>
            </w:r>
            <w:r w:rsidRPr="0053423A">
              <w:rPr>
                <w:rFonts w:cs="Sylfaen"/>
                <w:lang w:val="hy-AM"/>
              </w:rPr>
              <w:t>ի</w:t>
            </w:r>
            <w:r w:rsidRPr="0053423A">
              <w:rPr>
                <w:lang w:val="hy-AM"/>
              </w:rPr>
              <w:t xml:space="preserve"> </w:t>
            </w:r>
            <w:r w:rsidRPr="0053423A">
              <w:rPr>
                <w:rFonts w:cs="Sylfaen"/>
                <w:lang w:val="hy-AM"/>
              </w:rPr>
              <w:t>կանխարգելման</w:t>
            </w:r>
            <w:r w:rsidRPr="0053423A">
              <w:rPr>
                <w:lang w:val="hy-AM"/>
              </w:rPr>
              <w:t xml:space="preserve"> </w:t>
            </w:r>
            <w:r w:rsidRPr="0053423A">
              <w:rPr>
                <w:rFonts w:cs="Sylfaen"/>
                <w:lang w:val="hy-AM"/>
              </w:rPr>
              <w:t>հանրապետական</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Մաշկային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սեռավարակաբանական</w:t>
            </w:r>
            <w:r w:rsidRPr="0053423A">
              <w:rPr>
                <w:lang w:val="hy-AM"/>
              </w:rPr>
              <w:t xml:space="preserve"> </w:t>
            </w:r>
            <w:r w:rsidRPr="0053423A">
              <w:rPr>
                <w:rFonts w:cs="Sylfaen"/>
                <w:lang w:val="hy-AM"/>
              </w:rPr>
              <w:t>գիտաբժշկական</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Հիվանդությունների</w:t>
            </w:r>
            <w:r w:rsidRPr="0053423A">
              <w:rPr>
                <w:lang w:val="hy-AM"/>
              </w:rPr>
              <w:t xml:space="preserve"> </w:t>
            </w:r>
            <w:r w:rsidRPr="0053423A">
              <w:rPr>
                <w:rFonts w:cs="Sylfaen"/>
                <w:lang w:val="hy-AM"/>
              </w:rPr>
              <w:t>վերահսկման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կանխարգելման</w:t>
            </w:r>
            <w:r w:rsidRPr="0053423A">
              <w:rPr>
                <w:lang w:val="hy-AM"/>
              </w:rPr>
              <w:t xml:space="preserve"> </w:t>
            </w:r>
            <w:r w:rsidRPr="0053423A">
              <w:rPr>
                <w:rFonts w:cs="Sylfaen"/>
                <w:lang w:val="hy-AM"/>
              </w:rPr>
              <w:t>ազգային</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Տուբերկուլոզի</w:t>
            </w:r>
            <w:r w:rsidRPr="0053423A">
              <w:rPr>
                <w:lang w:val="hy-AM"/>
              </w:rPr>
              <w:t xml:space="preserve"> </w:t>
            </w:r>
            <w:r w:rsidRPr="0053423A">
              <w:rPr>
                <w:rFonts w:cs="Sylfaen"/>
                <w:lang w:val="hy-AM"/>
              </w:rPr>
              <w:t>դեմ</w:t>
            </w:r>
            <w:r w:rsidRPr="0053423A">
              <w:rPr>
                <w:lang w:val="hy-AM"/>
              </w:rPr>
              <w:t xml:space="preserve"> </w:t>
            </w:r>
            <w:r w:rsidRPr="0053423A">
              <w:rPr>
                <w:rFonts w:cs="Sylfaen"/>
                <w:lang w:val="hy-AM"/>
              </w:rPr>
              <w:t>պայքարի</w:t>
            </w:r>
            <w:r w:rsidRPr="0053423A">
              <w:rPr>
                <w:lang w:val="hy-AM"/>
              </w:rPr>
              <w:t xml:space="preserve"> </w:t>
            </w:r>
            <w:r w:rsidRPr="0053423A">
              <w:rPr>
                <w:rFonts w:cs="Sylfaen"/>
                <w:lang w:val="hy-AM"/>
              </w:rPr>
              <w:t>ազգային</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միջև</w:t>
            </w:r>
            <w:r w:rsidRPr="0053423A">
              <w:rPr>
                <w:lang w:val="hy-AM"/>
              </w:rPr>
              <w:t xml:space="preserve"> </w:t>
            </w:r>
            <w:r w:rsidRPr="0053423A">
              <w:rPr>
                <w:rFonts w:cs="Sylfaen"/>
                <w:lang w:val="hy-AM"/>
              </w:rPr>
              <w:t>կապի</w:t>
            </w:r>
            <w:r w:rsidRPr="0053423A">
              <w:rPr>
                <w:lang w:val="hy-AM"/>
              </w:rPr>
              <w:t xml:space="preserve"> </w:t>
            </w:r>
            <w:r w:rsidRPr="0053423A">
              <w:rPr>
                <w:rFonts w:cs="Sylfaen"/>
                <w:lang w:val="hy-AM"/>
              </w:rPr>
              <w:t>բացակայության</w:t>
            </w:r>
            <w:r w:rsidRPr="0053423A">
              <w:rPr>
                <w:lang w:val="hy-AM"/>
              </w:rPr>
              <w:t xml:space="preserve"> </w:t>
            </w:r>
            <w:r w:rsidRPr="0053423A">
              <w:rPr>
                <w:rFonts w:cs="Sylfaen"/>
                <w:lang w:val="hy-AM"/>
              </w:rPr>
              <w:t>պարագայում</w:t>
            </w:r>
            <w:r w:rsidRPr="0053423A">
              <w:rPr>
                <w:lang w:val="hy-AM"/>
              </w:rPr>
              <w:t xml:space="preserve"> </w:t>
            </w:r>
            <w:r w:rsidRPr="0053423A">
              <w:rPr>
                <w:rFonts w:cs="Sylfaen"/>
                <w:lang w:val="hy-AM"/>
              </w:rPr>
              <w:t>բարդանում</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դոնորների</w:t>
            </w:r>
            <w:r w:rsidRPr="0053423A">
              <w:rPr>
                <w:lang w:val="hy-AM"/>
              </w:rPr>
              <w:t xml:space="preserve"> </w:t>
            </w:r>
            <w:r w:rsidRPr="0053423A">
              <w:rPr>
                <w:rFonts w:cs="Sylfaen"/>
                <w:lang w:val="hy-AM"/>
              </w:rPr>
              <w:t>ընտրության</w:t>
            </w:r>
            <w:r w:rsidRPr="0053423A">
              <w:rPr>
                <w:lang w:val="hy-AM"/>
              </w:rPr>
              <w:t xml:space="preserve"> </w:t>
            </w:r>
            <w:r w:rsidRPr="0053423A">
              <w:rPr>
                <w:rFonts w:cs="Sylfaen"/>
                <w:lang w:val="hy-AM"/>
              </w:rPr>
              <w:t>հարցը</w:t>
            </w:r>
            <w:r w:rsidRPr="0053423A">
              <w:rPr>
                <w:lang w:val="hy-AM"/>
              </w:rPr>
              <w:t xml:space="preserve">, </w:t>
            </w:r>
            <w:r w:rsidRPr="0053423A">
              <w:rPr>
                <w:rFonts w:cs="Sylfaen"/>
                <w:lang w:val="hy-AM"/>
              </w:rPr>
              <w:t>դժվարանում</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վարակակիր</w:t>
            </w:r>
            <w:r w:rsidRPr="0053423A">
              <w:rPr>
                <w:lang w:val="hy-AM"/>
              </w:rPr>
              <w:t xml:space="preserve"> </w:t>
            </w:r>
            <w:r w:rsidRPr="0053423A">
              <w:rPr>
                <w:rFonts w:cs="Sylfaen"/>
                <w:lang w:val="hy-AM"/>
              </w:rPr>
              <w:t>անձանց</w:t>
            </w:r>
            <w:r w:rsidRPr="0053423A">
              <w:rPr>
                <w:lang w:val="hy-AM"/>
              </w:rPr>
              <w:t xml:space="preserve"> </w:t>
            </w:r>
            <w:r w:rsidRPr="0053423A">
              <w:rPr>
                <w:rFonts w:cs="Sylfaen"/>
                <w:lang w:val="hy-AM"/>
              </w:rPr>
              <w:t>հայտնաբերումը</w:t>
            </w:r>
            <w:r w:rsidRPr="0053423A">
              <w:rPr>
                <w:lang w:val="hy-AM"/>
              </w:rPr>
              <w:t xml:space="preserve">, </w:t>
            </w:r>
            <w:r w:rsidRPr="0053423A">
              <w:rPr>
                <w:rFonts w:cs="Sylfaen"/>
                <w:lang w:val="hy-AM"/>
              </w:rPr>
              <w:t>ինչը</w:t>
            </w:r>
            <w:r w:rsidRPr="0053423A">
              <w:rPr>
                <w:lang w:val="hy-AM"/>
              </w:rPr>
              <w:t xml:space="preserve"> </w:t>
            </w:r>
            <w:r w:rsidRPr="0053423A">
              <w:rPr>
                <w:rFonts w:cs="Sylfaen"/>
                <w:lang w:val="hy-AM"/>
              </w:rPr>
              <w:t>բերում</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լրացուցիչ</w:t>
            </w:r>
            <w:r w:rsidRPr="0053423A">
              <w:rPr>
                <w:lang w:val="hy-AM"/>
              </w:rPr>
              <w:t xml:space="preserve"> </w:t>
            </w:r>
            <w:r w:rsidRPr="0053423A">
              <w:rPr>
                <w:rFonts w:cs="Sylfaen"/>
                <w:lang w:val="hy-AM"/>
              </w:rPr>
              <w:t>ֆինանսական</w:t>
            </w:r>
            <w:r w:rsidRPr="0053423A">
              <w:rPr>
                <w:lang w:val="hy-AM"/>
              </w:rPr>
              <w:t xml:space="preserve"> </w:t>
            </w:r>
            <w:r w:rsidRPr="0053423A">
              <w:rPr>
                <w:rFonts w:cs="Sylfaen"/>
                <w:lang w:val="hy-AM"/>
              </w:rPr>
              <w:t>ծախսերի</w:t>
            </w:r>
            <w:r w:rsidRPr="0053423A">
              <w:rPr>
                <w:lang w:val="hy-AM"/>
              </w:rPr>
              <w:t>:</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1.2 </w:t>
            </w:r>
            <w:r w:rsidRPr="0053423A">
              <w:rPr>
                <w:rFonts w:cs="Sylfaen"/>
                <w:b/>
                <w:lang w:val="hy-AM"/>
              </w:rPr>
              <w:t>Առկա</w:t>
            </w:r>
            <w:r w:rsidRPr="0053423A">
              <w:rPr>
                <w:b/>
                <w:lang w:val="hy-AM"/>
              </w:rPr>
              <w:t xml:space="preserve"> </w:t>
            </w:r>
            <w:r w:rsidRPr="0053423A">
              <w:rPr>
                <w:rFonts w:cs="Sylfaen"/>
                <w:b/>
                <w:lang w:val="hy-AM"/>
              </w:rPr>
              <w:t>խնդիրների</w:t>
            </w:r>
            <w:r w:rsidRPr="0053423A">
              <w:rPr>
                <w:b/>
                <w:lang w:val="hy-AM"/>
              </w:rPr>
              <w:t xml:space="preserve"> </w:t>
            </w:r>
            <w:r w:rsidRPr="0053423A">
              <w:rPr>
                <w:rFonts w:cs="Sylfaen"/>
                <w:b/>
                <w:lang w:val="hy-AM"/>
              </w:rPr>
              <w:t>առաջարկվող</w:t>
            </w:r>
            <w:r w:rsidRPr="0053423A">
              <w:rPr>
                <w:b/>
                <w:lang w:val="hy-AM"/>
              </w:rPr>
              <w:t xml:space="preserve"> </w:t>
            </w:r>
            <w:r w:rsidRPr="0053423A">
              <w:rPr>
                <w:rFonts w:cs="Sylfaen"/>
                <w:b/>
                <w:lang w:val="hy-AM"/>
              </w:rPr>
              <w:t>լուծումները</w:t>
            </w:r>
          </w:p>
          <w:p w:rsidR="00764E6F" w:rsidRPr="0053423A" w:rsidRDefault="00764E6F" w:rsidP="00A67858">
            <w:pPr>
              <w:spacing w:line="276" w:lineRule="auto"/>
              <w:jc w:val="both"/>
              <w:rPr>
                <w:lang w:val="hy-AM"/>
              </w:rPr>
            </w:pPr>
            <w:r w:rsidRPr="0053423A">
              <w:rPr>
                <w:rFonts w:cs="Sylfaen"/>
                <w:lang w:val="hy-AM"/>
              </w:rPr>
              <w:t xml:space="preserve">   Արյան</w:t>
            </w:r>
            <w:r w:rsidRPr="0053423A">
              <w:rPr>
                <w:lang w:val="hy-AM"/>
              </w:rPr>
              <w:t xml:space="preserve"> </w:t>
            </w:r>
            <w:r w:rsidRPr="0053423A">
              <w:rPr>
                <w:rFonts w:cs="Sylfaen"/>
                <w:lang w:val="hy-AM"/>
              </w:rPr>
              <w:t>ռեեստրի</w:t>
            </w:r>
            <w:r w:rsidRPr="0053423A">
              <w:rPr>
                <w:lang w:val="hy-AM"/>
              </w:rPr>
              <w:t xml:space="preserve"> </w:t>
            </w:r>
            <w:r w:rsidRPr="0053423A">
              <w:rPr>
                <w:rFonts w:cs="Sylfaen"/>
                <w:lang w:val="hy-AM"/>
              </w:rPr>
              <w:t>ստեղծման</w:t>
            </w:r>
            <w:r w:rsidRPr="0053423A">
              <w:rPr>
                <w:lang w:val="hy-AM"/>
              </w:rPr>
              <w:t xml:space="preserve">  </w:t>
            </w:r>
            <w:r w:rsidRPr="0053423A">
              <w:rPr>
                <w:rFonts w:cs="Sylfaen"/>
                <w:lang w:val="hy-AM"/>
              </w:rPr>
              <w:t>արդյունքում</w:t>
            </w: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ծառայության</w:t>
            </w:r>
            <w:r w:rsidRPr="0053423A">
              <w:rPr>
                <w:lang w:val="hy-AM"/>
              </w:rPr>
              <w:t xml:space="preserve"> </w:t>
            </w:r>
            <w:r w:rsidRPr="0053423A">
              <w:rPr>
                <w:rFonts w:cs="Sylfaen"/>
                <w:lang w:val="hy-AM"/>
              </w:rPr>
              <w:t>ստորաբաժանումները</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փոխներարկումային</w:t>
            </w:r>
            <w:r w:rsidRPr="0053423A">
              <w:rPr>
                <w:lang w:val="hy-AM"/>
              </w:rPr>
              <w:t xml:space="preserve"> </w:t>
            </w:r>
            <w:r w:rsidRPr="0053423A">
              <w:rPr>
                <w:rFonts w:cs="Sylfaen"/>
                <w:lang w:val="hy-AM"/>
              </w:rPr>
              <w:t>բուժօգնություն</w:t>
            </w:r>
            <w:r w:rsidRPr="0053423A">
              <w:rPr>
                <w:lang w:val="hy-AM"/>
              </w:rPr>
              <w:t xml:space="preserve"> </w:t>
            </w:r>
            <w:r w:rsidRPr="0053423A">
              <w:rPr>
                <w:rFonts w:cs="Sylfaen"/>
                <w:lang w:val="hy-AM"/>
              </w:rPr>
              <w:t>իրականացնող</w:t>
            </w:r>
            <w:r w:rsidRPr="0053423A">
              <w:rPr>
                <w:lang w:val="hy-AM"/>
              </w:rPr>
              <w:t xml:space="preserve"> </w:t>
            </w:r>
            <w:r w:rsidRPr="0053423A">
              <w:rPr>
                <w:rFonts w:cs="Sylfaen"/>
                <w:lang w:val="hy-AM"/>
              </w:rPr>
              <w:t>բուժհաստատությունները</w:t>
            </w:r>
            <w:r w:rsidRPr="0053423A">
              <w:rPr>
                <w:lang w:val="hy-AM"/>
              </w:rPr>
              <w:t xml:space="preserve"> </w:t>
            </w:r>
            <w:r w:rsidRPr="0053423A">
              <w:rPr>
                <w:rFonts w:cs="Sylfaen"/>
                <w:lang w:val="hy-AM"/>
              </w:rPr>
              <w:t>մշտապես</w:t>
            </w:r>
            <w:r w:rsidRPr="0053423A">
              <w:rPr>
                <w:lang w:val="hy-AM"/>
              </w:rPr>
              <w:t xml:space="preserve"> </w:t>
            </w:r>
            <w:r w:rsidRPr="0053423A">
              <w:rPr>
                <w:rFonts w:cs="Sylfaen"/>
                <w:lang w:val="hy-AM"/>
              </w:rPr>
              <w:t>տեղեկացված</w:t>
            </w:r>
            <w:r w:rsidRPr="0053423A">
              <w:rPr>
                <w:lang w:val="hy-AM"/>
              </w:rPr>
              <w:t xml:space="preserve"> </w:t>
            </w:r>
            <w:r w:rsidRPr="0053423A">
              <w:rPr>
                <w:rFonts w:cs="Sylfaen"/>
                <w:lang w:val="hy-AM"/>
              </w:rPr>
              <w:t>կլինեն</w:t>
            </w:r>
            <w:r w:rsidRPr="0053423A">
              <w:rPr>
                <w:lang w:val="hy-AM"/>
              </w:rPr>
              <w:t xml:space="preserve">  </w:t>
            </w:r>
            <w:r w:rsidRPr="0053423A">
              <w:rPr>
                <w:rFonts w:cs="Sylfaen"/>
                <w:lang w:val="hy-AM"/>
              </w:rPr>
              <w:t>օգտագործման</w:t>
            </w:r>
            <w:r w:rsidRPr="0053423A">
              <w:rPr>
                <w:lang w:val="hy-AM"/>
              </w:rPr>
              <w:t xml:space="preserve"> </w:t>
            </w:r>
            <w:r w:rsidRPr="0053423A">
              <w:rPr>
                <w:rFonts w:cs="Sylfaen"/>
                <w:lang w:val="hy-AM"/>
              </w:rPr>
              <w:t>համար</w:t>
            </w:r>
            <w:r w:rsidRPr="0053423A">
              <w:rPr>
                <w:lang w:val="hy-AM"/>
              </w:rPr>
              <w:t xml:space="preserve"> </w:t>
            </w:r>
            <w:r w:rsidRPr="0053423A">
              <w:rPr>
                <w:rFonts w:cs="Sylfaen"/>
                <w:lang w:val="hy-AM"/>
              </w:rPr>
              <w:t>պիտանի</w:t>
            </w:r>
            <w:r w:rsidRPr="0053423A">
              <w:rPr>
                <w:lang w:val="hy-AM"/>
              </w:rPr>
              <w:t xml:space="preserve"> </w:t>
            </w:r>
            <w:r w:rsidRPr="0053423A">
              <w:rPr>
                <w:rFonts w:cs="Sylfaen"/>
                <w:lang w:val="hy-AM"/>
              </w:rPr>
              <w:t>առկա</w:t>
            </w: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բաղադրամասերի</w:t>
            </w:r>
            <w:r w:rsidRPr="0053423A">
              <w:rPr>
                <w:lang w:val="hy-AM"/>
              </w:rPr>
              <w:t xml:space="preserve"> </w:t>
            </w:r>
            <w:r w:rsidRPr="0053423A">
              <w:rPr>
                <w:rFonts w:cs="Sylfaen"/>
                <w:lang w:val="hy-AM"/>
              </w:rPr>
              <w:t>մասին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ժամանակին</w:t>
            </w:r>
            <w:r w:rsidRPr="0053423A">
              <w:rPr>
                <w:lang w:val="hy-AM"/>
              </w:rPr>
              <w:t xml:space="preserve"> </w:t>
            </w:r>
            <w:r w:rsidRPr="0053423A">
              <w:rPr>
                <w:rFonts w:cs="Sylfaen"/>
                <w:lang w:val="hy-AM"/>
              </w:rPr>
              <w:t>կլրացնեն</w:t>
            </w: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պաշարները</w:t>
            </w:r>
            <w:r w:rsidRPr="0053423A">
              <w:rPr>
                <w:lang w:val="hy-AM"/>
              </w:rPr>
              <w:t xml:space="preserve">, </w:t>
            </w:r>
            <w:r w:rsidRPr="0053423A">
              <w:rPr>
                <w:rFonts w:cs="Sylfaen"/>
                <w:lang w:val="hy-AM"/>
              </w:rPr>
              <w:t>ինչը</w:t>
            </w:r>
            <w:r w:rsidRPr="0053423A">
              <w:rPr>
                <w:lang w:val="hy-AM"/>
              </w:rPr>
              <w:t xml:space="preserve"> </w:t>
            </w:r>
            <w:r w:rsidRPr="0053423A">
              <w:rPr>
                <w:rFonts w:cs="Sylfaen"/>
                <w:lang w:val="hy-AM"/>
              </w:rPr>
              <w:t>կարևորվում</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հատկապես</w:t>
            </w:r>
            <w:r w:rsidRPr="0053423A">
              <w:rPr>
                <w:lang w:val="hy-AM"/>
              </w:rPr>
              <w:t xml:space="preserve"> </w:t>
            </w:r>
            <w:r w:rsidRPr="0053423A">
              <w:rPr>
                <w:rFonts w:cs="Sylfaen"/>
                <w:lang w:val="hy-AM"/>
              </w:rPr>
              <w:t>արտակարգ</w:t>
            </w:r>
            <w:r w:rsidRPr="0053423A">
              <w:rPr>
                <w:lang w:val="hy-AM"/>
              </w:rPr>
              <w:t xml:space="preserve"> </w:t>
            </w:r>
            <w:r w:rsidRPr="0053423A">
              <w:rPr>
                <w:rFonts w:cs="Sylfaen"/>
                <w:lang w:val="hy-AM"/>
              </w:rPr>
              <w:t>իրավիճակների</w:t>
            </w:r>
            <w:r w:rsidRPr="0053423A">
              <w:rPr>
                <w:lang w:val="hy-AM"/>
              </w:rPr>
              <w:t xml:space="preserve"> </w:t>
            </w:r>
            <w:r w:rsidRPr="0053423A">
              <w:rPr>
                <w:rFonts w:cs="Sylfaen"/>
                <w:lang w:val="hy-AM"/>
              </w:rPr>
              <w:t>դեպքում</w:t>
            </w:r>
            <w:r w:rsidRPr="0053423A">
              <w:rPr>
                <w:lang w:val="hy-AM"/>
              </w:rPr>
              <w:t>:</w:t>
            </w:r>
          </w:p>
          <w:p w:rsidR="00764E6F" w:rsidRPr="0053423A" w:rsidRDefault="00764E6F" w:rsidP="00A67858">
            <w:pPr>
              <w:spacing w:line="276" w:lineRule="auto"/>
              <w:jc w:val="both"/>
              <w:rPr>
                <w:lang w:val="hy-AM"/>
              </w:rPr>
            </w:pPr>
            <w:r w:rsidRPr="0053423A">
              <w:rPr>
                <w:rFonts w:cs="Sylfaen"/>
                <w:lang w:val="hy-AM"/>
              </w:rPr>
              <w:t>Հնարավորություն</w:t>
            </w:r>
            <w:r w:rsidRPr="0053423A">
              <w:rPr>
                <w:lang w:val="hy-AM"/>
              </w:rPr>
              <w:t xml:space="preserve"> </w:t>
            </w:r>
            <w:r w:rsidRPr="0053423A">
              <w:rPr>
                <w:rFonts w:cs="Sylfaen"/>
                <w:lang w:val="hy-AM"/>
              </w:rPr>
              <w:t>կընձեռվի</w:t>
            </w:r>
            <w:r w:rsidRPr="0053423A">
              <w:rPr>
                <w:lang w:val="hy-AM"/>
              </w:rPr>
              <w:t xml:space="preserve"> </w:t>
            </w:r>
            <w:r w:rsidRPr="0053423A">
              <w:rPr>
                <w:rFonts w:cs="Sylfaen"/>
                <w:lang w:val="hy-AM"/>
              </w:rPr>
              <w:t>ռացիոնալ</w:t>
            </w:r>
            <w:r w:rsidRPr="0053423A">
              <w:rPr>
                <w:lang w:val="hy-AM"/>
              </w:rPr>
              <w:t xml:space="preserve"> </w:t>
            </w:r>
            <w:r w:rsidRPr="0053423A">
              <w:rPr>
                <w:rFonts w:cs="Sylfaen"/>
                <w:lang w:val="hy-AM"/>
              </w:rPr>
              <w:t>օգտագործել</w:t>
            </w:r>
            <w:r w:rsidRPr="0053423A">
              <w:rPr>
                <w:lang w:val="hy-AM"/>
              </w:rPr>
              <w:t xml:space="preserve"> </w:t>
            </w:r>
            <w:r w:rsidRPr="0053423A">
              <w:rPr>
                <w:rFonts w:cs="Sylfaen"/>
                <w:lang w:val="hy-AM"/>
              </w:rPr>
              <w:t>հավաքված</w:t>
            </w: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բաղադրամասերը</w:t>
            </w:r>
            <w:r w:rsidRPr="0053423A">
              <w:rPr>
                <w:lang w:val="hy-AM"/>
              </w:rPr>
              <w:t xml:space="preserve">, </w:t>
            </w:r>
            <w:r w:rsidRPr="0053423A">
              <w:rPr>
                <w:rFonts w:cs="Sylfaen"/>
                <w:lang w:val="hy-AM"/>
              </w:rPr>
              <w:t>ինչի</w:t>
            </w:r>
            <w:r w:rsidRPr="0053423A">
              <w:rPr>
                <w:lang w:val="hy-AM"/>
              </w:rPr>
              <w:t xml:space="preserve"> </w:t>
            </w:r>
            <w:r w:rsidRPr="0053423A">
              <w:rPr>
                <w:rFonts w:cs="Sylfaen"/>
                <w:lang w:val="hy-AM"/>
              </w:rPr>
              <w:t>շնորհիվ</w:t>
            </w:r>
            <w:r w:rsidRPr="0053423A">
              <w:rPr>
                <w:lang w:val="hy-AM"/>
              </w:rPr>
              <w:t xml:space="preserve"> </w:t>
            </w:r>
            <w:r w:rsidRPr="0053423A">
              <w:rPr>
                <w:rFonts w:cs="Sylfaen"/>
                <w:lang w:val="hy-AM"/>
              </w:rPr>
              <w:t>կնվազի</w:t>
            </w: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բաղադրամասերի</w:t>
            </w:r>
            <w:r w:rsidRPr="0053423A">
              <w:rPr>
                <w:lang w:val="hy-AM"/>
              </w:rPr>
              <w:t xml:space="preserve"> </w:t>
            </w:r>
            <w:r w:rsidRPr="0053423A">
              <w:rPr>
                <w:rFonts w:cs="Sylfaen"/>
                <w:lang w:val="hy-AM"/>
              </w:rPr>
              <w:t>խոտանումը</w:t>
            </w:r>
            <w:r w:rsidRPr="0053423A">
              <w:rPr>
                <w:lang w:val="hy-AM"/>
              </w:rPr>
              <w:t xml:space="preserve">: </w:t>
            </w:r>
            <w:r w:rsidRPr="0053423A">
              <w:rPr>
                <w:rFonts w:cs="Sylfaen"/>
                <w:lang w:val="hy-AM"/>
              </w:rPr>
              <w:t>Հնարավոր</w:t>
            </w:r>
            <w:r w:rsidRPr="0053423A">
              <w:rPr>
                <w:lang w:val="hy-AM"/>
              </w:rPr>
              <w:t xml:space="preserve"> </w:t>
            </w:r>
            <w:r w:rsidRPr="0053423A">
              <w:rPr>
                <w:rFonts w:cs="Sylfaen"/>
                <w:lang w:val="hy-AM"/>
              </w:rPr>
              <w:t>կլինի</w:t>
            </w:r>
            <w:r w:rsidRPr="0053423A">
              <w:rPr>
                <w:lang w:val="hy-AM"/>
              </w:rPr>
              <w:t xml:space="preserve"> </w:t>
            </w:r>
            <w:r w:rsidRPr="0053423A">
              <w:rPr>
                <w:rFonts w:cs="Sylfaen"/>
                <w:lang w:val="hy-AM"/>
              </w:rPr>
              <w:t>վաղաժամ</w:t>
            </w:r>
            <w:r w:rsidRPr="0053423A">
              <w:rPr>
                <w:lang w:val="hy-AM"/>
              </w:rPr>
              <w:t xml:space="preserve"> </w:t>
            </w:r>
            <w:r w:rsidRPr="0053423A">
              <w:rPr>
                <w:rFonts w:cs="Sylfaen"/>
                <w:lang w:val="hy-AM"/>
              </w:rPr>
              <w:t>հայտնաբերել</w:t>
            </w:r>
            <w:r w:rsidRPr="0053423A">
              <w:rPr>
                <w:lang w:val="hy-AM"/>
              </w:rPr>
              <w:t xml:space="preserve"> </w:t>
            </w:r>
            <w:r w:rsidRPr="0053423A">
              <w:rPr>
                <w:rFonts w:cs="Sylfaen"/>
                <w:lang w:val="hy-AM"/>
              </w:rPr>
              <w:t>վարակակիր</w:t>
            </w:r>
            <w:r w:rsidRPr="0053423A">
              <w:rPr>
                <w:lang w:val="hy-AM"/>
              </w:rPr>
              <w:t xml:space="preserve"> </w:t>
            </w:r>
            <w:r w:rsidRPr="0053423A">
              <w:rPr>
                <w:rFonts w:cs="Sylfaen"/>
                <w:lang w:val="hy-AM"/>
              </w:rPr>
              <w:t>դոնորներին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ձեռնարկել</w:t>
            </w:r>
            <w:r w:rsidRPr="0053423A">
              <w:rPr>
                <w:lang w:val="hy-AM"/>
              </w:rPr>
              <w:t xml:space="preserve"> </w:t>
            </w:r>
            <w:r w:rsidRPr="0053423A">
              <w:rPr>
                <w:rFonts w:cs="Sylfaen"/>
                <w:lang w:val="hy-AM"/>
              </w:rPr>
              <w:t>անհրաժեշտ</w:t>
            </w:r>
            <w:r w:rsidRPr="0053423A">
              <w:rPr>
                <w:lang w:val="hy-AM"/>
              </w:rPr>
              <w:t xml:space="preserve"> </w:t>
            </w:r>
            <w:r w:rsidRPr="0053423A">
              <w:rPr>
                <w:rFonts w:cs="Sylfaen"/>
                <w:lang w:val="hy-AM"/>
              </w:rPr>
              <w:t>կանխարգելիչ</w:t>
            </w:r>
            <w:r w:rsidRPr="0053423A">
              <w:rPr>
                <w:lang w:val="hy-AM"/>
              </w:rPr>
              <w:t xml:space="preserve"> </w:t>
            </w:r>
            <w:r w:rsidRPr="0053423A">
              <w:rPr>
                <w:rFonts w:cs="Sylfaen"/>
                <w:lang w:val="hy-AM"/>
              </w:rPr>
              <w:t>միջոցառումներ</w:t>
            </w:r>
            <w:r w:rsidRPr="0053423A">
              <w:rPr>
                <w:lang w:val="hy-AM"/>
              </w:rPr>
              <w:t xml:space="preserve"> </w:t>
            </w:r>
            <w:r w:rsidRPr="0053423A">
              <w:rPr>
                <w:rFonts w:cs="Sylfaen"/>
                <w:lang w:val="hy-AM"/>
              </w:rPr>
              <w:t>վարակի</w:t>
            </w:r>
            <w:r w:rsidRPr="0053423A">
              <w:rPr>
                <w:lang w:val="hy-AM"/>
              </w:rPr>
              <w:t xml:space="preserve"> </w:t>
            </w:r>
            <w:r w:rsidRPr="0053423A">
              <w:rPr>
                <w:rFonts w:cs="Sylfaen"/>
                <w:lang w:val="hy-AM"/>
              </w:rPr>
              <w:t>տարածման</w:t>
            </w:r>
            <w:r w:rsidRPr="0053423A">
              <w:rPr>
                <w:lang w:val="hy-AM"/>
              </w:rPr>
              <w:t xml:space="preserve"> </w:t>
            </w:r>
            <w:r w:rsidRPr="0053423A">
              <w:rPr>
                <w:rFonts w:cs="Sylfaen"/>
                <w:lang w:val="hy-AM"/>
              </w:rPr>
              <w:t>դեմ</w:t>
            </w:r>
            <w:r w:rsidRPr="0053423A">
              <w:rPr>
                <w:lang w:val="hy-AM"/>
              </w:rPr>
              <w:t xml:space="preserve">: </w:t>
            </w:r>
            <w:r w:rsidRPr="0053423A">
              <w:rPr>
                <w:rFonts w:cs="Sylfaen"/>
                <w:lang w:val="hy-AM"/>
              </w:rPr>
              <w:t>Դոնորի</w:t>
            </w:r>
            <w:r w:rsidRPr="0053423A">
              <w:rPr>
                <w:lang w:val="hy-AM"/>
              </w:rPr>
              <w:t xml:space="preserve"> </w:t>
            </w:r>
            <w:r w:rsidRPr="0053423A">
              <w:rPr>
                <w:rFonts w:cs="Sylfaen"/>
                <w:lang w:val="hy-AM"/>
              </w:rPr>
              <w:t>մոտ</w:t>
            </w:r>
            <w:r w:rsidRPr="0053423A">
              <w:rPr>
                <w:lang w:val="hy-AM"/>
              </w:rPr>
              <w:t xml:space="preserve"> </w:t>
            </w:r>
            <w:r w:rsidRPr="0053423A">
              <w:rPr>
                <w:rFonts w:cs="Sylfaen"/>
                <w:lang w:val="hy-AM"/>
              </w:rPr>
              <w:t>հակացուցումների</w:t>
            </w:r>
            <w:r w:rsidRPr="0053423A">
              <w:rPr>
                <w:lang w:val="hy-AM"/>
              </w:rPr>
              <w:t xml:space="preserve"> </w:t>
            </w:r>
            <w:r w:rsidRPr="0053423A">
              <w:rPr>
                <w:rFonts w:cs="Sylfaen"/>
                <w:lang w:val="hy-AM"/>
              </w:rPr>
              <w:t>հայտնաբերման</w:t>
            </w:r>
            <w:r w:rsidRPr="0053423A">
              <w:rPr>
                <w:lang w:val="hy-AM"/>
              </w:rPr>
              <w:t xml:space="preserve"> </w:t>
            </w:r>
            <w:r w:rsidRPr="0053423A">
              <w:rPr>
                <w:rFonts w:cs="Sylfaen"/>
                <w:lang w:val="hy-AM"/>
              </w:rPr>
              <w:t>փաստը</w:t>
            </w:r>
            <w:r w:rsidRPr="0053423A">
              <w:rPr>
                <w:lang w:val="hy-AM"/>
              </w:rPr>
              <w:t xml:space="preserve"> </w:t>
            </w:r>
            <w:r w:rsidRPr="0053423A">
              <w:rPr>
                <w:rFonts w:cs="Sylfaen"/>
                <w:lang w:val="hy-AM"/>
              </w:rPr>
              <w:t>հասանելի</w:t>
            </w:r>
            <w:r w:rsidRPr="0053423A">
              <w:rPr>
                <w:lang w:val="hy-AM"/>
              </w:rPr>
              <w:t xml:space="preserve"> </w:t>
            </w:r>
            <w:r w:rsidRPr="0053423A">
              <w:rPr>
                <w:rFonts w:cs="Sylfaen"/>
                <w:lang w:val="hy-AM"/>
              </w:rPr>
              <w:t>կլինի</w:t>
            </w: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ծառայության</w:t>
            </w:r>
            <w:r w:rsidRPr="0053423A">
              <w:rPr>
                <w:lang w:val="hy-AM"/>
              </w:rPr>
              <w:t xml:space="preserve"> </w:t>
            </w:r>
            <w:r w:rsidRPr="0053423A">
              <w:rPr>
                <w:rFonts w:cs="Sylfaen"/>
                <w:lang w:val="hy-AM"/>
              </w:rPr>
              <w:t>այլ</w:t>
            </w:r>
            <w:r w:rsidRPr="0053423A">
              <w:rPr>
                <w:lang w:val="hy-AM"/>
              </w:rPr>
              <w:t xml:space="preserve"> </w:t>
            </w:r>
            <w:r w:rsidRPr="0053423A">
              <w:rPr>
                <w:rFonts w:cs="Sylfaen"/>
                <w:lang w:val="hy-AM"/>
              </w:rPr>
              <w:t>ստորաբաժանումներին</w:t>
            </w:r>
            <w:r w:rsidRPr="0053423A">
              <w:rPr>
                <w:lang w:val="hy-AM"/>
              </w:rPr>
              <w:t xml:space="preserve">, </w:t>
            </w:r>
            <w:r w:rsidRPr="0053423A">
              <w:rPr>
                <w:rFonts w:cs="Sylfaen"/>
                <w:lang w:val="hy-AM"/>
              </w:rPr>
              <w:t>ինչն</w:t>
            </w:r>
            <w:r w:rsidRPr="0053423A">
              <w:rPr>
                <w:lang w:val="hy-AM"/>
              </w:rPr>
              <w:t xml:space="preserve"> </w:t>
            </w:r>
            <w:r w:rsidRPr="0053423A">
              <w:rPr>
                <w:rFonts w:cs="Sylfaen"/>
                <w:lang w:val="hy-AM"/>
              </w:rPr>
              <w:t>էլ</w:t>
            </w:r>
            <w:r w:rsidRPr="0053423A">
              <w:rPr>
                <w:lang w:val="hy-AM"/>
              </w:rPr>
              <w:t xml:space="preserve"> </w:t>
            </w:r>
            <w:r w:rsidRPr="0053423A">
              <w:rPr>
                <w:rFonts w:cs="Sylfaen"/>
                <w:lang w:val="hy-AM"/>
              </w:rPr>
              <w:t>թույլ</w:t>
            </w:r>
            <w:r w:rsidRPr="0053423A">
              <w:rPr>
                <w:lang w:val="hy-AM"/>
              </w:rPr>
              <w:t xml:space="preserve"> </w:t>
            </w:r>
            <w:r w:rsidRPr="0053423A">
              <w:rPr>
                <w:rFonts w:cs="Sylfaen"/>
                <w:lang w:val="hy-AM"/>
              </w:rPr>
              <w:t>կտա</w:t>
            </w:r>
            <w:r w:rsidRPr="0053423A">
              <w:rPr>
                <w:lang w:val="hy-AM"/>
              </w:rPr>
              <w:t xml:space="preserve"> </w:t>
            </w:r>
            <w:r w:rsidRPr="0053423A">
              <w:rPr>
                <w:rFonts w:cs="Sylfaen"/>
                <w:lang w:val="hy-AM"/>
              </w:rPr>
              <w:t>բացառել</w:t>
            </w:r>
            <w:r w:rsidRPr="0053423A">
              <w:rPr>
                <w:lang w:val="hy-AM"/>
              </w:rPr>
              <w:t xml:space="preserve"> </w:t>
            </w:r>
            <w:r w:rsidRPr="0053423A">
              <w:rPr>
                <w:rFonts w:cs="Sylfaen"/>
                <w:lang w:val="hy-AM"/>
              </w:rPr>
              <w:t>դոնորի</w:t>
            </w:r>
            <w:r w:rsidRPr="0053423A">
              <w:rPr>
                <w:lang w:val="hy-AM"/>
              </w:rPr>
              <w:t xml:space="preserve"> </w:t>
            </w:r>
            <w:r w:rsidRPr="0053423A">
              <w:rPr>
                <w:rFonts w:cs="Sylfaen"/>
                <w:lang w:val="hy-AM"/>
              </w:rPr>
              <w:t>արյունատվությունը</w:t>
            </w:r>
            <w:r w:rsidRPr="0053423A">
              <w:rPr>
                <w:lang w:val="hy-AM"/>
              </w:rPr>
              <w:t xml:space="preserve"> </w:t>
            </w:r>
            <w:r w:rsidRPr="0053423A">
              <w:rPr>
                <w:rFonts w:cs="Sylfaen"/>
                <w:lang w:val="hy-AM"/>
              </w:rPr>
              <w:t>այլ</w:t>
            </w:r>
            <w:r w:rsidRPr="0053423A">
              <w:rPr>
                <w:lang w:val="hy-AM"/>
              </w:rPr>
              <w:t xml:space="preserve"> </w:t>
            </w:r>
            <w:r w:rsidRPr="0053423A">
              <w:rPr>
                <w:rFonts w:cs="Sylfaen"/>
                <w:lang w:val="hy-AM"/>
              </w:rPr>
              <w:t>տեղերում</w:t>
            </w:r>
            <w:r w:rsidRPr="0053423A">
              <w:rPr>
                <w:lang w:val="hy-AM"/>
              </w:rPr>
              <w:t>:</w:t>
            </w:r>
          </w:p>
          <w:p w:rsidR="00764E6F" w:rsidRPr="0053423A" w:rsidRDefault="00764E6F" w:rsidP="00A67858">
            <w:pPr>
              <w:spacing w:line="276" w:lineRule="auto"/>
              <w:jc w:val="both"/>
              <w:rPr>
                <w:lang w:val="hy-AM"/>
              </w:rPr>
            </w:pPr>
            <w:r w:rsidRPr="0053423A">
              <w:rPr>
                <w:rFonts w:cs="Sylfaen"/>
                <w:lang w:val="hy-AM"/>
              </w:rPr>
              <w:t>Արյան</w:t>
            </w:r>
            <w:r w:rsidRPr="0053423A">
              <w:rPr>
                <w:lang w:val="hy-AM"/>
              </w:rPr>
              <w:t xml:space="preserve"> </w:t>
            </w:r>
            <w:r w:rsidRPr="0053423A">
              <w:rPr>
                <w:rFonts w:cs="Sylfaen"/>
                <w:lang w:val="hy-AM"/>
              </w:rPr>
              <w:t>ռեեստրի</w:t>
            </w:r>
            <w:r w:rsidRPr="0053423A">
              <w:rPr>
                <w:lang w:val="hy-AM"/>
              </w:rPr>
              <w:t xml:space="preserve"> </w:t>
            </w:r>
            <w:r w:rsidRPr="0053423A">
              <w:rPr>
                <w:rFonts w:cs="Sylfaen"/>
                <w:lang w:val="hy-AM"/>
              </w:rPr>
              <w:t>ստեղծումը</w:t>
            </w:r>
            <w:r w:rsidRPr="0053423A">
              <w:rPr>
                <w:lang w:val="hy-AM"/>
              </w:rPr>
              <w:t xml:space="preserve"> </w:t>
            </w:r>
            <w:r w:rsidRPr="0053423A">
              <w:rPr>
                <w:rFonts w:cs="Sylfaen"/>
                <w:lang w:val="hy-AM"/>
              </w:rPr>
              <w:t>թույլ</w:t>
            </w:r>
            <w:r w:rsidRPr="0053423A">
              <w:rPr>
                <w:lang w:val="hy-AM"/>
              </w:rPr>
              <w:t xml:space="preserve"> </w:t>
            </w:r>
            <w:r w:rsidRPr="0053423A">
              <w:rPr>
                <w:rFonts w:cs="Sylfaen"/>
                <w:lang w:val="hy-AM"/>
              </w:rPr>
              <w:t>կտա</w:t>
            </w:r>
            <w:r w:rsidRPr="0053423A">
              <w:rPr>
                <w:lang w:val="hy-AM"/>
              </w:rPr>
              <w:t xml:space="preserve"> </w:t>
            </w:r>
            <w:r w:rsidRPr="0053423A">
              <w:rPr>
                <w:rFonts w:cs="Sylfaen"/>
                <w:lang w:val="hy-AM"/>
              </w:rPr>
              <w:t>վերահսկել</w:t>
            </w:r>
            <w:r w:rsidRPr="0053423A">
              <w:rPr>
                <w:lang w:val="hy-AM"/>
              </w:rPr>
              <w:t xml:space="preserve"> </w:t>
            </w:r>
            <w:r w:rsidRPr="0053423A">
              <w:rPr>
                <w:rFonts w:cs="Sylfaen"/>
                <w:lang w:val="hy-AM"/>
              </w:rPr>
              <w:t>դոնորների</w:t>
            </w:r>
            <w:r w:rsidRPr="0053423A">
              <w:rPr>
                <w:lang w:val="hy-AM"/>
              </w:rPr>
              <w:t xml:space="preserve"> </w:t>
            </w:r>
            <w:r w:rsidRPr="0053423A">
              <w:rPr>
                <w:rFonts w:cs="Sylfaen"/>
                <w:lang w:val="hy-AM"/>
              </w:rPr>
              <w:t>արյունատվությունների</w:t>
            </w:r>
            <w:r w:rsidRPr="0053423A">
              <w:rPr>
                <w:lang w:val="hy-AM"/>
              </w:rPr>
              <w:t xml:space="preserve"> </w:t>
            </w:r>
            <w:r w:rsidRPr="0053423A">
              <w:rPr>
                <w:rFonts w:cs="Sylfaen"/>
                <w:lang w:val="hy-AM"/>
              </w:rPr>
              <w:t>հաճախականությունը</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նրանց</w:t>
            </w:r>
            <w:r w:rsidRPr="0053423A">
              <w:rPr>
                <w:lang w:val="hy-AM"/>
              </w:rPr>
              <w:t xml:space="preserve"> </w:t>
            </w:r>
            <w:r w:rsidRPr="0053423A">
              <w:rPr>
                <w:rFonts w:cs="Sylfaen"/>
                <w:lang w:val="hy-AM"/>
              </w:rPr>
              <w:t>առողջական</w:t>
            </w:r>
            <w:r w:rsidRPr="0053423A">
              <w:rPr>
                <w:lang w:val="hy-AM"/>
              </w:rPr>
              <w:t xml:space="preserve"> </w:t>
            </w:r>
            <w:r w:rsidRPr="0053423A">
              <w:rPr>
                <w:rFonts w:cs="Sylfaen"/>
                <w:lang w:val="hy-AM"/>
              </w:rPr>
              <w:t>վիճակի</w:t>
            </w:r>
            <w:r w:rsidRPr="0053423A">
              <w:rPr>
                <w:lang w:val="hy-AM"/>
              </w:rPr>
              <w:t xml:space="preserve"> </w:t>
            </w:r>
            <w:r w:rsidRPr="0053423A">
              <w:rPr>
                <w:rFonts w:cs="Sylfaen"/>
                <w:lang w:val="hy-AM"/>
              </w:rPr>
              <w:t>վերաբերյալ</w:t>
            </w:r>
            <w:r w:rsidRPr="0053423A">
              <w:rPr>
                <w:lang w:val="hy-AM"/>
              </w:rPr>
              <w:t xml:space="preserve"> </w:t>
            </w:r>
            <w:r w:rsidRPr="0053423A">
              <w:rPr>
                <w:rFonts w:cs="Sylfaen"/>
                <w:lang w:val="hy-AM"/>
              </w:rPr>
              <w:t>տեղեկատվությունը</w:t>
            </w:r>
            <w:r w:rsidRPr="0053423A">
              <w:rPr>
                <w:lang w:val="hy-AM"/>
              </w:rPr>
              <w:t xml:space="preserve">, </w:t>
            </w:r>
            <w:r w:rsidRPr="0053423A">
              <w:rPr>
                <w:rFonts w:cs="Sylfaen"/>
                <w:lang w:val="hy-AM"/>
              </w:rPr>
              <w:t>ինչը</w:t>
            </w:r>
            <w:r w:rsidRPr="0053423A">
              <w:rPr>
                <w:lang w:val="hy-AM"/>
              </w:rPr>
              <w:t xml:space="preserve"> </w:t>
            </w:r>
            <w:r w:rsidRPr="0053423A">
              <w:rPr>
                <w:rFonts w:cs="Sylfaen"/>
                <w:lang w:val="hy-AM"/>
              </w:rPr>
              <w:t>կնպաստի</w:t>
            </w:r>
            <w:r w:rsidRPr="0053423A">
              <w:rPr>
                <w:lang w:val="hy-AM"/>
              </w:rPr>
              <w:t xml:space="preserve"> </w:t>
            </w:r>
            <w:r w:rsidRPr="0053423A">
              <w:rPr>
                <w:rFonts w:cs="Sylfaen"/>
                <w:lang w:val="hy-AM"/>
              </w:rPr>
              <w:t>դոնորի</w:t>
            </w:r>
            <w:r w:rsidRPr="0053423A">
              <w:rPr>
                <w:lang w:val="hy-AM"/>
              </w:rPr>
              <w:t xml:space="preserve"> </w:t>
            </w:r>
            <w:r w:rsidRPr="0053423A">
              <w:rPr>
                <w:rFonts w:cs="Sylfaen"/>
                <w:lang w:val="hy-AM"/>
              </w:rPr>
              <w:t>առողջության</w:t>
            </w:r>
            <w:r w:rsidRPr="0053423A">
              <w:rPr>
                <w:lang w:val="hy-AM"/>
              </w:rPr>
              <w:t xml:space="preserve"> </w:t>
            </w:r>
            <w:r w:rsidRPr="0053423A">
              <w:rPr>
                <w:rFonts w:cs="Sylfaen"/>
                <w:lang w:val="hy-AM"/>
              </w:rPr>
              <w:t>պահպանմանը</w:t>
            </w:r>
            <w:r w:rsidRPr="0053423A">
              <w:rPr>
                <w:lang w:val="hy-AM"/>
              </w:rPr>
              <w:t xml:space="preserve">: </w:t>
            </w:r>
            <w:r w:rsidRPr="0053423A">
              <w:rPr>
                <w:rFonts w:cs="Sylfaen"/>
                <w:lang w:val="hy-AM"/>
              </w:rPr>
              <w:t>Հնարավորություն</w:t>
            </w:r>
            <w:r w:rsidRPr="0053423A">
              <w:rPr>
                <w:lang w:val="hy-AM"/>
              </w:rPr>
              <w:t xml:space="preserve"> </w:t>
            </w:r>
            <w:r w:rsidRPr="0053423A">
              <w:rPr>
                <w:rFonts w:cs="Sylfaen"/>
                <w:lang w:val="hy-AM"/>
              </w:rPr>
              <w:t>կստեղծվի</w:t>
            </w:r>
            <w:r w:rsidRPr="0053423A">
              <w:rPr>
                <w:lang w:val="hy-AM"/>
              </w:rPr>
              <w:t xml:space="preserve"> </w:t>
            </w:r>
            <w:r w:rsidRPr="0053423A">
              <w:rPr>
                <w:rFonts w:cs="Sylfaen"/>
                <w:lang w:val="hy-AM"/>
              </w:rPr>
              <w:t>վերլուծել</w:t>
            </w:r>
            <w:r w:rsidRPr="0053423A">
              <w:rPr>
                <w:lang w:val="hy-AM"/>
              </w:rPr>
              <w:t xml:space="preserve"> </w:t>
            </w:r>
            <w:r w:rsidRPr="0053423A">
              <w:rPr>
                <w:rFonts w:cs="Sylfaen"/>
                <w:lang w:val="hy-AM"/>
              </w:rPr>
              <w:t>արյունատվության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փոխներարկման</w:t>
            </w:r>
            <w:r w:rsidRPr="0053423A">
              <w:rPr>
                <w:lang w:val="hy-AM"/>
              </w:rPr>
              <w:t xml:space="preserve"> </w:t>
            </w:r>
            <w:r w:rsidRPr="0053423A">
              <w:rPr>
                <w:rFonts w:cs="Sylfaen"/>
                <w:lang w:val="hy-AM"/>
              </w:rPr>
              <w:t>ժամանակ</w:t>
            </w:r>
            <w:r w:rsidRPr="0053423A">
              <w:rPr>
                <w:lang w:val="hy-AM"/>
              </w:rPr>
              <w:t xml:space="preserve"> </w:t>
            </w:r>
            <w:r w:rsidRPr="0053423A">
              <w:rPr>
                <w:rFonts w:cs="Sylfaen"/>
                <w:lang w:val="hy-AM"/>
              </w:rPr>
              <w:t>առաջացած</w:t>
            </w:r>
            <w:r w:rsidRPr="0053423A">
              <w:rPr>
                <w:lang w:val="hy-AM"/>
              </w:rPr>
              <w:t xml:space="preserve"> </w:t>
            </w:r>
            <w:r w:rsidRPr="0053423A">
              <w:rPr>
                <w:rFonts w:cs="Sylfaen"/>
                <w:lang w:val="hy-AM"/>
              </w:rPr>
              <w:t>բարդությունները</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ձեռնարկել</w:t>
            </w:r>
            <w:r w:rsidRPr="0053423A">
              <w:rPr>
                <w:lang w:val="hy-AM"/>
              </w:rPr>
              <w:t xml:space="preserve"> </w:t>
            </w:r>
            <w:r w:rsidRPr="0053423A">
              <w:rPr>
                <w:rFonts w:cs="Sylfaen"/>
                <w:lang w:val="hy-AM"/>
              </w:rPr>
              <w:t>համապատասխան</w:t>
            </w:r>
            <w:r w:rsidRPr="0053423A">
              <w:rPr>
                <w:lang w:val="hy-AM"/>
              </w:rPr>
              <w:t xml:space="preserve"> </w:t>
            </w:r>
            <w:r w:rsidRPr="0053423A">
              <w:rPr>
                <w:rFonts w:cs="Sylfaen"/>
                <w:lang w:val="hy-AM"/>
              </w:rPr>
              <w:t>միջոցառումներ</w:t>
            </w:r>
            <w:r w:rsidRPr="0053423A">
              <w:rPr>
                <w:lang w:val="hy-AM"/>
              </w:rPr>
              <w:t>:</w:t>
            </w:r>
          </w:p>
          <w:p w:rsidR="00764E6F" w:rsidRPr="0053423A" w:rsidRDefault="00764E6F" w:rsidP="00A67858">
            <w:pPr>
              <w:spacing w:line="276" w:lineRule="auto"/>
              <w:jc w:val="both"/>
              <w:rPr>
                <w:lang w:val="hy-AM"/>
              </w:rPr>
            </w:pPr>
            <w:r w:rsidRPr="0053423A">
              <w:rPr>
                <w:lang w:val="hy-AM"/>
              </w:rPr>
              <w:t>Նախատեսվում է Նախագիծը քննարկել և կարծիք ստանալ բոլոր շահագրգիռ կառույցներից, մասնավորապես, տարածքային կառավարման և զարգացման, պաշտպանության, արտակարգ իրավիճակների նախարարություններից, Ոստիկանությունից, Ազգային անվտանգության ծառայությունից և Ազգային անվտանգության խորհրդից:</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2. </w:t>
            </w:r>
            <w:r w:rsidRPr="0053423A">
              <w:rPr>
                <w:rFonts w:cs="Sylfaen"/>
                <w:b/>
                <w:lang w:val="hy-AM"/>
              </w:rPr>
              <w:t>Միջոցառման</w:t>
            </w:r>
            <w:r w:rsidRPr="0053423A">
              <w:rPr>
                <w:b/>
                <w:lang w:val="hy-AM"/>
              </w:rPr>
              <w:t xml:space="preserve"> </w:t>
            </w:r>
            <w:r w:rsidRPr="0053423A">
              <w:rPr>
                <w:rFonts w:cs="Sylfaen"/>
                <w:b/>
                <w:lang w:val="hy-AM"/>
              </w:rPr>
              <w:t>իրականացումից</w:t>
            </w:r>
            <w:r w:rsidRPr="0053423A">
              <w:rPr>
                <w:b/>
                <w:lang w:val="hy-AM"/>
              </w:rPr>
              <w:t xml:space="preserve"> </w:t>
            </w:r>
            <w:r w:rsidRPr="0053423A">
              <w:rPr>
                <w:rFonts w:cs="Sylfaen"/>
                <w:b/>
                <w:lang w:val="hy-AM"/>
              </w:rPr>
              <w:t>ակնկալվող</w:t>
            </w:r>
            <w:r w:rsidRPr="0053423A">
              <w:rPr>
                <w:b/>
                <w:lang w:val="hy-AM"/>
              </w:rPr>
              <w:t xml:space="preserve"> </w:t>
            </w:r>
            <w:r w:rsidRPr="0053423A">
              <w:rPr>
                <w:rFonts w:cs="Sylfaen"/>
                <w:b/>
                <w:lang w:val="hy-AM"/>
              </w:rPr>
              <w:t>արդյունքը</w:t>
            </w:r>
          </w:p>
          <w:p w:rsidR="00764E6F" w:rsidRPr="0053423A" w:rsidRDefault="00764E6F" w:rsidP="00A67858">
            <w:pPr>
              <w:spacing w:line="276" w:lineRule="auto"/>
              <w:jc w:val="both"/>
              <w:rPr>
                <w:lang w:val="hy-AM"/>
              </w:rPr>
            </w:pPr>
            <w:r w:rsidRPr="0053423A">
              <w:rPr>
                <w:lang w:val="hy-AM"/>
              </w:rPr>
              <w:t>«</w:t>
            </w:r>
            <w:r w:rsidRPr="0053423A">
              <w:rPr>
                <w:rFonts w:cs="Sylfaen"/>
                <w:lang w:val="hy-AM"/>
              </w:rPr>
              <w:t>Արյան</w:t>
            </w:r>
            <w:r w:rsidRPr="0053423A">
              <w:rPr>
                <w:lang w:val="hy-AM"/>
              </w:rPr>
              <w:t xml:space="preserve"> </w:t>
            </w:r>
            <w:r w:rsidRPr="0053423A">
              <w:rPr>
                <w:rFonts w:cs="Sylfaen"/>
                <w:lang w:val="hy-AM"/>
              </w:rPr>
              <w:t>ռեեստրի</w:t>
            </w:r>
            <w:r w:rsidRPr="0053423A">
              <w:rPr>
                <w:lang w:val="hy-AM"/>
              </w:rPr>
              <w:t xml:space="preserve"> </w:t>
            </w:r>
            <w:r w:rsidRPr="0053423A">
              <w:rPr>
                <w:rFonts w:cs="Sylfaen"/>
                <w:lang w:val="hy-AM"/>
              </w:rPr>
              <w:t>գործունեության</w:t>
            </w:r>
            <w:r w:rsidRPr="0053423A">
              <w:rPr>
                <w:lang w:val="hy-AM"/>
              </w:rPr>
              <w:t xml:space="preserve">, </w:t>
            </w:r>
            <w:r w:rsidRPr="0053423A">
              <w:rPr>
                <w:rFonts w:cs="Sylfaen"/>
                <w:lang w:val="hy-AM"/>
              </w:rPr>
              <w:t>տեղեկությունների</w:t>
            </w:r>
            <w:r w:rsidRPr="0053423A">
              <w:rPr>
                <w:lang w:val="hy-AM"/>
              </w:rPr>
              <w:t xml:space="preserve"> </w:t>
            </w:r>
            <w:r w:rsidRPr="0053423A">
              <w:rPr>
                <w:rFonts w:cs="Sylfaen"/>
                <w:lang w:val="hy-AM"/>
              </w:rPr>
              <w:t>գրանցման</w:t>
            </w:r>
            <w:r w:rsidRPr="0053423A">
              <w:rPr>
                <w:lang w:val="hy-AM"/>
              </w:rPr>
              <w:t xml:space="preserve">, </w:t>
            </w:r>
            <w:r w:rsidRPr="0053423A">
              <w:rPr>
                <w:rFonts w:cs="Sylfaen"/>
                <w:lang w:val="hy-AM"/>
              </w:rPr>
              <w:t>օգտագործման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տրամադրման</w:t>
            </w:r>
            <w:r w:rsidRPr="0053423A">
              <w:rPr>
                <w:lang w:val="hy-AM"/>
              </w:rPr>
              <w:t xml:space="preserve"> </w:t>
            </w:r>
            <w:r w:rsidRPr="0053423A">
              <w:rPr>
                <w:rFonts w:cs="Sylfaen"/>
                <w:lang w:val="hy-AM"/>
              </w:rPr>
              <w:t>կարգը</w:t>
            </w:r>
            <w:r w:rsidRPr="0053423A">
              <w:rPr>
                <w:lang w:val="hy-AM"/>
              </w:rPr>
              <w:t xml:space="preserve"> </w:t>
            </w:r>
            <w:r w:rsidRPr="0053423A">
              <w:rPr>
                <w:rFonts w:cs="Sylfaen"/>
                <w:lang w:val="hy-AM"/>
              </w:rPr>
              <w:t>հաստատելու</w:t>
            </w:r>
            <w:r w:rsidRPr="0053423A">
              <w:rPr>
                <w:lang w:val="hy-AM"/>
              </w:rPr>
              <w:t xml:space="preserve"> </w:t>
            </w:r>
            <w:r w:rsidRPr="0053423A">
              <w:rPr>
                <w:rFonts w:cs="Sylfaen"/>
                <w:lang w:val="hy-AM"/>
              </w:rPr>
              <w:t>մասին</w:t>
            </w:r>
            <w:r w:rsidRPr="0053423A">
              <w:rPr>
                <w:rFonts w:cs="Arial Armenian"/>
                <w:lang w:val="hy-AM"/>
              </w:rPr>
              <w:t>»</w:t>
            </w:r>
            <w:r w:rsidRPr="0053423A">
              <w:rPr>
                <w:lang w:val="hy-AM"/>
              </w:rPr>
              <w:t xml:space="preserve">  </w:t>
            </w:r>
            <w:r w:rsidRPr="0053423A">
              <w:rPr>
                <w:rFonts w:cs="Sylfaen"/>
                <w:lang w:val="hy-AM"/>
              </w:rPr>
              <w:t>կառավարության</w:t>
            </w:r>
            <w:r w:rsidRPr="0053423A">
              <w:rPr>
                <w:lang w:val="hy-AM"/>
              </w:rPr>
              <w:t xml:space="preserve"> </w:t>
            </w:r>
            <w:r w:rsidRPr="0053423A">
              <w:rPr>
                <w:rFonts w:cs="Sylfaen"/>
                <w:lang w:val="hy-AM"/>
              </w:rPr>
              <w:t>որոշման</w:t>
            </w:r>
            <w:r w:rsidRPr="0053423A">
              <w:rPr>
                <w:lang w:val="hy-AM"/>
              </w:rPr>
              <w:t xml:space="preserve"> </w:t>
            </w:r>
            <w:r w:rsidRPr="0053423A">
              <w:rPr>
                <w:rFonts w:cs="Sylfaen"/>
                <w:lang w:val="hy-AM"/>
              </w:rPr>
              <w:t>ընդունման</w:t>
            </w:r>
            <w:r w:rsidRPr="0053423A">
              <w:rPr>
                <w:lang w:val="hy-AM"/>
              </w:rPr>
              <w:t xml:space="preserve"> </w:t>
            </w:r>
            <w:r w:rsidRPr="0053423A">
              <w:rPr>
                <w:rFonts w:cs="Sylfaen"/>
                <w:lang w:val="hy-AM"/>
              </w:rPr>
              <w:t>արդյունքում</w:t>
            </w:r>
            <w:r w:rsidRPr="0053423A">
              <w:rPr>
                <w:lang w:val="hy-AM"/>
              </w:rPr>
              <w:t xml:space="preserve"> </w:t>
            </w:r>
            <w:r w:rsidRPr="0053423A">
              <w:rPr>
                <w:rFonts w:cs="Sylfaen"/>
                <w:lang w:val="hy-AM"/>
              </w:rPr>
              <w:t>ակնկալվում</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ապահովել</w:t>
            </w:r>
            <w:r w:rsidRPr="0053423A">
              <w:rPr>
                <w:lang w:val="hy-AM"/>
              </w:rPr>
              <w:t xml:space="preserve">  </w:t>
            </w:r>
            <w:r w:rsidRPr="0053423A">
              <w:rPr>
                <w:rFonts w:cs="Sylfaen"/>
                <w:lang w:val="hy-AM"/>
              </w:rPr>
              <w:t>փոխներարկումային</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օգնության</w:t>
            </w:r>
            <w:r w:rsidRPr="0053423A">
              <w:rPr>
                <w:lang w:val="hy-AM"/>
              </w:rPr>
              <w:t xml:space="preserve"> </w:t>
            </w:r>
            <w:r w:rsidRPr="0053423A">
              <w:rPr>
                <w:rFonts w:cs="Sylfaen"/>
                <w:lang w:val="hy-AM"/>
              </w:rPr>
              <w:t>որակը</w:t>
            </w:r>
            <w:r w:rsidRPr="0053423A">
              <w:rPr>
                <w:lang w:val="hy-AM"/>
              </w:rPr>
              <w:t xml:space="preserve">, </w:t>
            </w:r>
            <w:r w:rsidRPr="0053423A">
              <w:rPr>
                <w:rFonts w:cs="Sylfaen"/>
                <w:lang w:val="hy-AM"/>
              </w:rPr>
              <w:t>փոխներարկման</w:t>
            </w:r>
            <w:r w:rsidRPr="0053423A">
              <w:rPr>
                <w:lang w:val="hy-AM"/>
              </w:rPr>
              <w:t xml:space="preserve"> </w:t>
            </w:r>
            <w:r w:rsidRPr="0053423A">
              <w:rPr>
                <w:rFonts w:cs="Sylfaen"/>
                <w:lang w:val="hy-AM"/>
              </w:rPr>
              <w:t>անվտանգությունը</w:t>
            </w:r>
            <w:r w:rsidRPr="0053423A">
              <w:rPr>
                <w:lang w:val="hy-AM"/>
              </w:rPr>
              <w:t>:</w:t>
            </w:r>
          </w:p>
          <w:p w:rsidR="00764E6F" w:rsidRPr="0053423A" w:rsidRDefault="00764E6F" w:rsidP="00A67858">
            <w:pPr>
              <w:spacing w:line="276" w:lineRule="auto"/>
              <w:jc w:val="both"/>
              <w:rPr>
                <w:b/>
                <w:lang w:val="hy-AM"/>
              </w:rPr>
            </w:pPr>
          </w:p>
          <w:p w:rsidR="00764E6F" w:rsidRPr="0053423A" w:rsidRDefault="00764E6F" w:rsidP="00A67858">
            <w:pPr>
              <w:spacing w:line="276" w:lineRule="auto"/>
              <w:contextualSpacing/>
              <w:jc w:val="center"/>
              <w:rPr>
                <w:rFonts w:eastAsia="Calibri"/>
                <w:b/>
                <w:strike/>
                <w:color w:val="FF0000"/>
                <w:lang w:val="hy-AM"/>
              </w:rPr>
            </w:pPr>
          </w:p>
          <w:p w:rsidR="00764E6F" w:rsidRPr="0053423A" w:rsidRDefault="008B3845" w:rsidP="00A67858">
            <w:pPr>
              <w:spacing w:line="276" w:lineRule="auto"/>
              <w:contextualSpacing/>
              <w:jc w:val="center"/>
              <w:rPr>
                <w:b/>
                <w:lang w:val="hy-AM"/>
              </w:rPr>
            </w:pPr>
            <w:r w:rsidRPr="0053423A">
              <w:rPr>
                <w:rFonts w:eastAsia="Calibri"/>
                <w:b/>
                <w:lang w:val="hy-AM"/>
              </w:rPr>
              <w:t>2</w:t>
            </w:r>
            <w:r w:rsidR="00764E6F" w:rsidRPr="0053423A">
              <w:rPr>
                <w:rFonts w:eastAsia="Calibri"/>
                <w:b/>
                <w:lang w:val="hy-AM"/>
              </w:rPr>
              <w:t>7.3</w:t>
            </w:r>
            <w:r w:rsidR="00764E6F" w:rsidRPr="0053423A">
              <w:rPr>
                <w:b/>
                <w:lang w:val="hy-AM"/>
              </w:rPr>
              <w:t xml:space="preserve"> «ՀՀ առողջապահական համակարգի հնգամյա զարգացման ռազմավարությունը</w:t>
            </w:r>
          </w:p>
          <w:p w:rsidR="00764E6F" w:rsidRPr="0053423A" w:rsidRDefault="00764E6F" w:rsidP="00A67858">
            <w:pPr>
              <w:spacing w:line="276" w:lineRule="auto"/>
              <w:contextualSpacing/>
              <w:jc w:val="center"/>
              <w:rPr>
                <w:b/>
                <w:lang w:val="hy-AM"/>
              </w:rPr>
            </w:pPr>
            <w:r w:rsidRPr="0053423A">
              <w:rPr>
                <w:b/>
                <w:lang w:val="hy-AM"/>
              </w:rPr>
              <w:t xml:space="preserve"> հաստատելու տալու մասին» Կառավարության որոշման նախագիծը </w:t>
            </w:r>
          </w:p>
          <w:p w:rsidR="00764E6F" w:rsidRPr="0053423A" w:rsidRDefault="00764E6F" w:rsidP="00A67858">
            <w:pPr>
              <w:spacing w:line="276" w:lineRule="auto"/>
              <w:contextualSpacing/>
              <w:jc w:val="center"/>
              <w:rPr>
                <w:b/>
                <w:lang w:val="hy-AM"/>
              </w:rPr>
            </w:pPr>
            <w:r w:rsidRPr="0053423A">
              <w:rPr>
                <w:b/>
                <w:lang w:val="hy-AM"/>
              </w:rPr>
              <w:t>վարչապետի աշխատակազմ ներկայացնելը</w:t>
            </w:r>
          </w:p>
          <w:p w:rsidR="00764E6F" w:rsidRPr="0053423A" w:rsidRDefault="00764E6F" w:rsidP="00A67858">
            <w:pPr>
              <w:spacing w:line="276" w:lineRule="auto"/>
              <w:contextualSpacing/>
              <w:jc w:val="center"/>
              <w:rPr>
                <w:b/>
                <w:color w:val="FF0000"/>
                <w:lang w:val="hy-AM"/>
              </w:rPr>
            </w:pPr>
          </w:p>
          <w:p w:rsidR="00764E6F" w:rsidRPr="0053423A" w:rsidRDefault="00764E6F" w:rsidP="00A67858">
            <w:pPr>
              <w:tabs>
                <w:tab w:val="left" w:pos="180"/>
              </w:tabs>
              <w:spacing w:line="276" w:lineRule="auto"/>
              <w:jc w:val="both"/>
              <w:rPr>
                <w:lang w:val="hy-AM"/>
              </w:rPr>
            </w:pPr>
            <w:r w:rsidRPr="0053423A">
              <w:rPr>
                <w:b/>
                <w:lang w:val="hy-AM"/>
              </w:rPr>
              <w:t xml:space="preserve">   1. Միջոցառման իրականացման անհրաժեշտությունը և նպատակը</w:t>
            </w:r>
            <w:r w:rsidRPr="0053423A">
              <w:rPr>
                <w:lang w:val="hy-AM"/>
              </w:rPr>
              <w:t xml:space="preserve"> </w:t>
            </w:r>
          </w:p>
          <w:p w:rsidR="00764E6F" w:rsidRPr="0053423A" w:rsidRDefault="00764E6F" w:rsidP="00A67858">
            <w:pPr>
              <w:tabs>
                <w:tab w:val="left" w:pos="180"/>
              </w:tabs>
              <w:spacing w:line="276" w:lineRule="auto"/>
              <w:jc w:val="both"/>
              <w:rPr>
                <w:lang w:val="hy-AM"/>
              </w:rPr>
            </w:pPr>
            <w:r w:rsidRPr="0053423A">
              <w:rPr>
                <w:lang w:val="hy-AM"/>
              </w:rPr>
              <w:t xml:space="preserve">   Հայաստանում ընթացող սոցիալ-տնտեսական և քաղաքական փոփոխությունների համատեքստում անհրաժեշտություն է առաջանում վերագնահատել առողջապահության բնագավառի զարգացման գերակայությունները և սահմանել նորերը` ելնելով մարդակենտրոն համակարգ ձևավորելու անհրաժեշտությունից, որի հիմքում է ՀՀ Սահմանադրության 86-րդ հոդվածը: Այն սահմանում է պետության քաղաքականության հիմնական նպատակները, այն է` բնակչության առողջության պահպանման և բարելավման ծրագրերի իրականացումը, արդյունավետ և մատչելի բժշկական սպասարկման պայմանների ստեղծումը, ինչպես նաև հաշմանդամության կանխարգելման, բուժման, հաշմանդամների առողջության վերականգնման ծրագրերի իրականացումը։</w:t>
            </w:r>
          </w:p>
          <w:p w:rsidR="00764E6F" w:rsidRPr="0053423A" w:rsidRDefault="00764E6F" w:rsidP="00A67858">
            <w:pPr>
              <w:tabs>
                <w:tab w:val="left" w:pos="180"/>
              </w:tabs>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1.1. Կարգավորման հարաբերությունների ներկա վիճակը և առկա խնդիրները</w:t>
            </w:r>
          </w:p>
          <w:p w:rsidR="00764E6F" w:rsidRPr="0053423A" w:rsidRDefault="00764E6F" w:rsidP="00A67858">
            <w:pPr>
              <w:tabs>
                <w:tab w:val="left" w:pos="180"/>
              </w:tabs>
              <w:spacing w:line="276" w:lineRule="auto"/>
              <w:jc w:val="both"/>
              <w:rPr>
                <w:lang w:val="hy-AM"/>
              </w:rPr>
            </w:pPr>
            <w:r w:rsidRPr="0053423A">
              <w:rPr>
                <w:lang w:val="hy-AM"/>
              </w:rPr>
              <w:t xml:space="preserve">Վերջին տարիներին իրականացվել են առողջապահության համակարգի բարեփոխմանն ուղղված զգալի աշխատանքներ, այնուամենայնիվ, առողջապահության համակարգի առջև ծառացած են լուրջ ժողովրդագրական, համակարգի կառավարման և առողջապահական խնդիրներ: </w:t>
            </w:r>
          </w:p>
          <w:p w:rsidR="00764E6F" w:rsidRPr="0053423A" w:rsidRDefault="00764E6F" w:rsidP="00A67858">
            <w:pPr>
              <w:tabs>
                <w:tab w:val="left" w:pos="180"/>
              </w:tabs>
              <w:spacing w:line="276" w:lineRule="auto"/>
              <w:jc w:val="both"/>
              <w:rPr>
                <w:lang w:val="hy-AM"/>
              </w:rPr>
            </w:pPr>
            <w:r w:rsidRPr="0053423A">
              <w:rPr>
                <w:lang w:val="hy-AM"/>
              </w:rPr>
              <w:t>Դեռևս լուծված չէ Հայաստանի ամբողջ բնակչությանը բժշկական ծառայությունների համընդհանուր ծածկույթով ապահովելու (universal health coverage) հիմնախնդիրը:</w:t>
            </w:r>
          </w:p>
          <w:p w:rsidR="00764E6F" w:rsidRPr="0053423A" w:rsidRDefault="00764E6F" w:rsidP="00A67858">
            <w:pPr>
              <w:tabs>
                <w:tab w:val="left" w:pos="180"/>
              </w:tabs>
              <w:spacing w:line="276" w:lineRule="auto"/>
              <w:jc w:val="both"/>
              <w:rPr>
                <w:lang w:val="hy-AM"/>
              </w:rPr>
            </w:pPr>
            <w:r w:rsidRPr="0053423A">
              <w:rPr>
                <w:lang w:val="hy-AM"/>
              </w:rPr>
              <w:t xml:space="preserve">   Միևնույն ժամանակ, բավարար չէ բժշկական ծառայությունների մատչելիությունը Հայաստանի բնակչության համար։ Այսպես, ֆինանսական անմատչելիությամբ պայմանավորված՝ բուժօգնության չդիմելու ցուցանիշը 2016թ.-ին կազմել է 17.2%, որը 2.2%-ով ավելի է 2009թ. ցուցանիշից, իսկ համաձայն որոշ փորձագիտական գնահատականների հասնում է մինչև 30%։</w:t>
            </w:r>
          </w:p>
          <w:p w:rsidR="00764E6F" w:rsidRPr="0053423A" w:rsidRDefault="00764E6F" w:rsidP="00A67858">
            <w:pPr>
              <w:tabs>
                <w:tab w:val="left" w:pos="180"/>
              </w:tabs>
              <w:spacing w:line="276" w:lineRule="auto"/>
              <w:jc w:val="both"/>
              <w:rPr>
                <w:lang w:val="hy-AM"/>
              </w:rPr>
            </w:pPr>
            <w:r w:rsidRPr="0053423A">
              <w:rPr>
                <w:lang w:val="hy-AM"/>
              </w:rPr>
              <w:t xml:space="preserve">   Միաժամանակ, չնայած միջազգայնորեն ընդունված է, որ գրպանից կատարված ուղիղ վճարումների տեսակարար կշիռը չպետք է գերազանցի 15-20%-ը, Հայաստանում, ըստ առողջապահության բնագավառի ֆինանսական գործակալի, 2013թ.-ին ֆինանսավորվել է առողջապահությանն ուղղված միջոցների ընդհանուր ծավալի 55.6%-ը: Նույն ժամանակահատվածում, մասնավոր հատվածի ֆինանսավորման ընդհանուր կառուցվածքի առյուծի բաժինը` 94.9%-ը կազմել են տնային տնտեսությունների կողմից կատարված ուղղակի վճարումները։ Իրենց հերթին, «գրպանից» վճարումները ծառայությունների մատուցման վայրում առաջացնում են վերջիններիս ավելցուկային սպառման և բերում համակարգի անարդյունավետության` բժշկական որոշ ծառայությունների, հետազոտությունների և միջամտությունների ավելորդ օգտագործման, չհիմնավորված հոսպիտալացումների, առկա ենթակառուցվածքների անբավարար օգտագործման՝ հատկապես մարզերում, բժշկական օգնության և սպասարկման որակի անվերահսկելիության և դրա արդյունքում առաջացած ֆինանսական կորուստների հետևանքով:</w:t>
            </w:r>
          </w:p>
          <w:p w:rsidR="00764E6F" w:rsidRPr="0053423A" w:rsidRDefault="00764E6F" w:rsidP="00A67858">
            <w:pPr>
              <w:tabs>
                <w:tab w:val="left" w:pos="180"/>
              </w:tabs>
              <w:spacing w:line="276" w:lineRule="auto"/>
              <w:jc w:val="both"/>
              <w:rPr>
                <w:lang w:val="hy-AM"/>
              </w:rPr>
            </w:pPr>
            <w:r w:rsidRPr="0053423A">
              <w:rPr>
                <w:lang w:val="hy-AM"/>
              </w:rPr>
              <w:t xml:space="preserve">   Խնդիրներ են առկա նաև բժշկական օգնության և սպասարկման կազմակերպման տեսանկյունից. մարզային բժշկական հաստատությունները, որպես կանոն գործում են թերբեռնված, ցածր է սեփական բնակավայրին մոտ բուժում ստացող մարզային բնակչության տեսակարար կշիռը, մարզերում բժշկական կադրերով հագեցվածության ցուցանիշները, մեծ է հիվանդանոցային բժշկական օգնություն և սպասարկում իրականացնող կազմակերպությունների տեսակարար կշիռը: </w:t>
            </w:r>
          </w:p>
          <w:p w:rsidR="00764E6F" w:rsidRPr="0053423A" w:rsidRDefault="00764E6F" w:rsidP="00A67858">
            <w:pPr>
              <w:tabs>
                <w:tab w:val="left" w:pos="180"/>
              </w:tabs>
              <w:spacing w:line="276" w:lineRule="auto"/>
              <w:jc w:val="both"/>
              <w:rPr>
                <w:lang w:val="hy-AM"/>
              </w:rPr>
            </w:pPr>
            <w:r w:rsidRPr="0053423A">
              <w:rPr>
                <w:lang w:val="hy-AM"/>
              </w:rPr>
              <w:t xml:space="preserve">   Բնակչության հարաբերական ծերացման գործընթացին զուգահեռ ի հայտ են գալիս նոր մարտահրավերներ` պայմանավորված բժշկական օգնության և սպասարկման պահանջարկի, հիվանդացության կառուցվածքի փոփոխության` դեպի ոչ վարակիչ հիվանդությունների ավելացում, ինչպես նաև համակարգի ընդհանուր բեռի ավելացման հետ: Համաձայն վիճակագրական տվյալների, ՀՀ բնակչության մահացության կառուցվածքում գերակշռում են ոչ վարակիչ հիվանդությունները (ՈՎՀ) (75%), այդ թվում` արյան շրջանառության համակարգի հիվանդությունները (ԱՇՀՀ) (46%), չարորակ նորագոյացությունները (21.9%), շաքարային դիաբետը (4.6%), թոքերի քրոնիկ օբստրուկտիվ հիվանդությունը (4.2%): Լուրջ գործոն է նաև վաղաժամ մահացությունը չարորակ նորագոյացություններից, արյան շրջանառության համակարգի հիվանդություններից, շնչառական համակարգի հիվանդություններից և շաքարային դիաբետից:  </w:t>
            </w:r>
          </w:p>
          <w:p w:rsidR="00764E6F" w:rsidRPr="0053423A" w:rsidRDefault="00764E6F" w:rsidP="00A67858">
            <w:pPr>
              <w:tabs>
                <w:tab w:val="left" w:pos="180"/>
              </w:tabs>
              <w:spacing w:line="276" w:lineRule="auto"/>
              <w:jc w:val="both"/>
              <w:rPr>
                <w:lang w:val="hy-AM"/>
              </w:rPr>
            </w:pPr>
            <w:r w:rsidRPr="0053423A">
              <w:rPr>
                <w:lang w:val="hy-AM"/>
              </w:rPr>
              <w:t xml:space="preserve">   Ըստ ԱՀԿ տվյալների, Հայաստանում առողջ կյանքի սպասվող տևողությունը կազմել է 66.9 տարի, որը զիջում է արևմտյան Եվրոպայի երկրների ցուցանիշին, ուստի առողջապահության համակարգի տեսանկյունից կարևորվում է հայաստանցիների առողջ կյանքի տևողության երկարացնելու անհրաժեշտությունը:</w:t>
            </w:r>
          </w:p>
          <w:p w:rsidR="00764E6F" w:rsidRPr="0053423A" w:rsidRDefault="00764E6F" w:rsidP="00A67858">
            <w:pPr>
              <w:tabs>
                <w:tab w:val="left" w:pos="180"/>
              </w:tabs>
              <w:spacing w:line="276" w:lineRule="auto"/>
              <w:jc w:val="both"/>
              <w:rPr>
                <w:lang w:val="hy-AM"/>
              </w:rPr>
            </w:pPr>
          </w:p>
          <w:p w:rsidR="00764E6F" w:rsidRPr="0053423A" w:rsidRDefault="00764E6F" w:rsidP="00A67858">
            <w:pPr>
              <w:tabs>
                <w:tab w:val="left" w:pos="180"/>
              </w:tabs>
              <w:spacing w:line="276" w:lineRule="auto"/>
              <w:jc w:val="both"/>
              <w:rPr>
                <w:b/>
                <w:lang w:val="hy-AM"/>
              </w:rPr>
            </w:pPr>
            <w:r w:rsidRPr="0053423A">
              <w:rPr>
                <w:b/>
                <w:lang w:val="hy-AM"/>
              </w:rPr>
              <w:tab/>
              <w:t>1.2 Առկա խնդիրների առաջարկվող լուծումները</w:t>
            </w:r>
          </w:p>
          <w:p w:rsidR="00764E6F" w:rsidRPr="0053423A" w:rsidRDefault="00764E6F" w:rsidP="00A67858">
            <w:pPr>
              <w:tabs>
                <w:tab w:val="left" w:pos="180"/>
              </w:tabs>
              <w:spacing w:line="276" w:lineRule="auto"/>
              <w:jc w:val="both"/>
              <w:rPr>
                <w:lang w:val="hy-AM"/>
              </w:rPr>
            </w:pPr>
            <w:r w:rsidRPr="0053423A">
              <w:rPr>
                <w:lang w:val="hy-AM"/>
              </w:rPr>
              <w:t xml:space="preserve">   Ռազմավարությամբ նախատեսվող բարեփոխումների հիմքում առողջապահական ծառայությունների մատչելիության և արդյունավետության բարձրացումն է` առաջնային բուժօգնության օղակի հզորացման միջոցով: </w:t>
            </w:r>
          </w:p>
          <w:p w:rsidR="00764E6F" w:rsidRPr="0053423A" w:rsidRDefault="00764E6F" w:rsidP="00A67858">
            <w:pPr>
              <w:tabs>
                <w:tab w:val="left" w:pos="180"/>
              </w:tabs>
              <w:spacing w:line="276" w:lineRule="auto"/>
              <w:jc w:val="both"/>
              <w:rPr>
                <w:lang w:val="hy-AM"/>
              </w:rPr>
            </w:pPr>
            <w:r w:rsidRPr="0053423A">
              <w:rPr>
                <w:lang w:val="hy-AM"/>
              </w:rPr>
              <w:t xml:space="preserve">   Առողջության առաջնային պահպանման օղակը դառնալու է առողջապահության համակարգի անկյունաքարը, որն իր գործունեությամբ նպաստելու է Հայաստանում հիվանդությունների կանխարգելմանը, վաղ հայտնաբերմանը և արդյունավետության բարձրացմանը` դառնալով դարպաս դեպի պահանջված բժշկական ծառայություններ։</w:t>
            </w:r>
          </w:p>
          <w:p w:rsidR="00764E6F" w:rsidRPr="0053423A" w:rsidRDefault="00764E6F" w:rsidP="00A67858">
            <w:pPr>
              <w:tabs>
                <w:tab w:val="left" w:pos="180"/>
              </w:tabs>
              <w:spacing w:line="276" w:lineRule="auto"/>
              <w:jc w:val="both"/>
              <w:rPr>
                <w:lang w:val="hy-AM"/>
              </w:rPr>
            </w:pPr>
            <w:r w:rsidRPr="0053423A">
              <w:rPr>
                <w:lang w:val="hy-AM"/>
              </w:rPr>
              <w:t xml:space="preserve">   Առաջարկվող բարեփոխումների հիմքում է նաև Հայաստանի բնակչության հիվանդացության ու մահացության ցուցանիշների վերլուծությունը, այն միտված է վերջինների բարելավմանն ու դրական դինամիկայի ապահովմանը: Ներդրվելու են առաջնային օղակի բժիշկների աշխատանքը վերահսկող չափորոշիչների (թերապևտիկ հոսպիտալացումներ, անաշխատունակության և հաշմանդամության ցուցանիշներ, ծխող դեռահասների թվաքանակ), որոնք ենթարկվելու են մշտադիտարկման ԱՆ կողմից:</w:t>
            </w:r>
          </w:p>
          <w:p w:rsidR="00764E6F" w:rsidRPr="0053423A" w:rsidRDefault="00764E6F" w:rsidP="00A67858">
            <w:pPr>
              <w:tabs>
                <w:tab w:val="left" w:pos="180"/>
              </w:tabs>
              <w:spacing w:line="276" w:lineRule="auto"/>
              <w:jc w:val="both"/>
              <w:rPr>
                <w:lang w:val="hy-AM"/>
              </w:rPr>
            </w:pPr>
            <w:r w:rsidRPr="0053423A">
              <w:rPr>
                <w:lang w:val="hy-AM"/>
              </w:rPr>
              <w:t>Բնակչությանն առողջապահական ծառայությունների համընդհանուր ծածկույթ ապահովելու նպատակով, բժշկական օգնության ժամկետային հասանելիության սկզբունքից ելնելով, առաջարկվում է Հայաստանում ներդնել բժշկական օգնության եռամակարդակ համակարգ, որը լավագույնս կապահովի բուժօգնության կազմակերպումը` արդյունավետության ու հասանելիության սկզբունքների հիման վրա, ինչպես նաև ելնելով գումարների արդյունավետ օգտագործման և հաստատուն ծախսերի նվազեցման սկզբունքից՝ ապահովել մահճակալային ֆոնդի օպտիմալ 70-80% զբաղվածություն:</w:t>
            </w:r>
          </w:p>
          <w:p w:rsidR="00764E6F" w:rsidRPr="0053423A" w:rsidRDefault="00764E6F" w:rsidP="00A67858">
            <w:pPr>
              <w:tabs>
                <w:tab w:val="left" w:pos="180"/>
              </w:tabs>
              <w:spacing w:line="276" w:lineRule="auto"/>
              <w:jc w:val="both"/>
              <w:rPr>
                <w:lang w:val="hy-AM"/>
              </w:rPr>
            </w:pPr>
            <w:r w:rsidRPr="0053423A">
              <w:rPr>
                <w:lang w:val="hy-AM"/>
              </w:rPr>
              <w:t xml:space="preserve">   Համակարգի զարգացման տեսանկյունից անհրաժեշտություն է առաջանում գործունեության շեշտադրումը տեղափոխել բուժումից դեպի կանխարգելում, թիրախային միջոցառումների իրականացման միջոցով`  հիմնված առողջ ապրելակերպի սկզբունքների ներդրման, կանխարգելման, ռիսկի գործոնների բացահայտման և շրջակա միջավայրի ազդեցության նվազեցմանն ուղղված միջոցառումների վերահսկողական մեխանիզմների վրա։</w:t>
            </w:r>
          </w:p>
          <w:p w:rsidR="00764E6F" w:rsidRPr="0053423A" w:rsidRDefault="00764E6F" w:rsidP="00A67858">
            <w:pPr>
              <w:spacing w:line="276" w:lineRule="auto"/>
              <w:ind w:firstLine="375"/>
              <w:jc w:val="both"/>
              <w:rPr>
                <w:rFonts w:eastAsia="Calibri"/>
                <w:lang w:val="hy-AM"/>
              </w:rPr>
            </w:pPr>
            <w:r w:rsidRPr="0053423A">
              <w:rPr>
                <w:rFonts w:eastAsia="Calibri"/>
                <w:lang w:val="hy-AM"/>
              </w:rPr>
              <w:t xml:space="preserve">Միջոցառման համակատարողները մշակված նախագծի վերաբերյալ ներկայացնում են կարծիք, անհրաժեշտության դեպքում մասնակցում եմ նախագծի վերաբերյալ կազմակերպված քննարկումներին և տրամադրում մասնագիտական կարծիք: </w:t>
            </w:r>
          </w:p>
          <w:p w:rsidR="00764E6F" w:rsidRPr="0053423A" w:rsidRDefault="00764E6F" w:rsidP="00A67858">
            <w:pPr>
              <w:tabs>
                <w:tab w:val="left" w:pos="180"/>
              </w:tabs>
              <w:spacing w:line="276" w:lineRule="auto"/>
              <w:jc w:val="both"/>
              <w:rPr>
                <w:lang w:val="hy-AM"/>
              </w:rPr>
            </w:pPr>
          </w:p>
          <w:p w:rsidR="00764E6F" w:rsidRPr="0053423A" w:rsidRDefault="00764E6F" w:rsidP="00A67858">
            <w:pPr>
              <w:tabs>
                <w:tab w:val="left" w:pos="180"/>
              </w:tabs>
              <w:spacing w:line="276" w:lineRule="auto"/>
              <w:jc w:val="both"/>
              <w:rPr>
                <w:lang w:val="hy-AM"/>
              </w:rPr>
            </w:pPr>
          </w:p>
          <w:p w:rsidR="00764E6F" w:rsidRPr="0053423A" w:rsidRDefault="00764E6F" w:rsidP="00A67858">
            <w:pPr>
              <w:tabs>
                <w:tab w:val="left" w:pos="180"/>
              </w:tabs>
              <w:spacing w:line="276" w:lineRule="auto"/>
              <w:jc w:val="both"/>
              <w:rPr>
                <w:b/>
                <w:lang w:val="hy-AM"/>
              </w:rPr>
            </w:pPr>
            <w:r w:rsidRPr="0053423A">
              <w:rPr>
                <w:b/>
                <w:lang w:val="hy-AM"/>
              </w:rPr>
              <w:t xml:space="preserve">   2. </w:t>
            </w:r>
            <w:r w:rsidRPr="0053423A">
              <w:rPr>
                <w:b/>
                <w:color w:val="000000"/>
                <w:lang w:val="hy-AM"/>
              </w:rPr>
              <w:t>2.</w:t>
            </w:r>
            <w:r w:rsidRPr="0053423A">
              <w:rPr>
                <w:b/>
                <w:color w:val="FF0000"/>
                <w:lang w:val="hy-AM"/>
              </w:rPr>
              <w:t xml:space="preserve"> </w:t>
            </w:r>
            <w:r w:rsidRPr="0053423A">
              <w:rPr>
                <w:b/>
                <w:color w:val="000000"/>
                <w:lang w:val="hy-AM"/>
              </w:rPr>
              <w:t>Միջոցառման իրականացումից ակնկալվող արդյունքը</w:t>
            </w:r>
          </w:p>
          <w:p w:rsidR="00764E6F" w:rsidRPr="0053423A" w:rsidRDefault="00764E6F" w:rsidP="00A67858">
            <w:pPr>
              <w:spacing w:line="276" w:lineRule="auto"/>
              <w:contextualSpacing/>
              <w:jc w:val="both"/>
              <w:rPr>
                <w:b/>
                <w:lang w:val="hy-AM"/>
              </w:rPr>
            </w:pPr>
            <w:r w:rsidRPr="0053423A">
              <w:rPr>
                <w:rFonts w:eastAsia="Calibri"/>
                <w:lang w:val="hy-AM"/>
              </w:rPr>
              <w:t xml:space="preserve">   ՀՀ առողջապահական համակարգի հնգամյա զարգացման ռազմավարության ներդրման արդյունքում  կունենանք առողջապահական համակարգի զարգացման երկարաժամկետ հստակ տեսլական, որը կբերի  առողջապահության բնագավառի զարգացման գերակայությունների վերագնահատման և նորերի սահմանման` ելնելով մարդակենտրոն համակարգ ձևավորելու անհրաժեշտությունից, հիմնական մարտահրավերների և ռիսկերի գնահատման, հիմնական խնդիրների և նպատակների, առաջնահերթությունների, առողջապահության համակարգի զարգացման մեխանիզմների սահմանման:</w:t>
            </w:r>
          </w:p>
          <w:p w:rsidR="00764E6F" w:rsidRPr="0053423A" w:rsidRDefault="00764E6F" w:rsidP="00A67858">
            <w:pPr>
              <w:spacing w:line="276" w:lineRule="auto"/>
              <w:contextualSpacing/>
              <w:jc w:val="both"/>
              <w:rPr>
                <w:b/>
                <w:lang w:val="hy-AM"/>
              </w:rPr>
            </w:pPr>
          </w:p>
        </w:tc>
      </w:tr>
      <w:tr w:rsidR="00764E6F" w:rsidRPr="00DE2EFA" w:rsidTr="009843B0">
        <w:tc>
          <w:tcPr>
            <w:tcW w:w="630" w:type="dxa"/>
          </w:tcPr>
          <w:p w:rsidR="00764E6F" w:rsidRPr="0053423A" w:rsidRDefault="008B3845" w:rsidP="00A67858">
            <w:pPr>
              <w:spacing w:line="276" w:lineRule="auto"/>
              <w:jc w:val="center"/>
              <w:rPr>
                <w:lang w:val="hy-AM"/>
              </w:rPr>
            </w:pPr>
            <w:r w:rsidRPr="0053423A">
              <w:rPr>
                <w:lang w:val="hy-AM"/>
              </w:rPr>
              <w:t>2</w:t>
            </w:r>
            <w:r w:rsidR="00764E6F" w:rsidRPr="0053423A">
              <w:t>8</w:t>
            </w:r>
            <w:r w:rsidR="00764E6F" w:rsidRPr="0053423A">
              <w:rPr>
                <w:lang w:val="hy-AM"/>
              </w:rPr>
              <w:t>.</w:t>
            </w:r>
          </w:p>
        </w:tc>
        <w:tc>
          <w:tcPr>
            <w:tcW w:w="10878" w:type="dxa"/>
          </w:tcPr>
          <w:p w:rsidR="00764E6F" w:rsidRPr="0053423A" w:rsidRDefault="008B3845" w:rsidP="00A67858">
            <w:pPr>
              <w:spacing w:line="276" w:lineRule="auto"/>
              <w:jc w:val="center"/>
              <w:rPr>
                <w:rFonts w:cs="Sylfaen"/>
                <w:b/>
                <w:lang w:val="hy-AM"/>
              </w:rPr>
            </w:pPr>
            <w:r w:rsidRPr="0053423A">
              <w:rPr>
                <w:rFonts w:cs="Sylfaen"/>
                <w:b/>
                <w:lang w:val="hy-AM"/>
              </w:rPr>
              <w:t>2</w:t>
            </w:r>
            <w:r w:rsidR="00764E6F" w:rsidRPr="0053423A">
              <w:rPr>
                <w:rFonts w:cs="Sylfaen"/>
                <w:b/>
                <w:lang w:val="hy-AM"/>
              </w:rPr>
              <w:t>8.1 Վայոց Ձորի մարզում նոր բժշկական կենտրոնի կառուցում և հագեցում բժշկական կահույքով, սարքավորումներով և պարագաներով</w:t>
            </w:r>
          </w:p>
          <w:p w:rsidR="00764E6F" w:rsidRPr="0053423A" w:rsidRDefault="00764E6F" w:rsidP="00A67858">
            <w:pPr>
              <w:spacing w:line="276" w:lineRule="auto"/>
              <w:jc w:val="center"/>
              <w:rPr>
                <w:rFonts w:cs="Sylfaen"/>
                <w:b/>
                <w:lang w:val="hy-AM"/>
              </w:rPr>
            </w:pPr>
          </w:p>
          <w:p w:rsidR="00764E6F" w:rsidRPr="0053423A" w:rsidRDefault="00764E6F" w:rsidP="00A67858">
            <w:pPr>
              <w:spacing w:line="276" w:lineRule="auto"/>
              <w:jc w:val="both"/>
              <w:rPr>
                <w:b/>
                <w:lang w:val="hy-AM"/>
              </w:rPr>
            </w:pPr>
            <w:r w:rsidRPr="0053423A">
              <w:rPr>
                <w:b/>
                <w:lang w:val="hy-AM"/>
              </w:rPr>
              <w:t xml:space="preserve">  1. Միջոցառման իրականացման անհրաժեշտությունը և նպատակը</w:t>
            </w:r>
          </w:p>
          <w:p w:rsidR="00764E6F" w:rsidRPr="0053423A" w:rsidRDefault="00764E6F" w:rsidP="00A67858">
            <w:pPr>
              <w:spacing w:line="276" w:lineRule="auto"/>
              <w:jc w:val="both"/>
              <w:rPr>
                <w:lang w:val="hy-AM"/>
              </w:rPr>
            </w:pPr>
            <w:r w:rsidRPr="0053423A">
              <w:rPr>
                <w:b/>
                <w:lang w:val="hy-AM"/>
              </w:rPr>
              <w:t xml:space="preserve"> </w:t>
            </w:r>
            <w:r w:rsidRPr="0053423A">
              <w:rPr>
                <w:lang w:val="hy-AM"/>
              </w:rPr>
              <w:t>ՀՀ մարզերի առողջապահական համակարգի զարգացման հարցը դեռևս արդիական խնդիր է Հայաստանի Հանրապետությունում: Մարզային բժշկական հաստատությունների շենքերը գտնվում են անմխիթար պայմաններում և ենթակա են արդիականացման` բնակչությանը տեղում ժամանակակից չափանիշներին համապատասխան բժշկական ծառայություններ մատուցելու նպատակով:</w:t>
            </w:r>
          </w:p>
          <w:p w:rsidR="00764E6F" w:rsidRPr="0053423A" w:rsidRDefault="00764E6F" w:rsidP="00A67858">
            <w:pPr>
              <w:spacing w:line="276" w:lineRule="auto"/>
              <w:jc w:val="both"/>
              <w:rPr>
                <w:lang w:val="hy-AM"/>
              </w:rPr>
            </w:pPr>
            <w:r w:rsidRPr="0053423A">
              <w:rPr>
                <w:lang w:val="hy-AM"/>
              </w:rPr>
              <w:t>ՀՀ մարզային առողջապահության համակարգի զարգացման նպատակը բնակչությանը տրամադրվող բժշկական օգնության և սպասարկման որակի և մատչելիության մակարդակի բարձրացումն է:</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jc w:val="both"/>
              <w:rPr>
                <w:lang w:val="hy-AM"/>
              </w:rPr>
            </w:pPr>
            <w:r w:rsidRPr="0053423A">
              <w:rPr>
                <w:lang w:val="hy-AM"/>
              </w:rPr>
              <w:t xml:space="preserve">   Հիմնանորոգվել և կառուցվել են ՀՀ մարզային մի շարք բժշկական կենտրոններ և առողջության առաջնային պահպանման հաստատությունների շենքեր: Բժշկական հաստատությունները նաև հագեցվել են արդի բժշկական սարքավորումներով և անհրաժեշտ կահույքով: Սակայն ՀՀ մարզերում դեռևս կան անմխիթար պայմաններում գտնվող բժշկական օգնություն և սպասարկում իրականացնող հաստատություններ, որոնց թե՛ շենքային վիճակը և թե՛ տեխնիկական հագեցվածությունը չեն բավարարում միջազգային նորմերին, ինչն անդրադառնում է նաև մատուցվող բժշկական օգնության և սպասարկման որակի վրա:</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1.2. Առկա խնդիրների առաջարկվող լուծումները</w:t>
            </w:r>
          </w:p>
          <w:p w:rsidR="00764E6F" w:rsidRPr="0053423A" w:rsidRDefault="00764E6F" w:rsidP="00A67858">
            <w:pPr>
              <w:spacing w:line="276" w:lineRule="auto"/>
              <w:jc w:val="both"/>
              <w:rPr>
                <w:lang w:val="hy-AM"/>
              </w:rPr>
            </w:pPr>
            <w:r w:rsidRPr="0053423A">
              <w:rPr>
                <w:lang w:val="hy-AM"/>
              </w:rPr>
              <w:t xml:space="preserve">   Մարզերում մատուցվող բժշկական օգնության և սպասարկման որակը բարձրացնելու ուղղություններից է բժշկական հաստատությունների արդիականացումը` կառուցում, հիմնանորոգում և հագեցում ժամանակակից չափանիշներին համապատասխան բժշկական կահույքով, սարքավորումներով և պարագաներով:</w:t>
            </w:r>
          </w:p>
          <w:p w:rsidR="00764E6F" w:rsidRPr="0053423A" w:rsidRDefault="00764E6F" w:rsidP="00A67858">
            <w:pPr>
              <w:spacing w:line="276" w:lineRule="auto"/>
              <w:jc w:val="both"/>
              <w:rPr>
                <w:lang w:val="hy-AM"/>
              </w:rPr>
            </w:pPr>
            <w:r w:rsidRPr="0053423A">
              <w:rPr>
                <w:lang w:val="hy-AM"/>
              </w:rPr>
              <w:t xml:space="preserve"> 2019-2023թթ-ին նախատեսվում է շարունակել մարզային բժշկական օգնություն և սպասարկում իրականացնող հաստատությունների վերանորոգման/կառուցման և հագեցման աշխատանքների իրականացումը: </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color w:val="FF0000"/>
                <w:lang w:val="hy-AM"/>
              </w:rPr>
            </w:pPr>
            <w:r w:rsidRPr="0053423A">
              <w:rPr>
                <w:b/>
                <w:color w:val="000000"/>
                <w:lang w:val="hy-AM"/>
              </w:rPr>
              <w:t xml:space="preserve">   2.</w:t>
            </w:r>
            <w:r w:rsidRPr="0053423A">
              <w:rPr>
                <w:b/>
                <w:color w:val="FF0000"/>
                <w:lang w:val="hy-AM"/>
              </w:rPr>
              <w:t xml:space="preserve"> </w:t>
            </w:r>
            <w:r w:rsidRPr="0053423A">
              <w:rPr>
                <w:b/>
                <w:color w:val="000000"/>
                <w:lang w:val="hy-AM"/>
              </w:rPr>
              <w:t>Միջոցառման իրականացումից ակնկալվող արդյունքը</w:t>
            </w:r>
          </w:p>
          <w:p w:rsidR="00764E6F" w:rsidRPr="0053423A" w:rsidRDefault="00764E6F" w:rsidP="00A67858">
            <w:pPr>
              <w:spacing w:line="276" w:lineRule="auto"/>
              <w:jc w:val="both"/>
              <w:rPr>
                <w:rFonts w:cs="Times Armenian"/>
                <w:lang w:val="hy-AM"/>
              </w:rPr>
            </w:pPr>
            <w:r w:rsidRPr="0053423A">
              <w:rPr>
                <w:rFonts w:cs="Times Armenian"/>
                <w:lang w:val="hy-AM"/>
              </w:rPr>
              <w:t>ՀՀ Վայոց Ձորի մարզն</w:t>
            </w:r>
            <w:r w:rsidRPr="0053423A">
              <w:rPr>
                <w:rFonts w:cs="Sylfaen"/>
                <w:lang w:val="hy-AM"/>
              </w:rPr>
              <w:t xml:space="preserve"> </w:t>
            </w:r>
            <w:r w:rsidRPr="0053423A">
              <w:rPr>
                <w:rFonts w:cs="Times Armenian"/>
                <w:lang w:val="hy-AM"/>
              </w:rPr>
              <w:t xml:space="preserve">ընդգրկում է 3 քաղաք` Եղեգնաձոր, Վայք, Ջերմուկ, ինչպես նաև 41 գյուղական համայնք և 52 գյուղ: </w:t>
            </w:r>
          </w:p>
          <w:p w:rsidR="00764E6F" w:rsidRPr="0053423A" w:rsidRDefault="00764E6F" w:rsidP="00A67858">
            <w:pPr>
              <w:spacing w:line="276" w:lineRule="auto"/>
              <w:jc w:val="both"/>
              <w:rPr>
                <w:rFonts w:cs="Times Armenian"/>
                <w:lang w:val="hy-AM"/>
              </w:rPr>
            </w:pPr>
            <w:r w:rsidRPr="0053423A">
              <w:rPr>
                <w:rFonts w:cs="Times Armenian"/>
                <w:lang w:val="hy-AM"/>
              </w:rPr>
              <w:t xml:space="preserve">   Եղեգնաձորի տարաշաշրջանում գործում է «Եղեգնաձորի բժշկական կենտրոն» ՓԲԸ-ն` 45 մահճակալային ֆոնդով, որը սպասարկում է Եղեգնաձորի տարածաշրջանի շուրջ 32.2 հազար ազգաբնակչությանը:</w:t>
            </w:r>
            <w:r w:rsidRPr="0053423A">
              <w:rPr>
                <w:rFonts w:cs="Sylfaen"/>
                <w:lang w:val="hy-AM"/>
              </w:rPr>
              <w:t xml:space="preserve"> </w:t>
            </w:r>
            <w:r w:rsidRPr="0053423A">
              <w:rPr>
                <w:rFonts w:cs="Times Armenian"/>
                <w:lang w:val="hy-AM"/>
              </w:rPr>
              <w:t xml:space="preserve">Բժշկական կենտրոնը գտնվում է ոչ բարվոք վիճակում և կարիք ունի կապիտալ հիմնանորոգման, իսկ սարքավորումները, կահույքը և պարագաները ֆիզիկապես մաշված են, մեծ մասն արտադրված է դեռևս Խորհրդային Միության տարիներին: </w:t>
            </w:r>
          </w:p>
          <w:p w:rsidR="00764E6F" w:rsidRPr="0053423A" w:rsidRDefault="00764E6F" w:rsidP="00A67858">
            <w:pPr>
              <w:spacing w:line="276" w:lineRule="auto"/>
              <w:jc w:val="both"/>
              <w:rPr>
                <w:rFonts w:cs="Times Armenian"/>
                <w:lang w:val="hy-AM"/>
              </w:rPr>
            </w:pPr>
            <w:r w:rsidRPr="0053423A">
              <w:rPr>
                <w:rFonts w:cs="Times Armenian"/>
                <w:lang w:val="hy-AM"/>
              </w:rPr>
              <w:t xml:space="preserve">   Վայքի տարածաշրջանում գործում է «Վայքի բուժական միավորում» ՓԲԸ-ն` 35 մահճակալային ֆոնդով, որը սպասարկում է Վայքի և Ջերմուկի տարածաշրջանների բնակչությանը՝ շուրջ 17.3 հազար մարդ: Ծառայություններն իրականացվում են հիմնական, ծննդատան և ինֆեկցիոն ծառայության մասնաշենքերում: Գլխավոր մասնաշենքը երկհարկանի է, զբաղեցնում է շուրջ 1620 քմ ընդհանուր մակերեսով տարածք, որը կառուցվել է 1962-70-ական թվականներին և մասնակի վերանորոգվել պետական բյուջեի միջոցներով: Բուժմիավորման մյուս եռահարկ մասնաշենքում տեղակայված է ծննդօգնության ծառայությունը, որը համեմատաբար նոր՝ 1994 թվականի, շուրջ 2259 քմ ընդհանուր մակերես տարածքով կառույց է:</w:t>
            </w:r>
          </w:p>
          <w:p w:rsidR="00764E6F" w:rsidRPr="0053423A" w:rsidRDefault="00764E6F" w:rsidP="00A67858">
            <w:pPr>
              <w:spacing w:line="276" w:lineRule="auto"/>
              <w:jc w:val="both"/>
              <w:rPr>
                <w:rFonts w:cs="Times Armenian"/>
                <w:lang w:val="hy-AM"/>
              </w:rPr>
            </w:pPr>
            <w:r w:rsidRPr="0053423A">
              <w:rPr>
                <w:rFonts w:cs="Times Armenian"/>
                <w:lang w:val="hy-AM"/>
              </w:rPr>
              <w:t xml:space="preserve">   Ելնելով վերոնշյալից, ինչպես նաև կենտրոնների մահճակալների ծանրաբեռնվածության ցուցանիշներից` նպատակահարմար չէ արդիականացնել մարզի 2 բուժհաստատությունները:</w:t>
            </w:r>
          </w:p>
          <w:p w:rsidR="00764E6F" w:rsidRPr="0053423A" w:rsidRDefault="00764E6F" w:rsidP="00A67858">
            <w:pPr>
              <w:tabs>
                <w:tab w:val="left" w:pos="5040"/>
              </w:tabs>
              <w:spacing w:line="276" w:lineRule="auto"/>
              <w:jc w:val="both"/>
              <w:rPr>
                <w:rFonts w:cs="Times Armenian"/>
                <w:lang w:val="hy-AM"/>
              </w:rPr>
            </w:pPr>
            <w:r w:rsidRPr="0053423A">
              <w:rPr>
                <w:rFonts w:cs="Times Armenian"/>
                <w:lang w:val="hy-AM"/>
              </w:rPr>
              <w:t xml:space="preserve">   Ուստի` նպատակահարմար է միավորել Եղեգնաձորի և Վայքի բժշկական հաստատությունների հիվանդանոցային և ծննդօգնության ծառայությունները (ընդհանուր` 80 մահճակալ հզորությամբ)` կառուցելով Եղեգնաձորում նոր հիվանդանոց (36 ստացիոնար մահճակալ հզորությամբ), որը կապահովի երկրորդային մակարդակի հիվանդանոցային ծառայությունները, պահպանելով պոլիկլինիկական ծառայությունները Վայքում և Եղեգնաձորում:</w:t>
            </w:r>
          </w:p>
          <w:p w:rsidR="00764E6F" w:rsidRPr="0053423A" w:rsidRDefault="00764E6F" w:rsidP="00A67858">
            <w:pPr>
              <w:tabs>
                <w:tab w:val="left" w:pos="5040"/>
              </w:tabs>
              <w:spacing w:line="276" w:lineRule="auto"/>
              <w:jc w:val="both"/>
              <w:rPr>
                <w:rFonts w:cs="Times Armenian"/>
                <w:lang w:val="hy-AM"/>
              </w:rPr>
            </w:pPr>
          </w:p>
          <w:p w:rsidR="00764E6F" w:rsidRPr="0053423A" w:rsidRDefault="008B3845" w:rsidP="00A67858">
            <w:pPr>
              <w:spacing w:line="276" w:lineRule="auto"/>
              <w:jc w:val="center"/>
              <w:rPr>
                <w:b/>
                <w:lang w:val="hy-AM"/>
              </w:rPr>
            </w:pPr>
            <w:r w:rsidRPr="0053423A">
              <w:rPr>
                <w:b/>
                <w:lang w:val="hy-AM"/>
              </w:rPr>
              <w:t>2</w:t>
            </w:r>
            <w:r w:rsidR="00764E6F" w:rsidRPr="0053423A">
              <w:rPr>
                <w:b/>
                <w:lang w:val="hy-AM"/>
              </w:rPr>
              <w:t>8.2 Գեղարքունիքի մարզի նոր բժշկական կենտրոնի կառուցում և հագեցում բժշկական կահույքով, սարքավորումներով և պարագաներով</w:t>
            </w:r>
          </w:p>
          <w:p w:rsidR="00764E6F" w:rsidRPr="0053423A" w:rsidRDefault="00764E6F" w:rsidP="00A67858">
            <w:pPr>
              <w:spacing w:line="276" w:lineRule="auto"/>
              <w:jc w:val="center"/>
              <w:rPr>
                <w:b/>
                <w:lang w:val="hy-AM"/>
              </w:rPr>
            </w:pPr>
          </w:p>
          <w:p w:rsidR="00764E6F" w:rsidRPr="0053423A" w:rsidRDefault="00764E6F" w:rsidP="00A67858">
            <w:pPr>
              <w:spacing w:line="276" w:lineRule="auto"/>
              <w:jc w:val="both"/>
              <w:rPr>
                <w:b/>
                <w:lang w:val="hy-AM"/>
              </w:rPr>
            </w:pPr>
            <w:r w:rsidRPr="0053423A">
              <w:rPr>
                <w:b/>
                <w:lang w:val="hy-AM"/>
              </w:rPr>
              <w:t xml:space="preserve">   1. Միջոցառման իրականացման անհրաժեշտությունը և նպատակը</w:t>
            </w:r>
          </w:p>
          <w:p w:rsidR="00764E6F" w:rsidRPr="0053423A" w:rsidRDefault="00764E6F" w:rsidP="00A67858">
            <w:pPr>
              <w:spacing w:line="276" w:lineRule="auto"/>
              <w:jc w:val="both"/>
              <w:rPr>
                <w:lang w:val="hy-AM"/>
              </w:rPr>
            </w:pPr>
            <w:r w:rsidRPr="0053423A">
              <w:rPr>
                <w:b/>
                <w:lang w:val="hy-AM"/>
              </w:rPr>
              <w:t xml:space="preserve">   </w:t>
            </w:r>
            <w:r w:rsidRPr="0053423A">
              <w:rPr>
                <w:lang w:val="hy-AM"/>
              </w:rPr>
              <w:t>ՀՀ մարզերի առողջապահական համակարգի զարգացման հարցը դեռևս արդիական խնդիր է Հայաստանի Հանրապետությունում: Մարզային բժշկական հաստատությունների շենքերը գտնվում են անմխիթար պայմաններում և ենթակա են արդիականացման` բնակչությանը տեղում ժամանակակից չափանիշներին համապատասխան բժշկական ծառայություններ մատուցելու նպատակով:</w:t>
            </w:r>
          </w:p>
          <w:p w:rsidR="00764E6F" w:rsidRPr="0053423A" w:rsidRDefault="00764E6F" w:rsidP="00A67858">
            <w:pPr>
              <w:spacing w:line="276" w:lineRule="auto"/>
              <w:jc w:val="both"/>
              <w:rPr>
                <w:lang w:val="hy-AM"/>
              </w:rPr>
            </w:pPr>
            <w:r w:rsidRPr="0053423A">
              <w:rPr>
                <w:lang w:val="hy-AM"/>
              </w:rPr>
              <w:t>ՀՀ մարզային առողջապահության համակարգի զարգացման նպատակը բնակչությանը տրամադրվող բժշկական օգնության և սպասարկման որակի և մատչելիության մակարդակի բարձրացումն է:</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jc w:val="both"/>
              <w:rPr>
                <w:lang w:val="hy-AM"/>
              </w:rPr>
            </w:pPr>
            <w:r w:rsidRPr="0053423A">
              <w:rPr>
                <w:lang w:val="hy-AM"/>
              </w:rPr>
              <w:t xml:space="preserve">   Հիմնանորոգվել և կառուցվել են ՀՀ մարզային մի շարք բժշկական կենտրոններ և առողջության առաջնային պահպանման հաստատությունների շենքեր: Բժշկական հաստատությունները նաև հագեցվել են արդի բժշկական սարքավորումներով և անհրաժեշտ կահույքով: Սակայն ՀՀ մարզերում դեռևս կան անմխիթար պայմաններում գտնվող բժշկական օգնություն և սպասարկում իրականացնող հաստատություններ, որոնց թե՛ շենքային վիճակը և թե՛ տեխնիկական հագեցվածությունը չեն բավարարում միջազգային նորմերին, ինչն  անդրադառնում է նաև մատուցվող բժշկական օգնության և սպասարկման որակի վրա:</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1.2 Առկա խնդիրների առաջարկվող լուծումները</w:t>
            </w:r>
          </w:p>
          <w:p w:rsidR="00764E6F" w:rsidRPr="0053423A" w:rsidRDefault="00764E6F" w:rsidP="00A67858">
            <w:pPr>
              <w:spacing w:line="276" w:lineRule="auto"/>
              <w:jc w:val="both"/>
              <w:rPr>
                <w:lang w:val="hy-AM"/>
              </w:rPr>
            </w:pPr>
            <w:r w:rsidRPr="0053423A">
              <w:rPr>
                <w:lang w:val="hy-AM"/>
              </w:rPr>
              <w:t xml:space="preserve">   Մարզերում մատուցվող բժշկական օգնության և սպասարկման որակը բարձրացնելու ուղղություններից է բժշկական հաստատությունների արդիականացումը` կառուցում, հիմնանորոգում և հագեցում ժամանակակից չափանիշներին համապատասխան բժշկական կահույքով, սարքավորումներով և պարագաներով:</w:t>
            </w:r>
          </w:p>
          <w:p w:rsidR="00764E6F" w:rsidRPr="0053423A" w:rsidRDefault="00764E6F" w:rsidP="00A67858">
            <w:pPr>
              <w:spacing w:line="276" w:lineRule="auto"/>
              <w:jc w:val="both"/>
              <w:rPr>
                <w:lang w:val="hy-AM"/>
              </w:rPr>
            </w:pPr>
            <w:r w:rsidRPr="0053423A">
              <w:rPr>
                <w:lang w:val="hy-AM"/>
              </w:rPr>
              <w:t xml:space="preserve">   2019-2023թթ-ին նախատեսվում է շարունակել մարզային բժշկական օգնություն և սպասարկում իրականացնող հաստատությունների վերանորոգման/կառուցման և հագեցման աշխատանքների իրականացումը: </w:t>
            </w:r>
          </w:p>
          <w:p w:rsidR="00764E6F" w:rsidRPr="0053423A" w:rsidRDefault="00764E6F" w:rsidP="00A67858">
            <w:pPr>
              <w:spacing w:line="276" w:lineRule="auto"/>
              <w:jc w:val="both"/>
              <w:rPr>
                <w:rFonts w:cs="Sylfaen"/>
                <w:lang w:val="hy-AM"/>
              </w:rPr>
            </w:pPr>
          </w:p>
          <w:p w:rsidR="00764E6F" w:rsidRPr="0053423A" w:rsidRDefault="00764E6F" w:rsidP="00A67858">
            <w:pPr>
              <w:spacing w:line="276" w:lineRule="auto"/>
              <w:jc w:val="both"/>
              <w:rPr>
                <w:b/>
                <w:color w:val="FF0000"/>
                <w:lang w:val="hy-AM"/>
              </w:rPr>
            </w:pPr>
            <w:r w:rsidRPr="0053423A">
              <w:rPr>
                <w:b/>
                <w:color w:val="000000"/>
                <w:lang w:val="hy-AM"/>
              </w:rPr>
              <w:t xml:space="preserve">   2.</w:t>
            </w:r>
            <w:r w:rsidRPr="0053423A">
              <w:rPr>
                <w:b/>
                <w:color w:val="FF0000"/>
                <w:lang w:val="hy-AM"/>
              </w:rPr>
              <w:t xml:space="preserve"> </w:t>
            </w:r>
            <w:r w:rsidRPr="0053423A">
              <w:rPr>
                <w:b/>
                <w:color w:val="000000"/>
                <w:lang w:val="hy-AM"/>
              </w:rPr>
              <w:t>Միջոցառման իրականացումից ակնկալվող արդյունքը</w:t>
            </w:r>
          </w:p>
          <w:p w:rsidR="00764E6F" w:rsidRPr="0053423A" w:rsidRDefault="00764E6F" w:rsidP="00A67858">
            <w:pPr>
              <w:spacing w:line="276" w:lineRule="auto"/>
              <w:jc w:val="both"/>
              <w:rPr>
                <w:lang w:val="hy-AM"/>
              </w:rPr>
            </w:pPr>
            <w:r w:rsidRPr="0053423A">
              <w:rPr>
                <w:lang w:val="hy-AM"/>
              </w:rPr>
              <w:t xml:space="preserve">   </w:t>
            </w:r>
            <w:r w:rsidRPr="0053423A">
              <w:rPr>
                <w:rFonts w:cs="Sylfaen"/>
                <w:lang w:val="hy-AM"/>
              </w:rPr>
              <w:t>ՀՀ</w:t>
            </w:r>
            <w:r w:rsidRPr="0053423A">
              <w:rPr>
                <w:lang w:val="hy-AM"/>
              </w:rPr>
              <w:t xml:space="preserve"> </w:t>
            </w:r>
            <w:r w:rsidRPr="0053423A">
              <w:rPr>
                <w:rFonts w:cs="Sylfaen"/>
                <w:lang w:val="hy-AM"/>
              </w:rPr>
              <w:t>Գեղարքունիքի</w:t>
            </w:r>
            <w:r w:rsidRPr="0053423A">
              <w:rPr>
                <w:lang w:val="hy-AM"/>
              </w:rPr>
              <w:t xml:space="preserve"> </w:t>
            </w:r>
            <w:r w:rsidRPr="0053423A">
              <w:rPr>
                <w:rFonts w:cs="Sylfaen"/>
                <w:lang w:val="hy-AM"/>
              </w:rPr>
              <w:t>մարզի</w:t>
            </w:r>
            <w:r w:rsidRPr="0053423A">
              <w:rPr>
                <w:lang w:val="hy-AM"/>
              </w:rPr>
              <w:t xml:space="preserve"> </w:t>
            </w:r>
            <w:r w:rsidRPr="0053423A">
              <w:rPr>
                <w:rFonts w:cs="Sylfaen"/>
                <w:lang w:val="hy-AM"/>
              </w:rPr>
              <w:t>Մարտունու</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կենտրոնը</w:t>
            </w:r>
            <w:r w:rsidRPr="0053423A">
              <w:rPr>
                <w:lang w:val="hy-AM"/>
              </w:rPr>
              <w:t xml:space="preserve">` 95 </w:t>
            </w:r>
            <w:r w:rsidRPr="0053423A">
              <w:rPr>
                <w:rFonts w:cs="Sylfaen"/>
                <w:lang w:val="hy-AM"/>
              </w:rPr>
              <w:t>մահճակալ</w:t>
            </w:r>
            <w:r w:rsidRPr="0053423A">
              <w:rPr>
                <w:lang w:val="hy-AM"/>
              </w:rPr>
              <w:t xml:space="preserve"> </w:t>
            </w:r>
            <w:r w:rsidRPr="0053423A">
              <w:rPr>
                <w:rFonts w:cs="Sylfaen"/>
                <w:lang w:val="hy-AM"/>
              </w:rPr>
              <w:t>հզորությամբ</w:t>
            </w:r>
            <w:r w:rsidRPr="0053423A">
              <w:rPr>
                <w:lang w:val="hy-AM"/>
              </w:rPr>
              <w:t xml:space="preserve">, </w:t>
            </w:r>
            <w:r w:rsidRPr="0053423A">
              <w:rPr>
                <w:rFonts w:cs="Sylfaen"/>
                <w:lang w:val="hy-AM"/>
              </w:rPr>
              <w:t>բազմապրոֆիլային բժշկական</w:t>
            </w:r>
            <w:r w:rsidRPr="0053423A">
              <w:rPr>
                <w:lang w:val="hy-AM"/>
              </w:rPr>
              <w:t xml:space="preserve"> </w:t>
            </w:r>
            <w:r w:rsidRPr="0053423A">
              <w:rPr>
                <w:rFonts w:cs="Sylfaen"/>
                <w:lang w:val="hy-AM"/>
              </w:rPr>
              <w:t>հաստատություն</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որը</w:t>
            </w:r>
            <w:r w:rsidRPr="0053423A">
              <w:rPr>
                <w:lang w:val="hy-AM"/>
              </w:rPr>
              <w:t xml:space="preserve"> </w:t>
            </w:r>
            <w:r w:rsidRPr="0053423A">
              <w:rPr>
                <w:rFonts w:cs="Sylfaen"/>
                <w:lang w:val="hy-AM"/>
              </w:rPr>
              <w:t>լայն</w:t>
            </w:r>
            <w:r w:rsidRPr="0053423A">
              <w:rPr>
                <w:lang w:val="hy-AM"/>
              </w:rPr>
              <w:t xml:space="preserve"> </w:t>
            </w:r>
            <w:r w:rsidRPr="0053423A">
              <w:rPr>
                <w:rFonts w:cs="Sylfaen"/>
                <w:lang w:val="hy-AM"/>
              </w:rPr>
              <w:t>սպեկտորի</w:t>
            </w:r>
            <w:r w:rsidRPr="0053423A">
              <w:rPr>
                <w:lang w:val="hy-AM"/>
              </w:rPr>
              <w:t xml:space="preserve"> </w:t>
            </w:r>
            <w:r w:rsidRPr="0053423A">
              <w:rPr>
                <w:rFonts w:cs="Sylfaen"/>
                <w:lang w:val="hy-AM"/>
              </w:rPr>
              <w:t>ստացիոնար</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պոլիկլինիկական</w:t>
            </w:r>
            <w:r w:rsidRPr="0053423A">
              <w:rPr>
                <w:lang w:val="hy-AM"/>
              </w:rPr>
              <w:t xml:space="preserve"> </w:t>
            </w:r>
            <w:r w:rsidRPr="0053423A">
              <w:rPr>
                <w:rFonts w:cs="Sylfaen"/>
                <w:lang w:val="hy-AM"/>
              </w:rPr>
              <w:t>ծառայություններ</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մատուցում</w:t>
            </w:r>
            <w:r w:rsidRPr="0053423A">
              <w:rPr>
                <w:lang w:val="hy-AM"/>
              </w:rPr>
              <w:t xml:space="preserve"> </w:t>
            </w:r>
            <w:r w:rsidRPr="0053423A">
              <w:rPr>
                <w:rFonts w:cs="Sylfaen"/>
                <w:lang w:val="hy-AM"/>
              </w:rPr>
              <w:t>Մարտունու</w:t>
            </w:r>
            <w:r w:rsidRPr="0053423A">
              <w:rPr>
                <w:lang w:val="hy-AM"/>
              </w:rPr>
              <w:t xml:space="preserve"> </w:t>
            </w:r>
            <w:r w:rsidRPr="0053423A">
              <w:rPr>
                <w:rFonts w:cs="Sylfaen"/>
                <w:lang w:val="hy-AM"/>
              </w:rPr>
              <w:t>տարածաշրջանի</w:t>
            </w:r>
            <w:r w:rsidRPr="0053423A">
              <w:rPr>
                <w:lang w:val="hy-AM"/>
              </w:rPr>
              <w:t xml:space="preserve"> 88.9 </w:t>
            </w:r>
            <w:r w:rsidRPr="0053423A">
              <w:rPr>
                <w:rFonts w:cs="Sylfaen"/>
                <w:lang w:val="hy-AM"/>
              </w:rPr>
              <w:t>հազար</w:t>
            </w:r>
            <w:r w:rsidRPr="0053423A">
              <w:rPr>
                <w:lang w:val="hy-AM"/>
              </w:rPr>
              <w:t xml:space="preserve"> </w:t>
            </w:r>
            <w:r w:rsidRPr="0053423A">
              <w:rPr>
                <w:rFonts w:cs="Sylfaen"/>
                <w:lang w:val="hy-AM"/>
              </w:rPr>
              <w:t>բնակչությանը</w:t>
            </w:r>
            <w:r w:rsidRPr="0053423A">
              <w:rPr>
                <w:lang w:val="hy-AM"/>
              </w:rPr>
              <w:t xml:space="preserve">, </w:t>
            </w:r>
            <w:r w:rsidRPr="0053423A">
              <w:rPr>
                <w:rFonts w:cs="Sylfaen"/>
                <w:lang w:val="hy-AM"/>
              </w:rPr>
              <w:t>որից</w:t>
            </w:r>
            <w:r w:rsidRPr="0053423A">
              <w:rPr>
                <w:lang w:val="hy-AM"/>
              </w:rPr>
              <w:t xml:space="preserve"> 11.7 </w:t>
            </w:r>
            <w:r w:rsidRPr="0053423A">
              <w:rPr>
                <w:rFonts w:cs="Sylfaen"/>
                <w:lang w:val="hy-AM"/>
              </w:rPr>
              <w:t>հազարը</w:t>
            </w:r>
            <w:r w:rsidRPr="0053423A">
              <w:rPr>
                <w:lang w:val="hy-AM"/>
              </w:rPr>
              <w:t xml:space="preserve"> </w:t>
            </w:r>
            <w:r w:rsidRPr="0053423A">
              <w:rPr>
                <w:rFonts w:cs="Sylfaen"/>
                <w:lang w:val="hy-AM"/>
              </w:rPr>
              <w:t>քաղաքային</w:t>
            </w:r>
            <w:r w:rsidRPr="0053423A">
              <w:rPr>
                <w:lang w:val="hy-AM"/>
              </w:rPr>
              <w:t xml:space="preserve"> </w:t>
            </w:r>
            <w:r w:rsidRPr="0053423A">
              <w:rPr>
                <w:rFonts w:cs="Sylfaen"/>
                <w:lang w:val="hy-AM"/>
              </w:rPr>
              <w:t>է</w:t>
            </w:r>
            <w:r w:rsidRPr="0053423A">
              <w:rPr>
                <w:lang w:val="hy-AM"/>
              </w:rPr>
              <w:t>, 77.2-</w:t>
            </w:r>
            <w:r w:rsidRPr="0053423A">
              <w:rPr>
                <w:rFonts w:cs="Sylfaen"/>
                <w:lang w:val="hy-AM"/>
              </w:rPr>
              <w:t>ը</w:t>
            </w:r>
            <w:r w:rsidRPr="0053423A">
              <w:rPr>
                <w:lang w:val="hy-AM"/>
              </w:rPr>
              <w:t xml:space="preserve">` </w:t>
            </w:r>
            <w:r w:rsidRPr="0053423A">
              <w:rPr>
                <w:rFonts w:cs="Sylfaen"/>
                <w:lang w:val="hy-AM"/>
              </w:rPr>
              <w:t>գյուղական</w:t>
            </w:r>
            <w:r w:rsidRPr="0053423A">
              <w:rPr>
                <w:lang w:val="hy-AM"/>
              </w:rPr>
              <w:t>:</w:t>
            </w:r>
          </w:p>
          <w:p w:rsidR="00764E6F" w:rsidRPr="0053423A" w:rsidRDefault="00764E6F" w:rsidP="00A67858">
            <w:pPr>
              <w:spacing w:line="276" w:lineRule="auto"/>
              <w:jc w:val="both"/>
              <w:rPr>
                <w:rFonts w:cs="Sylfaen"/>
                <w:lang w:val="hy-AM"/>
              </w:rPr>
            </w:pPr>
            <w:r w:rsidRPr="0053423A">
              <w:rPr>
                <w:rFonts w:cs="Sylfaen"/>
                <w:lang w:val="hy-AM"/>
              </w:rPr>
              <w:t xml:space="preserve">   Մարտունու</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ծառայությունները</w:t>
            </w:r>
            <w:r w:rsidRPr="0053423A">
              <w:rPr>
                <w:lang w:val="hy-AM"/>
              </w:rPr>
              <w:t xml:space="preserve"> </w:t>
            </w:r>
            <w:r w:rsidRPr="0053423A">
              <w:rPr>
                <w:rFonts w:cs="Sylfaen"/>
                <w:lang w:val="hy-AM"/>
              </w:rPr>
              <w:t>տեղակայված</w:t>
            </w:r>
            <w:r w:rsidRPr="0053423A">
              <w:rPr>
                <w:lang w:val="hy-AM"/>
              </w:rPr>
              <w:t xml:space="preserve"> </w:t>
            </w:r>
            <w:r w:rsidRPr="0053423A">
              <w:rPr>
                <w:rFonts w:cs="Sylfaen"/>
                <w:lang w:val="hy-AM"/>
              </w:rPr>
              <w:t>են</w:t>
            </w:r>
            <w:r w:rsidRPr="0053423A">
              <w:rPr>
                <w:lang w:val="hy-AM"/>
              </w:rPr>
              <w:t xml:space="preserve"> 1987 </w:t>
            </w:r>
            <w:r w:rsidRPr="0053423A">
              <w:rPr>
                <w:rFonts w:cs="Sylfaen"/>
                <w:lang w:val="hy-AM"/>
              </w:rPr>
              <w:t>թվականին</w:t>
            </w:r>
            <w:r w:rsidRPr="0053423A">
              <w:rPr>
                <w:lang w:val="hy-AM"/>
              </w:rPr>
              <w:t xml:space="preserve"> </w:t>
            </w:r>
            <w:r w:rsidRPr="0053423A">
              <w:rPr>
                <w:rFonts w:cs="Sylfaen"/>
                <w:lang w:val="hy-AM"/>
              </w:rPr>
              <w:t>կառուցված</w:t>
            </w:r>
            <w:r w:rsidRPr="0053423A">
              <w:rPr>
                <w:lang w:val="hy-AM"/>
              </w:rPr>
              <w:t xml:space="preserve">, </w:t>
            </w:r>
            <w:r w:rsidRPr="0053423A">
              <w:rPr>
                <w:rFonts w:cs="Sylfaen"/>
                <w:lang w:val="hy-AM"/>
              </w:rPr>
              <w:t>եռահարկ</w:t>
            </w:r>
            <w:r w:rsidRPr="0053423A">
              <w:rPr>
                <w:lang w:val="hy-AM"/>
              </w:rPr>
              <w:t xml:space="preserve"> </w:t>
            </w:r>
            <w:r w:rsidRPr="0053423A">
              <w:rPr>
                <w:rFonts w:cs="Sylfaen"/>
                <w:lang w:val="hy-AM"/>
              </w:rPr>
              <w:t>պանելային</w:t>
            </w:r>
            <w:r w:rsidRPr="0053423A">
              <w:rPr>
                <w:lang w:val="hy-AM"/>
              </w:rPr>
              <w:t xml:space="preserve"> </w:t>
            </w:r>
            <w:r w:rsidRPr="0053423A">
              <w:rPr>
                <w:rFonts w:cs="Sylfaen"/>
                <w:lang w:val="hy-AM"/>
              </w:rPr>
              <w:t>շինությունում</w:t>
            </w:r>
            <w:r w:rsidRPr="0053423A">
              <w:rPr>
                <w:lang w:val="hy-AM"/>
              </w:rPr>
              <w:t xml:space="preserve">, </w:t>
            </w:r>
            <w:r w:rsidRPr="0053423A">
              <w:rPr>
                <w:rFonts w:cs="Sylfaen"/>
                <w:lang w:val="hy-AM"/>
              </w:rPr>
              <w:t>որը</w:t>
            </w:r>
            <w:r w:rsidRPr="0053423A">
              <w:rPr>
                <w:lang w:val="hy-AM"/>
              </w:rPr>
              <w:t xml:space="preserve"> </w:t>
            </w:r>
            <w:r w:rsidRPr="0053423A">
              <w:rPr>
                <w:rFonts w:cs="Sylfaen"/>
                <w:lang w:val="hy-AM"/>
              </w:rPr>
              <w:t>շահագործման</w:t>
            </w:r>
            <w:r w:rsidRPr="0053423A">
              <w:rPr>
                <w:lang w:val="hy-AM"/>
              </w:rPr>
              <w:t xml:space="preserve"> </w:t>
            </w:r>
            <w:r w:rsidRPr="0053423A">
              <w:rPr>
                <w:rFonts w:cs="Sylfaen"/>
                <w:lang w:val="hy-AM"/>
              </w:rPr>
              <w:t>հանձնելուց</w:t>
            </w:r>
            <w:r w:rsidRPr="0053423A">
              <w:rPr>
                <w:lang w:val="hy-AM"/>
              </w:rPr>
              <w:t xml:space="preserve"> </w:t>
            </w:r>
            <w:r w:rsidRPr="0053423A">
              <w:rPr>
                <w:rFonts w:cs="Sylfaen"/>
                <w:lang w:val="hy-AM"/>
              </w:rPr>
              <w:t>ի</w:t>
            </w:r>
            <w:r w:rsidRPr="0053423A">
              <w:rPr>
                <w:lang w:val="hy-AM"/>
              </w:rPr>
              <w:t xml:space="preserve"> </w:t>
            </w:r>
            <w:r w:rsidRPr="0053423A">
              <w:rPr>
                <w:rFonts w:cs="Sylfaen"/>
                <w:lang w:val="hy-AM"/>
              </w:rPr>
              <w:t>վեր</w:t>
            </w:r>
            <w:r w:rsidRPr="0053423A">
              <w:rPr>
                <w:lang w:val="hy-AM"/>
              </w:rPr>
              <w:t xml:space="preserve"> </w:t>
            </w:r>
            <w:r w:rsidRPr="0053423A">
              <w:rPr>
                <w:rFonts w:cs="Sylfaen"/>
                <w:lang w:val="hy-AM"/>
              </w:rPr>
              <w:t>չի</w:t>
            </w:r>
            <w:r w:rsidRPr="0053423A">
              <w:rPr>
                <w:lang w:val="hy-AM"/>
              </w:rPr>
              <w:t xml:space="preserve"> </w:t>
            </w:r>
            <w:r w:rsidRPr="0053423A">
              <w:rPr>
                <w:rFonts w:cs="Sylfaen"/>
                <w:lang w:val="hy-AM"/>
              </w:rPr>
              <w:t>ենթարկվել</w:t>
            </w:r>
            <w:r w:rsidRPr="0053423A">
              <w:rPr>
                <w:lang w:val="hy-AM"/>
              </w:rPr>
              <w:t xml:space="preserve"> </w:t>
            </w:r>
            <w:r w:rsidRPr="0053423A">
              <w:rPr>
                <w:rFonts w:cs="Sylfaen"/>
                <w:lang w:val="hy-AM"/>
              </w:rPr>
              <w:t>կապիտալ</w:t>
            </w:r>
            <w:r w:rsidRPr="0053423A">
              <w:rPr>
                <w:lang w:val="hy-AM"/>
              </w:rPr>
              <w:t xml:space="preserve"> </w:t>
            </w:r>
            <w:r w:rsidRPr="0053423A">
              <w:rPr>
                <w:rFonts w:cs="Sylfaen"/>
                <w:lang w:val="hy-AM"/>
              </w:rPr>
              <w:t>հիմնանորոգման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ներկայում</w:t>
            </w:r>
            <w:r w:rsidRPr="0053423A">
              <w:rPr>
                <w:lang w:val="hy-AM"/>
              </w:rPr>
              <w:t xml:space="preserve"> </w:t>
            </w:r>
            <w:r w:rsidRPr="0053423A">
              <w:rPr>
                <w:rFonts w:cs="Sylfaen"/>
                <w:lang w:val="hy-AM"/>
              </w:rPr>
              <w:t>գտնվում</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անբարեկարգ</w:t>
            </w:r>
            <w:r w:rsidRPr="0053423A">
              <w:rPr>
                <w:lang w:val="hy-AM"/>
              </w:rPr>
              <w:t xml:space="preserve"> </w:t>
            </w:r>
            <w:r w:rsidRPr="0053423A">
              <w:rPr>
                <w:rFonts w:cs="Sylfaen"/>
                <w:lang w:val="hy-AM"/>
              </w:rPr>
              <w:t>վիճակում</w:t>
            </w:r>
            <w:r w:rsidRPr="0053423A">
              <w:rPr>
                <w:lang w:val="hy-AM"/>
              </w:rPr>
              <w:t xml:space="preserve">: </w:t>
            </w:r>
          </w:p>
          <w:p w:rsidR="00764E6F" w:rsidRPr="0053423A" w:rsidRDefault="00764E6F" w:rsidP="00A67858">
            <w:pPr>
              <w:spacing w:line="276" w:lineRule="auto"/>
              <w:jc w:val="both"/>
              <w:rPr>
                <w:lang w:val="hy-AM"/>
              </w:rPr>
            </w:pPr>
            <w:r w:rsidRPr="0053423A">
              <w:rPr>
                <w:rFonts w:cs="Sylfaen"/>
                <w:lang w:val="hy-AM"/>
              </w:rPr>
              <w:t xml:space="preserve">   Ելնելով</w:t>
            </w:r>
            <w:r w:rsidRPr="0053423A">
              <w:rPr>
                <w:lang w:val="hy-AM"/>
              </w:rPr>
              <w:t xml:space="preserve"> </w:t>
            </w:r>
            <w:r w:rsidRPr="0053423A">
              <w:rPr>
                <w:rFonts w:cs="Sylfaen"/>
                <w:lang w:val="hy-AM"/>
              </w:rPr>
              <w:t>վերոնշյալից</w:t>
            </w:r>
            <w:r w:rsidRPr="0053423A">
              <w:rPr>
                <w:lang w:val="hy-AM"/>
              </w:rPr>
              <w:t xml:space="preserve">, </w:t>
            </w:r>
            <w:r w:rsidRPr="0053423A">
              <w:rPr>
                <w:rFonts w:cs="Sylfaen"/>
                <w:lang w:val="hy-AM"/>
              </w:rPr>
              <w:t>շինության</w:t>
            </w:r>
            <w:r w:rsidRPr="0053423A">
              <w:rPr>
                <w:lang w:val="hy-AM"/>
              </w:rPr>
              <w:t xml:space="preserve"> </w:t>
            </w:r>
            <w:r w:rsidRPr="0053423A">
              <w:rPr>
                <w:rFonts w:cs="Sylfaen"/>
                <w:lang w:val="hy-AM"/>
              </w:rPr>
              <w:t>չափսերից</w:t>
            </w:r>
            <w:r w:rsidRPr="0053423A">
              <w:rPr>
                <w:lang w:val="hy-AM"/>
              </w:rPr>
              <w:t xml:space="preserve">, </w:t>
            </w:r>
            <w:r w:rsidRPr="0053423A">
              <w:rPr>
                <w:rFonts w:cs="Sylfaen"/>
                <w:lang w:val="hy-AM"/>
              </w:rPr>
              <w:t>ինչպես</w:t>
            </w:r>
            <w:r w:rsidRPr="0053423A">
              <w:rPr>
                <w:lang w:val="hy-AM"/>
              </w:rPr>
              <w:t xml:space="preserve"> </w:t>
            </w:r>
            <w:r w:rsidRPr="0053423A">
              <w:rPr>
                <w:rFonts w:cs="Sylfaen"/>
                <w:lang w:val="hy-AM"/>
              </w:rPr>
              <w:t>նաև</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մահճակալների</w:t>
            </w:r>
            <w:r w:rsidRPr="0053423A">
              <w:rPr>
                <w:lang w:val="hy-AM"/>
              </w:rPr>
              <w:t xml:space="preserve"> </w:t>
            </w:r>
            <w:r w:rsidRPr="0053423A">
              <w:rPr>
                <w:rFonts w:cs="Sylfaen"/>
                <w:lang w:val="hy-AM"/>
              </w:rPr>
              <w:t>ծանրաբեռնվածության</w:t>
            </w:r>
            <w:r w:rsidRPr="0053423A">
              <w:rPr>
                <w:lang w:val="hy-AM"/>
              </w:rPr>
              <w:t xml:space="preserve"> </w:t>
            </w:r>
            <w:r w:rsidRPr="0053423A">
              <w:rPr>
                <w:rFonts w:cs="Sylfaen"/>
                <w:lang w:val="hy-AM"/>
              </w:rPr>
              <w:t>ցուցանիշներից</w:t>
            </w:r>
            <w:r w:rsidRPr="0053423A">
              <w:rPr>
                <w:lang w:val="hy-AM"/>
              </w:rPr>
              <w:t xml:space="preserve">` </w:t>
            </w:r>
            <w:r w:rsidRPr="0053423A">
              <w:rPr>
                <w:rFonts w:cs="Sylfaen"/>
                <w:lang w:val="hy-AM"/>
              </w:rPr>
              <w:t>տնտեսապես</w:t>
            </w:r>
            <w:r w:rsidRPr="0053423A">
              <w:rPr>
                <w:lang w:val="hy-AM"/>
              </w:rPr>
              <w:t xml:space="preserve"> </w:t>
            </w:r>
            <w:r w:rsidRPr="0053423A">
              <w:rPr>
                <w:rFonts w:cs="Sylfaen"/>
                <w:lang w:val="hy-AM"/>
              </w:rPr>
              <w:t>արդյունավետ</w:t>
            </w:r>
            <w:r w:rsidRPr="0053423A">
              <w:rPr>
                <w:lang w:val="hy-AM"/>
              </w:rPr>
              <w:t xml:space="preserve"> </w:t>
            </w:r>
            <w:r w:rsidRPr="0053423A">
              <w:rPr>
                <w:rFonts w:cs="Sylfaen"/>
                <w:lang w:val="hy-AM"/>
              </w:rPr>
              <w:t>չէ</w:t>
            </w:r>
            <w:r w:rsidRPr="0053423A">
              <w:rPr>
                <w:lang w:val="hy-AM"/>
              </w:rPr>
              <w:t xml:space="preserve"> </w:t>
            </w:r>
            <w:r w:rsidRPr="0053423A">
              <w:rPr>
                <w:rFonts w:cs="Sylfaen"/>
                <w:lang w:val="hy-AM"/>
              </w:rPr>
              <w:t>Մարտունու</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ներկայիս</w:t>
            </w:r>
            <w:r w:rsidRPr="0053423A">
              <w:rPr>
                <w:lang w:val="hy-AM"/>
              </w:rPr>
              <w:t xml:space="preserve"> </w:t>
            </w:r>
            <w:r w:rsidRPr="0053423A">
              <w:rPr>
                <w:rFonts w:cs="Sylfaen"/>
                <w:lang w:val="hy-AM"/>
              </w:rPr>
              <w:t>մասնաշենքի</w:t>
            </w:r>
            <w:r w:rsidRPr="0053423A">
              <w:rPr>
                <w:lang w:val="hy-AM"/>
              </w:rPr>
              <w:t xml:space="preserve"> </w:t>
            </w:r>
            <w:r w:rsidRPr="0053423A">
              <w:rPr>
                <w:rFonts w:cs="Sylfaen"/>
                <w:lang w:val="hy-AM"/>
              </w:rPr>
              <w:t>հիմնանորոգումը</w:t>
            </w:r>
            <w:r w:rsidRPr="0053423A">
              <w:rPr>
                <w:lang w:val="hy-AM"/>
              </w:rPr>
              <w:t>:</w:t>
            </w:r>
          </w:p>
          <w:p w:rsidR="00764E6F" w:rsidRPr="0053423A" w:rsidRDefault="00764E6F" w:rsidP="00A67858">
            <w:pPr>
              <w:spacing w:line="276" w:lineRule="auto"/>
              <w:jc w:val="both"/>
              <w:rPr>
                <w:lang w:val="hy-AM"/>
              </w:rPr>
            </w:pPr>
            <w:r w:rsidRPr="0053423A">
              <w:rPr>
                <w:rFonts w:cs="Sylfaen"/>
                <w:lang w:val="hy-AM"/>
              </w:rPr>
              <w:t xml:space="preserve">   Ուստի</w:t>
            </w:r>
            <w:r w:rsidRPr="0053423A">
              <w:rPr>
                <w:lang w:val="hy-AM"/>
              </w:rPr>
              <w:t xml:space="preserve">` նպատակահարմար </w:t>
            </w:r>
            <w:r w:rsidRPr="0053423A">
              <w:rPr>
                <w:rFonts w:cs="Sylfaen"/>
                <w:lang w:val="hy-AM"/>
              </w:rPr>
              <w:t>է</w:t>
            </w:r>
            <w:r w:rsidRPr="0053423A">
              <w:rPr>
                <w:lang w:val="hy-AM"/>
              </w:rPr>
              <w:t xml:space="preserve"> </w:t>
            </w:r>
            <w:r w:rsidRPr="0053423A">
              <w:rPr>
                <w:rFonts w:cs="Sylfaen"/>
                <w:lang w:val="hy-AM"/>
              </w:rPr>
              <w:t>Մարտունու</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տարածքում</w:t>
            </w:r>
            <w:r w:rsidRPr="0053423A">
              <w:rPr>
                <w:lang w:val="hy-AM"/>
              </w:rPr>
              <w:t xml:space="preserve"> </w:t>
            </w:r>
            <w:r w:rsidRPr="0053423A">
              <w:rPr>
                <w:rFonts w:cs="Sylfaen"/>
                <w:lang w:val="hy-AM"/>
              </w:rPr>
              <w:t>կառուցել</w:t>
            </w:r>
            <w:r w:rsidRPr="0053423A">
              <w:rPr>
                <w:lang w:val="hy-AM"/>
              </w:rPr>
              <w:t xml:space="preserve"> </w:t>
            </w:r>
            <w:r w:rsidRPr="0053423A">
              <w:rPr>
                <w:rFonts w:cs="Sylfaen"/>
                <w:lang w:val="hy-AM"/>
              </w:rPr>
              <w:t>հիվանդանոցային</w:t>
            </w:r>
            <w:r w:rsidRPr="0053423A">
              <w:rPr>
                <w:lang w:val="hy-AM"/>
              </w:rPr>
              <w:t xml:space="preserve"> և պոլիկլինիկական </w:t>
            </w:r>
            <w:r w:rsidRPr="0053423A">
              <w:rPr>
                <w:rFonts w:cs="Sylfaen"/>
                <w:lang w:val="hy-AM"/>
              </w:rPr>
              <w:t>ծառայություններ</w:t>
            </w:r>
            <w:r w:rsidRPr="0053423A">
              <w:rPr>
                <w:lang w:val="hy-AM"/>
              </w:rPr>
              <w:t xml:space="preserve"> </w:t>
            </w:r>
            <w:r w:rsidRPr="0053423A">
              <w:rPr>
                <w:rFonts w:cs="Sylfaen"/>
                <w:lang w:val="hy-AM"/>
              </w:rPr>
              <w:t>մատուցող</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նոր</w:t>
            </w:r>
            <w:r w:rsidRPr="0053423A">
              <w:rPr>
                <w:lang w:val="hy-AM"/>
              </w:rPr>
              <w:t xml:space="preserve"> </w:t>
            </w:r>
            <w:r w:rsidRPr="0053423A">
              <w:rPr>
                <w:rFonts w:cs="Sylfaen"/>
                <w:lang w:val="hy-AM"/>
              </w:rPr>
              <w:t>մասնաշենք</w:t>
            </w:r>
            <w:r w:rsidRPr="0053423A">
              <w:rPr>
                <w:lang w:val="hy-AM"/>
              </w:rPr>
              <w:t xml:space="preserve">` 55 ստացիոնար </w:t>
            </w:r>
            <w:r w:rsidRPr="0053423A">
              <w:rPr>
                <w:rFonts w:cs="Sylfaen"/>
                <w:lang w:val="hy-AM"/>
              </w:rPr>
              <w:t>մահճակալ</w:t>
            </w:r>
            <w:r w:rsidRPr="0053423A">
              <w:rPr>
                <w:lang w:val="hy-AM"/>
              </w:rPr>
              <w:t xml:space="preserve"> </w:t>
            </w:r>
            <w:r w:rsidRPr="0053423A">
              <w:rPr>
                <w:rFonts w:cs="Sylfaen"/>
                <w:lang w:val="hy-AM"/>
              </w:rPr>
              <w:t>հզորությամբ</w:t>
            </w:r>
            <w:r w:rsidRPr="0053423A">
              <w:rPr>
                <w:lang w:val="hy-AM"/>
              </w:rPr>
              <w:t>:</w:t>
            </w:r>
          </w:p>
          <w:p w:rsidR="00764E6F" w:rsidRPr="0053423A" w:rsidRDefault="00764E6F" w:rsidP="00A67858">
            <w:pPr>
              <w:spacing w:line="276" w:lineRule="auto"/>
              <w:jc w:val="center"/>
              <w:rPr>
                <w:b/>
                <w:lang w:val="hy-AM"/>
              </w:rPr>
            </w:pPr>
          </w:p>
          <w:p w:rsidR="00764E6F" w:rsidRPr="0053423A" w:rsidRDefault="00764E6F" w:rsidP="00A67858">
            <w:pPr>
              <w:spacing w:line="276" w:lineRule="auto"/>
              <w:jc w:val="center"/>
              <w:rPr>
                <w:b/>
                <w:lang w:val="hy-AM"/>
              </w:rPr>
            </w:pPr>
          </w:p>
          <w:p w:rsidR="00764E6F" w:rsidRPr="0053423A" w:rsidRDefault="008B3845" w:rsidP="00A67858">
            <w:pPr>
              <w:spacing w:line="276" w:lineRule="auto"/>
              <w:jc w:val="center"/>
              <w:rPr>
                <w:b/>
                <w:lang w:val="hy-AM"/>
              </w:rPr>
            </w:pPr>
            <w:r w:rsidRPr="0053423A">
              <w:rPr>
                <w:b/>
                <w:lang w:val="hy-AM"/>
              </w:rPr>
              <w:t>2</w:t>
            </w:r>
            <w:r w:rsidR="00764E6F" w:rsidRPr="0053423A">
              <w:rPr>
                <w:b/>
                <w:lang w:val="hy-AM"/>
              </w:rPr>
              <w:t>8.3 Սյունիքի մարզի Սիսիանի բժշկական կենտրոնի վերակառուցում</w:t>
            </w:r>
          </w:p>
          <w:p w:rsidR="00764E6F" w:rsidRPr="0053423A" w:rsidRDefault="00764E6F" w:rsidP="00A67858">
            <w:pPr>
              <w:spacing w:line="276" w:lineRule="auto"/>
              <w:jc w:val="center"/>
              <w:rPr>
                <w:lang w:val="hy-AM"/>
              </w:rPr>
            </w:pPr>
          </w:p>
          <w:p w:rsidR="00764E6F" w:rsidRPr="0053423A" w:rsidRDefault="00764E6F" w:rsidP="00A67858">
            <w:pPr>
              <w:spacing w:line="276" w:lineRule="auto"/>
              <w:jc w:val="both"/>
              <w:rPr>
                <w:b/>
                <w:lang w:val="hy-AM"/>
              </w:rPr>
            </w:pPr>
            <w:r w:rsidRPr="0053423A">
              <w:rPr>
                <w:b/>
                <w:lang w:val="hy-AM"/>
              </w:rPr>
              <w:t xml:space="preserve">   1. Միջոցառման իրականացման անհրաժեշտությունը և նպատակը</w:t>
            </w:r>
          </w:p>
          <w:p w:rsidR="00764E6F" w:rsidRPr="0053423A" w:rsidRDefault="00764E6F" w:rsidP="00A67858">
            <w:pPr>
              <w:spacing w:line="276" w:lineRule="auto"/>
              <w:jc w:val="both"/>
              <w:rPr>
                <w:lang w:val="hy-AM"/>
              </w:rPr>
            </w:pPr>
            <w:r w:rsidRPr="0053423A">
              <w:rPr>
                <w:b/>
                <w:lang w:val="hy-AM"/>
              </w:rPr>
              <w:t xml:space="preserve"> </w:t>
            </w:r>
            <w:r w:rsidRPr="0053423A">
              <w:rPr>
                <w:lang w:val="hy-AM"/>
              </w:rPr>
              <w:t>ՀՀ մարզերի առողջապահական համակարգի զարգացման հարցը դեռևս արդիական խնդիր է Հայաստանի Հանրապետությունում: Մարզային բժշկական հաստատությունների շենքերը գտնվում են անմխիթար պայմաններում և ենթակա են արդիականացման` բնակչությանը տեղում ժամանակակից չափանիշներին համապատասխան բժշկական ծառայություններ մատուցելու նպատակով:</w:t>
            </w:r>
          </w:p>
          <w:p w:rsidR="00764E6F" w:rsidRPr="0053423A" w:rsidRDefault="00764E6F" w:rsidP="00A67858">
            <w:pPr>
              <w:spacing w:line="276" w:lineRule="auto"/>
              <w:jc w:val="both"/>
              <w:rPr>
                <w:lang w:val="hy-AM"/>
              </w:rPr>
            </w:pPr>
            <w:r w:rsidRPr="0053423A">
              <w:rPr>
                <w:lang w:val="hy-AM"/>
              </w:rPr>
              <w:t>ՀՀ մարզային առողջապահության համակարգի զարգացման նպատակը բնակչությանը տրամադրվող բժշկական օգնության և սպասարկման որակի և մատչելիության մակարդակի բարձրացումն է:</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jc w:val="both"/>
              <w:rPr>
                <w:lang w:val="hy-AM"/>
              </w:rPr>
            </w:pPr>
            <w:r w:rsidRPr="0053423A">
              <w:rPr>
                <w:lang w:val="hy-AM"/>
              </w:rPr>
              <w:t xml:space="preserve">   Հիմնանորոգվել և կառուցվել են ՀՀ մարզային մի շարք բժշկական կենտրոններ և առողջության առաջնային պահպանման հաստատությունների շենքեր: Բժշկական հաստատությունները նաև հագեցվել են արդի բժշկական սարքավորումներով և անհրաժեշտ կահույքով: Սակայն ՀՀ մարզերում դեռևս կան անմխիթար պայմաններում գտնվող բժշկական օգնություն և սպասարկում իրականացնող հաստատություններ, որոնց թե՛ շենքային վիճակը և թե՛ տեխնիկական հագեցվածությունը չեն բավարարում միջազգային նորմերին, ինչն  անդրադառնում է նաև մատուցվող բժշկական օգնության և սպասարկման որակի վրա:</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1.2. Առկա խնդիրների առաջարկվող լուծումները</w:t>
            </w:r>
          </w:p>
          <w:p w:rsidR="00764E6F" w:rsidRPr="0053423A" w:rsidRDefault="00764E6F" w:rsidP="00A67858">
            <w:pPr>
              <w:spacing w:line="276" w:lineRule="auto"/>
              <w:jc w:val="both"/>
              <w:rPr>
                <w:lang w:val="hy-AM"/>
              </w:rPr>
            </w:pPr>
            <w:r w:rsidRPr="0053423A">
              <w:rPr>
                <w:lang w:val="hy-AM"/>
              </w:rPr>
              <w:t xml:space="preserve">   Մարզերում մատուցվող բժշկական օգնության և սպասարկման որակը բարձրացնելու ուղղություններից է բժշկական հաստատությունների արդիականացումը` կառուցում, հիմնանորոգում և հագեցում ժամանակակից չափանիշներին համապատասխան բժշկական կահույքով, սարքավորումներով և պարագաներով:</w:t>
            </w:r>
          </w:p>
          <w:p w:rsidR="00764E6F" w:rsidRPr="0053423A" w:rsidRDefault="00764E6F" w:rsidP="00A67858">
            <w:pPr>
              <w:spacing w:line="276" w:lineRule="auto"/>
              <w:jc w:val="both"/>
              <w:rPr>
                <w:lang w:val="hy-AM"/>
              </w:rPr>
            </w:pPr>
            <w:r w:rsidRPr="0053423A">
              <w:rPr>
                <w:lang w:val="hy-AM"/>
              </w:rPr>
              <w:t xml:space="preserve">   2019-2023թթ-ին նախատեսվում է շարունակել մարզային բժշկական օգնություն և սպասարկում իրականացնող հաստատությունների վերանորոգման/կառուցման և հագեցման աշխատանքների իրականացումը: </w:t>
            </w:r>
          </w:p>
          <w:p w:rsidR="00764E6F" w:rsidRPr="0053423A" w:rsidRDefault="00764E6F" w:rsidP="00A67858">
            <w:pPr>
              <w:spacing w:line="276" w:lineRule="auto"/>
              <w:jc w:val="both"/>
              <w:rPr>
                <w:rFonts w:cs="Sylfaen"/>
                <w:lang w:val="hy-AM"/>
              </w:rPr>
            </w:pPr>
          </w:p>
          <w:p w:rsidR="00764E6F" w:rsidRPr="0053423A" w:rsidRDefault="00764E6F" w:rsidP="00A67858">
            <w:pPr>
              <w:spacing w:line="276" w:lineRule="auto"/>
              <w:jc w:val="both"/>
              <w:rPr>
                <w:b/>
                <w:color w:val="FF0000"/>
                <w:lang w:val="hy-AM"/>
              </w:rPr>
            </w:pPr>
            <w:r w:rsidRPr="0053423A">
              <w:rPr>
                <w:b/>
                <w:color w:val="000000"/>
                <w:lang w:val="hy-AM"/>
              </w:rPr>
              <w:t xml:space="preserve">   2.</w:t>
            </w:r>
            <w:r w:rsidRPr="0053423A">
              <w:rPr>
                <w:b/>
                <w:color w:val="FF0000"/>
                <w:lang w:val="hy-AM"/>
              </w:rPr>
              <w:t xml:space="preserve"> </w:t>
            </w:r>
            <w:r w:rsidRPr="0053423A">
              <w:rPr>
                <w:b/>
                <w:color w:val="000000"/>
                <w:lang w:val="hy-AM"/>
              </w:rPr>
              <w:t>Միջոցառման իրականացումից ակնկալվող արդյունքը</w:t>
            </w:r>
          </w:p>
          <w:p w:rsidR="00764E6F" w:rsidRPr="0053423A" w:rsidRDefault="00764E6F" w:rsidP="00A67858">
            <w:pPr>
              <w:spacing w:line="276" w:lineRule="auto"/>
              <w:ind w:firstLine="178"/>
              <w:jc w:val="both"/>
              <w:rPr>
                <w:lang w:val="hy-AM"/>
              </w:rPr>
            </w:pPr>
            <w:r w:rsidRPr="0053423A">
              <w:rPr>
                <w:rFonts w:cs="Sylfaen"/>
                <w:lang w:val="hy-AM"/>
              </w:rPr>
              <w:t>ՀՀ</w:t>
            </w:r>
            <w:r w:rsidRPr="0053423A">
              <w:rPr>
                <w:lang w:val="hy-AM"/>
              </w:rPr>
              <w:t xml:space="preserve"> </w:t>
            </w:r>
            <w:r w:rsidRPr="0053423A">
              <w:rPr>
                <w:rFonts w:cs="Sylfaen"/>
                <w:lang w:val="hy-AM"/>
              </w:rPr>
              <w:t>Սյունիքի</w:t>
            </w:r>
            <w:r w:rsidRPr="0053423A">
              <w:rPr>
                <w:lang w:val="hy-AM"/>
              </w:rPr>
              <w:t xml:space="preserve"> </w:t>
            </w:r>
            <w:r w:rsidRPr="0053423A">
              <w:rPr>
                <w:rFonts w:cs="Sylfaen"/>
                <w:lang w:val="hy-AM"/>
              </w:rPr>
              <w:t>մարզի</w:t>
            </w:r>
            <w:r w:rsidRPr="0053423A">
              <w:rPr>
                <w:lang w:val="hy-AM"/>
              </w:rPr>
              <w:t xml:space="preserve"> </w:t>
            </w:r>
            <w:r w:rsidRPr="0053423A">
              <w:rPr>
                <w:rFonts w:cs="Sylfaen"/>
                <w:lang w:val="hy-AM"/>
              </w:rPr>
              <w:t>Սիսիանի</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 xml:space="preserve">կենտրոնը՝ </w:t>
            </w:r>
            <w:r w:rsidRPr="0053423A">
              <w:rPr>
                <w:lang w:val="hy-AM"/>
              </w:rPr>
              <w:t xml:space="preserve">50 </w:t>
            </w:r>
            <w:r w:rsidRPr="0053423A">
              <w:rPr>
                <w:rFonts w:cs="Sylfaen"/>
                <w:lang w:val="hy-AM"/>
              </w:rPr>
              <w:t>մահճակալ</w:t>
            </w:r>
            <w:r w:rsidRPr="0053423A">
              <w:rPr>
                <w:lang w:val="hy-AM"/>
              </w:rPr>
              <w:t xml:space="preserve"> </w:t>
            </w:r>
            <w:r w:rsidRPr="0053423A">
              <w:rPr>
                <w:rFonts w:cs="Sylfaen"/>
                <w:lang w:val="hy-AM"/>
              </w:rPr>
              <w:t>հզորությամբ բազմապրոֆիլային բժշկական հաստատություն</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որը</w:t>
            </w:r>
            <w:r w:rsidRPr="0053423A">
              <w:rPr>
                <w:lang w:val="hy-AM"/>
              </w:rPr>
              <w:t xml:space="preserve"> </w:t>
            </w:r>
            <w:r w:rsidRPr="0053423A">
              <w:rPr>
                <w:rFonts w:cs="Sylfaen"/>
                <w:lang w:val="hy-AM"/>
              </w:rPr>
              <w:t>լայն</w:t>
            </w:r>
            <w:r w:rsidRPr="0053423A">
              <w:rPr>
                <w:lang w:val="hy-AM"/>
              </w:rPr>
              <w:t xml:space="preserve"> </w:t>
            </w:r>
            <w:r w:rsidRPr="0053423A">
              <w:rPr>
                <w:rFonts w:cs="Sylfaen"/>
                <w:lang w:val="hy-AM"/>
              </w:rPr>
              <w:t>սպեկտորի</w:t>
            </w:r>
            <w:r w:rsidRPr="0053423A">
              <w:rPr>
                <w:lang w:val="hy-AM"/>
              </w:rPr>
              <w:t xml:space="preserve"> </w:t>
            </w:r>
            <w:r w:rsidRPr="0053423A">
              <w:rPr>
                <w:rFonts w:cs="Sylfaen"/>
                <w:lang w:val="hy-AM"/>
              </w:rPr>
              <w:t>ստացիոնար</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պոլիկլինիկական</w:t>
            </w:r>
            <w:r w:rsidRPr="0053423A">
              <w:rPr>
                <w:lang w:val="hy-AM"/>
              </w:rPr>
              <w:t xml:space="preserve"> </w:t>
            </w:r>
            <w:r w:rsidRPr="0053423A">
              <w:rPr>
                <w:rFonts w:cs="Sylfaen"/>
                <w:lang w:val="hy-AM"/>
              </w:rPr>
              <w:t>ծառայություններ</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մատուցում</w:t>
            </w:r>
            <w:r w:rsidRPr="0053423A">
              <w:rPr>
                <w:lang w:val="hy-AM"/>
              </w:rPr>
              <w:t xml:space="preserve"> </w:t>
            </w:r>
            <w:r w:rsidRPr="0053423A">
              <w:rPr>
                <w:rFonts w:cs="Sylfaen"/>
                <w:lang w:val="hy-AM"/>
              </w:rPr>
              <w:t>Սիսիանի</w:t>
            </w:r>
            <w:r w:rsidRPr="0053423A">
              <w:rPr>
                <w:lang w:val="hy-AM"/>
              </w:rPr>
              <w:t xml:space="preserve"> </w:t>
            </w:r>
            <w:r w:rsidRPr="0053423A">
              <w:rPr>
                <w:rFonts w:cs="Sylfaen"/>
                <w:lang w:val="hy-AM"/>
              </w:rPr>
              <w:t>տարածաշրջանի</w:t>
            </w:r>
            <w:r w:rsidRPr="0053423A">
              <w:rPr>
                <w:lang w:val="hy-AM"/>
              </w:rPr>
              <w:t xml:space="preserve"> 29.9 </w:t>
            </w:r>
            <w:r w:rsidRPr="0053423A">
              <w:rPr>
                <w:rFonts w:cs="Sylfaen"/>
                <w:lang w:val="hy-AM"/>
              </w:rPr>
              <w:t>հազար</w:t>
            </w:r>
            <w:r w:rsidRPr="0053423A">
              <w:rPr>
                <w:lang w:val="hy-AM"/>
              </w:rPr>
              <w:t xml:space="preserve"> </w:t>
            </w:r>
            <w:r w:rsidRPr="0053423A">
              <w:rPr>
                <w:rFonts w:cs="Sylfaen"/>
                <w:lang w:val="hy-AM"/>
              </w:rPr>
              <w:t>բնակչությանը</w:t>
            </w:r>
            <w:r w:rsidRPr="0053423A">
              <w:rPr>
                <w:lang w:val="hy-AM"/>
              </w:rPr>
              <w:t xml:space="preserve">, </w:t>
            </w:r>
            <w:r w:rsidRPr="0053423A">
              <w:rPr>
                <w:rFonts w:cs="Sylfaen"/>
                <w:lang w:val="hy-AM"/>
              </w:rPr>
              <w:t>որից</w:t>
            </w:r>
            <w:r w:rsidRPr="0053423A">
              <w:rPr>
                <w:lang w:val="hy-AM"/>
              </w:rPr>
              <w:t xml:space="preserve"> 15.1 </w:t>
            </w:r>
            <w:r w:rsidRPr="0053423A">
              <w:rPr>
                <w:rFonts w:cs="Sylfaen"/>
                <w:lang w:val="hy-AM"/>
              </w:rPr>
              <w:t>հազարը</w:t>
            </w:r>
            <w:r w:rsidRPr="0053423A">
              <w:rPr>
                <w:lang w:val="hy-AM"/>
              </w:rPr>
              <w:t xml:space="preserve"> </w:t>
            </w:r>
            <w:r w:rsidRPr="0053423A">
              <w:rPr>
                <w:rFonts w:cs="Sylfaen"/>
                <w:lang w:val="hy-AM"/>
              </w:rPr>
              <w:t>քաղաքային</w:t>
            </w:r>
            <w:r w:rsidRPr="0053423A">
              <w:rPr>
                <w:lang w:val="hy-AM"/>
              </w:rPr>
              <w:t xml:space="preserve"> </w:t>
            </w:r>
            <w:r w:rsidRPr="0053423A">
              <w:rPr>
                <w:rFonts w:cs="Sylfaen"/>
                <w:lang w:val="hy-AM"/>
              </w:rPr>
              <w:t>է</w:t>
            </w:r>
            <w:r w:rsidRPr="0053423A">
              <w:rPr>
                <w:lang w:val="hy-AM"/>
              </w:rPr>
              <w:t>, 14.8-</w:t>
            </w:r>
            <w:r w:rsidRPr="0053423A">
              <w:rPr>
                <w:rFonts w:cs="Sylfaen"/>
                <w:lang w:val="hy-AM"/>
              </w:rPr>
              <w:t>ը</w:t>
            </w:r>
            <w:r w:rsidRPr="0053423A">
              <w:rPr>
                <w:lang w:val="hy-AM"/>
              </w:rPr>
              <w:t xml:space="preserve">` </w:t>
            </w:r>
            <w:r w:rsidRPr="0053423A">
              <w:rPr>
                <w:rFonts w:cs="Sylfaen"/>
                <w:lang w:val="hy-AM"/>
              </w:rPr>
              <w:t>գյուղական</w:t>
            </w:r>
            <w:r w:rsidRPr="0053423A">
              <w:rPr>
                <w:lang w:val="hy-AM"/>
              </w:rPr>
              <w:t>:</w:t>
            </w:r>
          </w:p>
          <w:p w:rsidR="00764E6F" w:rsidRPr="0053423A" w:rsidRDefault="00764E6F" w:rsidP="00A67858">
            <w:pPr>
              <w:spacing w:line="276" w:lineRule="auto"/>
              <w:jc w:val="both"/>
              <w:rPr>
                <w:rFonts w:cs="Sylfaen"/>
                <w:lang w:val="hy-AM"/>
              </w:rPr>
            </w:pPr>
            <w:r w:rsidRPr="0053423A">
              <w:rPr>
                <w:rFonts w:cs="Sylfaen"/>
                <w:lang w:val="hy-AM"/>
              </w:rPr>
              <w:t xml:space="preserve">   Սիսիանի</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ծառայությունները</w:t>
            </w:r>
            <w:r w:rsidRPr="0053423A">
              <w:rPr>
                <w:lang w:val="hy-AM"/>
              </w:rPr>
              <w:t xml:space="preserve"> </w:t>
            </w:r>
            <w:r w:rsidRPr="0053423A">
              <w:rPr>
                <w:rFonts w:cs="Sylfaen"/>
                <w:lang w:val="hy-AM"/>
              </w:rPr>
              <w:t>տեղակայված</w:t>
            </w:r>
            <w:r w:rsidRPr="0053423A">
              <w:rPr>
                <w:lang w:val="hy-AM"/>
              </w:rPr>
              <w:t xml:space="preserve"> </w:t>
            </w:r>
            <w:r w:rsidRPr="0053423A">
              <w:rPr>
                <w:rFonts w:cs="Sylfaen"/>
                <w:lang w:val="hy-AM"/>
              </w:rPr>
              <w:t>են</w:t>
            </w:r>
            <w:r w:rsidRPr="0053423A">
              <w:rPr>
                <w:lang w:val="hy-AM"/>
              </w:rPr>
              <w:t xml:space="preserve"> 1967 </w:t>
            </w:r>
            <w:r w:rsidRPr="0053423A">
              <w:rPr>
                <w:rFonts w:cs="Sylfaen"/>
                <w:lang w:val="hy-AM"/>
              </w:rPr>
              <w:t>թվականին</w:t>
            </w:r>
            <w:r w:rsidRPr="0053423A">
              <w:rPr>
                <w:lang w:val="hy-AM"/>
              </w:rPr>
              <w:t xml:space="preserve"> </w:t>
            </w:r>
            <w:r w:rsidRPr="0053423A">
              <w:rPr>
                <w:rFonts w:cs="Sylfaen"/>
                <w:lang w:val="hy-AM"/>
              </w:rPr>
              <w:t>կառուցված</w:t>
            </w:r>
            <w:r w:rsidRPr="0053423A">
              <w:rPr>
                <w:lang w:val="hy-AM"/>
              </w:rPr>
              <w:t xml:space="preserve"> </w:t>
            </w:r>
            <w:r w:rsidRPr="0053423A">
              <w:rPr>
                <w:rFonts w:cs="Sylfaen"/>
                <w:lang w:val="hy-AM"/>
              </w:rPr>
              <w:t>հիվանդանոցային և պոլիկլինիկական մասնաշենքերում</w:t>
            </w:r>
            <w:r w:rsidRPr="0053423A">
              <w:rPr>
                <w:lang w:val="hy-AM"/>
              </w:rPr>
              <w:t>: Հիվանդանոցային մասնաշենքը մասամբ վերանորոգվել է 2006թ. և ներկայում ունի հիմնանորոգման կարիք (պոլիկլինիկական մասնաշենքը հիմնանորոգվել է 2012թ.):</w:t>
            </w:r>
          </w:p>
          <w:p w:rsidR="00764E6F" w:rsidRPr="0053423A" w:rsidRDefault="00764E6F" w:rsidP="00A67858">
            <w:pPr>
              <w:spacing w:line="276" w:lineRule="auto"/>
              <w:jc w:val="both"/>
              <w:rPr>
                <w:lang w:val="hy-AM"/>
              </w:rPr>
            </w:pPr>
            <w:r w:rsidRPr="0053423A">
              <w:rPr>
                <w:rFonts w:cs="Sylfaen"/>
                <w:lang w:val="hy-AM"/>
              </w:rPr>
              <w:t xml:space="preserve">   Ելնելով</w:t>
            </w:r>
            <w:r w:rsidRPr="0053423A">
              <w:rPr>
                <w:lang w:val="hy-AM"/>
              </w:rPr>
              <w:t xml:space="preserve"> </w:t>
            </w:r>
            <w:r w:rsidRPr="0053423A">
              <w:rPr>
                <w:rFonts w:cs="Sylfaen"/>
                <w:lang w:val="hy-AM"/>
              </w:rPr>
              <w:t>վերոնշյալից</w:t>
            </w:r>
            <w:r w:rsidRPr="0053423A">
              <w:rPr>
                <w:lang w:val="hy-AM"/>
              </w:rPr>
              <w:t xml:space="preserve">, </w:t>
            </w:r>
            <w:r w:rsidRPr="0053423A">
              <w:rPr>
                <w:rFonts w:cs="Sylfaen"/>
                <w:lang w:val="hy-AM"/>
              </w:rPr>
              <w:t>շինության</w:t>
            </w:r>
            <w:r w:rsidRPr="0053423A">
              <w:rPr>
                <w:lang w:val="hy-AM"/>
              </w:rPr>
              <w:t xml:space="preserve"> </w:t>
            </w:r>
            <w:r w:rsidRPr="0053423A">
              <w:rPr>
                <w:rFonts w:cs="Sylfaen"/>
                <w:lang w:val="hy-AM"/>
              </w:rPr>
              <w:t>չափսերից</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մահճակալների</w:t>
            </w:r>
            <w:r w:rsidRPr="0053423A">
              <w:rPr>
                <w:lang w:val="hy-AM"/>
              </w:rPr>
              <w:t xml:space="preserve"> </w:t>
            </w:r>
            <w:r w:rsidRPr="0053423A">
              <w:rPr>
                <w:rFonts w:cs="Sylfaen"/>
                <w:lang w:val="hy-AM"/>
              </w:rPr>
              <w:t>ծանրաբեռնվածության</w:t>
            </w:r>
            <w:r w:rsidRPr="0053423A">
              <w:rPr>
                <w:lang w:val="hy-AM"/>
              </w:rPr>
              <w:t xml:space="preserve"> </w:t>
            </w:r>
            <w:r w:rsidRPr="0053423A">
              <w:rPr>
                <w:rFonts w:cs="Sylfaen"/>
                <w:lang w:val="hy-AM"/>
              </w:rPr>
              <w:t>ցուցանիշներից</w:t>
            </w:r>
            <w:r w:rsidRPr="0053423A">
              <w:rPr>
                <w:lang w:val="hy-AM"/>
              </w:rPr>
              <w:t xml:space="preserve">, </w:t>
            </w:r>
            <w:r w:rsidRPr="0053423A">
              <w:rPr>
                <w:rFonts w:cs="Sylfaen"/>
                <w:lang w:val="hy-AM"/>
              </w:rPr>
              <w:t>ինչպես</w:t>
            </w:r>
            <w:r w:rsidRPr="0053423A">
              <w:rPr>
                <w:lang w:val="hy-AM"/>
              </w:rPr>
              <w:t xml:space="preserve"> </w:t>
            </w:r>
            <w:r w:rsidRPr="0053423A">
              <w:rPr>
                <w:rFonts w:cs="Sylfaen"/>
                <w:lang w:val="hy-AM"/>
              </w:rPr>
              <w:t>նաև</w:t>
            </w:r>
            <w:r w:rsidRPr="0053423A">
              <w:rPr>
                <w:lang w:val="hy-AM"/>
              </w:rPr>
              <w:t xml:space="preserve"> մարզում երրորդային մակարդակի ծառայություն տրամադրող բուժհաստտոթյունների առկայությունից, առաջարկվում է կենտրոնի մահճակալային ֆոնդը կրճատել մինչև 25 մահճակալ՝ ծառայությունները տեղակայելով հիմնական մասնաշենքի շուրջ 2100քմ մակերեսով տարածքում (կազատվի շուրջ 3900 քմ տարածք), և իրականացնել </w:t>
            </w:r>
            <w:r w:rsidRPr="0053423A">
              <w:rPr>
                <w:rFonts w:cs="Sylfaen"/>
                <w:lang w:val="hy-AM"/>
              </w:rPr>
              <w:t>վերակառուցման աշխատանքներ</w:t>
            </w:r>
            <w:r w:rsidRPr="0053423A">
              <w:rPr>
                <w:lang w:val="hy-AM"/>
              </w:rPr>
              <w:t>:</w:t>
            </w:r>
          </w:p>
          <w:p w:rsidR="00764E6F" w:rsidRPr="0053423A" w:rsidRDefault="00764E6F" w:rsidP="00A67858">
            <w:pPr>
              <w:spacing w:line="276" w:lineRule="auto"/>
              <w:jc w:val="center"/>
              <w:rPr>
                <w:b/>
                <w:highlight w:val="yellow"/>
                <w:lang w:val="hy-AM"/>
              </w:rPr>
            </w:pPr>
          </w:p>
          <w:p w:rsidR="00764E6F" w:rsidRPr="0053423A" w:rsidRDefault="008B3845" w:rsidP="00A67858">
            <w:pPr>
              <w:spacing w:line="276" w:lineRule="auto"/>
              <w:jc w:val="center"/>
              <w:rPr>
                <w:b/>
                <w:lang w:val="hy-AM"/>
              </w:rPr>
            </w:pPr>
            <w:r w:rsidRPr="0053423A">
              <w:rPr>
                <w:b/>
                <w:lang w:val="hy-AM"/>
              </w:rPr>
              <w:t>2</w:t>
            </w:r>
            <w:r w:rsidR="00764E6F" w:rsidRPr="0053423A">
              <w:rPr>
                <w:b/>
                <w:lang w:val="hy-AM"/>
              </w:rPr>
              <w:t>8.4 Կոտայքի մարզի Նաիրիի բժշկական կենտրոնի կառուցում</w:t>
            </w:r>
          </w:p>
          <w:p w:rsidR="00764E6F" w:rsidRPr="0053423A" w:rsidRDefault="00764E6F" w:rsidP="00A67858">
            <w:pPr>
              <w:spacing w:line="276" w:lineRule="auto"/>
              <w:jc w:val="center"/>
              <w:rPr>
                <w:b/>
                <w:highlight w:val="yellow"/>
                <w:lang w:val="hy-AM"/>
              </w:rPr>
            </w:pPr>
          </w:p>
          <w:p w:rsidR="00764E6F" w:rsidRPr="0053423A" w:rsidRDefault="00764E6F" w:rsidP="00A67858">
            <w:pPr>
              <w:spacing w:line="276" w:lineRule="auto"/>
              <w:jc w:val="both"/>
              <w:rPr>
                <w:b/>
                <w:lang w:val="hy-AM"/>
              </w:rPr>
            </w:pPr>
            <w:r w:rsidRPr="0053423A">
              <w:rPr>
                <w:b/>
                <w:lang w:val="hy-AM"/>
              </w:rPr>
              <w:t xml:space="preserve">   1. Միջոցառման իրականացման անհրաժեշտությունը և նպատակը</w:t>
            </w:r>
          </w:p>
          <w:p w:rsidR="00764E6F" w:rsidRPr="0053423A" w:rsidRDefault="00764E6F" w:rsidP="00A67858">
            <w:pPr>
              <w:spacing w:line="276" w:lineRule="auto"/>
              <w:jc w:val="both"/>
              <w:rPr>
                <w:lang w:val="hy-AM"/>
              </w:rPr>
            </w:pPr>
            <w:r w:rsidRPr="0053423A">
              <w:rPr>
                <w:b/>
                <w:lang w:val="hy-AM"/>
              </w:rPr>
              <w:t xml:space="preserve"> </w:t>
            </w:r>
            <w:r w:rsidRPr="0053423A">
              <w:rPr>
                <w:lang w:val="hy-AM"/>
              </w:rPr>
              <w:t>ՀՀ մարզերի առողջապահական համակարգի զարգացման հարցը դեռևս արդիական խնդիր է Հայաստանի Հանրապետությունում: Մարզային բժշկական հաստատությունների շենքերը գտնվում են անմխիթար պայմաններում և ենթակա են արդիականացման` բնակչությանը տեղում ժամանակակից չափանիշներին համապատասխան բժշկական ծառայություններ մատուցելու նպատակով:</w:t>
            </w:r>
          </w:p>
          <w:p w:rsidR="00764E6F" w:rsidRPr="0053423A" w:rsidRDefault="00764E6F" w:rsidP="00A67858">
            <w:pPr>
              <w:spacing w:line="276" w:lineRule="auto"/>
              <w:jc w:val="both"/>
              <w:rPr>
                <w:lang w:val="hy-AM"/>
              </w:rPr>
            </w:pPr>
            <w:r w:rsidRPr="0053423A">
              <w:rPr>
                <w:lang w:val="hy-AM"/>
              </w:rPr>
              <w:t>ՀՀ մարզային առողջապահության համակարգի զարգացման նպատակը բնակչությանը տրամադրվող բժշկական օգնության և սպասարկման որակի և մատչելիության մակարդակի բարձրացումն է:</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jc w:val="both"/>
              <w:rPr>
                <w:lang w:val="hy-AM"/>
              </w:rPr>
            </w:pPr>
            <w:r w:rsidRPr="0053423A">
              <w:rPr>
                <w:lang w:val="hy-AM"/>
              </w:rPr>
              <w:t xml:space="preserve">   Հիմնանորոգվել և կառուցվել են ՀՀ մարզային մի շարք բժշկական կենտրոններ և առողջության առաջնային պահպանման հաստատությունների շենքեր: Բժշկական հաստատությունները նաև հագեցվել են արդի բժշկական սարքավորումներով և անհրաժեշտ կահույքով: Սակայն ՀՀ մարզերում դեռևս կան անմխիթար պայմաններում գտնվող բժշկական օգնություն և սպասարկում իրականացնող հաստատություններ, որոնց թե՛ շենքային վիճակը և թե՛ տեխնիկական հագեցվածությունը չեն բավարարում միջազգային նորմերին, ինչն  անդրադառնում է նաև մատուցվող բժշկական օգնության և սպասարկման որակի վրա:</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1.2. Առկա խնդիրների առաջարկվող լուծումները</w:t>
            </w:r>
          </w:p>
          <w:p w:rsidR="00764E6F" w:rsidRPr="0053423A" w:rsidRDefault="00764E6F" w:rsidP="00A67858">
            <w:pPr>
              <w:spacing w:line="276" w:lineRule="auto"/>
              <w:jc w:val="both"/>
              <w:rPr>
                <w:lang w:val="hy-AM"/>
              </w:rPr>
            </w:pPr>
            <w:r w:rsidRPr="0053423A">
              <w:rPr>
                <w:lang w:val="hy-AM"/>
              </w:rPr>
              <w:t xml:space="preserve">   Մարզերում մատուցվող բժշկական օգնության և սպասարկման որակը բարձրացնելու ուղղություններից է բժշկական հաստատությունների արդիականացումը` կառուցում, հիմնանորոգում և հագեցում ժամանակակից չափանիշներին համապատասխան բժշկական կահույքով, սարքավորումներով և պարագաներով:</w:t>
            </w:r>
          </w:p>
          <w:p w:rsidR="00764E6F" w:rsidRPr="0053423A" w:rsidRDefault="00764E6F" w:rsidP="00A67858">
            <w:pPr>
              <w:spacing w:line="276" w:lineRule="auto"/>
              <w:jc w:val="both"/>
              <w:rPr>
                <w:lang w:val="hy-AM"/>
              </w:rPr>
            </w:pPr>
            <w:r w:rsidRPr="0053423A">
              <w:rPr>
                <w:lang w:val="hy-AM"/>
              </w:rPr>
              <w:t xml:space="preserve">2019-2023թթ-ին նախատեսվում է շարունակել մարզային բժշկական օգնություն և սպասարկում իրականացնող հաստատությունների վերանորոգման/կառուցման և հագեցման աշխատանքների իրականացումը: </w:t>
            </w:r>
          </w:p>
          <w:p w:rsidR="00764E6F" w:rsidRPr="0053423A" w:rsidRDefault="00764E6F" w:rsidP="00A67858">
            <w:pPr>
              <w:spacing w:line="276" w:lineRule="auto"/>
              <w:jc w:val="both"/>
              <w:rPr>
                <w:rFonts w:cs="Sylfaen"/>
                <w:lang w:val="hy-AM"/>
              </w:rPr>
            </w:pPr>
          </w:p>
          <w:p w:rsidR="00764E6F" w:rsidRPr="0053423A" w:rsidRDefault="00764E6F" w:rsidP="00A67858">
            <w:pPr>
              <w:spacing w:line="276" w:lineRule="auto"/>
              <w:jc w:val="both"/>
              <w:rPr>
                <w:b/>
                <w:color w:val="FF0000"/>
              </w:rPr>
            </w:pPr>
            <w:r w:rsidRPr="0053423A">
              <w:rPr>
                <w:b/>
                <w:color w:val="000000"/>
                <w:lang w:val="hy-AM"/>
              </w:rPr>
              <w:t xml:space="preserve">   </w:t>
            </w:r>
            <w:r w:rsidRPr="0053423A">
              <w:rPr>
                <w:b/>
                <w:color w:val="000000"/>
              </w:rPr>
              <w:t>2</w:t>
            </w:r>
            <w:r w:rsidRPr="0053423A">
              <w:rPr>
                <w:b/>
                <w:color w:val="000000"/>
                <w:lang w:val="hy-AM"/>
              </w:rPr>
              <w:t>.</w:t>
            </w:r>
            <w:r w:rsidRPr="0053423A">
              <w:rPr>
                <w:b/>
                <w:color w:val="FF0000"/>
                <w:lang w:val="hy-AM"/>
              </w:rPr>
              <w:t xml:space="preserve"> </w:t>
            </w:r>
            <w:r w:rsidRPr="0053423A">
              <w:rPr>
                <w:b/>
                <w:color w:val="000000"/>
                <w:lang w:val="hy-AM"/>
              </w:rPr>
              <w:t>Միջոցառմ</w:t>
            </w:r>
            <w:r w:rsidRPr="0053423A">
              <w:rPr>
                <w:b/>
                <w:color w:val="000000"/>
              </w:rPr>
              <w:t>ան</w:t>
            </w:r>
            <w:r w:rsidRPr="0053423A">
              <w:rPr>
                <w:b/>
                <w:color w:val="000000"/>
                <w:lang w:val="hy-AM"/>
              </w:rPr>
              <w:t xml:space="preserve"> իրականացումից ակնկալվող արդյունքը</w:t>
            </w:r>
          </w:p>
          <w:p w:rsidR="00764E6F" w:rsidRPr="0053423A" w:rsidRDefault="00764E6F" w:rsidP="00A67858">
            <w:pPr>
              <w:numPr>
                <w:ilvl w:val="0"/>
                <w:numId w:val="5"/>
              </w:numPr>
              <w:tabs>
                <w:tab w:val="left" w:pos="5040"/>
              </w:tabs>
              <w:spacing w:line="276" w:lineRule="auto"/>
              <w:jc w:val="both"/>
              <w:rPr>
                <w:rFonts w:cs="Times Armenian"/>
                <w:lang w:val="hy-AM"/>
              </w:rPr>
            </w:pPr>
            <w:r w:rsidRPr="0053423A">
              <w:rPr>
                <w:rFonts w:cs="Sylfaen"/>
              </w:rPr>
              <w:t xml:space="preserve">   </w:t>
            </w:r>
            <w:r w:rsidRPr="0053423A">
              <w:rPr>
                <w:rFonts w:cs="Sylfaen"/>
                <w:lang w:val="hy-AM"/>
              </w:rPr>
              <w:t>ՀՀ</w:t>
            </w:r>
            <w:r w:rsidRPr="0053423A">
              <w:rPr>
                <w:lang w:val="hy-AM"/>
              </w:rPr>
              <w:t xml:space="preserve"> </w:t>
            </w:r>
            <w:r w:rsidRPr="0053423A">
              <w:rPr>
                <w:rFonts w:cs="Sylfaen"/>
                <w:lang w:val="hy-AM"/>
              </w:rPr>
              <w:t>Կոտայքի</w:t>
            </w:r>
            <w:r w:rsidRPr="0053423A">
              <w:rPr>
                <w:lang w:val="hy-AM"/>
              </w:rPr>
              <w:t xml:space="preserve"> </w:t>
            </w:r>
            <w:r w:rsidRPr="0053423A">
              <w:rPr>
                <w:rFonts w:cs="Sylfaen"/>
                <w:lang w:val="hy-AM"/>
              </w:rPr>
              <w:t>մարզի</w:t>
            </w:r>
            <w:r w:rsidRPr="0053423A">
              <w:rPr>
                <w:lang w:val="hy-AM"/>
              </w:rPr>
              <w:t xml:space="preserve"> </w:t>
            </w:r>
            <w:r w:rsidRPr="0053423A">
              <w:rPr>
                <w:rFonts w:cs="Sylfaen"/>
                <w:lang w:val="hy-AM"/>
              </w:rPr>
              <w:t>Նաիրիի</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կենտրոնը</w:t>
            </w:r>
            <w:r w:rsidRPr="0053423A">
              <w:rPr>
                <w:lang w:val="hy-AM"/>
              </w:rPr>
              <w:t xml:space="preserve">` 40 </w:t>
            </w:r>
            <w:r w:rsidRPr="0053423A">
              <w:rPr>
                <w:rFonts w:cs="Sylfaen"/>
                <w:lang w:val="hy-AM"/>
              </w:rPr>
              <w:t>մահճակալ</w:t>
            </w:r>
            <w:r w:rsidRPr="0053423A">
              <w:rPr>
                <w:lang w:val="hy-AM"/>
              </w:rPr>
              <w:t xml:space="preserve"> </w:t>
            </w:r>
            <w:r w:rsidRPr="0053423A">
              <w:rPr>
                <w:rFonts w:cs="Sylfaen"/>
                <w:lang w:val="hy-AM"/>
              </w:rPr>
              <w:t>հզորությամբ</w:t>
            </w:r>
            <w:r w:rsidRPr="0053423A">
              <w:rPr>
                <w:lang w:val="hy-AM"/>
              </w:rPr>
              <w:t>,</w:t>
            </w:r>
            <w:r w:rsidRPr="0053423A">
              <w:rPr>
                <w:rFonts w:cs="Times Armenian"/>
                <w:lang w:val="hy-AM"/>
              </w:rPr>
              <w:t xml:space="preserve"> </w:t>
            </w:r>
            <w:r w:rsidRPr="0053423A">
              <w:rPr>
                <w:rFonts w:cs="Sylfaen"/>
                <w:lang w:val="hy-AM"/>
              </w:rPr>
              <w:t>բազմապրոֆիլային</w:t>
            </w:r>
            <w:r w:rsidRPr="0053423A">
              <w:rPr>
                <w:lang w:val="hy-AM"/>
              </w:rPr>
              <w:t xml:space="preserve"> </w:t>
            </w:r>
          </w:p>
          <w:p w:rsidR="00764E6F" w:rsidRPr="0053423A" w:rsidRDefault="00764E6F" w:rsidP="00A67858">
            <w:pPr>
              <w:tabs>
                <w:tab w:val="left" w:pos="5040"/>
              </w:tabs>
              <w:spacing w:line="276" w:lineRule="auto"/>
              <w:jc w:val="both"/>
              <w:rPr>
                <w:rFonts w:cs="Times Armenian"/>
                <w:lang w:val="hy-AM"/>
              </w:rPr>
            </w:pPr>
            <w:r w:rsidRPr="0053423A">
              <w:rPr>
                <w:rFonts w:cs="Sylfaen"/>
                <w:lang w:val="hy-AM"/>
              </w:rPr>
              <w:t>բժշկական հաստատություն</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որը</w:t>
            </w:r>
            <w:r w:rsidRPr="0053423A">
              <w:rPr>
                <w:lang w:val="hy-AM"/>
              </w:rPr>
              <w:t xml:space="preserve"> </w:t>
            </w:r>
            <w:r w:rsidRPr="0053423A">
              <w:rPr>
                <w:rFonts w:cs="Sylfaen"/>
                <w:lang w:val="hy-AM"/>
              </w:rPr>
              <w:t>լայն</w:t>
            </w:r>
            <w:r w:rsidRPr="0053423A">
              <w:rPr>
                <w:lang w:val="hy-AM"/>
              </w:rPr>
              <w:t xml:space="preserve"> </w:t>
            </w:r>
            <w:r w:rsidRPr="0053423A">
              <w:rPr>
                <w:rFonts w:cs="Sylfaen"/>
                <w:lang w:val="hy-AM"/>
              </w:rPr>
              <w:t>սպեկտորի</w:t>
            </w:r>
            <w:r w:rsidRPr="0053423A">
              <w:rPr>
                <w:lang w:val="hy-AM"/>
              </w:rPr>
              <w:t xml:space="preserve"> </w:t>
            </w:r>
            <w:r w:rsidRPr="0053423A">
              <w:rPr>
                <w:rFonts w:cs="Sylfaen"/>
                <w:lang w:val="hy-AM"/>
              </w:rPr>
              <w:t>ստացիոնար</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պոլիկլինիկական</w:t>
            </w:r>
            <w:r w:rsidRPr="0053423A">
              <w:rPr>
                <w:lang w:val="hy-AM"/>
              </w:rPr>
              <w:t xml:space="preserve"> </w:t>
            </w:r>
            <w:r w:rsidRPr="0053423A">
              <w:rPr>
                <w:rFonts w:cs="Sylfaen"/>
                <w:lang w:val="hy-AM"/>
              </w:rPr>
              <w:t>ծառայություններ</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մատուցում</w:t>
            </w:r>
            <w:r w:rsidRPr="0053423A">
              <w:rPr>
                <w:lang w:val="hy-AM"/>
              </w:rPr>
              <w:t xml:space="preserve"> </w:t>
            </w:r>
            <w:r w:rsidRPr="0053423A">
              <w:rPr>
                <w:rFonts w:cs="Sylfaen"/>
                <w:lang w:val="hy-AM"/>
              </w:rPr>
              <w:t>Նաիրիի</w:t>
            </w:r>
            <w:r w:rsidRPr="0053423A">
              <w:rPr>
                <w:lang w:val="hy-AM"/>
              </w:rPr>
              <w:t xml:space="preserve"> </w:t>
            </w:r>
            <w:r w:rsidRPr="0053423A">
              <w:rPr>
                <w:rFonts w:cs="Sylfaen"/>
                <w:lang w:val="hy-AM"/>
              </w:rPr>
              <w:t>տարածաշրջանի</w:t>
            </w:r>
            <w:r w:rsidRPr="0053423A">
              <w:rPr>
                <w:lang w:val="hy-AM"/>
              </w:rPr>
              <w:t xml:space="preserve"> 57.3 </w:t>
            </w:r>
            <w:r w:rsidRPr="0053423A">
              <w:rPr>
                <w:rFonts w:cs="Sylfaen"/>
                <w:lang w:val="hy-AM"/>
              </w:rPr>
              <w:t>հազար</w:t>
            </w:r>
            <w:r w:rsidRPr="0053423A">
              <w:rPr>
                <w:lang w:val="hy-AM"/>
              </w:rPr>
              <w:t xml:space="preserve"> </w:t>
            </w:r>
            <w:r w:rsidRPr="0053423A">
              <w:rPr>
                <w:rFonts w:cs="Sylfaen"/>
                <w:lang w:val="hy-AM"/>
              </w:rPr>
              <w:t>բնակչությանը</w:t>
            </w:r>
            <w:r w:rsidRPr="0053423A">
              <w:rPr>
                <w:lang w:val="hy-AM"/>
              </w:rPr>
              <w:t xml:space="preserve">, </w:t>
            </w:r>
            <w:r w:rsidRPr="0053423A">
              <w:rPr>
                <w:rFonts w:cs="Sylfaen"/>
                <w:lang w:val="hy-AM"/>
              </w:rPr>
              <w:t>որից</w:t>
            </w:r>
            <w:r w:rsidRPr="0053423A">
              <w:rPr>
                <w:lang w:val="hy-AM"/>
              </w:rPr>
              <w:t xml:space="preserve"> 21.2 </w:t>
            </w:r>
            <w:r w:rsidRPr="0053423A">
              <w:rPr>
                <w:rFonts w:cs="Sylfaen"/>
                <w:lang w:val="hy-AM"/>
              </w:rPr>
              <w:t>հազարը</w:t>
            </w:r>
            <w:r w:rsidRPr="0053423A">
              <w:rPr>
                <w:lang w:val="hy-AM"/>
              </w:rPr>
              <w:t xml:space="preserve"> </w:t>
            </w:r>
            <w:r w:rsidRPr="0053423A">
              <w:rPr>
                <w:rFonts w:cs="Sylfaen"/>
                <w:lang w:val="hy-AM"/>
              </w:rPr>
              <w:t>քաղաքային</w:t>
            </w:r>
            <w:r w:rsidRPr="0053423A">
              <w:rPr>
                <w:lang w:val="hy-AM"/>
              </w:rPr>
              <w:t xml:space="preserve"> </w:t>
            </w:r>
            <w:r w:rsidRPr="0053423A">
              <w:rPr>
                <w:rFonts w:cs="Sylfaen"/>
                <w:lang w:val="hy-AM"/>
              </w:rPr>
              <w:t>է</w:t>
            </w:r>
            <w:r w:rsidRPr="0053423A">
              <w:rPr>
                <w:lang w:val="hy-AM"/>
              </w:rPr>
              <w:t>, 36.1-</w:t>
            </w:r>
            <w:r w:rsidRPr="0053423A">
              <w:rPr>
                <w:rFonts w:cs="Sylfaen"/>
                <w:lang w:val="hy-AM"/>
              </w:rPr>
              <w:t>ը</w:t>
            </w:r>
            <w:r w:rsidRPr="0053423A">
              <w:rPr>
                <w:lang w:val="hy-AM"/>
              </w:rPr>
              <w:t xml:space="preserve">` </w:t>
            </w:r>
            <w:r w:rsidRPr="0053423A">
              <w:rPr>
                <w:rFonts w:cs="Sylfaen"/>
                <w:lang w:val="hy-AM"/>
              </w:rPr>
              <w:t>գյուղական</w:t>
            </w:r>
            <w:r w:rsidRPr="0053423A">
              <w:rPr>
                <w:lang w:val="hy-AM"/>
              </w:rPr>
              <w:t>:</w:t>
            </w:r>
          </w:p>
          <w:p w:rsidR="00764E6F" w:rsidRPr="0053423A" w:rsidRDefault="00764E6F" w:rsidP="00A67858">
            <w:pPr>
              <w:spacing w:line="276" w:lineRule="auto"/>
              <w:jc w:val="both"/>
              <w:rPr>
                <w:rFonts w:cs="Sylfaen"/>
                <w:lang w:val="hy-AM"/>
              </w:rPr>
            </w:pPr>
            <w:r w:rsidRPr="0053423A">
              <w:rPr>
                <w:rFonts w:cs="Sylfaen"/>
                <w:lang w:val="hy-AM"/>
              </w:rPr>
              <w:t xml:space="preserve">   Նաիրիի</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ծառայությունները</w:t>
            </w:r>
            <w:r w:rsidRPr="0053423A">
              <w:rPr>
                <w:lang w:val="hy-AM"/>
              </w:rPr>
              <w:t xml:space="preserve"> </w:t>
            </w:r>
            <w:r w:rsidRPr="0053423A">
              <w:rPr>
                <w:rFonts w:cs="Sylfaen"/>
                <w:lang w:val="hy-AM"/>
              </w:rPr>
              <w:t>տեղակայված</w:t>
            </w:r>
            <w:r w:rsidRPr="0053423A">
              <w:rPr>
                <w:lang w:val="hy-AM"/>
              </w:rPr>
              <w:t xml:space="preserve"> </w:t>
            </w:r>
            <w:r w:rsidRPr="0053423A">
              <w:rPr>
                <w:rFonts w:cs="Sylfaen"/>
                <w:lang w:val="hy-AM"/>
              </w:rPr>
              <w:t>են</w:t>
            </w:r>
            <w:r w:rsidRPr="0053423A">
              <w:rPr>
                <w:lang w:val="hy-AM"/>
              </w:rPr>
              <w:t xml:space="preserve"> 1984 </w:t>
            </w:r>
            <w:r w:rsidRPr="0053423A">
              <w:rPr>
                <w:rFonts w:cs="Sylfaen"/>
                <w:lang w:val="hy-AM"/>
              </w:rPr>
              <w:t>թվականին</w:t>
            </w:r>
            <w:r w:rsidRPr="0053423A">
              <w:rPr>
                <w:lang w:val="hy-AM"/>
              </w:rPr>
              <w:t xml:space="preserve"> </w:t>
            </w:r>
            <w:r w:rsidRPr="0053423A">
              <w:rPr>
                <w:rFonts w:cs="Sylfaen"/>
                <w:lang w:val="hy-AM"/>
              </w:rPr>
              <w:t>կառուցված</w:t>
            </w:r>
            <w:r w:rsidRPr="0053423A">
              <w:rPr>
                <w:lang w:val="hy-AM"/>
              </w:rPr>
              <w:t xml:space="preserve"> </w:t>
            </w:r>
            <w:r w:rsidRPr="0053423A">
              <w:rPr>
                <w:rFonts w:cs="Sylfaen"/>
                <w:lang w:val="hy-AM"/>
              </w:rPr>
              <w:t>երեք մասնաշենքում</w:t>
            </w:r>
            <w:r w:rsidRPr="0053423A">
              <w:rPr>
                <w:lang w:val="hy-AM"/>
              </w:rPr>
              <w:t xml:space="preserve">, </w:t>
            </w:r>
            <w:r w:rsidRPr="0053423A">
              <w:rPr>
                <w:rFonts w:cs="Sylfaen"/>
                <w:lang w:val="hy-AM"/>
              </w:rPr>
              <w:t>որոնք</w:t>
            </w:r>
            <w:r w:rsidRPr="0053423A">
              <w:rPr>
                <w:lang w:val="hy-AM"/>
              </w:rPr>
              <w:t xml:space="preserve"> </w:t>
            </w:r>
            <w:r w:rsidRPr="0053423A">
              <w:rPr>
                <w:rFonts w:cs="Sylfaen"/>
                <w:lang w:val="hy-AM"/>
              </w:rPr>
              <w:t>շահագործման</w:t>
            </w:r>
            <w:r w:rsidRPr="0053423A">
              <w:rPr>
                <w:lang w:val="hy-AM"/>
              </w:rPr>
              <w:t xml:space="preserve"> </w:t>
            </w:r>
            <w:r w:rsidRPr="0053423A">
              <w:rPr>
                <w:rFonts w:cs="Sylfaen"/>
                <w:lang w:val="hy-AM"/>
              </w:rPr>
              <w:t>հանձնելուց</w:t>
            </w:r>
            <w:r w:rsidRPr="0053423A">
              <w:rPr>
                <w:lang w:val="hy-AM"/>
              </w:rPr>
              <w:t xml:space="preserve"> </w:t>
            </w:r>
            <w:r w:rsidRPr="0053423A">
              <w:rPr>
                <w:rFonts w:cs="Sylfaen"/>
                <w:lang w:val="hy-AM"/>
              </w:rPr>
              <w:t>ի</w:t>
            </w:r>
            <w:r w:rsidRPr="0053423A">
              <w:rPr>
                <w:lang w:val="hy-AM"/>
              </w:rPr>
              <w:t xml:space="preserve"> </w:t>
            </w:r>
            <w:r w:rsidRPr="0053423A">
              <w:rPr>
                <w:rFonts w:cs="Sylfaen"/>
                <w:lang w:val="hy-AM"/>
              </w:rPr>
              <w:t>վեր</w:t>
            </w:r>
            <w:r w:rsidRPr="0053423A">
              <w:rPr>
                <w:lang w:val="hy-AM"/>
              </w:rPr>
              <w:t xml:space="preserve"> </w:t>
            </w:r>
            <w:r w:rsidRPr="0053423A">
              <w:rPr>
                <w:rFonts w:cs="Sylfaen"/>
                <w:lang w:val="hy-AM"/>
              </w:rPr>
              <w:t>չեն</w:t>
            </w:r>
            <w:r w:rsidRPr="0053423A">
              <w:rPr>
                <w:lang w:val="hy-AM"/>
              </w:rPr>
              <w:t xml:space="preserve"> </w:t>
            </w:r>
            <w:r w:rsidRPr="0053423A">
              <w:rPr>
                <w:rFonts w:cs="Sylfaen"/>
                <w:lang w:val="hy-AM"/>
              </w:rPr>
              <w:t>ենթարկվել</w:t>
            </w:r>
            <w:r w:rsidRPr="0053423A">
              <w:rPr>
                <w:lang w:val="hy-AM"/>
              </w:rPr>
              <w:t xml:space="preserve"> </w:t>
            </w:r>
            <w:r w:rsidRPr="0053423A">
              <w:rPr>
                <w:rFonts w:cs="Sylfaen"/>
                <w:lang w:val="hy-AM"/>
              </w:rPr>
              <w:t>կապիտալ</w:t>
            </w:r>
            <w:r w:rsidRPr="0053423A">
              <w:rPr>
                <w:lang w:val="hy-AM"/>
              </w:rPr>
              <w:t xml:space="preserve"> </w:t>
            </w:r>
            <w:r w:rsidRPr="0053423A">
              <w:rPr>
                <w:rFonts w:cs="Sylfaen"/>
                <w:lang w:val="hy-AM"/>
              </w:rPr>
              <w:t>հիմնանորոգման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ներկայում</w:t>
            </w:r>
            <w:r w:rsidRPr="0053423A">
              <w:rPr>
                <w:lang w:val="hy-AM"/>
              </w:rPr>
              <w:t xml:space="preserve"> </w:t>
            </w:r>
            <w:r w:rsidRPr="0053423A">
              <w:rPr>
                <w:rFonts w:cs="Sylfaen"/>
                <w:lang w:val="hy-AM"/>
              </w:rPr>
              <w:t>գտնվում</w:t>
            </w:r>
            <w:r w:rsidRPr="0053423A">
              <w:rPr>
                <w:lang w:val="hy-AM"/>
              </w:rPr>
              <w:t xml:space="preserve"> </w:t>
            </w:r>
            <w:r w:rsidRPr="0053423A">
              <w:rPr>
                <w:rFonts w:cs="Sylfaen"/>
                <w:lang w:val="hy-AM"/>
              </w:rPr>
              <w:t>են</w:t>
            </w:r>
            <w:r w:rsidRPr="0053423A">
              <w:rPr>
                <w:lang w:val="hy-AM"/>
              </w:rPr>
              <w:t xml:space="preserve"> </w:t>
            </w:r>
            <w:r w:rsidRPr="0053423A">
              <w:rPr>
                <w:rFonts w:cs="Sylfaen"/>
                <w:lang w:val="hy-AM"/>
              </w:rPr>
              <w:t>անբարեկարգ</w:t>
            </w:r>
            <w:r w:rsidRPr="0053423A">
              <w:rPr>
                <w:lang w:val="hy-AM"/>
              </w:rPr>
              <w:t xml:space="preserve"> </w:t>
            </w:r>
            <w:r w:rsidRPr="0053423A">
              <w:rPr>
                <w:rFonts w:cs="Sylfaen"/>
                <w:lang w:val="hy-AM"/>
              </w:rPr>
              <w:t>վիճակում (2007-2008թթ.. իրականացվել են գլխավոր մասնաշենքի մասնակի վերանորոգման աշխատանքներ)</w:t>
            </w:r>
            <w:r w:rsidRPr="0053423A">
              <w:rPr>
                <w:lang w:val="hy-AM"/>
              </w:rPr>
              <w:t xml:space="preserve">: </w:t>
            </w:r>
          </w:p>
          <w:p w:rsidR="00764E6F" w:rsidRPr="0053423A" w:rsidRDefault="00764E6F" w:rsidP="00A67858">
            <w:pPr>
              <w:spacing w:line="276" w:lineRule="auto"/>
              <w:jc w:val="both"/>
              <w:rPr>
                <w:lang w:val="hy-AM"/>
              </w:rPr>
            </w:pPr>
            <w:r w:rsidRPr="0053423A">
              <w:rPr>
                <w:rFonts w:cs="Sylfaen"/>
                <w:lang w:val="hy-AM"/>
              </w:rPr>
              <w:t xml:space="preserve">   Ելնելով</w:t>
            </w:r>
            <w:r w:rsidRPr="0053423A">
              <w:rPr>
                <w:lang w:val="hy-AM"/>
              </w:rPr>
              <w:t xml:space="preserve"> </w:t>
            </w:r>
            <w:r w:rsidRPr="0053423A">
              <w:rPr>
                <w:rFonts w:cs="Sylfaen"/>
                <w:lang w:val="hy-AM"/>
              </w:rPr>
              <w:t>վերոնշյալից</w:t>
            </w:r>
            <w:r w:rsidRPr="0053423A">
              <w:rPr>
                <w:lang w:val="hy-AM"/>
              </w:rPr>
              <w:t xml:space="preserve">, </w:t>
            </w:r>
            <w:r w:rsidRPr="0053423A">
              <w:rPr>
                <w:rFonts w:cs="Sylfaen"/>
                <w:lang w:val="hy-AM"/>
              </w:rPr>
              <w:t>շինության</w:t>
            </w:r>
            <w:r w:rsidRPr="0053423A">
              <w:rPr>
                <w:lang w:val="hy-AM"/>
              </w:rPr>
              <w:t xml:space="preserve"> </w:t>
            </w:r>
            <w:r w:rsidRPr="0053423A">
              <w:rPr>
                <w:rFonts w:cs="Sylfaen"/>
                <w:lang w:val="hy-AM"/>
              </w:rPr>
              <w:t>չափսերից</w:t>
            </w:r>
            <w:r w:rsidRPr="0053423A">
              <w:rPr>
                <w:lang w:val="hy-AM"/>
              </w:rPr>
              <w:t xml:space="preserve">, </w:t>
            </w:r>
            <w:r w:rsidRPr="0053423A">
              <w:rPr>
                <w:rFonts w:cs="Sylfaen"/>
                <w:lang w:val="hy-AM"/>
              </w:rPr>
              <w:t>ինչպես</w:t>
            </w:r>
            <w:r w:rsidRPr="0053423A">
              <w:rPr>
                <w:lang w:val="hy-AM"/>
              </w:rPr>
              <w:t xml:space="preserve"> </w:t>
            </w:r>
            <w:r w:rsidRPr="0053423A">
              <w:rPr>
                <w:rFonts w:cs="Sylfaen"/>
                <w:lang w:val="hy-AM"/>
              </w:rPr>
              <w:t>նաև</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մահճակալների</w:t>
            </w:r>
            <w:r w:rsidRPr="0053423A">
              <w:rPr>
                <w:lang w:val="hy-AM"/>
              </w:rPr>
              <w:t xml:space="preserve"> </w:t>
            </w:r>
            <w:r w:rsidRPr="0053423A">
              <w:rPr>
                <w:rFonts w:cs="Sylfaen"/>
                <w:lang w:val="hy-AM"/>
              </w:rPr>
              <w:t>ծանրաբեռնվածության</w:t>
            </w:r>
            <w:r w:rsidRPr="0053423A">
              <w:rPr>
                <w:lang w:val="hy-AM"/>
              </w:rPr>
              <w:t xml:space="preserve"> </w:t>
            </w:r>
            <w:r w:rsidRPr="0053423A">
              <w:rPr>
                <w:rFonts w:cs="Sylfaen"/>
                <w:lang w:val="hy-AM"/>
              </w:rPr>
              <w:t>ցուցանիշներից</w:t>
            </w:r>
            <w:r w:rsidRPr="0053423A">
              <w:rPr>
                <w:lang w:val="hy-AM"/>
              </w:rPr>
              <w:t xml:space="preserve">` </w:t>
            </w:r>
            <w:r w:rsidRPr="0053423A">
              <w:rPr>
                <w:rFonts w:cs="Sylfaen"/>
                <w:lang w:val="hy-AM"/>
              </w:rPr>
              <w:t>տնտեսապես</w:t>
            </w:r>
            <w:r w:rsidRPr="0053423A">
              <w:rPr>
                <w:lang w:val="hy-AM"/>
              </w:rPr>
              <w:t xml:space="preserve"> </w:t>
            </w:r>
            <w:r w:rsidRPr="0053423A">
              <w:rPr>
                <w:rFonts w:cs="Sylfaen"/>
                <w:lang w:val="hy-AM"/>
              </w:rPr>
              <w:t>արդյունավետ</w:t>
            </w:r>
            <w:r w:rsidRPr="0053423A">
              <w:rPr>
                <w:lang w:val="hy-AM"/>
              </w:rPr>
              <w:t xml:space="preserve"> </w:t>
            </w:r>
            <w:r w:rsidRPr="0053423A">
              <w:rPr>
                <w:rFonts w:cs="Sylfaen"/>
                <w:lang w:val="hy-AM"/>
              </w:rPr>
              <w:t>չէ</w:t>
            </w:r>
            <w:r w:rsidRPr="0053423A">
              <w:rPr>
                <w:lang w:val="hy-AM"/>
              </w:rPr>
              <w:t xml:space="preserve"> </w:t>
            </w:r>
            <w:r w:rsidRPr="0053423A">
              <w:rPr>
                <w:rFonts w:cs="Sylfaen"/>
                <w:lang w:val="hy-AM"/>
              </w:rPr>
              <w:t>Նաիրիի</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ներկայիս</w:t>
            </w:r>
            <w:r w:rsidRPr="0053423A">
              <w:rPr>
                <w:lang w:val="hy-AM"/>
              </w:rPr>
              <w:t xml:space="preserve"> </w:t>
            </w:r>
            <w:r w:rsidRPr="0053423A">
              <w:rPr>
                <w:rFonts w:cs="Sylfaen"/>
                <w:lang w:val="hy-AM"/>
              </w:rPr>
              <w:t>մասնաշենքերի</w:t>
            </w:r>
            <w:r w:rsidRPr="0053423A">
              <w:rPr>
                <w:lang w:val="hy-AM"/>
              </w:rPr>
              <w:t xml:space="preserve"> </w:t>
            </w:r>
            <w:r w:rsidRPr="0053423A">
              <w:rPr>
                <w:rFonts w:cs="Sylfaen"/>
                <w:lang w:val="hy-AM"/>
              </w:rPr>
              <w:t>հիմնանորոգումը</w:t>
            </w:r>
            <w:r w:rsidRPr="0053423A">
              <w:rPr>
                <w:lang w:val="hy-AM"/>
              </w:rPr>
              <w:t>:</w:t>
            </w:r>
          </w:p>
          <w:p w:rsidR="00764E6F" w:rsidRPr="0053423A" w:rsidRDefault="00764E6F" w:rsidP="00A67858">
            <w:pPr>
              <w:spacing w:line="276" w:lineRule="auto"/>
              <w:jc w:val="both"/>
              <w:rPr>
                <w:lang w:val="hy-AM"/>
              </w:rPr>
            </w:pPr>
            <w:r w:rsidRPr="0053423A">
              <w:rPr>
                <w:rFonts w:cs="Sylfaen"/>
                <w:lang w:val="hy-AM"/>
              </w:rPr>
              <w:t xml:space="preserve">   Ուստի</w:t>
            </w:r>
            <w:r w:rsidRPr="0053423A">
              <w:rPr>
                <w:lang w:val="hy-AM"/>
              </w:rPr>
              <w:t xml:space="preserve">` նպատակահարմար </w:t>
            </w:r>
            <w:r w:rsidRPr="0053423A">
              <w:rPr>
                <w:rFonts w:cs="Sylfaen"/>
                <w:lang w:val="hy-AM"/>
              </w:rPr>
              <w:t>է</w:t>
            </w:r>
            <w:r w:rsidRPr="0053423A">
              <w:rPr>
                <w:lang w:val="hy-AM"/>
              </w:rPr>
              <w:t xml:space="preserve"> կրկին օպտիմալացնել </w:t>
            </w:r>
            <w:r w:rsidRPr="0053423A">
              <w:rPr>
                <w:rFonts w:cs="Sylfaen"/>
                <w:lang w:val="hy-AM"/>
              </w:rPr>
              <w:t>Նաիրիի</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կենտրոնի</w:t>
            </w:r>
            <w:r w:rsidRPr="0053423A">
              <w:rPr>
                <w:lang w:val="hy-AM"/>
              </w:rPr>
              <w:t xml:space="preserve"> մահճակալային ֆոնդը մինչև 25 մահճակալ և </w:t>
            </w:r>
            <w:r w:rsidRPr="0053423A">
              <w:rPr>
                <w:rFonts w:cs="Sylfaen"/>
                <w:lang w:val="hy-AM"/>
              </w:rPr>
              <w:t>կառուցել</w:t>
            </w:r>
            <w:r w:rsidRPr="0053423A">
              <w:rPr>
                <w:lang w:val="hy-AM"/>
              </w:rPr>
              <w:t xml:space="preserve"> </w:t>
            </w:r>
            <w:r w:rsidRPr="0053423A">
              <w:rPr>
                <w:rFonts w:cs="Sylfaen"/>
                <w:lang w:val="hy-AM"/>
              </w:rPr>
              <w:t>հիվանդանոցային</w:t>
            </w:r>
            <w:r w:rsidRPr="0053423A">
              <w:rPr>
                <w:lang w:val="hy-AM"/>
              </w:rPr>
              <w:t xml:space="preserve"> ու պոլիկլինիկական </w:t>
            </w:r>
            <w:r w:rsidRPr="0053423A">
              <w:rPr>
                <w:rFonts w:cs="Sylfaen"/>
                <w:lang w:val="hy-AM"/>
              </w:rPr>
              <w:t>ծառայություններ</w:t>
            </w:r>
            <w:r w:rsidRPr="0053423A">
              <w:rPr>
                <w:lang w:val="hy-AM"/>
              </w:rPr>
              <w:t xml:space="preserve"> </w:t>
            </w:r>
            <w:r w:rsidRPr="0053423A">
              <w:rPr>
                <w:rFonts w:cs="Sylfaen"/>
                <w:lang w:val="hy-AM"/>
              </w:rPr>
              <w:t>մատուցող</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նոր</w:t>
            </w:r>
            <w:r w:rsidRPr="0053423A">
              <w:rPr>
                <w:lang w:val="hy-AM"/>
              </w:rPr>
              <w:t xml:space="preserve"> տիպային </w:t>
            </w:r>
            <w:r w:rsidRPr="0053423A">
              <w:rPr>
                <w:rFonts w:cs="Sylfaen"/>
                <w:lang w:val="hy-AM"/>
              </w:rPr>
              <w:t xml:space="preserve">մասնաշենք՝ զբաղեցնելով ընդամենը շուրջ </w:t>
            </w:r>
            <w:r w:rsidRPr="0053423A">
              <w:rPr>
                <w:rFonts w:cs="Sylfaen"/>
                <w:b/>
                <w:lang w:val="af-ZA"/>
              </w:rPr>
              <w:t>2300</w:t>
            </w:r>
            <w:r w:rsidRPr="0053423A">
              <w:rPr>
                <w:rFonts w:cs="Sylfaen"/>
                <w:b/>
                <w:lang w:val="hy-AM"/>
              </w:rPr>
              <w:t>քմ</w:t>
            </w:r>
            <w:r w:rsidRPr="0053423A">
              <w:rPr>
                <w:rFonts w:cs="Sylfaen"/>
                <w:lang w:val="hy-AM"/>
              </w:rPr>
              <w:t xml:space="preserve"> տարածք</w:t>
            </w:r>
            <w:r w:rsidRPr="0053423A">
              <w:rPr>
                <w:lang w:val="hy-AM"/>
              </w:rPr>
              <w:t xml:space="preserve">: </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center"/>
              <w:rPr>
                <w:b/>
                <w:highlight w:val="yellow"/>
                <w:lang w:val="hy-AM"/>
              </w:rPr>
            </w:pPr>
          </w:p>
          <w:p w:rsidR="00764E6F" w:rsidRPr="0053423A" w:rsidRDefault="008B3845" w:rsidP="00A67858">
            <w:pPr>
              <w:spacing w:line="276" w:lineRule="auto"/>
              <w:jc w:val="center"/>
              <w:rPr>
                <w:b/>
                <w:lang w:val="hy-AM"/>
              </w:rPr>
            </w:pPr>
            <w:r w:rsidRPr="0053423A">
              <w:rPr>
                <w:b/>
                <w:lang w:val="hy-AM"/>
              </w:rPr>
              <w:t>2</w:t>
            </w:r>
            <w:r w:rsidR="00764E6F" w:rsidRPr="0053423A">
              <w:rPr>
                <w:b/>
                <w:lang w:val="hy-AM"/>
              </w:rPr>
              <w:t>8.5</w:t>
            </w:r>
            <w:r w:rsidRPr="0053423A">
              <w:rPr>
                <w:b/>
                <w:lang w:val="hy-AM"/>
              </w:rPr>
              <w:t xml:space="preserve"> </w:t>
            </w:r>
            <w:r w:rsidR="00764E6F" w:rsidRPr="0053423A">
              <w:rPr>
                <w:b/>
                <w:lang w:val="hy-AM"/>
              </w:rPr>
              <w:t xml:space="preserve">Արագածոտնի մարզի Աշտարակի բժշկական կենտրոնի </w:t>
            </w:r>
            <w:r w:rsidR="006E4A0D" w:rsidRPr="0053423A">
              <w:rPr>
                <w:b/>
                <w:lang w:val="hy-AM"/>
              </w:rPr>
              <w:t>վերակառուցման շինարարական աշխատանքների</w:t>
            </w:r>
            <w:r w:rsidR="00764E6F" w:rsidRPr="0053423A">
              <w:rPr>
                <w:b/>
                <w:lang w:val="hy-AM"/>
              </w:rPr>
              <w:t xml:space="preserve"> մեկնարկ</w:t>
            </w:r>
          </w:p>
          <w:p w:rsidR="00764E6F" w:rsidRPr="0053423A" w:rsidRDefault="00764E6F" w:rsidP="00A67858">
            <w:pPr>
              <w:spacing w:line="276" w:lineRule="auto"/>
              <w:jc w:val="center"/>
              <w:rPr>
                <w:b/>
                <w:lang w:val="hy-AM"/>
              </w:rPr>
            </w:pPr>
          </w:p>
          <w:p w:rsidR="00764E6F" w:rsidRPr="0053423A" w:rsidRDefault="00764E6F" w:rsidP="00A67858">
            <w:pPr>
              <w:spacing w:line="276" w:lineRule="auto"/>
              <w:jc w:val="both"/>
              <w:rPr>
                <w:b/>
                <w:lang w:val="hy-AM"/>
              </w:rPr>
            </w:pPr>
            <w:r w:rsidRPr="0053423A">
              <w:rPr>
                <w:b/>
                <w:lang w:val="hy-AM"/>
              </w:rPr>
              <w:t xml:space="preserve">   1. Միջոցառման իրականացման անհրաժեշտությունը և նպատակը</w:t>
            </w:r>
          </w:p>
          <w:p w:rsidR="00764E6F" w:rsidRPr="0053423A" w:rsidRDefault="00764E6F" w:rsidP="00A67858">
            <w:pPr>
              <w:spacing w:line="276" w:lineRule="auto"/>
              <w:jc w:val="both"/>
              <w:rPr>
                <w:lang w:val="hy-AM"/>
              </w:rPr>
            </w:pPr>
            <w:r w:rsidRPr="0053423A">
              <w:rPr>
                <w:b/>
                <w:lang w:val="hy-AM"/>
              </w:rPr>
              <w:t xml:space="preserve"> </w:t>
            </w:r>
            <w:r w:rsidRPr="0053423A">
              <w:rPr>
                <w:lang w:val="hy-AM"/>
              </w:rPr>
              <w:t>ՀՀ մարզերի առողջապահական համակարգի զարգացման հարցը դեռևս արդիական խնդիր է Հայաստանի Հանրապետությունում: Մարզային բժշկական հաստատությունների շենքերը գտնվում են անմխիթար պայմաններում և ենթակա են արդիականացման` բնակչությանը տեղում ժամանակակից չափանիշներին համապատասխան բժշկական ծառայություններ մատուցելու նպատակով:</w:t>
            </w:r>
          </w:p>
          <w:p w:rsidR="00764E6F" w:rsidRPr="0053423A" w:rsidRDefault="00764E6F" w:rsidP="00A67858">
            <w:pPr>
              <w:spacing w:line="276" w:lineRule="auto"/>
              <w:jc w:val="both"/>
              <w:rPr>
                <w:lang w:val="hy-AM"/>
              </w:rPr>
            </w:pPr>
            <w:r w:rsidRPr="0053423A">
              <w:rPr>
                <w:lang w:val="hy-AM"/>
              </w:rPr>
              <w:t>ՀՀ մարզային առողջապահության համակարգի զարգացման նպատակը բնակչությանը տրամադրվող բժշկական օգնության և սպասարկման որակի և մատչելիության մակարդակի բարձրացումն է:</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jc w:val="both"/>
              <w:rPr>
                <w:lang w:val="hy-AM"/>
              </w:rPr>
            </w:pPr>
            <w:r w:rsidRPr="0053423A">
              <w:rPr>
                <w:lang w:val="hy-AM"/>
              </w:rPr>
              <w:t xml:space="preserve">   Հիմնանորոգվել և կառուցվել են ՀՀ մարզային մի շարք բժշկական կենտրոններ և առողջության առաջնային պահպանման հաստատությունների շենքեր: Բժշկական հաստատությունները նաև հագեցվել են արդի բժշկական սարքավորումներով և անհրաժեշտ կահույքով: Սակայն ՀՀ մարզերում դեռևս կան անմխիթար պայմաններում գտնվող բժշկական օգնություն և սպասարկում իրականացնող հաստատություններ, որոնց թե՛ շենքային վիճակը և թե՛ տեխնիկական հագեցվածությունը չեն բավարարում միջազգային նորմերին, ինչն  անդրադառնում է նաև մատուցվող բժշկական օգնության և սպասարկման որակի վրա:</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1.2. Առկա խնդիրների առաջարկվող լուծումները</w:t>
            </w:r>
          </w:p>
          <w:p w:rsidR="00764E6F" w:rsidRPr="0053423A" w:rsidRDefault="00764E6F" w:rsidP="00A67858">
            <w:pPr>
              <w:spacing w:line="276" w:lineRule="auto"/>
              <w:jc w:val="both"/>
              <w:rPr>
                <w:lang w:val="hy-AM"/>
              </w:rPr>
            </w:pPr>
            <w:r w:rsidRPr="0053423A">
              <w:rPr>
                <w:lang w:val="hy-AM"/>
              </w:rPr>
              <w:t xml:space="preserve">   Մարզերում մատուցվող բժշկական օգնության և սպասարկման որակը բարձրացնելու ուղղություններից է բժշկական հաստատությունների արդիականացումը` կառուցում, հիմնանորոգում և հագեցում ժամանակակից չափանիշներին համապատասխան բժշկական կահույքով, սարքավորումներով և պարագաներով:</w:t>
            </w:r>
          </w:p>
          <w:p w:rsidR="00764E6F" w:rsidRPr="0053423A" w:rsidRDefault="00764E6F" w:rsidP="00A67858">
            <w:pPr>
              <w:spacing w:line="276" w:lineRule="auto"/>
              <w:jc w:val="both"/>
              <w:rPr>
                <w:lang w:val="hy-AM"/>
              </w:rPr>
            </w:pPr>
            <w:r w:rsidRPr="0053423A">
              <w:rPr>
                <w:lang w:val="hy-AM"/>
              </w:rPr>
              <w:t xml:space="preserve">2019-2023թթ-ին նախատեսվում է շարունակել մարզային բժշկական օգնություն և սպասարկում իրականացնող հաստատությունների վերանորոգման/կառուցման և հագեցման աշխատանքների իրականացումը: </w:t>
            </w:r>
          </w:p>
          <w:p w:rsidR="00764E6F" w:rsidRPr="0053423A" w:rsidRDefault="00764E6F" w:rsidP="00A67858">
            <w:pPr>
              <w:spacing w:line="276" w:lineRule="auto"/>
              <w:jc w:val="both"/>
              <w:rPr>
                <w:rFonts w:cs="Sylfaen"/>
                <w:lang w:val="hy-AM"/>
              </w:rPr>
            </w:pPr>
          </w:p>
          <w:p w:rsidR="00764E6F" w:rsidRPr="0053423A" w:rsidRDefault="00764E6F" w:rsidP="00A67858">
            <w:pPr>
              <w:spacing w:line="276" w:lineRule="auto"/>
              <w:jc w:val="both"/>
              <w:rPr>
                <w:b/>
                <w:color w:val="FF0000"/>
              </w:rPr>
            </w:pPr>
            <w:r w:rsidRPr="0053423A">
              <w:rPr>
                <w:b/>
                <w:color w:val="000000"/>
                <w:lang w:val="hy-AM"/>
              </w:rPr>
              <w:t xml:space="preserve">   </w:t>
            </w:r>
            <w:r w:rsidRPr="0053423A">
              <w:rPr>
                <w:b/>
                <w:color w:val="000000"/>
              </w:rPr>
              <w:t>2</w:t>
            </w:r>
            <w:r w:rsidRPr="0053423A">
              <w:rPr>
                <w:b/>
                <w:color w:val="000000"/>
                <w:lang w:val="hy-AM"/>
              </w:rPr>
              <w:t>.</w:t>
            </w:r>
            <w:r w:rsidRPr="0053423A">
              <w:rPr>
                <w:b/>
                <w:color w:val="FF0000"/>
                <w:lang w:val="hy-AM"/>
              </w:rPr>
              <w:t xml:space="preserve"> </w:t>
            </w:r>
            <w:r w:rsidRPr="0053423A">
              <w:rPr>
                <w:b/>
                <w:color w:val="000000"/>
                <w:lang w:val="hy-AM"/>
              </w:rPr>
              <w:t>Միջոցառմ</w:t>
            </w:r>
            <w:r w:rsidRPr="0053423A">
              <w:rPr>
                <w:b/>
                <w:color w:val="000000"/>
              </w:rPr>
              <w:t>ան</w:t>
            </w:r>
            <w:r w:rsidRPr="0053423A">
              <w:rPr>
                <w:b/>
                <w:color w:val="000000"/>
                <w:lang w:val="hy-AM"/>
              </w:rPr>
              <w:t xml:space="preserve"> իրականացումից ակնկալվող արդյունքը</w:t>
            </w:r>
          </w:p>
          <w:p w:rsidR="00764E6F" w:rsidRPr="0053423A" w:rsidRDefault="00764E6F" w:rsidP="00A67858">
            <w:pPr>
              <w:numPr>
                <w:ilvl w:val="0"/>
                <w:numId w:val="5"/>
              </w:numPr>
              <w:tabs>
                <w:tab w:val="left" w:pos="5040"/>
              </w:tabs>
              <w:spacing w:line="276" w:lineRule="auto"/>
              <w:jc w:val="both"/>
              <w:rPr>
                <w:rFonts w:cs="Times Armenian"/>
                <w:lang w:val="hy-AM"/>
              </w:rPr>
            </w:pPr>
            <w:r w:rsidRPr="0053423A">
              <w:rPr>
                <w:rFonts w:cs="Sylfaen"/>
                <w:lang w:val="hy-AM"/>
              </w:rPr>
              <w:t>ՀՀ</w:t>
            </w:r>
            <w:r w:rsidRPr="0053423A">
              <w:rPr>
                <w:lang w:val="hy-AM"/>
              </w:rPr>
              <w:t xml:space="preserve"> </w:t>
            </w:r>
            <w:r w:rsidRPr="0053423A">
              <w:rPr>
                <w:rFonts w:cs="Sylfaen"/>
                <w:lang w:val="hy-AM"/>
              </w:rPr>
              <w:t>Արագածոտնի</w:t>
            </w:r>
            <w:r w:rsidRPr="0053423A">
              <w:rPr>
                <w:lang w:val="hy-AM"/>
              </w:rPr>
              <w:t xml:space="preserve"> </w:t>
            </w:r>
            <w:r w:rsidRPr="0053423A">
              <w:rPr>
                <w:rFonts w:cs="Sylfaen"/>
                <w:lang w:val="hy-AM"/>
              </w:rPr>
              <w:t>մարզի</w:t>
            </w:r>
            <w:r w:rsidRPr="0053423A">
              <w:rPr>
                <w:lang w:val="hy-AM"/>
              </w:rPr>
              <w:t xml:space="preserve"> </w:t>
            </w:r>
            <w:r w:rsidRPr="0053423A">
              <w:rPr>
                <w:rFonts w:cs="Sylfaen"/>
                <w:lang w:val="hy-AM"/>
              </w:rPr>
              <w:t>Աշտարակի</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 xml:space="preserve">կենտրոնը՝ 45 մահճակալ հզորությամբ </w:t>
            </w:r>
          </w:p>
          <w:p w:rsidR="00764E6F" w:rsidRPr="0053423A" w:rsidRDefault="00764E6F" w:rsidP="00A67858">
            <w:pPr>
              <w:tabs>
                <w:tab w:val="left" w:pos="5040"/>
              </w:tabs>
              <w:spacing w:line="276" w:lineRule="auto"/>
              <w:jc w:val="both"/>
              <w:rPr>
                <w:rFonts w:cs="Sylfaen"/>
                <w:lang w:val="hy-AM"/>
              </w:rPr>
            </w:pPr>
            <w:r w:rsidRPr="0053423A">
              <w:rPr>
                <w:rFonts w:cs="Sylfaen"/>
                <w:lang w:val="hy-AM"/>
              </w:rPr>
              <w:t>բազմապրոֆիլային</w:t>
            </w:r>
            <w:r w:rsidRPr="0053423A">
              <w:rPr>
                <w:lang w:val="hy-AM"/>
              </w:rPr>
              <w:t xml:space="preserve"> </w:t>
            </w:r>
            <w:r w:rsidRPr="0053423A">
              <w:rPr>
                <w:rFonts w:cs="Sylfaen"/>
                <w:lang w:val="hy-AM"/>
              </w:rPr>
              <w:t>բժշկական հաստատություն</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որը</w:t>
            </w:r>
            <w:r w:rsidRPr="0053423A">
              <w:rPr>
                <w:lang w:val="hy-AM"/>
              </w:rPr>
              <w:t xml:space="preserve"> </w:t>
            </w:r>
            <w:r w:rsidRPr="0053423A">
              <w:rPr>
                <w:rFonts w:cs="Sylfaen"/>
                <w:lang w:val="hy-AM"/>
              </w:rPr>
              <w:t>լայն</w:t>
            </w:r>
            <w:r w:rsidRPr="0053423A">
              <w:rPr>
                <w:lang w:val="hy-AM"/>
              </w:rPr>
              <w:t xml:space="preserve"> </w:t>
            </w:r>
            <w:r w:rsidRPr="0053423A">
              <w:rPr>
                <w:rFonts w:cs="Sylfaen"/>
                <w:lang w:val="hy-AM"/>
              </w:rPr>
              <w:t>սպեկտորի</w:t>
            </w:r>
            <w:r w:rsidRPr="0053423A">
              <w:rPr>
                <w:lang w:val="hy-AM"/>
              </w:rPr>
              <w:t xml:space="preserve"> </w:t>
            </w:r>
            <w:r w:rsidRPr="0053423A">
              <w:rPr>
                <w:rFonts w:cs="Sylfaen"/>
                <w:lang w:val="hy-AM"/>
              </w:rPr>
              <w:t>ստացիոնար</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պոլիկլինիկական</w:t>
            </w:r>
            <w:r w:rsidRPr="0053423A">
              <w:rPr>
                <w:lang w:val="hy-AM"/>
              </w:rPr>
              <w:t xml:space="preserve"> </w:t>
            </w:r>
            <w:r w:rsidRPr="0053423A">
              <w:rPr>
                <w:rFonts w:cs="Sylfaen"/>
                <w:lang w:val="hy-AM"/>
              </w:rPr>
              <w:t>ծառայություններ</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մատուցում</w:t>
            </w:r>
            <w:r w:rsidRPr="0053423A">
              <w:rPr>
                <w:lang w:val="hy-AM"/>
              </w:rPr>
              <w:t xml:space="preserve"> </w:t>
            </w:r>
            <w:r w:rsidRPr="0053423A">
              <w:rPr>
                <w:rFonts w:cs="Sylfaen"/>
                <w:lang w:val="hy-AM"/>
              </w:rPr>
              <w:t>Աշտարակի տարածաշրջանի</w:t>
            </w:r>
            <w:r w:rsidRPr="0053423A">
              <w:rPr>
                <w:lang w:val="hy-AM"/>
              </w:rPr>
              <w:t xml:space="preserve"> 59.8 </w:t>
            </w:r>
            <w:r w:rsidRPr="0053423A">
              <w:rPr>
                <w:rFonts w:cs="Sylfaen"/>
                <w:lang w:val="hy-AM"/>
              </w:rPr>
              <w:t>հազար</w:t>
            </w:r>
            <w:r w:rsidRPr="0053423A">
              <w:rPr>
                <w:lang w:val="hy-AM"/>
              </w:rPr>
              <w:t xml:space="preserve"> </w:t>
            </w:r>
            <w:r w:rsidRPr="0053423A">
              <w:rPr>
                <w:rFonts w:cs="Sylfaen"/>
                <w:lang w:val="hy-AM"/>
              </w:rPr>
              <w:t>բնակչությանը</w:t>
            </w:r>
            <w:r w:rsidRPr="0053423A">
              <w:rPr>
                <w:lang w:val="hy-AM"/>
              </w:rPr>
              <w:t xml:space="preserve">, </w:t>
            </w:r>
            <w:r w:rsidRPr="0053423A">
              <w:rPr>
                <w:rFonts w:cs="Sylfaen"/>
                <w:lang w:val="hy-AM"/>
              </w:rPr>
              <w:t>որից</w:t>
            </w:r>
            <w:r w:rsidRPr="0053423A">
              <w:rPr>
                <w:lang w:val="hy-AM"/>
              </w:rPr>
              <w:t xml:space="preserve"> 17.2 </w:t>
            </w:r>
            <w:r w:rsidRPr="0053423A">
              <w:rPr>
                <w:rFonts w:cs="Sylfaen"/>
                <w:lang w:val="hy-AM"/>
              </w:rPr>
              <w:t>հազարը</w:t>
            </w:r>
            <w:r w:rsidRPr="0053423A">
              <w:rPr>
                <w:lang w:val="hy-AM"/>
              </w:rPr>
              <w:t xml:space="preserve"> </w:t>
            </w:r>
            <w:r w:rsidRPr="0053423A">
              <w:rPr>
                <w:rFonts w:cs="Sylfaen"/>
                <w:lang w:val="hy-AM"/>
              </w:rPr>
              <w:t>քաղաքային</w:t>
            </w:r>
            <w:r w:rsidRPr="0053423A">
              <w:rPr>
                <w:lang w:val="hy-AM"/>
              </w:rPr>
              <w:t xml:space="preserve"> </w:t>
            </w:r>
            <w:r w:rsidRPr="0053423A">
              <w:rPr>
                <w:rFonts w:cs="Sylfaen"/>
                <w:lang w:val="hy-AM"/>
              </w:rPr>
              <w:t>է</w:t>
            </w:r>
            <w:r w:rsidRPr="0053423A">
              <w:rPr>
                <w:lang w:val="hy-AM"/>
              </w:rPr>
              <w:t>, 42.6-</w:t>
            </w:r>
            <w:r w:rsidRPr="0053423A">
              <w:rPr>
                <w:rFonts w:cs="Sylfaen"/>
                <w:lang w:val="hy-AM"/>
              </w:rPr>
              <w:t>ը</w:t>
            </w:r>
            <w:r w:rsidRPr="0053423A">
              <w:rPr>
                <w:lang w:val="hy-AM"/>
              </w:rPr>
              <w:t xml:space="preserve">` </w:t>
            </w:r>
            <w:r w:rsidRPr="0053423A">
              <w:rPr>
                <w:rFonts w:cs="Sylfaen"/>
                <w:lang w:val="hy-AM"/>
              </w:rPr>
              <w:t>գյուղական</w:t>
            </w:r>
            <w:r w:rsidRPr="0053423A">
              <w:rPr>
                <w:lang w:val="hy-AM"/>
              </w:rPr>
              <w:t xml:space="preserve">: Ներկայում կենտրոնի ծառայությունները </w:t>
            </w:r>
            <w:r w:rsidRPr="0053423A">
              <w:rPr>
                <w:rFonts w:cs="Sylfaen"/>
                <w:lang w:val="hy-AM"/>
              </w:rPr>
              <w:t>տեղակայված</w:t>
            </w:r>
            <w:r w:rsidRPr="0053423A">
              <w:rPr>
                <w:lang w:val="hy-AM"/>
              </w:rPr>
              <w:t xml:space="preserve"> </w:t>
            </w:r>
            <w:r w:rsidRPr="0053423A">
              <w:rPr>
                <w:rFonts w:cs="Sylfaen"/>
                <w:lang w:val="hy-AM"/>
              </w:rPr>
              <w:t>են 1974թ. կառուցված թիվ 1 և հիմնական պոլիկլինիկական մասնաշենքերում (թիվ 2 մասնաշենքը, որը միջանցքով միացված է թիվ 1 մասնաշենքին, ՀՀ Արագածոտնի մարզպետի 2017թ. թիվ 213-Ա կարգադրությամբ հանձնվել է ՀՀ կառավարությանն առընթեր գույքի կառավարման վարչությանը): 2005-2007թթ., 2018-2019թթ.. ընթացքում իրականացվել են ու ներկայում իրականացվում են մասնակի վերանորոգումներ: 2019թ. ապրիլին նախատեսվում են վիրաբուժական բաժանմունքի վերանորոգման և վերազինման աշխատանքները (համաձայն ԱՄՆ Ֆրեզնո քաղաքի պատվավոր հյուպատոս Պերճ Աբգարյանի հետ համատեղ ստորագրված հուշագիրը):</w:t>
            </w:r>
          </w:p>
          <w:p w:rsidR="00764E6F" w:rsidRPr="0053423A" w:rsidRDefault="00764E6F" w:rsidP="00A67858">
            <w:pPr>
              <w:tabs>
                <w:tab w:val="left" w:pos="5040"/>
              </w:tabs>
              <w:spacing w:line="276" w:lineRule="auto"/>
              <w:jc w:val="both"/>
              <w:rPr>
                <w:rFonts w:cs="Sylfaen"/>
                <w:lang w:val="hy-AM"/>
              </w:rPr>
            </w:pPr>
            <w:r w:rsidRPr="0053423A">
              <w:rPr>
                <w:rFonts w:cs="Sylfaen"/>
                <w:lang w:val="hy-AM"/>
              </w:rPr>
              <w:t xml:space="preserve">   Ներկայում ՀՀ ԱՆ մասնագետների կողմից ուսումնասիրվում է բժշկական կենտրոնին 2-րդ մասնաշենքը (գտնվում է անբարեկարգ վիճակում) վերադարձնելու նպատակահարմարությունը և հնարավորությունը: </w:t>
            </w:r>
          </w:p>
          <w:p w:rsidR="00764E6F" w:rsidRPr="0053423A" w:rsidRDefault="00764E6F" w:rsidP="00A67858">
            <w:pPr>
              <w:spacing w:line="276" w:lineRule="auto"/>
              <w:jc w:val="both"/>
              <w:rPr>
                <w:rFonts w:cs="Sylfaen"/>
                <w:lang w:val="hy-AM"/>
              </w:rPr>
            </w:pPr>
            <w:r w:rsidRPr="0053423A">
              <w:rPr>
                <w:rFonts w:cs="Sylfaen"/>
                <w:lang w:val="hy-AM"/>
              </w:rPr>
              <w:t xml:space="preserve">   Հաշվի</w:t>
            </w:r>
            <w:r w:rsidRPr="0053423A">
              <w:rPr>
                <w:rFonts w:cs="Sylfaen"/>
                <w:lang w:val="af-ZA"/>
              </w:rPr>
              <w:t xml:space="preserve"> </w:t>
            </w:r>
            <w:r w:rsidRPr="0053423A">
              <w:rPr>
                <w:rFonts w:cs="Sylfaen"/>
                <w:lang w:val="hy-AM"/>
              </w:rPr>
              <w:t>առնելով</w:t>
            </w:r>
            <w:r w:rsidRPr="0053423A">
              <w:rPr>
                <w:rFonts w:cs="Sylfaen"/>
                <w:lang w:val="af-ZA"/>
              </w:rPr>
              <w:t xml:space="preserve"> կենտրոնի </w:t>
            </w:r>
            <w:r w:rsidRPr="0053423A">
              <w:rPr>
                <w:rFonts w:cs="Sylfaen"/>
                <w:lang w:val="hy-AM"/>
              </w:rPr>
              <w:t>ներկա</w:t>
            </w:r>
            <w:r w:rsidRPr="0053423A">
              <w:rPr>
                <w:rFonts w:cs="Sylfaen"/>
                <w:lang w:val="af-ZA"/>
              </w:rPr>
              <w:t xml:space="preserve"> ֆիզիկական վիճակը, </w:t>
            </w:r>
            <w:r w:rsidRPr="0053423A">
              <w:rPr>
                <w:rFonts w:cs="Sylfaen"/>
                <w:lang w:val="hy-AM"/>
              </w:rPr>
              <w:t>տարածաշրջանի</w:t>
            </w:r>
            <w:r w:rsidRPr="0053423A">
              <w:rPr>
                <w:rFonts w:cs="Sylfaen"/>
                <w:lang w:val="af-ZA"/>
              </w:rPr>
              <w:t xml:space="preserve"> </w:t>
            </w:r>
            <w:r w:rsidRPr="0053423A">
              <w:rPr>
                <w:rFonts w:cs="Sylfaen"/>
                <w:lang w:val="hy-AM"/>
              </w:rPr>
              <w:t>ազգաբնակչության</w:t>
            </w:r>
            <w:r w:rsidRPr="0053423A">
              <w:rPr>
                <w:rFonts w:cs="Sylfaen"/>
                <w:lang w:val="af-ZA"/>
              </w:rPr>
              <w:t xml:space="preserve"> </w:t>
            </w:r>
            <w:r w:rsidRPr="0053423A">
              <w:rPr>
                <w:rFonts w:cs="Sylfaen"/>
                <w:lang w:val="hy-AM"/>
              </w:rPr>
              <w:t>թիվը</w:t>
            </w:r>
            <w:r w:rsidRPr="0053423A">
              <w:rPr>
                <w:rFonts w:cs="Sylfaen"/>
                <w:lang w:val="af-ZA"/>
              </w:rPr>
              <w:t xml:space="preserve">, վիրաբուժական բաժանմունքի զբաղվածության ցածր ցուցանիշները, առաջարկվում է </w:t>
            </w:r>
            <w:r w:rsidRPr="0053423A">
              <w:rPr>
                <w:rFonts w:cs="Sylfaen"/>
                <w:lang w:val="hy-AM"/>
              </w:rPr>
              <w:t>արդեն</w:t>
            </w:r>
            <w:r w:rsidRPr="0053423A">
              <w:rPr>
                <w:rFonts w:cs="Sylfaen"/>
                <w:lang w:val="af-ZA"/>
              </w:rPr>
              <w:t xml:space="preserve"> </w:t>
            </w:r>
            <w:r w:rsidRPr="0053423A">
              <w:rPr>
                <w:rFonts w:cs="Sylfaen"/>
                <w:lang w:val="hy-AM"/>
              </w:rPr>
              <w:t>իսկ</w:t>
            </w:r>
            <w:r w:rsidRPr="0053423A">
              <w:rPr>
                <w:rFonts w:cs="Sylfaen"/>
                <w:lang w:val="af-ZA"/>
              </w:rPr>
              <w:t xml:space="preserve"> </w:t>
            </w:r>
            <w:r w:rsidRPr="0053423A">
              <w:rPr>
                <w:rFonts w:cs="Sylfaen"/>
                <w:lang w:val="hy-AM"/>
              </w:rPr>
              <w:t>կրճատված</w:t>
            </w:r>
            <w:r w:rsidRPr="0053423A">
              <w:rPr>
                <w:rFonts w:cs="Sylfaen"/>
                <w:lang w:val="af-ZA"/>
              </w:rPr>
              <w:t xml:space="preserve"> </w:t>
            </w:r>
            <w:r w:rsidRPr="0053423A">
              <w:rPr>
                <w:rFonts w:cs="Sylfaen"/>
                <w:lang w:val="hy-AM"/>
              </w:rPr>
              <w:t>մահճակալների</w:t>
            </w:r>
            <w:r w:rsidRPr="0053423A">
              <w:rPr>
                <w:rFonts w:cs="Sylfaen"/>
                <w:lang w:val="af-ZA"/>
              </w:rPr>
              <w:t xml:space="preserve"> </w:t>
            </w:r>
            <w:r w:rsidRPr="0053423A">
              <w:rPr>
                <w:rFonts w:cs="Sylfaen"/>
                <w:lang w:val="hy-AM"/>
              </w:rPr>
              <w:t>թիվը</w:t>
            </w:r>
            <w:r w:rsidRPr="0053423A">
              <w:rPr>
                <w:rFonts w:cs="Sylfaen"/>
                <w:vertAlign w:val="superscript"/>
                <w:lang w:val="hy-AM"/>
              </w:rPr>
              <w:footnoteReference w:id="1"/>
            </w:r>
            <w:r w:rsidRPr="0053423A">
              <w:rPr>
                <w:rFonts w:cs="Sylfaen"/>
                <w:lang w:val="af-ZA"/>
              </w:rPr>
              <w:t xml:space="preserve"> հասցնել մինչև </w:t>
            </w:r>
            <w:r w:rsidRPr="0053423A">
              <w:rPr>
                <w:rFonts w:cs="Sylfaen"/>
                <w:b/>
                <w:lang w:val="af-ZA"/>
              </w:rPr>
              <w:t xml:space="preserve">40 </w:t>
            </w:r>
            <w:r w:rsidRPr="0053423A">
              <w:rPr>
                <w:rFonts w:cs="Sylfaen"/>
                <w:lang w:val="af-ZA"/>
              </w:rPr>
              <w:t xml:space="preserve">(վիրաբուժական բաժանմունքի մահճակալների թիվը կրճատելով մինչև 10), </w:t>
            </w:r>
            <w:r w:rsidRPr="0053423A">
              <w:rPr>
                <w:rFonts w:cs="Sylfaen"/>
                <w:lang w:val="hy-AM"/>
              </w:rPr>
              <w:t>առաջարկվում</w:t>
            </w:r>
            <w:r w:rsidRPr="0053423A">
              <w:rPr>
                <w:rFonts w:cs="Sylfaen"/>
                <w:lang w:val="af-ZA"/>
              </w:rPr>
              <w:t xml:space="preserve"> </w:t>
            </w:r>
            <w:r w:rsidRPr="0053423A">
              <w:rPr>
                <w:rFonts w:cs="Sylfaen"/>
                <w:lang w:val="hy-AM"/>
              </w:rPr>
              <w:t>է</w:t>
            </w:r>
            <w:r w:rsidRPr="0053423A">
              <w:rPr>
                <w:rFonts w:cs="Sylfaen"/>
                <w:lang w:val="af-ZA"/>
              </w:rPr>
              <w:t xml:space="preserve"> </w:t>
            </w:r>
            <w:r w:rsidRPr="0053423A">
              <w:rPr>
                <w:rFonts w:cs="Sylfaen"/>
                <w:lang w:val="hy-AM"/>
              </w:rPr>
              <w:t>Աշտարակի</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 xml:space="preserve">կենտրոնին 2-րդ մասնաշենքը վերադարձնելու դեպքում՝ </w:t>
            </w:r>
            <w:r w:rsidRPr="0053423A">
              <w:rPr>
                <w:lang w:val="hy-AM"/>
              </w:rPr>
              <w:t xml:space="preserve"> </w:t>
            </w:r>
            <w:r w:rsidRPr="0053423A">
              <w:rPr>
                <w:rFonts w:cs="Sylfaen"/>
                <w:b/>
                <w:lang w:val="hy-AM"/>
              </w:rPr>
              <w:t>վերակառուցել</w:t>
            </w:r>
            <w:r w:rsidRPr="0053423A">
              <w:rPr>
                <w:rFonts w:cs="Sylfaen"/>
                <w:b/>
                <w:lang w:val="af-ZA"/>
              </w:rPr>
              <w:t xml:space="preserve"> </w:t>
            </w:r>
            <w:r w:rsidRPr="0053423A">
              <w:rPr>
                <w:rFonts w:cs="Sylfaen"/>
                <w:b/>
                <w:lang w:val="hy-AM"/>
              </w:rPr>
              <w:t>թ</w:t>
            </w:r>
            <w:r w:rsidRPr="0053423A">
              <w:rPr>
                <w:rFonts w:cs="Sylfaen"/>
                <w:b/>
                <w:lang w:val="af-ZA"/>
              </w:rPr>
              <w:t>իվ 1 և թիվ 2 մասնաշենքերը</w:t>
            </w:r>
            <w:r w:rsidRPr="0053423A">
              <w:rPr>
                <w:rFonts w:cs="Sylfaen"/>
                <w:lang w:val="af-ZA"/>
              </w:rPr>
              <w:t xml:space="preserve"> (</w:t>
            </w:r>
            <w:r w:rsidRPr="0053423A">
              <w:rPr>
                <w:rFonts w:cs="Sylfaen"/>
                <w:lang w:val="hy-AM"/>
              </w:rPr>
              <w:t xml:space="preserve">շուրջ </w:t>
            </w:r>
            <w:r w:rsidRPr="0053423A">
              <w:rPr>
                <w:rFonts w:cs="Sylfaen"/>
                <w:b/>
                <w:lang w:val="hy-AM"/>
              </w:rPr>
              <w:t>3</w:t>
            </w:r>
            <w:r w:rsidRPr="0053423A">
              <w:rPr>
                <w:rFonts w:cs="Sylfaen"/>
                <w:b/>
                <w:lang w:val="af-ZA"/>
              </w:rPr>
              <w:t>.</w:t>
            </w:r>
            <w:r w:rsidRPr="0053423A">
              <w:rPr>
                <w:rFonts w:cs="Sylfaen"/>
                <w:b/>
                <w:lang w:val="hy-AM"/>
              </w:rPr>
              <w:t>8</w:t>
            </w:r>
            <w:r w:rsidRPr="0053423A">
              <w:rPr>
                <w:rFonts w:cs="Sylfaen"/>
                <w:b/>
                <w:lang w:val="af-ZA"/>
              </w:rPr>
              <w:t>60</w:t>
            </w:r>
            <w:r w:rsidRPr="0053423A">
              <w:rPr>
                <w:rFonts w:cs="Sylfaen"/>
                <w:b/>
                <w:lang w:val="hy-AM"/>
              </w:rPr>
              <w:t>քմ</w:t>
            </w:r>
            <w:r w:rsidRPr="0053423A">
              <w:rPr>
                <w:rFonts w:cs="Sylfaen"/>
                <w:lang w:val="af-ZA"/>
              </w:rPr>
              <w:t xml:space="preserve"> </w:t>
            </w:r>
            <w:r w:rsidRPr="0053423A">
              <w:rPr>
                <w:rFonts w:cs="Sylfaen"/>
                <w:lang w:val="hy-AM"/>
              </w:rPr>
              <w:t>տարածք</w:t>
            </w:r>
            <w:r w:rsidRPr="0053423A">
              <w:rPr>
                <w:rFonts w:cs="Sylfaen"/>
                <w:lang w:val="af-ZA"/>
              </w:rPr>
              <w:t xml:space="preserve">)՝ </w:t>
            </w:r>
            <w:r w:rsidRPr="0053423A">
              <w:rPr>
                <w:rFonts w:cs="Sylfaen"/>
                <w:b/>
                <w:lang w:val="af-ZA"/>
              </w:rPr>
              <w:t>տեղակայելով հիվանդանոցային և ամբուլատոր բոլոր ծառայությունները վերոնշված երկու մասնաշենքում</w:t>
            </w:r>
            <w:r w:rsidRPr="0053423A">
              <w:rPr>
                <w:rFonts w:cs="Sylfaen"/>
                <w:lang w:val="af-ZA"/>
              </w:rPr>
              <w:t>:</w:t>
            </w:r>
            <w:r w:rsidRPr="0053423A">
              <w:rPr>
                <w:rFonts w:cs="Sylfaen"/>
                <w:lang w:val="hy-AM"/>
              </w:rPr>
              <w:t xml:space="preserve"> Նշված միջոցառումների գնահատված արժեքը կազմում է շուրջ՝ 883 մլն ՀՀ դրամ, որից  նախագծանախահաշվային փաստաթղթերի մշակում՝ շուրջ 30 մլն ՀՀ դրամ, շինարարական աշխատանքներ՝ շուրջ 853 մլն ՀՀ դրամ: Նախատեսված ժամանակաշրջանում, սակայն, պլանավորվում է ծախսել շինարարական աշխատանքների համար նախատեսված արժեքի շուրջ 50 տոկոսը: </w:t>
            </w:r>
          </w:p>
          <w:p w:rsidR="00764E6F" w:rsidRPr="0053423A" w:rsidRDefault="00764E6F" w:rsidP="00A67858">
            <w:pPr>
              <w:spacing w:line="276" w:lineRule="auto"/>
              <w:jc w:val="center"/>
              <w:rPr>
                <w:b/>
                <w:highlight w:val="yellow"/>
                <w:lang w:val="af-ZA"/>
              </w:rPr>
            </w:pPr>
          </w:p>
          <w:p w:rsidR="00764E6F" w:rsidRPr="0053423A" w:rsidRDefault="00764E6F" w:rsidP="00A67858">
            <w:pPr>
              <w:spacing w:line="276" w:lineRule="auto"/>
              <w:jc w:val="center"/>
              <w:rPr>
                <w:b/>
                <w:highlight w:val="yellow"/>
                <w:lang w:val="hy-AM"/>
              </w:rPr>
            </w:pPr>
          </w:p>
          <w:p w:rsidR="00764E6F" w:rsidRPr="0053423A" w:rsidRDefault="008B3845" w:rsidP="00A67858">
            <w:pPr>
              <w:spacing w:line="276" w:lineRule="auto"/>
              <w:jc w:val="center"/>
              <w:rPr>
                <w:b/>
                <w:highlight w:val="yellow"/>
                <w:lang w:val="hy-AM"/>
              </w:rPr>
            </w:pPr>
            <w:r w:rsidRPr="0053423A">
              <w:rPr>
                <w:b/>
                <w:lang w:val="hy-AM"/>
              </w:rPr>
              <w:t>2</w:t>
            </w:r>
            <w:r w:rsidR="00764E6F" w:rsidRPr="0053423A">
              <w:rPr>
                <w:b/>
                <w:lang w:val="hy-AM"/>
              </w:rPr>
              <w:t>8.6 Կոտայքի մարզի Չարենցավանի բժշկական կենտրոնի մասնակի վերանորոգում</w:t>
            </w:r>
          </w:p>
          <w:p w:rsidR="00764E6F" w:rsidRPr="0053423A" w:rsidRDefault="00764E6F" w:rsidP="00A67858">
            <w:pPr>
              <w:spacing w:line="276" w:lineRule="auto"/>
              <w:jc w:val="center"/>
              <w:rPr>
                <w:b/>
                <w:highlight w:val="yellow"/>
                <w:lang w:val="hy-AM"/>
              </w:rPr>
            </w:pPr>
          </w:p>
          <w:p w:rsidR="00764E6F" w:rsidRPr="0053423A" w:rsidRDefault="00764E6F" w:rsidP="00A67858">
            <w:pPr>
              <w:spacing w:line="276" w:lineRule="auto"/>
              <w:jc w:val="both"/>
              <w:rPr>
                <w:b/>
                <w:lang w:val="hy-AM"/>
              </w:rPr>
            </w:pPr>
            <w:r w:rsidRPr="0053423A">
              <w:rPr>
                <w:b/>
                <w:lang w:val="hy-AM"/>
              </w:rPr>
              <w:t xml:space="preserve">   1. Միջոցառման իրականացման անհրաժեշտությունը և նպատակը</w:t>
            </w:r>
          </w:p>
          <w:p w:rsidR="00764E6F" w:rsidRPr="0053423A" w:rsidRDefault="00764E6F" w:rsidP="00A67858">
            <w:pPr>
              <w:spacing w:line="276" w:lineRule="auto"/>
              <w:jc w:val="both"/>
              <w:rPr>
                <w:lang w:val="hy-AM"/>
              </w:rPr>
            </w:pPr>
            <w:r w:rsidRPr="0053423A">
              <w:rPr>
                <w:b/>
                <w:lang w:val="hy-AM"/>
              </w:rPr>
              <w:t xml:space="preserve">   </w:t>
            </w:r>
            <w:r w:rsidRPr="0053423A">
              <w:rPr>
                <w:lang w:val="hy-AM"/>
              </w:rPr>
              <w:t>ՀՀ մարզերի առողջապահական համակարգի զարգացման հարցը դեռևս արդիական խնդիր է Հայաստանի Հանրապետությունում: Մարզային բժշկական հաստատությունների շենքերը գտնվում են անմխիթար պայմաններում և ենթակա են արդիականացման` բնակչությանը տեղում ժամանակակից չափանիշներին համապատասխան բժշկական ծառայություններ մատուցելու նպատակով:</w:t>
            </w:r>
          </w:p>
          <w:p w:rsidR="00764E6F" w:rsidRPr="0053423A" w:rsidRDefault="00764E6F" w:rsidP="00A67858">
            <w:pPr>
              <w:spacing w:line="276" w:lineRule="auto"/>
              <w:jc w:val="both"/>
              <w:rPr>
                <w:lang w:val="hy-AM"/>
              </w:rPr>
            </w:pPr>
            <w:r w:rsidRPr="0053423A">
              <w:rPr>
                <w:lang w:val="hy-AM"/>
              </w:rPr>
              <w:t>ՀՀ մարզային առողջապահության համակարգի զարգացման նպատակը բնակչությանը տրամադրվող բժշկական օգնության և սպասարկման որակի և մատչելիության մակարդակի բարձրացումն է:</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jc w:val="both"/>
              <w:rPr>
                <w:lang w:val="hy-AM"/>
              </w:rPr>
            </w:pPr>
            <w:r w:rsidRPr="0053423A">
              <w:rPr>
                <w:lang w:val="hy-AM"/>
              </w:rPr>
              <w:t xml:space="preserve">   Հիմնանորոգվել և կառուցվել են ՀՀ մարզային մի շարք բժշկական կենտրոններ և առողջության առաջնային պահպանման հաստատությունների շենքեր: Բժշկական հաստատությունները նաև հագեցվել են արդի բժշկական սարքավորումներով և անհրաժեշտ կահույքով: Սակայն ՀՀ մարզերում դեռևս կան անմխիթար պայմաններում գտնվող բժշկական օգնություն և սպասարկում իրականացնող հաստատություններ, որոնց թե՛ շենքային վիճակը և թե՛ տեխնիկական հագեցվածությունը չեն բավարարում միջազգային նորմերին, ինչն  անդրադառնում է նաև մատուցվող բժշկական օգնության և սպասարկման որակի վրա:</w:t>
            </w:r>
          </w:p>
          <w:p w:rsidR="00764E6F" w:rsidRPr="0053423A" w:rsidRDefault="00764E6F" w:rsidP="00A67858">
            <w:pPr>
              <w:spacing w:line="276" w:lineRule="auto"/>
              <w:jc w:val="both"/>
              <w:rPr>
                <w:b/>
                <w:lang w:val="hy-AM"/>
              </w:rPr>
            </w:pPr>
            <w:r w:rsidRPr="0053423A">
              <w:rPr>
                <w:b/>
                <w:lang w:val="hy-AM"/>
              </w:rPr>
              <w:t xml:space="preserve">   1.2. Առկա խնդիրների առաջարկվող լուծումները</w:t>
            </w:r>
          </w:p>
          <w:p w:rsidR="00764E6F" w:rsidRPr="0053423A" w:rsidRDefault="00764E6F" w:rsidP="00A67858">
            <w:pPr>
              <w:spacing w:line="276" w:lineRule="auto"/>
              <w:jc w:val="both"/>
              <w:rPr>
                <w:lang w:val="hy-AM"/>
              </w:rPr>
            </w:pPr>
            <w:r w:rsidRPr="0053423A">
              <w:rPr>
                <w:lang w:val="hy-AM"/>
              </w:rPr>
              <w:t xml:space="preserve">   Մարզերում մատուցվող բժշկական օգնության և սպասարկման որակը բարձրացնելու ուղղություններից է բժշկական հաստատությունների արդիականացումը` կառուցում, հիմնանորոգում և հագեցում ժամանակակից չափանիշներին համապատասխան բժշկական կահույքով, սարքավորումներով և պարագաներով:</w:t>
            </w:r>
          </w:p>
          <w:p w:rsidR="00764E6F" w:rsidRPr="0053423A" w:rsidRDefault="00764E6F" w:rsidP="00A67858">
            <w:pPr>
              <w:spacing w:line="276" w:lineRule="auto"/>
              <w:jc w:val="both"/>
              <w:rPr>
                <w:lang w:val="hy-AM"/>
              </w:rPr>
            </w:pPr>
            <w:r w:rsidRPr="0053423A">
              <w:rPr>
                <w:lang w:val="hy-AM"/>
              </w:rPr>
              <w:t xml:space="preserve">   2019-2023թթ-ին նախատեսվում է շարունակել մարզային բժշկական օգնություն և սպասարկում իրականացնող հաստատությունների վերանորոգման/կառուցման և հագեցման աշխատանքների իրականացումը: </w:t>
            </w:r>
          </w:p>
          <w:p w:rsidR="00764E6F" w:rsidRPr="0053423A" w:rsidRDefault="00764E6F" w:rsidP="00A67858">
            <w:pPr>
              <w:spacing w:line="276" w:lineRule="auto"/>
              <w:jc w:val="both"/>
              <w:rPr>
                <w:rFonts w:cs="Sylfaen"/>
                <w:lang w:val="hy-AM"/>
              </w:rPr>
            </w:pPr>
          </w:p>
          <w:p w:rsidR="00764E6F" w:rsidRPr="0053423A" w:rsidRDefault="00764E6F" w:rsidP="00A67858">
            <w:pPr>
              <w:spacing w:line="276" w:lineRule="auto"/>
              <w:jc w:val="both"/>
              <w:rPr>
                <w:b/>
                <w:color w:val="FF0000"/>
                <w:lang w:val="hy-AM"/>
              </w:rPr>
            </w:pPr>
            <w:r w:rsidRPr="0053423A">
              <w:rPr>
                <w:b/>
                <w:color w:val="000000"/>
                <w:lang w:val="hy-AM"/>
              </w:rPr>
              <w:t xml:space="preserve">   2.</w:t>
            </w:r>
            <w:r w:rsidRPr="0053423A">
              <w:rPr>
                <w:b/>
                <w:color w:val="FF0000"/>
                <w:lang w:val="hy-AM"/>
              </w:rPr>
              <w:t xml:space="preserve"> </w:t>
            </w:r>
            <w:r w:rsidRPr="0053423A">
              <w:rPr>
                <w:b/>
                <w:color w:val="000000"/>
                <w:lang w:val="hy-AM"/>
              </w:rPr>
              <w:t>Միջոցառման իրականացումից ակնկալվող արդյունքը</w:t>
            </w:r>
          </w:p>
          <w:p w:rsidR="00764E6F" w:rsidRPr="0053423A" w:rsidRDefault="00764E6F" w:rsidP="00A67858">
            <w:pPr>
              <w:spacing w:line="276" w:lineRule="auto"/>
              <w:jc w:val="both"/>
              <w:rPr>
                <w:rFonts w:cs="Times Armenian"/>
                <w:lang w:val="hy-AM"/>
              </w:rPr>
            </w:pPr>
            <w:r w:rsidRPr="0053423A">
              <w:rPr>
                <w:rFonts w:cs="Sylfaen"/>
                <w:lang w:val="hy-AM"/>
              </w:rPr>
              <w:t xml:space="preserve">   ՀՀ </w:t>
            </w:r>
            <w:r w:rsidRPr="0053423A">
              <w:rPr>
                <w:lang w:val="hy-AM"/>
              </w:rPr>
              <w:t xml:space="preserve">Կոտայքի </w:t>
            </w:r>
            <w:r w:rsidRPr="0053423A">
              <w:rPr>
                <w:rFonts w:cs="Sylfaen"/>
                <w:lang w:val="hy-AM"/>
              </w:rPr>
              <w:t>մարզի</w:t>
            </w:r>
            <w:r w:rsidRPr="0053423A">
              <w:rPr>
                <w:lang w:val="hy-AM"/>
              </w:rPr>
              <w:t xml:space="preserve"> </w:t>
            </w:r>
            <w:r w:rsidRPr="0053423A">
              <w:rPr>
                <w:rFonts w:cs="Sylfaen"/>
                <w:lang w:val="hy-AM"/>
              </w:rPr>
              <w:t>Չարենցավանի</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 xml:space="preserve">կենտրոնը՝ 35 մահճակալ հզորությամբ </w:t>
            </w:r>
          </w:p>
          <w:p w:rsidR="00764E6F" w:rsidRPr="0053423A" w:rsidRDefault="00764E6F" w:rsidP="00A67858">
            <w:pPr>
              <w:spacing w:line="276" w:lineRule="auto"/>
              <w:jc w:val="both"/>
              <w:rPr>
                <w:rFonts w:cs="Sylfaen"/>
                <w:lang w:val="hy-AM"/>
              </w:rPr>
            </w:pPr>
            <w:r w:rsidRPr="0053423A">
              <w:rPr>
                <w:rFonts w:cs="Sylfaen"/>
                <w:lang w:val="hy-AM"/>
              </w:rPr>
              <w:t>բազմապրոֆիլային</w:t>
            </w:r>
            <w:r w:rsidRPr="0053423A">
              <w:rPr>
                <w:lang w:val="hy-AM"/>
              </w:rPr>
              <w:t xml:space="preserve"> </w:t>
            </w:r>
            <w:r w:rsidRPr="0053423A">
              <w:rPr>
                <w:rFonts w:cs="Sylfaen"/>
                <w:lang w:val="hy-AM"/>
              </w:rPr>
              <w:t>բժշկական հաստատություն</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որը</w:t>
            </w:r>
            <w:r w:rsidRPr="0053423A">
              <w:rPr>
                <w:lang w:val="hy-AM"/>
              </w:rPr>
              <w:t xml:space="preserve"> </w:t>
            </w:r>
            <w:r w:rsidRPr="0053423A">
              <w:rPr>
                <w:rFonts w:cs="Sylfaen"/>
                <w:lang w:val="hy-AM"/>
              </w:rPr>
              <w:t>լայն</w:t>
            </w:r>
            <w:r w:rsidRPr="0053423A">
              <w:rPr>
                <w:lang w:val="hy-AM"/>
              </w:rPr>
              <w:t xml:space="preserve"> </w:t>
            </w:r>
            <w:r w:rsidRPr="0053423A">
              <w:rPr>
                <w:rFonts w:cs="Sylfaen"/>
                <w:lang w:val="hy-AM"/>
              </w:rPr>
              <w:t>սպեկտորի</w:t>
            </w:r>
            <w:r w:rsidRPr="0053423A">
              <w:rPr>
                <w:lang w:val="hy-AM"/>
              </w:rPr>
              <w:t xml:space="preserve"> </w:t>
            </w:r>
            <w:r w:rsidRPr="0053423A">
              <w:rPr>
                <w:rFonts w:cs="Sylfaen"/>
                <w:lang w:val="hy-AM"/>
              </w:rPr>
              <w:t>ստացիոնար</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պոլիկլինիկական</w:t>
            </w:r>
            <w:r w:rsidRPr="0053423A">
              <w:rPr>
                <w:lang w:val="hy-AM"/>
              </w:rPr>
              <w:t xml:space="preserve"> </w:t>
            </w:r>
            <w:r w:rsidRPr="0053423A">
              <w:rPr>
                <w:rFonts w:cs="Sylfaen"/>
                <w:lang w:val="hy-AM"/>
              </w:rPr>
              <w:t>ծառայություններ</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մատուցում</w:t>
            </w:r>
            <w:r w:rsidRPr="0053423A">
              <w:rPr>
                <w:lang w:val="hy-AM"/>
              </w:rPr>
              <w:t xml:space="preserve"> </w:t>
            </w:r>
            <w:r w:rsidRPr="0053423A">
              <w:rPr>
                <w:rFonts w:cs="Sylfaen"/>
                <w:lang w:val="hy-AM"/>
              </w:rPr>
              <w:t>Չարենցավան քաղաքի</w:t>
            </w:r>
            <w:r w:rsidRPr="0053423A">
              <w:rPr>
                <w:lang w:val="hy-AM"/>
              </w:rPr>
              <w:t xml:space="preserve"> 20.5 </w:t>
            </w:r>
            <w:r w:rsidRPr="0053423A">
              <w:rPr>
                <w:rFonts w:cs="Sylfaen"/>
                <w:lang w:val="hy-AM"/>
              </w:rPr>
              <w:t>հազար</w:t>
            </w:r>
            <w:r w:rsidRPr="0053423A">
              <w:rPr>
                <w:lang w:val="hy-AM"/>
              </w:rPr>
              <w:t xml:space="preserve"> </w:t>
            </w:r>
            <w:r w:rsidRPr="0053423A">
              <w:rPr>
                <w:rFonts w:cs="Sylfaen"/>
                <w:lang w:val="hy-AM"/>
              </w:rPr>
              <w:t>բնակչությանը:</w:t>
            </w:r>
          </w:p>
          <w:p w:rsidR="00764E6F" w:rsidRPr="0053423A" w:rsidRDefault="00764E6F" w:rsidP="00A67858">
            <w:pPr>
              <w:spacing w:line="276" w:lineRule="auto"/>
              <w:jc w:val="both"/>
              <w:rPr>
                <w:rFonts w:cs="Sylfaen"/>
                <w:lang w:val="hy-AM"/>
              </w:rPr>
            </w:pPr>
            <w:r w:rsidRPr="0053423A">
              <w:rPr>
                <w:rFonts w:cs="Sylfaen"/>
                <w:lang w:val="hy-AM"/>
              </w:rPr>
              <w:t xml:space="preserve">   Չարենցավանի բժշկական</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ծառայությունները</w:t>
            </w:r>
            <w:r w:rsidRPr="0053423A">
              <w:rPr>
                <w:lang w:val="hy-AM"/>
              </w:rPr>
              <w:t xml:space="preserve"> </w:t>
            </w:r>
            <w:r w:rsidRPr="0053423A">
              <w:rPr>
                <w:rFonts w:cs="Sylfaen"/>
                <w:lang w:val="hy-AM"/>
              </w:rPr>
              <w:t>տեղակայված</w:t>
            </w:r>
            <w:r w:rsidRPr="0053423A">
              <w:rPr>
                <w:lang w:val="hy-AM"/>
              </w:rPr>
              <w:t xml:space="preserve"> </w:t>
            </w:r>
            <w:r w:rsidRPr="0053423A">
              <w:rPr>
                <w:rFonts w:cs="Sylfaen"/>
                <w:lang w:val="hy-AM"/>
              </w:rPr>
              <w:t>են</w:t>
            </w:r>
            <w:r w:rsidRPr="0053423A">
              <w:rPr>
                <w:lang w:val="hy-AM"/>
              </w:rPr>
              <w:t xml:space="preserve"> 1971 </w:t>
            </w:r>
            <w:r w:rsidRPr="0053423A">
              <w:rPr>
                <w:rFonts w:cs="Sylfaen"/>
                <w:lang w:val="hy-AM"/>
              </w:rPr>
              <w:t>թվականին</w:t>
            </w:r>
            <w:r w:rsidRPr="0053423A">
              <w:rPr>
                <w:lang w:val="hy-AM"/>
              </w:rPr>
              <w:t xml:space="preserve"> </w:t>
            </w:r>
            <w:r w:rsidRPr="0053423A">
              <w:rPr>
                <w:rFonts w:cs="Sylfaen"/>
                <w:lang w:val="hy-AM"/>
              </w:rPr>
              <w:t>կառուցված</w:t>
            </w:r>
            <w:r w:rsidRPr="0053423A">
              <w:rPr>
                <w:lang w:val="hy-AM"/>
              </w:rPr>
              <w:t xml:space="preserve"> </w:t>
            </w:r>
            <w:r w:rsidRPr="0053423A">
              <w:rPr>
                <w:rFonts w:cs="Sylfaen"/>
                <w:lang w:val="hy-AM"/>
              </w:rPr>
              <w:t>գլխավոր և պոլիկլինիկական մասնաշենքերում</w:t>
            </w:r>
            <w:r w:rsidRPr="0053423A">
              <w:rPr>
                <w:lang w:val="hy-AM"/>
              </w:rPr>
              <w:t>: 2011թ. և 2018թվականից մինչև առ այժմ իրականացվում  են կապիտալ վերակառուցման աշխատանքներ:</w:t>
            </w:r>
          </w:p>
          <w:p w:rsidR="00764E6F" w:rsidRPr="0053423A" w:rsidRDefault="00764E6F" w:rsidP="00A67858">
            <w:pPr>
              <w:spacing w:line="276" w:lineRule="auto"/>
              <w:jc w:val="both"/>
              <w:rPr>
                <w:lang w:val="hy-AM"/>
              </w:rPr>
            </w:pPr>
            <w:r w:rsidRPr="0053423A">
              <w:rPr>
                <w:lang w:val="hy-AM"/>
              </w:rPr>
              <w:t xml:space="preserve">   Ելնելով վերոնշյալից, սպասարկվող բնակչության թվից՝ առավել նպատակահարմար է հիվանդանոցային և ամբուլատոր բոլոր ծառայությունները տեղակայել միայն հիվանդանոցային մասնաշենքի հատվածում՝ կրճատելով վերանորոգման ենթակա տարածքը և ծախսերը: Ներկայում կենտրոնը կարիք ունի սարքավորումներով և կահույքով վերազինման:</w:t>
            </w:r>
          </w:p>
          <w:p w:rsidR="00764E6F" w:rsidRPr="0053423A" w:rsidRDefault="00764E6F" w:rsidP="00A67858">
            <w:pPr>
              <w:spacing w:line="276" w:lineRule="auto"/>
              <w:jc w:val="center"/>
              <w:rPr>
                <w:b/>
                <w:highlight w:val="yellow"/>
                <w:lang w:val="hy-AM"/>
              </w:rPr>
            </w:pPr>
          </w:p>
          <w:p w:rsidR="00764E6F" w:rsidRPr="0053423A" w:rsidRDefault="00764E6F" w:rsidP="00A67858">
            <w:pPr>
              <w:spacing w:line="276" w:lineRule="auto"/>
              <w:jc w:val="center"/>
              <w:rPr>
                <w:b/>
                <w:highlight w:val="yellow"/>
                <w:lang w:val="hy-AM"/>
              </w:rPr>
            </w:pPr>
          </w:p>
          <w:p w:rsidR="00764E6F" w:rsidRPr="0053423A" w:rsidRDefault="008B3845" w:rsidP="00A67858">
            <w:pPr>
              <w:spacing w:line="276" w:lineRule="auto"/>
              <w:jc w:val="center"/>
              <w:rPr>
                <w:b/>
                <w:lang w:val="hy-AM"/>
              </w:rPr>
            </w:pPr>
            <w:r w:rsidRPr="0053423A">
              <w:rPr>
                <w:b/>
                <w:lang w:val="hy-AM"/>
              </w:rPr>
              <w:t>2</w:t>
            </w:r>
            <w:r w:rsidR="00764E6F" w:rsidRPr="0053423A">
              <w:rPr>
                <w:b/>
                <w:lang w:val="hy-AM"/>
              </w:rPr>
              <w:t xml:space="preserve">8.7 Արագածոտնի մարզի Թալինի բժշկական կենտրոնի </w:t>
            </w:r>
            <w:r w:rsidR="006E4A0D" w:rsidRPr="0053423A">
              <w:rPr>
                <w:b/>
                <w:lang w:val="hy-AM"/>
              </w:rPr>
              <w:t xml:space="preserve">վերակառուցման շինարարական աշխատանքների </w:t>
            </w:r>
            <w:r w:rsidR="00764E6F" w:rsidRPr="0053423A">
              <w:rPr>
                <w:b/>
                <w:lang w:val="hy-AM"/>
              </w:rPr>
              <w:t>մեկնարկ</w:t>
            </w:r>
          </w:p>
          <w:p w:rsidR="00764E6F" w:rsidRPr="0053423A" w:rsidRDefault="00764E6F" w:rsidP="00A67858">
            <w:pPr>
              <w:spacing w:line="276" w:lineRule="auto"/>
              <w:jc w:val="center"/>
              <w:rPr>
                <w:b/>
                <w:highlight w:val="yellow"/>
                <w:lang w:val="hy-AM"/>
              </w:rPr>
            </w:pPr>
          </w:p>
          <w:p w:rsidR="00764E6F" w:rsidRPr="0053423A" w:rsidRDefault="00764E6F" w:rsidP="00A67858">
            <w:pPr>
              <w:spacing w:line="276" w:lineRule="auto"/>
              <w:jc w:val="both"/>
              <w:rPr>
                <w:b/>
                <w:lang w:val="hy-AM"/>
              </w:rPr>
            </w:pPr>
            <w:r w:rsidRPr="0053423A">
              <w:rPr>
                <w:b/>
                <w:lang w:val="hy-AM"/>
              </w:rPr>
              <w:t xml:space="preserve">   1. Միջոցառման իրականացման անհրաժեշտությունը և նպատակը</w:t>
            </w:r>
          </w:p>
          <w:p w:rsidR="00764E6F" w:rsidRPr="0053423A" w:rsidRDefault="00764E6F" w:rsidP="00A67858">
            <w:pPr>
              <w:spacing w:line="276" w:lineRule="auto"/>
              <w:jc w:val="both"/>
              <w:rPr>
                <w:lang w:val="hy-AM"/>
              </w:rPr>
            </w:pPr>
            <w:r w:rsidRPr="0053423A">
              <w:rPr>
                <w:b/>
                <w:lang w:val="hy-AM"/>
              </w:rPr>
              <w:t xml:space="preserve">   </w:t>
            </w:r>
            <w:r w:rsidRPr="0053423A">
              <w:rPr>
                <w:lang w:val="hy-AM"/>
              </w:rPr>
              <w:t>ՀՀ մարզերի առողջապահական համակարգի զարգացման հարցը դեռևս արդիական խնդիր է Հայաստանի Հանրապետությունում: Մարզային բժշկական հաստատությունների շենքերը գտնվում են անմխիթար պայմաններում և ենթակա են արդիականացման` բնակչությանը տեղում ժամանակակից չափանիշներին համապատասխան բժշկական ծառայություններ մատուցելու նպատակով:</w:t>
            </w:r>
          </w:p>
          <w:p w:rsidR="00764E6F" w:rsidRPr="0053423A" w:rsidRDefault="00764E6F" w:rsidP="00A67858">
            <w:pPr>
              <w:spacing w:line="276" w:lineRule="auto"/>
              <w:jc w:val="both"/>
              <w:rPr>
                <w:lang w:val="hy-AM"/>
              </w:rPr>
            </w:pPr>
            <w:r w:rsidRPr="0053423A">
              <w:rPr>
                <w:lang w:val="hy-AM"/>
              </w:rPr>
              <w:t>ՀՀ մարզային առողջապահության համակարգի զարգացման նպատակը բնակչությանը տրամադրվող բժշկական օգնության և սպասարկման որակի և մատչելիության մակարդակի բարձրացումն է:</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jc w:val="both"/>
              <w:rPr>
                <w:lang w:val="hy-AM"/>
              </w:rPr>
            </w:pPr>
            <w:r w:rsidRPr="0053423A">
              <w:rPr>
                <w:lang w:val="hy-AM"/>
              </w:rPr>
              <w:t xml:space="preserve">   Հիմնանորոգվել և կառուցվել են ՀՀ մարզային մի շարք բժշկական կենտրոններ և առողջության առաջնային պահպանման հաստատությունների շենքեր: Բժշկական հաստատությունները նաև հագեցվել են արդի բժշկական սարքավորումներով և անհրաժեշտ կահույքով: Սակայն ՀՀ մարզերում դեռևս կան անմխիթար պայմաններում գտնվող բժշկական օգնություն և սպասարկում իրականացնող հաստատություններ, որոնց թե՛ շենքային վիճակը և թե՛ տեխնիկական հագեցվածությունը չեն բավարարում միջազգային նորմերին, ինչն  անդրադառնում է նաև մատուցվող բժշկական օգնության և սպասարկման որակի վրա:</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1.2. Առկա խնդիրների առաջարկվող լուծումները</w:t>
            </w:r>
          </w:p>
          <w:p w:rsidR="00764E6F" w:rsidRPr="0053423A" w:rsidRDefault="00764E6F" w:rsidP="00A67858">
            <w:pPr>
              <w:spacing w:line="276" w:lineRule="auto"/>
              <w:jc w:val="both"/>
              <w:rPr>
                <w:lang w:val="hy-AM"/>
              </w:rPr>
            </w:pPr>
            <w:r w:rsidRPr="0053423A">
              <w:rPr>
                <w:lang w:val="hy-AM"/>
              </w:rPr>
              <w:t xml:space="preserve">   Մարզերում մատուցվող բժշկական օգնության և սպասարկման որակը բարձրացնելու ուղղություններից է բժշկական հաստատությունների արդիականացումը` կառուցում, հիմնանորոգում և հագեցում ժամանակակից չափանիշներին համապատասխան բժշկական կահույքով, սարքավորումներով և պարագաներով: </w:t>
            </w:r>
          </w:p>
          <w:p w:rsidR="00764E6F" w:rsidRPr="0053423A" w:rsidRDefault="00764E6F" w:rsidP="00A67858">
            <w:pPr>
              <w:spacing w:line="276" w:lineRule="auto"/>
              <w:jc w:val="both"/>
              <w:rPr>
                <w:lang w:val="hy-AM"/>
              </w:rPr>
            </w:pPr>
            <w:r w:rsidRPr="0053423A">
              <w:rPr>
                <w:lang w:val="hy-AM"/>
              </w:rPr>
              <w:t xml:space="preserve">   2019-2023թթ-ին նախատեսվում է շարունակել մարզային բժշկական օգնություն և սպասարկում իրականացնող հաստատությունների վերանորոգման/կառուցման և հագեցման աշխատանքների իրականացումը: </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color w:val="FF0000"/>
                <w:lang w:val="hy-AM"/>
              </w:rPr>
            </w:pPr>
            <w:r w:rsidRPr="0053423A">
              <w:rPr>
                <w:b/>
                <w:color w:val="000000"/>
                <w:lang w:val="hy-AM"/>
              </w:rPr>
              <w:t xml:space="preserve">   2.</w:t>
            </w:r>
            <w:r w:rsidRPr="0053423A">
              <w:rPr>
                <w:b/>
                <w:color w:val="FF0000"/>
                <w:lang w:val="hy-AM"/>
              </w:rPr>
              <w:t xml:space="preserve"> </w:t>
            </w:r>
            <w:r w:rsidRPr="0053423A">
              <w:rPr>
                <w:b/>
                <w:color w:val="000000"/>
                <w:lang w:val="hy-AM"/>
              </w:rPr>
              <w:t>Միջոցառման իրականացումից ակնկալվող արդյունքը</w:t>
            </w:r>
          </w:p>
          <w:p w:rsidR="00764E6F" w:rsidRPr="0053423A" w:rsidRDefault="00764E6F" w:rsidP="00A67858">
            <w:pPr>
              <w:spacing w:line="276" w:lineRule="auto"/>
              <w:jc w:val="both"/>
              <w:rPr>
                <w:lang w:val="hy-AM"/>
              </w:rPr>
            </w:pPr>
            <w:r w:rsidRPr="0053423A">
              <w:rPr>
                <w:lang w:val="hy-AM"/>
              </w:rPr>
              <w:t xml:space="preserve">   </w:t>
            </w:r>
            <w:r w:rsidRPr="0053423A">
              <w:rPr>
                <w:rFonts w:cs="Sylfaen"/>
                <w:lang w:val="hy-AM"/>
              </w:rPr>
              <w:t>ՀՀ</w:t>
            </w:r>
            <w:r w:rsidRPr="0053423A">
              <w:rPr>
                <w:lang w:val="hy-AM"/>
              </w:rPr>
              <w:t xml:space="preserve"> </w:t>
            </w:r>
            <w:r w:rsidRPr="0053423A">
              <w:rPr>
                <w:rFonts w:cs="Sylfaen"/>
                <w:lang w:val="hy-AM"/>
              </w:rPr>
              <w:t>Արագածոտնի</w:t>
            </w:r>
            <w:r w:rsidRPr="0053423A">
              <w:rPr>
                <w:lang w:val="hy-AM"/>
              </w:rPr>
              <w:t xml:space="preserve"> </w:t>
            </w:r>
            <w:r w:rsidRPr="0053423A">
              <w:rPr>
                <w:rFonts w:cs="Sylfaen"/>
                <w:lang w:val="hy-AM"/>
              </w:rPr>
              <w:t>մարզի</w:t>
            </w:r>
            <w:r w:rsidRPr="0053423A">
              <w:rPr>
                <w:lang w:val="hy-AM"/>
              </w:rPr>
              <w:t xml:space="preserve"> </w:t>
            </w:r>
            <w:r w:rsidRPr="0053423A">
              <w:rPr>
                <w:rFonts w:cs="Sylfaen"/>
                <w:lang w:val="hy-AM"/>
              </w:rPr>
              <w:t>Թալինի</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կենտրոնը՝ 40 մահճակալ հզորությամբ բազմապրոֆիլային</w:t>
            </w:r>
            <w:r w:rsidRPr="0053423A">
              <w:rPr>
                <w:lang w:val="hy-AM"/>
              </w:rPr>
              <w:t xml:space="preserve"> </w:t>
            </w:r>
            <w:r w:rsidRPr="0053423A">
              <w:rPr>
                <w:rFonts w:cs="Sylfaen"/>
                <w:lang w:val="hy-AM"/>
              </w:rPr>
              <w:t>բժշկական հաստատություն</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որը</w:t>
            </w:r>
            <w:r w:rsidRPr="0053423A">
              <w:rPr>
                <w:lang w:val="hy-AM"/>
              </w:rPr>
              <w:t xml:space="preserve"> </w:t>
            </w:r>
            <w:r w:rsidRPr="0053423A">
              <w:rPr>
                <w:rFonts w:cs="Sylfaen"/>
                <w:lang w:val="hy-AM"/>
              </w:rPr>
              <w:t>լայն</w:t>
            </w:r>
            <w:r w:rsidRPr="0053423A">
              <w:rPr>
                <w:lang w:val="hy-AM"/>
              </w:rPr>
              <w:t xml:space="preserve"> </w:t>
            </w:r>
            <w:r w:rsidRPr="0053423A">
              <w:rPr>
                <w:rFonts w:cs="Sylfaen"/>
                <w:lang w:val="hy-AM"/>
              </w:rPr>
              <w:t>սպեկտորի</w:t>
            </w:r>
            <w:r w:rsidRPr="0053423A">
              <w:rPr>
                <w:lang w:val="hy-AM"/>
              </w:rPr>
              <w:t xml:space="preserve"> </w:t>
            </w:r>
            <w:r w:rsidRPr="0053423A">
              <w:rPr>
                <w:rFonts w:cs="Sylfaen"/>
                <w:lang w:val="hy-AM"/>
              </w:rPr>
              <w:t>ստացիոնար</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պոլիկլինիկական</w:t>
            </w:r>
            <w:r w:rsidRPr="0053423A">
              <w:rPr>
                <w:lang w:val="hy-AM"/>
              </w:rPr>
              <w:t xml:space="preserve"> </w:t>
            </w:r>
            <w:r w:rsidRPr="0053423A">
              <w:rPr>
                <w:rFonts w:cs="Sylfaen"/>
                <w:lang w:val="hy-AM"/>
              </w:rPr>
              <w:t>ծառայություններ</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մատուցում</w:t>
            </w:r>
            <w:r w:rsidRPr="0053423A">
              <w:rPr>
                <w:lang w:val="hy-AM"/>
              </w:rPr>
              <w:t xml:space="preserve"> </w:t>
            </w:r>
            <w:r w:rsidRPr="0053423A">
              <w:rPr>
                <w:rFonts w:cs="Sylfaen"/>
                <w:lang w:val="hy-AM"/>
              </w:rPr>
              <w:t>Թալինի տարածաշրջանի</w:t>
            </w:r>
            <w:r w:rsidRPr="0053423A">
              <w:rPr>
                <w:lang w:val="hy-AM"/>
              </w:rPr>
              <w:t xml:space="preserve"> 32.2 </w:t>
            </w:r>
            <w:r w:rsidRPr="0053423A">
              <w:rPr>
                <w:rFonts w:cs="Sylfaen"/>
                <w:lang w:val="hy-AM"/>
              </w:rPr>
              <w:t>հազար</w:t>
            </w:r>
            <w:r w:rsidRPr="0053423A">
              <w:rPr>
                <w:lang w:val="hy-AM"/>
              </w:rPr>
              <w:t xml:space="preserve"> </w:t>
            </w:r>
            <w:r w:rsidRPr="0053423A">
              <w:rPr>
                <w:rFonts w:cs="Sylfaen"/>
                <w:lang w:val="hy-AM"/>
              </w:rPr>
              <w:t>բնակչությանը</w:t>
            </w:r>
            <w:r w:rsidRPr="0053423A">
              <w:rPr>
                <w:lang w:val="hy-AM"/>
              </w:rPr>
              <w:t xml:space="preserve">, </w:t>
            </w:r>
            <w:r w:rsidRPr="0053423A">
              <w:rPr>
                <w:rFonts w:cs="Sylfaen"/>
                <w:lang w:val="hy-AM"/>
              </w:rPr>
              <w:t>որից</w:t>
            </w:r>
            <w:r w:rsidRPr="0053423A">
              <w:rPr>
                <w:lang w:val="hy-AM"/>
              </w:rPr>
              <w:t xml:space="preserve"> 4.3 </w:t>
            </w:r>
            <w:r w:rsidRPr="0053423A">
              <w:rPr>
                <w:rFonts w:cs="Sylfaen"/>
                <w:lang w:val="hy-AM"/>
              </w:rPr>
              <w:t>հազարը</w:t>
            </w:r>
            <w:r w:rsidRPr="0053423A">
              <w:rPr>
                <w:lang w:val="hy-AM"/>
              </w:rPr>
              <w:t xml:space="preserve"> </w:t>
            </w:r>
            <w:r w:rsidRPr="0053423A">
              <w:rPr>
                <w:rFonts w:cs="Sylfaen"/>
                <w:lang w:val="hy-AM"/>
              </w:rPr>
              <w:t>քաղաքային</w:t>
            </w:r>
            <w:r w:rsidRPr="0053423A">
              <w:rPr>
                <w:lang w:val="hy-AM"/>
              </w:rPr>
              <w:t xml:space="preserve"> </w:t>
            </w:r>
            <w:r w:rsidRPr="0053423A">
              <w:rPr>
                <w:rFonts w:cs="Sylfaen"/>
                <w:lang w:val="hy-AM"/>
              </w:rPr>
              <w:t>է</w:t>
            </w:r>
            <w:r w:rsidRPr="0053423A">
              <w:rPr>
                <w:lang w:val="hy-AM"/>
              </w:rPr>
              <w:t xml:space="preserve">, 27.9` </w:t>
            </w:r>
            <w:r w:rsidRPr="0053423A">
              <w:rPr>
                <w:rFonts w:cs="Sylfaen"/>
                <w:lang w:val="hy-AM"/>
              </w:rPr>
              <w:t>գյուղական</w:t>
            </w:r>
            <w:r w:rsidRPr="0053423A">
              <w:rPr>
                <w:lang w:val="hy-AM"/>
              </w:rPr>
              <w:t xml:space="preserve">: </w:t>
            </w:r>
            <w:r w:rsidRPr="0053423A">
              <w:rPr>
                <w:rFonts w:cs="Sylfaen"/>
                <w:lang w:val="hy-AM"/>
              </w:rPr>
              <w:t>Թալինի</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ծառայությունները</w:t>
            </w:r>
            <w:r w:rsidRPr="0053423A">
              <w:rPr>
                <w:lang w:val="hy-AM"/>
              </w:rPr>
              <w:t xml:space="preserve"> </w:t>
            </w:r>
            <w:r w:rsidRPr="0053423A">
              <w:rPr>
                <w:rFonts w:cs="Sylfaen"/>
                <w:lang w:val="hy-AM"/>
              </w:rPr>
              <w:t>տեղակայված</w:t>
            </w:r>
            <w:r w:rsidRPr="0053423A">
              <w:rPr>
                <w:lang w:val="hy-AM"/>
              </w:rPr>
              <w:t xml:space="preserve"> </w:t>
            </w:r>
            <w:r w:rsidRPr="0053423A">
              <w:rPr>
                <w:rFonts w:cs="Sylfaen"/>
                <w:lang w:val="hy-AM"/>
              </w:rPr>
              <w:t>են</w:t>
            </w:r>
            <w:r w:rsidRPr="0053423A">
              <w:rPr>
                <w:lang w:val="hy-AM"/>
              </w:rPr>
              <w:t xml:space="preserve"> 1969 </w:t>
            </w:r>
            <w:r w:rsidRPr="0053423A">
              <w:rPr>
                <w:rFonts w:cs="Sylfaen"/>
                <w:lang w:val="hy-AM"/>
              </w:rPr>
              <w:t>թվականին</w:t>
            </w:r>
            <w:r w:rsidRPr="0053423A">
              <w:rPr>
                <w:lang w:val="hy-AM"/>
              </w:rPr>
              <w:t xml:space="preserve"> </w:t>
            </w:r>
            <w:r w:rsidRPr="0053423A">
              <w:rPr>
                <w:rFonts w:cs="Sylfaen"/>
                <w:lang w:val="hy-AM"/>
              </w:rPr>
              <w:t>կառուցված</w:t>
            </w:r>
            <w:r w:rsidRPr="0053423A">
              <w:rPr>
                <w:lang w:val="hy-AM"/>
              </w:rPr>
              <w:t xml:space="preserve"> </w:t>
            </w:r>
            <w:r w:rsidRPr="0053423A">
              <w:rPr>
                <w:rFonts w:cs="Sylfaen"/>
                <w:lang w:val="hy-AM"/>
              </w:rPr>
              <w:t>մեկ եռահարկ մասնաշենքում</w:t>
            </w:r>
            <w:r w:rsidRPr="0053423A">
              <w:rPr>
                <w:lang w:val="hy-AM"/>
              </w:rPr>
              <w:t>: 2003թ. և 2011թ. կենտրոնը մասնակի վերանորոգվել է:</w:t>
            </w:r>
          </w:p>
          <w:p w:rsidR="00764E6F" w:rsidRPr="0053423A" w:rsidRDefault="00764E6F" w:rsidP="00A67858">
            <w:pPr>
              <w:tabs>
                <w:tab w:val="left" w:pos="5040"/>
              </w:tabs>
              <w:spacing w:line="276" w:lineRule="auto"/>
              <w:jc w:val="both"/>
              <w:rPr>
                <w:rFonts w:cs="Sylfaen"/>
                <w:lang w:val="hy-AM"/>
              </w:rPr>
            </w:pPr>
            <w:r w:rsidRPr="0053423A">
              <w:rPr>
                <w:lang w:val="hy-AM"/>
              </w:rPr>
              <w:t xml:space="preserve">   </w:t>
            </w:r>
            <w:r w:rsidRPr="0053423A">
              <w:rPr>
                <w:rFonts w:cs="Sylfaen"/>
                <w:lang w:val="hy-AM"/>
              </w:rPr>
              <w:t>Հաշվի</w:t>
            </w:r>
            <w:r w:rsidRPr="0053423A">
              <w:rPr>
                <w:rFonts w:cs="Sylfaen"/>
                <w:lang w:val="af-ZA"/>
              </w:rPr>
              <w:t xml:space="preserve"> </w:t>
            </w:r>
            <w:r w:rsidRPr="0053423A">
              <w:rPr>
                <w:rFonts w:cs="Sylfaen"/>
                <w:lang w:val="hy-AM"/>
              </w:rPr>
              <w:t>առնելով</w:t>
            </w:r>
            <w:r w:rsidRPr="0053423A">
              <w:rPr>
                <w:rFonts w:cs="Sylfaen"/>
                <w:lang w:val="af-ZA"/>
              </w:rPr>
              <w:t xml:space="preserve"> կենտրոնի </w:t>
            </w:r>
            <w:r w:rsidRPr="0053423A">
              <w:rPr>
                <w:rFonts w:cs="Sylfaen"/>
                <w:lang w:val="hy-AM"/>
              </w:rPr>
              <w:t>ներկա</w:t>
            </w:r>
            <w:r w:rsidRPr="0053423A">
              <w:rPr>
                <w:rFonts w:cs="Sylfaen"/>
                <w:lang w:val="af-ZA"/>
              </w:rPr>
              <w:t xml:space="preserve"> ֆիզիկական վիճակը, </w:t>
            </w:r>
            <w:r w:rsidRPr="0053423A">
              <w:rPr>
                <w:rFonts w:cs="Sylfaen"/>
                <w:lang w:val="hy-AM"/>
              </w:rPr>
              <w:t>տարածաշրջանի</w:t>
            </w:r>
            <w:r w:rsidRPr="0053423A">
              <w:rPr>
                <w:rFonts w:cs="Sylfaen"/>
                <w:lang w:val="af-ZA"/>
              </w:rPr>
              <w:t xml:space="preserve"> </w:t>
            </w:r>
            <w:r w:rsidRPr="0053423A">
              <w:rPr>
                <w:rFonts w:cs="Sylfaen"/>
                <w:lang w:val="hy-AM"/>
              </w:rPr>
              <w:t>ազգաբնակչության</w:t>
            </w:r>
            <w:r w:rsidRPr="0053423A">
              <w:rPr>
                <w:rFonts w:cs="Sylfaen"/>
                <w:lang w:val="af-ZA"/>
              </w:rPr>
              <w:t xml:space="preserve"> </w:t>
            </w:r>
            <w:r w:rsidRPr="0053423A">
              <w:rPr>
                <w:rFonts w:cs="Sylfaen"/>
                <w:lang w:val="hy-AM"/>
              </w:rPr>
              <w:t>թիվը</w:t>
            </w:r>
            <w:r w:rsidRPr="0053423A">
              <w:rPr>
                <w:rFonts w:cs="Sylfaen"/>
                <w:lang w:val="af-ZA"/>
              </w:rPr>
              <w:t xml:space="preserve">, զբաղվածության ցածր ցուցանիշները, նպատակահարմար է </w:t>
            </w:r>
            <w:r w:rsidRPr="0053423A">
              <w:rPr>
                <w:rFonts w:cs="Sylfaen"/>
                <w:lang w:val="hy-AM"/>
              </w:rPr>
              <w:t>արդեն</w:t>
            </w:r>
            <w:r w:rsidRPr="0053423A">
              <w:rPr>
                <w:rFonts w:cs="Sylfaen"/>
                <w:lang w:val="af-ZA"/>
              </w:rPr>
              <w:t xml:space="preserve"> </w:t>
            </w:r>
            <w:r w:rsidRPr="0053423A">
              <w:rPr>
                <w:rFonts w:cs="Sylfaen"/>
                <w:lang w:val="hy-AM"/>
              </w:rPr>
              <w:t>իսկ</w:t>
            </w:r>
            <w:r w:rsidRPr="0053423A">
              <w:rPr>
                <w:rFonts w:cs="Sylfaen"/>
                <w:lang w:val="af-ZA"/>
              </w:rPr>
              <w:t xml:space="preserve"> </w:t>
            </w:r>
            <w:r w:rsidRPr="0053423A">
              <w:rPr>
                <w:rFonts w:cs="Sylfaen"/>
                <w:lang w:val="hy-AM"/>
              </w:rPr>
              <w:t>կրճատված</w:t>
            </w:r>
            <w:r w:rsidRPr="0053423A">
              <w:rPr>
                <w:rFonts w:cs="Sylfaen"/>
                <w:lang w:val="af-ZA"/>
              </w:rPr>
              <w:t xml:space="preserve"> </w:t>
            </w:r>
            <w:r w:rsidRPr="0053423A">
              <w:rPr>
                <w:rFonts w:cs="Sylfaen"/>
                <w:lang w:val="hy-AM"/>
              </w:rPr>
              <w:t>մահճակալների</w:t>
            </w:r>
            <w:r w:rsidRPr="0053423A">
              <w:rPr>
                <w:rFonts w:cs="Sylfaen"/>
                <w:lang w:val="af-ZA"/>
              </w:rPr>
              <w:t xml:space="preserve"> </w:t>
            </w:r>
            <w:r w:rsidRPr="0053423A">
              <w:rPr>
                <w:rFonts w:cs="Sylfaen"/>
                <w:lang w:val="hy-AM"/>
              </w:rPr>
              <w:t xml:space="preserve">թիվը </w:t>
            </w:r>
            <w:r w:rsidRPr="0053423A">
              <w:rPr>
                <w:rFonts w:cs="Sylfaen"/>
                <w:lang w:val="af-ZA"/>
              </w:rPr>
              <w:t xml:space="preserve">հասցնել մինչև </w:t>
            </w:r>
            <w:r w:rsidRPr="0053423A">
              <w:rPr>
                <w:rFonts w:cs="Sylfaen"/>
                <w:b/>
                <w:lang w:val="af-ZA"/>
              </w:rPr>
              <w:t>30</w:t>
            </w:r>
            <w:r w:rsidRPr="0053423A">
              <w:rPr>
                <w:rFonts w:cs="Sylfaen"/>
                <w:lang w:val="af-ZA"/>
              </w:rPr>
              <w:t>(5),</w:t>
            </w:r>
            <w:r w:rsidRPr="0053423A">
              <w:rPr>
                <w:rFonts w:cs="Sylfaen"/>
                <w:b/>
                <w:lang w:val="af-ZA"/>
              </w:rPr>
              <w:t xml:space="preserve"> </w:t>
            </w:r>
            <w:r w:rsidRPr="0053423A">
              <w:rPr>
                <w:rFonts w:cs="Sylfaen"/>
                <w:lang w:val="af-ZA"/>
              </w:rPr>
              <w:t>ինչպես նաև</w:t>
            </w:r>
            <w:r w:rsidRPr="0053423A">
              <w:rPr>
                <w:rFonts w:cs="Sylfaen"/>
                <w:b/>
                <w:lang w:val="af-ZA"/>
              </w:rPr>
              <w:t xml:space="preserve"> </w:t>
            </w:r>
            <w:r w:rsidRPr="0053423A">
              <w:rPr>
                <w:rFonts w:cs="Sylfaen"/>
                <w:lang w:val="hy-AM"/>
              </w:rPr>
              <w:t>առաջարկվում</w:t>
            </w:r>
            <w:r w:rsidRPr="0053423A">
              <w:rPr>
                <w:rFonts w:cs="Sylfaen"/>
                <w:lang w:val="af-ZA"/>
              </w:rPr>
              <w:t xml:space="preserve"> </w:t>
            </w:r>
            <w:r w:rsidRPr="0053423A">
              <w:rPr>
                <w:rFonts w:cs="Sylfaen"/>
                <w:lang w:val="hy-AM"/>
              </w:rPr>
              <w:t>է</w:t>
            </w:r>
            <w:r w:rsidRPr="0053423A">
              <w:rPr>
                <w:rFonts w:cs="Sylfaen"/>
                <w:lang w:val="af-ZA"/>
              </w:rPr>
              <w:t xml:space="preserve"> բժշկական կենտրոնի </w:t>
            </w:r>
            <w:r w:rsidRPr="0053423A">
              <w:rPr>
                <w:rFonts w:cs="Sylfaen"/>
                <w:b/>
                <w:lang w:val="af-ZA"/>
              </w:rPr>
              <w:t xml:space="preserve">մասնաշենքի </w:t>
            </w:r>
            <w:r w:rsidRPr="0053423A">
              <w:rPr>
                <w:rFonts w:cs="Sylfaen"/>
                <w:b/>
                <w:lang w:val="hy-AM"/>
              </w:rPr>
              <w:t>վերակառուցումը՝</w:t>
            </w:r>
            <w:r w:rsidRPr="0053423A">
              <w:rPr>
                <w:rFonts w:cs="Sylfaen"/>
                <w:b/>
                <w:lang w:val="af-ZA"/>
              </w:rPr>
              <w:t xml:space="preserve"> </w:t>
            </w:r>
            <w:r w:rsidRPr="0053423A">
              <w:rPr>
                <w:rFonts w:cs="Sylfaen"/>
                <w:lang w:val="hy-AM"/>
              </w:rPr>
              <w:t>շուրջ</w:t>
            </w:r>
            <w:r w:rsidRPr="0053423A">
              <w:rPr>
                <w:rFonts w:cs="Sylfaen"/>
                <w:b/>
                <w:lang w:val="af-ZA"/>
              </w:rPr>
              <w:t xml:space="preserve"> </w:t>
            </w:r>
            <w:r w:rsidRPr="0053423A">
              <w:rPr>
                <w:rFonts w:cs="Sylfaen"/>
                <w:b/>
                <w:lang w:val="hy-AM"/>
              </w:rPr>
              <w:t>3</w:t>
            </w:r>
            <w:r w:rsidRPr="0053423A">
              <w:rPr>
                <w:rFonts w:cs="Sylfaen"/>
                <w:b/>
                <w:lang w:val="af-ZA"/>
              </w:rPr>
              <w:t xml:space="preserve">526.6 քմ </w:t>
            </w:r>
            <w:r w:rsidRPr="0053423A">
              <w:rPr>
                <w:rFonts w:cs="Sylfaen"/>
                <w:lang w:val="af-ZA"/>
              </w:rPr>
              <w:t xml:space="preserve">տարածք: </w:t>
            </w:r>
          </w:p>
          <w:p w:rsidR="00764E6F" w:rsidRPr="0053423A" w:rsidRDefault="00764E6F" w:rsidP="00A67858">
            <w:pPr>
              <w:tabs>
                <w:tab w:val="left" w:pos="5040"/>
              </w:tabs>
              <w:spacing w:line="276" w:lineRule="auto"/>
              <w:jc w:val="both"/>
              <w:rPr>
                <w:rFonts w:cs="Sylfaen"/>
                <w:lang w:val="hy-AM"/>
              </w:rPr>
            </w:pPr>
            <w:r w:rsidRPr="0053423A">
              <w:rPr>
                <w:rFonts w:cs="Sylfaen"/>
                <w:lang w:val="hy-AM"/>
              </w:rPr>
              <w:t xml:space="preserve">    Նշված միջոցառումների գնահատված արժեքը կազմում է շուրջ՝ 808 մլն ՀՀ դրամ, որից  նախագծանախահաշվային փաստաթղթերի մշակում՝ շուրջ 28 մլն ՀՀ դրամ, շինարարական աշխատանքներ՝ շուրջ 780 մլն ՀՀ դրամ: Նախատեսված ժամանակաշրջանում կիրականացվեն </w:t>
            </w:r>
            <w:r w:rsidRPr="0053423A">
              <w:rPr>
                <w:rFonts w:cs="Arial"/>
                <w:lang w:val="hy-AM"/>
              </w:rPr>
              <w:t xml:space="preserve"> </w:t>
            </w:r>
            <w:r w:rsidRPr="0053423A">
              <w:rPr>
                <w:rFonts w:cs="Sylfaen"/>
                <w:lang w:val="hy-AM"/>
              </w:rPr>
              <w:t>նախագծանախահաշվային փաստաթղթերի մշակման աշխատանքները, իսկ քննարկվող ժամանակաշրջանի ավարտին, մեկնարկեն շինարարական աշխատանքները:</w:t>
            </w:r>
          </w:p>
          <w:p w:rsidR="00764E6F" w:rsidRPr="0053423A" w:rsidRDefault="00764E6F" w:rsidP="00A67858">
            <w:pPr>
              <w:spacing w:line="276" w:lineRule="auto"/>
              <w:jc w:val="center"/>
              <w:rPr>
                <w:b/>
                <w:highlight w:val="yellow"/>
                <w:lang w:val="af-ZA"/>
              </w:rPr>
            </w:pPr>
          </w:p>
          <w:p w:rsidR="00764E6F" w:rsidRPr="0053423A" w:rsidRDefault="008B3845" w:rsidP="00A67858">
            <w:pPr>
              <w:spacing w:line="276" w:lineRule="auto"/>
              <w:jc w:val="center"/>
              <w:rPr>
                <w:b/>
                <w:lang w:val="af-ZA"/>
              </w:rPr>
            </w:pPr>
            <w:r w:rsidRPr="0053423A">
              <w:rPr>
                <w:b/>
                <w:lang w:val="hy-AM"/>
              </w:rPr>
              <w:t>2</w:t>
            </w:r>
            <w:r w:rsidR="00764E6F" w:rsidRPr="0053423A">
              <w:rPr>
                <w:b/>
                <w:lang w:val="hy-AM"/>
              </w:rPr>
              <w:t>8.8</w:t>
            </w:r>
            <w:r w:rsidR="00764E6F" w:rsidRPr="0053423A">
              <w:rPr>
                <w:b/>
                <w:lang w:val="af-ZA"/>
              </w:rPr>
              <w:t xml:space="preserve"> </w:t>
            </w:r>
            <w:r w:rsidR="00764E6F" w:rsidRPr="0053423A">
              <w:rPr>
                <w:b/>
                <w:lang w:val="hy-AM"/>
              </w:rPr>
              <w:t xml:space="preserve">Արարատի մարզի Մասիսի բժշկական կենտրոնի վերակառուցման </w:t>
            </w:r>
            <w:r w:rsidR="00980B4B" w:rsidRPr="0053423A">
              <w:rPr>
                <w:b/>
                <w:lang w:val="hy-AM"/>
              </w:rPr>
              <w:t xml:space="preserve">շինարարական աշխատանքների </w:t>
            </w:r>
            <w:r w:rsidR="00764E6F" w:rsidRPr="0053423A">
              <w:rPr>
                <w:b/>
                <w:lang w:val="hy-AM"/>
              </w:rPr>
              <w:t>մեկնարկ</w:t>
            </w:r>
          </w:p>
          <w:p w:rsidR="00764E6F" w:rsidRPr="0053423A" w:rsidRDefault="00764E6F" w:rsidP="00A67858">
            <w:pPr>
              <w:spacing w:line="276" w:lineRule="auto"/>
              <w:jc w:val="center"/>
              <w:rPr>
                <w:b/>
                <w:lang w:val="af-ZA"/>
              </w:rPr>
            </w:pPr>
          </w:p>
          <w:p w:rsidR="00764E6F" w:rsidRPr="0053423A" w:rsidRDefault="00764E6F" w:rsidP="00A67858">
            <w:pPr>
              <w:spacing w:line="276" w:lineRule="auto"/>
              <w:jc w:val="both"/>
              <w:rPr>
                <w:b/>
                <w:lang w:val="hy-AM"/>
              </w:rPr>
            </w:pPr>
            <w:r w:rsidRPr="0053423A">
              <w:rPr>
                <w:b/>
                <w:lang w:val="af-ZA"/>
              </w:rPr>
              <w:t xml:space="preserve">   </w:t>
            </w:r>
            <w:r w:rsidRPr="0053423A">
              <w:rPr>
                <w:b/>
                <w:lang w:val="hy-AM"/>
              </w:rPr>
              <w:t>1. Միջոցառման իրականացման անհրաժեշտությունը և նպատակը</w:t>
            </w:r>
          </w:p>
          <w:p w:rsidR="00764E6F" w:rsidRPr="0053423A" w:rsidRDefault="00764E6F" w:rsidP="00A67858">
            <w:pPr>
              <w:spacing w:line="276" w:lineRule="auto"/>
              <w:jc w:val="both"/>
              <w:rPr>
                <w:lang w:val="hy-AM"/>
              </w:rPr>
            </w:pPr>
            <w:r w:rsidRPr="0053423A">
              <w:rPr>
                <w:b/>
                <w:lang w:val="hy-AM"/>
              </w:rPr>
              <w:t xml:space="preserve"> </w:t>
            </w:r>
            <w:r w:rsidRPr="0053423A">
              <w:rPr>
                <w:lang w:val="hy-AM"/>
              </w:rPr>
              <w:t>ՀՀ մարզերի առողջապահական համակարգի զարգացման հարցը դեռևս արդիական խնդիր է Հայաստանի Հանրապետությունում: Մարզային բժշկական հաստատությունների շենքերը գտնվում են անմխիթար պայմաններում և ենթակա են արդիականացման` բնակչությանը տեղում ժամանակակից չափանիշներին համապատասխան բժշկական ծառայություններ մատուցելու նպատակով:</w:t>
            </w:r>
          </w:p>
          <w:p w:rsidR="00764E6F" w:rsidRPr="0053423A" w:rsidRDefault="00764E6F" w:rsidP="00A67858">
            <w:pPr>
              <w:spacing w:line="276" w:lineRule="auto"/>
              <w:jc w:val="both"/>
              <w:rPr>
                <w:lang w:val="hy-AM"/>
              </w:rPr>
            </w:pPr>
            <w:r w:rsidRPr="0053423A">
              <w:rPr>
                <w:lang w:val="hy-AM"/>
              </w:rPr>
              <w:t>ՀՀ մարզային առողջապահության համակարգի զարգացման նպատակը բնակչությանը տրամադրվող բժշկական օգնության և սպասարկման որակի և մատչելիության մակարդակի բարձրացումն է:</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jc w:val="both"/>
              <w:rPr>
                <w:lang w:val="hy-AM"/>
              </w:rPr>
            </w:pPr>
            <w:r w:rsidRPr="0053423A">
              <w:rPr>
                <w:lang w:val="hy-AM"/>
              </w:rPr>
              <w:t xml:space="preserve">   Հիմնանորոգվել և կառուցվել են ՀՀ մարզային մի շարք բժշկական կենտրոններ և առողջության առաջնային պահպանման հաստատությունների շենքեր: Բժշկական հաստատությունները նաև հագեցվել են արդի բժշկական սարքավորումներով և անհրաժեշտ կահույքով: Սակայն ՀՀ մարզերում դեռևս կան անմխիթար պայմաններում գտնվող բժշկական օգնություն և սպասարկում իրականացնող հաստատություններ, որոնց թե՛ շենքային վիճակը և թե՛ տեխնիկական հագեցվածությունը չեն բավարարում միջազգային նորմերին, ինչն  անդրադառնում է նաև մատուցվող բժշկական օգնության և սպասարկման որակի վրա:</w:t>
            </w:r>
          </w:p>
          <w:p w:rsidR="00764E6F" w:rsidRPr="0053423A" w:rsidRDefault="00764E6F" w:rsidP="00A67858">
            <w:pPr>
              <w:spacing w:line="276" w:lineRule="auto"/>
              <w:jc w:val="both"/>
              <w:rPr>
                <w:b/>
                <w:lang w:val="hy-AM"/>
              </w:rPr>
            </w:pPr>
            <w:r w:rsidRPr="0053423A">
              <w:rPr>
                <w:b/>
                <w:lang w:val="hy-AM"/>
              </w:rPr>
              <w:t xml:space="preserve">   1.2. Առկա խնդիրների առաջարկվող լուծումները</w:t>
            </w:r>
          </w:p>
          <w:p w:rsidR="00764E6F" w:rsidRPr="0053423A" w:rsidRDefault="00764E6F" w:rsidP="00A67858">
            <w:pPr>
              <w:spacing w:line="276" w:lineRule="auto"/>
              <w:jc w:val="both"/>
              <w:rPr>
                <w:lang w:val="hy-AM"/>
              </w:rPr>
            </w:pPr>
            <w:r w:rsidRPr="0053423A">
              <w:rPr>
                <w:lang w:val="hy-AM"/>
              </w:rPr>
              <w:t xml:space="preserve">   Մարզերում մատուցվող բժշկական օգնության և սպասարկման որակը բարձրացնելու ուղղություններից է բժշկական հաստատությունների արդիականացումը` կառուցում, հիմնանորոգում և հագեցում ժամանակակից չափանիշներին համապատասխան բժշկական կահույքով, սարքավորումներով և պարագաներով:</w:t>
            </w:r>
          </w:p>
          <w:p w:rsidR="00764E6F" w:rsidRPr="0053423A" w:rsidRDefault="00764E6F" w:rsidP="00A67858">
            <w:pPr>
              <w:spacing w:line="276" w:lineRule="auto"/>
              <w:jc w:val="both"/>
              <w:rPr>
                <w:lang w:val="hy-AM"/>
              </w:rPr>
            </w:pPr>
            <w:r w:rsidRPr="0053423A">
              <w:rPr>
                <w:lang w:val="hy-AM"/>
              </w:rPr>
              <w:t xml:space="preserve">   2019-2023թթ-ին նախատեսվում է շարունակել մարզային բժշկական օգնություն և սպասարկում իրականացնող հաստատությունների վերանորոգման/կառուցման և հագեցման աշխատանքների իրականացումը: </w:t>
            </w:r>
          </w:p>
          <w:p w:rsidR="00764E6F" w:rsidRPr="0053423A" w:rsidRDefault="00764E6F" w:rsidP="00A67858">
            <w:pPr>
              <w:spacing w:line="276" w:lineRule="auto"/>
              <w:jc w:val="both"/>
              <w:rPr>
                <w:rFonts w:cs="Sylfaen"/>
                <w:lang w:val="hy-AM"/>
              </w:rPr>
            </w:pPr>
          </w:p>
          <w:p w:rsidR="00764E6F" w:rsidRPr="0053423A" w:rsidRDefault="00764E6F" w:rsidP="00A67858">
            <w:pPr>
              <w:spacing w:line="276" w:lineRule="auto"/>
              <w:jc w:val="both"/>
              <w:rPr>
                <w:b/>
                <w:color w:val="FF0000"/>
                <w:lang w:val="hy-AM"/>
              </w:rPr>
            </w:pPr>
            <w:r w:rsidRPr="0053423A">
              <w:rPr>
                <w:b/>
                <w:color w:val="000000"/>
                <w:lang w:val="hy-AM"/>
              </w:rPr>
              <w:t xml:space="preserve">   2.</w:t>
            </w:r>
            <w:r w:rsidRPr="0053423A">
              <w:rPr>
                <w:b/>
                <w:color w:val="FF0000"/>
                <w:lang w:val="hy-AM"/>
              </w:rPr>
              <w:t xml:space="preserve"> </w:t>
            </w:r>
            <w:r w:rsidRPr="0053423A">
              <w:rPr>
                <w:b/>
                <w:color w:val="000000"/>
                <w:lang w:val="hy-AM"/>
              </w:rPr>
              <w:t>Միջոցառման իրականացումից ակնկալվող արդյունքը</w:t>
            </w:r>
          </w:p>
          <w:p w:rsidR="00764E6F" w:rsidRPr="0053423A" w:rsidRDefault="00764E6F" w:rsidP="00A67858">
            <w:pPr>
              <w:spacing w:line="276" w:lineRule="auto"/>
              <w:jc w:val="both"/>
              <w:rPr>
                <w:lang w:val="hy-AM"/>
              </w:rPr>
            </w:pPr>
            <w:r w:rsidRPr="0053423A">
              <w:rPr>
                <w:lang w:val="hy-AM"/>
              </w:rPr>
              <w:t xml:space="preserve">   </w:t>
            </w:r>
            <w:r w:rsidRPr="0053423A">
              <w:rPr>
                <w:rFonts w:cs="Sylfaen"/>
                <w:lang w:val="hy-AM"/>
              </w:rPr>
              <w:t>ՀՀ</w:t>
            </w:r>
            <w:r w:rsidRPr="0053423A">
              <w:rPr>
                <w:lang w:val="hy-AM"/>
              </w:rPr>
              <w:t xml:space="preserve"> </w:t>
            </w:r>
            <w:r w:rsidRPr="0053423A">
              <w:rPr>
                <w:rFonts w:cs="Sylfaen"/>
                <w:lang w:val="hy-AM"/>
              </w:rPr>
              <w:t>Արարատի</w:t>
            </w:r>
            <w:r w:rsidRPr="0053423A">
              <w:rPr>
                <w:lang w:val="hy-AM"/>
              </w:rPr>
              <w:t xml:space="preserve"> </w:t>
            </w:r>
            <w:r w:rsidRPr="0053423A">
              <w:rPr>
                <w:rFonts w:cs="Sylfaen"/>
                <w:lang w:val="hy-AM"/>
              </w:rPr>
              <w:t>մարզի</w:t>
            </w:r>
            <w:r w:rsidRPr="0053423A">
              <w:rPr>
                <w:lang w:val="hy-AM"/>
              </w:rPr>
              <w:t xml:space="preserve"> </w:t>
            </w:r>
            <w:r w:rsidRPr="0053423A">
              <w:rPr>
                <w:rFonts w:cs="Sylfaen"/>
                <w:lang w:val="hy-AM"/>
              </w:rPr>
              <w:t>Մասիսի</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կենտրոնը՝ 110 մահճակալ հզորությամբ բազմապրոֆիլային</w:t>
            </w:r>
            <w:r w:rsidRPr="0053423A">
              <w:rPr>
                <w:lang w:val="hy-AM"/>
              </w:rPr>
              <w:t xml:space="preserve"> </w:t>
            </w:r>
            <w:r w:rsidRPr="0053423A">
              <w:rPr>
                <w:rFonts w:cs="Sylfaen"/>
                <w:lang w:val="hy-AM"/>
              </w:rPr>
              <w:t>բժշկական հաստատություն</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որը</w:t>
            </w:r>
            <w:r w:rsidRPr="0053423A">
              <w:rPr>
                <w:lang w:val="hy-AM"/>
              </w:rPr>
              <w:t xml:space="preserve"> </w:t>
            </w:r>
            <w:r w:rsidRPr="0053423A">
              <w:rPr>
                <w:rFonts w:cs="Sylfaen"/>
                <w:lang w:val="hy-AM"/>
              </w:rPr>
              <w:t>լայն</w:t>
            </w:r>
            <w:r w:rsidRPr="0053423A">
              <w:rPr>
                <w:lang w:val="hy-AM"/>
              </w:rPr>
              <w:t xml:space="preserve"> </w:t>
            </w:r>
            <w:r w:rsidRPr="0053423A">
              <w:rPr>
                <w:rFonts w:cs="Sylfaen"/>
                <w:lang w:val="hy-AM"/>
              </w:rPr>
              <w:t>սպեկտորի</w:t>
            </w:r>
            <w:r w:rsidRPr="0053423A">
              <w:rPr>
                <w:lang w:val="hy-AM"/>
              </w:rPr>
              <w:t xml:space="preserve"> </w:t>
            </w:r>
            <w:r w:rsidRPr="0053423A">
              <w:rPr>
                <w:rFonts w:cs="Sylfaen"/>
                <w:lang w:val="hy-AM"/>
              </w:rPr>
              <w:t>ստացիոնար</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պոլիկլինիկական</w:t>
            </w:r>
            <w:r w:rsidRPr="0053423A">
              <w:rPr>
                <w:lang w:val="hy-AM"/>
              </w:rPr>
              <w:t xml:space="preserve"> </w:t>
            </w:r>
            <w:r w:rsidRPr="0053423A">
              <w:rPr>
                <w:rFonts w:cs="Sylfaen"/>
                <w:lang w:val="hy-AM"/>
              </w:rPr>
              <w:t>ծառայություններ</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մատուցում</w:t>
            </w:r>
            <w:r w:rsidRPr="0053423A">
              <w:rPr>
                <w:lang w:val="hy-AM"/>
              </w:rPr>
              <w:t xml:space="preserve"> </w:t>
            </w:r>
            <w:r w:rsidRPr="0053423A">
              <w:rPr>
                <w:rFonts w:cs="Sylfaen"/>
                <w:lang w:val="hy-AM"/>
              </w:rPr>
              <w:t>Մասիսի տարածաշրջանի</w:t>
            </w:r>
            <w:r w:rsidRPr="0053423A">
              <w:rPr>
                <w:lang w:val="hy-AM"/>
              </w:rPr>
              <w:t xml:space="preserve"> 79.1 </w:t>
            </w:r>
            <w:r w:rsidRPr="0053423A">
              <w:rPr>
                <w:rFonts w:cs="Sylfaen"/>
                <w:lang w:val="hy-AM"/>
              </w:rPr>
              <w:t>հազար</w:t>
            </w:r>
            <w:r w:rsidRPr="0053423A">
              <w:rPr>
                <w:lang w:val="hy-AM"/>
              </w:rPr>
              <w:t xml:space="preserve"> </w:t>
            </w:r>
            <w:r w:rsidRPr="0053423A">
              <w:rPr>
                <w:rFonts w:cs="Sylfaen"/>
                <w:lang w:val="hy-AM"/>
              </w:rPr>
              <w:t>բնակչությանը</w:t>
            </w:r>
            <w:r w:rsidRPr="0053423A">
              <w:rPr>
                <w:lang w:val="hy-AM"/>
              </w:rPr>
              <w:t xml:space="preserve">, </w:t>
            </w:r>
            <w:r w:rsidRPr="0053423A">
              <w:rPr>
                <w:rFonts w:cs="Sylfaen"/>
                <w:lang w:val="hy-AM"/>
              </w:rPr>
              <w:t>որից</w:t>
            </w:r>
            <w:r w:rsidRPr="0053423A">
              <w:rPr>
                <w:lang w:val="hy-AM"/>
              </w:rPr>
              <w:t xml:space="preserve"> 20.6 </w:t>
            </w:r>
            <w:r w:rsidRPr="0053423A">
              <w:rPr>
                <w:rFonts w:cs="Sylfaen"/>
                <w:lang w:val="hy-AM"/>
              </w:rPr>
              <w:t>հազարը</w:t>
            </w:r>
            <w:r w:rsidRPr="0053423A">
              <w:rPr>
                <w:lang w:val="hy-AM"/>
              </w:rPr>
              <w:t xml:space="preserve"> </w:t>
            </w:r>
            <w:r w:rsidRPr="0053423A">
              <w:rPr>
                <w:rFonts w:cs="Sylfaen"/>
                <w:lang w:val="hy-AM"/>
              </w:rPr>
              <w:t>քաղաքային</w:t>
            </w:r>
            <w:r w:rsidRPr="0053423A">
              <w:rPr>
                <w:lang w:val="hy-AM"/>
              </w:rPr>
              <w:t xml:space="preserve"> </w:t>
            </w:r>
            <w:r w:rsidRPr="0053423A">
              <w:rPr>
                <w:rFonts w:cs="Sylfaen"/>
                <w:lang w:val="hy-AM"/>
              </w:rPr>
              <w:t>է</w:t>
            </w:r>
            <w:r w:rsidRPr="0053423A">
              <w:rPr>
                <w:lang w:val="hy-AM"/>
              </w:rPr>
              <w:t xml:space="preserve">, 58.5` </w:t>
            </w:r>
            <w:r w:rsidRPr="0053423A">
              <w:rPr>
                <w:rFonts w:cs="Sylfaen"/>
                <w:lang w:val="hy-AM"/>
              </w:rPr>
              <w:t>գյուղական</w:t>
            </w:r>
            <w:r w:rsidRPr="0053423A">
              <w:rPr>
                <w:lang w:val="hy-AM"/>
              </w:rPr>
              <w:t xml:space="preserve">: </w:t>
            </w:r>
          </w:p>
          <w:p w:rsidR="00764E6F" w:rsidRPr="0053423A" w:rsidRDefault="00764E6F" w:rsidP="00A67858">
            <w:pPr>
              <w:spacing w:line="276" w:lineRule="auto"/>
              <w:jc w:val="both"/>
              <w:rPr>
                <w:rFonts w:cs="Sylfaen"/>
                <w:lang w:val="hy-AM"/>
              </w:rPr>
            </w:pPr>
            <w:r w:rsidRPr="0053423A">
              <w:rPr>
                <w:lang w:val="hy-AM"/>
              </w:rPr>
              <w:t xml:space="preserve">   </w:t>
            </w:r>
            <w:r w:rsidRPr="0053423A">
              <w:rPr>
                <w:rFonts w:cs="Sylfaen"/>
                <w:lang w:val="hy-AM"/>
              </w:rPr>
              <w:t>Մասիսի</w:t>
            </w:r>
            <w:r w:rsidRPr="0053423A">
              <w:rPr>
                <w:lang w:val="hy-AM"/>
              </w:rPr>
              <w:t xml:space="preserve"> </w:t>
            </w:r>
            <w:r w:rsidRPr="0053423A">
              <w:rPr>
                <w:rFonts w:cs="Sylfaen"/>
                <w:lang w:val="hy-AM"/>
              </w:rPr>
              <w:t>բժշկական</w:t>
            </w:r>
            <w:r w:rsidRPr="0053423A">
              <w:rPr>
                <w:lang w:val="hy-AM"/>
              </w:rPr>
              <w:t xml:space="preserve"> </w:t>
            </w:r>
            <w:r w:rsidRPr="0053423A">
              <w:rPr>
                <w:rFonts w:cs="Sylfaen"/>
                <w:lang w:val="hy-AM"/>
              </w:rPr>
              <w:t>կենտրոնի</w:t>
            </w:r>
            <w:r w:rsidRPr="0053423A">
              <w:rPr>
                <w:lang w:val="hy-AM"/>
              </w:rPr>
              <w:t xml:space="preserve"> </w:t>
            </w:r>
            <w:r w:rsidRPr="0053423A">
              <w:rPr>
                <w:rFonts w:cs="Sylfaen"/>
                <w:lang w:val="hy-AM"/>
              </w:rPr>
              <w:t>ծառայությունները</w:t>
            </w:r>
            <w:r w:rsidRPr="0053423A">
              <w:rPr>
                <w:lang w:val="hy-AM"/>
              </w:rPr>
              <w:t xml:space="preserve"> </w:t>
            </w:r>
            <w:r w:rsidRPr="0053423A">
              <w:rPr>
                <w:rFonts w:cs="Sylfaen"/>
                <w:lang w:val="hy-AM"/>
              </w:rPr>
              <w:t>տեղակայված</w:t>
            </w:r>
            <w:r w:rsidRPr="0053423A">
              <w:rPr>
                <w:lang w:val="hy-AM"/>
              </w:rPr>
              <w:t xml:space="preserve"> </w:t>
            </w:r>
            <w:r w:rsidRPr="0053423A">
              <w:rPr>
                <w:rFonts w:cs="Sylfaen"/>
                <w:lang w:val="hy-AM"/>
              </w:rPr>
              <w:t>են</w:t>
            </w:r>
            <w:r w:rsidRPr="0053423A">
              <w:rPr>
                <w:lang w:val="hy-AM"/>
              </w:rPr>
              <w:t xml:space="preserve"> 1975 </w:t>
            </w:r>
            <w:r w:rsidRPr="0053423A">
              <w:rPr>
                <w:rFonts w:cs="Sylfaen"/>
                <w:lang w:val="hy-AM"/>
              </w:rPr>
              <w:t>թվականին</w:t>
            </w:r>
            <w:r w:rsidRPr="0053423A">
              <w:rPr>
                <w:lang w:val="hy-AM"/>
              </w:rPr>
              <w:t xml:space="preserve"> </w:t>
            </w:r>
            <w:r w:rsidRPr="0053423A">
              <w:rPr>
                <w:rFonts w:cs="Sylfaen"/>
                <w:lang w:val="hy-AM"/>
              </w:rPr>
              <w:t>կառուցված</w:t>
            </w:r>
            <w:r w:rsidRPr="0053423A">
              <w:rPr>
                <w:lang w:val="hy-AM"/>
              </w:rPr>
              <w:t xml:space="preserve"> </w:t>
            </w:r>
            <w:r w:rsidRPr="0053423A">
              <w:rPr>
                <w:rFonts w:cs="Sylfaen"/>
                <w:lang w:val="hy-AM"/>
              </w:rPr>
              <w:t>երեք մասնաշենքում</w:t>
            </w:r>
            <w:r w:rsidRPr="0053423A">
              <w:rPr>
                <w:lang w:val="hy-AM"/>
              </w:rPr>
              <w:t xml:space="preserve">, </w:t>
            </w:r>
            <w:r w:rsidRPr="0053423A">
              <w:rPr>
                <w:rFonts w:cs="Sylfaen"/>
                <w:lang w:val="hy-AM"/>
              </w:rPr>
              <w:t>Կենտրոնի սեփական միջոցներով իրականացվել են մասնակի վերանորոգումներ</w:t>
            </w:r>
            <w:r w:rsidRPr="0053423A">
              <w:rPr>
                <w:lang w:val="hy-AM"/>
              </w:rPr>
              <w:t xml:space="preserve">, սակայն մասնաշենքերը </w:t>
            </w:r>
            <w:r w:rsidRPr="0053423A">
              <w:rPr>
                <w:rFonts w:cs="Sylfaen"/>
                <w:lang w:val="hy-AM"/>
              </w:rPr>
              <w:t>ներկայում</w:t>
            </w:r>
            <w:r w:rsidRPr="0053423A">
              <w:rPr>
                <w:lang w:val="hy-AM"/>
              </w:rPr>
              <w:t xml:space="preserve"> </w:t>
            </w:r>
            <w:r w:rsidRPr="0053423A">
              <w:rPr>
                <w:rFonts w:cs="Sylfaen"/>
                <w:lang w:val="hy-AM"/>
              </w:rPr>
              <w:t>գտնվում</w:t>
            </w:r>
            <w:r w:rsidRPr="0053423A">
              <w:rPr>
                <w:lang w:val="hy-AM"/>
              </w:rPr>
              <w:t xml:space="preserve"> </w:t>
            </w:r>
            <w:r w:rsidRPr="0053423A">
              <w:rPr>
                <w:rFonts w:cs="Sylfaen"/>
                <w:lang w:val="hy-AM"/>
              </w:rPr>
              <w:t>են</w:t>
            </w:r>
            <w:r w:rsidRPr="0053423A">
              <w:rPr>
                <w:lang w:val="hy-AM"/>
              </w:rPr>
              <w:t xml:space="preserve"> </w:t>
            </w:r>
            <w:r w:rsidRPr="0053423A">
              <w:rPr>
                <w:rFonts w:cs="Sylfaen"/>
                <w:lang w:val="hy-AM"/>
              </w:rPr>
              <w:t>անբարեկարգ</w:t>
            </w:r>
            <w:r w:rsidRPr="0053423A">
              <w:rPr>
                <w:lang w:val="hy-AM"/>
              </w:rPr>
              <w:t xml:space="preserve"> </w:t>
            </w:r>
            <w:r w:rsidRPr="0053423A">
              <w:rPr>
                <w:rFonts w:cs="Sylfaen"/>
                <w:lang w:val="hy-AM"/>
              </w:rPr>
              <w:t>վիճակում և հիմնանորոգման կարիք ունեն:</w:t>
            </w:r>
          </w:p>
          <w:p w:rsidR="00764E6F" w:rsidRPr="0053423A" w:rsidRDefault="00764E6F" w:rsidP="00A67858">
            <w:pPr>
              <w:spacing w:line="276" w:lineRule="auto"/>
              <w:jc w:val="both"/>
              <w:rPr>
                <w:rFonts w:cs="Sylfaen"/>
                <w:lang w:val="hy-AM"/>
              </w:rPr>
            </w:pPr>
            <w:r w:rsidRPr="0053423A">
              <w:rPr>
                <w:rFonts w:cs="Sylfaen"/>
                <w:lang w:val="hy-AM"/>
              </w:rPr>
              <w:t xml:space="preserve">    Ուստի</w:t>
            </w:r>
            <w:r w:rsidRPr="0053423A">
              <w:rPr>
                <w:lang w:val="hy-AM"/>
              </w:rPr>
              <w:t>, ա</w:t>
            </w:r>
            <w:r w:rsidRPr="0053423A">
              <w:rPr>
                <w:rFonts w:cs="Sylfaen"/>
                <w:lang w:val="hy-AM"/>
              </w:rPr>
              <w:t>ռկա մահճակալների</w:t>
            </w:r>
            <w:r w:rsidRPr="0053423A">
              <w:rPr>
                <w:rFonts w:cs="Sylfaen"/>
                <w:lang w:val="af-ZA"/>
              </w:rPr>
              <w:t xml:space="preserve"> </w:t>
            </w:r>
            <w:r w:rsidRPr="0053423A">
              <w:rPr>
                <w:rFonts w:cs="Sylfaen"/>
                <w:lang w:val="hy-AM"/>
              </w:rPr>
              <w:t>զբաղվածության</w:t>
            </w:r>
            <w:r w:rsidRPr="0053423A">
              <w:rPr>
                <w:rFonts w:cs="Sylfaen"/>
                <w:lang w:val="af-ZA"/>
              </w:rPr>
              <w:t xml:space="preserve"> </w:t>
            </w:r>
            <w:r w:rsidRPr="0053423A">
              <w:rPr>
                <w:rFonts w:cs="Sylfaen"/>
                <w:lang w:val="hy-AM"/>
              </w:rPr>
              <w:t xml:space="preserve">պարագայում նպատակահարմար է </w:t>
            </w:r>
            <w:r w:rsidRPr="0053423A">
              <w:rPr>
                <w:rFonts w:cs="Sylfaen"/>
                <w:b/>
                <w:lang w:val="hy-AM"/>
              </w:rPr>
              <w:t>կրկին</w:t>
            </w:r>
            <w:r w:rsidRPr="0053423A">
              <w:rPr>
                <w:rFonts w:cs="Sylfaen"/>
                <w:b/>
                <w:vertAlign w:val="superscript"/>
              </w:rPr>
              <w:footnoteReference w:id="2"/>
            </w:r>
            <w:r w:rsidRPr="0053423A">
              <w:rPr>
                <w:rFonts w:cs="Sylfaen"/>
                <w:b/>
                <w:lang w:val="af-ZA"/>
              </w:rPr>
              <w:t xml:space="preserve"> </w:t>
            </w:r>
            <w:r w:rsidRPr="0053423A">
              <w:rPr>
                <w:rFonts w:cs="Sylfaen"/>
                <w:b/>
                <w:lang w:val="hy-AM"/>
              </w:rPr>
              <w:t>օպտիմալացնել</w:t>
            </w:r>
            <w:r w:rsidRPr="0053423A">
              <w:rPr>
                <w:rFonts w:cs="Sylfaen"/>
                <w:b/>
                <w:lang w:val="af-ZA"/>
              </w:rPr>
              <w:t xml:space="preserve"> </w:t>
            </w:r>
            <w:r w:rsidRPr="0053423A">
              <w:rPr>
                <w:rFonts w:cs="Sylfaen"/>
                <w:lang w:val="hy-AM"/>
              </w:rPr>
              <w:t>մահճակալային</w:t>
            </w:r>
            <w:r w:rsidRPr="0053423A">
              <w:rPr>
                <w:rFonts w:cs="Sylfaen"/>
                <w:lang w:val="af-ZA"/>
              </w:rPr>
              <w:t xml:space="preserve"> </w:t>
            </w:r>
            <w:r w:rsidRPr="0053423A">
              <w:rPr>
                <w:rFonts w:cs="Sylfaen"/>
                <w:lang w:val="hy-AM"/>
              </w:rPr>
              <w:t>ֆոնդը՝</w:t>
            </w:r>
            <w:r w:rsidRPr="0053423A">
              <w:rPr>
                <w:rFonts w:cs="Sylfaen"/>
                <w:b/>
                <w:lang w:val="af-ZA"/>
              </w:rPr>
              <w:t xml:space="preserve"> </w:t>
            </w:r>
            <w:r w:rsidRPr="0053423A">
              <w:rPr>
                <w:rFonts w:cs="Sylfaen"/>
                <w:b/>
                <w:lang w:val="hy-AM"/>
              </w:rPr>
              <w:t>մինչև</w:t>
            </w:r>
            <w:r w:rsidRPr="0053423A">
              <w:rPr>
                <w:rFonts w:cs="Sylfaen"/>
                <w:b/>
                <w:lang w:val="af-ZA"/>
              </w:rPr>
              <w:t xml:space="preserve"> 55 </w:t>
            </w:r>
            <w:r w:rsidRPr="0053423A">
              <w:rPr>
                <w:rFonts w:cs="Sylfaen"/>
                <w:b/>
                <w:lang w:val="hy-AM"/>
              </w:rPr>
              <w:t>մահճակալ</w:t>
            </w:r>
            <w:r w:rsidRPr="0053423A">
              <w:rPr>
                <w:rFonts w:cs="Sylfaen"/>
                <w:lang w:val="af-ZA"/>
              </w:rPr>
              <w:t>, ինչպես նաև</w:t>
            </w:r>
            <w:r w:rsidRPr="0053423A">
              <w:rPr>
                <w:rFonts w:cs="Sylfaen"/>
                <w:b/>
                <w:lang w:val="af-ZA"/>
              </w:rPr>
              <w:t xml:space="preserve"> </w:t>
            </w:r>
            <w:r w:rsidRPr="0053423A">
              <w:rPr>
                <w:rFonts w:cs="Sylfaen"/>
                <w:b/>
                <w:lang w:val="hy-AM"/>
              </w:rPr>
              <w:t>հիվանդանոցային ու ամբուլատոր բոլոր ծառայությունները տեղադրելով մեկ</w:t>
            </w:r>
            <w:r w:rsidRPr="0053423A">
              <w:rPr>
                <w:rFonts w:cs="Sylfaen"/>
                <w:b/>
                <w:lang w:val="af-ZA"/>
              </w:rPr>
              <w:t xml:space="preserve"> </w:t>
            </w:r>
            <w:r w:rsidRPr="0053423A">
              <w:rPr>
                <w:rFonts w:cs="Sylfaen"/>
                <w:b/>
                <w:lang w:val="hy-AM"/>
              </w:rPr>
              <w:t>մասնաշենքում՝</w:t>
            </w:r>
            <w:r w:rsidRPr="0053423A">
              <w:rPr>
                <w:rFonts w:cs="Sylfaen"/>
                <w:b/>
                <w:lang w:val="af-ZA"/>
              </w:rPr>
              <w:t xml:space="preserve"> վերակառուցել վերջինս</w:t>
            </w:r>
            <w:r w:rsidRPr="0053423A">
              <w:rPr>
                <w:rFonts w:cs="Sylfaen"/>
                <w:b/>
                <w:lang w:val="hy-AM"/>
              </w:rPr>
              <w:t xml:space="preserve">, </w:t>
            </w:r>
            <w:r w:rsidRPr="0053423A">
              <w:rPr>
                <w:rFonts w:cs="Sylfaen"/>
                <w:lang w:val="hy-AM"/>
              </w:rPr>
              <w:t>զբաղեցնելով ընդամենը շուրջ</w:t>
            </w:r>
            <w:r w:rsidRPr="0053423A">
              <w:rPr>
                <w:rFonts w:cs="Sylfaen"/>
                <w:b/>
                <w:lang w:val="hy-AM"/>
              </w:rPr>
              <w:t xml:space="preserve"> </w:t>
            </w:r>
            <w:r w:rsidRPr="0053423A">
              <w:rPr>
                <w:rFonts w:cs="Sylfaen"/>
                <w:b/>
                <w:lang w:val="af-ZA"/>
              </w:rPr>
              <w:t>4,300</w:t>
            </w:r>
            <w:r w:rsidRPr="0053423A">
              <w:rPr>
                <w:rFonts w:cs="Sylfaen"/>
                <w:b/>
                <w:lang w:val="hy-AM"/>
              </w:rPr>
              <w:t xml:space="preserve">քմ </w:t>
            </w:r>
            <w:r w:rsidRPr="0053423A">
              <w:rPr>
                <w:rFonts w:cs="Sylfaen"/>
                <w:lang w:val="hy-AM"/>
              </w:rPr>
              <w:t xml:space="preserve">տարածք: </w:t>
            </w:r>
          </w:p>
          <w:p w:rsidR="00764E6F" w:rsidRPr="0053423A" w:rsidRDefault="00764E6F" w:rsidP="00A67858">
            <w:pPr>
              <w:spacing w:line="276" w:lineRule="auto"/>
              <w:jc w:val="both"/>
              <w:rPr>
                <w:rFonts w:cs="Sylfaen"/>
                <w:lang w:val="hy-AM"/>
              </w:rPr>
            </w:pPr>
            <w:r w:rsidRPr="0053423A">
              <w:rPr>
                <w:rFonts w:cs="Sylfaen"/>
                <w:lang w:val="hy-AM"/>
              </w:rPr>
              <w:t xml:space="preserve">    Նշված միջոցառումների գնահատված արժեքը կազմում է շուրջ՝ 1,253.8 մլն ՀՀ դրամ, որից  նախագծանախահաշվային փաստաթղթերի մշակում՝ շուրջ 33.8 մլն ՀՀ դրամ, շինարարական աշխատանքներ՝ շուրջ 1,220.0 մլն ՀՀ դրամ: Նախատեսված ժամանակաշրջանում կիրականացվեն  նախագծանախահաշվային փաստաթղթերի մշակման աշխատանքները, իսկ քննարկվող ժամանակաշրջանի ավարտին, մեկնարկեն շինարարական աշխատանքները:</w:t>
            </w:r>
          </w:p>
          <w:p w:rsidR="00764E6F" w:rsidRPr="0053423A" w:rsidRDefault="00764E6F" w:rsidP="00A67858">
            <w:pPr>
              <w:spacing w:line="276" w:lineRule="auto"/>
              <w:jc w:val="both"/>
              <w:rPr>
                <w:b/>
                <w:lang w:val="hy-AM"/>
              </w:rPr>
            </w:pPr>
          </w:p>
        </w:tc>
      </w:tr>
      <w:tr w:rsidR="00764E6F" w:rsidRPr="00DE2EFA" w:rsidTr="009843B0">
        <w:tc>
          <w:tcPr>
            <w:tcW w:w="630" w:type="dxa"/>
          </w:tcPr>
          <w:p w:rsidR="00764E6F" w:rsidRPr="0053423A" w:rsidRDefault="008B3845" w:rsidP="00A67858">
            <w:pPr>
              <w:spacing w:line="276" w:lineRule="auto"/>
              <w:jc w:val="center"/>
            </w:pPr>
            <w:r w:rsidRPr="0053423A">
              <w:rPr>
                <w:lang w:val="hy-AM"/>
              </w:rPr>
              <w:t>2</w:t>
            </w:r>
            <w:r w:rsidR="00764E6F" w:rsidRPr="0053423A">
              <w:t>9</w:t>
            </w:r>
          </w:p>
        </w:tc>
        <w:tc>
          <w:tcPr>
            <w:tcW w:w="10878" w:type="dxa"/>
          </w:tcPr>
          <w:p w:rsidR="00764E6F" w:rsidRPr="0053423A" w:rsidRDefault="008B3845" w:rsidP="00A67858">
            <w:pPr>
              <w:spacing w:line="276" w:lineRule="auto"/>
              <w:jc w:val="center"/>
              <w:rPr>
                <w:rFonts w:cs="IRTEK Courier"/>
                <w:b/>
                <w:lang w:val="hy-AM"/>
              </w:rPr>
            </w:pPr>
            <w:r w:rsidRPr="0053423A">
              <w:rPr>
                <w:rFonts w:cs="IRTEK Courier"/>
                <w:b/>
                <w:lang w:val="hy-AM"/>
              </w:rPr>
              <w:t>2</w:t>
            </w:r>
            <w:r w:rsidR="00764E6F" w:rsidRPr="0053423A">
              <w:rPr>
                <w:rFonts w:cs="IRTEK Courier"/>
                <w:b/>
              </w:rPr>
              <w:t xml:space="preserve">9.1 </w:t>
            </w:r>
            <w:r w:rsidR="00764E6F" w:rsidRPr="0053423A">
              <w:rPr>
                <w:rFonts w:cs="IRTEK Courier"/>
                <w:b/>
                <w:lang w:val="hy-AM"/>
              </w:rPr>
              <w:t xml:space="preserve">«Մարզային բժշկական կենտրոնների կոնցեսիոն կառավարման հանձնման միջոցառումների ծրագիրը հաստատելու մասին» Կառավարության որոշման նախագիծը վարչապետի աշխատակազմ ներկայացնելը </w:t>
            </w:r>
          </w:p>
          <w:p w:rsidR="00764E6F" w:rsidRPr="0053423A" w:rsidRDefault="00764E6F" w:rsidP="00A67858">
            <w:pPr>
              <w:spacing w:line="276" w:lineRule="auto"/>
              <w:jc w:val="center"/>
              <w:rPr>
                <w:rFonts w:cs="IRTEK Courier"/>
                <w:b/>
              </w:rPr>
            </w:pPr>
          </w:p>
          <w:p w:rsidR="00764E6F" w:rsidRPr="0053423A" w:rsidRDefault="00764E6F" w:rsidP="00A67858">
            <w:pPr>
              <w:tabs>
                <w:tab w:val="left" w:pos="557"/>
              </w:tabs>
              <w:spacing w:line="276" w:lineRule="auto"/>
              <w:rPr>
                <w:rFonts w:cs="IRTEK Courier"/>
                <w:b/>
              </w:rPr>
            </w:pPr>
            <w:r w:rsidRPr="0053423A">
              <w:rPr>
                <w:rFonts w:cs="IRTEK Courier"/>
                <w:b/>
              </w:rPr>
              <w:t xml:space="preserve">   </w:t>
            </w:r>
            <w:r w:rsidRPr="0053423A">
              <w:rPr>
                <w:rFonts w:cs="IRTEK Courier"/>
                <w:b/>
                <w:lang w:val="hy-AM"/>
              </w:rPr>
              <w:t>1.</w:t>
            </w:r>
            <w:r w:rsidRPr="0053423A">
              <w:rPr>
                <w:rFonts w:cs="IRTEK Courier"/>
                <w:b/>
                <w:lang w:val="hy-AM"/>
              </w:rPr>
              <w:tab/>
              <w:t>Միջոցառման իրակա</w:t>
            </w:r>
            <w:r w:rsidRPr="0053423A">
              <w:rPr>
                <w:rFonts w:cs="IRTEK Courier"/>
                <w:b/>
              </w:rPr>
              <w:t>նա</w:t>
            </w:r>
            <w:r w:rsidRPr="0053423A">
              <w:rPr>
                <w:rFonts w:cs="IRTEK Courier"/>
                <w:b/>
                <w:lang w:val="hy-AM"/>
              </w:rPr>
              <w:t>ցման անհրաժեշտությունը և նպատակը</w:t>
            </w:r>
          </w:p>
          <w:p w:rsidR="00764E6F" w:rsidRPr="0053423A" w:rsidRDefault="00764E6F" w:rsidP="00A67858">
            <w:pPr>
              <w:tabs>
                <w:tab w:val="left" w:pos="557"/>
              </w:tabs>
              <w:spacing w:line="276" w:lineRule="auto"/>
              <w:jc w:val="both"/>
              <w:rPr>
                <w:rFonts w:cs="IRTEK Courier"/>
                <w:lang w:val="hy-AM"/>
              </w:rPr>
            </w:pPr>
            <w:r w:rsidRPr="0053423A">
              <w:rPr>
                <w:rFonts w:cs="IRTEK Courier"/>
                <w:lang w:val="hy-AM"/>
              </w:rPr>
              <w:t xml:space="preserve">   Բժշկական կենտրոնների կոնցեսիոն կառավարման հանձնման աշխատանքների իրականացումը բխում է մարզային բնակչության բժշկական օգնության և սպասարկման արդյունավետության բարձրացման  անհրաժեշտությունից:</w:t>
            </w:r>
          </w:p>
          <w:p w:rsidR="00764E6F" w:rsidRPr="0053423A" w:rsidRDefault="00764E6F" w:rsidP="00A67858">
            <w:pPr>
              <w:tabs>
                <w:tab w:val="left" w:pos="557"/>
              </w:tabs>
              <w:spacing w:line="276" w:lineRule="auto"/>
              <w:jc w:val="both"/>
              <w:rPr>
                <w:rFonts w:cs="IRTEK Courier"/>
                <w:lang w:val="hy-AM"/>
              </w:rPr>
            </w:pPr>
          </w:p>
          <w:p w:rsidR="00764E6F" w:rsidRPr="0053423A" w:rsidRDefault="00764E6F" w:rsidP="00A67858">
            <w:pPr>
              <w:tabs>
                <w:tab w:val="left" w:pos="557"/>
              </w:tabs>
              <w:spacing w:line="276" w:lineRule="auto"/>
              <w:rPr>
                <w:rFonts w:cs="IRTEK Courier"/>
                <w:b/>
                <w:lang w:val="hy-AM"/>
              </w:rPr>
            </w:pPr>
            <w:r w:rsidRPr="0053423A">
              <w:rPr>
                <w:rFonts w:cs="IRTEK Courier"/>
                <w:b/>
                <w:lang w:val="hy-AM"/>
              </w:rPr>
              <w:t xml:space="preserve">   1.1.</w:t>
            </w:r>
            <w:r w:rsidRPr="0053423A">
              <w:rPr>
                <w:rFonts w:cs="IRTEK Courier"/>
                <w:b/>
                <w:lang w:val="hy-AM"/>
              </w:rPr>
              <w:tab/>
              <w:t>Կարգավորման հարաբերությունների ներկա վիճակը և առկա խնդիրները</w:t>
            </w:r>
          </w:p>
          <w:p w:rsidR="00764E6F" w:rsidRPr="0053423A" w:rsidRDefault="00764E6F" w:rsidP="00A67858">
            <w:pPr>
              <w:tabs>
                <w:tab w:val="left" w:pos="557"/>
              </w:tabs>
              <w:spacing w:line="276" w:lineRule="auto"/>
              <w:jc w:val="both"/>
              <w:rPr>
                <w:rFonts w:cs="IRTEK Courier"/>
                <w:lang w:val="hy-AM"/>
              </w:rPr>
            </w:pPr>
            <w:r w:rsidRPr="0053423A">
              <w:rPr>
                <w:rFonts w:cs="IRTEK Courier"/>
                <w:lang w:val="hy-AM"/>
              </w:rPr>
              <w:t xml:space="preserve">   Վերջին տարիներին ՀՀ մարզերում գործող բժշկական կազմակերպությունների արդիականացման ուղղությամբ կառավարության կողմից իրականացվել են զգալի ներդրումներ, մասնավորապես` կառուցվել կամ հիմնանորոգվել են շուրջ 15 մարզային բժշկական հաստատություն, որոնք հագեցվել են արդի բժշկական սարքավորումներով, անհրաժեշտ կահույքով և պարագաներով: Այնուամենայնիվ, շատ դեպքերում անգամ այդ բժշկական կենտրոնները գործում են թերծանրաբեռնված, ցածր է տեղում` սեփական բնակավայրին մոտ բուժում ստացող մարզային բնակչության տեսակարար կշիռը, ցածր են մարզերում բժշկական կադրերով հագեցվածության ցուցանիշները, մասնավորապես` մարզերում աշխատում են բժիշկների ընդամենը շուրջ 29%-ը, միջին բուժանձնակազմի համապատասխան ցուցանիշը կազմում է 51%, մարզային բժշկական հաստատությունների գործունեության կառուցվածքում գերակշռում է թերապևտիկ ծառայությունը (ՀՀ մարզային բժշկական հաստատություններում իրականացվում է վիրահատությունների ընդհանուր թվի ընդամենը 23,6%-ը):  Մարզային բժշկական հաստատություններում եկամուտների ընդհանուր կառուցվածքում ցածր է նաև (միջինում շուրջ 10%) վճարովի ծառայությունների տեսակարար կշիռը:</w:t>
            </w:r>
          </w:p>
          <w:p w:rsidR="00764E6F" w:rsidRPr="0053423A" w:rsidRDefault="00764E6F" w:rsidP="00A67858">
            <w:pPr>
              <w:tabs>
                <w:tab w:val="left" w:pos="557"/>
              </w:tabs>
              <w:spacing w:line="276" w:lineRule="auto"/>
              <w:rPr>
                <w:rFonts w:cs="IRTEK Courier"/>
                <w:b/>
                <w:lang w:val="hy-AM"/>
              </w:rPr>
            </w:pPr>
            <w:r w:rsidRPr="0053423A">
              <w:rPr>
                <w:rFonts w:cs="IRTEK Courier"/>
                <w:b/>
                <w:lang w:val="hy-AM"/>
              </w:rPr>
              <w:t xml:space="preserve">   1.2.</w:t>
            </w:r>
            <w:r w:rsidRPr="0053423A">
              <w:rPr>
                <w:rFonts w:cs="IRTEK Courier"/>
                <w:b/>
                <w:lang w:val="hy-AM"/>
              </w:rPr>
              <w:tab/>
              <w:t xml:space="preserve"> Առկա խնդիրների առաջարկվող լուծումները</w:t>
            </w:r>
          </w:p>
          <w:p w:rsidR="00764E6F" w:rsidRPr="0053423A" w:rsidRDefault="00764E6F" w:rsidP="00A67858">
            <w:pPr>
              <w:tabs>
                <w:tab w:val="left" w:pos="557"/>
              </w:tabs>
              <w:spacing w:line="276" w:lineRule="auto"/>
              <w:jc w:val="both"/>
              <w:rPr>
                <w:rFonts w:cs="IRTEK Courier"/>
                <w:lang w:val="hy-AM"/>
              </w:rPr>
            </w:pPr>
            <w:r w:rsidRPr="0053423A">
              <w:rPr>
                <w:rFonts w:cs="IRTEK Courier"/>
                <w:lang w:val="hy-AM"/>
              </w:rPr>
              <w:t xml:space="preserve">   Կոնցեսիոն կառավարման մոդելը, որը ենթադրում է գույքի առևտրային շահագործման իրավունքի փոխանցում կոնցեսիոներին, համարվում է քաղաքական տեսանկյունից առավել օպտիմալ մոդել, քանի որ, ի տարբերություն մասնավորեցմանը, գույքը շարունակում է մնալ պետության սեփականություն:</w:t>
            </w:r>
          </w:p>
          <w:p w:rsidR="00764E6F" w:rsidRPr="0053423A" w:rsidRDefault="00764E6F" w:rsidP="00A67858">
            <w:pPr>
              <w:tabs>
                <w:tab w:val="left" w:pos="557"/>
              </w:tabs>
              <w:spacing w:line="276" w:lineRule="auto"/>
              <w:jc w:val="both"/>
              <w:rPr>
                <w:rFonts w:cs="IRTEK Courier"/>
                <w:lang w:val="hy-AM"/>
              </w:rPr>
            </w:pPr>
            <w:r w:rsidRPr="0053423A">
              <w:rPr>
                <w:rFonts w:cs="IRTEK Courier"/>
                <w:lang w:val="hy-AM"/>
              </w:rPr>
              <w:t xml:space="preserve">Մարզերում գործող բժշկական հաստատությունների սպասարկման որակի բարելավման, կազմակերպությունների արդյունավետ կառավարման, բուժ. անձնակազմի հաստիքների համալրման, եկամտաբերության ապահովման տեսանկյունից առավել նպատակահարմար տարբերակը դրանք կոնցեսիոն պայմանագրի համաձայն կառավարման հանձնելն է: </w:t>
            </w:r>
          </w:p>
          <w:p w:rsidR="00764E6F" w:rsidRPr="0053423A" w:rsidRDefault="00764E6F" w:rsidP="00A67858">
            <w:pPr>
              <w:tabs>
                <w:tab w:val="left" w:pos="557"/>
              </w:tabs>
              <w:spacing w:line="276" w:lineRule="auto"/>
              <w:jc w:val="both"/>
              <w:rPr>
                <w:rFonts w:cs="IRTEK Courier"/>
                <w:lang w:val="hy-AM"/>
              </w:rPr>
            </w:pPr>
            <w:r w:rsidRPr="0053423A">
              <w:rPr>
                <w:rFonts w:cs="IRTEK Courier"/>
                <w:lang w:val="hy-AM"/>
              </w:rPr>
              <w:t xml:space="preserve">   Առաջարկվում է պիլոտային կարգով կոնցեսիոն կառավարմանը հանձնել պետության կողմից արդիականացված 2 մարզային բժշկական կենտրոն: Այնուհետև, կոնցեսիոն կառավարման հաձնման գործընթացը նախատեսվում է դադարեցնել 1 տարով, որի ընթացքում հավաքագրված բժշկական կենտրոնների բժշկական և ֆինանսական տվյալների հիման վրա կկատարվի վերլուծություն և որոշում կկայացվի հետագայում պետական բժշկական կենտրոնների կոնցեսիոն կառավարման հանձման նպատակահարմարությունը:</w:t>
            </w:r>
          </w:p>
          <w:p w:rsidR="00764E6F" w:rsidRPr="0053423A" w:rsidRDefault="00764E6F" w:rsidP="00A67858">
            <w:pPr>
              <w:tabs>
                <w:tab w:val="left" w:pos="557"/>
              </w:tabs>
              <w:spacing w:line="276" w:lineRule="auto"/>
              <w:jc w:val="both"/>
              <w:rPr>
                <w:rFonts w:cs="IRTEK Courier"/>
                <w:lang w:val="hy-AM"/>
              </w:rPr>
            </w:pPr>
            <w:r w:rsidRPr="0053423A">
              <w:rPr>
                <w:rFonts w:cs="IRTEK Courier"/>
                <w:lang w:val="hy-AM"/>
              </w:rPr>
              <w:t xml:space="preserve">   Նախատեսվում է մշակված փաստաթղթերը և իրականացվող միջոցառումները քննարկել և կարծիք ստանալ բոլոր շահագրգիռ կառույցներից, մասնավորապես, Տարածքային կառավարման և զարգացման նախարարությունից, Տնտեսական զարգացման և ներդրումների նախարարությունից, Արդարադատության նախարարությունից և ՀՀ մարզպետարաններից:</w:t>
            </w:r>
          </w:p>
          <w:p w:rsidR="00764E6F" w:rsidRPr="0053423A" w:rsidRDefault="00764E6F" w:rsidP="00A67858">
            <w:pPr>
              <w:tabs>
                <w:tab w:val="left" w:pos="557"/>
              </w:tabs>
              <w:spacing w:line="276" w:lineRule="auto"/>
              <w:jc w:val="both"/>
              <w:rPr>
                <w:rFonts w:cs="IRTEK Courier"/>
                <w:lang w:val="hy-AM"/>
              </w:rPr>
            </w:pPr>
          </w:p>
          <w:p w:rsidR="00764E6F" w:rsidRPr="0053423A" w:rsidRDefault="00764E6F" w:rsidP="00A67858">
            <w:pPr>
              <w:tabs>
                <w:tab w:val="left" w:pos="557"/>
              </w:tabs>
              <w:spacing w:line="276" w:lineRule="auto"/>
              <w:rPr>
                <w:rFonts w:cs="IRTEK Courier"/>
                <w:b/>
                <w:lang w:val="hy-AM"/>
              </w:rPr>
            </w:pPr>
            <w:r w:rsidRPr="0053423A">
              <w:rPr>
                <w:rFonts w:cs="IRTEK Courier"/>
                <w:b/>
                <w:lang w:val="hy-AM"/>
              </w:rPr>
              <w:t xml:space="preserve">   2.</w:t>
            </w:r>
            <w:r w:rsidRPr="0053423A">
              <w:rPr>
                <w:rFonts w:cs="IRTEK Courier"/>
                <w:b/>
                <w:lang w:val="hy-AM"/>
              </w:rPr>
              <w:tab/>
              <w:t>Միջոցառման իրականացումից ակնկալվող արդյունքը</w:t>
            </w:r>
          </w:p>
          <w:p w:rsidR="00764E6F" w:rsidRPr="0053423A" w:rsidRDefault="00764E6F" w:rsidP="00A67858">
            <w:pPr>
              <w:tabs>
                <w:tab w:val="left" w:pos="557"/>
              </w:tabs>
              <w:spacing w:line="276" w:lineRule="auto"/>
              <w:jc w:val="both"/>
              <w:rPr>
                <w:rFonts w:cs="IRTEK Courier"/>
                <w:lang w:val="hy-AM"/>
              </w:rPr>
            </w:pPr>
            <w:r w:rsidRPr="0053423A">
              <w:rPr>
                <w:rFonts w:cs="IRTEK Courier"/>
                <w:lang w:val="hy-AM"/>
              </w:rPr>
              <w:t xml:space="preserve">   Հաշվի առնելով մարզային բժշկական կենտրոններում առկա խնդիրների և պետություն-մասնավոր սեկտոր համագործակցության առավելությունները` մարզերում գործող բժշկական կենտրոնների կոնցեսիոն կառավարման հանձնելու արդյունքում ակնկալվում է.</w:t>
            </w:r>
          </w:p>
          <w:p w:rsidR="00764E6F" w:rsidRPr="0053423A" w:rsidRDefault="00764E6F" w:rsidP="00A67858">
            <w:pPr>
              <w:tabs>
                <w:tab w:val="left" w:pos="557"/>
              </w:tabs>
              <w:spacing w:line="276" w:lineRule="auto"/>
              <w:jc w:val="both"/>
              <w:rPr>
                <w:rFonts w:cs="IRTEK Courier"/>
                <w:lang w:val="hy-AM"/>
              </w:rPr>
            </w:pPr>
            <w:r w:rsidRPr="0053423A">
              <w:rPr>
                <w:rFonts w:cs="IRTEK Courier"/>
                <w:lang w:val="hy-AM"/>
              </w:rPr>
              <w:t>•</w:t>
            </w:r>
            <w:r w:rsidRPr="0053423A">
              <w:rPr>
                <w:rFonts w:cs="IRTEK Courier"/>
                <w:lang w:val="hy-AM"/>
              </w:rPr>
              <w:tab/>
              <w:t>առավել լայն տարածված հիվանդությունների վաղ հայտնաբերման աճ,</w:t>
            </w:r>
          </w:p>
          <w:p w:rsidR="00764E6F" w:rsidRPr="0053423A" w:rsidRDefault="00764E6F" w:rsidP="00A67858">
            <w:pPr>
              <w:tabs>
                <w:tab w:val="left" w:pos="557"/>
              </w:tabs>
              <w:spacing w:line="276" w:lineRule="auto"/>
              <w:jc w:val="both"/>
              <w:rPr>
                <w:rFonts w:cs="IRTEK Courier"/>
                <w:lang w:val="hy-AM"/>
              </w:rPr>
            </w:pPr>
            <w:r w:rsidRPr="0053423A">
              <w:rPr>
                <w:rFonts w:cs="IRTEK Courier"/>
                <w:lang w:val="hy-AM"/>
              </w:rPr>
              <w:t>•</w:t>
            </w:r>
            <w:r w:rsidRPr="0053423A">
              <w:rPr>
                <w:rFonts w:cs="IRTEK Courier"/>
                <w:lang w:val="hy-AM"/>
              </w:rPr>
              <w:tab/>
              <w:t>բժշկական ծառայությունների սպառման ավելացում` սեփական բնակավայրի մոտ,</w:t>
            </w:r>
          </w:p>
          <w:p w:rsidR="00764E6F" w:rsidRPr="0053423A" w:rsidRDefault="00764E6F" w:rsidP="00A67858">
            <w:pPr>
              <w:tabs>
                <w:tab w:val="left" w:pos="557"/>
              </w:tabs>
              <w:spacing w:line="276" w:lineRule="auto"/>
              <w:jc w:val="both"/>
              <w:rPr>
                <w:rFonts w:cs="IRTEK Courier"/>
                <w:lang w:val="hy-AM"/>
              </w:rPr>
            </w:pPr>
            <w:r w:rsidRPr="0053423A">
              <w:rPr>
                <w:rFonts w:cs="IRTEK Courier"/>
                <w:lang w:val="hy-AM"/>
              </w:rPr>
              <w:t>•</w:t>
            </w:r>
            <w:r w:rsidRPr="0053423A">
              <w:rPr>
                <w:rFonts w:cs="IRTEK Courier"/>
                <w:lang w:val="hy-AM"/>
              </w:rPr>
              <w:tab/>
              <w:t>մարզերում բժշկական կադրերով համալրման խնդրի լուծում,</w:t>
            </w:r>
          </w:p>
          <w:p w:rsidR="00764E6F" w:rsidRPr="0053423A" w:rsidRDefault="00764E6F" w:rsidP="00A67858">
            <w:pPr>
              <w:tabs>
                <w:tab w:val="left" w:pos="557"/>
              </w:tabs>
              <w:spacing w:line="276" w:lineRule="auto"/>
              <w:jc w:val="both"/>
              <w:rPr>
                <w:rFonts w:cs="IRTEK Courier"/>
                <w:lang w:val="hy-AM"/>
              </w:rPr>
            </w:pPr>
            <w:r w:rsidRPr="0053423A">
              <w:rPr>
                <w:rFonts w:cs="IRTEK Courier"/>
                <w:lang w:val="hy-AM"/>
              </w:rPr>
              <w:t>•</w:t>
            </w:r>
            <w:r w:rsidRPr="0053423A">
              <w:rPr>
                <w:rFonts w:cs="IRTEK Courier"/>
                <w:lang w:val="hy-AM"/>
              </w:rPr>
              <w:tab/>
              <w:t>պետության կողմից կատարված ներդրումների երկարակեցության ապահովում` իրականացնելով սարքավորումների սերոնդափոխությունը կոնցեսիոների կողմից հատկացվող ամորտիզացիոն ծախսերի հիման վրա:</w:t>
            </w:r>
          </w:p>
          <w:p w:rsidR="00764E6F" w:rsidRPr="0053423A" w:rsidRDefault="00764E6F" w:rsidP="00A67858">
            <w:pPr>
              <w:spacing w:line="276" w:lineRule="auto"/>
              <w:jc w:val="both"/>
              <w:rPr>
                <w:b/>
                <w:lang w:val="hy-AM"/>
              </w:rPr>
            </w:pPr>
            <w:r w:rsidRPr="0053423A">
              <w:rPr>
                <w:rFonts w:cs="IRTEK Courier"/>
                <w:lang w:val="hy-AM"/>
              </w:rPr>
              <w:t xml:space="preserve">   Նախագծի ընդունումը կնպաստի բժշկական կազմակերպությունների գույքը կոնցեսիոն կառավարման հանձնելու նպատակով հայտարարվող մրցույթների հայտարարմանը, անցկացմանը և ամփոփմանը ՀՀ օրենքով սահմանված կարգով,  մրցութային հանձնաժողովի կողմից հնարավորինս փորձառու, սահմանված չափանիշներին բավարարող և տվյալ մարզում կոնցեսիոն կառավարման հանձնվող բժշկական կազմակերպության առավել արդյունավետ գործունեություն ապահովող կոնցեսիոների ընտրությանը:</w:t>
            </w:r>
          </w:p>
        </w:tc>
      </w:tr>
      <w:tr w:rsidR="00764E6F" w:rsidRPr="00DE2EFA" w:rsidTr="009843B0">
        <w:tc>
          <w:tcPr>
            <w:tcW w:w="630" w:type="dxa"/>
          </w:tcPr>
          <w:p w:rsidR="00764E6F" w:rsidRPr="0053423A" w:rsidRDefault="008B3845" w:rsidP="00A67858">
            <w:pPr>
              <w:tabs>
                <w:tab w:val="left" w:pos="192"/>
              </w:tabs>
              <w:spacing w:line="276" w:lineRule="auto"/>
              <w:jc w:val="both"/>
            </w:pPr>
            <w:r w:rsidRPr="0053423A">
              <w:rPr>
                <w:lang w:val="hy-AM"/>
              </w:rPr>
              <w:t>3</w:t>
            </w:r>
            <w:r w:rsidR="00764E6F" w:rsidRPr="0053423A">
              <w:t>0</w:t>
            </w:r>
          </w:p>
        </w:tc>
        <w:tc>
          <w:tcPr>
            <w:tcW w:w="10878" w:type="dxa"/>
          </w:tcPr>
          <w:p w:rsidR="00764E6F" w:rsidRPr="0053423A" w:rsidRDefault="008B3845" w:rsidP="00A67858">
            <w:pPr>
              <w:tabs>
                <w:tab w:val="left" w:pos="190"/>
              </w:tabs>
              <w:spacing w:line="276" w:lineRule="auto"/>
              <w:jc w:val="center"/>
              <w:rPr>
                <w:rFonts w:cs="IRTEK Courier"/>
                <w:b/>
                <w:lang w:val="af-ZA"/>
              </w:rPr>
            </w:pPr>
            <w:r w:rsidRPr="0053423A">
              <w:rPr>
                <w:rFonts w:cs="IRTEK Courier"/>
                <w:b/>
                <w:lang w:val="hy-AM"/>
              </w:rPr>
              <w:t>3</w:t>
            </w:r>
            <w:r w:rsidR="00764E6F" w:rsidRPr="0053423A">
              <w:rPr>
                <w:rFonts w:cs="IRTEK Courier"/>
                <w:b/>
                <w:lang w:val="af-ZA"/>
              </w:rPr>
              <w:t>0.1 «</w:t>
            </w:r>
            <w:r w:rsidR="00764E6F" w:rsidRPr="0053423A">
              <w:rPr>
                <w:rFonts w:cs="IRTEK Courier"/>
                <w:b/>
              </w:rPr>
              <w:t>Թոքերի</w:t>
            </w:r>
            <w:r w:rsidR="00764E6F" w:rsidRPr="0053423A">
              <w:rPr>
                <w:rFonts w:cs="IRTEK Courier"/>
                <w:b/>
                <w:lang w:val="af-ZA"/>
              </w:rPr>
              <w:t xml:space="preserve"> </w:t>
            </w:r>
            <w:r w:rsidR="00764E6F" w:rsidRPr="0053423A">
              <w:rPr>
                <w:rFonts w:cs="IRTEK Courier"/>
                <w:b/>
              </w:rPr>
              <w:t>քրոնիկ</w:t>
            </w:r>
            <w:r w:rsidR="00764E6F" w:rsidRPr="0053423A">
              <w:rPr>
                <w:rFonts w:cs="IRTEK Courier"/>
                <w:b/>
                <w:lang w:val="af-ZA"/>
              </w:rPr>
              <w:t xml:space="preserve"> </w:t>
            </w:r>
            <w:r w:rsidR="00764E6F" w:rsidRPr="0053423A">
              <w:rPr>
                <w:rFonts w:cs="IRTEK Courier"/>
                <w:b/>
              </w:rPr>
              <w:t>օբստրուկտիվ</w:t>
            </w:r>
            <w:r w:rsidR="00764E6F" w:rsidRPr="0053423A">
              <w:rPr>
                <w:rFonts w:cs="IRTEK Courier"/>
                <w:b/>
                <w:lang w:val="af-ZA"/>
              </w:rPr>
              <w:t xml:space="preserve"> </w:t>
            </w:r>
            <w:r w:rsidR="00764E6F" w:rsidRPr="0053423A">
              <w:rPr>
                <w:rFonts w:cs="IRTEK Courier"/>
                <w:b/>
              </w:rPr>
              <w:t>հիվանդության</w:t>
            </w:r>
            <w:r w:rsidR="00764E6F" w:rsidRPr="0053423A">
              <w:rPr>
                <w:rFonts w:cs="IRTEK Courier"/>
                <w:b/>
                <w:lang w:val="af-ZA"/>
              </w:rPr>
              <w:t xml:space="preserve"> (</w:t>
            </w:r>
            <w:r w:rsidR="00764E6F" w:rsidRPr="0053423A">
              <w:rPr>
                <w:rFonts w:cs="IRTEK Courier"/>
                <w:b/>
              </w:rPr>
              <w:t>ԹՔՕՀ</w:t>
            </w:r>
            <w:r w:rsidR="00764E6F" w:rsidRPr="0053423A">
              <w:rPr>
                <w:rFonts w:cs="IRTEK Courier"/>
                <w:b/>
                <w:lang w:val="af-ZA"/>
              </w:rPr>
              <w:t xml:space="preserve">) </w:t>
            </w:r>
            <w:r w:rsidR="00764E6F" w:rsidRPr="0053423A">
              <w:rPr>
                <w:rFonts w:cs="IRTEK Courier"/>
                <w:b/>
              </w:rPr>
              <w:t>դեմ</w:t>
            </w:r>
            <w:r w:rsidR="00764E6F" w:rsidRPr="0053423A">
              <w:rPr>
                <w:rFonts w:cs="IRTEK Courier"/>
                <w:b/>
                <w:lang w:val="af-ZA"/>
              </w:rPr>
              <w:t xml:space="preserve"> </w:t>
            </w:r>
            <w:r w:rsidR="00764E6F" w:rsidRPr="0053423A">
              <w:rPr>
                <w:rFonts w:cs="IRTEK Courier"/>
                <w:b/>
              </w:rPr>
              <w:t>պայքարի</w:t>
            </w:r>
            <w:r w:rsidR="00764E6F" w:rsidRPr="0053423A">
              <w:rPr>
                <w:rFonts w:cs="IRTEK Courier"/>
                <w:b/>
                <w:lang w:val="af-ZA"/>
              </w:rPr>
              <w:t xml:space="preserve"> </w:t>
            </w:r>
            <w:r w:rsidR="00764E6F" w:rsidRPr="0053423A">
              <w:rPr>
                <w:rFonts w:cs="IRTEK Courier"/>
                <w:b/>
              </w:rPr>
              <w:t>ռազմավարությունը</w:t>
            </w:r>
            <w:r w:rsidR="00764E6F" w:rsidRPr="0053423A">
              <w:rPr>
                <w:rFonts w:cs="IRTEK Courier"/>
                <w:b/>
                <w:lang w:val="af-ZA"/>
              </w:rPr>
              <w:t xml:space="preserve"> </w:t>
            </w:r>
            <w:r w:rsidR="00764E6F" w:rsidRPr="0053423A">
              <w:rPr>
                <w:rFonts w:cs="IRTEK Courier"/>
                <w:b/>
              </w:rPr>
              <w:t>հաստատելու</w:t>
            </w:r>
            <w:r w:rsidR="00764E6F" w:rsidRPr="0053423A">
              <w:rPr>
                <w:rFonts w:cs="IRTEK Courier"/>
                <w:b/>
                <w:lang w:val="af-ZA"/>
              </w:rPr>
              <w:t xml:space="preserve"> </w:t>
            </w:r>
            <w:r w:rsidR="00764E6F" w:rsidRPr="0053423A">
              <w:rPr>
                <w:rFonts w:cs="IRTEK Courier"/>
                <w:b/>
              </w:rPr>
              <w:t>մասին</w:t>
            </w:r>
            <w:r w:rsidR="00764E6F" w:rsidRPr="0053423A">
              <w:rPr>
                <w:rFonts w:cs="IRTEK Courier"/>
                <w:b/>
                <w:lang w:val="af-ZA"/>
              </w:rPr>
              <w:t xml:space="preserve">» </w:t>
            </w:r>
            <w:r w:rsidR="00764E6F" w:rsidRPr="0053423A">
              <w:rPr>
                <w:rFonts w:cs="IRTEK Courier"/>
                <w:b/>
              </w:rPr>
              <w:t>Կառավարության</w:t>
            </w:r>
            <w:r w:rsidR="00764E6F" w:rsidRPr="0053423A">
              <w:rPr>
                <w:rFonts w:cs="IRTEK Courier"/>
                <w:b/>
                <w:lang w:val="af-ZA"/>
              </w:rPr>
              <w:t xml:space="preserve"> </w:t>
            </w:r>
            <w:r w:rsidR="00764E6F" w:rsidRPr="0053423A">
              <w:rPr>
                <w:rFonts w:cs="IRTEK Courier"/>
                <w:b/>
              </w:rPr>
              <w:t>որոշման</w:t>
            </w:r>
            <w:r w:rsidR="00764E6F" w:rsidRPr="0053423A">
              <w:rPr>
                <w:rFonts w:cs="IRTEK Courier"/>
                <w:b/>
                <w:lang w:val="af-ZA"/>
              </w:rPr>
              <w:t xml:space="preserve"> </w:t>
            </w:r>
            <w:r w:rsidR="00764E6F" w:rsidRPr="0053423A">
              <w:rPr>
                <w:rFonts w:cs="IRTEK Courier"/>
                <w:b/>
              </w:rPr>
              <w:t>նախագիծը</w:t>
            </w:r>
          </w:p>
          <w:p w:rsidR="00764E6F" w:rsidRPr="0053423A" w:rsidRDefault="00764E6F" w:rsidP="00A67858">
            <w:pPr>
              <w:tabs>
                <w:tab w:val="left" w:pos="190"/>
              </w:tabs>
              <w:spacing w:line="276" w:lineRule="auto"/>
              <w:jc w:val="center"/>
              <w:rPr>
                <w:rFonts w:cs="IRTEK Courier"/>
                <w:b/>
                <w:lang w:val="af-ZA"/>
              </w:rPr>
            </w:pPr>
            <w:r w:rsidRPr="0053423A">
              <w:rPr>
                <w:rFonts w:cs="IRTEK Courier"/>
                <w:b/>
                <w:lang w:val="af-ZA"/>
              </w:rPr>
              <w:t xml:space="preserve"> </w:t>
            </w:r>
            <w:r w:rsidRPr="0053423A">
              <w:rPr>
                <w:rFonts w:cs="IRTEK Courier"/>
                <w:b/>
              </w:rPr>
              <w:t>վարչապետի</w:t>
            </w:r>
            <w:r w:rsidRPr="0053423A">
              <w:rPr>
                <w:rFonts w:cs="IRTEK Courier"/>
                <w:b/>
                <w:lang w:val="af-ZA"/>
              </w:rPr>
              <w:t xml:space="preserve"> </w:t>
            </w:r>
            <w:r w:rsidRPr="0053423A">
              <w:rPr>
                <w:rFonts w:cs="IRTEK Courier"/>
                <w:b/>
              </w:rPr>
              <w:t>աշխատակազմ</w:t>
            </w:r>
            <w:r w:rsidRPr="0053423A">
              <w:rPr>
                <w:rFonts w:cs="IRTEK Courier"/>
                <w:b/>
                <w:lang w:val="af-ZA"/>
              </w:rPr>
              <w:t xml:space="preserve"> </w:t>
            </w:r>
            <w:r w:rsidRPr="0053423A">
              <w:rPr>
                <w:rFonts w:cs="IRTEK Courier"/>
                <w:b/>
              </w:rPr>
              <w:t>ներկայացնելը</w:t>
            </w:r>
          </w:p>
          <w:p w:rsidR="00764E6F" w:rsidRPr="0053423A" w:rsidRDefault="00764E6F" w:rsidP="00A67858">
            <w:pPr>
              <w:tabs>
                <w:tab w:val="left" w:pos="190"/>
              </w:tabs>
              <w:spacing w:line="276" w:lineRule="auto"/>
              <w:rPr>
                <w:rFonts w:cs="IRTEK Courier"/>
                <w:lang w:val="af-ZA"/>
              </w:rPr>
            </w:pPr>
          </w:p>
          <w:p w:rsidR="00764E6F" w:rsidRPr="0053423A" w:rsidRDefault="00764E6F" w:rsidP="00A67858">
            <w:pPr>
              <w:tabs>
                <w:tab w:val="left" w:pos="190"/>
              </w:tabs>
              <w:spacing w:line="276" w:lineRule="auto"/>
              <w:jc w:val="both"/>
              <w:rPr>
                <w:rFonts w:cs="IRTEK Courier"/>
                <w:b/>
                <w:lang w:val="af-ZA"/>
              </w:rPr>
            </w:pPr>
            <w:r w:rsidRPr="0053423A">
              <w:rPr>
                <w:rFonts w:cs="IRTEK Courier"/>
                <w:b/>
                <w:lang w:val="af-ZA"/>
              </w:rPr>
              <w:t xml:space="preserve">   1. </w:t>
            </w:r>
            <w:r w:rsidRPr="0053423A">
              <w:rPr>
                <w:rFonts w:cs="IRTEK Courier"/>
                <w:b/>
              </w:rPr>
              <w:t>Միջոցառման</w:t>
            </w:r>
            <w:r w:rsidRPr="0053423A">
              <w:rPr>
                <w:rFonts w:cs="IRTEK Courier"/>
                <w:b/>
                <w:lang w:val="af-ZA"/>
              </w:rPr>
              <w:t xml:space="preserve"> </w:t>
            </w:r>
            <w:r w:rsidRPr="0053423A">
              <w:rPr>
                <w:rFonts w:cs="IRTEK Courier"/>
                <w:b/>
              </w:rPr>
              <w:t>իրականացման</w:t>
            </w:r>
            <w:r w:rsidRPr="0053423A">
              <w:rPr>
                <w:rFonts w:cs="IRTEK Courier"/>
                <w:b/>
                <w:lang w:val="af-ZA"/>
              </w:rPr>
              <w:t xml:space="preserve"> </w:t>
            </w:r>
            <w:r w:rsidRPr="0053423A">
              <w:rPr>
                <w:rFonts w:cs="IRTEK Courier"/>
                <w:b/>
              </w:rPr>
              <w:t>անհրաժեշտությունը</w:t>
            </w:r>
            <w:r w:rsidRPr="0053423A">
              <w:rPr>
                <w:rFonts w:cs="IRTEK Courier"/>
                <w:b/>
                <w:lang w:val="af-ZA"/>
              </w:rPr>
              <w:t xml:space="preserve"> </w:t>
            </w:r>
            <w:r w:rsidRPr="0053423A">
              <w:rPr>
                <w:rFonts w:cs="IRTEK Courier"/>
                <w:b/>
              </w:rPr>
              <w:t>և</w:t>
            </w:r>
            <w:r w:rsidRPr="0053423A">
              <w:rPr>
                <w:rFonts w:cs="IRTEK Courier"/>
                <w:b/>
                <w:lang w:val="af-ZA"/>
              </w:rPr>
              <w:t xml:space="preserve"> </w:t>
            </w:r>
            <w:r w:rsidRPr="0053423A">
              <w:rPr>
                <w:rFonts w:cs="IRTEK Courier"/>
                <w:b/>
              </w:rPr>
              <w:t>նպատակը</w:t>
            </w:r>
          </w:p>
          <w:p w:rsidR="00764E6F" w:rsidRPr="0053423A" w:rsidRDefault="00764E6F" w:rsidP="00A67858">
            <w:pPr>
              <w:tabs>
                <w:tab w:val="left" w:pos="190"/>
              </w:tabs>
              <w:spacing w:line="276" w:lineRule="auto"/>
              <w:jc w:val="both"/>
              <w:rPr>
                <w:rFonts w:cs="IRTEK Courier"/>
                <w:lang w:val="af-ZA"/>
              </w:rPr>
            </w:pPr>
            <w:r w:rsidRPr="0053423A">
              <w:rPr>
                <w:rFonts w:cs="IRTEK Courier"/>
                <w:lang w:val="af-ZA"/>
              </w:rPr>
              <w:t xml:space="preserve">   </w:t>
            </w:r>
            <w:r w:rsidRPr="0053423A">
              <w:rPr>
                <w:rFonts w:cs="IRTEK Courier"/>
              </w:rPr>
              <w:t>Թոքերի</w:t>
            </w:r>
            <w:r w:rsidRPr="0053423A">
              <w:rPr>
                <w:rFonts w:cs="IRTEK Courier"/>
                <w:lang w:val="af-ZA"/>
              </w:rPr>
              <w:t xml:space="preserve"> </w:t>
            </w:r>
            <w:r w:rsidRPr="0053423A">
              <w:rPr>
                <w:rFonts w:cs="IRTEK Courier"/>
              </w:rPr>
              <w:t>քրոնիկ</w:t>
            </w:r>
            <w:r w:rsidRPr="0053423A">
              <w:rPr>
                <w:rFonts w:cs="IRTEK Courier"/>
                <w:lang w:val="af-ZA"/>
              </w:rPr>
              <w:t xml:space="preserve"> </w:t>
            </w:r>
            <w:r w:rsidRPr="0053423A">
              <w:rPr>
                <w:rFonts w:cs="IRTEK Courier"/>
              </w:rPr>
              <w:t>օբստրուկտիվ</w:t>
            </w:r>
            <w:r w:rsidRPr="0053423A">
              <w:rPr>
                <w:rFonts w:cs="IRTEK Courier"/>
                <w:lang w:val="af-ZA"/>
              </w:rPr>
              <w:t xml:space="preserve"> </w:t>
            </w:r>
            <w:r w:rsidRPr="0053423A">
              <w:rPr>
                <w:rFonts w:cs="IRTEK Courier"/>
              </w:rPr>
              <w:t>հիվանդության</w:t>
            </w:r>
            <w:r w:rsidRPr="0053423A">
              <w:rPr>
                <w:rFonts w:cs="IRTEK Courier"/>
                <w:lang w:val="af-ZA"/>
              </w:rPr>
              <w:t xml:space="preserve"> (</w:t>
            </w:r>
            <w:r w:rsidRPr="0053423A">
              <w:rPr>
                <w:rFonts w:cs="IRTEK Courier"/>
              </w:rPr>
              <w:t>ԹՔՕՀ</w:t>
            </w:r>
            <w:r w:rsidRPr="0053423A">
              <w:rPr>
                <w:rFonts w:cs="IRTEK Courier"/>
                <w:lang w:val="af-ZA"/>
              </w:rPr>
              <w:t xml:space="preserve">)  </w:t>
            </w:r>
            <w:r w:rsidRPr="0053423A">
              <w:rPr>
                <w:rFonts w:cs="IRTEK Courier"/>
              </w:rPr>
              <w:t>դեմ</w:t>
            </w:r>
            <w:r w:rsidRPr="0053423A">
              <w:rPr>
                <w:rFonts w:cs="IRTEK Courier"/>
                <w:lang w:val="af-ZA"/>
              </w:rPr>
              <w:t xml:space="preserve"> </w:t>
            </w:r>
            <w:r w:rsidRPr="0053423A">
              <w:rPr>
                <w:rFonts w:cs="IRTEK Courier"/>
              </w:rPr>
              <w:t>պայքարի</w:t>
            </w:r>
            <w:r w:rsidRPr="0053423A">
              <w:rPr>
                <w:rFonts w:cs="IRTEK Courier"/>
                <w:lang w:val="af-ZA"/>
              </w:rPr>
              <w:t xml:space="preserve"> </w:t>
            </w:r>
            <w:r w:rsidRPr="0053423A">
              <w:rPr>
                <w:rFonts w:cs="IRTEK Courier"/>
              </w:rPr>
              <w:t>ռազմավարության</w:t>
            </w:r>
            <w:r w:rsidRPr="0053423A">
              <w:rPr>
                <w:rFonts w:cs="IRTEK Courier"/>
                <w:lang w:val="af-ZA"/>
              </w:rPr>
              <w:t xml:space="preserve"> </w:t>
            </w:r>
            <w:r w:rsidRPr="0053423A">
              <w:rPr>
                <w:rFonts w:cs="IRTEK Courier"/>
              </w:rPr>
              <w:t>ներդրումը</w:t>
            </w:r>
            <w:r w:rsidRPr="0053423A">
              <w:rPr>
                <w:rFonts w:cs="IRTEK Courier"/>
                <w:lang w:val="af-ZA"/>
              </w:rPr>
              <w:t xml:space="preserve"> </w:t>
            </w:r>
            <w:r w:rsidRPr="0053423A">
              <w:rPr>
                <w:rFonts w:cs="IRTEK Courier"/>
              </w:rPr>
              <w:t>բխում</w:t>
            </w:r>
            <w:r w:rsidRPr="0053423A">
              <w:rPr>
                <w:rFonts w:cs="IRTEK Courier"/>
                <w:lang w:val="af-ZA"/>
              </w:rPr>
              <w:t xml:space="preserve"> </w:t>
            </w:r>
            <w:r w:rsidRPr="0053423A">
              <w:rPr>
                <w:rFonts w:cs="IRTEK Courier"/>
              </w:rPr>
              <w:t>է</w:t>
            </w:r>
            <w:r w:rsidRPr="0053423A">
              <w:rPr>
                <w:rFonts w:cs="IRTEK Courier"/>
                <w:lang w:val="af-ZA"/>
              </w:rPr>
              <w:t xml:space="preserve"> </w:t>
            </w:r>
            <w:r w:rsidRPr="0053423A">
              <w:rPr>
                <w:rFonts w:cs="IRTEK Courier"/>
                <w:lang w:val="hy-AM"/>
              </w:rPr>
              <w:t xml:space="preserve">ոչ վարակիչ հիվանդությունների կանխարգելման, վաղ հայտնաբերման և բուժման համար արդյունավետ մեխանիզմների ներդրման </w:t>
            </w:r>
            <w:r w:rsidRPr="0053423A">
              <w:rPr>
                <w:rFonts w:cs="IRTEK Courier"/>
              </w:rPr>
              <w:t>անհրաժեշտությ</w:t>
            </w:r>
            <w:r w:rsidRPr="0053423A">
              <w:rPr>
                <w:rFonts w:cs="IRTEK Courier"/>
                <w:lang w:val="hy-AM"/>
              </w:rPr>
              <w:t>ունից</w:t>
            </w:r>
            <w:r w:rsidRPr="0053423A">
              <w:rPr>
                <w:rFonts w:cs="IRTEK Courier"/>
                <w:lang w:val="af-ZA"/>
              </w:rPr>
              <w:t>:</w:t>
            </w:r>
          </w:p>
          <w:p w:rsidR="00764E6F" w:rsidRPr="0053423A" w:rsidRDefault="00764E6F" w:rsidP="00A67858">
            <w:pPr>
              <w:tabs>
                <w:tab w:val="left" w:pos="190"/>
              </w:tabs>
              <w:spacing w:line="276" w:lineRule="auto"/>
              <w:jc w:val="both"/>
              <w:rPr>
                <w:rFonts w:cs="IRTEK Courier"/>
                <w:lang w:val="af-ZA"/>
              </w:rPr>
            </w:pPr>
          </w:p>
          <w:p w:rsidR="00764E6F" w:rsidRPr="0053423A" w:rsidRDefault="00764E6F" w:rsidP="00A67858">
            <w:pPr>
              <w:tabs>
                <w:tab w:val="left" w:pos="190"/>
              </w:tabs>
              <w:spacing w:line="276" w:lineRule="auto"/>
              <w:jc w:val="both"/>
              <w:rPr>
                <w:rFonts w:cs="IRTEK Courier"/>
                <w:b/>
                <w:lang w:val="af-ZA"/>
              </w:rPr>
            </w:pPr>
            <w:r w:rsidRPr="0053423A">
              <w:rPr>
                <w:rFonts w:cs="IRTEK Courier"/>
                <w:b/>
                <w:lang w:val="af-ZA"/>
              </w:rPr>
              <w:t xml:space="preserve">   1.1. </w:t>
            </w:r>
            <w:r w:rsidRPr="0053423A">
              <w:rPr>
                <w:rFonts w:cs="IRTEK Courier"/>
                <w:b/>
              </w:rPr>
              <w:t>Կարգավորման</w:t>
            </w:r>
            <w:r w:rsidRPr="0053423A">
              <w:rPr>
                <w:rFonts w:cs="IRTEK Courier"/>
                <w:b/>
                <w:lang w:val="af-ZA"/>
              </w:rPr>
              <w:t xml:space="preserve"> </w:t>
            </w:r>
            <w:r w:rsidRPr="0053423A">
              <w:rPr>
                <w:rFonts w:cs="IRTEK Courier"/>
                <w:b/>
              </w:rPr>
              <w:t>հարաբերությունների</w:t>
            </w:r>
            <w:r w:rsidRPr="0053423A">
              <w:rPr>
                <w:rFonts w:cs="IRTEK Courier"/>
                <w:b/>
                <w:lang w:val="af-ZA"/>
              </w:rPr>
              <w:t xml:space="preserve"> </w:t>
            </w:r>
            <w:r w:rsidRPr="0053423A">
              <w:rPr>
                <w:rFonts w:cs="IRTEK Courier"/>
                <w:b/>
              </w:rPr>
              <w:t>ներկա</w:t>
            </w:r>
            <w:r w:rsidRPr="0053423A">
              <w:rPr>
                <w:rFonts w:cs="IRTEK Courier"/>
                <w:b/>
                <w:lang w:val="af-ZA"/>
              </w:rPr>
              <w:t xml:space="preserve"> </w:t>
            </w:r>
            <w:r w:rsidRPr="0053423A">
              <w:rPr>
                <w:rFonts w:cs="IRTEK Courier"/>
                <w:b/>
              </w:rPr>
              <w:t>վիճակը</w:t>
            </w:r>
            <w:r w:rsidRPr="0053423A">
              <w:rPr>
                <w:rFonts w:cs="IRTEK Courier"/>
                <w:b/>
                <w:lang w:val="af-ZA"/>
              </w:rPr>
              <w:t xml:space="preserve"> </w:t>
            </w:r>
            <w:r w:rsidRPr="0053423A">
              <w:rPr>
                <w:rFonts w:cs="IRTEK Courier"/>
                <w:b/>
              </w:rPr>
              <w:t>և</w:t>
            </w:r>
            <w:r w:rsidRPr="0053423A">
              <w:rPr>
                <w:rFonts w:cs="IRTEK Courier"/>
                <w:b/>
                <w:lang w:val="af-ZA"/>
              </w:rPr>
              <w:t xml:space="preserve"> </w:t>
            </w:r>
            <w:r w:rsidRPr="0053423A">
              <w:rPr>
                <w:rFonts w:cs="IRTEK Courier"/>
                <w:b/>
              </w:rPr>
              <w:t>առկա</w:t>
            </w:r>
            <w:r w:rsidRPr="0053423A">
              <w:rPr>
                <w:rFonts w:cs="IRTEK Courier"/>
                <w:b/>
                <w:lang w:val="af-ZA"/>
              </w:rPr>
              <w:t xml:space="preserve"> </w:t>
            </w:r>
            <w:r w:rsidRPr="0053423A">
              <w:rPr>
                <w:rFonts w:cs="IRTEK Courier"/>
                <w:b/>
              </w:rPr>
              <w:t>խնդիրները</w:t>
            </w:r>
          </w:p>
          <w:p w:rsidR="00764E6F" w:rsidRPr="0053423A" w:rsidRDefault="00764E6F" w:rsidP="00A67858">
            <w:pPr>
              <w:tabs>
                <w:tab w:val="left" w:pos="190"/>
              </w:tabs>
              <w:spacing w:line="276" w:lineRule="auto"/>
              <w:jc w:val="both"/>
              <w:rPr>
                <w:rFonts w:cs="IRTEK Courier"/>
                <w:lang w:val="af-ZA"/>
              </w:rPr>
            </w:pPr>
            <w:r w:rsidRPr="0053423A">
              <w:rPr>
                <w:rFonts w:cs="IRTEK Courier"/>
              </w:rPr>
              <w:t>Ըստ</w:t>
            </w:r>
            <w:r w:rsidRPr="0053423A">
              <w:rPr>
                <w:rFonts w:cs="IRTEK Courier"/>
                <w:lang w:val="af-ZA"/>
              </w:rPr>
              <w:t xml:space="preserve"> </w:t>
            </w:r>
            <w:r w:rsidRPr="0053423A">
              <w:rPr>
                <w:rFonts w:cs="IRTEK Courier"/>
              </w:rPr>
              <w:t>վիճակագրական</w:t>
            </w:r>
            <w:r w:rsidRPr="0053423A">
              <w:rPr>
                <w:rFonts w:cs="IRTEK Courier"/>
                <w:lang w:val="af-ZA"/>
              </w:rPr>
              <w:t xml:space="preserve"> </w:t>
            </w:r>
            <w:r w:rsidRPr="0053423A">
              <w:rPr>
                <w:rFonts w:cs="IRTEK Courier"/>
              </w:rPr>
              <w:t>տվյալների</w:t>
            </w:r>
            <w:r w:rsidRPr="0053423A">
              <w:rPr>
                <w:rFonts w:cs="IRTEK Courier"/>
                <w:lang w:val="af-ZA"/>
              </w:rPr>
              <w:t xml:space="preserve">, </w:t>
            </w:r>
            <w:r w:rsidRPr="0053423A">
              <w:rPr>
                <w:rFonts w:cs="IRTEK Courier"/>
              </w:rPr>
              <w:t>թոքերի</w:t>
            </w:r>
            <w:r w:rsidRPr="0053423A">
              <w:rPr>
                <w:rFonts w:cs="IRTEK Courier"/>
                <w:lang w:val="af-ZA"/>
              </w:rPr>
              <w:t xml:space="preserve"> </w:t>
            </w:r>
            <w:r w:rsidRPr="0053423A">
              <w:rPr>
                <w:rFonts w:cs="IRTEK Courier"/>
              </w:rPr>
              <w:t>քրոնիկ</w:t>
            </w:r>
            <w:r w:rsidRPr="0053423A">
              <w:rPr>
                <w:rFonts w:cs="IRTEK Courier"/>
                <w:lang w:val="af-ZA"/>
              </w:rPr>
              <w:t xml:space="preserve"> </w:t>
            </w:r>
            <w:r w:rsidRPr="0053423A">
              <w:rPr>
                <w:rFonts w:cs="IRTEK Courier"/>
              </w:rPr>
              <w:t>օբստրուկտիվ</w:t>
            </w:r>
            <w:r w:rsidRPr="0053423A">
              <w:rPr>
                <w:rFonts w:cs="IRTEK Courier"/>
                <w:lang w:val="af-ZA"/>
              </w:rPr>
              <w:t xml:space="preserve"> </w:t>
            </w:r>
            <w:r w:rsidRPr="0053423A">
              <w:rPr>
                <w:rFonts w:cs="IRTEK Courier"/>
              </w:rPr>
              <w:t>հիվանդությունը</w:t>
            </w:r>
            <w:r w:rsidRPr="0053423A">
              <w:rPr>
                <w:rFonts w:cs="IRTEK Courier"/>
                <w:lang w:val="af-ZA"/>
              </w:rPr>
              <w:t xml:space="preserve"> (</w:t>
            </w:r>
            <w:r w:rsidRPr="0053423A">
              <w:rPr>
                <w:rFonts w:cs="IRTEK Courier"/>
              </w:rPr>
              <w:t>ԹՔՕՀ</w:t>
            </w:r>
            <w:r w:rsidRPr="0053423A">
              <w:rPr>
                <w:rFonts w:cs="IRTEK Courier"/>
                <w:lang w:val="af-ZA"/>
              </w:rPr>
              <w:t xml:space="preserve">)  </w:t>
            </w:r>
            <w:r w:rsidRPr="0053423A">
              <w:rPr>
                <w:rFonts w:cs="IRTEK Courier"/>
              </w:rPr>
              <w:t>զբաղեցնում</w:t>
            </w:r>
            <w:r w:rsidRPr="0053423A">
              <w:rPr>
                <w:rFonts w:cs="IRTEK Courier"/>
                <w:lang w:val="af-ZA"/>
              </w:rPr>
              <w:t xml:space="preserve"> </w:t>
            </w:r>
            <w:r w:rsidRPr="0053423A">
              <w:rPr>
                <w:rFonts w:cs="IRTEK Courier"/>
                <w:lang w:val="hy-AM"/>
              </w:rPr>
              <w:t xml:space="preserve">է </w:t>
            </w:r>
            <w:r w:rsidRPr="0053423A">
              <w:rPr>
                <w:rFonts w:cs="IRTEK Courier"/>
                <w:lang w:val="af-ZA"/>
              </w:rPr>
              <w:t>3</w:t>
            </w:r>
            <w:r w:rsidRPr="0053423A">
              <w:rPr>
                <w:rFonts w:cs="IRTEK Courier"/>
                <w:lang w:val="hy-AM"/>
              </w:rPr>
              <w:t>-րդ</w:t>
            </w:r>
            <w:r w:rsidRPr="0053423A">
              <w:rPr>
                <w:rFonts w:cs="IRTEK Courier"/>
                <w:lang w:val="af-ZA"/>
              </w:rPr>
              <w:t xml:space="preserve"> </w:t>
            </w:r>
            <w:r w:rsidRPr="0053423A">
              <w:rPr>
                <w:rFonts w:cs="IRTEK Courier"/>
              </w:rPr>
              <w:t>տեղը</w:t>
            </w:r>
            <w:r w:rsidRPr="0053423A">
              <w:rPr>
                <w:rFonts w:cs="Sylfaen"/>
                <w:lang w:val="af-ZA"/>
              </w:rPr>
              <w:t xml:space="preserve"> </w:t>
            </w:r>
            <w:r w:rsidRPr="0053423A">
              <w:rPr>
                <w:rFonts w:cs="IRTEK Courier"/>
              </w:rPr>
              <w:t>մահաբերության</w:t>
            </w:r>
            <w:r w:rsidRPr="0053423A">
              <w:rPr>
                <w:rFonts w:cs="IRTEK Courier"/>
                <w:lang w:val="af-ZA"/>
              </w:rPr>
              <w:t xml:space="preserve"> </w:t>
            </w:r>
            <w:r w:rsidRPr="0053423A">
              <w:rPr>
                <w:rFonts w:cs="IRTEK Courier"/>
              </w:rPr>
              <w:t>և</w:t>
            </w:r>
            <w:r w:rsidRPr="0053423A">
              <w:rPr>
                <w:rFonts w:cs="IRTEK Courier"/>
                <w:lang w:val="af-ZA"/>
              </w:rPr>
              <w:t xml:space="preserve"> 4</w:t>
            </w:r>
            <w:r w:rsidRPr="0053423A">
              <w:rPr>
                <w:rFonts w:cs="IRTEK Courier"/>
                <w:lang w:val="hy-AM"/>
              </w:rPr>
              <w:t>-րդ</w:t>
            </w:r>
            <w:r w:rsidRPr="0053423A">
              <w:rPr>
                <w:rFonts w:cs="IRTEK Courier"/>
                <w:lang w:val="af-ZA"/>
              </w:rPr>
              <w:t xml:space="preserve"> </w:t>
            </w:r>
            <w:r w:rsidRPr="0053423A">
              <w:rPr>
                <w:rFonts w:cs="IRTEK Courier"/>
              </w:rPr>
              <w:t>տեղ</w:t>
            </w:r>
            <w:r w:rsidRPr="0053423A">
              <w:rPr>
                <w:rFonts w:cs="IRTEK Courier"/>
                <w:lang w:val="hy-AM"/>
              </w:rPr>
              <w:t xml:space="preserve">ը </w:t>
            </w:r>
            <w:r w:rsidRPr="0053423A">
              <w:rPr>
                <w:rFonts w:cs="IRTEK Courier"/>
              </w:rPr>
              <w:t>հաշմանդամության</w:t>
            </w:r>
            <w:r w:rsidRPr="0053423A">
              <w:rPr>
                <w:rFonts w:cs="IRTEK Courier"/>
                <w:lang w:val="af-ZA"/>
              </w:rPr>
              <w:t xml:space="preserve"> </w:t>
            </w:r>
            <w:r w:rsidRPr="0053423A">
              <w:rPr>
                <w:rFonts w:cs="IRTEK Courier"/>
              </w:rPr>
              <w:t>առաջացման</w:t>
            </w:r>
            <w:r w:rsidRPr="0053423A">
              <w:rPr>
                <w:rFonts w:cs="IRTEK Courier"/>
                <w:lang w:val="af-ZA"/>
              </w:rPr>
              <w:t xml:space="preserve"> </w:t>
            </w:r>
            <w:r w:rsidRPr="0053423A">
              <w:rPr>
                <w:rFonts w:cs="IRTEK Courier"/>
                <w:lang w:val="hy-AM"/>
              </w:rPr>
              <w:t>առումով</w:t>
            </w:r>
            <w:r w:rsidRPr="0053423A">
              <w:rPr>
                <w:rFonts w:cs="IRTEK Courier"/>
                <w:lang w:val="af-ZA"/>
              </w:rPr>
              <w:t xml:space="preserve">` </w:t>
            </w:r>
            <w:r w:rsidRPr="0053423A">
              <w:rPr>
                <w:rFonts w:cs="IRTEK Courier"/>
              </w:rPr>
              <w:t>սիրտ</w:t>
            </w:r>
            <w:r w:rsidRPr="0053423A">
              <w:rPr>
                <w:rFonts w:cs="IRTEK Courier"/>
                <w:lang w:val="af-ZA"/>
              </w:rPr>
              <w:t>-</w:t>
            </w:r>
            <w:r w:rsidRPr="0053423A">
              <w:rPr>
                <w:rFonts w:cs="IRTEK Courier"/>
              </w:rPr>
              <w:t>անոթային</w:t>
            </w:r>
            <w:r w:rsidRPr="0053423A">
              <w:rPr>
                <w:rFonts w:cs="IRTEK Courier"/>
                <w:lang w:val="af-ZA"/>
              </w:rPr>
              <w:t xml:space="preserve"> </w:t>
            </w:r>
            <w:r w:rsidRPr="0053423A">
              <w:rPr>
                <w:rFonts w:cs="IRTEK Courier"/>
              </w:rPr>
              <w:t>և</w:t>
            </w:r>
            <w:r w:rsidRPr="0053423A">
              <w:rPr>
                <w:rFonts w:cs="IRTEK Courier"/>
                <w:lang w:val="af-ZA"/>
              </w:rPr>
              <w:t xml:space="preserve"> </w:t>
            </w:r>
            <w:r w:rsidRPr="0053423A">
              <w:rPr>
                <w:rFonts w:cs="IRTEK Courier"/>
              </w:rPr>
              <w:t>ուռուցքային</w:t>
            </w:r>
            <w:r w:rsidRPr="0053423A">
              <w:rPr>
                <w:rFonts w:cs="IRTEK Courier"/>
                <w:lang w:val="af-ZA"/>
              </w:rPr>
              <w:t xml:space="preserve"> </w:t>
            </w:r>
            <w:r w:rsidRPr="0053423A">
              <w:rPr>
                <w:rFonts w:cs="IRTEK Courier"/>
              </w:rPr>
              <w:t>հիվանդություններից</w:t>
            </w:r>
            <w:r w:rsidRPr="0053423A">
              <w:rPr>
                <w:rFonts w:cs="IRTEK Courier"/>
                <w:lang w:val="af-ZA"/>
              </w:rPr>
              <w:t xml:space="preserve"> </w:t>
            </w:r>
            <w:r w:rsidRPr="0053423A">
              <w:rPr>
                <w:rFonts w:cs="IRTEK Courier"/>
              </w:rPr>
              <w:t>հետո</w:t>
            </w:r>
            <w:r w:rsidRPr="0053423A">
              <w:rPr>
                <w:rFonts w:cs="IRTEK Courier"/>
                <w:lang w:val="af-ZA"/>
              </w:rPr>
              <w:t xml:space="preserve">: </w:t>
            </w:r>
            <w:r w:rsidRPr="0053423A">
              <w:rPr>
                <w:rFonts w:cs="IRTEK Courier"/>
              </w:rPr>
              <w:t>Որպես</w:t>
            </w:r>
            <w:r w:rsidRPr="0053423A">
              <w:rPr>
                <w:rFonts w:cs="IRTEK Courier"/>
                <w:lang w:val="af-ZA"/>
              </w:rPr>
              <w:t xml:space="preserve"> </w:t>
            </w:r>
            <w:r w:rsidRPr="0053423A">
              <w:rPr>
                <w:rFonts w:cs="IRTEK Courier"/>
              </w:rPr>
              <w:t>ԹՔՕՀ</w:t>
            </w:r>
            <w:r w:rsidRPr="0053423A">
              <w:rPr>
                <w:rFonts w:cs="IRTEK Courier"/>
                <w:lang w:val="af-ZA"/>
              </w:rPr>
              <w:t xml:space="preserve"> </w:t>
            </w:r>
            <w:r w:rsidRPr="0053423A">
              <w:rPr>
                <w:rFonts w:cs="IRTEK Courier"/>
              </w:rPr>
              <w:t>առաջացման</w:t>
            </w:r>
            <w:r w:rsidRPr="0053423A">
              <w:rPr>
                <w:rFonts w:cs="IRTEK Courier"/>
                <w:lang w:val="af-ZA"/>
              </w:rPr>
              <w:t xml:space="preserve"> </w:t>
            </w:r>
            <w:r w:rsidRPr="0053423A">
              <w:rPr>
                <w:rFonts w:cs="IRTEK Courier"/>
              </w:rPr>
              <w:t>գլխավոր</w:t>
            </w:r>
            <w:r w:rsidRPr="0053423A">
              <w:rPr>
                <w:rFonts w:cs="IRTEK Courier"/>
                <w:lang w:val="af-ZA"/>
              </w:rPr>
              <w:t xml:space="preserve"> </w:t>
            </w:r>
            <w:r w:rsidRPr="0053423A">
              <w:rPr>
                <w:rFonts w:cs="IRTEK Courier"/>
              </w:rPr>
              <w:t>ռիսկի</w:t>
            </w:r>
            <w:r w:rsidRPr="0053423A">
              <w:rPr>
                <w:rFonts w:cs="IRTEK Courier"/>
                <w:lang w:val="af-ZA"/>
              </w:rPr>
              <w:t xml:space="preserve"> </w:t>
            </w:r>
            <w:r w:rsidRPr="0053423A">
              <w:rPr>
                <w:rFonts w:cs="IRTEK Courier"/>
              </w:rPr>
              <w:t>գործոն</w:t>
            </w:r>
            <w:r w:rsidRPr="0053423A">
              <w:rPr>
                <w:rFonts w:cs="IRTEK Courier"/>
                <w:lang w:val="af-ZA"/>
              </w:rPr>
              <w:t xml:space="preserve"> </w:t>
            </w:r>
            <w:r w:rsidRPr="0053423A">
              <w:rPr>
                <w:rFonts w:cs="IRTEK Courier"/>
                <w:lang w:val="hy-AM"/>
              </w:rPr>
              <w:t>են</w:t>
            </w:r>
            <w:r w:rsidRPr="0053423A">
              <w:rPr>
                <w:rFonts w:cs="IRTEK Courier"/>
                <w:lang w:val="af-ZA"/>
              </w:rPr>
              <w:t xml:space="preserve"> </w:t>
            </w:r>
            <w:r w:rsidRPr="0053423A">
              <w:rPr>
                <w:rFonts w:cs="IRTEK Courier"/>
              </w:rPr>
              <w:t>համարվում</w:t>
            </w:r>
            <w:r w:rsidRPr="0053423A">
              <w:rPr>
                <w:rFonts w:cs="IRTEK Courier"/>
                <w:lang w:val="af-ZA"/>
              </w:rPr>
              <w:t xml:space="preserve">  </w:t>
            </w:r>
            <w:r w:rsidRPr="0053423A">
              <w:rPr>
                <w:rFonts w:cs="IRTEK Courier"/>
              </w:rPr>
              <w:t>ծխախոտի</w:t>
            </w:r>
            <w:r w:rsidRPr="0053423A">
              <w:rPr>
                <w:rFonts w:cs="IRTEK Courier"/>
                <w:lang w:val="af-ZA"/>
              </w:rPr>
              <w:t xml:space="preserve"> </w:t>
            </w:r>
            <w:r w:rsidRPr="0053423A">
              <w:rPr>
                <w:rFonts w:cs="IRTEK Courier"/>
              </w:rPr>
              <w:t>օգտագործումը</w:t>
            </w:r>
            <w:r w:rsidRPr="0053423A">
              <w:rPr>
                <w:rFonts w:cs="IRTEK Courier"/>
                <w:lang w:val="af-ZA"/>
              </w:rPr>
              <w:t xml:space="preserve"> </w:t>
            </w:r>
            <w:r w:rsidRPr="0053423A">
              <w:rPr>
                <w:rFonts w:cs="IRTEK Courier"/>
              </w:rPr>
              <w:t>և</w:t>
            </w:r>
            <w:r w:rsidRPr="0053423A">
              <w:rPr>
                <w:rFonts w:cs="IRTEK Courier"/>
                <w:lang w:val="af-ZA"/>
              </w:rPr>
              <w:t xml:space="preserve"> </w:t>
            </w:r>
            <w:r w:rsidRPr="0053423A">
              <w:rPr>
                <w:rFonts w:cs="IRTEK Courier"/>
              </w:rPr>
              <w:t>օդի</w:t>
            </w:r>
            <w:r w:rsidRPr="0053423A">
              <w:rPr>
                <w:rFonts w:cs="IRTEK Courier"/>
                <w:lang w:val="af-ZA"/>
              </w:rPr>
              <w:t xml:space="preserve"> </w:t>
            </w:r>
            <w:r w:rsidRPr="0053423A">
              <w:rPr>
                <w:rFonts w:cs="IRTEK Courier"/>
              </w:rPr>
              <w:t>աղտոտվածությունը</w:t>
            </w:r>
            <w:r w:rsidRPr="0053423A">
              <w:rPr>
                <w:rFonts w:cs="IRTEK Courier"/>
                <w:lang w:val="af-ZA"/>
              </w:rPr>
              <w:t xml:space="preserve">: </w:t>
            </w:r>
            <w:r w:rsidRPr="0053423A">
              <w:rPr>
                <w:rFonts w:cs="IRTEK Courier"/>
              </w:rPr>
              <w:t>Հայաստանի</w:t>
            </w:r>
            <w:r w:rsidRPr="0053423A">
              <w:rPr>
                <w:rFonts w:cs="IRTEK Courier"/>
                <w:lang w:val="af-ZA"/>
              </w:rPr>
              <w:t xml:space="preserve"> </w:t>
            </w:r>
            <w:r w:rsidRPr="0053423A">
              <w:rPr>
                <w:rFonts w:cs="IRTEK Courier"/>
              </w:rPr>
              <w:t>Հանրապետությունում</w:t>
            </w:r>
            <w:r w:rsidRPr="0053423A">
              <w:rPr>
                <w:rFonts w:cs="IRTEK Courier"/>
                <w:lang w:val="af-ZA"/>
              </w:rPr>
              <w:t xml:space="preserve"> </w:t>
            </w:r>
            <w:r w:rsidRPr="0053423A">
              <w:rPr>
                <w:rFonts w:cs="IRTEK Courier"/>
              </w:rPr>
              <w:t>ԹՔՕՀ</w:t>
            </w:r>
            <w:r w:rsidRPr="0053423A">
              <w:rPr>
                <w:rFonts w:cs="IRTEK Courier"/>
                <w:lang w:val="af-ZA"/>
              </w:rPr>
              <w:t xml:space="preserve"> </w:t>
            </w:r>
            <w:r w:rsidRPr="0053423A">
              <w:rPr>
                <w:rFonts w:cs="IRTEK Courier"/>
              </w:rPr>
              <w:t>վերաբերյալ</w:t>
            </w:r>
            <w:r w:rsidRPr="0053423A">
              <w:rPr>
                <w:rFonts w:cs="IRTEK Courier"/>
                <w:lang w:val="af-ZA"/>
              </w:rPr>
              <w:t xml:space="preserve"> </w:t>
            </w:r>
            <w:r w:rsidRPr="0053423A">
              <w:rPr>
                <w:rFonts w:cs="IRTEK Courier"/>
              </w:rPr>
              <w:t>վիճակագրական</w:t>
            </w:r>
            <w:r w:rsidRPr="0053423A">
              <w:rPr>
                <w:rFonts w:cs="IRTEK Courier"/>
                <w:lang w:val="af-ZA"/>
              </w:rPr>
              <w:t xml:space="preserve"> </w:t>
            </w:r>
            <w:r w:rsidRPr="0053423A">
              <w:rPr>
                <w:rFonts w:cs="IRTEK Courier"/>
              </w:rPr>
              <w:t>տվյալների</w:t>
            </w:r>
            <w:r w:rsidRPr="0053423A">
              <w:rPr>
                <w:rFonts w:cs="IRTEK Courier"/>
                <w:lang w:val="af-ZA"/>
              </w:rPr>
              <w:t xml:space="preserve"> </w:t>
            </w:r>
            <w:r w:rsidRPr="0053423A">
              <w:rPr>
                <w:rFonts w:cs="IRTEK Courier"/>
              </w:rPr>
              <w:t>ոչ</w:t>
            </w:r>
            <w:r w:rsidRPr="0053423A">
              <w:rPr>
                <w:rFonts w:cs="IRTEK Courier"/>
                <w:lang w:val="af-ZA"/>
              </w:rPr>
              <w:t xml:space="preserve"> </w:t>
            </w:r>
            <w:r w:rsidRPr="0053423A">
              <w:rPr>
                <w:rFonts w:cs="IRTEK Courier"/>
              </w:rPr>
              <w:t>լիարժեքությունը</w:t>
            </w:r>
            <w:r w:rsidRPr="0053423A">
              <w:rPr>
                <w:rFonts w:cs="IRTEK Courier"/>
                <w:lang w:val="af-ZA"/>
              </w:rPr>
              <w:t xml:space="preserve">, </w:t>
            </w:r>
            <w:r w:rsidRPr="0053423A">
              <w:rPr>
                <w:rFonts w:cs="IRTEK Courier"/>
              </w:rPr>
              <w:t>ԹՔՕՀ</w:t>
            </w:r>
            <w:r w:rsidRPr="0053423A">
              <w:rPr>
                <w:rFonts w:cs="IRTEK Courier"/>
                <w:lang w:val="af-ZA"/>
              </w:rPr>
              <w:t xml:space="preserve"> </w:t>
            </w:r>
            <w:r w:rsidRPr="0053423A">
              <w:rPr>
                <w:rFonts w:cs="IRTEK Courier"/>
              </w:rPr>
              <w:t>տարածվածության</w:t>
            </w:r>
            <w:r w:rsidRPr="0053423A">
              <w:rPr>
                <w:rFonts w:cs="IRTEK Courier"/>
                <w:lang w:val="af-ZA"/>
              </w:rPr>
              <w:t xml:space="preserve">, </w:t>
            </w:r>
            <w:r w:rsidRPr="0053423A">
              <w:rPr>
                <w:rFonts w:cs="IRTEK Courier"/>
              </w:rPr>
              <w:t>պացիենտների</w:t>
            </w:r>
            <w:r w:rsidRPr="0053423A">
              <w:rPr>
                <w:rFonts w:cs="IRTEK Courier"/>
                <w:lang w:val="af-ZA"/>
              </w:rPr>
              <w:t xml:space="preserve"> </w:t>
            </w:r>
            <w:r w:rsidRPr="0053423A">
              <w:rPr>
                <w:rFonts w:cs="IRTEK Courier"/>
              </w:rPr>
              <w:t>խնամքի</w:t>
            </w:r>
            <w:r w:rsidRPr="0053423A">
              <w:rPr>
                <w:rFonts w:cs="IRTEK Courier"/>
                <w:lang w:val="af-ZA"/>
              </w:rPr>
              <w:t xml:space="preserve"> </w:t>
            </w:r>
            <w:r w:rsidRPr="0053423A">
              <w:rPr>
                <w:rFonts w:cs="IRTEK Courier"/>
              </w:rPr>
              <w:t>ու</w:t>
            </w:r>
            <w:r w:rsidRPr="0053423A">
              <w:rPr>
                <w:rFonts w:cs="IRTEK Courier"/>
                <w:lang w:val="af-ZA"/>
              </w:rPr>
              <w:t xml:space="preserve"> </w:t>
            </w:r>
            <w:r w:rsidRPr="0053423A">
              <w:rPr>
                <w:rFonts w:cs="IRTEK Courier"/>
              </w:rPr>
              <w:t>բուժման</w:t>
            </w:r>
            <w:r w:rsidRPr="0053423A">
              <w:rPr>
                <w:rFonts w:cs="IRTEK Courier"/>
                <w:lang w:val="af-ZA"/>
              </w:rPr>
              <w:t xml:space="preserve"> </w:t>
            </w:r>
            <w:r w:rsidRPr="0053423A">
              <w:rPr>
                <w:rFonts w:cs="IRTEK Courier"/>
              </w:rPr>
              <w:t>ոչ</w:t>
            </w:r>
            <w:r w:rsidRPr="0053423A">
              <w:rPr>
                <w:rFonts w:cs="IRTEK Courier"/>
                <w:lang w:val="af-ZA"/>
              </w:rPr>
              <w:t xml:space="preserve"> </w:t>
            </w:r>
            <w:r w:rsidRPr="0053423A">
              <w:rPr>
                <w:rFonts w:cs="IRTEK Courier"/>
              </w:rPr>
              <w:t>բավարար</w:t>
            </w:r>
            <w:r w:rsidRPr="0053423A">
              <w:rPr>
                <w:rFonts w:cs="IRTEK Courier"/>
                <w:lang w:val="af-ZA"/>
              </w:rPr>
              <w:t xml:space="preserve"> </w:t>
            </w:r>
            <w:r w:rsidRPr="0053423A">
              <w:rPr>
                <w:rFonts w:cs="IRTEK Courier"/>
              </w:rPr>
              <w:t>վերահսկողականությունը</w:t>
            </w:r>
            <w:r w:rsidRPr="0053423A">
              <w:rPr>
                <w:rFonts w:cs="IRTEK Courier"/>
                <w:lang w:val="af-ZA"/>
              </w:rPr>
              <w:t xml:space="preserve"> </w:t>
            </w:r>
            <w:r w:rsidRPr="0053423A">
              <w:rPr>
                <w:rFonts w:cs="IRTEK Courier"/>
              </w:rPr>
              <w:t>և</w:t>
            </w:r>
            <w:r w:rsidRPr="0053423A">
              <w:rPr>
                <w:rFonts w:cs="IRTEK Courier"/>
                <w:lang w:val="af-ZA"/>
              </w:rPr>
              <w:t xml:space="preserve">  </w:t>
            </w:r>
            <w:r w:rsidRPr="0053423A">
              <w:rPr>
                <w:rFonts w:cs="IRTEK Courier"/>
              </w:rPr>
              <w:t>հասարակության</w:t>
            </w:r>
            <w:r w:rsidRPr="0053423A">
              <w:rPr>
                <w:rFonts w:cs="IRTEK Courier"/>
                <w:lang w:val="af-ZA"/>
              </w:rPr>
              <w:t xml:space="preserve"> </w:t>
            </w:r>
            <w:r w:rsidRPr="0053423A">
              <w:rPr>
                <w:rFonts w:cs="IRTEK Courier"/>
              </w:rPr>
              <w:t>ցածր</w:t>
            </w:r>
            <w:r w:rsidRPr="0053423A">
              <w:rPr>
                <w:rFonts w:cs="IRTEK Courier"/>
                <w:lang w:val="af-ZA"/>
              </w:rPr>
              <w:t xml:space="preserve"> </w:t>
            </w:r>
            <w:r w:rsidRPr="0053423A">
              <w:rPr>
                <w:rFonts w:cs="IRTEK Courier"/>
              </w:rPr>
              <w:t>տեղեկացվածությունը</w:t>
            </w:r>
            <w:r w:rsidRPr="0053423A">
              <w:rPr>
                <w:rFonts w:cs="IRTEK Courier"/>
                <w:lang w:val="af-ZA"/>
              </w:rPr>
              <w:t xml:space="preserve"> </w:t>
            </w:r>
            <w:r w:rsidRPr="0053423A">
              <w:rPr>
                <w:rFonts w:cs="IRTEK Courier"/>
              </w:rPr>
              <w:t>ռիսկի</w:t>
            </w:r>
            <w:r w:rsidRPr="0053423A">
              <w:rPr>
                <w:rFonts w:cs="IRTEK Courier"/>
                <w:lang w:val="af-ZA"/>
              </w:rPr>
              <w:t xml:space="preserve"> </w:t>
            </w:r>
            <w:r w:rsidRPr="0053423A">
              <w:rPr>
                <w:rFonts w:cs="IRTEK Courier"/>
              </w:rPr>
              <w:t>գործոնների</w:t>
            </w:r>
            <w:r w:rsidRPr="0053423A">
              <w:rPr>
                <w:rFonts w:cs="IRTEK Courier"/>
                <w:lang w:val="af-ZA"/>
              </w:rPr>
              <w:t xml:space="preserve"> </w:t>
            </w:r>
            <w:r w:rsidRPr="0053423A">
              <w:rPr>
                <w:rFonts w:cs="IRTEK Courier"/>
              </w:rPr>
              <w:t>և</w:t>
            </w:r>
            <w:r w:rsidRPr="0053423A">
              <w:rPr>
                <w:rFonts w:cs="IRTEK Courier"/>
                <w:lang w:val="af-ZA"/>
              </w:rPr>
              <w:t xml:space="preserve"> </w:t>
            </w:r>
            <w:r w:rsidRPr="0053423A">
              <w:rPr>
                <w:rFonts w:cs="IRTEK Courier"/>
              </w:rPr>
              <w:t>ախտանիշների</w:t>
            </w:r>
            <w:r w:rsidRPr="0053423A">
              <w:rPr>
                <w:rFonts w:cs="IRTEK Courier"/>
                <w:lang w:val="af-ZA"/>
              </w:rPr>
              <w:t xml:space="preserve"> </w:t>
            </w:r>
            <w:r w:rsidRPr="0053423A">
              <w:rPr>
                <w:rFonts w:cs="IRTEK Courier"/>
              </w:rPr>
              <w:t>վերաբերյալ</w:t>
            </w:r>
            <w:r w:rsidRPr="0053423A">
              <w:rPr>
                <w:rFonts w:cs="IRTEK Courier"/>
                <w:lang w:val="hy-AM"/>
              </w:rPr>
              <w:t xml:space="preserve"> </w:t>
            </w:r>
            <w:r w:rsidRPr="0053423A">
              <w:rPr>
                <w:rFonts w:cs="IRTEK Courier"/>
              </w:rPr>
              <w:t>անհրաժեշտություն</w:t>
            </w:r>
            <w:r w:rsidRPr="0053423A">
              <w:rPr>
                <w:rFonts w:cs="IRTEK Courier"/>
                <w:lang w:val="af-ZA"/>
              </w:rPr>
              <w:t xml:space="preserve"> </w:t>
            </w:r>
            <w:r w:rsidRPr="0053423A">
              <w:rPr>
                <w:rFonts w:cs="IRTEK Courier"/>
              </w:rPr>
              <w:t>են</w:t>
            </w:r>
            <w:r w:rsidRPr="0053423A">
              <w:rPr>
                <w:rFonts w:cs="IRTEK Courier"/>
                <w:lang w:val="af-ZA"/>
              </w:rPr>
              <w:t xml:space="preserve"> </w:t>
            </w:r>
            <w:r w:rsidRPr="0053423A">
              <w:rPr>
                <w:rFonts w:cs="IRTEK Courier"/>
              </w:rPr>
              <w:t>ստեղծել</w:t>
            </w:r>
            <w:r w:rsidRPr="0053423A">
              <w:rPr>
                <w:rFonts w:cs="IRTEK Courier"/>
                <w:lang w:val="af-ZA"/>
              </w:rPr>
              <w:t xml:space="preserve"> </w:t>
            </w:r>
            <w:r w:rsidRPr="0053423A">
              <w:rPr>
                <w:rFonts w:cs="IRTEK Courier"/>
              </w:rPr>
              <w:t>ԹՔՕՀ</w:t>
            </w:r>
            <w:r w:rsidRPr="0053423A">
              <w:rPr>
                <w:rFonts w:cs="IRTEK Courier"/>
                <w:lang w:val="af-ZA"/>
              </w:rPr>
              <w:t xml:space="preserve">  </w:t>
            </w:r>
            <w:r w:rsidRPr="0053423A">
              <w:rPr>
                <w:rFonts w:cs="IRTEK Courier"/>
              </w:rPr>
              <w:t>դեմ</w:t>
            </w:r>
            <w:r w:rsidRPr="0053423A">
              <w:rPr>
                <w:rFonts w:cs="IRTEK Courier"/>
                <w:lang w:val="af-ZA"/>
              </w:rPr>
              <w:t xml:space="preserve"> </w:t>
            </w:r>
            <w:r w:rsidRPr="0053423A">
              <w:rPr>
                <w:rFonts w:cs="IRTEK Courier"/>
              </w:rPr>
              <w:t>պայքարի</w:t>
            </w:r>
            <w:r w:rsidRPr="0053423A">
              <w:rPr>
                <w:rFonts w:cs="IRTEK Courier"/>
                <w:lang w:val="af-ZA"/>
              </w:rPr>
              <w:t xml:space="preserve"> </w:t>
            </w:r>
            <w:r w:rsidRPr="0053423A">
              <w:rPr>
                <w:rFonts w:cs="IRTEK Courier"/>
              </w:rPr>
              <w:t>ռազմավարության</w:t>
            </w:r>
            <w:r w:rsidRPr="0053423A">
              <w:rPr>
                <w:rFonts w:cs="IRTEK Courier"/>
                <w:lang w:val="af-ZA"/>
              </w:rPr>
              <w:t xml:space="preserve"> </w:t>
            </w:r>
            <w:r w:rsidRPr="0053423A">
              <w:rPr>
                <w:rFonts w:cs="IRTEK Courier"/>
              </w:rPr>
              <w:t>մշակմանը</w:t>
            </w:r>
            <w:r w:rsidRPr="0053423A">
              <w:rPr>
                <w:rFonts w:cs="IRTEK Courier"/>
                <w:lang w:val="af-ZA"/>
              </w:rPr>
              <w:t>:</w:t>
            </w:r>
          </w:p>
          <w:p w:rsidR="00764E6F" w:rsidRPr="0053423A" w:rsidRDefault="00764E6F" w:rsidP="00A67858">
            <w:pPr>
              <w:tabs>
                <w:tab w:val="left" w:pos="190"/>
              </w:tabs>
              <w:spacing w:line="276" w:lineRule="auto"/>
              <w:jc w:val="both"/>
              <w:rPr>
                <w:rFonts w:cs="IRTEK Courier"/>
                <w:lang w:val="af-ZA"/>
              </w:rPr>
            </w:pPr>
          </w:p>
          <w:p w:rsidR="00764E6F" w:rsidRPr="0053423A" w:rsidRDefault="00764E6F" w:rsidP="00A67858">
            <w:pPr>
              <w:tabs>
                <w:tab w:val="left" w:pos="190"/>
              </w:tabs>
              <w:spacing w:line="276" w:lineRule="auto"/>
              <w:jc w:val="both"/>
              <w:rPr>
                <w:rFonts w:cs="IRTEK Courier"/>
                <w:b/>
                <w:lang w:val="af-ZA"/>
              </w:rPr>
            </w:pPr>
            <w:r w:rsidRPr="0053423A">
              <w:rPr>
                <w:rFonts w:cs="IRTEK Courier"/>
                <w:b/>
                <w:lang w:val="af-ZA"/>
              </w:rPr>
              <w:t xml:space="preserve">   1.2 </w:t>
            </w:r>
            <w:r w:rsidRPr="0053423A">
              <w:rPr>
                <w:rFonts w:cs="IRTEK Courier"/>
                <w:b/>
              </w:rPr>
              <w:t>Առկա</w:t>
            </w:r>
            <w:r w:rsidRPr="0053423A">
              <w:rPr>
                <w:rFonts w:cs="IRTEK Courier"/>
                <w:b/>
                <w:lang w:val="af-ZA"/>
              </w:rPr>
              <w:t xml:space="preserve"> </w:t>
            </w:r>
            <w:r w:rsidRPr="0053423A">
              <w:rPr>
                <w:rFonts w:cs="IRTEK Courier"/>
                <w:b/>
              </w:rPr>
              <w:t>խնդիրների</w:t>
            </w:r>
            <w:r w:rsidRPr="0053423A">
              <w:rPr>
                <w:rFonts w:cs="IRTEK Courier"/>
                <w:b/>
                <w:lang w:val="af-ZA"/>
              </w:rPr>
              <w:t xml:space="preserve"> </w:t>
            </w:r>
            <w:r w:rsidRPr="0053423A">
              <w:rPr>
                <w:rFonts w:cs="IRTEK Courier"/>
                <w:b/>
              </w:rPr>
              <w:t>առաջարկվող</w:t>
            </w:r>
            <w:r w:rsidRPr="0053423A">
              <w:rPr>
                <w:rFonts w:cs="IRTEK Courier"/>
                <w:b/>
                <w:lang w:val="af-ZA"/>
              </w:rPr>
              <w:t xml:space="preserve"> </w:t>
            </w:r>
            <w:r w:rsidRPr="0053423A">
              <w:rPr>
                <w:rFonts w:cs="IRTEK Courier"/>
                <w:b/>
              </w:rPr>
              <w:t>լուծումները</w:t>
            </w:r>
          </w:p>
          <w:p w:rsidR="00764E6F" w:rsidRPr="0053423A" w:rsidRDefault="00764E6F" w:rsidP="00A67858">
            <w:pPr>
              <w:tabs>
                <w:tab w:val="left" w:pos="190"/>
              </w:tabs>
              <w:spacing w:line="276" w:lineRule="auto"/>
              <w:jc w:val="both"/>
              <w:rPr>
                <w:rFonts w:cs="IRTEK Courier"/>
                <w:lang w:val="af-ZA"/>
              </w:rPr>
            </w:pPr>
            <w:r w:rsidRPr="0053423A">
              <w:rPr>
                <w:rFonts w:cs="IRTEK Courier"/>
                <w:lang w:val="af-ZA"/>
              </w:rPr>
              <w:t xml:space="preserve">   </w:t>
            </w:r>
            <w:r w:rsidRPr="0053423A">
              <w:rPr>
                <w:rFonts w:cs="IRTEK Courier"/>
              </w:rPr>
              <w:t>Թոքերի</w:t>
            </w:r>
            <w:r w:rsidRPr="0053423A">
              <w:rPr>
                <w:rFonts w:cs="IRTEK Courier"/>
                <w:lang w:val="af-ZA"/>
              </w:rPr>
              <w:t xml:space="preserve"> </w:t>
            </w:r>
            <w:r w:rsidRPr="0053423A">
              <w:rPr>
                <w:rFonts w:cs="IRTEK Courier"/>
              </w:rPr>
              <w:t>քրոնիկ</w:t>
            </w:r>
            <w:r w:rsidRPr="0053423A">
              <w:rPr>
                <w:rFonts w:cs="IRTEK Courier"/>
                <w:lang w:val="af-ZA"/>
              </w:rPr>
              <w:t xml:space="preserve"> </w:t>
            </w:r>
            <w:r w:rsidRPr="0053423A">
              <w:rPr>
                <w:rFonts w:cs="IRTEK Courier"/>
              </w:rPr>
              <w:t>օբստրուկտիվ</w:t>
            </w:r>
            <w:r w:rsidRPr="0053423A">
              <w:rPr>
                <w:rFonts w:cs="IRTEK Courier"/>
                <w:lang w:val="af-ZA"/>
              </w:rPr>
              <w:t xml:space="preserve"> </w:t>
            </w:r>
            <w:r w:rsidRPr="0053423A">
              <w:rPr>
                <w:rFonts w:cs="IRTEK Courier"/>
              </w:rPr>
              <w:t>հիվանդության</w:t>
            </w:r>
            <w:r w:rsidRPr="0053423A">
              <w:rPr>
                <w:rFonts w:cs="IRTEK Courier"/>
                <w:lang w:val="af-ZA"/>
              </w:rPr>
              <w:t xml:space="preserve"> (</w:t>
            </w:r>
            <w:r w:rsidRPr="0053423A">
              <w:rPr>
                <w:rFonts w:cs="IRTEK Courier"/>
              </w:rPr>
              <w:t>ԹՔՕՀ</w:t>
            </w:r>
            <w:r w:rsidRPr="0053423A">
              <w:rPr>
                <w:rFonts w:cs="IRTEK Courier"/>
                <w:lang w:val="af-ZA"/>
              </w:rPr>
              <w:t xml:space="preserve">)  </w:t>
            </w:r>
            <w:r w:rsidRPr="0053423A">
              <w:rPr>
                <w:rFonts w:cs="IRTEK Courier"/>
              </w:rPr>
              <w:t>դեմ</w:t>
            </w:r>
            <w:r w:rsidRPr="0053423A">
              <w:rPr>
                <w:rFonts w:cs="IRTEK Courier"/>
                <w:lang w:val="af-ZA"/>
              </w:rPr>
              <w:t xml:space="preserve"> </w:t>
            </w:r>
            <w:r w:rsidRPr="0053423A">
              <w:rPr>
                <w:rFonts w:cs="IRTEK Courier"/>
              </w:rPr>
              <w:t>պայքարի</w:t>
            </w:r>
            <w:r w:rsidRPr="0053423A">
              <w:rPr>
                <w:rFonts w:cs="IRTEK Courier"/>
                <w:lang w:val="af-ZA"/>
              </w:rPr>
              <w:t xml:space="preserve"> </w:t>
            </w:r>
            <w:r w:rsidRPr="0053423A">
              <w:rPr>
                <w:rFonts w:cs="IRTEK Courier"/>
              </w:rPr>
              <w:t>ռազմավարության</w:t>
            </w:r>
            <w:r w:rsidRPr="0053423A">
              <w:rPr>
                <w:rFonts w:cs="IRTEK Courier"/>
                <w:lang w:val="af-ZA"/>
              </w:rPr>
              <w:t xml:space="preserve"> </w:t>
            </w:r>
            <w:r w:rsidRPr="0053423A">
              <w:rPr>
                <w:rFonts w:cs="IRTEK Courier"/>
              </w:rPr>
              <w:t>ներդրման</w:t>
            </w:r>
            <w:r w:rsidRPr="0053423A">
              <w:rPr>
                <w:rFonts w:cs="IRTEK Courier"/>
                <w:lang w:val="af-ZA"/>
              </w:rPr>
              <w:t xml:space="preserve"> </w:t>
            </w:r>
            <w:r w:rsidRPr="0053423A">
              <w:rPr>
                <w:rFonts w:cs="IRTEK Courier"/>
              </w:rPr>
              <w:t>աշխատանքների</w:t>
            </w:r>
            <w:r w:rsidRPr="0053423A">
              <w:rPr>
                <w:rFonts w:cs="IRTEK Courier"/>
                <w:lang w:val="af-ZA"/>
              </w:rPr>
              <w:t xml:space="preserve"> </w:t>
            </w:r>
            <w:r w:rsidRPr="0053423A">
              <w:rPr>
                <w:rFonts w:cs="IRTEK Courier"/>
              </w:rPr>
              <w:t>շրջանակներում</w:t>
            </w:r>
            <w:r w:rsidRPr="0053423A">
              <w:rPr>
                <w:rFonts w:cs="IRTEK Courier"/>
                <w:lang w:val="af-ZA"/>
              </w:rPr>
              <w:t xml:space="preserve"> </w:t>
            </w:r>
            <w:r w:rsidRPr="0053423A">
              <w:rPr>
                <w:rFonts w:cs="IRTEK Courier"/>
              </w:rPr>
              <w:t>նախատեսվում</w:t>
            </w:r>
            <w:r w:rsidRPr="0053423A">
              <w:rPr>
                <w:rFonts w:cs="IRTEK Courier"/>
                <w:lang w:val="af-ZA"/>
              </w:rPr>
              <w:t xml:space="preserve"> </w:t>
            </w:r>
            <w:r w:rsidRPr="0053423A">
              <w:rPr>
                <w:rFonts w:cs="IRTEK Courier"/>
              </w:rPr>
              <w:t>է</w:t>
            </w:r>
            <w:r w:rsidRPr="0053423A">
              <w:rPr>
                <w:rFonts w:cs="IRTEK Courier"/>
                <w:lang w:val="af-ZA"/>
              </w:rPr>
              <w:t xml:space="preserve"> </w:t>
            </w:r>
            <w:r w:rsidRPr="0053423A">
              <w:rPr>
                <w:rFonts w:cs="IRTEK Courier"/>
              </w:rPr>
              <w:t>բարձրացնել</w:t>
            </w:r>
            <w:r w:rsidRPr="0053423A">
              <w:rPr>
                <w:rFonts w:cs="IRTEK Courier"/>
                <w:lang w:val="af-ZA"/>
              </w:rPr>
              <w:t xml:space="preserve"> </w:t>
            </w:r>
            <w:r w:rsidRPr="0053423A">
              <w:rPr>
                <w:rFonts w:cs="IRTEK Courier"/>
              </w:rPr>
              <w:t>հասարակության</w:t>
            </w:r>
            <w:r w:rsidRPr="0053423A">
              <w:rPr>
                <w:rFonts w:cs="IRTEK Courier"/>
                <w:lang w:val="af-ZA"/>
              </w:rPr>
              <w:t xml:space="preserve"> </w:t>
            </w:r>
            <w:r w:rsidRPr="0053423A">
              <w:rPr>
                <w:rFonts w:cs="IRTEK Courier"/>
              </w:rPr>
              <w:t>տեղեկացվածությունը</w:t>
            </w:r>
            <w:r w:rsidRPr="0053423A">
              <w:rPr>
                <w:rFonts w:cs="IRTEK Courier"/>
                <w:lang w:val="af-ZA"/>
              </w:rPr>
              <w:t xml:space="preserve"> </w:t>
            </w:r>
            <w:r w:rsidRPr="0053423A">
              <w:rPr>
                <w:rFonts w:cs="IRTEK Courier"/>
              </w:rPr>
              <w:t>ԹՔՕՀ</w:t>
            </w:r>
            <w:r w:rsidRPr="0053423A">
              <w:rPr>
                <w:rFonts w:cs="IRTEK Courier"/>
                <w:lang w:val="af-ZA"/>
              </w:rPr>
              <w:t xml:space="preserve">  </w:t>
            </w:r>
            <w:r w:rsidRPr="0053423A">
              <w:rPr>
                <w:rFonts w:cs="IRTEK Courier"/>
              </w:rPr>
              <w:t>ռիսկի</w:t>
            </w:r>
            <w:r w:rsidRPr="0053423A">
              <w:rPr>
                <w:rFonts w:cs="IRTEK Courier"/>
                <w:lang w:val="af-ZA"/>
              </w:rPr>
              <w:t xml:space="preserve"> </w:t>
            </w:r>
            <w:r w:rsidRPr="0053423A">
              <w:rPr>
                <w:rFonts w:cs="IRTEK Courier"/>
              </w:rPr>
              <w:t>գործոնների</w:t>
            </w:r>
            <w:r w:rsidRPr="0053423A">
              <w:rPr>
                <w:rFonts w:cs="IRTEK Courier"/>
                <w:lang w:val="af-ZA"/>
              </w:rPr>
              <w:t xml:space="preserve"> </w:t>
            </w:r>
            <w:r w:rsidRPr="0053423A">
              <w:rPr>
                <w:rFonts w:cs="IRTEK Courier"/>
              </w:rPr>
              <w:t>և</w:t>
            </w:r>
            <w:r w:rsidRPr="0053423A">
              <w:rPr>
                <w:rFonts w:cs="IRTEK Courier"/>
                <w:lang w:val="af-ZA"/>
              </w:rPr>
              <w:t xml:space="preserve"> </w:t>
            </w:r>
            <w:r w:rsidRPr="0053423A">
              <w:rPr>
                <w:rFonts w:cs="IRTEK Courier"/>
              </w:rPr>
              <w:t>ախտանիշների</w:t>
            </w:r>
            <w:r w:rsidRPr="0053423A">
              <w:rPr>
                <w:rFonts w:cs="IRTEK Courier"/>
                <w:lang w:val="af-ZA"/>
              </w:rPr>
              <w:t xml:space="preserve"> </w:t>
            </w:r>
            <w:r w:rsidRPr="0053423A">
              <w:rPr>
                <w:rFonts w:cs="IRTEK Courier"/>
              </w:rPr>
              <w:t>վերաբերյալ</w:t>
            </w:r>
            <w:r w:rsidRPr="0053423A">
              <w:rPr>
                <w:rFonts w:cs="IRTEK Courier"/>
                <w:lang w:val="af-ZA"/>
              </w:rPr>
              <w:t xml:space="preserve">` </w:t>
            </w:r>
            <w:r w:rsidRPr="0053423A">
              <w:rPr>
                <w:rFonts w:cs="IRTEK Courier"/>
              </w:rPr>
              <w:t>հատկապես</w:t>
            </w:r>
            <w:r w:rsidRPr="0053423A">
              <w:rPr>
                <w:rFonts w:cs="IRTEK Courier"/>
                <w:lang w:val="af-ZA"/>
              </w:rPr>
              <w:t xml:space="preserve"> </w:t>
            </w:r>
            <w:r w:rsidRPr="0053423A">
              <w:rPr>
                <w:rFonts w:cs="IRTEK Courier"/>
              </w:rPr>
              <w:t>ռիսկի</w:t>
            </w:r>
            <w:r w:rsidRPr="0053423A">
              <w:rPr>
                <w:rFonts w:cs="IRTEK Courier"/>
                <w:lang w:val="af-ZA"/>
              </w:rPr>
              <w:t xml:space="preserve"> </w:t>
            </w:r>
            <w:r w:rsidRPr="0053423A">
              <w:rPr>
                <w:rFonts w:cs="IRTEK Courier"/>
              </w:rPr>
              <w:t>խմբում</w:t>
            </w:r>
            <w:r w:rsidRPr="0053423A">
              <w:rPr>
                <w:rFonts w:cs="IRTEK Courier"/>
                <w:lang w:val="af-ZA"/>
              </w:rPr>
              <w:t xml:space="preserve"> </w:t>
            </w:r>
            <w:r w:rsidRPr="0053423A">
              <w:rPr>
                <w:rFonts w:cs="IRTEK Courier"/>
              </w:rPr>
              <w:t>գտնվող</w:t>
            </w:r>
            <w:r w:rsidRPr="0053423A">
              <w:rPr>
                <w:rFonts w:cs="IRTEK Courier"/>
                <w:lang w:val="af-ZA"/>
              </w:rPr>
              <w:t xml:space="preserve"> </w:t>
            </w:r>
            <w:r w:rsidRPr="0053423A">
              <w:rPr>
                <w:rFonts w:cs="IRTEK Courier"/>
              </w:rPr>
              <w:t>անձանց</w:t>
            </w:r>
            <w:r w:rsidRPr="0053423A">
              <w:rPr>
                <w:rFonts w:cs="IRTEK Courier"/>
                <w:lang w:val="af-ZA"/>
              </w:rPr>
              <w:t xml:space="preserve"> </w:t>
            </w:r>
            <w:r w:rsidRPr="0053423A">
              <w:rPr>
                <w:rFonts w:cs="IRTEK Courier"/>
              </w:rPr>
              <w:t>մոտ</w:t>
            </w:r>
            <w:r w:rsidRPr="0053423A">
              <w:rPr>
                <w:rFonts w:cs="IRTEK Courier"/>
                <w:lang w:val="af-ZA"/>
              </w:rPr>
              <w:t xml:space="preserve">, </w:t>
            </w:r>
            <w:r w:rsidRPr="0053423A">
              <w:rPr>
                <w:rFonts w:cs="IRTEK Courier"/>
              </w:rPr>
              <w:t>հաշվի</w:t>
            </w:r>
            <w:r w:rsidRPr="0053423A">
              <w:rPr>
                <w:rFonts w:cs="IRTEK Courier"/>
                <w:lang w:val="af-ZA"/>
              </w:rPr>
              <w:t xml:space="preserve"> </w:t>
            </w:r>
            <w:r w:rsidRPr="0053423A">
              <w:rPr>
                <w:rFonts w:cs="IRTEK Courier"/>
              </w:rPr>
              <w:t>առնելով</w:t>
            </w:r>
            <w:r w:rsidRPr="0053423A">
              <w:rPr>
                <w:rFonts w:cs="IRTEK Courier"/>
                <w:lang w:val="af-ZA"/>
              </w:rPr>
              <w:t xml:space="preserve">, </w:t>
            </w:r>
            <w:r w:rsidRPr="0053423A">
              <w:rPr>
                <w:rFonts w:cs="IRTEK Courier"/>
              </w:rPr>
              <w:t>որ</w:t>
            </w:r>
            <w:r w:rsidRPr="0053423A">
              <w:rPr>
                <w:rFonts w:cs="IRTEK Courier"/>
                <w:lang w:val="af-ZA"/>
              </w:rPr>
              <w:t xml:space="preserve"> </w:t>
            </w:r>
            <w:r w:rsidRPr="0053423A">
              <w:rPr>
                <w:rFonts w:cs="IRTEK Courier"/>
              </w:rPr>
              <w:t>ԹՔՕՀ</w:t>
            </w:r>
            <w:r w:rsidRPr="0053423A">
              <w:rPr>
                <w:rFonts w:cs="IRTEK Courier"/>
                <w:lang w:val="af-ZA"/>
              </w:rPr>
              <w:t xml:space="preserve"> </w:t>
            </w:r>
            <w:r w:rsidRPr="0053423A">
              <w:rPr>
                <w:rFonts w:cs="IRTEK Courier"/>
              </w:rPr>
              <w:t>վաղ</w:t>
            </w:r>
            <w:r w:rsidRPr="0053423A">
              <w:rPr>
                <w:rFonts w:cs="IRTEK Courier"/>
                <w:lang w:val="af-ZA"/>
              </w:rPr>
              <w:t xml:space="preserve"> </w:t>
            </w:r>
            <w:r w:rsidRPr="0053423A">
              <w:rPr>
                <w:rFonts w:cs="IRTEK Courier"/>
              </w:rPr>
              <w:t>փուլերում</w:t>
            </w:r>
            <w:r w:rsidRPr="0053423A">
              <w:rPr>
                <w:rFonts w:cs="IRTEK Courier"/>
                <w:lang w:val="af-ZA"/>
              </w:rPr>
              <w:t xml:space="preserve"> </w:t>
            </w:r>
            <w:r w:rsidRPr="0053423A">
              <w:rPr>
                <w:rFonts w:cs="IRTEK Courier"/>
              </w:rPr>
              <w:t>դրսևորվում</w:t>
            </w:r>
            <w:r w:rsidRPr="0053423A">
              <w:rPr>
                <w:rFonts w:cs="IRTEK Courier"/>
                <w:lang w:val="af-ZA"/>
              </w:rPr>
              <w:t xml:space="preserve"> </w:t>
            </w:r>
            <w:r w:rsidRPr="0053423A">
              <w:rPr>
                <w:rFonts w:cs="IRTEK Courier"/>
              </w:rPr>
              <w:t>է</w:t>
            </w:r>
            <w:r w:rsidRPr="0053423A">
              <w:rPr>
                <w:rFonts w:cs="IRTEK Courier"/>
                <w:lang w:val="af-ZA"/>
              </w:rPr>
              <w:t xml:space="preserve"> </w:t>
            </w:r>
            <w:r w:rsidRPr="0053423A">
              <w:rPr>
                <w:rFonts w:cs="IRTEK Courier"/>
              </w:rPr>
              <w:t>ոչ</w:t>
            </w:r>
            <w:r w:rsidRPr="0053423A">
              <w:rPr>
                <w:rFonts w:cs="IRTEK Courier"/>
                <w:lang w:val="af-ZA"/>
              </w:rPr>
              <w:t xml:space="preserve"> </w:t>
            </w:r>
            <w:r w:rsidRPr="0053423A">
              <w:rPr>
                <w:rFonts w:cs="IRTEK Courier"/>
              </w:rPr>
              <w:t>սպեցիֆիկ</w:t>
            </w:r>
            <w:r w:rsidRPr="0053423A">
              <w:rPr>
                <w:rFonts w:cs="IRTEK Courier"/>
                <w:lang w:val="af-ZA"/>
              </w:rPr>
              <w:t xml:space="preserve"> </w:t>
            </w:r>
            <w:r w:rsidRPr="0053423A">
              <w:rPr>
                <w:rFonts w:cs="IRTEK Courier"/>
              </w:rPr>
              <w:t>ախտանիշներով</w:t>
            </w:r>
            <w:r w:rsidRPr="0053423A">
              <w:rPr>
                <w:rFonts w:cs="IRTEK Courier"/>
                <w:lang w:val="af-ZA"/>
              </w:rPr>
              <w:t xml:space="preserve">: </w:t>
            </w:r>
            <w:r w:rsidRPr="0053423A">
              <w:rPr>
                <w:rFonts w:cs="IRTEK Courier"/>
              </w:rPr>
              <w:t>Մշակել</w:t>
            </w:r>
            <w:r w:rsidRPr="0053423A">
              <w:rPr>
                <w:rFonts w:cs="IRTEK Courier"/>
                <w:lang w:val="af-ZA"/>
              </w:rPr>
              <w:t xml:space="preserve"> </w:t>
            </w:r>
            <w:r w:rsidRPr="0053423A">
              <w:rPr>
                <w:rFonts w:cs="IRTEK Courier"/>
              </w:rPr>
              <w:t>ԹՔՕՀ</w:t>
            </w:r>
            <w:r w:rsidRPr="0053423A">
              <w:rPr>
                <w:rFonts w:cs="IRTEK Courier"/>
                <w:lang w:val="af-ZA"/>
              </w:rPr>
              <w:t xml:space="preserve"> </w:t>
            </w:r>
            <w:r w:rsidRPr="0053423A">
              <w:rPr>
                <w:rFonts w:cs="IRTEK Courier"/>
              </w:rPr>
              <w:t>կանխարգելման</w:t>
            </w:r>
            <w:r w:rsidRPr="0053423A">
              <w:rPr>
                <w:rFonts w:cs="IRTEK Courier"/>
                <w:lang w:val="af-ZA"/>
              </w:rPr>
              <w:t xml:space="preserve">, </w:t>
            </w:r>
            <w:r w:rsidRPr="0053423A">
              <w:rPr>
                <w:rFonts w:cs="IRTEK Courier"/>
              </w:rPr>
              <w:t>ախտորոշման</w:t>
            </w:r>
            <w:r w:rsidRPr="0053423A">
              <w:rPr>
                <w:rFonts w:cs="IRTEK Courier"/>
                <w:lang w:val="af-ZA"/>
              </w:rPr>
              <w:t xml:space="preserve"> </w:t>
            </w:r>
            <w:r w:rsidRPr="0053423A">
              <w:rPr>
                <w:rFonts w:cs="IRTEK Courier"/>
              </w:rPr>
              <w:t>և</w:t>
            </w:r>
            <w:r w:rsidRPr="0053423A">
              <w:rPr>
                <w:rFonts w:cs="IRTEK Courier"/>
                <w:lang w:val="af-ZA"/>
              </w:rPr>
              <w:t xml:space="preserve"> </w:t>
            </w:r>
            <w:r w:rsidRPr="0053423A">
              <w:rPr>
                <w:rFonts w:cs="IRTEK Courier"/>
              </w:rPr>
              <w:t>բուժման</w:t>
            </w:r>
            <w:r w:rsidRPr="0053423A">
              <w:rPr>
                <w:rFonts w:cs="IRTEK Courier"/>
                <w:lang w:val="af-ZA"/>
              </w:rPr>
              <w:t xml:space="preserve"> </w:t>
            </w:r>
            <w:r w:rsidRPr="0053423A">
              <w:rPr>
                <w:rFonts w:cs="IRTEK Courier"/>
              </w:rPr>
              <w:t>միասնական</w:t>
            </w:r>
            <w:r w:rsidRPr="0053423A">
              <w:rPr>
                <w:rFonts w:cs="IRTEK Courier"/>
                <w:lang w:val="af-ZA"/>
              </w:rPr>
              <w:t xml:space="preserve"> </w:t>
            </w:r>
            <w:r w:rsidRPr="0053423A">
              <w:rPr>
                <w:rFonts w:cs="IRTEK Courier"/>
              </w:rPr>
              <w:t>մոտեցումներ</w:t>
            </w:r>
            <w:r w:rsidRPr="0053423A">
              <w:rPr>
                <w:rFonts w:cs="IRTEK Courier"/>
                <w:lang w:val="af-ZA"/>
              </w:rPr>
              <w:t xml:space="preserve">: </w:t>
            </w:r>
            <w:r w:rsidRPr="0053423A">
              <w:rPr>
                <w:rFonts w:cs="IRTEK Courier"/>
              </w:rPr>
              <w:t>Օգտագործելով</w:t>
            </w:r>
            <w:r w:rsidRPr="0053423A">
              <w:rPr>
                <w:rFonts w:cs="IRTEK Courier"/>
                <w:lang w:val="af-ZA"/>
              </w:rPr>
              <w:t xml:space="preserve"> </w:t>
            </w:r>
            <w:r w:rsidRPr="0053423A">
              <w:rPr>
                <w:rFonts w:cs="IRTEK Courier"/>
              </w:rPr>
              <w:t>էլեկտրոնային</w:t>
            </w:r>
            <w:r w:rsidRPr="0053423A">
              <w:rPr>
                <w:rFonts w:cs="IRTEK Courier"/>
                <w:lang w:val="af-ZA"/>
              </w:rPr>
              <w:t xml:space="preserve"> </w:t>
            </w:r>
            <w:r w:rsidRPr="0053423A">
              <w:rPr>
                <w:rFonts w:cs="IRTEK Courier"/>
              </w:rPr>
              <w:t>բժշկության</w:t>
            </w:r>
            <w:r w:rsidRPr="0053423A">
              <w:rPr>
                <w:rFonts w:cs="IRTEK Courier"/>
                <w:lang w:val="af-ZA"/>
              </w:rPr>
              <w:t xml:space="preserve"> </w:t>
            </w:r>
            <w:r w:rsidRPr="0053423A">
              <w:rPr>
                <w:rFonts w:cs="IRTEK Courier"/>
              </w:rPr>
              <w:t>հնարավորությունները</w:t>
            </w:r>
            <w:r w:rsidRPr="0053423A">
              <w:rPr>
                <w:rFonts w:cs="IRTEK Courier"/>
                <w:lang w:val="hy-AM"/>
              </w:rPr>
              <w:t>`</w:t>
            </w:r>
            <w:r w:rsidRPr="0053423A">
              <w:rPr>
                <w:rFonts w:cs="IRTEK Courier"/>
                <w:lang w:val="af-ZA"/>
              </w:rPr>
              <w:t xml:space="preserve"> </w:t>
            </w:r>
            <w:r w:rsidRPr="0053423A">
              <w:rPr>
                <w:rFonts w:cs="IRTEK Courier"/>
              </w:rPr>
              <w:t>գնահատել</w:t>
            </w:r>
            <w:r w:rsidRPr="0053423A">
              <w:rPr>
                <w:rFonts w:cs="IRTEK Courier"/>
                <w:lang w:val="af-ZA"/>
              </w:rPr>
              <w:t xml:space="preserve"> </w:t>
            </w:r>
            <w:r w:rsidRPr="0053423A">
              <w:rPr>
                <w:rFonts w:cs="IRTEK Courier"/>
              </w:rPr>
              <w:t>ԹՔՕՀ</w:t>
            </w:r>
            <w:r w:rsidRPr="0053423A">
              <w:rPr>
                <w:rFonts w:cs="IRTEK Courier"/>
                <w:lang w:val="af-ZA"/>
              </w:rPr>
              <w:t xml:space="preserve"> </w:t>
            </w:r>
            <w:r w:rsidRPr="0053423A">
              <w:rPr>
                <w:rFonts w:cs="IRTEK Courier"/>
              </w:rPr>
              <w:t>ներկայիս</w:t>
            </w:r>
            <w:r w:rsidRPr="0053423A">
              <w:rPr>
                <w:rFonts w:cs="IRTEK Courier"/>
                <w:lang w:val="af-ZA"/>
              </w:rPr>
              <w:t xml:space="preserve"> </w:t>
            </w:r>
            <w:r w:rsidRPr="0053423A">
              <w:rPr>
                <w:rFonts w:cs="IRTEK Courier"/>
              </w:rPr>
              <w:t>առողջապահական</w:t>
            </w:r>
            <w:r w:rsidRPr="0053423A">
              <w:rPr>
                <w:rFonts w:cs="IRTEK Courier"/>
                <w:lang w:val="af-ZA"/>
              </w:rPr>
              <w:t xml:space="preserve"> </w:t>
            </w:r>
            <w:r w:rsidRPr="0053423A">
              <w:rPr>
                <w:rFonts w:cs="IRTEK Courier"/>
              </w:rPr>
              <w:t>վիճակը</w:t>
            </w:r>
            <w:r w:rsidRPr="0053423A">
              <w:rPr>
                <w:rFonts w:cs="IRTEK Courier"/>
                <w:lang w:val="af-ZA"/>
              </w:rPr>
              <w:t xml:space="preserve">, </w:t>
            </w:r>
            <w:r w:rsidRPr="0053423A">
              <w:rPr>
                <w:rFonts w:cs="IRTEK Courier"/>
              </w:rPr>
              <w:t>վերահսկել</w:t>
            </w:r>
            <w:r w:rsidRPr="0053423A">
              <w:rPr>
                <w:rFonts w:cs="IRTEK Courier"/>
                <w:lang w:val="af-ZA"/>
              </w:rPr>
              <w:t xml:space="preserve"> </w:t>
            </w:r>
            <w:r w:rsidRPr="0053423A">
              <w:rPr>
                <w:rFonts w:cs="IRTEK Courier"/>
              </w:rPr>
              <w:t>ԹՔՕՀ</w:t>
            </w:r>
            <w:r w:rsidRPr="0053423A">
              <w:rPr>
                <w:rFonts w:cs="IRTEK Courier"/>
                <w:lang w:val="hy-AM"/>
              </w:rPr>
              <w:t xml:space="preserve"> </w:t>
            </w:r>
            <w:r w:rsidRPr="0053423A">
              <w:rPr>
                <w:rFonts w:cs="IRTEK Courier"/>
              </w:rPr>
              <w:t>տարածվածությունը</w:t>
            </w:r>
            <w:r w:rsidRPr="0053423A">
              <w:rPr>
                <w:rFonts w:cs="IRTEK Courier"/>
                <w:lang w:val="af-ZA"/>
              </w:rPr>
              <w:t xml:space="preserve">, </w:t>
            </w:r>
            <w:r w:rsidRPr="0053423A">
              <w:rPr>
                <w:rFonts w:cs="IRTEK Courier"/>
              </w:rPr>
              <w:t>պացիենտների</w:t>
            </w:r>
            <w:r w:rsidRPr="0053423A">
              <w:rPr>
                <w:rFonts w:cs="IRTEK Courier"/>
                <w:lang w:val="af-ZA"/>
              </w:rPr>
              <w:t xml:space="preserve"> </w:t>
            </w:r>
            <w:r w:rsidRPr="0053423A">
              <w:rPr>
                <w:rFonts w:cs="IRTEK Courier"/>
              </w:rPr>
              <w:t>խնամքն</w:t>
            </w:r>
            <w:r w:rsidRPr="0053423A">
              <w:rPr>
                <w:rFonts w:cs="IRTEK Courier"/>
                <w:lang w:val="af-ZA"/>
              </w:rPr>
              <w:t xml:space="preserve"> </w:t>
            </w:r>
            <w:r w:rsidRPr="0053423A">
              <w:rPr>
                <w:rFonts w:cs="IRTEK Courier"/>
              </w:rPr>
              <w:t>ու</w:t>
            </w:r>
            <w:r w:rsidRPr="0053423A">
              <w:rPr>
                <w:rFonts w:cs="IRTEK Courier"/>
                <w:lang w:val="af-ZA"/>
              </w:rPr>
              <w:t xml:space="preserve"> </w:t>
            </w:r>
            <w:r w:rsidRPr="0053423A">
              <w:rPr>
                <w:rFonts w:cs="IRTEK Courier"/>
              </w:rPr>
              <w:t>բուժումը</w:t>
            </w:r>
            <w:r w:rsidRPr="0053423A">
              <w:rPr>
                <w:rFonts w:cs="IRTEK Courier"/>
                <w:lang w:val="af-ZA"/>
              </w:rPr>
              <w:t xml:space="preserve">` </w:t>
            </w:r>
            <w:r w:rsidRPr="0053423A">
              <w:rPr>
                <w:rFonts w:cs="IRTEK Courier"/>
              </w:rPr>
              <w:t>ներառյալ</w:t>
            </w:r>
            <w:r w:rsidRPr="0053423A">
              <w:rPr>
                <w:rFonts w:cs="IRTEK Courier"/>
                <w:lang w:val="af-ZA"/>
              </w:rPr>
              <w:t xml:space="preserve"> </w:t>
            </w:r>
            <w:r w:rsidRPr="0053423A">
              <w:rPr>
                <w:rFonts w:cs="IRTEK Courier"/>
              </w:rPr>
              <w:t>վերականգնողական</w:t>
            </w:r>
            <w:r w:rsidRPr="0053423A">
              <w:rPr>
                <w:rFonts w:cs="IRTEK Courier"/>
                <w:lang w:val="af-ZA"/>
              </w:rPr>
              <w:t xml:space="preserve"> </w:t>
            </w:r>
            <w:r w:rsidRPr="0053423A">
              <w:rPr>
                <w:rFonts w:cs="IRTEK Courier"/>
              </w:rPr>
              <w:t>բուժումը</w:t>
            </w:r>
            <w:r w:rsidRPr="0053423A">
              <w:rPr>
                <w:rFonts w:cs="IRTEK Courier"/>
                <w:lang w:val="af-ZA"/>
              </w:rPr>
              <w:t>,</w:t>
            </w:r>
            <w:r w:rsidRPr="0053423A">
              <w:rPr>
                <w:rFonts w:cs="IRTEK Courier"/>
                <w:lang w:val="hy-AM"/>
              </w:rPr>
              <w:t xml:space="preserve"> </w:t>
            </w:r>
            <w:r w:rsidRPr="0053423A">
              <w:rPr>
                <w:rFonts w:cs="IRTEK Courier"/>
              </w:rPr>
              <w:t>ուսումնասիրել</w:t>
            </w:r>
            <w:r w:rsidRPr="0053423A">
              <w:rPr>
                <w:rFonts w:cs="IRTEK Courier"/>
                <w:lang w:val="af-ZA"/>
              </w:rPr>
              <w:t xml:space="preserve"> </w:t>
            </w:r>
            <w:r w:rsidRPr="0053423A">
              <w:rPr>
                <w:rFonts w:cs="IRTEK Courier"/>
              </w:rPr>
              <w:t>և</w:t>
            </w:r>
            <w:r w:rsidRPr="0053423A">
              <w:rPr>
                <w:rFonts w:cs="IRTEK Courier"/>
                <w:lang w:val="hy-AM"/>
              </w:rPr>
              <w:t xml:space="preserve"> </w:t>
            </w:r>
            <w:r w:rsidRPr="0053423A">
              <w:rPr>
                <w:rFonts w:cs="IRTEK Courier"/>
              </w:rPr>
              <w:t>ներդնել</w:t>
            </w:r>
            <w:r w:rsidRPr="0053423A">
              <w:rPr>
                <w:rFonts w:cs="IRTEK Courier"/>
                <w:lang w:val="af-ZA"/>
              </w:rPr>
              <w:t xml:space="preserve"> </w:t>
            </w:r>
            <w:r w:rsidRPr="0053423A">
              <w:rPr>
                <w:rFonts w:cs="IRTEK Courier"/>
              </w:rPr>
              <w:t>ախտորոշման</w:t>
            </w:r>
            <w:r w:rsidRPr="0053423A">
              <w:rPr>
                <w:rFonts w:cs="IRTEK Courier"/>
                <w:lang w:val="af-ZA"/>
              </w:rPr>
              <w:t>,</w:t>
            </w:r>
            <w:r w:rsidRPr="0053423A">
              <w:rPr>
                <w:rFonts w:cs="IRTEK Courier"/>
                <w:lang w:val="hy-AM"/>
              </w:rPr>
              <w:t xml:space="preserve"> </w:t>
            </w:r>
            <w:r w:rsidRPr="0053423A">
              <w:rPr>
                <w:rFonts w:cs="IRTEK Courier"/>
              </w:rPr>
              <w:t>բուժման</w:t>
            </w:r>
            <w:r w:rsidRPr="0053423A">
              <w:rPr>
                <w:rFonts w:cs="IRTEK Courier"/>
                <w:lang w:val="af-ZA"/>
              </w:rPr>
              <w:t xml:space="preserve"> </w:t>
            </w:r>
            <w:r w:rsidRPr="0053423A">
              <w:rPr>
                <w:rFonts w:cs="IRTEK Courier"/>
              </w:rPr>
              <w:t>նորարարությունները</w:t>
            </w:r>
            <w:r w:rsidRPr="0053423A">
              <w:rPr>
                <w:rFonts w:cs="IRTEK Courier"/>
                <w:lang w:val="af-ZA"/>
              </w:rPr>
              <w:t>:</w:t>
            </w:r>
            <w:r w:rsidRPr="0053423A">
              <w:rPr>
                <w:rFonts w:cs="IRTEK Courier"/>
                <w:lang w:val="hy-AM"/>
              </w:rPr>
              <w:t xml:space="preserve"> </w:t>
            </w:r>
            <w:r w:rsidRPr="0053423A">
              <w:rPr>
                <w:rFonts w:cs="IRTEK Courier"/>
              </w:rPr>
              <w:t>Աջակցել</w:t>
            </w:r>
            <w:r w:rsidRPr="0053423A">
              <w:rPr>
                <w:rFonts w:cs="IRTEK Courier"/>
                <w:lang w:val="af-ZA"/>
              </w:rPr>
              <w:t xml:space="preserve"> </w:t>
            </w:r>
            <w:r w:rsidRPr="0053423A">
              <w:rPr>
                <w:rFonts w:cs="IRTEK Courier"/>
              </w:rPr>
              <w:t>ԹՔՕՀ</w:t>
            </w:r>
            <w:r w:rsidRPr="0053423A">
              <w:rPr>
                <w:rFonts w:cs="IRTEK Courier"/>
                <w:lang w:val="af-ZA"/>
              </w:rPr>
              <w:t xml:space="preserve"> </w:t>
            </w:r>
            <w:r w:rsidRPr="0053423A">
              <w:rPr>
                <w:rFonts w:cs="IRTEK Courier"/>
              </w:rPr>
              <w:t>բնագավառում</w:t>
            </w:r>
            <w:r w:rsidRPr="0053423A">
              <w:rPr>
                <w:rFonts w:cs="IRTEK Courier"/>
                <w:lang w:val="af-ZA"/>
              </w:rPr>
              <w:t xml:space="preserve"> </w:t>
            </w:r>
            <w:r w:rsidRPr="0053423A">
              <w:rPr>
                <w:rFonts w:cs="IRTEK Courier"/>
              </w:rPr>
              <w:t>գիտական</w:t>
            </w:r>
            <w:r w:rsidRPr="0053423A">
              <w:rPr>
                <w:rFonts w:cs="IRTEK Courier"/>
                <w:lang w:val="af-ZA"/>
              </w:rPr>
              <w:t xml:space="preserve"> </w:t>
            </w:r>
            <w:r w:rsidRPr="0053423A">
              <w:rPr>
                <w:rFonts w:cs="IRTEK Courier"/>
              </w:rPr>
              <w:t>հետազոտությունների</w:t>
            </w:r>
            <w:r w:rsidRPr="0053423A">
              <w:rPr>
                <w:rFonts w:cs="IRTEK Courier"/>
                <w:lang w:val="af-ZA"/>
              </w:rPr>
              <w:t xml:space="preserve"> </w:t>
            </w:r>
            <w:r w:rsidRPr="0053423A">
              <w:rPr>
                <w:rFonts w:cs="IRTEK Courier"/>
              </w:rPr>
              <w:t>իրականաց</w:t>
            </w:r>
            <w:r w:rsidRPr="0053423A">
              <w:rPr>
                <w:rFonts w:cs="IRTEK Courier"/>
                <w:lang w:val="hy-AM"/>
              </w:rPr>
              <w:t>ման</w:t>
            </w:r>
            <w:r w:rsidRPr="0053423A">
              <w:rPr>
                <w:rFonts w:cs="IRTEK Courier"/>
              </w:rPr>
              <w:t>ը</w:t>
            </w:r>
            <w:r w:rsidRPr="0053423A">
              <w:rPr>
                <w:rFonts w:cs="IRTEK Courier"/>
                <w:lang w:val="af-ZA"/>
              </w:rPr>
              <w:t xml:space="preserve">` </w:t>
            </w:r>
            <w:r w:rsidRPr="0053423A">
              <w:rPr>
                <w:rFonts w:cs="IRTEK Courier"/>
              </w:rPr>
              <w:t>հիվանդության</w:t>
            </w:r>
            <w:r w:rsidRPr="0053423A">
              <w:rPr>
                <w:rFonts w:cs="IRTEK Courier"/>
                <w:lang w:val="af-ZA"/>
              </w:rPr>
              <w:t xml:space="preserve"> </w:t>
            </w:r>
            <w:r w:rsidRPr="0053423A">
              <w:rPr>
                <w:rFonts w:cs="IRTEK Courier"/>
              </w:rPr>
              <w:t>կանխարգելման</w:t>
            </w:r>
            <w:r w:rsidRPr="0053423A">
              <w:rPr>
                <w:rFonts w:cs="IRTEK Courier"/>
                <w:lang w:val="af-ZA"/>
              </w:rPr>
              <w:t xml:space="preserve">, </w:t>
            </w:r>
            <w:r w:rsidRPr="0053423A">
              <w:rPr>
                <w:rFonts w:cs="IRTEK Courier"/>
              </w:rPr>
              <w:t>ախտորոշման</w:t>
            </w:r>
            <w:r w:rsidRPr="0053423A">
              <w:rPr>
                <w:rFonts w:cs="IRTEK Courier"/>
                <w:lang w:val="af-ZA"/>
              </w:rPr>
              <w:t xml:space="preserve"> </w:t>
            </w:r>
            <w:r w:rsidRPr="0053423A">
              <w:rPr>
                <w:rFonts w:cs="IRTEK Courier"/>
              </w:rPr>
              <w:t>և</w:t>
            </w:r>
            <w:r w:rsidRPr="0053423A">
              <w:rPr>
                <w:rFonts w:cs="IRTEK Courier"/>
                <w:lang w:val="af-ZA"/>
              </w:rPr>
              <w:t xml:space="preserve"> </w:t>
            </w:r>
            <w:r w:rsidRPr="0053423A">
              <w:rPr>
                <w:rFonts w:cs="IRTEK Courier"/>
              </w:rPr>
              <w:t>բուժման</w:t>
            </w:r>
            <w:r w:rsidRPr="0053423A">
              <w:rPr>
                <w:rFonts w:cs="IRTEK Courier"/>
                <w:lang w:val="af-ZA"/>
              </w:rPr>
              <w:t xml:space="preserve"> </w:t>
            </w:r>
            <w:r w:rsidRPr="0053423A">
              <w:rPr>
                <w:rFonts w:cs="IRTEK Courier"/>
              </w:rPr>
              <w:t>նոր</w:t>
            </w:r>
            <w:r w:rsidRPr="0053423A">
              <w:rPr>
                <w:rFonts w:cs="IRTEK Courier"/>
                <w:lang w:val="af-ZA"/>
              </w:rPr>
              <w:t xml:space="preserve"> </w:t>
            </w:r>
            <w:r w:rsidRPr="0053423A">
              <w:rPr>
                <w:rFonts w:cs="IRTEK Courier"/>
              </w:rPr>
              <w:t>և</w:t>
            </w:r>
            <w:r w:rsidRPr="0053423A">
              <w:rPr>
                <w:rFonts w:cs="IRTEK Courier"/>
                <w:lang w:val="af-ZA"/>
              </w:rPr>
              <w:t xml:space="preserve"> </w:t>
            </w:r>
            <w:r w:rsidRPr="0053423A">
              <w:rPr>
                <w:rFonts w:cs="IRTEK Courier"/>
              </w:rPr>
              <w:t>առավել</w:t>
            </w:r>
            <w:r w:rsidRPr="0053423A">
              <w:rPr>
                <w:rFonts w:cs="IRTEK Courier"/>
                <w:lang w:val="af-ZA"/>
              </w:rPr>
              <w:t xml:space="preserve"> </w:t>
            </w:r>
            <w:r w:rsidRPr="0053423A">
              <w:rPr>
                <w:rFonts w:cs="IRTEK Courier"/>
              </w:rPr>
              <w:t>արդյունավետ</w:t>
            </w:r>
            <w:r w:rsidRPr="0053423A">
              <w:rPr>
                <w:rFonts w:cs="IRTEK Courier"/>
                <w:lang w:val="af-ZA"/>
              </w:rPr>
              <w:t xml:space="preserve"> </w:t>
            </w:r>
            <w:r w:rsidRPr="0053423A">
              <w:rPr>
                <w:rFonts w:cs="IRTEK Courier"/>
              </w:rPr>
              <w:t>միջոցների</w:t>
            </w:r>
            <w:r w:rsidRPr="0053423A">
              <w:rPr>
                <w:rFonts w:cs="IRTEK Courier"/>
                <w:lang w:val="af-ZA"/>
              </w:rPr>
              <w:t xml:space="preserve"> </w:t>
            </w:r>
            <w:r w:rsidRPr="0053423A">
              <w:rPr>
                <w:rFonts w:cs="IRTEK Courier"/>
              </w:rPr>
              <w:t>մշակման</w:t>
            </w:r>
            <w:r w:rsidRPr="0053423A">
              <w:rPr>
                <w:rFonts w:cs="IRTEK Courier"/>
                <w:lang w:val="af-ZA"/>
              </w:rPr>
              <w:t xml:space="preserve"> </w:t>
            </w:r>
            <w:r w:rsidRPr="0053423A">
              <w:rPr>
                <w:rFonts w:cs="IRTEK Courier"/>
              </w:rPr>
              <w:t>նպատակով</w:t>
            </w:r>
            <w:r w:rsidRPr="0053423A">
              <w:rPr>
                <w:rFonts w:cs="IRTEK Courier"/>
                <w:lang w:val="af-ZA"/>
              </w:rPr>
              <w:t>:</w:t>
            </w:r>
          </w:p>
          <w:p w:rsidR="00764E6F" w:rsidRPr="0053423A" w:rsidRDefault="00764E6F" w:rsidP="00A67858">
            <w:pPr>
              <w:spacing w:line="276" w:lineRule="auto"/>
              <w:jc w:val="both"/>
              <w:rPr>
                <w:lang w:val="hy-AM"/>
              </w:rPr>
            </w:pPr>
            <w:r w:rsidRPr="0053423A">
              <w:rPr>
                <w:lang w:val="af-ZA"/>
              </w:rPr>
              <w:t xml:space="preserve">   </w:t>
            </w:r>
            <w:r w:rsidRPr="0053423A">
              <w:rPr>
                <w:lang w:val="hy-AM"/>
              </w:rPr>
              <w:t>Նախատեսվում է մշակված փաստաթղթերը և իրականացվող միջոցառումները քննարկել և կարծիք ստանալ բոլոր շահագրգիռ կառույցներից, մասնավորապես, տարածքային կառավարման և զարգացման նախարարությունից,  ՀՀ մարզպետարաններից և</w:t>
            </w:r>
            <w:r w:rsidRPr="0053423A">
              <w:rPr>
                <w:lang w:val="af-ZA"/>
              </w:rPr>
              <w:t xml:space="preserve"> </w:t>
            </w:r>
            <w:r w:rsidRPr="0053423A">
              <w:rPr>
                <w:lang w:val="hy-AM"/>
              </w:rPr>
              <w:t>Երևանի քաղաքապետարանից:</w:t>
            </w:r>
          </w:p>
          <w:p w:rsidR="00764E6F" w:rsidRPr="0053423A" w:rsidRDefault="00764E6F" w:rsidP="00A67858">
            <w:pPr>
              <w:tabs>
                <w:tab w:val="left" w:pos="190"/>
              </w:tabs>
              <w:spacing w:line="276" w:lineRule="auto"/>
              <w:jc w:val="both"/>
              <w:rPr>
                <w:rFonts w:cs="IRTEK Courier"/>
                <w:lang w:val="hy-AM"/>
              </w:rPr>
            </w:pPr>
          </w:p>
          <w:p w:rsidR="00764E6F" w:rsidRPr="0053423A" w:rsidRDefault="00764E6F" w:rsidP="00A67858">
            <w:pPr>
              <w:tabs>
                <w:tab w:val="left" w:pos="190"/>
              </w:tabs>
              <w:spacing w:line="276" w:lineRule="auto"/>
              <w:jc w:val="both"/>
              <w:rPr>
                <w:rFonts w:cs="IRTEK Courier"/>
                <w:b/>
                <w:lang w:val="af-ZA"/>
              </w:rPr>
            </w:pPr>
            <w:r w:rsidRPr="0053423A">
              <w:rPr>
                <w:rFonts w:cs="IRTEK Courier"/>
                <w:b/>
                <w:lang w:val="af-ZA"/>
              </w:rPr>
              <w:t xml:space="preserve">   2. </w:t>
            </w:r>
            <w:r w:rsidRPr="0053423A">
              <w:rPr>
                <w:rFonts w:cs="IRTEK Courier"/>
                <w:b/>
                <w:lang w:val="hy-AM"/>
              </w:rPr>
              <w:t>Միջոցառման</w:t>
            </w:r>
            <w:r w:rsidRPr="0053423A">
              <w:rPr>
                <w:rFonts w:cs="IRTEK Courier"/>
                <w:b/>
                <w:lang w:val="af-ZA"/>
              </w:rPr>
              <w:t xml:space="preserve"> </w:t>
            </w:r>
            <w:r w:rsidRPr="0053423A">
              <w:rPr>
                <w:rFonts w:cs="IRTEK Courier"/>
                <w:b/>
                <w:lang w:val="hy-AM"/>
              </w:rPr>
              <w:t>իրականացումից</w:t>
            </w:r>
            <w:r w:rsidRPr="0053423A">
              <w:rPr>
                <w:rFonts w:cs="IRTEK Courier"/>
                <w:b/>
                <w:lang w:val="af-ZA"/>
              </w:rPr>
              <w:t xml:space="preserve"> </w:t>
            </w:r>
            <w:r w:rsidRPr="0053423A">
              <w:rPr>
                <w:rFonts w:cs="IRTEK Courier"/>
                <w:b/>
                <w:lang w:val="hy-AM"/>
              </w:rPr>
              <w:t>ակնկալվող</w:t>
            </w:r>
            <w:r w:rsidRPr="0053423A">
              <w:rPr>
                <w:rFonts w:cs="IRTEK Courier"/>
                <w:b/>
                <w:lang w:val="af-ZA"/>
              </w:rPr>
              <w:t xml:space="preserve"> </w:t>
            </w:r>
            <w:r w:rsidRPr="0053423A">
              <w:rPr>
                <w:rFonts w:cs="IRTEK Courier"/>
                <w:b/>
                <w:lang w:val="hy-AM"/>
              </w:rPr>
              <w:t>արդյունքը</w:t>
            </w:r>
          </w:p>
          <w:p w:rsidR="00764E6F" w:rsidRPr="0053423A" w:rsidRDefault="00764E6F" w:rsidP="00A67858">
            <w:pPr>
              <w:tabs>
                <w:tab w:val="left" w:pos="190"/>
              </w:tabs>
              <w:spacing w:line="276" w:lineRule="auto"/>
              <w:jc w:val="both"/>
              <w:rPr>
                <w:rFonts w:cs="IRTEK Courier"/>
                <w:lang w:val="af-ZA"/>
              </w:rPr>
            </w:pPr>
            <w:r w:rsidRPr="0053423A">
              <w:rPr>
                <w:rFonts w:cs="IRTEK Courier"/>
                <w:lang w:val="hy-AM"/>
              </w:rPr>
              <w:t xml:space="preserve">   Թոքերի</w:t>
            </w:r>
            <w:r w:rsidRPr="0053423A">
              <w:rPr>
                <w:rFonts w:cs="IRTEK Courier"/>
                <w:lang w:val="af-ZA"/>
              </w:rPr>
              <w:t xml:space="preserve"> </w:t>
            </w:r>
            <w:r w:rsidRPr="0053423A">
              <w:rPr>
                <w:rFonts w:cs="IRTEK Courier"/>
                <w:lang w:val="hy-AM"/>
              </w:rPr>
              <w:t>քրոնիկ</w:t>
            </w:r>
            <w:r w:rsidRPr="0053423A">
              <w:rPr>
                <w:rFonts w:cs="IRTEK Courier"/>
                <w:lang w:val="af-ZA"/>
              </w:rPr>
              <w:t xml:space="preserve"> </w:t>
            </w:r>
            <w:r w:rsidRPr="0053423A">
              <w:rPr>
                <w:rFonts w:cs="IRTEK Courier"/>
                <w:lang w:val="hy-AM"/>
              </w:rPr>
              <w:t>օբստրուկտիվ</w:t>
            </w:r>
            <w:r w:rsidRPr="0053423A">
              <w:rPr>
                <w:rFonts w:cs="IRTEK Courier"/>
                <w:lang w:val="af-ZA"/>
              </w:rPr>
              <w:t xml:space="preserve"> </w:t>
            </w:r>
            <w:r w:rsidRPr="0053423A">
              <w:rPr>
                <w:rFonts w:cs="IRTEK Courier"/>
                <w:lang w:val="hy-AM"/>
              </w:rPr>
              <w:t>հիվանդության</w:t>
            </w:r>
            <w:r w:rsidRPr="0053423A">
              <w:rPr>
                <w:rFonts w:cs="IRTEK Courier"/>
                <w:lang w:val="af-ZA"/>
              </w:rPr>
              <w:t xml:space="preserve"> (</w:t>
            </w:r>
            <w:r w:rsidRPr="0053423A">
              <w:rPr>
                <w:rFonts w:cs="IRTEK Courier"/>
                <w:lang w:val="hy-AM"/>
              </w:rPr>
              <w:t>ԹՔՕՀ</w:t>
            </w:r>
            <w:r w:rsidRPr="0053423A">
              <w:rPr>
                <w:rFonts w:cs="IRTEK Courier"/>
                <w:lang w:val="af-ZA"/>
              </w:rPr>
              <w:t xml:space="preserve">)  </w:t>
            </w:r>
            <w:r w:rsidRPr="0053423A">
              <w:rPr>
                <w:rFonts w:cs="IRTEK Courier"/>
                <w:lang w:val="hy-AM"/>
              </w:rPr>
              <w:t>դեմ</w:t>
            </w:r>
            <w:r w:rsidRPr="0053423A">
              <w:rPr>
                <w:rFonts w:cs="IRTEK Courier"/>
                <w:lang w:val="af-ZA"/>
              </w:rPr>
              <w:t xml:space="preserve"> </w:t>
            </w:r>
            <w:r w:rsidRPr="0053423A">
              <w:rPr>
                <w:rFonts w:cs="IRTEK Courier"/>
                <w:lang w:val="hy-AM"/>
              </w:rPr>
              <w:t>պայքարի</w:t>
            </w:r>
            <w:r w:rsidRPr="0053423A">
              <w:rPr>
                <w:rFonts w:cs="IRTEK Courier"/>
                <w:lang w:val="af-ZA"/>
              </w:rPr>
              <w:t xml:space="preserve"> </w:t>
            </w:r>
            <w:r w:rsidRPr="0053423A">
              <w:rPr>
                <w:rFonts w:cs="IRTEK Courier"/>
                <w:lang w:val="hy-AM"/>
              </w:rPr>
              <w:t>ռազմավարության</w:t>
            </w:r>
            <w:r w:rsidRPr="0053423A">
              <w:rPr>
                <w:rFonts w:cs="IRTEK Courier"/>
                <w:lang w:val="af-ZA"/>
              </w:rPr>
              <w:t xml:space="preserve"> </w:t>
            </w:r>
            <w:r w:rsidRPr="0053423A">
              <w:rPr>
                <w:rFonts w:cs="IRTEK Courier"/>
                <w:lang w:val="hy-AM"/>
              </w:rPr>
              <w:t>ներդրման</w:t>
            </w:r>
            <w:r w:rsidRPr="0053423A">
              <w:rPr>
                <w:rFonts w:cs="IRTEK Courier"/>
                <w:lang w:val="af-ZA"/>
              </w:rPr>
              <w:t xml:space="preserve"> </w:t>
            </w:r>
            <w:r w:rsidRPr="0053423A">
              <w:rPr>
                <w:rFonts w:cs="IRTEK Courier"/>
                <w:lang w:val="hy-AM"/>
              </w:rPr>
              <w:t>արդյունքում, բարձրացնելով</w:t>
            </w:r>
            <w:r w:rsidRPr="0053423A">
              <w:rPr>
                <w:rFonts w:cs="IRTEK Courier"/>
                <w:lang w:val="af-ZA"/>
              </w:rPr>
              <w:t xml:space="preserve"> </w:t>
            </w:r>
            <w:r w:rsidRPr="0053423A">
              <w:rPr>
                <w:rFonts w:cs="IRTEK Courier"/>
                <w:lang w:val="hy-AM"/>
              </w:rPr>
              <w:t>հասարակության</w:t>
            </w:r>
            <w:r w:rsidRPr="0053423A">
              <w:rPr>
                <w:rFonts w:cs="IRTEK Courier"/>
                <w:lang w:val="af-ZA"/>
              </w:rPr>
              <w:t xml:space="preserve"> </w:t>
            </w:r>
            <w:r w:rsidRPr="0053423A">
              <w:rPr>
                <w:rFonts w:cs="IRTEK Courier"/>
                <w:lang w:val="hy-AM"/>
              </w:rPr>
              <w:t>տեղեկացվածությունը ԹՔՕՀ</w:t>
            </w:r>
            <w:r w:rsidRPr="0053423A">
              <w:rPr>
                <w:rFonts w:cs="IRTEK Courier"/>
                <w:lang w:val="af-ZA"/>
              </w:rPr>
              <w:t xml:space="preserve"> </w:t>
            </w:r>
            <w:r w:rsidRPr="0053423A">
              <w:rPr>
                <w:rFonts w:cs="IRTEK Courier"/>
                <w:lang w:val="hy-AM"/>
              </w:rPr>
              <w:t>ռիսկի</w:t>
            </w:r>
            <w:r w:rsidRPr="0053423A">
              <w:rPr>
                <w:rFonts w:cs="IRTEK Courier"/>
                <w:lang w:val="af-ZA"/>
              </w:rPr>
              <w:t xml:space="preserve"> </w:t>
            </w:r>
            <w:r w:rsidRPr="0053423A">
              <w:rPr>
                <w:rFonts w:cs="IRTEK Courier"/>
                <w:lang w:val="hy-AM"/>
              </w:rPr>
              <w:t>գործոնների</w:t>
            </w:r>
            <w:r w:rsidRPr="0053423A">
              <w:rPr>
                <w:rFonts w:cs="IRTEK Courier"/>
                <w:lang w:val="af-ZA"/>
              </w:rPr>
              <w:t xml:space="preserve"> </w:t>
            </w:r>
            <w:r w:rsidRPr="0053423A">
              <w:rPr>
                <w:rFonts w:cs="IRTEK Courier"/>
                <w:lang w:val="hy-AM"/>
              </w:rPr>
              <w:t>և</w:t>
            </w:r>
            <w:r w:rsidRPr="0053423A">
              <w:rPr>
                <w:rFonts w:cs="IRTEK Courier"/>
                <w:lang w:val="af-ZA"/>
              </w:rPr>
              <w:t xml:space="preserve"> </w:t>
            </w:r>
            <w:r w:rsidRPr="0053423A">
              <w:rPr>
                <w:rFonts w:cs="IRTEK Courier"/>
                <w:lang w:val="hy-AM"/>
              </w:rPr>
              <w:t>ախտանիշների</w:t>
            </w:r>
            <w:r w:rsidRPr="0053423A">
              <w:rPr>
                <w:rFonts w:cs="IRTEK Courier"/>
                <w:lang w:val="af-ZA"/>
              </w:rPr>
              <w:t xml:space="preserve"> </w:t>
            </w:r>
            <w:r w:rsidRPr="0053423A">
              <w:rPr>
                <w:rFonts w:cs="IRTEK Courier"/>
                <w:lang w:val="hy-AM"/>
              </w:rPr>
              <w:t>վերաբերյալ</w:t>
            </w:r>
            <w:r w:rsidRPr="0053423A">
              <w:rPr>
                <w:rFonts w:cs="IRTEK Courier"/>
                <w:lang w:val="af-ZA"/>
              </w:rPr>
              <w:t xml:space="preserve">, </w:t>
            </w:r>
            <w:r w:rsidRPr="0053423A">
              <w:rPr>
                <w:rFonts w:cs="IRTEK Courier"/>
                <w:lang w:val="hy-AM"/>
              </w:rPr>
              <w:t>վերահսկելով</w:t>
            </w:r>
            <w:r w:rsidRPr="0053423A">
              <w:rPr>
                <w:rFonts w:cs="IRTEK Courier"/>
                <w:lang w:val="af-ZA"/>
              </w:rPr>
              <w:t xml:space="preserve"> </w:t>
            </w:r>
            <w:r w:rsidRPr="0053423A">
              <w:rPr>
                <w:rFonts w:cs="IRTEK Courier"/>
                <w:lang w:val="hy-AM"/>
              </w:rPr>
              <w:t>ԹՔՕՀ</w:t>
            </w:r>
            <w:r w:rsidRPr="0053423A">
              <w:rPr>
                <w:rFonts w:cs="IRTEK Courier"/>
                <w:lang w:val="af-ZA"/>
              </w:rPr>
              <w:t xml:space="preserve"> </w:t>
            </w:r>
            <w:r w:rsidRPr="0053423A">
              <w:rPr>
                <w:rFonts w:cs="IRTEK Courier"/>
                <w:lang w:val="hy-AM"/>
              </w:rPr>
              <w:t>տարածվածությունը</w:t>
            </w:r>
            <w:r w:rsidRPr="0053423A">
              <w:rPr>
                <w:rFonts w:cs="IRTEK Courier"/>
                <w:lang w:val="af-ZA"/>
              </w:rPr>
              <w:t xml:space="preserve">, </w:t>
            </w:r>
            <w:r w:rsidRPr="0053423A">
              <w:rPr>
                <w:rFonts w:cs="IRTEK Courier"/>
                <w:lang w:val="hy-AM"/>
              </w:rPr>
              <w:t>պացիենտների</w:t>
            </w:r>
            <w:r w:rsidRPr="0053423A">
              <w:rPr>
                <w:rFonts w:cs="IRTEK Courier"/>
                <w:lang w:val="af-ZA"/>
              </w:rPr>
              <w:t xml:space="preserve"> </w:t>
            </w:r>
            <w:r w:rsidRPr="0053423A">
              <w:rPr>
                <w:rFonts w:cs="IRTEK Courier"/>
                <w:lang w:val="hy-AM"/>
              </w:rPr>
              <w:t>խնամքն</w:t>
            </w:r>
            <w:r w:rsidRPr="0053423A">
              <w:rPr>
                <w:rFonts w:cs="IRTEK Courier"/>
                <w:lang w:val="af-ZA"/>
              </w:rPr>
              <w:t xml:space="preserve"> </w:t>
            </w:r>
            <w:r w:rsidRPr="0053423A">
              <w:rPr>
                <w:rFonts w:cs="IRTEK Courier"/>
                <w:lang w:val="hy-AM"/>
              </w:rPr>
              <w:t>ու</w:t>
            </w:r>
            <w:r w:rsidRPr="0053423A">
              <w:rPr>
                <w:rFonts w:cs="IRTEK Courier"/>
                <w:lang w:val="af-ZA"/>
              </w:rPr>
              <w:t xml:space="preserve"> </w:t>
            </w:r>
            <w:r w:rsidRPr="0053423A">
              <w:rPr>
                <w:rFonts w:cs="IRTEK Courier"/>
                <w:lang w:val="hy-AM"/>
              </w:rPr>
              <w:t>բուժումը</w:t>
            </w:r>
            <w:r w:rsidRPr="0053423A">
              <w:rPr>
                <w:rFonts w:cs="IRTEK Courier"/>
                <w:lang w:val="af-ZA"/>
              </w:rPr>
              <w:t xml:space="preserve">, </w:t>
            </w:r>
            <w:r w:rsidRPr="0053423A">
              <w:rPr>
                <w:rFonts w:cs="IRTEK Courier"/>
                <w:lang w:val="hy-AM"/>
              </w:rPr>
              <w:t>ակնկալվում</w:t>
            </w:r>
            <w:r w:rsidRPr="0053423A">
              <w:rPr>
                <w:rFonts w:cs="IRTEK Courier"/>
                <w:lang w:val="af-ZA"/>
              </w:rPr>
              <w:t xml:space="preserve"> </w:t>
            </w:r>
            <w:r w:rsidRPr="0053423A">
              <w:rPr>
                <w:rFonts w:cs="IRTEK Courier"/>
                <w:lang w:val="hy-AM"/>
              </w:rPr>
              <w:t>է</w:t>
            </w:r>
            <w:r w:rsidRPr="0053423A">
              <w:rPr>
                <w:rFonts w:cs="IRTEK Courier"/>
                <w:lang w:val="af-ZA"/>
              </w:rPr>
              <w:t xml:space="preserve"> </w:t>
            </w:r>
            <w:r w:rsidRPr="0053423A">
              <w:rPr>
                <w:rFonts w:cs="IRTEK Courier"/>
                <w:lang w:val="hy-AM"/>
              </w:rPr>
              <w:t>իջեցնել</w:t>
            </w:r>
            <w:r w:rsidRPr="0053423A">
              <w:rPr>
                <w:rFonts w:cs="IRTEK Courier"/>
                <w:lang w:val="af-ZA"/>
              </w:rPr>
              <w:t xml:space="preserve"> </w:t>
            </w:r>
            <w:r w:rsidRPr="0053423A">
              <w:rPr>
                <w:rFonts w:cs="IRTEK Courier"/>
                <w:lang w:val="hy-AM"/>
              </w:rPr>
              <w:t>ԹՔՕՀ</w:t>
            </w:r>
            <w:r w:rsidRPr="0053423A">
              <w:rPr>
                <w:rFonts w:cs="IRTEK Courier"/>
                <w:lang w:val="af-ZA"/>
              </w:rPr>
              <w:t xml:space="preserve"> </w:t>
            </w:r>
            <w:r w:rsidRPr="0053423A">
              <w:rPr>
                <w:rFonts w:cs="IRTEK Courier"/>
                <w:lang w:val="hy-AM"/>
              </w:rPr>
              <w:t>մահաբերության</w:t>
            </w:r>
            <w:r w:rsidRPr="0053423A">
              <w:rPr>
                <w:rFonts w:cs="IRTEK Courier"/>
                <w:lang w:val="af-ZA"/>
              </w:rPr>
              <w:t xml:space="preserve"> </w:t>
            </w:r>
            <w:r w:rsidRPr="0053423A">
              <w:rPr>
                <w:rFonts w:cs="IRTEK Courier"/>
                <w:lang w:val="hy-AM"/>
              </w:rPr>
              <w:t>և</w:t>
            </w:r>
            <w:r w:rsidRPr="0053423A">
              <w:rPr>
                <w:rFonts w:cs="IRTEK Courier"/>
                <w:lang w:val="af-ZA"/>
              </w:rPr>
              <w:t xml:space="preserve"> </w:t>
            </w:r>
            <w:r w:rsidRPr="0053423A">
              <w:rPr>
                <w:rFonts w:cs="IRTEK Courier"/>
                <w:lang w:val="hy-AM"/>
              </w:rPr>
              <w:t>հաշմանդամության</w:t>
            </w:r>
            <w:r w:rsidRPr="0053423A">
              <w:rPr>
                <w:rFonts w:cs="IRTEK Courier"/>
                <w:lang w:val="af-ZA"/>
              </w:rPr>
              <w:t xml:space="preserve"> </w:t>
            </w:r>
            <w:r w:rsidRPr="0053423A">
              <w:rPr>
                <w:rFonts w:cs="IRTEK Courier"/>
                <w:lang w:val="hy-AM"/>
              </w:rPr>
              <w:t>ցուցանիշները</w:t>
            </w:r>
            <w:r w:rsidRPr="0053423A">
              <w:rPr>
                <w:rFonts w:cs="IRTEK Courier"/>
                <w:lang w:val="af-ZA"/>
              </w:rPr>
              <w:t xml:space="preserve">, </w:t>
            </w:r>
            <w:r w:rsidRPr="0053423A">
              <w:rPr>
                <w:rFonts w:cs="IRTEK Courier"/>
                <w:lang w:val="hy-AM"/>
              </w:rPr>
              <w:t>բարելավել</w:t>
            </w:r>
            <w:r w:rsidRPr="0053423A">
              <w:rPr>
                <w:rFonts w:cs="IRTEK Courier"/>
                <w:lang w:val="af-ZA"/>
              </w:rPr>
              <w:t xml:space="preserve"> </w:t>
            </w:r>
            <w:r w:rsidRPr="0053423A">
              <w:rPr>
                <w:rFonts w:cs="IRTEK Courier"/>
                <w:lang w:val="hy-AM"/>
              </w:rPr>
              <w:t>պացիենտների</w:t>
            </w:r>
            <w:r w:rsidRPr="0053423A">
              <w:rPr>
                <w:rFonts w:cs="IRTEK Courier"/>
                <w:lang w:val="af-ZA"/>
              </w:rPr>
              <w:t xml:space="preserve"> </w:t>
            </w:r>
            <w:r w:rsidRPr="0053423A">
              <w:rPr>
                <w:rFonts w:cs="IRTEK Courier"/>
                <w:lang w:val="hy-AM"/>
              </w:rPr>
              <w:t>կյանքի</w:t>
            </w:r>
            <w:r w:rsidRPr="0053423A">
              <w:rPr>
                <w:rFonts w:cs="IRTEK Courier"/>
                <w:lang w:val="af-ZA"/>
              </w:rPr>
              <w:t xml:space="preserve"> </w:t>
            </w:r>
            <w:r w:rsidRPr="0053423A">
              <w:rPr>
                <w:rFonts w:cs="IRTEK Courier"/>
                <w:lang w:val="hy-AM"/>
              </w:rPr>
              <w:t>որակը</w:t>
            </w:r>
            <w:r w:rsidRPr="0053423A">
              <w:rPr>
                <w:rFonts w:cs="IRTEK Courier"/>
                <w:lang w:val="af-ZA"/>
              </w:rPr>
              <w:t xml:space="preserve">: </w:t>
            </w:r>
            <w:r w:rsidRPr="0053423A">
              <w:rPr>
                <w:rFonts w:cs="IRTEK Courier"/>
                <w:lang w:val="hy-AM"/>
              </w:rPr>
              <w:t>Մասնավորապես,</w:t>
            </w:r>
            <w:r w:rsidRPr="0053423A">
              <w:rPr>
                <w:rFonts w:cs="IRTEK Courier"/>
                <w:lang w:val="af-ZA"/>
              </w:rPr>
              <w:t xml:space="preserve"> </w:t>
            </w:r>
            <w:r w:rsidRPr="0053423A">
              <w:rPr>
                <w:rFonts w:cs="IRTEK Courier"/>
                <w:lang w:val="hy-AM"/>
              </w:rPr>
              <w:t>իրականացման</w:t>
            </w:r>
            <w:r w:rsidRPr="0053423A">
              <w:rPr>
                <w:rFonts w:cs="IRTEK Courier"/>
                <w:lang w:val="af-ZA"/>
              </w:rPr>
              <w:t xml:space="preserve"> </w:t>
            </w:r>
            <w:r w:rsidRPr="0053423A">
              <w:rPr>
                <w:rFonts w:cs="IRTEK Courier"/>
                <w:lang w:val="hy-AM"/>
              </w:rPr>
              <w:t>ավարտին</w:t>
            </w:r>
            <w:r w:rsidRPr="0053423A">
              <w:rPr>
                <w:rFonts w:cs="IRTEK Courier"/>
                <w:lang w:val="af-ZA"/>
              </w:rPr>
              <w:t xml:space="preserve">, 5 </w:t>
            </w:r>
            <w:r w:rsidRPr="0053423A">
              <w:rPr>
                <w:rFonts w:cs="IRTEK Courier"/>
                <w:lang w:val="hy-AM"/>
              </w:rPr>
              <w:t>տարի</w:t>
            </w:r>
            <w:r w:rsidRPr="0053423A">
              <w:rPr>
                <w:rFonts w:cs="IRTEK Courier"/>
                <w:lang w:val="af-ZA"/>
              </w:rPr>
              <w:t xml:space="preserve"> </w:t>
            </w:r>
            <w:r w:rsidRPr="0053423A">
              <w:rPr>
                <w:rFonts w:cs="IRTEK Courier"/>
                <w:lang w:val="hy-AM"/>
              </w:rPr>
              <w:t>անց</w:t>
            </w:r>
            <w:r w:rsidRPr="0053423A">
              <w:rPr>
                <w:rFonts w:cs="IRTEK Courier"/>
                <w:lang w:val="af-ZA"/>
              </w:rPr>
              <w:t xml:space="preserve"> </w:t>
            </w:r>
            <w:r w:rsidRPr="0053423A">
              <w:rPr>
                <w:rFonts w:cs="IRTEK Courier"/>
                <w:lang w:val="hy-AM"/>
              </w:rPr>
              <w:t>ԹՔՕՀ</w:t>
            </w:r>
            <w:r w:rsidRPr="0053423A">
              <w:rPr>
                <w:rFonts w:cs="IRTEK Courier"/>
                <w:lang w:val="af-ZA"/>
              </w:rPr>
              <w:t>-</w:t>
            </w:r>
            <w:r w:rsidRPr="0053423A">
              <w:rPr>
                <w:rFonts w:cs="IRTEK Courier"/>
                <w:lang w:val="hy-AM"/>
              </w:rPr>
              <w:t>ի</w:t>
            </w:r>
            <w:r w:rsidRPr="0053423A">
              <w:rPr>
                <w:rFonts w:cs="IRTEK Courier"/>
                <w:lang w:val="af-ZA"/>
              </w:rPr>
              <w:t xml:space="preserve"> </w:t>
            </w:r>
            <w:r w:rsidRPr="0053423A">
              <w:rPr>
                <w:rFonts w:cs="IRTEK Courier"/>
                <w:lang w:val="hy-AM"/>
              </w:rPr>
              <w:t>ռիսկի</w:t>
            </w:r>
            <w:r w:rsidRPr="0053423A">
              <w:rPr>
                <w:rFonts w:cs="IRTEK Courier"/>
                <w:lang w:val="af-ZA"/>
              </w:rPr>
              <w:t xml:space="preserve"> </w:t>
            </w:r>
            <w:r w:rsidRPr="0053423A">
              <w:rPr>
                <w:rFonts w:cs="IRTEK Courier"/>
                <w:lang w:val="hy-AM"/>
              </w:rPr>
              <w:t>գործոնների</w:t>
            </w:r>
            <w:r w:rsidRPr="0053423A">
              <w:rPr>
                <w:rFonts w:cs="IRTEK Courier"/>
                <w:lang w:val="af-ZA"/>
              </w:rPr>
              <w:t xml:space="preserve"> </w:t>
            </w:r>
            <w:r w:rsidRPr="0053423A">
              <w:rPr>
                <w:rFonts w:cs="IRTEK Courier"/>
                <w:lang w:val="hy-AM"/>
              </w:rPr>
              <w:t>մասին</w:t>
            </w:r>
            <w:r w:rsidRPr="0053423A">
              <w:rPr>
                <w:rFonts w:cs="IRTEK Courier"/>
                <w:lang w:val="af-ZA"/>
              </w:rPr>
              <w:t xml:space="preserve"> </w:t>
            </w:r>
            <w:r w:rsidRPr="0053423A">
              <w:rPr>
                <w:rFonts w:cs="IRTEK Courier"/>
                <w:lang w:val="hy-AM"/>
              </w:rPr>
              <w:t>բնակչության</w:t>
            </w:r>
            <w:r w:rsidRPr="0053423A">
              <w:rPr>
                <w:rFonts w:cs="IRTEK Courier"/>
                <w:lang w:val="af-ZA"/>
              </w:rPr>
              <w:t xml:space="preserve"> </w:t>
            </w:r>
            <w:r w:rsidRPr="0053423A">
              <w:rPr>
                <w:rFonts w:cs="IRTEK Courier"/>
                <w:lang w:val="hy-AM"/>
              </w:rPr>
              <w:t>իրազեկվածության</w:t>
            </w:r>
            <w:r w:rsidRPr="0053423A">
              <w:rPr>
                <w:rFonts w:cs="IRTEK Courier"/>
                <w:lang w:val="af-ZA"/>
              </w:rPr>
              <w:t xml:space="preserve"> </w:t>
            </w:r>
            <w:r w:rsidRPr="0053423A">
              <w:rPr>
                <w:rFonts w:cs="IRTEK Courier"/>
                <w:lang w:val="hy-AM"/>
              </w:rPr>
              <w:t>բարձրացում</w:t>
            </w:r>
            <w:r w:rsidRPr="0053423A">
              <w:rPr>
                <w:rFonts w:cs="IRTEK Courier"/>
                <w:lang w:val="af-ZA"/>
              </w:rPr>
              <w:t xml:space="preserve"> </w:t>
            </w:r>
            <w:r w:rsidRPr="0053423A">
              <w:rPr>
                <w:rFonts w:cs="IRTEK Courier"/>
                <w:lang w:val="hy-AM"/>
              </w:rPr>
              <w:t>մինչև</w:t>
            </w:r>
            <w:r w:rsidRPr="0053423A">
              <w:rPr>
                <w:rFonts w:cs="IRTEK Courier"/>
                <w:lang w:val="af-ZA"/>
              </w:rPr>
              <w:t xml:space="preserve"> 50%, </w:t>
            </w:r>
            <w:r w:rsidRPr="0053423A">
              <w:rPr>
                <w:rFonts w:cs="IRTEK Courier"/>
                <w:lang w:val="hy-AM"/>
              </w:rPr>
              <w:t>ԹՔՕՀ</w:t>
            </w:r>
            <w:r w:rsidRPr="0053423A">
              <w:rPr>
                <w:rFonts w:cs="IRTEK Courier"/>
                <w:lang w:val="af-ZA"/>
              </w:rPr>
              <w:t>-</w:t>
            </w:r>
            <w:r w:rsidRPr="0053423A">
              <w:rPr>
                <w:rFonts w:cs="IRTEK Courier"/>
                <w:lang w:val="hy-AM"/>
              </w:rPr>
              <w:t>ից</w:t>
            </w:r>
            <w:r w:rsidRPr="0053423A">
              <w:rPr>
                <w:rFonts w:cs="IRTEK Courier"/>
                <w:lang w:val="af-ZA"/>
              </w:rPr>
              <w:t xml:space="preserve"> </w:t>
            </w:r>
            <w:r w:rsidRPr="0053423A">
              <w:rPr>
                <w:rFonts w:cs="IRTEK Courier"/>
                <w:lang w:val="hy-AM"/>
              </w:rPr>
              <w:t>մահացության</w:t>
            </w:r>
            <w:r w:rsidRPr="0053423A">
              <w:rPr>
                <w:rFonts w:cs="IRTEK Courier"/>
                <w:lang w:val="af-ZA"/>
              </w:rPr>
              <w:t xml:space="preserve"> </w:t>
            </w:r>
            <w:r w:rsidRPr="0053423A">
              <w:rPr>
                <w:rFonts w:cs="IRTEK Courier"/>
                <w:lang w:val="hy-AM"/>
              </w:rPr>
              <w:t>ցուցանիշի</w:t>
            </w:r>
            <w:r w:rsidRPr="0053423A">
              <w:rPr>
                <w:rFonts w:cs="IRTEK Courier"/>
                <w:lang w:val="af-ZA"/>
              </w:rPr>
              <w:t xml:space="preserve"> </w:t>
            </w:r>
            <w:r w:rsidRPr="0053423A">
              <w:rPr>
                <w:rFonts w:cs="IRTEK Courier"/>
                <w:lang w:val="hy-AM"/>
              </w:rPr>
              <w:t>նվազում</w:t>
            </w:r>
            <w:r w:rsidRPr="0053423A">
              <w:rPr>
                <w:rFonts w:cs="IRTEK Courier"/>
                <w:lang w:val="af-ZA"/>
              </w:rPr>
              <w:t xml:space="preserve"> 5%-</w:t>
            </w:r>
            <w:r w:rsidRPr="0053423A">
              <w:rPr>
                <w:rFonts w:cs="IRTEK Courier"/>
                <w:lang w:val="hy-AM"/>
              </w:rPr>
              <w:t>ով</w:t>
            </w:r>
            <w:r w:rsidRPr="0053423A">
              <w:rPr>
                <w:rFonts w:cs="IRTEK Courier"/>
                <w:lang w:val="af-ZA"/>
              </w:rPr>
              <w:t>:</w:t>
            </w:r>
          </w:p>
          <w:p w:rsidR="00FF62F1" w:rsidRPr="0053423A" w:rsidRDefault="00FF62F1" w:rsidP="00A67858">
            <w:pPr>
              <w:tabs>
                <w:tab w:val="left" w:pos="190"/>
              </w:tabs>
              <w:spacing w:line="276" w:lineRule="auto"/>
              <w:jc w:val="both"/>
              <w:rPr>
                <w:rFonts w:cs="IRTEK Courier"/>
                <w:lang w:val="af-ZA"/>
              </w:rPr>
            </w:pPr>
          </w:p>
          <w:p w:rsidR="00764E6F" w:rsidRPr="0053423A" w:rsidRDefault="008B3845" w:rsidP="00A67858">
            <w:pPr>
              <w:tabs>
                <w:tab w:val="left" w:pos="190"/>
              </w:tabs>
              <w:spacing w:line="276" w:lineRule="auto"/>
              <w:jc w:val="center"/>
              <w:rPr>
                <w:rFonts w:cs="IRTEK Courier"/>
                <w:b/>
                <w:lang w:val="af-ZA"/>
              </w:rPr>
            </w:pPr>
            <w:r w:rsidRPr="0053423A">
              <w:rPr>
                <w:rFonts w:cs="IRTEK Courier"/>
                <w:b/>
                <w:lang w:val="hy-AM"/>
              </w:rPr>
              <w:t>3</w:t>
            </w:r>
            <w:r w:rsidR="00764E6F" w:rsidRPr="0053423A">
              <w:rPr>
                <w:rFonts w:cs="IRTEK Courier"/>
                <w:b/>
                <w:lang w:val="af-ZA"/>
              </w:rPr>
              <w:t>0.2 «</w:t>
            </w:r>
            <w:r w:rsidR="00764E6F" w:rsidRPr="0053423A">
              <w:rPr>
                <w:rFonts w:cs="IRTEK Courier"/>
                <w:b/>
              </w:rPr>
              <w:t>Չարորակ</w:t>
            </w:r>
            <w:r w:rsidR="00764E6F" w:rsidRPr="0053423A">
              <w:rPr>
                <w:rFonts w:cs="IRTEK Courier"/>
                <w:b/>
                <w:lang w:val="af-ZA"/>
              </w:rPr>
              <w:t xml:space="preserve"> </w:t>
            </w:r>
            <w:r w:rsidR="00764E6F" w:rsidRPr="0053423A">
              <w:rPr>
                <w:rFonts w:cs="IRTEK Courier"/>
                <w:b/>
              </w:rPr>
              <w:t>նորագոյացությունների</w:t>
            </w:r>
            <w:r w:rsidR="00764E6F" w:rsidRPr="0053423A">
              <w:rPr>
                <w:rFonts w:cs="IRTEK Courier"/>
                <w:b/>
                <w:lang w:val="af-ZA"/>
              </w:rPr>
              <w:t xml:space="preserve"> </w:t>
            </w:r>
            <w:r w:rsidR="00764E6F" w:rsidRPr="0053423A">
              <w:rPr>
                <w:rFonts w:cs="IRTEK Courier"/>
                <w:b/>
              </w:rPr>
              <w:t>դեմ</w:t>
            </w:r>
            <w:r w:rsidR="00764E6F" w:rsidRPr="0053423A">
              <w:rPr>
                <w:rFonts w:cs="IRTEK Courier"/>
                <w:b/>
                <w:lang w:val="af-ZA"/>
              </w:rPr>
              <w:t xml:space="preserve"> </w:t>
            </w:r>
            <w:r w:rsidR="00764E6F" w:rsidRPr="0053423A">
              <w:rPr>
                <w:rFonts w:cs="IRTEK Courier"/>
                <w:b/>
              </w:rPr>
              <w:t>պայքարի</w:t>
            </w:r>
            <w:r w:rsidR="00764E6F" w:rsidRPr="0053423A">
              <w:rPr>
                <w:rFonts w:cs="IRTEK Courier"/>
                <w:b/>
                <w:lang w:val="af-ZA"/>
              </w:rPr>
              <w:t xml:space="preserve"> </w:t>
            </w:r>
            <w:r w:rsidR="00764E6F" w:rsidRPr="0053423A">
              <w:rPr>
                <w:rFonts w:cs="IRTEK Courier"/>
                <w:b/>
              </w:rPr>
              <w:t>ռազմավարությունը</w:t>
            </w:r>
            <w:r w:rsidR="00764E6F" w:rsidRPr="0053423A">
              <w:rPr>
                <w:rFonts w:cs="IRTEK Courier"/>
                <w:b/>
                <w:lang w:val="af-ZA"/>
              </w:rPr>
              <w:t xml:space="preserve"> </w:t>
            </w:r>
            <w:r w:rsidR="00764E6F" w:rsidRPr="0053423A">
              <w:rPr>
                <w:rFonts w:cs="IRTEK Courier"/>
                <w:b/>
              </w:rPr>
              <w:t>հաստատելու</w:t>
            </w:r>
            <w:r w:rsidR="00764E6F" w:rsidRPr="0053423A">
              <w:rPr>
                <w:rFonts w:cs="IRTEK Courier"/>
                <w:b/>
                <w:lang w:val="af-ZA"/>
              </w:rPr>
              <w:t xml:space="preserve"> </w:t>
            </w:r>
            <w:r w:rsidR="00764E6F" w:rsidRPr="0053423A">
              <w:rPr>
                <w:rFonts w:cs="IRTEK Courier"/>
                <w:b/>
              </w:rPr>
              <w:t>մասին</w:t>
            </w:r>
            <w:r w:rsidR="00764E6F" w:rsidRPr="0053423A">
              <w:rPr>
                <w:rFonts w:cs="IRTEK Courier"/>
                <w:b/>
                <w:lang w:val="af-ZA"/>
              </w:rPr>
              <w:t xml:space="preserve">» </w:t>
            </w:r>
            <w:r w:rsidR="00764E6F" w:rsidRPr="0053423A">
              <w:rPr>
                <w:rFonts w:cs="IRTEK Courier"/>
                <w:b/>
              </w:rPr>
              <w:t>Կառավարության</w:t>
            </w:r>
            <w:r w:rsidR="00764E6F" w:rsidRPr="0053423A">
              <w:rPr>
                <w:rFonts w:cs="IRTEK Courier"/>
                <w:b/>
                <w:lang w:val="af-ZA"/>
              </w:rPr>
              <w:t xml:space="preserve"> </w:t>
            </w:r>
            <w:r w:rsidR="00764E6F" w:rsidRPr="0053423A">
              <w:rPr>
                <w:rFonts w:cs="IRTEK Courier"/>
                <w:b/>
              </w:rPr>
              <w:t>որոշման</w:t>
            </w:r>
            <w:r w:rsidR="00764E6F" w:rsidRPr="0053423A">
              <w:rPr>
                <w:rFonts w:cs="IRTEK Courier"/>
                <w:b/>
                <w:lang w:val="af-ZA"/>
              </w:rPr>
              <w:t xml:space="preserve"> </w:t>
            </w:r>
            <w:r w:rsidR="00764E6F" w:rsidRPr="0053423A">
              <w:rPr>
                <w:rFonts w:cs="IRTEK Courier"/>
                <w:b/>
              </w:rPr>
              <w:t>նախագիծը</w:t>
            </w:r>
            <w:r w:rsidR="00764E6F" w:rsidRPr="0053423A">
              <w:rPr>
                <w:rFonts w:cs="IRTEK Courier"/>
                <w:b/>
                <w:lang w:val="af-ZA"/>
              </w:rPr>
              <w:t xml:space="preserve"> </w:t>
            </w:r>
            <w:r w:rsidR="00764E6F" w:rsidRPr="0053423A">
              <w:rPr>
                <w:rFonts w:cs="IRTEK Courier"/>
                <w:b/>
              </w:rPr>
              <w:t>վարչապետի</w:t>
            </w:r>
            <w:r w:rsidR="00764E6F" w:rsidRPr="0053423A">
              <w:rPr>
                <w:rFonts w:cs="IRTEK Courier"/>
                <w:b/>
                <w:lang w:val="af-ZA"/>
              </w:rPr>
              <w:t xml:space="preserve"> </w:t>
            </w:r>
            <w:r w:rsidR="00764E6F" w:rsidRPr="0053423A">
              <w:rPr>
                <w:rFonts w:cs="IRTEK Courier"/>
                <w:b/>
              </w:rPr>
              <w:t>աշխատակազմ</w:t>
            </w:r>
            <w:r w:rsidR="00764E6F" w:rsidRPr="0053423A">
              <w:rPr>
                <w:rFonts w:cs="IRTEK Courier"/>
                <w:b/>
                <w:lang w:val="af-ZA"/>
              </w:rPr>
              <w:t xml:space="preserve"> </w:t>
            </w:r>
            <w:r w:rsidR="00764E6F" w:rsidRPr="0053423A">
              <w:rPr>
                <w:rFonts w:cs="IRTEK Courier"/>
                <w:b/>
              </w:rPr>
              <w:t>ներկայացնելը</w:t>
            </w:r>
          </w:p>
          <w:p w:rsidR="00764E6F" w:rsidRPr="0053423A" w:rsidRDefault="00764E6F" w:rsidP="00A67858">
            <w:pPr>
              <w:tabs>
                <w:tab w:val="left" w:pos="190"/>
              </w:tabs>
              <w:spacing w:line="276" w:lineRule="auto"/>
              <w:jc w:val="both"/>
              <w:rPr>
                <w:rFonts w:cs="IRTEK Courier"/>
                <w:lang w:val="af-ZA"/>
              </w:rPr>
            </w:pPr>
          </w:p>
          <w:p w:rsidR="00764E6F" w:rsidRPr="0053423A" w:rsidRDefault="00764E6F" w:rsidP="00A67858">
            <w:pPr>
              <w:tabs>
                <w:tab w:val="left" w:pos="190"/>
              </w:tabs>
              <w:spacing w:line="276" w:lineRule="auto"/>
              <w:jc w:val="both"/>
              <w:rPr>
                <w:rFonts w:cs="IRTEK Courier"/>
                <w:b/>
                <w:lang w:val="af-ZA"/>
              </w:rPr>
            </w:pPr>
            <w:r w:rsidRPr="0053423A">
              <w:rPr>
                <w:rFonts w:cs="IRTEK Courier"/>
                <w:b/>
                <w:lang w:val="af-ZA"/>
              </w:rPr>
              <w:t xml:space="preserve">   1. </w:t>
            </w:r>
            <w:r w:rsidRPr="0053423A">
              <w:rPr>
                <w:rFonts w:cs="IRTEK Courier"/>
                <w:b/>
              </w:rPr>
              <w:t>Միջոցառման</w:t>
            </w:r>
            <w:r w:rsidRPr="0053423A">
              <w:rPr>
                <w:rFonts w:cs="IRTEK Courier"/>
                <w:b/>
                <w:lang w:val="af-ZA"/>
              </w:rPr>
              <w:t xml:space="preserve"> </w:t>
            </w:r>
            <w:r w:rsidRPr="0053423A">
              <w:rPr>
                <w:rFonts w:cs="IRTEK Courier"/>
                <w:b/>
              </w:rPr>
              <w:t>իրականացման</w:t>
            </w:r>
            <w:r w:rsidRPr="0053423A">
              <w:rPr>
                <w:rFonts w:cs="IRTEK Courier"/>
                <w:b/>
                <w:lang w:val="af-ZA"/>
              </w:rPr>
              <w:t xml:space="preserve"> </w:t>
            </w:r>
            <w:r w:rsidRPr="0053423A">
              <w:rPr>
                <w:rFonts w:cs="IRTEK Courier"/>
                <w:b/>
              </w:rPr>
              <w:t>անհրաժեշտությունը</w:t>
            </w:r>
            <w:r w:rsidRPr="0053423A">
              <w:rPr>
                <w:rFonts w:cs="IRTEK Courier"/>
                <w:b/>
                <w:lang w:val="af-ZA"/>
              </w:rPr>
              <w:t xml:space="preserve"> </w:t>
            </w:r>
            <w:r w:rsidRPr="0053423A">
              <w:rPr>
                <w:rFonts w:cs="IRTEK Courier"/>
                <w:b/>
              </w:rPr>
              <w:t>և</w:t>
            </w:r>
            <w:r w:rsidRPr="0053423A">
              <w:rPr>
                <w:rFonts w:cs="IRTEK Courier"/>
                <w:b/>
                <w:lang w:val="af-ZA"/>
              </w:rPr>
              <w:t xml:space="preserve"> </w:t>
            </w:r>
            <w:r w:rsidRPr="0053423A">
              <w:rPr>
                <w:rFonts w:cs="IRTEK Courier"/>
                <w:b/>
              </w:rPr>
              <w:t>նպատակը</w:t>
            </w:r>
            <w:r w:rsidRPr="0053423A">
              <w:rPr>
                <w:rFonts w:cs="IRTEK Courier"/>
                <w:b/>
                <w:lang w:val="af-ZA"/>
              </w:rPr>
              <w:t xml:space="preserve"> </w:t>
            </w:r>
          </w:p>
          <w:p w:rsidR="00764E6F" w:rsidRPr="0053423A" w:rsidRDefault="00764E6F" w:rsidP="00A67858">
            <w:pPr>
              <w:tabs>
                <w:tab w:val="left" w:pos="190"/>
              </w:tabs>
              <w:spacing w:line="276" w:lineRule="auto"/>
              <w:jc w:val="both"/>
              <w:rPr>
                <w:rFonts w:cs="IRTEK Courier"/>
                <w:lang w:val="hy-AM"/>
              </w:rPr>
            </w:pPr>
            <w:r w:rsidRPr="0053423A">
              <w:rPr>
                <w:rFonts w:cs="IRTEK Courier"/>
                <w:lang w:val="af-ZA"/>
              </w:rPr>
              <w:t xml:space="preserve">   </w:t>
            </w:r>
            <w:r w:rsidRPr="0053423A">
              <w:rPr>
                <w:rFonts w:cs="IRTEK Courier"/>
              </w:rPr>
              <w:t>Չարորակ</w:t>
            </w:r>
            <w:r w:rsidRPr="0053423A">
              <w:rPr>
                <w:rFonts w:cs="IRTEK Courier"/>
                <w:lang w:val="af-ZA"/>
              </w:rPr>
              <w:t xml:space="preserve"> </w:t>
            </w:r>
            <w:r w:rsidRPr="0053423A">
              <w:rPr>
                <w:rFonts w:cs="IRTEK Courier"/>
              </w:rPr>
              <w:t>նորագոյացությունների</w:t>
            </w:r>
            <w:r w:rsidRPr="0053423A">
              <w:rPr>
                <w:rFonts w:cs="IRTEK Courier"/>
                <w:lang w:val="af-ZA"/>
              </w:rPr>
              <w:t xml:space="preserve"> </w:t>
            </w:r>
            <w:r w:rsidRPr="0053423A">
              <w:rPr>
                <w:rFonts w:cs="IRTEK Courier"/>
              </w:rPr>
              <w:t>դեմ</w:t>
            </w:r>
            <w:r w:rsidRPr="0053423A">
              <w:rPr>
                <w:rFonts w:cs="IRTEK Courier"/>
                <w:lang w:val="af-ZA"/>
              </w:rPr>
              <w:t xml:space="preserve"> </w:t>
            </w:r>
            <w:r w:rsidRPr="0053423A">
              <w:rPr>
                <w:rFonts w:cs="IRTEK Courier"/>
              </w:rPr>
              <w:t>պայքարի</w:t>
            </w:r>
            <w:r w:rsidRPr="0053423A">
              <w:rPr>
                <w:rFonts w:cs="IRTEK Courier"/>
                <w:lang w:val="af-ZA"/>
              </w:rPr>
              <w:t xml:space="preserve">  </w:t>
            </w:r>
            <w:r w:rsidRPr="0053423A">
              <w:rPr>
                <w:rFonts w:cs="IRTEK Courier"/>
              </w:rPr>
              <w:t>ռազմավարության</w:t>
            </w:r>
            <w:r w:rsidRPr="0053423A">
              <w:rPr>
                <w:rFonts w:cs="IRTEK Courier"/>
                <w:lang w:val="af-ZA"/>
              </w:rPr>
              <w:t xml:space="preserve">  </w:t>
            </w:r>
            <w:r w:rsidRPr="0053423A">
              <w:rPr>
                <w:rFonts w:cs="IRTEK Courier"/>
              </w:rPr>
              <w:t>ներդրումը</w:t>
            </w:r>
            <w:r w:rsidRPr="0053423A">
              <w:rPr>
                <w:rFonts w:cs="IRTEK Courier"/>
                <w:lang w:val="af-ZA"/>
              </w:rPr>
              <w:t xml:space="preserve"> </w:t>
            </w:r>
            <w:r w:rsidRPr="0053423A">
              <w:rPr>
                <w:rFonts w:cs="IRTEK Courier"/>
              </w:rPr>
              <w:t>բխում</w:t>
            </w:r>
            <w:r w:rsidRPr="0053423A">
              <w:rPr>
                <w:rFonts w:cs="IRTEK Courier"/>
                <w:lang w:val="af-ZA"/>
              </w:rPr>
              <w:t xml:space="preserve"> </w:t>
            </w:r>
            <w:r w:rsidRPr="0053423A">
              <w:rPr>
                <w:rFonts w:cs="IRTEK Courier"/>
              </w:rPr>
              <w:t>է</w:t>
            </w:r>
            <w:r w:rsidRPr="0053423A">
              <w:rPr>
                <w:rFonts w:cs="IRTEK Courier"/>
                <w:lang w:val="af-ZA"/>
              </w:rPr>
              <w:t xml:space="preserve"> </w:t>
            </w:r>
            <w:r w:rsidRPr="0053423A">
              <w:rPr>
                <w:rFonts w:cs="IRTEK Courier"/>
                <w:lang w:val="hy-AM"/>
              </w:rPr>
              <w:t>քաղցկեղի</w:t>
            </w:r>
            <w:r w:rsidRPr="0053423A">
              <w:rPr>
                <w:rFonts w:cs="IRTEK Courier"/>
                <w:lang w:val="af-ZA"/>
              </w:rPr>
              <w:t xml:space="preserve"> </w:t>
            </w:r>
            <w:r w:rsidRPr="0053423A">
              <w:rPr>
                <w:rFonts w:cs="IRTEK Courier"/>
              </w:rPr>
              <w:t>կանխարգելման</w:t>
            </w:r>
            <w:r w:rsidRPr="0053423A">
              <w:rPr>
                <w:rFonts w:cs="IRTEK Courier"/>
                <w:lang w:val="af-ZA"/>
              </w:rPr>
              <w:t xml:space="preserve">, </w:t>
            </w:r>
            <w:r w:rsidRPr="0053423A">
              <w:rPr>
                <w:rFonts w:cs="IRTEK Courier"/>
              </w:rPr>
              <w:t>վաղ</w:t>
            </w:r>
            <w:r w:rsidRPr="0053423A">
              <w:rPr>
                <w:rFonts w:cs="IRTEK Courier"/>
                <w:lang w:val="af-ZA"/>
              </w:rPr>
              <w:t xml:space="preserve"> </w:t>
            </w:r>
            <w:r w:rsidRPr="0053423A">
              <w:rPr>
                <w:rFonts w:cs="IRTEK Courier"/>
              </w:rPr>
              <w:t>հայտնաբերման</w:t>
            </w:r>
            <w:r w:rsidRPr="0053423A">
              <w:rPr>
                <w:rFonts w:cs="IRTEK Courier"/>
                <w:lang w:val="af-ZA"/>
              </w:rPr>
              <w:t xml:space="preserve"> </w:t>
            </w:r>
            <w:r w:rsidRPr="0053423A">
              <w:rPr>
                <w:rFonts w:cs="IRTEK Courier"/>
              </w:rPr>
              <w:t>և</w:t>
            </w:r>
            <w:r w:rsidRPr="0053423A">
              <w:rPr>
                <w:rFonts w:cs="IRTEK Courier"/>
                <w:lang w:val="af-ZA"/>
              </w:rPr>
              <w:t xml:space="preserve"> </w:t>
            </w:r>
            <w:r w:rsidRPr="0053423A">
              <w:rPr>
                <w:rFonts w:cs="IRTEK Courier"/>
              </w:rPr>
              <w:t>բուժման</w:t>
            </w:r>
            <w:r w:rsidRPr="0053423A">
              <w:rPr>
                <w:rFonts w:cs="IRTEK Courier"/>
                <w:lang w:val="af-ZA"/>
              </w:rPr>
              <w:t xml:space="preserve"> </w:t>
            </w:r>
            <w:r w:rsidRPr="0053423A">
              <w:rPr>
                <w:rFonts w:cs="IRTEK Courier"/>
              </w:rPr>
              <w:t>համար</w:t>
            </w:r>
            <w:r w:rsidRPr="0053423A">
              <w:rPr>
                <w:rFonts w:cs="IRTEK Courier"/>
                <w:lang w:val="af-ZA"/>
              </w:rPr>
              <w:t xml:space="preserve"> </w:t>
            </w:r>
            <w:r w:rsidRPr="0053423A">
              <w:rPr>
                <w:rFonts w:cs="IRTEK Courier"/>
              </w:rPr>
              <w:t>արդյունավետ</w:t>
            </w:r>
            <w:r w:rsidRPr="0053423A">
              <w:rPr>
                <w:rFonts w:cs="IRTEK Courier"/>
                <w:lang w:val="af-ZA"/>
              </w:rPr>
              <w:t xml:space="preserve"> </w:t>
            </w:r>
            <w:r w:rsidRPr="0053423A">
              <w:rPr>
                <w:rFonts w:cs="IRTEK Courier"/>
              </w:rPr>
              <w:t>մեխանիզմների</w:t>
            </w:r>
            <w:r w:rsidRPr="0053423A">
              <w:rPr>
                <w:rFonts w:cs="IRTEK Courier"/>
                <w:lang w:val="af-ZA"/>
              </w:rPr>
              <w:t xml:space="preserve"> </w:t>
            </w:r>
            <w:r w:rsidRPr="0053423A">
              <w:rPr>
                <w:rFonts w:cs="IRTEK Courier"/>
              </w:rPr>
              <w:t>ներդրման</w:t>
            </w:r>
            <w:r w:rsidRPr="0053423A">
              <w:rPr>
                <w:rFonts w:cs="IRTEK Courier"/>
                <w:lang w:val="af-ZA"/>
              </w:rPr>
              <w:t xml:space="preserve"> </w:t>
            </w:r>
            <w:r w:rsidRPr="0053423A">
              <w:rPr>
                <w:rFonts w:cs="IRTEK Courier"/>
              </w:rPr>
              <w:t>անհրաժեշտությ</w:t>
            </w:r>
            <w:r w:rsidRPr="0053423A">
              <w:rPr>
                <w:rFonts w:cs="IRTEK Courier"/>
                <w:lang w:val="hy-AM"/>
              </w:rPr>
              <w:t>ունից</w:t>
            </w:r>
            <w:r w:rsidRPr="0053423A">
              <w:rPr>
                <w:rFonts w:cs="IRTEK Courier"/>
                <w:lang w:val="af-ZA"/>
              </w:rPr>
              <w:t>:</w:t>
            </w:r>
          </w:p>
          <w:p w:rsidR="00764E6F" w:rsidRPr="0053423A" w:rsidRDefault="00764E6F" w:rsidP="00A67858">
            <w:pPr>
              <w:tabs>
                <w:tab w:val="left" w:pos="190"/>
              </w:tabs>
              <w:spacing w:line="276" w:lineRule="auto"/>
              <w:jc w:val="both"/>
              <w:rPr>
                <w:rFonts w:cs="IRTEK Courier"/>
                <w:lang w:val="hy-AM"/>
              </w:rPr>
            </w:pPr>
          </w:p>
          <w:p w:rsidR="00764E6F" w:rsidRPr="0053423A" w:rsidRDefault="00764E6F" w:rsidP="00A67858">
            <w:pPr>
              <w:tabs>
                <w:tab w:val="left" w:pos="190"/>
              </w:tabs>
              <w:spacing w:line="276" w:lineRule="auto"/>
              <w:jc w:val="both"/>
              <w:rPr>
                <w:rFonts w:cs="IRTEK Courier"/>
                <w:b/>
                <w:lang w:val="hy-AM"/>
              </w:rPr>
            </w:pPr>
            <w:r w:rsidRPr="0053423A">
              <w:rPr>
                <w:rFonts w:cs="IRTEK Courier"/>
                <w:b/>
                <w:lang w:val="hy-AM"/>
              </w:rPr>
              <w:t xml:space="preserve">   1.1. Կարգավորման հարաբերությունների ներկա վիճակը և առկա խնդիրները </w:t>
            </w:r>
          </w:p>
          <w:p w:rsidR="00764E6F" w:rsidRPr="0053423A" w:rsidRDefault="00764E6F" w:rsidP="00A67858">
            <w:pPr>
              <w:tabs>
                <w:tab w:val="left" w:pos="190"/>
              </w:tabs>
              <w:spacing w:line="276" w:lineRule="auto"/>
              <w:jc w:val="both"/>
              <w:rPr>
                <w:rFonts w:cs="IRTEK Courier"/>
                <w:lang w:val="hy-AM"/>
              </w:rPr>
            </w:pPr>
            <w:r w:rsidRPr="0053423A">
              <w:rPr>
                <w:rFonts w:cs="IRTEK Courier"/>
                <w:lang w:val="hy-AM"/>
              </w:rPr>
              <w:t xml:space="preserve">   Չնայած վերջին տարիներին ՀՀ բնակչության շրջանում արձանագրվել է քաղցկեղով հիվանդացության որոշակի կայունացում, մասնավորապես, եթե 2014թ. բնակչության շրջանում գրանցվել է առաջին անգամ ախտորոշված նորագոյացությունների թիվը կազմել 8.365 դեպք, 2015թ-ին` 8.372, իսկ 2016թ-ին դեպքերի թիվը նախորդ տարվա նկատմամբ ավելացել է ընդամենը 0.04%-ով, այնուամենայնիվ, բնակչության մահացության ընդհանուր կառուցվածքում չարորակ նորագոյացություններով պայմանավորված մահացության բեռը կազմում է 20,0%: </w:t>
            </w:r>
          </w:p>
          <w:p w:rsidR="00764E6F" w:rsidRPr="0053423A" w:rsidRDefault="00764E6F" w:rsidP="00A67858">
            <w:pPr>
              <w:tabs>
                <w:tab w:val="left" w:pos="190"/>
              </w:tabs>
              <w:spacing w:line="276" w:lineRule="auto"/>
              <w:jc w:val="both"/>
              <w:rPr>
                <w:rFonts w:cs="IRTEK Courier"/>
                <w:lang w:val="hy-AM"/>
              </w:rPr>
            </w:pPr>
            <w:r w:rsidRPr="0053423A">
              <w:rPr>
                <w:rFonts w:cs="IRTEK Courier"/>
                <w:lang w:val="hy-AM"/>
              </w:rPr>
              <w:t xml:space="preserve">   ՀՀ-ում տարեցտարի ավելացող չարորակ նորագոյացություններով պայմանավորված հիվանդությունների կանխարգելման նպատակն է բնակչության շրջանում վաղ հայտնաբերել և կանխարգելել չարորակ նորագոյացություններով պայմանավորված  հիվանդությունների հետագա զարգացումը: </w:t>
            </w:r>
          </w:p>
          <w:p w:rsidR="00764E6F" w:rsidRPr="0053423A" w:rsidRDefault="00764E6F" w:rsidP="00A67858">
            <w:pPr>
              <w:tabs>
                <w:tab w:val="left" w:pos="190"/>
              </w:tabs>
              <w:spacing w:line="276" w:lineRule="auto"/>
              <w:jc w:val="both"/>
              <w:rPr>
                <w:rFonts w:cs="IRTEK Courier"/>
                <w:lang w:val="hy-AM"/>
              </w:rPr>
            </w:pPr>
          </w:p>
          <w:p w:rsidR="00764E6F" w:rsidRPr="0053423A" w:rsidRDefault="00764E6F" w:rsidP="00A67858">
            <w:pPr>
              <w:tabs>
                <w:tab w:val="left" w:pos="190"/>
              </w:tabs>
              <w:spacing w:line="276" w:lineRule="auto"/>
              <w:jc w:val="both"/>
              <w:rPr>
                <w:rFonts w:cs="IRTEK Courier"/>
                <w:b/>
                <w:lang w:val="hy-AM"/>
              </w:rPr>
            </w:pPr>
            <w:r w:rsidRPr="0053423A">
              <w:rPr>
                <w:rFonts w:cs="IRTEK Courier"/>
                <w:b/>
                <w:lang w:val="hy-AM"/>
              </w:rPr>
              <w:t xml:space="preserve">   1.2 Առկա խնդիրների առաջարկվող լուծումները</w:t>
            </w:r>
          </w:p>
          <w:p w:rsidR="00764E6F" w:rsidRPr="0053423A" w:rsidRDefault="00764E6F" w:rsidP="00A67858">
            <w:pPr>
              <w:tabs>
                <w:tab w:val="left" w:pos="190"/>
              </w:tabs>
              <w:spacing w:line="276" w:lineRule="auto"/>
              <w:jc w:val="both"/>
              <w:rPr>
                <w:rFonts w:cs="IRTEK Courier"/>
                <w:lang w:val="hy-AM"/>
              </w:rPr>
            </w:pPr>
            <w:r w:rsidRPr="0053423A">
              <w:rPr>
                <w:rFonts w:cs="IRTEK Courier"/>
                <w:lang w:val="hy-AM"/>
              </w:rPr>
              <w:t xml:space="preserve">   Չարորակ նորագոյացությունների դեմ պայքարի ռազմավարության ներդրման աշխատանքների շրջանակներում նախատեսվում է մասնագիտական քննարկումների կազմակերպում, չարորակ նորագոյացությունների դեմ պայքարի միջազգային փորձի ուսումնասիրություն, Հայաստանում համաճարակաբանության (տարածվածությունն ըստ ախտահարված օրգանհամակարգի և տեսակի) ուսումնասիրություն և վերլուծություն: Ռազմավարության ներդրման շրջանակներում չարորակ նորագոյացությունների կանխարգելմանը, վաղ հայտնաբերմանը, բուժմանը, վարմանն (ներառյալ ժամանակակից հետազոտությունների մեթոդների կիրառում) ուղղված միջոցառումների մշակում, ինչպես նաև աշխարհագրական տեղակայման և հանրության իրազեկման վերաբերյալ միջոցառումների մշակում և ներդնում: Ռազմավարության հաստատման դեպքում վերջինիս ներդրման հմար անհրաժեշտ կլինի շուրջ 17 մլրդ ՀՀ դրամ, որը ԱՆ բյուջեով նախատեսված չէ. ակնկալվում է ֆինանսավորման պլանավորում 2019 թվականի ընթացքում: </w:t>
            </w:r>
          </w:p>
          <w:p w:rsidR="00764E6F" w:rsidRPr="0053423A" w:rsidRDefault="00764E6F" w:rsidP="00A67858">
            <w:pPr>
              <w:spacing w:line="276" w:lineRule="auto"/>
              <w:jc w:val="both"/>
              <w:rPr>
                <w:lang w:val="hy-AM"/>
              </w:rPr>
            </w:pPr>
            <w:r w:rsidRPr="0053423A">
              <w:rPr>
                <w:lang w:val="hy-AM"/>
              </w:rPr>
              <w:t xml:space="preserve">   Նախատեսվում է մշակված փաստաթղթերը և իրականացվող միջոցառումները քննարկել և կարծիք ստանալ բոլոր շահագրգիռ կառույցներից, մասնավորապես, Տարածքային կառավարման և զարգացման նախարարությունից,  ՀՀ մարզպետարաններից և Երևանի քաղաքապետարանից:</w:t>
            </w:r>
          </w:p>
          <w:p w:rsidR="00764E6F" w:rsidRPr="0053423A" w:rsidRDefault="00764E6F" w:rsidP="00A67858">
            <w:pPr>
              <w:tabs>
                <w:tab w:val="left" w:pos="190"/>
              </w:tabs>
              <w:spacing w:line="276" w:lineRule="auto"/>
              <w:jc w:val="both"/>
              <w:rPr>
                <w:rFonts w:cs="IRTEK Courier"/>
                <w:lang w:val="hy-AM"/>
              </w:rPr>
            </w:pPr>
          </w:p>
          <w:p w:rsidR="00764E6F" w:rsidRPr="0053423A" w:rsidRDefault="00764E6F" w:rsidP="00A67858">
            <w:pPr>
              <w:tabs>
                <w:tab w:val="left" w:pos="190"/>
              </w:tabs>
              <w:spacing w:line="276" w:lineRule="auto"/>
              <w:jc w:val="both"/>
              <w:rPr>
                <w:rFonts w:cs="IRTEK Courier"/>
                <w:b/>
                <w:lang w:val="hy-AM"/>
              </w:rPr>
            </w:pPr>
            <w:r w:rsidRPr="0053423A">
              <w:rPr>
                <w:rFonts w:cs="IRTEK Courier"/>
                <w:b/>
                <w:lang w:val="hy-AM"/>
              </w:rPr>
              <w:t xml:space="preserve">   2.</w:t>
            </w:r>
            <w:r w:rsidRPr="0053423A">
              <w:rPr>
                <w:rFonts w:cs="IRTEK Courier"/>
                <w:b/>
                <w:lang w:val="hy-AM"/>
              </w:rPr>
              <w:tab/>
              <w:t>Միջոցառման իրականացումից ակնկալվող արդյունքը</w:t>
            </w:r>
          </w:p>
          <w:p w:rsidR="00764E6F" w:rsidRPr="0053423A" w:rsidRDefault="00764E6F" w:rsidP="00A67858">
            <w:pPr>
              <w:tabs>
                <w:tab w:val="left" w:pos="190"/>
              </w:tabs>
              <w:spacing w:line="276" w:lineRule="auto"/>
              <w:jc w:val="both"/>
              <w:rPr>
                <w:rFonts w:cs="IRTEK Courier"/>
                <w:lang w:val="hy-AM"/>
              </w:rPr>
            </w:pPr>
            <w:r w:rsidRPr="0053423A">
              <w:rPr>
                <w:rFonts w:cs="IRTEK Courier"/>
                <w:lang w:val="hy-AM"/>
              </w:rPr>
              <w:t xml:space="preserve">   Չարորակ նորագոյացությունների դեմ պայքարի ռազմավարության ներդրման արդյունքում նախատեսվում է բարելավել բնակչության առողջապահական ցուցանիշները, մասնավորապես չարորակ նորագոյացությունների կանխարգելման և բուժման արդյունավետության բարձրացում և մահաբերության նվազեցում: Միջոցառումների իրականացման ավարտին, 5 տարի անց չարորակ նորագոյացություններից մահացության ցուցանիշի նվազում 5%-ով, վաղ հայտնաբերման ցուցանիշի բարելավում` 10%-ով, ապրելիության ցուցանիշների բարելավում:</w:t>
            </w:r>
          </w:p>
          <w:p w:rsidR="00764E6F" w:rsidRPr="0053423A" w:rsidRDefault="00764E6F" w:rsidP="00A67858">
            <w:pPr>
              <w:tabs>
                <w:tab w:val="left" w:pos="190"/>
              </w:tabs>
              <w:spacing w:line="276" w:lineRule="auto"/>
              <w:jc w:val="center"/>
              <w:rPr>
                <w:rFonts w:cs="IRTEK Courier"/>
                <w:lang w:val="hy-AM"/>
              </w:rPr>
            </w:pPr>
          </w:p>
          <w:p w:rsidR="00764E6F" w:rsidRPr="0053423A" w:rsidRDefault="008B3845" w:rsidP="00A67858">
            <w:pPr>
              <w:tabs>
                <w:tab w:val="left" w:pos="190"/>
              </w:tabs>
              <w:spacing w:line="276" w:lineRule="auto"/>
              <w:jc w:val="center"/>
              <w:rPr>
                <w:rFonts w:cs="IRTEK Courier"/>
                <w:b/>
                <w:lang w:val="hy-AM"/>
              </w:rPr>
            </w:pPr>
            <w:r w:rsidRPr="0053423A">
              <w:rPr>
                <w:rFonts w:cs="IRTEK Courier"/>
                <w:b/>
                <w:lang w:val="hy-AM"/>
              </w:rPr>
              <w:t>3</w:t>
            </w:r>
            <w:r w:rsidR="00764E6F" w:rsidRPr="0053423A">
              <w:rPr>
                <w:rFonts w:cs="IRTEK Courier"/>
                <w:b/>
                <w:lang w:val="hy-AM"/>
              </w:rPr>
              <w:t>0.3 «Սիրտ-անոթային հիվանդությունների դեմ պայքարի ռազմավարությունը հաստատելու մասին» Կառավարության որոշման նախագիծը վարչապետի աշխատակազմ ներկայացնելը</w:t>
            </w:r>
          </w:p>
          <w:p w:rsidR="00764E6F" w:rsidRPr="0053423A" w:rsidRDefault="00764E6F" w:rsidP="00A67858">
            <w:pPr>
              <w:tabs>
                <w:tab w:val="left" w:pos="190"/>
              </w:tabs>
              <w:spacing w:line="276" w:lineRule="auto"/>
              <w:jc w:val="both"/>
              <w:rPr>
                <w:rFonts w:cs="IRTEK Courier"/>
                <w:b/>
                <w:lang w:val="hy-AM"/>
              </w:rPr>
            </w:pPr>
          </w:p>
          <w:p w:rsidR="00764E6F" w:rsidRPr="0053423A" w:rsidRDefault="00764E6F" w:rsidP="00A67858">
            <w:pPr>
              <w:tabs>
                <w:tab w:val="left" w:pos="190"/>
              </w:tabs>
              <w:spacing w:line="276" w:lineRule="auto"/>
              <w:jc w:val="both"/>
              <w:rPr>
                <w:rFonts w:cs="IRTEK Courier"/>
                <w:b/>
                <w:lang w:val="hy-AM"/>
              </w:rPr>
            </w:pPr>
            <w:r w:rsidRPr="0053423A">
              <w:rPr>
                <w:rFonts w:cs="IRTEK Courier"/>
                <w:b/>
                <w:lang w:val="hy-AM"/>
              </w:rPr>
              <w:t xml:space="preserve">   1.</w:t>
            </w:r>
            <w:r w:rsidRPr="0053423A">
              <w:rPr>
                <w:rFonts w:cs="IRTEK Courier"/>
                <w:b/>
                <w:lang w:val="hy-AM"/>
              </w:rPr>
              <w:tab/>
              <w:t xml:space="preserve">Միջոցառման իրականացման անհրաժեշտությունը և նպատակը </w:t>
            </w:r>
          </w:p>
          <w:p w:rsidR="00764E6F" w:rsidRPr="0053423A" w:rsidRDefault="00764E6F" w:rsidP="00A67858">
            <w:pPr>
              <w:tabs>
                <w:tab w:val="left" w:pos="190"/>
              </w:tabs>
              <w:spacing w:line="276" w:lineRule="auto"/>
              <w:jc w:val="both"/>
              <w:rPr>
                <w:rFonts w:cs="IRTEK Courier"/>
                <w:lang w:val="hy-AM"/>
              </w:rPr>
            </w:pPr>
            <w:r w:rsidRPr="0053423A">
              <w:rPr>
                <w:rFonts w:cs="IRTEK Courier"/>
                <w:lang w:val="hy-AM"/>
              </w:rPr>
              <w:t xml:space="preserve">   Սիրտ-անոթային հիվանդությունների դեմ պայքարի ռազմավարության ներդրումը բխում է է ոչ վարակիչ հիվանդությունների կանխարգելման, վաղ հայտնաբերման և բուժման համար արդյունավետ մեխանիզմների ներդրման անհրաժեշտությունից:</w:t>
            </w:r>
          </w:p>
          <w:p w:rsidR="00764E6F" w:rsidRPr="0053423A" w:rsidRDefault="00764E6F" w:rsidP="00A67858">
            <w:pPr>
              <w:tabs>
                <w:tab w:val="left" w:pos="190"/>
              </w:tabs>
              <w:spacing w:line="276" w:lineRule="auto"/>
              <w:jc w:val="both"/>
              <w:rPr>
                <w:rFonts w:cs="IRTEK Courier"/>
                <w:lang w:val="hy-AM"/>
              </w:rPr>
            </w:pPr>
          </w:p>
          <w:p w:rsidR="00764E6F" w:rsidRPr="0053423A" w:rsidRDefault="00764E6F" w:rsidP="00A67858">
            <w:pPr>
              <w:tabs>
                <w:tab w:val="left" w:pos="190"/>
              </w:tabs>
              <w:spacing w:line="276" w:lineRule="auto"/>
              <w:jc w:val="both"/>
              <w:rPr>
                <w:rFonts w:cs="IRTEK Courier"/>
                <w:b/>
                <w:lang w:val="hy-AM"/>
              </w:rPr>
            </w:pPr>
            <w:r w:rsidRPr="0053423A">
              <w:rPr>
                <w:rFonts w:cs="IRTEK Courier"/>
                <w:b/>
                <w:lang w:val="hy-AM"/>
              </w:rPr>
              <w:t xml:space="preserve">   1.1.</w:t>
            </w:r>
            <w:r w:rsidRPr="0053423A">
              <w:rPr>
                <w:rFonts w:cs="IRTEK Courier"/>
                <w:b/>
                <w:lang w:val="hy-AM"/>
              </w:rPr>
              <w:tab/>
              <w:t xml:space="preserve">Կարգավորման հարաբերությունների ներկա վիճակը և առկա խնդիրները </w:t>
            </w:r>
          </w:p>
          <w:p w:rsidR="00764E6F" w:rsidRPr="0053423A" w:rsidRDefault="00764E6F" w:rsidP="00A67858">
            <w:pPr>
              <w:tabs>
                <w:tab w:val="left" w:pos="190"/>
              </w:tabs>
              <w:spacing w:line="276" w:lineRule="auto"/>
              <w:jc w:val="both"/>
              <w:rPr>
                <w:rFonts w:cs="IRTEK Courier"/>
                <w:lang w:val="hy-AM"/>
              </w:rPr>
            </w:pPr>
            <w:r w:rsidRPr="0053423A">
              <w:rPr>
                <w:rFonts w:cs="IRTEK Courier"/>
                <w:lang w:val="hy-AM"/>
              </w:rPr>
              <w:t xml:space="preserve">   Համաձայն 2016 թվականի Առողջապահության նախարարության առողջապահության տեղեկատվական վերլուծական ազգային կենտրոնի (ԱՏՎԱԿ) և Ազգային վիճակագրական ծառայության (ԱՎԾ) տվյալների, բնակչության շրջանում առավել տարածված ոչ վարակիչ հիվանդություններից մահացության բեռը կազմում է մոտ 80%, ընդ որում, մահացության բուրգում արյան շրջանառության համակարգի հիվանդությունները  (ԱՇՀՀ) զբաղեցնում են առաջին տեղը` 48%: Հանրապետության բնակչության «կյանքի անաշխատունակ տարիների» ցուցանիշի ավելացման (DALY, disability adjusted life years) 10 հիմնական պատճառներից չորսը պատկանում են ԱՇՀՀ (սրտի իշեմիկ հիվանդություն, ուղեղանոթային հիվանդություններ, զարկերակային գերճնշում (ԶԳ), սրտի այլ հիվանդություններ):</w:t>
            </w:r>
          </w:p>
          <w:p w:rsidR="00764E6F" w:rsidRPr="0053423A" w:rsidRDefault="00764E6F" w:rsidP="00A67858">
            <w:pPr>
              <w:tabs>
                <w:tab w:val="left" w:pos="190"/>
              </w:tabs>
              <w:spacing w:line="276" w:lineRule="auto"/>
              <w:jc w:val="both"/>
              <w:rPr>
                <w:rFonts w:cs="IRTEK Courier"/>
                <w:lang w:val="hy-AM"/>
              </w:rPr>
            </w:pPr>
            <w:r w:rsidRPr="0053423A">
              <w:rPr>
                <w:rFonts w:cs="IRTEK Courier"/>
                <w:lang w:val="hy-AM"/>
              </w:rPr>
              <w:t>Հանրապետությունում տարեցտարի ավելացող սիրտ-անոթային հիվանդությունների կանխարգելման նպատակն է բնակչության շրջանում վաղ հայտնաբերել և կանխարգելել սիրտ-անոթային հիվանդությունների հետագա զարգացումը:</w:t>
            </w:r>
          </w:p>
          <w:p w:rsidR="00764E6F" w:rsidRPr="0053423A" w:rsidRDefault="00764E6F" w:rsidP="00A67858">
            <w:pPr>
              <w:tabs>
                <w:tab w:val="left" w:pos="190"/>
              </w:tabs>
              <w:spacing w:line="276" w:lineRule="auto"/>
              <w:jc w:val="both"/>
              <w:rPr>
                <w:rFonts w:cs="IRTEK Courier"/>
                <w:lang w:val="hy-AM"/>
              </w:rPr>
            </w:pPr>
          </w:p>
          <w:p w:rsidR="00764E6F" w:rsidRPr="0053423A" w:rsidRDefault="00764E6F" w:rsidP="00A67858">
            <w:pPr>
              <w:tabs>
                <w:tab w:val="left" w:pos="190"/>
              </w:tabs>
              <w:spacing w:line="276" w:lineRule="auto"/>
              <w:jc w:val="both"/>
              <w:rPr>
                <w:rFonts w:cs="IRTEK Courier"/>
                <w:b/>
                <w:lang w:val="hy-AM"/>
              </w:rPr>
            </w:pPr>
            <w:r w:rsidRPr="0053423A">
              <w:rPr>
                <w:rFonts w:cs="IRTEK Courier"/>
                <w:b/>
                <w:lang w:val="hy-AM"/>
              </w:rPr>
              <w:t xml:space="preserve">   1.2.</w:t>
            </w:r>
            <w:r w:rsidRPr="0053423A">
              <w:rPr>
                <w:rFonts w:cs="IRTEK Courier"/>
                <w:b/>
                <w:lang w:val="hy-AM"/>
              </w:rPr>
              <w:tab/>
              <w:t xml:space="preserve">Առկա խնդիրների առաջարկվող լուծումները </w:t>
            </w:r>
          </w:p>
          <w:p w:rsidR="00764E6F" w:rsidRPr="0053423A" w:rsidRDefault="00764E6F" w:rsidP="00A67858">
            <w:pPr>
              <w:tabs>
                <w:tab w:val="left" w:pos="190"/>
              </w:tabs>
              <w:spacing w:line="276" w:lineRule="auto"/>
              <w:jc w:val="both"/>
              <w:rPr>
                <w:rFonts w:cs="IRTEK Courier"/>
                <w:lang w:val="hy-AM"/>
              </w:rPr>
            </w:pPr>
            <w:r w:rsidRPr="0053423A">
              <w:rPr>
                <w:rFonts w:cs="IRTEK Courier"/>
                <w:lang w:val="hy-AM"/>
              </w:rPr>
              <w:t xml:space="preserve">   Սիրտ-անոթային հիվանդությունների դեմ պայքարի  ռազմավարության ներդրման աշխատանքների շրջանակներում նախատեսվում է մասնագիտական քննարկումների կազմակերպում, սիրտ-անոթային հիվանդությունների դեմ պայքարի միջազգային փորձի ուսումնասիրություն, Հայաստանում սիրտ-անոթային հիվանդությունների համաճարակաբանության ուսումնասիրություն և վերլուծություն: Ռազմավարության ներդրման շրջանակներում սիրտ-անոթային հիվանդությունների կանխարգելմանը, վաղ հայտնաբերմանը, բուժմանը, վարմանն (ներառյալ ժամանակակից հետազոտությունների մեթոդների կիրառում) ուղղված միջոցառումների մշակում, ինչպես նաև աշխարհագրական տեղակայման և հանրության իրազեկման վերաբերյալ միջոցառումների մշակում և ներդնում:  </w:t>
            </w:r>
          </w:p>
          <w:p w:rsidR="00764E6F" w:rsidRPr="0053423A" w:rsidRDefault="00764E6F" w:rsidP="00A67858">
            <w:pPr>
              <w:spacing w:line="276" w:lineRule="auto"/>
              <w:jc w:val="both"/>
              <w:rPr>
                <w:lang w:val="hy-AM"/>
              </w:rPr>
            </w:pPr>
            <w:r w:rsidRPr="0053423A">
              <w:rPr>
                <w:lang w:val="hy-AM"/>
              </w:rPr>
              <w:t xml:space="preserve">   Նախատեսվում է մշակված փաստաթղթերը և իրականացվող միջոցառումները քննարկել և կարծիք ստանալ բոլոր շահագրգիռ կառույցներից, մասնավորապես, տարածքային կառավարման և զարգացման նախարարությունից,  ՀՀ մարզպետարաններից և Երևանի քաղաքապետարանից:</w:t>
            </w:r>
          </w:p>
          <w:p w:rsidR="00764E6F" w:rsidRPr="0053423A" w:rsidRDefault="00764E6F" w:rsidP="00A67858">
            <w:pPr>
              <w:tabs>
                <w:tab w:val="left" w:pos="190"/>
              </w:tabs>
              <w:spacing w:line="276" w:lineRule="auto"/>
              <w:jc w:val="both"/>
              <w:rPr>
                <w:rFonts w:cs="IRTEK Courier"/>
                <w:lang w:val="hy-AM"/>
              </w:rPr>
            </w:pPr>
          </w:p>
          <w:p w:rsidR="00764E6F" w:rsidRPr="0053423A" w:rsidRDefault="00764E6F" w:rsidP="00A67858">
            <w:pPr>
              <w:tabs>
                <w:tab w:val="left" w:pos="190"/>
              </w:tabs>
              <w:spacing w:line="276" w:lineRule="auto"/>
              <w:jc w:val="both"/>
              <w:rPr>
                <w:rFonts w:cs="IRTEK Courier"/>
                <w:b/>
                <w:lang w:val="hy-AM"/>
              </w:rPr>
            </w:pPr>
            <w:r w:rsidRPr="0053423A">
              <w:rPr>
                <w:rFonts w:cs="IRTEK Courier"/>
                <w:b/>
                <w:lang w:val="hy-AM"/>
              </w:rPr>
              <w:t xml:space="preserve">   2.</w:t>
            </w:r>
            <w:r w:rsidRPr="0053423A">
              <w:rPr>
                <w:rFonts w:cs="IRTEK Courier"/>
                <w:b/>
                <w:lang w:val="hy-AM"/>
              </w:rPr>
              <w:tab/>
              <w:t>Միջոցառման իրականացումից ակնկալվող արդյունքը</w:t>
            </w:r>
          </w:p>
          <w:p w:rsidR="00764E6F" w:rsidRPr="0053423A" w:rsidRDefault="00764E6F" w:rsidP="00A67858">
            <w:pPr>
              <w:tabs>
                <w:tab w:val="left" w:pos="190"/>
              </w:tabs>
              <w:spacing w:line="276" w:lineRule="auto"/>
              <w:jc w:val="both"/>
              <w:rPr>
                <w:rFonts w:cs="IRTEK Courier"/>
                <w:lang w:val="hy-AM"/>
              </w:rPr>
            </w:pPr>
            <w:r w:rsidRPr="0053423A">
              <w:rPr>
                <w:rFonts w:cs="IRTEK Courier"/>
                <w:lang w:val="hy-AM"/>
              </w:rPr>
              <w:t xml:space="preserve">   Սիրտ-անոթային հիվանդությունների դեմ պայքարի  ռազմավարության ներդրման արդյունքում նախատեսվում է բարելավել բնակչության առողջապահական ցուցանիշները, մասնավորապես, ակնկալվում է սիրտ-անոթային հիվանդությունների կանխարգելման և բուժման արդյունավետության բարձրացում և մահաբերության նվազեցում: Միջոցառումների իրականացման ավարտին, 5 տարի անց սիրտ-անոթային հիվանդություններից մահացության ցուցանիշի նվազում 5%-ով: </w:t>
            </w:r>
          </w:p>
          <w:p w:rsidR="00764E6F" w:rsidRPr="0053423A" w:rsidRDefault="00764E6F" w:rsidP="00A67858">
            <w:pPr>
              <w:tabs>
                <w:tab w:val="left" w:pos="190"/>
              </w:tabs>
              <w:spacing w:line="276" w:lineRule="auto"/>
              <w:jc w:val="both"/>
              <w:rPr>
                <w:rFonts w:cs="Sylfaen"/>
                <w:b/>
                <w:lang w:val="hy-AM"/>
              </w:rPr>
            </w:pPr>
          </w:p>
        </w:tc>
      </w:tr>
      <w:tr w:rsidR="00764E6F" w:rsidRPr="00DE2EFA" w:rsidTr="009843B0">
        <w:tc>
          <w:tcPr>
            <w:tcW w:w="630" w:type="dxa"/>
          </w:tcPr>
          <w:p w:rsidR="00764E6F" w:rsidRPr="0053423A" w:rsidRDefault="008B3845" w:rsidP="00A67858">
            <w:pPr>
              <w:tabs>
                <w:tab w:val="left" w:pos="192"/>
              </w:tabs>
              <w:spacing w:line="276" w:lineRule="auto"/>
              <w:jc w:val="both"/>
              <w:rPr>
                <w:lang w:val="hy-AM"/>
              </w:rPr>
            </w:pPr>
            <w:r w:rsidRPr="0053423A">
              <w:rPr>
                <w:lang w:val="hy-AM"/>
              </w:rPr>
              <w:t>3</w:t>
            </w:r>
            <w:r w:rsidR="00764E6F" w:rsidRPr="0053423A">
              <w:t>1</w:t>
            </w:r>
          </w:p>
        </w:tc>
        <w:tc>
          <w:tcPr>
            <w:tcW w:w="10878" w:type="dxa"/>
          </w:tcPr>
          <w:p w:rsidR="00764E6F" w:rsidRPr="0053423A" w:rsidRDefault="008B3845" w:rsidP="00A67858">
            <w:pPr>
              <w:tabs>
                <w:tab w:val="left" w:pos="176"/>
                <w:tab w:val="left" w:pos="317"/>
              </w:tabs>
              <w:spacing w:line="276" w:lineRule="auto"/>
              <w:contextualSpacing/>
              <w:jc w:val="center"/>
              <w:rPr>
                <w:b/>
                <w:lang w:val="hy-AM"/>
              </w:rPr>
            </w:pPr>
            <w:r w:rsidRPr="0053423A">
              <w:rPr>
                <w:b/>
                <w:lang w:val="hy-AM"/>
              </w:rPr>
              <w:t>3</w:t>
            </w:r>
            <w:r w:rsidR="00764E6F" w:rsidRPr="0053423A">
              <w:rPr>
                <w:b/>
                <w:lang w:val="hy-AM"/>
              </w:rPr>
              <w:t>1.1 «Երեխաների և դեռահասների համար հոգեբուժական ծառայությունների մատչելիության</w:t>
            </w:r>
          </w:p>
          <w:p w:rsidR="00764E6F" w:rsidRPr="0053423A" w:rsidRDefault="00764E6F" w:rsidP="00A67858">
            <w:pPr>
              <w:tabs>
                <w:tab w:val="left" w:pos="176"/>
                <w:tab w:val="left" w:pos="317"/>
              </w:tabs>
              <w:spacing w:line="276" w:lineRule="auto"/>
              <w:contextualSpacing/>
              <w:jc w:val="center"/>
              <w:rPr>
                <w:b/>
                <w:lang w:val="hy-AM"/>
              </w:rPr>
            </w:pPr>
            <w:r w:rsidRPr="0053423A">
              <w:rPr>
                <w:b/>
                <w:lang w:val="hy-AM"/>
              </w:rPr>
              <w:t xml:space="preserve"> և որակի բարելավման ծրագրային միջոցառումների ժամանակացույցը հաստատելու մասին» Առողջապահության նախարարի հրամանի հաստատում</w:t>
            </w:r>
          </w:p>
          <w:p w:rsidR="00764E6F" w:rsidRPr="0053423A" w:rsidRDefault="00764E6F" w:rsidP="00A67858">
            <w:pPr>
              <w:spacing w:line="276" w:lineRule="auto"/>
              <w:jc w:val="center"/>
              <w:rPr>
                <w:lang w:val="hy-AM"/>
              </w:rPr>
            </w:pPr>
          </w:p>
          <w:p w:rsidR="00764E6F" w:rsidRPr="0053423A" w:rsidRDefault="00764E6F" w:rsidP="00A67858">
            <w:pPr>
              <w:spacing w:line="276" w:lineRule="auto"/>
              <w:contextualSpacing/>
              <w:rPr>
                <w:rFonts w:cs="IRTEK Courier"/>
                <w:b/>
                <w:lang w:val="hy-AM"/>
              </w:rPr>
            </w:pPr>
            <w:r w:rsidRPr="0053423A">
              <w:rPr>
                <w:rFonts w:cs="IRTEK Courier"/>
                <w:b/>
                <w:lang w:val="hy-AM"/>
              </w:rPr>
              <w:t xml:space="preserve">   1. Միջոցառման իրականացման անհրաժեշտությունը և նպատակը</w:t>
            </w:r>
          </w:p>
          <w:p w:rsidR="00764E6F" w:rsidRPr="0053423A" w:rsidRDefault="00764E6F" w:rsidP="00A67858">
            <w:pPr>
              <w:spacing w:line="276" w:lineRule="auto"/>
              <w:contextualSpacing/>
              <w:jc w:val="both"/>
              <w:rPr>
                <w:lang w:val="hy-AM"/>
              </w:rPr>
            </w:pPr>
            <w:r w:rsidRPr="0053423A">
              <w:rPr>
                <w:lang w:val="hy-AM"/>
              </w:rPr>
              <w:t xml:space="preserve">   Ծրագրի մշակման անհրաժեշտությունը բխում էկառավարության կողմից հավանություն արժանացած Երեխաների և դեռահասների առողջության բարելավման 2016-2020թթ. ազգային ռազմավարության դրույթներից, ինչպես նաև երեխաների և դեռահասների համար հոգեբուժական ծառայությունների խիստ սահմանափակ մատչելիությամբ պայմանավորված ներկայիս իրավիճակով: </w:t>
            </w:r>
          </w:p>
          <w:p w:rsidR="00764E6F" w:rsidRPr="0053423A" w:rsidRDefault="00764E6F" w:rsidP="00A67858">
            <w:pPr>
              <w:spacing w:line="276" w:lineRule="auto"/>
              <w:ind w:firstLine="567"/>
              <w:contextualSpacing/>
              <w:jc w:val="both"/>
              <w:rPr>
                <w:lang w:val="hy-AM"/>
              </w:rPr>
            </w:pPr>
            <w:r w:rsidRPr="0053423A">
              <w:rPr>
                <w:lang w:val="hy-AM"/>
              </w:rPr>
              <w:t>Միջոցառման նպատակը` Երեխաների և դեռահասների համար հոգեբուժական ծառայությունների մատչելիության և որակի բարելավումն է, հոգեկան առողջության խնդիրներով տառապող երեխաների համար մինչ այժմ գոյություն չունեցող առանձին հիվանդանոցային ծառայության և  բուժման նպաստավոր պայմանների ստեղծում:</w:t>
            </w:r>
          </w:p>
          <w:p w:rsidR="00764E6F" w:rsidRPr="0053423A" w:rsidRDefault="00764E6F" w:rsidP="00A67858">
            <w:pPr>
              <w:spacing w:line="276" w:lineRule="auto"/>
              <w:ind w:firstLine="567"/>
              <w:contextualSpacing/>
              <w:jc w:val="both"/>
              <w:rPr>
                <w:lang w:val="hy-AM"/>
              </w:rPr>
            </w:pPr>
          </w:p>
          <w:p w:rsidR="00764E6F" w:rsidRPr="0053423A" w:rsidRDefault="00764E6F" w:rsidP="00A67858">
            <w:pPr>
              <w:spacing w:line="276" w:lineRule="auto"/>
              <w:contextualSpacing/>
              <w:jc w:val="both"/>
              <w:rPr>
                <w:b/>
                <w:lang w:val="hy-AM"/>
              </w:rPr>
            </w:pPr>
            <w:r w:rsidRPr="0053423A">
              <w:rPr>
                <w:rFonts w:cs="IRTEK Courier"/>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contextualSpacing/>
              <w:jc w:val="both"/>
              <w:rPr>
                <w:lang w:val="hy-AM"/>
              </w:rPr>
            </w:pPr>
            <w:r w:rsidRPr="0053423A">
              <w:rPr>
                <w:lang w:val="hy-AM"/>
              </w:rPr>
              <w:t xml:space="preserve">   Ի կատարումն ՀՀ վարչապետի 23.04.2014թ. N14.7/[188565]-14 հանձնարարականի` 2015թ. դեկտեմբերին ՀՀ կառավարություն է ներկայացվել երեխաների և դեռահասների հոգեբուժական ծառայությունների /բաժանմունքների ձևավորման կարողությունների գնահատումը և դրա բարելավման ուղղությամբ առաջարկությունները: Խնդրի լուծմանն ուղղված առաջարկությունները ներառվել են նաև 2017-2020թթ. Միջին ժամկետ ծախսային ծրագրում, սակայն չեն հաստատվել համապատասխան ռեսուրսների սահմանափակ լինելու հիմնավորմամբ:</w:t>
            </w:r>
          </w:p>
          <w:p w:rsidR="00764E6F" w:rsidRPr="0053423A" w:rsidRDefault="00764E6F" w:rsidP="00A67858">
            <w:pPr>
              <w:spacing w:line="276" w:lineRule="auto"/>
              <w:contextualSpacing/>
              <w:jc w:val="both"/>
              <w:rPr>
                <w:lang w:val="hy-AM"/>
              </w:rPr>
            </w:pPr>
            <w:r w:rsidRPr="0053423A">
              <w:rPr>
                <w:lang w:val="hy-AM"/>
              </w:rPr>
              <w:t xml:space="preserve">   Ըստ ԱԱԻ պաշտոնական տվյալների, արձանագրվել է հոգեկան հիվանդություններով 0-14 տարեկան երեխաների թե առաջին անգամ ախտորոշված հիվանդացության թե ընդհանուր հիվանդացության ցուցանիշի աճ: Արդյունքում, հոգեկան առողջության խնդիրներով երեխաներին տրամադրվող բուժօգնության պահանջարկը վերջին տարիների ընթացքում՝ էապես մեծացել է, մինչդեռ ծառայությունների մատչելիությունը` ոչ: </w:t>
            </w:r>
          </w:p>
          <w:p w:rsidR="00764E6F" w:rsidRPr="0053423A" w:rsidRDefault="00764E6F" w:rsidP="00A67858">
            <w:pPr>
              <w:spacing w:line="276" w:lineRule="auto"/>
              <w:contextualSpacing/>
              <w:jc w:val="both"/>
              <w:rPr>
                <w:lang w:val="hy-AM"/>
              </w:rPr>
            </w:pPr>
            <w:r w:rsidRPr="0053423A">
              <w:rPr>
                <w:lang w:val="hy-AM"/>
              </w:rPr>
              <w:t xml:space="preserve">   Թեև ամբուլատոր սպասարկման մասով ՀԿ սեկտորում հնարավորությունները մի փոքր ավելացել են, սակայն մանկական հիվանդանոցային հոգեբուժական ծառայության իրավիճակը շատ ավելի խնդրահարույց է և  լեցուն օրակարգային լուծում պահանջող հարցերով։ Առավել արդիական են հոգեկան հիվանդ, հատկապես սուր փսիխոտիկ վիճակներով և վարքի արտահայտված խանգարումներով տառապող երեխաների, հատկապես դեռահասների (որոնք առավել խոցելի են հոգեկան և վարքագծային խնդիրների դրսևորման տարիքային առանձնահատկություններից ելնելով)  հիվանդանոցային բուժօգնության կազմակերպման և տևական մասնագիտական խնամքի կազմակերպման խնդիրները՝ գործնականում հանրապետությունում այդ ծառայությունների և ենթակառուցվածքների բացակայության պատճառով։ </w:t>
            </w:r>
          </w:p>
          <w:p w:rsidR="00764E6F" w:rsidRPr="0053423A" w:rsidRDefault="00764E6F" w:rsidP="00A67858">
            <w:pPr>
              <w:spacing w:line="276" w:lineRule="auto"/>
              <w:contextualSpacing/>
              <w:jc w:val="both"/>
              <w:rPr>
                <w:lang w:val="hy-AM"/>
              </w:rPr>
            </w:pPr>
            <w:r w:rsidRPr="0053423A">
              <w:rPr>
                <w:lang w:val="hy-AM"/>
              </w:rPr>
              <w:t xml:space="preserve"> </w:t>
            </w:r>
          </w:p>
          <w:p w:rsidR="00764E6F" w:rsidRPr="0053423A" w:rsidRDefault="00764E6F" w:rsidP="00A67858">
            <w:pPr>
              <w:spacing w:line="276" w:lineRule="auto"/>
              <w:jc w:val="both"/>
              <w:rPr>
                <w:rFonts w:cs="IRTEK Courier"/>
                <w:lang w:val="hy-AM"/>
              </w:rPr>
            </w:pPr>
            <w:r w:rsidRPr="0053423A">
              <w:rPr>
                <w:rFonts w:cs="IRTEK Courier"/>
                <w:b/>
                <w:lang w:val="hy-AM"/>
              </w:rPr>
              <w:t xml:space="preserve">   1.2. Առկա խնդիրների առաջարկվող լուծումները</w:t>
            </w:r>
          </w:p>
          <w:p w:rsidR="00764E6F" w:rsidRPr="0053423A" w:rsidRDefault="00764E6F" w:rsidP="00A67858">
            <w:pPr>
              <w:spacing w:line="276" w:lineRule="auto"/>
              <w:ind w:firstLine="284"/>
              <w:jc w:val="both"/>
              <w:rPr>
                <w:lang w:val="hy-AM"/>
              </w:rPr>
            </w:pPr>
            <w:r w:rsidRPr="0053423A">
              <w:rPr>
                <w:lang w:val="hy-AM"/>
              </w:rPr>
              <w:t>Երեխաների և դեռահասների հոգեբուժական  ծառայությունների/բաժանմունքների կարողությունների ներկայիս վիճակի գնահատման հիման վրա իրավիճակի բարելավման   առաջարկությունների մշակում, որտեղ տեղ կգտնեն առաջարկներ` մանկական հոգեբուժական ծառայություն մատուցող բուժհաստատությունների շինվերանորոգման աշխատանքների իրականացման, պետական պատվերի համապատասխան ծավալի տեղադրմամբ երեխաների պսիխոսոմատիկ ծառայության գծով նոր բաժանմունքի ստեղծման, պետական պատվերի շրջանակներում մանկական հոգեբուժության նպատակային կլինիկական օրդինատուրայի  տեղերի հատկացման ուղղությամբ:</w:t>
            </w:r>
          </w:p>
          <w:p w:rsidR="00764E6F" w:rsidRPr="0053423A" w:rsidRDefault="00764E6F" w:rsidP="00A67858">
            <w:pPr>
              <w:spacing w:line="276" w:lineRule="auto"/>
              <w:ind w:firstLine="284"/>
              <w:jc w:val="both"/>
              <w:rPr>
                <w:lang w:val="hy-AM"/>
              </w:rPr>
            </w:pPr>
            <w:r w:rsidRPr="0053423A">
              <w:rPr>
                <w:lang w:val="hy-AM"/>
              </w:rPr>
              <w:t>Որպես համակատարողներ կարող են հանդես գալ հոգեբուժության և հոգեբանության ոլորտի ասոցիացիաները, որոնք ծրագրի մշակման և/կամ իրականացման ընթացքում կտրամադրեն մասնագիտական/փորձագիտական աջակցության:</w:t>
            </w:r>
          </w:p>
          <w:p w:rsidR="00764E6F" w:rsidRPr="0053423A" w:rsidRDefault="00764E6F" w:rsidP="00A67858">
            <w:pPr>
              <w:spacing w:line="276" w:lineRule="auto"/>
              <w:contextualSpacing/>
              <w:jc w:val="both"/>
              <w:rPr>
                <w:b/>
                <w:lang w:val="hy-AM"/>
              </w:rPr>
            </w:pPr>
            <w:r w:rsidRPr="0053423A">
              <w:rPr>
                <w:lang w:val="hy-AM"/>
              </w:rPr>
              <w:t xml:space="preserve"> </w:t>
            </w:r>
            <w:r w:rsidRPr="0053423A">
              <w:rPr>
                <w:b/>
                <w:lang w:val="hy-AM"/>
              </w:rPr>
              <w:t xml:space="preserve"> </w:t>
            </w:r>
          </w:p>
          <w:p w:rsidR="00764E6F" w:rsidRPr="0053423A" w:rsidRDefault="00764E6F" w:rsidP="00A67858">
            <w:pPr>
              <w:spacing w:line="276" w:lineRule="auto"/>
              <w:jc w:val="both"/>
              <w:rPr>
                <w:b/>
                <w:lang w:val="hy-AM"/>
              </w:rPr>
            </w:pPr>
            <w:r w:rsidRPr="0053423A">
              <w:rPr>
                <w:b/>
                <w:lang w:val="hy-AM"/>
              </w:rPr>
              <w:t xml:space="preserve">   2. Միջոցառման  իրականացման դեպքում ակնկալվող արդյունքը</w:t>
            </w:r>
          </w:p>
          <w:p w:rsidR="00764E6F" w:rsidRPr="0053423A" w:rsidRDefault="00764E6F" w:rsidP="00A67858">
            <w:pPr>
              <w:spacing w:line="276" w:lineRule="auto"/>
              <w:jc w:val="both"/>
              <w:rPr>
                <w:b/>
                <w:bCs/>
                <w:lang w:val="hy-AM"/>
              </w:rPr>
            </w:pPr>
            <w:r w:rsidRPr="0053423A">
              <w:rPr>
                <w:lang w:val="hy-AM"/>
              </w:rPr>
              <w:t xml:space="preserve">   Հոգեկան առողջության խնդիրներով տառապող երեխաների համար կբարելավվի հոգեբուժական ծառայությունների մատչելիությունը և որակը: Շահառուների համար կստեղծվի մինչ այժմ գոյություն չունեցող առանձին հիվանդանոցային ծառայության և  բուժման նպաստավոր պայմաններ:</w:t>
            </w:r>
          </w:p>
          <w:p w:rsidR="00764E6F" w:rsidRPr="0053423A" w:rsidRDefault="00764E6F" w:rsidP="00A67858">
            <w:pPr>
              <w:spacing w:line="276" w:lineRule="auto"/>
              <w:jc w:val="center"/>
              <w:rPr>
                <w:rFonts w:cs="Sylfaen"/>
                <w:b/>
                <w:lang w:val="hy-AM"/>
              </w:rPr>
            </w:pPr>
          </w:p>
        </w:tc>
      </w:tr>
      <w:tr w:rsidR="00764E6F" w:rsidRPr="00DE2EFA" w:rsidTr="009843B0">
        <w:tc>
          <w:tcPr>
            <w:tcW w:w="630" w:type="dxa"/>
          </w:tcPr>
          <w:p w:rsidR="00764E6F" w:rsidRPr="0053423A" w:rsidRDefault="008B3845" w:rsidP="00A67858">
            <w:pPr>
              <w:tabs>
                <w:tab w:val="left" w:pos="192"/>
              </w:tabs>
              <w:spacing w:line="276" w:lineRule="auto"/>
              <w:jc w:val="both"/>
              <w:rPr>
                <w:lang w:val="hy-AM"/>
              </w:rPr>
            </w:pPr>
            <w:r w:rsidRPr="0053423A">
              <w:rPr>
                <w:lang w:val="hy-AM"/>
              </w:rPr>
              <w:t>3</w:t>
            </w:r>
            <w:r w:rsidR="00764E6F" w:rsidRPr="0053423A">
              <w:t>2</w:t>
            </w:r>
          </w:p>
        </w:tc>
        <w:tc>
          <w:tcPr>
            <w:tcW w:w="10878" w:type="dxa"/>
          </w:tcPr>
          <w:p w:rsidR="00764E6F" w:rsidRPr="0053423A" w:rsidRDefault="008B3845" w:rsidP="00A67858">
            <w:pPr>
              <w:tabs>
                <w:tab w:val="left" w:pos="180"/>
              </w:tabs>
              <w:spacing w:line="276" w:lineRule="auto"/>
              <w:jc w:val="center"/>
              <w:rPr>
                <w:b/>
                <w:lang w:val="hy-AM"/>
              </w:rPr>
            </w:pPr>
            <w:r w:rsidRPr="0053423A">
              <w:rPr>
                <w:b/>
                <w:lang w:val="hy-AM"/>
              </w:rPr>
              <w:t>3</w:t>
            </w:r>
            <w:r w:rsidR="00764E6F" w:rsidRPr="0053423A">
              <w:rPr>
                <w:b/>
                <w:lang w:val="hy-AM"/>
              </w:rPr>
              <w:t>2.1 ՀՀ բնակչության ռիսկային խմբերի շրջանում սքրինինգային հետազոտությունների</w:t>
            </w:r>
          </w:p>
          <w:p w:rsidR="00764E6F" w:rsidRPr="0053423A" w:rsidRDefault="00764E6F" w:rsidP="00A67858">
            <w:pPr>
              <w:tabs>
                <w:tab w:val="left" w:pos="180"/>
              </w:tabs>
              <w:spacing w:line="276" w:lineRule="auto"/>
              <w:jc w:val="center"/>
              <w:rPr>
                <w:b/>
                <w:lang w:val="hy-AM"/>
              </w:rPr>
            </w:pPr>
            <w:r w:rsidRPr="0053423A">
              <w:rPr>
                <w:b/>
                <w:lang w:val="hy-AM"/>
              </w:rPr>
              <w:t xml:space="preserve"> իրականացում ըստ հետևյալ հիվանդությունների՝ հիպերտոնիա, շաքարային դիաբետ, </w:t>
            </w:r>
          </w:p>
          <w:p w:rsidR="00764E6F" w:rsidRPr="0053423A" w:rsidRDefault="00764E6F" w:rsidP="00A67858">
            <w:pPr>
              <w:tabs>
                <w:tab w:val="left" w:pos="180"/>
              </w:tabs>
              <w:spacing w:line="276" w:lineRule="auto"/>
              <w:jc w:val="center"/>
              <w:rPr>
                <w:b/>
                <w:lang w:val="hy-AM"/>
              </w:rPr>
            </w:pPr>
            <w:r w:rsidRPr="0053423A">
              <w:rPr>
                <w:b/>
                <w:lang w:val="hy-AM"/>
              </w:rPr>
              <w:t>արգանդի պարանոցի քաղցկեղ</w:t>
            </w:r>
          </w:p>
          <w:p w:rsidR="00764E6F" w:rsidRPr="0053423A" w:rsidRDefault="00764E6F" w:rsidP="00A67858">
            <w:pPr>
              <w:tabs>
                <w:tab w:val="left" w:pos="180"/>
              </w:tabs>
              <w:spacing w:line="276" w:lineRule="auto"/>
              <w:jc w:val="center"/>
              <w:rPr>
                <w:b/>
                <w:lang w:val="hy-AM"/>
              </w:rPr>
            </w:pPr>
          </w:p>
          <w:p w:rsidR="00764E6F" w:rsidRPr="0053423A" w:rsidRDefault="00764E6F" w:rsidP="00A67858">
            <w:pPr>
              <w:tabs>
                <w:tab w:val="left" w:pos="180"/>
              </w:tabs>
              <w:spacing w:line="276" w:lineRule="auto"/>
              <w:rPr>
                <w:lang w:val="hy-AM"/>
              </w:rPr>
            </w:pPr>
            <w:r w:rsidRPr="0053423A">
              <w:rPr>
                <w:b/>
                <w:lang w:val="hy-AM"/>
              </w:rPr>
              <w:t xml:space="preserve">   1. Միջոցառման իրականացման անհրաժեշտությունը և նպատակը</w:t>
            </w:r>
          </w:p>
          <w:p w:rsidR="00764E6F" w:rsidRPr="0053423A" w:rsidRDefault="00764E6F" w:rsidP="00A67858">
            <w:pPr>
              <w:widowControl w:val="0"/>
              <w:autoSpaceDE w:val="0"/>
              <w:autoSpaceDN w:val="0"/>
              <w:adjustRightInd w:val="0"/>
              <w:spacing w:line="276" w:lineRule="auto"/>
              <w:jc w:val="both"/>
              <w:rPr>
                <w:rFonts w:cs="Sylfaen"/>
                <w:lang w:val="hy-AM"/>
              </w:rPr>
            </w:pPr>
            <w:r w:rsidRPr="0053423A">
              <w:rPr>
                <w:rFonts w:cs="Sylfaen"/>
                <w:lang w:val="hy-AM"/>
              </w:rPr>
              <w:t xml:space="preserve">   Հայաստանում առավել տարածված ոչ վարակիչ հիվանդությունների (ՈՎՀ) մահացության կառուցվածքը կրկնօրինակում է եվրոպական տարածաշրջանի մահացության պատկերը: Բնակչության մահացության ընդհանուր կառուցվածքում ՈՎՀ մահացության բեռը կազմում է մոտ 80%, ընդ որում սրտանոթային հիվանդություններից (ՍԱՀ) մահացությունը զբաղեցնում է առաջատար տեղը (48%), որոնց հաջորդում են չարորակ նորագոյացությունները՝ 20,0%, շաքարային դիաբետը (ՇԴ)՝ 4,2%:</w:t>
            </w:r>
          </w:p>
          <w:p w:rsidR="00764E6F" w:rsidRPr="0053423A" w:rsidRDefault="00764E6F" w:rsidP="00A67858">
            <w:pPr>
              <w:widowControl w:val="0"/>
              <w:autoSpaceDE w:val="0"/>
              <w:autoSpaceDN w:val="0"/>
              <w:adjustRightInd w:val="0"/>
              <w:spacing w:line="276" w:lineRule="auto"/>
              <w:jc w:val="both"/>
              <w:rPr>
                <w:lang w:val="hy-AM"/>
              </w:rPr>
            </w:pPr>
            <w:r w:rsidRPr="0053423A">
              <w:rPr>
                <w:rFonts w:cs="Sylfaen"/>
                <w:lang w:val="hy-AM"/>
              </w:rPr>
              <w:t xml:space="preserve">   Հանրապետությունում տարեց տարի ավելացող ոչ վարակիչ հիվանդությունների կանխարգելման  </w:t>
            </w:r>
            <w:r w:rsidRPr="0053423A">
              <w:rPr>
                <w:lang w:val="hy-AM"/>
              </w:rPr>
              <w:t>նպատակն է բարելավել մոր և մանկան առողջության պահպանման ծառայությունները և ռիսկային բնակչության շրջանում վաղ հայտնաբերել և կանխարգելել այդ հիվանդությունների հետագա զարգացումը:</w:t>
            </w:r>
          </w:p>
          <w:p w:rsidR="00764E6F" w:rsidRPr="0053423A" w:rsidRDefault="00764E6F" w:rsidP="00A67858">
            <w:pPr>
              <w:widowControl w:val="0"/>
              <w:autoSpaceDE w:val="0"/>
              <w:autoSpaceDN w:val="0"/>
              <w:adjustRightInd w:val="0"/>
              <w:spacing w:line="276" w:lineRule="auto"/>
              <w:jc w:val="both"/>
              <w:rPr>
                <w:lang w:val="hy-AM"/>
              </w:rPr>
            </w:pPr>
          </w:p>
          <w:p w:rsidR="00764E6F" w:rsidRPr="0053423A" w:rsidRDefault="00764E6F" w:rsidP="00A67858">
            <w:pPr>
              <w:widowControl w:val="0"/>
              <w:autoSpaceDE w:val="0"/>
              <w:autoSpaceDN w:val="0"/>
              <w:adjustRightInd w:val="0"/>
              <w:spacing w:line="276" w:lineRule="auto"/>
              <w:jc w:val="both"/>
              <w:rPr>
                <w:b/>
                <w:lang w:val="hy-AM"/>
              </w:rPr>
            </w:pPr>
            <w:r w:rsidRPr="0053423A">
              <w:rPr>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jc w:val="both"/>
              <w:rPr>
                <w:lang w:val="hy-AM"/>
              </w:rPr>
            </w:pPr>
            <w:r w:rsidRPr="0053423A">
              <w:rPr>
                <w:lang w:val="hy-AM"/>
              </w:rPr>
              <w:t xml:space="preserve">   2015</w:t>
            </w:r>
            <w:r w:rsidRPr="0053423A">
              <w:rPr>
                <w:rFonts w:cs="Sylfaen"/>
                <w:lang w:val="hy-AM"/>
              </w:rPr>
              <w:t>թ</w:t>
            </w:r>
            <w:r w:rsidRPr="0053423A">
              <w:rPr>
                <w:lang w:val="hy-AM"/>
              </w:rPr>
              <w:t>.-</w:t>
            </w:r>
            <w:r w:rsidRPr="0053423A">
              <w:rPr>
                <w:rFonts w:cs="Sylfaen"/>
                <w:lang w:val="hy-AM"/>
              </w:rPr>
              <w:t>ին</w:t>
            </w:r>
            <w:r w:rsidRPr="0053423A">
              <w:rPr>
                <w:lang w:val="hy-AM"/>
              </w:rPr>
              <w:t xml:space="preserve"> </w:t>
            </w:r>
            <w:r w:rsidRPr="0053423A">
              <w:rPr>
                <w:rFonts w:cs="Sylfaen"/>
                <w:lang w:val="hy-AM"/>
              </w:rPr>
              <w:t>մեկնարկել</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մինչև</w:t>
            </w:r>
            <w:r w:rsidRPr="0053423A">
              <w:rPr>
                <w:lang w:val="hy-AM"/>
              </w:rPr>
              <w:t xml:space="preserve"> 2020</w:t>
            </w:r>
            <w:r w:rsidRPr="0053423A">
              <w:rPr>
                <w:rFonts w:cs="Sylfaen"/>
                <w:lang w:val="hy-AM"/>
              </w:rPr>
              <w:t>թ</w:t>
            </w:r>
            <w:r w:rsidRPr="0053423A">
              <w:rPr>
                <w:lang w:val="hy-AM"/>
              </w:rPr>
              <w:t xml:space="preserve">. </w:t>
            </w:r>
            <w:r w:rsidRPr="0053423A">
              <w:rPr>
                <w:rFonts w:cs="Sylfaen"/>
                <w:lang w:val="hy-AM"/>
              </w:rPr>
              <w:t>ավարտը</w:t>
            </w:r>
            <w:r w:rsidRPr="0053423A">
              <w:rPr>
                <w:lang w:val="hy-AM"/>
              </w:rPr>
              <w:t xml:space="preserve"> </w:t>
            </w:r>
            <w:r w:rsidRPr="0053423A">
              <w:rPr>
                <w:rFonts w:cs="Sylfaen"/>
                <w:lang w:val="hy-AM"/>
              </w:rPr>
              <w:t>շարունակաբար</w:t>
            </w:r>
            <w:r w:rsidRPr="0053423A">
              <w:rPr>
                <w:lang w:val="hy-AM"/>
              </w:rPr>
              <w:t xml:space="preserve"> </w:t>
            </w:r>
            <w:r w:rsidRPr="0053423A">
              <w:rPr>
                <w:rFonts w:cs="Sylfaen"/>
                <w:lang w:val="hy-AM"/>
              </w:rPr>
              <w:t>ՀՀ</w:t>
            </w:r>
            <w:r w:rsidRPr="0053423A">
              <w:rPr>
                <w:lang w:val="hy-AM"/>
              </w:rPr>
              <w:t xml:space="preserve"> </w:t>
            </w:r>
            <w:r w:rsidRPr="0053423A">
              <w:rPr>
                <w:rFonts w:cs="Sylfaen"/>
                <w:lang w:val="hy-AM"/>
              </w:rPr>
              <w:t>ողջ</w:t>
            </w:r>
            <w:r w:rsidRPr="0053423A">
              <w:rPr>
                <w:lang w:val="hy-AM"/>
              </w:rPr>
              <w:t xml:space="preserve"> </w:t>
            </w:r>
            <w:r w:rsidRPr="0053423A">
              <w:rPr>
                <w:rFonts w:cs="Sylfaen"/>
                <w:lang w:val="hy-AM"/>
              </w:rPr>
              <w:t>տարածքում</w:t>
            </w:r>
            <w:r w:rsidRPr="0053423A">
              <w:rPr>
                <w:lang w:val="hy-AM"/>
              </w:rPr>
              <w:t xml:space="preserve"> </w:t>
            </w:r>
            <w:r w:rsidRPr="0053423A">
              <w:rPr>
                <w:rFonts w:cs="Sylfaen"/>
                <w:lang w:val="hy-AM"/>
              </w:rPr>
              <w:t>իրականացվելու</w:t>
            </w:r>
            <w:r w:rsidRPr="0053423A">
              <w:rPr>
                <w:lang w:val="hy-AM"/>
              </w:rPr>
              <w:t xml:space="preserve"> </w:t>
            </w:r>
            <w:r w:rsidRPr="0053423A">
              <w:rPr>
                <w:rFonts w:cs="Sylfaen"/>
                <w:lang w:val="hy-AM"/>
              </w:rPr>
              <w:t>են</w:t>
            </w:r>
            <w:r w:rsidRPr="0053423A">
              <w:rPr>
                <w:lang w:val="hy-AM"/>
              </w:rPr>
              <w:t xml:space="preserve"> </w:t>
            </w:r>
            <w:r w:rsidRPr="0053423A">
              <w:rPr>
                <w:rFonts w:cs="Sylfaen"/>
                <w:lang w:val="hy-AM"/>
              </w:rPr>
              <w:t>Սքրինինգային</w:t>
            </w:r>
            <w:r w:rsidRPr="0053423A">
              <w:rPr>
                <w:lang w:val="hy-AM"/>
              </w:rPr>
              <w:t xml:space="preserve"> </w:t>
            </w:r>
            <w:r w:rsidRPr="0053423A">
              <w:rPr>
                <w:rFonts w:cs="Sylfaen"/>
                <w:lang w:val="hy-AM"/>
              </w:rPr>
              <w:t>հետազոտություններ</w:t>
            </w:r>
            <w:r w:rsidRPr="0053423A">
              <w:rPr>
                <w:lang w:val="hy-AM"/>
              </w:rPr>
              <w:t xml:space="preserve">, </w:t>
            </w:r>
            <w:r w:rsidRPr="0053423A">
              <w:rPr>
                <w:rFonts w:cs="Sylfaen"/>
                <w:lang w:val="hy-AM"/>
              </w:rPr>
              <w:t>որոնք</w:t>
            </w:r>
            <w:r w:rsidRPr="0053423A">
              <w:rPr>
                <w:lang w:val="hy-AM"/>
              </w:rPr>
              <w:t xml:space="preserve"> </w:t>
            </w:r>
            <w:r w:rsidRPr="0053423A">
              <w:rPr>
                <w:rFonts w:cs="Sylfaen"/>
                <w:lang w:val="hy-AM"/>
              </w:rPr>
              <w:t>ուղղված</w:t>
            </w:r>
            <w:r w:rsidRPr="0053423A">
              <w:rPr>
                <w:lang w:val="hy-AM"/>
              </w:rPr>
              <w:t xml:space="preserve"> </w:t>
            </w:r>
            <w:r w:rsidRPr="0053423A">
              <w:rPr>
                <w:rFonts w:cs="Sylfaen"/>
                <w:lang w:val="hy-AM"/>
              </w:rPr>
              <w:t>են</w:t>
            </w: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գերճնշման</w:t>
            </w:r>
            <w:r w:rsidRPr="0053423A">
              <w:rPr>
                <w:lang w:val="hy-AM"/>
              </w:rPr>
              <w:t xml:space="preserve">, </w:t>
            </w:r>
            <w:r w:rsidRPr="0053423A">
              <w:rPr>
                <w:rFonts w:cs="Sylfaen"/>
                <w:lang w:val="hy-AM"/>
              </w:rPr>
              <w:t>շաքարային</w:t>
            </w:r>
            <w:r w:rsidRPr="0053423A">
              <w:rPr>
                <w:lang w:val="hy-AM"/>
              </w:rPr>
              <w:t xml:space="preserve"> </w:t>
            </w:r>
            <w:r w:rsidRPr="0053423A">
              <w:rPr>
                <w:rFonts w:cs="Sylfaen"/>
                <w:lang w:val="hy-AM"/>
              </w:rPr>
              <w:t>դիաբետի</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արգանդի</w:t>
            </w:r>
            <w:r w:rsidRPr="0053423A">
              <w:rPr>
                <w:lang w:val="hy-AM"/>
              </w:rPr>
              <w:t xml:space="preserve"> </w:t>
            </w:r>
            <w:r w:rsidRPr="0053423A">
              <w:rPr>
                <w:rFonts w:cs="Sylfaen"/>
                <w:lang w:val="hy-AM"/>
              </w:rPr>
              <w:t>պարանոցի</w:t>
            </w:r>
            <w:r w:rsidRPr="0053423A">
              <w:rPr>
                <w:lang w:val="hy-AM"/>
              </w:rPr>
              <w:t xml:space="preserve"> </w:t>
            </w:r>
            <w:r w:rsidRPr="0053423A">
              <w:rPr>
                <w:rFonts w:cs="Sylfaen"/>
                <w:lang w:val="hy-AM"/>
              </w:rPr>
              <w:t>քաղցկեղի</w:t>
            </w:r>
            <w:r w:rsidRPr="0053423A">
              <w:rPr>
                <w:lang w:val="hy-AM"/>
              </w:rPr>
              <w:t xml:space="preserve"> </w:t>
            </w:r>
            <w:r w:rsidRPr="0053423A">
              <w:rPr>
                <w:rFonts w:cs="Sylfaen"/>
                <w:lang w:val="hy-AM"/>
              </w:rPr>
              <w:t>կանխարգելմանն</w:t>
            </w:r>
            <w:r w:rsidRPr="0053423A">
              <w:rPr>
                <w:lang w:val="hy-AM"/>
              </w:rPr>
              <w:t xml:space="preserve"> </w:t>
            </w:r>
            <w:r w:rsidRPr="0053423A">
              <w:rPr>
                <w:rFonts w:cs="Sylfaen"/>
                <w:lang w:val="hy-AM"/>
              </w:rPr>
              <w:t>ու</w:t>
            </w:r>
            <w:r w:rsidRPr="0053423A">
              <w:rPr>
                <w:lang w:val="hy-AM"/>
              </w:rPr>
              <w:t xml:space="preserve"> </w:t>
            </w:r>
            <w:r w:rsidRPr="0053423A">
              <w:rPr>
                <w:rFonts w:cs="Sylfaen"/>
                <w:lang w:val="hy-AM"/>
              </w:rPr>
              <w:t>վաղ</w:t>
            </w:r>
            <w:r w:rsidRPr="0053423A">
              <w:rPr>
                <w:lang w:val="hy-AM"/>
              </w:rPr>
              <w:t xml:space="preserve"> </w:t>
            </w:r>
            <w:r w:rsidRPr="0053423A">
              <w:rPr>
                <w:rFonts w:cs="Sylfaen"/>
                <w:lang w:val="hy-AM"/>
              </w:rPr>
              <w:t>ախտորոշմանը</w:t>
            </w:r>
            <w:r w:rsidRPr="0053423A">
              <w:rPr>
                <w:lang w:val="hy-AM"/>
              </w:rPr>
              <w:t xml:space="preserve">: 35-68 </w:t>
            </w:r>
            <w:r w:rsidRPr="0053423A">
              <w:rPr>
                <w:rFonts w:cs="Sylfaen"/>
                <w:lang w:val="hy-AM"/>
              </w:rPr>
              <w:t>տարեկան</w:t>
            </w:r>
            <w:r w:rsidRPr="0053423A">
              <w:rPr>
                <w:lang w:val="hy-AM"/>
              </w:rPr>
              <w:t xml:space="preserve"> </w:t>
            </w:r>
            <w:r w:rsidRPr="0053423A">
              <w:rPr>
                <w:rFonts w:cs="Sylfaen"/>
                <w:lang w:val="hy-AM"/>
              </w:rPr>
              <w:t>բոլոր</w:t>
            </w:r>
            <w:r w:rsidRPr="0053423A">
              <w:rPr>
                <w:lang w:val="hy-AM"/>
              </w:rPr>
              <w:t xml:space="preserve"> </w:t>
            </w:r>
            <w:r w:rsidRPr="0053423A">
              <w:rPr>
                <w:rFonts w:cs="Sylfaen"/>
                <w:lang w:val="hy-AM"/>
              </w:rPr>
              <w:t>քաղաքացիները</w:t>
            </w:r>
            <w:r w:rsidRPr="0053423A">
              <w:rPr>
                <w:lang w:val="hy-AM"/>
              </w:rPr>
              <w:t xml:space="preserve"> </w:t>
            </w:r>
            <w:r w:rsidRPr="0053423A">
              <w:rPr>
                <w:rFonts w:cs="Sylfaen"/>
                <w:lang w:val="hy-AM"/>
              </w:rPr>
              <w:t>հնարավորություն</w:t>
            </w:r>
            <w:r w:rsidRPr="0053423A">
              <w:rPr>
                <w:lang w:val="hy-AM"/>
              </w:rPr>
              <w:t xml:space="preserve"> </w:t>
            </w:r>
            <w:r w:rsidRPr="0053423A">
              <w:rPr>
                <w:rFonts w:cs="Sylfaen"/>
                <w:lang w:val="hy-AM"/>
              </w:rPr>
              <w:t>ունեն</w:t>
            </w:r>
            <w:r w:rsidRPr="0053423A">
              <w:rPr>
                <w:lang w:val="hy-AM"/>
              </w:rPr>
              <w:t xml:space="preserve"> </w:t>
            </w:r>
            <w:r w:rsidRPr="0053423A">
              <w:rPr>
                <w:rFonts w:cs="Sylfaen"/>
                <w:lang w:val="hy-AM"/>
              </w:rPr>
              <w:t>անվճար</w:t>
            </w:r>
            <w:r w:rsidRPr="0053423A">
              <w:rPr>
                <w:lang w:val="hy-AM"/>
              </w:rPr>
              <w:t xml:space="preserve"> </w:t>
            </w:r>
            <w:r w:rsidRPr="0053423A">
              <w:rPr>
                <w:rFonts w:cs="Sylfaen"/>
                <w:lang w:val="hy-AM"/>
              </w:rPr>
              <w:t>հետազոտվել</w:t>
            </w:r>
            <w:r w:rsidRPr="0053423A">
              <w:rPr>
                <w:lang w:val="hy-AM"/>
              </w:rPr>
              <w:t xml:space="preserve"> </w:t>
            </w:r>
            <w:r w:rsidRPr="0053423A">
              <w:rPr>
                <w:rFonts w:cs="Sylfaen"/>
                <w:lang w:val="hy-AM"/>
              </w:rPr>
              <w:t>զարկերակային</w:t>
            </w:r>
            <w:r w:rsidRPr="0053423A">
              <w:rPr>
                <w:lang w:val="hy-AM"/>
              </w:rPr>
              <w:t xml:space="preserve"> </w:t>
            </w:r>
            <w:r w:rsidRPr="0053423A">
              <w:rPr>
                <w:rFonts w:cs="Sylfaen"/>
                <w:lang w:val="hy-AM"/>
              </w:rPr>
              <w:t>գերճնշման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շաքարային</w:t>
            </w:r>
            <w:r w:rsidRPr="0053423A">
              <w:rPr>
                <w:lang w:val="hy-AM"/>
              </w:rPr>
              <w:t xml:space="preserve"> </w:t>
            </w:r>
            <w:r w:rsidRPr="0053423A">
              <w:rPr>
                <w:rFonts w:cs="Sylfaen"/>
                <w:lang w:val="hy-AM"/>
              </w:rPr>
              <w:t>դիաբետի</w:t>
            </w:r>
            <w:r w:rsidRPr="0053423A">
              <w:rPr>
                <w:lang w:val="hy-AM"/>
              </w:rPr>
              <w:t xml:space="preserve">, </w:t>
            </w:r>
            <w:r w:rsidRPr="0053423A">
              <w:rPr>
                <w:rFonts w:cs="Sylfaen"/>
                <w:lang w:val="hy-AM"/>
              </w:rPr>
              <w:t>իսկ</w:t>
            </w:r>
            <w:r w:rsidRPr="0053423A">
              <w:rPr>
                <w:lang w:val="hy-AM"/>
              </w:rPr>
              <w:t xml:space="preserve"> 30-60 </w:t>
            </w:r>
            <w:r w:rsidRPr="0053423A">
              <w:rPr>
                <w:rFonts w:cs="Sylfaen"/>
                <w:lang w:val="hy-AM"/>
              </w:rPr>
              <w:t>տարեկան</w:t>
            </w:r>
            <w:r w:rsidRPr="0053423A">
              <w:rPr>
                <w:lang w:val="hy-AM"/>
              </w:rPr>
              <w:t xml:space="preserve"> </w:t>
            </w:r>
            <w:r w:rsidRPr="0053423A">
              <w:rPr>
                <w:rFonts w:cs="Sylfaen"/>
                <w:lang w:val="hy-AM"/>
              </w:rPr>
              <w:t>բոլոր</w:t>
            </w:r>
            <w:r w:rsidRPr="0053423A">
              <w:rPr>
                <w:lang w:val="hy-AM"/>
              </w:rPr>
              <w:t xml:space="preserve"> </w:t>
            </w:r>
            <w:r w:rsidRPr="0053423A">
              <w:rPr>
                <w:rFonts w:cs="Sylfaen"/>
                <w:lang w:val="hy-AM"/>
              </w:rPr>
              <w:t>կանայք</w:t>
            </w:r>
            <w:r w:rsidRPr="0053423A">
              <w:rPr>
                <w:lang w:val="hy-AM"/>
              </w:rPr>
              <w:t xml:space="preserve">` </w:t>
            </w:r>
            <w:r w:rsidRPr="0053423A">
              <w:rPr>
                <w:rFonts w:cs="Sylfaen"/>
                <w:lang w:val="hy-AM"/>
              </w:rPr>
              <w:t>ՊԱՊ</w:t>
            </w:r>
            <w:r w:rsidRPr="0053423A">
              <w:rPr>
                <w:lang w:val="hy-AM"/>
              </w:rPr>
              <w:t xml:space="preserve"> </w:t>
            </w:r>
            <w:r w:rsidRPr="0053423A">
              <w:rPr>
                <w:rFonts w:cs="Sylfaen"/>
                <w:lang w:val="hy-AM"/>
              </w:rPr>
              <w:t>թեստի</w:t>
            </w:r>
            <w:r w:rsidRPr="0053423A">
              <w:rPr>
                <w:lang w:val="hy-AM"/>
              </w:rPr>
              <w:t xml:space="preserve"> </w:t>
            </w:r>
            <w:r w:rsidRPr="0053423A">
              <w:rPr>
                <w:rFonts w:cs="Sylfaen"/>
                <w:lang w:val="hy-AM"/>
              </w:rPr>
              <w:t>հետազոտության</w:t>
            </w:r>
            <w:r w:rsidRPr="0053423A">
              <w:rPr>
                <w:lang w:val="hy-AM"/>
              </w:rPr>
              <w:t xml:space="preserve"> </w:t>
            </w:r>
            <w:r w:rsidRPr="0053423A">
              <w:rPr>
                <w:rFonts w:cs="Sylfaen"/>
                <w:lang w:val="hy-AM"/>
              </w:rPr>
              <w:t>միջոցով</w:t>
            </w:r>
            <w:r w:rsidRPr="0053423A">
              <w:rPr>
                <w:lang w:val="hy-AM"/>
              </w:rPr>
              <w:t xml:space="preserve"> </w:t>
            </w:r>
            <w:r w:rsidRPr="0053423A">
              <w:rPr>
                <w:rFonts w:cs="Sylfaen"/>
                <w:lang w:val="hy-AM"/>
              </w:rPr>
              <w:t>արգանդի</w:t>
            </w:r>
            <w:r w:rsidRPr="0053423A">
              <w:rPr>
                <w:lang w:val="hy-AM"/>
              </w:rPr>
              <w:t xml:space="preserve"> </w:t>
            </w:r>
            <w:r w:rsidRPr="0053423A">
              <w:rPr>
                <w:rFonts w:cs="Sylfaen"/>
                <w:lang w:val="hy-AM"/>
              </w:rPr>
              <w:t>պարանոցի</w:t>
            </w:r>
            <w:r w:rsidRPr="0053423A">
              <w:rPr>
                <w:lang w:val="hy-AM"/>
              </w:rPr>
              <w:t xml:space="preserve"> </w:t>
            </w:r>
            <w:r w:rsidRPr="0053423A">
              <w:rPr>
                <w:rFonts w:cs="Sylfaen"/>
                <w:lang w:val="hy-AM"/>
              </w:rPr>
              <w:t>նախաքաղցկեղի</w:t>
            </w:r>
            <w:r w:rsidRPr="0053423A">
              <w:rPr>
                <w:lang w:val="hy-AM"/>
              </w:rPr>
              <w:t xml:space="preserve"> </w:t>
            </w:r>
            <w:r w:rsidRPr="0053423A">
              <w:rPr>
                <w:rFonts w:cs="Sylfaen"/>
                <w:lang w:val="hy-AM"/>
              </w:rPr>
              <w:t>վաղ</w:t>
            </w:r>
            <w:r w:rsidRPr="0053423A">
              <w:rPr>
                <w:lang w:val="hy-AM"/>
              </w:rPr>
              <w:t xml:space="preserve"> </w:t>
            </w:r>
            <w:r w:rsidRPr="0053423A">
              <w:rPr>
                <w:rFonts w:cs="Sylfaen"/>
                <w:lang w:val="hy-AM"/>
              </w:rPr>
              <w:t>ախտորոշման</w:t>
            </w:r>
            <w:r w:rsidRPr="0053423A">
              <w:rPr>
                <w:lang w:val="hy-AM"/>
              </w:rPr>
              <w:t xml:space="preserve"> </w:t>
            </w:r>
            <w:r w:rsidRPr="0053423A">
              <w:rPr>
                <w:rFonts w:cs="Sylfaen"/>
                <w:lang w:val="hy-AM"/>
              </w:rPr>
              <w:t>եւ</w:t>
            </w:r>
            <w:r w:rsidRPr="0053423A">
              <w:rPr>
                <w:lang w:val="hy-AM"/>
              </w:rPr>
              <w:t xml:space="preserve"> </w:t>
            </w:r>
            <w:r w:rsidRPr="0053423A">
              <w:rPr>
                <w:rFonts w:cs="Sylfaen"/>
                <w:lang w:val="hy-AM"/>
              </w:rPr>
              <w:t>քաղցկեղի</w:t>
            </w:r>
            <w:r w:rsidRPr="0053423A">
              <w:rPr>
                <w:lang w:val="hy-AM"/>
              </w:rPr>
              <w:t xml:space="preserve"> </w:t>
            </w:r>
            <w:r w:rsidRPr="0053423A">
              <w:rPr>
                <w:rFonts w:cs="Sylfaen"/>
                <w:lang w:val="hy-AM"/>
              </w:rPr>
              <w:t>կանխարգելման</w:t>
            </w:r>
            <w:r w:rsidRPr="0053423A">
              <w:rPr>
                <w:lang w:val="hy-AM"/>
              </w:rPr>
              <w:t xml:space="preserve"> </w:t>
            </w:r>
            <w:r w:rsidRPr="0053423A">
              <w:rPr>
                <w:rFonts w:cs="Sylfaen"/>
                <w:lang w:val="hy-AM"/>
              </w:rPr>
              <w:t>նպատակով</w:t>
            </w:r>
            <w:r w:rsidRPr="0053423A">
              <w:rPr>
                <w:lang w:val="hy-AM"/>
              </w:rPr>
              <w:t xml:space="preserve">: </w:t>
            </w:r>
          </w:p>
          <w:p w:rsidR="00764E6F" w:rsidRPr="0053423A" w:rsidRDefault="00764E6F" w:rsidP="00A67858">
            <w:pPr>
              <w:spacing w:line="276" w:lineRule="auto"/>
              <w:jc w:val="both"/>
              <w:rPr>
                <w:lang w:val="hy-AM"/>
              </w:rPr>
            </w:pPr>
            <w:r w:rsidRPr="0053423A">
              <w:rPr>
                <w:lang w:val="hy-AM"/>
              </w:rPr>
              <w:t xml:space="preserve">   01.01.2015</w:t>
            </w:r>
            <w:r w:rsidRPr="0053423A">
              <w:rPr>
                <w:rFonts w:cs="Sylfaen"/>
                <w:lang w:val="hy-AM"/>
              </w:rPr>
              <w:t>թ</w:t>
            </w:r>
            <w:r w:rsidRPr="0053423A">
              <w:rPr>
                <w:lang w:val="hy-AM"/>
              </w:rPr>
              <w:t>.-</w:t>
            </w:r>
            <w:r w:rsidRPr="0053423A">
              <w:rPr>
                <w:rFonts w:cs="Sylfaen"/>
                <w:lang w:val="hy-AM"/>
              </w:rPr>
              <w:t>ից</w:t>
            </w:r>
            <w:r w:rsidRPr="0053423A">
              <w:rPr>
                <w:lang w:val="hy-AM"/>
              </w:rPr>
              <w:t xml:space="preserve"> 31.12.2017</w:t>
            </w:r>
            <w:r w:rsidRPr="0053423A">
              <w:rPr>
                <w:rFonts w:cs="Sylfaen"/>
                <w:lang w:val="hy-AM"/>
              </w:rPr>
              <w:t>թ</w:t>
            </w:r>
            <w:r w:rsidRPr="0053423A">
              <w:rPr>
                <w:lang w:val="hy-AM"/>
              </w:rPr>
              <w:t xml:space="preserve">. </w:t>
            </w:r>
            <w:r w:rsidRPr="0053423A">
              <w:rPr>
                <w:rFonts w:cs="Sylfaen"/>
                <w:lang w:val="hy-AM"/>
              </w:rPr>
              <w:t>ընկած</w:t>
            </w:r>
            <w:r w:rsidRPr="0053423A">
              <w:rPr>
                <w:lang w:val="hy-AM"/>
              </w:rPr>
              <w:t xml:space="preserve"> </w:t>
            </w:r>
            <w:r w:rsidRPr="0053423A">
              <w:rPr>
                <w:rFonts w:cs="Sylfaen"/>
                <w:lang w:val="hy-AM"/>
              </w:rPr>
              <w:t>ժամանակահատվածում</w:t>
            </w:r>
            <w:r w:rsidRPr="0053423A">
              <w:rPr>
                <w:lang w:val="hy-AM"/>
              </w:rPr>
              <w:t xml:space="preserve">, </w:t>
            </w:r>
            <w:r w:rsidRPr="0053423A">
              <w:rPr>
                <w:rFonts w:cs="Sylfaen"/>
                <w:lang w:val="hy-AM"/>
              </w:rPr>
              <w:t>սքրինինգային</w:t>
            </w:r>
            <w:r w:rsidRPr="0053423A">
              <w:rPr>
                <w:lang w:val="hy-AM"/>
              </w:rPr>
              <w:t xml:space="preserve"> </w:t>
            </w:r>
            <w:r w:rsidRPr="0053423A">
              <w:rPr>
                <w:rFonts w:cs="Sylfaen"/>
                <w:lang w:val="hy-AM"/>
              </w:rPr>
              <w:t>հետազոտությունների</w:t>
            </w:r>
            <w:r w:rsidRPr="0053423A">
              <w:rPr>
                <w:lang w:val="hy-AM"/>
              </w:rPr>
              <w:t xml:space="preserve"> </w:t>
            </w:r>
            <w:r w:rsidRPr="0053423A">
              <w:rPr>
                <w:rFonts w:cs="Sylfaen"/>
                <w:lang w:val="hy-AM"/>
              </w:rPr>
              <w:t>իրականացման</w:t>
            </w:r>
            <w:r w:rsidRPr="0053423A">
              <w:rPr>
                <w:lang w:val="hy-AM"/>
              </w:rPr>
              <w:t xml:space="preserve"> 1-</w:t>
            </w:r>
            <w:r w:rsidRPr="0053423A">
              <w:rPr>
                <w:rFonts w:cs="Sylfaen"/>
                <w:lang w:val="hy-AM"/>
              </w:rPr>
              <w:t>ին</w:t>
            </w:r>
            <w:r w:rsidRPr="0053423A">
              <w:rPr>
                <w:lang w:val="hy-AM"/>
              </w:rPr>
              <w:t xml:space="preserve"> </w:t>
            </w:r>
            <w:r w:rsidRPr="0053423A">
              <w:rPr>
                <w:rFonts w:cs="Sylfaen"/>
                <w:lang w:val="hy-AM"/>
              </w:rPr>
              <w:t>փուլում</w:t>
            </w:r>
            <w:r w:rsidRPr="0053423A">
              <w:rPr>
                <w:lang w:val="hy-AM"/>
              </w:rPr>
              <w:t xml:space="preserve">, </w:t>
            </w:r>
            <w:r w:rsidRPr="0053423A">
              <w:rPr>
                <w:rFonts w:cs="Sylfaen"/>
                <w:lang w:val="hy-AM"/>
              </w:rPr>
              <w:t>բնակչության</w:t>
            </w:r>
            <w:r w:rsidRPr="0053423A">
              <w:rPr>
                <w:lang w:val="hy-AM"/>
              </w:rPr>
              <w:t xml:space="preserve"> </w:t>
            </w:r>
            <w:r w:rsidRPr="0053423A">
              <w:rPr>
                <w:rFonts w:cs="Sylfaen"/>
                <w:lang w:val="hy-AM"/>
              </w:rPr>
              <w:t>ռիսկային</w:t>
            </w:r>
            <w:r w:rsidRPr="0053423A">
              <w:rPr>
                <w:lang w:val="hy-AM"/>
              </w:rPr>
              <w:t xml:space="preserve"> </w:t>
            </w:r>
            <w:r w:rsidRPr="0053423A">
              <w:rPr>
                <w:rFonts w:cs="Sylfaen"/>
                <w:lang w:val="hy-AM"/>
              </w:rPr>
              <w:t>խմբերում</w:t>
            </w:r>
            <w:r w:rsidRPr="0053423A">
              <w:rPr>
                <w:lang w:val="hy-AM"/>
              </w:rPr>
              <w:t xml:space="preserve"> </w:t>
            </w:r>
            <w:r w:rsidRPr="0053423A">
              <w:rPr>
                <w:rFonts w:cs="Sylfaen"/>
                <w:lang w:val="hy-AM"/>
              </w:rPr>
              <w:t>իրականացվել</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շուրջ</w:t>
            </w:r>
            <w:r w:rsidRPr="0053423A">
              <w:rPr>
                <w:lang w:val="hy-AM"/>
              </w:rPr>
              <w:t xml:space="preserve"> 1 </w:t>
            </w:r>
            <w:r w:rsidRPr="0053423A">
              <w:rPr>
                <w:rFonts w:cs="Sylfaen"/>
                <w:lang w:val="hy-AM"/>
              </w:rPr>
              <w:t>մլն</w:t>
            </w:r>
            <w:r w:rsidRPr="0053423A">
              <w:rPr>
                <w:lang w:val="hy-AM"/>
              </w:rPr>
              <w:t xml:space="preserve"> 383 </w:t>
            </w:r>
            <w:r w:rsidRPr="0053423A">
              <w:rPr>
                <w:rFonts w:cs="Sylfaen"/>
                <w:lang w:val="hy-AM"/>
              </w:rPr>
              <w:t>հազար</w:t>
            </w:r>
            <w:r w:rsidRPr="0053423A">
              <w:rPr>
                <w:lang w:val="hy-AM"/>
              </w:rPr>
              <w:t xml:space="preserve"> </w:t>
            </w:r>
            <w:r w:rsidRPr="0053423A">
              <w:rPr>
                <w:rFonts w:cs="Sylfaen"/>
                <w:lang w:val="hy-AM"/>
              </w:rPr>
              <w:t>սքրինինգային</w:t>
            </w:r>
            <w:r w:rsidRPr="0053423A">
              <w:rPr>
                <w:lang w:val="hy-AM"/>
              </w:rPr>
              <w:t xml:space="preserve"> </w:t>
            </w:r>
            <w:r w:rsidRPr="0053423A">
              <w:rPr>
                <w:rFonts w:cs="Sylfaen"/>
                <w:lang w:val="hy-AM"/>
              </w:rPr>
              <w:t>հետազոտություններ</w:t>
            </w:r>
            <w:r w:rsidRPr="0053423A">
              <w:rPr>
                <w:lang w:val="hy-AM"/>
              </w:rPr>
              <w:t xml:space="preserve">: </w:t>
            </w:r>
            <w:r w:rsidRPr="0053423A">
              <w:rPr>
                <w:rFonts w:cs="Sylfaen"/>
                <w:lang w:val="hy-AM"/>
              </w:rPr>
              <w:t>Մասնավորապես</w:t>
            </w:r>
            <w:r w:rsidRPr="0053423A">
              <w:rPr>
                <w:lang w:val="hy-AM"/>
              </w:rPr>
              <w:t xml:space="preserve">. </w:t>
            </w:r>
            <w:r w:rsidRPr="0053423A">
              <w:rPr>
                <w:rFonts w:cs="Sylfaen"/>
                <w:lang w:val="hy-AM"/>
              </w:rPr>
              <w:t>շուրջ</w:t>
            </w:r>
            <w:r w:rsidRPr="0053423A">
              <w:rPr>
                <w:lang w:val="hy-AM"/>
              </w:rPr>
              <w:t xml:space="preserve"> 170 </w:t>
            </w:r>
            <w:r w:rsidRPr="0053423A">
              <w:rPr>
                <w:rFonts w:cs="Sylfaen"/>
                <w:lang w:val="hy-AM"/>
              </w:rPr>
              <w:t>հազար</w:t>
            </w:r>
            <w:r w:rsidRPr="0053423A">
              <w:rPr>
                <w:lang w:val="hy-AM"/>
              </w:rPr>
              <w:t xml:space="preserve"> </w:t>
            </w:r>
            <w:r w:rsidRPr="0053423A">
              <w:rPr>
                <w:rFonts w:cs="Sylfaen"/>
                <w:lang w:val="hy-AM"/>
              </w:rPr>
              <w:t>կանանց</w:t>
            </w:r>
            <w:r w:rsidRPr="0053423A">
              <w:rPr>
                <w:lang w:val="hy-AM"/>
              </w:rPr>
              <w:t xml:space="preserve"> </w:t>
            </w:r>
            <w:r w:rsidRPr="0053423A">
              <w:rPr>
                <w:rFonts w:cs="Sylfaen"/>
                <w:lang w:val="hy-AM"/>
              </w:rPr>
              <w:t>շրջանում</w:t>
            </w:r>
            <w:r w:rsidRPr="0053423A">
              <w:rPr>
                <w:lang w:val="hy-AM"/>
              </w:rPr>
              <w:t xml:space="preserve"> </w:t>
            </w:r>
            <w:r w:rsidRPr="0053423A">
              <w:rPr>
                <w:rFonts w:cs="Sylfaen"/>
                <w:lang w:val="hy-AM"/>
              </w:rPr>
              <w:t>իրականացվել</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ՊԱՊ</w:t>
            </w:r>
            <w:r w:rsidRPr="0053423A">
              <w:rPr>
                <w:lang w:val="hy-AM"/>
              </w:rPr>
              <w:t xml:space="preserve"> </w:t>
            </w:r>
            <w:r w:rsidRPr="0053423A">
              <w:rPr>
                <w:rFonts w:cs="Sylfaen"/>
                <w:lang w:val="hy-AM"/>
              </w:rPr>
              <w:t>թեստի</w:t>
            </w:r>
            <w:r w:rsidRPr="0053423A">
              <w:rPr>
                <w:lang w:val="hy-AM"/>
              </w:rPr>
              <w:t xml:space="preserve"> </w:t>
            </w:r>
            <w:r w:rsidRPr="0053423A">
              <w:rPr>
                <w:rFonts w:cs="Sylfaen"/>
                <w:lang w:val="hy-AM"/>
              </w:rPr>
              <w:t>հետազոտություն</w:t>
            </w:r>
            <w:r w:rsidRPr="0053423A">
              <w:rPr>
                <w:lang w:val="hy-AM"/>
              </w:rPr>
              <w:t xml:space="preserve">, </w:t>
            </w:r>
            <w:r w:rsidRPr="0053423A">
              <w:rPr>
                <w:rFonts w:cs="Sylfaen"/>
                <w:lang w:val="hy-AM"/>
              </w:rPr>
              <w:t>շուրջ</w:t>
            </w:r>
            <w:r w:rsidRPr="0053423A">
              <w:rPr>
                <w:lang w:val="hy-AM"/>
              </w:rPr>
              <w:t xml:space="preserve"> 455 </w:t>
            </w:r>
            <w:r w:rsidRPr="0053423A">
              <w:rPr>
                <w:rFonts w:cs="Sylfaen"/>
                <w:lang w:val="hy-AM"/>
              </w:rPr>
              <w:t>հազար</w:t>
            </w:r>
            <w:r w:rsidRPr="0053423A">
              <w:rPr>
                <w:lang w:val="hy-AM"/>
              </w:rPr>
              <w:t xml:space="preserve"> </w:t>
            </w:r>
            <w:r w:rsidRPr="0053423A">
              <w:rPr>
                <w:rFonts w:cs="Sylfaen"/>
                <w:lang w:val="hy-AM"/>
              </w:rPr>
              <w:t>քաղաքացիների</w:t>
            </w:r>
            <w:r w:rsidRPr="0053423A">
              <w:rPr>
                <w:lang w:val="hy-AM"/>
              </w:rPr>
              <w:t xml:space="preserve"> </w:t>
            </w:r>
            <w:r w:rsidRPr="0053423A">
              <w:rPr>
                <w:rFonts w:cs="Sylfaen"/>
                <w:lang w:val="hy-AM"/>
              </w:rPr>
              <w:t>շրջանում՝</w:t>
            </w: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մեջ</w:t>
            </w:r>
            <w:r w:rsidRPr="0053423A">
              <w:rPr>
                <w:lang w:val="hy-AM"/>
              </w:rPr>
              <w:t xml:space="preserve"> </w:t>
            </w:r>
            <w:r w:rsidRPr="0053423A">
              <w:rPr>
                <w:rFonts w:cs="Sylfaen"/>
                <w:lang w:val="hy-AM"/>
              </w:rPr>
              <w:t>քաղցի</w:t>
            </w:r>
            <w:r w:rsidRPr="0053423A">
              <w:rPr>
                <w:lang w:val="hy-AM"/>
              </w:rPr>
              <w:t xml:space="preserve"> </w:t>
            </w:r>
            <w:r w:rsidRPr="0053423A">
              <w:rPr>
                <w:rFonts w:cs="Sylfaen"/>
                <w:lang w:val="hy-AM"/>
              </w:rPr>
              <w:t>գլյուկոզի</w:t>
            </w:r>
            <w:r w:rsidRPr="0053423A">
              <w:rPr>
                <w:lang w:val="hy-AM"/>
              </w:rPr>
              <w:t xml:space="preserve"> </w:t>
            </w:r>
            <w:r w:rsidRPr="0053423A">
              <w:rPr>
                <w:rFonts w:cs="Sylfaen"/>
                <w:lang w:val="hy-AM"/>
              </w:rPr>
              <w:t>հետազոտություն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շուրջ</w:t>
            </w:r>
            <w:r w:rsidRPr="0053423A">
              <w:rPr>
                <w:lang w:val="hy-AM"/>
              </w:rPr>
              <w:t xml:space="preserve"> 713 </w:t>
            </w:r>
            <w:r w:rsidRPr="0053423A">
              <w:rPr>
                <w:rFonts w:cs="Sylfaen"/>
                <w:lang w:val="hy-AM"/>
              </w:rPr>
              <w:t>հազար</w:t>
            </w:r>
            <w:r w:rsidRPr="0053423A">
              <w:rPr>
                <w:lang w:val="hy-AM"/>
              </w:rPr>
              <w:t xml:space="preserve"> </w:t>
            </w:r>
            <w:r w:rsidRPr="0053423A">
              <w:rPr>
                <w:rFonts w:cs="Sylfaen"/>
                <w:lang w:val="hy-AM"/>
              </w:rPr>
              <w:t>քաղաքացիներ</w:t>
            </w:r>
            <w:r w:rsidRPr="0053423A">
              <w:rPr>
                <w:lang w:val="hy-AM"/>
              </w:rPr>
              <w:t xml:space="preserve"> </w:t>
            </w:r>
            <w:r w:rsidRPr="0053423A">
              <w:rPr>
                <w:rFonts w:cs="Sylfaen"/>
                <w:lang w:val="hy-AM"/>
              </w:rPr>
              <w:t>անցել</w:t>
            </w:r>
            <w:r w:rsidRPr="0053423A">
              <w:rPr>
                <w:lang w:val="hy-AM"/>
              </w:rPr>
              <w:t xml:space="preserve"> </w:t>
            </w:r>
            <w:r w:rsidRPr="0053423A">
              <w:rPr>
                <w:rFonts w:cs="Sylfaen"/>
                <w:lang w:val="hy-AM"/>
              </w:rPr>
              <w:t>են</w:t>
            </w:r>
            <w:r w:rsidRPr="0053423A">
              <w:rPr>
                <w:lang w:val="hy-AM"/>
              </w:rPr>
              <w:t xml:space="preserve"> </w:t>
            </w:r>
            <w:r w:rsidRPr="0053423A">
              <w:rPr>
                <w:rFonts w:cs="Sylfaen"/>
                <w:lang w:val="hy-AM"/>
              </w:rPr>
              <w:t>զարկերակային</w:t>
            </w:r>
            <w:r w:rsidRPr="0053423A">
              <w:rPr>
                <w:lang w:val="hy-AM"/>
              </w:rPr>
              <w:t xml:space="preserve"> </w:t>
            </w:r>
            <w:r w:rsidRPr="0053423A">
              <w:rPr>
                <w:rFonts w:cs="Sylfaen"/>
                <w:lang w:val="hy-AM"/>
              </w:rPr>
              <w:t>գերճնշման</w:t>
            </w:r>
            <w:r w:rsidRPr="0053423A">
              <w:rPr>
                <w:lang w:val="hy-AM"/>
              </w:rPr>
              <w:t xml:space="preserve"> </w:t>
            </w:r>
            <w:r w:rsidRPr="0053423A">
              <w:rPr>
                <w:rFonts w:cs="Sylfaen"/>
                <w:lang w:val="hy-AM"/>
              </w:rPr>
              <w:t>հայտնաբերման</w:t>
            </w:r>
            <w:r w:rsidRPr="0053423A">
              <w:rPr>
                <w:lang w:val="hy-AM"/>
              </w:rPr>
              <w:t xml:space="preserve"> </w:t>
            </w:r>
            <w:r w:rsidRPr="0053423A">
              <w:rPr>
                <w:rFonts w:cs="Sylfaen"/>
                <w:lang w:val="hy-AM"/>
              </w:rPr>
              <w:t>սքրինինգ</w:t>
            </w:r>
            <w:r w:rsidRPr="0053423A">
              <w:rPr>
                <w:lang w:val="hy-AM"/>
              </w:rPr>
              <w:t xml:space="preserve">, </w:t>
            </w:r>
            <w:r w:rsidRPr="0053423A">
              <w:rPr>
                <w:rFonts w:cs="Sylfaen"/>
                <w:lang w:val="hy-AM"/>
              </w:rPr>
              <w:t>ինչպես</w:t>
            </w:r>
            <w:r w:rsidRPr="0053423A">
              <w:rPr>
                <w:lang w:val="hy-AM"/>
              </w:rPr>
              <w:t xml:space="preserve"> </w:t>
            </w:r>
            <w:r w:rsidRPr="0053423A">
              <w:rPr>
                <w:rFonts w:cs="Sylfaen"/>
                <w:lang w:val="hy-AM"/>
              </w:rPr>
              <w:t>նաև</w:t>
            </w:r>
            <w:r w:rsidRPr="0053423A">
              <w:rPr>
                <w:lang w:val="hy-AM"/>
              </w:rPr>
              <w:t xml:space="preserve"> </w:t>
            </w:r>
            <w:r w:rsidRPr="0053423A">
              <w:rPr>
                <w:rFonts w:cs="Sylfaen"/>
                <w:lang w:val="hy-AM"/>
              </w:rPr>
              <w:t>հղիության</w:t>
            </w:r>
            <w:r w:rsidRPr="0053423A">
              <w:rPr>
                <w:lang w:val="hy-AM"/>
              </w:rPr>
              <w:t xml:space="preserve"> 36-38 </w:t>
            </w:r>
            <w:r w:rsidRPr="0053423A">
              <w:rPr>
                <w:rFonts w:cs="Sylfaen"/>
                <w:lang w:val="hy-AM"/>
              </w:rPr>
              <w:t>շաբաթական</w:t>
            </w:r>
            <w:r w:rsidRPr="0053423A">
              <w:rPr>
                <w:lang w:val="hy-AM"/>
              </w:rPr>
              <w:t xml:space="preserve"> </w:t>
            </w:r>
            <w:r w:rsidRPr="0053423A">
              <w:rPr>
                <w:rFonts w:cs="Sylfaen"/>
                <w:lang w:val="hy-AM"/>
              </w:rPr>
              <w:t>ժամկետում</w:t>
            </w:r>
            <w:r w:rsidRPr="0053423A">
              <w:rPr>
                <w:lang w:val="hy-AM"/>
              </w:rPr>
              <w:t xml:space="preserve"> </w:t>
            </w:r>
            <w:r w:rsidRPr="0053423A">
              <w:rPr>
                <w:rFonts w:cs="Sylfaen"/>
                <w:lang w:val="hy-AM"/>
              </w:rPr>
              <w:t>իրականացվել</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շուրջ</w:t>
            </w:r>
            <w:r w:rsidRPr="0053423A">
              <w:rPr>
                <w:lang w:val="hy-AM"/>
              </w:rPr>
              <w:t xml:space="preserve"> 44 </w:t>
            </w:r>
            <w:r w:rsidRPr="0053423A">
              <w:rPr>
                <w:rFonts w:cs="Sylfaen"/>
                <w:lang w:val="hy-AM"/>
              </w:rPr>
              <w:t>հազար</w:t>
            </w:r>
            <w:r w:rsidRPr="0053423A">
              <w:rPr>
                <w:lang w:val="hy-AM"/>
              </w:rPr>
              <w:t xml:space="preserve"> </w:t>
            </w:r>
            <w:r w:rsidRPr="0053423A">
              <w:rPr>
                <w:rFonts w:cs="Sylfaen"/>
                <w:lang w:val="hy-AM"/>
              </w:rPr>
              <w:t>մեզի</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երրորդ</w:t>
            </w:r>
            <w:r w:rsidRPr="0053423A">
              <w:rPr>
                <w:lang w:val="hy-AM"/>
              </w:rPr>
              <w:t xml:space="preserve"> </w:t>
            </w:r>
            <w:r w:rsidRPr="0053423A">
              <w:rPr>
                <w:rFonts w:cs="Sylfaen"/>
                <w:lang w:val="hy-AM"/>
              </w:rPr>
              <w:t>հետազոտություն</w:t>
            </w:r>
            <w:r w:rsidRPr="0053423A">
              <w:rPr>
                <w:lang w:val="hy-AM"/>
              </w:rPr>
              <w:t xml:space="preserve">:     </w:t>
            </w:r>
          </w:p>
          <w:p w:rsidR="00764E6F" w:rsidRPr="0053423A" w:rsidRDefault="00764E6F" w:rsidP="00A67858">
            <w:pPr>
              <w:spacing w:line="276" w:lineRule="auto"/>
              <w:jc w:val="both"/>
              <w:rPr>
                <w:lang w:val="hy-AM"/>
              </w:rPr>
            </w:pPr>
            <w:r w:rsidRPr="0053423A">
              <w:rPr>
                <w:lang w:val="hy-AM"/>
              </w:rPr>
              <w:t xml:space="preserve">   2018-2020</w:t>
            </w:r>
            <w:r w:rsidRPr="0053423A">
              <w:rPr>
                <w:rFonts w:cs="Sylfaen"/>
                <w:lang w:val="hy-AM"/>
              </w:rPr>
              <w:t>թթ</w:t>
            </w:r>
            <w:r w:rsidRPr="0053423A">
              <w:rPr>
                <w:lang w:val="hy-AM"/>
              </w:rPr>
              <w:t xml:space="preserve">. </w:t>
            </w:r>
            <w:r w:rsidRPr="0053423A">
              <w:rPr>
                <w:rFonts w:cs="Sylfaen"/>
                <w:lang w:val="hy-AM"/>
              </w:rPr>
              <w:t>ընթացքում</w:t>
            </w:r>
            <w:r w:rsidRPr="0053423A">
              <w:rPr>
                <w:lang w:val="hy-AM"/>
              </w:rPr>
              <w:t xml:space="preserve"> </w:t>
            </w:r>
            <w:r w:rsidRPr="0053423A">
              <w:rPr>
                <w:rFonts w:cs="Sylfaen"/>
                <w:lang w:val="hy-AM"/>
              </w:rPr>
              <w:t>իրականացվելու</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ՈՎՀ</w:t>
            </w:r>
            <w:r w:rsidRPr="0053423A">
              <w:rPr>
                <w:lang w:val="hy-AM"/>
              </w:rPr>
              <w:t xml:space="preserve"> </w:t>
            </w:r>
            <w:r w:rsidRPr="0053423A">
              <w:rPr>
                <w:rFonts w:cs="Sylfaen"/>
                <w:lang w:val="hy-AM"/>
              </w:rPr>
              <w:t>սքրինինգային</w:t>
            </w:r>
            <w:r w:rsidRPr="0053423A">
              <w:rPr>
                <w:lang w:val="hy-AM"/>
              </w:rPr>
              <w:t xml:space="preserve"> </w:t>
            </w:r>
            <w:r w:rsidRPr="0053423A">
              <w:rPr>
                <w:rFonts w:cs="Sylfaen"/>
                <w:lang w:val="hy-AM"/>
              </w:rPr>
              <w:t>հետազոտությունների</w:t>
            </w:r>
            <w:r w:rsidRPr="0053423A">
              <w:rPr>
                <w:lang w:val="hy-AM"/>
              </w:rPr>
              <w:t xml:space="preserve"> </w:t>
            </w:r>
            <w:r w:rsidRPr="0053423A">
              <w:rPr>
                <w:rFonts w:cs="Sylfaen"/>
                <w:lang w:val="hy-AM"/>
              </w:rPr>
              <w:t>իրականացման</w:t>
            </w:r>
            <w:r w:rsidRPr="0053423A">
              <w:rPr>
                <w:lang w:val="hy-AM"/>
              </w:rPr>
              <w:t xml:space="preserve"> </w:t>
            </w:r>
            <w:r w:rsidRPr="0053423A">
              <w:rPr>
                <w:rFonts w:cs="Sylfaen"/>
                <w:lang w:val="hy-AM"/>
              </w:rPr>
              <w:t>երկրորդ</w:t>
            </w:r>
            <w:r w:rsidRPr="0053423A">
              <w:rPr>
                <w:lang w:val="hy-AM"/>
              </w:rPr>
              <w:t xml:space="preserve"> </w:t>
            </w:r>
            <w:r w:rsidRPr="0053423A">
              <w:rPr>
                <w:rFonts w:cs="Sylfaen"/>
                <w:lang w:val="hy-AM"/>
              </w:rPr>
              <w:t>փուլը</w:t>
            </w:r>
            <w:r w:rsidRPr="0053423A">
              <w:rPr>
                <w:lang w:val="hy-AM"/>
              </w:rPr>
              <w:t xml:space="preserve">:    </w:t>
            </w:r>
          </w:p>
          <w:p w:rsidR="00764E6F" w:rsidRPr="0053423A" w:rsidRDefault="00764E6F" w:rsidP="00A67858">
            <w:pPr>
              <w:spacing w:line="276" w:lineRule="auto"/>
              <w:jc w:val="both"/>
              <w:rPr>
                <w:lang w:val="hy-AM"/>
              </w:rPr>
            </w:pPr>
            <w:r w:rsidRPr="0053423A">
              <w:rPr>
                <w:lang w:val="hy-AM"/>
              </w:rPr>
              <w:t xml:space="preserve">   01.01.2018</w:t>
            </w:r>
            <w:r w:rsidRPr="0053423A">
              <w:rPr>
                <w:rFonts w:cs="Sylfaen"/>
                <w:lang w:val="hy-AM"/>
              </w:rPr>
              <w:t>թ</w:t>
            </w:r>
            <w:r w:rsidRPr="0053423A">
              <w:rPr>
                <w:lang w:val="hy-AM"/>
              </w:rPr>
              <w:t>.-</w:t>
            </w:r>
            <w:r w:rsidRPr="0053423A">
              <w:rPr>
                <w:rFonts w:cs="Sylfaen"/>
                <w:lang w:val="hy-AM"/>
              </w:rPr>
              <w:t>ից</w:t>
            </w:r>
            <w:r w:rsidRPr="0053423A">
              <w:rPr>
                <w:lang w:val="hy-AM"/>
              </w:rPr>
              <w:t xml:space="preserve"> 28.02.2019</w:t>
            </w:r>
            <w:r w:rsidRPr="0053423A">
              <w:rPr>
                <w:rFonts w:cs="Sylfaen"/>
                <w:lang w:val="hy-AM"/>
              </w:rPr>
              <w:t>թ</w:t>
            </w:r>
            <w:r w:rsidRPr="0053423A">
              <w:rPr>
                <w:lang w:val="hy-AM"/>
              </w:rPr>
              <w:t xml:space="preserve">. </w:t>
            </w:r>
            <w:r w:rsidRPr="0053423A">
              <w:rPr>
                <w:rFonts w:cs="Sylfaen"/>
                <w:lang w:val="hy-AM"/>
              </w:rPr>
              <w:t>ընկած</w:t>
            </w:r>
            <w:r w:rsidRPr="0053423A">
              <w:rPr>
                <w:lang w:val="hy-AM"/>
              </w:rPr>
              <w:t xml:space="preserve"> </w:t>
            </w:r>
            <w:r w:rsidRPr="0053423A">
              <w:rPr>
                <w:rFonts w:cs="Sylfaen"/>
                <w:lang w:val="hy-AM"/>
              </w:rPr>
              <w:t>ժամանակահատվածում</w:t>
            </w:r>
            <w:r w:rsidRPr="0053423A">
              <w:rPr>
                <w:lang w:val="hy-AM"/>
              </w:rPr>
              <w:t xml:space="preserve"> </w:t>
            </w:r>
            <w:r w:rsidRPr="0053423A">
              <w:rPr>
                <w:rFonts w:cs="Sylfaen"/>
                <w:lang w:val="hy-AM"/>
              </w:rPr>
              <w:t>բնակչության</w:t>
            </w:r>
            <w:r w:rsidRPr="0053423A">
              <w:rPr>
                <w:lang w:val="hy-AM"/>
              </w:rPr>
              <w:t xml:space="preserve"> </w:t>
            </w:r>
            <w:r w:rsidRPr="0053423A">
              <w:rPr>
                <w:rFonts w:cs="Sylfaen"/>
                <w:lang w:val="hy-AM"/>
              </w:rPr>
              <w:t>ռիսկային</w:t>
            </w:r>
            <w:r w:rsidRPr="0053423A">
              <w:rPr>
                <w:lang w:val="hy-AM"/>
              </w:rPr>
              <w:t xml:space="preserve"> </w:t>
            </w:r>
            <w:r w:rsidRPr="0053423A">
              <w:rPr>
                <w:rFonts w:cs="Sylfaen"/>
                <w:lang w:val="hy-AM"/>
              </w:rPr>
              <w:t>խմբերում</w:t>
            </w:r>
            <w:r w:rsidRPr="0053423A">
              <w:rPr>
                <w:lang w:val="hy-AM"/>
              </w:rPr>
              <w:t xml:space="preserve"> </w:t>
            </w:r>
            <w:r w:rsidRPr="0053423A">
              <w:rPr>
                <w:rFonts w:cs="Sylfaen"/>
                <w:lang w:val="hy-AM"/>
              </w:rPr>
              <w:t>իրականացվել</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շուրջ</w:t>
            </w:r>
            <w:r w:rsidRPr="0053423A">
              <w:rPr>
                <w:lang w:val="hy-AM"/>
              </w:rPr>
              <w:t xml:space="preserve"> 498 </w:t>
            </w:r>
            <w:r w:rsidRPr="0053423A">
              <w:rPr>
                <w:rFonts w:cs="Sylfaen"/>
                <w:lang w:val="hy-AM"/>
              </w:rPr>
              <w:t>հազար</w:t>
            </w:r>
            <w:r w:rsidRPr="0053423A">
              <w:rPr>
                <w:lang w:val="hy-AM"/>
              </w:rPr>
              <w:t xml:space="preserve"> </w:t>
            </w:r>
            <w:r w:rsidRPr="0053423A">
              <w:rPr>
                <w:rFonts w:cs="Sylfaen"/>
                <w:lang w:val="hy-AM"/>
              </w:rPr>
              <w:t>սքրինինգային</w:t>
            </w:r>
            <w:r w:rsidRPr="0053423A">
              <w:rPr>
                <w:lang w:val="hy-AM"/>
              </w:rPr>
              <w:t xml:space="preserve"> </w:t>
            </w:r>
            <w:r w:rsidRPr="0053423A">
              <w:rPr>
                <w:rFonts w:cs="Sylfaen"/>
                <w:lang w:val="hy-AM"/>
              </w:rPr>
              <w:t>հետազոտություններ</w:t>
            </w:r>
            <w:r w:rsidRPr="0053423A">
              <w:rPr>
                <w:lang w:val="hy-AM"/>
              </w:rPr>
              <w:t xml:space="preserve">: </w:t>
            </w:r>
            <w:r w:rsidRPr="0053423A">
              <w:rPr>
                <w:rFonts w:cs="Sylfaen"/>
                <w:lang w:val="hy-AM"/>
              </w:rPr>
              <w:t>Մասնավորապես</w:t>
            </w:r>
            <w:r w:rsidRPr="0053423A">
              <w:rPr>
                <w:lang w:val="hy-AM"/>
              </w:rPr>
              <w:t xml:space="preserve">. </w:t>
            </w:r>
            <w:r w:rsidRPr="0053423A">
              <w:rPr>
                <w:rFonts w:cs="Sylfaen"/>
                <w:lang w:val="hy-AM"/>
              </w:rPr>
              <w:t>շուրջ</w:t>
            </w:r>
            <w:r w:rsidRPr="0053423A">
              <w:rPr>
                <w:lang w:val="hy-AM"/>
              </w:rPr>
              <w:t xml:space="preserve"> 56 </w:t>
            </w:r>
            <w:r w:rsidRPr="0053423A">
              <w:rPr>
                <w:rFonts w:cs="Sylfaen"/>
                <w:lang w:val="hy-AM"/>
              </w:rPr>
              <w:t>հազար</w:t>
            </w:r>
            <w:r w:rsidRPr="0053423A">
              <w:rPr>
                <w:lang w:val="hy-AM"/>
              </w:rPr>
              <w:t xml:space="preserve"> </w:t>
            </w:r>
            <w:r w:rsidRPr="0053423A">
              <w:rPr>
                <w:rFonts w:cs="Sylfaen"/>
                <w:lang w:val="hy-AM"/>
              </w:rPr>
              <w:t>կանանց</w:t>
            </w:r>
            <w:r w:rsidRPr="0053423A">
              <w:rPr>
                <w:lang w:val="hy-AM"/>
              </w:rPr>
              <w:t xml:space="preserve"> </w:t>
            </w:r>
            <w:r w:rsidRPr="0053423A">
              <w:rPr>
                <w:rFonts w:cs="Sylfaen"/>
                <w:lang w:val="hy-AM"/>
              </w:rPr>
              <w:t>շրջանում</w:t>
            </w:r>
            <w:r w:rsidRPr="0053423A">
              <w:rPr>
                <w:lang w:val="hy-AM"/>
              </w:rPr>
              <w:t xml:space="preserve"> </w:t>
            </w:r>
            <w:r w:rsidRPr="0053423A">
              <w:rPr>
                <w:rFonts w:cs="Sylfaen"/>
                <w:lang w:val="hy-AM"/>
              </w:rPr>
              <w:t>իրականացվել</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ՊԱՊ</w:t>
            </w:r>
            <w:r w:rsidRPr="0053423A">
              <w:rPr>
                <w:lang w:val="hy-AM"/>
              </w:rPr>
              <w:t xml:space="preserve"> </w:t>
            </w:r>
            <w:r w:rsidRPr="0053423A">
              <w:rPr>
                <w:rFonts w:cs="Sylfaen"/>
                <w:lang w:val="hy-AM"/>
              </w:rPr>
              <w:t>թեստի</w:t>
            </w:r>
            <w:r w:rsidRPr="0053423A">
              <w:rPr>
                <w:lang w:val="hy-AM"/>
              </w:rPr>
              <w:t xml:space="preserve"> </w:t>
            </w:r>
            <w:r w:rsidRPr="0053423A">
              <w:rPr>
                <w:rFonts w:cs="Sylfaen"/>
                <w:lang w:val="hy-AM"/>
              </w:rPr>
              <w:t>հետազոտություն</w:t>
            </w:r>
            <w:r w:rsidRPr="0053423A">
              <w:rPr>
                <w:lang w:val="hy-AM"/>
              </w:rPr>
              <w:t xml:space="preserve">, </w:t>
            </w:r>
            <w:r w:rsidRPr="0053423A">
              <w:rPr>
                <w:rFonts w:cs="Sylfaen"/>
                <w:lang w:val="hy-AM"/>
              </w:rPr>
              <w:t>շուրջ</w:t>
            </w:r>
            <w:r w:rsidRPr="0053423A">
              <w:rPr>
                <w:lang w:val="hy-AM"/>
              </w:rPr>
              <w:t xml:space="preserve"> 155 </w:t>
            </w:r>
            <w:r w:rsidRPr="0053423A">
              <w:rPr>
                <w:rFonts w:cs="Sylfaen"/>
                <w:lang w:val="hy-AM"/>
              </w:rPr>
              <w:t>հազար</w:t>
            </w:r>
            <w:r w:rsidRPr="0053423A">
              <w:rPr>
                <w:lang w:val="hy-AM"/>
              </w:rPr>
              <w:t xml:space="preserve"> </w:t>
            </w:r>
            <w:r w:rsidRPr="0053423A">
              <w:rPr>
                <w:rFonts w:cs="Sylfaen"/>
                <w:lang w:val="hy-AM"/>
              </w:rPr>
              <w:t>քաղաքացիների</w:t>
            </w:r>
            <w:r w:rsidRPr="0053423A">
              <w:rPr>
                <w:lang w:val="hy-AM"/>
              </w:rPr>
              <w:t xml:space="preserve"> </w:t>
            </w:r>
            <w:r w:rsidRPr="0053423A">
              <w:rPr>
                <w:rFonts w:cs="Sylfaen"/>
                <w:lang w:val="hy-AM"/>
              </w:rPr>
              <w:t>շրջանում՝</w:t>
            </w: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մեջ</w:t>
            </w:r>
            <w:r w:rsidRPr="0053423A">
              <w:rPr>
                <w:lang w:val="hy-AM"/>
              </w:rPr>
              <w:t xml:space="preserve"> </w:t>
            </w:r>
            <w:r w:rsidRPr="0053423A">
              <w:rPr>
                <w:rFonts w:cs="Sylfaen"/>
                <w:lang w:val="hy-AM"/>
              </w:rPr>
              <w:t>քաղցի</w:t>
            </w:r>
            <w:r w:rsidRPr="0053423A">
              <w:rPr>
                <w:lang w:val="hy-AM"/>
              </w:rPr>
              <w:t xml:space="preserve"> </w:t>
            </w:r>
            <w:r w:rsidRPr="0053423A">
              <w:rPr>
                <w:rFonts w:cs="Sylfaen"/>
                <w:lang w:val="hy-AM"/>
              </w:rPr>
              <w:t>գլյուկոզի</w:t>
            </w:r>
            <w:r w:rsidRPr="0053423A">
              <w:rPr>
                <w:lang w:val="hy-AM"/>
              </w:rPr>
              <w:t xml:space="preserve"> </w:t>
            </w:r>
            <w:r w:rsidRPr="0053423A">
              <w:rPr>
                <w:rFonts w:cs="Sylfaen"/>
                <w:lang w:val="hy-AM"/>
              </w:rPr>
              <w:t>հետազոտություն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շուրջ</w:t>
            </w:r>
            <w:r w:rsidRPr="0053423A">
              <w:rPr>
                <w:lang w:val="hy-AM"/>
              </w:rPr>
              <w:t xml:space="preserve"> 268 </w:t>
            </w:r>
            <w:r w:rsidRPr="0053423A">
              <w:rPr>
                <w:rFonts w:cs="Sylfaen"/>
                <w:lang w:val="hy-AM"/>
              </w:rPr>
              <w:t>հազար</w:t>
            </w:r>
            <w:r w:rsidRPr="0053423A">
              <w:rPr>
                <w:lang w:val="hy-AM"/>
              </w:rPr>
              <w:t xml:space="preserve"> </w:t>
            </w:r>
            <w:r w:rsidRPr="0053423A">
              <w:rPr>
                <w:rFonts w:cs="Sylfaen"/>
                <w:lang w:val="hy-AM"/>
              </w:rPr>
              <w:t>քաղաքացիներ</w:t>
            </w:r>
            <w:r w:rsidRPr="0053423A">
              <w:rPr>
                <w:lang w:val="hy-AM"/>
              </w:rPr>
              <w:t xml:space="preserve"> </w:t>
            </w:r>
            <w:r w:rsidRPr="0053423A">
              <w:rPr>
                <w:rFonts w:cs="Sylfaen"/>
                <w:lang w:val="hy-AM"/>
              </w:rPr>
              <w:t>անցել</w:t>
            </w:r>
            <w:r w:rsidRPr="0053423A">
              <w:rPr>
                <w:lang w:val="hy-AM"/>
              </w:rPr>
              <w:t xml:space="preserve"> </w:t>
            </w:r>
            <w:r w:rsidRPr="0053423A">
              <w:rPr>
                <w:rFonts w:cs="Sylfaen"/>
                <w:lang w:val="hy-AM"/>
              </w:rPr>
              <w:t>են</w:t>
            </w:r>
            <w:r w:rsidRPr="0053423A">
              <w:rPr>
                <w:lang w:val="hy-AM"/>
              </w:rPr>
              <w:t xml:space="preserve"> </w:t>
            </w:r>
            <w:r w:rsidRPr="0053423A">
              <w:rPr>
                <w:rFonts w:cs="Sylfaen"/>
                <w:lang w:val="hy-AM"/>
              </w:rPr>
              <w:t>զարկերակային</w:t>
            </w:r>
            <w:r w:rsidRPr="0053423A">
              <w:rPr>
                <w:lang w:val="hy-AM"/>
              </w:rPr>
              <w:t xml:space="preserve"> </w:t>
            </w:r>
            <w:r w:rsidRPr="0053423A">
              <w:rPr>
                <w:rFonts w:cs="Sylfaen"/>
                <w:lang w:val="hy-AM"/>
              </w:rPr>
              <w:t>գերճնշման</w:t>
            </w:r>
            <w:r w:rsidRPr="0053423A">
              <w:rPr>
                <w:lang w:val="hy-AM"/>
              </w:rPr>
              <w:t xml:space="preserve"> </w:t>
            </w:r>
            <w:r w:rsidRPr="0053423A">
              <w:rPr>
                <w:rFonts w:cs="Sylfaen"/>
                <w:lang w:val="hy-AM"/>
              </w:rPr>
              <w:t>հայտնաբերման</w:t>
            </w:r>
            <w:r w:rsidRPr="0053423A">
              <w:rPr>
                <w:lang w:val="hy-AM"/>
              </w:rPr>
              <w:t xml:space="preserve"> </w:t>
            </w:r>
            <w:r w:rsidRPr="0053423A">
              <w:rPr>
                <w:rFonts w:cs="Sylfaen"/>
                <w:lang w:val="hy-AM"/>
              </w:rPr>
              <w:t>սքրինինգ</w:t>
            </w:r>
            <w:r w:rsidRPr="0053423A">
              <w:rPr>
                <w:lang w:val="hy-AM"/>
              </w:rPr>
              <w:t xml:space="preserve">, </w:t>
            </w:r>
            <w:r w:rsidRPr="0053423A">
              <w:rPr>
                <w:rFonts w:cs="Sylfaen"/>
                <w:lang w:val="hy-AM"/>
              </w:rPr>
              <w:t>ինչպես</w:t>
            </w:r>
            <w:r w:rsidRPr="0053423A">
              <w:rPr>
                <w:lang w:val="hy-AM"/>
              </w:rPr>
              <w:t xml:space="preserve"> </w:t>
            </w:r>
            <w:r w:rsidRPr="0053423A">
              <w:rPr>
                <w:rFonts w:cs="Sylfaen"/>
                <w:lang w:val="hy-AM"/>
              </w:rPr>
              <w:t>նաև</w:t>
            </w:r>
            <w:r w:rsidRPr="0053423A">
              <w:rPr>
                <w:lang w:val="hy-AM"/>
              </w:rPr>
              <w:t xml:space="preserve"> </w:t>
            </w:r>
            <w:r w:rsidRPr="0053423A">
              <w:rPr>
                <w:rFonts w:cs="Sylfaen"/>
                <w:lang w:val="hy-AM"/>
              </w:rPr>
              <w:t>հղիության</w:t>
            </w:r>
            <w:r w:rsidRPr="0053423A">
              <w:rPr>
                <w:lang w:val="hy-AM"/>
              </w:rPr>
              <w:t xml:space="preserve"> 36-38 </w:t>
            </w:r>
            <w:r w:rsidRPr="0053423A">
              <w:rPr>
                <w:rFonts w:cs="Sylfaen"/>
                <w:lang w:val="hy-AM"/>
              </w:rPr>
              <w:t>շաբաթական</w:t>
            </w:r>
            <w:r w:rsidRPr="0053423A">
              <w:rPr>
                <w:lang w:val="hy-AM"/>
              </w:rPr>
              <w:t xml:space="preserve"> </w:t>
            </w:r>
            <w:r w:rsidRPr="0053423A">
              <w:rPr>
                <w:rFonts w:cs="Sylfaen"/>
                <w:lang w:val="hy-AM"/>
              </w:rPr>
              <w:t>ժամկետում</w:t>
            </w:r>
            <w:r w:rsidRPr="0053423A">
              <w:rPr>
                <w:lang w:val="hy-AM"/>
              </w:rPr>
              <w:t xml:space="preserve"> </w:t>
            </w:r>
            <w:r w:rsidRPr="0053423A">
              <w:rPr>
                <w:rFonts w:cs="Sylfaen"/>
                <w:lang w:val="hy-AM"/>
              </w:rPr>
              <w:t>իրականացվել</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շուրջ</w:t>
            </w:r>
            <w:r w:rsidRPr="0053423A">
              <w:rPr>
                <w:lang w:val="hy-AM"/>
              </w:rPr>
              <w:t xml:space="preserve"> 19 </w:t>
            </w:r>
            <w:r w:rsidRPr="0053423A">
              <w:rPr>
                <w:rFonts w:cs="Sylfaen"/>
                <w:lang w:val="hy-AM"/>
              </w:rPr>
              <w:t>հազար</w:t>
            </w:r>
            <w:r w:rsidRPr="0053423A">
              <w:rPr>
                <w:lang w:val="hy-AM"/>
              </w:rPr>
              <w:t xml:space="preserve"> </w:t>
            </w:r>
            <w:r w:rsidRPr="0053423A">
              <w:rPr>
                <w:rFonts w:cs="Sylfaen"/>
                <w:lang w:val="hy-AM"/>
              </w:rPr>
              <w:t>մեզի</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արյան</w:t>
            </w:r>
            <w:r w:rsidRPr="0053423A">
              <w:rPr>
                <w:lang w:val="hy-AM"/>
              </w:rPr>
              <w:t xml:space="preserve"> </w:t>
            </w:r>
            <w:r w:rsidRPr="0053423A">
              <w:rPr>
                <w:rFonts w:cs="Sylfaen"/>
                <w:lang w:val="hy-AM"/>
              </w:rPr>
              <w:t>երրորդ</w:t>
            </w:r>
            <w:r w:rsidRPr="0053423A">
              <w:rPr>
                <w:lang w:val="hy-AM"/>
              </w:rPr>
              <w:t xml:space="preserve"> </w:t>
            </w:r>
            <w:r w:rsidRPr="0053423A">
              <w:rPr>
                <w:rFonts w:cs="Sylfaen"/>
                <w:lang w:val="hy-AM"/>
              </w:rPr>
              <w:t>հետազոտություն</w:t>
            </w:r>
            <w:r w:rsidRPr="0053423A">
              <w:rPr>
                <w:lang w:val="hy-AM"/>
              </w:rPr>
              <w:t xml:space="preserve">:  </w:t>
            </w:r>
          </w:p>
          <w:p w:rsidR="00764E6F" w:rsidRPr="0053423A" w:rsidRDefault="00764E6F" w:rsidP="00A67858">
            <w:pPr>
              <w:spacing w:line="276" w:lineRule="auto"/>
              <w:ind w:firstLine="709"/>
              <w:jc w:val="both"/>
              <w:rPr>
                <w:lang w:val="hy-AM"/>
              </w:rPr>
            </w:pPr>
          </w:p>
          <w:p w:rsidR="00764E6F" w:rsidRPr="0053423A" w:rsidRDefault="00764E6F" w:rsidP="00A67858">
            <w:pPr>
              <w:spacing w:line="276" w:lineRule="auto"/>
              <w:jc w:val="both"/>
              <w:rPr>
                <w:b/>
                <w:lang w:val="hy-AM"/>
              </w:rPr>
            </w:pPr>
            <w:r w:rsidRPr="0053423A">
              <w:rPr>
                <w:b/>
                <w:lang w:val="hy-AM"/>
              </w:rPr>
              <w:t xml:space="preserve">   1.2 Առկա խնդիրների առաջարկվող լուծումները</w:t>
            </w:r>
          </w:p>
          <w:p w:rsidR="00764E6F" w:rsidRPr="0053423A" w:rsidRDefault="00764E6F" w:rsidP="00A67858">
            <w:pPr>
              <w:spacing w:line="276" w:lineRule="auto"/>
              <w:jc w:val="both"/>
              <w:rPr>
                <w:lang w:val="hy-AM"/>
              </w:rPr>
            </w:pPr>
            <w:r w:rsidRPr="0053423A">
              <w:rPr>
                <w:lang w:val="hy-AM"/>
              </w:rPr>
              <w:t xml:space="preserve">   Նախատեսվում է Հայաստանի Հանրապետության բնակչության ռիսկային խմբերում շարունակաբար իրականացնել ոչ վարակիչ հիվանդությունների (հիպերտոնիա, շաքարային դիաբետ, արգանդի պարանոցի քաղցկեղ) զանգվածային սքրինինգներ, որոնք ուղղված կլինեն վերը նշված հիվանդությունների վաղ հայտնաբերմանը և վերահսկմանը, ինչպես նաև մահացության նվազեցմանը: </w:t>
            </w:r>
          </w:p>
          <w:p w:rsidR="00764E6F" w:rsidRPr="0053423A" w:rsidRDefault="00764E6F" w:rsidP="00A67858">
            <w:pPr>
              <w:spacing w:line="276" w:lineRule="auto"/>
              <w:jc w:val="both"/>
              <w:rPr>
                <w:lang w:val="hy-AM"/>
              </w:rPr>
            </w:pPr>
          </w:p>
          <w:p w:rsidR="00764E6F" w:rsidRPr="0053423A" w:rsidRDefault="00764E6F" w:rsidP="00A67858">
            <w:pPr>
              <w:tabs>
                <w:tab w:val="left" w:pos="180"/>
              </w:tabs>
              <w:spacing w:line="276" w:lineRule="auto"/>
              <w:jc w:val="both"/>
              <w:rPr>
                <w:b/>
                <w:lang w:val="hy-AM"/>
              </w:rPr>
            </w:pPr>
            <w:r w:rsidRPr="0053423A">
              <w:rPr>
                <w:b/>
                <w:lang w:val="hy-AM"/>
              </w:rPr>
              <w:t xml:space="preserve">   2. Միջոցառման իրականացումից ակնկալվող արդյունքը</w:t>
            </w:r>
          </w:p>
          <w:p w:rsidR="00764E6F" w:rsidRPr="0053423A" w:rsidRDefault="00764E6F" w:rsidP="00A67858">
            <w:pPr>
              <w:spacing w:line="276" w:lineRule="auto"/>
              <w:jc w:val="both"/>
              <w:rPr>
                <w:rFonts w:cs="Sylfaen"/>
                <w:lang w:val="hy-AM"/>
              </w:rPr>
            </w:pPr>
            <w:r w:rsidRPr="0053423A">
              <w:rPr>
                <w:lang w:val="hy-AM"/>
              </w:rPr>
              <w:t xml:space="preserve">   Միջոցառման իրականացման դեպքում ակնկալվող արդյունքը Հայաստանի Հանրապետության  շուրջ 1մլն. բնակչության ռիսկային խմբերում սքրինինգային հետազոտությունների իրականացումն է` նպաստելով</w:t>
            </w:r>
            <w:r w:rsidRPr="0053423A">
              <w:rPr>
                <w:rFonts w:cs="Sylfaen"/>
                <w:lang w:val="hy-AM"/>
              </w:rPr>
              <w:t xml:space="preserve"> ոչ վարակիչ հիվանդությունների վաղ հայտնաբերմանը և վերահսկմանը, ինչպես նաև մահացության նվազեցմանը: </w:t>
            </w:r>
          </w:p>
          <w:p w:rsidR="00764E6F" w:rsidRPr="0053423A" w:rsidRDefault="00764E6F" w:rsidP="00A67858">
            <w:pPr>
              <w:spacing w:line="276" w:lineRule="auto"/>
              <w:jc w:val="both"/>
              <w:rPr>
                <w:rFonts w:cs="Sylfaen"/>
                <w:lang w:val="hy-AM"/>
              </w:rPr>
            </w:pPr>
          </w:p>
          <w:p w:rsidR="00764E6F" w:rsidRPr="0053423A" w:rsidRDefault="008B3845" w:rsidP="00A67858">
            <w:pPr>
              <w:tabs>
                <w:tab w:val="left" w:pos="180"/>
              </w:tabs>
              <w:spacing w:line="276" w:lineRule="auto"/>
              <w:jc w:val="center"/>
              <w:rPr>
                <w:b/>
                <w:lang w:val="hy-AM"/>
              </w:rPr>
            </w:pPr>
            <w:r w:rsidRPr="0053423A">
              <w:rPr>
                <w:b/>
                <w:lang w:val="hy-AM"/>
              </w:rPr>
              <w:t>3</w:t>
            </w:r>
            <w:r w:rsidR="00764E6F" w:rsidRPr="0053423A">
              <w:rPr>
                <w:b/>
                <w:lang w:val="hy-AM"/>
              </w:rPr>
              <w:t>2.2 Շարժական մամոգրաֆ սարքի ձեռքբերում և կրծքագեղձի սքրինինգային հետազոտությունների իրականացում ՀՀ Լոռու, Տավուշի և Սյունիքի մարզերի բնակչության ռիսկային խմբերի շրջանում</w:t>
            </w:r>
          </w:p>
          <w:p w:rsidR="00764E6F" w:rsidRPr="0053423A" w:rsidRDefault="00764E6F" w:rsidP="00A67858">
            <w:pPr>
              <w:tabs>
                <w:tab w:val="left" w:pos="180"/>
              </w:tabs>
              <w:spacing w:line="276" w:lineRule="auto"/>
              <w:jc w:val="center"/>
              <w:rPr>
                <w:b/>
                <w:lang w:val="hy-AM"/>
              </w:rPr>
            </w:pPr>
          </w:p>
          <w:p w:rsidR="00764E6F" w:rsidRPr="0053423A" w:rsidRDefault="00764E6F" w:rsidP="00A67858">
            <w:pPr>
              <w:tabs>
                <w:tab w:val="left" w:pos="180"/>
              </w:tabs>
              <w:spacing w:line="276" w:lineRule="auto"/>
              <w:rPr>
                <w:b/>
                <w:lang w:val="hy-AM"/>
              </w:rPr>
            </w:pPr>
            <w:r w:rsidRPr="0053423A">
              <w:rPr>
                <w:b/>
                <w:lang w:val="hy-AM"/>
              </w:rPr>
              <w:t xml:space="preserve">   1. Միջոցառման իրականացման անհրաժեշտությունը և նպատակը</w:t>
            </w:r>
          </w:p>
          <w:p w:rsidR="00764E6F" w:rsidRPr="0053423A" w:rsidRDefault="00764E6F" w:rsidP="00A67858">
            <w:pPr>
              <w:spacing w:line="276" w:lineRule="auto"/>
              <w:jc w:val="both"/>
              <w:rPr>
                <w:lang w:val="hy-AM"/>
              </w:rPr>
            </w:pPr>
            <w:r w:rsidRPr="0053423A">
              <w:rPr>
                <w:lang w:val="hy-AM"/>
              </w:rPr>
              <w:t xml:space="preserve">   Կրծքագեղձի չարորակ նորագոյացություններն ամբողջ աշխարհում ամենահաճախ ախտորոշվող չարորակ նորագոյացություններն են կանանց շրջանում, կազմելով ավելի քան երկու միլիոն նոր դեպք 2018թ.։</w:t>
            </w:r>
          </w:p>
          <w:p w:rsidR="00764E6F" w:rsidRPr="0053423A" w:rsidRDefault="00764E6F" w:rsidP="00A67858">
            <w:pPr>
              <w:spacing w:line="276" w:lineRule="auto"/>
              <w:jc w:val="both"/>
              <w:rPr>
                <w:lang w:val="hy-AM"/>
              </w:rPr>
            </w:pPr>
            <w:r w:rsidRPr="0053423A">
              <w:rPr>
                <w:lang w:val="hy-AM"/>
              </w:rPr>
              <w:t xml:space="preserve">   Հայաստանում կրծքագեղձի քաղցկեղը կանանց շրջանում գրավում է առաջին տեղը՝ քաղցկեղային հիվանդությունների շարքում: Վերջին տարիներին նկատվում է կրծքագեղձի քաղցկեղով հիվանդացության աճ՝ մասնավորապես  2010թ.-ին  կյանքում առաջին անգամ հայտնաբերված կրծքագեղձի քաղցկեղով կանանց թիվը կազմել է 982, իսկ 2014թ.-ին, 2015թ.-ին, 2016թ.-ին և 2017</w:t>
            </w:r>
            <w:r w:rsidRPr="0053423A">
              <w:rPr>
                <w:rFonts w:cs="Sylfaen"/>
                <w:lang w:val="hy-AM"/>
              </w:rPr>
              <w:t xml:space="preserve"> </w:t>
            </w:r>
            <w:r w:rsidRPr="0053423A">
              <w:rPr>
                <w:lang w:val="hy-AM"/>
              </w:rPr>
              <w:t>թ.–ին  արձանագրվել է համապատասխանաբար 1,210, 1,093, 1,039  և 1,118 դեպք:</w:t>
            </w:r>
          </w:p>
          <w:p w:rsidR="00764E6F" w:rsidRPr="0053423A" w:rsidRDefault="00764E6F" w:rsidP="00A67858">
            <w:pPr>
              <w:spacing w:line="276" w:lineRule="auto"/>
              <w:jc w:val="both"/>
              <w:rPr>
                <w:lang w:val="hy-AM"/>
              </w:rPr>
            </w:pPr>
            <w:r w:rsidRPr="0053423A">
              <w:rPr>
                <w:lang w:val="hy-AM"/>
              </w:rPr>
              <w:t xml:space="preserve">   Ծրագրի նպատակն է Հայաստանի Հանրապետության 3 սահմանամերձ մարզերի կանանց մոտ կրծքագեղձի չարորակ նորագոյացությունների վաղ հայտնաբերումը և կանխարգելումը:</w:t>
            </w:r>
          </w:p>
          <w:p w:rsidR="00764E6F" w:rsidRPr="0053423A" w:rsidRDefault="00764E6F" w:rsidP="00A67858">
            <w:pPr>
              <w:tabs>
                <w:tab w:val="left" w:pos="180"/>
              </w:tabs>
              <w:spacing w:line="276" w:lineRule="auto"/>
              <w:rPr>
                <w:lang w:val="hy-AM"/>
              </w:rPr>
            </w:pPr>
          </w:p>
          <w:p w:rsidR="00764E6F" w:rsidRPr="0053423A" w:rsidRDefault="00764E6F" w:rsidP="00A67858">
            <w:pPr>
              <w:spacing w:line="276" w:lineRule="auto"/>
              <w:jc w:val="both"/>
              <w:rPr>
                <w:b/>
                <w:lang w:val="hy-AM"/>
              </w:rPr>
            </w:pPr>
            <w:r w:rsidRPr="0053423A">
              <w:rPr>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jc w:val="both"/>
              <w:rPr>
                <w:lang w:val="hy-AM"/>
              </w:rPr>
            </w:pPr>
            <w:r w:rsidRPr="0053423A">
              <w:rPr>
                <w:lang w:val="hy-AM"/>
              </w:rPr>
              <w:t xml:space="preserve">   Ներկայում Հայաստանի Հանրապետությունում կրծքագեղձի կանոնակարգված սքրինինգ չի իրականացվում, իսկ մարզերում նշված հիվանդության կանխարգելման նպատակներով դիմելիությունը բժշկական հաստատություններ շատ ցածր է: </w:t>
            </w:r>
          </w:p>
          <w:p w:rsidR="00764E6F" w:rsidRPr="0053423A" w:rsidRDefault="00764E6F" w:rsidP="00A67858">
            <w:pPr>
              <w:spacing w:line="276" w:lineRule="auto"/>
              <w:jc w:val="both"/>
              <w:rPr>
                <w:lang w:val="hy-AM"/>
              </w:rPr>
            </w:pPr>
            <w:r w:rsidRPr="0053423A">
              <w:rPr>
                <w:lang w:val="hy-AM"/>
              </w:rPr>
              <w:t xml:space="preserve">   Արդյունքում, հիվանդությունը բացահայտվում է վերջին փուլերում, երբ դրա բուժման գործընթացը առավել բարդ է և թանկ: </w:t>
            </w:r>
          </w:p>
          <w:p w:rsidR="00764E6F" w:rsidRPr="0053423A" w:rsidRDefault="00764E6F" w:rsidP="00A67858">
            <w:pPr>
              <w:spacing w:line="276" w:lineRule="auto"/>
              <w:ind w:firstLine="709"/>
              <w:jc w:val="both"/>
              <w:rPr>
                <w:lang w:val="hy-AM"/>
              </w:rPr>
            </w:pPr>
          </w:p>
          <w:p w:rsidR="00764E6F" w:rsidRPr="0053423A" w:rsidRDefault="00764E6F" w:rsidP="00A67858">
            <w:pPr>
              <w:spacing w:line="276" w:lineRule="auto"/>
              <w:jc w:val="both"/>
              <w:rPr>
                <w:b/>
                <w:lang w:val="hy-AM"/>
              </w:rPr>
            </w:pPr>
            <w:r w:rsidRPr="0053423A">
              <w:rPr>
                <w:b/>
                <w:lang w:val="hy-AM"/>
              </w:rPr>
              <w:t xml:space="preserve">   1.2 Առկա խնդիրների առաջարկվող լուծումները</w:t>
            </w:r>
          </w:p>
          <w:p w:rsidR="00764E6F" w:rsidRPr="0053423A" w:rsidRDefault="00764E6F" w:rsidP="00A67858">
            <w:pPr>
              <w:spacing w:line="276" w:lineRule="auto"/>
              <w:jc w:val="both"/>
              <w:rPr>
                <w:lang w:val="hy-AM"/>
              </w:rPr>
            </w:pPr>
            <w:r w:rsidRPr="0053423A">
              <w:rPr>
                <w:lang w:val="hy-AM"/>
              </w:rPr>
              <w:t xml:space="preserve">   Հայաստանի Հանրապետության և Եվրասիական զարգացման բանկի միջև 2018թ. ստորագրված Կայունացման և զարգացման եվրասիական հիմնադրամի միջոցներից ֆինանսավորվող «Առողջապահության առաջնային օղակում ոչ վարակիչ հիվանդությունների կանխարգելման և վերահսկման կատարելագործում» դրամաշնորհային Ծրագրի (այսուհետ Ծրագիր) շրջանակներում նախատեսվում է սահմանամերձ ՀՀ Տավուշի, Սյունիքի և Լոռու մարզերում իրականացնել կրծքագեղձի մամոգրաֆիկ սքրինինգային հետազոտություններ: Հետազոտությունները նախատեսվում  են իրականացնել կանանց 50-69 տարիքային խմբում՝ ապահովելով առնվազն 50% ընդգրկվածություն (շուրջ 26 հազար հետազոտություն):  </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lang w:val="hy-AM"/>
              </w:rPr>
            </w:pPr>
            <w:r w:rsidRPr="0053423A">
              <w:rPr>
                <w:lang w:val="hy-AM"/>
              </w:rPr>
              <w:t xml:space="preserve">   </w:t>
            </w:r>
            <w:r w:rsidRPr="0053423A">
              <w:rPr>
                <w:b/>
                <w:lang w:val="hy-AM"/>
              </w:rPr>
              <w:t>2. Միջոցառման իրականացումից ակնկալվող արդյունքը</w:t>
            </w:r>
          </w:p>
          <w:p w:rsidR="00764E6F" w:rsidRPr="0053423A" w:rsidRDefault="00764E6F" w:rsidP="00A67858">
            <w:pPr>
              <w:spacing w:line="276" w:lineRule="auto"/>
              <w:jc w:val="both"/>
              <w:rPr>
                <w:lang w:val="hy-AM"/>
              </w:rPr>
            </w:pPr>
            <w:r w:rsidRPr="0053423A">
              <w:rPr>
                <w:lang w:val="hy-AM"/>
              </w:rPr>
              <w:t xml:space="preserve">   Ծրագրի խնդիրն է ծրագրում ընդգրկված յուրաքանչյուր մարզում ապահովել առնվազն 50% 50-69 տարիքային խմբի կանանց ընդգրկվածություն իրականացվող սքրինինգին, կանխարգելիչ հետազոտությունների միջոցով հայտնաբերելով հիվանդությունը և հնարավորություն ընձեռնելով հնարավորինս շուտ սկսել դրա բուժումը:</w:t>
            </w:r>
          </w:p>
          <w:p w:rsidR="00764E6F" w:rsidRPr="0053423A" w:rsidRDefault="00764E6F" w:rsidP="00A67858">
            <w:pPr>
              <w:spacing w:line="276" w:lineRule="auto"/>
              <w:jc w:val="both"/>
              <w:rPr>
                <w:rFonts w:cs="Sylfaen"/>
                <w:lang w:val="hy-AM"/>
              </w:rPr>
            </w:pPr>
            <w:r w:rsidRPr="0053423A">
              <w:rPr>
                <w:lang w:val="hy-AM"/>
              </w:rPr>
              <w:t>Իրականացվող ծրագիրը պիլոտային է: Դրա արդյունավետ իրականացման և համապատասխան ֆինանսական միջոցների առկայության դեպքում նախատեսվում է ձեռքբերված շարժական մամոգրաֆիայի սարքավորման միջոցով շարունակել կրծքագեղձի վաղ հայտնաբերման սքրինինգային հետազոտությունները Հայաստանի Հանրապետության ողջ տարածքում:</w:t>
            </w:r>
          </w:p>
          <w:p w:rsidR="00764E6F" w:rsidRPr="0053423A" w:rsidRDefault="00764E6F" w:rsidP="00A67858">
            <w:pPr>
              <w:spacing w:line="276" w:lineRule="auto"/>
              <w:jc w:val="both"/>
              <w:rPr>
                <w:b/>
                <w:lang w:val="hy-AM"/>
              </w:rPr>
            </w:pPr>
          </w:p>
        </w:tc>
      </w:tr>
      <w:tr w:rsidR="00764E6F" w:rsidRPr="00DE2EFA" w:rsidTr="009843B0">
        <w:tc>
          <w:tcPr>
            <w:tcW w:w="630" w:type="dxa"/>
          </w:tcPr>
          <w:p w:rsidR="00764E6F" w:rsidRPr="0053423A" w:rsidRDefault="008B3845" w:rsidP="00A67858">
            <w:pPr>
              <w:tabs>
                <w:tab w:val="left" w:pos="192"/>
              </w:tabs>
              <w:spacing w:line="276" w:lineRule="auto"/>
              <w:jc w:val="both"/>
            </w:pPr>
            <w:r w:rsidRPr="0053423A">
              <w:rPr>
                <w:lang w:val="hy-AM"/>
              </w:rPr>
              <w:t>3</w:t>
            </w:r>
            <w:r w:rsidR="00764E6F" w:rsidRPr="0053423A">
              <w:t>3</w:t>
            </w:r>
          </w:p>
        </w:tc>
        <w:tc>
          <w:tcPr>
            <w:tcW w:w="10878" w:type="dxa"/>
          </w:tcPr>
          <w:p w:rsidR="00764E6F" w:rsidRPr="0053423A" w:rsidRDefault="008B3845" w:rsidP="00A67858">
            <w:pPr>
              <w:spacing w:line="276" w:lineRule="auto"/>
              <w:jc w:val="center"/>
              <w:rPr>
                <w:b/>
                <w:lang w:val="hy-AM"/>
              </w:rPr>
            </w:pPr>
            <w:r w:rsidRPr="0053423A">
              <w:rPr>
                <w:b/>
                <w:lang w:val="hy-AM"/>
              </w:rPr>
              <w:t>3</w:t>
            </w:r>
            <w:r w:rsidR="00764E6F" w:rsidRPr="0053423A">
              <w:rPr>
                <w:b/>
              </w:rPr>
              <w:t>3</w:t>
            </w:r>
            <w:r w:rsidR="00764E6F" w:rsidRPr="0053423A">
              <w:rPr>
                <w:b/>
                <w:lang w:val="hy-AM"/>
              </w:rPr>
              <w:t>.</w:t>
            </w:r>
            <w:r w:rsidR="00764E6F" w:rsidRPr="0053423A">
              <w:rPr>
                <w:b/>
              </w:rPr>
              <w:t>1</w:t>
            </w:r>
            <w:r w:rsidR="00764E6F" w:rsidRPr="0053423A">
              <w:rPr>
                <w:b/>
                <w:lang w:val="hy-AM"/>
              </w:rPr>
              <w:t xml:space="preserve"> «Ավագ և միջին բուժաշխատողների շտեմարանի ձևավորման և վարման կարգը հաստատելու մասին» Կառավարության որոշման նախագիծը վարչապետի աշխատակազմ ներկայացնելը</w:t>
            </w:r>
          </w:p>
          <w:p w:rsidR="00764E6F" w:rsidRPr="0053423A" w:rsidRDefault="00764E6F" w:rsidP="00A67858">
            <w:pPr>
              <w:spacing w:line="276" w:lineRule="auto"/>
              <w:rPr>
                <w:lang w:val="hy-AM"/>
              </w:rPr>
            </w:pPr>
          </w:p>
          <w:p w:rsidR="00764E6F" w:rsidRPr="0053423A" w:rsidRDefault="00764E6F" w:rsidP="00A67858">
            <w:pPr>
              <w:spacing w:line="276" w:lineRule="auto"/>
              <w:jc w:val="both"/>
              <w:rPr>
                <w:b/>
                <w:lang w:val="hy-AM"/>
              </w:rPr>
            </w:pPr>
          </w:p>
          <w:p w:rsidR="00764E6F" w:rsidRPr="0053423A" w:rsidRDefault="00764E6F" w:rsidP="00A67858">
            <w:pPr>
              <w:spacing w:line="276" w:lineRule="auto"/>
              <w:jc w:val="both"/>
              <w:rPr>
                <w:b/>
                <w:lang w:val="hy-AM"/>
              </w:rPr>
            </w:pPr>
            <w:r w:rsidRPr="0053423A">
              <w:rPr>
                <w:b/>
                <w:lang w:val="hy-AM"/>
              </w:rPr>
              <w:t xml:space="preserve">   1. Միջոցառման իրականացման անհրաժեշտությունը  և նպատակը</w:t>
            </w:r>
          </w:p>
          <w:p w:rsidR="00764E6F" w:rsidRPr="0053423A" w:rsidRDefault="00764E6F" w:rsidP="00A67858">
            <w:pPr>
              <w:spacing w:line="276" w:lineRule="auto"/>
              <w:jc w:val="both"/>
              <w:rPr>
                <w:rFonts w:cs="Calibri"/>
                <w:lang w:val="hy-AM"/>
              </w:rPr>
            </w:pPr>
            <w:r w:rsidRPr="0053423A">
              <w:rPr>
                <w:rFonts w:cs="Calibri"/>
                <w:lang w:val="hy-AM"/>
              </w:rPr>
              <w:t xml:space="preserve">   </w:t>
            </w:r>
            <w:r w:rsidRPr="0053423A">
              <w:rPr>
                <w:rFonts w:cs="Sylfaen"/>
                <w:lang w:val="hy-AM"/>
              </w:rPr>
              <w:t xml:space="preserve">      </w:t>
            </w:r>
            <w:r w:rsidRPr="0053423A">
              <w:rPr>
                <w:rFonts w:cs="Calibri"/>
                <w:lang w:val="hy-AM"/>
              </w:rPr>
              <w:t xml:space="preserve">2015 թվականի հոկտեմբերի 6-ին ընդունվեց «Բնակչության բժշկական օգնության և սպասարկման մասին» Հայաստանի Հանրապետության օրենքում փոփոխություններ և լրացումներ կատարելու մասին» Հայաստանի Հանրապետության օրենքը, որով սահմանվեց ավագ և միջին բուժաշխատողների վերաբերյալ համապարփակ տվյալներ պարունակող շտեմարան ստեղծելու պահանջ: </w:t>
            </w:r>
          </w:p>
          <w:p w:rsidR="00764E6F" w:rsidRPr="0053423A" w:rsidRDefault="00764E6F" w:rsidP="00A67858">
            <w:pPr>
              <w:spacing w:line="276" w:lineRule="auto"/>
              <w:ind w:firstLine="312"/>
              <w:jc w:val="both"/>
              <w:rPr>
                <w:bCs/>
                <w:shd w:val="clear" w:color="auto" w:fill="FFFFFF"/>
                <w:lang w:val="hy-AM"/>
              </w:rPr>
            </w:pPr>
          </w:p>
          <w:p w:rsidR="00764E6F" w:rsidRPr="0053423A" w:rsidRDefault="00764E6F" w:rsidP="00A67858">
            <w:pPr>
              <w:spacing w:line="276" w:lineRule="auto"/>
              <w:jc w:val="both"/>
              <w:rPr>
                <w:b/>
                <w:lang w:val="hy-AM"/>
              </w:rPr>
            </w:pPr>
            <w:r w:rsidRPr="0053423A">
              <w:rPr>
                <w:b/>
                <w:bCs/>
                <w:shd w:val="clear" w:color="auto" w:fill="FFFFFF"/>
                <w:lang w:val="hy-AM"/>
              </w:rPr>
              <w:t xml:space="preserve">   1.1. </w:t>
            </w:r>
            <w:r w:rsidRPr="0053423A">
              <w:rPr>
                <w:b/>
                <w:lang w:val="hy-AM"/>
              </w:rPr>
              <w:t>Կարգավորման հարաբերությունների ներկա վիճակը և առկա խնդիրները</w:t>
            </w:r>
          </w:p>
          <w:p w:rsidR="00764E6F" w:rsidRPr="0053423A" w:rsidRDefault="00764E6F" w:rsidP="00A67858">
            <w:pPr>
              <w:tabs>
                <w:tab w:val="left" w:pos="567"/>
                <w:tab w:val="left" w:pos="827"/>
              </w:tabs>
              <w:spacing w:line="276" w:lineRule="auto"/>
              <w:jc w:val="both"/>
              <w:rPr>
                <w:rFonts w:cs="Calibri"/>
                <w:lang w:val="hy-AM"/>
              </w:rPr>
            </w:pPr>
            <w:r w:rsidRPr="0053423A">
              <w:rPr>
                <w:rFonts w:cs="Calibri"/>
                <w:lang w:val="hy-AM"/>
              </w:rPr>
              <w:t xml:space="preserve">Ներկայում որևէ իրավական ակտով ՀՀ-ում մասնագիտական գործունեություն ծավալող բուժաշխատողների շտեմարան ձևավորելու և վարելու պահանջ սահմանված չէ, ինչը խոչընդոտում է ոլորտում մարդկային ներուժի արդյունավետ և տարածքային համաչափ պլանավորմանը: </w:t>
            </w:r>
          </w:p>
          <w:p w:rsidR="00764E6F" w:rsidRPr="0053423A" w:rsidRDefault="00764E6F" w:rsidP="00A67858">
            <w:pPr>
              <w:tabs>
                <w:tab w:val="left" w:pos="567"/>
                <w:tab w:val="left" w:pos="827"/>
              </w:tabs>
              <w:spacing w:line="276" w:lineRule="auto"/>
              <w:jc w:val="both"/>
              <w:rPr>
                <w:b/>
                <w:bCs/>
                <w:shd w:val="clear" w:color="auto" w:fill="FFFFFF"/>
                <w:lang w:val="hy-AM"/>
              </w:rPr>
            </w:pPr>
            <w:r w:rsidRPr="0053423A">
              <w:rPr>
                <w:rFonts w:cs="Calibri"/>
                <w:lang w:val="hy-AM"/>
              </w:rPr>
              <w:t xml:space="preserve"> </w:t>
            </w:r>
          </w:p>
          <w:p w:rsidR="00764E6F" w:rsidRPr="0053423A" w:rsidRDefault="00764E6F" w:rsidP="00A67858">
            <w:pPr>
              <w:spacing w:line="276" w:lineRule="auto"/>
              <w:jc w:val="both"/>
              <w:rPr>
                <w:b/>
                <w:lang w:val="hy-AM"/>
              </w:rPr>
            </w:pPr>
            <w:r w:rsidRPr="0053423A">
              <w:rPr>
                <w:b/>
                <w:lang w:val="hy-AM"/>
              </w:rPr>
              <w:t xml:space="preserve">   1.2 Առկա խնդիրների առաջարկվող լուծումները</w:t>
            </w:r>
          </w:p>
          <w:p w:rsidR="00764E6F" w:rsidRPr="0053423A" w:rsidRDefault="00764E6F" w:rsidP="00A67858">
            <w:pPr>
              <w:tabs>
                <w:tab w:val="left" w:pos="567"/>
                <w:tab w:val="left" w:pos="827"/>
              </w:tabs>
              <w:spacing w:line="276" w:lineRule="auto"/>
              <w:jc w:val="both"/>
              <w:rPr>
                <w:rFonts w:cs="Calibri"/>
                <w:lang w:val="hy-AM"/>
              </w:rPr>
            </w:pPr>
            <w:r w:rsidRPr="0053423A">
              <w:rPr>
                <w:rFonts w:cs="Calibri"/>
                <w:lang w:val="hy-AM"/>
              </w:rPr>
              <w:t xml:space="preserve">   Առաջարկվում է առողջապահության համակարգում ստեղծել և ներդնել մարդկային ներուժի էլեկտրոնային շտեմարան, որը կնպաստի արդյունավետ կադրային քաղաքականության մշակմանը և իրականացմանը: </w:t>
            </w:r>
          </w:p>
          <w:p w:rsidR="00764E6F" w:rsidRPr="0053423A" w:rsidRDefault="00764E6F" w:rsidP="00A67858">
            <w:pPr>
              <w:spacing w:line="276" w:lineRule="auto"/>
              <w:jc w:val="both"/>
              <w:rPr>
                <w:rFonts w:cs="Calibri"/>
                <w:lang w:val="hy-AM"/>
              </w:rPr>
            </w:pPr>
          </w:p>
          <w:p w:rsidR="00764E6F" w:rsidRPr="0053423A" w:rsidRDefault="00764E6F" w:rsidP="00A67858">
            <w:pPr>
              <w:spacing w:line="276" w:lineRule="auto"/>
              <w:jc w:val="both"/>
              <w:rPr>
                <w:b/>
                <w:lang w:val="hy-AM"/>
              </w:rPr>
            </w:pPr>
            <w:r w:rsidRPr="0053423A">
              <w:rPr>
                <w:b/>
                <w:lang w:val="hy-AM"/>
              </w:rPr>
              <w:t xml:space="preserve">   2. Միջոցառման իրականացումից ակնկալվող արդյունքը</w:t>
            </w:r>
          </w:p>
          <w:p w:rsidR="00764E6F" w:rsidRPr="0053423A" w:rsidRDefault="00764E6F" w:rsidP="00A67858">
            <w:pPr>
              <w:spacing w:line="276" w:lineRule="auto"/>
              <w:jc w:val="both"/>
              <w:rPr>
                <w:bCs/>
                <w:shd w:val="clear" w:color="auto" w:fill="FFFFFF"/>
                <w:lang w:val="hy-AM"/>
              </w:rPr>
            </w:pPr>
            <w:r w:rsidRPr="0053423A">
              <w:rPr>
                <w:bCs/>
                <w:shd w:val="clear" w:color="auto" w:fill="FFFFFF"/>
                <w:lang w:val="hy-AM"/>
              </w:rPr>
              <w:t>Բարելավել առողջապահության ոլորտում առկա կադրային ներուժի մասով վարվող քաղաքականությունը, ունենալ բուժաշխատողների վերաբերյալ ամփոփ տեղեկատվություն:</w:t>
            </w:r>
          </w:p>
          <w:p w:rsidR="00764E6F" w:rsidRPr="0053423A" w:rsidRDefault="00764E6F" w:rsidP="00A67858">
            <w:pPr>
              <w:spacing w:line="276" w:lineRule="auto"/>
              <w:jc w:val="both"/>
              <w:rPr>
                <w:b/>
                <w:lang w:val="hy-AM"/>
              </w:rPr>
            </w:pPr>
          </w:p>
        </w:tc>
      </w:tr>
      <w:tr w:rsidR="00764E6F" w:rsidRPr="00DE2EFA" w:rsidTr="009843B0">
        <w:tc>
          <w:tcPr>
            <w:tcW w:w="630" w:type="dxa"/>
          </w:tcPr>
          <w:p w:rsidR="00764E6F" w:rsidRPr="0053423A" w:rsidRDefault="008B3845" w:rsidP="00A67858">
            <w:pPr>
              <w:tabs>
                <w:tab w:val="left" w:pos="192"/>
              </w:tabs>
              <w:spacing w:line="276" w:lineRule="auto"/>
              <w:jc w:val="both"/>
            </w:pPr>
            <w:r w:rsidRPr="0053423A">
              <w:rPr>
                <w:lang w:val="hy-AM"/>
              </w:rPr>
              <w:t>3</w:t>
            </w:r>
            <w:r w:rsidR="00764E6F" w:rsidRPr="0053423A">
              <w:t>4</w:t>
            </w:r>
          </w:p>
        </w:tc>
        <w:tc>
          <w:tcPr>
            <w:tcW w:w="10878" w:type="dxa"/>
          </w:tcPr>
          <w:p w:rsidR="00764E6F" w:rsidRPr="0053423A" w:rsidRDefault="008B3845" w:rsidP="00A67858">
            <w:pPr>
              <w:spacing w:line="276" w:lineRule="auto"/>
              <w:jc w:val="center"/>
              <w:rPr>
                <w:b/>
                <w:color w:val="000000"/>
                <w:shd w:val="clear" w:color="auto" w:fill="FFFFFF"/>
                <w:lang w:val="hy-AM"/>
              </w:rPr>
            </w:pPr>
            <w:r w:rsidRPr="0053423A">
              <w:rPr>
                <w:b/>
                <w:color w:val="000000"/>
                <w:shd w:val="clear" w:color="auto" w:fill="FFFFFF"/>
                <w:lang w:val="hy-AM"/>
              </w:rPr>
              <w:t>3</w:t>
            </w:r>
            <w:r w:rsidR="00764E6F" w:rsidRPr="0053423A">
              <w:rPr>
                <w:b/>
                <w:color w:val="000000"/>
                <w:shd w:val="clear" w:color="auto" w:fill="FFFFFF"/>
              </w:rPr>
              <w:t xml:space="preserve">4.1 </w:t>
            </w:r>
            <w:r w:rsidR="00764E6F" w:rsidRPr="0053423A">
              <w:rPr>
                <w:b/>
                <w:color w:val="000000"/>
                <w:shd w:val="clear" w:color="auto" w:fill="FFFFFF"/>
                <w:lang w:val="hy-AM"/>
              </w:rPr>
              <w:t>«2021-202</w:t>
            </w:r>
            <w:r w:rsidR="00764E6F" w:rsidRPr="0053423A">
              <w:rPr>
                <w:b/>
                <w:color w:val="000000"/>
                <w:shd w:val="clear" w:color="auto" w:fill="FFFFFF"/>
              </w:rPr>
              <w:t>3</w:t>
            </w:r>
            <w:r w:rsidR="00764E6F" w:rsidRPr="0053423A">
              <w:rPr>
                <w:b/>
                <w:color w:val="000000"/>
                <w:shd w:val="clear" w:color="auto" w:fill="FFFFFF"/>
                <w:lang w:val="hy-AM"/>
              </w:rPr>
              <w:t xml:space="preserve"> թվականների Իմունականխարգելման ազգային ծրագիրը և Իմունականխարգելման ազգային  ծրագրի առաջնահերթ միջոցառումների ցանկը հաստատելու մասին»  Կառավարության որոշման նախագիծը վարչապետի աշխատակազմ ներկայացնելը</w:t>
            </w:r>
          </w:p>
          <w:p w:rsidR="00764E6F" w:rsidRPr="0053423A" w:rsidRDefault="00764E6F" w:rsidP="00A67858">
            <w:pPr>
              <w:tabs>
                <w:tab w:val="left" w:pos="180"/>
              </w:tabs>
              <w:spacing w:line="276" w:lineRule="auto"/>
              <w:rPr>
                <w:b/>
                <w:lang w:val="hy-AM"/>
              </w:rPr>
            </w:pPr>
            <w:r w:rsidRPr="0053423A">
              <w:rPr>
                <w:b/>
                <w:lang w:val="hy-AM"/>
              </w:rPr>
              <w:t xml:space="preserve">   1. Միջոցառման իրականացման անհրաժեշտությունը և նպատակը</w:t>
            </w:r>
          </w:p>
          <w:p w:rsidR="00764E6F" w:rsidRPr="0053423A" w:rsidRDefault="00764E6F" w:rsidP="00A67858">
            <w:pPr>
              <w:spacing w:line="276" w:lineRule="auto"/>
              <w:jc w:val="both"/>
              <w:rPr>
                <w:color w:val="000000"/>
                <w:shd w:val="clear" w:color="auto" w:fill="FFFFFF"/>
                <w:lang w:val="hy-AM"/>
              </w:rPr>
            </w:pPr>
            <w:r w:rsidRPr="0053423A">
              <w:rPr>
                <w:bCs/>
                <w:lang w:val="hy-AM"/>
              </w:rPr>
              <w:t xml:space="preserve">   Վերոհիշյալ միջոցառմամբ նախատեսված իրավական ակտն ընդունելու լիազորությունը կառավարությանը վերապահված է «Հայաստանի Հանրապետության </w:t>
            </w:r>
            <w:r w:rsidRPr="0053423A">
              <w:rPr>
                <w:rFonts w:ascii="Calibri" w:hAnsi="Calibri" w:cs="Calibri"/>
                <w:bCs/>
                <w:lang w:val="hy-AM"/>
              </w:rPr>
              <w:t> </w:t>
            </w:r>
            <w:r w:rsidRPr="0053423A">
              <w:rPr>
                <w:bCs/>
                <w:lang w:val="hy-AM"/>
              </w:rPr>
              <w:t xml:space="preserve">բնակչության սանիտարահամաճարակային </w:t>
            </w:r>
            <w:r w:rsidRPr="0053423A">
              <w:rPr>
                <w:rFonts w:ascii="Calibri" w:hAnsi="Calibri" w:cs="Calibri"/>
                <w:bCs/>
                <w:lang w:val="hy-AM"/>
              </w:rPr>
              <w:t> </w:t>
            </w:r>
            <w:r w:rsidRPr="0053423A">
              <w:rPr>
                <w:bCs/>
                <w:lang w:val="hy-AM"/>
              </w:rPr>
              <w:t xml:space="preserve">անվտանգության ապահովման մասին» ՀՀ օրենքի 5-րդ հոդվածի 1-ին մասի 3-րդ կետով: Նպատակը </w:t>
            </w:r>
            <w:r w:rsidRPr="0053423A">
              <w:rPr>
                <w:lang w:val="hy-AM"/>
              </w:rPr>
              <w:t xml:space="preserve">Իմունականխարգելման ազգային ծրագրով նախատեսված միջոցառումների շարունակական իրականացման ապահովումն է, որի արդյունքում </w:t>
            </w:r>
            <w:r w:rsidRPr="0053423A">
              <w:rPr>
                <w:color w:val="000000"/>
                <w:shd w:val="clear" w:color="auto" w:fill="FFFFFF"/>
                <w:lang w:val="hy-AM"/>
              </w:rPr>
              <w:t>Հայաստանի Հանրապետությունում կառավարելի վարակիչ հիվանդություններով հիվանդացության նվազեցում, դրանց հետևանքով մահվան դեպքերի կանխարգելում, և վարակիչ հիվանդությունների նկատմամբ բնակչության անընկալության ապահովում:</w:t>
            </w:r>
          </w:p>
          <w:p w:rsidR="00764E6F" w:rsidRPr="0053423A" w:rsidRDefault="00764E6F" w:rsidP="00A67858">
            <w:pPr>
              <w:spacing w:line="276" w:lineRule="auto"/>
              <w:jc w:val="both"/>
              <w:rPr>
                <w:b/>
                <w:lang w:val="hy-AM"/>
              </w:rPr>
            </w:pPr>
            <w:r w:rsidRPr="0053423A">
              <w:rPr>
                <w:b/>
                <w:lang w:val="hy-AM"/>
              </w:rPr>
              <w:t xml:space="preserve">   1.1. Կարգավորման հարաբերությունների ներկա վիճակը և առկա խնդիրները</w:t>
            </w:r>
          </w:p>
          <w:p w:rsidR="00764E6F" w:rsidRPr="0053423A" w:rsidRDefault="00764E6F" w:rsidP="00A67858">
            <w:pPr>
              <w:spacing w:line="276" w:lineRule="auto"/>
              <w:contextualSpacing/>
              <w:jc w:val="both"/>
              <w:rPr>
                <w:rFonts w:eastAsia="Calibri"/>
                <w:color w:val="000000"/>
                <w:shd w:val="clear" w:color="auto" w:fill="FFFFFF"/>
                <w:lang w:val="hy-AM"/>
              </w:rPr>
            </w:pPr>
            <w:r w:rsidRPr="0053423A">
              <w:rPr>
                <w:rFonts w:eastAsia="Calibri"/>
                <w:color w:val="000000"/>
                <w:shd w:val="clear" w:color="auto" w:fill="FFFFFF"/>
                <w:lang w:val="hy-AM"/>
              </w:rPr>
              <w:t xml:space="preserve">   Հայաստանի Հանրապետությունում կառավարելի վարակիչ հիվանդությունների առումով համաճարակային իրավիճակը բարենպաստ է: Հանրապետությունում չեն արձանագրվում պատվաստումներով կանխարգելվող մի շարք հիվանդություններ՝ դիֆթերիա, պոլիոմիելիտ, նորածնային փայտացում, կարմրուկի և կարմրախտի տեղական դեպքեր, իսկ  կապույտ հազը և համաճարակային պարոտիտն արձանագրվել են եզակի դեպքերի տեսքով: 1995 թվականից հանրապետությունում պոլիոմիելիտի դեպք չի արձանագրվում: 2000թ. չեն արձանագրվում դիֆթերիայի դեպքեր: Փայտացման եզակի դեպքերն արձանագրվում են հիմնականում չպատվաստված կամ թերի պատվաստված մեծահասակ ազգաբնակչության շրջանում: Կարմրուկի տեղական դեպքեր չեն գրանցվում, բերովի դեպքերը գերազանցապես արձանագրվում են չպատվաստված, պատվաստումներից հրաժարված  կամ թերի պատվաստված անձանց շրջանում: Հեպատիտ Բ-ի նվազում, մինչև 14 տարեկանների շրջանում սուր դեպքերի բացակայություն: Ռոտավիրուսային վարակների դեմ պատվաստումների ներդրման արդյունքում բոլոր տարիքային խմբերում դիտվեց ռոտավիրուսային վարակներով պայմանավորված հոսպիտալացումների կտրուկ նվազում՝ մոտ 5 անգամ (2011թ. հունվար-մարտին` 60.3%, 2017թ հունվար-մարտին` 12%): Նվազումն ակնառու է հատկապես պատվաստման ենթակա տարիքային խմբում` մինչև 1 տարեկան երեխաների շրջանում: </w:t>
            </w:r>
          </w:p>
          <w:p w:rsidR="00764E6F" w:rsidRPr="0053423A" w:rsidRDefault="00764E6F" w:rsidP="00A67858">
            <w:pPr>
              <w:spacing w:line="276" w:lineRule="auto"/>
              <w:jc w:val="both"/>
              <w:rPr>
                <w:color w:val="000000"/>
                <w:shd w:val="clear" w:color="auto" w:fill="FFFFFF"/>
                <w:lang w:val="hy-AM"/>
              </w:rPr>
            </w:pPr>
            <w:r w:rsidRPr="0053423A">
              <w:rPr>
                <w:color w:val="000000"/>
                <w:shd w:val="clear" w:color="auto" w:fill="FFFFFF"/>
                <w:lang w:val="hy-AM"/>
              </w:rPr>
              <w:t xml:space="preserve">   Վերջին տարիներին ընդհանուր առմամբ դիտվում է կառավարելի վարակիչ հիվանդությունների դեմ կատարվող պատվաստումներում բնակչության նպատակային խմբերի ընդգրկման ցուցանիշների աճ (նպատակային ցուցանիշը՝ 90%). 1 տարեկան երեխաների շրջանում անհրաժեշտ պատվաստումների ամբողջական փաթեթը (ԲՑԺ, հեպատիտ Բ, հնգավալենտ, պոլիոմիելիտ, ռոտավիրուսային, պնևմակոկային) ստացած երեխաների ընդգրկվածությունը 86%-ից (2008 թ.) աճել է մինչև 90% (2018թ.), 2 տարեկան երեխաների շրջանում անհրաժեշտ պատվաստումների ամբողջական փաթեթը (ԿԿԽ, ԱԿԴՓ, պոլիոմիելիտ) ստացած երեխաների ընդգրկվածությունն 82 %-ից (2008 թ.) աճել է մինչև 92% (2018թ.), 7 տարեկան երեխաների շրջանում անհրաժեշտ պատվաստումների ամբողջական փաթեթը (ԿԿԽ, ԱԿՓ-Մ, պոլիոմիելիտ) ստացած երեխաների ընդգրկվածությունն աճել է 93%-ից (2008 թ.)  մինչև 96% (2018թ.):</w:t>
            </w:r>
          </w:p>
          <w:p w:rsidR="00764E6F" w:rsidRPr="0053423A" w:rsidRDefault="00764E6F" w:rsidP="00A67858">
            <w:pPr>
              <w:spacing w:line="276" w:lineRule="auto"/>
              <w:ind w:firstLine="375"/>
              <w:jc w:val="both"/>
              <w:rPr>
                <w:color w:val="000000"/>
                <w:shd w:val="clear" w:color="auto" w:fill="FFFFFF"/>
                <w:lang w:val="hy-AM"/>
              </w:rPr>
            </w:pPr>
          </w:p>
          <w:p w:rsidR="00764E6F" w:rsidRPr="0053423A" w:rsidRDefault="00764E6F" w:rsidP="00A67858">
            <w:pPr>
              <w:spacing w:line="276" w:lineRule="auto"/>
              <w:jc w:val="both"/>
              <w:rPr>
                <w:b/>
                <w:lang w:val="hy-AM"/>
              </w:rPr>
            </w:pPr>
            <w:r w:rsidRPr="0053423A">
              <w:rPr>
                <w:b/>
                <w:lang w:val="hy-AM"/>
              </w:rPr>
              <w:t xml:space="preserve">   1.2 Առկա խնդիրների առաջարկվող լուծումները</w:t>
            </w:r>
          </w:p>
          <w:p w:rsidR="00764E6F" w:rsidRPr="0053423A" w:rsidRDefault="00764E6F" w:rsidP="00A67858">
            <w:pPr>
              <w:spacing w:line="276" w:lineRule="auto"/>
              <w:jc w:val="both"/>
              <w:rPr>
                <w:lang w:val="hy-AM"/>
              </w:rPr>
            </w:pPr>
            <w:r w:rsidRPr="0053423A">
              <w:rPr>
                <w:rFonts w:cs="Sylfaen"/>
                <w:lang w:val="hy-AM"/>
              </w:rPr>
              <w:t xml:space="preserve">   Ինչպես</w:t>
            </w:r>
            <w:r w:rsidRPr="0053423A">
              <w:rPr>
                <w:lang w:val="hy-AM"/>
              </w:rPr>
              <w:t xml:space="preserve"> </w:t>
            </w:r>
            <w:r w:rsidRPr="0053423A">
              <w:rPr>
                <w:rFonts w:cs="Sylfaen"/>
                <w:lang w:val="hy-AM"/>
              </w:rPr>
              <w:t>ամբողջ</w:t>
            </w:r>
            <w:r w:rsidRPr="0053423A">
              <w:rPr>
                <w:lang w:val="hy-AM"/>
              </w:rPr>
              <w:t xml:space="preserve"> </w:t>
            </w:r>
            <w:r w:rsidRPr="0053423A">
              <w:rPr>
                <w:rFonts w:cs="Sylfaen"/>
                <w:lang w:val="hy-AM"/>
              </w:rPr>
              <w:t>աշխարհում</w:t>
            </w:r>
            <w:r w:rsidRPr="0053423A">
              <w:rPr>
                <w:lang w:val="hy-AM"/>
              </w:rPr>
              <w:t xml:space="preserve">, </w:t>
            </w:r>
            <w:r w:rsidRPr="0053423A">
              <w:rPr>
                <w:rFonts w:cs="Sylfaen"/>
                <w:lang w:val="hy-AM"/>
              </w:rPr>
              <w:t>այնպես</w:t>
            </w:r>
            <w:r w:rsidRPr="0053423A">
              <w:rPr>
                <w:lang w:val="hy-AM"/>
              </w:rPr>
              <w:t xml:space="preserve"> </w:t>
            </w:r>
            <w:r w:rsidRPr="0053423A">
              <w:rPr>
                <w:rFonts w:cs="Sylfaen"/>
                <w:lang w:val="hy-AM"/>
              </w:rPr>
              <w:t>էլ</w:t>
            </w:r>
            <w:r w:rsidRPr="0053423A">
              <w:rPr>
                <w:lang w:val="hy-AM"/>
              </w:rPr>
              <w:t xml:space="preserve"> </w:t>
            </w:r>
            <w:r w:rsidRPr="0053423A">
              <w:rPr>
                <w:rFonts w:cs="Sylfaen"/>
                <w:lang w:val="hy-AM"/>
              </w:rPr>
              <w:t>Հայաստանում</w:t>
            </w:r>
            <w:r w:rsidRPr="0053423A">
              <w:rPr>
                <w:lang w:val="hy-AM"/>
              </w:rPr>
              <w:t xml:space="preserve">, </w:t>
            </w:r>
            <w:r w:rsidRPr="0053423A">
              <w:rPr>
                <w:rFonts w:cs="Sylfaen"/>
                <w:lang w:val="hy-AM"/>
              </w:rPr>
              <w:t>հակապատվաստումային</w:t>
            </w:r>
            <w:r w:rsidRPr="0053423A">
              <w:rPr>
                <w:lang w:val="hy-AM"/>
              </w:rPr>
              <w:t xml:space="preserve"> </w:t>
            </w:r>
            <w:r w:rsidRPr="0053423A">
              <w:rPr>
                <w:rFonts w:cs="Sylfaen"/>
                <w:lang w:val="hy-AM"/>
              </w:rPr>
              <w:t>տարբեր</w:t>
            </w:r>
            <w:r w:rsidRPr="0053423A">
              <w:rPr>
                <w:lang w:val="hy-AM"/>
              </w:rPr>
              <w:t xml:space="preserve"> </w:t>
            </w:r>
            <w:r w:rsidRPr="0053423A">
              <w:rPr>
                <w:rFonts w:cs="Sylfaen"/>
                <w:lang w:val="hy-AM"/>
              </w:rPr>
              <w:t>խմբավորումների</w:t>
            </w:r>
            <w:r w:rsidRPr="0053423A">
              <w:rPr>
                <w:lang w:val="hy-AM"/>
              </w:rPr>
              <w:t xml:space="preserve"> </w:t>
            </w:r>
            <w:r w:rsidRPr="0053423A">
              <w:rPr>
                <w:rFonts w:cs="Sylfaen"/>
                <w:lang w:val="hy-AM"/>
              </w:rPr>
              <w:t>ակտիվացման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տարածման</w:t>
            </w:r>
            <w:r w:rsidRPr="0053423A">
              <w:rPr>
                <w:lang w:val="hy-AM"/>
              </w:rPr>
              <w:t xml:space="preserve"> </w:t>
            </w:r>
            <w:r w:rsidRPr="0053423A">
              <w:rPr>
                <w:rFonts w:cs="Sylfaen"/>
                <w:lang w:val="hy-AM"/>
              </w:rPr>
              <w:t>միտումը</w:t>
            </w:r>
            <w:r w:rsidRPr="0053423A">
              <w:rPr>
                <w:lang w:val="hy-AM"/>
              </w:rPr>
              <w:t xml:space="preserve"> </w:t>
            </w:r>
            <w:r w:rsidRPr="0053423A">
              <w:rPr>
                <w:rFonts w:cs="Sylfaen"/>
                <w:lang w:val="hy-AM"/>
              </w:rPr>
              <w:t>տարեցտարի</w:t>
            </w:r>
            <w:r w:rsidRPr="0053423A">
              <w:rPr>
                <w:lang w:val="hy-AM"/>
              </w:rPr>
              <w:t xml:space="preserve">  </w:t>
            </w:r>
            <w:r w:rsidRPr="0053423A">
              <w:rPr>
                <w:rFonts w:cs="Sylfaen"/>
                <w:lang w:val="hy-AM"/>
              </w:rPr>
              <w:t>նպաստում</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պատվաստումներից</w:t>
            </w:r>
            <w:r w:rsidRPr="0053423A">
              <w:rPr>
                <w:lang w:val="hy-AM"/>
              </w:rPr>
              <w:t xml:space="preserve"> </w:t>
            </w:r>
            <w:r w:rsidRPr="0053423A">
              <w:rPr>
                <w:rFonts w:cs="Sylfaen"/>
                <w:lang w:val="hy-AM"/>
              </w:rPr>
              <w:t>հր</w:t>
            </w:r>
            <w:r w:rsidRPr="0053423A">
              <w:rPr>
                <w:lang w:val="hy-AM"/>
              </w:rPr>
              <w:t xml:space="preserve">աժարվողների թվի աճին: Պատվաստումներից հրաժարվողների թվի շարունակական աճը կհանգեցնի պատվաստումներում ընդգրկվածության ցուցանիշների նվազեցմանը և կառավարելի վարակիչ հիվանդությունների առումով անբարենպաստ համաճարակային իրավիճակի առաջացմանը:  Վերոհիշյալ խնդրի լուծման նպատակով՝ անհրաժեշտ է բարձրացնել բուժաշխատողների, ինչպես նաև բնակչության իրազեկվածությունը՝ պատվաստումների կարևորության, անվտանգության և արդյունավետության վերաբերյալ:  </w:t>
            </w:r>
          </w:p>
          <w:p w:rsidR="00764E6F" w:rsidRPr="0053423A" w:rsidRDefault="00764E6F" w:rsidP="00A67858">
            <w:pPr>
              <w:spacing w:line="276" w:lineRule="auto"/>
              <w:contextualSpacing/>
              <w:jc w:val="both"/>
              <w:rPr>
                <w:rFonts w:eastAsia="Calibri"/>
                <w:lang w:val="hy-AM"/>
              </w:rPr>
            </w:pPr>
            <w:r w:rsidRPr="0053423A">
              <w:rPr>
                <w:rFonts w:eastAsia="Calibri"/>
                <w:lang w:val="hy-AM"/>
              </w:rPr>
              <w:t xml:space="preserve">   Միջոցառման համակատարողները մշակված նախագծի վերաբերյալ ներկայացնում են կարծիք, անհրաժեշտության դեպքում մասնակցում եմ նախագծի վերաբերյալ կազմակերպված քննարկումներին և տրամադրում մասնագիտական կարծիք:</w:t>
            </w:r>
          </w:p>
          <w:p w:rsidR="00764E6F" w:rsidRPr="0053423A" w:rsidRDefault="00764E6F" w:rsidP="00A67858">
            <w:pPr>
              <w:spacing w:line="276" w:lineRule="auto"/>
              <w:contextualSpacing/>
              <w:jc w:val="both"/>
              <w:rPr>
                <w:lang w:val="hy-AM"/>
              </w:rPr>
            </w:pPr>
          </w:p>
          <w:p w:rsidR="00764E6F" w:rsidRPr="0053423A" w:rsidRDefault="00764E6F" w:rsidP="00A67858">
            <w:pPr>
              <w:spacing w:line="276" w:lineRule="auto"/>
              <w:jc w:val="both"/>
              <w:rPr>
                <w:b/>
                <w:lang w:val="hy-AM"/>
              </w:rPr>
            </w:pPr>
            <w:r w:rsidRPr="0053423A">
              <w:rPr>
                <w:b/>
                <w:lang w:val="hy-AM"/>
              </w:rPr>
              <w:t xml:space="preserve">   2. Միջոցառման իրականացումից ակնկալվող արդյունքը</w:t>
            </w:r>
          </w:p>
          <w:p w:rsidR="00764E6F" w:rsidRPr="0053423A" w:rsidRDefault="00764E6F" w:rsidP="00A67858">
            <w:pPr>
              <w:spacing w:line="276" w:lineRule="auto"/>
              <w:jc w:val="both"/>
              <w:rPr>
                <w:color w:val="000000"/>
                <w:shd w:val="clear" w:color="auto" w:fill="FFFFFF"/>
                <w:lang w:val="hy-AM"/>
              </w:rPr>
            </w:pPr>
            <w:r w:rsidRPr="0053423A">
              <w:rPr>
                <w:rFonts w:cs="Courier New"/>
                <w:lang w:val="hy-AM"/>
              </w:rPr>
              <w:t xml:space="preserve">  </w:t>
            </w:r>
            <w:r w:rsidRPr="0053423A">
              <w:rPr>
                <w:color w:val="000000"/>
                <w:shd w:val="clear" w:color="auto" w:fill="FFFFFF"/>
                <w:lang w:val="hy-AM"/>
              </w:rPr>
              <w:t>Հայաստանի Հանրապետությունում կառավարելի վարակիչ հիվանդություններով հիվանդացության նվազեցում, դրանց հետևանքով մահվան դեպքերի կանխարգելում և վարակիչ հիվանդությունների նկատմամբ բնակչության անընկալության ապահովում:</w:t>
            </w:r>
          </w:p>
          <w:p w:rsidR="00764E6F" w:rsidRPr="0053423A" w:rsidRDefault="00764E6F" w:rsidP="00A67858">
            <w:pPr>
              <w:spacing w:line="276" w:lineRule="auto"/>
              <w:jc w:val="both"/>
              <w:rPr>
                <w:b/>
                <w:color w:val="000000"/>
                <w:shd w:val="clear" w:color="auto" w:fill="FFFFFF"/>
                <w:lang w:val="hy-AM"/>
              </w:rPr>
            </w:pPr>
          </w:p>
          <w:p w:rsidR="00764E6F" w:rsidRPr="0053423A" w:rsidRDefault="008B3845" w:rsidP="00A67858">
            <w:pPr>
              <w:spacing w:line="276" w:lineRule="auto"/>
              <w:ind w:firstLine="375"/>
              <w:jc w:val="center"/>
              <w:rPr>
                <w:b/>
                <w:color w:val="000000"/>
                <w:shd w:val="clear" w:color="auto" w:fill="FFFFFF"/>
                <w:lang w:val="hy-AM"/>
              </w:rPr>
            </w:pPr>
            <w:r w:rsidRPr="0053423A">
              <w:rPr>
                <w:b/>
                <w:color w:val="000000"/>
                <w:shd w:val="clear" w:color="auto" w:fill="FFFFFF"/>
                <w:lang w:val="hy-AM"/>
              </w:rPr>
              <w:t>3</w:t>
            </w:r>
            <w:r w:rsidR="00764E6F" w:rsidRPr="0053423A">
              <w:rPr>
                <w:b/>
                <w:color w:val="000000"/>
                <w:shd w:val="clear" w:color="auto" w:fill="FFFFFF"/>
                <w:lang w:val="hy-AM"/>
              </w:rPr>
              <w:t>4.2 Մարդու սպառման համար նախատեսված խմելու ջրի որակի մասին հրահանգի պահանջների համաձայն ՀՀ առողջապահության նախարարի հրամանների լրամշակում և հաստատում</w:t>
            </w:r>
            <w:r w:rsidR="00764E6F" w:rsidRPr="0053423A">
              <w:rPr>
                <w:rFonts w:ascii="Calibri" w:hAnsi="Calibri" w:cs="Calibri"/>
                <w:b/>
                <w:color w:val="000000"/>
                <w:shd w:val="clear" w:color="auto" w:fill="FFFFFF"/>
                <w:lang w:val="hy-AM"/>
              </w:rPr>
              <w:t> </w:t>
            </w:r>
          </w:p>
          <w:p w:rsidR="00764E6F" w:rsidRPr="0053423A" w:rsidRDefault="00764E6F" w:rsidP="00A67858">
            <w:pPr>
              <w:spacing w:line="276" w:lineRule="auto"/>
              <w:ind w:firstLine="375"/>
              <w:jc w:val="center"/>
              <w:rPr>
                <w:b/>
                <w:lang w:val="hy-AM"/>
              </w:rPr>
            </w:pPr>
          </w:p>
          <w:p w:rsidR="00764E6F" w:rsidRPr="0053423A" w:rsidRDefault="00764E6F" w:rsidP="00A67858">
            <w:pPr>
              <w:spacing w:line="276" w:lineRule="auto"/>
              <w:jc w:val="both"/>
              <w:rPr>
                <w:b/>
                <w:lang w:val="hy-AM"/>
              </w:rPr>
            </w:pPr>
            <w:r w:rsidRPr="0053423A">
              <w:rPr>
                <w:b/>
                <w:lang w:val="hy-AM"/>
              </w:rPr>
              <w:t xml:space="preserve">   1. Միջոցառման իրակացման անհրաժեշտությունը և նպատակը </w:t>
            </w:r>
          </w:p>
          <w:p w:rsidR="00764E6F" w:rsidRPr="0053423A" w:rsidRDefault="00764E6F" w:rsidP="00A67858">
            <w:pPr>
              <w:spacing w:line="276" w:lineRule="auto"/>
              <w:jc w:val="both"/>
              <w:rPr>
                <w:bCs/>
                <w:lang w:val="hy-AM"/>
              </w:rPr>
            </w:pPr>
            <w:r w:rsidRPr="0053423A">
              <w:rPr>
                <w:bCs/>
                <w:lang w:val="hy-AM"/>
              </w:rPr>
              <w:t xml:space="preserve">   Հայաստանի Հանրապետության և Եվրոպական միության և Ատոմային էներգիայի եվրոպական համայնքի ու դրանց անդամ պետությունների միջև կնքված համապարփակ և ընդլայնված գործընկերության համաձայնագրի 5-րդ մասի 16-րդ «Առողջապահություն» գլխի 1-ին կետի կատարումն ապահովելու նպատակով, որի կատարումն պետք է ապահովի Հայաստանի Հանրապետության առողջապահության բնագավառում պետական կառավարման լիազոր մարմինը, համաձայն «Հայաստանի Հանրապետության բնակչության սանիտարահամաճարակային անվտանգության ապահովման մասին» ՀՀ օրենքի 6-րդ հոդվածի 1-ին մասի 3-րդ և 4-րդ կետերի:</w:t>
            </w:r>
          </w:p>
          <w:p w:rsidR="00764E6F" w:rsidRPr="0053423A" w:rsidRDefault="00764E6F" w:rsidP="00A67858">
            <w:pPr>
              <w:spacing w:line="276" w:lineRule="auto"/>
              <w:ind w:firstLine="375"/>
              <w:rPr>
                <w:lang w:val="af-ZA"/>
              </w:rPr>
            </w:pPr>
          </w:p>
          <w:p w:rsidR="00764E6F" w:rsidRPr="0053423A" w:rsidRDefault="00764E6F" w:rsidP="00A67858">
            <w:pPr>
              <w:spacing w:line="276" w:lineRule="auto"/>
              <w:contextualSpacing/>
              <w:jc w:val="both"/>
              <w:rPr>
                <w:b/>
                <w:lang w:val="hy-AM"/>
              </w:rPr>
            </w:pPr>
            <w:r w:rsidRPr="0053423A">
              <w:rPr>
                <w:b/>
                <w:lang w:val="af-ZA"/>
              </w:rPr>
              <w:t xml:space="preserve">   1.1. </w:t>
            </w:r>
            <w:r w:rsidRPr="0053423A">
              <w:rPr>
                <w:b/>
              </w:rPr>
              <w:t>Կ</w:t>
            </w:r>
            <w:r w:rsidRPr="0053423A">
              <w:rPr>
                <w:b/>
                <w:lang w:val="hy-AM"/>
              </w:rPr>
              <w:t xml:space="preserve">արգավորման հարաբերությունների ներկա վիճակը և առկա խնդիրները </w:t>
            </w:r>
          </w:p>
          <w:p w:rsidR="00764E6F" w:rsidRPr="0053423A" w:rsidRDefault="00764E6F" w:rsidP="00A67858">
            <w:pPr>
              <w:spacing w:line="276" w:lineRule="auto"/>
              <w:contextualSpacing/>
              <w:jc w:val="both"/>
              <w:rPr>
                <w:rFonts w:eastAsia="Calibri"/>
                <w:color w:val="000000"/>
                <w:shd w:val="clear" w:color="auto" w:fill="FFFFFF"/>
                <w:lang w:val="hy-AM"/>
              </w:rPr>
            </w:pPr>
            <w:r w:rsidRPr="0053423A">
              <w:rPr>
                <w:rFonts w:eastAsia="Calibri"/>
                <w:color w:val="000000"/>
                <w:shd w:val="clear" w:color="auto" w:fill="FFFFFF"/>
                <w:lang w:val="hy-AM"/>
              </w:rPr>
              <w:t xml:space="preserve">   Ներկայումս, խմելու ջրով պայմանավորված վարակիչ հիվանդությունների կանխարգելման նպատակով </w:t>
            </w:r>
            <w:r w:rsidRPr="0053423A">
              <w:rPr>
                <w:rFonts w:eastAsia="Calibri" w:cs="Sylfaen"/>
                <w:color w:val="000000"/>
                <w:shd w:val="clear" w:color="auto" w:fill="FFFFFF"/>
                <w:lang w:val="af-ZA"/>
              </w:rPr>
              <w:t>Հայաստանի</w:t>
            </w:r>
            <w:r w:rsidRPr="0053423A">
              <w:rPr>
                <w:rFonts w:eastAsia="Calibri"/>
                <w:color w:val="000000"/>
                <w:shd w:val="clear" w:color="auto" w:fill="FFFFFF"/>
                <w:lang w:val="af-ZA"/>
              </w:rPr>
              <w:t xml:space="preserve"> Հանրապետությունում </w:t>
            </w:r>
            <w:r w:rsidRPr="0053423A">
              <w:rPr>
                <w:rFonts w:eastAsia="Calibri"/>
                <w:color w:val="000000"/>
                <w:shd w:val="clear" w:color="auto" w:fill="FFFFFF"/>
                <w:lang w:val="hy-AM"/>
              </w:rPr>
              <w:t>գործում է ՀՀ առողջապահության նախարարի 2002 թվականի դեկտեմբերի 25-ի թիվ 876 և 2002 թվականի նոյեմբերի 29-ի թիվ 803 հրամանները, որոնցով սահմանված են խմելու ջրի որակին և մոնիտորինգի իրականացմանը ներկայացվող պահանջները, սակայն վերջիններով ամրագրված պահանջները ամբողջությամբ չեն համապատասխանում ԵՄ չափանիշներին:</w:t>
            </w:r>
          </w:p>
          <w:p w:rsidR="00764E6F" w:rsidRPr="0053423A" w:rsidRDefault="00764E6F" w:rsidP="00A67858">
            <w:pPr>
              <w:spacing w:line="276" w:lineRule="auto"/>
              <w:ind w:firstLine="375"/>
              <w:contextualSpacing/>
              <w:jc w:val="both"/>
              <w:rPr>
                <w:rFonts w:eastAsia="Calibri"/>
                <w:color w:val="000000"/>
                <w:shd w:val="clear" w:color="auto" w:fill="FFFFFF"/>
                <w:lang w:val="hy-AM"/>
              </w:rPr>
            </w:pPr>
          </w:p>
          <w:p w:rsidR="00764E6F" w:rsidRPr="0053423A" w:rsidRDefault="00764E6F" w:rsidP="00A67858">
            <w:pPr>
              <w:spacing w:line="276" w:lineRule="auto"/>
              <w:contextualSpacing/>
              <w:jc w:val="both"/>
              <w:rPr>
                <w:rFonts w:eastAsia="Calibri"/>
                <w:lang w:val="hy-AM"/>
              </w:rPr>
            </w:pPr>
            <w:r w:rsidRPr="0053423A">
              <w:rPr>
                <w:b/>
                <w:lang w:val="hy-AM"/>
              </w:rPr>
              <w:t xml:space="preserve">   1.2. Առկա խնդիրների առաջարկվող լուծումները</w:t>
            </w:r>
            <w:r w:rsidRPr="0053423A">
              <w:rPr>
                <w:lang w:val="hy-AM"/>
              </w:rPr>
              <w:t xml:space="preserve"> </w:t>
            </w:r>
          </w:p>
          <w:p w:rsidR="00764E6F" w:rsidRPr="0053423A" w:rsidRDefault="00764E6F" w:rsidP="00A67858">
            <w:pPr>
              <w:spacing w:line="276" w:lineRule="auto"/>
              <w:contextualSpacing/>
              <w:jc w:val="both"/>
              <w:rPr>
                <w:rFonts w:eastAsia="Calibri"/>
                <w:lang w:val="hy-AM"/>
              </w:rPr>
            </w:pPr>
            <w:r w:rsidRPr="0053423A">
              <w:rPr>
                <w:rFonts w:eastAsia="Calibri" w:cs="Sylfaen"/>
                <w:lang w:val="hy-AM"/>
              </w:rPr>
              <w:t xml:space="preserve">   Հայաստանի</w:t>
            </w:r>
            <w:r w:rsidRPr="0053423A">
              <w:rPr>
                <w:rFonts w:eastAsia="Calibri"/>
                <w:lang w:val="hy-AM"/>
              </w:rPr>
              <w:t xml:space="preserve"> Հանրապետությունում գործող ՀՀ առողջապահության նախարարի 2002 թվականի դեկտեմբերի 25-ի թիվ 876 հրամանի վերանայում, համապատասխանեցնելով 03.11.1998թ. N98/83 ԵՄ Մարդու կողմից օգտագործման ջրի որակի դիրեկտիվ պահանջներին:</w:t>
            </w:r>
          </w:p>
          <w:p w:rsidR="00764E6F" w:rsidRPr="0053423A" w:rsidRDefault="00764E6F" w:rsidP="00A67858">
            <w:pPr>
              <w:spacing w:line="276" w:lineRule="auto"/>
              <w:ind w:firstLine="375"/>
              <w:jc w:val="both"/>
              <w:rPr>
                <w:rFonts w:eastAsia="Calibri"/>
                <w:lang w:val="hy-AM"/>
              </w:rPr>
            </w:pPr>
            <w:r w:rsidRPr="0053423A">
              <w:rPr>
                <w:rFonts w:eastAsia="Calibri"/>
                <w:lang w:val="hy-AM"/>
              </w:rPr>
              <w:t xml:space="preserve">Միջոցառման համակատարողները մշակված նախագծի վերաբերյալ ներկայացնում են կարծիք, անհրաժեշտության դեպքում մասնակցում եմ նախագծի վերաբերյալ կազմակերպված քննարկումներին և տրամադրում մասնագիտական կարծիք: </w:t>
            </w:r>
          </w:p>
          <w:p w:rsidR="00764E6F" w:rsidRPr="0053423A" w:rsidRDefault="00764E6F" w:rsidP="00A67858">
            <w:pPr>
              <w:spacing w:line="276" w:lineRule="auto"/>
              <w:contextualSpacing/>
              <w:jc w:val="both"/>
              <w:rPr>
                <w:lang w:val="hy-AM"/>
              </w:rPr>
            </w:pPr>
          </w:p>
          <w:p w:rsidR="00764E6F" w:rsidRPr="0053423A" w:rsidRDefault="00764E6F" w:rsidP="00A67858">
            <w:pPr>
              <w:spacing w:line="276" w:lineRule="auto"/>
              <w:rPr>
                <w:b/>
                <w:lang w:val="hy-AM"/>
              </w:rPr>
            </w:pPr>
            <w:r w:rsidRPr="0053423A">
              <w:rPr>
                <w:b/>
                <w:lang w:val="hy-AM"/>
              </w:rPr>
              <w:t xml:space="preserve">   2. Միջոցառման իրականացումից ակնկալվող արդյունքը</w:t>
            </w:r>
          </w:p>
          <w:p w:rsidR="00764E6F" w:rsidRPr="0053423A" w:rsidRDefault="00764E6F" w:rsidP="00A67858">
            <w:pPr>
              <w:spacing w:line="276" w:lineRule="auto"/>
              <w:rPr>
                <w:color w:val="000000"/>
                <w:shd w:val="clear" w:color="auto" w:fill="FFFFFF"/>
                <w:lang w:val="hy-AM"/>
              </w:rPr>
            </w:pPr>
            <w:r w:rsidRPr="0053423A">
              <w:rPr>
                <w:rFonts w:cs="Courier New"/>
                <w:b/>
                <w:lang w:val="hy-AM"/>
              </w:rPr>
              <w:t xml:space="preserve">   </w:t>
            </w:r>
            <w:r w:rsidRPr="0053423A">
              <w:rPr>
                <w:color w:val="000000"/>
                <w:shd w:val="clear" w:color="auto" w:fill="FFFFFF"/>
                <w:lang w:val="af-ZA"/>
              </w:rPr>
              <w:t>Հայաստանի Հանրապետությունում Մարդու սպառման համար նախատեսված խմելու ջրի որակի</w:t>
            </w:r>
            <w:r w:rsidRPr="0053423A">
              <w:rPr>
                <w:color w:val="000000"/>
                <w:shd w:val="clear" w:color="auto" w:fill="FFFFFF"/>
                <w:lang w:val="hy-AM"/>
              </w:rPr>
              <w:t xml:space="preserve"> և դրա հսկողական մոնիտորինգի վերանայված պահանջներ՝ արդյունքում խմելու ջրով պայմանավորված վարակիչ հիվանդությունների կանխարգելում միջազգային մոտեցումներին համապատասխան:</w:t>
            </w:r>
          </w:p>
          <w:p w:rsidR="00764E6F" w:rsidRPr="0053423A" w:rsidRDefault="00764E6F" w:rsidP="00A67858">
            <w:pPr>
              <w:spacing w:line="276" w:lineRule="auto"/>
              <w:rPr>
                <w:lang w:val="hy-AM"/>
              </w:rPr>
            </w:pPr>
          </w:p>
          <w:p w:rsidR="00764E6F" w:rsidRPr="0053423A" w:rsidRDefault="00764E6F" w:rsidP="00A67858">
            <w:pPr>
              <w:spacing w:line="276" w:lineRule="auto"/>
              <w:jc w:val="both"/>
              <w:rPr>
                <w:color w:val="000000"/>
                <w:shd w:val="clear" w:color="auto" w:fill="FFFFFF"/>
                <w:lang w:val="hy-AM"/>
              </w:rPr>
            </w:pPr>
          </w:p>
          <w:p w:rsidR="00764E6F" w:rsidRPr="0053423A" w:rsidRDefault="00764E6F" w:rsidP="00A67858">
            <w:pPr>
              <w:spacing w:line="276" w:lineRule="auto"/>
              <w:jc w:val="center"/>
              <w:rPr>
                <w:b/>
                <w:lang w:val="hy-AM"/>
              </w:rPr>
            </w:pPr>
          </w:p>
        </w:tc>
      </w:tr>
      <w:tr w:rsidR="00764E6F" w:rsidRPr="00DE2EFA" w:rsidTr="009843B0">
        <w:tc>
          <w:tcPr>
            <w:tcW w:w="630" w:type="dxa"/>
          </w:tcPr>
          <w:p w:rsidR="00764E6F" w:rsidRPr="0053423A" w:rsidRDefault="008B3845" w:rsidP="00A67858">
            <w:pPr>
              <w:tabs>
                <w:tab w:val="left" w:pos="192"/>
              </w:tabs>
              <w:spacing w:line="276" w:lineRule="auto"/>
              <w:jc w:val="both"/>
            </w:pPr>
            <w:r w:rsidRPr="0053423A">
              <w:rPr>
                <w:lang w:val="hy-AM"/>
              </w:rPr>
              <w:t>3</w:t>
            </w:r>
            <w:r w:rsidR="00764E6F" w:rsidRPr="0053423A">
              <w:t>5</w:t>
            </w:r>
          </w:p>
        </w:tc>
        <w:tc>
          <w:tcPr>
            <w:tcW w:w="10878" w:type="dxa"/>
          </w:tcPr>
          <w:p w:rsidR="00764E6F" w:rsidRPr="0053423A" w:rsidRDefault="008B3845" w:rsidP="00A67858">
            <w:pPr>
              <w:spacing w:line="276" w:lineRule="auto"/>
              <w:jc w:val="center"/>
              <w:rPr>
                <w:b/>
                <w:lang w:val="hy-AM"/>
              </w:rPr>
            </w:pPr>
            <w:r w:rsidRPr="0053423A">
              <w:rPr>
                <w:lang w:val="hy-AM"/>
              </w:rPr>
              <w:t>3</w:t>
            </w:r>
            <w:r w:rsidR="00FF62F1" w:rsidRPr="0053423A">
              <w:rPr>
                <w:lang w:val="hy-AM"/>
              </w:rPr>
              <w:t xml:space="preserve">5.1 </w:t>
            </w:r>
            <w:r w:rsidR="00764E6F" w:rsidRPr="0053423A">
              <w:rPr>
                <w:lang w:val="hy-AM"/>
              </w:rPr>
              <w:t>«</w:t>
            </w:r>
            <w:r w:rsidR="00764E6F" w:rsidRPr="0053423A">
              <w:rPr>
                <w:b/>
                <w:lang w:val="hy-AM"/>
              </w:rPr>
              <w:t>ՀՀ առողջության առաջնային պահպանման օղակի բարեփոխումների միջոցառումների ծրագիրը հաստատելու մասին</w:t>
            </w:r>
            <w:r w:rsidR="00764E6F" w:rsidRPr="0053423A">
              <w:rPr>
                <w:lang w:val="hy-AM"/>
              </w:rPr>
              <w:t xml:space="preserve">» </w:t>
            </w:r>
            <w:r w:rsidR="00764E6F" w:rsidRPr="0053423A">
              <w:rPr>
                <w:b/>
                <w:lang w:val="hy-AM"/>
              </w:rPr>
              <w:t>Առողջապահության նախարարի հրամանի հաստատում</w:t>
            </w:r>
          </w:p>
          <w:p w:rsidR="00764E6F" w:rsidRPr="0053423A" w:rsidRDefault="00764E6F" w:rsidP="00A67858">
            <w:pPr>
              <w:spacing w:line="276" w:lineRule="auto"/>
              <w:jc w:val="center"/>
              <w:rPr>
                <w:rFonts w:cs="Sylfaen"/>
                <w:b/>
                <w:lang w:val="af-ZA"/>
              </w:rPr>
            </w:pPr>
          </w:p>
          <w:p w:rsidR="00764E6F" w:rsidRPr="0053423A" w:rsidRDefault="00764E6F" w:rsidP="00A67858">
            <w:pPr>
              <w:spacing w:line="276" w:lineRule="auto"/>
              <w:jc w:val="both"/>
              <w:rPr>
                <w:b/>
                <w:lang w:val="hy-AM"/>
              </w:rPr>
            </w:pPr>
            <w:r w:rsidRPr="0053423A">
              <w:rPr>
                <w:b/>
                <w:lang w:val="hy-AM"/>
              </w:rPr>
              <w:t xml:space="preserve">1. Միջոցառումների </w:t>
            </w:r>
            <w:r w:rsidRPr="0053423A">
              <w:rPr>
                <w:b/>
              </w:rPr>
              <w:t>իրականացման</w:t>
            </w:r>
            <w:r w:rsidRPr="0053423A">
              <w:rPr>
                <w:b/>
                <w:lang w:val="af-ZA"/>
              </w:rPr>
              <w:t xml:space="preserve"> </w:t>
            </w:r>
            <w:r w:rsidRPr="0053423A">
              <w:rPr>
                <w:b/>
                <w:lang w:val="hy-AM"/>
              </w:rPr>
              <w:t>անհրաժեշտությունը և նպատակը</w:t>
            </w:r>
          </w:p>
          <w:p w:rsidR="00764E6F" w:rsidRPr="0053423A" w:rsidRDefault="00764E6F" w:rsidP="00A67858">
            <w:pPr>
              <w:spacing w:line="276" w:lineRule="auto"/>
              <w:jc w:val="both"/>
              <w:rPr>
                <w:lang w:val="hy-AM"/>
              </w:rPr>
            </w:pPr>
            <w:r w:rsidRPr="0053423A">
              <w:rPr>
                <w:lang w:val="hy-AM"/>
              </w:rPr>
              <w:t>ՀՀ առողջության առաջնային պահպանման օղակի բարեփոխումների միջոցառումների ծրագիրը</w:t>
            </w:r>
            <w:r w:rsidRPr="0053423A">
              <w:rPr>
                <w:b/>
                <w:lang w:val="hy-AM"/>
              </w:rPr>
              <w:t xml:space="preserve"> </w:t>
            </w:r>
            <w:r w:rsidRPr="0053423A">
              <w:rPr>
                <w:lang w:val="hy-AM"/>
              </w:rPr>
              <w:t xml:space="preserve">նախատեսվում է ներդնել մարդակենտրոն, մրցունակ, արդյունավետ, անվտանգ, որակյալ   առողջապահական համակարգի  ստեղծման նպատակով: </w:t>
            </w:r>
          </w:p>
          <w:p w:rsidR="00764E6F" w:rsidRPr="0053423A" w:rsidRDefault="00764E6F" w:rsidP="00A67858">
            <w:pPr>
              <w:spacing w:line="276" w:lineRule="auto"/>
              <w:jc w:val="both"/>
              <w:rPr>
                <w:lang w:val="hy-AM"/>
              </w:rPr>
            </w:pPr>
            <w:r w:rsidRPr="0053423A">
              <w:rPr>
                <w:lang w:val="hy-AM"/>
              </w:rPr>
              <w:t>Սույն ծրագրի ընդունումը բխում է ՀՀ սահմանադրության 86 Հոդվածի 7-րդ կետի և կառավարության 2018 թվականի հունիսի 1-ի N 581-Ա որոշմամբ հաստատված Հայաստանի Հանրապետության կառավարության ծրագրի պահանջների կատարումն ապահովելու անհրաժեշտությամբ:</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1.1 Կարգավորման հարաբերությունների ներկա վիճակը և առկա խնդիրները</w:t>
            </w:r>
          </w:p>
          <w:p w:rsidR="00764E6F" w:rsidRPr="0053423A" w:rsidRDefault="00764E6F" w:rsidP="00A67858">
            <w:pPr>
              <w:spacing w:line="276" w:lineRule="auto"/>
              <w:jc w:val="both"/>
              <w:rPr>
                <w:lang w:val="hy-AM"/>
              </w:rPr>
            </w:pPr>
            <w:r w:rsidRPr="0053423A">
              <w:rPr>
                <w:lang w:val="hy-AM"/>
              </w:rPr>
              <w:t>Առողջության առաջնային պահպանման (ԱԱՊ) օղակում առկա են մի շարք լուծում պահանջող խնդիրներ, որոնք չեն նպաստում բնակչության առողջության ցուցանիշների բարելավմանը. չնայած այն հանգամանքին, որ դեռևս 2006թ.-ից ԱԱՊ օղակում մատուցվող հիմնական ծառայությունները անվճար են բնակչության համար, դրանց սպառումը դեռևս մնում է ոչ գոհացուցիչ մակարդակի վրա` կազմելով տարեկան մեկ բնակչի հաշվով շուրջ 4.3 հաճախում, ինչը շուրջ 2 անգամ ցածր է 1990թ., ինչպես նաև Եվրոմիության 27 երկրների ներկայիս ցուցանիշից, առանձնանում է ԱԱՊ համակարգի պասիվ դերակատարումը բնակչությանը ծառայություններ մատուցելու գործում և ակտիվ գործողությունների սահմանափակ լինելը, լուրջ մարտահրավեր են նաև ԱԱՊ օղակի բժիշկների ծերացումով պայմանավորված խնդիրները:</w:t>
            </w:r>
          </w:p>
          <w:p w:rsidR="00764E6F" w:rsidRPr="0053423A" w:rsidRDefault="00764E6F" w:rsidP="00A67858">
            <w:pPr>
              <w:spacing w:line="276" w:lineRule="auto"/>
              <w:jc w:val="both"/>
              <w:rPr>
                <w:lang w:val="hy-AM"/>
              </w:rPr>
            </w:pPr>
            <w:r w:rsidRPr="0053423A">
              <w:rPr>
                <w:lang w:val="hy-AM"/>
              </w:rPr>
              <w:t>Թեև առողջության առաջնային պահպանումը դիտարկվում է առողջապահության համակարգի գերակա ուղղություններից մեկը և որպես բարեփոխման իրականացման ճանապարհ է ընտրվել այլ երկրներում գործարկված ու առավել արդյունավետ ճանաչված ընտանեկան բժշկության ներդրումը, ներկայումս` բարեփոխումների սկզբից շուրջ 20 տարի անց, արձանագրվում է, որ չնայած այն բերել է զգալի առաջընթացի հանրապետության մարզերում (մասնավորապես գյուղական վայրերում), մեծ քաղաքներում և հատկապես, մայրաքաղաքում, այն դեռևս լիարժեք չէ:</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lang w:val="hy-AM"/>
              </w:rPr>
            </w:pPr>
            <w:r w:rsidRPr="0053423A">
              <w:rPr>
                <w:b/>
                <w:lang w:val="hy-AM"/>
              </w:rPr>
              <w:t>1.2 Առկա խնդիրների առաջարկվող լուծումները</w:t>
            </w:r>
          </w:p>
          <w:p w:rsidR="00764E6F" w:rsidRPr="0053423A" w:rsidRDefault="00764E6F" w:rsidP="00A67858">
            <w:pPr>
              <w:spacing w:line="276" w:lineRule="auto"/>
              <w:jc w:val="both"/>
              <w:rPr>
                <w:lang w:val="hy-AM"/>
              </w:rPr>
            </w:pPr>
            <w:r w:rsidRPr="0053423A">
              <w:rPr>
                <w:lang w:val="hy-AM"/>
              </w:rPr>
              <w:t>ՀՀ առողջության առաջնային պահպանման օղակի բարեփոխումների ծրագրի ներդրում.</w:t>
            </w:r>
          </w:p>
          <w:p w:rsidR="00764E6F" w:rsidRPr="0053423A" w:rsidRDefault="00764E6F" w:rsidP="00A67858">
            <w:pPr>
              <w:spacing w:line="276" w:lineRule="auto"/>
              <w:jc w:val="both"/>
              <w:rPr>
                <w:lang w:val="hy-AM"/>
              </w:rPr>
            </w:pPr>
            <w:r w:rsidRPr="0053423A">
              <w:rPr>
                <w:lang w:val="hy-AM"/>
              </w:rPr>
              <w:t>Բարեփոխումների իրագործումը նախատեսում է.</w:t>
            </w:r>
          </w:p>
          <w:p w:rsidR="00764E6F" w:rsidRPr="0053423A" w:rsidRDefault="00764E6F" w:rsidP="00A67858">
            <w:pPr>
              <w:spacing w:line="276" w:lineRule="auto"/>
              <w:jc w:val="both"/>
              <w:rPr>
                <w:lang w:val="hy-AM"/>
              </w:rPr>
            </w:pPr>
            <w:r w:rsidRPr="0053423A">
              <w:rPr>
                <w:lang w:val="hy-AM"/>
              </w:rPr>
              <w:sym w:font="GHEA Grapalat" w:char="F0D8"/>
            </w:r>
            <w:r w:rsidRPr="0053423A">
              <w:rPr>
                <w:lang w:val="hy-AM"/>
              </w:rPr>
              <w:tab/>
              <w:t xml:space="preserve">առաջնային օղակի մասնագետների պատասխանատվության բարձրացում` բնակչության առողջության պահպանման գործում, </w:t>
            </w:r>
          </w:p>
          <w:p w:rsidR="00764E6F" w:rsidRPr="0053423A" w:rsidRDefault="00764E6F" w:rsidP="00A67858">
            <w:pPr>
              <w:spacing w:line="276" w:lineRule="auto"/>
              <w:jc w:val="both"/>
              <w:rPr>
                <w:lang w:val="hy-AM"/>
              </w:rPr>
            </w:pPr>
            <w:r w:rsidRPr="0053423A">
              <w:rPr>
                <w:lang w:val="hy-AM"/>
              </w:rPr>
              <w:sym w:font="GHEA Grapalat" w:char="F0D8"/>
            </w:r>
            <w:r w:rsidRPr="0053423A">
              <w:rPr>
                <w:lang w:val="hy-AM"/>
              </w:rPr>
              <w:tab/>
              <w:t>ԱԱՊ բժշկի գործառույթների ուժեղացում,</w:t>
            </w:r>
          </w:p>
          <w:p w:rsidR="00764E6F" w:rsidRPr="0053423A" w:rsidRDefault="00764E6F" w:rsidP="00A67858">
            <w:pPr>
              <w:spacing w:line="276" w:lineRule="auto"/>
              <w:jc w:val="both"/>
              <w:rPr>
                <w:lang w:val="hy-AM"/>
              </w:rPr>
            </w:pPr>
            <w:r w:rsidRPr="0053423A">
              <w:rPr>
                <w:lang w:val="hy-AM"/>
              </w:rPr>
              <w:sym w:font="GHEA Grapalat" w:char="F0D8"/>
            </w:r>
            <w:r w:rsidRPr="0053423A">
              <w:rPr>
                <w:lang w:val="hy-AM"/>
              </w:rPr>
              <w:tab/>
              <w:t>բնակչության շրջանում առողջ ապրելակերպի խթանում,</w:t>
            </w:r>
          </w:p>
          <w:p w:rsidR="00764E6F" w:rsidRPr="0053423A" w:rsidRDefault="00764E6F" w:rsidP="00A67858">
            <w:pPr>
              <w:spacing w:line="276" w:lineRule="auto"/>
              <w:jc w:val="both"/>
              <w:rPr>
                <w:lang w:val="hy-AM"/>
              </w:rPr>
            </w:pPr>
            <w:r w:rsidRPr="0053423A">
              <w:rPr>
                <w:lang w:val="hy-AM"/>
              </w:rPr>
              <w:sym w:font="GHEA Grapalat" w:char="F0D8"/>
            </w:r>
            <w:r w:rsidRPr="0053423A">
              <w:rPr>
                <w:lang w:val="hy-AM"/>
              </w:rPr>
              <w:tab/>
              <w:t xml:space="preserve">մասնագիտացված բուժօգնությունից դեպի առաջնային բուժօգնություն անցում, </w:t>
            </w:r>
          </w:p>
          <w:p w:rsidR="00764E6F" w:rsidRPr="0053423A" w:rsidRDefault="00764E6F" w:rsidP="00A67858">
            <w:pPr>
              <w:spacing w:line="276" w:lineRule="auto"/>
              <w:jc w:val="both"/>
              <w:rPr>
                <w:lang w:val="hy-AM"/>
              </w:rPr>
            </w:pPr>
            <w:r w:rsidRPr="0053423A">
              <w:rPr>
                <w:lang w:val="hy-AM"/>
              </w:rPr>
              <w:sym w:font="GHEA Grapalat" w:char="F0D8"/>
            </w:r>
            <w:r w:rsidRPr="0053423A">
              <w:rPr>
                <w:lang w:val="hy-AM"/>
              </w:rPr>
              <w:tab/>
              <w:t xml:space="preserve">կանխարգելիչ բժշկության հզորացում (կանխարգելիչ միջոցառումների իրականացման նոր մոտեցումների և մեթոդաբանության ներդրում)` հենվելով միջազգային փորձի  վրա, </w:t>
            </w:r>
          </w:p>
          <w:p w:rsidR="00764E6F" w:rsidRPr="0053423A" w:rsidRDefault="00764E6F" w:rsidP="00A67858">
            <w:pPr>
              <w:spacing w:line="276" w:lineRule="auto"/>
              <w:jc w:val="both"/>
              <w:rPr>
                <w:lang w:val="hy-AM"/>
              </w:rPr>
            </w:pPr>
            <w:r w:rsidRPr="0053423A">
              <w:rPr>
                <w:lang w:val="hy-AM"/>
              </w:rPr>
              <w:sym w:font="GHEA Grapalat" w:char="F0D8"/>
            </w:r>
            <w:r w:rsidRPr="0053423A">
              <w:rPr>
                <w:lang w:val="hy-AM"/>
              </w:rPr>
              <w:tab/>
              <w:t>հիվանդանոցային դեպքերի թվի նվազեցում,</w:t>
            </w:r>
          </w:p>
          <w:p w:rsidR="00764E6F" w:rsidRPr="0053423A" w:rsidRDefault="00764E6F" w:rsidP="00A67858">
            <w:pPr>
              <w:spacing w:line="276" w:lineRule="auto"/>
              <w:jc w:val="both"/>
              <w:rPr>
                <w:lang w:val="hy-AM"/>
              </w:rPr>
            </w:pPr>
            <w:r w:rsidRPr="0053423A">
              <w:rPr>
                <w:lang w:val="hy-AM"/>
              </w:rPr>
              <w:sym w:font="GHEA Grapalat" w:char="F0D8"/>
            </w:r>
            <w:r w:rsidRPr="0053423A">
              <w:rPr>
                <w:lang w:val="hy-AM"/>
              </w:rPr>
              <w:tab/>
              <w:t>ԱԱՊ օղակում մատուցվող բժշկական ծառայությունների որակի վերահսկման նոր համակարգի ներդրում,</w:t>
            </w:r>
          </w:p>
          <w:p w:rsidR="00764E6F" w:rsidRPr="0053423A" w:rsidRDefault="00764E6F" w:rsidP="00A67858">
            <w:pPr>
              <w:spacing w:line="276" w:lineRule="auto"/>
              <w:jc w:val="both"/>
              <w:rPr>
                <w:lang w:val="hy-AM"/>
              </w:rPr>
            </w:pPr>
            <w:r w:rsidRPr="0053423A">
              <w:rPr>
                <w:lang w:val="hy-AM"/>
              </w:rPr>
              <w:sym w:font="GHEA Grapalat" w:char="F0D8"/>
            </w:r>
            <w:r w:rsidRPr="0053423A">
              <w:rPr>
                <w:lang w:val="hy-AM"/>
              </w:rPr>
              <w:tab/>
              <w:t>ԱԱՊ ծառայությունների հասանելիություն (աշխարհագրական դիրքը),</w:t>
            </w:r>
          </w:p>
          <w:p w:rsidR="00764E6F" w:rsidRPr="0053423A" w:rsidRDefault="00764E6F" w:rsidP="00A67858">
            <w:pPr>
              <w:spacing w:line="276" w:lineRule="auto"/>
              <w:jc w:val="both"/>
              <w:rPr>
                <w:lang w:val="hy-AM"/>
              </w:rPr>
            </w:pPr>
            <w:r w:rsidRPr="0053423A">
              <w:rPr>
                <w:lang w:val="hy-AM"/>
              </w:rPr>
              <w:sym w:font="GHEA Grapalat" w:char="F0D8"/>
            </w:r>
            <w:r w:rsidRPr="0053423A">
              <w:rPr>
                <w:lang w:val="hy-AM"/>
              </w:rPr>
              <w:tab/>
              <w:t>պացիենտի կողմից բժշկի ազատ ընտրության  սկզբունքի ապահովում,</w:t>
            </w:r>
          </w:p>
          <w:p w:rsidR="00764E6F" w:rsidRPr="0053423A" w:rsidRDefault="00764E6F" w:rsidP="00A67858">
            <w:pPr>
              <w:spacing w:line="276" w:lineRule="auto"/>
              <w:jc w:val="both"/>
              <w:rPr>
                <w:lang w:val="hy-AM"/>
              </w:rPr>
            </w:pPr>
            <w:r w:rsidRPr="0053423A">
              <w:rPr>
                <w:lang w:val="hy-AM"/>
              </w:rPr>
              <w:sym w:font="GHEA Grapalat" w:char="F0D8"/>
            </w:r>
            <w:r w:rsidRPr="0053423A">
              <w:rPr>
                <w:lang w:val="hy-AM"/>
              </w:rPr>
              <w:tab/>
              <w:t>գործող նորմատիվների վերանայում:</w:t>
            </w:r>
          </w:p>
          <w:p w:rsidR="00764E6F" w:rsidRPr="0053423A" w:rsidRDefault="00764E6F" w:rsidP="00A67858">
            <w:pPr>
              <w:spacing w:line="276" w:lineRule="auto"/>
              <w:jc w:val="both"/>
              <w:rPr>
                <w:lang w:val="hy-AM"/>
              </w:rPr>
            </w:pPr>
            <w:r w:rsidRPr="0053423A">
              <w:rPr>
                <w:lang w:val="hy-AM"/>
              </w:rPr>
              <w:t>Առաջարկվում է քաղաքային վայրերում զարգացնել ընտանեկան բժշկության ինստիտուտը, բարելավել առողջության առաջնային պահպանման օղակում մատուցվող բժշկական ծառայությունների որակը, նվազեցնել հիվանդանոցային դեպքերի թիվը:</w:t>
            </w:r>
          </w:p>
          <w:p w:rsidR="00764E6F" w:rsidRPr="0053423A" w:rsidRDefault="00764E6F" w:rsidP="00A67858">
            <w:pPr>
              <w:spacing w:line="276" w:lineRule="auto"/>
              <w:jc w:val="both"/>
              <w:rPr>
                <w:lang w:val="hy-AM"/>
              </w:rPr>
            </w:pPr>
          </w:p>
          <w:p w:rsidR="00764E6F" w:rsidRPr="0053423A" w:rsidRDefault="00764E6F" w:rsidP="00A67858">
            <w:pPr>
              <w:spacing w:line="276" w:lineRule="auto"/>
              <w:jc w:val="both"/>
              <w:rPr>
                <w:b/>
                <w:color w:val="FF0000"/>
                <w:lang w:val="hy-AM"/>
              </w:rPr>
            </w:pPr>
            <w:r w:rsidRPr="0053423A">
              <w:rPr>
                <w:b/>
                <w:color w:val="000000"/>
                <w:lang w:val="hy-AM"/>
              </w:rPr>
              <w:t>2.</w:t>
            </w:r>
            <w:r w:rsidRPr="0053423A">
              <w:rPr>
                <w:b/>
                <w:color w:val="FF0000"/>
                <w:lang w:val="hy-AM"/>
              </w:rPr>
              <w:t xml:space="preserve"> </w:t>
            </w:r>
            <w:r w:rsidRPr="0053423A">
              <w:rPr>
                <w:b/>
                <w:color w:val="000000"/>
                <w:lang w:val="hy-AM"/>
              </w:rPr>
              <w:t>Միջոցառումների իրականացումից ակնկալվող արդյունքը</w:t>
            </w:r>
          </w:p>
          <w:p w:rsidR="00764E6F" w:rsidRPr="0053423A" w:rsidRDefault="00764E6F" w:rsidP="00A67858">
            <w:pPr>
              <w:spacing w:line="276" w:lineRule="auto"/>
              <w:jc w:val="both"/>
              <w:rPr>
                <w:lang w:val="hy-AM"/>
              </w:rPr>
            </w:pPr>
            <w:r w:rsidRPr="0053423A">
              <w:rPr>
                <w:lang w:val="hy-AM"/>
              </w:rPr>
              <w:t xml:space="preserve">   ՀՀ առողջության առաջնային պահպանման օղակի բարեփոխումների միջոցառումների ծրագրի ներդրման արդյունքում համապատասխան իրավական ակտերի ընդունումով կսահմանվեն բարեփոխումների ուղիները, առողջության առաջնային պահպանման օղակում վերհանված խնդիրների առաջարկվող լուծումները, առաջարկվող քաղաքականության հիմնական դրույթները:</w:t>
            </w:r>
          </w:p>
          <w:p w:rsidR="00764E6F" w:rsidRPr="0053423A" w:rsidRDefault="00764E6F" w:rsidP="00A67858">
            <w:pPr>
              <w:spacing w:line="276" w:lineRule="auto"/>
              <w:jc w:val="both"/>
              <w:rPr>
                <w:b/>
                <w:color w:val="000000"/>
                <w:shd w:val="clear" w:color="auto" w:fill="FFFFFF"/>
                <w:lang w:val="hy-AM"/>
              </w:rPr>
            </w:pPr>
            <w:r w:rsidRPr="0053423A">
              <w:rPr>
                <w:lang w:val="hy-AM"/>
              </w:rPr>
              <w:t xml:space="preserve">   Կանխատեսվում է, որ միջոցառումների իրականացման արդյունքում 5 տարի անց ԱԱՊ օղակում հիվանդանոցային, ինչպես նաև շտապ և անհետաձգելի բուժօգնության դեպքերի թիվը կնվազի 10%-ով, ԱԱՊ այցելությունների կառուցվածքում աշխատանքային տարիքի անձանց այցերի տեսակարար կշիռը կավելանա 20%-ով, մեկ բնակչին բաժին ընկնող ԱԱՊ այցերի թիվը կբարելավվի մինչև 6 այց/տարեկան:</w:t>
            </w:r>
          </w:p>
        </w:tc>
      </w:tr>
    </w:tbl>
    <w:p w:rsidR="00365399" w:rsidRPr="001F6D5D" w:rsidRDefault="00365399">
      <w:pPr>
        <w:rPr>
          <w:sz w:val="20"/>
          <w:szCs w:val="20"/>
          <w:lang w:val="hy-AM"/>
        </w:rPr>
      </w:pPr>
    </w:p>
    <w:tbl>
      <w:tblPr>
        <w:tblStyle w:val="TableGrid"/>
        <w:tblW w:w="11520" w:type="dxa"/>
        <w:tblInd w:w="198" w:type="dxa"/>
        <w:tblLook w:val="04A0" w:firstRow="1" w:lastRow="0" w:firstColumn="1" w:lastColumn="0" w:noHBand="0" w:noVBand="1"/>
      </w:tblPr>
      <w:tblGrid>
        <w:gridCol w:w="11520"/>
      </w:tblGrid>
      <w:tr w:rsidR="00365399" w:rsidRPr="0053423A" w:rsidTr="00365399">
        <w:tc>
          <w:tcPr>
            <w:tcW w:w="11520" w:type="dxa"/>
            <w:shd w:val="clear" w:color="auto" w:fill="FFFF00"/>
          </w:tcPr>
          <w:p w:rsidR="00365399" w:rsidRPr="0053423A" w:rsidRDefault="00365399" w:rsidP="00A67858">
            <w:pPr>
              <w:spacing w:line="276" w:lineRule="auto"/>
              <w:jc w:val="center"/>
              <w:rPr>
                <w:b/>
                <w:lang w:val="hy-AM"/>
              </w:rPr>
            </w:pPr>
            <w:r w:rsidRPr="0053423A">
              <w:rPr>
                <w:b/>
                <w:lang w:val="hy-AM"/>
              </w:rPr>
              <w:t>Արդարադատության նախարարություն</w:t>
            </w:r>
          </w:p>
        </w:tc>
      </w:tr>
    </w:tbl>
    <w:tbl>
      <w:tblPr>
        <w:tblStyle w:val="TableGrid10"/>
        <w:tblW w:w="11508" w:type="dxa"/>
        <w:tblInd w:w="198" w:type="dxa"/>
        <w:tblLook w:val="04A0" w:firstRow="1" w:lastRow="0" w:firstColumn="1" w:lastColumn="0" w:noHBand="0" w:noVBand="1"/>
      </w:tblPr>
      <w:tblGrid>
        <w:gridCol w:w="630"/>
        <w:gridCol w:w="10878"/>
      </w:tblGrid>
      <w:tr w:rsidR="001F6D5D" w:rsidRPr="00F619A4"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36</w:t>
            </w:r>
          </w:p>
        </w:tc>
        <w:tc>
          <w:tcPr>
            <w:tcW w:w="10878" w:type="dxa"/>
          </w:tcPr>
          <w:p w:rsidR="001F6D5D" w:rsidRPr="00F619A4" w:rsidRDefault="001F6D5D" w:rsidP="00277183">
            <w:pPr>
              <w:ind w:left="-33" w:firstLine="33"/>
              <w:jc w:val="center"/>
              <w:rPr>
                <w:rFonts w:cs="Sylfaen"/>
                <w:b/>
                <w:u w:val="single"/>
              </w:rPr>
            </w:pPr>
            <w:r w:rsidRPr="00F619A4">
              <w:rPr>
                <w:rFonts w:cs="Sylfaen"/>
                <w:b/>
                <w:u w:val="single"/>
                <w:lang w:val="hy-AM"/>
              </w:rPr>
              <w:t>ՎՃՌԱԲԵԿ ԴԱՏԱՐԱՆԻ ՎԱՐՉԱ</w:t>
            </w:r>
            <w:r w:rsidRPr="00F619A4">
              <w:rPr>
                <w:rFonts w:cs="Sylfaen"/>
                <w:b/>
                <w:u w:val="single"/>
              </w:rPr>
              <w:softHyphen/>
            </w:r>
            <w:r w:rsidRPr="00F619A4">
              <w:rPr>
                <w:rFonts w:cs="Sylfaen"/>
                <w:b/>
                <w:u w:val="single"/>
                <w:lang w:val="hy-AM"/>
              </w:rPr>
              <w:t>ԿԱՆ ՊԱԼԱՏԻ ՍՏԵՂԾՈՒՄ</w:t>
            </w:r>
          </w:p>
          <w:p w:rsidR="001F6D5D" w:rsidRPr="00F619A4" w:rsidRDefault="001F6D5D" w:rsidP="001F6D5D">
            <w:pPr>
              <w:pStyle w:val="ListParagraph"/>
              <w:numPr>
                <w:ilvl w:val="0"/>
                <w:numId w:val="505"/>
              </w:numPr>
              <w:autoSpaceDE w:val="0"/>
              <w:autoSpaceDN w:val="0"/>
              <w:adjustRightInd w:val="0"/>
              <w:spacing w:line="276" w:lineRule="auto"/>
              <w:jc w:val="both"/>
              <w:rPr>
                <w:rFonts w:cs="GHEA Mariam"/>
                <w:b/>
                <w:bCs/>
                <w:lang w:val="hy-AM"/>
              </w:rPr>
            </w:pPr>
            <w:r w:rsidRPr="00F619A4">
              <w:rPr>
                <w:rFonts w:eastAsia="GHEAMariam-Bold" w:cs="GHEAMariam-Bold"/>
                <w:b/>
                <w:bCs/>
                <w:lang w:val="hy-AM"/>
              </w:rPr>
              <w:t>Միջոցառման իրականացման անհրաժեշտությունը և նպատակը</w:t>
            </w:r>
          </w:p>
          <w:p w:rsidR="001F6D5D" w:rsidRPr="00F619A4" w:rsidRDefault="001F6D5D" w:rsidP="00277183">
            <w:pPr>
              <w:jc w:val="both"/>
              <w:rPr>
                <w:lang w:val="hy-AM"/>
              </w:rPr>
            </w:pPr>
            <w:r w:rsidRPr="00F619A4">
              <w:rPr>
                <w:lang w:val="hy-AM"/>
              </w:rPr>
              <w:t>Վճռաբեկ դատարանի մասնագիտացված՝ վարչական պալատի ստեղծման անհրաժեշտությունը պայմավորված է  մասնագիտացված արդարադատության իրականացման արդյունավետության երաշխավորմամբ, ինչը կհանգեցնի նաև գործերի արագ քննության:</w:t>
            </w:r>
          </w:p>
          <w:p w:rsidR="001F6D5D" w:rsidRPr="00F619A4" w:rsidRDefault="001F6D5D" w:rsidP="00277183">
            <w:pPr>
              <w:autoSpaceDE w:val="0"/>
              <w:autoSpaceDN w:val="0"/>
              <w:adjustRightInd w:val="0"/>
              <w:ind w:left="-33" w:firstLine="33"/>
              <w:jc w:val="both"/>
              <w:rPr>
                <w:rFonts w:eastAsia="GHEAMariam-Bold" w:cs="GHEAMariam-Bold"/>
                <w:b/>
                <w:bCs/>
                <w:lang w:val="hy-AM"/>
              </w:rPr>
            </w:pPr>
            <w:r w:rsidRPr="00F619A4">
              <w:rPr>
                <w:rFonts w:cs="GHEA Mariam"/>
                <w:b/>
                <w:bCs/>
                <w:lang w:val="hy-AM"/>
              </w:rPr>
              <w:t xml:space="preserve"> 1.1 </w:t>
            </w:r>
            <w:r w:rsidRPr="00F619A4">
              <w:rPr>
                <w:rFonts w:eastAsia="GHEAMariam-Bold" w:cs="GHEAMariam-Bold"/>
                <w:b/>
                <w:bCs/>
                <w:lang w:val="hy-AM"/>
              </w:rPr>
              <w:t>Կարգավորման հարաբերությունների ներկա վիճակը և առկա խնդիրները</w:t>
            </w:r>
          </w:p>
          <w:p w:rsidR="001F6D5D" w:rsidRPr="00F619A4" w:rsidRDefault="001F6D5D" w:rsidP="00277183">
            <w:pPr>
              <w:jc w:val="both"/>
              <w:rPr>
                <w:shd w:val="clear" w:color="auto" w:fill="FFFFFF"/>
                <w:lang w:val="hy-AM"/>
              </w:rPr>
            </w:pPr>
            <w:r w:rsidRPr="00F619A4">
              <w:rPr>
                <w:rFonts w:cs="TimesNewRoman"/>
                <w:lang w:val="hy-AM"/>
              </w:rPr>
              <w:t xml:space="preserve">Հայաստանի Հանրապետության Սահմանադրությամբ ամրագրվեց վարչական դատարանը՝ որպես մասնագիտացված դատարան՝ այդպիսով ստեղծելով երաշխիքներ </w:t>
            </w:r>
            <w:r w:rsidRPr="00F619A4">
              <w:rPr>
                <w:shd w:val="clear" w:color="auto" w:fill="FFFFFF"/>
                <w:lang w:val="hy-AM"/>
              </w:rPr>
              <w:t xml:space="preserve">տվյալ ոլորտում դատական պաշտպանության իրավունքի իրացման արդյունավետությունը և լիարժեքությունը` արդարադատության այդ տեսակին բնորոշ առանձնահատկությունների հաշվառմամբ ապահովելու համար: Այդուհանդերձ, վարչական արդարադատության ոլորտում ապահովված չէ մասնագիտացված պալատի կողմից վերաքննիչ դատարանի դատական ակտերի վերանայումը, քանի որ այդ լիազորությունը վերապահված է Վճռաբեկ դատարանի քաղաքացիական և վարչական պալատին: </w:t>
            </w:r>
          </w:p>
          <w:p w:rsidR="001F6D5D" w:rsidRPr="00F619A4" w:rsidRDefault="001F6D5D" w:rsidP="00277183">
            <w:pPr>
              <w:pStyle w:val="NormalWeb"/>
              <w:shd w:val="clear" w:color="auto" w:fill="FFFFFF"/>
              <w:tabs>
                <w:tab w:val="left" w:pos="0"/>
                <w:tab w:val="left" w:pos="1080"/>
              </w:tabs>
              <w:spacing w:before="0" w:beforeAutospacing="0" w:after="0" w:afterAutospacing="0" w:line="276" w:lineRule="auto"/>
              <w:ind w:firstLine="162"/>
              <w:jc w:val="both"/>
              <w:rPr>
                <w:rFonts w:ascii="GHEA Grapalat" w:hAnsi="GHEA Grapalat" w:cs="TimesNewRoman"/>
                <w:sz w:val="20"/>
                <w:szCs w:val="20"/>
                <w:lang w:val="hy-AM"/>
              </w:rPr>
            </w:pPr>
            <w:r w:rsidRPr="00F619A4">
              <w:rPr>
                <w:rFonts w:ascii="GHEA Grapalat" w:hAnsi="GHEA Grapalat" w:cs="TimesNewRoman"/>
                <w:sz w:val="20"/>
                <w:szCs w:val="20"/>
                <w:lang w:val="hy-AM"/>
              </w:rPr>
              <w:t>Պետք է նկատել, որ Վճռաբեկ դատարանի քաղաքացիական և վարչական պալատի դատավորների վերաբերյալ դատական իշխանության պաշտոնական կայքում հրապարակված տվյալների ուսումնասիրությունից պարզ է դառնում, որ պալատի 11 դատավորներից միայն 5-ը ունի վարչական մասնագիտացում, որի ներքո դիտարկվուն է նաև տնտեսական դատարանում դատավորի փորձառությունը, քանի որ տնտեսական դատարանը Հայաստանի Հանրապետության 1998 թվականի հունիսի 17-ի քաղաքացիական դատավարության օրենսգրքի 16-րդ հոդվածի 2-րդ մասի ուժով իրավասու էր քննել հանրային իրավահարաբերություններից բխող գործեր: Արդյունքում ստացվում է, որ վարչական գործերով Վճռաբեկ դատարանի որոշումների կայացման հարցում որոշիչ դեր ունեն քաղաքացիական մասնագիտացում ունեցող դատավորները:</w:t>
            </w:r>
          </w:p>
          <w:p w:rsidR="001F6D5D" w:rsidRPr="00F619A4" w:rsidRDefault="001F6D5D" w:rsidP="00277183">
            <w:pPr>
              <w:pStyle w:val="NormalWeb"/>
              <w:shd w:val="clear" w:color="auto" w:fill="FFFFFF"/>
              <w:tabs>
                <w:tab w:val="left" w:pos="0"/>
                <w:tab w:val="left" w:pos="1080"/>
              </w:tabs>
              <w:spacing w:before="0" w:beforeAutospacing="0" w:after="0" w:afterAutospacing="0" w:line="276" w:lineRule="auto"/>
              <w:ind w:firstLine="162"/>
              <w:jc w:val="both"/>
              <w:rPr>
                <w:rFonts w:ascii="GHEA Grapalat" w:hAnsi="GHEA Grapalat"/>
                <w:color w:val="000000"/>
                <w:sz w:val="20"/>
                <w:szCs w:val="20"/>
                <w:shd w:val="clear" w:color="auto" w:fill="FFFFFF"/>
                <w:lang w:val="hy-AM"/>
              </w:rPr>
            </w:pPr>
            <w:r w:rsidRPr="00F619A4">
              <w:rPr>
                <w:rFonts w:ascii="GHEA Grapalat" w:hAnsi="GHEA Grapalat"/>
                <w:color w:val="000000"/>
                <w:sz w:val="20"/>
                <w:szCs w:val="20"/>
                <w:shd w:val="clear" w:color="auto" w:fill="FFFFFF"/>
                <w:lang w:val="hy-AM"/>
              </w:rPr>
              <w:t>Բացի այդ, Վճռաբեկ դատարանում դատավոր նշանակվելու համար առաջխաղացման ենթակա դատավորների թեկնածուների ցուցակում</w:t>
            </w:r>
            <w:r w:rsidRPr="00F619A4">
              <w:rPr>
                <w:rFonts w:ascii="Arial" w:hAnsi="Arial" w:cs="Arial"/>
                <w:color w:val="000000"/>
                <w:sz w:val="20"/>
                <w:szCs w:val="20"/>
                <w:shd w:val="clear" w:color="auto" w:fill="FFFFFF"/>
                <w:lang w:val="hy-AM"/>
              </w:rPr>
              <w:t> </w:t>
            </w:r>
            <w:r w:rsidRPr="00F619A4">
              <w:rPr>
                <w:rFonts w:ascii="GHEA Grapalat" w:hAnsi="GHEA Grapalat" w:cs="Arial"/>
                <w:color w:val="000000"/>
                <w:sz w:val="20"/>
                <w:szCs w:val="20"/>
                <w:shd w:val="clear" w:color="auto" w:fill="FFFFFF"/>
                <w:lang w:val="hy-AM"/>
              </w:rPr>
              <w:t xml:space="preserve">ընդգրկվելու համար պահանջվում է համապատասխան մասնագիտացում՝ քաղաքացիական, վարչական կամ քրեական, ինչը ենթադրում է, որ Վճռաբեկ դատարանում դատավոր է նշանակվում այս մասնագիտացումներից որևէ մեկն ունեցող դատավորը, սակայն Վճռաբեկ դատարանի քաղաքացիական և վարչական պալատում նշանակված դատավորը պետք է ունենա 2 մասնագիտացում: Ըստ այդմ, </w:t>
            </w:r>
            <w:r w:rsidRPr="00F619A4">
              <w:rPr>
                <w:rFonts w:ascii="GHEA Grapalat" w:hAnsi="GHEA Grapalat" w:cs="TimesNewRoman"/>
                <w:sz w:val="20"/>
                <w:szCs w:val="20"/>
                <w:lang w:val="hy-AM"/>
              </w:rPr>
              <w:t xml:space="preserve">Հայաստանի Հանրապետության դատական օրենսգիրք սահմանադրական օրենքի 30-րդ հոդվածում իրավական ֆիկցիայի միջոցով փորձ է արվել հաղթահարել նշված իրավիճակը՝ սահմանելով, </w:t>
            </w:r>
            <w:r w:rsidRPr="00F619A4">
              <w:rPr>
                <w:rFonts w:ascii="GHEA Grapalat" w:hAnsi="GHEA Grapalat"/>
                <w:color w:val="000000"/>
                <w:sz w:val="20"/>
                <w:szCs w:val="20"/>
                <w:shd w:val="clear" w:color="auto" w:fill="FFFFFF"/>
                <w:lang w:val="hy-AM"/>
              </w:rPr>
              <w:t xml:space="preserve">որ </w:t>
            </w:r>
            <w:r w:rsidRPr="00F619A4">
              <w:rPr>
                <w:rFonts w:ascii="GHEA Grapalat" w:hAnsi="GHEA Grapalat" w:cs="TimesNewRoman"/>
                <w:sz w:val="20"/>
                <w:szCs w:val="20"/>
                <w:lang w:val="hy-AM"/>
              </w:rPr>
              <w:t xml:space="preserve">Վճռաբեկ դատարանի քաղաքացիական և վարչական պալատի դատավորները </w:t>
            </w:r>
            <w:r w:rsidRPr="00F619A4">
              <w:rPr>
                <w:rFonts w:ascii="GHEA Grapalat" w:hAnsi="GHEA Grapalat"/>
                <w:color w:val="000000"/>
                <w:sz w:val="20"/>
                <w:szCs w:val="20"/>
                <w:shd w:val="clear" w:color="auto" w:fill="FFFFFF"/>
                <w:lang w:val="hy-AM"/>
              </w:rPr>
              <w:t>համարվում են միաժամանակ քաղաքացիական և վարչական մասնագիտացումներ ունեցող:</w:t>
            </w:r>
          </w:p>
          <w:p w:rsidR="001F6D5D" w:rsidRPr="00F619A4" w:rsidRDefault="001F6D5D" w:rsidP="00277183">
            <w:pPr>
              <w:autoSpaceDE w:val="0"/>
              <w:autoSpaceDN w:val="0"/>
              <w:adjustRightInd w:val="0"/>
              <w:ind w:left="-33" w:firstLine="33"/>
              <w:jc w:val="both"/>
              <w:rPr>
                <w:rFonts w:eastAsia="GHEAMariam-Bold" w:cs="GHEAMariam-Bold"/>
                <w:b/>
                <w:bCs/>
                <w:lang w:val="hy-AM"/>
              </w:rPr>
            </w:pPr>
            <w:r w:rsidRPr="00F619A4">
              <w:rPr>
                <w:rFonts w:eastAsia="GHEAMariam-Bold" w:cs="GHEAMariam-Bold"/>
                <w:b/>
                <w:bCs/>
                <w:lang w:val="hy-AM"/>
              </w:rPr>
              <w:t>1.2 Առկա խնդիրների առաջարկվող լուծումները</w:t>
            </w:r>
          </w:p>
          <w:p w:rsidR="001F6D5D" w:rsidRPr="00F619A4" w:rsidRDefault="001F6D5D" w:rsidP="00277183">
            <w:pPr>
              <w:tabs>
                <w:tab w:val="left" w:pos="720"/>
                <w:tab w:val="left" w:pos="990"/>
              </w:tabs>
              <w:suppressAutoHyphens/>
              <w:autoSpaceDN w:val="0"/>
              <w:jc w:val="both"/>
              <w:textAlignment w:val="baseline"/>
              <w:rPr>
                <w:lang w:val="hy-AM"/>
              </w:rPr>
            </w:pPr>
            <w:r w:rsidRPr="00F619A4">
              <w:rPr>
                <w:rFonts w:cs="Sylfaen"/>
                <w:lang w:val="hy-AM"/>
              </w:rPr>
              <w:t>Առաջարկվում</w:t>
            </w:r>
            <w:r w:rsidRPr="00F619A4">
              <w:rPr>
                <w:lang w:val="hy-AM"/>
              </w:rPr>
              <w:t xml:space="preserve"> է Վճռաբեկ դատարանի քաղաքացիական և վարչական պալատի հիման վրա ստեղծել երկու ինքնուրույն, առանձին մասնագիտացումներ ունեցող պալատներ, </w:t>
            </w:r>
            <w:r w:rsidRPr="00F619A4">
              <w:rPr>
                <w:rFonts w:cs="Sylfaen"/>
                <w:lang w:val="hy-AM"/>
              </w:rPr>
              <w:t xml:space="preserve">կարգավորել </w:t>
            </w:r>
            <w:r w:rsidRPr="00F619A4">
              <w:rPr>
                <w:lang w:val="hy-AM"/>
              </w:rPr>
              <w:t>Վճռաբեկ դատարանի քաղաքացիական և վարչական պալատների կազմավորման և բնականոն գործունեության մեկնարկի հետ կապված հարցեր:</w:t>
            </w:r>
          </w:p>
          <w:p w:rsidR="001F6D5D" w:rsidRPr="00F619A4" w:rsidRDefault="001F6D5D" w:rsidP="001F6D5D">
            <w:pPr>
              <w:pStyle w:val="ListParagraph"/>
              <w:numPr>
                <w:ilvl w:val="0"/>
                <w:numId w:val="505"/>
              </w:numPr>
              <w:tabs>
                <w:tab w:val="left" w:pos="252"/>
              </w:tabs>
              <w:autoSpaceDE w:val="0"/>
              <w:autoSpaceDN w:val="0"/>
              <w:adjustRightInd w:val="0"/>
              <w:spacing w:line="276" w:lineRule="auto"/>
              <w:ind w:hanging="720"/>
              <w:jc w:val="both"/>
              <w:rPr>
                <w:rFonts w:eastAsia="GHEAMariam-Bold" w:cs="GHEAMariam-Bold"/>
                <w:b/>
                <w:bCs/>
                <w:lang w:val="hy-AM"/>
              </w:rPr>
            </w:pPr>
            <w:r w:rsidRPr="00F619A4">
              <w:rPr>
                <w:rFonts w:eastAsia="GHEAMariam-Bold" w:cs="GHEAMariam-Bold"/>
                <w:b/>
                <w:bCs/>
                <w:lang w:val="hy-AM"/>
              </w:rPr>
              <w:t>Միջոցառման իրականացումից ակնկալվող արդյունքը</w:t>
            </w:r>
          </w:p>
          <w:p w:rsidR="001F6D5D" w:rsidRPr="00F619A4" w:rsidRDefault="001F6D5D" w:rsidP="00277183">
            <w:pPr>
              <w:tabs>
                <w:tab w:val="left" w:pos="4470"/>
              </w:tabs>
              <w:ind w:left="-33" w:firstLine="33"/>
              <w:jc w:val="both"/>
              <w:rPr>
                <w:caps/>
                <w:lang w:val="hy-AM"/>
              </w:rPr>
            </w:pPr>
            <w:r w:rsidRPr="00F619A4">
              <w:rPr>
                <w:lang w:val="hy-AM"/>
              </w:rPr>
              <w:t>Մասնագիտացված արդարադատության իրականացման երաշխավորում:</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37</w:t>
            </w:r>
          </w:p>
        </w:tc>
        <w:tc>
          <w:tcPr>
            <w:tcW w:w="10878" w:type="dxa"/>
          </w:tcPr>
          <w:p w:rsidR="001F6D5D" w:rsidRPr="00F619A4" w:rsidRDefault="001F6D5D" w:rsidP="00277183">
            <w:pPr>
              <w:autoSpaceDE w:val="0"/>
              <w:autoSpaceDN w:val="0"/>
              <w:adjustRightInd w:val="0"/>
              <w:contextualSpacing/>
              <w:jc w:val="center"/>
              <w:rPr>
                <w:rFonts w:eastAsia="Calibri" w:cs="Sylfaen"/>
                <w:b/>
                <w:u w:val="single"/>
              </w:rPr>
            </w:pPr>
            <w:r w:rsidRPr="00F619A4">
              <w:rPr>
                <w:rFonts w:eastAsia="Calibri" w:cs="Sylfaen"/>
                <w:b/>
                <w:u w:val="single"/>
              </w:rPr>
              <w:t>ԿԱՏԱՐՈՂԱԿԱՆ ՎԱՐՈՒՅԹԻ ԱՐԴՅՈՒՆԱՎԵՏՈՒԹՅԱՆ ԲԱՐՁՐԱՑՈՒՄ</w:t>
            </w:r>
          </w:p>
          <w:p w:rsidR="001F6D5D" w:rsidRPr="00F619A4" w:rsidRDefault="001F6D5D" w:rsidP="00277183">
            <w:pPr>
              <w:autoSpaceDE w:val="0"/>
              <w:autoSpaceDN w:val="0"/>
              <w:adjustRightInd w:val="0"/>
              <w:contextualSpacing/>
              <w:jc w:val="center"/>
              <w:rPr>
                <w:rFonts w:cs="GHEA Mariam"/>
                <w:b/>
                <w:bCs/>
                <w:u w:val="single"/>
              </w:rPr>
            </w:pPr>
          </w:p>
          <w:p w:rsidR="001F6D5D" w:rsidRPr="00F619A4" w:rsidRDefault="001F6D5D" w:rsidP="001F6D5D">
            <w:pPr>
              <w:numPr>
                <w:ilvl w:val="0"/>
                <w:numId w:val="506"/>
              </w:numPr>
              <w:autoSpaceDE w:val="0"/>
              <w:autoSpaceDN w:val="0"/>
              <w:adjustRightInd w:val="0"/>
              <w:spacing w:line="276" w:lineRule="auto"/>
              <w:ind w:left="-33" w:firstLine="33"/>
              <w:contextualSpacing/>
              <w:jc w:val="both"/>
              <w:rPr>
                <w:rFonts w:cs="GHEA Mariam"/>
                <w:b/>
                <w:bCs/>
                <w:lang w:val="hy-AM"/>
              </w:rPr>
            </w:pPr>
            <w:r w:rsidRPr="00F619A4">
              <w:rPr>
                <w:rFonts w:eastAsia="GHEAMariam-Bold" w:cs="GHEAMariam-Bold"/>
                <w:b/>
                <w:bCs/>
                <w:lang w:val="hy-AM"/>
              </w:rPr>
              <w:t>Միջոցառման իրականացման անհրաժեշտությունը և նպատակը</w:t>
            </w:r>
          </w:p>
          <w:p w:rsidR="001F6D5D" w:rsidRPr="00F619A4" w:rsidRDefault="001F6D5D" w:rsidP="00277183">
            <w:pPr>
              <w:autoSpaceDE w:val="0"/>
              <w:autoSpaceDN w:val="0"/>
              <w:adjustRightInd w:val="0"/>
              <w:contextualSpacing/>
              <w:jc w:val="both"/>
              <w:rPr>
                <w:rFonts w:cs="GHEA Mariam"/>
                <w:bCs/>
                <w:lang w:val="hy-AM"/>
              </w:rPr>
            </w:pPr>
            <w:r w:rsidRPr="00F619A4">
              <w:rPr>
                <w:lang w:val="hy-AM"/>
              </w:rPr>
              <w:t></w:t>
            </w:r>
            <w:r w:rsidRPr="00F619A4">
              <w:rPr>
                <w:rFonts w:cs="GHEA Mariam"/>
                <w:bCs/>
                <w:lang w:val="hy-AM"/>
              </w:rPr>
              <w:t>Կատարողական վարույթի մասին</w:t>
            </w:r>
            <w:r w:rsidRPr="00F619A4">
              <w:rPr>
                <w:lang w:val="hy-AM"/>
              </w:rPr>
              <w:t></w:t>
            </w:r>
            <w:r w:rsidRPr="00F619A4">
              <w:rPr>
                <w:rFonts w:cs="GHEA Mariam"/>
                <w:bCs/>
                <w:lang w:val="hy-AM"/>
              </w:rPr>
              <w:t xml:space="preserve"> օրենքի մշակումը պայմանավորված է կատարողական վարույթի արդյունավետությունը բարձրացնելու և առկա խնդիրները վերացնելու անհրաժեշտությամբ: Նշվածը կարևորվում է նաև Եվրոպական դատարանի՝ ՀՀ վերաբերյալ կայացրած մի շարք վճիռների կատարման համատեքստում:</w:t>
            </w:r>
            <w:r w:rsidRPr="00F619A4">
              <w:rPr>
                <w:rStyle w:val="FootnoteReference"/>
                <w:rFonts w:cs="GHEA Mariam"/>
                <w:bCs/>
              </w:rPr>
              <w:footnoteReference w:id="3"/>
            </w:r>
          </w:p>
          <w:p w:rsidR="001F6D5D" w:rsidRPr="00F619A4" w:rsidRDefault="001F6D5D" w:rsidP="00277183">
            <w:pPr>
              <w:ind w:left="-33" w:firstLine="33"/>
              <w:jc w:val="both"/>
              <w:rPr>
                <w:rFonts w:eastAsia="GHEAMariam" w:cs="GHEAMariam"/>
                <w:b/>
                <w:bCs/>
                <w:lang w:val="af-ZA"/>
              </w:rPr>
            </w:pPr>
            <w:r w:rsidRPr="00F619A4">
              <w:rPr>
                <w:rFonts w:eastAsia="GHEAMariam" w:cs="GHEAMariam"/>
                <w:b/>
                <w:bCs/>
                <w:lang w:val="af-ZA"/>
              </w:rPr>
              <w:t>1.1.</w:t>
            </w:r>
            <w:r w:rsidRPr="00F619A4">
              <w:rPr>
                <w:rFonts w:eastAsia="GHEAMariam" w:cs="GHEAMariam"/>
                <w:b/>
                <w:bCs/>
                <w:lang w:val="af-ZA"/>
              </w:rPr>
              <w:tab/>
              <w:t xml:space="preserve">Կարգավորման հարաբերությունների ներկա իրավիճակը և առկա խնդիրները </w:t>
            </w:r>
          </w:p>
          <w:p w:rsidR="001F6D5D" w:rsidRPr="00F619A4" w:rsidRDefault="001F6D5D" w:rsidP="00277183">
            <w:pPr>
              <w:tabs>
                <w:tab w:val="left" w:pos="432"/>
                <w:tab w:val="left" w:pos="900"/>
              </w:tabs>
              <w:autoSpaceDE w:val="0"/>
              <w:autoSpaceDN w:val="0"/>
              <w:adjustRightInd w:val="0"/>
              <w:ind w:firstLine="72"/>
              <w:jc w:val="both"/>
              <w:rPr>
                <w:rFonts w:cs="GHEA Mariam"/>
                <w:lang w:val="af-ZA"/>
              </w:rPr>
            </w:pPr>
            <w:r w:rsidRPr="00F619A4">
              <w:rPr>
                <w:rFonts w:cs="GHEA Mariam"/>
                <w:lang w:val="hy-AM"/>
              </w:rPr>
              <w:t>«Դատական ակտերի հարկադիր կատարման մասին» Հայաստանի Հանրապետության օրենքն</w:t>
            </w:r>
            <w:r w:rsidRPr="00F619A4">
              <w:rPr>
                <w:color w:val="000000"/>
                <w:lang w:val="hy-AM"/>
              </w:rPr>
              <w:t xml:space="preserve"> (այսուհետ՝ Օրենք)</w:t>
            </w:r>
            <w:r w:rsidRPr="00F619A4">
              <w:rPr>
                <w:rFonts w:cs="GHEA Mariam"/>
                <w:lang w:val="hy-AM"/>
              </w:rPr>
              <w:t xml:space="preserve"> ընդունվել է 1998 թվականի մայիսի     5-ին, որից հետո Հայաստանի Հանրապետության իրավական համակարգը կրել է բազմաթիվ ինստիտուցիոնալ փոփոխություններ: Արդյունքում Օրենքը պարունակում է մի շարք թերություններ և հակասություններ, ինչպես նաև չի համապատասխանում Սահմանադրական դատարանի, Վճռաբեկ դատարանի որոշումների և Մարդու իրավունքների եվրոպական դատարանի վճիռների հիման վրա ձևավորված պրակտիկային</w:t>
            </w:r>
            <w:r w:rsidRPr="00F619A4">
              <w:rPr>
                <w:rFonts w:cs="GHEA Mariam"/>
                <w:lang w:val="af-ZA"/>
              </w:rPr>
              <w:t xml:space="preserve">: </w:t>
            </w:r>
            <w:r w:rsidRPr="00F619A4">
              <w:rPr>
                <w:rFonts w:cs="GHEA Mariam"/>
              </w:rPr>
              <w:t>Նշված</w:t>
            </w:r>
            <w:r w:rsidRPr="00F619A4">
              <w:rPr>
                <w:rFonts w:cs="GHEA Mariam"/>
                <w:lang w:val="af-ZA"/>
              </w:rPr>
              <w:t xml:space="preserve"> </w:t>
            </w:r>
            <w:r w:rsidRPr="00F619A4">
              <w:rPr>
                <w:rFonts w:cs="GHEA Mariam"/>
              </w:rPr>
              <w:t>խնդրի</w:t>
            </w:r>
            <w:r w:rsidRPr="00F619A4">
              <w:rPr>
                <w:rFonts w:cs="GHEA Mariam"/>
                <w:lang w:val="af-ZA"/>
              </w:rPr>
              <w:t xml:space="preserve"> </w:t>
            </w:r>
            <w:r w:rsidRPr="00F619A4">
              <w:rPr>
                <w:rFonts w:cs="GHEA Mariam"/>
              </w:rPr>
              <w:t>հաղթահարման</w:t>
            </w:r>
            <w:r w:rsidRPr="00F619A4">
              <w:rPr>
                <w:rFonts w:cs="GHEA Mariam"/>
                <w:lang w:val="af-ZA"/>
              </w:rPr>
              <w:t xml:space="preserve"> </w:t>
            </w:r>
            <w:r w:rsidRPr="00F619A4">
              <w:rPr>
                <w:rFonts w:cs="GHEA Mariam"/>
              </w:rPr>
              <w:t>համար</w:t>
            </w:r>
            <w:r w:rsidRPr="00F619A4">
              <w:rPr>
                <w:rFonts w:cs="GHEA Mariam"/>
                <w:lang w:val="af-ZA"/>
              </w:rPr>
              <w:t xml:space="preserve"> </w:t>
            </w:r>
            <w:r w:rsidRPr="00F619A4">
              <w:rPr>
                <w:rFonts w:cs="GHEA Mariam"/>
              </w:rPr>
              <w:t>Օրենքում</w:t>
            </w:r>
            <w:r w:rsidRPr="00F619A4">
              <w:rPr>
                <w:rFonts w:cs="GHEA Mariam"/>
                <w:lang w:val="af-ZA"/>
              </w:rPr>
              <w:t xml:space="preserve"> </w:t>
            </w:r>
            <w:r w:rsidRPr="00F619A4">
              <w:rPr>
                <w:rFonts w:cs="GHEA Mariam"/>
              </w:rPr>
              <w:t>պարբերաբար</w:t>
            </w:r>
            <w:r w:rsidRPr="00F619A4">
              <w:rPr>
                <w:rFonts w:cs="GHEA Mariam"/>
                <w:lang w:val="af-ZA"/>
              </w:rPr>
              <w:t xml:space="preserve"> </w:t>
            </w:r>
            <w:r w:rsidRPr="00F619A4">
              <w:rPr>
                <w:rFonts w:cs="GHEA Mariam"/>
              </w:rPr>
              <w:t>կատարվում</w:t>
            </w:r>
            <w:r w:rsidRPr="00F619A4">
              <w:rPr>
                <w:rFonts w:cs="GHEA Mariam"/>
                <w:lang w:val="af-ZA"/>
              </w:rPr>
              <w:t xml:space="preserve"> </w:t>
            </w:r>
            <w:r w:rsidRPr="00F619A4">
              <w:rPr>
                <w:rFonts w:cs="GHEA Mariam"/>
              </w:rPr>
              <w:t>են</w:t>
            </w:r>
            <w:r w:rsidRPr="00F619A4">
              <w:rPr>
                <w:rFonts w:cs="GHEA Mariam"/>
                <w:lang w:val="af-ZA"/>
              </w:rPr>
              <w:t xml:space="preserve"> </w:t>
            </w:r>
            <w:r w:rsidRPr="00F619A4">
              <w:rPr>
                <w:rFonts w:cs="GHEA Mariam"/>
              </w:rPr>
              <w:t>փոփոխություններ</w:t>
            </w:r>
            <w:r w:rsidRPr="00F619A4">
              <w:rPr>
                <w:rFonts w:cs="GHEA Mariam"/>
                <w:lang w:val="af-ZA"/>
              </w:rPr>
              <w:t xml:space="preserve">, </w:t>
            </w:r>
            <w:r w:rsidRPr="00F619A4">
              <w:rPr>
                <w:rFonts w:cs="GHEA Mariam"/>
              </w:rPr>
              <w:t>ինչը</w:t>
            </w:r>
            <w:r w:rsidRPr="00F619A4">
              <w:rPr>
                <w:rFonts w:cs="GHEA Mariam"/>
                <w:lang w:val="af-ZA"/>
              </w:rPr>
              <w:t xml:space="preserve"> </w:t>
            </w:r>
            <w:r w:rsidRPr="00F619A4">
              <w:rPr>
                <w:rFonts w:cs="GHEA Mariam"/>
              </w:rPr>
              <w:t>չի</w:t>
            </w:r>
            <w:r w:rsidRPr="00F619A4">
              <w:rPr>
                <w:rFonts w:cs="GHEA Mariam"/>
                <w:lang w:val="af-ZA"/>
              </w:rPr>
              <w:t xml:space="preserve"> </w:t>
            </w:r>
            <w:r w:rsidRPr="00F619A4">
              <w:rPr>
                <w:rFonts w:cs="GHEA Mariam"/>
              </w:rPr>
              <w:t>ապահովում</w:t>
            </w:r>
            <w:r w:rsidRPr="00F619A4">
              <w:rPr>
                <w:rFonts w:cs="GHEA Mariam"/>
                <w:lang w:val="af-ZA"/>
              </w:rPr>
              <w:t xml:space="preserve"> </w:t>
            </w:r>
            <w:r w:rsidRPr="00F619A4">
              <w:rPr>
                <w:rFonts w:cs="GHEA Mariam"/>
              </w:rPr>
              <w:t>առկա</w:t>
            </w:r>
            <w:r w:rsidRPr="00F619A4">
              <w:rPr>
                <w:rFonts w:cs="GHEA Mariam"/>
                <w:lang w:val="af-ZA"/>
              </w:rPr>
              <w:t xml:space="preserve"> </w:t>
            </w:r>
            <w:r w:rsidRPr="00F619A4">
              <w:rPr>
                <w:rFonts w:cs="GHEA Mariam"/>
              </w:rPr>
              <w:t>խնդիրների</w:t>
            </w:r>
            <w:r w:rsidRPr="00F619A4">
              <w:rPr>
                <w:rFonts w:cs="GHEA Mariam"/>
                <w:lang w:val="af-ZA"/>
              </w:rPr>
              <w:t xml:space="preserve"> </w:t>
            </w:r>
            <w:r w:rsidRPr="00F619A4">
              <w:rPr>
                <w:rFonts w:cs="GHEA Mariam"/>
              </w:rPr>
              <w:t>համակարգային</w:t>
            </w:r>
            <w:r w:rsidRPr="00F619A4">
              <w:rPr>
                <w:rFonts w:cs="GHEA Mariam"/>
                <w:lang w:val="af-ZA"/>
              </w:rPr>
              <w:t xml:space="preserve"> </w:t>
            </w:r>
            <w:r w:rsidRPr="00F619A4">
              <w:rPr>
                <w:rFonts w:cs="GHEA Mariam"/>
              </w:rPr>
              <w:t>լուծումը</w:t>
            </w:r>
            <w:r w:rsidRPr="00F619A4">
              <w:rPr>
                <w:rFonts w:cs="GHEA Mariam"/>
                <w:lang w:val="af-ZA"/>
              </w:rPr>
              <w:t>:</w:t>
            </w:r>
          </w:p>
          <w:p w:rsidR="001F6D5D" w:rsidRPr="00F619A4" w:rsidRDefault="001F6D5D" w:rsidP="00277183">
            <w:pPr>
              <w:tabs>
                <w:tab w:val="left" w:pos="900"/>
              </w:tabs>
              <w:ind w:left="-33" w:firstLine="33"/>
              <w:jc w:val="both"/>
              <w:rPr>
                <w:rFonts w:eastAsia="GHEAMariam" w:cs="GHEAMariam"/>
                <w:b/>
                <w:bCs/>
                <w:lang w:val="af-ZA"/>
              </w:rPr>
            </w:pPr>
            <w:r w:rsidRPr="00F619A4">
              <w:rPr>
                <w:rFonts w:eastAsia="GHEAMariam" w:cs="GHEAMariam"/>
                <w:b/>
                <w:bCs/>
                <w:lang w:val="af-ZA"/>
              </w:rPr>
              <w:t>1.2.</w:t>
            </w:r>
            <w:r w:rsidRPr="00F619A4">
              <w:rPr>
                <w:rFonts w:eastAsia="GHEAMariam" w:cs="GHEAMariam"/>
                <w:b/>
                <w:bCs/>
                <w:lang w:val="af-ZA"/>
              </w:rPr>
              <w:tab/>
              <w:t>Առկա խնդիրների առաջարկվող լուծումները</w:t>
            </w:r>
          </w:p>
          <w:p w:rsidR="001F6D5D" w:rsidRPr="00F619A4" w:rsidRDefault="001F6D5D" w:rsidP="00277183">
            <w:pPr>
              <w:ind w:left="-33" w:firstLine="33"/>
              <w:jc w:val="both"/>
              <w:rPr>
                <w:rFonts w:eastAsia="GHEAMariam" w:cs="GHEAMariam"/>
                <w:bCs/>
                <w:lang w:val="hy-AM"/>
              </w:rPr>
            </w:pPr>
            <w:r w:rsidRPr="00F619A4">
              <w:rPr>
                <w:rFonts w:eastAsia="GHEAMariam" w:cs="GHEAMariam"/>
                <w:lang w:val="hy-AM"/>
              </w:rPr>
              <w:t>Առաջարկվում է մշակել</w:t>
            </w:r>
            <w:r w:rsidRPr="00F619A4">
              <w:rPr>
                <w:rFonts w:eastAsia="GHEAMariam" w:cs="GHEAMariam"/>
                <w:lang w:val="af-ZA"/>
              </w:rPr>
              <w:t xml:space="preserve"> </w:t>
            </w:r>
            <w:r w:rsidRPr="00F619A4">
              <w:rPr>
                <w:lang w:val="hy-AM"/>
              </w:rPr>
              <w:t></w:t>
            </w:r>
            <w:r w:rsidRPr="00F619A4">
              <w:rPr>
                <w:rFonts w:cs="GHEA Mariam"/>
                <w:bCs/>
                <w:lang w:val="hy-AM"/>
              </w:rPr>
              <w:t>Կատարողական վարույթի մասին</w:t>
            </w:r>
            <w:r w:rsidRPr="00F619A4">
              <w:rPr>
                <w:lang w:val="hy-AM"/>
              </w:rPr>
              <w:t></w:t>
            </w:r>
            <w:r w:rsidRPr="00F619A4">
              <w:rPr>
                <w:rFonts w:cs="GHEA Mariam"/>
                <w:bCs/>
                <w:lang w:val="hy-AM"/>
              </w:rPr>
              <w:t xml:space="preserve"> օրենք:</w:t>
            </w:r>
          </w:p>
          <w:p w:rsidR="001F6D5D" w:rsidRPr="00F619A4" w:rsidRDefault="001F6D5D" w:rsidP="00277183">
            <w:pPr>
              <w:jc w:val="both"/>
              <w:rPr>
                <w:rFonts w:eastAsia="GHEAMariam-Bold" w:cs="GHEAMariam-Bold"/>
                <w:b/>
                <w:bCs/>
                <w:lang w:val="hy-AM"/>
              </w:rPr>
            </w:pPr>
            <w:r w:rsidRPr="00F619A4">
              <w:rPr>
                <w:rFonts w:eastAsia="GHEAMariam-Bold" w:cs="GHEAMariam-Bold"/>
                <w:b/>
                <w:bCs/>
                <w:lang w:val="hy-AM"/>
              </w:rPr>
              <w:t>2.Միջոցառման</w:t>
            </w:r>
            <w:r w:rsidRPr="00F619A4">
              <w:rPr>
                <w:rFonts w:eastAsia="GHEAMariam-Bold" w:cs="GHEAMariam-Bold"/>
                <w:b/>
                <w:bCs/>
                <w:lang w:val="af-ZA"/>
              </w:rPr>
              <w:t xml:space="preserve"> </w:t>
            </w:r>
            <w:r w:rsidRPr="00F619A4">
              <w:rPr>
                <w:rFonts w:eastAsia="GHEAMariam-Bold" w:cs="GHEAMariam-Bold"/>
                <w:b/>
                <w:bCs/>
                <w:lang w:val="hy-AM"/>
              </w:rPr>
              <w:t>իրականացումից</w:t>
            </w:r>
            <w:r w:rsidRPr="00F619A4">
              <w:rPr>
                <w:rFonts w:eastAsia="GHEAMariam-Bold" w:cs="GHEAMariam-Bold"/>
                <w:b/>
                <w:bCs/>
                <w:lang w:val="af-ZA"/>
              </w:rPr>
              <w:t xml:space="preserve"> </w:t>
            </w:r>
            <w:r w:rsidRPr="00F619A4">
              <w:rPr>
                <w:rFonts w:eastAsia="GHEAMariam-Bold" w:cs="GHEAMariam-Bold"/>
                <w:b/>
                <w:bCs/>
                <w:lang w:val="hy-AM"/>
              </w:rPr>
              <w:t>ակնկալվող արդյունքը</w:t>
            </w:r>
          </w:p>
          <w:p w:rsidR="001F6D5D" w:rsidRPr="00F619A4" w:rsidRDefault="001F6D5D" w:rsidP="00277183">
            <w:pPr>
              <w:ind w:left="-33" w:firstLine="33"/>
              <w:jc w:val="both"/>
              <w:rPr>
                <w:caps/>
                <w:lang w:val="hy-AM"/>
              </w:rPr>
            </w:pPr>
            <w:r w:rsidRPr="00F619A4">
              <w:rPr>
                <w:rFonts w:eastAsia="Calibri" w:cs="Sylfaen"/>
                <w:lang w:val="hy-AM"/>
              </w:rPr>
              <w:t>Երաշխավորել դատական ակտերի կատարման արդյունավետությունը, վարույթի մասնակիցների իրավունքների առավելագույն պաշտպանվածությունը և դատական ակտերի կամավոր կատարումը:</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38</w:t>
            </w:r>
          </w:p>
        </w:tc>
        <w:tc>
          <w:tcPr>
            <w:tcW w:w="10878" w:type="dxa"/>
          </w:tcPr>
          <w:p w:rsidR="001F6D5D" w:rsidRPr="00F619A4" w:rsidRDefault="001F6D5D" w:rsidP="00277183">
            <w:pPr>
              <w:tabs>
                <w:tab w:val="left" w:pos="630"/>
              </w:tabs>
              <w:ind w:left="-33" w:firstLine="33"/>
              <w:jc w:val="center"/>
              <w:rPr>
                <w:rFonts w:cs="Sylfaen"/>
                <w:b/>
                <w:u w:val="single"/>
                <w:lang w:val="hy-AM"/>
              </w:rPr>
            </w:pPr>
            <w:r w:rsidRPr="00F619A4">
              <w:rPr>
                <w:b/>
                <w:u w:val="single"/>
                <w:lang w:val="hy-AM"/>
              </w:rPr>
              <w:t>ՎԱՐՉԱԿԱՆ ԴԱՏԱՎԱՐՈՒԹՅԱՆ ԱՐԴՅՈՒՆԱՎԵՏՈՒԹՅԱՆ ԲԱՐՁՐԱՑՈՒՄ</w:t>
            </w:r>
            <w:r w:rsidRPr="00F619A4">
              <w:rPr>
                <w:rFonts w:cs="Sylfaen"/>
                <w:b/>
                <w:u w:val="single"/>
                <w:lang w:val="hy-AM"/>
              </w:rPr>
              <w:t xml:space="preserve"> </w:t>
            </w:r>
          </w:p>
          <w:p w:rsidR="001F6D5D" w:rsidRPr="00F619A4" w:rsidRDefault="001F6D5D" w:rsidP="00277183">
            <w:pPr>
              <w:ind w:left="-33" w:firstLine="33"/>
              <w:rPr>
                <w:b/>
                <w:lang w:val="hy-AM"/>
              </w:rPr>
            </w:pPr>
            <w:r w:rsidRPr="00F619A4">
              <w:rPr>
                <w:b/>
                <w:lang w:val="hy-AM"/>
              </w:rPr>
              <w:t>1. Միջոցառման իրականացման անհրաժեշտությունը և նպատակը</w:t>
            </w:r>
          </w:p>
          <w:p w:rsidR="001F6D5D" w:rsidRPr="00F619A4" w:rsidRDefault="001F6D5D" w:rsidP="00277183">
            <w:pPr>
              <w:autoSpaceDE w:val="0"/>
              <w:autoSpaceDN w:val="0"/>
              <w:adjustRightInd w:val="0"/>
              <w:ind w:left="-33" w:right="50" w:firstLine="33"/>
              <w:jc w:val="both"/>
              <w:rPr>
                <w:rFonts w:cs="Sylfaen"/>
                <w:bCs/>
                <w:color w:val="000000"/>
                <w:lang w:val="hy-AM"/>
              </w:rPr>
            </w:pPr>
            <w:r w:rsidRPr="00F619A4">
              <w:rPr>
                <w:lang w:val="hy-AM"/>
              </w:rPr>
              <w:t>Հայաստանի Հանրապետության վարչական դատավարության օրենսգրքում փոփոխություններ կատարելը պայմանավորված է դատաիրավական բարեփոխումներով</w:t>
            </w:r>
            <w:r w:rsidRPr="00F619A4">
              <w:rPr>
                <w:rFonts w:cs="ArTarumianBakhum"/>
                <w:color w:val="000000"/>
                <w:lang w:val="hy-AM"/>
              </w:rPr>
              <w:t>:</w:t>
            </w:r>
          </w:p>
          <w:p w:rsidR="001F6D5D" w:rsidRPr="00F619A4" w:rsidRDefault="001F6D5D" w:rsidP="001F6D5D">
            <w:pPr>
              <w:numPr>
                <w:ilvl w:val="1"/>
                <w:numId w:val="507"/>
              </w:numPr>
              <w:spacing w:line="276" w:lineRule="auto"/>
              <w:ind w:left="-33" w:firstLine="33"/>
              <w:contextualSpacing/>
              <w:rPr>
                <w:b/>
                <w:lang w:val="hy-AM"/>
              </w:rPr>
            </w:pPr>
            <w:r w:rsidRPr="00F619A4">
              <w:rPr>
                <w:b/>
                <w:lang w:val="hy-AM"/>
              </w:rPr>
              <w:t>Կարգավորման հարաբերությունների ներկա վիճակը և առկա խնդիրները</w:t>
            </w:r>
          </w:p>
          <w:p w:rsidR="001F6D5D" w:rsidRPr="00F619A4" w:rsidRDefault="001F6D5D" w:rsidP="00277183">
            <w:pPr>
              <w:contextualSpacing/>
              <w:rPr>
                <w:rFonts w:cs="TimesNewRoman"/>
                <w:lang w:val="hy-AM"/>
              </w:rPr>
            </w:pPr>
            <w:r w:rsidRPr="00F619A4">
              <w:rPr>
                <w:rFonts w:eastAsia="Calibri" w:cs="TimesNewRoman"/>
                <w:lang w:val="hy-AM"/>
              </w:rPr>
              <w:t>Վարչական դատավարության՝ որպես դատական պաշտպանության ինքնուրույն ձևի  կայացումը իրավական պետության անքակտելի տարրերից է և պահանջում է վարչական գործերի քննության ընթացակարգերի կատարելագործում և անձանց հանրային իրավունքների արդյունավետ պաշտպանության երաշխիքների նախատեսում:</w:t>
            </w:r>
            <w:r w:rsidRPr="00F619A4">
              <w:rPr>
                <w:rFonts w:cs="TimesNewRoman"/>
                <w:lang w:val="hy-AM"/>
              </w:rPr>
              <w:t xml:space="preserve"> Այնինչ, ներկայումս Հայաստանի Հանրապետության վարչական դատավարության օրենսգրքի մի շարք ինստիտուտներ, ինչպես օրինակ ծանուցումը, էլեկտրոնային արդարադատությունը, գրավոր ընթացակարգի կիրառումը կատարելագործման կարիք ունեն, քանի որ չեն համապատասխանում դատաիրավական բարեփոխումների արդյունքում ներդրված նոր մոտեցումներին և ինստիտուտներին:</w:t>
            </w:r>
          </w:p>
          <w:p w:rsidR="001F6D5D" w:rsidRPr="00F619A4" w:rsidRDefault="001F6D5D" w:rsidP="001F6D5D">
            <w:pPr>
              <w:numPr>
                <w:ilvl w:val="1"/>
                <w:numId w:val="507"/>
              </w:numPr>
              <w:spacing w:line="276" w:lineRule="auto"/>
              <w:ind w:left="-33" w:firstLine="33"/>
              <w:contextualSpacing/>
              <w:rPr>
                <w:b/>
                <w:lang w:val="hy-AM"/>
              </w:rPr>
            </w:pPr>
            <w:r w:rsidRPr="00F619A4">
              <w:rPr>
                <w:b/>
                <w:lang w:val="hy-AM"/>
              </w:rPr>
              <w:t>Առկա խնդիրների առաջարկվող լուծումները</w:t>
            </w:r>
          </w:p>
          <w:p w:rsidR="001F6D5D" w:rsidRPr="00F619A4" w:rsidRDefault="001F6D5D" w:rsidP="00277183">
            <w:pPr>
              <w:contextualSpacing/>
              <w:rPr>
                <w:lang w:val="hy-AM"/>
              </w:rPr>
            </w:pPr>
            <w:r w:rsidRPr="00F619A4">
              <w:rPr>
                <w:lang w:val="hy-AM"/>
              </w:rPr>
              <w:t>Առաջարկվում է փոփոխություններ կատարել Հայաստանի Հանրապետության վարչական դատավարության օրենսգրքում:</w:t>
            </w:r>
          </w:p>
          <w:p w:rsidR="001F6D5D" w:rsidRPr="00F619A4" w:rsidRDefault="001F6D5D" w:rsidP="001F6D5D">
            <w:pPr>
              <w:numPr>
                <w:ilvl w:val="0"/>
                <w:numId w:val="507"/>
              </w:numPr>
              <w:spacing w:line="276" w:lineRule="auto"/>
              <w:ind w:left="-33" w:firstLine="33"/>
              <w:contextualSpacing/>
              <w:rPr>
                <w:b/>
                <w:lang w:val="hy-AM"/>
              </w:rPr>
            </w:pPr>
            <w:r w:rsidRPr="00F619A4">
              <w:rPr>
                <w:b/>
              </w:rPr>
              <w:t>Միջոցառման իրակա</w:t>
            </w:r>
            <w:r w:rsidRPr="00F619A4">
              <w:rPr>
                <w:b/>
                <w:lang w:val="hy-AM"/>
              </w:rPr>
              <w:t>նա</w:t>
            </w:r>
            <w:r w:rsidRPr="00F619A4">
              <w:rPr>
                <w:b/>
              </w:rPr>
              <w:t>ցումից ակնկալվող արդյունքը</w:t>
            </w:r>
          </w:p>
          <w:p w:rsidR="001F6D5D" w:rsidRPr="00F619A4" w:rsidRDefault="001F6D5D" w:rsidP="00277183">
            <w:pPr>
              <w:ind w:left="-33" w:firstLine="33"/>
              <w:jc w:val="both"/>
              <w:rPr>
                <w:caps/>
                <w:lang w:val="af-ZA"/>
              </w:rPr>
            </w:pPr>
            <w:r w:rsidRPr="00F619A4">
              <w:rPr>
                <w:lang w:val="hy-AM"/>
              </w:rPr>
              <w:t>Հայաստանի Հանրապետության վարչական դատավարության բարեփոխում՝ ծանուցման, գրավոր ընթացակարգերի կիրառման բարելավում, էլեկտրոնային արդարադատության իրականացման նախադրյալների սահմանում:</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39</w:t>
            </w:r>
          </w:p>
        </w:tc>
        <w:tc>
          <w:tcPr>
            <w:tcW w:w="10878" w:type="dxa"/>
          </w:tcPr>
          <w:p w:rsidR="001F6D5D" w:rsidRPr="00F619A4" w:rsidRDefault="001F6D5D" w:rsidP="00277183">
            <w:pPr>
              <w:ind w:left="-33" w:firstLine="33"/>
              <w:jc w:val="center"/>
              <w:rPr>
                <w:b/>
                <w:u w:val="single"/>
                <w:lang w:val="hy-AM"/>
              </w:rPr>
            </w:pPr>
            <w:r w:rsidRPr="00F619A4">
              <w:rPr>
                <w:b/>
                <w:u w:val="single"/>
                <w:lang w:val="hy-AM"/>
              </w:rPr>
              <w:t>ՍՆԱՆԿՈՒԹՅԱՆ ՎԱՐՈՒՅԹԻ ԱՐԴՅՈՒՆԱՎԵՏՈՒԹՅԱՆ ԲԱՐՁՐԱՑՈՒՄ</w:t>
            </w:r>
          </w:p>
          <w:p w:rsidR="001F6D5D" w:rsidRPr="00F619A4" w:rsidRDefault="001F6D5D" w:rsidP="00277183">
            <w:pPr>
              <w:ind w:left="-33" w:firstLine="33"/>
              <w:rPr>
                <w:rFonts w:cs="Sylfaen"/>
                <w:b/>
                <w:lang w:val="hy-AM"/>
              </w:rPr>
            </w:pPr>
            <w:r w:rsidRPr="00F619A4">
              <w:rPr>
                <w:rFonts w:cs="Sylfaen"/>
                <w:b/>
                <w:lang w:val="hy-AM"/>
              </w:rPr>
              <w:t>1. Միջոցառման իրականացման անհրաժեշտությունը և նպատակը</w:t>
            </w:r>
          </w:p>
          <w:p w:rsidR="001F6D5D" w:rsidRPr="00F619A4" w:rsidRDefault="001F6D5D" w:rsidP="00277183">
            <w:pPr>
              <w:ind w:left="-33" w:firstLine="33"/>
              <w:jc w:val="both"/>
              <w:rPr>
                <w:rFonts w:cs="Sylfaen"/>
                <w:lang w:val="hy-AM"/>
              </w:rPr>
            </w:pPr>
            <w:r w:rsidRPr="00F619A4">
              <w:rPr>
                <w:lang w:val="hy-AM"/>
              </w:rPr>
              <w:t>Սնանկության մասին օրենքում փոփոխություններ կատարելը նպատակ է հետապնդում ապահովել սնանկության կառավարիչների հաշվետվողականությունը, նրանց կողմից վարքագծի նորմերի կամ օրենքի և այլ իրավական ակտերի խախտումներ կատարելու դեպքերում նրանց ենթարկել կարգապահական պատասխանատվության:</w:t>
            </w:r>
          </w:p>
          <w:p w:rsidR="001F6D5D" w:rsidRPr="00F619A4" w:rsidRDefault="001F6D5D" w:rsidP="00277183">
            <w:pPr>
              <w:ind w:left="-33" w:firstLine="33"/>
              <w:jc w:val="both"/>
              <w:rPr>
                <w:rFonts w:cs="Sylfaen"/>
                <w:lang w:val="hy-AM"/>
              </w:rPr>
            </w:pPr>
            <w:r w:rsidRPr="00F619A4">
              <w:rPr>
                <w:rFonts w:cs="Sylfaen"/>
                <w:b/>
                <w:lang w:val="hy-AM"/>
              </w:rPr>
              <w:t>1.1 Կ</w:t>
            </w:r>
            <w:r w:rsidRPr="00F619A4">
              <w:rPr>
                <w:b/>
                <w:lang w:val="hy-AM"/>
              </w:rPr>
              <w:t>արգավորման</w:t>
            </w:r>
            <w:r w:rsidRPr="00F619A4">
              <w:rPr>
                <w:b/>
                <w:lang w:val="af-ZA"/>
              </w:rPr>
              <w:t xml:space="preserve"> </w:t>
            </w:r>
            <w:r w:rsidRPr="00F619A4">
              <w:rPr>
                <w:b/>
                <w:lang w:val="hy-AM"/>
              </w:rPr>
              <w:t>հարաբերությունների</w:t>
            </w:r>
            <w:r w:rsidRPr="00F619A4">
              <w:rPr>
                <w:b/>
                <w:lang w:val="af-ZA"/>
              </w:rPr>
              <w:t xml:space="preserve"> </w:t>
            </w:r>
            <w:r w:rsidRPr="00F619A4">
              <w:rPr>
                <w:b/>
                <w:lang w:val="hy-AM"/>
              </w:rPr>
              <w:t>ներկա</w:t>
            </w:r>
            <w:r w:rsidRPr="00F619A4">
              <w:rPr>
                <w:b/>
                <w:lang w:val="af-ZA"/>
              </w:rPr>
              <w:t xml:space="preserve"> </w:t>
            </w:r>
            <w:r w:rsidRPr="00F619A4">
              <w:rPr>
                <w:b/>
                <w:lang w:val="hy-AM"/>
              </w:rPr>
              <w:t>վիճակը</w:t>
            </w:r>
            <w:r w:rsidRPr="00F619A4">
              <w:rPr>
                <w:b/>
                <w:lang w:val="af-ZA"/>
              </w:rPr>
              <w:t xml:space="preserve"> </w:t>
            </w:r>
            <w:r w:rsidRPr="00F619A4">
              <w:rPr>
                <w:b/>
                <w:lang w:val="hy-AM"/>
              </w:rPr>
              <w:t>և</w:t>
            </w:r>
            <w:r w:rsidRPr="00F619A4">
              <w:rPr>
                <w:b/>
                <w:lang w:val="af-ZA"/>
              </w:rPr>
              <w:t xml:space="preserve"> </w:t>
            </w:r>
            <w:r w:rsidRPr="00F619A4">
              <w:rPr>
                <w:b/>
                <w:lang w:val="hy-AM"/>
              </w:rPr>
              <w:t>առկա</w:t>
            </w:r>
            <w:r w:rsidRPr="00F619A4">
              <w:rPr>
                <w:b/>
                <w:lang w:val="af-ZA"/>
              </w:rPr>
              <w:t xml:space="preserve"> </w:t>
            </w:r>
            <w:r w:rsidRPr="00F619A4">
              <w:rPr>
                <w:b/>
                <w:lang w:val="hy-AM"/>
              </w:rPr>
              <w:t>խնդիրները</w:t>
            </w:r>
          </w:p>
          <w:p w:rsidR="001F6D5D" w:rsidRPr="00F619A4" w:rsidRDefault="001F6D5D" w:rsidP="00277183">
            <w:pPr>
              <w:tabs>
                <w:tab w:val="left" w:pos="720"/>
                <w:tab w:val="left" w:pos="990"/>
              </w:tabs>
              <w:jc w:val="both"/>
              <w:rPr>
                <w:rFonts w:eastAsia="GHEA Grapalat" w:cs="GHEA Grapalat"/>
                <w:bdr w:val="none" w:sz="0" w:space="0" w:color="auto" w:frame="1"/>
                <w:lang w:val="hy-AM"/>
              </w:rPr>
            </w:pPr>
            <w:r w:rsidRPr="00F619A4">
              <w:rPr>
                <w:rFonts w:eastAsia="GHEA Grapalat" w:cs="GHEA Grapalat"/>
                <w:bdr w:val="none" w:sz="0" w:space="0" w:color="auto" w:frame="1"/>
                <w:lang w:val="hy-AM"/>
              </w:rPr>
              <w:t xml:space="preserve">Սնանկության կառավարչի գործունեության ընդհանուր վերահսկողությունը ներկայումս </w:t>
            </w:r>
            <w:r w:rsidRPr="00F619A4">
              <w:rPr>
                <w:lang w:val="hy-AM"/>
              </w:rPr>
              <w:t>Սնանկության մասին օրենքը</w:t>
            </w:r>
            <w:r w:rsidRPr="00F619A4">
              <w:rPr>
                <w:rFonts w:eastAsia="GHEA Grapalat" w:cs="GHEA Grapalat"/>
                <w:bdr w:val="none" w:sz="0" w:space="0" w:color="auto" w:frame="1"/>
                <w:lang w:val="hy-AM"/>
              </w:rPr>
              <w:t xml:space="preserve"> վերապահել է սնանկության կառավարիչների ինքնակարգավորվող կազմակերպությանը (այսուհետ՝ Կազմակերպություն)</w:t>
            </w:r>
            <w:r w:rsidRPr="00F619A4">
              <w:rPr>
                <w:bdr w:val="none" w:sz="0" w:space="0" w:color="auto" w:frame="1"/>
                <w:lang w:val="hy-AM"/>
              </w:rPr>
              <w:t>, որը դրա շրջանակներում ունի կարգապահական պատասխանատվություն կիրառելու իրավասություն: Այնինչ, իրավակիրառ պրակտիկայի ուսումնասիրությունը թույլ է տալիս պնդել, որ նման վերահսկողությունը բավարար համարվել չի կարող: Մասնավորապես, Կազմակերպության ողջ գործունեության ընթացքում կառավարիչների նկատմամբ հարուցվել է 23 կարգապահական վարույթ, որից 6-ը կարգապահական հանձնաժողովի կողմից մերժվել է, 10-ը՝ կարճվել, 7-ով հարուցվել է կարգապահական վարույթ և կիրառվել է նկատողություն: Ընդ որում, կիրառված նկատողություններից չորսը տրվել են Կազմակերպության նկատմամբ սնանկության կառավարիչների ունեցած անդամավճարի հետ կապված պարտավորությունները չկատարելու համար:</w:t>
            </w:r>
          </w:p>
          <w:p w:rsidR="001F6D5D" w:rsidRPr="00F619A4" w:rsidRDefault="001F6D5D" w:rsidP="00277183">
            <w:pPr>
              <w:tabs>
                <w:tab w:val="left" w:pos="720"/>
              </w:tabs>
              <w:jc w:val="both"/>
              <w:rPr>
                <w:shd w:val="clear" w:color="auto" w:fill="FFFFFF"/>
                <w:lang w:val="hy-AM"/>
              </w:rPr>
            </w:pPr>
            <w:r w:rsidRPr="00F619A4">
              <w:rPr>
                <w:rFonts w:eastAsia="GHEA Grapalat" w:cs="GHEA Grapalat"/>
                <w:lang w:val="hy-AM"/>
              </w:rPr>
              <w:t>Միևնույն ժամանակ</w:t>
            </w:r>
            <w:r w:rsidRPr="00F619A4">
              <w:rPr>
                <w:lang w:val="hy-AM"/>
              </w:rPr>
              <w:t>,</w:t>
            </w:r>
            <w:r w:rsidRPr="00F619A4">
              <w:rPr>
                <w:shd w:val="clear" w:color="auto" w:fill="FFFFFF"/>
                <w:lang w:val="hy-AM"/>
              </w:rPr>
              <w:t xml:space="preserve"> Արդարադատության նախարարություն պարբերաբար ներկայացվում են բազմաթիվ դիմում-բողոքներ՝ սնանկության կառավարիչների գործունեության օրինականության բացահայտման խնդրանքով: Այնինչ, Արդարադատության նախարարությունը չունի բավարար լծակներ դիմումներում բարձրացված հարցերն իրավական առումով ուսումնասիրելու և վերջնական լուծում տալու համար այն պարագայում, երբ սնանկության կառավարիչների որակավորումն իրականացվում է հենց նախարարության կողմից:</w:t>
            </w:r>
          </w:p>
          <w:p w:rsidR="001F6D5D" w:rsidRPr="00F619A4" w:rsidRDefault="001F6D5D" w:rsidP="001F6D5D">
            <w:pPr>
              <w:numPr>
                <w:ilvl w:val="1"/>
                <w:numId w:val="508"/>
              </w:numPr>
              <w:spacing w:line="276" w:lineRule="auto"/>
              <w:ind w:left="-33" w:firstLine="33"/>
              <w:contextualSpacing/>
              <w:rPr>
                <w:b/>
                <w:lang w:val="hy-AM"/>
              </w:rPr>
            </w:pPr>
            <w:r w:rsidRPr="00F619A4">
              <w:rPr>
                <w:b/>
                <w:lang w:val="hy-AM"/>
              </w:rPr>
              <w:t>Ա</w:t>
            </w:r>
            <w:r w:rsidRPr="00F619A4">
              <w:rPr>
                <w:b/>
              </w:rPr>
              <w:t>ռկա</w:t>
            </w:r>
            <w:r w:rsidRPr="00F619A4">
              <w:rPr>
                <w:b/>
                <w:lang w:val="af-ZA"/>
              </w:rPr>
              <w:t xml:space="preserve"> </w:t>
            </w:r>
            <w:r w:rsidRPr="00F619A4">
              <w:rPr>
                <w:b/>
              </w:rPr>
              <w:t>խնդիրների</w:t>
            </w:r>
            <w:r w:rsidRPr="00F619A4">
              <w:rPr>
                <w:b/>
                <w:lang w:val="af-ZA"/>
              </w:rPr>
              <w:t xml:space="preserve"> </w:t>
            </w:r>
            <w:r w:rsidRPr="00F619A4">
              <w:rPr>
                <w:b/>
              </w:rPr>
              <w:t>առաջարկվող</w:t>
            </w:r>
            <w:r w:rsidRPr="00F619A4">
              <w:rPr>
                <w:b/>
                <w:lang w:val="af-ZA"/>
              </w:rPr>
              <w:t xml:space="preserve"> </w:t>
            </w:r>
            <w:r w:rsidRPr="00F619A4">
              <w:rPr>
                <w:b/>
              </w:rPr>
              <w:t>լուծումները</w:t>
            </w:r>
          </w:p>
          <w:p w:rsidR="001F6D5D" w:rsidRPr="00F619A4" w:rsidRDefault="001F6D5D" w:rsidP="00277183">
            <w:pPr>
              <w:ind w:left="-33" w:firstLine="33"/>
              <w:jc w:val="both"/>
              <w:rPr>
                <w:lang w:val="hy-AM"/>
              </w:rPr>
            </w:pPr>
            <w:r w:rsidRPr="00F619A4">
              <w:rPr>
                <w:lang w:val="hy-AM"/>
              </w:rPr>
              <w:t>Առաջարկվում է փոփոխություններ կատարել Սնանկության մասին օրենքում՝ նախատեսելով սնանկության կառավարիչների կողմից հաշվետվություններ ներկայացնելու պարտականություն, ինչպես նաև Արդարադատության նախարարությանը վերապահել սնանկության կառավարիչներին կարգապահական պատասխանատվության ենթարկելու լիազորություն:</w:t>
            </w:r>
          </w:p>
          <w:p w:rsidR="001F6D5D" w:rsidRPr="00F619A4" w:rsidRDefault="001F6D5D" w:rsidP="00277183">
            <w:pPr>
              <w:ind w:left="-33" w:firstLine="33"/>
              <w:rPr>
                <w:b/>
                <w:lang w:val="hy-AM"/>
              </w:rPr>
            </w:pPr>
            <w:r w:rsidRPr="00F619A4">
              <w:rPr>
                <w:b/>
                <w:lang w:val="hy-AM"/>
              </w:rPr>
              <w:t>2 . Միջոցառման իրականացումից ակնկալվող արդյունքը</w:t>
            </w:r>
          </w:p>
          <w:p w:rsidR="001F6D5D" w:rsidRPr="00F619A4" w:rsidRDefault="001F6D5D" w:rsidP="00277183">
            <w:pPr>
              <w:jc w:val="both"/>
              <w:rPr>
                <w:caps/>
                <w:lang w:val="hy-AM"/>
              </w:rPr>
            </w:pPr>
            <w:r w:rsidRPr="00F619A4">
              <w:rPr>
                <w:lang w:val="hy-AM"/>
              </w:rPr>
              <w:t>Սնանկության կառավարիչների հաշվետվողականության բարձրացում, Արդարադատության նախարարության՝ սնանկության կառավարիչներին կարգապահական պատասխանատվության ենթարկելու լիազորության ամրագրում, սնանկության կառավարիչների վարձատրության վերանայում:</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40</w:t>
            </w:r>
          </w:p>
        </w:tc>
        <w:tc>
          <w:tcPr>
            <w:tcW w:w="10878" w:type="dxa"/>
          </w:tcPr>
          <w:p w:rsidR="001F6D5D" w:rsidRPr="00F619A4" w:rsidRDefault="001F6D5D" w:rsidP="00277183">
            <w:pPr>
              <w:ind w:left="-33" w:firstLine="33"/>
              <w:jc w:val="center"/>
              <w:rPr>
                <w:b/>
                <w:bCs/>
                <w:u w:val="single"/>
                <w:lang w:val="hy-AM"/>
              </w:rPr>
            </w:pPr>
            <w:r w:rsidRPr="00F619A4">
              <w:rPr>
                <w:b/>
                <w:u w:val="single"/>
                <w:lang w:val="hy-AM"/>
              </w:rPr>
              <w:t>ՆՈՐՄԱՏԻՎ ԻՐԱՎԱԿԱՆ ԱԿՏԵՐԻ ՄՇՏԱԴԻՏԱՐԿՄԱՆ ԱՊԱՀՈՎՄԱՆ ՆԱԽԱԴՐՅԱԼՆԵՐԻ ՍՏԵՂԾՈՒՄ</w:t>
            </w:r>
          </w:p>
          <w:p w:rsidR="001F6D5D" w:rsidRPr="00F619A4" w:rsidRDefault="001F6D5D" w:rsidP="00277183">
            <w:pPr>
              <w:ind w:left="-33" w:firstLine="33"/>
              <w:rPr>
                <w:b/>
                <w:lang w:val="hy-AM"/>
              </w:rPr>
            </w:pPr>
            <w:r w:rsidRPr="00F619A4">
              <w:rPr>
                <w:rFonts w:ascii="Calibri" w:hAnsi="Calibri" w:cs="Calibri"/>
                <w:lang w:val="hy-AM"/>
              </w:rPr>
              <w:t> </w:t>
            </w:r>
            <w:r w:rsidRPr="00F619A4">
              <w:rPr>
                <w:b/>
                <w:lang w:val="hy-AM"/>
              </w:rPr>
              <w:t>Միջոցառման իրականացման անհրաժեշտությունը և նպատակը</w:t>
            </w:r>
          </w:p>
          <w:p w:rsidR="001F6D5D" w:rsidRPr="00F619A4" w:rsidRDefault="001F6D5D" w:rsidP="00277183">
            <w:pPr>
              <w:ind w:left="-33" w:firstLine="33"/>
              <w:jc w:val="both"/>
              <w:rPr>
                <w:b/>
                <w:lang w:val="hy-AM"/>
              </w:rPr>
            </w:pPr>
            <w:r w:rsidRPr="00F619A4">
              <w:rPr>
                <w:lang w:val="hy-AM"/>
              </w:rPr>
              <w:t>Ապահովել նորմատիվ իրավական ակտերի մշտադիտարկման անհրաժեշտ կառուցակարգեր:</w:t>
            </w:r>
            <w:r w:rsidRPr="00F619A4">
              <w:rPr>
                <w:b/>
                <w:lang w:val="hy-AM"/>
              </w:rPr>
              <w:t xml:space="preserve"> </w:t>
            </w:r>
          </w:p>
          <w:p w:rsidR="001F6D5D" w:rsidRPr="00F619A4" w:rsidRDefault="001F6D5D" w:rsidP="00277183">
            <w:pPr>
              <w:ind w:left="-33" w:firstLine="33"/>
              <w:jc w:val="both"/>
              <w:rPr>
                <w:lang w:val="hy-AM"/>
              </w:rPr>
            </w:pPr>
            <w:r w:rsidRPr="00F619A4">
              <w:rPr>
                <w:b/>
                <w:lang w:val="hy-AM"/>
              </w:rPr>
              <w:t>Կարգավորման հարաբերությունների ներկա վիճակը և առկա խնդիրները</w:t>
            </w:r>
          </w:p>
          <w:p w:rsidR="001F6D5D" w:rsidRPr="00F619A4" w:rsidRDefault="001F6D5D" w:rsidP="00277183">
            <w:pPr>
              <w:ind w:left="-33" w:firstLine="33"/>
              <w:jc w:val="both"/>
              <w:rPr>
                <w:lang w:val="hy-AM"/>
              </w:rPr>
            </w:pPr>
            <w:r w:rsidRPr="00F619A4">
              <w:rPr>
                <w:lang w:val="hy-AM"/>
              </w:rPr>
              <w:t>Ներկայումս նորմատիվ իրավական ակտերի մշտադիտարկման իրականացման կարգն ամրագրող ակտի բացակայության պայմաններում այս գործընթացը շարունակում է մնալ չկարգավորված և չիրացված:</w:t>
            </w:r>
          </w:p>
          <w:p w:rsidR="001F6D5D" w:rsidRPr="00F619A4" w:rsidRDefault="001F6D5D" w:rsidP="001F6D5D">
            <w:pPr>
              <w:numPr>
                <w:ilvl w:val="1"/>
                <w:numId w:val="509"/>
              </w:numPr>
              <w:spacing w:line="276" w:lineRule="auto"/>
              <w:ind w:left="-33" w:firstLine="33"/>
              <w:contextualSpacing/>
              <w:rPr>
                <w:b/>
                <w:lang w:val="hy-AM"/>
              </w:rPr>
            </w:pPr>
            <w:r w:rsidRPr="00F619A4">
              <w:rPr>
                <w:b/>
                <w:lang w:val="hy-AM"/>
              </w:rPr>
              <w:t>Առկա խնդիրների առաջարկվող լուծումները</w:t>
            </w:r>
          </w:p>
          <w:p w:rsidR="001F6D5D" w:rsidRPr="00F619A4" w:rsidRDefault="001F6D5D" w:rsidP="00277183">
            <w:pPr>
              <w:ind w:left="-33" w:firstLine="33"/>
              <w:jc w:val="both"/>
              <w:rPr>
                <w:lang w:val="hy-AM"/>
              </w:rPr>
            </w:pPr>
            <w:r w:rsidRPr="00F619A4">
              <w:rPr>
                <w:lang w:val="hy-AM"/>
              </w:rPr>
              <w:t>Առաջարկվում է Նորմատիվ իրավական ակտերի մասին օրենքում կատարել փոփոխություններ՝ ամրագրելով, որ Կառավարությունն իրավասու է ընդունելու նորմատիվ իրավական ակտերի մշտադիտարկման կարգը սահմանելու մասին որոշում:</w:t>
            </w:r>
          </w:p>
          <w:p w:rsidR="001F6D5D" w:rsidRPr="00F619A4" w:rsidRDefault="001F6D5D" w:rsidP="00277183">
            <w:pPr>
              <w:ind w:left="-33" w:firstLine="33"/>
              <w:rPr>
                <w:b/>
                <w:lang w:val="hy-AM"/>
              </w:rPr>
            </w:pPr>
            <w:r w:rsidRPr="00F619A4">
              <w:rPr>
                <w:b/>
                <w:lang w:val="hy-AM"/>
              </w:rPr>
              <w:t>2. Միջոցառման իրականացումից ակնկալվող արդյունքը</w:t>
            </w:r>
          </w:p>
          <w:p w:rsidR="001F6D5D" w:rsidRPr="00F619A4" w:rsidRDefault="001F6D5D" w:rsidP="00277183">
            <w:pPr>
              <w:ind w:left="-33" w:firstLine="33"/>
              <w:jc w:val="both"/>
              <w:rPr>
                <w:caps/>
                <w:lang w:val="hy-AM"/>
              </w:rPr>
            </w:pPr>
            <w:r w:rsidRPr="00F619A4">
              <w:rPr>
                <w:rFonts w:ascii="Calibri" w:hAnsi="Calibri" w:cs="Calibri"/>
                <w:lang w:val="hy-AM"/>
              </w:rPr>
              <w:t> </w:t>
            </w:r>
            <w:r w:rsidRPr="00F619A4">
              <w:rPr>
                <w:lang w:val="hy-AM"/>
              </w:rPr>
              <w:t>Ակնկալվում է ամրագրել Կառավարության՝ նորմատիվ իրավական ակտերի մշտադիտարկման կարգը սահմանելու լիազորություն:</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41</w:t>
            </w:r>
          </w:p>
        </w:tc>
        <w:tc>
          <w:tcPr>
            <w:tcW w:w="10878" w:type="dxa"/>
          </w:tcPr>
          <w:p w:rsidR="001F6D5D" w:rsidRPr="00F619A4" w:rsidRDefault="001F6D5D" w:rsidP="00277183">
            <w:pPr>
              <w:ind w:left="-33" w:firstLine="33"/>
              <w:jc w:val="center"/>
              <w:rPr>
                <w:b/>
                <w:u w:val="single"/>
                <w:lang w:val="hy-AM"/>
              </w:rPr>
            </w:pPr>
            <w:r w:rsidRPr="00F619A4">
              <w:rPr>
                <w:b/>
                <w:u w:val="single"/>
                <w:lang w:val="hy-AM"/>
              </w:rPr>
              <w:t>ՆՈՐՄԱՏԻՎ ԻՐԱՎԱԿԱՆ ԱԿՏԵՐԻ ՄՇՏԱԴԻՏԱՐԿՄԱՆ ԱՊԱՀՈՎՈՒՄ</w:t>
            </w:r>
          </w:p>
          <w:p w:rsidR="001F6D5D" w:rsidRPr="00F619A4" w:rsidRDefault="001F6D5D" w:rsidP="00277183">
            <w:pPr>
              <w:ind w:left="-33" w:firstLine="33"/>
              <w:jc w:val="both"/>
              <w:rPr>
                <w:rFonts w:cs="Courier New"/>
                <w:lang w:val="hy-AM"/>
              </w:rPr>
            </w:pPr>
            <w:r w:rsidRPr="00F619A4">
              <w:rPr>
                <w:rFonts w:cs="Courier New"/>
                <w:b/>
                <w:lang w:val="hy-AM"/>
              </w:rPr>
              <w:t>1.</w:t>
            </w:r>
            <w:r w:rsidRPr="00F619A4">
              <w:rPr>
                <w:rFonts w:cs="Courier New"/>
                <w:lang w:val="hy-AM"/>
              </w:rPr>
              <w:tab/>
            </w:r>
            <w:r w:rsidRPr="00F619A4">
              <w:rPr>
                <w:rFonts w:cs="Sylfaen"/>
                <w:b/>
                <w:lang w:val="hy-AM"/>
              </w:rPr>
              <w:t>Միջոցառման</w:t>
            </w:r>
            <w:r w:rsidRPr="00F619A4">
              <w:rPr>
                <w:rFonts w:cs="Courier New"/>
                <w:b/>
                <w:lang w:val="hy-AM"/>
              </w:rPr>
              <w:t xml:space="preserve"> </w:t>
            </w:r>
            <w:r w:rsidRPr="00F619A4">
              <w:rPr>
                <w:rFonts w:cs="Sylfaen"/>
                <w:b/>
                <w:lang w:val="hy-AM"/>
              </w:rPr>
              <w:t>իրականացման</w:t>
            </w:r>
            <w:r w:rsidRPr="00F619A4">
              <w:rPr>
                <w:rFonts w:cs="Courier New"/>
                <w:b/>
                <w:lang w:val="hy-AM"/>
              </w:rPr>
              <w:t xml:space="preserve"> </w:t>
            </w:r>
            <w:r w:rsidRPr="00F619A4">
              <w:rPr>
                <w:rFonts w:cs="Sylfaen"/>
                <w:b/>
                <w:lang w:val="hy-AM"/>
              </w:rPr>
              <w:t>անհրաժեշտությունը</w:t>
            </w:r>
            <w:r w:rsidRPr="00F619A4">
              <w:rPr>
                <w:rFonts w:cs="Courier New"/>
                <w:b/>
                <w:lang w:val="hy-AM"/>
              </w:rPr>
              <w:t xml:space="preserve"> </w:t>
            </w:r>
            <w:r w:rsidRPr="00F619A4">
              <w:rPr>
                <w:rFonts w:cs="Sylfaen"/>
                <w:b/>
                <w:lang w:val="hy-AM"/>
              </w:rPr>
              <w:t>և</w:t>
            </w:r>
            <w:r w:rsidRPr="00F619A4">
              <w:rPr>
                <w:rFonts w:cs="Courier New"/>
                <w:b/>
                <w:lang w:val="hy-AM"/>
              </w:rPr>
              <w:t xml:space="preserve"> </w:t>
            </w:r>
            <w:r w:rsidRPr="00F619A4">
              <w:rPr>
                <w:rFonts w:cs="Sylfaen"/>
                <w:b/>
                <w:lang w:val="hy-AM"/>
              </w:rPr>
              <w:t>նպատակը</w:t>
            </w:r>
          </w:p>
          <w:p w:rsidR="001F6D5D" w:rsidRPr="00F619A4" w:rsidRDefault="001F6D5D" w:rsidP="00277183">
            <w:pPr>
              <w:ind w:left="-33" w:firstLine="33"/>
              <w:jc w:val="both"/>
              <w:rPr>
                <w:rFonts w:cs="Courier New"/>
                <w:lang w:val="hy-AM"/>
              </w:rPr>
            </w:pPr>
            <w:r w:rsidRPr="00F619A4">
              <w:rPr>
                <w:lang w:val="hy-AM"/>
              </w:rPr>
              <w:t>Նորմատիվ իրավական ակտերի մշտադիտարկման կարգը սահմանելու մասին Կառավարության որոշման ընդունումը պայմանավորված է</w:t>
            </w:r>
            <w:r w:rsidRPr="00F619A4">
              <w:rPr>
                <w:b/>
                <w:lang w:val="hy-AM"/>
              </w:rPr>
              <w:t xml:space="preserve"> </w:t>
            </w:r>
            <w:r w:rsidRPr="00F619A4">
              <w:rPr>
                <w:lang w:val="hy-AM"/>
              </w:rPr>
              <w:t>նորմատիվ իրավական ակտերի մշտադիտարկման կարգը սահմանելու անհրաժեշտությամբ:</w:t>
            </w:r>
          </w:p>
          <w:p w:rsidR="001F6D5D" w:rsidRPr="00F619A4" w:rsidRDefault="001F6D5D" w:rsidP="001F6D5D">
            <w:pPr>
              <w:numPr>
                <w:ilvl w:val="1"/>
                <w:numId w:val="510"/>
              </w:numPr>
              <w:spacing w:line="276" w:lineRule="auto"/>
              <w:ind w:left="-33" w:firstLine="33"/>
              <w:contextualSpacing/>
              <w:jc w:val="both"/>
              <w:rPr>
                <w:rFonts w:cs="Courier New"/>
                <w:b/>
                <w:lang w:val="hy-AM"/>
              </w:rPr>
            </w:pPr>
            <w:r w:rsidRPr="00F619A4">
              <w:rPr>
                <w:rFonts w:cs="Sylfaen"/>
                <w:b/>
                <w:lang w:val="hy-AM"/>
              </w:rPr>
              <w:t>Կարգավորման</w:t>
            </w:r>
            <w:r w:rsidRPr="00F619A4">
              <w:rPr>
                <w:rFonts w:cs="Courier New"/>
                <w:b/>
                <w:lang w:val="hy-AM"/>
              </w:rPr>
              <w:t xml:space="preserve"> </w:t>
            </w:r>
            <w:r w:rsidRPr="00F619A4">
              <w:rPr>
                <w:rFonts w:cs="Sylfaen"/>
                <w:b/>
                <w:lang w:val="hy-AM"/>
              </w:rPr>
              <w:t>հարաբերությունների</w:t>
            </w:r>
            <w:r w:rsidRPr="00F619A4">
              <w:rPr>
                <w:rFonts w:cs="Courier New"/>
                <w:b/>
                <w:lang w:val="hy-AM"/>
              </w:rPr>
              <w:t xml:space="preserve"> </w:t>
            </w:r>
            <w:r w:rsidRPr="00F619A4">
              <w:rPr>
                <w:rFonts w:cs="Sylfaen"/>
                <w:b/>
                <w:lang w:val="hy-AM"/>
              </w:rPr>
              <w:t>ներկա</w:t>
            </w:r>
            <w:r w:rsidRPr="00F619A4">
              <w:rPr>
                <w:rFonts w:cs="Courier New"/>
                <w:b/>
                <w:lang w:val="hy-AM"/>
              </w:rPr>
              <w:t xml:space="preserve"> </w:t>
            </w:r>
            <w:r w:rsidRPr="00F619A4">
              <w:rPr>
                <w:rFonts w:cs="Sylfaen"/>
                <w:b/>
                <w:lang w:val="hy-AM"/>
              </w:rPr>
              <w:t>վիճակը</w:t>
            </w:r>
            <w:r w:rsidRPr="00F619A4">
              <w:rPr>
                <w:rFonts w:cs="Courier New"/>
                <w:b/>
                <w:lang w:val="hy-AM"/>
              </w:rPr>
              <w:t xml:space="preserve"> </w:t>
            </w:r>
            <w:r w:rsidRPr="00F619A4">
              <w:rPr>
                <w:rFonts w:cs="Sylfaen"/>
                <w:b/>
                <w:lang w:val="hy-AM"/>
              </w:rPr>
              <w:t>և</w:t>
            </w:r>
            <w:r w:rsidRPr="00F619A4">
              <w:rPr>
                <w:rFonts w:cs="Courier New"/>
                <w:b/>
                <w:lang w:val="hy-AM"/>
              </w:rPr>
              <w:t xml:space="preserve"> </w:t>
            </w:r>
            <w:r w:rsidRPr="00F619A4">
              <w:rPr>
                <w:rFonts w:cs="Sylfaen"/>
                <w:b/>
                <w:lang w:val="hy-AM"/>
              </w:rPr>
              <w:t>առկա</w:t>
            </w:r>
            <w:r w:rsidRPr="00F619A4">
              <w:rPr>
                <w:rFonts w:cs="Courier New"/>
                <w:b/>
                <w:lang w:val="hy-AM"/>
              </w:rPr>
              <w:t xml:space="preserve"> </w:t>
            </w:r>
            <w:r w:rsidRPr="00F619A4">
              <w:rPr>
                <w:rFonts w:cs="Sylfaen"/>
                <w:b/>
                <w:lang w:val="hy-AM"/>
              </w:rPr>
              <w:t>խնդիրները</w:t>
            </w:r>
          </w:p>
          <w:p w:rsidR="001F6D5D" w:rsidRPr="00F619A4" w:rsidRDefault="001F6D5D" w:rsidP="00277183">
            <w:pPr>
              <w:ind w:left="-33" w:firstLine="33"/>
              <w:jc w:val="both"/>
              <w:rPr>
                <w:lang w:val="hy-AM"/>
              </w:rPr>
            </w:pPr>
            <w:r w:rsidRPr="00F619A4">
              <w:rPr>
                <w:lang w:val="hy-AM"/>
              </w:rPr>
              <w:t>Ներկայումս նորմատիվ իրավական ակտերի մշտադիտարկման իրականացման կարգն ամրագրող ակտի բացակայության պայմաններում այս գործընթացը շարունակում է մնալ չկարգավորված և չիրացված:</w:t>
            </w:r>
          </w:p>
          <w:p w:rsidR="001F6D5D" w:rsidRPr="00F619A4" w:rsidRDefault="001F6D5D" w:rsidP="001F6D5D">
            <w:pPr>
              <w:numPr>
                <w:ilvl w:val="1"/>
                <w:numId w:val="510"/>
              </w:numPr>
              <w:spacing w:line="276" w:lineRule="auto"/>
              <w:ind w:left="-33" w:firstLine="33"/>
              <w:contextualSpacing/>
              <w:jc w:val="both"/>
              <w:rPr>
                <w:rFonts w:cs="Courier New"/>
                <w:b/>
                <w:lang w:val="hy-AM"/>
              </w:rPr>
            </w:pPr>
            <w:r w:rsidRPr="00F619A4">
              <w:rPr>
                <w:rFonts w:cs="Courier New"/>
                <w:b/>
                <w:lang w:val="hy-AM"/>
              </w:rPr>
              <w:t>Ա</w:t>
            </w:r>
            <w:r w:rsidRPr="00F619A4">
              <w:rPr>
                <w:rFonts w:cs="Sylfaen"/>
                <w:b/>
                <w:lang w:val="hy-AM"/>
              </w:rPr>
              <w:t>ռկա</w:t>
            </w:r>
            <w:r w:rsidRPr="00F619A4">
              <w:rPr>
                <w:rFonts w:cs="Courier New"/>
                <w:b/>
                <w:lang w:val="hy-AM"/>
              </w:rPr>
              <w:t xml:space="preserve"> </w:t>
            </w:r>
            <w:r w:rsidRPr="00F619A4">
              <w:rPr>
                <w:rFonts w:cs="Sylfaen"/>
                <w:b/>
                <w:lang w:val="hy-AM"/>
              </w:rPr>
              <w:t>խնդիրների</w:t>
            </w:r>
            <w:r w:rsidRPr="00F619A4">
              <w:rPr>
                <w:rFonts w:cs="Courier New"/>
                <w:b/>
                <w:lang w:val="hy-AM"/>
              </w:rPr>
              <w:t xml:space="preserve"> </w:t>
            </w:r>
            <w:r w:rsidRPr="00F619A4">
              <w:rPr>
                <w:rFonts w:cs="Sylfaen"/>
                <w:b/>
                <w:lang w:val="hy-AM"/>
              </w:rPr>
              <w:t>առաջարկվող</w:t>
            </w:r>
            <w:r w:rsidRPr="00F619A4">
              <w:rPr>
                <w:rFonts w:cs="Courier New"/>
                <w:b/>
                <w:lang w:val="hy-AM"/>
              </w:rPr>
              <w:t xml:space="preserve"> </w:t>
            </w:r>
            <w:r w:rsidRPr="00F619A4">
              <w:rPr>
                <w:rFonts w:cs="Sylfaen"/>
                <w:b/>
                <w:lang w:val="hy-AM"/>
              </w:rPr>
              <w:t>լուծումները</w:t>
            </w:r>
          </w:p>
          <w:p w:rsidR="001F6D5D" w:rsidRPr="00F619A4" w:rsidRDefault="001F6D5D" w:rsidP="00277183">
            <w:pPr>
              <w:widowControl w:val="0"/>
              <w:ind w:left="-33" w:firstLine="33"/>
              <w:jc w:val="both"/>
              <w:rPr>
                <w:lang w:val="hy-AM"/>
              </w:rPr>
            </w:pPr>
            <w:r w:rsidRPr="00F619A4">
              <w:rPr>
                <w:rFonts w:cs="Sylfaen"/>
                <w:lang w:val="hy-AM"/>
              </w:rPr>
              <w:t>Առաջարկվում</w:t>
            </w:r>
            <w:r w:rsidRPr="00F619A4">
              <w:rPr>
                <w:rFonts w:cs="Courier New"/>
                <w:lang w:val="hy-AM"/>
              </w:rPr>
              <w:t xml:space="preserve"> </w:t>
            </w:r>
            <w:r w:rsidRPr="00F619A4">
              <w:rPr>
                <w:rFonts w:cs="Sylfaen"/>
                <w:lang w:val="hy-AM"/>
              </w:rPr>
              <w:t>է</w:t>
            </w:r>
            <w:r w:rsidRPr="00F619A4">
              <w:rPr>
                <w:rFonts w:cs="Courier New"/>
                <w:lang w:val="hy-AM"/>
              </w:rPr>
              <w:t xml:space="preserve"> </w:t>
            </w:r>
            <w:r w:rsidRPr="00F619A4">
              <w:rPr>
                <w:rFonts w:cs="Sylfaen"/>
                <w:lang w:val="hy-AM"/>
              </w:rPr>
              <w:t xml:space="preserve">ընդունել </w:t>
            </w:r>
            <w:r w:rsidRPr="00F619A4">
              <w:rPr>
                <w:lang w:val="hy-AM"/>
              </w:rPr>
              <w:t>Նորմատիվ իրավական ակտերի մշտադիտարկման կարգը սահմանելու մասին Կառավարության որոշում:</w:t>
            </w:r>
          </w:p>
          <w:p w:rsidR="001F6D5D" w:rsidRPr="00F619A4" w:rsidRDefault="001F6D5D" w:rsidP="001F6D5D">
            <w:pPr>
              <w:pStyle w:val="ListParagraph"/>
              <w:numPr>
                <w:ilvl w:val="0"/>
                <w:numId w:val="510"/>
              </w:numPr>
              <w:spacing w:line="276" w:lineRule="auto"/>
              <w:jc w:val="both"/>
              <w:rPr>
                <w:rFonts w:cs="Sylfaen"/>
                <w:b/>
              </w:rPr>
            </w:pPr>
            <w:r w:rsidRPr="00F619A4">
              <w:rPr>
                <w:rFonts w:cs="Sylfaen"/>
                <w:b/>
                <w:lang w:val="hy-AM"/>
              </w:rPr>
              <w:t>Միջոցառման</w:t>
            </w:r>
            <w:r w:rsidRPr="00F619A4">
              <w:rPr>
                <w:rFonts w:cs="Courier New"/>
                <w:b/>
                <w:lang w:val="hy-AM"/>
              </w:rPr>
              <w:t xml:space="preserve"> </w:t>
            </w:r>
            <w:r w:rsidRPr="00F619A4">
              <w:rPr>
                <w:rFonts w:cs="Sylfaen"/>
                <w:b/>
                <w:lang w:val="hy-AM"/>
              </w:rPr>
              <w:t>իրականացումից</w:t>
            </w:r>
            <w:r w:rsidRPr="00F619A4">
              <w:rPr>
                <w:rFonts w:cs="Courier New"/>
                <w:b/>
                <w:lang w:val="hy-AM"/>
              </w:rPr>
              <w:t xml:space="preserve"> </w:t>
            </w:r>
            <w:r w:rsidRPr="00F619A4">
              <w:rPr>
                <w:rFonts w:cs="Sylfaen"/>
                <w:b/>
                <w:lang w:val="hy-AM"/>
              </w:rPr>
              <w:t>ակնկալվող</w:t>
            </w:r>
            <w:r w:rsidRPr="00F619A4">
              <w:rPr>
                <w:rFonts w:cs="Courier New"/>
                <w:b/>
                <w:lang w:val="hy-AM"/>
              </w:rPr>
              <w:t xml:space="preserve"> </w:t>
            </w:r>
            <w:r w:rsidRPr="00F619A4">
              <w:rPr>
                <w:rFonts w:cs="Sylfaen"/>
                <w:b/>
                <w:lang w:val="hy-AM"/>
              </w:rPr>
              <w:t>արդյունքը</w:t>
            </w:r>
          </w:p>
          <w:p w:rsidR="001F6D5D" w:rsidRPr="00F619A4" w:rsidRDefault="001F6D5D" w:rsidP="00277183">
            <w:pPr>
              <w:ind w:left="-33" w:firstLine="33"/>
              <w:jc w:val="both"/>
              <w:rPr>
                <w:caps/>
              </w:rPr>
            </w:pPr>
            <w:r w:rsidRPr="00F619A4">
              <w:rPr>
                <w:rFonts w:cs="Courier New"/>
                <w:lang w:val="hy-AM"/>
              </w:rPr>
              <w:t xml:space="preserve"> </w:t>
            </w:r>
            <w:r w:rsidRPr="00F619A4">
              <w:t>Ակնկալվում է ապահովել Կառավարության որոշմանը համապատասխան նորմատիվ իրավական ակտերի մշտադիտարկման իրականացումը:</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42</w:t>
            </w:r>
          </w:p>
        </w:tc>
        <w:tc>
          <w:tcPr>
            <w:tcW w:w="10878" w:type="dxa"/>
          </w:tcPr>
          <w:p w:rsidR="001F6D5D" w:rsidRPr="00F619A4" w:rsidRDefault="001F6D5D" w:rsidP="00277183">
            <w:pPr>
              <w:tabs>
                <w:tab w:val="left" w:pos="4277"/>
              </w:tabs>
              <w:ind w:left="-33" w:firstLine="33"/>
              <w:jc w:val="center"/>
              <w:rPr>
                <w:b/>
                <w:u w:val="single"/>
                <w:lang w:val="hy-AM"/>
              </w:rPr>
            </w:pPr>
            <w:r w:rsidRPr="00F619A4">
              <w:rPr>
                <w:b/>
                <w:u w:val="single"/>
                <w:lang w:val="hy-AM"/>
              </w:rPr>
              <w:t>ՄԱՐԴՈՒ ԻՐԱՎՈՒՆՔՆԵՐԻ ՊԱՇՏՊԱՆՈՒԹՅՈՒՆ</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tabs>
                <w:tab w:val="left" w:pos="4277"/>
              </w:tabs>
              <w:jc w:val="both"/>
              <w:rPr>
                <w:lang w:val="hy-AM"/>
              </w:rPr>
            </w:pPr>
            <w:r w:rsidRPr="00F619A4">
              <w:rPr>
                <w:lang w:val="hy-AM"/>
              </w:rPr>
              <w:t>Մարդու իրավունքների պաշտպանության ազգային ռազմավարությունն ընդունվել է 2012թ., որից հետո ՀՀ-ում տեղի են ունեցել սահմանադրական, քաղաքական և օրենսդրական լուրջ բարեփոխումներ, անհրաժեշտություն է առաջացել մշակելու Մարդու իրավունքների պաշտպանության նոր ազգային ռազմավարություն՝ սոցիալ-տնտեսական զարգացման ներկա փուլի առանձնահատկություններին, մարդու իրավունքների պաշտպանության ոլորտի նոր զարգացումներին, ՀՀ կառավարության քաղաքականության առաջնահերթություններին և միջազգային պարտավորություններին համահունչ:</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tabs>
                <w:tab w:val="left" w:pos="4277"/>
              </w:tabs>
              <w:jc w:val="both"/>
              <w:rPr>
                <w:lang w:val="hy-AM"/>
              </w:rPr>
            </w:pPr>
            <w:r w:rsidRPr="00F619A4">
              <w:rPr>
                <w:lang w:val="hy-AM"/>
              </w:rPr>
              <w:t>Մարդու իրավունքների պաշտպանության ոլորտում միասնական քաղաքականությունն իրականացվում է ՀՀ նախագահի 2012 թվականի հոկտեմբերի 29-ի ՆԿ-159 կարգադրությամբ հաստատված Մարդու իրավուքների պաշտպանության ազգային ռազմավարության և դրանից բխող 2017-2019թթ. Գործողությունների ծրագրով, որը հաստատվել է ՀՀ կառավարության 2017թ. մայիսի 4-ի N 483-Ն որոշմամբ: Ծրագրով նախատեսված միջոցառումների իրականացումն ավարտվում է 2019 թվականի դեկտեմբերին: Յուրաքանչյուր ոլորտի համար նախատեսվել են հստակ միջոցառումներ, սահմանվել են յուրաքանչյուր միջոցառման ակնկալվող արդյունքն ու կատարման օբյեկտիվ վերստուգելի չափանիշը, միջոցառման կատարման համար պատասխանատու մարմինը և համակատարողները, կատարման վերջնաժամկետները, ինչպես նաև անդրադարձ է կատարվել տվյալ միջոցառման կատարման համար անհրաժեշտ ֆինանսական միջոցների աղբյուրներին:</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sz w:val="20"/>
                <w:szCs w:val="20"/>
                <w:lang w:val="hy-AM"/>
              </w:rPr>
            </w:pPr>
            <w:r w:rsidRPr="00F619A4">
              <w:rPr>
                <w:rFonts w:ascii="GHEA Grapalat" w:hAnsi="GHEA Grapalat"/>
                <w:sz w:val="20"/>
                <w:szCs w:val="20"/>
              </w:rPr>
              <w:t>Առաջարկվում</w:t>
            </w:r>
            <w:r w:rsidRPr="00F619A4">
              <w:rPr>
                <w:rFonts w:ascii="GHEA Grapalat" w:hAnsi="GHEA Grapalat"/>
                <w:sz w:val="20"/>
                <w:szCs w:val="20"/>
                <w:lang w:val="hy-AM"/>
              </w:rPr>
              <w:t xml:space="preserve"> </w:t>
            </w:r>
            <w:r w:rsidRPr="00F619A4">
              <w:rPr>
                <w:rFonts w:ascii="GHEA Grapalat" w:hAnsi="GHEA Grapalat"/>
                <w:sz w:val="20"/>
                <w:szCs w:val="20"/>
              </w:rPr>
              <w:t>է</w:t>
            </w:r>
            <w:r w:rsidRPr="00F619A4">
              <w:rPr>
                <w:rFonts w:ascii="GHEA Grapalat" w:hAnsi="GHEA Grapalat"/>
                <w:sz w:val="20"/>
                <w:szCs w:val="20"/>
                <w:lang w:val="hy-AM"/>
              </w:rPr>
              <w:t xml:space="preserve"> </w:t>
            </w:r>
            <w:r w:rsidRPr="00F619A4">
              <w:rPr>
                <w:rFonts w:ascii="GHEA Grapalat" w:hAnsi="GHEA Grapalat"/>
                <w:sz w:val="20"/>
                <w:szCs w:val="20"/>
              </w:rPr>
              <w:t>մշակել</w:t>
            </w:r>
            <w:r w:rsidRPr="00F619A4">
              <w:rPr>
                <w:rFonts w:ascii="GHEA Grapalat" w:hAnsi="GHEA Grapalat"/>
                <w:sz w:val="20"/>
                <w:szCs w:val="20"/>
                <w:lang w:val="hy-AM"/>
              </w:rPr>
              <w:t xml:space="preserve"> </w:t>
            </w:r>
            <w:r w:rsidRPr="00F619A4">
              <w:rPr>
                <w:rFonts w:ascii="GHEA Grapalat" w:hAnsi="GHEA Grapalat"/>
                <w:sz w:val="20"/>
                <w:szCs w:val="20"/>
              </w:rPr>
              <w:t>մարդու</w:t>
            </w:r>
            <w:r w:rsidRPr="00F619A4">
              <w:rPr>
                <w:rFonts w:ascii="GHEA Grapalat" w:hAnsi="GHEA Grapalat"/>
                <w:sz w:val="20"/>
                <w:szCs w:val="20"/>
                <w:lang w:val="hy-AM"/>
              </w:rPr>
              <w:t xml:space="preserve"> </w:t>
            </w:r>
            <w:r w:rsidRPr="00F619A4">
              <w:rPr>
                <w:rFonts w:ascii="GHEA Grapalat" w:hAnsi="GHEA Grapalat"/>
                <w:sz w:val="20"/>
                <w:szCs w:val="20"/>
              </w:rPr>
              <w:t>իրավունքների</w:t>
            </w:r>
            <w:r w:rsidRPr="00F619A4">
              <w:rPr>
                <w:rFonts w:ascii="GHEA Grapalat" w:hAnsi="GHEA Grapalat"/>
                <w:sz w:val="20"/>
                <w:szCs w:val="20"/>
                <w:lang w:val="hy-AM"/>
              </w:rPr>
              <w:t xml:space="preserve"> </w:t>
            </w:r>
            <w:r w:rsidRPr="00F619A4">
              <w:rPr>
                <w:rFonts w:ascii="GHEA Grapalat" w:hAnsi="GHEA Grapalat"/>
                <w:sz w:val="20"/>
                <w:szCs w:val="20"/>
              </w:rPr>
              <w:t>պաշտպանության</w:t>
            </w:r>
            <w:r w:rsidRPr="00F619A4">
              <w:rPr>
                <w:rFonts w:ascii="GHEA Grapalat" w:hAnsi="GHEA Grapalat"/>
                <w:sz w:val="20"/>
                <w:szCs w:val="20"/>
                <w:lang w:val="hy-AM"/>
              </w:rPr>
              <w:t xml:space="preserve"> </w:t>
            </w:r>
            <w:r w:rsidRPr="00F619A4">
              <w:rPr>
                <w:rFonts w:ascii="GHEA Grapalat" w:hAnsi="GHEA Grapalat"/>
                <w:sz w:val="20"/>
                <w:szCs w:val="20"/>
              </w:rPr>
              <w:t>նոր</w:t>
            </w:r>
            <w:r w:rsidRPr="00F619A4">
              <w:rPr>
                <w:rFonts w:ascii="GHEA Grapalat" w:hAnsi="GHEA Grapalat"/>
                <w:sz w:val="20"/>
                <w:szCs w:val="20"/>
                <w:lang w:val="hy-AM"/>
              </w:rPr>
              <w:t xml:space="preserve"> </w:t>
            </w:r>
            <w:r w:rsidRPr="00F619A4">
              <w:rPr>
                <w:rFonts w:ascii="GHEA Grapalat" w:hAnsi="GHEA Grapalat"/>
                <w:sz w:val="20"/>
                <w:szCs w:val="20"/>
              </w:rPr>
              <w:t>ազգային</w:t>
            </w:r>
            <w:r w:rsidRPr="00F619A4">
              <w:rPr>
                <w:rFonts w:ascii="GHEA Grapalat" w:hAnsi="GHEA Grapalat"/>
                <w:sz w:val="20"/>
                <w:szCs w:val="20"/>
                <w:lang w:val="hy-AM"/>
              </w:rPr>
              <w:t xml:space="preserve"> </w:t>
            </w:r>
            <w:r w:rsidRPr="00F619A4">
              <w:rPr>
                <w:rFonts w:ascii="GHEA Grapalat" w:hAnsi="GHEA Grapalat"/>
                <w:sz w:val="20"/>
                <w:szCs w:val="20"/>
              </w:rPr>
              <w:t>ռազմավարության</w:t>
            </w:r>
            <w:r w:rsidRPr="00F619A4">
              <w:rPr>
                <w:rFonts w:ascii="GHEA Grapalat" w:hAnsi="GHEA Grapalat"/>
                <w:sz w:val="20"/>
                <w:szCs w:val="20"/>
                <w:lang w:val="hy-AM"/>
              </w:rPr>
              <w:t xml:space="preserve"> </w:t>
            </w:r>
            <w:r w:rsidRPr="00F619A4">
              <w:rPr>
                <w:rFonts w:ascii="GHEA Grapalat" w:hAnsi="GHEA Grapalat"/>
                <w:sz w:val="20"/>
                <w:szCs w:val="20"/>
              </w:rPr>
              <w:t>և</w:t>
            </w:r>
            <w:r w:rsidRPr="00F619A4">
              <w:rPr>
                <w:rFonts w:ascii="GHEA Grapalat" w:hAnsi="GHEA Grapalat"/>
                <w:sz w:val="20"/>
                <w:szCs w:val="20"/>
                <w:lang w:val="hy-AM"/>
              </w:rPr>
              <w:t xml:space="preserve"> </w:t>
            </w:r>
            <w:r w:rsidRPr="00F619A4">
              <w:rPr>
                <w:rFonts w:ascii="GHEA Grapalat" w:hAnsi="GHEA Grapalat"/>
                <w:sz w:val="20"/>
                <w:szCs w:val="20"/>
              </w:rPr>
              <w:t>դրանից</w:t>
            </w:r>
            <w:r w:rsidRPr="00F619A4">
              <w:rPr>
                <w:rFonts w:ascii="GHEA Grapalat" w:hAnsi="GHEA Grapalat"/>
                <w:sz w:val="20"/>
                <w:szCs w:val="20"/>
                <w:lang w:val="hy-AM"/>
              </w:rPr>
              <w:t xml:space="preserve"> </w:t>
            </w:r>
            <w:r w:rsidRPr="00F619A4">
              <w:rPr>
                <w:rFonts w:ascii="GHEA Grapalat" w:hAnsi="GHEA Grapalat"/>
                <w:sz w:val="20"/>
                <w:szCs w:val="20"/>
              </w:rPr>
              <w:t>բխող</w:t>
            </w:r>
            <w:r w:rsidRPr="00F619A4">
              <w:rPr>
                <w:rFonts w:ascii="GHEA Grapalat" w:hAnsi="GHEA Grapalat"/>
                <w:sz w:val="20"/>
                <w:szCs w:val="20"/>
                <w:lang w:val="hy-AM"/>
              </w:rPr>
              <w:t xml:space="preserve"> </w:t>
            </w:r>
            <w:r w:rsidRPr="00F619A4">
              <w:rPr>
                <w:rFonts w:ascii="GHEA Grapalat" w:hAnsi="GHEA Grapalat"/>
                <w:sz w:val="20"/>
                <w:szCs w:val="20"/>
              </w:rPr>
              <w:t>գործողությունների</w:t>
            </w:r>
            <w:r w:rsidRPr="00F619A4">
              <w:rPr>
                <w:rFonts w:ascii="GHEA Grapalat" w:hAnsi="GHEA Grapalat"/>
                <w:sz w:val="20"/>
                <w:szCs w:val="20"/>
                <w:lang w:val="hy-AM"/>
              </w:rPr>
              <w:t xml:space="preserve"> </w:t>
            </w:r>
            <w:r w:rsidRPr="00F619A4">
              <w:rPr>
                <w:rFonts w:ascii="GHEA Grapalat" w:hAnsi="GHEA Grapalat"/>
                <w:sz w:val="20"/>
                <w:szCs w:val="20"/>
              </w:rPr>
              <w:t>ծրագիր՝</w:t>
            </w:r>
            <w:r w:rsidRPr="00F619A4">
              <w:rPr>
                <w:rFonts w:ascii="GHEA Grapalat" w:hAnsi="GHEA Grapalat"/>
                <w:sz w:val="20"/>
                <w:szCs w:val="20"/>
                <w:lang w:val="hy-AM"/>
              </w:rPr>
              <w:t xml:space="preserve"> 3-</w:t>
            </w:r>
            <w:r w:rsidRPr="00F619A4">
              <w:rPr>
                <w:rFonts w:ascii="GHEA Grapalat" w:hAnsi="GHEA Grapalat"/>
                <w:sz w:val="20"/>
                <w:szCs w:val="20"/>
              </w:rPr>
              <w:t>ամյա</w:t>
            </w:r>
            <w:r w:rsidRPr="00F619A4">
              <w:rPr>
                <w:rFonts w:ascii="GHEA Grapalat" w:hAnsi="GHEA Grapalat"/>
                <w:sz w:val="20"/>
                <w:szCs w:val="20"/>
                <w:lang w:val="hy-AM"/>
              </w:rPr>
              <w:t xml:space="preserve"> </w:t>
            </w:r>
            <w:r w:rsidRPr="00F619A4">
              <w:rPr>
                <w:rFonts w:ascii="GHEA Grapalat" w:hAnsi="GHEA Grapalat"/>
                <w:sz w:val="20"/>
                <w:szCs w:val="20"/>
              </w:rPr>
              <w:t>կտրվածքով՝</w:t>
            </w:r>
            <w:r w:rsidRPr="00F619A4">
              <w:rPr>
                <w:rFonts w:ascii="GHEA Grapalat" w:hAnsi="GHEA Grapalat"/>
                <w:sz w:val="20"/>
                <w:szCs w:val="20"/>
                <w:lang w:val="hy-AM"/>
              </w:rPr>
              <w:t xml:space="preserve"> 2020-2022</w:t>
            </w:r>
            <w:r w:rsidRPr="00F619A4">
              <w:rPr>
                <w:rFonts w:ascii="GHEA Grapalat" w:hAnsi="GHEA Grapalat"/>
                <w:sz w:val="20"/>
                <w:szCs w:val="20"/>
              </w:rPr>
              <w:t>թթ</w:t>
            </w:r>
            <w:r w:rsidRPr="00F619A4">
              <w:rPr>
                <w:rFonts w:ascii="GHEA Grapalat" w:hAnsi="GHEA Grapalat"/>
                <w:sz w:val="20"/>
                <w:szCs w:val="20"/>
                <w:lang w:val="hy-AM"/>
              </w:rPr>
              <w:t xml:space="preserve">, </w:t>
            </w:r>
            <w:r w:rsidRPr="00F619A4">
              <w:rPr>
                <w:rFonts w:ascii="GHEA Grapalat" w:hAnsi="GHEA Grapalat"/>
                <w:sz w:val="20"/>
                <w:szCs w:val="20"/>
              </w:rPr>
              <w:t>այնուհետ</w:t>
            </w:r>
            <w:r w:rsidRPr="00F619A4">
              <w:rPr>
                <w:rFonts w:ascii="GHEA Grapalat" w:hAnsi="GHEA Grapalat"/>
                <w:sz w:val="20"/>
                <w:szCs w:val="20"/>
                <w:lang w:val="hy-AM"/>
              </w:rPr>
              <w:t xml:space="preserve"> 2023-2025</w:t>
            </w:r>
            <w:r w:rsidRPr="00F619A4">
              <w:rPr>
                <w:rFonts w:ascii="GHEA Grapalat" w:hAnsi="GHEA Grapalat"/>
                <w:sz w:val="20"/>
                <w:szCs w:val="20"/>
              </w:rPr>
              <w:t>թթ</w:t>
            </w:r>
            <w:r w:rsidRPr="00F619A4">
              <w:rPr>
                <w:rFonts w:ascii="GHEA Grapalat" w:hAnsi="GHEA Grapalat"/>
                <w:sz w:val="20"/>
                <w:szCs w:val="20"/>
                <w:lang w:val="hy-AM"/>
              </w:rPr>
              <w:t xml:space="preserve">. </w:t>
            </w:r>
            <w:r w:rsidRPr="00F619A4">
              <w:rPr>
                <w:rFonts w:ascii="GHEA Grapalat" w:hAnsi="GHEA Grapalat"/>
                <w:sz w:val="20"/>
                <w:szCs w:val="20"/>
              </w:rPr>
              <w:t>համար</w:t>
            </w:r>
            <w:r w:rsidRPr="00F619A4">
              <w:rPr>
                <w:rFonts w:ascii="GHEA Grapalat" w:hAnsi="GHEA Grapalat"/>
                <w:sz w:val="20"/>
                <w:szCs w:val="20"/>
                <w:lang w:val="hy-AM"/>
              </w:rPr>
              <w:t xml:space="preserve">, </w:t>
            </w:r>
            <w:r w:rsidRPr="00F619A4">
              <w:rPr>
                <w:rFonts w:ascii="GHEA Grapalat" w:hAnsi="GHEA Grapalat"/>
                <w:sz w:val="20"/>
                <w:szCs w:val="20"/>
              </w:rPr>
              <w:t>որի</w:t>
            </w:r>
            <w:r w:rsidRPr="00F619A4">
              <w:rPr>
                <w:rFonts w:ascii="GHEA Grapalat" w:hAnsi="GHEA Grapalat"/>
                <w:sz w:val="20"/>
                <w:szCs w:val="20"/>
                <w:lang w:val="hy-AM"/>
              </w:rPr>
              <w:t xml:space="preserve"> </w:t>
            </w:r>
            <w:r w:rsidRPr="00F619A4">
              <w:rPr>
                <w:rFonts w:ascii="GHEA Grapalat" w:hAnsi="GHEA Grapalat"/>
                <w:sz w:val="20"/>
                <w:szCs w:val="20"/>
              </w:rPr>
              <w:t>նպատակն</w:t>
            </w:r>
            <w:r w:rsidRPr="00F619A4">
              <w:rPr>
                <w:rFonts w:ascii="GHEA Grapalat" w:hAnsi="GHEA Grapalat"/>
                <w:sz w:val="20"/>
                <w:szCs w:val="20"/>
                <w:lang w:val="hy-AM"/>
              </w:rPr>
              <w:t xml:space="preserve"> </w:t>
            </w:r>
            <w:r w:rsidRPr="00F619A4">
              <w:rPr>
                <w:rFonts w:ascii="GHEA Grapalat" w:hAnsi="GHEA Grapalat"/>
                <w:sz w:val="20"/>
                <w:szCs w:val="20"/>
              </w:rPr>
              <w:t>է</w:t>
            </w:r>
            <w:r w:rsidRPr="00F619A4">
              <w:rPr>
                <w:rFonts w:ascii="GHEA Grapalat" w:hAnsi="GHEA Grapalat"/>
                <w:sz w:val="20"/>
                <w:szCs w:val="20"/>
                <w:lang w:val="hy-AM"/>
              </w:rPr>
              <w:t xml:space="preserve"> </w:t>
            </w:r>
            <w:r w:rsidRPr="00F619A4">
              <w:rPr>
                <w:rFonts w:ascii="GHEA Grapalat" w:hAnsi="GHEA Grapalat"/>
                <w:sz w:val="20"/>
                <w:szCs w:val="20"/>
              </w:rPr>
              <w:t>առավել</w:t>
            </w:r>
            <w:r w:rsidRPr="00F619A4">
              <w:rPr>
                <w:rFonts w:ascii="GHEA Grapalat" w:hAnsi="GHEA Grapalat"/>
                <w:sz w:val="20"/>
                <w:szCs w:val="20"/>
                <w:lang w:val="hy-AM"/>
              </w:rPr>
              <w:t xml:space="preserve"> </w:t>
            </w:r>
            <w:r w:rsidRPr="00F619A4">
              <w:rPr>
                <w:rFonts w:ascii="GHEA Grapalat" w:hAnsi="GHEA Grapalat"/>
                <w:sz w:val="20"/>
                <w:szCs w:val="20"/>
              </w:rPr>
              <w:t>համակարգված</w:t>
            </w:r>
            <w:r w:rsidRPr="00F619A4">
              <w:rPr>
                <w:rFonts w:ascii="GHEA Grapalat" w:hAnsi="GHEA Grapalat"/>
                <w:sz w:val="20"/>
                <w:szCs w:val="20"/>
                <w:lang w:val="hy-AM"/>
              </w:rPr>
              <w:t xml:space="preserve"> </w:t>
            </w:r>
            <w:r w:rsidRPr="00F619A4">
              <w:rPr>
                <w:rFonts w:ascii="GHEA Grapalat" w:hAnsi="GHEA Grapalat"/>
                <w:sz w:val="20"/>
                <w:szCs w:val="20"/>
              </w:rPr>
              <w:t>և</w:t>
            </w:r>
            <w:r w:rsidRPr="00F619A4">
              <w:rPr>
                <w:rFonts w:ascii="GHEA Grapalat" w:hAnsi="GHEA Grapalat"/>
                <w:sz w:val="20"/>
                <w:szCs w:val="20"/>
                <w:lang w:val="hy-AM"/>
              </w:rPr>
              <w:t xml:space="preserve"> </w:t>
            </w:r>
            <w:r w:rsidRPr="00F619A4">
              <w:rPr>
                <w:rFonts w:ascii="GHEA Grapalat" w:hAnsi="GHEA Grapalat"/>
                <w:sz w:val="20"/>
                <w:szCs w:val="20"/>
              </w:rPr>
              <w:t>արդյունավետ</w:t>
            </w:r>
            <w:r w:rsidRPr="00F619A4">
              <w:rPr>
                <w:rFonts w:ascii="GHEA Grapalat" w:hAnsi="GHEA Grapalat"/>
                <w:sz w:val="20"/>
                <w:szCs w:val="20"/>
                <w:lang w:val="hy-AM"/>
              </w:rPr>
              <w:t xml:space="preserve"> </w:t>
            </w:r>
            <w:r w:rsidRPr="00F619A4">
              <w:rPr>
                <w:rFonts w:ascii="GHEA Grapalat" w:hAnsi="GHEA Grapalat"/>
                <w:sz w:val="20"/>
                <w:szCs w:val="20"/>
              </w:rPr>
              <w:t>դարձնել</w:t>
            </w:r>
            <w:r w:rsidRPr="00F619A4">
              <w:rPr>
                <w:rFonts w:ascii="GHEA Grapalat" w:hAnsi="GHEA Grapalat"/>
                <w:sz w:val="20"/>
                <w:szCs w:val="20"/>
                <w:lang w:val="hy-AM"/>
              </w:rPr>
              <w:t xml:space="preserve"> </w:t>
            </w:r>
            <w:r w:rsidRPr="00F619A4">
              <w:rPr>
                <w:rFonts w:ascii="GHEA Grapalat" w:hAnsi="GHEA Grapalat"/>
                <w:sz w:val="20"/>
                <w:szCs w:val="20"/>
              </w:rPr>
              <w:t>հանրապետական</w:t>
            </w:r>
            <w:r w:rsidRPr="00F619A4">
              <w:rPr>
                <w:rFonts w:ascii="GHEA Grapalat" w:hAnsi="GHEA Grapalat"/>
                <w:sz w:val="20"/>
                <w:szCs w:val="20"/>
                <w:lang w:val="hy-AM"/>
              </w:rPr>
              <w:t xml:space="preserve"> </w:t>
            </w:r>
            <w:r w:rsidRPr="00F619A4">
              <w:rPr>
                <w:rFonts w:ascii="GHEA Grapalat" w:hAnsi="GHEA Grapalat"/>
                <w:sz w:val="20"/>
                <w:szCs w:val="20"/>
              </w:rPr>
              <w:t>գործադիր</w:t>
            </w:r>
            <w:r w:rsidRPr="00F619A4">
              <w:rPr>
                <w:rFonts w:ascii="GHEA Grapalat" w:hAnsi="GHEA Grapalat"/>
                <w:sz w:val="20"/>
                <w:szCs w:val="20"/>
                <w:lang w:val="hy-AM"/>
              </w:rPr>
              <w:t xml:space="preserve"> </w:t>
            </w:r>
            <w:r w:rsidRPr="00F619A4">
              <w:rPr>
                <w:rFonts w:ascii="GHEA Grapalat" w:hAnsi="GHEA Grapalat"/>
                <w:sz w:val="20"/>
                <w:szCs w:val="20"/>
              </w:rPr>
              <w:t>և</w:t>
            </w:r>
            <w:r w:rsidRPr="00F619A4">
              <w:rPr>
                <w:rFonts w:ascii="GHEA Grapalat" w:hAnsi="GHEA Grapalat"/>
                <w:sz w:val="20"/>
                <w:szCs w:val="20"/>
                <w:lang w:val="hy-AM"/>
              </w:rPr>
              <w:t xml:space="preserve"> </w:t>
            </w:r>
            <w:r w:rsidRPr="00F619A4">
              <w:rPr>
                <w:rFonts w:ascii="GHEA Grapalat" w:hAnsi="GHEA Grapalat"/>
                <w:sz w:val="20"/>
                <w:szCs w:val="20"/>
              </w:rPr>
              <w:t>օրենքով</w:t>
            </w:r>
            <w:r w:rsidRPr="00F619A4">
              <w:rPr>
                <w:rFonts w:ascii="GHEA Grapalat" w:hAnsi="GHEA Grapalat"/>
                <w:sz w:val="20"/>
                <w:szCs w:val="20"/>
                <w:lang w:val="hy-AM"/>
              </w:rPr>
              <w:t xml:space="preserve"> </w:t>
            </w:r>
            <w:r w:rsidRPr="00F619A4">
              <w:rPr>
                <w:rFonts w:ascii="GHEA Grapalat" w:hAnsi="GHEA Grapalat"/>
                <w:sz w:val="20"/>
                <w:szCs w:val="20"/>
              </w:rPr>
              <w:t>ստեղծված</w:t>
            </w:r>
            <w:r w:rsidRPr="00F619A4">
              <w:rPr>
                <w:rFonts w:ascii="GHEA Grapalat" w:hAnsi="GHEA Grapalat"/>
                <w:sz w:val="20"/>
                <w:szCs w:val="20"/>
                <w:lang w:val="hy-AM"/>
              </w:rPr>
              <w:t xml:space="preserve"> </w:t>
            </w:r>
            <w:r w:rsidRPr="00F619A4">
              <w:rPr>
                <w:rFonts w:ascii="GHEA Grapalat" w:hAnsi="GHEA Grapalat"/>
                <w:sz w:val="20"/>
                <w:szCs w:val="20"/>
              </w:rPr>
              <w:t>պետական</w:t>
            </w:r>
            <w:r w:rsidRPr="00F619A4">
              <w:rPr>
                <w:rFonts w:ascii="GHEA Grapalat" w:hAnsi="GHEA Grapalat"/>
                <w:sz w:val="20"/>
                <w:szCs w:val="20"/>
                <w:lang w:val="hy-AM"/>
              </w:rPr>
              <w:t xml:space="preserve"> </w:t>
            </w:r>
            <w:r w:rsidRPr="00F619A4">
              <w:rPr>
                <w:rFonts w:ascii="GHEA Grapalat" w:hAnsi="GHEA Grapalat"/>
                <w:sz w:val="20"/>
                <w:szCs w:val="20"/>
              </w:rPr>
              <w:t>մարմինների</w:t>
            </w:r>
            <w:r w:rsidRPr="00F619A4">
              <w:rPr>
                <w:rFonts w:ascii="GHEA Grapalat" w:hAnsi="GHEA Grapalat"/>
                <w:sz w:val="20"/>
                <w:szCs w:val="20"/>
                <w:lang w:val="hy-AM"/>
              </w:rPr>
              <w:t xml:space="preserve"> </w:t>
            </w:r>
            <w:r w:rsidRPr="00F619A4">
              <w:rPr>
                <w:rFonts w:ascii="GHEA Grapalat" w:hAnsi="GHEA Grapalat"/>
                <w:sz w:val="20"/>
                <w:szCs w:val="20"/>
              </w:rPr>
              <w:t>գործողությունները</w:t>
            </w:r>
            <w:r w:rsidRPr="00F619A4">
              <w:rPr>
                <w:rFonts w:ascii="GHEA Grapalat" w:hAnsi="GHEA Grapalat"/>
                <w:sz w:val="20"/>
                <w:szCs w:val="20"/>
                <w:lang w:val="hy-AM"/>
              </w:rPr>
              <w:t xml:space="preserve">, </w:t>
            </w:r>
            <w:r w:rsidRPr="00F619A4">
              <w:rPr>
                <w:rFonts w:ascii="GHEA Grapalat" w:hAnsi="GHEA Grapalat"/>
                <w:sz w:val="20"/>
                <w:szCs w:val="20"/>
              </w:rPr>
              <w:t>որոնք</w:t>
            </w:r>
            <w:r w:rsidRPr="00F619A4">
              <w:rPr>
                <w:rFonts w:ascii="GHEA Grapalat" w:hAnsi="GHEA Grapalat"/>
                <w:sz w:val="20"/>
                <w:szCs w:val="20"/>
                <w:lang w:val="hy-AM"/>
              </w:rPr>
              <w:t xml:space="preserve"> </w:t>
            </w:r>
            <w:r w:rsidRPr="00F619A4">
              <w:rPr>
                <w:rFonts w:ascii="GHEA Grapalat" w:hAnsi="GHEA Grapalat"/>
                <w:sz w:val="20"/>
                <w:szCs w:val="20"/>
              </w:rPr>
              <w:t>հնարավոր</w:t>
            </w:r>
            <w:r w:rsidRPr="00F619A4">
              <w:rPr>
                <w:rFonts w:ascii="GHEA Grapalat" w:hAnsi="GHEA Grapalat"/>
                <w:sz w:val="20"/>
                <w:szCs w:val="20"/>
                <w:lang w:val="hy-AM"/>
              </w:rPr>
              <w:t xml:space="preserve"> </w:t>
            </w:r>
            <w:r w:rsidRPr="00F619A4">
              <w:rPr>
                <w:rFonts w:ascii="GHEA Grapalat" w:hAnsi="GHEA Grapalat"/>
                <w:sz w:val="20"/>
                <w:szCs w:val="20"/>
              </w:rPr>
              <w:t>կդարձնեն</w:t>
            </w:r>
            <w:r w:rsidRPr="00F619A4">
              <w:rPr>
                <w:rFonts w:ascii="GHEA Grapalat" w:hAnsi="GHEA Grapalat"/>
                <w:sz w:val="20"/>
                <w:szCs w:val="20"/>
                <w:lang w:val="hy-AM"/>
              </w:rPr>
              <w:t xml:space="preserve"> </w:t>
            </w:r>
            <w:r w:rsidRPr="00F619A4">
              <w:rPr>
                <w:rFonts w:ascii="GHEA Grapalat" w:hAnsi="GHEA Grapalat"/>
                <w:sz w:val="20"/>
                <w:szCs w:val="20"/>
              </w:rPr>
              <w:t>ՀՀ</w:t>
            </w:r>
            <w:r w:rsidRPr="00F619A4">
              <w:rPr>
                <w:rFonts w:ascii="GHEA Grapalat" w:hAnsi="GHEA Grapalat"/>
                <w:sz w:val="20"/>
                <w:szCs w:val="20"/>
                <w:lang w:val="hy-AM"/>
              </w:rPr>
              <w:t xml:space="preserve"> </w:t>
            </w:r>
            <w:r w:rsidRPr="00F619A4">
              <w:rPr>
                <w:rFonts w:ascii="GHEA Grapalat" w:hAnsi="GHEA Grapalat"/>
                <w:sz w:val="20"/>
                <w:szCs w:val="20"/>
              </w:rPr>
              <w:t>Սահմանադրության</w:t>
            </w:r>
            <w:r w:rsidRPr="00F619A4">
              <w:rPr>
                <w:rFonts w:ascii="GHEA Grapalat" w:hAnsi="GHEA Grapalat"/>
                <w:sz w:val="20"/>
                <w:szCs w:val="20"/>
                <w:lang w:val="hy-AM"/>
              </w:rPr>
              <w:t xml:space="preserve"> 3-</w:t>
            </w:r>
            <w:r w:rsidRPr="00F619A4">
              <w:rPr>
                <w:rFonts w:ascii="GHEA Grapalat" w:hAnsi="GHEA Grapalat"/>
                <w:sz w:val="20"/>
                <w:szCs w:val="20"/>
              </w:rPr>
              <w:t>րդ</w:t>
            </w:r>
            <w:r w:rsidRPr="00F619A4">
              <w:rPr>
                <w:rFonts w:ascii="GHEA Grapalat" w:hAnsi="GHEA Grapalat"/>
                <w:sz w:val="20"/>
                <w:szCs w:val="20"/>
                <w:lang w:val="hy-AM"/>
              </w:rPr>
              <w:t xml:space="preserve"> </w:t>
            </w:r>
            <w:r w:rsidRPr="00F619A4">
              <w:rPr>
                <w:rFonts w:ascii="GHEA Grapalat" w:hAnsi="GHEA Grapalat"/>
                <w:sz w:val="20"/>
                <w:szCs w:val="20"/>
              </w:rPr>
              <w:t>հոդվածով</w:t>
            </w:r>
            <w:r w:rsidRPr="00F619A4">
              <w:rPr>
                <w:rFonts w:ascii="GHEA Grapalat" w:hAnsi="GHEA Grapalat"/>
                <w:sz w:val="20"/>
                <w:szCs w:val="20"/>
                <w:lang w:val="hy-AM"/>
              </w:rPr>
              <w:t xml:space="preserve"> </w:t>
            </w:r>
            <w:r w:rsidRPr="00F619A4">
              <w:rPr>
                <w:rFonts w:ascii="GHEA Grapalat" w:hAnsi="GHEA Grapalat"/>
                <w:sz w:val="20"/>
                <w:szCs w:val="20"/>
              </w:rPr>
              <w:t>և</w:t>
            </w:r>
            <w:r w:rsidRPr="00F619A4">
              <w:rPr>
                <w:rFonts w:ascii="GHEA Grapalat" w:hAnsi="GHEA Grapalat"/>
                <w:sz w:val="20"/>
                <w:szCs w:val="20"/>
                <w:lang w:val="hy-AM"/>
              </w:rPr>
              <w:t xml:space="preserve"> </w:t>
            </w:r>
            <w:r w:rsidRPr="00F619A4">
              <w:rPr>
                <w:rFonts w:ascii="GHEA Grapalat" w:hAnsi="GHEA Grapalat"/>
                <w:sz w:val="20"/>
                <w:szCs w:val="20"/>
              </w:rPr>
              <w:t>ՀՀ</w:t>
            </w:r>
            <w:r w:rsidRPr="00F619A4">
              <w:rPr>
                <w:rFonts w:ascii="GHEA Grapalat" w:hAnsi="GHEA Grapalat"/>
                <w:sz w:val="20"/>
                <w:szCs w:val="20"/>
                <w:lang w:val="hy-AM"/>
              </w:rPr>
              <w:t xml:space="preserve"> </w:t>
            </w:r>
            <w:r w:rsidRPr="00F619A4">
              <w:rPr>
                <w:rFonts w:ascii="GHEA Grapalat" w:hAnsi="GHEA Grapalat"/>
                <w:sz w:val="20"/>
                <w:szCs w:val="20"/>
              </w:rPr>
              <w:t>կառավարության</w:t>
            </w:r>
            <w:r w:rsidRPr="00F619A4">
              <w:rPr>
                <w:rFonts w:ascii="GHEA Grapalat" w:hAnsi="GHEA Grapalat"/>
                <w:sz w:val="20"/>
                <w:szCs w:val="20"/>
                <w:lang w:val="hy-AM"/>
              </w:rPr>
              <w:t xml:space="preserve"> </w:t>
            </w:r>
            <w:r w:rsidRPr="00F619A4">
              <w:rPr>
                <w:rFonts w:ascii="GHEA Grapalat" w:hAnsi="GHEA Grapalat"/>
                <w:sz w:val="20"/>
                <w:szCs w:val="20"/>
              </w:rPr>
              <w:t>ծրագրով</w:t>
            </w:r>
            <w:r w:rsidRPr="00F619A4">
              <w:rPr>
                <w:rFonts w:ascii="GHEA Grapalat" w:hAnsi="GHEA Grapalat"/>
                <w:sz w:val="20"/>
                <w:szCs w:val="20"/>
                <w:lang w:val="hy-AM"/>
              </w:rPr>
              <w:t xml:space="preserve"> </w:t>
            </w:r>
            <w:r w:rsidRPr="00F619A4">
              <w:rPr>
                <w:rFonts w:ascii="GHEA Grapalat" w:hAnsi="GHEA Grapalat"/>
                <w:sz w:val="20"/>
                <w:szCs w:val="20"/>
              </w:rPr>
              <w:t>ամրագրված</w:t>
            </w:r>
            <w:r w:rsidRPr="00F619A4">
              <w:rPr>
                <w:rFonts w:ascii="GHEA Grapalat" w:hAnsi="GHEA Grapalat"/>
                <w:sz w:val="20"/>
                <w:szCs w:val="20"/>
                <w:lang w:val="hy-AM"/>
              </w:rPr>
              <w:t xml:space="preserve"> </w:t>
            </w:r>
            <w:r w:rsidRPr="00F619A4">
              <w:rPr>
                <w:rFonts w:ascii="GHEA Grapalat" w:hAnsi="GHEA Grapalat"/>
                <w:sz w:val="20"/>
                <w:szCs w:val="20"/>
              </w:rPr>
              <w:t>նպատակների</w:t>
            </w:r>
            <w:r w:rsidRPr="00F619A4">
              <w:rPr>
                <w:rFonts w:ascii="GHEA Grapalat" w:hAnsi="GHEA Grapalat"/>
                <w:sz w:val="20"/>
                <w:szCs w:val="20"/>
                <w:lang w:val="hy-AM"/>
              </w:rPr>
              <w:t xml:space="preserve"> </w:t>
            </w:r>
            <w:r w:rsidRPr="00F619A4">
              <w:rPr>
                <w:rFonts w:ascii="GHEA Grapalat" w:hAnsi="GHEA Grapalat"/>
                <w:sz w:val="20"/>
                <w:szCs w:val="20"/>
              </w:rPr>
              <w:t>իրագործումը</w:t>
            </w:r>
            <w:r w:rsidRPr="00F619A4">
              <w:rPr>
                <w:rFonts w:ascii="GHEA Grapalat" w:hAnsi="GHEA Grapalat"/>
                <w:sz w:val="20"/>
                <w:szCs w:val="20"/>
                <w:lang w:val="hy-AM"/>
              </w:rPr>
              <w:t>:</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 xml:space="preserve">2. </w:t>
            </w:r>
            <w:r w:rsidRPr="00F619A4">
              <w:rPr>
                <w:rFonts w:ascii="GHEA Grapalat" w:hAnsi="GHEA Grapalat"/>
                <w:b/>
                <w:sz w:val="20"/>
                <w:szCs w:val="20"/>
              </w:rPr>
              <w:t>Միջոցառման</w:t>
            </w:r>
            <w:r w:rsidRPr="00F619A4">
              <w:rPr>
                <w:rFonts w:ascii="GHEA Grapalat" w:hAnsi="GHEA Grapalat"/>
                <w:b/>
                <w:sz w:val="20"/>
                <w:szCs w:val="20"/>
                <w:lang w:val="hy-AM"/>
              </w:rPr>
              <w:t xml:space="preserve"> </w:t>
            </w:r>
            <w:r w:rsidRPr="00F619A4">
              <w:rPr>
                <w:rFonts w:ascii="GHEA Grapalat" w:hAnsi="GHEA Grapalat"/>
                <w:b/>
                <w:sz w:val="20"/>
                <w:szCs w:val="20"/>
              </w:rPr>
              <w:t>իրականացումից</w:t>
            </w:r>
            <w:r w:rsidRPr="00F619A4">
              <w:rPr>
                <w:rFonts w:ascii="GHEA Grapalat" w:hAnsi="GHEA Grapalat"/>
                <w:b/>
                <w:sz w:val="20"/>
                <w:szCs w:val="20"/>
                <w:lang w:val="hy-AM"/>
              </w:rPr>
              <w:t xml:space="preserve"> </w:t>
            </w:r>
            <w:r w:rsidRPr="00F619A4">
              <w:rPr>
                <w:rFonts w:ascii="GHEA Grapalat" w:hAnsi="GHEA Grapalat"/>
                <w:b/>
                <w:sz w:val="20"/>
                <w:szCs w:val="20"/>
              </w:rPr>
              <w:t>ակնկալվող</w:t>
            </w:r>
            <w:r w:rsidRPr="00F619A4">
              <w:rPr>
                <w:rFonts w:ascii="GHEA Grapalat" w:hAnsi="GHEA Grapalat"/>
                <w:b/>
                <w:sz w:val="20"/>
                <w:szCs w:val="20"/>
                <w:lang w:val="hy-AM"/>
              </w:rPr>
              <w:t xml:space="preserve"> </w:t>
            </w:r>
            <w:r w:rsidRPr="00F619A4">
              <w:rPr>
                <w:rFonts w:ascii="GHEA Grapalat" w:hAnsi="GHEA Grapalat"/>
                <w:b/>
                <w:sz w:val="20"/>
                <w:szCs w:val="20"/>
              </w:rPr>
              <w:t>արդյունքը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sz w:val="20"/>
                <w:szCs w:val="20"/>
                <w:lang w:val="hy-AM"/>
              </w:rPr>
            </w:pPr>
            <w:r w:rsidRPr="00F619A4">
              <w:rPr>
                <w:rFonts w:ascii="GHEA Grapalat" w:hAnsi="GHEA Grapalat"/>
                <w:sz w:val="20"/>
                <w:szCs w:val="20"/>
              </w:rPr>
              <w:t>ՀՀ</w:t>
            </w:r>
            <w:r w:rsidRPr="00F619A4">
              <w:rPr>
                <w:rFonts w:ascii="GHEA Grapalat" w:hAnsi="GHEA Grapalat"/>
                <w:sz w:val="20"/>
                <w:szCs w:val="20"/>
                <w:lang w:val="hy-AM"/>
              </w:rPr>
              <w:t xml:space="preserve"> </w:t>
            </w:r>
            <w:r w:rsidRPr="00F619A4">
              <w:rPr>
                <w:rFonts w:ascii="GHEA Grapalat" w:hAnsi="GHEA Grapalat"/>
                <w:sz w:val="20"/>
                <w:szCs w:val="20"/>
              </w:rPr>
              <w:t>բարեփոխումների</w:t>
            </w:r>
            <w:r w:rsidRPr="00F619A4">
              <w:rPr>
                <w:rFonts w:ascii="GHEA Grapalat" w:hAnsi="GHEA Grapalat"/>
                <w:sz w:val="20"/>
                <w:szCs w:val="20"/>
                <w:lang w:val="hy-AM"/>
              </w:rPr>
              <w:t xml:space="preserve"> </w:t>
            </w:r>
            <w:r w:rsidRPr="00F619A4">
              <w:rPr>
                <w:rFonts w:ascii="GHEA Grapalat" w:hAnsi="GHEA Grapalat"/>
                <w:sz w:val="20"/>
                <w:szCs w:val="20"/>
              </w:rPr>
              <w:t>ներկա</w:t>
            </w:r>
            <w:r w:rsidRPr="00F619A4">
              <w:rPr>
                <w:rFonts w:ascii="GHEA Grapalat" w:hAnsi="GHEA Grapalat"/>
                <w:sz w:val="20"/>
                <w:szCs w:val="20"/>
                <w:lang w:val="hy-AM"/>
              </w:rPr>
              <w:t xml:space="preserve"> </w:t>
            </w:r>
            <w:r w:rsidRPr="00F619A4">
              <w:rPr>
                <w:rFonts w:ascii="GHEA Grapalat" w:hAnsi="GHEA Grapalat"/>
                <w:sz w:val="20"/>
                <w:szCs w:val="20"/>
              </w:rPr>
              <w:t>փուլի</w:t>
            </w:r>
            <w:r w:rsidRPr="00F619A4">
              <w:rPr>
                <w:rFonts w:ascii="GHEA Grapalat" w:hAnsi="GHEA Grapalat"/>
                <w:sz w:val="20"/>
                <w:szCs w:val="20"/>
                <w:lang w:val="hy-AM"/>
              </w:rPr>
              <w:t xml:space="preserve"> </w:t>
            </w:r>
            <w:r w:rsidRPr="00F619A4">
              <w:rPr>
                <w:rFonts w:ascii="GHEA Grapalat" w:hAnsi="GHEA Grapalat"/>
                <w:sz w:val="20"/>
                <w:szCs w:val="20"/>
              </w:rPr>
              <w:t>առանձնահատկություններով</w:t>
            </w:r>
            <w:r w:rsidRPr="00F619A4">
              <w:rPr>
                <w:rFonts w:ascii="GHEA Grapalat" w:hAnsi="GHEA Grapalat"/>
                <w:sz w:val="20"/>
                <w:szCs w:val="20"/>
                <w:lang w:val="hy-AM"/>
              </w:rPr>
              <w:t xml:space="preserve"> </w:t>
            </w:r>
            <w:r w:rsidRPr="00F619A4">
              <w:rPr>
                <w:rFonts w:ascii="GHEA Grapalat" w:hAnsi="GHEA Grapalat"/>
                <w:sz w:val="20"/>
                <w:szCs w:val="20"/>
              </w:rPr>
              <w:t>և</w:t>
            </w:r>
            <w:r w:rsidRPr="00F619A4">
              <w:rPr>
                <w:rFonts w:ascii="GHEA Grapalat" w:hAnsi="GHEA Grapalat"/>
                <w:sz w:val="20"/>
                <w:szCs w:val="20"/>
                <w:lang w:val="hy-AM"/>
              </w:rPr>
              <w:t xml:space="preserve"> </w:t>
            </w:r>
            <w:r w:rsidRPr="00F619A4">
              <w:rPr>
                <w:rFonts w:ascii="GHEA Grapalat" w:hAnsi="GHEA Grapalat"/>
                <w:sz w:val="20"/>
                <w:szCs w:val="20"/>
              </w:rPr>
              <w:t>ՀՀ</w:t>
            </w:r>
            <w:r w:rsidRPr="00F619A4">
              <w:rPr>
                <w:rFonts w:ascii="GHEA Grapalat" w:hAnsi="GHEA Grapalat"/>
                <w:sz w:val="20"/>
                <w:szCs w:val="20"/>
                <w:lang w:val="hy-AM"/>
              </w:rPr>
              <w:t xml:space="preserve"> </w:t>
            </w:r>
            <w:r w:rsidRPr="00F619A4">
              <w:rPr>
                <w:rFonts w:ascii="GHEA Grapalat" w:hAnsi="GHEA Grapalat"/>
                <w:sz w:val="20"/>
                <w:szCs w:val="20"/>
              </w:rPr>
              <w:t>կառավարության</w:t>
            </w:r>
            <w:r w:rsidRPr="00F619A4">
              <w:rPr>
                <w:rFonts w:ascii="GHEA Grapalat" w:hAnsi="GHEA Grapalat"/>
                <w:sz w:val="20"/>
                <w:szCs w:val="20"/>
                <w:lang w:val="hy-AM"/>
              </w:rPr>
              <w:t xml:space="preserve"> </w:t>
            </w:r>
            <w:r w:rsidRPr="00F619A4">
              <w:rPr>
                <w:rFonts w:ascii="GHEA Grapalat" w:hAnsi="GHEA Grapalat"/>
                <w:sz w:val="20"/>
                <w:szCs w:val="20"/>
              </w:rPr>
              <w:t>քաղաքականության</w:t>
            </w:r>
            <w:r w:rsidRPr="00F619A4">
              <w:rPr>
                <w:rFonts w:ascii="GHEA Grapalat" w:hAnsi="GHEA Grapalat"/>
                <w:sz w:val="20"/>
                <w:szCs w:val="20"/>
                <w:lang w:val="hy-AM"/>
              </w:rPr>
              <w:t xml:space="preserve"> </w:t>
            </w:r>
            <w:r w:rsidRPr="00F619A4">
              <w:rPr>
                <w:rFonts w:ascii="GHEA Grapalat" w:hAnsi="GHEA Grapalat"/>
                <w:sz w:val="20"/>
                <w:szCs w:val="20"/>
              </w:rPr>
              <w:t>առաջնահերթություններով</w:t>
            </w:r>
            <w:r w:rsidRPr="00F619A4">
              <w:rPr>
                <w:rFonts w:ascii="GHEA Grapalat" w:hAnsi="GHEA Grapalat"/>
                <w:sz w:val="20"/>
                <w:szCs w:val="20"/>
                <w:lang w:val="hy-AM"/>
              </w:rPr>
              <w:t xml:space="preserve"> </w:t>
            </w:r>
            <w:r w:rsidRPr="00F619A4">
              <w:rPr>
                <w:rFonts w:ascii="GHEA Grapalat" w:hAnsi="GHEA Grapalat"/>
                <w:sz w:val="20"/>
                <w:szCs w:val="20"/>
              </w:rPr>
              <w:t>պայմանավորված՝</w:t>
            </w:r>
            <w:r w:rsidRPr="00F619A4">
              <w:rPr>
                <w:rFonts w:ascii="GHEA Grapalat" w:hAnsi="GHEA Grapalat"/>
                <w:sz w:val="20"/>
                <w:szCs w:val="20"/>
                <w:lang w:val="hy-AM"/>
              </w:rPr>
              <w:t xml:space="preserve"> </w:t>
            </w:r>
            <w:r w:rsidRPr="00F619A4">
              <w:rPr>
                <w:rFonts w:ascii="GHEA Grapalat" w:hAnsi="GHEA Grapalat"/>
                <w:sz w:val="20"/>
                <w:szCs w:val="20"/>
              </w:rPr>
              <w:t>Ռազմավարության</w:t>
            </w:r>
            <w:r w:rsidRPr="00F619A4">
              <w:rPr>
                <w:rFonts w:ascii="GHEA Grapalat" w:hAnsi="GHEA Grapalat"/>
                <w:sz w:val="20"/>
                <w:szCs w:val="20"/>
                <w:lang w:val="hy-AM"/>
              </w:rPr>
              <w:t xml:space="preserve"> </w:t>
            </w:r>
            <w:r w:rsidRPr="00F619A4">
              <w:rPr>
                <w:rFonts w:ascii="GHEA Grapalat" w:hAnsi="GHEA Grapalat"/>
                <w:sz w:val="20"/>
                <w:szCs w:val="20"/>
              </w:rPr>
              <w:t>և</w:t>
            </w:r>
            <w:r w:rsidRPr="00F619A4">
              <w:rPr>
                <w:rFonts w:ascii="GHEA Grapalat" w:hAnsi="GHEA Grapalat"/>
                <w:sz w:val="20"/>
                <w:szCs w:val="20"/>
                <w:lang w:val="hy-AM"/>
              </w:rPr>
              <w:t xml:space="preserve"> </w:t>
            </w:r>
            <w:r w:rsidRPr="00F619A4">
              <w:rPr>
                <w:rFonts w:ascii="GHEA Grapalat" w:hAnsi="GHEA Grapalat"/>
                <w:sz w:val="20"/>
                <w:szCs w:val="20"/>
              </w:rPr>
              <w:t>դրանից</w:t>
            </w:r>
            <w:r w:rsidRPr="00F619A4">
              <w:rPr>
                <w:rFonts w:ascii="GHEA Grapalat" w:hAnsi="GHEA Grapalat"/>
                <w:sz w:val="20"/>
                <w:szCs w:val="20"/>
                <w:lang w:val="hy-AM"/>
              </w:rPr>
              <w:t xml:space="preserve"> </w:t>
            </w:r>
            <w:r w:rsidRPr="00F619A4">
              <w:rPr>
                <w:rFonts w:ascii="GHEA Grapalat" w:hAnsi="GHEA Grapalat"/>
                <w:sz w:val="20"/>
                <w:szCs w:val="20"/>
              </w:rPr>
              <w:t>բխող</w:t>
            </w:r>
            <w:r w:rsidRPr="00F619A4">
              <w:rPr>
                <w:rFonts w:ascii="GHEA Grapalat" w:hAnsi="GHEA Grapalat"/>
                <w:sz w:val="20"/>
                <w:szCs w:val="20"/>
                <w:lang w:val="hy-AM"/>
              </w:rPr>
              <w:t xml:space="preserve"> </w:t>
            </w:r>
            <w:r w:rsidRPr="00F619A4">
              <w:rPr>
                <w:rFonts w:ascii="GHEA Grapalat" w:hAnsi="GHEA Grapalat"/>
                <w:sz w:val="20"/>
                <w:szCs w:val="20"/>
              </w:rPr>
              <w:t>Գործողությունների</w:t>
            </w:r>
            <w:r w:rsidRPr="00F619A4">
              <w:rPr>
                <w:rFonts w:ascii="GHEA Grapalat" w:hAnsi="GHEA Grapalat"/>
                <w:sz w:val="20"/>
                <w:szCs w:val="20"/>
                <w:lang w:val="hy-AM"/>
              </w:rPr>
              <w:t xml:space="preserve"> </w:t>
            </w:r>
            <w:r w:rsidRPr="00F619A4">
              <w:rPr>
                <w:rFonts w:ascii="GHEA Grapalat" w:hAnsi="GHEA Grapalat"/>
                <w:sz w:val="20"/>
                <w:szCs w:val="20"/>
              </w:rPr>
              <w:t>ծրագրի</w:t>
            </w:r>
            <w:r w:rsidRPr="00F619A4">
              <w:rPr>
                <w:rFonts w:ascii="GHEA Grapalat" w:hAnsi="GHEA Grapalat"/>
                <w:sz w:val="20"/>
                <w:szCs w:val="20"/>
                <w:lang w:val="hy-AM"/>
              </w:rPr>
              <w:t xml:space="preserve"> </w:t>
            </w:r>
            <w:r w:rsidRPr="00F619A4">
              <w:rPr>
                <w:rFonts w:ascii="GHEA Grapalat" w:hAnsi="GHEA Grapalat"/>
                <w:sz w:val="20"/>
                <w:szCs w:val="20"/>
              </w:rPr>
              <w:t>ընդունման</w:t>
            </w:r>
            <w:r w:rsidRPr="00F619A4">
              <w:rPr>
                <w:rFonts w:ascii="GHEA Grapalat" w:hAnsi="GHEA Grapalat"/>
                <w:sz w:val="20"/>
                <w:szCs w:val="20"/>
                <w:lang w:val="hy-AM"/>
              </w:rPr>
              <w:t xml:space="preserve"> </w:t>
            </w:r>
            <w:r w:rsidRPr="00F619A4">
              <w:rPr>
                <w:rFonts w:ascii="GHEA Grapalat" w:hAnsi="GHEA Grapalat"/>
                <w:sz w:val="20"/>
                <w:szCs w:val="20"/>
              </w:rPr>
              <w:t>արդյունքում</w:t>
            </w:r>
            <w:r w:rsidRPr="00F619A4">
              <w:rPr>
                <w:rFonts w:ascii="GHEA Grapalat" w:hAnsi="GHEA Grapalat"/>
                <w:sz w:val="20"/>
                <w:szCs w:val="20"/>
                <w:lang w:val="hy-AM"/>
              </w:rPr>
              <w:t xml:space="preserve"> </w:t>
            </w:r>
            <w:r w:rsidRPr="00F619A4">
              <w:rPr>
                <w:rFonts w:ascii="GHEA Grapalat" w:hAnsi="GHEA Grapalat"/>
                <w:sz w:val="20"/>
                <w:szCs w:val="20"/>
              </w:rPr>
              <w:t>կմշակվի</w:t>
            </w:r>
            <w:r w:rsidRPr="00F619A4">
              <w:rPr>
                <w:rFonts w:ascii="GHEA Grapalat" w:hAnsi="GHEA Grapalat"/>
                <w:sz w:val="20"/>
                <w:szCs w:val="20"/>
                <w:lang w:val="hy-AM"/>
              </w:rPr>
              <w:t xml:space="preserve">  </w:t>
            </w:r>
            <w:r w:rsidRPr="00F619A4">
              <w:rPr>
                <w:rFonts w:ascii="GHEA Grapalat" w:hAnsi="GHEA Grapalat"/>
                <w:sz w:val="20"/>
                <w:szCs w:val="20"/>
              </w:rPr>
              <w:t>միասնական</w:t>
            </w:r>
            <w:r w:rsidRPr="00F619A4">
              <w:rPr>
                <w:rFonts w:ascii="GHEA Grapalat" w:hAnsi="GHEA Grapalat"/>
                <w:sz w:val="20"/>
                <w:szCs w:val="20"/>
                <w:lang w:val="hy-AM"/>
              </w:rPr>
              <w:t xml:space="preserve"> </w:t>
            </w:r>
            <w:r w:rsidRPr="00F619A4">
              <w:rPr>
                <w:rFonts w:ascii="GHEA Grapalat" w:hAnsi="GHEA Grapalat"/>
                <w:sz w:val="20"/>
                <w:szCs w:val="20"/>
              </w:rPr>
              <w:t>մեկ</w:t>
            </w:r>
            <w:r w:rsidRPr="00F619A4">
              <w:rPr>
                <w:rFonts w:ascii="GHEA Grapalat" w:hAnsi="GHEA Grapalat"/>
                <w:sz w:val="20"/>
                <w:szCs w:val="20"/>
                <w:lang w:val="hy-AM"/>
              </w:rPr>
              <w:t xml:space="preserve"> </w:t>
            </w:r>
            <w:r w:rsidRPr="00F619A4">
              <w:rPr>
                <w:rFonts w:ascii="GHEA Grapalat" w:hAnsi="GHEA Grapalat"/>
                <w:sz w:val="20"/>
                <w:szCs w:val="20"/>
              </w:rPr>
              <w:t>քաղաքական</w:t>
            </w:r>
            <w:r w:rsidRPr="00F619A4">
              <w:rPr>
                <w:rFonts w:ascii="GHEA Grapalat" w:hAnsi="GHEA Grapalat"/>
                <w:sz w:val="20"/>
                <w:szCs w:val="20"/>
                <w:lang w:val="hy-AM"/>
              </w:rPr>
              <w:t xml:space="preserve"> </w:t>
            </w:r>
            <w:r w:rsidRPr="00F619A4">
              <w:rPr>
                <w:rFonts w:ascii="GHEA Grapalat" w:hAnsi="GHEA Grapalat"/>
                <w:sz w:val="20"/>
                <w:szCs w:val="20"/>
              </w:rPr>
              <w:t>փաստաթուղթ</w:t>
            </w:r>
            <w:r w:rsidRPr="00F619A4">
              <w:rPr>
                <w:rFonts w:ascii="GHEA Grapalat" w:hAnsi="GHEA Grapalat"/>
                <w:sz w:val="20"/>
                <w:szCs w:val="20"/>
                <w:lang w:val="hy-AM"/>
              </w:rPr>
              <w:t xml:space="preserve">, </w:t>
            </w:r>
            <w:r w:rsidRPr="00F619A4">
              <w:rPr>
                <w:rFonts w:ascii="GHEA Grapalat" w:hAnsi="GHEA Grapalat"/>
                <w:sz w:val="20"/>
                <w:szCs w:val="20"/>
              </w:rPr>
              <w:t>որը</w:t>
            </w:r>
            <w:r w:rsidRPr="00F619A4">
              <w:rPr>
                <w:rFonts w:ascii="GHEA Grapalat" w:hAnsi="GHEA Grapalat"/>
                <w:sz w:val="20"/>
                <w:szCs w:val="20"/>
                <w:lang w:val="hy-AM"/>
              </w:rPr>
              <w:t xml:space="preserve"> </w:t>
            </w:r>
            <w:r w:rsidRPr="00F619A4">
              <w:rPr>
                <w:rFonts w:ascii="GHEA Grapalat" w:hAnsi="GHEA Grapalat"/>
                <w:sz w:val="20"/>
                <w:szCs w:val="20"/>
              </w:rPr>
              <w:t>կհամակարգի</w:t>
            </w:r>
            <w:r w:rsidRPr="00F619A4">
              <w:rPr>
                <w:rFonts w:ascii="GHEA Grapalat" w:hAnsi="GHEA Grapalat"/>
                <w:sz w:val="20"/>
                <w:szCs w:val="20"/>
                <w:lang w:val="hy-AM"/>
              </w:rPr>
              <w:t xml:space="preserve"> </w:t>
            </w:r>
            <w:r w:rsidRPr="00F619A4">
              <w:rPr>
                <w:rFonts w:ascii="GHEA Grapalat" w:hAnsi="GHEA Grapalat"/>
                <w:sz w:val="20"/>
                <w:szCs w:val="20"/>
              </w:rPr>
              <w:t>մարդու</w:t>
            </w:r>
            <w:r w:rsidRPr="00F619A4">
              <w:rPr>
                <w:rFonts w:ascii="GHEA Grapalat" w:hAnsi="GHEA Grapalat"/>
                <w:sz w:val="20"/>
                <w:szCs w:val="20"/>
                <w:lang w:val="hy-AM"/>
              </w:rPr>
              <w:t xml:space="preserve"> </w:t>
            </w:r>
            <w:r w:rsidRPr="00F619A4">
              <w:rPr>
                <w:rFonts w:ascii="GHEA Grapalat" w:hAnsi="GHEA Grapalat"/>
                <w:sz w:val="20"/>
                <w:szCs w:val="20"/>
              </w:rPr>
              <w:t>իրավունքների</w:t>
            </w:r>
            <w:r w:rsidRPr="00F619A4">
              <w:rPr>
                <w:rFonts w:ascii="GHEA Grapalat" w:hAnsi="GHEA Grapalat"/>
                <w:sz w:val="20"/>
                <w:szCs w:val="20"/>
                <w:lang w:val="hy-AM"/>
              </w:rPr>
              <w:t xml:space="preserve"> </w:t>
            </w:r>
            <w:r w:rsidRPr="00F619A4">
              <w:rPr>
                <w:rFonts w:ascii="GHEA Grapalat" w:hAnsi="GHEA Grapalat"/>
                <w:sz w:val="20"/>
                <w:szCs w:val="20"/>
              </w:rPr>
              <w:t>պաշտպանության</w:t>
            </w:r>
            <w:r w:rsidRPr="00F619A4">
              <w:rPr>
                <w:rFonts w:ascii="GHEA Grapalat" w:hAnsi="GHEA Grapalat"/>
                <w:sz w:val="20"/>
                <w:szCs w:val="20"/>
                <w:lang w:val="hy-AM"/>
              </w:rPr>
              <w:t xml:space="preserve"> </w:t>
            </w:r>
            <w:r w:rsidRPr="00F619A4">
              <w:rPr>
                <w:rFonts w:ascii="GHEA Grapalat" w:hAnsi="GHEA Grapalat"/>
                <w:sz w:val="20"/>
                <w:szCs w:val="20"/>
              </w:rPr>
              <w:t>ոլորտում</w:t>
            </w:r>
            <w:r w:rsidRPr="00F619A4">
              <w:rPr>
                <w:rFonts w:ascii="GHEA Grapalat" w:hAnsi="GHEA Grapalat"/>
                <w:sz w:val="20"/>
                <w:szCs w:val="20"/>
                <w:lang w:val="hy-AM"/>
              </w:rPr>
              <w:t xml:space="preserve"> </w:t>
            </w:r>
            <w:r w:rsidRPr="00F619A4">
              <w:rPr>
                <w:rFonts w:ascii="GHEA Grapalat" w:hAnsi="GHEA Grapalat"/>
                <w:sz w:val="20"/>
                <w:szCs w:val="20"/>
              </w:rPr>
              <w:t>տարվող</w:t>
            </w:r>
            <w:r w:rsidRPr="00F619A4">
              <w:rPr>
                <w:rFonts w:ascii="GHEA Grapalat" w:hAnsi="GHEA Grapalat"/>
                <w:sz w:val="20"/>
                <w:szCs w:val="20"/>
                <w:lang w:val="hy-AM"/>
              </w:rPr>
              <w:t xml:space="preserve"> </w:t>
            </w:r>
            <w:r w:rsidRPr="00F619A4">
              <w:rPr>
                <w:rFonts w:ascii="GHEA Grapalat" w:hAnsi="GHEA Grapalat"/>
                <w:sz w:val="20"/>
                <w:szCs w:val="20"/>
              </w:rPr>
              <w:t>հիմնական</w:t>
            </w:r>
            <w:r w:rsidRPr="00F619A4">
              <w:rPr>
                <w:rFonts w:ascii="GHEA Grapalat" w:hAnsi="GHEA Grapalat"/>
                <w:sz w:val="20"/>
                <w:szCs w:val="20"/>
                <w:lang w:val="hy-AM"/>
              </w:rPr>
              <w:t xml:space="preserve"> </w:t>
            </w:r>
            <w:r w:rsidRPr="00F619A4">
              <w:rPr>
                <w:rFonts w:ascii="GHEA Grapalat" w:hAnsi="GHEA Grapalat"/>
                <w:sz w:val="20"/>
                <w:szCs w:val="20"/>
              </w:rPr>
              <w:t>քաղաքականությունը՝</w:t>
            </w:r>
            <w:r w:rsidRPr="00F619A4">
              <w:rPr>
                <w:rFonts w:ascii="GHEA Grapalat" w:hAnsi="GHEA Grapalat"/>
                <w:sz w:val="20"/>
                <w:szCs w:val="20"/>
                <w:lang w:val="hy-AM"/>
              </w:rPr>
              <w:t xml:space="preserve"> </w:t>
            </w:r>
            <w:r w:rsidRPr="00F619A4">
              <w:rPr>
                <w:rFonts w:ascii="GHEA Grapalat" w:hAnsi="GHEA Grapalat"/>
                <w:sz w:val="20"/>
                <w:szCs w:val="20"/>
              </w:rPr>
              <w:t>մարդու</w:t>
            </w:r>
            <w:r w:rsidRPr="00F619A4">
              <w:rPr>
                <w:rFonts w:ascii="GHEA Grapalat" w:hAnsi="GHEA Grapalat"/>
                <w:sz w:val="20"/>
                <w:szCs w:val="20"/>
                <w:lang w:val="hy-AM"/>
              </w:rPr>
              <w:t xml:space="preserve"> </w:t>
            </w:r>
            <w:r w:rsidRPr="00F619A4">
              <w:rPr>
                <w:rFonts w:ascii="GHEA Grapalat" w:hAnsi="GHEA Grapalat"/>
                <w:sz w:val="20"/>
                <w:szCs w:val="20"/>
              </w:rPr>
              <w:t>իրավունքների</w:t>
            </w:r>
            <w:r w:rsidRPr="00F619A4">
              <w:rPr>
                <w:rFonts w:ascii="GHEA Grapalat" w:hAnsi="GHEA Grapalat"/>
                <w:sz w:val="20"/>
                <w:szCs w:val="20"/>
                <w:lang w:val="hy-AM"/>
              </w:rPr>
              <w:t xml:space="preserve"> </w:t>
            </w:r>
            <w:r w:rsidRPr="00F619A4">
              <w:rPr>
                <w:rFonts w:ascii="GHEA Grapalat" w:hAnsi="GHEA Grapalat"/>
                <w:sz w:val="20"/>
                <w:szCs w:val="20"/>
              </w:rPr>
              <w:t>պաշտպանության</w:t>
            </w:r>
            <w:r w:rsidRPr="00F619A4">
              <w:rPr>
                <w:rFonts w:ascii="GHEA Grapalat" w:hAnsi="GHEA Grapalat"/>
                <w:sz w:val="20"/>
                <w:szCs w:val="20"/>
                <w:lang w:val="hy-AM"/>
              </w:rPr>
              <w:t xml:space="preserve"> </w:t>
            </w:r>
            <w:r w:rsidRPr="00F619A4">
              <w:rPr>
                <w:rFonts w:ascii="GHEA Grapalat" w:hAnsi="GHEA Grapalat"/>
                <w:sz w:val="20"/>
                <w:szCs w:val="20"/>
              </w:rPr>
              <w:t>ոլորտի</w:t>
            </w:r>
            <w:r w:rsidRPr="00F619A4">
              <w:rPr>
                <w:rFonts w:ascii="GHEA Grapalat" w:hAnsi="GHEA Grapalat"/>
                <w:sz w:val="20"/>
                <w:szCs w:val="20"/>
                <w:lang w:val="hy-AM"/>
              </w:rPr>
              <w:t xml:space="preserve"> </w:t>
            </w:r>
            <w:r w:rsidRPr="00F619A4">
              <w:rPr>
                <w:rFonts w:ascii="GHEA Grapalat" w:hAnsi="GHEA Grapalat"/>
                <w:sz w:val="20"/>
                <w:szCs w:val="20"/>
              </w:rPr>
              <w:t>զարգացումներին</w:t>
            </w:r>
            <w:r w:rsidRPr="00F619A4">
              <w:rPr>
                <w:rFonts w:ascii="GHEA Grapalat" w:hAnsi="GHEA Grapalat"/>
                <w:sz w:val="20"/>
                <w:szCs w:val="20"/>
                <w:lang w:val="hy-AM"/>
              </w:rPr>
              <w:t xml:space="preserve"> </w:t>
            </w:r>
            <w:r w:rsidRPr="00F619A4">
              <w:rPr>
                <w:rFonts w:ascii="GHEA Grapalat" w:hAnsi="GHEA Grapalat"/>
                <w:sz w:val="20"/>
                <w:szCs w:val="20"/>
              </w:rPr>
              <w:t>համահունչ</w:t>
            </w:r>
            <w:r w:rsidRPr="00F619A4">
              <w:rPr>
                <w:rFonts w:ascii="GHEA Grapalat" w:hAnsi="GHEA Grapalat"/>
                <w:sz w:val="20"/>
                <w:szCs w:val="20"/>
                <w:lang w:val="hy-AM"/>
              </w:rPr>
              <w:t xml:space="preserve">, </w:t>
            </w:r>
            <w:r w:rsidRPr="00F619A4">
              <w:rPr>
                <w:rFonts w:ascii="GHEA Grapalat" w:hAnsi="GHEA Grapalat"/>
                <w:sz w:val="20"/>
                <w:szCs w:val="20"/>
              </w:rPr>
              <w:t>կստեղծվեն</w:t>
            </w:r>
            <w:r w:rsidRPr="00F619A4">
              <w:rPr>
                <w:rFonts w:ascii="GHEA Grapalat" w:hAnsi="GHEA Grapalat"/>
                <w:sz w:val="20"/>
                <w:szCs w:val="20"/>
                <w:lang w:val="hy-AM"/>
              </w:rPr>
              <w:t xml:space="preserve"> </w:t>
            </w:r>
            <w:r w:rsidRPr="00F619A4">
              <w:rPr>
                <w:rFonts w:ascii="GHEA Grapalat" w:hAnsi="GHEA Grapalat"/>
                <w:sz w:val="20"/>
                <w:szCs w:val="20"/>
              </w:rPr>
              <w:t>լրացուցիչ</w:t>
            </w:r>
            <w:r w:rsidRPr="00F619A4">
              <w:rPr>
                <w:rFonts w:ascii="GHEA Grapalat" w:hAnsi="GHEA Grapalat"/>
                <w:sz w:val="20"/>
                <w:szCs w:val="20"/>
                <w:lang w:val="hy-AM"/>
              </w:rPr>
              <w:t xml:space="preserve"> </w:t>
            </w:r>
            <w:r w:rsidRPr="00F619A4">
              <w:rPr>
                <w:rFonts w:ascii="GHEA Grapalat" w:hAnsi="GHEA Grapalat"/>
                <w:sz w:val="20"/>
                <w:szCs w:val="20"/>
              </w:rPr>
              <w:t>երաշխիքներ</w:t>
            </w:r>
            <w:r w:rsidRPr="00F619A4">
              <w:rPr>
                <w:rFonts w:ascii="GHEA Grapalat" w:hAnsi="GHEA Grapalat"/>
                <w:sz w:val="20"/>
                <w:szCs w:val="20"/>
                <w:lang w:val="hy-AM"/>
              </w:rPr>
              <w:t xml:space="preserve"> </w:t>
            </w:r>
            <w:r w:rsidRPr="00F619A4">
              <w:rPr>
                <w:rFonts w:ascii="GHEA Grapalat" w:hAnsi="GHEA Grapalat"/>
                <w:sz w:val="20"/>
                <w:szCs w:val="20"/>
              </w:rPr>
              <w:t>քաղաքացիների</w:t>
            </w:r>
            <w:r w:rsidRPr="00F619A4">
              <w:rPr>
                <w:rFonts w:ascii="GHEA Grapalat" w:hAnsi="GHEA Grapalat"/>
                <w:sz w:val="20"/>
                <w:szCs w:val="20"/>
                <w:lang w:val="hy-AM"/>
              </w:rPr>
              <w:t xml:space="preserve"> </w:t>
            </w:r>
            <w:r w:rsidRPr="00F619A4">
              <w:rPr>
                <w:rFonts w:ascii="GHEA Grapalat" w:hAnsi="GHEA Grapalat"/>
                <w:sz w:val="20"/>
                <w:szCs w:val="20"/>
              </w:rPr>
              <w:t>սոցիալական</w:t>
            </w:r>
            <w:r w:rsidRPr="00F619A4">
              <w:rPr>
                <w:rFonts w:ascii="GHEA Grapalat" w:hAnsi="GHEA Grapalat"/>
                <w:sz w:val="20"/>
                <w:szCs w:val="20"/>
                <w:lang w:val="hy-AM"/>
              </w:rPr>
              <w:t xml:space="preserve"> </w:t>
            </w:r>
            <w:r w:rsidRPr="00F619A4">
              <w:rPr>
                <w:rFonts w:ascii="GHEA Grapalat" w:hAnsi="GHEA Grapalat"/>
                <w:sz w:val="20"/>
                <w:szCs w:val="20"/>
              </w:rPr>
              <w:t>իրավունքների</w:t>
            </w:r>
            <w:r w:rsidRPr="00F619A4">
              <w:rPr>
                <w:rFonts w:ascii="GHEA Grapalat" w:hAnsi="GHEA Grapalat"/>
                <w:sz w:val="20"/>
                <w:szCs w:val="20"/>
                <w:lang w:val="hy-AM"/>
              </w:rPr>
              <w:t xml:space="preserve"> </w:t>
            </w:r>
            <w:r w:rsidRPr="00F619A4">
              <w:rPr>
                <w:rFonts w:ascii="GHEA Grapalat" w:hAnsi="GHEA Grapalat"/>
                <w:sz w:val="20"/>
                <w:szCs w:val="20"/>
              </w:rPr>
              <w:t>և</w:t>
            </w:r>
            <w:r w:rsidRPr="00F619A4">
              <w:rPr>
                <w:rFonts w:ascii="GHEA Grapalat" w:hAnsi="GHEA Grapalat"/>
                <w:sz w:val="20"/>
                <w:szCs w:val="20"/>
                <w:lang w:val="hy-AM"/>
              </w:rPr>
              <w:t xml:space="preserve"> </w:t>
            </w:r>
            <w:r w:rsidRPr="00F619A4">
              <w:rPr>
                <w:rFonts w:ascii="GHEA Grapalat" w:hAnsi="GHEA Grapalat"/>
                <w:sz w:val="20"/>
                <w:szCs w:val="20"/>
              </w:rPr>
              <w:t>խոցելի</w:t>
            </w:r>
            <w:r w:rsidRPr="00F619A4">
              <w:rPr>
                <w:rFonts w:ascii="GHEA Grapalat" w:hAnsi="GHEA Grapalat"/>
                <w:sz w:val="20"/>
                <w:szCs w:val="20"/>
                <w:lang w:val="hy-AM"/>
              </w:rPr>
              <w:t xml:space="preserve"> </w:t>
            </w:r>
            <w:r w:rsidRPr="00F619A4">
              <w:rPr>
                <w:rFonts w:ascii="GHEA Grapalat" w:hAnsi="GHEA Grapalat"/>
                <w:sz w:val="20"/>
                <w:szCs w:val="20"/>
              </w:rPr>
              <w:t>խմբերի</w:t>
            </w:r>
            <w:r w:rsidRPr="00F619A4">
              <w:rPr>
                <w:rFonts w:ascii="GHEA Grapalat" w:hAnsi="GHEA Grapalat"/>
                <w:sz w:val="20"/>
                <w:szCs w:val="20"/>
                <w:lang w:val="hy-AM"/>
              </w:rPr>
              <w:t xml:space="preserve"> (</w:t>
            </w:r>
            <w:r w:rsidRPr="00F619A4">
              <w:rPr>
                <w:rFonts w:ascii="GHEA Grapalat" w:hAnsi="GHEA Grapalat"/>
                <w:sz w:val="20"/>
                <w:szCs w:val="20"/>
              </w:rPr>
              <w:t>հաշմանդամների</w:t>
            </w:r>
            <w:r w:rsidRPr="00F619A4">
              <w:rPr>
                <w:rFonts w:ascii="GHEA Grapalat" w:hAnsi="GHEA Grapalat"/>
                <w:sz w:val="20"/>
                <w:szCs w:val="20"/>
                <w:lang w:val="hy-AM"/>
              </w:rPr>
              <w:t xml:space="preserve">, </w:t>
            </w:r>
            <w:r w:rsidRPr="00F619A4">
              <w:rPr>
                <w:rFonts w:ascii="GHEA Grapalat" w:hAnsi="GHEA Grapalat"/>
                <w:sz w:val="20"/>
                <w:szCs w:val="20"/>
              </w:rPr>
              <w:t>երեխաների</w:t>
            </w:r>
            <w:r w:rsidRPr="00F619A4">
              <w:rPr>
                <w:rFonts w:ascii="GHEA Grapalat" w:hAnsi="GHEA Grapalat"/>
                <w:sz w:val="20"/>
                <w:szCs w:val="20"/>
                <w:lang w:val="hy-AM"/>
              </w:rPr>
              <w:t xml:space="preserve"> </w:t>
            </w:r>
            <w:r w:rsidRPr="00F619A4">
              <w:rPr>
                <w:rFonts w:ascii="GHEA Grapalat" w:hAnsi="GHEA Grapalat"/>
                <w:sz w:val="20"/>
                <w:szCs w:val="20"/>
              </w:rPr>
              <w:t>ու</w:t>
            </w:r>
            <w:r w:rsidRPr="00F619A4">
              <w:rPr>
                <w:rFonts w:ascii="GHEA Grapalat" w:hAnsi="GHEA Grapalat"/>
                <w:sz w:val="20"/>
                <w:szCs w:val="20"/>
                <w:lang w:val="hy-AM"/>
              </w:rPr>
              <w:t xml:space="preserve"> </w:t>
            </w:r>
            <w:r w:rsidRPr="00F619A4">
              <w:rPr>
                <w:rFonts w:ascii="GHEA Grapalat" w:hAnsi="GHEA Grapalat"/>
                <w:sz w:val="20"/>
                <w:szCs w:val="20"/>
              </w:rPr>
              <w:t>կանանց</w:t>
            </w:r>
            <w:r w:rsidRPr="00F619A4">
              <w:rPr>
                <w:rFonts w:ascii="GHEA Grapalat" w:hAnsi="GHEA Grapalat"/>
                <w:sz w:val="20"/>
                <w:szCs w:val="20"/>
                <w:lang w:val="hy-AM"/>
              </w:rPr>
              <w:t xml:space="preserve">) </w:t>
            </w:r>
            <w:r w:rsidRPr="00F619A4">
              <w:rPr>
                <w:rFonts w:ascii="GHEA Grapalat" w:hAnsi="GHEA Grapalat"/>
                <w:sz w:val="20"/>
                <w:szCs w:val="20"/>
              </w:rPr>
              <w:t>իրավունքների</w:t>
            </w:r>
            <w:r w:rsidRPr="00F619A4">
              <w:rPr>
                <w:rFonts w:ascii="GHEA Grapalat" w:hAnsi="GHEA Grapalat"/>
                <w:sz w:val="20"/>
                <w:szCs w:val="20"/>
                <w:lang w:val="hy-AM"/>
              </w:rPr>
              <w:t xml:space="preserve"> </w:t>
            </w:r>
            <w:r w:rsidRPr="00F619A4">
              <w:rPr>
                <w:rFonts w:ascii="GHEA Grapalat" w:hAnsi="GHEA Grapalat"/>
                <w:sz w:val="20"/>
                <w:szCs w:val="20"/>
              </w:rPr>
              <w:t>պաշտպանության</w:t>
            </w:r>
            <w:r w:rsidRPr="00F619A4">
              <w:rPr>
                <w:rFonts w:ascii="GHEA Grapalat" w:hAnsi="GHEA Grapalat"/>
                <w:sz w:val="20"/>
                <w:szCs w:val="20"/>
                <w:lang w:val="hy-AM"/>
              </w:rPr>
              <w:t xml:space="preserve"> </w:t>
            </w:r>
            <w:r w:rsidRPr="00F619A4">
              <w:rPr>
                <w:rFonts w:ascii="GHEA Grapalat" w:hAnsi="GHEA Grapalat"/>
                <w:sz w:val="20"/>
                <w:szCs w:val="20"/>
              </w:rPr>
              <w:t>համար</w:t>
            </w:r>
            <w:r w:rsidRPr="00F619A4">
              <w:rPr>
                <w:rFonts w:ascii="GHEA Grapalat" w:hAnsi="GHEA Grapalat"/>
                <w:sz w:val="20"/>
                <w:szCs w:val="20"/>
                <w:lang w:val="hy-AM"/>
              </w:rPr>
              <w:t xml:space="preserve">, </w:t>
            </w:r>
            <w:r w:rsidRPr="00F619A4">
              <w:rPr>
                <w:rFonts w:ascii="GHEA Grapalat" w:hAnsi="GHEA Grapalat"/>
                <w:sz w:val="20"/>
                <w:szCs w:val="20"/>
              </w:rPr>
              <w:t>կբարելավվի</w:t>
            </w:r>
            <w:r w:rsidRPr="00F619A4">
              <w:rPr>
                <w:rFonts w:ascii="GHEA Grapalat" w:hAnsi="GHEA Grapalat"/>
                <w:sz w:val="20"/>
                <w:szCs w:val="20"/>
                <w:lang w:val="hy-AM"/>
              </w:rPr>
              <w:t xml:space="preserve"> </w:t>
            </w:r>
            <w:r w:rsidRPr="00F619A4">
              <w:rPr>
                <w:rFonts w:ascii="GHEA Grapalat" w:hAnsi="GHEA Grapalat"/>
                <w:sz w:val="20"/>
                <w:szCs w:val="20"/>
              </w:rPr>
              <w:t>գործողությունների</w:t>
            </w:r>
            <w:r w:rsidRPr="00F619A4">
              <w:rPr>
                <w:rFonts w:ascii="GHEA Grapalat" w:hAnsi="GHEA Grapalat"/>
                <w:sz w:val="20"/>
                <w:szCs w:val="20"/>
                <w:lang w:val="hy-AM"/>
              </w:rPr>
              <w:t xml:space="preserve"> </w:t>
            </w:r>
            <w:r w:rsidRPr="00F619A4">
              <w:rPr>
                <w:rFonts w:ascii="GHEA Grapalat" w:hAnsi="GHEA Grapalat"/>
                <w:sz w:val="20"/>
                <w:szCs w:val="20"/>
              </w:rPr>
              <w:t>կատարման</w:t>
            </w:r>
            <w:r w:rsidRPr="00F619A4">
              <w:rPr>
                <w:rFonts w:ascii="GHEA Grapalat" w:hAnsi="GHEA Grapalat"/>
                <w:sz w:val="20"/>
                <w:szCs w:val="20"/>
                <w:lang w:val="hy-AM"/>
              </w:rPr>
              <w:t xml:space="preserve"> </w:t>
            </w:r>
            <w:r w:rsidRPr="00F619A4">
              <w:rPr>
                <w:rFonts w:ascii="GHEA Grapalat" w:hAnsi="GHEA Grapalat"/>
                <w:sz w:val="20"/>
                <w:szCs w:val="20"/>
              </w:rPr>
              <w:t>համակարգման</w:t>
            </w:r>
            <w:r w:rsidRPr="00F619A4">
              <w:rPr>
                <w:rFonts w:ascii="GHEA Grapalat" w:hAnsi="GHEA Grapalat"/>
                <w:sz w:val="20"/>
                <w:szCs w:val="20"/>
                <w:lang w:val="hy-AM"/>
              </w:rPr>
              <w:t xml:space="preserve"> </w:t>
            </w:r>
            <w:r w:rsidRPr="00F619A4">
              <w:rPr>
                <w:rFonts w:ascii="GHEA Grapalat" w:hAnsi="GHEA Grapalat"/>
                <w:sz w:val="20"/>
                <w:szCs w:val="20"/>
              </w:rPr>
              <w:t>և</w:t>
            </w:r>
            <w:r w:rsidRPr="00F619A4">
              <w:rPr>
                <w:rFonts w:ascii="GHEA Grapalat" w:hAnsi="GHEA Grapalat"/>
                <w:sz w:val="20"/>
                <w:szCs w:val="20"/>
                <w:lang w:val="hy-AM"/>
              </w:rPr>
              <w:t xml:space="preserve"> </w:t>
            </w:r>
            <w:r w:rsidRPr="00F619A4">
              <w:rPr>
                <w:rFonts w:ascii="GHEA Grapalat" w:hAnsi="GHEA Grapalat"/>
                <w:sz w:val="20"/>
                <w:szCs w:val="20"/>
              </w:rPr>
              <w:t>մշտադիտարկման</w:t>
            </w:r>
            <w:r w:rsidRPr="00F619A4">
              <w:rPr>
                <w:rFonts w:ascii="GHEA Grapalat" w:hAnsi="GHEA Grapalat"/>
                <w:sz w:val="20"/>
                <w:szCs w:val="20"/>
                <w:lang w:val="hy-AM"/>
              </w:rPr>
              <w:t xml:space="preserve"> </w:t>
            </w:r>
            <w:r w:rsidRPr="00F619A4">
              <w:rPr>
                <w:rFonts w:ascii="GHEA Grapalat" w:hAnsi="GHEA Grapalat"/>
                <w:sz w:val="20"/>
                <w:szCs w:val="20"/>
              </w:rPr>
              <w:t>ինստիտուցիոնալ</w:t>
            </w:r>
            <w:r w:rsidRPr="00F619A4">
              <w:rPr>
                <w:rFonts w:ascii="GHEA Grapalat" w:hAnsi="GHEA Grapalat"/>
                <w:sz w:val="20"/>
                <w:szCs w:val="20"/>
                <w:lang w:val="hy-AM"/>
              </w:rPr>
              <w:t xml:space="preserve"> </w:t>
            </w:r>
            <w:r w:rsidRPr="00F619A4">
              <w:rPr>
                <w:rFonts w:ascii="GHEA Grapalat" w:hAnsi="GHEA Grapalat"/>
                <w:sz w:val="20"/>
                <w:szCs w:val="20"/>
              </w:rPr>
              <w:t>համակարգը</w:t>
            </w:r>
            <w:r w:rsidRPr="00F619A4">
              <w:rPr>
                <w:rFonts w:ascii="GHEA Grapalat" w:hAnsi="GHEA Grapalat"/>
                <w:sz w:val="20"/>
                <w:szCs w:val="20"/>
                <w:lang w:val="hy-AM"/>
              </w:rPr>
              <w:t>:</w:t>
            </w:r>
          </w:p>
          <w:p w:rsidR="001F6D5D" w:rsidRPr="00F619A4" w:rsidRDefault="001F6D5D" w:rsidP="00277183">
            <w:pPr>
              <w:contextualSpacing/>
              <w:rPr>
                <w:lang w:val="hy-AM"/>
              </w:rPr>
            </w:pP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43</w:t>
            </w:r>
          </w:p>
        </w:tc>
        <w:tc>
          <w:tcPr>
            <w:tcW w:w="10878" w:type="dxa"/>
          </w:tcPr>
          <w:p w:rsidR="001F6D5D" w:rsidRPr="00F619A4" w:rsidRDefault="001F6D5D" w:rsidP="00277183">
            <w:pPr>
              <w:pStyle w:val="NormalWeb"/>
              <w:shd w:val="clear" w:color="auto" w:fill="FFFFFF"/>
              <w:spacing w:before="0" w:beforeAutospacing="0" w:after="0" w:afterAutospacing="0" w:line="276" w:lineRule="auto"/>
              <w:ind w:firstLine="708"/>
              <w:jc w:val="center"/>
              <w:rPr>
                <w:rFonts w:ascii="GHEA Grapalat" w:hAnsi="GHEA Grapalat" w:cs="Sylfaen"/>
                <w:b/>
                <w:sz w:val="20"/>
                <w:szCs w:val="20"/>
                <w:u w:val="single"/>
                <w:lang w:val="hy-AM"/>
              </w:rPr>
            </w:pPr>
            <w:r w:rsidRPr="00F619A4">
              <w:rPr>
                <w:rFonts w:ascii="GHEA Grapalat" w:hAnsi="GHEA Grapalat"/>
                <w:b/>
                <w:sz w:val="20"/>
                <w:szCs w:val="20"/>
                <w:u w:val="single"/>
              </w:rPr>
              <w:t>ԲՈԼՈՐԻ՝</w:t>
            </w:r>
            <w:r w:rsidRPr="00F619A4">
              <w:rPr>
                <w:rFonts w:ascii="GHEA Grapalat" w:hAnsi="GHEA Grapalat"/>
                <w:b/>
                <w:sz w:val="20"/>
                <w:szCs w:val="20"/>
                <w:u w:val="single"/>
                <w:lang w:val="hy-AM"/>
              </w:rPr>
              <w:t xml:space="preserve"> </w:t>
            </w:r>
            <w:r w:rsidRPr="00F619A4">
              <w:rPr>
                <w:rFonts w:ascii="GHEA Grapalat" w:hAnsi="GHEA Grapalat"/>
                <w:b/>
                <w:sz w:val="20"/>
                <w:szCs w:val="20"/>
                <w:u w:val="single"/>
              </w:rPr>
              <w:t>ՕՐԵՆՔԻ</w:t>
            </w:r>
            <w:r w:rsidRPr="00F619A4">
              <w:rPr>
                <w:rFonts w:ascii="GHEA Grapalat" w:hAnsi="GHEA Grapalat"/>
                <w:b/>
                <w:sz w:val="20"/>
                <w:szCs w:val="20"/>
                <w:u w:val="single"/>
                <w:lang w:val="hy-AM"/>
              </w:rPr>
              <w:t xml:space="preserve"> </w:t>
            </w:r>
            <w:r w:rsidRPr="00F619A4">
              <w:rPr>
                <w:rFonts w:ascii="GHEA Grapalat" w:hAnsi="GHEA Grapalat"/>
                <w:b/>
                <w:sz w:val="20"/>
                <w:szCs w:val="20"/>
                <w:u w:val="single"/>
              </w:rPr>
              <w:t>ԱՌՋԵՎ</w:t>
            </w:r>
            <w:r w:rsidRPr="00F619A4">
              <w:rPr>
                <w:rFonts w:ascii="GHEA Grapalat" w:hAnsi="GHEA Grapalat"/>
                <w:b/>
                <w:sz w:val="20"/>
                <w:szCs w:val="20"/>
                <w:u w:val="single"/>
                <w:lang w:val="hy-AM"/>
              </w:rPr>
              <w:t xml:space="preserve"> </w:t>
            </w:r>
            <w:r w:rsidRPr="00F619A4">
              <w:rPr>
                <w:rFonts w:ascii="GHEA Grapalat" w:hAnsi="GHEA Grapalat"/>
                <w:b/>
                <w:sz w:val="20"/>
                <w:szCs w:val="20"/>
                <w:u w:val="single"/>
              </w:rPr>
              <w:t>ՀԱՎԱՍԱՐՈՒԹՅԱՆ</w:t>
            </w:r>
            <w:r w:rsidRPr="00F619A4">
              <w:rPr>
                <w:rFonts w:ascii="GHEA Grapalat" w:hAnsi="GHEA Grapalat"/>
                <w:b/>
                <w:sz w:val="20"/>
                <w:szCs w:val="20"/>
                <w:u w:val="single"/>
                <w:lang w:val="hy-AM"/>
              </w:rPr>
              <w:t xml:space="preserve"> </w:t>
            </w:r>
            <w:r w:rsidRPr="00F619A4">
              <w:rPr>
                <w:rFonts w:ascii="GHEA Grapalat" w:hAnsi="GHEA Grapalat"/>
                <w:b/>
                <w:sz w:val="20"/>
                <w:szCs w:val="20"/>
                <w:u w:val="single"/>
              </w:rPr>
              <w:t>ԵՐԱՇԽԱՎՈՐՈՒՄ</w:t>
            </w:r>
            <w:r w:rsidRPr="00F619A4">
              <w:rPr>
                <w:rFonts w:ascii="GHEA Grapalat" w:hAnsi="GHEA Grapalat"/>
                <w:b/>
                <w:sz w:val="20"/>
                <w:szCs w:val="20"/>
                <w:u w:val="single"/>
                <w:lang w:val="hy-AM"/>
              </w:rPr>
              <w:t xml:space="preserve">, </w:t>
            </w:r>
            <w:r w:rsidRPr="00F619A4">
              <w:rPr>
                <w:rFonts w:ascii="GHEA Grapalat" w:hAnsi="GHEA Grapalat"/>
                <w:b/>
                <w:sz w:val="20"/>
                <w:szCs w:val="20"/>
                <w:u w:val="single"/>
              </w:rPr>
              <w:t>ԽՏՐԱԿԱՆՈՒԹՅԱՆ</w:t>
            </w:r>
            <w:r w:rsidRPr="00F619A4">
              <w:rPr>
                <w:rFonts w:ascii="GHEA Grapalat" w:hAnsi="GHEA Grapalat"/>
                <w:b/>
                <w:sz w:val="20"/>
                <w:szCs w:val="20"/>
                <w:u w:val="single"/>
                <w:lang w:val="hy-AM"/>
              </w:rPr>
              <w:t xml:space="preserve"> </w:t>
            </w:r>
            <w:r w:rsidRPr="00F619A4">
              <w:rPr>
                <w:rFonts w:ascii="GHEA Grapalat" w:hAnsi="GHEA Grapalat"/>
                <w:b/>
                <w:sz w:val="20"/>
                <w:szCs w:val="20"/>
                <w:u w:val="single"/>
              </w:rPr>
              <w:t>ԴՐՍԵՎՈՐՈՒՄՆԵՐԻ</w:t>
            </w:r>
            <w:r w:rsidRPr="00F619A4">
              <w:rPr>
                <w:rFonts w:ascii="GHEA Grapalat" w:hAnsi="GHEA Grapalat"/>
                <w:b/>
                <w:sz w:val="20"/>
                <w:szCs w:val="20"/>
                <w:u w:val="single"/>
                <w:lang w:val="hy-AM"/>
              </w:rPr>
              <w:t xml:space="preserve"> </w:t>
            </w:r>
            <w:r w:rsidRPr="00F619A4">
              <w:rPr>
                <w:rFonts w:ascii="GHEA Grapalat" w:hAnsi="GHEA Grapalat"/>
                <w:b/>
                <w:sz w:val="20"/>
                <w:szCs w:val="20"/>
                <w:u w:val="single"/>
              </w:rPr>
              <w:t>ԿԱՆԽՈՒՄ</w:t>
            </w:r>
            <w:r w:rsidRPr="00F619A4">
              <w:rPr>
                <w:rFonts w:ascii="GHEA Grapalat" w:hAnsi="GHEA Grapalat"/>
                <w:b/>
                <w:sz w:val="20"/>
                <w:szCs w:val="20"/>
                <w:u w:val="single"/>
                <w:lang w:val="hy-AM"/>
              </w:rPr>
              <w:t xml:space="preserve">, </w:t>
            </w:r>
            <w:r w:rsidRPr="00F619A4">
              <w:rPr>
                <w:rFonts w:ascii="GHEA Grapalat" w:hAnsi="GHEA Grapalat"/>
                <w:b/>
                <w:sz w:val="20"/>
                <w:szCs w:val="20"/>
                <w:u w:val="single"/>
              </w:rPr>
              <w:t>ԻՆՉՊԵՍ</w:t>
            </w:r>
            <w:r w:rsidRPr="00F619A4">
              <w:rPr>
                <w:rFonts w:ascii="GHEA Grapalat" w:hAnsi="GHEA Grapalat"/>
                <w:b/>
                <w:sz w:val="20"/>
                <w:szCs w:val="20"/>
                <w:u w:val="single"/>
                <w:lang w:val="hy-AM"/>
              </w:rPr>
              <w:t xml:space="preserve"> </w:t>
            </w:r>
            <w:r w:rsidRPr="00F619A4">
              <w:rPr>
                <w:rFonts w:ascii="GHEA Grapalat" w:hAnsi="GHEA Grapalat"/>
                <w:b/>
                <w:sz w:val="20"/>
                <w:szCs w:val="20"/>
                <w:u w:val="single"/>
              </w:rPr>
              <w:t>ՆԱԵՎ</w:t>
            </w:r>
            <w:r w:rsidRPr="00F619A4">
              <w:rPr>
                <w:rFonts w:ascii="GHEA Grapalat" w:hAnsi="GHEA Grapalat"/>
                <w:b/>
                <w:sz w:val="20"/>
                <w:szCs w:val="20"/>
                <w:u w:val="single"/>
                <w:lang w:val="hy-AM"/>
              </w:rPr>
              <w:t xml:space="preserve"> </w:t>
            </w:r>
            <w:r w:rsidRPr="00F619A4">
              <w:rPr>
                <w:rFonts w:ascii="GHEA Grapalat" w:hAnsi="GHEA Grapalat"/>
                <w:b/>
                <w:sz w:val="20"/>
                <w:szCs w:val="20"/>
                <w:u w:val="single"/>
              </w:rPr>
              <w:t>ՀԱՎԱՍԱՐ</w:t>
            </w:r>
            <w:r w:rsidRPr="00F619A4">
              <w:rPr>
                <w:rFonts w:ascii="GHEA Grapalat" w:hAnsi="GHEA Grapalat"/>
                <w:b/>
                <w:sz w:val="20"/>
                <w:szCs w:val="20"/>
                <w:u w:val="single"/>
                <w:lang w:val="hy-AM"/>
              </w:rPr>
              <w:t xml:space="preserve"> </w:t>
            </w:r>
            <w:r w:rsidRPr="00F619A4">
              <w:rPr>
                <w:rFonts w:ascii="GHEA Grapalat" w:hAnsi="GHEA Grapalat"/>
                <w:b/>
                <w:sz w:val="20"/>
                <w:szCs w:val="20"/>
                <w:u w:val="single"/>
              </w:rPr>
              <w:t>ԻՐԱՎՈՒՆՔՆԵՐԻ</w:t>
            </w:r>
            <w:r w:rsidRPr="00F619A4">
              <w:rPr>
                <w:rFonts w:ascii="GHEA Grapalat" w:hAnsi="GHEA Grapalat"/>
                <w:b/>
                <w:sz w:val="20"/>
                <w:szCs w:val="20"/>
                <w:u w:val="single"/>
                <w:lang w:val="hy-AM"/>
              </w:rPr>
              <w:t xml:space="preserve"> </w:t>
            </w:r>
            <w:r w:rsidRPr="00F619A4">
              <w:rPr>
                <w:rFonts w:ascii="GHEA Grapalat" w:hAnsi="GHEA Grapalat"/>
                <w:b/>
                <w:sz w:val="20"/>
                <w:szCs w:val="20"/>
                <w:u w:val="single"/>
              </w:rPr>
              <w:t>ԻՐԱԳՈՐԾՈՒՄ</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tabs>
                <w:tab w:val="left" w:pos="4277"/>
              </w:tabs>
              <w:jc w:val="both"/>
              <w:rPr>
                <w:b/>
                <w:lang w:val="hy-AM"/>
              </w:rPr>
            </w:pPr>
            <w:r w:rsidRPr="00F619A4">
              <w:rPr>
                <w:lang w:val="hy-AM"/>
              </w:rPr>
              <w:t>ՀՀ 2015թ. սահմանադրությունն ընդգծում է խտրականության համընդհանուր արգելքի կարևորությունը: խտրականության բացառումը չի կարող սահմանափակվել իրավական ակտերում խտրականության զուտ հռչակագրային արգելքով: Այս ոլորտում նույնպես անհրաժեշտ են առավել համապարփակ կարգավորումներ, որոնք հնարավորություն կտան երաշխավորել բոլորի իրավահավասարությունը, դրա խախտման դեպքում կանխատեսելի և արդյունավետ ընթացակարգերի միջոցով իրավունքները վերականգնելու, փոխհատուցում ստանալու և մեղավորներին պատասխանատվության ենթարկելու մեխանիզմներ: Իրավահավասարության ապահովմանն ուղղված օրենսդրական կառուցակարգերի ստեղծումն ամրագրված է նաև 2019թ. փետրվարի 9-ին ընդունված ՀՀ կառավարության ծրագրում:</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tabs>
                <w:tab w:val="left" w:pos="4277"/>
              </w:tabs>
              <w:jc w:val="both"/>
              <w:rPr>
                <w:lang w:val="hy-AM"/>
              </w:rPr>
            </w:pPr>
            <w:r w:rsidRPr="00F619A4">
              <w:rPr>
                <w:lang w:val="hy-AM"/>
              </w:rPr>
              <w:t>Հարկ է նշել, որ խտրականության դեմ պայքարի ոլորտում անհրաժեշտ են առավել համապարփակ կարգավորումներ, որոնք հնարավորություն կտան երաշխավորել բոլորի իրավահավասարությունը, դրա խախտման դեպքում կանխատեսելի և արդյունավետ ընթացակարգերի միջոցով իրավունքները վերականգնելու, փոխհատուցում ստանալու և մեղավորներին պատասխանատվության ենթարկելու մեխանիզմներ: Հիշյալ նպատակներին է միտված իրավահավասարության ապահովմանը ուղղված միասնական օրենսդրություն մշակելը, ինչը բխում է նաև ՀՀ միջազգային պարտավորություններից:</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sz w:val="20"/>
                <w:szCs w:val="20"/>
                <w:lang w:val="hy-AM"/>
              </w:rPr>
            </w:pPr>
            <w:r w:rsidRPr="00F619A4">
              <w:rPr>
                <w:rFonts w:ascii="GHEA Grapalat" w:hAnsi="GHEA Grapalat"/>
                <w:sz w:val="20"/>
                <w:szCs w:val="20"/>
                <w:lang w:val="hy-AM"/>
              </w:rPr>
              <w:t>Առաջարկվում է մշակել «Իրավահավասարության ապահովման մասին» ՀՀ օրենքի նախագիծ, որի նպատակն է ապահովել Հայաստանի Հանրապետությունում յուրաքանչյուր անձի և քաղաքացու իրավունքների ու ազատությունների իրականացման հավասար հնարավորություններ՝ անկախ սեռից, ռասայից, մաշկի գույնից, էթնիկական կամ սոցիալական ծագումից, գենետիկական հատկանիշներից, լեզվից, կրոնից, աշխարհայացքից, քաղաքական կամ այլ հայացքներից, ազգային փոքրամասնությանը պատկանելությունից, գույքային վիճակից, ծնունդից, հաշմանդամությունից, տարիքից կամ անձնական կամ սոցիալական բնույթի այլ հանգամանքներից։</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tabs>
                <w:tab w:val="left" w:pos="4277"/>
              </w:tabs>
              <w:jc w:val="both"/>
              <w:rPr>
                <w:lang w:val="hy-AM"/>
              </w:rPr>
            </w:pPr>
            <w:r w:rsidRPr="00F619A4">
              <w:rPr>
                <w:lang w:val="hy-AM"/>
              </w:rPr>
              <w:t>«Իրավահավասարության ապահովման մասին» ՀՀ օրենքի նախագծով նախատեսվում է երաշխավորել Հայաստանի Հանրապետությունում յուրաքանչյուր անձի իրավունքների ու ազատությունների իրականացման հավասար հնարավորությունները, կատարելագործել խտրականության դեմ պայքարի բնագավառի օրենսդրությունը, ապահովել խտրականության կանխարգելման, դրանից իրավական և դատական պաշտպանության իրավական հիմքերը:</w:t>
            </w:r>
          </w:p>
          <w:p w:rsidR="001F6D5D" w:rsidRPr="00F619A4" w:rsidRDefault="001F6D5D" w:rsidP="00277183">
            <w:pPr>
              <w:keepNext/>
              <w:keepLines/>
              <w:tabs>
                <w:tab w:val="left" w:pos="4277"/>
              </w:tabs>
              <w:spacing w:before="200"/>
              <w:ind w:left="-33" w:firstLine="33"/>
              <w:jc w:val="center"/>
              <w:outlineLvl w:val="2"/>
              <w:rPr>
                <w:b/>
                <w:u w:val="single"/>
                <w:lang w:val="hy-AM"/>
              </w:rPr>
            </w:pP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44</w:t>
            </w:r>
          </w:p>
        </w:tc>
        <w:tc>
          <w:tcPr>
            <w:tcW w:w="10878" w:type="dxa"/>
          </w:tcPr>
          <w:p w:rsidR="001F6D5D" w:rsidRPr="00F619A4" w:rsidRDefault="001F6D5D" w:rsidP="00277183">
            <w:pPr>
              <w:ind w:firstLine="708"/>
              <w:contextualSpacing/>
              <w:jc w:val="center"/>
              <w:rPr>
                <w:b/>
                <w:u w:val="single"/>
                <w:lang w:val="hy-AM"/>
              </w:rPr>
            </w:pPr>
            <w:r w:rsidRPr="00F619A4">
              <w:rPr>
                <w:b/>
                <w:u w:val="single"/>
                <w:lang w:val="hy-AM"/>
              </w:rPr>
              <w:t>ԱԶԳԱՅԻՆ ՓՈՔՐԱՄԱՍՆՈՒԹՅՈՒՆԵՐԻՆ ՊԱՏԿԱՆՈՂ ԱՆՁԱՆՑ ԻՐԱՎՈՒՆՔՆԵՐԻ ԱՌԱՎԵԼ ԱՐԴՅՈՒՆԱՎԵՏ ՊԱՇՏՊԱՆՈՒԹՅՈՒՆ, ՕՐԵՆՍԴՐԱԿԱՆ ԵՐԱՇԽԻՔՆԵՐԻ ԱՄՐԱԳՐՈՒՄ</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tabs>
                <w:tab w:val="left" w:pos="4277"/>
              </w:tabs>
              <w:jc w:val="both"/>
              <w:rPr>
                <w:lang w:val="hy-AM"/>
              </w:rPr>
            </w:pPr>
            <w:r w:rsidRPr="00F619A4">
              <w:rPr>
                <w:lang w:val="hy-AM"/>
              </w:rPr>
              <w:t>ՀՀ սահմանադրության 2015 թվականի փոփոխություններով կարևորվել է նաև ազգային փոքրամասնություններին պատկանող անձանց իրավունքների իրականացման ապահովմանն ուղղված օրենքի ընդունումը:</w:t>
            </w:r>
            <w:r w:rsidRPr="00F619A4">
              <w:rPr>
                <w:rFonts w:cs="Sylfaen"/>
                <w:lang w:val="hy-AM"/>
              </w:rPr>
              <w:t xml:space="preserve"> </w:t>
            </w:r>
            <w:r w:rsidRPr="00F619A4">
              <w:rPr>
                <w:lang w:val="hy-AM"/>
              </w:rPr>
              <w:t>Ազգային փոքրամասնություններին պատկանող անձանց իրավունքների պաշտպանությունն ամրագրվում է նաև ՀՀ կառավարության Ծրագրում, որպես Կառավարության գործունեության հիմնական ուղենիշներին, նպատակներին հասնելու համար առանցնքային նշանակություն ունեցող դրույթ:</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tabs>
                <w:tab w:val="left" w:pos="4277"/>
              </w:tabs>
              <w:jc w:val="both"/>
              <w:rPr>
                <w:lang w:val="hy-AM"/>
              </w:rPr>
            </w:pPr>
            <w:r w:rsidRPr="00F619A4">
              <w:rPr>
                <w:lang w:val="hy-AM"/>
              </w:rPr>
              <w:t>Հատկանշական է, որ անկախության հռչակումից ի վեր ՀՀ չի ունեցել օրենք ազգային փոքրամասնություններին պաշտպանության մասին, այլ տարբեր օրենքներում և այլ իրավական ակտերում տեղ են գտել ազգային փոքրամասնություններին պատկանող անձանց իրավունքների ու ազատությունների իրականացման վերաբերյալ առանձին դրույթներ, ինչի պատճառով համապատասխան կարգավորումները կրում են ոլորտային և հատվածական բնույթ:</w:t>
            </w:r>
          </w:p>
          <w:p w:rsidR="001F6D5D" w:rsidRPr="00F619A4" w:rsidRDefault="001F6D5D" w:rsidP="00277183">
            <w:pPr>
              <w:tabs>
                <w:tab w:val="left" w:pos="4277"/>
              </w:tabs>
              <w:jc w:val="both"/>
              <w:rPr>
                <w:lang w:val="hy-AM"/>
              </w:rPr>
            </w:pPr>
            <w:r w:rsidRPr="00F619A4">
              <w:rPr>
                <w:lang w:val="hy-AM"/>
              </w:rPr>
              <w:t>Ազգային փոքրամասնություններին պատկանող անձանց իրավունքների օրենսդրական ապահովման պահանջներ ամրագրված են նաև բազմաթիվ միջազգային համաձայնագրերով, որոնց միացել է ՀՀ։</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sz w:val="20"/>
                <w:szCs w:val="20"/>
                <w:lang w:val="hy-AM"/>
              </w:rPr>
            </w:pPr>
            <w:r w:rsidRPr="00F619A4">
              <w:rPr>
                <w:rFonts w:ascii="GHEA Grapalat" w:hAnsi="GHEA Grapalat"/>
                <w:sz w:val="20"/>
                <w:szCs w:val="20"/>
                <w:lang w:val="hy-AM"/>
              </w:rPr>
              <w:t>«</w:t>
            </w:r>
            <w:r w:rsidRPr="00F619A4">
              <w:rPr>
                <w:rFonts w:ascii="GHEA Grapalat" w:hAnsi="GHEA Grapalat" w:cs="Sylfaen"/>
                <w:sz w:val="20"/>
                <w:szCs w:val="20"/>
                <w:lang w:val="hy-AM"/>
              </w:rPr>
              <w:t>Ազգային</w:t>
            </w:r>
            <w:r w:rsidRPr="00F619A4">
              <w:rPr>
                <w:rFonts w:ascii="GHEA Grapalat" w:hAnsi="GHEA Grapalat"/>
                <w:sz w:val="20"/>
                <w:szCs w:val="20"/>
                <w:lang w:val="hy-AM"/>
              </w:rPr>
              <w:t xml:space="preserve"> </w:t>
            </w:r>
            <w:r w:rsidRPr="00F619A4">
              <w:rPr>
                <w:rFonts w:ascii="GHEA Grapalat" w:hAnsi="GHEA Grapalat" w:cs="Sylfaen"/>
                <w:sz w:val="20"/>
                <w:szCs w:val="20"/>
                <w:lang w:val="hy-AM"/>
              </w:rPr>
              <w:t>փոքրամասնությունների</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մասին</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ՀՀ</w:t>
            </w:r>
            <w:r w:rsidRPr="00F619A4">
              <w:rPr>
                <w:rFonts w:ascii="GHEA Grapalat" w:hAnsi="GHEA Grapalat"/>
                <w:sz w:val="20"/>
                <w:szCs w:val="20"/>
                <w:lang w:val="hy-AM"/>
              </w:rPr>
              <w:t xml:space="preserve"> </w:t>
            </w:r>
            <w:r w:rsidRPr="00F619A4">
              <w:rPr>
                <w:rFonts w:ascii="GHEA Grapalat" w:hAnsi="GHEA Grapalat" w:cs="Sylfaen"/>
                <w:sz w:val="20"/>
                <w:szCs w:val="20"/>
                <w:lang w:val="hy-AM"/>
              </w:rPr>
              <w:t>օրենքի</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նախագծի</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ընդունմամբ</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կսահմանվի</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Հայաստանում</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բնակվող</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ազգային</w:t>
            </w:r>
            <w:r w:rsidRPr="00F619A4">
              <w:rPr>
                <w:rFonts w:ascii="GHEA Grapalat" w:hAnsi="GHEA Grapalat"/>
                <w:sz w:val="20"/>
                <w:szCs w:val="20"/>
                <w:lang w:val="hy-AM"/>
              </w:rPr>
              <w:t xml:space="preserve"> </w:t>
            </w:r>
            <w:r w:rsidRPr="00F619A4">
              <w:rPr>
                <w:rFonts w:ascii="GHEA Grapalat" w:hAnsi="GHEA Grapalat" w:cs="Sylfaen"/>
                <w:sz w:val="20"/>
                <w:szCs w:val="20"/>
                <w:lang w:val="hy-AM"/>
              </w:rPr>
              <w:t>փոքրամասնություններին</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պատկանող</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անձանց</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շրջանակը</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նրանց</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իրավունքները</w:t>
            </w:r>
            <w:r w:rsidRPr="00F619A4">
              <w:rPr>
                <w:rFonts w:ascii="GHEA Grapalat" w:hAnsi="GHEA Grapalat"/>
                <w:sz w:val="20"/>
                <w:szCs w:val="20"/>
                <w:lang w:val="hy-AM"/>
              </w:rPr>
              <w:t xml:space="preserve"> </w:t>
            </w:r>
            <w:r w:rsidRPr="00F619A4">
              <w:rPr>
                <w:rFonts w:ascii="GHEA Grapalat" w:hAnsi="GHEA Grapalat" w:cs="Sylfaen"/>
                <w:sz w:val="20"/>
                <w:szCs w:val="20"/>
                <w:lang w:val="hy-AM"/>
              </w:rPr>
              <w:t>և</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պաշտպանության</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անհրաժեշտ</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մեխանիզմները</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կսահմանվեն</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հանրապետական</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գործադիր</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մարմինների</w:t>
            </w:r>
            <w:r w:rsidRPr="00F619A4">
              <w:rPr>
                <w:rFonts w:ascii="GHEA Grapalat" w:hAnsi="GHEA Grapalat"/>
                <w:sz w:val="20"/>
                <w:szCs w:val="20"/>
                <w:lang w:val="hy-AM"/>
              </w:rPr>
              <w:t xml:space="preserve"> </w:t>
            </w:r>
            <w:r w:rsidRPr="00F619A4">
              <w:rPr>
                <w:rFonts w:ascii="GHEA Grapalat" w:hAnsi="GHEA Grapalat" w:cs="Sylfaen"/>
                <w:sz w:val="20"/>
                <w:szCs w:val="20"/>
                <w:lang w:val="hy-AM"/>
              </w:rPr>
              <w:t>և</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տեղական</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ինքնակառավարման</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մարմինների</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խնդիրները</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այդ</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ոլորտում։</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Առաջարկվող</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նախագծի</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ընդունմամբ</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Հայաստանի</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Հանրապետությունը</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հաստատում</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է</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իր</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պատրաստակամությունը</w:t>
            </w:r>
            <w:r w:rsidRPr="00F619A4">
              <w:rPr>
                <w:rFonts w:ascii="GHEA Grapalat" w:hAnsi="GHEA Grapalat"/>
                <w:sz w:val="20"/>
                <w:szCs w:val="20"/>
                <w:lang w:val="hy-AM"/>
              </w:rPr>
              <w:t xml:space="preserve"> </w:t>
            </w:r>
            <w:r w:rsidRPr="00F619A4">
              <w:rPr>
                <w:rFonts w:ascii="GHEA Grapalat" w:hAnsi="GHEA Grapalat" w:cs="Sylfaen"/>
                <w:sz w:val="20"/>
                <w:szCs w:val="20"/>
                <w:lang w:val="hy-AM"/>
              </w:rPr>
              <w:t>և</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հաստատուն</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կամքը</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ապահովել</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ազգային</w:t>
            </w:r>
            <w:r w:rsidRPr="00F619A4">
              <w:rPr>
                <w:rFonts w:ascii="GHEA Grapalat" w:hAnsi="GHEA Grapalat"/>
                <w:sz w:val="20"/>
                <w:szCs w:val="20"/>
                <w:lang w:val="hy-AM"/>
              </w:rPr>
              <w:t xml:space="preserve"> </w:t>
            </w:r>
            <w:r w:rsidRPr="00F619A4">
              <w:rPr>
                <w:rFonts w:ascii="GHEA Grapalat" w:hAnsi="GHEA Grapalat" w:cs="Sylfaen"/>
                <w:sz w:val="20"/>
                <w:szCs w:val="20"/>
                <w:lang w:val="hy-AM"/>
              </w:rPr>
              <w:t>փոքրամասնություններին</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պատկանող</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անձանց՝</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միջազգային</w:t>
            </w:r>
            <w:r w:rsidRPr="00F619A4">
              <w:rPr>
                <w:rFonts w:ascii="GHEA Grapalat" w:hAnsi="GHEA Grapalat"/>
                <w:sz w:val="20"/>
                <w:szCs w:val="20"/>
                <w:lang w:val="hy-AM"/>
              </w:rPr>
              <w:t xml:space="preserve"> </w:t>
            </w:r>
            <w:r w:rsidRPr="00F619A4">
              <w:rPr>
                <w:rFonts w:ascii="GHEA Grapalat" w:hAnsi="GHEA Grapalat" w:cs="Sylfaen"/>
                <w:sz w:val="20"/>
                <w:szCs w:val="20"/>
                <w:lang w:val="hy-AM"/>
              </w:rPr>
              <w:t>փաստաթղթերով</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ամրագրված</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իրավունքների</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իրականացումը</w:t>
            </w:r>
            <w:r w:rsidRPr="00F619A4">
              <w:rPr>
                <w:rFonts w:ascii="GHEA Grapalat" w:hAnsi="GHEA Grapalat"/>
                <w:sz w:val="20"/>
                <w:szCs w:val="20"/>
                <w:lang w:val="hy-AM"/>
              </w:rPr>
              <w:t xml:space="preserve"> </w:t>
            </w:r>
            <w:r w:rsidRPr="00F619A4">
              <w:rPr>
                <w:rFonts w:ascii="GHEA Grapalat" w:hAnsi="GHEA Grapalat" w:cs="Sylfaen"/>
                <w:sz w:val="20"/>
                <w:szCs w:val="20"/>
                <w:lang w:val="hy-AM"/>
              </w:rPr>
              <w:t>Հայաստանում։</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pStyle w:val="NormalWeb"/>
              <w:shd w:val="clear" w:color="auto" w:fill="FFFFFF"/>
              <w:spacing w:before="0" w:beforeAutospacing="0" w:after="0" w:afterAutospacing="0" w:line="276" w:lineRule="auto"/>
              <w:ind w:firstLine="708"/>
              <w:jc w:val="both"/>
              <w:rPr>
                <w:rFonts w:ascii="GHEA Grapalat" w:hAnsi="GHEA Grapalat"/>
                <w:b/>
                <w:sz w:val="20"/>
                <w:szCs w:val="20"/>
                <w:u w:val="single"/>
                <w:lang w:val="hy-AM"/>
              </w:rPr>
            </w:pPr>
            <w:r w:rsidRPr="00F619A4">
              <w:rPr>
                <w:rFonts w:ascii="GHEA Grapalat" w:hAnsi="GHEA Grapalat"/>
                <w:sz w:val="20"/>
                <w:szCs w:val="20"/>
                <w:lang w:val="hy-AM"/>
              </w:rPr>
              <w:t>Ազգային փոքրամասնությունների մասին» ՀՀ օրենքի նախագծի ընդունման արդյունքում ակնկալվում է հստակեցնել ազգային փոքրամասնություններին պատկանող անձանց շրջանակը, սահմանել ազգային փոքրամասնությունների հիմնական իրավունքները և ազատությունները, ինչպես նաև պետական և տեղական ինքնակառավարման մարմինների պարտականությունները դրանց իրականացման ապահովման գործում, կազմավորել ազգային փոքրամասնություններին պատկանող անձանց խնդիրները և իրավունքների իրացման հետ կապված հարցերը քննարկելու համար խորհրդակցական մարմին։</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45</w:t>
            </w:r>
          </w:p>
        </w:tc>
        <w:tc>
          <w:tcPr>
            <w:tcW w:w="10878" w:type="dxa"/>
          </w:tcPr>
          <w:p w:rsidR="001F6D5D" w:rsidRPr="00F619A4" w:rsidRDefault="001F6D5D" w:rsidP="00277183">
            <w:pPr>
              <w:tabs>
                <w:tab w:val="left" w:pos="4277"/>
              </w:tabs>
              <w:ind w:left="-33" w:firstLine="33"/>
              <w:jc w:val="center"/>
              <w:rPr>
                <w:b/>
                <w:u w:val="single"/>
                <w:lang w:val="hy-AM"/>
              </w:rPr>
            </w:pPr>
            <w:r w:rsidRPr="00F619A4">
              <w:rPr>
                <w:b/>
                <w:u w:val="single"/>
                <w:lang w:val="hy-AM"/>
              </w:rPr>
              <w:t>ԱՆՎՃԱՐ ԻՐԱՎԱԲԱ</w:t>
            </w:r>
            <w:r w:rsidRPr="00F619A4">
              <w:rPr>
                <w:b/>
                <w:u w:val="single"/>
                <w:lang w:val="hy-AM"/>
              </w:rPr>
              <w:softHyphen/>
              <w:t>ՆԱԿԱՆ ՕԳՆՈՒԹՅԱՆ ՏՐԱՄԱԴՐ</w:t>
            </w:r>
            <w:r w:rsidRPr="00F619A4">
              <w:rPr>
                <w:b/>
                <w:u w:val="single"/>
                <w:lang w:val="hy-AM"/>
              </w:rPr>
              <w:softHyphen/>
              <w:t>ՄԱՆ ՇՐՋԱՆԱԿՆԵՐԻ ԸՆԴԼԱՅՆՈՒՄ</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tabs>
                <w:tab w:val="left" w:pos="4277"/>
              </w:tabs>
              <w:jc w:val="both"/>
              <w:rPr>
                <w:lang w:val="hy-AM"/>
              </w:rPr>
            </w:pPr>
            <w:r w:rsidRPr="00F619A4">
              <w:rPr>
                <w:lang w:val="hy-AM"/>
              </w:rPr>
              <w:t>Անվաճար իրավաբանական օգնություն ցւուցաբերելը կամ տրամադրելը պետության պարտավորությունն է, իսկ այդ իրավունքից օգտվելը քաղաքացու իրավունքը: Ուստի` անհրաժեշտ է  միջոցներ ձեռնարկել այս իրավունքի լիարժեք իրացման համար:</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tabs>
                <w:tab w:val="left" w:pos="4277"/>
              </w:tabs>
              <w:jc w:val="both"/>
              <w:rPr>
                <w:lang w:val="hy-AM"/>
              </w:rPr>
            </w:pPr>
            <w:r w:rsidRPr="00F619A4">
              <w:rPr>
                <w:lang w:val="hy-AM"/>
              </w:rPr>
              <w:t>Գույքային պահանջների գործերի համար նախատեսված անվճար իրավաբանական օգնություն ստանալու համար գումարային սահմանափակման շեմը թույլ չի տալիս որպեսզի մի շարք շահառուներ, որոնք օբյեկտիվորեն ունեն իրավաբանական օգնություն ստանալու կարիք, օգտվեն անվճար իրավաբանական օգնությունից:</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sz w:val="20"/>
                <w:szCs w:val="20"/>
                <w:lang w:val="hy-AM"/>
              </w:rPr>
            </w:pPr>
            <w:r w:rsidRPr="00F619A4">
              <w:rPr>
                <w:rFonts w:ascii="GHEA Grapalat" w:hAnsi="GHEA Grapalat"/>
                <w:sz w:val="20"/>
                <w:szCs w:val="20"/>
                <w:lang w:val="hy-AM"/>
              </w:rPr>
              <w:t>Առաջարկվումերի առաջարկվող լուծումներըխատեսված անվճար իրավաբանական օգնություն ստանալու համար գումարային սահմանափակման շեմը թույլ չի տալիս որպեսզի մի շարք շահառունե</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2. ջարկվումերի առաջարկվող լուծումներըխատեսված ա</w:t>
            </w:r>
          </w:p>
          <w:p w:rsidR="001F6D5D" w:rsidRPr="00F619A4" w:rsidRDefault="001F6D5D" w:rsidP="00277183">
            <w:pPr>
              <w:tabs>
                <w:tab w:val="left" w:pos="4277"/>
              </w:tabs>
              <w:ind w:left="-33" w:firstLine="33"/>
              <w:jc w:val="both"/>
              <w:rPr>
                <w:lang w:val="hy-AM"/>
              </w:rPr>
            </w:pPr>
            <w:r w:rsidRPr="00F619A4">
              <w:rPr>
                <w:lang w:val="hy-AM"/>
              </w:rPr>
              <w:t>Բարձրացնել գույքային պահանջների գործերի համար նախատեսված անվճար իրավաբանական օգնություն ստանալու համար գումարային սահմանափակման նվազագույն շեմը:</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46</w:t>
            </w:r>
          </w:p>
        </w:tc>
        <w:tc>
          <w:tcPr>
            <w:tcW w:w="10878" w:type="dxa"/>
          </w:tcPr>
          <w:p w:rsidR="001F6D5D" w:rsidRPr="00F619A4" w:rsidRDefault="001F6D5D" w:rsidP="00277183">
            <w:pPr>
              <w:tabs>
                <w:tab w:val="left" w:pos="4277"/>
              </w:tabs>
              <w:ind w:left="-33" w:firstLine="33"/>
              <w:jc w:val="center"/>
              <w:rPr>
                <w:b/>
                <w:u w:val="single"/>
                <w:lang w:val="hy-AM"/>
              </w:rPr>
            </w:pPr>
            <w:r w:rsidRPr="00F619A4">
              <w:rPr>
                <w:b/>
                <w:u w:val="single"/>
                <w:lang w:val="hy-AM"/>
              </w:rPr>
              <w:t>ՓԱՍՏԱԲԱՆԱԿԱՆ ՍԽԱԼԻՑ ԱՊԱ</w:t>
            </w:r>
            <w:r w:rsidRPr="00F619A4">
              <w:rPr>
                <w:b/>
                <w:u w:val="single"/>
                <w:lang w:val="hy-AM"/>
              </w:rPr>
              <w:softHyphen/>
            </w:r>
            <w:r w:rsidRPr="00F619A4">
              <w:rPr>
                <w:b/>
                <w:u w:val="single"/>
                <w:lang w:val="hy-AM"/>
              </w:rPr>
              <w:softHyphen/>
              <w:t>ՀՈՎԱԳՐՈՒԹՅԱՆ ԱՐԴՅՈՒ</w:t>
            </w:r>
            <w:r w:rsidRPr="00F619A4">
              <w:rPr>
                <w:b/>
                <w:u w:val="single"/>
                <w:lang w:val="hy-AM"/>
              </w:rPr>
              <w:softHyphen/>
              <w:t>ՆԱ</w:t>
            </w:r>
            <w:r w:rsidRPr="00F619A4">
              <w:rPr>
                <w:b/>
                <w:u w:val="single"/>
                <w:lang w:val="hy-AM"/>
              </w:rPr>
              <w:softHyphen/>
              <w:t>ՎԵՏ ՄԵԽԱՆԻԶՄԻ ՆԵՐԴՆՈՒՄ</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tabs>
                <w:tab w:val="left" w:pos="4277"/>
              </w:tabs>
              <w:jc w:val="both"/>
              <w:rPr>
                <w:lang w:val="hy-AM"/>
              </w:rPr>
            </w:pPr>
            <w:r w:rsidRPr="00F619A4">
              <w:rPr>
                <w:lang w:val="hy-AM"/>
              </w:rPr>
              <w:t>Հաշվի առնելով փաստաբանության ինստիտուտի դերն անձանց իրավական օգնության ցուցաբերման միջոցով նրանց իրավունքների և ազատությունների պաշտպանության գործում անհրաժեշտութոյւն է առաջացել այս ոլորտում իրականացնել բարեփոխումներ՝ հաշվի առնելով նաև իրավունքի և արդարադատության վերաբերյալ հանրային ընկալումների ձևավորմանը նպաստավոր պայմանների ստեղծման կարևորությունը:</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tabs>
                <w:tab w:val="left" w:pos="4277"/>
              </w:tabs>
              <w:jc w:val="both"/>
              <w:rPr>
                <w:lang w:val="hy-AM"/>
              </w:rPr>
            </w:pPr>
            <w:r w:rsidRPr="00F619A4">
              <w:rPr>
                <w:lang w:val="hy-AM"/>
              </w:rPr>
              <w:t>Այս ոլորտում բարեփոխումների իրականացմամբ իսկ կապահովի նաև դատաիրավական ոլորտի բարեփոխումների տրամաբանական ամբողջականությունը: կարևորվում է այս ինստիտուտի զարգացման և արդյունավետ գործունեության ապահովման ուղղությամբ որոշակի քայլերի ձեռնարկումը՝ ելնելով ոլորտում առկա մի շարք խնդիրներից:</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pStyle w:val="NormalWeb"/>
              <w:shd w:val="clear" w:color="auto" w:fill="FFFFFF"/>
              <w:spacing w:before="0" w:beforeAutospacing="0" w:after="0" w:afterAutospacing="0"/>
              <w:rPr>
                <w:rFonts w:ascii="GHEA Grapalat" w:hAnsi="GHEA Grapalat"/>
                <w:sz w:val="20"/>
                <w:szCs w:val="20"/>
                <w:lang w:val="hy-AM"/>
              </w:rPr>
            </w:pPr>
            <w:r w:rsidRPr="00F619A4">
              <w:rPr>
                <w:rFonts w:ascii="GHEA Grapalat" w:hAnsi="GHEA Grapalat"/>
                <w:sz w:val="20"/>
                <w:szCs w:val="20"/>
                <w:lang w:val="hy-AM"/>
              </w:rPr>
              <w:t>Ամրապնդելրների առաջարկվող լուծումներըամբ իսկ կապահովի նաև դատաիրավական ոլորտի բարեփոխումների տրամաբանական ամբողջականությունը: կարևորվում է այս ինստիտուտի զարգացման և արդյունավետ գործունեության ապահովման ուղղությամբ որոշակի</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sz w:val="20"/>
                <w:szCs w:val="20"/>
                <w:lang w:val="hy-AM"/>
              </w:rPr>
            </w:pPr>
            <w:r w:rsidRPr="00F619A4">
              <w:rPr>
                <w:rFonts w:ascii="GHEA Grapalat" w:hAnsi="GHEA Grapalat"/>
                <w:sz w:val="20"/>
                <w:szCs w:val="20"/>
                <w:lang w:val="hy-AM"/>
              </w:rPr>
              <w:t>Զարգացնելրների առաջարկվող լուծումներըամբ իսկ կապահովի նաև դատաիրավական ոլորտի բարե</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2. գացնելրների առաջարկվող լուծումներըամբ իսկ կա</w:t>
            </w:r>
          </w:p>
          <w:p w:rsidR="001F6D5D" w:rsidRPr="00F619A4" w:rsidRDefault="001F6D5D" w:rsidP="00277183">
            <w:pPr>
              <w:tabs>
                <w:tab w:val="left" w:pos="4277"/>
              </w:tabs>
              <w:ind w:left="-33" w:firstLine="33"/>
              <w:jc w:val="both"/>
              <w:rPr>
                <w:lang w:val="hy-AM"/>
              </w:rPr>
            </w:pPr>
            <w:r w:rsidRPr="00F619A4">
              <w:rPr>
                <w:lang w:val="hy-AM"/>
              </w:rPr>
              <w:t>Ուսումնասիրել փաստաբանական սխալի ապահովագրության ինստիտուտի ներդրման իրավական և կազմակերպական ընթացակարգերի, այդ թվում՝ վնասի հատուցման չափանիշների վերաբերյալ առաջադեմ փորձը և դրա հիման վրա մշակել փաստաբանական սխալի ապահովագրության ինստիտուտի ներդրման հայեցակարգ: Հայեցակարգի հիման վրա մշակել համապատասխան օրենսդրական փոփոխությունների փաթեթը, կազմակերպել հանրային քննարկումներ: Նախագիծը ներկայացնել Ազգային ժողով:</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47</w:t>
            </w:r>
          </w:p>
        </w:tc>
        <w:tc>
          <w:tcPr>
            <w:tcW w:w="10878" w:type="dxa"/>
          </w:tcPr>
          <w:p w:rsidR="001F6D5D" w:rsidRPr="00F619A4" w:rsidRDefault="001F6D5D" w:rsidP="00277183">
            <w:pPr>
              <w:tabs>
                <w:tab w:val="left" w:pos="4277"/>
              </w:tabs>
              <w:ind w:left="-33" w:firstLine="33"/>
              <w:jc w:val="center"/>
              <w:rPr>
                <w:b/>
                <w:u w:val="single"/>
                <w:lang w:val="hy-AM"/>
              </w:rPr>
            </w:pPr>
            <w:r w:rsidRPr="00F619A4">
              <w:rPr>
                <w:b/>
                <w:u w:val="single"/>
                <w:lang w:val="hy-AM"/>
              </w:rPr>
              <w:t>ԻՐԱՎԱԲԱՆԱԿԱՆ ՆՇԱՆԱԿՈՒԹՅՈՒՆ ՈՒՆԵՑՈՂ ՓԱՍՏԸ ՀԱՍՏԱՏՈՂ ԱՊԱՑՈՒՅՑՆԵՐԻ ՇՐՋԱՆԱԿԻ ԸՆԴԼԱՅՆՈՒՄ՝ ՆԵՐԱՌԵԼՈՎ ՎԿԱՅԻ ՑՈՒՑՄՈՒՆՔՆԵՐԸ ԵՎ ՔՐԵԱԿԱՆ ՊԱՏԱՍԽԱՆԱՏՎՈՒԹՅԱՆ ՆԱԽԱՏԵՍՈՒՄ ՎԿԱՅԻ ԿՈՂՄԻՑ ՆՈՏԱՐԻՆ ՍՈՒՏ ՑՈՒՑՄՈՒՆՔ ՏԱԼՈՒ ՀԱՄԱՐ</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tabs>
                <w:tab w:val="left" w:pos="4277"/>
              </w:tabs>
              <w:jc w:val="both"/>
              <w:rPr>
                <w:lang w:val="hy-AM"/>
              </w:rPr>
            </w:pPr>
            <w:r w:rsidRPr="00F619A4">
              <w:rPr>
                <w:lang w:val="hy-AM"/>
              </w:rPr>
              <w:t>«Նոտարիատի մասին» ՀՀ օրենքում փոփոխություններ և լրացումներ կատարելու մասին» ՀՀ օրենքի ընդունումը պայմանավորված է արդարադատության մատչելիության և արդյունա-վետության բարձրացման նպատակով ՀՀ նոտարիատի ինստիտուտի ներգրավման շրջանակների ընդլայնման անհրաժեշտությամբ:</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tabs>
                <w:tab w:val="left" w:pos="4277"/>
              </w:tabs>
              <w:jc w:val="both"/>
              <w:rPr>
                <w:lang w:val="hy-AM"/>
              </w:rPr>
            </w:pPr>
            <w:r w:rsidRPr="00F619A4">
              <w:rPr>
                <w:lang w:val="hy-AM"/>
              </w:rPr>
              <w:t>Ներկայումս գործող իրավակարգավորումների համաձայն՝ նոտարներին վերապահված է առանձին տեսակների իրավաբանական փաստերի հաստատման լիազորություն՝ պահպանելով դատարանի կողմից նշված վարույթների իրականացումը, սակայն այն առավել արդյունավետ իրագործելու համար անհրաժեշտ է ընդլայնել փաստը հաստատող ապացույցների շրջանակը: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sz w:val="20"/>
                <w:szCs w:val="20"/>
                <w:lang w:val="hy-AM"/>
              </w:rPr>
            </w:pPr>
            <w:r w:rsidRPr="00F619A4">
              <w:rPr>
                <w:rFonts w:ascii="GHEA Grapalat" w:hAnsi="GHEA Grapalat"/>
                <w:sz w:val="20"/>
                <w:szCs w:val="20"/>
                <w:lang w:val="hy-AM"/>
              </w:rPr>
              <w:t>Առաջարկվող նախագծով նախատեսվում է նոտարի կողմից իրավաբանական փաստերի հաստատման գործառույթի արդյունավետ և ամբողջական իրացման համար ընդլայնել փաստը հաստատող ապացույցների շրջանակը՝ ներառելով վկայի ցուցմունքները, դրա հետ մեկտեղ քրեական պատասխանատվություն նախատեսելով վկայի կողմից նոտարին սուտ ցուցմունք տալու համար:</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tabs>
                <w:tab w:val="left" w:pos="4277"/>
              </w:tabs>
              <w:jc w:val="both"/>
              <w:rPr>
                <w:b/>
                <w:lang w:val="hy-AM"/>
              </w:rPr>
            </w:pPr>
            <w:r w:rsidRPr="00F619A4">
              <w:rPr>
                <w:spacing w:val="-4"/>
                <w:lang w:val="hy-AM"/>
              </w:rPr>
              <w:t>«Նոտարիատի մասին» ՀՀ օրենքում փոփոխություններ կատարելու մասին» ՀՀ օրենքի ընդունման արդյունքում կընդլայնվեն ՀՀ նոտարիատի ինստիտուտի ներգրավման շրջանակները՝ նոտարները ապահովելով համապատասխան գործիքակազմով, այդ թվում` ապացույցների ընդունման և գնահատման տեսանկյունից:</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48</w:t>
            </w:r>
          </w:p>
        </w:tc>
        <w:tc>
          <w:tcPr>
            <w:tcW w:w="10878" w:type="dxa"/>
          </w:tcPr>
          <w:p w:rsidR="001F6D5D" w:rsidRPr="00F619A4" w:rsidRDefault="001F6D5D" w:rsidP="00277183">
            <w:pPr>
              <w:tabs>
                <w:tab w:val="left" w:pos="3119"/>
                <w:tab w:val="left" w:pos="3402"/>
              </w:tabs>
              <w:jc w:val="center"/>
              <w:rPr>
                <w:b/>
                <w:u w:val="single"/>
                <w:lang w:val="hy-AM"/>
              </w:rPr>
            </w:pPr>
            <w:r w:rsidRPr="00F619A4">
              <w:rPr>
                <w:b/>
                <w:u w:val="single"/>
                <w:lang w:val="hy-AM"/>
              </w:rPr>
              <w:t>ՀԱՅԱՍՏԱՆԻ ՀԱՆՐԱՊԵՏՈՒԹՅՈՒՆՈՒՄ ԱՌԱՋԻԿԱ 5 ՏԱՐԻՆԵՐԻ ԿՏՐՎԱԾՔՈՎ ԻՐԱԿԱՆԱՑՎԵԼԻՔ  ԻՐԱՎԱԿԱՆ և ԴԱՏԱԿԱՆ ԲԱՐԵՓՈԽՈՒՄՆԵՐԻ ՄՇԱԿՈՒՄ</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ind w:firstLine="375"/>
              <w:jc w:val="both"/>
              <w:rPr>
                <w:lang w:val="hy-AM"/>
              </w:rPr>
            </w:pPr>
            <w:r w:rsidRPr="00F619A4">
              <w:rPr>
                <w:lang w:val="hy-AM"/>
              </w:rPr>
              <w:t xml:space="preserve">Հայաստանի հանրապետությունում դատաիրավական ոլորտի բարեփոխումները պետք է կրեն շարունակական բնույթ` հաշվի առնելով ինչպես ներպետական առանձնահատկությունները, այնպես էլ առաջադեմ միջազգային փորձը: </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ind w:firstLine="375"/>
              <w:jc w:val="both"/>
              <w:rPr>
                <w:lang w:val="hy-AM"/>
              </w:rPr>
            </w:pPr>
            <w:r w:rsidRPr="00F619A4">
              <w:rPr>
                <w:lang w:val="hy-AM"/>
              </w:rPr>
              <w:t>Դատականիրավական համակարի խնդիրները բազմազան են, ինչն էլ պատճառն է նոր ռազմավարության և գործողությունների մշակման, որոնց մեջ հստակեցվել են ինչես առկա խնդիրները, այնպես էլ դրանց լուծման մեխանիզմները: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ind w:firstLine="375"/>
              <w:jc w:val="both"/>
              <w:rPr>
                <w:lang w:val="hy-AM"/>
              </w:rPr>
            </w:pPr>
            <w:r w:rsidRPr="00F619A4">
              <w:rPr>
                <w:lang w:val="hy-AM"/>
              </w:rPr>
              <w:t>Հայաստանի Հանրապետության դատական և իրավական բարեփոխումների 2019-2024 թվականների ռազմավարությունը (այսուհետ՝ Ռազմավարություն) մշակվելու է՝ հաշվի առնելով դատաիրավական ոլորտում բարեփոխումների ռազմավարական պլանավորման, մշտադիտարկման, հաշվետվողականության և առաջընթացի պարբերական գնահատման անհրաժեշտությունը ոլորտի վերընթաց զարգացման ապահովման համար: Ռազմավարությունը դատաիրավական ոլորտի բարեփոխումների նախորդ ծրագրերի շարունակությունն է լինելու և նախորդների ձեռքբերումների հիման վրա, ինչպես նաև հաշվի առնելով իրավունքի բնագավառի ժամանակակից զարգացումները, ՀՀ դատական իշխանության և իրավական համակարգի առկա խնդիրներն ու զարգացման հեռանկարները, սահմանելու է՝ դատական և իրավական ոլորտի բարեփոխումների ընդհանուր նպատակը, ուղղությունները և առաջիկա հինգ տարիների համար այդ ուղղություններից յուրաքանչյուրով սահմանված ռազմավարական նպատակները, դրանց ուղենիշերը և ռազմավարության իրագործմամբ ակնկալվող վերջնարդյունքները, որոնց ցանկանում է հասնել Կառավարությունը:</w:t>
            </w:r>
          </w:p>
          <w:p w:rsidR="001F6D5D" w:rsidRPr="00F619A4" w:rsidRDefault="001F6D5D" w:rsidP="00277183">
            <w:pPr>
              <w:pStyle w:val="NormalWeb"/>
              <w:shd w:val="clear" w:color="auto" w:fill="FFFFFF"/>
              <w:spacing w:before="0" w:beforeAutospacing="0" w:after="0" w:afterAutospacing="0"/>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tabs>
                <w:tab w:val="left" w:pos="3119"/>
                <w:tab w:val="left" w:pos="3402"/>
              </w:tabs>
              <w:jc w:val="both"/>
              <w:rPr>
                <w:b/>
                <w:u w:val="single"/>
                <w:lang w:val="hy-AM"/>
              </w:rPr>
            </w:pPr>
            <w:r w:rsidRPr="00F619A4">
              <w:rPr>
                <w:lang w:val="hy-AM"/>
              </w:rPr>
              <w:t>Նոր ռազմավարությունը հնարավորություն կընձեռի հստակ սահմանել այն գործողությունները, որոնք անհրաժեշտ են էլ ավելի կատարեռլագործված դատական և իրավական համակարգ ունենալու համար:</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49</w:t>
            </w:r>
          </w:p>
        </w:tc>
        <w:tc>
          <w:tcPr>
            <w:tcW w:w="10878" w:type="dxa"/>
          </w:tcPr>
          <w:p w:rsidR="001F6D5D" w:rsidRPr="00F619A4" w:rsidRDefault="001F6D5D" w:rsidP="00277183">
            <w:pPr>
              <w:tabs>
                <w:tab w:val="left" w:pos="4277"/>
              </w:tabs>
              <w:jc w:val="center"/>
              <w:rPr>
                <w:b/>
                <w:u w:val="single"/>
                <w:lang w:val="hy-AM"/>
              </w:rPr>
            </w:pPr>
            <w:r w:rsidRPr="00F619A4">
              <w:rPr>
                <w:b/>
                <w:u w:val="single"/>
                <w:lang w:val="hy-AM"/>
              </w:rPr>
              <w:t xml:space="preserve"> ՊԱՅՔԱՐԸ ԿՈՌՈՒՊՑԻԱՅԻ ԴԵՄ</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pStyle w:val="mechtex"/>
              <w:ind w:firstLine="375"/>
              <w:jc w:val="both"/>
              <w:rPr>
                <w:rFonts w:ascii="GHEA Grapalat" w:eastAsia="Calibri" w:hAnsi="GHEA Grapalat" w:cs="Sylfaen"/>
                <w:lang w:val="hy-AM"/>
              </w:rPr>
            </w:pPr>
            <w:r w:rsidRPr="00F619A4">
              <w:rPr>
                <w:rFonts w:ascii="GHEA Grapalat" w:hAnsi="GHEA Grapalat"/>
                <w:lang w:val="hy-AM"/>
              </w:rPr>
              <w:t xml:space="preserve">Կոռուպցիայի դեմ պայքարը հանդիսանում է ՀՀ կառավարության գործունեության առաջնային և կարևորագույն ուղղություններից, ուստի, պատահական չէ, որ </w:t>
            </w:r>
            <w:r w:rsidRPr="00F619A4">
              <w:rPr>
                <w:rFonts w:ascii="GHEA Grapalat" w:hAnsi="GHEA Grapalat"/>
                <w:noProof/>
                <w:lang w:val="hy-AM"/>
              </w:rPr>
              <w:t xml:space="preserve">2019 թվականի փետրվարի 14-ի ԱԺՕ-002-Ն որոշմամբ հավանության </w:t>
            </w:r>
            <w:r w:rsidRPr="00F619A4">
              <w:rPr>
                <w:rFonts w:ascii="GHEA Grapalat" w:eastAsia="Calibri" w:hAnsi="GHEA Grapalat" w:cs="Sylfaen"/>
                <w:lang w:val="hy-AM"/>
              </w:rPr>
              <w:t>արժանացած ՀՀ կառավարության ծրագրի «Պայքար կոռուպցիայի դեմ» վերտառությամբ 3-րդ բաժնի շրջանակներում թիրախավորվել են կոռուպցիայի դեմ պայքարի ոլորտում անհրաժեշտ մի շարք միջոցառումներ: Միաժամանակ, նշված բաժնի շրջանակներում ընդգծվում է, որ, ի թիվս այլնի, կոռուպցիայի դեմ պայքարը պետք է իրականացվի ռազմավարական միջոցառումների իրականացման միջոցով:</w:t>
            </w:r>
          </w:p>
          <w:p w:rsidR="001F6D5D" w:rsidRPr="00F619A4" w:rsidRDefault="001F6D5D" w:rsidP="00277183">
            <w:pPr>
              <w:pStyle w:val="NormalWeb"/>
              <w:shd w:val="clear" w:color="auto" w:fill="FFFFFF"/>
              <w:spacing w:before="0" w:beforeAutospacing="0" w:after="0" w:afterAutospacing="0"/>
              <w:ind w:left="33" w:firstLine="342"/>
              <w:jc w:val="both"/>
              <w:rPr>
                <w:rFonts w:ascii="GHEA Grapalat" w:hAnsi="GHEA Grapalat"/>
                <w:color w:val="000000"/>
                <w:sz w:val="20"/>
                <w:szCs w:val="20"/>
                <w:lang w:val="hy-AM"/>
              </w:rPr>
            </w:pPr>
            <w:r w:rsidRPr="00F619A4">
              <w:rPr>
                <w:rFonts w:ascii="GHEA Grapalat" w:hAnsi="GHEA Grapalat"/>
                <w:bCs/>
                <w:color w:val="000000"/>
                <w:sz w:val="20"/>
                <w:szCs w:val="20"/>
                <w:lang w:val="hy-AM"/>
              </w:rPr>
              <w:t xml:space="preserve">Այս համատեքստում հարկ է նշել, որ կոռուպցիայի դեմ </w:t>
            </w:r>
            <w:r w:rsidRPr="00F619A4">
              <w:rPr>
                <w:rFonts w:ascii="GHEA Grapalat" w:hAnsi="GHEA Grapalat"/>
                <w:color w:val="000000"/>
                <w:sz w:val="20"/>
                <w:szCs w:val="20"/>
                <w:lang w:val="hy-AM"/>
              </w:rPr>
              <w:t xml:space="preserve">պայքարի </w:t>
            </w:r>
            <w:r w:rsidRPr="00F619A4">
              <w:rPr>
                <w:rFonts w:ascii="GHEA Grapalat" w:hAnsi="GHEA Grapalat"/>
                <w:color w:val="000000"/>
                <w:sz w:val="20"/>
                <w:szCs w:val="20"/>
                <w:shd w:val="clear" w:color="auto" w:fill="FFFFFF"/>
                <w:lang w:val="hy-AM"/>
              </w:rPr>
              <w:t>արդյունավետության գլխավոր երաշխիքներից է գործուն և թիրախային հակակոռուպցիոն ռազմավարության առկայությունը, որով կանխատեսելի կլինի կոռուպցիայի դեմ պայքարի շրջանակներում ՀՀ որդեգրած քաղաքականությունը:</w:t>
            </w:r>
            <w:r w:rsidRPr="00F619A4">
              <w:rPr>
                <w:rFonts w:ascii="GHEA Grapalat" w:hAnsi="GHEA Grapalat"/>
                <w:color w:val="000000"/>
                <w:sz w:val="20"/>
                <w:szCs w:val="20"/>
                <w:lang w:val="hy-AM"/>
              </w:rPr>
              <w:t xml:space="preserve"> Ուստի, անհրաժեշտ է մշակել և իրականացնել հակակոռուպցիոն նոր ռազմավարություն և դրանում ներառել տվյալ ժամանակահատվածին համահունչ, ներքին իրավիճակը բարելավող, միջազգային պահանջներին համապատասխան հակակոռուպցիոն միջոցառումներ:</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tabs>
                <w:tab w:val="left" w:pos="4277"/>
              </w:tabs>
              <w:jc w:val="both"/>
              <w:rPr>
                <w:lang w:val="hy-AM"/>
              </w:rPr>
            </w:pPr>
            <w:r w:rsidRPr="00F619A4">
              <w:rPr>
                <w:lang w:val="hy-AM"/>
              </w:rPr>
              <w:t xml:space="preserve">ՀՀ հակակոռուպցիոն ռազմավարությունը և դրա իրականացման 2015-2018 թվականների միջոցառումների ծրագիրը հաստատվել է ՀՀ կառավարության  2015 թվականի սեպտեմբերի 25-ի N 1141-Ն որոշմամբ: </w:t>
            </w:r>
          </w:p>
          <w:p w:rsidR="001F6D5D" w:rsidRPr="00F619A4" w:rsidRDefault="001F6D5D" w:rsidP="00277183">
            <w:pPr>
              <w:tabs>
                <w:tab w:val="left" w:pos="4277"/>
              </w:tabs>
              <w:jc w:val="both"/>
              <w:rPr>
                <w:lang w:val="hy-AM"/>
              </w:rPr>
            </w:pPr>
            <w:r w:rsidRPr="00F619A4">
              <w:rPr>
                <w:lang w:val="hy-AM"/>
              </w:rPr>
              <w:t>Հատկանշական է, որ հակակոռուպցիոն նշված ռազմավարությունն ավարտվել է 2018 թվականին: Ըստ այդմ՝ անհրաժեշտություն է առաջանում, հակակոռուպցիոն ոլորտում ՀՀ կառավարության որդեգրած նոր քաղաքականությանը համահունչ, մշակել հակակոռուպցիոն նոր ռազմավարություն:</w:t>
            </w:r>
          </w:p>
          <w:p w:rsidR="001F6D5D" w:rsidRPr="00F619A4" w:rsidRDefault="001F6D5D" w:rsidP="00277183">
            <w:pPr>
              <w:pStyle w:val="NormalWeb"/>
              <w:shd w:val="clear" w:color="auto" w:fill="FFFFFF"/>
              <w:spacing w:before="0" w:beforeAutospacing="0" w:after="0" w:afterAutospacing="0"/>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sz w:val="20"/>
                <w:szCs w:val="20"/>
                <w:lang w:val="hy-AM"/>
              </w:rPr>
            </w:pPr>
            <w:r w:rsidRPr="00F619A4">
              <w:rPr>
                <w:rFonts w:ascii="GHEA Grapalat" w:hAnsi="GHEA Grapalat"/>
                <w:sz w:val="20"/>
                <w:szCs w:val="20"/>
                <w:lang w:val="hy-AM"/>
              </w:rPr>
              <w:t>Հաշվի առնելով վերոգրյալը՝ անհրաժեշտ է մշակել  Հայաստանի Հանրապետության հակակոռուպցիոն ռազմավարությունը և դրա իրականացման 2019-2022 թվականների միջոցառումների ծրագիրը:</w:t>
            </w:r>
          </w:p>
          <w:p w:rsidR="001F6D5D" w:rsidRPr="00F619A4" w:rsidRDefault="001F6D5D" w:rsidP="00277183">
            <w:pPr>
              <w:pStyle w:val="NormalWeb"/>
              <w:shd w:val="clear" w:color="auto" w:fill="FFFFFF"/>
              <w:spacing w:before="0" w:beforeAutospacing="0" w:after="0" w:afterAutospacing="0"/>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ind w:firstLine="375"/>
              <w:jc w:val="both"/>
              <w:rPr>
                <w:rFonts w:cs="Arial Unicode"/>
                <w:noProof/>
                <w:color w:val="000000"/>
                <w:shd w:val="clear" w:color="auto" w:fill="FFFFFF"/>
                <w:lang w:val="hy-AM"/>
              </w:rPr>
            </w:pPr>
            <w:r w:rsidRPr="00F619A4">
              <w:rPr>
                <w:rFonts w:cs="Arial Unicode"/>
                <w:noProof/>
                <w:color w:val="000000"/>
                <w:shd w:val="clear" w:color="auto" w:fill="FFFFFF"/>
                <w:lang w:val="hy-AM"/>
              </w:rPr>
              <w:t>Հանրային քն</w:t>
            </w:r>
            <w:r w:rsidRPr="00F619A4">
              <w:rPr>
                <w:rFonts w:cs="Arial Unicode"/>
                <w:noProof/>
                <w:color w:val="000000"/>
                <w:shd w:val="clear" w:color="auto" w:fill="FFFFFF"/>
                <w:lang w:val="hy-AM"/>
              </w:rPr>
              <w:softHyphen/>
              <w:t>նար</w:t>
            </w:r>
            <w:r w:rsidRPr="00F619A4">
              <w:rPr>
                <w:rFonts w:cs="Arial Unicode"/>
                <w:noProof/>
                <w:color w:val="000000"/>
                <w:shd w:val="clear" w:color="auto" w:fill="FFFFFF"/>
                <w:lang w:val="hy-AM"/>
              </w:rPr>
              <w:softHyphen/>
              <w:t>կումների, ռիսկերի գնա</w:t>
            </w:r>
            <w:r w:rsidRPr="00F619A4">
              <w:rPr>
                <w:rFonts w:cs="Arial Unicode"/>
                <w:noProof/>
                <w:color w:val="000000"/>
                <w:shd w:val="clear" w:color="auto" w:fill="FFFFFF"/>
                <w:lang w:val="hy-AM"/>
              </w:rPr>
              <w:softHyphen/>
            </w:r>
            <w:r w:rsidRPr="00F619A4">
              <w:rPr>
                <w:rFonts w:cs="Arial Unicode"/>
                <w:noProof/>
                <w:color w:val="000000"/>
                <w:shd w:val="clear" w:color="auto" w:fill="FFFFFF"/>
                <w:lang w:val="hy-AM"/>
              </w:rPr>
              <w:softHyphen/>
              <w:t>հ</w:t>
            </w:r>
            <w:r w:rsidRPr="00F619A4">
              <w:rPr>
                <w:rFonts w:cs="Arial Unicode"/>
                <w:noProof/>
                <w:color w:val="000000"/>
                <w:shd w:val="clear" w:color="auto" w:fill="FFFFFF"/>
                <w:lang w:val="hy-AM"/>
              </w:rPr>
              <w:softHyphen/>
              <w:t>ա</w:t>
            </w:r>
            <w:r w:rsidRPr="00F619A4">
              <w:rPr>
                <w:rFonts w:cs="Arial Unicode"/>
                <w:noProof/>
                <w:color w:val="000000"/>
                <w:shd w:val="clear" w:color="auto" w:fill="FFFFFF"/>
                <w:lang w:val="hy-AM"/>
              </w:rPr>
              <w:softHyphen/>
              <w:t>տումների, ոլոր</w:t>
            </w:r>
            <w:r w:rsidRPr="00F619A4">
              <w:rPr>
                <w:rFonts w:cs="Arial Unicode"/>
                <w:noProof/>
                <w:color w:val="000000"/>
                <w:shd w:val="clear" w:color="auto" w:fill="FFFFFF"/>
                <w:lang w:val="hy-AM"/>
              </w:rPr>
              <w:softHyphen/>
              <w:t>տային հետա</w:t>
            </w:r>
            <w:r w:rsidRPr="00F619A4">
              <w:rPr>
                <w:rFonts w:cs="Arial Unicode"/>
                <w:noProof/>
                <w:color w:val="000000"/>
                <w:shd w:val="clear" w:color="auto" w:fill="FFFFFF"/>
                <w:lang w:val="hy-AM"/>
              </w:rPr>
              <w:softHyphen/>
              <w:t>զոտությունների, միջազգային գործընկերների հետ համագործակցության արդ</w:t>
            </w:r>
            <w:r w:rsidRPr="00F619A4">
              <w:rPr>
                <w:rFonts w:cs="Arial Unicode"/>
                <w:noProof/>
                <w:color w:val="000000"/>
                <w:shd w:val="clear" w:color="auto" w:fill="FFFFFF"/>
                <w:lang w:val="hy-AM"/>
              </w:rPr>
              <w:softHyphen/>
              <w:t>յուն</w:t>
            </w:r>
            <w:r w:rsidRPr="00F619A4">
              <w:rPr>
                <w:rFonts w:cs="Arial Unicode"/>
                <w:noProof/>
                <w:color w:val="000000"/>
                <w:shd w:val="clear" w:color="auto" w:fill="FFFFFF"/>
                <w:lang w:val="hy-AM"/>
              </w:rPr>
              <w:softHyphen/>
              <w:t>քում կընդունվի հակա</w:t>
            </w:r>
            <w:r w:rsidRPr="00F619A4">
              <w:rPr>
                <w:rFonts w:cs="Arial Unicode"/>
                <w:noProof/>
                <w:color w:val="000000"/>
                <w:shd w:val="clear" w:color="auto" w:fill="FFFFFF"/>
                <w:lang w:val="hy-AM"/>
              </w:rPr>
              <w:softHyphen/>
              <w:t>կոռուպցիոն նոր ռազ</w:t>
            </w:r>
            <w:r w:rsidRPr="00F619A4">
              <w:rPr>
                <w:rFonts w:cs="Arial Unicode"/>
                <w:noProof/>
                <w:color w:val="000000"/>
                <w:shd w:val="clear" w:color="auto" w:fill="FFFFFF"/>
                <w:lang w:val="hy-AM"/>
              </w:rPr>
              <w:softHyphen/>
              <w:t>մա</w:t>
            </w:r>
            <w:r w:rsidRPr="00F619A4">
              <w:rPr>
                <w:rFonts w:cs="Arial Unicode"/>
                <w:noProof/>
                <w:color w:val="000000"/>
                <w:shd w:val="clear" w:color="auto" w:fill="FFFFFF"/>
                <w:lang w:val="hy-AM"/>
              </w:rPr>
              <w:softHyphen/>
              <w:t>վարությունը և ՀՀ կառավարության քննարկմանը կներկայացվի «Հայաստանի Հանրապետության հակակոռուպցիոն ռազմավարությունը և դրա իրականացման 2019-2022 թվականների միջոցառումների ծրագիրը հաստատելու մասին» ՀՀ կառավարության որոշման նախագիծը, որի ընդունմամբ կորոշվեն հետագա՝ 2019-2022 թվա</w:t>
            </w:r>
            <w:r w:rsidRPr="00F619A4">
              <w:rPr>
                <w:rFonts w:cs="Arial Unicode"/>
                <w:noProof/>
                <w:color w:val="000000"/>
                <w:shd w:val="clear" w:color="auto" w:fill="FFFFFF"/>
                <w:lang w:val="hy-AM"/>
              </w:rPr>
              <w:softHyphen/>
              <w:t>կան</w:t>
            </w:r>
            <w:r w:rsidRPr="00F619A4">
              <w:rPr>
                <w:rFonts w:cs="Arial Unicode"/>
                <w:noProof/>
                <w:color w:val="000000"/>
                <w:shd w:val="clear" w:color="auto" w:fill="FFFFFF"/>
                <w:lang w:val="hy-AM"/>
              </w:rPr>
              <w:softHyphen/>
              <w:t>ների  տարինե</w:t>
            </w:r>
            <w:r w:rsidRPr="00F619A4">
              <w:rPr>
                <w:rFonts w:cs="Arial Unicode"/>
                <w:noProof/>
                <w:color w:val="000000"/>
                <w:shd w:val="clear" w:color="auto" w:fill="FFFFFF"/>
                <w:lang w:val="hy-AM"/>
              </w:rPr>
              <w:softHyphen/>
              <w:t>րի հա</w:t>
            </w:r>
            <w:r w:rsidRPr="00F619A4">
              <w:rPr>
                <w:rFonts w:cs="Arial Unicode"/>
                <w:noProof/>
                <w:color w:val="000000"/>
                <w:shd w:val="clear" w:color="auto" w:fill="FFFFFF"/>
                <w:lang w:val="hy-AM"/>
              </w:rPr>
              <w:softHyphen/>
              <w:t>կակո</w:t>
            </w:r>
            <w:r w:rsidRPr="00F619A4">
              <w:rPr>
                <w:rFonts w:cs="Arial Unicode"/>
                <w:noProof/>
                <w:color w:val="000000"/>
                <w:shd w:val="clear" w:color="auto" w:fill="FFFFFF"/>
                <w:lang w:val="hy-AM"/>
              </w:rPr>
              <w:softHyphen/>
              <w:t>ռուպ</w:t>
            </w:r>
            <w:r w:rsidRPr="00F619A4">
              <w:rPr>
                <w:rFonts w:cs="Arial Unicode"/>
                <w:noProof/>
                <w:color w:val="000000"/>
                <w:shd w:val="clear" w:color="auto" w:fill="FFFFFF"/>
                <w:lang w:val="hy-AM"/>
              </w:rPr>
              <w:softHyphen/>
              <w:t>ցիոն ուղ</w:t>
            </w:r>
            <w:r w:rsidRPr="00F619A4">
              <w:rPr>
                <w:rFonts w:cs="Arial Unicode"/>
                <w:noProof/>
                <w:color w:val="000000"/>
                <w:shd w:val="clear" w:color="auto" w:fill="FFFFFF"/>
                <w:lang w:val="hy-AM"/>
              </w:rPr>
              <w:softHyphen/>
              <w:t>ղու</w:t>
            </w:r>
            <w:r w:rsidRPr="00F619A4">
              <w:rPr>
                <w:rFonts w:cs="Arial Unicode"/>
                <w:noProof/>
                <w:color w:val="000000"/>
                <w:shd w:val="clear" w:color="auto" w:fill="FFFFFF"/>
                <w:lang w:val="hy-AM"/>
              </w:rPr>
              <w:softHyphen/>
              <w:t>թյունները՝ հստակ միջոցառումներով:</w:t>
            </w:r>
          </w:p>
          <w:p w:rsidR="001F6D5D" w:rsidRPr="00F619A4" w:rsidRDefault="001F6D5D" w:rsidP="00277183">
            <w:pPr>
              <w:ind w:firstLine="375"/>
              <w:jc w:val="both"/>
              <w:rPr>
                <w:rFonts w:cs="Arial Unicode"/>
                <w:noProof/>
                <w:color w:val="000000"/>
                <w:shd w:val="clear" w:color="auto" w:fill="FFFFFF"/>
                <w:lang w:val="hy-AM"/>
              </w:rPr>
            </w:pPr>
            <w:r w:rsidRPr="00F619A4">
              <w:rPr>
                <w:rFonts w:cs="Arial Unicode"/>
                <w:noProof/>
                <w:color w:val="000000"/>
                <w:shd w:val="clear" w:color="auto" w:fill="FFFFFF"/>
                <w:lang w:val="hy-AM"/>
              </w:rPr>
              <w:t>Փաստաթուղթը կսահմանի կոռուպցիայի դեմ պայքարում պետության հիմնական ռազմավարական ուղղությունները, ներառյալ՝ կոռուպցիոն խնդիրների վերհանմանը և լուծմանը, միջազգային պարտովորությունների իրականացմանն ուղղված քայլերը: Նախագծի շրջանակներում կսահմանվեն ՀՀ կառավարության ծրագրի «Պայքարը կոռուպցիայի դեմ» վերտառությամբ 3-րդ բաժնի ներքո գտնվող հակակոռուպցիոն միջոցառումների կատարումն ապահովող անհրաժեշտ քայլերը:</w:t>
            </w:r>
          </w:p>
          <w:p w:rsidR="001F6D5D" w:rsidRPr="00F619A4" w:rsidRDefault="001F6D5D" w:rsidP="00277183">
            <w:pPr>
              <w:ind w:firstLine="375"/>
              <w:jc w:val="center"/>
              <w:rPr>
                <w:rFonts w:cs="Arial Unicode"/>
                <w:b/>
                <w:noProof/>
                <w:color w:val="000000"/>
                <w:u w:val="single"/>
                <w:shd w:val="clear" w:color="auto" w:fill="FFFFFF"/>
                <w:lang w:val="hy-AM"/>
              </w:rPr>
            </w:pPr>
            <w:r w:rsidRPr="00F619A4">
              <w:rPr>
                <w:rFonts w:cs="Arial Unicode"/>
                <w:b/>
                <w:noProof/>
                <w:color w:val="000000"/>
                <w:u w:val="single"/>
                <w:shd w:val="clear" w:color="auto" w:fill="FFFFFF"/>
                <w:lang w:val="hy-AM"/>
              </w:rPr>
              <w:t xml:space="preserve">Կոռուպցիոն հանցագործությունների բացահայտման և անհրաժեշտ ուսումնասիրությունների իրականացման համար անհրաժեշտ գործիքակազմով օժտված հակակոռուպցիոն </w:t>
            </w:r>
            <w:r w:rsidRPr="00F619A4">
              <w:rPr>
                <w:b/>
                <w:lang w:val="hy-AM"/>
              </w:rPr>
              <w:t>ինստիտուցիոնալ  համակարգի</w:t>
            </w:r>
            <w:r w:rsidRPr="00F619A4">
              <w:rPr>
                <w:rFonts w:cs="Arial Unicode"/>
                <w:b/>
                <w:noProof/>
                <w:color w:val="000000"/>
                <w:u w:val="single"/>
                <w:shd w:val="clear" w:color="auto" w:fill="FFFFFF"/>
                <w:lang w:val="hy-AM"/>
              </w:rPr>
              <w:t xml:space="preserve"> վերաբերյալ օրենսդրական նախագծերի փաթեթը ՀՀ կառավարության քննարկմանը ներկայացնելը</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ind w:firstLine="375"/>
              <w:jc w:val="both"/>
              <w:rPr>
                <w:lang w:val="hy-AM"/>
              </w:rPr>
            </w:pPr>
            <w:r w:rsidRPr="00F619A4">
              <w:rPr>
                <w:noProof/>
                <w:lang w:val="hy-AM"/>
              </w:rPr>
              <w:t xml:space="preserve">2019 թվականի փետրվարի 14-ի ԱԺՕ-002-Ն որոշմամբ հավանության </w:t>
            </w:r>
            <w:r w:rsidRPr="00F619A4">
              <w:rPr>
                <w:rFonts w:eastAsia="Calibri" w:cs="Sylfaen"/>
                <w:lang w:val="hy-AM"/>
              </w:rPr>
              <w:t xml:space="preserve">արժանացած ՀՀ կառավարության ծրագրի «Պայքար կոռուպցիայի դեմ» վերտառությամբ 3-րդ բաժնի համաձայն՝ կոռուպցիայի դեմ </w:t>
            </w:r>
            <w:r w:rsidRPr="00F619A4">
              <w:rPr>
                <w:rFonts w:cs="Sylfaen"/>
                <w:lang w:val="hy-AM"/>
              </w:rPr>
              <w:t>պայքարը</w:t>
            </w:r>
            <w:r w:rsidRPr="00F619A4">
              <w:rPr>
                <w:lang w:val="hy-AM"/>
              </w:rPr>
              <w:t xml:space="preserve"> </w:t>
            </w:r>
            <w:r w:rsidRPr="00F619A4">
              <w:rPr>
                <w:rFonts w:cs="Sylfaen"/>
                <w:lang w:val="hy-AM"/>
              </w:rPr>
              <w:t>պետք</w:t>
            </w:r>
            <w:r w:rsidRPr="00F619A4">
              <w:rPr>
                <w:lang w:val="hy-AM"/>
              </w:rPr>
              <w:t xml:space="preserve"> </w:t>
            </w:r>
            <w:r w:rsidRPr="00F619A4">
              <w:rPr>
                <w:rFonts w:cs="Sylfaen"/>
                <w:lang w:val="hy-AM"/>
              </w:rPr>
              <w:t>է</w:t>
            </w:r>
            <w:r w:rsidRPr="00F619A4">
              <w:rPr>
                <w:lang w:val="hy-AM"/>
              </w:rPr>
              <w:t xml:space="preserve"> </w:t>
            </w:r>
            <w:r w:rsidRPr="00F619A4">
              <w:rPr>
                <w:rFonts w:cs="Sylfaen"/>
                <w:lang w:val="hy-AM"/>
              </w:rPr>
              <w:t>իրականացվի</w:t>
            </w:r>
            <w:r w:rsidRPr="00F619A4">
              <w:rPr>
                <w:lang w:val="hy-AM"/>
              </w:rPr>
              <w:t xml:space="preserve"> </w:t>
            </w:r>
            <w:r w:rsidRPr="00F619A4">
              <w:rPr>
                <w:rFonts w:cs="Sylfaen"/>
                <w:lang w:val="hy-AM"/>
              </w:rPr>
              <w:t>ինչպես</w:t>
            </w:r>
            <w:r w:rsidRPr="00F619A4">
              <w:rPr>
                <w:lang w:val="hy-AM"/>
              </w:rPr>
              <w:t xml:space="preserve"> </w:t>
            </w:r>
            <w:r w:rsidRPr="00F619A4">
              <w:rPr>
                <w:rFonts w:cs="Sylfaen"/>
                <w:lang w:val="hy-AM"/>
              </w:rPr>
              <w:t>ռազմավարական</w:t>
            </w:r>
            <w:r w:rsidRPr="00F619A4">
              <w:rPr>
                <w:lang w:val="hy-AM"/>
              </w:rPr>
              <w:t xml:space="preserve"> </w:t>
            </w:r>
            <w:r w:rsidRPr="00F619A4">
              <w:rPr>
                <w:rFonts w:cs="Sylfaen"/>
                <w:lang w:val="hy-AM"/>
              </w:rPr>
              <w:t>միջոցառումների</w:t>
            </w:r>
            <w:r w:rsidRPr="00F619A4">
              <w:rPr>
                <w:lang w:val="hy-AM"/>
              </w:rPr>
              <w:t xml:space="preserve"> </w:t>
            </w:r>
            <w:r w:rsidRPr="00F619A4">
              <w:rPr>
                <w:rFonts w:cs="Sylfaen"/>
                <w:lang w:val="hy-AM"/>
              </w:rPr>
              <w:t>իրականացմամբ</w:t>
            </w:r>
            <w:r w:rsidRPr="00F619A4">
              <w:rPr>
                <w:lang w:val="hy-AM"/>
              </w:rPr>
              <w:t xml:space="preserve">, </w:t>
            </w:r>
            <w:r w:rsidRPr="00F619A4">
              <w:rPr>
                <w:rFonts w:cs="Sylfaen"/>
                <w:lang w:val="hy-AM"/>
              </w:rPr>
              <w:t>այնպես</w:t>
            </w:r>
            <w:r w:rsidRPr="00F619A4">
              <w:rPr>
                <w:lang w:val="hy-AM"/>
              </w:rPr>
              <w:t xml:space="preserve"> </w:t>
            </w:r>
            <w:r w:rsidRPr="00F619A4">
              <w:rPr>
                <w:rFonts w:cs="Sylfaen"/>
                <w:lang w:val="hy-AM"/>
              </w:rPr>
              <w:t>էլ</w:t>
            </w:r>
            <w:r w:rsidRPr="00F619A4">
              <w:rPr>
                <w:lang w:val="hy-AM"/>
              </w:rPr>
              <w:t xml:space="preserve"> </w:t>
            </w:r>
            <w:r w:rsidRPr="00F619A4">
              <w:rPr>
                <w:rFonts w:cs="Sylfaen"/>
                <w:lang w:val="hy-AM"/>
              </w:rPr>
              <w:t>հակակոռուպցիոն</w:t>
            </w:r>
            <w:r w:rsidRPr="00F619A4">
              <w:rPr>
                <w:lang w:val="hy-AM"/>
              </w:rPr>
              <w:t xml:space="preserve"> </w:t>
            </w:r>
            <w:r w:rsidRPr="00F619A4">
              <w:rPr>
                <w:rFonts w:cs="Sylfaen"/>
                <w:lang w:val="hy-AM"/>
              </w:rPr>
              <w:t>ինստիտուցիոնալ</w:t>
            </w:r>
            <w:r w:rsidRPr="00F619A4">
              <w:rPr>
                <w:lang w:val="hy-AM"/>
              </w:rPr>
              <w:t xml:space="preserve"> </w:t>
            </w:r>
            <w:r w:rsidRPr="00F619A4">
              <w:rPr>
                <w:rFonts w:cs="Sylfaen"/>
                <w:lang w:val="hy-AM"/>
              </w:rPr>
              <w:t>համակարգի</w:t>
            </w:r>
            <w:r w:rsidRPr="00F619A4">
              <w:rPr>
                <w:lang w:val="hy-AM"/>
              </w:rPr>
              <w:t xml:space="preserve"> </w:t>
            </w:r>
            <w:r w:rsidRPr="00F619A4">
              <w:rPr>
                <w:rFonts w:cs="Sylfaen"/>
                <w:lang w:val="hy-AM"/>
              </w:rPr>
              <w:t>զարգացման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վերափոխման</w:t>
            </w:r>
            <w:r w:rsidRPr="00F619A4">
              <w:rPr>
                <w:lang w:val="hy-AM"/>
              </w:rPr>
              <w:t xml:space="preserve"> </w:t>
            </w:r>
            <w:r w:rsidRPr="00F619A4">
              <w:rPr>
                <w:rFonts w:cs="Sylfaen"/>
                <w:lang w:val="hy-AM"/>
              </w:rPr>
              <w:t>միջոցով</w:t>
            </w:r>
            <w:r w:rsidRPr="00F619A4">
              <w:rPr>
                <w:lang w:val="hy-AM"/>
              </w:rPr>
              <w:t xml:space="preserve">: </w:t>
            </w:r>
            <w:r w:rsidRPr="00F619A4">
              <w:rPr>
                <w:rFonts w:cs="Sylfaen"/>
                <w:lang w:val="hy-AM"/>
              </w:rPr>
              <w:t>Հակակոռուպցիոն</w:t>
            </w:r>
            <w:r w:rsidRPr="00F619A4">
              <w:rPr>
                <w:lang w:val="hy-AM"/>
              </w:rPr>
              <w:t xml:space="preserve"> </w:t>
            </w:r>
            <w:r w:rsidRPr="00F619A4">
              <w:rPr>
                <w:rFonts w:cs="Sylfaen"/>
                <w:lang w:val="hy-AM"/>
              </w:rPr>
              <w:t>ինստիտուցիոնալ</w:t>
            </w:r>
            <w:r w:rsidRPr="00F619A4">
              <w:rPr>
                <w:lang w:val="hy-AM"/>
              </w:rPr>
              <w:t xml:space="preserve"> </w:t>
            </w:r>
            <w:r w:rsidRPr="00F619A4">
              <w:rPr>
                <w:rFonts w:cs="Sylfaen"/>
                <w:lang w:val="hy-AM"/>
              </w:rPr>
              <w:t>համակարգի</w:t>
            </w:r>
            <w:r w:rsidRPr="00F619A4">
              <w:rPr>
                <w:lang w:val="hy-AM"/>
              </w:rPr>
              <w:t xml:space="preserve"> </w:t>
            </w:r>
            <w:r w:rsidRPr="00F619A4">
              <w:rPr>
                <w:rFonts w:cs="Sylfaen"/>
                <w:lang w:val="hy-AM"/>
              </w:rPr>
              <w:t>տեսանկյունից</w:t>
            </w:r>
            <w:r w:rsidRPr="00F619A4">
              <w:rPr>
                <w:lang w:val="hy-AM"/>
              </w:rPr>
              <w:t xml:space="preserve"> </w:t>
            </w:r>
            <w:r w:rsidRPr="00F619A4">
              <w:rPr>
                <w:rFonts w:cs="Sylfaen"/>
                <w:lang w:val="hy-AM"/>
              </w:rPr>
              <w:t>կարևորվում</w:t>
            </w:r>
            <w:r w:rsidRPr="00F619A4">
              <w:rPr>
                <w:lang w:val="hy-AM"/>
              </w:rPr>
              <w:t xml:space="preserve"> </w:t>
            </w:r>
            <w:r w:rsidRPr="00F619A4">
              <w:rPr>
                <w:rFonts w:cs="Sylfaen"/>
                <w:lang w:val="hy-AM"/>
              </w:rPr>
              <w:t>է</w:t>
            </w:r>
            <w:r w:rsidRPr="00F619A4">
              <w:rPr>
                <w:lang w:val="hy-AM"/>
              </w:rPr>
              <w:t xml:space="preserve"> </w:t>
            </w:r>
            <w:r w:rsidRPr="00F619A4">
              <w:rPr>
                <w:rFonts w:cs="Sylfaen"/>
                <w:lang w:val="hy-AM"/>
              </w:rPr>
              <w:t>մասնագիտացված</w:t>
            </w:r>
            <w:r w:rsidRPr="00F619A4">
              <w:rPr>
                <w:lang w:val="hy-AM"/>
              </w:rPr>
              <w:t xml:space="preserve">, </w:t>
            </w:r>
            <w:r w:rsidRPr="00F619A4">
              <w:rPr>
                <w:rFonts w:cs="Sylfaen"/>
                <w:lang w:val="hy-AM"/>
              </w:rPr>
              <w:t>անկախության</w:t>
            </w:r>
            <w:r w:rsidRPr="00F619A4">
              <w:rPr>
                <w:lang w:val="hy-AM"/>
              </w:rPr>
              <w:t xml:space="preserve"> </w:t>
            </w:r>
            <w:r w:rsidRPr="00F619A4">
              <w:rPr>
                <w:rFonts w:cs="Sylfaen"/>
                <w:lang w:val="hy-AM"/>
              </w:rPr>
              <w:t>երաշխիքներով</w:t>
            </w:r>
            <w:r w:rsidRPr="00F619A4">
              <w:rPr>
                <w:lang w:val="hy-AM"/>
              </w:rPr>
              <w:t xml:space="preserve"> </w:t>
            </w:r>
            <w:r w:rsidRPr="00F619A4">
              <w:rPr>
                <w:rFonts w:cs="Sylfaen"/>
                <w:lang w:val="hy-AM"/>
              </w:rPr>
              <w:t>օժտված</w:t>
            </w:r>
            <w:r w:rsidRPr="00F619A4">
              <w:rPr>
                <w:lang w:val="hy-AM"/>
              </w:rPr>
              <w:t xml:space="preserve"> </w:t>
            </w:r>
            <w:r w:rsidRPr="00F619A4">
              <w:rPr>
                <w:rFonts w:cs="Sylfaen"/>
                <w:lang w:val="hy-AM"/>
              </w:rPr>
              <w:t>հակակոռուպցիոն</w:t>
            </w:r>
            <w:r w:rsidRPr="00F619A4">
              <w:rPr>
                <w:lang w:val="hy-AM"/>
              </w:rPr>
              <w:t xml:space="preserve"> ինստիտուցիոնալ  համակարգի </w:t>
            </w:r>
            <w:r w:rsidRPr="00F619A4">
              <w:rPr>
                <w:rFonts w:cs="Sylfaen"/>
                <w:lang w:val="hy-AM"/>
              </w:rPr>
              <w:t>ստեղծումը</w:t>
            </w:r>
            <w:r w:rsidRPr="00F619A4">
              <w:rPr>
                <w:lang w:val="hy-AM"/>
              </w:rPr>
              <w:t xml:space="preserve">, </w:t>
            </w:r>
            <w:r w:rsidRPr="00F619A4">
              <w:rPr>
                <w:rFonts w:cs="Sylfaen"/>
                <w:lang w:val="hy-AM"/>
              </w:rPr>
              <w:t>որը</w:t>
            </w:r>
            <w:r w:rsidRPr="00F619A4">
              <w:rPr>
                <w:lang w:val="hy-AM"/>
              </w:rPr>
              <w:t xml:space="preserve"> </w:t>
            </w:r>
            <w:r w:rsidRPr="00F619A4">
              <w:rPr>
                <w:rFonts w:cs="Sylfaen"/>
                <w:lang w:val="hy-AM"/>
              </w:rPr>
              <w:t>կիրականացնի</w:t>
            </w:r>
            <w:r w:rsidRPr="00F619A4">
              <w:rPr>
                <w:lang w:val="hy-AM"/>
              </w:rPr>
              <w:t xml:space="preserve"> </w:t>
            </w:r>
            <w:r w:rsidRPr="00F619A4">
              <w:rPr>
                <w:rFonts w:cs="Sylfaen"/>
                <w:lang w:val="hy-AM"/>
              </w:rPr>
              <w:t>ուսումնասիրություններ</w:t>
            </w:r>
            <w:r w:rsidRPr="00F619A4">
              <w:rPr>
                <w:lang w:val="hy-AM"/>
              </w:rPr>
              <w:t xml:space="preserve">, </w:t>
            </w:r>
            <w:r w:rsidRPr="00F619A4">
              <w:rPr>
                <w:rFonts w:cs="Sylfaen"/>
                <w:lang w:val="hy-AM"/>
              </w:rPr>
              <w:t>օժտված</w:t>
            </w:r>
            <w:r w:rsidRPr="00F619A4">
              <w:rPr>
                <w:lang w:val="hy-AM"/>
              </w:rPr>
              <w:t xml:space="preserve"> </w:t>
            </w:r>
            <w:r w:rsidRPr="00F619A4">
              <w:rPr>
                <w:rFonts w:cs="Sylfaen"/>
                <w:lang w:val="hy-AM"/>
              </w:rPr>
              <w:t>կլինի</w:t>
            </w:r>
            <w:r w:rsidRPr="00F619A4">
              <w:rPr>
                <w:lang w:val="hy-AM"/>
              </w:rPr>
              <w:t xml:space="preserve"> </w:t>
            </w:r>
            <w:r w:rsidRPr="00F619A4">
              <w:rPr>
                <w:rFonts w:cs="Sylfaen"/>
                <w:lang w:val="hy-AM"/>
              </w:rPr>
              <w:t>կոռուպցիոն</w:t>
            </w:r>
            <w:r w:rsidRPr="00F619A4">
              <w:rPr>
                <w:lang w:val="hy-AM"/>
              </w:rPr>
              <w:t xml:space="preserve"> </w:t>
            </w:r>
            <w:r w:rsidRPr="00F619A4">
              <w:rPr>
                <w:rFonts w:cs="Sylfaen"/>
                <w:lang w:val="hy-AM"/>
              </w:rPr>
              <w:t>հանցագործությունների</w:t>
            </w:r>
            <w:r w:rsidRPr="00F619A4">
              <w:rPr>
                <w:lang w:val="hy-AM"/>
              </w:rPr>
              <w:t xml:space="preserve"> </w:t>
            </w:r>
            <w:r w:rsidRPr="00F619A4">
              <w:rPr>
                <w:rFonts w:cs="Sylfaen"/>
                <w:lang w:val="hy-AM"/>
              </w:rPr>
              <w:t>բացահայտման</w:t>
            </w:r>
            <w:r w:rsidRPr="00F619A4">
              <w:rPr>
                <w:lang w:val="hy-AM"/>
              </w:rPr>
              <w:t xml:space="preserve"> </w:t>
            </w:r>
            <w:r w:rsidRPr="00F619A4">
              <w:rPr>
                <w:rFonts w:cs="Sylfaen"/>
                <w:lang w:val="hy-AM"/>
              </w:rPr>
              <w:t>համար</w:t>
            </w:r>
            <w:r w:rsidRPr="00F619A4">
              <w:rPr>
                <w:lang w:val="hy-AM"/>
              </w:rPr>
              <w:t xml:space="preserve"> </w:t>
            </w:r>
            <w:r w:rsidRPr="00F619A4">
              <w:rPr>
                <w:rFonts w:cs="Sylfaen"/>
                <w:lang w:val="hy-AM"/>
              </w:rPr>
              <w:t>անհրաժեշտ</w:t>
            </w:r>
            <w:r w:rsidRPr="00F619A4">
              <w:rPr>
                <w:lang w:val="hy-AM"/>
              </w:rPr>
              <w:t xml:space="preserve"> </w:t>
            </w:r>
            <w:r w:rsidRPr="00F619A4">
              <w:rPr>
                <w:rFonts w:cs="Sylfaen"/>
                <w:lang w:val="hy-AM"/>
              </w:rPr>
              <w:t>գործիքակազմով</w:t>
            </w:r>
            <w:r w:rsidRPr="00F619A4">
              <w:rPr>
                <w:lang w:val="hy-AM"/>
              </w:rPr>
              <w:t xml:space="preserve">: </w:t>
            </w:r>
          </w:p>
          <w:p w:rsidR="001F6D5D" w:rsidRPr="00F619A4" w:rsidRDefault="001F6D5D" w:rsidP="00277183">
            <w:pPr>
              <w:ind w:firstLine="375"/>
              <w:jc w:val="both"/>
              <w:rPr>
                <w:lang w:val="hy-AM"/>
              </w:rPr>
            </w:pPr>
            <w:r w:rsidRPr="00F619A4">
              <w:rPr>
                <w:rFonts w:cs="Sylfaen"/>
                <w:lang w:val="hy-AM"/>
              </w:rPr>
              <w:t xml:space="preserve">Խնդրո առարկայի վերաբերյալ ՀՀ կառավարության դիրքորոշմանը համահունչ՝ անհրաժեշտ է մշակել </w:t>
            </w:r>
            <w:r w:rsidRPr="00F619A4">
              <w:rPr>
                <w:lang w:val="hy-AM"/>
              </w:rPr>
              <w:t>կոռուպցիոն հանցագործությունների բացահայտման և անհրաժեշտ ուսումնասիրությունների իրականացման համար անհրաժեշտ գործիքակազմով օժտված՝ մասնագիտացված, անկախության երաշխիքներ ունեցող հակակոռուպցիոն ինստիտուցիոնալ  համակարգի վերա</w:t>
            </w:r>
            <w:r w:rsidRPr="00F619A4">
              <w:rPr>
                <w:lang w:val="hy-AM"/>
              </w:rPr>
              <w:softHyphen/>
              <w:t>բերյալ օրենսդրական նա</w:t>
            </w:r>
            <w:r w:rsidRPr="00F619A4">
              <w:rPr>
                <w:lang w:val="hy-AM"/>
              </w:rPr>
              <w:softHyphen/>
              <w:t>խագծերի փա</w:t>
            </w:r>
            <w:r w:rsidRPr="00F619A4">
              <w:rPr>
                <w:lang w:val="hy-AM"/>
              </w:rPr>
              <w:softHyphen/>
              <w:t xml:space="preserve">թեթ: </w:t>
            </w:r>
          </w:p>
          <w:p w:rsidR="001F6D5D" w:rsidRPr="00F619A4" w:rsidRDefault="001F6D5D" w:rsidP="00277183">
            <w:pPr>
              <w:ind w:firstLine="375"/>
              <w:jc w:val="both"/>
              <w:rPr>
                <w:lang w:val="hy-AM"/>
              </w:rPr>
            </w:pPr>
            <w:r w:rsidRPr="00F619A4">
              <w:rPr>
                <w:lang w:val="hy-AM"/>
              </w:rPr>
              <w:t>Հատկանշական է, որ սույն միջոցառման նախատեսման հիմքում ընկած են նաև ոլորտային միջազգային կազմակերպությունների՝  հակակոռուպցիոն մասնագիտացված և անկախության երաշխիքներով օժտված ինստիտուցիոնալ  համակարգի ստեղծման առնչությամբ ներկայացված հորդորները:</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ind w:firstLine="375"/>
              <w:jc w:val="both"/>
              <w:rPr>
                <w:lang w:val="hy-AM"/>
              </w:rPr>
            </w:pPr>
            <w:r w:rsidRPr="00F619A4">
              <w:rPr>
                <w:lang w:val="hy-AM"/>
              </w:rPr>
              <w:t xml:space="preserve">Ներկայումս Հայաստանի Հանրապետությունում գործում են հանցագործությունների նախաքննություն իրականացնող մի շարք քննչական մարմիններ, որոնց գործունեության ինստիտուցիոնալ արդյունավետությունը վերջին տարիներին լուրջ մասնագիտական գնահատման չի ենթարկվել: Միաժամանակ, չի քննարկվել քննչական գործառույթներ իրականացնող մարմինների համակարգի արդիականացման և օպտիմալացման հարցը:   </w:t>
            </w:r>
          </w:p>
          <w:p w:rsidR="001F6D5D" w:rsidRPr="00F619A4" w:rsidRDefault="001F6D5D" w:rsidP="00277183">
            <w:pPr>
              <w:ind w:firstLine="375"/>
              <w:jc w:val="both"/>
              <w:rPr>
                <w:lang w:val="hy-AM"/>
              </w:rPr>
            </w:pPr>
            <w:r w:rsidRPr="00F619A4">
              <w:rPr>
                <w:lang w:val="hy-AM"/>
              </w:rPr>
              <w:t>Այս համատեքստում հարկ է ընդգծել այն հանգամանքը, որ ներկայումս կոռուպցիոն հանցագործություններով օպերատիվ-հետախուզական գործունեություն, հետաքննություն և նախաքննություն իրականացնում են տարբեր մարմիններ, ինչը գործնականում կարող է ստեղծել խնդիրներ՝ կոռուպցիոն հանցագործությունների բացահայտման արդյունավետության, այդ թվում՝ կոռուպցիոն հանցագործությունների քննության միասնական մեթոդաբանության բացակայության տեսանկյունից:</w:t>
            </w:r>
          </w:p>
          <w:p w:rsidR="001F6D5D" w:rsidRPr="00F619A4" w:rsidRDefault="001F6D5D" w:rsidP="00277183">
            <w:pPr>
              <w:ind w:firstLine="375"/>
              <w:jc w:val="both"/>
              <w:rPr>
                <w:rFonts w:eastAsia="Calibri"/>
                <w:lang w:val="hy-AM"/>
              </w:rPr>
            </w:pPr>
            <w:r w:rsidRPr="00F619A4">
              <w:rPr>
                <w:rFonts w:cs="Sylfaen"/>
                <w:color w:val="000000"/>
                <w:shd w:val="clear" w:color="auto" w:fill="FFFFFF"/>
                <w:lang w:val="hy-AM"/>
              </w:rPr>
              <w:t>Խնդրո առարկայի առնչությամբ միջազգային</w:t>
            </w:r>
            <w:r w:rsidRPr="00F619A4">
              <w:rPr>
                <w:rFonts w:cs="Arial Armenian"/>
                <w:color w:val="000000"/>
                <w:shd w:val="clear" w:color="auto" w:fill="FFFFFF"/>
                <w:lang w:val="hy-AM"/>
              </w:rPr>
              <w:t xml:space="preserve"> </w:t>
            </w:r>
            <w:r w:rsidRPr="00F619A4">
              <w:rPr>
                <w:rFonts w:cs="Sylfaen"/>
                <w:color w:val="000000"/>
                <w:shd w:val="clear" w:color="auto" w:fill="FFFFFF"/>
                <w:lang w:val="hy-AM"/>
              </w:rPr>
              <w:t>փոր</w:t>
            </w:r>
            <w:r w:rsidRPr="00F619A4">
              <w:rPr>
                <w:color w:val="000000"/>
                <w:shd w:val="clear" w:color="auto" w:fill="FFFFFF"/>
                <w:lang w:val="hy-AM"/>
              </w:rPr>
              <w:t xml:space="preserve">ձի ուսումնասիրությունից հետևում է, որ կոռուպցիոն հանցագործությունների քննության արդյունավետությունը կարող է երաշխավորված լինել միայն այն պարագայում, երբ այդ գործառույթը վերապահված է մեկ մարմնի: Ավելին, միջազգային գործընկեր կազմակերպությունները ևս բազմիցս բարձրացրել են նշված հարցը՝ պնդելով, որ Հայաստանում կոռուպցիոն հանցագործությունների քննության ապակենտրոնացվածությունը կոռուպցիոն հանցագործությունների արդյունավետ քննության հիմնական մարտահրավերներից է: </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ind w:firstLine="375"/>
              <w:jc w:val="both"/>
              <w:rPr>
                <w:lang w:val="hy-AM"/>
              </w:rPr>
            </w:pPr>
            <w:r w:rsidRPr="00F619A4">
              <w:rPr>
                <w:lang w:val="hy-AM"/>
              </w:rPr>
              <w:t>Ելնելով տարբեր կադրային ռեսուրսներով աշխատող և միասնական հակակոռուպցիոն քաղաքականութան բացակայության պայմաններում առաջացող ռիսկերից՝ առաջարկվում է կոռուպցիոն հանցագոր</w:t>
            </w:r>
            <w:r w:rsidRPr="00F619A4">
              <w:rPr>
                <w:lang w:val="hy-AM"/>
              </w:rPr>
              <w:softHyphen/>
              <w:t>ծու</w:t>
            </w:r>
            <w:r w:rsidRPr="00F619A4">
              <w:rPr>
                <w:lang w:val="hy-AM"/>
              </w:rPr>
              <w:softHyphen/>
              <w:t>թյունների բացահայտման և անհրաժեշտ ուսումնասիրությունների իրականացման գործառույթները կենտրոնացնել անհրաժեշտ գործիքակազմով օժտված հակակոռուպցիոն ինստիտուցիոնալ  համակարգի շրջանակներում: Ըստ այդմ՝ անհրաժեշտ է մշակել և ՀՀ կառավարության քննարկմանը ներկայացնել կոռուպցիոն հանցագործու</w:t>
            </w:r>
            <w:r w:rsidRPr="00F619A4">
              <w:rPr>
                <w:lang w:val="hy-AM"/>
              </w:rPr>
              <w:softHyphen/>
              <w:t>թյունների բացահայտման և անհրաժեշտ ուսումնասիրությունների իրականացման անհրաժեշտ գործիքակազմով օժտված հակակոռուպցիոն ինստիտուցիոնալ  համակարգի վերա</w:t>
            </w:r>
            <w:r w:rsidRPr="00F619A4">
              <w:rPr>
                <w:lang w:val="hy-AM"/>
              </w:rPr>
              <w:softHyphen/>
              <w:t>բերյալ օրենս</w:t>
            </w:r>
            <w:r w:rsidRPr="00F619A4">
              <w:rPr>
                <w:lang w:val="hy-AM"/>
              </w:rPr>
              <w:softHyphen/>
              <w:t>դրական նա</w:t>
            </w:r>
            <w:r w:rsidRPr="00F619A4">
              <w:rPr>
                <w:lang w:val="hy-AM"/>
              </w:rPr>
              <w:softHyphen/>
              <w:t xml:space="preserve">խագծերի փաթեթը: </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ind w:firstLine="375"/>
              <w:jc w:val="both"/>
              <w:rPr>
                <w:rFonts w:cs="Arial Unicode"/>
                <w:noProof/>
                <w:color w:val="000000"/>
                <w:shd w:val="clear" w:color="auto" w:fill="FFFFFF"/>
                <w:lang w:val="hy-AM"/>
              </w:rPr>
            </w:pPr>
            <w:r w:rsidRPr="00F619A4">
              <w:rPr>
                <w:rFonts w:cs="Arial Unicode"/>
                <w:noProof/>
                <w:color w:val="000000"/>
                <w:shd w:val="clear" w:color="auto" w:fill="FFFFFF"/>
                <w:lang w:val="hy-AM"/>
              </w:rPr>
              <w:t>Սույն միջոցառումը նպատակ է հետապնդում արդիականացնել կոռուպցիոն հանցագործությունների բացահայտման ինստիտուցիոնալ համակարգը, կոռուպցիոն հանցագործությունների բացահայտմանն ուղղված գործառույթները կենտրոնացնել հակակոռուպցիոն մարմնում՝ այդպիսով ապահովելով կոռուպցիոն հանցագործությունների քննությամբ զբաղվող մարմնի մասնագիտացումը, կոռուպցիոն հանցագործությունների քննության միասնական մեթոդիկան և բարձրացնելով այդպիսի հանցագործությունների քննության արդյունավետությունը:</w:t>
            </w:r>
          </w:p>
          <w:p w:rsidR="001F6D5D" w:rsidRPr="00F619A4" w:rsidRDefault="001F6D5D" w:rsidP="00277183">
            <w:pPr>
              <w:ind w:firstLine="375"/>
              <w:jc w:val="both"/>
              <w:rPr>
                <w:rFonts w:cs="Arial Unicode"/>
                <w:noProof/>
                <w:color w:val="000000"/>
                <w:shd w:val="clear" w:color="auto" w:fill="FFFFFF"/>
                <w:lang w:val="hy-AM"/>
              </w:rPr>
            </w:pPr>
          </w:p>
          <w:p w:rsidR="001F6D5D" w:rsidRPr="00F619A4" w:rsidRDefault="001F6D5D" w:rsidP="00277183">
            <w:pPr>
              <w:jc w:val="center"/>
              <w:rPr>
                <w:rFonts w:cs="Arial Unicode"/>
                <w:b/>
                <w:noProof/>
                <w:color w:val="000000"/>
                <w:u w:val="single"/>
                <w:shd w:val="clear" w:color="auto" w:fill="FFFFFF"/>
                <w:lang w:val="hy-AM"/>
              </w:rPr>
            </w:pPr>
            <w:r w:rsidRPr="00F619A4">
              <w:rPr>
                <w:rFonts w:cs="Arial Unicode"/>
                <w:b/>
                <w:noProof/>
                <w:color w:val="000000"/>
                <w:u w:val="single"/>
                <w:shd w:val="clear" w:color="auto" w:fill="FFFFFF"/>
                <w:lang w:val="hy-AM"/>
              </w:rPr>
              <w:t>Ակտիվների վերադարձի վերաբերյալ օրենսդրական նախագծերի փաթեթը ՀՀ կառավարության քննարկմանը ներկայացնելը</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ind w:firstLine="375"/>
              <w:jc w:val="both"/>
              <w:rPr>
                <w:lang w:val="hy-AM"/>
              </w:rPr>
            </w:pPr>
            <w:r w:rsidRPr="00F619A4">
              <w:rPr>
                <w:lang w:val="hy-AM"/>
              </w:rPr>
              <w:t xml:space="preserve">Սույն միջոցառման նախատեսման անհրաժեշտությունը բխում է </w:t>
            </w:r>
            <w:r w:rsidRPr="00F619A4">
              <w:rPr>
                <w:noProof/>
                <w:lang w:val="hy-AM"/>
              </w:rPr>
              <w:t xml:space="preserve">2019 թվականի փետրվարի 14-ի ԱԺՕ-002-Ն որոշմամբ հավանության </w:t>
            </w:r>
            <w:r w:rsidRPr="00F619A4">
              <w:rPr>
                <w:rFonts w:eastAsia="Calibri" w:cs="Sylfaen"/>
                <w:lang w:val="hy-AM"/>
              </w:rPr>
              <w:t xml:space="preserve">արժանացած ՀՀ կառավարության ծրագրի «Պայքար կոռուպցիայի դեմ» վերտառությամբ 3-րդ բաժնի բովանդակությունից: Վերջինիս համաձայն՝ </w:t>
            </w:r>
            <w:r w:rsidRPr="00F619A4">
              <w:rPr>
                <w:rFonts w:cs="Sylfaen"/>
                <w:lang w:val="hy-AM"/>
              </w:rPr>
              <w:t>ակտիվները</w:t>
            </w:r>
            <w:r w:rsidRPr="00F619A4">
              <w:rPr>
                <w:lang w:val="hy-AM"/>
              </w:rPr>
              <w:t xml:space="preserve"> </w:t>
            </w:r>
            <w:r w:rsidRPr="00F619A4">
              <w:rPr>
                <w:rFonts w:cs="Sylfaen"/>
                <w:lang w:val="hy-AM"/>
              </w:rPr>
              <w:t>վերադարձնելու</w:t>
            </w:r>
            <w:r w:rsidRPr="00F619A4">
              <w:rPr>
                <w:lang w:val="hy-AM"/>
              </w:rPr>
              <w:t xml:space="preserve"> </w:t>
            </w:r>
            <w:r w:rsidRPr="00F619A4">
              <w:rPr>
                <w:rFonts w:cs="Sylfaen"/>
                <w:lang w:val="hy-AM"/>
              </w:rPr>
              <w:t>նպատակով</w:t>
            </w:r>
            <w:r w:rsidRPr="00F619A4">
              <w:rPr>
                <w:lang w:val="hy-AM"/>
              </w:rPr>
              <w:t xml:space="preserve"> ՀՀ կ</w:t>
            </w:r>
            <w:r w:rsidRPr="00F619A4">
              <w:rPr>
                <w:rFonts w:cs="Sylfaen"/>
                <w:lang w:val="hy-AM"/>
              </w:rPr>
              <w:t>առավարությունը</w:t>
            </w:r>
            <w:r w:rsidRPr="00F619A4">
              <w:rPr>
                <w:lang w:val="hy-AM"/>
              </w:rPr>
              <w:t xml:space="preserve"> </w:t>
            </w:r>
            <w:r w:rsidRPr="00F619A4">
              <w:rPr>
                <w:rFonts w:cs="Sylfaen"/>
                <w:lang w:val="hy-AM"/>
              </w:rPr>
              <w:t>մտադիր</w:t>
            </w:r>
            <w:r w:rsidRPr="00F619A4">
              <w:rPr>
                <w:lang w:val="hy-AM"/>
              </w:rPr>
              <w:t xml:space="preserve"> </w:t>
            </w:r>
            <w:r w:rsidRPr="00F619A4">
              <w:rPr>
                <w:rFonts w:cs="Sylfaen"/>
                <w:lang w:val="hy-AM"/>
              </w:rPr>
              <w:t>է</w:t>
            </w:r>
            <w:r w:rsidRPr="00F619A4">
              <w:rPr>
                <w:lang w:val="hy-AM"/>
              </w:rPr>
              <w:t xml:space="preserve"> </w:t>
            </w:r>
            <w:r w:rsidRPr="00F619A4">
              <w:rPr>
                <w:rFonts w:cs="Sylfaen"/>
                <w:lang w:val="hy-AM"/>
              </w:rPr>
              <w:t>վերանայել</w:t>
            </w:r>
            <w:r w:rsidRPr="00F619A4">
              <w:rPr>
                <w:lang w:val="hy-AM"/>
              </w:rPr>
              <w:t xml:space="preserve"> </w:t>
            </w:r>
            <w:r w:rsidRPr="00F619A4">
              <w:rPr>
                <w:rFonts w:cs="Sylfaen"/>
                <w:lang w:val="hy-AM"/>
              </w:rPr>
              <w:t>ակտիվների</w:t>
            </w:r>
            <w:r w:rsidRPr="00F619A4">
              <w:rPr>
                <w:lang w:val="hy-AM"/>
              </w:rPr>
              <w:t xml:space="preserve"> </w:t>
            </w:r>
            <w:r w:rsidRPr="00F619A4">
              <w:rPr>
                <w:rFonts w:cs="Sylfaen"/>
                <w:lang w:val="hy-AM"/>
              </w:rPr>
              <w:t>վերադարձի</w:t>
            </w:r>
            <w:r w:rsidRPr="00F619A4">
              <w:rPr>
                <w:lang w:val="hy-AM"/>
              </w:rPr>
              <w:t xml:space="preserve"> </w:t>
            </w:r>
            <w:r w:rsidRPr="00F619A4">
              <w:rPr>
                <w:rFonts w:cs="Sylfaen"/>
                <w:lang w:val="hy-AM"/>
              </w:rPr>
              <w:t>ինստիտուտի</w:t>
            </w:r>
            <w:r w:rsidRPr="00F619A4">
              <w:rPr>
                <w:lang w:val="hy-AM"/>
              </w:rPr>
              <w:t xml:space="preserve"> </w:t>
            </w:r>
            <w:r w:rsidRPr="00F619A4">
              <w:rPr>
                <w:rFonts w:cs="Sylfaen"/>
                <w:lang w:val="hy-AM"/>
              </w:rPr>
              <w:t>վերաբերյալ</w:t>
            </w:r>
            <w:r w:rsidRPr="00F619A4">
              <w:rPr>
                <w:lang w:val="hy-AM"/>
              </w:rPr>
              <w:t xml:space="preserve"> </w:t>
            </w:r>
            <w:r w:rsidRPr="00F619A4">
              <w:rPr>
                <w:rFonts w:cs="Sylfaen"/>
                <w:lang w:val="hy-AM"/>
              </w:rPr>
              <w:t>Հայաստանի</w:t>
            </w:r>
            <w:r w:rsidRPr="00F619A4">
              <w:rPr>
                <w:lang w:val="hy-AM"/>
              </w:rPr>
              <w:t xml:space="preserve"> </w:t>
            </w:r>
            <w:r w:rsidRPr="00F619A4">
              <w:rPr>
                <w:rFonts w:cs="Sylfaen"/>
                <w:lang w:val="hy-AM"/>
              </w:rPr>
              <w:t>Հանրապետության</w:t>
            </w:r>
            <w:r w:rsidRPr="00F619A4">
              <w:rPr>
                <w:lang w:val="hy-AM"/>
              </w:rPr>
              <w:t xml:space="preserve"> </w:t>
            </w:r>
            <w:r w:rsidRPr="00F619A4">
              <w:rPr>
                <w:rFonts w:cs="Sylfaen"/>
                <w:lang w:val="hy-AM"/>
              </w:rPr>
              <w:t>օրենսդրությունը</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ամրապնդել</w:t>
            </w:r>
            <w:r w:rsidRPr="00F619A4">
              <w:rPr>
                <w:lang w:val="hy-AM"/>
              </w:rPr>
              <w:t xml:space="preserve"> </w:t>
            </w:r>
            <w:r w:rsidRPr="00F619A4">
              <w:rPr>
                <w:rFonts w:cs="Sylfaen"/>
                <w:lang w:val="hy-AM"/>
              </w:rPr>
              <w:t>միջազգային</w:t>
            </w:r>
            <w:r w:rsidRPr="00F619A4">
              <w:rPr>
                <w:lang w:val="hy-AM"/>
              </w:rPr>
              <w:t xml:space="preserve"> </w:t>
            </w:r>
            <w:r w:rsidRPr="00F619A4">
              <w:rPr>
                <w:rFonts w:cs="Sylfaen"/>
                <w:lang w:val="hy-AM"/>
              </w:rPr>
              <w:t>համագործակցությունը</w:t>
            </w:r>
            <w:r w:rsidRPr="00F619A4">
              <w:rPr>
                <w:lang w:val="hy-AM"/>
              </w:rPr>
              <w:t>:</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ind w:firstLine="375"/>
              <w:jc w:val="both"/>
              <w:rPr>
                <w:lang w:val="hy-AM"/>
              </w:rPr>
            </w:pPr>
            <w:r w:rsidRPr="00F619A4">
              <w:rPr>
                <w:lang w:val="hy-AM"/>
              </w:rPr>
              <w:t>Ներկայումս Հայաստանի Հանրապետության օրենսդրությամբ նախատեսված՝ ակտիվների վերադարձին առնչվող կառուցակարգերը գործնականում առաջացնում են մի շարք խնդիրներ՝ հնարավորություն չտալով ամբողջ ծավալով վերադարձնել Հայաստանից դուրս բերված ակտիվները:</w:t>
            </w:r>
          </w:p>
          <w:p w:rsidR="001F6D5D" w:rsidRPr="00F619A4" w:rsidRDefault="001F6D5D" w:rsidP="00277183">
            <w:pPr>
              <w:ind w:firstLine="375"/>
              <w:jc w:val="both"/>
              <w:rPr>
                <w:lang w:val="hy-AM"/>
              </w:rPr>
            </w:pPr>
            <w:r w:rsidRPr="00F619A4">
              <w:rPr>
                <w:lang w:val="hy-AM"/>
              </w:rPr>
              <w:t xml:space="preserve">Միաժամանակ, գործնականում ակտիվների վերադարձման հարցում առկա են խնդիրներ նաև միջազգային արդյունավետ համագործակցության տեսանկյունից: Ակտիվների վերադարձի հարցում միջազգային արդյունավետ համագործակցության բացակայության հիմքում ընկած է այն հանգամանքը, որ ակտիվների վերադարձի ինստիտուտի ներպետական կարգավորումները չեն համապատասխանում միջազգային չափանիշներին, մասնավորապես՝ ՄԱԿ-ի «Կոռուպցիայի դեմ» կոնվենցիայի կարգավորումներին՝ այդպիսով հանգեցնելով նշված կոնվեցիայի կողմ հանդիսացող պետությունների կողմից գործադրվող կառուցակարգերի անհամապատասխանությանը: </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ind w:firstLine="375"/>
              <w:jc w:val="both"/>
              <w:rPr>
                <w:bCs/>
                <w:lang w:val="hy-AM"/>
              </w:rPr>
            </w:pPr>
            <w:r w:rsidRPr="00F619A4">
              <w:rPr>
                <w:bCs/>
                <w:lang w:val="hy-AM"/>
              </w:rPr>
              <w:t xml:space="preserve">Հաշվի առնելով վերոգրյալը՝ անհրաժեշտ է մշակել և ՀՀ կառավարության քննարկմանը ներկայացնել </w:t>
            </w:r>
            <w:r w:rsidRPr="00F619A4">
              <w:rPr>
                <w:lang w:val="hy-AM"/>
              </w:rPr>
              <w:t xml:space="preserve">ակտիվների վերադարձի վերաբերյալ օրենսդրական նախագծերի փաթեթ, որով կվերանայվի </w:t>
            </w:r>
            <w:r w:rsidRPr="00F619A4">
              <w:rPr>
                <w:rFonts w:cs="Sylfaen"/>
                <w:lang w:val="hy-AM"/>
              </w:rPr>
              <w:t>նշյալ</w:t>
            </w:r>
            <w:r w:rsidRPr="00F619A4">
              <w:rPr>
                <w:lang w:val="hy-AM"/>
              </w:rPr>
              <w:t xml:space="preserve"> </w:t>
            </w:r>
            <w:r w:rsidRPr="00F619A4">
              <w:rPr>
                <w:rFonts w:cs="Sylfaen"/>
                <w:lang w:val="hy-AM"/>
              </w:rPr>
              <w:t>ինստիտուտի</w:t>
            </w:r>
            <w:r w:rsidRPr="00F619A4">
              <w:rPr>
                <w:lang w:val="hy-AM"/>
              </w:rPr>
              <w:t xml:space="preserve"> </w:t>
            </w:r>
            <w:r w:rsidRPr="00F619A4">
              <w:rPr>
                <w:rFonts w:cs="Sylfaen"/>
                <w:lang w:val="hy-AM"/>
              </w:rPr>
              <w:t>վերաբերյալ</w:t>
            </w:r>
            <w:r w:rsidRPr="00F619A4">
              <w:rPr>
                <w:lang w:val="hy-AM"/>
              </w:rPr>
              <w:t xml:space="preserve"> </w:t>
            </w:r>
            <w:r w:rsidRPr="00F619A4">
              <w:rPr>
                <w:rFonts w:cs="Sylfaen"/>
                <w:lang w:val="hy-AM"/>
              </w:rPr>
              <w:t>Հայաստանի</w:t>
            </w:r>
            <w:r w:rsidRPr="00F619A4">
              <w:rPr>
                <w:lang w:val="hy-AM"/>
              </w:rPr>
              <w:t xml:space="preserve"> </w:t>
            </w:r>
            <w:r w:rsidRPr="00F619A4">
              <w:rPr>
                <w:rFonts w:cs="Sylfaen"/>
                <w:lang w:val="hy-AM"/>
              </w:rPr>
              <w:t>Հանրապետության</w:t>
            </w:r>
            <w:r w:rsidRPr="00F619A4">
              <w:rPr>
                <w:lang w:val="hy-AM"/>
              </w:rPr>
              <w:t xml:space="preserve"> </w:t>
            </w:r>
            <w:r w:rsidRPr="00F619A4">
              <w:rPr>
                <w:rFonts w:cs="Sylfaen"/>
                <w:lang w:val="hy-AM"/>
              </w:rPr>
              <w:t>օրենսդրությունը: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ind w:firstLine="375"/>
              <w:jc w:val="both"/>
              <w:rPr>
                <w:lang w:val="hy-AM"/>
              </w:rPr>
            </w:pPr>
            <w:r w:rsidRPr="00F619A4">
              <w:rPr>
                <w:lang w:val="hy-AM"/>
              </w:rPr>
              <w:t xml:space="preserve">Սույն միջոցառման արդյունքում կվերանայվի </w:t>
            </w:r>
            <w:r w:rsidRPr="00F619A4">
              <w:rPr>
                <w:rFonts w:cs="Sylfaen"/>
                <w:lang w:val="hy-AM"/>
              </w:rPr>
              <w:t>ակտիվների</w:t>
            </w:r>
            <w:r w:rsidRPr="00F619A4">
              <w:rPr>
                <w:lang w:val="hy-AM"/>
              </w:rPr>
              <w:t xml:space="preserve"> </w:t>
            </w:r>
            <w:r w:rsidRPr="00F619A4">
              <w:rPr>
                <w:rFonts w:cs="Sylfaen"/>
                <w:lang w:val="hy-AM"/>
              </w:rPr>
              <w:t>վերադարձի</w:t>
            </w:r>
            <w:r w:rsidRPr="00F619A4">
              <w:rPr>
                <w:lang w:val="hy-AM"/>
              </w:rPr>
              <w:t xml:space="preserve"> </w:t>
            </w:r>
            <w:r w:rsidRPr="00F619A4">
              <w:rPr>
                <w:rFonts w:cs="Sylfaen"/>
                <w:lang w:val="hy-AM"/>
              </w:rPr>
              <w:t>ինստիտուտի</w:t>
            </w:r>
            <w:r w:rsidRPr="00F619A4">
              <w:rPr>
                <w:lang w:val="hy-AM"/>
              </w:rPr>
              <w:t xml:space="preserve"> </w:t>
            </w:r>
            <w:r w:rsidRPr="00F619A4">
              <w:rPr>
                <w:rFonts w:cs="Sylfaen"/>
                <w:lang w:val="hy-AM"/>
              </w:rPr>
              <w:t>վերաբերյալ</w:t>
            </w:r>
            <w:r w:rsidRPr="00F619A4">
              <w:rPr>
                <w:lang w:val="hy-AM"/>
              </w:rPr>
              <w:t xml:space="preserve"> </w:t>
            </w:r>
            <w:r w:rsidRPr="00F619A4">
              <w:rPr>
                <w:rFonts w:cs="Sylfaen"/>
                <w:lang w:val="hy-AM"/>
              </w:rPr>
              <w:t>Հայաստանի</w:t>
            </w:r>
            <w:r w:rsidRPr="00F619A4">
              <w:rPr>
                <w:lang w:val="hy-AM"/>
              </w:rPr>
              <w:t xml:space="preserve"> </w:t>
            </w:r>
            <w:r w:rsidRPr="00F619A4">
              <w:rPr>
                <w:rFonts w:cs="Sylfaen"/>
                <w:lang w:val="hy-AM"/>
              </w:rPr>
              <w:t>Հանրապետության</w:t>
            </w:r>
            <w:r w:rsidRPr="00F619A4">
              <w:rPr>
                <w:lang w:val="hy-AM"/>
              </w:rPr>
              <w:t xml:space="preserve"> </w:t>
            </w:r>
            <w:r w:rsidRPr="00F619A4">
              <w:rPr>
                <w:rFonts w:cs="Sylfaen"/>
                <w:lang w:val="hy-AM"/>
              </w:rPr>
              <w:t>օրենսդրությունը</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կամրապնդվի</w:t>
            </w:r>
            <w:r w:rsidRPr="00F619A4">
              <w:rPr>
                <w:lang w:val="hy-AM"/>
              </w:rPr>
              <w:t xml:space="preserve"> </w:t>
            </w:r>
            <w:r w:rsidRPr="00F619A4">
              <w:rPr>
                <w:rFonts w:cs="Sylfaen"/>
                <w:lang w:val="hy-AM"/>
              </w:rPr>
              <w:t>միջազգային</w:t>
            </w:r>
            <w:r w:rsidRPr="00F619A4">
              <w:rPr>
                <w:lang w:val="hy-AM"/>
              </w:rPr>
              <w:t xml:space="preserve"> </w:t>
            </w:r>
            <w:r w:rsidRPr="00F619A4">
              <w:rPr>
                <w:rFonts w:cs="Sylfaen"/>
                <w:lang w:val="hy-AM"/>
              </w:rPr>
              <w:t>համագործակցությունը:</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50</w:t>
            </w:r>
          </w:p>
        </w:tc>
        <w:tc>
          <w:tcPr>
            <w:tcW w:w="10878" w:type="dxa"/>
          </w:tcPr>
          <w:p w:rsidR="001F6D5D" w:rsidRPr="00F619A4" w:rsidRDefault="001F6D5D" w:rsidP="00277183">
            <w:pPr>
              <w:tabs>
                <w:tab w:val="left" w:pos="4277"/>
              </w:tabs>
              <w:jc w:val="center"/>
              <w:rPr>
                <w:u w:val="single"/>
                <w:lang w:val="hy-AM"/>
              </w:rPr>
            </w:pPr>
            <w:r w:rsidRPr="00F619A4">
              <w:rPr>
                <w:rStyle w:val="Strong"/>
                <w:color w:val="000000"/>
                <w:u w:val="single"/>
                <w:shd w:val="clear" w:color="auto" w:fill="FFFFFF"/>
                <w:lang w:val="hy-AM"/>
              </w:rPr>
              <w:t>ՀԱՆՐԱՅԻՆ ԾԱՌԱՅՈՒԹՅԱՆ ՄԵՋ ԳՏՆՎՈՂ ԱՆՁԱՆՑ ԳՈՐԾՈՒՆԵՈՒԹՅԱՆ, ԳՈՒՅՔԻ և ԵԿԱՄՈՒՏՆԵՐԻ ԹԱՓԱՆՑԻԿՈՒԹՅՈՒՆ</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ind w:firstLine="375"/>
              <w:jc w:val="both"/>
              <w:rPr>
                <w:lang w:val="hy-AM"/>
              </w:rPr>
            </w:pPr>
            <w:r w:rsidRPr="00F619A4">
              <w:rPr>
                <w:noProof/>
                <w:lang w:val="hy-AM"/>
              </w:rPr>
              <w:t xml:space="preserve">2019 թվականի փետրվարի 14-ի ԱԺՕ-002-Ն որոշմամբ հավանության </w:t>
            </w:r>
            <w:r w:rsidRPr="00F619A4">
              <w:rPr>
                <w:rFonts w:eastAsia="Calibri" w:cs="Sylfaen"/>
                <w:lang w:val="hy-AM"/>
              </w:rPr>
              <w:t xml:space="preserve">արժանացած ՀՀ կառավարության ծրագրի «Պայքար կոռուպցիայի դեմ» վերտառությամբ 3-րդ բաժնի </w:t>
            </w:r>
            <w:r w:rsidRPr="00F619A4">
              <w:rPr>
                <w:lang w:val="hy-AM"/>
              </w:rPr>
              <w:t xml:space="preserve">«Հանրային ծառայության մեջ գտնվող անձանց գործունեության, գույքի և եկամուտների թափանցիկությունը» վերատառությամբ 3.1-րդ գլխի համաձայն՝ </w:t>
            </w:r>
            <w:r w:rsidRPr="00F619A4">
              <w:rPr>
                <w:rFonts w:cs="Sylfaen"/>
                <w:lang w:val="hy-AM"/>
              </w:rPr>
              <w:t>կոռուպցիայի</w:t>
            </w:r>
            <w:r w:rsidRPr="00F619A4">
              <w:rPr>
                <w:lang w:val="hy-AM"/>
              </w:rPr>
              <w:t xml:space="preserve"> </w:t>
            </w:r>
            <w:r w:rsidRPr="00F619A4">
              <w:rPr>
                <w:rFonts w:cs="Sylfaen"/>
                <w:lang w:val="hy-AM"/>
              </w:rPr>
              <w:t>կանխարգելման</w:t>
            </w:r>
            <w:r w:rsidRPr="00F619A4">
              <w:rPr>
                <w:lang w:val="hy-AM"/>
              </w:rPr>
              <w:t xml:space="preserve"> </w:t>
            </w:r>
            <w:r w:rsidRPr="00F619A4">
              <w:rPr>
                <w:rFonts w:cs="Sylfaen"/>
                <w:lang w:val="hy-AM"/>
              </w:rPr>
              <w:t>գործում</w:t>
            </w:r>
            <w:r w:rsidRPr="00F619A4">
              <w:rPr>
                <w:lang w:val="hy-AM"/>
              </w:rPr>
              <w:t xml:space="preserve"> </w:t>
            </w:r>
            <w:r w:rsidRPr="00F619A4">
              <w:rPr>
                <w:rFonts w:cs="Sylfaen"/>
                <w:lang w:val="hy-AM"/>
              </w:rPr>
              <w:t>կարևորագույն</w:t>
            </w:r>
            <w:r w:rsidRPr="00F619A4">
              <w:rPr>
                <w:lang w:val="hy-AM"/>
              </w:rPr>
              <w:t xml:space="preserve"> </w:t>
            </w:r>
            <w:r w:rsidRPr="00F619A4">
              <w:rPr>
                <w:rFonts w:cs="Sylfaen"/>
                <w:lang w:val="hy-AM"/>
              </w:rPr>
              <w:t>նշանակություն</w:t>
            </w:r>
            <w:r w:rsidRPr="00F619A4">
              <w:rPr>
                <w:lang w:val="hy-AM"/>
              </w:rPr>
              <w:t xml:space="preserve"> </w:t>
            </w:r>
            <w:r w:rsidRPr="00F619A4">
              <w:rPr>
                <w:rFonts w:cs="Sylfaen"/>
                <w:lang w:val="hy-AM"/>
              </w:rPr>
              <w:t>ունի</w:t>
            </w:r>
            <w:r w:rsidRPr="00F619A4">
              <w:rPr>
                <w:lang w:val="hy-AM"/>
              </w:rPr>
              <w:t xml:space="preserve"> </w:t>
            </w:r>
            <w:r w:rsidRPr="00F619A4">
              <w:rPr>
                <w:rFonts w:cs="Sylfaen"/>
                <w:lang w:val="hy-AM"/>
              </w:rPr>
              <w:t>պետության</w:t>
            </w:r>
            <w:r w:rsidRPr="00F619A4">
              <w:rPr>
                <w:lang w:val="hy-AM"/>
              </w:rPr>
              <w:t xml:space="preserve"> </w:t>
            </w:r>
            <w:r w:rsidRPr="00F619A4">
              <w:rPr>
                <w:rFonts w:cs="Sylfaen"/>
                <w:lang w:val="hy-AM"/>
              </w:rPr>
              <w:t>առաջին</w:t>
            </w:r>
            <w:r w:rsidRPr="00F619A4">
              <w:rPr>
                <w:lang w:val="hy-AM"/>
              </w:rPr>
              <w:t xml:space="preserve"> </w:t>
            </w:r>
            <w:r w:rsidRPr="00F619A4">
              <w:rPr>
                <w:rFonts w:cs="Sylfaen"/>
                <w:lang w:val="hy-AM"/>
              </w:rPr>
              <w:t>դեմքերի</w:t>
            </w:r>
            <w:r w:rsidRPr="00F619A4">
              <w:rPr>
                <w:lang w:val="hy-AM"/>
              </w:rPr>
              <w:t>, «</w:t>
            </w:r>
            <w:r w:rsidRPr="00F619A4">
              <w:rPr>
                <w:rFonts w:cs="Sylfaen"/>
                <w:lang w:val="hy-AM"/>
              </w:rPr>
              <w:t>Հանրային</w:t>
            </w:r>
            <w:r w:rsidRPr="00F619A4">
              <w:rPr>
                <w:lang w:val="hy-AM"/>
              </w:rPr>
              <w:t xml:space="preserve"> </w:t>
            </w:r>
            <w:r w:rsidRPr="00F619A4">
              <w:rPr>
                <w:rFonts w:cs="Sylfaen"/>
                <w:lang w:val="hy-AM"/>
              </w:rPr>
              <w:t>ծառայության</w:t>
            </w:r>
            <w:r w:rsidRPr="00F619A4">
              <w:rPr>
                <w:lang w:val="hy-AM"/>
              </w:rPr>
              <w:t xml:space="preserve"> </w:t>
            </w:r>
            <w:r w:rsidRPr="00F619A4">
              <w:rPr>
                <w:rFonts w:cs="Sylfaen"/>
                <w:lang w:val="hy-AM"/>
              </w:rPr>
              <w:t>մասին</w:t>
            </w:r>
            <w:r w:rsidRPr="00F619A4">
              <w:rPr>
                <w:lang w:val="hy-AM"/>
              </w:rPr>
              <w:t xml:space="preserve">» </w:t>
            </w:r>
            <w:r w:rsidRPr="00F619A4">
              <w:rPr>
                <w:rFonts w:cs="Sylfaen"/>
                <w:lang w:val="hy-AM"/>
              </w:rPr>
              <w:t>Հայաստանի</w:t>
            </w:r>
            <w:r w:rsidRPr="00F619A4">
              <w:rPr>
                <w:lang w:val="hy-AM"/>
              </w:rPr>
              <w:t xml:space="preserve"> </w:t>
            </w:r>
            <w:r w:rsidRPr="00F619A4">
              <w:rPr>
                <w:rFonts w:cs="Sylfaen"/>
                <w:lang w:val="hy-AM"/>
              </w:rPr>
              <w:t>Հանրապետության</w:t>
            </w:r>
            <w:r w:rsidRPr="00F619A4">
              <w:rPr>
                <w:lang w:val="hy-AM"/>
              </w:rPr>
              <w:t xml:space="preserve"> </w:t>
            </w:r>
            <w:r w:rsidRPr="00F619A4">
              <w:rPr>
                <w:rFonts w:cs="Sylfaen"/>
                <w:lang w:val="hy-AM"/>
              </w:rPr>
              <w:t>օրենքով</w:t>
            </w:r>
            <w:r w:rsidRPr="00F619A4">
              <w:rPr>
                <w:lang w:val="hy-AM"/>
              </w:rPr>
              <w:t xml:space="preserve"> </w:t>
            </w:r>
            <w:r w:rsidRPr="00F619A4">
              <w:rPr>
                <w:rFonts w:cs="Sylfaen"/>
                <w:lang w:val="hy-AM"/>
              </w:rPr>
              <w:t>սահմանված</w:t>
            </w:r>
            <w:r w:rsidRPr="00F619A4">
              <w:rPr>
                <w:lang w:val="hy-AM"/>
              </w:rPr>
              <w:t xml:space="preserve"> </w:t>
            </w:r>
            <w:r w:rsidRPr="00F619A4">
              <w:rPr>
                <w:rFonts w:cs="Sylfaen"/>
                <w:lang w:val="hy-AM"/>
              </w:rPr>
              <w:t>հանրային</w:t>
            </w:r>
            <w:r w:rsidRPr="00F619A4">
              <w:rPr>
                <w:lang w:val="hy-AM"/>
              </w:rPr>
              <w:t xml:space="preserve"> </w:t>
            </w:r>
            <w:r w:rsidRPr="00F619A4">
              <w:rPr>
                <w:rFonts w:cs="Sylfaen"/>
                <w:lang w:val="hy-AM"/>
              </w:rPr>
              <w:t>ծառայության</w:t>
            </w:r>
            <w:r w:rsidRPr="00F619A4">
              <w:rPr>
                <w:lang w:val="hy-AM"/>
              </w:rPr>
              <w:t xml:space="preserve"> </w:t>
            </w:r>
            <w:r w:rsidRPr="00F619A4">
              <w:rPr>
                <w:rFonts w:cs="Sylfaen"/>
                <w:lang w:val="hy-AM"/>
              </w:rPr>
              <w:t>մեջ</w:t>
            </w:r>
            <w:r w:rsidRPr="00F619A4">
              <w:rPr>
                <w:lang w:val="hy-AM"/>
              </w:rPr>
              <w:t xml:space="preserve"> </w:t>
            </w:r>
            <w:r w:rsidRPr="00F619A4">
              <w:rPr>
                <w:rFonts w:cs="Sylfaen"/>
                <w:lang w:val="hy-AM"/>
              </w:rPr>
              <w:t>գտնվող</w:t>
            </w:r>
            <w:r w:rsidRPr="00F619A4">
              <w:rPr>
                <w:lang w:val="hy-AM"/>
              </w:rPr>
              <w:t xml:space="preserve"> </w:t>
            </w:r>
            <w:r w:rsidRPr="00F619A4">
              <w:rPr>
                <w:rFonts w:cs="Sylfaen"/>
                <w:lang w:val="hy-AM"/>
              </w:rPr>
              <w:t>բոլոր</w:t>
            </w:r>
            <w:r w:rsidRPr="00F619A4">
              <w:rPr>
                <w:lang w:val="hy-AM"/>
              </w:rPr>
              <w:t xml:space="preserve"> </w:t>
            </w:r>
            <w:r w:rsidRPr="00F619A4">
              <w:rPr>
                <w:rFonts w:cs="Sylfaen"/>
                <w:lang w:val="hy-AM"/>
              </w:rPr>
              <w:t>անձանց</w:t>
            </w:r>
            <w:r w:rsidRPr="00F619A4">
              <w:rPr>
                <w:lang w:val="hy-AM"/>
              </w:rPr>
              <w:t xml:space="preserve">, </w:t>
            </w:r>
            <w:r w:rsidRPr="00F619A4">
              <w:rPr>
                <w:rFonts w:cs="Sylfaen"/>
                <w:lang w:val="hy-AM"/>
              </w:rPr>
              <w:t>նրանց</w:t>
            </w:r>
            <w:r w:rsidRPr="00F619A4">
              <w:rPr>
                <w:lang w:val="hy-AM"/>
              </w:rPr>
              <w:t xml:space="preserve"> </w:t>
            </w:r>
            <w:r w:rsidRPr="00F619A4">
              <w:rPr>
                <w:rFonts w:cs="Sylfaen"/>
                <w:lang w:val="hy-AM"/>
              </w:rPr>
              <w:t>ընտանիքի</w:t>
            </w:r>
            <w:r w:rsidRPr="00F619A4">
              <w:rPr>
                <w:lang w:val="hy-AM"/>
              </w:rPr>
              <w:t xml:space="preserve"> </w:t>
            </w:r>
            <w:r w:rsidRPr="00F619A4">
              <w:rPr>
                <w:rFonts w:cs="Sylfaen"/>
                <w:lang w:val="hy-AM"/>
              </w:rPr>
              <w:t>անդամների</w:t>
            </w:r>
            <w:r w:rsidRPr="00F619A4">
              <w:rPr>
                <w:lang w:val="hy-AM"/>
              </w:rPr>
              <w:t xml:space="preserve">, </w:t>
            </w:r>
            <w:r w:rsidRPr="00F619A4">
              <w:rPr>
                <w:rFonts w:cs="Sylfaen"/>
                <w:lang w:val="hy-AM"/>
              </w:rPr>
              <w:t>մերձավոր</w:t>
            </w:r>
            <w:r w:rsidRPr="00F619A4">
              <w:rPr>
                <w:lang w:val="hy-AM"/>
              </w:rPr>
              <w:t xml:space="preserve"> </w:t>
            </w:r>
            <w:r w:rsidRPr="00F619A4">
              <w:rPr>
                <w:rFonts w:cs="Sylfaen"/>
                <w:lang w:val="hy-AM"/>
              </w:rPr>
              <w:t>ազգականների</w:t>
            </w:r>
            <w:r w:rsidRPr="00F619A4">
              <w:rPr>
                <w:lang w:val="hy-AM"/>
              </w:rPr>
              <w:t xml:space="preserve"> </w:t>
            </w:r>
            <w:r w:rsidRPr="00F619A4">
              <w:rPr>
                <w:rFonts w:cs="Sylfaen"/>
                <w:lang w:val="hy-AM"/>
              </w:rPr>
              <w:t>գործունեության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ունեցվածքի</w:t>
            </w:r>
            <w:r w:rsidRPr="00F619A4">
              <w:rPr>
                <w:lang w:val="hy-AM"/>
              </w:rPr>
              <w:t xml:space="preserve"> </w:t>
            </w:r>
            <w:r w:rsidRPr="00F619A4">
              <w:rPr>
                <w:rFonts w:cs="Sylfaen"/>
                <w:lang w:val="hy-AM"/>
              </w:rPr>
              <w:t>նկատմամբ</w:t>
            </w:r>
            <w:r w:rsidRPr="00F619A4">
              <w:rPr>
                <w:lang w:val="hy-AM"/>
              </w:rPr>
              <w:t xml:space="preserve"> </w:t>
            </w:r>
            <w:r w:rsidRPr="00F619A4">
              <w:rPr>
                <w:rFonts w:cs="Sylfaen"/>
                <w:lang w:val="hy-AM"/>
              </w:rPr>
              <w:t>իրական</w:t>
            </w:r>
            <w:r w:rsidRPr="00F619A4">
              <w:rPr>
                <w:lang w:val="hy-AM"/>
              </w:rPr>
              <w:t xml:space="preserve"> </w:t>
            </w:r>
            <w:r w:rsidRPr="00F619A4">
              <w:rPr>
                <w:rFonts w:cs="Sylfaen"/>
                <w:lang w:val="hy-AM"/>
              </w:rPr>
              <w:t>հանրային</w:t>
            </w:r>
            <w:r w:rsidRPr="00F619A4">
              <w:rPr>
                <w:lang w:val="hy-AM"/>
              </w:rPr>
              <w:t xml:space="preserve"> </w:t>
            </w:r>
            <w:r w:rsidRPr="00F619A4">
              <w:rPr>
                <w:rFonts w:cs="Sylfaen"/>
                <w:lang w:val="hy-AM"/>
              </w:rPr>
              <w:t>վերահսկողության</w:t>
            </w:r>
            <w:r w:rsidRPr="00F619A4">
              <w:rPr>
                <w:lang w:val="hy-AM"/>
              </w:rPr>
              <w:t xml:space="preserve"> </w:t>
            </w:r>
            <w:r w:rsidRPr="00F619A4">
              <w:rPr>
                <w:rFonts w:cs="Sylfaen"/>
                <w:lang w:val="hy-AM"/>
              </w:rPr>
              <w:t>իրականացման</w:t>
            </w:r>
            <w:r w:rsidRPr="00F619A4">
              <w:rPr>
                <w:lang w:val="hy-AM"/>
              </w:rPr>
              <w:t xml:space="preserve"> </w:t>
            </w:r>
            <w:r w:rsidRPr="00F619A4">
              <w:rPr>
                <w:rFonts w:cs="Sylfaen"/>
                <w:lang w:val="hy-AM"/>
              </w:rPr>
              <w:t>համար</w:t>
            </w:r>
            <w:r w:rsidRPr="00F619A4">
              <w:rPr>
                <w:lang w:val="hy-AM"/>
              </w:rPr>
              <w:t xml:space="preserve"> </w:t>
            </w:r>
            <w:r w:rsidRPr="00F619A4">
              <w:rPr>
                <w:rFonts w:cs="Sylfaen"/>
                <w:lang w:val="hy-AM"/>
              </w:rPr>
              <w:t>համարժեք</w:t>
            </w:r>
            <w:r w:rsidRPr="00F619A4">
              <w:rPr>
                <w:lang w:val="hy-AM"/>
              </w:rPr>
              <w:t xml:space="preserve"> </w:t>
            </w:r>
            <w:r w:rsidRPr="00F619A4">
              <w:rPr>
                <w:rFonts w:cs="Sylfaen"/>
                <w:lang w:val="hy-AM"/>
              </w:rPr>
              <w:t>թափանցիկության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հաշվետվողականության</w:t>
            </w:r>
            <w:r w:rsidRPr="00F619A4">
              <w:rPr>
                <w:lang w:val="hy-AM"/>
              </w:rPr>
              <w:t xml:space="preserve"> </w:t>
            </w:r>
            <w:r w:rsidRPr="00F619A4">
              <w:rPr>
                <w:rFonts w:cs="Sylfaen"/>
                <w:lang w:val="hy-AM"/>
              </w:rPr>
              <w:t>մեխանիզմների</w:t>
            </w:r>
            <w:r w:rsidRPr="00F619A4">
              <w:rPr>
                <w:lang w:val="hy-AM"/>
              </w:rPr>
              <w:t xml:space="preserve"> </w:t>
            </w:r>
            <w:r w:rsidRPr="00F619A4">
              <w:rPr>
                <w:rFonts w:cs="Sylfaen"/>
                <w:lang w:val="hy-AM"/>
              </w:rPr>
              <w:t>ստեղծումը։</w:t>
            </w:r>
            <w:r w:rsidRPr="00F619A4">
              <w:rPr>
                <w:lang w:val="hy-AM"/>
              </w:rPr>
              <w:t xml:space="preserve"> </w:t>
            </w:r>
          </w:p>
          <w:p w:rsidR="001F6D5D" w:rsidRPr="00F619A4" w:rsidRDefault="001F6D5D" w:rsidP="00277183">
            <w:pPr>
              <w:ind w:firstLine="375"/>
              <w:jc w:val="both"/>
              <w:rPr>
                <w:lang w:val="hy-AM"/>
              </w:rPr>
            </w:pPr>
            <w:r w:rsidRPr="00F619A4">
              <w:rPr>
                <w:rFonts w:cs="Sylfaen"/>
                <w:lang w:val="hy-AM"/>
              </w:rPr>
              <w:t>Նրանց</w:t>
            </w:r>
            <w:r w:rsidRPr="00F619A4">
              <w:rPr>
                <w:lang w:val="hy-AM"/>
              </w:rPr>
              <w:t xml:space="preserve"> </w:t>
            </w:r>
            <w:r w:rsidRPr="00F619A4">
              <w:rPr>
                <w:rFonts w:cs="Sylfaen"/>
                <w:lang w:val="hy-AM"/>
              </w:rPr>
              <w:t>կոռուպցիոն</w:t>
            </w:r>
            <w:r w:rsidRPr="00F619A4">
              <w:rPr>
                <w:lang w:val="hy-AM"/>
              </w:rPr>
              <w:t xml:space="preserve"> </w:t>
            </w:r>
            <w:r w:rsidRPr="00F619A4">
              <w:rPr>
                <w:rFonts w:cs="Sylfaen"/>
                <w:lang w:val="hy-AM"/>
              </w:rPr>
              <w:t>ներգրավվածությունը</w:t>
            </w:r>
            <w:r w:rsidRPr="00F619A4">
              <w:rPr>
                <w:lang w:val="hy-AM"/>
              </w:rPr>
              <w:t xml:space="preserve"> </w:t>
            </w:r>
            <w:r w:rsidRPr="00F619A4">
              <w:rPr>
                <w:rFonts w:cs="Sylfaen"/>
                <w:lang w:val="hy-AM"/>
              </w:rPr>
              <w:t>բացառելու</w:t>
            </w:r>
            <w:r w:rsidRPr="00F619A4">
              <w:rPr>
                <w:lang w:val="hy-AM"/>
              </w:rPr>
              <w:t xml:space="preserve"> </w:t>
            </w:r>
            <w:r w:rsidRPr="00F619A4">
              <w:rPr>
                <w:rFonts w:cs="Sylfaen"/>
                <w:lang w:val="hy-AM"/>
              </w:rPr>
              <w:t>համար</w:t>
            </w:r>
            <w:r w:rsidRPr="00F619A4">
              <w:rPr>
                <w:lang w:val="hy-AM"/>
              </w:rPr>
              <w:t xml:space="preserve"> </w:t>
            </w:r>
            <w:r w:rsidRPr="00F619A4">
              <w:rPr>
                <w:rFonts w:cs="Sylfaen"/>
                <w:lang w:val="hy-AM"/>
              </w:rPr>
              <w:t>անհրաժեշտ</w:t>
            </w:r>
            <w:r w:rsidRPr="00F619A4">
              <w:rPr>
                <w:lang w:val="hy-AM"/>
              </w:rPr>
              <w:t xml:space="preserve"> </w:t>
            </w:r>
            <w:r w:rsidRPr="00F619A4">
              <w:rPr>
                <w:rFonts w:cs="Sylfaen"/>
                <w:lang w:val="hy-AM"/>
              </w:rPr>
              <w:t>է</w:t>
            </w:r>
            <w:r w:rsidRPr="00F619A4">
              <w:rPr>
                <w:lang w:val="hy-AM"/>
              </w:rPr>
              <w:t xml:space="preserve"> </w:t>
            </w:r>
            <w:r w:rsidRPr="00F619A4">
              <w:rPr>
                <w:rFonts w:cs="Sylfaen"/>
                <w:lang w:val="hy-AM"/>
              </w:rPr>
              <w:t>նաև</w:t>
            </w:r>
            <w:r w:rsidRPr="00F619A4">
              <w:rPr>
                <w:lang w:val="hy-AM"/>
              </w:rPr>
              <w:t xml:space="preserve"> </w:t>
            </w:r>
            <w:r w:rsidRPr="00F619A4">
              <w:rPr>
                <w:rFonts w:cs="Sylfaen"/>
                <w:lang w:val="hy-AM"/>
              </w:rPr>
              <w:t>իրականացնել</w:t>
            </w:r>
            <w:r w:rsidRPr="00F619A4">
              <w:rPr>
                <w:lang w:val="hy-AM"/>
              </w:rPr>
              <w:t xml:space="preserve"> </w:t>
            </w:r>
            <w:r w:rsidRPr="00F619A4">
              <w:rPr>
                <w:rFonts w:cs="Sylfaen"/>
                <w:lang w:val="hy-AM"/>
              </w:rPr>
              <w:t>որոշակի</w:t>
            </w:r>
            <w:r w:rsidRPr="00F619A4">
              <w:rPr>
                <w:lang w:val="hy-AM"/>
              </w:rPr>
              <w:t xml:space="preserve"> </w:t>
            </w:r>
            <w:r w:rsidRPr="00F619A4">
              <w:rPr>
                <w:rFonts w:cs="Sylfaen"/>
                <w:lang w:val="hy-AM"/>
              </w:rPr>
              <w:t>օրենսդրական</w:t>
            </w:r>
            <w:r w:rsidRPr="00F619A4">
              <w:rPr>
                <w:lang w:val="hy-AM"/>
              </w:rPr>
              <w:t xml:space="preserve"> </w:t>
            </w:r>
            <w:r w:rsidRPr="00F619A4">
              <w:rPr>
                <w:rFonts w:cs="Sylfaen"/>
                <w:lang w:val="hy-AM"/>
              </w:rPr>
              <w:t>նորամուծություններ</w:t>
            </w:r>
            <w:r w:rsidRPr="00F619A4">
              <w:rPr>
                <w:lang w:val="hy-AM"/>
              </w:rPr>
              <w:t xml:space="preserve">, </w:t>
            </w:r>
            <w:r w:rsidRPr="00F619A4">
              <w:rPr>
                <w:rFonts w:cs="Sylfaen"/>
                <w:lang w:val="hy-AM"/>
              </w:rPr>
              <w:t>որոնցից</w:t>
            </w:r>
            <w:r w:rsidRPr="00F619A4">
              <w:rPr>
                <w:lang w:val="hy-AM"/>
              </w:rPr>
              <w:t xml:space="preserve"> </w:t>
            </w:r>
            <w:r w:rsidRPr="00F619A4">
              <w:rPr>
                <w:rFonts w:cs="Sylfaen"/>
                <w:lang w:val="hy-AM"/>
              </w:rPr>
              <w:t>առանձնապես</w:t>
            </w:r>
            <w:r w:rsidRPr="00F619A4">
              <w:rPr>
                <w:lang w:val="hy-AM"/>
              </w:rPr>
              <w:t xml:space="preserve"> </w:t>
            </w:r>
            <w:r w:rsidRPr="00F619A4">
              <w:rPr>
                <w:rFonts w:cs="Sylfaen"/>
                <w:lang w:val="hy-AM"/>
              </w:rPr>
              <w:t>կարևորվում</w:t>
            </w:r>
            <w:r w:rsidRPr="00F619A4">
              <w:rPr>
                <w:lang w:val="hy-AM"/>
              </w:rPr>
              <w:t xml:space="preserve"> </w:t>
            </w:r>
            <w:r w:rsidRPr="00F619A4">
              <w:rPr>
                <w:rFonts w:cs="Sylfaen"/>
                <w:lang w:val="hy-AM"/>
              </w:rPr>
              <w:t>են՝</w:t>
            </w:r>
            <w:r w:rsidRPr="00F619A4">
              <w:rPr>
                <w:lang w:val="hy-AM"/>
              </w:rPr>
              <w:t xml:space="preserve"> </w:t>
            </w:r>
          </w:p>
          <w:p w:rsidR="001F6D5D" w:rsidRPr="00F619A4" w:rsidRDefault="001F6D5D" w:rsidP="00277183">
            <w:pPr>
              <w:ind w:firstLine="375"/>
              <w:jc w:val="both"/>
              <w:rPr>
                <w:lang w:val="hy-AM"/>
              </w:rPr>
            </w:pPr>
            <w:r w:rsidRPr="00F619A4">
              <w:rPr>
                <w:lang w:val="hy-AM"/>
              </w:rPr>
              <w:t xml:space="preserve">- </w:t>
            </w:r>
            <w:r w:rsidRPr="00F619A4">
              <w:rPr>
                <w:rFonts w:cs="Sylfaen"/>
                <w:lang w:val="hy-AM"/>
              </w:rPr>
              <w:t>այնպիսի</w:t>
            </w:r>
            <w:r w:rsidRPr="00F619A4">
              <w:rPr>
                <w:lang w:val="hy-AM"/>
              </w:rPr>
              <w:t xml:space="preserve"> </w:t>
            </w:r>
            <w:r w:rsidRPr="00F619A4">
              <w:rPr>
                <w:rFonts w:cs="Sylfaen"/>
                <w:lang w:val="hy-AM"/>
              </w:rPr>
              <w:t>նոր</w:t>
            </w:r>
            <w:r w:rsidRPr="00F619A4">
              <w:rPr>
                <w:lang w:val="hy-AM"/>
              </w:rPr>
              <w:t xml:space="preserve"> </w:t>
            </w:r>
            <w:r w:rsidRPr="00F619A4">
              <w:rPr>
                <w:rFonts w:cs="Sylfaen"/>
                <w:lang w:val="hy-AM"/>
              </w:rPr>
              <w:t>համակարգի</w:t>
            </w:r>
            <w:r w:rsidRPr="00F619A4">
              <w:rPr>
                <w:lang w:val="hy-AM"/>
              </w:rPr>
              <w:t xml:space="preserve"> </w:t>
            </w:r>
            <w:r w:rsidRPr="00F619A4">
              <w:rPr>
                <w:rFonts w:cs="Sylfaen"/>
                <w:lang w:val="hy-AM"/>
              </w:rPr>
              <w:t>ներդրումը</w:t>
            </w:r>
            <w:r w:rsidRPr="00F619A4">
              <w:rPr>
                <w:lang w:val="hy-AM"/>
              </w:rPr>
              <w:t xml:space="preserve">, </w:t>
            </w:r>
            <w:r w:rsidRPr="00F619A4">
              <w:rPr>
                <w:rFonts w:cs="Sylfaen"/>
                <w:lang w:val="hy-AM"/>
              </w:rPr>
              <w:t>համաձայն</w:t>
            </w:r>
            <w:r w:rsidRPr="00F619A4">
              <w:rPr>
                <w:lang w:val="hy-AM"/>
              </w:rPr>
              <w:t xml:space="preserve"> </w:t>
            </w:r>
            <w:r w:rsidRPr="00F619A4">
              <w:rPr>
                <w:rFonts w:cs="Sylfaen"/>
                <w:lang w:val="hy-AM"/>
              </w:rPr>
              <w:t>որի</w:t>
            </w:r>
            <w:r w:rsidRPr="00F619A4">
              <w:rPr>
                <w:lang w:val="hy-AM"/>
              </w:rPr>
              <w:t xml:space="preserve"> </w:t>
            </w:r>
            <w:r w:rsidRPr="00F619A4">
              <w:rPr>
                <w:rFonts w:cs="Sylfaen"/>
                <w:lang w:val="hy-AM"/>
              </w:rPr>
              <w:t>Հայաստանի</w:t>
            </w:r>
            <w:r w:rsidRPr="00F619A4">
              <w:rPr>
                <w:lang w:val="hy-AM"/>
              </w:rPr>
              <w:t xml:space="preserve"> </w:t>
            </w:r>
            <w:r w:rsidRPr="00F619A4">
              <w:rPr>
                <w:rFonts w:cs="Sylfaen"/>
                <w:lang w:val="hy-AM"/>
              </w:rPr>
              <w:t>Հանրապետության</w:t>
            </w:r>
            <w:r w:rsidRPr="00F619A4">
              <w:rPr>
                <w:lang w:val="hy-AM"/>
              </w:rPr>
              <w:t xml:space="preserve"> </w:t>
            </w:r>
            <w:r w:rsidRPr="00F619A4">
              <w:rPr>
                <w:rFonts w:cs="Sylfaen"/>
                <w:lang w:val="hy-AM"/>
              </w:rPr>
              <w:t>պետական</w:t>
            </w:r>
            <w:r w:rsidRPr="00F619A4">
              <w:rPr>
                <w:lang w:val="hy-AM"/>
              </w:rPr>
              <w:t xml:space="preserve"> </w:t>
            </w:r>
            <w:r w:rsidRPr="00F619A4">
              <w:rPr>
                <w:rFonts w:cs="Sylfaen"/>
                <w:lang w:val="hy-AM"/>
              </w:rPr>
              <w:t>պաշտոնի</w:t>
            </w:r>
            <w:r w:rsidRPr="00F619A4">
              <w:rPr>
                <w:lang w:val="hy-AM"/>
              </w:rPr>
              <w:t xml:space="preserve"> </w:t>
            </w:r>
            <w:r w:rsidRPr="00F619A4">
              <w:rPr>
                <w:rFonts w:cs="Sylfaen"/>
                <w:lang w:val="hy-AM"/>
              </w:rPr>
              <w:t>հավակնող</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նման</w:t>
            </w:r>
            <w:r w:rsidRPr="00F619A4">
              <w:rPr>
                <w:lang w:val="hy-AM"/>
              </w:rPr>
              <w:t xml:space="preserve"> </w:t>
            </w:r>
            <w:r w:rsidRPr="00F619A4">
              <w:rPr>
                <w:rFonts w:cs="Sylfaen"/>
                <w:lang w:val="hy-AM"/>
              </w:rPr>
              <w:t>պաշտոն</w:t>
            </w:r>
            <w:r w:rsidRPr="00F619A4">
              <w:rPr>
                <w:lang w:val="hy-AM"/>
              </w:rPr>
              <w:t xml:space="preserve"> </w:t>
            </w:r>
            <w:r w:rsidRPr="00F619A4">
              <w:rPr>
                <w:rFonts w:cs="Sylfaen"/>
                <w:lang w:val="hy-AM"/>
              </w:rPr>
              <w:t>զբաղեցնող</w:t>
            </w:r>
            <w:r w:rsidRPr="00F619A4">
              <w:rPr>
                <w:lang w:val="hy-AM"/>
              </w:rPr>
              <w:t xml:space="preserve"> </w:t>
            </w:r>
            <w:r w:rsidRPr="00F619A4">
              <w:rPr>
                <w:rFonts w:cs="Sylfaen"/>
                <w:lang w:val="hy-AM"/>
              </w:rPr>
              <w:t>անձինք</w:t>
            </w:r>
            <w:r w:rsidRPr="00F619A4">
              <w:rPr>
                <w:lang w:val="hy-AM"/>
              </w:rPr>
              <w:t xml:space="preserve"> </w:t>
            </w:r>
            <w:r w:rsidRPr="00F619A4">
              <w:rPr>
                <w:rFonts w:cs="Sylfaen"/>
                <w:lang w:val="hy-AM"/>
              </w:rPr>
              <w:t>համապատասխան</w:t>
            </w:r>
            <w:r w:rsidRPr="00F619A4">
              <w:rPr>
                <w:lang w:val="hy-AM"/>
              </w:rPr>
              <w:t xml:space="preserve"> </w:t>
            </w:r>
            <w:r w:rsidRPr="00F619A4">
              <w:rPr>
                <w:rFonts w:cs="Sylfaen"/>
                <w:lang w:val="hy-AM"/>
              </w:rPr>
              <w:t>լիազոր</w:t>
            </w:r>
            <w:r w:rsidRPr="00F619A4">
              <w:rPr>
                <w:lang w:val="hy-AM"/>
              </w:rPr>
              <w:t xml:space="preserve"> </w:t>
            </w:r>
            <w:r w:rsidRPr="00F619A4">
              <w:rPr>
                <w:rFonts w:cs="Sylfaen"/>
                <w:lang w:val="hy-AM"/>
              </w:rPr>
              <w:t>մարմնին</w:t>
            </w:r>
            <w:r w:rsidRPr="00F619A4">
              <w:rPr>
                <w:lang w:val="hy-AM"/>
              </w:rPr>
              <w:t xml:space="preserve"> </w:t>
            </w:r>
            <w:r w:rsidRPr="00F619A4">
              <w:rPr>
                <w:rFonts w:cs="Sylfaen"/>
                <w:lang w:val="hy-AM"/>
              </w:rPr>
              <w:t>նոտարական</w:t>
            </w:r>
            <w:r w:rsidRPr="00F619A4">
              <w:rPr>
                <w:lang w:val="hy-AM"/>
              </w:rPr>
              <w:t xml:space="preserve"> </w:t>
            </w:r>
            <w:r w:rsidRPr="00F619A4">
              <w:rPr>
                <w:rFonts w:cs="Sylfaen"/>
                <w:lang w:val="hy-AM"/>
              </w:rPr>
              <w:t>կարգով</w:t>
            </w:r>
            <w:r w:rsidRPr="00F619A4">
              <w:rPr>
                <w:lang w:val="hy-AM"/>
              </w:rPr>
              <w:t xml:space="preserve"> </w:t>
            </w:r>
            <w:r w:rsidRPr="00F619A4">
              <w:rPr>
                <w:rFonts w:cs="Sylfaen"/>
                <w:lang w:val="hy-AM"/>
              </w:rPr>
              <w:t>կլիազորեն</w:t>
            </w:r>
            <w:r w:rsidRPr="00F619A4">
              <w:rPr>
                <w:lang w:val="hy-AM"/>
              </w:rPr>
              <w:t xml:space="preserve"> </w:t>
            </w:r>
            <w:r w:rsidRPr="00F619A4">
              <w:rPr>
                <w:rFonts w:cs="Sylfaen"/>
                <w:lang w:val="hy-AM"/>
              </w:rPr>
              <w:t>աշխարհի</w:t>
            </w:r>
            <w:r w:rsidRPr="00F619A4">
              <w:rPr>
                <w:lang w:val="hy-AM"/>
              </w:rPr>
              <w:t xml:space="preserve"> </w:t>
            </w:r>
            <w:r w:rsidRPr="00F619A4">
              <w:rPr>
                <w:rFonts w:cs="Sylfaen"/>
                <w:lang w:val="hy-AM"/>
              </w:rPr>
              <w:t>ցանկացած</w:t>
            </w:r>
            <w:r w:rsidRPr="00F619A4">
              <w:rPr>
                <w:lang w:val="hy-AM"/>
              </w:rPr>
              <w:t xml:space="preserve"> </w:t>
            </w:r>
            <w:r w:rsidRPr="00F619A4">
              <w:rPr>
                <w:rFonts w:cs="Sylfaen"/>
                <w:lang w:val="hy-AM"/>
              </w:rPr>
              <w:t>բանկում</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ֆինանսական</w:t>
            </w:r>
            <w:r w:rsidRPr="00F619A4">
              <w:rPr>
                <w:lang w:val="hy-AM"/>
              </w:rPr>
              <w:t xml:space="preserve"> </w:t>
            </w:r>
            <w:r w:rsidRPr="00F619A4">
              <w:rPr>
                <w:rFonts w:cs="Sylfaen"/>
                <w:lang w:val="hy-AM"/>
              </w:rPr>
              <w:t>կազմակերպությունում</w:t>
            </w:r>
            <w:r w:rsidRPr="00F619A4">
              <w:rPr>
                <w:lang w:val="hy-AM"/>
              </w:rPr>
              <w:t xml:space="preserve">, </w:t>
            </w:r>
            <w:r w:rsidRPr="00F619A4">
              <w:rPr>
                <w:rFonts w:cs="Sylfaen"/>
                <w:lang w:val="hy-AM"/>
              </w:rPr>
              <w:t>ցանկացած</w:t>
            </w:r>
            <w:r w:rsidRPr="00F619A4">
              <w:rPr>
                <w:lang w:val="hy-AM"/>
              </w:rPr>
              <w:t xml:space="preserve"> </w:t>
            </w:r>
            <w:r w:rsidRPr="00F619A4">
              <w:rPr>
                <w:rFonts w:cs="Sylfaen"/>
                <w:lang w:val="hy-AM"/>
              </w:rPr>
              <w:t>երկրի</w:t>
            </w:r>
            <w:r w:rsidRPr="00F619A4">
              <w:rPr>
                <w:lang w:val="hy-AM"/>
              </w:rPr>
              <w:t xml:space="preserve"> </w:t>
            </w:r>
            <w:r w:rsidRPr="00F619A4">
              <w:rPr>
                <w:rFonts w:cs="Sylfaen"/>
                <w:lang w:val="hy-AM"/>
              </w:rPr>
              <w:t>տարածքում</w:t>
            </w:r>
            <w:r w:rsidRPr="00F619A4">
              <w:rPr>
                <w:lang w:val="hy-AM"/>
              </w:rPr>
              <w:t xml:space="preserve"> </w:t>
            </w:r>
            <w:r w:rsidRPr="00F619A4">
              <w:rPr>
                <w:rFonts w:cs="Sylfaen"/>
                <w:lang w:val="hy-AM"/>
              </w:rPr>
              <w:t>իրենց</w:t>
            </w:r>
            <w:r w:rsidRPr="00F619A4">
              <w:rPr>
                <w:lang w:val="hy-AM"/>
              </w:rPr>
              <w:t xml:space="preserve"> </w:t>
            </w:r>
            <w:r w:rsidRPr="00F619A4">
              <w:rPr>
                <w:rFonts w:cs="Sylfaen"/>
                <w:lang w:val="hy-AM"/>
              </w:rPr>
              <w:t>անունից</w:t>
            </w:r>
            <w:r w:rsidRPr="00F619A4">
              <w:rPr>
                <w:lang w:val="hy-AM"/>
              </w:rPr>
              <w:t xml:space="preserve"> </w:t>
            </w:r>
            <w:r w:rsidRPr="00F619A4">
              <w:rPr>
                <w:rFonts w:cs="Sylfaen"/>
                <w:lang w:val="hy-AM"/>
              </w:rPr>
              <w:t>փնտրել</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ստանալ</w:t>
            </w:r>
            <w:r w:rsidRPr="00F619A4">
              <w:rPr>
                <w:lang w:val="hy-AM"/>
              </w:rPr>
              <w:t xml:space="preserve"> </w:t>
            </w:r>
            <w:r w:rsidRPr="00F619A4">
              <w:rPr>
                <w:rFonts w:cs="Sylfaen"/>
                <w:lang w:val="hy-AM"/>
              </w:rPr>
              <w:t>տեղեկություններ</w:t>
            </w:r>
            <w:r w:rsidRPr="00F619A4">
              <w:rPr>
                <w:lang w:val="hy-AM"/>
              </w:rPr>
              <w:t xml:space="preserve"> </w:t>
            </w:r>
            <w:r w:rsidRPr="00F619A4">
              <w:rPr>
                <w:rFonts w:cs="Sylfaen"/>
                <w:lang w:val="hy-AM"/>
              </w:rPr>
              <w:t>իրենց</w:t>
            </w:r>
            <w:r w:rsidRPr="00F619A4">
              <w:rPr>
                <w:lang w:val="hy-AM"/>
              </w:rPr>
              <w:t xml:space="preserve"> </w:t>
            </w:r>
            <w:r w:rsidRPr="00F619A4">
              <w:rPr>
                <w:rFonts w:cs="Sylfaen"/>
                <w:lang w:val="hy-AM"/>
              </w:rPr>
              <w:t>անունով</w:t>
            </w:r>
            <w:r w:rsidRPr="00F619A4">
              <w:rPr>
                <w:lang w:val="hy-AM"/>
              </w:rPr>
              <w:t xml:space="preserve"> </w:t>
            </w:r>
            <w:r w:rsidRPr="00F619A4">
              <w:rPr>
                <w:rFonts w:cs="Sylfaen"/>
                <w:lang w:val="hy-AM"/>
              </w:rPr>
              <w:t>հաշվեհամարների</w:t>
            </w:r>
            <w:r w:rsidRPr="00F619A4">
              <w:rPr>
                <w:lang w:val="hy-AM"/>
              </w:rPr>
              <w:t xml:space="preserve"> </w:t>
            </w:r>
            <w:r w:rsidRPr="00F619A4">
              <w:rPr>
                <w:rFonts w:cs="Sylfaen"/>
                <w:lang w:val="hy-AM"/>
              </w:rPr>
              <w:t>առկայության</w:t>
            </w:r>
            <w:r w:rsidRPr="00F619A4">
              <w:rPr>
                <w:lang w:val="hy-AM"/>
              </w:rPr>
              <w:t xml:space="preserve">, </w:t>
            </w:r>
            <w:r w:rsidRPr="00F619A4">
              <w:rPr>
                <w:rFonts w:cs="Sylfaen"/>
                <w:lang w:val="hy-AM"/>
              </w:rPr>
              <w:t>ստեղծման</w:t>
            </w:r>
            <w:r w:rsidRPr="00F619A4">
              <w:rPr>
                <w:lang w:val="hy-AM"/>
              </w:rPr>
              <w:t xml:space="preserve"> </w:t>
            </w:r>
            <w:r w:rsidRPr="00F619A4">
              <w:rPr>
                <w:rFonts w:cs="Sylfaen"/>
                <w:lang w:val="hy-AM"/>
              </w:rPr>
              <w:t>օրից</w:t>
            </w:r>
            <w:r w:rsidRPr="00F619A4">
              <w:rPr>
                <w:lang w:val="hy-AM"/>
              </w:rPr>
              <w:t xml:space="preserve"> </w:t>
            </w:r>
            <w:r w:rsidRPr="00F619A4">
              <w:rPr>
                <w:rFonts w:cs="Sylfaen"/>
                <w:lang w:val="hy-AM"/>
              </w:rPr>
              <w:t>դրանց</w:t>
            </w:r>
            <w:r w:rsidRPr="00F619A4">
              <w:rPr>
                <w:lang w:val="hy-AM"/>
              </w:rPr>
              <w:t xml:space="preserve"> </w:t>
            </w:r>
            <w:r w:rsidRPr="00F619A4">
              <w:rPr>
                <w:rFonts w:cs="Sylfaen"/>
                <w:lang w:val="hy-AM"/>
              </w:rPr>
              <w:t>շարժի</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մնացորդի</w:t>
            </w:r>
            <w:r w:rsidRPr="00F619A4">
              <w:rPr>
                <w:lang w:val="hy-AM"/>
              </w:rPr>
              <w:t xml:space="preserve">, </w:t>
            </w:r>
            <w:r w:rsidRPr="00F619A4">
              <w:rPr>
                <w:rFonts w:cs="Sylfaen"/>
                <w:lang w:val="hy-AM"/>
              </w:rPr>
              <w:t>ինչպես</w:t>
            </w:r>
            <w:r w:rsidRPr="00F619A4">
              <w:rPr>
                <w:lang w:val="hy-AM"/>
              </w:rPr>
              <w:t xml:space="preserve"> </w:t>
            </w:r>
            <w:r w:rsidRPr="00F619A4">
              <w:rPr>
                <w:rFonts w:cs="Sylfaen"/>
                <w:lang w:val="hy-AM"/>
              </w:rPr>
              <w:t>նաև</w:t>
            </w:r>
            <w:r w:rsidRPr="00F619A4">
              <w:rPr>
                <w:lang w:val="hy-AM"/>
              </w:rPr>
              <w:t xml:space="preserve"> </w:t>
            </w:r>
            <w:r w:rsidRPr="00F619A4">
              <w:rPr>
                <w:rFonts w:cs="Sylfaen"/>
                <w:lang w:val="hy-AM"/>
              </w:rPr>
              <w:t>իրենց</w:t>
            </w:r>
            <w:r w:rsidRPr="00F619A4">
              <w:rPr>
                <w:lang w:val="hy-AM"/>
              </w:rPr>
              <w:t xml:space="preserve"> </w:t>
            </w:r>
            <w:r w:rsidRPr="00F619A4">
              <w:rPr>
                <w:rFonts w:cs="Sylfaen"/>
                <w:lang w:val="hy-AM"/>
              </w:rPr>
              <w:t>անունով</w:t>
            </w:r>
            <w:r w:rsidRPr="00F619A4">
              <w:rPr>
                <w:lang w:val="hy-AM"/>
              </w:rPr>
              <w:t xml:space="preserve"> </w:t>
            </w:r>
            <w:r w:rsidRPr="00F619A4">
              <w:rPr>
                <w:rFonts w:cs="Sylfaen"/>
                <w:lang w:val="hy-AM"/>
              </w:rPr>
              <w:t>շարժական</w:t>
            </w:r>
            <w:r w:rsidRPr="00F619A4">
              <w:rPr>
                <w:lang w:val="hy-AM"/>
              </w:rPr>
              <w:t xml:space="preserve">, </w:t>
            </w:r>
            <w:r w:rsidRPr="00F619A4">
              <w:rPr>
                <w:rFonts w:cs="Sylfaen"/>
                <w:lang w:val="hy-AM"/>
              </w:rPr>
              <w:t>անշարժ</w:t>
            </w:r>
            <w:r w:rsidRPr="00F619A4">
              <w:rPr>
                <w:lang w:val="hy-AM"/>
              </w:rPr>
              <w:t xml:space="preserve"> </w:t>
            </w:r>
            <w:r w:rsidRPr="00F619A4">
              <w:rPr>
                <w:rFonts w:cs="Sylfaen"/>
                <w:lang w:val="hy-AM"/>
              </w:rPr>
              <w:t>գույքի</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արժեթղթերի</w:t>
            </w:r>
            <w:r w:rsidRPr="00F619A4">
              <w:rPr>
                <w:lang w:val="hy-AM"/>
              </w:rPr>
              <w:t xml:space="preserve"> </w:t>
            </w:r>
            <w:r w:rsidRPr="00F619A4">
              <w:rPr>
                <w:rFonts w:cs="Sylfaen"/>
                <w:lang w:val="hy-AM"/>
              </w:rPr>
              <w:t>առկայության</w:t>
            </w:r>
            <w:r w:rsidRPr="00F619A4">
              <w:rPr>
                <w:lang w:val="hy-AM"/>
              </w:rPr>
              <w:t xml:space="preserve"> </w:t>
            </w:r>
            <w:r w:rsidRPr="00F619A4">
              <w:rPr>
                <w:rFonts w:cs="Sylfaen"/>
                <w:lang w:val="hy-AM"/>
              </w:rPr>
              <w:t>մասին</w:t>
            </w:r>
            <w:r w:rsidRPr="00F619A4">
              <w:rPr>
                <w:lang w:val="hy-AM"/>
              </w:rPr>
              <w:t xml:space="preserve">: </w:t>
            </w:r>
            <w:r w:rsidRPr="00F619A4">
              <w:rPr>
                <w:rFonts w:cs="Sylfaen"/>
                <w:lang w:val="hy-AM"/>
              </w:rPr>
              <w:t>Նման</w:t>
            </w:r>
            <w:r w:rsidRPr="00F619A4">
              <w:rPr>
                <w:lang w:val="hy-AM"/>
              </w:rPr>
              <w:t xml:space="preserve"> </w:t>
            </w:r>
            <w:r w:rsidRPr="00F619A4">
              <w:rPr>
                <w:rFonts w:cs="Sylfaen"/>
                <w:lang w:val="hy-AM"/>
              </w:rPr>
              <w:t>լիազորագիր</w:t>
            </w:r>
            <w:r w:rsidRPr="00F619A4">
              <w:rPr>
                <w:lang w:val="hy-AM"/>
              </w:rPr>
              <w:t xml:space="preserve"> </w:t>
            </w:r>
            <w:r w:rsidRPr="00F619A4">
              <w:rPr>
                <w:rFonts w:cs="Sylfaen"/>
                <w:lang w:val="hy-AM"/>
              </w:rPr>
              <w:t>տալուց</w:t>
            </w:r>
            <w:r w:rsidRPr="00F619A4">
              <w:rPr>
                <w:lang w:val="hy-AM"/>
              </w:rPr>
              <w:t xml:space="preserve"> </w:t>
            </w:r>
            <w:r w:rsidRPr="00F619A4">
              <w:rPr>
                <w:rFonts w:cs="Sylfaen"/>
                <w:lang w:val="hy-AM"/>
              </w:rPr>
              <w:t>հրաժարվող</w:t>
            </w:r>
            <w:r w:rsidRPr="00F619A4">
              <w:rPr>
                <w:lang w:val="hy-AM"/>
              </w:rPr>
              <w:t xml:space="preserve"> </w:t>
            </w:r>
            <w:r w:rsidRPr="00F619A4">
              <w:rPr>
                <w:rFonts w:cs="Sylfaen"/>
                <w:lang w:val="hy-AM"/>
              </w:rPr>
              <w:t>անձինք</w:t>
            </w:r>
            <w:r w:rsidRPr="00F619A4">
              <w:rPr>
                <w:lang w:val="hy-AM"/>
              </w:rPr>
              <w:t xml:space="preserve"> </w:t>
            </w:r>
            <w:r w:rsidRPr="00F619A4">
              <w:rPr>
                <w:rFonts w:cs="Sylfaen"/>
                <w:lang w:val="hy-AM"/>
              </w:rPr>
              <w:t>չպետք</w:t>
            </w:r>
            <w:r w:rsidRPr="00F619A4">
              <w:rPr>
                <w:lang w:val="hy-AM"/>
              </w:rPr>
              <w:t xml:space="preserve"> </w:t>
            </w:r>
            <w:r w:rsidRPr="00F619A4">
              <w:rPr>
                <w:rFonts w:cs="Sylfaen"/>
                <w:lang w:val="hy-AM"/>
              </w:rPr>
              <w:t>է</w:t>
            </w:r>
            <w:r w:rsidRPr="00F619A4">
              <w:rPr>
                <w:lang w:val="hy-AM"/>
              </w:rPr>
              <w:t xml:space="preserve"> </w:t>
            </w:r>
            <w:r w:rsidRPr="00F619A4">
              <w:rPr>
                <w:rFonts w:cs="Sylfaen"/>
                <w:lang w:val="hy-AM"/>
              </w:rPr>
              <w:t>կարողանան</w:t>
            </w:r>
            <w:r w:rsidRPr="00F619A4">
              <w:rPr>
                <w:lang w:val="hy-AM"/>
              </w:rPr>
              <w:t xml:space="preserve"> </w:t>
            </w:r>
            <w:r w:rsidRPr="00F619A4">
              <w:rPr>
                <w:rFonts w:cs="Sylfaen"/>
                <w:lang w:val="hy-AM"/>
              </w:rPr>
              <w:t>լինել</w:t>
            </w:r>
            <w:r w:rsidRPr="00F619A4">
              <w:rPr>
                <w:lang w:val="hy-AM"/>
              </w:rPr>
              <w:t xml:space="preserve"> </w:t>
            </w:r>
            <w:r w:rsidRPr="00F619A4">
              <w:rPr>
                <w:rFonts w:cs="Sylfaen"/>
                <w:lang w:val="hy-AM"/>
              </w:rPr>
              <w:t>բարձրաստիճան</w:t>
            </w:r>
            <w:r w:rsidRPr="00F619A4">
              <w:rPr>
                <w:lang w:val="hy-AM"/>
              </w:rPr>
              <w:t xml:space="preserve"> </w:t>
            </w:r>
            <w:r w:rsidRPr="00F619A4">
              <w:rPr>
                <w:rFonts w:cs="Sylfaen"/>
                <w:lang w:val="hy-AM"/>
              </w:rPr>
              <w:t>պաշտոնյա</w:t>
            </w:r>
            <w:r w:rsidRPr="00F619A4">
              <w:rPr>
                <w:lang w:val="hy-AM"/>
              </w:rPr>
              <w:t xml:space="preserve">. </w:t>
            </w:r>
          </w:p>
          <w:p w:rsidR="001F6D5D" w:rsidRPr="00F619A4" w:rsidRDefault="001F6D5D" w:rsidP="00277183">
            <w:pPr>
              <w:ind w:firstLine="375"/>
              <w:jc w:val="both"/>
              <w:rPr>
                <w:lang w:val="hy-AM"/>
              </w:rPr>
            </w:pPr>
            <w:r w:rsidRPr="00F619A4">
              <w:rPr>
                <w:lang w:val="hy-AM"/>
              </w:rPr>
              <w:t xml:space="preserve">- </w:t>
            </w:r>
            <w:r w:rsidRPr="00F619A4">
              <w:rPr>
                <w:rFonts w:cs="Sylfaen"/>
                <w:lang w:val="hy-AM"/>
              </w:rPr>
              <w:t>պաշտոնատար</w:t>
            </w:r>
            <w:r w:rsidRPr="00F619A4">
              <w:rPr>
                <w:lang w:val="hy-AM"/>
              </w:rPr>
              <w:t xml:space="preserve"> </w:t>
            </w:r>
            <w:r w:rsidRPr="00F619A4">
              <w:rPr>
                <w:rFonts w:cs="Sylfaen"/>
                <w:lang w:val="hy-AM"/>
              </w:rPr>
              <w:t>անձանց</w:t>
            </w:r>
            <w:r w:rsidRPr="00F619A4">
              <w:rPr>
                <w:lang w:val="hy-AM"/>
              </w:rPr>
              <w:t xml:space="preserve"> </w:t>
            </w:r>
            <w:r w:rsidRPr="00F619A4">
              <w:rPr>
                <w:rFonts w:cs="Sylfaen"/>
                <w:lang w:val="hy-AM"/>
              </w:rPr>
              <w:t>գույքի</w:t>
            </w:r>
            <w:r w:rsidRPr="00F619A4">
              <w:rPr>
                <w:lang w:val="hy-AM"/>
              </w:rPr>
              <w:t xml:space="preserve">, </w:t>
            </w:r>
            <w:r w:rsidRPr="00F619A4">
              <w:rPr>
                <w:rFonts w:cs="Sylfaen"/>
                <w:lang w:val="hy-AM"/>
              </w:rPr>
              <w:t>եկամուտների</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շահերի</w:t>
            </w:r>
            <w:r w:rsidRPr="00F619A4">
              <w:rPr>
                <w:lang w:val="hy-AM"/>
              </w:rPr>
              <w:t xml:space="preserve"> </w:t>
            </w:r>
            <w:r w:rsidRPr="00F619A4">
              <w:rPr>
                <w:rFonts w:cs="Sylfaen"/>
                <w:lang w:val="hy-AM"/>
              </w:rPr>
              <w:t>հայտարարագրերի՝</w:t>
            </w:r>
            <w:r w:rsidRPr="00F619A4">
              <w:rPr>
                <w:lang w:val="hy-AM"/>
              </w:rPr>
              <w:t xml:space="preserve"> </w:t>
            </w:r>
            <w:r w:rsidRPr="00F619A4">
              <w:rPr>
                <w:rFonts w:cs="Sylfaen"/>
                <w:lang w:val="hy-AM"/>
              </w:rPr>
              <w:t>հրապարակման</w:t>
            </w:r>
            <w:r w:rsidRPr="00F619A4">
              <w:rPr>
                <w:lang w:val="hy-AM"/>
              </w:rPr>
              <w:t xml:space="preserve"> </w:t>
            </w:r>
            <w:r w:rsidRPr="00F619A4">
              <w:rPr>
                <w:rFonts w:cs="Sylfaen"/>
                <w:lang w:val="hy-AM"/>
              </w:rPr>
              <w:t>ենթակա</w:t>
            </w:r>
            <w:r w:rsidRPr="00F619A4">
              <w:rPr>
                <w:lang w:val="hy-AM"/>
              </w:rPr>
              <w:t xml:space="preserve"> </w:t>
            </w:r>
            <w:r w:rsidRPr="00F619A4">
              <w:rPr>
                <w:rFonts w:cs="Sylfaen"/>
                <w:lang w:val="hy-AM"/>
              </w:rPr>
              <w:t>տվյալների</w:t>
            </w:r>
            <w:r w:rsidRPr="00F619A4">
              <w:rPr>
                <w:lang w:val="hy-AM"/>
              </w:rPr>
              <w:t xml:space="preserve"> </w:t>
            </w:r>
            <w:r w:rsidRPr="00F619A4">
              <w:rPr>
                <w:rFonts w:cs="Sylfaen"/>
                <w:lang w:val="hy-AM"/>
              </w:rPr>
              <w:t>ցանկի</w:t>
            </w:r>
            <w:r w:rsidRPr="00F619A4">
              <w:rPr>
                <w:lang w:val="hy-AM"/>
              </w:rPr>
              <w:t xml:space="preserve"> </w:t>
            </w:r>
            <w:r w:rsidRPr="00F619A4">
              <w:rPr>
                <w:rFonts w:cs="Sylfaen"/>
                <w:lang w:val="hy-AM"/>
              </w:rPr>
              <w:t>ընդլայնումը</w:t>
            </w:r>
            <w:r w:rsidRPr="00F619A4">
              <w:rPr>
                <w:lang w:val="hy-AM"/>
              </w:rPr>
              <w:t xml:space="preserve"> (</w:t>
            </w:r>
            <w:r w:rsidRPr="00F619A4">
              <w:rPr>
                <w:rFonts w:cs="Sylfaen"/>
                <w:lang w:val="hy-AM"/>
              </w:rPr>
              <w:t>եկամուտ</w:t>
            </w:r>
            <w:r w:rsidRPr="00F619A4">
              <w:rPr>
                <w:lang w:val="hy-AM"/>
              </w:rPr>
              <w:t xml:space="preserve"> </w:t>
            </w:r>
            <w:r w:rsidRPr="00F619A4">
              <w:rPr>
                <w:rFonts w:cs="Sylfaen"/>
                <w:lang w:val="hy-AM"/>
              </w:rPr>
              <w:t>վճարողների</w:t>
            </w:r>
            <w:r w:rsidRPr="00F619A4">
              <w:rPr>
                <w:lang w:val="hy-AM"/>
              </w:rPr>
              <w:t xml:space="preserve"> </w:t>
            </w:r>
            <w:r w:rsidRPr="00F619A4">
              <w:rPr>
                <w:rFonts w:cs="Sylfaen"/>
                <w:lang w:val="hy-AM"/>
              </w:rPr>
              <w:t>անունները</w:t>
            </w:r>
            <w:r w:rsidRPr="00F619A4">
              <w:rPr>
                <w:lang w:val="hy-AM"/>
              </w:rPr>
              <w:t xml:space="preserve"> (</w:t>
            </w:r>
            <w:r w:rsidRPr="00F619A4">
              <w:rPr>
                <w:rFonts w:cs="Sylfaen"/>
                <w:lang w:val="hy-AM"/>
              </w:rPr>
              <w:t>անվանումները</w:t>
            </w:r>
            <w:r w:rsidRPr="00F619A4">
              <w:rPr>
                <w:lang w:val="hy-AM"/>
              </w:rPr>
              <w:t xml:space="preserve">), </w:t>
            </w:r>
            <w:r w:rsidRPr="00F619A4">
              <w:rPr>
                <w:rFonts w:cs="Sylfaen"/>
                <w:lang w:val="hy-AM"/>
              </w:rPr>
              <w:t>գույքի</w:t>
            </w:r>
            <w:r w:rsidRPr="00F619A4">
              <w:rPr>
                <w:lang w:val="hy-AM"/>
              </w:rPr>
              <w:t xml:space="preserve"> </w:t>
            </w:r>
            <w:r w:rsidRPr="00F619A4">
              <w:rPr>
                <w:rFonts w:cs="Sylfaen"/>
                <w:lang w:val="hy-AM"/>
              </w:rPr>
              <w:t>գտնվելու</w:t>
            </w:r>
            <w:r w:rsidRPr="00F619A4">
              <w:rPr>
                <w:lang w:val="hy-AM"/>
              </w:rPr>
              <w:t xml:space="preserve"> </w:t>
            </w:r>
            <w:r w:rsidRPr="00F619A4">
              <w:rPr>
                <w:rFonts w:cs="Sylfaen"/>
                <w:lang w:val="hy-AM"/>
              </w:rPr>
              <w:t>երկիրը</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այլն</w:t>
            </w:r>
            <w:r w:rsidRPr="00F619A4">
              <w:rPr>
                <w:lang w:val="hy-AM"/>
              </w:rPr>
              <w:t>)</w:t>
            </w:r>
            <w:r w:rsidRPr="00F619A4">
              <w:rPr>
                <w:rFonts w:cs="Sylfaen"/>
                <w:lang w:val="hy-AM"/>
              </w:rPr>
              <w:t>՝</w:t>
            </w:r>
            <w:r w:rsidRPr="00F619A4">
              <w:rPr>
                <w:lang w:val="hy-AM"/>
              </w:rPr>
              <w:t xml:space="preserve"> </w:t>
            </w:r>
            <w:r w:rsidRPr="00F619A4">
              <w:rPr>
                <w:rFonts w:cs="Sylfaen"/>
                <w:lang w:val="hy-AM"/>
              </w:rPr>
              <w:t>ապահովելով</w:t>
            </w:r>
            <w:r w:rsidRPr="00F619A4">
              <w:rPr>
                <w:lang w:val="hy-AM"/>
              </w:rPr>
              <w:t xml:space="preserve"> </w:t>
            </w:r>
            <w:r w:rsidRPr="00F619A4">
              <w:rPr>
                <w:rFonts w:cs="Sylfaen"/>
                <w:lang w:val="hy-AM"/>
              </w:rPr>
              <w:t>կոռուպցիայի</w:t>
            </w:r>
            <w:r w:rsidRPr="00F619A4">
              <w:rPr>
                <w:lang w:val="hy-AM"/>
              </w:rPr>
              <w:t xml:space="preserve"> </w:t>
            </w:r>
            <w:r w:rsidRPr="00F619A4">
              <w:rPr>
                <w:rFonts w:cs="Sylfaen"/>
                <w:lang w:val="hy-AM"/>
              </w:rPr>
              <w:t>կանխարգելման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բացահայտման</w:t>
            </w:r>
            <w:r w:rsidRPr="00F619A4">
              <w:rPr>
                <w:lang w:val="hy-AM"/>
              </w:rPr>
              <w:t xml:space="preserve"> </w:t>
            </w:r>
            <w:r w:rsidRPr="00F619A4">
              <w:rPr>
                <w:rFonts w:cs="Sylfaen"/>
                <w:lang w:val="hy-AM"/>
              </w:rPr>
              <w:t>արդյունավետությունը</w:t>
            </w:r>
            <w:r w:rsidRPr="00F619A4">
              <w:rPr>
                <w:lang w:val="hy-AM"/>
              </w:rPr>
              <w:t xml:space="preserve">. </w:t>
            </w:r>
          </w:p>
          <w:p w:rsidR="001F6D5D" w:rsidRPr="00F619A4" w:rsidRDefault="001F6D5D" w:rsidP="00277183">
            <w:pPr>
              <w:ind w:firstLine="375"/>
              <w:jc w:val="both"/>
              <w:rPr>
                <w:lang w:val="hy-AM"/>
              </w:rPr>
            </w:pPr>
            <w:r w:rsidRPr="00F619A4">
              <w:rPr>
                <w:lang w:val="hy-AM"/>
              </w:rPr>
              <w:t xml:space="preserve">Հաշվի առնելով վերոգրյալի վերաբերյալ ՀՀ կառավարության որդեգրած քաղաքականությունը՝ անհրաժեշտ է համապատասխան փոփոխություններ և լրացումներ կատարել «Հանրային ծառայության մասին» ՀՀ օրենքում:  </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ind w:firstLine="375"/>
              <w:jc w:val="both"/>
              <w:rPr>
                <w:color w:val="000000"/>
                <w:shd w:val="clear" w:color="auto" w:fill="FFFFFF"/>
                <w:lang w:val="hy-AM"/>
              </w:rPr>
            </w:pPr>
            <w:r w:rsidRPr="00F619A4">
              <w:rPr>
                <w:lang w:val="hy-AM"/>
              </w:rPr>
              <w:t xml:space="preserve">Գործնականում պաշտոնատար անձանց գույքի և եկամուտների վերաբերյալ ներկայացված հայտարարագրերի ուսումնասիրության ընթացքում ծագում են մի շարք խնդիրներ, որոնք վերաբերում են </w:t>
            </w:r>
            <w:r w:rsidRPr="00F619A4">
              <w:rPr>
                <w:color w:val="000000"/>
                <w:shd w:val="clear" w:color="auto" w:fill="FFFFFF"/>
                <w:lang w:val="hy-AM"/>
              </w:rPr>
              <w:t>ցանկացած երկրի տարածքում գտնվող բանկից և ֆինանսական կազմակերպությունից պաշտոնատար անձանց անունով հաշվեհամարների առկայության, ստեղծման օրից դրանց շարժի և մնացորդի, ինչպես նաև նրանց անունով շարժական, անշարժ գույքի և արժեթղթերի առկայության ստուգմանը: Խնդիրներն ավելի ցայտուն են արտահայտվում, երբ տվյալների ստուգման ընթացքում անհրաժեշտություն է առաջանում այլ երկրից ձեռք բերել բանկային գաղտնիք կազմող տեղեկատվություն:</w:t>
            </w:r>
          </w:p>
          <w:p w:rsidR="001F6D5D" w:rsidRPr="00F619A4" w:rsidRDefault="001F6D5D" w:rsidP="00277183">
            <w:pPr>
              <w:ind w:firstLine="375"/>
              <w:jc w:val="both"/>
              <w:rPr>
                <w:color w:val="000000"/>
                <w:shd w:val="clear" w:color="auto" w:fill="FFFFFF"/>
                <w:lang w:val="hy-AM"/>
              </w:rPr>
            </w:pPr>
            <w:r w:rsidRPr="00F619A4">
              <w:rPr>
                <w:color w:val="000000"/>
                <w:shd w:val="clear" w:color="auto" w:fill="FFFFFF"/>
                <w:lang w:val="hy-AM"/>
              </w:rPr>
              <w:t>Այս համատեքստում հարկ է շեշտադրել այն հանգամանքը, որ ներկայումս ՀՀ օրենսդրությունը չի նախատեսում այնպիսի կառուցակարգ, որի միջոցով ՀՀ պետական պաշտոնի հավակնող և պաշտոն զբաղեցնող անձինք համապատասխան լիազոր մարմնին նոտարական կարգով կլիազորեն աշխարհի ցանկացած բանկում և ֆինանսական կազմակերպությունում, ցանկացած երկրի տարածքում իրենց անունից փնտրել և ստանալ տեղեկություններ իրենց անունով հաշվեհամարների առկայության, ստեղծման օրից դրանց շարժի և մնացորդի, ինչպես նաև իրենց անունով շարժական, անշարժ գույքի և արժեթղթերի առկայության մասին: Արդյունքում՝ նվազում է գույքի և եկամուտների հայտարարագրերի վերլուծության արդյունավետությունը և դրա արդյունքում կոռուպցիոն դեպքերի բացահայտման հավանականությունը:</w:t>
            </w:r>
          </w:p>
          <w:p w:rsidR="001F6D5D" w:rsidRPr="00F619A4" w:rsidRDefault="001F6D5D" w:rsidP="00277183">
            <w:pPr>
              <w:ind w:firstLine="375"/>
              <w:jc w:val="both"/>
              <w:rPr>
                <w:lang w:val="hy-AM"/>
              </w:rPr>
            </w:pPr>
            <w:r w:rsidRPr="00F619A4">
              <w:rPr>
                <w:lang w:val="hy-AM"/>
              </w:rPr>
              <w:t xml:space="preserve">Միաժամանակ, գույքի և եկամուտների հայտարարագրերի վերլուծությունից զատ՝ առկա է նաև նշված հայտարարագրերի նկատմամբ </w:t>
            </w:r>
            <w:r w:rsidRPr="00F619A4">
              <w:rPr>
                <w:rFonts w:cs="Sylfaen"/>
                <w:lang w:val="hy-AM"/>
              </w:rPr>
              <w:t>իրական</w:t>
            </w:r>
            <w:r w:rsidRPr="00F619A4">
              <w:rPr>
                <w:lang w:val="hy-AM"/>
              </w:rPr>
              <w:t xml:space="preserve"> </w:t>
            </w:r>
            <w:r w:rsidRPr="00F619A4">
              <w:rPr>
                <w:rFonts w:cs="Sylfaen"/>
                <w:lang w:val="hy-AM"/>
              </w:rPr>
              <w:t>հանրային</w:t>
            </w:r>
            <w:r w:rsidRPr="00F619A4">
              <w:rPr>
                <w:lang w:val="hy-AM"/>
              </w:rPr>
              <w:t xml:space="preserve"> </w:t>
            </w:r>
            <w:r w:rsidRPr="00F619A4">
              <w:rPr>
                <w:rFonts w:cs="Sylfaen"/>
                <w:lang w:val="hy-AM"/>
              </w:rPr>
              <w:t>վերահսկողության</w:t>
            </w:r>
            <w:r w:rsidRPr="00F619A4">
              <w:rPr>
                <w:lang w:val="hy-AM"/>
              </w:rPr>
              <w:t xml:space="preserve"> </w:t>
            </w:r>
            <w:r w:rsidRPr="00F619A4">
              <w:rPr>
                <w:rFonts w:cs="Sylfaen"/>
                <w:lang w:val="hy-AM"/>
              </w:rPr>
              <w:t>իրականացման</w:t>
            </w:r>
            <w:r w:rsidRPr="00F619A4">
              <w:rPr>
                <w:lang w:val="hy-AM"/>
              </w:rPr>
              <w:t xml:space="preserve"> </w:t>
            </w:r>
            <w:r w:rsidRPr="00F619A4">
              <w:rPr>
                <w:rFonts w:cs="Sylfaen"/>
                <w:lang w:val="hy-AM"/>
              </w:rPr>
              <w:t>համար</w:t>
            </w:r>
            <w:r w:rsidRPr="00F619A4">
              <w:rPr>
                <w:lang w:val="hy-AM"/>
              </w:rPr>
              <w:t xml:space="preserve"> </w:t>
            </w:r>
            <w:r w:rsidRPr="00F619A4">
              <w:rPr>
                <w:rFonts w:cs="Sylfaen"/>
                <w:lang w:val="hy-AM"/>
              </w:rPr>
              <w:t>համարժեք</w:t>
            </w:r>
            <w:r w:rsidRPr="00F619A4">
              <w:rPr>
                <w:lang w:val="hy-AM"/>
              </w:rPr>
              <w:t xml:space="preserve"> </w:t>
            </w:r>
            <w:r w:rsidRPr="00F619A4">
              <w:rPr>
                <w:rFonts w:cs="Sylfaen"/>
                <w:lang w:val="hy-AM"/>
              </w:rPr>
              <w:t>թափանցիկության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հաշվետվողականության</w:t>
            </w:r>
            <w:r w:rsidRPr="00F619A4">
              <w:rPr>
                <w:lang w:val="hy-AM"/>
              </w:rPr>
              <w:t xml:space="preserve"> </w:t>
            </w:r>
            <w:r w:rsidRPr="00F619A4">
              <w:rPr>
                <w:rFonts w:cs="Sylfaen"/>
                <w:lang w:val="hy-AM"/>
              </w:rPr>
              <w:t>մեխանիզմների բացակայության խնդիրը: Այս առումով հարկ է նշել, որ գույքի և եկամուտների հայտարարագրերը հրապարակվում են ոչ ամբողջական ծավալով, ինչի արդյունքում հանրային վերահսկողության առարկայից կարող են դուրս մնալ այնպիսի տվյալներ, ինչպիսին են եկամուտ</w:t>
            </w:r>
            <w:r w:rsidRPr="00F619A4">
              <w:rPr>
                <w:lang w:val="hy-AM"/>
              </w:rPr>
              <w:t xml:space="preserve"> </w:t>
            </w:r>
            <w:r w:rsidRPr="00F619A4">
              <w:rPr>
                <w:rFonts w:cs="Sylfaen"/>
                <w:lang w:val="hy-AM"/>
              </w:rPr>
              <w:t>վճարողների</w:t>
            </w:r>
            <w:r w:rsidRPr="00F619A4">
              <w:rPr>
                <w:lang w:val="hy-AM"/>
              </w:rPr>
              <w:t xml:space="preserve"> </w:t>
            </w:r>
            <w:r w:rsidRPr="00F619A4">
              <w:rPr>
                <w:rFonts w:cs="Sylfaen"/>
                <w:lang w:val="hy-AM"/>
              </w:rPr>
              <w:t>անունները</w:t>
            </w:r>
            <w:r w:rsidRPr="00F619A4">
              <w:rPr>
                <w:lang w:val="hy-AM"/>
              </w:rPr>
              <w:t xml:space="preserve"> (</w:t>
            </w:r>
            <w:r w:rsidRPr="00F619A4">
              <w:rPr>
                <w:rFonts w:cs="Sylfaen"/>
                <w:lang w:val="hy-AM"/>
              </w:rPr>
              <w:t>անվանումները</w:t>
            </w:r>
            <w:r w:rsidRPr="00F619A4">
              <w:rPr>
                <w:lang w:val="hy-AM"/>
              </w:rPr>
              <w:t xml:space="preserve">), </w:t>
            </w:r>
            <w:r w:rsidRPr="00F619A4">
              <w:rPr>
                <w:rFonts w:cs="Sylfaen"/>
                <w:lang w:val="hy-AM"/>
              </w:rPr>
              <w:t>գույքի</w:t>
            </w:r>
            <w:r w:rsidRPr="00F619A4">
              <w:rPr>
                <w:lang w:val="hy-AM"/>
              </w:rPr>
              <w:t xml:space="preserve"> </w:t>
            </w:r>
            <w:r w:rsidRPr="00F619A4">
              <w:rPr>
                <w:rFonts w:cs="Sylfaen"/>
                <w:lang w:val="hy-AM"/>
              </w:rPr>
              <w:t>գտնվելու</w:t>
            </w:r>
            <w:r w:rsidRPr="00F619A4">
              <w:rPr>
                <w:lang w:val="hy-AM"/>
              </w:rPr>
              <w:t xml:space="preserve"> </w:t>
            </w:r>
            <w:r w:rsidRPr="00F619A4">
              <w:rPr>
                <w:rFonts w:cs="Sylfaen"/>
                <w:lang w:val="hy-AM"/>
              </w:rPr>
              <w:t>երկիրը</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այլն:</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ind w:firstLine="375"/>
              <w:jc w:val="both"/>
              <w:rPr>
                <w:lang w:val="hy-AM"/>
              </w:rPr>
            </w:pPr>
            <w:r w:rsidRPr="00F619A4">
              <w:rPr>
                <w:lang w:val="hy-AM"/>
              </w:rPr>
              <w:t>Հաշվի առնելով վերոգրյալը՝ անհրաժեշտ է մշակել և ՀՀ կառավարության քննարկմանը ներկայացնել «Հանրային ծառայության մասին» Հայաստանի Հանրապետություն օրենքում փոփոխություններ և լրացումներ կատարելու մասին» ՀՀ օրենքի նախագիծը, որով՝</w:t>
            </w:r>
          </w:p>
          <w:p w:rsidR="001F6D5D" w:rsidRPr="00F619A4" w:rsidRDefault="001F6D5D" w:rsidP="00277183">
            <w:pPr>
              <w:ind w:firstLine="375"/>
              <w:jc w:val="both"/>
              <w:rPr>
                <w:color w:val="000000"/>
                <w:shd w:val="clear" w:color="auto" w:fill="FFFFFF"/>
                <w:lang w:val="hy-AM"/>
              </w:rPr>
            </w:pPr>
            <w:r w:rsidRPr="00F619A4">
              <w:rPr>
                <w:lang w:val="hy-AM"/>
              </w:rPr>
              <w:t xml:space="preserve">1) </w:t>
            </w:r>
            <w:r w:rsidRPr="00F619A4">
              <w:rPr>
                <w:rFonts w:cs="Sylfaen"/>
                <w:color w:val="000000"/>
                <w:shd w:val="clear" w:color="auto" w:fill="FFFFFF"/>
                <w:lang w:val="hy-AM"/>
              </w:rPr>
              <w:t>կսահմանվեն</w:t>
            </w:r>
            <w:r w:rsidRPr="00F619A4">
              <w:rPr>
                <w:color w:val="000000"/>
                <w:shd w:val="clear" w:color="auto" w:fill="FFFFFF"/>
                <w:lang w:val="hy-AM"/>
              </w:rPr>
              <w:t xml:space="preserve"> համապատասխան կարգավորումներ, որոնց համաձայն՝ Հայաստանի Հանրապետության պետական պաշտոնի հավակնող և պաշտոն զբաղեցնող անձինք համապատասխան լիազոր մարմնին նոտարական կարգով լիազորում են աշխարհի ցանկացած բանկում և ֆինանսական կազմակերպությունում, ցանկացած երկրի տարածքում իրենց անունից փնտրել և ստանալ տեղեկություններ իրենց անունով հաշվեհամարների առկայության, ստեղծման օրից դրանց շարժի և մնացորդի, ինչպես նաև իրենց անունով շարժական, անշարժ գույքի և արժեթղթերի առկայության մասին.</w:t>
            </w:r>
          </w:p>
          <w:p w:rsidR="001F6D5D" w:rsidRPr="00F619A4" w:rsidRDefault="001F6D5D" w:rsidP="00277183">
            <w:pPr>
              <w:ind w:firstLine="375"/>
              <w:jc w:val="both"/>
              <w:rPr>
                <w:color w:val="000000"/>
                <w:shd w:val="clear" w:color="auto" w:fill="FFFFFF"/>
                <w:lang w:val="hy-AM"/>
              </w:rPr>
            </w:pPr>
            <w:r w:rsidRPr="00F619A4">
              <w:rPr>
                <w:color w:val="000000"/>
                <w:shd w:val="clear" w:color="auto" w:fill="FFFFFF"/>
                <w:lang w:val="hy-AM"/>
              </w:rPr>
              <w:t>2) կընդլայնվի պաշտոնատար անձանց գույքի, եկամուտների և շահերի հայտարարագրերի՝ հրապարակման ենթակա տվյալների ցանկը: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pStyle w:val="ListParagraph"/>
              <w:ind w:left="90" w:firstLine="285"/>
              <w:jc w:val="both"/>
              <w:rPr>
                <w:lang w:val="hy-AM"/>
              </w:rPr>
            </w:pPr>
            <w:r w:rsidRPr="00F619A4">
              <w:rPr>
                <w:lang w:val="hy-AM"/>
              </w:rPr>
              <w:t>«Հանրային ծառայության մասին» Հայաստանի Հանրապետություն օրենքում փոփոխություններ և լրացումներ կատարելու մասին» ՀՀ օրենքի նախագծի ընդունման կսահմանվի պաշտոնատար անձանց գույքի և եկամուտների բացահայտմանն ուղղված նոր գործիքակազմ, ինչպես նաև կընդլայնվի պաշտոնատար անձանց գույքի, եկամուտների և շահերի հայտարարագրերում ներառված տվյալների հրապարակման ծավալը՝ ապահովելով այդպիսի տվյալների նկատմամբ իրական հանրային վերահսկողությունը:</w:t>
            </w:r>
          </w:p>
          <w:p w:rsidR="001F6D5D" w:rsidRPr="00F619A4" w:rsidRDefault="001F6D5D" w:rsidP="00277183">
            <w:pPr>
              <w:ind w:firstLine="375"/>
              <w:jc w:val="center"/>
              <w:rPr>
                <w:b/>
                <w:u w:val="single"/>
                <w:lang w:val="hy-AM"/>
              </w:rPr>
            </w:pPr>
            <w:r w:rsidRPr="00F619A4">
              <w:rPr>
                <w:b/>
                <w:u w:val="single"/>
                <w:lang w:val="hy-AM"/>
              </w:rPr>
              <w:t xml:space="preserve"> «Կոռուպցիայի  կանխարգելման հանձնաժողովի մասին» օրենքում փոփոխություններ և լրացումներ կատարելու մասին» օրենքի նախագիծը կառավարության քննարկմանը ներկայացնելը</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ind w:firstLine="375"/>
              <w:jc w:val="both"/>
              <w:rPr>
                <w:lang w:val="hy-AM"/>
              </w:rPr>
            </w:pPr>
            <w:r w:rsidRPr="00F619A4">
              <w:rPr>
                <w:noProof/>
                <w:lang w:val="hy-AM"/>
              </w:rPr>
              <w:t xml:space="preserve">2019 թվականի փետրվարի 14-ի ԱԺՕ-002-Ն որոշմամբ հավանության </w:t>
            </w:r>
            <w:r w:rsidRPr="00F619A4">
              <w:rPr>
                <w:rFonts w:eastAsia="Calibri" w:cs="Sylfaen"/>
                <w:lang w:val="hy-AM"/>
              </w:rPr>
              <w:t xml:space="preserve">արժանացած ՀՀ կառավարության ծրագրի «Պայքար կոռուպցիայի դեմ» վերտառությամբ 3-րդ բաժնի </w:t>
            </w:r>
            <w:r w:rsidRPr="00F619A4">
              <w:rPr>
                <w:lang w:val="hy-AM"/>
              </w:rPr>
              <w:t xml:space="preserve">«Հանրային ծառայության մեջ գտնվող անձանց գործունեության, գույքի և եկամուտների թափանցիկությունը» վերատառությամբ 3.1-րդ գլխի համաձայն՝ </w:t>
            </w:r>
            <w:r w:rsidRPr="00F619A4">
              <w:rPr>
                <w:rFonts w:cs="Sylfaen"/>
                <w:lang w:val="hy-AM"/>
              </w:rPr>
              <w:t>կոռուպցիայի</w:t>
            </w:r>
            <w:r w:rsidRPr="00F619A4">
              <w:rPr>
                <w:lang w:val="hy-AM"/>
              </w:rPr>
              <w:t xml:space="preserve"> </w:t>
            </w:r>
            <w:r w:rsidRPr="00F619A4">
              <w:rPr>
                <w:rFonts w:cs="Sylfaen"/>
                <w:lang w:val="hy-AM"/>
              </w:rPr>
              <w:t>կանխարգելման</w:t>
            </w:r>
            <w:r w:rsidRPr="00F619A4">
              <w:rPr>
                <w:lang w:val="hy-AM"/>
              </w:rPr>
              <w:t xml:space="preserve"> </w:t>
            </w:r>
            <w:r w:rsidRPr="00F619A4">
              <w:rPr>
                <w:rFonts w:cs="Sylfaen"/>
                <w:lang w:val="hy-AM"/>
              </w:rPr>
              <w:t>գործում</w:t>
            </w:r>
            <w:r w:rsidRPr="00F619A4">
              <w:rPr>
                <w:lang w:val="hy-AM"/>
              </w:rPr>
              <w:t xml:space="preserve"> </w:t>
            </w:r>
            <w:r w:rsidRPr="00F619A4">
              <w:rPr>
                <w:rFonts w:cs="Sylfaen"/>
                <w:lang w:val="hy-AM"/>
              </w:rPr>
              <w:t>կարևորագույն</w:t>
            </w:r>
            <w:r w:rsidRPr="00F619A4">
              <w:rPr>
                <w:lang w:val="hy-AM"/>
              </w:rPr>
              <w:t xml:space="preserve"> </w:t>
            </w:r>
            <w:r w:rsidRPr="00F619A4">
              <w:rPr>
                <w:rFonts w:cs="Sylfaen"/>
                <w:lang w:val="hy-AM"/>
              </w:rPr>
              <w:t>նշանակություն</w:t>
            </w:r>
            <w:r w:rsidRPr="00F619A4">
              <w:rPr>
                <w:lang w:val="hy-AM"/>
              </w:rPr>
              <w:t xml:space="preserve"> </w:t>
            </w:r>
            <w:r w:rsidRPr="00F619A4">
              <w:rPr>
                <w:rFonts w:cs="Sylfaen"/>
                <w:lang w:val="hy-AM"/>
              </w:rPr>
              <w:t>ունի</w:t>
            </w:r>
            <w:r w:rsidRPr="00F619A4">
              <w:rPr>
                <w:lang w:val="hy-AM"/>
              </w:rPr>
              <w:t xml:space="preserve"> </w:t>
            </w:r>
            <w:r w:rsidRPr="00F619A4">
              <w:rPr>
                <w:rFonts w:cs="Sylfaen"/>
                <w:lang w:val="hy-AM"/>
              </w:rPr>
              <w:t>պետության</w:t>
            </w:r>
            <w:r w:rsidRPr="00F619A4">
              <w:rPr>
                <w:lang w:val="hy-AM"/>
              </w:rPr>
              <w:t xml:space="preserve"> </w:t>
            </w:r>
            <w:r w:rsidRPr="00F619A4">
              <w:rPr>
                <w:rFonts w:cs="Sylfaen"/>
                <w:lang w:val="hy-AM"/>
              </w:rPr>
              <w:t>առաջին</w:t>
            </w:r>
            <w:r w:rsidRPr="00F619A4">
              <w:rPr>
                <w:lang w:val="hy-AM"/>
              </w:rPr>
              <w:t xml:space="preserve"> </w:t>
            </w:r>
            <w:r w:rsidRPr="00F619A4">
              <w:rPr>
                <w:rFonts w:cs="Sylfaen"/>
                <w:lang w:val="hy-AM"/>
              </w:rPr>
              <w:t>դեմքերի</w:t>
            </w:r>
            <w:r w:rsidRPr="00F619A4">
              <w:rPr>
                <w:lang w:val="hy-AM"/>
              </w:rPr>
              <w:t>, «</w:t>
            </w:r>
            <w:r w:rsidRPr="00F619A4">
              <w:rPr>
                <w:rFonts w:cs="Sylfaen"/>
                <w:lang w:val="hy-AM"/>
              </w:rPr>
              <w:t>Հանրային</w:t>
            </w:r>
            <w:r w:rsidRPr="00F619A4">
              <w:rPr>
                <w:lang w:val="hy-AM"/>
              </w:rPr>
              <w:t xml:space="preserve"> </w:t>
            </w:r>
            <w:r w:rsidRPr="00F619A4">
              <w:rPr>
                <w:rFonts w:cs="Sylfaen"/>
                <w:lang w:val="hy-AM"/>
              </w:rPr>
              <w:t>ծառայության</w:t>
            </w:r>
            <w:r w:rsidRPr="00F619A4">
              <w:rPr>
                <w:lang w:val="hy-AM"/>
              </w:rPr>
              <w:t xml:space="preserve"> </w:t>
            </w:r>
            <w:r w:rsidRPr="00F619A4">
              <w:rPr>
                <w:rFonts w:cs="Sylfaen"/>
                <w:lang w:val="hy-AM"/>
              </w:rPr>
              <w:t>մասին</w:t>
            </w:r>
            <w:r w:rsidRPr="00F619A4">
              <w:rPr>
                <w:lang w:val="hy-AM"/>
              </w:rPr>
              <w:t xml:space="preserve">» </w:t>
            </w:r>
            <w:r w:rsidRPr="00F619A4">
              <w:rPr>
                <w:rFonts w:cs="Sylfaen"/>
                <w:lang w:val="hy-AM"/>
              </w:rPr>
              <w:t>Հայաստանի</w:t>
            </w:r>
            <w:r w:rsidRPr="00F619A4">
              <w:rPr>
                <w:lang w:val="hy-AM"/>
              </w:rPr>
              <w:t xml:space="preserve"> </w:t>
            </w:r>
            <w:r w:rsidRPr="00F619A4">
              <w:rPr>
                <w:rFonts w:cs="Sylfaen"/>
                <w:lang w:val="hy-AM"/>
              </w:rPr>
              <w:t>Հանրապետության</w:t>
            </w:r>
            <w:r w:rsidRPr="00F619A4">
              <w:rPr>
                <w:lang w:val="hy-AM"/>
              </w:rPr>
              <w:t xml:space="preserve"> </w:t>
            </w:r>
            <w:r w:rsidRPr="00F619A4">
              <w:rPr>
                <w:rFonts w:cs="Sylfaen"/>
                <w:lang w:val="hy-AM"/>
              </w:rPr>
              <w:t>օրենքով</w:t>
            </w:r>
            <w:r w:rsidRPr="00F619A4">
              <w:rPr>
                <w:lang w:val="hy-AM"/>
              </w:rPr>
              <w:t xml:space="preserve"> </w:t>
            </w:r>
            <w:r w:rsidRPr="00F619A4">
              <w:rPr>
                <w:rFonts w:cs="Sylfaen"/>
                <w:lang w:val="hy-AM"/>
              </w:rPr>
              <w:t>սահմանված</w:t>
            </w:r>
            <w:r w:rsidRPr="00F619A4">
              <w:rPr>
                <w:lang w:val="hy-AM"/>
              </w:rPr>
              <w:t xml:space="preserve"> </w:t>
            </w:r>
            <w:r w:rsidRPr="00F619A4">
              <w:rPr>
                <w:rFonts w:cs="Sylfaen"/>
                <w:lang w:val="hy-AM"/>
              </w:rPr>
              <w:t>հանրային</w:t>
            </w:r>
            <w:r w:rsidRPr="00F619A4">
              <w:rPr>
                <w:lang w:val="hy-AM"/>
              </w:rPr>
              <w:t xml:space="preserve"> </w:t>
            </w:r>
            <w:r w:rsidRPr="00F619A4">
              <w:rPr>
                <w:rFonts w:cs="Sylfaen"/>
                <w:lang w:val="hy-AM"/>
              </w:rPr>
              <w:t>ծառայության</w:t>
            </w:r>
            <w:r w:rsidRPr="00F619A4">
              <w:rPr>
                <w:lang w:val="hy-AM"/>
              </w:rPr>
              <w:t xml:space="preserve"> </w:t>
            </w:r>
            <w:r w:rsidRPr="00F619A4">
              <w:rPr>
                <w:rFonts w:cs="Sylfaen"/>
                <w:lang w:val="hy-AM"/>
              </w:rPr>
              <w:t>մեջ</w:t>
            </w:r>
            <w:r w:rsidRPr="00F619A4">
              <w:rPr>
                <w:lang w:val="hy-AM"/>
              </w:rPr>
              <w:t xml:space="preserve"> </w:t>
            </w:r>
            <w:r w:rsidRPr="00F619A4">
              <w:rPr>
                <w:rFonts w:cs="Sylfaen"/>
                <w:lang w:val="hy-AM"/>
              </w:rPr>
              <w:t>գտնվող</w:t>
            </w:r>
            <w:r w:rsidRPr="00F619A4">
              <w:rPr>
                <w:lang w:val="hy-AM"/>
              </w:rPr>
              <w:t xml:space="preserve"> </w:t>
            </w:r>
            <w:r w:rsidRPr="00F619A4">
              <w:rPr>
                <w:rFonts w:cs="Sylfaen"/>
                <w:lang w:val="hy-AM"/>
              </w:rPr>
              <w:t>բոլոր</w:t>
            </w:r>
            <w:r w:rsidRPr="00F619A4">
              <w:rPr>
                <w:lang w:val="hy-AM"/>
              </w:rPr>
              <w:t xml:space="preserve"> </w:t>
            </w:r>
            <w:r w:rsidRPr="00F619A4">
              <w:rPr>
                <w:rFonts w:cs="Sylfaen"/>
                <w:lang w:val="hy-AM"/>
              </w:rPr>
              <w:t>անձանց</w:t>
            </w:r>
            <w:r w:rsidRPr="00F619A4">
              <w:rPr>
                <w:lang w:val="hy-AM"/>
              </w:rPr>
              <w:t xml:space="preserve">, </w:t>
            </w:r>
            <w:r w:rsidRPr="00F619A4">
              <w:rPr>
                <w:rFonts w:cs="Sylfaen"/>
                <w:lang w:val="hy-AM"/>
              </w:rPr>
              <w:t>նրանց</w:t>
            </w:r>
            <w:r w:rsidRPr="00F619A4">
              <w:rPr>
                <w:lang w:val="hy-AM"/>
              </w:rPr>
              <w:t xml:space="preserve"> </w:t>
            </w:r>
            <w:r w:rsidRPr="00F619A4">
              <w:rPr>
                <w:rFonts w:cs="Sylfaen"/>
                <w:lang w:val="hy-AM"/>
              </w:rPr>
              <w:t>ընտանիքի</w:t>
            </w:r>
            <w:r w:rsidRPr="00F619A4">
              <w:rPr>
                <w:lang w:val="hy-AM"/>
              </w:rPr>
              <w:t xml:space="preserve"> </w:t>
            </w:r>
            <w:r w:rsidRPr="00F619A4">
              <w:rPr>
                <w:rFonts w:cs="Sylfaen"/>
                <w:lang w:val="hy-AM"/>
              </w:rPr>
              <w:t>անդամների</w:t>
            </w:r>
            <w:r w:rsidRPr="00F619A4">
              <w:rPr>
                <w:lang w:val="hy-AM"/>
              </w:rPr>
              <w:t xml:space="preserve">, </w:t>
            </w:r>
            <w:r w:rsidRPr="00F619A4">
              <w:rPr>
                <w:rFonts w:cs="Sylfaen"/>
                <w:lang w:val="hy-AM"/>
              </w:rPr>
              <w:t>մերձավոր</w:t>
            </w:r>
            <w:r w:rsidRPr="00F619A4">
              <w:rPr>
                <w:lang w:val="hy-AM"/>
              </w:rPr>
              <w:t xml:space="preserve"> </w:t>
            </w:r>
            <w:r w:rsidRPr="00F619A4">
              <w:rPr>
                <w:rFonts w:cs="Sylfaen"/>
                <w:lang w:val="hy-AM"/>
              </w:rPr>
              <w:t>ազգականների</w:t>
            </w:r>
            <w:r w:rsidRPr="00F619A4">
              <w:rPr>
                <w:lang w:val="hy-AM"/>
              </w:rPr>
              <w:t xml:space="preserve"> </w:t>
            </w:r>
            <w:r w:rsidRPr="00F619A4">
              <w:rPr>
                <w:rFonts w:cs="Sylfaen"/>
                <w:lang w:val="hy-AM"/>
              </w:rPr>
              <w:t>գործունեության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ունեցվածքի</w:t>
            </w:r>
            <w:r w:rsidRPr="00F619A4">
              <w:rPr>
                <w:lang w:val="hy-AM"/>
              </w:rPr>
              <w:t xml:space="preserve"> </w:t>
            </w:r>
            <w:r w:rsidRPr="00F619A4">
              <w:rPr>
                <w:rFonts w:cs="Sylfaen"/>
                <w:lang w:val="hy-AM"/>
              </w:rPr>
              <w:t>նկատմամբ</w:t>
            </w:r>
            <w:r w:rsidRPr="00F619A4">
              <w:rPr>
                <w:lang w:val="hy-AM"/>
              </w:rPr>
              <w:t xml:space="preserve"> </w:t>
            </w:r>
            <w:r w:rsidRPr="00F619A4">
              <w:rPr>
                <w:rFonts w:cs="Sylfaen"/>
                <w:lang w:val="hy-AM"/>
              </w:rPr>
              <w:t>իրական</w:t>
            </w:r>
            <w:r w:rsidRPr="00F619A4">
              <w:rPr>
                <w:lang w:val="hy-AM"/>
              </w:rPr>
              <w:t xml:space="preserve"> </w:t>
            </w:r>
            <w:r w:rsidRPr="00F619A4">
              <w:rPr>
                <w:rFonts w:cs="Sylfaen"/>
                <w:lang w:val="hy-AM"/>
              </w:rPr>
              <w:t>հանրային</w:t>
            </w:r>
            <w:r w:rsidRPr="00F619A4">
              <w:rPr>
                <w:lang w:val="hy-AM"/>
              </w:rPr>
              <w:t xml:space="preserve"> </w:t>
            </w:r>
            <w:r w:rsidRPr="00F619A4">
              <w:rPr>
                <w:rFonts w:cs="Sylfaen"/>
                <w:lang w:val="hy-AM"/>
              </w:rPr>
              <w:t>վերահսկողության</w:t>
            </w:r>
            <w:r w:rsidRPr="00F619A4">
              <w:rPr>
                <w:lang w:val="hy-AM"/>
              </w:rPr>
              <w:t xml:space="preserve"> </w:t>
            </w:r>
            <w:r w:rsidRPr="00F619A4">
              <w:rPr>
                <w:rFonts w:cs="Sylfaen"/>
                <w:lang w:val="hy-AM"/>
              </w:rPr>
              <w:t>իրականացման</w:t>
            </w:r>
            <w:r w:rsidRPr="00F619A4">
              <w:rPr>
                <w:lang w:val="hy-AM"/>
              </w:rPr>
              <w:t xml:space="preserve"> </w:t>
            </w:r>
            <w:r w:rsidRPr="00F619A4">
              <w:rPr>
                <w:rFonts w:cs="Sylfaen"/>
                <w:lang w:val="hy-AM"/>
              </w:rPr>
              <w:t>համար</w:t>
            </w:r>
            <w:r w:rsidRPr="00F619A4">
              <w:rPr>
                <w:lang w:val="hy-AM"/>
              </w:rPr>
              <w:t xml:space="preserve"> </w:t>
            </w:r>
            <w:r w:rsidRPr="00F619A4">
              <w:rPr>
                <w:rFonts w:cs="Sylfaen"/>
                <w:lang w:val="hy-AM"/>
              </w:rPr>
              <w:t>համարժեք</w:t>
            </w:r>
            <w:r w:rsidRPr="00F619A4">
              <w:rPr>
                <w:lang w:val="hy-AM"/>
              </w:rPr>
              <w:t xml:space="preserve"> </w:t>
            </w:r>
            <w:r w:rsidRPr="00F619A4">
              <w:rPr>
                <w:rFonts w:cs="Sylfaen"/>
                <w:lang w:val="hy-AM"/>
              </w:rPr>
              <w:t>թափանցիկության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հաշվետվողականության</w:t>
            </w:r>
            <w:r w:rsidRPr="00F619A4">
              <w:rPr>
                <w:lang w:val="hy-AM"/>
              </w:rPr>
              <w:t xml:space="preserve"> </w:t>
            </w:r>
            <w:r w:rsidRPr="00F619A4">
              <w:rPr>
                <w:rFonts w:cs="Sylfaen"/>
                <w:lang w:val="hy-AM"/>
              </w:rPr>
              <w:t>մեխանիզմների</w:t>
            </w:r>
            <w:r w:rsidRPr="00F619A4">
              <w:rPr>
                <w:lang w:val="hy-AM"/>
              </w:rPr>
              <w:t xml:space="preserve"> </w:t>
            </w:r>
            <w:r w:rsidRPr="00F619A4">
              <w:rPr>
                <w:rFonts w:cs="Sylfaen"/>
                <w:lang w:val="hy-AM"/>
              </w:rPr>
              <w:t>ստեղծումը։</w:t>
            </w:r>
            <w:r w:rsidRPr="00F619A4">
              <w:rPr>
                <w:lang w:val="hy-AM"/>
              </w:rPr>
              <w:t xml:space="preserve"> </w:t>
            </w:r>
          </w:p>
          <w:p w:rsidR="001F6D5D" w:rsidRPr="00F619A4" w:rsidRDefault="001F6D5D" w:rsidP="00277183">
            <w:pPr>
              <w:ind w:firstLine="375"/>
              <w:jc w:val="both"/>
              <w:rPr>
                <w:lang w:val="hy-AM"/>
              </w:rPr>
            </w:pPr>
            <w:r w:rsidRPr="00F619A4">
              <w:rPr>
                <w:rFonts w:cs="Sylfaen"/>
                <w:lang w:val="hy-AM"/>
              </w:rPr>
              <w:t>Նրանց</w:t>
            </w:r>
            <w:r w:rsidRPr="00F619A4">
              <w:rPr>
                <w:lang w:val="hy-AM"/>
              </w:rPr>
              <w:t xml:space="preserve"> </w:t>
            </w:r>
            <w:r w:rsidRPr="00F619A4">
              <w:rPr>
                <w:rFonts w:cs="Sylfaen"/>
                <w:lang w:val="hy-AM"/>
              </w:rPr>
              <w:t>կոռուպցիոն</w:t>
            </w:r>
            <w:r w:rsidRPr="00F619A4">
              <w:rPr>
                <w:lang w:val="hy-AM"/>
              </w:rPr>
              <w:t xml:space="preserve"> </w:t>
            </w:r>
            <w:r w:rsidRPr="00F619A4">
              <w:rPr>
                <w:rFonts w:cs="Sylfaen"/>
                <w:lang w:val="hy-AM"/>
              </w:rPr>
              <w:t>ներգրավվածությունը</w:t>
            </w:r>
            <w:r w:rsidRPr="00F619A4">
              <w:rPr>
                <w:lang w:val="hy-AM"/>
              </w:rPr>
              <w:t xml:space="preserve"> </w:t>
            </w:r>
            <w:r w:rsidRPr="00F619A4">
              <w:rPr>
                <w:rFonts w:cs="Sylfaen"/>
                <w:lang w:val="hy-AM"/>
              </w:rPr>
              <w:t>բացառելու</w:t>
            </w:r>
            <w:r w:rsidRPr="00F619A4">
              <w:rPr>
                <w:lang w:val="hy-AM"/>
              </w:rPr>
              <w:t xml:space="preserve"> </w:t>
            </w:r>
            <w:r w:rsidRPr="00F619A4">
              <w:rPr>
                <w:rFonts w:cs="Sylfaen"/>
                <w:lang w:val="hy-AM"/>
              </w:rPr>
              <w:t>համար</w:t>
            </w:r>
            <w:r w:rsidRPr="00F619A4">
              <w:rPr>
                <w:lang w:val="hy-AM"/>
              </w:rPr>
              <w:t xml:space="preserve"> </w:t>
            </w:r>
            <w:r w:rsidRPr="00F619A4">
              <w:rPr>
                <w:rFonts w:cs="Sylfaen"/>
                <w:lang w:val="hy-AM"/>
              </w:rPr>
              <w:t>անհրաժեշտ</w:t>
            </w:r>
            <w:r w:rsidRPr="00F619A4">
              <w:rPr>
                <w:lang w:val="hy-AM"/>
              </w:rPr>
              <w:t xml:space="preserve"> </w:t>
            </w:r>
            <w:r w:rsidRPr="00F619A4">
              <w:rPr>
                <w:rFonts w:cs="Sylfaen"/>
                <w:lang w:val="hy-AM"/>
              </w:rPr>
              <w:t>է</w:t>
            </w:r>
            <w:r w:rsidRPr="00F619A4">
              <w:rPr>
                <w:lang w:val="hy-AM"/>
              </w:rPr>
              <w:t xml:space="preserve"> </w:t>
            </w:r>
            <w:r w:rsidRPr="00F619A4">
              <w:rPr>
                <w:rFonts w:cs="Sylfaen"/>
                <w:lang w:val="hy-AM"/>
              </w:rPr>
              <w:t>նաև</w:t>
            </w:r>
            <w:r w:rsidRPr="00F619A4">
              <w:rPr>
                <w:lang w:val="hy-AM"/>
              </w:rPr>
              <w:t xml:space="preserve"> </w:t>
            </w:r>
            <w:r w:rsidRPr="00F619A4">
              <w:rPr>
                <w:rFonts w:cs="Sylfaen"/>
                <w:lang w:val="hy-AM"/>
              </w:rPr>
              <w:t>իրականացնել</w:t>
            </w:r>
            <w:r w:rsidRPr="00F619A4">
              <w:rPr>
                <w:lang w:val="hy-AM"/>
              </w:rPr>
              <w:t xml:space="preserve"> </w:t>
            </w:r>
            <w:r w:rsidRPr="00F619A4">
              <w:rPr>
                <w:rFonts w:cs="Sylfaen"/>
                <w:lang w:val="hy-AM"/>
              </w:rPr>
              <w:t>որոշակի</w:t>
            </w:r>
            <w:r w:rsidRPr="00F619A4">
              <w:rPr>
                <w:lang w:val="hy-AM"/>
              </w:rPr>
              <w:t xml:space="preserve"> </w:t>
            </w:r>
            <w:r w:rsidRPr="00F619A4">
              <w:rPr>
                <w:rFonts w:cs="Sylfaen"/>
                <w:lang w:val="hy-AM"/>
              </w:rPr>
              <w:t>օրենսդրական</w:t>
            </w:r>
            <w:r w:rsidRPr="00F619A4">
              <w:rPr>
                <w:lang w:val="hy-AM"/>
              </w:rPr>
              <w:t xml:space="preserve"> </w:t>
            </w:r>
            <w:r w:rsidRPr="00F619A4">
              <w:rPr>
                <w:rFonts w:cs="Sylfaen"/>
                <w:lang w:val="hy-AM"/>
              </w:rPr>
              <w:t>նորամուծություններ</w:t>
            </w:r>
            <w:r w:rsidRPr="00F619A4">
              <w:rPr>
                <w:lang w:val="hy-AM"/>
              </w:rPr>
              <w:t xml:space="preserve">, </w:t>
            </w:r>
            <w:r w:rsidRPr="00F619A4">
              <w:rPr>
                <w:rFonts w:cs="Sylfaen"/>
                <w:lang w:val="hy-AM"/>
              </w:rPr>
              <w:t>որոնցից, ի թիվս այլնի,</w:t>
            </w:r>
            <w:r w:rsidRPr="00F619A4">
              <w:rPr>
                <w:lang w:val="hy-AM"/>
              </w:rPr>
              <w:t xml:space="preserve"> </w:t>
            </w:r>
            <w:r w:rsidRPr="00F619A4">
              <w:rPr>
                <w:rFonts w:cs="Sylfaen"/>
                <w:lang w:val="hy-AM"/>
              </w:rPr>
              <w:t>առանձնապես</w:t>
            </w:r>
            <w:r w:rsidRPr="00F619A4">
              <w:rPr>
                <w:lang w:val="hy-AM"/>
              </w:rPr>
              <w:t xml:space="preserve"> </w:t>
            </w:r>
            <w:r w:rsidRPr="00F619A4">
              <w:rPr>
                <w:rFonts w:cs="Sylfaen"/>
                <w:lang w:val="hy-AM"/>
              </w:rPr>
              <w:t>կարևորվում</w:t>
            </w:r>
            <w:r w:rsidRPr="00F619A4">
              <w:rPr>
                <w:lang w:val="hy-AM"/>
              </w:rPr>
              <w:t xml:space="preserve"> </w:t>
            </w:r>
            <w:r w:rsidRPr="00F619A4">
              <w:rPr>
                <w:rFonts w:cs="Sylfaen"/>
                <w:lang w:val="hy-AM"/>
              </w:rPr>
              <w:t>է այնպիսի</w:t>
            </w:r>
            <w:r w:rsidRPr="00F619A4">
              <w:rPr>
                <w:lang w:val="hy-AM"/>
              </w:rPr>
              <w:t xml:space="preserve"> </w:t>
            </w:r>
            <w:r w:rsidRPr="00F619A4">
              <w:rPr>
                <w:rFonts w:cs="Sylfaen"/>
                <w:lang w:val="hy-AM"/>
              </w:rPr>
              <w:t>նոր</w:t>
            </w:r>
            <w:r w:rsidRPr="00F619A4">
              <w:rPr>
                <w:lang w:val="hy-AM"/>
              </w:rPr>
              <w:t xml:space="preserve"> </w:t>
            </w:r>
            <w:r w:rsidRPr="00F619A4">
              <w:rPr>
                <w:rFonts w:cs="Sylfaen"/>
                <w:lang w:val="hy-AM"/>
              </w:rPr>
              <w:t>համակարգի</w:t>
            </w:r>
            <w:r w:rsidRPr="00F619A4">
              <w:rPr>
                <w:lang w:val="hy-AM"/>
              </w:rPr>
              <w:t xml:space="preserve"> </w:t>
            </w:r>
            <w:r w:rsidRPr="00F619A4">
              <w:rPr>
                <w:rFonts w:cs="Sylfaen"/>
                <w:lang w:val="hy-AM"/>
              </w:rPr>
              <w:t>ներդրումը</w:t>
            </w:r>
            <w:r w:rsidRPr="00F619A4">
              <w:rPr>
                <w:lang w:val="hy-AM"/>
              </w:rPr>
              <w:t xml:space="preserve">, </w:t>
            </w:r>
            <w:r w:rsidRPr="00F619A4">
              <w:rPr>
                <w:rFonts w:cs="Sylfaen"/>
                <w:lang w:val="hy-AM"/>
              </w:rPr>
              <w:t>որի</w:t>
            </w:r>
            <w:r w:rsidRPr="00F619A4">
              <w:rPr>
                <w:lang w:val="hy-AM"/>
              </w:rPr>
              <w:t xml:space="preserve"> </w:t>
            </w:r>
            <w:r w:rsidRPr="00F619A4">
              <w:rPr>
                <w:rFonts w:cs="Sylfaen"/>
                <w:lang w:val="hy-AM"/>
              </w:rPr>
              <w:t>համաձայն</w:t>
            </w:r>
            <w:r w:rsidRPr="00F619A4">
              <w:rPr>
                <w:lang w:val="hy-AM"/>
              </w:rPr>
              <w:t xml:space="preserve"> </w:t>
            </w:r>
            <w:r w:rsidRPr="00F619A4">
              <w:rPr>
                <w:rFonts w:cs="Sylfaen"/>
                <w:lang w:val="hy-AM"/>
              </w:rPr>
              <w:t>հակակոռուպցիոն</w:t>
            </w:r>
            <w:r w:rsidRPr="00F619A4">
              <w:rPr>
                <w:lang w:val="hy-AM"/>
              </w:rPr>
              <w:t xml:space="preserve"> </w:t>
            </w:r>
            <w:r w:rsidRPr="00F619A4">
              <w:rPr>
                <w:rFonts w:cs="Sylfaen"/>
                <w:lang w:val="hy-AM"/>
              </w:rPr>
              <w:t>համապատասխան</w:t>
            </w:r>
            <w:r w:rsidRPr="00F619A4">
              <w:rPr>
                <w:lang w:val="hy-AM"/>
              </w:rPr>
              <w:t xml:space="preserve"> </w:t>
            </w:r>
            <w:r w:rsidRPr="00F619A4">
              <w:rPr>
                <w:rFonts w:cs="Sylfaen"/>
                <w:lang w:val="hy-AM"/>
              </w:rPr>
              <w:t>մարմինն</w:t>
            </w:r>
            <w:r w:rsidRPr="00F619A4">
              <w:rPr>
                <w:lang w:val="hy-AM"/>
              </w:rPr>
              <w:t xml:space="preserve"> </w:t>
            </w:r>
            <w:r w:rsidRPr="00F619A4">
              <w:rPr>
                <w:rFonts w:cs="Sylfaen"/>
                <w:lang w:val="hy-AM"/>
              </w:rPr>
              <w:t>իրավասություն</w:t>
            </w:r>
            <w:r w:rsidRPr="00F619A4">
              <w:rPr>
                <w:lang w:val="hy-AM"/>
              </w:rPr>
              <w:t xml:space="preserve"> </w:t>
            </w:r>
            <w:r w:rsidRPr="00F619A4">
              <w:rPr>
                <w:rFonts w:cs="Sylfaen"/>
                <w:lang w:val="hy-AM"/>
              </w:rPr>
              <w:t>կունենա</w:t>
            </w:r>
            <w:r w:rsidRPr="00F619A4">
              <w:rPr>
                <w:lang w:val="hy-AM"/>
              </w:rPr>
              <w:t xml:space="preserve"> </w:t>
            </w:r>
            <w:r w:rsidRPr="00F619A4">
              <w:rPr>
                <w:rFonts w:cs="Sylfaen"/>
                <w:lang w:val="hy-AM"/>
              </w:rPr>
              <w:t>ստուգելու</w:t>
            </w:r>
            <w:r w:rsidRPr="00F619A4">
              <w:rPr>
                <w:lang w:val="hy-AM"/>
              </w:rPr>
              <w:t xml:space="preserve"> </w:t>
            </w:r>
            <w:r w:rsidRPr="00F619A4">
              <w:rPr>
                <w:rFonts w:cs="Sylfaen"/>
                <w:lang w:val="hy-AM"/>
              </w:rPr>
              <w:t>նշանակման</w:t>
            </w:r>
            <w:r w:rsidRPr="00F619A4">
              <w:rPr>
                <w:lang w:val="hy-AM"/>
              </w:rPr>
              <w:t xml:space="preserve"> </w:t>
            </w:r>
            <w:r w:rsidRPr="00F619A4">
              <w:rPr>
                <w:rFonts w:cs="Sylfaen"/>
                <w:lang w:val="hy-AM"/>
              </w:rPr>
              <w:t>ենթակա՝</w:t>
            </w:r>
            <w:r w:rsidRPr="00F619A4">
              <w:rPr>
                <w:lang w:val="hy-AM"/>
              </w:rPr>
              <w:t xml:space="preserve"> </w:t>
            </w:r>
            <w:r w:rsidRPr="00F619A4">
              <w:rPr>
                <w:rFonts w:cs="Sylfaen"/>
                <w:lang w:val="hy-AM"/>
              </w:rPr>
              <w:t>Հայաստանի</w:t>
            </w:r>
            <w:r w:rsidRPr="00F619A4">
              <w:rPr>
                <w:lang w:val="hy-AM"/>
              </w:rPr>
              <w:t xml:space="preserve"> </w:t>
            </w:r>
            <w:r w:rsidRPr="00F619A4">
              <w:rPr>
                <w:rFonts w:cs="Sylfaen"/>
                <w:lang w:val="hy-AM"/>
              </w:rPr>
              <w:t>Հանրապետության</w:t>
            </w:r>
            <w:r w:rsidRPr="00F619A4">
              <w:rPr>
                <w:lang w:val="hy-AM"/>
              </w:rPr>
              <w:t xml:space="preserve"> </w:t>
            </w:r>
            <w:r w:rsidRPr="00F619A4">
              <w:rPr>
                <w:rFonts w:cs="Sylfaen"/>
                <w:lang w:val="hy-AM"/>
              </w:rPr>
              <w:t>պետական</w:t>
            </w:r>
            <w:r w:rsidRPr="00F619A4">
              <w:rPr>
                <w:lang w:val="hy-AM"/>
              </w:rPr>
              <w:t xml:space="preserve"> </w:t>
            </w:r>
            <w:r w:rsidRPr="00F619A4">
              <w:rPr>
                <w:rFonts w:cs="Sylfaen"/>
                <w:lang w:val="hy-AM"/>
              </w:rPr>
              <w:t>պաշտոնի</w:t>
            </w:r>
            <w:r w:rsidRPr="00F619A4">
              <w:rPr>
                <w:lang w:val="hy-AM"/>
              </w:rPr>
              <w:t xml:space="preserve"> </w:t>
            </w:r>
            <w:r w:rsidRPr="00F619A4">
              <w:rPr>
                <w:rFonts w:cs="Sylfaen"/>
                <w:lang w:val="hy-AM"/>
              </w:rPr>
              <w:t>հավակնող</w:t>
            </w:r>
            <w:r w:rsidRPr="00F619A4">
              <w:rPr>
                <w:lang w:val="hy-AM"/>
              </w:rPr>
              <w:t xml:space="preserve"> </w:t>
            </w:r>
            <w:r w:rsidRPr="00F619A4">
              <w:rPr>
                <w:rFonts w:cs="Sylfaen"/>
                <w:lang w:val="hy-AM"/>
              </w:rPr>
              <w:t>անձանց</w:t>
            </w:r>
            <w:r w:rsidRPr="00F619A4">
              <w:rPr>
                <w:lang w:val="hy-AM"/>
              </w:rPr>
              <w:t xml:space="preserve"> </w:t>
            </w:r>
            <w:r w:rsidRPr="00F619A4">
              <w:rPr>
                <w:rFonts w:cs="Sylfaen"/>
                <w:lang w:val="hy-AM"/>
              </w:rPr>
              <w:t>բարեվարքության</w:t>
            </w:r>
            <w:r w:rsidRPr="00F619A4">
              <w:rPr>
                <w:lang w:val="hy-AM"/>
              </w:rPr>
              <w:t xml:space="preserve"> </w:t>
            </w:r>
            <w:r w:rsidRPr="00F619A4">
              <w:rPr>
                <w:rFonts w:cs="Sylfaen"/>
                <w:lang w:val="hy-AM"/>
              </w:rPr>
              <w:t>կանոնների</w:t>
            </w:r>
            <w:r w:rsidRPr="00F619A4">
              <w:rPr>
                <w:lang w:val="hy-AM"/>
              </w:rPr>
              <w:t xml:space="preserve"> </w:t>
            </w:r>
            <w:r w:rsidRPr="00F619A4">
              <w:rPr>
                <w:rFonts w:cs="Sylfaen"/>
                <w:lang w:val="hy-AM"/>
              </w:rPr>
              <w:t>պահպանումը</w:t>
            </w:r>
            <w:r w:rsidRPr="00F619A4">
              <w:rPr>
                <w:lang w:val="hy-AM"/>
              </w:rPr>
              <w:t xml:space="preserve"> (</w:t>
            </w:r>
            <w:r w:rsidRPr="00F619A4">
              <w:rPr>
                <w:rFonts w:cs="Sylfaen"/>
                <w:lang w:val="hy-AM"/>
              </w:rPr>
              <w:t>չպահպանումը</w:t>
            </w:r>
            <w:r w:rsidRPr="00F619A4">
              <w:rPr>
                <w:lang w:val="hy-AM"/>
              </w:rPr>
              <w:t xml:space="preserve">) </w:t>
            </w:r>
            <w:r w:rsidRPr="00F619A4">
              <w:rPr>
                <w:rFonts w:cs="Sylfaen"/>
                <w:lang w:val="hy-AM"/>
              </w:rPr>
              <w:t>ու</w:t>
            </w:r>
            <w:r w:rsidRPr="00F619A4">
              <w:rPr>
                <w:lang w:val="hy-AM"/>
              </w:rPr>
              <w:t xml:space="preserve"> </w:t>
            </w:r>
            <w:r w:rsidRPr="00F619A4">
              <w:rPr>
                <w:rFonts w:cs="Sylfaen"/>
                <w:lang w:val="hy-AM"/>
              </w:rPr>
              <w:t>կոռուպցիոն</w:t>
            </w:r>
            <w:r w:rsidRPr="00F619A4">
              <w:rPr>
                <w:lang w:val="hy-AM"/>
              </w:rPr>
              <w:t xml:space="preserve"> </w:t>
            </w:r>
            <w:r w:rsidRPr="00F619A4">
              <w:rPr>
                <w:rFonts w:cs="Sylfaen"/>
                <w:lang w:val="hy-AM"/>
              </w:rPr>
              <w:t>իրավախախտումներում</w:t>
            </w:r>
            <w:r w:rsidRPr="00F619A4">
              <w:rPr>
                <w:lang w:val="hy-AM"/>
              </w:rPr>
              <w:t xml:space="preserve"> </w:t>
            </w:r>
            <w:r w:rsidRPr="00F619A4">
              <w:rPr>
                <w:rFonts w:cs="Sylfaen"/>
                <w:lang w:val="hy-AM"/>
              </w:rPr>
              <w:t>ներքաշված</w:t>
            </w:r>
            <w:r w:rsidRPr="00F619A4">
              <w:rPr>
                <w:lang w:val="hy-AM"/>
              </w:rPr>
              <w:t xml:space="preserve"> </w:t>
            </w:r>
            <w:r w:rsidRPr="00F619A4">
              <w:rPr>
                <w:rFonts w:cs="Sylfaen"/>
                <w:lang w:val="hy-AM"/>
              </w:rPr>
              <w:t>լինելը</w:t>
            </w:r>
            <w:r w:rsidRPr="00F619A4">
              <w:rPr>
                <w:lang w:val="hy-AM"/>
              </w:rPr>
              <w:t xml:space="preserve"> (</w:t>
            </w:r>
            <w:r w:rsidRPr="00F619A4">
              <w:rPr>
                <w:rFonts w:cs="Sylfaen"/>
                <w:lang w:val="hy-AM"/>
              </w:rPr>
              <w:t>չլինելը</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ըստ</w:t>
            </w:r>
            <w:r w:rsidRPr="00F619A4">
              <w:rPr>
                <w:lang w:val="hy-AM"/>
              </w:rPr>
              <w:t xml:space="preserve"> </w:t>
            </w:r>
            <w:r w:rsidRPr="00F619A4">
              <w:rPr>
                <w:rFonts w:cs="Sylfaen"/>
                <w:lang w:val="hy-AM"/>
              </w:rPr>
              <w:t>այդմ</w:t>
            </w:r>
            <w:r w:rsidRPr="00F619A4">
              <w:rPr>
                <w:lang w:val="hy-AM"/>
              </w:rPr>
              <w:t xml:space="preserve">, </w:t>
            </w:r>
            <w:r w:rsidRPr="00F619A4">
              <w:rPr>
                <w:rFonts w:cs="Sylfaen"/>
                <w:lang w:val="hy-AM"/>
              </w:rPr>
              <w:t>նշանակման</w:t>
            </w:r>
            <w:r w:rsidRPr="00F619A4">
              <w:rPr>
                <w:lang w:val="hy-AM"/>
              </w:rPr>
              <w:t xml:space="preserve"> </w:t>
            </w:r>
            <w:r w:rsidRPr="00F619A4">
              <w:rPr>
                <w:rFonts w:cs="Sylfaen"/>
                <w:lang w:val="hy-AM"/>
              </w:rPr>
              <w:t>նպատակահարմարության</w:t>
            </w:r>
            <w:r w:rsidRPr="00F619A4">
              <w:rPr>
                <w:lang w:val="hy-AM"/>
              </w:rPr>
              <w:t xml:space="preserve"> </w:t>
            </w:r>
            <w:r w:rsidRPr="00F619A4">
              <w:rPr>
                <w:rFonts w:cs="Sylfaen"/>
                <w:lang w:val="hy-AM"/>
              </w:rPr>
              <w:t>վերաբերյալ</w:t>
            </w:r>
            <w:r w:rsidRPr="00F619A4">
              <w:rPr>
                <w:lang w:val="hy-AM"/>
              </w:rPr>
              <w:t xml:space="preserve"> </w:t>
            </w:r>
            <w:r w:rsidRPr="00F619A4">
              <w:rPr>
                <w:rFonts w:cs="Sylfaen"/>
                <w:lang w:val="hy-AM"/>
              </w:rPr>
              <w:t>համապատասխան</w:t>
            </w:r>
            <w:r w:rsidRPr="00F619A4">
              <w:rPr>
                <w:lang w:val="hy-AM"/>
              </w:rPr>
              <w:t xml:space="preserve"> </w:t>
            </w:r>
            <w:r w:rsidRPr="00F619A4">
              <w:rPr>
                <w:rFonts w:cs="Sylfaen"/>
                <w:lang w:val="hy-AM"/>
              </w:rPr>
              <w:t>խորհրդատվական</w:t>
            </w:r>
            <w:r w:rsidRPr="00F619A4">
              <w:rPr>
                <w:lang w:val="hy-AM"/>
              </w:rPr>
              <w:t xml:space="preserve"> </w:t>
            </w:r>
            <w:r w:rsidRPr="00F619A4">
              <w:rPr>
                <w:rFonts w:cs="Sylfaen"/>
                <w:lang w:val="hy-AM"/>
              </w:rPr>
              <w:t>բնույթի</w:t>
            </w:r>
            <w:r w:rsidRPr="00F619A4">
              <w:rPr>
                <w:lang w:val="hy-AM"/>
              </w:rPr>
              <w:t xml:space="preserve"> </w:t>
            </w:r>
            <w:r w:rsidRPr="00F619A4">
              <w:rPr>
                <w:rFonts w:cs="Sylfaen"/>
                <w:lang w:val="hy-AM"/>
              </w:rPr>
              <w:t>եզրակացություն</w:t>
            </w:r>
            <w:r w:rsidRPr="00F619A4">
              <w:rPr>
                <w:lang w:val="hy-AM"/>
              </w:rPr>
              <w:t xml:space="preserve"> </w:t>
            </w:r>
            <w:r w:rsidRPr="00F619A4">
              <w:rPr>
                <w:rFonts w:cs="Sylfaen"/>
                <w:lang w:val="hy-AM"/>
              </w:rPr>
              <w:t>ներկայացնելու</w:t>
            </w:r>
            <w:r w:rsidRPr="00F619A4">
              <w:rPr>
                <w:lang w:val="hy-AM"/>
              </w:rPr>
              <w:t xml:space="preserve"> </w:t>
            </w:r>
            <w:r w:rsidRPr="00F619A4">
              <w:rPr>
                <w:rFonts w:cs="Sylfaen"/>
                <w:lang w:val="hy-AM"/>
              </w:rPr>
              <w:t>տվյալ</w:t>
            </w:r>
            <w:r w:rsidRPr="00F619A4">
              <w:rPr>
                <w:lang w:val="hy-AM"/>
              </w:rPr>
              <w:t xml:space="preserve"> </w:t>
            </w:r>
            <w:r w:rsidRPr="00F619A4">
              <w:rPr>
                <w:rFonts w:cs="Sylfaen"/>
                <w:lang w:val="hy-AM"/>
              </w:rPr>
              <w:t>անձին</w:t>
            </w:r>
            <w:r w:rsidRPr="00F619A4">
              <w:rPr>
                <w:lang w:val="hy-AM"/>
              </w:rPr>
              <w:t xml:space="preserve"> </w:t>
            </w:r>
            <w:r w:rsidRPr="00F619A4">
              <w:rPr>
                <w:rFonts w:cs="Sylfaen"/>
                <w:lang w:val="hy-AM"/>
              </w:rPr>
              <w:t>նշանակելու</w:t>
            </w:r>
            <w:r w:rsidRPr="00F619A4">
              <w:rPr>
                <w:lang w:val="hy-AM"/>
              </w:rPr>
              <w:t xml:space="preserve"> </w:t>
            </w:r>
            <w:r w:rsidRPr="00F619A4">
              <w:rPr>
                <w:rFonts w:cs="Sylfaen"/>
                <w:lang w:val="hy-AM"/>
              </w:rPr>
              <w:t>իրավասություն</w:t>
            </w:r>
            <w:r w:rsidRPr="00F619A4">
              <w:rPr>
                <w:lang w:val="hy-AM"/>
              </w:rPr>
              <w:t xml:space="preserve"> </w:t>
            </w:r>
            <w:r w:rsidRPr="00F619A4">
              <w:rPr>
                <w:rFonts w:cs="Sylfaen"/>
                <w:lang w:val="hy-AM"/>
              </w:rPr>
              <w:t>ունեցող</w:t>
            </w:r>
            <w:r w:rsidRPr="00F619A4">
              <w:rPr>
                <w:lang w:val="hy-AM"/>
              </w:rPr>
              <w:t xml:space="preserve"> </w:t>
            </w:r>
            <w:r w:rsidRPr="00F619A4">
              <w:rPr>
                <w:rFonts w:cs="Sylfaen"/>
                <w:lang w:val="hy-AM"/>
              </w:rPr>
              <w:t>անձին</w:t>
            </w:r>
            <w:r w:rsidRPr="00F619A4">
              <w:rPr>
                <w:lang w:val="hy-AM"/>
              </w:rPr>
              <w:t>: Ըստ այդմ՝ անհրաժեշտ է իրավական ակտի նախագծի միջոցով խնդրո առարկա գործառույթը վերապահել իրավասու մարմնին:</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ind w:right="-86" w:firstLine="375"/>
              <w:jc w:val="both"/>
              <w:rPr>
                <w:lang w:val="hy-AM"/>
              </w:rPr>
            </w:pPr>
            <w:r w:rsidRPr="00F619A4">
              <w:rPr>
                <w:lang w:val="hy-AM"/>
              </w:rPr>
              <w:t xml:space="preserve">Ներկայումս </w:t>
            </w:r>
            <w:r w:rsidRPr="00F619A4">
              <w:rPr>
                <w:rFonts w:cs="Sylfaen"/>
                <w:lang w:val="hy-AM"/>
              </w:rPr>
              <w:t>Հայաստանի</w:t>
            </w:r>
            <w:r w:rsidRPr="00F619A4">
              <w:rPr>
                <w:lang w:val="hy-AM"/>
              </w:rPr>
              <w:t xml:space="preserve"> </w:t>
            </w:r>
            <w:r w:rsidRPr="00F619A4">
              <w:rPr>
                <w:rFonts w:cs="Sylfaen"/>
                <w:lang w:val="hy-AM"/>
              </w:rPr>
              <w:t>Հանրապետության</w:t>
            </w:r>
            <w:r w:rsidRPr="00F619A4">
              <w:rPr>
                <w:lang w:val="hy-AM"/>
              </w:rPr>
              <w:t xml:space="preserve"> </w:t>
            </w:r>
            <w:r w:rsidRPr="00F619A4">
              <w:rPr>
                <w:rFonts w:cs="Sylfaen"/>
                <w:lang w:val="hy-AM"/>
              </w:rPr>
              <w:t>պետական</w:t>
            </w:r>
            <w:r w:rsidRPr="00F619A4">
              <w:rPr>
                <w:lang w:val="hy-AM"/>
              </w:rPr>
              <w:t xml:space="preserve"> </w:t>
            </w:r>
            <w:r w:rsidRPr="00F619A4">
              <w:rPr>
                <w:rFonts w:cs="Sylfaen"/>
                <w:lang w:val="hy-AM"/>
              </w:rPr>
              <w:t>պաշտոնի</w:t>
            </w:r>
            <w:r w:rsidRPr="00F619A4">
              <w:rPr>
                <w:lang w:val="hy-AM"/>
              </w:rPr>
              <w:t xml:space="preserve"> </w:t>
            </w:r>
            <w:r w:rsidRPr="00F619A4">
              <w:rPr>
                <w:rFonts w:cs="Sylfaen"/>
                <w:lang w:val="hy-AM"/>
              </w:rPr>
              <w:t>հավակնող</w:t>
            </w:r>
            <w:r w:rsidRPr="00F619A4">
              <w:rPr>
                <w:lang w:val="hy-AM"/>
              </w:rPr>
              <w:t xml:space="preserve"> </w:t>
            </w:r>
            <w:r w:rsidRPr="00F619A4">
              <w:rPr>
                <w:rFonts w:cs="Sylfaen"/>
                <w:lang w:val="hy-AM"/>
              </w:rPr>
              <w:t>անձին</w:t>
            </w:r>
            <w:r w:rsidRPr="00F619A4">
              <w:rPr>
                <w:lang w:val="hy-AM"/>
              </w:rPr>
              <w:t xml:space="preserve"> պաշտոնի նշանակման դեպքում խորը վերլուծության չի ենթարկվում տվյալ անձի կողմից բարեվարքության կանոնները պահպանելու (չպահպանելու), կոռուպցիոն իրավախախտումներում ներքաշված լինելու (չլինելու) կամ հանրային ճանաչում ունենալու (չունենալու) հանգամանքը: Այլ կերպ՝ չկա որևէ մասնագիտացված մարմին, ով կկարողանա նշված հարցերի վերաբերյալ նախապես ներկայացնել խորհրդատվական եզրակացություն:</w:t>
            </w:r>
          </w:p>
          <w:p w:rsidR="001F6D5D" w:rsidRPr="00F619A4" w:rsidRDefault="001F6D5D" w:rsidP="00277183">
            <w:pPr>
              <w:tabs>
                <w:tab w:val="left" w:pos="4277"/>
              </w:tabs>
              <w:jc w:val="both"/>
              <w:rPr>
                <w:b/>
                <w:lang w:val="hy-AM"/>
              </w:rPr>
            </w:pPr>
            <w:r w:rsidRPr="00F619A4">
              <w:rPr>
                <w:lang w:val="hy-AM"/>
              </w:rPr>
              <w:t xml:space="preserve">Արդյունքում՝ կարող է ստեղծվել այնպիսի իրավիճակ, երբ </w:t>
            </w:r>
            <w:r w:rsidRPr="00F619A4">
              <w:rPr>
                <w:rFonts w:cs="Sylfaen"/>
                <w:lang w:val="hy-AM"/>
              </w:rPr>
              <w:t>Հայաստանի</w:t>
            </w:r>
            <w:r w:rsidRPr="00F619A4">
              <w:rPr>
                <w:lang w:val="hy-AM"/>
              </w:rPr>
              <w:t xml:space="preserve"> </w:t>
            </w:r>
            <w:r w:rsidRPr="00F619A4">
              <w:rPr>
                <w:rFonts w:cs="Sylfaen"/>
                <w:lang w:val="hy-AM"/>
              </w:rPr>
              <w:t>Հանրապետության</w:t>
            </w:r>
            <w:r w:rsidRPr="00F619A4">
              <w:rPr>
                <w:lang w:val="hy-AM"/>
              </w:rPr>
              <w:t xml:space="preserve"> </w:t>
            </w:r>
            <w:r w:rsidRPr="00F619A4">
              <w:rPr>
                <w:rFonts w:cs="Sylfaen"/>
                <w:lang w:val="hy-AM"/>
              </w:rPr>
              <w:t>պետական</w:t>
            </w:r>
            <w:r w:rsidRPr="00F619A4">
              <w:rPr>
                <w:lang w:val="hy-AM"/>
              </w:rPr>
              <w:t xml:space="preserve"> </w:t>
            </w:r>
            <w:r w:rsidRPr="00F619A4">
              <w:rPr>
                <w:rFonts w:cs="Sylfaen"/>
                <w:lang w:val="hy-AM"/>
              </w:rPr>
              <w:t>պաշտոն զբաղեցնի այնպիսի անձ, ով նախկինում օրինակ՝ չի պահպանել բարեվարքության կանոնները կամ ներքաշված է եղել կոռուպցիոն իրավախախտումներում:</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cs="Sylfaen"/>
                <w:bCs/>
                <w:sz w:val="20"/>
                <w:szCs w:val="20"/>
                <w:lang w:val="hy-AM"/>
              </w:rPr>
              <w:t xml:space="preserve">Հաշվի առնելով վերոգրյալը՝ անհրաժեշտ է մշակել և ՀՀ կառավարության քննարկմանը ներկայացնել </w:t>
            </w:r>
            <w:r w:rsidRPr="00F619A4">
              <w:rPr>
                <w:rFonts w:ascii="GHEA Grapalat" w:hAnsi="GHEA Grapalat" w:cs="Sylfaen"/>
                <w:sz w:val="20"/>
                <w:szCs w:val="20"/>
                <w:lang w:val="hy-AM"/>
              </w:rPr>
              <w:t xml:space="preserve">Կոռուպցիայի կանխարգելման հանձնաժողովի մասին ՀՀ օրենքում փոփոխություններ և լրացումներ կատարելու մասին» ՀՀ օրենքի նախագիծը, որով </w:t>
            </w:r>
            <w:r w:rsidRPr="00F619A4">
              <w:rPr>
                <w:rFonts w:ascii="GHEA Grapalat" w:hAnsi="GHEA Grapalat"/>
                <w:color w:val="000000"/>
                <w:sz w:val="20"/>
                <w:szCs w:val="20"/>
                <w:shd w:val="clear" w:color="auto" w:fill="FFFFFF"/>
                <w:lang w:val="hy-AM"/>
              </w:rPr>
              <w:t>Կոռուպցիայի կանխարգելման հանձնաժողովին կվերապահվի նշանակման ենթակա՝ Հայաստանի Հանրապետության պետական պաշտոնի հավակնող անձանց բարեվարքության կանոնների պահպանումը (չպահպանումը) ու կոռուպցիոն իրավախախտումներում ներքաշված լինելը (չլինելը) ստուգելու  և, ըստ այդմ, տվյալ անձին նշանակելու իրավասություն ունեցող անձին նշանակման նպատակահարմարության վերաբերյալ համապատասխան խորհրդատվական բնույթի եզրակացություն ներկայացնելու գործառույթ:</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ind w:firstLine="375"/>
              <w:jc w:val="both"/>
              <w:rPr>
                <w:lang w:val="hy-AM"/>
              </w:rPr>
            </w:pPr>
            <w:r w:rsidRPr="00F619A4">
              <w:rPr>
                <w:color w:val="000000"/>
                <w:shd w:val="clear" w:color="auto" w:fill="FFFFFF"/>
                <w:lang w:val="hy-AM"/>
              </w:rPr>
              <w:t>Սույն միջոցառման կատարման արդյունքում կբարձրանա պաշտոնի նշանակվող անձանց հանրային պատկերի նկատմամբ հասարակության վստահությունը, ինչպես նաև կապահովվի նշված անձանց բարեվարքությունը:</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51</w:t>
            </w:r>
          </w:p>
        </w:tc>
        <w:tc>
          <w:tcPr>
            <w:tcW w:w="10878" w:type="dxa"/>
          </w:tcPr>
          <w:p w:rsidR="001F6D5D" w:rsidRPr="00F619A4" w:rsidRDefault="001F6D5D" w:rsidP="00277183">
            <w:pPr>
              <w:tabs>
                <w:tab w:val="left" w:pos="4277"/>
              </w:tabs>
              <w:jc w:val="center"/>
              <w:rPr>
                <w:b/>
                <w:u w:val="single"/>
                <w:lang w:val="hy-AM"/>
              </w:rPr>
            </w:pPr>
            <w:r w:rsidRPr="00F619A4">
              <w:rPr>
                <w:b/>
                <w:u w:val="single"/>
                <w:lang w:val="hy-AM"/>
              </w:rPr>
              <w:t>ՏՆՏԵՍԱԿԱՆ ԳՈՐԾՈՒՆԵՈՒԹՅԱՆ ԹԱՓԱՆՑԻԿՈՒԹՅԱՆ ԱՊԱՀՈՎՈՒՄ</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ind w:firstLine="375"/>
              <w:jc w:val="both"/>
              <w:rPr>
                <w:lang w:val="hy-AM"/>
              </w:rPr>
            </w:pPr>
            <w:r w:rsidRPr="00F619A4">
              <w:rPr>
                <w:noProof/>
                <w:lang w:val="hy-AM"/>
              </w:rPr>
              <w:t xml:space="preserve">2019 թվականի փետրվարի 14-ի ԱԺՕ-002-Ն որոշմամբ հավանության </w:t>
            </w:r>
            <w:r w:rsidRPr="00F619A4">
              <w:rPr>
                <w:rFonts w:eastAsia="Calibri" w:cs="Sylfaen"/>
                <w:lang w:val="hy-AM"/>
              </w:rPr>
              <w:t xml:space="preserve">արժանացած ՀՀ կառավարության ծրագրի «Պայքար կոռուպցիայի դեմ» վերտառությամբ 3-րդ բաժնի </w:t>
            </w:r>
            <w:r w:rsidRPr="00F619A4">
              <w:rPr>
                <w:lang w:val="hy-AM"/>
              </w:rPr>
              <w:t>«Տնտեսական գործունեության թափանցիկությունը» վերտառությամբ 3.3-րդ գլխի համաձայն՝ կ</w:t>
            </w:r>
            <w:r w:rsidRPr="00F619A4">
              <w:rPr>
                <w:rFonts w:cs="Sylfaen"/>
                <w:lang w:val="hy-AM"/>
              </w:rPr>
              <w:t>ոռուպցիայի</w:t>
            </w:r>
            <w:r w:rsidRPr="00F619A4">
              <w:rPr>
                <w:lang w:val="hy-AM"/>
              </w:rPr>
              <w:t xml:space="preserve"> </w:t>
            </w:r>
            <w:r w:rsidRPr="00F619A4">
              <w:rPr>
                <w:rFonts w:cs="Sylfaen"/>
                <w:lang w:val="hy-AM"/>
              </w:rPr>
              <w:t>դեմ</w:t>
            </w:r>
            <w:r w:rsidRPr="00F619A4">
              <w:rPr>
                <w:lang w:val="hy-AM"/>
              </w:rPr>
              <w:t xml:space="preserve"> </w:t>
            </w:r>
            <w:r w:rsidRPr="00F619A4">
              <w:rPr>
                <w:rFonts w:cs="Sylfaen"/>
                <w:lang w:val="hy-AM"/>
              </w:rPr>
              <w:t>պայքարի</w:t>
            </w:r>
            <w:r w:rsidRPr="00F619A4">
              <w:rPr>
                <w:lang w:val="hy-AM"/>
              </w:rPr>
              <w:t xml:space="preserve"> </w:t>
            </w:r>
            <w:r w:rsidRPr="00F619A4">
              <w:rPr>
                <w:rFonts w:cs="Sylfaen"/>
                <w:lang w:val="hy-AM"/>
              </w:rPr>
              <w:t>կարևոր</w:t>
            </w:r>
            <w:r w:rsidRPr="00F619A4">
              <w:rPr>
                <w:lang w:val="hy-AM"/>
              </w:rPr>
              <w:t xml:space="preserve"> </w:t>
            </w:r>
            <w:r w:rsidRPr="00F619A4">
              <w:rPr>
                <w:rFonts w:cs="Sylfaen"/>
                <w:lang w:val="hy-AM"/>
              </w:rPr>
              <w:t>գործիքներից</w:t>
            </w:r>
            <w:r w:rsidRPr="00F619A4">
              <w:rPr>
                <w:lang w:val="hy-AM"/>
              </w:rPr>
              <w:t xml:space="preserve"> </w:t>
            </w:r>
            <w:r w:rsidRPr="00F619A4">
              <w:rPr>
                <w:rFonts w:cs="Sylfaen"/>
                <w:lang w:val="hy-AM"/>
              </w:rPr>
              <w:t>են</w:t>
            </w:r>
            <w:r w:rsidRPr="00F619A4">
              <w:rPr>
                <w:lang w:val="hy-AM"/>
              </w:rPr>
              <w:t xml:space="preserve"> </w:t>
            </w:r>
            <w:r w:rsidRPr="00F619A4">
              <w:rPr>
                <w:rFonts w:cs="Sylfaen"/>
                <w:lang w:val="hy-AM"/>
              </w:rPr>
              <w:t>նաև</w:t>
            </w:r>
            <w:r w:rsidRPr="00F619A4">
              <w:rPr>
                <w:lang w:val="hy-AM"/>
              </w:rPr>
              <w:t xml:space="preserve"> </w:t>
            </w:r>
            <w:r w:rsidRPr="00F619A4">
              <w:rPr>
                <w:rFonts w:cs="Sylfaen"/>
                <w:lang w:val="hy-AM"/>
              </w:rPr>
              <w:t>օրենքով</w:t>
            </w:r>
            <w:r w:rsidRPr="00F619A4">
              <w:rPr>
                <w:lang w:val="hy-AM"/>
              </w:rPr>
              <w:t xml:space="preserve"> </w:t>
            </w:r>
            <w:r w:rsidRPr="00F619A4">
              <w:rPr>
                <w:rFonts w:cs="Sylfaen"/>
                <w:lang w:val="hy-AM"/>
              </w:rPr>
              <w:t>սահմանված</w:t>
            </w:r>
            <w:r w:rsidRPr="00F619A4">
              <w:rPr>
                <w:lang w:val="hy-AM"/>
              </w:rPr>
              <w:t xml:space="preserve"> </w:t>
            </w:r>
            <w:r w:rsidRPr="00F619A4">
              <w:rPr>
                <w:rFonts w:cs="Sylfaen"/>
                <w:lang w:val="hy-AM"/>
              </w:rPr>
              <w:t>որոշակի</w:t>
            </w:r>
            <w:r w:rsidRPr="00F619A4">
              <w:rPr>
                <w:lang w:val="hy-AM"/>
              </w:rPr>
              <w:t xml:space="preserve"> </w:t>
            </w:r>
            <w:r w:rsidRPr="00F619A4">
              <w:rPr>
                <w:rFonts w:cs="Sylfaen"/>
                <w:lang w:val="hy-AM"/>
              </w:rPr>
              <w:t>ոլորտներում</w:t>
            </w:r>
            <w:r w:rsidRPr="00F619A4">
              <w:rPr>
                <w:lang w:val="hy-AM"/>
              </w:rPr>
              <w:t xml:space="preserve"> </w:t>
            </w:r>
            <w:r w:rsidRPr="00F619A4">
              <w:rPr>
                <w:rFonts w:cs="Sylfaen"/>
                <w:lang w:val="hy-AM"/>
              </w:rPr>
              <w:t>գործունեություն</w:t>
            </w:r>
            <w:r w:rsidRPr="00F619A4">
              <w:rPr>
                <w:lang w:val="hy-AM"/>
              </w:rPr>
              <w:t xml:space="preserve"> </w:t>
            </w:r>
            <w:r w:rsidRPr="00F619A4">
              <w:rPr>
                <w:rFonts w:cs="Sylfaen"/>
                <w:lang w:val="hy-AM"/>
              </w:rPr>
              <w:t>ծավալող,</w:t>
            </w:r>
            <w:r w:rsidRPr="00F619A4">
              <w:rPr>
                <w:lang w:val="hy-AM"/>
              </w:rPr>
              <w:t xml:space="preserve"> </w:t>
            </w:r>
            <w:r w:rsidRPr="00F619A4">
              <w:rPr>
                <w:rFonts w:cs="Sylfaen"/>
                <w:lang w:val="hy-AM"/>
              </w:rPr>
              <w:t>պետական</w:t>
            </w:r>
            <w:r w:rsidRPr="00F619A4">
              <w:rPr>
                <w:lang w:val="hy-AM"/>
              </w:rPr>
              <w:t xml:space="preserve"> </w:t>
            </w:r>
            <w:r w:rsidRPr="00F619A4">
              <w:rPr>
                <w:rFonts w:cs="Sylfaen"/>
                <w:lang w:val="hy-AM"/>
              </w:rPr>
              <w:t>գրանցում</w:t>
            </w:r>
            <w:r w:rsidRPr="00F619A4">
              <w:rPr>
                <w:lang w:val="hy-AM"/>
              </w:rPr>
              <w:t xml:space="preserve"> </w:t>
            </w:r>
            <w:r w:rsidRPr="00F619A4">
              <w:rPr>
                <w:rFonts w:cs="Sylfaen"/>
                <w:lang w:val="hy-AM"/>
              </w:rPr>
              <w:t>ստացած</w:t>
            </w:r>
            <w:r w:rsidRPr="00F619A4">
              <w:rPr>
                <w:lang w:val="hy-AM"/>
              </w:rPr>
              <w:t xml:space="preserve"> </w:t>
            </w:r>
            <w:r w:rsidRPr="00F619A4">
              <w:rPr>
                <w:rFonts w:cs="Sylfaen"/>
                <w:lang w:val="hy-AM"/>
              </w:rPr>
              <w:t>իրավաբանական</w:t>
            </w:r>
            <w:r w:rsidRPr="00F619A4">
              <w:rPr>
                <w:lang w:val="hy-AM"/>
              </w:rPr>
              <w:t xml:space="preserve"> </w:t>
            </w:r>
            <w:r w:rsidRPr="00F619A4">
              <w:rPr>
                <w:rFonts w:cs="Sylfaen"/>
                <w:lang w:val="hy-AM"/>
              </w:rPr>
              <w:t>անձանց</w:t>
            </w:r>
            <w:r w:rsidRPr="00F619A4">
              <w:rPr>
                <w:lang w:val="hy-AM"/>
              </w:rPr>
              <w:t xml:space="preserve"> </w:t>
            </w:r>
            <w:r w:rsidRPr="00F619A4">
              <w:rPr>
                <w:rFonts w:cs="Sylfaen"/>
                <w:lang w:val="hy-AM"/>
              </w:rPr>
              <w:t>իրական</w:t>
            </w:r>
            <w:r w:rsidRPr="00F619A4">
              <w:rPr>
                <w:lang w:val="hy-AM"/>
              </w:rPr>
              <w:t xml:space="preserve"> </w:t>
            </w:r>
            <w:r w:rsidRPr="00F619A4">
              <w:rPr>
                <w:rFonts w:cs="Sylfaen"/>
                <w:lang w:val="hy-AM"/>
              </w:rPr>
              <w:t>սեփականատերերի</w:t>
            </w:r>
            <w:r w:rsidRPr="00F619A4">
              <w:rPr>
                <w:lang w:val="hy-AM"/>
              </w:rPr>
              <w:t xml:space="preserve"> </w:t>
            </w:r>
            <w:r w:rsidRPr="00F619A4">
              <w:rPr>
                <w:rFonts w:cs="Sylfaen"/>
                <w:lang w:val="hy-AM"/>
              </w:rPr>
              <w:t>բացահայտումը</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նրանց</w:t>
            </w:r>
            <w:r w:rsidRPr="00F619A4">
              <w:rPr>
                <w:lang w:val="hy-AM"/>
              </w:rPr>
              <w:t xml:space="preserve"> </w:t>
            </w:r>
            <w:r w:rsidRPr="00F619A4">
              <w:rPr>
                <w:rFonts w:cs="Sylfaen"/>
                <w:lang w:val="hy-AM"/>
              </w:rPr>
              <w:t>վերաբերյալ</w:t>
            </w:r>
            <w:r w:rsidRPr="00F619A4">
              <w:rPr>
                <w:lang w:val="hy-AM"/>
              </w:rPr>
              <w:t xml:space="preserve"> </w:t>
            </w:r>
            <w:r w:rsidRPr="00F619A4">
              <w:rPr>
                <w:rFonts w:cs="Sylfaen"/>
                <w:lang w:val="hy-AM"/>
              </w:rPr>
              <w:t>տեղեկությունների</w:t>
            </w:r>
            <w:r w:rsidRPr="00F619A4">
              <w:rPr>
                <w:lang w:val="hy-AM"/>
              </w:rPr>
              <w:t xml:space="preserve"> </w:t>
            </w:r>
            <w:r w:rsidRPr="00F619A4">
              <w:rPr>
                <w:rFonts w:cs="Sylfaen"/>
                <w:lang w:val="hy-AM"/>
              </w:rPr>
              <w:t>ընդհանուր</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հանրամատչելի</w:t>
            </w:r>
            <w:r w:rsidRPr="00F619A4">
              <w:rPr>
                <w:lang w:val="hy-AM"/>
              </w:rPr>
              <w:t xml:space="preserve"> </w:t>
            </w:r>
            <w:r w:rsidRPr="00F619A4">
              <w:rPr>
                <w:rFonts w:cs="Sylfaen"/>
                <w:lang w:val="hy-AM"/>
              </w:rPr>
              <w:t>հարթակի</w:t>
            </w:r>
            <w:r w:rsidRPr="00F619A4">
              <w:rPr>
                <w:lang w:val="hy-AM"/>
              </w:rPr>
              <w:t xml:space="preserve"> </w:t>
            </w:r>
            <w:r w:rsidRPr="00F619A4">
              <w:rPr>
                <w:rFonts w:cs="Sylfaen"/>
                <w:lang w:val="hy-AM"/>
              </w:rPr>
              <w:t>ներդրումը՝</w:t>
            </w:r>
            <w:r w:rsidRPr="00F619A4">
              <w:rPr>
                <w:lang w:val="hy-AM"/>
              </w:rPr>
              <w:t xml:space="preserve"> </w:t>
            </w:r>
            <w:r w:rsidRPr="00F619A4">
              <w:rPr>
                <w:rFonts w:cs="Sylfaen"/>
                <w:lang w:val="hy-AM"/>
              </w:rPr>
              <w:t>ապահովելով</w:t>
            </w:r>
            <w:r w:rsidRPr="00F619A4">
              <w:rPr>
                <w:lang w:val="hy-AM"/>
              </w:rPr>
              <w:t xml:space="preserve"> </w:t>
            </w:r>
            <w:r w:rsidRPr="00F619A4">
              <w:rPr>
                <w:rFonts w:cs="Sylfaen"/>
                <w:lang w:val="hy-AM"/>
              </w:rPr>
              <w:t>իրական</w:t>
            </w:r>
            <w:r w:rsidRPr="00F619A4">
              <w:rPr>
                <w:lang w:val="hy-AM"/>
              </w:rPr>
              <w:t xml:space="preserve"> </w:t>
            </w:r>
            <w:r w:rsidRPr="00F619A4">
              <w:rPr>
                <w:rFonts w:cs="Sylfaen"/>
                <w:lang w:val="hy-AM"/>
              </w:rPr>
              <w:t>սեփականատերերի</w:t>
            </w:r>
            <w:r w:rsidRPr="00F619A4">
              <w:rPr>
                <w:lang w:val="hy-AM"/>
              </w:rPr>
              <w:t xml:space="preserve"> </w:t>
            </w:r>
            <w:r w:rsidRPr="00F619A4">
              <w:rPr>
                <w:rFonts w:cs="Sylfaen"/>
                <w:lang w:val="hy-AM"/>
              </w:rPr>
              <w:t>վերաբերյալ</w:t>
            </w:r>
            <w:r w:rsidRPr="00F619A4">
              <w:rPr>
                <w:lang w:val="hy-AM"/>
              </w:rPr>
              <w:t xml:space="preserve"> </w:t>
            </w:r>
            <w:r w:rsidRPr="00F619A4">
              <w:rPr>
                <w:rFonts w:cs="Sylfaen"/>
                <w:lang w:val="hy-AM"/>
              </w:rPr>
              <w:t>տվյալների</w:t>
            </w:r>
            <w:r w:rsidRPr="00F619A4">
              <w:rPr>
                <w:lang w:val="hy-AM"/>
              </w:rPr>
              <w:t xml:space="preserve"> </w:t>
            </w:r>
            <w:r w:rsidRPr="00F619A4">
              <w:rPr>
                <w:rFonts w:cs="Sylfaen"/>
                <w:lang w:val="hy-AM"/>
              </w:rPr>
              <w:t>հրապարակայնությունը։ Ըստ այդմ՝ անհրաժեշտ է հաստատել իրավաբանական անձանց իրական սեփականատերերի ինստիտուտի ներդրման ճանապարհային քարտեզ, որով կանխատեսելի կդարձվի խնդրո առարկա ինստիտուտի ներդրման գործընթացը:</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ind w:firstLine="375"/>
              <w:jc w:val="both"/>
              <w:rPr>
                <w:lang w:val="hy-AM"/>
              </w:rPr>
            </w:pPr>
            <w:r w:rsidRPr="00F619A4">
              <w:rPr>
                <w:lang w:val="hy-AM"/>
              </w:rPr>
              <w:t xml:space="preserve">Ներկայումս իրական սեփականատերերի բացահայտման առումով որոշակի կառուցակարգեր առկա են ինչպես «Գնումների մասին», այնպես էլ «Փողերի լվացման և ահաբեկչության ֆինանսավորման դեմ պայքարի մասին» ՀՀ օրենքների շրջանակներում: Այդուհանդերձ, առկա չէ իրական սեփականատերերի բացահայտմանն ուղղված միասնական կառուցակարգ, ներդրված չէ իրական սեփականատերերի բացահայտման միասնական գրանցամատյան, որի շնորհիվ ներկայացված տվյալները հասանելի կլինեն հանրությանը՝ այդպիսով չապահովելով իրական սեփականատերերի բացահայտման գործընթացի թափանցիկությունը և հանրային հաշվետվողականությունը: </w:t>
            </w:r>
          </w:p>
          <w:p w:rsidR="001F6D5D" w:rsidRPr="00F619A4" w:rsidRDefault="001F6D5D" w:rsidP="00277183">
            <w:pPr>
              <w:jc w:val="both"/>
              <w:rPr>
                <w:b/>
                <w:lang w:val="hy-AM"/>
              </w:rPr>
            </w:pPr>
            <w:r w:rsidRPr="00F619A4">
              <w:rPr>
                <w:b/>
                <w:lang w:val="hy-AM"/>
              </w:rPr>
              <w:t>1.2  Առկա խնդիրների առաջարկվող լուծումները</w:t>
            </w:r>
          </w:p>
          <w:p w:rsidR="001F6D5D" w:rsidRPr="00F619A4" w:rsidRDefault="001F6D5D" w:rsidP="00277183">
            <w:pPr>
              <w:jc w:val="both"/>
              <w:rPr>
                <w:b/>
                <w:lang w:val="hy-AM"/>
              </w:rPr>
            </w:pPr>
            <w:r w:rsidRPr="00F619A4">
              <w:rPr>
                <w:noProof/>
                <w:lang w:val="hy-AM"/>
              </w:rPr>
              <w:t xml:space="preserve">Հաշվի առնելով վերոգրյալը՝ անհրաժեշտ է մշակել և ՀՀ կառավարության քննարկմանը ներկայացնել </w:t>
            </w:r>
            <w:r w:rsidRPr="00F619A4">
              <w:rPr>
                <w:lang w:val="hy-AM"/>
              </w:rPr>
              <w:t>«Իրավաբանական անձանց իրական սեփականատերերի ինստիտուտի ներդրման ճանապարհային քարտեզը հաստատելու վերաբերյալ» ՀՀ կառավարության որոշման նախագիծը, որով կհստակեցվեն այն ոլորտները, որոնց ներկայացուցիչ իրավաբանական անձինք փուլային կարգով կստանձնեն պարտավորություն իրենց իրական սեփականատերերի բացահայտման վերաբերյալ:</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ind w:firstLine="375"/>
              <w:jc w:val="both"/>
              <w:rPr>
                <w:lang w:val="hy-AM"/>
              </w:rPr>
            </w:pPr>
            <w:r w:rsidRPr="00F619A4">
              <w:rPr>
                <w:rFonts w:cs="Arial Unicode"/>
                <w:noProof/>
                <w:color w:val="000000"/>
                <w:shd w:val="clear" w:color="auto" w:fill="FFFFFF"/>
                <w:lang w:val="hy-AM"/>
              </w:rPr>
              <w:t xml:space="preserve">Նախագծի ընդունման արդյունքում իրական սեփականատերերի բացահայտման գործընթացը կկրի թիրախավորված բնույթ՝ այդպիսով հստակեցնելով այն ոլորտները, որոնց </w:t>
            </w:r>
            <w:r w:rsidRPr="00F619A4">
              <w:rPr>
                <w:lang w:val="hy-AM"/>
              </w:rPr>
              <w:t>ներկայացուցիչ իրավաբանական անձինք կստանձնեն պարտավորություն իրենց իրական սեփականատերերի բացահայտման վերաբերյալ:</w:t>
            </w:r>
          </w:p>
          <w:p w:rsidR="001F6D5D" w:rsidRPr="00F619A4" w:rsidRDefault="001F6D5D" w:rsidP="00277183">
            <w:pPr>
              <w:ind w:firstLine="375"/>
              <w:jc w:val="center"/>
              <w:rPr>
                <w:b/>
                <w:u w:val="single"/>
                <w:lang w:val="hy-AM"/>
              </w:rPr>
            </w:pPr>
            <w:r w:rsidRPr="00F619A4">
              <w:rPr>
                <w:b/>
                <w:u w:val="single"/>
                <w:lang w:val="hy-AM"/>
              </w:rPr>
              <w:t xml:space="preserve"> «Պետական տուրքի մասին ՀՀ օրենքում լրացում կատարելու մասին օրենքի նախագիծը կառավարության քննարկմանը ներկայացնելը</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ind w:firstLine="375"/>
              <w:jc w:val="both"/>
              <w:rPr>
                <w:rFonts w:eastAsia="GHEA Grapalat" w:cs="GHEA Grapalat"/>
                <w:bCs/>
                <w:lang w:val="hy-AM"/>
              </w:rPr>
            </w:pPr>
            <w:r w:rsidRPr="00F619A4">
              <w:rPr>
                <w:noProof/>
                <w:lang w:val="hy-AM"/>
              </w:rPr>
              <w:t xml:space="preserve">2019 թվականի փետրվարի 14-ի ԱԺՕ-002-Ն որոշմամբ հավանության </w:t>
            </w:r>
            <w:r w:rsidRPr="00F619A4">
              <w:rPr>
                <w:rFonts w:eastAsia="Calibri" w:cs="Sylfaen"/>
                <w:lang w:val="hy-AM"/>
              </w:rPr>
              <w:t xml:space="preserve">արժանացած ՀՀ կառավարության ծրագրի «Պայքար կոռուպցիայի դեմ» վերտառությամբ 3-րդ բաժնի </w:t>
            </w:r>
            <w:r w:rsidRPr="00F619A4">
              <w:rPr>
                <w:rStyle w:val="apple-converted-space"/>
                <w:rFonts w:eastAsia="MS Mincho" w:cs="Courier New"/>
                <w:noProof/>
                <w:shd w:val="clear" w:color="auto" w:fill="FFFFFF"/>
                <w:lang w:val="hy-AM"/>
              </w:rPr>
              <w:t xml:space="preserve">Տնտեսական գործունեության թափանցիկությունը վերտառությամբ 3.3-րդ գլխում սահմանվել է, որ </w:t>
            </w:r>
            <w:r w:rsidRPr="00F619A4">
              <w:rPr>
                <w:color w:val="000000"/>
                <w:lang w:val="hy-AM"/>
              </w:rPr>
              <w:t>ա</w:t>
            </w:r>
            <w:r w:rsidRPr="00F619A4">
              <w:rPr>
                <w:rFonts w:cs="GHEA Grapalat"/>
                <w:lang w:val="hy-AM" w:eastAsia="zh-CN"/>
              </w:rPr>
              <w:t>նհրաժեշտ</w:t>
            </w:r>
            <w:r w:rsidRPr="00F619A4">
              <w:rPr>
                <w:rFonts w:eastAsia="GHEA Grapalat" w:cs="GHEA Grapalat"/>
                <w:lang w:val="hy-AM" w:eastAsia="zh-CN"/>
              </w:rPr>
              <w:t xml:space="preserve"> </w:t>
            </w:r>
            <w:r w:rsidRPr="00F619A4">
              <w:rPr>
                <w:rFonts w:cs="GHEA Grapalat"/>
                <w:lang w:val="hy-AM" w:eastAsia="zh-CN"/>
              </w:rPr>
              <w:t>է</w:t>
            </w:r>
            <w:r w:rsidRPr="00F619A4">
              <w:rPr>
                <w:rFonts w:eastAsia="GHEA Grapalat" w:cs="GHEA Grapalat"/>
                <w:lang w:val="hy-AM" w:eastAsia="zh-CN"/>
              </w:rPr>
              <w:t xml:space="preserve"> </w:t>
            </w:r>
            <w:r w:rsidRPr="00F619A4">
              <w:rPr>
                <w:rFonts w:cs="GHEA Grapalat"/>
                <w:lang w:val="hy-AM" w:eastAsia="zh-CN"/>
              </w:rPr>
              <w:t>վերանայել</w:t>
            </w:r>
            <w:r w:rsidRPr="00F619A4">
              <w:rPr>
                <w:rFonts w:eastAsia="GHEA Grapalat" w:cs="GHEA Grapalat"/>
                <w:lang w:val="hy-AM" w:eastAsia="zh-CN"/>
              </w:rPr>
              <w:t xml:space="preserve"> </w:t>
            </w:r>
            <w:r w:rsidRPr="00F619A4">
              <w:rPr>
                <w:rFonts w:cs="GHEA Grapalat"/>
                <w:lang w:val="hy-AM" w:eastAsia="zh-CN"/>
              </w:rPr>
              <w:t>պետական</w:t>
            </w:r>
            <w:r w:rsidRPr="00F619A4">
              <w:rPr>
                <w:rFonts w:eastAsia="GHEA Grapalat" w:cs="GHEA Grapalat"/>
                <w:lang w:val="hy-AM" w:eastAsia="zh-CN"/>
              </w:rPr>
              <w:t xml:space="preserve"> </w:t>
            </w:r>
            <w:r w:rsidRPr="00F619A4">
              <w:rPr>
                <w:rFonts w:cs="GHEA Grapalat"/>
                <w:lang w:val="hy-AM" w:eastAsia="zh-CN"/>
              </w:rPr>
              <w:t>գրանցում</w:t>
            </w:r>
            <w:r w:rsidRPr="00F619A4">
              <w:rPr>
                <w:rFonts w:eastAsia="GHEA Grapalat" w:cs="GHEA Grapalat"/>
                <w:lang w:val="hy-AM" w:eastAsia="zh-CN"/>
              </w:rPr>
              <w:t xml:space="preserve"> </w:t>
            </w:r>
            <w:r w:rsidRPr="00F619A4">
              <w:rPr>
                <w:rFonts w:cs="GHEA Grapalat"/>
                <w:lang w:val="hy-AM" w:eastAsia="zh-CN"/>
              </w:rPr>
              <w:t>ստացած</w:t>
            </w:r>
            <w:r w:rsidRPr="00F619A4">
              <w:rPr>
                <w:rFonts w:eastAsia="GHEA Grapalat" w:cs="GHEA Grapalat"/>
                <w:lang w:val="hy-AM" w:eastAsia="zh-CN"/>
              </w:rPr>
              <w:t xml:space="preserve"> </w:t>
            </w:r>
            <w:r w:rsidRPr="00F619A4">
              <w:rPr>
                <w:rFonts w:cs="GHEA Grapalat"/>
                <w:lang w:val="hy-AM" w:eastAsia="zh-CN"/>
              </w:rPr>
              <w:t>իրավաբանական</w:t>
            </w:r>
            <w:r w:rsidRPr="00F619A4">
              <w:rPr>
                <w:rFonts w:eastAsia="GHEA Grapalat" w:cs="GHEA Grapalat"/>
                <w:lang w:val="hy-AM" w:eastAsia="zh-CN"/>
              </w:rPr>
              <w:t xml:space="preserve"> </w:t>
            </w:r>
            <w:r w:rsidRPr="00F619A4">
              <w:rPr>
                <w:rFonts w:cs="GHEA Grapalat"/>
                <w:lang w:val="hy-AM" w:eastAsia="zh-CN"/>
              </w:rPr>
              <w:t>անձանց՝</w:t>
            </w:r>
            <w:r w:rsidRPr="00F619A4">
              <w:rPr>
                <w:rFonts w:eastAsia="GHEA Grapalat" w:cs="GHEA Grapalat"/>
                <w:lang w:val="hy-AM" w:eastAsia="zh-CN"/>
              </w:rPr>
              <w:t xml:space="preserve"> </w:t>
            </w:r>
            <w:r w:rsidRPr="00F619A4">
              <w:rPr>
                <w:rFonts w:cs="GHEA Grapalat"/>
                <w:lang w:val="hy-AM" w:eastAsia="zh-CN"/>
              </w:rPr>
              <w:t>միասնական</w:t>
            </w:r>
            <w:r w:rsidRPr="00F619A4">
              <w:rPr>
                <w:rFonts w:eastAsia="GHEA Grapalat" w:cs="GHEA Grapalat"/>
                <w:lang w:val="hy-AM" w:eastAsia="zh-CN"/>
              </w:rPr>
              <w:t xml:space="preserve"> </w:t>
            </w:r>
            <w:r w:rsidRPr="00F619A4">
              <w:rPr>
                <w:rFonts w:cs="GHEA Grapalat"/>
                <w:lang w:val="hy-AM" w:eastAsia="zh-CN"/>
              </w:rPr>
              <w:t>պետական</w:t>
            </w:r>
            <w:r w:rsidRPr="00F619A4">
              <w:rPr>
                <w:rFonts w:eastAsia="GHEA Grapalat" w:cs="GHEA Grapalat"/>
                <w:lang w:val="hy-AM" w:eastAsia="zh-CN"/>
              </w:rPr>
              <w:t xml:space="preserve"> </w:t>
            </w:r>
            <w:r w:rsidRPr="00F619A4">
              <w:rPr>
                <w:rFonts w:cs="GHEA Grapalat"/>
                <w:lang w:val="hy-AM" w:eastAsia="zh-CN"/>
              </w:rPr>
              <w:t>գրանցամատյանում</w:t>
            </w:r>
            <w:r w:rsidRPr="00F619A4">
              <w:rPr>
                <w:rFonts w:eastAsia="GHEA Grapalat" w:cs="GHEA Grapalat"/>
                <w:lang w:val="hy-AM" w:eastAsia="zh-CN"/>
              </w:rPr>
              <w:t xml:space="preserve"> </w:t>
            </w:r>
            <w:r w:rsidRPr="00F619A4">
              <w:rPr>
                <w:rFonts w:cs="GHEA Grapalat"/>
                <w:lang w:val="hy-AM" w:eastAsia="zh-CN"/>
              </w:rPr>
              <w:t>առկա</w:t>
            </w:r>
            <w:r w:rsidRPr="00F619A4">
              <w:rPr>
                <w:rFonts w:eastAsia="GHEA Grapalat" w:cs="GHEA Grapalat"/>
                <w:lang w:val="hy-AM" w:eastAsia="zh-CN"/>
              </w:rPr>
              <w:t xml:space="preserve"> </w:t>
            </w:r>
            <w:r w:rsidRPr="00F619A4">
              <w:rPr>
                <w:rFonts w:cs="GHEA Grapalat"/>
                <w:lang w:val="hy-AM" w:eastAsia="zh-CN"/>
              </w:rPr>
              <w:t>տեղեկությունների՝</w:t>
            </w:r>
            <w:r w:rsidRPr="00F619A4">
              <w:rPr>
                <w:rFonts w:eastAsia="GHEA Grapalat" w:cs="GHEA Grapalat"/>
                <w:lang w:val="hy-AM" w:eastAsia="zh-CN"/>
              </w:rPr>
              <w:t xml:space="preserve"> </w:t>
            </w:r>
            <w:r w:rsidRPr="00F619A4">
              <w:rPr>
                <w:rFonts w:cs="GHEA Grapalat"/>
                <w:lang w:val="hy-AM" w:eastAsia="zh-CN"/>
              </w:rPr>
              <w:t>հանրությանը հասանելի դարձնելու մեխանիզմները՝ վերացնելով օրենքով նախատեսված պետական տուրք վճարելու պայմանը՝ սահմանված կարգով հաշվառված լրատվամիջոցների համար և ապահովելով հանրային շահերին վերաբերող հարցերի շուրջ հավաստի և ամբողջական տեղեկատվության ազատությունը: Ըստ այդմ՝ անհրաժեշտ է իրավական ակտի նախագծի միջոցով վերանայել նշված մեխանիզմները:</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ind w:firstLine="375"/>
              <w:jc w:val="both"/>
              <w:rPr>
                <w:rStyle w:val="apple-converted-space"/>
                <w:rFonts w:eastAsia="MS Mincho" w:cs="Courier New"/>
                <w:noProof/>
                <w:shd w:val="clear" w:color="auto" w:fill="FFFFFF"/>
                <w:lang w:val="hy-AM"/>
              </w:rPr>
            </w:pPr>
            <w:r w:rsidRPr="00F619A4">
              <w:rPr>
                <w:rStyle w:val="apple-converted-space"/>
                <w:rFonts w:eastAsia="MS Mincho" w:cs="Courier New"/>
                <w:noProof/>
                <w:shd w:val="clear" w:color="auto" w:fill="FFFFFF"/>
                <w:lang w:val="hy-AM"/>
              </w:rPr>
              <w:t xml:space="preserve">«Պետական տուրքի մասին» ՀՀ օրենքի 29-րդ հոդվածի շրջանակներում ամրագրված են </w:t>
            </w:r>
            <w:r w:rsidRPr="00F619A4">
              <w:rPr>
                <w:rStyle w:val="apple-converted-space"/>
                <w:rFonts w:eastAsia="MS Mincho" w:cs="Courier New"/>
                <w:noProof/>
                <w:shd w:val="clear" w:color="auto" w:fill="FFFFFF"/>
                <w:lang w:val="hy-AM"/>
              </w:rPr>
              <w:br/>
              <w:t>այլ ծառայությունների կամ գործողությունների համար</w:t>
            </w:r>
            <w:r w:rsidRPr="00F619A4">
              <w:rPr>
                <w:rStyle w:val="apple-converted-space"/>
                <w:rFonts w:ascii="Courier New" w:eastAsia="MS Mincho" w:hAnsi="Courier New" w:cs="Courier New"/>
                <w:noProof/>
                <w:shd w:val="clear" w:color="auto" w:fill="FFFFFF"/>
                <w:lang w:val="hy-AM"/>
              </w:rPr>
              <w:t> </w:t>
            </w:r>
            <w:r w:rsidRPr="00F619A4">
              <w:rPr>
                <w:rStyle w:val="apple-converted-space"/>
                <w:rFonts w:eastAsia="MS Mincho" w:cs="Courier New"/>
                <w:noProof/>
                <w:shd w:val="clear" w:color="auto" w:fill="FFFFFF"/>
                <w:lang w:val="hy-AM"/>
              </w:rPr>
              <w:t>պետական</w:t>
            </w:r>
            <w:r w:rsidRPr="00F619A4">
              <w:rPr>
                <w:rStyle w:val="apple-converted-space"/>
                <w:rFonts w:ascii="Courier New" w:eastAsia="MS Mincho" w:hAnsi="Courier New" w:cs="Courier New"/>
                <w:noProof/>
                <w:shd w:val="clear" w:color="auto" w:fill="FFFFFF"/>
                <w:lang w:val="hy-AM"/>
              </w:rPr>
              <w:t> </w:t>
            </w:r>
            <w:r w:rsidRPr="00F619A4">
              <w:rPr>
                <w:rStyle w:val="apple-converted-space"/>
                <w:rFonts w:eastAsia="MS Mincho" w:cs="Courier New"/>
                <w:noProof/>
                <w:shd w:val="clear" w:color="auto" w:fill="FFFFFF"/>
                <w:lang w:val="hy-AM"/>
              </w:rPr>
              <w:t>տուրքի</w:t>
            </w:r>
            <w:r w:rsidRPr="00F619A4">
              <w:rPr>
                <w:rStyle w:val="apple-converted-space"/>
                <w:rFonts w:ascii="Courier New" w:eastAsia="MS Mincho" w:hAnsi="Courier New" w:cs="Courier New"/>
                <w:noProof/>
                <w:shd w:val="clear" w:color="auto" w:fill="FFFFFF"/>
                <w:lang w:val="hy-AM"/>
              </w:rPr>
              <w:t> </w:t>
            </w:r>
            <w:r w:rsidRPr="00F619A4">
              <w:rPr>
                <w:rStyle w:val="apple-converted-space"/>
                <w:rFonts w:eastAsia="MS Mincho" w:cs="Courier New"/>
                <w:noProof/>
                <w:shd w:val="clear" w:color="auto" w:fill="FFFFFF"/>
                <w:lang w:val="hy-AM"/>
              </w:rPr>
              <w:t xml:space="preserve">գծով արտոնությունները: Նշված հոդվածի 2-րդ պարբերության համաձայն՝ </w:t>
            </w:r>
            <w:r w:rsidRPr="00F619A4">
              <w:rPr>
                <w:rStyle w:val="apple-converted-space"/>
                <w:rFonts w:eastAsia="MS Mincho" w:cs="Courier New"/>
                <w:noProof/>
                <w:lang w:val="hy-AM"/>
              </w:rPr>
              <w:t>ՀՀ</w:t>
            </w:r>
            <w:r w:rsidRPr="00F619A4">
              <w:rPr>
                <w:rStyle w:val="apple-converted-space"/>
                <w:rFonts w:ascii="Courier New" w:eastAsia="MS Mincho" w:hAnsi="Courier New" w:cs="Courier New"/>
                <w:noProof/>
                <w:lang w:val="hy-AM"/>
              </w:rPr>
              <w:t> </w:t>
            </w:r>
            <w:r w:rsidRPr="00F619A4">
              <w:rPr>
                <w:rStyle w:val="apple-converted-space"/>
                <w:rFonts w:eastAsia="MS Mincho" w:cs="Courier New"/>
                <w:noProof/>
                <w:shd w:val="clear" w:color="auto" w:fill="FFFFFF"/>
                <w:lang w:val="hy-AM"/>
              </w:rPr>
              <w:t>պետական</w:t>
            </w:r>
            <w:r w:rsidRPr="00F619A4">
              <w:rPr>
                <w:rStyle w:val="apple-converted-space"/>
                <w:rFonts w:ascii="Courier New" w:eastAsia="MS Mincho" w:hAnsi="Courier New" w:cs="Courier New"/>
                <w:noProof/>
                <w:lang w:val="hy-AM"/>
              </w:rPr>
              <w:t> </w:t>
            </w:r>
            <w:r w:rsidRPr="00F619A4">
              <w:rPr>
                <w:rStyle w:val="apple-converted-space"/>
                <w:rFonts w:eastAsia="MS Mincho" w:cs="Courier New"/>
                <w:noProof/>
                <w:lang w:val="hy-AM"/>
              </w:rPr>
              <w:t>ռեգիստրում պահվող տեղեկությունների տրամադրման համար</w:t>
            </w:r>
            <w:r w:rsidRPr="00F619A4">
              <w:rPr>
                <w:rStyle w:val="apple-converted-space"/>
                <w:rFonts w:ascii="Courier New" w:eastAsia="MS Mincho" w:hAnsi="Courier New" w:cs="Courier New"/>
                <w:noProof/>
                <w:lang w:val="hy-AM"/>
              </w:rPr>
              <w:t> </w:t>
            </w:r>
            <w:r w:rsidRPr="00F619A4">
              <w:rPr>
                <w:rStyle w:val="apple-converted-space"/>
                <w:rFonts w:eastAsia="MS Mincho" w:cs="Courier New"/>
                <w:noProof/>
                <w:shd w:val="clear" w:color="auto" w:fill="FFFFFF"/>
                <w:lang w:val="hy-AM"/>
              </w:rPr>
              <w:t>պետական</w:t>
            </w:r>
            <w:r w:rsidRPr="00F619A4">
              <w:rPr>
                <w:rStyle w:val="apple-converted-space"/>
                <w:rFonts w:ascii="Courier New" w:eastAsia="MS Mincho" w:hAnsi="Courier New" w:cs="Courier New"/>
                <w:noProof/>
                <w:lang w:val="hy-AM"/>
              </w:rPr>
              <w:t> </w:t>
            </w:r>
            <w:r w:rsidRPr="00F619A4">
              <w:rPr>
                <w:rStyle w:val="apple-converted-space"/>
                <w:rFonts w:eastAsia="MS Mincho" w:cs="Courier New"/>
                <w:noProof/>
                <w:shd w:val="clear" w:color="auto" w:fill="FFFFFF"/>
                <w:lang w:val="hy-AM"/>
              </w:rPr>
              <w:t xml:space="preserve">տուրքի </w:t>
            </w:r>
            <w:r w:rsidRPr="00F619A4">
              <w:rPr>
                <w:rStyle w:val="apple-converted-space"/>
                <w:rFonts w:eastAsia="MS Mincho" w:cs="Courier New"/>
                <w:noProof/>
                <w:lang w:val="hy-AM"/>
              </w:rPr>
              <w:t>վճարումից ազատվում են օրենսդիր և գործադիր իշխանության, տեղական ինքնակառավարման մարմինները, ինչպես նաև ՀՀ կենսաթոշակային և զբաղվածության հիմնադրամը, Մարդու իրավունքների պաշտպանը` ՀՀ կառավարության սահմանած կարգով: ՀՀ</w:t>
            </w:r>
            <w:r w:rsidRPr="00F619A4">
              <w:rPr>
                <w:rStyle w:val="apple-converted-space"/>
                <w:rFonts w:ascii="Courier New" w:eastAsia="MS Mincho" w:hAnsi="Courier New" w:cs="Courier New"/>
                <w:noProof/>
                <w:lang w:val="hy-AM"/>
              </w:rPr>
              <w:t> </w:t>
            </w:r>
            <w:r w:rsidRPr="00F619A4">
              <w:rPr>
                <w:rStyle w:val="apple-converted-space"/>
                <w:rFonts w:eastAsia="MS Mincho" w:cs="Courier New"/>
                <w:noProof/>
                <w:shd w:val="clear" w:color="auto" w:fill="FFFFFF"/>
                <w:lang w:val="hy-AM"/>
              </w:rPr>
              <w:t>պետական</w:t>
            </w:r>
            <w:r w:rsidRPr="00F619A4">
              <w:rPr>
                <w:rStyle w:val="apple-converted-space"/>
                <w:rFonts w:ascii="Courier New" w:eastAsia="MS Mincho" w:hAnsi="Courier New" w:cs="Courier New"/>
                <w:noProof/>
                <w:lang w:val="hy-AM"/>
              </w:rPr>
              <w:t> </w:t>
            </w:r>
            <w:r w:rsidRPr="00F619A4">
              <w:rPr>
                <w:rStyle w:val="apple-converted-space"/>
                <w:rFonts w:eastAsia="MS Mincho" w:cs="Courier New"/>
                <w:noProof/>
                <w:lang w:val="hy-AM"/>
              </w:rPr>
              <w:t>ռեգիստրում պահվող և ինտերնետային կայքում տեղադրված ամբողջական տեղեկությունների տրամադրման համար</w:t>
            </w:r>
            <w:r w:rsidRPr="00F619A4">
              <w:rPr>
                <w:rStyle w:val="apple-converted-space"/>
                <w:rFonts w:ascii="Courier New" w:eastAsia="MS Mincho" w:hAnsi="Courier New" w:cs="Courier New"/>
                <w:noProof/>
                <w:lang w:val="hy-AM"/>
              </w:rPr>
              <w:t> </w:t>
            </w:r>
            <w:r w:rsidRPr="00F619A4">
              <w:rPr>
                <w:rStyle w:val="apple-converted-space"/>
                <w:rFonts w:eastAsia="MS Mincho" w:cs="Courier New"/>
                <w:noProof/>
                <w:shd w:val="clear" w:color="auto" w:fill="FFFFFF"/>
                <w:lang w:val="hy-AM"/>
              </w:rPr>
              <w:t>պետական</w:t>
            </w:r>
            <w:r w:rsidRPr="00F619A4">
              <w:rPr>
                <w:rStyle w:val="apple-converted-space"/>
                <w:rFonts w:ascii="Courier New" w:eastAsia="MS Mincho" w:hAnsi="Courier New" w:cs="Courier New"/>
                <w:noProof/>
                <w:lang w:val="hy-AM"/>
              </w:rPr>
              <w:t> </w:t>
            </w:r>
            <w:r w:rsidRPr="00F619A4">
              <w:rPr>
                <w:rStyle w:val="apple-converted-space"/>
                <w:rFonts w:eastAsia="MS Mincho" w:cs="Courier New"/>
                <w:noProof/>
                <w:shd w:val="clear" w:color="auto" w:fill="FFFFFF"/>
                <w:lang w:val="hy-AM"/>
              </w:rPr>
              <w:t>տուրքի</w:t>
            </w:r>
            <w:r w:rsidRPr="00F619A4">
              <w:rPr>
                <w:rStyle w:val="apple-converted-space"/>
                <w:rFonts w:ascii="Courier New" w:eastAsia="MS Mincho" w:hAnsi="Courier New" w:cs="Courier New"/>
                <w:noProof/>
                <w:lang w:val="hy-AM"/>
              </w:rPr>
              <w:t> </w:t>
            </w:r>
            <w:r w:rsidRPr="00F619A4">
              <w:rPr>
                <w:rStyle w:val="apple-converted-space"/>
                <w:rFonts w:eastAsia="MS Mincho" w:cs="Courier New"/>
                <w:noProof/>
                <w:lang w:val="hy-AM"/>
              </w:rPr>
              <w:t>վճարումից ազատվում են նաև դատական իշխանության մարմինները, ՀՀ դատախազական մարմինները, օրենքով ստեղծված մշտապես գործող մարմինները,</w:t>
            </w:r>
            <w:r w:rsidRPr="00F619A4">
              <w:rPr>
                <w:rStyle w:val="apple-converted-space"/>
                <w:rFonts w:ascii="Courier New" w:eastAsia="MS Mincho" w:hAnsi="Courier New" w:cs="Courier New"/>
                <w:noProof/>
                <w:lang w:val="hy-AM"/>
              </w:rPr>
              <w:t> </w:t>
            </w:r>
            <w:r w:rsidRPr="00F619A4">
              <w:rPr>
                <w:rStyle w:val="apple-converted-space"/>
                <w:rFonts w:eastAsia="MS Mincho" w:cs="Courier New"/>
                <w:noProof/>
                <w:lang w:val="hy-AM"/>
              </w:rPr>
              <w:t>նոտարները, բանկերը և այլ կազմակերպություններ` ՀՀ կառավարության սահմանած կարգով:</w:t>
            </w:r>
            <w:r w:rsidRPr="00F619A4">
              <w:rPr>
                <w:rStyle w:val="apple-converted-space"/>
                <w:rFonts w:eastAsia="MS Mincho" w:cs="Courier New"/>
                <w:noProof/>
                <w:shd w:val="clear" w:color="auto" w:fill="FFFFFF"/>
                <w:lang w:val="hy-AM"/>
              </w:rPr>
              <w:t xml:space="preserve"> </w:t>
            </w:r>
          </w:p>
          <w:p w:rsidR="001F6D5D" w:rsidRPr="00F619A4" w:rsidRDefault="001F6D5D" w:rsidP="00277183">
            <w:pPr>
              <w:ind w:firstLine="375"/>
              <w:jc w:val="both"/>
              <w:rPr>
                <w:color w:val="000000"/>
                <w:lang w:val="hy-AM"/>
              </w:rPr>
            </w:pPr>
            <w:r w:rsidRPr="00F619A4">
              <w:rPr>
                <w:rStyle w:val="apple-converted-space"/>
                <w:rFonts w:eastAsia="MS Mincho" w:cs="Courier New"/>
                <w:noProof/>
                <w:shd w:val="clear" w:color="auto" w:fill="FFFFFF"/>
                <w:lang w:val="hy-AM"/>
              </w:rPr>
              <w:t xml:space="preserve">Նշված շարքում ընդգրկված չեն </w:t>
            </w:r>
            <w:r w:rsidRPr="00F619A4">
              <w:rPr>
                <w:color w:val="000000"/>
                <w:shd w:val="clear" w:color="auto" w:fill="FFFFFF"/>
                <w:lang w:val="hy-AM"/>
              </w:rPr>
              <w:t></w:t>
            </w:r>
            <w:r w:rsidRPr="00F619A4">
              <w:rPr>
                <w:rFonts w:cs="GHEA Grapalat"/>
                <w:lang w:val="hy-AM" w:eastAsia="zh-CN"/>
              </w:rPr>
              <w:t>Իրավաբանական անձանց պետական գրանցման, իրավաբանական անձանց առանձնացված ստորաբաժանումների, հիմնարկների և անհատ ձեռնարկատերերի պետական հաշվառման մասին օրենքով սահմանված կարգով հաշվառված լրատվության միջոցները՝ հանգեցնելով նրան, որ նշված լրատվամիջոցները պարտավոր են հանրային շահերին վերաբերող հարցերի շուրջ հավաստի և ամբողջական տեղեկատվության ստացման համար վճարել պետական տուրք: Արդյունքում՝ այդպիսի լրատվամիջոցների վրա դրվում է լրացուցիչ ֆինանսական բեռ:</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shd w:val="clear" w:color="auto" w:fill="FFFFFF"/>
              <w:ind w:firstLine="375"/>
              <w:jc w:val="both"/>
              <w:rPr>
                <w:noProof/>
                <w:lang w:val="hy-AM"/>
              </w:rPr>
            </w:pPr>
            <w:r w:rsidRPr="00F619A4">
              <w:rPr>
                <w:noProof/>
                <w:lang w:val="hy-AM"/>
              </w:rPr>
              <w:t xml:space="preserve">Հաշվի առնելով վերոգրյալը՝ անհրաժեշտ է մշակել և ՀՀ կառավարության քննարկմանը ներկայացնել </w:t>
            </w:r>
            <w:r w:rsidRPr="00F619A4">
              <w:rPr>
                <w:lang w:val="hy-AM"/>
              </w:rPr>
              <w:t>«Պետական տուրքի մասին Հայաստանի Հանրապետության օրենքում լրացում կատարելու մասին ՀՀ օրենքի նախագիծը, որով</w:t>
            </w:r>
            <w:r w:rsidRPr="00F619A4">
              <w:rPr>
                <w:noProof/>
                <w:lang w:val="hy-AM"/>
              </w:rPr>
              <w:t xml:space="preserve"> կառաջարկվի </w:t>
            </w:r>
            <w:r w:rsidRPr="00F619A4">
              <w:rPr>
                <w:color w:val="000000"/>
                <w:shd w:val="clear" w:color="auto" w:fill="FFFFFF"/>
                <w:lang w:val="hy-AM"/>
              </w:rPr>
              <w:t>Հայաստանի Հանրապետության պետական ռեգիստրում պահվող տեղեկությունների տրամադրման համար պետական տուրքի վճարումից ազատել Իրավաբանական անձանց պետական գրանցման, իրավաբանական անձանց առանձնացված ստորաբաժանումների, հիմնարկների և անհատ ձեռնարկատերերի պետական հաշվառման մասին օրենքով սահմանված կարգով հաշվառված լրատվության միջոցներին՝ բացառությամբ այն դեպքերի, երբ մեկ ամսվա ընթացքում պահանջվող տեղեկությունների քանակը գերազանցում է տպագրված կամ պատճենահանված 10 էջը: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ind w:firstLine="375"/>
              <w:jc w:val="both"/>
              <w:rPr>
                <w:lang w:val="hy-AM"/>
              </w:rPr>
            </w:pPr>
            <w:r w:rsidRPr="00F619A4">
              <w:rPr>
                <w:lang w:val="hy-AM"/>
              </w:rPr>
              <w:t xml:space="preserve">Նախագծի ընդունման արդյունքում կվերացվի </w:t>
            </w:r>
            <w:r w:rsidRPr="00F619A4">
              <w:rPr>
                <w:rFonts w:cs="GHEA Grapalat"/>
                <w:spacing w:val="-8"/>
                <w:lang w:val="hy-AM" w:eastAsia="zh-CN"/>
              </w:rPr>
              <w:t>սահմանված</w:t>
            </w:r>
            <w:r w:rsidRPr="00F619A4">
              <w:rPr>
                <w:rFonts w:eastAsia="GHEA Grapalat" w:cs="GHEA Grapalat"/>
                <w:spacing w:val="-8"/>
                <w:lang w:val="hy-AM" w:eastAsia="zh-CN"/>
              </w:rPr>
              <w:t xml:space="preserve"> </w:t>
            </w:r>
            <w:r w:rsidRPr="00F619A4">
              <w:rPr>
                <w:rFonts w:cs="GHEA Grapalat"/>
                <w:spacing w:val="-8"/>
                <w:lang w:val="hy-AM" w:eastAsia="zh-CN"/>
              </w:rPr>
              <w:t>կարգով</w:t>
            </w:r>
            <w:r w:rsidRPr="00F619A4">
              <w:rPr>
                <w:rFonts w:eastAsia="GHEA Grapalat" w:cs="GHEA Grapalat"/>
                <w:spacing w:val="-8"/>
                <w:lang w:val="hy-AM" w:eastAsia="zh-CN"/>
              </w:rPr>
              <w:t xml:space="preserve"> </w:t>
            </w:r>
            <w:r w:rsidRPr="00F619A4">
              <w:rPr>
                <w:rFonts w:cs="GHEA Grapalat"/>
                <w:spacing w:val="-8"/>
                <w:lang w:val="hy-AM" w:eastAsia="zh-CN"/>
              </w:rPr>
              <w:t>հաշվառված</w:t>
            </w:r>
            <w:r w:rsidRPr="00F619A4">
              <w:rPr>
                <w:rFonts w:eastAsia="GHEA Grapalat" w:cs="GHEA Grapalat"/>
                <w:spacing w:val="-8"/>
                <w:lang w:val="hy-AM" w:eastAsia="zh-CN"/>
              </w:rPr>
              <w:t xml:space="preserve"> </w:t>
            </w:r>
            <w:r w:rsidRPr="00F619A4">
              <w:rPr>
                <w:rFonts w:cs="GHEA Grapalat"/>
                <w:spacing w:val="-8"/>
                <w:lang w:val="hy-AM" w:eastAsia="zh-CN"/>
              </w:rPr>
              <w:t>լրատվամիջոցների՝</w:t>
            </w:r>
            <w:r w:rsidRPr="00F619A4">
              <w:rPr>
                <w:lang w:val="hy-AM"/>
              </w:rPr>
              <w:t xml:space="preserve"> </w:t>
            </w:r>
            <w:r w:rsidRPr="00F619A4">
              <w:rPr>
                <w:rFonts w:cs="GHEA Grapalat"/>
                <w:lang w:val="hy-AM" w:eastAsia="zh-CN"/>
              </w:rPr>
              <w:t>իրավաբանական</w:t>
            </w:r>
            <w:r w:rsidRPr="00F619A4">
              <w:rPr>
                <w:rFonts w:eastAsia="GHEA Grapalat" w:cs="GHEA Grapalat"/>
                <w:lang w:val="hy-AM" w:eastAsia="zh-CN"/>
              </w:rPr>
              <w:t xml:space="preserve"> </w:t>
            </w:r>
            <w:r w:rsidRPr="00F619A4">
              <w:rPr>
                <w:rFonts w:cs="GHEA Grapalat"/>
                <w:lang w:val="hy-AM" w:eastAsia="zh-CN"/>
              </w:rPr>
              <w:t>անձանց</w:t>
            </w:r>
            <w:r w:rsidRPr="00F619A4">
              <w:rPr>
                <w:rFonts w:eastAsia="GHEA Grapalat" w:cs="GHEA Grapalat"/>
                <w:lang w:val="hy-AM" w:eastAsia="zh-CN"/>
              </w:rPr>
              <w:t xml:space="preserve"> </w:t>
            </w:r>
            <w:r w:rsidRPr="00F619A4">
              <w:rPr>
                <w:rFonts w:cs="GHEA Grapalat"/>
                <w:lang w:val="hy-AM" w:eastAsia="zh-CN"/>
              </w:rPr>
              <w:t>միասնական</w:t>
            </w:r>
            <w:r w:rsidRPr="00F619A4">
              <w:rPr>
                <w:rFonts w:eastAsia="GHEA Grapalat" w:cs="GHEA Grapalat"/>
                <w:lang w:val="hy-AM" w:eastAsia="zh-CN"/>
              </w:rPr>
              <w:t xml:space="preserve"> </w:t>
            </w:r>
            <w:r w:rsidRPr="00F619A4">
              <w:rPr>
                <w:rFonts w:cs="GHEA Grapalat"/>
                <w:lang w:val="hy-AM" w:eastAsia="zh-CN"/>
              </w:rPr>
              <w:t>պետական</w:t>
            </w:r>
            <w:r w:rsidRPr="00F619A4">
              <w:rPr>
                <w:rFonts w:eastAsia="GHEA Grapalat" w:cs="GHEA Grapalat"/>
                <w:lang w:val="hy-AM" w:eastAsia="zh-CN"/>
              </w:rPr>
              <w:t xml:space="preserve"> </w:t>
            </w:r>
            <w:r w:rsidRPr="00F619A4">
              <w:rPr>
                <w:rFonts w:cs="GHEA Grapalat"/>
                <w:lang w:val="hy-AM" w:eastAsia="zh-CN"/>
              </w:rPr>
              <w:t>գրանցամատյանում</w:t>
            </w:r>
            <w:r w:rsidRPr="00F619A4">
              <w:rPr>
                <w:rFonts w:eastAsia="GHEA Grapalat" w:cs="GHEA Grapalat"/>
                <w:lang w:val="hy-AM" w:eastAsia="zh-CN"/>
              </w:rPr>
              <w:t xml:space="preserve"> </w:t>
            </w:r>
            <w:r w:rsidRPr="00F619A4">
              <w:rPr>
                <w:rFonts w:cs="GHEA Grapalat"/>
                <w:lang w:val="hy-AM" w:eastAsia="zh-CN"/>
              </w:rPr>
              <w:t>առկա</w:t>
            </w:r>
            <w:r w:rsidRPr="00F619A4">
              <w:rPr>
                <w:rFonts w:eastAsia="GHEA Grapalat" w:cs="GHEA Grapalat"/>
                <w:lang w:val="hy-AM" w:eastAsia="zh-CN"/>
              </w:rPr>
              <w:t xml:space="preserve"> </w:t>
            </w:r>
            <w:r w:rsidRPr="00F619A4">
              <w:rPr>
                <w:rFonts w:cs="GHEA Grapalat"/>
                <w:lang w:val="hy-AM" w:eastAsia="zh-CN"/>
              </w:rPr>
              <w:t>տեղեկությունների ստացման նպատակով</w:t>
            </w:r>
            <w:r w:rsidRPr="00F619A4">
              <w:rPr>
                <w:lang w:val="hy-AM"/>
              </w:rPr>
              <w:t xml:space="preserve"> պետական տուրք վճարելու պարտականությունը՝ այդպիսով վերանայելով </w:t>
            </w:r>
            <w:r w:rsidRPr="00F619A4">
              <w:rPr>
                <w:rFonts w:cs="GHEA Grapalat"/>
                <w:lang w:val="hy-AM" w:eastAsia="zh-CN"/>
              </w:rPr>
              <w:t>միասնական</w:t>
            </w:r>
            <w:r w:rsidRPr="00F619A4">
              <w:rPr>
                <w:rFonts w:eastAsia="GHEA Grapalat" w:cs="GHEA Grapalat"/>
                <w:lang w:val="hy-AM" w:eastAsia="zh-CN"/>
              </w:rPr>
              <w:t xml:space="preserve"> </w:t>
            </w:r>
            <w:r w:rsidRPr="00F619A4">
              <w:rPr>
                <w:rFonts w:cs="GHEA Grapalat"/>
                <w:lang w:val="hy-AM" w:eastAsia="zh-CN"/>
              </w:rPr>
              <w:t>պետական</w:t>
            </w:r>
            <w:r w:rsidRPr="00F619A4">
              <w:rPr>
                <w:rFonts w:eastAsia="GHEA Grapalat" w:cs="GHEA Grapalat"/>
                <w:lang w:val="hy-AM" w:eastAsia="zh-CN"/>
              </w:rPr>
              <w:t xml:space="preserve"> </w:t>
            </w:r>
            <w:r w:rsidRPr="00F619A4">
              <w:rPr>
                <w:rFonts w:cs="GHEA Grapalat"/>
                <w:lang w:val="hy-AM" w:eastAsia="zh-CN"/>
              </w:rPr>
              <w:t>գրանցամատյանում</w:t>
            </w:r>
            <w:r w:rsidRPr="00F619A4">
              <w:rPr>
                <w:rFonts w:eastAsia="GHEA Grapalat" w:cs="GHEA Grapalat"/>
                <w:lang w:val="hy-AM" w:eastAsia="zh-CN"/>
              </w:rPr>
              <w:t xml:space="preserve"> </w:t>
            </w:r>
            <w:r w:rsidRPr="00F619A4">
              <w:rPr>
                <w:rFonts w:cs="GHEA Grapalat"/>
                <w:lang w:val="hy-AM" w:eastAsia="zh-CN"/>
              </w:rPr>
              <w:t>առկա</w:t>
            </w:r>
            <w:r w:rsidRPr="00F619A4">
              <w:rPr>
                <w:rFonts w:eastAsia="GHEA Grapalat" w:cs="GHEA Grapalat"/>
                <w:lang w:val="hy-AM" w:eastAsia="zh-CN"/>
              </w:rPr>
              <w:t xml:space="preserve"> </w:t>
            </w:r>
            <w:r w:rsidRPr="00F619A4">
              <w:rPr>
                <w:rFonts w:cs="GHEA Grapalat"/>
                <w:lang w:val="hy-AM" w:eastAsia="zh-CN"/>
              </w:rPr>
              <w:t>տեղեկությունների՝</w:t>
            </w:r>
            <w:r w:rsidRPr="00F619A4">
              <w:rPr>
                <w:rFonts w:eastAsia="GHEA Grapalat" w:cs="GHEA Grapalat"/>
                <w:lang w:val="hy-AM" w:eastAsia="zh-CN"/>
              </w:rPr>
              <w:t xml:space="preserve"> </w:t>
            </w:r>
            <w:r w:rsidRPr="00F619A4">
              <w:rPr>
                <w:rFonts w:cs="GHEA Grapalat"/>
                <w:lang w:val="hy-AM" w:eastAsia="zh-CN"/>
              </w:rPr>
              <w:t>հանրությանը հասանելի դարձնելու մեխանիզմները և ապահովելով հանրային շահերին վերաբերող հարցերի շուրջ հավաստի և ամբողջական տեղեկատվության ազատությունը</w:t>
            </w:r>
            <w:r w:rsidRPr="00F619A4">
              <w:rPr>
                <w:lang w:val="hy-AM"/>
              </w:rPr>
              <w:t xml:space="preserve">: </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52</w:t>
            </w:r>
          </w:p>
        </w:tc>
        <w:tc>
          <w:tcPr>
            <w:tcW w:w="10878" w:type="dxa"/>
          </w:tcPr>
          <w:p w:rsidR="001F6D5D" w:rsidRPr="00F619A4" w:rsidRDefault="001F6D5D" w:rsidP="00277183">
            <w:pPr>
              <w:jc w:val="center"/>
              <w:rPr>
                <w:b/>
                <w:lang w:val="hy-AM"/>
              </w:rPr>
            </w:pPr>
            <w:r w:rsidRPr="00F619A4">
              <w:rPr>
                <w:b/>
                <w:lang w:val="hy-AM"/>
              </w:rPr>
              <w:t>ՕՐԵՆՔԻ ԱՌՋԵՎ ԲՈԼՈՐԻ ՀԱՎԱՍԱՐՈՒԹՅԱՆ, ԱՐԴԱՐԱԴԱՏՈՒԹՅԱՆ ԵՎ ՄԱՐԴՈՒ ԻՐԱՎՈՒՆՔԵՐԻ ՊԱՇՏՊԱՆՈՒԹՅԱՆ ԱՊԱՀՈՎՈՒՄ</w:t>
            </w:r>
          </w:p>
          <w:p w:rsidR="001F6D5D" w:rsidRPr="00F619A4" w:rsidRDefault="001F6D5D" w:rsidP="00277183">
            <w:pPr>
              <w:jc w:val="center"/>
              <w:rPr>
                <w:b/>
                <w:lang w:val="hy-AM"/>
              </w:rPr>
            </w:pPr>
            <w:r w:rsidRPr="00F619A4">
              <w:rPr>
                <w:b/>
                <w:lang w:val="hy-AM"/>
              </w:rPr>
              <w:t>ՀՀ քրեակատարողական նոր օրենսգրքի նախագծի ներկայացում Վարչապետի աշխատակազմ</w:t>
            </w:r>
          </w:p>
          <w:p w:rsidR="001F6D5D" w:rsidRPr="00F619A4" w:rsidRDefault="001F6D5D" w:rsidP="00277183">
            <w:pPr>
              <w:pStyle w:val="ListParagraph"/>
              <w:rPr>
                <w:b/>
                <w:u w:val="single"/>
                <w:lang w:val="hy-AM"/>
              </w:rPr>
            </w:pP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tabs>
                <w:tab w:val="left" w:pos="180"/>
              </w:tabs>
              <w:ind w:left="86" w:firstLine="634"/>
              <w:jc w:val="both"/>
              <w:rPr>
                <w:rFonts w:cs="Sylfaen"/>
                <w:noProof/>
                <w:color w:val="000000"/>
                <w:lang w:val="hy-AM"/>
              </w:rPr>
            </w:pPr>
            <w:r w:rsidRPr="00F619A4">
              <w:rPr>
                <w:rFonts w:cs="Sylfaen"/>
                <w:noProof/>
                <w:color w:val="000000"/>
                <w:lang w:val="hy-AM"/>
              </w:rPr>
              <w:t>Հայաստանի Հանրապետությունում իրականացվող բարեփոխումների շրջանակներում առանձնակի կարևորվում է քրեական պատիժների համակարգի արդիականացումը և դրա նպատակայնության ապահովումը</w:t>
            </w:r>
            <w:r w:rsidRPr="00F619A4">
              <w:rPr>
                <w:rFonts w:ascii="Sylfaen" w:hAnsi="Sylfaen" w:cs="Sylfaen"/>
                <w:noProof/>
                <w:color w:val="000000"/>
                <w:lang w:val="hy-AM"/>
              </w:rPr>
              <w:t xml:space="preserve">, </w:t>
            </w:r>
            <w:r w:rsidRPr="00F619A4">
              <w:rPr>
                <w:rFonts w:cs="Sylfaen"/>
                <w:noProof/>
                <w:color w:val="000000"/>
                <w:lang w:val="hy-AM"/>
              </w:rPr>
              <w:t>քրեական պատիժների</w:t>
            </w:r>
            <w:r w:rsidRPr="00F619A4">
              <w:rPr>
                <w:rFonts w:cs="Arial"/>
                <w:noProof/>
                <w:color w:val="000000"/>
                <w:lang w:val="hy-AM"/>
              </w:rPr>
              <w:t xml:space="preserve"> </w:t>
            </w:r>
            <w:r w:rsidRPr="00F619A4">
              <w:rPr>
                <w:rFonts w:cs="Sylfaen"/>
                <w:noProof/>
                <w:color w:val="000000"/>
                <w:lang w:val="hy-AM"/>
              </w:rPr>
              <w:t>ոլորտում</w:t>
            </w:r>
            <w:r w:rsidRPr="00F619A4">
              <w:rPr>
                <w:rFonts w:cs="Arial"/>
                <w:noProof/>
                <w:color w:val="000000"/>
                <w:lang w:val="hy-AM"/>
              </w:rPr>
              <w:t xml:space="preserve"> </w:t>
            </w:r>
            <w:r w:rsidRPr="00F619A4">
              <w:rPr>
                <w:rFonts w:cs="Sylfaen"/>
                <w:noProof/>
                <w:color w:val="000000"/>
                <w:lang w:val="hy-AM"/>
              </w:rPr>
              <w:t>անձանց</w:t>
            </w:r>
            <w:r w:rsidRPr="00F619A4">
              <w:rPr>
                <w:rFonts w:cs="Arial"/>
                <w:noProof/>
                <w:color w:val="000000"/>
                <w:lang w:val="hy-AM"/>
              </w:rPr>
              <w:t xml:space="preserve"> </w:t>
            </w:r>
            <w:r w:rsidRPr="00F619A4">
              <w:rPr>
                <w:rFonts w:cs="Sylfaen"/>
                <w:noProof/>
                <w:color w:val="000000"/>
                <w:lang w:val="hy-AM"/>
              </w:rPr>
              <w:t>իրավունքների</w:t>
            </w:r>
            <w:r w:rsidRPr="00F619A4">
              <w:rPr>
                <w:rFonts w:cs="Arial"/>
                <w:noProof/>
                <w:color w:val="000000"/>
                <w:lang w:val="hy-AM"/>
              </w:rPr>
              <w:t xml:space="preserve"> </w:t>
            </w:r>
            <w:r w:rsidRPr="00F619A4">
              <w:rPr>
                <w:rFonts w:cs="Sylfaen"/>
                <w:noProof/>
                <w:color w:val="000000"/>
                <w:lang w:val="hy-AM"/>
              </w:rPr>
              <w:t>և</w:t>
            </w:r>
            <w:r w:rsidRPr="00F619A4">
              <w:rPr>
                <w:rFonts w:cs="Arial"/>
                <w:noProof/>
                <w:color w:val="000000"/>
                <w:lang w:val="hy-AM"/>
              </w:rPr>
              <w:t xml:space="preserve"> </w:t>
            </w:r>
            <w:r w:rsidRPr="00F619A4">
              <w:rPr>
                <w:rFonts w:cs="Sylfaen"/>
                <w:noProof/>
                <w:color w:val="000000"/>
                <w:lang w:val="hy-AM"/>
              </w:rPr>
              <w:t>օրինական</w:t>
            </w:r>
            <w:r w:rsidRPr="00F619A4">
              <w:rPr>
                <w:rFonts w:cs="Arial"/>
                <w:noProof/>
                <w:color w:val="000000"/>
                <w:lang w:val="hy-AM"/>
              </w:rPr>
              <w:t xml:space="preserve"> </w:t>
            </w:r>
            <w:r w:rsidRPr="00F619A4">
              <w:rPr>
                <w:rFonts w:cs="Sylfaen"/>
                <w:noProof/>
                <w:color w:val="000000"/>
                <w:lang w:val="hy-AM"/>
              </w:rPr>
              <w:t>շահերի</w:t>
            </w:r>
            <w:r w:rsidRPr="00F619A4">
              <w:rPr>
                <w:rFonts w:cs="Arial"/>
                <w:noProof/>
                <w:color w:val="000000"/>
                <w:lang w:val="hy-AM"/>
              </w:rPr>
              <w:t xml:space="preserve"> արդյունավետ պաշտպանությունը, դրանց </w:t>
            </w:r>
            <w:r w:rsidRPr="00F619A4">
              <w:rPr>
                <w:rFonts w:cs="Sylfaen"/>
                <w:noProof/>
                <w:color w:val="000000"/>
                <w:lang w:val="hy-AM"/>
              </w:rPr>
              <w:t>լիարժեք</w:t>
            </w:r>
            <w:r w:rsidRPr="00F619A4">
              <w:rPr>
                <w:rFonts w:cs="Arial"/>
                <w:noProof/>
                <w:color w:val="000000"/>
                <w:lang w:val="hy-AM"/>
              </w:rPr>
              <w:t xml:space="preserve"> </w:t>
            </w:r>
            <w:r w:rsidRPr="00F619A4">
              <w:rPr>
                <w:rFonts w:cs="Sylfaen"/>
                <w:noProof/>
                <w:color w:val="000000"/>
                <w:lang w:val="hy-AM"/>
              </w:rPr>
              <w:t>իրացման երաշխիքների ստեղծումը։ Պատահական չէ, որ 2019 թվականի փետրվարի 14-ի ԱԺՕ-002-Ն որոշմամբ հավանության արժանացած ՀՀ կառավարության ծրագրի Ազատ, արժանապատիվ և երջանիկ քաղաքացի վերտառությամբ 4-րդ բաժնի Օրենքի առջև բոլորի հավասարությունը, արդարադատությունը և մարդու իրավունքների պաշտպանությունը վերտառությամբ 4.1-րդ գլխում ևս շեշտադրված է այն հանգամանքը, որ ՀՀ կառավարությունը վճռական է վերականգնողական արդարադատության սկզբունքների արմատավորման հարցում: Միաժամանակ, կարևորելով ազատությունից զրկված անձանց իրավունքների անխոչընդոտ իրացումը՝ ընդգծվել է, որ պետք է շարունակական քայլեր ձեռնարկվեն ազատությունից զրկված անձանց հիմնական իրավունքների երաշխավորման, այդ թվում՝ արտաքին աշխարհի հետ կապի ամրապնդման, պահման պայմանների բարելավման, նրանց տրամադրվող բժշկական օգնության և սպասարկման որակի բարձրացման, վերասոցիալականացման գործընթացի արդյունավետության բարձրացման նպատակով:</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pStyle w:val="NormalWeb"/>
              <w:shd w:val="clear" w:color="auto" w:fill="FFFFFF"/>
              <w:spacing w:before="0" w:beforeAutospacing="0" w:after="0" w:afterAutospacing="0"/>
              <w:jc w:val="both"/>
              <w:rPr>
                <w:rFonts w:ascii="GHEA Grapalat" w:eastAsiaTheme="minorHAnsi" w:hAnsi="GHEA Grapalat" w:cs="Sylfaen"/>
                <w:noProof/>
                <w:color w:val="000000"/>
                <w:sz w:val="20"/>
                <w:szCs w:val="20"/>
                <w:lang w:val="hy-AM"/>
              </w:rPr>
            </w:pPr>
            <w:r w:rsidRPr="00F619A4">
              <w:rPr>
                <w:rFonts w:ascii="GHEA Grapalat" w:eastAsiaTheme="minorHAnsi" w:hAnsi="GHEA Grapalat" w:cs="Sylfaen"/>
                <w:noProof/>
                <w:color w:val="000000"/>
                <w:sz w:val="20"/>
                <w:szCs w:val="20"/>
                <w:lang w:val="hy-AM"/>
              </w:rPr>
              <w:t xml:space="preserve">          ՀՀ քրեակատարողական օրենսգիրքն ընդունվել է դեռևս 2004 թվականին։ Նշված օրենսգրքի նորմերի գիտական վերլուծության և գործնական կիրառման արդյունքները ամուր հիմք են տալիս այն պնդման համար, որ քրեական պատիժների համակարգը վերաիմաստավորման և արդիականացման կարիք ունի։ </w:t>
            </w:r>
          </w:p>
          <w:p w:rsidR="001F6D5D" w:rsidRPr="00F619A4" w:rsidRDefault="001F6D5D" w:rsidP="00277183">
            <w:pPr>
              <w:pStyle w:val="NormalWeb"/>
              <w:shd w:val="clear" w:color="auto" w:fill="FFFFFF"/>
              <w:spacing w:before="0" w:beforeAutospacing="0" w:after="0" w:afterAutospacing="0"/>
              <w:jc w:val="both"/>
              <w:rPr>
                <w:rFonts w:ascii="Sylfaen" w:eastAsiaTheme="minorHAnsi" w:hAnsi="Sylfaen" w:cs="Sylfaen"/>
                <w:noProof/>
                <w:color w:val="000000"/>
                <w:sz w:val="20"/>
                <w:szCs w:val="20"/>
                <w:lang w:val="hy-AM"/>
              </w:rPr>
            </w:pPr>
            <w:r w:rsidRPr="00F619A4">
              <w:rPr>
                <w:rFonts w:ascii="Sylfaen" w:eastAsiaTheme="minorHAnsi" w:hAnsi="Sylfaen" w:cs="Sylfaen"/>
                <w:noProof/>
                <w:color w:val="000000"/>
                <w:sz w:val="20"/>
                <w:szCs w:val="20"/>
                <w:lang w:val="hy-AM"/>
              </w:rPr>
              <w:t xml:space="preserve">           </w:t>
            </w:r>
            <w:r w:rsidRPr="00F619A4">
              <w:rPr>
                <w:rFonts w:ascii="GHEA Grapalat" w:eastAsiaTheme="minorHAnsi" w:hAnsi="GHEA Grapalat" w:cs="Sylfaen"/>
                <w:noProof/>
                <w:color w:val="000000"/>
                <w:sz w:val="20"/>
                <w:szCs w:val="20"/>
                <w:lang w:val="hy-AM"/>
              </w:rPr>
              <w:t>Քրեակատարողական ոլորտը կանոնակարգող մայր օրենքի՝ ՀՀ քրեակատարողական օրենսգրքի վերանայման և բարեփոխման անհրաժեշտության մասին են վկայում նաև ՀՀ ստանձնած միջազգային պարտավորությունները, այդ թվում՝ Մարդու իրավունքների եվրոպական դատարանի վճիռները (այդ թվում՝ ընդդեմ Հայաստանի կայացված), Խոշտանգումների և անմարդկային կամ նվաստացնող վերաբերմունքի կամ պատժի կանխարգելման եվրոպական կոմիտեի (ԽԿԿ) առաջարկությունները և ԽԿԿ զեկույցներում (այդ թվում՝ Հայաստանի Հանրապետություն կատարած այցերի վերաբերյալ) տեղ գտած դիտարկումները, ՀՀ Մարդու իրավունքների պաշտպանի զեկույցները, այդ թվում՝ որպես Կանխարգելման ազգային մեխանիզմ ներկայացված դիրքորոշումները, ինչպես նաև ՀՀ արդարադատության նախարարության քրեակատարողական հիմնարկներում և մարմիններում հասարակական վերահսկողություն իրականացնող հասարակական դիտորդների խմբի հրատապ, ընթացիկ և տարեկան հաշվետվությունները</w:t>
            </w:r>
            <w:r w:rsidRPr="00F619A4">
              <w:rPr>
                <w:rFonts w:ascii="Sylfaen" w:eastAsiaTheme="minorHAnsi" w:hAnsi="Sylfaen" w:cs="Sylfaen"/>
                <w:noProof/>
                <w:color w:val="000000"/>
                <w:sz w:val="20"/>
                <w:szCs w:val="20"/>
                <w:lang w:val="hy-AM"/>
              </w:rPr>
              <w:t>։</w:t>
            </w:r>
          </w:p>
          <w:p w:rsidR="001F6D5D" w:rsidRPr="00F619A4" w:rsidRDefault="001F6D5D" w:rsidP="00277183">
            <w:pPr>
              <w:pStyle w:val="NormalWeb"/>
              <w:shd w:val="clear" w:color="auto" w:fill="FFFFFF"/>
              <w:spacing w:before="0" w:beforeAutospacing="0" w:after="0" w:afterAutospacing="0"/>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pStyle w:val="NormalWeb"/>
              <w:shd w:val="clear" w:color="auto" w:fill="FFFFFF"/>
              <w:spacing w:before="0" w:beforeAutospacing="0" w:after="0" w:afterAutospacing="0"/>
              <w:jc w:val="both"/>
              <w:rPr>
                <w:rFonts w:ascii="Sylfaen" w:hAnsi="Sylfaen"/>
                <w:b/>
                <w:sz w:val="20"/>
                <w:szCs w:val="20"/>
                <w:lang w:val="hy-AM"/>
              </w:rPr>
            </w:pPr>
            <w:r w:rsidRPr="00F619A4">
              <w:rPr>
                <w:rFonts w:ascii="GHEA Grapalat" w:eastAsiaTheme="minorHAnsi" w:hAnsi="GHEA Grapalat" w:cstheme="minorBidi"/>
                <w:noProof/>
                <w:sz w:val="20"/>
                <w:szCs w:val="20"/>
                <w:lang w:val="hy-AM"/>
              </w:rPr>
              <w:t xml:space="preserve">           Մարդու իրավունքների եվրոպական դատարանի վճիռների (այդ թվում՝ ընդդեմ Հայաստանի կայացված), Խոշտանգումների և անմարդկային կամ նվաստացնող վերաբերմունքի կամ պատժի կանխարգելման եվրոպական կոմիտեի (ԽԿԿ) </w:t>
            </w:r>
            <w:r w:rsidRPr="00F619A4">
              <w:rPr>
                <w:rFonts w:ascii="GHEA Grapalat" w:hAnsi="GHEA Grapalat"/>
                <w:noProof/>
                <w:sz w:val="20"/>
                <w:szCs w:val="20"/>
                <w:lang w:val="hy-AM"/>
              </w:rPr>
              <w:t>առաջարկություններ</w:t>
            </w:r>
            <w:r w:rsidRPr="00F619A4">
              <w:rPr>
                <w:rFonts w:ascii="GHEA Grapalat" w:eastAsiaTheme="minorHAnsi" w:hAnsi="GHEA Grapalat" w:cstheme="minorBidi"/>
                <w:noProof/>
                <w:sz w:val="20"/>
                <w:szCs w:val="20"/>
                <w:lang w:val="hy-AM"/>
              </w:rPr>
              <w:t>ի և ԽԿԿ զեկույցներում (այդ թվում՝ Հայաստանի Հանրապետություն կատարած այցերի վերաբերյալ) տեղ գտած դիտարկումների, ՀՀ Մարդու իրավունքների պաշտպանի զեկույցների, այդ թվում՝ որպես Կանխարգելման ազգային մեխանիզմ ներկայացված դիրքորոշումների, ՀՀ արդարադատության նախարարության քրեակատարողական հիմնարկներում և մարմիններում հասարակական վերահսկողություն իրականացնող հասարակական դիտորդների խմբի հրատապ, ընթացիկ և տարեկան հաշվետվությունների հաշվառմամբ առաջարկվում է մշակել ՀՀ քրեակատարողական նոր օրենսգրքի նախագիծ, որով քրեակատարողական ոլորտը կանոնակարգող մայր օրենքը կկատարելագործվի և կհամապատասխանեցվի միջազգային չափանիշներին։</w:t>
            </w:r>
            <w:r w:rsidRPr="00F619A4">
              <w:rPr>
                <w:rFonts w:ascii="GHEA Grapalat" w:hAnsi="GHEA Grapalat"/>
                <w:b/>
                <w:sz w:val="20"/>
                <w:szCs w:val="20"/>
                <w:lang w:val="hy-AM"/>
              </w:rPr>
              <w:t xml:space="preserve"> </w:t>
            </w:r>
          </w:p>
          <w:p w:rsidR="001F6D5D" w:rsidRPr="00F619A4" w:rsidRDefault="001F6D5D" w:rsidP="00277183">
            <w:pPr>
              <w:pStyle w:val="NormalWeb"/>
              <w:shd w:val="clear" w:color="auto" w:fill="FFFFFF"/>
              <w:spacing w:before="0" w:beforeAutospacing="0" w:after="0" w:afterAutospacing="0"/>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tabs>
                <w:tab w:val="left" w:pos="717"/>
                <w:tab w:val="left" w:pos="4277"/>
              </w:tabs>
              <w:jc w:val="both"/>
              <w:rPr>
                <w:rFonts w:ascii="Sylfaen" w:hAnsi="Sylfaen" w:cs="Sylfaen"/>
                <w:noProof/>
                <w:lang w:val="hy-AM"/>
              </w:rPr>
            </w:pPr>
            <w:r w:rsidRPr="00F619A4">
              <w:rPr>
                <w:rFonts w:ascii="Sylfaen" w:hAnsi="Sylfaen" w:cs="Sylfaen"/>
                <w:noProof/>
                <w:lang w:val="hy-AM"/>
              </w:rPr>
              <w:t xml:space="preserve">          </w:t>
            </w:r>
            <w:r w:rsidRPr="00F619A4">
              <w:rPr>
                <w:rFonts w:cs="Sylfaen"/>
                <w:noProof/>
                <w:lang w:val="hy-AM"/>
              </w:rPr>
              <w:t>ՀՀ քրեակատարողական նոր օրենսգրքի նախագծով առաջարկվող հիմնարար և սկզբունքային նորամուծությունների շնորհիվ քրեակատարողական գործող համակարգը կկատարելագործվի, կարդիականացվի քրեական պատիժների համակարգը և կապահովվի դրա նպատակայնությունը։</w:t>
            </w:r>
          </w:p>
          <w:p w:rsidR="001F6D5D" w:rsidRPr="00F619A4" w:rsidRDefault="001F6D5D" w:rsidP="00277183">
            <w:pPr>
              <w:rPr>
                <w:b/>
                <w:u w:val="single"/>
                <w:lang w:val="hy-AM"/>
              </w:rPr>
            </w:pPr>
          </w:p>
          <w:p w:rsidR="001F6D5D" w:rsidRPr="00F619A4" w:rsidRDefault="001F6D5D" w:rsidP="00277183">
            <w:pPr>
              <w:jc w:val="center"/>
              <w:rPr>
                <w:b/>
                <w:u w:val="single"/>
                <w:lang w:val="hy-AM"/>
              </w:rPr>
            </w:pPr>
            <w:r w:rsidRPr="00F619A4">
              <w:rPr>
                <w:b/>
                <w:u w:val="single"/>
                <w:lang w:val="hy-AM"/>
              </w:rPr>
              <w:t xml:space="preserve"> ՀՀ քրեակատարողական ոլորտի ռազմավարության և դրա իրականացման միջոցառումների ծրագրի ներկայացում Վարչապետի աշխատակազմ</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tabs>
                <w:tab w:val="left" w:pos="180"/>
              </w:tabs>
              <w:ind w:left="86" w:firstLine="634"/>
              <w:jc w:val="both"/>
              <w:rPr>
                <w:rFonts w:cs="Sylfaen"/>
                <w:noProof/>
                <w:color w:val="000000"/>
                <w:lang w:val="hy-AM"/>
              </w:rPr>
            </w:pPr>
            <w:r w:rsidRPr="00F619A4">
              <w:rPr>
                <w:rFonts w:cs="Sylfaen"/>
                <w:noProof/>
                <w:color w:val="000000"/>
                <w:lang w:val="hy-AM"/>
              </w:rPr>
              <w:t>Հայաստանի</w:t>
            </w:r>
            <w:r w:rsidRPr="00F619A4">
              <w:rPr>
                <w:rFonts w:cs="Arial"/>
                <w:noProof/>
                <w:color w:val="000000"/>
                <w:lang w:val="hy-AM"/>
              </w:rPr>
              <w:t xml:space="preserve"> </w:t>
            </w:r>
            <w:r w:rsidRPr="00F619A4">
              <w:rPr>
                <w:rFonts w:cs="Sylfaen"/>
                <w:noProof/>
                <w:color w:val="000000"/>
                <w:lang w:val="hy-AM"/>
              </w:rPr>
              <w:t>Հանրապետությունում</w:t>
            </w:r>
            <w:r w:rsidRPr="00F619A4">
              <w:rPr>
                <w:rFonts w:cs="Arial"/>
                <w:noProof/>
                <w:color w:val="000000"/>
                <w:lang w:val="hy-AM"/>
              </w:rPr>
              <w:t xml:space="preserve"> </w:t>
            </w:r>
            <w:r w:rsidRPr="00F619A4">
              <w:rPr>
                <w:rFonts w:cs="Sylfaen"/>
                <w:noProof/>
                <w:color w:val="000000"/>
                <w:lang w:val="hy-AM"/>
              </w:rPr>
              <w:t>իրականացվող</w:t>
            </w:r>
            <w:r w:rsidRPr="00F619A4">
              <w:rPr>
                <w:rFonts w:cs="Arial"/>
                <w:noProof/>
                <w:color w:val="000000"/>
                <w:lang w:val="hy-AM"/>
              </w:rPr>
              <w:t xml:space="preserve"> </w:t>
            </w:r>
            <w:r w:rsidRPr="00F619A4">
              <w:rPr>
                <w:rFonts w:cs="Sylfaen"/>
                <w:noProof/>
                <w:color w:val="000000"/>
                <w:lang w:val="hy-AM"/>
              </w:rPr>
              <w:t>բարեփոխումների</w:t>
            </w:r>
            <w:r w:rsidRPr="00F619A4">
              <w:rPr>
                <w:rFonts w:cs="Arial"/>
                <w:noProof/>
                <w:color w:val="000000"/>
                <w:lang w:val="hy-AM"/>
              </w:rPr>
              <w:t xml:space="preserve"> </w:t>
            </w:r>
            <w:r w:rsidRPr="00F619A4">
              <w:rPr>
                <w:rFonts w:cs="Sylfaen"/>
                <w:noProof/>
                <w:color w:val="000000"/>
                <w:lang w:val="hy-AM"/>
              </w:rPr>
              <w:t>շրջանակներում</w:t>
            </w:r>
            <w:r w:rsidRPr="00F619A4">
              <w:rPr>
                <w:rFonts w:cs="Arial"/>
                <w:noProof/>
                <w:color w:val="000000"/>
                <w:lang w:val="hy-AM"/>
              </w:rPr>
              <w:t xml:space="preserve"> </w:t>
            </w:r>
            <w:r w:rsidRPr="00F619A4">
              <w:rPr>
                <w:rFonts w:cs="Sylfaen"/>
                <w:noProof/>
                <w:color w:val="000000"/>
                <w:lang w:val="hy-AM"/>
              </w:rPr>
              <w:t>առանձնակի</w:t>
            </w:r>
            <w:r w:rsidRPr="00F619A4">
              <w:rPr>
                <w:rFonts w:cs="Arial"/>
                <w:noProof/>
                <w:color w:val="000000"/>
                <w:lang w:val="hy-AM"/>
              </w:rPr>
              <w:t xml:space="preserve"> </w:t>
            </w:r>
            <w:r w:rsidRPr="00F619A4">
              <w:rPr>
                <w:rFonts w:cs="Sylfaen"/>
                <w:noProof/>
                <w:color w:val="000000"/>
                <w:lang w:val="hy-AM"/>
              </w:rPr>
              <w:t>կարևորվում</w:t>
            </w:r>
            <w:r w:rsidRPr="00F619A4">
              <w:rPr>
                <w:rFonts w:cs="Arial"/>
                <w:noProof/>
                <w:color w:val="000000"/>
                <w:lang w:val="hy-AM"/>
              </w:rPr>
              <w:t xml:space="preserve"> </w:t>
            </w:r>
            <w:r w:rsidRPr="00F619A4">
              <w:rPr>
                <w:rFonts w:cs="Sylfaen"/>
                <w:noProof/>
                <w:color w:val="000000"/>
                <w:lang w:val="hy-AM"/>
              </w:rPr>
              <w:t>է</w:t>
            </w:r>
            <w:r w:rsidRPr="00F619A4">
              <w:rPr>
                <w:rFonts w:cs="Arial"/>
                <w:noProof/>
                <w:color w:val="000000"/>
                <w:lang w:val="hy-AM"/>
              </w:rPr>
              <w:t xml:space="preserve"> </w:t>
            </w:r>
            <w:r w:rsidRPr="00F619A4">
              <w:rPr>
                <w:rFonts w:cs="Sylfaen"/>
                <w:noProof/>
                <w:color w:val="000000"/>
                <w:lang w:val="hy-AM"/>
              </w:rPr>
              <w:t>քրեական պատիժների</w:t>
            </w:r>
            <w:r w:rsidRPr="00F619A4">
              <w:rPr>
                <w:rFonts w:cs="Arial"/>
                <w:noProof/>
                <w:color w:val="000000"/>
                <w:lang w:val="hy-AM"/>
              </w:rPr>
              <w:t xml:space="preserve"> </w:t>
            </w:r>
            <w:r w:rsidRPr="00F619A4">
              <w:rPr>
                <w:rFonts w:cs="Sylfaen"/>
                <w:noProof/>
                <w:color w:val="000000"/>
                <w:lang w:val="hy-AM"/>
              </w:rPr>
              <w:t>ոլորտում</w:t>
            </w:r>
            <w:r w:rsidRPr="00F619A4">
              <w:rPr>
                <w:rFonts w:cs="Arial"/>
                <w:noProof/>
                <w:color w:val="000000"/>
                <w:lang w:val="hy-AM"/>
              </w:rPr>
              <w:t xml:space="preserve"> </w:t>
            </w:r>
            <w:r w:rsidRPr="00F619A4">
              <w:rPr>
                <w:rFonts w:cs="Sylfaen"/>
                <w:noProof/>
                <w:color w:val="000000"/>
                <w:lang w:val="hy-AM"/>
              </w:rPr>
              <w:t>անձանց</w:t>
            </w:r>
            <w:r w:rsidRPr="00F619A4">
              <w:rPr>
                <w:rFonts w:cs="Arial"/>
                <w:noProof/>
                <w:color w:val="000000"/>
                <w:lang w:val="hy-AM"/>
              </w:rPr>
              <w:t xml:space="preserve"> </w:t>
            </w:r>
            <w:r w:rsidRPr="00F619A4">
              <w:rPr>
                <w:rFonts w:cs="Sylfaen"/>
                <w:noProof/>
                <w:color w:val="000000"/>
                <w:lang w:val="hy-AM"/>
              </w:rPr>
              <w:t>իրավունքների</w:t>
            </w:r>
            <w:r w:rsidRPr="00F619A4">
              <w:rPr>
                <w:rFonts w:cs="Arial"/>
                <w:noProof/>
                <w:color w:val="000000"/>
                <w:lang w:val="hy-AM"/>
              </w:rPr>
              <w:t xml:space="preserve"> </w:t>
            </w:r>
            <w:r w:rsidRPr="00F619A4">
              <w:rPr>
                <w:rFonts w:cs="Sylfaen"/>
                <w:noProof/>
                <w:color w:val="000000"/>
                <w:lang w:val="hy-AM"/>
              </w:rPr>
              <w:t>և</w:t>
            </w:r>
            <w:r w:rsidRPr="00F619A4">
              <w:rPr>
                <w:rFonts w:cs="Arial"/>
                <w:noProof/>
                <w:color w:val="000000"/>
                <w:lang w:val="hy-AM"/>
              </w:rPr>
              <w:t xml:space="preserve"> </w:t>
            </w:r>
            <w:r w:rsidRPr="00F619A4">
              <w:rPr>
                <w:rFonts w:cs="Sylfaen"/>
                <w:noProof/>
                <w:color w:val="000000"/>
                <w:lang w:val="hy-AM"/>
              </w:rPr>
              <w:t>օրինական</w:t>
            </w:r>
            <w:r w:rsidRPr="00F619A4">
              <w:rPr>
                <w:rFonts w:cs="Arial"/>
                <w:noProof/>
                <w:color w:val="000000"/>
                <w:lang w:val="hy-AM"/>
              </w:rPr>
              <w:t xml:space="preserve"> </w:t>
            </w:r>
            <w:r w:rsidRPr="00F619A4">
              <w:rPr>
                <w:rFonts w:cs="Sylfaen"/>
                <w:noProof/>
                <w:color w:val="000000"/>
                <w:lang w:val="hy-AM"/>
              </w:rPr>
              <w:t>շահերի</w:t>
            </w:r>
            <w:r w:rsidRPr="00F619A4">
              <w:rPr>
                <w:rFonts w:cs="Arial"/>
                <w:noProof/>
                <w:color w:val="000000"/>
                <w:lang w:val="hy-AM"/>
              </w:rPr>
              <w:t xml:space="preserve"> արդյունավետ պաշտպանությունը, դրանց </w:t>
            </w:r>
            <w:r w:rsidRPr="00F619A4">
              <w:rPr>
                <w:rFonts w:cs="Sylfaen"/>
                <w:noProof/>
                <w:color w:val="000000"/>
                <w:lang w:val="hy-AM"/>
              </w:rPr>
              <w:t>լիարժեք</w:t>
            </w:r>
            <w:r w:rsidRPr="00F619A4">
              <w:rPr>
                <w:rFonts w:cs="Arial"/>
                <w:noProof/>
                <w:color w:val="000000"/>
                <w:lang w:val="hy-AM"/>
              </w:rPr>
              <w:t xml:space="preserve"> </w:t>
            </w:r>
            <w:r w:rsidRPr="00F619A4">
              <w:rPr>
                <w:rFonts w:cs="Sylfaen"/>
                <w:noProof/>
                <w:color w:val="000000"/>
                <w:lang w:val="hy-AM"/>
              </w:rPr>
              <w:t>իրացման երաշխիքների ստեղծումը:</w:t>
            </w:r>
          </w:p>
          <w:p w:rsidR="001F6D5D" w:rsidRPr="00F619A4" w:rsidRDefault="001F6D5D" w:rsidP="00277183">
            <w:pPr>
              <w:tabs>
                <w:tab w:val="left" w:pos="180"/>
              </w:tabs>
              <w:ind w:left="86" w:firstLine="634"/>
              <w:jc w:val="both"/>
              <w:rPr>
                <w:rFonts w:cs="Sylfaen"/>
                <w:noProof/>
                <w:color w:val="000000"/>
                <w:lang w:val="hy-AM"/>
              </w:rPr>
            </w:pPr>
            <w:r w:rsidRPr="00F619A4">
              <w:rPr>
                <w:rFonts w:cs="Sylfaen"/>
                <w:noProof/>
                <w:color w:val="000000"/>
                <w:lang w:val="hy-AM"/>
              </w:rPr>
              <w:t xml:space="preserve">Այս համատեքստում հարկ է ընդգծել այն հանգամանքը, որ Հայաստանի Հանրապետության  քրեակատարողական համակարգում դեռևս արդիական են մնում կալանավորված և դատապարտված անձանց իրավունքների իրացմանն ուղղված արդյունավետ կառուցակարգերի ներդրման, վերասոցիալականացման և հասարակությունում վերաինտեգրման, քրեակատարողական համակարգում որակյալ կադրերի ապահովման խնդիրները: Կարևորվում է, որ նշված խնդիրներն իրենց լուծումները ստանան ոչ թե պատժողական քաղաքականության արմատավորման, այլ վերականգնողական արդարադատության գաղափարախոսության ամրապնդման ուղիով:  </w:t>
            </w:r>
          </w:p>
          <w:p w:rsidR="001F6D5D" w:rsidRPr="00F619A4" w:rsidRDefault="001F6D5D" w:rsidP="00277183">
            <w:pPr>
              <w:tabs>
                <w:tab w:val="left" w:pos="180"/>
              </w:tabs>
              <w:ind w:left="86" w:firstLine="634"/>
              <w:jc w:val="both"/>
              <w:rPr>
                <w:rFonts w:cs="Sylfaen"/>
                <w:noProof/>
                <w:color w:val="000000"/>
                <w:lang w:val="hy-AM"/>
              </w:rPr>
            </w:pPr>
            <w:r w:rsidRPr="00F619A4">
              <w:rPr>
                <w:rFonts w:cs="Sylfaen"/>
                <w:noProof/>
                <w:color w:val="000000"/>
                <w:lang w:val="hy-AM"/>
              </w:rPr>
              <w:t xml:space="preserve">Հաշվի առնելով վերոգրյալը՝ </w:t>
            </w:r>
            <w:r w:rsidRPr="00F619A4">
              <w:rPr>
                <w:noProof/>
                <w:lang w:val="hy-AM"/>
              </w:rPr>
              <w:t xml:space="preserve">2019 թվականի փետրվարի 14-ի ԱԺՕ-002-Ն որոշմամբ հավանության </w:t>
            </w:r>
            <w:r w:rsidRPr="00F619A4">
              <w:rPr>
                <w:rFonts w:eastAsia="Calibri" w:cs="Sylfaen"/>
                <w:lang w:val="hy-AM"/>
              </w:rPr>
              <w:t xml:space="preserve">արժանացած ՀՀ կառավարության ծրագրի Ազատ, արժանապատիվ և երջանիկ քաղաքացի վերտառությամբ 4-րդ բաժնի Օրենքի առջև բոլորի հավասարությունը, արդարադատությունը և մարդու իրավունքների պաշտպանությունը վերտառությամբ 4.1-րդ գլխում ևս շեշտադրված է այն հանգամանքը, որ ՀՀ կառավարությունը վճռական է վերականգնողական արդարադատության սկզբունքների արմատավորման հարցում: </w:t>
            </w:r>
            <w:r w:rsidRPr="00F619A4">
              <w:rPr>
                <w:rFonts w:cs="Sylfaen"/>
                <w:lang w:val="hy-AM"/>
              </w:rPr>
              <w:t>Միաժամանակ</w:t>
            </w:r>
            <w:r w:rsidRPr="00F619A4">
              <w:rPr>
                <w:lang w:val="hy-AM"/>
              </w:rPr>
              <w:t xml:space="preserve">, </w:t>
            </w:r>
            <w:r w:rsidRPr="00F619A4">
              <w:rPr>
                <w:rFonts w:cs="Sylfaen"/>
                <w:lang w:val="hy-AM"/>
              </w:rPr>
              <w:t>կարևորելով</w:t>
            </w:r>
            <w:r w:rsidRPr="00F619A4">
              <w:rPr>
                <w:lang w:val="hy-AM"/>
              </w:rPr>
              <w:t xml:space="preserve"> </w:t>
            </w:r>
            <w:r w:rsidRPr="00F619A4">
              <w:rPr>
                <w:rFonts w:cs="Sylfaen"/>
                <w:lang w:val="hy-AM"/>
              </w:rPr>
              <w:t>ազատությունից</w:t>
            </w:r>
            <w:r w:rsidRPr="00F619A4">
              <w:rPr>
                <w:lang w:val="hy-AM"/>
              </w:rPr>
              <w:t xml:space="preserve"> </w:t>
            </w:r>
            <w:r w:rsidRPr="00F619A4">
              <w:rPr>
                <w:rFonts w:cs="Sylfaen"/>
                <w:lang w:val="hy-AM"/>
              </w:rPr>
              <w:t>զրկված</w:t>
            </w:r>
            <w:r w:rsidRPr="00F619A4">
              <w:rPr>
                <w:lang w:val="hy-AM"/>
              </w:rPr>
              <w:t xml:space="preserve"> </w:t>
            </w:r>
            <w:r w:rsidRPr="00F619A4">
              <w:rPr>
                <w:rFonts w:cs="Sylfaen"/>
                <w:lang w:val="hy-AM"/>
              </w:rPr>
              <w:t>անձանց</w:t>
            </w:r>
            <w:r w:rsidRPr="00F619A4">
              <w:rPr>
                <w:lang w:val="hy-AM"/>
              </w:rPr>
              <w:t xml:space="preserve"> </w:t>
            </w:r>
            <w:r w:rsidRPr="00F619A4">
              <w:rPr>
                <w:rFonts w:cs="Sylfaen"/>
                <w:lang w:val="hy-AM"/>
              </w:rPr>
              <w:t>իրավունքների</w:t>
            </w:r>
            <w:r w:rsidRPr="00F619A4">
              <w:rPr>
                <w:lang w:val="hy-AM"/>
              </w:rPr>
              <w:t xml:space="preserve"> </w:t>
            </w:r>
            <w:r w:rsidRPr="00F619A4">
              <w:rPr>
                <w:rFonts w:cs="Sylfaen"/>
                <w:lang w:val="hy-AM"/>
              </w:rPr>
              <w:t>անխոչընդոտ</w:t>
            </w:r>
            <w:r w:rsidRPr="00F619A4">
              <w:rPr>
                <w:lang w:val="hy-AM"/>
              </w:rPr>
              <w:t xml:space="preserve"> </w:t>
            </w:r>
            <w:r w:rsidRPr="00F619A4">
              <w:rPr>
                <w:rFonts w:cs="Sylfaen"/>
                <w:lang w:val="hy-AM"/>
              </w:rPr>
              <w:t>իրացումը՝</w:t>
            </w:r>
            <w:r w:rsidRPr="00F619A4">
              <w:rPr>
                <w:lang w:val="hy-AM"/>
              </w:rPr>
              <w:t xml:space="preserve"> ընդգծվել է, որ </w:t>
            </w:r>
            <w:r w:rsidRPr="00F619A4">
              <w:rPr>
                <w:rFonts w:cs="Sylfaen"/>
                <w:lang w:val="hy-AM"/>
              </w:rPr>
              <w:t>պետք</w:t>
            </w:r>
            <w:r w:rsidRPr="00F619A4">
              <w:rPr>
                <w:lang w:val="hy-AM"/>
              </w:rPr>
              <w:t xml:space="preserve"> </w:t>
            </w:r>
            <w:r w:rsidRPr="00F619A4">
              <w:rPr>
                <w:rFonts w:cs="Sylfaen"/>
                <w:lang w:val="hy-AM"/>
              </w:rPr>
              <w:t>է</w:t>
            </w:r>
            <w:r w:rsidRPr="00F619A4">
              <w:rPr>
                <w:lang w:val="hy-AM"/>
              </w:rPr>
              <w:t xml:space="preserve"> </w:t>
            </w:r>
            <w:r w:rsidRPr="00F619A4">
              <w:rPr>
                <w:rFonts w:cs="Sylfaen"/>
                <w:lang w:val="hy-AM"/>
              </w:rPr>
              <w:t>շարունակական</w:t>
            </w:r>
            <w:r w:rsidRPr="00F619A4">
              <w:rPr>
                <w:lang w:val="hy-AM"/>
              </w:rPr>
              <w:t xml:space="preserve"> </w:t>
            </w:r>
            <w:r w:rsidRPr="00F619A4">
              <w:rPr>
                <w:rFonts w:cs="Sylfaen"/>
                <w:lang w:val="hy-AM"/>
              </w:rPr>
              <w:t>քայլեր</w:t>
            </w:r>
            <w:r w:rsidRPr="00F619A4">
              <w:rPr>
                <w:lang w:val="hy-AM"/>
              </w:rPr>
              <w:t xml:space="preserve"> </w:t>
            </w:r>
            <w:r w:rsidRPr="00F619A4">
              <w:rPr>
                <w:rFonts w:cs="Sylfaen"/>
                <w:lang w:val="hy-AM"/>
              </w:rPr>
              <w:t>ձեռնարկվեն</w:t>
            </w:r>
            <w:r w:rsidRPr="00F619A4">
              <w:rPr>
                <w:lang w:val="hy-AM"/>
              </w:rPr>
              <w:t xml:space="preserve"> </w:t>
            </w:r>
            <w:r w:rsidRPr="00F619A4">
              <w:rPr>
                <w:rFonts w:cs="Sylfaen"/>
                <w:lang w:val="hy-AM"/>
              </w:rPr>
              <w:t>ազատությունից</w:t>
            </w:r>
            <w:r w:rsidRPr="00F619A4">
              <w:rPr>
                <w:lang w:val="hy-AM"/>
              </w:rPr>
              <w:t xml:space="preserve"> </w:t>
            </w:r>
            <w:r w:rsidRPr="00F619A4">
              <w:rPr>
                <w:rFonts w:cs="Sylfaen"/>
                <w:lang w:val="hy-AM"/>
              </w:rPr>
              <w:t>զրկված</w:t>
            </w:r>
            <w:r w:rsidRPr="00F619A4">
              <w:rPr>
                <w:lang w:val="hy-AM"/>
              </w:rPr>
              <w:t xml:space="preserve"> </w:t>
            </w:r>
            <w:r w:rsidRPr="00F619A4">
              <w:rPr>
                <w:rFonts w:cs="Sylfaen"/>
                <w:lang w:val="hy-AM"/>
              </w:rPr>
              <w:t>անձանց</w:t>
            </w:r>
            <w:r w:rsidRPr="00F619A4">
              <w:rPr>
                <w:lang w:val="hy-AM"/>
              </w:rPr>
              <w:t xml:space="preserve"> </w:t>
            </w:r>
            <w:r w:rsidRPr="00F619A4">
              <w:rPr>
                <w:rFonts w:cs="Sylfaen"/>
                <w:lang w:val="hy-AM"/>
              </w:rPr>
              <w:t>հիմնական</w:t>
            </w:r>
            <w:r w:rsidRPr="00F619A4">
              <w:rPr>
                <w:lang w:val="hy-AM"/>
              </w:rPr>
              <w:t xml:space="preserve"> </w:t>
            </w:r>
            <w:r w:rsidRPr="00F619A4">
              <w:rPr>
                <w:rFonts w:cs="Sylfaen"/>
                <w:lang w:val="hy-AM"/>
              </w:rPr>
              <w:t>իրավունքների</w:t>
            </w:r>
            <w:r w:rsidRPr="00F619A4">
              <w:rPr>
                <w:lang w:val="hy-AM"/>
              </w:rPr>
              <w:t xml:space="preserve"> </w:t>
            </w:r>
            <w:r w:rsidRPr="00F619A4">
              <w:rPr>
                <w:rFonts w:cs="Sylfaen"/>
                <w:lang w:val="hy-AM"/>
              </w:rPr>
              <w:t>երաշխավորման</w:t>
            </w:r>
            <w:r w:rsidRPr="00F619A4">
              <w:rPr>
                <w:lang w:val="hy-AM"/>
              </w:rPr>
              <w:t xml:space="preserve">, </w:t>
            </w:r>
            <w:r w:rsidRPr="00F619A4">
              <w:rPr>
                <w:rFonts w:cs="Sylfaen"/>
                <w:lang w:val="hy-AM"/>
              </w:rPr>
              <w:t>այդ</w:t>
            </w:r>
            <w:r w:rsidRPr="00F619A4">
              <w:rPr>
                <w:lang w:val="hy-AM"/>
              </w:rPr>
              <w:t xml:space="preserve"> </w:t>
            </w:r>
            <w:r w:rsidRPr="00F619A4">
              <w:rPr>
                <w:rFonts w:cs="Sylfaen"/>
                <w:lang w:val="hy-AM"/>
              </w:rPr>
              <w:t>թվում՝</w:t>
            </w:r>
            <w:r w:rsidRPr="00F619A4">
              <w:rPr>
                <w:lang w:val="hy-AM"/>
              </w:rPr>
              <w:t xml:space="preserve"> </w:t>
            </w:r>
            <w:r w:rsidRPr="00F619A4">
              <w:rPr>
                <w:rFonts w:cs="Sylfaen"/>
                <w:lang w:val="hy-AM"/>
              </w:rPr>
              <w:t>արտաքին</w:t>
            </w:r>
            <w:r w:rsidRPr="00F619A4">
              <w:rPr>
                <w:lang w:val="hy-AM"/>
              </w:rPr>
              <w:t xml:space="preserve"> </w:t>
            </w:r>
            <w:r w:rsidRPr="00F619A4">
              <w:rPr>
                <w:rFonts w:cs="Sylfaen"/>
                <w:lang w:val="hy-AM"/>
              </w:rPr>
              <w:t>աշխարհի</w:t>
            </w:r>
            <w:r w:rsidRPr="00F619A4">
              <w:rPr>
                <w:lang w:val="hy-AM"/>
              </w:rPr>
              <w:t xml:space="preserve"> </w:t>
            </w:r>
            <w:r w:rsidRPr="00F619A4">
              <w:rPr>
                <w:rFonts w:cs="Sylfaen"/>
                <w:lang w:val="hy-AM"/>
              </w:rPr>
              <w:t>հետ</w:t>
            </w:r>
            <w:r w:rsidRPr="00F619A4">
              <w:rPr>
                <w:lang w:val="hy-AM"/>
              </w:rPr>
              <w:t xml:space="preserve"> </w:t>
            </w:r>
            <w:r w:rsidRPr="00F619A4">
              <w:rPr>
                <w:rFonts w:cs="Sylfaen"/>
                <w:lang w:val="hy-AM"/>
              </w:rPr>
              <w:t>կապի</w:t>
            </w:r>
            <w:r w:rsidRPr="00F619A4">
              <w:rPr>
                <w:lang w:val="hy-AM"/>
              </w:rPr>
              <w:t xml:space="preserve"> </w:t>
            </w:r>
            <w:r w:rsidRPr="00F619A4">
              <w:rPr>
                <w:rFonts w:cs="Sylfaen"/>
                <w:lang w:val="hy-AM"/>
              </w:rPr>
              <w:t>ամրապնդման</w:t>
            </w:r>
            <w:r w:rsidRPr="00F619A4">
              <w:rPr>
                <w:lang w:val="hy-AM"/>
              </w:rPr>
              <w:t xml:space="preserve">, </w:t>
            </w:r>
            <w:r w:rsidRPr="00F619A4">
              <w:rPr>
                <w:rFonts w:cs="Sylfaen"/>
                <w:lang w:val="hy-AM"/>
              </w:rPr>
              <w:t>պահման</w:t>
            </w:r>
            <w:r w:rsidRPr="00F619A4">
              <w:rPr>
                <w:lang w:val="hy-AM"/>
              </w:rPr>
              <w:t xml:space="preserve"> </w:t>
            </w:r>
            <w:r w:rsidRPr="00F619A4">
              <w:rPr>
                <w:rFonts w:cs="Sylfaen"/>
                <w:lang w:val="hy-AM"/>
              </w:rPr>
              <w:t>պայմանների</w:t>
            </w:r>
            <w:r w:rsidRPr="00F619A4">
              <w:rPr>
                <w:lang w:val="hy-AM"/>
              </w:rPr>
              <w:t xml:space="preserve"> </w:t>
            </w:r>
            <w:r w:rsidRPr="00F619A4">
              <w:rPr>
                <w:rFonts w:cs="Sylfaen"/>
                <w:lang w:val="hy-AM"/>
              </w:rPr>
              <w:t>բարելավման</w:t>
            </w:r>
            <w:r w:rsidRPr="00F619A4">
              <w:rPr>
                <w:lang w:val="hy-AM"/>
              </w:rPr>
              <w:t xml:space="preserve">, </w:t>
            </w:r>
            <w:r w:rsidRPr="00F619A4">
              <w:rPr>
                <w:rFonts w:cs="Sylfaen"/>
                <w:lang w:val="hy-AM"/>
              </w:rPr>
              <w:t>նրանց</w:t>
            </w:r>
            <w:r w:rsidRPr="00F619A4">
              <w:rPr>
                <w:lang w:val="hy-AM"/>
              </w:rPr>
              <w:t xml:space="preserve"> </w:t>
            </w:r>
            <w:r w:rsidRPr="00F619A4">
              <w:rPr>
                <w:rFonts w:cs="Sylfaen"/>
                <w:lang w:val="hy-AM"/>
              </w:rPr>
              <w:t>տրամադրվող</w:t>
            </w:r>
            <w:r w:rsidRPr="00F619A4">
              <w:rPr>
                <w:lang w:val="hy-AM"/>
              </w:rPr>
              <w:t xml:space="preserve"> </w:t>
            </w:r>
            <w:r w:rsidRPr="00F619A4">
              <w:rPr>
                <w:rFonts w:cs="Sylfaen"/>
                <w:lang w:val="hy-AM"/>
              </w:rPr>
              <w:t>բժշկական</w:t>
            </w:r>
            <w:r w:rsidRPr="00F619A4">
              <w:rPr>
                <w:lang w:val="hy-AM"/>
              </w:rPr>
              <w:t xml:space="preserve"> </w:t>
            </w:r>
            <w:r w:rsidRPr="00F619A4">
              <w:rPr>
                <w:rFonts w:cs="Sylfaen"/>
                <w:lang w:val="hy-AM"/>
              </w:rPr>
              <w:t>օգնության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սպասարկման</w:t>
            </w:r>
            <w:r w:rsidRPr="00F619A4">
              <w:rPr>
                <w:lang w:val="hy-AM"/>
              </w:rPr>
              <w:t xml:space="preserve"> </w:t>
            </w:r>
            <w:r w:rsidRPr="00F619A4">
              <w:rPr>
                <w:rFonts w:cs="Sylfaen"/>
                <w:lang w:val="hy-AM"/>
              </w:rPr>
              <w:t>որակի</w:t>
            </w:r>
            <w:r w:rsidRPr="00F619A4">
              <w:rPr>
                <w:lang w:val="hy-AM"/>
              </w:rPr>
              <w:t xml:space="preserve"> </w:t>
            </w:r>
            <w:r w:rsidRPr="00F619A4">
              <w:rPr>
                <w:rFonts w:cs="Sylfaen"/>
                <w:lang w:val="hy-AM"/>
              </w:rPr>
              <w:t>բարձրացման</w:t>
            </w:r>
            <w:r w:rsidRPr="00F619A4">
              <w:rPr>
                <w:lang w:val="hy-AM"/>
              </w:rPr>
              <w:t xml:space="preserve">, </w:t>
            </w:r>
            <w:r w:rsidRPr="00F619A4">
              <w:rPr>
                <w:rFonts w:cs="Sylfaen"/>
                <w:lang w:val="hy-AM"/>
              </w:rPr>
              <w:t>վերասոցիալականացման</w:t>
            </w:r>
            <w:r w:rsidRPr="00F619A4">
              <w:rPr>
                <w:lang w:val="hy-AM"/>
              </w:rPr>
              <w:t xml:space="preserve"> </w:t>
            </w:r>
            <w:r w:rsidRPr="00F619A4">
              <w:rPr>
                <w:rFonts w:cs="Sylfaen"/>
                <w:lang w:val="hy-AM"/>
              </w:rPr>
              <w:t>գործընթացի</w:t>
            </w:r>
            <w:r w:rsidRPr="00F619A4">
              <w:rPr>
                <w:lang w:val="hy-AM"/>
              </w:rPr>
              <w:t xml:space="preserve"> </w:t>
            </w:r>
            <w:r w:rsidRPr="00F619A4">
              <w:rPr>
                <w:rFonts w:cs="Sylfaen"/>
                <w:lang w:val="hy-AM"/>
              </w:rPr>
              <w:t>արդյունավետության</w:t>
            </w:r>
            <w:r w:rsidRPr="00F619A4">
              <w:rPr>
                <w:lang w:val="hy-AM"/>
              </w:rPr>
              <w:t xml:space="preserve"> </w:t>
            </w:r>
            <w:r w:rsidRPr="00F619A4">
              <w:rPr>
                <w:rFonts w:cs="Sylfaen"/>
                <w:lang w:val="hy-AM"/>
              </w:rPr>
              <w:t>բարձրացման</w:t>
            </w:r>
            <w:r w:rsidRPr="00F619A4">
              <w:rPr>
                <w:lang w:val="hy-AM"/>
              </w:rPr>
              <w:t xml:space="preserve"> </w:t>
            </w:r>
            <w:r w:rsidRPr="00F619A4">
              <w:rPr>
                <w:rFonts w:cs="Sylfaen"/>
                <w:lang w:val="hy-AM"/>
              </w:rPr>
              <w:t>նպատակով</w:t>
            </w:r>
            <w:r w:rsidRPr="00F619A4">
              <w:rPr>
                <w:lang w:val="hy-AM"/>
              </w:rPr>
              <w:t>:</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tabs>
                <w:tab w:val="left" w:pos="180"/>
              </w:tabs>
              <w:ind w:left="86" w:firstLine="634"/>
              <w:jc w:val="both"/>
              <w:rPr>
                <w:rFonts w:cs="Sylfaen"/>
                <w:noProof/>
                <w:lang w:val="hy-AM"/>
              </w:rPr>
            </w:pPr>
            <w:r w:rsidRPr="00F619A4">
              <w:rPr>
                <w:rFonts w:cs="Sylfaen"/>
                <w:noProof/>
                <w:color w:val="000000"/>
                <w:lang w:val="hy-AM"/>
              </w:rPr>
              <w:t xml:space="preserve">Հատկանշական է, որ </w:t>
            </w:r>
            <w:r w:rsidRPr="00F619A4">
              <w:rPr>
                <w:rFonts w:cs="Sylfaen"/>
                <w:noProof/>
                <w:lang w:val="hy-AM"/>
              </w:rPr>
              <w:t>ներկայումս առկա չէ որևէ փաստաթուղթ (ռազմավարություն, գործողությունների ծրագիր կամ հայեցակարգ), որով համապարփակ կերպով անդրադարձ կկատարվի քրեակատարողական համակարգի խնդիրներին և կնախանշվեն այդ խնդիրների լուծմանն ուղղված ուղիները: Ըստ այդմ՝ ոլորտային բարեփոխումները որոշ դեպքերում կարող են կրել հատվածային բնույթ:</w:t>
            </w:r>
          </w:p>
          <w:p w:rsidR="001F6D5D" w:rsidRPr="00F619A4" w:rsidRDefault="001F6D5D" w:rsidP="00277183">
            <w:pPr>
              <w:ind w:firstLine="720"/>
              <w:contextualSpacing/>
              <w:jc w:val="both"/>
              <w:rPr>
                <w:noProof/>
                <w:lang w:val="hy-AM"/>
              </w:rPr>
            </w:pPr>
            <w:r w:rsidRPr="00F619A4">
              <w:rPr>
                <w:noProof/>
                <w:lang w:val="hy-AM"/>
              </w:rPr>
              <w:t xml:space="preserve">Հիմք ընդունելով ՀՀ քրեական նոր օրենսգրքի նախագծով պատժի նպատակների վերաբերյալ որդեգրված հայեցակարգային նոր մոտեցումները, հաշվի առնելով Խոշտանգումների և անմարդկային կամ նվաստացնող վերաբերմունքի կամ պատժի կանխարգելման եվրոպական կոմիտեի (սույն ենթակետում այսուհետ՝ ԽԿԿ) առաջարկությունները և ԽԿԿ զեկույցներում (այդ թվում՝ Հայաստանի Հանրապետություն կատարած այցերի վերաբերյալ) տեղ գտած դիտարկումները, Մարդու իրավունքների եվրոպական դատարանի վճիռները (այդ թվում՝ ընդդեմ Հայաստանի կայացված), ՀՀ մարդու իրավունքների պաշտպանի զեկույցները, այդ թվում՝ որպես Կանխարգելման ազգային մեխանիզմ ներկայացված դիրքորոշումները, </w:t>
            </w:r>
            <w:r w:rsidRPr="00F619A4">
              <w:rPr>
                <w:lang w:val="hy-AM"/>
              </w:rPr>
              <w:t>ՀՀ արդարադատության նախարարության քրեակատարողական հիմնարկներում և մարմիններում հասարակական վերահսկողություն իրականացնող հասարակական դիտորդների խմբի հրատապ, ընթացիկ և տարեկան հաշվետվությունները, ոլորտային հասարակական կազմակերպությունների կողմից բարձրացված խնդիրները,</w:t>
            </w:r>
            <w:r w:rsidRPr="00F619A4">
              <w:rPr>
                <w:noProof/>
                <w:lang w:val="hy-AM"/>
              </w:rPr>
              <w:t xml:space="preserve"> ինչպես նաև ելնելով քրեակատարողական համակարգի արմատական, կայուն և շարունակական բարեփոխումն ապահովելու, համակարգն ամբողջությամբ արդիականացնելու հրատապությունից՝ անհրաժեշտ է համապարփակ կերպով, մեկ ռազմավարական փաստաթղթի տեսքով սահմանել առանցքային այն ուղղություններն ու դրանցից բխող միջոցառումները, որոնց արդյունավետ իրագործումը լուծելու է ոլորտի առջև ծառացած կարևորագույն խնդիրները:</w:t>
            </w:r>
          </w:p>
          <w:p w:rsidR="001F6D5D" w:rsidRPr="00F619A4" w:rsidRDefault="001F6D5D" w:rsidP="00277183">
            <w:pPr>
              <w:pStyle w:val="NormalWeb"/>
              <w:shd w:val="clear" w:color="auto" w:fill="FFFFFF"/>
              <w:spacing w:before="0" w:beforeAutospacing="0" w:after="0" w:afterAutospacing="0"/>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ind w:firstLine="720"/>
              <w:jc w:val="both"/>
              <w:rPr>
                <w:rFonts w:cs="Sylfaen"/>
                <w:noProof/>
                <w:lang w:val="hy-AM"/>
              </w:rPr>
            </w:pPr>
            <w:r w:rsidRPr="00F619A4">
              <w:rPr>
                <w:rFonts w:cs="Sylfaen"/>
                <w:noProof/>
                <w:lang w:val="hy-AM"/>
              </w:rPr>
              <w:t>Հաշվի առնելով ոլորտային ռազմավարություն ունենալու անհրաժեշտությունը՝ առաջարկվում է մշակել քրեակատարողական համակարգի բարելավմանն ուղղված ռազմավարություն, որը կապահովի քրեակատարողական ոլորտի կանխատեսելի զարգացումն ու կատարելագործումը: Քրեակատարողական ոլորտի ռազմավարությամբ կնախատեսվեն բոլոր այն գործողությունները, որոնք անհրաժեշտ են ազատությունից զրկված անձանց իրավունքների երաշխավորման, ազատությունից զրկված անձանց վերասոցիալականացման գործընթացի արդյունավետության բարձրացման, ինչպես նաև քրեակատարողական համակարգի կատարելագործման համար:</w:t>
            </w:r>
          </w:p>
          <w:p w:rsidR="001F6D5D" w:rsidRPr="00F619A4" w:rsidRDefault="001F6D5D" w:rsidP="00277183">
            <w:pPr>
              <w:pStyle w:val="NormalWeb"/>
              <w:shd w:val="clear" w:color="auto" w:fill="FFFFFF"/>
              <w:spacing w:before="0" w:beforeAutospacing="0" w:after="0" w:afterAutospacing="0"/>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tabs>
                <w:tab w:val="left" w:pos="4277"/>
              </w:tabs>
              <w:jc w:val="both"/>
              <w:rPr>
                <w:rFonts w:cs="Sylfaen"/>
                <w:noProof/>
                <w:lang w:val="hy-AM"/>
              </w:rPr>
            </w:pPr>
            <w:r w:rsidRPr="00F619A4">
              <w:rPr>
                <w:rFonts w:cs="Sylfaen"/>
                <w:noProof/>
                <w:lang w:val="hy-AM"/>
              </w:rPr>
              <w:t xml:space="preserve">       Քրեակատարողական ոլորտի ռազմավարության և դրանից բխող միջոցառումների ցանկի ընդունման դեպքում մեկ միասնական փաստաթղթի միջոցով կապահովվի քրեակատարողական ոլորտի կանխատեսելի զարգացումն ու կատարելագործումը:</w:t>
            </w:r>
          </w:p>
          <w:p w:rsidR="001F6D5D" w:rsidRPr="00F619A4" w:rsidRDefault="001F6D5D" w:rsidP="00277183">
            <w:pPr>
              <w:tabs>
                <w:tab w:val="left" w:pos="4277"/>
              </w:tabs>
              <w:jc w:val="center"/>
              <w:rPr>
                <w:b/>
                <w:u w:val="single"/>
                <w:lang w:val="hy-AM"/>
              </w:rPr>
            </w:pPr>
            <w:r w:rsidRPr="00F619A4">
              <w:rPr>
                <w:b/>
                <w:u w:val="single"/>
                <w:lang w:val="hy-AM"/>
              </w:rPr>
              <w:t xml:space="preserve"> «Պրոբացիայի մասին» ՀՀ օրենքում և հարակից օրենքներում փոփոխություններ և լրացումներ կատարելու մասին ՀՀ օրենքների նախագծերի ներկայացում Վարչապետի աշխատակազմ</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ind w:firstLine="375"/>
              <w:jc w:val="both"/>
              <w:rPr>
                <w:rFonts w:cs="Sylfaen"/>
                <w:noProof/>
                <w:color w:val="000000"/>
                <w:lang w:val="hy-AM"/>
              </w:rPr>
            </w:pPr>
            <w:r w:rsidRPr="00F619A4">
              <w:rPr>
                <w:rFonts w:cs="Sylfaen"/>
                <w:noProof/>
                <w:color w:val="000000"/>
                <w:lang w:val="hy-AM"/>
              </w:rPr>
              <w:t xml:space="preserve">Վերականգնողական արդարադատության սկզբունքներից բխում է, որ արդարադատության ոլորտում իրականացվող բարեփոխումները պետք է ենթադրեն ազատազրկման ավանդական գաղափարախոսությունից անցում դեպի վերասոցիալականացման և վերականգնողական արդարադատության գաղափարախոսությանը: Այդ գաղափարախոսության որդեգրման արդյունքը եղավ այն, որ 2016 թվականին մայիսի 17-ին ընդունված «Պրոբացիայի մասին» ՀՀ օրենքով Հայաստանի Հանրապետությունում ներդրվեց պրոբացիայի ինստիտուտը և ստեղծվեց Քրեակատարողական ծառայությունից անկախ Պրոբացիայի ծառայություն: </w:t>
            </w:r>
          </w:p>
          <w:p w:rsidR="001F6D5D" w:rsidRPr="00F619A4" w:rsidRDefault="001F6D5D" w:rsidP="00277183">
            <w:pPr>
              <w:ind w:firstLine="720"/>
              <w:jc w:val="both"/>
              <w:rPr>
                <w:rFonts w:cs="Sylfaen"/>
                <w:noProof/>
                <w:color w:val="000000"/>
                <w:lang w:val="hy-AM"/>
              </w:rPr>
            </w:pPr>
            <w:r w:rsidRPr="00F619A4">
              <w:rPr>
                <w:rFonts w:cs="Sylfaen"/>
                <w:noProof/>
                <w:color w:val="000000"/>
                <w:lang w:val="hy-AM"/>
              </w:rPr>
              <w:t xml:space="preserve">«Պրոբացիայի մասին» ՀՀ օրենքի ընդունումը հիմնավորված էր նաև Եվրոպայի խորհրդի Նախարարների կոմիտեի՝ անդամ պետություններին ուղղված՝ պրոբացիայի մասին հանձնարարականների կատարմամբ։ Այդպիսի հանձնարարականներից են օրինակ՝ պրոբացիայի ոլորտում հիմնարար համարվող </w:t>
            </w:r>
            <w:r w:rsidRPr="00F619A4">
              <w:rPr>
                <w:color w:val="000000"/>
                <w:shd w:val="clear" w:color="auto" w:fill="FFFFFF"/>
                <w:lang w:val="hy-AM"/>
              </w:rPr>
              <w:t>«Պրոբացիայի մասին Եվրոպայի խորհրդի կանոնների վերաբերյալ» թիվ CM/Rec(2010)1 հանձնարարականը, «Էլեկտրոնային մոնիթորինգի վերաբերյալ» թիվ CM/Rec(2014)4 հանձնարարականը, «Այլընտրանքային պատիժների և միջոցների մասին եվրոպական կանոնների վերաբերյալ» թիվ R (92) 16 հանձնարարականը և այլ հանձնարարականներ։</w:t>
            </w:r>
          </w:p>
          <w:p w:rsidR="001F6D5D" w:rsidRPr="00F619A4" w:rsidRDefault="001F6D5D" w:rsidP="00277183">
            <w:pPr>
              <w:tabs>
                <w:tab w:val="left" w:pos="180"/>
              </w:tabs>
              <w:ind w:firstLine="720"/>
              <w:jc w:val="both"/>
              <w:rPr>
                <w:rFonts w:cs="Sylfaen"/>
                <w:noProof/>
                <w:color w:val="000000"/>
                <w:lang w:val="hy-AM"/>
              </w:rPr>
            </w:pPr>
            <w:r w:rsidRPr="00F619A4">
              <w:rPr>
                <w:rFonts w:cs="Sylfaen"/>
                <w:noProof/>
                <w:color w:val="000000"/>
                <w:lang w:val="hy-AM"/>
              </w:rPr>
              <w:t xml:space="preserve">Այդուհանդերձ, հաշվի առնելով պրոբացիայի ոլորտի կատարելագործման և գործնականում վերականգնողական արդարադատության արմատավորման անհրաժեշտությունը՝ </w:t>
            </w:r>
            <w:r w:rsidRPr="00F619A4">
              <w:rPr>
                <w:noProof/>
                <w:lang w:val="hy-AM"/>
              </w:rPr>
              <w:t xml:space="preserve">2019 թվականի փետրվարի 14-ի ԱԺՕ-002-Ն որոշմամբ հավանության </w:t>
            </w:r>
            <w:r w:rsidRPr="00F619A4">
              <w:rPr>
                <w:rFonts w:eastAsia="Calibri" w:cs="Sylfaen"/>
                <w:lang w:val="hy-AM"/>
              </w:rPr>
              <w:t>արժանացած ՀՀ կառավարության ծրագրի Ազատ, արժանապատիվ և երջանիկ քաղաքացի վերտառությամբ 4-րդ բաժնի Օրենքի առջև բոլորի հավասարությունը, արդարադատությունը և մարդու իրավունքների պաշտպանությունը վերտառությամբ 4.1-րդ գլխում ևս շեշտադրվեց այն հանգամանքը, որ ՀՀ կառավարությունը վճռական է վերականգնողական արդարադատության սկզբունքների արմատավորման հարցում: Այլ կերպ՝ ՀՀ կառավարությունը ջանքեր է գործադրելու վերականգնողական արդարադատության արմատավորման, պրոբացիայի ոլորտի կատարելագործման և Պրոբացիայի ծառայության գործունեության արդյունավետության բարձրացման ուղղությամբ։</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ind w:firstLine="720"/>
              <w:jc w:val="both"/>
              <w:rPr>
                <w:lang w:val="hy-AM"/>
              </w:rPr>
            </w:pPr>
            <w:r w:rsidRPr="00F619A4">
              <w:rPr>
                <w:lang w:val="hy-AM"/>
              </w:rPr>
              <w:t xml:space="preserve">«Պրոբացիայի մասին» Հայաստանի Հանրապետության օրենքի հիման վրա 2016 թվականի մայիսի 25-ի N 555-Ն որոշմամբ Հայաստանի Հանրապետության արդարադատության նախարարության համակարգում ստեղծվեց Պրոբացիայի ծառայությունը: Պրոբացիայի ծառայության կողմից արդեն ավելի քան երկու տարի ծավալած գործունեության ընթացքում գործնականում ի հայտ են եկել մի շարք խնդիրներ, որոնք ինչպես իրավական, այնպես էլ կազմակերպատեխնիկական բնույթի են և պահանջում են համապատասխան լուծումներ: </w:t>
            </w:r>
          </w:p>
          <w:p w:rsidR="001F6D5D" w:rsidRPr="00F619A4" w:rsidRDefault="001F6D5D" w:rsidP="00277183">
            <w:pPr>
              <w:ind w:firstLine="720"/>
              <w:jc w:val="both"/>
              <w:rPr>
                <w:lang w:val="hy-AM"/>
              </w:rPr>
            </w:pPr>
            <w:r w:rsidRPr="00F619A4">
              <w:rPr>
                <w:lang w:val="hy-AM"/>
              </w:rPr>
              <w:t xml:space="preserve">Այս համատեքստում հարկ է նշել, որ Պրոբացիայի ծառայության ողջ գործունեության կամ Պրոբացիայի ծառայության առանձին գործառույթների վերաբերյալ իրականացվել են որոշ ուսումնասիրություններ ինչպես ՀՀ մարդու իրավունքների պաշտպանի, այնպես էլ միջազգային փորձագետների և ոլորտային հասարակական կազմակերպությունների կողմից։ Հատկանշական է, որ ՀՀ մարդու իրավունքների պաշտպանի կողմից 2018 թվականին հրապարակվեց «Հայաստանի Հանրապետության պրոբացիայի պետական ծառայության գործունեության մշատադիտարկում» արտահերթ հրապարակային զեկույցը, որում համապարփակ կերպով անդրադարձ է կատարվել ինչպես Պրոբացիայի ծառայության գործառույթներին, այնպես էլ Պրոբացիայի ծառայության նյութական և կադրային ռեսուրսներին։ </w:t>
            </w:r>
          </w:p>
          <w:p w:rsidR="001F6D5D" w:rsidRPr="00F619A4" w:rsidRDefault="001F6D5D" w:rsidP="00277183">
            <w:pPr>
              <w:ind w:firstLine="720"/>
              <w:jc w:val="both"/>
              <w:rPr>
                <w:lang w:val="hy-AM"/>
              </w:rPr>
            </w:pPr>
            <w:r w:rsidRPr="00F619A4">
              <w:rPr>
                <w:lang w:val="hy-AM"/>
              </w:rPr>
              <w:t>Հաշվի առնելով վերոգրյալը և հիմքում ունենալով նաև նշված ուսումնասիրությունները՝ անհրաժեշտ է խորը վերլուծության և գնահատման ենթարկել Պրոբացիայի ծառայության գործունեության արդյունքները, թիրախավորել առկա խնդիրները և առաջարկել դրանց լուծմանն ուղղված հստակ առաջարկներ:</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sz w:val="20"/>
                <w:szCs w:val="20"/>
                <w:lang w:val="hy-AM"/>
              </w:rPr>
              <w:t>Հաշվի առնելով վերոգրյալը և հիմքում ունենալով Պրոբացիայի ծառայության գործունեության գնահատման արդյունքները՝ կմշակվեն «Պրոբացիայի մասին» ՀՀ օրենքում և հարակից օրենքներում փոփոխություններ և լրացումներ կատարելու մասին ՀՀ օրենքների նախագծերը, որոնցով համապարփակ կերպով անդրադարձ կկատարվի պրոբացիայի ոլորտում առկա խնդիրներին և կներկայացվեն դրանց լուծմանն ուղղված առաջարկներ:</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jc w:val="both"/>
              <w:rPr>
                <w:lang w:val="hy-AM"/>
              </w:rPr>
            </w:pPr>
            <w:r w:rsidRPr="00F619A4">
              <w:rPr>
                <w:lang w:val="hy-AM"/>
              </w:rPr>
              <w:t>«Պրոբացիայի մասին» ՀՀ օրենքում և հարակից օրենքներում փոփոխություններ և լրացումներ կատարելու մասին ՀՀ օրենքների նախագծերի ընդունման արդյունքում կկատարելագործվի պրոբացիայի ոլորտը և կբարձրացվի Պրոբացիայի ծառայության գործունեության արդյունավետությունը՝ այդպիսով նպաստելով վերականգնողական արդարադատության սկզբունքների արմատավորմանը:</w:t>
            </w:r>
          </w:p>
          <w:p w:rsidR="001F6D5D" w:rsidRPr="00F619A4" w:rsidRDefault="001F6D5D" w:rsidP="00277183">
            <w:pPr>
              <w:tabs>
                <w:tab w:val="left" w:pos="4277"/>
              </w:tabs>
              <w:jc w:val="both"/>
              <w:rPr>
                <w:b/>
                <w:lang w:val="hy-AM"/>
              </w:rPr>
            </w:pPr>
            <w:r w:rsidRPr="00F619A4">
              <w:rPr>
                <w:b/>
                <w:u w:val="single"/>
                <w:lang w:val="hy-AM"/>
              </w:rPr>
              <w:t>«ՀՀ քրեական դատավարության օրենսգրքում փոփոխություններ և լրացումներ կատարելու մասին» օրենքի նախագծի ներկայացում Վարչապետի աշխատակազմ</w:t>
            </w:r>
            <w:r w:rsidRPr="00F619A4" w:rsidDel="008A6BF8">
              <w:rPr>
                <w:b/>
                <w:u w:val="single"/>
                <w:lang w:val="hy-AM"/>
              </w:rPr>
              <w:t xml:space="preserve"> </w:t>
            </w:r>
            <w:r w:rsidRPr="00F619A4">
              <w:rPr>
                <w:b/>
                <w:lang w:val="hy-AM"/>
              </w:rPr>
              <w:t>1. Միջոցառման իրականացման անհրաժեշտությունը և նպատակը</w:t>
            </w:r>
          </w:p>
          <w:p w:rsidR="001F6D5D" w:rsidRPr="00F619A4" w:rsidRDefault="001F6D5D" w:rsidP="00277183">
            <w:pPr>
              <w:ind w:firstLine="720"/>
              <w:jc w:val="both"/>
              <w:rPr>
                <w:lang w:val="hy-AM"/>
              </w:rPr>
            </w:pPr>
            <w:r w:rsidRPr="00F619A4">
              <w:rPr>
                <w:lang w:val="hy-AM"/>
              </w:rPr>
              <w:t>Քրեական դատավարության խնդիրների հաջող լուծումը գործնականում հաճախ պայմանավորված է լինում քրեական դատավարության սուբյեկտների իրավունքների սահմանափակման անհրաժեշտությամբ։ Այդպիսի սահմանափակումները կարող են հանդես գալ դատավարական հարկադրանքի այնպիսի միջոցների տեսքով, ինչպիսին խափանման միջոցներն են։</w:t>
            </w:r>
          </w:p>
          <w:p w:rsidR="001F6D5D" w:rsidRPr="00F619A4" w:rsidRDefault="001F6D5D" w:rsidP="00277183">
            <w:pPr>
              <w:ind w:firstLine="720"/>
              <w:jc w:val="both"/>
              <w:rPr>
                <w:lang w:val="hy-AM"/>
              </w:rPr>
            </w:pPr>
            <w:r w:rsidRPr="00F619A4">
              <w:rPr>
                <w:lang w:val="hy-AM"/>
              </w:rPr>
              <w:t>Խափանման միջոցների համակարգում թերևս ամենախիստը կալանավորումն է։ Չնայած այդ հանգամանքին՝ խնդրո առարկա խափանման միջոցը գործնականում մեծ կիրառություն ունի։ Մարդու իրավունքների ոլորտում գործող կոնվենցիոն մեխանիզմները ևս բազմիցս արձանագրել են կալանավորում խափանման միջոցի կիրառման բավականին մեծ տարածվածությունը։ Ավելին, այդպիսի կոնվենցիոն մեխանիզմներից մեկի՝ Մարդու իրավունքների եվրոպական դատարանի կողմից կալանքի ժամկետների երկարաձգման համար բավարար և հիմնավոր հիմքերի բացակայություն, և, ըստ այդմ, Մարդու իրավունքների հիմնարար ազատությունների պաշտպանության մասին եվրոպական կոնվենցիայի 5-րդ հոդվածի խախտումներ են արձանագրվել Հայաստանի Հանրապետության դեմ կայացված մի շարք վճիռներում։</w:t>
            </w:r>
          </w:p>
          <w:p w:rsidR="001F6D5D" w:rsidRPr="00F619A4" w:rsidRDefault="001F6D5D" w:rsidP="00277183">
            <w:pPr>
              <w:ind w:firstLine="720"/>
              <w:jc w:val="both"/>
              <w:rPr>
                <w:lang w:val="hy-AM"/>
              </w:rPr>
            </w:pPr>
            <w:r w:rsidRPr="00F619A4">
              <w:rPr>
                <w:lang w:val="hy-AM"/>
              </w:rPr>
              <w:t>Այդուհանդերձ, հարկ է փաստել, որ միջազգային հարթակում առկա մոտեցումները բոլորովին չեն բացառում կալանավորման կիրառումը, սակայն գործնականում այն պետք է խափանման միջոցների համակարգում դիտարկվի որպես բացառիկ խափանման միջոց, որը ենթակա է կիրառման, եթե տվյալ համակարգում առկա մյուս խափանման միջոցները, այդ թվում՝ կալանավորմանն այլընտրանք հանդիսացողները, ունակ չեն ապահովելու մեղադրյալի պատշաճ վարքագիծը։ Այդ գաղափարախոսության որդեգրման արդյունքում է, որ միջազգային փորձում տարբեր երկրներ ներդրել են կալանավորմանն այլընտրանք հանդիսացող մի շարք խափանման միջոցներ, որոնք կապված չեն անձին ազատությունից զրկելու հետ։ Որպես այդպիսի միջոց՝ կիրառվում է օրինակ՝ տնային կալանքը կամ վարչական հսկողությունը։</w:t>
            </w:r>
          </w:p>
          <w:p w:rsidR="001F6D5D" w:rsidRPr="00F619A4" w:rsidRDefault="001F6D5D" w:rsidP="00277183">
            <w:pPr>
              <w:ind w:firstLine="720"/>
              <w:jc w:val="both"/>
              <w:rPr>
                <w:lang w:val="hy-AM"/>
              </w:rPr>
            </w:pPr>
            <w:r w:rsidRPr="00F619A4">
              <w:rPr>
                <w:lang w:val="hy-AM"/>
              </w:rPr>
              <w:t xml:space="preserve">Միջազգային փորձում առկա մոտեցումներին համահունչ՝ </w:t>
            </w:r>
            <w:r w:rsidRPr="00F619A4">
              <w:rPr>
                <w:noProof/>
                <w:lang w:val="hy-AM"/>
              </w:rPr>
              <w:t xml:space="preserve">2019 թվականի փետրվարի 14-ի ԱԺՕ-002-Ն որոշմամբ հավանության </w:t>
            </w:r>
            <w:r w:rsidRPr="00F619A4">
              <w:rPr>
                <w:rFonts w:eastAsia="Calibri" w:cs="Sylfaen"/>
                <w:lang w:val="hy-AM"/>
              </w:rPr>
              <w:t>արժանացած ՀՀ կառավարության ծրագրի Ազատ, արժանապատիվ և երջանիկ քաղաքացի վերտառությամբ 4-րդ բաժնի Օրենքի առջև բոլորի հավասարությունը, արդարադատությունը և մարդու իրավունքների պաշտպանությունը վերտառությամբ 4.1-րդ գլխում նախատեսված է, որ ՀՀ կ</w:t>
            </w:r>
            <w:r w:rsidRPr="00F619A4">
              <w:rPr>
                <w:rFonts w:cs="Arial"/>
                <w:lang w:val="hy-AM"/>
              </w:rPr>
              <w:t>առավարությունը</w:t>
            </w:r>
            <w:r w:rsidRPr="00F619A4">
              <w:rPr>
                <w:lang w:val="hy-AM"/>
              </w:rPr>
              <w:t xml:space="preserve"> </w:t>
            </w:r>
            <w:r w:rsidRPr="00F619A4">
              <w:rPr>
                <w:rFonts w:cs="Arial"/>
                <w:lang w:val="hy-AM"/>
              </w:rPr>
              <w:t>պետք</w:t>
            </w:r>
            <w:r w:rsidRPr="00F619A4">
              <w:rPr>
                <w:lang w:val="hy-AM"/>
              </w:rPr>
              <w:t xml:space="preserve"> </w:t>
            </w:r>
            <w:r w:rsidRPr="00F619A4">
              <w:rPr>
                <w:rFonts w:cs="Arial"/>
                <w:lang w:val="hy-AM"/>
              </w:rPr>
              <w:t>է</w:t>
            </w:r>
            <w:r w:rsidRPr="00F619A4">
              <w:rPr>
                <w:lang w:val="hy-AM"/>
              </w:rPr>
              <w:t xml:space="preserve"> </w:t>
            </w:r>
            <w:r w:rsidRPr="00F619A4">
              <w:rPr>
                <w:rFonts w:cs="Arial"/>
                <w:lang w:val="hy-AM"/>
              </w:rPr>
              <w:t>միջոցներ</w:t>
            </w:r>
            <w:r w:rsidRPr="00F619A4">
              <w:rPr>
                <w:lang w:val="hy-AM"/>
              </w:rPr>
              <w:t xml:space="preserve"> </w:t>
            </w:r>
            <w:r w:rsidRPr="00F619A4">
              <w:rPr>
                <w:rFonts w:cs="Arial"/>
                <w:lang w:val="hy-AM"/>
              </w:rPr>
              <w:t>ձեռնարկի</w:t>
            </w:r>
            <w:r w:rsidRPr="00F619A4">
              <w:rPr>
                <w:lang w:val="hy-AM"/>
              </w:rPr>
              <w:t xml:space="preserve"> </w:t>
            </w:r>
            <w:r w:rsidRPr="00F619A4">
              <w:rPr>
                <w:rFonts w:cs="Arial"/>
                <w:lang w:val="hy-AM"/>
              </w:rPr>
              <w:t>ազատազրկման</w:t>
            </w:r>
            <w:r w:rsidRPr="00F619A4">
              <w:rPr>
                <w:lang w:val="hy-AM"/>
              </w:rPr>
              <w:t xml:space="preserve"> </w:t>
            </w:r>
            <w:r w:rsidRPr="00F619A4">
              <w:rPr>
                <w:rFonts w:cs="Arial"/>
                <w:lang w:val="hy-AM"/>
              </w:rPr>
              <w:t>այլընտրանք</w:t>
            </w:r>
            <w:r w:rsidRPr="00F619A4">
              <w:rPr>
                <w:lang w:val="hy-AM"/>
              </w:rPr>
              <w:t xml:space="preserve"> </w:t>
            </w:r>
            <w:r w:rsidRPr="00F619A4">
              <w:rPr>
                <w:rFonts w:cs="Arial"/>
                <w:lang w:val="hy-AM"/>
              </w:rPr>
              <w:t>հանդիսացող</w:t>
            </w:r>
            <w:r w:rsidRPr="00F619A4">
              <w:rPr>
                <w:lang w:val="hy-AM"/>
              </w:rPr>
              <w:t xml:space="preserve"> </w:t>
            </w:r>
            <w:r w:rsidRPr="00F619A4">
              <w:rPr>
                <w:rFonts w:cs="Arial"/>
                <w:lang w:val="hy-AM"/>
              </w:rPr>
              <w:t>պատիժների</w:t>
            </w:r>
            <w:r w:rsidRPr="00F619A4">
              <w:rPr>
                <w:lang w:val="hy-AM"/>
              </w:rPr>
              <w:t xml:space="preserve"> </w:t>
            </w:r>
            <w:r w:rsidRPr="00F619A4">
              <w:rPr>
                <w:rFonts w:cs="Arial"/>
                <w:lang w:val="hy-AM"/>
              </w:rPr>
              <w:t>և</w:t>
            </w:r>
            <w:r w:rsidRPr="00F619A4">
              <w:rPr>
                <w:lang w:val="hy-AM"/>
              </w:rPr>
              <w:t xml:space="preserve"> </w:t>
            </w:r>
            <w:r w:rsidRPr="00F619A4">
              <w:rPr>
                <w:rFonts w:cs="Arial"/>
                <w:lang w:val="hy-AM"/>
              </w:rPr>
              <w:t>կալանավորմանն</w:t>
            </w:r>
            <w:r w:rsidRPr="00F619A4">
              <w:rPr>
                <w:lang w:val="hy-AM"/>
              </w:rPr>
              <w:t xml:space="preserve"> </w:t>
            </w:r>
            <w:r w:rsidRPr="00F619A4">
              <w:rPr>
                <w:rFonts w:cs="Arial"/>
                <w:lang w:val="hy-AM"/>
              </w:rPr>
              <w:t>այլընտրանք</w:t>
            </w:r>
            <w:r w:rsidRPr="00F619A4">
              <w:rPr>
                <w:lang w:val="hy-AM"/>
              </w:rPr>
              <w:t xml:space="preserve"> </w:t>
            </w:r>
            <w:r w:rsidRPr="00F619A4">
              <w:rPr>
                <w:rFonts w:cs="Arial"/>
                <w:lang w:val="hy-AM"/>
              </w:rPr>
              <w:t>հանդիսացող</w:t>
            </w:r>
            <w:r w:rsidRPr="00F619A4">
              <w:rPr>
                <w:lang w:val="hy-AM"/>
              </w:rPr>
              <w:t xml:space="preserve"> </w:t>
            </w:r>
            <w:r w:rsidRPr="00F619A4">
              <w:rPr>
                <w:rFonts w:cs="Arial"/>
                <w:lang w:val="hy-AM"/>
              </w:rPr>
              <w:t>խափանման</w:t>
            </w:r>
            <w:r w:rsidRPr="00F619A4">
              <w:rPr>
                <w:lang w:val="hy-AM"/>
              </w:rPr>
              <w:t xml:space="preserve"> </w:t>
            </w:r>
            <w:r w:rsidRPr="00F619A4">
              <w:rPr>
                <w:rFonts w:cs="Arial"/>
                <w:lang w:val="hy-AM"/>
              </w:rPr>
              <w:t>միջոցների</w:t>
            </w:r>
            <w:r w:rsidRPr="00F619A4">
              <w:rPr>
                <w:lang w:val="hy-AM"/>
              </w:rPr>
              <w:t xml:space="preserve"> </w:t>
            </w:r>
            <w:r w:rsidRPr="00F619A4">
              <w:rPr>
                <w:rFonts w:cs="Arial"/>
                <w:lang w:val="hy-AM"/>
              </w:rPr>
              <w:t>կիրառման</w:t>
            </w:r>
            <w:r w:rsidRPr="00F619A4">
              <w:rPr>
                <w:lang w:val="hy-AM"/>
              </w:rPr>
              <w:t xml:space="preserve"> </w:t>
            </w:r>
            <w:r w:rsidRPr="00F619A4">
              <w:rPr>
                <w:rFonts w:cs="Arial"/>
                <w:lang w:val="hy-AM"/>
              </w:rPr>
              <w:t>համար</w:t>
            </w:r>
            <w:r w:rsidRPr="00F619A4">
              <w:rPr>
                <w:lang w:val="hy-AM"/>
              </w:rPr>
              <w:t xml:space="preserve"> </w:t>
            </w:r>
            <w:r w:rsidRPr="00F619A4">
              <w:rPr>
                <w:rFonts w:cs="Arial"/>
                <w:lang w:val="hy-AM"/>
              </w:rPr>
              <w:t>անհրաժեշտ</w:t>
            </w:r>
            <w:r w:rsidRPr="00F619A4">
              <w:rPr>
                <w:lang w:val="hy-AM"/>
              </w:rPr>
              <w:t xml:space="preserve"> </w:t>
            </w:r>
            <w:r w:rsidRPr="00F619A4">
              <w:rPr>
                <w:rFonts w:cs="Arial"/>
                <w:lang w:val="hy-AM"/>
              </w:rPr>
              <w:t>օրենսդրական</w:t>
            </w:r>
            <w:r w:rsidRPr="00F619A4">
              <w:rPr>
                <w:lang w:val="hy-AM"/>
              </w:rPr>
              <w:t xml:space="preserve"> </w:t>
            </w:r>
            <w:r w:rsidRPr="00F619A4">
              <w:rPr>
                <w:rFonts w:cs="Arial"/>
                <w:lang w:val="hy-AM"/>
              </w:rPr>
              <w:t>երաշխիքների</w:t>
            </w:r>
            <w:r w:rsidRPr="00F619A4">
              <w:rPr>
                <w:lang w:val="hy-AM"/>
              </w:rPr>
              <w:t xml:space="preserve"> </w:t>
            </w:r>
            <w:r w:rsidRPr="00F619A4">
              <w:rPr>
                <w:rFonts w:cs="Arial"/>
                <w:lang w:val="hy-AM"/>
              </w:rPr>
              <w:t>նախատեսման</w:t>
            </w:r>
            <w:r w:rsidRPr="00F619A4">
              <w:rPr>
                <w:lang w:val="hy-AM"/>
              </w:rPr>
              <w:t xml:space="preserve">, </w:t>
            </w:r>
            <w:r w:rsidRPr="00F619A4">
              <w:rPr>
                <w:rFonts w:cs="Arial"/>
                <w:lang w:val="hy-AM"/>
              </w:rPr>
              <w:t>դրանց</w:t>
            </w:r>
            <w:r w:rsidRPr="00F619A4">
              <w:rPr>
                <w:lang w:val="hy-AM"/>
              </w:rPr>
              <w:t xml:space="preserve"> </w:t>
            </w:r>
            <w:r w:rsidRPr="00F619A4">
              <w:rPr>
                <w:rFonts w:cs="Arial"/>
                <w:lang w:val="hy-AM"/>
              </w:rPr>
              <w:t>գործնական</w:t>
            </w:r>
            <w:r w:rsidRPr="00F619A4">
              <w:rPr>
                <w:lang w:val="hy-AM"/>
              </w:rPr>
              <w:t xml:space="preserve"> </w:t>
            </w:r>
            <w:r w:rsidRPr="00F619A4">
              <w:rPr>
                <w:rFonts w:cs="Arial"/>
                <w:lang w:val="hy-AM"/>
              </w:rPr>
              <w:t>կիրառման</w:t>
            </w:r>
            <w:r w:rsidRPr="00F619A4">
              <w:rPr>
                <w:lang w:val="hy-AM"/>
              </w:rPr>
              <w:t xml:space="preserve"> </w:t>
            </w:r>
            <w:r w:rsidRPr="00F619A4">
              <w:rPr>
                <w:rFonts w:cs="Arial"/>
                <w:lang w:val="hy-AM"/>
              </w:rPr>
              <w:t>համար</w:t>
            </w:r>
            <w:r w:rsidRPr="00F619A4">
              <w:rPr>
                <w:lang w:val="hy-AM"/>
              </w:rPr>
              <w:t xml:space="preserve"> </w:t>
            </w:r>
            <w:r w:rsidRPr="00F619A4">
              <w:rPr>
                <w:rFonts w:cs="Arial"/>
                <w:lang w:val="hy-AM"/>
              </w:rPr>
              <w:t>անհրաժեշտ</w:t>
            </w:r>
            <w:r w:rsidRPr="00F619A4">
              <w:rPr>
                <w:lang w:val="hy-AM"/>
              </w:rPr>
              <w:t xml:space="preserve"> </w:t>
            </w:r>
            <w:r w:rsidRPr="00F619A4">
              <w:rPr>
                <w:rFonts w:cs="Arial"/>
                <w:lang w:val="hy-AM"/>
              </w:rPr>
              <w:t>միջոցների</w:t>
            </w:r>
            <w:r w:rsidRPr="00F619A4">
              <w:rPr>
                <w:lang w:val="hy-AM"/>
              </w:rPr>
              <w:t xml:space="preserve"> </w:t>
            </w:r>
            <w:r w:rsidRPr="00F619A4">
              <w:rPr>
                <w:rFonts w:cs="Arial"/>
                <w:lang w:val="hy-AM"/>
              </w:rPr>
              <w:t>ապահովման</w:t>
            </w:r>
            <w:r w:rsidRPr="00F619A4">
              <w:rPr>
                <w:lang w:val="hy-AM"/>
              </w:rPr>
              <w:t xml:space="preserve"> </w:t>
            </w:r>
            <w:r w:rsidRPr="00F619A4">
              <w:rPr>
                <w:rFonts w:cs="Arial"/>
                <w:lang w:val="hy-AM"/>
              </w:rPr>
              <w:t>ուղղությամբ</w:t>
            </w:r>
            <w:r w:rsidRPr="00F619A4">
              <w:rPr>
                <w:lang w:val="hy-AM"/>
              </w:rPr>
              <w:t xml:space="preserve">, </w:t>
            </w:r>
            <w:r w:rsidRPr="00F619A4">
              <w:rPr>
                <w:rFonts w:cs="Arial"/>
                <w:lang w:val="hy-AM"/>
              </w:rPr>
              <w:t>ինչպես</w:t>
            </w:r>
            <w:r w:rsidRPr="00F619A4">
              <w:rPr>
                <w:lang w:val="hy-AM"/>
              </w:rPr>
              <w:t xml:space="preserve"> </w:t>
            </w:r>
            <w:r w:rsidRPr="00F619A4">
              <w:rPr>
                <w:rFonts w:cs="Arial"/>
                <w:lang w:val="hy-AM"/>
              </w:rPr>
              <w:t>նաև</w:t>
            </w:r>
            <w:r w:rsidRPr="00F619A4">
              <w:rPr>
                <w:lang w:val="hy-AM"/>
              </w:rPr>
              <w:t xml:space="preserve"> </w:t>
            </w:r>
            <w:r w:rsidRPr="00F619A4">
              <w:rPr>
                <w:rFonts w:cs="Arial"/>
                <w:lang w:val="hy-AM"/>
              </w:rPr>
              <w:t>քաջալերի</w:t>
            </w:r>
            <w:r w:rsidRPr="00F619A4">
              <w:rPr>
                <w:lang w:val="hy-AM"/>
              </w:rPr>
              <w:t xml:space="preserve"> </w:t>
            </w:r>
            <w:r w:rsidRPr="00F619A4">
              <w:rPr>
                <w:rFonts w:cs="Arial"/>
                <w:lang w:val="hy-AM"/>
              </w:rPr>
              <w:t>նման</w:t>
            </w:r>
            <w:r w:rsidRPr="00F619A4">
              <w:rPr>
                <w:lang w:val="hy-AM"/>
              </w:rPr>
              <w:t xml:space="preserve"> </w:t>
            </w:r>
            <w:r w:rsidRPr="00F619A4">
              <w:rPr>
                <w:rFonts w:cs="Arial"/>
                <w:lang w:val="hy-AM"/>
              </w:rPr>
              <w:t>միջոցների</w:t>
            </w:r>
            <w:r w:rsidRPr="00F619A4">
              <w:rPr>
                <w:lang w:val="hy-AM"/>
              </w:rPr>
              <w:t xml:space="preserve"> </w:t>
            </w:r>
            <w:r w:rsidRPr="00F619A4">
              <w:rPr>
                <w:rFonts w:cs="Arial"/>
                <w:lang w:val="hy-AM"/>
              </w:rPr>
              <w:t>կիրառումը</w:t>
            </w:r>
            <w:r w:rsidRPr="00F619A4">
              <w:rPr>
                <w:lang w:val="hy-AM"/>
              </w:rPr>
              <w:t>:</w:t>
            </w:r>
          </w:p>
          <w:p w:rsidR="001F6D5D" w:rsidRPr="00F619A4" w:rsidRDefault="001F6D5D" w:rsidP="00277183">
            <w:pPr>
              <w:ind w:firstLine="720"/>
              <w:jc w:val="both"/>
              <w:rPr>
                <w:lang w:val="hy-AM"/>
              </w:rPr>
            </w:pPr>
            <w:r w:rsidRPr="00F619A4">
              <w:rPr>
                <w:lang w:val="hy-AM"/>
              </w:rPr>
              <w:t>Ըստ այդմ՝ անհրաժեշտ է ՀՀ քրեական դատավարության օրենսգրքում ներդնել կալանավորմանն այլընտրանք հանդիսացող խափանման նոր միջոցներ։</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ind w:firstLine="720"/>
              <w:jc w:val="both"/>
              <w:rPr>
                <w:lang w:val="hy-AM"/>
              </w:rPr>
            </w:pPr>
            <w:r w:rsidRPr="00F619A4">
              <w:rPr>
                <w:lang w:val="hy-AM"/>
              </w:rPr>
              <w:t xml:space="preserve">ՀՀ քրեական դատավարության օրենսգրքում կալանավորմանն այլընտրանք հանդիսացող ընդամենը մեկ խափանման միջոց է նախատեսված՝ գրավը։ Այդուհանդերձ, գրավը չի հանդիսանում որպես առանձին խափանման միջոց, այն կիրառվում է միայն այն ժամանակ, երբ անձի նկատմամբ արդեն իսկ </w:t>
            </w:r>
            <w:r w:rsidRPr="00F619A4">
              <w:rPr>
                <w:rFonts w:cs="Sylfaen"/>
                <w:lang w:val="hy-AM"/>
              </w:rPr>
              <w:t>նշանակվել</w:t>
            </w:r>
            <w:r w:rsidRPr="00F619A4">
              <w:rPr>
                <w:lang w:val="hy-AM"/>
              </w:rPr>
              <w:t xml:space="preserve"> </w:t>
            </w:r>
            <w:r w:rsidRPr="00F619A4">
              <w:rPr>
                <w:rFonts w:cs="Sylfaen"/>
                <w:lang w:val="hy-AM"/>
              </w:rPr>
              <w:t>է</w:t>
            </w:r>
            <w:r w:rsidRPr="00F619A4">
              <w:rPr>
                <w:lang w:val="hy-AM"/>
              </w:rPr>
              <w:t xml:space="preserve"> </w:t>
            </w:r>
            <w:r w:rsidRPr="00F619A4">
              <w:rPr>
                <w:rFonts w:cs="Sylfaen"/>
                <w:lang w:val="hy-AM"/>
              </w:rPr>
              <w:t>կալանավորումը</w:t>
            </w:r>
            <w:r w:rsidRPr="00F619A4">
              <w:rPr>
                <w:lang w:val="hy-AM"/>
              </w:rPr>
              <w:t xml:space="preserve"> </w:t>
            </w:r>
            <w:r w:rsidRPr="00F619A4">
              <w:rPr>
                <w:rFonts w:cs="Sylfaen"/>
                <w:lang w:val="hy-AM"/>
              </w:rPr>
              <w:t>որպես</w:t>
            </w:r>
            <w:r w:rsidRPr="00F619A4">
              <w:rPr>
                <w:lang w:val="hy-AM"/>
              </w:rPr>
              <w:t xml:space="preserve"> </w:t>
            </w:r>
            <w:r w:rsidRPr="00F619A4">
              <w:rPr>
                <w:rFonts w:cs="Sylfaen"/>
                <w:lang w:val="hy-AM"/>
              </w:rPr>
              <w:t>խափանման</w:t>
            </w:r>
            <w:r w:rsidRPr="00F619A4">
              <w:rPr>
                <w:lang w:val="hy-AM"/>
              </w:rPr>
              <w:t xml:space="preserve"> </w:t>
            </w:r>
            <w:r w:rsidRPr="00F619A4">
              <w:rPr>
                <w:rFonts w:cs="Sylfaen"/>
                <w:lang w:val="hy-AM"/>
              </w:rPr>
              <w:t>միջոց։</w:t>
            </w:r>
            <w:r w:rsidRPr="00F619A4">
              <w:rPr>
                <w:lang w:val="hy-AM"/>
              </w:rPr>
              <w:t xml:space="preserve"> Այլ կերպ՝ գրավը լիարժեք կերպով չի փոխարինում կալանավորմանը։</w:t>
            </w:r>
          </w:p>
          <w:p w:rsidR="001F6D5D" w:rsidRPr="00F619A4" w:rsidRDefault="001F6D5D" w:rsidP="00277183">
            <w:pPr>
              <w:ind w:firstLine="720"/>
              <w:jc w:val="both"/>
              <w:rPr>
                <w:lang w:val="hy-AM"/>
              </w:rPr>
            </w:pPr>
            <w:r w:rsidRPr="00F619A4">
              <w:rPr>
                <w:lang w:val="hy-AM"/>
              </w:rPr>
              <w:t>Վերոգրյալի համատեքստում հաշվի առնելով կալանավորմանն այլընտրանք հանդիսացող խափանման միջոցների ներդրման անհրաժեշտությունը՝ «Պրոբացիայի մասին» ՀՀ օրենքով, որպես Պրոբացիայի ծառայության լիազորություն, նախատեսվեց նաև այլընտրանքային խափանման միջոցներ հանդիսացող տնային կալանքի և վարչական հսկողության իրականացումը, որոնք կարող են զուգակցվել էլեկտրոնային հսկողության միջոցների կիրառմամբ։ Այդուհանդերձ, այդպիսի խափանման միջոցների կիրառման համար անհրաժեշտ է քրեադատավարական օրենսգրքի շրջանակներում ապահովել այն իրավական հիմքերը, որոնց ուժով դատարանը կարող է կիրառել խնդրո առարկա խափանման միջոցները։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ind w:firstLine="720"/>
              <w:jc w:val="both"/>
              <w:rPr>
                <w:bCs/>
                <w:lang w:val="hy-AM"/>
              </w:rPr>
            </w:pPr>
            <w:r w:rsidRPr="00F619A4">
              <w:rPr>
                <w:bCs/>
                <w:lang w:val="hy-AM"/>
              </w:rPr>
              <w:t>Հաշվի առնելով վերոգրյալը՝ անհրաժեշտ է ՀՀ քրեական դատավարության օրենսգրքում ներդնել կալանավորմանն այլընտրանք հանդիսացող խափանման նոր միջոցներ՝ այդպիսով ապահովելով նշված միջոցների կիրառման համար անհրաժեշտ իրավական հիմքերը։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jc w:val="both"/>
              <w:rPr>
                <w:lang w:val="hy-AM"/>
              </w:rPr>
            </w:pPr>
            <w:r w:rsidRPr="00F619A4">
              <w:rPr>
                <w:lang w:val="hy-AM"/>
              </w:rPr>
              <w:t>ՀՀ քրեական դատավարության օրենսգրքում կալանավորմանն այլընտրանք հանդիսացող խափանման միջոցների ներդրման օրենսդրական հիմքերի ամրագրմամբ խափանման միջոցների համակարգը կհամալրվի կալանավորմանն այլընտրանք հանդիսացող նոր խափանման միջոցներով, որոնց կիրառման արդյունքում գործնականում կնվազեն կալանավորման կիրառման դեպքերը:</w:t>
            </w:r>
          </w:p>
          <w:p w:rsidR="001F6D5D" w:rsidRPr="00F619A4" w:rsidRDefault="001F6D5D" w:rsidP="00277183">
            <w:pPr>
              <w:tabs>
                <w:tab w:val="left" w:pos="4277"/>
              </w:tabs>
              <w:jc w:val="both"/>
              <w:rPr>
                <w:b/>
                <w:u w:val="single"/>
                <w:lang w:val="hy-AM"/>
              </w:rPr>
            </w:pPr>
            <w:r w:rsidRPr="00F619A4">
              <w:rPr>
                <w:b/>
                <w:u w:val="single"/>
                <w:lang w:val="hy-AM"/>
              </w:rPr>
              <w:t>1Հայաստանի Հանրապետության քրեակատարողական օրենսգրքում և հարակից օրենքներում փոփոխություններ և լրացումներ կատարելու մասին ՀՀ օրենքների նախագծերի ներկայացում Վարչապետի աշխատակազմ</w:t>
            </w:r>
            <w:r w:rsidRPr="00F619A4" w:rsidDel="001A613E">
              <w:rPr>
                <w:b/>
                <w:u w:val="single"/>
                <w:lang w:val="hy-AM"/>
              </w:rPr>
              <w:t xml:space="preserve"> </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tabs>
                <w:tab w:val="left" w:pos="180"/>
              </w:tabs>
              <w:ind w:left="86" w:firstLine="634"/>
              <w:jc w:val="both"/>
              <w:rPr>
                <w:lang w:val="hy-AM"/>
              </w:rPr>
            </w:pPr>
            <w:r w:rsidRPr="00F619A4">
              <w:rPr>
                <w:noProof/>
                <w:lang w:val="hy-AM"/>
              </w:rPr>
              <w:t xml:space="preserve">2019 թվականի փետրվարի 14-ի ԱԺՕ-002-Ն որոշմամբ հավանության </w:t>
            </w:r>
            <w:r w:rsidRPr="00F619A4">
              <w:rPr>
                <w:rFonts w:eastAsia="Calibri" w:cs="Sylfaen"/>
                <w:lang w:val="hy-AM"/>
              </w:rPr>
              <w:t xml:space="preserve">արժանացած ՀՀ կառավարության ծրագրի Ազատ, արժանապատիվ և երջանիկ քաղաքացի վերտառությամբ 4-րդ բաժնի Օրենքի առջև բոլորի հավասարությունը, արդարադատությունը և մարդու իրավունքների պաշտպանությունը վերտառությամբ 4.1-րդ գլխում </w:t>
            </w:r>
            <w:r w:rsidRPr="00F619A4">
              <w:rPr>
                <w:rFonts w:cs="Sylfaen"/>
                <w:lang w:val="hy-AM"/>
              </w:rPr>
              <w:t>կարևորելով</w:t>
            </w:r>
            <w:r w:rsidRPr="00F619A4">
              <w:rPr>
                <w:lang w:val="hy-AM"/>
              </w:rPr>
              <w:t xml:space="preserve"> </w:t>
            </w:r>
            <w:r w:rsidRPr="00F619A4">
              <w:rPr>
                <w:rFonts w:cs="Sylfaen"/>
                <w:lang w:val="hy-AM"/>
              </w:rPr>
              <w:t>ազատությունից</w:t>
            </w:r>
            <w:r w:rsidRPr="00F619A4">
              <w:rPr>
                <w:lang w:val="hy-AM"/>
              </w:rPr>
              <w:t xml:space="preserve"> </w:t>
            </w:r>
            <w:r w:rsidRPr="00F619A4">
              <w:rPr>
                <w:rFonts w:cs="Sylfaen"/>
                <w:lang w:val="hy-AM"/>
              </w:rPr>
              <w:t>զրկված</w:t>
            </w:r>
            <w:r w:rsidRPr="00F619A4">
              <w:rPr>
                <w:lang w:val="hy-AM"/>
              </w:rPr>
              <w:t xml:space="preserve"> </w:t>
            </w:r>
            <w:r w:rsidRPr="00F619A4">
              <w:rPr>
                <w:rFonts w:cs="Sylfaen"/>
                <w:lang w:val="hy-AM"/>
              </w:rPr>
              <w:t>անձանց</w:t>
            </w:r>
            <w:r w:rsidRPr="00F619A4">
              <w:rPr>
                <w:lang w:val="hy-AM"/>
              </w:rPr>
              <w:t xml:space="preserve"> </w:t>
            </w:r>
            <w:r w:rsidRPr="00F619A4">
              <w:rPr>
                <w:rFonts w:cs="Sylfaen"/>
                <w:lang w:val="hy-AM"/>
              </w:rPr>
              <w:t>իրավունքների</w:t>
            </w:r>
            <w:r w:rsidRPr="00F619A4">
              <w:rPr>
                <w:lang w:val="hy-AM"/>
              </w:rPr>
              <w:t xml:space="preserve"> </w:t>
            </w:r>
            <w:r w:rsidRPr="00F619A4">
              <w:rPr>
                <w:rFonts w:cs="Sylfaen"/>
                <w:lang w:val="hy-AM"/>
              </w:rPr>
              <w:t>անխոչընդոտ</w:t>
            </w:r>
            <w:r w:rsidRPr="00F619A4">
              <w:rPr>
                <w:lang w:val="hy-AM"/>
              </w:rPr>
              <w:t xml:space="preserve"> </w:t>
            </w:r>
            <w:r w:rsidRPr="00F619A4">
              <w:rPr>
                <w:rFonts w:cs="Sylfaen"/>
                <w:lang w:val="hy-AM"/>
              </w:rPr>
              <w:t>իրացումը՝</w:t>
            </w:r>
            <w:r w:rsidRPr="00F619A4">
              <w:rPr>
                <w:lang w:val="hy-AM"/>
              </w:rPr>
              <w:t xml:space="preserve"> ընդգծվել է, որ ՀՀ կառավարությունը </w:t>
            </w:r>
            <w:r w:rsidRPr="00F619A4">
              <w:rPr>
                <w:rFonts w:cs="Sylfaen"/>
                <w:lang w:val="hy-AM"/>
              </w:rPr>
              <w:t>պետք</w:t>
            </w:r>
            <w:r w:rsidRPr="00F619A4">
              <w:rPr>
                <w:lang w:val="hy-AM"/>
              </w:rPr>
              <w:t xml:space="preserve"> </w:t>
            </w:r>
            <w:r w:rsidRPr="00F619A4">
              <w:rPr>
                <w:rFonts w:cs="Sylfaen"/>
                <w:lang w:val="hy-AM"/>
              </w:rPr>
              <w:t>է</w:t>
            </w:r>
            <w:r w:rsidRPr="00F619A4">
              <w:rPr>
                <w:lang w:val="hy-AM"/>
              </w:rPr>
              <w:t xml:space="preserve"> </w:t>
            </w:r>
            <w:r w:rsidRPr="00F619A4">
              <w:rPr>
                <w:rFonts w:cs="Sylfaen"/>
                <w:lang w:val="hy-AM"/>
              </w:rPr>
              <w:t>շարունակական</w:t>
            </w:r>
            <w:r w:rsidRPr="00F619A4">
              <w:rPr>
                <w:lang w:val="hy-AM"/>
              </w:rPr>
              <w:t xml:space="preserve"> </w:t>
            </w:r>
            <w:r w:rsidRPr="00F619A4">
              <w:rPr>
                <w:rFonts w:cs="Sylfaen"/>
                <w:lang w:val="hy-AM"/>
              </w:rPr>
              <w:t>քայլեր</w:t>
            </w:r>
            <w:r w:rsidRPr="00F619A4">
              <w:rPr>
                <w:lang w:val="hy-AM"/>
              </w:rPr>
              <w:t xml:space="preserve"> </w:t>
            </w:r>
            <w:r w:rsidRPr="00F619A4">
              <w:rPr>
                <w:rFonts w:cs="Sylfaen"/>
                <w:lang w:val="hy-AM"/>
              </w:rPr>
              <w:t>ձեռնարկի</w:t>
            </w:r>
            <w:r w:rsidRPr="00F619A4">
              <w:rPr>
                <w:lang w:val="hy-AM"/>
              </w:rPr>
              <w:t xml:space="preserve"> </w:t>
            </w:r>
            <w:r w:rsidRPr="00F619A4">
              <w:rPr>
                <w:rFonts w:cs="Sylfaen"/>
                <w:lang w:val="hy-AM"/>
              </w:rPr>
              <w:t>ազատությունից</w:t>
            </w:r>
            <w:r w:rsidRPr="00F619A4">
              <w:rPr>
                <w:lang w:val="hy-AM"/>
              </w:rPr>
              <w:t xml:space="preserve"> </w:t>
            </w:r>
            <w:r w:rsidRPr="00F619A4">
              <w:rPr>
                <w:rFonts w:cs="Sylfaen"/>
                <w:lang w:val="hy-AM"/>
              </w:rPr>
              <w:t>զրկված</w:t>
            </w:r>
            <w:r w:rsidRPr="00F619A4">
              <w:rPr>
                <w:lang w:val="hy-AM"/>
              </w:rPr>
              <w:t xml:space="preserve"> </w:t>
            </w:r>
            <w:r w:rsidRPr="00F619A4">
              <w:rPr>
                <w:rFonts w:cs="Sylfaen"/>
                <w:lang w:val="hy-AM"/>
              </w:rPr>
              <w:t>անձանց</w:t>
            </w:r>
            <w:r w:rsidRPr="00F619A4">
              <w:rPr>
                <w:lang w:val="hy-AM"/>
              </w:rPr>
              <w:t xml:space="preserve"> </w:t>
            </w:r>
            <w:r w:rsidRPr="00F619A4">
              <w:rPr>
                <w:rFonts w:cs="Sylfaen"/>
                <w:lang w:val="hy-AM"/>
              </w:rPr>
              <w:t>հիմնական</w:t>
            </w:r>
            <w:r w:rsidRPr="00F619A4">
              <w:rPr>
                <w:lang w:val="hy-AM"/>
              </w:rPr>
              <w:t xml:space="preserve"> </w:t>
            </w:r>
            <w:r w:rsidRPr="00F619A4">
              <w:rPr>
                <w:rFonts w:cs="Sylfaen"/>
                <w:lang w:val="hy-AM"/>
              </w:rPr>
              <w:t>իրավունքների</w:t>
            </w:r>
            <w:r w:rsidRPr="00F619A4">
              <w:rPr>
                <w:lang w:val="hy-AM"/>
              </w:rPr>
              <w:t xml:space="preserve"> </w:t>
            </w:r>
            <w:r w:rsidRPr="00F619A4">
              <w:rPr>
                <w:rFonts w:cs="Sylfaen"/>
                <w:lang w:val="hy-AM"/>
              </w:rPr>
              <w:t>երաշխավորման</w:t>
            </w:r>
            <w:r w:rsidRPr="00F619A4">
              <w:rPr>
                <w:lang w:val="hy-AM"/>
              </w:rPr>
              <w:t xml:space="preserve">, </w:t>
            </w:r>
            <w:r w:rsidRPr="00F619A4">
              <w:rPr>
                <w:rFonts w:cs="Sylfaen"/>
                <w:lang w:val="hy-AM"/>
              </w:rPr>
              <w:t>այդ</w:t>
            </w:r>
            <w:r w:rsidRPr="00F619A4">
              <w:rPr>
                <w:lang w:val="hy-AM"/>
              </w:rPr>
              <w:t xml:space="preserve"> </w:t>
            </w:r>
            <w:r w:rsidRPr="00F619A4">
              <w:rPr>
                <w:rFonts w:cs="Sylfaen"/>
                <w:lang w:val="hy-AM"/>
              </w:rPr>
              <w:t>թվում՝</w:t>
            </w:r>
            <w:r w:rsidRPr="00F619A4">
              <w:rPr>
                <w:lang w:val="hy-AM"/>
              </w:rPr>
              <w:t xml:space="preserve"> </w:t>
            </w:r>
            <w:r w:rsidRPr="00F619A4">
              <w:rPr>
                <w:rFonts w:cs="Sylfaen"/>
                <w:lang w:val="hy-AM"/>
              </w:rPr>
              <w:t>արտաքին</w:t>
            </w:r>
            <w:r w:rsidRPr="00F619A4">
              <w:rPr>
                <w:lang w:val="hy-AM"/>
              </w:rPr>
              <w:t xml:space="preserve"> </w:t>
            </w:r>
            <w:r w:rsidRPr="00F619A4">
              <w:rPr>
                <w:rFonts w:cs="Sylfaen"/>
                <w:lang w:val="hy-AM"/>
              </w:rPr>
              <w:t>աշխարհի</w:t>
            </w:r>
            <w:r w:rsidRPr="00F619A4">
              <w:rPr>
                <w:lang w:val="hy-AM"/>
              </w:rPr>
              <w:t xml:space="preserve"> </w:t>
            </w:r>
            <w:r w:rsidRPr="00F619A4">
              <w:rPr>
                <w:rFonts w:cs="Sylfaen"/>
                <w:lang w:val="hy-AM"/>
              </w:rPr>
              <w:t>հետ</w:t>
            </w:r>
            <w:r w:rsidRPr="00F619A4">
              <w:rPr>
                <w:lang w:val="hy-AM"/>
              </w:rPr>
              <w:t xml:space="preserve"> </w:t>
            </w:r>
            <w:r w:rsidRPr="00F619A4">
              <w:rPr>
                <w:rFonts w:cs="Sylfaen"/>
                <w:lang w:val="hy-AM"/>
              </w:rPr>
              <w:t>կապի</w:t>
            </w:r>
            <w:r w:rsidRPr="00F619A4">
              <w:rPr>
                <w:lang w:val="hy-AM"/>
              </w:rPr>
              <w:t xml:space="preserve"> </w:t>
            </w:r>
            <w:r w:rsidRPr="00F619A4">
              <w:rPr>
                <w:rFonts w:cs="Sylfaen"/>
                <w:lang w:val="hy-AM"/>
              </w:rPr>
              <w:t>ամրապնդման</w:t>
            </w:r>
            <w:r w:rsidRPr="00F619A4">
              <w:rPr>
                <w:lang w:val="hy-AM"/>
              </w:rPr>
              <w:t xml:space="preserve">, </w:t>
            </w:r>
            <w:r w:rsidRPr="00F619A4">
              <w:rPr>
                <w:rFonts w:cs="Sylfaen"/>
                <w:lang w:val="hy-AM"/>
              </w:rPr>
              <w:t>պահման</w:t>
            </w:r>
            <w:r w:rsidRPr="00F619A4">
              <w:rPr>
                <w:lang w:val="hy-AM"/>
              </w:rPr>
              <w:t xml:space="preserve"> </w:t>
            </w:r>
            <w:r w:rsidRPr="00F619A4">
              <w:rPr>
                <w:rFonts w:cs="Sylfaen"/>
                <w:lang w:val="hy-AM"/>
              </w:rPr>
              <w:t>պայմանների</w:t>
            </w:r>
            <w:r w:rsidRPr="00F619A4">
              <w:rPr>
                <w:lang w:val="hy-AM"/>
              </w:rPr>
              <w:t xml:space="preserve"> </w:t>
            </w:r>
            <w:r w:rsidRPr="00F619A4">
              <w:rPr>
                <w:rFonts w:cs="Sylfaen"/>
                <w:lang w:val="hy-AM"/>
              </w:rPr>
              <w:t>բարելավման</w:t>
            </w:r>
            <w:r w:rsidRPr="00F619A4">
              <w:rPr>
                <w:lang w:val="hy-AM"/>
              </w:rPr>
              <w:t xml:space="preserve">, </w:t>
            </w:r>
            <w:r w:rsidRPr="00F619A4">
              <w:rPr>
                <w:rFonts w:cs="Sylfaen"/>
                <w:lang w:val="hy-AM"/>
              </w:rPr>
              <w:t>նրանց</w:t>
            </w:r>
            <w:r w:rsidRPr="00F619A4">
              <w:rPr>
                <w:lang w:val="hy-AM"/>
              </w:rPr>
              <w:t xml:space="preserve"> </w:t>
            </w:r>
            <w:r w:rsidRPr="00F619A4">
              <w:rPr>
                <w:rFonts w:cs="Sylfaen"/>
                <w:lang w:val="hy-AM"/>
              </w:rPr>
              <w:t>տրամադրվող</w:t>
            </w:r>
            <w:r w:rsidRPr="00F619A4">
              <w:rPr>
                <w:lang w:val="hy-AM"/>
              </w:rPr>
              <w:t xml:space="preserve"> </w:t>
            </w:r>
            <w:r w:rsidRPr="00F619A4">
              <w:rPr>
                <w:rFonts w:cs="Sylfaen"/>
                <w:lang w:val="hy-AM"/>
              </w:rPr>
              <w:t>բժշկական</w:t>
            </w:r>
            <w:r w:rsidRPr="00F619A4">
              <w:rPr>
                <w:lang w:val="hy-AM"/>
              </w:rPr>
              <w:t xml:space="preserve"> </w:t>
            </w:r>
            <w:r w:rsidRPr="00F619A4">
              <w:rPr>
                <w:rFonts w:cs="Sylfaen"/>
                <w:lang w:val="hy-AM"/>
              </w:rPr>
              <w:t>օգնության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սպասարկման</w:t>
            </w:r>
            <w:r w:rsidRPr="00F619A4">
              <w:rPr>
                <w:lang w:val="hy-AM"/>
              </w:rPr>
              <w:t xml:space="preserve"> </w:t>
            </w:r>
            <w:r w:rsidRPr="00F619A4">
              <w:rPr>
                <w:rFonts w:cs="Sylfaen"/>
                <w:lang w:val="hy-AM"/>
              </w:rPr>
              <w:t>որակի</w:t>
            </w:r>
            <w:r w:rsidRPr="00F619A4">
              <w:rPr>
                <w:lang w:val="hy-AM"/>
              </w:rPr>
              <w:t xml:space="preserve"> </w:t>
            </w:r>
            <w:r w:rsidRPr="00F619A4">
              <w:rPr>
                <w:rFonts w:cs="Sylfaen"/>
                <w:lang w:val="hy-AM"/>
              </w:rPr>
              <w:t>բարձրացման</w:t>
            </w:r>
            <w:r w:rsidRPr="00F619A4">
              <w:rPr>
                <w:lang w:val="hy-AM"/>
              </w:rPr>
              <w:t xml:space="preserve">, </w:t>
            </w:r>
            <w:r w:rsidRPr="00F619A4">
              <w:rPr>
                <w:rFonts w:cs="Sylfaen"/>
                <w:lang w:val="hy-AM"/>
              </w:rPr>
              <w:t>վերասոցիալականացման</w:t>
            </w:r>
            <w:r w:rsidRPr="00F619A4">
              <w:rPr>
                <w:lang w:val="hy-AM"/>
              </w:rPr>
              <w:t xml:space="preserve"> </w:t>
            </w:r>
            <w:r w:rsidRPr="00F619A4">
              <w:rPr>
                <w:rFonts w:cs="Sylfaen"/>
                <w:lang w:val="hy-AM"/>
              </w:rPr>
              <w:t>գործընթացի</w:t>
            </w:r>
            <w:r w:rsidRPr="00F619A4">
              <w:rPr>
                <w:lang w:val="hy-AM"/>
              </w:rPr>
              <w:t xml:space="preserve"> </w:t>
            </w:r>
            <w:r w:rsidRPr="00F619A4">
              <w:rPr>
                <w:rFonts w:cs="Sylfaen"/>
                <w:lang w:val="hy-AM"/>
              </w:rPr>
              <w:t>արդյունավետության</w:t>
            </w:r>
            <w:r w:rsidRPr="00F619A4">
              <w:rPr>
                <w:lang w:val="hy-AM"/>
              </w:rPr>
              <w:t xml:space="preserve"> </w:t>
            </w:r>
            <w:r w:rsidRPr="00F619A4">
              <w:rPr>
                <w:rFonts w:cs="Sylfaen"/>
                <w:lang w:val="hy-AM"/>
              </w:rPr>
              <w:t>բարձրացման</w:t>
            </w:r>
            <w:r w:rsidRPr="00F619A4">
              <w:rPr>
                <w:lang w:val="hy-AM"/>
              </w:rPr>
              <w:t xml:space="preserve"> </w:t>
            </w:r>
            <w:r w:rsidRPr="00F619A4">
              <w:rPr>
                <w:rFonts w:cs="Sylfaen"/>
                <w:lang w:val="hy-AM"/>
              </w:rPr>
              <w:t>նպատակով</w:t>
            </w:r>
            <w:r w:rsidRPr="00F619A4">
              <w:rPr>
                <w:lang w:val="hy-AM"/>
              </w:rPr>
              <w:t>:</w:t>
            </w:r>
          </w:p>
          <w:p w:rsidR="001F6D5D" w:rsidRPr="00F619A4" w:rsidRDefault="001F6D5D" w:rsidP="00277183">
            <w:pPr>
              <w:tabs>
                <w:tab w:val="left" w:pos="180"/>
              </w:tabs>
              <w:ind w:left="86" w:firstLine="634"/>
              <w:jc w:val="both"/>
              <w:rPr>
                <w:lang w:val="hy-AM"/>
              </w:rPr>
            </w:pPr>
            <w:r w:rsidRPr="00F619A4">
              <w:rPr>
                <w:lang w:val="hy-AM"/>
              </w:rPr>
              <w:t xml:space="preserve">Ազատությունից զրկված անձանց հիմնական իրավունքների երաշխավորման և դրանց անխոչընդոտ իրացման տեսանկյունից հատկանշական է, որ ներկայումս ՀՀ քրեակատարողական և ՀՀ քրեական դատավարության օրենսգրքերը չեն նախատեսում պատիժ կատարող մարմինների և հիմնարկների պաշտոնատար անձանց գործողությունների, անգործության կամ ընդունած որոշման դեմ բերված բողոքների քննության հստակ կառուցակարգ։ Այդպիսի կառուցակարգի բացակայության փաստն ընդգծվել է նաև ՀՀ սահմանադրական դատարանի 2019 թվականի հունվարի 22-ի ՍԴՈ-1439 որոշմամբ։  </w:t>
            </w:r>
          </w:p>
          <w:p w:rsidR="001F6D5D" w:rsidRPr="00F619A4" w:rsidRDefault="001F6D5D" w:rsidP="00277183">
            <w:pPr>
              <w:tabs>
                <w:tab w:val="left" w:pos="180"/>
              </w:tabs>
              <w:ind w:left="86" w:firstLine="634"/>
              <w:jc w:val="both"/>
              <w:rPr>
                <w:rFonts w:cs="Sylfaen"/>
                <w:noProof/>
                <w:color w:val="000000"/>
                <w:lang w:val="hy-AM"/>
              </w:rPr>
            </w:pPr>
            <w:r w:rsidRPr="00F619A4">
              <w:rPr>
                <w:lang w:val="hy-AM"/>
              </w:rPr>
              <w:t xml:space="preserve">Ըստ այդմ՝ որպես ազատությունից զրկված անձանց հիմնական իրավունքների իրացման երաշխիք՝ անհրաժեշտ է նախատեսել պատիժ կատարող մարմինների և հիմնարկների պաշտոնատար անձանց գործողությունների, անգործության կամ ընդունած որոշման դեմ բերված բողոքների քննության հստակ կառուցակարգ։ </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ind w:firstLine="720"/>
              <w:jc w:val="both"/>
              <w:rPr>
                <w:color w:val="000000"/>
                <w:shd w:val="clear" w:color="auto" w:fill="FFFFFF"/>
                <w:lang w:val="hy-AM"/>
              </w:rPr>
            </w:pPr>
            <w:r w:rsidRPr="00F619A4">
              <w:rPr>
                <w:lang w:val="hy-AM"/>
              </w:rPr>
              <w:t xml:space="preserve">ՀՀ քրեակատարողական օրենսգրքի «Դատական վերահսկողությունը» վերտառությամբ 18-րդ հոդվածի 2-րդ մասն ամրագրում է առ այն, որ </w:t>
            </w:r>
            <w:r w:rsidRPr="00F619A4">
              <w:rPr>
                <w:color w:val="000000"/>
                <w:shd w:val="clear" w:color="auto" w:fill="FFFFFF"/>
                <w:lang w:val="hy-AM"/>
              </w:rPr>
              <w:t xml:space="preserve">օրենքով սահմանված դեպքերում և կարգով դատարանը քննարկում է դատապարտյալի բողոքները՝ պատիժը կատարող մարմնի կամ հիմնարկի վարչակազմի գործողությունների դեմ։ </w:t>
            </w:r>
          </w:p>
          <w:p w:rsidR="001F6D5D" w:rsidRPr="00F619A4" w:rsidRDefault="001F6D5D" w:rsidP="00277183">
            <w:pPr>
              <w:ind w:firstLine="720"/>
              <w:jc w:val="both"/>
              <w:rPr>
                <w:lang w:val="hy-AM"/>
              </w:rPr>
            </w:pPr>
            <w:r w:rsidRPr="00F619A4">
              <w:rPr>
                <w:rFonts w:cs="Arial"/>
                <w:lang w:val="hy-AM"/>
              </w:rPr>
              <w:t>Քրեակատարողական</w:t>
            </w:r>
            <w:r w:rsidRPr="00F619A4">
              <w:rPr>
                <w:lang w:val="hy-AM"/>
              </w:rPr>
              <w:t xml:space="preserve"> </w:t>
            </w:r>
            <w:r w:rsidRPr="00F619A4">
              <w:rPr>
                <w:rFonts w:cs="Arial"/>
                <w:lang w:val="hy-AM"/>
              </w:rPr>
              <w:t>օրենսդրությունը</w:t>
            </w:r>
            <w:r w:rsidRPr="00F619A4">
              <w:rPr>
                <w:lang w:val="hy-AM"/>
              </w:rPr>
              <w:t xml:space="preserve"> </w:t>
            </w:r>
            <w:r w:rsidRPr="00F619A4">
              <w:rPr>
                <w:rFonts w:cs="Arial"/>
                <w:lang w:val="hy-AM"/>
              </w:rPr>
              <w:t>թեև</w:t>
            </w:r>
            <w:r w:rsidRPr="00F619A4">
              <w:rPr>
                <w:lang w:val="hy-AM"/>
              </w:rPr>
              <w:t xml:space="preserve"> </w:t>
            </w:r>
            <w:r w:rsidRPr="00F619A4">
              <w:rPr>
                <w:rFonts w:cs="Arial"/>
                <w:lang w:val="hy-AM"/>
              </w:rPr>
              <w:t>ամրագրում</w:t>
            </w:r>
            <w:r w:rsidRPr="00F619A4">
              <w:rPr>
                <w:lang w:val="hy-AM"/>
              </w:rPr>
              <w:t xml:space="preserve"> </w:t>
            </w:r>
            <w:r w:rsidRPr="00F619A4">
              <w:rPr>
                <w:rFonts w:cs="Arial"/>
                <w:lang w:val="hy-AM"/>
              </w:rPr>
              <w:t>է</w:t>
            </w:r>
            <w:r w:rsidRPr="00F619A4">
              <w:rPr>
                <w:lang w:val="hy-AM"/>
              </w:rPr>
              <w:t xml:space="preserve"> </w:t>
            </w:r>
            <w:r w:rsidRPr="00F619A4">
              <w:rPr>
                <w:rFonts w:cs="Arial"/>
                <w:lang w:val="hy-AM"/>
              </w:rPr>
              <w:t>դատապարտյալի՝</w:t>
            </w:r>
            <w:r w:rsidRPr="00F619A4">
              <w:rPr>
                <w:lang w:val="hy-AM"/>
              </w:rPr>
              <w:t xml:space="preserve"> </w:t>
            </w:r>
            <w:r w:rsidRPr="00F619A4">
              <w:rPr>
                <w:rFonts w:cs="Arial"/>
                <w:lang w:val="hy-AM"/>
              </w:rPr>
              <w:t>իր</w:t>
            </w:r>
            <w:r w:rsidRPr="00F619A4">
              <w:rPr>
                <w:lang w:val="hy-AM"/>
              </w:rPr>
              <w:t xml:space="preserve"> </w:t>
            </w:r>
            <w:r w:rsidRPr="00F619A4">
              <w:rPr>
                <w:rFonts w:cs="Arial"/>
                <w:lang w:val="hy-AM"/>
              </w:rPr>
              <w:t>իրավունքների</w:t>
            </w:r>
            <w:r w:rsidRPr="00F619A4">
              <w:rPr>
                <w:lang w:val="hy-AM"/>
              </w:rPr>
              <w:t xml:space="preserve"> </w:t>
            </w:r>
            <w:r w:rsidRPr="00F619A4">
              <w:rPr>
                <w:rFonts w:cs="Arial"/>
                <w:lang w:val="hy-AM"/>
              </w:rPr>
              <w:t>խախտումների</w:t>
            </w:r>
            <w:r w:rsidRPr="00F619A4">
              <w:rPr>
                <w:lang w:val="hy-AM"/>
              </w:rPr>
              <w:t xml:space="preserve"> </w:t>
            </w:r>
            <w:r w:rsidRPr="00F619A4">
              <w:rPr>
                <w:rFonts w:cs="Arial"/>
                <w:lang w:val="hy-AM"/>
              </w:rPr>
              <w:t>մասով</w:t>
            </w:r>
            <w:r w:rsidRPr="00F619A4">
              <w:rPr>
                <w:lang w:val="hy-AM"/>
              </w:rPr>
              <w:t xml:space="preserve"> </w:t>
            </w:r>
            <w:r w:rsidRPr="00F619A4">
              <w:rPr>
                <w:rFonts w:cs="Arial"/>
                <w:lang w:val="hy-AM"/>
              </w:rPr>
              <w:t>դատարան</w:t>
            </w:r>
            <w:r w:rsidRPr="00F619A4">
              <w:rPr>
                <w:lang w:val="hy-AM"/>
              </w:rPr>
              <w:t xml:space="preserve"> </w:t>
            </w:r>
            <w:r w:rsidRPr="00F619A4">
              <w:rPr>
                <w:rFonts w:cs="Arial"/>
                <w:lang w:val="hy-AM"/>
              </w:rPr>
              <w:t>բողոք</w:t>
            </w:r>
            <w:r w:rsidRPr="00F619A4">
              <w:rPr>
                <w:lang w:val="hy-AM"/>
              </w:rPr>
              <w:t xml:space="preserve"> </w:t>
            </w:r>
            <w:r w:rsidRPr="00F619A4">
              <w:rPr>
                <w:rFonts w:cs="Arial"/>
                <w:lang w:val="hy-AM"/>
              </w:rPr>
              <w:t>ներկայացնելու</w:t>
            </w:r>
            <w:r w:rsidRPr="00F619A4">
              <w:rPr>
                <w:lang w:val="hy-AM"/>
              </w:rPr>
              <w:t xml:space="preserve"> </w:t>
            </w:r>
            <w:r w:rsidRPr="00F619A4">
              <w:rPr>
                <w:rFonts w:cs="Arial"/>
                <w:lang w:val="hy-AM"/>
              </w:rPr>
              <w:t>իրավունքը</w:t>
            </w:r>
            <w:r w:rsidRPr="00F619A4">
              <w:rPr>
                <w:lang w:val="hy-AM"/>
              </w:rPr>
              <w:t xml:space="preserve">, </w:t>
            </w:r>
            <w:r w:rsidRPr="00F619A4">
              <w:rPr>
                <w:rFonts w:cs="Arial"/>
                <w:lang w:val="hy-AM"/>
              </w:rPr>
              <w:t>սակայն</w:t>
            </w:r>
            <w:r w:rsidRPr="00F619A4">
              <w:rPr>
                <w:lang w:val="hy-AM"/>
              </w:rPr>
              <w:t xml:space="preserve"> </w:t>
            </w:r>
            <w:r w:rsidRPr="00F619A4">
              <w:rPr>
                <w:rFonts w:cs="Arial"/>
                <w:lang w:val="hy-AM"/>
              </w:rPr>
              <w:t>չի</w:t>
            </w:r>
            <w:r w:rsidRPr="00F619A4">
              <w:rPr>
                <w:lang w:val="hy-AM"/>
              </w:rPr>
              <w:t xml:space="preserve"> </w:t>
            </w:r>
            <w:r w:rsidRPr="00F619A4">
              <w:rPr>
                <w:rFonts w:cs="Arial"/>
                <w:lang w:val="hy-AM"/>
              </w:rPr>
              <w:t>հստակեցնում՝</w:t>
            </w:r>
            <w:r w:rsidRPr="00F619A4">
              <w:rPr>
                <w:lang w:val="hy-AM"/>
              </w:rPr>
              <w:t xml:space="preserve"> </w:t>
            </w:r>
            <w:r w:rsidRPr="00F619A4">
              <w:rPr>
                <w:rFonts w:cs="Arial"/>
                <w:lang w:val="hy-AM"/>
              </w:rPr>
              <w:t>դատապարտյալը վարչակա՞ն</w:t>
            </w:r>
            <w:r w:rsidRPr="00F619A4">
              <w:rPr>
                <w:lang w:val="hy-AM"/>
              </w:rPr>
              <w:t xml:space="preserve">, </w:t>
            </w:r>
            <w:r w:rsidRPr="00F619A4">
              <w:rPr>
                <w:rFonts w:cs="Arial"/>
                <w:lang w:val="hy-AM"/>
              </w:rPr>
              <w:t>թե՞</w:t>
            </w:r>
            <w:r w:rsidRPr="00F619A4">
              <w:rPr>
                <w:lang w:val="hy-AM"/>
              </w:rPr>
              <w:t xml:space="preserve"> </w:t>
            </w:r>
            <w:r w:rsidRPr="00F619A4">
              <w:rPr>
                <w:rFonts w:cs="Arial"/>
                <w:lang w:val="hy-AM"/>
              </w:rPr>
              <w:t>ընդհանուր</w:t>
            </w:r>
            <w:r w:rsidRPr="00F619A4">
              <w:rPr>
                <w:lang w:val="hy-AM"/>
              </w:rPr>
              <w:t xml:space="preserve"> </w:t>
            </w:r>
            <w:r w:rsidRPr="00F619A4">
              <w:rPr>
                <w:rFonts w:cs="Arial"/>
                <w:lang w:val="hy-AM"/>
              </w:rPr>
              <w:t>իրավասության</w:t>
            </w:r>
            <w:r w:rsidRPr="00F619A4">
              <w:rPr>
                <w:lang w:val="hy-AM"/>
              </w:rPr>
              <w:t xml:space="preserve"> </w:t>
            </w:r>
            <w:r w:rsidRPr="00F619A4">
              <w:rPr>
                <w:rFonts w:cs="Arial"/>
                <w:lang w:val="hy-AM"/>
              </w:rPr>
              <w:t>դատարան</w:t>
            </w:r>
            <w:r w:rsidRPr="00F619A4">
              <w:rPr>
                <w:lang w:val="hy-AM"/>
              </w:rPr>
              <w:t xml:space="preserve"> </w:t>
            </w:r>
            <w:r w:rsidRPr="00F619A4">
              <w:rPr>
                <w:rFonts w:cs="Arial"/>
                <w:lang w:val="hy-AM"/>
              </w:rPr>
              <w:t>կարող</w:t>
            </w:r>
            <w:r w:rsidRPr="00F619A4">
              <w:rPr>
                <w:lang w:val="hy-AM"/>
              </w:rPr>
              <w:t xml:space="preserve"> </w:t>
            </w:r>
            <w:r w:rsidRPr="00F619A4">
              <w:rPr>
                <w:rFonts w:cs="Arial"/>
                <w:lang w:val="hy-AM"/>
              </w:rPr>
              <w:t>է</w:t>
            </w:r>
            <w:r w:rsidRPr="00F619A4">
              <w:rPr>
                <w:lang w:val="hy-AM"/>
              </w:rPr>
              <w:t xml:space="preserve"> </w:t>
            </w:r>
            <w:r w:rsidRPr="00F619A4">
              <w:rPr>
                <w:rFonts w:cs="Arial"/>
                <w:lang w:val="hy-AM"/>
              </w:rPr>
              <w:t>դիմել</w:t>
            </w:r>
            <w:r w:rsidRPr="00F619A4">
              <w:rPr>
                <w:lang w:val="hy-AM"/>
              </w:rPr>
              <w:t xml:space="preserve">: Ըստ այդմ՝ իրավական անորոշություն է առաջանում նաև այն հարցի շուրջ, թե ինչ դատավարական կարգով պետք է առաջնորդվել դատապարտյալի կողմից օրինակ՝ քրեակատարողական հիմնարկի պետի որոշումները դատական կարգով բողոքարկելիս և դրանք դատական վերահսկողության առարկա դարձնելիս։ </w:t>
            </w:r>
          </w:p>
          <w:p w:rsidR="001F6D5D" w:rsidRPr="00F619A4" w:rsidRDefault="001F6D5D" w:rsidP="00277183">
            <w:pPr>
              <w:ind w:firstLine="720"/>
              <w:jc w:val="both"/>
              <w:rPr>
                <w:color w:val="000000"/>
                <w:shd w:val="clear" w:color="auto" w:fill="FFFFFF"/>
                <w:lang w:val="hy-AM"/>
              </w:rPr>
            </w:pPr>
            <w:r w:rsidRPr="00F619A4">
              <w:rPr>
                <w:lang w:val="hy-AM"/>
              </w:rPr>
              <w:t xml:space="preserve">Վերոգրյալ հարցերի առնչությամբ ՀՀ սահմանադրական դատարանը 2019 թվականի հունվարի 22-ի ՍԴՈ-1439 որոշմամբ նշել է, որ </w:t>
            </w:r>
            <w:r w:rsidRPr="00F619A4">
              <w:rPr>
                <w:rFonts w:cs="Arial"/>
                <w:lang w:val="hy-AM"/>
              </w:rPr>
              <w:t>մինչև</w:t>
            </w:r>
            <w:r w:rsidRPr="00F619A4">
              <w:rPr>
                <w:lang w:val="hy-AM"/>
              </w:rPr>
              <w:t xml:space="preserve"> </w:t>
            </w:r>
            <w:r w:rsidRPr="00F619A4">
              <w:rPr>
                <w:rFonts w:cs="Arial"/>
                <w:lang w:val="hy-AM"/>
              </w:rPr>
              <w:t>ՀՀ Ազգային</w:t>
            </w:r>
            <w:r w:rsidRPr="00F619A4">
              <w:rPr>
                <w:lang w:val="hy-AM"/>
              </w:rPr>
              <w:t xml:space="preserve"> </w:t>
            </w:r>
            <w:r w:rsidRPr="00F619A4">
              <w:rPr>
                <w:rFonts w:cs="Arial"/>
                <w:lang w:val="hy-AM"/>
              </w:rPr>
              <w:t>ժողովի</w:t>
            </w:r>
            <w:r w:rsidRPr="00F619A4">
              <w:rPr>
                <w:lang w:val="hy-AM"/>
              </w:rPr>
              <w:t xml:space="preserve"> </w:t>
            </w:r>
            <w:r w:rsidRPr="00F619A4">
              <w:rPr>
                <w:rFonts w:cs="Arial"/>
                <w:lang w:val="hy-AM"/>
              </w:rPr>
              <w:t>կողմից</w:t>
            </w:r>
            <w:r w:rsidRPr="00F619A4">
              <w:rPr>
                <w:lang w:val="hy-AM"/>
              </w:rPr>
              <w:t xml:space="preserve"> </w:t>
            </w:r>
            <w:r w:rsidRPr="00F619A4">
              <w:rPr>
                <w:rFonts w:cs="Arial"/>
                <w:lang w:val="hy-AM"/>
              </w:rPr>
              <w:t>նշված որոշմամբ</w:t>
            </w:r>
            <w:r w:rsidRPr="00F619A4">
              <w:rPr>
                <w:lang w:val="hy-AM"/>
              </w:rPr>
              <w:t xml:space="preserve"> </w:t>
            </w:r>
            <w:r w:rsidRPr="00F619A4">
              <w:rPr>
                <w:rFonts w:cs="Arial"/>
                <w:lang w:val="hy-AM"/>
              </w:rPr>
              <w:t>արտահայտված՝</w:t>
            </w:r>
            <w:r w:rsidRPr="00F619A4">
              <w:rPr>
                <w:lang w:val="hy-AM"/>
              </w:rPr>
              <w:t xml:space="preserve"> </w:t>
            </w:r>
            <w:r w:rsidRPr="00F619A4">
              <w:rPr>
                <w:rFonts w:cs="Arial"/>
                <w:lang w:val="hy-AM"/>
              </w:rPr>
              <w:t>առկա</w:t>
            </w:r>
            <w:r w:rsidRPr="00F619A4">
              <w:rPr>
                <w:lang w:val="hy-AM"/>
              </w:rPr>
              <w:t xml:space="preserve"> </w:t>
            </w:r>
            <w:r w:rsidRPr="00F619A4">
              <w:rPr>
                <w:rFonts w:cs="Arial"/>
                <w:lang w:val="hy-AM"/>
              </w:rPr>
              <w:t>համակարգային</w:t>
            </w:r>
            <w:r w:rsidRPr="00F619A4">
              <w:rPr>
                <w:lang w:val="hy-AM"/>
              </w:rPr>
              <w:t xml:space="preserve"> </w:t>
            </w:r>
            <w:r w:rsidRPr="00F619A4">
              <w:rPr>
                <w:rFonts w:cs="Arial"/>
                <w:lang w:val="hy-AM"/>
              </w:rPr>
              <w:t>իրավական</w:t>
            </w:r>
            <w:r w:rsidRPr="00F619A4">
              <w:rPr>
                <w:lang w:val="hy-AM"/>
              </w:rPr>
              <w:t xml:space="preserve"> </w:t>
            </w:r>
            <w:r w:rsidRPr="00F619A4">
              <w:rPr>
                <w:rFonts w:cs="Arial"/>
                <w:lang w:val="hy-AM"/>
              </w:rPr>
              <w:t>անորոշության</w:t>
            </w:r>
            <w:r w:rsidRPr="00F619A4">
              <w:rPr>
                <w:lang w:val="hy-AM"/>
              </w:rPr>
              <w:t xml:space="preserve"> </w:t>
            </w:r>
            <w:r w:rsidRPr="00F619A4">
              <w:rPr>
                <w:rFonts w:cs="Arial"/>
                <w:lang w:val="hy-AM"/>
              </w:rPr>
              <w:t>հաղթահարումը</w:t>
            </w:r>
            <w:r w:rsidRPr="00F619A4">
              <w:rPr>
                <w:lang w:val="hy-AM"/>
              </w:rPr>
              <w:t xml:space="preserve">, </w:t>
            </w:r>
            <w:r w:rsidRPr="00F619A4">
              <w:rPr>
                <w:rFonts w:cs="Arial"/>
                <w:lang w:val="hy-AM"/>
              </w:rPr>
              <w:t>քրեակատարողական</w:t>
            </w:r>
            <w:r w:rsidRPr="00F619A4">
              <w:rPr>
                <w:lang w:val="hy-AM"/>
              </w:rPr>
              <w:t xml:space="preserve"> </w:t>
            </w:r>
            <w:r w:rsidRPr="00F619A4">
              <w:rPr>
                <w:rFonts w:cs="Arial"/>
                <w:lang w:val="hy-AM"/>
              </w:rPr>
              <w:t>հիմնարկի</w:t>
            </w:r>
            <w:r w:rsidRPr="00F619A4">
              <w:rPr>
                <w:lang w:val="hy-AM"/>
              </w:rPr>
              <w:t xml:space="preserve"> </w:t>
            </w:r>
            <w:r w:rsidRPr="00F619A4">
              <w:rPr>
                <w:rFonts w:cs="Arial"/>
                <w:lang w:val="hy-AM"/>
              </w:rPr>
              <w:t>պաշտոնատար</w:t>
            </w:r>
            <w:r w:rsidRPr="00F619A4">
              <w:rPr>
                <w:lang w:val="hy-AM"/>
              </w:rPr>
              <w:t xml:space="preserve"> </w:t>
            </w:r>
            <w:r w:rsidRPr="00F619A4">
              <w:rPr>
                <w:rFonts w:cs="Arial"/>
                <w:lang w:val="hy-AM"/>
              </w:rPr>
              <w:t>անձանց</w:t>
            </w:r>
            <w:r w:rsidRPr="00F619A4">
              <w:rPr>
                <w:lang w:val="hy-AM"/>
              </w:rPr>
              <w:t xml:space="preserve"> </w:t>
            </w:r>
            <w:r w:rsidRPr="00F619A4">
              <w:rPr>
                <w:rFonts w:cs="Arial"/>
                <w:lang w:val="hy-AM"/>
              </w:rPr>
              <w:t>գործողությունների</w:t>
            </w:r>
            <w:r w:rsidRPr="00F619A4">
              <w:rPr>
                <w:lang w:val="hy-AM"/>
              </w:rPr>
              <w:t xml:space="preserve"> (</w:t>
            </w:r>
            <w:r w:rsidRPr="00F619A4">
              <w:rPr>
                <w:rFonts w:cs="Arial"/>
                <w:lang w:val="hy-AM"/>
              </w:rPr>
              <w:t>անգործության</w:t>
            </w:r>
            <w:r w:rsidRPr="00F619A4">
              <w:rPr>
                <w:lang w:val="hy-AM"/>
              </w:rPr>
              <w:t xml:space="preserve">) </w:t>
            </w:r>
            <w:r w:rsidRPr="00F619A4">
              <w:rPr>
                <w:rFonts w:cs="Arial"/>
                <w:lang w:val="hy-AM"/>
              </w:rPr>
              <w:t>բողոքարկման</w:t>
            </w:r>
            <w:r w:rsidRPr="00F619A4">
              <w:rPr>
                <w:lang w:val="hy-AM"/>
              </w:rPr>
              <w:t xml:space="preserve"> </w:t>
            </w:r>
            <w:r w:rsidRPr="00F619A4">
              <w:rPr>
                <w:rFonts w:cs="Arial"/>
                <w:lang w:val="hy-AM"/>
              </w:rPr>
              <w:t>հետ</w:t>
            </w:r>
            <w:r w:rsidRPr="00F619A4">
              <w:rPr>
                <w:lang w:val="hy-AM"/>
              </w:rPr>
              <w:t xml:space="preserve"> </w:t>
            </w:r>
            <w:r w:rsidRPr="00F619A4">
              <w:rPr>
                <w:rFonts w:cs="Arial"/>
                <w:lang w:val="hy-AM"/>
              </w:rPr>
              <w:t>կապված</w:t>
            </w:r>
            <w:r w:rsidRPr="00F619A4">
              <w:rPr>
                <w:lang w:val="hy-AM"/>
              </w:rPr>
              <w:t xml:space="preserve"> </w:t>
            </w:r>
            <w:r w:rsidRPr="00F619A4">
              <w:rPr>
                <w:rFonts w:cs="Arial"/>
                <w:lang w:val="hy-AM"/>
              </w:rPr>
              <w:t>գործերը</w:t>
            </w:r>
            <w:r w:rsidRPr="00F619A4">
              <w:rPr>
                <w:lang w:val="hy-AM"/>
              </w:rPr>
              <w:t xml:space="preserve"> </w:t>
            </w:r>
            <w:r w:rsidRPr="00F619A4">
              <w:rPr>
                <w:rFonts w:cs="Arial"/>
                <w:lang w:val="hy-AM"/>
              </w:rPr>
              <w:t>ենթակա</w:t>
            </w:r>
            <w:r w:rsidRPr="00F619A4">
              <w:rPr>
                <w:lang w:val="hy-AM"/>
              </w:rPr>
              <w:t xml:space="preserve"> </w:t>
            </w:r>
            <w:r w:rsidRPr="00F619A4">
              <w:rPr>
                <w:rFonts w:cs="Arial"/>
                <w:lang w:val="hy-AM"/>
              </w:rPr>
              <w:t>են</w:t>
            </w:r>
            <w:r w:rsidRPr="00F619A4">
              <w:rPr>
                <w:lang w:val="hy-AM"/>
              </w:rPr>
              <w:t xml:space="preserve"> </w:t>
            </w:r>
            <w:r w:rsidRPr="00F619A4">
              <w:rPr>
                <w:rFonts w:cs="Arial"/>
                <w:lang w:val="hy-AM"/>
              </w:rPr>
              <w:t>քննության</w:t>
            </w:r>
            <w:r w:rsidRPr="00F619A4">
              <w:rPr>
                <w:lang w:val="hy-AM"/>
              </w:rPr>
              <w:t xml:space="preserve"> </w:t>
            </w:r>
            <w:r w:rsidRPr="00F619A4">
              <w:rPr>
                <w:rFonts w:cs="Arial"/>
                <w:lang w:val="hy-AM"/>
              </w:rPr>
              <w:t>ՀՀ</w:t>
            </w:r>
            <w:r w:rsidRPr="00F619A4">
              <w:rPr>
                <w:lang w:val="hy-AM"/>
              </w:rPr>
              <w:t xml:space="preserve"> </w:t>
            </w:r>
            <w:r w:rsidRPr="00F619A4">
              <w:rPr>
                <w:rFonts w:cs="Arial"/>
                <w:lang w:val="hy-AM"/>
              </w:rPr>
              <w:t>վարչական</w:t>
            </w:r>
            <w:r w:rsidRPr="00F619A4">
              <w:rPr>
                <w:lang w:val="hy-AM"/>
              </w:rPr>
              <w:t xml:space="preserve"> </w:t>
            </w:r>
            <w:r w:rsidRPr="00F619A4">
              <w:rPr>
                <w:rFonts w:cs="Arial"/>
                <w:lang w:val="hy-AM"/>
              </w:rPr>
              <w:t>դատարանի</w:t>
            </w:r>
            <w:r w:rsidRPr="00F619A4">
              <w:rPr>
                <w:lang w:val="hy-AM"/>
              </w:rPr>
              <w:t xml:space="preserve"> </w:t>
            </w:r>
            <w:r w:rsidRPr="00F619A4">
              <w:rPr>
                <w:rFonts w:cs="Arial"/>
                <w:lang w:val="hy-AM"/>
              </w:rPr>
              <w:t>կողմից։ Միաժամանակ, Սահմանադրական դատարանը փաստել է, որ քրեակատարողական</w:t>
            </w:r>
            <w:r w:rsidRPr="00F619A4">
              <w:rPr>
                <w:lang w:val="hy-AM"/>
              </w:rPr>
              <w:t xml:space="preserve"> </w:t>
            </w:r>
            <w:r w:rsidRPr="00F619A4">
              <w:rPr>
                <w:rFonts w:cs="Arial"/>
                <w:lang w:val="hy-AM"/>
              </w:rPr>
              <w:t>հիմնարկի</w:t>
            </w:r>
            <w:r w:rsidRPr="00F619A4">
              <w:rPr>
                <w:lang w:val="hy-AM"/>
              </w:rPr>
              <w:t xml:space="preserve"> </w:t>
            </w:r>
            <w:r w:rsidRPr="00F619A4">
              <w:rPr>
                <w:rFonts w:cs="Arial"/>
                <w:lang w:val="hy-AM"/>
              </w:rPr>
              <w:t>պաշտոնատար</w:t>
            </w:r>
            <w:r w:rsidRPr="00F619A4">
              <w:rPr>
                <w:lang w:val="hy-AM"/>
              </w:rPr>
              <w:t xml:space="preserve"> </w:t>
            </w:r>
            <w:r w:rsidRPr="00F619A4">
              <w:rPr>
                <w:rFonts w:cs="Arial"/>
                <w:lang w:val="hy-AM"/>
              </w:rPr>
              <w:t>անձանց</w:t>
            </w:r>
            <w:r w:rsidRPr="00F619A4">
              <w:rPr>
                <w:lang w:val="hy-AM"/>
              </w:rPr>
              <w:t xml:space="preserve"> </w:t>
            </w:r>
            <w:r w:rsidRPr="00F619A4">
              <w:rPr>
                <w:rFonts w:cs="Arial"/>
                <w:lang w:val="hy-AM"/>
              </w:rPr>
              <w:t>գործողությունների</w:t>
            </w:r>
            <w:r w:rsidRPr="00F619A4">
              <w:rPr>
                <w:lang w:val="hy-AM"/>
              </w:rPr>
              <w:t xml:space="preserve"> (</w:t>
            </w:r>
            <w:r w:rsidRPr="00F619A4">
              <w:rPr>
                <w:rFonts w:cs="Arial"/>
                <w:lang w:val="hy-AM"/>
              </w:rPr>
              <w:t>անգործության</w:t>
            </w:r>
            <w:r w:rsidRPr="00F619A4">
              <w:rPr>
                <w:lang w:val="hy-AM"/>
              </w:rPr>
              <w:t xml:space="preserve">) </w:t>
            </w:r>
            <w:r w:rsidRPr="00F619A4">
              <w:rPr>
                <w:rFonts w:cs="Arial"/>
                <w:lang w:val="hy-AM"/>
              </w:rPr>
              <w:t>բողոքարկման</w:t>
            </w:r>
            <w:r w:rsidRPr="00F619A4">
              <w:rPr>
                <w:lang w:val="hy-AM"/>
              </w:rPr>
              <w:t xml:space="preserve"> </w:t>
            </w:r>
            <w:r w:rsidRPr="00F619A4">
              <w:rPr>
                <w:rFonts w:cs="Arial"/>
                <w:lang w:val="hy-AM"/>
              </w:rPr>
              <w:t>հետ</w:t>
            </w:r>
            <w:r w:rsidRPr="00F619A4">
              <w:rPr>
                <w:lang w:val="hy-AM"/>
              </w:rPr>
              <w:t xml:space="preserve"> </w:t>
            </w:r>
            <w:r w:rsidRPr="00F619A4">
              <w:rPr>
                <w:rFonts w:cs="Arial"/>
                <w:lang w:val="hy-AM"/>
              </w:rPr>
              <w:t>կապված</w:t>
            </w:r>
            <w:r w:rsidRPr="00F619A4">
              <w:rPr>
                <w:lang w:val="hy-AM"/>
              </w:rPr>
              <w:t xml:space="preserve"> </w:t>
            </w:r>
            <w:r w:rsidRPr="00F619A4">
              <w:rPr>
                <w:rFonts w:cs="Arial"/>
                <w:lang w:val="hy-AM"/>
              </w:rPr>
              <w:t>գործերի քննության դատավարական կարգի սահմանումը վերապահված է օրենսդրին՝ հավելելով, որ պատժի</w:t>
            </w:r>
            <w:r w:rsidRPr="00F619A4">
              <w:rPr>
                <w:lang w:val="hy-AM"/>
              </w:rPr>
              <w:t xml:space="preserve"> </w:t>
            </w:r>
            <w:r w:rsidRPr="00F619A4">
              <w:rPr>
                <w:rFonts w:cs="Arial"/>
                <w:lang w:val="hy-AM"/>
              </w:rPr>
              <w:t>կրման</w:t>
            </w:r>
            <w:r w:rsidRPr="00F619A4">
              <w:rPr>
                <w:lang w:val="hy-AM"/>
              </w:rPr>
              <w:t xml:space="preserve"> </w:t>
            </w:r>
            <w:r w:rsidRPr="00F619A4">
              <w:rPr>
                <w:rFonts w:cs="Arial"/>
                <w:lang w:val="hy-AM"/>
              </w:rPr>
              <w:t>ընթացքում</w:t>
            </w:r>
            <w:r w:rsidRPr="00F619A4">
              <w:rPr>
                <w:lang w:val="hy-AM"/>
              </w:rPr>
              <w:t xml:space="preserve"> </w:t>
            </w:r>
            <w:r w:rsidRPr="00F619A4">
              <w:rPr>
                <w:rFonts w:cs="Arial"/>
                <w:lang w:val="hy-AM"/>
              </w:rPr>
              <w:t>դատապարտյալի</w:t>
            </w:r>
            <w:r w:rsidRPr="00F619A4">
              <w:rPr>
                <w:lang w:val="hy-AM"/>
              </w:rPr>
              <w:t xml:space="preserve"> </w:t>
            </w:r>
            <w:r w:rsidRPr="00F619A4">
              <w:rPr>
                <w:rFonts w:cs="Arial"/>
                <w:lang w:val="hy-AM"/>
              </w:rPr>
              <w:t>իրավունքների</w:t>
            </w:r>
            <w:r w:rsidRPr="00F619A4">
              <w:rPr>
                <w:lang w:val="hy-AM"/>
              </w:rPr>
              <w:t xml:space="preserve"> </w:t>
            </w:r>
            <w:r w:rsidRPr="00F619A4">
              <w:rPr>
                <w:rFonts w:cs="Arial"/>
                <w:lang w:val="hy-AM"/>
              </w:rPr>
              <w:t>դատական</w:t>
            </w:r>
            <w:r w:rsidRPr="00F619A4">
              <w:rPr>
                <w:lang w:val="hy-AM"/>
              </w:rPr>
              <w:t xml:space="preserve"> </w:t>
            </w:r>
            <w:r w:rsidRPr="00F619A4">
              <w:rPr>
                <w:rFonts w:cs="Arial"/>
                <w:lang w:val="hy-AM"/>
              </w:rPr>
              <w:t>պաշտպանության</w:t>
            </w:r>
            <w:r w:rsidRPr="00F619A4">
              <w:rPr>
                <w:lang w:val="hy-AM"/>
              </w:rPr>
              <w:t xml:space="preserve"> </w:t>
            </w:r>
            <w:r w:rsidRPr="00F619A4">
              <w:rPr>
                <w:rFonts w:cs="Arial"/>
                <w:lang w:val="hy-AM"/>
              </w:rPr>
              <w:t>վերաբերյալ</w:t>
            </w:r>
            <w:r w:rsidRPr="00F619A4">
              <w:rPr>
                <w:lang w:val="hy-AM"/>
              </w:rPr>
              <w:t xml:space="preserve"> </w:t>
            </w:r>
            <w:r w:rsidRPr="00F619A4">
              <w:rPr>
                <w:rFonts w:cs="Arial"/>
                <w:lang w:val="hy-AM"/>
              </w:rPr>
              <w:t>իրավակարգավորումները</w:t>
            </w:r>
            <w:r w:rsidRPr="00F619A4">
              <w:rPr>
                <w:lang w:val="hy-AM"/>
              </w:rPr>
              <w:t xml:space="preserve"> </w:t>
            </w:r>
            <w:r w:rsidRPr="00F619A4">
              <w:rPr>
                <w:rFonts w:cs="Arial"/>
                <w:lang w:val="hy-AM"/>
              </w:rPr>
              <w:t>կարող</w:t>
            </w:r>
            <w:r w:rsidRPr="00F619A4">
              <w:rPr>
                <w:lang w:val="hy-AM"/>
              </w:rPr>
              <w:t xml:space="preserve"> </w:t>
            </w:r>
            <w:r w:rsidRPr="00F619A4">
              <w:rPr>
                <w:rFonts w:cs="Arial"/>
                <w:lang w:val="hy-AM"/>
              </w:rPr>
              <w:t>են</w:t>
            </w:r>
            <w:r w:rsidRPr="00F619A4">
              <w:rPr>
                <w:lang w:val="hy-AM"/>
              </w:rPr>
              <w:t xml:space="preserve"> </w:t>
            </w:r>
            <w:r w:rsidRPr="00F619A4">
              <w:rPr>
                <w:rFonts w:cs="Arial"/>
                <w:lang w:val="hy-AM"/>
              </w:rPr>
              <w:t>նախատեսվել</w:t>
            </w:r>
            <w:r w:rsidRPr="00F619A4">
              <w:rPr>
                <w:lang w:val="hy-AM"/>
              </w:rPr>
              <w:t xml:space="preserve"> </w:t>
            </w:r>
            <w:r w:rsidRPr="00F619A4">
              <w:rPr>
                <w:rFonts w:cs="Arial"/>
                <w:lang w:val="hy-AM"/>
              </w:rPr>
              <w:t>ինչպես</w:t>
            </w:r>
            <w:r w:rsidRPr="00F619A4">
              <w:rPr>
                <w:lang w:val="hy-AM"/>
              </w:rPr>
              <w:t xml:space="preserve"> </w:t>
            </w:r>
            <w:r w:rsidRPr="00F619A4">
              <w:rPr>
                <w:rFonts w:cs="Arial"/>
                <w:lang w:val="hy-AM"/>
              </w:rPr>
              <w:t>վարչական</w:t>
            </w:r>
            <w:r w:rsidRPr="00F619A4">
              <w:rPr>
                <w:lang w:val="hy-AM"/>
              </w:rPr>
              <w:t xml:space="preserve"> </w:t>
            </w:r>
            <w:r w:rsidRPr="00F619A4">
              <w:rPr>
                <w:rFonts w:cs="Arial"/>
                <w:lang w:val="hy-AM"/>
              </w:rPr>
              <w:t>դատավարության</w:t>
            </w:r>
            <w:r w:rsidRPr="00F619A4">
              <w:rPr>
                <w:lang w:val="hy-AM"/>
              </w:rPr>
              <w:t xml:space="preserve">, </w:t>
            </w:r>
            <w:r w:rsidRPr="00F619A4">
              <w:rPr>
                <w:rFonts w:cs="Arial"/>
                <w:lang w:val="hy-AM"/>
              </w:rPr>
              <w:t>այնպես</w:t>
            </w:r>
            <w:r w:rsidRPr="00F619A4">
              <w:rPr>
                <w:lang w:val="hy-AM"/>
              </w:rPr>
              <w:t xml:space="preserve"> </w:t>
            </w:r>
            <w:r w:rsidRPr="00F619A4">
              <w:rPr>
                <w:rFonts w:cs="Arial"/>
                <w:lang w:val="hy-AM"/>
              </w:rPr>
              <w:t>էլ</w:t>
            </w:r>
            <w:r w:rsidRPr="00F619A4">
              <w:rPr>
                <w:lang w:val="hy-AM"/>
              </w:rPr>
              <w:t xml:space="preserve"> </w:t>
            </w:r>
            <w:r w:rsidRPr="00F619A4">
              <w:rPr>
                <w:rFonts w:cs="Arial"/>
                <w:lang w:val="hy-AM"/>
              </w:rPr>
              <w:t>քրեական</w:t>
            </w:r>
            <w:r w:rsidRPr="00F619A4">
              <w:rPr>
                <w:lang w:val="hy-AM"/>
              </w:rPr>
              <w:t xml:space="preserve"> </w:t>
            </w:r>
            <w:r w:rsidRPr="00F619A4">
              <w:rPr>
                <w:rFonts w:cs="Arial"/>
                <w:lang w:val="hy-AM"/>
              </w:rPr>
              <w:t>դատավարության</w:t>
            </w:r>
            <w:r w:rsidRPr="00F619A4">
              <w:rPr>
                <w:lang w:val="hy-AM"/>
              </w:rPr>
              <w:t xml:space="preserve"> </w:t>
            </w:r>
            <w:r w:rsidRPr="00F619A4">
              <w:rPr>
                <w:rFonts w:cs="Arial"/>
                <w:lang w:val="hy-AM"/>
              </w:rPr>
              <w:t>կամ</w:t>
            </w:r>
            <w:r w:rsidRPr="00F619A4">
              <w:rPr>
                <w:lang w:val="hy-AM"/>
              </w:rPr>
              <w:t xml:space="preserve"> </w:t>
            </w:r>
            <w:r w:rsidRPr="00F619A4">
              <w:rPr>
                <w:rFonts w:cs="Arial"/>
                <w:lang w:val="hy-AM"/>
              </w:rPr>
              <w:t>այլ</w:t>
            </w:r>
            <w:r w:rsidRPr="00F619A4">
              <w:rPr>
                <w:lang w:val="hy-AM"/>
              </w:rPr>
              <w:t xml:space="preserve"> </w:t>
            </w:r>
            <w:r w:rsidRPr="00F619A4">
              <w:rPr>
                <w:rFonts w:cs="Arial"/>
                <w:lang w:val="hy-AM"/>
              </w:rPr>
              <w:t>օրենսդրության</w:t>
            </w:r>
            <w:r w:rsidRPr="00F619A4">
              <w:rPr>
                <w:lang w:val="hy-AM"/>
              </w:rPr>
              <w:t xml:space="preserve"> </w:t>
            </w:r>
            <w:r w:rsidRPr="00F619A4">
              <w:rPr>
                <w:rFonts w:cs="Arial"/>
                <w:lang w:val="hy-AM"/>
              </w:rPr>
              <w:t>շրջանակներում</w:t>
            </w:r>
            <w:r w:rsidRPr="00F619A4">
              <w:rPr>
                <w:lang w:val="hy-AM"/>
              </w:rPr>
              <w:t>:</w:t>
            </w:r>
            <w:r w:rsidRPr="00F619A4">
              <w:rPr>
                <w:rFonts w:cs="Arial"/>
                <w:lang w:val="hy-AM"/>
              </w:rPr>
              <w:t xml:space="preserve"> </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ind w:firstLine="720"/>
              <w:jc w:val="both"/>
              <w:rPr>
                <w:rFonts w:cs="Arial"/>
                <w:lang w:val="hy-AM"/>
              </w:rPr>
            </w:pPr>
            <w:r w:rsidRPr="00F619A4">
              <w:rPr>
                <w:bCs/>
                <w:lang w:val="hy-AM"/>
              </w:rPr>
              <w:t>Հաշվի առնելով վերոգրյալը՝ անհրաժեշտ է ոլորտային օրենսդրությամբ նախատեսել</w:t>
            </w:r>
            <w:r w:rsidRPr="00F619A4">
              <w:rPr>
                <w:b/>
                <w:bCs/>
                <w:lang w:val="hy-AM"/>
              </w:rPr>
              <w:t xml:space="preserve"> </w:t>
            </w:r>
            <w:r w:rsidRPr="00F619A4">
              <w:rPr>
                <w:lang w:val="hy-AM"/>
              </w:rPr>
              <w:t>պ</w:t>
            </w:r>
            <w:r w:rsidRPr="00F619A4">
              <w:rPr>
                <w:color w:val="000000" w:themeColor="text1"/>
                <w:lang w:val="hy-AM"/>
              </w:rPr>
              <w:t xml:space="preserve">ատիժները կատարող մարմինների  և հիմնարկների պաշտոնատար անձանց գործողությունների, անգործության կամ ընդունած որոշման դեմ բերված բողոքների քննության հստակ կառուցակարգ, որի շրջանակներում, ի թիվս այլնի, կհստակեցվի՝ իր իրավունքների պաշտպանության նպատակով  </w:t>
            </w:r>
            <w:r w:rsidRPr="00F619A4">
              <w:rPr>
                <w:rFonts w:cs="Arial"/>
                <w:lang w:val="hy-AM"/>
              </w:rPr>
              <w:t>դատապարտյալը կարող</w:t>
            </w:r>
            <w:r w:rsidRPr="00F619A4">
              <w:rPr>
                <w:lang w:val="hy-AM"/>
              </w:rPr>
              <w:t xml:space="preserve"> </w:t>
            </w:r>
            <w:r w:rsidRPr="00F619A4">
              <w:rPr>
                <w:rFonts w:cs="Arial"/>
                <w:lang w:val="hy-AM"/>
              </w:rPr>
              <w:t>է</w:t>
            </w:r>
            <w:r w:rsidRPr="00F619A4">
              <w:rPr>
                <w:lang w:val="hy-AM"/>
              </w:rPr>
              <w:t xml:space="preserve"> </w:t>
            </w:r>
            <w:r w:rsidRPr="00F619A4">
              <w:rPr>
                <w:rFonts w:cs="Arial"/>
                <w:lang w:val="hy-AM"/>
              </w:rPr>
              <w:t>դիմել վարչակա՞ն</w:t>
            </w:r>
            <w:r w:rsidRPr="00F619A4">
              <w:rPr>
                <w:lang w:val="hy-AM"/>
              </w:rPr>
              <w:t xml:space="preserve">, </w:t>
            </w:r>
            <w:r w:rsidRPr="00F619A4">
              <w:rPr>
                <w:rFonts w:cs="Arial"/>
                <w:lang w:val="hy-AM"/>
              </w:rPr>
              <w:t>թե՞</w:t>
            </w:r>
            <w:r w:rsidRPr="00F619A4">
              <w:rPr>
                <w:lang w:val="hy-AM"/>
              </w:rPr>
              <w:t xml:space="preserve"> </w:t>
            </w:r>
            <w:r w:rsidRPr="00F619A4">
              <w:rPr>
                <w:rFonts w:cs="Arial"/>
                <w:lang w:val="hy-AM"/>
              </w:rPr>
              <w:t>ընդհանուր</w:t>
            </w:r>
            <w:r w:rsidRPr="00F619A4">
              <w:rPr>
                <w:lang w:val="hy-AM"/>
              </w:rPr>
              <w:t xml:space="preserve"> </w:t>
            </w:r>
            <w:r w:rsidRPr="00F619A4">
              <w:rPr>
                <w:rFonts w:cs="Arial"/>
                <w:lang w:val="hy-AM"/>
              </w:rPr>
              <w:t>իրավասության</w:t>
            </w:r>
            <w:r w:rsidRPr="00F619A4">
              <w:rPr>
                <w:lang w:val="hy-AM"/>
              </w:rPr>
              <w:t xml:space="preserve"> </w:t>
            </w:r>
            <w:r w:rsidRPr="00F619A4">
              <w:rPr>
                <w:rFonts w:cs="Arial"/>
                <w:lang w:val="hy-AM"/>
              </w:rPr>
              <w:t>դատարան՝ ըստ այդմ լուծելով նաև դատավարական կարգին առնչվող անհստակությունները։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ind w:firstLine="720"/>
              <w:jc w:val="both"/>
              <w:rPr>
                <w:lang w:val="hy-AM"/>
              </w:rPr>
            </w:pPr>
            <w:r w:rsidRPr="00F619A4">
              <w:rPr>
                <w:color w:val="000000" w:themeColor="text1"/>
                <w:lang w:val="hy-AM"/>
              </w:rPr>
              <w:t>Պատիժները կատարող մարմինների  ևհիմնարկների պաշտոնատար անձանց գործողությունների, անգործության կամ ընդունած որոշման դեմ բերված բողոքների քննության հստակ կառուցակարգ</w:t>
            </w:r>
            <w:r w:rsidRPr="00F619A4">
              <w:rPr>
                <w:rFonts w:cs="Sylfaen"/>
                <w:lang w:val="hy-AM"/>
              </w:rPr>
              <w:t>ի ներդրմամբ, իրավական որոշակիության սկզբունքին համահունչ, կերաշխավորվի ազատությունից</w:t>
            </w:r>
            <w:r w:rsidRPr="00F619A4">
              <w:rPr>
                <w:lang w:val="hy-AM"/>
              </w:rPr>
              <w:t xml:space="preserve"> </w:t>
            </w:r>
            <w:r w:rsidRPr="00F619A4">
              <w:rPr>
                <w:rFonts w:cs="Sylfaen"/>
                <w:lang w:val="hy-AM"/>
              </w:rPr>
              <w:t>զրկված</w:t>
            </w:r>
            <w:r w:rsidRPr="00F619A4">
              <w:rPr>
                <w:lang w:val="hy-AM"/>
              </w:rPr>
              <w:t xml:space="preserve"> </w:t>
            </w:r>
            <w:r w:rsidRPr="00F619A4">
              <w:rPr>
                <w:rFonts w:cs="Sylfaen"/>
                <w:lang w:val="hy-AM"/>
              </w:rPr>
              <w:t>անձանց</w:t>
            </w:r>
            <w:r w:rsidRPr="00F619A4">
              <w:rPr>
                <w:lang w:val="hy-AM"/>
              </w:rPr>
              <w:t xml:space="preserve"> հիմնական իրավունքների </w:t>
            </w:r>
            <w:r w:rsidRPr="00F619A4">
              <w:rPr>
                <w:rFonts w:cs="Sylfaen"/>
                <w:lang w:val="hy-AM"/>
              </w:rPr>
              <w:t>իրացումը։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p>
          <w:p w:rsidR="001F6D5D" w:rsidRPr="00F619A4" w:rsidRDefault="001F6D5D" w:rsidP="00277183">
            <w:pPr>
              <w:jc w:val="center"/>
              <w:rPr>
                <w:b/>
                <w:u w:val="single"/>
                <w:lang w:val="hy-AM"/>
              </w:rPr>
            </w:pPr>
            <w:r w:rsidRPr="00F619A4">
              <w:rPr>
                <w:b/>
                <w:u w:val="single"/>
                <w:lang w:val="hy-AM"/>
              </w:rPr>
              <w:t>1.6. ՀՀ քրեական օրենսգրքում ազատազրկմանն այլընտրանք հանդիսացող պատիժների ներդրման նպատակով ՀՀ կառավարությանն առաջարկություն ներկայացնելը</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ind w:firstLine="720"/>
              <w:jc w:val="both"/>
              <w:rPr>
                <w:lang w:val="hy-AM"/>
              </w:rPr>
            </w:pPr>
            <w:r w:rsidRPr="00F619A4">
              <w:rPr>
                <w:lang w:val="hy-AM"/>
              </w:rPr>
              <w:t xml:space="preserve">Սույն միջոցառման իրականացումը բխում է </w:t>
            </w:r>
            <w:r w:rsidRPr="00F619A4">
              <w:rPr>
                <w:noProof/>
                <w:lang w:val="hy-AM"/>
              </w:rPr>
              <w:t xml:space="preserve">2019 թվականի փետրվարի 14-ի ԱԺՕ-002-Ն որոշմամբ հավանության </w:t>
            </w:r>
            <w:r w:rsidRPr="00F619A4">
              <w:rPr>
                <w:rFonts w:eastAsia="Calibri" w:cs="Sylfaen"/>
                <w:lang w:val="hy-AM"/>
              </w:rPr>
              <w:t>արժանացած ՀՀ կառավարության ծրագրի Ազատ, արժանապատիվ և երջանիկ քաղաքացի վերտառությամբ 4-րդ բաժնի Օրենքի առջև բոլորի հավասարությունը, արդարադատությունը և մարդու իրավունքների պաշտպանությունը վերտառությամբ 4.1-րդ գլխից, որի համաձայն՝ ՀՀ կ</w:t>
            </w:r>
            <w:r w:rsidRPr="00F619A4">
              <w:rPr>
                <w:rFonts w:cs="Arial"/>
                <w:lang w:val="hy-AM"/>
              </w:rPr>
              <w:t>առավարությունը</w:t>
            </w:r>
            <w:r w:rsidRPr="00F619A4">
              <w:rPr>
                <w:lang w:val="hy-AM"/>
              </w:rPr>
              <w:t xml:space="preserve"> </w:t>
            </w:r>
            <w:r w:rsidRPr="00F619A4">
              <w:rPr>
                <w:rFonts w:cs="Arial"/>
                <w:lang w:val="hy-AM"/>
              </w:rPr>
              <w:t>պետք</w:t>
            </w:r>
            <w:r w:rsidRPr="00F619A4">
              <w:rPr>
                <w:lang w:val="hy-AM"/>
              </w:rPr>
              <w:t xml:space="preserve"> </w:t>
            </w:r>
            <w:r w:rsidRPr="00F619A4">
              <w:rPr>
                <w:rFonts w:cs="Arial"/>
                <w:lang w:val="hy-AM"/>
              </w:rPr>
              <w:t>է</w:t>
            </w:r>
            <w:r w:rsidRPr="00F619A4">
              <w:rPr>
                <w:lang w:val="hy-AM"/>
              </w:rPr>
              <w:t xml:space="preserve"> </w:t>
            </w:r>
            <w:r w:rsidRPr="00F619A4">
              <w:rPr>
                <w:rFonts w:cs="Arial"/>
                <w:lang w:val="hy-AM"/>
              </w:rPr>
              <w:t>միջոցներ</w:t>
            </w:r>
            <w:r w:rsidRPr="00F619A4">
              <w:rPr>
                <w:lang w:val="hy-AM"/>
              </w:rPr>
              <w:t xml:space="preserve"> </w:t>
            </w:r>
            <w:r w:rsidRPr="00F619A4">
              <w:rPr>
                <w:rFonts w:cs="Arial"/>
                <w:lang w:val="hy-AM"/>
              </w:rPr>
              <w:t>ձեռնարկի</w:t>
            </w:r>
            <w:r w:rsidRPr="00F619A4">
              <w:rPr>
                <w:lang w:val="hy-AM"/>
              </w:rPr>
              <w:t xml:space="preserve"> </w:t>
            </w:r>
            <w:r w:rsidRPr="00F619A4">
              <w:rPr>
                <w:rFonts w:cs="Arial"/>
                <w:lang w:val="hy-AM"/>
              </w:rPr>
              <w:t>ազատազրկմանն</w:t>
            </w:r>
            <w:r w:rsidRPr="00F619A4">
              <w:rPr>
                <w:lang w:val="hy-AM"/>
              </w:rPr>
              <w:t xml:space="preserve"> </w:t>
            </w:r>
            <w:r w:rsidRPr="00F619A4">
              <w:rPr>
                <w:rFonts w:cs="Arial"/>
                <w:lang w:val="hy-AM"/>
              </w:rPr>
              <w:t>այլընտրանք</w:t>
            </w:r>
            <w:r w:rsidRPr="00F619A4">
              <w:rPr>
                <w:lang w:val="hy-AM"/>
              </w:rPr>
              <w:t xml:space="preserve"> </w:t>
            </w:r>
            <w:r w:rsidRPr="00F619A4">
              <w:rPr>
                <w:rFonts w:cs="Arial"/>
                <w:lang w:val="hy-AM"/>
              </w:rPr>
              <w:t>հանդիսացող</w:t>
            </w:r>
            <w:r w:rsidRPr="00F619A4">
              <w:rPr>
                <w:lang w:val="hy-AM"/>
              </w:rPr>
              <w:t xml:space="preserve"> </w:t>
            </w:r>
            <w:r w:rsidRPr="00F619A4">
              <w:rPr>
                <w:rFonts w:cs="Arial"/>
                <w:lang w:val="hy-AM"/>
              </w:rPr>
              <w:t>պատիժների</w:t>
            </w:r>
            <w:r w:rsidRPr="00F619A4">
              <w:rPr>
                <w:lang w:val="hy-AM"/>
              </w:rPr>
              <w:t xml:space="preserve"> </w:t>
            </w:r>
            <w:r w:rsidRPr="00F619A4">
              <w:rPr>
                <w:rFonts w:cs="Arial"/>
                <w:lang w:val="hy-AM"/>
              </w:rPr>
              <w:t>և</w:t>
            </w:r>
            <w:r w:rsidRPr="00F619A4">
              <w:rPr>
                <w:lang w:val="hy-AM"/>
              </w:rPr>
              <w:t xml:space="preserve"> </w:t>
            </w:r>
            <w:r w:rsidRPr="00F619A4">
              <w:rPr>
                <w:rFonts w:cs="Arial"/>
                <w:lang w:val="hy-AM"/>
              </w:rPr>
              <w:t>կալանավորմանն</w:t>
            </w:r>
            <w:r w:rsidRPr="00F619A4">
              <w:rPr>
                <w:lang w:val="hy-AM"/>
              </w:rPr>
              <w:t xml:space="preserve"> </w:t>
            </w:r>
            <w:r w:rsidRPr="00F619A4">
              <w:rPr>
                <w:rFonts w:cs="Arial"/>
                <w:lang w:val="hy-AM"/>
              </w:rPr>
              <w:t>այլընտրանք</w:t>
            </w:r>
            <w:r w:rsidRPr="00F619A4">
              <w:rPr>
                <w:lang w:val="hy-AM"/>
              </w:rPr>
              <w:t xml:space="preserve"> </w:t>
            </w:r>
            <w:r w:rsidRPr="00F619A4">
              <w:rPr>
                <w:rFonts w:cs="Arial"/>
                <w:lang w:val="hy-AM"/>
              </w:rPr>
              <w:t>հանդիսացող</w:t>
            </w:r>
            <w:r w:rsidRPr="00F619A4">
              <w:rPr>
                <w:lang w:val="hy-AM"/>
              </w:rPr>
              <w:t xml:space="preserve"> </w:t>
            </w:r>
            <w:r w:rsidRPr="00F619A4">
              <w:rPr>
                <w:rFonts w:cs="Arial"/>
                <w:lang w:val="hy-AM"/>
              </w:rPr>
              <w:t>խափանման</w:t>
            </w:r>
            <w:r w:rsidRPr="00F619A4">
              <w:rPr>
                <w:lang w:val="hy-AM"/>
              </w:rPr>
              <w:t xml:space="preserve"> </w:t>
            </w:r>
            <w:r w:rsidRPr="00F619A4">
              <w:rPr>
                <w:rFonts w:cs="Arial"/>
                <w:lang w:val="hy-AM"/>
              </w:rPr>
              <w:t>միջոցների</w:t>
            </w:r>
            <w:r w:rsidRPr="00F619A4">
              <w:rPr>
                <w:lang w:val="hy-AM"/>
              </w:rPr>
              <w:t xml:space="preserve"> </w:t>
            </w:r>
            <w:r w:rsidRPr="00F619A4">
              <w:rPr>
                <w:rFonts w:cs="Arial"/>
                <w:lang w:val="hy-AM"/>
              </w:rPr>
              <w:t>կիրառման</w:t>
            </w:r>
            <w:r w:rsidRPr="00F619A4">
              <w:rPr>
                <w:lang w:val="hy-AM"/>
              </w:rPr>
              <w:t xml:space="preserve"> </w:t>
            </w:r>
            <w:r w:rsidRPr="00F619A4">
              <w:rPr>
                <w:rFonts w:cs="Arial"/>
                <w:lang w:val="hy-AM"/>
              </w:rPr>
              <w:t>համար</w:t>
            </w:r>
            <w:r w:rsidRPr="00F619A4">
              <w:rPr>
                <w:lang w:val="hy-AM"/>
              </w:rPr>
              <w:t xml:space="preserve"> </w:t>
            </w:r>
            <w:r w:rsidRPr="00F619A4">
              <w:rPr>
                <w:rFonts w:cs="Arial"/>
                <w:lang w:val="hy-AM"/>
              </w:rPr>
              <w:t>անհրաժեշտ</w:t>
            </w:r>
            <w:r w:rsidRPr="00F619A4">
              <w:rPr>
                <w:lang w:val="hy-AM"/>
              </w:rPr>
              <w:t xml:space="preserve"> </w:t>
            </w:r>
            <w:r w:rsidRPr="00F619A4">
              <w:rPr>
                <w:rFonts w:cs="Arial"/>
                <w:lang w:val="hy-AM"/>
              </w:rPr>
              <w:t>օրենսդրական</w:t>
            </w:r>
            <w:r w:rsidRPr="00F619A4">
              <w:rPr>
                <w:lang w:val="hy-AM"/>
              </w:rPr>
              <w:t xml:space="preserve"> </w:t>
            </w:r>
            <w:r w:rsidRPr="00F619A4">
              <w:rPr>
                <w:rFonts w:cs="Arial"/>
                <w:lang w:val="hy-AM"/>
              </w:rPr>
              <w:t>երաշխիքների</w:t>
            </w:r>
            <w:r w:rsidRPr="00F619A4">
              <w:rPr>
                <w:lang w:val="hy-AM"/>
              </w:rPr>
              <w:t xml:space="preserve"> </w:t>
            </w:r>
            <w:r w:rsidRPr="00F619A4">
              <w:rPr>
                <w:rFonts w:cs="Arial"/>
                <w:lang w:val="hy-AM"/>
              </w:rPr>
              <w:t>նախատեսման</w:t>
            </w:r>
            <w:r w:rsidRPr="00F619A4">
              <w:rPr>
                <w:lang w:val="hy-AM"/>
              </w:rPr>
              <w:t xml:space="preserve">, </w:t>
            </w:r>
            <w:r w:rsidRPr="00F619A4">
              <w:rPr>
                <w:rFonts w:cs="Arial"/>
                <w:lang w:val="hy-AM"/>
              </w:rPr>
              <w:t>դրանց</w:t>
            </w:r>
            <w:r w:rsidRPr="00F619A4">
              <w:rPr>
                <w:lang w:val="hy-AM"/>
              </w:rPr>
              <w:t xml:space="preserve"> </w:t>
            </w:r>
            <w:r w:rsidRPr="00F619A4">
              <w:rPr>
                <w:rFonts w:cs="Arial"/>
                <w:lang w:val="hy-AM"/>
              </w:rPr>
              <w:t>գործնական</w:t>
            </w:r>
            <w:r w:rsidRPr="00F619A4">
              <w:rPr>
                <w:lang w:val="hy-AM"/>
              </w:rPr>
              <w:t xml:space="preserve"> </w:t>
            </w:r>
            <w:r w:rsidRPr="00F619A4">
              <w:rPr>
                <w:rFonts w:cs="Arial"/>
                <w:lang w:val="hy-AM"/>
              </w:rPr>
              <w:t>կիրառման</w:t>
            </w:r>
            <w:r w:rsidRPr="00F619A4">
              <w:rPr>
                <w:lang w:val="hy-AM"/>
              </w:rPr>
              <w:t xml:space="preserve"> </w:t>
            </w:r>
            <w:r w:rsidRPr="00F619A4">
              <w:rPr>
                <w:rFonts w:cs="Arial"/>
                <w:lang w:val="hy-AM"/>
              </w:rPr>
              <w:t>համար</w:t>
            </w:r>
            <w:r w:rsidRPr="00F619A4">
              <w:rPr>
                <w:lang w:val="hy-AM"/>
              </w:rPr>
              <w:t xml:space="preserve"> </w:t>
            </w:r>
            <w:r w:rsidRPr="00F619A4">
              <w:rPr>
                <w:rFonts w:cs="Arial"/>
                <w:lang w:val="hy-AM"/>
              </w:rPr>
              <w:t>անհրաժեշտ</w:t>
            </w:r>
            <w:r w:rsidRPr="00F619A4">
              <w:rPr>
                <w:lang w:val="hy-AM"/>
              </w:rPr>
              <w:t xml:space="preserve"> </w:t>
            </w:r>
            <w:r w:rsidRPr="00F619A4">
              <w:rPr>
                <w:rFonts w:cs="Arial"/>
                <w:lang w:val="hy-AM"/>
              </w:rPr>
              <w:t>միջոցների</w:t>
            </w:r>
            <w:r w:rsidRPr="00F619A4">
              <w:rPr>
                <w:lang w:val="hy-AM"/>
              </w:rPr>
              <w:t xml:space="preserve"> </w:t>
            </w:r>
            <w:r w:rsidRPr="00F619A4">
              <w:rPr>
                <w:rFonts w:cs="Arial"/>
                <w:lang w:val="hy-AM"/>
              </w:rPr>
              <w:t>ապահովման</w:t>
            </w:r>
            <w:r w:rsidRPr="00F619A4">
              <w:rPr>
                <w:lang w:val="hy-AM"/>
              </w:rPr>
              <w:t xml:space="preserve"> </w:t>
            </w:r>
            <w:r w:rsidRPr="00F619A4">
              <w:rPr>
                <w:rFonts w:cs="Arial"/>
                <w:lang w:val="hy-AM"/>
              </w:rPr>
              <w:t>ուղղությամբ</w:t>
            </w:r>
            <w:r w:rsidRPr="00F619A4">
              <w:rPr>
                <w:lang w:val="hy-AM"/>
              </w:rPr>
              <w:t xml:space="preserve">, </w:t>
            </w:r>
            <w:r w:rsidRPr="00F619A4">
              <w:rPr>
                <w:rFonts w:cs="Arial"/>
                <w:lang w:val="hy-AM"/>
              </w:rPr>
              <w:t>ինչպես</w:t>
            </w:r>
            <w:r w:rsidRPr="00F619A4">
              <w:rPr>
                <w:lang w:val="hy-AM"/>
              </w:rPr>
              <w:t xml:space="preserve"> </w:t>
            </w:r>
            <w:r w:rsidRPr="00F619A4">
              <w:rPr>
                <w:rFonts w:cs="Arial"/>
                <w:lang w:val="hy-AM"/>
              </w:rPr>
              <w:t>նաև</w:t>
            </w:r>
            <w:r w:rsidRPr="00F619A4">
              <w:rPr>
                <w:lang w:val="hy-AM"/>
              </w:rPr>
              <w:t xml:space="preserve"> </w:t>
            </w:r>
            <w:r w:rsidRPr="00F619A4">
              <w:rPr>
                <w:rFonts w:cs="Arial"/>
                <w:lang w:val="hy-AM"/>
              </w:rPr>
              <w:t>քաջալերի</w:t>
            </w:r>
            <w:r w:rsidRPr="00F619A4">
              <w:rPr>
                <w:lang w:val="hy-AM"/>
              </w:rPr>
              <w:t xml:space="preserve"> </w:t>
            </w:r>
            <w:r w:rsidRPr="00F619A4">
              <w:rPr>
                <w:rFonts w:cs="Arial"/>
                <w:lang w:val="hy-AM"/>
              </w:rPr>
              <w:t>նման</w:t>
            </w:r>
            <w:r w:rsidRPr="00F619A4">
              <w:rPr>
                <w:lang w:val="hy-AM"/>
              </w:rPr>
              <w:t xml:space="preserve"> </w:t>
            </w:r>
            <w:r w:rsidRPr="00F619A4">
              <w:rPr>
                <w:rFonts w:cs="Arial"/>
                <w:lang w:val="hy-AM"/>
              </w:rPr>
              <w:t>միջոցների</w:t>
            </w:r>
            <w:r w:rsidRPr="00F619A4">
              <w:rPr>
                <w:lang w:val="hy-AM"/>
              </w:rPr>
              <w:t xml:space="preserve"> </w:t>
            </w:r>
            <w:r w:rsidRPr="00F619A4">
              <w:rPr>
                <w:rFonts w:cs="Arial"/>
                <w:lang w:val="hy-AM"/>
              </w:rPr>
              <w:t>կիրառումը</w:t>
            </w:r>
            <w:r w:rsidRPr="00F619A4">
              <w:rPr>
                <w:lang w:val="hy-AM"/>
              </w:rPr>
              <w:t>:</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ind w:firstLine="720"/>
              <w:jc w:val="both"/>
              <w:rPr>
                <w:lang w:val="hy-AM"/>
              </w:rPr>
            </w:pPr>
            <w:r w:rsidRPr="00F619A4">
              <w:rPr>
                <w:lang w:val="hy-AM"/>
              </w:rPr>
              <w:t>ՀՀ քրեական օրենսգրքի 49-րդ հոդվածի շրջանակներում նախատեսված պատժատեսակները հետևյալն են.</w:t>
            </w:r>
          </w:p>
          <w:p w:rsidR="001F6D5D" w:rsidRPr="00F619A4" w:rsidRDefault="001F6D5D" w:rsidP="00277183">
            <w:pPr>
              <w:pStyle w:val="NormalWeb"/>
              <w:shd w:val="clear" w:color="auto" w:fill="FFFFFF"/>
              <w:spacing w:before="0" w:beforeAutospacing="0" w:after="0" w:afterAutospacing="0"/>
              <w:ind w:firstLine="720"/>
              <w:jc w:val="both"/>
              <w:rPr>
                <w:rFonts w:ascii="GHEA Grapalat" w:hAnsi="GHEA Grapalat"/>
                <w:color w:val="000000"/>
                <w:sz w:val="20"/>
                <w:szCs w:val="20"/>
                <w:lang w:val="hy-AM"/>
              </w:rPr>
            </w:pPr>
            <w:r w:rsidRPr="00F619A4">
              <w:rPr>
                <w:rFonts w:ascii="GHEA Grapalat" w:hAnsi="GHEA Grapalat"/>
                <w:color w:val="000000"/>
                <w:sz w:val="20"/>
                <w:szCs w:val="20"/>
                <w:lang w:val="hy-AM"/>
              </w:rPr>
              <w:t>1) տուգանքը.</w:t>
            </w:r>
          </w:p>
          <w:p w:rsidR="001F6D5D" w:rsidRPr="00F619A4" w:rsidRDefault="001F6D5D" w:rsidP="00277183">
            <w:pPr>
              <w:pStyle w:val="NormalWeb"/>
              <w:shd w:val="clear" w:color="auto" w:fill="FFFFFF"/>
              <w:spacing w:before="0" w:beforeAutospacing="0" w:after="0" w:afterAutospacing="0"/>
              <w:ind w:firstLine="720"/>
              <w:jc w:val="both"/>
              <w:rPr>
                <w:rFonts w:ascii="GHEA Grapalat" w:hAnsi="GHEA Grapalat"/>
                <w:color w:val="000000"/>
                <w:sz w:val="20"/>
                <w:szCs w:val="20"/>
                <w:lang w:val="hy-AM"/>
              </w:rPr>
            </w:pPr>
            <w:r w:rsidRPr="00F619A4">
              <w:rPr>
                <w:rFonts w:ascii="GHEA Grapalat" w:hAnsi="GHEA Grapalat"/>
                <w:color w:val="000000"/>
                <w:sz w:val="20"/>
                <w:szCs w:val="20"/>
                <w:lang w:val="hy-AM"/>
              </w:rPr>
              <w:t>2) որոշակի պաշտոններ զբաղեցնելու կամ որոշակի գործունեությամբ զբաղվելու իրավունքից զրկելը.</w:t>
            </w:r>
          </w:p>
          <w:p w:rsidR="001F6D5D" w:rsidRPr="00F619A4" w:rsidRDefault="001F6D5D" w:rsidP="00277183">
            <w:pPr>
              <w:pStyle w:val="NormalWeb"/>
              <w:shd w:val="clear" w:color="auto" w:fill="FFFFFF"/>
              <w:spacing w:before="0" w:beforeAutospacing="0" w:after="0" w:afterAutospacing="0"/>
              <w:ind w:firstLine="720"/>
              <w:jc w:val="both"/>
              <w:rPr>
                <w:rFonts w:ascii="GHEA Grapalat" w:hAnsi="GHEA Grapalat"/>
                <w:color w:val="000000"/>
                <w:sz w:val="20"/>
                <w:szCs w:val="20"/>
                <w:lang w:val="hy-AM"/>
              </w:rPr>
            </w:pPr>
            <w:r w:rsidRPr="00F619A4">
              <w:rPr>
                <w:rFonts w:ascii="GHEA Grapalat" w:hAnsi="GHEA Grapalat"/>
                <w:color w:val="000000"/>
                <w:sz w:val="20"/>
                <w:szCs w:val="20"/>
                <w:lang w:val="hy-AM"/>
              </w:rPr>
              <w:t>3) հանրային աշխատանքները.</w:t>
            </w:r>
          </w:p>
          <w:p w:rsidR="001F6D5D" w:rsidRPr="00F619A4" w:rsidRDefault="001F6D5D" w:rsidP="00277183">
            <w:pPr>
              <w:pStyle w:val="NormalWeb"/>
              <w:shd w:val="clear" w:color="auto" w:fill="FFFFFF"/>
              <w:spacing w:before="0" w:beforeAutospacing="0" w:after="0" w:afterAutospacing="0"/>
              <w:ind w:firstLine="720"/>
              <w:jc w:val="both"/>
              <w:rPr>
                <w:rFonts w:ascii="GHEA Grapalat" w:hAnsi="GHEA Grapalat"/>
                <w:color w:val="000000"/>
                <w:sz w:val="20"/>
                <w:szCs w:val="20"/>
                <w:lang w:val="hy-AM"/>
              </w:rPr>
            </w:pPr>
            <w:r w:rsidRPr="00F619A4">
              <w:rPr>
                <w:rFonts w:ascii="GHEA Grapalat" w:hAnsi="GHEA Grapalat"/>
                <w:color w:val="000000"/>
                <w:sz w:val="20"/>
                <w:szCs w:val="20"/>
                <w:lang w:val="hy-AM"/>
              </w:rPr>
              <w:t>4) հատուկ կամ զինվորական կոչումից, կարգից, աստիճանից կամ որակավորման դասից զրկելը.</w:t>
            </w:r>
          </w:p>
          <w:p w:rsidR="001F6D5D" w:rsidRPr="00F619A4" w:rsidRDefault="001F6D5D" w:rsidP="00277183">
            <w:pPr>
              <w:pStyle w:val="NormalWeb"/>
              <w:shd w:val="clear" w:color="auto" w:fill="FFFFFF"/>
              <w:spacing w:before="0" w:beforeAutospacing="0" w:after="0" w:afterAutospacing="0"/>
              <w:ind w:firstLine="720"/>
              <w:jc w:val="both"/>
              <w:rPr>
                <w:rFonts w:ascii="GHEA Grapalat" w:hAnsi="GHEA Grapalat"/>
                <w:color w:val="000000"/>
                <w:sz w:val="20"/>
                <w:szCs w:val="20"/>
                <w:lang w:val="hy-AM"/>
              </w:rPr>
            </w:pPr>
            <w:r w:rsidRPr="00F619A4">
              <w:rPr>
                <w:rFonts w:ascii="GHEA Grapalat" w:hAnsi="GHEA Grapalat"/>
                <w:color w:val="000000"/>
                <w:sz w:val="20"/>
                <w:szCs w:val="20"/>
                <w:lang w:val="hy-AM"/>
              </w:rPr>
              <w:t>5) զինվորական ծառայության մեջ սահմանափակումը.</w:t>
            </w:r>
          </w:p>
          <w:p w:rsidR="001F6D5D" w:rsidRPr="00F619A4" w:rsidRDefault="001F6D5D" w:rsidP="00277183">
            <w:pPr>
              <w:pStyle w:val="NormalWeb"/>
              <w:shd w:val="clear" w:color="auto" w:fill="FFFFFF"/>
              <w:spacing w:before="0" w:beforeAutospacing="0" w:after="0" w:afterAutospacing="0"/>
              <w:ind w:firstLine="720"/>
              <w:jc w:val="both"/>
              <w:rPr>
                <w:rFonts w:ascii="GHEA Grapalat" w:hAnsi="GHEA Grapalat"/>
                <w:color w:val="000000"/>
                <w:sz w:val="20"/>
                <w:szCs w:val="20"/>
                <w:lang w:val="hy-AM"/>
              </w:rPr>
            </w:pPr>
            <w:r w:rsidRPr="00F619A4">
              <w:rPr>
                <w:rFonts w:ascii="GHEA Grapalat" w:hAnsi="GHEA Grapalat"/>
                <w:color w:val="000000"/>
                <w:sz w:val="20"/>
                <w:szCs w:val="20"/>
                <w:lang w:val="hy-AM"/>
              </w:rPr>
              <w:t>6) գույքի բռնագրավումը.</w:t>
            </w:r>
          </w:p>
          <w:p w:rsidR="001F6D5D" w:rsidRPr="00F619A4" w:rsidRDefault="001F6D5D" w:rsidP="00277183">
            <w:pPr>
              <w:pStyle w:val="NormalWeb"/>
              <w:shd w:val="clear" w:color="auto" w:fill="FFFFFF"/>
              <w:spacing w:before="0" w:beforeAutospacing="0" w:after="0" w:afterAutospacing="0"/>
              <w:ind w:firstLine="720"/>
              <w:jc w:val="both"/>
              <w:rPr>
                <w:rFonts w:ascii="GHEA Grapalat" w:hAnsi="GHEA Grapalat"/>
                <w:color w:val="000000"/>
                <w:sz w:val="20"/>
                <w:szCs w:val="20"/>
                <w:lang w:val="hy-AM"/>
              </w:rPr>
            </w:pPr>
            <w:r w:rsidRPr="00F619A4">
              <w:rPr>
                <w:rFonts w:ascii="GHEA Grapalat" w:hAnsi="GHEA Grapalat"/>
                <w:color w:val="000000"/>
                <w:sz w:val="20"/>
                <w:szCs w:val="20"/>
                <w:lang w:val="hy-AM"/>
              </w:rPr>
              <w:t>7)</w:t>
            </w:r>
            <w:r w:rsidRPr="00F619A4">
              <w:rPr>
                <w:rFonts w:ascii="Arial" w:hAnsi="Arial" w:cs="Arial"/>
                <w:color w:val="000000"/>
                <w:sz w:val="20"/>
                <w:szCs w:val="20"/>
                <w:lang w:val="hy-AM"/>
              </w:rPr>
              <w:t> </w:t>
            </w:r>
            <w:r w:rsidRPr="00F619A4">
              <w:rPr>
                <w:rFonts w:ascii="GHEA Grapalat" w:hAnsi="GHEA Grapalat"/>
                <w:color w:val="000000"/>
                <w:sz w:val="20"/>
                <w:szCs w:val="20"/>
                <w:lang w:val="hy-AM"/>
              </w:rPr>
              <w:t>կալանքը.</w:t>
            </w:r>
          </w:p>
          <w:p w:rsidR="001F6D5D" w:rsidRPr="00F619A4" w:rsidRDefault="001F6D5D" w:rsidP="00277183">
            <w:pPr>
              <w:pStyle w:val="NormalWeb"/>
              <w:shd w:val="clear" w:color="auto" w:fill="FFFFFF"/>
              <w:spacing w:before="0" w:beforeAutospacing="0" w:after="0" w:afterAutospacing="0"/>
              <w:ind w:firstLine="720"/>
              <w:jc w:val="both"/>
              <w:rPr>
                <w:rFonts w:ascii="GHEA Grapalat" w:hAnsi="GHEA Grapalat"/>
                <w:color w:val="000000"/>
                <w:sz w:val="20"/>
                <w:szCs w:val="20"/>
                <w:lang w:val="hy-AM"/>
              </w:rPr>
            </w:pPr>
            <w:r w:rsidRPr="00F619A4">
              <w:rPr>
                <w:rFonts w:ascii="GHEA Grapalat" w:hAnsi="GHEA Grapalat"/>
                <w:color w:val="000000"/>
                <w:sz w:val="20"/>
                <w:szCs w:val="20"/>
                <w:lang w:val="hy-AM"/>
              </w:rPr>
              <w:t>8) կարգապահական գումարտակում պահելը.</w:t>
            </w:r>
          </w:p>
          <w:p w:rsidR="001F6D5D" w:rsidRPr="00F619A4" w:rsidRDefault="001F6D5D" w:rsidP="00277183">
            <w:pPr>
              <w:pStyle w:val="NormalWeb"/>
              <w:shd w:val="clear" w:color="auto" w:fill="FFFFFF"/>
              <w:spacing w:before="0" w:beforeAutospacing="0" w:after="0" w:afterAutospacing="0"/>
              <w:ind w:firstLine="720"/>
              <w:jc w:val="both"/>
              <w:rPr>
                <w:rFonts w:ascii="GHEA Grapalat" w:hAnsi="GHEA Grapalat"/>
                <w:color w:val="000000"/>
                <w:sz w:val="20"/>
                <w:szCs w:val="20"/>
                <w:lang w:val="hy-AM"/>
              </w:rPr>
            </w:pPr>
            <w:r w:rsidRPr="00F619A4">
              <w:rPr>
                <w:rFonts w:ascii="GHEA Grapalat" w:hAnsi="GHEA Grapalat"/>
                <w:color w:val="000000"/>
                <w:sz w:val="20"/>
                <w:szCs w:val="20"/>
                <w:lang w:val="hy-AM"/>
              </w:rPr>
              <w:t>9) ազատազրկումը որոշակի ժամկետով.</w:t>
            </w:r>
          </w:p>
          <w:p w:rsidR="001F6D5D" w:rsidRPr="00F619A4" w:rsidRDefault="001F6D5D" w:rsidP="00277183">
            <w:pPr>
              <w:pStyle w:val="NormalWeb"/>
              <w:shd w:val="clear" w:color="auto" w:fill="FFFFFF"/>
              <w:spacing w:before="0" w:beforeAutospacing="0" w:after="0" w:afterAutospacing="0"/>
              <w:ind w:firstLine="720"/>
              <w:jc w:val="both"/>
              <w:rPr>
                <w:rFonts w:ascii="GHEA Grapalat" w:hAnsi="GHEA Grapalat"/>
                <w:color w:val="000000"/>
                <w:sz w:val="20"/>
                <w:szCs w:val="20"/>
                <w:lang w:val="hy-AM"/>
              </w:rPr>
            </w:pPr>
            <w:r w:rsidRPr="00F619A4">
              <w:rPr>
                <w:rFonts w:ascii="GHEA Grapalat" w:hAnsi="GHEA Grapalat"/>
                <w:color w:val="000000"/>
                <w:sz w:val="20"/>
                <w:szCs w:val="20"/>
                <w:lang w:val="hy-AM"/>
              </w:rPr>
              <w:t>10) ցմահ ազատազրկումը:</w:t>
            </w:r>
          </w:p>
          <w:p w:rsidR="001F6D5D" w:rsidRPr="00F619A4" w:rsidRDefault="001F6D5D" w:rsidP="00277183">
            <w:pPr>
              <w:pStyle w:val="NormalWeb"/>
              <w:shd w:val="clear" w:color="auto" w:fill="FFFFFF"/>
              <w:spacing w:before="0" w:beforeAutospacing="0" w:after="0" w:afterAutospacing="0"/>
              <w:ind w:firstLine="720"/>
              <w:jc w:val="both"/>
              <w:rPr>
                <w:rFonts w:ascii="GHEA Grapalat" w:hAnsi="GHEA Grapalat"/>
                <w:color w:val="000000"/>
                <w:sz w:val="20"/>
                <w:szCs w:val="20"/>
                <w:shd w:val="clear" w:color="auto" w:fill="FFFFFF"/>
                <w:lang w:val="hy-AM"/>
              </w:rPr>
            </w:pPr>
            <w:r w:rsidRPr="00F619A4">
              <w:rPr>
                <w:rFonts w:ascii="GHEA Grapalat" w:hAnsi="GHEA Grapalat"/>
                <w:color w:val="000000"/>
                <w:sz w:val="20"/>
                <w:szCs w:val="20"/>
                <w:lang w:val="hy-AM"/>
              </w:rPr>
              <w:t xml:space="preserve">Քրեական պատիժների համակարգում առկա պատժատեսակների վերլուծության համատեքստում հարկ է ընդգծել այն, միջազգային և ոլորտային հասարակական կազմակերպությունների կողմից մշտապես բարձրացվում է գործնականում ազատազրկմանն այլընտրանք հանդիսացող պատիժների հաճախակի կիրառման, ինչպես նաև պատիժների համակարգը ազատազրկմանն այլընտրանք հանդիսացող նոր պատիժներով համալրելու անհրաժեշտության հարցը: Խնդրո առարկայի առումով հիմնարար համարվող՝ Եվրոպայի խորհրդի Նախարարների կոմիտեի՝ անդամ պետություններին ուղղված </w:t>
            </w:r>
            <w:r w:rsidRPr="00F619A4">
              <w:rPr>
                <w:rFonts w:ascii="GHEA Grapalat" w:hAnsi="GHEA Grapalat"/>
                <w:color w:val="000000"/>
                <w:sz w:val="20"/>
                <w:szCs w:val="20"/>
                <w:shd w:val="clear" w:color="auto" w:fill="FFFFFF"/>
                <w:lang w:val="hy-AM"/>
              </w:rPr>
              <w:t xml:space="preserve">«Այլընտրանքային պատիժների և միջոցների մասին եվրոպական կանոնների վերաբերյալ» թիվ R (92) 16 հանձնարարականի էությունից ևս բխում է, որ պետությունները պետք է խթանեն ազատությունից զրկելու հետ չկապված պատիժների կիրառումը՝ հանգեցնելով վերականգնողական արդարադատության արմատավորմանը: </w:t>
            </w:r>
          </w:p>
          <w:p w:rsidR="001F6D5D" w:rsidRPr="00F619A4" w:rsidRDefault="001F6D5D" w:rsidP="00277183">
            <w:pPr>
              <w:pStyle w:val="NormalWeb"/>
              <w:shd w:val="clear" w:color="auto" w:fill="FFFFFF"/>
              <w:spacing w:before="0" w:beforeAutospacing="0" w:after="0" w:afterAutospacing="0"/>
              <w:ind w:firstLine="720"/>
              <w:jc w:val="both"/>
              <w:rPr>
                <w:rFonts w:ascii="GHEA Grapalat" w:hAnsi="GHEA Grapalat"/>
                <w:color w:val="000000"/>
                <w:sz w:val="20"/>
                <w:szCs w:val="20"/>
                <w:lang w:val="hy-AM"/>
              </w:rPr>
            </w:pPr>
            <w:r w:rsidRPr="00F619A4">
              <w:rPr>
                <w:rFonts w:ascii="GHEA Grapalat" w:hAnsi="GHEA Grapalat"/>
                <w:color w:val="000000"/>
                <w:sz w:val="20"/>
                <w:szCs w:val="20"/>
                <w:shd w:val="clear" w:color="auto" w:fill="FFFFFF"/>
                <w:lang w:val="hy-AM"/>
              </w:rPr>
              <w:t>Ըստ այդմ՝ անհրաժեշտ է վերլուծել և գնահատել քրեական պատիժների առկա համակարգը՝ վերջինս համադրելով միջազգային լավագույն փորձի հետ:</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ind w:firstLine="720"/>
              <w:jc w:val="both"/>
              <w:rPr>
                <w:lang w:val="hy-AM"/>
              </w:rPr>
            </w:pPr>
            <w:r w:rsidRPr="00F619A4">
              <w:rPr>
                <w:lang w:val="hy-AM"/>
              </w:rPr>
              <w:t>Հաշվի առնելով վերոգրյալը՝ անհրաժեշտ է ՀՀ քրեական օրենսգրքում ազատազրկմանն այլընտրանք հանդիսացող պատիժների ներդրման նպատակով քրեական պատիժների առկա համակարգի և միջազգային փորձի ուսումնասիրության հիման վրա ՀՀ կառավարությանը ներկայացնել համապատասխան առաջարկություն:</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ind w:firstLine="720"/>
              <w:jc w:val="both"/>
              <w:rPr>
                <w:b/>
                <w:u w:val="single"/>
                <w:lang w:val="hy-AM"/>
              </w:rPr>
            </w:pPr>
            <w:r w:rsidRPr="00F619A4">
              <w:rPr>
                <w:lang w:val="hy-AM"/>
              </w:rPr>
              <w:t>ՀՀ քրեական օրենսգրքում ազատազրկմանն այլընտրանք հանդիսացող պատիժների ներդրման նպատակով քրեական պատիժների առկա համակարգի և միջազգային փորձի ուսումնասիրության հիման վրա ՀՀ կառավարությանը կներկայացվի համապատասխան առաջարկություն, որի հիման վրա կորոշվի քրեական պատիժների առկա համակարգում ազատազրկմանն այլընտրանք հանդիսացող նոր պատժատեսակների ներդրման հնարավորության հարցը:</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p>
        </w:tc>
        <w:tc>
          <w:tcPr>
            <w:tcW w:w="10878" w:type="dxa"/>
          </w:tcPr>
          <w:p w:rsidR="001F6D5D" w:rsidRPr="00F619A4" w:rsidRDefault="001F6D5D" w:rsidP="00277183">
            <w:pPr>
              <w:tabs>
                <w:tab w:val="left" w:pos="4277"/>
              </w:tabs>
              <w:jc w:val="center"/>
              <w:rPr>
                <w:b/>
                <w:u w:val="single"/>
                <w:lang w:val="hy-AM"/>
              </w:rPr>
            </w:pPr>
            <w:r w:rsidRPr="00F619A4">
              <w:rPr>
                <w:b/>
                <w:u w:val="single"/>
                <w:lang w:val="hy-AM"/>
              </w:rPr>
              <w:t>«Անձնական տվյալների ավտոմատացված մշակման դեպքում անհատների պաշտպանության մասին» կոնվենցիան (108 կոնվենցիա) փոփոխող արձանագրության (108 կոնվեցիա) վավերացում</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tabs>
                <w:tab w:val="left" w:pos="4277"/>
              </w:tabs>
              <w:jc w:val="both"/>
              <w:rPr>
                <w:b/>
                <w:lang w:val="hy-AM"/>
              </w:rPr>
            </w:pPr>
            <w:r w:rsidRPr="00F619A4">
              <w:rPr>
                <w:lang w:val="hy-AM"/>
              </w:rPr>
              <w:t xml:space="preserve">Սույն միջոցառման իրականացումը բխում է </w:t>
            </w:r>
            <w:r w:rsidRPr="00F619A4">
              <w:rPr>
                <w:noProof/>
                <w:lang w:val="hy-AM"/>
              </w:rPr>
              <w:t xml:space="preserve">2019 թվականի փետրվարի 14-ի ԱԺՕ-002-Ն որոշմամբ հավանության </w:t>
            </w:r>
            <w:r w:rsidRPr="00F619A4">
              <w:rPr>
                <w:rFonts w:cs="Sylfaen"/>
                <w:lang w:val="hy-AM"/>
              </w:rPr>
              <w:t>արժանացած ՀՀ կառավարության ծրագրի Ազատ, արժանապատիվ և երջանիկ քաղաքացի վերտառությամբ 4-րդ բաժնի Օրենքի առջև բոլորի հավասարությունը, արդարադատությունը և մարդու իրավունքների պաշտպանությունը վերտառությամբ 4.1-րդ գլխից, որի համաձայն՝ ՀՀ կառավարությունը, ի թիվս այլնի,</w:t>
            </w:r>
            <w:r w:rsidRPr="00F619A4">
              <w:rPr>
                <w:lang w:val="hy-AM"/>
              </w:rPr>
              <w:t xml:space="preserve"> </w:t>
            </w:r>
            <w:r w:rsidRPr="00F619A4">
              <w:rPr>
                <w:rFonts w:cs="Sylfaen"/>
                <w:lang w:val="hy-AM"/>
              </w:rPr>
              <w:t>միջոցներ</w:t>
            </w:r>
            <w:r w:rsidRPr="00F619A4">
              <w:rPr>
                <w:lang w:val="hy-AM"/>
              </w:rPr>
              <w:t xml:space="preserve"> </w:t>
            </w:r>
            <w:r w:rsidRPr="00F619A4">
              <w:rPr>
                <w:rFonts w:cs="Sylfaen"/>
                <w:lang w:val="hy-AM"/>
              </w:rPr>
              <w:t>է</w:t>
            </w:r>
            <w:r w:rsidRPr="00F619A4">
              <w:rPr>
                <w:lang w:val="hy-AM"/>
              </w:rPr>
              <w:t xml:space="preserve"> </w:t>
            </w:r>
            <w:r w:rsidRPr="00F619A4">
              <w:rPr>
                <w:rFonts w:cs="Sylfaen"/>
                <w:lang w:val="hy-AM"/>
              </w:rPr>
              <w:t>ձեռնարկելու անձնական</w:t>
            </w:r>
            <w:r w:rsidRPr="00F619A4">
              <w:rPr>
                <w:lang w:val="hy-AM"/>
              </w:rPr>
              <w:t xml:space="preserve"> </w:t>
            </w:r>
            <w:r w:rsidRPr="00F619A4">
              <w:rPr>
                <w:rFonts w:cs="Sylfaen"/>
                <w:lang w:val="hy-AM"/>
              </w:rPr>
              <w:t>տվյալների</w:t>
            </w:r>
            <w:r w:rsidRPr="00F619A4">
              <w:rPr>
                <w:lang w:val="hy-AM"/>
              </w:rPr>
              <w:t xml:space="preserve"> </w:t>
            </w:r>
            <w:r w:rsidRPr="00F619A4">
              <w:rPr>
                <w:rFonts w:cs="Sylfaen"/>
                <w:lang w:val="hy-AM"/>
              </w:rPr>
              <w:t>պաշտպանության</w:t>
            </w:r>
            <w:r w:rsidRPr="00F619A4">
              <w:rPr>
                <w:lang w:val="hy-AM"/>
              </w:rPr>
              <w:t xml:space="preserve"> </w:t>
            </w:r>
            <w:r w:rsidRPr="00F619A4">
              <w:rPr>
                <w:rFonts w:cs="Sylfaen"/>
                <w:lang w:val="hy-AM"/>
              </w:rPr>
              <w:t>ոլորտի</w:t>
            </w:r>
            <w:r w:rsidRPr="00F619A4">
              <w:rPr>
                <w:lang w:val="hy-AM"/>
              </w:rPr>
              <w:t xml:space="preserve"> </w:t>
            </w:r>
            <w:r w:rsidRPr="00F619A4">
              <w:rPr>
                <w:rFonts w:cs="Sylfaen"/>
                <w:lang w:val="hy-AM"/>
              </w:rPr>
              <w:t>զարգացմանը</w:t>
            </w:r>
            <w:r w:rsidRPr="00F619A4">
              <w:rPr>
                <w:lang w:val="hy-AM"/>
              </w:rPr>
              <w:t xml:space="preserve"> </w:t>
            </w:r>
            <w:r w:rsidRPr="00F619A4">
              <w:rPr>
                <w:rFonts w:cs="Sylfaen"/>
                <w:lang w:val="hy-AM"/>
              </w:rPr>
              <w:t>նպաստելու</w:t>
            </w:r>
            <w:r w:rsidRPr="00F619A4">
              <w:rPr>
                <w:lang w:val="hy-AM"/>
              </w:rPr>
              <w:t xml:space="preserve"> </w:t>
            </w:r>
            <w:r w:rsidRPr="00F619A4">
              <w:rPr>
                <w:rFonts w:cs="Sylfaen"/>
                <w:lang w:val="hy-AM"/>
              </w:rPr>
              <w:t>ուղղությամբ</w:t>
            </w:r>
            <w:r w:rsidRPr="00F619A4">
              <w:rPr>
                <w:lang w:val="hy-AM"/>
              </w:rPr>
              <w:t>:</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tabs>
                <w:tab w:val="left" w:pos="180"/>
              </w:tabs>
              <w:ind w:left="86" w:firstLine="634"/>
              <w:jc w:val="both"/>
              <w:rPr>
                <w:rFonts w:cs="Sylfaen"/>
                <w:lang w:val="hy-AM"/>
              </w:rPr>
            </w:pPr>
            <w:r w:rsidRPr="00F619A4">
              <w:rPr>
                <w:color w:val="000000"/>
                <w:shd w:val="clear" w:color="auto" w:fill="FFFFFF"/>
                <w:lang w:val="hy-AM"/>
              </w:rPr>
              <w:t>«Անձնական տվյալների ավտոմատացված մշակման դեպքում անհատների պաշտպանության մասին» կոնվենցիան (108 կոնվենցիա)</w:t>
            </w:r>
            <w:r w:rsidRPr="00F619A4">
              <w:rPr>
                <w:rFonts w:cs="GHEA Grapalat"/>
                <w:lang w:val="hy-AM"/>
              </w:rPr>
              <w:t xml:space="preserve"> անձնական տվյալների պաշտպանության ոլորտում գործող հիմնական միջազգային փաստաթղթերից է: Կոնվենցիան Հայաստան Հանրապետության համար ուժի մեջ է մտել 2012 թվականի սեպտեմբերի 1-ին: </w:t>
            </w:r>
            <w:r w:rsidRPr="00F619A4">
              <w:rPr>
                <w:rFonts w:cs="Sylfaen"/>
                <w:color w:val="000000"/>
                <w:shd w:val="clear" w:color="auto" w:fill="FFFFFF"/>
                <w:lang w:val="hy-AM"/>
              </w:rPr>
              <w:t xml:space="preserve">Այն ընդունվել է 1981 թվականին, փոփոխվել 1999 և 2001 թվականներին՝ լրացուցիչ արձանագրությամբ: Հաշվի առնելով այն, որ գիտության և տեխնոլոգիայի զարգացման պայմաններում անձնական տվյալների պաշտպանության ոլորտը նույնպես արագ է զարգանում՝ անհրաժեշտություն էր առաջացել արդիականացնել Կոնվենցիան: Կոնվենցիան փոփոխող արձանագրությունն ըստ էության արդիականացնում է Կոնվենցիան, ընդ որում՝ այնքան հիմնովին, որ արդիականացված Կոնվենցիան ստացել է ինքնուրույն անվանում՝ 108+ Կոնվենցիա: </w:t>
            </w:r>
            <w:r w:rsidRPr="00F619A4">
              <w:rPr>
                <w:rFonts w:cs="GHEA Grapalat"/>
                <w:lang w:val="hy-AM"/>
              </w:rPr>
              <w:t>Միաժամանակ, Արձանագրությունը, ի թիվս այլնի, նախատեսում է մի շարք կարևոր փոփոխությունները անձնական տվյալների պաշտպանության ոլորտում:</w:t>
            </w:r>
          </w:p>
          <w:p w:rsidR="001F6D5D" w:rsidRPr="00F619A4" w:rsidRDefault="001F6D5D" w:rsidP="00277183">
            <w:pPr>
              <w:tabs>
                <w:tab w:val="left" w:pos="180"/>
              </w:tabs>
              <w:ind w:left="86" w:firstLine="634"/>
              <w:jc w:val="both"/>
              <w:rPr>
                <w:rFonts w:cs="Sylfaen"/>
                <w:color w:val="000000"/>
                <w:shd w:val="clear" w:color="auto" w:fill="FFFFFF"/>
                <w:lang w:val="hy-AM"/>
              </w:rPr>
            </w:pPr>
            <w:r w:rsidRPr="00F619A4">
              <w:rPr>
                <w:rFonts w:cs="GHEA Grapalat"/>
                <w:lang w:val="hy-AM"/>
              </w:rPr>
              <w:t xml:space="preserve">Չնայած 2015 թվականանին </w:t>
            </w:r>
            <w:r w:rsidRPr="00F619A4">
              <w:rPr>
                <w:rFonts w:cs="Sylfaen"/>
                <w:color w:val="000000"/>
                <w:shd w:val="clear" w:color="auto" w:fill="FFFFFF"/>
                <w:lang w:val="hy-AM"/>
              </w:rPr>
              <w:t xml:space="preserve">«Անձնական տվյալների պաշտպանության մասին» ՀՀ օրենքի ընդունմամբ Հայաստանի Հանրապետությունում անձնական տվյալների պաշտպանությունը նոր մակարդակի է բարձրացվել, որոշակիորեն սահմանվել են տվյալների մշակման սկզբունքները, ստեղծվել է նաև անձնական տվյալների պաշտպանության լիազոր մարմին (Անձնական տվյալների պաշտպանության գործակալությունը)՝ այդուհանդերձ, անձնական տվյալների պաշտպանության ոլորտի զարգացման միջազգային միտումներին անհաղորդ չմնալու համար կարևոր է նաև Կոնվենցիան փոփոխող արձանագրության վավերացումը: </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ind w:firstLine="720"/>
              <w:jc w:val="both"/>
              <w:rPr>
                <w:rFonts w:cs="Sylfaen"/>
                <w:lang w:val="hy-AM"/>
              </w:rPr>
            </w:pPr>
            <w:r w:rsidRPr="00F619A4">
              <w:rPr>
                <w:rFonts w:cs="Sylfaen"/>
                <w:lang w:val="hy-AM"/>
              </w:rPr>
              <w:t>Հաշվի առնելով, որ Կոնվենցիայի արդիականացված տարբերակն արտացոլում</w:t>
            </w:r>
            <w:r w:rsidRPr="00F619A4">
              <w:rPr>
                <w:rFonts w:cs="Garamond"/>
                <w:lang w:val="hy-AM"/>
              </w:rPr>
              <w:t xml:space="preserve"> </w:t>
            </w:r>
            <w:r w:rsidRPr="00F619A4">
              <w:rPr>
                <w:rFonts w:cs="Sylfaen"/>
                <w:lang w:val="hy-AM"/>
              </w:rPr>
              <w:t>է</w:t>
            </w:r>
            <w:r w:rsidRPr="00F619A4">
              <w:rPr>
                <w:lang w:val="hy-AM"/>
              </w:rPr>
              <w:t xml:space="preserve"> </w:t>
            </w:r>
            <w:r w:rsidRPr="00F619A4">
              <w:rPr>
                <w:rFonts w:cs="Sylfaen"/>
                <w:lang w:val="hy-AM"/>
              </w:rPr>
              <w:t>անձնական</w:t>
            </w:r>
            <w:r w:rsidRPr="00F619A4">
              <w:rPr>
                <w:rFonts w:cs="Garamond"/>
                <w:lang w:val="hy-AM"/>
              </w:rPr>
              <w:t xml:space="preserve"> </w:t>
            </w:r>
            <w:r w:rsidRPr="00F619A4">
              <w:rPr>
                <w:rFonts w:cs="Sylfaen"/>
                <w:lang w:val="hy-AM"/>
              </w:rPr>
              <w:t>տվյալների</w:t>
            </w:r>
            <w:r w:rsidRPr="00F619A4">
              <w:rPr>
                <w:rFonts w:cs="Garamond"/>
                <w:lang w:val="hy-AM"/>
              </w:rPr>
              <w:t xml:space="preserve"> </w:t>
            </w:r>
            <w:r w:rsidRPr="00F619A4">
              <w:rPr>
                <w:rFonts w:cs="Sylfaen"/>
                <w:lang w:val="hy-AM"/>
              </w:rPr>
              <w:t>պաշտպանության</w:t>
            </w:r>
            <w:r w:rsidRPr="00F619A4">
              <w:rPr>
                <w:rFonts w:cs="Garamond"/>
                <w:lang w:val="hy-AM"/>
              </w:rPr>
              <w:t xml:space="preserve"> </w:t>
            </w:r>
            <w:r w:rsidRPr="00F619A4">
              <w:rPr>
                <w:rFonts w:cs="Sylfaen"/>
                <w:lang w:val="hy-AM"/>
              </w:rPr>
              <w:t>ոլորտում</w:t>
            </w:r>
            <w:r w:rsidRPr="00F619A4">
              <w:rPr>
                <w:lang w:val="hy-AM"/>
              </w:rPr>
              <w:t xml:space="preserve"> </w:t>
            </w:r>
            <w:r w:rsidRPr="00F619A4">
              <w:rPr>
                <w:rFonts w:cs="Sylfaen"/>
                <w:lang w:val="hy-AM"/>
              </w:rPr>
              <w:t>եվրոպական</w:t>
            </w:r>
            <w:r w:rsidRPr="00F619A4">
              <w:rPr>
                <w:rFonts w:cs="Garamond"/>
                <w:lang w:val="hy-AM"/>
              </w:rPr>
              <w:t xml:space="preserve"> </w:t>
            </w:r>
            <w:r w:rsidRPr="00F619A4">
              <w:rPr>
                <w:rFonts w:cs="Sylfaen"/>
                <w:lang w:val="hy-AM"/>
              </w:rPr>
              <w:t>իրավունքի</w:t>
            </w:r>
            <w:r w:rsidRPr="00F619A4">
              <w:rPr>
                <w:lang w:val="hy-AM"/>
              </w:rPr>
              <w:t xml:space="preserve"> </w:t>
            </w:r>
            <w:r w:rsidRPr="00F619A4">
              <w:rPr>
                <w:rFonts w:cs="Sylfaen"/>
                <w:lang w:val="hy-AM"/>
              </w:rPr>
              <w:t>զարգացման</w:t>
            </w:r>
            <w:r w:rsidRPr="00F619A4">
              <w:rPr>
                <w:rFonts w:cs="Garamond"/>
                <w:lang w:val="hy-AM"/>
              </w:rPr>
              <w:t xml:space="preserve"> </w:t>
            </w:r>
            <w:r w:rsidRPr="00F619A4">
              <w:rPr>
                <w:rFonts w:cs="Sylfaen"/>
                <w:lang w:val="hy-AM"/>
              </w:rPr>
              <w:t>միտումները և</w:t>
            </w:r>
            <w:r w:rsidRPr="00F619A4">
              <w:rPr>
                <w:rFonts w:cs="GHEA Grapalat"/>
                <w:lang w:val="hy-AM"/>
              </w:rPr>
              <w:t xml:space="preserve"> վերաբերում է անձնական տվյալների պաշտպանության իրավունքին, որը որպես մարդու հիմնարար իրավունք՝ ներառված է ՀՀ Սահմանադրության համապատասխան գլխում</w:t>
            </w:r>
            <w:r w:rsidRPr="00F619A4">
              <w:rPr>
                <w:rFonts w:cs="Sylfaen"/>
                <w:lang w:val="hy-AM"/>
              </w:rPr>
              <w:t>՝ առաջարկվում է ստորագրել և վավերացնել Արձանագրությունը: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ind w:firstLine="375"/>
              <w:jc w:val="both"/>
              <w:rPr>
                <w:rFonts w:cs="Sylfaen"/>
                <w:noProof/>
                <w:lang w:val="hy-AM"/>
              </w:rPr>
            </w:pPr>
            <w:r w:rsidRPr="00F619A4">
              <w:rPr>
                <w:rFonts w:cs="GHEA Grapalat"/>
                <w:lang w:val="hy-AM"/>
              </w:rPr>
              <w:t>Կոնվենցիան փոփոխող արձանագրությունն ստորագրելը և վավերացնելը Հայաստանի Հանրապետության համար կապահովի համապատասխանեցում անձնական տվյալների պաշտպանության միջազգային արդի զարգացումներին:</w:t>
            </w:r>
          </w:p>
          <w:p w:rsidR="001F6D5D" w:rsidRPr="00F619A4" w:rsidRDefault="001F6D5D" w:rsidP="00277183">
            <w:pPr>
              <w:tabs>
                <w:tab w:val="left" w:pos="4277"/>
              </w:tabs>
              <w:jc w:val="center"/>
              <w:rPr>
                <w:b/>
                <w:lang w:val="hy-AM"/>
              </w:rPr>
            </w:pPr>
          </w:p>
          <w:p w:rsidR="001F6D5D" w:rsidRPr="00F619A4" w:rsidRDefault="001F6D5D" w:rsidP="00277183">
            <w:pPr>
              <w:tabs>
                <w:tab w:val="left" w:pos="4277"/>
              </w:tabs>
              <w:jc w:val="center"/>
              <w:rPr>
                <w:b/>
                <w:u w:val="single"/>
                <w:lang w:val="hy-AM"/>
              </w:rPr>
            </w:pPr>
            <w:r w:rsidRPr="00F619A4">
              <w:rPr>
                <w:b/>
                <w:u w:val="single"/>
                <w:lang w:val="hy-AM"/>
              </w:rPr>
              <w:t>Անձնական տվյալների մշակում նախատեսող նոր ընդունվող, ինչպես նաև գործող իրավական ակտերի համապատասխանեցում «անձնական տվյալների պաշտպանության մասին» ՀՀ օրենքով սահմանված՝ անձնական տվյալների մշակման սկզբունքներին</w:t>
            </w:r>
          </w:p>
          <w:p w:rsidR="001F6D5D" w:rsidRPr="00F619A4" w:rsidRDefault="001F6D5D" w:rsidP="00277183">
            <w:pPr>
              <w:tabs>
                <w:tab w:val="left" w:pos="4277"/>
              </w:tabs>
              <w:jc w:val="both"/>
              <w:rPr>
                <w:b/>
                <w:lang w:val="hy-AM"/>
              </w:rPr>
            </w:pPr>
            <w:r w:rsidRPr="00F619A4">
              <w:rPr>
                <w:b/>
                <w:lang w:val="hy-AM"/>
              </w:rPr>
              <w:t>1. Միջոցառման իրականացման անհրաժեշտությունը և նպատակը</w:t>
            </w:r>
          </w:p>
          <w:p w:rsidR="001F6D5D" w:rsidRPr="00F619A4" w:rsidRDefault="001F6D5D" w:rsidP="00277183">
            <w:pPr>
              <w:jc w:val="both"/>
              <w:rPr>
                <w:rFonts w:cs="Sylfaen"/>
                <w:lang w:val="hy-AM"/>
              </w:rPr>
            </w:pPr>
            <w:r w:rsidRPr="00F619A4">
              <w:rPr>
                <w:lang w:val="hy-AM"/>
              </w:rPr>
              <w:t>Ա</w:t>
            </w:r>
            <w:r w:rsidRPr="00F619A4">
              <w:rPr>
                <w:rFonts w:cs="Sylfaen"/>
                <w:lang w:val="hy-AM"/>
              </w:rPr>
              <w:t xml:space="preserve">նձնական տվյալների մշակում նախատեսող ներպետական օրենսդրությունը դեռևս ամբողջությամբ համապատասխանեցված չէ </w:t>
            </w:r>
            <w:r w:rsidRPr="00F619A4">
              <w:rPr>
                <w:lang w:val="hy-AM"/>
              </w:rPr>
              <w:t>«Անձնական տվյալների պաշտպանության մասին» ՀՀ օրենքին</w:t>
            </w:r>
            <w:r w:rsidRPr="00F619A4">
              <w:rPr>
                <w:rFonts w:cs="Sylfaen"/>
                <w:lang w:val="hy-AM"/>
              </w:rPr>
              <w:t xml:space="preserve"> կամ դրանք ոչ միշտ են հաշվի առնում անձնական տվյալների </w:t>
            </w:r>
            <w:r w:rsidRPr="00F619A4">
              <w:rPr>
                <w:lang w:val="hy-AM"/>
              </w:rPr>
              <w:t xml:space="preserve">մշակման սկզբունքները: Այս առումով հատկանշական է, որ </w:t>
            </w:r>
            <w:r w:rsidRPr="00F619A4">
              <w:rPr>
                <w:noProof/>
                <w:lang w:val="hy-AM"/>
              </w:rPr>
              <w:t xml:space="preserve">2019 թվականի փետրվարի 14-ի ԱԺՕ-002-Ն որոշմամբ հավանության </w:t>
            </w:r>
            <w:r w:rsidRPr="00F619A4">
              <w:rPr>
                <w:rFonts w:cs="Sylfaen"/>
                <w:lang w:val="hy-AM"/>
              </w:rPr>
              <w:t>արժանացած ՀՀ կառավարության ծրագրի Ազատ, արժանապատիվ և երջանիկ քաղաքացի վերտառությամբ 4-րդ բաժնի Օրենքի առջև բոլորի հավասարությունը, արդարադատությունը և մարդու իրավունքների պաշտպանությունը վերտառությամբ 4.1-րդ գլխում ևս շեշտադրված է այն հանգամանքը, որ ՀՀ կառավարությունը, ի թիվս այլնի, պետք է միջոցներ</w:t>
            </w:r>
            <w:r w:rsidRPr="00F619A4">
              <w:rPr>
                <w:lang w:val="hy-AM"/>
              </w:rPr>
              <w:t xml:space="preserve"> </w:t>
            </w:r>
            <w:r w:rsidRPr="00F619A4">
              <w:rPr>
                <w:rFonts w:cs="Sylfaen"/>
                <w:lang w:val="hy-AM"/>
              </w:rPr>
              <w:t>ձեռնարկի անձնական</w:t>
            </w:r>
            <w:r w:rsidRPr="00F619A4">
              <w:rPr>
                <w:lang w:val="hy-AM"/>
              </w:rPr>
              <w:t xml:space="preserve"> </w:t>
            </w:r>
            <w:r w:rsidRPr="00F619A4">
              <w:rPr>
                <w:rFonts w:cs="Sylfaen"/>
                <w:lang w:val="hy-AM"/>
              </w:rPr>
              <w:t>տվյալների</w:t>
            </w:r>
            <w:r w:rsidRPr="00F619A4">
              <w:rPr>
                <w:lang w:val="hy-AM"/>
              </w:rPr>
              <w:t xml:space="preserve"> </w:t>
            </w:r>
            <w:r w:rsidRPr="00F619A4">
              <w:rPr>
                <w:rFonts w:cs="Sylfaen"/>
                <w:lang w:val="hy-AM"/>
              </w:rPr>
              <w:t>պաշտպանության</w:t>
            </w:r>
            <w:r w:rsidRPr="00F619A4">
              <w:rPr>
                <w:lang w:val="hy-AM"/>
              </w:rPr>
              <w:t xml:space="preserve"> </w:t>
            </w:r>
            <w:r w:rsidRPr="00F619A4">
              <w:rPr>
                <w:rFonts w:cs="Sylfaen"/>
                <w:lang w:val="hy-AM"/>
              </w:rPr>
              <w:t>ոլորտի</w:t>
            </w:r>
            <w:r w:rsidRPr="00F619A4">
              <w:rPr>
                <w:lang w:val="hy-AM"/>
              </w:rPr>
              <w:t xml:space="preserve"> </w:t>
            </w:r>
            <w:r w:rsidRPr="00F619A4">
              <w:rPr>
                <w:rFonts w:cs="Sylfaen"/>
                <w:lang w:val="hy-AM"/>
              </w:rPr>
              <w:t>զարգացմանը</w:t>
            </w:r>
            <w:r w:rsidRPr="00F619A4">
              <w:rPr>
                <w:lang w:val="hy-AM"/>
              </w:rPr>
              <w:t xml:space="preserve"> </w:t>
            </w:r>
            <w:r w:rsidRPr="00F619A4">
              <w:rPr>
                <w:rFonts w:cs="Sylfaen"/>
                <w:lang w:val="hy-AM"/>
              </w:rPr>
              <w:t>նպաստելու</w:t>
            </w:r>
            <w:r w:rsidRPr="00F619A4">
              <w:rPr>
                <w:lang w:val="hy-AM"/>
              </w:rPr>
              <w:t xml:space="preserve"> </w:t>
            </w:r>
            <w:r w:rsidRPr="00F619A4">
              <w:rPr>
                <w:rFonts w:cs="Sylfaen"/>
                <w:lang w:val="hy-AM"/>
              </w:rPr>
              <w:t>ուղղությամբ</w:t>
            </w:r>
            <w:r w:rsidRPr="00F619A4">
              <w:rPr>
                <w:lang w:val="hy-AM"/>
              </w:rPr>
              <w:t>: Ըստ այդմ՝ անհրաժեշտ է ա</w:t>
            </w:r>
            <w:r w:rsidRPr="00F619A4">
              <w:rPr>
                <w:rFonts w:cs="Sylfaen"/>
                <w:lang w:val="hy-AM"/>
              </w:rPr>
              <w:t>նձնական տվյալների մշակում նախատեսող ներպետական օրենսդրությունը համապատասխանեցնել անձնական տվյալների մշակման սկզբունքներին:</w:t>
            </w:r>
          </w:p>
          <w:p w:rsidR="001F6D5D" w:rsidRPr="00F619A4" w:rsidRDefault="001F6D5D" w:rsidP="00277183">
            <w:pPr>
              <w:tabs>
                <w:tab w:val="left" w:pos="4277"/>
              </w:tabs>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ind w:firstLine="720"/>
              <w:jc w:val="both"/>
              <w:rPr>
                <w:rFonts w:cs="Sylfaen"/>
                <w:lang w:val="hy-AM"/>
              </w:rPr>
            </w:pPr>
            <w:r w:rsidRPr="00F619A4">
              <w:rPr>
                <w:lang w:val="hy-AM"/>
              </w:rPr>
              <w:t>«Անձնական տվյալների պաշտպանության մասին» ՀՀ օրենքի</w:t>
            </w:r>
            <w:r w:rsidRPr="00F619A4">
              <w:rPr>
                <w:rFonts w:cs="Sylfaen"/>
                <w:lang w:val="hy-AM"/>
              </w:rPr>
              <w:t xml:space="preserve"> կիրարկման պրակտիկան (այդ թվում՝ Անձնական տվյալների պաշտպանության գործակալության որոշումները, վերլուծությունները և այլն) վկայում է, որ անձնական տվյալների մշակմանը վերաբերող ներպետական օրենսդրությունը որոշակիորեն համահունչ չէ «Անձնական տվյալների պաշտպանության մասին» ՀՀ օրենքին և բավարար չափով միասնական չէ, ինչն էլ հանգեցնում է նրան, որ տարբեր դեպքերում Անձնական տվյալների պաշտպանության գործակալությունը անձնական տվյալների այս կամ այն մշակումը խնդրահարույց է համարում անձնական տվյալների մշակման սկզբունքների տեսանկյունից: Օրինակ, մինչև 2015 թվականի հուլիսի 1-ը («Անձնական տվյալների պաշտպանության մասին» ՀՀ օրենքի ուժի մեջ մտնելը) ընդունված և անձնական տվյալների մշակում նախատեսող տարբեր իրավական ակտեր կամ առհասարակ անձնական տվյալների մշակման որևէ առանձնահատկություն հաշվի չեն առնում, կամ հիմնված են «Անհատական տվյալների մասին» ՀՀ օրենքի (ուժը կորցրած է ճանաչվել) վրա, որը բավարար չափով չէր արտացոլում անձնական տվյալների պաշտպանության սկզբունքները:</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1.2  Առկա խնդիրների առաջարկվող լուծումները</w:t>
            </w:r>
          </w:p>
          <w:p w:rsidR="001F6D5D" w:rsidRPr="00F619A4" w:rsidRDefault="001F6D5D" w:rsidP="00277183">
            <w:pPr>
              <w:ind w:firstLine="720"/>
              <w:jc w:val="both"/>
              <w:rPr>
                <w:lang w:val="hy-AM"/>
              </w:rPr>
            </w:pPr>
            <w:r w:rsidRPr="00F619A4">
              <w:rPr>
                <w:bCs/>
                <w:lang w:val="hy-AM"/>
              </w:rPr>
              <w:t>Հաշվի առնելով վերոգրյալը</w:t>
            </w:r>
            <w:r w:rsidRPr="00F619A4">
              <w:rPr>
                <w:color w:val="000000"/>
                <w:shd w:val="clear" w:color="auto" w:fill="FFFFFF"/>
                <w:lang w:val="hy-AM"/>
              </w:rPr>
              <w:t xml:space="preserve"> և հիմքում ունենալով անձնական տվյալների պաշտպանության իրավունքի պատշաճ կիրառումը՝ </w:t>
            </w:r>
            <w:r w:rsidRPr="00F619A4">
              <w:rPr>
                <w:bCs/>
                <w:lang w:val="hy-AM"/>
              </w:rPr>
              <w:t>առաջարկվում է մ</w:t>
            </w:r>
            <w:r w:rsidRPr="00F619A4">
              <w:rPr>
                <w:lang w:val="hy-AM"/>
              </w:rPr>
              <w:t xml:space="preserve">ինչև 2020 թվականի ավարտը և այդուհետ՝ պարբերաբար վերանայել ներպետական օրենսդրությունը՝ </w:t>
            </w:r>
            <w:r w:rsidRPr="00F619A4">
              <w:rPr>
                <w:color w:val="000000"/>
                <w:shd w:val="clear" w:color="auto" w:fill="FFFFFF"/>
                <w:lang w:val="hy-AM"/>
              </w:rPr>
              <w:t xml:space="preserve">անձնական տվյալների մշակում նախատեսող օրենսդրական դաշտը միասնականացնելու և անձնական տվյալների մշակում նախատեսող իրավական ակտերն անձնական տվյալների մշակման սկզբունքներին համապատասխանեցնելու համար: </w:t>
            </w:r>
          </w:p>
          <w:p w:rsidR="001F6D5D" w:rsidRPr="00F619A4" w:rsidRDefault="001F6D5D" w:rsidP="00277183">
            <w:pPr>
              <w:pStyle w:val="NormalWeb"/>
              <w:shd w:val="clear" w:color="auto" w:fill="FFFFFF"/>
              <w:spacing w:before="0" w:beforeAutospacing="0" w:after="0" w:afterAutospacing="0" w:line="276" w:lineRule="auto"/>
              <w:rPr>
                <w:rFonts w:ascii="GHEA Grapalat" w:hAnsi="GHEA Grapalat"/>
                <w:b/>
                <w:sz w:val="20"/>
                <w:szCs w:val="20"/>
                <w:lang w:val="hy-AM"/>
              </w:rPr>
            </w:pPr>
            <w:r w:rsidRPr="00F619A4">
              <w:rPr>
                <w:rFonts w:ascii="GHEA Grapalat" w:hAnsi="GHEA Grapalat"/>
                <w:b/>
                <w:sz w:val="20"/>
                <w:szCs w:val="20"/>
                <w:lang w:val="hy-AM"/>
              </w:rPr>
              <w:t>2. Միջոցառման իրականացումից ակնկալվող արդյունքը</w:t>
            </w:r>
          </w:p>
          <w:p w:rsidR="001F6D5D" w:rsidRPr="00F619A4" w:rsidRDefault="001F6D5D" w:rsidP="00277183">
            <w:pPr>
              <w:ind w:firstLine="720"/>
              <w:jc w:val="both"/>
              <w:rPr>
                <w:lang w:val="hy-AM"/>
              </w:rPr>
            </w:pPr>
            <w:r w:rsidRPr="00F619A4">
              <w:rPr>
                <w:lang w:val="hy-AM"/>
              </w:rPr>
              <w:t>Սույն միջոցառման կատարման արդյունքում անձնական տվյալների մշակում նախատեսող իրավական ակտերը կհամապատասխանեցվեն անձնական տվյալների մշակման սկզբունքներին, ինչպես նաև կձևավորվի անձնական տվյալների մշակման միատեսակ կանոններ սահմանող ներպետական օրենսդրական դաշտ՝ ապահովելով անձանց անձնական տվյալների պաշտպանության բավարար մակարդակ, իրավական որոշակիություն և բացառելով անձնական տվյալների մշակում նախատեսող տարբեր իրավական ակտերի միջև հակասությունները և թյուրըմբռնումները:</w:t>
            </w:r>
          </w:p>
        </w:tc>
      </w:tr>
      <w:tr w:rsidR="001F6D5D" w:rsidRPr="00F619A4"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53</w:t>
            </w:r>
          </w:p>
        </w:tc>
        <w:tc>
          <w:tcPr>
            <w:tcW w:w="10878" w:type="dxa"/>
          </w:tcPr>
          <w:p w:rsidR="001F6D5D" w:rsidRPr="00F619A4" w:rsidRDefault="001F6D5D" w:rsidP="00277183">
            <w:pPr>
              <w:ind w:firstLine="375"/>
              <w:rPr>
                <w:b/>
                <w:lang w:val="hy-AM"/>
              </w:rPr>
            </w:pPr>
            <w:r w:rsidRPr="00F619A4">
              <w:rPr>
                <w:rFonts w:ascii="Courier New" w:hAnsi="Courier New" w:cs="Courier New"/>
                <w:lang w:val="hy-AM"/>
              </w:rPr>
              <w:t> </w:t>
            </w:r>
            <w:r w:rsidRPr="00F619A4">
              <w:rPr>
                <w:rFonts w:cs="Sylfaen"/>
                <w:b/>
                <w:lang w:val="hy-AM"/>
              </w:rPr>
              <w:t>ԷԼԵԿՏՐՈՆԱՅԻՆ</w:t>
            </w:r>
            <w:r w:rsidRPr="00F619A4">
              <w:rPr>
                <w:b/>
                <w:lang w:val="hy-AM"/>
              </w:rPr>
              <w:t xml:space="preserve"> </w:t>
            </w:r>
            <w:r w:rsidRPr="00F619A4">
              <w:rPr>
                <w:rFonts w:cs="Sylfaen"/>
                <w:b/>
                <w:lang w:val="hy-AM"/>
              </w:rPr>
              <w:t>ԱՐԴԱՐԱԴԱՏՈՒԹՅՈՒՆ</w:t>
            </w:r>
            <w:r w:rsidRPr="00F619A4">
              <w:rPr>
                <w:b/>
                <w:lang w:val="hy-AM"/>
              </w:rPr>
              <w:t xml:space="preserve"> </w:t>
            </w:r>
            <w:r w:rsidRPr="00F619A4">
              <w:rPr>
                <w:rFonts w:cs="Sylfaen"/>
                <w:b/>
                <w:lang w:val="hy-AM"/>
              </w:rPr>
              <w:t>ՄԻԱՍՆԱԿԱՆ</w:t>
            </w:r>
            <w:r w:rsidRPr="00F619A4">
              <w:rPr>
                <w:b/>
                <w:lang w:val="hy-AM"/>
              </w:rPr>
              <w:t xml:space="preserve"> </w:t>
            </w:r>
            <w:r w:rsidRPr="00F619A4">
              <w:rPr>
                <w:rFonts w:cs="Sylfaen"/>
                <w:b/>
                <w:lang w:val="hy-AM"/>
              </w:rPr>
              <w:t>ՀԱՄԱԿԱՐԳԻ</w:t>
            </w:r>
            <w:r w:rsidRPr="00F619A4">
              <w:rPr>
                <w:b/>
                <w:lang w:val="hy-AM"/>
              </w:rPr>
              <w:t xml:space="preserve"> (E-JUSTICE.AM) </w:t>
            </w:r>
            <w:r w:rsidRPr="00F619A4">
              <w:rPr>
                <w:rFonts w:cs="Sylfaen"/>
                <w:b/>
                <w:lang w:val="hy-AM"/>
              </w:rPr>
              <w:t>ՄՇԱԿՈՒՄ</w:t>
            </w:r>
            <w:r w:rsidRPr="00F619A4">
              <w:rPr>
                <w:b/>
                <w:lang w:val="hy-AM"/>
              </w:rPr>
              <w:t xml:space="preserve"> ԵՎ </w:t>
            </w:r>
            <w:r w:rsidRPr="00F619A4">
              <w:rPr>
                <w:rFonts w:cs="Sylfaen"/>
                <w:b/>
                <w:lang w:val="hy-AM"/>
              </w:rPr>
              <w:t>ՆԵՐԴՐՈՒՄ</w:t>
            </w:r>
          </w:p>
          <w:p w:rsidR="001F6D5D" w:rsidRPr="00F619A4" w:rsidRDefault="001F6D5D" w:rsidP="00277183">
            <w:pPr>
              <w:ind w:firstLine="375"/>
              <w:rPr>
                <w:lang w:val="hy-AM"/>
              </w:rPr>
            </w:pPr>
          </w:p>
          <w:p w:rsidR="001F6D5D" w:rsidRPr="00F619A4" w:rsidRDefault="001F6D5D" w:rsidP="00277183">
            <w:pPr>
              <w:rPr>
                <w:b/>
                <w:lang w:val="hy-AM"/>
              </w:rPr>
            </w:pPr>
            <w:r w:rsidRPr="00F619A4">
              <w:rPr>
                <w:rFonts w:cs="Sylfaen"/>
                <w:b/>
                <w:lang w:val="hy-AM"/>
              </w:rPr>
              <w:t>1. Միջոցառման</w:t>
            </w:r>
            <w:r w:rsidRPr="00F619A4">
              <w:rPr>
                <w:b/>
                <w:lang w:val="hy-AM"/>
              </w:rPr>
              <w:t xml:space="preserve"> </w:t>
            </w:r>
            <w:r w:rsidRPr="00F619A4">
              <w:rPr>
                <w:rFonts w:cs="Sylfaen"/>
                <w:b/>
                <w:lang w:val="hy-AM"/>
              </w:rPr>
              <w:t>իրակացման</w:t>
            </w:r>
            <w:r w:rsidRPr="00F619A4">
              <w:rPr>
                <w:b/>
                <w:lang w:val="hy-AM"/>
              </w:rPr>
              <w:t xml:space="preserve"> </w:t>
            </w:r>
            <w:r w:rsidRPr="00F619A4">
              <w:rPr>
                <w:rFonts w:cs="Sylfaen"/>
                <w:b/>
                <w:lang w:val="hy-AM"/>
              </w:rPr>
              <w:t>անհրաժեշտությունը</w:t>
            </w:r>
            <w:r w:rsidRPr="00F619A4">
              <w:rPr>
                <w:b/>
                <w:lang w:val="hy-AM"/>
              </w:rPr>
              <w:t xml:space="preserve"> </w:t>
            </w:r>
            <w:r w:rsidRPr="00F619A4">
              <w:rPr>
                <w:rFonts w:cs="Sylfaen"/>
                <w:b/>
                <w:lang w:val="hy-AM"/>
              </w:rPr>
              <w:t>և</w:t>
            </w:r>
            <w:r w:rsidRPr="00F619A4">
              <w:rPr>
                <w:b/>
                <w:lang w:val="hy-AM"/>
              </w:rPr>
              <w:t xml:space="preserve"> </w:t>
            </w:r>
            <w:r w:rsidRPr="00F619A4">
              <w:rPr>
                <w:rFonts w:cs="Sylfaen"/>
                <w:b/>
                <w:lang w:val="hy-AM"/>
              </w:rPr>
              <w:t>նպատակը</w:t>
            </w:r>
            <w:r w:rsidRPr="00F619A4">
              <w:rPr>
                <w:b/>
                <w:lang w:val="hy-AM"/>
              </w:rPr>
              <w:t xml:space="preserve"> </w:t>
            </w:r>
          </w:p>
          <w:p w:rsidR="001F6D5D" w:rsidRPr="00F619A4" w:rsidRDefault="001F6D5D" w:rsidP="00277183">
            <w:pPr>
              <w:jc w:val="both"/>
              <w:rPr>
                <w:lang w:val="hy-AM"/>
              </w:rPr>
            </w:pPr>
            <w:r w:rsidRPr="00F619A4">
              <w:rPr>
                <w:rFonts w:cs="Sylfaen"/>
                <w:lang w:val="hy-AM"/>
              </w:rPr>
              <w:t>Արդարադատության</w:t>
            </w:r>
            <w:r w:rsidRPr="00F619A4">
              <w:rPr>
                <w:lang w:val="hy-AM"/>
              </w:rPr>
              <w:t xml:space="preserve"> </w:t>
            </w:r>
            <w:r w:rsidRPr="00F619A4">
              <w:rPr>
                <w:rFonts w:cs="Sylfaen"/>
                <w:lang w:val="hy-AM"/>
              </w:rPr>
              <w:t>ոլորտի</w:t>
            </w:r>
            <w:r w:rsidRPr="00F619A4">
              <w:rPr>
                <w:lang w:val="hy-AM"/>
              </w:rPr>
              <w:t xml:space="preserve"> </w:t>
            </w:r>
            <w:r w:rsidRPr="00F619A4">
              <w:rPr>
                <w:rFonts w:cs="Sylfaen"/>
                <w:lang w:val="hy-AM"/>
              </w:rPr>
              <w:t>մարմինները</w:t>
            </w:r>
            <w:r w:rsidRPr="00F619A4">
              <w:rPr>
                <w:lang w:val="hy-AM"/>
              </w:rPr>
              <w:t xml:space="preserve"> </w:t>
            </w:r>
            <w:r w:rsidRPr="00F619A4">
              <w:rPr>
                <w:rFonts w:cs="Sylfaen"/>
                <w:lang w:val="hy-AM"/>
              </w:rPr>
              <w:t>բախվում</w:t>
            </w:r>
            <w:r w:rsidRPr="00F619A4">
              <w:rPr>
                <w:lang w:val="hy-AM"/>
              </w:rPr>
              <w:t xml:space="preserve"> </w:t>
            </w:r>
            <w:r w:rsidRPr="00F619A4">
              <w:rPr>
                <w:rFonts w:cs="Sylfaen"/>
                <w:lang w:val="hy-AM"/>
              </w:rPr>
              <w:t>են</w:t>
            </w:r>
            <w:r w:rsidRPr="00F619A4">
              <w:rPr>
                <w:lang w:val="hy-AM"/>
              </w:rPr>
              <w:t xml:space="preserve"> </w:t>
            </w:r>
            <w:r w:rsidRPr="00F619A4">
              <w:rPr>
                <w:rFonts w:cs="Sylfaen"/>
                <w:lang w:val="hy-AM"/>
              </w:rPr>
              <w:t>մի</w:t>
            </w:r>
            <w:r w:rsidRPr="00F619A4">
              <w:rPr>
                <w:lang w:val="hy-AM"/>
              </w:rPr>
              <w:t xml:space="preserve"> </w:t>
            </w:r>
            <w:r w:rsidRPr="00F619A4">
              <w:rPr>
                <w:rFonts w:cs="Sylfaen"/>
                <w:lang w:val="hy-AM"/>
              </w:rPr>
              <w:t>շարք</w:t>
            </w:r>
            <w:r w:rsidRPr="00F619A4">
              <w:rPr>
                <w:lang w:val="hy-AM"/>
              </w:rPr>
              <w:t xml:space="preserve"> </w:t>
            </w:r>
            <w:r w:rsidRPr="00F619A4">
              <w:rPr>
                <w:rFonts w:cs="Sylfaen"/>
                <w:lang w:val="hy-AM"/>
              </w:rPr>
              <w:t>խնդիրների</w:t>
            </w:r>
            <w:r w:rsidRPr="00F619A4">
              <w:rPr>
                <w:lang w:val="hy-AM"/>
              </w:rPr>
              <w:t xml:space="preserve"> </w:t>
            </w:r>
            <w:r w:rsidRPr="00F619A4">
              <w:rPr>
                <w:rFonts w:cs="Sylfaen"/>
                <w:lang w:val="hy-AM"/>
              </w:rPr>
              <w:t>որոնց</w:t>
            </w:r>
            <w:r w:rsidRPr="00F619A4">
              <w:rPr>
                <w:lang w:val="hy-AM"/>
              </w:rPr>
              <w:t xml:space="preserve"> </w:t>
            </w:r>
            <w:r w:rsidRPr="00F619A4">
              <w:rPr>
                <w:rFonts w:cs="Sylfaen"/>
                <w:lang w:val="hy-AM"/>
              </w:rPr>
              <w:t>արդյունավետ</w:t>
            </w:r>
            <w:r w:rsidRPr="00F619A4">
              <w:rPr>
                <w:lang w:val="hy-AM"/>
              </w:rPr>
              <w:t xml:space="preserve"> </w:t>
            </w:r>
            <w:r w:rsidRPr="00F619A4">
              <w:rPr>
                <w:rFonts w:cs="Sylfaen"/>
                <w:lang w:val="hy-AM"/>
              </w:rPr>
              <w:t>լուծումը</w:t>
            </w:r>
            <w:r w:rsidRPr="00F619A4">
              <w:rPr>
                <w:lang w:val="hy-AM"/>
              </w:rPr>
              <w:t xml:space="preserve"> </w:t>
            </w:r>
            <w:r w:rsidRPr="00F619A4">
              <w:rPr>
                <w:rFonts w:cs="Sylfaen"/>
                <w:lang w:val="hy-AM"/>
              </w:rPr>
              <w:t>կապված</w:t>
            </w:r>
            <w:r w:rsidRPr="00F619A4">
              <w:rPr>
                <w:lang w:val="hy-AM"/>
              </w:rPr>
              <w:t xml:space="preserve"> </w:t>
            </w:r>
            <w:r w:rsidRPr="00F619A4">
              <w:rPr>
                <w:rFonts w:cs="Sylfaen"/>
                <w:lang w:val="hy-AM"/>
              </w:rPr>
              <w:t>է</w:t>
            </w:r>
            <w:r w:rsidRPr="00F619A4">
              <w:rPr>
                <w:lang w:val="hy-AM"/>
              </w:rPr>
              <w:t xml:space="preserve"> </w:t>
            </w:r>
            <w:r w:rsidRPr="00F619A4">
              <w:rPr>
                <w:rFonts w:cs="Sylfaen"/>
                <w:lang w:val="hy-AM"/>
              </w:rPr>
              <w:t>էլեկտրոնային</w:t>
            </w:r>
            <w:r w:rsidRPr="00F619A4">
              <w:rPr>
                <w:lang w:val="hy-AM"/>
              </w:rPr>
              <w:t xml:space="preserve"> </w:t>
            </w:r>
            <w:r w:rsidRPr="00F619A4">
              <w:rPr>
                <w:rFonts w:cs="Sylfaen"/>
                <w:lang w:val="hy-AM"/>
              </w:rPr>
              <w:t>համակարգերի</w:t>
            </w:r>
            <w:r w:rsidRPr="00F619A4">
              <w:rPr>
                <w:lang w:val="hy-AM"/>
              </w:rPr>
              <w:t xml:space="preserve"> </w:t>
            </w:r>
            <w:r w:rsidRPr="00F619A4">
              <w:rPr>
                <w:rFonts w:cs="Sylfaen"/>
                <w:lang w:val="hy-AM"/>
              </w:rPr>
              <w:t>ստեղծման</w:t>
            </w:r>
            <w:r w:rsidRPr="00F619A4">
              <w:rPr>
                <w:lang w:val="hy-AM"/>
              </w:rPr>
              <w:t xml:space="preserve"> </w:t>
            </w:r>
            <w:r w:rsidRPr="00F619A4">
              <w:rPr>
                <w:rFonts w:cs="Sylfaen"/>
                <w:lang w:val="hy-AM"/>
              </w:rPr>
              <w:t>հետ</w:t>
            </w:r>
            <w:r w:rsidRPr="00F619A4">
              <w:rPr>
                <w:lang w:val="hy-AM"/>
              </w:rPr>
              <w:t xml:space="preserve">: </w:t>
            </w:r>
            <w:r w:rsidRPr="00F619A4">
              <w:rPr>
                <w:rFonts w:cs="Sylfaen"/>
                <w:lang w:val="hy-AM"/>
              </w:rPr>
              <w:t>Տարիներ</w:t>
            </w:r>
            <w:r w:rsidRPr="00F619A4">
              <w:rPr>
                <w:lang w:val="hy-AM"/>
              </w:rPr>
              <w:t xml:space="preserve"> </w:t>
            </w:r>
            <w:r w:rsidRPr="00F619A4">
              <w:rPr>
                <w:rFonts w:cs="Sylfaen"/>
                <w:lang w:val="hy-AM"/>
              </w:rPr>
              <w:t>շարունակ</w:t>
            </w:r>
            <w:r w:rsidRPr="00F619A4">
              <w:rPr>
                <w:lang w:val="hy-AM"/>
              </w:rPr>
              <w:t xml:space="preserve"> </w:t>
            </w:r>
            <w:r w:rsidRPr="00F619A4">
              <w:rPr>
                <w:rFonts w:cs="Sylfaen"/>
                <w:lang w:val="hy-AM"/>
              </w:rPr>
              <w:t>տարբեր</w:t>
            </w:r>
            <w:r w:rsidRPr="00F619A4">
              <w:rPr>
                <w:lang w:val="hy-AM"/>
              </w:rPr>
              <w:t xml:space="preserve"> </w:t>
            </w:r>
            <w:r w:rsidRPr="00F619A4">
              <w:rPr>
                <w:rFonts w:cs="Sylfaen"/>
                <w:lang w:val="hy-AM"/>
              </w:rPr>
              <w:t>մարմինների</w:t>
            </w:r>
            <w:r w:rsidRPr="00F619A4">
              <w:rPr>
                <w:lang w:val="hy-AM"/>
              </w:rPr>
              <w:t xml:space="preserve"> </w:t>
            </w:r>
            <w:r w:rsidRPr="00F619A4">
              <w:rPr>
                <w:rFonts w:cs="Sylfaen"/>
                <w:lang w:val="hy-AM"/>
              </w:rPr>
              <w:t>կողմից</w:t>
            </w:r>
            <w:r w:rsidRPr="00F619A4">
              <w:rPr>
                <w:lang w:val="hy-AM"/>
              </w:rPr>
              <w:t xml:space="preserve"> </w:t>
            </w:r>
            <w:r w:rsidRPr="00F619A4">
              <w:rPr>
                <w:rFonts w:cs="Sylfaen"/>
                <w:lang w:val="hy-AM"/>
              </w:rPr>
              <w:t>ստեղծվել</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գործում</w:t>
            </w:r>
            <w:r w:rsidRPr="00F619A4">
              <w:rPr>
                <w:lang w:val="hy-AM"/>
              </w:rPr>
              <w:t xml:space="preserve"> </w:t>
            </w:r>
            <w:r w:rsidRPr="00F619A4">
              <w:rPr>
                <w:rFonts w:cs="Sylfaen"/>
                <w:lang w:val="hy-AM"/>
              </w:rPr>
              <w:t>են</w:t>
            </w:r>
            <w:r w:rsidRPr="00F619A4">
              <w:rPr>
                <w:lang w:val="hy-AM"/>
              </w:rPr>
              <w:t xml:space="preserve"> </w:t>
            </w:r>
            <w:r w:rsidRPr="00F619A4">
              <w:rPr>
                <w:rFonts w:cs="Sylfaen"/>
                <w:lang w:val="hy-AM"/>
              </w:rPr>
              <w:t>էլեկտրոնային</w:t>
            </w:r>
            <w:r w:rsidRPr="00F619A4">
              <w:rPr>
                <w:lang w:val="hy-AM"/>
              </w:rPr>
              <w:t xml:space="preserve"> </w:t>
            </w:r>
            <w:r w:rsidRPr="00F619A4">
              <w:rPr>
                <w:rFonts w:cs="Sylfaen"/>
                <w:lang w:val="hy-AM"/>
              </w:rPr>
              <w:t>համակարգեր</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տվյալների</w:t>
            </w:r>
            <w:r w:rsidRPr="00F619A4">
              <w:rPr>
                <w:lang w:val="hy-AM"/>
              </w:rPr>
              <w:t xml:space="preserve"> </w:t>
            </w:r>
            <w:r w:rsidRPr="00F619A4">
              <w:rPr>
                <w:rFonts w:cs="Sylfaen"/>
                <w:lang w:val="hy-AM"/>
              </w:rPr>
              <w:t>շտեմարաններ</w:t>
            </w:r>
            <w:r w:rsidRPr="00F619A4">
              <w:rPr>
                <w:lang w:val="hy-AM"/>
              </w:rPr>
              <w:t xml:space="preserve">, </w:t>
            </w:r>
            <w:r w:rsidRPr="00F619A4">
              <w:rPr>
                <w:rFonts w:cs="Sylfaen"/>
                <w:lang w:val="hy-AM"/>
              </w:rPr>
              <w:t>որոնց</w:t>
            </w:r>
            <w:r w:rsidRPr="00F619A4">
              <w:rPr>
                <w:lang w:val="hy-AM"/>
              </w:rPr>
              <w:t xml:space="preserve"> </w:t>
            </w:r>
            <w:r w:rsidRPr="00F619A4">
              <w:rPr>
                <w:rFonts w:cs="Sylfaen"/>
                <w:lang w:val="hy-AM"/>
              </w:rPr>
              <w:t>փոխգործելիությունը</w:t>
            </w:r>
            <w:r w:rsidRPr="00F619A4">
              <w:rPr>
                <w:lang w:val="hy-AM"/>
              </w:rPr>
              <w:t xml:space="preserve"> </w:t>
            </w:r>
            <w:r w:rsidRPr="00F619A4">
              <w:rPr>
                <w:rFonts w:cs="Sylfaen"/>
                <w:lang w:val="hy-AM"/>
              </w:rPr>
              <w:t>ապահովված</w:t>
            </w:r>
            <w:r w:rsidRPr="00F619A4">
              <w:rPr>
                <w:lang w:val="hy-AM"/>
              </w:rPr>
              <w:t xml:space="preserve"> </w:t>
            </w:r>
            <w:r w:rsidRPr="00F619A4">
              <w:rPr>
                <w:rFonts w:cs="Sylfaen"/>
                <w:lang w:val="hy-AM"/>
              </w:rPr>
              <w:t>չէ</w:t>
            </w:r>
            <w:r w:rsidRPr="00F619A4">
              <w:rPr>
                <w:lang w:val="hy-AM"/>
              </w:rPr>
              <w:t xml:space="preserve"> </w:t>
            </w:r>
            <w:r w:rsidRPr="00F619A4">
              <w:rPr>
                <w:rFonts w:cs="Sylfaen"/>
                <w:lang w:val="hy-AM"/>
              </w:rPr>
              <w:t>կամ</w:t>
            </w:r>
            <w:r w:rsidRPr="00F619A4">
              <w:rPr>
                <w:lang w:val="hy-AM"/>
              </w:rPr>
              <w:t xml:space="preserve"> </w:t>
            </w:r>
            <w:r w:rsidRPr="00F619A4">
              <w:rPr>
                <w:rFonts w:cs="Sylfaen"/>
                <w:lang w:val="hy-AM"/>
              </w:rPr>
              <w:t>մասամբ</w:t>
            </w:r>
            <w:r w:rsidRPr="00F619A4">
              <w:rPr>
                <w:lang w:val="hy-AM"/>
              </w:rPr>
              <w:t xml:space="preserve"> </w:t>
            </w:r>
            <w:r w:rsidRPr="00F619A4">
              <w:rPr>
                <w:rFonts w:cs="Sylfaen"/>
                <w:lang w:val="hy-AM"/>
              </w:rPr>
              <w:t>է</w:t>
            </w:r>
            <w:r w:rsidRPr="00F619A4">
              <w:rPr>
                <w:lang w:val="hy-AM"/>
              </w:rPr>
              <w:t xml:space="preserve"> </w:t>
            </w:r>
            <w:r w:rsidRPr="00F619A4">
              <w:rPr>
                <w:rFonts w:cs="Sylfaen"/>
                <w:lang w:val="hy-AM"/>
              </w:rPr>
              <w:t>ապահովված</w:t>
            </w:r>
            <w:r w:rsidRPr="00F619A4">
              <w:rPr>
                <w:lang w:val="hy-AM"/>
              </w:rPr>
              <w:t xml:space="preserve">: </w:t>
            </w:r>
            <w:r w:rsidRPr="00F619A4">
              <w:rPr>
                <w:rFonts w:cs="Sylfaen"/>
                <w:lang w:val="hy-AM"/>
              </w:rPr>
              <w:t>Միջոցառման</w:t>
            </w:r>
            <w:r w:rsidRPr="00F619A4">
              <w:rPr>
                <w:lang w:val="hy-AM"/>
              </w:rPr>
              <w:t xml:space="preserve"> </w:t>
            </w:r>
            <w:r w:rsidRPr="00F619A4">
              <w:rPr>
                <w:rFonts w:cs="Sylfaen"/>
                <w:lang w:val="hy-AM"/>
              </w:rPr>
              <w:t>իրականացման</w:t>
            </w:r>
            <w:r w:rsidRPr="00F619A4">
              <w:rPr>
                <w:lang w:val="hy-AM"/>
              </w:rPr>
              <w:t xml:space="preserve"> </w:t>
            </w:r>
            <w:r w:rsidRPr="00F619A4">
              <w:rPr>
                <w:rFonts w:cs="Sylfaen"/>
                <w:lang w:val="hy-AM"/>
              </w:rPr>
              <w:t>նպատակը</w:t>
            </w:r>
            <w:r w:rsidRPr="00F619A4">
              <w:rPr>
                <w:lang w:val="hy-AM"/>
              </w:rPr>
              <w:t xml:space="preserve"> </w:t>
            </w:r>
            <w:r w:rsidRPr="00F619A4">
              <w:rPr>
                <w:rFonts w:cs="Sylfaen"/>
                <w:lang w:val="hy-AM"/>
              </w:rPr>
              <w:t>միասնական</w:t>
            </w:r>
            <w:r w:rsidRPr="00F619A4">
              <w:rPr>
                <w:lang w:val="hy-AM"/>
              </w:rPr>
              <w:t xml:space="preserve"> </w:t>
            </w:r>
            <w:r w:rsidRPr="00F619A4">
              <w:rPr>
                <w:rFonts w:cs="Sylfaen"/>
                <w:lang w:val="hy-AM"/>
              </w:rPr>
              <w:t>էլեկտրոնային</w:t>
            </w:r>
            <w:r w:rsidRPr="00F619A4">
              <w:rPr>
                <w:lang w:val="hy-AM"/>
              </w:rPr>
              <w:t xml:space="preserve"> </w:t>
            </w:r>
            <w:r w:rsidRPr="00F619A4">
              <w:rPr>
                <w:rFonts w:cs="Sylfaen"/>
                <w:lang w:val="hy-AM"/>
              </w:rPr>
              <w:t>համակարգի</w:t>
            </w:r>
            <w:r w:rsidRPr="00F619A4">
              <w:rPr>
                <w:lang w:val="hy-AM"/>
              </w:rPr>
              <w:t xml:space="preserve"> </w:t>
            </w:r>
            <w:r w:rsidRPr="00F619A4">
              <w:rPr>
                <w:rFonts w:cs="Sylfaen"/>
                <w:lang w:val="hy-AM"/>
              </w:rPr>
              <w:t>ստեղծումն</w:t>
            </w:r>
            <w:r w:rsidRPr="00F619A4">
              <w:rPr>
                <w:lang w:val="hy-AM"/>
              </w:rPr>
              <w:t xml:space="preserve"> </w:t>
            </w:r>
            <w:r w:rsidRPr="00F619A4">
              <w:rPr>
                <w:rFonts w:cs="Sylfaen"/>
                <w:lang w:val="hy-AM"/>
              </w:rPr>
              <w:t>է</w:t>
            </w:r>
            <w:r w:rsidRPr="00F619A4">
              <w:rPr>
                <w:lang w:val="hy-AM"/>
              </w:rPr>
              <w:t xml:space="preserve">, </w:t>
            </w:r>
            <w:r w:rsidRPr="00F619A4">
              <w:rPr>
                <w:rFonts w:cs="Sylfaen"/>
                <w:lang w:val="hy-AM"/>
              </w:rPr>
              <w:t>որի</w:t>
            </w:r>
            <w:r w:rsidRPr="00F619A4">
              <w:rPr>
                <w:lang w:val="hy-AM"/>
              </w:rPr>
              <w:t xml:space="preserve"> </w:t>
            </w:r>
            <w:r w:rsidRPr="00F619A4">
              <w:rPr>
                <w:rFonts w:cs="Sylfaen"/>
                <w:lang w:val="hy-AM"/>
              </w:rPr>
              <w:t>միջոցով</w:t>
            </w:r>
            <w:r w:rsidRPr="00F619A4">
              <w:rPr>
                <w:lang w:val="hy-AM"/>
              </w:rPr>
              <w:t xml:space="preserve"> </w:t>
            </w:r>
            <w:r w:rsidRPr="00F619A4">
              <w:rPr>
                <w:rFonts w:cs="Sylfaen"/>
                <w:lang w:val="hy-AM"/>
              </w:rPr>
              <w:t>կլուծվեն</w:t>
            </w:r>
            <w:r w:rsidRPr="00F619A4">
              <w:rPr>
                <w:lang w:val="hy-AM"/>
              </w:rPr>
              <w:t xml:space="preserve"> </w:t>
            </w:r>
            <w:r w:rsidRPr="00F619A4">
              <w:rPr>
                <w:rFonts w:cs="Sylfaen"/>
                <w:lang w:val="hy-AM"/>
              </w:rPr>
              <w:t>ոլորտային</w:t>
            </w:r>
            <w:r w:rsidRPr="00F619A4">
              <w:rPr>
                <w:lang w:val="hy-AM"/>
              </w:rPr>
              <w:t xml:space="preserve"> </w:t>
            </w:r>
            <w:r w:rsidRPr="00F619A4">
              <w:rPr>
                <w:rFonts w:cs="Sylfaen"/>
                <w:lang w:val="hy-AM"/>
              </w:rPr>
              <w:t>բոլոր</w:t>
            </w:r>
            <w:r w:rsidRPr="00F619A4">
              <w:rPr>
                <w:lang w:val="hy-AM"/>
              </w:rPr>
              <w:t xml:space="preserve"> </w:t>
            </w:r>
            <w:r w:rsidRPr="00F619A4">
              <w:rPr>
                <w:rFonts w:cs="Sylfaen"/>
                <w:lang w:val="hy-AM"/>
              </w:rPr>
              <w:t>խնդիրները</w:t>
            </w:r>
            <w:r w:rsidRPr="00F619A4">
              <w:rPr>
                <w:lang w:val="hy-AM"/>
              </w:rPr>
              <w:t xml:space="preserve">: </w:t>
            </w:r>
          </w:p>
          <w:p w:rsidR="001F6D5D" w:rsidRPr="00F619A4" w:rsidRDefault="001F6D5D" w:rsidP="00277183">
            <w:pPr>
              <w:rPr>
                <w:b/>
                <w:lang w:val="hy-AM"/>
              </w:rPr>
            </w:pPr>
            <w:r w:rsidRPr="00F619A4">
              <w:rPr>
                <w:rFonts w:cs="Sylfaen"/>
                <w:b/>
                <w:lang w:val="hy-AM"/>
              </w:rPr>
              <w:t>1.1 Կարգավորման</w:t>
            </w:r>
            <w:r w:rsidRPr="00F619A4">
              <w:rPr>
                <w:b/>
                <w:lang w:val="hy-AM"/>
              </w:rPr>
              <w:t xml:space="preserve"> </w:t>
            </w:r>
            <w:r w:rsidRPr="00F619A4">
              <w:rPr>
                <w:rFonts w:cs="Sylfaen"/>
                <w:b/>
                <w:lang w:val="hy-AM"/>
              </w:rPr>
              <w:t>հարաբերությունների</w:t>
            </w:r>
            <w:r w:rsidRPr="00F619A4">
              <w:rPr>
                <w:b/>
                <w:lang w:val="hy-AM"/>
              </w:rPr>
              <w:t xml:space="preserve"> </w:t>
            </w:r>
            <w:r w:rsidRPr="00F619A4">
              <w:rPr>
                <w:rFonts w:cs="Sylfaen"/>
                <w:b/>
                <w:lang w:val="hy-AM"/>
              </w:rPr>
              <w:t>ներկա</w:t>
            </w:r>
            <w:r w:rsidRPr="00F619A4">
              <w:rPr>
                <w:b/>
                <w:lang w:val="hy-AM"/>
              </w:rPr>
              <w:t xml:space="preserve"> </w:t>
            </w:r>
            <w:r w:rsidRPr="00F619A4">
              <w:rPr>
                <w:rFonts w:cs="Sylfaen"/>
                <w:b/>
                <w:lang w:val="hy-AM"/>
              </w:rPr>
              <w:t>վիճակը</w:t>
            </w:r>
            <w:r w:rsidRPr="00F619A4">
              <w:rPr>
                <w:b/>
                <w:lang w:val="hy-AM"/>
              </w:rPr>
              <w:t xml:space="preserve"> </w:t>
            </w:r>
            <w:r w:rsidRPr="00F619A4">
              <w:rPr>
                <w:rFonts w:cs="Sylfaen"/>
                <w:b/>
                <w:lang w:val="hy-AM"/>
              </w:rPr>
              <w:t>և</w:t>
            </w:r>
            <w:r w:rsidRPr="00F619A4">
              <w:rPr>
                <w:b/>
                <w:lang w:val="hy-AM"/>
              </w:rPr>
              <w:t xml:space="preserve"> </w:t>
            </w:r>
            <w:r w:rsidRPr="00F619A4">
              <w:rPr>
                <w:rFonts w:cs="Sylfaen"/>
                <w:b/>
                <w:lang w:val="hy-AM"/>
              </w:rPr>
              <w:t>առկա</w:t>
            </w:r>
            <w:r w:rsidRPr="00F619A4">
              <w:rPr>
                <w:b/>
                <w:lang w:val="hy-AM"/>
              </w:rPr>
              <w:t xml:space="preserve"> </w:t>
            </w:r>
            <w:r w:rsidRPr="00F619A4">
              <w:rPr>
                <w:rFonts w:cs="Sylfaen"/>
                <w:b/>
                <w:lang w:val="hy-AM"/>
              </w:rPr>
              <w:t>խնդիրները</w:t>
            </w:r>
            <w:r w:rsidRPr="00F619A4">
              <w:rPr>
                <w:b/>
                <w:lang w:val="hy-AM"/>
              </w:rPr>
              <w:t xml:space="preserve"> </w:t>
            </w:r>
          </w:p>
          <w:p w:rsidR="001F6D5D" w:rsidRPr="00F619A4" w:rsidRDefault="001F6D5D" w:rsidP="001F6D5D">
            <w:pPr>
              <w:pStyle w:val="ListParagraph"/>
              <w:numPr>
                <w:ilvl w:val="0"/>
                <w:numId w:val="512"/>
              </w:numPr>
              <w:spacing w:after="200" w:line="276" w:lineRule="auto"/>
              <w:rPr>
                <w:lang w:val="hy-AM"/>
              </w:rPr>
            </w:pPr>
            <w:r w:rsidRPr="00F619A4">
              <w:rPr>
                <w:rFonts w:cs="Sylfaen"/>
                <w:lang w:val="hy-AM"/>
              </w:rPr>
              <w:t>թղթային</w:t>
            </w:r>
            <w:r w:rsidRPr="00F619A4">
              <w:rPr>
                <w:lang w:val="hy-AM"/>
              </w:rPr>
              <w:t xml:space="preserve"> </w:t>
            </w:r>
            <w:r w:rsidRPr="00F619A4">
              <w:rPr>
                <w:rFonts w:cs="Sylfaen"/>
                <w:lang w:val="hy-AM"/>
              </w:rPr>
              <w:t>եղանակով</w:t>
            </w:r>
            <w:r w:rsidRPr="00F619A4">
              <w:rPr>
                <w:lang w:val="hy-AM"/>
              </w:rPr>
              <w:t xml:space="preserve"> </w:t>
            </w:r>
            <w:r w:rsidRPr="00F619A4">
              <w:rPr>
                <w:rFonts w:cs="Sylfaen"/>
                <w:lang w:val="hy-AM"/>
              </w:rPr>
              <w:t>փաստաթղթաշրջանառության</w:t>
            </w:r>
            <w:r w:rsidRPr="00F619A4">
              <w:rPr>
                <w:lang w:val="hy-AM"/>
              </w:rPr>
              <w:t xml:space="preserve"> </w:t>
            </w:r>
            <w:r w:rsidRPr="00F619A4">
              <w:rPr>
                <w:rFonts w:cs="Sylfaen"/>
                <w:lang w:val="hy-AM"/>
              </w:rPr>
              <w:t>մեծ</w:t>
            </w:r>
            <w:r w:rsidRPr="00F619A4">
              <w:rPr>
                <w:lang w:val="hy-AM"/>
              </w:rPr>
              <w:t xml:space="preserve"> </w:t>
            </w:r>
            <w:r w:rsidRPr="00F619A4">
              <w:rPr>
                <w:rFonts w:cs="Sylfaen"/>
                <w:lang w:val="hy-AM"/>
              </w:rPr>
              <w:t>ծավալ</w:t>
            </w:r>
            <w:r w:rsidRPr="00F619A4">
              <w:rPr>
                <w:lang w:val="hy-AM"/>
              </w:rPr>
              <w:t xml:space="preserve">, </w:t>
            </w:r>
          </w:p>
          <w:p w:rsidR="001F6D5D" w:rsidRPr="00F619A4" w:rsidRDefault="001F6D5D" w:rsidP="001F6D5D">
            <w:pPr>
              <w:pStyle w:val="ListParagraph"/>
              <w:numPr>
                <w:ilvl w:val="0"/>
                <w:numId w:val="512"/>
              </w:numPr>
              <w:spacing w:after="200" w:line="276" w:lineRule="auto"/>
              <w:rPr>
                <w:lang w:val="hy-AM"/>
              </w:rPr>
            </w:pPr>
            <w:r w:rsidRPr="00F619A4">
              <w:rPr>
                <w:rFonts w:cs="Sylfaen"/>
                <w:lang w:val="hy-AM"/>
              </w:rPr>
              <w:t>առկա</w:t>
            </w:r>
            <w:r w:rsidRPr="00F619A4">
              <w:rPr>
                <w:lang w:val="hy-AM"/>
              </w:rPr>
              <w:t xml:space="preserve"> </w:t>
            </w:r>
            <w:r w:rsidRPr="00F619A4">
              <w:rPr>
                <w:rFonts w:cs="Sylfaen"/>
                <w:lang w:val="hy-AM"/>
              </w:rPr>
              <w:t>էլեկտրոնային</w:t>
            </w:r>
            <w:r w:rsidRPr="00F619A4">
              <w:rPr>
                <w:lang w:val="hy-AM"/>
              </w:rPr>
              <w:t xml:space="preserve"> </w:t>
            </w:r>
            <w:r w:rsidRPr="00F619A4">
              <w:rPr>
                <w:rFonts w:cs="Sylfaen"/>
                <w:lang w:val="hy-AM"/>
              </w:rPr>
              <w:t>համակարգերի</w:t>
            </w:r>
            <w:r w:rsidRPr="00F619A4">
              <w:rPr>
                <w:lang w:val="hy-AM"/>
              </w:rPr>
              <w:t xml:space="preserve"> </w:t>
            </w:r>
            <w:r w:rsidRPr="00F619A4">
              <w:rPr>
                <w:rFonts w:cs="Sylfaen"/>
                <w:lang w:val="hy-AM"/>
              </w:rPr>
              <w:t>ոչ</w:t>
            </w:r>
            <w:r w:rsidRPr="00F619A4">
              <w:rPr>
                <w:lang w:val="hy-AM"/>
              </w:rPr>
              <w:t xml:space="preserve"> </w:t>
            </w:r>
            <w:r w:rsidRPr="00F619A4">
              <w:rPr>
                <w:rFonts w:cs="Sylfaen"/>
                <w:lang w:val="hy-AM"/>
              </w:rPr>
              <w:t>ամբողջական</w:t>
            </w:r>
            <w:r w:rsidRPr="00F619A4">
              <w:rPr>
                <w:lang w:val="hy-AM"/>
              </w:rPr>
              <w:t xml:space="preserve"> </w:t>
            </w:r>
            <w:r w:rsidRPr="00F619A4">
              <w:rPr>
                <w:rFonts w:cs="Sylfaen"/>
                <w:lang w:val="hy-AM"/>
              </w:rPr>
              <w:t>թվային</w:t>
            </w:r>
            <w:r w:rsidRPr="00F619A4">
              <w:rPr>
                <w:lang w:val="hy-AM"/>
              </w:rPr>
              <w:t xml:space="preserve"> </w:t>
            </w:r>
            <w:r w:rsidRPr="00F619A4">
              <w:rPr>
                <w:rFonts w:cs="Sylfaen"/>
                <w:lang w:val="hy-AM"/>
              </w:rPr>
              <w:t>աշխատանք</w:t>
            </w:r>
            <w:r w:rsidRPr="00F619A4">
              <w:rPr>
                <w:lang w:val="hy-AM"/>
              </w:rPr>
              <w:t>,</w:t>
            </w:r>
          </w:p>
          <w:p w:rsidR="001F6D5D" w:rsidRPr="00F619A4" w:rsidRDefault="001F6D5D" w:rsidP="001F6D5D">
            <w:pPr>
              <w:pStyle w:val="ListParagraph"/>
              <w:numPr>
                <w:ilvl w:val="0"/>
                <w:numId w:val="512"/>
              </w:numPr>
              <w:spacing w:after="200" w:line="276" w:lineRule="auto"/>
              <w:rPr>
                <w:lang w:val="hy-AM"/>
              </w:rPr>
            </w:pPr>
            <w:r w:rsidRPr="00F619A4">
              <w:rPr>
                <w:rFonts w:cs="Sylfaen"/>
                <w:lang w:val="hy-AM"/>
              </w:rPr>
              <w:t>տեխնիկական</w:t>
            </w:r>
            <w:r w:rsidRPr="00F619A4">
              <w:rPr>
                <w:lang w:val="hy-AM"/>
              </w:rPr>
              <w:t xml:space="preserve">, </w:t>
            </w:r>
            <w:r w:rsidRPr="00F619A4">
              <w:rPr>
                <w:rFonts w:cs="Sylfaen"/>
                <w:lang w:val="hy-AM"/>
              </w:rPr>
              <w:t>կադրային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ֆինանսական</w:t>
            </w:r>
            <w:r w:rsidRPr="00F619A4">
              <w:rPr>
                <w:lang w:val="hy-AM"/>
              </w:rPr>
              <w:t xml:space="preserve"> </w:t>
            </w:r>
            <w:r w:rsidRPr="00F619A4">
              <w:rPr>
                <w:rFonts w:cs="Sylfaen"/>
                <w:lang w:val="hy-AM"/>
              </w:rPr>
              <w:t>ռեսուրսների</w:t>
            </w:r>
            <w:r w:rsidRPr="00F619A4">
              <w:rPr>
                <w:lang w:val="hy-AM"/>
              </w:rPr>
              <w:t xml:space="preserve"> </w:t>
            </w:r>
            <w:r w:rsidRPr="00F619A4">
              <w:rPr>
                <w:rFonts w:cs="Sylfaen"/>
                <w:lang w:val="hy-AM"/>
              </w:rPr>
              <w:t>վատնում</w:t>
            </w:r>
            <w:r w:rsidRPr="00F619A4">
              <w:rPr>
                <w:lang w:val="hy-AM"/>
              </w:rPr>
              <w:t xml:space="preserve">, </w:t>
            </w:r>
          </w:p>
          <w:p w:rsidR="001F6D5D" w:rsidRPr="00F619A4" w:rsidRDefault="001F6D5D" w:rsidP="001F6D5D">
            <w:pPr>
              <w:pStyle w:val="ListParagraph"/>
              <w:numPr>
                <w:ilvl w:val="0"/>
                <w:numId w:val="512"/>
              </w:numPr>
              <w:spacing w:after="200" w:line="276" w:lineRule="auto"/>
              <w:rPr>
                <w:lang w:val="hy-AM"/>
              </w:rPr>
            </w:pPr>
            <w:r w:rsidRPr="00F619A4">
              <w:rPr>
                <w:rFonts w:cs="Sylfaen"/>
                <w:lang w:val="hy-AM"/>
              </w:rPr>
              <w:t>տվյալների</w:t>
            </w:r>
            <w:r w:rsidRPr="00F619A4">
              <w:rPr>
                <w:lang w:val="hy-AM"/>
              </w:rPr>
              <w:t xml:space="preserve"> </w:t>
            </w:r>
            <w:r w:rsidRPr="00F619A4">
              <w:rPr>
                <w:rFonts w:cs="Sylfaen"/>
                <w:lang w:val="hy-AM"/>
              </w:rPr>
              <w:t>կորստի</w:t>
            </w:r>
            <w:r w:rsidRPr="00F619A4">
              <w:rPr>
                <w:lang w:val="hy-AM"/>
              </w:rPr>
              <w:t xml:space="preserve"> </w:t>
            </w:r>
            <w:r w:rsidRPr="00F619A4">
              <w:rPr>
                <w:rFonts w:cs="Sylfaen"/>
                <w:lang w:val="hy-AM"/>
              </w:rPr>
              <w:t>հնարավորություն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գաղտնիության</w:t>
            </w:r>
            <w:r w:rsidRPr="00F619A4">
              <w:rPr>
                <w:lang w:val="hy-AM"/>
              </w:rPr>
              <w:t xml:space="preserve"> </w:t>
            </w:r>
            <w:r w:rsidRPr="00F619A4">
              <w:rPr>
                <w:rFonts w:cs="Sylfaen"/>
                <w:lang w:val="hy-AM"/>
              </w:rPr>
              <w:t>ապահովման</w:t>
            </w:r>
            <w:r w:rsidRPr="00F619A4">
              <w:rPr>
                <w:lang w:val="hy-AM"/>
              </w:rPr>
              <w:t xml:space="preserve"> </w:t>
            </w:r>
            <w:r w:rsidRPr="00F619A4">
              <w:rPr>
                <w:rFonts w:cs="Sylfaen"/>
                <w:lang w:val="hy-AM"/>
              </w:rPr>
              <w:t>ոչ</w:t>
            </w:r>
            <w:r w:rsidRPr="00F619A4">
              <w:rPr>
                <w:lang w:val="hy-AM"/>
              </w:rPr>
              <w:t xml:space="preserve"> </w:t>
            </w:r>
            <w:r w:rsidRPr="00F619A4">
              <w:rPr>
                <w:rFonts w:cs="Sylfaen"/>
                <w:lang w:val="hy-AM"/>
              </w:rPr>
              <w:t>բավարար</w:t>
            </w:r>
            <w:r w:rsidRPr="00F619A4">
              <w:rPr>
                <w:lang w:val="hy-AM"/>
              </w:rPr>
              <w:t xml:space="preserve"> </w:t>
            </w:r>
            <w:r w:rsidRPr="00F619A4">
              <w:rPr>
                <w:rFonts w:cs="Sylfaen"/>
                <w:lang w:val="hy-AM"/>
              </w:rPr>
              <w:t>մակարդակ</w:t>
            </w:r>
            <w:r w:rsidRPr="00F619A4">
              <w:rPr>
                <w:lang w:val="hy-AM"/>
              </w:rPr>
              <w:t xml:space="preserve">, </w:t>
            </w:r>
          </w:p>
          <w:p w:rsidR="001F6D5D" w:rsidRPr="00F619A4" w:rsidRDefault="001F6D5D" w:rsidP="001F6D5D">
            <w:pPr>
              <w:pStyle w:val="ListParagraph"/>
              <w:numPr>
                <w:ilvl w:val="0"/>
                <w:numId w:val="512"/>
              </w:numPr>
              <w:spacing w:after="200" w:line="276" w:lineRule="auto"/>
              <w:rPr>
                <w:lang w:val="hy-AM"/>
              </w:rPr>
            </w:pPr>
            <w:r w:rsidRPr="00F619A4">
              <w:rPr>
                <w:rFonts w:cs="Sylfaen"/>
                <w:lang w:val="hy-AM"/>
              </w:rPr>
              <w:t>բարդացված</w:t>
            </w:r>
            <w:r w:rsidRPr="00F619A4">
              <w:rPr>
                <w:lang w:val="hy-AM"/>
              </w:rPr>
              <w:t xml:space="preserve"> </w:t>
            </w:r>
            <w:r w:rsidRPr="00F619A4">
              <w:rPr>
                <w:rFonts w:cs="Sylfaen"/>
                <w:lang w:val="hy-AM"/>
              </w:rPr>
              <w:t>վարչարարություն</w:t>
            </w:r>
            <w:r w:rsidRPr="00F619A4">
              <w:rPr>
                <w:lang w:val="hy-AM"/>
              </w:rPr>
              <w:t xml:space="preserve">, </w:t>
            </w:r>
          </w:p>
          <w:p w:rsidR="001F6D5D" w:rsidRPr="00F619A4" w:rsidRDefault="001F6D5D" w:rsidP="001F6D5D">
            <w:pPr>
              <w:pStyle w:val="ListParagraph"/>
              <w:numPr>
                <w:ilvl w:val="0"/>
                <w:numId w:val="512"/>
              </w:numPr>
              <w:spacing w:after="200" w:line="276" w:lineRule="auto"/>
              <w:rPr>
                <w:lang w:val="hy-AM"/>
              </w:rPr>
            </w:pPr>
            <w:r w:rsidRPr="00F619A4">
              <w:rPr>
                <w:rFonts w:cs="Sylfaen"/>
                <w:lang w:val="hy-AM"/>
              </w:rPr>
              <w:t>գործող</w:t>
            </w:r>
            <w:r w:rsidRPr="00F619A4">
              <w:rPr>
                <w:lang w:val="hy-AM"/>
              </w:rPr>
              <w:t xml:space="preserve"> </w:t>
            </w:r>
            <w:r w:rsidRPr="00F619A4">
              <w:rPr>
                <w:rFonts w:cs="Sylfaen"/>
                <w:lang w:val="hy-AM"/>
              </w:rPr>
              <w:t>համակարգերի</w:t>
            </w:r>
            <w:r w:rsidRPr="00F619A4">
              <w:rPr>
                <w:lang w:val="hy-AM"/>
              </w:rPr>
              <w:t xml:space="preserve"> </w:t>
            </w:r>
            <w:r w:rsidRPr="00F619A4">
              <w:rPr>
                <w:rFonts w:cs="Sylfaen"/>
                <w:lang w:val="hy-AM"/>
              </w:rPr>
              <w:t>վարման</w:t>
            </w:r>
            <w:r w:rsidRPr="00F619A4">
              <w:rPr>
                <w:lang w:val="hy-AM"/>
              </w:rPr>
              <w:t xml:space="preserve"> </w:t>
            </w:r>
            <w:r w:rsidRPr="00F619A4">
              <w:rPr>
                <w:rFonts w:cs="Sylfaen"/>
                <w:lang w:val="hy-AM"/>
              </w:rPr>
              <w:t>միասնական</w:t>
            </w:r>
            <w:r w:rsidRPr="00F619A4">
              <w:rPr>
                <w:lang w:val="hy-AM"/>
              </w:rPr>
              <w:t xml:space="preserve"> </w:t>
            </w:r>
            <w:r w:rsidRPr="00F619A4">
              <w:rPr>
                <w:rFonts w:cs="Sylfaen"/>
                <w:lang w:val="hy-AM"/>
              </w:rPr>
              <w:t>քաղաքականության</w:t>
            </w:r>
            <w:r w:rsidRPr="00F619A4">
              <w:rPr>
                <w:lang w:val="hy-AM"/>
              </w:rPr>
              <w:t xml:space="preserve"> </w:t>
            </w:r>
            <w:r w:rsidRPr="00F619A4">
              <w:rPr>
                <w:rFonts w:cs="Sylfaen"/>
                <w:lang w:val="hy-AM"/>
              </w:rPr>
              <w:t>բացակայություն</w:t>
            </w:r>
            <w:r w:rsidRPr="00F619A4">
              <w:rPr>
                <w:lang w:val="hy-AM"/>
              </w:rPr>
              <w:t xml:space="preserve">: </w:t>
            </w:r>
          </w:p>
          <w:p w:rsidR="001F6D5D" w:rsidRPr="00F619A4" w:rsidRDefault="001F6D5D" w:rsidP="00277183">
            <w:pPr>
              <w:rPr>
                <w:b/>
                <w:lang w:val="hy-AM"/>
              </w:rPr>
            </w:pPr>
            <w:r w:rsidRPr="00F619A4">
              <w:rPr>
                <w:b/>
                <w:lang w:val="hy-AM"/>
              </w:rPr>
              <w:t xml:space="preserve">1.2 </w:t>
            </w:r>
            <w:r w:rsidRPr="00F619A4">
              <w:rPr>
                <w:rFonts w:cs="Sylfaen"/>
                <w:b/>
                <w:lang w:val="hy-AM"/>
              </w:rPr>
              <w:t>Առկա</w:t>
            </w:r>
            <w:r w:rsidRPr="00F619A4">
              <w:rPr>
                <w:b/>
                <w:lang w:val="hy-AM"/>
              </w:rPr>
              <w:t xml:space="preserve"> </w:t>
            </w:r>
            <w:r w:rsidRPr="00F619A4">
              <w:rPr>
                <w:rFonts w:cs="Sylfaen"/>
                <w:b/>
                <w:lang w:val="hy-AM"/>
              </w:rPr>
              <w:t>խնդիրների</w:t>
            </w:r>
            <w:r w:rsidRPr="00F619A4">
              <w:rPr>
                <w:b/>
                <w:lang w:val="hy-AM"/>
              </w:rPr>
              <w:t xml:space="preserve"> </w:t>
            </w:r>
            <w:r w:rsidRPr="00F619A4">
              <w:rPr>
                <w:rFonts w:cs="Sylfaen"/>
                <w:b/>
                <w:lang w:val="hy-AM"/>
              </w:rPr>
              <w:t>առաջարկվող</w:t>
            </w:r>
            <w:r w:rsidRPr="00F619A4">
              <w:rPr>
                <w:b/>
                <w:lang w:val="hy-AM"/>
              </w:rPr>
              <w:t xml:space="preserve"> </w:t>
            </w:r>
            <w:r w:rsidRPr="00F619A4">
              <w:rPr>
                <w:rFonts w:cs="Sylfaen"/>
                <w:b/>
                <w:lang w:val="hy-AM"/>
              </w:rPr>
              <w:t>լուծումները</w:t>
            </w:r>
            <w:r w:rsidRPr="00F619A4">
              <w:rPr>
                <w:b/>
                <w:lang w:val="hy-AM"/>
              </w:rPr>
              <w:t xml:space="preserve"> </w:t>
            </w:r>
          </w:p>
          <w:p w:rsidR="001F6D5D" w:rsidRPr="00F619A4" w:rsidRDefault="001F6D5D" w:rsidP="00277183">
            <w:pPr>
              <w:jc w:val="both"/>
              <w:rPr>
                <w:lang w:val="hy-AM"/>
              </w:rPr>
            </w:pPr>
            <w:r w:rsidRPr="00F619A4">
              <w:rPr>
                <w:rFonts w:cs="Sylfaen"/>
                <w:lang w:val="hy-AM"/>
              </w:rPr>
              <w:t>Առաջարկվում</w:t>
            </w:r>
            <w:r w:rsidRPr="00F619A4">
              <w:rPr>
                <w:lang w:val="hy-AM"/>
              </w:rPr>
              <w:t xml:space="preserve"> </w:t>
            </w:r>
            <w:r w:rsidRPr="00F619A4">
              <w:rPr>
                <w:rFonts w:cs="Sylfaen"/>
                <w:lang w:val="hy-AM"/>
              </w:rPr>
              <w:t>է</w:t>
            </w:r>
            <w:r w:rsidRPr="00F619A4">
              <w:rPr>
                <w:lang w:val="hy-AM"/>
              </w:rPr>
              <w:t xml:space="preserve"> </w:t>
            </w:r>
            <w:r w:rsidRPr="00F619A4">
              <w:rPr>
                <w:rFonts w:cs="Sylfaen"/>
                <w:lang w:val="hy-AM"/>
              </w:rPr>
              <w:t>ստեղծել</w:t>
            </w:r>
            <w:r w:rsidRPr="00F619A4">
              <w:rPr>
                <w:lang w:val="hy-AM"/>
              </w:rPr>
              <w:t xml:space="preserve"> </w:t>
            </w:r>
            <w:r w:rsidRPr="00F619A4">
              <w:rPr>
                <w:rFonts w:cs="Sylfaen"/>
                <w:lang w:val="hy-AM"/>
              </w:rPr>
              <w:t>կենտրոնացված</w:t>
            </w:r>
            <w:r w:rsidRPr="00F619A4">
              <w:rPr>
                <w:lang w:val="hy-AM"/>
              </w:rPr>
              <w:t xml:space="preserve"> </w:t>
            </w:r>
            <w:r w:rsidRPr="00F619A4">
              <w:rPr>
                <w:rFonts w:cs="Sylfaen"/>
                <w:lang w:val="hy-AM"/>
              </w:rPr>
              <w:t>էլեկտրոնային</w:t>
            </w:r>
            <w:r w:rsidRPr="00F619A4">
              <w:rPr>
                <w:lang w:val="hy-AM"/>
              </w:rPr>
              <w:t xml:space="preserve"> </w:t>
            </w:r>
            <w:r w:rsidRPr="00F619A4">
              <w:rPr>
                <w:rFonts w:cs="Sylfaen"/>
                <w:lang w:val="hy-AM"/>
              </w:rPr>
              <w:t>կառավարման</w:t>
            </w:r>
            <w:r w:rsidRPr="00F619A4">
              <w:rPr>
                <w:lang w:val="hy-AM"/>
              </w:rPr>
              <w:t xml:space="preserve"> </w:t>
            </w:r>
            <w:r w:rsidRPr="00F619A4">
              <w:rPr>
                <w:rFonts w:cs="Sylfaen"/>
                <w:lang w:val="hy-AM"/>
              </w:rPr>
              <w:t>համակարգ</w:t>
            </w:r>
            <w:r w:rsidRPr="00F619A4">
              <w:rPr>
                <w:lang w:val="hy-AM"/>
              </w:rPr>
              <w:t xml:space="preserve"> </w:t>
            </w:r>
            <w:r w:rsidRPr="00F619A4">
              <w:rPr>
                <w:rFonts w:cs="Sylfaen"/>
                <w:lang w:val="hy-AM"/>
              </w:rPr>
              <w:t>արդարադատության</w:t>
            </w:r>
            <w:r w:rsidRPr="00F619A4">
              <w:rPr>
                <w:lang w:val="hy-AM"/>
              </w:rPr>
              <w:t xml:space="preserve"> </w:t>
            </w:r>
            <w:r w:rsidRPr="00F619A4">
              <w:rPr>
                <w:rFonts w:cs="Sylfaen"/>
                <w:lang w:val="hy-AM"/>
              </w:rPr>
              <w:t>ոլորտի</w:t>
            </w:r>
            <w:r w:rsidRPr="00F619A4">
              <w:rPr>
                <w:lang w:val="hy-AM"/>
              </w:rPr>
              <w:t xml:space="preserve"> </w:t>
            </w:r>
            <w:r w:rsidRPr="00F619A4">
              <w:rPr>
                <w:rFonts w:cs="Sylfaen"/>
                <w:lang w:val="hy-AM"/>
              </w:rPr>
              <w:t>խնդիրների</w:t>
            </w:r>
            <w:r w:rsidRPr="00F619A4">
              <w:rPr>
                <w:lang w:val="hy-AM"/>
              </w:rPr>
              <w:t xml:space="preserve"> </w:t>
            </w:r>
            <w:r w:rsidRPr="00F619A4">
              <w:rPr>
                <w:rFonts w:cs="Sylfaen"/>
                <w:lang w:val="hy-AM"/>
              </w:rPr>
              <w:t>համապարփակ</w:t>
            </w:r>
            <w:r w:rsidRPr="00F619A4">
              <w:rPr>
                <w:lang w:val="hy-AM"/>
              </w:rPr>
              <w:t xml:space="preserve"> </w:t>
            </w:r>
            <w:r w:rsidRPr="00F619A4">
              <w:rPr>
                <w:rFonts w:cs="Sylfaen"/>
                <w:lang w:val="hy-AM"/>
              </w:rPr>
              <w:t>լուծման</w:t>
            </w:r>
            <w:r w:rsidRPr="00F619A4">
              <w:rPr>
                <w:lang w:val="hy-AM"/>
              </w:rPr>
              <w:t xml:space="preserve"> </w:t>
            </w:r>
            <w:r w:rsidRPr="00F619A4">
              <w:rPr>
                <w:rFonts w:cs="Sylfaen"/>
                <w:lang w:val="hy-AM"/>
              </w:rPr>
              <w:t>համար</w:t>
            </w:r>
            <w:r w:rsidRPr="00F619A4">
              <w:rPr>
                <w:lang w:val="hy-AM"/>
              </w:rPr>
              <w:t xml:space="preserve">: </w:t>
            </w:r>
            <w:r w:rsidRPr="00F619A4">
              <w:rPr>
                <w:rFonts w:cs="Sylfaen"/>
                <w:lang w:val="hy-AM"/>
              </w:rPr>
              <w:t>Համակարգը</w:t>
            </w:r>
            <w:r w:rsidRPr="00F619A4">
              <w:rPr>
                <w:lang w:val="hy-AM"/>
              </w:rPr>
              <w:t xml:space="preserve"> </w:t>
            </w:r>
            <w:r w:rsidRPr="00F619A4">
              <w:rPr>
                <w:rFonts w:cs="Sylfaen"/>
                <w:lang w:val="hy-AM"/>
              </w:rPr>
              <w:t>ուղղված</w:t>
            </w:r>
            <w:r w:rsidRPr="00F619A4">
              <w:rPr>
                <w:lang w:val="hy-AM"/>
              </w:rPr>
              <w:t xml:space="preserve"> </w:t>
            </w:r>
            <w:r w:rsidRPr="00F619A4">
              <w:rPr>
                <w:rFonts w:cs="Sylfaen"/>
                <w:lang w:val="hy-AM"/>
              </w:rPr>
              <w:t>կլինի</w:t>
            </w:r>
            <w:r w:rsidRPr="00F619A4">
              <w:rPr>
                <w:lang w:val="hy-AM"/>
              </w:rPr>
              <w:t xml:space="preserve"> </w:t>
            </w:r>
            <w:r w:rsidRPr="00F619A4">
              <w:rPr>
                <w:rFonts w:cs="Sylfaen"/>
                <w:lang w:val="hy-AM"/>
              </w:rPr>
              <w:t>արդարադատության</w:t>
            </w:r>
            <w:r w:rsidRPr="00F619A4">
              <w:rPr>
                <w:lang w:val="hy-AM"/>
              </w:rPr>
              <w:t xml:space="preserve"> </w:t>
            </w:r>
            <w:r w:rsidRPr="00F619A4">
              <w:rPr>
                <w:rFonts w:cs="Sylfaen"/>
                <w:lang w:val="hy-AM"/>
              </w:rPr>
              <w:t>ոլորտի</w:t>
            </w:r>
            <w:r w:rsidRPr="00F619A4">
              <w:rPr>
                <w:lang w:val="hy-AM"/>
              </w:rPr>
              <w:t xml:space="preserve"> </w:t>
            </w:r>
            <w:r w:rsidRPr="00F619A4">
              <w:rPr>
                <w:rFonts w:cs="Sylfaen"/>
                <w:lang w:val="hy-AM"/>
              </w:rPr>
              <w:t>բոլոր</w:t>
            </w:r>
            <w:r w:rsidRPr="00F619A4">
              <w:rPr>
                <w:lang w:val="hy-AM"/>
              </w:rPr>
              <w:t xml:space="preserve"> </w:t>
            </w:r>
            <w:r w:rsidRPr="00F619A4">
              <w:rPr>
                <w:rFonts w:cs="Sylfaen"/>
                <w:lang w:val="hy-AM"/>
              </w:rPr>
              <w:t>մարմինների</w:t>
            </w:r>
            <w:r w:rsidRPr="00F619A4">
              <w:rPr>
                <w:lang w:val="hy-AM"/>
              </w:rPr>
              <w:t xml:space="preserve"> </w:t>
            </w:r>
            <w:r w:rsidRPr="00F619A4">
              <w:rPr>
                <w:rFonts w:cs="Sylfaen"/>
                <w:lang w:val="hy-AM"/>
              </w:rPr>
              <w:t>աշխատանքը</w:t>
            </w:r>
            <w:r w:rsidRPr="00F619A4">
              <w:rPr>
                <w:lang w:val="hy-AM"/>
              </w:rPr>
              <w:t xml:space="preserve"> </w:t>
            </w:r>
            <w:r w:rsidRPr="00F619A4">
              <w:rPr>
                <w:rFonts w:cs="Sylfaen"/>
                <w:lang w:val="hy-AM"/>
              </w:rPr>
              <w:t>կարգավորելուն</w:t>
            </w:r>
            <w:r w:rsidRPr="00F619A4">
              <w:rPr>
                <w:lang w:val="hy-AM"/>
              </w:rPr>
              <w:t xml:space="preserve"> , </w:t>
            </w:r>
            <w:r w:rsidRPr="00F619A4">
              <w:rPr>
                <w:rFonts w:cs="Sylfaen"/>
                <w:lang w:val="hy-AM"/>
              </w:rPr>
              <w:t>այն</w:t>
            </w:r>
            <w:r w:rsidRPr="00F619A4">
              <w:rPr>
                <w:lang w:val="hy-AM"/>
              </w:rPr>
              <w:t xml:space="preserve"> </w:t>
            </w:r>
            <w:r w:rsidRPr="00F619A4">
              <w:rPr>
                <w:rFonts w:cs="Sylfaen"/>
                <w:lang w:val="hy-AM"/>
              </w:rPr>
              <w:t>հասանելի</w:t>
            </w:r>
            <w:r w:rsidRPr="00F619A4">
              <w:rPr>
                <w:lang w:val="hy-AM"/>
              </w:rPr>
              <w:t xml:space="preserve"> </w:t>
            </w:r>
            <w:r w:rsidRPr="00F619A4">
              <w:rPr>
                <w:rFonts w:cs="Sylfaen"/>
                <w:lang w:val="hy-AM"/>
              </w:rPr>
              <w:t>կլինի</w:t>
            </w:r>
            <w:r w:rsidRPr="00F619A4">
              <w:rPr>
                <w:lang w:val="hy-AM"/>
              </w:rPr>
              <w:t xml:space="preserve"> </w:t>
            </w:r>
            <w:r w:rsidRPr="00F619A4">
              <w:rPr>
                <w:rFonts w:cs="Sylfaen"/>
                <w:lang w:val="hy-AM"/>
              </w:rPr>
              <w:t>նաև</w:t>
            </w:r>
            <w:r w:rsidRPr="00F619A4">
              <w:rPr>
                <w:lang w:val="hy-AM"/>
              </w:rPr>
              <w:t xml:space="preserve"> </w:t>
            </w:r>
            <w:r w:rsidRPr="00F619A4">
              <w:rPr>
                <w:rFonts w:cs="Sylfaen"/>
                <w:lang w:val="hy-AM"/>
              </w:rPr>
              <w:t>քաղաքացիների</w:t>
            </w:r>
            <w:r w:rsidRPr="00F619A4">
              <w:rPr>
                <w:lang w:val="hy-AM"/>
              </w:rPr>
              <w:t xml:space="preserve"> </w:t>
            </w:r>
            <w:r w:rsidRPr="00F619A4">
              <w:rPr>
                <w:rFonts w:cs="Sylfaen"/>
                <w:lang w:val="hy-AM"/>
              </w:rPr>
              <w:t>համար</w:t>
            </w:r>
            <w:r w:rsidRPr="00F619A4">
              <w:rPr>
                <w:lang w:val="hy-AM"/>
              </w:rPr>
              <w:t xml:space="preserve">, </w:t>
            </w:r>
            <w:r w:rsidRPr="00F619A4">
              <w:rPr>
                <w:rFonts w:cs="Sylfaen"/>
                <w:lang w:val="hy-AM"/>
              </w:rPr>
              <w:t>այսպիսով</w:t>
            </w:r>
            <w:r w:rsidRPr="00F619A4">
              <w:rPr>
                <w:lang w:val="hy-AM"/>
              </w:rPr>
              <w:t xml:space="preserve"> </w:t>
            </w:r>
            <w:r w:rsidRPr="00F619A4">
              <w:rPr>
                <w:rFonts w:cs="Sylfaen"/>
                <w:lang w:val="hy-AM"/>
              </w:rPr>
              <w:t>ապահովելով</w:t>
            </w:r>
            <w:r w:rsidRPr="00F619A4">
              <w:rPr>
                <w:lang w:val="hy-AM"/>
              </w:rPr>
              <w:t xml:space="preserve"> </w:t>
            </w:r>
            <w:r w:rsidRPr="00F619A4">
              <w:rPr>
                <w:rFonts w:cs="Sylfaen"/>
                <w:lang w:val="hy-AM"/>
              </w:rPr>
              <w:t>պետություն</w:t>
            </w:r>
            <w:r w:rsidRPr="00F619A4">
              <w:rPr>
                <w:lang w:val="hy-AM"/>
              </w:rPr>
              <w:t xml:space="preserve"> </w:t>
            </w:r>
            <w:r w:rsidRPr="00F619A4">
              <w:rPr>
                <w:rFonts w:cs="Sylfaen"/>
                <w:lang w:val="hy-AM"/>
              </w:rPr>
              <w:t>քաղաքացի</w:t>
            </w:r>
            <w:r w:rsidRPr="00F619A4">
              <w:rPr>
                <w:lang w:val="hy-AM"/>
              </w:rPr>
              <w:t xml:space="preserve"> </w:t>
            </w:r>
            <w:r w:rsidRPr="00F619A4">
              <w:rPr>
                <w:rFonts w:cs="Sylfaen"/>
                <w:lang w:val="hy-AM"/>
              </w:rPr>
              <w:t>մատչելի</w:t>
            </w:r>
            <w:r w:rsidRPr="00F619A4">
              <w:rPr>
                <w:lang w:val="hy-AM"/>
              </w:rPr>
              <w:t xml:space="preserve"> </w:t>
            </w:r>
            <w:r w:rsidRPr="00F619A4">
              <w:rPr>
                <w:rFonts w:cs="Sylfaen"/>
                <w:lang w:val="hy-AM"/>
              </w:rPr>
              <w:t>կապը</w:t>
            </w:r>
            <w:r w:rsidRPr="00F619A4">
              <w:rPr>
                <w:lang w:val="hy-AM"/>
              </w:rPr>
              <w:t xml:space="preserve">: </w:t>
            </w:r>
          </w:p>
          <w:p w:rsidR="001F6D5D" w:rsidRPr="00F619A4" w:rsidRDefault="001F6D5D" w:rsidP="00277183">
            <w:pPr>
              <w:rPr>
                <w:b/>
                <w:lang w:val="hy-AM"/>
              </w:rPr>
            </w:pPr>
            <w:r w:rsidRPr="00F619A4">
              <w:rPr>
                <w:rFonts w:cs="Sylfaen"/>
                <w:b/>
                <w:lang w:val="hy-AM"/>
              </w:rPr>
              <w:t>2. Միջոցառման</w:t>
            </w:r>
            <w:r w:rsidRPr="00F619A4">
              <w:rPr>
                <w:b/>
                <w:lang w:val="hy-AM"/>
              </w:rPr>
              <w:t xml:space="preserve"> </w:t>
            </w:r>
            <w:r w:rsidRPr="00F619A4">
              <w:rPr>
                <w:rFonts w:cs="Sylfaen"/>
                <w:b/>
                <w:lang w:val="hy-AM"/>
              </w:rPr>
              <w:t>իրակացումից</w:t>
            </w:r>
            <w:r w:rsidRPr="00F619A4">
              <w:rPr>
                <w:b/>
                <w:lang w:val="hy-AM"/>
              </w:rPr>
              <w:t xml:space="preserve"> </w:t>
            </w:r>
            <w:r w:rsidRPr="00F619A4">
              <w:rPr>
                <w:rFonts w:cs="Sylfaen"/>
                <w:b/>
                <w:lang w:val="hy-AM"/>
              </w:rPr>
              <w:t>ակնկալվող</w:t>
            </w:r>
            <w:r w:rsidRPr="00F619A4">
              <w:rPr>
                <w:b/>
                <w:lang w:val="hy-AM"/>
              </w:rPr>
              <w:t xml:space="preserve"> </w:t>
            </w:r>
            <w:r w:rsidRPr="00F619A4">
              <w:rPr>
                <w:rFonts w:cs="Sylfaen"/>
                <w:b/>
                <w:lang w:val="hy-AM"/>
              </w:rPr>
              <w:t>արդյունքը</w:t>
            </w:r>
            <w:r w:rsidRPr="00F619A4">
              <w:rPr>
                <w:b/>
                <w:lang w:val="hy-AM"/>
              </w:rPr>
              <w:t xml:space="preserve"> </w:t>
            </w:r>
          </w:p>
          <w:p w:rsidR="001F6D5D" w:rsidRPr="00F619A4" w:rsidRDefault="001F6D5D" w:rsidP="001F6D5D">
            <w:pPr>
              <w:pStyle w:val="ListParagraph"/>
              <w:numPr>
                <w:ilvl w:val="0"/>
                <w:numId w:val="511"/>
              </w:numPr>
              <w:spacing w:after="200" w:line="276" w:lineRule="auto"/>
              <w:rPr>
                <w:rFonts w:cs="Sylfaen"/>
                <w:lang w:val="hy-AM"/>
              </w:rPr>
            </w:pPr>
            <w:r w:rsidRPr="00F619A4">
              <w:rPr>
                <w:rFonts w:cs="Sylfaen"/>
                <w:lang w:val="hy-AM"/>
              </w:rPr>
              <w:t>Ամբողջովին</w:t>
            </w:r>
            <w:r w:rsidRPr="00F619A4">
              <w:rPr>
                <w:lang w:val="hy-AM"/>
              </w:rPr>
              <w:t xml:space="preserve"> </w:t>
            </w:r>
            <w:r w:rsidRPr="00F619A4">
              <w:rPr>
                <w:rFonts w:cs="Sylfaen"/>
                <w:lang w:val="hy-AM"/>
              </w:rPr>
              <w:t>էլեկտրոնային</w:t>
            </w:r>
            <w:r w:rsidRPr="00F619A4">
              <w:rPr>
                <w:lang w:val="hy-AM"/>
              </w:rPr>
              <w:t xml:space="preserve"> </w:t>
            </w:r>
            <w:r w:rsidRPr="00F619A4">
              <w:rPr>
                <w:rFonts w:cs="Sylfaen"/>
                <w:lang w:val="hy-AM"/>
              </w:rPr>
              <w:t>փաստաթղթաշրջանառություն</w:t>
            </w:r>
          </w:p>
          <w:p w:rsidR="001F6D5D" w:rsidRPr="00F619A4" w:rsidRDefault="001F6D5D" w:rsidP="001F6D5D">
            <w:pPr>
              <w:pStyle w:val="ListParagraph"/>
              <w:numPr>
                <w:ilvl w:val="0"/>
                <w:numId w:val="511"/>
              </w:numPr>
              <w:spacing w:after="200" w:line="276" w:lineRule="auto"/>
              <w:rPr>
                <w:rFonts w:cs="Sylfaen"/>
                <w:lang w:val="hy-AM"/>
              </w:rPr>
            </w:pPr>
            <w:r w:rsidRPr="00F619A4">
              <w:rPr>
                <w:rFonts w:cs="Sylfaen"/>
                <w:lang w:val="hy-AM"/>
              </w:rPr>
              <w:t>Ոլորտի</w:t>
            </w:r>
            <w:r w:rsidRPr="00F619A4">
              <w:rPr>
                <w:lang w:val="hy-AM"/>
              </w:rPr>
              <w:t xml:space="preserve"> </w:t>
            </w:r>
            <w:r w:rsidRPr="00F619A4">
              <w:rPr>
                <w:rFonts w:cs="Sylfaen"/>
                <w:lang w:val="hy-AM"/>
              </w:rPr>
              <w:t>մոնիտորինգի</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գնահատման</w:t>
            </w:r>
            <w:r w:rsidRPr="00F619A4">
              <w:rPr>
                <w:lang w:val="hy-AM"/>
              </w:rPr>
              <w:t xml:space="preserve"> </w:t>
            </w:r>
            <w:r w:rsidRPr="00F619A4">
              <w:rPr>
                <w:rFonts w:cs="Sylfaen"/>
                <w:lang w:val="hy-AM"/>
              </w:rPr>
              <w:t>հիման</w:t>
            </w:r>
            <w:r w:rsidRPr="00F619A4">
              <w:rPr>
                <w:lang w:val="hy-AM"/>
              </w:rPr>
              <w:t xml:space="preserve"> </w:t>
            </w:r>
            <w:r w:rsidRPr="00F619A4">
              <w:rPr>
                <w:rFonts w:cs="Sylfaen"/>
                <w:lang w:val="hy-AM"/>
              </w:rPr>
              <w:t>վրա</w:t>
            </w:r>
            <w:r w:rsidRPr="00F619A4">
              <w:rPr>
                <w:lang w:val="hy-AM"/>
              </w:rPr>
              <w:t xml:space="preserve"> </w:t>
            </w:r>
            <w:r w:rsidRPr="00F619A4">
              <w:rPr>
                <w:rFonts w:cs="Sylfaen"/>
                <w:lang w:val="hy-AM"/>
              </w:rPr>
              <w:t>տվյալների</w:t>
            </w:r>
            <w:r w:rsidRPr="00F619A4">
              <w:rPr>
                <w:lang w:val="hy-AM"/>
              </w:rPr>
              <w:t xml:space="preserve"> </w:t>
            </w:r>
            <w:r w:rsidRPr="00F619A4">
              <w:rPr>
                <w:rFonts w:cs="Sylfaen"/>
                <w:lang w:val="hy-AM"/>
              </w:rPr>
              <w:t>ճշգրիտ</w:t>
            </w:r>
            <w:r w:rsidRPr="00F619A4">
              <w:rPr>
                <w:lang w:val="hy-AM"/>
              </w:rPr>
              <w:t xml:space="preserve"> </w:t>
            </w:r>
            <w:r w:rsidRPr="00F619A4">
              <w:rPr>
                <w:rFonts w:cs="Sylfaen"/>
                <w:lang w:val="hy-AM"/>
              </w:rPr>
              <w:t>վերլուծություն</w:t>
            </w:r>
            <w:r w:rsidRPr="00F619A4">
              <w:rPr>
                <w:lang w:val="hy-AM"/>
              </w:rPr>
              <w:t xml:space="preserve"> </w:t>
            </w:r>
          </w:p>
          <w:p w:rsidR="001F6D5D" w:rsidRPr="00F619A4" w:rsidRDefault="001F6D5D" w:rsidP="001F6D5D">
            <w:pPr>
              <w:pStyle w:val="ListParagraph"/>
              <w:numPr>
                <w:ilvl w:val="0"/>
                <w:numId w:val="511"/>
              </w:numPr>
              <w:spacing w:after="200" w:line="276" w:lineRule="auto"/>
              <w:rPr>
                <w:rFonts w:cs="Sylfaen"/>
                <w:lang w:val="hy-AM"/>
              </w:rPr>
            </w:pPr>
            <w:r w:rsidRPr="00F619A4">
              <w:rPr>
                <w:rFonts w:cs="Sylfaen"/>
                <w:lang w:val="hy-AM"/>
              </w:rPr>
              <w:t>Ոլորտային</w:t>
            </w:r>
            <w:r w:rsidRPr="00F619A4">
              <w:rPr>
                <w:lang w:val="hy-AM"/>
              </w:rPr>
              <w:t xml:space="preserve"> </w:t>
            </w:r>
            <w:r w:rsidRPr="00F619A4">
              <w:rPr>
                <w:rFonts w:cs="Sylfaen"/>
                <w:lang w:val="hy-AM"/>
              </w:rPr>
              <w:t>լայն</w:t>
            </w:r>
            <w:r w:rsidRPr="00F619A4">
              <w:rPr>
                <w:lang w:val="hy-AM"/>
              </w:rPr>
              <w:t xml:space="preserve"> </w:t>
            </w:r>
            <w:r w:rsidRPr="00F619A4">
              <w:rPr>
                <w:rFonts w:cs="Sylfaen"/>
                <w:lang w:val="hy-AM"/>
              </w:rPr>
              <w:t>համագործակցություն</w:t>
            </w:r>
            <w:r w:rsidRPr="00F619A4">
              <w:rPr>
                <w:lang w:val="hy-AM"/>
              </w:rPr>
              <w:t xml:space="preserve">, </w:t>
            </w:r>
            <w:r w:rsidRPr="00F619A4">
              <w:rPr>
                <w:rFonts w:cs="Sylfaen"/>
                <w:lang w:val="hy-AM"/>
              </w:rPr>
              <w:t>գործերի</w:t>
            </w:r>
            <w:r w:rsidRPr="00F619A4">
              <w:rPr>
                <w:lang w:val="hy-AM"/>
              </w:rPr>
              <w:t xml:space="preserve"> </w:t>
            </w:r>
            <w:r w:rsidRPr="00F619A4">
              <w:rPr>
                <w:rFonts w:cs="Sylfaen"/>
                <w:lang w:val="hy-AM"/>
              </w:rPr>
              <w:t>ժամանակին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կազմակերպված</w:t>
            </w:r>
            <w:r w:rsidRPr="00F619A4">
              <w:rPr>
                <w:lang w:val="hy-AM"/>
              </w:rPr>
              <w:t xml:space="preserve"> </w:t>
            </w:r>
            <w:r w:rsidRPr="00F619A4">
              <w:rPr>
                <w:rFonts w:cs="Sylfaen"/>
                <w:lang w:val="hy-AM"/>
              </w:rPr>
              <w:t>փոխանցում</w:t>
            </w:r>
            <w:r w:rsidRPr="00F619A4">
              <w:rPr>
                <w:lang w:val="hy-AM"/>
              </w:rPr>
              <w:t xml:space="preserve"> </w:t>
            </w:r>
          </w:p>
          <w:p w:rsidR="001F6D5D" w:rsidRPr="00F619A4" w:rsidRDefault="001F6D5D" w:rsidP="001F6D5D">
            <w:pPr>
              <w:pStyle w:val="ListParagraph"/>
              <w:numPr>
                <w:ilvl w:val="0"/>
                <w:numId w:val="511"/>
              </w:numPr>
              <w:spacing w:after="200" w:line="276" w:lineRule="auto"/>
              <w:rPr>
                <w:rFonts w:cs="Sylfaen"/>
                <w:lang w:val="hy-AM"/>
              </w:rPr>
            </w:pPr>
            <w:r w:rsidRPr="00F619A4">
              <w:rPr>
                <w:rFonts w:cs="Sylfaen"/>
                <w:lang w:val="hy-AM"/>
              </w:rPr>
              <w:t>Մարդկային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այլ</w:t>
            </w:r>
            <w:r w:rsidRPr="00F619A4">
              <w:rPr>
                <w:lang w:val="hy-AM"/>
              </w:rPr>
              <w:t xml:space="preserve"> </w:t>
            </w:r>
            <w:r w:rsidRPr="00F619A4">
              <w:rPr>
                <w:rFonts w:cs="Sylfaen"/>
                <w:lang w:val="hy-AM"/>
              </w:rPr>
              <w:t>ռեսուրսների</w:t>
            </w:r>
            <w:r w:rsidRPr="00F619A4">
              <w:rPr>
                <w:lang w:val="hy-AM"/>
              </w:rPr>
              <w:t xml:space="preserve"> </w:t>
            </w:r>
            <w:r w:rsidRPr="00F619A4">
              <w:rPr>
                <w:rFonts w:cs="Sylfaen"/>
                <w:lang w:val="hy-AM"/>
              </w:rPr>
              <w:t>կառավարման</w:t>
            </w:r>
            <w:r w:rsidRPr="00F619A4">
              <w:rPr>
                <w:lang w:val="hy-AM"/>
              </w:rPr>
              <w:t xml:space="preserve"> </w:t>
            </w:r>
            <w:r w:rsidRPr="00F619A4">
              <w:rPr>
                <w:rFonts w:cs="Sylfaen"/>
                <w:lang w:val="hy-AM"/>
              </w:rPr>
              <w:t>արդյունավետություն</w:t>
            </w:r>
            <w:r w:rsidRPr="00F619A4">
              <w:rPr>
                <w:lang w:val="hy-AM"/>
              </w:rPr>
              <w:t xml:space="preserve"> </w:t>
            </w:r>
          </w:p>
          <w:p w:rsidR="001F6D5D" w:rsidRPr="00F619A4" w:rsidRDefault="001F6D5D" w:rsidP="001F6D5D">
            <w:pPr>
              <w:pStyle w:val="ListParagraph"/>
              <w:numPr>
                <w:ilvl w:val="0"/>
                <w:numId w:val="511"/>
              </w:numPr>
              <w:spacing w:after="200" w:line="276" w:lineRule="auto"/>
              <w:rPr>
                <w:rFonts w:cs="Sylfaen"/>
                <w:lang w:val="hy-AM"/>
              </w:rPr>
            </w:pPr>
            <w:r w:rsidRPr="00F619A4">
              <w:rPr>
                <w:rFonts w:cs="Sylfaen"/>
                <w:lang w:val="hy-AM"/>
              </w:rPr>
              <w:t>Ոլորտի</w:t>
            </w:r>
            <w:r w:rsidRPr="00F619A4">
              <w:rPr>
                <w:lang w:val="hy-AM"/>
              </w:rPr>
              <w:t xml:space="preserve"> </w:t>
            </w:r>
            <w:r w:rsidRPr="00F619A4">
              <w:rPr>
                <w:rFonts w:cs="Sylfaen"/>
                <w:lang w:val="hy-AM"/>
              </w:rPr>
              <w:t>արդիականացում</w:t>
            </w:r>
            <w:r w:rsidRPr="00F619A4">
              <w:rPr>
                <w:lang w:val="hy-AM"/>
              </w:rPr>
              <w:t xml:space="preserve"> </w:t>
            </w:r>
          </w:p>
          <w:p w:rsidR="001F6D5D" w:rsidRPr="00F619A4" w:rsidRDefault="001F6D5D" w:rsidP="001F6D5D">
            <w:pPr>
              <w:pStyle w:val="ListParagraph"/>
              <w:numPr>
                <w:ilvl w:val="0"/>
                <w:numId w:val="511"/>
              </w:numPr>
              <w:spacing w:after="200" w:line="276" w:lineRule="auto"/>
              <w:rPr>
                <w:rFonts w:cs="Sylfaen"/>
                <w:lang w:val="hy-AM"/>
              </w:rPr>
            </w:pPr>
            <w:r w:rsidRPr="00F619A4">
              <w:rPr>
                <w:rFonts w:cs="Sylfaen"/>
                <w:lang w:val="hy-AM"/>
              </w:rPr>
              <w:t>Կոռուպցիոն</w:t>
            </w:r>
            <w:r w:rsidRPr="00F619A4">
              <w:rPr>
                <w:lang w:val="hy-AM"/>
              </w:rPr>
              <w:t xml:space="preserve"> </w:t>
            </w:r>
            <w:r w:rsidRPr="00F619A4">
              <w:rPr>
                <w:rFonts w:cs="Sylfaen"/>
                <w:lang w:val="hy-AM"/>
              </w:rPr>
              <w:t>ռիսկերի</w:t>
            </w:r>
            <w:r w:rsidRPr="00F619A4">
              <w:rPr>
                <w:lang w:val="hy-AM"/>
              </w:rPr>
              <w:t xml:space="preserve"> </w:t>
            </w:r>
            <w:r w:rsidRPr="00F619A4">
              <w:rPr>
                <w:rFonts w:cs="Sylfaen"/>
                <w:lang w:val="hy-AM"/>
              </w:rPr>
              <w:t>նվազեցում</w:t>
            </w:r>
          </w:p>
          <w:p w:rsidR="001F6D5D" w:rsidRPr="00F619A4" w:rsidRDefault="001F6D5D" w:rsidP="001F6D5D">
            <w:pPr>
              <w:pStyle w:val="ListParagraph"/>
              <w:numPr>
                <w:ilvl w:val="0"/>
                <w:numId w:val="511"/>
              </w:numPr>
              <w:spacing w:after="200" w:line="276" w:lineRule="auto"/>
              <w:rPr>
                <w:rFonts w:cs="Sylfaen"/>
                <w:lang w:val="hy-AM"/>
              </w:rPr>
            </w:pPr>
            <w:r w:rsidRPr="00F619A4">
              <w:rPr>
                <w:rFonts w:cs="Sylfaen"/>
                <w:lang w:val="hy-AM"/>
              </w:rPr>
              <w:t>Ծառայությունների</w:t>
            </w:r>
            <w:r w:rsidRPr="00F619A4">
              <w:rPr>
                <w:lang w:val="hy-AM"/>
              </w:rPr>
              <w:t xml:space="preserve"> </w:t>
            </w:r>
            <w:r w:rsidRPr="00F619A4">
              <w:rPr>
                <w:rFonts w:cs="Sylfaen"/>
                <w:lang w:val="hy-AM"/>
              </w:rPr>
              <w:t>մատուցման</w:t>
            </w:r>
            <w:r w:rsidRPr="00F619A4">
              <w:rPr>
                <w:lang w:val="hy-AM"/>
              </w:rPr>
              <w:t xml:space="preserve"> </w:t>
            </w:r>
            <w:r w:rsidRPr="00F619A4">
              <w:rPr>
                <w:rFonts w:cs="Sylfaen"/>
                <w:lang w:val="hy-AM"/>
              </w:rPr>
              <w:t>որակի</w:t>
            </w:r>
            <w:r w:rsidRPr="00F619A4">
              <w:rPr>
                <w:lang w:val="hy-AM"/>
              </w:rPr>
              <w:t xml:space="preserve"> </w:t>
            </w:r>
            <w:r w:rsidRPr="00F619A4">
              <w:rPr>
                <w:rFonts w:cs="Sylfaen"/>
                <w:lang w:val="hy-AM"/>
              </w:rPr>
              <w:t>բարձրացում</w:t>
            </w:r>
          </w:p>
          <w:p w:rsidR="001F6D5D" w:rsidRPr="00F619A4" w:rsidRDefault="001F6D5D" w:rsidP="001F6D5D">
            <w:pPr>
              <w:pStyle w:val="ListParagraph"/>
              <w:numPr>
                <w:ilvl w:val="0"/>
                <w:numId w:val="511"/>
              </w:numPr>
              <w:spacing w:after="200" w:line="276" w:lineRule="auto"/>
              <w:rPr>
                <w:rFonts w:cs="Sylfaen"/>
                <w:lang w:val="hy-AM"/>
              </w:rPr>
            </w:pPr>
            <w:r w:rsidRPr="00F619A4">
              <w:rPr>
                <w:rFonts w:cs="Sylfaen"/>
                <w:lang w:val="hy-AM"/>
              </w:rPr>
              <w:t>Թվային</w:t>
            </w:r>
            <w:r w:rsidRPr="00F619A4">
              <w:rPr>
                <w:lang w:val="hy-AM"/>
              </w:rPr>
              <w:t xml:space="preserve"> </w:t>
            </w:r>
            <w:r w:rsidRPr="00F619A4">
              <w:rPr>
                <w:rFonts w:cs="Sylfaen"/>
                <w:lang w:val="hy-AM"/>
              </w:rPr>
              <w:t>արխիվների</w:t>
            </w:r>
            <w:r w:rsidRPr="00F619A4">
              <w:rPr>
                <w:lang w:val="hy-AM"/>
              </w:rPr>
              <w:t xml:space="preserve"> </w:t>
            </w:r>
            <w:r w:rsidRPr="00F619A4">
              <w:rPr>
                <w:rFonts w:cs="Sylfaen"/>
                <w:lang w:val="hy-AM"/>
              </w:rPr>
              <w:t>ստեղծումը</w:t>
            </w:r>
          </w:p>
          <w:p w:rsidR="001F6D5D" w:rsidRPr="00F619A4" w:rsidRDefault="001F6D5D" w:rsidP="00277183">
            <w:pPr>
              <w:rPr>
                <w:lang w:val="hy-AM"/>
              </w:rPr>
            </w:pP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54</w:t>
            </w:r>
          </w:p>
        </w:tc>
        <w:tc>
          <w:tcPr>
            <w:tcW w:w="10878" w:type="dxa"/>
          </w:tcPr>
          <w:p w:rsidR="001F6D5D" w:rsidRPr="00F619A4" w:rsidRDefault="001F6D5D" w:rsidP="00277183">
            <w:pPr>
              <w:ind w:firstLine="375"/>
              <w:jc w:val="center"/>
              <w:rPr>
                <w:b/>
                <w:lang w:val="hy-AM"/>
              </w:rPr>
            </w:pPr>
            <w:r w:rsidRPr="00F619A4">
              <w:rPr>
                <w:b/>
                <w:u w:val="single"/>
                <w:lang w:val="hy-AM"/>
              </w:rPr>
              <w:t>ԽՈՇՏԱՆԳՈՒՄՆԵՐԻ ԱՆՊԱՏԺԵԼԻՈՒԹՅԱՆ ԴԵՄ ՊԱՅՔԱՐԻ ԻՐԱՎԱԿԱՆ ՀԻՄՔԵՐԻ ԱՄՐԱՊՆԴՈՒՄ</w:t>
            </w:r>
            <w:r w:rsidRPr="00F619A4">
              <w:rPr>
                <w:b/>
                <w:lang w:val="hy-AM"/>
              </w:rPr>
              <w:t xml:space="preserve"> </w:t>
            </w:r>
          </w:p>
          <w:p w:rsidR="001F6D5D" w:rsidRPr="00F619A4" w:rsidRDefault="001F6D5D" w:rsidP="00277183">
            <w:pPr>
              <w:jc w:val="both"/>
              <w:rPr>
                <w:lang w:val="hy-AM"/>
              </w:rPr>
            </w:pPr>
            <w:r w:rsidRPr="00F619A4">
              <w:rPr>
                <w:b/>
                <w:lang w:val="hy-AM"/>
              </w:rPr>
              <w:t>1.</w:t>
            </w:r>
            <w:r w:rsidRPr="00F619A4">
              <w:rPr>
                <w:b/>
                <w:lang w:val="hy-AM"/>
              </w:rPr>
              <w:tab/>
            </w:r>
            <w:r w:rsidRPr="00F619A4">
              <w:rPr>
                <w:rFonts w:cs="Sylfaen"/>
                <w:b/>
                <w:lang w:val="hy-AM"/>
              </w:rPr>
              <w:t>Միջոցառումների</w:t>
            </w:r>
            <w:r w:rsidRPr="00F619A4">
              <w:rPr>
                <w:b/>
                <w:lang w:val="hy-AM"/>
              </w:rPr>
              <w:t xml:space="preserve"> </w:t>
            </w:r>
            <w:r w:rsidRPr="00F619A4">
              <w:rPr>
                <w:rFonts w:cs="Sylfaen"/>
                <w:b/>
                <w:lang w:val="hy-AM"/>
              </w:rPr>
              <w:t>իրականացման</w:t>
            </w:r>
            <w:r w:rsidRPr="00F619A4">
              <w:rPr>
                <w:b/>
                <w:lang w:val="hy-AM"/>
              </w:rPr>
              <w:t xml:space="preserve"> </w:t>
            </w:r>
            <w:r w:rsidRPr="00F619A4">
              <w:rPr>
                <w:rFonts w:cs="Sylfaen"/>
                <w:b/>
                <w:lang w:val="hy-AM"/>
              </w:rPr>
              <w:t>անհրաժեշտությունը</w:t>
            </w:r>
            <w:r w:rsidRPr="00F619A4">
              <w:rPr>
                <w:b/>
                <w:lang w:val="hy-AM"/>
              </w:rPr>
              <w:t xml:space="preserve"> </w:t>
            </w:r>
            <w:r w:rsidRPr="00F619A4">
              <w:rPr>
                <w:rFonts w:cs="Sylfaen"/>
                <w:b/>
                <w:lang w:val="hy-AM"/>
              </w:rPr>
              <w:t>և</w:t>
            </w:r>
            <w:r w:rsidRPr="00F619A4">
              <w:rPr>
                <w:b/>
                <w:lang w:val="hy-AM"/>
              </w:rPr>
              <w:t xml:space="preserve"> </w:t>
            </w:r>
            <w:r w:rsidRPr="00F619A4">
              <w:rPr>
                <w:rFonts w:cs="Sylfaen"/>
                <w:b/>
                <w:lang w:val="hy-AM"/>
              </w:rPr>
              <w:t>նպատակը</w:t>
            </w:r>
          </w:p>
          <w:p w:rsidR="001F6D5D" w:rsidRPr="00F619A4" w:rsidRDefault="001F6D5D" w:rsidP="00277183">
            <w:pPr>
              <w:ind w:firstLine="375"/>
              <w:jc w:val="both"/>
              <w:rPr>
                <w:lang w:val="hy-AM"/>
              </w:rPr>
            </w:pPr>
            <w:r w:rsidRPr="00F619A4">
              <w:rPr>
                <w:rFonts w:cs="Sylfaen"/>
                <w:lang w:val="hy-AM"/>
              </w:rPr>
              <w:t>Խոշտանգում</w:t>
            </w:r>
            <w:r w:rsidRPr="00F619A4">
              <w:rPr>
                <w:lang w:val="hy-AM"/>
              </w:rPr>
              <w:t xml:space="preserve"> </w:t>
            </w:r>
            <w:r w:rsidRPr="00F619A4">
              <w:rPr>
                <w:rFonts w:cs="Sylfaen"/>
                <w:lang w:val="hy-AM"/>
              </w:rPr>
              <w:t>կատարած</w:t>
            </w:r>
            <w:r w:rsidRPr="00F619A4">
              <w:rPr>
                <w:lang w:val="hy-AM"/>
              </w:rPr>
              <w:t xml:space="preserve"> </w:t>
            </w:r>
            <w:r w:rsidRPr="00F619A4">
              <w:rPr>
                <w:rFonts w:cs="Sylfaen"/>
                <w:lang w:val="hy-AM"/>
              </w:rPr>
              <w:t>անձանց</w:t>
            </w:r>
            <w:r w:rsidRPr="00F619A4">
              <w:rPr>
                <w:lang w:val="hy-AM"/>
              </w:rPr>
              <w:t xml:space="preserve"> </w:t>
            </w:r>
            <w:r w:rsidRPr="00F619A4">
              <w:rPr>
                <w:rFonts w:cs="Sylfaen"/>
                <w:lang w:val="hy-AM"/>
              </w:rPr>
              <w:t>քրեական</w:t>
            </w:r>
            <w:r w:rsidRPr="00F619A4">
              <w:rPr>
                <w:lang w:val="hy-AM"/>
              </w:rPr>
              <w:t xml:space="preserve"> </w:t>
            </w:r>
            <w:r w:rsidRPr="00F619A4">
              <w:rPr>
                <w:rFonts w:cs="Sylfaen"/>
                <w:lang w:val="hy-AM"/>
              </w:rPr>
              <w:t>պատասխանատվությունից</w:t>
            </w:r>
            <w:r w:rsidRPr="00F619A4">
              <w:rPr>
                <w:lang w:val="hy-AM"/>
              </w:rPr>
              <w:t xml:space="preserve"> </w:t>
            </w:r>
            <w:r w:rsidRPr="00F619A4">
              <w:rPr>
                <w:rFonts w:cs="Sylfaen"/>
                <w:lang w:val="hy-AM"/>
              </w:rPr>
              <w:t>կամ</w:t>
            </w:r>
            <w:r w:rsidRPr="00F619A4">
              <w:rPr>
                <w:lang w:val="hy-AM"/>
              </w:rPr>
              <w:t xml:space="preserve"> </w:t>
            </w:r>
            <w:r w:rsidRPr="00F619A4">
              <w:rPr>
                <w:rFonts w:cs="Sylfaen"/>
                <w:lang w:val="hy-AM"/>
              </w:rPr>
              <w:t>պատժից</w:t>
            </w:r>
            <w:r w:rsidRPr="00F619A4">
              <w:rPr>
                <w:lang w:val="hy-AM"/>
              </w:rPr>
              <w:t xml:space="preserve"> </w:t>
            </w:r>
            <w:r w:rsidRPr="00F619A4">
              <w:rPr>
                <w:rFonts w:cs="Sylfaen"/>
                <w:lang w:val="hy-AM"/>
              </w:rPr>
              <w:t>վաղեմության</w:t>
            </w:r>
            <w:r w:rsidRPr="00F619A4">
              <w:rPr>
                <w:lang w:val="hy-AM"/>
              </w:rPr>
              <w:t xml:space="preserve"> </w:t>
            </w:r>
            <w:r w:rsidRPr="00F619A4">
              <w:rPr>
                <w:rFonts w:cs="Sylfaen"/>
                <w:lang w:val="hy-AM"/>
              </w:rPr>
              <w:t>ժամկետներն</w:t>
            </w:r>
            <w:r w:rsidRPr="00F619A4">
              <w:rPr>
                <w:lang w:val="hy-AM"/>
              </w:rPr>
              <w:t xml:space="preserve"> </w:t>
            </w:r>
            <w:r w:rsidRPr="00F619A4">
              <w:rPr>
                <w:rFonts w:cs="Sylfaen"/>
                <w:lang w:val="hy-AM"/>
              </w:rPr>
              <w:t>անցնելու</w:t>
            </w:r>
            <w:r w:rsidRPr="00F619A4">
              <w:rPr>
                <w:lang w:val="hy-AM"/>
              </w:rPr>
              <w:t xml:space="preserve"> </w:t>
            </w:r>
            <w:r w:rsidRPr="00F619A4">
              <w:rPr>
                <w:rFonts w:cs="Sylfaen"/>
                <w:lang w:val="hy-AM"/>
              </w:rPr>
              <w:t>հիմքով</w:t>
            </w:r>
            <w:r w:rsidRPr="00F619A4">
              <w:rPr>
                <w:lang w:val="hy-AM"/>
              </w:rPr>
              <w:t xml:space="preserve"> </w:t>
            </w:r>
            <w:r w:rsidRPr="00F619A4">
              <w:rPr>
                <w:rFonts w:cs="Sylfaen"/>
                <w:lang w:val="hy-AM"/>
              </w:rPr>
              <w:t>ազատելու</w:t>
            </w:r>
            <w:r w:rsidRPr="00F619A4">
              <w:rPr>
                <w:lang w:val="hy-AM"/>
              </w:rPr>
              <w:t xml:space="preserve">, </w:t>
            </w:r>
            <w:r w:rsidRPr="00F619A4">
              <w:rPr>
                <w:rFonts w:cs="Sylfaen"/>
                <w:lang w:val="hy-AM"/>
              </w:rPr>
              <w:t>այդ</w:t>
            </w:r>
            <w:r w:rsidRPr="00F619A4">
              <w:rPr>
                <w:lang w:val="hy-AM"/>
              </w:rPr>
              <w:t xml:space="preserve"> </w:t>
            </w:r>
            <w:r w:rsidRPr="00F619A4">
              <w:rPr>
                <w:rFonts w:cs="Sylfaen"/>
                <w:lang w:val="hy-AM"/>
              </w:rPr>
              <w:t>անձանց</w:t>
            </w:r>
            <w:r w:rsidRPr="00F619A4">
              <w:rPr>
                <w:lang w:val="hy-AM"/>
              </w:rPr>
              <w:t xml:space="preserve"> </w:t>
            </w:r>
            <w:r w:rsidRPr="00F619A4">
              <w:rPr>
                <w:rFonts w:cs="Sylfaen"/>
                <w:lang w:val="hy-AM"/>
              </w:rPr>
              <w:t>նկատմամբ</w:t>
            </w:r>
            <w:r w:rsidRPr="00F619A4">
              <w:rPr>
                <w:lang w:val="hy-AM"/>
              </w:rPr>
              <w:t xml:space="preserve"> </w:t>
            </w:r>
            <w:r w:rsidRPr="00F619A4">
              <w:rPr>
                <w:rFonts w:cs="Sylfaen"/>
                <w:lang w:val="hy-AM"/>
              </w:rPr>
              <w:t>համաներում</w:t>
            </w:r>
            <w:r w:rsidRPr="00F619A4">
              <w:rPr>
                <w:lang w:val="hy-AM"/>
              </w:rPr>
              <w:t xml:space="preserve">, </w:t>
            </w:r>
            <w:r w:rsidRPr="00F619A4">
              <w:rPr>
                <w:rFonts w:cs="Sylfaen"/>
                <w:lang w:val="hy-AM"/>
              </w:rPr>
              <w:t>ինչպես</w:t>
            </w:r>
            <w:r w:rsidRPr="00F619A4">
              <w:rPr>
                <w:lang w:val="hy-AM"/>
              </w:rPr>
              <w:t xml:space="preserve"> </w:t>
            </w:r>
            <w:r w:rsidRPr="00F619A4">
              <w:rPr>
                <w:rFonts w:cs="Sylfaen"/>
                <w:lang w:val="hy-AM"/>
              </w:rPr>
              <w:t>նաև</w:t>
            </w:r>
            <w:r w:rsidRPr="00F619A4">
              <w:rPr>
                <w:lang w:val="hy-AM"/>
              </w:rPr>
              <w:t xml:space="preserve"> </w:t>
            </w:r>
            <w:r w:rsidRPr="00F619A4">
              <w:rPr>
                <w:rFonts w:cs="Sylfaen"/>
                <w:lang w:val="hy-AM"/>
              </w:rPr>
              <w:t>այդ</w:t>
            </w:r>
            <w:r w:rsidRPr="00F619A4">
              <w:rPr>
                <w:lang w:val="hy-AM"/>
              </w:rPr>
              <w:t xml:space="preserve"> </w:t>
            </w:r>
            <w:r w:rsidRPr="00F619A4">
              <w:rPr>
                <w:rFonts w:cs="Sylfaen"/>
                <w:lang w:val="hy-AM"/>
              </w:rPr>
              <w:t>արարքի</w:t>
            </w:r>
            <w:r w:rsidRPr="00F619A4">
              <w:rPr>
                <w:lang w:val="hy-AM"/>
              </w:rPr>
              <w:t xml:space="preserve"> </w:t>
            </w:r>
            <w:r w:rsidRPr="00F619A4">
              <w:rPr>
                <w:rFonts w:cs="Sylfaen"/>
                <w:lang w:val="hy-AM"/>
              </w:rPr>
              <w:t>անպատժելիությանը</w:t>
            </w:r>
            <w:r w:rsidRPr="00F619A4">
              <w:rPr>
                <w:lang w:val="hy-AM"/>
              </w:rPr>
              <w:t xml:space="preserve"> </w:t>
            </w:r>
            <w:r w:rsidRPr="00F619A4">
              <w:rPr>
                <w:rFonts w:cs="Sylfaen"/>
                <w:lang w:val="hy-AM"/>
              </w:rPr>
              <w:t>հանգեցնող</w:t>
            </w:r>
            <w:r w:rsidRPr="00F619A4">
              <w:rPr>
                <w:lang w:val="hy-AM"/>
              </w:rPr>
              <w:t xml:space="preserve"> </w:t>
            </w:r>
            <w:r w:rsidRPr="00F619A4">
              <w:rPr>
                <w:rFonts w:cs="Sylfaen"/>
                <w:lang w:val="hy-AM"/>
              </w:rPr>
              <w:t>այլ</w:t>
            </w:r>
            <w:r w:rsidRPr="00F619A4">
              <w:rPr>
                <w:lang w:val="hy-AM"/>
              </w:rPr>
              <w:t xml:space="preserve"> </w:t>
            </w:r>
            <w:r w:rsidRPr="00F619A4">
              <w:rPr>
                <w:rFonts w:cs="Sylfaen"/>
                <w:lang w:val="hy-AM"/>
              </w:rPr>
              <w:t>համարժեք</w:t>
            </w:r>
            <w:r w:rsidRPr="00F619A4">
              <w:rPr>
                <w:lang w:val="hy-AM"/>
              </w:rPr>
              <w:t xml:space="preserve"> </w:t>
            </w:r>
            <w:r w:rsidRPr="00F619A4">
              <w:rPr>
                <w:rFonts w:cs="Sylfaen"/>
                <w:lang w:val="hy-AM"/>
              </w:rPr>
              <w:t>միջոցներ</w:t>
            </w:r>
            <w:r w:rsidRPr="00F619A4">
              <w:rPr>
                <w:lang w:val="hy-AM"/>
              </w:rPr>
              <w:t xml:space="preserve"> </w:t>
            </w:r>
            <w:r w:rsidRPr="00F619A4">
              <w:rPr>
                <w:rFonts w:cs="Sylfaen"/>
                <w:lang w:val="hy-AM"/>
              </w:rPr>
              <w:t>կիրառելու</w:t>
            </w:r>
            <w:r w:rsidRPr="00F619A4">
              <w:rPr>
                <w:lang w:val="hy-AM"/>
              </w:rPr>
              <w:t xml:space="preserve"> </w:t>
            </w:r>
            <w:r w:rsidRPr="00F619A4">
              <w:rPr>
                <w:rFonts w:cs="Sylfaen"/>
                <w:lang w:val="hy-AM"/>
              </w:rPr>
              <w:t>արգելք</w:t>
            </w:r>
            <w:r w:rsidRPr="00F619A4">
              <w:rPr>
                <w:lang w:val="hy-AM"/>
              </w:rPr>
              <w:t xml:space="preserve"> </w:t>
            </w:r>
            <w:r w:rsidRPr="00F619A4">
              <w:rPr>
                <w:rFonts w:cs="Sylfaen"/>
                <w:lang w:val="hy-AM"/>
              </w:rPr>
              <w:t>նախատեսող</w:t>
            </w:r>
            <w:r w:rsidRPr="00F619A4">
              <w:rPr>
                <w:lang w:val="hy-AM"/>
              </w:rPr>
              <w:t xml:space="preserve"> </w:t>
            </w:r>
            <w:r w:rsidRPr="00F619A4">
              <w:rPr>
                <w:rFonts w:cs="Sylfaen"/>
                <w:lang w:val="hy-AM"/>
              </w:rPr>
              <w:t>օրենսդրական</w:t>
            </w:r>
            <w:r w:rsidRPr="00F619A4">
              <w:rPr>
                <w:lang w:val="hy-AM"/>
              </w:rPr>
              <w:t xml:space="preserve"> </w:t>
            </w:r>
            <w:r w:rsidRPr="00F619A4">
              <w:rPr>
                <w:rFonts w:cs="Sylfaen"/>
                <w:lang w:val="hy-AM"/>
              </w:rPr>
              <w:t>հիմքերի</w:t>
            </w:r>
            <w:r w:rsidRPr="00F619A4">
              <w:rPr>
                <w:lang w:val="hy-AM"/>
              </w:rPr>
              <w:t xml:space="preserve"> </w:t>
            </w:r>
            <w:r w:rsidRPr="00F619A4">
              <w:rPr>
                <w:rFonts w:cs="Sylfaen"/>
                <w:lang w:val="hy-AM"/>
              </w:rPr>
              <w:t>ամրապնդման</w:t>
            </w:r>
            <w:r w:rsidRPr="00F619A4">
              <w:rPr>
                <w:lang w:val="hy-AM"/>
              </w:rPr>
              <w:t xml:space="preserve"> </w:t>
            </w:r>
            <w:r w:rsidRPr="00F619A4">
              <w:rPr>
                <w:rFonts w:cs="Sylfaen"/>
                <w:lang w:val="hy-AM"/>
              </w:rPr>
              <w:t>անհրաժեշտությունը</w:t>
            </w:r>
            <w:r w:rsidRPr="00F619A4">
              <w:rPr>
                <w:lang w:val="hy-AM"/>
              </w:rPr>
              <w:t xml:space="preserve"> </w:t>
            </w:r>
            <w:r w:rsidRPr="00F619A4">
              <w:rPr>
                <w:rFonts w:cs="Sylfaen"/>
                <w:lang w:val="hy-AM"/>
              </w:rPr>
              <w:t>բխում</w:t>
            </w:r>
            <w:r w:rsidRPr="00F619A4">
              <w:rPr>
                <w:lang w:val="hy-AM"/>
              </w:rPr>
              <w:t xml:space="preserve"> </w:t>
            </w:r>
            <w:r w:rsidRPr="00F619A4">
              <w:rPr>
                <w:rFonts w:cs="Sylfaen"/>
                <w:lang w:val="hy-AM"/>
              </w:rPr>
              <w:t>է</w:t>
            </w:r>
            <w:r w:rsidRPr="00F619A4">
              <w:rPr>
                <w:lang w:val="hy-AM"/>
              </w:rPr>
              <w:t xml:space="preserve"> </w:t>
            </w:r>
            <w:r w:rsidRPr="00F619A4">
              <w:rPr>
                <w:rFonts w:cs="Sylfaen"/>
                <w:lang w:val="hy-AM"/>
              </w:rPr>
              <w:t>Հայաստանի</w:t>
            </w:r>
            <w:r w:rsidRPr="00F619A4">
              <w:rPr>
                <w:lang w:val="hy-AM"/>
              </w:rPr>
              <w:t xml:space="preserve"> </w:t>
            </w:r>
            <w:r w:rsidRPr="00F619A4">
              <w:rPr>
                <w:rFonts w:cs="Sylfaen"/>
                <w:lang w:val="hy-AM"/>
              </w:rPr>
              <w:t>Հանրապետության</w:t>
            </w:r>
            <w:r w:rsidRPr="00F619A4">
              <w:rPr>
                <w:lang w:val="hy-AM"/>
              </w:rPr>
              <w:t xml:space="preserve"> </w:t>
            </w:r>
            <w:r w:rsidRPr="00F619A4">
              <w:rPr>
                <w:rFonts w:cs="Sylfaen"/>
                <w:lang w:val="hy-AM"/>
              </w:rPr>
              <w:t>ստանձնած</w:t>
            </w:r>
            <w:r w:rsidRPr="00F619A4">
              <w:rPr>
                <w:lang w:val="hy-AM"/>
              </w:rPr>
              <w:t xml:space="preserve"> </w:t>
            </w:r>
            <w:r w:rsidRPr="00F619A4">
              <w:rPr>
                <w:rFonts w:cs="Sylfaen"/>
                <w:lang w:val="hy-AM"/>
              </w:rPr>
              <w:t>միջազգային</w:t>
            </w:r>
            <w:r w:rsidRPr="00F619A4">
              <w:rPr>
                <w:lang w:val="hy-AM"/>
              </w:rPr>
              <w:t xml:space="preserve"> </w:t>
            </w:r>
            <w:r w:rsidRPr="00F619A4">
              <w:rPr>
                <w:rFonts w:cs="Sylfaen"/>
                <w:lang w:val="hy-AM"/>
              </w:rPr>
              <w:t>պարտավորություններից՝</w:t>
            </w:r>
            <w:r w:rsidRPr="00F619A4">
              <w:rPr>
                <w:lang w:val="hy-AM"/>
              </w:rPr>
              <w:t xml:space="preserve"> </w:t>
            </w:r>
            <w:r w:rsidRPr="00F619A4">
              <w:rPr>
                <w:rFonts w:cs="Sylfaen"/>
                <w:lang w:val="hy-AM"/>
              </w:rPr>
              <w:t>նպատակ</w:t>
            </w:r>
            <w:r w:rsidRPr="00F619A4">
              <w:rPr>
                <w:lang w:val="hy-AM"/>
              </w:rPr>
              <w:t xml:space="preserve"> </w:t>
            </w:r>
            <w:r w:rsidRPr="00F619A4">
              <w:rPr>
                <w:rFonts w:cs="Sylfaen"/>
                <w:lang w:val="hy-AM"/>
              </w:rPr>
              <w:t>հետապնդելով</w:t>
            </w:r>
            <w:r w:rsidRPr="00F619A4">
              <w:rPr>
                <w:lang w:val="hy-AM"/>
              </w:rPr>
              <w:t xml:space="preserve"> </w:t>
            </w:r>
            <w:r w:rsidRPr="00F619A4">
              <w:rPr>
                <w:rFonts w:cs="Sylfaen"/>
                <w:lang w:val="hy-AM"/>
              </w:rPr>
              <w:t>երաշխավորել</w:t>
            </w:r>
            <w:r w:rsidRPr="00F619A4">
              <w:rPr>
                <w:lang w:val="hy-AM"/>
              </w:rPr>
              <w:t xml:space="preserve"> </w:t>
            </w:r>
            <w:r w:rsidRPr="00F619A4">
              <w:rPr>
                <w:rFonts w:cs="Sylfaen"/>
                <w:lang w:val="hy-AM"/>
              </w:rPr>
              <w:t>վավերացված</w:t>
            </w:r>
            <w:r w:rsidRPr="00F619A4">
              <w:rPr>
                <w:lang w:val="hy-AM"/>
              </w:rPr>
              <w:t xml:space="preserve"> </w:t>
            </w:r>
            <w:r w:rsidRPr="00F619A4">
              <w:rPr>
                <w:rFonts w:cs="Sylfaen"/>
                <w:lang w:val="hy-AM"/>
              </w:rPr>
              <w:t>միջազգային</w:t>
            </w:r>
            <w:r w:rsidRPr="00F619A4">
              <w:rPr>
                <w:lang w:val="hy-AM"/>
              </w:rPr>
              <w:t xml:space="preserve"> </w:t>
            </w:r>
            <w:r w:rsidRPr="00F619A4">
              <w:rPr>
                <w:rFonts w:cs="Sylfaen"/>
                <w:lang w:val="hy-AM"/>
              </w:rPr>
              <w:t>պայմանագրերով</w:t>
            </w:r>
            <w:r w:rsidRPr="00F619A4">
              <w:rPr>
                <w:lang w:val="hy-AM"/>
              </w:rPr>
              <w:t xml:space="preserve"> </w:t>
            </w:r>
            <w:r w:rsidRPr="00F619A4">
              <w:rPr>
                <w:rFonts w:cs="Sylfaen"/>
                <w:lang w:val="hy-AM"/>
              </w:rPr>
              <w:t>սահմանված</w:t>
            </w:r>
            <w:r w:rsidRPr="00F619A4">
              <w:rPr>
                <w:lang w:val="hy-AM"/>
              </w:rPr>
              <w:t xml:space="preserve"> </w:t>
            </w:r>
            <w:r w:rsidRPr="00F619A4">
              <w:rPr>
                <w:rFonts w:cs="Sylfaen"/>
                <w:lang w:val="hy-AM"/>
              </w:rPr>
              <w:t>կարգավորումների</w:t>
            </w:r>
            <w:r w:rsidRPr="00F619A4">
              <w:rPr>
                <w:lang w:val="hy-AM"/>
              </w:rPr>
              <w:t xml:space="preserve"> </w:t>
            </w:r>
            <w:r w:rsidRPr="00F619A4">
              <w:rPr>
                <w:rFonts w:cs="Sylfaen"/>
                <w:lang w:val="hy-AM"/>
              </w:rPr>
              <w:t>ամբողջական</w:t>
            </w:r>
            <w:r w:rsidRPr="00F619A4">
              <w:rPr>
                <w:lang w:val="hy-AM"/>
              </w:rPr>
              <w:t xml:space="preserve"> </w:t>
            </w:r>
            <w:r w:rsidRPr="00F619A4">
              <w:rPr>
                <w:rFonts w:cs="Sylfaen"/>
                <w:lang w:val="hy-AM"/>
              </w:rPr>
              <w:t>իմպլեմենտացիան</w:t>
            </w:r>
            <w:r w:rsidRPr="00F619A4">
              <w:rPr>
                <w:lang w:val="hy-AM"/>
              </w:rPr>
              <w:t xml:space="preserve"> </w:t>
            </w:r>
            <w:r w:rsidRPr="00F619A4">
              <w:rPr>
                <w:rFonts w:cs="Sylfaen"/>
                <w:lang w:val="hy-AM"/>
              </w:rPr>
              <w:t>ազգային</w:t>
            </w:r>
            <w:r w:rsidRPr="00F619A4">
              <w:rPr>
                <w:lang w:val="hy-AM"/>
              </w:rPr>
              <w:t xml:space="preserve"> </w:t>
            </w:r>
            <w:r w:rsidRPr="00F619A4">
              <w:rPr>
                <w:rFonts w:cs="Sylfaen"/>
                <w:lang w:val="hy-AM"/>
              </w:rPr>
              <w:t>մակարդակում</w:t>
            </w:r>
            <w:r w:rsidRPr="00F619A4">
              <w:rPr>
                <w:lang w:val="hy-AM"/>
              </w:rPr>
              <w:t>:</w:t>
            </w:r>
          </w:p>
          <w:p w:rsidR="001F6D5D" w:rsidRPr="00F619A4" w:rsidRDefault="001F6D5D" w:rsidP="00277183">
            <w:pPr>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ind w:firstLine="720"/>
              <w:jc w:val="both"/>
              <w:rPr>
                <w:lang w:val="hy-AM"/>
              </w:rPr>
            </w:pPr>
            <w:r w:rsidRPr="00F619A4">
              <w:rPr>
                <w:rFonts w:cs="Sylfaen"/>
                <w:lang w:val="hy-AM"/>
              </w:rPr>
              <w:t>Խ</w:t>
            </w:r>
            <w:r w:rsidRPr="00F619A4">
              <w:rPr>
                <w:lang w:val="hy-AM"/>
              </w:rPr>
              <w:t>ոշտանգումների և այլ դաժան, անմարդկային կամ նվաստացնող վերաբերմունքի կամ պատժի արգելքն ամրագրված է մարդու իրավունքների և մարդասիրական իրավունքին առնչվող մի շարք միջազգային պայմանագրերում</w:t>
            </w:r>
            <w:r w:rsidRPr="00F619A4">
              <w:rPr>
                <w:rStyle w:val="FootnoteReference"/>
              </w:rPr>
              <w:footnoteReference w:id="4"/>
            </w:r>
            <w:r w:rsidRPr="00F619A4">
              <w:rPr>
                <w:lang w:val="hy-AM"/>
              </w:rPr>
              <w:t xml:space="preserve"> (որոնց կողմ է հանդիսանում նաև Հայաստանի Հանրապետությունը) և ընկալվում է որպես ընդհանուր միջազգային իրավունքի սկզբունք՝ </w:t>
            </w:r>
            <w:r w:rsidRPr="00F619A4">
              <w:rPr>
                <w:i/>
                <w:lang w:val="hy-AM"/>
              </w:rPr>
              <w:t xml:space="preserve">jus cogens </w:t>
            </w:r>
            <w:r w:rsidRPr="00F619A4">
              <w:rPr>
                <w:lang w:val="hy-AM"/>
              </w:rPr>
              <w:t xml:space="preserve">նորմ, ինչը նշանակում է, որ այն պարտադիր է բոլոր պետությունների համար, եթե նույնիսկ այդ պետությունները չեն վավերացրել որևէ կոնկրետ պայմանագիր: Միջազգային կամ ներպետական որևէ այլ կանոն չի կարող հակասել </w:t>
            </w:r>
            <w:r w:rsidRPr="00F619A4">
              <w:rPr>
                <w:i/>
                <w:lang w:val="hy-AM"/>
              </w:rPr>
              <w:t>jus cogens</w:t>
            </w:r>
            <w:r w:rsidRPr="00F619A4">
              <w:rPr>
                <w:lang w:val="hy-AM"/>
              </w:rPr>
              <w:t xml:space="preserve"> սկզբունքին</w:t>
            </w:r>
            <w:r w:rsidRPr="00F619A4">
              <w:rPr>
                <w:rStyle w:val="FootnoteReference"/>
              </w:rPr>
              <w:footnoteReference w:id="5"/>
            </w:r>
            <w:r w:rsidRPr="00F619A4">
              <w:rPr>
                <w:lang w:val="hy-AM"/>
              </w:rPr>
              <w:t xml:space="preserve">: </w:t>
            </w:r>
          </w:p>
          <w:p w:rsidR="001F6D5D" w:rsidRPr="00F619A4" w:rsidRDefault="001F6D5D" w:rsidP="00277183">
            <w:pPr>
              <w:ind w:firstLine="720"/>
              <w:jc w:val="both"/>
              <w:rPr>
                <w:rFonts w:eastAsia="MS Gothic"/>
                <w:lang w:val="hy-AM"/>
              </w:rPr>
            </w:pPr>
            <w:r w:rsidRPr="00F619A4">
              <w:rPr>
                <w:rFonts w:cs="Sylfaen"/>
                <w:lang w:val="hy-AM"/>
              </w:rPr>
              <w:t>Մ</w:t>
            </w:r>
            <w:r w:rsidRPr="00F619A4">
              <w:rPr>
                <w:lang w:val="hy-AM"/>
              </w:rPr>
              <w:t>իջազգային և տարածաշրջանային փաստաթղթերում</w:t>
            </w:r>
            <w:r w:rsidRPr="00F619A4">
              <w:rPr>
                <w:rStyle w:val="FootnoteReference"/>
              </w:rPr>
              <w:footnoteReference w:id="6"/>
            </w:r>
            <w:r w:rsidRPr="00F619A4">
              <w:rPr>
                <w:lang w:val="hy-AM"/>
              </w:rPr>
              <w:t xml:space="preserve">, դրանց կատարումը երաշխավորող մարմինների ձևավորած իրավական դիրքորոշումներում առանձնակի ուշադրություն է հատկացվում </w:t>
            </w:r>
            <w:r w:rsidRPr="00F619A4">
              <w:rPr>
                <w:b/>
                <w:lang w:val="hy-AM"/>
              </w:rPr>
              <w:t>պաշտոնատար անձանց</w:t>
            </w:r>
            <w:r w:rsidRPr="00F619A4">
              <w:rPr>
                <w:lang w:val="hy-AM"/>
              </w:rPr>
              <w:t xml:space="preserve"> կողմից խոշտանգումների և դաժան վերաբերմունքի խնդրին՝ հատուկ շեշտադրմամբ առ այն, որ ոչ ոք չի կարող միայն իր պաշտոնական դիրքով պայմանավորված հավակնել պատասխանատվությունից ազատվելու արտոնությանը: </w:t>
            </w:r>
            <w:r w:rsidRPr="00F619A4">
              <w:rPr>
                <w:rFonts w:eastAsia="MS Gothic"/>
                <w:lang w:val="hy-AM"/>
              </w:rPr>
              <w:t xml:space="preserve">Վերոնշյալ արարքներ կատարած պաշտոնատար անձանց քրեական պատասխանատվությունից կամ պատժից վաղեմության ժամկետներն անցնելու հիմքով ազատելն, </w:t>
            </w:r>
            <w:r w:rsidRPr="00F619A4">
              <w:rPr>
                <w:lang w:val="hy-AM"/>
              </w:rPr>
              <w:t>այդ անձանց նկատմամբ համաներում, ինչպես նաև այդ արարքի անպատժելիությանը հանգեցնող այլ համարժեք միջոցներ կիրառելն</w:t>
            </w:r>
            <w:r w:rsidRPr="00F619A4">
              <w:rPr>
                <w:rFonts w:eastAsia="MS Gothic"/>
                <w:lang w:val="hy-AM"/>
              </w:rPr>
              <w:t xml:space="preserve"> ուղղակիորեն հանգեցնում է պետության կողմից ստանձնած միջազգային պարտավորությունների խախտմանը: </w:t>
            </w:r>
          </w:p>
          <w:p w:rsidR="001F6D5D" w:rsidRPr="00F619A4" w:rsidRDefault="001F6D5D" w:rsidP="00277183">
            <w:pPr>
              <w:ind w:firstLine="720"/>
              <w:jc w:val="both"/>
              <w:rPr>
                <w:lang w:val="hy-AM"/>
              </w:rPr>
            </w:pPr>
            <w:r w:rsidRPr="00F619A4">
              <w:rPr>
                <w:lang w:val="hy-AM"/>
              </w:rPr>
              <w:t>Համապատասխան նախադեպային իրավունքի ուսումնասիրությունն ու վերլուծությունը նույնպես վկայում է այն մասին, որ նշված հարցի վերաբերյալ հստակ դիրքորոշում ունի նաև Մարդու իրավունքների եվրոպական դատարանը (այսուհետ՝ Եվրոպական դատարան)</w:t>
            </w:r>
            <w:r w:rsidRPr="00F619A4">
              <w:rPr>
                <w:rStyle w:val="FootnoteReference"/>
              </w:rPr>
              <w:footnoteReference w:id="7"/>
            </w:r>
            <w:r w:rsidRPr="00F619A4">
              <w:rPr>
                <w:lang w:val="hy-AM"/>
              </w:rPr>
              <w:t xml:space="preserve">: </w:t>
            </w:r>
          </w:p>
          <w:p w:rsidR="001F6D5D" w:rsidRPr="00F619A4" w:rsidRDefault="001F6D5D" w:rsidP="00277183">
            <w:pPr>
              <w:ind w:firstLine="720"/>
              <w:jc w:val="both"/>
              <w:rPr>
                <w:b/>
                <w:color w:val="000000"/>
                <w:lang w:val="hy-AM"/>
              </w:rPr>
            </w:pPr>
            <w:r w:rsidRPr="00F619A4">
              <w:rPr>
                <w:lang w:val="hy-AM"/>
              </w:rPr>
              <w:t xml:space="preserve">ՀՀ Սահմանադրության 5-րդ հոդվածի համաձայն </w:t>
            </w:r>
            <w:r w:rsidRPr="00F619A4">
              <w:rPr>
                <w:color w:val="000000"/>
                <w:lang w:val="hy-AM"/>
              </w:rPr>
              <w:t xml:space="preserve">Հայաստանի Հանրապետության վավերացրած միջազգային պայմանագրերի և օրենքների նորմերի միջև հակասության դեպքում </w:t>
            </w:r>
            <w:r w:rsidRPr="00F619A4">
              <w:rPr>
                <w:b/>
                <w:color w:val="000000"/>
                <w:lang w:val="hy-AM"/>
              </w:rPr>
              <w:t>կիրառվում են միջազգային պայմանագրերի նորմերը:</w:t>
            </w:r>
          </w:p>
          <w:p w:rsidR="001F6D5D" w:rsidRPr="00F619A4" w:rsidRDefault="001F6D5D" w:rsidP="00277183">
            <w:pPr>
              <w:ind w:firstLine="720"/>
              <w:jc w:val="both"/>
              <w:rPr>
                <w:lang w:val="hy-AM"/>
              </w:rPr>
            </w:pPr>
            <w:r w:rsidRPr="00F619A4">
              <w:rPr>
                <w:lang w:val="hy-AM"/>
              </w:rPr>
              <w:t xml:space="preserve">ՀՀ Սահմանադրության 81-րդ հոդվածի համաձայն հիմնական իրավունքների և ազատությունների վերաբերյալ Սահմանադրությամբ ամրագրված դրույթները մեկնաբանելիս հաշվի է առնվում Հայաստանի Հանրապետության վավերացրած՝ մարդու իրավունքների վերաբերյալ միջազգային պայմանագրերի հիման վրա գործող մարմինների պրակտիկան: </w:t>
            </w:r>
          </w:p>
          <w:p w:rsidR="001F6D5D" w:rsidRPr="00F619A4" w:rsidRDefault="001F6D5D" w:rsidP="00277183">
            <w:pPr>
              <w:shd w:val="clear" w:color="auto" w:fill="FFFFFF"/>
              <w:ind w:left="90" w:firstLine="630"/>
              <w:jc w:val="both"/>
              <w:rPr>
                <w:rFonts w:cs="Sylfaen"/>
                <w:lang w:val="hy-AM"/>
              </w:rPr>
            </w:pPr>
            <w:r w:rsidRPr="00F619A4">
              <w:rPr>
                <w:rFonts w:cs="Calibri"/>
                <w:color w:val="000000"/>
                <w:lang w:val="hy-AM"/>
              </w:rPr>
              <w:t>ՀՀ քրեական օրենսգր</w:t>
            </w:r>
            <w:bookmarkStart w:id="0" w:name="m_-4357073257138619413__ftnref1"/>
            <w:r w:rsidRPr="00F619A4">
              <w:rPr>
                <w:rFonts w:cs="Calibri"/>
                <w:color w:val="000000"/>
                <w:lang w:val="hy-AM"/>
              </w:rPr>
              <w:t>քի</w:t>
            </w:r>
            <w:bookmarkEnd w:id="0"/>
            <w:r w:rsidRPr="00F619A4">
              <w:rPr>
                <w:rFonts w:cs="Calibri"/>
                <w:color w:val="000000"/>
                <w:lang w:val="hy-AM"/>
              </w:rPr>
              <w:t xml:space="preserve"> </w:t>
            </w:r>
            <w:r w:rsidRPr="00F619A4">
              <w:rPr>
                <w:rFonts w:cs="GHEA Grapalat"/>
                <w:color w:val="000000"/>
                <w:lang w:val="hy-AM"/>
              </w:rPr>
              <w:t>75-րդ հոդվածի համաձայն՝ անձն ազատվում է քրեական պատասխանատվությունից, եթե հանցանքն ավարտված համարվելու օրվանից անցել են սույն հոդվածով նախատեսված վաղեմության ժամկետները: ՀՀ քրեական օրենսգրքի 75-րդ հոդվածով նախատեսված վաղեմության ա</w:t>
            </w:r>
            <w:r w:rsidRPr="00F619A4">
              <w:rPr>
                <w:rFonts w:cs="Calibri"/>
                <w:color w:val="000000"/>
                <w:lang w:val="hy-AM"/>
              </w:rPr>
              <w:t>ռավելագույն ժամկետը 15 տարի է:</w:t>
            </w:r>
            <w:r w:rsidRPr="00F619A4">
              <w:rPr>
                <w:rFonts w:cs="Sylfaen"/>
                <w:lang w:val="hy-AM"/>
              </w:rPr>
              <w:t xml:space="preserve"> </w:t>
            </w:r>
          </w:p>
          <w:p w:rsidR="001F6D5D" w:rsidRPr="00F619A4" w:rsidRDefault="001F6D5D" w:rsidP="00277183">
            <w:pPr>
              <w:shd w:val="clear" w:color="auto" w:fill="FFFFFF"/>
              <w:ind w:left="90" w:firstLine="630"/>
              <w:jc w:val="both"/>
              <w:rPr>
                <w:rFonts w:cs="Calibri"/>
                <w:color w:val="000000"/>
                <w:lang w:val="hy-AM"/>
              </w:rPr>
            </w:pPr>
            <w:r w:rsidRPr="00F619A4">
              <w:rPr>
                <w:rFonts w:cs="Sylfaen"/>
                <w:lang w:val="hy-AM"/>
              </w:rPr>
              <w:t xml:space="preserve">ՀՀ քրեական օրենսգրքի 81-րդ հոդվածի համաձայն՝ անձն ազատվում է </w:t>
            </w:r>
            <w:r w:rsidRPr="00F619A4">
              <w:rPr>
                <w:rFonts w:cs="Calibri"/>
                <w:color w:val="000000"/>
                <w:lang w:val="hy-AM"/>
              </w:rPr>
              <w:t>պատժից մեղադրական դատավճռի վաղեմության ժամկետն անցնելու հետևանքով: Սույն</w:t>
            </w:r>
            <w:r w:rsidRPr="00F619A4">
              <w:rPr>
                <w:rFonts w:cs="GHEA Grapalat"/>
                <w:color w:val="000000"/>
                <w:lang w:val="hy-AM"/>
              </w:rPr>
              <w:t xml:space="preserve"> հոդվածով նախատեսված վաղեմության ա</w:t>
            </w:r>
            <w:r w:rsidRPr="00F619A4">
              <w:rPr>
                <w:rFonts w:cs="Calibri"/>
                <w:color w:val="000000"/>
                <w:lang w:val="hy-AM"/>
              </w:rPr>
              <w:t>ռավելագույն ժամկետը կրկին 15 տարի է:</w:t>
            </w:r>
          </w:p>
          <w:p w:rsidR="001F6D5D" w:rsidRPr="00F619A4" w:rsidRDefault="001F6D5D" w:rsidP="00277183">
            <w:pPr>
              <w:shd w:val="clear" w:color="auto" w:fill="FFFFFF"/>
              <w:ind w:left="90" w:firstLine="630"/>
              <w:jc w:val="both"/>
              <w:rPr>
                <w:rFonts w:cs="Calibri"/>
                <w:color w:val="000000"/>
                <w:lang w:val="hy-AM"/>
              </w:rPr>
            </w:pPr>
            <w:r w:rsidRPr="00F619A4">
              <w:rPr>
                <w:rFonts w:cs="Calibri"/>
                <w:color w:val="000000"/>
                <w:lang w:val="hy-AM"/>
              </w:rPr>
              <w:t>Քրեադատավարական օրենքը (35-րդ հոդվածի 1-ին մասի 6-րդ կետ) վաղեմության ժամկետն անցնելը դիտում է որպես քրեական գործի վարույթը և քրեական հետապնդումը բացառող հանգամանք` սահմանելով, որ քրեական գործ չի կարող հարուցվել և քրեական հետապնդում չի կարող իրականացվել, իսկ հարուցված քրեական գործի վարույթը ենթակա է կարճման, եթե անցել են վաղեմության ժամկետները:</w:t>
            </w:r>
          </w:p>
          <w:p w:rsidR="001F6D5D" w:rsidRPr="00F619A4" w:rsidRDefault="001F6D5D" w:rsidP="00277183">
            <w:pPr>
              <w:shd w:val="clear" w:color="auto" w:fill="FFFFFF"/>
              <w:ind w:left="90" w:firstLine="630"/>
              <w:jc w:val="both"/>
              <w:rPr>
                <w:rFonts w:cs="Calibri"/>
                <w:color w:val="000000"/>
                <w:lang w:val="hy-AM"/>
              </w:rPr>
            </w:pPr>
            <w:r w:rsidRPr="00F619A4">
              <w:rPr>
                <w:rFonts w:cs="Calibri"/>
                <w:color w:val="000000"/>
                <w:lang w:val="hy-AM"/>
              </w:rPr>
              <w:t>Գործող օրենսդրությամբ խոշտանգման հանցակազմի նկատմամբ վաղեմության ժամկետները կիրառելի են:</w:t>
            </w:r>
          </w:p>
          <w:p w:rsidR="001F6D5D" w:rsidRPr="00F619A4" w:rsidRDefault="001F6D5D" w:rsidP="00277183">
            <w:pPr>
              <w:shd w:val="clear" w:color="auto" w:fill="FFFFFF"/>
              <w:ind w:left="90" w:firstLine="630"/>
              <w:jc w:val="both"/>
              <w:rPr>
                <w:lang w:val="hy-AM"/>
              </w:rPr>
            </w:pPr>
            <w:r w:rsidRPr="00F619A4">
              <w:rPr>
                <w:rFonts w:cs="Calibri"/>
                <w:color w:val="222222"/>
                <w:lang w:val="hy-AM"/>
              </w:rPr>
              <w:t xml:space="preserve">Անդրադառնալով համաներման և խոշտանգման </w:t>
            </w:r>
            <w:r w:rsidRPr="00F619A4">
              <w:rPr>
                <w:lang w:val="hy-AM"/>
              </w:rPr>
              <w:t xml:space="preserve">անպատժելիությանը հանգեցնող այլ համարժեք միջոցների խնդրին՝ անհրաժեշտ է ընդգծել, որ ՀՀ Ազգային ժողովը 2018 թվականի մարտի 7-ին ընդունեց «Ներման մասին» ՀՀ օրենքը, որի 7-րդ հոդվածի 4-րդ մասով հստակ ամրագրվեց, որ ներում չի շնորհվում Հայաստանի Հանրապետության քրեական օրենսգրքով նախատեսված՝ խաղաղության և մարդկության անվտանգության դեմ ուղղված հանցագործության կամ խոշտանգման համար դատապարտված անձին: Համաներման մասով ՀՀ գործող օրենսդրությամբ նման բացառություն սահմանված չէ:  </w:t>
            </w:r>
          </w:p>
          <w:p w:rsidR="001F6D5D" w:rsidRPr="00F619A4" w:rsidRDefault="001F6D5D" w:rsidP="00277183">
            <w:pPr>
              <w:shd w:val="clear" w:color="auto" w:fill="FFFFFF"/>
              <w:ind w:left="90" w:firstLine="630"/>
              <w:jc w:val="both"/>
              <w:rPr>
                <w:rFonts w:cs="Calibri"/>
                <w:color w:val="222222"/>
                <w:lang w:val="hy-AM"/>
              </w:rPr>
            </w:pPr>
            <w:r w:rsidRPr="00F619A4">
              <w:rPr>
                <w:rFonts w:cs="Calibri"/>
                <w:color w:val="222222"/>
                <w:lang w:val="hy-AM"/>
              </w:rPr>
              <w:t xml:space="preserve">Ի վերջո, հաշվի առնելով միջազգային և տարածաշրջանային մարմինների հանձնարարականները, ինչպես նաև այդ մարմինների կողմից ընդհանուր փաստաթղթերում որդեգրված մոտեցումները՝ անհրաժեշտ է նաև ներպետական օրենսդրության և պրակտիկայի համապարփակ վերլուծության արդյունքում վեր հանել այն բոլոր կարգավորումները, որոնք հանգեցնում են կամ կարող են հանգեցնել  </w:t>
            </w:r>
            <w:r w:rsidRPr="00F619A4">
              <w:rPr>
                <w:lang w:val="hy-AM"/>
              </w:rPr>
              <w:t xml:space="preserve"> </w:t>
            </w:r>
            <w:r w:rsidRPr="00F619A4">
              <w:rPr>
                <w:rFonts w:cs="Calibri"/>
                <w:color w:val="222222"/>
                <w:lang w:val="hy-AM"/>
              </w:rPr>
              <w:t xml:space="preserve">խոշտանգման </w:t>
            </w:r>
            <w:r w:rsidRPr="00F619A4">
              <w:rPr>
                <w:lang w:val="hy-AM"/>
              </w:rPr>
              <w:t>անպատժելիությանը:</w:t>
            </w:r>
          </w:p>
          <w:p w:rsidR="001F6D5D" w:rsidRPr="00F619A4" w:rsidRDefault="001F6D5D" w:rsidP="00277183">
            <w:pPr>
              <w:ind w:firstLine="720"/>
              <w:jc w:val="both"/>
              <w:rPr>
                <w:lang w:val="hy-AM"/>
              </w:rPr>
            </w:pPr>
            <w:r w:rsidRPr="00F619A4">
              <w:rPr>
                <w:rFonts w:eastAsia="Calibri" w:cs="Sylfaen"/>
                <w:lang w:val="hy-AM"/>
              </w:rPr>
              <w:t xml:space="preserve">Ամփոփելով վերը թվարկված դիտարկումները՝ կարելի է եզրակացնել, որ </w:t>
            </w:r>
            <w:r w:rsidRPr="00F619A4">
              <w:rPr>
                <w:lang w:val="hy-AM"/>
              </w:rPr>
              <w:t xml:space="preserve">խոշտանգում կատարած </w:t>
            </w:r>
            <w:r w:rsidRPr="00F619A4">
              <w:rPr>
                <w:rFonts w:eastAsia="MS Gothic"/>
                <w:lang w:val="hy-AM"/>
              </w:rPr>
              <w:t xml:space="preserve">պաշտոնատար անձանց քրեական պատասխանատվությունից կամ պատժից վաղեմության ժամկետներն անցնելու հիմքով ազատելը, </w:t>
            </w:r>
            <w:r w:rsidRPr="00F619A4">
              <w:rPr>
                <w:lang w:val="hy-AM"/>
              </w:rPr>
              <w:t>այդ անձանց նկատմամբ համաներում, ինչպես նաև այդ արարքի անպատժելիությանը հանգեցնող այլ համարժեք միջոցներ կիրառելը</w:t>
            </w:r>
            <w:r w:rsidRPr="00F619A4">
              <w:rPr>
                <w:rFonts w:eastAsia="MS Gothic"/>
                <w:lang w:val="hy-AM"/>
              </w:rPr>
              <w:t xml:space="preserve"> հանգեցնում է պետության կողմից ստանձնած միջազգային պարտավորությունների խախտմանը:</w:t>
            </w:r>
          </w:p>
          <w:p w:rsidR="001F6D5D" w:rsidRPr="00F619A4" w:rsidRDefault="001F6D5D" w:rsidP="00277183">
            <w:pPr>
              <w:rPr>
                <w:b/>
                <w:lang w:val="hy-AM"/>
              </w:rPr>
            </w:pPr>
            <w:r w:rsidRPr="00F619A4">
              <w:rPr>
                <w:b/>
                <w:lang w:val="hy-AM"/>
              </w:rPr>
              <w:t>1.2 Առկա խնդիրների առաջարկվող լուծումները</w:t>
            </w:r>
          </w:p>
          <w:p w:rsidR="001F6D5D" w:rsidRPr="00F619A4" w:rsidRDefault="001F6D5D" w:rsidP="00277183">
            <w:pPr>
              <w:rPr>
                <w:lang w:val="hy-AM"/>
              </w:rPr>
            </w:pPr>
            <w:r w:rsidRPr="00F619A4">
              <w:rPr>
                <w:lang w:val="hy-AM"/>
              </w:rPr>
              <w:t>Մշակել օրենսդրական փոփոխության փաթեթ՝ ամրապնդելով խոշտանգում կատարած անձանց քրեական պատասխանատվությունից կամ պատժից վաղեմության ժամկետներն անցնելու հիմքով ազատելու, այդ անձանց նկատմամբ համաներում, ինչպես նաև այդ արարքի անպատժելիությանը հանգեցնող այլ համարժեք միջոցներ կիրառելու արգելք նախատեսող օրենսդրական հիմքերը:</w:t>
            </w:r>
          </w:p>
          <w:p w:rsidR="001F6D5D" w:rsidRPr="00F619A4" w:rsidRDefault="001F6D5D" w:rsidP="00277183">
            <w:pPr>
              <w:rPr>
                <w:b/>
                <w:lang w:val="hy-AM"/>
              </w:rPr>
            </w:pPr>
            <w:r w:rsidRPr="00F619A4">
              <w:rPr>
                <w:b/>
                <w:lang w:val="hy-AM"/>
              </w:rPr>
              <w:t>2.</w:t>
            </w:r>
            <w:r w:rsidRPr="00F619A4">
              <w:rPr>
                <w:rFonts w:cs="Sylfaen"/>
                <w:b/>
                <w:lang w:val="hy-AM"/>
              </w:rPr>
              <w:t xml:space="preserve"> </w:t>
            </w:r>
            <w:r w:rsidRPr="00F619A4">
              <w:rPr>
                <w:b/>
                <w:lang w:val="hy-AM"/>
              </w:rPr>
              <w:t>Միջոցառման իրականացումից ակնկալվող արդյունքը</w:t>
            </w:r>
          </w:p>
          <w:p w:rsidR="001F6D5D" w:rsidRPr="00F619A4" w:rsidRDefault="001F6D5D" w:rsidP="00277183">
            <w:pPr>
              <w:rPr>
                <w:b/>
                <w:lang w:val="hy-AM"/>
              </w:rPr>
            </w:pPr>
            <w:r w:rsidRPr="00F619A4">
              <w:rPr>
                <w:b/>
                <w:lang w:val="hy-AM"/>
              </w:rPr>
              <w:t>Ա</w:t>
            </w:r>
            <w:r w:rsidRPr="00F619A4">
              <w:rPr>
                <w:lang w:val="hy-AM"/>
              </w:rPr>
              <w:t>ռաջարկվող օրենսդրական փոփոխությունների պայմաններում կապահովվի լիարժեք համապատասխանություն ՀՀ ստանձնած միջազգային պարտավորությունների և ներպետական օրենսդրությամբ սահմանված իրավակարգավորումների միջև: Միաժամանակ, կբարձրանա խոշտանգման դեպքերի քննության և անպատժելիության դեմ պայքարի արդյունավետությունը, իրավական բնույթի որակական նոր հիմքերի վրա կդրվի պաշտոնատար անձանց կողմից բռնությունների գործադրման դեմ պետության կողմից տարվող քրեական քաղաքականությունը:</w:t>
            </w:r>
          </w:p>
          <w:p w:rsidR="001F6D5D" w:rsidRPr="00F619A4" w:rsidRDefault="001F6D5D" w:rsidP="00277183">
            <w:pPr>
              <w:jc w:val="center"/>
              <w:rPr>
                <w:b/>
                <w:u w:val="single"/>
                <w:lang w:val="hy-AM"/>
              </w:rPr>
            </w:pPr>
          </w:p>
          <w:p w:rsidR="001F6D5D" w:rsidRPr="00F619A4" w:rsidRDefault="001F6D5D" w:rsidP="00277183">
            <w:pPr>
              <w:ind w:left="90"/>
              <w:jc w:val="both"/>
              <w:rPr>
                <w:b/>
                <w:lang w:val="hy-AM"/>
              </w:rPr>
            </w:pP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55</w:t>
            </w:r>
          </w:p>
        </w:tc>
        <w:tc>
          <w:tcPr>
            <w:tcW w:w="10878" w:type="dxa"/>
          </w:tcPr>
          <w:p w:rsidR="001F6D5D" w:rsidRPr="00F619A4" w:rsidRDefault="001F6D5D" w:rsidP="00277183">
            <w:pPr>
              <w:jc w:val="center"/>
              <w:rPr>
                <w:b/>
                <w:u w:val="single"/>
                <w:lang w:val="hy-AM"/>
              </w:rPr>
            </w:pPr>
            <w:r w:rsidRPr="00F619A4">
              <w:rPr>
                <w:b/>
                <w:u w:val="single"/>
                <w:lang w:val="hy-AM"/>
              </w:rPr>
              <w:t>ՀԱՐՑԱՔՆՆՈՒԹՅՈՒՆՆԵՐԻ ՏԵՍԱՁԱՅՆԱԳՐՄԱՆ ԻՆՍՏԻՏՈՒՏԻ ՆԵՐԴՆՈՒՄ</w:t>
            </w:r>
          </w:p>
          <w:p w:rsidR="001F6D5D" w:rsidRPr="00F619A4" w:rsidRDefault="001F6D5D" w:rsidP="00277183">
            <w:pPr>
              <w:jc w:val="both"/>
              <w:rPr>
                <w:b/>
                <w:lang w:val="hy-AM"/>
              </w:rPr>
            </w:pPr>
            <w:r w:rsidRPr="00F619A4">
              <w:rPr>
                <w:b/>
                <w:lang w:val="hy-AM"/>
              </w:rPr>
              <w:t>1.Միջոցառման իրականացման անհրաժեշտությունը և նպատակը</w:t>
            </w:r>
          </w:p>
          <w:p w:rsidR="001F6D5D" w:rsidRPr="00F619A4" w:rsidRDefault="001F6D5D" w:rsidP="00277183">
            <w:pPr>
              <w:jc w:val="both"/>
              <w:rPr>
                <w:lang w:val="hy-AM"/>
              </w:rPr>
            </w:pPr>
            <w:r w:rsidRPr="00F619A4">
              <w:rPr>
                <w:lang w:val="hy-AM"/>
              </w:rPr>
              <w:t>Հարցաքննությունների տեսաձայնագրման ինստիտուտի ներդնմանն ուղղված օրենսդրական նախագծի մշակումը պայմանավորված է միջազգային չափանիշներին և արտա</w:t>
            </w:r>
            <w:r w:rsidRPr="00F619A4">
              <w:rPr>
                <w:lang w:val="hy-AM"/>
              </w:rPr>
              <w:softHyphen/>
              <w:t xml:space="preserve">սահմանյան առաջադեմ փորձին համահունչ անձի իրավունքների՝ մասնավորապես, </w:t>
            </w:r>
            <w:r w:rsidRPr="00F619A4">
              <w:rPr>
                <w:rFonts w:cs="Arial"/>
                <w:color w:val="222222"/>
                <w:lang w:val="hy-AM"/>
              </w:rPr>
              <w:t xml:space="preserve">անձի արդար դատաքննության իրավունքի, դրա անքակտելի մաս կազմող պաշտպանության իրավունքի ապահովման, ինքնամերկացման պարտականությունից ազատ լինելու, ինչպես նաև </w:t>
            </w:r>
            <w:r w:rsidRPr="00F619A4">
              <w:rPr>
                <w:rFonts w:cs="Sylfaen"/>
                <w:color w:val="000000"/>
                <w:shd w:val="clear" w:color="auto" w:fill="FFFFFF"/>
                <w:lang w:val="hy-AM"/>
              </w:rPr>
              <w:t>խոշտանգման կանխարգելման, այդ դեպքերի քննության և անպատժելիության դեմ պայքարի արդյունավետությունը բարձրացնելու</w:t>
            </w:r>
            <w:r w:rsidRPr="00F619A4">
              <w:rPr>
                <w:lang w:val="hy-AM"/>
              </w:rPr>
              <w:t xml:space="preserve">, </w:t>
            </w:r>
            <w:r w:rsidRPr="00F619A4">
              <w:rPr>
                <w:rFonts w:cs="Sylfaen"/>
                <w:color w:val="000000"/>
                <w:shd w:val="clear" w:color="auto" w:fill="FFFFFF"/>
                <w:lang w:val="hy-AM"/>
              </w:rPr>
              <w:t>միջազգային և տարածաշրջանային մարմինների զեկույցներում ամփոփված հանձնարարականների կատարումն ապահովելու անհրաժեշտությամբ:</w:t>
            </w:r>
          </w:p>
          <w:p w:rsidR="001F6D5D" w:rsidRPr="00F619A4" w:rsidRDefault="001F6D5D" w:rsidP="001F6D5D">
            <w:pPr>
              <w:pStyle w:val="ListParagraph"/>
              <w:numPr>
                <w:ilvl w:val="1"/>
                <w:numId w:val="513"/>
              </w:numPr>
              <w:spacing w:line="276" w:lineRule="auto"/>
              <w:ind w:left="360" w:firstLine="0"/>
              <w:jc w:val="both"/>
              <w:rPr>
                <w:b/>
                <w:lang w:val="hy-AM"/>
              </w:rPr>
            </w:pPr>
            <w:r w:rsidRPr="00F619A4">
              <w:rPr>
                <w:b/>
                <w:lang w:val="hy-AM"/>
              </w:rPr>
              <w:t>Կարգավորման հարաբերությունների ներկա վիճակը և առկա խնդիրները</w:t>
            </w:r>
          </w:p>
          <w:p w:rsidR="001F6D5D" w:rsidRPr="00F619A4" w:rsidRDefault="001F6D5D" w:rsidP="00277183">
            <w:pPr>
              <w:tabs>
                <w:tab w:val="left" w:pos="1134"/>
                <w:tab w:val="left" w:pos="9498"/>
              </w:tabs>
              <w:ind w:firstLine="540"/>
              <w:jc w:val="both"/>
              <w:rPr>
                <w:lang w:val="hy-AM"/>
              </w:rPr>
            </w:pPr>
            <w:r w:rsidRPr="00F619A4">
              <w:rPr>
                <w:lang w:val="hy-AM"/>
              </w:rPr>
              <w:t>Ներկայումս Հայաստանի Հանրապետությունում ընթացող դատաիրավական բարեփոխումների շրջանակներում կարևորվում է միջազգային չափանիշներին և արտա</w:t>
            </w:r>
            <w:r w:rsidRPr="00F619A4">
              <w:rPr>
                <w:lang w:val="hy-AM"/>
              </w:rPr>
              <w:softHyphen/>
              <w:t>սահմանյան առաջադեմ փորձին համահունչ անձի իրավունքների հուսալի պաշտպանության ապահովումը: Հարցն առավել արդիական է դառնում, երբ խոսքը վերաբերում է քրեական վարույթի ընթացքում անձի իրավունքների և օրինական շահերի ապահովմանը:</w:t>
            </w:r>
          </w:p>
          <w:p w:rsidR="001F6D5D" w:rsidRPr="00F619A4" w:rsidRDefault="001F6D5D" w:rsidP="00277183">
            <w:pPr>
              <w:tabs>
                <w:tab w:val="left" w:pos="1134"/>
                <w:tab w:val="left" w:pos="9498"/>
              </w:tabs>
              <w:ind w:firstLine="540"/>
              <w:jc w:val="both"/>
              <w:rPr>
                <w:lang w:val="hy-AM"/>
              </w:rPr>
            </w:pPr>
            <w:r w:rsidRPr="00F619A4">
              <w:rPr>
                <w:lang w:val="hy-AM"/>
              </w:rPr>
              <w:t>Անդրադառնալով գոյություն ունեցող կարգավորումներին՝ հարկ ենք համարում նշել, որ Հայաստանի Հանրապետության գործող քրեական դատավարության օրենսգիրքը քննչական գործո</w:t>
            </w:r>
            <w:r w:rsidRPr="00F619A4">
              <w:rPr>
                <w:lang w:val="hy-AM"/>
              </w:rPr>
              <w:softHyphen/>
              <w:t>ղութ</w:t>
            </w:r>
            <w:r w:rsidRPr="00F619A4">
              <w:rPr>
                <w:lang w:val="hy-AM"/>
              </w:rPr>
              <w:softHyphen/>
              <w:t>յունների, մասնավորապես, հարցաքն</w:t>
            </w:r>
            <w:r w:rsidRPr="00F619A4">
              <w:rPr>
                <w:lang w:val="hy-AM"/>
              </w:rPr>
              <w:softHyphen/>
              <w:t>նությունների տեսաձայնագրման կարգ չի սահմանում: Փոխարենը, քրեական դատավարության օրենսգրքի կարգավորումները նախատեսում են քննչական գործողություններից հարցաքննության գրավոր արձանագրման կարգը:</w:t>
            </w:r>
          </w:p>
          <w:p w:rsidR="001F6D5D" w:rsidRPr="00F619A4" w:rsidRDefault="001F6D5D" w:rsidP="00277183">
            <w:pPr>
              <w:tabs>
                <w:tab w:val="left" w:pos="1134"/>
                <w:tab w:val="left" w:pos="9498"/>
              </w:tabs>
              <w:ind w:firstLine="540"/>
              <w:jc w:val="both"/>
              <w:rPr>
                <w:lang w:val="hy-AM"/>
              </w:rPr>
            </w:pPr>
            <w:r w:rsidRPr="00F619A4">
              <w:rPr>
                <w:lang w:val="hy-AM"/>
              </w:rPr>
              <w:t>Հատկանշական է, որ քրեական դատավարության օրենսգրքի նախագիծը</w:t>
            </w:r>
            <w:r w:rsidRPr="00F619A4">
              <w:rPr>
                <w:rStyle w:val="FootnoteReference"/>
                <w:lang w:val="hy-AM"/>
              </w:rPr>
              <w:footnoteReference w:id="8"/>
            </w:r>
            <w:r w:rsidRPr="00F619A4">
              <w:rPr>
                <w:lang w:val="hy-AM"/>
              </w:rPr>
              <w:t xml:space="preserve"> ևս հարցաքննությունների տեսաձայնագրման պարտադիր կարգ չի սահմանում: Միայն թե, ի տարբերություն ՀՀ քրեական դատավարության գործող օրենսգրքի, Նախագիծը քննչական գործողությունների կատարման արդյունավետությունն ապահովելու նպատակի համար սահմանում է, որ այն քննչական գործողությունները, որոնց կատարմանը ընթերակայի մասնակցությունն անհնար է, ենթակա են պարտադիր տեսաձայնագրման: Սակայն, այս նորմը տարածելի չէ հարցաքննությունների նկատմամբ, քանի որ հարցաքննությունների իրականացման ժամանակ ընթերակաների մասնակցությունը պարտադիր չէ: Ստացվում է, որ Նախագիծը որպես լուծում ևս պահպանել է հարցաքննությունների ավանդական՝ գրավոր արձանագրման ձևը:</w:t>
            </w:r>
          </w:p>
          <w:p w:rsidR="001F6D5D" w:rsidRPr="00F619A4" w:rsidRDefault="001F6D5D" w:rsidP="00277183">
            <w:pPr>
              <w:tabs>
                <w:tab w:val="left" w:pos="1134"/>
                <w:tab w:val="left" w:pos="9498"/>
              </w:tabs>
              <w:ind w:firstLine="540"/>
              <w:jc w:val="both"/>
              <w:rPr>
                <w:lang w:val="hy-AM"/>
              </w:rPr>
            </w:pPr>
            <w:r w:rsidRPr="00F619A4">
              <w:rPr>
                <w:lang w:val="hy-AM"/>
              </w:rPr>
              <w:t xml:space="preserve">Ինչ վերաբերում է հարցաքննությունների տեսաձայնագրման միջազգային փորձի և միջազգային չափանիշների վերլուծության ամփոփմանը, ապա այն վկայում է այս ինստիտուտի նպատակահարմարության և արդյունավետության մասին: </w:t>
            </w:r>
          </w:p>
          <w:p w:rsidR="001F6D5D" w:rsidRPr="00F619A4" w:rsidRDefault="001F6D5D" w:rsidP="00277183">
            <w:pPr>
              <w:tabs>
                <w:tab w:val="left" w:pos="1134"/>
                <w:tab w:val="left" w:pos="9498"/>
              </w:tabs>
              <w:ind w:firstLine="540"/>
              <w:jc w:val="both"/>
              <w:rPr>
                <w:lang w:val="hy-AM"/>
              </w:rPr>
            </w:pPr>
            <w:r w:rsidRPr="00F619A4">
              <w:rPr>
                <w:lang w:val="hy-AM"/>
              </w:rPr>
              <w:t xml:space="preserve">Մասնավորապես, այս ինստիտուտն արդեն իսկ ներդրված է արտասահմանյան ոչ միայն զարգացած, այլև զարգացող իրավական համակարգ ունեցող երկրներում, այդ թվում՝ Բուլղարիա, Ռումինիա, Բելառուս, Ուկրաինա: </w:t>
            </w:r>
          </w:p>
          <w:p w:rsidR="001F6D5D" w:rsidRPr="00F619A4" w:rsidRDefault="001F6D5D" w:rsidP="00277183">
            <w:pPr>
              <w:tabs>
                <w:tab w:val="left" w:pos="1134"/>
                <w:tab w:val="left" w:pos="9498"/>
              </w:tabs>
              <w:ind w:firstLine="540"/>
              <w:jc w:val="both"/>
              <w:rPr>
                <w:rFonts w:cs="Sylfaen"/>
                <w:lang w:val="hy-AM"/>
              </w:rPr>
            </w:pPr>
            <w:r w:rsidRPr="00F619A4">
              <w:rPr>
                <w:rFonts w:cs="Sylfaen"/>
                <w:lang w:val="hy-AM"/>
              </w:rPr>
              <w:t>Խնդրի առնչությամբ միջազգային տարաբնույթ չափանիշների ուսումնասի</w:t>
            </w:r>
            <w:r w:rsidRPr="00F619A4">
              <w:rPr>
                <w:rFonts w:cs="Sylfaen"/>
                <w:lang w:val="hy-AM"/>
              </w:rPr>
              <w:softHyphen/>
              <w:t>րությունը ևս վկայում է, որ թե՛ համընդհանուր, թե՛ տարածաշրջանային միջազգային իրավական փաստաթղթերում խոսվում է հարցաքննությունների տեսաձայ</w:t>
            </w:r>
            <w:r w:rsidRPr="00F619A4">
              <w:rPr>
                <w:rFonts w:cs="Sylfaen"/>
                <w:lang w:val="hy-AM"/>
              </w:rPr>
              <w:softHyphen/>
              <w:t xml:space="preserve">նագրման մասին և ընդգծվում դրանց կարևորությունը ոչ միայն քրեական արդարադատության շրջանակներում, այլև որպես խոշտանգումների դեմ պայքարի գործուն միջոց: </w:t>
            </w:r>
          </w:p>
          <w:p w:rsidR="001F6D5D" w:rsidRPr="00F619A4" w:rsidRDefault="001F6D5D" w:rsidP="00277183">
            <w:pPr>
              <w:tabs>
                <w:tab w:val="left" w:pos="1134"/>
                <w:tab w:val="left" w:pos="9498"/>
              </w:tabs>
              <w:ind w:firstLine="540"/>
              <w:jc w:val="both"/>
              <w:rPr>
                <w:rFonts w:cs="Tahoma"/>
                <w:lang w:val="hy-AM"/>
              </w:rPr>
            </w:pPr>
            <w:r w:rsidRPr="00F619A4">
              <w:rPr>
                <w:rFonts w:cs="Tahoma"/>
                <w:lang w:val="hy-AM"/>
              </w:rPr>
              <w:t xml:space="preserve">Այսպես, 2010 թվականի </w:t>
            </w:r>
            <w:r w:rsidRPr="00F619A4">
              <w:rPr>
                <w:rFonts w:cs="Tahoma"/>
                <w:b/>
                <w:lang w:val="hy-AM"/>
              </w:rPr>
              <w:t>Մարդու իրավունքների պաշտպանության ազգային ինստիտուտների` խոշտանգումների կանխարգելմանն ուղղված գործառնական ուղեցույցում</w:t>
            </w:r>
            <w:r w:rsidRPr="00F619A4">
              <w:rPr>
                <w:rStyle w:val="FootnoteReference"/>
                <w:rFonts w:cs="Tahoma"/>
              </w:rPr>
              <w:footnoteReference w:id="9"/>
            </w:r>
            <w:r w:rsidRPr="00F619A4">
              <w:rPr>
                <w:rFonts w:cs="Tahoma"/>
                <w:lang w:val="hy-AM"/>
              </w:rPr>
              <w:t xml:space="preserve"> նշվում է, որ հար</w:t>
            </w:r>
            <w:r w:rsidRPr="00F619A4">
              <w:rPr>
                <w:rFonts w:cs="Tahoma"/>
                <w:lang w:val="hy-AM"/>
              </w:rPr>
              <w:softHyphen/>
              <w:t>ցաքննությունների տեսաձայնագրումը հարցաքննության ընթացքը դարձնում է առավել թափանցիկ, ինչպես նաև վարույթն իրականացնող մարմնի համար ունի էական նշանակություն: Ուղեցույցում մեկնաբանվում է, որ հարցաքննությունների տեսաձայնագրումն առավել նախընտրելի տարբերակ է, քան գրավոր արձանագրումը, քանի որ այն իրականում արտացոլում է առավել ամբողջական և ճշգրիտ պատկեր: Ամեն դեպքում վարույթն իրականացնող մարմինը ինչ մեթոդ էլ ընտրի հարցաքննության արդյունքների ամրագրման համար (տեսաձայնագրում, թե գրավոր արձանագրում) պետք է լինի հարցաքննվող անձի համաձայնությունը</w:t>
            </w:r>
            <w:r w:rsidRPr="00F619A4">
              <w:rPr>
                <w:rStyle w:val="FootnoteReference"/>
                <w:rFonts w:cs="Tahoma"/>
              </w:rPr>
              <w:footnoteReference w:id="10"/>
            </w:r>
            <w:r w:rsidRPr="00F619A4">
              <w:rPr>
                <w:rFonts w:cs="Tahoma"/>
                <w:lang w:val="hy-AM"/>
              </w:rPr>
              <w:t>:</w:t>
            </w:r>
          </w:p>
          <w:p w:rsidR="001F6D5D" w:rsidRPr="00F619A4" w:rsidRDefault="001F6D5D" w:rsidP="00277183">
            <w:pPr>
              <w:tabs>
                <w:tab w:val="left" w:pos="1134"/>
                <w:tab w:val="left" w:pos="9498"/>
              </w:tabs>
              <w:ind w:firstLine="540"/>
              <w:jc w:val="both"/>
              <w:rPr>
                <w:rFonts w:cs="Tahoma"/>
                <w:lang w:val="hy-AM"/>
              </w:rPr>
            </w:pPr>
            <w:r w:rsidRPr="00F619A4">
              <w:rPr>
                <w:b/>
                <w:lang w:val="hy-AM"/>
              </w:rPr>
              <w:t>ՄԱԿ-ի Խոշտանգումների կանխարգելման հարցերով հատուկ զեկուցողի</w:t>
            </w:r>
            <w:r w:rsidRPr="00F619A4">
              <w:rPr>
                <w:rFonts w:cs="Tahoma"/>
                <w:b/>
                <w:lang w:val="hy-AM"/>
              </w:rPr>
              <w:t xml:space="preserve"> ընդհանուր հանձնարարականներում</w:t>
            </w:r>
            <w:r w:rsidRPr="00F619A4">
              <w:rPr>
                <w:rFonts w:cs="Tahoma"/>
                <w:lang w:val="hy-AM"/>
              </w:rPr>
              <w:t xml:space="preserve"> նշվում է, որ բոլոր հարցաքննությունները պետք է արձանագրվեն, ընդ որում, նախընտրելի է հարցաքննությունների արձանագրումը տեսանկարահանման եղանակով</w:t>
            </w:r>
            <w:r w:rsidRPr="00F619A4">
              <w:rPr>
                <w:vertAlign w:val="superscript"/>
                <w:lang w:val="hy-AM"/>
              </w:rPr>
              <w:footnoteReference w:id="11"/>
            </w:r>
            <w:r w:rsidRPr="00F619A4">
              <w:rPr>
                <w:rFonts w:cs="Tahoma"/>
                <w:lang w:val="hy-AM"/>
              </w:rPr>
              <w:t>:</w:t>
            </w:r>
          </w:p>
          <w:p w:rsidR="001F6D5D" w:rsidRPr="00F619A4" w:rsidRDefault="001F6D5D" w:rsidP="00277183">
            <w:pPr>
              <w:pStyle w:val="SingleTxtG"/>
              <w:tabs>
                <w:tab w:val="left" w:pos="1134"/>
              </w:tabs>
              <w:spacing w:after="0" w:line="276" w:lineRule="auto"/>
              <w:ind w:left="0" w:right="0" w:firstLine="567"/>
              <w:rPr>
                <w:rFonts w:ascii="GHEA Grapalat" w:hAnsi="GHEA Grapalat"/>
              </w:rPr>
            </w:pPr>
            <w:r w:rsidRPr="00F619A4">
              <w:rPr>
                <w:rFonts w:ascii="GHEA Grapalat" w:hAnsi="GHEA Grapalat" w:cs="Calibri"/>
              </w:rPr>
              <w:t>«</w:t>
            </w:r>
            <w:r w:rsidRPr="00F619A4">
              <w:rPr>
                <w:rFonts w:ascii="GHEA Grapalat" w:hAnsi="GHEA Grapalat" w:cs="Tahoma"/>
              </w:rPr>
              <w:t>Խոշտանգումների և այլ դաժան, անմարդկային կամ նվաստացնող վերաբերմունքի կամ պատժի դեմ» ՄԱԿ-ի կոնվենցիայով նախատեսված պարտավորությունների կատարման մասին Հայաստանի Հանրապետության 4-րդ պարբերական զեկույցի պաշտպանությունից հետո</w:t>
            </w:r>
            <w:r w:rsidRPr="00F619A4">
              <w:rPr>
                <w:rStyle w:val="FootnoteReference"/>
                <w:rFonts w:ascii="GHEA Grapalat" w:hAnsi="GHEA Grapalat" w:cs="Tahoma"/>
              </w:rPr>
              <w:footnoteReference w:id="12"/>
            </w:r>
            <w:r w:rsidRPr="00F619A4">
              <w:rPr>
                <w:rFonts w:ascii="GHEA Grapalat" w:hAnsi="GHEA Grapalat" w:cs="Tahoma"/>
              </w:rPr>
              <w:t xml:space="preserve">, </w:t>
            </w:r>
            <w:r w:rsidRPr="00F619A4">
              <w:rPr>
                <w:rFonts w:ascii="GHEA Grapalat" w:hAnsi="GHEA Grapalat" w:cs="Tahoma"/>
                <w:b/>
              </w:rPr>
              <w:t>ՄԱԿ-ի Խոշտանգումների դեմ կոմիտեն</w:t>
            </w:r>
            <w:r w:rsidRPr="00F619A4">
              <w:rPr>
                <w:rFonts w:ascii="GHEA Grapalat" w:hAnsi="GHEA Grapalat" w:cs="Tahoma"/>
              </w:rPr>
              <w:t xml:space="preserve">, </w:t>
            </w:r>
            <w:r w:rsidRPr="00F619A4">
              <w:rPr>
                <w:rFonts w:ascii="GHEA Grapalat" w:hAnsi="GHEA Grapalat"/>
              </w:rPr>
              <w:t>վերահաստատելով իր նախորդ առաջարկությունները</w:t>
            </w:r>
            <w:r w:rsidRPr="00F619A4">
              <w:rPr>
                <w:rStyle w:val="FootnoteReference"/>
                <w:rFonts w:ascii="GHEA Grapalat" w:hAnsi="GHEA Grapalat"/>
              </w:rPr>
              <w:footnoteReference w:id="13"/>
            </w:r>
            <w:r w:rsidRPr="00F619A4">
              <w:rPr>
                <w:rFonts w:ascii="GHEA Grapalat" w:hAnsi="GHEA Grapalat"/>
              </w:rPr>
              <w:t>, ընդգծել է, որ կողմ պետությունը պետք է ձեռնարկի օրենսդրական և այլ անհրաժեշտ միջոցառումներ, ինչպես նաև համապատասխան ֆինանսական միջոցներ հատկացնի քրեական գործերով բոլոր հարցաքննությունների պարտադիր տեսաձայնագրումն ապահովելու նպատակով, և ոստիկանության բաժիններում ու ազատազրկման այլ վայրերում հարցաքննության բոլոր սենյակները հագեցնի տեսաձայնագրող սարքերով: Նաև պետք է ապահովվի տեսաձայնագրության պահպանությունն այնքան ժամանակ, որպեսզի հնարավոր լինի օգտագործել այն որպես ապացույց, այդ թվում՝ դատարանում, որպեսզի տեսաժապավենները վերանայվեն՝ խոշտանգումների և դրա արգելքի չափանիշների այլ խախտումներ արձանագրելու և բացահայտելու համար, և որպեսզի տեսաերիզները հասանելի դարձվեն պաշտպանյալներին և նրանց պաշտպաններին</w:t>
            </w:r>
            <w:r w:rsidRPr="00F619A4">
              <w:rPr>
                <w:rStyle w:val="FootnoteReference"/>
                <w:rFonts w:ascii="GHEA Grapalat" w:hAnsi="GHEA Grapalat"/>
              </w:rPr>
              <w:footnoteReference w:id="14"/>
            </w:r>
            <w:r w:rsidRPr="00F619A4">
              <w:rPr>
                <w:rFonts w:ascii="GHEA Grapalat" w:hAnsi="GHEA Grapalat"/>
              </w:rPr>
              <w:t>:</w:t>
            </w:r>
          </w:p>
          <w:p w:rsidR="001F6D5D" w:rsidRPr="00F619A4" w:rsidRDefault="001F6D5D" w:rsidP="00277183">
            <w:pPr>
              <w:pStyle w:val="SingleTxtG"/>
              <w:tabs>
                <w:tab w:val="left" w:pos="1134"/>
              </w:tabs>
              <w:spacing w:after="0" w:line="276" w:lineRule="auto"/>
              <w:ind w:left="0" w:right="0" w:firstLine="567"/>
              <w:rPr>
                <w:rFonts w:ascii="GHEA Grapalat" w:eastAsia="Times New Roman" w:hAnsi="GHEA Grapalat" w:cs="Tahoma"/>
              </w:rPr>
            </w:pPr>
            <w:r w:rsidRPr="00F619A4">
              <w:rPr>
                <w:rFonts w:ascii="GHEA Grapalat" w:eastAsia="Times New Roman" w:hAnsi="GHEA Grapalat" w:cs="Tahoma"/>
              </w:rPr>
              <w:t>ԵԱՀԿ անդամ-պետությունների շրջանակներում 2014 թվականի ապրիլի Խոշտանգումների կանխարգելմանն ուղղված ժողովի վերջնական զեկույցում արված առաջարկություններից մեկը հետևյալն է.</w:t>
            </w:r>
          </w:p>
          <w:p w:rsidR="001F6D5D" w:rsidRPr="00F619A4" w:rsidRDefault="001F6D5D" w:rsidP="00277183">
            <w:pPr>
              <w:pStyle w:val="SingleTxtG"/>
              <w:tabs>
                <w:tab w:val="left" w:pos="1134"/>
              </w:tabs>
              <w:spacing w:after="0" w:line="276" w:lineRule="auto"/>
              <w:ind w:left="0" w:right="0" w:firstLine="567"/>
              <w:rPr>
                <w:rFonts w:ascii="GHEA Grapalat" w:hAnsi="GHEA Grapalat"/>
                <w:bCs/>
              </w:rPr>
            </w:pPr>
            <w:r w:rsidRPr="00F619A4">
              <w:rPr>
                <w:rFonts w:ascii="GHEA Grapalat" w:eastAsia="Times New Roman" w:hAnsi="GHEA Grapalat" w:cs="Tahoma"/>
              </w:rPr>
              <w:t>«ԵԱՀԿ անդամ-պետությունները պետք է քայլեր ձեռնարկեն հարցաքննությունների և այլ դատավարական գործողությունների կատարման աուդիո և վիդեո ձայնագրում ներդնելու ուղղությամբ այն վայրերում, որտեղ առկա է խոշտանգման և վատ վերաբերմունքի բարձր ռիսկ:»</w:t>
            </w:r>
            <w:r w:rsidRPr="00F619A4">
              <w:rPr>
                <w:rFonts w:ascii="GHEA Grapalat" w:eastAsia="Times New Roman" w:hAnsi="GHEA Grapalat" w:cs="Tahoma"/>
                <w:vertAlign w:val="superscript"/>
              </w:rPr>
              <w:footnoteReference w:id="15"/>
            </w:r>
            <w:r w:rsidRPr="00F619A4">
              <w:rPr>
                <w:rFonts w:ascii="GHEA Grapalat" w:eastAsia="Times New Roman" w:hAnsi="GHEA Grapalat" w:cs="Tahoma"/>
              </w:rPr>
              <w:t xml:space="preserve">: </w:t>
            </w:r>
          </w:p>
          <w:p w:rsidR="001F6D5D" w:rsidRPr="00F619A4" w:rsidRDefault="001F6D5D" w:rsidP="00277183">
            <w:pPr>
              <w:tabs>
                <w:tab w:val="left" w:pos="1134"/>
                <w:tab w:val="left" w:pos="9498"/>
              </w:tabs>
              <w:ind w:firstLine="540"/>
              <w:jc w:val="both"/>
              <w:rPr>
                <w:rFonts w:cs="Sylfaen"/>
                <w:lang w:val="hy-AM"/>
              </w:rPr>
            </w:pPr>
            <w:r w:rsidRPr="00F619A4">
              <w:rPr>
                <w:rFonts w:cs="Sylfaen"/>
                <w:b/>
                <w:lang w:val="hy-AM"/>
              </w:rPr>
              <w:t>Եվրոպայի խորհրդի</w:t>
            </w:r>
            <w:r w:rsidRPr="00F619A4">
              <w:rPr>
                <w:rFonts w:cs="Sylfaen"/>
                <w:lang w:val="hy-AM"/>
              </w:rPr>
              <w:t xml:space="preserve"> </w:t>
            </w:r>
            <w:r w:rsidRPr="00F619A4">
              <w:rPr>
                <w:rFonts w:cs="Sylfaen"/>
                <w:b/>
                <w:lang w:val="hy-AM"/>
              </w:rPr>
              <w:t>Խոշտանգումների կանխարգելման կոմիտեն</w:t>
            </w:r>
            <w:r w:rsidRPr="00F619A4">
              <w:rPr>
                <w:rStyle w:val="FootnoteReference"/>
                <w:rFonts w:cs="Sylfaen"/>
                <w:b/>
                <w:lang w:val="hy-AM"/>
              </w:rPr>
              <w:footnoteReference w:id="16"/>
            </w:r>
            <w:r w:rsidRPr="00F619A4">
              <w:rPr>
                <w:rFonts w:cs="Sylfaen"/>
                <w:lang w:val="hy-AM"/>
              </w:rPr>
              <w:t xml:space="preserve">, անդրադառնալով հարցաքննությունների տեսաձայնագրման անհրաժեշտությանը, այն դիտարկում է որպես խոշտանգումների կանխարգելման գործուն կառուցակարգ: Մասնավորապես, </w:t>
            </w:r>
            <w:r w:rsidRPr="00F619A4">
              <w:rPr>
                <w:rFonts w:cs="Sylfaen"/>
                <w:b/>
                <w:lang w:val="hy-AM"/>
              </w:rPr>
              <w:t>ԽԿԿ-ի չափանիշներով</w:t>
            </w:r>
            <w:r w:rsidRPr="00F619A4">
              <w:rPr>
                <w:rFonts w:cs="Sylfaen"/>
                <w:lang w:val="hy-AM"/>
              </w:rPr>
              <w:t xml:space="preserve"> նշվում է, որ ոստիկանության կողմից կատարված հարցաքննությունների էլեկտրոնային (այսինքն՝ աուդիո և (կամ) վիդեո) ձայնագրությունները ձերբակալված կամ կալանավորված անձանց նկատմամբ վատ վերաբերմունքի դեմ լրացուցիչ երաշխիք են: Նման տեխնիկական միջոցները կարող են ապահովել հարցաքննության ընթացքի լիարժեք և արժանահավատ ձայնագրությունը՝ դրանով իսկ նշանակալիորեն հեշտացնելով դաժան վերաբերմունքի դեմ բողոքների քննությունը:</w:t>
            </w:r>
            <w:r w:rsidRPr="00F619A4">
              <w:rPr>
                <w:lang w:val="hy-AM"/>
              </w:rPr>
              <w:t xml:space="preserve"> ԽԿԿ-ն խրախուսում է հարցաքննությունների տեսաձայնագրման հնարավորության նախատեսումը, ինչն իր հերթին գործուն երաշխիք կծառայի մի կողմից կալանավորված անձանց համար խոշտանգման ենթարկվելուց կամ դրա սպառնալիքից, մյուս կողմից հարցաքննություն իրականացնող պաշտոնատար անձանց համար ֆիզիկական կամ հոգեկան բռնության վերաբերյալ անհիմն հայտարարություններից պաշտպանվելու համար: Ավելին, դատական քննության փուլում ապացույցը գնահատելիս այդպիսի տեղեկատվական կրիչը կարող է նվազագույնի հասցնել հավանականությունն առ այն, որ հարցաքննվողները հետագայում կհերքեն իրենց կողմից տված խոստովանությունը:</w:t>
            </w:r>
          </w:p>
          <w:p w:rsidR="001F6D5D" w:rsidRPr="00F619A4" w:rsidRDefault="001F6D5D" w:rsidP="00277183">
            <w:pPr>
              <w:tabs>
                <w:tab w:val="left" w:pos="1134"/>
                <w:tab w:val="left" w:pos="9498"/>
              </w:tabs>
              <w:ind w:firstLine="540"/>
              <w:jc w:val="both"/>
              <w:rPr>
                <w:lang w:val="hy-AM"/>
              </w:rPr>
            </w:pPr>
            <w:r w:rsidRPr="00F619A4">
              <w:rPr>
                <w:b/>
                <w:lang w:val="hy-AM"/>
              </w:rPr>
              <w:t>Այս հարցի կապակցությամբ ԽԿԿ-ն դիրքորոշում է արտահայտել նաև  Հայաստանի վերաբերյալ 2010 թվականի իր զեկույցում</w:t>
            </w:r>
            <w:r w:rsidRPr="00F619A4">
              <w:rPr>
                <w:lang w:val="hy-AM"/>
              </w:rPr>
              <w:t>, որում նշել է ոստիկանության աշխատակիցների համար հարցաքննությունների իրականացման չափանիշների և ընթացակարգերի ներդնման անհրաժեշտության մասին, մասնավորապես՝  ոստիկանության կողմից կատարվող հարցաքննությունների ճշգրիտ արձանագրման մասին, որը, հնարավորության դեպքում,  պետք է իրականացվի էլեկտրոնային (տեսա կամ ձայնային արձանագրում) սարքավորումների միջոցով</w:t>
            </w:r>
            <w:r w:rsidRPr="00F619A4">
              <w:rPr>
                <w:rStyle w:val="FootnoteReference"/>
                <w:lang w:val="hy-AM"/>
              </w:rPr>
              <w:footnoteReference w:id="17"/>
            </w:r>
            <w:r w:rsidRPr="00F619A4">
              <w:rPr>
                <w:lang w:val="hy-AM"/>
              </w:rPr>
              <w:t>:</w:t>
            </w:r>
          </w:p>
          <w:p w:rsidR="001F6D5D" w:rsidRPr="00F619A4" w:rsidRDefault="001F6D5D" w:rsidP="00277183">
            <w:pPr>
              <w:tabs>
                <w:tab w:val="left" w:pos="1134"/>
                <w:tab w:val="left" w:pos="9498"/>
              </w:tabs>
              <w:ind w:firstLine="540"/>
              <w:jc w:val="both"/>
              <w:rPr>
                <w:lang w:val="hy-AM"/>
              </w:rPr>
            </w:pPr>
            <w:r w:rsidRPr="00F619A4">
              <w:rPr>
                <w:lang w:val="hy-AM"/>
              </w:rPr>
              <w:t xml:space="preserve">Հարցաքննությունների տեսաձայնագրման նախընտրելիության մասին դրույթներ են առկա նաև </w:t>
            </w:r>
            <w:r w:rsidRPr="00F619A4">
              <w:rPr>
                <w:b/>
                <w:lang w:val="hy-AM"/>
              </w:rPr>
              <w:t xml:space="preserve">Եվրոպայի Խորհրդի Մարդու իրավունքների հանձնակատար Նիլս Մուժնիեկսի՝ 2014 թվականի հոկտեմբերին Հայաստան կատարած այցի վերաբերյալ 2015 թվականի մարտի 10-ին հրապարակած զեկույցում: </w:t>
            </w:r>
            <w:r w:rsidRPr="00F619A4">
              <w:rPr>
                <w:lang w:val="hy-AM"/>
              </w:rPr>
              <w:t>Հանձնակատարը զեկույցում բարձրացված մի շարք խնդիրների շարքում խրախուսում է հայկական իշխանություններին խոշտանգումների և անմարդկային վերաբերմունքի դեմ պայքարն առավել արդյունավետ դարձնող միջոցառումների շարքում ներդնել նաև ՀՀ կառավարության 2014 թվականի փետրվարի 27-ի N 303-Ն որոշմամբ հաստատված Մարդու իրավուն</w:t>
            </w:r>
            <w:r w:rsidRPr="00F619A4">
              <w:rPr>
                <w:lang w:val="hy-AM"/>
              </w:rPr>
              <w:softHyphen/>
              <w:t>ք</w:t>
            </w:r>
            <w:r w:rsidRPr="00F619A4">
              <w:rPr>
                <w:lang w:val="hy-AM"/>
              </w:rPr>
              <w:softHyphen/>
              <w:t>ների պաշտպանության ազգային ռազմա</w:t>
            </w:r>
            <w:r w:rsidRPr="00F619A4">
              <w:rPr>
                <w:lang w:val="hy-AM"/>
              </w:rPr>
              <w:softHyphen/>
              <w:t>վարությունից բխող միջոցառումների ծրագրով նախատեսված հարցաքննությունների տեսաձայնագրման համակարգը</w:t>
            </w:r>
            <w:r w:rsidRPr="00F619A4">
              <w:rPr>
                <w:rStyle w:val="FootnoteReference"/>
              </w:rPr>
              <w:footnoteReference w:id="18"/>
            </w:r>
            <w:r w:rsidRPr="00F619A4">
              <w:rPr>
                <w:lang w:val="hy-AM"/>
              </w:rPr>
              <w:t>:</w:t>
            </w:r>
          </w:p>
          <w:p w:rsidR="001F6D5D" w:rsidRPr="00F619A4" w:rsidRDefault="001F6D5D" w:rsidP="00277183">
            <w:pPr>
              <w:tabs>
                <w:tab w:val="left" w:pos="1134"/>
                <w:tab w:val="left" w:pos="9498"/>
              </w:tabs>
              <w:ind w:firstLine="540"/>
              <w:jc w:val="both"/>
              <w:rPr>
                <w:rFonts w:cs="Arial"/>
                <w:color w:val="222222"/>
                <w:lang w:val="hy-AM"/>
              </w:rPr>
            </w:pPr>
            <w:r w:rsidRPr="00F619A4">
              <w:rPr>
                <w:lang w:val="hy-AM"/>
              </w:rPr>
              <w:t>Հարցաքննությունների տեսաձայնագրման կառուցակարգերի ներդնման հիմնախնդրի շրջանակներում կարևոր նշանակություն ունի նաև Մարդու իրավունքների եվրոպական դատարանի</w:t>
            </w:r>
            <w:r w:rsidRPr="00F619A4">
              <w:rPr>
                <w:rStyle w:val="FootnoteReference"/>
                <w:lang w:val="hy-AM"/>
              </w:rPr>
              <w:footnoteReference w:id="19"/>
            </w:r>
            <w:r w:rsidRPr="00F619A4">
              <w:rPr>
                <w:lang w:val="hy-AM"/>
              </w:rPr>
              <w:t xml:space="preserve"> համապատասխան նախադեպային իրավունքի ուսումնասիրությունն ու վերլուծությունը</w:t>
            </w:r>
            <w:r w:rsidRPr="00F619A4">
              <w:rPr>
                <w:rFonts w:cs="Arial"/>
                <w:color w:val="222222"/>
                <w:lang w:val="hy-AM"/>
              </w:rPr>
              <w:t>, ինչը, թերևս, հիմք է տալիս եզրակացնելու, որ թեև հարցաքննությունների տեսաձայնագրումը Եվրոպական դատարանի կողմից չի դիտվում իբրև Մարդու իրավունքների եվրոպական կոնվենցիայի 3-րդ և 6-րդ հոդվածներով երաշխավորված իրավունքների պաշտպանության անհրաժեշտ և պարտադիր պայման, այդուհանդերձ Եվրոպական դատարանն իր նախադեպային իրավունքում անդրադարձել է այդպիսի կառուցակարգի սահմանման կանխարգելիչ նշանակությանը:</w:t>
            </w:r>
          </w:p>
          <w:p w:rsidR="001F6D5D" w:rsidRPr="00F619A4" w:rsidRDefault="001F6D5D" w:rsidP="00277183">
            <w:pPr>
              <w:tabs>
                <w:tab w:val="left" w:pos="1134"/>
                <w:tab w:val="left" w:pos="9498"/>
              </w:tabs>
              <w:ind w:firstLine="540"/>
              <w:jc w:val="both"/>
              <w:rPr>
                <w:rFonts w:cs="Arial"/>
                <w:color w:val="222222"/>
                <w:lang w:val="hy-AM"/>
              </w:rPr>
            </w:pPr>
            <w:r w:rsidRPr="00F619A4">
              <w:rPr>
                <w:rFonts w:cs="Arial"/>
                <w:color w:val="222222"/>
                <w:lang w:val="hy-AM"/>
              </w:rPr>
              <w:t>Հաշվի առնելով Եվրոպական դատարանի իրավական մոտեցումներն ու մեկնաբանություններն անձի արդար դատաքննության իրավունքի, դրա անքակտելի մաս կազմող պաշտպանության իրավունքի և ինքնամերկացման պարտականությունից ազատ լինելու, ինչպես նաև խոշտանգման չենթարկվելու արգելքի երաշխավորման հարցում՝ կարելի է թերևս եզրակացնել, որ պետությունների կողմից հարցաքննությունների տեսաձայնագրման համակարգի ներդնումն անուղղակիորեն կարող է հանդես գալ իբրև պետության պոզիտիվ պարտականությունների պատշաճ կատարում:</w:t>
            </w:r>
          </w:p>
          <w:p w:rsidR="001F6D5D" w:rsidRPr="00F619A4" w:rsidRDefault="001F6D5D" w:rsidP="001F6D5D">
            <w:pPr>
              <w:pStyle w:val="ListParagraph"/>
              <w:numPr>
                <w:ilvl w:val="1"/>
                <w:numId w:val="513"/>
              </w:numPr>
              <w:spacing w:line="276" w:lineRule="auto"/>
              <w:ind w:left="162" w:hanging="18"/>
              <w:rPr>
                <w:b/>
              </w:rPr>
            </w:pPr>
            <w:r w:rsidRPr="00F619A4">
              <w:rPr>
                <w:b/>
              </w:rPr>
              <w:t>Առկա խնդիրների առաջարկվող լուծումները</w:t>
            </w:r>
          </w:p>
          <w:p w:rsidR="001F6D5D" w:rsidRPr="00F619A4" w:rsidRDefault="001F6D5D" w:rsidP="00277183">
            <w:pPr>
              <w:ind w:firstLine="720"/>
              <w:jc w:val="both"/>
              <w:rPr>
                <w:lang w:val="hy-AM"/>
              </w:rPr>
            </w:pPr>
            <w:r w:rsidRPr="00F619A4">
              <w:rPr>
                <w:rFonts w:cs="Sylfaen"/>
              </w:rPr>
              <w:t xml:space="preserve">Ներդնել </w:t>
            </w:r>
            <w:r w:rsidRPr="00F619A4">
              <w:rPr>
                <w:rFonts w:cs="Arial"/>
                <w:color w:val="222222"/>
                <w:lang w:val="hy-AM"/>
              </w:rPr>
              <w:t>հարցաքննությունների տեսաձայնագրման</w:t>
            </w:r>
            <w:r w:rsidRPr="00F619A4">
              <w:rPr>
                <w:rFonts w:cs="Arial"/>
                <w:color w:val="222222"/>
              </w:rPr>
              <w:t xml:space="preserve"> համակարգ</w:t>
            </w:r>
            <w:r w:rsidRPr="00F619A4">
              <w:t>:</w:t>
            </w:r>
          </w:p>
          <w:p w:rsidR="001F6D5D" w:rsidRPr="00F619A4" w:rsidRDefault="001F6D5D" w:rsidP="001F6D5D">
            <w:pPr>
              <w:pStyle w:val="ListParagraph"/>
              <w:numPr>
                <w:ilvl w:val="0"/>
                <w:numId w:val="513"/>
              </w:numPr>
              <w:spacing w:line="276" w:lineRule="auto"/>
              <w:ind w:left="162" w:hanging="18"/>
              <w:rPr>
                <w:b/>
              </w:rPr>
            </w:pPr>
            <w:r w:rsidRPr="00F619A4">
              <w:t xml:space="preserve"> </w:t>
            </w:r>
            <w:r w:rsidRPr="00F619A4">
              <w:rPr>
                <w:b/>
              </w:rPr>
              <w:t>Միջոցառման իրականացումից ակնկալվող արդյունքը</w:t>
            </w:r>
          </w:p>
          <w:p w:rsidR="001F6D5D" w:rsidRPr="00F619A4" w:rsidRDefault="001F6D5D" w:rsidP="00277183">
            <w:pPr>
              <w:spacing w:before="120"/>
              <w:ind w:firstLine="720"/>
              <w:jc w:val="both"/>
              <w:rPr>
                <w:rFonts w:cs="Sylfaen"/>
                <w:color w:val="000000"/>
                <w:shd w:val="clear" w:color="auto" w:fill="FFFFFF"/>
              </w:rPr>
            </w:pPr>
            <w:r w:rsidRPr="00F619A4">
              <w:rPr>
                <w:rFonts w:cs="Sylfaen"/>
                <w:color w:val="000000"/>
                <w:shd w:val="clear" w:color="auto" w:fill="FFFFFF"/>
                <w:lang w:val="hy-AM"/>
              </w:rPr>
              <w:t>Առաջարկվող օրենսդրական փոփոխությունների պայմաններում</w:t>
            </w:r>
            <w:r w:rsidRPr="00F619A4">
              <w:rPr>
                <w:rFonts w:cs="Sylfaen"/>
                <w:color w:val="000000"/>
                <w:shd w:val="clear" w:color="auto" w:fill="FFFFFF"/>
              </w:rPr>
              <w:t xml:space="preserve"> կապահովվի միջազգային և տարածաշրջանային մարմինների զեկույցներում ամփոփված հանձնարարականների կատարումը,</w:t>
            </w:r>
            <w:r w:rsidRPr="00F619A4">
              <w:rPr>
                <w:rFonts w:cs="Sylfaen"/>
                <w:color w:val="000000"/>
                <w:shd w:val="clear" w:color="auto" w:fill="FFFFFF"/>
                <w:lang w:val="hy-AM"/>
              </w:rPr>
              <w:t xml:space="preserve"> </w:t>
            </w:r>
            <w:r w:rsidRPr="00F619A4">
              <w:rPr>
                <w:rFonts w:cs="Sylfaen"/>
                <w:color w:val="000000"/>
                <w:shd w:val="clear" w:color="auto" w:fill="FFFFFF"/>
              </w:rPr>
              <w:t xml:space="preserve">ինչպես նաև </w:t>
            </w:r>
            <w:r w:rsidRPr="00F619A4">
              <w:rPr>
                <w:rFonts w:cs="Arial"/>
                <w:color w:val="222222"/>
                <w:lang w:val="hy-AM"/>
              </w:rPr>
              <w:t>անուղղակիորեն</w:t>
            </w:r>
            <w:r w:rsidRPr="00F619A4">
              <w:rPr>
                <w:rFonts w:cs="Sylfaen"/>
                <w:color w:val="000000"/>
                <w:shd w:val="clear" w:color="auto" w:fill="FFFFFF"/>
              </w:rPr>
              <w:t xml:space="preserve"> կբարձրանա </w:t>
            </w:r>
            <w:r w:rsidRPr="00F619A4">
              <w:rPr>
                <w:rFonts w:cs="Arial"/>
                <w:color w:val="222222"/>
                <w:lang w:val="hy-AM"/>
              </w:rPr>
              <w:t>անձի արդար դատաքննության իրավունքի, դրա անքակտելի մաս կազմող պաշտպանության իրավունքի</w:t>
            </w:r>
            <w:r w:rsidRPr="00F619A4">
              <w:rPr>
                <w:rFonts w:cs="Arial"/>
                <w:color w:val="222222"/>
              </w:rPr>
              <w:t xml:space="preserve"> ապահովման, </w:t>
            </w:r>
            <w:r w:rsidRPr="00F619A4">
              <w:rPr>
                <w:rFonts w:cs="Arial"/>
                <w:color w:val="222222"/>
                <w:lang w:val="hy-AM"/>
              </w:rPr>
              <w:t xml:space="preserve">ինքնամերկացման պարտականությունից ազատ լինելու, ինչպես նաև </w:t>
            </w:r>
            <w:r w:rsidRPr="00F619A4">
              <w:rPr>
                <w:rFonts w:cs="Sylfaen"/>
                <w:color w:val="000000"/>
                <w:shd w:val="clear" w:color="auto" w:fill="FFFFFF"/>
              </w:rPr>
              <w:t xml:space="preserve">խոշտանգման կանխարգելման, այդ դեպքերի քննության և անպատժելիության դեմ պայքարի արդյունավետությունը: </w:t>
            </w:r>
          </w:p>
          <w:p w:rsidR="001F6D5D" w:rsidRPr="00F619A4" w:rsidRDefault="001F6D5D" w:rsidP="00277183">
            <w:pPr>
              <w:ind w:firstLine="375"/>
              <w:jc w:val="center"/>
              <w:rPr>
                <w:b/>
                <w:u w:val="single"/>
                <w:lang w:val="hy-AM"/>
              </w:rPr>
            </w:pP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56</w:t>
            </w:r>
          </w:p>
        </w:tc>
        <w:tc>
          <w:tcPr>
            <w:tcW w:w="10878" w:type="dxa"/>
          </w:tcPr>
          <w:p w:rsidR="001F6D5D" w:rsidRPr="00F619A4" w:rsidRDefault="001F6D5D" w:rsidP="00277183">
            <w:pPr>
              <w:spacing w:before="240" w:after="240"/>
              <w:ind w:right="-115" w:firstLine="720"/>
              <w:jc w:val="center"/>
              <w:rPr>
                <w:b/>
                <w:u w:val="single"/>
                <w:lang w:val="hy-AM"/>
              </w:rPr>
            </w:pPr>
            <w:r w:rsidRPr="00F619A4">
              <w:rPr>
                <w:b/>
                <w:u w:val="single"/>
                <w:lang w:val="hy-AM"/>
              </w:rPr>
              <w:t>ՔՐԵԱԿԱՆ ԵՎ ՔՐԵԱԴԱՏԱՎԱՐԱԿԱՆ ՕՐԵՆՍԴՐՈՒԹՅԱՆ ԲԱՐԵՓՈԽՈՒՄ</w:t>
            </w:r>
          </w:p>
          <w:p w:rsidR="001F6D5D" w:rsidRPr="00F619A4" w:rsidRDefault="001F6D5D" w:rsidP="00277183">
            <w:pPr>
              <w:jc w:val="both"/>
              <w:rPr>
                <w:b/>
                <w:lang w:val="hy-AM"/>
              </w:rPr>
            </w:pPr>
            <w:r w:rsidRPr="00F619A4">
              <w:rPr>
                <w:b/>
                <w:lang w:val="hy-AM"/>
              </w:rPr>
              <w:t>1.Միջոցառման իրականացման անհրաժեշտությունը և նպատակը</w:t>
            </w:r>
          </w:p>
          <w:p w:rsidR="001F6D5D" w:rsidRPr="00F619A4" w:rsidRDefault="001F6D5D" w:rsidP="00277183">
            <w:pPr>
              <w:jc w:val="both"/>
              <w:rPr>
                <w:lang w:val="hy-AM"/>
              </w:rPr>
            </w:pPr>
            <w:r w:rsidRPr="00F619A4">
              <w:rPr>
                <w:lang w:val="hy-AM"/>
              </w:rPr>
              <w:t>ՀՀ քրեական և քրեադատավարական օրենսդրության բարեփոխման անհրաժեշտությունը բխում է ՀՀ Սահմանադրության պահանջներից, ՀՀ ստանձնած միջազգային պարտավորություններից՝ այդ թվում Եվրոպական դատարանի՝ Հայաստանի Հանրապետության վերաբերյալ կայացրած մի շարք վճիռների</w:t>
            </w:r>
            <w:r w:rsidRPr="00F619A4">
              <w:rPr>
                <w:rStyle w:val="FootnoteReference"/>
                <w:lang w:val="hy-AM"/>
              </w:rPr>
              <w:footnoteReference w:id="20"/>
            </w:r>
            <w:r w:rsidRPr="00F619A4">
              <w:rPr>
                <w:lang w:val="hy-AM"/>
              </w:rPr>
              <w:t xml:space="preserve"> կատարման համատեքստում քրեադատավարական օրենսդրության բարեփոխան առանցքայնությունից:</w:t>
            </w:r>
          </w:p>
          <w:p w:rsidR="001F6D5D" w:rsidRPr="00F619A4" w:rsidRDefault="001F6D5D" w:rsidP="00277183">
            <w:pPr>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ind w:left="90"/>
              <w:jc w:val="both"/>
              <w:rPr>
                <w:rFonts w:cs="Tahoma"/>
                <w:lang w:val="hy-AM"/>
              </w:rPr>
            </w:pPr>
            <w:r w:rsidRPr="00F619A4">
              <w:rPr>
                <w:rFonts w:cs="Arian AMU"/>
                <w:shd w:val="clear" w:color="auto" w:fill="FFFFFF"/>
                <w:lang w:val="hy-AM"/>
              </w:rPr>
              <w:t>ՀՀ քրեական օրենսգիրքը գործողության մեջ է դրվել 2003 թվականի օգոստոսի 1-ից: Սույն օրենսգրքի նորմերի գիտական վերլուծության ու կիրառման պրակտիկայի արդյունքում բացահայտվեց, որ օրենսգրքում առկա են բազմաթիվ թերություններ, իսկ օրենսգրքով առաջարկվող կարգավորումներն անհրաժեշտ է համապատասխանեցնել քրեական իրավունքի տեսության ու օրենսդրության ժամանակակից միտումներին համահունչ հայեցակարգային նոր կառուցակարգերին ու ինստիտուտներին:</w:t>
            </w:r>
          </w:p>
          <w:p w:rsidR="001F6D5D" w:rsidRPr="00F619A4" w:rsidRDefault="001F6D5D" w:rsidP="00277183">
            <w:pPr>
              <w:ind w:left="90" w:firstLine="630"/>
              <w:jc w:val="both"/>
              <w:rPr>
                <w:lang w:val="hy-AM"/>
              </w:rPr>
            </w:pPr>
            <w:r w:rsidRPr="00F619A4">
              <w:rPr>
                <w:rFonts w:cs="Sylfaen"/>
                <w:lang w:val="hy-AM"/>
              </w:rPr>
              <w:t>Գործող Քրեական դատավարության օրենսգրքի</w:t>
            </w:r>
            <w:r w:rsidRPr="00F619A4">
              <w:rPr>
                <w:lang w:val="hy-AM"/>
              </w:rPr>
              <w:t xml:space="preserve"> </w:t>
            </w:r>
            <w:r w:rsidRPr="00F619A4">
              <w:rPr>
                <w:rFonts w:cs="Sylfaen"/>
                <w:lang w:val="hy-AM"/>
              </w:rPr>
              <w:t>կիրառման</w:t>
            </w:r>
            <w:r w:rsidRPr="00F619A4">
              <w:rPr>
                <w:lang w:val="hy-AM"/>
              </w:rPr>
              <w:t xml:space="preserve"> </w:t>
            </w:r>
            <w:r w:rsidRPr="00F619A4">
              <w:rPr>
                <w:rFonts w:cs="Sylfaen"/>
                <w:lang w:val="hy-AM"/>
              </w:rPr>
              <w:t>տարիների</w:t>
            </w:r>
            <w:r w:rsidRPr="00F619A4">
              <w:rPr>
                <w:lang w:val="hy-AM"/>
              </w:rPr>
              <w:t xml:space="preserve"> </w:t>
            </w:r>
            <w:r w:rsidRPr="00F619A4">
              <w:rPr>
                <w:rFonts w:cs="Sylfaen"/>
                <w:lang w:val="hy-AM"/>
              </w:rPr>
              <w:t>ընթացքում</w:t>
            </w:r>
            <w:r w:rsidRPr="00F619A4">
              <w:rPr>
                <w:lang w:val="hy-AM"/>
              </w:rPr>
              <w:t xml:space="preserve"> </w:t>
            </w:r>
            <w:r w:rsidRPr="00F619A4">
              <w:rPr>
                <w:rFonts w:cs="Sylfaen"/>
                <w:lang w:val="hy-AM"/>
              </w:rPr>
              <w:t>երկրի</w:t>
            </w:r>
            <w:r w:rsidRPr="00F619A4">
              <w:rPr>
                <w:lang w:val="hy-AM"/>
              </w:rPr>
              <w:t xml:space="preserve"> </w:t>
            </w:r>
            <w:r w:rsidRPr="00F619A4">
              <w:rPr>
                <w:rFonts w:cs="Sylfaen"/>
                <w:lang w:val="hy-AM"/>
              </w:rPr>
              <w:t>հասարակական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քաղաքական</w:t>
            </w:r>
            <w:r w:rsidRPr="00F619A4">
              <w:rPr>
                <w:lang w:val="hy-AM"/>
              </w:rPr>
              <w:t xml:space="preserve"> </w:t>
            </w:r>
            <w:r w:rsidRPr="00F619A4">
              <w:rPr>
                <w:rFonts w:cs="Sylfaen"/>
                <w:lang w:val="hy-AM"/>
              </w:rPr>
              <w:t>կյանքում</w:t>
            </w:r>
            <w:r w:rsidRPr="00F619A4">
              <w:rPr>
                <w:lang w:val="hy-AM"/>
              </w:rPr>
              <w:t xml:space="preserve"> </w:t>
            </w:r>
            <w:r w:rsidRPr="00F619A4">
              <w:rPr>
                <w:rFonts w:cs="Sylfaen"/>
                <w:lang w:val="hy-AM"/>
              </w:rPr>
              <w:t>տեղի</w:t>
            </w:r>
            <w:r w:rsidRPr="00F619A4">
              <w:rPr>
                <w:lang w:val="hy-AM"/>
              </w:rPr>
              <w:t xml:space="preserve"> </w:t>
            </w:r>
            <w:r w:rsidRPr="00F619A4">
              <w:rPr>
                <w:rFonts w:cs="Sylfaen"/>
                <w:lang w:val="hy-AM"/>
              </w:rPr>
              <w:t>ունեցան</w:t>
            </w:r>
            <w:r w:rsidRPr="00F619A4">
              <w:rPr>
                <w:lang w:val="hy-AM"/>
              </w:rPr>
              <w:t xml:space="preserve"> </w:t>
            </w:r>
            <w:r w:rsidRPr="00F619A4">
              <w:rPr>
                <w:rFonts w:cs="Sylfaen"/>
                <w:lang w:val="hy-AM"/>
              </w:rPr>
              <w:t>մի</w:t>
            </w:r>
            <w:r w:rsidRPr="00F619A4">
              <w:rPr>
                <w:lang w:val="hy-AM"/>
              </w:rPr>
              <w:t xml:space="preserve"> </w:t>
            </w:r>
            <w:r w:rsidRPr="00F619A4">
              <w:rPr>
                <w:rFonts w:cs="Sylfaen"/>
                <w:lang w:val="hy-AM"/>
              </w:rPr>
              <w:t>շարք</w:t>
            </w:r>
            <w:r w:rsidRPr="00F619A4">
              <w:rPr>
                <w:lang w:val="hy-AM"/>
              </w:rPr>
              <w:t xml:space="preserve"> </w:t>
            </w:r>
            <w:r w:rsidRPr="00F619A4">
              <w:rPr>
                <w:rFonts w:cs="Sylfaen"/>
                <w:lang w:val="hy-AM"/>
              </w:rPr>
              <w:t>իրադարձություններ</w:t>
            </w:r>
            <w:r w:rsidRPr="00F619A4">
              <w:rPr>
                <w:lang w:val="hy-AM"/>
              </w:rPr>
              <w:t xml:space="preserve">, </w:t>
            </w:r>
            <w:r w:rsidRPr="00F619A4">
              <w:rPr>
                <w:rFonts w:cs="Sylfaen"/>
                <w:lang w:val="hy-AM"/>
              </w:rPr>
              <w:t>որոնք</w:t>
            </w:r>
            <w:r w:rsidRPr="00F619A4">
              <w:rPr>
                <w:lang w:val="hy-AM"/>
              </w:rPr>
              <w:t xml:space="preserve"> </w:t>
            </w:r>
            <w:r w:rsidRPr="00F619A4">
              <w:rPr>
                <w:rFonts w:cs="Sylfaen"/>
                <w:lang w:val="hy-AM"/>
              </w:rPr>
              <w:t>անխուսափելի</w:t>
            </w:r>
            <w:r w:rsidRPr="00F619A4">
              <w:rPr>
                <w:lang w:val="hy-AM"/>
              </w:rPr>
              <w:t xml:space="preserve"> </w:t>
            </w:r>
            <w:r w:rsidRPr="00F619A4">
              <w:rPr>
                <w:rFonts w:cs="Sylfaen"/>
                <w:lang w:val="hy-AM"/>
              </w:rPr>
              <w:t>փոփոխություններ</w:t>
            </w:r>
            <w:r w:rsidRPr="00F619A4">
              <w:rPr>
                <w:lang w:val="hy-AM"/>
              </w:rPr>
              <w:t xml:space="preserve"> </w:t>
            </w:r>
            <w:r w:rsidRPr="00F619A4">
              <w:rPr>
                <w:rFonts w:cs="Sylfaen"/>
                <w:lang w:val="hy-AM"/>
              </w:rPr>
              <w:t>էին</w:t>
            </w:r>
            <w:r w:rsidRPr="00F619A4">
              <w:rPr>
                <w:lang w:val="hy-AM"/>
              </w:rPr>
              <w:t xml:space="preserve"> </w:t>
            </w:r>
            <w:r w:rsidRPr="00F619A4">
              <w:rPr>
                <w:rFonts w:cs="Sylfaen"/>
                <w:lang w:val="hy-AM"/>
              </w:rPr>
              <w:t>ենթադրում</w:t>
            </w:r>
            <w:r w:rsidRPr="00F619A4">
              <w:rPr>
                <w:lang w:val="hy-AM"/>
              </w:rPr>
              <w:t xml:space="preserve"> </w:t>
            </w:r>
            <w:r w:rsidRPr="00F619A4">
              <w:rPr>
                <w:rFonts w:cs="Sylfaen"/>
                <w:lang w:val="hy-AM"/>
              </w:rPr>
              <w:t>քրեական</w:t>
            </w:r>
            <w:r w:rsidRPr="00F619A4">
              <w:rPr>
                <w:lang w:val="hy-AM"/>
              </w:rPr>
              <w:t xml:space="preserve"> </w:t>
            </w:r>
            <w:r w:rsidRPr="00F619A4">
              <w:rPr>
                <w:rFonts w:cs="Sylfaen"/>
                <w:lang w:val="hy-AM"/>
              </w:rPr>
              <w:t>գործերի</w:t>
            </w:r>
            <w:r w:rsidRPr="00F619A4">
              <w:rPr>
                <w:lang w:val="hy-AM"/>
              </w:rPr>
              <w:t xml:space="preserve"> </w:t>
            </w:r>
            <w:r w:rsidRPr="00F619A4">
              <w:rPr>
                <w:rFonts w:cs="Sylfaen"/>
                <w:lang w:val="hy-AM"/>
              </w:rPr>
              <w:t>քննության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լուծման</w:t>
            </w:r>
            <w:r w:rsidRPr="00F619A4">
              <w:rPr>
                <w:lang w:val="hy-AM"/>
              </w:rPr>
              <w:t xml:space="preserve"> </w:t>
            </w:r>
            <w:r w:rsidRPr="00F619A4">
              <w:rPr>
                <w:rFonts w:cs="Sylfaen"/>
                <w:lang w:val="hy-AM"/>
              </w:rPr>
              <w:t>հետ</w:t>
            </w:r>
            <w:r w:rsidRPr="00F619A4">
              <w:rPr>
                <w:lang w:val="hy-AM"/>
              </w:rPr>
              <w:t xml:space="preserve"> </w:t>
            </w:r>
            <w:r w:rsidRPr="00F619A4">
              <w:rPr>
                <w:rFonts w:cs="Sylfaen"/>
                <w:lang w:val="hy-AM"/>
              </w:rPr>
              <w:t>կապված</w:t>
            </w:r>
            <w:r w:rsidRPr="00F619A4">
              <w:rPr>
                <w:lang w:val="hy-AM"/>
              </w:rPr>
              <w:t xml:space="preserve"> </w:t>
            </w:r>
            <w:r w:rsidRPr="00F619A4">
              <w:rPr>
                <w:rFonts w:cs="Sylfaen"/>
                <w:lang w:val="hy-AM"/>
              </w:rPr>
              <w:t>հարաբերությունները</w:t>
            </w:r>
            <w:r w:rsidRPr="00F619A4">
              <w:rPr>
                <w:lang w:val="hy-AM"/>
              </w:rPr>
              <w:t xml:space="preserve"> </w:t>
            </w:r>
            <w:r w:rsidRPr="00F619A4">
              <w:rPr>
                <w:rFonts w:cs="Sylfaen"/>
                <w:lang w:val="hy-AM"/>
              </w:rPr>
              <w:t>կանոնակարգող</w:t>
            </w:r>
            <w:r w:rsidRPr="00F619A4">
              <w:rPr>
                <w:lang w:val="hy-AM"/>
              </w:rPr>
              <w:t xml:space="preserve"> </w:t>
            </w:r>
            <w:r w:rsidRPr="00F619A4">
              <w:rPr>
                <w:rFonts w:cs="Sylfaen"/>
                <w:lang w:val="hy-AM"/>
              </w:rPr>
              <w:t>հիմնական</w:t>
            </w:r>
            <w:r w:rsidRPr="00F619A4">
              <w:rPr>
                <w:lang w:val="hy-AM"/>
              </w:rPr>
              <w:t xml:space="preserve"> </w:t>
            </w:r>
            <w:r w:rsidRPr="00F619A4">
              <w:rPr>
                <w:rFonts w:cs="Sylfaen"/>
                <w:lang w:val="hy-AM"/>
              </w:rPr>
              <w:t>իրավական</w:t>
            </w:r>
            <w:r w:rsidRPr="00F619A4">
              <w:rPr>
                <w:lang w:val="hy-AM"/>
              </w:rPr>
              <w:t xml:space="preserve"> </w:t>
            </w:r>
            <w:r w:rsidRPr="00F619A4">
              <w:rPr>
                <w:rFonts w:cs="Sylfaen"/>
                <w:lang w:val="hy-AM"/>
              </w:rPr>
              <w:t>ակտում։</w:t>
            </w:r>
            <w:r w:rsidRPr="00F619A4">
              <w:rPr>
                <w:lang w:val="hy-AM"/>
              </w:rPr>
              <w:t xml:space="preserve"> </w:t>
            </w:r>
          </w:p>
          <w:p w:rsidR="001F6D5D" w:rsidRPr="00F619A4" w:rsidRDefault="001F6D5D" w:rsidP="00277183">
            <w:pPr>
              <w:ind w:left="90" w:firstLine="630"/>
              <w:jc w:val="both"/>
              <w:rPr>
                <w:lang w:val="hy-AM"/>
              </w:rPr>
            </w:pPr>
            <w:r w:rsidRPr="00F619A4">
              <w:rPr>
                <w:rFonts w:cs="Sylfaen"/>
                <w:lang w:val="hy-AM"/>
              </w:rPr>
              <w:t>Մասնավորապես</w:t>
            </w:r>
            <w:r w:rsidRPr="00F619A4">
              <w:rPr>
                <w:lang w:val="hy-AM"/>
              </w:rPr>
              <w:t xml:space="preserve">, 2002 </w:t>
            </w:r>
            <w:r w:rsidRPr="00F619A4">
              <w:rPr>
                <w:rFonts w:cs="Sylfaen"/>
                <w:lang w:val="hy-AM"/>
              </w:rPr>
              <w:t>թվականին</w:t>
            </w:r>
            <w:r w:rsidRPr="00F619A4">
              <w:rPr>
                <w:lang w:val="hy-AM"/>
              </w:rPr>
              <w:t xml:space="preserve"> </w:t>
            </w:r>
            <w:r w:rsidRPr="00F619A4">
              <w:rPr>
                <w:rFonts w:cs="Sylfaen"/>
                <w:lang w:val="hy-AM"/>
              </w:rPr>
              <w:t>Հայաստանի</w:t>
            </w:r>
            <w:r w:rsidRPr="00F619A4">
              <w:rPr>
                <w:lang w:val="hy-AM"/>
              </w:rPr>
              <w:t xml:space="preserve"> </w:t>
            </w:r>
            <w:r w:rsidRPr="00F619A4">
              <w:rPr>
                <w:rFonts w:cs="Sylfaen"/>
                <w:lang w:val="hy-AM"/>
              </w:rPr>
              <w:t>Հանրապետությունը</w:t>
            </w:r>
            <w:r w:rsidRPr="00F619A4">
              <w:rPr>
                <w:lang w:val="hy-AM"/>
              </w:rPr>
              <w:t xml:space="preserve"> </w:t>
            </w:r>
            <w:r w:rsidRPr="00F619A4">
              <w:rPr>
                <w:rFonts w:cs="Sylfaen"/>
                <w:lang w:val="hy-AM"/>
              </w:rPr>
              <w:t>վավերացրեց</w:t>
            </w:r>
            <w:r w:rsidRPr="00F619A4">
              <w:rPr>
                <w:lang w:val="hy-AM"/>
              </w:rPr>
              <w:t xml:space="preserve"> </w:t>
            </w:r>
            <w:r w:rsidRPr="00F619A4">
              <w:rPr>
                <w:rFonts w:cs="Sylfaen"/>
                <w:lang w:val="hy-AM"/>
              </w:rPr>
              <w:t>Մարդու</w:t>
            </w:r>
            <w:r w:rsidRPr="00F619A4">
              <w:rPr>
                <w:lang w:val="hy-AM"/>
              </w:rPr>
              <w:t xml:space="preserve"> </w:t>
            </w:r>
            <w:r w:rsidRPr="00F619A4">
              <w:rPr>
                <w:rFonts w:cs="Sylfaen"/>
                <w:lang w:val="hy-AM"/>
              </w:rPr>
              <w:t>իրավունքների</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հիմնարար</w:t>
            </w:r>
            <w:r w:rsidRPr="00F619A4">
              <w:rPr>
                <w:lang w:val="hy-AM"/>
              </w:rPr>
              <w:t xml:space="preserve"> </w:t>
            </w:r>
            <w:r w:rsidRPr="00F619A4">
              <w:rPr>
                <w:rFonts w:cs="Sylfaen"/>
                <w:lang w:val="hy-AM"/>
              </w:rPr>
              <w:t>ազատությունների</w:t>
            </w:r>
            <w:r w:rsidRPr="00F619A4">
              <w:rPr>
                <w:lang w:val="hy-AM"/>
              </w:rPr>
              <w:t xml:space="preserve"> </w:t>
            </w:r>
            <w:r w:rsidRPr="00F619A4">
              <w:rPr>
                <w:rFonts w:cs="Sylfaen"/>
                <w:lang w:val="hy-AM"/>
              </w:rPr>
              <w:t>պաշտպանության</w:t>
            </w:r>
            <w:r w:rsidRPr="00F619A4">
              <w:rPr>
                <w:lang w:val="hy-AM"/>
              </w:rPr>
              <w:t xml:space="preserve"> </w:t>
            </w:r>
            <w:r w:rsidRPr="00F619A4">
              <w:rPr>
                <w:rFonts w:cs="Sylfaen"/>
                <w:lang w:val="hy-AM"/>
              </w:rPr>
              <w:t>մասին</w:t>
            </w:r>
            <w:r w:rsidRPr="00F619A4">
              <w:rPr>
                <w:lang w:val="hy-AM"/>
              </w:rPr>
              <w:t xml:space="preserve"> 1950 </w:t>
            </w:r>
            <w:r w:rsidRPr="00F619A4">
              <w:rPr>
                <w:rFonts w:cs="Sylfaen"/>
                <w:lang w:val="hy-AM"/>
              </w:rPr>
              <w:t>թվականի</w:t>
            </w:r>
            <w:r w:rsidRPr="00F619A4">
              <w:rPr>
                <w:lang w:val="hy-AM"/>
              </w:rPr>
              <w:t xml:space="preserve"> </w:t>
            </w:r>
            <w:r w:rsidRPr="00F619A4">
              <w:rPr>
                <w:rFonts w:cs="Sylfaen"/>
                <w:lang w:val="hy-AM"/>
              </w:rPr>
              <w:t>կոնվենցիան</w:t>
            </w:r>
            <w:r w:rsidRPr="00F619A4">
              <w:rPr>
                <w:lang w:val="hy-AM"/>
              </w:rPr>
              <w:t xml:space="preserve">, </w:t>
            </w:r>
            <w:r w:rsidRPr="00F619A4">
              <w:rPr>
                <w:rFonts w:cs="Sylfaen"/>
                <w:lang w:val="hy-AM"/>
              </w:rPr>
              <w:t>ինչի</w:t>
            </w:r>
            <w:r w:rsidRPr="00F619A4">
              <w:rPr>
                <w:lang w:val="hy-AM"/>
              </w:rPr>
              <w:t xml:space="preserve"> </w:t>
            </w:r>
            <w:r w:rsidRPr="00F619A4">
              <w:rPr>
                <w:rFonts w:cs="Sylfaen"/>
                <w:lang w:val="hy-AM"/>
              </w:rPr>
              <w:t>հետևանքով</w:t>
            </w:r>
            <w:r w:rsidRPr="00F619A4">
              <w:rPr>
                <w:lang w:val="hy-AM"/>
              </w:rPr>
              <w:t xml:space="preserve"> </w:t>
            </w:r>
            <w:r w:rsidRPr="00F619A4">
              <w:rPr>
                <w:rFonts w:cs="Sylfaen"/>
                <w:lang w:val="hy-AM"/>
              </w:rPr>
              <w:t>երկրի</w:t>
            </w:r>
            <w:r w:rsidRPr="00F619A4">
              <w:rPr>
                <w:lang w:val="hy-AM"/>
              </w:rPr>
              <w:t xml:space="preserve"> </w:t>
            </w:r>
            <w:r w:rsidRPr="00F619A4">
              <w:rPr>
                <w:rFonts w:cs="Sylfaen"/>
                <w:lang w:val="hy-AM"/>
              </w:rPr>
              <w:t>ստանձնած</w:t>
            </w:r>
            <w:r w:rsidRPr="00F619A4">
              <w:rPr>
                <w:lang w:val="hy-AM"/>
              </w:rPr>
              <w:t xml:space="preserve"> </w:t>
            </w:r>
            <w:r w:rsidRPr="00F619A4">
              <w:rPr>
                <w:rFonts w:cs="Sylfaen"/>
                <w:lang w:val="hy-AM"/>
              </w:rPr>
              <w:t>միջազգային</w:t>
            </w:r>
            <w:r w:rsidRPr="00F619A4">
              <w:rPr>
                <w:lang w:val="hy-AM"/>
              </w:rPr>
              <w:t xml:space="preserve"> </w:t>
            </w:r>
            <w:r w:rsidRPr="00F619A4">
              <w:rPr>
                <w:rFonts w:cs="Sylfaen"/>
                <w:lang w:val="hy-AM"/>
              </w:rPr>
              <w:t>պարտավորություններին</w:t>
            </w:r>
            <w:r w:rsidRPr="00F619A4">
              <w:rPr>
                <w:lang w:val="hy-AM"/>
              </w:rPr>
              <w:t xml:space="preserve"> </w:t>
            </w:r>
            <w:r w:rsidRPr="00F619A4">
              <w:rPr>
                <w:rFonts w:cs="Sylfaen"/>
                <w:lang w:val="hy-AM"/>
              </w:rPr>
              <w:t>համահունչ</w:t>
            </w:r>
            <w:r w:rsidRPr="00F619A4">
              <w:rPr>
                <w:lang w:val="hy-AM"/>
              </w:rPr>
              <w:t xml:space="preserve"> </w:t>
            </w:r>
            <w:r w:rsidRPr="00F619A4">
              <w:rPr>
                <w:rFonts w:cs="Sylfaen"/>
                <w:lang w:val="hy-AM"/>
              </w:rPr>
              <w:t>ձևափոխություններ</w:t>
            </w:r>
            <w:r w:rsidRPr="00F619A4">
              <w:rPr>
                <w:lang w:val="hy-AM"/>
              </w:rPr>
              <w:t xml:space="preserve"> </w:t>
            </w:r>
            <w:r w:rsidRPr="00F619A4">
              <w:rPr>
                <w:rFonts w:cs="Sylfaen"/>
                <w:lang w:val="hy-AM"/>
              </w:rPr>
              <w:t>պետք</w:t>
            </w:r>
            <w:r w:rsidRPr="00F619A4">
              <w:rPr>
                <w:lang w:val="hy-AM"/>
              </w:rPr>
              <w:t xml:space="preserve"> </w:t>
            </w:r>
            <w:r w:rsidRPr="00F619A4">
              <w:rPr>
                <w:rFonts w:cs="Sylfaen"/>
                <w:lang w:val="hy-AM"/>
              </w:rPr>
              <w:t>է</w:t>
            </w:r>
            <w:r w:rsidRPr="00F619A4">
              <w:rPr>
                <w:lang w:val="hy-AM"/>
              </w:rPr>
              <w:t xml:space="preserve"> </w:t>
            </w:r>
            <w:r w:rsidRPr="00F619A4">
              <w:rPr>
                <w:rFonts w:cs="Sylfaen"/>
                <w:lang w:val="hy-AM"/>
              </w:rPr>
              <w:t>կատարվեն</w:t>
            </w:r>
            <w:r w:rsidRPr="00F619A4">
              <w:rPr>
                <w:lang w:val="hy-AM"/>
              </w:rPr>
              <w:t xml:space="preserve"> </w:t>
            </w:r>
            <w:r w:rsidRPr="00F619A4">
              <w:rPr>
                <w:rFonts w:cs="Sylfaen"/>
                <w:lang w:val="hy-AM"/>
              </w:rPr>
              <w:t>ներպետական</w:t>
            </w:r>
            <w:r w:rsidRPr="00F619A4">
              <w:rPr>
                <w:lang w:val="hy-AM"/>
              </w:rPr>
              <w:t xml:space="preserve"> </w:t>
            </w:r>
            <w:r w:rsidRPr="00F619A4">
              <w:rPr>
                <w:rFonts w:cs="Sylfaen"/>
                <w:lang w:val="hy-AM"/>
              </w:rPr>
              <w:t>համապատասխան</w:t>
            </w:r>
            <w:r w:rsidRPr="00F619A4">
              <w:rPr>
                <w:lang w:val="hy-AM"/>
              </w:rPr>
              <w:t xml:space="preserve"> </w:t>
            </w:r>
            <w:r w:rsidRPr="00F619A4">
              <w:rPr>
                <w:rFonts w:cs="Sylfaen"/>
                <w:lang w:val="hy-AM"/>
              </w:rPr>
              <w:t>ոլորտներում</w:t>
            </w:r>
            <w:r w:rsidRPr="00F619A4">
              <w:rPr>
                <w:lang w:val="hy-AM"/>
              </w:rPr>
              <w:t xml:space="preserve">, </w:t>
            </w:r>
            <w:r w:rsidRPr="00F619A4">
              <w:rPr>
                <w:rFonts w:cs="Sylfaen"/>
                <w:lang w:val="hy-AM"/>
              </w:rPr>
              <w:t>այդ</w:t>
            </w:r>
            <w:r w:rsidRPr="00F619A4">
              <w:rPr>
                <w:lang w:val="hy-AM"/>
              </w:rPr>
              <w:t xml:space="preserve"> </w:t>
            </w:r>
            <w:r w:rsidRPr="00F619A4">
              <w:rPr>
                <w:rFonts w:cs="Sylfaen"/>
                <w:lang w:val="hy-AM"/>
              </w:rPr>
              <w:t>թվում</w:t>
            </w:r>
            <w:r w:rsidRPr="00F619A4">
              <w:rPr>
                <w:lang w:val="hy-AM"/>
              </w:rPr>
              <w:t xml:space="preserve">` </w:t>
            </w:r>
            <w:r w:rsidRPr="00F619A4">
              <w:rPr>
                <w:rFonts w:cs="Sylfaen"/>
                <w:lang w:val="hy-AM"/>
              </w:rPr>
              <w:t>քրեական</w:t>
            </w:r>
            <w:r w:rsidRPr="00F619A4">
              <w:rPr>
                <w:lang w:val="hy-AM"/>
              </w:rPr>
              <w:t xml:space="preserve"> </w:t>
            </w:r>
            <w:r w:rsidRPr="00F619A4">
              <w:rPr>
                <w:rFonts w:cs="Sylfaen"/>
                <w:lang w:val="hy-AM"/>
              </w:rPr>
              <w:t>արդարադատության</w:t>
            </w:r>
            <w:r w:rsidRPr="00F619A4">
              <w:rPr>
                <w:lang w:val="hy-AM"/>
              </w:rPr>
              <w:t xml:space="preserve"> </w:t>
            </w:r>
            <w:r w:rsidRPr="00F619A4">
              <w:rPr>
                <w:rFonts w:cs="Sylfaen"/>
                <w:lang w:val="hy-AM"/>
              </w:rPr>
              <w:t>բնագավառում։</w:t>
            </w:r>
            <w:r w:rsidRPr="00F619A4">
              <w:rPr>
                <w:lang w:val="hy-AM"/>
              </w:rPr>
              <w:t xml:space="preserve"> </w:t>
            </w:r>
          </w:p>
          <w:p w:rsidR="001F6D5D" w:rsidRPr="00F619A4" w:rsidRDefault="001F6D5D" w:rsidP="00277183">
            <w:pPr>
              <w:ind w:left="90" w:firstLine="630"/>
              <w:jc w:val="both"/>
              <w:rPr>
                <w:lang w:val="hy-AM"/>
              </w:rPr>
            </w:pPr>
            <w:r w:rsidRPr="00F619A4">
              <w:rPr>
                <w:rFonts w:cs="Sylfaen"/>
                <w:lang w:val="hy-AM"/>
              </w:rPr>
              <w:t>Երկրի</w:t>
            </w:r>
            <w:r w:rsidRPr="00F619A4">
              <w:rPr>
                <w:lang w:val="hy-AM"/>
              </w:rPr>
              <w:t xml:space="preserve"> </w:t>
            </w:r>
            <w:r w:rsidRPr="00F619A4">
              <w:rPr>
                <w:rFonts w:cs="Sylfaen"/>
                <w:lang w:val="hy-AM"/>
              </w:rPr>
              <w:t>հիմնական</w:t>
            </w:r>
            <w:r w:rsidRPr="00F619A4">
              <w:rPr>
                <w:lang w:val="hy-AM"/>
              </w:rPr>
              <w:t xml:space="preserve"> </w:t>
            </w:r>
            <w:r w:rsidRPr="00F619A4">
              <w:rPr>
                <w:rFonts w:cs="Sylfaen"/>
                <w:lang w:val="hy-AM"/>
              </w:rPr>
              <w:t>օրենքում</w:t>
            </w:r>
            <w:r w:rsidRPr="00F619A4">
              <w:rPr>
                <w:lang w:val="hy-AM"/>
              </w:rPr>
              <w:t xml:space="preserve"> </w:t>
            </w:r>
            <w:r w:rsidRPr="00F619A4">
              <w:rPr>
                <w:rFonts w:cs="Sylfaen"/>
                <w:lang w:val="hy-AM"/>
              </w:rPr>
              <w:t>կատարվեցին</w:t>
            </w:r>
            <w:r w:rsidRPr="00F619A4">
              <w:rPr>
                <w:lang w:val="hy-AM"/>
              </w:rPr>
              <w:t xml:space="preserve"> </w:t>
            </w:r>
            <w:r w:rsidRPr="00F619A4">
              <w:rPr>
                <w:rFonts w:cs="Sylfaen"/>
                <w:lang w:val="hy-AM"/>
              </w:rPr>
              <w:t>հիմնարար</w:t>
            </w:r>
            <w:r w:rsidRPr="00F619A4">
              <w:rPr>
                <w:lang w:val="hy-AM"/>
              </w:rPr>
              <w:t xml:space="preserve"> </w:t>
            </w:r>
            <w:r w:rsidRPr="00F619A4">
              <w:rPr>
                <w:rFonts w:cs="Sylfaen"/>
                <w:lang w:val="hy-AM"/>
              </w:rPr>
              <w:t>փոփոխություններ</w:t>
            </w:r>
            <w:r w:rsidRPr="00F619A4">
              <w:rPr>
                <w:lang w:val="hy-AM"/>
              </w:rPr>
              <w:t xml:space="preserve">, </w:t>
            </w:r>
            <w:r w:rsidRPr="00F619A4">
              <w:rPr>
                <w:rFonts w:cs="Sylfaen"/>
                <w:lang w:val="hy-AM"/>
              </w:rPr>
              <w:t>որոնք</w:t>
            </w:r>
            <w:r w:rsidRPr="00F619A4">
              <w:rPr>
                <w:lang w:val="hy-AM"/>
              </w:rPr>
              <w:t xml:space="preserve"> </w:t>
            </w:r>
            <w:r w:rsidRPr="00F619A4">
              <w:rPr>
                <w:rFonts w:cs="Sylfaen"/>
                <w:lang w:val="hy-AM"/>
              </w:rPr>
              <w:t>էապես</w:t>
            </w:r>
            <w:r w:rsidRPr="00F619A4">
              <w:rPr>
                <w:lang w:val="hy-AM"/>
              </w:rPr>
              <w:t xml:space="preserve"> </w:t>
            </w:r>
            <w:r w:rsidRPr="00F619A4">
              <w:rPr>
                <w:rFonts w:cs="Sylfaen"/>
                <w:lang w:val="hy-AM"/>
              </w:rPr>
              <w:t>շոշափեցին</w:t>
            </w:r>
            <w:r w:rsidRPr="00F619A4">
              <w:rPr>
                <w:lang w:val="hy-AM"/>
              </w:rPr>
              <w:t xml:space="preserve"> </w:t>
            </w:r>
            <w:r w:rsidRPr="00F619A4">
              <w:rPr>
                <w:rFonts w:cs="Sylfaen"/>
                <w:lang w:val="hy-AM"/>
              </w:rPr>
              <w:t>քրեական</w:t>
            </w:r>
            <w:r w:rsidRPr="00F619A4">
              <w:rPr>
                <w:lang w:val="hy-AM"/>
              </w:rPr>
              <w:t xml:space="preserve"> </w:t>
            </w:r>
            <w:r w:rsidRPr="00F619A4">
              <w:rPr>
                <w:rFonts w:cs="Sylfaen"/>
                <w:lang w:val="hy-AM"/>
              </w:rPr>
              <w:t>արդարադատության</w:t>
            </w:r>
            <w:r w:rsidRPr="00F619A4">
              <w:rPr>
                <w:lang w:val="hy-AM"/>
              </w:rPr>
              <w:t xml:space="preserve"> </w:t>
            </w:r>
            <w:r w:rsidRPr="00F619A4">
              <w:rPr>
                <w:rFonts w:cs="Sylfaen"/>
                <w:lang w:val="hy-AM"/>
              </w:rPr>
              <w:t>ոլորտը</w:t>
            </w:r>
            <w:r w:rsidRPr="00F619A4">
              <w:rPr>
                <w:lang w:val="hy-AM"/>
              </w:rPr>
              <w:t xml:space="preserve">` </w:t>
            </w:r>
            <w:r w:rsidRPr="00F619A4">
              <w:rPr>
                <w:rFonts w:cs="Sylfaen"/>
                <w:lang w:val="hy-AM"/>
              </w:rPr>
              <w:t>անխուսափելի</w:t>
            </w:r>
            <w:r w:rsidRPr="00F619A4">
              <w:rPr>
                <w:lang w:val="hy-AM"/>
              </w:rPr>
              <w:t xml:space="preserve"> </w:t>
            </w:r>
            <w:r w:rsidRPr="00F619A4">
              <w:rPr>
                <w:rFonts w:cs="Sylfaen"/>
                <w:lang w:val="hy-AM"/>
              </w:rPr>
              <w:t>դարձնելով</w:t>
            </w:r>
            <w:r w:rsidRPr="00F619A4">
              <w:rPr>
                <w:lang w:val="hy-AM"/>
              </w:rPr>
              <w:t xml:space="preserve"> </w:t>
            </w:r>
            <w:r w:rsidRPr="00F619A4">
              <w:rPr>
                <w:rFonts w:cs="Sylfaen"/>
                <w:lang w:val="hy-AM"/>
              </w:rPr>
              <w:t>քրեական</w:t>
            </w:r>
            <w:r w:rsidRPr="00F619A4">
              <w:rPr>
                <w:lang w:val="hy-AM"/>
              </w:rPr>
              <w:t xml:space="preserve"> </w:t>
            </w:r>
            <w:r w:rsidRPr="00F619A4">
              <w:rPr>
                <w:rFonts w:cs="Sylfaen"/>
                <w:lang w:val="hy-AM"/>
              </w:rPr>
              <w:t>արդարադատության</w:t>
            </w:r>
            <w:r w:rsidRPr="00F619A4">
              <w:rPr>
                <w:lang w:val="hy-AM"/>
              </w:rPr>
              <w:t xml:space="preserve"> </w:t>
            </w:r>
            <w:r w:rsidRPr="00F619A4">
              <w:rPr>
                <w:rFonts w:cs="Sylfaen"/>
                <w:lang w:val="hy-AM"/>
              </w:rPr>
              <w:t>բնագավառում համապատասխան</w:t>
            </w:r>
            <w:r w:rsidRPr="00F619A4">
              <w:rPr>
                <w:lang w:val="hy-AM"/>
              </w:rPr>
              <w:t xml:space="preserve"> </w:t>
            </w:r>
            <w:r w:rsidRPr="00F619A4">
              <w:rPr>
                <w:rFonts w:cs="Sylfaen"/>
                <w:lang w:val="hy-AM"/>
              </w:rPr>
              <w:t>փոփոխություններն</w:t>
            </w:r>
            <w:r w:rsidRPr="00F619A4">
              <w:rPr>
                <w:lang w:val="hy-AM"/>
              </w:rPr>
              <w:t xml:space="preserve"> </w:t>
            </w:r>
            <w:r w:rsidRPr="00F619A4">
              <w:rPr>
                <w:rFonts w:cs="Sylfaen"/>
                <w:lang w:val="hy-AM"/>
              </w:rPr>
              <w:t>ու</w:t>
            </w:r>
            <w:r w:rsidRPr="00F619A4">
              <w:rPr>
                <w:lang w:val="hy-AM"/>
              </w:rPr>
              <w:t xml:space="preserve"> </w:t>
            </w:r>
            <w:r w:rsidRPr="00F619A4">
              <w:rPr>
                <w:rFonts w:cs="Sylfaen"/>
                <w:lang w:val="hy-AM"/>
              </w:rPr>
              <w:t>լրացումները։</w:t>
            </w:r>
            <w:r w:rsidRPr="00F619A4">
              <w:rPr>
                <w:lang w:val="hy-AM"/>
              </w:rPr>
              <w:t xml:space="preserve"> </w:t>
            </w:r>
          </w:p>
          <w:p w:rsidR="001F6D5D" w:rsidRPr="00F619A4" w:rsidRDefault="001F6D5D" w:rsidP="00277183">
            <w:pPr>
              <w:ind w:left="90" w:firstLine="630"/>
              <w:jc w:val="both"/>
              <w:rPr>
                <w:rFonts w:cs="Sylfaen"/>
                <w:lang w:val="hy-AM"/>
              </w:rPr>
            </w:pPr>
            <w:r w:rsidRPr="00F619A4">
              <w:rPr>
                <w:rFonts w:cs="Sylfaen"/>
                <w:lang w:val="hy-AM"/>
              </w:rPr>
              <w:t>Քրեադատավարական</w:t>
            </w:r>
            <w:r w:rsidRPr="00F619A4">
              <w:rPr>
                <w:lang w:val="hy-AM"/>
              </w:rPr>
              <w:t xml:space="preserve"> </w:t>
            </w:r>
            <w:r w:rsidRPr="00F619A4">
              <w:rPr>
                <w:rFonts w:cs="Sylfaen"/>
                <w:lang w:val="hy-AM"/>
              </w:rPr>
              <w:t>իրավահարաբերությունների</w:t>
            </w:r>
            <w:r w:rsidRPr="00F619A4">
              <w:rPr>
                <w:lang w:val="hy-AM"/>
              </w:rPr>
              <w:t xml:space="preserve"> </w:t>
            </w:r>
            <w:r w:rsidRPr="00F619A4">
              <w:rPr>
                <w:rFonts w:cs="Sylfaen"/>
                <w:lang w:val="hy-AM"/>
              </w:rPr>
              <w:t>կարգավորման</w:t>
            </w:r>
            <w:r w:rsidRPr="00F619A4">
              <w:rPr>
                <w:lang w:val="hy-AM"/>
              </w:rPr>
              <w:t xml:space="preserve"> </w:t>
            </w:r>
            <w:r w:rsidRPr="00F619A4">
              <w:rPr>
                <w:rFonts w:cs="Sylfaen"/>
                <w:lang w:val="hy-AM"/>
              </w:rPr>
              <w:t>գործընթացի</w:t>
            </w:r>
            <w:r w:rsidRPr="00F619A4">
              <w:rPr>
                <w:lang w:val="hy-AM"/>
              </w:rPr>
              <w:t xml:space="preserve"> </w:t>
            </w:r>
            <w:r w:rsidRPr="00F619A4">
              <w:rPr>
                <w:rFonts w:cs="Sylfaen"/>
                <w:lang w:val="hy-AM"/>
              </w:rPr>
              <w:t>վրա</w:t>
            </w:r>
            <w:r w:rsidRPr="00F619A4">
              <w:rPr>
                <w:lang w:val="hy-AM"/>
              </w:rPr>
              <w:t xml:space="preserve"> </w:t>
            </w:r>
            <w:r w:rsidRPr="00F619A4">
              <w:rPr>
                <w:rFonts w:cs="Sylfaen"/>
                <w:lang w:val="hy-AM"/>
              </w:rPr>
              <w:t>նշանակալի</w:t>
            </w:r>
            <w:r w:rsidRPr="00F619A4">
              <w:rPr>
                <w:lang w:val="hy-AM"/>
              </w:rPr>
              <w:t xml:space="preserve"> </w:t>
            </w:r>
            <w:r w:rsidRPr="00F619A4">
              <w:rPr>
                <w:rFonts w:cs="Sylfaen"/>
                <w:lang w:val="hy-AM"/>
              </w:rPr>
              <w:t>ազդեցություն</w:t>
            </w:r>
            <w:r w:rsidRPr="00F619A4">
              <w:rPr>
                <w:lang w:val="hy-AM"/>
              </w:rPr>
              <w:t xml:space="preserve"> </w:t>
            </w:r>
            <w:r w:rsidRPr="00F619A4">
              <w:rPr>
                <w:rFonts w:cs="Sylfaen"/>
                <w:lang w:val="hy-AM"/>
              </w:rPr>
              <w:t>ունեցավ</w:t>
            </w:r>
            <w:r w:rsidRPr="00F619A4">
              <w:rPr>
                <w:lang w:val="hy-AM"/>
              </w:rPr>
              <w:t xml:space="preserve"> </w:t>
            </w:r>
            <w:r w:rsidRPr="00F619A4">
              <w:rPr>
                <w:rFonts w:cs="Sylfaen"/>
                <w:lang w:val="hy-AM"/>
              </w:rPr>
              <w:t>նաև</w:t>
            </w:r>
            <w:r w:rsidRPr="00F619A4">
              <w:rPr>
                <w:lang w:val="hy-AM"/>
              </w:rPr>
              <w:t xml:space="preserve"> </w:t>
            </w:r>
            <w:r w:rsidRPr="00F619A4">
              <w:rPr>
                <w:rFonts w:cs="Sylfaen"/>
                <w:lang w:val="hy-AM"/>
              </w:rPr>
              <w:t>դատական</w:t>
            </w:r>
            <w:r w:rsidRPr="00F619A4">
              <w:rPr>
                <w:lang w:val="hy-AM"/>
              </w:rPr>
              <w:t xml:space="preserve"> </w:t>
            </w:r>
            <w:r w:rsidRPr="00F619A4">
              <w:rPr>
                <w:rFonts w:cs="Sylfaen"/>
                <w:lang w:val="hy-AM"/>
              </w:rPr>
              <w:t>պրակտիկան։</w:t>
            </w:r>
            <w:r w:rsidRPr="00F619A4">
              <w:rPr>
                <w:lang w:val="hy-AM"/>
              </w:rPr>
              <w:t xml:space="preserve"> </w:t>
            </w:r>
            <w:r w:rsidRPr="00F619A4">
              <w:rPr>
                <w:rFonts w:cs="Sylfaen"/>
                <w:lang w:val="hy-AM"/>
              </w:rPr>
              <w:t>Մասնավորապես</w:t>
            </w:r>
            <w:r w:rsidRPr="00F619A4">
              <w:rPr>
                <w:lang w:val="hy-AM"/>
              </w:rPr>
              <w:t xml:space="preserve">, </w:t>
            </w:r>
            <w:r w:rsidRPr="00F619A4">
              <w:rPr>
                <w:rFonts w:cs="Sylfaen"/>
                <w:lang w:val="hy-AM"/>
              </w:rPr>
              <w:t>Քրեական դատավարության գործող օրենսգրքի</w:t>
            </w:r>
            <w:r w:rsidRPr="00F619A4">
              <w:rPr>
                <w:lang w:val="hy-AM"/>
              </w:rPr>
              <w:t xml:space="preserve"> </w:t>
            </w:r>
            <w:r w:rsidRPr="00F619A4">
              <w:rPr>
                <w:rFonts w:cs="Sylfaen"/>
                <w:lang w:val="hy-AM"/>
              </w:rPr>
              <w:t>գործածության</w:t>
            </w:r>
            <w:r w:rsidRPr="00F619A4">
              <w:rPr>
                <w:lang w:val="hy-AM"/>
              </w:rPr>
              <w:t xml:space="preserve"> </w:t>
            </w:r>
            <w:r w:rsidRPr="00F619A4">
              <w:rPr>
                <w:rFonts w:cs="Sylfaen"/>
                <w:lang w:val="hy-AM"/>
              </w:rPr>
              <w:t>ընթացքում</w:t>
            </w:r>
            <w:r w:rsidRPr="00F619A4">
              <w:rPr>
                <w:lang w:val="hy-AM"/>
              </w:rPr>
              <w:t xml:space="preserve"> </w:t>
            </w:r>
            <w:r w:rsidRPr="00F619A4">
              <w:rPr>
                <w:rFonts w:cs="Sylfaen"/>
                <w:lang w:val="hy-AM"/>
              </w:rPr>
              <w:t>բացահայտված</w:t>
            </w:r>
            <w:r w:rsidRPr="00F619A4">
              <w:rPr>
                <w:lang w:val="hy-AM"/>
              </w:rPr>
              <w:t xml:space="preserve"> </w:t>
            </w:r>
            <w:r w:rsidRPr="00F619A4">
              <w:rPr>
                <w:rFonts w:cs="Sylfaen"/>
                <w:lang w:val="hy-AM"/>
              </w:rPr>
              <w:t>մի</w:t>
            </w:r>
            <w:r w:rsidRPr="00F619A4">
              <w:rPr>
                <w:lang w:val="hy-AM"/>
              </w:rPr>
              <w:t xml:space="preserve"> </w:t>
            </w:r>
            <w:r w:rsidRPr="00F619A4">
              <w:rPr>
                <w:rFonts w:cs="Sylfaen"/>
                <w:lang w:val="hy-AM"/>
              </w:rPr>
              <w:t>շարք</w:t>
            </w:r>
            <w:r w:rsidRPr="00F619A4">
              <w:rPr>
                <w:lang w:val="hy-AM"/>
              </w:rPr>
              <w:t xml:space="preserve"> </w:t>
            </w:r>
            <w:r w:rsidRPr="00F619A4">
              <w:rPr>
                <w:rFonts w:cs="Sylfaen"/>
                <w:lang w:val="hy-AM"/>
              </w:rPr>
              <w:t>թերություններ</w:t>
            </w:r>
            <w:r w:rsidRPr="00F619A4">
              <w:rPr>
                <w:lang w:val="hy-AM"/>
              </w:rPr>
              <w:t xml:space="preserve"> </w:t>
            </w:r>
            <w:r w:rsidRPr="00F619A4">
              <w:rPr>
                <w:rFonts w:cs="Sylfaen"/>
                <w:lang w:val="hy-AM"/>
              </w:rPr>
              <w:t>ու</w:t>
            </w:r>
            <w:r w:rsidRPr="00F619A4">
              <w:rPr>
                <w:lang w:val="hy-AM"/>
              </w:rPr>
              <w:t xml:space="preserve"> </w:t>
            </w:r>
            <w:r w:rsidRPr="00F619A4">
              <w:rPr>
                <w:rFonts w:cs="Sylfaen"/>
                <w:lang w:val="hy-AM"/>
              </w:rPr>
              <w:t>բացթողումներ</w:t>
            </w:r>
            <w:r w:rsidRPr="00F619A4">
              <w:rPr>
                <w:lang w:val="hy-AM"/>
              </w:rPr>
              <w:t xml:space="preserve"> </w:t>
            </w:r>
            <w:r w:rsidRPr="00F619A4">
              <w:rPr>
                <w:rFonts w:cs="Sylfaen"/>
                <w:lang w:val="hy-AM"/>
              </w:rPr>
              <w:t>իրենց</w:t>
            </w:r>
            <w:r w:rsidRPr="00F619A4">
              <w:rPr>
                <w:lang w:val="hy-AM"/>
              </w:rPr>
              <w:t xml:space="preserve"> </w:t>
            </w:r>
            <w:r w:rsidRPr="00F619A4">
              <w:rPr>
                <w:rFonts w:cs="Sylfaen"/>
                <w:lang w:val="hy-AM"/>
              </w:rPr>
              <w:t>գնահատականը</w:t>
            </w:r>
            <w:r w:rsidRPr="00F619A4">
              <w:rPr>
                <w:lang w:val="hy-AM"/>
              </w:rPr>
              <w:t xml:space="preserve"> </w:t>
            </w:r>
            <w:r w:rsidRPr="00F619A4">
              <w:rPr>
                <w:rFonts w:cs="Sylfaen"/>
                <w:lang w:val="hy-AM"/>
              </w:rPr>
              <w:t>ստացան</w:t>
            </w:r>
            <w:r w:rsidRPr="00F619A4">
              <w:rPr>
                <w:lang w:val="hy-AM"/>
              </w:rPr>
              <w:t xml:space="preserve"> </w:t>
            </w:r>
            <w:r w:rsidRPr="00F619A4">
              <w:rPr>
                <w:rFonts w:cs="Sylfaen"/>
                <w:lang w:val="hy-AM"/>
              </w:rPr>
              <w:t>ՀՀ</w:t>
            </w:r>
            <w:r w:rsidRPr="00F619A4">
              <w:rPr>
                <w:lang w:val="hy-AM"/>
              </w:rPr>
              <w:t xml:space="preserve"> </w:t>
            </w:r>
            <w:r w:rsidRPr="00F619A4">
              <w:rPr>
                <w:rFonts w:cs="Sylfaen"/>
                <w:lang w:val="hy-AM"/>
              </w:rPr>
              <w:t>սահմանադրական</w:t>
            </w:r>
            <w:r w:rsidRPr="00F619A4">
              <w:rPr>
                <w:lang w:val="hy-AM"/>
              </w:rPr>
              <w:t xml:space="preserve"> </w:t>
            </w:r>
            <w:r w:rsidRPr="00F619A4">
              <w:rPr>
                <w:rFonts w:cs="Sylfaen"/>
                <w:lang w:val="hy-AM"/>
              </w:rPr>
              <w:t>դատարանի</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ՀՀ</w:t>
            </w:r>
            <w:r w:rsidRPr="00F619A4">
              <w:rPr>
                <w:lang w:val="hy-AM"/>
              </w:rPr>
              <w:t xml:space="preserve"> </w:t>
            </w:r>
            <w:r w:rsidRPr="00F619A4">
              <w:rPr>
                <w:rFonts w:cs="Sylfaen"/>
                <w:lang w:val="hy-AM"/>
              </w:rPr>
              <w:t>վճռաբեկ</w:t>
            </w:r>
            <w:r w:rsidRPr="00F619A4">
              <w:rPr>
                <w:lang w:val="hy-AM"/>
              </w:rPr>
              <w:t xml:space="preserve"> </w:t>
            </w:r>
            <w:r w:rsidRPr="00F619A4">
              <w:rPr>
                <w:rFonts w:cs="Sylfaen"/>
                <w:lang w:val="hy-AM"/>
              </w:rPr>
              <w:t>դատարանի</w:t>
            </w:r>
            <w:r w:rsidRPr="00F619A4">
              <w:rPr>
                <w:lang w:val="hy-AM"/>
              </w:rPr>
              <w:t xml:space="preserve"> </w:t>
            </w:r>
            <w:r w:rsidRPr="00F619A4">
              <w:rPr>
                <w:rFonts w:cs="Sylfaen"/>
                <w:lang w:val="hy-AM"/>
              </w:rPr>
              <w:t>որոշումներում։</w:t>
            </w:r>
            <w:r w:rsidRPr="00F619A4">
              <w:rPr>
                <w:lang w:val="hy-AM"/>
              </w:rPr>
              <w:t xml:space="preserve"> </w:t>
            </w:r>
          </w:p>
          <w:p w:rsidR="001F6D5D" w:rsidRPr="00F619A4" w:rsidRDefault="001F6D5D" w:rsidP="00277183">
            <w:pPr>
              <w:ind w:left="90" w:firstLine="630"/>
              <w:jc w:val="both"/>
              <w:rPr>
                <w:rFonts w:cs="Sylfaen"/>
                <w:lang w:val="hy-AM"/>
              </w:rPr>
            </w:pPr>
            <w:r w:rsidRPr="00F619A4">
              <w:rPr>
                <w:rFonts w:cs="Sylfaen"/>
                <w:lang w:val="hy-AM"/>
              </w:rPr>
              <w:t>Ուստի, ներկայումս</w:t>
            </w:r>
            <w:r w:rsidRPr="00F619A4">
              <w:rPr>
                <w:lang w:val="hy-AM"/>
              </w:rPr>
              <w:t xml:space="preserve"> </w:t>
            </w:r>
            <w:r w:rsidRPr="00F619A4">
              <w:rPr>
                <w:rFonts w:cs="Sylfaen"/>
                <w:lang w:val="hy-AM"/>
              </w:rPr>
              <w:t>առկա</w:t>
            </w:r>
            <w:r w:rsidRPr="00F619A4">
              <w:rPr>
                <w:lang w:val="hy-AM"/>
              </w:rPr>
              <w:t xml:space="preserve"> </w:t>
            </w:r>
            <w:r w:rsidRPr="00F619A4">
              <w:rPr>
                <w:rFonts w:cs="Sylfaen"/>
                <w:lang w:val="hy-AM"/>
              </w:rPr>
              <w:t>են</w:t>
            </w:r>
            <w:r w:rsidRPr="00F619A4">
              <w:rPr>
                <w:lang w:val="hy-AM"/>
              </w:rPr>
              <w:t xml:space="preserve"> </w:t>
            </w:r>
            <w:r w:rsidRPr="00F619A4">
              <w:rPr>
                <w:rFonts w:cs="Sylfaen"/>
                <w:lang w:val="hy-AM"/>
              </w:rPr>
              <w:t>բոլոր</w:t>
            </w:r>
            <w:r w:rsidRPr="00F619A4">
              <w:rPr>
                <w:lang w:val="hy-AM"/>
              </w:rPr>
              <w:t xml:space="preserve"> </w:t>
            </w:r>
            <w:r w:rsidRPr="00F619A4">
              <w:rPr>
                <w:rFonts w:cs="Sylfaen"/>
                <w:lang w:val="hy-AM"/>
              </w:rPr>
              <w:t>այն</w:t>
            </w:r>
            <w:r w:rsidRPr="00F619A4">
              <w:rPr>
                <w:lang w:val="hy-AM"/>
              </w:rPr>
              <w:t xml:space="preserve"> </w:t>
            </w:r>
            <w:r w:rsidRPr="00F619A4">
              <w:rPr>
                <w:rFonts w:cs="Sylfaen"/>
                <w:lang w:val="hy-AM"/>
              </w:rPr>
              <w:t>օբյեկտիվ</w:t>
            </w:r>
            <w:r w:rsidRPr="00F619A4">
              <w:rPr>
                <w:lang w:val="hy-AM"/>
              </w:rPr>
              <w:t xml:space="preserve"> </w:t>
            </w:r>
            <w:r w:rsidRPr="00F619A4">
              <w:rPr>
                <w:rFonts w:cs="Sylfaen"/>
                <w:lang w:val="hy-AM"/>
              </w:rPr>
              <w:t>նախադրյալները</w:t>
            </w:r>
            <w:r w:rsidRPr="00F619A4">
              <w:rPr>
                <w:lang w:val="hy-AM"/>
              </w:rPr>
              <w:t xml:space="preserve"> (</w:t>
            </w:r>
            <w:r w:rsidRPr="00F619A4">
              <w:rPr>
                <w:rFonts w:cs="Sylfaen"/>
                <w:lang w:val="hy-AM"/>
              </w:rPr>
              <w:t>իրավական</w:t>
            </w:r>
            <w:r w:rsidRPr="00F619A4">
              <w:rPr>
                <w:lang w:val="hy-AM"/>
              </w:rPr>
              <w:t xml:space="preserve">, </w:t>
            </w:r>
            <w:r w:rsidRPr="00F619A4">
              <w:rPr>
                <w:rFonts w:cs="Sylfaen"/>
                <w:lang w:val="hy-AM"/>
              </w:rPr>
              <w:t>տնտեսական</w:t>
            </w:r>
            <w:r w:rsidRPr="00F619A4">
              <w:rPr>
                <w:lang w:val="hy-AM"/>
              </w:rPr>
              <w:t xml:space="preserve">, </w:t>
            </w:r>
            <w:r w:rsidRPr="00F619A4">
              <w:rPr>
                <w:rFonts w:cs="Sylfaen"/>
                <w:lang w:val="hy-AM"/>
              </w:rPr>
              <w:t>սոցիալական</w:t>
            </w:r>
            <w:r w:rsidRPr="00F619A4">
              <w:rPr>
                <w:lang w:val="hy-AM"/>
              </w:rPr>
              <w:t xml:space="preserve">, </w:t>
            </w:r>
            <w:r w:rsidRPr="00F619A4">
              <w:rPr>
                <w:rFonts w:cs="Sylfaen"/>
                <w:lang w:val="hy-AM"/>
              </w:rPr>
              <w:t>քաղաքական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այլն</w:t>
            </w:r>
            <w:r w:rsidRPr="00F619A4">
              <w:rPr>
                <w:lang w:val="hy-AM"/>
              </w:rPr>
              <w:t xml:space="preserve">), </w:t>
            </w:r>
            <w:r w:rsidRPr="00F619A4">
              <w:rPr>
                <w:rFonts w:cs="Sylfaen"/>
                <w:lang w:val="hy-AM"/>
              </w:rPr>
              <w:t>որոնց</w:t>
            </w:r>
            <w:r w:rsidRPr="00F619A4">
              <w:rPr>
                <w:lang w:val="hy-AM"/>
              </w:rPr>
              <w:t xml:space="preserve"> </w:t>
            </w:r>
            <w:r w:rsidRPr="00F619A4">
              <w:rPr>
                <w:rFonts w:cs="Sylfaen"/>
                <w:lang w:val="hy-AM"/>
              </w:rPr>
              <w:t>ամբողջությունը</w:t>
            </w:r>
            <w:r w:rsidRPr="00F619A4">
              <w:rPr>
                <w:lang w:val="hy-AM"/>
              </w:rPr>
              <w:t xml:space="preserve"> </w:t>
            </w:r>
            <w:r w:rsidRPr="00F619A4">
              <w:rPr>
                <w:rFonts w:cs="Sylfaen"/>
                <w:lang w:val="hy-AM"/>
              </w:rPr>
              <w:t>թույլ</w:t>
            </w:r>
            <w:r w:rsidRPr="00F619A4">
              <w:rPr>
                <w:lang w:val="hy-AM"/>
              </w:rPr>
              <w:t xml:space="preserve"> </w:t>
            </w:r>
            <w:r w:rsidRPr="00F619A4">
              <w:rPr>
                <w:rFonts w:cs="Sylfaen"/>
                <w:lang w:val="hy-AM"/>
              </w:rPr>
              <w:t>է</w:t>
            </w:r>
            <w:r w:rsidRPr="00F619A4">
              <w:rPr>
                <w:lang w:val="hy-AM"/>
              </w:rPr>
              <w:t xml:space="preserve"> </w:t>
            </w:r>
            <w:r w:rsidRPr="00F619A4">
              <w:rPr>
                <w:rFonts w:cs="Sylfaen"/>
                <w:lang w:val="hy-AM"/>
              </w:rPr>
              <w:t>տալիս</w:t>
            </w:r>
            <w:r w:rsidRPr="00F619A4">
              <w:rPr>
                <w:lang w:val="hy-AM"/>
              </w:rPr>
              <w:t xml:space="preserve"> </w:t>
            </w:r>
            <w:r w:rsidRPr="00F619A4">
              <w:rPr>
                <w:rFonts w:cs="Sylfaen"/>
                <w:lang w:val="hy-AM"/>
              </w:rPr>
              <w:t>խոսել</w:t>
            </w:r>
            <w:r w:rsidRPr="00F619A4">
              <w:rPr>
                <w:lang w:val="hy-AM"/>
              </w:rPr>
              <w:t xml:space="preserve"> </w:t>
            </w:r>
            <w:r w:rsidRPr="00F619A4">
              <w:rPr>
                <w:rFonts w:cs="Sylfaen"/>
                <w:lang w:val="hy-AM"/>
              </w:rPr>
              <w:t>ՀՀ քրեական և</w:t>
            </w:r>
            <w:r w:rsidRPr="00F619A4">
              <w:rPr>
                <w:lang w:val="hy-AM"/>
              </w:rPr>
              <w:t xml:space="preserve"> </w:t>
            </w:r>
            <w:r w:rsidRPr="00F619A4">
              <w:rPr>
                <w:rFonts w:cs="Sylfaen"/>
                <w:lang w:val="hy-AM"/>
              </w:rPr>
              <w:t>քրեական</w:t>
            </w:r>
            <w:r w:rsidRPr="00F619A4">
              <w:rPr>
                <w:lang w:val="hy-AM"/>
              </w:rPr>
              <w:t xml:space="preserve"> </w:t>
            </w:r>
            <w:r w:rsidRPr="00F619A4">
              <w:rPr>
                <w:rFonts w:cs="Sylfaen"/>
                <w:lang w:val="hy-AM"/>
              </w:rPr>
              <w:t>դատավարության</w:t>
            </w:r>
            <w:r w:rsidRPr="00F619A4">
              <w:rPr>
                <w:lang w:val="hy-AM"/>
              </w:rPr>
              <w:t xml:space="preserve"> </w:t>
            </w:r>
            <w:r w:rsidRPr="00F619A4">
              <w:rPr>
                <w:rFonts w:cs="Sylfaen"/>
                <w:lang w:val="hy-AM"/>
              </w:rPr>
              <w:t>նոր</w:t>
            </w:r>
            <w:r w:rsidRPr="00F619A4">
              <w:rPr>
                <w:lang w:val="hy-AM"/>
              </w:rPr>
              <w:t xml:space="preserve"> </w:t>
            </w:r>
            <w:r w:rsidRPr="00F619A4">
              <w:rPr>
                <w:rFonts w:cs="Sylfaen"/>
                <w:lang w:val="hy-AM"/>
              </w:rPr>
              <w:t>օրենսգրքերիի</w:t>
            </w:r>
            <w:r w:rsidRPr="00F619A4">
              <w:rPr>
                <w:lang w:val="hy-AM"/>
              </w:rPr>
              <w:t xml:space="preserve"> </w:t>
            </w:r>
            <w:r w:rsidRPr="00F619A4">
              <w:rPr>
                <w:rFonts w:cs="Sylfaen"/>
                <w:lang w:val="hy-AM"/>
              </w:rPr>
              <w:t>անհրաժեշտության</w:t>
            </w:r>
            <w:r w:rsidRPr="00F619A4">
              <w:rPr>
                <w:lang w:val="hy-AM"/>
              </w:rPr>
              <w:t xml:space="preserve"> </w:t>
            </w:r>
            <w:r w:rsidRPr="00F619A4">
              <w:rPr>
                <w:rFonts w:cs="Sylfaen"/>
                <w:lang w:val="hy-AM"/>
              </w:rPr>
              <w:t>մասին</w:t>
            </w:r>
            <w:r w:rsidRPr="00F619A4">
              <w:rPr>
                <w:rFonts w:cs="Tahoma"/>
                <w:lang w:val="hy-AM"/>
              </w:rPr>
              <w:t>։</w:t>
            </w:r>
          </w:p>
          <w:p w:rsidR="001F6D5D" w:rsidRPr="00F619A4" w:rsidRDefault="001F6D5D" w:rsidP="00277183">
            <w:pPr>
              <w:jc w:val="both"/>
              <w:rPr>
                <w:b/>
                <w:lang w:val="hy-AM"/>
              </w:rPr>
            </w:pPr>
            <w:r w:rsidRPr="00F619A4">
              <w:rPr>
                <w:b/>
                <w:lang w:val="hy-AM"/>
              </w:rPr>
              <w:t>1.2 Առկա խնդիրների առաջարկվող լուծումները</w:t>
            </w:r>
          </w:p>
          <w:p w:rsidR="001F6D5D" w:rsidRPr="00F619A4" w:rsidRDefault="001F6D5D" w:rsidP="00277183">
            <w:pPr>
              <w:jc w:val="both"/>
              <w:rPr>
                <w:lang w:val="hy-AM"/>
              </w:rPr>
            </w:pPr>
            <w:r w:rsidRPr="00F619A4">
              <w:rPr>
                <w:rFonts w:cs="Sylfaen"/>
                <w:lang w:val="hy-AM"/>
              </w:rPr>
              <w:t>Նոր</w:t>
            </w:r>
            <w:r w:rsidRPr="00F619A4">
              <w:rPr>
                <w:lang w:val="hy-AM"/>
              </w:rPr>
              <w:t xml:space="preserve"> </w:t>
            </w:r>
            <w:r w:rsidRPr="00F619A4">
              <w:rPr>
                <w:rFonts w:cs="Sylfaen"/>
                <w:lang w:val="hy-AM"/>
              </w:rPr>
              <w:t>քրեական</w:t>
            </w:r>
            <w:r w:rsidRPr="00F619A4">
              <w:rPr>
                <w:lang w:val="hy-AM"/>
              </w:rPr>
              <w:t xml:space="preserve"> </w:t>
            </w:r>
            <w:r w:rsidRPr="00F619A4">
              <w:rPr>
                <w:rFonts w:cs="Sylfaen"/>
                <w:lang w:val="hy-AM"/>
              </w:rPr>
              <w:t>օրենսգիրքը</w:t>
            </w:r>
            <w:r w:rsidRPr="00F619A4">
              <w:rPr>
                <w:lang w:val="hy-AM"/>
              </w:rPr>
              <w:t xml:space="preserve"> </w:t>
            </w:r>
            <w:r w:rsidRPr="00F619A4">
              <w:rPr>
                <w:rFonts w:cs="Sylfaen"/>
                <w:lang w:val="hy-AM"/>
              </w:rPr>
              <w:t>նպատակ</w:t>
            </w:r>
            <w:r w:rsidRPr="00F619A4">
              <w:rPr>
                <w:lang w:val="hy-AM"/>
              </w:rPr>
              <w:t xml:space="preserve"> </w:t>
            </w:r>
            <w:r w:rsidRPr="00F619A4">
              <w:rPr>
                <w:rFonts w:cs="Sylfaen"/>
                <w:lang w:val="hy-AM"/>
              </w:rPr>
              <w:t>է հետապնդում լուծել հետևյալ</w:t>
            </w:r>
            <w:r w:rsidRPr="00F619A4">
              <w:rPr>
                <w:lang w:val="hy-AM"/>
              </w:rPr>
              <w:t xml:space="preserve"> </w:t>
            </w:r>
            <w:r w:rsidRPr="00F619A4">
              <w:rPr>
                <w:rFonts w:cs="Sylfaen"/>
                <w:lang w:val="hy-AM"/>
              </w:rPr>
              <w:t>խնդիրները</w:t>
            </w:r>
            <w:r w:rsidRPr="00F619A4">
              <w:rPr>
                <w:lang w:val="hy-AM"/>
              </w:rPr>
              <w:t>՝</w:t>
            </w:r>
          </w:p>
          <w:p w:rsidR="001F6D5D" w:rsidRPr="00F619A4" w:rsidRDefault="001F6D5D" w:rsidP="001F6D5D">
            <w:pPr>
              <w:pStyle w:val="ListParagraph"/>
              <w:numPr>
                <w:ilvl w:val="0"/>
                <w:numId w:val="514"/>
              </w:numPr>
              <w:tabs>
                <w:tab w:val="left" w:pos="1080"/>
                <w:tab w:val="left" w:pos="1710"/>
              </w:tabs>
              <w:spacing w:after="200" w:line="276" w:lineRule="auto"/>
              <w:ind w:left="90" w:firstLine="630"/>
              <w:jc w:val="both"/>
              <w:rPr>
                <w:lang w:val="hy-AM"/>
              </w:rPr>
            </w:pPr>
            <w:r w:rsidRPr="00F619A4">
              <w:rPr>
                <w:rFonts w:cs="Sylfaen"/>
                <w:lang w:val="hy-AM"/>
              </w:rPr>
              <w:t>ապահովել</w:t>
            </w:r>
            <w:r w:rsidRPr="00F619A4">
              <w:rPr>
                <w:lang w:val="hy-AM"/>
              </w:rPr>
              <w:t xml:space="preserve"> </w:t>
            </w:r>
            <w:r w:rsidRPr="00F619A4">
              <w:rPr>
                <w:rFonts w:cs="Sylfaen"/>
                <w:lang w:val="hy-AM"/>
              </w:rPr>
              <w:t>անձի</w:t>
            </w:r>
            <w:r w:rsidRPr="00F619A4">
              <w:rPr>
                <w:lang w:val="hy-AM"/>
              </w:rPr>
              <w:t xml:space="preserve">, </w:t>
            </w:r>
            <w:r w:rsidRPr="00F619A4">
              <w:rPr>
                <w:rFonts w:cs="Sylfaen"/>
                <w:lang w:val="hy-AM"/>
              </w:rPr>
              <w:t>հասարակության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պետության</w:t>
            </w:r>
            <w:r w:rsidRPr="00F619A4">
              <w:rPr>
                <w:lang w:val="hy-AM"/>
              </w:rPr>
              <w:t xml:space="preserve"> </w:t>
            </w:r>
            <w:r w:rsidRPr="00F619A4">
              <w:rPr>
                <w:rFonts w:cs="Sylfaen"/>
                <w:lang w:val="hy-AM"/>
              </w:rPr>
              <w:t>անվտանգությունը</w:t>
            </w:r>
            <w:r w:rsidRPr="00F619A4">
              <w:rPr>
                <w:lang w:val="hy-AM"/>
              </w:rPr>
              <w:t xml:space="preserve"> </w:t>
            </w:r>
            <w:r w:rsidRPr="00F619A4">
              <w:rPr>
                <w:rFonts w:cs="Sylfaen"/>
                <w:lang w:val="hy-AM"/>
              </w:rPr>
              <w:t>հանցավոր</w:t>
            </w:r>
            <w:r w:rsidRPr="00F619A4">
              <w:rPr>
                <w:lang w:val="hy-AM"/>
              </w:rPr>
              <w:t xml:space="preserve"> </w:t>
            </w:r>
            <w:r w:rsidRPr="00F619A4">
              <w:rPr>
                <w:rFonts w:cs="Sylfaen"/>
                <w:lang w:val="hy-AM"/>
              </w:rPr>
              <w:t>ոտնձգություններից</w:t>
            </w:r>
            <w:r w:rsidRPr="00F619A4">
              <w:rPr>
                <w:lang w:val="hy-AM"/>
              </w:rPr>
              <w:t>.</w:t>
            </w:r>
          </w:p>
          <w:p w:rsidR="001F6D5D" w:rsidRPr="00F619A4" w:rsidRDefault="001F6D5D" w:rsidP="001F6D5D">
            <w:pPr>
              <w:pStyle w:val="ListParagraph"/>
              <w:numPr>
                <w:ilvl w:val="0"/>
                <w:numId w:val="514"/>
              </w:numPr>
              <w:tabs>
                <w:tab w:val="left" w:pos="1080"/>
                <w:tab w:val="left" w:pos="1710"/>
              </w:tabs>
              <w:spacing w:after="200" w:line="276" w:lineRule="auto"/>
              <w:ind w:left="90" w:firstLine="630"/>
              <w:jc w:val="both"/>
              <w:rPr>
                <w:lang w:val="hy-AM"/>
              </w:rPr>
            </w:pPr>
            <w:r w:rsidRPr="00F619A4">
              <w:rPr>
                <w:rFonts w:cs="Sylfaen"/>
                <w:lang w:val="hy-AM"/>
              </w:rPr>
              <w:t>հնարավորինս</w:t>
            </w:r>
            <w:r w:rsidRPr="00F619A4">
              <w:rPr>
                <w:lang w:val="hy-AM"/>
              </w:rPr>
              <w:t xml:space="preserve"> </w:t>
            </w:r>
            <w:r w:rsidRPr="00F619A4">
              <w:rPr>
                <w:rFonts w:cs="Sylfaen"/>
                <w:lang w:val="hy-AM"/>
              </w:rPr>
              <w:t>նվազեցնել</w:t>
            </w:r>
            <w:r w:rsidRPr="00F619A4">
              <w:rPr>
                <w:lang w:val="hy-AM"/>
              </w:rPr>
              <w:t xml:space="preserve"> </w:t>
            </w:r>
            <w:r w:rsidRPr="00F619A4">
              <w:rPr>
                <w:rFonts w:cs="Sylfaen"/>
                <w:lang w:val="hy-AM"/>
              </w:rPr>
              <w:t>հանցավորությամբ</w:t>
            </w:r>
            <w:r w:rsidRPr="00F619A4">
              <w:rPr>
                <w:lang w:val="hy-AM"/>
              </w:rPr>
              <w:t xml:space="preserve"> </w:t>
            </w:r>
            <w:r w:rsidRPr="00F619A4">
              <w:rPr>
                <w:rFonts w:cs="Sylfaen"/>
                <w:lang w:val="hy-AM"/>
              </w:rPr>
              <w:t>պայմանավորված</w:t>
            </w:r>
            <w:r w:rsidRPr="00F619A4">
              <w:rPr>
                <w:lang w:val="hy-AM"/>
              </w:rPr>
              <w:t xml:space="preserve"> </w:t>
            </w:r>
            <w:r w:rsidRPr="00F619A4">
              <w:rPr>
                <w:rFonts w:cs="Sylfaen"/>
                <w:lang w:val="hy-AM"/>
              </w:rPr>
              <w:t>սոցիալական</w:t>
            </w:r>
            <w:r w:rsidRPr="00F619A4">
              <w:rPr>
                <w:lang w:val="hy-AM"/>
              </w:rPr>
              <w:t xml:space="preserve"> </w:t>
            </w:r>
            <w:r w:rsidRPr="00F619A4">
              <w:rPr>
                <w:rFonts w:cs="Sylfaen"/>
                <w:lang w:val="hy-AM"/>
              </w:rPr>
              <w:t>լարվածությունը</w:t>
            </w:r>
            <w:r w:rsidRPr="00F619A4">
              <w:rPr>
                <w:lang w:val="hy-AM"/>
              </w:rPr>
              <w:t>.</w:t>
            </w:r>
          </w:p>
          <w:p w:rsidR="001F6D5D" w:rsidRPr="00F619A4" w:rsidRDefault="001F6D5D" w:rsidP="001F6D5D">
            <w:pPr>
              <w:pStyle w:val="ListParagraph"/>
              <w:numPr>
                <w:ilvl w:val="0"/>
                <w:numId w:val="514"/>
              </w:numPr>
              <w:tabs>
                <w:tab w:val="left" w:pos="1080"/>
                <w:tab w:val="left" w:pos="1710"/>
              </w:tabs>
              <w:spacing w:after="200" w:line="276" w:lineRule="auto"/>
              <w:ind w:left="90" w:firstLine="630"/>
              <w:jc w:val="both"/>
              <w:rPr>
                <w:lang w:val="hy-AM"/>
              </w:rPr>
            </w:pPr>
            <w:r w:rsidRPr="00F619A4">
              <w:rPr>
                <w:rFonts w:cs="Sylfaen"/>
                <w:lang w:val="hy-AM"/>
              </w:rPr>
              <w:t>ապահովել</w:t>
            </w:r>
            <w:r w:rsidRPr="00F619A4">
              <w:rPr>
                <w:lang w:val="hy-AM"/>
              </w:rPr>
              <w:t xml:space="preserve"> </w:t>
            </w:r>
            <w:r w:rsidRPr="00F619A4">
              <w:rPr>
                <w:rFonts w:cs="Sylfaen"/>
                <w:lang w:val="hy-AM"/>
              </w:rPr>
              <w:t>քրեական</w:t>
            </w:r>
            <w:r w:rsidRPr="00F619A4">
              <w:rPr>
                <w:lang w:val="hy-AM"/>
              </w:rPr>
              <w:t xml:space="preserve"> </w:t>
            </w:r>
            <w:r w:rsidRPr="00F619A4">
              <w:rPr>
                <w:rFonts w:cs="Sylfaen"/>
                <w:lang w:val="hy-AM"/>
              </w:rPr>
              <w:t>օրենսդրության</w:t>
            </w:r>
            <w:r w:rsidRPr="00F619A4">
              <w:rPr>
                <w:lang w:val="hy-AM"/>
              </w:rPr>
              <w:t xml:space="preserve"> </w:t>
            </w:r>
            <w:r w:rsidRPr="00F619A4">
              <w:rPr>
                <w:rFonts w:cs="Sylfaen"/>
                <w:lang w:val="hy-AM"/>
              </w:rPr>
              <w:t>համապատասխանությունը</w:t>
            </w:r>
            <w:r w:rsidRPr="00F619A4">
              <w:rPr>
                <w:lang w:val="hy-AM"/>
              </w:rPr>
              <w:t xml:space="preserve"> </w:t>
            </w:r>
            <w:r w:rsidRPr="00F619A4">
              <w:rPr>
                <w:rFonts w:cs="Sylfaen"/>
                <w:lang w:val="hy-AM"/>
              </w:rPr>
              <w:t>հանցավորության</w:t>
            </w:r>
            <w:r w:rsidRPr="00F619A4">
              <w:rPr>
                <w:lang w:val="hy-AM"/>
              </w:rPr>
              <w:t xml:space="preserve"> </w:t>
            </w:r>
            <w:r w:rsidRPr="00F619A4">
              <w:rPr>
                <w:rFonts w:cs="Sylfaen"/>
                <w:lang w:val="hy-AM"/>
              </w:rPr>
              <w:t>զարգացման</w:t>
            </w:r>
            <w:r w:rsidRPr="00F619A4">
              <w:rPr>
                <w:lang w:val="hy-AM"/>
              </w:rPr>
              <w:t xml:space="preserve"> </w:t>
            </w:r>
            <w:r w:rsidRPr="00F619A4">
              <w:rPr>
                <w:rFonts w:cs="Sylfaen"/>
                <w:lang w:val="hy-AM"/>
              </w:rPr>
              <w:t>ժամանակակից</w:t>
            </w:r>
            <w:r w:rsidRPr="00F619A4">
              <w:rPr>
                <w:lang w:val="hy-AM"/>
              </w:rPr>
              <w:t xml:space="preserve"> </w:t>
            </w:r>
            <w:r w:rsidRPr="00F619A4">
              <w:rPr>
                <w:rFonts w:cs="Sylfaen"/>
                <w:lang w:val="hy-AM"/>
              </w:rPr>
              <w:t>միտումներին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կրիմինալ</w:t>
            </w:r>
            <w:r w:rsidRPr="00F619A4">
              <w:rPr>
                <w:lang w:val="hy-AM"/>
              </w:rPr>
              <w:t xml:space="preserve"> </w:t>
            </w:r>
            <w:r w:rsidRPr="00F619A4">
              <w:rPr>
                <w:rFonts w:cs="Sylfaen"/>
                <w:lang w:val="hy-AM"/>
              </w:rPr>
              <w:t>սպառնալիքներին</w:t>
            </w:r>
            <w:r w:rsidRPr="00F619A4">
              <w:rPr>
                <w:lang w:val="hy-AM"/>
              </w:rPr>
              <w:t>.</w:t>
            </w:r>
          </w:p>
          <w:p w:rsidR="001F6D5D" w:rsidRPr="00F619A4" w:rsidRDefault="001F6D5D" w:rsidP="001F6D5D">
            <w:pPr>
              <w:pStyle w:val="ListParagraph"/>
              <w:numPr>
                <w:ilvl w:val="0"/>
                <w:numId w:val="514"/>
              </w:numPr>
              <w:tabs>
                <w:tab w:val="left" w:pos="1080"/>
                <w:tab w:val="left" w:pos="1710"/>
              </w:tabs>
              <w:spacing w:after="200" w:line="276" w:lineRule="auto"/>
              <w:ind w:left="90" w:firstLine="630"/>
              <w:jc w:val="both"/>
              <w:rPr>
                <w:lang w:val="hy-AM"/>
              </w:rPr>
            </w:pPr>
            <w:r w:rsidRPr="00F619A4">
              <w:rPr>
                <w:rFonts w:cs="Sylfaen"/>
                <w:lang w:val="hy-AM"/>
              </w:rPr>
              <w:t>ամրագրել</w:t>
            </w:r>
            <w:r w:rsidRPr="00F619A4">
              <w:rPr>
                <w:lang w:val="hy-AM"/>
              </w:rPr>
              <w:t xml:space="preserve"> </w:t>
            </w:r>
            <w:r w:rsidRPr="00F619A4">
              <w:rPr>
                <w:rFonts w:cs="Sylfaen"/>
                <w:lang w:val="hy-AM"/>
              </w:rPr>
              <w:t>հանցավոր</w:t>
            </w:r>
            <w:r w:rsidRPr="00F619A4">
              <w:rPr>
                <w:lang w:val="hy-AM"/>
              </w:rPr>
              <w:t xml:space="preserve"> </w:t>
            </w:r>
            <w:r w:rsidRPr="00F619A4">
              <w:rPr>
                <w:rFonts w:cs="Sylfaen"/>
                <w:lang w:val="hy-AM"/>
              </w:rPr>
              <w:t>արարքները</w:t>
            </w:r>
            <w:r w:rsidRPr="00F619A4">
              <w:rPr>
                <w:lang w:val="hy-AM"/>
              </w:rPr>
              <w:t xml:space="preserve"> </w:t>
            </w:r>
            <w:r w:rsidRPr="00F619A4">
              <w:rPr>
                <w:rFonts w:cs="Sylfaen"/>
                <w:lang w:val="hy-AM"/>
              </w:rPr>
              <w:t>ոչ</w:t>
            </w:r>
            <w:r w:rsidRPr="00F619A4">
              <w:rPr>
                <w:lang w:val="hy-AM"/>
              </w:rPr>
              <w:t xml:space="preserve"> </w:t>
            </w:r>
            <w:r w:rsidRPr="00F619A4">
              <w:rPr>
                <w:rFonts w:cs="Sylfaen"/>
                <w:lang w:val="hy-AM"/>
              </w:rPr>
              <w:t>հանցավորներից</w:t>
            </w:r>
            <w:r w:rsidRPr="00F619A4">
              <w:rPr>
                <w:lang w:val="hy-AM"/>
              </w:rPr>
              <w:t xml:space="preserve"> </w:t>
            </w:r>
            <w:r w:rsidRPr="00F619A4">
              <w:rPr>
                <w:rFonts w:cs="Sylfaen"/>
                <w:lang w:val="hy-AM"/>
              </w:rPr>
              <w:t>սահմանազատելու</w:t>
            </w:r>
            <w:r w:rsidRPr="00F619A4">
              <w:rPr>
                <w:lang w:val="hy-AM"/>
              </w:rPr>
              <w:t xml:space="preserve"> </w:t>
            </w:r>
            <w:r w:rsidRPr="00F619A4">
              <w:rPr>
                <w:rFonts w:cs="Sylfaen"/>
                <w:lang w:val="hy-AM"/>
              </w:rPr>
              <w:t>հստակ</w:t>
            </w:r>
            <w:r w:rsidRPr="00F619A4">
              <w:rPr>
                <w:lang w:val="hy-AM"/>
              </w:rPr>
              <w:t xml:space="preserve"> </w:t>
            </w:r>
            <w:r w:rsidRPr="00F619A4">
              <w:rPr>
                <w:rFonts w:cs="Sylfaen"/>
                <w:lang w:val="hy-AM"/>
              </w:rPr>
              <w:t>հատկանիշներ</w:t>
            </w:r>
            <w:r w:rsidRPr="00F619A4">
              <w:rPr>
                <w:lang w:val="hy-AM"/>
              </w:rPr>
              <w:t xml:space="preserve">, </w:t>
            </w:r>
            <w:r w:rsidRPr="00F619A4">
              <w:rPr>
                <w:rFonts w:cs="Sylfaen"/>
                <w:lang w:val="hy-AM"/>
              </w:rPr>
              <w:t>որոնք</w:t>
            </w:r>
            <w:r w:rsidRPr="00F619A4">
              <w:rPr>
                <w:lang w:val="hy-AM"/>
              </w:rPr>
              <w:t xml:space="preserve"> </w:t>
            </w:r>
            <w:r w:rsidRPr="00F619A4">
              <w:rPr>
                <w:rFonts w:cs="Sylfaen"/>
                <w:lang w:val="hy-AM"/>
              </w:rPr>
              <w:t>կբացառեն</w:t>
            </w:r>
            <w:r w:rsidRPr="00F619A4">
              <w:rPr>
                <w:lang w:val="hy-AM"/>
              </w:rPr>
              <w:t xml:space="preserve"> </w:t>
            </w:r>
            <w:r w:rsidRPr="00F619A4">
              <w:rPr>
                <w:rFonts w:cs="Sylfaen"/>
                <w:lang w:val="hy-AM"/>
              </w:rPr>
              <w:t>օրենքի</w:t>
            </w:r>
            <w:r w:rsidRPr="00F619A4">
              <w:rPr>
                <w:lang w:val="hy-AM"/>
              </w:rPr>
              <w:t xml:space="preserve"> </w:t>
            </w:r>
            <w:r w:rsidRPr="00F619A4">
              <w:rPr>
                <w:rFonts w:cs="Sylfaen"/>
                <w:lang w:val="hy-AM"/>
              </w:rPr>
              <w:t>տարածական</w:t>
            </w:r>
            <w:r w:rsidRPr="00F619A4">
              <w:rPr>
                <w:lang w:val="hy-AM"/>
              </w:rPr>
              <w:t xml:space="preserve"> </w:t>
            </w:r>
            <w:r w:rsidRPr="00F619A4">
              <w:rPr>
                <w:rFonts w:cs="Sylfaen"/>
                <w:lang w:val="hy-AM"/>
              </w:rPr>
              <w:t>մեկնաբանությունը</w:t>
            </w:r>
            <w:r w:rsidRPr="00F619A4">
              <w:rPr>
                <w:lang w:val="hy-AM"/>
              </w:rPr>
              <w:t>.</w:t>
            </w:r>
          </w:p>
          <w:p w:rsidR="001F6D5D" w:rsidRPr="00F619A4" w:rsidRDefault="001F6D5D" w:rsidP="001F6D5D">
            <w:pPr>
              <w:pStyle w:val="ListParagraph"/>
              <w:numPr>
                <w:ilvl w:val="0"/>
                <w:numId w:val="514"/>
              </w:numPr>
              <w:tabs>
                <w:tab w:val="left" w:pos="1080"/>
                <w:tab w:val="left" w:pos="1710"/>
              </w:tabs>
              <w:spacing w:after="200" w:line="276" w:lineRule="auto"/>
              <w:ind w:left="90" w:firstLine="630"/>
              <w:jc w:val="both"/>
              <w:rPr>
                <w:lang w:val="hy-AM"/>
              </w:rPr>
            </w:pPr>
            <w:r w:rsidRPr="00F619A4">
              <w:rPr>
                <w:lang w:val="hy-AM"/>
              </w:rPr>
              <w:t xml:space="preserve"> </w:t>
            </w:r>
            <w:r w:rsidRPr="00F619A4">
              <w:rPr>
                <w:rFonts w:cs="Sylfaen"/>
                <w:lang w:val="hy-AM"/>
              </w:rPr>
              <w:t>երաշխավորել</w:t>
            </w:r>
            <w:r w:rsidRPr="00F619A4">
              <w:rPr>
                <w:lang w:val="hy-AM"/>
              </w:rPr>
              <w:t xml:space="preserve"> </w:t>
            </w:r>
            <w:r w:rsidRPr="00F619A4">
              <w:rPr>
                <w:rFonts w:cs="Sylfaen"/>
                <w:lang w:val="hy-AM"/>
              </w:rPr>
              <w:t>հանցագործության</w:t>
            </w:r>
            <w:r w:rsidRPr="00F619A4">
              <w:rPr>
                <w:lang w:val="hy-AM"/>
              </w:rPr>
              <w:t xml:space="preserve"> </w:t>
            </w:r>
            <w:r w:rsidRPr="00F619A4">
              <w:rPr>
                <w:rFonts w:cs="Sylfaen"/>
                <w:lang w:val="hy-AM"/>
              </w:rPr>
              <w:t>զոհի</w:t>
            </w:r>
            <w:r w:rsidRPr="00F619A4">
              <w:rPr>
                <w:lang w:val="hy-AM"/>
              </w:rPr>
              <w:t xml:space="preserve"> (</w:t>
            </w:r>
            <w:r w:rsidRPr="00F619A4">
              <w:rPr>
                <w:rFonts w:cs="Sylfaen"/>
                <w:lang w:val="hy-AM"/>
              </w:rPr>
              <w:t>տուժողի</w:t>
            </w:r>
            <w:r w:rsidRPr="00F619A4">
              <w:rPr>
                <w:lang w:val="hy-AM"/>
              </w:rPr>
              <w:t xml:space="preserve">) </w:t>
            </w:r>
            <w:r w:rsidRPr="00F619A4">
              <w:rPr>
                <w:rFonts w:cs="Sylfaen"/>
                <w:lang w:val="hy-AM"/>
              </w:rPr>
              <w:t>իրավունքների</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ազատությունների</w:t>
            </w:r>
            <w:r w:rsidRPr="00F619A4">
              <w:rPr>
                <w:lang w:val="hy-AM"/>
              </w:rPr>
              <w:t xml:space="preserve"> </w:t>
            </w:r>
            <w:r w:rsidRPr="00F619A4">
              <w:rPr>
                <w:rFonts w:cs="Sylfaen"/>
                <w:lang w:val="hy-AM"/>
              </w:rPr>
              <w:t>պաշտպանությունը</w:t>
            </w:r>
            <w:r w:rsidRPr="00F619A4">
              <w:rPr>
                <w:lang w:val="hy-AM"/>
              </w:rPr>
              <w:t xml:space="preserve">, </w:t>
            </w:r>
            <w:r w:rsidRPr="00F619A4">
              <w:rPr>
                <w:rFonts w:cs="Sylfaen"/>
                <w:lang w:val="hy-AM"/>
              </w:rPr>
              <w:t>առավելագույն</w:t>
            </w:r>
            <w:r w:rsidRPr="00F619A4">
              <w:rPr>
                <w:lang w:val="hy-AM"/>
              </w:rPr>
              <w:t xml:space="preserve"> </w:t>
            </w:r>
            <w:r w:rsidRPr="00F619A4">
              <w:rPr>
                <w:rFonts w:cs="Sylfaen"/>
                <w:lang w:val="hy-AM"/>
              </w:rPr>
              <w:t>պայմաններ</w:t>
            </w:r>
            <w:r w:rsidRPr="00F619A4">
              <w:rPr>
                <w:lang w:val="hy-AM"/>
              </w:rPr>
              <w:t xml:space="preserve"> </w:t>
            </w:r>
            <w:r w:rsidRPr="00F619A4">
              <w:rPr>
                <w:rFonts w:cs="Sylfaen"/>
                <w:lang w:val="hy-AM"/>
              </w:rPr>
              <w:t>ստեղծել</w:t>
            </w:r>
            <w:r w:rsidRPr="00F619A4">
              <w:rPr>
                <w:lang w:val="hy-AM"/>
              </w:rPr>
              <w:t xml:space="preserve"> </w:t>
            </w:r>
            <w:r w:rsidRPr="00F619A4">
              <w:rPr>
                <w:rFonts w:cs="Sylfaen"/>
                <w:lang w:val="hy-AM"/>
              </w:rPr>
              <w:t>հանցագործությամբ</w:t>
            </w:r>
            <w:r w:rsidRPr="00F619A4">
              <w:rPr>
                <w:lang w:val="hy-AM"/>
              </w:rPr>
              <w:t xml:space="preserve"> </w:t>
            </w:r>
            <w:r w:rsidRPr="00F619A4">
              <w:rPr>
                <w:rFonts w:cs="Sylfaen"/>
                <w:lang w:val="hy-AM"/>
              </w:rPr>
              <w:t>պատճառված</w:t>
            </w:r>
            <w:r w:rsidRPr="00F619A4">
              <w:rPr>
                <w:lang w:val="hy-AM"/>
              </w:rPr>
              <w:t xml:space="preserve"> </w:t>
            </w:r>
            <w:r w:rsidRPr="00F619A4">
              <w:rPr>
                <w:rFonts w:cs="Sylfaen"/>
                <w:lang w:val="hy-AM"/>
              </w:rPr>
              <w:t>վնասի</w:t>
            </w:r>
            <w:r w:rsidRPr="00F619A4">
              <w:rPr>
                <w:lang w:val="hy-AM"/>
              </w:rPr>
              <w:t xml:space="preserve"> </w:t>
            </w:r>
            <w:r w:rsidRPr="00F619A4">
              <w:rPr>
                <w:rFonts w:cs="Sylfaen"/>
                <w:lang w:val="hy-AM"/>
              </w:rPr>
              <w:t>հատուցման</w:t>
            </w:r>
            <w:r w:rsidRPr="00F619A4">
              <w:rPr>
                <w:lang w:val="hy-AM"/>
              </w:rPr>
              <w:t xml:space="preserve"> </w:t>
            </w:r>
            <w:r w:rsidRPr="00F619A4">
              <w:rPr>
                <w:rFonts w:cs="Sylfaen"/>
                <w:lang w:val="hy-AM"/>
              </w:rPr>
              <w:t>իրավունքն</w:t>
            </w:r>
            <w:r w:rsidRPr="00F619A4">
              <w:rPr>
                <w:lang w:val="hy-AM"/>
              </w:rPr>
              <w:t xml:space="preserve"> </w:t>
            </w:r>
            <w:r w:rsidRPr="00F619A4">
              <w:rPr>
                <w:rFonts w:cs="Sylfaen"/>
                <w:lang w:val="hy-AM"/>
              </w:rPr>
              <w:t>իրականացնելու</w:t>
            </w:r>
            <w:r w:rsidRPr="00F619A4">
              <w:rPr>
                <w:lang w:val="hy-AM"/>
              </w:rPr>
              <w:t xml:space="preserve"> </w:t>
            </w:r>
            <w:r w:rsidRPr="00F619A4">
              <w:rPr>
                <w:rFonts w:cs="Sylfaen"/>
                <w:lang w:val="hy-AM"/>
              </w:rPr>
              <w:t>համար</w:t>
            </w:r>
            <w:r w:rsidRPr="00F619A4">
              <w:rPr>
                <w:lang w:val="hy-AM"/>
              </w:rPr>
              <w:t>.</w:t>
            </w:r>
          </w:p>
          <w:p w:rsidR="001F6D5D" w:rsidRPr="00F619A4" w:rsidRDefault="001F6D5D" w:rsidP="001F6D5D">
            <w:pPr>
              <w:pStyle w:val="ListParagraph"/>
              <w:numPr>
                <w:ilvl w:val="0"/>
                <w:numId w:val="514"/>
              </w:numPr>
              <w:tabs>
                <w:tab w:val="left" w:pos="1080"/>
                <w:tab w:val="left" w:pos="1710"/>
              </w:tabs>
              <w:spacing w:after="200" w:line="276" w:lineRule="auto"/>
              <w:ind w:left="90" w:firstLine="630"/>
              <w:jc w:val="both"/>
              <w:rPr>
                <w:lang w:val="hy-AM"/>
              </w:rPr>
            </w:pPr>
            <w:r w:rsidRPr="00F619A4">
              <w:rPr>
                <w:rFonts w:cs="Sylfaen"/>
                <w:lang w:val="hy-AM"/>
              </w:rPr>
              <w:t>կատարելագործել</w:t>
            </w:r>
            <w:r w:rsidRPr="00F619A4">
              <w:rPr>
                <w:lang w:val="hy-AM"/>
              </w:rPr>
              <w:t xml:space="preserve"> </w:t>
            </w:r>
            <w:r w:rsidRPr="00F619A4">
              <w:rPr>
                <w:rFonts w:cs="Sylfaen"/>
                <w:lang w:val="hy-AM"/>
              </w:rPr>
              <w:t>քրեաիրավական</w:t>
            </w:r>
            <w:r w:rsidRPr="00F619A4">
              <w:rPr>
                <w:lang w:val="hy-AM"/>
              </w:rPr>
              <w:t xml:space="preserve"> </w:t>
            </w:r>
            <w:r w:rsidRPr="00F619A4">
              <w:rPr>
                <w:rFonts w:cs="Sylfaen"/>
                <w:lang w:val="hy-AM"/>
              </w:rPr>
              <w:t>ներգործության</w:t>
            </w:r>
            <w:r w:rsidRPr="00F619A4">
              <w:rPr>
                <w:lang w:val="hy-AM"/>
              </w:rPr>
              <w:t xml:space="preserve"> </w:t>
            </w:r>
            <w:r w:rsidRPr="00F619A4">
              <w:rPr>
                <w:rFonts w:cs="Sylfaen"/>
                <w:lang w:val="hy-AM"/>
              </w:rPr>
              <w:t>միջոցների</w:t>
            </w:r>
            <w:r w:rsidRPr="00F619A4">
              <w:rPr>
                <w:lang w:val="hy-AM"/>
              </w:rPr>
              <w:t xml:space="preserve"> </w:t>
            </w:r>
            <w:r w:rsidRPr="00F619A4">
              <w:rPr>
                <w:rFonts w:cs="Sylfaen"/>
                <w:lang w:val="hy-AM"/>
              </w:rPr>
              <w:t>համակարգը</w:t>
            </w:r>
            <w:r w:rsidRPr="00F619A4">
              <w:rPr>
                <w:lang w:val="hy-AM"/>
              </w:rPr>
              <w:t xml:space="preserve">` </w:t>
            </w:r>
            <w:r w:rsidRPr="00F619A4">
              <w:rPr>
                <w:rFonts w:cs="Sylfaen"/>
                <w:lang w:val="hy-AM"/>
              </w:rPr>
              <w:t>հարկադրանքի</w:t>
            </w:r>
            <w:r w:rsidRPr="00F619A4">
              <w:rPr>
                <w:lang w:val="hy-AM"/>
              </w:rPr>
              <w:t xml:space="preserve">, </w:t>
            </w:r>
            <w:r w:rsidRPr="00F619A4">
              <w:rPr>
                <w:rFonts w:cs="Sylfaen"/>
                <w:lang w:val="hy-AM"/>
              </w:rPr>
              <w:t>կանխման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վերականգնողական</w:t>
            </w:r>
            <w:r w:rsidRPr="00F619A4">
              <w:rPr>
                <w:lang w:val="hy-AM"/>
              </w:rPr>
              <w:t xml:space="preserve"> </w:t>
            </w:r>
            <w:r w:rsidRPr="00F619A4">
              <w:rPr>
                <w:rFonts w:cs="Sylfaen"/>
                <w:lang w:val="hy-AM"/>
              </w:rPr>
              <w:t>գործառույթների</w:t>
            </w:r>
            <w:r w:rsidRPr="00F619A4">
              <w:rPr>
                <w:lang w:val="hy-AM"/>
              </w:rPr>
              <w:t xml:space="preserve"> </w:t>
            </w:r>
            <w:r w:rsidRPr="00F619A4">
              <w:rPr>
                <w:rFonts w:cs="Sylfaen"/>
                <w:lang w:val="hy-AM"/>
              </w:rPr>
              <w:t>հավասարակշռությունն</w:t>
            </w:r>
            <w:r w:rsidRPr="00F619A4">
              <w:rPr>
                <w:lang w:val="hy-AM"/>
              </w:rPr>
              <w:t xml:space="preserve"> </w:t>
            </w:r>
            <w:r w:rsidRPr="00F619A4">
              <w:rPr>
                <w:rFonts w:cs="Sylfaen"/>
                <w:lang w:val="hy-AM"/>
              </w:rPr>
              <w:t>ապահովելու</w:t>
            </w:r>
            <w:r w:rsidRPr="00F619A4">
              <w:rPr>
                <w:lang w:val="hy-AM"/>
              </w:rPr>
              <w:t xml:space="preserve"> </w:t>
            </w:r>
            <w:r w:rsidRPr="00F619A4">
              <w:rPr>
                <w:rFonts w:cs="Sylfaen"/>
                <w:lang w:val="hy-AM"/>
              </w:rPr>
              <w:t>նպատակով</w:t>
            </w:r>
            <w:r w:rsidRPr="00F619A4">
              <w:rPr>
                <w:lang w:val="hy-AM"/>
              </w:rPr>
              <w:t>.</w:t>
            </w:r>
          </w:p>
          <w:p w:rsidR="001F6D5D" w:rsidRPr="00F619A4" w:rsidRDefault="001F6D5D" w:rsidP="001F6D5D">
            <w:pPr>
              <w:pStyle w:val="ListParagraph"/>
              <w:numPr>
                <w:ilvl w:val="0"/>
                <w:numId w:val="514"/>
              </w:numPr>
              <w:tabs>
                <w:tab w:val="left" w:pos="1080"/>
                <w:tab w:val="left" w:pos="1710"/>
              </w:tabs>
              <w:spacing w:after="200" w:line="276" w:lineRule="auto"/>
              <w:ind w:left="90" w:firstLine="630"/>
              <w:jc w:val="both"/>
              <w:rPr>
                <w:lang w:val="hy-AM"/>
              </w:rPr>
            </w:pPr>
            <w:r w:rsidRPr="00F619A4">
              <w:rPr>
                <w:rFonts w:cs="Sylfaen"/>
                <w:lang w:val="hy-AM"/>
              </w:rPr>
              <w:t>ապահովել</w:t>
            </w:r>
            <w:r w:rsidRPr="00F619A4">
              <w:rPr>
                <w:lang w:val="hy-AM"/>
              </w:rPr>
              <w:t xml:space="preserve"> </w:t>
            </w:r>
            <w:r w:rsidRPr="00F619A4">
              <w:rPr>
                <w:rFonts w:cs="Sylfaen"/>
                <w:lang w:val="hy-AM"/>
              </w:rPr>
              <w:t>քրեական</w:t>
            </w:r>
            <w:r w:rsidRPr="00F619A4">
              <w:rPr>
                <w:lang w:val="hy-AM"/>
              </w:rPr>
              <w:t xml:space="preserve"> </w:t>
            </w:r>
            <w:r w:rsidRPr="00F619A4">
              <w:rPr>
                <w:rFonts w:cs="Sylfaen"/>
                <w:lang w:val="hy-AM"/>
              </w:rPr>
              <w:t>օրենսդրության</w:t>
            </w:r>
            <w:r w:rsidRPr="00F619A4">
              <w:rPr>
                <w:lang w:val="hy-AM"/>
              </w:rPr>
              <w:t xml:space="preserve"> </w:t>
            </w:r>
            <w:r w:rsidRPr="00F619A4">
              <w:rPr>
                <w:rFonts w:cs="Sylfaen"/>
                <w:lang w:val="hy-AM"/>
              </w:rPr>
              <w:t>համապատասխանությունը</w:t>
            </w:r>
            <w:r w:rsidRPr="00F619A4">
              <w:rPr>
                <w:lang w:val="hy-AM"/>
              </w:rPr>
              <w:t xml:space="preserve"> </w:t>
            </w:r>
            <w:r w:rsidRPr="00F619A4">
              <w:rPr>
                <w:rFonts w:cs="Sylfaen"/>
                <w:lang w:val="hy-AM"/>
              </w:rPr>
              <w:t>վավերացված</w:t>
            </w:r>
            <w:r w:rsidRPr="00F619A4">
              <w:rPr>
                <w:lang w:val="hy-AM"/>
              </w:rPr>
              <w:t xml:space="preserve">  </w:t>
            </w:r>
            <w:r w:rsidRPr="00F619A4">
              <w:rPr>
                <w:rFonts w:cs="Sylfaen"/>
                <w:lang w:val="hy-AM"/>
              </w:rPr>
              <w:t>միջազգային</w:t>
            </w:r>
            <w:r w:rsidRPr="00F619A4">
              <w:rPr>
                <w:lang w:val="hy-AM"/>
              </w:rPr>
              <w:t xml:space="preserve"> </w:t>
            </w:r>
            <w:r w:rsidRPr="00F619A4">
              <w:rPr>
                <w:rFonts w:cs="Sylfaen"/>
                <w:lang w:val="hy-AM"/>
              </w:rPr>
              <w:t>պայմանագրերի</w:t>
            </w:r>
            <w:r w:rsidRPr="00F619A4">
              <w:rPr>
                <w:lang w:val="hy-AM"/>
              </w:rPr>
              <w:t xml:space="preserve"> </w:t>
            </w:r>
            <w:r w:rsidRPr="00F619A4">
              <w:rPr>
                <w:rFonts w:cs="Sylfaen"/>
                <w:lang w:val="hy-AM"/>
              </w:rPr>
              <w:t>նորմերին</w:t>
            </w:r>
            <w:r w:rsidRPr="00F619A4">
              <w:rPr>
                <w:lang w:val="hy-AM"/>
              </w:rPr>
              <w:t xml:space="preserve">, </w:t>
            </w:r>
            <w:r w:rsidRPr="00F619A4">
              <w:rPr>
                <w:rFonts w:cs="Sylfaen"/>
                <w:lang w:val="hy-AM"/>
              </w:rPr>
              <w:t>միջազգային</w:t>
            </w:r>
            <w:r w:rsidRPr="00F619A4">
              <w:rPr>
                <w:lang w:val="hy-AM"/>
              </w:rPr>
              <w:t xml:space="preserve"> </w:t>
            </w:r>
            <w:r w:rsidRPr="00F619A4">
              <w:rPr>
                <w:rFonts w:cs="Sylfaen"/>
                <w:lang w:val="hy-AM"/>
              </w:rPr>
              <w:t>իրավունքի</w:t>
            </w:r>
            <w:r w:rsidRPr="00F619A4">
              <w:rPr>
                <w:lang w:val="hy-AM"/>
              </w:rPr>
              <w:t xml:space="preserve"> </w:t>
            </w:r>
            <w:r w:rsidRPr="00F619A4">
              <w:rPr>
                <w:rFonts w:cs="Sylfaen"/>
                <w:lang w:val="hy-AM"/>
              </w:rPr>
              <w:t>սկզբունքներին</w:t>
            </w:r>
            <w:r w:rsidRPr="00F619A4">
              <w:rPr>
                <w:lang w:val="hy-AM"/>
              </w:rPr>
              <w:t xml:space="preserve">, </w:t>
            </w:r>
            <w:r w:rsidRPr="00F619A4">
              <w:rPr>
                <w:rFonts w:cs="Sylfaen"/>
                <w:lang w:val="hy-AM"/>
              </w:rPr>
              <w:t>ինչպես</w:t>
            </w:r>
            <w:r w:rsidRPr="00F619A4">
              <w:rPr>
                <w:lang w:val="hy-AM"/>
              </w:rPr>
              <w:t xml:space="preserve"> </w:t>
            </w:r>
            <w:r w:rsidRPr="00F619A4">
              <w:rPr>
                <w:rFonts w:cs="Sylfaen"/>
                <w:lang w:val="hy-AM"/>
              </w:rPr>
              <w:t>նաև</w:t>
            </w:r>
            <w:r w:rsidRPr="00F619A4">
              <w:rPr>
                <w:lang w:val="hy-AM"/>
              </w:rPr>
              <w:t xml:space="preserve"> </w:t>
            </w:r>
            <w:r w:rsidRPr="00F619A4">
              <w:rPr>
                <w:rFonts w:cs="Sylfaen"/>
                <w:lang w:val="hy-AM"/>
              </w:rPr>
              <w:t>ՀՀ</w:t>
            </w:r>
            <w:r w:rsidRPr="00F619A4">
              <w:rPr>
                <w:lang w:val="hy-AM"/>
              </w:rPr>
              <w:t xml:space="preserve"> </w:t>
            </w:r>
            <w:r w:rsidRPr="00F619A4">
              <w:rPr>
                <w:rFonts w:cs="Sylfaen"/>
                <w:lang w:val="hy-AM"/>
              </w:rPr>
              <w:t>Սահմանադրությանը</w:t>
            </w:r>
            <w:r w:rsidRPr="00F619A4">
              <w:rPr>
                <w:rFonts w:cs="Arial Armenian"/>
                <w:lang w:val="hy-AM"/>
              </w:rPr>
              <w:t>։</w:t>
            </w:r>
          </w:p>
          <w:p w:rsidR="001F6D5D" w:rsidRPr="00F619A4" w:rsidRDefault="001F6D5D" w:rsidP="00277183">
            <w:pPr>
              <w:pStyle w:val="ListParagraph"/>
              <w:tabs>
                <w:tab w:val="left" w:pos="1080"/>
                <w:tab w:val="left" w:pos="1710"/>
              </w:tabs>
              <w:jc w:val="both"/>
              <w:rPr>
                <w:lang w:val="hy-AM"/>
              </w:rPr>
            </w:pPr>
            <w:r w:rsidRPr="00F619A4">
              <w:rPr>
                <w:rFonts w:cs="Sylfaen"/>
                <w:lang w:val="hy-AM"/>
              </w:rPr>
              <w:t>Քրեական դատավարության նոր օրենսգրքի նախագծով առաջարկվում են ՀՀ</w:t>
            </w:r>
            <w:r w:rsidRPr="00F619A4">
              <w:rPr>
                <w:lang w:val="hy-AM"/>
              </w:rPr>
              <w:t xml:space="preserve"> </w:t>
            </w:r>
            <w:r w:rsidRPr="00F619A4">
              <w:rPr>
                <w:rFonts w:cs="Sylfaen"/>
                <w:lang w:val="hy-AM"/>
              </w:rPr>
              <w:t>քրեադատավարական</w:t>
            </w:r>
            <w:r w:rsidRPr="00F619A4">
              <w:rPr>
                <w:lang w:val="hy-AM"/>
              </w:rPr>
              <w:t xml:space="preserve"> </w:t>
            </w:r>
            <w:r w:rsidRPr="00F619A4">
              <w:rPr>
                <w:rFonts w:cs="Sylfaen"/>
                <w:lang w:val="hy-AM"/>
              </w:rPr>
              <w:t>օրենսդրության</w:t>
            </w:r>
            <w:r w:rsidRPr="00F619A4">
              <w:rPr>
                <w:lang w:val="hy-AM"/>
              </w:rPr>
              <w:t xml:space="preserve"> </w:t>
            </w:r>
            <w:r w:rsidRPr="00F619A4">
              <w:rPr>
                <w:rFonts w:cs="Sylfaen"/>
                <w:lang w:val="hy-AM"/>
              </w:rPr>
              <w:t>զարգացման</w:t>
            </w:r>
            <w:r w:rsidRPr="00F619A4">
              <w:rPr>
                <w:lang w:val="hy-AM"/>
              </w:rPr>
              <w:t xml:space="preserve"> հետևյալ </w:t>
            </w:r>
            <w:r w:rsidRPr="00F619A4">
              <w:rPr>
                <w:rFonts w:cs="Sylfaen"/>
                <w:lang w:val="hy-AM"/>
              </w:rPr>
              <w:t>հիմնական</w:t>
            </w:r>
            <w:r w:rsidRPr="00F619A4">
              <w:rPr>
                <w:lang w:val="hy-AM"/>
              </w:rPr>
              <w:t xml:space="preserve"> </w:t>
            </w:r>
            <w:r w:rsidRPr="00F619A4">
              <w:rPr>
                <w:rFonts w:cs="Sylfaen"/>
                <w:lang w:val="hy-AM"/>
              </w:rPr>
              <w:t>ուղղությունները՝</w:t>
            </w:r>
          </w:p>
          <w:p w:rsidR="001F6D5D" w:rsidRPr="00F619A4" w:rsidRDefault="001F6D5D" w:rsidP="001F6D5D">
            <w:pPr>
              <w:pStyle w:val="ListParagraph"/>
              <w:numPr>
                <w:ilvl w:val="1"/>
                <w:numId w:val="515"/>
              </w:numPr>
              <w:tabs>
                <w:tab w:val="left" w:pos="900"/>
              </w:tabs>
              <w:spacing w:after="200" w:line="276" w:lineRule="auto"/>
              <w:ind w:left="90" w:firstLine="630"/>
              <w:jc w:val="both"/>
              <w:rPr>
                <w:lang w:val="hy-AM"/>
              </w:rPr>
            </w:pPr>
            <w:r w:rsidRPr="00F619A4">
              <w:rPr>
                <w:rFonts w:cs="Sylfaen"/>
                <w:lang w:val="hy-AM"/>
              </w:rPr>
              <w:t>քրեական</w:t>
            </w:r>
            <w:r w:rsidRPr="00F619A4">
              <w:rPr>
                <w:lang w:val="hy-AM"/>
              </w:rPr>
              <w:t xml:space="preserve"> </w:t>
            </w:r>
            <w:r w:rsidRPr="00F619A4">
              <w:rPr>
                <w:rFonts w:cs="Sylfaen"/>
                <w:lang w:val="hy-AM"/>
              </w:rPr>
              <w:t>գործերի</w:t>
            </w:r>
            <w:r w:rsidRPr="00F619A4">
              <w:rPr>
                <w:lang w:val="hy-AM"/>
              </w:rPr>
              <w:t xml:space="preserve"> </w:t>
            </w:r>
            <w:r w:rsidRPr="00F619A4">
              <w:rPr>
                <w:rFonts w:cs="Sylfaen"/>
                <w:lang w:val="hy-AM"/>
              </w:rPr>
              <w:t>քննության</w:t>
            </w:r>
            <w:r w:rsidRPr="00F619A4">
              <w:rPr>
                <w:lang w:val="hy-AM"/>
              </w:rPr>
              <w:t xml:space="preserve"> </w:t>
            </w:r>
            <w:r w:rsidRPr="00F619A4">
              <w:rPr>
                <w:rFonts w:cs="Sylfaen"/>
                <w:lang w:val="hy-AM"/>
              </w:rPr>
              <w:t>ընթացքում</w:t>
            </w:r>
            <w:r w:rsidRPr="00F619A4">
              <w:rPr>
                <w:lang w:val="hy-AM"/>
              </w:rPr>
              <w:t xml:space="preserve"> (</w:t>
            </w:r>
            <w:r w:rsidRPr="00F619A4">
              <w:rPr>
                <w:rFonts w:cs="Sylfaen"/>
                <w:lang w:val="hy-AM"/>
              </w:rPr>
              <w:t>հատկապես</w:t>
            </w:r>
            <w:r w:rsidRPr="00F619A4">
              <w:rPr>
                <w:lang w:val="hy-AM"/>
              </w:rPr>
              <w:t xml:space="preserve"> </w:t>
            </w:r>
            <w:r w:rsidRPr="00F619A4">
              <w:rPr>
                <w:rFonts w:cs="Sylfaen"/>
                <w:lang w:val="hy-AM"/>
              </w:rPr>
              <w:t>մինչդատական</w:t>
            </w:r>
            <w:r w:rsidRPr="00F619A4">
              <w:rPr>
                <w:lang w:val="hy-AM"/>
              </w:rPr>
              <w:t xml:space="preserve"> </w:t>
            </w:r>
            <w:r w:rsidRPr="00F619A4">
              <w:rPr>
                <w:rFonts w:cs="Sylfaen"/>
                <w:lang w:val="hy-AM"/>
              </w:rPr>
              <w:t>վարույթում</w:t>
            </w:r>
            <w:r w:rsidRPr="00F619A4">
              <w:rPr>
                <w:lang w:val="hy-AM"/>
              </w:rPr>
              <w:t xml:space="preserve">) </w:t>
            </w:r>
            <w:r w:rsidRPr="00F619A4">
              <w:rPr>
                <w:rFonts w:cs="Sylfaen"/>
                <w:lang w:val="hy-AM"/>
              </w:rPr>
              <w:t>անձի</w:t>
            </w:r>
            <w:r w:rsidRPr="00F619A4">
              <w:rPr>
                <w:lang w:val="hy-AM"/>
              </w:rPr>
              <w:t xml:space="preserve"> </w:t>
            </w:r>
            <w:r w:rsidRPr="00F619A4">
              <w:rPr>
                <w:rFonts w:cs="Sylfaen"/>
                <w:lang w:val="hy-AM"/>
              </w:rPr>
              <w:t>իրավունքների</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ազատությունների</w:t>
            </w:r>
            <w:r w:rsidRPr="00F619A4">
              <w:rPr>
                <w:lang w:val="hy-AM"/>
              </w:rPr>
              <w:t xml:space="preserve"> </w:t>
            </w:r>
            <w:r w:rsidRPr="00F619A4">
              <w:rPr>
                <w:rFonts w:cs="Sylfaen"/>
                <w:lang w:val="hy-AM"/>
              </w:rPr>
              <w:t>պաշտպանության</w:t>
            </w:r>
            <w:r w:rsidRPr="00F619A4">
              <w:rPr>
                <w:lang w:val="hy-AM"/>
              </w:rPr>
              <w:t xml:space="preserve"> </w:t>
            </w:r>
            <w:r w:rsidRPr="00F619A4">
              <w:rPr>
                <w:rFonts w:cs="Sylfaen"/>
                <w:lang w:val="hy-AM"/>
              </w:rPr>
              <w:t>երաշխիքների</w:t>
            </w:r>
            <w:r w:rsidRPr="00F619A4">
              <w:rPr>
                <w:lang w:val="hy-AM"/>
              </w:rPr>
              <w:t xml:space="preserve"> </w:t>
            </w:r>
            <w:r w:rsidRPr="00F619A4">
              <w:rPr>
                <w:rFonts w:cs="Sylfaen"/>
                <w:lang w:val="hy-AM"/>
              </w:rPr>
              <w:t>ամրապնդում</w:t>
            </w:r>
            <w:r w:rsidRPr="00F619A4">
              <w:rPr>
                <w:lang w:val="hy-AM"/>
              </w:rPr>
              <w:t xml:space="preserve">, </w:t>
            </w:r>
            <w:r w:rsidRPr="00F619A4">
              <w:rPr>
                <w:rFonts w:cs="Sylfaen"/>
                <w:lang w:val="hy-AM"/>
              </w:rPr>
              <w:t>մասնավորապես</w:t>
            </w:r>
            <w:r w:rsidRPr="00F619A4">
              <w:rPr>
                <w:lang w:val="hy-AM"/>
              </w:rPr>
              <w:t xml:space="preserve">, </w:t>
            </w:r>
            <w:r w:rsidRPr="00F619A4">
              <w:rPr>
                <w:rFonts w:cs="Sylfaen"/>
                <w:lang w:val="hy-AM"/>
              </w:rPr>
              <w:t>պաշտպանության</w:t>
            </w:r>
            <w:r w:rsidRPr="00F619A4">
              <w:rPr>
                <w:lang w:val="hy-AM"/>
              </w:rPr>
              <w:t xml:space="preserve"> </w:t>
            </w:r>
            <w:r w:rsidRPr="00F619A4">
              <w:rPr>
                <w:rFonts w:cs="Sylfaen"/>
                <w:lang w:val="hy-AM"/>
              </w:rPr>
              <w:t>կողմի</w:t>
            </w:r>
            <w:r w:rsidRPr="00F619A4">
              <w:rPr>
                <w:lang w:val="hy-AM"/>
              </w:rPr>
              <w:t xml:space="preserve"> </w:t>
            </w:r>
            <w:r w:rsidRPr="00F619A4">
              <w:rPr>
                <w:rFonts w:cs="Sylfaen"/>
                <w:lang w:val="hy-AM"/>
              </w:rPr>
              <w:t>իրավունքների</w:t>
            </w:r>
            <w:r w:rsidRPr="00F619A4">
              <w:rPr>
                <w:lang w:val="hy-AM"/>
              </w:rPr>
              <w:t xml:space="preserve"> </w:t>
            </w:r>
            <w:r w:rsidRPr="00F619A4">
              <w:rPr>
                <w:rFonts w:cs="Sylfaen"/>
                <w:lang w:val="hy-AM"/>
              </w:rPr>
              <w:t>ընդլայնում</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դատական</w:t>
            </w:r>
            <w:r w:rsidRPr="00F619A4">
              <w:rPr>
                <w:lang w:val="hy-AM"/>
              </w:rPr>
              <w:t xml:space="preserve"> </w:t>
            </w:r>
            <w:r w:rsidRPr="00F619A4">
              <w:rPr>
                <w:rFonts w:cs="Sylfaen"/>
                <w:lang w:val="hy-AM"/>
              </w:rPr>
              <w:t>վերահսկողության</w:t>
            </w:r>
            <w:r w:rsidRPr="00F619A4">
              <w:rPr>
                <w:lang w:val="hy-AM"/>
              </w:rPr>
              <w:t xml:space="preserve"> </w:t>
            </w:r>
            <w:r w:rsidRPr="00F619A4">
              <w:rPr>
                <w:rFonts w:cs="Sylfaen"/>
                <w:lang w:val="hy-AM"/>
              </w:rPr>
              <w:t>ինստիտուտի</w:t>
            </w:r>
            <w:r w:rsidRPr="00F619A4">
              <w:rPr>
                <w:lang w:val="hy-AM"/>
              </w:rPr>
              <w:t xml:space="preserve"> </w:t>
            </w:r>
            <w:r w:rsidRPr="00F619A4">
              <w:rPr>
                <w:rFonts w:cs="Sylfaen"/>
                <w:lang w:val="hy-AM"/>
              </w:rPr>
              <w:t>ուժեղացում</w:t>
            </w:r>
            <w:r w:rsidRPr="00F619A4">
              <w:rPr>
                <w:lang w:val="hy-AM"/>
              </w:rPr>
              <w:t xml:space="preserve"> </w:t>
            </w:r>
            <w:r w:rsidRPr="00F619A4">
              <w:rPr>
                <w:rFonts w:cs="Sylfaen"/>
                <w:lang w:val="hy-AM"/>
              </w:rPr>
              <w:t>ու</w:t>
            </w:r>
            <w:r w:rsidRPr="00F619A4">
              <w:rPr>
                <w:lang w:val="hy-AM"/>
              </w:rPr>
              <w:t xml:space="preserve"> </w:t>
            </w:r>
            <w:r w:rsidRPr="00F619A4">
              <w:rPr>
                <w:rFonts w:cs="Sylfaen"/>
                <w:lang w:val="hy-AM"/>
              </w:rPr>
              <w:t>հստակեցում</w:t>
            </w:r>
            <w:r w:rsidRPr="00F619A4">
              <w:rPr>
                <w:lang w:val="hy-AM"/>
              </w:rPr>
              <w:t xml:space="preserve">. </w:t>
            </w:r>
          </w:p>
          <w:p w:rsidR="001F6D5D" w:rsidRPr="00F619A4" w:rsidRDefault="001F6D5D" w:rsidP="001F6D5D">
            <w:pPr>
              <w:pStyle w:val="ListParagraph"/>
              <w:numPr>
                <w:ilvl w:val="1"/>
                <w:numId w:val="515"/>
              </w:numPr>
              <w:tabs>
                <w:tab w:val="left" w:pos="900"/>
              </w:tabs>
              <w:spacing w:after="200" w:line="276" w:lineRule="auto"/>
              <w:ind w:left="90" w:firstLine="630"/>
              <w:jc w:val="both"/>
              <w:rPr>
                <w:lang w:val="hy-AM"/>
              </w:rPr>
            </w:pPr>
            <w:r w:rsidRPr="00F619A4">
              <w:rPr>
                <w:rFonts w:cs="Sylfaen"/>
                <w:lang w:val="hy-AM"/>
              </w:rPr>
              <w:t>դատավարական</w:t>
            </w:r>
            <w:r w:rsidRPr="00F619A4">
              <w:rPr>
                <w:lang w:val="hy-AM"/>
              </w:rPr>
              <w:t xml:space="preserve"> </w:t>
            </w:r>
            <w:r w:rsidRPr="00F619A4">
              <w:rPr>
                <w:rFonts w:cs="Sylfaen"/>
                <w:lang w:val="hy-AM"/>
              </w:rPr>
              <w:t>հարկադրանքի</w:t>
            </w:r>
            <w:r w:rsidRPr="00F619A4">
              <w:rPr>
                <w:lang w:val="hy-AM"/>
              </w:rPr>
              <w:t xml:space="preserve"> </w:t>
            </w:r>
            <w:r w:rsidRPr="00F619A4">
              <w:rPr>
                <w:rFonts w:cs="Sylfaen"/>
                <w:lang w:val="hy-AM"/>
              </w:rPr>
              <w:t>միջոցների</w:t>
            </w:r>
            <w:r w:rsidRPr="00F619A4">
              <w:rPr>
                <w:lang w:val="hy-AM"/>
              </w:rPr>
              <w:t xml:space="preserve">, </w:t>
            </w:r>
            <w:r w:rsidRPr="00F619A4">
              <w:rPr>
                <w:rFonts w:cs="Sylfaen"/>
                <w:lang w:val="hy-AM"/>
              </w:rPr>
              <w:t>մասնավորապես</w:t>
            </w:r>
            <w:r w:rsidRPr="00F619A4">
              <w:rPr>
                <w:lang w:val="hy-AM"/>
              </w:rPr>
              <w:t xml:space="preserve">, </w:t>
            </w:r>
            <w:r w:rsidRPr="00F619A4">
              <w:rPr>
                <w:rFonts w:cs="Sylfaen"/>
                <w:lang w:val="hy-AM"/>
              </w:rPr>
              <w:t>ձերբակալման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կալանավորման</w:t>
            </w:r>
            <w:r w:rsidRPr="00F619A4">
              <w:rPr>
                <w:lang w:val="hy-AM"/>
              </w:rPr>
              <w:t xml:space="preserve"> </w:t>
            </w:r>
            <w:r w:rsidRPr="00F619A4">
              <w:rPr>
                <w:rFonts w:cs="Sylfaen"/>
                <w:lang w:val="hy-AM"/>
              </w:rPr>
              <w:t>կիրառման</w:t>
            </w:r>
            <w:r w:rsidRPr="00F619A4">
              <w:rPr>
                <w:lang w:val="hy-AM"/>
              </w:rPr>
              <w:t xml:space="preserve"> </w:t>
            </w:r>
            <w:r w:rsidRPr="00F619A4">
              <w:rPr>
                <w:rFonts w:cs="Sylfaen"/>
                <w:lang w:val="hy-AM"/>
              </w:rPr>
              <w:t>հիմքերի</w:t>
            </w:r>
            <w:r w:rsidRPr="00F619A4">
              <w:rPr>
                <w:lang w:val="hy-AM"/>
              </w:rPr>
              <w:t xml:space="preserve">, </w:t>
            </w:r>
            <w:r w:rsidRPr="00F619A4">
              <w:rPr>
                <w:rFonts w:cs="Sylfaen"/>
                <w:lang w:val="hy-AM"/>
              </w:rPr>
              <w:t>պայմանների</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ընթացակարգերի</w:t>
            </w:r>
            <w:r w:rsidRPr="00F619A4">
              <w:rPr>
                <w:lang w:val="hy-AM"/>
              </w:rPr>
              <w:t xml:space="preserve"> </w:t>
            </w:r>
            <w:r w:rsidRPr="00F619A4">
              <w:rPr>
                <w:rFonts w:cs="Sylfaen"/>
                <w:lang w:val="hy-AM"/>
              </w:rPr>
              <w:t>վերանայում</w:t>
            </w:r>
            <w:r w:rsidRPr="00F619A4">
              <w:rPr>
                <w:lang w:val="hy-AM"/>
              </w:rPr>
              <w:t xml:space="preserve">` </w:t>
            </w:r>
            <w:r w:rsidRPr="00F619A4">
              <w:rPr>
                <w:rFonts w:cs="Sylfaen"/>
                <w:lang w:val="hy-AM"/>
              </w:rPr>
              <w:t>ուղղված</w:t>
            </w:r>
            <w:r w:rsidRPr="00F619A4">
              <w:rPr>
                <w:lang w:val="hy-AM"/>
              </w:rPr>
              <w:t xml:space="preserve"> </w:t>
            </w:r>
            <w:r w:rsidRPr="00F619A4">
              <w:rPr>
                <w:rFonts w:cs="Sylfaen"/>
                <w:lang w:val="hy-AM"/>
              </w:rPr>
              <w:t>դրանց</w:t>
            </w:r>
            <w:r w:rsidRPr="00F619A4">
              <w:rPr>
                <w:lang w:val="hy-AM"/>
              </w:rPr>
              <w:t xml:space="preserve"> </w:t>
            </w:r>
            <w:r w:rsidRPr="00F619A4">
              <w:rPr>
                <w:rFonts w:cs="Sylfaen"/>
                <w:lang w:val="hy-AM"/>
              </w:rPr>
              <w:t>օրինականության</w:t>
            </w:r>
            <w:r w:rsidRPr="00F619A4">
              <w:rPr>
                <w:lang w:val="hy-AM"/>
              </w:rPr>
              <w:t xml:space="preserve"> </w:t>
            </w:r>
            <w:r w:rsidRPr="00F619A4">
              <w:rPr>
                <w:rFonts w:cs="Sylfaen"/>
                <w:lang w:val="hy-AM"/>
              </w:rPr>
              <w:t>նկատմամբ</w:t>
            </w:r>
            <w:r w:rsidRPr="00F619A4">
              <w:rPr>
                <w:lang w:val="hy-AM"/>
              </w:rPr>
              <w:t xml:space="preserve"> </w:t>
            </w:r>
            <w:r w:rsidRPr="00F619A4">
              <w:rPr>
                <w:rFonts w:cs="Sylfaen"/>
                <w:lang w:val="hy-AM"/>
              </w:rPr>
              <w:t>դատական</w:t>
            </w:r>
            <w:r w:rsidRPr="00F619A4">
              <w:rPr>
                <w:lang w:val="hy-AM"/>
              </w:rPr>
              <w:t xml:space="preserve"> </w:t>
            </w:r>
            <w:r w:rsidRPr="00F619A4">
              <w:rPr>
                <w:rFonts w:cs="Sylfaen"/>
                <w:lang w:val="hy-AM"/>
              </w:rPr>
              <w:t>վերահսկողության</w:t>
            </w:r>
            <w:r w:rsidRPr="00F619A4">
              <w:rPr>
                <w:lang w:val="hy-AM"/>
              </w:rPr>
              <w:t xml:space="preserve"> </w:t>
            </w:r>
            <w:r w:rsidRPr="00F619A4">
              <w:rPr>
                <w:rFonts w:cs="Sylfaen"/>
                <w:lang w:val="hy-AM"/>
              </w:rPr>
              <w:t>արդյունավետության</w:t>
            </w:r>
            <w:r w:rsidRPr="00F619A4">
              <w:rPr>
                <w:lang w:val="hy-AM"/>
              </w:rPr>
              <w:t xml:space="preserve"> </w:t>
            </w:r>
            <w:r w:rsidRPr="00F619A4">
              <w:rPr>
                <w:rFonts w:cs="Sylfaen"/>
                <w:lang w:val="hy-AM"/>
              </w:rPr>
              <w:t>բարձրացմանը</w:t>
            </w:r>
            <w:r w:rsidRPr="00F619A4">
              <w:rPr>
                <w:lang w:val="hy-AM"/>
              </w:rPr>
              <w:t xml:space="preserve">, </w:t>
            </w:r>
            <w:r w:rsidRPr="00F619A4">
              <w:rPr>
                <w:rFonts w:cs="Sylfaen"/>
                <w:lang w:val="hy-AM"/>
              </w:rPr>
              <w:t>ինչպես</w:t>
            </w:r>
            <w:r w:rsidRPr="00F619A4">
              <w:rPr>
                <w:lang w:val="hy-AM"/>
              </w:rPr>
              <w:t xml:space="preserve"> </w:t>
            </w:r>
            <w:r w:rsidRPr="00F619A4">
              <w:rPr>
                <w:rFonts w:cs="Sylfaen"/>
                <w:lang w:val="hy-AM"/>
              </w:rPr>
              <w:t>նաև</w:t>
            </w:r>
            <w:r w:rsidRPr="00F619A4">
              <w:rPr>
                <w:lang w:val="hy-AM"/>
              </w:rPr>
              <w:t xml:space="preserve"> </w:t>
            </w:r>
            <w:r w:rsidRPr="00F619A4">
              <w:rPr>
                <w:rFonts w:cs="Sylfaen"/>
                <w:lang w:val="hy-AM"/>
              </w:rPr>
              <w:t>կալանավորման</w:t>
            </w:r>
            <w:r w:rsidRPr="00F619A4">
              <w:rPr>
                <w:lang w:val="hy-AM"/>
              </w:rPr>
              <w:t xml:space="preserve"> </w:t>
            </w:r>
            <w:r w:rsidRPr="00F619A4">
              <w:rPr>
                <w:rFonts w:cs="Sylfaen"/>
                <w:lang w:val="hy-AM"/>
              </w:rPr>
              <w:t>այլընտրանքային</w:t>
            </w:r>
            <w:r w:rsidRPr="00F619A4">
              <w:rPr>
                <w:lang w:val="hy-AM"/>
              </w:rPr>
              <w:t xml:space="preserve"> </w:t>
            </w:r>
            <w:r w:rsidRPr="00F619A4">
              <w:rPr>
                <w:rFonts w:cs="Sylfaen"/>
                <w:lang w:val="hy-AM"/>
              </w:rPr>
              <w:t>խափանման</w:t>
            </w:r>
            <w:r w:rsidRPr="00F619A4">
              <w:rPr>
                <w:lang w:val="hy-AM"/>
              </w:rPr>
              <w:t xml:space="preserve"> </w:t>
            </w:r>
            <w:r w:rsidRPr="00F619A4">
              <w:rPr>
                <w:rFonts w:cs="Sylfaen"/>
                <w:lang w:val="hy-AM"/>
              </w:rPr>
              <w:t>միջոցների</w:t>
            </w:r>
            <w:r w:rsidRPr="00F619A4">
              <w:rPr>
                <w:lang w:val="hy-AM"/>
              </w:rPr>
              <w:t xml:space="preserve"> </w:t>
            </w:r>
            <w:r w:rsidRPr="00F619A4">
              <w:rPr>
                <w:rFonts w:cs="Sylfaen"/>
                <w:lang w:val="hy-AM"/>
              </w:rPr>
              <w:t>կիրառելիության</w:t>
            </w:r>
            <w:r w:rsidRPr="00F619A4">
              <w:rPr>
                <w:lang w:val="hy-AM"/>
              </w:rPr>
              <w:t xml:space="preserve"> </w:t>
            </w:r>
            <w:r w:rsidRPr="00F619A4">
              <w:rPr>
                <w:rFonts w:cs="Sylfaen"/>
                <w:lang w:val="hy-AM"/>
              </w:rPr>
              <w:t>ընդարձակում</w:t>
            </w:r>
            <w:r w:rsidRPr="00F619A4">
              <w:rPr>
                <w:lang w:val="hy-AM"/>
              </w:rPr>
              <w:t xml:space="preserve">. </w:t>
            </w:r>
          </w:p>
          <w:p w:rsidR="001F6D5D" w:rsidRPr="00F619A4" w:rsidRDefault="001F6D5D" w:rsidP="001F6D5D">
            <w:pPr>
              <w:pStyle w:val="ListParagraph"/>
              <w:numPr>
                <w:ilvl w:val="1"/>
                <w:numId w:val="515"/>
              </w:numPr>
              <w:tabs>
                <w:tab w:val="left" w:pos="900"/>
              </w:tabs>
              <w:spacing w:after="200" w:line="276" w:lineRule="auto"/>
              <w:ind w:left="90" w:firstLine="630"/>
              <w:jc w:val="both"/>
              <w:rPr>
                <w:lang w:val="hy-AM"/>
              </w:rPr>
            </w:pPr>
            <w:r w:rsidRPr="00F619A4">
              <w:rPr>
                <w:rFonts w:cs="Sylfaen"/>
                <w:lang w:val="hy-AM"/>
              </w:rPr>
              <w:t>քրեական</w:t>
            </w:r>
            <w:r w:rsidRPr="00F619A4">
              <w:rPr>
                <w:lang w:val="hy-AM"/>
              </w:rPr>
              <w:t xml:space="preserve"> </w:t>
            </w:r>
            <w:r w:rsidRPr="00F619A4">
              <w:rPr>
                <w:rFonts w:cs="Sylfaen"/>
                <w:lang w:val="hy-AM"/>
              </w:rPr>
              <w:t>հետապնդման</w:t>
            </w:r>
            <w:r w:rsidRPr="00F619A4">
              <w:rPr>
                <w:lang w:val="hy-AM"/>
              </w:rPr>
              <w:t xml:space="preserve"> </w:t>
            </w:r>
            <w:r w:rsidRPr="00F619A4">
              <w:rPr>
                <w:rFonts w:cs="Sylfaen"/>
                <w:lang w:val="hy-AM"/>
              </w:rPr>
              <w:t>ինստիտուտի</w:t>
            </w:r>
            <w:r w:rsidRPr="00F619A4">
              <w:rPr>
                <w:lang w:val="hy-AM"/>
              </w:rPr>
              <w:t xml:space="preserve"> </w:t>
            </w:r>
            <w:r w:rsidRPr="00F619A4">
              <w:rPr>
                <w:rFonts w:cs="Sylfaen"/>
                <w:lang w:val="hy-AM"/>
              </w:rPr>
              <w:t>հիմնարար</w:t>
            </w:r>
            <w:r w:rsidRPr="00F619A4">
              <w:rPr>
                <w:lang w:val="hy-AM"/>
              </w:rPr>
              <w:t xml:space="preserve"> </w:t>
            </w:r>
            <w:r w:rsidRPr="00F619A4">
              <w:rPr>
                <w:rFonts w:cs="Sylfaen"/>
                <w:lang w:val="hy-AM"/>
              </w:rPr>
              <w:t>կարգավորում</w:t>
            </w:r>
            <w:r w:rsidRPr="00F619A4">
              <w:rPr>
                <w:lang w:val="hy-AM"/>
              </w:rPr>
              <w:t xml:space="preserve">, </w:t>
            </w:r>
            <w:r w:rsidRPr="00F619A4">
              <w:rPr>
                <w:rFonts w:cs="Sylfaen"/>
                <w:lang w:val="hy-AM"/>
              </w:rPr>
              <w:t>դրա</w:t>
            </w:r>
            <w:r w:rsidRPr="00F619A4">
              <w:rPr>
                <w:lang w:val="hy-AM"/>
              </w:rPr>
              <w:t xml:space="preserve"> </w:t>
            </w:r>
            <w:r w:rsidRPr="00F619A4">
              <w:rPr>
                <w:rFonts w:cs="Sylfaen"/>
                <w:lang w:val="hy-AM"/>
              </w:rPr>
              <w:t>դերի</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նշանակության</w:t>
            </w:r>
            <w:r w:rsidRPr="00F619A4">
              <w:rPr>
                <w:lang w:val="hy-AM"/>
              </w:rPr>
              <w:t xml:space="preserve">, </w:t>
            </w:r>
            <w:r w:rsidRPr="00F619A4">
              <w:rPr>
                <w:rFonts w:cs="Sylfaen"/>
                <w:lang w:val="hy-AM"/>
              </w:rPr>
              <w:t>ինչպես</w:t>
            </w:r>
            <w:r w:rsidRPr="00F619A4">
              <w:rPr>
                <w:lang w:val="hy-AM"/>
              </w:rPr>
              <w:t xml:space="preserve"> </w:t>
            </w:r>
            <w:r w:rsidRPr="00F619A4">
              <w:rPr>
                <w:rFonts w:cs="Sylfaen"/>
                <w:lang w:val="hy-AM"/>
              </w:rPr>
              <w:t>նաև</w:t>
            </w:r>
            <w:r w:rsidRPr="00F619A4">
              <w:rPr>
                <w:lang w:val="hy-AM"/>
              </w:rPr>
              <w:t xml:space="preserve"> </w:t>
            </w:r>
            <w:r w:rsidRPr="00F619A4">
              <w:rPr>
                <w:rFonts w:cs="Sylfaen"/>
                <w:lang w:val="hy-AM"/>
              </w:rPr>
              <w:t>իրականացման</w:t>
            </w:r>
            <w:r w:rsidRPr="00F619A4">
              <w:rPr>
                <w:lang w:val="hy-AM"/>
              </w:rPr>
              <w:t xml:space="preserve"> </w:t>
            </w:r>
            <w:r w:rsidRPr="00F619A4">
              <w:rPr>
                <w:rFonts w:cs="Sylfaen"/>
                <w:lang w:val="hy-AM"/>
              </w:rPr>
              <w:t>ձևերի</w:t>
            </w:r>
            <w:r w:rsidRPr="00F619A4">
              <w:rPr>
                <w:lang w:val="hy-AM"/>
              </w:rPr>
              <w:t xml:space="preserve"> (</w:t>
            </w:r>
            <w:r w:rsidRPr="00F619A4">
              <w:rPr>
                <w:rFonts w:cs="Sylfaen"/>
                <w:lang w:val="hy-AM"/>
              </w:rPr>
              <w:t>եղանակների</w:t>
            </w:r>
            <w:r w:rsidRPr="00F619A4">
              <w:rPr>
                <w:lang w:val="hy-AM"/>
              </w:rPr>
              <w:t xml:space="preserve">) </w:t>
            </w:r>
            <w:r w:rsidRPr="00F619A4">
              <w:rPr>
                <w:rFonts w:cs="Sylfaen"/>
                <w:lang w:val="hy-AM"/>
              </w:rPr>
              <w:t>հստակեցում</w:t>
            </w:r>
            <w:r w:rsidRPr="00F619A4">
              <w:rPr>
                <w:lang w:val="hy-AM"/>
              </w:rPr>
              <w:t xml:space="preserve">. </w:t>
            </w:r>
          </w:p>
          <w:p w:rsidR="001F6D5D" w:rsidRPr="00F619A4" w:rsidRDefault="001F6D5D" w:rsidP="001F6D5D">
            <w:pPr>
              <w:pStyle w:val="ListParagraph"/>
              <w:numPr>
                <w:ilvl w:val="1"/>
                <w:numId w:val="515"/>
              </w:numPr>
              <w:tabs>
                <w:tab w:val="left" w:pos="900"/>
              </w:tabs>
              <w:spacing w:after="200" w:line="276" w:lineRule="auto"/>
              <w:ind w:left="90" w:firstLine="630"/>
              <w:jc w:val="both"/>
              <w:rPr>
                <w:lang w:val="hy-AM"/>
              </w:rPr>
            </w:pPr>
            <w:r w:rsidRPr="00F619A4">
              <w:rPr>
                <w:rFonts w:cs="Sylfaen"/>
                <w:lang w:val="hy-AM"/>
              </w:rPr>
              <w:t>տուժողի</w:t>
            </w:r>
            <w:r w:rsidRPr="00F619A4">
              <w:rPr>
                <w:lang w:val="hy-AM"/>
              </w:rPr>
              <w:t xml:space="preserve"> </w:t>
            </w:r>
            <w:r w:rsidRPr="00F619A4">
              <w:rPr>
                <w:rFonts w:cs="Sylfaen"/>
                <w:lang w:val="hy-AM"/>
              </w:rPr>
              <w:t>իրավական</w:t>
            </w:r>
            <w:r w:rsidRPr="00F619A4">
              <w:rPr>
                <w:lang w:val="hy-AM"/>
              </w:rPr>
              <w:t xml:space="preserve"> </w:t>
            </w:r>
            <w:r w:rsidRPr="00F619A4">
              <w:rPr>
                <w:rFonts w:cs="Sylfaen"/>
                <w:lang w:val="hy-AM"/>
              </w:rPr>
              <w:t>վիճակի</w:t>
            </w:r>
            <w:r w:rsidRPr="00F619A4">
              <w:rPr>
                <w:lang w:val="hy-AM"/>
              </w:rPr>
              <w:t xml:space="preserve"> </w:t>
            </w:r>
            <w:r w:rsidRPr="00F619A4">
              <w:rPr>
                <w:rFonts w:cs="Sylfaen"/>
                <w:lang w:val="hy-AM"/>
              </w:rPr>
              <w:t>վերանայում</w:t>
            </w:r>
            <w:r w:rsidRPr="00F619A4">
              <w:rPr>
                <w:lang w:val="hy-AM"/>
              </w:rPr>
              <w:t xml:space="preserve">` </w:t>
            </w:r>
            <w:r w:rsidRPr="00F619A4">
              <w:rPr>
                <w:rFonts w:cs="Sylfaen"/>
                <w:lang w:val="hy-AM"/>
              </w:rPr>
              <w:t>ուղղված</w:t>
            </w:r>
            <w:r w:rsidRPr="00F619A4">
              <w:rPr>
                <w:lang w:val="hy-AM"/>
              </w:rPr>
              <w:t xml:space="preserve"> </w:t>
            </w:r>
            <w:r w:rsidRPr="00F619A4">
              <w:rPr>
                <w:rFonts w:cs="Sylfaen"/>
                <w:lang w:val="hy-AM"/>
              </w:rPr>
              <w:t>սեփական</w:t>
            </w:r>
            <w:r w:rsidRPr="00F619A4">
              <w:rPr>
                <w:lang w:val="hy-AM"/>
              </w:rPr>
              <w:t xml:space="preserve"> </w:t>
            </w:r>
            <w:r w:rsidRPr="00F619A4">
              <w:rPr>
                <w:rFonts w:cs="Sylfaen"/>
                <w:lang w:val="hy-AM"/>
              </w:rPr>
              <w:t>շահերն</w:t>
            </w:r>
            <w:r w:rsidRPr="00F619A4">
              <w:rPr>
                <w:lang w:val="hy-AM"/>
              </w:rPr>
              <w:t xml:space="preserve"> </w:t>
            </w:r>
            <w:r w:rsidRPr="00F619A4">
              <w:rPr>
                <w:rFonts w:cs="Sylfaen"/>
                <w:lang w:val="hy-AM"/>
              </w:rPr>
              <w:t>արդյունավետ</w:t>
            </w:r>
            <w:r w:rsidRPr="00F619A4">
              <w:rPr>
                <w:lang w:val="hy-AM"/>
              </w:rPr>
              <w:t xml:space="preserve"> </w:t>
            </w:r>
            <w:r w:rsidRPr="00F619A4">
              <w:rPr>
                <w:rFonts w:cs="Sylfaen"/>
                <w:lang w:val="hy-AM"/>
              </w:rPr>
              <w:t>պաշտպանելու</w:t>
            </w:r>
            <w:r w:rsidRPr="00F619A4">
              <w:rPr>
                <w:lang w:val="hy-AM"/>
              </w:rPr>
              <w:t xml:space="preserve"> </w:t>
            </w:r>
            <w:r w:rsidRPr="00F619A4">
              <w:rPr>
                <w:rFonts w:cs="Sylfaen"/>
                <w:lang w:val="hy-AM"/>
              </w:rPr>
              <w:t>նրա</w:t>
            </w:r>
            <w:r w:rsidRPr="00F619A4">
              <w:rPr>
                <w:lang w:val="hy-AM"/>
              </w:rPr>
              <w:t xml:space="preserve"> </w:t>
            </w:r>
            <w:r w:rsidRPr="00F619A4">
              <w:rPr>
                <w:rFonts w:cs="Sylfaen"/>
                <w:lang w:val="hy-AM"/>
              </w:rPr>
              <w:t>հնարավորության</w:t>
            </w:r>
            <w:r w:rsidRPr="00F619A4">
              <w:rPr>
                <w:lang w:val="hy-AM"/>
              </w:rPr>
              <w:t xml:space="preserve"> </w:t>
            </w:r>
            <w:r w:rsidRPr="00F619A4">
              <w:rPr>
                <w:rFonts w:cs="Sylfaen"/>
                <w:lang w:val="hy-AM"/>
              </w:rPr>
              <w:t>մեծացմանը</w:t>
            </w:r>
            <w:r w:rsidRPr="00F619A4">
              <w:rPr>
                <w:lang w:val="hy-AM"/>
              </w:rPr>
              <w:t>.</w:t>
            </w:r>
          </w:p>
          <w:p w:rsidR="001F6D5D" w:rsidRPr="00F619A4" w:rsidRDefault="001F6D5D" w:rsidP="001F6D5D">
            <w:pPr>
              <w:pStyle w:val="ListParagraph"/>
              <w:numPr>
                <w:ilvl w:val="1"/>
                <w:numId w:val="515"/>
              </w:numPr>
              <w:tabs>
                <w:tab w:val="left" w:pos="900"/>
              </w:tabs>
              <w:spacing w:after="200" w:line="276" w:lineRule="auto"/>
              <w:ind w:left="90" w:firstLine="630"/>
              <w:jc w:val="both"/>
              <w:rPr>
                <w:lang w:val="hy-AM"/>
              </w:rPr>
            </w:pPr>
            <w:r w:rsidRPr="00F619A4">
              <w:rPr>
                <w:rFonts w:cs="Sylfaen"/>
                <w:lang w:val="hy-AM"/>
              </w:rPr>
              <w:t>արդարացվածին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դատական</w:t>
            </w:r>
            <w:r w:rsidRPr="00F619A4">
              <w:rPr>
                <w:lang w:val="hy-AM"/>
              </w:rPr>
              <w:t xml:space="preserve"> </w:t>
            </w:r>
            <w:r w:rsidRPr="00F619A4">
              <w:rPr>
                <w:rFonts w:cs="Sylfaen"/>
                <w:lang w:val="hy-AM"/>
              </w:rPr>
              <w:t>սխալներից</w:t>
            </w:r>
            <w:r w:rsidRPr="00F619A4">
              <w:rPr>
                <w:lang w:val="hy-AM"/>
              </w:rPr>
              <w:t xml:space="preserve"> </w:t>
            </w:r>
            <w:r w:rsidRPr="00F619A4">
              <w:rPr>
                <w:rFonts w:cs="Sylfaen"/>
                <w:lang w:val="hy-AM"/>
              </w:rPr>
              <w:t>տուժածներին</w:t>
            </w:r>
            <w:r w:rsidRPr="00F619A4">
              <w:rPr>
                <w:lang w:val="hy-AM"/>
              </w:rPr>
              <w:t xml:space="preserve"> </w:t>
            </w:r>
            <w:r w:rsidRPr="00F619A4">
              <w:rPr>
                <w:rFonts w:cs="Sylfaen"/>
                <w:lang w:val="hy-AM"/>
              </w:rPr>
              <w:t>փոխհատուցում</w:t>
            </w:r>
            <w:r w:rsidRPr="00F619A4">
              <w:rPr>
                <w:lang w:val="hy-AM"/>
              </w:rPr>
              <w:t xml:space="preserve"> </w:t>
            </w:r>
            <w:r w:rsidRPr="00F619A4">
              <w:rPr>
                <w:rFonts w:cs="Sylfaen"/>
                <w:lang w:val="hy-AM"/>
              </w:rPr>
              <w:t>տրամադրելու</w:t>
            </w:r>
            <w:r w:rsidRPr="00F619A4">
              <w:rPr>
                <w:lang w:val="hy-AM"/>
              </w:rPr>
              <w:t xml:space="preserve"> </w:t>
            </w:r>
            <w:r w:rsidRPr="00F619A4">
              <w:rPr>
                <w:rFonts w:cs="Sylfaen"/>
                <w:lang w:val="hy-AM"/>
              </w:rPr>
              <w:t>արդյունավետ</w:t>
            </w:r>
            <w:r w:rsidRPr="00F619A4">
              <w:rPr>
                <w:lang w:val="hy-AM"/>
              </w:rPr>
              <w:t xml:space="preserve"> </w:t>
            </w:r>
            <w:r w:rsidRPr="00F619A4">
              <w:rPr>
                <w:rFonts w:cs="Sylfaen"/>
                <w:lang w:val="hy-AM"/>
              </w:rPr>
              <w:t>մեխանիզմների</w:t>
            </w:r>
            <w:r w:rsidRPr="00F619A4">
              <w:rPr>
                <w:lang w:val="hy-AM"/>
              </w:rPr>
              <w:t xml:space="preserve"> </w:t>
            </w:r>
            <w:r w:rsidRPr="00F619A4">
              <w:rPr>
                <w:rFonts w:cs="Sylfaen"/>
                <w:lang w:val="hy-AM"/>
              </w:rPr>
              <w:t>նախատեսում</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ընթացակարգի</w:t>
            </w:r>
            <w:r w:rsidRPr="00F619A4">
              <w:rPr>
                <w:lang w:val="hy-AM"/>
              </w:rPr>
              <w:t xml:space="preserve"> </w:t>
            </w:r>
            <w:r w:rsidRPr="00F619A4">
              <w:rPr>
                <w:rFonts w:cs="Sylfaen"/>
                <w:lang w:val="hy-AM"/>
              </w:rPr>
              <w:t>կատարելագործում</w:t>
            </w:r>
            <w:r w:rsidRPr="00F619A4">
              <w:rPr>
                <w:lang w:val="hy-AM"/>
              </w:rPr>
              <w:t>.</w:t>
            </w:r>
          </w:p>
          <w:p w:rsidR="001F6D5D" w:rsidRPr="00F619A4" w:rsidRDefault="001F6D5D" w:rsidP="001F6D5D">
            <w:pPr>
              <w:pStyle w:val="ListParagraph"/>
              <w:numPr>
                <w:ilvl w:val="1"/>
                <w:numId w:val="515"/>
              </w:numPr>
              <w:tabs>
                <w:tab w:val="left" w:pos="900"/>
              </w:tabs>
              <w:spacing w:after="200" w:line="276" w:lineRule="auto"/>
              <w:ind w:left="90" w:firstLine="630"/>
              <w:jc w:val="both"/>
              <w:rPr>
                <w:lang w:val="hy-AM"/>
              </w:rPr>
            </w:pPr>
            <w:r w:rsidRPr="00F619A4">
              <w:rPr>
                <w:rFonts w:cs="Sylfaen"/>
                <w:lang w:val="hy-AM"/>
              </w:rPr>
              <w:t>մինչդատական</w:t>
            </w:r>
            <w:r w:rsidRPr="00F619A4">
              <w:rPr>
                <w:lang w:val="hy-AM"/>
              </w:rPr>
              <w:t xml:space="preserve"> </w:t>
            </w:r>
            <w:r w:rsidRPr="00F619A4">
              <w:rPr>
                <w:rFonts w:cs="Sylfaen"/>
                <w:lang w:val="hy-AM"/>
              </w:rPr>
              <w:t>վարույթի</w:t>
            </w:r>
            <w:r w:rsidRPr="00F619A4">
              <w:rPr>
                <w:lang w:val="hy-AM"/>
              </w:rPr>
              <w:t xml:space="preserve"> </w:t>
            </w:r>
            <w:r w:rsidRPr="00F619A4">
              <w:rPr>
                <w:rFonts w:cs="Sylfaen"/>
                <w:lang w:val="hy-AM"/>
              </w:rPr>
              <w:t>ձևերի</w:t>
            </w:r>
            <w:r w:rsidRPr="00F619A4">
              <w:rPr>
                <w:lang w:val="hy-AM"/>
              </w:rPr>
              <w:t xml:space="preserve"> (</w:t>
            </w:r>
            <w:r w:rsidRPr="00F619A4">
              <w:rPr>
                <w:rFonts w:cs="Sylfaen"/>
                <w:lang w:val="hy-AM"/>
              </w:rPr>
              <w:t>հետաքննություն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նախաքննություն</w:t>
            </w:r>
            <w:r w:rsidRPr="00F619A4">
              <w:rPr>
                <w:lang w:val="hy-AM"/>
              </w:rPr>
              <w:t xml:space="preserve">) </w:t>
            </w:r>
            <w:r w:rsidRPr="00F619A4">
              <w:rPr>
                <w:rFonts w:cs="Sylfaen"/>
                <w:lang w:val="hy-AM"/>
              </w:rPr>
              <w:t>տարբերակման</w:t>
            </w:r>
            <w:r w:rsidRPr="00F619A4">
              <w:rPr>
                <w:lang w:val="hy-AM"/>
              </w:rPr>
              <w:t xml:space="preserve"> </w:t>
            </w:r>
            <w:r w:rsidRPr="00F619A4">
              <w:rPr>
                <w:rFonts w:cs="Sylfaen"/>
                <w:lang w:val="hy-AM"/>
              </w:rPr>
              <w:t>արդյունավետ</w:t>
            </w:r>
            <w:r w:rsidRPr="00F619A4">
              <w:rPr>
                <w:lang w:val="hy-AM"/>
              </w:rPr>
              <w:t xml:space="preserve"> </w:t>
            </w:r>
            <w:r w:rsidRPr="00F619A4">
              <w:rPr>
                <w:rFonts w:cs="Sylfaen"/>
                <w:lang w:val="hy-AM"/>
              </w:rPr>
              <w:t>մեխանիզմի</w:t>
            </w:r>
            <w:r w:rsidRPr="00F619A4">
              <w:rPr>
                <w:lang w:val="hy-AM"/>
              </w:rPr>
              <w:t xml:space="preserve"> </w:t>
            </w:r>
            <w:r w:rsidRPr="00F619A4">
              <w:rPr>
                <w:rFonts w:cs="Sylfaen"/>
                <w:lang w:val="hy-AM"/>
              </w:rPr>
              <w:t>մշակում</w:t>
            </w:r>
            <w:r w:rsidRPr="00F619A4">
              <w:rPr>
                <w:lang w:val="hy-AM"/>
              </w:rPr>
              <w:t xml:space="preserve">, </w:t>
            </w:r>
            <w:r w:rsidRPr="00F619A4">
              <w:rPr>
                <w:rFonts w:cs="Sylfaen"/>
                <w:lang w:val="hy-AM"/>
              </w:rPr>
              <w:t>մինչդատական</w:t>
            </w:r>
            <w:r w:rsidRPr="00F619A4">
              <w:rPr>
                <w:lang w:val="hy-AM"/>
              </w:rPr>
              <w:t xml:space="preserve"> </w:t>
            </w:r>
            <w:r w:rsidRPr="00F619A4">
              <w:rPr>
                <w:rFonts w:cs="Sylfaen"/>
                <w:lang w:val="hy-AM"/>
              </w:rPr>
              <w:t>վարույթին</w:t>
            </w:r>
            <w:r w:rsidRPr="00F619A4">
              <w:rPr>
                <w:lang w:val="hy-AM"/>
              </w:rPr>
              <w:t xml:space="preserve"> 8 </w:t>
            </w:r>
            <w:r w:rsidRPr="00F619A4">
              <w:rPr>
                <w:rFonts w:cs="Sylfaen"/>
                <w:lang w:val="hy-AM"/>
              </w:rPr>
              <w:t>մասնակցող</w:t>
            </w:r>
            <w:r w:rsidRPr="00F619A4">
              <w:rPr>
                <w:lang w:val="hy-AM"/>
              </w:rPr>
              <w:t xml:space="preserve"> </w:t>
            </w:r>
            <w:r w:rsidRPr="00F619A4">
              <w:rPr>
                <w:rFonts w:cs="Sylfaen"/>
                <w:lang w:val="hy-AM"/>
              </w:rPr>
              <w:t>պաշտոնատար</w:t>
            </w:r>
            <w:r w:rsidRPr="00F619A4">
              <w:rPr>
                <w:lang w:val="hy-AM"/>
              </w:rPr>
              <w:t xml:space="preserve"> </w:t>
            </w:r>
            <w:r w:rsidRPr="00F619A4">
              <w:rPr>
                <w:rFonts w:cs="Sylfaen"/>
                <w:lang w:val="hy-AM"/>
              </w:rPr>
              <w:t>անձանց</w:t>
            </w:r>
            <w:r w:rsidRPr="00F619A4">
              <w:rPr>
                <w:lang w:val="hy-AM"/>
              </w:rPr>
              <w:t xml:space="preserve"> (</w:t>
            </w:r>
            <w:r w:rsidRPr="00F619A4">
              <w:rPr>
                <w:rFonts w:cs="Sylfaen"/>
                <w:lang w:val="hy-AM"/>
              </w:rPr>
              <w:t>դատախազ</w:t>
            </w:r>
            <w:r w:rsidRPr="00F619A4">
              <w:rPr>
                <w:lang w:val="hy-AM"/>
              </w:rPr>
              <w:t xml:space="preserve">, </w:t>
            </w:r>
            <w:r w:rsidRPr="00F619A4">
              <w:rPr>
                <w:rFonts w:cs="Sylfaen"/>
                <w:lang w:val="hy-AM"/>
              </w:rPr>
              <w:t>քննիչ</w:t>
            </w:r>
            <w:r w:rsidRPr="00F619A4">
              <w:rPr>
                <w:lang w:val="hy-AM"/>
              </w:rPr>
              <w:t xml:space="preserve">, </w:t>
            </w:r>
            <w:r w:rsidRPr="00F619A4">
              <w:rPr>
                <w:rFonts w:cs="Sylfaen"/>
                <w:lang w:val="hy-AM"/>
              </w:rPr>
              <w:t>քննչական</w:t>
            </w:r>
            <w:r w:rsidRPr="00F619A4">
              <w:rPr>
                <w:lang w:val="hy-AM"/>
              </w:rPr>
              <w:t xml:space="preserve"> </w:t>
            </w:r>
            <w:r w:rsidRPr="00F619A4">
              <w:rPr>
                <w:rFonts w:cs="Sylfaen"/>
                <w:lang w:val="hy-AM"/>
              </w:rPr>
              <w:t>ստորաբաժանման</w:t>
            </w:r>
            <w:r w:rsidRPr="00F619A4">
              <w:rPr>
                <w:lang w:val="hy-AM"/>
              </w:rPr>
              <w:t xml:space="preserve"> </w:t>
            </w:r>
            <w:r w:rsidRPr="00F619A4">
              <w:rPr>
                <w:rFonts w:cs="Sylfaen"/>
                <w:lang w:val="hy-AM"/>
              </w:rPr>
              <w:t>ղեկավար</w:t>
            </w:r>
            <w:r w:rsidRPr="00F619A4">
              <w:rPr>
                <w:lang w:val="hy-AM"/>
              </w:rPr>
              <w:t xml:space="preserve">, </w:t>
            </w:r>
            <w:r w:rsidRPr="00F619A4">
              <w:rPr>
                <w:rFonts w:cs="Sylfaen"/>
                <w:lang w:val="hy-AM"/>
              </w:rPr>
              <w:t>հետաքննիչ</w:t>
            </w:r>
            <w:r w:rsidRPr="00F619A4">
              <w:rPr>
                <w:lang w:val="hy-AM"/>
              </w:rPr>
              <w:t xml:space="preserve">) </w:t>
            </w:r>
            <w:r w:rsidRPr="00F619A4">
              <w:rPr>
                <w:rFonts w:cs="Sylfaen"/>
                <w:lang w:val="hy-AM"/>
              </w:rPr>
              <w:t>գործառույթների</w:t>
            </w:r>
            <w:r w:rsidRPr="00F619A4">
              <w:rPr>
                <w:lang w:val="hy-AM"/>
              </w:rPr>
              <w:t xml:space="preserve"> </w:t>
            </w:r>
            <w:r w:rsidRPr="00F619A4">
              <w:rPr>
                <w:rFonts w:cs="Sylfaen"/>
                <w:lang w:val="hy-AM"/>
              </w:rPr>
              <w:t>հստակեցում</w:t>
            </w:r>
            <w:r w:rsidRPr="00F619A4">
              <w:rPr>
                <w:lang w:val="hy-AM"/>
              </w:rPr>
              <w:t xml:space="preserve">, </w:t>
            </w:r>
            <w:r w:rsidRPr="00F619A4">
              <w:rPr>
                <w:rFonts w:cs="Sylfaen"/>
                <w:lang w:val="hy-AM"/>
              </w:rPr>
              <w:t>տարանջատում</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ներդաշնակում</w:t>
            </w:r>
            <w:r w:rsidRPr="00F619A4">
              <w:rPr>
                <w:lang w:val="hy-AM"/>
              </w:rPr>
              <w:t xml:space="preserve">, </w:t>
            </w:r>
            <w:r w:rsidRPr="00F619A4">
              <w:rPr>
                <w:rFonts w:cs="Sylfaen"/>
                <w:lang w:val="hy-AM"/>
              </w:rPr>
              <w:t>գործառույթ</w:t>
            </w:r>
            <w:r w:rsidRPr="00F619A4">
              <w:rPr>
                <w:lang w:val="hy-AM"/>
              </w:rPr>
              <w:t>-</w:t>
            </w:r>
            <w:r w:rsidRPr="00F619A4">
              <w:rPr>
                <w:rFonts w:cs="Sylfaen"/>
                <w:lang w:val="hy-AM"/>
              </w:rPr>
              <w:t>ինստիտուտ</w:t>
            </w:r>
            <w:r w:rsidRPr="00F619A4">
              <w:rPr>
                <w:lang w:val="hy-AM"/>
              </w:rPr>
              <w:t>-</w:t>
            </w:r>
            <w:r w:rsidRPr="00F619A4">
              <w:rPr>
                <w:rFonts w:cs="Sylfaen"/>
                <w:lang w:val="hy-AM"/>
              </w:rPr>
              <w:t>լիազորություն</w:t>
            </w:r>
            <w:r w:rsidRPr="00F619A4">
              <w:rPr>
                <w:lang w:val="hy-AM"/>
              </w:rPr>
              <w:t xml:space="preserve"> </w:t>
            </w:r>
            <w:r w:rsidRPr="00F619A4">
              <w:rPr>
                <w:rFonts w:cs="Sylfaen"/>
                <w:lang w:val="hy-AM"/>
              </w:rPr>
              <w:t>շղթայի</w:t>
            </w:r>
            <w:r w:rsidRPr="00F619A4">
              <w:rPr>
                <w:lang w:val="hy-AM"/>
              </w:rPr>
              <w:t xml:space="preserve"> </w:t>
            </w:r>
            <w:r w:rsidRPr="00F619A4">
              <w:rPr>
                <w:rFonts w:cs="Sylfaen"/>
                <w:lang w:val="hy-AM"/>
              </w:rPr>
              <w:t>օրգանական</w:t>
            </w:r>
            <w:r w:rsidRPr="00F619A4">
              <w:rPr>
                <w:lang w:val="hy-AM"/>
              </w:rPr>
              <w:t xml:space="preserve"> </w:t>
            </w:r>
            <w:r w:rsidRPr="00F619A4">
              <w:rPr>
                <w:rFonts w:cs="Sylfaen"/>
                <w:lang w:val="hy-AM"/>
              </w:rPr>
              <w:t>ամբողջականության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լիարժեքության</w:t>
            </w:r>
            <w:r w:rsidRPr="00F619A4">
              <w:rPr>
                <w:lang w:val="hy-AM"/>
              </w:rPr>
              <w:t xml:space="preserve"> </w:t>
            </w:r>
            <w:r w:rsidRPr="00F619A4">
              <w:rPr>
                <w:rFonts w:cs="Sylfaen"/>
                <w:lang w:val="hy-AM"/>
              </w:rPr>
              <w:t>ապահովում</w:t>
            </w:r>
            <w:r w:rsidRPr="00F619A4">
              <w:rPr>
                <w:lang w:val="hy-AM"/>
              </w:rPr>
              <w:t>.</w:t>
            </w:r>
          </w:p>
          <w:p w:rsidR="001F6D5D" w:rsidRPr="00F619A4" w:rsidRDefault="001F6D5D" w:rsidP="001F6D5D">
            <w:pPr>
              <w:pStyle w:val="ListParagraph"/>
              <w:numPr>
                <w:ilvl w:val="1"/>
                <w:numId w:val="515"/>
              </w:numPr>
              <w:tabs>
                <w:tab w:val="left" w:pos="900"/>
              </w:tabs>
              <w:spacing w:after="200" w:line="276" w:lineRule="auto"/>
              <w:ind w:left="90" w:firstLine="630"/>
              <w:jc w:val="both"/>
              <w:rPr>
                <w:lang w:val="hy-AM"/>
              </w:rPr>
            </w:pPr>
            <w:r w:rsidRPr="00F619A4">
              <w:rPr>
                <w:rFonts w:cs="Sylfaen"/>
                <w:lang w:val="hy-AM"/>
              </w:rPr>
              <w:t>տարբերակված</w:t>
            </w:r>
            <w:r w:rsidRPr="00F619A4">
              <w:rPr>
                <w:lang w:val="hy-AM"/>
              </w:rPr>
              <w:t xml:space="preserve"> </w:t>
            </w:r>
            <w:r w:rsidRPr="00F619A4">
              <w:rPr>
                <w:rFonts w:cs="Sylfaen"/>
                <w:lang w:val="hy-AM"/>
              </w:rPr>
              <w:t>վարույթների</w:t>
            </w:r>
            <w:r w:rsidRPr="00F619A4">
              <w:rPr>
                <w:lang w:val="hy-AM"/>
              </w:rPr>
              <w:t xml:space="preserve"> </w:t>
            </w:r>
            <w:r w:rsidRPr="00F619A4">
              <w:rPr>
                <w:rFonts w:cs="Sylfaen"/>
                <w:lang w:val="hy-AM"/>
              </w:rPr>
              <w:t>շրջանակի</w:t>
            </w:r>
            <w:r w:rsidRPr="00F619A4">
              <w:rPr>
                <w:lang w:val="hy-AM"/>
              </w:rPr>
              <w:t xml:space="preserve"> </w:t>
            </w:r>
            <w:r w:rsidRPr="00F619A4">
              <w:rPr>
                <w:rFonts w:cs="Sylfaen"/>
                <w:lang w:val="hy-AM"/>
              </w:rPr>
              <w:t>ընդլայնում</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կատարելագործում</w:t>
            </w:r>
            <w:r w:rsidRPr="00F619A4">
              <w:rPr>
                <w:lang w:val="hy-AM"/>
              </w:rPr>
              <w:t xml:space="preserve">, </w:t>
            </w:r>
            <w:r w:rsidRPr="00F619A4">
              <w:rPr>
                <w:rFonts w:cs="Sylfaen"/>
                <w:lang w:val="hy-AM"/>
              </w:rPr>
              <w:t>դրանց</w:t>
            </w:r>
            <w:r w:rsidRPr="00F619A4">
              <w:rPr>
                <w:lang w:val="hy-AM"/>
              </w:rPr>
              <w:t xml:space="preserve"> </w:t>
            </w:r>
            <w:r w:rsidRPr="00F619A4">
              <w:rPr>
                <w:rFonts w:cs="Sylfaen"/>
                <w:lang w:val="hy-AM"/>
              </w:rPr>
              <w:t>նկատմամբ</w:t>
            </w:r>
            <w:r w:rsidRPr="00F619A4">
              <w:rPr>
                <w:lang w:val="hy-AM"/>
              </w:rPr>
              <w:t xml:space="preserve"> </w:t>
            </w:r>
            <w:r w:rsidRPr="00F619A4">
              <w:rPr>
                <w:rFonts w:cs="Sylfaen"/>
                <w:lang w:val="hy-AM"/>
              </w:rPr>
              <w:t>հավասարակշռված</w:t>
            </w:r>
            <w:r w:rsidRPr="00F619A4">
              <w:rPr>
                <w:lang w:val="hy-AM"/>
              </w:rPr>
              <w:t xml:space="preserve"> </w:t>
            </w:r>
            <w:r w:rsidRPr="00F619A4">
              <w:rPr>
                <w:rFonts w:cs="Sylfaen"/>
                <w:lang w:val="hy-AM"/>
              </w:rPr>
              <w:t>մոտեցման</w:t>
            </w:r>
            <w:r w:rsidRPr="00F619A4">
              <w:rPr>
                <w:lang w:val="hy-AM"/>
              </w:rPr>
              <w:t xml:space="preserve"> </w:t>
            </w:r>
            <w:r w:rsidRPr="00F619A4">
              <w:rPr>
                <w:rFonts w:cs="Sylfaen"/>
                <w:lang w:val="hy-AM"/>
              </w:rPr>
              <w:t>մշակում</w:t>
            </w:r>
            <w:r w:rsidRPr="00F619A4">
              <w:rPr>
                <w:lang w:val="hy-AM"/>
              </w:rPr>
              <w:t xml:space="preserve">` </w:t>
            </w:r>
            <w:r w:rsidRPr="00F619A4">
              <w:rPr>
                <w:rFonts w:cs="Sylfaen"/>
                <w:lang w:val="hy-AM"/>
              </w:rPr>
              <w:t>ուղղված</w:t>
            </w:r>
            <w:r w:rsidRPr="00F619A4">
              <w:rPr>
                <w:lang w:val="hy-AM"/>
              </w:rPr>
              <w:t xml:space="preserve"> </w:t>
            </w:r>
            <w:r w:rsidRPr="00F619A4">
              <w:rPr>
                <w:rFonts w:cs="Sylfaen"/>
                <w:lang w:val="hy-AM"/>
              </w:rPr>
              <w:t>մի</w:t>
            </w:r>
            <w:r w:rsidRPr="00F619A4">
              <w:rPr>
                <w:lang w:val="hy-AM"/>
              </w:rPr>
              <w:t xml:space="preserve"> </w:t>
            </w:r>
            <w:r w:rsidRPr="00F619A4">
              <w:rPr>
                <w:rFonts w:cs="Sylfaen"/>
                <w:lang w:val="hy-AM"/>
              </w:rPr>
              <w:t>կողմից</w:t>
            </w:r>
            <w:r w:rsidRPr="00F619A4">
              <w:rPr>
                <w:lang w:val="hy-AM"/>
              </w:rPr>
              <w:t xml:space="preserve"> </w:t>
            </w:r>
            <w:r w:rsidRPr="00F619A4">
              <w:rPr>
                <w:rFonts w:cs="Sylfaen"/>
                <w:lang w:val="hy-AM"/>
              </w:rPr>
              <w:t>ռեսուրսների</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ժամանակի</w:t>
            </w:r>
            <w:r w:rsidRPr="00F619A4">
              <w:rPr>
                <w:lang w:val="hy-AM"/>
              </w:rPr>
              <w:t xml:space="preserve"> </w:t>
            </w:r>
            <w:r w:rsidRPr="00F619A4">
              <w:rPr>
                <w:rFonts w:cs="Sylfaen"/>
                <w:lang w:val="hy-AM"/>
              </w:rPr>
              <w:t>խնայողությանը</w:t>
            </w:r>
            <w:r w:rsidRPr="00F619A4">
              <w:rPr>
                <w:lang w:val="hy-AM"/>
              </w:rPr>
              <w:t xml:space="preserve">, </w:t>
            </w:r>
            <w:r w:rsidRPr="00F619A4">
              <w:rPr>
                <w:rFonts w:cs="Sylfaen"/>
                <w:lang w:val="hy-AM"/>
              </w:rPr>
              <w:t>իսկ</w:t>
            </w:r>
            <w:r w:rsidRPr="00F619A4">
              <w:rPr>
                <w:lang w:val="hy-AM"/>
              </w:rPr>
              <w:t xml:space="preserve"> </w:t>
            </w:r>
            <w:r w:rsidRPr="00F619A4">
              <w:rPr>
                <w:rFonts w:cs="Sylfaen"/>
                <w:lang w:val="hy-AM"/>
              </w:rPr>
              <w:t>մյուս</w:t>
            </w:r>
            <w:r w:rsidRPr="00F619A4">
              <w:rPr>
                <w:lang w:val="hy-AM"/>
              </w:rPr>
              <w:t xml:space="preserve"> </w:t>
            </w:r>
            <w:r w:rsidRPr="00F619A4">
              <w:rPr>
                <w:rFonts w:cs="Sylfaen"/>
                <w:lang w:val="hy-AM"/>
              </w:rPr>
              <w:t>կողմից</w:t>
            </w:r>
            <w:r w:rsidRPr="00F619A4">
              <w:rPr>
                <w:lang w:val="hy-AM"/>
              </w:rPr>
              <w:t xml:space="preserve">` </w:t>
            </w:r>
            <w:r w:rsidRPr="00F619A4">
              <w:rPr>
                <w:rFonts w:cs="Sylfaen"/>
                <w:lang w:val="hy-AM"/>
              </w:rPr>
              <w:t>արդարադատության</w:t>
            </w:r>
            <w:r w:rsidRPr="00F619A4">
              <w:rPr>
                <w:lang w:val="hy-AM"/>
              </w:rPr>
              <w:t xml:space="preserve"> </w:t>
            </w:r>
            <w:r w:rsidRPr="00F619A4">
              <w:rPr>
                <w:rFonts w:cs="Sylfaen"/>
                <w:lang w:val="hy-AM"/>
              </w:rPr>
              <w:t>շահերի</w:t>
            </w:r>
            <w:r w:rsidRPr="00F619A4">
              <w:rPr>
                <w:lang w:val="hy-AM"/>
              </w:rPr>
              <w:t xml:space="preserve"> </w:t>
            </w:r>
            <w:r w:rsidRPr="00F619A4">
              <w:rPr>
                <w:rFonts w:cs="Sylfaen"/>
                <w:lang w:val="hy-AM"/>
              </w:rPr>
              <w:t>ներդաշնակ</w:t>
            </w:r>
            <w:r w:rsidRPr="00F619A4">
              <w:rPr>
                <w:lang w:val="hy-AM"/>
              </w:rPr>
              <w:t xml:space="preserve"> </w:t>
            </w:r>
            <w:r w:rsidRPr="00F619A4">
              <w:rPr>
                <w:rFonts w:cs="Sylfaen"/>
                <w:lang w:val="hy-AM"/>
              </w:rPr>
              <w:t>ապահովմանը</w:t>
            </w:r>
            <w:r w:rsidRPr="00F619A4">
              <w:rPr>
                <w:lang w:val="hy-AM"/>
              </w:rPr>
              <w:t>.</w:t>
            </w:r>
          </w:p>
          <w:p w:rsidR="001F6D5D" w:rsidRPr="00F619A4" w:rsidRDefault="001F6D5D" w:rsidP="001F6D5D">
            <w:pPr>
              <w:pStyle w:val="ListParagraph"/>
              <w:numPr>
                <w:ilvl w:val="1"/>
                <w:numId w:val="515"/>
              </w:numPr>
              <w:tabs>
                <w:tab w:val="left" w:pos="900"/>
              </w:tabs>
              <w:spacing w:after="200" w:line="276" w:lineRule="auto"/>
              <w:ind w:left="90" w:firstLine="630"/>
              <w:jc w:val="both"/>
              <w:rPr>
                <w:lang w:val="hy-AM"/>
              </w:rPr>
            </w:pPr>
            <w:r w:rsidRPr="00F619A4">
              <w:rPr>
                <w:rFonts w:cs="Sylfaen"/>
                <w:lang w:val="hy-AM"/>
              </w:rPr>
              <w:t>միջանկյալ</w:t>
            </w:r>
            <w:r w:rsidRPr="00F619A4">
              <w:rPr>
                <w:lang w:val="hy-AM"/>
              </w:rPr>
              <w:t xml:space="preserve"> </w:t>
            </w:r>
            <w:r w:rsidRPr="00F619A4">
              <w:rPr>
                <w:rFonts w:cs="Sylfaen"/>
                <w:lang w:val="hy-AM"/>
              </w:rPr>
              <w:t>դատական</w:t>
            </w:r>
            <w:r w:rsidRPr="00F619A4">
              <w:rPr>
                <w:lang w:val="hy-AM"/>
              </w:rPr>
              <w:t xml:space="preserve"> </w:t>
            </w:r>
            <w:r w:rsidRPr="00F619A4">
              <w:rPr>
                <w:rFonts w:cs="Sylfaen"/>
                <w:lang w:val="hy-AM"/>
              </w:rPr>
              <w:t>վարույթի</w:t>
            </w:r>
            <w:r w:rsidRPr="00F619A4">
              <w:rPr>
                <w:lang w:val="hy-AM"/>
              </w:rPr>
              <w:t xml:space="preserve"> (</w:t>
            </w:r>
            <w:r w:rsidRPr="00F619A4">
              <w:rPr>
                <w:rFonts w:cs="Sylfaen"/>
                <w:lang w:val="hy-AM"/>
              </w:rPr>
              <w:t>նախնական</w:t>
            </w:r>
            <w:r w:rsidRPr="00F619A4">
              <w:rPr>
                <w:lang w:val="hy-AM"/>
              </w:rPr>
              <w:t xml:space="preserve"> </w:t>
            </w:r>
            <w:r w:rsidRPr="00F619A4">
              <w:rPr>
                <w:rFonts w:cs="Sylfaen"/>
                <w:lang w:val="hy-AM"/>
              </w:rPr>
              <w:t>դատական</w:t>
            </w:r>
            <w:r w:rsidRPr="00F619A4">
              <w:rPr>
                <w:lang w:val="hy-AM"/>
              </w:rPr>
              <w:t xml:space="preserve"> </w:t>
            </w:r>
            <w:r w:rsidRPr="00F619A4">
              <w:rPr>
                <w:rFonts w:cs="Sylfaen"/>
                <w:lang w:val="hy-AM"/>
              </w:rPr>
              <w:t>լսումների</w:t>
            </w:r>
            <w:r w:rsidRPr="00F619A4">
              <w:rPr>
                <w:lang w:val="hy-AM"/>
              </w:rPr>
              <w:t xml:space="preserve">) </w:t>
            </w:r>
            <w:r w:rsidRPr="00F619A4">
              <w:rPr>
                <w:rFonts w:cs="Sylfaen"/>
                <w:lang w:val="hy-AM"/>
              </w:rPr>
              <w:t>ինստիտուտի</w:t>
            </w:r>
            <w:r w:rsidRPr="00F619A4">
              <w:rPr>
                <w:lang w:val="hy-AM"/>
              </w:rPr>
              <w:t xml:space="preserve"> </w:t>
            </w:r>
            <w:r w:rsidRPr="00F619A4">
              <w:rPr>
                <w:rFonts w:cs="Sylfaen"/>
                <w:lang w:val="hy-AM"/>
              </w:rPr>
              <w:t>հիմնադրում</w:t>
            </w:r>
            <w:r w:rsidRPr="00F619A4">
              <w:rPr>
                <w:lang w:val="hy-AM"/>
              </w:rPr>
              <w:t xml:space="preserve">` </w:t>
            </w:r>
            <w:r w:rsidRPr="00F619A4">
              <w:rPr>
                <w:rFonts w:cs="Sylfaen"/>
                <w:lang w:val="hy-AM"/>
              </w:rPr>
              <w:t>մինչդատական</w:t>
            </w:r>
            <w:r w:rsidRPr="00F619A4">
              <w:rPr>
                <w:lang w:val="hy-AM"/>
              </w:rPr>
              <w:t xml:space="preserve"> </w:t>
            </w:r>
            <w:r w:rsidRPr="00F619A4">
              <w:rPr>
                <w:rFonts w:cs="Sylfaen"/>
                <w:lang w:val="hy-AM"/>
              </w:rPr>
              <w:t>վարույթի</w:t>
            </w:r>
            <w:r w:rsidRPr="00F619A4">
              <w:rPr>
                <w:lang w:val="hy-AM"/>
              </w:rPr>
              <w:t xml:space="preserve"> </w:t>
            </w:r>
            <w:r w:rsidRPr="00F619A4">
              <w:rPr>
                <w:rFonts w:cs="Sylfaen"/>
                <w:lang w:val="hy-AM"/>
              </w:rPr>
              <w:t>արդյունքների</w:t>
            </w:r>
            <w:r w:rsidRPr="00F619A4">
              <w:rPr>
                <w:lang w:val="hy-AM"/>
              </w:rPr>
              <w:t xml:space="preserve"> </w:t>
            </w:r>
            <w:r w:rsidRPr="00F619A4">
              <w:rPr>
                <w:rFonts w:cs="Sylfaen"/>
                <w:lang w:val="hy-AM"/>
              </w:rPr>
              <w:t>ամփոփումն</w:t>
            </w:r>
            <w:r w:rsidRPr="00F619A4">
              <w:rPr>
                <w:lang w:val="hy-AM"/>
              </w:rPr>
              <w:t xml:space="preserve"> </w:t>
            </w:r>
            <w:r w:rsidRPr="00F619A4">
              <w:rPr>
                <w:rFonts w:cs="Sylfaen"/>
                <w:lang w:val="hy-AM"/>
              </w:rPr>
              <w:t>ավելի</w:t>
            </w:r>
            <w:r w:rsidRPr="00F619A4">
              <w:rPr>
                <w:lang w:val="hy-AM"/>
              </w:rPr>
              <w:t xml:space="preserve"> </w:t>
            </w:r>
            <w:r w:rsidRPr="00F619A4">
              <w:rPr>
                <w:rFonts w:cs="Sylfaen"/>
                <w:lang w:val="hy-AM"/>
              </w:rPr>
              <w:t>ռացիոնալ</w:t>
            </w:r>
            <w:r w:rsidRPr="00F619A4">
              <w:rPr>
                <w:lang w:val="hy-AM"/>
              </w:rPr>
              <w:t xml:space="preserve"> </w:t>
            </w:r>
            <w:r w:rsidRPr="00F619A4">
              <w:rPr>
                <w:rFonts w:cs="Sylfaen"/>
                <w:lang w:val="hy-AM"/>
              </w:rPr>
              <w:t>դարձնելու</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ապագա</w:t>
            </w:r>
            <w:r w:rsidRPr="00F619A4">
              <w:rPr>
                <w:lang w:val="hy-AM"/>
              </w:rPr>
              <w:t xml:space="preserve"> </w:t>
            </w:r>
            <w:r w:rsidRPr="00F619A4">
              <w:rPr>
                <w:rFonts w:cs="Sylfaen"/>
                <w:lang w:val="hy-AM"/>
              </w:rPr>
              <w:t>դատական</w:t>
            </w:r>
            <w:r w:rsidRPr="00F619A4">
              <w:rPr>
                <w:lang w:val="hy-AM"/>
              </w:rPr>
              <w:t xml:space="preserve"> </w:t>
            </w:r>
            <w:r w:rsidRPr="00F619A4">
              <w:rPr>
                <w:rFonts w:cs="Sylfaen"/>
                <w:lang w:val="hy-AM"/>
              </w:rPr>
              <w:t>քննությունն</w:t>
            </w:r>
            <w:r w:rsidRPr="00F619A4">
              <w:rPr>
                <w:lang w:val="hy-AM"/>
              </w:rPr>
              <w:t xml:space="preserve"> </w:t>
            </w:r>
            <w:r w:rsidRPr="00F619A4">
              <w:rPr>
                <w:rFonts w:cs="Sylfaen"/>
                <w:lang w:val="hy-AM"/>
              </w:rPr>
              <w:t>առավել</w:t>
            </w:r>
            <w:r w:rsidRPr="00F619A4">
              <w:rPr>
                <w:lang w:val="hy-AM"/>
              </w:rPr>
              <w:t xml:space="preserve"> </w:t>
            </w:r>
            <w:r w:rsidRPr="00F619A4">
              <w:rPr>
                <w:rFonts w:cs="Sylfaen"/>
                <w:lang w:val="hy-AM"/>
              </w:rPr>
              <w:t>արդյունավետ</w:t>
            </w:r>
            <w:r w:rsidRPr="00F619A4">
              <w:rPr>
                <w:lang w:val="hy-AM"/>
              </w:rPr>
              <w:t xml:space="preserve"> </w:t>
            </w:r>
            <w:r w:rsidRPr="00F619A4">
              <w:rPr>
                <w:rFonts w:cs="Sylfaen"/>
                <w:lang w:val="hy-AM"/>
              </w:rPr>
              <w:t>անցկացնելու</w:t>
            </w:r>
            <w:r w:rsidRPr="00F619A4">
              <w:rPr>
                <w:lang w:val="hy-AM"/>
              </w:rPr>
              <w:t xml:space="preserve"> </w:t>
            </w:r>
            <w:r w:rsidRPr="00F619A4">
              <w:rPr>
                <w:rFonts w:cs="Sylfaen"/>
                <w:lang w:val="hy-AM"/>
              </w:rPr>
              <w:t>համար</w:t>
            </w:r>
            <w:r w:rsidRPr="00F619A4">
              <w:rPr>
                <w:lang w:val="hy-AM"/>
              </w:rPr>
              <w:t xml:space="preserve">. </w:t>
            </w:r>
          </w:p>
          <w:p w:rsidR="001F6D5D" w:rsidRPr="00F619A4" w:rsidRDefault="001F6D5D" w:rsidP="001F6D5D">
            <w:pPr>
              <w:pStyle w:val="ListParagraph"/>
              <w:numPr>
                <w:ilvl w:val="1"/>
                <w:numId w:val="515"/>
              </w:numPr>
              <w:tabs>
                <w:tab w:val="left" w:pos="900"/>
              </w:tabs>
              <w:spacing w:after="200" w:line="276" w:lineRule="auto"/>
              <w:ind w:left="90" w:firstLine="630"/>
              <w:jc w:val="both"/>
              <w:rPr>
                <w:lang w:val="hy-AM"/>
              </w:rPr>
            </w:pPr>
            <w:r w:rsidRPr="00F619A4">
              <w:rPr>
                <w:rFonts w:cs="Sylfaen"/>
                <w:lang w:val="hy-AM"/>
              </w:rPr>
              <w:t>քրեական</w:t>
            </w:r>
            <w:r w:rsidRPr="00F619A4">
              <w:rPr>
                <w:lang w:val="hy-AM"/>
              </w:rPr>
              <w:t xml:space="preserve"> </w:t>
            </w:r>
            <w:r w:rsidRPr="00F619A4">
              <w:rPr>
                <w:rFonts w:cs="Sylfaen"/>
                <w:lang w:val="hy-AM"/>
              </w:rPr>
              <w:t>գործերի</w:t>
            </w:r>
            <w:r w:rsidRPr="00F619A4">
              <w:rPr>
                <w:lang w:val="hy-AM"/>
              </w:rPr>
              <w:t xml:space="preserve"> </w:t>
            </w:r>
            <w:r w:rsidRPr="00F619A4">
              <w:rPr>
                <w:rFonts w:cs="Sylfaen"/>
                <w:lang w:val="hy-AM"/>
              </w:rPr>
              <w:t>քննության</w:t>
            </w:r>
            <w:r w:rsidRPr="00F619A4">
              <w:rPr>
                <w:lang w:val="hy-AM"/>
              </w:rPr>
              <w:t xml:space="preserve"> </w:t>
            </w:r>
            <w:r w:rsidRPr="00F619A4">
              <w:rPr>
                <w:rFonts w:cs="Sylfaen"/>
                <w:lang w:val="hy-AM"/>
              </w:rPr>
              <w:t>ծանրության</w:t>
            </w:r>
            <w:r w:rsidRPr="00F619A4">
              <w:rPr>
                <w:lang w:val="hy-AM"/>
              </w:rPr>
              <w:t xml:space="preserve"> </w:t>
            </w:r>
            <w:r w:rsidRPr="00F619A4">
              <w:rPr>
                <w:rFonts w:cs="Sylfaen"/>
                <w:lang w:val="hy-AM"/>
              </w:rPr>
              <w:t>տեղափոխում</w:t>
            </w:r>
            <w:r w:rsidRPr="00F619A4">
              <w:rPr>
                <w:lang w:val="hy-AM"/>
              </w:rPr>
              <w:t xml:space="preserve"> </w:t>
            </w:r>
            <w:r w:rsidRPr="00F619A4">
              <w:rPr>
                <w:rFonts w:cs="Sylfaen"/>
                <w:lang w:val="hy-AM"/>
              </w:rPr>
              <w:t>մինչդատական</w:t>
            </w:r>
            <w:r w:rsidRPr="00F619A4">
              <w:rPr>
                <w:lang w:val="hy-AM"/>
              </w:rPr>
              <w:t xml:space="preserve"> </w:t>
            </w:r>
            <w:r w:rsidRPr="00F619A4">
              <w:rPr>
                <w:rFonts w:cs="Sylfaen"/>
                <w:lang w:val="hy-AM"/>
              </w:rPr>
              <w:t>վարույթից</w:t>
            </w:r>
            <w:r w:rsidRPr="00F619A4">
              <w:rPr>
                <w:lang w:val="hy-AM"/>
              </w:rPr>
              <w:t xml:space="preserve"> </w:t>
            </w:r>
            <w:r w:rsidRPr="00F619A4">
              <w:rPr>
                <w:rFonts w:cs="Sylfaen"/>
                <w:lang w:val="hy-AM"/>
              </w:rPr>
              <w:t>դատարան</w:t>
            </w:r>
            <w:r w:rsidRPr="00F619A4">
              <w:rPr>
                <w:lang w:val="hy-AM"/>
              </w:rPr>
              <w:t xml:space="preserve">, </w:t>
            </w:r>
            <w:r w:rsidRPr="00F619A4">
              <w:rPr>
                <w:rFonts w:cs="Sylfaen"/>
                <w:lang w:val="hy-AM"/>
              </w:rPr>
              <w:t>նախաքննության</w:t>
            </w:r>
            <w:r w:rsidRPr="00F619A4">
              <w:rPr>
                <w:lang w:val="hy-AM"/>
              </w:rPr>
              <w:t xml:space="preserve"> </w:t>
            </w:r>
            <w:r w:rsidRPr="00F619A4">
              <w:rPr>
                <w:rFonts w:cs="Sylfaen"/>
                <w:lang w:val="hy-AM"/>
              </w:rPr>
              <w:t>ծավալների</w:t>
            </w:r>
            <w:r w:rsidRPr="00F619A4">
              <w:rPr>
                <w:lang w:val="hy-AM"/>
              </w:rPr>
              <w:t xml:space="preserve"> </w:t>
            </w:r>
            <w:r w:rsidRPr="00F619A4">
              <w:rPr>
                <w:rFonts w:cs="Sylfaen"/>
                <w:lang w:val="hy-AM"/>
              </w:rPr>
              <w:t>ու</w:t>
            </w:r>
            <w:r w:rsidRPr="00F619A4">
              <w:rPr>
                <w:lang w:val="hy-AM"/>
              </w:rPr>
              <w:t xml:space="preserve"> </w:t>
            </w:r>
            <w:r w:rsidRPr="00F619A4">
              <w:rPr>
                <w:rFonts w:cs="Sylfaen"/>
                <w:lang w:val="hy-AM"/>
              </w:rPr>
              <w:t>ազդեցության</w:t>
            </w:r>
            <w:r w:rsidRPr="00F619A4">
              <w:rPr>
                <w:lang w:val="hy-AM"/>
              </w:rPr>
              <w:t xml:space="preserve"> </w:t>
            </w:r>
            <w:r w:rsidRPr="00F619A4">
              <w:rPr>
                <w:rFonts w:cs="Sylfaen"/>
                <w:lang w:val="hy-AM"/>
              </w:rPr>
              <w:t>նվազեցում</w:t>
            </w:r>
            <w:r w:rsidRPr="00F619A4">
              <w:rPr>
                <w:lang w:val="hy-AM"/>
              </w:rPr>
              <w:t xml:space="preserve">, </w:t>
            </w:r>
            <w:r w:rsidRPr="00F619A4">
              <w:rPr>
                <w:rFonts w:cs="Sylfaen"/>
                <w:lang w:val="hy-AM"/>
              </w:rPr>
              <w:t>դատարանում</w:t>
            </w:r>
            <w:r w:rsidRPr="00F619A4">
              <w:rPr>
                <w:lang w:val="hy-AM"/>
              </w:rPr>
              <w:t xml:space="preserve"> </w:t>
            </w:r>
            <w:r w:rsidRPr="00F619A4">
              <w:rPr>
                <w:rFonts w:cs="Sylfaen"/>
                <w:lang w:val="hy-AM"/>
              </w:rPr>
              <w:t>մրցակցության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կողմերի</w:t>
            </w:r>
            <w:r w:rsidRPr="00F619A4">
              <w:rPr>
                <w:lang w:val="hy-AM"/>
              </w:rPr>
              <w:t xml:space="preserve"> </w:t>
            </w:r>
            <w:r w:rsidRPr="00F619A4">
              <w:rPr>
                <w:rFonts w:cs="Sylfaen"/>
                <w:lang w:val="hy-AM"/>
              </w:rPr>
              <w:t>իրավահավասարության</w:t>
            </w:r>
            <w:r w:rsidRPr="00F619A4">
              <w:rPr>
                <w:lang w:val="hy-AM"/>
              </w:rPr>
              <w:t xml:space="preserve"> </w:t>
            </w:r>
            <w:r w:rsidRPr="00F619A4">
              <w:rPr>
                <w:rFonts w:cs="Sylfaen"/>
                <w:lang w:val="hy-AM"/>
              </w:rPr>
              <w:t>սկզբունքի</w:t>
            </w:r>
            <w:r w:rsidRPr="00F619A4">
              <w:rPr>
                <w:lang w:val="hy-AM"/>
              </w:rPr>
              <w:t xml:space="preserve"> </w:t>
            </w:r>
            <w:r w:rsidRPr="00F619A4">
              <w:rPr>
                <w:rFonts w:cs="Sylfaen"/>
                <w:lang w:val="hy-AM"/>
              </w:rPr>
              <w:t>առավել</w:t>
            </w:r>
            <w:r w:rsidRPr="00F619A4">
              <w:rPr>
                <w:lang w:val="hy-AM"/>
              </w:rPr>
              <w:t xml:space="preserve"> </w:t>
            </w:r>
            <w:r w:rsidRPr="00F619A4">
              <w:rPr>
                <w:rFonts w:cs="Sylfaen"/>
                <w:lang w:val="hy-AM"/>
              </w:rPr>
              <w:t>բարձր</w:t>
            </w:r>
            <w:r w:rsidRPr="00F619A4">
              <w:rPr>
                <w:lang w:val="hy-AM"/>
              </w:rPr>
              <w:t xml:space="preserve"> </w:t>
            </w:r>
            <w:r w:rsidRPr="00F619A4">
              <w:rPr>
                <w:rFonts w:cs="Sylfaen"/>
                <w:lang w:val="hy-AM"/>
              </w:rPr>
              <w:t>երաշխավորվածություն</w:t>
            </w:r>
            <w:r w:rsidRPr="00F619A4">
              <w:rPr>
                <w:lang w:val="hy-AM"/>
              </w:rPr>
              <w:t xml:space="preserve">, </w:t>
            </w:r>
            <w:r w:rsidRPr="00F619A4">
              <w:rPr>
                <w:rFonts w:cs="Sylfaen"/>
                <w:lang w:val="hy-AM"/>
              </w:rPr>
              <w:t>ապացույցների</w:t>
            </w:r>
            <w:r w:rsidRPr="00F619A4">
              <w:rPr>
                <w:lang w:val="hy-AM"/>
              </w:rPr>
              <w:t xml:space="preserve"> </w:t>
            </w:r>
            <w:r w:rsidRPr="00F619A4">
              <w:rPr>
                <w:rFonts w:cs="Sylfaen"/>
                <w:lang w:val="hy-AM"/>
              </w:rPr>
              <w:t>թույլատրելիության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հավաստիության</w:t>
            </w:r>
            <w:r w:rsidRPr="00F619A4">
              <w:rPr>
                <w:lang w:val="hy-AM"/>
              </w:rPr>
              <w:t xml:space="preserve"> </w:t>
            </w:r>
            <w:r w:rsidRPr="00F619A4">
              <w:rPr>
                <w:rFonts w:cs="Sylfaen"/>
                <w:lang w:val="hy-AM"/>
              </w:rPr>
              <w:t>երաշխիքների</w:t>
            </w:r>
            <w:r w:rsidRPr="00F619A4">
              <w:rPr>
                <w:lang w:val="hy-AM"/>
              </w:rPr>
              <w:t xml:space="preserve"> </w:t>
            </w:r>
            <w:r w:rsidRPr="00F619A4">
              <w:rPr>
                <w:rFonts w:cs="Sylfaen"/>
                <w:lang w:val="hy-AM"/>
              </w:rPr>
              <w:t>ընդարձակում</w:t>
            </w:r>
            <w:r w:rsidRPr="00F619A4">
              <w:rPr>
                <w:lang w:val="hy-AM"/>
              </w:rPr>
              <w:t xml:space="preserve">. </w:t>
            </w:r>
          </w:p>
          <w:p w:rsidR="001F6D5D" w:rsidRPr="00F619A4" w:rsidRDefault="001F6D5D" w:rsidP="001F6D5D">
            <w:pPr>
              <w:pStyle w:val="ListParagraph"/>
              <w:numPr>
                <w:ilvl w:val="1"/>
                <w:numId w:val="515"/>
              </w:numPr>
              <w:tabs>
                <w:tab w:val="left" w:pos="900"/>
              </w:tabs>
              <w:spacing w:after="200" w:line="276" w:lineRule="auto"/>
              <w:ind w:left="90" w:firstLine="630"/>
              <w:jc w:val="both"/>
              <w:rPr>
                <w:lang w:val="hy-AM"/>
              </w:rPr>
            </w:pPr>
            <w:r w:rsidRPr="00F619A4">
              <w:rPr>
                <w:rFonts w:cs="Sylfaen"/>
                <w:lang w:val="hy-AM"/>
              </w:rPr>
              <w:t>դատական</w:t>
            </w:r>
            <w:r w:rsidRPr="00F619A4">
              <w:rPr>
                <w:lang w:val="hy-AM"/>
              </w:rPr>
              <w:t xml:space="preserve"> </w:t>
            </w:r>
            <w:r w:rsidRPr="00F619A4">
              <w:rPr>
                <w:rFonts w:cs="Sylfaen"/>
                <w:lang w:val="hy-AM"/>
              </w:rPr>
              <w:t>ակտերի</w:t>
            </w:r>
            <w:r w:rsidRPr="00F619A4">
              <w:rPr>
                <w:lang w:val="hy-AM"/>
              </w:rPr>
              <w:t xml:space="preserve"> </w:t>
            </w:r>
            <w:r w:rsidRPr="00F619A4">
              <w:rPr>
                <w:rFonts w:cs="Sylfaen"/>
                <w:lang w:val="hy-AM"/>
              </w:rPr>
              <w:t>վերանայման</w:t>
            </w:r>
            <w:r w:rsidRPr="00F619A4">
              <w:rPr>
                <w:lang w:val="hy-AM"/>
              </w:rPr>
              <w:t xml:space="preserve"> </w:t>
            </w:r>
            <w:r w:rsidRPr="00F619A4">
              <w:rPr>
                <w:rFonts w:cs="Sylfaen"/>
                <w:lang w:val="hy-AM"/>
              </w:rPr>
              <w:t>համակարգի</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դրա</w:t>
            </w:r>
            <w:r w:rsidRPr="00F619A4">
              <w:rPr>
                <w:lang w:val="hy-AM"/>
              </w:rPr>
              <w:t xml:space="preserve"> </w:t>
            </w:r>
            <w:r w:rsidRPr="00F619A4">
              <w:rPr>
                <w:rFonts w:cs="Sylfaen"/>
                <w:lang w:val="hy-AM"/>
              </w:rPr>
              <w:t>տարրերի</w:t>
            </w:r>
            <w:r w:rsidRPr="00F619A4">
              <w:rPr>
                <w:lang w:val="hy-AM"/>
              </w:rPr>
              <w:t xml:space="preserve"> (</w:t>
            </w:r>
            <w:r w:rsidRPr="00F619A4">
              <w:rPr>
                <w:rFonts w:cs="Sylfaen"/>
                <w:lang w:val="hy-AM"/>
              </w:rPr>
              <w:t>վերաքննություն</w:t>
            </w:r>
            <w:r w:rsidRPr="00F619A4">
              <w:rPr>
                <w:lang w:val="hy-AM"/>
              </w:rPr>
              <w:t xml:space="preserve">, </w:t>
            </w:r>
            <w:r w:rsidRPr="00F619A4">
              <w:rPr>
                <w:rFonts w:cs="Sylfaen"/>
                <w:lang w:val="hy-AM"/>
              </w:rPr>
              <w:t>վճռաբեկություն</w:t>
            </w:r>
            <w:r w:rsidRPr="00F619A4">
              <w:rPr>
                <w:lang w:val="hy-AM"/>
              </w:rPr>
              <w:t xml:space="preserve">, </w:t>
            </w:r>
            <w:r w:rsidRPr="00F619A4">
              <w:rPr>
                <w:rFonts w:cs="Sylfaen"/>
                <w:lang w:val="hy-AM"/>
              </w:rPr>
              <w:t>նոր</w:t>
            </w:r>
            <w:r w:rsidRPr="00F619A4">
              <w:rPr>
                <w:lang w:val="hy-AM"/>
              </w:rPr>
              <w:t xml:space="preserve"> </w:t>
            </w:r>
            <w:r w:rsidRPr="00F619A4">
              <w:rPr>
                <w:rFonts w:cs="Sylfaen"/>
                <w:lang w:val="hy-AM"/>
              </w:rPr>
              <w:t>ի</w:t>
            </w:r>
            <w:r w:rsidRPr="00F619A4">
              <w:rPr>
                <w:lang w:val="hy-AM"/>
              </w:rPr>
              <w:t xml:space="preserve"> </w:t>
            </w:r>
            <w:r w:rsidRPr="00F619A4">
              <w:rPr>
                <w:rFonts w:cs="Sylfaen"/>
                <w:lang w:val="hy-AM"/>
              </w:rPr>
              <w:t>հայտ</w:t>
            </w:r>
            <w:r w:rsidRPr="00F619A4">
              <w:rPr>
                <w:lang w:val="hy-AM"/>
              </w:rPr>
              <w:t xml:space="preserve"> </w:t>
            </w:r>
            <w:r w:rsidRPr="00F619A4">
              <w:rPr>
                <w:rFonts w:cs="Sylfaen"/>
                <w:lang w:val="hy-AM"/>
              </w:rPr>
              <w:t>եկած</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նոր</w:t>
            </w:r>
            <w:r w:rsidRPr="00F619A4">
              <w:rPr>
                <w:lang w:val="hy-AM"/>
              </w:rPr>
              <w:t xml:space="preserve"> </w:t>
            </w:r>
            <w:r w:rsidRPr="00F619A4">
              <w:rPr>
                <w:rFonts w:cs="Sylfaen"/>
                <w:lang w:val="hy-AM"/>
              </w:rPr>
              <w:t>հանգամանքներով</w:t>
            </w:r>
            <w:r w:rsidRPr="00F619A4">
              <w:rPr>
                <w:lang w:val="hy-AM"/>
              </w:rPr>
              <w:t xml:space="preserve">, </w:t>
            </w:r>
            <w:r w:rsidRPr="00F619A4">
              <w:rPr>
                <w:rFonts w:cs="Sylfaen"/>
                <w:lang w:val="hy-AM"/>
              </w:rPr>
              <w:t>ինչպես</w:t>
            </w:r>
            <w:r w:rsidRPr="00F619A4">
              <w:rPr>
                <w:lang w:val="hy-AM"/>
              </w:rPr>
              <w:t xml:space="preserve"> </w:t>
            </w:r>
            <w:r w:rsidRPr="00F619A4">
              <w:rPr>
                <w:rFonts w:cs="Sylfaen"/>
                <w:lang w:val="hy-AM"/>
              </w:rPr>
              <w:t>նաև</w:t>
            </w:r>
            <w:r w:rsidRPr="00F619A4">
              <w:rPr>
                <w:lang w:val="hy-AM"/>
              </w:rPr>
              <w:t xml:space="preserve"> </w:t>
            </w:r>
            <w:r w:rsidRPr="00F619A4">
              <w:rPr>
                <w:rFonts w:cs="Sylfaen"/>
                <w:lang w:val="hy-AM"/>
              </w:rPr>
              <w:t>հիմնարար</w:t>
            </w:r>
            <w:r w:rsidRPr="00F619A4">
              <w:rPr>
                <w:lang w:val="hy-AM"/>
              </w:rPr>
              <w:t xml:space="preserve"> </w:t>
            </w:r>
            <w:r w:rsidRPr="00F619A4">
              <w:rPr>
                <w:rFonts w:cs="Sylfaen"/>
                <w:lang w:val="hy-AM"/>
              </w:rPr>
              <w:t>խախտումների</w:t>
            </w:r>
            <w:r w:rsidRPr="00F619A4">
              <w:rPr>
                <w:lang w:val="hy-AM"/>
              </w:rPr>
              <w:t xml:space="preserve"> </w:t>
            </w:r>
            <w:r w:rsidRPr="00F619A4">
              <w:rPr>
                <w:rFonts w:cs="Sylfaen"/>
                <w:lang w:val="hy-AM"/>
              </w:rPr>
              <w:t>հիմքով</w:t>
            </w:r>
            <w:r w:rsidRPr="00F619A4">
              <w:rPr>
                <w:lang w:val="hy-AM"/>
              </w:rPr>
              <w:t xml:space="preserve"> </w:t>
            </w:r>
            <w:r w:rsidRPr="00F619A4">
              <w:rPr>
                <w:rFonts w:cs="Sylfaen"/>
                <w:lang w:val="hy-AM"/>
              </w:rPr>
              <w:t>վերանայում</w:t>
            </w:r>
            <w:r w:rsidRPr="00F619A4">
              <w:rPr>
                <w:lang w:val="hy-AM"/>
              </w:rPr>
              <w:t xml:space="preserve">) </w:t>
            </w:r>
            <w:r w:rsidRPr="00F619A4">
              <w:rPr>
                <w:rFonts w:cs="Sylfaen"/>
                <w:lang w:val="hy-AM"/>
              </w:rPr>
              <w:t>իրավական</w:t>
            </w:r>
            <w:r w:rsidRPr="00F619A4">
              <w:rPr>
                <w:lang w:val="hy-AM"/>
              </w:rPr>
              <w:t xml:space="preserve"> </w:t>
            </w:r>
            <w:r w:rsidRPr="00F619A4">
              <w:rPr>
                <w:rFonts w:cs="Sylfaen"/>
                <w:lang w:val="hy-AM"/>
              </w:rPr>
              <w:t>կարգավորման</w:t>
            </w:r>
            <w:r w:rsidRPr="00F619A4">
              <w:rPr>
                <w:lang w:val="hy-AM"/>
              </w:rPr>
              <w:t xml:space="preserve"> </w:t>
            </w:r>
            <w:r w:rsidRPr="00F619A4">
              <w:rPr>
                <w:rFonts w:cs="Sylfaen"/>
                <w:lang w:val="hy-AM"/>
              </w:rPr>
              <w:t>կատարելագործում</w:t>
            </w:r>
            <w:r w:rsidRPr="00F619A4">
              <w:rPr>
                <w:lang w:val="hy-AM"/>
              </w:rPr>
              <w:t xml:space="preserve">` </w:t>
            </w:r>
            <w:r w:rsidRPr="00F619A4">
              <w:rPr>
                <w:rFonts w:cs="Sylfaen"/>
                <w:lang w:val="hy-AM"/>
              </w:rPr>
              <w:t>ուղղված</w:t>
            </w:r>
            <w:r w:rsidRPr="00F619A4">
              <w:rPr>
                <w:lang w:val="hy-AM"/>
              </w:rPr>
              <w:t xml:space="preserve"> </w:t>
            </w:r>
            <w:r w:rsidRPr="00F619A4">
              <w:rPr>
                <w:rFonts w:cs="Sylfaen"/>
                <w:lang w:val="hy-AM"/>
              </w:rPr>
              <w:t>վերանայման</w:t>
            </w:r>
            <w:r w:rsidRPr="00F619A4">
              <w:rPr>
                <w:lang w:val="hy-AM"/>
              </w:rPr>
              <w:t xml:space="preserve"> </w:t>
            </w:r>
            <w:r w:rsidRPr="00F619A4">
              <w:rPr>
                <w:rFonts w:cs="Sylfaen"/>
                <w:lang w:val="hy-AM"/>
              </w:rPr>
              <w:t>մեխանիզմներից</w:t>
            </w:r>
            <w:r w:rsidRPr="00F619A4">
              <w:rPr>
                <w:lang w:val="hy-AM"/>
              </w:rPr>
              <w:t xml:space="preserve"> </w:t>
            </w:r>
            <w:r w:rsidRPr="00F619A4">
              <w:rPr>
                <w:rFonts w:cs="Sylfaen"/>
                <w:lang w:val="hy-AM"/>
              </w:rPr>
              <w:t>յուրաքանչյուրի</w:t>
            </w:r>
            <w:r w:rsidRPr="00F619A4">
              <w:rPr>
                <w:lang w:val="hy-AM"/>
              </w:rPr>
              <w:t xml:space="preserve"> </w:t>
            </w:r>
            <w:r w:rsidRPr="00F619A4">
              <w:rPr>
                <w:rFonts w:cs="Sylfaen"/>
                <w:lang w:val="hy-AM"/>
              </w:rPr>
              <w:t>գործառնական</w:t>
            </w:r>
            <w:r w:rsidRPr="00F619A4">
              <w:rPr>
                <w:lang w:val="hy-AM"/>
              </w:rPr>
              <w:t xml:space="preserve"> </w:t>
            </w:r>
            <w:r w:rsidRPr="00F619A4">
              <w:rPr>
                <w:rFonts w:cs="Sylfaen"/>
                <w:lang w:val="hy-AM"/>
              </w:rPr>
              <w:t>նշանակության</w:t>
            </w:r>
            <w:r w:rsidRPr="00F619A4">
              <w:rPr>
                <w:lang w:val="hy-AM"/>
              </w:rPr>
              <w:t xml:space="preserve"> </w:t>
            </w:r>
            <w:r w:rsidRPr="00F619A4">
              <w:rPr>
                <w:rFonts w:cs="Sylfaen"/>
                <w:lang w:val="hy-AM"/>
              </w:rPr>
              <w:t>ապահովմանը</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ողջ</w:t>
            </w:r>
            <w:r w:rsidRPr="00F619A4">
              <w:rPr>
                <w:lang w:val="hy-AM"/>
              </w:rPr>
              <w:t xml:space="preserve"> </w:t>
            </w:r>
            <w:r w:rsidRPr="00F619A4">
              <w:rPr>
                <w:rFonts w:cs="Sylfaen"/>
                <w:lang w:val="hy-AM"/>
              </w:rPr>
              <w:t>համակարգի</w:t>
            </w:r>
            <w:r w:rsidRPr="00F619A4">
              <w:rPr>
                <w:lang w:val="hy-AM"/>
              </w:rPr>
              <w:t xml:space="preserve"> </w:t>
            </w:r>
            <w:r w:rsidRPr="00F619A4">
              <w:rPr>
                <w:rFonts w:cs="Sylfaen"/>
                <w:lang w:val="hy-AM"/>
              </w:rPr>
              <w:t>արդյունավետության</w:t>
            </w:r>
            <w:r w:rsidRPr="00F619A4">
              <w:rPr>
                <w:lang w:val="hy-AM"/>
              </w:rPr>
              <w:t xml:space="preserve"> </w:t>
            </w:r>
            <w:r w:rsidRPr="00F619A4">
              <w:rPr>
                <w:rFonts w:cs="Sylfaen"/>
                <w:lang w:val="hy-AM"/>
              </w:rPr>
              <w:t>բարձրացմանը</w:t>
            </w:r>
            <w:r w:rsidRPr="00F619A4">
              <w:rPr>
                <w:lang w:val="hy-AM"/>
              </w:rPr>
              <w:t xml:space="preserve">. </w:t>
            </w:r>
          </w:p>
          <w:p w:rsidR="001F6D5D" w:rsidRPr="00F619A4" w:rsidRDefault="001F6D5D" w:rsidP="001F6D5D">
            <w:pPr>
              <w:pStyle w:val="ListParagraph"/>
              <w:numPr>
                <w:ilvl w:val="1"/>
                <w:numId w:val="515"/>
              </w:numPr>
              <w:tabs>
                <w:tab w:val="left" w:pos="900"/>
              </w:tabs>
              <w:spacing w:after="200" w:line="276" w:lineRule="auto"/>
              <w:ind w:left="90" w:firstLine="630"/>
              <w:contextualSpacing w:val="0"/>
              <w:jc w:val="both"/>
              <w:rPr>
                <w:lang w:val="hy-AM"/>
              </w:rPr>
            </w:pPr>
            <w:r w:rsidRPr="00F619A4">
              <w:rPr>
                <w:rFonts w:cs="Sylfaen"/>
                <w:lang w:val="hy-AM"/>
              </w:rPr>
              <w:t>ՀՀ</w:t>
            </w:r>
            <w:r w:rsidRPr="00F619A4">
              <w:rPr>
                <w:lang w:val="hy-AM"/>
              </w:rPr>
              <w:t xml:space="preserve"> </w:t>
            </w:r>
            <w:r w:rsidRPr="00F619A4">
              <w:rPr>
                <w:rFonts w:cs="Sylfaen"/>
                <w:lang w:val="hy-AM"/>
              </w:rPr>
              <w:t>կողմից</w:t>
            </w:r>
            <w:r w:rsidRPr="00F619A4">
              <w:rPr>
                <w:lang w:val="hy-AM"/>
              </w:rPr>
              <w:t xml:space="preserve"> </w:t>
            </w:r>
            <w:r w:rsidRPr="00F619A4">
              <w:rPr>
                <w:rFonts w:cs="Sylfaen"/>
                <w:lang w:val="hy-AM"/>
              </w:rPr>
              <w:t>ստանձնած</w:t>
            </w:r>
            <w:r w:rsidRPr="00F619A4">
              <w:rPr>
                <w:lang w:val="hy-AM"/>
              </w:rPr>
              <w:t xml:space="preserve"> </w:t>
            </w:r>
            <w:r w:rsidRPr="00F619A4">
              <w:rPr>
                <w:rFonts w:cs="Sylfaen"/>
                <w:lang w:val="hy-AM"/>
              </w:rPr>
              <w:t>միջազգային</w:t>
            </w:r>
            <w:r w:rsidRPr="00F619A4">
              <w:rPr>
                <w:lang w:val="hy-AM"/>
              </w:rPr>
              <w:t xml:space="preserve"> </w:t>
            </w:r>
            <w:r w:rsidRPr="00F619A4">
              <w:rPr>
                <w:rFonts w:cs="Sylfaen"/>
                <w:lang w:val="hy-AM"/>
              </w:rPr>
              <w:t>պարտավորություններին</w:t>
            </w:r>
            <w:r w:rsidRPr="00F619A4">
              <w:rPr>
                <w:lang w:val="hy-AM"/>
              </w:rPr>
              <w:t xml:space="preserve"> </w:t>
            </w:r>
            <w:r w:rsidRPr="00F619A4">
              <w:rPr>
                <w:rFonts w:cs="Sylfaen"/>
                <w:lang w:val="hy-AM"/>
              </w:rPr>
              <w:t>համահունչ</w:t>
            </w:r>
            <w:r w:rsidRPr="00F619A4">
              <w:rPr>
                <w:lang w:val="hy-AM"/>
              </w:rPr>
              <w:t xml:space="preserve"> </w:t>
            </w:r>
            <w:r w:rsidRPr="00F619A4">
              <w:rPr>
                <w:rFonts w:cs="Sylfaen"/>
                <w:lang w:val="hy-AM"/>
              </w:rPr>
              <w:t>միջազգային</w:t>
            </w:r>
            <w:r w:rsidRPr="00F619A4">
              <w:rPr>
                <w:lang w:val="hy-AM"/>
              </w:rPr>
              <w:t>-</w:t>
            </w:r>
            <w:r w:rsidRPr="00F619A4">
              <w:rPr>
                <w:rFonts w:cs="Sylfaen"/>
                <w:lang w:val="hy-AM"/>
              </w:rPr>
              <w:t>իրավական</w:t>
            </w:r>
            <w:r w:rsidRPr="00F619A4">
              <w:rPr>
                <w:lang w:val="hy-AM"/>
              </w:rPr>
              <w:t xml:space="preserve"> </w:t>
            </w:r>
            <w:r w:rsidRPr="00F619A4">
              <w:rPr>
                <w:rFonts w:cs="Sylfaen"/>
                <w:lang w:val="hy-AM"/>
              </w:rPr>
              <w:t>համագործակցությանն</w:t>
            </w:r>
            <w:r w:rsidRPr="00F619A4">
              <w:rPr>
                <w:lang w:val="hy-AM"/>
              </w:rPr>
              <w:t xml:space="preserve"> </w:t>
            </w:r>
            <w:r w:rsidRPr="00F619A4">
              <w:rPr>
                <w:rFonts w:cs="Sylfaen"/>
                <w:lang w:val="hy-AM"/>
              </w:rPr>
              <w:t>առնչվող</w:t>
            </w:r>
            <w:r w:rsidRPr="00F619A4">
              <w:rPr>
                <w:lang w:val="hy-AM"/>
              </w:rPr>
              <w:t xml:space="preserve"> </w:t>
            </w:r>
            <w:r w:rsidRPr="00F619A4">
              <w:rPr>
                <w:rFonts w:cs="Sylfaen"/>
                <w:lang w:val="hy-AM"/>
              </w:rPr>
              <w:t>քրեադատավարական</w:t>
            </w:r>
            <w:r w:rsidRPr="00F619A4">
              <w:rPr>
                <w:lang w:val="hy-AM"/>
              </w:rPr>
              <w:t xml:space="preserve"> </w:t>
            </w:r>
            <w:r w:rsidRPr="00F619A4">
              <w:rPr>
                <w:rFonts w:cs="Sylfaen"/>
                <w:lang w:val="hy-AM"/>
              </w:rPr>
              <w:t>ինստիտուտների</w:t>
            </w:r>
            <w:r w:rsidRPr="00F619A4">
              <w:rPr>
                <w:lang w:val="hy-AM"/>
              </w:rPr>
              <w:t xml:space="preserve"> (</w:t>
            </w:r>
            <w:r w:rsidRPr="00F619A4">
              <w:rPr>
                <w:rFonts w:cs="Sylfaen"/>
                <w:lang w:val="hy-AM"/>
              </w:rPr>
              <w:t>հանձնում</w:t>
            </w:r>
            <w:r w:rsidRPr="00F619A4">
              <w:rPr>
                <w:lang w:val="hy-AM"/>
              </w:rPr>
              <w:t xml:space="preserve">, </w:t>
            </w:r>
            <w:r w:rsidRPr="00F619A4">
              <w:rPr>
                <w:rFonts w:cs="Sylfaen"/>
                <w:lang w:val="hy-AM"/>
              </w:rPr>
              <w:t>օտարերկրյա</w:t>
            </w:r>
            <w:r w:rsidRPr="00F619A4">
              <w:rPr>
                <w:lang w:val="hy-AM"/>
              </w:rPr>
              <w:t xml:space="preserve"> </w:t>
            </w:r>
            <w:r w:rsidRPr="00F619A4">
              <w:rPr>
                <w:rFonts w:cs="Sylfaen"/>
                <w:lang w:val="hy-AM"/>
              </w:rPr>
              <w:t>պետությունների</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միջազգային</w:t>
            </w:r>
            <w:r w:rsidRPr="00F619A4">
              <w:rPr>
                <w:lang w:val="hy-AM"/>
              </w:rPr>
              <w:t xml:space="preserve"> </w:t>
            </w:r>
            <w:r w:rsidRPr="00F619A4">
              <w:rPr>
                <w:rFonts w:cs="Sylfaen"/>
                <w:lang w:val="hy-AM"/>
              </w:rPr>
              <w:t>դատարանների</w:t>
            </w:r>
            <w:r w:rsidRPr="00F619A4">
              <w:rPr>
                <w:lang w:val="hy-AM"/>
              </w:rPr>
              <w:t xml:space="preserve"> </w:t>
            </w:r>
            <w:r w:rsidRPr="00F619A4">
              <w:rPr>
                <w:rFonts w:cs="Sylfaen"/>
                <w:lang w:val="hy-AM"/>
              </w:rPr>
              <w:t>դատավճիռների</w:t>
            </w:r>
            <w:r w:rsidRPr="00F619A4">
              <w:rPr>
                <w:lang w:val="hy-AM"/>
              </w:rPr>
              <w:t xml:space="preserve"> </w:t>
            </w:r>
            <w:r w:rsidRPr="00F619A4">
              <w:rPr>
                <w:rFonts w:cs="Sylfaen"/>
                <w:lang w:val="hy-AM"/>
              </w:rPr>
              <w:t>ճանաչում</w:t>
            </w:r>
            <w:r w:rsidRPr="00F619A4">
              <w:rPr>
                <w:lang w:val="hy-AM"/>
              </w:rPr>
              <w:t xml:space="preserve">, </w:t>
            </w:r>
            <w:r w:rsidRPr="00F619A4">
              <w:rPr>
                <w:rFonts w:cs="Sylfaen"/>
                <w:lang w:val="hy-AM"/>
              </w:rPr>
              <w:t>քրեական</w:t>
            </w:r>
            <w:r w:rsidRPr="00F619A4">
              <w:rPr>
                <w:lang w:val="hy-AM"/>
              </w:rPr>
              <w:t xml:space="preserve"> </w:t>
            </w:r>
            <w:r w:rsidRPr="00F619A4">
              <w:rPr>
                <w:rFonts w:cs="Sylfaen"/>
                <w:lang w:val="hy-AM"/>
              </w:rPr>
              <w:t>վարույթի</w:t>
            </w:r>
            <w:r w:rsidRPr="00F619A4">
              <w:rPr>
                <w:lang w:val="hy-AM"/>
              </w:rPr>
              <w:t xml:space="preserve"> </w:t>
            </w:r>
            <w:r w:rsidRPr="00F619A4">
              <w:rPr>
                <w:rFonts w:cs="Sylfaen"/>
                <w:lang w:val="hy-AM"/>
              </w:rPr>
              <w:t>փոխանցում</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այլն</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դրանց</w:t>
            </w:r>
            <w:r w:rsidRPr="00F619A4">
              <w:rPr>
                <w:lang w:val="hy-AM"/>
              </w:rPr>
              <w:t xml:space="preserve"> </w:t>
            </w:r>
            <w:r w:rsidRPr="00F619A4">
              <w:rPr>
                <w:rFonts w:cs="Sylfaen"/>
                <w:lang w:val="hy-AM"/>
              </w:rPr>
              <w:t>իրացումն</w:t>
            </w:r>
            <w:r w:rsidRPr="00F619A4">
              <w:rPr>
                <w:lang w:val="hy-AM"/>
              </w:rPr>
              <w:t xml:space="preserve"> </w:t>
            </w:r>
            <w:r w:rsidRPr="00F619A4">
              <w:rPr>
                <w:rFonts w:cs="Sylfaen"/>
                <w:lang w:val="hy-AM"/>
              </w:rPr>
              <w:t>ապահովող</w:t>
            </w:r>
            <w:r w:rsidRPr="00F619A4">
              <w:rPr>
                <w:lang w:val="hy-AM"/>
              </w:rPr>
              <w:t xml:space="preserve"> </w:t>
            </w:r>
            <w:r w:rsidRPr="00F619A4">
              <w:rPr>
                <w:rFonts w:cs="Sylfaen"/>
                <w:lang w:val="hy-AM"/>
              </w:rPr>
              <w:t>ընթացակարգերի</w:t>
            </w:r>
            <w:r w:rsidRPr="00F619A4">
              <w:rPr>
                <w:lang w:val="hy-AM"/>
              </w:rPr>
              <w:t xml:space="preserve"> </w:t>
            </w:r>
            <w:r w:rsidRPr="00F619A4">
              <w:rPr>
                <w:rFonts w:cs="Sylfaen"/>
                <w:lang w:val="hy-AM"/>
              </w:rPr>
              <w:t>կատարելագործում</w:t>
            </w:r>
            <w:r w:rsidRPr="00F619A4">
              <w:rPr>
                <w:rFonts w:cs="Tahoma"/>
                <w:lang w:val="hy-AM"/>
              </w:rPr>
              <w:t>։</w:t>
            </w:r>
          </w:p>
          <w:p w:rsidR="001F6D5D" w:rsidRPr="00F619A4" w:rsidRDefault="001F6D5D" w:rsidP="00277183">
            <w:pPr>
              <w:jc w:val="both"/>
              <w:rPr>
                <w:b/>
                <w:lang w:val="hy-AM"/>
              </w:rPr>
            </w:pPr>
            <w:r w:rsidRPr="00F619A4">
              <w:rPr>
                <w:b/>
                <w:lang w:val="hy-AM"/>
              </w:rPr>
              <w:t>2.Միջոցառման իրականացումից ակնկալվող արդյունքը</w:t>
            </w:r>
          </w:p>
          <w:p w:rsidR="001F6D5D" w:rsidRPr="00F619A4" w:rsidRDefault="001F6D5D" w:rsidP="001F6D5D">
            <w:pPr>
              <w:rPr>
                <w:b/>
                <w:u w:val="single"/>
                <w:lang w:val="hy-AM"/>
              </w:rPr>
            </w:pPr>
            <w:r w:rsidRPr="00F619A4">
              <w:rPr>
                <w:rFonts w:cs="Sylfaen"/>
                <w:lang w:val="hy-AM"/>
              </w:rPr>
              <w:t>Նախագծերով առաջակվող հիմնարար</w:t>
            </w:r>
            <w:r w:rsidRPr="00F619A4">
              <w:rPr>
                <w:lang w:val="hy-AM"/>
              </w:rPr>
              <w:t xml:space="preserve"> և </w:t>
            </w:r>
            <w:r w:rsidRPr="00F619A4">
              <w:rPr>
                <w:rFonts w:cs="Sylfaen"/>
                <w:lang w:val="hy-AM"/>
              </w:rPr>
              <w:t>սկզբունքային</w:t>
            </w:r>
            <w:r w:rsidRPr="00F619A4">
              <w:rPr>
                <w:lang w:val="hy-AM"/>
              </w:rPr>
              <w:t xml:space="preserve"> </w:t>
            </w:r>
            <w:r w:rsidRPr="00F619A4">
              <w:rPr>
                <w:rFonts w:cs="Sylfaen"/>
                <w:lang w:val="hy-AM"/>
              </w:rPr>
              <w:t>նորամուծությունների շնորհիվ</w:t>
            </w:r>
            <w:r w:rsidRPr="00F619A4">
              <w:rPr>
                <w:lang w:val="hy-AM"/>
              </w:rPr>
              <w:t xml:space="preserve"> </w:t>
            </w:r>
            <w:r w:rsidRPr="00F619A4">
              <w:rPr>
                <w:rFonts w:cs="Sylfaen"/>
                <w:lang w:val="hy-AM"/>
              </w:rPr>
              <w:t>կկատարելագործվի</w:t>
            </w:r>
            <w:r w:rsidRPr="00F619A4">
              <w:rPr>
                <w:lang w:val="hy-AM"/>
              </w:rPr>
              <w:t xml:space="preserve"> քրեական և </w:t>
            </w:r>
            <w:r w:rsidRPr="00F619A4">
              <w:rPr>
                <w:rFonts w:cs="Sylfaen"/>
                <w:lang w:val="hy-AM"/>
              </w:rPr>
              <w:t>քրեադատավարական</w:t>
            </w:r>
            <w:r w:rsidRPr="00F619A4">
              <w:rPr>
                <w:lang w:val="hy-AM"/>
              </w:rPr>
              <w:t xml:space="preserve"> </w:t>
            </w:r>
            <w:r w:rsidRPr="00F619A4">
              <w:rPr>
                <w:rFonts w:cs="Sylfaen"/>
                <w:lang w:val="hy-AM"/>
              </w:rPr>
              <w:t>գործող</w:t>
            </w:r>
            <w:r w:rsidRPr="00F619A4">
              <w:rPr>
                <w:lang w:val="hy-AM"/>
              </w:rPr>
              <w:t xml:space="preserve"> </w:t>
            </w:r>
            <w:r w:rsidRPr="00F619A4">
              <w:rPr>
                <w:rFonts w:cs="Sylfaen"/>
                <w:lang w:val="hy-AM"/>
              </w:rPr>
              <w:t>համակարգը</w:t>
            </w:r>
            <w:r w:rsidRPr="00F619A4">
              <w:rPr>
                <w:lang w:val="hy-AM"/>
              </w:rPr>
              <w:t xml:space="preserve"> </w:t>
            </w:r>
            <w:r w:rsidRPr="00F619A4">
              <w:rPr>
                <w:rFonts w:cs="Sylfaen"/>
                <w:lang w:val="hy-AM"/>
              </w:rPr>
              <w:t>և</w:t>
            </w:r>
            <w:r w:rsidRPr="00F619A4">
              <w:rPr>
                <w:lang w:val="hy-AM"/>
              </w:rPr>
              <w:t xml:space="preserve"> </w:t>
            </w:r>
            <w:r w:rsidRPr="00F619A4">
              <w:rPr>
                <w:rFonts w:cs="Sylfaen"/>
                <w:lang w:val="hy-AM"/>
              </w:rPr>
              <w:t>կբարձրանա քրեական</w:t>
            </w:r>
            <w:r w:rsidRPr="00F619A4">
              <w:rPr>
                <w:lang w:val="hy-AM"/>
              </w:rPr>
              <w:t xml:space="preserve"> </w:t>
            </w:r>
            <w:r w:rsidRPr="00F619A4">
              <w:rPr>
                <w:rFonts w:cs="Sylfaen"/>
                <w:lang w:val="hy-AM"/>
              </w:rPr>
              <w:t>արդարադատության</w:t>
            </w:r>
            <w:r w:rsidRPr="00F619A4">
              <w:rPr>
                <w:lang w:val="hy-AM"/>
              </w:rPr>
              <w:t xml:space="preserve"> </w:t>
            </w:r>
            <w:r w:rsidRPr="00F619A4">
              <w:rPr>
                <w:rFonts w:cs="Sylfaen"/>
                <w:lang w:val="hy-AM"/>
              </w:rPr>
              <w:t>արդյունավետությունը։</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57</w:t>
            </w:r>
          </w:p>
        </w:tc>
        <w:tc>
          <w:tcPr>
            <w:tcW w:w="10878" w:type="dxa"/>
          </w:tcPr>
          <w:p w:rsidR="001F6D5D" w:rsidRPr="00F619A4" w:rsidRDefault="001F6D5D" w:rsidP="00277183">
            <w:pPr>
              <w:jc w:val="center"/>
              <w:rPr>
                <w:b/>
                <w:u w:val="single"/>
                <w:lang w:val="hy-AM"/>
              </w:rPr>
            </w:pPr>
            <w:r w:rsidRPr="00F619A4">
              <w:rPr>
                <w:b/>
                <w:u w:val="single"/>
                <w:lang w:val="hy-AM"/>
              </w:rPr>
              <w:t>ԴԱՏԱՐԱՆՆԵՐԻ ՇԵՆՔԱՅԻՆ ՊԱՅՄԱՆՆԵՐԻ ՓԱՍՏԱՑԻ ՎԻՃԱԿԻ ԲԱՐԵԼԱՎՈՒՄ</w:t>
            </w:r>
          </w:p>
          <w:p w:rsidR="001F6D5D" w:rsidRPr="00F619A4" w:rsidRDefault="001F6D5D" w:rsidP="00277183">
            <w:pPr>
              <w:jc w:val="both"/>
              <w:rPr>
                <w:b/>
                <w:lang w:val="hy-AM"/>
              </w:rPr>
            </w:pPr>
            <w:r w:rsidRPr="00F619A4">
              <w:rPr>
                <w:b/>
                <w:lang w:val="hy-AM"/>
              </w:rPr>
              <w:t>1.Միջոցառման իրականացման անհրաժեշտությունը և նպատակը</w:t>
            </w:r>
          </w:p>
          <w:p w:rsidR="001F6D5D" w:rsidRPr="00F619A4" w:rsidRDefault="001F6D5D" w:rsidP="00277183">
            <w:pPr>
              <w:jc w:val="both"/>
              <w:rPr>
                <w:lang w:val="hy-AM"/>
              </w:rPr>
            </w:pPr>
            <w:r w:rsidRPr="00F619A4">
              <w:rPr>
                <w:lang w:val="hy-AM"/>
              </w:rPr>
              <w:t>Միջոցառման իրականացման անհրաժեշտությունը բխում է որոշ տարածքներում դատարանի շենքի բացակայության, շենքերի նվազագույն պայմանների ապահովման անհրաժեշտությունից:</w:t>
            </w:r>
          </w:p>
          <w:p w:rsidR="001F6D5D" w:rsidRPr="00F619A4" w:rsidRDefault="001F6D5D" w:rsidP="00277183">
            <w:pPr>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jc w:val="both"/>
              <w:rPr>
                <w:b/>
                <w:lang w:val="hy-AM"/>
              </w:rPr>
            </w:pPr>
            <w:r w:rsidRPr="00F619A4">
              <w:rPr>
                <w:lang w:val="hy-AM"/>
              </w:rPr>
              <w:t>Վերջին 30 տարում 12 դատարաններում որևէ հիմնանորոգում չի իրականացվել, վերակառուցումներ են կատարվել շուրջ 20 շինություններում, սակայն նոր խնդիրներ են առաջացել:</w:t>
            </w:r>
          </w:p>
          <w:p w:rsidR="001F6D5D" w:rsidRPr="00F619A4" w:rsidRDefault="001F6D5D" w:rsidP="00277183">
            <w:pPr>
              <w:jc w:val="both"/>
              <w:rPr>
                <w:b/>
                <w:lang w:val="hy-AM"/>
              </w:rPr>
            </w:pPr>
            <w:r w:rsidRPr="00F619A4">
              <w:rPr>
                <w:b/>
                <w:lang w:val="hy-AM"/>
              </w:rPr>
              <w:t>1.2 Առկա խնդիրների առաջարկվող լուծումները</w:t>
            </w:r>
          </w:p>
          <w:p w:rsidR="001F6D5D" w:rsidRPr="00F619A4" w:rsidRDefault="001F6D5D" w:rsidP="00277183">
            <w:pPr>
              <w:jc w:val="both"/>
              <w:rPr>
                <w:b/>
                <w:lang w:val="hy-AM"/>
              </w:rPr>
            </w:pPr>
            <w:r w:rsidRPr="00F619A4">
              <w:rPr>
                <w:lang w:val="hy-AM"/>
              </w:rPr>
              <w:t>Դատարանների կամ դրանց նստավայրերի վարչական շենքերի թվի ավելացում, վարչական շենքերի վերակառուցում և վերանորոգում:</w:t>
            </w:r>
          </w:p>
          <w:p w:rsidR="001F6D5D" w:rsidRPr="00F619A4" w:rsidRDefault="001F6D5D" w:rsidP="00277183">
            <w:pPr>
              <w:jc w:val="both"/>
              <w:rPr>
                <w:b/>
                <w:lang w:val="hy-AM"/>
              </w:rPr>
            </w:pPr>
            <w:r w:rsidRPr="00F619A4">
              <w:rPr>
                <w:b/>
                <w:lang w:val="hy-AM"/>
              </w:rPr>
              <w:t>2.Միջոցառման իրականացումից ակնկալվող արդյունքը</w:t>
            </w:r>
          </w:p>
          <w:p w:rsidR="001F6D5D" w:rsidRPr="00F619A4" w:rsidRDefault="001F6D5D" w:rsidP="00277183">
            <w:pPr>
              <w:jc w:val="both"/>
              <w:rPr>
                <w:b/>
                <w:u w:val="single"/>
                <w:lang w:val="hy-AM"/>
              </w:rPr>
            </w:pPr>
            <w:r w:rsidRPr="00F619A4">
              <w:rPr>
                <w:rFonts w:eastAsia="Calibri" w:cs="Sylfaen"/>
                <w:lang w:val="hy-AM"/>
              </w:rPr>
              <w:t>Կապահովվի արդյունավետ դատական պաշտպանության իրավունքի իրականացումը:</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58</w:t>
            </w:r>
          </w:p>
        </w:tc>
        <w:tc>
          <w:tcPr>
            <w:tcW w:w="10878" w:type="dxa"/>
          </w:tcPr>
          <w:p w:rsidR="001F6D5D" w:rsidRPr="00F619A4" w:rsidRDefault="001F6D5D" w:rsidP="00277183">
            <w:pPr>
              <w:jc w:val="center"/>
              <w:rPr>
                <w:b/>
                <w:u w:val="single"/>
                <w:lang w:val="hy-AM"/>
              </w:rPr>
            </w:pPr>
            <w:r w:rsidRPr="00F619A4">
              <w:rPr>
                <w:b/>
                <w:u w:val="single"/>
                <w:lang w:val="hy-AM"/>
              </w:rPr>
              <w:t>ՔՐԵԱԿԱՏԱՐՈՂԱԿԱՆ ՀԻՄՆԱՐԿՆԵՐԻ ՇԵՆՔԱՅԻՆ ՊԱՅՄԱՆՆԵՐԻ ԲԱՐԵԼԱՎՈՒՄ</w:t>
            </w:r>
          </w:p>
          <w:p w:rsidR="001F6D5D" w:rsidRPr="00F619A4" w:rsidRDefault="001F6D5D" w:rsidP="00277183">
            <w:pPr>
              <w:jc w:val="both"/>
              <w:rPr>
                <w:b/>
                <w:lang w:val="hy-AM"/>
              </w:rPr>
            </w:pPr>
            <w:r w:rsidRPr="00F619A4">
              <w:rPr>
                <w:b/>
                <w:lang w:val="hy-AM"/>
              </w:rPr>
              <w:t>1.Միջոցառման իրականացման անհրաժեշտությունը և նպատակը</w:t>
            </w:r>
          </w:p>
          <w:p w:rsidR="001F6D5D" w:rsidRPr="00F619A4" w:rsidRDefault="001F6D5D" w:rsidP="00277183">
            <w:pPr>
              <w:jc w:val="both"/>
              <w:rPr>
                <w:lang w:val="hy-AM"/>
              </w:rPr>
            </w:pPr>
            <w:r w:rsidRPr="00F619A4">
              <w:rPr>
                <w:lang w:val="hy-AM"/>
              </w:rPr>
              <w:t>Քրեակատարողական հիմնարկների շենքային պայմանների ծանր վիճակով պայմանավորված անհրաժեշտ է դադարեցնել ՀՀ ԱՆ Նուբարաշեն քրեակատարողական հիմնարիկի հետագա շահագործումը, որի արյունքում հարկավոր է կառուցել նոր քրեակատարողական հիմնարկ:</w:t>
            </w:r>
          </w:p>
          <w:p w:rsidR="001F6D5D" w:rsidRPr="00F619A4" w:rsidRDefault="001F6D5D" w:rsidP="00277183">
            <w:pPr>
              <w:jc w:val="both"/>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jc w:val="both"/>
              <w:rPr>
                <w:lang w:val="hy-AM"/>
              </w:rPr>
            </w:pPr>
            <w:r w:rsidRPr="00F619A4">
              <w:rPr>
                <w:lang w:val="hy-AM"/>
              </w:rPr>
              <w:t xml:space="preserve">ՀՀ ԱՆ Նուբարաշեն քրեակատարողական հիմնարկի շենքային անբարենպաստ պայմաններին անդրադարձ է կատարել Խոշտանգումների և անմարդկային կամ արժանապատվությունը նվաստացնող վերաբերմունքի կամ պատժի կանխարգելման եվրոպական կոմիտեն: </w:t>
            </w:r>
          </w:p>
          <w:p w:rsidR="001F6D5D" w:rsidRPr="00F619A4" w:rsidRDefault="001F6D5D" w:rsidP="00277183">
            <w:pPr>
              <w:jc w:val="both"/>
              <w:rPr>
                <w:b/>
                <w:lang w:val="hy-AM"/>
              </w:rPr>
            </w:pPr>
            <w:r w:rsidRPr="00F619A4">
              <w:rPr>
                <w:b/>
                <w:lang w:val="hy-AM"/>
              </w:rPr>
              <w:t>1.2 Առկա խնդիրների առաջարկվող լուծումները</w:t>
            </w:r>
          </w:p>
          <w:p w:rsidR="001F6D5D" w:rsidRPr="00F619A4" w:rsidRDefault="001F6D5D" w:rsidP="00277183">
            <w:pPr>
              <w:jc w:val="both"/>
              <w:rPr>
                <w:b/>
                <w:lang w:val="hy-AM"/>
              </w:rPr>
            </w:pPr>
            <w:r w:rsidRPr="00F619A4">
              <w:rPr>
                <w:lang w:val="hy-AM"/>
              </w:rPr>
              <w:t>Քրեակատարողական հիմնարկի և դատապարտյալների հիվանդանոցի կառուցում, քրեակատարողական հիմնարկների շենքային պայմանների բարելավում՝ վերակառուցումներ և կապիտալ վերանորոգում</w:t>
            </w:r>
          </w:p>
          <w:p w:rsidR="001F6D5D" w:rsidRPr="00F619A4" w:rsidRDefault="001F6D5D" w:rsidP="00277183">
            <w:pPr>
              <w:jc w:val="both"/>
              <w:rPr>
                <w:b/>
                <w:lang w:val="hy-AM"/>
              </w:rPr>
            </w:pPr>
            <w:r w:rsidRPr="00F619A4">
              <w:rPr>
                <w:b/>
                <w:lang w:val="hy-AM"/>
              </w:rPr>
              <w:t>2.Միջոցառման իրականացումից ակնկալվող արդյունքը</w:t>
            </w:r>
          </w:p>
          <w:p w:rsidR="001F6D5D" w:rsidRPr="00F619A4" w:rsidRDefault="001F6D5D" w:rsidP="00277183">
            <w:pPr>
              <w:tabs>
                <w:tab w:val="left" w:pos="1935"/>
              </w:tabs>
              <w:rPr>
                <w:b/>
                <w:lang w:val="hy-AM"/>
              </w:rPr>
            </w:pPr>
            <w:r w:rsidRPr="00F619A4">
              <w:rPr>
                <w:lang w:val="hy-AM"/>
              </w:rPr>
              <w:t>Օրենքի առջև բոլորի հավասարության, արդարադատության և մարդու իրավունքների պաշտպանության ապահովում, ազատությունից զրկված անձանց հիմնական իրավունքների երաշխավորում:</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59</w:t>
            </w:r>
          </w:p>
        </w:tc>
        <w:tc>
          <w:tcPr>
            <w:tcW w:w="10878" w:type="dxa"/>
          </w:tcPr>
          <w:p w:rsidR="001F6D5D" w:rsidRPr="00F619A4" w:rsidRDefault="001F6D5D" w:rsidP="00277183">
            <w:pPr>
              <w:ind w:left="-33" w:firstLine="33"/>
              <w:jc w:val="center"/>
              <w:rPr>
                <w:b/>
                <w:lang w:val="hy-AM"/>
              </w:rPr>
            </w:pPr>
            <w:r w:rsidRPr="00F619A4">
              <w:rPr>
                <w:b/>
                <w:lang w:val="hy-AM"/>
              </w:rPr>
              <w:t>ՎԱՐՉԱԿԱՆ ԻՐԱՎԱԽԱԽՏՈՒՄՆԵՐԻ ՎԵՐԱԲԵՐՅԱԼ ՆՈՐ ՕՐԵՆՍԳՐՔԻ ՄՇԱԿՈՒՄ</w:t>
            </w:r>
          </w:p>
          <w:p w:rsidR="001F6D5D" w:rsidRPr="00F619A4" w:rsidRDefault="001F6D5D" w:rsidP="00277183">
            <w:pPr>
              <w:ind w:left="-33" w:firstLine="33"/>
              <w:rPr>
                <w:b/>
                <w:lang w:val="hy-AM"/>
              </w:rPr>
            </w:pPr>
            <w:r w:rsidRPr="00F619A4">
              <w:rPr>
                <w:b/>
                <w:lang w:val="hy-AM"/>
              </w:rPr>
              <w:t>1. Միջոցառման իրականացման անհրաժեշտությունը և նպատակը</w:t>
            </w:r>
          </w:p>
          <w:p w:rsidR="001F6D5D" w:rsidRPr="00F619A4" w:rsidRDefault="001F6D5D" w:rsidP="00277183">
            <w:pPr>
              <w:ind w:left="-33" w:firstLine="33"/>
              <w:rPr>
                <w:lang w:val="hy-AM"/>
              </w:rPr>
            </w:pPr>
            <w:r w:rsidRPr="00F619A4">
              <w:rPr>
                <w:lang w:val="hy-AM"/>
              </w:rPr>
              <w:t>Վարչական իրավախախտումների վերաբերյալ նոր օրենսգրքի ընդունման անհրաժեշտությունը պայմանավորված է մի շարք ծանրակշիռ փաստարկներով: Ներկա տեսքով ոլորտին առնչվող հասարակական հարաբերությունների կարգավորմանը նվիրված օրենսդրական ակտերը չեն բավարարում միասեռ հարաբերությունների կարգավորման միասնականության նվազագույն պահանջներին և որևէ հիմքով համակարգված չեն։</w:t>
            </w:r>
            <w:r w:rsidRPr="00F619A4">
              <w:rPr>
                <w:rFonts w:ascii="Sylfaen" w:hAnsi="Sylfaen" w:cs="Sylfaen"/>
                <w:lang w:val="hy-AM"/>
              </w:rPr>
              <w:t xml:space="preserve"> </w:t>
            </w:r>
            <w:r w:rsidRPr="00F619A4">
              <w:rPr>
                <w:lang w:val="hy-AM"/>
              </w:rPr>
              <w:t>Հայեցակարգային մոտեցումների բացակայության պայմաններում ստեղծվել է մի վիճակ, երբ ոչ միայն օրենսգրքում, այլև դրանում կատարված փոփոխություններում անհարկի մեծ քանակ են կազմում միջազգային իրավական չափանիշներին, այդ թվում՝ Մարդու իրավունքների և հիմնարար ազատությունների պաշտպանության մասին Եվրոպական կոնվենցիայի դրույթներին հակասող նորմերը՝ դրանից բխող բացասական հետևանքներով հանդերձ:</w:t>
            </w:r>
          </w:p>
          <w:p w:rsidR="001F6D5D" w:rsidRPr="00F619A4" w:rsidRDefault="001F6D5D" w:rsidP="00277183">
            <w:pPr>
              <w:ind w:left="-18"/>
              <w:contextualSpacing/>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tabs>
                <w:tab w:val="left" w:pos="72"/>
              </w:tabs>
              <w:autoSpaceDE w:val="0"/>
              <w:autoSpaceDN w:val="0"/>
              <w:adjustRightInd w:val="0"/>
              <w:ind w:right="50"/>
              <w:jc w:val="both"/>
              <w:rPr>
                <w:rFonts w:cs="Sylfaen"/>
                <w:b/>
                <w:bCs/>
                <w:color w:val="000000"/>
                <w:lang w:val="hy-AM"/>
              </w:rPr>
            </w:pPr>
            <w:r w:rsidRPr="00F619A4">
              <w:rPr>
                <w:rFonts w:cs="Sylfaen"/>
                <w:bCs/>
                <w:color w:val="000000"/>
                <w:lang w:val="hy-AM"/>
              </w:rPr>
              <w:t>Վարչական իրավախախտումների վերաբերյալ Հայաստանի Հանրապետության օրենսգիրքն ընդունվել է դեռևս 1985թ. դեկտեմբերի 6-ին և, թերևս, ամենաշատն է ենթարկվել փոփոխությունների ու լրացումների</w:t>
            </w:r>
            <w:r w:rsidRPr="00F619A4">
              <w:rPr>
                <w:rFonts w:cs="Sylfaen"/>
                <w:b/>
                <w:bCs/>
                <w:color w:val="000000"/>
                <w:lang w:val="hy-AM"/>
              </w:rPr>
              <w:t xml:space="preserve">: </w:t>
            </w:r>
            <w:r w:rsidRPr="00F619A4">
              <w:rPr>
                <w:rFonts w:cs="Sylfaen"/>
                <w:bCs/>
                <w:color w:val="000000"/>
                <w:lang w:val="hy-AM"/>
              </w:rPr>
              <w:t xml:space="preserve">Այն եզակի հիմնարար օրենսդրական ակտերից է, որը երբևէ համակարգված քննարկման առարկա չի դարձել և ընդգրկված չի եղել իրավական բարեփոխումների ծրագրերում, այսինքն՝ ըստ էության, բացակայում էր այդ ոլորտի օրենսդրական կարգավորման որևէ ամփոփ հայեցակարգ, որը կկանխորոշեր հետագա օրենսդրական զարգացումները: Արդյունքում՝ ոլորտը կանոնակարգող օրենսդրական ակտերում պարբերաբար անխուսափելիորեն կատարվել են տարաբնույթ, երբեմն էլ անհարկի իրարամերժ ու հակասական փոփոխություններ, լրացումներ, ինչպես նաև ընդունվել են նոր օրենսդրական ակտեր, որոնք հիմնականում առաջադրել են իրավիճակային լուծումներ, հընթացս էլ ավելի խրթին դարձնելով իրավակիրառ պրակտիկան։ </w:t>
            </w:r>
          </w:p>
          <w:p w:rsidR="001F6D5D" w:rsidRPr="00F619A4" w:rsidRDefault="001F6D5D" w:rsidP="00277183">
            <w:pPr>
              <w:tabs>
                <w:tab w:val="left" w:pos="72"/>
              </w:tabs>
              <w:autoSpaceDE w:val="0"/>
              <w:autoSpaceDN w:val="0"/>
              <w:adjustRightInd w:val="0"/>
              <w:ind w:right="50"/>
              <w:jc w:val="both"/>
              <w:rPr>
                <w:b/>
                <w:lang w:val="hy-AM"/>
              </w:rPr>
            </w:pPr>
            <w:r w:rsidRPr="00F619A4">
              <w:rPr>
                <w:rFonts w:cs="Sylfaen"/>
                <w:b/>
                <w:bCs/>
                <w:color w:val="000000"/>
                <w:lang w:val="hy-AM"/>
              </w:rPr>
              <w:t>1.2.</w:t>
            </w:r>
            <w:r w:rsidRPr="00F619A4">
              <w:rPr>
                <w:rFonts w:cs="Sylfaen"/>
                <w:bCs/>
                <w:color w:val="000000"/>
                <w:lang w:val="hy-AM"/>
              </w:rPr>
              <w:t xml:space="preserve"> </w:t>
            </w:r>
            <w:r w:rsidRPr="00F619A4">
              <w:rPr>
                <w:b/>
                <w:lang w:val="hy-AM"/>
              </w:rPr>
              <w:t>Առկա խնդիրների առաջարկվող լուծումները</w:t>
            </w:r>
          </w:p>
          <w:p w:rsidR="001F6D5D" w:rsidRPr="00F619A4" w:rsidRDefault="001F6D5D" w:rsidP="00277183">
            <w:pPr>
              <w:tabs>
                <w:tab w:val="left" w:pos="72"/>
              </w:tabs>
              <w:autoSpaceDE w:val="0"/>
              <w:autoSpaceDN w:val="0"/>
              <w:adjustRightInd w:val="0"/>
              <w:ind w:right="50"/>
              <w:jc w:val="both"/>
              <w:rPr>
                <w:rFonts w:cs="Sylfaen"/>
                <w:bCs/>
                <w:color w:val="000000"/>
                <w:lang w:val="hy-AM"/>
              </w:rPr>
            </w:pPr>
            <w:r w:rsidRPr="00F619A4">
              <w:rPr>
                <w:rFonts w:cs="Sylfaen"/>
                <w:bCs/>
                <w:color w:val="000000"/>
                <w:lang w:val="hy-AM"/>
              </w:rPr>
              <w:t xml:space="preserve">Առաջարկվում է մշակել </w:t>
            </w:r>
            <w:r w:rsidRPr="00F619A4">
              <w:rPr>
                <w:lang w:val="hy-AM"/>
              </w:rPr>
              <w:t>Վարչական իրավախախտումների վերաբերյալ նոր օրենսգիրք, որով կկարգավորվեն վարչական իրավախախտումների վերաբերյալ գործերով վարույթի առանձնահատկությունները, կսահմանվեն միասնական կանոններ և պայմաններ, կապահովվի վարչական զանցանքների հիմնավորված դասակարգումը և դրանց համար նախատեսված սանկցիաների ներդաշնակությունը, կկատարելագործվի վարչական հարկադրանքի օժանդակ միջոցները՝ համապատասխանեցնելով դրանք իրավական պետության պահանջներին և մի շարք այլ հարցեր:</w:t>
            </w:r>
          </w:p>
          <w:p w:rsidR="001F6D5D" w:rsidRPr="00F619A4" w:rsidRDefault="001F6D5D" w:rsidP="00277183">
            <w:pPr>
              <w:tabs>
                <w:tab w:val="left" w:pos="0"/>
              </w:tabs>
              <w:contextualSpacing/>
              <w:rPr>
                <w:b/>
                <w:lang w:val="hy-AM"/>
              </w:rPr>
            </w:pPr>
            <w:r w:rsidRPr="00F619A4">
              <w:rPr>
                <w:b/>
                <w:lang w:val="hy-AM"/>
              </w:rPr>
              <w:t>2. Միջոցառման իրականացումից ակնկալվող արդյունքը</w:t>
            </w:r>
          </w:p>
          <w:p w:rsidR="001F6D5D" w:rsidRPr="00F619A4" w:rsidRDefault="001F6D5D" w:rsidP="00277183">
            <w:pPr>
              <w:rPr>
                <w:u w:val="single"/>
                <w:lang w:val="hy-AM"/>
              </w:rPr>
            </w:pPr>
            <w:r w:rsidRPr="00F619A4">
              <w:rPr>
                <w:lang w:val="hy-AM"/>
              </w:rPr>
              <w:t xml:space="preserve">Վարչական իրավախախտումների վերաբերյալ նոր օրենսգրքի </w:t>
            </w:r>
            <w:r w:rsidRPr="00F619A4">
              <w:rPr>
                <w:u w:val="single"/>
                <w:lang w:val="hy-AM"/>
              </w:rPr>
              <w:t>նախագիծը իրենից ներկայացնում է այդ ոլորտի բոլոր իրավահարաբերությունների կանոնակարգմանը նվիրված մեկ ամբողջական կոդիֆիկացված իրավական փաստաթուղթ։</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60</w:t>
            </w:r>
          </w:p>
        </w:tc>
        <w:tc>
          <w:tcPr>
            <w:tcW w:w="10878" w:type="dxa"/>
          </w:tcPr>
          <w:p w:rsidR="001F6D5D" w:rsidRPr="00F619A4" w:rsidRDefault="001F6D5D" w:rsidP="00277183">
            <w:pPr>
              <w:ind w:left="-33" w:firstLine="33"/>
              <w:jc w:val="center"/>
              <w:rPr>
                <w:b/>
                <w:lang w:val="hy-AM"/>
              </w:rPr>
            </w:pPr>
            <w:r w:rsidRPr="00F619A4">
              <w:rPr>
                <w:b/>
                <w:lang w:val="hy-AM"/>
              </w:rPr>
              <w:t>ՔԱՂԱՔԱՑԻԱԿԱՆ ԴԱՏԱՎԱՐՈՒԹՅԱՆ ԱՐԴՅՈՒՆԱՎԵՏՈՒԹՅԱՆ ԲԱՐՁՐԱՑՈՒՄ</w:t>
            </w:r>
          </w:p>
          <w:p w:rsidR="001F6D5D" w:rsidRPr="00F619A4" w:rsidRDefault="001F6D5D" w:rsidP="00277183">
            <w:pPr>
              <w:ind w:left="-33" w:firstLine="33"/>
              <w:rPr>
                <w:b/>
                <w:lang w:val="hy-AM"/>
              </w:rPr>
            </w:pPr>
            <w:r w:rsidRPr="00F619A4">
              <w:rPr>
                <w:b/>
                <w:lang w:val="hy-AM"/>
              </w:rPr>
              <w:t>1. Միջոցառման իրականացման անհրաժեշտությունը և նպատակը</w:t>
            </w:r>
          </w:p>
          <w:p w:rsidR="001F6D5D" w:rsidRPr="00F619A4" w:rsidRDefault="001F6D5D" w:rsidP="00277183">
            <w:pPr>
              <w:tabs>
                <w:tab w:val="left" w:pos="162"/>
              </w:tabs>
              <w:autoSpaceDE w:val="0"/>
              <w:autoSpaceDN w:val="0"/>
              <w:adjustRightInd w:val="0"/>
              <w:ind w:left="-33" w:right="50" w:firstLine="33"/>
              <w:jc w:val="both"/>
              <w:rPr>
                <w:lang w:val="hy-AM"/>
              </w:rPr>
            </w:pPr>
            <w:r w:rsidRPr="00F619A4">
              <w:rPr>
                <w:lang w:val="hy-AM"/>
              </w:rPr>
              <w:t>Քաղաքացիական դատավարության օրենսդրության անընդհատ կատարելագործումը:</w:t>
            </w:r>
          </w:p>
          <w:p w:rsidR="001F6D5D" w:rsidRPr="00F619A4" w:rsidRDefault="001F6D5D" w:rsidP="00277183">
            <w:pPr>
              <w:ind w:left="-18"/>
              <w:contextualSpacing/>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tabs>
                <w:tab w:val="left" w:pos="162"/>
              </w:tabs>
              <w:autoSpaceDE w:val="0"/>
              <w:autoSpaceDN w:val="0"/>
              <w:adjustRightInd w:val="0"/>
              <w:ind w:left="-33" w:right="50" w:firstLine="33"/>
              <w:jc w:val="both"/>
              <w:rPr>
                <w:lang w:val="hy-AM"/>
              </w:rPr>
            </w:pPr>
            <w:r w:rsidRPr="00F619A4">
              <w:rPr>
                <w:lang w:val="hy-AM"/>
              </w:rPr>
              <w:t>2018թ. փետրվարի 9-ին Հայաստանի Հանրապետության քաղաքացիական դատավարության օրենսգրքի ընդունումից հետո դրա կիրառման կապացությամբ պրակտիկայում առաջացել են գործնական խնդիրներ, որոնք ունեն վերհանման, ուսումնասիրության և դրանց համարժեք լուծումներ տալու կարիք:</w:t>
            </w:r>
          </w:p>
          <w:p w:rsidR="001F6D5D" w:rsidRPr="00F619A4" w:rsidRDefault="001F6D5D" w:rsidP="00277183">
            <w:pPr>
              <w:tabs>
                <w:tab w:val="left" w:pos="162"/>
              </w:tabs>
              <w:autoSpaceDE w:val="0"/>
              <w:autoSpaceDN w:val="0"/>
              <w:adjustRightInd w:val="0"/>
              <w:ind w:left="-33" w:right="50" w:firstLine="33"/>
              <w:jc w:val="both"/>
              <w:rPr>
                <w:rFonts w:cs="Sylfaen"/>
                <w:bCs/>
                <w:color w:val="000000"/>
                <w:lang w:val="hy-AM"/>
              </w:rPr>
            </w:pPr>
          </w:p>
          <w:p w:rsidR="001F6D5D" w:rsidRPr="00F619A4" w:rsidRDefault="001F6D5D" w:rsidP="00277183">
            <w:pPr>
              <w:tabs>
                <w:tab w:val="left" w:pos="72"/>
              </w:tabs>
              <w:autoSpaceDE w:val="0"/>
              <w:autoSpaceDN w:val="0"/>
              <w:adjustRightInd w:val="0"/>
              <w:ind w:right="50"/>
              <w:jc w:val="both"/>
              <w:rPr>
                <w:rFonts w:cs="Sylfaen"/>
                <w:bCs/>
                <w:color w:val="000000"/>
                <w:lang w:val="hy-AM"/>
              </w:rPr>
            </w:pPr>
            <w:r w:rsidRPr="00F619A4">
              <w:rPr>
                <w:rFonts w:cs="Sylfaen"/>
                <w:b/>
                <w:bCs/>
                <w:color w:val="000000"/>
                <w:lang w:val="hy-AM"/>
              </w:rPr>
              <w:t>1.2.</w:t>
            </w:r>
            <w:r w:rsidRPr="00F619A4">
              <w:rPr>
                <w:rFonts w:cs="Sylfaen"/>
                <w:bCs/>
                <w:color w:val="000000"/>
                <w:lang w:val="hy-AM"/>
              </w:rPr>
              <w:t xml:space="preserve"> </w:t>
            </w:r>
            <w:r w:rsidRPr="00F619A4">
              <w:rPr>
                <w:b/>
                <w:lang w:val="hy-AM"/>
              </w:rPr>
              <w:t>Առկա խնդիրների առաջարկվող լուծումները</w:t>
            </w:r>
          </w:p>
          <w:p w:rsidR="001F6D5D" w:rsidRPr="00F619A4" w:rsidRDefault="001F6D5D" w:rsidP="00277183">
            <w:pPr>
              <w:contextualSpacing/>
              <w:rPr>
                <w:lang w:val="hy-AM"/>
              </w:rPr>
            </w:pPr>
            <w:r w:rsidRPr="00F619A4">
              <w:rPr>
                <w:lang w:val="hy-AM"/>
              </w:rPr>
              <w:t>Առաջարկվում է լրացումներ և փոփոխություններ կատարել Հայաստանի Հանրապետության քաղաքացիական դատավարության օրենսգրքում:</w:t>
            </w:r>
          </w:p>
          <w:p w:rsidR="001F6D5D" w:rsidRPr="00F619A4" w:rsidRDefault="001F6D5D" w:rsidP="00277183">
            <w:pPr>
              <w:tabs>
                <w:tab w:val="left" w:pos="0"/>
              </w:tabs>
              <w:contextualSpacing/>
              <w:rPr>
                <w:b/>
                <w:lang w:val="hy-AM"/>
              </w:rPr>
            </w:pPr>
            <w:r w:rsidRPr="00F619A4">
              <w:rPr>
                <w:b/>
                <w:lang w:val="hy-AM"/>
              </w:rPr>
              <w:t>2. Միջոցառման իրականացումից ակնկալվող արդյունքը</w:t>
            </w:r>
          </w:p>
          <w:p w:rsidR="001F6D5D" w:rsidRPr="00F619A4" w:rsidRDefault="001F6D5D" w:rsidP="00277183">
            <w:pPr>
              <w:rPr>
                <w:b/>
                <w:u w:val="single"/>
                <w:lang w:val="hy-AM"/>
              </w:rPr>
            </w:pPr>
            <w:r w:rsidRPr="00F619A4">
              <w:rPr>
                <w:lang w:val="hy-AM"/>
              </w:rPr>
              <w:t>Քաղաքացիական դատավարության իրավակիրառ պրակտիկայում ծագած խնդիրների գույքագրման արդյունքներով արձանագրված խնդիրների լուծում:</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61</w:t>
            </w:r>
          </w:p>
        </w:tc>
        <w:tc>
          <w:tcPr>
            <w:tcW w:w="10878" w:type="dxa"/>
          </w:tcPr>
          <w:p w:rsidR="001F6D5D" w:rsidRPr="00F619A4" w:rsidRDefault="001F6D5D" w:rsidP="00277183">
            <w:pPr>
              <w:jc w:val="center"/>
              <w:rPr>
                <w:b/>
                <w:lang w:val="hy-AM"/>
              </w:rPr>
            </w:pPr>
            <w:r w:rsidRPr="00F619A4">
              <w:rPr>
                <w:b/>
                <w:lang w:val="hy-AM"/>
              </w:rPr>
              <w:t>ՎԵՃԵՐԻ ԼՈՒԾՄԱՆ ԱՅԼԸՆՏՐԱՆՔԱՅԻՆ ՄԵԽԱՆԻԶՄՆԵՐԻ ԽԹԱՆՈՒՄ</w:t>
            </w:r>
          </w:p>
          <w:p w:rsidR="001F6D5D" w:rsidRPr="00F619A4" w:rsidRDefault="001F6D5D" w:rsidP="00277183">
            <w:pPr>
              <w:ind w:left="-33" w:firstLine="33"/>
              <w:rPr>
                <w:b/>
                <w:lang w:val="hy-AM"/>
              </w:rPr>
            </w:pPr>
            <w:r w:rsidRPr="00F619A4">
              <w:rPr>
                <w:b/>
                <w:lang w:val="hy-AM"/>
              </w:rPr>
              <w:t>1. Միջոցառման իրականացման անհրաժեշտությունը և նպատակը</w:t>
            </w:r>
          </w:p>
          <w:p w:rsidR="001F6D5D" w:rsidRPr="00F619A4" w:rsidRDefault="001F6D5D" w:rsidP="00277183">
            <w:pPr>
              <w:tabs>
                <w:tab w:val="left" w:pos="162"/>
              </w:tabs>
              <w:autoSpaceDE w:val="0"/>
              <w:autoSpaceDN w:val="0"/>
              <w:adjustRightInd w:val="0"/>
              <w:ind w:left="-33" w:right="50" w:firstLine="33"/>
              <w:jc w:val="both"/>
              <w:rPr>
                <w:lang w:val="hy-AM"/>
              </w:rPr>
            </w:pPr>
            <w:r w:rsidRPr="00F619A4">
              <w:rPr>
                <w:lang w:val="hy-AM"/>
              </w:rPr>
              <w:t>Առաջարկվող միջոցառման անհրաժեշտությունը բխում է դատարանների ծանրաբեռնվածության թեթևացման և գործերի քննության ժամկետների կրճատման անհրաժեշտությունից:</w:t>
            </w:r>
          </w:p>
          <w:p w:rsidR="001F6D5D" w:rsidRPr="00F619A4" w:rsidRDefault="001F6D5D" w:rsidP="00277183">
            <w:pPr>
              <w:ind w:left="-18"/>
              <w:contextualSpacing/>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tabs>
                <w:tab w:val="left" w:pos="162"/>
              </w:tabs>
              <w:autoSpaceDE w:val="0"/>
              <w:autoSpaceDN w:val="0"/>
              <w:adjustRightInd w:val="0"/>
              <w:ind w:left="-33" w:right="50" w:firstLine="33"/>
              <w:jc w:val="both"/>
              <w:rPr>
                <w:rFonts w:cs="Sylfaen"/>
                <w:bCs/>
                <w:color w:val="000000"/>
                <w:lang w:val="hy-AM"/>
              </w:rPr>
            </w:pPr>
            <w:r w:rsidRPr="00F619A4">
              <w:rPr>
                <w:lang w:val="hy-AM"/>
              </w:rPr>
              <w:t>Դատարանների կողմից քննվող գործերի շրջանակում մեծ թիվ են կազմում ֆինանսական կազմակերպությունների մասնակցությամբ վեճերը, որոնք ազդում են դատարանների ծանրաբեռնվածության և գործերի քննության ժամկետների վրա, ընդ որում ՀՀ իրավական համակարգում ֆինանսական կազմակերպությունների մասնակցությամբ վեճերի լուծման այլընտրանքային եղանակների արդյունավետ մեխանիզմներ չեն գործում:</w:t>
            </w:r>
          </w:p>
          <w:p w:rsidR="001F6D5D" w:rsidRPr="00F619A4" w:rsidRDefault="001F6D5D" w:rsidP="00277183">
            <w:pPr>
              <w:tabs>
                <w:tab w:val="left" w:pos="72"/>
              </w:tabs>
              <w:autoSpaceDE w:val="0"/>
              <w:autoSpaceDN w:val="0"/>
              <w:adjustRightInd w:val="0"/>
              <w:ind w:right="50"/>
              <w:jc w:val="both"/>
              <w:rPr>
                <w:rFonts w:cs="Sylfaen"/>
                <w:bCs/>
                <w:color w:val="000000"/>
                <w:lang w:val="hy-AM"/>
              </w:rPr>
            </w:pPr>
            <w:r w:rsidRPr="00F619A4">
              <w:rPr>
                <w:rFonts w:cs="Sylfaen"/>
                <w:b/>
                <w:bCs/>
                <w:color w:val="000000"/>
                <w:lang w:val="hy-AM"/>
              </w:rPr>
              <w:t>1.2.</w:t>
            </w:r>
            <w:r w:rsidRPr="00F619A4">
              <w:rPr>
                <w:rFonts w:cs="Sylfaen"/>
                <w:bCs/>
                <w:color w:val="000000"/>
                <w:lang w:val="hy-AM"/>
              </w:rPr>
              <w:t xml:space="preserve"> </w:t>
            </w:r>
            <w:r w:rsidRPr="00F619A4">
              <w:rPr>
                <w:b/>
                <w:lang w:val="hy-AM"/>
              </w:rPr>
              <w:t>Առկա խնդիրների առաջարկվող լուծումները</w:t>
            </w:r>
          </w:p>
          <w:p w:rsidR="001F6D5D" w:rsidRPr="00F619A4" w:rsidRDefault="001F6D5D" w:rsidP="00277183">
            <w:pPr>
              <w:contextualSpacing/>
              <w:rPr>
                <w:lang w:val="hy-AM"/>
              </w:rPr>
            </w:pPr>
            <w:r w:rsidRPr="00F619A4">
              <w:rPr>
                <w:lang w:val="hy-AM"/>
              </w:rPr>
              <w:t xml:space="preserve">Վերոնշյալի հաշվառմամբ՝ առաջարկվում է մշակել «Ֆինանսական համակարգում արբիտրաժային հաստատության մասին» ՀՀ օրենքի և հարակից օրենքների նախագծեր: </w:t>
            </w:r>
          </w:p>
          <w:p w:rsidR="001F6D5D" w:rsidRPr="00F619A4" w:rsidRDefault="001F6D5D" w:rsidP="00277183">
            <w:pPr>
              <w:tabs>
                <w:tab w:val="left" w:pos="0"/>
              </w:tabs>
              <w:contextualSpacing/>
              <w:rPr>
                <w:b/>
                <w:lang w:val="hy-AM"/>
              </w:rPr>
            </w:pPr>
            <w:r w:rsidRPr="00F619A4">
              <w:rPr>
                <w:b/>
                <w:lang w:val="hy-AM"/>
              </w:rPr>
              <w:t>2. Միջոցառման իրականացումից ակնկալվող արդյունքը</w:t>
            </w:r>
          </w:p>
          <w:p w:rsidR="001F6D5D" w:rsidRPr="00F619A4" w:rsidRDefault="001F6D5D" w:rsidP="00277183">
            <w:pPr>
              <w:rPr>
                <w:b/>
                <w:u w:val="single"/>
                <w:lang w:val="hy-AM"/>
              </w:rPr>
            </w:pPr>
            <w:r w:rsidRPr="00F619A4">
              <w:rPr>
                <w:rFonts w:cs="Sylfaen"/>
                <w:bCs/>
                <w:lang w:val="hy-AM"/>
              </w:rPr>
              <w:t xml:space="preserve">Միջոցառման արդյունքում ակնկալվում է </w:t>
            </w:r>
            <w:r w:rsidRPr="00F619A4">
              <w:rPr>
                <w:lang w:val="hy-AM"/>
              </w:rPr>
              <w:t>ֆինանսական կազմակերպությունների մասնակցությամբ դատական գործերիքննության ժամկետների և ծախսերի կրճատում, դատարանների ծանրաբեռնվածության թեթևացում:</w:t>
            </w: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62</w:t>
            </w:r>
          </w:p>
        </w:tc>
        <w:tc>
          <w:tcPr>
            <w:tcW w:w="10878" w:type="dxa"/>
          </w:tcPr>
          <w:p w:rsidR="001F6D5D" w:rsidRPr="00F619A4" w:rsidRDefault="001F6D5D" w:rsidP="00277183">
            <w:pPr>
              <w:ind w:left="-33" w:firstLine="33"/>
              <w:jc w:val="center"/>
              <w:rPr>
                <w:b/>
                <w:lang w:val="hy-AM"/>
              </w:rPr>
            </w:pPr>
            <w:r w:rsidRPr="00F619A4">
              <w:rPr>
                <w:b/>
                <w:lang w:val="hy-AM"/>
              </w:rPr>
              <w:t>ՍՏԵՂԾԵԼ ԱՐԴԱՐԱԴԱՏՈՒԹՅԱՆ ԻՐԱԿԱՆԱՑՄԱՆՆ ԱՋԱԿՑՈՂ ՄԱՐՄԻՆՆԵՐԻ ԻՐԱՎԱԿԱՆ ՓԱՍՏԱԹՂԹԵՐԻ ՄԻԱՍՆԱԿԱՆ ԱՐԽԻՎ</w:t>
            </w:r>
          </w:p>
          <w:p w:rsidR="001F6D5D" w:rsidRPr="00F619A4" w:rsidRDefault="001F6D5D" w:rsidP="00277183">
            <w:pPr>
              <w:ind w:left="-33" w:firstLine="33"/>
              <w:rPr>
                <w:b/>
                <w:lang w:val="hy-AM"/>
              </w:rPr>
            </w:pPr>
            <w:r w:rsidRPr="00F619A4">
              <w:rPr>
                <w:b/>
                <w:lang w:val="hy-AM"/>
              </w:rPr>
              <w:t>1. Միջոցառման իրականացման անհրաժեշտությունը և նպատակը</w:t>
            </w:r>
          </w:p>
          <w:p w:rsidR="001F6D5D" w:rsidRPr="00F619A4" w:rsidRDefault="001F6D5D" w:rsidP="00277183">
            <w:pPr>
              <w:tabs>
                <w:tab w:val="left" w:pos="162"/>
              </w:tabs>
              <w:autoSpaceDE w:val="0"/>
              <w:autoSpaceDN w:val="0"/>
              <w:adjustRightInd w:val="0"/>
              <w:ind w:left="-33" w:right="50" w:firstLine="33"/>
              <w:jc w:val="both"/>
              <w:rPr>
                <w:lang w:val="hy-AM"/>
              </w:rPr>
            </w:pPr>
            <w:r w:rsidRPr="00F619A4">
              <w:rPr>
                <w:lang w:val="hy-AM"/>
              </w:rPr>
              <w:t>Ունենալ  արդարադատության իրականացմանն աջակցող մարմինների իրավական փաստաթղթերի միասնական արխիվացման կարգ և արխիվ:</w:t>
            </w:r>
          </w:p>
          <w:p w:rsidR="001F6D5D" w:rsidRPr="00F619A4" w:rsidRDefault="001F6D5D" w:rsidP="00277183">
            <w:pPr>
              <w:ind w:left="-18"/>
              <w:contextualSpacing/>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tabs>
                <w:tab w:val="left" w:pos="162"/>
              </w:tabs>
              <w:autoSpaceDE w:val="0"/>
              <w:autoSpaceDN w:val="0"/>
              <w:adjustRightInd w:val="0"/>
              <w:ind w:left="-33" w:right="50" w:firstLine="33"/>
              <w:jc w:val="both"/>
              <w:rPr>
                <w:rFonts w:cs="Sylfaen"/>
                <w:bCs/>
                <w:color w:val="000000"/>
                <w:lang w:val="hy-AM"/>
              </w:rPr>
            </w:pPr>
            <w:r w:rsidRPr="00F619A4">
              <w:rPr>
                <w:lang w:val="hy-AM"/>
              </w:rPr>
              <w:t xml:space="preserve">Ներկայումս նոտարիատի, քաղաքացիական կացության ակտերի գրանցման, դատական ակտերի հարկադիր կատարման, քրեակատարողական և իրավաբանական անձանց գրանցման ռեգիստրի ոլորտներում, ինչպես նաև  դատարանների իրավական փաստաթղթերի համար չկա արխիվացման միասնական կարգ և միասնական արխիվ: Արդյունքում կարևոր իրավական փաստաթղթեր կամ չեն պահպանվում, կամ պահպանվում են ոչ ճիշտ պայմաններում և կարճ ժամկետով: Բացի այդ դրանց որոնումն ու հայտնաբերումը բավականին դժվար է: </w:t>
            </w:r>
          </w:p>
          <w:p w:rsidR="001F6D5D" w:rsidRPr="00F619A4" w:rsidRDefault="001F6D5D" w:rsidP="00277183">
            <w:pPr>
              <w:tabs>
                <w:tab w:val="left" w:pos="72"/>
              </w:tabs>
              <w:autoSpaceDE w:val="0"/>
              <w:autoSpaceDN w:val="0"/>
              <w:adjustRightInd w:val="0"/>
              <w:ind w:right="50"/>
              <w:jc w:val="both"/>
              <w:rPr>
                <w:rFonts w:cs="Sylfaen"/>
                <w:bCs/>
                <w:color w:val="000000"/>
                <w:lang w:val="hy-AM"/>
              </w:rPr>
            </w:pPr>
            <w:r w:rsidRPr="00F619A4">
              <w:rPr>
                <w:rFonts w:cs="Sylfaen"/>
                <w:b/>
                <w:bCs/>
                <w:color w:val="000000"/>
                <w:lang w:val="hy-AM"/>
              </w:rPr>
              <w:t>1.2.</w:t>
            </w:r>
            <w:r w:rsidRPr="00F619A4">
              <w:rPr>
                <w:rFonts w:cs="Sylfaen"/>
                <w:bCs/>
                <w:color w:val="000000"/>
                <w:lang w:val="hy-AM"/>
              </w:rPr>
              <w:t xml:space="preserve"> </w:t>
            </w:r>
            <w:r w:rsidRPr="00F619A4">
              <w:rPr>
                <w:b/>
                <w:lang w:val="hy-AM"/>
              </w:rPr>
              <w:t>Առկա խնդիրների առաջարկվող լուծումները</w:t>
            </w:r>
          </w:p>
          <w:p w:rsidR="001F6D5D" w:rsidRPr="00F619A4" w:rsidRDefault="001F6D5D" w:rsidP="00277183">
            <w:pPr>
              <w:contextualSpacing/>
              <w:rPr>
                <w:lang w:val="hy-AM"/>
              </w:rPr>
            </w:pPr>
            <w:r w:rsidRPr="00F619A4">
              <w:rPr>
                <w:lang w:val="hy-AM"/>
              </w:rPr>
              <w:t xml:space="preserve">Առաջարկվում է սահմանել միասնական արխիվացման կարգ, ունենալ արխիվի պահպանման շենք` արխիվացման համար անհրաժեշտ պայմաններով: </w:t>
            </w:r>
          </w:p>
          <w:p w:rsidR="001F6D5D" w:rsidRPr="00F619A4" w:rsidRDefault="001F6D5D" w:rsidP="001F6D5D">
            <w:pPr>
              <w:pStyle w:val="ListParagraph"/>
              <w:numPr>
                <w:ilvl w:val="0"/>
                <w:numId w:val="516"/>
              </w:numPr>
              <w:tabs>
                <w:tab w:val="left" w:pos="0"/>
              </w:tabs>
              <w:spacing w:line="276" w:lineRule="auto"/>
              <w:rPr>
                <w:b/>
              </w:rPr>
            </w:pPr>
            <w:r w:rsidRPr="00F619A4">
              <w:rPr>
                <w:b/>
                <w:lang w:val="hy-AM"/>
              </w:rPr>
              <w:t>Միջոցառման իրականացումից ակնկալվող արդյունքը</w:t>
            </w:r>
          </w:p>
          <w:p w:rsidR="001F6D5D" w:rsidRPr="00F619A4" w:rsidRDefault="001F6D5D" w:rsidP="00277183">
            <w:pPr>
              <w:tabs>
                <w:tab w:val="left" w:pos="0"/>
              </w:tabs>
              <w:ind w:left="360"/>
              <w:rPr>
                <w:b/>
              </w:rPr>
            </w:pPr>
            <w:r w:rsidRPr="00F619A4">
              <w:rPr>
                <w:b/>
              </w:rPr>
              <w:t>Կունենանք արդարադատությաննն աջակցող մարմինների իրավական փաստաթղթերի միասնակն արխիվ:</w:t>
            </w:r>
          </w:p>
          <w:p w:rsidR="001F6D5D" w:rsidRPr="00F619A4" w:rsidRDefault="001F6D5D" w:rsidP="00277183">
            <w:pPr>
              <w:ind w:left="-33" w:firstLine="33"/>
              <w:jc w:val="center"/>
              <w:rPr>
                <w:b/>
                <w:lang w:val="hy-AM"/>
              </w:rPr>
            </w:pPr>
          </w:p>
        </w:tc>
      </w:tr>
      <w:tr w:rsidR="001F6D5D" w:rsidRPr="00DE2EFA" w:rsidTr="00277183">
        <w:tc>
          <w:tcPr>
            <w:tcW w:w="630" w:type="dxa"/>
          </w:tcPr>
          <w:p w:rsidR="001F6D5D" w:rsidRPr="00F619A4" w:rsidRDefault="001F6D5D" w:rsidP="00277183">
            <w:pPr>
              <w:tabs>
                <w:tab w:val="left" w:pos="192"/>
              </w:tabs>
              <w:spacing w:line="276" w:lineRule="auto"/>
              <w:jc w:val="both"/>
              <w:rPr>
                <w:lang w:val="hy-AM"/>
              </w:rPr>
            </w:pPr>
            <w:r w:rsidRPr="00F619A4">
              <w:rPr>
                <w:lang w:val="hy-AM"/>
              </w:rPr>
              <w:t>63</w:t>
            </w:r>
          </w:p>
        </w:tc>
        <w:tc>
          <w:tcPr>
            <w:tcW w:w="10878" w:type="dxa"/>
          </w:tcPr>
          <w:p w:rsidR="001F6D5D" w:rsidRPr="00F619A4" w:rsidRDefault="001F6D5D" w:rsidP="00277183">
            <w:pPr>
              <w:ind w:left="-33" w:firstLine="33"/>
              <w:jc w:val="center"/>
              <w:rPr>
                <w:b/>
                <w:lang w:val="hy-AM"/>
              </w:rPr>
            </w:pPr>
            <w:r w:rsidRPr="00F619A4">
              <w:rPr>
                <w:b/>
                <w:lang w:val="hy-AM"/>
              </w:rPr>
              <w:t>ՍՏԵՂԾԵԼ ՄԵԿ ՏԱՐԱԾՔՈՒՄ ՏԵՂԱԿԱՅՎԱԾ ՔԱՂԱՔԱՑԻՆԵՐԻ ՍՊԱՍԱՐԿՄԱՆ ԿԵՆՏՐՈՆ, ՈՐՏԵՂ ԴԻՄՈՂՆԵՐԻ ՀԱՄԱՐ ՀՆԱՐԱՎՈՐՈՒԹՅՈՒՆ ԿՍՏԵՂԾՎԻ «ՄԵԿ ՊԱՏՈՒՀԱՆԻ» ՍԿԶԲՈՒՆՔՈՎ ՍՏԱՆԱԼ ՔԿԱԳ , ԻՐԱՎԱԲԱՆԱԿԱՆ ԱՆՁԱՆՑ ՊԵՏԱԿԱՆ ՌԵԳԻՍՏՐԻ և ԾԱՌԱՅՈՒԹՅՈՒՆՆԵՐ ՄԱՏՈՒՑՈՂ ՊԵՏԱԿԱՆ ԱՅԼ ՀԻՄՆԱՐԿՆԵՐԻ ԿՈՂՄԻՑ ՄԱՏՈՒՑՎՈՂ ԾԱՌԱՅՈՒԹՅՈՒՆՆԵՐ</w:t>
            </w:r>
          </w:p>
          <w:p w:rsidR="001F6D5D" w:rsidRPr="00F619A4" w:rsidRDefault="001F6D5D" w:rsidP="00277183">
            <w:pPr>
              <w:ind w:left="-33" w:firstLine="33"/>
              <w:rPr>
                <w:b/>
                <w:lang w:val="hy-AM"/>
              </w:rPr>
            </w:pPr>
            <w:r w:rsidRPr="00F619A4">
              <w:rPr>
                <w:b/>
                <w:lang w:val="hy-AM"/>
              </w:rPr>
              <w:t>1. Միջոցառման իրականացման անհրաժեշտությունը և նպատակը</w:t>
            </w:r>
          </w:p>
          <w:p w:rsidR="001F6D5D" w:rsidRPr="00F619A4" w:rsidRDefault="001F6D5D" w:rsidP="00277183">
            <w:pPr>
              <w:ind w:left="-18"/>
              <w:contextualSpacing/>
              <w:rPr>
                <w:lang w:val="hy-AM"/>
              </w:rPr>
            </w:pPr>
            <w:r w:rsidRPr="00F619A4">
              <w:rPr>
                <w:lang w:val="hy-AM"/>
              </w:rPr>
              <w:t xml:space="preserve">Ստեղծել մեկ տարածքում տեղակայված քաղաքացիների սպասարկման կենտրոն, որտեղ դիմողների համար հնարավորություն կստեղծվի «մեկ պատուհանի» սկզբունքով դիմել և  ստանալ ՔԿԱԳ , իրավաբանական անձանց պետական ռեգիստրի և ծառայություններ մատուցող պետական այլ հիմնարկների կողմից մատուցվող ծառայություններ </w:t>
            </w:r>
          </w:p>
          <w:p w:rsidR="001F6D5D" w:rsidRPr="00F619A4" w:rsidRDefault="001F6D5D" w:rsidP="00277183">
            <w:pPr>
              <w:ind w:left="-18"/>
              <w:contextualSpacing/>
              <w:rPr>
                <w:b/>
                <w:lang w:val="hy-AM"/>
              </w:rPr>
            </w:pPr>
            <w:r w:rsidRPr="00F619A4">
              <w:rPr>
                <w:b/>
                <w:lang w:val="hy-AM"/>
              </w:rPr>
              <w:t>1.1. Կարգավորման հարաբերությունների ներկա վիճակը և առկա խնդիրները</w:t>
            </w:r>
          </w:p>
          <w:p w:rsidR="001F6D5D" w:rsidRPr="00F619A4" w:rsidRDefault="001F6D5D" w:rsidP="00277183">
            <w:pPr>
              <w:tabs>
                <w:tab w:val="left" w:pos="162"/>
              </w:tabs>
              <w:autoSpaceDE w:val="0"/>
              <w:autoSpaceDN w:val="0"/>
              <w:adjustRightInd w:val="0"/>
              <w:ind w:left="-33" w:right="50" w:firstLine="33"/>
              <w:jc w:val="both"/>
              <w:rPr>
                <w:lang w:val="hy-AM"/>
              </w:rPr>
            </w:pPr>
            <w:r w:rsidRPr="00F619A4">
              <w:rPr>
                <w:lang w:val="hy-AM"/>
              </w:rPr>
              <w:t>Ներկայումս ՀՀ արդարադատության նախարարությունը ապահովում է քաղաքացիների սպասարկումը՝ քաղաքացիական կացության ակտերի գրանցման, ինչպես նաև Հայաստանի Հանրապետության տարածքում ստեղծվող իրավաբանական անձանց` (բացառությամբ բանկերի և վարկային կազմակերպությունների), իրավաբանական անձանց առանձնացված ստորաբաժանումների և հիմնարկների, անհատ ձեռնարկատերերի, հասարակական միավորումների և օրենքով նախատեսված այլ կազմակերպությունների պետական գրանցման ու հաշվառման ոլորտներում:</w:t>
            </w:r>
          </w:p>
          <w:p w:rsidR="001F6D5D" w:rsidRPr="00F619A4" w:rsidRDefault="001F6D5D" w:rsidP="00277183">
            <w:pPr>
              <w:tabs>
                <w:tab w:val="left" w:pos="162"/>
              </w:tabs>
              <w:autoSpaceDE w:val="0"/>
              <w:autoSpaceDN w:val="0"/>
              <w:adjustRightInd w:val="0"/>
              <w:ind w:left="-33" w:right="50" w:firstLine="33"/>
              <w:jc w:val="both"/>
              <w:rPr>
                <w:lang w:val="hy-AM"/>
              </w:rPr>
            </w:pPr>
            <w:r w:rsidRPr="00F619A4">
              <w:rPr>
                <w:lang w:val="hy-AM"/>
              </w:rPr>
              <w:t>Ընդ որում ՀՀ արդարադատության նախարարության վարչական շենքում, օբյեկտիվ պատճառներից ելնելով, տեղակայված է միայն ՀՀ ԱՆ քաղաքացիական կացության ակտերի գրանցման գործակալության քաղաքացիների սպասարկում իրականացնող երկու ստորաբաժանումներ՝ քաղաքացիական կացության ակտերի գրանցման աշխատանքների և մեթոդոլոգիայի բաժինը, որի մասնագետները ՀՀ օրենսդրությամբ սահմանված կարգով ընթացք են տալիս ՔԿԱԳ տարածային մարմիններից կողմից կազմված քաղաքացիական կացության ակտային գրանցումներում փոփոխություններ, լրացումներ և ուղղումներ կատարելու, դրանք վերականգնելու և անվան փոխման գործերը, ինչպես նաև տրամադրում են ընտանեկան կարգավիճակի տեղեկանքները և ուսումնասիրում է օտարերկրյա քաղաքացիների, քաղաքացիություն չունեցող անձանց և ՀՀ  տարածքից մշտապես դուրս բնակվող ՀՀ քաղաքացիների՝ ՀՀ տարածքում ամուսնության պետական գրանցման դիմումները: Եվ երկրորդ ստորաբաժանումը, որը ապահովում է ՀՀ պաշտոնական փաստաթղթերը ապոստիլով վավերացման գործընթացը: Ընդ որում, այս գործառույթների մեծ մասը իրականացվում է աշխատասենյակներում (նվազագույնը 3 աշխատակից)՝ հաշվի առնելով ՀՀ արդարադատության նախարարության ընդունարանի տարածքում բոլոր մասնագետների տեղավորման անհնարինությունը:</w:t>
            </w:r>
          </w:p>
          <w:p w:rsidR="001F6D5D" w:rsidRPr="00F619A4" w:rsidRDefault="001F6D5D" w:rsidP="00277183">
            <w:pPr>
              <w:tabs>
                <w:tab w:val="left" w:pos="162"/>
              </w:tabs>
              <w:autoSpaceDE w:val="0"/>
              <w:autoSpaceDN w:val="0"/>
              <w:adjustRightInd w:val="0"/>
              <w:ind w:left="-33" w:right="50" w:firstLine="33"/>
              <w:jc w:val="both"/>
              <w:rPr>
                <w:lang w:val="hy-AM"/>
              </w:rPr>
            </w:pPr>
            <w:r w:rsidRPr="00F619A4">
              <w:rPr>
                <w:lang w:val="hy-AM"/>
              </w:rPr>
              <w:t>Գործակալությունը ունի ևս երեք ստորաբաժանումներ, որոնք տեղակայված են այլ տարածքներում և իրականացնում են քաղաքացիների սպասարկում՝ իրենց վերապահված լիազորությունների շրջանակում: Դրանք են՝ Քաղաքացիական կացության ակտերի գրանցման հանրապետական արխիվ բաժինը (հասցե՝ Դավթաշեն 2 թաղ. 16/3 (Դավթաշեն վարչ. շրջան)), Երևանի հատուկ սպասարկում բաժինը (հասցե՝ Երևան, Էրեբունու 2/2 (Էրեբունի վարչ. շրջան)), Ամուսնության պալատ բաժին (Երևան, Զաքյան փող.3 (Կենտրոն վարչ. շրջան)):</w:t>
            </w:r>
          </w:p>
          <w:p w:rsidR="001F6D5D" w:rsidRPr="00F619A4" w:rsidRDefault="001F6D5D" w:rsidP="001F6D5D">
            <w:pPr>
              <w:pStyle w:val="ListParagraph"/>
              <w:numPr>
                <w:ilvl w:val="1"/>
                <w:numId w:val="509"/>
              </w:numPr>
              <w:tabs>
                <w:tab w:val="left" w:pos="72"/>
              </w:tabs>
              <w:autoSpaceDE w:val="0"/>
              <w:autoSpaceDN w:val="0"/>
              <w:adjustRightInd w:val="0"/>
              <w:spacing w:line="276" w:lineRule="auto"/>
              <w:ind w:right="50"/>
              <w:jc w:val="both"/>
              <w:rPr>
                <w:b/>
              </w:rPr>
            </w:pPr>
            <w:r w:rsidRPr="00F619A4">
              <w:rPr>
                <w:b/>
                <w:lang w:val="hy-AM"/>
              </w:rPr>
              <w:t>Առկա խնդիրների առաջարկվող լուծումները</w:t>
            </w:r>
          </w:p>
          <w:p w:rsidR="001F6D5D" w:rsidRPr="00F619A4" w:rsidRDefault="001F6D5D" w:rsidP="00277183">
            <w:pPr>
              <w:tabs>
                <w:tab w:val="left" w:pos="72"/>
              </w:tabs>
              <w:autoSpaceDE w:val="0"/>
              <w:autoSpaceDN w:val="0"/>
              <w:adjustRightInd w:val="0"/>
              <w:ind w:right="50"/>
              <w:jc w:val="both"/>
              <w:rPr>
                <w:b/>
                <w:bCs/>
                <w:color w:val="000000"/>
              </w:rPr>
            </w:pPr>
            <w:r w:rsidRPr="00F619A4">
              <w:rPr>
                <w:lang w:val="hy-AM"/>
              </w:rPr>
              <w:t>Հիմք ընդունելով այն փաստը, որ դեռևս 2014 թվականից ՀՀ արդարադատության նախարարությունում գործում է քաղաքացիական կացության ակտերի գրանցման կառավարման միասնական էլեկտրոնային համակարգ, որը հասանելի է ինչպես Գործակալության բոլոր ստորաբաժանումներին, այնպես էլ ՔԿԱԳ տարածքային մարմիններին և գրեթե ամբողջ փաստաթղթաշրջանառությունը իրականցվում է այդ համակարգի շրջանակներում, առաջարկում ենք ստեղծել մեկ տարածքում տեղակայված քաղաքացիների սպասարկման կենտրոն, որտեղ դիմողների համար հնարավություն կստեղծվի նույն տարածքում դիմել և ՀՀ օրենսդրությամբ սահմանված կարգով ստանալ հայցվող գործառույթի կատարումը:</w:t>
            </w:r>
            <w:r w:rsidRPr="00F619A4">
              <w:rPr>
                <w:b/>
                <w:bCs/>
                <w:color w:val="000000"/>
                <w:lang w:val="hy-AM"/>
              </w:rPr>
              <w:t xml:space="preserve"> </w:t>
            </w:r>
          </w:p>
          <w:p w:rsidR="001F6D5D" w:rsidRPr="00F619A4" w:rsidRDefault="001F6D5D" w:rsidP="001F6D5D">
            <w:pPr>
              <w:pStyle w:val="ListParagraph"/>
              <w:numPr>
                <w:ilvl w:val="1"/>
                <w:numId w:val="509"/>
              </w:numPr>
              <w:tabs>
                <w:tab w:val="left" w:pos="0"/>
              </w:tabs>
              <w:spacing w:line="276" w:lineRule="auto"/>
              <w:rPr>
                <w:rFonts w:ascii="Sylfaen" w:hAnsi="Sylfaen" w:cs="Sylfaen"/>
              </w:rPr>
            </w:pPr>
            <w:r w:rsidRPr="00F619A4">
              <w:rPr>
                <w:rFonts w:cs="Sylfaen"/>
                <w:b/>
                <w:lang w:val="hy-AM"/>
              </w:rPr>
              <w:t>Միջոցառման</w:t>
            </w:r>
            <w:r w:rsidRPr="00F619A4">
              <w:rPr>
                <w:b/>
                <w:lang w:val="hy-AM"/>
              </w:rPr>
              <w:t xml:space="preserve"> իրականացումից ակնկալվող արդյունքը</w:t>
            </w:r>
            <w:r w:rsidRPr="00F619A4">
              <w:rPr>
                <w:rFonts w:ascii="Sylfaen" w:hAnsi="Sylfaen" w:cs="Sylfaen"/>
              </w:rPr>
              <w:t xml:space="preserve"> </w:t>
            </w:r>
          </w:p>
          <w:p w:rsidR="001F6D5D" w:rsidRPr="00F619A4" w:rsidRDefault="001F6D5D" w:rsidP="00277183">
            <w:pPr>
              <w:tabs>
                <w:tab w:val="left" w:pos="0"/>
              </w:tabs>
            </w:pPr>
            <w:r w:rsidRPr="00F619A4">
              <w:rPr>
                <w:lang w:val="hy-AM"/>
              </w:rPr>
              <w:t>Արդյունքում ստեղծելով միասնական տարածքում քաղաքացիների ընդունելության սպասասրահ՝ յուրաքանչյուր գործառույթի համար առանձին պատուհաններով, հնարավորություն կընձեռվի փաստաթղթերի ընդունումը կազմակերպել front office-ում, ընդ որում հերթի էլեկտրոնային համակարգով և համապատասխան խորհրդատուներով, իսկ փաստաթղթերի ուսումնասիրությունը և գործառույթների կատարումը կազմակերպել նույն տարածքում կամ կենտրոնական գրասենյակներում տեղակայված back office-ում, որը նաև իրականացնելու է տարածքից դուրս գտնվող սպասարկման կենտրոնների կողմից ստացված կամ էլեկտրոնային դիմումների քննարկումը և գործարքների հաստատումը:</w:t>
            </w:r>
          </w:p>
          <w:p w:rsidR="001F6D5D" w:rsidRPr="00F619A4" w:rsidRDefault="001F6D5D" w:rsidP="00277183">
            <w:pPr>
              <w:tabs>
                <w:tab w:val="left" w:pos="0"/>
              </w:tabs>
              <w:ind w:left="360"/>
              <w:rPr>
                <w:b/>
                <w:lang w:val="hy-AM"/>
              </w:rPr>
            </w:pPr>
          </w:p>
        </w:tc>
      </w:tr>
    </w:tbl>
    <w:p w:rsidR="00764E6F" w:rsidRPr="0053423A" w:rsidRDefault="00764E6F" w:rsidP="00A67858">
      <w:pPr>
        <w:spacing w:after="0" w:line="276" w:lineRule="auto"/>
        <w:rPr>
          <w:sz w:val="20"/>
          <w:szCs w:val="20"/>
          <w:lang w:val="hy-AM"/>
        </w:rPr>
      </w:pPr>
    </w:p>
    <w:p w:rsidR="00365399" w:rsidRPr="0053423A" w:rsidRDefault="00365399" w:rsidP="00A67858">
      <w:pPr>
        <w:spacing w:after="0" w:line="276" w:lineRule="auto"/>
        <w:rPr>
          <w:sz w:val="20"/>
          <w:szCs w:val="20"/>
          <w:lang w:val="hy-AM"/>
        </w:rPr>
      </w:pPr>
    </w:p>
    <w:p w:rsidR="00365399" w:rsidRPr="0053423A" w:rsidRDefault="00365399" w:rsidP="00A67858">
      <w:pPr>
        <w:spacing w:after="0" w:line="276" w:lineRule="auto"/>
        <w:rPr>
          <w:sz w:val="20"/>
          <w:szCs w:val="20"/>
          <w:lang w:val="hy-AM"/>
        </w:rPr>
      </w:pPr>
    </w:p>
    <w:p w:rsidR="00365399" w:rsidRPr="0053423A" w:rsidRDefault="00365399" w:rsidP="00A67858">
      <w:pPr>
        <w:spacing w:after="0" w:line="276" w:lineRule="auto"/>
        <w:rPr>
          <w:sz w:val="20"/>
          <w:szCs w:val="20"/>
          <w:lang w:val="hy-AM"/>
        </w:rPr>
      </w:pPr>
    </w:p>
    <w:tbl>
      <w:tblPr>
        <w:tblStyle w:val="TableGrid"/>
        <w:tblW w:w="11581" w:type="dxa"/>
        <w:tblInd w:w="137" w:type="dxa"/>
        <w:tblLayout w:type="fixed"/>
        <w:tblLook w:val="04A0" w:firstRow="1" w:lastRow="0" w:firstColumn="1" w:lastColumn="0" w:noHBand="0" w:noVBand="1"/>
      </w:tblPr>
      <w:tblGrid>
        <w:gridCol w:w="11581"/>
      </w:tblGrid>
      <w:tr w:rsidR="00365399" w:rsidRPr="0053423A" w:rsidTr="00365399">
        <w:tc>
          <w:tcPr>
            <w:tcW w:w="11581" w:type="dxa"/>
            <w:shd w:val="clear" w:color="auto" w:fill="FFFF00"/>
          </w:tcPr>
          <w:p w:rsidR="00365399" w:rsidRPr="0053423A" w:rsidRDefault="00365399" w:rsidP="00A67858">
            <w:pPr>
              <w:spacing w:line="276" w:lineRule="auto"/>
              <w:jc w:val="center"/>
              <w:rPr>
                <w:b/>
                <w:lang w:val="hy-AM"/>
              </w:rPr>
            </w:pPr>
            <w:r w:rsidRPr="0053423A">
              <w:rPr>
                <w:b/>
                <w:lang w:val="hy-AM"/>
              </w:rPr>
              <w:t>Արտակարգ իրավիճակների նախարարություն</w:t>
            </w:r>
          </w:p>
        </w:tc>
      </w:tr>
    </w:tbl>
    <w:p w:rsidR="00365399" w:rsidRPr="0053423A" w:rsidRDefault="00365399">
      <w:pPr>
        <w:rPr>
          <w:sz w:val="20"/>
          <w:szCs w:val="20"/>
        </w:rPr>
      </w:pPr>
    </w:p>
    <w:tbl>
      <w:tblPr>
        <w:tblStyle w:val="TableGrid"/>
        <w:tblW w:w="11340" w:type="dxa"/>
        <w:tblInd w:w="137" w:type="dxa"/>
        <w:tblLayout w:type="fixed"/>
        <w:tblLook w:val="04A0" w:firstRow="1" w:lastRow="0" w:firstColumn="1" w:lastColumn="0" w:noHBand="0" w:noVBand="1"/>
      </w:tblPr>
      <w:tblGrid>
        <w:gridCol w:w="691"/>
        <w:gridCol w:w="10649"/>
      </w:tblGrid>
      <w:tr w:rsidR="006B0618" w:rsidRPr="00DE2EFA" w:rsidTr="001F6D5D">
        <w:trPr>
          <w:trHeight w:val="350"/>
        </w:trPr>
        <w:tc>
          <w:tcPr>
            <w:tcW w:w="691" w:type="dxa"/>
          </w:tcPr>
          <w:p w:rsidR="006B0618" w:rsidRPr="001F6D5D" w:rsidRDefault="001F6D5D" w:rsidP="00A67858">
            <w:pPr>
              <w:spacing w:line="276" w:lineRule="auto"/>
              <w:ind w:right="-108"/>
              <w:rPr>
                <w:lang w:val="hy-AM"/>
              </w:rPr>
            </w:pPr>
            <w:r>
              <w:rPr>
                <w:lang w:val="hy-AM"/>
              </w:rPr>
              <w:t>64</w:t>
            </w:r>
          </w:p>
        </w:tc>
        <w:tc>
          <w:tcPr>
            <w:tcW w:w="10649" w:type="dxa"/>
          </w:tcPr>
          <w:p w:rsidR="006B0618" w:rsidRPr="0053423A" w:rsidRDefault="00615BBB" w:rsidP="00A67858">
            <w:pPr>
              <w:spacing w:line="276" w:lineRule="auto"/>
              <w:ind w:firstLine="450"/>
              <w:jc w:val="center"/>
              <w:rPr>
                <w:b/>
                <w:lang w:val="hy-AM"/>
              </w:rPr>
            </w:pPr>
            <w:r>
              <w:rPr>
                <w:b/>
                <w:bCs/>
                <w:lang w:val="hy-AM"/>
              </w:rPr>
              <w:t xml:space="preserve">64.1. </w:t>
            </w:r>
            <w:r w:rsidR="006B0618" w:rsidRPr="0053423A">
              <w:rPr>
                <w:b/>
                <w:bCs/>
                <w:lang w:val="hy-AM"/>
              </w:rPr>
              <w:t>Տավուշի և Վայոց ձորի մարզերի սահմանամերձ բնակավայրերում 4-ական քաղաքացիական պաշտպանության հենակետերի ստեղծում</w:t>
            </w:r>
          </w:p>
          <w:p w:rsidR="006B0618" w:rsidRPr="0053423A" w:rsidRDefault="006B0618" w:rsidP="00A67858">
            <w:pPr>
              <w:spacing w:line="276" w:lineRule="auto"/>
              <w:ind w:firstLine="450"/>
              <w:rPr>
                <w:rFonts w:cs="Courier New"/>
                <w:lang w:val="hy-AM"/>
              </w:rPr>
            </w:pPr>
            <w:r w:rsidRPr="0053423A">
              <w:rPr>
                <w:rFonts w:ascii="Calibri" w:hAnsi="Calibri" w:cs="Calibri"/>
                <w:lang w:val="hy-AM"/>
              </w:rPr>
              <w:t> </w:t>
            </w:r>
          </w:p>
          <w:p w:rsidR="006B0618" w:rsidRPr="0053423A" w:rsidRDefault="006B0618" w:rsidP="00A67858">
            <w:pPr>
              <w:numPr>
                <w:ilvl w:val="0"/>
                <w:numId w:val="69"/>
              </w:numPr>
              <w:spacing w:line="276" w:lineRule="auto"/>
              <w:ind w:left="0" w:right="256" w:firstLine="450"/>
              <w:rPr>
                <w:b/>
              </w:rPr>
            </w:pPr>
            <w:r w:rsidRPr="0053423A">
              <w:rPr>
                <w:b/>
                <w:lang w:val="hy-AM"/>
              </w:rPr>
              <w:t>Միջոցառման իրակացման անհրաժեշտությունը և նպատակը</w:t>
            </w:r>
          </w:p>
          <w:p w:rsidR="006B0618" w:rsidRPr="0053423A" w:rsidRDefault="006B0618" w:rsidP="00A67858">
            <w:pPr>
              <w:pStyle w:val="ListParagraph"/>
              <w:tabs>
                <w:tab w:val="left" w:pos="1134"/>
              </w:tabs>
              <w:spacing w:line="276" w:lineRule="auto"/>
              <w:ind w:left="0" w:right="256" w:firstLine="450"/>
              <w:rPr>
                <w:lang w:val="hy-AM"/>
              </w:rPr>
            </w:pPr>
            <w:r w:rsidRPr="0053423A">
              <w:rPr>
                <w:lang w:val="hy-AM"/>
              </w:rPr>
              <w:t>Միջոցառման հիմք է հանդիսանում «Փրկարար ծառայության մասին» ՀՀ օրենքի 6-րդ հոդվածի ը) և 5-րդ հոդվածի 3) ենթակետերը և «Պաշտպանության մասին» ՀՀ օրենքի 5-րդ հոդվածի 4) ենթակետը: Նախատեսվում է 2021-2023 թվականների ընթացքում Տավուշի մարզի քաղա</w:t>
            </w:r>
            <w:r w:rsidRPr="0053423A">
              <w:rPr>
                <w:lang w:val="hy-AM"/>
              </w:rPr>
              <w:softHyphen/>
              <w:t>քացիական պաշտպանության 10 հենակետերի կարողությունների զարգացում, ինչպես նաև Տավուշի մարզում 6 և Վայոց ձորի մարզում 4 քաղաքացիական պաշտ</w:t>
            </w:r>
            <w:r w:rsidRPr="0053423A">
              <w:rPr>
                <w:lang w:val="hy-AM"/>
              </w:rPr>
              <w:softHyphen/>
              <w:t>պա</w:t>
            </w:r>
            <w:r w:rsidRPr="0053423A">
              <w:rPr>
                <w:lang w:val="hy-AM"/>
              </w:rPr>
              <w:softHyphen/>
              <w:t>նության հենակետերի ստեղծում:</w:t>
            </w:r>
          </w:p>
          <w:p w:rsidR="006B0618" w:rsidRPr="0053423A" w:rsidRDefault="006B0618" w:rsidP="00A67858">
            <w:pPr>
              <w:spacing w:line="276" w:lineRule="auto"/>
              <w:ind w:right="256" w:firstLine="450"/>
              <w:rPr>
                <w:lang w:val="hy-AM"/>
              </w:rPr>
            </w:pPr>
            <w:r w:rsidRPr="0053423A">
              <w:rPr>
                <w:lang w:val="hy-AM"/>
              </w:rPr>
              <w:t>Քաղաքացիական պաշտպանության ուժերի հավաքական կենտրոնի նշված հենակետերը ստեղծվում են հետևյալ գործառույթների իրականացման նպատակով՝</w:t>
            </w:r>
          </w:p>
          <w:p w:rsidR="006B0618" w:rsidRPr="0053423A" w:rsidRDefault="006B0618" w:rsidP="00A67858">
            <w:pPr>
              <w:numPr>
                <w:ilvl w:val="0"/>
                <w:numId w:val="70"/>
              </w:numPr>
              <w:tabs>
                <w:tab w:val="left" w:pos="180"/>
                <w:tab w:val="left" w:pos="990"/>
              </w:tabs>
              <w:spacing w:line="276" w:lineRule="auto"/>
              <w:ind w:left="0" w:right="256" w:firstLine="450"/>
              <w:jc w:val="both"/>
              <w:rPr>
                <w:lang w:val="hy-AM"/>
              </w:rPr>
            </w:pPr>
            <w:r w:rsidRPr="0053423A">
              <w:rPr>
                <w:lang w:val="hy-AM"/>
              </w:rPr>
              <w:t xml:space="preserve"> քաղաքացիական պաշտպանության հետախուզության անցկացում՝ քաղաքացիական պաշտպանության ղեկավար կազմի կողմից հիմնավորված որոշումներ ընդունելու համար.</w:t>
            </w:r>
          </w:p>
          <w:p w:rsidR="006B0618" w:rsidRPr="0053423A" w:rsidRDefault="006B0618" w:rsidP="00A67858">
            <w:pPr>
              <w:numPr>
                <w:ilvl w:val="0"/>
                <w:numId w:val="70"/>
              </w:numPr>
              <w:tabs>
                <w:tab w:val="left" w:pos="180"/>
                <w:tab w:val="left" w:pos="1080"/>
              </w:tabs>
              <w:spacing w:line="276" w:lineRule="auto"/>
              <w:ind w:left="0" w:right="256" w:firstLine="450"/>
              <w:jc w:val="both"/>
              <w:rPr>
                <w:lang w:val="hy-AM"/>
              </w:rPr>
            </w:pPr>
            <w:r w:rsidRPr="0053423A">
              <w:rPr>
                <w:lang w:val="hy-AM"/>
              </w:rPr>
              <w:t>բնակչության, քաղաքացիական պաշտպանության ուժերի լրիվ սանիտարական մշակում, վարակված հագուստի և կոշիկների վարակազերծում.</w:t>
            </w:r>
          </w:p>
          <w:p w:rsidR="006B0618" w:rsidRPr="0053423A" w:rsidRDefault="006B0618" w:rsidP="00A67858">
            <w:pPr>
              <w:numPr>
                <w:ilvl w:val="0"/>
                <w:numId w:val="70"/>
              </w:numPr>
              <w:tabs>
                <w:tab w:val="left" w:pos="180"/>
                <w:tab w:val="left" w:pos="1080"/>
              </w:tabs>
              <w:spacing w:line="276" w:lineRule="auto"/>
              <w:ind w:left="0" w:right="256" w:firstLine="450"/>
              <w:jc w:val="both"/>
              <w:rPr>
                <w:lang w:val="hy-AM"/>
              </w:rPr>
            </w:pPr>
            <w:r w:rsidRPr="0053423A">
              <w:rPr>
                <w:lang w:val="hy-AM"/>
              </w:rPr>
              <w:t xml:space="preserve"> ճառագայթային և քիմիական վարակված տեխնիկայի հատուկ մշակման անցկացում.</w:t>
            </w:r>
          </w:p>
          <w:p w:rsidR="006B0618" w:rsidRPr="0053423A" w:rsidRDefault="006B0618" w:rsidP="00A67858">
            <w:pPr>
              <w:numPr>
                <w:ilvl w:val="0"/>
                <w:numId w:val="70"/>
              </w:numPr>
              <w:tabs>
                <w:tab w:val="left" w:pos="180"/>
                <w:tab w:val="left" w:pos="540"/>
                <w:tab w:val="left" w:pos="1080"/>
              </w:tabs>
              <w:spacing w:line="276" w:lineRule="auto"/>
              <w:ind w:left="0" w:right="256" w:firstLine="450"/>
              <w:jc w:val="both"/>
              <w:rPr>
                <w:lang w:val="hy-AM"/>
              </w:rPr>
            </w:pPr>
            <w:r w:rsidRPr="0053423A">
              <w:rPr>
                <w:lang w:val="hy-AM"/>
              </w:rPr>
              <w:t xml:space="preserve"> բնակչության (այդ թվում պատսպարված) և քաղաքացիական պաշտպանության ուժերի անձնակազմի դոզիմետրիկ հսկողության իրականացում.</w:t>
            </w:r>
          </w:p>
          <w:p w:rsidR="006B0618" w:rsidRPr="0053423A" w:rsidRDefault="006B0618" w:rsidP="00A67858">
            <w:pPr>
              <w:numPr>
                <w:ilvl w:val="0"/>
                <w:numId w:val="70"/>
              </w:numPr>
              <w:tabs>
                <w:tab w:val="left" w:pos="180"/>
                <w:tab w:val="left" w:pos="1080"/>
              </w:tabs>
              <w:spacing w:line="276" w:lineRule="auto"/>
              <w:ind w:left="0" w:right="256" w:firstLine="450"/>
              <w:jc w:val="both"/>
              <w:rPr>
                <w:lang w:val="hy-AM"/>
              </w:rPr>
            </w:pPr>
            <w:r w:rsidRPr="0053423A">
              <w:rPr>
                <w:lang w:val="hy-AM"/>
              </w:rPr>
              <w:t xml:space="preserve"> ականապատ տարածքների հայտնաբերում, արգելանշանների տեղադրում (ականազերծման միջոցառումների իրականացում) և տարածքի հսկողության կազմակերպում.</w:t>
            </w:r>
          </w:p>
          <w:p w:rsidR="006B0618" w:rsidRPr="0053423A" w:rsidRDefault="006B0618" w:rsidP="00A67858">
            <w:pPr>
              <w:numPr>
                <w:ilvl w:val="0"/>
                <w:numId w:val="70"/>
              </w:numPr>
              <w:tabs>
                <w:tab w:val="left" w:pos="90"/>
                <w:tab w:val="left" w:pos="270"/>
              </w:tabs>
              <w:spacing w:line="276" w:lineRule="auto"/>
              <w:ind w:left="0" w:right="256" w:firstLine="450"/>
              <w:jc w:val="both"/>
              <w:rPr>
                <w:lang w:val="hy-AM"/>
              </w:rPr>
            </w:pPr>
            <w:r w:rsidRPr="0053423A">
              <w:rPr>
                <w:lang w:val="hy-AM"/>
              </w:rPr>
              <w:t>ջրաղբյուների հայտնաբերում, ջրհանման և մաքրման, հորատման աշխատանքների կատարում.</w:t>
            </w:r>
          </w:p>
          <w:p w:rsidR="006B0618" w:rsidRPr="0053423A" w:rsidRDefault="006B0618" w:rsidP="00A67858">
            <w:pPr>
              <w:numPr>
                <w:ilvl w:val="0"/>
                <w:numId w:val="70"/>
              </w:numPr>
              <w:tabs>
                <w:tab w:val="left" w:pos="90"/>
                <w:tab w:val="left" w:pos="270"/>
              </w:tabs>
              <w:spacing w:line="276" w:lineRule="auto"/>
              <w:ind w:left="0" w:right="256" w:firstLine="450"/>
              <w:jc w:val="both"/>
              <w:rPr>
                <w:lang w:val="hy-AM"/>
              </w:rPr>
            </w:pPr>
            <w:r w:rsidRPr="0053423A">
              <w:rPr>
                <w:lang w:val="hy-AM"/>
              </w:rPr>
              <w:t>ավերված, խարխլված և այրվող շինություններից, փլատակներից տուժածների որոնում, հայտնաբերում, հանման և տեղափոխման կազմակերպում ու իրականացում.</w:t>
            </w:r>
          </w:p>
          <w:p w:rsidR="006B0618" w:rsidRPr="0053423A" w:rsidRDefault="006B0618" w:rsidP="00A67858">
            <w:pPr>
              <w:numPr>
                <w:ilvl w:val="0"/>
                <w:numId w:val="70"/>
              </w:numPr>
              <w:tabs>
                <w:tab w:val="left" w:pos="90"/>
                <w:tab w:val="left" w:pos="270"/>
              </w:tabs>
              <w:spacing w:line="276" w:lineRule="auto"/>
              <w:ind w:left="0" w:right="256" w:firstLine="450"/>
              <w:jc w:val="both"/>
              <w:rPr>
                <w:lang w:val="hy-AM"/>
              </w:rPr>
            </w:pPr>
            <w:r w:rsidRPr="0053423A">
              <w:rPr>
                <w:lang w:val="hy-AM"/>
              </w:rPr>
              <w:t>վթարների և խոցման օջախներում տուժածներին առաջին բժշկական օգնության ցուցաբերում.</w:t>
            </w:r>
          </w:p>
          <w:p w:rsidR="006B0618" w:rsidRPr="0053423A" w:rsidRDefault="006B0618" w:rsidP="00A67858">
            <w:pPr>
              <w:numPr>
                <w:ilvl w:val="0"/>
                <w:numId w:val="70"/>
              </w:numPr>
              <w:tabs>
                <w:tab w:val="left" w:pos="90"/>
                <w:tab w:val="left" w:pos="270"/>
              </w:tabs>
              <w:spacing w:line="276" w:lineRule="auto"/>
              <w:ind w:left="0" w:right="256" w:firstLine="450"/>
              <w:jc w:val="both"/>
              <w:rPr>
                <w:lang w:val="hy-AM"/>
              </w:rPr>
            </w:pPr>
            <w:r w:rsidRPr="0053423A">
              <w:rPr>
                <w:lang w:val="hy-AM"/>
              </w:rPr>
              <w:t>բնակչության տարահանման միջոցառումների աջակցում, այդ թվում` ճառագայթային աղտոտման և քիմիական ու կենսաբանական վարակված գոտիներից.</w:t>
            </w:r>
          </w:p>
          <w:p w:rsidR="006B0618" w:rsidRPr="0053423A" w:rsidRDefault="006B0618" w:rsidP="00A67858">
            <w:pPr>
              <w:numPr>
                <w:ilvl w:val="0"/>
                <w:numId w:val="70"/>
              </w:numPr>
              <w:tabs>
                <w:tab w:val="left" w:pos="90"/>
                <w:tab w:val="left" w:pos="270"/>
              </w:tabs>
              <w:spacing w:line="276" w:lineRule="auto"/>
              <w:ind w:left="0" w:right="256" w:firstLine="450"/>
              <w:jc w:val="both"/>
              <w:rPr>
                <w:lang w:val="hy-AM"/>
              </w:rPr>
            </w:pPr>
            <w:r w:rsidRPr="0053423A">
              <w:rPr>
                <w:lang w:val="hy-AM"/>
              </w:rPr>
              <w:t xml:space="preserve"> պարեկապահակային ծառայության կազմակերպում ու իրականացում.</w:t>
            </w:r>
          </w:p>
          <w:p w:rsidR="006B0618" w:rsidRPr="0053423A" w:rsidRDefault="006B0618" w:rsidP="00A67858">
            <w:pPr>
              <w:numPr>
                <w:ilvl w:val="0"/>
                <w:numId w:val="70"/>
              </w:numPr>
              <w:tabs>
                <w:tab w:val="left" w:pos="90"/>
                <w:tab w:val="left" w:pos="270"/>
                <w:tab w:val="left" w:pos="810"/>
              </w:tabs>
              <w:spacing w:line="276" w:lineRule="auto"/>
              <w:ind w:left="0" w:right="256" w:firstLine="450"/>
              <w:jc w:val="both"/>
              <w:rPr>
                <w:lang w:val="hy-AM"/>
              </w:rPr>
            </w:pPr>
            <w:r w:rsidRPr="0053423A">
              <w:rPr>
                <w:lang w:val="hy-AM"/>
              </w:rPr>
              <w:t>Մասնակցություն՝ ՀՀ Զինված ուժերի զորամասերի հետ հակառակորդի կողմից ներթափանցած հետախուզական խմբերի հայտնաբերման, շրջափակման և վնասազերծման գործողություններին.</w:t>
            </w:r>
          </w:p>
          <w:p w:rsidR="006B0618" w:rsidRPr="0053423A" w:rsidRDefault="006B0618" w:rsidP="00A67858">
            <w:pPr>
              <w:pStyle w:val="ListParagraph"/>
              <w:numPr>
                <w:ilvl w:val="0"/>
                <w:numId w:val="70"/>
              </w:numPr>
              <w:tabs>
                <w:tab w:val="left" w:pos="90"/>
                <w:tab w:val="left" w:pos="270"/>
              </w:tabs>
              <w:spacing w:line="276" w:lineRule="auto"/>
              <w:ind w:left="0" w:right="256" w:firstLine="450"/>
              <w:jc w:val="both"/>
              <w:rPr>
                <w:lang w:val="hy-AM"/>
              </w:rPr>
            </w:pPr>
            <w:r w:rsidRPr="0053423A">
              <w:rPr>
                <w:lang w:val="hy-AM"/>
              </w:rPr>
              <w:t xml:space="preserve"> պաշտպանիչ մատույցների և դիրքերի կառուցման աշխատանքների կատարում:</w:t>
            </w:r>
          </w:p>
          <w:p w:rsidR="006B0618" w:rsidRPr="0053423A" w:rsidRDefault="006B0618" w:rsidP="00A67858">
            <w:pPr>
              <w:pStyle w:val="ListParagraph"/>
              <w:tabs>
                <w:tab w:val="left" w:pos="180"/>
                <w:tab w:val="left" w:pos="540"/>
              </w:tabs>
              <w:spacing w:line="276" w:lineRule="auto"/>
              <w:ind w:left="0" w:right="256" w:firstLine="450"/>
              <w:rPr>
                <w:lang w:val="hy-AM"/>
              </w:rPr>
            </w:pPr>
          </w:p>
          <w:p w:rsidR="006B0618" w:rsidRPr="0053423A" w:rsidRDefault="006B0618" w:rsidP="00A67858">
            <w:pPr>
              <w:numPr>
                <w:ilvl w:val="1"/>
                <w:numId w:val="71"/>
              </w:numPr>
              <w:spacing w:line="276" w:lineRule="auto"/>
              <w:ind w:left="0" w:right="256" w:firstLine="450"/>
              <w:rPr>
                <w:b/>
                <w:lang w:val="hy-AM"/>
              </w:rPr>
            </w:pPr>
            <w:r w:rsidRPr="0053423A">
              <w:rPr>
                <w:b/>
                <w:lang w:val="hy-AM"/>
              </w:rPr>
              <w:t xml:space="preserve"> Կարգավորման հարաբերությունների ներկա վիճակը և առկա խնդիրները</w:t>
            </w:r>
          </w:p>
          <w:p w:rsidR="006B0618" w:rsidRPr="0053423A" w:rsidRDefault="006B0618" w:rsidP="00A67858">
            <w:pPr>
              <w:spacing w:line="276" w:lineRule="auto"/>
              <w:ind w:right="256" w:firstLine="450"/>
              <w:rPr>
                <w:lang w:val="hy-AM"/>
              </w:rPr>
            </w:pPr>
            <w:r w:rsidRPr="0053423A">
              <w:rPr>
                <w:lang w:val="hy-AM"/>
              </w:rPr>
              <w:t xml:space="preserve">Ներկայումս՝  ԱԻՆ ՓԾ ՔՊ վարչության քաղաքացիական պաշտպանության ուժերի հավաքական կենտրոնի բազայի վրա ստեղված են 2 ջոկատների 12 հենակետեր (Տավուշի ջոկատ՝ Ազատամուտ, Չինարի, Ն.Կամիրաղբյուր, Այգեպար, Մովսես, Պառավաքար, Չորաթան, Նոյեմբերյանի ջոկատ՝ Ոսկեվան, Սարիգյուղ, Բերդավան, Կոթի, Դովեղ): </w:t>
            </w:r>
          </w:p>
          <w:p w:rsidR="006B0618" w:rsidRPr="0053423A" w:rsidRDefault="006B0618" w:rsidP="00A67858">
            <w:pPr>
              <w:tabs>
                <w:tab w:val="left" w:pos="375"/>
              </w:tabs>
              <w:spacing w:line="276" w:lineRule="auto"/>
              <w:ind w:right="256" w:firstLine="450"/>
              <w:rPr>
                <w:lang w:val="hy-AM"/>
              </w:rPr>
            </w:pPr>
            <w:r w:rsidRPr="0053423A">
              <w:rPr>
                <w:lang w:val="hy-AM"/>
              </w:rPr>
              <w:t>2019 թվականի ընթացքում, նախատեսվում է  Տավուշի մարզում ստեղծել ևս 4 քաղաքացիական պաշտպանության հենակետեր` Վազաշեն, Ոսկեպար, Կիրանց, Բերքաբեր բնակավայրերում (յուրաքանչյուրը` 25 հաստիք), Վայոց ձորի մարզում` Չիվա, Խաչիկ, Բարձրունի և Խնձորուտ բնակավայրերում (յուրաքանչյուրը` 17 հաստիք):</w:t>
            </w:r>
          </w:p>
          <w:p w:rsidR="006B0618" w:rsidRPr="0053423A" w:rsidRDefault="006B0618" w:rsidP="00A67858">
            <w:pPr>
              <w:numPr>
                <w:ilvl w:val="1"/>
                <w:numId w:val="71"/>
              </w:numPr>
              <w:spacing w:line="276" w:lineRule="auto"/>
              <w:ind w:left="0" w:right="256" w:firstLine="450"/>
              <w:rPr>
                <w:b/>
                <w:lang w:val="hy-AM"/>
              </w:rPr>
            </w:pPr>
            <w:r w:rsidRPr="0053423A">
              <w:rPr>
                <w:b/>
                <w:lang w:val="hy-AM"/>
              </w:rPr>
              <w:t xml:space="preserve"> Առկա խնդիրների առաջարկվող լուծումները</w:t>
            </w:r>
          </w:p>
          <w:p w:rsidR="006B0618" w:rsidRPr="0053423A" w:rsidRDefault="006B0618" w:rsidP="00A67858">
            <w:pPr>
              <w:pStyle w:val="ListParagraph"/>
              <w:spacing w:line="276" w:lineRule="auto"/>
              <w:ind w:left="0" w:right="256" w:firstLine="450"/>
              <w:rPr>
                <w:lang w:val="hy-AM"/>
              </w:rPr>
            </w:pPr>
            <w:r w:rsidRPr="0053423A">
              <w:rPr>
                <w:lang w:val="hy-AM"/>
              </w:rPr>
              <w:t>Տավուշի մարզում գործող 12 հենակետերի պատասխանատվության տակ գտնվող բնակավայրերում և  օբյեկտներում (կամուրջներ, ջրամբարներ, կապտաժներ) առաջարվում է նախատեսել տեսահսկման տեխնիկական միջոցներ (նախնական հաշվարկով 1 հենակետի համար կպահանջվի մոտ 1,5 մլն.  դրամ): Հենակետերում տեխնիկական միջոցներ տեղադրելու դեպքում կառաջանա հնարավորություն նշված հենակետերում ծառայությունը կազմակերպել 21 հաստիքներով` 25-ի փոխարեն:</w:t>
            </w:r>
          </w:p>
          <w:p w:rsidR="006B0618" w:rsidRPr="0053423A" w:rsidRDefault="006B0618" w:rsidP="00A67858">
            <w:pPr>
              <w:pStyle w:val="ListParagraph"/>
              <w:spacing w:line="276" w:lineRule="auto"/>
              <w:ind w:left="0" w:right="256" w:firstLine="450"/>
              <w:rPr>
                <w:lang w:val="hy-AM"/>
              </w:rPr>
            </w:pPr>
            <w:r w:rsidRPr="0053423A">
              <w:rPr>
                <w:lang w:val="hy-AM"/>
              </w:rPr>
              <w:t>Նախատեսվում է քաղաքացիական պաշտպանության հենակետերը ստեղծել Արտակարգ իրավիճակների նախարարությանը  համապատասխան քանակությամբ հաստիքների տրամադրման դեպքում: Հաշվարկներում ներառված չեն նախատեսվող թվով 248 փրկարար ծառայողների հաստիքները, սպասարկման և պահպանման ծախսերը, սպառազինության, հանդերձանքի, շենք-շինությունների պահպանման ծախսերը՝ ընդհանուր առմամբ 850 մլն դրամ:</w:t>
            </w:r>
          </w:p>
          <w:p w:rsidR="006B0618" w:rsidRPr="0053423A" w:rsidRDefault="006B0618" w:rsidP="00A67858">
            <w:pPr>
              <w:pStyle w:val="ListParagraph"/>
              <w:spacing w:line="276" w:lineRule="auto"/>
              <w:ind w:left="0" w:right="256" w:firstLine="450"/>
              <w:rPr>
                <w:lang w:val="hy-AM"/>
              </w:rPr>
            </w:pPr>
            <w:r w:rsidRPr="0053423A">
              <w:rPr>
                <w:lang w:val="hy-AM"/>
              </w:rPr>
              <w:t xml:space="preserve">Ընդհանուր առմամբ ՔՊ ուժերի հավաքական կենտրոնում 8 հենակետերի ստեղծման և 3 հենակետերի համալրման նպատակով անհրաժեշտ են 221 հաստիքներ: Տեսահսկման տեխնիկական միջոցների տեղադրման դեպքում 8 հենակետերի ստեղծումը և 3 հենակետերի համալրումը հնարավոր կլինի իրականացնել 147 հաստիքներով:  </w:t>
            </w:r>
          </w:p>
          <w:p w:rsidR="006B0618" w:rsidRPr="0053423A" w:rsidRDefault="006B0618" w:rsidP="00A67858">
            <w:pPr>
              <w:pStyle w:val="ListParagraph"/>
              <w:spacing w:line="276" w:lineRule="auto"/>
              <w:ind w:left="0" w:right="256" w:firstLine="450"/>
              <w:rPr>
                <w:lang w:val="hy-AM"/>
              </w:rPr>
            </w:pPr>
            <w:r w:rsidRPr="0053423A">
              <w:rPr>
                <w:lang w:val="hy-AM"/>
              </w:rPr>
              <w:t>Տարածքային կառավարման և զարգացման նախարարությունը, Տավուշի և Վայոց ձորի մարզպետարանները, համայնքապետարանները իրենց լիազորությունների շրջանակներում պետք է աջակցություն ցուցաբերեն միջոցառումների իրականացմանը: Մասնավորապես՝ ստեղծեն   իրենց մարզերում, համայնքներում քաղաքացիական պաշտպանության ուժեր, իրականացնեն համայնքի բնակչության, նյութական և մշակութային արժեքների տարահանումը, բնակչության պատսպարումը և անհատական</w:t>
            </w:r>
            <w:r w:rsidRPr="0053423A">
              <w:rPr>
                <w:rFonts w:ascii="Calibri" w:hAnsi="Calibri" w:cs="Calibri"/>
                <w:lang w:val="hy-AM"/>
              </w:rPr>
              <w:t> </w:t>
            </w:r>
            <w:r w:rsidRPr="0053423A">
              <w:rPr>
                <w:lang w:val="hy-AM"/>
              </w:rPr>
              <w:t>պաշտպանության</w:t>
            </w:r>
            <w:r w:rsidRPr="0053423A">
              <w:rPr>
                <w:rFonts w:ascii="Calibri" w:hAnsi="Calibri" w:cs="Calibri"/>
                <w:lang w:val="hy-AM"/>
              </w:rPr>
              <w:t> </w:t>
            </w:r>
            <w:r w:rsidRPr="0053423A">
              <w:rPr>
                <w:lang w:val="hy-AM"/>
              </w:rPr>
              <w:t>միջոցներով ապահովումը, ռազմավարական նշանակության օբյեկտների և ենթակառուցվածքների անվտանգություն ապահովումը::</w:t>
            </w:r>
          </w:p>
          <w:p w:rsidR="006B0618" w:rsidRPr="0053423A" w:rsidRDefault="006B0618" w:rsidP="00A67858">
            <w:pPr>
              <w:spacing w:line="276" w:lineRule="auto"/>
              <w:ind w:right="256" w:firstLine="450"/>
              <w:rPr>
                <w:lang w:val="hy-AM"/>
              </w:rPr>
            </w:pPr>
            <w:r w:rsidRPr="0053423A">
              <w:rPr>
                <w:b/>
                <w:lang w:val="hy-AM"/>
              </w:rPr>
              <w:t>2.</w:t>
            </w:r>
            <w:r w:rsidRPr="0053423A">
              <w:rPr>
                <w:lang w:val="hy-AM"/>
              </w:rPr>
              <w:t xml:space="preserve"> </w:t>
            </w:r>
            <w:r w:rsidRPr="0053423A">
              <w:rPr>
                <w:b/>
                <w:lang w:val="hy-AM"/>
              </w:rPr>
              <w:t>Միջոցառման իրականացումից ակնկալվող արդյունքը</w:t>
            </w:r>
          </w:p>
          <w:p w:rsidR="006B0618" w:rsidRPr="0053423A" w:rsidRDefault="006B0618" w:rsidP="00A67858">
            <w:pPr>
              <w:spacing w:line="276" w:lineRule="auto"/>
              <w:ind w:right="256" w:firstLine="450"/>
              <w:rPr>
                <w:lang w:val="hy-AM"/>
              </w:rPr>
            </w:pPr>
            <w:r w:rsidRPr="0053423A">
              <w:rPr>
                <w:lang w:val="hy-AM"/>
              </w:rPr>
              <w:t>Սահմանամերձ բնակավայրերում քաղաքացիական պաշտպանության հենակետերի ստեղծումը հնարավորություն կտա ապահովել նշված բնակավայրերի բնակչության, կարևորագույն օբյեկտների և ենթակառուցվածքների պաշտպանությունը, սահմանամերձ համայնքներում փրկարարական և հրդեհաշիջման աշխատանքների իրականացումը:</w:t>
            </w:r>
          </w:p>
          <w:p w:rsidR="006B0618" w:rsidRPr="0053423A" w:rsidRDefault="006B0618" w:rsidP="00A67858">
            <w:pPr>
              <w:spacing w:line="276" w:lineRule="auto"/>
              <w:ind w:right="256" w:firstLine="450"/>
              <w:rPr>
                <w:lang w:val="it-IT"/>
              </w:rPr>
            </w:pPr>
            <w:r w:rsidRPr="0053423A">
              <w:rPr>
                <w:lang w:val="hy-AM"/>
              </w:rPr>
              <w:t xml:space="preserve">   Միջոցառումը նախատեսվում է իրականացնել 2021-2023 թվականների ընթացքում՝ անհրաժեշտ ֆինանսական միջոցները ներառելով ՀՀ 2020-2022 թվականների պետական միջնաժամկետ ծախսերի ծրագրում ըստ յուրաքանչյուր տարվա նախահաշվի: Ստույգ հաշվարկները կներկայացվեն համապատասխան հայտերով՝ ֆինանսական միջոցների առկայության դեպքում:</w:t>
            </w:r>
          </w:p>
        </w:tc>
      </w:tr>
      <w:tr w:rsidR="006B0618" w:rsidRPr="00DE2EFA" w:rsidTr="001F6D5D">
        <w:tc>
          <w:tcPr>
            <w:tcW w:w="691" w:type="dxa"/>
          </w:tcPr>
          <w:p w:rsidR="006B0618" w:rsidRPr="0053423A" w:rsidRDefault="001F6D5D" w:rsidP="00A67858">
            <w:pPr>
              <w:spacing w:line="276" w:lineRule="auto"/>
              <w:rPr>
                <w:lang w:val="hy-AM"/>
              </w:rPr>
            </w:pPr>
            <w:r>
              <w:rPr>
                <w:lang w:val="hy-AM"/>
              </w:rPr>
              <w:t>65</w:t>
            </w:r>
          </w:p>
        </w:tc>
        <w:tc>
          <w:tcPr>
            <w:tcW w:w="10649" w:type="dxa"/>
          </w:tcPr>
          <w:p w:rsidR="006B0618" w:rsidRPr="0053423A" w:rsidRDefault="00615BBB" w:rsidP="00A67858">
            <w:pPr>
              <w:spacing w:line="276" w:lineRule="auto"/>
              <w:ind w:right="256" w:firstLine="450"/>
              <w:jc w:val="center"/>
              <w:rPr>
                <w:b/>
                <w:i/>
                <w:lang w:val="it-IT"/>
              </w:rPr>
            </w:pPr>
            <w:r>
              <w:rPr>
                <w:b/>
                <w:i/>
                <w:lang w:val="hy-AM"/>
              </w:rPr>
              <w:t xml:space="preserve">65.1. </w:t>
            </w:r>
            <w:r w:rsidR="006B0618" w:rsidRPr="0053423A">
              <w:rPr>
                <w:b/>
                <w:i/>
                <w:lang w:val="it-IT"/>
              </w:rPr>
              <w:t xml:space="preserve">ԱԻՆ </w:t>
            </w:r>
            <w:r w:rsidR="006B0618" w:rsidRPr="0053423A">
              <w:rPr>
                <w:b/>
                <w:i/>
                <w:lang w:val="hy-AM"/>
              </w:rPr>
              <w:t>Պահեստային</w:t>
            </w:r>
            <w:r w:rsidR="006B0618" w:rsidRPr="0053423A">
              <w:rPr>
                <w:b/>
                <w:i/>
                <w:lang w:val="it-IT"/>
              </w:rPr>
              <w:t xml:space="preserve"> </w:t>
            </w:r>
            <w:r w:rsidR="006B0618" w:rsidRPr="0053423A">
              <w:rPr>
                <w:b/>
                <w:i/>
                <w:lang w:val="hy-AM"/>
              </w:rPr>
              <w:t>կառավարման</w:t>
            </w:r>
            <w:r w:rsidR="006B0618" w:rsidRPr="0053423A">
              <w:rPr>
                <w:b/>
                <w:i/>
                <w:lang w:val="it-IT"/>
              </w:rPr>
              <w:t xml:space="preserve"> </w:t>
            </w:r>
            <w:r w:rsidR="006B0618" w:rsidRPr="0053423A">
              <w:rPr>
                <w:b/>
                <w:i/>
                <w:lang w:val="hy-AM"/>
              </w:rPr>
              <w:t>կետի</w:t>
            </w:r>
            <w:r w:rsidR="006B0618" w:rsidRPr="0053423A">
              <w:rPr>
                <w:b/>
                <w:i/>
                <w:lang w:val="it-IT"/>
              </w:rPr>
              <w:t xml:space="preserve"> </w:t>
            </w:r>
            <w:r w:rsidR="006B0618" w:rsidRPr="0053423A">
              <w:rPr>
                <w:b/>
                <w:i/>
                <w:lang w:val="hy-AM"/>
              </w:rPr>
              <w:t>վերանորոգում</w:t>
            </w:r>
            <w:r w:rsidR="006B0618" w:rsidRPr="0053423A">
              <w:rPr>
                <w:b/>
                <w:i/>
                <w:lang w:val="it-IT"/>
              </w:rPr>
              <w:t xml:space="preserve"> </w:t>
            </w:r>
            <w:r w:rsidR="006B0618" w:rsidRPr="0053423A">
              <w:rPr>
                <w:b/>
                <w:i/>
                <w:lang w:val="hy-AM"/>
              </w:rPr>
              <w:t>և</w:t>
            </w:r>
            <w:r w:rsidR="006B0618" w:rsidRPr="0053423A">
              <w:rPr>
                <w:b/>
                <w:i/>
                <w:lang w:val="it-IT"/>
              </w:rPr>
              <w:t xml:space="preserve"> </w:t>
            </w:r>
            <w:r w:rsidR="006B0618" w:rsidRPr="0053423A">
              <w:rPr>
                <w:b/>
                <w:i/>
                <w:lang w:val="hy-AM"/>
              </w:rPr>
              <w:t>կահավորում</w:t>
            </w:r>
          </w:p>
          <w:p w:rsidR="006B0618" w:rsidRPr="0053423A" w:rsidRDefault="006B0618" w:rsidP="00A67858">
            <w:pPr>
              <w:spacing w:line="276" w:lineRule="auto"/>
              <w:ind w:right="256" w:firstLine="450"/>
              <w:rPr>
                <w:b/>
                <w:lang w:val="it-IT"/>
              </w:rPr>
            </w:pPr>
            <w:r w:rsidRPr="0053423A">
              <w:rPr>
                <w:b/>
                <w:lang w:val="it-IT"/>
              </w:rPr>
              <w:t xml:space="preserve">1. </w:t>
            </w:r>
            <w:r w:rsidRPr="0053423A">
              <w:rPr>
                <w:b/>
                <w:lang w:val="hy-AM"/>
              </w:rPr>
              <w:t>Միջոցառման իրակացման անհրաժեշտությունը և նպատակը</w:t>
            </w:r>
          </w:p>
          <w:p w:rsidR="006B0618" w:rsidRPr="0053423A" w:rsidRDefault="006B0618" w:rsidP="00A67858">
            <w:pPr>
              <w:spacing w:line="276" w:lineRule="auto"/>
              <w:ind w:right="256" w:firstLine="450"/>
              <w:rPr>
                <w:lang w:val="it-IT"/>
              </w:rPr>
            </w:pPr>
            <w:r w:rsidRPr="0053423A">
              <w:rPr>
                <w:lang w:val="it-IT"/>
              </w:rPr>
              <w:t>«</w:t>
            </w:r>
            <w:r w:rsidRPr="00615BBB">
              <w:rPr>
                <w:lang w:val="hy-AM"/>
              </w:rPr>
              <w:t>Քաղաքացիական</w:t>
            </w:r>
            <w:r w:rsidRPr="0053423A">
              <w:rPr>
                <w:lang w:val="it-IT"/>
              </w:rPr>
              <w:t xml:space="preserve"> </w:t>
            </w:r>
            <w:r w:rsidRPr="00615BBB">
              <w:rPr>
                <w:lang w:val="hy-AM"/>
              </w:rPr>
              <w:t>պաշտպանության</w:t>
            </w:r>
            <w:r w:rsidRPr="0053423A">
              <w:rPr>
                <w:lang w:val="it-IT"/>
              </w:rPr>
              <w:t xml:space="preserve"> </w:t>
            </w:r>
            <w:r w:rsidRPr="00615BBB">
              <w:rPr>
                <w:lang w:val="hy-AM"/>
              </w:rPr>
              <w:t>մասին</w:t>
            </w:r>
            <w:r w:rsidRPr="0053423A">
              <w:rPr>
                <w:lang w:val="it-IT"/>
              </w:rPr>
              <w:t xml:space="preserve">» </w:t>
            </w:r>
            <w:r w:rsidRPr="00615BBB">
              <w:rPr>
                <w:lang w:val="hy-AM"/>
              </w:rPr>
              <w:t>ՀՀ</w:t>
            </w:r>
            <w:r w:rsidRPr="0053423A">
              <w:rPr>
                <w:lang w:val="it-IT"/>
              </w:rPr>
              <w:t xml:space="preserve"> </w:t>
            </w:r>
            <w:r w:rsidRPr="00615BBB">
              <w:rPr>
                <w:lang w:val="hy-AM"/>
              </w:rPr>
              <w:t>օրենքի</w:t>
            </w:r>
            <w:r w:rsidRPr="0053423A">
              <w:rPr>
                <w:lang w:val="it-IT"/>
              </w:rPr>
              <w:t xml:space="preserve"> 7-</w:t>
            </w:r>
            <w:r w:rsidRPr="00615BBB">
              <w:rPr>
                <w:lang w:val="hy-AM"/>
              </w:rPr>
              <w:t>րդ</w:t>
            </w:r>
            <w:r w:rsidRPr="0053423A">
              <w:rPr>
                <w:lang w:val="it-IT"/>
              </w:rPr>
              <w:t xml:space="preserve"> </w:t>
            </w:r>
            <w:r w:rsidRPr="00615BBB">
              <w:rPr>
                <w:lang w:val="hy-AM"/>
              </w:rPr>
              <w:t>հոդվածի</w:t>
            </w:r>
            <w:r w:rsidRPr="0053423A">
              <w:rPr>
                <w:lang w:val="it-IT"/>
              </w:rPr>
              <w:t xml:space="preserve"> </w:t>
            </w:r>
            <w:r w:rsidRPr="00615BBB">
              <w:rPr>
                <w:lang w:val="hy-AM"/>
              </w:rPr>
              <w:t>դ</w:t>
            </w:r>
            <w:r w:rsidRPr="0053423A">
              <w:rPr>
                <w:lang w:val="it-IT"/>
              </w:rPr>
              <w:t xml:space="preserve">) </w:t>
            </w:r>
            <w:r w:rsidRPr="00615BBB">
              <w:rPr>
                <w:lang w:val="hy-AM"/>
              </w:rPr>
              <w:t>կետը</w:t>
            </w:r>
            <w:r w:rsidRPr="0053423A">
              <w:rPr>
                <w:lang w:val="it-IT"/>
              </w:rPr>
              <w:t xml:space="preserve"> </w:t>
            </w:r>
            <w:r w:rsidRPr="00615BBB">
              <w:rPr>
                <w:lang w:val="hy-AM"/>
              </w:rPr>
              <w:t>որպես</w:t>
            </w:r>
            <w:r w:rsidRPr="0053423A">
              <w:rPr>
                <w:lang w:val="it-IT"/>
              </w:rPr>
              <w:t xml:space="preserve"> </w:t>
            </w:r>
            <w:r w:rsidRPr="00615BBB">
              <w:rPr>
                <w:lang w:val="hy-AM"/>
              </w:rPr>
              <w:t>քաղաքացիական</w:t>
            </w:r>
            <w:r w:rsidRPr="0053423A">
              <w:rPr>
                <w:lang w:val="it-IT"/>
              </w:rPr>
              <w:t xml:space="preserve"> </w:t>
            </w:r>
            <w:r w:rsidRPr="00615BBB">
              <w:rPr>
                <w:lang w:val="hy-AM"/>
              </w:rPr>
              <w:t>պաշտպանության</w:t>
            </w:r>
            <w:r w:rsidRPr="0053423A">
              <w:rPr>
                <w:lang w:val="it-IT"/>
              </w:rPr>
              <w:t xml:space="preserve"> </w:t>
            </w:r>
            <w:r w:rsidRPr="00615BBB">
              <w:rPr>
                <w:lang w:val="hy-AM"/>
              </w:rPr>
              <w:t>նախապատրաստական</w:t>
            </w:r>
            <w:r w:rsidRPr="0053423A">
              <w:rPr>
                <w:lang w:val="it-IT"/>
              </w:rPr>
              <w:t xml:space="preserve"> </w:t>
            </w:r>
            <w:r w:rsidRPr="00615BBB">
              <w:rPr>
                <w:lang w:val="hy-AM"/>
              </w:rPr>
              <w:t>միջոցառում</w:t>
            </w:r>
            <w:r w:rsidRPr="0053423A">
              <w:rPr>
                <w:lang w:val="it-IT"/>
              </w:rPr>
              <w:t xml:space="preserve"> </w:t>
            </w:r>
            <w:r w:rsidRPr="00615BBB">
              <w:rPr>
                <w:lang w:val="hy-AM"/>
              </w:rPr>
              <w:t>սահմանում</w:t>
            </w:r>
            <w:r w:rsidRPr="0053423A">
              <w:rPr>
                <w:lang w:val="it-IT"/>
              </w:rPr>
              <w:t xml:space="preserve"> </w:t>
            </w:r>
            <w:r w:rsidRPr="00615BBB">
              <w:rPr>
                <w:lang w:val="hy-AM"/>
              </w:rPr>
              <w:t>է</w:t>
            </w:r>
            <w:r w:rsidRPr="0053423A">
              <w:rPr>
                <w:lang w:val="it-IT"/>
              </w:rPr>
              <w:t>. «</w:t>
            </w:r>
            <w:r w:rsidRPr="00615BBB">
              <w:rPr>
                <w:lang w:val="hy-AM"/>
              </w:rPr>
              <w:t>կառավ</w:t>
            </w:r>
            <w:r w:rsidRPr="0053423A">
              <w:t>արման</w:t>
            </w:r>
            <w:r w:rsidRPr="0053423A">
              <w:rPr>
                <w:lang w:val="it-IT"/>
              </w:rPr>
              <w:t xml:space="preserve">, </w:t>
            </w:r>
            <w:r w:rsidRPr="0053423A">
              <w:t>կապի</w:t>
            </w:r>
            <w:r w:rsidRPr="0053423A">
              <w:rPr>
                <w:lang w:val="it-IT"/>
              </w:rPr>
              <w:t xml:space="preserve"> </w:t>
            </w:r>
            <w:r w:rsidRPr="0053423A">
              <w:t>և</w:t>
            </w:r>
            <w:r w:rsidRPr="0053423A">
              <w:rPr>
                <w:lang w:val="it-IT"/>
              </w:rPr>
              <w:t xml:space="preserve"> </w:t>
            </w:r>
            <w:r w:rsidRPr="0053423A">
              <w:t>ազդարարման</w:t>
            </w:r>
            <w:r w:rsidRPr="0053423A">
              <w:rPr>
                <w:lang w:val="it-IT"/>
              </w:rPr>
              <w:t xml:space="preserve"> </w:t>
            </w:r>
            <w:r w:rsidRPr="0053423A">
              <w:t>համակարգերի</w:t>
            </w:r>
            <w:r w:rsidRPr="0053423A">
              <w:rPr>
                <w:lang w:val="it-IT"/>
              </w:rPr>
              <w:t xml:space="preserve"> </w:t>
            </w:r>
            <w:r w:rsidRPr="0053423A">
              <w:t>հիմնումը</w:t>
            </w:r>
            <w:r w:rsidRPr="0053423A">
              <w:rPr>
                <w:lang w:val="it-IT"/>
              </w:rPr>
              <w:t xml:space="preserve"> </w:t>
            </w:r>
            <w:r w:rsidRPr="0053423A">
              <w:t>և</w:t>
            </w:r>
            <w:r w:rsidRPr="0053423A">
              <w:rPr>
                <w:lang w:val="it-IT"/>
              </w:rPr>
              <w:t xml:space="preserve"> </w:t>
            </w:r>
            <w:r w:rsidRPr="0053423A">
              <w:t>դրանց</w:t>
            </w:r>
            <w:r w:rsidRPr="0053423A">
              <w:rPr>
                <w:lang w:val="it-IT"/>
              </w:rPr>
              <w:t xml:space="preserve"> </w:t>
            </w:r>
            <w:r w:rsidRPr="0053423A">
              <w:t>բնականոն</w:t>
            </w:r>
            <w:r w:rsidRPr="0053423A">
              <w:rPr>
                <w:lang w:val="it-IT"/>
              </w:rPr>
              <w:t xml:space="preserve"> </w:t>
            </w:r>
            <w:r w:rsidRPr="0053423A">
              <w:t>գործնեության</w:t>
            </w:r>
            <w:r w:rsidRPr="0053423A">
              <w:rPr>
                <w:lang w:val="it-IT"/>
              </w:rPr>
              <w:t xml:space="preserve"> </w:t>
            </w:r>
            <w:r w:rsidRPr="0053423A">
              <w:t>ապահովումը</w:t>
            </w:r>
            <w:r w:rsidRPr="0053423A">
              <w:rPr>
                <w:lang w:val="it-IT"/>
              </w:rPr>
              <w:t>»:</w:t>
            </w:r>
          </w:p>
          <w:p w:rsidR="006B0618" w:rsidRPr="0053423A" w:rsidRDefault="006B0618" w:rsidP="00A67858">
            <w:pPr>
              <w:spacing w:line="276" w:lineRule="auto"/>
              <w:ind w:right="256" w:firstLine="450"/>
              <w:rPr>
                <w:lang w:val="it-IT"/>
              </w:rPr>
            </w:pPr>
            <w:r w:rsidRPr="0053423A">
              <w:t>Քաղաքացիական</w:t>
            </w:r>
            <w:r w:rsidRPr="0053423A">
              <w:rPr>
                <w:lang w:val="it-IT"/>
              </w:rPr>
              <w:t xml:space="preserve"> </w:t>
            </w:r>
            <w:r w:rsidRPr="0053423A">
              <w:t>պաշտպանության</w:t>
            </w:r>
            <w:r w:rsidRPr="0053423A">
              <w:rPr>
                <w:lang w:val="it-IT"/>
              </w:rPr>
              <w:t xml:space="preserve"> </w:t>
            </w:r>
            <w:r w:rsidRPr="0053423A">
              <w:t>կառավարման</w:t>
            </w:r>
            <w:r w:rsidRPr="0053423A">
              <w:rPr>
                <w:lang w:val="it-IT"/>
              </w:rPr>
              <w:t xml:space="preserve"> </w:t>
            </w:r>
            <w:r w:rsidRPr="0053423A">
              <w:t>համակարգի</w:t>
            </w:r>
            <w:r w:rsidRPr="0053423A">
              <w:rPr>
                <w:lang w:val="it-IT"/>
              </w:rPr>
              <w:t xml:space="preserve"> </w:t>
            </w:r>
            <w:r w:rsidRPr="0053423A">
              <w:t>փոխկապակցված</w:t>
            </w:r>
            <w:r w:rsidRPr="0053423A">
              <w:rPr>
                <w:lang w:val="it-IT"/>
              </w:rPr>
              <w:t xml:space="preserve"> </w:t>
            </w:r>
            <w:r w:rsidRPr="0053423A">
              <w:t>ամբողջականության</w:t>
            </w:r>
            <w:r w:rsidRPr="0053423A">
              <w:rPr>
                <w:lang w:val="it-IT"/>
              </w:rPr>
              <w:t xml:space="preserve"> </w:t>
            </w:r>
            <w:r w:rsidRPr="0053423A">
              <w:t>մասն</w:t>
            </w:r>
            <w:r w:rsidRPr="0053423A">
              <w:rPr>
                <w:lang w:val="it-IT"/>
              </w:rPr>
              <w:t xml:space="preserve"> </w:t>
            </w:r>
            <w:r w:rsidRPr="0053423A">
              <w:t>են</w:t>
            </w:r>
            <w:r w:rsidRPr="0053423A">
              <w:rPr>
                <w:lang w:val="it-IT"/>
              </w:rPr>
              <w:t xml:space="preserve"> </w:t>
            </w:r>
            <w:r w:rsidRPr="0053423A">
              <w:t>կազմում</w:t>
            </w:r>
            <w:r w:rsidRPr="0053423A">
              <w:rPr>
                <w:lang w:val="it-IT"/>
              </w:rPr>
              <w:t xml:space="preserve"> </w:t>
            </w:r>
            <w:r w:rsidRPr="0053423A">
              <w:t>նաև</w:t>
            </w:r>
            <w:r w:rsidRPr="0053423A">
              <w:rPr>
                <w:lang w:val="it-IT"/>
              </w:rPr>
              <w:t xml:space="preserve"> </w:t>
            </w:r>
            <w:r w:rsidRPr="0053423A">
              <w:t>կառավարման</w:t>
            </w:r>
            <w:r w:rsidRPr="0053423A">
              <w:rPr>
                <w:lang w:val="it-IT"/>
              </w:rPr>
              <w:t xml:space="preserve"> </w:t>
            </w:r>
            <w:r w:rsidRPr="0053423A">
              <w:t>կետերը</w:t>
            </w:r>
            <w:r w:rsidRPr="0053423A">
              <w:rPr>
                <w:lang w:val="it-IT"/>
              </w:rPr>
              <w:t xml:space="preserve">, </w:t>
            </w:r>
            <w:r w:rsidRPr="0053423A">
              <w:t>որոնք</w:t>
            </w:r>
            <w:r w:rsidRPr="0053423A">
              <w:rPr>
                <w:lang w:val="it-IT"/>
              </w:rPr>
              <w:t xml:space="preserve"> </w:t>
            </w:r>
            <w:r w:rsidRPr="0053423A">
              <w:t>հանդիսանում</w:t>
            </w:r>
            <w:r w:rsidRPr="0053423A">
              <w:rPr>
                <w:lang w:val="it-IT"/>
              </w:rPr>
              <w:t xml:space="preserve"> </w:t>
            </w:r>
            <w:r w:rsidRPr="0053423A">
              <w:t>են</w:t>
            </w:r>
            <w:r w:rsidRPr="0053423A">
              <w:rPr>
                <w:lang w:val="it-IT"/>
              </w:rPr>
              <w:t xml:space="preserve"> </w:t>
            </w:r>
            <w:r w:rsidRPr="0053423A">
              <w:t>խաղաղ</w:t>
            </w:r>
            <w:r w:rsidRPr="0053423A">
              <w:rPr>
                <w:lang w:val="it-IT"/>
              </w:rPr>
              <w:t xml:space="preserve"> </w:t>
            </w:r>
            <w:r w:rsidRPr="0053423A">
              <w:t>և</w:t>
            </w:r>
            <w:r w:rsidRPr="0053423A">
              <w:rPr>
                <w:lang w:val="it-IT"/>
              </w:rPr>
              <w:t xml:space="preserve"> </w:t>
            </w:r>
            <w:r w:rsidRPr="0053423A">
              <w:t>ռազմական</w:t>
            </w:r>
            <w:r w:rsidRPr="0053423A">
              <w:rPr>
                <w:lang w:val="it-IT"/>
              </w:rPr>
              <w:t xml:space="preserve"> </w:t>
            </w:r>
            <w:r w:rsidRPr="0053423A">
              <w:t>դրության</w:t>
            </w:r>
            <w:r w:rsidRPr="0053423A">
              <w:rPr>
                <w:lang w:val="it-IT"/>
              </w:rPr>
              <w:t xml:space="preserve"> </w:t>
            </w:r>
            <w:r w:rsidRPr="0053423A">
              <w:t>ժամանակ</w:t>
            </w:r>
            <w:r w:rsidRPr="0053423A">
              <w:rPr>
                <w:lang w:val="it-IT"/>
              </w:rPr>
              <w:t xml:space="preserve"> </w:t>
            </w:r>
            <w:r w:rsidRPr="0053423A">
              <w:t>կառավարման</w:t>
            </w:r>
            <w:r w:rsidRPr="0053423A">
              <w:rPr>
                <w:lang w:val="it-IT"/>
              </w:rPr>
              <w:t xml:space="preserve"> </w:t>
            </w:r>
            <w:r w:rsidRPr="0053423A">
              <w:t>մարմինների</w:t>
            </w:r>
            <w:r w:rsidRPr="0053423A">
              <w:rPr>
                <w:lang w:val="it-IT"/>
              </w:rPr>
              <w:t xml:space="preserve"> </w:t>
            </w:r>
            <w:r w:rsidRPr="0053423A">
              <w:t>տեղակայման</w:t>
            </w:r>
            <w:r w:rsidRPr="0053423A">
              <w:rPr>
                <w:lang w:val="it-IT"/>
              </w:rPr>
              <w:t xml:space="preserve"> </w:t>
            </w:r>
            <w:r w:rsidRPr="0053423A">
              <w:t>և</w:t>
            </w:r>
            <w:r w:rsidRPr="0053423A">
              <w:rPr>
                <w:lang w:val="it-IT"/>
              </w:rPr>
              <w:t xml:space="preserve"> </w:t>
            </w:r>
            <w:r w:rsidRPr="0053423A">
              <w:t>նրանց</w:t>
            </w:r>
            <w:r w:rsidRPr="0053423A">
              <w:rPr>
                <w:lang w:val="it-IT"/>
              </w:rPr>
              <w:t xml:space="preserve"> </w:t>
            </w:r>
            <w:r w:rsidRPr="0053423A">
              <w:t>աշխատանքների</w:t>
            </w:r>
            <w:r w:rsidRPr="0053423A">
              <w:rPr>
                <w:lang w:val="it-IT"/>
              </w:rPr>
              <w:t xml:space="preserve"> </w:t>
            </w:r>
            <w:r w:rsidRPr="0053423A">
              <w:t>ապահովման</w:t>
            </w:r>
            <w:r w:rsidRPr="0053423A">
              <w:rPr>
                <w:lang w:val="it-IT"/>
              </w:rPr>
              <w:t xml:space="preserve"> </w:t>
            </w:r>
            <w:r w:rsidRPr="0053423A">
              <w:t>համար</w:t>
            </w:r>
            <w:r w:rsidRPr="0053423A">
              <w:rPr>
                <w:lang w:val="it-IT"/>
              </w:rPr>
              <w:t xml:space="preserve"> </w:t>
            </w:r>
            <w:r w:rsidRPr="0053423A">
              <w:t>նախատեսված</w:t>
            </w:r>
            <w:r w:rsidRPr="0053423A">
              <w:rPr>
                <w:lang w:val="it-IT"/>
              </w:rPr>
              <w:t xml:space="preserve">` </w:t>
            </w:r>
            <w:r w:rsidRPr="0053423A">
              <w:t>հատուկ</w:t>
            </w:r>
            <w:r w:rsidRPr="0053423A">
              <w:rPr>
                <w:lang w:val="it-IT"/>
              </w:rPr>
              <w:t xml:space="preserve"> </w:t>
            </w:r>
            <w:r w:rsidRPr="0053423A">
              <w:t>սարքավորված</w:t>
            </w:r>
            <w:r w:rsidRPr="0053423A">
              <w:rPr>
                <w:lang w:val="it-IT"/>
              </w:rPr>
              <w:t xml:space="preserve"> </w:t>
            </w:r>
            <w:r w:rsidRPr="0053423A">
              <w:t>և</w:t>
            </w:r>
            <w:r w:rsidRPr="0053423A">
              <w:rPr>
                <w:lang w:val="it-IT"/>
              </w:rPr>
              <w:t xml:space="preserve"> </w:t>
            </w:r>
            <w:r w:rsidRPr="0053423A">
              <w:t>տեխնիկական</w:t>
            </w:r>
            <w:r w:rsidRPr="0053423A">
              <w:rPr>
                <w:lang w:val="it-IT"/>
              </w:rPr>
              <w:t xml:space="preserve"> </w:t>
            </w:r>
            <w:r w:rsidRPr="0053423A">
              <w:t>միջոցներով</w:t>
            </w:r>
            <w:r w:rsidRPr="0053423A">
              <w:rPr>
                <w:lang w:val="it-IT"/>
              </w:rPr>
              <w:t xml:space="preserve"> </w:t>
            </w:r>
            <w:r w:rsidRPr="0053423A">
              <w:t>հագեցված</w:t>
            </w:r>
            <w:r w:rsidRPr="0053423A">
              <w:rPr>
                <w:lang w:val="it-IT"/>
              </w:rPr>
              <w:t xml:space="preserve"> </w:t>
            </w:r>
            <w:r w:rsidRPr="0053423A">
              <w:t>շինություններ</w:t>
            </w:r>
            <w:r w:rsidRPr="0053423A">
              <w:rPr>
                <w:lang w:val="it-IT"/>
              </w:rPr>
              <w:t xml:space="preserve"> </w:t>
            </w:r>
            <w:r w:rsidRPr="0053423A">
              <w:t>կամ</w:t>
            </w:r>
            <w:r w:rsidRPr="0053423A">
              <w:rPr>
                <w:lang w:val="it-IT"/>
              </w:rPr>
              <w:t xml:space="preserve"> </w:t>
            </w:r>
            <w:r w:rsidRPr="0053423A">
              <w:t>տրանսպորտային</w:t>
            </w:r>
            <w:r w:rsidRPr="0053423A">
              <w:rPr>
                <w:lang w:val="it-IT"/>
              </w:rPr>
              <w:t xml:space="preserve"> </w:t>
            </w:r>
            <w:r w:rsidRPr="0053423A">
              <w:t>միջոցներ</w:t>
            </w:r>
            <w:r w:rsidRPr="0053423A">
              <w:rPr>
                <w:lang w:val="it-IT"/>
              </w:rPr>
              <w:t>:</w:t>
            </w:r>
          </w:p>
          <w:p w:rsidR="006B0618" w:rsidRPr="0053423A" w:rsidRDefault="006B0618" w:rsidP="00A67858">
            <w:pPr>
              <w:spacing w:line="276" w:lineRule="auto"/>
              <w:ind w:right="256" w:firstLine="450"/>
              <w:rPr>
                <w:lang w:val="it-IT"/>
              </w:rPr>
            </w:pPr>
          </w:p>
          <w:p w:rsidR="006B0618" w:rsidRPr="0053423A" w:rsidRDefault="006B0618" w:rsidP="00A67858">
            <w:pPr>
              <w:spacing w:line="276" w:lineRule="auto"/>
              <w:ind w:right="256" w:firstLine="450"/>
              <w:rPr>
                <w:b/>
                <w:lang w:val="hy-AM"/>
              </w:rPr>
            </w:pPr>
            <w:r w:rsidRPr="0053423A">
              <w:rPr>
                <w:b/>
                <w:lang w:val="it-IT"/>
              </w:rPr>
              <w:t>1.1</w:t>
            </w:r>
            <w:r w:rsidRPr="0053423A">
              <w:rPr>
                <w:b/>
                <w:lang w:val="it-IT"/>
              </w:rPr>
              <w:tab/>
            </w:r>
            <w:r w:rsidRPr="0053423A">
              <w:rPr>
                <w:b/>
              </w:rPr>
              <w:t>Կ</w:t>
            </w:r>
            <w:r w:rsidRPr="0053423A">
              <w:rPr>
                <w:b/>
                <w:lang w:val="hy-AM"/>
              </w:rPr>
              <w:t>արգավորման հարաբերությունների ներկա վիճակը և առկա խնդիրները</w:t>
            </w:r>
          </w:p>
          <w:p w:rsidR="006B0618" w:rsidRPr="0053423A" w:rsidRDefault="006B0618" w:rsidP="00A67858">
            <w:pPr>
              <w:tabs>
                <w:tab w:val="left" w:pos="720"/>
              </w:tabs>
              <w:spacing w:line="276" w:lineRule="auto"/>
              <w:ind w:right="256" w:firstLine="450"/>
              <w:rPr>
                <w:lang w:val="it-IT"/>
              </w:rPr>
            </w:pPr>
            <w:r w:rsidRPr="0053423A">
              <w:rPr>
                <w:lang w:val="it-IT"/>
              </w:rPr>
              <w:t xml:space="preserve">      </w:t>
            </w:r>
            <w:r w:rsidRPr="0053423A">
              <w:t>Ներկայումս</w:t>
            </w:r>
            <w:r w:rsidRPr="0053423A">
              <w:rPr>
                <w:lang w:val="it-IT"/>
              </w:rPr>
              <w:t xml:space="preserve"> </w:t>
            </w:r>
            <w:r w:rsidRPr="0053423A">
              <w:t>որպես</w:t>
            </w:r>
            <w:r w:rsidRPr="0053423A">
              <w:rPr>
                <w:lang w:val="it-IT"/>
              </w:rPr>
              <w:t xml:space="preserve"> </w:t>
            </w:r>
            <w:r w:rsidRPr="0053423A">
              <w:t>պահեստային</w:t>
            </w:r>
            <w:r w:rsidRPr="0053423A">
              <w:rPr>
                <w:lang w:val="it-IT"/>
              </w:rPr>
              <w:t xml:space="preserve"> </w:t>
            </w:r>
            <w:r w:rsidRPr="0053423A">
              <w:t>կառավարման</w:t>
            </w:r>
            <w:r w:rsidRPr="0053423A">
              <w:rPr>
                <w:lang w:val="it-IT"/>
              </w:rPr>
              <w:t xml:space="preserve"> </w:t>
            </w:r>
            <w:r w:rsidRPr="0053423A">
              <w:t>կետ</w:t>
            </w:r>
            <w:r w:rsidRPr="0053423A">
              <w:rPr>
                <w:lang w:val="it-IT"/>
              </w:rPr>
              <w:t xml:space="preserve"> </w:t>
            </w:r>
            <w:r w:rsidRPr="0053423A">
              <w:t>նախատեսվող</w:t>
            </w:r>
            <w:r w:rsidRPr="0053423A">
              <w:rPr>
                <w:lang w:val="it-IT"/>
              </w:rPr>
              <w:t xml:space="preserve"> </w:t>
            </w:r>
            <w:r w:rsidRPr="0053423A">
              <w:t>պաշտպանական</w:t>
            </w:r>
            <w:r w:rsidRPr="0053423A">
              <w:rPr>
                <w:lang w:val="it-IT"/>
              </w:rPr>
              <w:t xml:space="preserve"> </w:t>
            </w:r>
            <w:r w:rsidRPr="0053423A">
              <w:t>կառույցը</w:t>
            </w:r>
            <w:r w:rsidRPr="0053423A">
              <w:rPr>
                <w:lang w:val="it-IT"/>
              </w:rPr>
              <w:t xml:space="preserve">, </w:t>
            </w:r>
            <w:r w:rsidRPr="0053423A">
              <w:t>ինչպես</w:t>
            </w:r>
            <w:r w:rsidRPr="0053423A">
              <w:rPr>
                <w:lang w:val="it-IT"/>
              </w:rPr>
              <w:t xml:space="preserve"> </w:t>
            </w:r>
            <w:r w:rsidRPr="0053423A">
              <w:t>նաև</w:t>
            </w:r>
            <w:r w:rsidRPr="0053423A">
              <w:rPr>
                <w:lang w:val="it-IT"/>
              </w:rPr>
              <w:t xml:space="preserve"> </w:t>
            </w:r>
            <w:r w:rsidRPr="0053423A">
              <w:t>իր</w:t>
            </w:r>
            <w:r w:rsidRPr="0053423A">
              <w:rPr>
                <w:lang w:val="it-IT"/>
              </w:rPr>
              <w:t xml:space="preserve"> </w:t>
            </w:r>
            <w:r w:rsidRPr="0053423A">
              <w:t>մեջ</w:t>
            </w:r>
            <w:r w:rsidRPr="0053423A">
              <w:rPr>
                <w:lang w:val="it-IT"/>
              </w:rPr>
              <w:t xml:space="preserve"> </w:t>
            </w:r>
            <w:r w:rsidRPr="0053423A">
              <w:t>տեղադրված</w:t>
            </w:r>
            <w:r w:rsidRPr="0053423A">
              <w:rPr>
                <w:lang w:val="it-IT"/>
              </w:rPr>
              <w:t xml:space="preserve"> </w:t>
            </w:r>
            <w:r w:rsidRPr="0053423A">
              <w:t>սարքերն</w:t>
            </w:r>
            <w:r w:rsidRPr="0053423A">
              <w:rPr>
                <w:lang w:val="it-IT"/>
              </w:rPr>
              <w:t xml:space="preserve"> </w:t>
            </w:r>
            <w:r w:rsidRPr="0053423A">
              <w:t>ու</w:t>
            </w:r>
            <w:r w:rsidRPr="0053423A">
              <w:rPr>
                <w:lang w:val="it-IT"/>
              </w:rPr>
              <w:t xml:space="preserve"> </w:t>
            </w:r>
            <w:r w:rsidRPr="0053423A">
              <w:t>սարքավորումներն</w:t>
            </w:r>
            <w:r w:rsidRPr="0053423A">
              <w:rPr>
                <w:lang w:val="it-IT"/>
              </w:rPr>
              <w:t xml:space="preserve"> </w:t>
            </w:r>
            <w:r w:rsidRPr="0053423A">
              <w:t>ունեն</w:t>
            </w:r>
            <w:r w:rsidRPr="0053423A">
              <w:rPr>
                <w:lang w:val="it-IT"/>
              </w:rPr>
              <w:t xml:space="preserve"> </w:t>
            </w:r>
            <w:r w:rsidRPr="0053423A">
              <w:t>վերանորոգման</w:t>
            </w:r>
            <w:r w:rsidRPr="0053423A">
              <w:rPr>
                <w:lang w:val="it-IT"/>
              </w:rPr>
              <w:t xml:space="preserve"> </w:t>
            </w:r>
            <w:r w:rsidRPr="0053423A">
              <w:t>կարիք</w:t>
            </w:r>
            <w:r w:rsidRPr="0053423A">
              <w:rPr>
                <w:lang w:val="it-IT"/>
              </w:rPr>
              <w:t xml:space="preserve">, </w:t>
            </w:r>
            <w:r w:rsidRPr="0053423A">
              <w:t>անհրաժետ</w:t>
            </w:r>
            <w:r w:rsidRPr="0053423A">
              <w:rPr>
                <w:lang w:val="it-IT"/>
              </w:rPr>
              <w:t xml:space="preserve"> </w:t>
            </w:r>
            <w:r w:rsidRPr="0053423A">
              <w:t>է</w:t>
            </w:r>
            <w:r w:rsidRPr="0053423A">
              <w:rPr>
                <w:lang w:val="it-IT"/>
              </w:rPr>
              <w:t xml:space="preserve"> </w:t>
            </w:r>
            <w:r w:rsidRPr="0053423A">
              <w:t>նոր</w:t>
            </w:r>
            <w:r w:rsidRPr="0053423A">
              <w:rPr>
                <w:lang w:val="it-IT"/>
              </w:rPr>
              <w:t xml:space="preserve"> </w:t>
            </w:r>
            <w:r w:rsidRPr="0053423A">
              <w:t>ջրամատակարարման</w:t>
            </w:r>
            <w:r w:rsidRPr="0053423A">
              <w:rPr>
                <w:lang w:val="it-IT"/>
              </w:rPr>
              <w:t xml:space="preserve">, </w:t>
            </w:r>
            <w:r w:rsidRPr="0053423A">
              <w:t>էլեկտրամատակարարման</w:t>
            </w:r>
            <w:r w:rsidRPr="0053423A">
              <w:rPr>
                <w:lang w:val="it-IT"/>
              </w:rPr>
              <w:t xml:space="preserve"> </w:t>
            </w:r>
            <w:r w:rsidRPr="0053423A">
              <w:t>և</w:t>
            </w:r>
            <w:r w:rsidRPr="0053423A">
              <w:rPr>
                <w:lang w:val="it-IT"/>
              </w:rPr>
              <w:t xml:space="preserve"> </w:t>
            </w:r>
            <w:r w:rsidRPr="0053423A">
              <w:t>կապի</w:t>
            </w:r>
            <w:r w:rsidRPr="0053423A">
              <w:rPr>
                <w:lang w:val="it-IT"/>
              </w:rPr>
              <w:t xml:space="preserve"> </w:t>
            </w:r>
            <w:r w:rsidRPr="0053423A">
              <w:t>գծերի</w:t>
            </w:r>
            <w:r w:rsidRPr="0053423A">
              <w:rPr>
                <w:lang w:val="it-IT"/>
              </w:rPr>
              <w:t xml:space="preserve"> </w:t>
            </w:r>
            <w:r w:rsidRPr="0053423A">
              <w:t>անցկացում</w:t>
            </w:r>
            <w:r w:rsidRPr="0053423A">
              <w:rPr>
                <w:lang w:val="it-IT"/>
              </w:rPr>
              <w:t xml:space="preserve">, </w:t>
            </w:r>
            <w:r w:rsidRPr="0053423A">
              <w:t>կապի</w:t>
            </w:r>
            <w:r w:rsidRPr="0053423A">
              <w:rPr>
                <w:lang w:val="it-IT"/>
              </w:rPr>
              <w:t xml:space="preserve"> </w:t>
            </w:r>
            <w:r w:rsidRPr="0053423A">
              <w:t>միջոցներով</w:t>
            </w:r>
            <w:r w:rsidRPr="0053423A">
              <w:rPr>
                <w:lang w:val="it-IT"/>
              </w:rPr>
              <w:t xml:space="preserve"> </w:t>
            </w:r>
            <w:r w:rsidRPr="0053423A">
              <w:t>և</w:t>
            </w:r>
            <w:r w:rsidRPr="0053423A">
              <w:rPr>
                <w:lang w:val="it-IT"/>
              </w:rPr>
              <w:t xml:space="preserve"> </w:t>
            </w:r>
            <w:r w:rsidRPr="0053423A">
              <w:t>անհրաժեշտ</w:t>
            </w:r>
            <w:r w:rsidRPr="0053423A">
              <w:rPr>
                <w:lang w:val="it-IT"/>
              </w:rPr>
              <w:t xml:space="preserve"> </w:t>
            </w:r>
            <w:r w:rsidRPr="0053423A">
              <w:t>գույքով</w:t>
            </w:r>
            <w:r w:rsidRPr="0053423A">
              <w:rPr>
                <w:lang w:val="it-IT"/>
              </w:rPr>
              <w:t xml:space="preserve"> </w:t>
            </w:r>
            <w:r w:rsidRPr="0053423A">
              <w:t>հագեցում</w:t>
            </w:r>
            <w:r w:rsidRPr="0053423A">
              <w:rPr>
                <w:lang w:val="it-IT"/>
              </w:rPr>
              <w:t>:</w:t>
            </w:r>
          </w:p>
          <w:p w:rsidR="006B0618" w:rsidRPr="0053423A" w:rsidRDefault="006B0618" w:rsidP="00A67858">
            <w:pPr>
              <w:spacing w:line="276" w:lineRule="auto"/>
              <w:ind w:right="256" w:firstLine="450"/>
              <w:rPr>
                <w:lang w:val="it-IT"/>
              </w:rPr>
            </w:pPr>
          </w:p>
          <w:p w:rsidR="006B0618" w:rsidRPr="0053423A" w:rsidRDefault="006B0618" w:rsidP="00A67858">
            <w:pPr>
              <w:spacing w:line="276" w:lineRule="auto"/>
              <w:ind w:right="256" w:firstLine="450"/>
              <w:rPr>
                <w:b/>
                <w:lang w:val="it-IT"/>
              </w:rPr>
            </w:pPr>
            <w:r w:rsidRPr="0053423A">
              <w:rPr>
                <w:b/>
                <w:lang w:val="it-IT"/>
              </w:rPr>
              <w:t xml:space="preserve">1.2 </w:t>
            </w:r>
            <w:r w:rsidRPr="0053423A">
              <w:rPr>
                <w:b/>
              </w:rPr>
              <w:t>Ա</w:t>
            </w:r>
            <w:r w:rsidRPr="0053423A">
              <w:rPr>
                <w:b/>
                <w:lang w:val="hy-AM"/>
              </w:rPr>
              <w:t>ռկա խնդիրների առաջարկվող լուծումները</w:t>
            </w:r>
          </w:p>
          <w:p w:rsidR="006B0618" w:rsidRPr="0053423A" w:rsidRDefault="006B0618" w:rsidP="00A67858">
            <w:pPr>
              <w:spacing w:line="276" w:lineRule="auto"/>
              <w:ind w:right="256" w:firstLine="450"/>
              <w:rPr>
                <w:lang w:val="it-IT"/>
              </w:rPr>
            </w:pPr>
            <w:r w:rsidRPr="0053423A">
              <w:rPr>
                <w:lang w:val="it-IT"/>
              </w:rPr>
              <w:t xml:space="preserve">      </w:t>
            </w:r>
            <w:r w:rsidRPr="0053423A">
              <w:t>Հայաստանի</w:t>
            </w:r>
            <w:r w:rsidRPr="0053423A">
              <w:rPr>
                <w:lang w:val="it-IT"/>
              </w:rPr>
              <w:t xml:space="preserve"> </w:t>
            </w:r>
            <w:r w:rsidRPr="0053423A">
              <w:t>Հանրապետության</w:t>
            </w:r>
            <w:r w:rsidRPr="0053423A">
              <w:rPr>
                <w:lang w:val="it-IT"/>
              </w:rPr>
              <w:t xml:space="preserve"> </w:t>
            </w:r>
            <w:r w:rsidRPr="0053423A">
              <w:t>կառավարության</w:t>
            </w:r>
            <w:r w:rsidRPr="0053423A">
              <w:rPr>
                <w:lang w:val="it-IT"/>
              </w:rPr>
              <w:t xml:space="preserve"> 2016 </w:t>
            </w:r>
            <w:r w:rsidRPr="0053423A">
              <w:t>թվականի</w:t>
            </w:r>
            <w:r w:rsidRPr="0053423A">
              <w:rPr>
                <w:lang w:val="it-IT"/>
              </w:rPr>
              <w:t xml:space="preserve"> </w:t>
            </w:r>
            <w:r w:rsidRPr="0053423A">
              <w:t>դեկտեմբերի</w:t>
            </w:r>
            <w:r w:rsidRPr="0053423A">
              <w:rPr>
                <w:lang w:val="it-IT"/>
              </w:rPr>
              <w:t xml:space="preserve"> 1-</w:t>
            </w:r>
            <w:r w:rsidRPr="0053423A">
              <w:t>ի</w:t>
            </w:r>
            <w:r w:rsidRPr="0053423A">
              <w:rPr>
                <w:lang w:val="it-IT"/>
              </w:rPr>
              <w:t xml:space="preserve"> </w:t>
            </w:r>
            <w:r w:rsidRPr="0053423A">
              <w:t>թիվ</w:t>
            </w:r>
            <w:r w:rsidRPr="0053423A">
              <w:rPr>
                <w:lang w:val="it-IT"/>
              </w:rPr>
              <w:t xml:space="preserve"> 1225-</w:t>
            </w:r>
            <w:r w:rsidRPr="0053423A">
              <w:t>ՆԳ</w:t>
            </w:r>
            <w:r w:rsidRPr="0053423A">
              <w:rPr>
                <w:lang w:val="it-IT"/>
              </w:rPr>
              <w:t xml:space="preserve"> </w:t>
            </w:r>
            <w:r w:rsidRPr="0053423A">
              <w:t>և</w:t>
            </w:r>
            <w:r w:rsidRPr="0053423A">
              <w:rPr>
                <w:lang w:val="it-IT"/>
              </w:rPr>
              <w:t xml:space="preserve"> </w:t>
            </w:r>
            <w:r w:rsidRPr="0053423A">
              <w:t>թիվ</w:t>
            </w:r>
            <w:r w:rsidRPr="0053423A">
              <w:rPr>
                <w:lang w:val="it-IT"/>
              </w:rPr>
              <w:t xml:space="preserve"> 1226-</w:t>
            </w:r>
            <w:r w:rsidRPr="0053423A">
              <w:t>ՆԳ</w:t>
            </w:r>
            <w:r w:rsidRPr="0053423A">
              <w:rPr>
                <w:lang w:val="it-IT"/>
              </w:rPr>
              <w:t xml:space="preserve"> </w:t>
            </w:r>
            <w:r w:rsidRPr="0053423A">
              <w:t>որոշումների</w:t>
            </w:r>
            <w:r w:rsidRPr="0053423A">
              <w:rPr>
                <w:lang w:val="it-IT"/>
              </w:rPr>
              <w:t xml:space="preserve"> </w:t>
            </w:r>
            <w:r w:rsidRPr="0053423A">
              <w:t>պահանջներով</w:t>
            </w:r>
            <w:r w:rsidRPr="0053423A">
              <w:rPr>
                <w:lang w:val="it-IT"/>
              </w:rPr>
              <w:t xml:space="preserve"> </w:t>
            </w:r>
            <w:r w:rsidRPr="0053423A">
              <w:t>սահմանվում</w:t>
            </w:r>
            <w:r w:rsidRPr="0053423A">
              <w:rPr>
                <w:lang w:val="it-IT"/>
              </w:rPr>
              <w:t xml:space="preserve"> </w:t>
            </w:r>
            <w:r w:rsidRPr="0053423A">
              <w:t>է</w:t>
            </w:r>
            <w:r w:rsidRPr="0053423A">
              <w:rPr>
                <w:lang w:val="it-IT"/>
              </w:rPr>
              <w:t xml:space="preserve"> </w:t>
            </w:r>
            <w:r w:rsidRPr="0053423A">
              <w:t>կառույցի</w:t>
            </w:r>
            <w:r w:rsidRPr="0053423A">
              <w:rPr>
                <w:lang w:val="it-IT"/>
              </w:rPr>
              <w:t xml:space="preserve"> </w:t>
            </w:r>
            <w:r w:rsidRPr="0053423A">
              <w:t>վերանորոգմանը</w:t>
            </w:r>
            <w:r w:rsidRPr="0053423A">
              <w:rPr>
                <w:lang w:val="it-IT"/>
              </w:rPr>
              <w:t xml:space="preserve">, </w:t>
            </w:r>
            <w:r w:rsidRPr="0053423A">
              <w:t>անհրաժեշտ</w:t>
            </w:r>
            <w:r w:rsidRPr="0053423A">
              <w:rPr>
                <w:lang w:val="it-IT"/>
              </w:rPr>
              <w:t xml:space="preserve"> </w:t>
            </w:r>
            <w:r w:rsidRPr="0053423A">
              <w:t>գույքով</w:t>
            </w:r>
            <w:r w:rsidRPr="0053423A">
              <w:rPr>
                <w:lang w:val="it-IT"/>
              </w:rPr>
              <w:t xml:space="preserve"> </w:t>
            </w:r>
            <w:r w:rsidRPr="0053423A">
              <w:t>և</w:t>
            </w:r>
            <w:r w:rsidRPr="0053423A">
              <w:rPr>
                <w:lang w:val="it-IT"/>
              </w:rPr>
              <w:t xml:space="preserve"> </w:t>
            </w:r>
            <w:r w:rsidRPr="0053423A">
              <w:t>սարքավորումներով</w:t>
            </w:r>
            <w:r w:rsidRPr="0053423A">
              <w:rPr>
                <w:lang w:val="it-IT"/>
              </w:rPr>
              <w:t xml:space="preserve"> </w:t>
            </w:r>
            <w:r w:rsidRPr="0053423A">
              <w:t>ապահովմանը</w:t>
            </w:r>
            <w:r w:rsidRPr="0053423A">
              <w:rPr>
                <w:lang w:val="it-IT"/>
              </w:rPr>
              <w:t xml:space="preserve">, </w:t>
            </w:r>
            <w:r w:rsidRPr="0053423A">
              <w:t>օրենսդրական</w:t>
            </w:r>
            <w:r w:rsidRPr="0053423A">
              <w:rPr>
                <w:lang w:val="it-IT"/>
              </w:rPr>
              <w:t xml:space="preserve"> </w:t>
            </w:r>
            <w:r w:rsidRPr="0053423A">
              <w:t>կարգով</w:t>
            </w:r>
            <w:r w:rsidRPr="0053423A">
              <w:rPr>
                <w:lang w:val="it-IT"/>
              </w:rPr>
              <w:t xml:space="preserve"> </w:t>
            </w:r>
            <w:r w:rsidRPr="0053423A">
              <w:t>շահագործմանը</w:t>
            </w:r>
            <w:r w:rsidRPr="0053423A">
              <w:rPr>
                <w:lang w:val="it-IT"/>
              </w:rPr>
              <w:t xml:space="preserve"> </w:t>
            </w:r>
            <w:r w:rsidRPr="0053423A">
              <w:t>ներկայացվող</w:t>
            </w:r>
            <w:r w:rsidRPr="0053423A">
              <w:rPr>
                <w:lang w:val="it-IT"/>
              </w:rPr>
              <w:t xml:space="preserve"> </w:t>
            </w:r>
            <w:r w:rsidRPr="0053423A">
              <w:t>պահանջները</w:t>
            </w:r>
            <w:r w:rsidRPr="0053423A">
              <w:rPr>
                <w:lang w:val="it-IT"/>
              </w:rPr>
              <w:t xml:space="preserve">: </w:t>
            </w:r>
          </w:p>
          <w:p w:rsidR="006B0618" w:rsidRPr="0053423A" w:rsidRDefault="006B0618" w:rsidP="00A67858">
            <w:pPr>
              <w:spacing w:line="276" w:lineRule="auto"/>
              <w:ind w:right="256" w:firstLine="450"/>
              <w:rPr>
                <w:b/>
                <w:lang w:val="it-IT"/>
              </w:rPr>
            </w:pPr>
            <w:r w:rsidRPr="0053423A">
              <w:rPr>
                <w:b/>
                <w:lang w:val="hy-AM"/>
              </w:rPr>
              <w:t>2. Միջոցառման իրականացումից ակնկալվող արդյունքը</w:t>
            </w:r>
          </w:p>
          <w:p w:rsidR="006B0618" w:rsidRPr="0053423A" w:rsidRDefault="006B0618" w:rsidP="00A67858">
            <w:pPr>
              <w:tabs>
                <w:tab w:val="left" w:pos="720"/>
              </w:tabs>
              <w:spacing w:line="276" w:lineRule="auto"/>
              <w:ind w:right="256" w:firstLine="450"/>
              <w:rPr>
                <w:lang w:val="it-IT"/>
              </w:rPr>
            </w:pPr>
            <w:r w:rsidRPr="0053423A">
              <w:rPr>
                <w:lang w:val="it-IT"/>
              </w:rPr>
              <w:t xml:space="preserve">      </w:t>
            </w:r>
            <w:r w:rsidRPr="0053423A">
              <w:t>Ակնկալվում</w:t>
            </w:r>
            <w:r w:rsidRPr="0053423A">
              <w:rPr>
                <w:lang w:val="it-IT"/>
              </w:rPr>
              <w:t xml:space="preserve"> </w:t>
            </w:r>
            <w:r w:rsidRPr="0053423A">
              <w:t>է</w:t>
            </w:r>
            <w:r w:rsidRPr="0053423A">
              <w:rPr>
                <w:lang w:val="it-IT"/>
              </w:rPr>
              <w:t xml:space="preserve"> </w:t>
            </w:r>
            <w:r w:rsidRPr="0053423A">
              <w:t>ռազմական</w:t>
            </w:r>
            <w:r w:rsidRPr="0053423A">
              <w:rPr>
                <w:lang w:val="it-IT"/>
              </w:rPr>
              <w:t xml:space="preserve"> </w:t>
            </w:r>
            <w:r w:rsidRPr="0053423A">
              <w:t>դրության</w:t>
            </w:r>
            <w:r w:rsidRPr="0053423A">
              <w:rPr>
                <w:lang w:val="it-IT"/>
              </w:rPr>
              <w:t xml:space="preserve"> </w:t>
            </w:r>
            <w:r w:rsidRPr="0053423A">
              <w:t>ժամանակ</w:t>
            </w:r>
            <w:r w:rsidRPr="0053423A">
              <w:rPr>
                <w:lang w:val="it-IT"/>
              </w:rPr>
              <w:t xml:space="preserve"> </w:t>
            </w:r>
            <w:r w:rsidRPr="0053423A">
              <w:t>կառավարման</w:t>
            </w:r>
            <w:r w:rsidRPr="0053423A">
              <w:rPr>
                <w:lang w:val="it-IT"/>
              </w:rPr>
              <w:t xml:space="preserve">, </w:t>
            </w:r>
            <w:r w:rsidRPr="0053423A">
              <w:t>ինչպես</w:t>
            </w:r>
            <w:r w:rsidRPr="0053423A">
              <w:rPr>
                <w:lang w:val="it-IT"/>
              </w:rPr>
              <w:t xml:space="preserve"> </w:t>
            </w:r>
            <w:r w:rsidRPr="0053423A">
              <w:t>նաև</w:t>
            </w:r>
            <w:r w:rsidRPr="0053423A">
              <w:rPr>
                <w:lang w:val="it-IT"/>
              </w:rPr>
              <w:t xml:space="preserve"> </w:t>
            </w:r>
            <w:r w:rsidRPr="0053423A">
              <w:t>պահպանության</w:t>
            </w:r>
            <w:r w:rsidRPr="0053423A">
              <w:rPr>
                <w:lang w:val="it-IT"/>
              </w:rPr>
              <w:t xml:space="preserve">, </w:t>
            </w:r>
            <w:r w:rsidRPr="0053423A">
              <w:t>պաշտպանության</w:t>
            </w:r>
            <w:r w:rsidRPr="0053423A">
              <w:rPr>
                <w:lang w:val="it-IT"/>
              </w:rPr>
              <w:t xml:space="preserve"> </w:t>
            </w:r>
            <w:r w:rsidRPr="0053423A">
              <w:t>մակարդակի</w:t>
            </w:r>
            <w:r w:rsidRPr="0053423A">
              <w:rPr>
                <w:lang w:val="it-IT"/>
              </w:rPr>
              <w:t xml:space="preserve"> </w:t>
            </w:r>
            <w:r w:rsidRPr="0053423A">
              <w:t>բարձրացումը</w:t>
            </w:r>
            <w:r w:rsidRPr="0053423A">
              <w:rPr>
                <w:lang w:val="it-IT"/>
              </w:rPr>
              <w:t xml:space="preserve">, </w:t>
            </w:r>
            <w:r w:rsidRPr="0053423A">
              <w:t>կառույցում</w:t>
            </w:r>
            <w:r w:rsidRPr="0053423A">
              <w:rPr>
                <w:lang w:val="it-IT"/>
              </w:rPr>
              <w:t xml:space="preserve"> </w:t>
            </w:r>
            <w:r w:rsidRPr="0053423A">
              <w:t>հերթապահության</w:t>
            </w:r>
            <w:r w:rsidRPr="0053423A">
              <w:rPr>
                <w:lang w:val="it-IT"/>
              </w:rPr>
              <w:t xml:space="preserve"> </w:t>
            </w:r>
            <w:r w:rsidRPr="0053423A">
              <w:t>իրականացումը</w:t>
            </w:r>
            <w:r w:rsidRPr="0053423A">
              <w:rPr>
                <w:lang w:val="it-IT"/>
              </w:rPr>
              <w:t>:</w:t>
            </w:r>
          </w:p>
          <w:p w:rsidR="006B0618" w:rsidRPr="0053423A" w:rsidRDefault="006B0618" w:rsidP="00A67858">
            <w:pPr>
              <w:spacing w:line="276" w:lineRule="auto"/>
              <w:ind w:right="256" w:firstLine="450"/>
              <w:rPr>
                <w:lang w:val="it-IT"/>
              </w:rPr>
            </w:pPr>
            <w:r w:rsidRPr="0053423A">
              <w:rPr>
                <w:rFonts w:cs="Sylfaen"/>
                <w:lang w:val="it-IT" w:eastAsia="en-GB"/>
              </w:rPr>
              <w:t xml:space="preserve">Միջոցառումը նախատեսվում է իրականացնել 2021-2022 թվականների ընթացքում՝ անհրաժեշտ ֆինանսական </w:t>
            </w:r>
            <w:r w:rsidRPr="0053423A">
              <w:t>միջոցները</w:t>
            </w:r>
            <w:r w:rsidRPr="0053423A">
              <w:rPr>
                <w:lang w:val="it-IT"/>
              </w:rPr>
              <w:t xml:space="preserve"> </w:t>
            </w:r>
            <w:r w:rsidRPr="0053423A">
              <w:t>ներառելով</w:t>
            </w:r>
            <w:r w:rsidRPr="0053423A">
              <w:rPr>
                <w:lang w:val="it-IT"/>
              </w:rPr>
              <w:t xml:space="preserve"> </w:t>
            </w:r>
            <w:r w:rsidRPr="0053423A">
              <w:t>ՀՀ</w:t>
            </w:r>
            <w:r w:rsidRPr="0053423A">
              <w:rPr>
                <w:lang w:val="it-IT"/>
              </w:rPr>
              <w:t xml:space="preserve"> 2020-2022 </w:t>
            </w:r>
            <w:r w:rsidRPr="0053423A">
              <w:t>թվականների</w:t>
            </w:r>
            <w:r w:rsidRPr="0053423A">
              <w:rPr>
                <w:lang w:val="it-IT"/>
              </w:rPr>
              <w:t xml:space="preserve"> </w:t>
            </w:r>
            <w:r w:rsidRPr="0053423A">
              <w:t>պետական</w:t>
            </w:r>
            <w:r w:rsidRPr="0053423A">
              <w:rPr>
                <w:lang w:val="it-IT"/>
              </w:rPr>
              <w:t xml:space="preserve"> </w:t>
            </w:r>
            <w:r w:rsidRPr="0053423A">
              <w:t>միջնաժամկետ</w:t>
            </w:r>
            <w:r w:rsidRPr="0053423A">
              <w:rPr>
                <w:lang w:val="it-IT"/>
              </w:rPr>
              <w:t xml:space="preserve"> </w:t>
            </w:r>
            <w:r w:rsidRPr="0053423A">
              <w:t>ծախսերի</w:t>
            </w:r>
            <w:r w:rsidRPr="0053423A">
              <w:rPr>
                <w:lang w:val="it-IT"/>
              </w:rPr>
              <w:t xml:space="preserve"> </w:t>
            </w:r>
            <w:r w:rsidRPr="0053423A">
              <w:t>ծրագրում</w:t>
            </w:r>
            <w:r w:rsidRPr="0053423A">
              <w:rPr>
                <w:lang w:val="it-IT"/>
              </w:rPr>
              <w:t xml:space="preserve"> </w:t>
            </w:r>
            <w:r w:rsidRPr="0053423A">
              <w:t>ըստ</w:t>
            </w:r>
            <w:r w:rsidRPr="0053423A">
              <w:rPr>
                <w:lang w:val="it-IT"/>
              </w:rPr>
              <w:t xml:space="preserve"> </w:t>
            </w:r>
            <w:r w:rsidRPr="0053423A">
              <w:t>յուրաքանչյուր</w:t>
            </w:r>
            <w:r w:rsidRPr="0053423A">
              <w:rPr>
                <w:lang w:val="it-IT"/>
              </w:rPr>
              <w:t xml:space="preserve"> </w:t>
            </w:r>
            <w:r w:rsidRPr="0053423A">
              <w:t>տարվա</w:t>
            </w:r>
            <w:r w:rsidRPr="0053423A">
              <w:rPr>
                <w:lang w:val="it-IT"/>
              </w:rPr>
              <w:t xml:space="preserve"> </w:t>
            </w:r>
            <w:r w:rsidRPr="0053423A">
              <w:t>նախահաշվի</w:t>
            </w:r>
            <w:r w:rsidRPr="0053423A">
              <w:rPr>
                <w:lang w:val="it-IT"/>
              </w:rPr>
              <w:t xml:space="preserve">: </w:t>
            </w:r>
            <w:r w:rsidRPr="0053423A">
              <w:t>Ստույգ</w:t>
            </w:r>
            <w:r w:rsidRPr="0053423A">
              <w:rPr>
                <w:lang w:val="it-IT"/>
              </w:rPr>
              <w:t xml:space="preserve"> </w:t>
            </w:r>
            <w:r w:rsidRPr="0053423A">
              <w:t>հաշվարկները</w:t>
            </w:r>
            <w:r w:rsidRPr="0053423A">
              <w:rPr>
                <w:lang w:val="it-IT"/>
              </w:rPr>
              <w:t xml:space="preserve"> </w:t>
            </w:r>
            <w:r w:rsidRPr="0053423A">
              <w:t>կներկայացվեն</w:t>
            </w:r>
            <w:r w:rsidRPr="0053423A">
              <w:rPr>
                <w:lang w:val="it-IT"/>
              </w:rPr>
              <w:t xml:space="preserve"> </w:t>
            </w:r>
            <w:r w:rsidRPr="0053423A">
              <w:t>համապատասխան</w:t>
            </w:r>
            <w:r w:rsidRPr="0053423A">
              <w:rPr>
                <w:lang w:val="it-IT"/>
              </w:rPr>
              <w:t xml:space="preserve"> </w:t>
            </w:r>
            <w:r w:rsidRPr="0053423A">
              <w:t>հայտերով՝</w:t>
            </w:r>
            <w:r w:rsidRPr="0053423A">
              <w:rPr>
                <w:lang w:val="it-IT"/>
              </w:rPr>
              <w:t xml:space="preserve"> </w:t>
            </w:r>
            <w:r w:rsidRPr="0053423A">
              <w:t>ֆինանսական</w:t>
            </w:r>
            <w:r w:rsidRPr="0053423A">
              <w:rPr>
                <w:lang w:val="it-IT"/>
              </w:rPr>
              <w:t xml:space="preserve"> </w:t>
            </w:r>
            <w:r w:rsidRPr="0053423A">
              <w:t>միջոցների</w:t>
            </w:r>
            <w:r w:rsidRPr="0053423A">
              <w:rPr>
                <w:lang w:val="it-IT"/>
              </w:rPr>
              <w:t xml:space="preserve"> </w:t>
            </w:r>
            <w:r w:rsidRPr="0053423A">
              <w:t>առկայության</w:t>
            </w:r>
            <w:r w:rsidRPr="0053423A">
              <w:rPr>
                <w:lang w:val="it-IT"/>
              </w:rPr>
              <w:t xml:space="preserve"> </w:t>
            </w:r>
            <w:r w:rsidRPr="0053423A">
              <w:t>դեպքում</w:t>
            </w:r>
            <w:r w:rsidRPr="0053423A">
              <w:rPr>
                <w:lang w:val="it-IT"/>
              </w:rPr>
              <w:t>:</w:t>
            </w:r>
          </w:p>
        </w:tc>
      </w:tr>
      <w:tr w:rsidR="006B0618" w:rsidRPr="00DE2EFA" w:rsidTr="001F6D5D">
        <w:tc>
          <w:tcPr>
            <w:tcW w:w="691" w:type="dxa"/>
          </w:tcPr>
          <w:p w:rsidR="006B0618" w:rsidRPr="0053423A" w:rsidRDefault="001F6D5D" w:rsidP="00A67858">
            <w:pPr>
              <w:spacing w:line="276" w:lineRule="auto"/>
              <w:rPr>
                <w:lang w:val="hy-AM"/>
              </w:rPr>
            </w:pPr>
            <w:r>
              <w:rPr>
                <w:lang w:val="hy-AM"/>
              </w:rPr>
              <w:t>66</w:t>
            </w:r>
          </w:p>
        </w:tc>
        <w:tc>
          <w:tcPr>
            <w:tcW w:w="10649" w:type="dxa"/>
          </w:tcPr>
          <w:p w:rsidR="006B0618" w:rsidRPr="0053423A" w:rsidRDefault="00615BBB" w:rsidP="00A67858">
            <w:pPr>
              <w:pStyle w:val="ListParagraph"/>
              <w:spacing w:line="276" w:lineRule="auto"/>
              <w:ind w:left="0" w:right="256"/>
              <w:jc w:val="center"/>
              <w:rPr>
                <w:b/>
                <w:i/>
                <w:lang w:val="hy-AM"/>
              </w:rPr>
            </w:pPr>
            <w:r>
              <w:rPr>
                <w:lang w:val="hy-AM"/>
              </w:rPr>
              <w:t>66</w:t>
            </w:r>
            <w:r w:rsidRPr="00615BBB">
              <w:rPr>
                <w:lang w:val="hy-AM"/>
              </w:rPr>
              <w:t xml:space="preserve">.1 </w:t>
            </w:r>
            <w:r w:rsidR="006B0618" w:rsidRPr="0053423A">
              <w:rPr>
                <w:b/>
                <w:i/>
                <w:lang w:val="hy-AM"/>
              </w:rPr>
              <w:t>ԱԻՆ ՓԾ Սյունիքի, Լոռու, Շիրակի մարզային ստորաբաժանումների հակահրդեհային գույքով ապահովում</w:t>
            </w:r>
          </w:p>
          <w:p w:rsidR="006B0618" w:rsidRPr="0053423A" w:rsidRDefault="006B0618" w:rsidP="00A67858">
            <w:pPr>
              <w:pStyle w:val="ListParagraph"/>
              <w:spacing w:line="276" w:lineRule="auto"/>
              <w:ind w:left="0" w:right="256"/>
              <w:jc w:val="center"/>
              <w:rPr>
                <w:b/>
                <w:i/>
                <w:lang w:val="hy-AM"/>
              </w:rPr>
            </w:pPr>
          </w:p>
          <w:p w:rsidR="006B0618" w:rsidRPr="0053423A" w:rsidRDefault="006B0618" w:rsidP="00A67858">
            <w:pPr>
              <w:pStyle w:val="ListParagraph"/>
              <w:spacing w:line="276" w:lineRule="auto"/>
              <w:ind w:left="0" w:right="256" w:firstLine="360"/>
              <w:rPr>
                <w:b/>
                <w:i/>
                <w:lang w:val="pt-BR"/>
              </w:rPr>
            </w:pPr>
            <w:r w:rsidRPr="0053423A">
              <w:rPr>
                <w:b/>
                <w:lang w:val="it-IT"/>
              </w:rPr>
              <w:t xml:space="preserve">1. </w:t>
            </w:r>
            <w:r w:rsidRPr="0053423A">
              <w:rPr>
                <w:b/>
                <w:lang w:val="hy-AM"/>
              </w:rPr>
              <w:t>Միջոցառման իրակացման անհրաժեշտությունը և նպատակը</w:t>
            </w:r>
          </w:p>
          <w:p w:rsidR="006B0618" w:rsidRPr="0053423A" w:rsidRDefault="006B0618" w:rsidP="00A67858">
            <w:pPr>
              <w:pStyle w:val="ListParagraph"/>
              <w:spacing w:line="276" w:lineRule="auto"/>
              <w:ind w:left="0" w:right="256" w:firstLine="360"/>
              <w:jc w:val="center"/>
              <w:rPr>
                <w:b/>
                <w:i/>
                <w:lang w:val="pt-BR"/>
              </w:rPr>
            </w:pPr>
          </w:p>
          <w:p w:rsidR="006B0618" w:rsidRPr="0053423A" w:rsidRDefault="006B0618" w:rsidP="00A67858">
            <w:pPr>
              <w:pStyle w:val="ListParagraph"/>
              <w:spacing w:line="276" w:lineRule="auto"/>
              <w:ind w:left="0" w:right="256"/>
              <w:rPr>
                <w:rFonts w:cs="Sylfaen"/>
                <w:lang w:val="hy-AM"/>
              </w:rPr>
            </w:pPr>
            <w:r w:rsidRPr="0053423A">
              <w:rPr>
                <w:rFonts w:cs="Sylfaen"/>
                <w:lang w:val="hy-AM"/>
              </w:rPr>
              <w:t>Հայաստանը</w:t>
            </w:r>
            <w:r w:rsidRPr="0053423A">
              <w:rPr>
                <w:rFonts w:cs="Calibri"/>
                <w:lang w:val="hy-AM"/>
              </w:rPr>
              <w:t xml:space="preserve"> </w:t>
            </w:r>
            <w:r w:rsidRPr="0053423A">
              <w:rPr>
                <w:rFonts w:cs="Sylfaen"/>
                <w:lang w:val="hy-AM"/>
              </w:rPr>
              <w:t>գտնվում</w:t>
            </w:r>
            <w:r w:rsidRPr="0053423A">
              <w:rPr>
                <w:rFonts w:cs="Calibri"/>
                <w:lang w:val="hy-AM"/>
              </w:rPr>
              <w:t xml:space="preserve"> </w:t>
            </w:r>
            <w:r w:rsidRPr="0053423A">
              <w:rPr>
                <w:rFonts w:cs="Sylfaen"/>
                <w:lang w:val="hy-AM"/>
              </w:rPr>
              <w:t>է</w:t>
            </w:r>
            <w:r w:rsidRPr="0053423A">
              <w:rPr>
                <w:rFonts w:cs="Calibri"/>
                <w:lang w:val="hy-AM"/>
              </w:rPr>
              <w:t xml:space="preserve"> </w:t>
            </w:r>
            <w:r w:rsidRPr="0053423A">
              <w:rPr>
                <w:rFonts w:cs="Sylfaen"/>
                <w:lang w:val="hy-AM"/>
              </w:rPr>
              <w:t>բազմաթիվ</w:t>
            </w:r>
            <w:r w:rsidRPr="0053423A">
              <w:rPr>
                <w:lang w:val="hy-AM"/>
              </w:rPr>
              <w:t xml:space="preserve"> </w:t>
            </w:r>
            <w:r w:rsidRPr="0053423A">
              <w:rPr>
                <w:rFonts w:cs="Sylfaen"/>
                <w:lang w:val="hy-AM"/>
              </w:rPr>
              <w:t>բնածին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տեխնածին վտանգների բարձր</w:t>
            </w:r>
            <w:r w:rsidRPr="0053423A">
              <w:rPr>
                <w:rFonts w:cs="Calibri"/>
                <w:lang w:val="hy-AM"/>
              </w:rPr>
              <w:t xml:space="preserve"> </w:t>
            </w:r>
            <w:r w:rsidRPr="0053423A">
              <w:rPr>
                <w:rFonts w:cs="Sylfaen"/>
                <w:lang w:val="hy-AM"/>
              </w:rPr>
              <w:t>ռիսկային</w:t>
            </w:r>
            <w:r w:rsidRPr="0053423A">
              <w:rPr>
                <w:lang w:val="hy-AM"/>
              </w:rPr>
              <w:t xml:space="preserve"> </w:t>
            </w:r>
            <w:r w:rsidRPr="0053423A">
              <w:rPr>
                <w:rFonts w:cs="Sylfaen"/>
                <w:lang w:val="hy-AM"/>
              </w:rPr>
              <w:t>գոտում</w:t>
            </w:r>
            <w:r w:rsidRPr="0053423A">
              <w:rPr>
                <w:rFonts w:cs="Calibri"/>
                <w:lang w:val="hy-AM"/>
              </w:rPr>
              <w:t xml:space="preserve"> </w:t>
            </w:r>
            <w:r w:rsidRPr="0053423A">
              <w:rPr>
                <w:rFonts w:cs="Sylfaen"/>
                <w:lang w:val="hy-AM"/>
              </w:rPr>
              <w:t>և</w:t>
            </w:r>
            <w:r w:rsidRPr="0053423A">
              <w:rPr>
                <w:rFonts w:cs="Calibri"/>
                <w:lang w:val="hy-AM"/>
              </w:rPr>
              <w:t xml:space="preserve"> խ</w:t>
            </w:r>
            <w:r w:rsidRPr="0053423A">
              <w:rPr>
                <w:rFonts w:cs="Sylfaen"/>
                <w:lang w:val="hy-AM"/>
              </w:rPr>
              <w:t>ոշոր</w:t>
            </w:r>
            <w:r w:rsidRPr="0053423A">
              <w:rPr>
                <w:lang w:val="hy-AM"/>
              </w:rPr>
              <w:t xml:space="preserve"> </w:t>
            </w:r>
            <w:r w:rsidRPr="0053423A">
              <w:rPr>
                <w:rFonts w:cs="Sylfaen"/>
                <w:lang w:val="hy-AM"/>
              </w:rPr>
              <w:t>աղետների</w:t>
            </w:r>
            <w:r w:rsidRPr="0053423A">
              <w:rPr>
                <w:lang w:val="hy-AM"/>
              </w:rPr>
              <w:t xml:space="preserve"> </w:t>
            </w:r>
            <w:r w:rsidRPr="0053423A">
              <w:rPr>
                <w:rFonts w:cs="Sylfaen"/>
                <w:lang w:val="hy-AM"/>
              </w:rPr>
              <w:t xml:space="preserve">դեպքում </w:t>
            </w:r>
            <w:r w:rsidRPr="0053423A">
              <w:rPr>
                <w:lang w:val="hy-AM"/>
              </w:rPr>
              <w:t xml:space="preserve"> </w:t>
            </w:r>
            <w:r w:rsidRPr="0053423A">
              <w:rPr>
                <w:rFonts w:cs="Sylfaen"/>
                <w:lang w:val="hy-AM"/>
              </w:rPr>
              <w:t>ենթակա</w:t>
            </w:r>
            <w:r w:rsidRPr="0053423A">
              <w:rPr>
                <w:rFonts w:cs="Calibri"/>
                <w:lang w:val="hy-AM"/>
              </w:rPr>
              <w:t xml:space="preserve"> </w:t>
            </w:r>
            <w:r w:rsidRPr="0053423A">
              <w:rPr>
                <w:rFonts w:cs="Sylfaen"/>
                <w:lang w:val="hy-AM"/>
              </w:rPr>
              <w:t>է</w:t>
            </w:r>
            <w:r w:rsidRPr="0053423A">
              <w:rPr>
                <w:rFonts w:cs="Calibri"/>
                <w:lang w:val="hy-AM"/>
              </w:rPr>
              <w:t xml:space="preserve"> </w:t>
            </w:r>
            <w:r w:rsidRPr="0053423A">
              <w:rPr>
                <w:rFonts w:cs="Sylfaen"/>
                <w:lang w:val="hy-AM"/>
              </w:rPr>
              <w:t>պոտենցիալ</w:t>
            </w:r>
            <w:r w:rsidRPr="0053423A">
              <w:rPr>
                <w:lang w:val="hy-AM"/>
              </w:rPr>
              <w:t xml:space="preserve"> </w:t>
            </w:r>
            <w:r w:rsidRPr="0053423A">
              <w:rPr>
                <w:rFonts w:cs="Sylfaen"/>
                <w:lang w:val="hy-AM"/>
              </w:rPr>
              <w:t>լուրջ</w:t>
            </w:r>
            <w:r w:rsidRPr="0053423A">
              <w:rPr>
                <w:lang w:val="hy-AM"/>
              </w:rPr>
              <w:t xml:space="preserve"> </w:t>
            </w:r>
            <w:r w:rsidRPr="0053423A">
              <w:rPr>
                <w:rFonts w:cs="Sylfaen"/>
                <w:lang w:val="hy-AM"/>
              </w:rPr>
              <w:t>մարդկային, նյութական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տնտեսական</w:t>
            </w:r>
            <w:r w:rsidRPr="0053423A">
              <w:rPr>
                <w:lang w:val="hy-AM"/>
              </w:rPr>
              <w:t xml:space="preserve"> </w:t>
            </w:r>
            <w:r w:rsidRPr="0053423A">
              <w:rPr>
                <w:rFonts w:cs="Sylfaen"/>
                <w:lang w:val="hy-AM"/>
              </w:rPr>
              <w:t>կորուստների</w:t>
            </w:r>
            <w:r w:rsidRPr="0053423A">
              <w:rPr>
                <w:rFonts w:cs="Calibri"/>
                <w:lang w:val="hy-AM"/>
              </w:rPr>
              <w:t xml:space="preserve">: </w:t>
            </w:r>
            <w:r w:rsidRPr="0053423A">
              <w:rPr>
                <w:rFonts w:cs="Sylfaen"/>
                <w:lang w:val="hy-AM"/>
              </w:rPr>
              <w:t>Հանրապետության տարածքին առանձնահատուկ բնական  աղետների առկայությունը բացատրվում է բարդ ռելիեֆային և բնակլիմայական բազմազանությամբ: Ամռան ամիսներին հրդեհավտանգ իրավիճակ է ստեղծվում անտառային տարածքներում: Դիմակայել հրդեհներին առկա միջոցներով դժվար է՝ եթե հաշվի առնենք բարդ ռելիեֆը:</w:t>
            </w:r>
          </w:p>
          <w:p w:rsidR="006B0618" w:rsidRPr="0053423A" w:rsidRDefault="006B0618" w:rsidP="00A67858">
            <w:pPr>
              <w:numPr>
                <w:ilvl w:val="1"/>
                <w:numId w:val="72"/>
              </w:numPr>
              <w:spacing w:line="276" w:lineRule="auto"/>
              <w:ind w:left="0" w:right="256"/>
              <w:rPr>
                <w:b/>
                <w:lang w:val="hy-AM"/>
              </w:rPr>
            </w:pPr>
            <w:r w:rsidRPr="0053423A">
              <w:rPr>
                <w:b/>
                <w:lang w:val="hy-AM"/>
              </w:rPr>
              <w:t>Կարգավորման հարաբերությունների ներկա վիճակը և առկա խնդիրները</w:t>
            </w:r>
          </w:p>
          <w:p w:rsidR="006B0618" w:rsidRPr="0053423A" w:rsidRDefault="006B0618" w:rsidP="00A67858">
            <w:pPr>
              <w:spacing w:line="276" w:lineRule="auto"/>
              <w:ind w:right="256" w:firstLine="360"/>
              <w:rPr>
                <w:lang w:val="hy-AM"/>
              </w:rPr>
            </w:pPr>
            <w:r w:rsidRPr="0053423A">
              <w:rPr>
                <w:lang w:val="hy-AM"/>
              </w:rPr>
              <w:t>Հրշեջ-փրկարարական ջոկատների տեղակայվածությունը, տեխնիկայի անբավարար քանակությունը խոչնդոտում են արագ արձագանքմանը, հրդեհաշիջման աշխատանքների ժամանակին և արդյունավետ կազմակերպմանը:</w:t>
            </w:r>
          </w:p>
          <w:p w:rsidR="006B0618" w:rsidRPr="0053423A" w:rsidRDefault="006B0618" w:rsidP="00A67858">
            <w:pPr>
              <w:spacing w:line="276" w:lineRule="auto"/>
              <w:ind w:right="256"/>
              <w:rPr>
                <w:b/>
                <w:lang w:val="hy-AM"/>
              </w:rPr>
            </w:pPr>
            <w:r w:rsidRPr="0053423A">
              <w:rPr>
                <w:rFonts w:cs="Sylfaen"/>
                <w:lang w:val="hy-AM"/>
              </w:rPr>
              <w:t xml:space="preserve"> </w:t>
            </w:r>
            <w:r w:rsidRPr="0053423A">
              <w:rPr>
                <w:b/>
                <w:lang w:val="hy-AM"/>
              </w:rPr>
              <w:t>1.2 Առկա խնդիրների առաջարկվող լուծումները</w:t>
            </w:r>
          </w:p>
          <w:p w:rsidR="006B0618" w:rsidRPr="0053423A" w:rsidRDefault="006B0618" w:rsidP="00A67858">
            <w:pPr>
              <w:pStyle w:val="ListParagraph"/>
              <w:spacing w:line="276" w:lineRule="auto"/>
              <w:ind w:left="0" w:right="256" w:firstLine="360"/>
              <w:rPr>
                <w:lang w:val="hy-AM"/>
              </w:rPr>
            </w:pPr>
            <w:r w:rsidRPr="0053423A">
              <w:rPr>
                <w:lang w:val="hy-AM"/>
              </w:rPr>
              <w:t xml:space="preserve">Անհրաժեշտ է զարգացնել և կատարելագործել փրկարարական համակարգը  համապատասխան ժամանակակից պահանջներին, զուգահեռաբար ապահովելով հրշեջ-փրկարար ջոկատներին հրդեհաշիջման ժամանակակից տեխնիկայով: </w:t>
            </w:r>
          </w:p>
          <w:p w:rsidR="006B0618" w:rsidRPr="0053423A" w:rsidRDefault="006B0618" w:rsidP="00A67858">
            <w:pPr>
              <w:pStyle w:val="ListParagraph"/>
              <w:spacing w:line="276" w:lineRule="auto"/>
              <w:ind w:left="0" w:right="256" w:firstLine="360"/>
              <w:rPr>
                <w:lang w:val="hy-AM"/>
              </w:rPr>
            </w:pPr>
            <w:r w:rsidRPr="0053423A">
              <w:rPr>
                <w:color w:val="333333"/>
                <w:shd w:val="clear" w:color="auto" w:fill="FFFFFF"/>
                <w:lang w:val="hy-AM"/>
              </w:rPr>
              <w:t>Ճապոնիայի կառավարության Զարգացմանն ուղղված պաշտոնական օգնության ծրագրերի շրջանակներում Ճապոնիայի միջազգային համագործակցության գործակալության կողմից (JICA) տրամադրվել է  36 հրշեջ, 3 շարժասանդուղք և 1 կարգավար ավտոմեքենաներ՝ միլիոն ճապոնական իեն ընդհանուր արժողությամբ: Ծրագիրը իրականացվելու է 3 փուլերով, 1-ին փուլը իրականացվել է, մայիսի 6-ին, մյուս երկու փուլերը կիրականացվեն 2019 թվականի մարտ-ապրիլ և 2020 թվականի հունվար-փետրվար ամիսներին:</w:t>
            </w:r>
          </w:p>
          <w:p w:rsidR="006B0618" w:rsidRPr="0053423A" w:rsidRDefault="006B0618" w:rsidP="00A67858">
            <w:pPr>
              <w:spacing w:line="276" w:lineRule="auto"/>
              <w:ind w:right="256"/>
              <w:rPr>
                <w:b/>
                <w:lang w:val="hy-AM"/>
              </w:rPr>
            </w:pPr>
            <w:r w:rsidRPr="0053423A">
              <w:rPr>
                <w:b/>
                <w:lang w:val="hy-AM"/>
              </w:rPr>
              <w:t>2. Միջոցառման իրականացումից ակնկալվող արդյունքը</w:t>
            </w:r>
          </w:p>
          <w:p w:rsidR="006B0618" w:rsidRPr="0053423A" w:rsidRDefault="006B0618" w:rsidP="00A67858">
            <w:pPr>
              <w:pStyle w:val="ListParagraph"/>
              <w:spacing w:line="276" w:lineRule="auto"/>
              <w:ind w:left="0" w:right="256" w:firstLine="360"/>
              <w:rPr>
                <w:lang w:val="pt-BR"/>
              </w:rPr>
            </w:pPr>
            <w:r w:rsidRPr="0053423A">
              <w:rPr>
                <w:rFonts w:cs="Sylfaen"/>
                <w:lang w:val="de-DE"/>
              </w:rPr>
              <w:t>Հանրապետության ամբողջ տարածքում անհրաժեշտ ուժերի և միջոցների արդյունավետ տեղաբաշխվածություն՝ բարդ իրավիճակներում լայնամասշտաբ աղետներին արձագանքելու, արագ կողմնորոշվելու և ճիշտ որոշումներ կայացնելու, աղետալի հետևանքներից խուսափելու նպատակով:</w:t>
            </w:r>
          </w:p>
        </w:tc>
      </w:tr>
      <w:tr w:rsidR="006B0618" w:rsidRPr="00DE2EFA" w:rsidTr="001F6D5D">
        <w:tc>
          <w:tcPr>
            <w:tcW w:w="691" w:type="dxa"/>
          </w:tcPr>
          <w:p w:rsidR="006B0618" w:rsidRPr="0053423A" w:rsidRDefault="001F6D5D" w:rsidP="00A67858">
            <w:pPr>
              <w:spacing w:line="276" w:lineRule="auto"/>
              <w:rPr>
                <w:lang w:val="hy-AM"/>
              </w:rPr>
            </w:pPr>
            <w:r>
              <w:rPr>
                <w:lang w:val="hy-AM"/>
              </w:rPr>
              <w:t>67</w:t>
            </w:r>
          </w:p>
        </w:tc>
        <w:tc>
          <w:tcPr>
            <w:tcW w:w="10649" w:type="dxa"/>
          </w:tcPr>
          <w:p w:rsidR="006B0618" w:rsidRPr="0053423A" w:rsidRDefault="00615BBB" w:rsidP="00A67858">
            <w:pPr>
              <w:pStyle w:val="ListParagraph"/>
              <w:spacing w:line="276" w:lineRule="auto"/>
              <w:ind w:left="-14" w:right="259" w:firstLine="14"/>
              <w:jc w:val="center"/>
              <w:rPr>
                <w:b/>
                <w:i/>
                <w:lang w:val="hy-AM"/>
              </w:rPr>
            </w:pPr>
            <w:r>
              <w:rPr>
                <w:lang w:val="hy-AM"/>
              </w:rPr>
              <w:t>67</w:t>
            </w:r>
            <w:r w:rsidRPr="00367A64">
              <w:rPr>
                <w:lang w:val="hy-AM"/>
              </w:rPr>
              <w:t>.</w:t>
            </w:r>
            <w:r w:rsidRPr="00FC1685">
              <w:rPr>
                <w:lang w:val="hy-AM"/>
              </w:rPr>
              <w:t xml:space="preserve">1 </w:t>
            </w:r>
            <w:r w:rsidR="006B0618" w:rsidRPr="0053423A">
              <w:rPr>
                <w:b/>
                <w:i/>
                <w:lang w:val="hy-AM"/>
              </w:rPr>
              <w:t>Երևանում, Սյունիքի, Վայոց ձորի, Տավուշի և Գեղարքունիքի մարզերում կամավորական արձագանքման խմբերի ստեղծում, դասընթացների և վարժանքների իրականացում</w:t>
            </w:r>
          </w:p>
          <w:p w:rsidR="006B0618" w:rsidRPr="0053423A" w:rsidRDefault="006B0618" w:rsidP="00A67858">
            <w:pPr>
              <w:pStyle w:val="ListParagraph"/>
              <w:spacing w:line="276" w:lineRule="auto"/>
              <w:ind w:left="-14" w:right="259" w:firstLine="14"/>
              <w:jc w:val="center"/>
              <w:rPr>
                <w:rFonts w:cs="Calibri"/>
                <w:b/>
                <w:i/>
                <w:lang w:val="pt-BR"/>
              </w:rPr>
            </w:pPr>
          </w:p>
          <w:p w:rsidR="006B0618" w:rsidRPr="0053423A" w:rsidRDefault="006B0618" w:rsidP="00A67858">
            <w:pPr>
              <w:pStyle w:val="ListParagraph"/>
              <w:numPr>
                <w:ilvl w:val="0"/>
                <w:numId w:val="73"/>
              </w:numPr>
              <w:tabs>
                <w:tab w:val="left" w:pos="360"/>
              </w:tabs>
              <w:spacing w:line="276" w:lineRule="auto"/>
              <w:ind w:left="-14" w:right="259" w:firstLine="14"/>
              <w:rPr>
                <w:b/>
                <w:lang w:val="pt-BR"/>
              </w:rPr>
            </w:pPr>
            <w:r w:rsidRPr="0053423A">
              <w:rPr>
                <w:b/>
              </w:rPr>
              <w:t>Միջոցառման</w:t>
            </w:r>
            <w:r w:rsidRPr="0053423A">
              <w:rPr>
                <w:b/>
                <w:lang w:val="pt-BR"/>
              </w:rPr>
              <w:t xml:space="preserve"> </w:t>
            </w:r>
            <w:r w:rsidRPr="0053423A">
              <w:rPr>
                <w:b/>
              </w:rPr>
              <w:t>իրակացման</w:t>
            </w:r>
            <w:r w:rsidRPr="0053423A">
              <w:rPr>
                <w:b/>
                <w:lang w:val="pt-BR"/>
              </w:rPr>
              <w:t xml:space="preserve"> </w:t>
            </w:r>
            <w:r w:rsidRPr="0053423A">
              <w:rPr>
                <w:b/>
              </w:rPr>
              <w:t>անհրաժեշտությունը</w:t>
            </w:r>
            <w:r w:rsidRPr="0053423A">
              <w:rPr>
                <w:b/>
                <w:lang w:val="pt-BR"/>
              </w:rPr>
              <w:t xml:space="preserve"> </w:t>
            </w:r>
            <w:r w:rsidRPr="0053423A">
              <w:rPr>
                <w:b/>
              </w:rPr>
              <w:t>և</w:t>
            </w:r>
            <w:r w:rsidRPr="0053423A">
              <w:rPr>
                <w:b/>
                <w:lang w:val="pt-BR"/>
              </w:rPr>
              <w:t xml:space="preserve"> </w:t>
            </w:r>
            <w:r w:rsidRPr="0053423A">
              <w:rPr>
                <w:b/>
              </w:rPr>
              <w:t>նպատակը</w:t>
            </w:r>
          </w:p>
          <w:p w:rsidR="006B0618" w:rsidRPr="0053423A" w:rsidRDefault="006B0618" w:rsidP="00A67858">
            <w:pPr>
              <w:pStyle w:val="ListParagraph"/>
              <w:spacing w:line="276" w:lineRule="auto"/>
              <w:ind w:left="-14" w:right="259" w:firstLine="14"/>
              <w:rPr>
                <w:rFonts w:cs="Calibri"/>
                <w:b/>
                <w:lang w:val="pt-BR"/>
              </w:rPr>
            </w:pPr>
            <w:r w:rsidRPr="0053423A">
              <w:t>Փրկարարական</w:t>
            </w:r>
            <w:r w:rsidRPr="0053423A">
              <w:rPr>
                <w:lang w:val="pt-BR"/>
              </w:rPr>
              <w:t xml:space="preserve"> </w:t>
            </w:r>
            <w:r w:rsidRPr="0053423A">
              <w:t>և</w:t>
            </w:r>
            <w:r w:rsidRPr="0053423A">
              <w:rPr>
                <w:lang w:val="pt-BR"/>
              </w:rPr>
              <w:t xml:space="preserve"> </w:t>
            </w:r>
            <w:r w:rsidRPr="0053423A">
              <w:t>արագ</w:t>
            </w:r>
            <w:r w:rsidRPr="0053423A">
              <w:rPr>
                <w:lang w:val="pt-BR"/>
              </w:rPr>
              <w:t xml:space="preserve"> </w:t>
            </w:r>
            <w:r w:rsidRPr="0053423A">
              <w:t>արձագանքման</w:t>
            </w:r>
            <w:r w:rsidRPr="0053423A">
              <w:rPr>
                <w:lang w:val="pt-BR"/>
              </w:rPr>
              <w:t xml:space="preserve"> </w:t>
            </w:r>
            <w:r w:rsidRPr="0053423A">
              <w:t>այլ</w:t>
            </w:r>
            <w:r w:rsidRPr="0053423A">
              <w:rPr>
                <w:lang w:val="pt-BR"/>
              </w:rPr>
              <w:t xml:space="preserve"> </w:t>
            </w:r>
            <w:r w:rsidRPr="0053423A">
              <w:t>ուժերի</w:t>
            </w:r>
            <w:r w:rsidRPr="0053423A">
              <w:rPr>
                <w:lang w:val="pt-BR"/>
              </w:rPr>
              <w:t xml:space="preserve"> </w:t>
            </w:r>
            <w:r w:rsidRPr="0053423A">
              <w:t>ստեղծումն</w:t>
            </w:r>
            <w:r w:rsidRPr="0053423A">
              <w:rPr>
                <w:lang w:val="pt-BR"/>
              </w:rPr>
              <w:t xml:space="preserve"> </w:t>
            </w:r>
            <w:r w:rsidRPr="0053423A">
              <w:t>ու</w:t>
            </w:r>
            <w:r w:rsidRPr="0053423A">
              <w:rPr>
                <w:lang w:val="pt-BR"/>
              </w:rPr>
              <w:t xml:space="preserve"> </w:t>
            </w:r>
            <w:r w:rsidRPr="0053423A">
              <w:t>զարգացումն</w:t>
            </w:r>
            <w:r w:rsidRPr="0053423A">
              <w:rPr>
                <w:lang w:val="pt-BR"/>
              </w:rPr>
              <w:t xml:space="preserve"> </w:t>
            </w:r>
            <w:r w:rsidRPr="0053423A">
              <w:t>անհրաժեշտ</w:t>
            </w:r>
            <w:r w:rsidRPr="0053423A">
              <w:rPr>
                <w:lang w:val="pt-BR"/>
              </w:rPr>
              <w:t xml:space="preserve"> </w:t>
            </w:r>
            <w:r w:rsidRPr="0053423A">
              <w:t>է</w:t>
            </w:r>
            <w:r w:rsidRPr="0053423A">
              <w:rPr>
                <w:lang w:val="pt-BR"/>
              </w:rPr>
              <w:t xml:space="preserve"> </w:t>
            </w:r>
            <w:r w:rsidRPr="0053423A">
              <w:t>տարեցտարի</w:t>
            </w:r>
            <w:r w:rsidRPr="0053423A">
              <w:rPr>
                <w:lang w:val="pt-BR"/>
              </w:rPr>
              <w:t xml:space="preserve"> </w:t>
            </w:r>
            <w:r w:rsidRPr="0053423A">
              <w:t>աճող</w:t>
            </w:r>
            <w:r w:rsidRPr="0053423A">
              <w:rPr>
                <w:lang w:val="pt-BR"/>
              </w:rPr>
              <w:t xml:space="preserve"> </w:t>
            </w:r>
            <w:r w:rsidRPr="0053423A">
              <w:t>արտակարգ</w:t>
            </w:r>
            <w:r w:rsidRPr="0053423A">
              <w:rPr>
                <w:lang w:val="pt-BR"/>
              </w:rPr>
              <w:t xml:space="preserve"> </w:t>
            </w:r>
            <w:r w:rsidRPr="0053423A">
              <w:t>իրավիճակներին</w:t>
            </w:r>
            <w:r w:rsidRPr="0053423A">
              <w:rPr>
                <w:lang w:val="pt-BR"/>
              </w:rPr>
              <w:t xml:space="preserve"> </w:t>
            </w:r>
            <w:r w:rsidRPr="0053423A">
              <w:t>ավելի</w:t>
            </w:r>
            <w:r w:rsidRPr="0053423A">
              <w:rPr>
                <w:lang w:val="pt-BR"/>
              </w:rPr>
              <w:t xml:space="preserve"> </w:t>
            </w:r>
            <w:r w:rsidRPr="0053423A">
              <w:t>արդյունավետ</w:t>
            </w:r>
            <w:r w:rsidRPr="0053423A">
              <w:rPr>
                <w:lang w:val="pt-BR"/>
              </w:rPr>
              <w:t xml:space="preserve"> </w:t>
            </w:r>
            <w:r w:rsidRPr="0053423A">
              <w:t>արձագանքելու</w:t>
            </w:r>
            <w:r w:rsidRPr="0053423A">
              <w:rPr>
                <w:lang w:val="pt-BR"/>
              </w:rPr>
              <w:t xml:space="preserve"> </w:t>
            </w:r>
            <w:r w:rsidRPr="0053423A">
              <w:t>համար</w:t>
            </w:r>
            <w:r w:rsidRPr="0053423A">
              <w:rPr>
                <w:lang w:val="pt-BR"/>
              </w:rPr>
              <w:t xml:space="preserve">: </w:t>
            </w:r>
            <w:r w:rsidRPr="0053423A">
              <w:t>Փրկարարական</w:t>
            </w:r>
            <w:r w:rsidRPr="0053423A">
              <w:rPr>
                <w:lang w:val="pt-BR"/>
              </w:rPr>
              <w:t xml:space="preserve"> </w:t>
            </w:r>
            <w:r w:rsidRPr="0053423A">
              <w:t>և</w:t>
            </w:r>
            <w:r w:rsidRPr="0053423A">
              <w:rPr>
                <w:lang w:val="pt-BR"/>
              </w:rPr>
              <w:t xml:space="preserve"> </w:t>
            </w:r>
            <w:r w:rsidRPr="0053423A">
              <w:t>արագ</w:t>
            </w:r>
            <w:r w:rsidRPr="0053423A">
              <w:rPr>
                <w:lang w:val="pt-BR"/>
              </w:rPr>
              <w:t xml:space="preserve"> </w:t>
            </w:r>
            <w:r w:rsidRPr="0053423A">
              <w:t>արձագանքման</w:t>
            </w:r>
            <w:r w:rsidRPr="0053423A">
              <w:rPr>
                <w:lang w:val="pt-BR"/>
              </w:rPr>
              <w:t xml:space="preserve"> </w:t>
            </w:r>
            <w:r w:rsidRPr="0053423A">
              <w:t>այլ</w:t>
            </w:r>
            <w:r w:rsidRPr="0053423A">
              <w:rPr>
                <w:lang w:val="pt-BR"/>
              </w:rPr>
              <w:t xml:space="preserve"> </w:t>
            </w:r>
            <w:r w:rsidRPr="0053423A">
              <w:t>ուժերի</w:t>
            </w:r>
            <w:r w:rsidRPr="0053423A">
              <w:rPr>
                <w:lang w:val="pt-BR"/>
              </w:rPr>
              <w:t xml:space="preserve"> </w:t>
            </w:r>
            <w:r w:rsidRPr="0053423A">
              <w:t>ստեղծման</w:t>
            </w:r>
            <w:r w:rsidRPr="0053423A">
              <w:rPr>
                <w:lang w:val="pt-BR"/>
              </w:rPr>
              <w:t xml:space="preserve"> </w:t>
            </w:r>
            <w:r w:rsidRPr="0053423A">
              <w:t>ու</w:t>
            </w:r>
            <w:r w:rsidRPr="0053423A">
              <w:rPr>
                <w:lang w:val="pt-BR"/>
              </w:rPr>
              <w:t xml:space="preserve"> </w:t>
            </w:r>
            <w:r w:rsidRPr="0053423A">
              <w:t>զարգացման</w:t>
            </w:r>
            <w:r w:rsidRPr="0053423A">
              <w:rPr>
                <w:lang w:val="pt-BR"/>
              </w:rPr>
              <w:t xml:space="preserve"> </w:t>
            </w:r>
            <w:r w:rsidRPr="0053423A">
              <w:t>հիմնական</w:t>
            </w:r>
            <w:r w:rsidRPr="0053423A">
              <w:rPr>
                <w:lang w:val="pt-BR"/>
              </w:rPr>
              <w:t xml:space="preserve"> </w:t>
            </w:r>
            <w:r w:rsidRPr="0053423A">
              <w:t>նպատակներն</w:t>
            </w:r>
            <w:r w:rsidRPr="0053423A">
              <w:rPr>
                <w:lang w:val="pt-BR"/>
              </w:rPr>
              <w:t xml:space="preserve"> </w:t>
            </w:r>
            <w:r w:rsidRPr="0053423A">
              <w:t>են՝</w:t>
            </w:r>
            <w:r w:rsidRPr="0053423A">
              <w:rPr>
                <w:lang w:val="pt-BR"/>
              </w:rPr>
              <w:t xml:space="preserve"> </w:t>
            </w:r>
            <w:r w:rsidRPr="0053423A">
              <w:t>կանխել</w:t>
            </w:r>
            <w:r w:rsidRPr="0053423A">
              <w:rPr>
                <w:lang w:val="pt-BR"/>
              </w:rPr>
              <w:t xml:space="preserve"> </w:t>
            </w:r>
            <w:r w:rsidRPr="0053423A">
              <w:t>արտակարգ</w:t>
            </w:r>
            <w:r w:rsidRPr="0053423A">
              <w:rPr>
                <w:lang w:val="pt-BR"/>
              </w:rPr>
              <w:t xml:space="preserve"> </w:t>
            </w:r>
            <w:r w:rsidRPr="0053423A">
              <w:t>իրավիճակների</w:t>
            </w:r>
            <w:r w:rsidRPr="0053423A">
              <w:rPr>
                <w:lang w:val="pt-BR"/>
              </w:rPr>
              <w:t xml:space="preserve"> </w:t>
            </w:r>
            <w:r w:rsidRPr="0053423A">
              <w:t>հետագա</w:t>
            </w:r>
            <w:r w:rsidRPr="0053423A">
              <w:rPr>
                <w:lang w:val="pt-BR"/>
              </w:rPr>
              <w:t xml:space="preserve"> </w:t>
            </w:r>
            <w:r w:rsidRPr="0053423A">
              <w:t>տարածումը</w:t>
            </w:r>
            <w:r w:rsidRPr="0053423A">
              <w:rPr>
                <w:lang w:val="pt-BR"/>
              </w:rPr>
              <w:t xml:space="preserve"> </w:t>
            </w:r>
            <w:r w:rsidRPr="0053423A">
              <w:t>կամ</w:t>
            </w:r>
            <w:r w:rsidRPr="0053423A">
              <w:rPr>
                <w:lang w:val="pt-BR"/>
              </w:rPr>
              <w:t xml:space="preserve"> </w:t>
            </w:r>
            <w:r w:rsidRPr="0053423A">
              <w:t>մարդկանց</w:t>
            </w:r>
            <w:r w:rsidRPr="0053423A">
              <w:rPr>
                <w:lang w:val="pt-BR"/>
              </w:rPr>
              <w:t xml:space="preserve"> </w:t>
            </w:r>
            <w:r w:rsidRPr="0053423A">
              <w:t>կյանքին</w:t>
            </w:r>
            <w:r w:rsidRPr="0053423A">
              <w:rPr>
                <w:lang w:val="pt-BR"/>
              </w:rPr>
              <w:t xml:space="preserve"> </w:t>
            </w:r>
            <w:r w:rsidRPr="0053423A">
              <w:t>սպառնացող</w:t>
            </w:r>
            <w:r w:rsidRPr="0053423A">
              <w:rPr>
                <w:lang w:val="pt-BR"/>
              </w:rPr>
              <w:t xml:space="preserve"> </w:t>
            </w:r>
            <w:r w:rsidRPr="0053423A">
              <w:t>վտանգը</w:t>
            </w:r>
            <w:r w:rsidRPr="0053423A">
              <w:rPr>
                <w:lang w:val="pt-BR"/>
              </w:rPr>
              <w:t xml:space="preserve">, </w:t>
            </w:r>
            <w:r w:rsidRPr="0053423A">
              <w:t>վերացնել</w:t>
            </w:r>
            <w:r w:rsidRPr="0053423A">
              <w:rPr>
                <w:lang w:val="pt-BR"/>
              </w:rPr>
              <w:t xml:space="preserve"> </w:t>
            </w:r>
            <w:r w:rsidRPr="0053423A">
              <w:t>արտակարգ</w:t>
            </w:r>
            <w:r w:rsidRPr="0053423A">
              <w:rPr>
                <w:lang w:val="pt-BR"/>
              </w:rPr>
              <w:t xml:space="preserve"> </w:t>
            </w:r>
            <w:r w:rsidRPr="0053423A">
              <w:t>իրավիճակների</w:t>
            </w:r>
            <w:r w:rsidRPr="0053423A">
              <w:rPr>
                <w:lang w:val="pt-BR"/>
              </w:rPr>
              <w:t xml:space="preserve"> </w:t>
            </w:r>
            <w:r w:rsidRPr="0053423A">
              <w:t>հետևանքները</w:t>
            </w:r>
            <w:r w:rsidRPr="0053423A">
              <w:rPr>
                <w:lang w:val="pt-BR"/>
              </w:rPr>
              <w:t xml:space="preserve">, </w:t>
            </w:r>
            <w:r w:rsidRPr="0053423A">
              <w:t>իրականացնել</w:t>
            </w:r>
            <w:r w:rsidRPr="0053423A">
              <w:rPr>
                <w:lang w:val="pt-BR"/>
              </w:rPr>
              <w:t xml:space="preserve"> </w:t>
            </w:r>
            <w:r w:rsidRPr="0053423A">
              <w:t>փրկարարական</w:t>
            </w:r>
            <w:r w:rsidRPr="0053423A">
              <w:rPr>
                <w:lang w:val="pt-BR"/>
              </w:rPr>
              <w:t xml:space="preserve"> </w:t>
            </w:r>
            <w:r w:rsidRPr="0053423A">
              <w:t>աշխատանքներ</w:t>
            </w:r>
            <w:r w:rsidRPr="0053423A">
              <w:rPr>
                <w:lang w:val="pt-BR"/>
              </w:rPr>
              <w:t xml:space="preserve"> </w:t>
            </w:r>
            <w:r w:rsidRPr="0053423A">
              <w:t>կամ</w:t>
            </w:r>
            <w:r w:rsidRPr="0053423A">
              <w:rPr>
                <w:lang w:val="pt-BR"/>
              </w:rPr>
              <w:t xml:space="preserve"> </w:t>
            </w:r>
            <w:r w:rsidRPr="0053423A">
              <w:t>մարել</w:t>
            </w:r>
            <w:r w:rsidRPr="0053423A">
              <w:rPr>
                <w:lang w:val="pt-BR"/>
              </w:rPr>
              <w:t xml:space="preserve"> </w:t>
            </w:r>
            <w:r w:rsidRPr="0053423A">
              <w:t>դեռևս</w:t>
            </w:r>
            <w:r w:rsidRPr="0053423A">
              <w:rPr>
                <w:lang w:val="pt-BR"/>
              </w:rPr>
              <w:t xml:space="preserve"> </w:t>
            </w:r>
            <w:r w:rsidRPr="0053423A">
              <w:t>զարգացման</w:t>
            </w:r>
            <w:r w:rsidRPr="0053423A">
              <w:rPr>
                <w:lang w:val="pt-BR"/>
              </w:rPr>
              <w:t xml:space="preserve"> </w:t>
            </w:r>
            <w:r w:rsidRPr="0053423A">
              <w:t>սկզբնական</w:t>
            </w:r>
            <w:r w:rsidRPr="0053423A">
              <w:rPr>
                <w:lang w:val="pt-BR"/>
              </w:rPr>
              <w:t xml:space="preserve"> </w:t>
            </w:r>
            <w:r w:rsidRPr="0053423A">
              <w:t>փուլում</w:t>
            </w:r>
            <w:r w:rsidRPr="0053423A">
              <w:rPr>
                <w:lang w:val="pt-BR"/>
              </w:rPr>
              <w:t xml:space="preserve"> </w:t>
            </w:r>
            <w:r w:rsidRPr="0053423A">
              <w:t>գտնվող</w:t>
            </w:r>
            <w:r w:rsidRPr="0053423A">
              <w:rPr>
                <w:lang w:val="pt-BR"/>
              </w:rPr>
              <w:t xml:space="preserve"> </w:t>
            </w:r>
            <w:r w:rsidRPr="0053423A">
              <w:t>հրդեհը</w:t>
            </w:r>
            <w:r w:rsidRPr="0053423A">
              <w:rPr>
                <w:lang w:val="pt-BR"/>
              </w:rPr>
              <w:t xml:space="preserve">, </w:t>
            </w:r>
            <w:r w:rsidRPr="0053423A">
              <w:t>տուժածներին</w:t>
            </w:r>
            <w:r w:rsidRPr="0053423A">
              <w:rPr>
                <w:lang w:val="pt-BR"/>
              </w:rPr>
              <w:t xml:space="preserve"> </w:t>
            </w:r>
            <w:r w:rsidRPr="0053423A">
              <w:t>ցույց</w:t>
            </w:r>
            <w:r w:rsidRPr="0053423A">
              <w:rPr>
                <w:lang w:val="pt-BR"/>
              </w:rPr>
              <w:t xml:space="preserve"> </w:t>
            </w:r>
            <w:r w:rsidRPr="0053423A">
              <w:t>տալ</w:t>
            </w:r>
            <w:r w:rsidRPr="0053423A">
              <w:rPr>
                <w:lang w:val="pt-BR"/>
              </w:rPr>
              <w:t xml:space="preserve"> </w:t>
            </w:r>
            <w:r w:rsidRPr="0053423A">
              <w:t>առաջին</w:t>
            </w:r>
            <w:r w:rsidRPr="0053423A">
              <w:rPr>
                <w:lang w:val="pt-BR"/>
              </w:rPr>
              <w:t xml:space="preserve"> </w:t>
            </w:r>
            <w:r w:rsidRPr="0053423A">
              <w:t>օգնություն</w:t>
            </w:r>
            <w:r w:rsidRPr="0053423A">
              <w:rPr>
                <w:lang w:val="pt-BR"/>
              </w:rPr>
              <w:t xml:space="preserve">, </w:t>
            </w:r>
            <w:r w:rsidRPr="0053423A">
              <w:t>փրկել</w:t>
            </w:r>
            <w:r w:rsidRPr="0053423A">
              <w:rPr>
                <w:lang w:val="pt-BR"/>
              </w:rPr>
              <w:t xml:space="preserve"> </w:t>
            </w:r>
            <w:r w:rsidRPr="0053423A">
              <w:t>ինչպես</w:t>
            </w:r>
            <w:r w:rsidRPr="0053423A">
              <w:rPr>
                <w:lang w:val="pt-BR"/>
              </w:rPr>
              <w:t xml:space="preserve"> </w:t>
            </w:r>
            <w:r w:rsidRPr="0053423A">
              <w:t>մարդկային</w:t>
            </w:r>
            <w:r w:rsidRPr="0053423A">
              <w:rPr>
                <w:lang w:val="pt-BR"/>
              </w:rPr>
              <w:t xml:space="preserve"> </w:t>
            </w:r>
            <w:r w:rsidRPr="0053423A">
              <w:t>կյանքեր</w:t>
            </w:r>
            <w:r w:rsidRPr="0053423A">
              <w:rPr>
                <w:lang w:val="pt-BR"/>
              </w:rPr>
              <w:t xml:space="preserve">, </w:t>
            </w:r>
            <w:r w:rsidRPr="0053423A">
              <w:t>այնպես</w:t>
            </w:r>
            <w:r w:rsidRPr="0053423A">
              <w:rPr>
                <w:lang w:val="pt-BR"/>
              </w:rPr>
              <w:t xml:space="preserve"> </w:t>
            </w:r>
            <w:r w:rsidRPr="0053423A">
              <w:t>էլ</w:t>
            </w:r>
            <w:r w:rsidRPr="0053423A">
              <w:rPr>
                <w:lang w:val="pt-BR"/>
              </w:rPr>
              <w:t xml:space="preserve"> </w:t>
            </w:r>
            <w:r w:rsidRPr="0053423A">
              <w:t>նյութական</w:t>
            </w:r>
            <w:r w:rsidRPr="0053423A">
              <w:rPr>
                <w:lang w:val="pt-BR"/>
              </w:rPr>
              <w:t xml:space="preserve"> </w:t>
            </w:r>
            <w:r w:rsidRPr="0053423A">
              <w:t>և</w:t>
            </w:r>
            <w:r w:rsidRPr="0053423A">
              <w:rPr>
                <w:lang w:val="pt-BR"/>
              </w:rPr>
              <w:t xml:space="preserve"> </w:t>
            </w:r>
            <w:r w:rsidRPr="0053423A">
              <w:t>մշակույթային</w:t>
            </w:r>
            <w:r w:rsidRPr="0053423A">
              <w:rPr>
                <w:lang w:val="pt-BR"/>
              </w:rPr>
              <w:t xml:space="preserve"> </w:t>
            </w:r>
            <w:r w:rsidRPr="0053423A">
              <w:t>արժեքներ</w:t>
            </w:r>
            <w:r w:rsidRPr="0053423A">
              <w:rPr>
                <w:lang w:val="pt-BR"/>
              </w:rPr>
              <w:t xml:space="preserve">, </w:t>
            </w:r>
            <w:r w:rsidRPr="0053423A">
              <w:t>բարձրացնել</w:t>
            </w:r>
            <w:r w:rsidRPr="0053423A">
              <w:rPr>
                <w:lang w:val="pt-BR"/>
              </w:rPr>
              <w:t xml:space="preserve"> </w:t>
            </w:r>
            <w:r w:rsidRPr="0053423A">
              <w:t>արտակարգ</w:t>
            </w:r>
            <w:r w:rsidRPr="0053423A">
              <w:rPr>
                <w:lang w:val="pt-BR"/>
              </w:rPr>
              <w:t xml:space="preserve"> </w:t>
            </w:r>
            <w:r w:rsidRPr="0053423A">
              <w:t>իրավիճակներում</w:t>
            </w:r>
            <w:r w:rsidRPr="0053423A">
              <w:rPr>
                <w:lang w:val="pt-BR"/>
              </w:rPr>
              <w:t xml:space="preserve"> </w:t>
            </w:r>
            <w:r w:rsidRPr="0053423A">
              <w:t>բնակչության</w:t>
            </w:r>
            <w:r w:rsidRPr="0053423A">
              <w:rPr>
                <w:lang w:val="pt-BR"/>
              </w:rPr>
              <w:t xml:space="preserve"> </w:t>
            </w:r>
            <w:r w:rsidRPr="0053423A">
              <w:t>իրազեկվածության</w:t>
            </w:r>
            <w:r w:rsidRPr="0053423A">
              <w:rPr>
                <w:lang w:val="pt-BR"/>
              </w:rPr>
              <w:t xml:space="preserve"> </w:t>
            </w:r>
            <w:r w:rsidRPr="0053423A">
              <w:t>ու</w:t>
            </w:r>
            <w:r w:rsidRPr="0053423A">
              <w:rPr>
                <w:lang w:val="pt-BR"/>
              </w:rPr>
              <w:t xml:space="preserve"> </w:t>
            </w:r>
            <w:r w:rsidRPr="0053423A">
              <w:t>կրթվածության</w:t>
            </w:r>
            <w:r w:rsidRPr="0053423A">
              <w:rPr>
                <w:lang w:val="pt-BR"/>
              </w:rPr>
              <w:t xml:space="preserve"> </w:t>
            </w:r>
            <w:r w:rsidRPr="0053423A">
              <w:t>մակարդակը</w:t>
            </w:r>
            <w:r w:rsidRPr="0053423A">
              <w:rPr>
                <w:lang w:val="pt-BR"/>
              </w:rPr>
              <w:t>:</w:t>
            </w:r>
          </w:p>
          <w:p w:rsidR="006B0618" w:rsidRPr="0053423A" w:rsidRDefault="006B0618" w:rsidP="00A67858">
            <w:pPr>
              <w:spacing w:line="276" w:lineRule="auto"/>
              <w:ind w:left="-14" w:right="259" w:firstLine="14"/>
              <w:rPr>
                <w:b/>
                <w:lang w:val="hy-AM"/>
              </w:rPr>
            </w:pPr>
            <w:r w:rsidRPr="0053423A">
              <w:rPr>
                <w:b/>
                <w:lang w:val="hy-AM"/>
              </w:rPr>
              <w:t xml:space="preserve">1.1. </w:t>
            </w:r>
            <w:r w:rsidRPr="0053423A">
              <w:rPr>
                <w:b/>
              </w:rPr>
              <w:t>Կ</w:t>
            </w:r>
            <w:r w:rsidRPr="0053423A">
              <w:rPr>
                <w:b/>
                <w:lang w:val="hy-AM"/>
              </w:rPr>
              <w:t>արգավորման հարաբերությունների ներկա վիճակը և առկա խնդիրները</w:t>
            </w:r>
          </w:p>
          <w:p w:rsidR="006B0618" w:rsidRPr="0053423A" w:rsidRDefault="006B0618" w:rsidP="00A67858">
            <w:pPr>
              <w:pStyle w:val="ListParagraph"/>
              <w:spacing w:line="276" w:lineRule="auto"/>
              <w:ind w:left="-14" w:right="259" w:firstLine="14"/>
              <w:rPr>
                <w:rFonts w:cs="Sylfaen"/>
                <w:lang w:val="hy-AM"/>
              </w:rPr>
            </w:pPr>
            <w:r w:rsidRPr="0053423A">
              <w:rPr>
                <w:rFonts w:cs="Sylfaen"/>
                <w:lang w:val="hy-AM"/>
              </w:rPr>
              <w:t xml:space="preserve">Ներկայումս արտակարգ իրավիճակների արձագանքումն իրականացվում է Փրկարար ծառայության հերթապահ ստորաբաժանումների ուժերով, որոնց միջոցները բավարար չեն լայնածավալ աղետների արձագանքման համար: </w:t>
            </w:r>
            <w:r w:rsidRPr="0053423A">
              <w:rPr>
                <w:lang w:val="hy-AM"/>
              </w:rPr>
              <w:t>Հայաստանի Հանրապետությունում տարեկան արձանագրվող հազարավոր հրդեհների, բնական, տեխնածին աղետների և պատահարների հետևանքով զոհվում են հարյուրավոր մարդիկ, մի քանի հազարը՝ ստանում տարբեր աստիճանի վնասվածքներ, բնակչությանը և պետությանը պատճառվում է միլիարդավոր դրամների հասնող նյութական վնաս: Ամռան շոգ և չոր եղանակային պայմաներում Արտակարգ իրավիճակների նախարարության գրեթե բոլոր ստորաբաժանումներն աշխատում են գերբեռնվածությամբ, մի դեպքի վայրից մյուս դեպքի վայր մեկնում` անցնելով տասնյակ կիլոմետրեր, երբեմն էլ միաժամանակյա մի քանի դեպքերի արձագանքում: Սահմանամերձ և հեռավոր բնակավայրերը գտնվում են սպասարկող</w:t>
            </w:r>
            <w:r w:rsidRPr="0053423A">
              <w:rPr>
                <w:rFonts w:cs="Tahoma"/>
                <w:shd w:val="clear" w:color="auto" w:fill="FFFFFF"/>
                <w:lang w:val="hy-AM"/>
              </w:rPr>
              <w:t xml:space="preserve"> հրշեջ-փրկարարական ջոկատներից մինչև 48 կիլոմետր հեռավորության վրա, և </w:t>
            </w:r>
            <w:r w:rsidRPr="0053423A">
              <w:rPr>
                <w:lang w:val="hy-AM"/>
              </w:rPr>
              <w:t>հրշեջ-փրկարարական ջոկատների</w:t>
            </w:r>
            <w:r w:rsidRPr="0053423A">
              <w:rPr>
                <w:rFonts w:cs="Tahoma"/>
                <w:shd w:val="clear" w:color="auto" w:fill="FFFFFF"/>
                <w:lang w:val="hy-AM"/>
              </w:rPr>
              <w:t xml:space="preserve"> մարտական հաշվարկները, հատկապես սահմանամերձ և բարձր լեռնային համայնքների արտակարգ իրավիճակների դեպքերի սպասարկման համար, ոլորաններով անցնելիս առավելագույնը 20-30 կմ/ժամ արագությամբ են ընթանում` կանչի վայր հասնելով մինչև 50-60 րոպե ուշացումով, ուստի տեղի բնակիչները, շատ անգամ, չեն ահազանգում արտակարգ իրավիճակների դեպքերի վերաբերյալ, քանի որ, գիտակցում են, որ հեռավորության և ժամանակի կորուստի պատճառով արձագանքումն արդյունավետ չի կարող լինել:</w:t>
            </w:r>
          </w:p>
          <w:p w:rsidR="006B0618" w:rsidRPr="0053423A" w:rsidRDefault="006B0618" w:rsidP="00A67858">
            <w:pPr>
              <w:tabs>
                <w:tab w:val="left" w:pos="720"/>
                <w:tab w:val="left" w:pos="900"/>
              </w:tabs>
              <w:spacing w:line="276" w:lineRule="auto"/>
              <w:ind w:left="-14" w:right="259" w:firstLine="14"/>
              <w:rPr>
                <w:lang w:val="hy-AM"/>
              </w:rPr>
            </w:pPr>
            <w:r w:rsidRPr="0053423A">
              <w:rPr>
                <w:rFonts w:cs="Tahoma"/>
                <w:lang w:val="fr-FR"/>
              </w:rPr>
              <w:t xml:space="preserve">Ներկայումս  համայնքների խոշորացման հանգամանքից ելնելով, անհրաժեշտ է վերանայել և կազմավորել այն համայնքների ցանկը, որտեղ կստեղծվեն </w:t>
            </w:r>
            <w:r w:rsidRPr="0053423A">
              <w:rPr>
                <w:lang w:val="hy-AM"/>
              </w:rPr>
              <w:t>կամավորական հրշեջ-փրկարարական նոր հենակետեր:</w:t>
            </w:r>
          </w:p>
          <w:p w:rsidR="006B0618" w:rsidRPr="0053423A" w:rsidRDefault="006B0618" w:rsidP="00A67858">
            <w:pPr>
              <w:spacing w:line="276" w:lineRule="auto"/>
              <w:ind w:left="-14" w:right="259" w:firstLine="14"/>
              <w:rPr>
                <w:b/>
                <w:lang w:val="hy-AM"/>
              </w:rPr>
            </w:pPr>
            <w:r w:rsidRPr="0053423A">
              <w:rPr>
                <w:b/>
                <w:lang w:val="hy-AM"/>
              </w:rPr>
              <w:t>1.2. Առկա խնդիրների առաջարկվող լուծումները</w:t>
            </w:r>
          </w:p>
          <w:p w:rsidR="006B0618" w:rsidRPr="0053423A" w:rsidRDefault="006B0618" w:rsidP="00A67858">
            <w:pPr>
              <w:spacing w:line="276" w:lineRule="auto"/>
              <w:ind w:left="-14" w:right="259" w:firstLine="14"/>
              <w:rPr>
                <w:lang w:val="hy-AM"/>
              </w:rPr>
            </w:pPr>
            <w:r w:rsidRPr="0053423A">
              <w:rPr>
                <w:rFonts w:cs="Sylfaen"/>
                <w:lang w:val="hy-AM"/>
              </w:rPr>
              <w:t xml:space="preserve">Հայաստանի Հանրապետության սահմանամերձ և հեռավոր բնակավայրերում ստեղծել կամավորական հրշեջ-փրկարարական հենակետեր, կամավորներին ուսուցանել, որպեսզի </w:t>
            </w:r>
            <w:r w:rsidRPr="0053423A">
              <w:rPr>
                <w:lang w:val="hy-AM"/>
              </w:rPr>
              <w:t>մինչև հիմնական ուժերի դեպքի վայր ժամանելը, ուսուցանված  անձնակազմը  կանխի հրդեհի հետագա տարածումը`  դեռևս զարգացման սկզբնական փուլում:</w:t>
            </w:r>
          </w:p>
          <w:p w:rsidR="006B0618" w:rsidRPr="0053423A" w:rsidRDefault="006B0618" w:rsidP="00A67858">
            <w:pPr>
              <w:spacing w:line="276" w:lineRule="auto"/>
              <w:ind w:left="-14" w:right="259" w:firstLine="14"/>
              <w:rPr>
                <w:lang w:val="hy-AM"/>
              </w:rPr>
            </w:pPr>
            <w:r w:rsidRPr="0053423A">
              <w:rPr>
                <w:lang w:val="hy-AM"/>
              </w:rPr>
              <w:t>Մարզպետարանները, տեղական ինքնակառավարման մարմինները պետք է օժանդակեն մարզերում, համայնքներում կամավորական արձագանքման խմբերի ստեղծմանը, աջակցություն ցուցաբերեն այդ խմբերի ուսուցման կազմակերպման և վարժանքների իրականացման հարցերում:</w:t>
            </w:r>
          </w:p>
          <w:p w:rsidR="006B0618" w:rsidRPr="0053423A" w:rsidRDefault="006B0618" w:rsidP="00A67858">
            <w:pPr>
              <w:spacing w:line="276" w:lineRule="auto"/>
              <w:ind w:left="-14" w:right="259" w:firstLine="14"/>
              <w:rPr>
                <w:b/>
                <w:lang w:val="hy-AM"/>
              </w:rPr>
            </w:pPr>
            <w:r w:rsidRPr="0053423A">
              <w:rPr>
                <w:b/>
                <w:lang w:val="hy-AM"/>
              </w:rPr>
              <w:t>2. Միջոցառման իրականացումից ակնկալվող արդյունքը</w:t>
            </w:r>
          </w:p>
          <w:p w:rsidR="006B0618" w:rsidRPr="0053423A" w:rsidRDefault="006B0618" w:rsidP="00A67858">
            <w:pPr>
              <w:pStyle w:val="ListParagraph"/>
              <w:tabs>
                <w:tab w:val="left" w:pos="360"/>
              </w:tabs>
              <w:spacing w:line="276" w:lineRule="auto"/>
              <w:ind w:left="-14" w:right="259" w:firstLine="14"/>
              <w:rPr>
                <w:lang w:val="hy-AM"/>
              </w:rPr>
            </w:pPr>
            <w:r w:rsidRPr="0053423A">
              <w:rPr>
                <w:lang w:val="hy-AM"/>
              </w:rPr>
              <w:t xml:space="preserve">Լայնածավալ աղետների և հրդեհների կանխարգելումը, արձագանքումը և հետևանքների վերացման աշխատանքների համակարգումը դարձնել ավելի արդյունավետ: Արտակարգ իրավիճակներից և հրդեհներից մարդկային զոհերը և նյութական կորուստները նվազեցնել, բարձրացնել արտակարգ իրավիճակներում բնակչության իրազեկվածության ու կրթվածության մակարդակը: </w:t>
            </w:r>
            <w:r w:rsidRPr="0053423A">
              <w:rPr>
                <w:rFonts w:cs="Sylfaen"/>
                <w:shd w:val="clear" w:color="auto" w:fill="FFFFFF"/>
                <w:lang w:val="hy-AM"/>
              </w:rPr>
              <w:t>Կ</w:t>
            </w:r>
            <w:r w:rsidRPr="0053423A">
              <w:rPr>
                <w:lang w:val="hy-AM"/>
              </w:rPr>
              <w:t>րճատել արտակարգ իրավիճակների արձագանքման ժամանակահատվածը:</w:t>
            </w:r>
          </w:p>
        </w:tc>
      </w:tr>
      <w:tr w:rsidR="006B0618" w:rsidRPr="00DE2EFA" w:rsidTr="001F6D5D">
        <w:tc>
          <w:tcPr>
            <w:tcW w:w="691" w:type="dxa"/>
          </w:tcPr>
          <w:p w:rsidR="006B0618" w:rsidRPr="0053423A" w:rsidRDefault="001F6D5D" w:rsidP="00A67858">
            <w:pPr>
              <w:spacing w:line="276" w:lineRule="auto"/>
              <w:rPr>
                <w:lang w:val="hy-AM"/>
              </w:rPr>
            </w:pPr>
            <w:r>
              <w:rPr>
                <w:lang w:val="hy-AM"/>
              </w:rPr>
              <w:t>68</w:t>
            </w:r>
          </w:p>
        </w:tc>
        <w:tc>
          <w:tcPr>
            <w:tcW w:w="10649" w:type="dxa"/>
          </w:tcPr>
          <w:p w:rsidR="006B0618" w:rsidRPr="0053423A" w:rsidRDefault="00615BBB" w:rsidP="00A67858">
            <w:pPr>
              <w:spacing w:line="276" w:lineRule="auto"/>
              <w:ind w:left="-18" w:right="256" w:firstLine="18"/>
              <w:jc w:val="center"/>
              <w:rPr>
                <w:b/>
                <w:i/>
                <w:lang w:val="hy-AM"/>
              </w:rPr>
            </w:pPr>
            <w:r>
              <w:rPr>
                <w:lang w:val="hy-AM"/>
              </w:rPr>
              <w:t>68</w:t>
            </w:r>
            <w:r w:rsidRPr="00FC1685">
              <w:rPr>
                <w:lang w:val="hy-AM"/>
              </w:rPr>
              <w:t xml:space="preserve">.1  </w:t>
            </w:r>
            <w:r w:rsidR="006B0618" w:rsidRPr="0053423A">
              <w:rPr>
                <w:b/>
                <w:i/>
                <w:lang w:val="hy-AM"/>
              </w:rPr>
              <w:t>Աղետների</w:t>
            </w:r>
            <w:r w:rsidR="006B0618" w:rsidRPr="0053423A">
              <w:rPr>
                <w:rFonts w:cs="Sylfaen"/>
                <w:b/>
                <w:i/>
                <w:lang w:val="hy-AM"/>
              </w:rPr>
              <w:t xml:space="preserve"> վաղ ազդարար</w:t>
            </w:r>
            <w:r w:rsidR="006B0618" w:rsidRPr="0053423A">
              <w:rPr>
                <w:rFonts w:cs="Sylfaen"/>
                <w:b/>
                <w:i/>
                <w:lang w:val="hy-AM"/>
              </w:rPr>
              <w:softHyphen/>
              <w:t>ման համա</w:t>
            </w:r>
            <w:r w:rsidR="006B0618" w:rsidRPr="0053423A">
              <w:rPr>
                <w:rFonts w:cs="Sylfaen"/>
                <w:b/>
                <w:i/>
                <w:lang w:val="hy-AM"/>
              </w:rPr>
              <w:softHyphen/>
              <w:t xml:space="preserve">կարգի </w:t>
            </w:r>
            <w:r w:rsidR="006B0618" w:rsidRPr="0053423A">
              <w:rPr>
                <w:b/>
                <w:i/>
                <w:lang w:val="hy-AM"/>
              </w:rPr>
              <w:t>ձևա</w:t>
            </w:r>
            <w:r w:rsidR="006B0618" w:rsidRPr="0053423A">
              <w:rPr>
                <w:b/>
                <w:i/>
                <w:lang w:val="hy-AM"/>
              </w:rPr>
              <w:softHyphen/>
              <w:t xml:space="preserve">վորման հայեցակարգի լրամշակված նախագիծը ՀՀ վարչապետի աշխատակազմ ներկայացնելը </w:t>
            </w:r>
          </w:p>
          <w:p w:rsidR="006B0618" w:rsidRPr="0053423A" w:rsidRDefault="00615BBB" w:rsidP="00A67858">
            <w:pPr>
              <w:spacing w:line="276" w:lineRule="auto"/>
              <w:ind w:left="-18" w:right="256" w:firstLine="18"/>
              <w:jc w:val="center"/>
              <w:rPr>
                <w:rFonts w:cs="Sylfaen"/>
                <w:b/>
                <w:i/>
                <w:lang w:val="hy-AM"/>
              </w:rPr>
            </w:pPr>
            <w:r>
              <w:rPr>
                <w:rFonts w:cs="Sylfaen"/>
                <w:b/>
                <w:i/>
                <w:lang w:val="hy-AM"/>
              </w:rPr>
              <w:t>68</w:t>
            </w:r>
            <w:r w:rsidR="006B0618" w:rsidRPr="0053423A">
              <w:rPr>
                <w:rFonts w:cs="Sylfaen"/>
                <w:b/>
                <w:i/>
                <w:lang w:val="hy-AM"/>
              </w:rPr>
              <w:t>.2 Աղետների վաղ ազդարարման  կենտրոնացված համակարգի ներդրում</w:t>
            </w:r>
          </w:p>
          <w:p w:rsidR="006B0618" w:rsidRPr="0053423A" w:rsidRDefault="006B0618" w:rsidP="00A67858">
            <w:pPr>
              <w:spacing w:line="276" w:lineRule="auto"/>
              <w:ind w:left="-18" w:right="256" w:firstLine="18"/>
              <w:jc w:val="center"/>
              <w:rPr>
                <w:rFonts w:cs="Sylfaen"/>
                <w:b/>
                <w:i/>
                <w:lang w:val="hy-AM"/>
              </w:rPr>
            </w:pPr>
          </w:p>
          <w:p w:rsidR="006B0618" w:rsidRPr="0053423A" w:rsidRDefault="006B0618" w:rsidP="00A67858">
            <w:pPr>
              <w:pStyle w:val="ListParagraph"/>
              <w:spacing w:line="276" w:lineRule="auto"/>
              <w:ind w:left="-18" w:right="256" w:firstLine="18"/>
              <w:rPr>
                <w:b/>
                <w:lang w:val="pt-BR"/>
              </w:rPr>
            </w:pPr>
            <w:r w:rsidRPr="0053423A">
              <w:rPr>
                <w:b/>
                <w:lang w:val="hy-AM"/>
              </w:rPr>
              <w:t>1. Միջոցառումների</w:t>
            </w:r>
            <w:r w:rsidRPr="0053423A">
              <w:rPr>
                <w:b/>
                <w:lang w:val="pt-BR"/>
              </w:rPr>
              <w:t xml:space="preserve"> </w:t>
            </w:r>
            <w:r w:rsidRPr="0053423A">
              <w:rPr>
                <w:b/>
                <w:lang w:val="hy-AM"/>
              </w:rPr>
              <w:t>իրակացման</w:t>
            </w:r>
            <w:r w:rsidRPr="0053423A">
              <w:rPr>
                <w:b/>
                <w:lang w:val="pt-BR"/>
              </w:rPr>
              <w:t xml:space="preserve"> </w:t>
            </w:r>
            <w:r w:rsidRPr="0053423A">
              <w:rPr>
                <w:b/>
                <w:lang w:val="hy-AM"/>
              </w:rPr>
              <w:t>անհրաժեշտությունը</w:t>
            </w:r>
            <w:r w:rsidRPr="0053423A">
              <w:rPr>
                <w:b/>
                <w:lang w:val="pt-BR"/>
              </w:rPr>
              <w:t xml:space="preserve"> </w:t>
            </w:r>
            <w:r w:rsidRPr="0053423A">
              <w:rPr>
                <w:b/>
                <w:lang w:val="hy-AM"/>
              </w:rPr>
              <w:t>և</w:t>
            </w:r>
            <w:r w:rsidRPr="0053423A">
              <w:rPr>
                <w:b/>
                <w:lang w:val="pt-BR"/>
              </w:rPr>
              <w:t xml:space="preserve"> </w:t>
            </w:r>
            <w:r w:rsidRPr="0053423A">
              <w:rPr>
                <w:b/>
                <w:lang w:val="hy-AM"/>
              </w:rPr>
              <w:t>նպատակը</w:t>
            </w:r>
          </w:p>
          <w:p w:rsidR="006B0618" w:rsidRPr="0053423A" w:rsidRDefault="006B0618" w:rsidP="00A67858">
            <w:pPr>
              <w:pStyle w:val="ListParagraph"/>
              <w:shd w:val="clear" w:color="auto" w:fill="FFFFFF"/>
              <w:spacing w:line="276" w:lineRule="auto"/>
              <w:ind w:left="-18" w:right="256" w:firstLine="18"/>
              <w:rPr>
                <w:bCs/>
                <w:lang w:val="hy-AM"/>
              </w:rPr>
            </w:pPr>
            <w:r w:rsidRPr="0053423A">
              <w:rPr>
                <w:lang w:val="hy-AM"/>
              </w:rPr>
              <w:t>Աղետների վաղ ազդա</w:t>
            </w:r>
            <w:r w:rsidRPr="0053423A">
              <w:rPr>
                <w:lang w:val="hy-AM"/>
              </w:rPr>
              <w:softHyphen/>
              <w:t>րար</w:t>
            </w:r>
            <w:r w:rsidRPr="0053423A">
              <w:rPr>
                <w:lang w:val="hy-AM"/>
              </w:rPr>
              <w:softHyphen/>
              <w:t>ման համակարգի ձևա</w:t>
            </w:r>
            <w:r w:rsidRPr="0053423A">
              <w:rPr>
                <w:lang w:val="hy-AM"/>
              </w:rPr>
              <w:softHyphen/>
              <w:t>վորման հայեցակարգի որոշման նախագծի ընդունումը հնարավորություն կընձեռի կանոնակարգել արտակարգ իրավիճակների բնագավառում բնակչության և ղեկավար կազմի ազդարարման ու իրազեկման հիմնախնդիրները, ինչպես նաև կազմակերպել բնակչության ազդարարման ու իրազեկման համակարգի ձևա</w:t>
            </w:r>
            <w:r w:rsidRPr="0053423A">
              <w:rPr>
                <w:lang w:val="hy-AM"/>
              </w:rPr>
              <w:softHyphen/>
              <w:t>վորումը: Միջոցառման իրականացման համար հիմք է հանդիսանում «</w:t>
            </w:r>
            <w:r w:rsidRPr="0053423A">
              <w:rPr>
                <w:bCs/>
                <w:lang w:val="hy-AM"/>
              </w:rPr>
              <w:t>Արտակարգ իրավիճակներում բնակչության պաշտպանության մասին» Հայաստանի Հանրապետության օրենքի 12-րդ հոտվածի դ. կետը, և «Քաղաքացական պաշտպանության մասին» Հայաստանի Հանրապետության օրենքի 11-րդ հոտվածի դ. կետը:</w:t>
            </w:r>
          </w:p>
          <w:p w:rsidR="006B0618" w:rsidRPr="0053423A" w:rsidRDefault="006B0618" w:rsidP="00A67858">
            <w:pPr>
              <w:spacing w:line="276" w:lineRule="auto"/>
              <w:ind w:left="-18" w:right="256" w:firstLine="18"/>
              <w:rPr>
                <w:b/>
                <w:lang w:val="hy-AM"/>
              </w:rPr>
            </w:pPr>
            <w:r w:rsidRPr="0053423A">
              <w:rPr>
                <w:b/>
                <w:lang w:val="hy-AM"/>
              </w:rPr>
              <w:t>1.1. Կարգավորման հարաբերությունների ներկա վիճակը և առկա խնդիրները</w:t>
            </w:r>
          </w:p>
          <w:p w:rsidR="006B0618" w:rsidRPr="0053423A" w:rsidRDefault="006B0618" w:rsidP="00A67858">
            <w:pPr>
              <w:pStyle w:val="ListParagraph"/>
              <w:shd w:val="clear" w:color="auto" w:fill="FFFFFF"/>
              <w:spacing w:line="276" w:lineRule="auto"/>
              <w:ind w:left="-18" w:right="256" w:firstLine="18"/>
              <w:rPr>
                <w:lang w:val="hy-AM"/>
              </w:rPr>
            </w:pPr>
            <w:r w:rsidRPr="0053423A">
              <w:rPr>
                <w:rFonts w:cs="Tahoma"/>
                <w:lang w:val="hy-AM"/>
              </w:rPr>
              <w:t>Հայաստանի Հանրապետության</w:t>
            </w:r>
            <w:r w:rsidRPr="0053423A">
              <w:rPr>
                <w:lang w:val="hy-AM"/>
              </w:rPr>
              <w:t xml:space="preserve"> տարածքում խորհրդային տարիներին կառուցված ազդարարման համակարգը չի գործում կենտրոնացված «Վեոն-Արմենիա» ՓԲԸ-ի կողմից ավտոմատ հեռախոսային կայանների թվայնացման, անալոգային կապուղիների շահագործումից հանելու և ապամոնտաժելու պատճառով:  Հանրապետության տարածքում տեղադրված թվով </w:t>
            </w:r>
            <w:r w:rsidRPr="0053423A">
              <w:rPr>
                <w:rFonts w:cs="Sylfaen"/>
                <w:lang w:val="it-IT"/>
              </w:rPr>
              <w:t>744 շչակներ</w:t>
            </w:r>
            <w:r w:rsidRPr="0053423A">
              <w:rPr>
                <w:rFonts w:cs="Sylfaen"/>
                <w:lang w:val="hy-AM"/>
              </w:rPr>
              <w:t xml:space="preserve">ից սարքին են </w:t>
            </w:r>
            <w:r w:rsidRPr="0053423A">
              <w:rPr>
                <w:rFonts w:cs="Sylfaen"/>
                <w:lang w:val="it-IT"/>
              </w:rPr>
              <w:t xml:space="preserve">477-ը, որոնց </w:t>
            </w:r>
            <w:r w:rsidRPr="0053423A">
              <w:rPr>
                <w:lang w:val="hy-AM"/>
              </w:rPr>
              <w:t xml:space="preserve"> 90%-ը գործում են ինքնավար (ավտոնոմ) և ընդգրկված չեն մեկ ընդհանուր ցանցում: </w:t>
            </w:r>
          </w:p>
          <w:p w:rsidR="006B0618" w:rsidRPr="0053423A" w:rsidRDefault="006B0618" w:rsidP="00A67858">
            <w:pPr>
              <w:pStyle w:val="ListParagraph"/>
              <w:shd w:val="clear" w:color="auto" w:fill="FFFFFF"/>
              <w:spacing w:line="276" w:lineRule="auto"/>
              <w:ind w:left="-18" w:right="256" w:firstLine="18"/>
              <w:rPr>
                <w:lang w:val="hy-AM"/>
              </w:rPr>
            </w:pPr>
            <w:r w:rsidRPr="0053423A">
              <w:rPr>
                <w:lang w:val="hy-AM"/>
              </w:rPr>
              <w:t xml:space="preserve">Համայնքներին սպառնացող աղետների ռիսկի վերլուծության արդյունքներով՝ կատարված միջազգային կազմակերպությունների, հասարակական կազմակերպությունների կողմից փաստում են, որ համայնքների մեծ մասը անհրաժեշտ է համարում ազդարարման համակարգի արդյունավետ գործունեությունը, տեղեկատվության ապահովումը: </w:t>
            </w:r>
          </w:p>
          <w:p w:rsidR="006B0618" w:rsidRPr="0053423A" w:rsidRDefault="006B0618" w:rsidP="00A67858">
            <w:pPr>
              <w:pStyle w:val="ListParagraph"/>
              <w:shd w:val="clear" w:color="auto" w:fill="FFFFFF"/>
              <w:spacing w:line="276" w:lineRule="auto"/>
              <w:ind w:left="-18" w:right="256" w:firstLine="18"/>
              <w:rPr>
                <w:lang w:val="hy-AM"/>
              </w:rPr>
            </w:pPr>
            <w:r w:rsidRPr="0053423A">
              <w:rPr>
                <w:lang w:val="hy-AM"/>
              </w:rPr>
              <w:t xml:space="preserve">Հաշվարկներում ներառված չեն նախագծային աշխատանքների կատարման, ազդարարման սարքավորումների մոնտաժման և տեղադրման հետ կապված ծախսերը: </w:t>
            </w:r>
          </w:p>
          <w:p w:rsidR="006B0618" w:rsidRPr="0053423A" w:rsidRDefault="006B0618" w:rsidP="00A67858">
            <w:pPr>
              <w:spacing w:line="276" w:lineRule="auto"/>
              <w:ind w:left="-18" w:right="256" w:firstLine="18"/>
              <w:rPr>
                <w:b/>
                <w:lang w:val="hy-AM"/>
              </w:rPr>
            </w:pPr>
            <w:r w:rsidRPr="0053423A">
              <w:rPr>
                <w:b/>
                <w:lang w:val="hy-AM"/>
              </w:rPr>
              <w:t>1.2. Առկա խնդիրների առաջարկվող լուծումները</w:t>
            </w:r>
          </w:p>
          <w:p w:rsidR="006B0618" w:rsidRPr="0053423A" w:rsidRDefault="006B0618" w:rsidP="00A67858">
            <w:pPr>
              <w:pStyle w:val="ListParagraph"/>
              <w:shd w:val="clear" w:color="auto" w:fill="FFFFFF"/>
              <w:spacing w:line="276" w:lineRule="auto"/>
              <w:ind w:left="-18" w:right="256" w:firstLine="18"/>
              <w:rPr>
                <w:lang w:val="hy-AM"/>
              </w:rPr>
            </w:pPr>
            <w:r w:rsidRPr="0053423A">
              <w:rPr>
                <w:lang w:val="hy-AM"/>
              </w:rPr>
              <w:t xml:space="preserve">Հաշվի առնելով վերոգրյալը` անհրաժեշտություն է առաջանում իրավական ակտով կանոնակարգելու </w:t>
            </w:r>
            <w:r w:rsidRPr="0053423A">
              <w:rPr>
                <w:rFonts w:cs="Tahoma"/>
                <w:lang w:val="hy-AM"/>
              </w:rPr>
              <w:t>Հայաստանի Հանրապետության</w:t>
            </w:r>
            <w:r w:rsidRPr="0053423A">
              <w:rPr>
                <w:lang w:val="hy-AM"/>
              </w:rPr>
              <w:t xml:space="preserve"> բնակչության ազդարարման և իրազեկման ուղղությամբ իրականացվող միջոցառումները՝ արտակարգ իրավիճակներում բնակչության պաշտպանության բնագավառում:</w:t>
            </w:r>
          </w:p>
          <w:p w:rsidR="006B0618" w:rsidRPr="0053423A" w:rsidRDefault="006B0618" w:rsidP="00A67858">
            <w:pPr>
              <w:pStyle w:val="ListParagraph"/>
              <w:spacing w:line="276" w:lineRule="auto"/>
              <w:ind w:left="-18" w:right="256" w:firstLine="18"/>
              <w:rPr>
                <w:lang w:val="it-IT"/>
              </w:rPr>
            </w:pPr>
            <w:r w:rsidRPr="0053423A">
              <w:rPr>
                <w:lang w:val="hy-AM"/>
              </w:rPr>
              <w:t>Տարածքային կա</w:t>
            </w:r>
            <w:r w:rsidRPr="0053423A">
              <w:rPr>
                <w:lang w:val="hy-AM"/>
              </w:rPr>
              <w:softHyphen/>
              <w:t>ռավարման և զար</w:t>
            </w:r>
            <w:r w:rsidRPr="0053423A">
              <w:rPr>
                <w:lang w:val="hy-AM"/>
              </w:rPr>
              <w:softHyphen/>
              <w:t>գացման նախա</w:t>
            </w:r>
            <w:r w:rsidRPr="0053423A">
              <w:rPr>
                <w:lang w:val="hy-AM"/>
              </w:rPr>
              <w:softHyphen/>
              <w:t>րարությունը, մարզ</w:t>
            </w:r>
            <w:r w:rsidRPr="0053423A">
              <w:rPr>
                <w:lang w:val="hy-AM"/>
              </w:rPr>
              <w:softHyphen/>
              <w:t>պետարանները, Երևանի քաղաք</w:t>
            </w:r>
            <w:r w:rsidRPr="0053423A">
              <w:rPr>
                <w:lang w:val="hy-AM"/>
              </w:rPr>
              <w:softHyphen/>
              <w:t>ապետարանը (համաձայնությամբ) իրենց</w:t>
            </w:r>
            <w:r w:rsidRPr="0053423A">
              <w:rPr>
                <w:lang w:val="it-IT"/>
              </w:rPr>
              <w:t xml:space="preserve"> </w:t>
            </w:r>
            <w:r w:rsidRPr="0053423A">
              <w:rPr>
                <w:lang w:val="hy-AM"/>
              </w:rPr>
              <w:t>լիազորությունների</w:t>
            </w:r>
            <w:r w:rsidRPr="0053423A">
              <w:rPr>
                <w:lang w:val="it-IT"/>
              </w:rPr>
              <w:t xml:space="preserve"> </w:t>
            </w:r>
            <w:r w:rsidRPr="0053423A">
              <w:rPr>
                <w:lang w:val="hy-AM"/>
              </w:rPr>
              <w:t>շրջանակներում</w:t>
            </w:r>
            <w:r w:rsidRPr="0053423A">
              <w:rPr>
                <w:lang w:val="it-IT"/>
              </w:rPr>
              <w:t xml:space="preserve"> </w:t>
            </w:r>
            <w:r w:rsidRPr="0053423A">
              <w:rPr>
                <w:lang w:val="hy-AM"/>
              </w:rPr>
              <w:t>պետք</w:t>
            </w:r>
            <w:r w:rsidRPr="0053423A">
              <w:rPr>
                <w:lang w:val="it-IT"/>
              </w:rPr>
              <w:t xml:space="preserve"> </w:t>
            </w:r>
            <w:r w:rsidRPr="0053423A">
              <w:rPr>
                <w:lang w:val="hy-AM"/>
              </w:rPr>
              <w:t>է</w:t>
            </w:r>
            <w:r w:rsidRPr="0053423A">
              <w:rPr>
                <w:lang w:val="it-IT"/>
              </w:rPr>
              <w:t xml:space="preserve"> </w:t>
            </w:r>
            <w:r w:rsidRPr="0053423A">
              <w:rPr>
                <w:lang w:val="hy-AM"/>
              </w:rPr>
              <w:t>աջակցություն</w:t>
            </w:r>
            <w:r w:rsidRPr="0053423A">
              <w:rPr>
                <w:lang w:val="it-IT"/>
              </w:rPr>
              <w:t xml:space="preserve"> ցուցաբերեն միջոցառումների իրականացմանը: Մասնավորապես՝ ազդարարման համակարգերի տեղադրման վայրի, կոմունիկացիաների հետ կապված կարգավորումների, տեղադրված համակարգերի պահպանության և պատասխանատուների հետ կապված գործառույթների իրականացման հարցերում:  </w:t>
            </w:r>
          </w:p>
          <w:p w:rsidR="006B0618" w:rsidRPr="0053423A" w:rsidRDefault="006B0618" w:rsidP="00A67858">
            <w:pPr>
              <w:spacing w:line="276" w:lineRule="auto"/>
              <w:ind w:left="-18" w:right="256" w:firstLine="18"/>
              <w:rPr>
                <w:b/>
                <w:lang w:val="hy-AM"/>
              </w:rPr>
            </w:pPr>
            <w:r w:rsidRPr="0053423A">
              <w:rPr>
                <w:b/>
                <w:lang w:val="hy-AM"/>
              </w:rPr>
              <w:t>2. Միջոցառ</w:t>
            </w:r>
            <w:r w:rsidRPr="0053423A">
              <w:rPr>
                <w:b/>
              </w:rPr>
              <w:t>ումների</w:t>
            </w:r>
            <w:r w:rsidRPr="0053423A">
              <w:rPr>
                <w:b/>
                <w:lang w:val="hy-AM"/>
              </w:rPr>
              <w:t xml:space="preserve"> իրականացումից ակնկալվող արդյունքը</w:t>
            </w:r>
          </w:p>
          <w:p w:rsidR="006B0618" w:rsidRPr="0053423A" w:rsidRDefault="006B0618" w:rsidP="00A67858">
            <w:pPr>
              <w:pStyle w:val="ListParagraph"/>
              <w:spacing w:line="276" w:lineRule="auto"/>
              <w:ind w:left="-18" w:right="256" w:firstLine="18"/>
              <w:rPr>
                <w:lang w:val="it-IT"/>
              </w:rPr>
            </w:pPr>
            <w:r w:rsidRPr="0053423A">
              <w:rPr>
                <w:lang w:val="hy-AM"/>
              </w:rPr>
              <w:t>Աղետների վաղ ազդա</w:t>
            </w:r>
            <w:r w:rsidRPr="0053423A">
              <w:rPr>
                <w:lang w:val="hy-AM"/>
              </w:rPr>
              <w:softHyphen/>
              <w:t>րար</w:t>
            </w:r>
            <w:r w:rsidRPr="0053423A">
              <w:rPr>
                <w:lang w:val="hy-AM"/>
              </w:rPr>
              <w:softHyphen/>
              <w:t>ման համակարգի ձևա</w:t>
            </w:r>
            <w:r w:rsidRPr="0053423A">
              <w:rPr>
                <w:lang w:val="hy-AM"/>
              </w:rPr>
              <w:softHyphen/>
              <w:t>վորման հայեցակարգի  ընդունումը</w:t>
            </w:r>
            <w:r w:rsidRPr="0053423A">
              <w:rPr>
                <w:lang w:val="it-IT"/>
              </w:rPr>
              <w:t xml:space="preserve">, </w:t>
            </w:r>
            <w:r w:rsidRPr="0053423A">
              <w:t>հայեցակարգից</w:t>
            </w:r>
            <w:r w:rsidRPr="0053423A">
              <w:rPr>
                <w:lang w:val="it-IT"/>
              </w:rPr>
              <w:t xml:space="preserve"> </w:t>
            </w:r>
            <w:r w:rsidRPr="0053423A">
              <w:t>բխող</w:t>
            </w:r>
            <w:r w:rsidRPr="0053423A">
              <w:rPr>
                <w:lang w:val="it-IT"/>
              </w:rPr>
              <w:t xml:space="preserve"> </w:t>
            </w:r>
            <w:r w:rsidRPr="0053423A">
              <w:t>միջոցառումների</w:t>
            </w:r>
            <w:r w:rsidRPr="0053423A">
              <w:rPr>
                <w:lang w:val="it-IT"/>
              </w:rPr>
              <w:t xml:space="preserve"> </w:t>
            </w:r>
            <w:r w:rsidRPr="0053423A">
              <w:t>իրականացումը</w:t>
            </w:r>
            <w:r w:rsidRPr="0053423A">
              <w:rPr>
                <w:lang w:val="hy-AM"/>
              </w:rPr>
              <w:t xml:space="preserve"> հնարավորութուն կընձեռի ներդնել աղետների վաղ ազդարարման գործուն համակարգ, որը կնպաստի տնտեսակա</w:t>
            </w:r>
            <w:r w:rsidRPr="0053423A">
              <w:t>ն</w:t>
            </w:r>
            <w:r w:rsidRPr="0053423A">
              <w:rPr>
                <w:lang w:val="hy-AM"/>
              </w:rPr>
              <w:t xml:space="preserve"> վնասների և մարդկային կորուստների նվազեցմանը:</w:t>
            </w:r>
            <w:r w:rsidRPr="0053423A">
              <w:rPr>
                <w:lang w:val="it-IT"/>
              </w:rPr>
              <w:t xml:space="preserve"> </w:t>
            </w:r>
            <w:r w:rsidRPr="0053423A">
              <w:t>Հայեցակարգից</w:t>
            </w:r>
            <w:r w:rsidRPr="0053423A">
              <w:rPr>
                <w:lang w:val="it-IT"/>
              </w:rPr>
              <w:t xml:space="preserve"> </w:t>
            </w:r>
            <w:r w:rsidRPr="0053423A">
              <w:t>բխող</w:t>
            </w:r>
            <w:r w:rsidRPr="0053423A">
              <w:rPr>
                <w:lang w:val="it-IT"/>
              </w:rPr>
              <w:t xml:space="preserve"> </w:t>
            </w:r>
            <w:r w:rsidRPr="0053423A">
              <w:t>միջոցառումների</w:t>
            </w:r>
            <w:r w:rsidRPr="0053423A">
              <w:rPr>
                <w:lang w:val="it-IT"/>
              </w:rPr>
              <w:t xml:space="preserve"> </w:t>
            </w:r>
            <w:r w:rsidRPr="0053423A">
              <w:t>իրականացումը</w:t>
            </w:r>
            <w:r w:rsidRPr="0053423A">
              <w:rPr>
                <w:lang w:val="it-IT"/>
              </w:rPr>
              <w:t xml:space="preserve"> </w:t>
            </w:r>
            <w:r w:rsidRPr="0053423A">
              <w:t>կնպաստի</w:t>
            </w:r>
            <w:r w:rsidRPr="0053423A">
              <w:rPr>
                <w:lang w:val="it-IT"/>
              </w:rPr>
              <w:t xml:space="preserve"> </w:t>
            </w:r>
            <w:r w:rsidRPr="0053423A">
              <w:t>համայնքներն</w:t>
            </w:r>
            <w:r w:rsidRPr="0053423A">
              <w:rPr>
                <w:lang w:val="it-IT"/>
              </w:rPr>
              <w:t xml:space="preserve"> (</w:t>
            </w:r>
            <w:r w:rsidRPr="0053423A">
              <w:t>հատկապես</w:t>
            </w:r>
            <w:r w:rsidRPr="0053423A">
              <w:rPr>
                <w:lang w:val="it-IT"/>
              </w:rPr>
              <w:t xml:space="preserve"> </w:t>
            </w:r>
            <w:r w:rsidRPr="0053423A">
              <w:t>սահմանամերձ</w:t>
            </w:r>
            <w:r w:rsidRPr="0053423A">
              <w:rPr>
                <w:lang w:val="it-IT"/>
              </w:rPr>
              <w:t xml:space="preserve">) </w:t>
            </w:r>
            <w:r w:rsidRPr="0053423A">
              <w:t>ապահովելու</w:t>
            </w:r>
            <w:r w:rsidRPr="0053423A">
              <w:rPr>
                <w:lang w:val="it-IT"/>
              </w:rPr>
              <w:t xml:space="preserve"> </w:t>
            </w:r>
            <w:r w:rsidRPr="0053423A">
              <w:t>ազդարարման</w:t>
            </w:r>
            <w:r w:rsidRPr="0053423A">
              <w:rPr>
                <w:lang w:val="it-IT"/>
              </w:rPr>
              <w:t xml:space="preserve"> </w:t>
            </w:r>
            <w:r w:rsidRPr="0053423A">
              <w:t>ժամանակակից</w:t>
            </w:r>
            <w:r w:rsidRPr="0053423A">
              <w:rPr>
                <w:lang w:val="it-IT"/>
              </w:rPr>
              <w:t xml:space="preserve"> </w:t>
            </w:r>
            <w:r w:rsidRPr="0053423A">
              <w:t>համակարգով</w:t>
            </w:r>
            <w:r w:rsidRPr="0053423A">
              <w:rPr>
                <w:lang w:val="it-IT"/>
              </w:rPr>
              <w:t>:</w:t>
            </w:r>
          </w:p>
          <w:p w:rsidR="006B0618" w:rsidRPr="0053423A" w:rsidRDefault="006B0618" w:rsidP="00A67858">
            <w:pPr>
              <w:spacing w:line="276" w:lineRule="auto"/>
              <w:ind w:left="-18" w:right="256" w:firstLine="18"/>
              <w:rPr>
                <w:lang w:val="it-IT"/>
              </w:rPr>
            </w:pPr>
            <w:r w:rsidRPr="0053423A">
              <w:rPr>
                <w:rFonts w:cs="Sylfaen"/>
                <w:lang w:val="it-IT" w:eastAsia="en-GB"/>
              </w:rPr>
              <w:t xml:space="preserve">Միջոցառումը նախատեսվում է իրականացնել 2021-2023 թվականների ընթացքում՝ անհրաժեշտ ֆինանսական միջոցները ներառելով </w:t>
            </w:r>
            <w:r w:rsidRPr="0053423A">
              <w:rPr>
                <w:color w:val="000000"/>
                <w:shd w:val="clear" w:color="auto" w:fill="F0F0F0"/>
              </w:rPr>
              <w:t>ՀՀ</w:t>
            </w:r>
            <w:r w:rsidRPr="0053423A">
              <w:rPr>
                <w:color w:val="000000"/>
                <w:shd w:val="clear" w:color="auto" w:fill="F0F0F0"/>
                <w:lang w:val="it-IT"/>
              </w:rPr>
              <w:t xml:space="preserve"> 2020-2022 </w:t>
            </w:r>
            <w:r w:rsidRPr="0053423A">
              <w:rPr>
                <w:color w:val="000000"/>
                <w:shd w:val="clear" w:color="auto" w:fill="F0F0F0"/>
              </w:rPr>
              <w:t>թվականների</w:t>
            </w:r>
            <w:r w:rsidRPr="0053423A">
              <w:rPr>
                <w:color w:val="000000"/>
                <w:shd w:val="clear" w:color="auto" w:fill="F0F0F0"/>
                <w:lang w:val="it-IT"/>
              </w:rPr>
              <w:t xml:space="preserve"> </w:t>
            </w:r>
            <w:r w:rsidRPr="0053423A">
              <w:rPr>
                <w:color w:val="000000"/>
                <w:shd w:val="clear" w:color="auto" w:fill="F0F0F0"/>
              </w:rPr>
              <w:t>պետական</w:t>
            </w:r>
            <w:r w:rsidRPr="0053423A">
              <w:rPr>
                <w:color w:val="000000"/>
                <w:shd w:val="clear" w:color="auto" w:fill="F0F0F0"/>
                <w:lang w:val="it-IT"/>
              </w:rPr>
              <w:t xml:space="preserve"> </w:t>
            </w:r>
            <w:r w:rsidRPr="0053423A">
              <w:rPr>
                <w:color w:val="000000"/>
                <w:shd w:val="clear" w:color="auto" w:fill="F0F0F0"/>
              </w:rPr>
              <w:t>միջնաժամկետ</w:t>
            </w:r>
            <w:r w:rsidRPr="0053423A">
              <w:rPr>
                <w:color w:val="000000"/>
                <w:shd w:val="clear" w:color="auto" w:fill="F0F0F0"/>
                <w:lang w:val="it-IT"/>
              </w:rPr>
              <w:t xml:space="preserve"> </w:t>
            </w:r>
            <w:r w:rsidRPr="0053423A">
              <w:rPr>
                <w:color w:val="000000"/>
                <w:shd w:val="clear" w:color="auto" w:fill="F0F0F0"/>
              </w:rPr>
              <w:t>ծախսերի</w:t>
            </w:r>
            <w:r w:rsidRPr="0053423A">
              <w:rPr>
                <w:color w:val="000000"/>
                <w:shd w:val="clear" w:color="auto" w:fill="F0F0F0"/>
                <w:lang w:val="it-IT"/>
              </w:rPr>
              <w:t xml:space="preserve"> </w:t>
            </w:r>
            <w:r w:rsidRPr="0053423A">
              <w:rPr>
                <w:color w:val="000000"/>
                <w:shd w:val="clear" w:color="auto" w:fill="F0F0F0"/>
              </w:rPr>
              <w:t>ծրագրում</w:t>
            </w:r>
            <w:r w:rsidRPr="0053423A">
              <w:rPr>
                <w:color w:val="000000"/>
                <w:shd w:val="clear" w:color="auto" w:fill="F0F0F0"/>
                <w:lang w:val="it-IT"/>
              </w:rPr>
              <w:t xml:space="preserve"> </w:t>
            </w:r>
            <w:r w:rsidRPr="0053423A">
              <w:rPr>
                <w:color w:val="000000"/>
                <w:shd w:val="clear" w:color="auto" w:fill="F0F0F0"/>
              </w:rPr>
              <w:t>ըստ</w:t>
            </w:r>
            <w:r w:rsidRPr="0053423A">
              <w:rPr>
                <w:color w:val="000000"/>
                <w:shd w:val="clear" w:color="auto" w:fill="F0F0F0"/>
                <w:lang w:val="it-IT"/>
              </w:rPr>
              <w:t xml:space="preserve"> </w:t>
            </w:r>
            <w:r w:rsidRPr="0053423A">
              <w:rPr>
                <w:color w:val="000000"/>
                <w:shd w:val="clear" w:color="auto" w:fill="F0F0F0"/>
              </w:rPr>
              <w:t>յուրաքանչյուր</w:t>
            </w:r>
            <w:r w:rsidRPr="0053423A">
              <w:rPr>
                <w:color w:val="000000"/>
                <w:shd w:val="clear" w:color="auto" w:fill="F0F0F0"/>
                <w:lang w:val="it-IT"/>
              </w:rPr>
              <w:t xml:space="preserve"> </w:t>
            </w:r>
            <w:r w:rsidRPr="0053423A">
              <w:rPr>
                <w:color w:val="000000"/>
                <w:shd w:val="clear" w:color="auto" w:fill="F0F0F0"/>
              </w:rPr>
              <w:t>տարվա</w:t>
            </w:r>
            <w:r w:rsidRPr="0053423A">
              <w:rPr>
                <w:color w:val="000000"/>
                <w:shd w:val="clear" w:color="auto" w:fill="F0F0F0"/>
                <w:lang w:val="it-IT"/>
              </w:rPr>
              <w:t xml:space="preserve"> </w:t>
            </w:r>
            <w:r w:rsidRPr="0053423A">
              <w:rPr>
                <w:color w:val="000000"/>
                <w:shd w:val="clear" w:color="auto" w:fill="F0F0F0"/>
              </w:rPr>
              <w:t>նախահաշվի</w:t>
            </w:r>
            <w:r w:rsidRPr="0053423A">
              <w:rPr>
                <w:color w:val="000000"/>
                <w:shd w:val="clear" w:color="auto" w:fill="F0F0F0"/>
                <w:lang w:val="it-IT"/>
              </w:rPr>
              <w:t xml:space="preserve">: </w:t>
            </w:r>
            <w:r w:rsidRPr="0053423A">
              <w:rPr>
                <w:rFonts w:cs="Sylfaen"/>
              </w:rPr>
              <w:t>Ստույգ</w:t>
            </w:r>
            <w:r w:rsidRPr="0053423A">
              <w:rPr>
                <w:rFonts w:cs="Arial Armenian"/>
                <w:lang w:val="it-IT"/>
              </w:rPr>
              <w:t xml:space="preserve"> </w:t>
            </w:r>
            <w:r w:rsidRPr="0053423A">
              <w:rPr>
                <w:rFonts w:cs="Sylfaen"/>
              </w:rPr>
              <w:t>հաշվարկները</w:t>
            </w:r>
            <w:r w:rsidRPr="0053423A">
              <w:rPr>
                <w:rFonts w:cs="Arial Armenian"/>
                <w:lang w:val="it-IT"/>
              </w:rPr>
              <w:t xml:space="preserve"> </w:t>
            </w:r>
            <w:r w:rsidRPr="0053423A">
              <w:rPr>
                <w:rFonts w:cs="Sylfaen"/>
              </w:rPr>
              <w:t>կներկայացվեն</w:t>
            </w:r>
            <w:r w:rsidRPr="0053423A">
              <w:rPr>
                <w:rFonts w:cs="Arial Armenian"/>
                <w:lang w:val="it-IT"/>
              </w:rPr>
              <w:t xml:space="preserve"> </w:t>
            </w:r>
            <w:r w:rsidRPr="0053423A">
              <w:rPr>
                <w:rFonts w:cs="Sylfaen"/>
              </w:rPr>
              <w:t>համապատասխան</w:t>
            </w:r>
            <w:r w:rsidRPr="0053423A">
              <w:rPr>
                <w:rFonts w:cs="Arial Armenian"/>
                <w:lang w:val="it-IT"/>
              </w:rPr>
              <w:t xml:space="preserve"> </w:t>
            </w:r>
            <w:r w:rsidRPr="0053423A">
              <w:rPr>
                <w:rFonts w:cs="Sylfaen"/>
              </w:rPr>
              <w:t>հայտերով՝</w:t>
            </w:r>
            <w:r w:rsidRPr="0053423A">
              <w:rPr>
                <w:rFonts w:cs="Arial Armenian"/>
                <w:lang w:val="it-IT"/>
              </w:rPr>
              <w:t xml:space="preserve"> </w:t>
            </w:r>
            <w:r w:rsidRPr="0053423A">
              <w:rPr>
                <w:rFonts w:cs="Sylfaen"/>
              </w:rPr>
              <w:t>ֆինանսական</w:t>
            </w:r>
            <w:r w:rsidRPr="0053423A">
              <w:rPr>
                <w:rFonts w:cs="Arial Armenian"/>
                <w:lang w:val="it-IT"/>
              </w:rPr>
              <w:t xml:space="preserve"> </w:t>
            </w:r>
            <w:r w:rsidRPr="0053423A">
              <w:rPr>
                <w:rFonts w:cs="Sylfaen"/>
              </w:rPr>
              <w:t>միջոցների</w:t>
            </w:r>
            <w:r w:rsidRPr="0053423A">
              <w:rPr>
                <w:rFonts w:cs="Arial Armenian"/>
                <w:lang w:val="it-IT"/>
              </w:rPr>
              <w:t xml:space="preserve"> </w:t>
            </w:r>
            <w:r w:rsidRPr="0053423A">
              <w:rPr>
                <w:rFonts w:cs="Sylfaen"/>
              </w:rPr>
              <w:t>առկայության</w:t>
            </w:r>
            <w:r w:rsidRPr="0053423A">
              <w:rPr>
                <w:rFonts w:cs="Arial Armenian"/>
                <w:lang w:val="it-IT"/>
              </w:rPr>
              <w:t xml:space="preserve"> </w:t>
            </w:r>
            <w:r w:rsidRPr="0053423A">
              <w:rPr>
                <w:rFonts w:cs="Sylfaen"/>
              </w:rPr>
              <w:t>դեպքում</w:t>
            </w:r>
            <w:r w:rsidRPr="0053423A">
              <w:rPr>
                <w:lang w:val="it-IT"/>
              </w:rPr>
              <w:t>:</w:t>
            </w:r>
          </w:p>
          <w:p w:rsidR="006B0618" w:rsidRPr="0053423A" w:rsidRDefault="006B0618" w:rsidP="00A67858">
            <w:pPr>
              <w:pStyle w:val="ListParagraph"/>
              <w:spacing w:line="276" w:lineRule="auto"/>
              <w:ind w:left="-18" w:right="259" w:firstLine="18"/>
              <w:jc w:val="center"/>
              <w:rPr>
                <w:b/>
                <w:i/>
                <w:lang w:val="it-IT"/>
              </w:rPr>
            </w:pPr>
          </w:p>
        </w:tc>
      </w:tr>
      <w:tr w:rsidR="006B0618" w:rsidRPr="00DE2EFA" w:rsidTr="001F6D5D">
        <w:tc>
          <w:tcPr>
            <w:tcW w:w="691" w:type="dxa"/>
          </w:tcPr>
          <w:p w:rsidR="006B0618" w:rsidRPr="0053423A" w:rsidRDefault="001F6D5D" w:rsidP="00A67858">
            <w:pPr>
              <w:spacing w:line="276" w:lineRule="auto"/>
              <w:rPr>
                <w:lang w:val="hy-AM"/>
              </w:rPr>
            </w:pPr>
            <w:r>
              <w:rPr>
                <w:lang w:val="hy-AM"/>
              </w:rPr>
              <w:t>69</w:t>
            </w:r>
          </w:p>
        </w:tc>
        <w:tc>
          <w:tcPr>
            <w:tcW w:w="10649" w:type="dxa"/>
          </w:tcPr>
          <w:p w:rsidR="006B0618" w:rsidRPr="0053423A" w:rsidRDefault="00615BBB" w:rsidP="00A67858">
            <w:pPr>
              <w:pStyle w:val="ListParagraph"/>
              <w:spacing w:line="276" w:lineRule="auto"/>
              <w:ind w:left="-18" w:right="256" w:firstLine="18"/>
              <w:jc w:val="center"/>
              <w:rPr>
                <w:b/>
                <w:i/>
                <w:lang w:val="hy-AM"/>
              </w:rPr>
            </w:pPr>
            <w:r w:rsidRPr="00367A64">
              <w:rPr>
                <w:lang w:val="fr-FR"/>
              </w:rPr>
              <w:t>6</w:t>
            </w:r>
            <w:r>
              <w:rPr>
                <w:lang w:val="hy-AM"/>
              </w:rPr>
              <w:t>9</w:t>
            </w:r>
            <w:r w:rsidRPr="00367A64">
              <w:rPr>
                <w:lang w:val="fr-FR"/>
              </w:rPr>
              <w:t xml:space="preserve">.1  </w:t>
            </w:r>
            <w:r w:rsidR="006B0618" w:rsidRPr="0053423A">
              <w:rPr>
                <w:b/>
                <w:i/>
                <w:lang w:val="hy-AM"/>
              </w:rPr>
              <w:t>1000 մարդու կենսաապահովման համար անհրաժեշտ վրանների քանակի հաշվարկ, համապատասխան քանակի վրանների ձեռքբերում և պահեստավորում</w:t>
            </w:r>
          </w:p>
          <w:p w:rsidR="006B0618" w:rsidRPr="0053423A" w:rsidRDefault="006B0618" w:rsidP="00A67858">
            <w:pPr>
              <w:pStyle w:val="ListParagraph"/>
              <w:spacing w:line="276" w:lineRule="auto"/>
              <w:ind w:left="-18" w:right="256" w:firstLine="18"/>
              <w:jc w:val="center"/>
              <w:rPr>
                <w:b/>
                <w:i/>
                <w:lang w:val="fr-FR"/>
              </w:rPr>
            </w:pPr>
          </w:p>
          <w:p w:rsidR="006B0618" w:rsidRPr="0053423A" w:rsidRDefault="006B0618" w:rsidP="00A67858">
            <w:pPr>
              <w:pStyle w:val="ListParagraph"/>
              <w:spacing w:line="276" w:lineRule="auto"/>
              <w:ind w:left="-18" w:right="256" w:firstLine="18"/>
              <w:rPr>
                <w:b/>
                <w:lang w:val="pt-BR"/>
              </w:rPr>
            </w:pPr>
            <w:r w:rsidRPr="0053423A">
              <w:rPr>
                <w:b/>
                <w:lang w:val="fr-FR"/>
              </w:rPr>
              <w:t xml:space="preserve">1. </w:t>
            </w:r>
            <w:r w:rsidRPr="0053423A">
              <w:rPr>
                <w:b/>
              </w:rPr>
              <w:t>Միջոցառման</w:t>
            </w:r>
            <w:r w:rsidRPr="0053423A">
              <w:rPr>
                <w:b/>
                <w:lang w:val="pt-BR"/>
              </w:rPr>
              <w:t xml:space="preserve"> </w:t>
            </w:r>
            <w:r w:rsidRPr="0053423A">
              <w:rPr>
                <w:b/>
              </w:rPr>
              <w:t>իրակացման</w:t>
            </w:r>
            <w:r w:rsidRPr="0053423A">
              <w:rPr>
                <w:b/>
                <w:lang w:val="pt-BR"/>
              </w:rPr>
              <w:t xml:space="preserve"> </w:t>
            </w:r>
            <w:r w:rsidRPr="0053423A">
              <w:rPr>
                <w:b/>
              </w:rPr>
              <w:t>անհրաժեշտությունը</w:t>
            </w:r>
            <w:r w:rsidRPr="0053423A">
              <w:rPr>
                <w:b/>
                <w:lang w:val="pt-BR"/>
              </w:rPr>
              <w:t xml:space="preserve"> </w:t>
            </w:r>
            <w:r w:rsidRPr="0053423A">
              <w:rPr>
                <w:b/>
              </w:rPr>
              <w:t>և</w:t>
            </w:r>
            <w:r w:rsidRPr="0053423A">
              <w:rPr>
                <w:b/>
                <w:lang w:val="pt-BR"/>
              </w:rPr>
              <w:t xml:space="preserve"> </w:t>
            </w:r>
            <w:r w:rsidRPr="0053423A">
              <w:rPr>
                <w:b/>
              </w:rPr>
              <w:t>նպատակը</w:t>
            </w:r>
          </w:p>
          <w:p w:rsidR="006B0618" w:rsidRPr="0053423A" w:rsidRDefault="006B0618" w:rsidP="00A67858">
            <w:pPr>
              <w:spacing w:line="276" w:lineRule="auto"/>
              <w:ind w:left="-18" w:right="256" w:firstLine="18"/>
              <w:rPr>
                <w:lang w:val="fr-FR"/>
              </w:rPr>
            </w:pPr>
            <w:r w:rsidRPr="0053423A">
              <w:t>Վրանային</w:t>
            </w:r>
            <w:r w:rsidRPr="0053423A">
              <w:rPr>
                <w:lang w:val="pt-BR"/>
              </w:rPr>
              <w:t xml:space="preserve"> </w:t>
            </w:r>
            <w:r w:rsidRPr="0053423A">
              <w:t>ավանի</w:t>
            </w:r>
            <w:r w:rsidRPr="0053423A">
              <w:rPr>
                <w:lang w:val="pt-BR"/>
              </w:rPr>
              <w:t xml:space="preserve"> </w:t>
            </w:r>
            <w:r w:rsidRPr="0053423A">
              <w:t>ստեղծման</w:t>
            </w:r>
            <w:r w:rsidRPr="0053423A">
              <w:rPr>
                <w:lang w:val="pt-BR"/>
              </w:rPr>
              <w:t xml:space="preserve"> </w:t>
            </w:r>
            <w:r w:rsidRPr="0053423A">
              <w:t>նպատակն</w:t>
            </w:r>
            <w:r w:rsidRPr="0053423A">
              <w:rPr>
                <w:lang w:val="pt-BR"/>
              </w:rPr>
              <w:t xml:space="preserve"> </w:t>
            </w:r>
            <w:r w:rsidRPr="0053423A">
              <w:t>է</w:t>
            </w:r>
            <w:r w:rsidRPr="0053423A">
              <w:rPr>
                <w:lang w:val="pt-BR"/>
              </w:rPr>
              <w:t xml:space="preserve"> </w:t>
            </w:r>
            <w:r w:rsidRPr="0053423A">
              <w:rPr>
                <w:lang w:val="hy-AM"/>
              </w:rPr>
              <w:t>ստեղծել</w:t>
            </w:r>
            <w:r w:rsidRPr="0053423A">
              <w:rPr>
                <w:lang w:val="fr-FR"/>
              </w:rPr>
              <w:t xml:space="preserve"> </w:t>
            </w:r>
            <w:r w:rsidRPr="0053423A">
              <w:rPr>
                <w:lang w:val="hy-AM"/>
              </w:rPr>
              <w:t>վրանային</w:t>
            </w:r>
            <w:r w:rsidRPr="0053423A">
              <w:rPr>
                <w:lang w:val="fr-FR"/>
              </w:rPr>
              <w:t xml:space="preserve"> </w:t>
            </w:r>
            <w:r w:rsidRPr="0053423A">
              <w:rPr>
                <w:lang w:val="hy-AM"/>
              </w:rPr>
              <w:t>տնտեսության</w:t>
            </w:r>
            <w:r w:rsidRPr="0053423A">
              <w:rPr>
                <w:lang w:val="fr-FR"/>
              </w:rPr>
              <w:t xml:space="preserve"> </w:t>
            </w:r>
            <w:r w:rsidRPr="0053423A">
              <w:rPr>
                <w:lang w:val="hy-AM"/>
              </w:rPr>
              <w:t>պահուստ</w:t>
            </w:r>
            <w:r w:rsidRPr="0053423A">
              <w:rPr>
                <w:lang w:val="pt-BR"/>
              </w:rPr>
              <w:t xml:space="preserve">, </w:t>
            </w:r>
            <w:r w:rsidRPr="0053423A">
              <w:t>որը</w:t>
            </w:r>
            <w:r w:rsidRPr="0053423A">
              <w:rPr>
                <w:lang w:val="pt-BR"/>
              </w:rPr>
              <w:t xml:space="preserve"> </w:t>
            </w:r>
            <w:r w:rsidRPr="0053423A">
              <w:rPr>
                <w:lang w:val="hy-AM"/>
              </w:rPr>
              <w:t>հնարավորություն</w:t>
            </w:r>
            <w:r w:rsidRPr="0053423A">
              <w:rPr>
                <w:lang w:val="fr-FR"/>
              </w:rPr>
              <w:t xml:space="preserve"> </w:t>
            </w:r>
            <w:r w:rsidRPr="0053423A">
              <w:rPr>
                <w:lang w:val="hy-AM"/>
              </w:rPr>
              <w:t>կտա</w:t>
            </w:r>
            <w:r w:rsidRPr="0053423A">
              <w:rPr>
                <w:lang w:val="fr-FR"/>
              </w:rPr>
              <w:t xml:space="preserve"> </w:t>
            </w:r>
            <w:r w:rsidRPr="0053423A">
              <w:rPr>
                <w:lang w:val="hy-AM"/>
              </w:rPr>
              <w:t>արտակարգ իրավիճակի պայմաններում իրականացնել</w:t>
            </w:r>
            <w:r w:rsidRPr="0053423A">
              <w:rPr>
                <w:lang w:val="fr-FR"/>
              </w:rPr>
              <w:t xml:space="preserve"> </w:t>
            </w:r>
            <w:r w:rsidRPr="0053423A">
              <w:rPr>
                <w:lang w:val="hy-AM"/>
              </w:rPr>
              <w:t>տուժածների</w:t>
            </w:r>
            <w:r w:rsidRPr="0053423A">
              <w:rPr>
                <w:lang w:val="fr-FR"/>
              </w:rPr>
              <w:t xml:space="preserve"> </w:t>
            </w:r>
            <w:r w:rsidRPr="0053423A">
              <w:rPr>
                <w:lang w:val="hy-AM"/>
              </w:rPr>
              <w:t>առաջնային</w:t>
            </w:r>
            <w:r w:rsidRPr="0053423A">
              <w:rPr>
                <w:lang w:val="fr-FR"/>
              </w:rPr>
              <w:t xml:space="preserve"> </w:t>
            </w:r>
            <w:r w:rsidRPr="0053423A">
              <w:rPr>
                <w:lang w:val="hy-AM"/>
              </w:rPr>
              <w:t>կենսաապահովումը</w:t>
            </w:r>
            <w:r w:rsidRPr="0053423A">
              <w:rPr>
                <w:lang w:val="fr-FR"/>
              </w:rPr>
              <w:t xml:space="preserve">: </w:t>
            </w:r>
          </w:p>
          <w:p w:rsidR="006B0618" w:rsidRPr="0053423A" w:rsidRDefault="006B0618" w:rsidP="00A67858">
            <w:pPr>
              <w:spacing w:line="276" w:lineRule="auto"/>
              <w:ind w:left="-18" w:right="256" w:firstLine="18"/>
              <w:rPr>
                <w:lang w:val="fr-FR"/>
              </w:rPr>
            </w:pPr>
          </w:p>
          <w:p w:rsidR="006B0618" w:rsidRPr="0053423A" w:rsidRDefault="006B0618" w:rsidP="00A67858">
            <w:pPr>
              <w:tabs>
                <w:tab w:val="left" w:pos="360"/>
              </w:tabs>
              <w:spacing w:line="276" w:lineRule="auto"/>
              <w:ind w:left="-18" w:right="256" w:firstLine="18"/>
              <w:rPr>
                <w:b/>
                <w:lang w:val="hy-AM"/>
              </w:rPr>
            </w:pPr>
            <w:r w:rsidRPr="0053423A">
              <w:rPr>
                <w:b/>
                <w:lang w:val="hy-AM"/>
              </w:rPr>
              <w:t xml:space="preserve">1.1. </w:t>
            </w:r>
            <w:r w:rsidRPr="0053423A">
              <w:rPr>
                <w:b/>
              </w:rPr>
              <w:t>Կ</w:t>
            </w:r>
            <w:r w:rsidRPr="0053423A">
              <w:rPr>
                <w:b/>
                <w:lang w:val="hy-AM"/>
              </w:rPr>
              <w:t>արգավորման հարաբերությունների ներկա վիճակը և առկա խնդիրները</w:t>
            </w:r>
          </w:p>
          <w:p w:rsidR="006B0618" w:rsidRPr="0053423A" w:rsidRDefault="006B0618" w:rsidP="00A67858">
            <w:pPr>
              <w:spacing w:line="276" w:lineRule="auto"/>
              <w:ind w:left="-18" w:right="256" w:firstLine="18"/>
              <w:rPr>
                <w:lang w:val="hy-AM"/>
              </w:rPr>
            </w:pPr>
            <w:r w:rsidRPr="0053423A">
              <w:rPr>
                <w:rFonts w:cs="Sylfaen"/>
                <w:lang w:val="fr-FR"/>
              </w:rPr>
              <w:t xml:space="preserve">Հիմք ընդունելով </w:t>
            </w:r>
            <w:r w:rsidRPr="0053423A">
              <w:rPr>
                <w:lang w:val="hy-AM"/>
              </w:rPr>
              <w:t xml:space="preserve">Արտակարգ իրավիճակներում բնակչության պաշտպանության մասին ՀՀ օրենքը և ՀՀ կառավարության 2011 թվականի հունիսի 10-ի Ուժեղ երկրաշարժի դեպքում Հայաստանի Հանրապետության բնակչության պաշտպանության կազմակերպման պլանը հաստատելու մասին </w:t>
            </w:r>
            <w:r w:rsidRPr="0053423A">
              <w:rPr>
                <w:lang w:val="fr-FR" w:eastAsia="en-GB"/>
              </w:rPr>
              <w:t>N919-Ն որոշման հավելված 1-ի 4-րդ կետի 3</w:t>
            </w:r>
            <w:r w:rsidRPr="0053423A">
              <w:rPr>
                <w:lang w:val="it-IT"/>
              </w:rPr>
              <w:t>) ենթակետի ը պարբերությունը</w:t>
            </w:r>
            <w:r w:rsidRPr="0053423A">
              <w:rPr>
                <w:lang w:val="fr-FR" w:eastAsia="en-GB"/>
              </w:rPr>
              <w:t xml:space="preserve">, ԱԻ նախարարության գործառույթն է արտակարգ իրավիճակներում, ռազմական դրության ժամանակ  </w:t>
            </w:r>
            <w:r w:rsidRPr="0053423A">
              <w:rPr>
                <w:color w:val="000000"/>
                <w:shd w:val="clear" w:color="auto" w:fill="FFFFFF"/>
                <w:lang w:val="hy-AM"/>
              </w:rPr>
              <w:t>անօթևան մնացած բնակչության տարահանումն և կացարաններով ապահովումը:</w:t>
            </w:r>
            <w:r w:rsidRPr="0053423A">
              <w:rPr>
                <w:lang w:val="hy-AM"/>
              </w:rPr>
              <w:t xml:space="preserve"> </w:t>
            </w:r>
          </w:p>
          <w:p w:rsidR="006B0618" w:rsidRPr="0053423A" w:rsidRDefault="006B0618" w:rsidP="00A67858">
            <w:pPr>
              <w:tabs>
                <w:tab w:val="left" w:pos="360"/>
              </w:tabs>
              <w:spacing w:line="276" w:lineRule="auto"/>
              <w:ind w:left="-18" w:right="256" w:firstLine="18"/>
              <w:rPr>
                <w:b/>
                <w:lang w:val="hy-AM"/>
              </w:rPr>
            </w:pPr>
            <w:r w:rsidRPr="0053423A">
              <w:rPr>
                <w:b/>
                <w:lang w:val="hy-AM"/>
              </w:rPr>
              <w:t>1.2. Առկա խնդիրների առաջարկվող լուծումները</w:t>
            </w:r>
          </w:p>
          <w:p w:rsidR="006B0618" w:rsidRPr="0053423A" w:rsidRDefault="006B0618" w:rsidP="00A67858">
            <w:pPr>
              <w:tabs>
                <w:tab w:val="left" w:pos="360"/>
              </w:tabs>
              <w:spacing w:line="276" w:lineRule="auto"/>
              <w:ind w:left="-18" w:right="256" w:firstLine="18"/>
              <w:rPr>
                <w:lang w:val="fr-FR"/>
              </w:rPr>
            </w:pPr>
            <w:r w:rsidRPr="0053423A">
              <w:rPr>
                <w:lang w:val="fr-FR"/>
              </w:rPr>
              <w:t xml:space="preserve">1000 </w:t>
            </w:r>
            <w:r w:rsidRPr="0053423A">
              <w:rPr>
                <w:lang w:val="hy-AM"/>
              </w:rPr>
              <w:t>մարդու</w:t>
            </w:r>
            <w:r w:rsidRPr="0053423A">
              <w:rPr>
                <w:lang w:val="fr-FR"/>
              </w:rPr>
              <w:t xml:space="preserve"> </w:t>
            </w:r>
            <w:r w:rsidRPr="0053423A">
              <w:rPr>
                <w:lang w:val="hy-AM"/>
              </w:rPr>
              <w:t>կենսաապահովման</w:t>
            </w:r>
            <w:r w:rsidRPr="0053423A">
              <w:rPr>
                <w:lang w:val="fr-FR"/>
              </w:rPr>
              <w:t xml:space="preserve"> </w:t>
            </w:r>
            <w:r w:rsidRPr="0053423A">
              <w:rPr>
                <w:lang w:val="hy-AM"/>
              </w:rPr>
              <w:t>համար</w:t>
            </w:r>
            <w:r w:rsidRPr="0053423A">
              <w:rPr>
                <w:lang w:val="fr-FR"/>
              </w:rPr>
              <w:t xml:space="preserve"> </w:t>
            </w:r>
            <w:r w:rsidRPr="0053423A">
              <w:rPr>
                <w:lang w:val="hy-AM"/>
              </w:rPr>
              <w:t>անհրաժեշտ</w:t>
            </w:r>
            <w:r w:rsidRPr="0053423A">
              <w:rPr>
                <w:lang w:val="fr-FR"/>
              </w:rPr>
              <w:t xml:space="preserve"> </w:t>
            </w:r>
            <w:r w:rsidRPr="0053423A">
              <w:rPr>
                <w:lang w:val="hy-AM"/>
              </w:rPr>
              <w:t>վրանների</w:t>
            </w:r>
            <w:r w:rsidRPr="0053423A">
              <w:rPr>
                <w:lang w:val="fr-FR"/>
              </w:rPr>
              <w:t xml:space="preserve"> </w:t>
            </w:r>
            <w:r w:rsidRPr="0053423A">
              <w:rPr>
                <w:lang w:val="hy-AM"/>
              </w:rPr>
              <w:t>քանակի</w:t>
            </w:r>
            <w:r w:rsidRPr="0053423A">
              <w:rPr>
                <w:lang w:val="fr-FR"/>
              </w:rPr>
              <w:t xml:space="preserve"> </w:t>
            </w:r>
            <w:r w:rsidRPr="0053423A">
              <w:rPr>
                <w:lang w:val="hy-AM"/>
              </w:rPr>
              <w:t>հաշվարկ</w:t>
            </w:r>
            <w:r w:rsidRPr="0053423A">
              <w:rPr>
                <w:lang w:val="fr-FR"/>
              </w:rPr>
              <w:t>:</w:t>
            </w:r>
          </w:p>
          <w:p w:rsidR="006B0618" w:rsidRPr="0053423A" w:rsidRDefault="006B0618" w:rsidP="00A67858">
            <w:pPr>
              <w:tabs>
                <w:tab w:val="left" w:pos="360"/>
              </w:tabs>
              <w:spacing w:line="276" w:lineRule="auto"/>
              <w:ind w:left="-18" w:right="256" w:firstLine="18"/>
              <w:rPr>
                <w:b/>
                <w:lang w:val="hy-AM"/>
              </w:rPr>
            </w:pPr>
            <w:r w:rsidRPr="0053423A">
              <w:rPr>
                <w:b/>
                <w:lang w:val="hy-AM"/>
              </w:rPr>
              <w:t>2. Միջոցառման իրականացումից ակնկալվող արդյունքը</w:t>
            </w:r>
          </w:p>
          <w:p w:rsidR="006B0618" w:rsidRPr="0053423A" w:rsidRDefault="006B0618" w:rsidP="00A67858">
            <w:pPr>
              <w:spacing w:line="276" w:lineRule="auto"/>
              <w:ind w:left="-18" w:right="256" w:firstLine="18"/>
              <w:rPr>
                <w:lang w:val="fr-FR"/>
              </w:rPr>
            </w:pPr>
            <w:r w:rsidRPr="0053423A">
              <w:rPr>
                <w:lang w:val="hy-AM"/>
              </w:rPr>
              <w:t xml:space="preserve">Ակնկալվում է </w:t>
            </w:r>
            <w:r w:rsidRPr="0053423A">
              <w:t>ստեղծել</w:t>
            </w:r>
            <w:r w:rsidRPr="0053423A">
              <w:rPr>
                <w:lang w:val="fr-FR"/>
              </w:rPr>
              <w:t xml:space="preserve"> </w:t>
            </w:r>
            <w:r w:rsidRPr="0053423A">
              <w:t>վրանային</w:t>
            </w:r>
            <w:r w:rsidRPr="0053423A">
              <w:rPr>
                <w:lang w:val="fr-FR"/>
              </w:rPr>
              <w:t xml:space="preserve"> </w:t>
            </w:r>
            <w:r w:rsidRPr="0053423A">
              <w:t>տնտեսության</w:t>
            </w:r>
            <w:r w:rsidRPr="0053423A">
              <w:rPr>
                <w:lang w:val="fr-FR"/>
              </w:rPr>
              <w:t xml:space="preserve"> </w:t>
            </w:r>
            <w:r w:rsidRPr="0053423A">
              <w:t>պահուստ</w:t>
            </w:r>
            <w:r w:rsidRPr="0053423A">
              <w:rPr>
                <w:lang w:val="fr-FR"/>
              </w:rPr>
              <w:t xml:space="preserve">, </w:t>
            </w:r>
            <w:r w:rsidRPr="0053423A">
              <w:t>որը</w:t>
            </w:r>
            <w:r w:rsidRPr="0053423A">
              <w:rPr>
                <w:lang w:val="fr-FR"/>
              </w:rPr>
              <w:t xml:space="preserve"> </w:t>
            </w:r>
            <w:r w:rsidRPr="0053423A">
              <w:t>հնարավորություն</w:t>
            </w:r>
            <w:r w:rsidRPr="0053423A">
              <w:rPr>
                <w:lang w:val="fr-FR"/>
              </w:rPr>
              <w:t xml:space="preserve"> </w:t>
            </w:r>
            <w:r w:rsidRPr="0053423A">
              <w:t>կտա</w:t>
            </w:r>
            <w:r w:rsidRPr="0053423A">
              <w:rPr>
                <w:lang w:val="fr-FR"/>
              </w:rPr>
              <w:t xml:space="preserve"> </w:t>
            </w:r>
            <w:r w:rsidRPr="0053423A">
              <w:rPr>
                <w:lang w:val="hy-AM"/>
              </w:rPr>
              <w:t xml:space="preserve">արտակարգ իրավիճակի պայմաններում </w:t>
            </w:r>
            <w:r w:rsidRPr="0053423A">
              <w:t>իրականացնել</w:t>
            </w:r>
            <w:r w:rsidRPr="0053423A">
              <w:rPr>
                <w:lang w:val="fr-FR"/>
              </w:rPr>
              <w:t xml:space="preserve"> </w:t>
            </w:r>
            <w:r w:rsidRPr="0053423A">
              <w:t>տուժածների</w:t>
            </w:r>
            <w:r w:rsidRPr="0053423A">
              <w:rPr>
                <w:lang w:val="fr-FR"/>
              </w:rPr>
              <w:t xml:space="preserve"> </w:t>
            </w:r>
            <w:r w:rsidRPr="0053423A">
              <w:t>առաջնային</w:t>
            </w:r>
            <w:r w:rsidRPr="0053423A">
              <w:rPr>
                <w:lang w:val="fr-FR"/>
              </w:rPr>
              <w:t xml:space="preserve"> </w:t>
            </w:r>
            <w:r w:rsidRPr="0053423A">
              <w:t>կենսաապահովումը</w:t>
            </w:r>
            <w:r w:rsidRPr="0053423A">
              <w:rPr>
                <w:lang w:val="fr-FR"/>
              </w:rPr>
              <w:t>:</w:t>
            </w:r>
          </w:p>
          <w:p w:rsidR="006B0618" w:rsidRPr="0053423A" w:rsidRDefault="006B0618" w:rsidP="00A67858">
            <w:pPr>
              <w:spacing w:line="276" w:lineRule="auto"/>
              <w:ind w:left="-18" w:right="256" w:firstLine="18"/>
              <w:rPr>
                <w:b/>
                <w:i/>
                <w:lang w:val="fr-FR"/>
              </w:rPr>
            </w:pPr>
            <w:r w:rsidRPr="0053423A">
              <w:rPr>
                <w:rFonts w:cs="Sylfaen"/>
                <w:lang w:val="it-IT" w:eastAsia="en-GB"/>
              </w:rPr>
              <w:t xml:space="preserve">  Միջոցառումը նախատեսվում է իրականացնել 2020-2022 թվականների ընթացքում՝ անհրաժեշտ ֆինանսական միջոցները ներառելով </w:t>
            </w:r>
            <w:r w:rsidRPr="0053423A">
              <w:rPr>
                <w:color w:val="000000"/>
                <w:shd w:val="clear" w:color="auto" w:fill="F0F0F0"/>
              </w:rPr>
              <w:t>ՀՀ</w:t>
            </w:r>
            <w:r w:rsidRPr="0053423A">
              <w:rPr>
                <w:color w:val="000000"/>
                <w:shd w:val="clear" w:color="auto" w:fill="F0F0F0"/>
                <w:lang w:val="fr-FR"/>
              </w:rPr>
              <w:t xml:space="preserve"> 2020-2022 </w:t>
            </w:r>
            <w:r w:rsidRPr="0053423A">
              <w:rPr>
                <w:color w:val="000000"/>
                <w:shd w:val="clear" w:color="auto" w:fill="F0F0F0"/>
              </w:rPr>
              <w:t>թվականների</w:t>
            </w:r>
            <w:r w:rsidRPr="0053423A">
              <w:rPr>
                <w:color w:val="000000"/>
                <w:shd w:val="clear" w:color="auto" w:fill="F0F0F0"/>
                <w:lang w:val="fr-FR"/>
              </w:rPr>
              <w:t xml:space="preserve"> </w:t>
            </w:r>
            <w:r w:rsidRPr="0053423A">
              <w:rPr>
                <w:color w:val="000000"/>
                <w:shd w:val="clear" w:color="auto" w:fill="F0F0F0"/>
              </w:rPr>
              <w:t>պետական</w:t>
            </w:r>
            <w:r w:rsidRPr="0053423A">
              <w:rPr>
                <w:color w:val="000000"/>
                <w:shd w:val="clear" w:color="auto" w:fill="F0F0F0"/>
                <w:lang w:val="fr-FR"/>
              </w:rPr>
              <w:t xml:space="preserve"> </w:t>
            </w:r>
            <w:r w:rsidRPr="0053423A">
              <w:rPr>
                <w:color w:val="000000"/>
                <w:shd w:val="clear" w:color="auto" w:fill="F0F0F0"/>
              </w:rPr>
              <w:t>միջնաժամկետ</w:t>
            </w:r>
            <w:r w:rsidRPr="0053423A">
              <w:rPr>
                <w:color w:val="000000"/>
                <w:shd w:val="clear" w:color="auto" w:fill="F0F0F0"/>
                <w:lang w:val="fr-FR"/>
              </w:rPr>
              <w:t xml:space="preserve"> </w:t>
            </w:r>
            <w:r w:rsidRPr="0053423A">
              <w:rPr>
                <w:color w:val="000000"/>
                <w:shd w:val="clear" w:color="auto" w:fill="F0F0F0"/>
              </w:rPr>
              <w:t>ծախսերի</w:t>
            </w:r>
            <w:r w:rsidRPr="0053423A">
              <w:rPr>
                <w:color w:val="000000"/>
                <w:shd w:val="clear" w:color="auto" w:fill="F0F0F0"/>
                <w:lang w:val="fr-FR"/>
              </w:rPr>
              <w:t xml:space="preserve"> </w:t>
            </w:r>
            <w:r w:rsidRPr="0053423A">
              <w:rPr>
                <w:color w:val="000000"/>
                <w:shd w:val="clear" w:color="auto" w:fill="F0F0F0"/>
              </w:rPr>
              <w:t>ծրագրում</w:t>
            </w:r>
            <w:r w:rsidRPr="0053423A">
              <w:rPr>
                <w:color w:val="000000"/>
                <w:shd w:val="clear" w:color="auto" w:fill="F0F0F0"/>
                <w:lang w:val="fr-FR"/>
              </w:rPr>
              <w:t xml:space="preserve"> </w:t>
            </w:r>
            <w:r w:rsidRPr="0053423A">
              <w:rPr>
                <w:color w:val="000000"/>
                <w:shd w:val="clear" w:color="auto" w:fill="F0F0F0"/>
              </w:rPr>
              <w:t>ըստ</w:t>
            </w:r>
            <w:r w:rsidRPr="0053423A">
              <w:rPr>
                <w:color w:val="000000"/>
                <w:shd w:val="clear" w:color="auto" w:fill="F0F0F0"/>
                <w:lang w:val="fr-FR"/>
              </w:rPr>
              <w:t xml:space="preserve"> </w:t>
            </w:r>
            <w:r w:rsidRPr="0053423A">
              <w:rPr>
                <w:color w:val="000000"/>
                <w:shd w:val="clear" w:color="auto" w:fill="F0F0F0"/>
              </w:rPr>
              <w:t>յուրաքանչյուր</w:t>
            </w:r>
            <w:r w:rsidRPr="0053423A">
              <w:rPr>
                <w:color w:val="000000"/>
                <w:shd w:val="clear" w:color="auto" w:fill="F0F0F0"/>
                <w:lang w:val="fr-FR"/>
              </w:rPr>
              <w:t xml:space="preserve"> </w:t>
            </w:r>
            <w:r w:rsidRPr="0053423A">
              <w:rPr>
                <w:color w:val="000000"/>
                <w:shd w:val="clear" w:color="auto" w:fill="F0F0F0"/>
              </w:rPr>
              <w:t>տարվա</w:t>
            </w:r>
            <w:r w:rsidRPr="0053423A">
              <w:rPr>
                <w:color w:val="000000"/>
                <w:shd w:val="clear" w:color="auto" w:fill="F0F0F0"/>
                <w:lang w:val="fr-FR"/>
              </w:rPr>
              <w:t xml:space="preserve"> </w:t>
            </w:r>
            <w:r w:rsidRPr="0053423A">
              <w:rPr>
                <w:color w:val="000000"/>
                <w:shd w:val="clear" w:color="auto" w:fill="F0F0F0"/>
              </w:rPr>
              <w:t>նախահաշվի</w:t>
            </w:r>
            <w:r w:rsidRPr="0053423A">
              <w:rPr>
                <w:color w:val="000000"/>
                <w:shd w:val="clear" w:color="auto" w:fill="F0F0F0"/>
                <w:lang w:val="fr-FR"/>
              </w:rPr>
              <w:t xml:space="preserve">: </w:t>
            </w:r>
            <w:r w:rsidRPr="0053423A">
              <w:rPr>
                <w:rFonts w:cs="Sylfaen"/>
              </w:rPr>
              <w:t>Ստույգ</w:t>
            </w:r>
            <w:r w:rsidRPr="0053423A">
              <w:rPr>
                <w:rFonts w:cs="Arial Armenian"/>
                <w:lang w:val="fr-FR"/>
              </w:rPr>
              <w:t xml:space="preserve"> </w:t>
            </w:r>
            <w:r w:rsidRPr="0053423A">
              <w:rPr>
                <w:rFonts w:cs="Sylfaen"/>
              </w:rPr>
              <w:t>հաշվարկները</w:t>
            </w:r>
            <w:r w:rsidRPr="0053423A">
              <w:rPr>
                <w:rFonts w:cs="Arial Armenian"/>
                <w:lang w:val="fr-FR"/>
              </w:rPr>
              <w:t xml:space="preserve"> </w:t>
            </w:r>
            <w:r w:rsidRPr="0053423A">
              <w:rPr>
                <w:rFonts w:cs="Sylfaen"/>
              </w:rPr>
              <w:t>կներկայացվեն</w:t>
            </w:r>
            <w:r w:rsidRPr="0053423A">
              <w:rPr>
                <w:rFonts w:cs="Arial Armenian"/>
                <w:lang w:val="fr-FR"/>
              </w:rPr>
              <w:t xml:space="preserve"> </w:t>
            </w:r>
            <w:r w:rsidRPr="0053423A">
              <w:rPr>
                <w:rFonts w:cs="Sylfaen"/>
              </w:rPr>
              <w:t>համապատասխան</w:t>
            </w:r>
            <w:r w:rsidRPr="0053423A">
              <w:rPr>
                <w:rFonts w:cs="Arial Armenian"/>
                <w:lang w:val="fr-FR"/>
              </w:rPr>
              <w:t xml:space="preserve"> </w:t>
            </w:r>
            <w:r w:rsidRPr="0053423A">
              <w:rPr>
                <w:rFonts w:cs="Sylfaen"/>
              </w:rPr>
              <w:t>հայտերով՝</w:t>
            </w:r>
            <w:r w:rsidRPr="0053423A">
              <w:rPr>
                <w:rFonts w:cs="Arial Armenian"/>
                <w:lang w:val="fr-FR"/>
              </w:rPr>
              <w:t xml:space="preserve"> </w:t>
            </w:r>
            <w:r w:rsidRPr="0053423A">
              <w:rPr>
                <w:rFonts w:cs="Sylfaen"/>
              </w:rPr>
              <w:t>ֆինանսական</w:t>
            </w:r>
            <w:r w:rsidRPr="0053423A">
              <w:rPr>
                <w:rFonts w:cs="Arial Armenian"/>
                <w:lang w:val="fr-FR"/>
              </w:rPr>
              <w:t xml:space="preserve"> </w:t>
            </w:r>
            <w:r w:rsidRPr="0053423A">
              <w:rPr>
                <w:rFonts w:cs="Sylfaen"/>
              </w:rPr>
              <w:t>միջոցների</w:t>
            </w:r>
            <w:r w:rsidRPr="0053423A">
              <w:rPr>
                <w:rFonts w:cs="Arial Armenian"/>
                <w:lang w:val="fr-FR"/>
              </w:rPr>
              <w:t xml:space="preserve"> </w:t>
            </w:r>
            <w:r w:rsidRPr="0053423A">
              <w:rPr>
                <w:rFonts w:cs="Sylfaen"/>
              </w:rPr>
              <w:t>առկայության</w:t>
            </w:r>
            <w:r w:rsidRPr="0053423A">
              <w:rPr>
                <w:rFonts w:cs="Arial Armenian"/>
                <w:lang w:val="fr-FR"/>
              </w:rPr>
              <w:t xml:space="preserve"> </w:t>
            </w:r>
            <w:r w:rsidRPr="0053423A">
              <w:rPr>
                <w:rFonts w:cs="Sylfaen"/>
              </w:rPr>
              <w:t>դեպքում</w:t>
            </w:r>
            <w:r w:rsidRPr="0053423A">
              <w:rPr>
                <w:lang w:val="fr-FR"/>
              </w:rPr>
              <w:t>:</w:t>
            </w:r>
          </w:p>
        </w:tc>
      </w:tr>
      <w:tr w:rsidR="006B0618" w:rsidRPr="00DE2EFA" w:rsidTr="001F6D5D">
        <w:tc>
          <w:tcPr>
            <w:tcW w:w="691" w:type="dxa"/>
          </w:tcPr>
          <w:p w:rsidR="006B0618" w:rsidRPr="0053423A" w:rsidRDefault="001F6D5D" w:rsidP="00A67858">
            <w:pPr>
              <w:spacing w:line="276" w:lineRule="auto"/>
              <w:rPr>
                <w:lang w:val="hy-AM"/>
              </w:rPr>
            </w:pPr>
            <w:r>
              <w:rPr>
                <w:lang w:val="hy-AM"/>
              </w:rPr>
              <w:t>70</w:t>
            </w:r>
          </w:p>
        </w:tc>
        <w:tc>
          <w:tcPr>
            <w:tcW w:w="10649" w:type="dxa"/>
          </w:tcPr>
          <w:p w:rsidR="006B0618" w:rsidRPr="0053423A" w:rsidRDefault="006B0618" w:rsidP="00A67858">
            <w:pPr>
              <w:spacing w:line="276" w:lineRule="auto"/>
              <w:ind w:right="256"/>
              <w:jc w:val="center"/>
              <w:rPr>
                <w:b/>
                <w:i/>
                <w:lang w:val="hy-AM"/>
              </w:rPr>
            </w:pPr>
            <w:r w:rsidRPr="0053423A">
              <w:rPr>
                <w:b/>
                <w:bCs/>
                <w:i/>
                <w:lang w:val="hy-AM"/>
              </w:rPr>
              <w:t>7</w:t>
            </w:r>
            <w:r w:rsidR="00615BBB">
              <w:rPr>
                <w:b/>
                <w:bCs/>
                <w:i/>
                <w:lang w:val="hy-AM"/>
              </w:rPr>
              <w:t>0</w:t>
            </w:r>
            <w:r w:rsidRPr="0053423A">
              <w:rPr>
                <w:b/>
                <w:bCs/>
                <w:i/>
                <w:lang w:val="hy-AM"/>
              </w:rPr>
              <w:t xml:space="preserve">.1 </w:t>
            </w:r>
            <w:r w:rsidRPr="0053423A">
              <w:rPr>
                <w:b/>
                <w:i/>
                <w:lang w:val="hy-AM"/>
              </w:rPr>
              <w:t>Նյութական պահուստի մասին և Վարչական իրավախախտումների վերաբերյալ Հայաստանի Հանրապետության  օրենսգրքում  լրացումներ կատարելու մասին ՀՀ օրենքների լրամշակված նախագծերը ՀՀ վարչապետի աշխատակազմ ներկայացնելը</w:t>
            </w:r>
          </w:p>
          <w:p w:rsidR="006B0618" w:rsidRPr="0053423A" w:rsidRDefault="006B0618" w:rsidP="00A67858">
            <w:pPr>
              <w:spacing w:line="276" w:lineRule="auto"/>
              <w:jc w:val="center"/>
              <w:rPr>
                <w:b/>
                <w:i/>
                <w:lang w:val="hy-AM"/>
              </w:rPr>
            </w:pPr>
            <w:r w:rsidRPr="0053423A">
              <w:rPr>
                <w:b/>
                <w:i/>
                <w:lang w:val="hy-AM"/>
              </w:rPr>
              <w:t>7</w:t>
            </w:r>
            <w:r w:rsidR="00615BBB">
              <w:rPr>
                <w:b/>
                <w:i/>
                <w:lang w:val="hy-AM"/>
              </w:rPr>
              <w:t>0</w:t>
            </w:r>
            <w:r w:rsidRPr="0053423A">
              <w:rPr>
                <w:b/>
                <w:i/>
                <w:lang w:val="hy-AM"/>
              </w:rPr>
              <w:t>.2 Նյութական պահուստի մասին օրենքից բխող ենթաօրենսդրական իրավական ակտերի նախագծերը ՀՀ վարչապետի աշխատակազմ ներկայացնելը</w:t>
            </w:r>
          </w:p>
          <w:p w:rsidR="006B0618" w:rsidRPr="0053423A" w:rsidRDefault="006B0618" w:rsidP="00A67858">
            <w:pPr>
              <w:spacing w:line="276" w:lineRule="auto"/>
              <w:jc w:val="center"/>
              <w:rPr>
                <w:b/>
                <w:i/>
                <w:lang w:val="hy-AM"/>
              </w:rPr>
            </w:pPr>
          </w:p>
          <w:p w:rsidR="006B0618" w:rsidRPr="0053423A" w:rsidRDefault="006B0618" w:rsidP="00A67858">
            <w:pPr>
              <w:numPr>
                <w:ilvl w:val="0"/>
                <w:numId w:val="74"/>
              </w:numPr>
              <w:spacing w:line="276" w:lineRule="auto"/>
              <w:ind w:left="0" w:right="256" w:firstLine="0"/>
              <w:rPr>
                <w:b/>
              </w:rPr>
            </w:pPr>
            <w:r w:rsidRPr="0053423A">
              <w:rPr>
                <w:b/>
              </w:rPr>
              <w:t>Միջոցառումների իրականացման անհրաժեշտությունը և նպատակը</w:t>
            </w:r>
          </w:p>
          <w:p w:rsidR="006B0618" w:rsidRPr="0053423A" w:rsidRDefault="006B0618" w:rsidP="00A67858">
            <w:pPr>
              <w:spacing w:line="276" w:lineRule="auto"/>
              <w:ind w:right="256"/>
            </w:pPr>
            <w:r w:rsidRPr="0053423A">
              <w:t>Հայաստանի Հանրապետության նյութական պահուստի համակարգի զարգացումն ու բարեփոխումներն ապահովող իրավական դաշտի ստեղծման ու նյութական պահուստի արդիականացման և ընդլայնման կարիքից ելնելով &lt;&lt;Հայաստանի Հանրապետության &lt;&lt;Նյութական պահուստի մասին&gt;&gt; և</w:t>
            </w:r>
            <w:r w:rsidRPr="0053423A">
              <w:rPr>
                <w:b/>
              </w:rPr>
              <w:t xml:space="preserve">  </w:t>
            </w:r>
            <w:r w:rsidRPr="0053423A">
              <w:rPr>
                <w:rStyle w:val="Strong"/>
                <w:color w:val="000000"/>
              </w:rPr>
              <w:t>«Վարչական իրավախախտումների վերաբերյալ» Հ</w:t>
            </w:r>
            <w:r w:rsidRPr="0053423A">
              <w:rPr>
                <w:rStyle w:val="Strong"/>
                <w:color w:val="000000"/>
                <w:lang w:val="hy-AM"/>
              </w:rPr>
              <w:t>այաստանի</w:t>
            </w:r>
            <w:r w:rsidRPr="0053423A">
              <w:rPr>
                <w:rStyle w:val="Strong"/>
                <w:color w:val="000000"/>
              </w:rPr>
              <w:t xml:space="preserve"> Հ</w:t>
            </w:r>
            <w:r w:rsidRPr="0053423A">
              <w:rPr>
                <w:rStyle w:val="Strong"/>
                <w:color w:val="000000"/>
                <w:lang w:val="hy-AM"/>
              </w:rPr>
              <w:t>անրապետության</w:t>
            </w:r>
            <w:r w:rsidRPr="0053423A">
              <w:rPr>
                <w:b/>
              </w:rPr>
              <w:t xml:space="preserve"> </w:t>
            </w:r>
            <w:r w:rsidRPr="0053423A">
              <w:rPr>
                <w:rStyle w:val="Strong"/>
                <w:color w:val="000000"/>
                <w:lang w:val="hy-AM"/>
              </w:rPr>
              <w:t>օրեն</w:t>
            </w:r>
            <w:r w:rsidRPr="0053423A">
              <w:rPr>
                <w:rStyle w:val="Strong"/>
                <w:color w:val="000000"/>
              </w:rPr>
              <w:t xml:space="preserve">սգրքում  </w:t>
            </w:r>
            <w:r w:rsidRPr="0053423A">
              <w:rPr>
                <w:rStyle w:val="Strong"/>
                <w:color w:val="000000"/>
                <w:lang w:val="hy-AM"/>
              </w:rPr>
              <w:t>լրացում</w:t>
            </w:r>
            <w:r w:rsidRPr="0053423A">
              <w:rPr>
                <w:rStyle w:val="Strong"/>
                <w:color w:val="000000"/>
              </w:rPr>
              <w:t xml:space="preserve">ներ </w:t>
            </w:r>
            <w:r w:rsidRPr="0053423A">
              <w:rPr>
                <w:rStyle w:val="Strong"/>
                <w:color w:val="000000"/>
                <w:lang w:val="hy-AM"/>
              </w:rPr>
              <w:t>կատարելու</w:t>
            </w:r>
            <w:r w:rsidRPr="0053423A">
              <w:rPr>
                <w:rStyle w:val="Strong"/>
                <w:color w:val="000000"/>
              </w:rPr>
              <w:t xml:space="preserve"> </w:t>
            </w:r>
            <w:r w:rsidRPr="0053423A">
              <w:rPr>
                <w:rStyle w:val="Strong"/>
                <w:color w:val="000000"/>
                <w:lang w:val="hy-AM"/>
              </w:rPr>
              <w:t>մասին</w:t>
            </w:r>
            <w:r w:rsidRPr="0053423A">
              <w:rPr>
                <w:rStyle w:val="Strong"/>
                <w:color w:val="000000"/>
              </w:rPr>
              <w:t xml:space="preserve">&gt;&gt; </w:t>
            </w:r>
            <w:r w:rsidRPr="0053423A">
              <w:t>Հայաստանի Հանրապետության օրենքների, ինչպես նաև դրանցից բխող իրավական ակտերի ընդունման անհրաժեշտություն է առաջացել:</w:t>
            </w:r>
          </w:p>
          <w:p w:rsidR="006B0618" w:rsidRPr="0053423A" w:rsidRDefault="006B0618" w:rsidP="00A67858">
            <w:pPr>
              <w:numPr>
                <w:ilvl w:val="1"/>
                <w:numId w:val="74"/>
              </w:numPr>
              <w:spacing w:line="276" w:lineRule="auto"/>
              <w:ind w:left="0" w:right="256" w:firstLine="0"/>
              <w:rPr>
                <w:b/>
              </w:rPr>
            </w:pPr>
            <w:r w:rsidRPr="0053423A">
              <w:rPr>
                <w:b/>
              </w:rPr>
              <w:t>Կարգավորման հարաբերությունների ներկա վիճակը և առկա խնդիրները</w:t>
            </w:r>
          </w:p>
          <w:p w:rsidR="006B0618" w:rsidRPr="0053423A" w:rsidRDefault="006B0618" w:rsidP="00A67858">
            <w:pPr>
              <w:spacing w:line="276" w:lineRule="auto"/>
              <w:ind w:right="256"/>
            </w:pPr>
            <w:r w:rsidRPr="0053423A">
              <w:t>Ներկայումս Հայաստանի Հանրապետության նյութական պահուստի ձևավորման, տեղաբաշխման, պահպանման, օգտագործման, համալրման և թարմացման հետ կապված հարաբերությունները կարգավորվում են &lt;&lt;Պետական նյութական պահուստի մասին&gt;&gt; Հայաստանի Հանրապետության օրենքով և դրանից բխող այլ իրավական ակտերով: Հաշվի առնելով այն հանգամանքը, որ Հայաստանի Հանրապետության աշխարհաքաղաքական դիրքով պայմանավորված պարենային ապրանքների գերակշռող մասը ներմուծվող են, ապրանքների մատակարարման նույնիսկ կարճատև խափանումը կարող է առաջացնել ճգնաժամ, որի պատճառով առաջին պլան է մղվում ռազմական գործողությունների ժամանակ ճանապարհային շրջափակման պայմաններում բնակչության և Զինված ուժերի կարիքների ապահովումը: Խնդիր է առաջանում բարձրացնել պետական նյութական պահուստի արդյունավետությունը, արդիականացնել դրա ձևավորման մոտեցումները և կառավարման համակարգը:</w:t>
            </w:r>
          </w:p>
          <w:p w:rsidR="006B0618" w:rsidRPr="0053423A" w:rsidRDefault="006B0618" w:rsidP="00A67858">
            <w:pPr>
              <w:numPr>
                <w:ilvl w:val="1"/>
                <w:numId w:val="74"/>
              </w:numPr>
              <w:spacing w:line="276" w:lineRule="auto"/>
              <w:ind w:left="0" w:right="256" w:firstLine="0"/>
              <w:jc w:val="both"/>
              <w:rPr>
                <w:b/>
              </w:rPr>
            </w:pPr>
            <w:r w:rsidRPr="0053423A">
              <w:rPr>
                <w:b/>
              </w:rPr>
              <w:t>Առկա խնդիրների առաջարկվող լուծումները</w:t>
            </w:r>
          </w:p>
          <w:p w:rsidR="006B0618" w:rsidRPr="0053423A" w:rsidRDefault="006B0618" w:rsidP="00A67858">
            <w:pPr>
              <w:spacing w:line="276" w:lineRule="auto"/>
              <w:ind w:right="256"/>
            </w:pPr>
            <w:r w:rsidRPr="0053423A">
              <w:t>Նախորդ տարիների փորձի վերլուծությունը ցույց է տալիս, որ Հայաստանի Հանրապետությունում ձևավորված ազատական տնտեսական  հարաբերությունների պայմաններում որդեգրված մոտեցումները այլևս չեն կարող համարվել բավարար և չեն ապահովում նյութական պահուստի զարգացման գործընթացը: Ներկայումս պետական նյութական պահուստի ձևավորման, պահպանման, թարմացման, փոխարինման գործառույթները իրականացվում են բացառապես բյուջետային ֆինանսավորման հաշվին: Ռազմավարական նշանակություն ունեցող պաշարների ձևավորման համար պահանջվում են զգալի ֆինանսական միջոցներ, իսկ գործող իրավական դաշտը շուկայական հարաբերությունների պայմաններում  բավարար չափով չի ապահովում պետական պահուստի նյութական արժեքների թարմացման և փոխարինման գործընթացի արդյունավետությունը,  որի հետևանքով առաջանում են կորուստներ և պահանջվում  մեծ ֆինանսական ներդրումներ: Ներկայումս պետական նյութական պահուստի ձևավորման համար չի օգտագործվում  մասնագիտացված առևտրային կազմակերպությունների պոտենցիալը, իսկ պետական պահուստի նյութական արժեքների թարմացման ընթացքում կորուստներ են առաջանում ոչ միայն ձեռք բերվող և իրացվող ապրանքների պիտանելիության ժամկետների տարբերության, այլ նաև իրավական դաշտի անկատարելիության պատճառով: Օրենքի նախագծով  նախատեսվում է նյութական պահուստի ձևավորման մասնակից դարձնել ռազմավարական նշանակություն ունեցող նութական արժեքները (ավտոմոբիլային բենզին, դիզելային վառելիք, պարենային ցորեն, շաքարավազ, բուսական յուղ) ներմուծող կազմակերպությունները, ինչպես նաև զորահավաքային առաջադրանքներ ունեցող կազմակերպությունները:</w:t>
            </w:r>
          </w:p>
          <w:p w:rsidR="006B0618" w:rsidRPr="0053423A" w:rsidRDefault="006B0618" w:rsidP="00A67858">
            <w:pPr>
              <w:numPr>
                <w:ilvl w:val="0"/>
                <w:numId w:val="74"/>
              </w:numPr>
              <w:spacing w:line="276" w:lineRule="auto"/>
              <w:ind w:left="0" w:right="256" w:firstLine="0"/>
              <w:jc w:val="both"/>
              <w:rPr>
                <w:b/>
              </w:rPr>
            </w:pPr>
            <w:r w:rsidRPr="0053423A">
              <w:rPr>
                <w:b/>
              </w:rPr>
              <w:t>Միջոցառման իրականացումից ակնկալվող արդյունքը</w:t>
            </w:r>
          </w:p>
          <w:p w:rsidR="006B0618" w:rsidRPr="0053423A" w:rsidRDefault="006B0618" w:rsidP="00A67858">
            <w:pPr>
              <w:spacing w:line="276" w:lineRule="auto"/>
              <w:ind w:right="256"/>
              <w:rPr>
                <w:b/>
                <w:i/>
              </w:rPr>
            </w:pPr>
            <w:r w:rsidRPr="0053423A">
              <w:t>Օրենքի նախագծի ընդունմամբ ակնկալվում է ձևավորել  Հայաստանի Հանրապետության նյութական պահուստի բարեփոխումները և զարգացումը ապահովող իրավական դաշտ, որը կնպաստի Հայաստանի Հանրապետության նյութական պահուստի բարելավմանը և ընդլայնմանը, համակարգի արդիականացմանը, և, որպես արդյունք՝ ազգային անվտանգության դեմ ուղղված սպառնալիքների հետևանքների վերացմանը կամ նվազեցմանը:</w:t>
            </w:r>
          </w:p>
        </w:tc>
      </w:tr>
      <w:tr w:rsidR="006B0618" w:rsidRPr="00DE2EFA" w:rsidTr="001F6D5D">
        <w:tc>
          <w:tcPr>
            <w:tcW w:w="691" w:type="dxa"/>
          </w:tcPr>
          <w:p w:rsidR="006B0618" w:rsidRPr="0053423A" w:rsidRDefault="001F6D5D" w:rsidP="00A67858">
            <w:pPr>
              <w:spacing w:line="276" w:lineRule="auto"/>
              <w:rPr>
                <w:lang w:val="hy-AM"/>
              </w:rPr>
            </w:pPr>
            <w:r>
              <w:rPr>
                <w:lang w:val="hy-AM"/>
              </w:rPr>
              <w:t>71</w:t>
            </w:r>
          </w:p>
        </w:tc>
        <w:tc>
          <w:tcPr>
            <w:tcW w:w="10649" w:type="dxa"/>
          </w:tcPr>
          <w:p w:rsidR="006B0618" w:rsidRPr="0053423A" w:rsidRDefault="00615BBB" w:rsidP="00A67858">
            <w:pPr>
              <w:spacing w:line="276" w:lineRule="auto"/>
              <w:ind w:right="256"/>
              <w:jc w:val="center"/>
              <w:rPr>
                <w:b/>
                <w:i/>
                <w:lang w:val="hy-AM"/>
              </w:rPr>
            </w:pPr>
            <w:r>
              <w:rPr>
                <w:b/>
                <w:i/>
                <w:lang w:val="hy-AM"/>
              </w:rPr>
              <w:t>71</w:t>
            </w:r>
            <w:r w:rsidR="006B0618" w:rsidRPr="0053423A">
              <w:rPr>
                <w:b/>
                <w:i/>
                <w:lang w:val="hy-AM"/>
              </w:rPr>
              <w:t>.1 Կառավարման, կազմակերպական կարողությունների զարգացում, կանխատեսման մոդելների ուսուցանում</w:t>
            </w:r>
          </w:p>
          <w:p w:rsidR="006B0618" w:rsidRPr="0053423A" w:rsidRDefault="00615BBB" w:rsidP="00A67858">
            <w:pPr>
              <w:spacing w:line="276" w:lineRule="auto"/>
              <w:jc w:val="center"/>
              <w:rPr>
                <w:b/>
                <w:i/>
                <w:lang w:val="hy-AM"/>
              </w:rPr>
            </w:pPr>
            <w:r>
              <w:rPr>
                <w:b/>
                <w:i/>
                <w:lang w:val="hy-AM"/>
              </w:rPr>
              <w:t>71</w:t>
            </w:r>
            <w:r w:rsidR="006B0618" w:rsidRPr="0053423A">
              <w:rPr>
                <w:b/>
                <w:i/>
                <w:lang w:val="hy-AM"/>
              </w:rPr>
              <w:t>.2 Հիդրոօդերևութաբանական ավտոմատ կայանների տեղադրում և տեղեկատվության գրանցման, փոխանցման և վիզուալիզացման համակարգի ստեղծում</w:t>
            </w:r>
          </w:p>
          <w:p w:rsidR="006B0618" w:rsidRPr="0053423A" w:rsidRDefault="00615BBB" w:rsidP="00A67858">
            <w:pPr>
              <w:spacing w:line="276" w:lineRule="auto"/>
              <w:ind w:right="256"/>
              <w:jc w:val="center"/>
              <w:rPr>
                <w:b/>
                <w:i/>
                <w:lang w:val="hy-AM"/>
              </w:rPr>
            </w:pPr>
            <w:r>
              <w:rPr>
                <w:b/>
                <w:i/>
                <w:lang w:val="hy-AM"/>
              </w:rPr>
              <w:t>71</w:t>
            </w:r>
            <w:r w:rsidR="006B0618" w:rsidRPr="0053423A">
              <w:rPr>
                <w:b/>
                <w:i/>
                <w:lang w:val="hy-AM"/>
              </w:rPr>
              <w:t>.3 Հիդրոօդերևութաբանական երևութներից առաջացած կորուստների և վնասի հաշվառման, վերլուծության և արխիվացման միասնական համակարգի ձևավորում և տեղեկատվության հասանելիության ապահովում</w:t>
            </w:r>
          </w:p>
          <w:p w:rsidR="006B0618" w:rsidRPr="0053423A" w:rsidRDefault="006B0618" w:rsidP="00A67858">
            <w:pPr>
              <w:spacing w:line="276" w:lineRule="auto"/>
              <w:ind w:right="256"/>
              <w:jc w:val="center"/>
              <w:rPr>
                <w:b/>
                <w:i/>
                <w:lang w:val="hy-AM"/>
              </w:rPr>
            </w:pPr>
          </w:p>
          <w:p w:rsidR="006B0618" w:rsidRPr="0053423A" w:rsidRDefault="006B0618" w:rsidP="00A67858">
            <w:pPr>
              <w:numPr>
                <w:ilvl w:val="0"/>
                <w:numId w:val="75"/>
              </w:numPr>
              <w:spacing w:line="276" w:lineRule="auto"/>
              <w:ind w:left="0" w:right="256" w:firstLine="0"/>
              <w:rPr>
                <w:b/>
              </w:rPr>
            </w:pPr>
            <w:r w:rsidRPr="0053423A">
              <w:rPr>
                <w:b/>
                <w:lang w:val="hy-AM"/>
              </w:rPr>
              <w:t>Միջոցառ</w:t>
            </w:r>
            <w:r w:rsidRPr="0053423A">
              <w:rPr>
                <w:b/>
              </w:rPr>
              <w:t>ումների</w:t>
            </w:r>
            <w:r w:rsidRPr="0053423A">
              <w:rPr>
                <w:b/>
                <w:lang w:val="hy-AM"/>
              </w:rPr>
              <w:t xml:space="preserve"> իրակացման անհրաժեշտությունը և նպատակը</w:t>
            </w:r>
          </w:p>
          <w:p w:rsidR="006B0618" w:rsidRPr="0053423A" w:rsidRDefault="006B0618" w:rsidP="00A67858">
            <w:pPr>
              <w:spacing w:line="276" w:lineRule="auto"/>
              <w:ind w:right="256"/>
              <w:rPr>
                <w:rFonts w:cs="Courier New"/>
                <w:b/>
              </w:rPr>
            </w:pPr>
          </w:p>
          <w:p w:rsidR="006B0618" w:rsidRPr="0053423A" w:rsidRDefault="006B0618" w:rsidP="00A67858">
            <w:pPr>
              <w:pStyle w:val="Style15"/>
              <w:spacing w:line="276" w:lineRule="auto"/>
              <w:ind w:right="256" w:firstLine="0"/>
              <w:rPr>
                <w:rFonts w:ascii="GHEA Grapalat" w:hAnsi="GHEA Grapalat" w:cs="Arial"/>
              </w:rPr>
            </w:pPr>
            <w:r w:rsidRPr="0053423A">
              <w:rPr>
                <w:rFonts w:ascii="GHEA Grapalat" w:hAnsi="GHEA Grapalat" w:cs="Arial"/>
                <w:lang w:val="hy-AM"/>
              </w:rPr>
              <w:t>Միջոցառման նպատակն է կլիմայի փոփոխության և հիդրոօդերևութաբանական երևույթների գնահատման, կանխատեսման և տեղեկատվության տրամադրման ծրագրերի մշակման կարողությունների զարգացումը՝ Հիդրոմետ ծառայության արդիականացման միջոցով և Հայաստանի դիմակայունության բարձրացումը կլիմայի փոփոխության և հարմարվողականության ուղղությամբ:</w:t>
            </w:r>
            <w:r w:rsidRPr="0053423A">
              <w:rPr>
                <w:rFonts w:ascii="GHEA Grapalat" w:hAnsi="GHEA Grapalat" w:cs="Arial"/>
              </w:rPr>
              <w:t xml:space="preserve"> Հիդրոօդերևութաբանական վտանգավոր երևույթների վաղ ազդարարաման, դրանց արագ արձագանման համակարգի գործունեության արդյունավետության բարձրացման նպատակով անհրաժեշտ է ձևավորել </w:t>
            </w:r>
            <w:r w:rsidRPr="0053423A">
              <w:rPr>
                <w:rFonts w:ascii="GHEA Grapalat" w:hAnsi="GHEA Grapalat" w:cs="Arial"/>
                <w:lang w:val="hy-AM"/>
              </w:rPr>
              <w:t>հիդրոօդերևութաբանական երևույթների</w:t>
            </w:r>
            <w:r w:rsidRPr="0053423A">
              <w:rPr>
                <w:rFonts w:ascii="GHEA Grapalat" w:hAnsi="GHEA Grapalat" w:cs="Arial"/>
              </w:rPr>
              <w:t xml:space="preserve">ց առաջացած կորուստների և վնասների հաշվառման, վերլուծության, արխիվացման միասնական բազա, ինչպես նաև ստեղծել տեղեկատվության գրանցման, փոխանցման համակարգ: </w:t>
            </w:r>
          </w:p>
          <w:p w:rsidR="006B0618" w:rsidRPr="0053423A" w:rsidRDefault="006B0618" w:rsidP="00A67858">
            <w:pPr>
              <w:pStyle w:val="Style15"/>
              <w:spacing w:line="276" w:lineRule="auto"/>
              <w:ind w:right="256" w:firstLine="0"/>
              <w:rPr>
                <w:rFonts w:ascii="GHEA Grapalat" w:hAnsi="GHEA Grapalat" w:cs="Arial"/>
                <w:b/>
                <w:lang w:val="hy-AM"/>
              </w:rPr>
            </w:pPr>
            <w:r w:rsidRPr="0053423A">
              <w:rPr>
                <w:rFonts w:ascii="GHEA Grapalat" w:hAnsi="GHEA Grapalat" w:cs="Arial"/>
                <w:b/>
                <w:lang w:val="hy-AM"/>
              </w:rPr>
              <w:t xml:space="preserve">1.1. կարգավորման հարաբերությունների ներկա վիճակը և առկա խնդիրները </w:t>
            </w:r>
          </w:p>
          <w:p w:rsidR="006B0618" w:rsidRPr="0053423A" w:rsidRDefault="006B0618" w:rsidP="00A67858">
            <w:pPr>
              <w:pStyle w:val="Style15"/>
              <w:spacing w:line="276" w:lineRule="auto"/>
              <w:ind w:right="256" w:firstLine="0"/>
              <w:rPr>
                <w:rFonts w:ascii="GHEA Grapalat" w:hAnsi="GHEA Grapalat" w:cs="Arial"/>
                <w:lang w:val="hy-AM"/>
              </w:rPr>
            </w:pPr>
            <w:r w:rsidRPr="0053423A">
              <w:rPr>
                <w:rFonts w:ascii="GHEA Grapalat" w:hAnsi="GHEA Grapalat" w:cs="Arial"/>
                <w:lang w:val="hy-AM"/>
              </w:rPr>
              <w:t>Հայաստանի պետական հիդրոօդերևութաբանական ծառայության համակարգում ներկայում գործում են 46 օդերևութաբանական կայաններ, 7 գետավազանային հիդրոլոգիական կայաններ` 94 հիդրոլոգիական դիտակետերով: Հիդրոօդերևութաբանական դիտարկումները կատարվում են Համաշխարհային օդերևութաբանական կազմակերպության նորմատիվ փաստաթղթերի պահանջներին համապատասխան, սակայն դիտարկումների պետական ցանցում ներկայում շահագործվող մասնագիտական գործիքների ու սարքավորումների 70-80%-ը բարոյապես և ֆիզիկապես մաշված են և ցանցն ունի վերազինման խիստ կարիք։</w:t>
            </w:r>
          </w:p>
          <w:p w:rsidR="006B0618" w:rsidRPr="0053423A" w:rsidRDefault="006B0618" w:rsidP="00A67858">
            <w:pPr>
              <w:pStyle w:val="Style15"/>
              <w:spacing w:line="276" w:lineRule="auto"/>
              <w:ind w:right="256" w:firstLine="0"/>
              <w:rPr>
                <w:rFonts w:ascii="GHEA Grapalat" w:hAnsi="GHEA Grapalat" w:cs="Arial"/>
                <w:lang w:val="hy-AM"/>
              </w:rPr>
            </w:pPr>
            <w:r w:rsidRPr="0053423A">
              <w:rPr>
                <w:rFonts w:ascii="GHEA Grapalat" w:hAnsi="GHEA Grapalat" w:cs="Arial"/>
                <w:lang w:val="hy-AM"/>
              </w:rPr>
              <w:t>Զարգացած և պարբերաբար արդիականացվող, դիտարկումների համաշխարհային ցանցում ինտեգրված հիդրոօդերևութաբանական կառույց ունենալու համար  անհրաժեշտ է հիդրոօդերևութաբանական դիտարկումների պետական ցանցի տեխնիկական վերազինում և արդիականացում, տեղեկատվական տեխնոլոգիաների ներդնում, տեղեկատվության հավաքման և փոխանակման համակարգի արդիականացում, տվյալների մշակման և կառավարման նոր ծրագրային փաթեթների ներդնում ինչը կնպաստի ՀՀ պետական և տարածքային կառավարման և տեղական ինքնակառավարման մարմիններին, ազգաբնակչությանը և տնտեսության ճյուղերին հիդրոօդերևութաբանական տեղեկատվությամբ և շրջակա միջավայրի վիճակի մասին ժամանակին և հուսալի տվյալներով ապահովման բարձրացմանը, վտանգավոր հիդրոօդերևութաբանական երևույթներից տնտեսության, ազգաբնակչության կյանքի, առողջության և ունեցվածքի հնարավոր կորուստների նվազեցմանը, հիդրօդերևութաբանական դիտարկումների գնահատման և կանխատեսման համակարգի զարգացմանը։</w:t>
            </w:r>
          </w:p>
          <w:p w:rsidR="006B0618" w:rsidRPr="0053423A" w:rsidRDefault="006B0618" w:rsidP="00A67858">
            <w:pPr>
              <w:pStyle w:val="Style15"/>
              <w:spacing w:line="276" w:lineRule="auto"/>
              <w:ind w:right="256" w:firstLine="0"/>
              <w:jc w:val="left"/>
              <w:rPr>
                <w:rFonts w:ascii="GHEA Grapalat" w:hAnsi="GHEA Grapalat"/>
                <w:b/>
                <w:lang w:val="hy-AM"/>
              </w:rPr>
            </w:pPr>
            <w:r w:rsidRPr="0053423A">
              <w:rPr>
                <w:rFonts w:ascii="GHEA Grapalat" w:hAnsi="GHEA Grapalat"/>
                <w:b/>
                <w:lang w:val="hy-AM"/>
              </w:rPr>
              <w:t xml:space="preserve">1.2. </w:t>
            </w:r>
            <w:r w:rsidRPr="0053423A">
              <w:rPr>
                <w:rFonts w:ascii="GHEA Grapalat" w:hAnsi="GHEA Grapalat" w:cs="Arial"/>
                <w:b/>
                <w:lang w:val="hy-AM"/>
              </w:rPr>
              <w:t>Առկա</w:t>
            </w:r>
            <w:r w:rsidRPr="0053423A">
              <w:rPr>
                <w:rFonts w:ascii="GHEA Grapalat" w:hAnsi="GHEA Grapalat" w:cs="Arial Armenian"/>
                <w:b/>
                <w:lang w:val="hy-AM"/>
              </w:rPr>
              <w:t xml:space="preserve"> </w:t>
            </w:r>
            <w:r w:rsidRPr="0053423A">
              <w:rPr>
                <w:rFonts w:ascii="GHEA Grapalat" w:hAnsi="GHEA Grapalat" w:cs="Arial"/>
                <w:b/>
                <w:lang w:val="hy-AM"/>
              </w:rPr>
              <w:t>խնդիրների</w:t>
            </w:r>
            <w:r w:rsidRPr="0053423A">
              <w:rPr>
                <w:rFonts w:ascii="GHEA Grapalat" w:hAnsi="GHEA Grapalat" w:cs="Arial Armenian"/>
                <w:b/>
                <w:lang w:val="hy-AM"/>
              </w:rPr>
              <w:t xml:space="preserve"> </w:t>
            </w:r>
            <w:r w:rsidRPr="0053423A">
              <w:rPr>
                <w:rFonts w:ascii="GHEA Grapalat" w:hAnsi="GHEA Grapalat" w:cs="Arial"/>
                <w:b/>
                <w:lang w:val="hy-AM"/>
              </w:rPr>
              <w:t>առաջարկվող</w:t>
            </w:r>
            <w:r w:rsidRPr="0053423A">
              <w:rPr>
                <w:rFonts w:ascii="GHEA Grapalat" w:hAnsi="GHEA Grapalat" w:cs="Arial Armenian"/>
                <w:b/>
                <w:lang w:val="hy-AM"/>
              </w:rPr>
              <w:t xml:space="preserve"> </w:t>
            </w:r>
            <w:r w:rsidRPr="0053423A">
              <w:rPr>
                <w:rFonts w:ascii="GHEA Grapalat" w:hAnsi="GHEA Grapalat" w:cs="Arial"/>
                <w:b/>
                <w:lang w:val="hy-AM"/>
              </w:rPr>
              <w:t>լուծումները</w:t>
            </w:r>
            <w:r w:rsidRPr="0053423A">
              <w:rPr>
                <w:rFonts w:ascii="GHEA Grapalat" w:hAnsi="GHEA Grapalat"/>
                <w:b/>
                <w:lang w:val="hy-AM"/>
              </w:rPr>
              <w:t xml:space="preserve"> </w:t>
            </w:r>
          </w:p>
          <w:p w:rsidR="006B0618" w:rsidRPr="0053423A" w:rsidRDefault="006B0618" w:rsidP="00A67858">
            <w:pPr>
              <w:pStyle w:val="Style15"/>
              <w:spacing w:line="276" w:lineRule="auto"/>
              <w:ind w:right="256" w:firstLine="0"/>
              <w:rPr>
                <w:rFonts w:ascii="GHEA Grapalat" w:hAnsi="GHEA Grapalat"/>
                <w:lang w:val="hy-AM"/>
              </w:rPr>
            </w:pPr>
            <w:r w:rsidRPr="0053423A">
              <w:rPr>
                <w:rFonts w:ascii="GHEA Grapalat" w:hAnsi="GHEA Grapalat"/>
                <w:lang w:val="hy-AM"/>
              </w:rPr>
              <w:t>Հիդրոօդերևութաբանական դիտարկումների, կանխատեսումների, տեղեկատվության մշակման, վերլուծության, արխիվացման և տրամադրման ենթահամակարգերի արդիականացում, կառավարման, կազմակերպական և կադրային կարողությունների զարգացում այդ թվում կանխատեսման մոդելների ուսուցանում</w:t>
            </w:r>
          </w:p>
          <w:p w:rsidR="006B0618" w:rsidRPr="0053423A" w:rsidRDefault="006B0618" w:rsidP="00A67858">
            <w:pPr>
              <w:pStyle w:val="Style15"/>
              <w:spacing w:line="276" w:lineRule="auto"/>
              <w:ind w:right="256" w:firstLine="0"/>
              <w:rPr>
                <w:rFonts w:ascii="GHEA Grapalat" w:hAnsi="GHEA Grapalat" w:cs="Arial"/>
                <w:b/>
                <w:lang w:val="hy-AM"/>
              </w:rPr>
            </w:pPr>
            <w:r w:rsidRPr="0053423A">
              <w:rPr>
                <w:rFonts w:ascii="GHEA Grapalat" w:hAnsi="GHEA Grapalat"/>
                <w:b/>
                <w:lang w:val="hy-AM"/>
              </w:rPr>
              <w:t>2. Միջոցառումների</w:t>
            </w:r>
            <w:r w:rsidRPr="0053423A">
              <w:rPr>
                <w:rFonts w:ascii="GHEA Grapalat" w:hAnsi="GHEA Grapalat" w:cs="Arial Armenian"/>
                <w:b/>
                <w:lang w:val="hy-AM"/>
              </w:rPr>
              <w:t xml:space="preserve"> </w:t>
            </w:r>
            <w:r w:rsidRPr="0053423A">
              <w:rPr>
                <w:rFonts w:ascii="GHEA Grapalat" w:hAnsi="GHEA Grapalat" w:cs="Arial"/>
                <w:b/>
                <w:lang w:val="hy-AM"/>
              </w:rPr>
              <w:t>իրականացումից</w:t>
            </w:r>
            <w:r w:rsidRPr="0053423A">
              <w:rPr>
                <w:rFonts w:ascii="GHEA Grapalat" w:hAnsi="GHEA Grapalat" w:cs="Arial Armenian"/>
                <w:b/>
                <w:lang w:val="hy-AM"/>
              </w:rPr>
              <w:t xml:space="preserve"> </w:t>
            </w:r>
            <w:r w:rsidRPr="0053423A">
              <w:rPr>
                <w:rFonts w:ascii="GHEA Grapalat" w:hAnsi="GHEA Grapalat" w:cs="Arial"/>
                <w:b/>
                <w:lang w:val="hy-AM"/>
              </w:rPr>
              <w:t>ակնկալվող</w:t>
            </w:r>
            <w:r w:rsidRPr="0053423A">
              <w:rPr>
                <w:rFonts w:ascii="GHEA Grapalat" w:hAnsi="GHEA Grapalat" w:cs="Arial Armenian"/>
                <w:b/>
                <w:lang w:val="hy-AM"/>
              </w:rPr>
              <w:t xml:space="preserve"> </w:t>
            </w:r>
            <w:r w:rsidRPr="0053423A">
              <w:rPr>
                <w:rFonts w:ascii="GHEA Grapalat" w:hAnsi="GHEA Grapalat" w:cs="Arial"/>
                <w:b/>
                <w:lang w:val="hy-AM"/>
              </w:rPr>
              <w:t>արդյունքը</w:t>
            </w:r>
          </w:p>
          <w:p w:rsidR="006B0618" w:rsidRPr="0053423A" w:rsidRDefault="006B0618" w:rsidP="00A67858">
            <w:pPr>
              <w:pStyle w:val="Style15"/>
              <w:spacing w:line="276" w:lineRule="auto"/>
              <w:ind w:right="256" w:firstLine="0"/>
              <w:rPr>
                <w:rFonts w:ascii="GHEA Grapalat" w:hAnsi="GHEA Grapalat"/>
                <w:lang w:val="hy-AM"/>
              </w:rPr>
            </w:pPr>
            <w:r w:rsidRPr="0053423A">
              <w:rPr>
                <w:rFonts w:ascii="GHEA Grapalat" w:hAnsi="GHEA Grapalat" w:cs="Arial"/>
                <w:lang w:val="hy-AM"/>
              </w:rPr>
              <w:t>Միջոցառման</w:t>
            </w:r>
            <w:r w:rsidRPr="0053423A">
              <w:rPr>
                <w:rFonts w:ascii="GHEA Grapalat" w:hAnsi="GHEA Grapalat" w:cs="Arial Armenian"/>
                <w:lang w:val="hy-AM"/>
              </w:rPr>
              <w:t xml:space="preserve"> </w:t>
            </w:r>
            <w:r w:rsidRPr="0053423A">
              <w:rPr>
                <w:rFonts w:ascii="GHEA Grapalat" w:hAnsi="GHEA Grapalat" w:cs="Arial"/>
                <w:lang w:val="hy-AM"/>
              </w:rPr>
              <w:t>իրականացումից</w:t>
            </w:r>
            <w:r w:rsidRPr="0053423A">
              <w:rPr>
                <w:rFonts w:ascii="GHEA Grapalat" w:hAnsi="GHEA Grapalat" w:cs="Arial Armenian"/>
                <w:lang w:val="hy-AM"/>
              </w:rPr>
              <w:t xml:space="preserve"> </w:t>
            </w:r>
            <w:r w:rsidRPr="0053423A">
              <w:rPr>
                <w:rFonts w:ascii="GHEA Grapalat" w:hAnsi="GHEA Grapalat" w:cs="Arial"/>
                <w:lang w:val="hy-AM"/>
              </w:rPr>
              <w:t>ակնկալվում է</w:t>
            </w:r>
            <w:r w:rsidRPr="0053423A">
              <w:rPr>
                <w:rFonts w:ascii="GHEA Grapalat" w:hAnsi="GHEA Grapalat"/>
                <w:lang w:val="hy-AM"/>
              </w:rPr>
              <w:t xml:space="preserve"> Հիդրոմետ ծառայության տեխնիկական և մասնագիտական կարողությունների զարգացում և արդիականացում համապատասխան կանխատեսումների և տեղեկատվության տրամադրման արդյունավետ համակարգ ապահովելու համար: Հիդրոօդերևութաբանական ավտոմատ կայանների տեղադրում և տեղեկատվության գրանցման, փոխանցման և վիզուալիզացման համակարգի ստեղծում Հիդրոօդերևութաբանական երևութներից առաջացած կորուստների և վնասի հաշվառման, վերլուծության և արխիվացման միասնական համակարգի ձևավորում և տեղեկատվության հասանելիության ապահովում:</w:t>
            </w:r>
          </w:p>
          <w:p w:rsidR="006B0618" w:rsidRPr="0053423A" w:rsidRDefault="006B0618" w:rsidP="00A67858">
            <w:pPr>
              <w:pStyle w:val="Style15"/>
              <w:spacing w:line="276" w:lineRule="auto"/>
              <w:ind w:right="256" w:firstLine="0"/>
              <w:rPr>
                <w:rFonts w:ascii="GHEA Grapalat" w:hAnsi="GHEA Grapalat"/>
                <w:b/>
                <w:i/>
                <w:lang w:val="hy-AM"/>
              </w:rPr>
            </w:pPr>
            <w:r w:rsidRPr="0053423A">
              <w:rPr>
                <w:rFonts w:ascii="GHEA Grapalat" w:hAnsi="GHEA Grapalat"/>
                <w:lang w:val="hy-AM"/>
              </w:rPr>
              <w:t>Հիդրոօդերևութաբանական դիտարկումների, կանխատեսումների, տեղեկատվության մշակման, վերլուծության, արխիվացման և տրամադրման ենթահամակարգերի արդիականացում, կառավարման, կազմակերպական և կադրային կարողությունների զարգացում այդ թվում կանխատեսման մոդելների ուսուցանում</w:t>
            </w:r>
          </w:p>
        </w:tc>
      </w:tr>
      <w:tr w:rsidR="006B0618" w:rsidRPr="00DE2EFA" w:rsidTr="001F6D5D">
        <w:tc>
          <w:tcPr>
            <w:tcW w:w="691" w:type="dxa"/>
          </w:tcPr>
          <w:p w:rsidR="006B0618" w:rsidRPr="0053423A" w:rsidRDefault="001F6D5D" w:rsidP="00A67858">
            <w:pPr>
              <w:spacing w:line="276" w:lineRule="auto"/>
              <w:rPr>
                <w:lang w:val="hy-AM"/>
              </w:rPr>
            </w:pPr>
            <w:r>
              <w:rPr>
                <w:lang w:val="hy-AM"/>
              </w:rPr>
              <w:t>72</w:t>
            </w:r>
          </w:p>
        </w:tc>
        <w:tc>
          <w:tcPr>
            <w:tcW w:w="10649" w:type="dxa"/>
          </w:tcPr>
          <w:p w:rsidR="006B0618" w:rsidRPr="0053423A" w:rsidRDefault="00615BBB" w:rsidP="00A67858">
            <w:pPr>
              <w:spacing w:line="276" w:lineRule="auto"/>
              <w:ind w:right="259"/>
              <w:jc w:val="center"/>
              <w:rPr>
                <w:b/>
                <w:i/>
                <w:lang w:val="hy-AM"/>
              </w:rPr>
            </w:pPr>
            <w:r>
              <w:rPr>
                <w:lang w:val="hy-AM"/>
              </w:rPr>
              <w:t>72</w:t>
            </w:r>
            <w:r w:rsidRPr="00615BBB">
              <w:rPr>
                <w:lang w:val="hy-AM"/>
              </w:rPr>
              <w:t xml:space="preserve">.1 </w:t>
            </w:r>
            <w:r w:rsidR="006B0618" w:rsidRPr="0053423A">
              <w:rPr>
                <w:b/>
                <w:i/>
                <w:lang w:val="hy-AM"/>
              </w:rPr>
              <w:t>Քասախի և Հրազդանի գետավազանների 7 (2 ջրամբարային, 5 գետային) և սահմանային Արաքս-Սուրմալու  հիդրոլոգիական դիտակետերի արդիականացում, տվյալների գրանցման և առցանց փոխանցման համակարգերով զինված չափիչ սարքավորումների տեղադրում</w:t>
            </w:r>
          </w:p>
          <w:p w:rsidR="006B0618" w:rsidRPr="0053423A" w:rsidRDefault="00615BBB" w:rsidP="00A67858">
            <w:pPr>
              <w:spacing w:line="276" w:lineRule="auto"/>
              <w:ind w:right="259"/>
              <w:jc w:val="center"/>
              <w:rPr>
                <w:b/>
                <w:i/>
                <w:lang w:val="hy-AM"/>
              </w:rPr>
            </w:pPr>
            <w:r>
              <w:rPr>
                <w:b/>
                <w:i/>
                <w:lang w:val="hy-AM"/>
              </w:rPr>
              <w:t>72</w:t>
            </w:r>
            <w:r w:rsidR="006B0618" w:rsidRPr="0053423A">
              <w:rPr>
                <w:b/>
                <w:i/>
                <w:lang w:val="hy-AM"/>
              </w:rPr>
              <w:t>.2 Ախուրյանի ավազանի հիդրոլոգիական դիտակետերի արդիականացում</w:t>
            </w:r>
          </w:p>
          <w:p w:rsidR="006B0618" w:rsidRPr="0053423A" w:rsidRDefault="006B0618" w:rsidP="00A67858">
            <w:pPr>
              <w:pStyle w:val="Style15"/>
              <w:spacing w:line="276" w:lineRule="auto"/>
              <w:ind w:right="259" w:firstLine="0"/>
              <w:rPr>
                <w:rFonts w:ascii="GHEA Grapalat" w:hAnsi="GHEA Grapalat" w:cs="Arial Armenian"/>
                <w:b/>
                <w:lang w:val="hy-AM"/>
              </w:rPr>
            </w:pPr>
            <w:r w:rsidRPr="0053423A">
              <w:rPr>
                <w:rFonts w:ascii="GHEA Grapalat" w:hAnsi="GHEA Grapalat"/>
                <w:lang w:val="hy-AM"/>
              </w:rPr>
              <w:t xml:space="preserve"> </w:t>
            </w:r>
            <w:r w:rsidRPr="0053423A">
              <w:rPr>
                <w:rFonts w:ascii="GHEA Grapalat" w:hAnsi="GHEA Grapalat"/>
                <w:b/>
                <w:lang w:val="hy-AM"/>
              </w:rPr>
              <w:t>1. Միջոցառումների</w:t>
            </w:r>
            <w:r w:rsidRPr="0053423A">
              <w:rPr>
                <w:rFonts w:ascii="GHEA Grapalat" w:hAnsi="GHEA Grapalat" w:cs="Arial Armenian"/>
                <w:b/>
                <w:lang w:val="hy-AM"/>
              </w:rPr>
              <w:t xml:space="preserve"> </w:t>
            </w:r>
            <w:r w:rsidRPr="0053423A">
              <w:rPr>
                <w:rFonts w:ascii="GHEA Grapalat" w:hAnsi="GHEA Grapalat" w:cs="Arial"/>
                <w:b/>
                <w:lang w:val="hy-AM"/>
              </w:rPr>
              <w:t>իրակացման</w:t>
            </w:r>
            <w:r w:rsidRPr="0053423A">
              <w:rPr>
                <w:rFonts w:ascii="GHEA Grapalat" w:hAnsi="GHEA Grapalat" w:cs="Arial Armenian"/>
                <w:b/>
                <w:lang w:val="hy-AM"/>
              </w:rPr>
              <w:t xml:space="preserve"> </w:t>
            </w:r>
            <w:r w:rsidRPr="0053423A">
              <w:rPr>
                <w:rFonts w:ascii="GHEA Grapalat" w:hAnsi="GHEA Grapalat" w:cs="Arial"/>
                <w:b/>
                <w:lang w:val="hy-AM"/>
              </w:rPr>
              <w:t>անհրաժեշտությունը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նպատակը</w:t>
            </w:r>
            <w:r w:rsidRPr="0053423A">
              <w:rPr>
                <w:rFonts w:ascii="GHEA Grapalat" w:hAnsi="GHEA Grapalat" w:cs="Arial Armenian"/>
                <w:b/>
                <w:lang w:val="hy-AM"/>
              </w:rPr>
              <w:t xml:space="preserve"> </w:t>
            </w:r>
          </w:p>
          <w:p w:rsidR="006B0618" w:rsidRPr="0053423A" w:rsidRDefault="006B0618" w:rsidP="00A67858">
            <w:pPr>
              <w:spacing w:line="276" w:lineRule="auto"/>
              <w:ind w:right="259"/>
              <w:rPr>
                <w:lang w:val="hy-AM"/>
              </w:rPr>
            </w:pPr>
            <w:r w:rsidRPr="0053423A">
              <w:rPr>
                <w:lang w:val="hy-AM"/>
              </w:rPr>
              <w:t xml:space="preserve">      ԱԻՆ հիդրոմետ ծառայությունը հանրապետություն միակ պետական կառույցն է որն իրականացնում է մակերևութային ջրային ռեսուրսների քանակական մոնիտորինգ և այդ դիտակետերի դիտարկումների տվյալները կարևոր դեր ունեն ջրային ռեսուրսների արդյունավետ կառավարաման տեսանկյունից, հետևապես անհրաժեշտ է այդ հիդրոլոգիական դիտակետերի վերազինում/արդիականացում: </w:t>
            </w:r>
          </w:p>
          <w:p w:rsidR="006B0618" w:rsidRPr="0053423A" w:rsidRDefault="006B0618" w:rsidP="00A67858">
            <w:pPr>
              <w:spacing w:line="276" w:lineRule="auto"/>
              <w:ind w:right="259"/>
              <w:rPr>
                <w:b/>
                <w:lang w:val="hy-AM"/>
              </w:rPr>
            </w:pPr>
            <w:r w:rsidRPr="0053423A">
              <w:rPr>
                <w:rFonts w:cs="Arial"/>
                <w:b/>
                <w:lang w:val="hy-AM"/>
              </w:rPr>
              <w:t>1.1 Կարգավորման հարաբերությունների ներկա վիճակը և առկա խնդիրները</w:t>
            </w:r>
            <w:r w:rsidRPr="0053423A">
              <w:rPr>
                <w:b/>
                <w:lang w:val="hy-AM"/>
              </w:rPr>
              <w:t>:</w:t>
            </w:r>
          </w:p>
          <w:p w:rsidR="006B0618" w:rsidRPr="0053423A" w:rsidRDefault="006B0618" w:rsidP="00A67858">
            <w:pPr>
              <w:spacing w:line="276" w:lineRule="auto"/>
              <w:ind w:right="259"/>
              <w:rPr>
                <w:lang w:val="hy-AM"/>
              </w:rPr>
            </w:pPr>
            <w:r w:rsidRPr="0053423A">
              <w:rPr>
                <w:lang w:val="hy-AM"/>
              </w:rPr>
              <w:t xml:space="preserve">     Հիդրոլոգիական դիտակետերում շահագործվող գործիք-սարքավորումները հնամաշ են, ինժեներական կառուցվածքները ֆիզիկապես մաշված են:</w:t>
            </w:r>
          </w:p>
          <w:p w:rsidR="006B0618" w:rsidRPr="0053423A" w:rsidRDefault="006B0618" w:rsidP="00A67858">
            <w:pPr>
              <w:numPr>
                <w:ilvl w:val="1"/>
                <w:numId w:val="76"/>
              </w:numPr>
              <w:spacing w:line="276" w:lineRule="auto"/>
              <w:ind w:left="0" w:right="259" w:firstLine="0"/>
              <w:jc w:val="both"/>
              <w:rPr>
                <w:rFonts w:cs="Arial"/>
                <w:b/>
              </w:rPr>
            </w:pPr>
            <w:r w:rsidRPr="0053423A">
              <w:rPr>
                <w:rFonts w:cs="Arial"/>
                <w:b/>
                <w:lang w:val="hy-AM"/>
              </w:rPr>
              <w:t>Առկա</w:t>
            </w:r>
            <w:r w:rsidRPr="0053423A">
              <w:rPr>
                <w:rFonts w:cs="Arial Armenian"/>
                <w:b/>
                <w:lang w:val="hy-AM"/>
              </w:rPr>
              <w:t xml:space="preserve"> </w:t>
            </w:r>
            <w:r w:rsidRPr="0053423A">
              <w:rPr>
                <w:rFonts w:cs="Arial"/>
                <w:b/>
                <w:lang w:val="hy-AM"/>
              </w:rPr>
              <w:t>խնդիրների</w:t>
            </w:r>
            <w:r w:rsidRPr="0053423A">
              <w:rPr>
                <w:rFonts w:cs="Arial Armenian"/>
                <w:b/>
                <w:lang w:val="hy-AM"/>
              </w:rPr>
              <w:t xml:space="preserve"> </w:t>
            </w:r>
            <w:r w:rsidRPr="0053423A">
              <w:rPr>
                <w:rFonts w:cs="Arial"/>
                <w:b/>
                <w:lang w:val="hy-AM"/>
              </w:rPr>
              <w:t>առաջարկվող</w:t>
            </w:r>
            <w:r w:rsidRPr="0053423A">
              <w:rPr>
                <w:rFonts w:cs="Arial Armenian"/>
                <w:b/>
                <w:lang w:val="hy-AM"/>
              </w:rPr>
              <w:t xml:space="preserve"> </w:t>
            </w:r>
            <w:r w:rsidRPr="0053423A">
              <w:rPr>
                <w:rFonts w:cs="Arial"/>
                <w:b/>
                <w:lang w:val="hy-AM"/>
              </w:rPr>
              <w:t>լուծումները:</w:t>
            </w:r>
          </w:p>
          <w:p w:rsidR="006B0618" w:rsidRPr="0053423A" w:rsidRDefault="006B0618" w:rsidP="00A67858">
            <w:pPr>
              <w:spacing w:line="276" w:lineRule="auto"/>
              <w:ind w:right="259"/>
              <w:rPr>
                <w:lang w:val="hy-AM"/>
              </w:rPr>
            </w:pPr>
            <w:r w:rsidRPr="0053423A">
              <w:rPr>
                <w:lang w:val="hy-AM"/>
              </w:rPr>
              <w:t xml:space="preserve"> </w:t>
            </w:r>
            <w:r w:rsidRPr="0053423A">
              <w:t xml:space="preserve">     </w:t>
            </w:r>
            <w:r w:rsidRPr="0053423A">
              <w:rPr>
                <w:lang w:val="hy-AM"/>
              </w:rPr>
              <w:t xml:space="preserve">Դիտակետերում իրականացնել ինժեներական կառուցվածքների հիմնանորոգում, ինչպես նաև տեղադրել ավտոմատ գործիք սարքավորումներ և չափիչ միջոցներ:      </w:t>
            </w:r>
          </w:p>
          <w:p w:rsidR="006B0618" w:rsidRPr="0053423A" w:rsidRDefault="006B0618" w:rsidP="00A67858">
            <w:pPr>
              <w:numPr>
                <w:ilvl w:val="0"/>
                <w:numId w:val="76"/>
              </w:numPr>
              <w:spacing w:line="276" w:lineRule="auto"/>
              <w:ind w:left="0" w:right="259" w:firstLine="0"/>
              <w:jc w:val="both"/>
              <w:rPr>
                <w:b/>
              </w:rPr>
            </w:pPr>
            <w:r w:rsidRPr="0053423A">
              <w:rPr>
                <w:b/>
                <w:lang w:val="hy-AM"/>
              </w:rPr>
              <w:t>Միջոցառ</w:t>
            </w:r>
            <w:r w:rsidRPr="0053423A">
              <w:rPr>
                <w:b/>
              </w:rPr>
              <w:t>ումների</w:t>
            </w:r>
            <w:r w:rsidRPr="0053423A">
              <w:rPr>
                <w:b/>
                <w:lang w:val="hy-AM"/>
              </w:rPr>
              <w:t xml:space="preserve"> իրականացումից ակնկալվող արդյունքը:</w:t>
            </w:r>
          </w:p>
          <w:p w:rsidR="006B0618" w:rsidRPr="0053423A" w:rsidRDefault="006B0618" w:rsidP="00A67858">
            <w:pPr>
              <w:spacing w:line="276" w:lineRule="auto"/>
              <w:ind w:right="259"/>
              <w:rPr>
                <w:lang w:val="hy-AM"/>
              </w:rPr>
            </w:pPr>
            <w:r w:rsidRPr="0053423A">
              <w:t xml:space="preserve">     </w:t>
            </w:r>
            <w:r w:rsidRPr="0053423A">
              <w:rPr>
                <w:rFonts w:cs="Arial"/>
                <w:lang w:val="hy-AM"/>
              </w:rPr>
              <w:t>Միջոցառման</w:t>
            </w:r>
            <w:r w:rsidRPr="0053423A">
              <w:rPr>
                <w:rFonts w:cs="Arial Armenian"/>
                <w:lang w:val="hy-AM"/>
              </w:rPr>
              <w:t xml:space="preserve"> </w:t>
            </w:r>
            <w:r w:rsidRPr="0053423A">
              <w:rPr>
                <w:rFonts w:cs="Arial"/>
                <w:lang w:val="hy-AM"/>
              </w:rPr>
              <w:t>իրականացումից</w:t>
            </w:r>
            <w:r w:rsidRPr="0053423A">
              <w:rPr>
                <w:rFonts w:cs="Arial Armenian"/>
                <w:lang w:val="hy-AM"/>
              </w:rPr>
              <w:t xml:space="preserve"> </w:t>
            </w:r>
            <w:r w:rsidRPr="0053423A">
              <w:rPr>
                <w:rFonts w:cs="Arial"/>
                <w:lang w:val="hy-AM"/>
              </w:rPr>
              <w:t>ակնկալվ</w:t>
            </w:r>
            <w:r w:rsidRPr="0053423A">
              <w:rPr>
                <w:rFonts w:cs="Arial"/>
              </w:rPr>
              <w:t>ում է</w:t>
            </w:r>
            <w:r w:rsidRPr="0053423A">
              <w:rPr>
                <w:lang w:val="hy-AM"/>
              </w:rPr>
              <w:t xml:space="preserve"> </w:t>
            </w:r>
            <w:r w:rsidRPr="0053423A">
              <w:t>մ</w:t>
            </w:r>
            <w:r w:rsidRPr="0053423A">
              <w:rPr>
                <w:lang w:val="hy-AM"/>
              </w:rPr>
              <w:t xml:space="preserve">ակերևութային ջրային ռեսուրսների մոնիտորինգի տվյալների արժանահավատության բարձրացում, հետևապես որոշում կայացնողներին առավել ճշգրիտ տեղեկատվությամբ ապահովում, ջրային ռեսուրսների կառավարման արդյունավետության բարձրացում: Պետք է նշել, որ հիդրոլոգիական դիտակետերն ավտոմատ կայաններով զինելը կբերի ջրային օբյեկտների հիդրոլոգիական ռեժիմի վերաբերյալ առավել մեծ հաճախականությամբ տեղեկատվության ստացման, որը ներկայիս գործող դիտարկման համակարգի նկատմամբ ունի հետևյալ առավելությունները. </w:t>
            </w:r>
          </w:p>
          <w:p w:rsidR="006B0618" w:rsidRPr="0053423A" w:rsidRDefault="006B0618" w:rsidP="00A67858">
            <w:pPr>
              <w:spacing w:line="276" w:lineRule="auto"/>
              <w:ind w:right="259"/>
              <w:rPr>
                <w:lang w:val="hy-AM"/>
              </w:rPr>
            </w:pPr>
            <w:r w:rsidRPr="0053423A">
              <w:rPr>
                <w:lang w:val="hy-AM"/>
              </w:rPr>
              <w:t>- համակարգը հնարավորություն է տալիս ստանալ ջրի մակարդակի վերաբերյալ տվյալներ Հիդրոմետ ծառայության ներկայիս ֆիքսված դիտարկումների միջև ընկած ժամանակահատվածների համար</w:t>
            </w:r>
          </w:p>
          <w:p w:rsidR="006B0618" w:rsidRPr="0053423A" w:rsidRDefault="006B0618" w:rsidP="00A67858">
            <w:pPr>
              <w:spacing w:line="276" w:lineRule="auto"/>
              <w:ind w:right="259"/>
              <w:rPr>
                <w:lang w:val="hy-AM"/>
              </w:rPr>
            </w:pPr>
            <w:r w:rsidRPr="0053423A">
              <w:rPr>
                <w:lang w:val="hy-AM"/>
              </w:rPr>
              <w:t>- բարձրանում է տվյալների արժանահավատությունը՝ մարդկային գործոնով պայմանավորված սխալմունքների նվազեցման հետևանքով:</w:t>
            </w:r>
          </w:p>
          <w:p w:rsidR="006B0618" w:rsidRPr="0053423A" w:rsidRDefault="006B0618" w:rsidP="00A67858">
            <w:pPr>
              <w:spacing w:line="276" w:lineRule="auto"/>
              <w:ind w:right="259"/>
              <w:rPr>
                <w:lang w:val="hy-AM"/>
              </w:rPr>
            </w:pPr>
            <w:r w:rsidRPr="0053423A">
              <w:rPr>
                <w:lang w:val="hy-AM"/>
              </w:rPr>
              <w:t>-  բարձրացնում է շահառուներին տրամադրվող հիդրոլոգիական տեղեկատվության որակը</w:t>
            </w:r>
          </w:p>
          <w:p w:rsidR="006B0618" w:rsidRPr="0053423A" w:rsidRDefault="006B0618" w:rsidP="00A67858">
            <w:pPr>
              <w:spacing w:line="276" w:lineRule="auto"/>
              <w:ind w:right="259"/>
              <w:rPr>
                <w:lang w:val="hy-AM"/>
              </w:rPr>
            </w:pPr>
            <w:r w:rsidRPr="0053423A">
              <w:rPr>
                <w:lang w:val="hy-AM"/>
              </w:rPr>
              <w:t>-  բարձրացնում է ստացվող տեղեկատվության օպերատիվությունը</w:t>
            </w:r>
          </w:p>
          <w:p w:rsidR="006B0618" w:rsidRPr="0053423A" w:rsidRDefault="006B0618" w:rsidP="00A67858">
            <w:pPr>
              <w:spacing w:line="276" w:lineRule="auto"/>
              <w:ind w:right="259"/>
              <w:rPr>
                <w:b/>
                <w:i/>
                <w:lang w:val="hy-AM"/>
              </w:rPr>
            </w:pPr>
            <w:r w:rsidRPr="0053423A">
              <w:rPr>
                <w:lang w:val="hy-AM"/>
              </w:rPr>
              <w:t>- հիդրոլոգիական դիտացանցի ավտոմատացված համակարգը կնպաստի ջրային օբյեկտներում հիդրոլոգիական ռեժիմի կանխատեսումների արդարացվածության բարձրացմանը:</w:t>
            </w:r>
          </w:p>
        </w:tc>
      </w:tr>
      <w:tr w:rsidR="006B0618" w:rsidRPr="00DE2EFA" w:rsidTr="001F6D5D">
        <w:tc>
          <w:tcPr>
            <w:tcW w:w="691" w:type="dxa"/>
          </w:tcPr>
          <w:p w:rsidR="006B0618" w:rsidRPr="0053423A" w:rsidRDefault="001F6D5D" w:rsidP="00A67858">
            <w:pPr>
              <w:spacing w:line="276" w:lineRule="auto"/>
              <w:rPr>
                <w:lang w:val="hy-AM"/>
              </w:rPr>
            </w:pPr>
            <w:r>
              <w:rPr>
                <w:lang w:val="hy-AM"/>
              </w:rPr>
              <w:t>73</w:t>
            </w:r>
          </w:p>
        </w:tc>
        <w:tc>
          <w:tcPr>
            <w:tcW w:w="10649" w:type="dxa"/>
          </w:tcPr>
          <w:p w:rsidR="006B0618" w:rsidRPr="0053423A" w:rsidRDefault="00615BBB" w:rsidP="00A67858">
            <w:pPr>
              <w:pStyle w:val="Style15"/>
              <w:spacing w:line="276" w:lineRule="auto"/>
              <w:ind w:left="-14" w:right="256" w:firstLine="0"/>
              <w:jc w:val="center"/>
              <w:rPr>
                <w:rFonts w:ascii="GHEA Grapalat" w:hAnsi="GHEA Grapalat"/>
                <w:b/>
                <w:i/>
                <w:lang w:val="hy-AM"/>
              </w:rPr>
            </w:pPr>
            <w:r>
              <w:rPr>
                <w:rFonts w:ascii="GHEA Grapalat" w:hAnsi="GHEA Grapalat"/>
                <w:lang w:val="hy-AM"/>
              </w:rPr>
              <w:t>73</w:t>
            </w:r>
            <w:r w:rsidRPr="00FC1685">
              <w:rPr>
                <w:rFonts w:ascii="GHEA Grapalat" w:hAnsi="GHEA Grapalat"/>
                <w:lang w:val="hy-AM"/>
              </w:rPr>
              <w:t xml:space="preserve">.1 </w:t>
            </w:r>
            <w:r w:rsidR="006B0618" w:rsidRPr="0053423A">
              <w:rPr>
                <w:rFonts w:ascii="GHEA Grapalat" w:hAnsi="GHEA Grapalat"/>
                <w:b/>
                <w:i/>
                <w:lang w:val="hy-AM"/>
              </w:rPr>
              <w:t>Սևանա լճի ավազանում 6 ավտոմատ օդերևութաբանական կայանների ձեռքբերում և տեղադրում</w:t>
            </w:r>
          </w:p>
          <w:p w:rsidR="006B0618" w:rsidRPr="0053423A" w:rsidRDefault="00615BBB" w:rsidP="00A67858">
            <w:pPr>
              <w:spacing w:line="276" w:lineRule="auto"/>
              <w:ind w:left="-14"/>
              <w:jc w:val="center"/>
              <w:rPr>
                <w:b/>
                <w:i/>
                <w:lang w:val="hy-AM"/>
              </w:rPr>
            </w:pPr>
            <w:r>
              <w:rPr>
                <w:lang w:val="hy-AM"/>
              </w:rPr>
              <w:t>73.</w:t>
            </w:r>
            <w:r w:rsidR="006B0618" w:rsidRPr="0053423A">
              <w:rPr>
                <w:b/>
                <w:i/>
                <w:lang w:val="hy-AM"/>
              </w:rPr>
              <w:t>.2 Ջրային մակերևույթից գոլորշացման ճշգրիտ գնահատման նպատակով Սևանա լճի ավազանում</w:t>
            </w:r>
          </w:p>
          <w:p w:rsidR="006B0618" w:rsidRPr="0053423A" w:rsidRDefault="006B0618" w:rsidP="00A67858">
            <w:pPr>
              <w:pStyle w:val="Style15"/>
              <w:spacing w:line="276" w:lineRule="auto"/>
              <w:ind w:left="-14" w:right="256" w:firstLine="0"/>
              <w:jc w:val="center"/>
              <w:rPr>
                <w:rFonts w:ascii="GHEA Grapalat" w:hAnsi="GHEA Grapalat"/>
                <w:b/>
                <w:i/>
                <w:lang w:val="hy-AM"/>
              </w:rPr>
            </w:pPr>
            <w:r w:rsidRPr="0053423A">
              <w:rPr>
                <w:rFonts w:ascii="GHEA Grapalat" w:hAnsi="GHEA Grapalat"/>
                <w:b/>
                <w:i/>
                <w:lang w:val="hy-AM"/>
              </w:rPr>
              <w:t>(ГГИ-3000) գոլորշաչափերի տեղադրում</w:t>
            </w:r>
          </w:p>
          <w:p w:rsidR="006B0618" w:rsidRPr="0053423A" w:rsidRDefault="006B0618" w:rsidP="00A67858">
            <w:pPr>
              <w:pStyle w:val="Style15"/>
              <w:spacing w:line="276" w:lineRule="auto"/>
              <w:ind w:left="-14" w:right="256" w:firstLine="0"/>
              <w:rPr>
                <w:rFonts w:ascii="GHEA Grapalat" w:hAnsi="GHEA Grapalat" w:cs="Arial Armenian"/>
                <w:b/>
                <w:lang w:val="hy-AM"/>
              </w:rPr>
            </w:pPr>
            <w:r w:rsidRPr="0053423A">
              <w:rPr>
                <w:rFonts w:ascii="GHEA Grapalat" w:hAnsi="GHEA Grapalat"/>
                <w:b/>
                <w:lang w:val="hy-AM"/>
              </w:rPr>
              <w:t>1. Միջոցառումների</w:t>
            </w:r>
            <w:r w:rsidRPr="0053423A">
              <w:rPr>
                <w:rFonts w:ascii="GHEA Grapalat" w:hAnsi="GHEA Grapalat" w:cs="Arial Armenian"/>
                <w:b/>
                <w:lang w:val="hy-AM"/>
              </w:rPr>
              <w:t xml:space="preserve"> </w:t>
            </w:r>
            <w:r w:rsidRPr="0053423A">
              <w:rPr>
                <w:rFonts w:ascii="GHEA Grapalat" w:hAnsi="GHEA Grapalat" w:cs="Arial"/>
                <w:b/>
                <w:lang w:val="hy-AM"/>
              </w:rPr>
              <w:t>իրակացման</w:t>
            </w:r>
            <w:r w:rsidRPr="0053423A">
              <w:rPr>
                <w:rFonts w:ascii="GHEA Grapalat" w:hAnsi="GHEA Grapalat" w:cs="Arial Armenian"/>
                <w:b/>
                <w:lang w:val="hy-AM"/>
              </w:rPr>
              <w:t xml:space="preserve"> </w:t>
            </w:r>
            <w:r w:rsidRPr="0053423A">
              <w:rPr>
                <w:rFonts w:ascii="GHEA Grapalat" w:hAnsi="GHEA Grapalat" w:cs="Arial"/>
                <w:b/>
                <w:lang w:val="hy-AM"/>
              </w:rPr>
              <w:t>անհրաժեշտությունը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նպատակը</w:t>
            </w:r>
            <w:r w:rsidRPr="0053423A">
              <w:rPr>
                <w:rFonts w:ascii="GHEA Grapalat" w:hAnsi="GHEA Grapalat" w:cs="Arial Armenian"/>
                <w:b/>
                <w:lang w:val="hy-AM"/>
              </w:rPr>
              <w:t xml:space="preserve"> </w:t>
            </w:r>
          </w:p>
          <w:p w:rsidR="006B0618" w:rsidRPr="0053423A" w:rsidRDefault="006B0618" w:rsidP="00A67858">
            <w:pPr>
              <w:pStyle w:val="Style15"/>
              <w:spacing w:line="276" w:lineRule="auto"/>
              <w:ind w:left="-14" w:right="256" w:firstLine="0"/>
              <w:rPr>
                <w:rFonts w:ascii="GHEA Grapalat" w:hAnsi="GHEA Grapalat"/>
                <w:b/>
                <w:lang w:val="hy-AM"/>
              </w:rPr>
            </w:pPr>
            <w:r w:rsidRPr="0053423A">
              <w:rPr>
                <w:rFonts w:ascii="GHEA Grapalat" w:hAnsi="GHEA Grapalat" w:cs="Arial Armenian"/>
                <w:b/>
                <w:lang w:val="hy-AM"/>
              </w:rPr>
              <w:t xml:space="preserve">      </w:t>
            </w:r>
            <w:r w:rsidRPr="0053423A">
              <w:rPr>
                <w:rFonts w:ascii="GHEA Grapalat" w:hAnsi="GHEA Grapalat"/>
                <w:lang w:val="hy-AM"/>
              </w:rPr>
              <w:t xml:space="preserve">Միջոցառման նպատակն է բարելավել հիդրոօդերևութաբանական դիտարկումների համակարգը Սևանա լճի ավազանում ինչը խիստ կարևոր է Սևանա լճի էկոլոգիական հավասարակշռության վերականգնման և պահպանության տեսակետից՝ Սևանա լճի ավազանում ավտոմատ օդերևութաբանական կայանների և ջրային մակերևույթից գոլորշաչափերի տեղադրման միջոցով: </w:t>
            </w:r>
          </w:p>
          <w:p w:rsidR="006B0618" w:rsidRPr="0053423A" w:rsidRDefault="006B0618" w:rsidP="00A67858">
            <w:pPr>
              <w:spacing w:line="276" w:lineRule="auto"/>
              <w:ind w:left="-14" w:right="256"/>
              <w:rPr>
                <w:b/>
                <w:lang w:val="hy-AM"/>
              </w:rPr>
            </w:pPr>
            <w:r w:rsidRPr="0053423A">
              <w:rPr>
                <w:rFonts w:cs="Arial"/>
                <w:b/>
                <w:lang w:val="hy-AM"/>
              </w:rPr>
              <w:t>1.1 Կարգավորման հարաբերությունների ներկա վիճակը և առկա խնդիրները</w:t>
            </w:r>
            <w:r w:rsidRPr="0053423A">
              <w:rPr>
                <w:b/>
                <w:lang w:val="hy-AM"/>
              </w:rPr>
              <w:t xml:space="preserve">: </w:t>
            </w:r>
          </w:p>
          <w:p w:rsidR="006B0618" w:rsidRPr="0053423A" w:rsidRDefault="006B0618" w:rsidP="00A67858">
            <w:pPr>
              <w:spacing w:line="276" w:lineRule="auto"/>
              <w:ind w:left="-14" w:right="256"/>
              <w:rPr>
                <w:rFonts w:cs="Arial"/>
                <w:lang w:val="hy-AM"/>
              </w:rPr>
            </w:pPr>
            <w:r w:rsidRPr="0053423A">
              <w:rPr>
                <w:rFonts w:cs="Arial"/>
                <w:lang w:val="hy-AM"/>
              </w:rPr>
              <w:t xml:space="preserve">     Սևանա լճի ավազանի</w:t>
            </w:r>
            <w:r w:rsidRPr="0053423A">
              <w:rPr>
                <w:b/>
                <w:lang w:val="hy-AM"/>
              </w:rPr>
              <w:t xml:space="preserve"> </w:t>
            </w:r>
            <w:r w:rsidRPr="0053423A">
              <w:rPr>
                <w:rFonts w:cs="Arial"/>
                <w:lang w:val="hy-AM"/>
              </w:rPr>
              <w:t>դիտարկումների ցանցում ներկայումս շահագործվող մասնագիտական գործիքների ու սարքավորումների 70-80%-ը բարոյապես և ֆիզիկապես մաշված են և ցանցն ունի վերազինման խիստ կարիք։</w:t>
            </w:r>
          </w:p>
          <w:p w:rsidR="006B0618" w:rsidRPr="0053423A" w:rsidRDefault="006B0618" w:rsidP="00A67858">
            <w:pPr>
              <w:spacing w:line="276" w:lineRule="auto"/>
              <w:ind w:left="-14" w:right="256"/>
              <w:rPr>
                <w:rFonts w:cs="Arial"/>
                <w:lang w:val="hy-AM"/>
              </w:rPr>
            </w:pPr>
            <w:r w:rsidRPr="0053423A">
              <w:rPr>
                <w:rFonts w:cs="Arial"/>
                <w:b/>
                <w:lang w:val="hy-AM"/>
              </w:rPr>
              <w:t>1.2 Առկա</w:t>
            </w:r>
            <w:r w:rsidRPr="0053423A">
              <w:rPr>
                <w:rFonts w:cs="Arial Armenian"/>
                <w:b/>
                <w:lang w:val="hy-AM"/>
              </w:rPr>
              <w:t xml:space="preserve"> </w:t>
            </w:r>
            <w:r w:rsidRPr="0053423A">
              <w:rPr>
                <w:rFonts w:cs="Arial"/>
                <w:b/>
                <w:lang w:val="hy-AM"/>
              </w:rPr>
              <w:t>խնդիրների</w:t>
            </w:r>
            <w:r w:rsidRPr="0053423A">
              <w:rPr>
                <w:rFonts w:cs="Arial Armenian"/>
                <w:b/>
                <w:lang w:val="hy-AM"/>
              </w:rPr>
              <w:t xml:space="preserve"> </w:t>
            </w:r>
            <w:r w:rsidRPr="0053423A">
              <w:rPr>
                <w:rFonts w:cs="Arial"/>
                <w:b/>
                <w:lang w:val="hy-AM"/>
              </w:rPr>
              <w:t>առաջարկվող</w:t>
            </w:r>
            <w:r w:rsidRPr="0053423A">
              <w:rPr>
                <w:rFonts w:cs="Arial Armenian"/>
                <w:b/>
                <w:lang w:val="hy-AM"/>
              </w:rPr>
              <w:t xml:space="preserve"> </w:t>
            </w:r>
            <w:r w:rsidRPr="0053423A">
              <w:rPr>
                <w:rFonts w:cs="Arial"/>
                <w:b/>
                <w:lang w:val="hy-AM"/>
              </w:rPr>
              <w:t>լուծումները:</w:t>
            </w:r>
            <w:r w:rsidRPr="0053423A">
              <w:rPr>
                <w:rFonts w:cs="Arial"/>
                <w:lang w:val="hy-AM"/>
              </w:rPr>
              <w:t xml:space="preserve"> </w:t>
            </w:r>
          </w:p>
          <w:p w:rsidR="006B0618" w:rsidRPr="0053423A" w:rsidRDefault="006B0618" w:rsidP="00A67858">
            <w:pPr>
              <w:spacing w:line="276" w:lineRule="auto"/>
              <w:ind w:left="-14" w:right="256"/>
              <w:rPr>
                <w:lang w:val="hy-AM"/>
              </w:rPr>
            </w:pPr>
            <w:r w:rsidRPr="0053423A">
              <w:rPr>
                <w:lang w:val="hy-AM"/>
              </w:rPr>
              <w:t xml:space="preserve">     Սևանա լճի ավազանում 6 ավտոմատ օդերևութաբանական կայանների ձեռքբերում և տեղադրում, Ջրային մակերևույթից գոլորշացման ճշգրիտ գնահատման նպատակով Սևանա լճի ավազանում (ГГИ-3000) գոլորշաչափերի տեղադրում:</w:t>
            </w:r>
          </w:p>
          <w:p w:rsidR="006B0618" w:rsidRPr="0053423A" w:rsidRDefault="006B0618" w:rsidP="00A67858">
            <w:pPr>
              <w:spacing w:line="276" w:lineRule="auto"/>
              <w:ind w:left="-14" w:right="256"/>
              <w:rPr>
                <w:lang w:val="hy-AM"/>
              </w:rPr>
            </w:pPr>
            <w:r w:rsidRPr="0053423A">
              <w:rPr>
                <w:b/>
                <w:lang w:val="hy-AM"/>
              </w:rPr>
              <w:t>2. Միջոցառումների իրականացումից ակնկալվող արդյունքը:</w:t>
            </w:r>
            <w:r w:rsidRPr="0053423A">
              <w:rPr>
                <w:lang w:val="hy-AM"/>
              </w:rPr>
              <w:t xml:space="preserve"> </w:t>
            </w:r>
          </w:p>
          <w:p w:rsidR="006B0618" w:rsidRPr="0053423A" w:rsidRDefault="006B0618" w:rsidP="00A67858">
            <w:pPr>
              <w:spacing w:line="276" w:lineRule="auto"/>
              <w:ind w:left="-14" w:right="256"/>
              <w:rPr>
                <w:lang w:val="hy-AM"/>
              </w:rPr>
            </w:pPr>
            <w:r w:rsidRPr="0053423A">
              <w:rPr>
                <w:rFonts w:cs="Arial"/>
                <w:lang w:val="hy-AM"/>
              </w:rPr>
              <w:t xml:space="preserve">    Միջոցառման</w:t>
            </w:r>
            <w:r w:rsidRPr="0053423A">
              <w:rPr>
                <w:rFonts w:cs="Arial Armenian"/>
                <w:lang w:val="hy-AM"/>
              </w:rPr>
              <w:t xml:space="preserve"> </w:t>
            </w:r>
            <w:r w:rsidRPr="0053423A">
              <w:rPr>
                <w:rFonts w:cs="Arial"/>
                <w:lang w:val="hy-AM"/>
              </w:rPr>
              <w:t>իրականացումից</w:t>
            </w:r>
            <w:r w:rsidRPr="0053423A">
              <w:rPr>
                <w:rFonts w:cs="Arial Armenian"/>
                <w:lang w:val="hy-AM"/>
              </w:rPr>
              <w:t xml:space="preserve"> </w:t>
            </w:r>
            <w:r w:rsidRPr="0053423A">
              <w:rPr>
                <w:rFonts w:cs="Arial"/>
                <w:lang w:val="hy-AM"/>
              </w:rPr>
              <w:t>ակնկալվում է</w:t>
            </w:r>
            <w:r w:rsidRPr="0053423A">
              <w:rPr>
                <w:lang w:val="hy-AM"/>
              </w:rPr>
              <w:t xml:space="preserve"> Սևանա լճի ջրային հաշվեկշռի կազմման բարելավում և հաշվեկշռի բաղադրիչների հուսալիության բարձրացում ինչպես նաև լճի ջրային ռեսուրսների կանխատեսումների որակի բարելավում:</w:t>
            </w:r>
          </w:p>
          <w:p w:rsidR="006B0618" w:rsidRPr="0053423A" w:rsidRDefault="006B0618" w:rsidP="00A67858">
            <w:pPr>
              <w:spacing w:line="276" w:lineRule="auto"/>
              <w:ind w:left="-14" w:right="256"/>
              <w:rPr>
                <w:b/>
                <w:i/>
                <w:lang w:val="hy-AM"/>
              </w:rPr>
            </w:pPr>
            <w:r w:rsidRPr="0053423A">
              <w:rPr>
                <w:rFonts w:cs="Sylfaen"/>
                <w:lang w:val="it-IT" w:eastAsia="en-GB"/>
              </w:rPr>
              <w:t xml:space="preserve">Միջոցառումները նախատեսվում է իրականացնել 2021-2023 թվականների ընթացքում՝ անհրաժեշտ ֆինանսական միջոցները ներառելով </w:t>
            </w:r>
            <w:r w:rsidRPr="0053423A">
              <w:rPr>
                <w:color w:val="000000"/>
                <w:shd w:val="clear" w:color="auto" w:fill="F0F0F0"/>
                <w:lang w:val="hy-AM"/>
              </w:rPr>
              <w:t xml:space="preserve">ՀՀ 2020-2022 թվականների պետական միջնաժամկետ ծախսերի ծրագրում ըստ յուրաքանչյուր տարվա նախահաշվի: </w:t>
            </w:r>
            <w:r w:rsidRPr="0053423A">
              <w:rPr>
                <w:rFonts w:cs="Sylfaen"/>
                <w:lang w:val="hy-AM"/>
              </w:rPr>
              <w:t>Ստույգ</w:t>
            </w:r>
            <w:r w:rsidRPr="0053423A">
              <w:rPr>
                <w:rFonts w:cs="Arial Armenian"/>
                <w:lang w:val="hy-AM"/>
              </w:rPr>
              <w:t xml:space="preserve"> </w:t>
            </w:r>
            <w:r w:rsidRPr="0053423A">
              <w:rPr>
                <w:rFonts w:cs="Sylfaen"/>
                <w:lang w:val="hy-AM"/>
              </w:rPr>
              <w:t>հաշվարկները</w:t>
            </w:r>
            <w:r w:rsidRPr="0053423A">
              <w:rPr>
                <w:rFonts w:cs="Arial Armenian"/>
                <w:lang w:val="hy-AM"/>
              </w:rPr>
              <w:t xml:space="preserve"> </w:t>
            </w:r>
            <w:r w:rsidRPr="0053423A">
              <w:rPr>
                <w:rFonts w:cs="Sylfaen"/>
                <w:lang w:val="hy-AM"/>
              </w:rPr>
              <w:t>կներկայացվեն</w:t>
            </w:r>
            <w:r w:rsidRPr="0053423A">
              <w:rPr>
                <w:rFonts w:cs="Arial Armenian"/>
                <w:lang w:val="hy-AM"/>
              </w:rPr>
              <w:t xml:space="preserve"> </w:t>
            </w:r>
            <w:r w:rsidRPr="0053423A">
              <w:rPr>
                <w:rFonts w:cs="Sylfaen"/>
                <w:lang w:val="hy-AM"/>
              </w:rPr>
              <w:t>համապատասխան</w:t>
            </w:r>
            <w:r w:rsidRPr="0053423A">
              <w:rPr>
                <w:rFonts w:cs="Arial Armenian"/>
                <w:lang w:val="hy-AM"/>
              </w:rPr>
              <w:t xml:space="preserve"> </w:t>
            </w:r>
            <w:r w:rsidRPr="0053423A">
              <w:rPr>
                <w:rFonts w:cs="Sylfaen"/>
                <w:lang w:val="hy-AM"/>
              </w:rPr>
              <w:t>հայտերով՝</w:t>
            </w:r>
            <w:r w:rsidRPr="0053423A">
              <w:rPr>
                <w:rFonts w:cs="Arial Armenian"/>
                <w:lang w:val="hy-AM"/>
              </w:rPr>
              <w:t xml:space="preserve"> </w:t>
            </w:r>
            <w:r w:rsidRPr="0053423A">
              <w:rPr>
                <w:rFonts w:cs="Sylfaen"/>
                <w:lang w:val="hy-AM"/>
              </w:rPr>
              <w:t>ֆինանսական</w:t>
            </w:r>
            <w:r w:rsidRPr="0053423A">
              <w:rPr>
                <w:rFonts w:cs="Arial Armenian"/>
                <w:lang w:val="hy-AM"/>
              </w:rPr>
              <w:t xml:space="preserve"> </w:t>
            </w:r>
            <w:r w:rsidRPr="0053423A">
              <w:rPr>
                <w:rFonts w:cs="Sylfaen"/>
                <w:lang w:val="hy-AM"/>
              </w:rPr>
              <w:t>միջոցների</w:t>
            </w:r>
            <w:r w:rsidRPr="0053423A">
              <w:rPr>
                <w:rFonts w:cs="Arial Armenian"/>
                <w:lang w:val="hy-AM"/>
              </w:rPr>
              <w:t xml:space="preserve"> </w:t>
            </w:r>
            <w:r w:rsidRPr="0053423A">
              <w:rPr>
                <w:rFonts w:cs="Sylfaen"/>
                <w:lang w:val="hy-AM"/>
              </w:rPr>
              <w:t>առկայության</w:t>
            </w:r>
            <w:r w:rsidRPr="0053423A">
              <w:rPr>
                <w:rFonts w:cs="Arial Armenian"/>
                <w:lang w:val="hy-AM"/>
              </w:rPr>
              <w:t xml:space="preserve"> </w:t>
            </w:r>
            <w:r w:rsidRPr="0053423A">
              <w:rPr>
                <w:rFonts w:cs="Sylfaen"/>
                <w:lang w:val="hy-AM"/>
              </w:rPr>
              <w:t>դեպքում</w:t>
            </w:r>
            <w:r w:rsidRPr="0053423A">
              <w:rPr>
                <w:lang w:val="hy-AM"/>
              </w:rPr>
              <w:t>:</w:t>
            </w:r>
          </w:p>
        </w:tc>
      </w:tr>
      <w:tr w:rsidR="006B0618" w:rsidRPr="00DE2EFA" w:rsidTr="001F6D5D">
        <w:tc>
          <w:tcPr>
            <w:tcW w:w="691" w:type="dxa"/>
          </w:tcPr>
          <w:p w:rsidR="006B0618" w:rsidRPr="0053423A" w:rsidRDefault="001F6D5D" w:rsidP="00A67858">
            <w:pPr>
              <w:spacing w:line="276" w:lineRule="auto"/>
              <w:rPr>
                <w:lang w:val="hy-AM"/>
              </w:rPr>
            </w:pPr>
            <w:r>
              <w:rPr>
                <w:lang w:val="hy-AM"/>
              </w:rPr>
              <w:t>74</w:t>
            </w:r>
          </w:p>
        </w:tc>
        <w:tc>
          <w:tcPr>
            <w:tcW w:w="10649" w:type="dxa"/>
          </w:tcPr>
          <w:p w:rsidR="006B0618" w:rsidRPr="0053423A" w:rsidRDefault="00615BBB" w:rsidP="00A67858">
            <w:pPr>
              <w:spacing w:line="276" w:lineRule="auto"/>
              <w:ind w:right="259"/>
              <w:jc w:val="center"/>
              <w:rPr>
                <w:b/>
                <w:i/>
                <w:lang w:val="hy-AM"/>
              </w:rPr>
            </w:pPr>
            <w:r>
              <w:rPr>
                <w:lang w:val="hy-AM"/>
              </w:rPr>
              <w:t>74</w:t>
            </w:r>
            <w:r w:rsidRPr="00367A64">
              <w:rPr>
                <w:lang w:val="hy-AM"/>
              </w:rPr>
              <w:t xml:space="preserve">.1 </w:t>
            </w:r>
            <w:r w:rsidR="006B0618" w:rsidRPr="0053423A">
              <w:rPr>
                <w:b/>
                <w:i/>
                <w:lang w:val="hy-AM"/>
              </w:rPr>
              <w:t xml:space="preserve">Հակակարկտային պաշտպանության զարգացման համար  նոր սերնդի դոպլերային </w:t>
            </w:r>
          </w:p>
          <w:p w:rsidR="006B0618" w:rsidRPr="0053423A" w:rsidRDefault="006B0618" w:rsidP="00A67858">
            <w:pPr>
              <w:spacing w:line="276" w:lineRule="auto"/>
              <w:ind w:right="259"/>
              <w:jc w:val="center"/>
              <w:rPr>
                <w:b/>
                <w:i/>
                <w:lang w:val="hy-AM"/>
              </w:rPr>
            </w:pPr>
            <w:r w:rsidRPr="0053423A">
              <w:rPr>
                <w:b/>
                <w:i/>
                <w:lang w:val="hy-AM"/>
              </w:rPr>
              <w:t>ԴՄՌԼ-10 տեսակի ռադիոլոկացիոն 2 կայանների ձեռք բերում և</w:t>
            </w:r>
          </w:p>
          <w:p w:rsidR="006B0618" w:rsidRPr="0053423A" w:rsidRDefault="006B0618" w:rsidP="00A67858">
            <w:pPr>
              <w:spacing w:line="276" w:lineRule="auto"/>
              <w:ind w:right="259"/>
              <w:jc w:val="center"/>
              <w:rPr>
                <w:b/>
                <w:i/>
              </w:rPr>
            </w:pPr>
            <w:r w:rsidRPr="0053423A">
              <w:rPr>
                <w:b/>
                <w:i/>
                <w:lang w:val="hy-AM"/>
              </w:rPr>
              <w:t>տեղադրում Արմավիրի և Շիրակի մարզերում</w:t>
            </w:r>
          </w:p>
          <w:p w:rsidR="006B0618" w:rsidRPr="0053423A" w:rsidRDefault="006B0618" w:rsidP="00A67858">
            <w:pPr>
              <w:pStyle w:val="Style15"/>
              <w:numPr>
                <w:ilvl w:val="0"/>
                <w:numId w:val="77"/>
              </w:numPr>
              <w:spacing w:line="276" w:lineRule="auto"/>
              <w:ind w:left="0" w:right="259" w:firstLine="0"/>
              <w:rPr>
                <w:rFonts w:ascii="GHEA Grapalat" w:hAnsi="GHEA Grapalat"/>
                <w:b/>
                <w:lang w:val="hy-AM"/>
              </w:rPr>
            </w:pPr>
            <w:r w:rsidRPr="0053423A">
              <w:rPr>
                <w:rFonts w:ascii="GHEA Grapalat" w:hAnsi="GHEA Grapalat" w:cs="Arial"/>
                <w:b/>
                <w:lang w:val="hy-AM"/>
              </w:rPr>
              <w:t>Միջոցառման</w:t>
            </w:r>
            <w:r w:rsidRPr="0053423A">
              <w:rPr>
                <w:rFonts w:ascii="GHEA Grapalat" w:hAnsi="GHEA Grapalat" w:cs="Arial Armenian"/>
                <w:b/>
                <w:lang w:val="hy-AM"/>
              </w:rPr>
              <w:t xml:space="preserve"> </w:t>
            </w:r>
            <w:r w:rsidRPr="0053423A">
              <w:rPr>
                <w:rFonts w:ascii="GHEA Grapalat" w:hAnsi="GHEA Grapalat" w:cs="Arial"/>
                <w:b/>
                <w:lang w:val="hy-AM"/>
              </w:rPr>
              <w:t>իրակացման</w:t>
            </w:r>
            <w:r w:rsidRPr="0053423A">
              <w:rPr>
                <w:rFonts w:ascii="GHEA Grapalat" w:hAnsi="GHEA Grapalat" w:cs="Arial Armenian"/>
                <w:b/>
                <w:lang w:val="hy-AM"/>
              </w:rPr>
              <w:t xml:space="preserve"> </w:t>
            </w:r>
            <w:r w:rsidRPr="0053423A">
              <w:rPr>
                <w:rFonts w:ascii="GHEA Grapalat" w:hAnsi="GHEA Grapalat" w:cs="Arial"/>
                <w:b/>
                <w:lang w:val="hy-AM"/>
              </w:rPr>
              <w:t>անհրաժեշտությունը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նպատակը</w:t>
            </w:r>
            <w:r w:rsidRPr="0053423A">
              <w:rPr>
                <w:rFonts w:ascii="GHEA Grapalat" w:hAnsi="GHEA Grapalat" w:cs="Arial Armenian"/>
                <w:b/>
                <w:lang w:val="hy-AM"/>
              </w:rPr>
              <w:t xml:space="preserve"> </w:t>
            </w:r>
          </w:p>
          <w:p w:rsidR="006B0618" w:rsidRPr="0053423A" w:rsidRDefault="006B0618" w:rsidP="00A67858">
            <w:pPr>
              <w:spacing w:line="276" w:lineRule="auto"/>
              <w:ind w:right="259" w:firstLine="567"/>
              <w:rPr>
                <w:lang w:val="hy-AM"/>
              </w:rPr>
            </w:pPr>
            <w:r w:rsidRPr="0053423A">
              <w:rPr>
                <w:lang w:val="hy-AM"/>
              </w:rPr>
              <w:t xml:space="preserve">Մթնոլորտային երևույթների վրա ակտիվ ներգործության աշխատանքներն իրականացվում են ռադիոլոկացիոն կայանների դիտարկման արդյունքում ստացվող տյալների հիման վրա: Այդ կայաններն իրական ժամանակում հայտնաբերում են օդերևութաբանական վտանգավոր երևույթները, որոշում  ամպի վտանգավորության աստիճանը, կառուցվածքը, պարունակությունը, տեղաշարժման ուղղությունը, արագությունը, ինչպես նաև գնահատում ամպագոյացության զարգացման էվոլյուցիան:  </w:t>
            </w:r>
          </w:p>
          <w:p w:rsidR="006B0618" w:rsidRPr="0053423A" w:rsidRDefault="006B0618" w:rsidP="00A67858">
            <w:pPr>
              <w:spacing w:line="276" w:lineRule="auto"/>
              <w:ind w:right="259" w:firstLine="567"/>
              <w:rPr>
                <w:lang w:val="hy-AM"/>
              </w:rPr>
            </w:pPr>
            <w:r w:rsidRPr="0053423A">
              <w:rPr>
                <w:lang w:val="hy-AM"/>
              </w:rPr>
              <w:t xml:space="preserve">Ռադիոլոկացիոն կայաններից ստացվող տվյալների բացակայության  դեպքում ցանկացած տեսակի ներգործման աշխատանքների իրականացումը կդառնա անհնարին:  </w:t>
            </w:r>
          </w:p>
          <w:p w:rsidR="006B0618" w:rsidRPr="0053423A" w:rsidRDefault="006B0618" w:rsidP="00A67858">
            <w:pPr>
              <w:spacing w:line="276" w:lineRule="auto"/>
              <w:ind w:right="259" w:firstLine="567"/>
              <w:rPr>
                <w:lang w:val="hy-AM"/>
              </w:rPr>
            </w:pPr>
            <w:r w:rsidRPr="0053423A">
              <w:rPr>
                <w:lang w:val="hy-AM"/>
              </w:rPr>
              <w:t>Հակակարկտային պաշտպանության զարգացման և վտանգավոր հիդրոօդերևութաբանական երևույթների գերկարճաժամկետ կանխատեսումների համակարգի ներդնման համար անհրաժեշտ է ձեռք բերել 2 հատ նոր սերնդի դոպլերային ԴՄՌԼ-10 տեսակի ռադիոլոկացիոն կայան, որոնք կտեղադրվեն ՀՀ Արմավիրի և Շիրակի մարզերում:</w:t>
            </w:r>
          </w:p>
          <w:p w:rsidR="006B0618" w:rsidRPr="0053423A" w:rsidRDefault="006B0618" w:rsidP="00A67858">
            <w:pPr>
              <w:pStyle w:val="Style15"/>
              <w:spacing w:line="276" w:lineRule="auto"/>
              <w:ind w:right="259" w:firstLine="0"/>
              <w:rPr>
                <w:rFonts w:ascii="GHEA Grapalat" w:hAnsi="GHEA Grapalat"/>
                <w:b/>
                <w:lang w:val="hy-AM"/>
              </w:rPr>
            </w:pPr>
            <w:r w:rsidRPr="0053423A">
              <w:rPr>
                <w:rFonts w:ascii="GHEA Grapalat" w:hAnsi="GHEA Grapalat"/>
                <w:b/>
                <w:lang w:val="hy-AM"/>
              </w:rPr>
              <w:t xml:space="preserve">1.1. </w:t>
            </w:r>
            <w:r w:rsidRPr="0053423A">
              <w:rPr>
                <w:rFonts w:ascii="GHEA Grapalat" w:hAnsi="GHEA Grapalat" w:cs="Arial"/>
                <w:b/>
                <w:lang w:val="hy-AM"/>
              </w:rPr>
              <w:t>կարգավորման</w:t>
            </w:r>
            <w:r w:rsidRPr="0053423A">
              <w:rPr>
                <w:rFonts w:ascii="GHEA Grapalat" w:hAnsi="GHEA Grapalat" w:cs="Arial Armenian"/>
                <w:b/>
                <w:lang w:val="hy-AM"/>
              </w:rPr>
              <w:t xml:space="preserve"> </w:t>
            </w:r>
            <w:r w:rsidRPr="0053423A">
              <w:rPr>
                <w:rFonts w:ascii="GHEA Grapalat" w:hAnsi="GHEA Grapalat" w:cs="Arial"/>
                <w:b/>
                <w:lang w:val="hy-AM"/>
              </w:rPr>
              <w:t>հարաբերությունների</w:t>
            </w:r>
            <w:r w:rsidRPr="0053423A">
              <w:rPr>
                <w:rFonts w:ascii="GHEA Grapalat" w:hAnsi="GHEA Grapalat" w:cs="Arial Armenian"/>
                <w:b/>
                <w:lang w:val="hy-AM"/>
              </w:rPr>
              <w:t xml:space="preserve"> </w:t>
            </w:r>
            <w:r w:rsidRPr="0053423A">
              <w:rPr>
                <w:rFonts w:ascii="GHEA Grapalat" w:hAnsi="GHEA Grapalat" w:cs="Arial"/>
                <w:b/>
                <w:lang w:val="hy-AM"/>
              </w:rPr>
              <w:t>ներկա</w:t>
            </w:r>
            <w:r w:rsidRPr="0053423A">
              <w:rPr>
                <w:rFonts w:ascii="GHEA Grapalat" w:hAnsi="GHEA Grapalat" w:cs="Arial Armenian"/>
                <w:b/>
                <w:lang w:val="hy-AM"/>
              </w:rPr>
              <w:t xml:space="preserve"> </w:t>
            </w:r>
            <w:r w:rsidRPr="0053423A">
              <w:rPr>
                <w:rFonts w:ascii="GHEA Grapalat" w:hAnsi="GHEA Grapalat" w:cs="Arial"/>
                <w:b/>
                <w:lang w:val="hy-AM"/>
              </w:rPr>
              <w:t>վիճակը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առկա</w:t>
            </w:r>
            <w:r w:rsidRPr="0053423A">
              <w:rPr>
                <w:rFonts w:ascii="GHEA Grapalat" w:hAnsi="GHEA Grapalat" w:cs="Arial Armenian"/>
                <w:b/>
                <w:lang w:val="hy-AM"/>
              </w:rPr>
              <w:t xml:space="preserve"> </w:t>
            </w:r>
            <w:r w:rsidRPr="0053423A">
              <w:rPr>
                <w:rFonts w:ascii="GHEA Grapalat" w:hAnsi="GHEA Grapalat" w:cs="Arial"/>
                <w:b/>
                <w:lang w:val="hy-AM"/>
              </w:rPr>
              <w:t>խնդիրները</w:t>
            </w:r>
            <w:r w:rsidRPr="0053423A">
              <w:rPr>
                <w:rFonts w:ascii="GHEA Grapalat" w:hAnsi="GHEA Grapalat"/>
                <w:b/>
                <w:lang w:val="hy-AM"/>
              </w:rPr>
              <w:t xml:space="preserve"> </w:t>
            </w:r>
          </w:p>
          <w:p w:rsidR="006B0618" w:rsidRPr="0053423A" w:rsidRDefault="006B0618" w:rsidP="00A67858">
            <w:pPr>
              <w:pStyle w:val="Style15"/>
              <w:spacing w:line="276" w:lineRule="auto"/>
              <w:ind w:right="259" w:firstLine="0"/>
              <w:rPr>
                <w:rFonts w:ascii="GHEA Grapalat" w:eastAsia="Calibri" w:hAnsi="GHEA Grapalat"/>
                <w:lang w:val="hy-AM"/>
              </w:rPr>
            </w:pPr>
            <w:r w:rsidRPr="0053423A">
              <w:rPr>
                <w:rFonts w:ascii="GHEA Grapalat" w:eastAsia="Calibri" w:hAnsi="GHEA Grapalat"/>
                <w:lang w:val="hy-AM"/>
              </w:rPr>
              <w:t xml:space="preserve">      Հիդրոմետ ծառայության համակարգում գործող երկու ՄՌԼ-5 տեսակի ռադիոլոկացիոն կայանները շահագործվում շուրջ 30 տարի և ունեն զգալի ֆիզիկական մաշվածություն: </w:t>
            </w:r>
          </w:p>
          <w:p w:rsidR="006B0618" w:rsidRPr="0053423A" w:rsidRDefault="006B0618" w:rsidP="00A67858">
            <w:pPr>
              <w:pStyle w:val="Style15"/>
              <w:spacing w:line="276" w:lineRule="auto"/>
              <w:ind w:right="259" w:firstLine="0"/>
              <w:rPr>
                <w:rFonts w:ascii="GHEA Grapalat" w:hAnsi="GHEA Grapalat"/>
                <w:b/>
                <w:lang w:val="hy-AM"/>
              </w:rPr>
            </w:pPr>
            <w:r w:rsidRPr="0053423A">
              <w:rPr>
                <w:rFonts w:ascii="GHEA Grapalat" w:eastAsia="Calibri" w:hAnsi="GHEA Grapalat"/>
                <w:lang w:val="hy-AM"/>
              </w:rPr>
              <w:t>Գործող ռադիոլոկացիոն կայանների դիտարկման տարածքները սահմանափակվում են Հայաստանի Հանրապետության բարդ երկրապատկերի պատճառով:</w:t>
            </w:r>
          </w:p>
          <w:p w:rsidR="006B0618" w:rsidRPr="0053423A" w:rsidRDefault="006B0618" w:rsidP="00A67858">
            <w:pPr>
              <w:pStyle w:val="Style15"/>
              <w:spacing w:line="276" w:lineRule="auto"/>
              <w:ind w:right="259" w:firstLine="0"/>
              <w:rPr>
                <w:rFonts w:ascii="GHEA Grapalat" w:hAnsi="GHEA Grapalat"/>
                <w:b/>
                <w:lang w:val="hy-AM"/>
              </w:rPr>
            </w:pPr>
            <w:r w:rsidRPr="0053423A">
              <w:rPr>
                <w:rFonts w:ascii="GHEA Grapalat" w:hAnsi="GHEA Grapalat"/>
                <w:b/>
                <w:lang w:val="hy-AM"/>
              </w:rPr>
              <w:t xml:space="preserve">1.2. </w:t>
            </w:r>
            <w:r w:rsidRPr="0053423A">
              <w:rPr>
                <w:rFonts w:ascii="GHEA Grapalat" w:hAnsi="GHEA Grapalat" w:cs="Arial"/>
                <w:b/>
                <w:lang w:val="hy-AM"/>
              </w:rPr>
              <w:t>Առկա</w:t>
            </w:r>
            <w:r w:rsidRPr="0053423A">
              <w:rPr>
                <w:rFonts w:ascii="GHEA Grapalat" w:hAnsi="GHEA Grapalat" w:cs="Arial Armenian"/>
                <w:b/>
                <w:lang w:val="hy-AM"/>
              </w:rPr>
              <w:t xml:space="preserve"> </w:t>
            </w:r>
            <w:r w:rsidRPr="0053423A">
              <w:rPr>
                <w:rFonts w:ascii="GHEA Grapalat" w:hAnsi="GHEA Grapalat" w:cs="Arial"/>
                <w:b/>
                <w:lang w:val="hy-AM"/>
              </w:rPr>
              <w:t>խնդիրների</w:t>
            </w:r>
            <w:r w:rsidRPr="0053423A">
              <w:rPr>
                <w:rFonts w:ascii="GHEA Grapalat" w:hAnsi="GHEA Grapalat" w:cs="Arial Armenian"/>
                <w:b/>
                <w:lang w:val="hy-AM"/>
              </w:rPr>
              <w:t xml:space="preserve"> </w:t>
            </w:r>
            <w:r w:rsidRPr="0053423A">
              <w:rPr>
                <w:rFonts w:ascii="GHEA Grapalat" w:hAnsi="GHEA Grapalat" w:cs="Arial"/>
                <w:b/>
                <w:lang w:val="hy-AM"/>
              </w:rPr>
              <w:t>առաջարկվող</w:t>
            </w:r>
            <w:r w:rsidRPr="0053423A">
              <w:rPr>
                <w:rFonts w:ascii="GHEA Grapalat" w:hAnsi="GHEA Grapalat" w:cs="Arial Armenian"/>
                <w:b/>
                <w:lang w:val="hy-AM"/>
              </w:rPr>
              <w:t xml:space="preserve"> </w:t>
            </w:r>
            <w:r w:rsidRPr="0053423A">
              <w:rPr>
                <w:rFonts w:ascii="GHEA Grapalat" w:hAnsi="GHEA Grapalat" w:cs="Arial"/>
                <w:b/>
                <w:lang w:val="hy-AM"/>
              </w:rPr>
              <w:t>լուծումները</w:t>
            </w:r>
            <w:r w:rsidRPr="0053423A">
              <w:rPr>
                <w:rFonts w:ascii="GHEA Grapalat" w:hAnsi="GHEA Grapalat"/>
                <w:b/>
                <w:lang w:val="hy-AM"/>
              </w:rPr>
              <w:t xml:space="preserve"> </w:t>
            </w:r>
          </w:p>
          <w:p w:rsidR="006B0618" w:rsidRPr="0053423A" w:rsidRDefault="006B0618" w:rsidP="00A67858">
            <w:pPr>
              <w:spacing w:line="276" w:lineRule="auto"/>
              <w:ind w:right="259"/>
              <w:rPr>
                <w:lang w:val="hy-AM"/>
              </w:rPr>
            </w:pPr>
            <w:r w:rsidRPr="0053423A">
              <w:rPr>
                <w:lang w:val="hy-AM"/>
              </w:rPr>
              <w:t xml:space="preserve">       Մթնոլորտային երևույթների դիտարկումների և հակակարկտային պաշտպանության զարգացման համար անհրաժեշտ է առաջնահերթ ձեռք բերել 2 հատ նոր սերնդի դոպլերային ԴՄՌԼ-10 տեսակի ռադիոլոկացիոն կայան, որոնք կտեղադրվեն ՀՀ Արմավիրի և Շիրակի մարզերում:</w:t>
            </w:r>
          </w:p>
          <w:p w:rsidR="006B0618" w:rsidRPr="0053423A" w:rsidRDefault="006B0618" w:rsidP="00A67858">
            <w:pPr>
              <w:pStyle w:val="Style15"/>
              <w:spacing w:line="276" w:lineRule="auto"/>
              <w:ind w:right="259" w:firstLine="0"/>
              <w:rPr>
                <w:rFonts w:ascii="GHEA Grapalat" w:hAnsi="GHEA Grapalat"/>
                <w:b/>
                <w:lang w:val="hy-AM"/>
              </w:rPr>
            </w:pPr>
            <w:r w:rsidRPr="0053423A">
              <w:rPr>
                <w:rFonts w:ascii="GHEA Grapalat" w:hAnsi="GHEA Grapalat"/>
                <w:b/>
                <w:lang w:val="hy-AM"/>
              </w:rPr>
              <w:t xml:space="preserve">2. </w:t>
            </w:r>
            <w:r w:rsidRPr="0053423A">
              <w:rPr>
                <w:rFonts w:ascii="GHEA Grapalat" w:hAnsi="GHEA Grapalat" w:cs="Arial"/>
                <w:b/>
                <w:lang w:val="hy-AM"/>
              </w:rPr>
              <w:t>Միջոցառման</w:t>
            </w:r>
            <w:r w:rsidRPr="0053423A">
              <w:rPr>
                <w:rFonts w:ascii="GHEA Grapalat" w:hAnsi="GHEA Grapalat" w:cs="Arial Armenian"/>
                <w:b/>
                <w:lang w:val="hy-AM"/>
              </w:rPr>
              <w:t xml:space="preserve"> </w:t>
            </w:r>
            <w:r w:rsidRPr="0053423A">
              <w:rPr>
                <w:rFonts w:ascii="GHEA Grapalat" w:hAnsi="GHEA Grapalat" w:cs="Arial"/>
                <w:b/>
                <w:lang w:val="hy-AM"/>
              </w:rPr>
              <w:t>իրականացումից</w:t>
            </w:r>
            <w:r w:rsidRPr="0053423A">
              <w:rPr>
                <w:rFonts w:ascii="GHEA Grapalat" w:hAnsi="GHEA Grapalat" w:cs="Arial Armenian"/>
                <w:b/>
                <w:lang w:val="hy-AM"/>
              </w:rPr>
              <w:t xml:space="preserve"> </w:t>
            </w:r>
            <w:r w:rsidRPr="0053423A">
              <w:rPr>
                <w:rFonts w:ascii="GHEA Grapalat" w:hAnsi="GHEA Grapalat" w:cs="Arial"/>
                <w:b/>
                <w:lang w:val="hy-AM"/>
              </w:rPr>
              <w:t>ակնկալվող</w:t>
            </w:r>
            <w:r w:rsidRPr="0053423A">
              <w:rPr>
                <w:rFonts w:ascii="GHEA Grapalat" w:hAnsi="GHEA Grapalat" w:cs="Arial Armenian"/>
                <w:b/>
                <w:lang w:val="hy-AM"/>
              </w:rPr>
              <w:t xml:space="preserve"> </w:t>
            </w:r>
            <w:r w:rsidRPr="0053423A">
              <w:rPr>
                <w:rFonts w:ascii="GHEA Grapalat" w:hAnsi="GHEA Grapalat" w:cs="Arial"/>
                <w:b/>
                <w:lang w:val="hy-AM"/>
              </w:rPr>
              <w:t>արդյունքը</w:t>
            </w:r>
          </w:p>
          <w:p w:rsidR="006B0618" w:rsidRPr="0053423A" w:rsidRDefault="006B0618" w:rsidP="00A67858">
            <w:pPr>
              <w:spacing w:line="276" w:lineRule="auto"/>
              <w:ind w:right="259"/>
              <w:rPr>
                <w:lang w:val="hy-AM"/>
              </w:rPr>
            </w:pPr>
            <w:r w:rsidRPr="0053423A">
              <w:rPr>
                <w:lang w:val="hy-AM"/>
              </w:rPr>
              <w:t xml:space="preserve">       </w:t>
            </w:r>
            <w:r w:rsidRPr="0053423A">
              <w:rPr>
                <w:rFonts w:cs="Arial"/>
                <w:lang w:val="hy-AM"/>
              </w:rPr>
              <w:t>Միջոցառման</w:t>
            </w:r>
            <w:r w:rsidRPr="0053423A">
              <w:rPr>
                <w:rFonts w:cs="Arial Armenian"/>
                <w:lang w:val="hy-AM"/>
              </w:rPr>
              <w:t xml:space="preserve"> </w:t>
            </w:r>
            <w:r w:rsidRPr="0053423A">
              <w:rPr>
                <w:rFonts w:cs="Arial"/>
                <w:lang w:val="hy-AM"/>
              </w:rPr>
              <w:t>իրականացումից</w:t>
            </w:r>
            <w:r w:rsidRPr="0053423A">
              <w:rPr>
                <w:rFonts w:cs="Arial Armenian"/>
                <w:lang w:val="hy-AM"/>
              </w:rPr>
              <w:t xml:space="preserve"> </w:t>
            </w:r>
            <w:r w:rsidRPr="0053423A">
              <w:rPr>
                <w:rFonts w:cs="Arial"/>
                <w:lang w:val="hy-AM"/>
              </w:rPr>
              <w:t>ակնկալվում է</w:t>
            </w:r>
            <w:r w:rsidRPr="0053423A">
              <w:rPr>
                <w:lang w:val="hy-AM"/>
              </w:rPr>
              <w:t xml:space="preserve"> երկու նոր ռադիոլոկացիոն կայանների տեղադրման արդյունքում  կընդլայնվեն մթնոլորտային երևույթների դիտարկումների տարածքները, ինչը թույլ կտա հանրապետությունում զարգացնել հակակարկտային պաշտպանությունը և ներդնել վտանգավոր հիդրոօդերևութաբանական երևույթների գերկարճաժամկետ կանխատեսումների համակարգ: </w:t>
            </w:r>
          </w:p>
          <w:p w:rsidR="006B0618" w:rsidRPr="0053423A" w:rsidRDefault="006B0618" w:rsidP="00A67858">
            <w:pPr>
              <w:spacing w:line="276" w:lineRule="auto"/>
              <w:ind w:right="259"/>
              <w:rPr>
                <w:lang w:val="hy-AM"/>
              </w:rPr>
            </w:pPr>
            <w:r w:rsidRPr="0053423A">
              <w:rPr>
                <w:lang w:val="hy-AM"/>
              </w:rPr>
              <w:t>Բացի այդ, նոր ռադիոլոկացիոն կայանների տեղադրմամբ կդիտարկվեն նաև գործող կայանների տարածքները՝ դրանց խափանման դեպքերում:</w:t>
            </w:r>
          </w:p>
          <w:p w:rsidR="006B0618" w:rsidRPr="0053423A" w:rsidRDefault="006B0618" w:rsidP="00A67858">
            <w:pPr>
              <w:spacing w:line="276" w:lineRule="auto"/>
              <w:ind w:right="259" w:firstLine="180"/>
              <w:rPr>
                <w:b/>
                <w:i/>
                <w:lang w:val="it-IT"/>
              </w:rPr>
            </w:pPr>
            <w:r w:rsidRPr="0053423A">
              <w:rPr>
                <w:rFonts w:cs="Sylfaen"/>
                <w:lang w:val="it-IT" w:eastAsia="en-GB"/>
              </w:rPr>
              <w:t xml:space="preserve">   </w:t>
            </w:r>
            <w:r w:rsidRPr="0053423A">
              <w:rPr>
                <w:rFonts w:cs="Arial"/>
                <w:lang w:val="hy-AM"/>
              </w:rPr>
              <w:t>Միջոցառումները նախատեսվում է իրականացնել 2020-2022 թվականների ընթացքում՝ անհրաժեշտ ֆինանսական միջոցները ներառելով ՀՀ 2020-2022 թվականների պետական միջնաժամկետ ծախսերի ծրագրում ըստ յուրաքանչյուր տարվա նախահաշվի: Ստույգ հաշվարկները կներկայացվեն համապատասխան հայտերով՝ ֆինանսական միջոցների առկայության դեպքում:</w:t>
            </w:r>
          </w:p>
        </w:tc>
      </w:tr>
      <w:tr w:rsidR="006B0618" w:rsidRPr="00DE2EFA" w:rsidTr="001F6D5D">
        <w:tc>
          <w:tcPr>
            <w:tcW w:w="691" w:type="dxa"/>
          </w:tcPr>
          <w:p w:rsidR="006B0618" w:rsidRPr="0053423A" w:rsidRDefault="001F6D5D" w:rsidP="00A67858">
            <w:pPr>
              <w:spacing w:line="276" w:lineRule="auto"/>
              <w:rPr>
                <w:lang w:val="hy-AM"/>
              </w:rPr>
            </w:pPr>
            <w:r>
              <w:rPr>
                <w:lang w:val="hy-AM"/>
              </w:rPr>
              <w:t>75</w:t>
            </w:r>
          </w:p>
        </w:tc>
        <w:tc>
          <w:tcPr>
            <w:tcW w:w="10649" w:type="dxa"/>
          </w:tcPr>
          <w:p w:rsidR="006B0618" w:rsidRPr="0053423A" w:rsidRDefault="00615BBB" w:rsidP="00A67858">
            <w:pPr>
              <w:spacing w:line="276" w:lineRule="auto"/>
              <w:ind w:right="256"/>
              <w:jc w:val="center"/>
              <w:rPr>
                <w:b/>
                <w:i/>
                <w:color w:val="000000"/>
                <w:lang w:val="hy-AM"/>
              </w:rPr>
            </w:pPr>
            <w:r>
              <w:rPr>
                <w:rFonts w:cs="Sylfaen"/>
                <w:lang w:val="hy-AM"/>
              </w:rPr>
              <w:t>75</w:t>
            </w:r>
            <w:r w:rsidRPr="00615BBB">
              <w:rPr>
                <w:rFonts w:cs="Sylfaen"/>
                <w:lang w:val="hy-AM"/>
              </w:rPr>
              <w:t xml:space="preserve">.1 </w:t>
            </w:r>
            <w:r w:rsidR="006B0618" w:rsidRPr="0053423A">
              <w:rPr>
                <w:rFonts w:cs="Sylfaen"/>
                <w:b/>
                <w:i/>
                <w:lang w:val="hy-AM"/>
              </w:rPr>
              <w:t>Ազ</w:t>
            </w:r>
            <w:r w:rsidR="006B0618" w:rsidRPr="0053423A">
              <w:rPr>
                <w:rFonts w:cs="Sylfaen"/>
                <w:b/>
                <w:i/>
                <w:lang w:val="hy-AM"/>
              </w:rPr>
              <w:softHyphen/>
              <w:t>գա</w:t>
            </w:r>
            <w:r w:rsidR="006B0618" w:rsidRPr="0053423A">
              <w:rPr>
                <w:rFonts w:cs="Sylfaen"/>
                <w:b/>
                <w:i/>
                <w:lang w:val="hy-AM"/>
              </w:rPr>
              <w:softHyphen/>
              <w:t>յին մոնիթորինգային դիտացանցի հիդրոերկրաքիմիական, ռադոնա</w:t>
            </w:r>
            <w:r w:rsidR="006B0618" w:rsidRPr="0053423A">
              <w:rPr>
                <w:rFonts w:cs="Sylfaen"/>
                <w:b/>
                <w:i/>
                <w:lang w:val="hy-AM"/>
              </w:rPr>
              <w:softHyphen/>
              <w:t>չափա</w:t>
            </w:r>
            <w:r w:rsidR="006B0618" w:rsidRPr="0053423A">
              <w:rPr>
                <w:rFonts w:cs="Sylfaen"/>
                <w:b/>
                <w:i/>
                <w:lang w:val="hy-AM"/>
              </w:rPr>
              <w:softHyphen/>
              <w:t>կան, մագնիսաչափական կայանների և ԱԻՆ «ՍՊՏԾ» ՊՈԱԿ-ի հիդրոերկրաքիմիական լաբորատորիայի վերազինում, GPS նոր սարքերի տեղադրում</w:t>
            </w:r>
          </w:p>
          <w:p w:rsidR="006B0618" w:rsidRPr="0053423A" w:rsidRDefault="006B0618" w:rsidP="00A67858">
            <w:pPr>
              <w:spacing w:line="276" w:lineRule="auto"/>
              <w:ind w:right="256"/>
              <w:rPr>
                <w:rFonts w:cs="Arial Armenian"/>
                <w:b/>
                <w:color w:val="000000"/>
                <w:lang w:val="hy-AM"/>
              </w:rPr>
            </w:pPr>
            <w:r w:rsidRPr="0053423A">
              <w:rPr>
                <w:b/>
                <w:color w:val="000000"/>
                <w:lang w:val="hy-AM"/>
              </w:rPr>
              <w:t xml:space="preserve">1. </w:t>
            </w:r>
            <w:r w:rsidRPr="0053423A">
              <w:rPr>
                <w:rFonts w:cs="Sylfaen"/>
                <w:b/>
                <w:color w:val="000000"/>
                <w:lang w:val="hy-AM"/>
              </w:rPr>
              <w:t>Միջոցառման</w:t>
            </w:r>
            <w:r w:rsidRPr="0053423A">
              <w:rPr>
                <w:rFonts w:cs="Arial Armenian"/>
                <w:b/>
                <w:color w:val="000000"/>
                <w:lang w:val="hy-AM"/>
              </w:rPr>
              <w:t xml:space="preserve"> </w:t>
            </w:r>
            <w:r w:rsidRPr="0053423A">
              <w:rPr>
                <w:rFonts w:cs="Sylfaen"/>
                <w:b/>
                <w:color w:val="000000"/>
                <w:lang w:val="hy-AM"/>
              </w:rPr>
              <w:t>իրակացման</w:t>
            </w:r>
            <w:r w:rsidRPr="0053423A">
              <w:rPr>
                <w:rFonts w:cs="Arial Armenian"/>
                <w:b/>
                <w:color w:val="000000"/>
                <w:lang w:val="hy-AM"/>
              </w:rPr>
              <w:t xml:space="preserve"> </w:t>
            </w:r>
            <w:r w:rsidRPr="0053423A">
              <w:rPr>
                <w:rFonts w:cs="Sylfaen"/>
                <w:b/>
                <w:color w:val="000000"/>
                <w:lang w:val="hy-AM"/>
              </w:rPr>
              <w:t>անհրաժեշտությունը</w:t>
            </w:r>
            <w:r w:rsidRPr="0053423A">
              <w:rPr>
                <w:rFonts w:cs="Arial Armenian"/>
                <w:b/>
                <w:color w:val="000000"/>
                <w:lang w:val="hy-AM"/>
              </w:rPr>
              <w:t xml:space="preserve"> </w:t>
            </w:r>
            <w:r w:rsidRPr="0053423A">
              <w:rPr>
                <w:rFonts w:cs="Sylfaen"/>
                <w:b/>
                <w:color w:val="000000"/>
                <w:lang w:val="hy-AM"/>
              </w:rPr>
              <w:t>և</w:t>
            </w:r>
            <w:r w:rsidRPr="0053423A">
              <w:rPr>
                <w:rFonts w:cs="Arial Armenian"/>
                <w:b/>
                <w:color w:val="000000"/>
                <w:lang w:val="hy-AM"/>
              </w:rPr>
              <w:t xml:space="preserve"> </w:t>
            </w:r>
            <w:r w:rsidRPr="0053423A">
              <w:rPr>
                <w:rFonts w:cs="Sylfaen"/>
                <w:b/>
                <w:color w:val="000000"/>
                <w:lang w:val="hy-AM"/>
              </w:rPr>
              <w:t>նպատակը</w:t>
            </w:r>
            <w:r w:rsidRPr="0053423A">
              <w:rPr>
                <w:rFonts w:cs="Arial Armenian"/>
                <w:b/>
                <w:color w:val="000000"/>
                <w:lang w:val="hy-AM"/>
              </w:rPr>
              <w:t xml:space="preserve"> </w:t>
            </w:r>
          </w:p>
          <w:p w:rsidR="006B0618" w:rsidRPr="0053423A" w:rsidRDefault="006B0618" w:rsidP="00A67858">
            <w:pPr>
              <w:spacing w:line="276" w:lineRule="auto"/>
              <w:ind w:right="256"/>
              <w:rPr>
                <w:color w:val="000000"/>
                <w:lang w:val="hy-AM"/>
              </w:rPr>
            </w:pPr>
            <w:r w:rsidRPr="0053423A">
              <w:rPr>
                <w:rFonts w:cs="Sylfaen"/>
                <w:color w:val="000000"/>
                <w:lang w:val="hy-AM"/>
              </w:rPr>
              <w:t xml:space="preserve">       Հայաստանը</w:t>
            </w:r>
            <w:r w:rsidRPr="0053423A">
              <w:rPr>
                <w:rFonts w:cs="Arial Armenian"/>
                <w:color w:val="000000"/>
                <w:lang w:val="hy-AM"/>
              </w:rPr>
              <w:t xml:space="preserve"> </w:t>
            </w:r>
            <w:r w:rsidRPr="0053423A">
              <w:rPr>
                <w:rFonts w:cs="Sylfaen"/>
                <w:color w:val="000000"/>
                <w:lang w:val="hy-AM"/>
              </w:rPr>
              <w:t>գտնվում</w:t>
            </w:r>
            <w:r w:rsidRPr="0053423A">
              <w:rPr>
                <w:rFonts w:cs="Arial Armenian"/>
                <w:color w:val="000000"/>
                <w:lang w:val="hy-AM"/>
              </w:rPr>
              <w:t xml:space="preserve"> </w:t>
            </w:r>
            <w:r w:rsidRPr="0053423A">
              <w:rPr>
                <w:rFonts w:cs="Sylfaen"/>
                <w:color w:val="000000"/>
                <w:lang w:val="hy-AM"/>
              </w:rPr>
              <w:t>է</w:t>
            </w:r>
            <w:r w:rsidRPr="0053423A">
              <w:rPr>
                <w:rFonts w:cs="Arial Armenian"/>
                <w:color w:val="000000"/>
                <w:lang w:val="hy-AM"/>
              </w:rPr>
              <w:t xml:space="preserve"> </w:t>
            </w:r>
            <w:r w:rsidRPr="0053423A">
              <w:rPr>
                <w:rFonts w:cs="Sylfaen"/>
                <w:color w:val="000000"/>
                <w:lang w:val="hy-AM"/>
              </w:rPr>
              <w:t>երկու</w:t>
            </w:r>
            <w:r w:rsidRPr="0053423A">
              <w:rPr>
                <w:rFonts w:cs="Arial Armenian"/>
                <w:color w:val="000000"/>
                <w:lang w:val="hy-AM"/>
              </w:rPr>
              <w:t xml:space="preserve"> </w:t>
            </w:r>
            <w:r w:rsidRPr="0053423A">
              <w:rPr>
                <w:rFonts w:cs="Sylfaen"/>
                <w:color w:val="000000"/>
                <w:lang w:val="hy-AM"/>
              </w:rPr>
              <w:t>հզոր</w:t>
            </w:r>
            <w:r w:rsidRPr="0053423A">
              <w:rPr>
                <w:rFonts w:cs="Arial Armenian"/>
                <w:color w:val="000000"/>
                <w:lang w:val="hy-AM"/>
              </w:rPr>
              <w:t xml:space="preserve"> </w:t>
            </w:r>
            <w:r w:rsidRPr="0053423A">
              <w:rPr>
                <w:rFonts w:cs="Sylfaen"/>
                <w:color w:val="000000"/>
                <w:lang w:val="hy-AM"/>
              </w:rPr>
              <w:t>Եվրասիական</w:t>
            </w:r>
            <w:r w:rsidRPr="0053423A">
              <w:rPr>
                <w:rFonts w:cs="Arial Armenian"/>
                <w:color w:val="000000"/>
                <w:lang w:val="hy-AM"/>
              </w:rPr>
              <w:t xml:space="preserve"> </w:t>
            </w:r>
            <w:r w:rsidRPr="0053423A">
              <w:rPr>
                <w:rFonts w:cs="Sylfaen"/>
                <w:color w:val="000000"/>
                <w:lang w:val="hy-AM"/>
              </w:rPr>
              <w:t>և</w:t>
            </w:r>
            <w:r w:rsidRPr="0053423A">
              <w:rPr>
                <w:rFonts w:cs="Arial Armenian"/>
                <w:color w:val="000000"/>
                <w:lang w:val="hy-AM"/>
              </w:rPr>
              <w:t xml:space="preserve"> </w:t>
            </w:r>
            <w:r w:rsidRPr="0053423A">
              <w:rPr>
                <w:rFonts w:cs="Sylfaen"/>
                <w:color w:val="000000"/>
                <w:lang w:val="hy-AM"/>
              </w:rPr>
              <w:t>Արաբական</w:t>
            </w:r>
            <w:r w:rsidRPr="0053423A">
              <w:rPr>
                <w:rFonts w:cs="Arial Armenian"/>
                <w:color w:val="000000"/>
                <w:lang w:val="hy-AM"/>
              </w:rPr>
              <w:t xml:space="preserve"> </w:t>
            </w:r>
            <w:r w:rsidRPr="0053423A">
              <w:rPr>
                <w:rFonts w:cs="Sylfaen"/>
                <w:color w:val="000000"/>
                <w:lang w:val="hy-AM"/>
              </w:rPr>
              <w:t>ցամաքային</w:t>
            </w:r>
            <w:r w:rsidRPr="0053423A">
              <w:rPr>
                <w:rFonts w:cs="Arial Armenian"/>
                <w:color w:val="000000"/>
                <w:lang w:val="hy-AM"/>
              </w:rPr>
              <w:t xml:space="preserve"> </w:t>
            </w:r>
            <w:r w:rsidRPr="0053423A">
              <w:rPr>
                <w:rFonts w:cs="Sylfaen"/>
                <w:color w:val="000000"/>
                <w:lang w:val="hy-AM"/>
              </w:rPr>
              <w:t>սալերի</w:t>
            </w:r>
            <w:r w:rsidRPr="0053423A">
              <w:rPr>
                <w:rFonts w:cs="Arial Armenian"/>
                <w:color w:val="000000"/>
                <w:lang w:val="hy-AM"/>
              </w:rPr>
              <w:t xml:space="preserve"> </w:t>
            </w:r>
            <w:r w:rsidRPr="0053423A">
              <w:rPr>
                <w:rFonts w:cs="Sylfaen"/>
                <w:color w:val="000000"/>
                <w:lang w:val="hy-AM"/>
              </w:rPr>
              <w:t>բախման</w:t>
            </w:r>
            <w:r w:rsidRPr="0053423A">
              <w:rPr>
                <w:rFonts w:cs="Arial Armenian"/>
                <w:color w:val="000000"/>
                <w:lang w:val="hy-AM"/>
              </w:rPr>
              <w:t xml:space="preserve"> </w:t>
            </w:r>
            <w:r w:rsidRPr="0053423A">
              <w:rPr>
                <w:rFonts w:cs="Sylfaen"/>
                <w:color w:val="000000"/>
                <w:lang w:val="hy-AM"/>
              </w:rPr>
              <w:t>գոտում</w:t>
            </w:r>
            <w:r w:rsidRPr="0053423A">
              <w:rPr>
                <w:rFonts w:cs="Arial Armenian"/>
                <w:color w:val="000000"/>
                <w:lang w:val="hy-AM"/>
              </w:rPr>
              <w:t xml:space="preserve"> </w:t>
            </w:r>
            <w:r w:rsidRPr="0053423A">
              <w:rPr>
                <w:rFonts w:cs="Sylfaen"/>
                <w:color w:val="000000"/>
                <w:lang w:val="hy-AM"/>
              </w:rPr>
              <w:t>և</w:t>
            </w:r>
            <w:r w:rsidRPr="0053423A">
              <w:rPr>
                <w:rFonts w:cs="Arial Armenian"/>
                <w:color w:val="000000"/>
                <w:lang w:val="hy-AM"/>
              </w:rPr>
              <w:t xml:space="preserve"> </w:t>
            </w:r>
            <w:r w:rsidRPr="0053423A">
              <w:rPr>
                <w:rFonts w:cs="Sylfaen"/>
                <w:color w:val="000000"/>
                <w:lang w:val="hy-AM"/>
              </w:rPr>
              <w:t>համարվումէտարածաշրջանի</w:t>
            </w:r>
            <w:r w:rsidRPr="0053423A">
              <w:rPr>
                <w:rFonts w:cs="Arial Armenian"/>
                <w:color w:val="000000"/>
                <w:lang w:val="hy-AM"/>
              </w:rPr>
              <w:t xml:space="preserve"> </w:t>
            </w:r>
            <w:r w:rsidRPr="0053423A">
              <w:rPr>
                <w:rFonts w:cs="Sylfaen"/>
                <w:color w:val="000000"/>
                <w:lang w:val="hy-AM"/>
              </w:rPr>
              <w:t>ամենավտանգավոր</w:t>
            </w:r>
            <w:r w:rsidRPr="0053423A">
              <w:rPr>
                <w:rFonts w:cs="Arial Armenian"/>
                <w:color w:val="000000"/>
                <w:lang w:val="hy-AM"/>
              </w:rPr>
              <w:t xml:space="preserve"> </w:t>
            </w:r>
            <w:r w:rsidRPr="0053423A">
              <w:rPr>
                <w:rFonts w:cs="Sylfaen"/>
                <w:color w:val="000000"/>
                <w:lang w:val="hy-AM"/>
              </w:rPr>
              <w:t>և</w:t>
            </w:r>
            <w:r w:rsidRPr="0053423A">
              <w:rPr>
                <w:rFonts w:cs="Arial Armenian"/>
                <w:color w:val="000000"/>
                <w:lang w:val="hy-AM"/>
              </w:rPr>
              <w:t xml:space="preserve"> </w:t>
            </w:r>
            <w:r w:rsidRPr="0053423A">
              <w:rPr>
                <w:rFonts w:cs="Sylfaen"/>
                <w:color w:val="000000"/>
                <w:lang w:val="hy-AM"/>
              </w:rPr>
              <w:t>բարձր</w:t>
            </w:r>
            <w:r w:rsidRPr="0053423A">
              <w:rPr>
                <w:rFonts w:cs="Arial Armenian"/>
                <w:color w:val="000000"/>
                <w:lang w:val="hy-AM"/>
              </w:rPr>
              <w:t xml:space="preserve"> </w:t>
            </w:r>
            <w:r w:rsidRPr="0053423A">
              <w:rPr>
                <w:rFonts w:cs="Sylfaen"/>
                <w:color w:val="000000"/>
                <w:lang w:val="hy-AM"/>
              </w:rPr>
              <w:t>սեյսմիկ</w:t>
            </w:r>
            <w:r w:rsidRPr="0053423A">
              <w:rPr>
                <w:rFonts w:cs="Arial Armenian"/>
                <w:color w:val="000000"/>
                <w:lang w:val="hy-AM"/>
              </w:rPr>
              <w:t xml:space="preserve"> </w:t>
            </w:r>
            <w:r w:rsidRPr="0053423A">
              <w:rPr>
                <w:rFonts w:cs="Sylfaen"/>
                <w:color w:val="000000"/>
                <w:lang w:val="hy-AM"/>
              </w:rPr>
              <w:t>ռիսկով</w:t>
            </w:r>
            <w:r w:rsidRPr="0053423A">
              <w:rPr>
                <w:rFonts w:cs="Arial Armenian"/>
                <w:color w:val="000000"/>
                <w:lang w:val="hy-AM"/>
              </w:rPr>
              <w:t xml:space="preserve"> </w:t>
            </w:r>
            <w:r w:rsidRPr="0053423A">
              <w:rPr>
                <w:rFonts w:cs="Sylfaen"/>
                <w:color w:val="000000"/>
                <w:lang w:val="hy-AM"/>
              </w:rPr>
              <w:t>բնութագրվող</w:t>
            </w:r>
            <w:r w:rsidRPr="0053423A">
              <w:rPr>
                <w:rFonts w:cs="Arial Armenian"/>
                <w:color w:val="000000"/>
                <w:lang w:val="hy-AM"/>
              </w:rPr>
              <w:t xml:space="preserve"> </w:t>
            </w:r>
            <w:r w:rsidRPr="0053423A">
              <w:rPr>
                <w:rFonts w:cs="Sylfaen"/>
                <w:color w:val="000000"/>
                <w:lang w:val="hy-AM"/>
              </w:rPr>
              <w:t>տարածքներից</w:t>
            </w:r>
            <w:r w:rsidRPr="0053423A">
              <w:rPr>
                <w:rFonts w:cs="Arial Armenian"/>
                <w:color w:val="000000"/>
                <w:lang w:val="hy-AM"/>
              </w:rPr>
              <w:t xml:space="preserve"> </w:t>
            </w:r>
            <w:r w:rsidRPr="0053423A">
              <w:rPr>
                <w:rFonts w:cs="Sylfaen"/>
                <w:color w:val="000000"/>
                <w:lang w:val="hy-AM"/>
              </w:rPr>
              <w:t>մեկը</w:t>
            </w:r>
            <w:r w:rsidRPr="0053423A">
              <w:rPr>
                <w:rFonts w:cs="Arial Armenian"/>
                <w:color w:val="000000"/>
                <w:lang w:val="hy-AM"/>
              </w:rPr>
              <w:t xml:space="preserve">: </w:t>
            </w:r>
            <w:r w:rsidRPr="0053423A">
              <w:rPr>
                <w:rFonts w:cs="Sylfaen"/>
                <w:color w:val="000000"/>
                <w:lang w:val="hy-AM"/>
              </w:rPr>
              <w:t>Պարբերաբար</w:t>
            </w:r>
            <w:r w:rsidRPr="0053423A">
              <w:rPr>
                <w:rFonts w:cs="Arial Armenian"/>
                <w:color w:val="000000"/>
                <w:lang w:val="hy-AM"/>
              </w:rPr>
              <w:t xml:space="preserve"> </w:t>
            </w:r>
            <w:r w:rsidRPr="0053423A">
              <w:rPr>
                <w:rFonts w:cs="Sylfaen"/>
                <w:color w:val="000000"/>
                <w:lang w:val="hy-AM"/>
              </w:rPr>
              <w:t>տեղի</w:t>
            </w:r>
            <w:r w:rsidRPr="0053423A">
              <w:rPr>
                <w:rFonts w:cs="Arial Armenian"/>
                <w:color w:val="000000"/>
                <w:lang w:val="hy-AM"/>
              </w:rPr>
              <w:t xml:space="preserve"> </w:t>
            </w:r>
            <w:r w:rsidRPr="0053423A">
              <w:rPr>
                <w:rFonts w:cs="Sylfaen"/>
                <w:color w:val="000000"/>
                <w:lang w:val="hy-AM"/>
              </w:rPr>
              <w:t>ունեցող</w:t>
            </w:r>
            <w:r w:rsidRPr="0053423A">
              <w:rPr>
                <w:rFonts w:cs="Arial Armenian"/>
                <w:color w:val="000000"/>
                <w:lang w:val="hy-AM"/>
              </w:rPr>
              <w:t xml:space="preserve"> </w:t>
            </w:r>
            <w:r w:rsidRPr="0053423A">
              <w:rPr>
                <w:rFonts w:cs="Sylfaen"/>
                <w:color w:val="000000"/>
                <w:lang w:val="hy-AM"/>
              </w:rPr>
              <w:t>ուժեղ</w:t>
            </w:r>
            <w:r w:rsidRPr="0053423A">
              <w:rPr>
                <w:rFonts w:cs="Arial Armenian"/>
                <w:color w:val="000000"/>
                <w:lang w:val="hy-AM"/>
              </w:rPr>
              <w:t xml:space="preserve"> </w:t>
            </w:r>
            <w:r w:rsidRPr="0053423A">
              <w:rPr>
                <w:rFonts w:cs="Sylfaen"/>
                <w:color w:val="000000"/>
                <w:lang w:val="hy-AM"/>
              </w:rPr>
              <w:t>և</w:t>
            </w:r>
            <w:r w:rsidRPr="0053423A">
              <w:rPr>
                <w:rFonts w:cs="Arial Armenian"/>
                <w:color w:val="000000"/>
                <w:lang w:val="hy-AM"/>
              </w:rPr>
              <w:t xml:space="preserve"> </w:t>
            </w:r>
            <w:r w:rsidRPr="0053423A">
              <w:rPr>
                <w:rFonts w:cs="Sylfaen"/>
                <w:color w:val="000000"/>
                <w:lang w:val="hy-AM"/>
              </w:rPr>
              <w:t>ավերիչ</w:t>
            </w:r>
            <w:r w:rsidRPr="0053423A">
              <w:rPr>
                <w:rFonts w:cs="Arial Armenian"/>
                <w:color w:val="000000"/>
                <w:lang w:val="hy-AM"/>
              </w:rPr>
              <w:t xml:space="preserve"> </w:t>
            </w:r>
            <w:r w:rsidRPr="0053423A">
              <w:rPr>
                <w:rFonts w:cs="Sylfaen"/>
                <w:color w:val="000000"/>
                <w:lang w:val="hy-AM"/>
              </w:rPr>
              <w:t>երկրաշարժերից</w:t>
            </w:r>
            <w:r w:rsidRPr="0053423A">
              <w:rPr>
                <w:rFonts w:cs="Arial Armenian"/>
                <w:color w:val="000000"/>
                <w:lang w:val="hy-AM"/>
              </w:rPr>
              <w:t xml:space="preserve"> </w:t>
            </w:r>
            <w:r w:rsidRPr="0053423A">
              <w:rPr>
                <w:rFonts w:cs="Sylfaen"/>
                <w:color w:val="000000"/>
                <w:lang w:val="hy-AM"/>
              </w:rPr>
              <w:t>պաշտպանվելու</w:t>
            </w:r>
            <w:r w:rsidRPr="0053423A">
              <w:rPr>
                <w:rFonts w:cs="Arial Armenian"/>
                <w:color w:val="000000"/>
                <w:lang w:val="hy-AM"/>
              </w:rPr>
              <w:t xml:space="preserve"> </w:t>
            </w:r>
            <w:r w:rsidRPr="0053423A">
              <w:rPr>
                <w:rFonts w:cs="Sylfaen"/>
                <w:color w:val="000000"/>
                <w:lang w:val="hy-AM"/>
              </w:rPr>
              <w:t>լավագույն</w:t>
            </w:r>
            <w:r w:rsidRPr="0053423A">
              <w:rPr>
                <w:rFonts w:cs="Arial Armenian"/>
                <w:color w:val="000000"/>
                <w:lang w:val="hy-AM"/>
              </w:rPr>
              <w:t xml:space="preserve"> </w:t>
            </w:r>
            <w:r w:rsidRPr="0053423A">
              <w:rPr>
                <w:rFonts w:cs="Sylfaen"/>
                <w:color w:val="000000"/>
                <w:lang w:val="hy-AM"/>
              </w:rPr>
              <w:t>միջոցը</w:t>
            </w:r>
            <w:r w:rsidRPr="0053423A">
              <w:rPr>
                <w:rFonts w:cs="Arial Armenian"/>
                <w:color w:val="000000"/>
                <w:lang w:val="hy-AM"/>
              </w:rPr>
              <w:t xml:space="preserve"> </w:t>
            </w:r>
            <w:r w:rsidRPr="0053423A">
              <w:rPr>
                <w:rFonts w:cs="Sylfaen"/>
                <w:color w:val="000000"/>
                <w:lang w:val="hy-AM"/>
              </w:rPr>
              <w:t>սեյսմիկ</w:t>
            </w:r>
            <w:r w:rsidRPr="0053423A">
              <w:rPr>
                <w:rFonts w:cs="Arial Armenian"/>
                <w:color w:val="000000"/>
                <w:lang w:val="hy-AM"/>
              </w:rPr>
              <w:t xml:space="preserve"> </w:t>
            </w:r>
            <w:r w:rsidRPr="0053423A">
              <w:rPr>
                <w:rFonts w:cs="Sylfaen"/>
                <w:color w:val="000000"/>
                <w:lang w:val="hy-AM"/>
              </w:rPr>
              <w:t>վտանգի</w:t>
            </w:r>
            <w:r w:rsidRPr="0053423A">
              <w:rPr>
                <w:rFonts w:cs="Arial Armenian"/>
                <w:color w:val="000000"/>
                <w:lang w:val="hy-AM"/>
              </w:rPr>
              <w:t xml:space="preserve"> </w:t>
            </w:r>
            <w:r w:rsidRPr="0053423A">
              <w:rPr>
                <w:rFonts w:cs="Sylfaen"/>
                <w:color w:val="000000"/>
                <w:lang w:val="hy-AM"/>
              </w:rPr>
              <w:t>հուսալի</w:t>
            </w:r>
            <w:r w:rsidRPr="0053423A">
              <w:rPr>
                <w:rFonts w:cs="Arial Armenian"/>
                <w:color w:val="000000"/>
                <w:lang w:val="hy-AM"/>
              </w:rPr>
              <w:t xml:space="preserve"> </w:t>
            </w:r>
            <w:r w:rsidRPr="0053423A">
              <w:rPr>
                <w:rFonts w:cs="Sylfaen"/>
                <w:color w:val="000000"/>
                <w:lang w:val="hy-AM"/>
              </w:rPr>
              <w:t>մոնիթորինգի</w:t>
            </w:r>
            <w:r w:rsidRPr="0053423A">
              <w:rPr>
                <w:rFonts w:cs="Arial Armenian"/>
                <w:color w:val="000000"/>
                <w:lang w:val="hy-AM"/>
              </w:rPr>
              <w:t xml:space="preserve"> </w:t>
            </w:r>
            <w:r w:rsidRPr="0053423A">
              <w:rPr>
                <w:rFonts w:cs="Sylfaen"/>
                <w:color w:val="000000"/>
                <w:lang w:val="hy-AM"/>
              </w:rPr>
              <w:t>ապահովումն</w:t>
            </w:r>
            <w:r w:rsidRPr="0053423A">
              <w:rPr>
                <w:rFonts w:cs="Arial Armenian"/>
                <w:color w:val="000000"/>
                <w:lang w:val="hy-AM"/>
              </w:rPr>
              <w:t xml:space="preserve"> </w:t>
            </w:r>
            <w:r w:rsidRPr="0053423A">
              <w:rPr>
                <w:rFonts w:cs="Sylfaen"/>
                <w:color w:val="000000"/>
                <w:lang w:val="hy-AM"/>
              </w:rPr>
              <w:t>է</w:t>
            </w:r>
            <w:r w:rsidRPr="0053423A">
              <w:rPr>
                <w:rFonts w:cs="Arial Armenian"/>
                <w:color w:val="000000"/>
                <w:lang w:val="hy-AM"/>
              </w:rPr>
              <w:t xml:space="preserve">, </w:t>
            </w:r>
            <w:r w:rsidRPr="0053423A">
              <w:rPr>
                <w:rFonts w:cs="Sylfaen"/>
                <w:color w:val="000000"/>
                <w:lang w:val="hy-AM"/>
              </w:rPr>
              <w:t>որն</w:t>
            </w:r>
            <w:r w:rsidRPr="0053423A">
              <w:rPr>
                <w:rFonts w:cs="Arial Armenian"/>
                <w:color w:val="000000"/>
                <w:lang w:val="hy-AM"/>
              </w:rPr>
              <w:t xml:space="preserve"> </w:t>
            </w:r>
            <w:r w:rsidRPr="0053423A">
              <w:rPr>
                <w:rFonts w:cs="Sylfaen"/>
                <w:color w:val="000000"/>
                <w:lang w:val="hy-AM"/>
              </w:rPr>
              <w:t>էլ</w:t>
            </w:r>
            <w:r w:rsidRPr="0053423A">
              <w:rPr>
                <w:rFonts w:cs="Arial Armenian"/>
                <w:color w:val="000000"/>
                <w:lang w:val="hy-AM"/>
              </w:rPr>
              <w:t xml:space="preserve"> </w:t>
            </w:r>
            <w:r w:rsidRPr="0053423A">
              <w:rPr>
                <w:rFonts w:cs="Sylfaen"/>
                <w:color w:val="000000"/>
                <w:lang w:val="hy-AM"/>
              </w:rPr>
              <w:t>Հայաստանի</w:t>
            </w:r>
            <w:r w:rsidRPr="0053423A">
              <w:rPr>
                <w:rFonts w:cs="Arial Armenian"/>
                <w:color w:val="000000"/>
                <w:lang w:val="hy-AM"/>
              </w:rPr>
              <w:t xml:space="preserve"> </w:t>
            </w:r>
            <w:r w:rsidRPr="0053423A">
              <w:rPr>
                <w:rFonts w:cs="Sylfaen"/>
                <w:color w:val="000000"/>
                <w:lang w:val="hy-AM"/>
              </w:rPr>
              <w:t>սեյսմիկ</w:t>
            </w:r>
            <w:r w:rsidRPr="0053423A">
              <w:rPr>
                <w:rFonts w:cs="Arial Armenian"/>
                <w:color w:val="000000"/>
                <w:lang w:val="hy-AM"/>
              </w:rPr>
              <w:t xml:space="preserve"> </w:t>
            </w:r>
            <w:r w:rsidRPr="0053423A">
              <w:rPr>
                <w:rFonts w:cs="Sylfaen"/>
                <w:color w:val="000000"/>
                <w:lang w:val="hy-AM"/>
              </w:rPr>
              <w:t>անվտանգության</w:t>
            </w:r>
            <w:r w:rsidRPr="0053423A">
              <w:rPr>
                <w:rFonts w:cs="Arial Armenian"/>
                <w:color w:val="000000"/>
                <w:lang w:val="hy-AM"/>
              </w:rPr>
              <w:t xml:space="preserve"> </w:t>
            </w:r>
            <w:r w:rsidRPr="0053423A">
              <w:rPr>
                <w:rFonts w:cs="Sylfaen"/>
                <w:color w:val="000000"/>
                <w:lang w:val="hy-AM"/>
              </w:rPr>
              <w:t>կարևորագույն</w:t>
            </w:r>
            <w:r w:rsidRPr="0053423A">
              <w:rPr>
                <w:rFonts w:cs="Arial Armenian"/>
                <w:color w:val="000000"/>
                <w:lang w:val="hy-AM"/>
              </w:rPr>
              <w:t xml:space="preserve"> </w:t>
            </w:r>
            <w:r w:rsidRPr="0053423A">
              <w:rPr>
                <w:rFonts w:cs="Sylfaen"/>
                <w:color w:val="000000"/>
                <w:lang w:val="hy-AM"/>
              </w:rPr>
              <w:t>հիմնախնդիրներից</w:t>
            </w:r>
            <w:r w:rsidRPr="0053423A">
              <w:rPr>
                <w:rFonts w:cs="Arial Armenian"/>
                <w:color w:val="000000"/>
                <w:lang w:val="hy-AM"/>
              </w:rPr>
              <w:t xml:space="preserve"> </w:t>
            </w:r>
            <w:r w:rsidRPr="0053423A">
              <w:rPr>
                <w:rFonts w:cs="Sylfaen"/>
                <w:color w:val="000000"/>
                <w:lang w:val="hy-AM"/>
              </w:rPr>
              <w:t>է</w:t>
            </w:r>
            <w:r w:rsidRPr="0053423A">
              <w:rPr>
                <w:rFonts w:cs="Arial Armenian"/>
                <w:color w:val="000000"/>
                <w:lang w:val="hy-AM"/>
              </w:rPr>
              <w:t xml:space="preserve"> (2002</w:t>
            </w:r>
            <w:r w:rsidRPr="0053423A">
              <w:rPr>
                <w:rFonts w:cs="Sylfaen"/>
                <w:color w:val="000000"/>
                <w:lang w:val="hy-AM"/>
              </w:rPr>
              <w:t>թ</w:t>
            </w:r>
            <w:r w:rsidRPr="0053423A">
              <w:rPr>
                <w:rFonts w:cs="Arial Armenian"/>
                <w:color w:val="000000"/>
                <w:lang w:val="hy-AM"/>
              </w:rPr>
              <w:t xml:space="preserve">. </w:t>
            </w:r>
            <w:r w:rsidRPr="0053423A">
              <w:rPr>
                <w:rFonts w:cs="Sylfaen"/>
                <w:color w:val="000000"/>
                <w:lang w:val="hy-AM"/>
              </w:rPr>
              <w:t>հուլիսի</w:t>
            </w:r>
            <w:r w:rsidRPr="0053423A">
              <w:rPr>
                <w:rFonts w:cs="Arial Armenian"/>
                <w:color w:val="000000"/>
                <w:lang w:val="hy-AM"/>
              </w:rPr>
              <w:t xml:space="preserve"> 6-</w:t>
            </w:r>
            <w:r w:rsidRPr="0053423A">
              <w:rPr>
                <w:rFonts w:cs="Sylfaen"/>
                <w:color w:val="000000"/>
                <w:lang w:val="hy-AM"/>
              </w:rPr>
              <w:t>ի</w:t>
            </w:r>
            <w:r w:rsidRPr="0053423A">
              <w:rPr>
                <w:rFonts w:cs="Arial Armenian"/>
                <w:color w:val="000000"/>
                <w:lang w:val="hy-AM"/>
              </w:rPr>
              <w:t xml:space="preserve"> «</w:t>
            </w:r>
            <w:r w:rsidRPr="0053423A">
              <w:rPr>
                <w:rFonts w:cs="Sylfaen"/>
                <w:color w:val="000000"/>
                <w:lang w:val="hy-AM"/>
              </w:rPr>
              <w:t>Սեյսմիկ</w:t>
            </w:r>
            <w:r w:rsidRPr="0053423A">
              <w:rPr>
                <w:rFonts w:cs="Arial Armenian"/>
                <w:color w:val="000000"/>
                <w:lang w:val="hy-AM"/>
              </w:rPr>
              <w:t xml:space="preserve"> </w:t>
            </w:r>
            <w:r w:rsidRPr="0053423A">
              <w:rPr>
                <w:rFonts w:cs="Sylfaen"/>
                <w:color w:val="000000"/>
                <w:lang w:val="hy-AM"/>
              </w:rPr>
              <w:t>պաշտպանության</w:t>
            </w:r>
            <w:r w:rsidRPr="0053423A">
              <w:rPr>
                <w:rFonts w:cs="Arial Armenian"/>
                <w:color w:val="000000"/>
                <w:lang w:val="hy-AM"/>
              </w:rPr>
              <w:t xml:space="preserve"> </w:t>
            </w:r>
            <w:r w:rsidRPr="0053423A">
              <w:rPr>
                <w:rFonts w:cs="Sylfaen"/>
                <w:color w:val="000000"/>
                <w:lang w:val="hy-AM"/>
              </w:rPr>
              <w:t>մասին</w:t>
            </w:r>
            <w:r w:rsidRPr="0053423A">
              <w:rPr>
                <w:rFonts w:cs="Arial Armenian"/>
                <w:color w:val="000000"/>
                <w:lang w:val="hy-AM"/>
              </w:rPr>
              <w:t xml:space="preserve">» </w:t>
            </w:r>
            <w:r w:rsidRPr="0053423A">
              <w:rPr>
                <w:rFonts w:cs="Sylfaen"/>
                <w:color w:val="000000"/>
                <w:lang w:val="hy-AM"/>
              </w:rPr>
              <w:t>ՀՕ</w:t>
            </w:r>
            <w:r w:rsidRPr="0053423A">
              <w:rPr>
                <w:rFonts w:cs="Arial Armenian"/>
                <w:color w:val="000000"/>
                <w:lang w:val="hy-AM"/>
              </w:rPr>
              <w:t>-376-</w:t>
            </w:r>
            <w:r w:rsidRPr="0053423A">
              <w:rPr>
                <w:rFonts w:cs="Sylfaen"/>
                <w:color w:val="000000"/>
                <w:lang w:val="hy-AM"/>
              </w:rPr>
              <w:t>Ն</w:t>
            </w:r>
            <w:r w:rsidRPr="0053423A">
              <w:rPr>
                <w:rFonts w:cs="Arial Armenian"/>
                <w:color w:val="000000"/>
                <w:lang w:val="hy-AM"/>
              </w:rPr>
              <w:t xml:space="preserve"> </w:t>
            </w:r>
            <w:r w:rsidRPr="0053423A">
              <w:rPr>
                <w:rFonts w:cs="Sylfaen"/>
                <w:color w:val="000000"/>
                <w:lang w:val="hy-AM"/>
              </w:rPr>
              <w:t>ՀՀ</w:t>
            </w:r>
            <w:r w:rsidRPr="0053423A">
              <w:rPr>
                <w:rFonts w:cs="Arial Armenian"/>
                <w:color w:val="000000"/>
                <w:lang w:val="hy-AM"/>
              </w:rPr>
              <w:t xml:space="preserve"> </w:t>
            </w:r>
            <w:r w:rsidRPr="0053423A">
              <w:rPr>
                <w:rFonts w:cs="Sylfaen"/>
                <w:color w:val="000000"/>
                <w:lang w:val="hy-AM"/>
              </w:rPr>
              <w:t>օրենք</w:t>
            </w:r>
            <w:r w:rsidRPr="0053423A">
              <w:rPr>
                <w:rFonts w:cs="Arial Armenian"/>
                <w:color w:val="000000"/>
                <w:lang w:val="hy-AM"/>
              </w:rPr>
              <w:t xml:space="preserve">, </w:t>
            </w:r>
            <w:r w:rsidRPr="0053423A">
              <w:rPr>
                <w:rFonts w:cs="Sylfaen"/>
                <w:color w:val="000000"/>
                <w:lang w:val="hy-AM"/>
              </w:rPr>
              <w:t>հոդվածներ՝</w:t>
            </w:r>
            <w:r w:rsidRPr="0053423A">
              <w:rPr>
                <w:rFonts w:cs="Arial Armenian"/>
                <w:color w:val="000000"/>
                <w:lang w:val="hy-AM"/>
              </w:rPr>
              <w:t xml:space="preserve"> 5</w:t>
            </w:r>
            <w:r w:rsidRPr="0053423A">
              <w:rPr>
                <w:color w:val="000000"/>
                <w:lang w:val="hy-AM"/>
              </w:rPr>
              <w:t>, 20):</w:t>
            </w:r>
          </w:p>
          <w:p w:rsidR="006B0618" w:rsidRPr="0053423A" w:rsidRDefault="006B0618" w:rsidP="00A67858">
            <w:pPr>
              <w:numPr>
                <w:ilvl w:val="1"/>
                <w:numId w:val="75"/>
              </w:numPr>
              <w:tabs>
                <w:tab w:val="left" w:pos="270"/>
              </w:tabs>
              <w:spacing w:line="276" w:lineRule="auto"/>
              <w:ind w:left="0" w:right="256" w:firstLine="0"/>
              <w:jc w:val="both"/>
              <w:rPr>
                <w:rFonts w:cs="Sylfaen"/>
                <w:b/>
                <w:color w:val="000000"/>
                <w:lang w:val="hy-AM"/>
              </w:rPr>
            </w:pPr>
            <w:r w:rsidRPr="0053423A">
              <w:rPr>
                <w:rFonts w:cs="Sylfaen"/>
                <w:b/>
                <w:color w:val="000000"/>
                <w:lang w:val="hy-AM"/>
              </w:rPr>
              <w:t>Կարգավորման</w:t>
            </w:r>
            <w:r w:rsidRPr="0053423A">
              <w:rPr>
                <w:rFonts w:cs="Arial Armenian"/>
                <w:b/>
                <w:color w:val="000000"/>
                <w:lang w:val="hy-AM"/>
              </w:rPr>
              <w:t xml:space="preserve"> </w:t>
            </w:r>
            <w:r w:rsidRPr="0053423A">
              <w:rPr>
                <w:rFonts w:cs="Sylfaen"/>
                <w:b/>
                <w:color w:val="000000"/>
                <w:lang w:val="hy-AM"/>
              </w:rPr>
              <w:t>հարաբերությունների</w:t>
            </w:r>
            <w:r w:rsidRPr="0053423A">
              <w:rPr>
                <w:rFonts w:cs="Arial Armenian"/>
                <w:b/>
                <w:color w:val="000000"/>
                <w:lang w:val="hy-AM"/>
              </w:rPr>
              <w:t xml:space="preserve"> </w:t>
            </w:r>
            <w:r w:rsidRPr="0053423A">
              <w:rPr>
                <w:rFonts w:cs="Sylfaen"/>
                <w:b/>
                <w:color w:val="000000"/>
                <w:lang w:val="hy-AM"/>
              </w:rPr>
              <w:t>ներկա</w:t>
            </w:r>
            <w:r w:rsidRPr="0053423A">
              <w:rPr>
                <w:rFonts w:cs="Arial Armenian"/>
                <w:b/>
                <w:color w:val="000000"/>
                <w:lang w:val="hy-AM"/>
              </w:rPr>
              <w:t xml:space="preserve"> </w:t>
            </w:r>
            <w:r w:rsidRPr="0053423A">
              <w:rPr>
                <w:rFonts w:cs="Sylfaen"/>
                <w:b/>
                <w:color w:val="000000"/>
                <w:lang w:val="hy-AM"/>
              </w:rPr>
              <w:t>վիճակը</w:t>
            </w:r>
            <w:r w:rsidRPr="0053423A">
              <w:rPr>
                <w:rFonts w:cs="Arial Armenian"/>
                <w:b/>
                <w:color w:val="000000"/>
                <w:lang w:val="hy-AM"/>
              </w:rPr>
              <w:t xml:space="preserve"> </w:t>
            </w:r>
            <w:r w:rsidRPr="0053423A">
              <w:rPr>
                <w:rFonts w:cs="Sylfaen"/>
                <w:b/>
                <w:color w:val="000000"/>
                <w:lang w:val="hy-AM"/>
              </w:rPr>
              <w:t>և</w:t>
            </w:r>
            <w:r w:rsidRPr="0053423A">
              <w:rPr>
                <w:rFonts w:cs="Arial Armenian"/>
                <w:b/>
                <w:color w:val="000000"/>
                <w:lang w:val="hy-AM"/>
              </w:rPr>
              <w:t xml:space="preserve"> </w:t>
            </w:r>
            <w:r w:rsidRPr="0053423A">
              <w:rPr>
                <w:rFonts w:cs="Sylfaen"/>
                <w:b/>
                <w:color w:val="000000"/>
                <w:lang w:val="hy-AM"/>
              </w:rPr>
              <w:t>առկա</w:t>
            </w:r>
            <w:r w:rsidRPr="0053423A">
              <w:rPr>
                <w:rFonts w:cs="Arial Armenian"/>
                <w:b/>
                <w:color w:val="000000"/>
                <w:lang w:val="hy-AM"/>
              </w:rPr>
              <w:t xml:space="preserve"> </w:t>
            </w:r>
            <w:r w:rsidRPr="0053423A">
              <w:rPr>
                <w:rFonts w:cs="Sylfaen"/>
                <w:b/>
                <w:color w:val="000000"/>
                <w:lang w:val="hy-AM"/>
              </w:rPr>
              <w:t>խնդիրները</w:t>
            </w:r>
          </w:p>
          <w:p w:rsidR="006B0618" w:rsidRPr="0053423A" w:rsidRDefault="006B0618" w:rsidP="00A67858">
            <w:pPr>
              <w:spacing w:line="276" w:lineRule="auto"/>
              <w:ind w:right="256"/>
              <w:rPr>
                <w:rFonts w:cs="Arial Armenian"/>
                <w:color w:val="000000"/>
                <w:lang w:val="hy-AM"/>
              </w:rPr>
            </w:pPr>
            <w:r w:rsidRPr="0053423A">
              <w:rPr>
                <w:rFonts w:cs="Arial Armenian"/>
                <w:color w:val="000000"/>
                <w:lang w:val="hy-AM"/>
              </w:rPr>
              <w:t xml:space="preserve">     </w:t>
            </w:r>
            <w:r w:rsidRPr="0053423A">
              <w:rPr>
                <w:rFonts w:cs="Sylfaen"/>
                <w:color w:val="000000"/>
                <w:lang w:val="hy-AM"/>
              </w:rPr>
              <w:t>Այսօր</w:t>
            </w:r>
            <w:r w:rsidRPr="0053423A">
              <w:rPr>
                <w:rFonts w:cs="Arial Armenian"/>
                <w:color w:val="000000"/>
                <w:lang w:val="hy-AM"/>
              </w:rPr>
              <w:t xml:space="preserve"> </w:t>
            </w:r>
            <w:r w:rsidRPr="0053423A">
              <w:rPr>
                <w:rFonts w:cs="Sylfaen"/>
                <w:color w:val="000000"/>
                <w:lang w:val="hy-AM"/>
              </w:rPr>
              <w:t>մոնիթորինգի</w:t>
            </w:r>
            <w:r w:rsidRPr="0053423A">
              <w:rPr>
                <w:rFonts w:cs="Arial Armenian"/>
                <w:color w:val="000000"/>
                <w:lang w:val="hy-AM"/>
              </w:rPr>
              <w:t xml:space="preserve"> </w:t>
            </w:r>
            <w:r w:rsidRPr="0053423A">
              <w:rPr>
                <w:rFonts w:cs="Sylfaen"/>
                <w:color w:val="000000"/>
                <w:lang w:val="hy-AM"/>
              </w:rPr>
              <w:t>ապահովման</w:t>
            </w:r>
            <w:r w:rsidRPr="0053423A">
              <w:rPr>
                <w:rFonts w:cs="Arial Armenian"/>
                <w:color w:val="000000"/>
                <w:lang w:val="hy-AM"/>
              </w:rPr>
              <w:t xml:space="preserve"> </w:t>
            </w:r>
            <w:r w:rsidRPr="0053423A">
              <w:rPr>
                <w:rFonts w:cs="Sylfaen"/>
                <w:color w:val="000000"/>
                <w:lang w:val="hy-AM"/>
              </w:rPr>
              <w:t>հրատապ</w:t>
            </w:r>
            <w:r w:rsidRPr="0053423A">
              <w:rPr>
                <w:rFonts w:cs="Arial Armenian"/>
                <w:color w:val="000000"/>
                <w:lang w:val="hy-AM"/>
              </w:rPr>
              <w:t xml:space="preserve"> </w:t>
            </w:r>
            <w:r w:rsidRPr="0053423A">
              <w:rPr>
                <w:rFonts w:cs="Sylfaen"/>
                <w:color w:val="000000"/>
                <w:lang w:val="hy-AM"/>
              </w:rPr>
              <w:t>խնդիրներից</w:t>
            </w:r>
            <w:r w:rsidRPr="0053423A">
              <w:rPr>
                <w:rFonts w:cs="Arial Armenian"/>
                <w:color w:val="000000"/>
                <w:lang w:val="hy-AM"/>
              </w:rPr>
              <w:t xml:space="preserve"> </w:t>
            </w:r>
            <w:r w:rsidRPr="0053423A">
              <w:rPr>
                <w:rFonts w:cs="Sylfaen"/>
                <w:color w:val="000000"/>
                <w:lang w:val="hy-AM"/>
              </w:rPr>
              <w:t>է</w:t>
            </w:r>
            <w:r w:rsidRPr="0053423A">
              <w:rPr>
                <w:rFonts w:cs="Arial Armenian"/>
                <w:color w:val="000000"/>
                <w:lang w:val="hy-AM"/>
              </w:rPr>
              <w:t xml:space="preserve"> </w:t>
            </w:r>
            <w:r w:rsidRPr="0053423A">
              <w:rPr>
                <w:rFonts w:cs="Sylfaen"/>
                <w:color w:val="000000"/>
                <w:lang w:val="hy-AM"/>
              </w:rPr>
              <w:t>ռադոնաչափական</w:t>
            </w:r>
            <w:r w:rsidRPr="0053423A">
              <w:rPr>
                <w:rFonts w:cs="Arial Armenian"/>
                <w:color w:val="000000"/>
                <w:lang w:val="hy-AM"/>
              </w:rPr>
              <w:t xml:space="preserve"> </w:t>
            </w:r>
            <w:r w:rsidRPr="0053423A">
              <w:rPr>
                <w:rFonts w:cs="Sylfaen"/>
                <w:color w:val="000000"/>
                <w:lang w:val="hy-AM"/>
              </w:rPr>
              <w:t>և</w:t>
            </w:r>
            <w:r w:rsidRPr="0053423A">
              <w:rPr>
                <w:rFonts w:cs="Arial Armenian"/>
                <w:color w:val="000000"/>
                <w:lang w:val="hy-AM"/>
              </w:rPr>
              <w:t xml:space="preserve"> </w:t>
            </w:r>
            <w:r w:rsidRPr="0053423A">
              <w:rPr>
                <w:rFonts w:cs="Sylfaen"/>
                <w:color w:val="000000"/>
                <w:lang w:val="hy-AM"/>
              </w:rPr>
              <w:t>մագնիսաչափական</w:t>
            </w:r>
            <w:r w:rsidRPr="0053423A">
              <w:rPr>
                <w:rFonts w:cs="Arial Armenian"/>
                <w:color w:val="000000"/>
                <w:lang w:val="hy-AM"/>
              </w:rPr>
              <w:t xml:space="preserve"> </w:t>
            </w:r>
            <w:r w:rsidRPr="0053423A">
              <w:rPr>
                <w:rFonts w:cs="Sylfaen"/>
                <w:color w:val="000000"/>
                <w:lang w:val="hy-AM"/>
              </w:rPr>
              <w:t>սարքերի</w:t>
            </w:r>
            <w:r w:rsidRPr="0053423A">
              <w:rPr>
                <w:rFonts w:cs="Arial Armenian"/>
                <w:color w:val="000000"/>
                <w:lang w:val="hy-AM"/>
              </w:rPr>
              <w:t xml:space="preserve"> </w:t>
            </w:r>
            <w:r w:rsidRPr="0053423A">
              <w:rPr>
                <w:rFonts w:cs="Sylfaen"/>
                <w:color w:val="000000"/>
                <w:lang w:val="hy-AM"/>
              </w:rPr>
              <w:t>փոխարինումը</w:t>
            </w:r>
            <w:r w:rsidRPr="0053423A">
              <w:rPr>
                <w:rFonts w:cs="Arial Armenian"/>
                <w:color w:val="000000"/>
                <w:lang w:val="hy-AM"/>
              </w:rPr>
              <w:t xml:space="preserve"> </w:t>
            </w:r>
            <w:r w:rsidRPr="0053423A">
              <w:rPr>
                <w:rFonts w:cs="Sylfaen"/>
                <w:color w:val="000000"/>
                <w:lang w:val="hy-AM"/>
              </w:rPr>
              <w:t>թվային</w:t>
            </w:r>
            <w:r w:rsidRPr="0053423A">
              <w:rPr>
                <w:rFonts w:cs="Arial Armenian"/>
                <w:color w:val="000000"/>
                <w:lang w:val="hy-AM"/>
              </w:rPr>
              <w:t xml:space="preserve"> </w:t>
            </w:r>
            <w:r w:rsidRPr="0053423A">
              <w:rPr>
                <w:rFonts w:cs="Sylfaen"/>
                <w:color w:val="000000"/>
                <w:lang w:val="hy-AM"/>
              </w:rPr>
              <w:t>սարքավորումներով</w:t>
            </w:r>
            <w:r w:rsidRPr="0053423A">
              <w:rPr>
                <w:rFonts w:cs="Arial Armenian"/>
                <w:color w:val="000000"/>
                <w:lang w:val="hy-AM"/>
              </w:rPr>
              <w:t xml:space="preserve">, GPS </w:t>
            </w:r>
            <w:r w:rsidRPr="0053423A">
              <w:rPr>
                <w:rFonts w:cs="Sylfaen"/>
                <w:color w:val="000000"/>
                <w:lang w:val="hy-AM"/>
              </w:rPr>
              <w:t>նորագույն</w:t>
            </w:r>
            <w:r w:rsidRPr="0053423A">
              <w:rPr>
                <w:rFonts w:cs="Arial Armenian"/>
                <w:color w:val="000000"/>
                <w:lang w:val="hy-AM"/>
              </w:rPr>
              <w:t xml:space="preserve"> </w:t>
            </w:r>
            <w:r w:rsidRPr="0053423A">
              <w:rPr>
                <w:rFonts w:cs="Sylfaen"/>
                <w:color w:val="000000"/>
                <w:lang w:val="hy-AM"/>
              </w:rPr>
              <w:t>սարքերի</w:t>
            </w:r>
            <w:r w:rsidRPr="0053423A">
              <w:rPr>
                <w:rFonts w:cs="Arial Armenian"/>
                <w:color w:val="000000"/>
                <w:lang w:val="hy-AM"/>
              </w:rPr>
              <w:t xml:space="preserve"> </w:t>
            </w:r>
            <w:r w:rsidRPr="0053423A">
              <w:rPr>
                <w:rFonts w:cs="Sylfaen"/>
                <w:color w:val="000000"/>
                <w:lang w:val="hy-AM"/>
              </w:rPr>
              <w:t>տեղադրումը</w:t>
            </w:r>
            <w:r w:rsidRPr="0053423A">
              <w:rPr>
                <w:rFonts w:cs="Arial Armenian"/>
                <w:color w:val="000000"/>
                <w:lang w:val="hy-AM"/>
              </w:rPr>
              <w:t xml:space="preserve">, </w:t>
            </w:r>
            <w:r w:rsidRPr="0053423A">
              <w:rPr>
                <w:rFonts w:cs="Sylfaen"/>
                <w:color w:val="000000"/>
                <w:lang w:val="hy-AM"/>
              </w:rPr>
              <w:t>հիդրոերկրաքիմիական</w:t>
            </w:r>
            <w:r w:rsidRPr="0053423A">
              <w:rPr>
                <w:rFonts w:cs="Arial Armenian"/>
                <w:color w:val="000000"/>
                <w:lang w:val="hy-AM"/>
              </w:rPr>
              <w:t xml:space="preserve"> </w:t>
            </w:r>
            <w:r w:rsidRPr="0053423A">
              <w:rPr>
                <w:rFonts w:cs="Sylfaen"/>
                <w:color w:val="000000"/>
                <w:lang w:val="hy-AM"/>
              </w:rPr>
              <w:t>կայանների</w:t>
            </w:r>
            <w:r w:rsidRPr="0053423A">
              <w:rPr>
                <w:rFonts w:cs="Arial Armenian"/>
                <w:color w:val="000000"/>
                <w:lang w:val="hy-AM"/>
              </w:rPr>
              <w:t xml:space="preserve"> (</w:t>
            </w:r>
            <w:r w:rsidRPr="0053423A">
              <w:rPr>
                <w:rFonts w:cs="Sylfaen"/>
                <w:color w:val="000000"/>
                <w:lang w:val="hy-AM"/>
              </w:rPr>
              <w:t>հորատանցքերի</w:t>
            </w:r>
            <w:r w:rsidRPr="0053423A">
              <w:rPr>
                <w:rFonts w:cs="Arial Armenian"/>
                <w:color w:val="000000"/>
                <w:lang w:val="hy-AM"/>
              </w:rPr>
              <w:t xml:space="preserve">) </w:t>
            </w:r>
            <w:r w:rsidRPr="0053423A">
              <w:rPr>
                <w:rFonts w:cs="Sylfaen"/>
                <w:color w:val="000000"/>
                <w:lang w:val="hy-AM"/>
              </w:rPr>
              <w:t>արդիականացումը</w:t>
            </w:r>
            <w:r w:rsidRPr="0053423A">
              <w:rPr>
                <w:rFonts w:cs="Arial Armenian"/>
                <w:color w:val="000000"/>
                <w:lang w:val="hy-AM"/>
              </w:rPr>
              <w:t xml:space="preserve"> </w:t>
            </w:r>
            <w:r w:rsidRPr="0053423A">
              <w:rPr>
                <w:rFonts w:cs="Sylfaen"/>
                <w:color w:val="000000"/>
                <w:lang w:val="hy-AM"/>
              </w:rPr>
              <w:t>և</w:t>
            </w:r>
            <w:r w:rsidRPr="0053423A">
              <w:rPr>
                <w:rFonts w:cs="Arial Armenian"/>
                <w:color w:val="000000"/>
                <w:lang w:val="hy-AM"/>
              </w:rPr>
              <w:t xml:space="preserve"> </w:t>
            </w:r>
            <w:r w:rsidRPr="0053423A">
              <w:rPr>
                <w:rFonts w:cs="Sylfaen"/>
                <w:color w:val="000000"/>
                <w:lang w:val="hy-AM"/>
              </w:rPr>
              <w:t>ԱԻՆ</w:t>
            </w:r>
            <w:r w:rsidRPr="0053423A">
              <w:rPr>
                <w:rFonts w:cs="Arial Armenian"/>
                <w:color w:val="000000"/>
                <w:lang w:val="hy-AM"/>
              </w:rPr>
              <w:t xml:space="preserve"> «</w:t>
            </w:r>
            <w:r w:rsidRPr="0053423A">
              <w:rPr>
                <w:rFonts w:cs="Sylfaen"/>
                <w:color w:val="000000"/>
                <w:lang w:val="hy-AM"/>
              </w:rPr>
              <w:t>ՍՊՏԾ</w:t>
            </w:r>
            <w:r w:rsidRPr="0053423A">
              <w:rPr>
                <w:rFonts w:cs="Arial Armenian"/>
                <w:color w:val="000000"/>
                <w:lang w:val="hy-AM"/>
              </w:rPr>
              <w:t xml:space="preserve">» </w:t>
            </w:r>
            <w:r w:rsidRPr="0053423A">
              <w:rPr>
                <w:rFonts w:cs="Sylfaen"/>
                <w:color w:val="000000"/>
                <w:lang w:val="hy-AM"/>
              </w:rPr>
              <w:t>ՊՈԱԿ</w:t>
            </w:r>
            <w:r w:rsidRPr="0053423A">
              <w:rPr>
                <w:rFonts w:cs="Arial Armenian"/>
                <w:color w:val="000000"/>
                <w:lang w:val="hy-AM"/>
              </w:rPr>
              <w:t>-</w:t>
            </w:r>
            <w:r w:rsidRPr="0053423A">
              <w:rPr>
                <w:rFonts w:cs="Sylfaen"/>
                <w:color w:val="000000"/>
                <w:lang w:val="hy-AM"/>
              </w:rPr>
              <w:t>ի</w:t>
            </w:r>
            <w:r w:rsidRPr="0053423A">
              <w:rPr>
                <w:rFonts w:cs="Arial Armenian"/>
                <w:color w:val="000000"/>
                <w:lang w:val="hy-AM"/>
              </w:rPr>
              <w:t xml:space="preserve"> </w:t>
            </w:r>
            <w:r w:rsidRPr="0053423A">
              <w:rPr>
                <w:rFonts w:cs="Sylfaen"/>
                <w:color w:val="000000"/>
                <w:lang w:val="hy-AM"/>
              </w:rPr>
              <w:t>հիդրոերկրաքիմիական</w:t>
            </w:r>
            <w:r w:rsidRPr="0053423A">
              <w:rPr>
                <w:rFonts w:cs="Arial Armenian"/>
                <w:color w:val="000000"/>
                <w:lang w:val="hy-AM"/>
              </w:rPr>
              <w:t xml:space="preserve"> </w:t>
            </w:r>
            <w:r w:rsidRPr="0053423A">
              <w:rPr>
                <w:rFonts w:cs="Sylfaen"/>
                <w:color w:val="000000"/>
                <w:lang w:val="hy-AM"/>
              </w:rPr>
              <w:t>լաբորատորիայի</w:t>
            </w:r>
            <w:r w:rsidRPr="0053423A">
              <w:rPr>
                <w:rFonts w:cs="Arial Armenian"/>
                <w:color w:val="000000"/>
                <w:lang w:val="hy-AM"/>
              </w:rPr>
              <w:t xml:space="preserve"> </w:t>
            </w:r>
            <w:r w:rsidRPr="0053423A">
              <w:rPr>
                <w:rFonts w:cs="Sylfaen"/>
                <w:color w:val="000000"/>
                <w:lang w:val="hy-AM"/>
              </w:rPr>
              <w:t>վերազինումը</w:t>
            </w:r>
            <w:r w:rsidRPr="0053423A">
              <w:rPr>
                <w:rFonts w:cs="Arial Armenian"/>
                <w:color w:val="000000"/>
                <w:lang w:val="hy-AM"/>
              </w:rPr>
              <w:t xml:space="preserve"> </w:t>
            </w:r>
            <w:r w:rsidRPr="0053423A">
              <w:rPr>
                <w:rFonts w:cs="Sylfaen"/>
                <w:color w:val="000000"/>
                <w:lang w:val="hy-AM"/>
              </w:rPr>
              <w:t>ժամանակակից</w:t>
            </w:r>
            <w:r w:rsidRPr="0053423A">
              <w:rPr>
                <w:rFonts w:cs="Arial Armenian"/>
                <w:color w:val="000000"/>
                <w:lang w:val="hy-AM"/>
              </w:rPr>
              <w:t xml:space="preserve"> </w:t>
            </w:r>
            <w:r w:rsidRPr="0053423A">
              <w:rPr>
                <w:rFonts w:cs="Sylfaen"/>
                <w:color w:val="000000"/>
                <w:lang w:val="hy-AM"/>
              </w:rPr>
              <w:t>սարքերով</w:t>
            </w:r>
            <w:r w:rsidRPr="0053423A">
              <w:rPr>
                <w:rFonts w:cs="Arial Armenian"/>
                <w:color w:val="000000"/>
                <w:lang w:val="hy-AM"/>
              </w:rPr>
              <w:t xml:space="preserve"> </w:t>
            </w:r>
            <w:r w:rsidRPr="0053423A">
              <w:rPr>
                <w:rFonts w:cs="Sylfaen"/>
                <w:color w:val="000000"/>
                <w:lang w:val="hy-AM"/>
              </w:rPr>
              <w:t>ու</w:t>
            </w:r>
            <w:r w:rsidRPr="0053423A">
              <w:rPr>
                <w:rFonts w:cs="Arial Armenian"/>
                <w:color w:val="000000"/>
                <w:lang w:val="hy-AM"/>
              </w:rPr>
              <w:t xml:space="preserve"> </w:t>
            </w:r>
            <w:r w:rsidRPr="0053423A">
              <w:rPr>
                <w:rFonts w:cs="Sylfaen"/>
                <w:color w:val="000000"/>
                <w:lang w:val="hy-AM"/>
              </w:rPr>
              <w:t>սարքավորումներով</w:t>
            </w:r>
            <w:r w:rsidRPr="0053423A">
              <w:rPr>
                <w:rFonts w:cs="Arial Armenian"/>
                <w:color w:val="000000"/>
                <w:lang w:val="hy-AM"/>
              </w:rPr>
              <w:t xml:space="preserve">: </w:t>
            </w:r>
            <w:r w:rsidRPr="0053423A">
              <w:rPr>
                <w:rFonts w:cs="Sylfaen"/>
                <w:color w:val="000000"/>
                <w:lang w:val="hy-AM"/>
              </w:rPr>
              <w:t>Արդիականացված</w:t>
            </w:r>
            <w:r w:rsidRPr="0053423A">
              <w:rPr>
                <w:rFonts w:cs="Arial Armenian"/>
                <w:color w:val="000000"/>
                <w:lang w:val="hy-AM"/>
              </w:rPr>
              <w:t xml:space="preserve"> </w:t>
            </w:r>
            <w:r w:rsidRPr="0053423A">
              <w:rPr>
                <w:rFonts w:cs="Sylfaen"/>
                <w:color w:val="000000"/>
                <w:lang w:val="hy-AM"/>
              </w:rPr>
              <w:t>ցանցերի</w:t>
            </w:r>
            <w:r w:rsidRPr="0053423A">
              <w:rPr>
                <w:rFonts w:cs="Arial Armenian"/>
                <w:color w:val="000000"/>
                <w:lang w:val="hy-AM"/>
              </w:rPr>
              <w:t xml:space="preserve"> </w:t>
            </w:r>
            <w:r w:rsidRPr="0053423A">
              <w:rPr>
                <w:rFonts w:cs="Sylfaen"/>
                <w:color w:val="000000"/>
                <w:lang w:val="hy-AM"/>
              </w:rPr>
              <w:t>առկայությամբ</w:t>
            </w:r>
            <w:r w:rsidRPr="0053423A">
              <w:rPr>
                <w:rFonts w:cs="Arial Armenian"/>
                <w:color w:val="000000"/>
                <w:lang w:val="hy-AM"/>
              </w:rPr>
              <w:t xml:space="preserve"> </w:t>
            </w:r>
            <w:r w:rsidRPr="0053423A">
              <w:rPr>
                <w:rFonts w:cs="Sylfaen"/>
                <w:color w:val="000000"/>
                <w:lang w:val="hy-AM"/>
              </w:rPr>
              <w:t>և</w:t>
            </w:r>
            <w:r w:rsidRPr="0053423A">
              <w:rPr>
                <w:rFonts w:cs="Arial Armenian"/>
                <w:color w:val="000000"/>
                <w:lang w:val="hy-AM"/>
              </w:rPr>
              <w:t xml:space="preserve"> </w:t>
            </w:r>
            <w:r w:rsidRPr="0053423A">
              <w:rPr>
                <w:rFonts w:cs="Sylfaen"/>
                <w:color w:val="000000"/>
                <w:lang w:val="hy-AM"/>
              </w:rPr>
              <w:t>կապի</w:t>
            </w:r>
            <w:r w:rsidRPr="0053423A">
              <w:rPr>
                <w:rFonts w:cs="Arial Armenian"/>
                <w:color w:val="000000"/>
                <w:lang w:val="hy-AM"/>
              </w:rPr>
              <w:t xml:space="preserve"> </w:t>
            </w:r>
            <w:r w:rsidRPr="0053423A">
              <w:rPr>
                <w:rFonts w:cs="Sylfaen"/>
                <w:color w:val="000000"/>
                <w:lang w:val="hy-AM"/>
              </w:rPr>
              <w:t>ժամանակակից</w:t>
            </w:r>
            <w:r w:rsidRPr="0053423A">
              <w:rPr>
                <w:rFonts w:cs="Arial Armenian"/>
                <w:color w:val="000000"/>
                <w:lang w:val="hy-AM"/>
              </w:rPr>
              <w:t xml:space="preserve"> </w:t>
            </w:r>
            <w:r w:rsidRPr="0053423A">
              <w:rPr>
                <w:rFonts w:cs="Sylfaen"/>
                <w:color w:val="000000"/>
                <w:lang w:val="hy-AM"/>
              </w:rPr>
              <w:t>միջոցներով</w:t>
            </w:r>
            <w:r w:rsidRPr="0053423A">
              <w:rPr>
                <w:rFonts w:cs="Arial Armenian"/>
                <w:color w:val="000000"/>
                <w:lang w:val="hy-AM"/>
              </w:rPr>
              <w:t xml:space="preserve"> </w:t>
            </w:r>
            <w:r w:rsidRPr="0053423A">
              <w:rPr>
                <w:rFonts w:cs="Sylfaen"/>
                <w:color w:val="000000"/>
                <w:lang w:val="hy-AM"/>
              </w:rPr>
              <w:t>փոխանցվող</w:t>
            </w:r>
            <w:r w:rsidRPr="0053423A">
              <w:rPr>
                <w:rFonts w:cs="Arial Armenian"/>
                <w:color w:val="000000"/>
                <w:lang w:val="hy-AM"/>
              </w:rPr>
              <w:t xml:space="preserve"> </w:t>
            </w:r>
            <w:r w:rsidRPr="0053423A">
              <w:rPr>
                <w:rFonts w:cs="Sylfaen"/>
                <w:color w:val="000000"/>
                <w:lang w:val="hy-AM"/>
              </w:rPr>
              <w:t>տվյալները</w:t>
            </w:r>
            <w:r w:rsidRPr="0053423A">
              <w:rPr>
                <w:rFonts w:cs="Arial Armenian"/>
                <w:color w:val="000000"/>
                <w:lang w:val="hy-AM"/>
              </w:rPr>
              <w:t xml:space="preserve"> </w:t>
            </w:r>
            <w:r w:rsidRPr="0053423A">
              <w:rPr>
                <w:rFonts w:cs="Sylfaen"/>
                <w:color w:val="000000"/>
                <w:lang w:val="hy-AM"/>
              </w:rPr>
              <w:t>հանդիսանում</w:t>
            </w:r>
            <w:r w:rsidRPr="0053423A">
              <w:rPr>
                <w:rFonts w:cs="Arial Armenian"/>
                <w:color w:val="000000"/>
                <w:lang w:val="hy-AM"/>
              </w:rPr>
              <w:t xml:space="preserve"> </w:t>
            </w:r>
            <w:r w:rsidRPr="0053423A">
              <w:rPr>
                <w:rFonts w:cs="Sylfaen"/>
                <w:color w:val="000000"/>
                <w:lang w:val="hy-AM"/>
              </w:rPr>
              <w:t>են</w:t>
            </w:r>
            <w:r w:rsidRPr="0053423A">
              <w:rPr>
                <w:rFonts w:cs="Arial Armenian"/>
                <w:color w:val="000000"/>
                <w:lang w:val="hy-AM"/>
              </w:rPr>
              <w:t xml:space="preserve"> </w:t>
            </w:r>
            <w:r w:rsidRPr="0053423A">
              <w:rPr>
                <w:rFonts w:cs="Sylfaen"/>
                <w:color w:val="000000"/>
                <w:lang w:val="hy-AM"/>
              </w:rPr>
              <w:t>կարևոր</w:t>
            </w:r>
            <w:r w:rsidRPr="0053423A">
              <w:rPr>
                <w:rFonts w:cs="Arial Armenian"/>
                <w:color w:val="000000"/>
                <w:lang w:val="hy-AM"/>
              </w:rPr>
              <w:t xml:space="preserve"> </w:t>
            </w:r>
            <w:r w:rsidRPr="0053423A">
              <w:rPr>
                <w:rFonts w:cs="Sylfaen"/>
                <w:color w:val="000000"/>
                <w:lang w:val="hy-AM"/>
              </w:rPr>
              <w:t>բաղադրիչներ</w:t>
            </w:r>
            <w:r w:rsidRPr="0053423A">
              <w:rPr>
                <w:rFonts w:cs="Arial Armenian"/>
                <w:color w:val="000000"/>
                <w:lang w:val="hy-AM"/>
              </w:rPr>
              <w:t xml:space="preserve"> </w:t>
            </w:r>
            <w:r w:rsidRPr="0053423A">
              <w:rPr>
                <w:rFonts w:cs="Sylfaen"/>
                <w:color w:val="000000"/>
                <w:lang w:val="hy-AM"/>
              </w:rPr>
              <w:t>ընթացիկ</w:t>
            </w:r>
            <w:r w:rsidRPr="0053423A">
              <w:rPr>
                <w:rFonts w:cs="Arial Armenian"/>
                <w:color w:val="000000"/>
                <w:lang w:val="hy-AM"/>
              </w:rPr>
              <w:t xml:space="preserve"> </w:t>
            </w:r>
            <w:r w:rsidRPr="0053423A">
              <w:rPr>
                <w:rFonts w:cs="Sylfaen"/>
                <w:color w:val="000000"/>
                <w:lang w:val="hy-AM"/>
              </w:rPr>
              <w:t>սեյսմիկ</w:t>
            </w:r>
            <w:r w:rsidRPr="0053423A">
              <w:rPr>
                <w:rFonts w:cs="Arial Armenian"/>
                <w:color w:val="000000"/>
                <w:lang w:val="hy-AM"/>
              </w:rPr>
              <w:t xml:space="preserve"> </w:t>
            </w:r>
            <w:r w:rsidRPr="0053423A">
              <w:rPr>
                <w:rFonts w:cs="Sylfaen"/>
                <w:color w:val="000000"/>
                <w:lang w:val="hy-AM"/>
              </w:rPr>
              <w:t>վտանգի</w:t>
            </w:r>
            <w:r w:rsidRPr="0053423A">
              <w:rPr>
                <w:rFonts w:cs="Arial Armenian"/>
                <w:color w:val="000000"/>
                <w:lang w:val="hy-AM"/>
              </w:rPr>
              <w:t xml:space="preserve"> </w:t>
            </w:r>
            <w:r w:rsidRPr="0053423A">
              <w:rPr>
                <w:rFonts w:cs="Sylfaen"/>
                <w:color w:val="000000"/>
                <w:lang w:val="hy-AM"/>
              </w:rPr>
              <w:t>գնահատման</w:t>
            </w:r>
            <w:r w:rsidRPr="0053423A">
              <w:rPr>
                <w:rFonts w:cs="Arial Armenian"/>
                <w:color w:val="000000"/>
                <w:lang w:val="hy-AM"/>
              </w:rPr>
              <w:t xml:space="preserve"> </w:t>
            </w:r>
            <w:r w:rsidRPr="0053423A">
              <w:rPr>
                <w:rFonts w:cs="Sylfaen"/>
                <w:color w:val="000000"/>
                <w:lang w:val="hy-AM"/>
              </w:rPr>
              <w:t>համար</w:t>
            </w:r>
            <w:r w:rsidRPr="0053423A">
              <w:rPr>
                <w:rFonts w:cs="Arial Armenian"/>
                <w:color w:val="000000"/>
                <w:lang w:val="hy-AM"/>
              </w:rPr>
              <w:t>:</w:t>
            </w:r>
          </w:p>
          <w:p w:rsidR="006B0618" w:rsidRPr="0053423A" w:rsidRDefault="006B0618" w:rsidP="00A67858">
            <w:pPr>
              <w:numPr>
                <w:ilvl w:val="1"/>
                <w:numId w:val="77"/>
              </w:numPr>
              <w:tabs>
                <w:tab w:val="left" w:pos="270"/>
              </w:tabs>
              <w:spacing w:line="276" w:lineRule="auto"/>
              <w:ind w:left="0" w:right="256" w:firstLine="0"/>
              <w:jc w:val="both"/>
              <w:rPr>
                <w:rFonts w:cs="Sylfaen"/>
                <w:b/>
                <w:color w:val="000000"/>
              </w:rPr>
            </w:pPr>
            <w:r w:rsidRPr="0053423A">
              <w:rPr>
                <w:rFonts w:cs="Sylfaen"/>
                <w:b/>
                <w:color w:val="000000"/>
              </w:rPr>
              <w:t>Առկա</w:t>
            </w:r>
            <w:r w:rsidRPr="0053423A">
              <w:rPr>
                <w:rFonts w:cs="Arial Armenian"/>
                <w:b/>
                <w:color w:val="000000"/>
              </w:rPr>
              <w:t xml:space="preserve"> </w:t>
            </w:r>
            <w:r w:rsidRPr="0053423A">
              <w:rPr>
                <w:rFonts w:cs="Sylfaen"/>
                <w:b/>
                <w:color w:val="000000"/>
              </w:rPr>
              <w:t>խնդիրների</w:t>
            </w:r>
            <w:r w:rsidRPr="0053423A">
              <w:rPr>
                <w:rFonts w:cs="Arial Armenian"/>
                <w:b/>
                <w:color w:val="000000"/>
              </w:rPr>
              <w:t xml:space="preserve"> </w:t>
            </w:r>
            <w:r w:rsidRPr="0053423A">
              <w:rPr>
                <w:rFonts w:cs="Sylfaen"/>
                <w:b/>
                <w:color w:val="000000"/>
              </w:rPr>
              <w:t>առաջարկվող</w:t>
            </w:r>
            <w:r w:rsidRPr="0053423A">
              <w:rPr>
                <w:rFonts w:cs="Arial Armenian"/>
                <w:b/>
                <w:color w:val="000000"/>
              </w:rPr>
              <w:t xml:space="preserve"> </w:t>
            </w:r>
            <w:r w:rsidRPr="0053423A">
              <w:rPr>
                <w:rFonts w:cs="Sylfaen"/>
                <w:b/>
                <w:color w:val="000000"/>
              </w:rPr>
              <w:t>լուծումները</w:t>
            </w:r>
          </w:p>
          <w:p w:rsidR="006B0618" w:rsidRPr="0053423A" w:rsidRDefault="006B0618" w:rsidP="00A67858">
            <w:pPr>
              <w:spacing w:line="276" w:lineRule="auto"/>
              <w:ind w:right="256"/>
              <w:rPr>
                <w:rFonts w:cs="Arial Armenian"/>
                <w:color w:val="000000"/>
              </w:rPr>
            </w:pPr>
            <w:r w:rsidRPr="0053423A">
              <w:rPr>
                <w:rFonts w:cs="Arial Armenian"/>
                <w:color w:val="000000"/>
              </w:rPr>
              <w:t xml:space="preserve">     </w:t>
            </w:r>
            <w:r w:rsidRPr="0053423A">
              <w:rPr>
                <w:rFonts w:cs="Sylfaen"/>
                <w:color w:val="000000"/>
              </w:rPr>
              <w:t>Գործող</w:t>
            </w:r>
            <w:r w:rsidRPr="0053423A">
              <w:rPr>
                <w:rFonts w:cs="Arial Armenian"/>
                <w:color w:val="000000"/>
              </w:rPr>
              <w:t xml:space="preserve"> </w:t>
            </w:r>
            <w:r w:rsidRPr="0053423A">
              <w:rPr>
                <w:rFonts w:cs="Sylfaen"/>
                <w:color w:val="000000"/>
              </w:rPr>
              <w:t>կայանների</w:t>
            </w:r>
            <w:r w:rsidRPr="0053423A">
              <w:rPr>
                <w:rFonts w:cs="Arial Armenian"/>
                <w:color w:val="000000"/>
              </w:rPr>
              <w:t xml:space="preserve"> </w:t>
            </w:r>
            <w:r w:rsidRPr="0053423A">
              <w:rPr>
                <w:rFonts w:cs="Sylfaen"/>
                <w:color w:val="000000"/>
              </w:rPr>
              <w:t>վերազինումը</w:t>
            </w:r>
            <w:r w:rsidRPr="0053423A">
              <w:rPr>
                <w:rFonts w:cs="Arial Armenian"/>
                <w:color w:val="000000"/>
              </w:rPr>
              <w:t xml:space="preserve"> </w:t>
            </w:r>
            <w:r w:rsidRPr="0053423A">
              <w:rPr>
                <w:rFonts w:cs="Sylfaen"/>
                <w:color w:val="000000"/>
              </w:rPr>
              <w:t>նոր</w:t>
            </w:r>
            <w:r w:rsidRPr="0053423A">
              <w:rPr>
                <w:rFonts w:cs="Arial Armenian"/>
                <w:color w:val="000000"/>
              </w:rPr>
              <w:t xml:space="preserve"> </w:t>
            </w:r>
            <w:r w:rsidRPr="0053423A">
              <w:rPr>
                <w:rFonts w:cs="Sylfaen"/>
                <w:color w:val="000000"/>
              </w:rPr>
              <w:t>սարքավորումներով</w:t>
            </w:r>
            <w:r w:rsidRPr="0053423A">
              <w:rPr>
                <w:rFonts w:cs="Arial Armenian"/>
                <w:color w:val="000000"/>
              </w:rPr>
              <w:t xml:space="preserve"> </w:t>
            </w:r>
            <w:r w:rsidRPr="0053423A">
              <w:rPr>
                <w:rFonts w:cs="Sylfaen"/>
                <w:color w:val="000000"/>
              </w:rPr>
              <w:t>կնպաստի</w:t>
            </w:r>
            <w:r w:rsidRPr="0053423A">
              <w:rPr>
                <w:rFonts w:cs="Arial Armenian"/>
                <w:color w:val="000000"/>
              </w:rPr>
              <w:t xml:space="preserve"> </w:t>
            </w:r>
            <w:r w:rsidRPr="0053423A">
              <w:rPr>
                <w:rFonts w:cs="Sylfaen"/>
                <w:color w:val="000000"/>
              </w:rPr>
              <w:t>միջազգային</w:t>
            </w:r>
            <w:r w:rsidRPr="0053423A">
              <w:rPr>
                <w:rFonts w:cs="Arial Armenian"/>
                <w:color w:val="000000"/>
              </w:rPr>
              <w:t xml:space="preserve"> </w:t>
            </w:r>
            <w:r w:rsidRPr="0053423A">
              <w:rPr>
                <w:rFonts w:cs="Sylfaen"/>
                <w:color w:val="000000"/>
              </w:rPr>
              <w:t>ժամանակակից</w:t>
            </w:r>
            <w:r w:rsidRPr="0053423A">
              <w:rPr>
                <w:rFonts w:cs="Arial Armenian"/>
                <w:color w:val="000000"/>
              </w:rPr>
              <w:t xml:space="preserve"> </w:t>
            </w:r>
            <w:r w:rsidRPr="0053423A">
              <w:rPr>
                <w:rFonts w:cs="Sylfaen"/>
                <w:color w:val="000000"/>
              </w:rPr>
              <w:t>ստանդարտներին</w:t>
            </w:r>
            <w:r w:rsidRPr="0053423A">
              <w:rPr>
                <w:rFonts w:cs="Arial Armenian"/>
                <w:color w:val="000000"/>
              </w:rPr>
              <w:t xml:space="preserve"> </w:t>
            </w:r>
            <w:r w:rsidRPr="0053423A">
              <w:rPr>
                <w:rFonts w:cs="Sylfaen"/>
                <w:color w:val="000000"/>
              </w:rPr>
              <w:t>համապատասխան</w:t>
            </w:r>
            <w:r w:rsidRPr="0053423A">
              <w:rPr>
                <w:rFonts w:cs="Arial Armenian"/>
                <w:color w:val="000000"/>
              </w:rPr>
              <w:t xml:space="preserve"> </w:t>
            </w:r>
            <w:r w:rsidRPr="0053423A">
              <w:rPr>
                <w:rFonts w:cs="Sylfaen"/>
                <w:color w:val="000000"/>
              </w:rPr>
              <w:t>դիտացանց</w:t>
            </w:r>
            <w:r w:rsidRPr="0053423A">
              <w:rPr>
                <w:rFonts w:cs="Arial Armenian"/>
                <w:color w:val="000000"/>
              </w:rPr>
              <w:t xml:space="preserve"> </w:t>
            </w:r>
            <w:r w:rsidRPr="0053423A">
              <w:rPr>
                <w:rFonts w:cs="Sylfaen"/>
                <w:color w:val="000000"/>
              </w:rPr>
              <w:t>ստեղծելուն</w:t>
            </w:r>
            <w:r w:rsidRPr="0053423A">
              <w:rPr>
                <w:rFonts w:cs="Arial Armenian"/>
                <w:color w:val="000000"/>
              </w:rPr>
              <w:t xml:space="preserve">: </w:t>
            </w:r>
            <w:r w:rsidRPr="0053423A">
              <w:rPr>
                <w:rFonts w:cs="Sylfaen"/>
                <w:color w:val="000000"/>
              </w:rPr>
              <w:t>Հարկ</w:t>
            </w:r>
            <w:r w:rsidRPr="0053423A">
              <w:rPr>
                <w:rFonts w:cs="Arial Armenian"/>
                <w:color w:val="000000"/>
              </w:rPr>
              <w:t xml:space="preserve"> </w:t>
            </w:r>
            <w:r w:rsidRPr="0053423A">
              <w:rPr>
                <w:rFonts w:cs="Sylfaen"/>
                <w:color w:val="000000"/>
              </w:rPr>
              <w:t>է</w:t>
            </w:r>
            <w:r w:rsidRPr="0053423A">
              <w:rPr>
                <w:rFonts w:cs="Arial Armenian"/>
                <w:color w:val="000000"/>
              </w:rPr>
              <w:t xml:space="preserve"> </w:t>
            </w:r>
            <w:r w:rsidRPr="0053423A">
              <w:rPr>
                <w:rFonts w:cs="Sylfaen"/>
                <w:color w:val="000000"/>
              </w:rPr>
              <w:t>նշել</w:t>
            </w:r>
            <w:r w:rsidRPr="0053423A">
              <w:rPr>
                <w:rFonts w:cs="Arial Armenian"/>
                <w:color w:val="000000"/>
              </w:rPr>
              <w:t xml:space="preserve">, </w:t>
            </w:r>
            <w:r w:rsidRPr="0053423A">
              <w:rPr>
                <w:rFonts w:cs="Sylfaen"/>
                <w:color w:val="000000"/>
              </w:rPr>
              <w:t>որ</w:t>
            </w:r>
            <w:r w:rsidRPr="0053423A">
              <w:rPr>
                <w:rFonts w:cs="Arial Armenian"/>
                <w:color w:val="000000"/>
              </w:rPr>
              <w:t xml:space="preserve"> </w:t>
            </w:r>
            <w:r w:rsidRPr="0053423A">
              <w:rPr>
                <w:rFonts w:cs="Sylfaen"/>
                <w:color w:val="000000"/>
              </w:rPr>
              <w:t>Ազգային</w:t>
            </w:r>
            <w:r w:rsidRPr="0053423A">
              <w:rPr>
                <w:rFonts w:cs="Arial Armenian"/>
                <w:color w:val="000000"/>
              </w:rPr>
              <w:t xml:space="preserve"> </w:t>
            </w:r>
            <w:r w:rsidRPr="0053423A">
              <w:rPr>
                <w:rFonts w:cs="Sylfaen"/>
                <w:color w:val="000000"/>
              </w:rPr>
              <w:t>սեյսմիկ</w:t>
            </w:r>
            <w:r w:rsidRPr="0053423A">
              <w:rPr>
                <w:rFonts w:cs="Arial Armenian"/>
                <w:color w:val="000000"/>
              </w:rPr>
              <w:t xml:space="preserve"> </w:t>
            </w:r>
            <w:r w:rsidRPr="0053423A">
              <w:rPr>
                <w:rFonts w:cs="Sylfaen"/>
                <w:color w:val="000000"/>
              </w:rPr>
              <w:t>մոնիթորինգի</w:t>
            </w:r>
            <w:r w:rsidRPr="0053423A">
              <w:rPr>
                <w:rFonts w:cs="Arial Armenian"/>
                <w:color w:val="000000"/>
              </w:rPr>
              <w:t xml:space="preserve"> </w:t>
            </w:r>
            <w:r w:rsidRPr="0053423A">
              <w:rPr>
                <w:rFonts w:cs="Sylfaen"/>
                <w:color w:val="000000"/>
              </w:rPr>
              <w:t>դիտացանցի</w:t>
            </w:r>
            <w:r w:rsidRPr="0053423A">
              <w:rPr>
                <w:rFonts w:cs="Arial Armenian"/>
                <w:color w:val="000000"/>
              </w:rPr>
              <w:t xml:space="preserve"> </w:t>
            </w:r>
            <w:r w:rsidRPr="0053423A">
              <w:rPr>
                <w:rFonts w:cs="Sylfaen"/>
                <w:color w:val="000000"/>
              </w:rPr>
              <w:t>մի</w:t>
            </w:r>
            <w:r w:rsidRPr="0053423A">
              <w:rPr>
                <w:rFonts w:cs="Arial Armenian"/>
                <w:color w:val="000000"/>
              </w:rPr>
              <w:t xml:space="preserve"> </w:t>
            </w:r>
            <w:r w:rsidRPr="0053423A">
              <w:rPr>
                <w:rFonts w:cs="Sylfaen"/>
                <w:color w:val="000000"/>
              </w:rPr>
              <w:t>շարք</w:t>
            </w:r>
            <w:r w:rsidRPr="0053423A">
              <w:rPr>
                <w:rFonts w:cs="Arial Armenian"/>
                <w:color w:val="000000"/>
              </w:rPr>
              <w:t xml:space="preserve"> </w:t>
            </w:r>
            <w:r w:rsidRPr="0053423A">
              <w:rPr>
                <w:rFonts w:cs="Sylfaen"/>
                <w:color w:val="000000"/>
              </w:rPr>
              <w:t>դիտակետերում</w:t>
            </w:r>
            <w:r w:rsidRPr="0053423A">
              <w:rPr>
                <w:rFonts w:cs="Arial Armenian"/>
                <w:color w:val="000000"/>
              </w:rPr>
              <w:t xml:space="preserve"> (</w:t>
            </w:r>
            <w:r w:rsidRPr="0053423A">
              <w:rPr>
                <w:rFonts w:cs="Sylfaen"/>
                <w:color w:val="000000"/>
              </w:rPr>
              <w:t>օրինակ</w:t>
            </w:r>
            <w:r w:rsidRPr="0053423A">
              <w:rPr>
                <w:rFonts w:cs="Arial Armenian"/>
                <w:color w:val="000000"/>
              </w:rPr>
              <w:t xml:space="preserve">, </w:t>
            </w:r>
            <w:r w:rsidRPr="0053423A">
              <w:rPr>
                <w:rFonts w:cs="Sylfaen"/>
                <w:color w:val="000000"/>
              </w:rPr>
              <w:t>հիդրոերկրադինամիկական</w:t>
            </w:r>
            <w:r w:rsidRPr="0053423A">
              <w:rPr>
                <w:rFonts w:cs="Arial Armenian"/>
                <w:color w:val="000000"/>
              </w:rPr>
              <w:t xml:space="preserve">, </w:t>
            </w:r>
            <w:r w:rsidRPr="0053423A">
              <w:rPr>
                <w:rFonts w:cs="Sylfaen"/>
                <w:color w:val="000000"/>
              </w:rPr>
              <w:t>սեյսմիկ</w:t>
            </w:r>
            <w:r w:rsidRPr="0053423A">
              <w:rPr>
                <w:rFonts w:cs="Arial Armenian"/>
                <w:color w:val="000000"/>
              </w:rPr>
              <w:t xml:space="preserve">, </w:t>
            </w:r>
            <w:r w:rsidRPr="0053423A">
              <w:rPr>
                <w:rFonts w:cs="Sylfaen"/>
                <w:color w:val="000000"/>
              </w:rPr>
              <w:t>գրունտի</w:t>
            </w:r>
            <w:r w:rsidRPr="0053423A">
              <w:rPr>
                <w:rFonts w:cs="Arial Armenian"/>
                <w:color w:val="000000"/>
              </w:rPr>
              <w:t xml:space="preserve"> </w:t>
            </w:r>
            <w:r w:rsidRPr="0053423A">
              <w:rPr>
                <w:rFonts w:cs="Sylfaen"/>
                <w:color w:val="000000"/>
              </w:rPr>
              <w:t>ուժեղ</w:t>
            </w:r>
            <w:r w:rsidRPr="0053423A">
              <w:rPr>
                <w:rFonts w:cs="Arial Armenian"/>
                <w:color w:val="000000"/>
              </w:rPr>
              <w:t xml:space="preserve"> </w:t>
            </w:r>
            <w:r w:rsidRPr="0053423A">
              <w:rPr>
                <w:rFonts w:cs="Sylfaen"/>
                <w:color w:val="000000"/>
              </w:rPr>
              <w:t>շարժումների</w:t>
            </w:r>
            <w:r w:rsidRPr="0053423A">
              <w:rPr>
                <w:rFonts w:cs="Arial Armenian"/>
                <w:color w:val="000000"/>
              </w:rPr>
              <w:t xml:space="preserve"> </w:t>
            </w:r>
            <w:r w:rsidRPr="0053423A">
              <w:rPr>
                <w:rFonts w:cs="Sylfaen"/>
                <w:color w:val="000000"/>
              </w:rPr>
              <w:t>և</w:t>
            </w:r>
            <w:r w:rsidRPr="0053423A">
              <w:rPr>
                <w:rFonts w:cs="Arial Armenian"/>
                <w:color w:val="000000"/>
              </w:rPr>
              <w:t xml:space="preserve"> </w:t>
            </w:r>
            <w:r w:rsidRPr="0053423A">
              <w:rPr>
                <w:rFonts w:cs="Sylfaen"/>
                <w:color w:val="000000"/>
              </w:rPr>
              <w:t>այլն</w:t>
            </w:r>
            <w:r w:rsidRPr="0053423A">
              <w:rPr>
                <w:rFonts w:cs="Arial Armenian"/>
                <w:color w:val="000000"/>
              </w:rPr>
              <w:t xml:space="preserve">) </w:t>
            </w:r>
            <w:r w:rsidRPr="0053423A">
              <w:rPr>
                <w:rFonts w:cs="Sylfaen"/>
                <w:color w:val="000000"/>
              </w:rPr>
              <w:t>սարքերը</w:t>
            </w:r>
            <w:r w:rsidRPr="0053423A">
              <w:rPr>
                <w:rFonts w:cs="Arial Armenian"/>
                <w:color w:val="000000"/>
              </w:rPr>
              <w:t xml:space="preserve"> </w:t>
            </w:r>
            <w:r w:rsidRPr="0053423A">
              <w:rPr>
                <w:rFonts w:cs="Sylfaen"/>
                <w:color w:val="000000"/>
              </w:rPr>
              <w:t>և</w:t>
            </w:r>
            <w:r w:rsidRPr="0053423A">
              <w:rPr>
                <w:rFonts w:cs="Arial Armenian"/>
                <w:color w:val="000000"/>
              </w:rPr>
              <w:t xml:space="preserve"> </w:t>
            </w:r>
            <w:r w:rsidRPr="0053423A">
              <w:rPr>
                <w:rFonts w:cs="Sylfaen"/>
                <w:color w:val="000000"/>
              </w:rPr>
              <w:t>սարքավորումներն</w:t>
            </w:r>
            <w:r w:rsidRPr="0053423A">
              <w:rPr>
                <w:rFonts w:cs="Arial Armenian"/>
                <w:color w:val="000000"/>
              </w:rPr>
              <w:t xml:space="preserve"> </w:t>
            </w:r>
            <w:r w:rsidRPr="0053423A">
              <w:rPr>
                <w:rFonts w:cs="Sylfaen"/>
                <w:color w:val="000000"/>
              </w:rPr>
              <w:t>արդեն</w:t>
            </w:r>
            <w:r w:rsidRPr="0053423A">
              <w:rPr>
                <w:rFonts w:cs="Arial Armenian"/>
                <w:color w:val="000000"/>
              </w:rPr>
              <w:t xml:space="preserve"> </w:t>
            </w:r>
            <w:r w:rsidRPr="0053423A">
              <w:rPr>
                <w:rFonts w:cs="Sylfaen"/>
                <w:color w:val="000000"/>
              </w:rPr>
              <w:t>արդիականացվել</w:t>
            </w:r>
            <w:r w:rsidRPr="0053423A">
              <w:rPr>
                <w:rFonts w:cs="Arial Armenian"/>
                <w:color w:val="000000"/>
              </w:rPr>
              <w:t xml:space="preserve"> </w:t>
            </w:r>
            <w:r w:rsidRPr="0053423A">
              <w:rPr>
                <w:rFonts w:cs="Sylfaen"/>
                <w:color w:val="000000"/>
              </w:rPr>
              <w:t>են</w:t>
            </w:r>
            <w:r w:rsidRPr="0053423A">
              <w:rPr>
                <w:rFonts w:cs="Arial Armenian"/>
                <w:color w:val="000000"/>
              </w:rPr>
              <w:t xml:space="preserve"> </w:t>
            </w:r>
            <w:r w:rsidRPr="0053423A">
              <w:rPr>
                <w:rFonts w:cs="Sylfaen"/>
                <w:color w:val="000000"/>
              </w:rPr>
              <w:t>միջազգային</w:t>
            </w:r>
            <w:r w:rsidRPr="0053423A">
              <w:rPr>
                <w:rFonts w:cs="Arial Armenian"/>
                <w:color w:val="000000"/>
              </w:rPr>
              <w:t xml:space="preserve"> </w:t>
            </w:r>
            <w:r w:rsidRPr="0053423A">
              <w:rPr>
                <w:rFonts w:cs="Sylfaen"/>
                <w:color w:val="000000"/>
              </w:rPr>
              <w:t>գործընկեր</w:t>
            </w:r>
            <w:r w:rsidRPr="0053423A">
              <w:rPr>
                <w:rFonts w:cs="Arial Armenian"/>
                <w:color w:val="000000"/>
              </w:rPr>
              <w:t xml:space="preserve"> </w:t>
            </w:r>
            <w:r w:rsidRPr="0053423A">
              <w:rPr>
                <w:rFonts w:cs="Sylfaen"/>
                <w:color w:val="000000"/>
              </w:rPr>
              <w:t>կազմակերպությունների</w:t>
            </w:r>
            <w:r w:rsidRPr="0053423A">
              <w:rPr>
                <w:rFonts w:cs="Arial Armenian"/>
                <w:color w:val="000000"/>
              </w:rPr>
              <w:t xml:space="preserve"> </w:t>
            </w:r>
            <w:r w:rsidRPr="0053423A">
              <w:rPr>
                <w:rFonts w:cs="Sylfaen"/>
                <w:color w:val="000000"/>
              </w:rPr>
              <w:t>աջակցությամբ</w:t>
            </w:r>
            <w:r w:rsidRPr="0053423A">
              <w:rPr>
                <w:rFonts w:cs="Arial Armenian"/>
                <w:color w:val="000000"/>
              </w:rPr>
              <w:t>:</w:t>
            </w:r>
          </w:p>
          <w:p w:rsidR="006B0618" w:rsidRPr="0053423A" w:rsidRDefault="006B0618" w:rsidP="00A67858">
            <w:pPr>
              <w:numPr>
                <w:ilvl w:val="0"/>
                <w:numId w:val="77"/>
              </w:numPr>
              <w:spacing w:line="276" w:lineRule="auto"/>
              <w:ind w:left="0" w:right="256" w:firstLine="0"/>
              <w:jc w:val="both"/>
              <w:rPr>
                <w:rFonts w:cs="Sylfaen"/>
                <w:b/>
                <w:color w:val="000000"/>
              </w:rPr>
            </w:pPr>
            <w:r w:rsidRPr="0053423A">
              <w:rPr>
                <w:rFonts w:cs="Sylfaen"/>
                <w:b/>
                <w:color w:val="000000"/>
              </w:rPr>
              <w:t xml:space="preserve"> Միջոցառման</w:t>
            </w:r>
            <w:r w:rsidRPr="0053423A">
              <w:rPr>
                <w:rFonts w:cs="Arial Armenian"/>
                <w:b/>
                <w:color w:val="000000"/>
              </w:rPr>
              <w:t xml:space="preserve"> </w:t>
            </w:r>
            <w:r w:rsidRPr="0053423A">
              <w:rPr>
                <w:rFonts w:cs="Sylfaen"/>
                <w:b/>
                <w:color w:val="000000"/>
              </w:rPr>
              <w:t>իրականացումից</w:t>
            </w:r>
            <w:r w:rsidRPr="0053423A">
              <w:rPr>
                <w:rFonts w:cs="Arial Armenian"/>
                <w:b/>
                <w:color w:val="000000"/>
              </w:rPr>
              <w:t xml:space="preserve"> </w:t>
            </w:r>
            <w:r w:rsidRPr="0053423A">
              <w:rPr>
                <w:rFonts w:cs="Sylfaen"/>
                <w:b/>
                <w:color w:val="000000"/>
              </w:rPr>
              <w:t>ակնկալվող</w:t>
            </w:r>
            <w:r w:rsidRPr="0053423A">
              <w:rPr>
                <w:rFonts w:cs="Arial Armenian"/>
                <w:b/>
                <w:color w:val="000000"/>
              </w:rPr>
              <w:t xml:space="preserve"> </w:t>
            </w:r>
            <w:r w:rsidRPr="0053423A">
              <w:rPr>
                <w:rFonts w:cs="Sylfaen"/>
                <w:b/>
                <w:color w:val="000000"/>
              </w:rPr>
              <w:t>արդյունքը</w:t>
            </w:r>
          </w:p>
          <w:p w:rsidR="006B0618" w:rsidRPr="0053423A" w:rsidRDefault="006B0618" w:rsidP="00A67858">
            <w:pPr>
              <w:spacing w:line="276" w:lineRule="auto"/>
              <w:ind w:right="256"/>
              <w:rPr>
                <w:b/>
                <w:i/>
              </w:rPr>
            </w:pPr>
            <w:r w:rsidRPr="0053423A">
              <w:rPr>
                <w:rFonts w:cs="Arial Armenian"/>
                <w:color w:val="000000"/>
              </w:rPr>
              <w:t xml:space="preserve"> </w:t>
            </w:r>
            <w:r w:rsidRPr="0053423A">
              <w:rPr>
                <w:rFonts w:cs="Sylfaen"/>
                <w:color w:val="000000"/>
              </w:rPr>
              <w:t>Խնդրի</w:t>
            </w:r>
            <w:r w:rsidRPr="0053423A">
              <w:rPr>
                <w:rFonts w:cs="Arial Armenian"/>
                <w:color w:val="000000"/>
              </w:rPr>
              <w:t xml:space="preserve"> </w:t>
            </w:r>
            <w:r w:rsidRPr="0053423A">
              <w:rPr>
                <w:rFonts w:cs="Sylfaen"/>
                <w:color w:val="000000"/>
              </w:rPr>
              <w:t>իրականացումը</w:t>
            </w:r>
            <w:r w:rsidRPr="0053423A">
              <w:rPr>
                <w:rFonts w:cs="Arial Armenian"/>
                <w:color w:val="000000"/>
              </w:rPr>
              <w:t xml:space="preserve"> </w:t>
            </w:r>
            <w:r w:rsidRPr="0053423A">
              <w:rPr>
                <w:rFonts w:cs="Sylfaen"/>
                <w:color w:val="000000"/>
              </w:rPr>
              <w:t>զգալիորեն</w:t>
            </w:r>
            <w:r w:rsidRPr="0053423A">
              <w:rPr>
                <w:rFonts w:cs="Arial Armenian"/>
                <w:color w:val="000000"/>
              </w:rPr>
              <w:t xml:space="preserve"> </w:t>
            </w:r>
            <w:r w:rsidRPr="0053423A">
              <w:rPr>
                <w:rFonts w:cs="Sylfaen"/>
                <w:color w:val="000000"/>
              </w:rPr>
              <w:t>կբարձրացնի</w:t>
            </w:r>
            <w:r w:rsidRPr="0053423A">
              <w:rPr>
                <w:rFonts w:cs="Arial Armenian"/>
                <w:color w:val="000000"/>
              </w:rPr>
              <w:t xml:space="preserve"> </w:t>
            </w:r>
            <w:r w:rsidRPr="0053423A">
              <w:rPr>
                <w:rFonts w:cs="Sylfaen"/>
                <w:color w:val="000000"/>
              </w:rPr>
              <w:t>սեյսմիկ</w:t>
            </w:r>
            <w:r w:rsidRPr="0053423A">
              <w:rPr>
                <w:rFonts w:cs="Arial Armenian"/>
                <w:color w:val="000000"/>
              </w:rPr>
              <w:t xml:space="preserve"> </w:t>
            </w:r>
            <w:r w:rsidRPr="0053423A">
              <w:rPr>
                <w:rFonts w:cs="Sylfaen"/>
                <w:color w:val="000000"/>
              </w:rPr>
              <w:t>վտանգի</w:t>
            </w:r>
            <w:r w:rsidRPr="0053423A">
              <w:rPr>
                <w:rFonts w:cs="Arial Armenian"/>
                <w:color w:val="000000"/>
              </w:rPr>
              <w:t xml:space="preserve"> </w:t>
            </w:r>
            <w:r w:rsidRPr="0053423A">
              <w:rPr>
                <w:rFonts w:cs="Sylfaen"/>
                <w:color w:val="000000"/>
              </w:rPr>
              <w:t>մոնիթորինգի</w:t>
            </w:r>
            <w:r w:rsidRPr="0053423A">
              <w:rPr>
                <w:rFonts w:cs="Arial Armenian"/>
                <w:color w:val="000000"/>
              </w:rPr>
              <w:t xml:space="preserve"> </w:t>
            </w:r>
            <w:r w:rsidRPr="0053423A">
              <w:rPr>
                <w:rFonts w:cs="Sylfaen"/>
                <w:color w:val="000000"/>
              </w:rPr>
              <w:t>մակարդակը</w:t>
            </w:r>
            <w:r w:rsidRPr="0053423A">
              <w:rPr>
                <w:rFonts w:cs="Arial Armenian"/>
                <w:color w:val="000000"/>
              </w:rPr>
              <w:t xml:space="preserve"> </w:t>
            </w:r>
            <w:r w:rsidRPr="0053423A">
              <w:rPr>
                <w:rFonts w:cs="Sylfaen"/>
                <w:color w:val="000000"/>
              </w:rPr>
              <w:t>Հայաստանում</w:t>
            </w:r>
            <w:r w:rsidRPr="0053423A">
              <w:rPr>
                <w:rFonts w:cs="Arial Armenian"/>
                <w:color w:val="000000"/>
              </w:rPr>
              <w:t xml:space="preserve"> </w:t>
            </w:r>
            <w:r w:rsidRPr="0053423A">
              <w:rPr>
                <w:rFonts w:cs="Sylfaen"/>
                <w:color w:val="000000"/>
              </w:rPr>
              <w:t>և</w:t>
            </w:r>
            <w:r w:rsidRPr="0053423A">
              <w:rPr>
                <w:rFonts w:cs="Arial Armenian"/>
                <w:color w:val="000000"/>
              </w:rPr>
              <w:t xml:space="preserve"> </w:t>
            </w:r>
            <w:r w:rsidRPr="0053423A">
              <w:rPr>
                <w:rFonts w:cs="Sylfaen"/>
                <w:color w:val="000000"/>
              </w:rPr>
              <w:t>կնպաստի</w:t>
            </w:r>
            <w:r w:rsidRPr="0053423A">
              <w:rPr>
                <w:rFonts w:cs="Arial Armenian"/>
                <w:color w:val="000000"/>
              </w:rPr>
              <w:t xml:space="preserve"> </w:t>
            </w:r>
            <w:r w:rsidRPr="0053423A">
              <w:rPr>
                <w:rFonts w:cs="Sylfaen"/>
                <w:color w:val="000000"/>
              </w:rPr>
              <w:t>սեյսմիկ</w:t>
            </w:r>
            <w:r w:rsidRPr="0053423A">
              <w:rPr>
                <w:rFonts w:cs="Arial Armenian"/>
                <w:color w:val="000000"/>
              </w:rPr>
              <w:t xml:space="preserve"> </w:t>
            </w:r>
            <w:r w:rsidRPr="0053423A">
              <w:rPr>
                <w:rFonts w:cs="Sylfaen"/>
                <w:color w:val="000000"/>
              </w:rPr>
              <w:t>վտանգի</w:t>
            </w:r>
            <w:r w:rsidRPr="0053423A">
              <w:rPr>
                <w:rFonts w:cs="Arial Armenian"/>
                <w:color w:val="000000"/>
              </w:rPr>
              <w:t xml:space="preserve"> </w:t>
            </w:r>
            <w:r w:rsidRPr="0053423A">
              <w:rPr>
                <w:rFonts w:cs="Sylfaen"/>
                <w:color w:val="000000"/>
              </w:rPr>
              <w:t>գնահատման</w:t>
            </w:r>
            <w:r w:rsidRPr="0053423A">
              <w:rPr>
                <w:rFonts w:cs="Arial Armenian"/>
                <w:color w:val="000000"/>
              </w:rPr>
              <w:t xml:space="preserve"> </w:t>
            </w:r>
            <w:r w:rsidRPr="0053423A">
              <w:rPr>
                <w:rFonts w:cs="Sylfaen"/>
                <w:color w:val="000000"/>
              </w:rPr>
              <w:t>հուսալիության</w:t>
            </w:r>
            <w:r w:rsidRPr="0053423A">
              <w:rPr>
                <w:rFonts w:cs="Arial Armenian"/>
                <w:color w:val="000000"/>
              </w:rPr>
              <w:t xml:space="preserve"> </w:t>
            </w:r>
            <w:r w:rsidRPr="0053423A">
              <w:rPr>
                <w:rFonts w:cs="Sylfaen"/>
                <w:color w:val="000000"/>
              </w:rPr>
              <w:t>բարձրացմանը</w:t>
            </w:r>
            <w:r w:rsidRPr="0053423A">
              <w:rPr>
                <w:color w:val="000000"/>
              </w:rPr>
              <w:t>:</w:t>
            </w:r>
          </w:p>
        </w:tc>
      </w:tr>
      <w:tr w:rsidR="006B0618" w:rsidRPr="00DE2EFA" w:rsidTr="001F6D5D">
        <w:tc>
          <w:tcPr>
            <w:tcW w:w="691" w:type="dxa"/>
          </w:tcPr>
          <w:p w:rsidR="006B0618" w:rsidRPr="0053423A" w:rsidRDefault="001F6D5D" w:rsidP="00A67858">
            <w:pPr>
              <w:spacing w:line="276" w:lineRule="auto"/>
              <w:rPr>
                <w:lang w:val="hy-AM"/>
              </w:rPr>
            </w:pPr>
            <w:r>
              <w:rPr>
                <w:lang w:val="hy-AM"/>
              </w:rPr>
              <w:t>76</w:t>
            </w:r>
          </w:p>
        </w:tc>
        <w:tc>
          <w:tcPr>
            <w:tcW w:w="10649" w:type="dxa"/>
          </w:tcPr>
          <w:p w:rsidR="006B0618" w:rsidRPr="0053423A" w:rsidRDefault="00615BBB" w:rsidP="00A67858">
            <w:pPr>
              <w:spacing w:line="276" w:lineRule="auto"/>
              <w:ind w:right="256"/>
              <w:jc w:val="center"/>
              <w:rPr>
                <w:rFonts w:cs="Arial Armenian"/>
                <w:b/>
                <w:i/>
                <w:color w:val="000000"/>
                <w:lang w:val="hy-AM"/>
              </w:rPr>
            </w:pPr>
            <w:r>
              <w:rPr>
                <w:rFonts w:cs="Sylfaen"/>
                <w:lang w:val="hy-AM"/>
              </w:rPr>
              <w:t>76</w:t>
            </w:r>
            <w:r w:rsidRPr="00FC1685">
              <w:rPr>
                <w:rFonts w:cs="Sylfaen"/>
                <w:lang w:val="hy-AM"/>
              </w:rPr>
              <w:t xml:space="preserve">.1 </w:t>
            </w:r>
            <w:r w:rsidR="006B0618" w:rsidRPr="0053423A">
              <w:rPr>
                <w:rFonts w:cs="Sylfaen"/>
                <w:b/>
                <w:i/>
                <w:color w:val="000000"/>
                <w:lang w:val="hy-AM"/>
              </w:rPr>
              <w:t>Հայաստանի</w:t>
            </w:r>
            <w:r w:rsidR="006B0618" w:rsidRPr="0053423A">
              <w:rPr>
                <w:rFonts w:cs="Arial Armenian"/>
                <w:b/>
                <w:i/>
                <w:color w:val="000000"/>
                <w:lang w:val="hy-AM"/>
              </w:rPr>
              <w:t xml:space="preserve"> </w:t>
            </w:r>
            <w:r w:rsidR="006B0618" w:rsidRPr="0053423A">
              <w:rPr>
                <w:rFonts w:cs="Sylfaen"/>
                <w:b/>
                <w:i/>
                <w:color w:val="000000"/>
                <w:lang w:val="hy-AM"/>
              </w:rPr>
              <w:t>Հանրապետության</w:t>
            </w:r>
            <w:r w:rsidR="006B0618" w:rsidRPr="0053423A">
              <w:rPr>
                <w:rFonts w:cs="Arial Armenian"/>
                <w:b/>
                <w:i/>
                <w:color w:val="000000"/>
                <w:lang w:val="hy-AM"/>
              </w:rPr>
              <w:t xml:space="preserve"> </w:t>
            </w:r>
            <w:r w:rsidR="006B0618" w:rsidRPr="0053423A">
              <w:rPr>
                <w:rFonts w:cs="Sylfaen"/>
                <w:b/>
                <w:i/>
                <w:color w:val="000000"/>
                <w:lang w:val="hy-AM"/>
              </w:rPr>
              <w:t>պետական</w:t>
            </w:r>
            <w:r w:rsidR="006B0618" w:rsidRPr="0053423A">
              <w:rPr>
                <w:rFonts w:cs="Arial Armenian"/>
                <w:b/>
                <w:i/>
                <w:color w:val="000000"/>
                <w:lang w:val="hy-AM"/>
              </w:rPr>
              <w:t xml:space="preserve"> </w:t>
            </w:r>
            <w:r w:rsidR="006B0618" w:rsidRPr="0053423A">
              <w:rPr>
                <w:rFonts w:cs="Sylfaen"/>
                <w:b/>
                <w:i/>
                <w:color w:val="000000"/>
                <w:lang w:val="hy-AM"/>
              </w:rPr>
              <w:t>հատուկ</w:t>
            </w:r>
            <w:r w:rsidR="006B0618" w:rsidRPr="0053423A">
              <w:rPr>
                <w:rFonts w:cs="Arial Armenian"/>
                <w:b/>
                <w:i/>
                <w:color w:val="000000"/>
                <w:lang w:val="hy-AM"/>
              </w:rPr>
              <w:t xml:space="preserve"> </w:t>
            </w:r>
            <w:r w:rsidR="006B0618" w:rsidRPr="0053423A">
              <w:rPr>
                <w:rFonts w:cs="Sylfaen"/>
                <w:b/>
                <w:i/>
                <w:color w:val="000000"/>
                <w:lang w:val="hy-AM"/>
              </w:rPr>
              <w:t>նշանակության</w:t>
            </w:r>
            <w:r w:rsidR="006B0618" w:rsidRPr="0053423A">
              <w:rPr>
                <w:rFonts w:cs="Arial Armenian"/>
                <w:b/>
                <w:i/>
                <w:color w:val="000000"/>
                <w:lang w:val="hy-AM"/>
              </w:rPr>
              <w:t xml:space="preserve"> </w:t>
            </w:r>
            <w:r w:rsidR="006B0618" w:rsidRPr="0053423A">
              <w:rPr>
                <w:rFonts w:cs="Sylfaen"/>
                <w:b/>
                <w:i/>
                <w:color w:val="000000"/>
                <w:lang w:val="hy-AM"/>
              </w:rPr>
              <w:t>ջրամբարների</w:t>
            </w:r>
            <w:r w:rsidR="006B0618" w:rsidRPr="0053423A">
              <w:rPr>
                <w:rFonts w:cs="Arial Armenian"/>
                <w:b/>
                <w:i/>
                <w:color w:val="000000"/>
                <w:lang w:val="hy-AM"/>
              </w:rPr>
              <w:t xml:space="preserve"> </w:t>
            </w:r>
            <w:r w:rsidR="006B0618" w:rsidRPr="0053423A">
              <w:rPr>
                <w:rFonts w:cs="Sylfaen"/>
                <w:b/>
                <w:i/>
                <w:color w:val="000000"/>
                <w:lang w:val="hy-AM"/>
              </w:rPr>
              <w:t>պատվարների</w:t>
            </w:r>
            <w:r w:rsidR="006B0618" w:rsidRPr="0053423A">
              <w:rPr>
                <w:rFonts w:cs="Arial Armenian"/>
                <w:b/>
                <w:i/>
                <w:color w:val="000000"/>
                <w:lang w:val="hy-AM"/>
              </w:rPr>
              <w:t xml:space="preserve"> </w:t>
            </w:r>
            <w:r w:rsidR="006B0618" w:rsidRPr="0053423A">
              <w:rPr>
                <w:rFonts w:cs="Sylfaen"/>
                <w:b/>
                <w:i/>
                <w:color w:val="000000"/>
                <w:lang w:val="hy-AM"/>
              </w:rPr>
              <w:t>սեյսմիկ</w:t>
            </w:r>
            <w:r w:rsidR="006B0618" w:rsidRPr="0053423A">
              <w:rPr>
                <w:rFonts w:cs="Arial Armenian"/>
                <w:b/>
                <w:i/>
                <w:color w:val="000000"/>
                <w:lang w:val="hy-AM"/>
              </w:rPr>
              <w:t xml:space="preserve"> </w:t>
            </w:r>
            <w:r w:rsidR="006B0618" w:rsidRPr="0053423A">
              <w:rPr>
                <w:rFonts w:cs="Sylfaen"/>
                <w:b/>
                <w:i/>
                <w:color w:val="000000"/>
                <w:lang w:val="hy-AM"/>
              </w:rPr>
              <w:t>խոցելիության</w:t>
            </w:r>
            <w:r w:rsidR="006B0618" w:rsidRPr="0053423A">
              <w:rPr>
                <w:rFonts w:cs="Arial Armenian"/>
                <w:b/>
                <w:i/>
                <w:color w:val="000000"/>
                <w:lang w:val="hy-AM"/>
              </w:rPr>
              <w:t xml:space="preserve"> </w:t>
            </w:r>
            <w:r w:rsidR="006B0618" w:rsidRPr="0053423A">
              <w:rPr>
                <w:rFonts w:cs="Sylfaen"/>
                <w:b/>
                <w:i/>
                <w:color w:val="000000"/>
                <w:lang w:val="hy-AM"/>
              </w:rPr>
              <w:t>գնահատման</w:t>
            </w:r>
            <w:r w:rsidR="006B0618" w:rsidRPr="0053423A">
              <w:rPr>
                <w:rFonts w:cs="Arial Armenian"/>
                <w:b/>
                <w:i/>
                <w:color w:val="000000"/>
                <w:lang w:val="hy-AM"/>
              </w:rPr>
              <w:t xml:space="preserve"> </w:t>
            </w:r>
            <w:r w:rsidR="006B0618" w:rsidRPr="0053423A">
              <w:rPr>
                <w:rFonts w:cs="Sylfaen"/>
                <w:b/>
                <w:i/>
                <w:color w:val="000000"/>
                <w:lang w:val="hy-AM"/>
              </w:rPr>
              <w:t>ծրագիրը</w:t>
            </w:r>
            <w:r w:rsidR="006B0618" w:rsidRPr="0053423A">
              <w:rPr>
                <w:rFonts w:cs="Arial Armenian"/>
                <w:b/>
                <w:i/>
                <w:color w:val="000000"/>
                <w:lang w:val="hy-AM"/>
              </w:rPr>
              <w:t xml:space="preserve"> </w:t>
            </w:r>
            <w:r w:rsidR="006B0618" w:rsidRPr="0053423A">
              <w:rPr>
                <w:rFonts w:cs="Sylfaen"/>
                <w:b/>
                <w:i/>
                <w:color w:val="000000"/>
                <w:lang w:val="hy-AM"/>
              </w:rPr>
              <w:t>հաստատելու</w:t>
            </w:r>
            <w:r w:rsidR="006B0618" w:rsidRPr="0053423A">
              <w:rPr>
                <w:rFonts w:cs="Arial Armenian"/>
                <w:b/>
                <w:i/>
                <w:color w:val="000000"/>
                <w:lang w:val="hy-AM"/>
              </w:rPr>
              <w:t xml:space="preserve"> </w:t>
            </w:r>
            <w:r w:rsidR="006B0618" w:rsidRPr="0053423A">
              <w:rPr>
                <w:rFonts w:cs="Sylfaen"/>
                <w:b/>
                <w:i/>
                <w:color w:val="000000"/>
                <w:lang w:val="hy-AM"/>
              </w:rPr>
              <w:t>մասին</w:t>
            </w:r>
            <w:r w:rsidR="006B0618" w:rsidRPr="0053423A">
              <w:rPr>
                <w:rFonts w:cs="Arial Armenian"/>
                <w:b/>
                <w:i/>
                <w:color w:val="000000"/>
                <w:lang w:val="hy-AM"/>
              </w:rPr>
              <w:t xml:space="preserve">» </w:t>
            </w:r>
            <w:r w:rsidR="006B0618" w:rsidRPr="0053423A">
              <w:rPr>
                <w:rFonts w:cs="Sylfaen"/>
                <w:b/>
                <w:i/>
                <w:color w:val="000000"/>
                <w:lang w:val="hy-AM"/>
              </w:rPr>
              <w:t>ՀՀ</w:t>
            </w:r>
            <w:r w:rsidR="006B0618" w:rsidRPr="0053423A">
              <w:rPr>
                <w:rFonts w:cs="Arial Armenian"/>
                <w:b/>
                <w:i/>
                <w:color w:val="000000"/>
                <w:lang w:val="hy-AM"/>
              </w:rPr>
              <w:t xml:space="preserve"> </w:t>
            </w:r>
            <w:r w:rsidR="006B0618" w:rsidRPr="0053423A">
              <w:rPr>
                <w:rFonts w:cs="Sylfaen"/>
                <w:b/>
                <w:i/>
                <w:color w:val="000000"/>
                <w:lang w:val="hy-AM"/>
              </w:rPr>
              <w:t>կառավարության</w:t>
            </w:r>
            <w:r w:rsidR="006B0618" w:rsidRPr="0053423A">
              <w:rPr>
                <w:rFonts w:cs="Arial Armenian"/>
                <w:b/>
                <w:i/>
                <w:color w:val="000000"/>
                <w:lang w:val="hy-AM"/>
              </w:rPr>
              <w:t xml:space="preserve"> </w:t>
            </w:r>
            <w:r w:rsidR="006B0618" w:rsidRPr="0053423A">
              <w:rPr>
                <w:rFonts w:cs="Sylfaen"/>
                <w:b/>
                <w:i/>
                <w:color w:val="000000"/>
                <w:lang w:val="hy-AM"/>
              </w:rPr>
              <w:t>որոշման</w:t>
            </w:r>
            <w:r w:rsidR="006B0618" w:rsidRPr="0053423A">
              <w:rPr>
                <w:rFonts w:cs="Arial Armenian"/>
                <w:b/>
                <w:i/>
                <w:color w:val="000000"/>
                <w:lang w:val="hy-AM"/>
              </w:rPr>
              <w:t xml:space="preserve"> </w:t>
            </w:r>
            <w:r w:rsidR="006B0618" w:rsidRPr="0053423A">
              <w:rPr>
                <w:rFonts w:cs="Sylfaen"/>
                <w:b/>
                <w:i/>
                <w:color w:val="000000"/>
                <w:lang w:val="hy-AM"/>
              </w:rPr>
              <w:t>նախագիծը</w:t>
            </w:r>
            <w:r w:rsidR="006B0618" w:rsidRPr="0053423A">
              <w:rPr>
                <w:rFonts w:cs="Arial Armenian"/>
                <w:b/>
                <w:i/>
                <w:color w:val="000000"/>
                <w:lang w:val="hy-AM"/>
              </w:rPr>
              <w:t xml:space="preserve"> </w:t>
            </w:r>
            <w:r w:rsidR="006B0618" w:rsidRPr="0053423A">
              <w:rPr>
                <w:b/>
                <w:i/>
                <w:lang w:val="hy-AM"/>
              </w:rPr>
              <w:t>ՀՀ վարչապետի աշխատակազմ ներկայացնելը</w:t>
            </w:r>
          </w:p>
          <w:p w:rsidR="006B0618" w:rsidRPr="0053423A" w:rsidRDefault="006B0618" w:rsidP="00A67858">
            <w:pPr>
              <w:spacing w:line="276" w:lineRule="auto"/>
              <w:ind w:right="256"/>
              <w:rPr>
                <w:b/>
                <w:lang w:val="hy-AM"/>
              </w:rPr>
            </w:pPr>
            <w:r w:rsidRPr="0053423A">
              <w:rPr>
                <w:rFonts w:cs="Arial Armenian"/>
                <w:b/>
                <w:color w:val="000000"/>
                <w:lang w:val="hy-AM"/>
              </w:rPr>
              <w:t xml:space="preserve"> 1. </w:t>
            </w:r>
            <w:r w:rsidRPr="0053423A">
              <w:rPr>
                <w:rFonts w:cs="Sylfaen"/>
                <w:b/>
                <w:color w:val="000000"/>
                <w:lang w:val="hy-AM"/>
              </w:rPr>
              <w:t>Միջոցառման</w:t>
            </w:r>
            <w:r w:rsidRPr="0053423A">
              <w:rPr>
                <w:rFonts w:cs="Arial Armenian"/>
                <w:b/>
                <w:color w:val="000000"/>
                <w:lang w:val="hy-AM"/>
              </w:rPr>
              <w:t xml:space="preserve"> </w:t>
            </w:r>
            <w:r w:rsidRPr="0053423A">
              <w:rPr>
                <w:rFonts w:cs="Sylfaen"/>
                <w:b/>
                <w:color w:val="000000"/>
                <w:lang w:val="hy-AM"/>
              </w:rPr>
              <w:t>իրակացման</w:t>
            </w:r>
            <w:r w:rsidRPr="0053423A">
              <w:rPr>
                <w:rFonts w:cs="Arial Armenian"/>
                <w:b/>
                <w:color w:val="000000"/>
                <w:lang w:val="hy-AM"/>
              </w:rPr>
              <w:t xml:space="preserve"> </w:t>
            </w:r>
            <w:r w:rsidRPr="0053423A">
              <w:rPr>
                <w:rFonts w:cs="Sylfaen"/>
                <w:b/>
                <w:color w:val="000000"/>
                <w:lang w:val="hy-AM"/>
              </w:rPr>
              <w:t>անհրաժեշտությունը</w:t>
            </w:r>
            <w:r w:rsidRPr="0053423A">
              <w:rPr>
                <w:rFonts w:cs="Arial Armenian"/>
                <w:b/>
                <w:color w:val="000000"/>
                <w:lang w:val="hy-AM"/>
              </w:rPr>
              <w:t xml:space="preserve"> </w:t>
            </w:r>
            <w:r w:rsidRPr="0053423A">
              <w:rPr>
                <w:rFonts w:cs="Sylfaen"/>
                <w:b/>
                <w:color w:val="000000"/>
                <w:lang w:val="hy-AM"/>
              </w:rPr>
              <w:t>և</w:t>
            </w:r>
            <w:r w:rsidRPr="0053423A">
              <w:rPr>
                <w:rFonts w:cs="Arial Armenian"/>
                <w:b/>
                <w:color w:val="000000"/>
                <w:lang w:val="hy-AM"/>
              </w:rPr>
              <w:t xml:space="preserve"> </w:t>
            </w:r>
            <w:r w:rsidRPr="0053423A">
              <w:rPr>
                <w:rFonts w:cs="Sylfaen"/>
                <w:b/>
                <w:color w:val="000000"/>
                <w:lang w:val="hy-AM"/>
              </w:rPr>
              <w:t>նպատակը</w:t>
            </w:r>
          </w:p>
          <w:p w:rsidR="006B0618" w:rsidRPr="0053423A" w:rsidRDefault="006B0618" w:rsidP="00A67858">
            <w:pPr>
              <w:spacing w:line="276" w:lineRule="auto"/>
              <w:ind w:right="256"/>
              <w:rPr>
                <w:rFonts w:cs="Arial Armenian"/>
                <w:color w:val="000000"/>
                <w:lang w:val="hy-AM"/>
              </w:rPr>
            </w:pPr>
            <w:r w:rsidRPr="0053423A">
              <w:rPr>
                <w:rFonts w:cs="Sylfaen"/>
                <w:color w:val="000000"/>
                <w:lang w:val="hy-AM"/>
              </w:rPr>
              <w:t xml:space="preserve">      Ծրագրի</w:t>
            </w:r>
            <w:r w:rsidRPr="0053423A">
              <w:rPr>
                <w:rFonts w:cs="Arial Armenian"/>
                <w:color w:val="000000"/>
                <w:lang w:val="hy-AM"/>
              </w:rPr>
              <w:t xml:space="preserve"> </w:t>
            </w:r>
            <w:r w:rsidRPr="0053423A">
              <w:rPr>
                <w:rFonts w:cs="Sylfaen"/>
                <w:color w:val="000000"/>
                <w:lang w:val="hy-AM"/>
              </w:rPr>
              <w:t>ընդունմամբ</w:t>
            </w:r>
            <w:r w:rsidRPr="0053423A">
              <w:rPr>
                <w:rFonts w:cs="Arial Armenian"/>
                <w:color w:val="000000"/>
                <w:lang w:val="hy-AM"/>
              </w:rPr>
              <w:t xml:space="preserve"> </w:t>
            </w:r>
            <w:r w:rsidRPr="0053423A">
              <w:rPr>
                <w:rFonts w:cs="Sylfaen"/>
                <w:color w:val="000000"/>
                <w:lang w:val="hy-AM"/>
              </w:rPr>
              <w:t>կսահմանվի</w:t>
            </w:r>
            <w:r w:rsidRPr="0053423A">
              <w:rPr>
                <w:rFonts w:cs="Arial Armenian"/>
                <w:color w:val="000000"/>
                <w:lang w:val="hy-AM"/>
              </w:rPr>
              <w:t xml:space="preserve"> </w:t>
            </w:r>
            <w:r w:rsidRPr="0053423A">
              <w:rPr>
                <w:rFonts w:cs="Sylfaen"/>
                <w:color w:val="000000"/>
                <w:lang w:val="hy-AM"/>
              </w:rPr>
              <w:t>սեյսմիկ պաշտպանության հատուկ</w:t>
            </w:r>
            <w:r w:rsidRPr="0053423A">
              <w:rPr>
                <w:rFonts w:cs="Arial Armenian"/>
                <w:color w:val="000000"/>
                <w:lang w:val="hy-AM"/>
              </w:rPr>
              <w:t xml:space="preserve"> </w:t>
            </w:r>
            <w:r w:rsidRPr="0053423A">
              <w:rPr>
                <w:rFonts w:cs="Sylfaen"/>
                <w:color w:val="000000"/>
                <w:lang w:val="hy-AM"/>
              </w:rPr>
              <w:t>նշանակության</w:t>
            </w:r>
            <w:r w:rsidRPr="0053423A">
              <w:rPr>
                <w:rFonts w:cs="Arial Armenian"/>
                <w:color w:val="000000"/>
                <w:lang w:val="hy-AM"/>
              </w:rPr>
              <w:t xml:space="preserve"> </w:t>
            </w:r>
            <w:r w:rsidRPr="0053423A">
              <w:rPr>
                <w:rFonts w:cs="Sylfaen"/>
                <w:color w:val="000000"/>
                <w:lang w:val="hy-AM"/>
              </w:rPr>
              <w:t>օբյեկտի՝ջրամբարների</w:t>
            </w:r>
            <w:r w:rsidRPr="0053423A">
              <w:rPr>
                <w:rFonts w:cs="Arial Armenian"/>
                <w:color w:val="000000"/>
                <w:lang w:val="hy-AM"/>
              </w:rPr>
              <w:t xml:space="preserve"> </w:t>
            </w:r>
            <w:r w:rsidRPr="0053423A">
              <w:rPr>
                <w:rFonts w:cs="Sylfaen"/>
                <w:color w:val="000000"/>
                <w:lang w:val="hy-AM"/>
              </w:rPr>
              <w:t>պատվարների</w:t>
            </w:r>
            <w:r w:rsidRPr="0053423A">
              <w:rPr>
                <w:rFonts w:cs="Arial Armenian"/>
                <w:color w:val="000000"/>
                <w:lang w:val="hy-AM"/>
              </w:rPr>
              <w:t xml:space="preserve"> </w:t>
            </w:r>
            <w:r w:rsidRPr="0053423A">
              <w:rPr>
                <w:rFonts w:cs="Sylfaen"/>
                <w:color w:val="000000"/>
                <w:lang w:val="hy-AM"/>
              </w:rPr>
              <w:t>սեյսմիկ</w:t>
            </w:r>
            <w:r w:rsidRPr="0053423A">
              <w:rPr>
                <w:rFonts w:cs="Arial Armenian"/>
                <w:color w:val="000000"/>
                <w:lang w:val="hy-AM"/>
              </w:rPr>
              <w:t xml:space="preserve"> </w:t>
            </w:r>
            <w:r w:rsidRPr="0053423A">
              <w:rPr>
                <w:rFonts w:cs="Sylfaen"/>
                <w:color w:val="000000"/>
                <w:lang w:val="hy-AM"/>
              </w:rPr>
              <w:t>խոցելիության</w:t>
            </w:r>
            <w:r w:rsidRPr="0053423A">
              <w:rPr>
                <w:rFonts w:cs="Arial Armenian"/>
                <w:color w:val="000000"/>
                <w:lang w:val="hy-AM"/>
              </w:rPr>
              <w:t xml:space="preserve"> </w:t>
            </w:r>
            <w:r w:rsidRPr="0053423A">
              <w:rPr>
                <w:rFonts w:cs="Sylfaen"/>
                <w:color w:val="000000"/>
                <w:lang w:val="hy-AM"/>
              </w:rPr>
              <w:t>գնահատման</w:t>
            </w:r>
            <w:r w:rsidRPr="0053423A">
              <w:rPr>
                <w:rFonts w:cs="Arial Armenian"/>
                <w:color w:val="000000"/>
                <w:lang w:val="hy-AM"/>
              </w:rPr>
              <w:t xml:space="preserve"> </w:t>
            </w:r>
            <w:r w:rsidRPr="0053423A">
              <w:rPr>
                <w:rFonts w:cs="Sylfaen"/>
                <w:color w:val="000000"/>
                <w:lang w:val="hy-AM"/>
              </w:rPr>
              <w:t>մոտեցումները</w:t>
            </w:r>
            <w:r w:rsidRPr="0053423A">
              <w:rPr>
                <w:rFonts w:cs="Arial Armenian"/>
                <w:color w:val="000000"/>
                <w:lang w:val="hy-AM"/>
              </w:rPr>
              <w:t xml:space="preserve"> </w:t>
            </w:r>
            <w:r w:rsidRPr="0053423A">
              <w:rPr>
                <w:rFonts w:cs="Sylfaen"/>
                <w:color w:val="000000"/>
                <w:lang w:val="hy-AM"/>
              </w:rPr>
              <w:t>և</w:t>
            </w:r>
            <w:r w:rsidRPr="0053423A">
              <w:rPr>
                <w:rFonts w:cs="Arial Armenian"/>
                <w:color w:val="000000"/>
                <w:lang w:val="hy-AM"/>
              </w:rPr>
              <w:t xml:space="preserve"> </w:t>
            </w:r>
            <w:r w:rsidRPr="0053423A">
              <w:rPr>
                <w:rFonts w:cs="Sylfaen"/>
                <w:color w:val="000000"/>
                <w:lang w:val="hy-AM"/>
              </w:rPr>
              <w:t>առաջնահերթությունները</w:t>
            </w:r>
            <w:r w:rsidRPr="0053423A">
              <w:rPr>
                <w:rFonts w:cs="Arial Armenian"/>
                <w:color w:val="000000"/>
                <w:lang w:val="hy-AM"/>
              </w:rPr>
              <w:t xml:space="preserve">: (2002 </w:t>
            </w:r>
            <w:r w:rsidRPr="0053423A">
              <w:rPr>
                <w:rFonts w:cs="Sylfaen"/>
                <w:color w:val="000000"/>
                <w:lang w:val="hy-AM"/>
              </w:rPr>
              <w:t>թ</w:t>
            </w:r>
            <w:r w:rsidRPr="0053423A">
              <w:rPr>
                <w:rFonts w:cs="Arial Armenian"/>
                <w:color w:val="000000"/>
                <w:lang w:val="hy-AM"/>
              </w:rPr>
              <w:t xml:space="preserve">. </w:t>
            </w:r>
            <w:r w:rsidRPr="0053423A">
              <w:rPr>
                <w:rFonts w:cs="Sylfaen"/>
                <w:color w:val="000000"/>
                <w:lang w:val="hy-AM"/>
              </w:rPr>
              <w:t>հուլիսի</w:t>
            </w:r>
            <w:r w:rsidRPr="0053423A">
              <w:rPr>
                <w:rFonts w:cs="Arial Armenian"/>
                <w:color w:val="000000"/>
                <w:lang w:val="hy-AM"/>
              </w:rPr>
              <w:t xml:space="preserve"> 6-</w:t>
            </w:r>
            <w:r w:rsidRPr="0053423A">
              <w:rPr>
                <w:rFonts w:cs="Sylfaen"/>
                <w:color w:val="000000"/>
                <w:lang w:val="hy-AM"/>
              </w:rPr>
              <w:t>ի</w:t>
            </w:r>
            <w:r w:rsidRPr="0053423A">
              <w:rPr>
                <w:rFonts w:cs="Arial Armenian"/>
                <w:color w:val="000000"/>
                <w:lang w:val="hy-AM"/>
              </w:rPr>
              <w:t xml:space="preserve"> «</w:t>
            </w:r>
            <w:r w:rsidRPr="0053423A">
              <w:rPr>
                <w:rFonts w:cs="Sylfaen"/>
                <w:color w:val="000000"/>
                <w:lang w:val="hy-AM"/>
              </w:rPr>
              <w:t>Սեյսմիկ</w:t>
            </w:r>
            <w:r w:rsidRPr="0053423A">
              <w:rPr>
                <w:rFonts w:cs="Arial Armenian"/>
                <w:color w:val="000000"/>
                <w:lang w:val="hy-AM"/>
              </w:rPr>
              <w:t xml:space="preserve"> </w:t>
            </w:r>
            <w:r w:rsidRPr="0053423A">
              <w:rPr>
                <w:rFonts w:cs="Sylfaen"/>
                <w:color w:val="000000"/>
                <w:lang w:val="hy-AM"/>
              </w:rPr>
              <w:t>պաշտպանության</w:t>
            </w:r>
            <w:r w:rsidRPr="0053423A">
              <w:rPr>
                <w:rFonts w:cs="Arial Armenian"/>
                <w:color w:val="000000"/>
                <w:lang w:val="hy-AM"/>
              </w:rPr>
              <w:t xml:space="preserve"> </w:t>
            </w:r>
            <w:r w:rsidRPr="0053423A">
              <w:rPr>
                <w:rFonts w:cs="Sylfaen"/>
                <w:color w:val="000000"/>
                <w:lang w:val="hy-AM"/>
              </w:rPr>
              <w:t>մասին</w:t>
            </w:r>
            <w:r w:rsidRPr="0053423A">
              <w:rPr>
                <w:rFonts w:cs="Arial Armenian"/>
                <w:color w:val="000000"/>
                <w:lang w:val="hy-AM"/>
              </w:rPr>
              <w:t xml:space="preserve">» </w:t>
            </w:r>
            <w:r w:rsidRPr="0053423A">
              <w:rPr>
                <w:rFonts w:cs="Sylfaen"/>
                <w:color w:val="000000"/>
                <w:lang w:val="hy-AM"/>
              </w:rPr>
              <w:t>ՀՕ</w:t>
            </w:r>
            <w:r w:rsidRPr="0053423A">
              <w:rPr>
                <w:rFonts w:cs="Arial Armenian"/>
                <w:color w:val="000000"/>
                <w:lang w:val="hy-AM"/>
              </w:rPr>
              <w:t>-376-</w:t>
            </w:r>
            <w:r w:rsidRPr="0053423A">
              <w:rPr>
                <w:rFonts w:cs="Sylfaen"/>
                <w:color w:val="000000"/>
                <w:lang w:val="hy-AM"/>
              </w:rPr>
              <w:t>Ն</w:t>
            </w:r>
            <w:r w:rsidRPr="0053423A">
              <w:rPr>
                <w:rFonts w:cs="Arial Armenian"/>
                <w:color w:val="000000"/>
                <w:lang w:val="hy-AM"/>
              </w:rPr>
              <w:t xml:space="preserve"> </w:t>
            </w:r>
            <w:r w:rsidRPr="0053423A">
              <w:rPr>
                <w:rFonts w:cs="Sylfaen"/>
                <w:color w:val="000000"/>
                <w:lang w:val="hy-AM"/>
              </w:rPr>
              <w:t>ՀՀ</w:t>
            </w:r>
            <w:r w:rsidRPr="0053423A">
              <w:rPr>
                <w:rFonts w:cs="Arial Armenian"/>
                <w:color w:val="000000"/>
                <w:lang w:val="hy-AM"/>
              </w:rPr>
              <w:t xml:space="preserve"> </w:t>
            </w:r>
            <w:r w:rsidRPr="0053423A">
              <w:rPr>
                <w:rFonts w:cs="Sylfaen"/>
                <w:color w:val="000000"/>
                <w:lang w:val="hy-AM"/>
              </w:rPr>
              <w:t>օրենք</w:t>
            </w:r>
            <w:r w:rsidRPr="0053423A">
              <w:rPr>
                <w:rFonts w:cs="Arial Armenian"/>
                <w:color w:val="000000"/>
                <w:lang w:val="hy-AM"/>
              </w:rPr>
              <w:t xml:space="preserve">, </w:t>
            </w:r>
            <w:r w:rsidRPr="0053423A">
              <w:rPr>
                <w:rFonts w:cs="Sylfaen"/>
                <w:color w:val="000000"/>
                <w:lang w:val="hy-AM"/>
              </w:rPr>
              <w:t>հոդվածներ՝</w:t>
            </w:r>
            <w:r w:rsidRPr="0053423A">
              <w:rPr>
                <w:rFonts w:cs="Arial Armenian"/>
                <w:color w:val="000000"/>
                <w:lang w:val="hy-AM"/>
              </w:rPr>
              <w:t xml:space="preserve"> 8, 9, 10):</w:t>
            </w:r>
          </w:p>
          <w:p w:rsidR="006B0618" w:rsidRPr="0053423A" w:rsidRDefault="006B0618" w:rsidP="00A67858">
            <w:pPr>
              <w:numPr>
                <w:ilvl w:val="1"/>
                <w:numId w:val="78"/>
              </w:numPr>
              <w:tabs>
                <w:tab w:val="left" w:pos="180"/>
              </w:tabs>
              <w:spacing w:line="276" w:lineRule="auto"/>
              <w:ind w:left="0" w:right="256" w:firstLine="0"/>
              <w:jc w:val="both"/>
              <w:rPr>
                <w:rFonts w:cs="Sylfaen"/>
                <w:b/>
                <w:color w:val="000000"/>
                <w:lang w:val="hy-AM"/>
              </w:rPr>
            </w:pPr>
            <w:r w:rsidRPr="0053423A">
              <w:rPr>
                <w:rFonts w:cs="Sylfaen"/>
                <w:b/>
                <w:color w:val="000000"/>
                <w:lang w:val="hy-AM"/>
              </w:rPr>
              <w:t>Կարգավորման</w:t>
            </w:r>
            <w:r w:rsidRPr="0053423A">
              <w:rPr>
                <w:rFonts w:cs="Arial Armenian"/>
                <w:b/>
                <w:color w:val="000000"/>
                <w:lang w:val="hy-AM"/>
              </w:rPr>
              <w:t xml:space="preserve"> </w:t>
            </w:r>
            <w:r w:rsidRPr="0053423A">
              <w:rPr>
                <w:rFonts w:cs="Sylfaen"/>
                <w:b/>
                <w:color w:val="000000"/>
                <w:lang w:val="hy-AM"/>
              </w:rPr>
              <w:t>հարաբերությունների</w:t>
            </w:r>
            <w:r w:rsidRPr="0053423A">
              <w:rPr>
                <w:rFonts w:cs="Arial Armenian"/>
                <w:b/>
                <w:color w:val="000000"/>
                <w:lang w:val="hy-AM"/>
              </w:rPr>
              <w:t xml:space="preserve"> </w:t>
            </w:r>
            <w:r w:rsidRPr="0053423A">
              <w:rPr>
                <w:rFonts w:cs="Sylfaen"/>
                <w:b/>
                <w:color w:val="000000"/>
                <w:lang w:val="hy-AM"/>
              </w:rPr>
              <w:t>ներկա</w:t>
            </w:r>
            <w:r w:rsidRPr="0053423A">
              <w:rPr>
                <w:rFonts w:cs="Arial Armenian"/>
                <w:b/>
                <w:color w:val="000000"/>
                <w:lang w:val="hy-AM"/>
              </w:rPr>
              <w:t xml:space="preserve"> </w:t>
            </w:r>
            <w:r w:rsidRPr="0053423A">
              <w:rPr>
                <w:rFonts w:cs="Sylfaen"/>
                <w:b/>
                <w:color w:val="000000"/>
                <w:lang w:val="hy-AM"/>
              </w:rPr>
              <w:t>վիճակը</w:t>
            </w:r>
            <w:r w:rsidRPr="0053423A">
              <w:rPr>
                <w:rFonts w:cs="Arial Armenian"/>
                <w:b/>
                <w:color w:val="000000"/>
                <w:lang w:val="hy-AM"/>
              </w:rPr>
              <w:t xml:space="preserve"> </w:t>
            </w:r>
            <w:r w:rsidRPr="0053423A">
              <w:rPr>
                <w:rFonts w:cs="Sylfaen"/>
                <w:b/>
                <w:color w:val="000000"/>
                <w:lang w:val="hy-AM"/>
              </w:rPr>
              <w:t>և</w:t>
            </w:r>
            <w:r w:rsidRPr="0053423A">
              <w:rPr>
                <w:rFonts w:cs="Arial Armenian"/>
                <w:b/>
                <w:color w:val="000000"/>
                <w:lang w:val="hy-AM"/>
              </w:rPr>
              <w:t xml:space="preserve"> </w:t>
            </w:r>
            <w:r w:rsidRPr="0053423A">
              <w:rPr>
                <w:rFonts w:cs="Sylfaen"/>
                <w:b/>
                <w:color w:val="000000"/>
                <w:lang w:val="hy-AM"/>
              </w:rPr>
              <w:t>առկա</w:t>
            </w:r>
            <w:r w:rsidRPr="0053423A">
              <w:rPr>
                <w:rFonts w:cs="Arial Armenian"/>
                <w:b/>
                <w:color w:val="000000"/>
                <w:lang w:val="hy-AM"/>
              </w:rPr>
              <w:t xml:space="preserve"> </w:t>
            </w:r>
            <w:r w:rsidRPr="0053423A">
              <w:rPr>
                <w:rFonts w:cs="Sylfaen"/>
                <w:b/>
                <w:color w:val="000000"/>
                <w:lang w:val="hy-AM"/>
              </w:rPr>
              <w:t>խնդիրները</w:t>
            </w:r>
          </w:p>
          <w:p w:rsidR="006B0618" w:rsidRPr="0053423A" w:rsidRDefault="006B0618" w:rsidP="00A67858">
            <w:pPr>
              <w:spacing w:line="276" w:lineRule="auto"/>
              <w:ind w:right="256"/>
              <w:rPr>
                <w:lang w:val="hy-AM"/>
              </w:rPr>
            </w:pPr>
            <w:r w:rsidRPr="0053423A">
              <w:rPr>
                <w:rFonts w:cs="Arial Armenian"/>
                <w:color w:val="000000"/>
                <w:lang w:val="hy-AM"/>
              </w:rPr>
              <w:t xml:space="preserve"> </w:t>
            </w:r>
            <w:r w:rsidRPr="0053423A">
              <w:rPr>
                <w:rFonts w:cs="Arial Armenian"/>
                <w:color w:val="000000"/>
                <w:lang w:val="hy-AM"/>
              </w:rPr>
              <w:tab/>
              <w:t xml:space="preserve">  </w:t>
            </w:r>
            <w:r w:rsidRPr="0053423A">
              <w:rPr>
                <w:rFonts w:cs="Sylfaen"/>
                <w:color w:val="000000"/>
                <w:lang w:val="hy-AM"/>
              </w:rPr>
              <w:t>Սեյսմիկ</w:t>
            </w:r>
            <w:r w:rsidRPr="0053423A">
              <w:rPr>
                <w:rFonts w:cs="Arial Armenian"/>
                <w:color w:val="000000"/>
                <w:lang w:val="hy-AM"/>
              </w:rPr>
              <w:t xml:space="preserve"> </w:t>
            </w:r>
            <w:r w:rsidRPr="0053423A">
              <w:rPr>
                <w:rFonts w:cs="Sylfaen"/>
                <w:color w:val="000000"/>
                <w:lang w:val="hy-AM"/>
              </w:rPr>
              <w:t>խոցելիության</w:t>
            </w:r>
            <w:r w:rsidRPr="0053423A">
              <w:rPr>
                <w:rFonts w:cs="Arial Armenian"/>
                <w:color w:val="000000"/>
                <w:lang w:val="hy-AM"/>
              </w:rPr>
              <w:t xml:space="preserve"> </w:t>
            </w:r>
            <w:r w:rsidRPr="0053423A">
              <w:rPr>
                <w:rFonts w:cs="Sylfaen"/>
                <w:color w:val="000000"/>
                <w:lang w:val="hy-AM"/>
              </w:rPr>
              <w:t>մակարդակի</w:t>
            </w:r>
            <w:r w:rsidRPr="0053423A">
              <w:rPr>
                <w:rFonts w:cs="Arial Armenian"/>
                <w:color w:val="000000"/>
                <w:lang w:val="hy-AM"/>
              </w:rPr>
              <w:t xml:space="preserve"> </w:t>
            </w:r>
            <w:r w:rsidRPr="0053423A">
              <w:rPr>
                <w:rFonts w:cs="Sylfaen"/>
                <w:color w:val="000000"/>
                <w:lang w:val="hy-AM"/>
              </w:rPr>
              <w:t>գնահատում հատուկ նշանակության ջրամբարների համար</w:t>
            </w:r>
            <w:r w:rsidRPr="0053423A">
              <w:rPr>
                <w:rFonts w:cs="Arial Armenian"/>
                <w:color w:val="000000"/>
                <w:lang w:val="hy-AM"/>
              </w:rPr>
              <w:t xml:space="preserve"> </w:t>
            </w:r>
            <w:r w:rsidRPr="0053423A">
              <w:rPr>
                <w:rFonts w:cs="Sylfaen"/>
                <w:color w:val="000000"/>
                <w:lang w:val="hy-AM"/>
              </w:rPr>
              <w:t>չի</w:t>
            </w:r>
            <w:r w:rsidRPr="0053423A">
              <w:rPr>
                <w:rFonts w:cs="Arial Armenian"/>
                <w:color w:val="000000"/>
                <w:lang w:val="hy-AM"/>
              </w:rPr>
              <w:t xml:space="preserve"> </w:t>
            </w:r>
            <w:r w:rsidRPr="0053423A">
              <w:rPr>
                <w:rFonts w:cs="Sylfaen"/>
                <w:color w:val="000000"/>
                <w:lang w:val="hy-AM"/>
              </w:rPr>
              <w:t>իրականացվել</w:t>
            </w:r>
            <w:r w:rsidRPr="0053423A">
              <w:rPr>
                <w:rFonts w:cs="Arial Armenian"/>
                <w:color w:val="000000"/>
                <w:lang w:val="hy-AM"/>
              </w:rPr>
              <w:t xml:space="preserve"> </w:t>
            </w:r>
            <w:r w:rsidRPr="0053423A">
              <w:rPr>
                <w:rFonts w:cs="Sylfaen"/>
                <w:color w:val="000000"/>
                <w:lang w:val="hy-AM"/>
              </w:rPr>
              <w:t>և</w:t>
            </w:r>
            <w:r w:rsidRPr="0053423A">
              <w:rPr>
                <w:rFonts w:cs="Arial Armenian"/>
                <w:color w:val="000000"/>
                <w:lang w:val="hy-AM"/>
              </w:rPr>
              <w:t xml:space="preserve"> </w:t>
            </w:r>
            <w:r w:rsidRPr="0053423A">
              <w:rPr>
                <w:rFonts w:cs="Sylfaen"/>
                <w:color w:val="000000"/>
                <w:lang w:val="hy-AM"/>
              </w:rPr>
              <w:t>սեյսմիկ</w:t>
            </w:r>
            <w:r w:rsidRPr="0053423A">
              <w:rPr>
                <w:rFonts w:cs="Arial Armenian"/>
                <w:color w:val="000000"/>
                <w:lang w:val="hy-AM"/>
              </w:rPr>
              <w:t xml:space="preserve"> </w:t>
            </w:r>
            <w:r w:rsidRPr="0053423A">
              <w:rPr>
                <w:rFonts w:cs="Sylfaen"/>
                <w:color w:val="000000"/>
                <w:lang w:val="hy-AM"/>
              </w:rPr>
              <w:t>ռիսկի</w:t>
            </w:r>
            <w:r w:rsidRPr="0053423A">
              <w:rPr>
                <w:rFonts w:cs="Arial Armenian"/>
                <w:color w:val="000000"/>
                <w:lang w:val="hy-AM"/>
              </w:rPr>
              <w:t xml:space="preserve"> </w:t>
            </w:r>
            <w:r w:rsidRPr="0053423A">
              <w:rPr>
                <w:rFonts w:cs="Sylfaen"/>
                <w:color w:val="000000"/>
                <w:lang w:val="hy-AM"/>
              </w:rPr>
              <w:t>նվազեցումը</w:t>
            </w:r>
            <w:r w:rsidRPr="0053423A">
              <w:rPr>
                <w:rFonts w:cs="Arial Armenian"/>
                <w:color w:val="000000"/>
                <w:lang w:val="hy-AM"/>
              </w:rPr>
              <w:t xml:space="preserve"> </w:t>
            </w:r>
            <w:r w:rsidRPr="0053423A">
              <w:rPr>
                <w:rFonts w:cs="Sylfaen"/>
                <w:color w:val="000000"/>
                <w:lang w:val="hy-AM"/>
              </w:rPr>
              <w:t>պահանջում</w:t>
            </w:r>
            <w:r w:rsidRPr="0053423A">
              <w:rPr>
                <w:rFonts w:cs="Arial Armenian"/>
                <w:color w:val="000000"/>
                <w:lang w:val="hy-AM"/>
              </w:rPr>
              <w:t xml:space="preserve"> </w:t>
            </w:r>
            <w:r w:rsidRPr="0053423A">
              <w:rPr>
                <w:rFonts w:cs="Sylfaen"/>
                <w:color w:val="000000"/>
                <w:lang w:val="hy-AM"/>
              </w:rPr>
              <w:t>է</w:t>
            </w:r>
            <w:r w:rsidRPr="0053423A">
              <w:rPr>
                <w:rFonts w:cs="Arial Armenian"/>
                <w:color w:val="000000"/>
                <w:lang w:val="hy-AM"/>
              </w:rPr>
              <w:t xml:space="preserve"> </w:t>
            </w:r>
            <w:r w:rsidRPr="0053423A">
              <w:rPr>
                <w:rFonts w:cs="Sylfaen"/>
                <w:color w:val="000000"/>
                <w:lang w:val="hy-AM"/>
              </w:rPr>
              <w:t>գոյություն</w:t>
            </w:r>
            <w:r w:rsidRPr="0053423A">
              <w:rPr>
                <w:rFonts w:cs="Arial Armenian"/>
                <w:color w:val="000000"/>
                <w:lang w:val="hy-AM"/>
              </w:rPr>
              <w:t xml:space="preserve"> </w:t>
            </w:r>
            <w:r w:rsidRPr="0053423A">
              <w:rPr>
                <w:rFonts w:cs="Sylfaen"/>
                <w:color w:val="000000"/>
                <w:lang w:val="hy-AM"/>
              </w:rPr>
              <w:t>ունեցող</w:t>
            </w:r>
            <w:r w:rsidRPr="0053423A">
              <w:rPr>
                <w:rFonts w:cs="Arial Armenian"/>
                <w:color w:val="000000"/>
                <w:lang w:val="hy-AM"/>
              </w:rPr>
              <w:t xml:space="preserve"> </w:t>
            </w:r>
            <w:r w:rsidRPr="0053423A">
              <w:rPr>
                <w:rFonts w:cs="Sylfaen"/>
                <w:color w:val="000000"/>
                <w:lang w:val="hy-AM"/>
              </w:rPr>
              <w:t>ջրամբարների</w:t>
            </w:r>
            <w:r w:rsidRPr="0053423A">
              <w:rPr>
                <w:rFonts w:cs="Arial Armenian"/>
                <w:color w:val="000000"/>
                <w:lang w:val="hy-AM"/>
              </w:rPr>
              <w:t xml:space="preserve"> </w:t>
            </w:r>
            <w:r w:rsidRPr="0053423A">
              <w:rPr>
                <w:rFonts w:cs="Sylfaen"/>
                <w:color w:val="000000"/>
                <w:lang w:val="hy-AM"/>
              </w:rPr>
              <w:t>պատվարների</w:t>
            </w:r>
            <w:r w:rsidRPr="0053423A">
              <w:rPr>
                <w:rFonts w:cs="Arial Armenian"/>
                <w:color w:val="000000"/>
                <w:lang w:val="hy-AM"/>
              </w:rPr>
              <w:t xml:space="preserve"> </w:t>
            </w:r>
            <w:r w:rsidRPr="0053423A">
              <w:rPr>
                <w:rFonts w:cs="Sylfaen"/>
                <w:color w:val="000000"/>
                <w:lang w:val="hy-AM"/>
              </w:rPr>
              <w:t>մանրակրկիտ</w:t>
            </w:r>
            <w:r w:rsidRPr="0053423A">
              <w:rPr>
                <w:rFonts w:cs="Arial Armenian"/>
                <w:color w:val="000000"/>
                <w:lang w:val="hy-AM"/>
              </w:rPr>
              <w:t xml:space="preserve"> </w:t>
            </w:r>
            <w:r w:rsidRPr="0053423A">
              <w:rPr>
                <w:rFonts w:cs="Sylfaen"/>
                <w:color w:val="000000"/>
                <w:lang w:val="hy-AM"/>
              </w:rPr>
              <w:t>հետազննում</w:t>
            </w:r>
            <w:r w:rsidRPr="0053423A">
              <w:rPr>
                <w:rFonts w:cs="Arial Armenian"/>
                <w:color w:val="000000"/>
                <w:lang w:val="hy-AM"/>
              </w:rPr>
              <w:t>:</w:t>
            </w:r>
          </w:p>
          <w:p w:rsidR="006B0618" w:rsidRPr="0053423A" w:rsidRDefault="006B0618" w:rsidP="00A67858">
            <w:pPr>
              <w:numPr>
                <w:ilvl w:val="1"/>
                <w:numId w:val="75"/>
              </w:numPr>
              <w:tabs>
                <w:tab w:val="left" w:pos="270"/>
              </w:tabs>
              <w:spacing w:line="276" w:lineRule="auto"/>
              <w:ind w:left="0" w:right="256" w:firstLine="0"/>
              <w:jc w:val="both"/>
              <w:rPr>
                <w:rFonts w:cs="Arial Armenian"/>
                <w:b/>
                <w:color w:val="000000"/>
              </w:rPr>
            </w:pPr>
            <w:r w:rsidRPr="0053423A">
              <w:rPr>
                <w:rFonts w:cs="Sylfaen"/>
                <w:b/>
                <w:color w:val="000000"/>
                <w:lang w:val="hy-AM"/>
              </w:rPr>
              <w:t xml:space="preserve"> </w:t>
            </w:r>
            <w:r w:rsidRPr="0053423A">
              <w:rPr>
                <w:rFonts w:cs="Sylfaen"/>
                <w:b/>
                <w:color w:val="000000"/>
              </w:rPr>
              <w:t>Առկա</w:t>
            </w:r>
            <w:r w:rsidRPr="0053423A">
              <w:rPr>
                <w:rFonts w:cs="Arial Armenian"/>
                <w:b/>
                <w:color w:val="000000"/>
              </w:rPr>
              <w:t xml:space="preserve"> </w:t>
            </w:r>
            <w:r w:rsidRPr="0053423A">
              <w:rPr>
                <w:rFonts w:cs="Sylfaen"/>
                <w:b/>
                <w:color w:val="000000"/>
              </w:rPr>
              <w:t>խնդիրների</w:t>
            </w:r>
            <w:r w:rsidRPr="0053423A">
              <w:rPr>
                <w:rFonts w:cs="Arial Armenian"/>
                <w:b/>
                <w:color w:val="000000"/>
              </w:rPr>
              <w:t xml:space="preserve"> </w:t>
            </w:r>
            <w:r w:rsidRPr="0053423A">
              <w:rPr>
                <w:rFonts w:cs="Sylfaen"/>
                <w:b/>
                <w:color w:val="000000"/>
              </w:rPr>
              <w:t>առաջարկվող</w:t>
            </w:r>
            <w:r w:rsidRPr="0053423A">
              <w:rPr>
                <w:rFonts w:cs="Arial Armenian"/>
                <w:b/>
                <w:color w:val="000000"/>
              </w:rPr>
              <w:t xml:space="preserve"> </w:t>
            </w:r>
            <w:r w:rsidRPr="0053423A">
              <w:rPr>
                <w:rFonts w:cs="Sylfaen"/>
                <w:b/>
                <w:color w:val="000000"/>
              </w:rPr>
              <w:t>լուծումները</w:t>
            </w:r>
            <w:r w:rsidRPr="0053423A">
              <w:rPr>
                <w:rFonts w:cs="Arial Armenian"/>
                <w:b/>
                <w:color w:val="000000"/>
              </w:rPr>
              <w:t xml:space="preserve"> </w:t>
            </w:r>
          </w:p>
          <w:p w:rsidR="006B0618" w:rsidRPr="0053423A" w:rsidRDefault="006B0618" w:rsidP="00A67858">
            <w:pPr>
              <w:spacing w:line="276" w:lineRule="auto"/>
              <w:ind w:right="256"/>
            </w:pPr>
            <w:r w:rsidRPr="0053423A">
              <w:rPr>
                <w:rFonts w:cs="Sylfaen"/>
                <w:color w:val="000000"/>
              </w:rPr>
              <w:t xml:space="preserve">       Ծրագրի</w:t>
            </w:r>
            <w:r w:rsidRPr="0053423A">
              <w:rPr>
                <w:rFonts w:cs="Arial Armenian"/>
                <w:color w:val="000000"/>
              </w:rPr>
              <w:t xml:space="preserve"> </w:t>
            </w:r>
            <w:r w:rsidRPr="0053423A">
              <w:rPr>
                <w:rFonts w:cs="Sylfaen"/>
                <w:color w:val="000000"/>
              </w:rPr>
              <w:t>ընդունումը</w:t>
            </w:r>
            <w:r w:rsidRPr="0053423A">
              <w:rPr>
                <w:rFonts w:cs="Arial Armenian"/>
                <w:color w:val="000000"/>
              </w:rPr>
              <w:t xml:space="preserve"> </w:t>
            </w:r>
            <w:r w:rsidRPr="0053423A">
              <w:rPr>
                <w:rFonts w:cs="Sylfaen"/>
                <w:color w:val="000000"/>
              </w:rPr>
              <w:t>հնարավորություն</w:t>
            </w:r>
            <w:r w:rsidRPr="0053423A">
              <w:rPr>
                <w:rFonts w:cs="Arial Armenian"/>
                <w:color w:val="000000"/>
              </w:rPr>
              <w:t xml:space="preserve"> </w:t>
            </w:r>
            <w:r w:rsidRPr="0053423A">
              <w:rPr>
                <w:rFonts w:cs="Sylfaen"/>
                <w:color w:val="000000"/>
              </w:rPr>
              <w:t>կտա</w:t>
            </w:r>
            <w:r w:rsidRPr="0053423A">
              <w:rPr>
                <w:rFonts w:cs="Arial Armenian"/>
                <w:color w:val="000000"/>
              </w:rPr>
              <w:t xml:space="preserve"> </w:t>
            </w:r>
            <w:r w:rsidRPr="0053423A">
              <w:rPr>
                <w:rFonts w:cs="Sylfaen"/>
                <w:color w:val="000000"/>
              </w:rPr>
              <w:t>իրականացնելու</w:t>
            </w:r>
            <w:r w:rsidRPr="0053423A">
              <w:rPr>
                <w:rFonts w:cs="Arial Armenian"/>
                <w:color w:val="000000"/>
              </w:rPr>
              <w:t xml:space="preserve"> </w:t>
            </w:r>
            <w:r w:rsidRPr="0053423A">
              <w:rPr>
                <w:rFonts w:cs="Sylfaen"/>
                <w:color w:val="000000"/>
              </w:rPr>
              <w:t>պետական</w:t>
            </w:r>
            <w:r w:rsidRPr="0053423A">
              <w:rPr>
                <w:rFonts w:cs="Arial Armenian"/>
                <w:color w:val="000000"/>
              </w:rPr>
              <w:t xml:space="preserve"> </w:t>
            </w:r>
            <w:r w:rsidRPr="0053423A">
              <w:rPr>
                <w:rFonts w:cs="Sylfaen"/>
                <w:color w:val="000000"/>
              </w:rPr>
              <w:t>հատուկ</w:t>
            </w:r>
            <w:r w:rsidRPr="0053423A">
              <w:rPr>
                <w:rFonts w:cs="Arial Armenian"/>
                <w:color w:val="000000"/>
              </w:rPr>
              <w:t xml:space="preserve"> </w:t>
            </w:r>
            <w:r w:rsidRPr="0053423A">
              <w:rPr>
                <w:rFonts w:cs="Sylfaen"/>
                <w:color w:val="000000"/>
              </w:rPr>
              <w:t>նշանակության</w:t>
            </w:r>
            <w:r w:rsidRPr="0053423A">
              <w:rPr>
                <w:rFonts w:cs="Arial Armenian"/>
                <w:color w:val="000000"/>
              </w:rPr>
              <w:t xml:space="preserve"> </w:t>
            </w:r>
            <w:r w:rsidRPr="0053423A">
              <w:rPr>
                <w:rFonts w:cs="Sylfaen"/>
                <w:color w:val="000000"/>
              </w:rPr>
              <w:t>ջրամբարների</w:t>
            </w:r>
            <w:r w:rsidRPr="0053423A">
              <w:rPr>
                <w:rFonts w:cs="Arial Armenian"/>
                <w:color w:val="000000"/>
              </w:rPr>
              <w:t xml:space="preserve"> </w:t>
            </w:r>
            <w:r w:rsidRPr="0053423A">
              <w:rPr>
                <w:rFonts w:cs="Sylfaen"/>
                <w:color w:val="000000"/>
              </w:rPr>
              <w:t>պատվարների</w:t>
            </w:r>
            <w:r w:rsidRPr="0053423A">
              <w:rPr>
                <w:rFonts w:cs="Arial Armenian"/>
                <w:color w:val="000000"/>
              </w:rPr>
              <w:t xml:space="preserve"> </w:t>
            </w:r>
            <w:r w:rsidRPr="0053423A">
              <w:rPr>
                <w:rFonts w:cs="Sylfaen"/>
                <w:color w:val="000000"/>
              </w:rPr>
              <w:t>սեյսմիկ</w:t>
            </w:r>
            <w:r w:rsidRPr="0053423A">
              <w:rPr>
                <w:rFonts w:cs="Arial Armenian"/>
                <w:color w:val="000000"/>
              </w:rPr>
              <w:t xml:space="preserve"> </w:t>
            </w:r>
            <w:r w:rsidRPr="0053423A">
              <w:rPr>
                <w:rFonts w:cs="Sylfaen"/>
                <w:color w:val="000000"/>
              </w:rPr>
              <w:t>խոցելիության</w:t>
            </w:r>
            <w:r w:rsidRPr="0053423A">
              <w:rPr>
                <w:rFonts w:cs="Arial Armenian"/>
                <w:color w:val="000000"/>
              </w:rPr>
              <w:t xml:space="preserve"> </w:t>
            </w:r>
            <w:r w:rsidRPr="0053423A">
              <w:rPr>
                <w:rFonts w:cs="Sylfaen"/>
                <w:color w:val="000000"/>
              </w:rPr>
              <w:t>մակարդակի</w:t>
            </w:r>
            <w:r w:rsidRPr="0053423A">
              <w:rPr>
                <w:rFonts w:cs="Arial Armenian"/>
                <w:color w:val="000000"/>
              </w:rPr>
              <w:t xml:space="preserve"> </w:t>
            </w:r>
            <w:r w:rsidRPr="0053423A">
              <w:rPr>
                <w:rFonts w:cs="Sylfaen"/>
                <w:color w:val="000000"/>
              </w:rPr>
              <w:t>գնահատման</w:t>
            </w:r>
            <w:r w:rsidRPr="0053423A">
              <w:rPr>
                <w:rFonts w:cs="Arial Armenian"/>
                <w:color w:val="000000"/>
              </w:rPr>
              <w:t xml:space="preserve"> </w:t>
            </w:r>
            <w:r w:rsidRPr="0053423A">
              <w:rPr>
                <w:rFonts w:cs="Sylfaen"/>
                <w:color w:val="000000"/>
              </w:rPr>
              <w:t>համակարգված</w:t>
            </w:r>
            <w:r w:rsidRPr="0053423A">
              <w:rPr>
                <w:rFonts w:cs="Arial Armenian"/>
                <w:color w:val="000000"/>
              </w:rPr>
              <w:t xml:space="preserve"> </w:t>
            </w:r>
            <w:r w:rsidRPr="0053423A">
              <w:rPr>
                <w:rFonts w:cs="Sylfaen"/>
                <w:color w:val="000000"/>
              </w:rPr>
              <w:t>աշխատանքներ</w:t>
            </w:r>
            <w:r w:rsidRPr="0053423A">
              <w:rPr>
                <w:rFonts w:cs="Arial Armenian"/>
                <w:color w:val="000000"/>
              </w:rPr>
              <w:t>:</w:t>
            </w:r>
          </w:p>
          <w:p w:rsidR="006B0618" w:rsidRPr="0053423A" w:rsidRDefault="006B0618" w:rsidP="00A67858">
            <w:pPr>
              <w:numPr>
                <w:ilvl w:val="0"/>
                <w:numId w:val="75"/>
              </w:numPr>
              <w:spacing w:line="276" w:lineRule="auto"/>
              <w:ind w:left="0" w:right="256" w:firstLine="0"/>
              <w:jc w:val="both"/>
              <w:rPr>
                <w:rFonts w:cs="Sylfaen"/>
                <w:b/>
                <w:color w:val="000000"/>
              </w:rPr>
            </w:pPr>
            <w:r w:rsidRPr="0053423A">
              <w:rPr>
                <w:rFonts w:cs="Sylfaen"/>
                <w:b/>
                <w:color w:val="000000"/>
              </w:rPr>
              <w:t xml:space="preserve"> Միջոցառման</w:t>
            </w:r>
            <w:r w:rsidRPr="0053423A">
              <w:rPr>
                <w:rFonts w:cs="Arial Armenian"/>
                <w:b/>
                <w:color w:val="000000"/>
              </w:rPr>
              <w:t xml:space="preserve"> </w:t>
            </w:r>
            <w:r w:rsidRPr="0053423A">
              <w:rPr>
                <w:rFonts w:cs="Sylfaen"/>
                <w:b/>
                <w:color w:val="000000"/>
              </w:rPr>
              <w:t>իրականացումից</w:t>
            </w:r>
            <w:r w:rsidRPr="0053423A">
              <w:rPr>
                <w:rFonts w:cs="Arial Armenian"/>
                <w:b/>
                <w:color w:val="000000"/>
              </w:rPr>
              <w:t xml:space="preserve"> </w:t>
            </w:r>
            <w:r w:rsidRPr="0053423A">
              <w:rPr>
                <w:rFonts w:cs="Sylfaen"/>
                <w:b/>
                <w:color w:val="000000"/>
              </w:rPr>
              <w:t>ակնկալվող</w:t>
            </w:r>
            <w:r w:rsidRPr="0053423A">
              <w:rPr>
                <w:rFonts w:cs="Arial Armenian"/>
                <w:b/>
                <w:color w:val="000000"/>
              </w:rPr>
              <w:t xml:space="preserve"> </w:t>
            </w:r>
            <w:r w:rsidRPr="0053423A">
              <w:rPr>
                <w:rFonts w:cs="Sylfaen"/>
                <w:b/>
                <w:color w:val="000000"/>
              </w:rPr>
              <w:t>արդյունքը</w:t>
            </w:r>
          </w:p>
          <w:p w:rsidR="006B0618" w:rsidRPr="0053423A" w:rsidRDefault="006B0618" w:rsidP="00A67858">
            <w:pPr>
              <w:spacing w:line="276" w:lineRule="auto"/>
              <w:ind w:right="256"/>
              <w:rPr>
                <w:b/>
                <w:i/>
              </w:rPr>
            </w:pPr>
            <w:r w:rsidRPr="0053423A">
              <w:rPr>
                <w:rFonts w:cs="Arial Armenian"/>
                <w:color w:val="000000"/>
              </w:rPr>
              <w:t xml:space="preserve">    </w:t>
            </w:r>
            <w:r w:rsidRPr="0053423A">
              <w:rPr>
                <w:rFonts w:cs="Sylfaen"/>
                <w:color w:val="000000"/>
              </w:rPr>
              <w:t>Ծրագրի</w:t>
            </w:r>
            <w:r w:rsidRPr="0053423A">
              <w:rPr>
                <w:rFonts w:cs="Arial Armenian"/>
                <w:color w:val="000000"/>
              </w:rPr>
              <w:t xml:space="preserve"> </w:t>
            </w:r>
            <w:r w:rsidRPr="0053423A">
              <w:rPr>
                <w:rFonts w:cs="Sylfaen"/>
                <w:color w:val="000000"/>
              </w:rPr>
              <w:t>իրականացումը</w:t>
            </w:r>
            <w:r w:rsidRPr="0053423A">
              <w:rPr>
                <w:rFonts w:cs="Arial Armenian"/>
                <w:color w:val="000000"/>
              </w:rPr>
              <w:t xml:space="preserve"> </w:t>
            </w:r>
            <w:r w:rsidRPr="0053423A">
              <w:rPr>
                <w:rFonts w:cs="Sylfaen"/>
                <w:color w:val="000000"/>
              </w:rPr>
              <w:t>հնարավորություն</w:t>
            </w:r>
            <w:r w:rsidRPr="0053423A">
              <w:rPr>
                <w:rFonts w:cs="Arial Armenian"/>
                <w:color w:val="000000"/>
              </w:rPr>
              <w:t xml:space="preserve"> </w:t>
            </w:r>
            <w:r w:rsidRPr="0053423A">
              <w:rPr>
                <w:rFonts w:cs="Sylfaen"/>
                <w:color w:val="000000"/>
              </w:rPr>
              <w:t>կտա</w:t>
            </w:r>
            <w:r w:rsidRPr="0053423A">
              <w:rPr>
                <w:rFonts w:cs="Arial Armenian"/>
                <w:color w:val="000000"/>
              </w:rPr>
              <w:t xml:space="preserve"> </w:t>
            </w:r>
            <w:r w:rsidRPr="0053423A">
              <w:rPr>
                <w:rFonts w:cs="Sylfaen"/>
                <w:color w:val="000000"/>
              </w:rPr>
              <w:t>զգալիորեն</w:t>
            </w:r>
            <w:r w:rsidRPr="0053423A">
              <w:rPr>
                <w:rFonts w:cs="Arial Armenian"/>
                <w:color w:val="000000"/>
              </w:rPr>
              <w:t xml:space="preserve"> </w:t>
            </w:r>
            <w:r w:rsidRPr="0053423A">
              <w:rPr>
                <w:rFonts w:cs="Sylfaen"/>
                <w:color w:val="000000"/>
              </w:rPr>
              <w:t>բարձրացնել</w:t>
            </w:r>
            <w:r w:rsidRPr="0053423A">
              <w:rPr>
                <w:rFonts w:cs="Arial Armenian"/>
                <w:color w:val="000000"/>
              </w:rPr>
              <w:t xml:space="preserve"> </w:t>
            </w:r>
            <w:r w:rsidRPr="0053423A">
              <w:rPr>
                <w:rFonts w:cs="Sylfaen"/>
                <w:color w:val="000000"/>
              </w:rPr>
              <w:t>սեյսմիկ</w:t>
            </w:r>
            <w:r w:rsidRPr="0053423A">
              <w:rPr>
                <w:rFonts w:cs="Arial Armenian"/>
                <w:color w:val="000000"/>
              </w:rPr>
              <w:t xml:space="preserve"> </w:t>
            </w:r>
            <w:r w:rsidRPr="0053423A">
              <w:rPr>
                <w:rFonts w:cs="Sylfaen"/>
                <w:color w:val="000000"/>
              </w:rPr>
              <w:t>պաշտպանվածության</w:t>
            </w:r>
            <w:r w:rsidRPr="0053423A">
              <w:rPr>
                <w:rFonts w:cs="Arial Armenian"/>
                <w:color w:val="000000"/>
              </w:rPr>
              <w:t xml:space="preserve"> </w:t>
            </w:r>
            <w:r w:rsidRPr="0053423A">
              <w:rPr>
                <w:rFonts w:cs="Sylfaen"/>
                <w:color w:val="000000"/>
              </w:rPr>
              <w:t>մակարդակը</w:t>
            </w:r>
            <w:r w:rsidRPr="0053423A">
              <w:rPr>
                <w:color w:val="000000"/>
              </w:rPr>
              <w:t>:</w:t>
            </w:r>
          </w:p>
        </w:tc>
      </w:tr>
      <w:tr w:rsidR="006B0618" w:rsidRPr="00DE2EFA" w:rsidTr="001F6D5D">
        <w:tc>
          <w:tcPr>
            <w:tcW w:w="691" w:type="dxa"/>
          </w:tcPr>
          <w:p w:rsidR="006B0618" w:rsidRPr="0053423A" w:rsidRDefault="006B0618" w:rsidP="00A67858">
            <w:pPr>
              <w:spacing w:line="276" w:lineRule="auto"/>
              <w:rPr>
                <w:lang w:val="hy-AM"/>
              </w:rPr>
            </w:pPr>
          </w:p>
        </w:tc>
        <w:tc>
          <w:tcPr>
            <w:tcW w:w="10649" w:type="dxa"/>
          </w:tcPr>
          <w:p w:rsidR="006B0618" w:rsidRPr="0053423A" w:rsidRDefault="00615BBB" w:rsidP="00A67858">
            <w:pPr>
              <w:spacing w:line="276" w:lineRule="auto"/>
              <w:ind w:right="256"/>
              <w:jc w:val="center"/>
              <w:rPr>
                <w:rFonts w:cs="Arial Armenian"/>
                <w:b/>
                <w:i/>
                <w:color w:val="000000"/>
                <w:lang w:val="hy-AM"/>
              </w:rPr>
            </w:pPr>
            <w:r>
              <w:rPr>
                <w:b/>
                <w:i/>
                <w:color w:val="000000"/>
                <w:lang w:val="hy-AM"/>
              </w:rPr>
              <w:t xml:space="preserve">76.2 </w:t>
            </w:r>
            <w:r w:rsidR="006B0618" w:rsidRPr="0053423A">
              <w:rPr>
                <w:b/>
                <w:i/>
                <w:color w:val="000000"/>
                <w:lang w:val="hy-AM"/>
              </w:rPr>
              <w:t>«</w:t>
            </w:r>
            <w:r w:rsidR="006B0618" w:rsidRPr="0053423A">
              <w:rPr>
                <w:rFonts w:cs="Sylfaen"/>
                <w:b/>
                <w:i/>
                <w:color w:val="000000"/>
                <w:lang w:val="hy-AM"/>
              </w:rPr>
              <w:t>Վայոց</w:t>
            </w:r>
            <w:r w:rsidR="006B0618" w:rsidRPr="0053423A">
              <w:rPr>
                <w:rFonts w:cs="Arial Armenian"/>
                <w:b/>
                <w:i/>
                <w:color w:val="000000"/>
                <w:lang w:val="hy-AM"/>
              </w:rPr>
              <w:t xml:space="preserve"> </w:t>
            </w:r>
            <w:r w:rsidR="006B0618" w:rsidRPr="0053423A">
              <w:rPr>
                <w:rFonts w:cs="Sylfaen"/>
                <w:b/>
                <w:i/>
                <w:color w:val="000000"/>
                <w:lang w:val="hy-AM"/>
              </w:rPr>
              <w:t>Ձորի</w:t>
            </w:r>
            <w:r w:rsidR="006B0618" w:rsidRPr="0053423A">
              <w:rPr>
                <w:rFonts w:cs="Arial Armenian"/>
                <w:b/>
                <w:i/>
                <w:color w:val="000000"/>
                <w:lang w:val="hy-AM"/>
              </w:rPr>
              <w:t xml:space="preserve"> </w:t>
            </w:r>
            <w:r w:rsidR="006B0618" w:rsidRPr="0053423A">
              <w:rPr>
                <w:rFonts w:cs="Sylfaen"/>
                <w:b/>
                <w:i/>
                <w:color w:val="000000"/>
                <w:lang w:val="hy-AM"/>
              </w:rPr>
              <w:t>մարզի</w:t>
            </w:r>
            <w:r w:rsidR="006B0618" w:rsidRPr="0053423A">
              <w:rPr>
                <w:rFonts w:cs="Arial Armenian"/>
                <w:b/>
                <w:i/>
                <w:color w:val="000000"/>
                <w:lang w:val="hy-AM"/>
              </w:rPr>
              <w:t xml:space="preserve"> </w:t>
            </w:r>
            <w:r w:rsidR="006B0618" w:rsidRPr="0053423A">
              <w:rPr>
                <w:rFonts w:cs="Sylfaen"/>
                <w:b/>
                <w:i/>
                <w:color w:val="000000"/>
                <w:lang w:val="hy-AM"/>
              </w:rPr>
              <w:t>Ջերմուկ</w:t>
            </w:r>
            <w:r w:rsidR="006B0618" w:rsidRPr="0053423A">
              <w:rPr>
                <w:rFonts w:cs="Arial Armenian"/>
                <w:b/>
                <w:i/>
                <w:color w:val="000000"/>
                <w:lang w:val="hy-AM"/>
              </w:rPr>
              <w:t xml:space="preserve"> </w:t>
            </w:r>
            <w:r w:rsidR="006B0618" w:rsidRPr="0053423A">
              <w:rPr>
                <w:rFonts w:cs="Sylfaen"/>
                <w:b/>
                <w:i/>
                <w:color w:val="000000"/>
                <w:lang w:val="hy-AM"/>
              </w:rPr>
              <w:t>քաղաքի</w:t>
            </w:r>
            <w:r w:rsidR="006B0618" w:rsidRPr="0053423A">
              <w:rPr>
                <w:rFonts w:cs="Arial Armenian"/>
                <w:b/>
                <w:i/>
                <w:color w:val="000000"/>
                <w:lang w:val="hy-AM"/>
              </w:rPr>
              <w:t xml:space="preserve"> </w:t>
            </w:r>
            <w:r w:rsidR="006B0618" w:rsidRPr="0053423A">
              <w:rPr>
                <w:rFonts w:cs="Sylfaen"/>
                <w:b/>
                <w:i/>
                <w:color w:val="000000"/>
                <w:lang w:val="hy-AM"/>
              </w:rPr>
              <w:t>բազմաբնակարան</w:t>
            </w:r>
            <w:r w:rsidR="006B0618" w:rsidRPr="0053423A">
              <w:rPr>
                <w:rFonts w:cs="Arial Armenian"/>
                <w:b/>
                <w:i/>
                <w:color w:val="000000"/>
                <w:lang w:val="hy-AM"/>
              </w:rPr>
              <w:t xml:space="preserve"> </w:t>
            </w:r>
            <w:r w:rsidR="006B0618" w:rsidRPr="0053423A">
              <w:rPr>
                <w:rFonts w:cs="Sylfaen"/>
                <w:b/>
                <w:i/>
                <w:color w:val="000000"/>
                <w:lang w:val="hy-AM"/>
              </w:rPr>
              <w:t>բնակելի</w:t>
            </w:r>
            <w:r w:rsidR="006B0618" w:rsidRPr="0053423A">
              <w:rPr>
                <w:rFonts w:cs="Arial Armenian"/>
                <w:b/>
                <w:i/>
                <w:color w:val="000000"/>
                <w:lang w:val="hy-AM"/>
              </w:rPr>
              <w:t xml:space="preserve"> </w:t>
            </w:r>
            <w:r w:rsidR="006B0618" w:rsidRPr="0053423A">
              <w:rPr>
                <w:rFonts w:cs="Sylfaen"/>
                <w:b/>
                <w:i/>
                <w:color w:val="000000"/>
                <w:lang w:val="hy-AM"/>
              </w:rPr>
              <w:t>շենքերի</w:t>
            </w:r>
            <w:r w:rsidR="006B0618" w:rsidRPr="0053423A">
              <w:rPr>
                <w:rFonts w:cs="Arial Armenian"/>
                <w:b/>
                <w:i/>
                <w:color w:val="000000"/>
                <w:lang w:val="hy-AM"/>
              </w:rPr>
              <w:t xml:space="preserve"> </w:t>
            </w:r>
            <w:r w:rsidR="006B0618" w:rsidRPr="0053423A">
              <w:rPr>
                <w:rFonts w:cs="Sylfaen"/>
                <w:b/>
                <w:i/>
                <w:color w:val="000000"/>
                <w:lang w:val="hy-AM"/>
              </w:rPr>
              <w:t>սեյսմիկ</w:t>
            </w:r>
            <w:r w:rsidR="006B0618" w:rsidRPr="0053423A">
              <w:rPr>
                <w:rFonts w:cs="Arial Armenian"/>
                <w:b/>
                <w:i/>
                <w:color w:val="000000"/>
                <w:lang w:val="hy-AM"/>
              </w:rPr>
              <w:t xml:space="preserve"> </w:t>
            </w:r>
            <w:r w:rsidR="006B0618" w:rsidRPr="0053423A">
              <w:rPr>
                <w:rFonts w:cs="Sylfaen"/>
                <w:b/>
                <w:i/>
                <w:color w:val="000000"/>
                <w:lang w:val="hy-AM"/>
              </w:rPr>
              <w:t>խոցելիության</w:t>
            </w:r>
            <w:r w:rsidR="006B0618" w:rsidRPr="0053423A">
              <w:rPr>
                <w:rFonts w:cs="Arial Armenian"/>
                <w:b/>
                <w:i/>
                <w:color w:val="000000"/>
                <w:lang w:val="hy-AM"/>
              </w:rPr>
              <w:t xml:space="preserve"> </w:t>
            </w:r>
            <w:r w:rsidR="006B0618" w:rsidRPr="0053423A">
              <w:rPr>
                <w:rFonts w:cs="Sylfaen"/>
                <w:b/>
                <w:i/>
                <w:color w:val="000000"/>
                <w:lang w:val="hy-AM"/>
              </w:rPr>
              <w:t>գնահատման</w:t>
            </w:r>
            <w:r w:rsidR="006B0618" w:rsidRPr="0053423A">
              <w:rPr>
                <w:rFonts w:cs="Arial Armenian"/>
                <w:b/>
                <w:i/>
                <w:color w:val="000000"/>
                <w:lang w:val="hy-AM"/>
              </w:rPr>
              <w:t xml:space="preserve"> </w:t>
            </w:r>
            <w:r w:rsidR="006B0618" w:rsidRPr="0053423A">
              <w:rPr>
                <w:rFonts w:cs="Sylfaen"/>
                <w:b/>
                <w:i/>
                <w:color w:val="000000"/>
                <w:lang w:val="hy-AM"/>
              </w:rPr>
              <w:t>պիլոտային</w:t>
            </w:r>
            <w:r w:rsidR="006B0618" w:rsidRPr="0053423A">
              <w:rPr>
                <w:rFonts w:cs="Arial Armenian"/>
                <w:b/>
                <w:i/>
                <w:color w:val="000000"/>
                <w:lang w:val="hy-AM"/>
              </w:rPr>
              <w:t xml:space="preserve"> </w:t>
            </w:r>
            <w:r w:rsidR="006B0618" w:rsidRPr="0053423A">
              <w:rPr>
                <w:rFonts w:cs="Sylfaen"/>
                <w:b/>
                <w:i/>
                <w:color w:val="000000"/>
                <w:lang w:val="hy-AM"/>
              </w:rPr>
              <w:t>ծրագիրը</w:t>
            </w:r>
            <w:r w:rsidR="006B0618" w:rsidRPr="0053423A">
              <w:rPr>
                <w:rFonts w:cs="Arial Armenian"/>
                <w:b/>
                <w:i/>
                <w:color w:val="000000"/>
                <w:lang w:val="hy-AM"/>
              </w:rPr>
              <w:t xml:space="preserve"> </w:t>
            </w:r>
            <w:r w:rsidR="006B0618" w:rsidRPr="0053423A">
              <w:rPr>
                <w:rFonts w:cs="Sylfaen"/>
                <w:b/>
                <w:i/>
                <w:color w:val="000000"/>
                <w:lang w:val="hy-AM"/>
              </w:rPr>
              <w:t>հաստատելու</w:t>
            </w:r>
            <w:r w:rsidR="006B0618" w:rsidRPr="0053423A">
              <w:rPr>
                <w:rFonts w:cs="Arial Armenian"/>
                <w:b/>
                <w:i/>
                <w:color w:val="000000"/>
                <w:lang w:val="hy-AM"/>
              </w:rPr>
              <w:t xml:space="preserve"> </w:t>
            </w:r>
            <w:r w:rsidR="006B0618" w:rsidRPr="0053423A">
              <w:rPr>
                <w:rFonts w:cs="Sylfaen"/>
                <w:b/>
                <w:i/>
                <w:color w:val="000000"/>
                <w:lang w:val="hy-AM"/>
              </w:rPr>
              <w:t>մասին</w:t>
            </w:r>
            <w:r w:rsidR="006B0618" w:rsidRPr="0053423A">
              <w:rPr>
                <w:rFonts w:cs="Arial Armenian"/>
                <w:b/>
                <w:i/>
                <w:color w:val="000000"/>
                <w:lang w:val="hy-AM"/>
              </w:rPr>
              <w:t xml:space="preserve">» </w:t>
            </w:r>
            <w:r w:rsidR="006B0618" w:rsidRPr="0053423A">
              <w:rPr>
                <w:rFonts w:cs="Sylfaen"/>
                <w:b/>
                <w:i/>
                <w:color w:val="000000"/>
                <w:lang w:val="hy-AM"/>
              </w:rPr>
              <w:t>ՀՀ</w:t>
            </w:r>
            <w:r w:rsidR="006B0618" w:rsidRPr="0053423A">
              <w:rPr>
                <w:rFonts w:cs="Arial Armenian"/>
                <w:b/>
                <w:i/>
                <w:color w:val="000000"/>
                <w:lang w:val="hy-AM"/>
              </w:rPr>
              <w:t xml:space="preserve"> </w:t>
            </w:r>
            <w:r w:rsidR="006B0618" w:rsidRPr="0053423A">
              <w:rPr>
                <w:rFonts w:cs="Sylfaen"/>
                <w:b/>
                <w:i/>
                <w:color w:val="000000"/>
                <w:lang w:val="hy-AM"/>
              </w:rPr>
              <w:t>կառավարության</w:t>
            </w:r>
            <w:r w:rsidR="006B0618" w:rsidRPr="0053423A">
              <w:rPr>
                <w:rFonts w:cs="Arial Armenian"/>
                <w:b/>
                <w:i/>
                <w:color w:val="000000"/>
                <w:lang w:val="hy-AM"/>
              </w:rPr>
              <w:t xml:space="preserve"> </w:t>
            </w:r>
            <w:r w:rsidR="006B0618" w:rsidRPr="0053423A">
              <w:rPr>
                <w:rFonts w:cs="Sylfaen"/>
                <w:b/>
                <w:i/>
                <w:color w:val="000000"/>
                <w:lang w:val="hy-AM"/>
              </w:rPr>
              <w:t>որոշման</w:t>
            </w:r>
            <w:r w:rsidR="006B0618" w:rsidRPr="0053423A">
              <w:rPr>
                <w:rFonts w:cs="Arial Armenian"/>
                <w:b/>
                <w:i/>
                <w:color w:val="000000"/>
                <w:lang w:val="hy-AM"/>
              </w:rPr>
              <w:t xml:space="preserve"> </w:t>
            </w:r>
            <w:r w:rsidR="006B0618" w:rsidRPr="0053423A">
              <w:rPr>
                <w:rFonts w:cs="Sylfaen"/>
                <w:b/>
                <w:i/>
                <w:color w:val="000000"/>
                <w:lang w:val="hy-AM"/>
              </w:rPr>
              <w:t>նախագիծը</w:t>
            </w:r>
            <w:r w:rsidR="006B0618" w:rsidRPr="0053423A">
              <w:rPr>
                <w:rFonts w:cs="Arial Armenian"/>
                <w:b/>
                <w:i/>
                <w:color w:val="000000"/>
                <w:lang w:val="hy-AM"/>
              </w:rPr>
              <w:t xml:space="preserve"> </w:t>
            </w:r>
            <w:r w:rsidR="006B0618" w:rsidRPr="0053423A">
              <w:rPr>
                <w:b/>
                <w:i/>
                <w:lang w:val="hy-AM"/>
              </w:rPr>
              <w:t>ՀՀ վարչապետի աշխատակազմ ներկայացնելը</w:t>
            </w:r>
          </w:p>
          <w:p w:rsidR="006B0618" w:rsidRPr="00615BBB" w:rsidRDefault="006B0618" w:rsidP="00A67858">
            <w:pPr>
              <w:numPr>
                <w:ilvl w:val="0"/>
                <w:numId w:val="79"/>
              </w:numPr>
              <w:tabs>
                <w:tab w:val="left" w:pos="270"/>
              </w:tabs>
              <w:spacing w:line="276" w:lineRule="auto"/>
              <w:ind w:left="0" w:right="256" w:firstLine="0"/>
              <w:jc w:val="both"/>
              <w:rPr>
                <w:rFonts w:cs="Sylfaen"/>
                <w:b/>
                <w:color w:val="000000"/>
                <w:lang w:val="hy-AM"/>
              </w:rPr>
            </w:pPr>
            <w:r w:rsidRPr="00615BBB">
              <w:rPr>
                <w:rFonts w:cs="Sylfaen"/>
                <w:b/>
                <w:color w:val="000000"/>
                <w:lang w:val="hy-AM"/>
              </w:rPr>
              <w:t>Միջոցառման</w:t>
            </w:r>
            <w:r w:rsidRPr="00615BBB">
              <w:rPr>
                <w:rFonts w:cs="Arial Armenian"/>
                <w:b/>
                <w:color w:val="000000"/>
                <w:lang w:val="hy-AM"/>
              </w:rPr>
              <w:t xml:space="preserve"> </w:t>
            </w:r>
            <w:r w:rsidRPr="00615BBB">
              <w:rPr>
                <w:rFonts w:cs="Sylfaen"/>
                <w:b/>
                <w:color w:val="000000"/>
                <w:lang w:val="hy-AM"/>
              </w:rPr>
              <w:t>իրակացման</w:t>
            </w:r>
            <w:r w:rsidRPr="00615BBB">
              <w:rPr>
                <w:rFonts w:cs="Arial Armenian"/>
                <w:b/>
                <w:color w:val="000000"/>
                <w:lang w:val="hy-AM"/>
              </w:rPr>
              <w:t xml:space="preserve"> </w:t>
            </w:r>
            <w:r w:rsidRPr="00615BBB">
              <w:rPr>
                <w:rFonts w:cs="Sylfaen"/>
                <w:b/>
                <w:color w:val="000000"/>
                <w:lang w:val="hy-AM"/>
              </w:rPr>
              <w:t>անհրաժեշտությունը</w:t>
            </w:r>
            <w:r w:rsidRPr="00615BBB">
              <w:rPr>
                <w:rFonts w:cs="Arial Armenian"/>
                <w:b/>
                <w:color w:val="000000"/>
                <w:lang w:val="hy-AM"/>
              </w:rPr>
              <w:t xml:space="preserve"> </w:t>
            </w:r>
            <w:r w:rsidRPr="00615BBB">
              <w:rPr>
                <w:rFonts w:cs="Sylfaen"/>
                <w:b/>
                <w:color w:val="000000"/>
                <w:lang w:val="hy-AM"/>
              </w:rPr>
              <w:t>և</w:t>
            </w:r>
            <w:r w:rsidRPr="00615BBB">
              <w:rPr>
                <w:rFonts w:cs="Arial Armenian"/>
                <w:b/>
                <w:color w:val="000000"/>
                <w:lang w:val="hy-AM"/>
              </w:rPr>
              <w:t xml:space="preserve"> </w:t>
            </w:r>
            <w:r w:rsidRPr="00615BBB">
              <w:rPr>
                <w:rFonts w:cs="Sylfaen"/>
                <w:b/>
                <w:color w:val="000000"/>
                <w:lang w:val="hy-AM"/>
              </w:rPr>
              <w:t>նպատակը</w:t>
            </w:r>
          </w:p>
          <w:p w:rsidR="006B0618" w:rsidRPr="00955F0E" w:rsidRDefault="006B0618" w:rsidP="00A67858">
            <w:pPr>
              <w:tabs>
                <w:tab w:val="left" w:pos="270"/>
              </w:tabs>
              <w:spacing w:line="276" w:lineRule="auto"/>
              <w:ind w:right="256"/>
              <w:rPr>
                <w:rFonts w:cs="Arial Armenian"/>
                <w:color w:val="000000"/>
                <w:lang w:val="hy-AM"/>
              </w:rPr>
            </w:pPr>
            <w:r w:rsidRPr="00615BBB">
              <w:rPr>
                <w:rFonts w:cs="Arial Armenian"/>
                <w:color w:val="000000"/>
                <w:lang w:val="hy-AM"/>
              </w:rPr>
              <w:tab/>
              <w:t xml:space="preserve"> 1988</w:t>
            </w:r>
            <w:r w:rsidRPr="00615BBB">
              <w:rPr>
                <w:rFonts w:cs="Sylfaen"/>
                <w:color w:val="000000"/>
                <w:lang w:val="hy-AM"/>
              </w:rPr>
              <w:t>թ</w:t>
            </w:r>
            <w:r w:rsidRPr="00615BBB">
              <w:rPr>
                <w:rFonts w:cs="Arial Armenian"/>
                <w:color w:val="000000"/>
                <w:lang w:val="hy-AM"/>
              </w:rPr>
              <w:t xml:space="preserve">. </w:t>
            </w:r>
            <w:r w:rsidRPr="00615BBB">
              <w:rPr>
                <w:rFonts w:cs="Sylfaen"/>
                <w:color w:val="000000"/>
                <w:lang w:val="hy-AM"/>
              </w:rPr>
              <w:t>Սպիտակի</w:t>
            </w:r>
            <w:r w:rsidRPr="00615BBB">
              <w:rPr>
                <w:rFonts w:cs="Arial Armenian"/>
                <w:color w:val="000000"/>
                <w:lang w:val="hy-AM"/>
              </w:rPr>
              <w:t xml:space="preserve"> </w:t>
            </w:r>
            <w:r w:rsidRPr="00615BBB">
              <w:rPr>
                <w:rFonts w:cs="Sylfaen"/>
                <w:color w:val="000000"/>
                <w:lang w:val="hy-AM"/>
              </w:rPr>
              <w:t>ավերիչ</w:t>
            </w:r>
            <w:r w:rsidRPr="00615BBB">
              <w:rPr>
                <w:rFonts w:cs="Arial Armenian"/>
                <w:color w:val="000000"/>
                <w:lang w:val="hy-AM"/>
              </w:rPr>
              <w:t xml:space="preserve"> </w:t>
            </w:r>
            <w:r w:rsidRPr="00615BBB">
              <w:rPr>
                <w:rFonts w:cs="Sylfaen"/>
                <w:color w:val="000000"/>
                <w:lang w:val="hy-AM"/>
              </w:rPr>
              <w:t>երկրաշարժի</w:t>
            </w:r>
            <w:r w:rsidRPr="00615BBB">
              <w:rPr>
                <w:rFonts w:cs="Arial Armenian"/>
                <w:color w:val="000000"/>
                <w:lang w:val="hy-AM"/>
              </w:rPr>
              <w:t xml:space="preserve"> </w:t>
            </w:r>
            <w:r w:rsidRPr="00615BBB">
              <w:rPr>
                <w:rFonts w:cs="Sylfaen"/>
                <w:color w:val="000000"/>
                <w:lang w:val="hy-AM"/>
              </w:rPr>
              <w:t>հետևանքների</w:t>
            </w:r>
            <w:r w:rsidRPr="00615BBB">
              <w:rPr>
                <w:rFonts w:cs="Arial Armenian"/>
                <w:color w:val="000000"/>
                <w:lang w:val="hy-AM"/>
              </w:rPr>
              <w:t xml:space="preserve"> </w:t>
            </w:r>
            <w:r w:rsidRPr="00615BBB">
              <w:rPr>
                <w:rFonts w:cs="Sylfaen"/>
                <w:color w:val="000000"/>
                <w:lang w:val="hy-AM"/>
              </w:rPr>
              <w:t>վերլուծությունը</w:t>
            </w:r>
            <w:r w:rsidRPr="00615BBB">
              <w:rPr>
                <w:rFonts w:cs="Arial Armenian"/>
                <w:color w:val="000000"/>
                <w:lang w:val="hy-AM"/>
              </w:rPr>
              <w:t xml:space="preserve"> </w:t>
            </w:r>
            <w:r w:rsidRPr="00615BBB">
              <w:rPr>
                <w:rFonts w:cs="Sylfaen"/>
                <w:color w:val="000000"/>
                <w:lang w:val="hy-AM"/>
              </w:rPr>
              <w:t>ցույց</w:t>
            </w:r>
            <w:r w:rsidRPr="00615BBB">
              <w:rPr>
                <w:rFonts w:cs="Arial Armenian"/>
                <w:color w:val="000000"/>
                <w:lang w:val="hy-AM"/>
              </w:rPr>
              <w:t xml:space="preserve"> </w:t>
            </w:r>
            <w:r w:rsidRPr="00615BBB">
              <w:rPr>
                <w:rFonts w:cs="Sylfaen"/>
                <w:color w:val="000000"/>
                <w:lang w:val="hy-AM"/>
              </w:rPr>
              <w:t>տվեց</w:t>
            </w:r>
            <w:r w:rsidRPr="00615BBB">
              <w:rPr>
                <w:rFonts w:cs="Arial Armenian"/>
                <w:color w:val="000000"/>
                <w:lang w:val="hy-AM"/>
              </w:rPr>
              <w:t xml:space="preserve">, </w:t>
            </w:r>
            <w:r w:rsidRPr="00615BBB">
              <w:rPr>
                <w:rFonts w:cs="Sylfaen"/>
                <w:color w:val="000000"/>
                <w:lang w:val="hy-AM"/>
              </w:rPr>
              <w:t>ո</w:t>
            </w:r>
            <w:r w:rsidRPr="00955F0E">
              <w:rPr>
                <w:rFonts w:cs="Sylfaen"/>
                <w:color w:val="000000"/>
                <w:lang w:val="hy-AM"/>
              </w:rPr>
              <w:t>ր</w:t>
            </w:r>
            <w:r w:rsidRPr="00955F0E">
              <w:rPr>
                <w:rFonts w:cs="Arial Armenian"/>
                <w:color w:val="000000"/>
                <w:lang w:val="hy-AM"/>
              </w:rPr>
              <w:t xml:space="preserve"> </w:t>
            </w:r>
            <w:r w:rsidRPr="00955F0E">
              <w:rPr>
                <w:rFonts w:cs="Sylfaen"/>
                <w:color w:val="000000"/>
                <w:lang w:val="hy-AM"/>
              </w:rPr>
              <w:t>Հայաստանի</w:t>
            </w:r>
            <w:r w:rsidRPr="00955F0E">
              <w:rPr>
                <w:rFonts w:cs="Arial Armenian"/>
                <w:color w:val="000000"/>
                <w:lang w:val="hy-AM"/>
              </w:rPr>
              <w:t xml:space="preserve"> </w:t>
            </w:r>
            <w:r w:rsidRPr="00955F0E">
              <w:rPr>
                <w:rFonts w:cs="Sylfaen"/>
                <w:color w:val="000000"/>
                <w:lang w:val="hy-AM"/>
              </w:rPr>
              <w:t>Հանրապետությունում</w:t>
            </w:r>
            <w:r w:rsidRPr="00955F0E">
              <w:rPr>
                <w:rFonts w:cs="Arial Armenian"/>
                <w:color w:val="000000"/>
                <w:lang w:val="hy-AM"/>
              </w:rPr>
              <w:t xml:space="preserve"> </w:t>
            </w:r>
            <w:r w:rsidRPr="00955F0E">
              <w:rPr>
                <w:rFonts w:cs="Sylfaen"/>
                <w:color w:val="000000"/>
                <w:lang w:val="hy-AM"/>
              </w:rPr>
              <w:t>գոյություն</w:t>
            </w:r>
            <w:r w:rsidRPr="00955F0E">
              <w:rPr>
                <w:rFonts w:cs="Arial Armenian"/>
                <w:color w:val="000000"/>
                <w:lang w:val="hy-AM"/>
              </w:rPr>
              <w:t xml:space="preserve"> </w:t>
            </w:r>
            <w:r w:rsidRPr="00955F0E">
              <w:rPr>
                <w:rFonts w:cs="Sylfaen"/>
                <w:color w:val="000000"/>
                <w:lang w:val="hy-AM"/>
              </w:rPr>
              <w:t>ունեցող</w:t>
            </w:r>
            <w:r w:rsidRPr="00955F0E">
              <w:rPr>
                <w:rFonts w:cs="Arial Armenian"/>
                <w:color w:val="000000"/>
                <w:lang w:val="hy-AM"/>
              </w:rPr>
              <w:t xml:space="preserve"> </w:t>
            </w:r>
            <w:r w:rsidRPr="00955F0E">
              <w:rPr>
                <w:rFonts w:cs="Sylfaen"/>
                <w:color w:val="000000"/>
                <w:lang w:val="hy-AM"/>
              </w:rPr>
              <w:t>շենքերի</w:t>
            </w:r>
            <w:r w:rsidRPr="00955F0E">
              <w:rPr>
                <w:rFonts w:cs="Arial Armenian"/>
                <w:color w:val="000000"/>
                <w:lang w:val="hy-AM"/>
              </w:rPr>
              <w:t xml:space="preserve"> </w:t>
            </w:r>
            <w:r w:rsidRPr="00955F0E">
              <w:rPr>
                <w:rFonts w:cs="Sylfaen"/>
                <w:color w:val="000000"/>
                <w:lang w:val="hy-AM"/>
              </w:rPr>
              <w:t>գերակշռող</w:t>
            </w:r>
            <w:r w:rsidRPr="00955F0E">
              <w:rPr>
                <w:rFonts w:cs="Arial Armenian"/>
                <w:color w:val="000000"/>
                <w:lang w:val="hy-AM"/>
              </w:rPr>
              <w:t xml:space="preserve"> </w:t>
            </w:r>
            <w:r w:rsidRPr="00955F0E">
              <w:rPr>
                <w:rFonts w:cs="Sylfaen"/>
                <w:color w:val="000000"/>
                <w:lang w:val="hy-AM"/>
              </w:rPr>
              <w:t>մասի</w:t>
            </w:r>
            <w:r w:rsidRPr="00955F0E">
              <w:rPr>
                <w:rFonts w:cs="Arial Armenian"/>
                <w:color w:val="000000"/>
                <w:lang w:val="hy-AM"/>
              </w:rPr>
              <w:t xml:space="preserve"> </w:t>
            </w:r>
            <w:r w:rsidRPr="00955F0E">
              <w:rPr>
                <w:rFonts w:cs="Sylfaen"/>
                <w:color w:val="000000"/>
                <w:lang w:val="hy-AM"/>
              </w:rPr>
              <w:t>սեյսմակայունությունն</w:t>
            </w:r>
            <w:r w:rsidRPr="00955F0E">
              <w:rPr>
                <w:rFonts w:cs="Arial Armenian"/>
                <w:color w:val="000000"/>
                <w:lang w:val="hy-AM"/>
              </w:rPr>
              <w:t xml:space="preserve"> </w:t>
            </w:r>
            <w:r w:rsidRPr="00955F0E">
              <w:rPr>
                <w:rFonts w:cs="Sylfaen"/>
                <w:color w:val="000000"/>
                <w:lang w:val="hy-AM"/>
              </w:rPr>
              <w:t>ավելի</w:t>
            </w:r>
            <w:r w:rsidRPr="00955F0E">
              <w:rPr>
                <w:rFonts w:cs="Arial Armenian"/>
                <w:color w:val="000000"/>
                <w:lang w:val="hy-AM"/>
              </w:rPr>
              <w:t xml:space="preserve"> </w:t>
            </w:r>
            <w:r w:rsidRPr="00955F0E">
              <w:rPr>
                <w:rFonts w:cs="Sylfaen"/>
                <w:color w:val="000000"/>
                <w:lang w:val="hy-AM"/>
              </w:rPr>
              <w:t>ցածր</w:t>
            </w:r>
            <w:r w:rsidRPr="00955F0E">
              <w:rPr>
                <w:rFonts w:cs="Arial Armenian"/>
                <w:color w:val="000000"/>
                <w:lang w:val="hy-AM"/>
              </w:rPr>
              <w:t xml:space="preserve"> </w:t>
            </w:r>
            <w:r w:rsidRPr="00955F0E">
              <w:rPr>
                <w:rFonts w:cs="Sylfaen"/>
                <w:color w:val="000000"/>
                <w:lang w:val="hy-AM"/>
              </w:rPr>
              <w:t>է</w:t>
            </w:r>
            <w:r w:rsidRPr="00955F0E">
              <w:rPr>
                <w:rFonts w:cs="Arial Armenian"/>
                <w:color w:val="000000"/>
                <w:lang w:val="hy-AM"/>
              </w:rPr>
              <w:t xml:space="preserve">, </w:t>
            </w:r>
            <w:r w:rsidRPr="00955F0E">
              <w:rPr>
                <w:rFonts w:cs="Sylfaen"/>
                <w:color w:val="000000"/>
                <w:lang w:val="hy-AM"/>
              </w:rPr>
              <w:t>քան</w:t>
            </w:r>
            <w:r w:rsidRPr="00955F0E">
              <w:rPr>
                <w:rFonts w:cs="Arial Armenian"/>
                <w:color w:val="000000"/>
                <w:lang w:val="hy-AM"/>
              </w:rPr>
              <w:t xml:space="preserve"> </w:t>
            </w:r>
            <w:r w:rsidRPr="00955F0E">
              <w:rPr>
                <w:rFonts w:cs="Sylfaen"/>
                <w:color w:val="000000"/>
                <w:lang w:val="hy-AM"/>
              </w:rPr>
              <w:t>սպասվող</w:t>
            </w:r>
            <w:r w:rsidRPr="00955F0E">
              <w:rPr>
                <w:rFonts w:cs="Arial Armenian"/>
                <w:color w:val="000000"/>
                <w:lang w:val="hy-AM"/>
              </w:rPr>
              <w:t xml:space="preserve"> </w:t>
            </w:r>
            <w:r w:rsidRPr="00955F0E">
              <w:rPr>
                <w:rFonts w:cs="Sylfaen"/>
                <w:color w:val="000000"/>
                <w:lang w:val="hy-AM"/>
              </w:rPr>
              <w:t>սեյսմիկ</w:t>
            </w:r>
            <w:r w:rsidRPr="00955F0E">
              <w:rPr>
                <w:rFonts w:cs="Arial Armenian"/>
                <w:color w:val="000000"/>
                <w:lang w:val="hy-AM"/>
              </w:rPr>
              <w:t xml:space="preserve"> </w:t>
            </w:r>
            <w:r w:rsidRPr="00955F0E">
              <w:rPr>
                <w:rFonts w:cs="Sylfaen"/>
                <w:color w:val="000000"/>
                <w:lang w:val="hy-AM"/>
              </w:rPr>
              <w:t>վտանգի</w:t>
            </w:r>
            <w:r w:rsidRPr="00955F0E">
              <w:rPr>
                <w:rFonts w:cs="Arial Armenian"/>
                <w:color w:val="000000"/>
                <w:lang w:val="hy-AM"/>
              </w:rPr>
              <w:t xml:space="preserve"> </w:t>
            </w:r>
            <w:r w:rsidRPr="00955F0E">
              <w:rPr>
                <w:rFonts w:cs="Sylfaen"/>
                <w:color w:val="000000"/>
                <w:lang w:val="hy-AM"/>
              </w:rPr>
              <w:t>մակարդակը</w:t>
            </w:r>
            <w:r w:rsidRPr="00955F0E">
              <w:rPr>
                <w:rFonts w:cs="Arial Armenian"/>
                <w:color w:val="000000"/>
                <w:lang w:val="hy-AM"/>
              </w:rPr>
              <w:t xml:space="preserve">, </w:t>
            </w:r>
            <w:r w:rsidRPr="00955F0E">
              <w:rPr>
                <w:rFonts w:cs="Sylfaen"/>
                <w:color w:val="000000"/>
                <w:lang w:val="hy-AM"/>
              </w:rPr>
              <w:t>և</w:t>
            </w:r>
            <w:r w:rsidRPr="00955F0E">
              <w:rPr>
                <w:rFonts w:cs="Arial Armenian"/>
                <w:color w:val="000000"/>
                <w:lang w:val="hy-AM"/>
              </w:rPr>
              <w:t xml:space="preserve"> </w:t>
            </w:r>
            <w:r w:rsidRPr="00955F0E">
              <w:rPr>
                <w:rFonts w:cs="Sylfaen"/>
                <w:color w:val="000000"/>
                <w:lang w:val="hy-AM"/>
              </w:rPr>
              <w:t>փաստորեն</w:t>
            </w:r>
            <w:r w:rsidRPr="00955F0E">
              <w:rPr>
                <w:rFonts w:cs="Arial Armenian"/>
                <w:color w:val="000000"/>
                <w:lang w:val="hy-AM"/>
              </w:rPr>
              <w:t xml:space="preserve"> </w:t>
            </w:r>
            <w:r w:rsidRPr="00955F0E">
              <w:rPr>
                <w:rFonts w:cs="Sylfaen"/>
                <w:color w:val="000000"/>
                <w:lang w:val="hy-AM"/>
              </w:rPr>
              <w:t>նրա</w:t>
            </w:r>
            <w:r w:rsidRPr="00955F0E">
              <w:rPr>
                <w:rFonts w:cs="Arial Armenian"/>
                <w:color w:val="000000"/>
                <w:lang w:val="hy-AM"/>
              </w:rPr>
              <w:t xml:space="preserve"> </w:t>
            </w:r>
            <w:r w:rsidRPr="00955F0E">
              <w:rPr>
                <w:rFonts w:cs="Sylfaen"/>
                <w:color w:val="000000"/>
                <w:lang w:val="hy-AM"/>
              </w:rPr>
              <w:t>ամբողջ</w:t>
            </w:r>
            <w:r w:rsidRPr="00955F0E">
              <w:rPr>
                <w:rFonts w:cs="Arial Armenian"/>
                <w:color w:val="000000"/>
                <w:lang w:val="hy-AM"/>
              </w:rPr>
              <w:t xml:space="preserve"> </w:t>
            </w:r>
            <w:r w:rsidRPr="00955F0E">
              <w:rPr>
                <w:rFonts w:cs="Sylfaen"/>
                <w:color w:val="000000"/>
                <w:lang w:val="hy-AM"/>
              </w:rPr>
              <w:t>տարածքը</w:t>
            </w:r>
            <w:r w:rsidRPr="00955F0E">
              <w:rPr>
                <w:rFonts w:cs="Arial Armenian"/>
                <w:color w:val="000000"/>
                <w:lang w:val="hy-AM"/>
              </w:rPr>
              <w:t xml:space="preserve"> </w:t>
            </w:r>
            <w:r w:rsidRPr="00955F0E">
              <w:rPr>
                <w:rFonts w:cs="Sylfaen"/>
                <w:color w:val="000000"/>
                <w:lang w:val="hy-AM"/>
              </w:rPr>
              <w:t>գտնվում</w:t>
            </w:r>
            <w:r w:rsidRPr="00955F0E">
              <w:rPr>
                <w:rFonts w:cs="Arial Armenian"/>
                <w:color w:val="000000"/>
                <w:lang w:val="hy-AM"/>
              </w:rPr>
              <w:t xml:space="preserve"> </w:t>
            </w:r>
            <w:r w:rsidRPr="00955F0E">
              <w:rPr>
                <w:rFonts w:cs="Sylfaen"/>
                <w:color w:val="000000"/>
                <w:lang w:val="hy-AM"/>
              </w:rPr>
              <w:t>է</w:t>
            </w:r>
            <w:r w:rsidRPr="00955F0E">
              <w:rPr>
                <w:rFonts w:cs="Arial Armenian"/>
                <w:color w:val="000000"/>
                <w:lang w:val="hy-AM"/>
              </w:rPr>
              <w:t xml:space="preserve"> </w:t>
            </w:r>
            <w:r w:rsidRPr="00955F0E">
              <w:rPr>
                <w:rFonts w:cs="Sylfaen"/>
                <w:color w:val="000000"/>
                <w:lang w:val="hy-AM"/>
              </w:rPr>
              <w:t>բարձր</w:t>
            </w:r>
            <w:r w:rsidRPr="00955F0E">
              <w:rPr>
                <w:rFonts w:cs="Arial Armenian"/>
                <w:color w:val="000000"/>
                <w:lang w:val="hy-AM"/>
              </w:rPr>
              <w:t xml:space="preserve"> </w:t>
            </w:r>
            <w:r w:rsidRPr="00955F0E">
              <w:rPr>
                <w:rFonts w:cs="Sylfaen"/>
                <w:color w:val="000000"/>
                <w:lang w:val="hy-AM"/>
              </w:rPr>
              <w:t>սեյսմիկ</w:t>
            </w:r>
            <w:r w:rsidRPr="00955F0E">
              <w:rPr>
                <w:rFonts w:cs="Arial Armenian"/>
                <w:color w:val="000000"/>
                <w:lang w:val="hy-AM"/>
              </w:rPr>
              <w:t xml:space="preserve"> </w:t>
            </w:r>
            <w:r w:rsidRPr="00955F0E">
              <w:rPr>
                <w:rFonts w:cs="Sylfaen"/>
                <w:color w:val="000000"/>
                <w:lang w:val="hy-AM"/>
              </w:rPr>
              <w:t>ռիսկի</w:t>
            </w:r>
            <w:r w:rsidRPr="00955F0E">
              <w:rPr>
                <w:rFonts w:cs="Arial Armenian"/>
                <w:color w:val="000000"/>
                <w:lang w:val="hy-AM"/>
              </w:rPr>
              <w:t xml:space="preserve"> </w:t>
            </w:r>
            <w:r w:rsidRPr="00955F0E">
              <w:rPr>
                <w:rFonts w:cs="Sylfaen"/>
                <w:color w:val="000000"/>
                <w:lang w:val="hy-AM"/>
              </w:rPr>
              <w:t>գոտում</w:t>
            </w:r>
            <w:r w:rsidRPr="00955F0E">
              <w:rPr>
                <w:rFonts w:cs="Arial Armenian"/>
                <w:color w:val="000000"/>
                <w:lang w:val="hy-AM"/>
              </w:rPr>
              <w:t xml:space="preserve">: (2002 </w:t>
            </w:r>
            <w:r w:rsidRPr="00955F0E">
              <w:rPr>
                <w:rFonts w:cs="Sylfaen"/>
                <w:color w:val="000000"/>
                <w:lang w:val="hy-AM"/>
              </w:rPr>
              <w:t>թ</w:t>
            </w:r>
            <w:r w:rsidRPr="00955F0E">
              <w:rPr>
                <w:rFonts w:cs="Arial Armenian"/>
                <w:color w:val="000000"/>
                <w:lang w:val="hy-AM"/>
              </w:rPr>
              <w:t xml:space="preserve">. </w:t>
            </w:r>
            <w:r w:rsidRPr="00955F0E">
              <w:rPr>
                <w:rFonts w:cs="Sylfaen"/>
                <w:color w:val="000000"/>
                <w:lang w:val="hy-AM"/>
              </w:rPr>
              <w:t>հուլիսի</w:t>
            </w:r>
            <w:r w:rsidRPr="00955F0E">
              <w:rPr>
                <w:rFonts w:cs="Arial Armenian"/>
                <w:color w:val="000000"/>
                <w:lang w:val="hy-AM"/>
              </w:rPr>
              <w:t xml:space="preserve"> 6-</w:t>
            </w:r>
            <w:r w:rsidRPr="00955F0E">
              <w:rPr>
                <w:rFonts w:cs="Sylfaen"/>
                <w:color w:val="000000"/>
                <w:lang w:val="hy-AM"/>
              </w:rPr>
              <w:t>ի</w:t>
            </w:r>
            <w:r w:rsidRPr="00955F0E">
              <w:rPr>
                <w:rFonts w:cs="Arial Armenian"/>
                <w:color w:val="000000"/>
                <w:lang w:val="hy-AM"/>
              </w:rPr>
              <w:t xml:space="preserve"> «</w:t>
            </w:r>
            <w:r w:rsidRPr="00955F0E">
              <w:rPr>
                <w:rFonts w:cs="Sylfaen"/>
                <w:color w:val="000000"/>
                <w:lang w:val="hy-AM"/>
              </w:rPr>
              <w:t>Սեյսմիկ</w:t>
            </w:r>
            <w:r w:rsidRPr="00955F0E">
              <w:rPr>
                <w:rFonts w:cs="Arial Armenian"/>
                <w:color w:val="000000"/>
                <w:lang w:val="hy-AM"/>
              </w:rPr>
              <w:t xml:space="preserve"> </w:t>
            </w:r>
            <w:r w:rsidRPr="00955F0E">
              <w:rPr>
                <w:rFonts w:cs="Sylfaen"/>
                <w:color w:val="000000"/>
                <w:lang w:val="hy-AM"/>
              </w:rPr>
              <w:t>պաշտպանության</w:t>
            </w:r>
            <w:r w:rsidRPr="00955F0E">
              <w:rPr>
                <w:rFonts w:cs="Arial Armenian"/>
                <w:color w:val="000000"/>
                <w:lang w:val="hy-AM"/>
              </w:rPr>
              <w:t xml:space="preserve"> </w:t>
            </w:r>
            <w:r w:rsidRPr="00955F0E">
              <w:rPr>
                <w:rFonts w:cs="Sylfaen"/>
                <w:color w:val="000000"/>
                <w:lang w:val="hy-AM"/>
              </w:rPr>
              <w:t>մասին</w:t>
            </w:r>
            <w:r w:rsidRPr="00955F0E">
              <w:rPr>
                <w:rFonts w:cs="Arial Armenian"/>
                <w:color w:val="000000"/>
                <w:lang w:val="hy-AM"/>
              </w:rPr>
              <w:t xml:space="preserve">» </w:t>
            </w:r>
            <w:r w:rsidRPr="00955F0E">
              <w:rPr>
                <w:rFonts w:cs="Sylfaen"/>
                <w:color w:val="000000"/>
                <w:lang w:val="hy-AM"/>
              </w:rPr>
              <w:t>ՀՕ</w:t>
            </w:r>
            <w:r w:rsidRPr="00955F0E">
              <w:rPr>
                <w:rFonts w:cs="Arial Armenian"/>
                <w:color w:val="000000"/>
                <w:lang w:val="hy-AM"/>
              </w:rPr>
              <w:t>-376-</w:t>
            </w:r>
            <w:r w:rsidRPr="00955F0E">
              <w:rPr>
                <w:rFonts w:cs="Sylfaen"/>
                <w:color w:val="000000"/>
                <w:lang w:val="hy-AM"/>
              </w:rPr>
              <w:t>Ն</w:t>
            </w:r>
            <w:r w:rsidRPr="00955F0E">
              <w:rPr>
                <w:rFonts w:cs="Arial Armenian"/>
                <w:color w:val="000000"/>
                <w:lang w:val="hy-AM"/>
              </w:rPr>
              <w:t xml:space="preserve"> </w:t>
            </w:r>
            <w:r w:rsidRPr="00955F0E">
              <w:rPr>
                <w:rFonts w:cs="Sylfaen"/>
                <w:color w:val="000000"/>
                <w:lang w:val="hy-AM"/>
              </w:rPr>
              <w:t>ՀՀ</w:t>
            </w:r>
            <w:r w:rsidRPr="00955F0E">
              <w:rPr>
                <w:rFonts w:cs="Arial Armenian"/>
                <w:color w:val="000000"/>
                <w:lang w:val="hy-AM"/>
              </w:rPr>
              <w:t xml:space="preserve"> </w:t>
            </w:r>
            <w:r w:rsidRPr="00955F0E">
              <w:rPr>
                <w:rFonts w:cs="Sylfaen"/>
                <w:color w:val="000000"/>
                <w:lang w:val="hy-AM"/>
              </w:rPr>
              <w:t>օրենք</w:t>
            </w:r>
            <w:r w:rsidRPr="00955F0E">
              <w:rPr>
                <w:rFonts w:cs="Arial Armenian"/>
                <w:color w:val="000000"/>
                <w:lang w:val="hy-AM"/>
              </w:rPr>
              <w:t xml:space="preserve">, </w:t>
            </w:r>
            <w:r w:rsidRPr="00955F0E">
              <w:rPr>
                <w:rFonts w:cs="Sylfaen"/>
                <w:color w:val="000000"/>
                <w:lang w:val="hy-AM"/>
              </w:rPr>
              <w:t>հոդվածներ՝</w:t>
            </w:r>
            <w:r w:rsidRPr="00955F0E">
              <w:rPr>
                <w:rFonts w:cs="Arial Armenian"/>
                <w:color w:val="000000"/>
                <w:lang w:val="hy-AM"/>
              </w:rPr>
              <w:t xml:space="preserve"> 8, 9, 21, 23, 24):</w:t>
            </w:r>
          </w:p>
          <w:p w:rsidR="006B0618" w:rsidRPr="00955F0E" w:rsidRDefault="006B0618" w:rsidP="00A67858">
            <w:pPr>
              <w:numPr>
                <w:ilvl w:val="1"/>
                <w:numId w:val="79"/>
              </w:numPr>
              <w:tabs>
                <w:tab w:val="left" w:pos="270"/>
              </w:tabs>
              <w:spacing w:line="276" w:lineRule="auto"/>
              <w:ind w:left="0" w:right="256" w:firstLine="0"/>
              <w:jc w:val="both"/>
              <w:rPr>
                <w:rFonts w:cs="Sylfaen"/>
                <w:b/>
                <w:color w:val="000000"/>
                <w:lang w:val="hy-AM"/>
              </w:rPr>
            </w:pPr>
            <w:r w:rsidRPr="00955F0E">
              <w:rPr>
                <w:rFonts w:cs="Sylfaen"/>
                <w:b/>
                <w:color w:val="000000"/>
                <w:lang w:val="hy-AM"/>
              </w:rPr>
              <w:t>Կարգավորման</w:t>
            </w:r>
            <w:r w:rsidRPr="00955F0E">
              <w:rPr>
                <w:rFonts w:cs="Arial Armenian"/>
                <w:b/>
                <w:color w:val="000000"/>
                <w:lang w:val="hy-AM"/>
              </w:rPr>
              <w:t xml:space="preserve"> </w:t>
            </w:r>
            <w:r w:rsidRPr="00955F0E">
              <w:rPr>
                <w:rFonts w:cs="Sylfaen"/>
                <w:b/>
                <w:color w:val="000000"/>
                <w:lang w:val="hy-AM"/>
              </w:rPr>
              <w:t>հարաբերությունների</w:t>
            </w:r>
            <w:r w:rsidRPr="00955F0E">
              <w:rPr>
                <w:rFonts w:cs="Arial Armenian"/>
                <w:b/>
                <w:color w:val="000000"/>
                <w:lang w:val="hy-AM"/>
              </w:rPr>
              <w:t xml:space="preserve"> </w:t>
            </w:r>
            <w:r w:rsidRPr="00955F0E">
              <w:rPr>
                <w:rFonts w:cs="Sylfaen"/>
                <w:b/>
                <w:color w:val="000000"/>
                <w:lang w:val="hy-AM"/>
              </w:rPr>
              <w:t>ներկա</w:t>
            </w:r>
            <w:r w:rsidRPr="00955F0E">
              <w:rPr>
                <w:rFonts w:cs="Arial Armenian"/>
                <w:b/>
                <w:color w:val="000000"/>
                <w:lang w:val="hy-AM"/>
              </w:rPr>
              <w:t xml:space="preserve"> </w:t>
            </w:r>
            <w:r w:rsidRPr="00955F0E">
              <w:rPr>
                <w:rFonts w:cs="Sylfaen"/>
                <w:b/>
                <w:color w:val="000000"/>
                <w:lang w:val="hy-AM"/>
              </w:rPr>
              <w:t>վիճակը</w:t>
            </w:r>
            <w:r w:rsidRPr="00955F0E">
              <w:rPr>
                <w:rFonts w:cs="Arial Armenian"/>
                <w:b/>
                <w:color w:val="000000"/>
                <w:lang w:val="hy-AM"/>
              </w:rPr>
              <w:t xml:space="preserve"> </w:t>
            </w:r>
            <w:r w:rsidRPr="00955F0E">
              <w:rPr>
                <w:rFonts w:cs="Sylfaen"/>
                <w:b/>
                <w:color w:val="000000"/>
                <w:lang w:val="hy-AM"/>
              </w:rPr>
              <w:t>և</w:t>
            </w:r>
            <w:r w:rsidRPr="00955F0E">
              <w:rPr>
                <w:rFonts w:cs="Arial Armenian"/>
                <w:b/>
                <w:color w:val="000000"/>
                <w:lang w:val="hy-AM"/>
              </w:rPr>
              <w:t xml:space="preserve"> </w:t>
            </w:r>
            <w:r w:rsidRPr="00955F0E">
              <w:rPr>
                <w:rFonts w:cs="Sylfaen"/>
                <w:b/>
                <w:color w:val="000000"/>
                <w:lang w:val="hy-AM"/>
              </w:rPr>
              <w:t>առկա</w:t>
            </w:r>
            <w:r w:rsidRPr="00955F0E">
              <w:rPr>
                <w:rFonts w:cs="Arial Armenian"/>
                <w:b/>
                <w:color w:val="000000"/>
                <w:lang w:val="hy-AM"/>
              </w:rPr>
              <w:t xml:space="preserve"> </w:t>
            </w:r>
            <w:r w:rsidRPr="00955F0E">
              <w:rPr>
                <w:rFonts w:cs="Sylfaen"/>
                <w:b/>
                <w:color w:val="000000"/>
                <w:lang w:val="hy-AM"/>
              </w:rPr>
              <w:t>խնդիրները</w:t>
            </w:r>
          </w:p>
          <w:p w:rsidR="006B0618" w:rsidRPr="00955F0E" w:rsidRDefault="006B0618" w:rsidP="00A67858">
            <w:pPr>
              <w:tabs>
                <w:tab w:val="left" w:pos="270"/>
              </w:tabs>
              <w:spacing w:line="276" w:lineRule="auto"/>
              <w:ind w:right="256"/>
              <w:rPr>
                <w:rFonts w:cs="Arial Armenian"/>
                <w:b/>
                <w:color w:val="000000"/>
                <w:lang w:val="hy-AM"/>
              </w:rPr>
            </w:pPr>
            <w:r w:rsidRPr="00955F0E">
              <w:rPr>
                <w:rFonts w:cs="Arial Armenian"/>
                <w:color w:val="000000"/>
                <w:lang w:val="hy-AM"/>
              </w:rPr>
              <w:tab/>
              <w:t xml:space="preserve"> </w:t>
            </w:r>
            <w:r w:rsidRPr="00955F0E">
              <w:rPr>
                <w:rFonts w:cs="Sylfaen"/>
                <w:color w:val="000000"/>
                <w:lang w:val="hy-AM"/>
              </w:rPr>
              <w:t>Ներկայումս</w:t>
            </w:r>
            <w:r w:rsidRPr="00955F0E">
              <w:rPr>
                <w:rFonts w:cs="Arial Armenian"/>
                <w:color w:val="000000"/>
                <w:lang w:val="hy-AM"/>
              </w:rPr>
              <w:t xml:space="preserve"> </w:t>
            </w:r>
            <w:r w:rsidRPr="00955F0E">
              <w:rPr>
                <w:rFonts w:cs="Sylfaen"/>
                <w:color w:val="000000"/>
                <w:lang w:val="hy-AM"/>
              </w:rPr>
              <w:t>ՀՀ</w:t>
            </w:r>
            <w:r w:rsidRPr="00955F0E">
              <w:rPr>
                <w:rFonts w:cs="Arial Armenian"/>
                <w:color w:val="000000"/>
                <w:lang w:val="hy-AM"/>
              </w:rPr>
              <w:t xml:space="preserve"> </w:t>
            </w:r>
            <w:r w:rsidRPr="00955F0E">
              <w:rPr>
                <w:rFonts w:cs="Sylfaen"/>
                <w:color w:val="000000"/>
                <w:lang w:val="hy-AM"/>
              </w:rPr>
              <w:t>համար</w:t>
            </w:r>
            <w:r w:rsidRPr="00955F0E">
              <w:rPr>
                <w:rFonts w:cs="Arial Armenian"/>
                <w:color w:val="000000"/>
                <w:lang w:val="hy-AM"/>
              </w:rPr>
              <w:t xml:space="preserve"> </w:t>
            </w:r>
            <w:r w:rsidRPr="00955F0E">
              <w:rPr>
                <w:rFonts w:cs="Sylfaen"/>
                <w:color w:val="000000"/>
                <w:lang w:val="hy-AM"/>
              </w:rPr>
              <w:t>սեյսմիկ</w:t>
            </w:r>
            <w:r w:rsidRPr="00955F0E">
              <w:rPr>
                <w:rFonts w:cs="Arial Armenian"/>
                <w:color w:val="000000"/>
                <w:lang w:val="hy-AM"/>
              </w:rPr>
              <w:t xml:space="preserve"> </w:t>
            </w:r>
            <w:r w:rsidRPr="00955F0E">
              <w:rPr>
                <w:rFonts w:cs="Sylfaen"/>
                <w:color w:val="000000"/>
                <w:lang w:val="hy-AM"/>
              </w:rPr>
              <w:t>ռիսկը</w:t>
            </w:r>
            <w:r w:rsidRPr="00955F0E">
              <w:rPr>
                <w:rFonts w:cs="Arial Armenian"/>
                <w:color w:val="000000"/>
                <w:lang w:val="hy-AM"/>
              </w:rPr>
              <w:t xml:space="preserve"> </w:t>
            </w:r>
            <w:r w:rsidRPr="00955F0E">
              <w:rPr>
                <w:rFonts w:cs="Sylfaen"/>
                <w:color w:val="000000"/>
                <w:lang w:val="hy-AM"/>
              </w:rPr>
              <w:t>հասել</w:t>
            </w:r>
            <w:r w:rsidRPr="00955F0E">
              <w:rPr>
                <w:rFonts w:cs="Arial Armenian"/>
                <w:color w:val="000000"/>
                <w:lang w:val="hy-AM"/>
              </w:rPr>
              <w:t xml:space="preserve"> </w:t>
            </w:r>
            <w:r w:rsidRPr="00955F0E">
              <w:rPr>
                <w:rFonts w:cs="Sylfaen"/>
                <w:color w:val="000000"/>
                <w:lang w:val="hy-AM"/>
              </w:rPr>
              <w:t>է</w:t>
            </w:r>
            <w:r w:rsidRPr="00955F0E">
              <w:rPr>
                <w:rFonts w:cs="Arial Armenian"/>
                <w:color w:val="000000"/>
                <w:lang w:val="hy-AM"/>
              </w:rPr>
              <w:t xml:space="preserve"> </w:t>
            </w:r>
            <w:r w:rsidRPr="00955F0E">
              <w:rPr>
                <w:rFonts w:cs="Sylfaen"/>
                <w:color w:val="000000"/>
                <w:lang w:val="hy-AM"/>
              </w:rPr>
              <w:t>իր</w:t>
            </w:r>
            <w:r w:rsidRPr="00955F0E">
              <w:rPr>
                <w:rFonts w:cs="Arial Armenian"/>
                <w:color w:val="000000"/>
                <w:lang w:val="hy-AM"/>
              </w:rPr>
              <w:t xml:space="preserve"> </w:t>
            </w:r>
            <w:r w:rsidRPr="00955F0E">
              <w:rPr>
                <w:rFonts w:cs="Sylfaen"/>
                <w:color w:val="000000"/>
                <w:lang w:val="hy-AM"/>
              </w:rPr>
              <w:t>առավելագույն</w:t>
            </w:r>
            <w:r w:rsidRPr="00955F0E">
              <w:rPr>
                <w:rFonts w:cs="Arial Armenian"/>
                <w:color w:val="000000"/>
                <w:lang w:val="hy-AM"/>
              </w:rPr>
              <w:t xml:space="preserve"> </w:t>
            </w:r>
            <w:r w:rsidRPr="00955F0E">
              <w:rPr>
                <w:rFonts w:cs="Sylfaen"/>
                <w:color w:val="000000"/>
                <w:lang w:val="hy-AM"/>
              </w:rPr>
              <w:t>մակարդակին</w:t>
            </w:r>
            <w:r w:rsidRPr="00955F0E">
              <w:rPr>
                <w:rFonts w:cs="Arial Armenian"/>
                <w:color w:val="000000"/>
                <w:lang w:val="hy-AM"/>
              </w:rPr>
              <w:t xml:space="preserve">, </w:t>
            </w:r>
            <w:r w:rsidRPr="00955F0E">
              <w:rPr>
                <w:rFonts w:cs="Sylfaen"/>
                <w:color w:val="000000"/>
                <w:lang w:val="hy-AM"/>
              </w:rPr>
              <w:t>ինչը</w:t>
            </w:r>
            <w:r w:rsidRPr="00955F0E">
              <w:rPr>
                <w:rFonts w:cs="Arial Armenian"/>
                <w:color w:val="000000"/>
                <w:lang w:val="hy-AM"/>
              </w:rPr>
              <w:t xml:space="preserve"> </w:t>
            </w:r>
            <w:r w:rsidRPr="00955F0E">
              <w:rPr>
                <w:rFonts w:cs="Sylfaen"/>
                <w:color w:val="000000"/>
                <w:lang w:val="hy-AM"/>
              </w:rPr>
              <w:t>պայմանավորված</w:t>
            </w:r>
            <w:r w:rsidRPr="00955F0E">
              <w:rPr>
                <w:rFonts w:cs="Arial Armenian"/>
                <w:color w:val="000000"/>
                <w:lang w:val="hy-AM"/>
              </w:rPr>
              <w:t xml:space="preserve"> </w:t>
            </w:r>
            <w:r w:rsidRPr="00955F0E">
              <w:rPr>
                <w:rFonts w:cs="Sylfaen"/>
                <w:color w:val="000000"/>
                <w:lang w:val="hy-AM"/>
              </w:rPr>
              <w:t>է</w:t>
            </w:r>
            <w:r w:rsidRPr="00955F0E">
              <w:rPr>
                <w:rFonts w:cs="Arial Armenian"/>
                <w:color w:val="000000"/>
                <w:lang w:val="hy-AM"/>
              </w:rPr>
              <w:t xml:space="preserve"> </w:t>
            </w:r>
            <w:r w:rsidRPr="00955F0E">
              <w:rPr>
                <w:rFonts w:cs="Sylfaen"/>
                <w:color w:val="000000"/>
                <w:lang w:val="hy-AM"/>
              </w:rPr>
              <w:t>սեյսմիկ</w:t>
            </w:r>
            <w:r w:rsidRPr="00955F0E">
              <w:rPr>
                <w:rFonts w:cs="Arial Armenian"/>
                <w:color w:val="000000"/>
                <w:lang w:val="hy-AM"/>
              </w:rPr>
              <w:t xml:space="preserve"> </w:t>
            </w:r>
            <w:r w:rsidRPr="00955F0E">
              <w:rPr>
                <w:rFonts w:cs="Sylfaen"/>
                <w:color w:val="000000"/>
                <w:lang w:val="hy-AM"/>
              </w:rPr>
              <w:t>ակտիվության</w:t>
            </w:r>
            <w:r w:rsidRPr="00955F0E">
              <w:rPr>
                <w:rFonts w:cs="Arial Armenian"/>
                <w:color w:val="000000"/>
                <w:lang w:val="hy-AM"/>
              </w:rPr>
              <w:t xml:space="preserve"> </w:t>
            </w:r>
            <w:r w:rsidRPr="00955F0E">
              <w:rPr>
                <w:rFonts w:cs="Sylfaen"/>
                <w:color w:val="000000"/>
                <w:lang w:val="hy-AM"/>
              </w:rPr>
              <w:t>նոր</w:t>
            </w:r>
            <w:r w:rsidRPr="00955F0E">
              <w:rPr>
                <w:rFonts w:cs="Arial Armenian"/>
                <w:color w:val="000000"/>
                <w:lang w:val="hy-AM"/>
              </w:rPr>
              <w:t xml:space="preserve"> </w:t>
            </w:r>
            <w:r w:rsidRPr="00955F0E">
              <w:rPr>
                <w:rFonts w:cs="Sylfaen"/>
                <w:color w:val="000000"/>
                <w:lang w:val="hy-AM"/>
              </w:rPr>
              <w:t>ցիկլով</w:t>
            </w:r>
            <w:r w:rsidRPr="00955F0E">
              <w:rPr>
                <w:rFonts w:cs="Arial Armenian"/>
                <w:color w:val="000000"/>
                <w:lang w:val="hy-AM"/>
              </w:rPr>
              <w:t xml:space="preserve">, </w:t>
            </w:r>
            <w:r w:rsidRPr="00955F0E">
              <w:rPr>
                <w:rFonts w:cs="Sylfaen"/>
                <w:color w:val="000000"/>
                <w:lang w:val="hy-AM"/>
              </w:rPr>
              <w:t>շենքերի</w:t>
            </w:r>
            <w:r w:rsidRPr="00955F0E">
              <w:rPr>
                <w:rFonts w:cs="Arial Armenian"/>
                <w:color w:val="000000"/>
                <w:lang w:val="hy-AM"/>
              </w:rPr>
              <w:t xml:space="preserve"> </w:t>
            </w:r>
            <w:r w:rsidRPr="00955F0E">
              <w:rPr>
                <w:rFonts w:cs="Sylfaen"/>
                <w:color w:val="000000"/>
                <w:lang w:val="hy-AM"/>
              </w:rPr>
              <w:t>և</w:t>
            </w:r>
            <w:r w:rsidRPr="00955F0E">
              <w:rPr>
                <w:rFonts w:cs="Arial Armenian"/>
                <w:color w:val="000000"/>
                <w:lang w:val="hy-AM"/>
              </w:rPr>
              <w:t xml:space="preserve"> </w:t>
            </w:r>
            <w:r w:rsidRPr="00955F0E">
              <w:rPr>
                <w:rFonts w:cs="Sylfaen"/>
                <w:color w:val="000000"/>
                <w:lang w:val="hy-AM"/>
              </w:rPr>
              <w:t>շինությունների</w:t>
            </w:r>
            <w:r w:rsidRPr="00955F0E">
              <w:rPr>
                <w:rFonts w:cs="Arial Armenian"/>
                <w:color w:val="000000"/>
                <w:lang w:val="hy-AM"/>
              </w:rPr>
              <w:t xml:space="preserve"> </w:t>
            </w:r>
            <w:r w:rsidRPr="00955F0E">
              <w:rPr>
                <w:rFonts w:cs="Sylfaen"/>
                <w:color w:val="000000"/>
                <w:lang w:val="hy-AM"/>
              </w:rPr>
              <w:t>ցածր</w:t>
            </w:r>
            <w:r w:rsidRPr="00955F0E">
              <w:rPr>
                <w:rFonts w:cs="Arial Armenian"/>
                <w:color w:val="000000"/>
                <w:lang w:val="hy-AM"/>
              </w:rPr>
              <w:t xml:space="preserve"> </w:t>
            </w:r>
            <w:r w:rsidRPr="00955F0E">
              <w:rPr>
                <w:rFonts w:cs="Sylfaen"/>
                <w:color w:val="000000"/>
                <w:lang w:val="hy-AM"/>
              </w:rPr>
              <w:t>սեյսմակայունությամբ</w:t>
            </w:r>
            <w:r w:rsidRPr="00955F0E">
              <w:rPr>
                <w:rFonts w:cs="Arial Armenian"/>
                <w:color w:val="000000"/>
                <w:lang w:val="hy-AM"/>
              </w:rPr>
              <w:t xml:space="preserve">, </w:t>
            </w:r>
            <w:r w:rsidRPr="00955F0E">
              <w:rPr>
                <w:rFonts w:cs="Sylfaen"/>
                <w:color w:val="000000"/>
                <w:lang w:val="hy-AM"/>
              </w:rPr>
              <w:t>ուրբանիզացման</w:t>
            </w:r>
            <w:r w:rsidRPr="00955F0E">
              <w:rPr>
                <w:rFonts w:cs="Arial Armenian"/>
                <w:color w:val="000000"/>
                <w:lang w:val="hy-AM"/>
              </w:rPr>
              <w:t xml:space="preserve"> </w:t>
            </w:r>
            <w:r w:rsidRPr="00955F0E">
              <w:rPr>
                <w:rFonts w:cs="Sylfaen"/>
                <w:color w:val="000000"/>
                <w:lang w:val="hy-AM"/>
              </w:rPr>
              <w:t>բարձր</w:t>
            </w:r>
            <w:r w:rsidRPr="00955F0E">
              <w:rPr>
                <w:rFonts w:cs="Arial Armenian"/>
                <w:color w:val="000000"/>
                <w:lang w:val="hy-AM"/>
              </w:rPr>
              <w:t xml:space="preserve"> </w:t>
            </w:r>
            <w:r w:rsidRPr="00955F0E">
              <w:rPr>
                <w:rFonts w:cs="Sylfaen"/>
                <w:color w:val="000000"/>
                <w:lang w:val="hy-AM"/>
              </w:rPr>
              <w:t>մակարդակով</w:t>
            </w:r>
            <w:r w:rsidRPr="00955F0E">
              <w:rPr>
                <w:rFonts w:cs="Arial Armenian"/>
                <w:color w:val="000000"/>
                <w:lang w:val="hy-AM"/>
              </w:rPr>
              <w:t xml:space="preserve">, </w:t>
            </w:r>
            <w:r w:rsidRPr="00955F0E">
              <w:rPr>
                <w:rFonts w:cs="Sylfaen"/>
                <w:color w:val="000000"/>
                <w:lang w:val="hy-AM"/>
              </w:rPr>
              <w:t>հատուկ</w:t>
            </w:r>
            <w:r w:rsidRPr="00955F0E">
              <w:rPr>
                <w:rFonts w:cs="Arial Armenian"/>
                <w:color w:val="000000"/>
                <w:lang w:val="hy-AM"/>
              </w:rPr>
              <w:t xml:space="preserve"> </w:t>
            </w:r>
            <w:r w:rsidRPr="00955F0E">
              <w:rPr>
                <w:rFonts w:cs="Sylfaen"/>
                <w:color w:val="000000"/>
                <w:lang w:val="hy-AM"/>
              </w:rPr>
              <w:t>և</w:t>
            </w:r>
            <w:r w:rsidRPr="00955F0E">
              <w:rPr>
                <w:rFonts w:cs="Arial Armenian"/>
                <w:color w:val="000000"/>
                <w:lang w:val="hy-AM"/>
              </w:rPr>
              <w:t xml:space="preserve"> </w:t>
            </w:r>
            <w:r w:rsidRPr="00955F0E">
              <w:rPr>
                <w:rFonts w:cs="Sylfaen"/>
                <w:color w:val="000000"/>
                <w:lang w:val="hy-AM"/>
              </w:rPr>
              <w:t>կարևոր</w:t>
            </w:r>
            <w:r w:rsidRPr="00955F0E">
              <w:rPr>
                <w:rFonts w:cs="Arial Armenian"/>
                <w:color w:val="000000"/>
                <w:lang w:val="hy-AM"/>
              </w:rPr>
              <w:t xml:space="preserve"> </w:t>
            </w:r>
            <w:r w:rsidRPr="00955F0E">
              <w:rPr>
                <w:rFonts w:cs="Sylfaen"/>
                <w:color w:val="000000"/>
                <w:lang w:val="hy-AM"/>
              </w:rPr>
              <w:t>նշանակության</w:t>
            </w:r>
            <w:r w:rsidRPr="00955F0E">
              <w:rPr>
                <w:rFonts w:cs="Arial Armenian"/>
                <w:color w:val="000000"/>
                <w:lang w:val="hy-AM"/>
              </w:rPr>
              <w:t xml:space="preserve"> </w:t>
            </w:r>
            <w:r w:rsidRPr="00955F0E">
              <w:rPr>
                <w:rFonts w:cs="Sylfaen"/>
                <w:color w:val="000000"/>
                <w:lang w:val="hy-AM"/>
              </w:rPr>
              <w:t>կառույցներին</w:t>
            </w:r>
            <w:r w:rsidRPr="00955F0E">
              <w:rPr>
                <w:rFonts w:cs="Arial Armenian"/>
                <w:color w:val="000000"/>
                <w:lang w:val="hy-AM"/>
              </w:rPr>
              <w:t xml:space="preserve"> (</w:t>
            </w:r>
            <w:r w:rsidRPr="00955F0E">
              <w:rPr>
                <w:rFonts w:cs="Sylfaen"/>
                <w:color w:val="000000"/>
                <w:lang w:val="hy-AM"/>
              </w:rPr>
              <w:t>բազմաբնակարան</w:t>
            </w:r>
            <w:r w:rsidRPr="00955F0E">
              <w:rPr>
                <w:rFonts w:cs="Arial Armenian"/>
                <w:color w:val="000000"/>
                <w:lang w:val="hy-AM"/>
              </w:rPr>
              <w:t xml:space="preserve"> </w:t>
            </w:r>
            <w:r w:rsidRPr="00955F0E">
              <w:rPr>
                <w:rFonts w:cs="Sylfaen"/>
                <w:color w:val="000000"/>
                <w:lang w:val="hy-AM"/>
              </w:rPr>
              <w:t>բնակելի</w:t>
            </w:r>
            <w:r w:rsidRPr="00955F0E">
              <w:rPr>
                <w:rFonts w:cs="Arial Armenian"/>
                <w:color w:val="000000"/>
                <w:lang w:val="hy-AM"/>
              </w:rPr>
              <w:t xml:space="preserve"> </w:t>
            </w:r>
            <w:r w:rsidRPr="00955F0E">
              <w:rPr>
                <w:rFonts w:cs="Sylfaen"/>
                <w:color w:val="000000"/>
                <w:lang w:val="hy-AM"/>
              </w:rPr>
              <w:t>շենքեր</w:t>
            </w:r>
            <w:r w:rsidRPr="00955F0E">
              <w:rPr>
                <w:rFonts w:cs="Arial Armenian"/>
                <w:color w:val="000000"/>
                <w:lang w:val="hy-AM"/>
              </w:rPr>
              <w:t xml:space="preserve">, </w:t>
            </w:r>
            <w:r w:rsidRPr="00955F0E">
              <w:rPr>
                <w:rFonts w:cs="Sylfaen"/>
                <w:color w:val="000000"/>
                <w:lang w:val="hy-AM"/>
              </w:rPr>
              <w:t>դպրոցներ</w:t>
            </w:r>
            <w:r w:rsidRPr="00955F0E">
              <w:rPr>
                <w:rFonts w:cs="Arial Armenian"/>
                <w:color w:val="000000"/>
                <w:lang w:val="hy-AM"/>
              </w:rPr>
              <w:t xml:space="preserve">, </w:t>
            </w:r>
            <w:r w:rsidRPr="00955F0E">
              <w:rPr>
                <w:rFonts w:cs="Sylfaen"/>
                <w:color w:val="000000"/>
                <w:lang w:val="hy-AM"/>
              </w:rPr>
              <w:t>ջրամբարներ</w:t>
            </w:r>
            <w:r w:rsidRPr="00955F0E">
              <w:rPr>
                <w:rFonts w:cs="Arial Armenian"/>
                <w:color w:val="000000"/>
                <w:lang w:val="hy-AM"/>
              </w:rPr>
              <w:t xml:space="preserve">, </w:t>
            </w:r>
            <w:r w:rsidRPr="00955F0E">
              <w:rPr>
                <w:rFonts w:cs="Sylfaen"/>
                <w:color w:val="000000"/>
                <w:lang w:val="hy-AM"/>
              </w:rPr>
              <w:t>կենսապահովման</w:t>
            </w:r>
            <w:r w:rsidRPr="00955F0E">
              <w:rPr>
                <w:rFonts w:cs="Arial Armenian"/>
                <w:color w:val="000000"/>
                <w:lang w:val="hy-AM"/>
              </w:rPr>
              <w:t xml:space="preserve"> </w:t>
            </w:r>
            <w:r w:rsidRPr="00955F0E">
              <w:rPr>
                <w:rFonts w:cs="Sylfaen"/>
                <w:color w:val="000000"/>
                <w:lang w:val="hy-AM"/>
              </w:rPr>
              <w:t>գծեր</w:t>
            </w:r>
            <w:r w:rsidRPr="00955F0E">
              <w:rPr>
                <w:rFonts w:cs="Arial Armenian"/>
                <w:color w:val="000000"/>
                <w:lang w:val="hy-AM"/>
              </w:rPr>
              <w:t xml:space="preserve">, </w:t>
            </w:r>
            <w:r w:rsidRPr="00955F0E">
              <w:rPr>
                <w:rFonts w:cs="Sylfaen"/>
                <w:color w:val="000000"/>
                <w:lang w:val="hy-AM"/>
              </w:rPr>
              <w:t>առողջապահական</w:t>
            </w:r>
            <w:r w:rsidRPr="00955F0E">
              <w:rPr>
                <w:rFonts w:cs="Arial Armenian"/>
                <w:color w:val="000000"/>
                <w:lang w:val="hy-AM"/>
              </w:rPr>
              <w:t xml:space="preserve"> </w:t>
            </w:r>
            <w:r w:rsidRPr="00955F0E">
              <w:rPr>
                <w:rFonts w:cs="Sylfaen"/>
                <w:color w:val="000000"/>
                <w:lang w:val="hy-AM"/>
              </w:rPr>
              <w:t>հիմնարկներ</w:t>
            </w:r>
            <w:r w:rsidRPr="00955F0E">
              <w:rPr>
                <w:rFonts w:cs="Arial Armenian"/>
                <w:color w:val="000000"/>
                <w:lang w:val="hy-AM"/>
              </w:rPr>
              <w:t xml:space="preserve"> </w:t>
            </w:r>
            <w:r w:rsidRPr="00955F0E">
              <w:rPr>
                <w:rFonts w:cs="Sylfaen"/>
                <w:color w:val="000000"/>
                <w:lang w:val="hy-AM"/>
              </w:rPr>
              <w:t>և</w:t>
            </w:r>
            <w:r w:rsidRPr="00955F0E">
              <w:rPr>
                <w:rFonts w:cs="Arial Armenian"/>
                <w:color w:val="000000"/>
                <w:lang w:val="hy-AM"/>
              </w:rPr>
              <w:t xml:space="preserve"> </w:t>
            </w:r>
            <w:r w:rsidRPr="00955F0E">
              <w:rPr>
                <w:rFonts w:cs="Sylfaen"/>
                <w:color w:val="000000"/>
                <w:lang w:val="hy-AM"/>
              </w:rPr>
              <w:t>այլն</w:t>
            </w:r>
            <w:r w:rsidRPr="00955F0E">
              <w:rPr>
                <w:rFonts w:cs="Arial Armenian"/>
                <w:color w:val="000000"/>
                <w:lang w:val="hy-AM"/>
              </w:rPr>
              <w:t xml:space="preserve">) </w:t>
            </w:r>
            <w:r w:rsidRPr="00955F0E">
              <w:rPr>
                <w:rFonts w:cs="Sylfaen"/>
                <w:color w:val="000000"/>
                <w:lang w:val="hy-AM"/>
              </w:rPr>
              <w:t>հատկացված</w:t>
            </w:r>
            <w:r w:rsidRPr="00955F0E">
              <w:rPr>
                <w:rFonts w:cs="Arial Armenian"/>
                <w:color w:val="000000"/>
                <w:lang w:val="hy-AM"/>
              </w:rPr>
              <w:t xml:space="preserve"> </w:t>
            </w:r>
            <w:r w:rsidRPr="00955F0E">
              <w:rPr>
                <w:rFonts w:cs="Sylfaen"/>
                <w:color w:val="000000"/>
                <w:lang w:val="hy-AM"/>
              </w:rPr>
              <w:t>ոչ</w:t>
            </w:r>
            <w:r w:rsidRPr="00955F0E">
              <w:rPr>
                <w:rFonts w:cs="Arial Armenian"/>
                <w:color w:val="000000"/>
                <w:lang w:val="hy-AM"/>
              </w:rPr>
              <w:t xml:space="preserve"> </w:t>
            </w:r>
            <w:r w:rsidRPr="00955F0E">
              <w:rPr>
                <w:rFonts w:cs="Sylfaen"/>
                <w:color w:val="000000"/>
                <w:lang w:val="hy-AM"/>
              </w:rPr>
              <w:t>բավարար</w:t>
            </w:r>
            <w:r w:rsidRPr="00955F0E">
              <w:rPr>
                <w:rFonts w:cs="Arial Armenian"/>
                <w:color w:val="000000"/>
                <w:lang w:val="hy-AM"/>
              </w:rPr>
              <w:t xml:space="preserve"> </w:t>
            </w:r>
            <w:r w:rsidRPr="00955F0E">
              <w:rPr>
                <w:rFonts w:cs="Sylfaen"/>
                <w:color w:val="000000"/>
                <w:lang w:val="hy-AM"/>
              </w:rPr>
              <w:t>ուշադրությամբ</w:t>
            </w:r>
            <w:r w:rsidRPr="00955F0E">
              <w:rPr>
                <w:rFonts w:cs="Arial Armenian"/>
                <w:color w:val="000000"/>
                <w:lang w:val="hy-AM"/>
              </w:rPr>
              <w:t xml:space="preserve">, </w:t>
            </w:r>
            <w:r w:rsidRPr="00955F0E">
              <w:rPr>
                <w:rFonts w:cs="Sylfaen"/>
                <w:color w:val="000000"/>
                <w:lang w:val="hy-AM"/>
              </w:rPr>
              <w:t>բնակչության</w:t>
            </w:r>
            <w:r w:rsidRPr="00955F0E">
              <w:rPr>
                <w:rFonts w:cs="Arial Armenian"/>
                <w:color w:val="000000"/>
                <w:lang w:val="hy-AM"/>
              </w:rPr>
              <w:t xml:space="preserve"> </w:t>
            </w:r>
            <w:r w:rsidRPr="00955F0E">
              <w:rPr>
                <w:rFonts w:cs="Sylfaen"/>
                <w:color w:val="000000"/>
                <w:lang w:val="hy-AM"/>
              </w:rPr>
              <w:t>վատ</w:t>
            </w:r>
            <w:r w:rsidRPr="00955F0E">
              <w:rPr>
                <w:rFonts w:cs="Arial Armenian"/>
                <w:color w:val="000000"/>
                <w:lang w:val="hy-AM"/>
              </w:rPr>
              <w:t xml:space="preserve"> </w:t>
            </w:r>
            <w:r w:rsidRPr="00955F0E">
              <w:rPr>
                <w:rFonts w:cs="Sylfaen"/>
                <w:color w:val="000000"/>
                <w:lang w:val="hy-AM"/>
              </w:rPr>
              <w:t>տեղեկացմամբ</w:t>
            </w:r>
            <w:r w:rsidRPr="00955F0E">
              <w:rPr>
                <w:rFonts w:cs="Arial Armenian"/>
                <w:color w:val="000000"/>
                <w:lang w:val="hy-AM"/>
              </w:rPr>
              <w:t xml:space="preserve">, </w:t>
            </w:r>
            <w:r w:rsidRPr="00955F0E">
              <w:rPr>
                <w:rFonts w:cs="Sylfaen"/>
                <w:color w:val="000000"/>
                <w:lang w:val="hy-AM"/>
              </w:rPr>
              <w:t>սոցիալ</w:t>
            </w:r>
            <w:r w:rsidRPr="00955F0E">
              <w:rPr>
                <w:rFonts w:cs="Arial Armenian"/>
                <w:color w:val="000000"/>
                <w:lang w:val="hy-AM"/>
              </w:rPr>
              <w:t>-</w:t>
            </w:r>
            <w:r w:rsidRPr="00955F0E">
              <w:rPr>
                <w:rFonts w:cs="Sylfaen"/>
                <w:color w:val="000000"/>
                <w:lang w:val="hy-AM"/>
              </w:rPr>
              <w:t>տնտեսական</w:t>
            </w:r>
            <w:r w:rsidRPr="00955F0E">
              <w:rPr>
                <w:rFonts w:cs="Arial Armenian"/>
                <w:color w:val="000000"/>
                <w:lang w:val="hy-AM"/>
              </w:rPr>
              <w:t xml:space="preserve"> </w:t>
            </w:r>
            <w:r w:rsidRPr="00955F0E">
              <w:rPr>
                <w:rFonts w:cs="Sylfaen"/>
                <w:color w:val="000000"/>
                <w:lang w:val="hy-AM"/>
              </w:rPr>
              <w:t>վիճակով</w:t>
            </w:r>
            <w:r w:rsidRPr="00955F0E">
              <w:rPr>
                <w:rFonts w:cs="Arial Armenian"/>
                <w:color w:val="000000"/>
                <w:lang w:val="hy-AM"/>
              </w:rPr>
              <w:t xml:space="preserve"> </w:t>
            </w:r>
            <w:r w:rsidRPr="00955F0E">
              <w:rPr>
                <w:rFonts w:cs="Sylfaen"/>
                <w:color w:val="000000"/>
                <w:lang w:val="hy-AM"/>
              </w:rPr>
              <w:t>և</w:t>
            </w:r>
            <w:r w:rsidRPr="00955F0E">
              <w:rPr>
                <w:rFonts w:cs="Arial Armenian"/>
                <w:color w:val="000000"/>
                <w:lang w:val="hy-AM"/>
              </w:rPr>
              <w:t xml:space="preserve"> </w:t>
            </w:r>
            <w:r w:rsidRPr="00955F0E">
              <w:rPr>
                <w:rFonts w:cs="Sylfaen"/>
                <w:color w:val="000000"/>
                <w:lang w:val="hy-AM"/>
              </w:rPr>
              <w:t>այլ</w:t>
            </w:r>
            <w:r w:rsidRPr="00955F0E">
              <w:rPr>
                <w:rFonts w:cs="Arial Armenian"/>
                <w:color w:val="000000"/>
                <w:lang w:val="hy-AM"/>
              </w:rPr>
              <w:t xml:space="preserve"> </w:t>
            </w:r>
            <w:r w:rsidRPr="00955F0E">
              <w:rPr>
                <w:rFonts w:cs="Sylfaen"/>
                <w:color w:val="000000"/>
                <w:lang w:val="hy-AM"/>
              </w:rPr>
              <w:t>գործոններով</w:t>
            </w:r>
            <w:r w:rsidRPr="00955F0E">
              <w:rPr>
                <w:rFonts w:cs="Arial Armenian"/>
                <w:color w:val="000000"/>
                <w:lang w:val="hy-AM"/>
              </w:rPr>
              <w:t xml:space="preserve">: </w:t>
            </w:r>
            <w:r w:rsidRPr="00955F0E">
              <w:rPr>
                <w:rFonts w:cs="Sylfaen"/>
                <w:color w:val="000000"/>
                <w:lang w:val="hy-AM"/>
              </w:rPr>
              <w:t>Չնայած</w:t>
            </w:r>
            <w:r w:rsidRPr="00955F0E">
              <w:rPr>
                <w:rFonts w:cs="Arial Armenian"/>
                <w:color w:val="000000"/>
                <w:lang w:val="hy-AM"/>
              </w:rPr>
              <w:t xml:space="preserve"> </w:t>
            </w:r>
            <w:r w:rsidRPr="00955F0E">
              <w:rPr>
                <w:rFonts w:cs="Sylfaen"/>
                <w:color w:val="000000"/>
                <w:lang w:val="hy-AM"/>
              </w:rPr>
              <w:t>այն</w:t>
            </w:r>
            <w:r w:rsidRPr="00955F0E">
              <w:rPr>
                <w:rFonts w:cs="Arial Armenian"/>
                <w:color w:val="000000"/>
                <w:lang w:val="hy-AM"/>
              </w:rPr>
              <w:t xml:space="preserve"> </w:t>
            </w:r>
            <w:r w:rsidRPr="00955F0E">
              <w:rPr>
                <w:rFonts w:cs="Sylfaen"/>
                <w:color w:val="000000"/>
                <w:lang w:val="hy-AM"/>
              </w:rPr>
              <w:t>հանգամանքին</w:t>
            </w:r>
            <w:r w:rsidRPr="00955F0E">
              <w:rPr>
                <w:rFonts w:cs="Arial Armenian"/>
                <w:color w:val="000000"/>
                <w:lang w:val="hy-AM"/>
              </w:rPr>
              <w:t xml:space="preserve">, </w:t>
            </w:r>
            <w:r w:rsidRPr="00955F0E">
              <w:rPr>
                <w:rFonts w:cs="Sylfaen"/>
                <w:color w:val="000000"/>
                <w:lang w:val="hy-AM"/>
              </w:rPr>
              <w:t>որ</w:t>
            </w:r>
            <w:r w:rsidRPr="00955F0E">
              <w:rPr>
                <w:rFonts w:cs="Arial Armenian"/>
                <w:color w:val="000000"/>
                <w:lang w:val="hy-AM"/>
              </w:rPr>
              <w:t xml:space="preserve"> </w:t>
            </w:r>
            <w:r w:rsidRPr="00955F0E">
              <w:rPr>
                <w:rFonts w:cs="Sylfaen"/>
                <w:color w:val="000000"/>
                <w:lang w:val="hy-AM"/>
              </w:rPr>
              <w:t>ընդունվել</w:t>
            </w:r>
            <w:r w:rsidRPr="00955F0E">
              <w:rPr>
                <w:rFonts w:cs="Arial Armenian"/>
                <w:color w:val="000000"/>
                <w:lang w:val="hy-AM"/>
              </w:rPr>
              <w:t xml:space="preserve"> </w:t>
            </w:r>
            <w:r w:rsidRPr="00955F0E">
              <w:rPr>
                <w:rFonts w:cs="Sylfaen"/>
                <w:color w:val="000000"/>
                <w:lang w:val="hy-AM"/>
              </w:rPr>
              <w:t>են</w:t>
            </w:r>
            <w:r w:rsidRPr="00955F0E">
              <w:rPr>
                <w:color w:val="000000"/>
                <w:lang w:val="hy-AM"/>
              </w:rPr>
              <w:t xml:space="preserve"> </w:t>
            </w:r>
            <w:r w:rsidRPr="00955F0E">
              <w:rPr>
                <w:rFonts w:cs="Sylfaen"/>
                <w:color w:val="000000"/>
                <w:lang w:val="hy-AM"/>
              </w:rPr>
              <w:t>բազմաթիվ</w:t>
            </w:r>
            <w:r w:rsidRPr="00955F0E">
              <w:rPr>
                <w:rFonts w:cs="Arial Armenian"/>
                <w:color w:val="000000"/>
                <w:lang w:val="hy-AM"/>
              </w:rPr>
              <w:t xml:space="preserve"> </w:t>
            </w:r>
            <w:r w:rsidRPr="00955F0E">
              <w:rPr>
                <w:rFonts w:cs="Sylfaen"/>
                <w:color w:val="000000"/>
                <w:lang w:val="hy-AM"/>
              </w:rPr>
              <w:t>օրենքներ</w:t>
            </w:r>
            <w:r w:rsidRPr="00955F0E">
              <w:rPr>
                <w:rFonts w:cs="Arial Armenian"/>
                <w:color w:val="000000"/>
                <w:lang w:val="hy-AM"/>
              </w:rPr>
              <w:t xml:space="preserve"> </w:t>
            </w:r>
            <w:r w:rsidRPr="00955F0E">
              <w:rPr>
                <w:rFonts w:cs="Sylfaen"/>
                <w:color w:val="000000"/>
                <w:lang w:val="hy-AM"/>
              </w:rPr>
              <w:t>և</w:t>
            </w:r>
            <w:r w:rsidRPr="00955F0E">
              <w:rPr>
                <w:rFonts w:cs="Arial Armenian"/>
                <w:color w:val="000000"/>
                <w:lang w:val="hy-AM"/>
              </w:rPr>
              <w:t xml:space="preserve"> </w:t>
            </w:r>
            <w:r w:rsidRPr="00955F0E">
              <w:rPr>
                <w:rFonts w:cs="Sylfaen"/>
                <w:color w:val="000000"/>
                <w:lang w:val="hy-AM"/>
              </w:rPr>
              <w:t>որոշումներ</w:t>
            </w:r>
            <w:r w:rsidRPr="00955F0E">
              <w:rPr>
                <w:rFonts w:cs="Arial Armenian"/>
                <w:color w:val="000000"/>
                <w:lang w:val="hy-AM"/>
              </w:rPr>
              <w:t xml:space="preserve"> </w:t>
            </w:r>
            <w:r w:rsidRPr="00955F0E">
              <w:rPr>
                <w:rFonts w:cs="Sylfaen"/>
                <w:color w:val="000000"/>
                <w:lang w:val="hy-AM"/>
              </w:rPr>
              <w:t>ուղղված</w:t>
            </w:r>
            <w:r w:rsidRPr="00955F0E">
              <w:rPr>
                <w:rFonts w:cs="Arial Armenian"/>
                <w:color w:val="000000"/>
                <w:lang w:val="hy-AM"/>
              </w:rPr>
              <w:t xml:space="preserve"> </w:t>
            </w:r>
            <w:r w:rsidRPr="00955F0E">
              <w:rPr>
                <w:rFonts w:cs="Sylfaen"/>
                <w:color w:val="000000"/>
                <w:lang w:val="hy-AM"/>
              </w:rPr>
              <w:t>ազգաբնակչության</w:t>
            </w:r>
            <w:r w:rsidRPr="00955F0E">
              <w:rPr>
                <w:rFonts w:cs="Arial Armenian"/>
                <w:color w:val="000000"/>
                <w:lang w:val="hy-AM"/>
              </w:rPr>
              <w:t xml:space="preserve"> </w:t>
            </w:r>
            <w:r w:rsidRPr="00955F0E">
              <w:rPr>
                <w:rFonts w:cs="Sylfaen"/>
                <w:color w:val="000000"/>
                <w:lang w:val="hy-AM"/>
              </w:rPr>
              <w:t>առողջության</w:t>
            </w:r>
            <w:r w:rsidRPr="00955F0E">
              <w:rPr>
                <w:rFonts w:cs="Arial Armenian"/>
                <w:color w:val="000000"/>
                <w:lang w:val="hy-AM"/>
              </w:rPr>
              <w:t xml:space="preserve"> </w:t>
            </w:r>
            <w:r w:rsidRPr="00955F0E">
              <w:rPr>
                <w:rFonts w:cs="Sylfaen"/>
                <w:color w:val="000000"/>
                <w:lang w:val="hy-AM"/>
              </w:rPr>
              <w:t>ու</w:t>
            </w:r>
            <w:r w:rsidRPr="00955F0E">
              <w:rPr>
                <w:rFonts w:cs="Arial Armenian"/>
                <w:color w:val="000000"/>
                <w:lang w:val="hy-AM"/>
              </w:rPr>
              <w:t xml:space="preserve"> </w:t>
            </w:r>
            <w:r w:rsidRPr="00955F0E">
              <w:rPr>
                <w:rFonts w:cs="Sylfaen"/>
                <w:color w:val="000000"/>
                <w:lang w:val="hy-AM"/>
              </w:rPr>
              <w:t>անվտանգության</w:t>
            </w:r>
            <w:r w:rsidRPr="00955F0E">
              <w:rPr>
                <w:rFonts w:cs="Arial Armenian"/>
                <w:color w:val="000000"/>
                <w:lang w:val="hy-AM"/>
              </w:rPr>
              <w:t xml:space="preserve"> </w:t>
            </w:r>
            <w:r w:rsidRPr="00955F0E">
              <w:rPr>
                <w:rFonts w:cs="Sylfaen"/>
                <w:color w:val="000000"/>
                <w:lang w:val="hy-AM"/>
              </w:rPr>
              <w:t>ապահովմանը</w:t>
            </w:r>
            <w:r w:rsidRPr="00955F0E">
              <w:rPr>
                <w:rFonts w:cs="Arial Armenian"/>
                <w:color w:val="000000"/>
                <w:lang w:val="hy-AM"/>
              </w:rPr>
              <w:t xml:space="preserve">, </w:t>
            </w:r>
            <w:r w:rsidRPr="00955F0E">
              <w:rPr>
                <w:rFonts w:cs="Sylfaen"/>
                <w:color w:val="000000"/>
                <w:lang w:val="hy-AM"/>
              </w:rPr>
              <w:t>սակայն</w:t>
            </w:r>
            <w:r w:rsidRPr="00955F0E">
              <w:rPr>
                <w:rFonts w:cs="Arial Armenian"/>
                <w:color w:val="000000"/>
                <w:lang w:val="hy-AM"/>
              </w:rPr>
              <w:t xml:space="preserve"> </w:t>
            </w:r>
            <w:r w:rsidRPr="00955F0E">
              <w:rPr>
                <w:rFonts w:cs="Sylfaen"/>
                <w:color w:val="000000"/>
                <w:lang w:val="hy-AM"/>
              </w:rPr>
              <w:t>շատ</w:t>
            </w:r>
            <w:r w:rsidRPr="00955F0E">
              <w:rPr>
                <w:rFonts w:cs="Arial Armenian"/>
                <w:color w:val="000000"/>
                <w:lang w:val="hy-AM"/>
              </w:rPr>
              <w:t xml:space="preserve"> </w:t>
            </w:r>
            <w:r w:rsidRPr="00955F0E">
              <w:rPr>
                <w:rFonts w:cs="Sylfaen"/>
                <w:color w:val="000000"/>
                <w:lang w:val="hy-AM"/>
              </w:rPr>
              <w:t>խնդիրներ</w:t>
            </w:r>
            <w:r w:rsidRPr="00955F0E">
              <w:rPr>
                <w:rFonts w:cs="Arial Armenian"/>
                <w:color w:val="000000"/>
                <w:lang w:val="hy-AM"/>
              </w:rPr>
              <w:t xml:space="preserve"> </w:t>
            </w:r>
            <w:r w:rsidRPr="00955F0E">
              <w:rPr>
                <w:rFonts w:cs="Sylfaen"/>
                <w:color w:val="000000"/>
                <w:lang w:val="hy-AM"/>
              </w:rPr>
              <w:t>այս</w:t>
            </w:r>
            <w:r w:rsidRPr="00955F0E">
              <w:rPr>
                <w:rFonts w:cs="Arial Armenian"/>
                <w:color w:val="000000"/>
                <w:lang w:val="hy-AM"/>
              </w:rPr>
              <w:t xml:space="preserve"> </w:t>
            </w:r>
            <w:r w:rsidRPr="00955F0E">
              <w:rPr>
                <w:rFonts w:cs="Sylfaen"/>
                <w:color w:val="000000"/>
                <w:lang w:val="hy-AM"/>
              </w:rPr>
              <w:t>բնագավառում</w:t>
            </w:r>
            <w:r w:rsidRPr="00955F0E">
              <w:rPr>
                <w:rFonts w:cs="Arial Armenian"/>
                <w:color w:val="000000"/>
                <w:lang w:val="hy-AM"/>
              </w:rPr>
              <w:t xml:space="preserve"> </w:t>
            </w:r>
            <w:r w:rsidRPr="00955F0E">
              <w:rPr>
                <w:rFonts w:cs="Sylfaen"/>
                <w:color w:val="000000"/>
                <w:lang w:val="hy-AM"/>
              </w:rPr>
              <w:t>դեռևս</w:t>
            </w:r>
            <w:r w:rsidRPr="00955F0E">
              <w:rPr>
                <w:rFonts w:cs="Arial Armenian"/>
                <w:color w:val="000000"/>
                <w:lang w:val="hy-AM"/>
              </w:rPr>
              <w:t xml:space="preserve"> </w:t>
            </w:r>
            <w:r w:rsidRPr="00955F0E">
              <w:rPr>
                <w:rFonts w:cs="Sylfaen"/>
                <w:color w:val="000000"/>
                <w:lang w:val="hy-AM"/>
              </w:rPr>
              <w:t>մնում</w:t>
            </w:r>
            <w:r w:rsidRPr="00955F0E">
              <w:rPr>
                <w:rFonts w:cs="Arial Armenian"/>
                <w:color w:val="000000"/>
                <w:lang w:val="hy-AM"/>
              </w:rPr>
              <w:t xml:space="preserve"> </w:t>
            </w:r>
            <w:r w:rsidRPr="00955F0E">
              <w:rPr>
                <w:rFonts w:cs="Sylfaen"/>
                <w:color w:val="000000"/>
                <w:lang w:val="hy-AM"/>
              </w:rPr>
              <w:t>են</w:t>
            </w:r>
            <w:r w:rsidRPr="00955F0E">
              <w:rPr>
                <w:rFonts w:cs="Arial Armenian"/>
                <w:color w:val="000000"/>
                <w:lang w:val="hy-AM"/>
              </w:rPr>
              <w:t xml:space="preserve"> </w:t>
            </w:r>
            <w:r w:rsidRPr="00955F0E">
              <w:rPr>
                <w:rFonts w:cs="Sylfaen"/>
                <w:color w:val="000000"/>
                <w:lang w:val="hy-AM"/>
              </w:rPr>
              <w:t>չլուծված</w:t>
            </w:r>
            <w:r w:rsidRPr="00955F0E">
              <w:rPr>
                <w:rFonts w:cs="Arial Armenian"/>
                <w:color w:val="000000"/>
                <w:lang w:val="hy-AM"/>
              </w:rPr>
              <w:t xml:space="preserve">, </w:t>
            </w:r>
            <w:r w:rsidRPr="00955F0E">
              <w:rPr>
                <w:rFonts w:cs="Sylfaen"/>
                <w:color w:val="000000"/>
                <w:lang w:val="hy-AM"/>
              </w:rPr>
              <w:t>մասնավորապես</w:t>
            </w:r>
            <w:r w:rsidRPr="00955F0E">
              <w:rPr>
                <w:rFonts w:cs="Arial Armenian"/>
                <w:color w:val="000000"/>
                <w:lang w:val="hy-AM"/>
              </w:rPr>
              <w:t xml:space="preserve"> </w:t>
            </w:r>
            <w:r w:rsidRPr="00955F0E">
              <w:rPr>
                <w:rFonts w:cs="Sylfaen"/>
                <w:color w:val="000000"/>
                <w:lang w:val="hy-AM"/>
              </w:rPr>
              <w:t>շենքերի</w:t>
            </w:r>
            <w:r w:rsidRPr="00955F0E">
              <w:rPr>
                <w:rFonts w:cs="Arial Armenian"/>
                <w:color w:val="000000"/>
                <w:lang w:val="hy-AM"/>
              </w:rPr>
              <w:t xml:space="preserve"> </w:t>
            </w:r>
            <w:r w:rsidRPr="00955F0E">
              <w:rPr>
                <w:rFonts w:cs="Sylfaen"/>
                <w:color w:val="000000"/>
                <w:lang w:val="hy-AM"/>
              </w:rPr>
              <w:t>ու</w:t>
            </w:r>
            <w:r w:rsidRPr="00955F0E">
              <w:rPr>
                <w:rFonts w:cs="Arial Armenian"/>
                <w:color w:val="000000"/>
                <w:lang w:val="hy-AM"/>
              </w:rPr>
              <w:t xml:space="preserve"> </w:t>
            </w:r>
            <w:r w:rsidRPr="00955F0E">
              <w:rPr>
                <w:rFonts w:cs="Sylfaen"/>
                <w:color w:val="000000"/>
                <w:lang w:val="hy-AM"/>
              </w:rPr>
              <w:t>շինությունների</w:t>
            </w:r>
            <w:r w:rsidRPr="00955F0E">
              <w:rPr>
                <w:rFonts w:cs="Arial Armenian"/>
                <w:color w:val="000000"/>
                <w:lang w:val="hy-AM"/>
              </w:rPr>
              <w:t xml:space="preserve"> </w:t>
            </w:r>
            <w:r w:rsidRPr="00955F0E">
              <w:rPr>
                <w:rFonts w:cs="Sylfaen"/>
                <w:color w:val="000000"/>
                <w:lang w:val="hy-AM"/>
              </w:rPr>
              <w:t>բարձր</w:t>
            </w:r>
            <w:r w:rsidRPr="00955F0E">
              <w:rPr>
                <w:rFonts w:cs="Arial Armenian"/>
                <w:color w:val="000000"/>
                <w:lang w:val="hy-AM"/>
              </w:rPr>
              <w:t xml:space="preserve"> </w:t>
            </w:r>
            <w:r w:rsidRPr="00955F0E">
              <w:rPr>
                <w:rFonts w:cs="Sylfaen"/>
                <w:color w:val="000000"/>
                <w:lang w:val="hy-AM"/>
              </w:rPr>
              <w:t>խոցելիությունը</w:t>
            </w:r>
            <w:r w:rsidRPr="00955F0E">
              <w:rPr>
                <w:rFonts w:cs="Arial Armenian"/>
                <w:color w:val="000000"/>
                <w:lang w:val="hy-AM"/>
              </w:rPr>
              <w:t>:</w:t>
            </w:r>
          </w:p>
          <w:p w:rsidR="006B0618" w:rsidRPr="0053423A" w:rsidRDefault="006B0618" w:rsidP="00A67858">
            <w:pPr>
              <w:numPr>
                <w:ilvl w:val="1"/>
                <w:numId w:val="79"/>
              </w:numPr>
              <w:tabs>
                <w:tab w:val="left" w:pos="270"/>
              </w:tabs>
              <w:spacing w:line="276" w:lineRule="auto"/>
              <w:ind w:left="0" w:right="256" w:firstLine="0"/>
              <w:jc w:val="both"/>
              <w:rPr>
                <w:rFonts w:cs="Arial Armenian"/>
                <w:b/>
                <w:color w:val="000000"/>
              </w:rPr>
            </w:pPr>
            <w:r w:rsidRPr="0053423A">
              <w:rPr>
                <w:rFonts w:cs="Sylfaen"/>
                <w:b/>
                <w:color w:val="000000"/>
              </w:rPr>
              <w:t>Առկա</w:t>
            </w:r>
            <w:r w:rsidRPr="0053423A">
              <w:rPr>
                <w:rFonts w:cs="Arial Armenian"/>
                <w:b/>
                <w:color w:val="000000"/>
              </w:rPr>
              <w:t xml:space="preserve"> </w:t>
            </w:r>
            <w:r w:rsidRPr="0053423A">
              <w:rPr>
                <w:rFonts w:cs="Sylfaen"/>
                <w:b/>
                <w:color w:val="000000"/>
              </w:rPr>
              <w:t>խնդիրների</w:t>
            </w:r>
            <w:r w:rsidRPr="0053423A">
              <w:rPr>
                <w:rFonts w:cs="Arial Armenian"/>
                <w:b/>
                <w:color w:val="000000"/>
              </w:rPr>
              <w:t xml:space="preserve"> </w:t>
            </w:r>
            <w:r w:rsidRPr="0053423A">
              <w:rPr>
                <w:rFonts w:cs="Sylfaen"/>
                <w:b/>
                <w:color w:val="000000"/>
              </w:rPr>
              <w:t>առաջարկվող</w:t>
            </w:r>
            <w:r w:rsidRPr="0053423A">
              <w:rPr>
                <w:rFonts w:cs="Arial Armenian"/>
                <w:b/>
                <w:color w:val="000000"/>
              </w:rPr>
              <w:t xml:space="preserve"> </w:t>
            </w:r>
            <w:r w:rsidRPr="0053423A">
              <w:rPr>
                <w:rFonts w:cs="Sylfaen"/>
                <w:b/>
                <w:color w:val="000000"/>
              </w:rPr>
              <w:t>լուծումները</w:t>
            </w:r>
            <w:r w:rsidRPr="0053423A">
              <w:rPr>
                <w:rFonts w:cs="Arial Armenian"/>
                <w:b/>
                <w:color w:val="000000"/>
              </w:rPr>
              <w:t xml:space="preserve"> </w:t>
            </w:r>
          </w:p>
          <w:p w:rsidR="006B0618" w:rsidRPr="0053423A" w:rsidRDefault="006B0618" w:rsidP="00A67858">
            <w:pPr>
              <w:tabs>
                <w:tab w:val="left" w:pos="270"/>
              </w:tabs>
              <w:spacing w:line="276" w:lineRule="auto"/>
              <w:ind w:right="256"/>
              <w:rPr>
                <w:rFonts w:cs="Arial Armenian"/>
                <w:color w:val="000000"/>
              </w:rPr>
            </w:pPr>
            <w:r w:rsidRPr="0053423A">
              <w:rPr>
                <w:rFonts w:cs="Sylfaen"/>
                <w:color w:val="000000"/>
              </w:rPr>
              <w:tab/>
              <w:t>Սույն</w:t>
            </w:r>
            <w:r w:rsidRPr="0053423A">
              <w:rPr>
                <w:rFonts w:cs="Arial Armenian"/>
                <w:color w:val="000000"/>
              </w:rPr>
              <w:t xml:space="preserve"> </w:t>
            </w:r>
            <w:r w:rsidRPr="0053423A">
              <w:rPr>
                <w:rFonts w:cs="Sylfaen"/>
                <w:color w:val="000000"/>
              </w:rPr>
              <w:t>ծրագրի</w:t>
            </w:r>
            <w:r w:rsidRPr="0053423A">
              <w:rPr>
                <w:rFonts w:cs="Arial Armenian"/>
                <w:color w:val="000000"/>
              </w:rPr>
              <w:t xml:space="preserve"> </w:t>
            </w:r>
            <w:r w:rsidRPr="0053423A">
              <w:rPr>
                <w:rFonts w:cs="Sylfaen"/>
                <w:color w:val="000000"/>
              </w:rPr>
              <w:t>իրականացումը</w:t>
            </w:r>
            <w:r w:rsidRPr="0053423A">
              <w:rPr>
                <w:rFonts w:cs="Arial Armenian"/>
                <w:color w:val="000000"/>
              </w:rPr>
              <w:t xml:space="preserve"> </w:t>
            </w:r>
            <w:r w:rsidRPr="0053423A">
              <w:rPr>
                <w:rFonts w:cs="Sylfaen"/>
                <w:color w:val="000000"/>
              </w:rPr>
              <w:t>հնարավորություն</w:t>
            </w:r>
            <w:r w:rsidRPr="0053423A">
              <w:rPr>
                <w:rFonts w:cs="Arial Armenian"/>
                <w:color w:val="000000"/>
              </w:rPr>
              <w:t xml:space="preserve"> </w:t>
            </w:r>
            <w:r w:rsidRPr="0053423A">
              <w:rPr>
                <w:rFonts w:cs="Sylfaen"/>
                <w:color w:val="000000"/>
              </w:rPr>
              <w:t>կտա</w:t>
            </w:r>
            <w:r w:rsidRPr="0053423A">
              <w:rPr>
                <w:rFonts w:cs="Arial Armenian"/>
                <w:color w:val="000000"/>
              </w:rPr>
              <w:t xml:space="preserve"> </w:t>
            </w:r>
            <w:r w:rsidRPr="0053423A">
              <w:rPr>
                <w:rFonts w:cs="Sylfaen"/>
                <w:color w:val="000000"/>
              </w:rPr>
              <w:t>բարձրացնել</w:t>
            </w:r>
            <w:r w:rsidRPr="0053423A">
              <w:rPr>
                <w:rFonts w:cs="Arial Armenian"/>
                <w:color w:val="000000"/>
              </w:rPr>
              <w:t xml:space="preserve"> </w:t>
            </w:r>
            <w:r w:rsidRPr="0053423A">
              <w:rPr>
                <w:rFonts w:cs="Sylfaen"/>
                <w:color w:val="000000"/>
              </w:rPr>
              <w:t>ինչպես</w:t>
            </w:r>
            <w:r w:rsidRPr="0053423A">
              <w:rPr>
                <w:rFonts w:cs="Arial Armenian"/>
                <w:color w:val="000000"/>
              </w:rPr>
              <w:t xml:space="preserve"> </w:t>
            </w:r>
            <w:r w:rsidRPr="0053423A">
              <w:rPr>
                <w:rFonts w:cs="Sylfaen"/>
                <w:color w:val="000000"/>
              </w:rPr>
              <w:t>բնակչության</w:t>
            </w:r>
            <w:r w:rsidRPr="0053423A">
              <w:rPr>
                <w:rFonts w:cs="Arial Armenian"/>
                <w:color w:val="000000"/>
              </w:rPr>
              <w:t xml:space="preserve">, </w:t>
            </w:r>
            <w:r w:rsidRPr="0053423A">
              <w:rPr>
                <w:rFonts w:cs="Sylfaen"/>
                <w:color w:val="000000"/>
              </w:rPr>
              <w:t>այնպես</w:t>
            </w:r>
            <w:r w:rsidRPr="0053423A">
              <w:rPr>
                <w:rFonts w:cs="Arial Armenian"/>
                <w:color w:val="000000"/>
              </w:rPr>
              <w:t xml:space="preserve"> </w:t>
            </w:r>
            <w:r w:rsidRPr="0053423A">
              <w:rPr>
                <w:rFonts w:cs="Sylfaen"/>
                <w:color w:val="000000"/>
              </w:rPr>
              <w:t>էլ</w:t>
            </w:r>
            <w:r w:rsidRPr="0053423A">
              <w:rPr>
                <w:rFonts w:cs="Arial Armenian"/>
                <w:color w:val="000000"/>
              </w:rPr>
              <w:t xml:space="preserve"> </w:t>
            </w:r>
            <w:r w:rsidRPr="0053423A">
              <w:rPr>
                <w:rFonts w:cs="Sylfaen"/>
                <w:color w:val="000000"/>
              </w:rPr>
              <w:t>պետական</w:t>
            </w:r>
            <w:r w:rsidRPr="0053423A">
              <w:rPr>
                <w:rFonts w:cs="Arial Armenian"/>
                <w:color w:val="000000"/>
              </w:rPr>
              <w:t xml:space="preserve"> </w:t>
            </w:r>
            <w:r w:rsidRPr="0053423A">
              <w:rPr>
                <w:rFonts w:cs="Sylfaen"/>
                <w:color w:val="000000"/>
              </w:rPr>
              <w:t>օրգանների</w:t>
            </w:r>
            <w:r w:rsidRPr="0053423A">
              <w:rPr>
                <w:rFonts w:cs="Arial Armenian"/>
                <w:color w:val="000000"/>
              </w:rPr>
              <w:t xml:space="preserve"> </w:t>
            </w:r>
            <w:r w:rsidRPr="0053423A">
              <w:rPr>
                <w:rFonts w:cs="Sylfaen"/>
                <w:color w:val="000000"/>
              </w:rPr>
              <w:t>պատրաստվածության</w:t>
            </w:r>
            <w:r w:rsidRPr="0053423A">
              <w:rPr>
                <w:rFonts w:cs="Arial Armenian"/>
                <w:color w:val="000000"/>
              </w:rPr>
              <w:t xml:space="preserve"> </w:t>
            </w:r>
            <w:r w:rsidRPr="0053423A">
              <w:rPr>
                <w:rFonts w:cs="Sylfaen"/>
                <w:color w:val="000000"/>
              </w:rPr>
              <w:t>մակարդակը</w:t>
            </w:r>
            <w:r w:rsidRPr="0053423A">
              <w:rPr>
                <w:rFonts w:cs="Arial Armenian"/>
                <w:color w:val="000000"/>
              </w:rPr>
              <w:t xml:space="preserve"> </w:t>
            </w:r>
            <w:r w:rsidRPr="0053423A">
              <w:rPr>
                <w:rFonts w:cs="Sylfaen"/>
                <w:color w:val="000000"/>
              </w:rPr>
              <w:t>դիմակայելու</w:t>
            </w:r>
            <w:r w:rsidRPr="0053423A">
              <w:rPr>
                <w:rFonts w:cs="Arial Armenian"/>
                <w:color w:val="000000"/>
              </w:rPr>
              <w:t xml:space="preserve"> </w:t>
            </w:r>
            <w:r w:rsidRPr="0053423A">
              <w:rPr>
                <w:rFonts w:cs="Sylfaen"/>
                <w:color w:val="000000"/>
              </w:rPr>
              <w:t>ուժեղ</w:t>
            </w:r>
            <w:r w:rsidRPr="0053423A">
              <w:rPr>
                <w:rFonts w:cs="Arial Armenian"/>
                <w:color w:val="000000"/>
              </w:rPr>
              <w:t xml:space="preserve"> </w:t>
            </w:r>
            <w:r w:rsidRPr="0053423A">
              <w:rPr>
                <w:rFonts w:cs="Sylfaen"/>
                <w:color w:val="000000"/>
              </w:rPr>
              <w:t>երկրաշարժերին</w:t>
            </w:r>
            <w:r w:rsidRPr="0053423A">
              <w:rPr>
                <w:rFonts w:cs="Arial Armenian"/>
                <w:color w:val="000000"/>
              </w:rPr>
              <w:t xml:space="preserve">, </w:t>
            </w:r>
            <w:r w:rsidRPr="0053423A">
              <w:rPr>
                <w:rFonts w:cs="Sylfaen"/>
                <w:color w:val="000000"/>
              </w:rPr>
              <w:t>զգալիորեն</w:t>
            </w:r>
            <w:r w:rsidRPr="0053423A">
              <w:rPr>
                <w:rFonts w:cs="Arial Armenian"/>
                <w:color w:val="000000"/>
              </w:rPr>
              <w:t xml:space="preserve"> </w:t>
            </w:r>
            <w:r w:rsidRPr="0053423A">
              <w:rPr>
                <w:rFonts w:cs="Sylfaen"/>
                <w:color w:val="000000"/>
              </w:rPr>
              <w:t>ցածրացնել</w:t>
            </w:r>
            <w:r w:rsidRPr="0053423A">
              <w:rPr>
                <w:rFonts w:cs="Arial Armenian"/>
                <w:color w:val="000000"/>
              </w:rPr>
              <w:t xml:space="preserve"> </w:t>
            </w:r>
            <w:r w:rsidRPr="0053423A">
              <w:rPr>
                <w:rFonts w:cs="Sylfaen"/>
                <w:color w:val="000000"/>
              </w:rPr>
              <w:t>տարածաշրջանի</w:t>
            </w:r>
            <w:r w:rsidRPr="0053423A">
              <w:rPr>
                <w:rFonts w:cs="Arial Armenian"/>
                <w:color w:val="000000"/>
              </w:rPr>
              <w:t xml:space="preserve"> </w:t>
            </w:r>
            <w:r w:rsidRPr="0053423A">
              <w:rPr>
                <w:rFonts w:cs="Sylfaen"/>
                <w:color w:val="000000"/>
              </w:rPr>
              <w:t>սեյսմիկ</w:t>
            </w:r>
            <w:r w:rsidRPr="0053423A">
              <w:rPr>
                <w:rFonts w:cs="Arial Armenian"/>
                <w:color w:val="000000"/>
              </w:rPr>
              <w:t xml:space="preserve"> </w:t>
            </w:r>
            <w:r w:rsidRPr="0053423A">
              <w:rPr>
                <w:rFonts w:cs="Sylfaen"/>
                <w:color w:val="000000"/>
              </w:rPr>
              <w:t>ռիսկը</w:t>
            </w:r>
            <w:r w:rsidRPr="0053423A">
              <w:rPr>
                <w:rFonts w:cs="Arial Armenian"/>
                <w:color w:val="000000"/>
              </w:rPr>
              <w:t xml:space="preserve">, </w:t>
            </w:r>
            <w:r w:rsidRPr="0053423A">
              <w:rPr>
                <w:rFonts w:cs="Sylfaen"/>
                <w:color w:val="000000"/>
              </w:rPr>
              <w:t>ապահովել</w:t>
            </w:r>
            <w:r w:rsidRPr="0053423A">
              <w:rPr>
                <w:rFonts w:cs="Arial Armenian"/>
                <w:color w:val="000000"/>
              </w:rPr>
              <w:t xml:space="preserve"> </w:t>
            </w:r>
            <w:r w:rsidRPr="0053423A">
              <w:rPr>
                <w:rFonts w:cs="Sylfaen"/>
                <w:color w:val="000000"/>
              </w:rPr>
              <w:t>ՀՀ</w:t>
            </w:r>
            <w:r w:rsidRPr="0053423A">
              <w:rPr>
                <w:rFonts w:cs="Arial Armenian"/>
                <w:color w:val="000000"/>
              </w:rPr>
              <w:t xml:space="preserve"> </w:t>
            </w:r>
            <w:r w:rsidRPr="0053423A">
              <w:rPr>
                <w:rFonts w:cs="Sylfaen"/>
                <w:color w:val="000000"/>
              </w:rPr>
              <w:t>տնտեսական</w:t>
            </w:r>
            <w:r w:rsidRPr="0053423A">
              <w:rPr>
                <w:rFonts w:cs="Arial Armenian"/>
                <w:color w:val="000000"/>
              </w:rPr>
              <w:t xml:space="preserve"> </w:t>
            </w:r>
            <w:r w:rsidRPr="0053423A">
              <w:rPr>
                <w:rFonts w:cs="Sylfaen"/>
                <w:color w:val="000000"/>
              </w:rPr>
              <w:t>և</w:t>
            </w:r>
            <w:r w:rsidRPr="0053423A">
              <w:rPr>
                <w:rFonts w:cs="Arial Armenian"/>
                <w:color w:val="000000"/>
              </w:rPr>
              <w:t xml:space="preserve"> </w:t>
            </w:r>
            <w:r w:rsidRPr="0053423A">
              <w:rPr>
                <w:rFonts w:cs="Sylfaen"/>
                <w:color w:val="000000"/>
              </w:rPr>
              <w:t>սոցիալական</w:t>
            </w:r>
            <w:r w:rsidRPr="0053423A">
              <w:rPr>
                <w:rFonts w:cs="Arial Armenian"/>
                <w:color w:val="000000"/>
              </w:rPr>
              <w:t xml:space="preserve"> </w:t>
            </w:r>
            <w:r w:rsidRPr="0053423A">
              <w:rPr>
                <w:rFonts w:cs="Sylfaen"/>
                <w:color w:val="000000"/>
              </w:rPr>
              <w:t>կայունությունը</w:t>
            </w:r>
            <w:r w:rsidRPr="0053423A">
              <w:rPr>
                <w:rFonts w:cs="Arial Armenian"/>
                <w:color w:val="000000"/>
              </w:rPr>
              <w:t xml:space="preserve">: </w:t>
            </w:r>
            <w:r w:rsidRPr="0053423A">
              <w:rPr>
                <w:rFonts w:cs="Sylfaen"/>
                <w:color w:val="000000"/>
              </w:rPr>
              <w:t>Ծրագրի</w:t>
            </w:r>
            <w:r w:rsidRPr="0053423A">
              <w:rPr>
                <w:rFonts w:cs="Arial Armenian"/>
                <w:color w:val="000000"/>
              </w:rPr>
              <w:t xml:space="preserve"> </w:t>
            </w:r>
            <w:r w:rsidRPr="0053423A">
              <w:rPr>
                <w:rFonts w:cs="Sylfaen"/>
                <w:color w:val="000000"/>
              </w:rPr>
              <w:t>ընդունումը</w:t>
            </w:r>
            <w:r w:rsidRPr="0053423A">
              <w:rPr>
                <w:rFonts w:cs="Arial Armenian"/>
                <w:color w:val="000000"/>
              </w:rPr>
              <w:t xml:space="preserve"> </w:t>
            </w:r>
            <w:r w:rsidRPr="0053423A">
              <w:rPr>
                <w:rFonts w:cs="Sylfaen"/>
                <w:color w:val="000000"/>
              </w:rPr>
              <w:t>հնարավորություն</w:t>
            </w:r>
            <w:r w:rsidRPr="0053423A">
              <w:rPr>
                <w:rFonts w:cs="Arial Armenian"/>
                <w:color w:val="000000"/>
              </w:rPr>
              <w:t xml:space="preserve"> </w:t>
            </w:r>
            <w:r w:rsidRPr="0053423A">
              <w:rPr>
                <w:rFonts w:cs="Sylfaen"/>
                <w:color w:val="000000"/>
              </w:rPr>
              <w:t>կտա</w:t>
            </w:r>
            <w:r w:rsidRPr="0053423A">
              <w:rPr>
                <w:rFonts w:cs="Arial Armenian"/>
                <w:color w:val="000000"/>
              </w:rPr>
              <w:t xml:space="preserve"> </w:t>
            </w:r>
            <w:r w:rsidRPr="0053423A">
              <w:rPr>
                <w:rFonts w:cs="Sylfaen"/>
                <w:color w:val="000000"/>
              </w:rPr>
              <w:t>իրականացնելու</w:t>
            </w:r>
            <w:r w:rsidRPr="0053423A">
              <w:rPr>
                <w:rFonts w:cs="Arial Armenian"/>
                <w:color w:val="000000"/>
              </w:rPr>
              <w:t xml:space="preserve"> </w:t>
            </w:r>
            <w:r w:rsidRPr="0053423A">
              <w:rPr>
                <w:rFonts w:cs="Sylfaen"/>
                <w:color w:val="000000"/>
              </w:rPr>
              <w:t>ՀՀ</w:t>
            </w:r>
            <w:r w:rsidRPr="0053423A">
              <w:rPr>
                <w:rFonts w:cs="Arial Armenian"/>
                <w:color w:val="000000"/>
              </w:rPr>
              <w:t xml:space="preserve"> </w:t>
            </w:r>
            <w:r w:rsidRPr="0053423A">
              <w:rPr>
                <w:rFonts w:cs="Sylfaen"/>
                <w:color w:val="000000"/>
              </w:rPr>
              <w:t>քաղաքների</w:t>
            </w:r>
            <w:r w:rsidRPr="0053423A">
              <w:rPr>
                <w:rFonts w:cs="Arial Armenian"/>
                <w:color w:val="000000"/>
              </w:rPr>
              <w:t xml:space="preserve"> </w:t>
            </w:r>
            <w:r w:rsidRPr="0053423A">
              <w:rPr>
                <w:rFonts w:cs="Sylfaen"/>
                <w:color w:val="000000"/>
              </w:rPr>
              <w:t>բազմաբնակարան</w:t>
            </w:r>
            <w:r w:rsidRPr="0053423A">
              <w:rPr>
                <w:rFonts w:cs="Arial Armenian"/>
                <w:color w:val="000000"/>
              </w:rPr>
              <w:t xml:space="preserve"> </w:t>
            </w:r>
            <w:r w:rsidRPr="0053423A">
              <w:rPr>
                <w:rFonts w:cs="Sylfaen"/>
                <w:color w:val="000000"/>
              </w:rPr>
              <w:t>բնակելի</w:t>
            </w:r>
            <w:r w:rsidRPr="0053423A">
              <w:rPr>
                <w:rFonts w:cs="Arial Armenian"/>
                <w:color w:val="000000"/>
              </w:rPr>
              <w:t xml:space="preserve"> </w:t>
            </w:r>
            <w:r w:rsidRPr="0053423A">
              <w:rPr>
                <w:rFonts w:cs="Sylfaen"/>
                <w:color w:val="000000"/>
              </w:rPr>
              <w:t>շենքերի</w:t>
            </w:r>
            <w:r w:rsidRPr="0053423A">
              <w:rPr>
                <w:rFonts w:cs="Arial Armenian"/>
                <w:color w:val="000000"/>
              </w:rPr>
              <w:t xml:space="preserve"> </w:t>
            </w:r>
            <w:r w:rsidRPr="0053423A">
              <w:rPr>
                <w:rFonts w:cs="Sylfaen"/>
                <w:color w:val="000000"/>
              </w:rPr>
              <w:t>սեյսմիկ</w:t>
            </w:r>
            <w:r w:rsidRPr="0053423A">
              <w:rPr>
                <w:rFonts w:cs="Arial Armenian"/>
                <w:color w:val="000000"/>
              </w:rPr>
              <w:t xml:space="preserve"> </w:t>
            </w:r>
            <w:r w:rsidRPr="0053423A">
              <w:rPr>
                <w:rFonts w:cs="Sylfaen"/>
                <w:color w:val="000000"/>
              </w:rPr>
              <w:t>խոցելիության</w:t>
            </w:r>
            <w:r w:rsidRPr="0053423A">
              <w:rPr>
                <w:rFonts w:cs="Arial Armenian"/>
                <w:color w:val="000000"/>
              </w:rPr>
              <w:t xml:space="preserve"> </w:t>
            </w:r>
            <w:r w:rsidRPr="0053423A">
              <w:rPr>
                <w:rFonts w:cs="Sylfaen"/>
                <w:color w:val="000000"/>
              </w:rPr>
              <w:t>մակարդակի</w:t>
            </w:r>
            <w:r w:rsidRPr="0053423A">
              <w:rPr>
                <w:rFonts w:cs="Arial Armenian"/>
                <w:color w:val="000000"/>
              </w:rPr>
              <w:t xml:space="preserve"> </w:t>
            </w:r>
            <w:r w:rsidRPr="0053423A">
              <w:rPr>
                <w:rFonts w:cs="Sylfaen"/>
                <w:color w:val="000000"/>
              </w:rPr>
              <w:t>գնահատման</w:t>
            </w:r>
            <w:r w:rsidRPr="0053423A">
              <w:rPr>
                <w:rFonts w:cs="Arial Armenian"/>
                <w:color w:val="000000"/>
              </w:rPr>
              <w:t xml:space="preserve"> </w:t>
            </w:r>
            <w:r w:rsidRPr="0053423A">
              <w:rPr>
                <w:rFonts w:cs="Sylfaen"/>
                <w:color w:val="000000"/>
              </w:rPr>
              <w:t>համակարգված</w:t>
            </w:r>
            <w:r w:rsidRPr="0053423A">
              <w:rPr>
                <w:rFonts w:cs="Arial Armenian"/>
                <w:color w:val="000000"/>
              </w:rPr>
              <w:t xml:space="preserve"> </w:t>
            </w:r>
            <w:r w:rsidRPr="0053423A">
              <w:rPr>
                <w:rFonts w:cs="Sylfaen"/>
                <w:color w:val="000000"/>
              </w:rPr>
              <w:t>աշխատանքներ</w:t>
            </w:r>
            <w:r w:rsidRPr="0053423A">
              <w:rPr>
                <w:rFonts w:cs="Arial Armenian"/>
                <w:color w:val="000000"/>
              </w:rPr>
              <w:t>:</w:t>
            </w:r>
          </w:p>
          <w:p w:rsidR="006B0618" w:rsidRPr="0053423A" w:rsidRDefault="006B0618" w:rsidP="00A67858">
            <w:pPr>
              <w:numPr>
                <w:ilvl w:val="0"/>
                <w:numId w:val="79"/>
              </w:numPr>
              <w:tabs>
                <w:tab w:val="left" w:pos="270"/>
              </w:tabs>
              <w:spacing w:line="276" w:lineRule="auto"/>
              <w:ind w:left="0" w:right="256" w:firstLine="0"/>
              <w:jc w:val="both"/>
              <w:rPr>
                <w:rFonts w:cs="Sylfaen"/>
                <w:b/>
                <w:color w:val="000000"/>
              </w:rPr>
            </w:pPr>
            <w:r w:rsidRPr="0053423A">
              <w:rPr>
                <w:rFonts w:cs="Sylfaen"/>
                <w:b/>
                <w:color w:val="000000"/>
              </w:rPr>
              <w:t>Միջոցառման</w:t>
            </w:r>
            <w:r w:rsidRPr="0053423A">
              <w:rPr>
                <w:rFonts w:cs="Arial Armenian"/>
                <w:b/>
                <w:color w:val="000000"/>
              </w:rPr>
              <w:t xml:space="preserve"> </w:t>
            </w:r>
            <w:r w:rsidRPr="0053423A">
              <w:rPr>
                <w:rFonts w:cs="Sylfaen"/>
                <w:b/>
                <w:color w:val="000000"/>
              </w:rPr>
              <w:t>իրականացումից</w:t>
            </w:r>
            <w:r w:rsidRPr="0053423A">
              <w:rPr>
                <w:rFonts w:cs="Arial Armenian"/>
                <w:b/>
                <w:color w:val="000000"/>
              </w:rPr>
              <w:t xml:space="preserve"> </w:t>
            </w:r>
            <w:r w:rsidRPr="0053423A">
              <w:rPr>
                <w:rFonts w:cs="Sylfaen"/>
                <w:b/>
                <w:color w:val="000000"/>
              </w:rPr>
              <w:t>ակնկալվող</w:t>
            </w:r>
            <w:r w:rsidRPr="0053423A">
              <w:rPr>
                <w:rFonts w:cs="Arial Armenian"/>
                <w:b/>
                <w:color w:val="000000"/>
              </w:rPr>
              <w:t xml:space="preserve"> </w:t>
            </w:r>
            <w:r w:rsidRPr="0053423A">
              <w:rPr>
                <w:rFonts w:cs="Sylfaen"/>
                <w:b/>
                <w:color w:val="000000"/>
              </w:rPr>
              <w:t>արդյունքը</w:t>
            </w:r>
          </w:p>
          <w:p w:rsidR="006B0618" w:rsidRPr="0053423A" w:rsidRDefault="006B0618" w:rsidP="00A67858">
            <w:pPr>
              <w:tabs>
                <w:tab w:val="left" w:pos="270"/>
              </w:tabs>
              <w:spacing w:line="276" w:lineRule="auto"/>
              <w:ind w:right="256"/>
              <w:rPr>
                <w:b/>
                <w:i/>
              </w:rPr>
            </w:pPr>
            <w:r w:rsidRPr="0053423A">
              <w:rPr>
                <w:rFonts w:cs="Arial Armenian"/>
                <w:color w:val="000000"/>
              </w:rPr>
              <w:t xml:space="preserve"> </w:t>
            </w:r>
            <w:r w:rsidRPr="0053423A">
              <w:rPr>
                <w:rFonts w:cs="Sylfaen"/>
                <w:color w:val="000000"/>
              </w:rPr>
              <w:t>Բազմաբնակարան</w:t>
            </w:r>
            <w:r w:rsidRPr="0053423A">
              <w:rPr>
                <w:rFonts w:cs="Arial Armenian"/>
                <w:color w:val="000000"/>
              </w:rPr>
              <w:t xml:space="preserve"> </w:t>
            </w:r>
            <w:r w:rsidRPr="0053423A">
              <w:rPr>
                <w:rFonts w:cs="Sylfaen"/>
                <w:color w:val="000000"/>
              </w:rPr>
              <w:t>շենքերի</w:t>
            </w:r>
            <w:r w:rsidRPr="0053423A">
              <w:rPr>
                <w:rFonts w:cs="Arial Armenian"/>
                <w:color w:val="000000"/>
              </w:rPr>
              <w:t xml:space="preserve"> </w:t>
            </w:r>
            <w:r w:rsidRPr="0053423A">
              <w:rPr>
                <w:rFonts w:cs="Sylfaen"/>
                <w:color w:val="000000"/>
              </w:rPr>
              <w:t>սեյսմիկ</w:t>
            </w:r>
            <w:r w:rsidRPr="0053423A">
              <w:rPr>
                <w:rFonts w:cs="Arial Armenian"/>
                <w:color w:val="000000"/>
              </w:rPr>
              <w:t xml:space="preserve"> </w:t>
            </w:r>
            <w:r w:rsidRPr="0053423A">
              <w:rPr>
                <w:rFonts w:cs="Sylfaen"/>
                <w:color w:val="000000"/>
              </w:rPr>
              <w:t>ռիսկի</w:t>
            </w:r>
            <w:r w:rsidRPr="0053423A">
              <w:rPr>
                <w:rFonts w:cs="Arial Armenian"/>
                <w:color w:val="000000"/>
              </w:rPr>
              <w:t xml:space="preserve"> </w:t>
            </w:r>
            <w:r w:rsidRPr="0053423A">
              <w:rPr>
                <w:rFonts w:cs="Sylfaen"/>
                <w:color w:val="000000"/>
              </w:rPr>
              <w:t>գնահատման</w:t>
            </w:r>
            <w:r w:rsidRPr="0053423A">
              <w:rPr>
                <w:rFonts w:cs="Arial Armenian"/>
                <w:color w:val="000000"/>
              </w:rPr>
              <w:t xml:space="preserve"> </w:t>
            </w:r>
            <w:r w:rsidRPr="0053423A">
              <w:rPr>
                <w:rFonts w:cs="Sylfaen"/>
                <w:color w:val="000000"/>
              </w:rPr>
              <w:t>բաղադրիչների</w:t>
            </w:r>
            <w:r w:rsidRPr="0053423A">
              <w:rPr>
                <w:rFonts w:cs="Arial Armenian"/>
                <w:color w:val="000000"/>
              </w:rPr>
              <w:t xml:space="preserve"> </w:t>
            </w:r>
            <w:r w:rsidRPr="0053423A">
              <w:rPr>
                <w:rFonts w:cs="Sylfaen"/>
                <w:color w:val="000000"/>
              </w:rPr>
              <w:t>բազա</w:t>
            </w:r>
            <w:r w:rsidRPr="0053423A">
              <w:rPr>
                <w:rFonts w:cs="Arial Armenian"/>
                <w:color w:val="000000"/>
              </w:rPr>
              <w:t xml:space="preserve">, </w:t>
            </w:r>
            <w:r w:rsidRPr="0053423A">
              <w:rPr>
                <w:rFonts w:cs="Sylfaen"/>
                <w:color w:val="000000"/>
              </w:rPr>
              <w:t>սեյսմիկ</w:t>
            </w:r>
            <w:r w:rsidRPr="0053423A">
              <w:rPr>
                <w:rFonts w:cs="Arial Armenian"/>
                <w:color w:val="000000"/>
              </w:rPr>
              <w:t xml:space="preserve"> </w:t>
            </w:r>
            <w:r w:rsidRPr="0053423A">
              <w:rPr>
                <w:rFonts w:cs="Sylfaen"/>
                <w:color w:val="000000"/>
              </w:rPr>
              <w:t>խոցելիության</w:t>
            </w:r>
            <w:r w:rsidRPr="0053423A">
              <w:rPr>
                <w:rFonts w:cs="Arial Armenian"/>
                <w:color w:val="000000"/>
              </w:rPr>
              <w:t xml:space="preserve"> </w:t>
            </w:r>
            <w:r w:rsidRPr="0053423A">
              <w:rPr>
                <w:rFonts w:cs="Sylfaen"/>
                <w:color w:val="000000"/>
              </w:rPr>
              <w:t>գնահատման</w:t>
            </w:r>
            <w:r w:rsidRPr="0053423A">
              <w:rPr>
                <w:rFonts w:cs="Arial Armenian"/>
                <w:color w:val="000000"/>
              </w:rPr>
              <w:t xml:space="preserve"> </w:t>
            </w:r>
            <w:r w:rsidRPr="0053423A">
              <w:rPr>
                <w:rFonts w:cs="Sylfaen"/>
                <w:color w:val="000000"/>
              </w:rPr>
              <w:t>նպատակով</w:t>
            </w:r>
            <w:r w:rsidRPr="0053423A">
              <w:rPr>
                <w:rFonts w:cs="Arial Armenian"/>
                <w:color w:val="000000"/>
              </w:rPr>
              <w:t xml:space="preserve"> </w:t>
            </w:r>
            <w:r w:rsidRPr="0053423A">
              <w:rPr>
                <w:rFonts w:cs="Sylfaen"/>
                <w:color w:val="000000"/>
              </w:rPr>
              <w:t>առաջնահերթ</w:t>
            </w:r>
            <w:r w:rsidRPr="0053423A">
              <w:rPr>
                <w:rFonts w:cs="Arial Armenian"/>
                <w:color w:val="000000"/>
              </w:rPr>
              <w:t xml:space="preserve"> </w:t>
            </w:r>
            <w:r w:rsidRPr="0053423A">
              <w:rPr>
                <w:rFonts w:cs="Sylfaen"/>
                <w:color w:val="000000"/>
              </w:rPr>
              <w:t>հետազոտվող</w:t>
            </w:r>
            <w:r w:rsidRPr="0053423A">
              <w:rPr>
                <w:rFonts w:cs="Arial Armenian"/>
                <w:color w:val="000000"/>
              </w:rPr>
              <w:t xml:space="preserve"> </w:t>
            </w:r>
            <w:r w:rsidRPr="0053423A">
              <w:rPr>
                <w:rFonts w:cs="Sylfaen"/>
                <w:color w:val="000000"/>
              </w:rPr>
              <w:t>շենքերի</w:t>
            </w:r>
            <w:r w:rsidRPr="0053423A">
              <w:rPr>
                <w:rFonts w:cs="Arial Armenian"/>
                <w:color w:val="000000"/>
              </w:rPr>
              <w:t xml:space="preserve"> </w:t>
            </w:r>
            <w:r w:rsidRPr="0053423A">
              <w:rPr>
                <w:rFonts w:cs="Sylfaen"/>
                <w:color w:val="000000"/>
              </w:rPr>
              <w:t>ցանկը</w:t>
            </w:r>
            <w:r w:rsidRPr="0053423A">
              <w:rPr>
                <w:rFonts w:cs="Arial Armenian"/>
                <w:color w:val="000000"/>
              </w:rPr>
              <w:t xml:space="preserve">: </w:t>
            </w:r>
            <w:r w:rsidRPr="0053423A">
              <w:rPr>
                <w:rFonts w:cs="Sylfaen"/>
                <w:color w:val="000000"/>
              </w:rPr>
              <w:t>Օբյեկտների</w:t>
            </w:r>
            <w:r w:rsidRPr="0053423A">
              <w:rPr>
                <w:rFonts w:cs="Arial Armenian"/>
                <w:color w:val="000000"/>
              </w:rPr>
              <w:t xml:space="preserve"> </w:t>
            </w:r>
            <w:r w:rsidRPr="0053423A">
              <w:rPr>
                <w:rFonts w:cs="Sylfaen"/>
                <w:color w:val="000000"/>
              </w:rPr>
              <w:t>ուժեղացման</w:t>
            </w:r>
            <w:r w:rsidRPr="0053423A">
              <w:rPr>
                <w:rFonts w:cs="Arial Armenian"/>
                <w:color w:val="000000"/>
              </w:rPr>
              <w:t xml:space="preserve"> </w:t>
            </w:r>
            <w:r w:rsidRPr="0053423A">
              <w:rPr>
                <w:rFonts w:cs="Sylfaen"/>
                <w:color w:val="000000"/>
              </w:rPr>
              <w:t>առավել</w:t>
            </w:r>
            <w:r w:rsidRPr="0053423A">
              <w:rPr>
                <w:rFonts w:cs="Arial Armenian"/>
                <w:color w:val="000000"/>
              </w:rPr>
              <w:t xml:space="preserve"> </w:t>
            </w:r>
            <w:r w:rsidRPr="0053423A">
              <w:rPr>
                <w:rFonts w:cs="Sylfaen"/>
                <w:color w:val="000000"/>
              </w:rPr>
              <w:t>օպտիմալ</w:t>
            </w:r>
            <w:r w:rsidRPr="0053423A">
              <w:rPr>
                <w:rFonts w:cs="Arial Armenian"/>
                <w:color w:val="000000"/>
              </w:rPr>
              <w:t xml:space="preserve"> </w:t>
            </w:r>
            <w:r w:rsidRPr="0053423A">
              <w:rPr>
                <w:rFonts w:cs="Sylfaen"/>
                <w:color w:val="000000"/>
              </w:rPr>
              <w:t>տարբերակների</w:t>
            </w:r>
            <w:r w:rsidRPr="0053423A">
              <w:rPr>
                <w:rFonts w:cs="Arial Armenian"/>
                <w:color w:val="000000"/>
              </w:rPr>
              <w:t xml:space="preserve"> </w:t>
            </w:r>
            <w:r w:rsidRPr="0053423A">
              <w:rPr>
                <w:rFonts w:cs="Sylfaen"/>
                <w:color w:val="000000"/>
              </w:rPr>
              <w:t>առաջարկում</w:t>
            </w:r>
            <w:r w:rsidRPr="0053423A">
              <w:rPr>
                <w:rFonts w:cs="Arial Armenian"/>
                <w:color w:val="000000"/>
              </w:rPr>
              <w:t xml:space="preserve">, </w:t>
            </w:r>
            <w:r w:rsidRPr="0053423A">
              <w:rPr>
                <w:rFonts w:cs="Sylfaen"/>
                <w:color w:val="000000"/>
              </w:rPr>
              <w:t>ինչը</w:t>
            </w:r>
            <w:r w:rsidRPr="0053423A">
              <w:rPr>
                <w:rFonts w:cs="Arial Armenian"/>
                <w:color w:val="000000"/>
              </w:rPr>
              <w:t xml:space="preserve"> </w:t>
            </w:r>
            <w:r w:rsidRPr="0053423A">
              <w:rPr>
                <w:rFonts w:cs="Sylfaen"/>
                <w:color w:val="000000"/>
              </w:rPr>
              <w:t>կսահմանափակի</w:t>
            </w:r>
            <w:r w:rsidRPr="0053423A">
              <w:rPr>
                <w:rFonts w:cs="Arial Armenian"/>
                <w:color w:val="000000"/>
              </w:rPr>
              <w:t xml:space="preserve"> </w:t>
            </w:r>
            <w:r w:rsidRPr="0053423A">
              <w:rPr>
                <w:rFonts w:cs="Sylfaen"/>
                <w:color w:val="000000"/>
              </w:rPr>
              <w:t>հակասեյսմիկ</w:t>
            </w:r>
            <w:r w:rsidRPr="0053423A">
              <w:rPr>
                <w:rFonts w:cs="Arial Armenian"/>
                <w:color w:val="000000"/>
              </w:rPr>
              <w:t xml:space="preserve"> </w:t>
            </w:r>
            <w:r w:rsidRPr="0053423A">
              <w:rPr>
                <w:rFonts w:cs="Sylfaen"/>
                <w:color w:val="000000"/>
              </w:rPr>
              <w:t>միջոցառումների</w:t>
            </w:r>
            <w:r w:rsidRPr="0053423A">
              <w:rPr>
                <w:rFonts w:cs="Arial Armenian"/>
                <w:color w:val="000000"/>
              </w:rPr>
              <w:t xml:space="preserve"> </w:t>
            </w:r>
            <w:r w:rsidRPr="0053423A">
              <w:rPr>
                <w:rFonts w:cs="Sylfaen"/>
                <w:color w:val="000000"/>
              </w:rPr>
              <w:t>կատարման</w:t>
            </w:r>
            <w:r w:rsidRPr="0053423A">
              <w:rPr>
                <w:rFonts w:cs="Arial Armenian"/>
                <w:color w:val="000000"/>
              </w:rPr>
              <w:t xml:space="preserve"> </w:t>
            </w:r>
            <w:r w:rsidRPr="0053423A">
              <w:rPr>
                <w:rFonts w:cs="Sylfaen"/>
                <w:color w:val="000000"/>
              </w:rPr>
              <w:t>ծավալը</w:t>
            </w:r>
            <w:r w:rsidRPr="0053423A">
              <w:rPr>
                <w:rFonts w:cs="Arial Armenian"/>
                <w:color w:val="000000"/>
              </w:rPr>
              <w:t xml:space="preserve"> </w:t>
            </w:r>
            <w:r w:rsidRPr="0053423A">
              <w:rPr>
                <w:rFonts w:cs="Sylfaen"/>
                <w:color w:val="000000"/>
              </w:rPr>
              <w:t>և</w:t>
            </w:r>
            <w:r w:rsidRPr="0053423A">
              <w:rPr>
                <w:rFonts w:cs="Arial Armenian"/>
                <w:color w:val="000000"/>
              </w:rPr>
              <w:t xml:space="preserve"> </w:t>
            </w:r>
            <w:r w:rsidRPr="0053423A">
              <w:rPr>
                <w:rFonts w:cs="Sylfaen"/>
                <w:color w:val="000000"/>
              </w:rPr>
              <w:t>ծախսերը</w:t>
            </w:r>
            <w:r w:rsidRPr="0053423A">
              <w:rPr>
                <w:color w:val="000000"/>
              </w:rPr>
              <w:t>:</w:t>
            </w:r>
          </w:p>
        </w:tc>
      </w:tr>
      <w:tr w:rsidR="006B0618" w:rsidRPr="00DE2EFA" w:rsidTr="001F6D5D">
        <w:tc>
          <w:tcPr>
            <w:tcW w:w="691" w:type="dxa"/>
          </w:tcPr>
          <w:p w:rsidR="006B0618" w:rsidRPr="0053423A" w:rsidRDefault="006B0618" w:rsidP="00A67858">
            <w:pPr>
              <w:spacing w:line="276" w:lineRule="auto"/>
              <w:rPr>
                <w:lang w:val="hy-AM"/>
              </w:rPr>
            </w:pPr>
          </w:p>
        </w:tc>
        <w:tc>
          <w:tcPr>
            <w:tcW w:w="10649" w:type="dxa"/>
          </w:tcPr>
          <w:p w:rsidR="006B0618" w:rsidRPr="0053423A" w:rsidRDefault="00615BBB" w:rsidP="00A67858">
            <w:pPr>
              <w:spacing w:line="276" w:lineRule="auto"/>
              <w:ind w:left="162" w:right="256"/>
              <w:jc w:val="center"/>
              <w:rPr>
                <w:rFonts w:cs="Arial Armenian"/>
                <w:b/>
                <w:i/>
                <w:color w:val="000000"/>
                <w:lang w:val="hy-AM"/>
              </w:rPr>
            </w:pPr>
            <w:r>
              <w:rPr>
                <w:b/>
                <w:i/>
                <w:color w:val="000000"/>
                <w:lang w:val="hy-AM"/>
              </w:rPr>
              <w:t xml:space="preserve">76.3 </w:t>
            </w:r>
            <w:r w:rsidR="006B0618" w:rsidRPr="0053423A">
              <w:rPr>
                <w:b/>
                <w:i/>
                <w:color w:val="000000"/>
                <w:lang w:val="hy-AM"/>
              </w:rPr>
              <w:t>«</w:t>
            </w:r>
            <w:r w:rsidR="006B0618" w:rsidRPr="0053423A">
              <w:rPr>
                <w:rFonts w:cs="Sylfaen"/>
                <w:b/>
                <w:i/>
                <w:color w:val="000000"/>
                <w:lang w:val="hy-AM"/>
              </w:rPr>
              <w:t>Հայաստանի</w:t>
            </w:r>
            <w:r w:rsidR="006B0618" w:rsidRPr="0053423A">
              <w:rPr>
                <w:rFonts w:cs="Arial Armenian"/>
                <w:b/>
                <w:i/>
                <w:color w:val="000000"/>
                <w:lang w:val="hy-AM"/>
              </w:rPr>
              <w:t xml:space="preserve"> </w:t>
            </w:r>
            <w:r w:rsidR="006B0618" w:rsidRPr="0053423A">
              <w:rPr>
                <w:rFonts w:cs="Sylfaen"/>
                <w:b/>
                <w:i/>
                <w:color w:val="000000"/>
                <w:lang w:val="hy-AM"/>
              </w:rPr>
              <w:t>Հանրապետության</w:t>
            </w:r>
            <w:r w:rsidR="006B0618" w:rsidRPr="0053423A">
              <w:rPr>
                <w:rFonts w:cs="Arial Armenian"/>
                <w:b/>
                <w:i/>
                <w:color w:val="000000"/>
                <w:lang w:val="hy-AM"/>
              </w:rPr>
              <w:t xml:space="preserve"> </w:t>
            </w:r>
            <w:r w:rsidR="006B0618" w:rsidRPr="0053423A">
              <w:rPr>
                <w:rFonts w:cs="Sylfaen"/>
                <w:b/>
                <w:i/>
                <w:color w:val="000000"/>
                <w:lang w:val="hy-AM"/>
              </w:rPr>
              <w:t>բնակչության</w:t>
            </w:r>
            <w:r w:rsidR="006B0618" w:rsidRPr="0053423A">
              <w:rPr>
                <w:rFonts w:cs="Arial Armenian"/>
                <w:b/>
                <w:i/>
                <w:color w:val="000000"/>
                <w:lang w:val="hy-AM"/>
              </w:rPr>
              <w:t xml:space="preserve"> </w:t>
            </w:r>
            <w:r w:rsidR="006B0618" w:rsidRPr="0053423A">
              <w:rPr>
                <w:rFonts w:cs="Sylfaen"/>
                <w:b/>
                <w:i/>
                <w:color w:val="000000"/>
                <w:lang w:val="hy-AM"/>
              </w:rPr>
              <w:t>տարբեր</w:t>
            </w:r>
            <w:r w:rsidR="006B0618" w:rsidRPr="0053423A">
              <w:rPr>
                <w:rFonts w:cs="Arial Armenian"/>
                <w:b/>
                <w:i/>
                <w:color w:val="000000"/>
                <w:lang w:val="hy-AM"/>
              </w:rPr>
              <w:t xml:space="preserve"> </w:t>
            </w:r>
            <w:r w:rsidR="006B0618" w:rsidRPr="0053423A">
              <w:rPr>
                <w:rFonts w:cs="Sylfaen"/>
                <w:b/>
                <w:i/>
                <w:color w:val="000000"/>
                <w:lang w:val="hy-AM"/>
              </w:rPr>
              <w:t>խմբերի</w:t>
            </w:r>
            <w:r>
              <w:rPr>
                <w:rFonts w:cs="Sylfaen"/>
                <w:b/>
                <w:i/>
                <w:color w:val="000000"/>
                <w:lang w:val="hy-AM"/>
              </w:rPr>
              <w:t xml:space="preserve"> </w:t>
            </w:r>
            <w:r w:rsidR="006B0618" w:rsidRPr="0053423A">
              <w:rPr>
                <w:rFonts w:cs="Sylfaen"/>
                <w:b/>
                <w:i/>
                <w:color w:val="000000"/>
                <w:lang w:val="hy-AM"/>
              </w:rPr>
              <w:t>և</w:t>
            </w:r>
            <w:r w:rsidR="006B0618" w:rsidRPr="0053423A">
              <w:rPr>
                <w:rFonts w:cs="Arial Armenian"/>
                <w:b/>
                <w:i/>
                <w:color w:val="000000"/>
                <w:lang w:val="hy-AM"/>
              </w:rPr>
              <w:t xml:space="preserve"> </w:t>
            </w:r>
            <w:r w:rsidR="006B0618" w:rsidRPr="0053423A">
              <w:rPr>
                <w:rFonts w:cs="Sylfaen"/>
                <w:b/>
                <w:i/>
                <w:color w:val="000000"/>
                <w:lang w:val="hy-AM"/>
              </w:rPr>
              <w:t>կառավարման</w:t>
            </w:r>
            <w:r w:rsidR="006B0618" w:rsidRPr="0053423A">
              <w:rPr>
                <w:rFonts w:cs="Arial Armenian"/>
                <w:b/>
                <w:i/>
                <w:color w:val="000000"/>
                <w:lang w:val="hy-AM"/>
              </w:rPr>
              <w:t xml:space="preserve"> </w:t>
            </w:r>
            <w:r w:rsidR="006B0618" w:rsidRPr="0053423A">
              <w:rPr>
                <w:rFonts w:cs="Sylfaen"/>
                <w:b/>
                <w:i/>
                <w:color w:val="000000"/>
                <w:lang w:val="hy-AM"/>
              </w:rPr>
              <w:t>մարմինների</w:t>
            </w:r>
            <w:r w:rsidR="006B0618" w:rsidRPr="0053423A">
              <w:rPr>
                <w:rFonts w:cs="Arial Armenian"/>
                <w:b/>
                <w:i/>
                <w:color w:val="000000"/>
                <w:lang w:val="hy-AM"/>
              </w:rPr>
              <w:t xml:space="preserve"> </w:t>
            </w:r>
            <w:r w:rsidR="006B0618" w:rsidRPr="0053423A">
              <w:rPr>
                <w:rFonts w:cs="Sylfaen"/>
                <w:b/>
                <w:i/>
                <w:color w:val="000000"/>
                <w:lang w:val="hy-AM"/>
              </w:rPr>
              <w:t>նախապատրաստման</w:t>
            </w:r>
            <w:r w:rsidR="006B0618" w:rsidRPr="0053423A">
              <w:rPr>
                <w:rFonts w:cs="Arial Armenian"/>
                <w:b/>
                <w:i/>
                <w:color w:val="000000"/>
                <w:lang w:val="hy-AM"/>
              </w:rPr>
              <w:t xml:space="preserve"> </w:t>
            </w:r>
            <w:r w:rsidR="006B0618" w:rsidRPr="0053423A">
              <w:rPr>
                <w:rFonts w:cs="Sylfaen"/>
                <w:b/>
                <w:i/>
                <w:color w:val="000000"/>
                <w:lang w:val="hy-AM"/>
              </w:rPr>
              <w:t>համար</w:t>
            </w:r>
            <w:r w:rsidR="006B0618" w:rsidRPr="0053423A">
              <w:rPr>
                <w:rFonts w:cs="Arial Armenian"/>
                <w:b/>
                <w:i/>
                <w:color w:val="000000"/>
                <w:lang w:val="hy-AM"/>
              </w:rPr>
              <w:t xml:space="preserve"> </w:t>
            </w:r>
            <w:r w:rsidR="006B0618" w:rsidRPr="0053423A">
              <w:rPr>
                <w:rFonts w:cs="Sylfaen"/>
                <w:b/>
                <w:i/>
                <w:color w:val="000000"/>
                <w:lang w:val="hy-AM"/>
              </w:rPr>
              <w:t>ուժեղ</w:t>
            </w:r>
            <w:r w:rsidR="006B0618" w:rsidRPr="0053423A">
              <w:rPr>
                <w:rFonts w:cs="Arial Armenian"/>
                <w:b/>
                <w:i/>
                <w:color w:val="000000"/>
                <w:lang w:val="hy-AM"/>
              </w:rPr>
              <w:t xml:space="preserve"> </w:t>
            </w:r>
            <w:r w:rsidR="006B0618" w:rsidRPr="0053423A">
              <w:rPr>
                <w:rFonts w:cs="Sylfaen"/>
                <w:b/>
                <w:i/>
                <w:color w:val="000000"/>
                <w:lang w:val="hy-AM"/>
              </w:rPr>
              <w:t>երկրաշարժի</w:t>
            </w:r>
            <w:r w:rsidR="006B0618" w:rsidRPr="0053423A">
              <w:rPr>
                <w:rFonts w:cs="Arial Armenian"/>
                <w:b/>
                <w:i/>
                <w:color w:val="000000"/>
                <w:lang w:val="hy-AM"/>
              </w:rPr>
              <w:t xml:space="preserve"> </w:t>
            </w:r>
            <w:r w:rsidR="006B0618" w:rsidRPr="0053423A">
              <w:rPr>
                <w:rFonts w:cs="Sylfaen"/>
                <w:b/>
                <w:i/>
                <w:color w:val="000000"/>
                <w:lang w:val="hy-AM"/>
              </w:rPr>
              <w:t>վերաբերյալ</w:t>
            </w:r>
            <w:r w:rsidR="006B0618" w:rsidRPr="0053423A">
              <w:rPr>
                <w:rFonts w:cs="Arial Armenian"/>
                <w:b/>
                <w:i/>
                <w:color w:val="000000"/>
                <w:lang w:val="hy-AM"/>
              </w:rPr>
              <w:t xml:space="preserve"> </w:t>
            </w:r>
            <w:r w:rsidR="006B0618" w:rsidRPr="0053423A">
              <w:rPr>
                <w:rFonts w:cs="Sylfaen"/>
                <w:b/>
                <w:i/>
                <w:color w:val="000000"/>
                <w:lang w:val="hy-AM"/>
              </w:rPr>
              <w:t>բազմակողմանի ուսուցողական</w:t>
            </w:r>
            <w:r w:rsidR="006B0618" w:rsidRPr="0053423A">
              <w:rPr>
                <w:rFonts w:cs="Arial Armenian"/>
                <w:b/>
                <w:i/>
                <w:color w:val="000000"/>
                <w:lang w:val="hy-AM"/>
              </w:rPr>
              <w:t xml:space="preserve"> </w:t>
            </w:r>
            <w:r w:rsidR="006B0618" w:rsidRPr="0053423A">
              <w:rPr>
                <w:rFonts w:cs="Sylfaen"/>
                <w:b/>
                <w:i/>
                <w:color w:val="000000"/>
                <w:lang w:val="hy-AM"/>
              </w:rPr>
              <w:t>ծրագրերի</w:t>
            </w:r>
            <w:r w:rsidR="006B0618" w:rsidRPr="0053423A">
              <w:rPr>
                <w:rFonts w:cs="Arial Armenian"/>
                <w:b/>
                <w:i/>
                <w:color w:val="000000"/>
                <w:lang w:val="hy-AM"/>
              </w:rPr>
              <w:t xml:space="preserve"> </w:t>
            </w:r>
            <w:r w:rsidR="006B0618" w:rsidRPr="0053423A">
              <w:rPr>
                <w:rFonts w:cs="Sylfaen"/>
                <w:b/>
                <w:i/>
                <w:color w:val="000000"/>
                <w:lang w:val="hy-AM"/>
              </w:rPr>
              <w:t>մշակման</w:t>
            </w:r>
            <w:r w:rsidR="006B0618" w:rsidRPr="0053423A">
              <w:rPr>
                <w:rFonts w:cs="Arial Armenian"/>
                <w:b/>
                <w:i/>
                <w:color w:val="000000"/>
                <w:lang w:val="hy-AM"/>
              </w:rPr>
              <w:t xml:space="preserve"> </w:t>
            </w:r>
            <w:r w:rsidR="006B0618" w:rsidRPr="0053423A">
              <w:rPr>
                <w:rFonts w:cs="Sylfaen"/>
                <w:b/>
                <w:i/>
                <w:color w:val="000000"/>
                <w:lang w:val="hy-AM"/>
              </w:rPr>
              <w:t>և</w:t>
            </w:r>
            <w:r w:rsidR="006B0618" w:rsidRPr="0053423A">
              <w:rPr>
                <w:rFonts w:cs="Arial Armenian"/>
                <w:b/>
                <w:i/>
                <w:color w:val="000000"/>
                <w:lang w:val="hy-AM"/>
              </w:rPr>
              <w:t xml:space="preserve"> </w:t>
            </w:r>
            <w:r w:rsidR="006B0618" w:rsidRPr="0053423A">
              <w:rPr>
                <w:rFonts w:cs="Sylfaen"/>
                <w:b/>
                <w:i/>
                <w:color w:val="000000"/>
                <w:lang w:val="hy-AM"/>
              </w:rPr>
              <w:t>ներդրման</w:t>
            </w:r>
            <w:r w:rsidR="006B0618" w:rsidRPr="0053423A">
              <w:rPr>
                <w:rFonts w:cs="Arial Armenian"/>
                <w:b/>
                <w:i/>
                <w:color w:val="000000"/>
                <w:lang w:val="hy-AM"/>
              </w:rPr>
              <w:t xml:space="preserve"> </w:t>
            </w:r>
            <w:r w:rsidR="006B0618" w:rsidRPr="0053423A">
              <w:rPr>
                <w:rFonts w:cs="Sylfaen"/>
                <w:b/>
                <w:i/>
                <w:color w:val="000000"/>
                <w:lang w:val="hy-AM"/>
              </w:rPr>
              <w:t>կարգը</w:t>
            </w:r>
            <w:r w:rsidR="006B0618" w:rsidRPr="0053423A">
              <w:rPr>
                <w:rFonts w:cs="Arial Armenian"/>
                <w:b/>
                <w:i/>
                <w:color w:val="000000"/>
                <w:lang w:val="hy-AM"/>
              </w:rPr>
              <w:t xml:space="preserve"> </w:t>
            </w:r>
            <w:r w:rsidR="006B0618" w:rsidRPr="0053423A">
              <w:rPr>
                <w:rFonts w:cs="Sylfaen"/>
                <w:b/>
                <w:i/>
                <w:color w:val="000000"/>
                <w:lang w:val="hy-AM"/>
              </w:rPr>
              <w:t>հաստատելու</w:t>
            </w:r>
            <w:r w:rsidR="006B0618" w:rsidRPr="0053423A">
              <w:rPr>
                <w:rFonts w:cs="Arial Armenian"/>
                <w:b/>
                <w:i/>
                <w:color w:val="000000"/>
                <w:lang w:val="hy-AM"/>
              </w:rPr>
              <w:t xml:space="preserve"> </w:t>
            </w:r>
            <w:r w:rsidR="006B0618" w:rsidRPr="0053423A">
              <w:rPr>
                <w:rFonts w:cs="Sylfaen"/>
                <w:b/>
                <w:i/>
                <w:color w:val="000000"/>
                <w:lang w:val="hy-AM"/>
              </w:rPr>
              <w:t>մասին</w:t>
            </w:r>
            <w:r w:rsidR="006B0618" w:rsidRPr="0053423A">
              <w:rPr>
                <w:rFonts w:cs="Arial Armenian"/>
                <w:b/>
                <w:i/>
                <w:color w:val="000000"/>
                <w:lang w:val="hy-AM"/>
              </w:rPr>
              <w:t xml:space="preserve">» </w:t>
            </w:r>
            <w:r w:rsidR="006B0618" w:rsidRPr="0053423A">
              <w:rPr>
                <w:rFonts w:cs="Sylfaen"/>
                <w:b/>
                <w:i/>
                <w:color w:val="000000"/>
                <w:lang w:val="hy-AM"/>
              </w:rPr>
              <w:t>ՀՀ</w:t>
            </w:r>
            <w:r w:rsidR="006B0618" w:rsidRPr="0053423A">
              <w:rPr>
                <w:rFonts w:cs="Arial Armenian"/>
                <w:b/>
                <w:i/>
                <w:color w:val="000000"/>
                <w:lang w:val="hy-AM"/>
              </w:rPr>
              <w:t xml:space="preserve"> </w:t>
            </w:r>
            <w:r w:rsidR="006B0618" w:rsidRPr="0053423A">
              <w:rPr>
                <w:rFonts w:cs="Sylfaen"/>
                <w:b/>
                <w:i/>
                <w:color w:val="000000"/>
                <w:lang w:val="hy-AM"/>
              </w:rPr>
              <w:t>կառավարության</w:t>
            </w:r>
            <w:r w:rsidR="006B0618" w:rsidRPr="0053423A">
              <w:rPr>
                <w:rFonts w:cs="Arial Armenian"/>
                <w:b/>
                <w:i/>
                <w:color w:val="000000"/>
                <w:lang w:val="hy-AM"/>
              </w:rPr>
              <w:t xml:space="preserve"> </w:t>
            </w:r>
            <w:r w:rsidR="006B0618" w:rsidRPr="0053423A">
              <w:rPr>
                <w:rFonts w:cs="Sylfaen"/>
                <w:b/>
                <w:i/>
                <w:color w:val="000000"/>
                <w:lang w:val="hy-AM"/>
              </w:rPr>
              <w:t>որոշման</w:t>
            </w:r>
            <w:r w:rsidR="006B0618" w:rsidRPr="0053423A">
              <w:rPr>
                <w:rFonts w:cs="Arial Armenian"/>
                <w:b/>
                <w:i/>
                <w:color w:val="000000"/>
                <w:lang w:val="hy-AM"/>
              </w:rPr>
              <w:t xml:space="preserve"> </w:t>
            </w:r>
            <w:r w:rsidR="006B0618" w:rsidRPr="0053423A">
              <w:rPr>
                <w:rFonts w:cs="Sylfaen"/>
                <w:b/>
                <w:i/>
                <w:color w:val="000000"/>
                <w:lang w:val="hy-AM"/>
              </w:rPr>
              <w:t>նախագիծը</w:t>
            </w:r>
            <w:r w:rsidR="006B0618" w:rsidRPr="0053423A">
              <w:rPr>
                <w:rFonts w:cs="Arial Armenian"/>
                <w:b/>
                <w:i/>
                <w:color w:val="000000"/>
                <w:lang w:val="hy-AM"/>
              </w:rPr>
              <w:t xml:space="preserve"> </w:t>
            </w:r>
            <w:r w:rsidR="006B0618" w:rsidRPr="0053423A">
              <w:rPr>
                <w:b/>
                <w:i/>
                <w:lang w:val="hy-AM"/>
              </w:rPr>
              <w:t>ՀՀ վարչապետի աշխատակազմ ներկայացնելը</w:t>
            </w:r>
          </w:p>
          <w:p w:rsidR="006B0618" w:rsidRPr="0053423A" w:rsidRDefault="006B0618" w:rsidP="00A67858">
            <w:pPr>
              <w:numPr>
                <w:ilvl w:val="0"/>
                <w:numId w:val="80"/>
              </w:numPr>
              <w:tabs>
                <w:tab w:val="left" w:pos="342"/>
              </w:tabs>
              <w:spacing w:line="276" w:lineRule="auto"/>
              <w:ind w:left="0" w:right="256" w:firstLine="0"/>
              <w:jc w:val="both"/>
              <w:rPr>
                <w:rFonts w:cs="Sylfaen"/>
                <w:b/>
                <w:color w:val="000000"/>
              </w:rPr>
            </w:pPr>
            <w:r w:rsidRPr="0053423A">
              <w:rPr>
                <w:rFonts w:cs="Sylfaen"/>
                <w:b/>
                <w:color w:val="000000"/>
              </w:rPr>
              <w:t>Միջոցառման</w:t>
            </w:r>
            <w:r w:rsidRPr="0053423A">
              <w:rPr>
                <w:rFonts w:cs="Arial Armenian"/>
                <w:b/>
                <w:color w:val="000000"/>
              </w:rPr>
              <w:t xml:space="preserve"> </w:t>
            </w:r>
            <w:r w:rsidRPr="0053423A">
              <w:rPr>
                <w:rFonts w:cs="Sylfaen"/>
                <w:b/>
                <w:color w:val="000000"/>
              </w:rPr>
              <w:t>իրակացման</w:t>
            </w:r>
            <w:r w:rsidRPr="0053423A">
              <w:rPr>
                <w:rFonts w:cs="Arial Armenian"/>
                <w:b/>
                <w:color w:val="000000"/>
              </w:rPr>
              <w:t xml:space="preserve"> </w:t>
            </w:r>
            <w:r w:rsidRPr="0053423A">
              <w:rPr>
                <w:rFonts w:cs="Sylfaen"/>
                <w:b/>
                <w:color w:val="000000"/>
              </w:rPr>
              <w:t>անհրաժեշտությունը</w:t>
            </w:r>
            <w:r w:rsidRPr="0053423A">
              <w:rPr>
                <w:rFonts w:cs="Arial Armenian"/>
                <w:b/>
                <w:color w:val="000000"/>
              </w:rPr>
              <w:t xml:space="preserve"> </w:t>
            </w:r>
            <w:r w:rsidRPr="0053423A">
              <w:rPr>
                <w:rFonts w:cs="Sylfaen"/>
                <w:b/>
                <w:color w:val="000000"/>
              </w:rPr>
              <w:t>և</w:t>
            </w:r>
            <w:r w:rsidRPr="0053423A">
              <w:rPr>
                <w:rFonts w:cs="Arial Armenian"/>
                <w:b/>
                <w:color w:val="000000"/>
              </w:rPr>
              <w:t xml:space="preserve"> </w:t>
            </w:r>
            <w:r w:rsidRPr="0053423A">
              <w:rPr>
                <w:rFonts w:cs="Sylfaen"/>
                <w:b/>
                <w:color w:val="000000"/>
              </w:rPr>
              <w:t>նպատակը</w:t>
            </w:r>
          </w:p>
          <w:p w:rsidR="006B0618" w:rsidRPr="0053423A" w:rsidRDefault="006B0618" w:rsidP="00A67858">
            <w:pPr>
              <w:tabs>
                <w:tab w:val="left" w:pos="342"/>
              </w:tabs>
              <w:spacing w:line="276" w:lineRule="auto"/>
              <w:ind w:right="256"/>
              <w:rPr>
                <w:color w:val="000000"/>
              </w:rPr>
            </w:pPr>
            <w:r w:rsidRPr="0053423A">
              <w:rPr>
                <w:rFonts w:cs="Arial Armenian"/>
                <w:color w:val="000000"/>
              </w:rPr>
              <w:t xml:space="preserve">     </w:t>
            </w:r>
            <w:r w:rsidRPr="0053423A">
              <w:rPr>
                <w:rFonts w:cs="Sylfaen"/>
                <w:color w:val="000000"/>
              </w:rPr>
              <w:t>Հայաստանի</w:t>
            </w:r>
            <w:r w:rsidRPr="0053423A">
              <w:rPr>
                <w:rFonts w:cs="Arial Armenian"/>
                <w:color w:val="000000"/>
              </w:rPr>
              <w:t xml:space="preserve"> </w:t>
            </w:r>
            <w:r w:rsidRPr="0053423A">
              <w:rPr>
                <w:rFonts w:cs="Sylfaen"/>
                <w:color w:val="000000"/>
              </w:rPr>
              <w:t>Հանրապետության</w:t>
            </w:r>
            <w:r w:rsidRPr="0053423A">
              <w:rPr>
                <w:rFonts w:cs="Arial Armenian"/>
                <w:color w:val="000000"/>
              </w:rPr>
              <w:t xml:space="preserve"> </w:t>
            </w:r>
            <w:r w:rsidRPr="0053423A">
              <w:rPr>
                <w:rFonts w:cs="Sylfaen"/>
                <w:color w:val="000000"/>
              </w:rPr>
              <w:t>սեյսմիկ</w:t>
            </w:r>
            <w:r w:rsidRPr="0053423A">
              <w:rPr>
                <w:rFonts w:cs="Arial Armenian"/>
                <w:color w:val="000000"/>
              </w:rPr>
              <w:t xml:space="preserve"> </w:t>
            </w:r>
            <w:r w:rsidRPr="0053423A">
              <w:rPr>
                <w:rFonts w:cs="Sylfaen"/>
                <w:color w:val="000000"/>
              </w:rPr>
              <w:t>ռիսկի</w:t>
            </w:r>
            <w:r w:rsidRPr="0053423A">
              <w:rPr>
                <w:rFonts w:cs="Arial Armenian"/>
                <w:color w:val="000000"/>
              </w:rPr>
              <w:t xml:space="preserve"> </w:t>
            </w:r>
            <w:r w:rsidRPr="0053423A">
              <w:rPr>
                <w:rFonts w:cs="Sylfaen"/>
                <w:color w:val="000000"/>
              </w:rPr>
              <w:t>նվազեցման</w:t>
            </w:r>
            <w:r w:rsidRPr="0053423A">
              <w:rPr>
                <w:rFonts w:cs="Arial Armenian"/>
                <w:color w:val="000000"/>
              </w:rPr>
              <w:t xml:space="preserve"> </w:t>
            </w:r>
            <w:r w:rsidRPr="0053423A">
              <w:rPr>
                <w:rFonts w:cs="Sylfaen"/>
                <w:color w:val="000000"/>
              </w:rPr>
              <w:t>իրավական</w:t>
            </w:r>
            <w:r w:rsidRPr="0053423A">
              <w:rPr>
                <w:rFonts w:cs="Arial Armenian"/>
                <w:color w:val="000000"/>
              </w:rPr>
              <w:t xml:space="preserve"> </w:t>
            </w:r>
            <w:r w:rsidRPr="0053423A">
              <w:rPr>
                <w:rFonts w:cs="Sylfaen"/>
                <w:color w:val="000000"/>
              </w:rPr>
              <w:t>դաշտի</w:t>
            </w:r>
            <w:r w:rsidRPr="0053423A">
              <w:rPr>
                <w:rFonts w:cs="Arial Armenian"/>
                <w:color w:val="000000"/>
              </w:rPr>
              <w:t xml:space="preserve"> </w:t>
            </w:r>
            <w:r w:rsidRPr="0053423A">
              <w:rPr>
                <w:rFonts w:cs="Sylfaen"/>
                <w:color w:val="000000"/>
              </w:rPr>
              <w:t>ամրագրում՝</w:t>
            </w:r>
            <w:r w:rsidRPr="0053423A">
              <w:rPr>
                <w:color w:val="000000"/>
              </w:rPr>
              <w:t xml:space="preserve"> (2002 </w:t>
            </w:r>
            <w:r w:rsidRPr="0053423A">
              <w:rPr>
                <w:rFonts w:cs="Sylfaen"/>
                <w:color w:val="000000"/>
              </w:rPr>
              <w:t>թ</w:t>
            </w:r>
            <w:r w:rsidRPr="0053423A">
              <w:rPr>
                <w:color w:val="000000"/>
              </w:rPr>
              <w:t xml:space="preserve">. </w:t>
            </w:r>
            <w:r w:rsidRPr="0053423A">
              <w:rPr>
                <w:rFonts w:cs="Sylfaen"/>
                <w:color w:val="000000"/>
              </w:rPr>
              <w:t>հուլիսի</w:t>
            </w:r>
            <w:r w:rsidRPr="0053423A">
              <w:rPr>
                <w:color w:val="000000"/>
              </w:rPr>
              <w:t xml:space="preserve"> 6-</w:t>
            </w:r>
            <w:r w:rsidRPr="0053423A">
              <w:rPr>
                <w:rFonts w:cs="Sylfaen"/>
                <w:color w:val="000000"/>
              </w:rPr>
              <w:t>ի</w:t>
            </w:r>
            <w:r w:rsidRPr="0053423A">
              <w:rPr>
                <w:color w:val="000000"/>
              </w:rPr>
              <w:t xml:space="preserve"> «</w:t>
            </w:r>
            <w:r w:rsidRPr="0053423A">
              <w:rPr>
                <w:rFonts w:cs="Sylfaen"/>
                <w:color w:val="000000"/>
              </w:rPr>
              <w:t>Սեյսմիկ</w:t>
            </w:r>
            <w:r w:rsidRPr="0053423A">
              <w:rPr>
                <w:color w:val="000000"/>
              </w:rPr>
              <w:t xml:space="preserve"> </w:t>
            </w:r>
            <w:r w:rsidRPr="0053423A">
              <w:rPr>
                <w:rFonts w:cs="Sylfaen"/>
                <w:color w:val="000000"/>
              </w:rPr>
              <w:t>պաշտպանության</w:t>
            </w:r>
            <w:r w:rsidRPr="0053423A">
              <w:rPr>
                <w:color w:val="000000"/>
              </w:rPr>
              <w:t xml:space="preserve"> </w:t>
            </w:r>
            <w:r w:rsidRPr="0053423A">
              <w:rPr>
                <w:rFonts w:cs="Sylfaen"/>
                <w:color w:val="000000"/>
              </w:rPr>
              <w:t>մասին</w:t>
            </w:r>
            <w:r w:rsidRPr="0053423A">
              <w:rPr>
                <w:color w:val="000000"/>
              </w:rPr>
              <w:t xml:space="preserve">» </w:t>
            </w:r>
            <w:r w:rsidRPr="0053423A">
              <w:rPr>
                <w:rFonts w:cs="Sylfaen"/>
                <w:color w:val="000000"/>
              </w:rPr>
              <w:t>ՀՕ</w:t>
            </w:r>
            <w:r w:rsidRPr="0053423A">
              <w:rPr>
                <w:color w:val="000000"/>
              </w:rPr>
              <w:t>-376-</w:t>
            </w:r>
            <w:r w:rsidRPr="0053423A">
              <w:rPr>
                <w:rFonts w:cs="Sylfaen"/>
                <w:color w:val="000000"/>
              </w:rPr>
              <w:t>Ն</w:t>
            </w:r>
            <w:r w:rsidRPr="0053423A">
              <w:rPr>
                <w:color w:val="000000"/>
              </w:rPr>
              <w:t xml:space="preserve"> </w:t>
            </w:r>
            <w:r w:rsidRPr="0053423A">
              <w:rPr>
                <w:rFonts w:cs="Sylfaen"/>
                <w:color w:val="000000"/>
              </w:rPr>
              <w:t>ՀՀ</w:t>
            </w:r>
            <w:r w:rsidRPr="0053423A">
              <w:rPr>
                <w:color w:val="000000"/>
              </w:rPr>
              <w:t xml:space="preserve"> </w:t>
            </w:r>
            <w:r w:rsidRPr="0053423A">
              <w:rPr>
                <w:rFonts w:cs="Sylfaen"/>
                <w:color w:val="000000"/>
              </w:rPr>
              <w:t>օրենք</w:t>
            </w:r>
            <w:r w:rsidRPr="0053423A">
              <w:rPr>
                <w:color w:val="000000"/>
              </w:rPr>
              <w:t xml:space="preserve">, </w:t>
            </w:r>
            <w:r w:rsidRPr="0053423A">
              <w:rPr>
                <w:rFonts w:cs="Sylfaen"/>
                <w:color w:val="000000"/>
              </w:rPr>
              <w:t>հոդվածներ՝</w:t>
            </w:r>
            <w:r w:rsidRPr="0053423A">
              <w:rPr>
                <w:color w:val="000000"/>
              </w:rPr>
              <w:t xml:space="preserve"> 5, 12, 14, 25, 26):</w:t>
            </w:r>
          </w:p>
          <w:p w:rsidR="006B0618" w:rsidRPr="0053423A" w:rsidRDefault="006B0618" w:rsidP="00A67858">
            <w:pPr>
              <w:numPr>
                <w:ilvl w:val="1"/>
                <w:numId w:val="80"/>
              </w:numPr>
              <w:tabs>
                <w:tab w:val="left" w:pos="342"/>
              </w:tabs>
              <w:spacing w:line="276" w:lineRule="auto"/>
              <w:ind w:left="0" w:right="256" w:firstLine="0"/>
              <w:jc w:val="both"/>
              <w:rPr>
                <w:rFonts w:cs="Sylfaen"/>
                <w:b/>
                <w:color w:val="000000"/>
              </w:rPr>
            </w:pPr>
            <w:r w:rsidRPr="0053423A">
              <w:rPr>
                <w:rFonts w:cs="Sylfaen"/>
                <w:b/>
                <w:color w:val="000000"/>
              </w:rPr>
              <w:t>կարգավորման</w:t>
            </w:r>
            <w:r w:rsidRPr="0053423A">
              <w:rPr>
                <w:b/>
                <w:color w:val="000000"/>
              </w:rPr>
              <w:t xml:space="preserve"> </w:t>
            </w:r>
            <w:r w:rsidRPr="0053423A">
              <w:rPr>
                <w:rFonts w:cs="Sylfaen"/>
                <w:b/>
                <w:color w:val="000000"/>
              </w:rPr>
              <w:t>հարաբերությունների</w:t>
            </w:r>
            <w:r w:rsidRPr="0053423A">
              <w:rPr>
                <w:b/>
                <w:color w:val="000000"/>
              </w:rPr>
              <w:t xml:space="preserve"> </w:t>
            </w:r>
            <w:r w:rsidRPr="0053423A">
              <w:rPr>
                <w:rFonts w:cs="Sylfaen"/>
                <w:b/>
                <w:color w:val="000000"/>
              </w:rPr>
              <w:t>ներկա</w:t>
            </w:r>
            <w:r w:rsidRPr="0053423A">
              <w:rPr>
                <w:b/>
                <w:color w:val="000000"/>
              </w:rPr>
              <w:t xml:space="preserve"> </w:t>
            </w:r>
            <w:r w:rsidRPr="0053423A">
              <w:rPr>
                <w:rFonts w:cs="Sylfaen"/>
                <w:b/>
                <w:color w:val="000000"/>
              </w:rPr>
              <w:t>վիճակը</w:t>
            </w:r>
            <w:r w:rsidRPr="0053423A">
              <w:rPr>
                <w:b/>
                <w:color w:val="000000"/>
              </w:rPr>
              <w:t xml:space="preserve"> </w:t>
            </w:r>
            <w:r w:rsidRPr="0053423A">
              <w:rPr>
                <w:rFonts w:cs="Sylfaen"/>
                <w:b/>
                <w:color w:val="000000"/>
              </w:rPr>
              <w:t>և</w:t>
            </w:r>
            <w:r w:rsidRPr="0053423A">
              <w:rPr>
                <w:b/>
                <w:color w:val="000000"/>
              </w:rPr>
              <w:t xml:space="preserve"> </w:t>
            </w:r>
            <w:r w:rsidRPr="0053423A">
              <w:rPr>
                <w:rFonts w:cs="Sylfaen"/>
                <w:b/>
                <w:color w:val="000000"/>
              </w:rPr>
              <w:t>առկա</w:t>
            </w:r>
            <w:r w:rsidRPr="0053423A">
              <w:rPr>
                <w:b/>
                <w:color w:val="000000"/>
              </w:rPr>
              <w:t xml:space="preserve"> </w:t>
            </w:r>
            <w:r w:rsidRPr="0053423A">
              <w:rPr>
                <w:rFonts w:cs="Sylfaen"/>
                <w:b/>
                <w:color w:val="000000"/>
              </w:rPr>
              <w:t>խնդիրները</w:t>
            </w:r>
          </w:p>
          <w:p w:rsidR="006B0618" w:rsidRPr="0053423A" w:rsidRDefault="006B0618" w:rsidP="00A67858">
            <w:pPr>
              <w:tabs>
                <w:tab w:val="left" w:pos="342"/>
              </w:tabs>
              <w:spacing w:line="276" w:lineRule="auto"/>
              <w:ind w:right="256"/>
              <w:rPr>
                <w:color w:val="000000"/>
              </w:rPr>
            </w:pPr>
            <w:r w:rsidRPr="0053423A">
              <w:rPr>
                <w:color w:val="000000"/>
              </w:rPr>
              <w:t xml:space="preserve">     </w:t>
            </w:r>
            <w:r w:rsidRPr="0053423A">
              <w:rPr>
                <w:rFonts w:cs="Sylfaen"/>
                <w:color w:val="000000"/>
              </w:rPr>
              <w:t>Հայաստանի</w:t>
            </w:r>
            <w:r w:rsidRPr="0053423A">
              <w:rPr>
                <w:color w:val="000000"/>
              </w:rPr>
              <w:t xml:space="preserve"> </w:t>
            </w:r>
            <w:r w:rsidRPr="0053423A">
              <w:rPr>
                <w:rFonts w:cs="Sylfaen"/>
                <w:color w:val="000000"/>
              </w:rPr>
              <w:t>Հանրապետության</w:t>
            </w:r>
            <w:r w:rsidRPr="0053423A">
              <w:rPr>
                <w:color w:val="000000"/>
              </w:rPr>
              <w:t xml:space="preserve"> </w:t>
            </w:r>
            <w:r w:rsidRPr="0053423A">
              <w:rPr>
                <w:rFonts w:cs="Sylfaen"/>
                <w:color w:val="000000"/>
              </w:rPr>
              <w:t>բնակչության</w:t>
            </w:r>
            <w:r w:rsidRPr="0053423A">
              <w:rPr>
                <w:color w:val="000000"/>
              </w:rPr>
              <w:t xml:space="preserve"> </w:t>
            </w:r>
            <w:r w:rsidRPr="0053423A">
              <w:rPr>
                <w:rFonts w:cs="Sylfaen"/>
                <w:color w:val="000000"/>
              </w:rPr>
              <w:t>տարբեր</w:t>
            </w:r>
            <w:r w:rsidRPr="0053423A">
              <w:rPr>
                <w:color w:val="000000"/>
              </w:rPr>
              <w:t xml:space="preserve"> </w:t>
            </w:r>
            <w:r w:rsidRPr="0053423A">
              <w:rPr>
                <w:rFonts w:cs="Sylfaen"/>
                <w:color w:val="000000"/>
              </w:rPr>
              <w:t>խմբերի</w:t>
            </w:r>
            <w:r w:rsidRPr="0053423A">
              <w:rPr>
                <w:color w:val="000000"/>
              </w:rPr>
              <w:t xml:space="preserve"> </w:t>
            </w:r>
            <w:r w:rsidRPr="0053423A">
              <w:rPr>
                <w:rFonts w:cs="Sylfaen"/>
                <w:color w:val="000000"/>
              </w:rPr>
              <w:t>և</w:t>
            </w:r>
            <w:r w:rsidRPr="0053423A">
              <w:rPr>
                <w:color w:val="000000"/>
              </w:rPr>
              <w:t xml:space="preserve"> </w:t>
            </w:r>
            <w:r w:rsidRPr="0053423A">
              <w:rPr>
                <w:rFonts w:cs="Sylfaen"/>
                <w:color w:val="000000"/>
              </w:rPr>
              <w:t>կառավարման</w:t>
            </w:r>
            <w:r w:rsidRPr="0053423A">
              <w:rPr>
                <w:color w:val="000000"/>
              </w:rPr>
              <w:t xml:space="preserve"> </w:t>
            </w:r>
            <w:r w:rsidRPr="0053423A">
              <w:rPr>
                <w:rFonts w:cs="Sylfaen"/>
                <w:color w:val="000000"/>
              </w:rPr>
              <w:t>մարմինների</w:t>
            </w:r>
            <w:r w:rsidRPr="0053423A">
              <w:rPr>
                <w:color w:val="000000"/>
              </w:rPr>
              <w:t xml:space="preserve"> </w:t>
            </w:r>
            <w:r w:rsidRPr="0053423A">
              <w:rPr>
                <w:rFonts w:cs="Sylfaen"/>
                <w:color w:val="000000"/>
              </w:rPr>
              <w:t>նախապատրաստման</w:t>
            </w:r>
            <w:r w:rsidRPr="0053423A">
              <w:rPr>
                <w:color w:val="000000"/>
              </w:rPr>
              <w:t xml:space="preserve"> </w:t>
            </w:r>
            <w:r w:rsidRPr="0053423A">
              <w:rPr>
                <w:rFonts w:cs="Sylfaen"/>
                <w:color w:val="000000"/>
              </w:rPr>
              <w:t>համար</w:t>
            </w:r>
            <w:r w:rsidRPr="0053423A">
              <w:rPr>
                <w:color w:val="000000"/>
              </w:rPr>
              <w:t xml:space="preserve"> </w:t>
            </w:r>
            <w:r w:rsidRPr="0053423A">
              <w:rPr>
                <w:rFonts w:cs="Sylfaen"/>
                <w:color w:val="000000"/>
              </w:rPr>
              <w:t>ուժեղ</w:t>
            </w:r>
            <w:r w:rsidRPr="0053423A">
              <w:rPr>
                <w:color w:val="000000"/>
              </w:rPr>
              <w:t xml:space="preserve"> </w:t>
            </w:r>
            <w:r w:rsidRPr="0053423A">
              <w:rPr>
                <w:rFonts w:cs="Sylfaen"/>
                <w:color w:val="000000"/>
              </w:rPr>
              <w:t>երկրաշարժի</w:t>
            </w:r>
            <w:r w:rsidRPr="0053423A">
              <w:rPr>
                <w:color w:val="000000"/>
              </w:rPr>
              <w:t xml:space="preserve"> </w:t>
            </w:r>
            <w:r w:rsidRPr="0053423A">
              <w:rPr>
                <w:rFonts w:cs="Sylfaen"/>
                <w:color w:val="000000"/>
              </w:rPr>
              <w:t>վերաբերյալ</w:t>
            </w:r>
            <w:r w:rsidRPr="0053423A">
              <w:rPr>
                <w:color w:val="000000"/>
              </w:rPr>
              <w:t xml:space="preserve"> </w:t>
            </w:r>
            <w:r w:rsidRPr="0053423A">
              <w:rPr>
                <w:rFonts w:cs="Sylfaen"/>
                <w:color w:val="000000"/>
              </w:rPr>
              <w:t>բազմակողմանի</w:t>
            </w:r>
            <w:r w:rsidRPr="0053423A">
              <w:rPr>
                <w:color w:val="000000"/>
              </w:rPr>
              <w:t xml:space="preserve"> </w:t>
            </w:r>
            <w:r w:rsidRPr="0053423A">
              <w:rPr>
                <w:rFonts w:cs="Sylfaen"/>
                <w:color w:val="000000"/>
              </w:rPr>
              <w:t>ուսուցողական</w:t>
            </w:r>
            <w:r w:rsidRPr="0053423A">
              <w:rPr>
                <w:color w:val="000000"/>
              </w:rPr>
              <w:t xml:space="preserve"> </w:t>
            </w:r>
            <w:r w:rsidRPr="0053423A">
              <w:rPr>
                <w:rFonts w:cs="Sylfaen"/>
                <w:color w:val="000000"/>
              </w:rPr>
              <w:t>ծրա</w:t>
            </w:r>
            <w:r w:rsidRPr="0053423A">
              <w:rPr>
                <w:color w:val="000000"/>
              </w:rPr>
              <w:t>-</w:t>
            </w:r>
            <w:r w:rsidRPr="0053423A">
              <w:rPr>
                <w:rFonts w:cs="Sylfaen"/>
                <w:color w:val="000000"/>
              </w:rPr>
              <w:t>գրերի</w:t>
            </w:r>
            <w:r w:rsidRPr="0053423A">
              <w:rPr>
                <w:color w:val="000000"/>
              </w:rPr>
              <w:t xml:space="preserve"> </w:t>
            </w:r>
            <w:r w:rsidRPr="0053423A">
              <w:rPr>
                <w:rFonts w:cs="Sylfaen"/>
                <w:color w:val="000000"/>
              </w:rPr>
              <w:t>մշակման</w:t>
            </w:r>
            <w:r w:rsidRPr="0053423A">
              <w:rPr>
                <w:color w:val="000000"/>
              </w:rPr>
              <w:t xml:space="preserve"> </w:t>
            </w:r>
            <w:r w:rsidRPr="0053423A">
              <w:rPr>
                <w:rFonts w:cs="Sylfaen"/>
                <w:color w:val="000000"/>
              </w:rPr>
              <w:t>և</w:t>
            </w:r>
            <w:r w:rsidRPr="0053423A">
              <w:rPr>
                <w:color w:val="000000"/>
              </w:rPr>
              <w:t xml:space="preserve"> </w:t>
            </w:r>
            <w:r w:rsidRPr="0053423A">
              <w:rPr>
                <w:rFonts w:cs="Sylfaen"/>
                <w:color w:val="000000"/>
              </w:rPr>
              <w:t>ներդրման</w:t>
            </w:r>
            <w:r w:rsidRPr="0053423A">
              <w:rPr>
                <w:color w:val="000000"/>
              </w:rPr>
              <w:t xml:space="preserve"> </w:t>
            </w:r>
            <w:r w:rsidRPr="0053423A">
              <w:rPr>
                <w:rFonts w:cs="Sylfaen"/>
                <w:color w:val="000000"/>
              </w:rPr>
              <w:t>կարգի</w:t>
            </w:r>
            <w:r w:rsidRPr="0053423A">
              <w:rPr>
                <w:color w:val="000000"/>
              </w:rPr>
              <w:t xml:space="preserve"> </w:t>
            </w:r>
            <w:r w:rsidRPr="0053423A">
              <w:rPr>
                <w:rFonts w:cs="Sylfaen"/>
                <w:color w:val="000000"/>
              </w:rPr>
              <w:t>սահմանում</w:t>
            </w:r>
            <w:r w:rsidRPr="0053423A">
              <w:rPr>
                <w:color w:val="000000"/>
              </w:rPr>
              <w:t xml:space="preserve">, </w:t>
            </w:r>
            <w:r w:rsidRPr="0053423A">
              <w:rPr>
                <w:rFonts w:cs="Sylfaen"/>
                <w:color w:val="000000"/>
              </w:rPr>
              <w:t>սեյսմիկ</w:t>
            </w:r>
            <w:r w:rsidRPr="0053423A">
              <w:rPr>
                <w:color w:val="000000"/>
              </w:rPr>
              <w:t xml:space="preserve"> </w:t>
            </w:r>
            <w:r w:rsidRPr="0053423A">
              <w:rPr>
                <w:rFonts w:cs="Sylfaen"/>
                <w:color w:val="000000"/>
              </w:rPr>
              <w:t>պաշտպանության</w:t>
            </w:r>
            <w:r w:rsidRPr="0053423A">
              <w:rPr>
                <w:color w:val="000000"/>
              </w:rPr>
              <w:t xml:space="preserve"> </w:t>
            </w:r>
            <w:r w:rsidRPr="0053423A">
              <w:rPr>
                <w:rFonts w:cs="Sylfaen"/>
                <w:color w:val="000000"/>
              </w:rPr>
              <w:t>բնագավառում</w:t>
            </w:r>
            <w:r w:rsidRPr="0053423A">
              <w:rPr>
                <w:color w:val="000000"/>
              </w:rPr>
              <w:t xml:space="preserve"> </w:t>
            </w:r>
            <w:r w:rsidRPr="0053423A">
              <w:rPr>
                <w:rFonts w:cs="Sylfaen"/>
                <w:color w:val="000000"/>
              </w:rPr>
              <w:t>շահագրգիռ</w:t>
            </w:r>
            <w:r w:rsidRPr="0053423A">
              <w:rPr>
                <w:color w:val="000000"/>
              </w:rPr>
              <w:t xml:space="preserve"> </w:t>
            </w:r>
            <w:r w:rsidRPr="0053423A">
              <w:rPr>
                <w:rFonts w:cs="Sylfaen"/>
                <w:color w:val="000000"/>
              </w:rPr>
              <w:t>մարմինների</w:t>
            </w:r>
            <w:r w:rsidRPr="0053423A">
              <w:rPr>
                <w:color w:val="000000"/>
              </w:rPr>
              <w:t xml:space="preserve"> </w:t>
            </w:r>
            <w:r w:rsidRPr="0053423A">
              <w:rPr>
                <w:rFonts w:cs="Sylfaen"/>
                <w:color w:val="000000"/>
              </w:rPr>
              <w:t>հետ</w:t>
            </w:r>
            <w:r w:rsidRPr="0053423A">
              <w:rPr>
                <w:color w:val="000000"/>
              </w:rPr>
              <w:t xml:space="preserve"> </w:t>
            </w:r>
            <w:r w:rsidRPr="0053423A">
              <w:rPr>
                <w:rFonts w:cs="Sylfaen"/>
                <w:color w:val="000000"/>
              </w:rPr>
              <w:t>իրականացվելիք</w:t>
            </w:r>
            <w:r w:rsidRPr="0053423A">
              <w:rPr>
                <w:color w:val="000000"/>
              </w:rPr>
              <w:t xml:space="preserve"> </w:t>
            </w:r>
            <w:r w:rsidRPr="0053423A">
              <w:rPr>
                <w:rFonts w:cs="Sylfaen"/>
                <w:color w:val="000000"/>
              </w:rPr>
              <w:t>ծրագրերի</w:t>
            </w:r>
            <w:r w:rsidRPr="0053423A">
              <w:rPr>
                <w:color w:val="000000"/>
              </w:rPr>
              <w:t xml:space="preserve"> </w:t>
            </w:r>
            <w:r w:rsidRPr="0053423A">
              <w:rPr>
                <w:rFonts w:cs="Sylfaen"/>
                <w:color w:val="000000"/>
              </w:rPr>
              <w:t>արդյունավետ</w:t>
            </w:r>
            <w:r w:rsidRPr="0053423A">
              <w:rPr>
                <w:color w:val="000000"/>
              </w:rPr>
              <w:t xml:space="preserve"> </w:t>
            </w:r>
            <w:r w:rsidRPr="0053423A">
              <w:rPr>
                <w:rFonts w:cs="Sylfaen"/>
                <w:color w:val="000000"/>
              </w:rPr>
              <w:t>կազմակերպում</w:t>
            </w:r>
            <w:r w:rsidRPr="0053423A">
              <w:rPr>
                <w:color w:val="000000"/>
              </w:rPr>
              <w:t xml:space="preserve"> </w:t>
            </w:r>
            <w:r w:rsidRPr="0053423A">
              <w:rPr>
                <w:rFonts w:cs="Sylfaen"/>
                <w:color w:val="000000"/>
              </w:rPr>
              <w:t>և</w:t>
            </w:r>
            <w:r w:rsidRPr="0053423A">
              <w:rPr>
                <w:color w:val="000000"/>
              </w:rPr>
              <w:t xml:space="preserve"> </w:t>
            </w:r>
            <w:r w:rsidRPr="0053423A">
              <w:rPr>
                <w:rFonts w:cs="Sylfaen"/>
                <w:color w:val="000000"/>
              </w:rPr>
              <w:t>իրականացման</w:t>
            </w:r>
            <w:r w:rsidRPr="0053423A">
              <w:rPr>
                <w:color w:val="000000"/>
              </w:rPr>
              <w:t xml:space="preserve"> </w:t>
            </w:r>
            <w:r w:rsidRPr="0053423A">
              <w:rPr>
                <w:rFonts w:cs="Sylfaen"/>
                <w:color w:val="000000"/>
              </w:rPr>
              <w:t>գործընթացում</w:t>
            </w:r>
            <w:r w:rsidRPr="0053423A">
              <w:rPr>
                <w:color w:val="000000"/>
              </w:rPr>
              <w:t xml:space="preserve"> </w:t>
            </w:r>
            <w:r w:rsidRPr="0053423A">
              <w:rPr>
                <w:rFonts w:cs="Sylfaen"/>
                <w:color w:val="000000"/>
              </w:rPr>
              <w:t>ներգրավված</w:t>
            </w:r>
            <w:r w:rsidRPr="0053423A">
              <w:rPr>
                <w:color w:val="000000"/>
              </w:rPr>
              <w:t xml:space="preserve"> </w:t>
            </w:r>
            <w:r w:rsidRPr="0053423A">
              <w:rPr>
                <w:rFonts w:cs="Sylfaen"/>
                <w:color w:val="000000"/>
              </w:rPr>
              <w:t>պետական</w:t>
            </w:r>
            <w:r w:rsidRPr="0053423A">
              <w:rPr>
                <w:color w:val="000000"/>
              </w:rPr>
              <w:t xml:space="preserve"> </w:t>
            </w:r>
            <w:r w:rsidRPr="0053423A">
              <w:rPr>
                <w:rFonts w:cs="Sylfaen"/>
                <w:color w:val="000000"/>
              </w:rPr>
              <w:t>կառույցների</w:t>
            </w:r>
            <w:r w:rsidRPr="0053423A">
              <w:rPr>
                <w:color w:val="000000"/>
              </w:rPr>
              <w:t xml:space="preserve"> </w:t>
            </w:r>
            <w:r w:rsidRPr="0053423A">
              <w:rPr>
                <w:rFonts w:cs="Sylfaen"/>
                <w:color w:val="000000"/>
              </w:rPr>
              <w:t>աշխատանքների</w:t>
            </w:r>
            <w:r w:rsidRPr="0053423A">
              <w:rPr>
                <w:color w:val="000000"/>
              </w:rPr>
              <w:t xml:space="preserve"> </w:t>
            </w:r>
            <w:r w:rsidRPr="0053423A">
              <w:rPr>
                <w:rFonts w:cs="Sylfaen"/>
                <w:color w:val="000000"/>
              </w:rPr>
              <w:t>համակարգում</w:t>
            </w:r>
            <w:r w:rsidRPr="0053423A">
              <w:rPr>
                <w:color w:val="000000"/>
              </w:rPr>
              <w:t xml:space="preserve">: </w:t>
            </w:r>
          </w:p>
          <w:p w:rsidR="006B0618" w:rsidRPr="0053423A" w:rsidRDefault="006B0618" w:rsidP="00A67858">
            <w:pPr>
              <w:numPr>
                <w:ilvl w:val="1"/>
                <w:numId w:val="80"/>
              </w:numPr>
              <w:tabs>
                <w:tab w:val="left" w:pos="342"/>
              </w:tabs>
              <w:spacing w:line="276" w:lineRule="auto"/>
              <w:ind w:left="0" w:right="256" w:firstLine="0"/>
              <w:jc w:val="both"/>
              <w:rPr>
                <w:rFonts w:cs="Sylfaen"/>
                <w:b/>
                <w:color w:val="000000"/>
              </w:rPr>
            </w:pPr>
            <w:r w:rsidRPr="0053423A">
              <w:rPr>
                <w:rFonts w:cs="Sylfaen"/>
                <w:b/>
                <w:color w:val="000000"/>
              </w:rPr>
              <w:t>առկա</w:t>
            </w:r>
            <w:r w:rsidRPr="0053423A">
              <w:rPr>
                <w:b/>
                <w:color w:val="000000"/>
              </w:rPr>
              <w:t xml:space="preserve"> </w:t>
            </w:r>
            <w:r w:rsidRPr="0053423A">
              <w:rPr>
                <w:rFonts w:cs="Sylfaen"/>
                <w:b/>
                <w:color w:val="000000"/>
              </w:rPr>
              <w:t>խնդիրների</w:t>
            </w:r>
            <w:r w:rsidRPr="0053423A">
              <w:rPr>
                <w:b/>
                <w:color w:val="000000"/>
              </w:rPr>
              <w:t xml:space="preserve"> </w:t>
            </w:r>
            <w:r w:rsidRPr="0053423A">
              <w:rPr>
                <w:rFonts w:cs="Sylfaen"/>
                <w:b/>
                <w:color w:val="000000"/>
              </w:rPr>
              <w:t>առաջարկվող</w:t>
            </w:r>
            <w:r w:rsidRPr="0053423A">
              <w:rPr>
                <w:b/>
                <w:color w:val="000000"/>
              </w:rPr>
              <w:t xml:space="preserve"> </w:t>
            </w:r>
            <w:r w:rsidRPr="0053423A">
              <w:rPr>
                <w:rFonts w:cs="Sylfaen"/>
                <w:b/>
                <w:color w:val="000000"/>
              </w:rPr>
              <w:t>լուծումները</w:t>
            </w:r>
          </w:p>
          <w:p w:rsidR="006B0618" w:rsidRPr="0053423A" w:rsidRDefault="006B0618" w:rsidP="00A67858">
            <w:pPr>
              <w:tabs>
                <w:tab w:val="left" w:pos="342"/>
              </w:tabs>
              <w:spacing w:line="276" w:lineRule="auto"/>
              <w:ind w:right="256"/>
              <w:rPr>
                <w:color w:val="000000"/>
              </w:rPr>
            </w:pPr>
            <w:r w:rsidRPr="0053423A">
              <w:rPr>
                <w:color w:val="000000"/>
              </w:rPr>
              <w:t xml:space="preserve">       </w:t>
            </w:r>
            <w:r w:rsidRPr="0053423A">
              <w:rPr>
                <w:rFonts w:cs="Sylfaen"/>
                <w:color w:val="000000"/>
              </w:rPr>
              <w:t>Հայաստանի</w:t>
            </w:r>
            <w:r w:rsidRPr="0053423A">
              <w:rPr>
                <w:color w:val="000000"/>
              </w:rPr>
              <w:t xml:space="preserve"> </w:t>
            </w:r>
            <w:r w:rsidRPr="0053423A">
              <w:rPr>
                <w:rFonts w:cs="Sylfaen"/>
                <w:color w:val="000000"/>
              </w:rPr>
              <w:t>Հանրապետության</w:t>
            </w:r>
            <w:r w:rsidRPr="0053423A">
              <w:rPr>
                <w:color w:val="000000"/>
              </w:rPr>
              <w:t xml:space="preserve"> </w:t>
            </w:r>
            <w:r w:rsidRPr="0053423A">
              <w:rPr>
                <w:rFonts w:cs="Sylfaen"/>
                <w:color w:val="000000"/>
              </w:rPr>
              <w:t>բնակչության</w:t>
            </w:r>
            <w:r w:rsidRPr="0053423A">
              <w:rPr>
                <w:color w:val="000000"/>
              </w:rPr>
              <w:t xml:space="preserve"> </w:t>
            </w:r>
            <w:r w:rsidRPr="0053423A">
              <w:rPr>
                <w:rFonts w:cs="Sylfaen"/>
                <w:color w:val="000000"/>
              </w:rPr>
              <w:t>տարբեր</w:t>
            </w:r>
            <w:r w:rsidRPr="0053423A">
              <w:rPr>
                <w:color w:val="000000"/>
              </w:rPr>
              <w:t xml:space="preserve"> </w:t>
            </w:r>
            <w:r w:rsidRPr="0053423A">
              <w:rPr>
                <w:rFonts w:cs="Sylfaen"/>
                <w:color w:val="000000"/>
              </w:rPr>
              <w:t>խմբերի</w:t>
            </w:r>
            <w:r w:rsidRPr="0053423A">
              <w:rPr>
                <w:color w:val="000000"/>
              </w:rPr>
              <w:t xml:space="preserve"> </w:t>
            </w:r>
            <w:r w:rsidRPr="0053423A">
              <w:rPr>
                <w:rFonts w:cs="Sylfaen"/>
                <w:color w:val="000000"/>
              </w:rPr>
              <w:t>և</w:t>
            </w:r>
            <w:r w:rsidRPr="0053423A">
              <w:rPr>
                <w:color w:val="000000"/>
              </w:rPr>
              <w:t xml:space="preserve"> </w:t>
            </w:r>
            <w:r w:rsidRPr="0053423A">
              <w:rPr>
                <w:rFonts w:cs="Sylfaen"/>
                <w:color w:val="000000"/>
              </w:rPr>
              <w:t>կառավարման</w:t>
            </w:r>
            <w:r w:rsidRPr="0053423A">
              <w:rPr>
                <w:color w:val="000000"/>
              </w:rPr>
              <w:t xml:space="preserve"> </w:t>
            </w:r>
            <w:r w:rsidRPr="0053423A">
              <w:rPr>
                <w:rFonts w:cs="Sylfaen"/>
                <w:color w:val="000000"/>
              </w:rPr>
              <w:t>մարմինների</w:t>
            </w:r>
            <w:r w:rsidRPr="0053423A">
              <w:rPr>
                <w:color w:val="000000"/>
              </w:rPr>
              <w:t xml:space="preserve"> </w:t>
            </w:r>
            <w:r w:rsidRPr="0053423A">
              <w:rPr>
                <w:rFonts w:cs="Sylfaen"/>
                <w:color w:val="000000"/>
              </w:rPr>
              <w:t>նախապատրաստման</w:t>
            </w:r>
            <w:r w:rsidRPr="0053423A">
              <w:rPr>
                <w:color w:val="000000"/>
              </w:rPr>
              <w:t xml:space="preserve"> </w:t>
            </w:r>
            <w:r w:rsidRPr="0053423A">
              <w:rPr>
                <w:rFonts w:cs="Sylfaen"/>
                <w:color w:val="000000"/>
              </w:rPr>
              <w:t>համար</w:t>
            </w:r>
            <w:r w:rsidRPr="0053423A">
              <w:rPr>
                <w:color w:val="000000"/>
              </w:rPr>
              <w:t xml:space="preserve"> </w:t>
            </w:r>
            <w:r w:rsidRPr="0053423A">
              <w:rPr>
                <w:rFonts w:cs="Sylfaen"/>
                <w:color w:val="000000"/>
              </w:rPr>
              <w:t>ուժեղ</w:t>
            </w:r>
            <w:r w:rsidRPr="0053423A">
              <w:rPr>
                <w:color w:val="000000"/>
              </w:rPr>
              <w:t xml:space="preserve"> </w:t>
            </w:r>
            <w:r w:rsidRPr="0053423A">
              <w:rPr>
                <w:rFonts w:cs="Sylfaen"/>
                <w:color w:val="000000"/>
              </w:rPr>
              <w:t>երկրաշարժի</w:t>
            </w:r>
            <w:r w:rsidRPr="0053423A">
              <w:rPr>
                <w:color w:val="000000"/>
              </w:rPr>
              <w:t xml:space="preserve"> </w:t>
            </w:r>
            <w:r w:rsidRPr="0053423A">
              <w:rPr>
                <w:rFonts w:cs="Sylfaen"/>
                <w:color w:val="000000"/>
              </w:rPr>
              <w:t>վերաբերյալ</w:t>
            </w:r>
            <w:r w:rsidRPr="0053423A">
              <w:rPr>
                <w:color w:val="000000"/>
              </w:rPr>
              <w:t xml:space="preserve"> </w:t>
            </w:r>
            <w:r w:rsidRPr="0053423A">
              <w:rPr>
                <w:rFonts w:cs="Sylfaen"/>
                <w:color w:val="000000"/>
              </w:rPr>
              <w:t>բազմակողմանի</w:t>
            </w:r>
            <w:r w:rsidRPr="0053423A">
              <w:rPr>
                <w:color w:val="000000"/>
              </w:rPr>
              <w:t xml:space="preserve"> </w:t>
            </w:r>
            <w:r w:rsidRPr="0053423A">
              <w:rPr>
                <w:rFonts w:cs="Sylfaen"/>
                <w:color w:val="000000"/>
              </w:rPr>
              <w:t>ուսուցողական</w:t>
            </w:r>
            <w:r w:rsidRPr="0053423A">
              <w:rPr>
                <w:color w:val="000000"/>
              </w:rPr>
              <w:t xml:space="preserve"> </w:t>
            </w:r>
            <w:r w:rsidRPr="0053423A">
              <w:rPr>
                <w:rFonts w:cs="Sylfaen"/>
                <w:color w:val="000000"/>
              </w:rPr>
              <w:t>ծրագրերի</w:t>
            </w:r>
            <w:r w:rsidRPr="0053423A">
              <w:rPr>
                <w:color w:val="000000"/>
              </w:rPr>
              <w:t xml:space="preserve"> </w:t>
            </w:r>
            <w:r w:rsidRPr="0053423A">
              <w:rPr>
                <w:rFonts w:cs="Sylfaen"/>
                <w:color w:val="000000"/>
              </w:rPr>
              <w:t>մշակում</w:t>
            </w:r>
            <w:r w:rsidRPr="0053423A">
              <w:rPr>
                <w:color w:val="000000"/>
              </w:rPr>
              <w:t xml:space="preserve"> </w:t>
            </w:r>
            <w:r w:rsidRPr="0053423A">
              <w:rPr>
                <w:rFonts w:cs="Sylfaen"/>
                <w:color w:val="000000"/>
              </w:rPr>
              <w:t>և</w:t>
            </w:r>
            <w:r w:rsidRPr="0053423A">
              <w:rPr>
                <w:color w:val="000000"/>
              </w:rPr>
              <w:t xml:space="preserve"> </w:t>
            </w:r>
            <w:r w:rsidRPr="0053423A">
              <w:rPr>
                <w:rFonts w:cs="Sylfaen"/>
                <w:color w:val="000000"/>
              </w:rPr>
              <w:t>ներդրում</w:t>
            </w:r>
            <w:r w:rsidRPr="0053423A">
              <w:rPr>
                <w:color w:val="000000"/>
              </w:rPr>
              <w:t xml:space="preserve">: </w:t>
            </w:r>
            <w:r w:rsidRPr="0053423A">
              <w:rPr>
                <w:rFonts w:cs="Sylfaen"/>
                <w:color w:val="000000"/>
              </w:rPr>
              <w:t>Բնակչության</w:t>
            </w:r>
            <w:r w:rsidRPr="0053423A">
              <w:rPr>
                <w:color w:val="000000"/>
              </w:rPr>
              <w:t xml:space="preserve"> </w:t>
            </w:r>
            <w:r w:rsidRPr="0053423A">
              <w:rPr>
                <w:rFonts w:cs="Sylfaen"/>
                <w:color w:val="000000"/>
              </w:rPr>
              <w:t>տարբեր</w:t>
            </w:r>
            <w:r w:rsidRPr="0053423A">
              <w:rPr>
                <w:color w:val="000000"/>
              </w:rPr>
              <w:t xml:space="preserve"> </w:t>
            </w:r>
            <w:r w:rsidRPr="0053423A">
              <w:rPr>
                <w:rFonts w:cs="Sylfaen"/>
                <w:color w:val="000000"/>
              </w:rPr>
              <w:t>տարիքային</w:t>
            </w:r>
            <w:r w:rsidRPr="0053423A">
              <w:rPr>
                <w:color w:val="000000"/>
              </w:rPr>
              <w:t xml:space="preserve"> </w:t>
            </w:r>
            <w:r w:rsidRPr="0053423A">
              <w:rPr>
                <w:rFonts w:cs="Sylfaen"/>
                <w:color w:val="000000"/>
              </w:rPr>
              <w:t>խմբերի</w:t>
            </w:r>
            <w:r w:rsidRPr="0053423A">
              <w:rPr>
                <w:color w:val="000000"/>
              </w:rPr>
              <w:t xml:space="preserve"> </w:t>
            </w:r>
            <w:r w:rsidRPr="0053423A">
              <w:rPr>
                <w:rFonts w:cs="Sylfaen"/>
                <w:color w:val="000000"/>
              </w:rPr>
              <w:t>և</w:t>
            </w:r>
            <w:r w:rsidRPr="0053423A">
              <w:rPr>
                <w:color w:val="000000"/>
              </w:rPr>
              <w:t xml:space="preserve"> </w:t>
            </w:r>
            <w:r w:rsidRPr="0053423A">
              <w:rPr>
                <w:rFonts w:cs="Sylfaen"/>
                <w:color w:val="000000"/>
              </w:rPr>
              <w:t>կառավարման</w:t>
            </w:r>
            <w:r w:rsidRPr="0053423A">
              <w:rPr>
                <w:color w:val="000000"/>
              </w:rPr>
              <w:t xml:space="preserve"> </w:t>
            </w:r>
            <w:r w:rsidRPr="0053423A">
              <w:rPr>
                <w:rFonts w:cs="Sylfaen"/>
                <w:color w:val="000000"/>
              </w:rPr>
              <w:t>մարմինների</w:t>
            </w:r>
            <w:r w:rsidRPr="0053423A">
              <w:rPr>
                <w:color w:val="000000"/>
              </w:rPr>
              <w:t xml:space="preserve"> </w:t>
            </w:r>
            <w:r w:rsidRPr="0053423A">
              <w:rPr>
                <w:rFonts w:cs="Sylfaen"/>
                <w:color w:val="000000"/>
              </w:rPr>
              <w:t>իրազեկության</w:t>
            </w:r>
            <w:r w:rsidRPr="0053423A">
              <w:rPr>
                <w:color w:val="000000"/>
              </w:rPr>
              <w:t xml:space="preserve"> </w:t>
            </w:r>
            <w:r w:rsidRPr="0053423A">
              <w:rPr>
                <w:rFonts w:cs="Sylfaen"/>
                <w:color w:val="000000"/>
              </w:rPr>
              <w:t>բարձրացում</w:t>
            </w:r>
            <w:r w:rsidRPr="0053423A">
              <w:rPr>
                <w:color w:val="000000"/>
              </w:rPr>
              <w:t xml:space="preserve"> </w:t>
            </w:r>
            <w:r w:rsidRPr="0053423A">
              <w:rPr>
                <w:rFonts w:cs="Sylfaen"/>
                <w:color w:val="000000"/>
              </w:rPr>
              <w:t>և</w:t>
            </w:r>
            <w:r w:rsidRPr="0053423A">
              <w:rPr>
                <w:color w:val="000000"/>
              </w:rPr>
              <w:t xml:space="preserve"> </w:t>
            </w:r>
            <w:r w:rsidRPr="0053423A">
              <w:rPr>
                <w:rFonts w:cs="Sylfaen"/>
                <w:color w:val="000000"/>
              </w:rPr>
              <w:t>սեյսմապաշտպանության</w:t>
            </w:r>
            <w:r w:rsidRPr="0053423A">
              <w:rPr>
                <w:color w:val="000000"/>
              </w:rPr>
              <w:t xml:space="preserve"> </w:t>
            </w:r>
            <w:r w:rsidRPr="0053423A">
              <w:rPr>
                <w:rFonts w:cs="Sylfaen"/>
                <w:color w:val="000000"/>
              </w:rPr>
              <w:t>վարքականոնների</w:t>
            </w:r>
            <w:r w:rsidRPr="0053423A">
              <w:rPr>
                <w:color w:val="000000"/>
              </w:rPr>
              <w:t xml:space="preserve"> </w:t>
            </w:r>
            <w:r w:rsidRPr="0053423A">
              <w:rPr>
                <w:rFonts w:cs="Sylfaen"/>
                <w:color w:val="000000"/>
              </w:rPr>
              <w:t>ուսուցում</w:t>
            </w:r>
            <w:r w:rsidRPr="0053423A">
              <w:rPr>
                <w:color w:val="000000"/>
              </w:rPr>
              <w:t>:</w:t>
            </w:r>
          </w:p>
          <w:p w:rsidR="006B0618" w:rsidRPr="0053423A" w:rsidRDefault="006B0618" w:rsidP="00A67858">
            <w:pPr>
              <w:numPr>
                <w:ilvl w:val="0"/>
                <w:numId w:val="80"/>
              </w:numPr>
              <w:tabs>
                <w:tab w:val="left" w:pos="342"/>
              </w:tabs>
              <w:spacing w:line="276" w:lineRule="auto"/>
              <w:ind w:left="0" w:right="256" w:firstLine="0"/>
              <w:jc w:val="both"/>
              <w:rPr>
                <w:rFonts w:cs="Sylfaen"/>
                <w:b/>
                <w:color w:val="000000"/>
              </w:rPr>
            </w:pPr>
            <w:r w:rsidRPr="0053423A">
              <w:rPr>
                <w:rFonts w:cs="Sylfaen"/>
                <w:b/>
                <w:color w:val="000000"/>
              </w:rPr>
              <w:t>Միջոցառման</w:t>
            </w:r>
            <w:r w:rsidRPr="0053423A">
              <w:rPr>
                <w:b/>
                <w:color w:val="000000"/>
              </w:rPr>
              <w:t xml:space="preserve"> </w:t>
            </w:r>
            <w:r w:rsidRPr="0053423A">
              <w:rPr>
                <w:rFonts w:cs="Sylfaen"/>
                <w:b/>
                <w:color w:val="000000"/>
              </w:rPr>
              <w:t>իրականացումից</w:t>
            </w:r>
            <w:r w:rsidRPr="0053423A">
              <w:rPr>
                <w:b/>
                <w:color w:val="000000"/>
              </w:rPr>
              <w:t xml:space="preserve"> </w:t>
            </w:r>
            <w:r w:rsidRPr="0053423A">
              <w:rPr>
                <w:rFonts w:cs="Sylfaen"/>
                <w:b/>
                <w:color w:val="000000"/>
              </w:rPr>
              <w:t>ակնկալվող</w:t>
            </w:r>
            <w:r w:rsidRPr="0053423A">
              <w:rPr>
                <w:b/>
                <w:color w:val="000000"/>
              </w:rPr>
              <w:t xml:space="preserve"> </w:t>
            </w:r>
            <w:r w:rsidRPr="0053423A">
              <w:rPr>
                <w:rFonts w:cs="Sylfaen"/>
                <w:b/>
                <w:color w:val="000000"/>
              </w:rPr>
              <w:t>արդյունքը</w:t>
            </w:r>
          </w:p>
          <w:p w:rsidR="006B0618" w:rsidRPr="0053423A" w:rsidRDefault="006B0618" w:rsidP="00A67858">
            <w:pPr>
              <w:tabs>
                <w:tab w:val="left" w:pos="342"/>
              </w:tabs>
              <w:spacing w:line="276" w:lineRule="auto"/>
              <w:ind w:right="259" w:firstLine="360"/>
              <w:rPr>
                <w:b/>
                <w:i/>
              </w:rPr>
            </w:pPr>
            <w:r w:rsidRPr="0053423A">
              <w:rPr>
                <w:color w:val="000000"/>
              </w:rPr>
              <w:t xml:space="preserve">      </w:t>
            </w:r>
            <w:r w:rsidRPr="0053423A">
              <w:rPr>
                <w:rFonts w:cs="Sylfaen"/>
                <w:color w:val="000000"/>
              </w:rPr>
              <w:t>Իրավական ակտի ընդունման դեպքում ակնկալվում են սեյսմիկպաշտպանության ոլորտում շահագրգիռ մարմինների համակարգված աշխատանքներ, սեյսմիկ ռիսկի նվազեցմանն առնչվող հարցերում պետական կառավարման հանրապետական, տարածքային ու տեղական ինքնակառավարման մարմինների և գիտական ու այլ կազմակերպությունների միջև համագործակցության զարգացում:</w:t>
            </w:r>
          </w:p>
        </w:tc>
      </w:tr>
      <w:tr w:rsidR="006B0618" w:rsidRPr="00DE2EFA" w:rsidTr="001F6D5D">
        <w:tc>
          <w:tcPr>
            <w:tcW w:w="691" w:type="dxa"/>
          </w:tcPr>
          <w:p w:rsidR="006B0618" w:rsidRPr="0053423A" w:rsidRDefault="001F6D5D" w:rsidP="00615BBB">
            <w:pPr>
              <w:spacing w:line="276" w:lineRule="auto"/>
              <w:rPr>
                <w:lang w:val="hy-AM"/>
              </w:rPr>
            </w:pPr>
            <w:r>
              <w:rPr>
                <w:lang w:val="hy-AM"/>
              </w:rPr>
              <w:t>7</w:t>
            </w:r>
            <w:r w:rsidR="00615BBB">
              <w:rPr>
                <w:lang w:val="hy-AM"/>
              </w:rPr>
              <w:t>7</w:t>
            </w:r>
          </w:p>
        </w:tc>
        <w:tc>
          <w:tcPr>
            <w:tcW w:w="10649" w:type="dxa"/>
          </w:tcPr>
          <w:p w:rsidR="006B0618" w:rsidRPr="0053423A" w:rsidRDefault="00696743" w:rsidP="00A67858">
            <w:pPr>
              <w:spacing w:line="276" w:lineRule="auto"/>
              <w:jc w:val="center"/>
              <w:rPr>
                <w:b/>
                <w:i/>
                <w:lang w:val="hy-AM"/>
              </w:rPr>
            </w:pPr>
            <w:r>
              <w:rPr>
                <w:b/>
                <w:i/>
                <w:lang w:val="hy-AM"/>
              </w:rPr>
              <w:t>77</w:t>
            </w:r>
            <w:r w:rsidR="006B0618" w:rsidRPr="0053423A">
              <w:rPr>
                <w:b/>
                <w:i/>
                <w:lang w:val="hy-AM"/>
              </w:rPr>
              <w:t>.1 Արտակարգ իրավիճակներում բնակչության վարքականոնների վերաբերյալ դասընթացների, վարժանքների ուսումնական ծրագրերի մշակում և ներդրում</w:t>
            </w:r>
          </w:p>
          <w:p w:rsidR="006B0618" w:rsidRPr="0053423A" w:rsidRDefault="00696743" w:rsidP="00A67858">
            <w:pPr>
              <w:spacing w:line="276" w:lineRule="auto"/>
              <w:ind w:right="256" w:firstLine="360"/>
              <w:jc w:val="center"/>
              <w:rPr>
                <w:b/>
                <w:i/>
                <w:lang w:val="hy-AM"/>
              </w:rPr>
            </w:pPr>
            <w:r>
              <w:rPr>
                <w:b/>
                <w:i/>
                <w:lang w:val="hy-AM"/>
              </w:rPr>
              <w:t>77</w:t>
            </w:r>
            <w:r w:rsidR="006B0618" w:rsidRPr="0053423A">
              <w:rPr>
                <w:b/>
                <w:i/>
                <w:lang w:val="hy-AM"/>
              </w:rPr>
              <w:t>.2 Տավուշի մարզի 11 սահմանամերձ համայնքների քաղաքացիական պաշտպանության թիմերի անդամների վերապատրաստում և առաջին օգնության գիտելիքների թարմացում, համալրված անդամների ուսուցում, առաջին օգնության գույքի տրամադրում</w:t>
            </w:r>
          </w:p>
          <w:p w:rsidR="006B0618" w:rsidRPr="0053423A" w:rsidRDefault="006B0618" w:rsidP="00A67858">
            <w:pPr>
              <w:spacing w:line="276" w:lineRule="auto"/>
              <w:ind w:right="256" w:firstLine="360"/>
              <w:jc w:val="center"/>
              <w:rPr>
                <w:b/>
                <w:i/>
                <w:lang w:val="hy-AM"/>
              </w:rPr>
            </w:pPr>
          </w:p>
          <w:p w:rsidR="006B0618" w:rsidRPr="0053423A" w:rsidRDefault="006B0618" w:rsidP="00A67858">
            <w:pPr>
              <w:spacing w:line="276" w:lineRule="auto"/>
              <w:ind w:right="256"/>
              <w:rPr>
                <w:b/>
                <w:lang w:val="hy-AM"/>
              </w:rPr>
            </w:pPr>
            <w:r w:rsidRPr="0053423A">
              <w:rPr>
                <w:lang w:val="hy-AM"/>
              </w:rPr>
              <w:t xml:space="preserve">1. </w:t>
            </w:r>
            <w:r w:rsidRPr="0053423A">
              <w:rPr>
                <w:b/>
                <w:lang w:val="hy-AM"/>
              </w:rPr>
              <w:t xml:space="preserve">Միջոցառումների իրակացման անհրաժեշտությունը և նպատակը` </w:t>
            </w:r>
          </w:p>
          <w:p w:rsidR="006B0618" w:rsidRPr="0053423A" w:rsidRDefault="006B0618" w:rsidP="00A67858">
            <w:pPr>
              <w:spacing w:line="276" w:lineRule="auto"/>
              <w:ind w:right="256"/>
              <w:rPr>
                <w:rFonts w:cs="Arial"/>
                <w:lang w:val="hy-AM"/>
              </w:rPr>
            </w:pPr>
            <w:r w:rsidRPr="0053423A">
              <w:rPr>
                <w:rFonts w:cs="Arial"/>
                <w:lang w:val="hy-AM"/>
              </w:rPr>
              <w:t xml:space="preserve">     Արտակարգ իրավիճակների և ռազմական դրության ժամանակ բնակչության վարքականոնների վերաբերյալ գիտելիքների, հմտությունների ձևավորումը՝ այդ թվում առաջին օգնության հմտություններին տիրապետելը: </w:t>
            </w:r>
          </w:p>
          <w:p w:rsidR="006B0618" w:rsidRPr="0053423A" w:rsidRDefault="006B0618" w:rsidP="00A67858">
            <w:pPr>
              <w:spacing w:line="276" w:lineRule="auto"/>
              <w:ind w:right="256"/>
              <w:rPr>
                <w:rFonts w:cs="Arial"/>
                <w:lang w:val="hy-AM"/>
              </w:rPr>
            </w:pPr>
            <w:r w:rsidRPr="0053423A">
              <w:rPr>
                <w:rFonts w:cs="Arial"/>
                <w:lang w:val="hy-AM"/>
              </w:rPr>
              <w:t>Արտակարգ իրավիճակներում բնակչության պաշտպանության և քաղաքացիական պաշտպանության հարցերով բնակչության իրազեկվածության և կրթվածության մակարդակի բարձրացումը բխում է Արտակարգ իրավիճակներում բնակչության պաշտպանության մասին ՀՀ օրենքի 4-րդ և 20-րդ հոդվածների, Քաղաքացիական պաշտպանության մասին ՀՀ օրենքի 7-րդ և 11-րդ հոդվածների, ինչպես նաև ՀՀ կառավարության կողմից հաստատված մի շարք որոշումների պահանջներից:</w:t>
            </w:r>
          </w:p>
          <w:p w:rsidR="006B0618" w:rsidRPr="0053423A" w:rsidRDefault="006B0618" w:rsidP="00A67858">
            <w:pPr>
              <w:spacing w:line="276" w:lineRule="auto"/>
              <w:ind w:right="256"/>
              <w:rPr>
                <w:b/>
                <w:lang w:val="hy-AM"/>
              </w:rPr>
            </w:pPr>
            <w:r w:rsidRPr="0053423A">
              <w:rPr>
                <w:b/>
                <w:lang w:val="hy-AM"/>
              </w:rPr>
              <w:t>1.1. Կարգավորման հարաբերությունների ներկա վիճակը և առկա խնդիրները`</w:t>
            </w:r>
          </w:p>
          <w:p w:rsidR="006B0618" w:rsidRPr="0053423A" w:rsidRDefault="006B0618" w:rsidP="00A67858">
            <w:pPr>
              <w:spacing w:line="276" w:lineRule="auto"/>
              <w:ind w:right="256"/>
              <w:rPr>
                <w:lang w:val="hy-AM"/>
              </w:rPr>
            </w:pPr>
            <w:r w:rsidRPr="0053423A">
              <w:rPr>
                <w:lang w:val="hy-AM"/>
              </w:rPr>
              <w:t xml:space="preserve">     Հաշվի առնելով այն հանգամանքը, որ Հայաստանի Հանրապետությանը սպառնում են բազմաբնույթ վտանգներից բնածին, տեխնածին, սոցիածին և այլ արտակարգ իրավիճակներ, ուստի վերոգրյալ խնդիրը խիստ արդիական է, քանի որ նման իրավիճակներից և ռազմական դրությունից կարող են լինել տարաբնույթ կորուստներ (մարդկային, տնտեսական, նյութական, մշակութային):</w:t>
            </w:r>
          </w:p>
          <w:p w:rsidR="006B0618" w:rsidRPr="0053423A" w:rsidRDefault="006B0618" w:rsidP="00A67858">
            <w:pPr>
              <w:spacing w:line="276" w:lineRule="auto"/>
              <w:ind w:right="256"/>
              <w:rPr>
                <w:b/>
                <w:color w:val="000000"/>
                <w:lang w:val="hy-AM"/>
              </w:rPr>
            </w:pPr>
            <w:r w:rsidRPr="0053423A">
              <w:rPr>
                <w:b/>
                <w:color w:val="000000"/>
                <w:lang w:val="hy-AM"/>
              </w:rPr>
              <w:t xml:space="preserve">1.2. Առկա խնդիրների առաջարկվող լուծումները՝ </w:t>
            </w:r>
          </w:p>
          <w:p w:rsidR="006B0618" w:rsidRPr="0053423A" w:rsidRDefault="006B0618" w:rsidP="00A67858">
            <w:pPr>
              <w:spacing w:line="276" w:lineRule="auto"/>
              <w:ind w:right="256"/>
              <w:rPr>
                <w:lang w:val="hy-AM"/>
              </w:rPr>
            </w:pPr>
            <w:r w:rsidRPr="0053423A">
              <w:rPr>
                <w:lang w:val="hy-AM"/>
              </w:rPr>
              <w:t xml:space="preserve">      Բնակչության մոտ ձևավորված անհրաժեշտ հմտությունների, վարքականոնների վերաբերյալ գիտելիքները, ինչպես նաև արտակարգ իրավիճակներին պատրաստվածության վերաբերյալ գիտելիքների առկայությունը կապահովի իրազեկվածության և պատրաստվածության համապատասխան մակարդակ:</w:t>
            </w:r>
          </w:p>
          <w:p w:rsidR="006B0618" w:rsidRPr="0053423A" w:rsidRDefault="006B0618" w:rsidP="00A67858">
            <w:pPr>
              <w:spacing w:line="276" w:lineRule="auto"/>
              <w:ind w:right="256"/>
              <w:rPr>
                <w:b/>
                <w:lang w:val="hy-AM"/>
              </w:rPr>
            </w:pPr>
            <w:r w:rsidRPr="0053423A">
              <w:rPr>
                <w:color w:val="FF0000"/>
                <w:lang w:val="hy-AM"/>
              </w:rPr>
              <w:t xml:space="preserve"> </w:t>
            </w:r>
            <w:r w:rsidRPr="0053423A">
              <w:rPr>
                <w:b/>
                <w:lang w:val="hy-AM"/>
              </w:rPr>
              <w:t>2.</w:t>
            </w:r>
            <w:r w:rsidRPr="0053423A">
              <w:rPr>
                <w:lang w:val="hy-AM"/>
              </w:rPr>
              <w:t xml:space="preserve"> </w:t>
            </w:r>
            <w:r w:rsidRPr="0053423A">
              <w:rPr>
                <w:b/>
                <w:lang w:val="hy-AM"/>
              </w:rPr>
              <w:t>Միջոցառումների իրականացումից ակնկալվող արդյունքը`</w:t>
            </w:r>
          </w:p>
          <w:p w:rsidR="006B0618" w:rsidRPr="0053423A" w:rsidRDefault="006B0618" w:rsidP="00A67858">
            <w:pPr>
              <w:spacing w:line="276" w:lineRule="auto"/>
              <w:ind w:right="256"/>
              <w:rPr>
                <w:b/>
                <w:i/>
                <w:lang w:val="hy-AM"/>
              </w:rPr>
            </w:pPr>
            <w:r w:rsidRPr="0053423A">
              <w:rPr>
                <w:rFonts w:cs="Arial"/>
                <w:lang w:val="hy-AM"/>
              </w:rPr>
              <w:t xml:space="preserve">    Միջոցառումից ակնկալվող արդյունքը՝ արտակարգ իրավիճակներում և ռազմական գործողությունների ժամանակ անհրաժեշտ վարքի կանոններ և պահելաձև ձևավորած քաղաքացիներ, սահմանամերձ համայնքների քաղաքացիական պաշտպանության  վերապատրաստված՝ առաջին օգնության գիտելիքներով վերազինված կազմավորումներ:</w:t>
            </w:r>
          </w:p>
        </w:tc>
      </w:tr>
      <w:tr w:rsidR="006B0618" w:rsidRPr="00DE2EFA" w:rsidTr="001F6D5D">
        <w:tc>
          <w:tcPr>
            <w:tcW w:w="691" w:type="dxa"/>
          </w:tcPr>
          <w:p w:rsidR="006B0618" w:rsidRPr="0053423A" w:rsidRDefault="00696743" w:rsidP="00A67858">
            <w:pPr>
              <w:spacing w:line="276" w:lineRule="auto"/>
              <w:rPr>
                <w:lang w:val="hy-AM"/>
              </w:rPr>
            </w:pPr>
            <w:r>
              <w:rPr>
                <w:lang w:val="hy-AM"/>
              </w:rPr>
              <w:t>78</w:t>
            </w:r>
          </w:p>
        </w:tc>
        <w:tc>
          <w:tcPr>
            <w:tcW w:w="10649" w:type="dxa"/>
          </w:tcPr>
          <w:p w:rsidR="006B0618" w:rsidRPr="0053423A" w:rsidRDefault="00696743" w:rsidP="00A67858">
            <w:pPr>
              <w:spacing w:line="276" w:lineRule="auto"/>
              <w:ind w:right="256"/>
              <w:jc w:val="center"/>
              <w:rPr>
                <w:b/>
                <w:i/>
                <w:lang w:val="hy-AM"/>
              </w:rPr>
            </w:pPr>
            <w:r>
              <w:rPr>
                <w:b/>
                <w:i/>
                <w:lang w:val="hy-AM"/>
              </w:rPr>
              <w:t>78</w:t>
            </w:r>
            <w:r w:rsidR="006B0618" w:rsidRPr="0053423A">
              <w:rPr>
                <w:b/>
                <w:i/>
                <w:lang w:val="hy-AM"/>
              </w:rPr>
              <w:t xml:space="preserve">.1 Տեխնիկական անվտանգության ապահովման պետական կարգավորման  մասին ՀՀ օրենքում լրացումներ և փոփոխություններ կատարելու մասին ՀՀ օրենքի  նախագիծը ՀՀ վարչապետի աշխատակազմ ներկայացնելը </w:t>
            </w:r>
          </w:p>
          <w:p w:rsidR="006B0618" w:rsidRPr="0053423A" w:rsidRDefault="00696743" w:rsidP="00A67858">
            <w:pPr>
              <w:spacing w:line="276" w:lineRule="auto"/>
              <w:ind w:right="256"/>
              <w:jc w:val="center"/>
              <w:rPr>
                <w:b/>
                <w:i/>
                <w:lang w:val="hy-AM"/>
              </w:rPr>
            </w:pPr>
            <w:r>
              <w:rPr>
                <w:b/>
                <w:i/>
                <w:lang w:val="hy-AM"/>
              </w:rPr>
              <w:t>78</w:t>
            </w:r>
            <w:r w:rsidR="006B0618" w:rsidRPr="0053423A">
              <w:rPr>
                <w:b/>
                <w:i/>
                <w:lang w:val="hy-AM"/>
              </w:rPr>
              <w:t>.2  Առանձնապես վտանգավոր արտադրական օբյեկտների ցանկը հաստատելու  մասին ՀՀ կառավարության որոշման նախագիծը ՀՀ վարչապետի աշխատակազմ ներկայացնելը</w:t>
            </w:r>
          </w:p>
          <w:p w:rsidR="006B0618" w:rsidRPr="0053423A" w:rsidRDefault="006B0618" w:rsidP="00A67858">
            <w:pPr>
              <w:spacing w:line="276" w:lineRule="auto"/>
              <w:ind w:right="256"/>
              <w:jc w:val="center"/>
              <w:rPr>
                <w:b/>
                <w:i/>
                <w:lang w:val="hy-AM"/>
              </w:rPr>
            </w:pPr>
          </w:p>
          <w:p w:rsidR="006B0618" w:rsidRPr="0053423A" w:rsidRDefault="006B0618" w:rsidP="00A67858">
            <w:pPr>
              <w:spacing w:line="276" w:lineRule="auto"/>
              <w:ind w:right="256"/>
              <w:rPr>
                <w:b/>
                <w:lang w:val="hy-AM"/>
              </w:rPr>
            </w:pPr>
            <w:r w:rsidRPr="0053423A">
              <w:rPr>
                <w:b/>
                <w:lang w:val="hy-AM"/>
              </w:rPr>
              <w:t xml:space="preserve"> 1. Միջոցառումների իրակացման անհրաժեշտությունը և նպատակը</w:t>
            </w:r>
          </w:p>
          <w:p w:rsidR="006B0618" w:rsidRPr="0053423A" w:rsidRDefault="006B0618" w:rsidP="00A67858">
            <w:pPr>
              <w:spacing w:line="276" w:lineRule="auto"/>
              <w:ind w:right="256"/>
              <w:rPr>
                <w:lang w:val="hy-AM"/>
              </w:rPr>
            </w:pPr>
            <w:r w:rsidRPr="0053423A">
              <w:rPr>
                <w:lang w:val="hy-AM"/>
              </w:rPr>
              <w:t xml:space="preserve">      Կառավարության որդեգրած քաղաքականության համաձայն՝ Կառավարությունը կարևորում է բնական և տեխնածին աղետների արդյունավետ կանխատեսումն ու վաղ ազդարարումը, դրանց արագ արձագանքման համակարգի կատարելագործումը, արտակարգ իրավիճակներում բնակչության իրազեկվածության ու կրթվածության մակարդակի բարձրացումը:</w:t>
            </w:r>
          </w:p>
          <w:p w:rsidR="006B0618" w:rsidRPr="0053423A" w:rsidRDefault="006B0618" w:rsidP="00A67858">
            <w:pPr>
              <w:spacing w:line="276" w:lineRule="auto"/>
              <w:ind w:right="256"/>
              <w:rPr>
                <w:b/>
                <w:lang w:val="hy-AM"/>
              </w:rPr>
            </w:pPr>
            <w:r w:rsidRPr="0053423A">
              <w:rPr>
                <w:b/>
                <w:lang w:val="hy-AM"/>
              </w:rPr>
              <w:t xml:space="preserve">1.1. կարգավորման հարաբերությունների ներկա վիճակը և առկա խնդիրները </w:t>
            </w:r>
          </w:p>
          <w:p w:rsidR="006B0618" w:rsidRPr="0053423A" w:rsidRDefault="006B0618" w:rsidP="00A67858">
            <w:pPr>
              <w:spacing w:line="276" w:lineRule="auto"/>
              <w:ind w:right="256"/>
              <w:rPr>
                <w:rFonts w:cs="Miriam"/>
                <w:lang w:val="fr-FR"/>
              </w:rPr>
            </w:pPr>
            <w:r w:rsidRPr="0053423A">
              <w:rPr>
                <w:rFonts w:cs="Miriam"/>
                <w:lang w:val="fr-FR"/>
              </w:rPr>
              <w:t xml:space="preserve">      ՀՀ տնտեսության տարբեր ոլորտներին </w:t>
            </w:r>
            <w:r w:rsidRPr="0053423A">
              <w:rPr>
                <w:rFonts w:cs="Sylfaen"/>
                <w:lang w:val="de-DE"/>
              </w:rPr>
              <w:t>պատկանող</w:t>
            </w:r>
            <w:r w:rsidRPr="0053423A">
              <w:rPr>
                <w:rFonts w:cs="Miriam"/>
                <w:lang w:val="fr-FR"/>
              </w:rPr>
              <w:t xml:space="preserve"> վտանգավոր</w:t>
            </w:r>
            <w:r w:rsidRPr="0053423A">
              <w:rPr>
                <w:rFonts w:cs="Sylfaen"/>
                <w:lang w:val="de-DE"/>
              </w:rPr>
              <w:t xml:space="preserve"> օբյեկտները, որոնք իրենց բնութագրիչներով համապատասխանում են </w:t>
            </w:r>
            <w:r w:rsidRPr="0053423A">
              <w:rPr>
                <w:rFonts w:cs="Miriam"/>
                <w:lang w:val="fr-FR"/>
              </w:rPr>
              <w:t>«Տեխնիկական անվտանգության ապահովման պետական կարգավորման մասին» ՀՀ օրենքով սահմանված դրույթներին և</w:t>
            </w:r>
            <w:r w:rsidRPr="0053423A">
              <w:rPr>
                <w:rFonts w:cs="Sylfaen"/>
                <w:lang w:val="de-DE"/>
              </w:rPr>
              <w:t xml:space="preserve"> դիտարկվում  են որպես </w:t>
            </w:r>
            <w:r w:rsidRPr="0053423A">
              <w:rPr>
                <w:rFonts w:cs="Miriam"/>
                <w:lang w:val="fr-FR"/>
              </w:rPr>
              <w:t>ԱՎՕ-</w:t>
            </w:r>
            <w:r w:rsidRPr="0053423A">
              <w:rPr>
                <w:lang w:val="hy-AM"/>
              </w:rPr>
              <w:t>ներ</w:t>
            </w:r>
            <w:r w:rsidRPr="0053423A">
              <w:rPr>
                <w:lang w:val="de-DE"/>
              </w:rPr>
              <w:t xml:space="preserve">, </w:t>
            </w:r>
            <w:r w:rsidRPr="0053423A">
              <w:rPr>
                <w:rFonts w:cs="Miriam"/>
                <w:lang w:val="fr-FR"/>
              </w:rPr>
              <w:t>դասակարգված չեն ըստ վտանգավորության աստիճանների</w:t>
            </w:r>
            <w:r w:rsidRPr="0053423A">
              <w:rPr>
                <w:lang w:val="fr-FR"/>
              </w:rPr>
              <w:t xml:space="preserve"> </w:t>
            </w:r>
            <w:r w:rsidRPr="0053423A">
              <w:rPr>
                <w:rFonts w:cs="Miriam"/>
                <w:lang w:val="fr-FR"/>
              </w:rPr>
              <w:t xml:space="preserve">և դրանց նկատմամբ չի իրականացվում  տեխնիկական անվտանգության խստացված փորձաքննություն: </w:t>
            </w:r>
          </w:p>
          <w:p w:rsidR="006B0618" w:rsidRPr="0053423A" w:rsidRDefault="006B0618" w:rsidP="00A67858">
            <w:pPr>
              <w:spacing w:line="276" w:lineRule="auto"/>
              <w:ind w:right="256"/>
              <w:rPr>
                <w:rFonts w:cs="Miriam"/>
                <w:lang w:val="fr-FR"/>
              </w:rPr>
            </w:pPr>
            <w:r w:rsidRPr="0053423A">
              <w:rPr>
                <w:rStyle w:val="Strong"/>
                <w:rFonts w:cs="Sylfaen"/>
              </w:rPr>
              <w:t>Կախված</w:t>
            </w:r>
            <w:r w:rsidRPr="0053423A">
              <w:rPr>
                <w:rStyle w:val="Strong"/>
                <w:rFonts w:cs="Sylfaen"/>
                <w:lang w:val="fr-FR"/>
              </w:rPr>
              <w:t xml:space="preserve"> </w:t>
            </w:r>
            <w:r w:rsidRPr="0053423A">
              <w:rPr>
                <w:rFonts w:cs="Miriam"/>
                <w:lang w:val="fr-FR"/>
              </w:rPr>
              <w:t>ԱՎՕ-ներ</w:t>
            </w:r>
            <w:r w:rsidRPr="0053423A">
              <w:rPr>
                <w:rStyle w:val="Strong"/>
                <w:rFonts w:cs="Sylfaen"/>
              </w:rPr>
              <w:t>ում</w:t>
            </w:r>
            <w:r w:rsidRPr="0053423A">
              <w:rPr>
                <w:rStyle w:val="Strong"/>
                <w:rFonts w:cs="Sylfaen"/>
                <w:lang w:val="fr-FR"/>
              </w:rPr>
              <w:t xml:space="preserve"> </w:t>
            </w:r>
            <w:r w:rsidRPr="0053423A">
              <w:rPr>
                <w:rStyle w:val="Strong"/>
                <w:rFonts w:cs="Sylfaen"/>
              </w:rPr>
              <w:t>տեղի</w:t>
            </w:r>
            <w:r w:rsidRPr="0053423A">
              <w:rPr>
                <w:rStyle w:val="Strong"/>
                <w:rFonts w:cs="Sylfaen"/>
                <w:lang w:val="fr-FR"/>
              </w:rPr>
              <w:t xml:space="preserve"> </w:t>
            </w:r>
            <w:r w:rsidRPr="0053423A">
              <w:rPr>
                <w:rStyle w:val="Strong"/>
                <w:rFonts w:cs="Sylfaen"/>
              </w:rPr>
              <w:t>ունեցող</w:t>
            </w:r>
            <w:r w:rsidRPr="0053423A">
              <w:rPr>
                <w:rStyle w:val="Strong"/>
                <w:rFonts w:cs="Sylfaen"/>
                <w:lang w:val="fr-FR"/>
              </w:rPr>
              <w:t xml:space="preserve"> </w:t>
            </w:r>
            <w:r w:rsidRPr="0053423A">
              <w:rPr>
                <w:rStyle w:val="Strong"/>
                <w:rFonts w:cs="Sylfaen"/>
              </w:rPr>
              <w:t>վթարների</w:t>
            </w:r>
            <w:r w:rsidRPr="0053423A">
              <w:rPr>
                <w:rStyle w:val="Strong"/>
                <w:rFonts w:cs="Sylfaen"/>
                <w:lang w:val="fr-FR"/>
              </w:rPr>
              <w:t xml:space="preserve"> </w:t>
            </w:r>
            <w:r w:rsidRPr="0053423A">
              <w:rPr>
                <w:rStyle w:val="Strong"/>
                <w:rFonts w:cs="Sylfaen"/>
              </w:rPr>
              <w:t>պոտենցիալ</w:t>
            </w:r>
            <w:r w:rsidRPr="0053423A">
              <w:rPr>
                <w:rStyle w:val="Strong"/>
                <w:rFonts w:cs="Sylfaen"/>
                <w:lang w:val="fr-FR"/>
              </w:rPr>
              <w:t xml:space="preserve"> </w:t>
            </w:r>
            <w:r w:rsidRPr="0053423A">
              <w:rPr>
                <w:rStyle w:val="Strong"/>
                <w:rFonts w:cs="Sylfaen"/>
              </w:rPr>
              <w:t>վտանգավորության</w:t>
            </w:r>
            <w:r w:rsidRPr="0053423A">
              <w:rPr>
                <w:rStyle w:val="Strong"/>
                <w:rFonts w:cs="Sylfaen"/>
                <w:lang w:val="fr-FR"/>
              </w:rPr>
              <w:t xml:space="preserve"> </w:t>
            </w:r>
            <w:r w:rsidRPr="0053423A">
              <w:rPr>
                <w:rStyle w:val="Strong"/>
                <w:rFonts w:cs="Sylfaen"/>
              </w:rPr>
              <w:t>աստիճանից</w:t>
            </w:r>
            <w:r w:rsidRPr="0053423A">
              <w:rPr>
                <w:rStyle w:val="Strong"/>
                <w:rFonts w:cs="Sylfaen"/>
                <w:lang w:val="fr-FR"/>
              </w:rPr>
              <w:t xml:space="preserve">, </w:t>
            </w:r>
            <w:r w:rsidRPr="0053423A">
              <w:rPr>
                <w:rStyle w:val="Strong"/>
                <w:rFonts w:cs="Sylfaen"/>
              </w:rPr>
              <w:t>հասարակության</w:t>
            </w:r>
            <w:r w:rsidRPr="0053423A">
              <w:rPr>
                <w:rStyle w:val="Strong"/>
                <w:rFonts w:cs="Sylfaen"/>
                <w:lang w:val="fr-FR"/>
              </w:rPr>
              <w:t xml:space="preserve"> </w:t>
            </w:r>
            <w:r w:rsidRPr="0053423A">
              <w:rPr>
                <w:rStyle w:val="Strong"/>
                <w:rFonts w:cs="Sylfaen"/>
              </w:rPr>
              <w:t>և</w:t>
            </w:r>
            <w:r w:rsidRPr="0053423A">
              <w:rPr>
                <w:rStyle w:val="Strong"/>
                <w:rFonts w:cs="Sylfaen"/>
                <w:lang w:val="fr-FR"/>
              </w:rPr>
              <w:t xml:space="preserve"> </w:t>
            </w:r>
            <w:r w:rsidRPr="0053423A">
              <w:rPr>
                <w:rStyle w:val="Strong"/>
                <w:rFonts w:cs="Sylfaen"/>
              </w:rPr>
              <w:t>անձի</w:t>
            </w:r>
            <w:r w:rsidRPr="0053423A">
              <w:rPr>
                <w:rStyle w:val="Strong"/>
                <w:rFonts w:cs="Sylfaen"/>
                <w:lang w:val="fr-FR"/>
              </w:rPr>
              <w:t xml:space="preserve"> </w:t>
            </w:r>
            <w:r w:rsidRPr="0053423A">
              <w:rPr>
                <w:rStyle w:val="Strong"/>
                <w:rFonts w:cs="Sylfaen"/>
              </w:rPr>
              <w:t>կյանքի</w:t>
            </w:r>
            <w:r w:rsidRPr="0053423A">
              <w:rPr>
                <w:rStyle w:val="Strong"/>
                <w:rFonts w:cs="Sylfaen"/>
                <w:lang w:val="fr-FR"/>
              </w:rPr>
              <w:t xml:space="preserve"> </w:t>
            </w:r>
            <w:r w:rsidRPr="0053423A">
              <w:rPr>
                <w:rStyle w:val="Strong"/>
                <w:rFonts w:cs="Sylfaen"/>
              </w:rPr>
              <w:t>կենսական</w:t>
            </w:r>
            <w:r w:rsidRPr="0053423A">
              <w:rPr>
                <w:rStyle w:val="Strong"/>
                <w:rFonts w:cs="Sylfaen"/>
                <w:lang w:val="fr-FR"/>
              </w:rPr>
              <w:t xml:space="preserve"> </w:t>
            </w:r>
            <w:r w:rsidRPr="0053423A">
              <w:rPr>
                <w:rStyle w:val="Strong"/>
                <w:rFonts w:cs="Sylfaen"/>
              </w:rPr>
              <w:t>շահերի</w:t>
            </w:r>
            <w:r w:rsidRPr="0053423A">
              <w:rPr>
                <w:rStyle w:val="Strong"/>
                <w:rFonts w:cs="Sylfaen"/>
                <w:lang w:val="fr-FR"/>
              </w:rPr>
              <w:t xml:space="preserve"> </w:t>
            </w:r>
            <w:r w:rsidRPr="0053423A">
              <w:rPr>
                <w:rStyle w:val="Strong"/>
                <w:rFonts w:cs="Sylfaen"/>
              </w:rPr>
              <w:t>պաշտպանության</w:t>
            </w:r>
            <w:r w:rsidRPr="0053423A">
              <w:rPr>
                <w:rStyle w:val="Strong"/>
                <w:rFonts w:cs="Sylfaen"/>
                <w:lang w:val="fr-FR"/>
              </w:rPr>
              <w:t xml:space="preserve"> </w:t>
            </w:r>
            <w:r w:rsidRPr="0053423A">
              <w:rPr>
                <w:rStyle w:val="Strong"/>
                <w:rFonts w:cs="Sylfaen"/>
              </w:rPr>
              <w:t>համար</w:t>
            </w:r>
            <w:r w:rsidRPr="0053423A">
              <w:rPr>
                <w:rStyle w:val="Strong"/>
                <w:rFonts w:cs="Sylfaen"/>
                <w:lang w:val="fr-FR"/>
              </w:rPr>
              <w:t>,</w:t>
            </w:r>
            <w:r w:rsidRPr="0053423A">
              <w:rPr>
                <w:lang w:val="de-DE"/>
              </w:rPr>
              <w:t xml:space="preserve"> </w:t>
            </w:r>
            <w:r w:rsidRPr="0053423A">
              <w:t>միջազգային</w:t>
            </w:r>
            <w:r w:rsidRPr="0053423A">
              <w:rPr>
                <w:lang w:val="de-DE"/>
              </w:rPr>
              <w:t xml:space="preserve">, </w:t>
            </w:r>
            <w:r w:rsidRPr="0053423A">
              <w:t>միջպետական</w:t>
            </w:r>
            <w:r w:rsidRPr="0053423A">
              <w:rPr>
                <w:lang w:val="hy-AM"/>
              </w:rPr>
              <w:t xml:space="preserve"> </w:t>
            </w:r>
            <w:r w:rsidRPr="0053423A">
              <w:rPr>
                <w:lang w:val="fr-FR"/>
              </w:rPr>
              <w:t>նորմերին համապատասխան</w:t>
            </w:r>
            <w:r w:rsidRPr="0053423A">
              <w:rPr>
                <w:rStyle w:val="Strong"/>
                <w:rFonts w:cs="Sylfaen"/>
                <w:lang w:val="de-DE"/>
              </w:rPr>
              <w:t xml:space="preserve"> օրենքում բացակայում են </w:t>
            </w:r>
            <w:r w:rsidRPr="0053423A">
              <w:rPr>
                <w:rFonts w:cs="Miriam"/>
                <w:lang w:val="fr-FR"/>
              </w:rPr>
              <w:t xml:space="preserve">ԱՎՕ-ների </w:t>
            </w:r>
            <w:r w:rsidRPr="0053423A">
              <w:rPr>
                <w:rFonts w:cs="Sylfaen"/>
              </w:rPr>
              <w:t>վտանգավորության</w:t>
            </w:r>
            <w:r w:rsidRPr="0053423A">
              <w:rPr>
                <w:rFonts w:cs="Sylfaen"/>
                <w:lang w:val="fr-FR"/>
              </w:rPr>
              <w:t xml:space="preserve"> </w:t>
            </w:r>
            <w:r w:rsidRPr="0053423A">
              <w:rPr>
                <w:rFonts w:cs="Miriam"/>
                <w:lang w:val="fr-FR"/>
              </w:rPr>
              <w:t>աստիճանի դասերը:</w:t>
            </w:r>
          </w:p>
          <w:p w:rsidR="006B0618" w:rsidRPr="0053423A" w:rsidRDefault="006B0618" w:rsidP="00A67858">
            <w:pPr>
              <w:spacing w:line="276" w:lineRule="auto"/>
              <w:ind w:right="256"/>
              <w:rPr>
                <w:rFonts w:cs="Arial"/>
                <w:bCs/>
                <w:kern w:val="32"/>
                <w:lang w:val="de-DE"/>
              </w:rPr>
            </w:pPr>
            <w:r w:rsidRPr="0053423A">
              <w:rPr>
                <w:rFonts w:cs="Miriam"/>
                <w:lang w:val="fr-FR"/>
              </w:rPr>
              <w:t>Վիճակագրությունը ցույց է տվել, որ արտակարգ իրավիճակների առաջացման հնարավոր պատճառներն առկա են մեծամասամբ առանձնապես վտանգավոր արտադրական օբյեկտներում, որոնց տեխնածին վթարների կամ արտադրական պատահարների արդյունքում կարող են գրանցվել անդառնալի հետևանքներ: Նշված տեխնածին վթարների և արտադրական պատահարների արդյունքում ֆիզիկական անձանց պատճառված վնասների փոխհատուցման մեխանիզմները ներկայումս գործող օրենսդրական կարգավորումներով բացակայում են: Նշված խնդիրների կարգավորումը հնարավոր է ոլորտում օրենսդրական դաշտի կարգավորմամբ:</w:t>
            </w:r>
          </w:p>
          <w:p w:rsidR="006B0618" w:rsidRPr="0053423A" w:rsidRDefault="006B0618" w:rsidP="00A67858">
            <w:pPr>
              <w:spacing w:line="276" w:lineRule="auto"/>
              <w:ind w:right="256"/>
              <w:rPr>
                <w:b/>
                <w:lang w:val="hy-AM"/>
              </w:rPr>
            </w:pPr>
            <w:r w:rsidRPr="0053423A">
              <w:rPr>
                <w:b/>
                <w:lang w:val="hy-AM"/>
              </w:rPr>
              <w:t xml:space="preserve">1.2. առկա խնդիրների առաջարկվող լուծումները </w:t>
            </w:r>
          </w:p>
          <w:p w:rsidR="006B0618" w:rsidRPr="0053423A" w:rsidRDefault="006B0618" w:rsidP="00A67858">
            <w:pPr>
              <w:spacing w:line="276" w:lineRule="auto"/>
              <w:ind w:right="256"/>
              <w:rPr>
                <w:lang w:val="de-DE"/>
              </w:rPr>
            </w:pPr>
            <w:r w:rsidRPr="0053423A">
              <w:rPr>
                <w:rFonts w:cs="Miriam"/>
                <w:lang w:val="fr-FR"/>
              </w:rPr>
              <w:t xml:space="preserve">       Հաշվի առնելով, որ Արտակարգ իրավիճակների նախարարությունը տեխնիկական անվտանգության ոլորտում իրականացվող փորձաքննությունների պատշաճ կատարման համար կրում է ՀՀ Սահմանադրությամբ սահմանված պատասխանատվություն, պարտավոր է ապահովել այդ փորձաքննությունների որակն ու դրանից բխող անվտանգությունը, ուստի որպես ոլորտում քաղաքականությունը մշակող պետական լիազոր մարմին անհրաժեշտ է համարում առանձնապես վտանգավոր արտադրական օբյեկտների փորձաքննությունն իրականացվի բացառապես պետական մակարդակով:</w:t>
            </w:r>
            <w:r w:rsidRPr="0053423A">
              <w:rPr>
                <w:lang w:val="de-DE"/>
              </w:rPr>
              <w:t xml:space="preserve"> </w:t>
            </w:r>
            <w:r w:rsidRPr="0053423A">
              <w:t>Բնական</w:t>
            </w:r>
            <w:r w:rsidRPr="0053423A">
              <w:rPr>
                <w:lang w:val="de-DE"/>
              </w:rPr>
              <w:t xml:space="preserve"> </w:t>
            </w:r>
            <w:r w:rsidRPr="0053423A">
              <w:t>և</w:t>
            </w:r>
            <w:r w:rsidRPr="0053423A">
              <w:rPr>
                <w:lang w:val="de-DE"/>
              </w:rPr>
              <w:t xml:space="preserve"> </w:t>
            </w:r>
            <w:r w:rsidRPr="0053423A">
              <w:t>տեխնածին</w:t>
            </w:r>
            <w:r w:rsidRPr="0053423A">
              <w:rPr>
                <w:lang w:val="de-DE"/>
              </w:rPr>
              <w:t xml:space="preserve"> </w:t>
            </w:r>
            <w:r w:rsidRPr="0053423A">
              <w:t>աղետների</w:t>
            </w:r>
            <w:r w:rsidRPr="0053423A">
              <w:rPr>
                <w:lang w:val="de-DE"/>
              </w:rPr>
              <w:t xml:space="preserve"> </w:t>
            </w:r>
            <w:r w:rsidRPr="0053423A">
              <w:t>արդյունավետ</w:t>
            </w:r>
            <w:r w:rsidRPr="0053423A">
              <w:rPr>
                <w:lang w:val="de-DE"/>
              </w:rPr>
              <w:t xml:space="preserve"> </w:t>
            </w:r>
            <w:r w:rsidRPr="0053423A">
              <w:t>կանխատեսման</w:t>
            </w:r>
            <w:r w:rsidRPr="0053423A">
              <w:rPr>
                <w:lang w:val="de-DE"/>
              </w:rPr>
              <w:t xml:space="preserve"> </w:t>
            </w:r>
            <w:r w:rsidRPr="0053423A">
              <w:t>և</w:t>
            </w:r>
            <w:r w:rsidRPr="0053423A">
              <w:rPr>
                <w:lang w:val="de-DE"/>
              </w:rPr>
              <w:t xml:space="preserve"> </w:t>
            </w:r>
            <w:r w:rsidRPr="0053423A">
              <w:t>վաղ</w:t>
            </w:r>
            <w:r w:rsidRPr="0053423A">
              <w:rPr>
                <w:lang w:val="de-DE"/>
              </w:rPr>
              <w:t xml:space="preserve"> </w:t>
            </w:r>
            <w:r w:rsidRPr="0053423A">
              <w:t>ազդարարման</w:t>
            </w:r>
            <w:r w:rsidRPr="0053423A">
              <w:rPr>
                <w:lang w:val="de-DE"/>
              </w:rPr>
              <w:t xml:space="preserve"> </w:t>
            </w:r>
            <w:r w:rsidRPr="0053423A">
              <w:t>նպատակով</w:t>
            </w:r>
            <w:r w:rsidRPr="0053423A">
              <w:rPr>
                <w:lang w:val="de-DE"/>
              </w:rPr>
              <w:t xml:space="preserve"> </w:t>
            </w:r>
            <w:r w:rsidRPr="0053423A">
              <w:t>առաջարկվում</w:t>
            </w:r>
            <w:r w:rsidRPr="0053423A">
              <w:rPr>
                <w:lang w:val="de-DE"/>
              </w:rPr>
              <w:t xml:space="preserve"> </w:t>
            </w:r>
            <w:r w:rsidRPr="0053423A">
              <w:t>է</w:t>
            </w:r>
            <w:r w:rsidRPr="0053423A">
              <w:rPr>
                <w:lang w:val="de-DE"/>
              </w:rPr>
              <w:t xml:space="preserve"> </w:t>
            </w:r>
            <w:r w:rsidRPr="0053423A">
              <w:t>առանձնապես</w:t>
            </w:r>
            <w:r w:rsidRPr="0053423A">
              <w:rPr>
                <w:lang w:val="de-DE"/>
              </w:rPr>
              <w:t xml:space="preserve"> </w:t>
            </w:r>
            <w:r w:rsidRPr="0053423A">
              <w:t>վտանգավոր</w:t>
            </w:r>
            <w:r w:rsidRPr="0053423A">
              <w:rPr>
                <w:lang w:val="de-DE"/>
              </w:rPr>
              <w:t xml:space="preserve"> </w:t>
            </w:r>
            <w:r w:rsidRPr="0053423A">
              <w:t>արտադրական</w:t>
            </w:r>
            <w:r w:rsidRPr="0053423A">
              <w:rPr>
                <w:lang w:val="de-DE"/>
              </w:rPr>
              <w:t xml:space="preserve"> </w:t>
            </w:r>
            <w:r w:rsidRPr="0053423A">
              <w:t>օբյեկտների</w:t>
            </w:r>
            <w:r w:rsidRPr="0053423A">
              <w:rPr>
                <w:lang w:val="de-DE"/>
              </w:rPr>
              <w:t xml:space="preserve"> </w:t>
            </w:r>
            <w:r w:rsidRPr="0053423A">
              <w:t>համար</w:t>
            </w:r>
            <w:r w:rsidRPr="0053423A">
              <w:rPr>
                <w:lang w:val="de-DE"/>
              </w:rPr>
              <w:t xml:space="preserve"> </w:t>
            </w:r>
            <w:r w:rsidRPr="0053423A">
              <w:t>պարտադիր</w:t>
            </w:r>
            <w:r w:rsidRPr="0053423A">
              <w:rPr>
                <w:lang w:val="de-DE"/>
              </w:rPr>
              <w:t xml:space="preserve"> </w:t>
            </w:r>
            <w:r w:rsidRPr="0053423A">
              <w:t>դարձնել</w:t>
            </w:r>
            <w:r w:rsidRPr="0053423A">
              <w:rPr>
                <w:lang w:val="de-DE"/>
              </w:rPr>
              <w:t xml:space="preserve"> </w:t>
            </w:r>
            <w:r w:rsidRPr="0053423A">
              <w:t>հրդեհային</w:t>
            </w:r>
            <w:r w:rsidRPr="0053423A">
              <w:rPr>
                <w:lang w:val="de-DE"/>
              </w:rPr>
              <w:t xml:space="preserve"> </w:t>
            </w:r>
            <w:r w:rsidRPr="0053423A">
              <w:t>և</w:t>
            </w:r>
            <w:r w:rsidRPr="0053423A">
              <w:rPr>
                <w:lang w:val="de-DE"/>
              </w:rPr>
              <w:t xml:space="preserve"> </w:t>
            </w:r>
            <w:r w:rsidRPr="0053423A">
              <w:t>հրդեհապայթյունավտանգավորության</w:t>
            </w:r>
            <w:r w:rsidRPr="0053423A">
              <w:rPr>
                <w:lang w:val="de-DE"/>
              </w:rPr>
              <w:t xml:space="preserve"> </w:t>
            </w:r>
            <w:r w:rsidRPr="0053423A">
              <w:t>փորձաքննությունը</w:t>
            </w:r>
            <w:r w:rsidRPr="0053423A">
              <w:rPr>
                <w:lang w:val="de-DE"/>
              </w:rPr>
              <w:t xml:space="preserve">, </w:t>
            </w:r>
            <w:r w:rsidRPr="0053423A">
              <w:t>որը</w:t>
            </w:r>
            <w:r w:rsidRPr="0053423A">
              <w:rPr>
                <w:lang w:val="de-DE"/>
              </w:rPr>
              <w:t xml:space="preserve"> </w:t>
            </w:r>
            <w:r w:rsidRPr="0053423A">
              <w:t>նույնպես</w:t>
            </w:r>
            <w:r w:rsidRPr="0053423A">
              <w:rPr>
                <w:lang w:val="de-DE"/>
              </w:rPr>
              <w:t xml:space="preserve"> </w:t>
            </w:r>
            <w:r w:rsidRPr="0053423A">
              <w:t>պետք</w:t>
            </w:r>
            <w:r w:rsidRPr="0053423A">
              <w:rPr>
                <w:lang w:val="de-DE"/>
              </w:rPr>
              <w:t xml:space="preserve"> </w:t>
            </w:r>
            <w:r w:rsidRPr="0053423A">
              <w:t>է</w:t>
            </w:r>
            <w:r w:rsidRPr="0053423A">
              <w:rPr>
                <w:lang w:val="de-DE"/>
              </w:rPr>
              <w:t xml:space="preserve"> </w:t>
            </w:r>
            <w:r w:rsidRPr="0053423A">
              <w:t>իրականացվի</w:t>
            </w:r>
            <w:r w:rsidRPr="0053423A">
              <w:rPr>
                <w:lang w:val="de-DE"/>
              </w:rPr>
              <w:t xml:space="preserve"> </w:t>
            </w:r>
            <w:r w:rsidRPr="0053423A">
              <w:t>պետական</w:t>
            </w:r>
            <w:r w:rsidRPr="0053423A">
              <w:rPr>
                <w:lang w:val="de-DE"/>
              </w:rPr>
              <w:t xml:space="preserve"> </w:t>
            </w:r>
            <w:r w:rsidRPr="0053423A">
              <w:t>մակարդակով</w:t>
            </w:r>
            <w:r w:rsidRPr="0053423A">
              <w:rPr>
                <w:lang w:val="de-DE"/>
              </w:rPr>
              <w:t xml:space="preserve">: </w:t>
            </w:r>
          </w:p>
          <w:p w:rsidR="006B0618" w:rsidRPr="0053423A" w:rsidRDefault="006B0618" w:rsidP="00A67858">
            <w:pPr>
              <w:spacing w:line="276" w:lineRule="auto"/>
              <w:ind w:right="256"/>
            </w:pPr>
            <w:r w:rsidRPr="0053423A">
              <w:t>Միջոցառման շրջանակներում անհրաժեշտ է՝</w:t>
            </w:r>
          </w:p>
          <w:p w:rsidR="006B0618" w:rsidRPr="0053423A" w:rsidRDefault="006B0618" w:rsidP="00A67858">
            <w:pPr>
              <w:numPr>
                <w:ilvl w:val="0"/>
                <w:numId w:val="81"/>
              </w:numPr>
              <w:spacing w:line="276" w:lineRule="auto"/>
              <w:ind w:left="0" w:right="256" w:firstLine="0"/>
              <w:jc w:val="both"/>
            </w:pPr>
            <w:r w:rsidRPr="0053423A">
              <w:rPr>
                <w:rFonts w:cs="Times Armenian"/>
                <w:lang w:val="af-ZA"/>
              </w:rPr>
              <w:t>Ըստ վտանգավորության աստիճանի ներդրվի առանձնապես վտանգավոր արտադրական օբյեկտների պարտադիր ապահովագրությունը.</w:t>
            </w:r>
          </w:p>
          <w:p w:rsidR="006B0618" w:rsidRPr="0053423A" w:rsidRDefault="006B0618" w:rsidP="00A67858">
            <w:pPr>
              <w:pStyle w:val="NormalWeb"/>
              <w:numPr>
                <w:ilvl w:val="0"/>
                <w:numId w:val="81"/>
              </w:numPr>
              <w:spacing w:before="0" w:beforeAutospacing="0" w:after="0" w:afterAutospacing="0" w:line="276" w:lineRule="auto"/>
              <w:ind w:left="0" w:right="256" w:firstLine="0"/>
              <w:jc w:val="both"/>
              <w:rPr>
                <w:rFonts w:ascii="GHEA Grapalat" w:hAnsi="GHEA Grapalat" w:cs="Times Armenian"/>
                <w:sz w:val="20"/>
                <w:szCs w:val="20"/>
                <w:lang w:val="af-ZA"/>
              </w:rPr>
            </w:pPr>
            <w:r w:rsidRPr="0053423A">
              <w:rPr>
                <w:rFonts w:ascii="GHEA Grapalat" w:hAnsi="GHEA Grapalat" w:cs="Times Armenian"/>
                <w:sz w:val="20"/>
                <w:szCs w:val="20"/>
                <w:lang w:val="af-ZA"/>
              </w:rPr>
              <w:t>Առանձնապես վտանգավոր արտադրական օբյեկտների տեխնիկական, հրդեհային անվտանգության և հրդեհապայթյունավտանգավորության փորձաքննության իրականացումը պետական մակարդակով.</w:t>
            </w:r>
          </w:p>
          <w:p w:rsidR="006B0618" w:rsidRPr="0053423A" w:rsidRDefault="006B0618" w:rsidP="00A67858">
            <w:pPr>
              <w:pStyle w:val="NormalWeb"/>
              <w:numPr>
                <w:ilvl w:val="0"/>
                <w:numId w:val="81"/>
              </w:numPr>
              <w:spacing w:before="0" w:beforeAutospacing="0" w:after="0" w:afterAutospacing="0" w:line="276" w:lineRule="auto"/>
              <w:ind w:left="0" w:right="256" w:firstLine="0"/>
              <w:jc w:val="both"/>
              <w:rPr>
                <w:rFonts w:ascii="GHEA Grapalat" w:hAnsi="GHEA Grapalat" w:cs="Times Armenian"/>
                <w:sz w:val="20"/>
                <w:szCs w:val="20"/>
                <w:lang w:val="af-ZA"/>
              </w:rPr>
            </w:pPr>
            <w:r w:rsidRPr="0053423A">
              <w:rPr>
                <w:rFonts w:ascii="GHEA Grapalat" w:hAnsi="GHEA Grapalat" w:cs="Times Armenian"/>
                <w:sz w:val="20"/>
                <w:szCs w:val="20"/>
                <w:lang w:val="af-ZA"/>
              </w:rPr>
              <w:t>Ներդրվի փորձագետների մասնագիտական պատասխանատվության պարտադիր ապահովագրման ինստիտուտը.</w:t>
            </w:r>
          </w:p>
          <w:p w:rsidR="006B0618" w:rsidRPr="0053423A" w:rsidRDefault="006B0618" w:rsidP="00A67858">
            <w:pPr>
              <w:pStyle w:val="NormalWeb"/>
              <w:numPr>
                <w:ilvl w:val="0"/>
                <w:numId w:val="81"/>
              </w:numPr>
              <w:spacing w:before="0" w:beforeAutospacing="0" w:after="0" w:afterAutospacing="0" w:line="276" w:lineRule="auto"/>
              <w:ind w:left="0" w:right="256" w:firstLine="0"/>
              <w:jc w:val="both"/>
              <w:rPr>
                <w:rFonts w:ascii="GHEA Grapalat" w:hAnsi="GHEA Grapalat" w:cs="Times Armenian"/>
                <w:sz w:val="20"/>
                <w:szCs w:val="20"/>
                <w:lang w:val="af-ZA"/>
              </w:rPr>
            </w:pPr>
            <w:r w:rsidRPr="0053423A">
              <w:rPr>
                <w:rFonts w:ascii="GHEA Grapalat" w:hAnsi="GHEA Grapalat" w:cs="Times Armenian"/>
                <w:sz w:val="20"/>
                <w:szCs w:val="20"/>
                <w:lang w:val="af-ZA"/>
              </w:rPr>
              <w:t xml:space="preserve"> Սահմանվի պատասխանատվության հստակ միջոցներ օրենքի դրույթների խախտման համար:</w:t>
            </w:r>
          </w:p>
          <w:p w:rsidR="006B0618" w:rsidRPr="0053423A" w:rsidRDefault="006B0618" w:rsidP="00A67858">
            <w:pPr>
              <w:spacing w:line="276" w:lineRule="auto"/>
              <w:ind w:right="256"/>
              <w:rPr>
                <w:b/>
                <w:lang w:val="hy-AM"/>
              </w:rPr>
            </w:pPr>
            <w:r w:rsidRPr="0053423A">
              <w:rPr>
                <w:b/>
                <w:lang w:val="hy-AM"/>
              </w:rPr>
              <w:t>2. Միջոցառ</w:t>
            </w:r>
            <w:r w:rsidRPr="0053423A">
              <w:rPr>
                <w:b/>
              </w:rPr>
              <w:t>ումների</w:t>
            </w:r>
            <w:r w:rsidRPr="0053423A">
              <w:rPr>
                <w:b/>
                <w:lang w:val="hy-AM"/>
              </w:rPr>
              <w:t xml:space="preserve"> իրականացումից ակնկալվող արդյունքը</w:t>
            </w:r>
          </w:p>
          <w:p w:rsidR="006B0618" w:rsidRPr="0053423A" w:rsidRDefault="006B0618" w:rsidP="00A67858">
            <w:pPr>
              <w:spacing w:line="276" w:lineRule="auto"/>
              <w:ind w:right="256"/>
              <w:rPr>
                <w:lang w:val="af-ZA"/>
              </w:rPr>
            </w:pPr>
            <w:r w:rsidRPr="0053423A">
              <w:rPr>
                <w:lang w:val="af-ZA"/>
              </w:rPr>
              <w:t xml:space="preserve">       </w:t>
            </w:r>
            <w:r w:rsidRPr="0053423A">
              <w:t>Միջոցառման</w:t>
            </w:r>
            <w:r w:rsidRPr="0053423A">
              <w:rPr>
                <w:lang w:val="af-ZA"/>
              </w:rPr>
              <w:t xml:space="preserve"> </w:t>
            </w:r>
            <w:r w:rsidRPr="0053423A">
              <w:t>իրականացումից</w:t>
            </w:r>
            <w:r w:rsidRPr="0053423A">
              <w:rPr>
                <w:lang w:val="af-ZA"/>
              </w:rPr>
              <w:t xml:space="preserve"> </w:t>
            </w:r>
            <w:r w:rsidRPr="0053423A">
              <w:t>ակնկալվում</w:t>
            </w:r>
            <w:r w:rsidRPr="0053423A">
              <w:rPr>
                <w:lang w:val="af-ZA"/>
              </w:rPr>
              <w:t xml:space="preserve"> </w:t>
            </w:r>
            <w:r w:rsidRPr="0053423A">
              <w:t>է</w:t>
            </w:r>
            <w:r w:rsidRPr="0053423A">
              <w:rPr>
                <w:lang w:val="af-ZA"/>
              </w:rPr>
              <w:t xml:space="preserve"> </w:t>
            </w:r>
            <w:r w:rsidRPr="0053423A">
              <w:t>առանձնապես</w:t>
            </w:r>
            <w:r w:rsidRPr="0053423A">
              <w:rPr>
                <w:lang w:val="af-ZA"/>
              </w:rPr>
              <w:t xml:space="preserve"> </w:t>
            </w:r>
            <w:r w:rsidRPr="0053423A">
              <w:t>վտանգավոր</w:t>
            </w:r>
            <w:r w:rsidRPr="0053423A">
              <w:rPr>
                <w:lang w:val="af-ZA"/>
              </w:rPr>
              <w:t xml:space="preserve"> </w:t>
            </w:r>
            <w:r w:rsidRPr="0053423A">
              <w:t>արտադրական</w:t>
            </w:r>
            <w:r w:rsidRPr="0053423A">
              <w:rPr>
                <w:lang w:val="af-ZA"/>
              </w:rPr>
              <w:t xml:space="preserve"> </w:t>
            </w:r>
            <w:r w:rsidRPr="0053423A">
              <w:t>օբյեկտների</w:t>
            </w:r>
            <w:r w:rsidRPr="0053423A">
              <w:rPr>
                <w:lang w:val="af-ZA"/>
              </w:rPr>
              <w:t xml:space="preserve"> </w:t>
            </w:r>
            <w:r w:rsidRPr="0053423A">
              <w:t>շահագործման</w:t>
            </w:r>
            <w:r w:rsidRPr="0053423A">
              <w:rPr>
                <w:lang w:val="af-ZA"/>
              </w:rPr>
              <w:t xml:space="preserve"> </w:t>
            </w:r>
            <w:r w:rsidRPr="0053423A">
              <w:t>նկատմամբ</w:t>
            </w:r>
            <w:r w:rsidRPr="0053423A">
              <w:rPr>
                <w:lang w:val="af-ZA"/>
              </w:rPr>
              <w:t xml:space="preserve"> </w:t>
            </w:r>
            <w:r w:rsidRPr="0053423A">
              <w:t>խիստ</w:t>
            </w:r>
            <w:r w:rsidRPr="0053423A">
              <w:rPr>
                <w:lang w:val="af-ZA"/>
              </w:rPr>
              <w:t xml:space="preserve"> </w:t>
            </w:r>
            <w:r w:rsidRPr="0053423A">
              <w:t>հսկողություն</w:t>
            </w:r>
            <w:r w:rsidRPr="0053423A">
              <w:rPr>
                <w:lang w:val="af-ZA"/>
              </w:rPr>
              <w:t xml:space="preserve">, </w:t>
            </w:r>
            <w:r w:rsidRPr="0053423A">
              <w:t>որը</w:t>
            </w:r>
            <w:r w:rsidRPr="0053423A">
              <w:rPr>
                <w:lang w:val="af-ZA"/>
              </w:rPr>
              <w:t xml:space="preserve"> </w:t>
            </w:r>
            <w:r w:rsidRPr="0053423A">
              <w:t>պետք</w:t>
            </w:r>
            <w:r w:rsidRPr="0053423A">
              <w:rPr>
                <w:lang w:val="af-ZA"/>
              </w:rPr>
              <w:t xml:space="preserve"> </w:t>
            </w:r>
            <w:r w:rsidRPr="0053423A">
              <w:t>է</w:t>
            </w:r>
            <w:r w:rsidRPr="0053423A">
              <w:rPr>
                <w:lang w:val="af-ZA"/>
              </w:rPr>
              <w:t xml:space="preserve"> </w:t>
            </w:r>
            <w:r w:rsidRPr="0053423A">
              <w:t>իրականացվի</w:t>
            </w:r>
            <w:r w:rsidRPr="0053423A">
              <w:rPr>
                <w:lang w:val="af-ZA"/>
              </w:rPr>
              <w:t xml:space="preserve"> </w:t>
            </w:r>
            <w:r w:rsidRPr="0053423A">
              <w:t>պետության</w:t>
            </w:r>
            <w:r w:rsidRPr="0053423A">
              <w:rPr>
                <w:lang w:val="af-ZA"/>
              </w:rPr>
              <w:t xml:space="preserve"> </w:t>
            </w:r>
            <w:r w:rsidRPr="0053423A">
              <w:t>կողմից</w:t>
            </w:r>
            <w:r w:rsidRPr="0053423A">
              <w:rPr>
                <w:lang w:val="af-ZA"/>
              </w:rPr>
              <w:t xml:space="preserve"> </w:t>
            </w:r>
            <w:r w:rsidRPr="0053423A">
              <w:t>համապատասխան</w:t>
            </w:r>
            <w:r w:rsidRPr="0053423A">
              <w:rPr>
                <w:lang w:val="af-ZA"/>
              </w:rPr>
              <w:t xml:space="preserve"> </w:t>
            </w:r>
            <w:r w:rsidRPr="0053423A">
              <w:t>փորձաքննությունների</w:t>
            </w:r>
            <w:r w:rsidRPr="0053423A">
              <w:rPr>
                <w:lang w:val="af-ZA"/>
              </w:rPr>
              <w:t xml:space="preserve"> </w:t>
            </w:r>
            <w:r w:rsidRPr="0053423A">
              <w:t>իրականացմամբ</w:t>
            </w:r>
            <w:r w:rsidRPr="0053423A">
              <w:rPr>
                <w:lang w:val="af-ZA"/>
              </w:rPr>
              <w:t xml:space="preserve">, </w:t>
            </w:r>
            <w:r w:rsidRPr="0053423A">
              <w:t>ինչով</w:t>
            </w:r>
            <w:r w:rsidRPr="0053423A">
              <w:rPr>
                <w:lang w:val="af-ZA"/>
              </w:rPr>
              <w:t xml:space="preserve"> </w:t>
            </w:r>
            <w:r w:rsidRPr="0053423A">
              <w:t>կկանխարգելվի</w:t>
            </w:r>
            <w:r w:rsidRPr="0053423A">
              <w:rPr>
                <w:lang w:val="af-ZA"/>
              </w:rPr>
              <w:t xml:space="preserve"> </w:t>
            </w:r>
            <w:r w:rsidRPr="0053423A">
              <w:t>այդ</w:t>
            </w:r>
            <w:r w:rsidRPr="0053423A">
              <w:rPr>
                <w:lang w:val="af-ZA"/>
              </w:rPr>
              <w:t xml:space="preserve"> </w:t>
            </w:r>
            <w:r w:rsidRPr="0053423A">
              <w:t>օբյեկտներում</w:t>
            </w:r>
            <w:r w:rsidRPr="0053423A">
              <w:rPr>
                <w:lang w:val="af-ZA"/>
              </w:rPr>
              <w:t xml:space="preserve"> </w:t>
            </w:r>
            <w:r w:rsidRPr="0053423A">
              <w:t>հնարավոր</w:t>
            </w:r>
            <w:r w:rsidRPr="0053423A">
              <w:rPr>
                <w:lang w:val="af-ZA"/>
              </w:rPr>
              <w:t xml:space="preserve"> </w:t>
            </w:r>
            <w:r w:rsidRPr="0053423A">
              <w:t>տեխնածին</w:t>
            </w:r>
            <w:r w:rsidRPr="0053423A">
              <w:rPr>
                <w:lang w:val="af-ZA"/>
              </w:rPr>
              <w:t xml:space="preserve"> </w:t>
            </w:r>
            <w:r w:rsidRPr="0053423A">
              <w:t>վթարների</w:t>
            </w:r>
            <w:r w:rsidRPr="0053423A">
              <w:rPr>
                <w:lang w:val="af-ZA"/>
              </w:rPr>
              <w:t xml:space="preserve"> </w:t>
            </w:r>
            <w:r w:rsidRPr="0053423A">
              <w:t>և</w:t>
            </w:r>
            <w:r w:rsidRPr="0053423A">
              <w:rPr>
                <w:lang w:val="af-ZA"/>
              </w:rPr>
              <w:t xml:space="preserve"> </w:t>
            </w:r>
            <w:r w:rsidRPr="0053423A">
              <w:t>արտադրական</w:t>
            </w:r>
            <w:r w:rsidRPr="0053423A">
              <w:rPr>
                <w:lang w:val="af-ZA"/>
              </w:rPr>
              <w:t xml:space="preserve"> </w:t>
            </w:r>
            <w:r w:rsidRPr="0053423A">
              <w:t>պատահարների</w:t>
            </w:r>
            <w:r w:rsidRPr="0053423A">
              <w:rPr>
                <w:lang w:val="af-ZA"/>
              </w:rPr>
              <w:t xml:space="preserve"> </w:t>
            </w:r>
            <w:r w:rsidRPr="0053423A">
              <w:t>առաջացումը</w:t>
            </w:r>
            <w:r w:rsidRPr="0053423A">
              <w:rPr>
                <w:lang w:val="af-ZA"/>
              </w:rPr>
              <w:t>:</w:t>
            </w:r>
          </w:p>
          <w:p w:rsidR="006B0618" w:rsidRPr="0053423A" w:rsidRDefault="006B0618" w:rsidP="00A67858">
            <w:pPr>
              <w:spacing w:line="276" w:lineRule="auto"/>
              <w:ind w:right="256"/>
              <w:rPr>
                <w:lang w:val="af-ZA"/>
              </w:rPr>
            </w:pPr>
            <w:r w:rsidRPr="0053423A">
              <w:t>Ակնկալվում</w:t>
            </w:r>
            <w:r w:rsidRPr="0053423A">
              <w:rPr>
                <w:lang w:val="af-ZA"/>
              </w:rPr>
              <w:t xml:space="preserve"> </w:t>
            </w:r>
            <w:r w:rsidRPr="0053423A">
              <w:t>է</w:t>
            </w:r>
            <w:r w:rsidRPr="0053423A">
              <w:rPr>
                <w:lang w:val="af-ZA"/>
              </w:rPr>
              <w:t xml:space="preserve"> </w:t>
            </w:r>
            <w:r w:rsidRPr="0053423A">
              <w:t>նաև</w:t>
            </w:r>
            <w:r w:rsidRPr="0053423A">
              <w:rPr>
                <w:lang w:val="af-ZA"/>
              </w:rPr>
              <w:t xml:space="preserve"> </w:t>
            </w:r>
            <w:r w:rsidRPr="0053423A">
              <w:t>ապահովագրական</w:t>
            </w:r>
            <w:r w:rsidRPr="0053423A">
              <w:rPr>
                <w:lang w:val="af-ZA"/>
              </w:rPr>
              <w:t xml:space="preserve"> </w:t>
            </w:r>
            <w:r w:rsidRPr="0053423A">
              <w:t>կազմակերպությունների</w:t>
            </w:r>
            <w:r w:rsidRPr="0053423A">
              <w:rPr>
                <w:lang w:val="af-ZA"/>
              </w:rPr>
              <w:t xml:space="preserve"> </w:t>
            </w:r>
            <w:r w:rsidRPr="0053423A">
              <w:t>կողմից</w:t>
            </w:r>
            <w:r w:rsidRPr="0053423A">
              <w:rPr>
                <w:lang w:val="af-ZA"/>
              </w:rPr>
              <w:t xml:space="preserve"> </w:t>
            </w:r>
            <w:r w:rsidRPr="0053423A">
              <w:t>փոխատուցման</w:t>
            </w:r>
            <w:r w:rsidRPr="0053423A">
              <w:rPr>
                <w:lang w:val="af-ZA"/>
              </w:rPr>
              <w:t xml:space="preserve"> </w:t>
            </w:r>
            <w:r w:rsidRPr="0053423A">
              <w:t>մեխանիզմների</w:t>
            </w:r>
            <w:r w:rsidRPr="0053423A">
              <w:rPr>
                <w:lang w:val="af-ZA"/>
              </w:rPr>
              <w:t xml:space="preserve"> </w:t>
            </w:r>
            <w:r w:rsidRPr="0053423A">
              <w:t>ներդրում</w:t>
            </w:r>
            <w:r w:rsidRPr="0053423A">
              <w:rPr>
                <w:lang w:val="af-ZA"/>
              </w:rPr>
              <w:t xml:space="preserve"> </w:t>
            </w:r>
            <w:r w:rsidRPr="0053423A">
              <w:t>նշված</w:t>
            </w:r>
            <w:r w:rsidRPr="0053423A">
              <w:rPr>
                <w:lang w:val="af-ZA"/>
              </w:rPr>
              <w:t xml:space="preserve"> </w:t>
            </w:r>
            <w:r w:rsidRPr="0053423A">
              <w:t>վթարների</w:t>
            </w:r>
            <w:r w:rsidRPr="0053423A">
              <w:rPr>
                <w:lang w:val="af-ZA"/>
              </w:rPr>
              <w:t xml:space="preserve"> </w:t>
            </w:r>
            <w:r w:rsidRPr="0053423A">
              <w:t>կամ</w:t>
            </w:r>
            <w:r w:rsidRPr="0053423A">
              <w:rPr>
                <w:lang w:val="af-ZA"/>
              </w:rPr>
              <w:t xml:space="preserve"> </w:t>
            </w:r>
            <w:r w:rsidRPr="0053423A">
              <w:t>փորձագետի</w:t>
            </w:r>
            <w:r w:rsidRPr="0053423A">
              <w:rPr>
                <w:lang w:val="af-ZA"/>
              </w:rPr>
              <w:t xml:space="preserve"> </w:t>
            </w:r>
            <w:r w:rsidRPr="0053423A">
              <w:t>մասնագիտական</w:t>
            </w:r>
            <w:r w:rsidRPr="0053423A">
              <w:rPr>
                <w:lang w:val="af-ZA"/>
              </w:rPr>
              <w:t xml:space="preserve"> </w:t>
            </w:r>
            <w:r w:rsidRPr="0053423A">
              <w:t>գործունեության</w:t>
            </w:r>
            <w:r w:rsidRPr="0053423A">
              <w:rPr>
                <w:lang w:val="af-ZA"/>
              </w:rPr>
              <w:t xml:space="preserve"> </w:t>
            </w:r>
            <w:r w:rsidRPr="0053423A">
              <w:t>հետևանքով</w:t>
            </w:r>
            <w:r w:rsidRPr="0053423A">
              <w:rPr>
                <w:lang w:val="af-ZA"/>
              </w:rPr>
              <w:t xml:space="preserve"> </w:t>
            </w:r>
            <w:r w:rsidRPr="0053423A">
              <w:t>անձանց</w:t>
            </w:r>
            <w:r w:rsidRPr="0053423A">
              <w:rPr>
                <w:lang w:val="af-ZA"/>
              </w:rPr>
              <w:t xml:space="preserve"> </w:t>
            </w:r>
            <w:r w:rsidRPr="0053423A">
              <w:t>պատճառված</w:t>
            </w:r>
            <w:r w:rsidRPr="0053423A">
              <w:rPr>
                <w:lang w:val="af-ZA"/>
              </w:rPr>
              <w:t xml:space="preserve"> </w:t>
            </w:r>
            <w:r w:rsidRPr="0053423A">
              <w:t>վնասների</w:t>
            </w:r>
            <w:r w:rsidRPr="0053423A">
              <w:rPr>
                <w:lang w:val="af-ZA"/>
              </w:rPr>
              <w:t xml:space="preserve"> </w:t>
            </w:r>
            <w:r w:rsidRPr="0053423A">
              <w:t>փոխհատուցման</w:t>
            </w:r>
            <w:r w:rsidRPr="0053423A">
              <w:rPr>
                <w:lang w:val="af-ZA"/>
              </w:rPr>
              <w:t xml:space="preserve"> </w:t>
            </w:r>
            <w:r w:rsidRPr="0053423A">
              <w:t>համար</w:t>
            </w:r>
            <w:r w:rsidRPr="0053423A">
              <w:rPr>
                <w:lang w:val="af-ZA"/>
              </w:rPr>
              <w:t xml:space="preserve">: </w:t>
            </w:r>
            <w:r w:rsidRPr="0053423A">
              <w:t>Պարտադիր</w:t>
            </w:r>
            <w:r w:rsidRPr="0053423A">
              <w:rPr>
                <w:lang w:val="af-ZA"/>
              </w:rPr>
              <w:t xml:space="preserve"> </w:t>
            </w:r>
            <w:r w:rsidRPr="0053423A">
              <w:t>ապահովագրության</w:t>
            </w:r>
            <w:r w:rsidRPr="0053423A">
              <w:rPr>
                <w:lang w:val="af-ZA"/>
              </w:rPr>
              <w:t xml:space="preserve"> </w:t>
            </w:r>
            <w:r w:rsidRPr="0053423A">
              <w:t>հետ</w:t>
            </w:r>
            <w:r w:rsidRPr="0053423A">
              <w:rPr>
                <w:lang w:val="af-ZA"/>
              </w:rPr>
              <w:t xml:space="preserve"> </w:t>
            </w:r>
            <w:r w:rsidRPr="0053423A">
              <w:t>կապված</w:t>
            </w:r>
            <w:r w:rsidRPr="0053423A">
              <w:rPr>
                <w:lang w:val="af-ZA"/>
              </w:rPr>
              <w:t xml:space="preserve"> </w:t>
            </w:r>
            <w:r w:rsidRPr="0053423A">
              <w:t>իրավական</w:t>
            </w:r>
            <w:r w:rsidRPr="0053423A">
              <w:rPr>
                <w:lang w:val="af-ZA"/>
              </w:rPr>
              <w:t xml:space="preserve"> </w:t>
            </w:r>
            <w:r w:rsidRPr="0053423A">
              <w:t>կարգավորումների</w:t>
            </w:r>
            <w:r w:rsidRPr="0053423A">
              <w:rPr>
                <w:lang w:val="af-ZA"/>
              </w:rPr>
              <w:t xml:space="preserve"> </w:t>
            </w:r>
            <w:r w:rsidRPr="0053423A">
              <w:t>մշակման</w:t>
            </w:r>
            <w:r w:rsidRPr="0053423A">
              <w:rPr>
                <w:lang w:val="af-ZA"/>
              </w:rPr>
              <w:t xml:space="preserve"> </w:t>
            </w:r>
            <w:r w:rsidRPr="0053423A">
              <w:t>գործընթացում</w:t>
            </w:r>
            <w:r w:rsidRPr="0053423A">
              <w:rPr>
                <w:lang w:val="af-ZA"/>
              </w:rPr>
              <w:t xml:space="preserve"> </w:t>
            </w:r>
            <w:r w:rsidRPr="0053423A">
              <w:t>մասնակցություն</w:t>
            </w:r>
            <w:r w:rsidRPr="0053423A">
              <w:rPr>
                <w:lang w:val="af-ZA"/>
              </w:rPr>
              <w:t xml:space="preserve"> </w:t>
            </w:r>
            <w:r w:rsidRPr="0053423A">
              <w:t>պետք</w:t>
            </w:r>
            <w:r w:rsidRPr="0053423A">
              <w:rPr>
                <w:lang w:val="af-ZA"/>
              </w:rPr>
              <w:t xml:space="preserve"> </w:t>
            </w:r>
            <w:r w:rsidRPr="0053423A">
              <w:t>է</w:t>
            </w:r>
            <w:r w:rsidRPr="0053423A">
              <w:rPr>
                <w:lang w:val="af-ZA"/>
              </w:rPr>
              <w:t xml:space="preserve"> </w:t>
            </w:r>
            <w:r w:rsidRPr="0053423A">
              <w:t>ունենա</w:t>
            </w:r>
            <w:r w:rsidRPr="0053423A">
              <w:rPr>
                <w:lang w:val="af-ZA"/>
              </w:rPr>
              <w:t xml:space="preserve"> </w:t>
            </w:r>
            <w:r w:rsidRPr="0053423A">
              <w:t>Կենտրոնական</w:t>
            </w:r>
            <w:r w:rsidRPr="0053423A">
              <w:rPr>
                <w:lang w:val="af-ZA"/>
              </w:rPr>
              <w:t xml:space="preserve"> </w:t>
            </w:r>
            <w:r w:rsidRPr="0053423A">
              <w:t>բանկը</w:t>
            </w:r>
            <w:r w:rsidRPr="0053423A">
              <w:rPr>
                <w:lang w:val="af-ZA"/>
              </w:rPr>
              <w:t>:</w:t>
            </w:r>
          </w:p>
          <w:p w:rsidR="006B0618" w:rsidRPr="0053423A" w:rsidRDefault="006B0618" w:rsidP="00A67858">
            <w:pPr>
              <w:spacing w:line="276" w:lineRule="auto"/>
              <w:ind w:right="256"/>
              <w:rPr>
                <w:lang w:val="af-ZA"/>
              </w:rPr>
            </w:pPr>
            <w:r w:rsidRPr="0053423A">
              <w:t>Միջոցառման</w:t>
            </w:r>
            <w:r w:rsidRPr="0053423A">
              <w:rPr>
                <w:lang w:val="af-ZA"/>
              </w:rPr>
              <w:t xml:space="preserve"> </w:t>
            </w:r>
            <w:r w:rsidRPr="0053423A">
              <w:t>իրականացման</w:t>
            </w:r>
            <w:r w:rsidRPr="0053423A">
              <w:rPr>
                <w:lang w:val="af-ZA"/>
              </w:rPr>
              <w:t xml:space="preserve"> </w:t>
            </w:r>
            <w:r w:rsidRPr="0053423A">
              <w:t>համար</w:t>
            </w:r>
            <w:r w:rsidRPr="0053423A">
              <w:rPr>
                <w:lang w:val="af-ZA"/>
              </w:rPr>
              <w:t xml:space="preserve"> </w:t>
            </w:r>
            <w:r w:rsidRPr="0053423A">
              <w:t>որպես</w:t>
            </w:r>
            <w:r w:rsidRPr="0053423A">
              <w:rPr>
                <w:lang w:val="af-ZA"/>
              </w:rPr>
              <w:t xml:space="preserve"> </w:t>
            </w:r>
            <w:r w:rsidRPr="0053423A">
              <w:t>համակատարող</w:t>
            </w:r>
            <w:r w:rsidRPr="0053423A">
              <w:rPr>
                <w:lang w:val="af-ZA"/>
              </w:rPr>
              <w:t xml:space="preserve"> </w:t>
            </w:r>
            <w:r w:rsidRPr="0053423A">
              <w:t>ներգրավված</w:t>
            </w:r>
            <w:r w:rsidRPr="0053423A">
              <w:rPr>
                <w:lang w:val="af-ZA"/>
              </w:rPr>
              <w:t xml:space="preserve"> </w:t>
            </w:r>
            <w:r w:rsidRPr="0053423A">
              <w:t>Կենտրոնական</w:t>
            </w:r>
            <w:r w:rsidRPr="0053423A">
              <w:rPr>
                <w:lang w:val="af-ZA"/>
              </w:rPr>
              <w:t xml:space="preserve"> </w:t>
            </w:r>
            <w:r w:rsidRPr="0053423A">
              <w:t>բանկի</w:t>
            </w:r>
            <w:r w:rsidRPr="0053423A">
              <w:rPr>
                <w:lang w:val="af-ZA"/>
              </w:rPr>
              <w:t xml:space="preserve"> </w:t>
            </w:r>
            <w:r w:rsidRPr="0053423A">
              <w:t>կողմից</w:t>
            </w:r>
            <w:r w:rsidRPr="0053423A">
              <w:rPr>
                <w:lang w:val="af-ZA"/>
              </w:rPr>
              <w:t xml:space="preserve"> </w:t>
            </w:r>
            <w:r w:rsidRPr="0053423A">
              <w:t>մշակվելու</w:t>
            </w:r>
            <w:r w:rsidRPr="0053423A">
              <w:rPr>
                <w:lang w:val="af-ZA"/>
              </w:rPr>
              <w:t xml:space="preserve"> </w:t>
            </w:r>
            <w:r w:rsidRPr="0053423A">
              <w:t>են</w:t>
            </w:r>
            <w:r w:rsidRPr="0053423A">
              <w:rPr>
                <w:lang w:val="af-ZA"/>
              </w:rPr>
              <w:t xml:space="preserve"> </w:t>
            </w:r>
            <w:r w:rsidRPr="0053423A">
              <w:t>պարտադիր</w:t>
            </w:r>
            <w:r w:rsidRPr="0053423A">
              <w:rPr>
                <w:lang w:val="af-ZA"/>
              </w:rPr>
              <w:t xml:space="preserve"> </w:t>
            </w:r>
            <w:r w:rsidRPr="0053423A">
              <w:t>ապահովագրության</w:t>
            </w:r>
            <w:r w:rsidRPr="0053423A">
              <w:rPr>
                <w:lang w:val="af-ZA"/>
              </w:rPr>
              <w:t xml:space="preserve"> </w:t>
            </w:r>
            <w:r w:rsidRPr="0053423A">
              <w:t>հետ</w:t>
            </w:r>
            <w:r w:rsidRPr="0053423A">
              <w:rPr>
                <w:lang w:val="af-ZA"/>
              </w:rPr>
              <w:t xml:space="preserve"> </w:t>
            </w:r>
            <w:r w:rsidRPr="0053423A">
              <w:t>կապված</w:t>
            </w:r>
            <w:r w:rsidRPr="0053423A">
              <w:rPr>
                <w:lang w:val="af-ZA"/>
              </w:rPr>
              <w:t xml:space="preserve"> </w:t>
            </w:r>
            <w:r w:rsidRPr="0053423A">
              <w:t>մեխանիզմները</w:t>
            </w:r>
            <w:r w:rsidRPr="0053423A">
              <w:rPr>
                <w:lang w:val="af-ZA"/>
              </w:rPr>
              <w:t xml:space="preserve"> </w:t>
            </w:r>
            <w:r w:rsidRPr="0053423A">
              <w:t>և</w:t>
            </w:r>
            <w:r w:rsidRPr="0053423A">
              <w:rPr>
                <w:lang w:val="af-ZA"/>
              </w:rPr>
              <w:t xml:space="preserve"> </w:t>
            </w:r>
            <w:r w:rsidRPr="0053423A">
              <w:t>համապատասխան</w:t>
            </w:r>
            <w:r w:rsidRPr="0053423A">
              <w:rPr>
                <w:lang w:val="af-ZA"/>
              </w:rPr>
              <w:t xml:space="preserve"> </w:t>
            </w:r>
            <w:r w:rsidRPr="0053423A">
              <w:t>իրավադրույթները</w:t>
            </w:r>
            <w:r w:rsidRPr="0053423A">
              <w:rPr>
                <w:lang w:val="af-ZA"/>
              </w:rPr>
              <w:t>:</w:t>
            </w:r>
          </w:p>
        </w:tc>
      </w:tr>
      <w:tr w:rsidR="006B0618" w:rsidRPr="00DE2EFA" w:rsidTr="001F6D5D">
        <w:tc>
          <w:tcPr>
            <w:tcW w:w="691" w:type="dxa"/>
          </w:tcPr>
          <w:p w:rsidR="006B0618" w:rsidRPr="00E85F40" w:rsidRDefault="006B0618" w:rsidP="00A67858">
            <w:pPr>
              <w:spacing w:line="276" w:lineRule="auto"/>
              <w:rPr>
                <w:lang w:val="af-ZA"/>
              </w:rPr>
            </w:pPr>
          </w:p>
        </w:tc>
        <w:tc>
          <w:tcPr>
            <w:tcW w:w="10649" w:type="dxa"/>
          </w:tcPr>
          <w:p w:rsidR="006B0618" w:rsidRPr="00E85F40" w:rsidRDefault="00696743" w:rsidP="00A67858">
            <w:pPr>
              <w:spacing w:line="276" w:lineRule="auto"/>
              <w:jc w:val="center"/>
              <w:rPr>
                <w:b/>
                <w:i/>
                <w:lang w:val="af-ZA"/>
              </w:rPr>
            </w:pPr>
            <w:r>
              <w:rPr>
                <w:b/>
                <w:i/>
                <w:lang w:val="hy-AM"/>
              </w:rPr>
              <w:t>78.3</w:t>
            </w:r>
            <w:r w:rsidR="006B0618" w:rsidRPr="00E85F40">
              <w:rPr>
                <w:b/>
                <w:i/>
                <w:lang w:val="af-ZA"/>
              </w:rPr>
              <w:t></w:t>
            </w:r>
            <w:r w:rsidR="006B0618" w:rsidRPr="0053423A">
              <w:rPr>
                <w:rFonts w:cs="Sylfaen"/>
                <w:b/>
                <w:i/>
              </w:rPr>
              <w:t>Վերելակային</w:t>
            </w:r>
            <w:r w:rsidR="006B0618" w:rsidRPr="00E85F40">
              <w:rPr>
                <w:rFonts w:cs="Arial Armenian"/>
                <w:b/>
                <w:i/>
                <w:lang w:val="af-ZA"/>
              </w:rPr>
              <w:t xml:space="preserve"> </w:t>
            </w:r>
            <w:r w:rsidR="006B0618" w:rsidRPr="0053423A">
              <w:rPr>
                <w:rFonts w:cs="Sylfaen"/>
                <w:b/>
                <w:i/>
              </w:rPr>
              <w:t>տնտեսության</w:t>
            </w:r>
            <w:r w:rsidR="006B0618" w:rsidRPr="00E85F40">
              <w:rPr>
                <w:rFonts w:cs="Arial Armenian"/>
                <w:b/>
                <w:i/>
                <w:lang w:val="af-ZA"/>
              </w:rPr>
              <w:t xml:space="preserve"> </w:t>
            </w:r>
            <w:r w:rsidR="006B0618" w:rsidRPr="0053423A">
              <w:rPr>
                <w:rFonts w:cs="Sylfaen"/>
                <w:b/>
                <w:i/>
              </w:rPr>
              <w:t>մեջ</w:t>
            </w:r>
            <w:r w:rsidR="006B0618" w:rsidRPr="00E85F40">
              <w:rPr>
                <w:rFonts w:cs="Arial Armenian"/>
                <w:b/>
                <w:i/>
                <w:lang w:val="af-ZA"/>
              </w:rPr>
              <w:t xml:space="preserve"> </w:t>
            </w:r>
            <w:r w:rsidR="006B0618" w:rsidRPr="0053423A">
              <w:rPr>
                <w:rFonts w:cs="Sylfaen"/>
                <w:b/>
                <w:i/>
              </w:rPr>
              <w:t>տեխնիկական</w:t>
            </w:r>
            <w:r w:rsidR="006B0618" w:rsidRPr="00E85F40">
              <w:rPr>
                <w:rFonts w:cs="Arial Armenian"/>
                <w:b/>
                <w:i/>
                <w:lang w:val="af-ZA"/>
              </w:rPr>
              <w:t xml:space="preserve"> </w:t>
            </w:r>
            <w:r w:rsidR="006B0618" w:rsidRPr="0053423A">
              <w:rPr>
                <w:rFonts w:cs="Sylfaen"/>
                <w:b/>
                <w:i/>
              </w:rPr>
              <w:t>անվտանգության</w:t>
            </w:r>
            <w:r w:rsidR="006B0618" w:rsidRPr="00E85F40">
              <w:rPr>
                <w:rFonts w:cs="Arial Armenian"/>
                <w:b/>
                <w:i/>
                <w:lang w:val="af-ZA"/>
              </w:rPr>
              <w:t xml:space="preserve"> </w:t>
            </w:r>
            <w:r w:rsidR="006B0618" w:rsidRPr="0053423A">
              <w:rPr>
                <w:rFonts w:cs="Sylfaen"/>
                <w:b/>
                <w:i/>
              </w:rPr>
              <w:t>ապահովման</w:t>
            </w:r>
            <w:r w:rsidR="006B0618" w:rsidRPr="00E85F40">
              <w:rPr>
                <w:rFonts w:cs="Arial Armenian"/>
                <w:b/>
                <w:i/>
                <w:lang w:val="af-ZA"/>
              </w:rPr>
              <w:t xml:space="preserve"> </w:t>
            </w:r>
            <w:r w:rsidR="006B0618" w:rsidRPr="0053423A">
              <w:rPr>
                <w:rFonts w:cs="Sylfaen"/>
                <w:b/>
                <w:i/>
              </w:rPr>
              <w:t>և</w:t>
            </w:r>
            <w:r w:rsidR="006B0618" w:rsidRPr="00E85F40">
              <w:rPr>
                <w:rFonts w:cs="Arial Armenian"/>
                <w:b/>
                <w:i/>
                <w:lang w:val="af-ZA"/>
              </w:rPr>
              <w:t xml:space="preserve"> </w:t>
            </w:r>
            <w:r w:rsidR="006B0618" w:rsidRPr="0053423A">
              <w:rPr>
                <w:rFonts w:cs="Sylfaen"/>
                <w:b/>
                <w:i/>
              </w:rPr>
              <w:t>պետական</w:t>
            </w:r>
            <w:r w:rsidR="006B0618" w:rsidRPr="00E85F40">
              <w:rPr>
                <w:rFonts w:cs="Arial Armenian"/>
                <w:b/>
                <w:i/>
                <w:lang w:val="af-ZA"/>
              </w:rPr>
              <w:t xml:space="preserve"> </w:t>
            </w:r>
            <w:r w:rsidR="006B0618" w:rsidRPr="0053423A">
              <w:rPr>
                <w:rFonts w:cs="Sylfaen"/>
                <w:b/>
                <w:i/>
              </w:rPr>
              <w:t>կարգավորման</w:t>
            </w:r>
            <w:r w:rsidR="006B0618" w:rsidRPr="00E85F40">
              <w:rPr>
                <w:rFonts w:cs="Arial Armenian"/>
                <w:b/>
                <w:i/>
                <w:lang w:val="af-ZA"/>
              </w:rPr>
              <w:t xml:space="preserve"> </w:t>
            </w:r>
            <w:r w:rsidR="006B0618" w:rsidRPr="0053423A">
              <w:rPr>
                <w:rFonts w:cs="Sylfaen"/>
                <w:b/>
                <w:i/>
              </w:rPr>
              <w:t>հայեցակարգը</w:t>
            </w:r>
            <w:r w:rsidR="006B0618" w:rsidRPr="00E85F40">
              <w:rPr>
                <w:rFonts w:cs="Sylfaen"/>
                <w:b/>
                <w:i/>
                <w:lang w:val="af-ZA"/>
              </w:rPr>
              <w:t xml:space="preserve"> </w:t>
            </w:r>
            <w:r w:rsidR="006B0618" w:rsidRPr="0053423A">
              <w:rPr>
                <w:rFonts w:cs="Sylfaen"/>
                <w:b/>
                <w:i/>
              </w:rPr>
              <w:t>հաստատելու</w:t>
            </w:r>
            <w:r w:rsidR="006B0618" w:rsidRPr="00E85F40">
              <w:rPr>
                <w:rFonts w:cs="Sylfaen"/>
                <w:b/>
                <w:i/>
                <w:lang w:val="af-ZA"/>
              </w:rPr>
              <w:t xml:space="preserve"> </w:t>
            </w:r>
            <w:r w:rsidR="006B0618" w:rsidRPr="00E85F40">
              <w:rPr>
                <w:rFonts w:cs="Arial Armenian"/>
                <w:b/>
                <w:i/>
                <w:lang w:val="af-ZA"/>
              </w:rPr>
              <w:t xml:space="preserve"> </w:t>
            </w:r>
            <w:r w:rsidR="006B0618" w:rsidRPr="0053423A">
              <w:rPr>
                <w:rFonts w:cs="Sylfaen"/>
                <w:b/>
                <w:i/>
              </w:rPr>
              <w:t>մասին</w:t>
            </w:r>
            <w:r w:rsidR="006B0618" w:rsidRPr="00E85F40">
              <w:rPr>
                <w:b/>
                <w:i/>
                <w:lang w:val="af-ZA"/>
              </w:rPr>
              <w:t xml:space="preserve"> </w:t>
            </w:r>
            <w:r w:rsidR="006B0618" w:rsidRPr="0053423A">
              <w:rPr>
                <w:b/>
                <w:i/>
              </w:rPr>
              <w:t>ՀՀ</w:t>
            </w:r>
            <w:r w:rsidR="006B0618" w:rsidRPr="00E85F40">
              <w:rPr>
                <w:b/>
                <w:i/>
                <w:lang w:val="af-ZA"/>
              </w:rPr>
              <w:t xml:space="preserve"> </w:t>
            </w:r>
            <w:r w:rsidR="006B0618" w:rsidRPr="0053423A">
              <w:rPr>
                <w:b/>
                <w:i/>
              </w:rPr>
              <w:t>կառավարության</w:t>
            </w:r>
            <w:r w:rsidR="006B0618" w:rsidRPr="00E85F40">
              <w:rPr>
                <w:b/>
                <w:i/>
                <w:lang w:val="af-ZA"/>
              </w:rPr>
              <w:t xml:space="preserve"> </w:t>
            </w:r>
            <w:r w:rsidR="006B0618" w:rsidRPr="0053423A">
              <w:rPr>
                <w:b/>
                <w:i/>
              </w:rPr>
              <w:t>որոշման</w:t>
            </w:r>
            <w:r w:rsidR="006B0618" w:rsidRPr="00E85F40">
              <w:rPr>
                <w:b/>
                <w:i/>
                <w:lang w:val="af-ZA"/>
              </w:rPr>
              <w:t xml:space="preserve"> </w:t>
            </w:r>
            <w:r w:rsidR="006B0618" w:rsidRPr="0053423A">
              <w:rPr>
                <w:rFonts w:cs="Sylfaen"/>
                <w:b/>
                <w:i/>
              </w:rPr>
              <w:t>նախագիծը</w:t>
            </w:r>
            <w:r w:rsidR="006B0618" w:rsidRPr="00E85F40">
              <w:rPr>
                <w:rFonts w:cs="Arial Armenian"/>
                <w:b/>
                <w:i/>
                <w:lang w:val="af-ZA"/>
              </w:rPr>
              <w:t xml:space="preserve"> </w:t>
            </w:r>
            <w:r w:rsidR="006B0618" w:rsidRPr="0053423A">
              <w:rPr>
                <w:rFonts w:cs="Sylfaen"/>
                <w:b/>
                <w:i/>
              </w:rPr>
              <w:t>ՀՀ</w:t>
            </w:r>
            <w:r w:rsidR="006B0618" w:rsidRPr="00E85F40">
              <w:rPr>
                <w:rFonts w:cs="Arial Armenian"/>
                <w:b/>
                <w:i/>
                <w:lang w:val="af-ZA"/>
              </w:rPr>
              <w:t xml:space="preserve"> </w:t>
            </w:r>
            <w:r w:rsidR="006B0618" w:rsidRPr="0053423A">
              <w:rPr>
                <w:rFonts w:cs="Sylfaen"/>
                <w:b/>
                <w:i/>
              </w:rPr>
              <w:t>վարչապետի</w:t>
            </w:r>
            <w:r w:rsidR="006B0618" w:rsidRPr="00E85F40">
              <w:rPr>
                <w:rFonts w:cs="Arial Armenian"/>
                <w:b/>
                <w:i/>
                <w:lang w:val="af-ZA"/>
              </w:rPr>
              <w:t xml:space="preserve"> </w:t>
            </w:r>
            <w:r w:rsidR="006B0618" w:rsidRPr="0053423A">
              <w:rPr>
                <w:rFonts w:cs="Sylfaen"/>
                <w:b/>
                <w:i/>
              </w:rPr>
              <w:t>աշխատակազմ</w:t>
            </w:r>
            <w:r w:rsidR="006B0618" w:rsidRPr="00E85F40">
              <w:rPr>
                <w:b/>
                <w:i/>
                <w:lang w:val="af-ZA"/>
              </w:rPr>
              <w:t xml:space="preserve"> </w:t>
            </w:r>
            <w:r w:rsidR="006B0618" w:rsidRPr="0053423A">
              <w:rPr>
                <w:rFonts w:cs="Sylfaen"/>
                <w:b/>
                <w:i/>
              </w:rPr>
              <w:t>ներկայացնելը</w:t>
            </w:r>
          </w:p>
          <w:p w:rsidR="006B0618" w:rsidRPr="00E85F40" w:rsidRDefault="006B0618" w:rsidP="00A67858">
            <w:pPr>
              <w:spacing w:line="276" w:lineRule="auto"/>
              <w:ind w:right="256"/>
              <w:rPr>
                <w:b/>
                <w:i/>
                <w:lang w:val="af-ZA"/>
              </w:rPr>
            </w:pPr>
          </w:p>
          <w:p w:rsidR="006B0618" w:rsidRPr="0053423A" w:rsidRDefault="006B0618" w:rsidP="00A67858">
            <w:pPr>
              <w:pStyle w:val="mechtex"/>
              <w:numPr>
                <w:ilvl w:val="0"/>
                <w:numId w:val="82"/>
              </w:numPr>
              <w:spacing w:line="276" w:lineRule="auto"/>
              <w:ind w:left="0" w:right="256"/>
              <w:jc w:val="both"/>
              <w:rPr>
                <w:rFonts w:ascii="GHEA Grapalat" w:hAnsi="GHEA Grapalat" w:cs="Arial"/>
                <w:b/>
                <w:lang w:val="hy-AM"/>
              </w:rPr>
            </w:pPr>
            <w:r w:rsidRPr="0053423A">
              <w:rPr>
                <w:rFonts w:ascii="GHEA Grapalat" w:hAnsi="GHEA Grapalat"/>
                <w:b/>
                <w:lang w:val="hy-AM"/>
              </w:rPr>
              <w:t>Միջոցառ</w:t>
            </w:r>
            <w:r w:rsidRPr="0053423A">
              <w:rPr>
                <w:rFonts w:ascii="GHEA Grapalat" w:hAnsi="GHEA Grapalat"/>
                <w:b/>
              </w:rPr>
              <w:t>ումների</w:t>
            </w:r>
            <w:r w:rsidRPr="0053423A">
              <w:rPr>
                <w:rFonts w:ascii="GHEA Grapalat" w:hAnsi="GHEA Grapalat" w:cs="Arial Armenian"/>
                <w:b/>
                <w:lang w:val="hy-AM"/>
              </w:rPr>
              <w:t xml:space="preserve"> </w:t>
            </w:r>
            <w:r w:rsidRPr="0053423A">
              <w:rPr>
                <w:rFonts w:ascii="GHEA Grapalat" w:hAnsi="GHEA Grapalat" w:cs="Arial"/>
                <w:b/>
                <w:lang w:val="hy-AM"/>
              </w:rPr>
              <w:t>իրակացման</w:t>
            </w:r>
            <w:r w:rsidRPr="0053423A">
              <w:rPr>
                <w:rFonts w:ascii="GHEA Grapalat" w:hAnsi="GHEA Grapalat" w:cs="Arial Armenian"/>
                <w:b/>
                <w:lang w:val="hy-AM"/>
              </w:rPr>
              <w:t xml:space="preserve"> </w:t>
            </w:r>
            <w:r w:rsidRPr="0053423A">
              <w:rPr>
                <w:rFonts w:ascii="GHEA Grapalat" w:hAnsi="GHEA Grapalat" w:cs="Arial"/>
                <w:b/>
                <w:lang w:val="hy-AM"/>
              </w:rPr>
              <w:t>անհրաժեշտությունը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նպատակը</w:t>
            </w:r>
          </w:p>
          <w:p w:rsidR="006B0618" w:rsidRPr="0053423A" w:rsidRDefault="006B0618" w:rsidP="00A67858">
            <w:pPr>
              <w:pStyle w:val="NormalWeb"/>
              <w:spacing w:before="0" w:beforeAutospacing="0" w:after="0" w:afterAutospacing="0" w:line="276" w:lineRule="auto"/>
              <w:ind w:firstLine="180"/>
              <w:jc w:val="both"/>
              <w:rPr>
                <w:rFonts w:ascii="GHEA Grapalat" w:hAnsi="GHEA Grapalat"/>
                <w:color w:val="000000"/>
                <w:sz w:val="20"/>
                <w:szCs w:val="20"/>
                <w:lang w:val="hy-AM"/>
              </w:rPr>
            </w:pPr>
            <w:r w:rsidRPr="0053423A">
              <w:rPr>
                <w:rFonts w:ascii="GHEA Grapalat" w:hAnsi="GHEA Grapalat" w:cs="Sylfaen"/>
                <w:color w:val="000000"/>
                <w:sz w:val="20"/>
                <w:szCs w:val="20"/>
                <w:lang w:val="hy-AM"/>
              </w:rPr>
              <w:t>Հայեցակարգը</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կհանդիսանա</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Հայաստանի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Հանրապետությունում</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շահագործվող</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վերելակային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տնտեսության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նկատմամբ</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տեխնիկական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անվտանգության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ապահովման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և</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տեխնիկական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պետական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հսկողության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վերաբերյալ</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Հայաստանի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Հանրապետության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կառավարության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նոր</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մոտեցումներն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ու</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ոլորտում</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իրականացվող</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պետական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քաղաքականության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սկզբունքները</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արտացոլող</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փաստաթուղթ</w:t>
            </w:r>
            <w:r w:rsidRPr="0053423A">
              <w:rPr>
                <w:rFonts w:ascii="GHEA Grapalat" w:hAnsi="GHEA Grapalat"/>
                <w:color w:val="000000"/>
                <w:sz w:val="20"/>
                <w:szCs w:val="20"/>
                <w:lang w:val="hy-AM"/>
              </w:rPr>
              <w:t>:</w:t>
            </w:r>
          </w:p>
          <w:p w:rsidR="006B0618" w:rsidRPr="0053423A" w:rsidRDefault="006B0618" w:rsidP="00A67858">
            <w:pPr>
              <w:pStyle w:val="NormalWeb"/>
              <w:spacing w:before="0" w:beforeAutospacing="0" w:after="0" w:afterAutospacing="0" w:line="276" w:lineRule="auto"/>
              <w:jc w:val="both"/>
              <w:rPr>
                <w:rFonts w:ascii="GHEA Grapalat" w:hAnsi="GHEA Grapalat"/>
                <w:b/>
                <w:color w:val="000000"/>
                <w:sz w:val="20"/>
                <w:szCs w:val="20"/>
                <w:lang w:val="hy-AM"/>
              </w:rPr>
            </w:pPr>
            <w:r w:rsidRPr="0053423A">
              <w:rPr>
                <w:rFonts w:ascii="GHEA Grapalat" w:hAnsi="GHEA Grapalat"/>
                <w:b/>
                <w:color w:val="000000"/>
                <w:sz w:val="20"/>
                <w:szCs w:val="20"/>
                <w:lang w:val="hy-AM"/>
              </w:rPr>
              <w:t xml:space="preserve">1.1 </w:t>
            </w:r>
            <w:r w:rsidRPr="0053423A">
              <w:rPr>
                <w:rFonts w:ascii="GHEA Grapalat" w:hAnsi="GHEA Grapalat" w:cs="Sylfaen"/>
                <w:b/>
                <w:color w:val="000000"/>
                <w:sz w:val="20"/>
                <w:szCs w:val="20"/>
                <w:lang w:val="hy-AM"/>
              </w:rPr>
              <w:t>Կարգավորման</w:t>
            </w:r>
            <w:r w:rsidRPr="0053423A">
              <w:rPr>
                <w:rFonts w:ascii="GHEA Grapalat" w:hAnsi="GHEA Grapalat"/>
                <w:b/>
                <w:color w:val="000000"/>
                <w:sz w:val="20"/>
                <w:szCs w:val="20"/>
                <w:lang w:val="hy-AM"/>
              </w:rPr>
              <w:t xml:space="preserve"> </w:t>
            </w:r>
            <w:r w:rsidRPr="0053423A">
              <w:rPr>
                <w:rFonts w:ascii="GHEA Grapalat" w:hAnsi="GHEA Grapalat" w:cs="Sylfaen"/>
                <w:b/>
                <w:color w:val="000000"/>
                <w:sz w:val="20"/>
                <w:szCs w:val="20"/>
                <w:lang w:val="hy-AM"/>
              </w:rPr>
              <w:t>հարաբերությունների</w:t>
            </w:r>
            <w:r w:rsidRPr="0053423A">
              <w:rPr>
                <w:rFonts w:ascii="GHEA Grapalat" w:hAnsi="GHEA Grapalat"/>
                <w:b/>
                <w:color w:val="000000"/>
                <w:sz w:val="20"/>
                <w:szCs w:val="20"/>
                <w:lang w:val="hy-AM"/>
              </w:rPr>
              <w:t xml:space="preserve"> </w:t>
            </w:r>
            <w:r w:rsidRPr="0053423A">
              <w:rPr>
                <w:rFonts w:ascii="GHEA Grapalat" w:hAnsi="GHEA Grapalat" w:cs="Sylfaen"/>
                <w:b/>
                <w:color w:val="000000"/>
                <w:sz w:val="20"/>
                <w:szCs w:val="20"/>
                <w:lang w:val="hy-AM"/>
              </w:rPr>
              <w:t>ներկա</w:t>
            </w:r>
            <w:r w:rsidRPr="0053423A">
              <w:rPr>
                <w:rFonts w:ascii="GHEA Grapalat" w:hAnsi="GHEA Grapalat"/>
                <w:b/>
                <w:color w:val="000000"/>
                <w:sz w:val="20"/>
                <w:szCs w:val="20"/>
                <w:lang w:val="hy-AM"/>
              </w:rPr>
              <w:t xml:space="preserve"> </w:t>
            </w:r>
            <w:r w:rsidRPr="0053423A">
              <w:rPr>
                <w:rFonts w:ascii="GHEA Grapalat" w:hAnsi="GHEA Grapalat" w:cs="Sylfaen"/>
                <w:b/>
                <w:color w:val="000000"/>
                <w:sz w:val="20"/>
                <w:szCs w:val="20"/>
                <w:lang w:val="hy-AM"/>
              </w:rPr>
              <w:t>վիճակը</w:t>
            </w:r>
            <w:r w:rsidRPr="0053423A">
              <w:rPr>
                <w:rFonts w:ascii="GHEA Grapalat" w:hAnsi="GHEA Grapalat"/>
                <w:b/>
                <w:color w:val="000000"/>
                <w:sz w:val="20"/>
                <w:szCs w:val="20"/>
                <w:lang w:val="hy-AM"/>
              </w:rPr>
              <w:t xml:space="preserve"> </w:t>
            </w:r>
            <w:r w:rsidRPr="0053423A">
              <w:rPr>
                <w:rFonts w:ascii="GHEA Grapalat" w:hAnsi="GHEA Grapalat" w:cs="Sylfaen"/>
                <w:b/>
                <w:color w:val="000000"/>
                <w:sz w:val="20"/>
                <w:szCs w:val="20"/>
                <w:lang w:val="hy-AM"/>
              </w:rPr>
              <w:t>և</w:t>
            </w:r>
            <w:r w:rsidRPr="0053423A">
              <w:rPr>
                <w:rFonts w:ascii="GHEA Grapalat" w:hAnsi="GHEA Grapalat"/>
                <w:b/>
                <w:color w:val="000000"/>
                <w:sz w:val="20"/>
                <w:szCs w:val="20"/>
                <w:lang w:val="hy-AM"/>
              </w:rPr>
              <w:t xml:space="preserve"> </w:t>
            </w:r>
            <w:r w:rsidRPr="0053423A">
              <w:rPr>
                <w:rFonts w:ascii="GHEA Grapalat" w:hAnsi="GHEA Grapalat" w:cs="Sylfaen"/>
                <w:b/>
                <w:color w:val="000000"/>
                <w:sz w:val="20"/>
                <w:szCs w:val="20"/>
                <w:lang w:val="hy-AM"/>
              </w:rPr>
              <w:t>առկա</w:t>
            </w:r>
            <w:r w:rsidRPr="0053423A">
              <w:rPr>
                <w:rFonts w:ascii="GHEA Grapalat" w:hAnsi="GHEA Grapalat"/>
                <w:b/>
                <w:color w:val="000000"/>
                <w:sz w:val="20"/>
                <w:szCs w:val="20"/>
                <w:lang w:val="hy-AM"/>
              </w:rPr>
              <w:t xml:space="preserve"> </w:t>
            </w:r>
            <w:r w:rsidRPr="0053423A">
              <w:rPr>
                <w:rFonts w:ascii="GHEA Grapalat" w:hAnsi="GHEA Grapalat" w:cs="Sylfaen"/>
                <w:b/>
                <w:color w:val="000000"/>
                <w:sz w:val="20"/>
                <w:szCs w:val="20"/>
                <w:lang w:val="hy-AM"/>
              </w:rPr>
              <w:t>խնդիրները</w:t>
            </w:r>
          </w:p>
          <w:p w:rsidR="006B0618" w:rsidRPr="0053423A" w:rsidRDefault="006B0618" w:rsidP="00A67858">
            <w:pPr>
              <w:pStyle w:val="NormalWeb"/>
              <w:spacing w:before="0" w:beforeAutospacing="0" w:after="0" w:afterAutospacing="0" w:line="276" w:lineRule="auto"/>
              <w:ind w:firstLine="888"/>
              <w:jc w:val="both"/>
              <w:rPr>
                <w:rFonts w:ascii="GHEA Grapalat" w:hAnsi="GHEA Grapalat"/>
                <w:color w:val="000000"/>
                <w:sz w:val="20"/>
                <w:szCs w:val="20"/>
                <w:lang w:val="hy-AM"/>
              </w:rPr>
            </w:pPr>
            <w:r w:rsidRPr="0053423A">
              <w:rPr>
                <w:rFonts w:ascii="GHEA Grapalat" w:hAnsi="GHEA Grapalat" w:cs="Sylfaen"/>
                <w:color w:val="000000"/>
                <w:sz w:val="20"/>
                <w:szCs w:val="20"/>
                <w:lang w:val="hy-AM"/>
              </w:rPr>
              <w:t>Հայաստանի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Հանրապետությունում</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շահագործվող</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վերելակային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տնտեսությունը</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գտնվում</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է</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անմխիթար</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վիճակում</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վերելակների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գերակշռող</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մասը</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շահագործվում</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են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սպառված</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ծառայության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ժամկետներով</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որոնք</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ժամանակին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նորերով</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չփոխարինելու</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դեպքում</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կարող</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են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վերածվել</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կամ</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արդեն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վերածվել</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են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շահագործող</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անձնակազմի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բազմաբնակարան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բնակելի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շենքերի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և</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ազգաբնակչության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համար</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վտանգավոր</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ռիսկերի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դիտարկվել</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որպես</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տեխնածին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վթարների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դժբախտ</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դեպքերի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և</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այլ</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ռիսկերի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ծագման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հնարավոր</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հավանական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աղբյուրներ</w:t>
            </w:r>
            <w:r w:rsidRPr="0053423A">
              <w:rPr>
                <w:rFonts w:ascii="GHEA Grapalat" w:hAnsi="GHEA Grapalat"/>
                <w:color w:val="000000"/>
                <w:sz w:val="20"/>
                <w:szCs w:val="20"/>
                <w:lang w:val="hy-AM"/>
              </w:rPr>
              <w:t>:</w:t>
            </w:r>
          </w:p>
          <w:p w:rsidR="006B0618" w:rsidRPr="0053423A" w:rsidRDefault="006B0618" w:rsidP="00A67858">
            <w:pPr>
              <w:pStyle w:val="NormalWeb"/>
              <w:spacing w:before="0" w:beforeAutospacing="0" w:after="0" w:afterAutospacing="0" w:line="276" w:lineRule="auto"/>
              <w:jc w:val="both"/>
              <w:rPr>
                <w:rFonts w:ascii="GHEA Grapalat" w:hAnsi="GHEA Grapalat"/>
                <w:b/>
                <w:color w:val="000000"/>
                <w:sz w:val="20"/>
                <w:szCs w:val="20"/>
                <w:lang w:val="hy-AM"/>
              </w:rPr>
            </w:pPr>
            <w:r w:rsidRPr="0053423A">
              <w:rPr>
                <w:rFonts w:ascii="GHEA Grapalat" w:hAnsi="GHEA Grapalat"/>
                <w:b/>
                <w:color w:val="000000"/>
                <w:sz w:val="20"/>
                <w:szCs w:val="20"/>
                <w:lang w:val="hy-AM"/>
              </w:rPr>
              <w:t xml:space="preserve">1.2 </w:t>
            </w:r>
            <w:r w:rsidRPr="0053423A">
              <w:rPr>
                <w:rFonts w:ascii="GHEA Grapalat" w:hAnsi="GHEA Grapalat" w:cs="Sylfaen"/>
                <w:b/>
                <w:color w:val="000000"/>
                <w:sz w:val="20"/>
                <w:szCs w:val="20"/>
                <w:lang w:val="hy-AM"/>
              </w:rPr>
              <w:t>Առկա</w:t>
            </w:r>
            <w:r w:rsidRPr="0053423A">
              <w:rPr>
                <w:rFonts w:ascii="GHEA Grapalat" w:hAnsi="GHEA Grapalat"/>
                <w:b/>
                <w:color w:val="000000"/>
                <w:sz w:val="20"/>
                <w:szCs w:val="20"/>
                <w:lang w:val="hy-AM"/>
              </w:rPr>
              <w:t xml:space="preserve"> </w:t>
            </w:r>
            <w:r w:rsidRPr="0053423A">
              <w:rPr>
                <w:rFonts w:ascii="GHEA Grapalat" w:hAnsi="GHEA Grapalat" w:cs="Sylfaen"/>
                <w:b/>
                <w:color w:val="000000"/>
                <w:sz w:val="20"/>
                <w:szCs w:val="20"/>
                <w:lang w:val="hy-AM"/>
              </w:rPr>
              <w:t>խնդիրների</w:t>
            </w:r>
            <w:r w:rsidRPr="0053423A">
              <w:rPr>
                <w:rFonts w:ascii="GHEA Grapalat" w:hAnsi="GHEA Grapalat"/>
                <w:b/>
                <w:color w:val="000000"/>
                <w:sz w:val="20"/>
                <w:szCs w:val="20"/>
                <w:lang w:val="hy-AM"/>
              </w:rPr>
              <w:t xml:space="preserve"> </w:t>
            </w:r>
            <w:r w:rsidRPr="0053423A">
              <w:rPr>
                <w:rFonts w:ascii="GHEA Grapalat" w:hAnsi="GHEA Grapalat" w:cs="Sylfaen"/>
                <w:b/>
                <w:color w:val="000000"/>
                <w:sz w:val="20"/>
                <w:szCs w:val="20"/>
                <w:lang w:val="hy-AM"/>
              </w:rPr>
              <w:t>առաջարկվող</w:t>
            </w:r>
            <w:r w:rsidRPr="0053423A">
              <w:rPr>
                <w:rFonts w:ascii="GHEA Grapalat" w:hAnsi="GHEA Grapalat"/>
                <w:b/>
                <w:color w:val="000000"/>
                <w:sz w:val="20"/>
                <w:szCs w:val="20"/>
                <w:lang w:val="hy-AM"/>
              </w:rPr>
              <w:t xml:space="preserve"> </w:t>
            </w:r>
            <w:r w:rsidRPr="0053423A">
              <w:rPr>
                <w:rFonts w:ascii="GHEA Grapalat" w:hAnsi="GHEA Grapalat" w:cs="Sylfaen"/>
                <w:b/>
                <w:color w:val="000000"/>
                <w:sz w:val="20"/>
                <w:szCs w:val="20"/>
                <w:lang w:val="hy-AM"/>
              </w:rPr>
              <w:t>լուծումները</w:t>
            </w:r>
          </w:p>
          <w:p w:rsidR="006B0618" w:rsidRPr="0053423A" w:rsidRDefault="006B0618" w:rsidP="00A67858">
            <w:pPr>
              <w:pStyle w:val="NormalWeb"/>
              <w:spacing w:before="0" w:beforeAutospacing="0" w:after="0" w:afterAutospacing="0" w:line="276" w:lineRule="auto"/>
              <w:jc w:val="both"/>
              <w:rPr>
                <w:rFonts w:ascii="GHEA Grapalat" w:hAnsi="GHEA Grapalat"/>
                <w:color w:val="000000"/>
                <w:sz w:val="20"/>
                <w:szCs w:val="20"/>
                <w:lang w:val="hy-AM"/>
              </w:rPr>
            </w:pPr>
            <w:r w:rsidRPr="0053423A">
              <w:rPr>
                <w:rFonts w:ascii="GHEA Grapalat" w:hAnsi="GHEA Grapalat" w:cs="Sylfaen"/>
                <w:color w:val="000000"/>
                <w:sz w:val="20"/>
                <w:szCs w:val="20"/>
                <w:lang w:val="hy-AM"/>
              </w:rPr>
              <w:t xml:space="preserve">      Անհրաժեշտություն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է</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որպեսզի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անցյալ</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դարի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կեսերից</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մինչև</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օրս</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Հայաստանի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Հանրապետությունում</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շահագործվող</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վերելակային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տնտեսության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համար</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նպատակաուղղված</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հստակ</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քաղաքականություն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իրականացվի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և</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մշակվի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երկարաժամկետ</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միջոցառումների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ծրագիր</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վերելակները</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միջազգային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նորմերով</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սահմանված</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անվտանգության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պահանջներին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համապատասխան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նորերով</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փոխարինելու</w:t>
            </w:r>
            <w:r w:rsidRPr="0053423A">
              <w:rPr>
                <w:rFonts w:ascii="GHEA Grapalat" w:hAnsi="GHEA Grapalat"/>
                <w:color w:val="000000"/>
                <w:sz w:val="20"/>
                <w:szCs w:val="20"/>
                <w:lang w:val="hy-AM"/>
              </w:rPr>
              <w:t>:</w:t>
            </w:r>
          </w:p>
          <w:p w:rsidR="006B0618" w:rsidRPr="0053423A" w:rsidRDefault="006B0618" w:rsidP="00A67858">
            <w:pPr>
              <w:pStyle w:val="NormalWeb"/>
              <w:spacing w:before="0" w:beforeAutospacing="0" w:after="0" w:afterAutospacing="0" w:line="276" w:lineRule="auto"/>
              <w:jc w:val="both"/>
              <w:rPr>
                <w:rFonts w:ascii="GHEA Grapalat" w:hAnsi="GHEA Grapalat"/>
                <w:b/>
                <w:color w:val="000000"/>
                <w:sz w:val="20"/>
                <w:szCs w:val="20"/>
                <w:lang w:val="hy-AM"/>
              </w:rPr>
            </w:pPr>
            <w:r w:rsidRPr="0053423A">
              <w:rPr>
                <w:rFonts w:ascii="GHEA Grapalat" w:hAnsi="GHEA Grapalat"/>
                <w:b/>
                <w:color w:val="000000"/>
                <w:sz w:val="20"/>
                <w:szCs w:val="20"/>
                <w:lang w:val="hy-AM"/>
              </w:rPr>
              <w:t xml:space="preserve">2. </w:t>
            </w:r>
            <w:r w:rsidRPr="0053423A">
              <w:rPr>
                <w:rFonts w:ascii="GHEA Grapalat" w:hAnsi="GHEA Grapalat" w:cs="Sylfaen"/>
                <w:b/>
                <w:color w:val="000000"/>
                <w:sz w:val="20"/>
                <w:szCs w:val="20"/>
                <w:lang w:val="hy-AM"/>
              </w:rPr>
              <w:t>Միջոցառումների</w:t>
            </w:r>
            <w:r w:rsidRPr="0053423A">
              <w:rPr>
                <w:rFonts w:ascii="GHEA Grapalat" w:hAnsi="GHEA Grapalat"/>
                <w:b/>
                <w:color w:val="000000"/>
                <w:sz w:val="20"/>
                <w:szCs w:val="20"/>
                <w:lang w:val="hy-AM"/>
              </w:rPr>
              <w:t xml:space="preserve"> </w:t>
            </w:r>
            <w:r w:rsidRPr="0053423A">
              <w:rPr>
                <w:rFonts w:ascii="GHEA Grapalat" w:hAnsi="GHEA Grapalat" w:cs="Sylfaen"/>
                <w:b/>
                <w:color w:val="000000"/>
                <w:sz w:val="20"/>
                <w:szCs w:val="20"/>
                <w:lang w:val="hy-AM"/>
              </w:rPr>
              <w:t>իրականացումից</w:t>
            </w:r>
            <w:r w:rsidRPr="0053423A">
              <w:rPr>
                <w:rFonts w:ascii="GHEA Grapalat" w:hAnsi="GHEA Grapalat"/>
                <w:b/>
                <w:color w:val="000000"/>
                <w:sz w:val="20"/>
                <w:szCs w:val="20"/>
                <w:lang w:val="hy-AM"/>
              </w:rPr>
              <w:t xml:space="preserve"> </w:t>
            </w:r>
            <w:r w:rsidRPr="0053423A">
              <w:rPr>
                <w:rFonts w:ascii="GHEA Grapalat" w:hAnsi="GHEA Grapalat" w:cs="Sylfaen"/>
                <w:b/>
                <w:color w:val="000000"/>
                <w:sz w:val="20"/>
                <w:szCs w:val="20"/>
                <w:lang w:val="hy-AM"/>
              </w:rPr>
              <w:t>ակնկալվող</w:t>
            </w:r>
            <w:r w:rsidRPr="0053423A">
              <w:rPr>
                <w:rFonts w:ascii="GHEA Grapalat" w:hAnsi="GHEA Grapalat"/>
                <w:b/>
                <w:color w:val="000000"/>
                <w:sz w:val="20"/>
                <w:szCs w:val="20"/>
                <w:lang w:val="hy-AM"/>
              </w:rPr>
              <w:t xml:space="preserve"> </w:t>
            </w:r>
            <w:r w:rsidRPr="0053423A">
              <w:rPr>
                <w:rFonts w:ascii="GHEA Grapalat" w:hAnsi="GHEA Grapalat" w:cs="Sylfaen"/>
                <w:b/>
                <w:color w:val="000000"/>
                <w:sz w:val="20"/>
                <w:szCs w:val="20"/>
                <w:lang w:val="hy-AM"/>
              </w:rPr>
              <w:t>արդյունքը</w:t>
            </w:r>
          </w:p>
          <w:p w:rsidR="006B0618" w:rsidRPr="0053423A" w:rsidRDefault="006B0618" w:rsidP="00A67858">
            <w:pPr>
              <w:pStyle w:val="NormalWeb"/>
              <w:spacing w:before="0" w:beforeAutospacing="0" w:after="0" w:afterAutospacing="0" w:line="276" w:lineRule="auto"/>
              <w:ind w:firstLine="180"/>
              <w:jc w:val="both"/>
              <w:rPr>
                <w:rFonts w:ascii="GHEA Grapalat" w:hAnsi="GHEA Grapalat"/>
                <w:b/>
                <w:i/>
                <w:sz w:val="20"/>
                <w:szCs w:val="20"/>
                <w:lang w:val="hy-AM"/>
              </w:rPr>
            </w:pPr>
            <w:r w:rsidRPr="0053423A">
              <w:rPr>
                <w:rFonts w:ascii="GHEA Grapalat" w:hAnsi="GHEA Grapalat" w:cs="Sylfaen"/>
                <w:color w:val="000000"/>
                <w:sz w:val="20"/>
                <w:szCs w:val="20"/>
                <w:lang w:val="hy-AM"/>
              </w:rPr>
              <w:t>Վերելակների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անվտանգ</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շահագործման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տեխնիկական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անվտանգության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պահանջները</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ներդաշնակեցնել</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Եվրոպական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միության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ԵՄ</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անկախ</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պետությունների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համագործակցության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ԱՊՀ</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անդամ</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պետությունների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այդ</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թվում՝</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Եվրասիական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տնտեսական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միության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ԵԱՏՄ</w:t>
            </w:r>
            <w:r w:rsidRPr="0053423A">
              <w:rPr>
                <w:rFonts w:ascii="GHEA Grapalat" w:hAnsi="GHEA Grapalat"/>
                <w:color w:val="000000"/>
                <w:sz w:val="20"/>
                <w:szCs w:val="20"/>
                <w:lang w:val="hy-AM"/>
              </w:rPr>
              <w:t>)</w:t>
            </w:r>
            <w:r w:rsidRPr="0053423A">
              <w:rPr>
                <w:rFonts w:ascii="GHEA Grapalat" w:hAnsi="GHEA Grapalat" w:cs="Sylfaen"/>
                <w:color w:val="000000"/>
                <w:sz w:val="20"/>
                <w:szCs w:val="20"/>
                <w:lang w:val="hy-AM"/>
              </w:rPr>
              <w:t>՝</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միջազգային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և</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միջպետական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նորմերին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ու</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չափանիշներին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Վերելակների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շահագործման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հետ</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կապված</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տեխնածին</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վթարների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դժբախտ</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դեպքերի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և</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պատահարների</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նվազեցում</w:t>
            </w:r>
            <w:r w:rsidRPr="0053423A">
              <w:rPr>
                <w:rFonts w:ascii="GHEA Grapalat" w:hAnsi="GHEA Grapalat"/>
                <w:color w:val="000000"/>
                <w:sz w:val="20"/>
                <w:szCs w:val="20"/>
                <w:lang w:val="hy-AM"/>
              </w:rPr>
              <w:t>,</w:t>
            </w:r>
            <w:r w:rsidRPr="0053423A">
              <w:rPr>
                <w:rFonts w:ascii="GHEA Grapalat" w:hAnsi="GHEA Grapalat" w:cs="Sylfaen"/>
                <w:color w:val="000000"/>
                <w:sz w:val="20"/>
                <w:szCs w:val="20"/>
                <w:lang w:val="hy-AM"/>
              </w:rPr>
              <w:t>կանխարգելում</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և</w:t>
            </w:r>
            <w:r w:rsidRPr="0053423A">
              <w:rPr>
                <w:rFonts w:ascii="GHEA Grapalat" w:hAnsi="GHEA Grapalat"/>
                <w:color w:val="000000"/>
                <w:sz w:val="20"/>
                <w:szCs w:val="20"/>
                <w:lang w:val="hy-AM"/>
              </w:rPr>
              <w:t xml:space="preserve"> </w:t>
            </w:r>
            <w:r w:rsidRPr="0053423A">
              <w:rPr>
                <w:rFonts w:ascii="GHEA Grapalat" w:hAnsi="GHEA Grapalat" w:cs="Sylfaen"/>
                <w:color w:val="000000"/>
                <w:sz w:val="20"/>
                <w:szCs w:val="20"/>
                <w:lang w:val="hy-AM"/>
              </w:rPr>
              <w:t>բացառում</w:t>
            </w:r>
            <w:r w:rsidRPr="0053423A">
              <w:rPr>
                <w:rFonts w:ascii="GHEA Grapalat" w:hAnsi="GHEA Grapalat"/>
                <w:color w:val="000000"/>
                <w:sz w:val="20"/>
                <w:szCs w:val="20"/>
                <w:lang w:val="hy-AM"/>
              </w:rPr>
              <w:t>:</w:t>
            </w:r>
          </w:p>
        </w:tc>
      </w:tr>
      <w:tr w:rsidR="006B0618" w:rsidRPr="00DE2EFA" w:rsidTr="001F6D5D">
        <w:tc>
          <w:tcPr>
            <w:tcW w:w="691" w:type="dxa"/>
          </w:tcPr>
          <w:p w:rsidR="006B0618" w:rsidRPr="001F6D5D" w:rsidRDefault="00696743" w:rsidP="00A67858">
            <w:pPr>
              <w:spacing w:line="276" w:lineRule="auto"/>
              <w:rPr>
                <w:lang w:val="hy-AM"/>
              </w:rPr>
            </w:pPr>
            <w:r>
              <w:rPr>
                <w:lang w:val="hy-AM"/>
              </w:rPr>
              <w:t>79</w:t>
            </w:r>
          </w:p>
        </w:tc>
        <w:tc>
          <w:tcPr>
            <w:tcW w:w="10649" w:type="dxa"/>
          </w:tcPr>
          <w:p w:rsidR="006B0618" w:rsidRPr="0053423A" w:rsidRDefault="00696743" w:rsidP="00A67858">
            <w:pPr>
              <w:spacing w:line="276" w:lineRule="auto"/>
              <w:jc w:val="center"/>
              <w:rPr>
                <w:b/>
                <w:i/>
                <w:lang w:val="hy-AM"/>
              </w:rPr>
            </w:pPr>
            <w:r>
              <w:rPr>
                <w:b/>
                <w:i/>
                <w:lang w:val="hy-AM"/>
              </w:rPr>
              <w:t>79</w:t>
            </w:r>
            <w:r w:rsidR="006B0618" w:rsidRPr="0053423A">
              <w:rPr>
                <w:b/>
                <w:i/>
                <w:lang w:val="hy-AM"/>
              </w:rPr>
              <w:t>.1 ՌԴ ուսումնական հաս</w:t>
            </w:r>
            <w:r w:rsidR="006B0618" w:rsidRPr="0053423A">
              <w:rPr>
                <w:b/>
                <w:i/>
                <w:lang w:val="hy-AM"/>
              </w:rPr>
              <w:softHyphen/>
              <w:t>տատություններում և Ռուս-հայկական հումանիտար արձագանքման կենտ</w:t>
            </w:r>
            <w:r w:rsidR="006B0618" w:rsidRPr="0053423A">
              <w:rPr>
                <w:b/>
                <w:i/>
                <w:lang w:val="hy-AM"/>
              </w:rPr>
              <w:softHyphen/>
              <w:t>րո</w:t>
            </w:r>
            <w:r w:rsidR="006B0618" w:rsidRPr="0053423A">
              <w:rPr>
                <w:b/>
                <w:i/>
                <w:lang w:val="hy-AM"/>
              </w:rPr>
              <w:softHyphen/>
              <w:t xml:space="preserve">նում ԱԻՆ փրկարար ծառայության անձնակազմի որակավորման բարձրացման դասընթացների կազմակերպում ՌԴ մասնագետների ներգրավմամբ, այդ նպատակով բազմաֆունկցիոնալ վարժահրապարակի կառուցում   </w:t>
            </w:r>
          </w:p>
          <w:p w:rsidR="006B0618" w:rsidRPr="0053423A" w:rsidRDefault="00696743" w:rsidP="00A67858">
            <w:pPr>
              <w:spacing w:line="276" w:lineRule="auto"/>
              <w:jc w:val="center"/>
              <w:rPr>
                <w:b/>
                <w:i/>
                <w:lang w:val="hy-AM"/>
              </w:rPr>
            </w:pPr>
            <w:r>
              <w:rPr>
                <w:b/>
                <w:i/>
                <w:lang w:val="hy-AM"/>
              </w:rPr>
              <w:t>79</w:t>
            </w:r>
            <w:r w:rsidR="006B0618" w:rsidRPr="0053423A">
              <w:rPr>
                <w:b/>
                <w:i/>
                <w:lang w:val="hy-AM"/>
              </w:rPr>
              <w:t>.2 Ռուս-հայկական հումանիտար արձագանքման կենտրոնի տարածքի ցանկապատում և տեսադիտարկման  համակարգի ներդրում, չանապարհների ասֆալտապատում</w:t>
            </w:r>
          </w:p>
          <w:p w:rsidR="006B0618" w:rsidRPr="0053423A" w:rsidRDefault="006B0618" w:rsidP="00A67858">
            <w:pPr>
              <w:pStyle w:val="mechtex"/>
              <w:spacing w:line="276" w:lineRule="auto"/>
              <w:ind w:right="256"/>
              <w:jc w:val="left"/>
              <w:rPr>
                <w:rFonts w:ascii="GHEA Grapalat" w:hAnsi="GHEA Grapalat" w:cs="Arial"/>
                <w:lang w:val="hy-AM"/>
              </w:rPr>
            </w:pPr>
          </w:p>
          <w:p w:rsidR="006B0618" w:rsidRPr="0053423A" w:rsidRDefault="006B0618" w:rsidP="00A67858">
            <w:pPr>
              <w:pStyle w:val="mechtex"/>
              <w:numPr>
                <w:ilvl w:val="0"/>
                <w:numId w:val="83"/>
              </w:numPr>
              <w:spacing w:line="276" w:lineRule="auto"/>
              <w:ind w:left="0" w:right="256"/>
              <w:jc w:val="both"/>
              <w:rPr>
                <w:rFonts w:ascii="GHEA Grapalat" w:hAnsi="GHEA Grapalat" w:cs="Arial"/>
                <w:b/>
                <w:lang w:val="hy-AM"/>
              </w:rPr>
            </w:pPr>
            <w:r w:rsidRPr="0053423A">
              <w:rPr>
                <w:rFonts w:ascii="GHEA Grapalat" w:hAnsi="GHEA Grapalat"/>
                <w:b/>
                <w:lang w:val="hy-AM"/>
              </w:rPr>
              <w:t>Միջոցառ</w:t>
            </w:r>
            <w:r w:rsidRPr="0053423A">
              <w:rPr>
                <w:rFonts w:ascii="GHEA Grapalat" w:hAnsi="GHEA Grapalat"/>
                <w:b/>
              </w:rPr>
              <w:t>ումների</w:t>
            </w:r>
            <w:r w:rsidRPr="0053423A">
              <w:rPr>
                <w:rFonts w:ascii="GHEA Grapalat" w:hAnsi="GHEA Grapalat" w:cs="Arial Armenian"/>
                <w:b/>
                <w:lang w:val="hy-AM"/>
              </w:rPr>
              <w:t xml:space="preserve"> </w:t>
            </w:r>
            <w:r w:rsidRPr="0053423A">
              <w:rPr>
                <w:rFonts w:ascii="GHEA Grapalat" w:hAnsi="GHEA Grapalat" w:cs="Arial"/>
                <w:b/>
                <w:lang w:val="hy-AM"/>
              </w:rPr>
              <w:t>իրակացման</w:t>
            </w:r>
            <w:r w:rsidRPr="0053423A">
              <w:rPr>
                <w:rFonts w:ascii="GHEA Grapalat" w:hAnsi="GHEA Grapalat" w:cs="Arial Armenian"/>
                <w:b/>
                <w:lang w:val="hy-AM"/>
              </w:rPr>
              <w:t xml:space="preserve"> </w:t>
            </w:r>
            <w:r w:rsidRPr="0053423A">
              <w:rPr>
                <w:rFonts w:ascii="GHEA Grapalat" w:hAnsi="GHEA Grapalat" w:cs="Arial"/>
                <w:b/>
                <w:lang w:val="hy-AM"/>
              </w:rPr>
              <w:t>անհրաժեշտությունը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նպատակը</w:t>
            </w:r>
          </w:p>
          <w:p w:rsidR="006B0618" w:rsidRPr="0053423A" w:rsidRDefault="006B0618" w:rsidP="00A67858">
            <w:pPr>
              <w:pStyle w:val="mechtex"/>
              <w:spacing w:line="276" w:lineRule="auto"/>
              <w:ind w:right="256" w:firstLine="360"/>
              <w:jc w:val="both"/>
              <w:rPr>
                <w:rFonts w:ascii="GHEA Grapalat" w:hAnsi="GHEA Grapalat"/>
                <w:shd w:val="clear" w:color="auto" w:fill="FFFFFF"/>
                <w:lang w:val="hy-AM"/>
              </w:rPr>
            </w:pPr>
            <w:r w:rsidRPr="0053423A">
              <w:rPr>
                <w:rFonts w:ascii="GHEA Grapalat" w:hAnsi="GHEA Grapalat" w:cs="Arial"/>
                <w:lang w:val="hy-AM"/>
              </w:rPr>
              <w:t>Միջոցառման</w:t>
            </w:r>
            <w:r w:rsidRPr="0053423A">
              <w:rPr>
                <w:rFonts w:ascii="GHEA Grapalat" w:hAnsi="GHEA Grapalat" w:cs="Arial Armenian"/>
                <w:lang w:val="hy-AM"/>
              </w:rPr>
              <w:t xml:space="preserve"> </w:t>
            </w:r>
            <w:r w:rsidRPr="0053423A">
              <w:rPr>
                <w:rFonts w:ascii="GHEA Grapalat" w:hAnsi="GHEA Grapalat" w:cs="Arial"/>
                <w:lang w:val="hy-AM"/>
              </w:rPr>
              <w:t>իրակացման</w:t>
            </w:r>
            <w:r w:rsidRPr="0053423A">
              <w:rPr>
                <w:rFonts w:ascii="GHEA Grapalat" w:hAnsi="GHEA Grapalat" w:cs="Arial Armenian"/>
                <w:lang w:val="hy-AM"/>
              </w:rPr>
              <w:t xml:space="preserve"> </w:t>
            </w:r>
            <w:r w:rsidRPr="0053423A">
              <w:rPr>
                <w:rFonts w:ascii="GHEA Grapalat" w:hAnsi="GHEA Grapalat" w:cs="Arial"/>
                <w:lang w:val="hy-AM"/>
              </w:rPr>
              <w:t>անհրաժեշտությունը</w:t>
            </w:r>
            <w:r w:rsidRPr="0053423A">
              <w:rPr>
                <w:rFonts w:ascii="GHEA Grapalat" w:hAnsi="GHEA Grapalat" w:cs="Arial Armenian"/>
                <w:lang w:val="hy-AM"/>
              </w:rPr>
              <w:t xml:space="preserve"> </w:t>
            </w:r>
            <w:r w:rsidRPr="0053423A">
              <w:rPr>
                <w:rFonts w:ascii="GHEA Grapalat" w:hAnsi="GHEA Grapalat" w:cs="Arial"/>
                <w:lang w:val="hy-AM"/>
              </w:rPr>
              <w:t>պայմանավորված է ՀՀ, ՌԴ և երրորդ երկրների տարածքում ծագած արտակարգ իրավիճակների արձագանքման նպատակով ՀՀ և ՌԴ կառավարությունների կողմից ստորագրված համաձայնագրով ստեղծված «</w:t>
            </w:r>
            <w:r w:rsidRPr="0053423A">
              <w:rPr>
                <w:rFonts w:ascii="GHEA Grapalat" w:hAnsi="GHEA Grapalat"/>
                <w:shd w:val="clear" w:color="auto" w:fill="FFFFFF"/>
                <w:lang w:val="hy-AM"/>
              </w:rPr>
              <w:t>Ռուս-Հայկական մարդասիրական արձագանքման կենտրոն» միջկառավարական ոչ առևտրային կազմակերպության (այսուհետ` ՌՀՄԱԿ կամ Կենտրոն) շարունակական զարգացման անհրաժեշտությամբ և նպատակ ունի ՀՀ ԱԻՆ ստորաբաժանումների ժամանակակից տեխնիկայով հագեցման և հրշեջ-փրկարարների մասնագիտական գիտելիքների և գործնական հմտությունների կատարելագործման միջոցով բարձրացնել արտակարգ իրավիճակների դեպքում բնակչության պաշտպանվածության մակարդակը:</w:t>
            </w:r>
          </w:p>
          <w:p w:rsidR="006B0618" w:rsidRPr="0053423A" w:rsidRDefault="006B0618" w:rsidP="00A67858">
            <w:pPr>
              <w:pStyle w:val="mechtex"/>
              <w:spacing w:line="276" w:lineRule="auto"/>
              <w:ind w:right="256" w:firstLine="360"/>
              <w:jc w:val="both"/>
              <w:rPr>
                <w:rFonts w:ascii="GHEA Grapalat" w:hAnsi="GHEA Grapalat"/>
                <w:b/>
                <w:shd w:val="clear" w:color="auto" w:fill="FFFFFF"/>
                <w:lang w:val="hy-AM"/>
              </w:rPr>
            </w:pPr>
            <w:r w:rsidRPr="0053423A">
              <w:rPr>
                <w:rFonts w:ascii="GHEA Grapalat" w:hAnsi="GHEA Grapalat"/>
                <w:b/>
                <w:shd w:val="clear" w:color="auto" w:fill="FFFFFF"/>
                <w:lang w:val="hy-AM"/>
              </w:rPr>
              <w:t xml:space="preserve">1.1 </w:t>
            </w:r>
            <w:r w:rsidRPr="0053423A">
              <w:rPr>
                <w:rFonts w:ascii="GHEA Grapalat" w:hAnsi="GHEA Grapalat" w:cs="Arial"/>
                <w:b/>
                <w:lang w:val="hy-AM"/>
              </w:rPr>
              <w:t>Կարգավորման</w:t>
            </w:r>
            <w:r w:rsidRPr="0053423A">
              <w:rPr>
                <w:rFonts w:ascii="GHEA Grapalat" w:hAnsi="GHEA Grapalat" w:cs="Arial Armenian"/>
                <w:b/>
                <w:lang w:val="hy-AM"/>
              </w:rPr>
              <w:t xml:space="preserve"> </w:t>
            </w:r>
            <w:r w:rsidRPr="0053423A">
              <w:rPr>
                <w:rFonts w:ascii="GHEA Grapalat" w:hAnsi="GHEA Grapalat" w:cs="Arial"/>
                <w:b/>
                <w:lang w:val="hy-AM"/>
              </w:rPr>
              <w:t>հարաբերությունների</w:t>
            </w:r>
            <w:r w:rsidRPr="0053423A">
              <w:rPr>
                <w:rFonts w:ascii="GHEA Grapalat" w:hAnsi="GHEA Grapalat" w:cs="Arial Armenian"/>
                <w:b/>
                <w:lang w:val="hy-AM"/>
              </w:rPr>
              <w:t xml:space="preserve"> </w:t>
            </w:r>
            <w:r w:rsidRPr="0053423A">
              <w:rPr>
                <w:rFonts w:ascii="GHEA Grapalat" w:hAnsi="GHEA Grapalat" w:cs="Arial"/>
                <w:b/>
                <w:lang w:val="hy-AM"/>
              </w:rPr>
              <w:t>ներկա</w:t>
            </w:r>
            <w:r w:rsidRPr="0053423A">
              <w:rPr>
                <w:rFonts w:ascii="GHEA Grapalat" w:hAnsi="GHEA Grapalat" w:cs="Arial Armenian"/>
                <w:b/>
                <w:lang w:val="hy-AM"/>
              </w:rPr>
              <w:t xml:space="preserve"> </w:t>
            </w:r>
            <w:r w:rsidRPr="0053423A">
              <w:rPr>
                <w:rFonts w:ascii="GHEA Grapalat" w:hAnsi="GHEA Grapalat" w:cs="Arial"/>
                <w:b/>
                <w:lang w:val="hy-AM"/>
              </w:rPr>
              <w:t>վիճակը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առկա</w:t>
            </w:r>
            <w:r w:rsidRPr="0053423A">
              <w:rPr>
                <w:rFonts w:ascii="GHEA Grapalat" w:hAnsi="GHEA Grapalat" w:cs="Arial Armenian"/>
                <w:b/>
                <w:lang w:val="hy-AM"/>
              </w:rPr>
              <w:t xml:space="preserve"> </w:t>
            </w:r>
            <w:r w:rsidRPr="0053423A">
              <w:rPr>
                <w:rFonts w:ascii="GHEA Grapalat" w:hAnsi="GHEA Grapalat" w:cs="Arial"/>
                <w:b/>
                <w:lang w:val="hy-AM"/>
              </w:rPr>
              <w:t>խնդիրները</w:t>
            </w:r>
          </w:p>
          <w:p w:rsidR="006B0618" w:rsidRPr="0053423A" w:rsidRDefault="006B0618" w:rsidP="00A67858">
            <w:pPr>
              <w:pStyle w:val="mechtex"/>
              <w:spacing w:line="276" w:lineRule="auto"/>
              <w:ind w:right="256" w:firstLine="360"/>
              <w:jc w:val="both"/>
              <w:rPr>
                <w:rFonts w:ascii="GHEA Grapalat" w:hAnsi="GHEA Grapalat"/>
                <w:shd w:val="clear" w:color="auto" w:fill="FFFFFF"/>
                <w:lang w:val="hy-AM"/>
              </w:rPr>
            </w:pPr>
            <w:r w:rsidRPr="0053423A">
              <w:rPr>
                <w:rFonts w:ascii="GHEA Grapalat" w:hAnsi="GHEA Grapalat"/>
                <w:shd w:val="clear" w:color="auto" w:fill="FFFFFF"/>
                <w:lang w:val="hy-AM"/>
              </w:rPr>
              <w:t>Կենտրոնը հիմնադրվել է 2015 թ. մայիսի 19-ին՝ Մոսկվայում ստորագրված Ռուս-Հայկական մարդասիրական արձագանքման կենտրոնի ստեղծման մասին միջկառավարական համաձայնագրի հիման վրա: Կենտրոնը ստեղծվել է կողմերի պետությունների մասնային վճարների հիման վրա: Այն իր մեջ ներառում է ՀՀ և ՌԴ բյուջետային միջոցները, ինչպես նաև կողմերի պետությունների կողմից օգտագործման իրավունքով Կենտրոնին տրամադրված շարժական և անշարժ գույքը: Ըստ Համաձայնագրի հայկական կողմը տրամադրել է համապատասխան տարածք, շենքեր, շինություններ, իրականացնում է Կենտրոնի սպասարկման և պահպանման ծախսերը: Ռուսական կողմը տրամադրում է արտակարգ իրավիճակների արձագանքման համար անհրաժեշտ հրշեջ-փրկարարական տեխնիկա, սարքավորումներ, գործիքներ, գույք և սարքավորումներ: Կենտրոնը տեղակայված է ՀՀ Կոտայքի մարզի Գետարգել համայնքում գտնվող նախկին Ռադիոկայան 1 հիմարկի ավելի քան 17 հա տարածքում, ունի վարչական և օժանդակ 4 շինություններ, պահեստային և տեխնիկայի կայանման շինություններ:</w:t>
            </w:r>
          </w:p>
          <w:p w:rsidR="006B0618" w:rsidRPr="0053423A" w:rsidRDefault="006B0618" w:rsidP="00A67858">
            <w:pPr>
              <w:pStyle w:val="mechtex"/>
              <w:spacing w:line="276" w:lineRule="auto"/>
              <w:ind w:right="256" w:firstLine="360"/>
              <w:jc w:val="both"/>
              <w:rPr>
                <w:rFonts w:ascii="GHEA Grapalat" w:hAnsi="GHEA Grapalat"/>
                <w:shd w:val="clear" w:color="auto" w:fill="FFFFFF"/>
                <w:lang w:val="hy-AM"/>
              </w:rPr>
            </w:pPr>
            <w:r w:rsidRPr="0053423A">
              <w:rPr>
                <w:rFonts w:ascii="GHEA Grapalat" w:hAnsi="GHEA Grapalat"/>
                <w:shd w:val="clear" w:color="auto" w:fill="FFFFFF"/>
                <w:lang w:val="hy-AM"/>
              </w:rPr>
              <w:t>Ռուսական կողմն ամբողջությամբ կատարում է Միջկառավարական համաձայնագրով իրեն վերապահված պարտավորությունները: Արդեն իսկ ձեռք է բերվել ավելի քան 16 մլն. դոլար ընդհանուր արժեքի 42 անվանում հրշեջ և փրկարարական տեխնիկա, սարքավորումներ, գործիքներ տարբեր նշանակության գույք և 282 տ. սննդամթերք: 42 անվանումից 37 անվանում գույքը փոխանցվել է  ԱԻՆ ստորաբաժանումներին: Անցած տարիների ընթացքում ռուսական կողմի ֆինանսավորմամբ ՌԴ ԱԻՆ մասնագիտացված ուսումնական հաստատություններում և Կենտրոնում՝ ՌԴ մասնագետների ներգրավմամբ, ուսուցում են անցել ՀՀ ԱԻՆ ավելի քան 600 մասնագետներ: Կենտրոնի անձեռնմխելի պաշարներից 60տ. սննդամթերք Կարմիր Խաչի հայկական ընկերության միջոցով բաշվել է ՀՀ կարիքավոր բնակչությանը, իսկ 100տ. սննդամթերը ՌԴ ԱԻՆ ավիացիայով և Կարմիր Խաչի և Կարմիր մահիկի միջազգային կազմակերպության օժանդակությամբ ուղարկվել է Սիրիայի Արաբական Հանրապետության պատերազմից տուժած ազգաբնակչությանը, այդ թվում և հայկական համայնքին:</w:t>
            </w:r>
          </w:p>
          <w:p w:rsidR="006B0618" w:rsidRPr="0053423A" w:rsidRDefault="006B0618" w:rsidP="00A67858">
            <w:pPr>
              <w:pStyle w:val="mechtex"/>
              <w:spacing w:line="276" w:lineRule="auto"/>
              <w:ind w:right="256" w:firstLine="360"/>
              <w:jc w:val="both"/>
              <w:rPr>
                <w:rFonts w:ascii="GHEA Grapalat" w:hAnsi="GHEA Grapalat"/>
                <w:shd w:val="clear" w:color="auto" w:fill="FFFFFF"/>
                <w:lang w:val="hy-AM"/>
              </w:rPr>
            </w:pPr>
            <w:r w:rsidRPr="0053423A">
              <w:rPr>
                <w:rFonts w:ascii="GHEA Grapalat" w:hAnsi="GHEA Grapalat"/>
                <w:shd w:val="clear" w:color="auto" w:fill="FFFFFF"/>
                <w:lang w:val="hy-AM"/>
              </w:rPr>
              <w:t xml:space="preserve">2019-2021 թթ. համար ռուսական կողմը՝ տեխնիկայի, սարքավորումների, գույքի ձեռքբերման և ՀՀ ԱԻՆ մասնագետների ուսուցման կազմակերպման նպատակով, կներդնի ևս ավելի քան 10 մլն. դոլար: </w:t>
            </w:r>
          </w:p>
          <w:p w:rsidR="006B0618" w:rsidRPr="0053423A" w:rsidRDefault="006B0618" w:rsidP="00A67858">
            <w:pPr>
              <w:pStyle w:val="mechtex"/>
              <w:spacing w:line="276" w:lineRule="auto"/>
              <w:ind w:right="256" w:firstLine="360"/>
              <w:jc w:val="both"/>
              <w:rPr>
                <w:rFonts w:ascii="GHEA Grapalat" w:hAnsi="GHEA Grapalat"/>
                <w:shd w:val="clear" w:color="auto" w:fill="FFFFFF"/>
                <w:lang w:val="hy-AM"/>
              </w:rPr>
            </w:pPr>
            <w:r w:rsidRPr="0053423A">
              <w:rPr>
                <w:rFonts w:ascii="GHEA Grapalat" w:hAnsi="GHEA Grapalat"/>
                <w:shd w:val="clear" w:color="auto" w:fill="FFFFFF"/>
                <w:lang w:val="hy-AM"/>
              </w:rPr>
              <w:t>Դրան զուգահեռ հայկական կողմը ոչ լրիվ ծավալով է կատարել Միջկառավարական համաձայնագրով ստանձնած պարտավորությունները, մասնավորապես՝ Կենտրոնի տարածքը ցանկապատված է մասնակի, պահեստների հատվածն ասֆալտապատված չէ, միջոցներ չեն տրամադրվել հրշեջ-փրկարարների պատրաստման համար վարժահամալիրի կառուցման նպատակով, չկան միջոցներ շենքերի ընթացիկ վերանորոգումների համար:</w:t>
            </w:r>
          </w:p>
          <w:p w:rsidR="006B0618" w:rsidRPr="0053423A" w:rsidRDefault="006B0618" w:rsidP="00A67858">
            <w:pPr>
              <w:pStyle w:val="mechtex"/>
              <w:spacing w:line="276" w:lineRule="auto"/>
              <w:ind w:right="256" w:firstLine="360"/>
              <w:jc w:val="both"/>
              <w:rPr>
                <w:rFonts w:ascii="GHEA Grapalat" w:hAnsi="GHEA Grapalat"/>
                <w:b/>
                <w:shd w:val="clear" w:color="auto" w:fill="FFFFFF"/>
                <w:lang w:val="hy-AM"/>
              </w:rPr>
            </w:pPr>
            <w:r w:rsidRPr="0053423A">
              <w:rPr>
                <w:rFonts w:ascii="GHEA Grapalat" w:hAnsi="GHEA Grapalat"/>
                <w:b/>
                <w:shd w:val="clear" w:color="auto" w:fill="FFFFFF"/>
                <w:lang w:val="hy-AM"/>
              </w:rPr>
              <w:t xml:space="preserve">1.2 </w:t>
            </w:r>
            <w:r w:rsidRPr="0053423A">
              <w:rPr>
                <w:rFonts w:ascii="GHEA Grapalat" w:hAnsi="GHEA Grapalat" w:cs="Arial"/>
                <w:b/>
                <w:lang w:val="hy-AM"/>
              </w:rPr>
              <w:t>Առկա</w:t>
            </w:r>
            <w:r w:rsidRPr="0053423A">
              <w:rPr>
                <w:rFonts w:ascii="GHEA Grapalat" w:hAnsi="GHEA Grapalat" w:cs="Arial Armenian"/>
                <w:b/>
                <w:lang w:val="hy-AM"/>
              </w:rPr>
              <w:t xml:space="preserve"> </w:t>
            </w:r>
            <w:r w:rsidRPr="0053423A">
              <w:rPr>
                <w:rFonts w:ascii="GHEA Grapalat" w:hAnsi="GHEA Grapalat" w:cs="Arial"/>
                <w:b/>
                <w:lang w:val="hy-AM"/>
              </w:rPr>
              <w:t>խնդիրների</w:t>
            </w:r>
            <w:r w:rsidRPr="0053423A">
              <w:rPr>
                <w:rFonts w:ascii="GHEA Grapalat" w:hAnsi="GHEA Grapalat" w:cs="Arial Armenian"/>
                <w:b/>
                <w:lang w:val="hy-AM"/>
              </w:rPr>
              <w:t xml:space="preserve"> </w:t>
            </w:r>
            <w:r w:rsidRPr="0053423A">
              <w:rPr>
                <w:rFonts w:ascii="GHEA Grapalat" w:hAnsi="GHEA Grapalat" w:cs="Arial"/>
                <w:b/>
                <w:lang w:val="hy-AM"/>
              </w:rPr>
              <w:t>առաջարկվող</w:t>
            </w:r>
            <w:r w:rsidRPr="0053423A">
              <w:rPr>
                <w:rFonts w:ascii="GHEA Grapalat" w:hAnsi="GHEA Grapalat" w:cs="Arial Armenian"/>
                <w:b/>
                <w:lang w:val="hy-AM"/>
              </w:rPr>
              <w:t xml:space="preserve"> </w:t>
            </w:r>
            <w:r w:rsidRPr="0053423A">
              <w:rPr>
                <w:rFonts w:ascii="GHEA Grapalat" w:hAnsi="GHEA Grapalat" w:cs="Arial"/>
                <w:b/>
                <w:lang w:val="hy-AM"/>
              </w:rPr>
              <w:t>լուծումները</w:t>
            </w:r>
          </w:p>
          <w:p w:rsidR="006B0618" w:rsidRPr="0053423A" w:rsidRDefault="006B0618" w:rsidP="00A67858">
            <w:pPr>
              <w:pStyle w:val="mechtex"/>
              <w:spacing w:line="276" w:lineRule="auto"/>
              <w:ind w:right="256" w:firstLine="360"/>
              <w:jc w:val="both"/>
              <w:rPr>
                <w:rFonts w:ascii="GHEA Grapalat" w:hAnsi="GHEA Grapalat"/>
                <w:shd w:val="clear" w:color="auto" w:fill="FFFFFF"/>
                <w:lang w:val="hy-AM"/>
              </w:rPr>
            </w:pPr>
            <w:r w:rsidRPr="0053423A">
              <w:rPr>
                <w:rFonts w:ascii="GHEA Grapalat" w:hAnsi="GHEA Grapalat"/>
                <w:shd w:val="clear" w:color="auto" w:fill="FFFFFF"/>
                <w:lang w:val="hy-AM"/>
              </w:rPr>
              <w:t>Առկա խնդիրների լուծման համար անհրաժեշտ է իրականացնել հետևյալ միջոցառումները.</w:t>
            </w:r>
          </w:p>
          <w:p w:rsidR="006B0618" w:rsidRPr="0053423A" w:rsidRDefault="006B0618" w:rsidP="00A67858">
            <w:pPr>
              <w:pStyle w:val="mechtex"/>
              <w:spacing w:line="276" w:lineRule="auto"/>
              <w:ind w:right="256" w:firstLine="360"/>
              <w:jc w:val="both"/>
              <w:rPr>
                <w:rFonts w:ascii="GHEA Grapalat" w:hAnsi="GHEA Grapalat"/>
                <w:lang w:val="hy-AM"/>
              </w:rPr>
            </w:pPr>
            <w:r w:rsidRPr="0053423A">
              <w:rPr>
                <w:rFonts w:ascii="GHEA Grapalat" w:hAnsi="GHEA Grapalat"/>
                <w:shd w:val="clear" w:color="auto" w:fill="FFFFFF"/>
                <w:lang w:val="hy-AM"/>
              </w:rPr>
              <w:t xml:space="preserve">- </w:t>
            </w:r>
            <w:r w:rsidRPr="0053423A">
              <w:rPr>
                <w:rFonts w:ascii="GHEA Grapalat" w:hAnsi="GHEA Grapalat"/>
                <w:lang w:val="hy-AM"/>
              </w:rPr>
              <w:t>ՌՀՄԱԿ տարածքի ցանկապատում և տեսադիտարկման համակարգի ներդրում,</w:t>
            </w:r>
          </w:p>
          <w:p w:rsidR="006B0618" w:rsidRPr="0053423A" w:rsidRDefault="006B0618" w:rsidP="00A67858">
            <w:pPr>
              <w:pStyle w:val="mechtex"/>
              <w:spacing w:line="276" w:lineRule="auto"/>
              <w:ind w:right="256" w:firstLine="360"/>
              <w:jc w:val="both"/>
              <w:rPr>
                <w:rFonts w:ascii="GHEA Grapalat" w:hAnsi="GHEA Grapalat"/>
                <w:lang w:val="hy-AM"/>
              </w:rPr>
            </w:pPr>
            <w:r w:rsidRPr="0053423A">
              <w:rPr>
                <w:rFonts w:ascii="GHEA Grapalat" w:hAnsi="GHEA Grapalat"/>
                <w:lang w:val="hy-AM"/>
              </w:rPr>
              <w:t>- ՀՀ ԱԻՆ մասնագետների վերապատրաստում ՌԴ ԱԻՆ ուսումնական հաստատություններում և ՌՀՄԱԿ տարածքում՝ ՌԴ մասնագետների ներգրավմամբ,</w:t>
            </w:r>
          </w:p>
          <w:p w:rsidR="006B0618" w:rsidRPr="0053423A" w:rsidRDefault="006B0618" w:rsidP="00A67858">
            <w:pPr>
              <w:pStyle w:val="mechtex"/>
              <w:spacing w:line="276" w:lineRule="auto"/>
              <w:ind w:right="256" w:firstLine="360"/>
              <w:jc w:val="both"/>
              <w:rPr>
                <w:rFonts w:ascii="GHEA Grapalat" w:hAnsi="GHEA Grapalat"/>
                <w:lang w:val="hy-AM"/>
              </w:rPr>
            </w:pPr>
            <w:r w:rsidRPr="0053423A">
              <w:rPr>
                <w:rFonts w:ascii="GHEA Grapalat" w:hAnsi="GHEA Grapalat"/>
                <w:lang w:val="hy-AM"/>
              </w:rPr>
              <w:t>բազմաֆունկցիոնալ վարժահրապարակի կառուցում:</w:t>
            </w:r>
          </w:p>
          <w:p w:rsidR="006B0618" w:rsidRPr="0053423A" w:rsidRDefault="006B0618" w:rsidP="00A67858">
            <w:pPr>
              <w:pStyle w:val="mechtex"/>
              <w:spacing w:line="276" w:lineRule="auto"/>
              <w:ind w:right="256" w:firstLine="360"/>
              <w:jc w:val="both"/>
              <w:rPr>
                <w:rFonts w:ascii="GHEA Grapalat" w:hAnsi="GHEA Grapalat"/>
                <w:b/>
                <w:lang w:val="hy-AM"/>
              </w:rPr>
            </w:pPr>
            <w:r w:rsidRPr="0053423A">
              <w:rPr>
                <w:rFonts w:ascii="GHEA Grapalat" w:hAnsi="GHEA Grapalat"/>
                <w:b/>
                <w:lang w:val="hy-AM"/>
              </w:rPr>
              <w:t>2. Միջոցառումների</w:t>
            </w:r>
            <w:r w:rsidRPr="0053423A">
              <w:rPr>
                <w:rFonts w:ascii="GHEA Grapalat" w:hAnsi="GHEA Grapalat" w:cs="Arial Armenian"/>
                <w:b/>
                <w:lang w:val="hy-AM"/>
              </w:rPr>
              <w:t xml:space="preserve"> </w:t>
            </w:r>
            <w:r w:rsidRPr="0053423A">
              <w:rPr>
                <w:rFonts w:ascii="GHEA Grapalat" w:hAnsi="GHEA Grapalat" w:cs="Arial"/>
                <w:b/>
                <w:lang w:val="hy-AM"/>
              </w:rPr>
              <w:t>իրականացումից</w:t>
            </w:r>
            <w:r w:rsidRPr="0053423A">
              <w:rPr>
                <w:rFonts w:ascii="GHEA Grapalat" w:hAnsi="GHEA Grapalat" w:cs="Arial Armenian"/>
                <w:b/>
                <w:lang w:val="hy-AM"/>
              </w:rPr>
              <w:t xml:space="preserve"> </w:t>
            </w:r>
            <w:r w:rsidRPr="0053423A">
              <w:rPr>
                <w:rFonts w:ascii="GHEA Grapalat" w:hAnsi="GHEA Grapalat" w:cs="Arial"/>
                <w:b/>
                <w:lang w:val="hy-AM"/>
              </w:rPr>
              <w:t>ակնկալվող</w:t>
            </w:r>
            <w:r w:rsidRPr="0053423A">
              <w:rPr>
                <w:rFonts w:ascii="GHEA Grapalat" w:hAnsi="GHEA Grapalat" w:cs="Arial Armenian"/>
                <w:b/>
                <w:lang w:val="hy-AM"/>
              </w:rPr>
              <w:t xml:space="preserve"> </w:t>
            </w:r>
            <w:r w:rsidRPr="0053423A">
              <w:rPr>
                <w:rFonts w:ascii="GHEA Grapalat" w:hAnsi="GHEA Grapalat" w:cs="Arial"/>
                <w:b/>
                <w:lang w:val="hy-AM"/>
              </w:rPr>
              <w:t>արդյունքը</w:t>
            </w:r>
            <w:r w:rsidRPr="0053423A">
              <w:rPr>
                <w:rFonts w:ascii="GHEA Grapalat" w:hAnsi="GHEA Grapalat"/>
                <w:b/>
                <w:lang w:val="hy-AM"/>
              </w:rPr>
              <w:t xml:space="preserve"> </w:t>
            </w:r>
          </w:p>
          <w:p w:rsidR="006B0618" w:rsidRPr="0053423A" w:rsidRDefault="006B0618" w:rsidP="00A67858">
            <w:pPr>
              <w:pStyle w:val="mechtex"/>
              <w:spacing w:line="276" w:lineRule="auto"/>
              <w:ind w:right="256" w:firstLine="360"/>
              <w:jc w:val="both"/>
              <w:rPr>
                <w:rFonts w:ascii="GHEA Grapalat" w:hAnsi="GHEA Grapalat"/>
                <w:lang w:val="hy-AM"/>
              </w:rPr>
            </w:pPr>
            <w:r w:rsidRPr="0053423A">
              <w:rPr>
                <w:rFonts w:ascii="GHEA Grapalat" w:hAnsi="GHEA Grapalat"/>
                <w:lang w:val="hy-AM"/>
              </w:rPr>
              <w:t>Առկա խնդիրների լուծման դեպքում հայկական կողմը կատարած կլինի Միջկառավարական համաձայնագրով ստանձնած իր պարտականությունները.</w:t>
            </w:r>
          </w:p>
          <w:p w:rsidR="006B0618" w:rsidRPr="0053423A" w:rsidRDefault="006B0618" w:rsidP="00A67858">
            <w:pPr>
              <w:pStyle w:val="mechtex"/>
              <w:spacing w:line="276" w:lineRule="auto"/>
              <w:ind w:right="256" w:firstLine="360"/>
              <w:jc w:val="both"/>
              <w:rPr>
                <w:rFonts w:ascii="GHEA Grapalat" w:hAnsi="GHEA Grapalat"/>
                <w:lang w:val="hy-AM"/>
              </w:rPr>
            </w:pPr>
            <w:r w:rsidRPr="0053423A">
              <w:rPr>
                <w:rFonts w:ascii="GHEA Grapalat" w:hAnsi="GHEA Grapalat"/>
                <w:lang w:val="hy-AM"/>
              </w:rPr>
              <w:t>- ՌՀՄԱԿ տարածքի ցանկապատումը և տեսադիտարկման համակարգի ներդրումը կապահովի պահեստներում առկա նյութական արժեքների հուսալի պահպանությունը,</w:t>
            </w:r>
          </w:p>
          <w:p w:rsidR="006B0618" w:rsidRPr="0053423A" w:rsidRDefault="006B0618" w:rsidP="00A67858">
            <w:pPr>
              <w:pStyle w:val="mechtex"/>
              <w:spacing w:line="276" w:lineRule="auto"/>
              <w:ind w:right="256" w:firstLine="360"/>
              <w:jc w:val="both"/>
              <w:rPr>
                <w:rFonts w:ascii="GHEA Grapalat" w:hAnsi="GHEA Grapalat"/>
                <w:b/>
                <w:i/>
                <w:lang w:val="hy-AM"/>
              </w:rPr>
            </w:pPr>
            <w:r w:rsidRPr="0053423A">
              <w:rPr>
                <w:rFonts w:ascii="GHEA Grapalat" w:hAnsi="GHEA Grapalat"/>
                <w:lang w:val="hy-AM"/>
              </w:rPr>
              <w:t xml:space="preserve">-  </w:t>
            </w:r>
            <w:bookmarkStart w:id="1" w:name="_Hlk4089362"/>
            <w:r w:rsidRPr="0053423A">
              <w:rPr>
                <w:rFonts w:ascii="GHEA Grapalat" w:hAnsi="GHEA Grapalat"/>
                <w:lang w:val="hy-AM"/>
              </w:rPr>
              <w:t>ՀՀ ԱԻ նախարարությունը կունենա բարձրակարգ փրկարարներով համալրված, արտակարգ իրավիճակների արձագանքմանը պատրաստ ստորաբաժանումներ</w:t>
            </w:r>
            <w:bookmarkEnd w:id="1"/>
            <w:r w:rsidRPr="0053423A">
              <w:rPr>
                <w:rFonts w:ascii="GHEA Grapalat" w:hAnsi="GHEA Grapalat"/>
                <w:lang w:val="hy-AM"/>
              </w:rPr>
              <w:t>:</w:t>
            </w:r>
          </w:p>
        </w:tc>
      </w:tr>
      <w:tr w:rsidR="006B0618" w:rsidRPr="00DE2EFA" w:rsidTr="001F6D5D">
        <w:tc>
          <w:tcPr>
            <w:tcW w:w="691" w:type="dxa"/>
          </w:tcPr>
          <w:p w:rsidR="006B0618" w:rsidRPr="001F6D5D" w:rsidRDefault="001F6D5D" w:rsidP="00696743">
            <w:pPr>
              <w:spacing w:line="276" w:lineRule="auto"/>
              <w:rPr>
                <w:lang w:val="hy-AM"/>
              </w:rPr>
            </w:pPr>
            <w:r>
              <w:rPr>
                <w:lang w:val="hy-AM"/>
              </w:rPr>
              <w:t>8</w:t>
            </w:r>
            <w:r w:rsidR="00696743">
              <w:rPr>
                <w:lang w:val="hy-AM"/>
              </w:rPr>
              <w:t>0</w:t>
            </w:r>
          </w:p>
        </w:tc>
        <w:tc>
          <w:tcPr>
            <w:tcW w:w="10649" w:type="dxa"/>
          </w:tcPr>
          <w:p w:rsidR="006B0618" w:rsidRPr="0053423A" w:rsidRDefault="00696743" w:rsidP="00A67858">
            <w:pPr>
              <w:pStyle w:val="mechtex"/>
              <w:spacing w:line="276" w:lineRule="auto"/>
              <w:ind w:right="256"/>
              <w:rPr>
                <w:rFonts w:ascii="GHEA Grapalat" w:hAnsi="GHEA Grapalat"/>
                <w:b/>
                <w:i/>
                <w:lang w:val="hy-AM"/>
              </w:rPr>
            </w:pPr>
            <w:r>
              <w:rPr>
                <w:rFonts w:ascii="GHEA Grapalat" w:hAnsi="GHEA Grapalat"/>
                <w:b/>
                <w:i/>
                <w:lang w:val="hy-AM"/>
              </w:rPr>
              <w:t>80</w:t>
            </w:r>
            <w:r w:rsidR="006B0618" w:rsidRPr="0053423A">
              <w:rPr>
                <w:rFonts w:ascii="GHEA Grapalat" w:hAnsi="GHEA Grapalat"/>
                <w:b/>
                <w:i/>
                <w:lang w:val="hy-AM"/>
              </w:rPr>
              <w:t>.1 Համայնքներին սպառնացող վտանգների դասակարգում ըստ առաջնայնության՝ վտանգների, խոցելիության և կարողությունների վերաբերյալ հաշվետվությունների հիման վրա</w:t>
            </w:r>
          </w:p>
          <w:p w:rsidR="006B0618" w:rsidRPr="0053423A" w:rsidRDefault="00696743" w:rsidP="00A67858">
            <w:pPr>
              <w:pStyle w:val="mechtex"/>
              <w:spacing w:line="276" w:lineRule="auto"/>
              <w:ind w:right="256"/>
              <w:rPr>
                <w:rFonts w:ascii="GHEA Grapalat" w:hAnsi="GHEA Grapalat"/>
                <w:b/>
                <w:i/>
                <w:lang w:val="hy-AM"/>
              </w:rPr>
            </w:pPr>
            <w:r>
              <w:rPr>
                <w:rFonts w:ascii="GHEA Grapalat" w:hAnsi="GHEA Grapalat"/>
                <w:b/>
                <w:i/>
                <w:lang w:val="hy-AM"/>
              </w:rPr>
              <w:t>80</w:t>
            </w:r>
            <w:r w:rsidR="006B0618" w:rsidRPr="0053423A">
              <w:rPr>
                <w:rFonts w:ascii="GHEA Grapalat" w:hAnsi="GHEA Grapalat"/>
                <w:b/>
                <w:i/>
                <w:lang w:val="hy-AM"/>
              </w:rPr>
              <w:t>.2 Համայնքներում աղետների ռիսկի նվազեցման միջոցառումների դասակարգում՝ համայնքի բյուջետային միջոցներին համապատասխան</w:t>
            </w:r>
          </w:p>
          <w:p w:rsidR="006B0618" w:rsidRPr="0053423A" w:rsidRDefault="00696743" w:rsidP="00A67858">
            <w:pPr>
              <w:pStyle w:val="mechtex"/>
              <w:spacing w:line="276" w:lineRule="auto"/>
              <w:ind w:right="256"/>
              <w:rPr>
                <w:rFonts w:ascii="GHEA Grapalat" w:hAnsi="GHEA Grapalat"/>
                <w:b/>
                <w:i/>
                <w:lang w:val="hy-AM"/>
              </w:rPr>
            </w:pPr>
            <w:r>
              <w:rPr>
                <w:rFonts w:ascii="GHEA Grapalat" w:hAnsi="GHEA Grapalat"/>
                <w:b/>
                <w:i/>
                <w:lang w:val="hy-AM"/>
              </w:rPr>
              <w:t>80</w:t>
            </w:r>
            <w:r w:rsidR="006B0618" w:rsidRPr="0053423A">
              <w:rPr>
                <w:rFonts w:ascii="GHEA Grapalat" w:hAnsi="GHEA Grapalat"/>
                <w:b/>
                <w:i/>
                <w:lang w:val="hy-AM"/>
              </w:rPr>
              <w:t>.3 Համայնքային զարգացման ծրագրերի վերանայում՝ աղետների ռիսկի նվազեցման բաղադրիչի ներառման նպատակով</w:t>
            </w:r>
          </w:p>
          <w:p w:rsidR="006B0618" w:rsidRPr="0053423A" w:rsidRDefault="006B0618" w:rsidP="00A67858">
            <w:pPr>
              <w:pStyle w:val="mechtex"/>
              <w:numPr>
                <w:ilvl w:val="0"/>
                <w:numId w:val="85"/>
              </w:numPr>
              <w:spacing w:line="276" w:lineRule="auto"/>
              <w:ind w:left="0" w:right="256" w:firstLine="0"/>
              <w:jc w:val="both"/>
              <w:rPr>
                <w:rFonts w:ascii="GHEA Grapalat" w:hAnsi="GHEA Grapalat" w:cs="Arial"/>
                <w:b/>
                <w:lang w:val="hy-AM"/>
              </w:rPr>
            </w:pPr>
            <w:r w:rsidRPr="0053423A">
              <w:rPr>
                <w:rFonts w:ascii="GHEA Grapalat" w:hAnsi="GHEA Grapalat"/>
                <w:b/>
                <w:lang w:val="hy-AM"/>
              </w:rPr>
              <w:t>Միջոցառ</w:t>
            </w:r>
            <w:r w:rsidRPr="0053423A">
              <w:rPr>
                <w:rFonts w:ascii="GHEA Grapalat" w:hAnsi="GHEA Grapalat"/>
                <w:b/>
              </w:rPr>
              <w:t>ումների</w:t>
            </w:r>
            <w:r w:rsidRPr="0053423A">
              <w:rPr>
                <w:rFonts w:ascii="GHEA Grapalat" w:hAnsi="GHEA Grapalat" w:cs="Arial Armenian"/>
                <w:b/>
                <w:lang w:val="hy-AM"/>
              </w:rPr>
              <w:t xml:space="preserve"> </w:t>
            </w:r>
            <w:r w:rsidRPr="0053423A">
              <w:rPr>
                <w:rFonts w:ascii="GHEA Grapalat" w:hAnsi="GHEA Grapalat" w:cs="Arial"/>
                <w:b/>
                <w:lang w:val="hy-AM"/>
              </w:rPr>
              <w:t>իրակացման</w:t>
            </w:r>
            <w:r w:rsidRPr="0053423A">
              <w:rPr>
                <w:rFonts w:ascii="GHEA Grapalat" w:hAnsi="GHEA Grapalat" w:cs="Arial Armenian"/>
                <w:b/>
                <w:lang w:val="hy-AM"/>
              </w:rPr>
              <w:t xml:space="preserve"> </w:t>
            </w:r>
            <w:r w:rsidRPr="0053423A">
              <w:rPr>
                <w:rFonts w:ascii="GHEA Grapalat" w:hAnsi="GHEA Grapalat" w:cs="Arial"/>
                <w:b/>
                <w:lang w:val="hy-AM"/>
              </w:rPr>
              <w:t>անհրաժեշտությունը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նպատակը</w:t>
            </w:r>
          </w:p>
          <w:p w:rsidR="006B0618" w:rsidRPr="0053423A" w:rsidRDefault="006B0618" w:rsidP="00A67858">
            <w:pPr>
              <w:pStyle w:val="mechtex"/>
              <w:spacing w:line="276" w:lineRule="auto"/>
              <w:ind w:right="256"/>
              <w:jc w:val="both"/>
              <w:rPr>
                <w:rFonts w:ascii="GHEA Grapalat" w:hAnsi="GHEA Grapalat" w:cs="Sylfaen"/>
                <w:lang w:val="de-DE"/>
              </w:rPr>
            </w:pPr>
            <w:r w:rsidRPr="0053423A">
              <w:rPr>
                <w:rFonts w:ascii="GHEA Grapalat" w:hAnsi="GHEA Grapalat" w:cs="Arial"/>
                <w:lang w:val="hy-AM"/>
              </w:rPr>
              <w:t xml:space="preserve">    Միջոցառման նպատակն է բարձրացնել համայնքների դիմակայունությունը՝ ներառելով աղետների ռիսկի կառավարման բաղադրիչը համայնքների զարգացման ծրագրերում: Վերջինիս համար հիմք պետք է հանդիսանա </w:t>
            </w:r>
            <w:r w:rsidRPr="0053423A">
              <w:rPr>
                <w:rFonts w:ascii="GHEA Grapalat" w:hAnsi="GHEA Grapalat" w:cs="Sylfaen"/>
                <w:lang w:val="de-DE"/>
              </w:rPr>
              <w:t>ԱՌՆ Սենդայի 2015-2030թթ. գործողությունների ծրագրի հետևյալ գերակայությունները՝</w:t>
            </w:r>
          </w:p>
          <w:p w:rsidR="006B0618" w:rsidRPr="0053423A" w:rsidRDefault="006B0618" w:rsidP="00A67858">
            <w:pPr>
              <w:pStyle w:val="mechtex"/>
              <w:numPr>
                <w:ilvl w:val="0"/>
                <w:numId w:val="84"/>
              </w:numPr>
              <w:spacing w:line="276" w:lineRule="auto"/>
              <w:ind w:left="0" w:right="256" w:firstLine="0"/>
              <w:jc w:val="both"/>
              <w:rPr>
                <w:rFonts w:ascii="GHEA Grapalat" w:hAnsi="GHEA Grapalat" w:cs="Arial"/>
                <w:lang w:val="hy-AM"/>
              </w:rPr>
            </w:pPr>
            <w:r w:rsidRPr="0053423A">
              <w:rPr>
                <w:rFonts w:ascii="GHEA Grapalat" w:hAnsi="GHEA Grapalat" w:cs="Sylfaen"/>
                <w:lang w:val="de-DE"/>
              </w:rPr>
              <w:t>աղետների ռիսկի գիտակցում</w:t>
            </w:r>
          </w:p>
          <w:p w:rsidR="006B0618" w:rsidRPr="0053423A" w:rsidRDefault="006B0618" w:rsidP="00A67858">
            <w:pPr>
              <w:pStyle w:val="mechtex"/>
              <w:numPr>
                <w:ilvl w:val="0"/>
                <w:numId w:val="84"/>
              </w:numPr>
              <w:spacing w:line="276" w:lineRule="auto"/>
              <w:ind w:left="0" w:right="256" w:firstLine="0"/>
              <w:jc w:val="both"/>
              <w:rPr>
                <w:rFonts w:ascii="GHEA Grapalat" w:hAnsi="GHEA Grapalat" w:cs="Arial"/>
                <w:lang w:val="hy-AM"/>
              </w:rPr>
            </w:pPr>
            <w:r w:rsidRPr="0053423A">
              <w:rPr>
                <w:rFonts w:ascii="GHEA Grapalat" w:hAnsi="GHEA Grapalat" w:cs="Sylfaen"/>
                <w:lang w:val="de-DE"/>
              </w:rPr>
              <w:t>աղետների ռիսկի պետական կառավարման հզորացում՝ աղետների ռիսկի հաղթահարման համար</w:t>
            </w:r>
          </w:p>
          <w:p w:rsidR="006B0618" w:rsidRPr="0053423A" w:rsidRDefault="006B0618" w:rsidP="00A67858">
            <w:pPr>
              <w:pStyle w:val="mechtex"/>
              <w:numPr>
                <w:ilvl w:val="0"/>
                <w:numId w:val="84"/>
              </w:numPr>
              <w:spacing w:line="276" w:lineRule="auto"/>
              <w:ind w:left="0" w:right="256" w:firstLine="0"/>
              <w:jc w:val="both"/>
              <w:rPr>
                <w:rFonts w:ascii="GHEA Grapalat" w:hAnsi="GHEA Grapalat" w:cs="Arial"/>
                <w:lang w:val="hy-AM"/>
              </w:rPr>
            </w:pPr>
            <w:r w:rsidRPr="0053423A">
              <w:rPr>
                <w:rFonts w:ascii="GHEA Grapalat" w:hAnsi="GHEA Grapalat" w:cs="Sylfaen"/>
                <w:lang w:val="de-DE"/>
              </w:rPr>
              <w:t>ներդրում աղետների ռիսկի նվազեցման ոլորտում՝ դիմակայունության բարձրացման համար:</w:t>
            </w:r>
          </w:p>
          <w:p w:rsidR="006B0618" w:rsidRPr="0053423A" w:rsidRDefault="006B0618" w:rsidP="00A67858">
            <w:pPr>
              <w:pStyle w:val="mechtex"/>
              <w:numPr>
                <w:ilvl w:val="1"/>
                <w:numId w:val="85"/>
              </w:numPr>
              <w:spacing w:line="276" w:lineRule="auto"/>
              <w:ind w:left="0" w:right="256" w:firstLine="0"/>
              <w:jc w:val="both"/>
              <w:rPr>
                <w:rFonts w:ascii="GHEA Grapalat" w:hAnsi="GHEA Grapalat" w:cs="Arial"/>
                <w:b/>
                <w:lang w:val="hy-AM"/>
              </w:rPr>
            </w:pPr>
            <w:r w:rsidRPr="0053423A">
              <w:rPr>
                <w:rFonts w:ascii="GHEA Grapalat" w:hAnsi="GHEA Grapalat" w:cs="Arial"/>
                <w:b/>
                <w:lang w:val="hy-AM"/>
              </w:rPr>
              <w:t>Կարգավորման</w:t>
            </w:r>
            <w:r w:rsidRPr="0053423A">
              <w:rPr>
                <w:rFonts w:ascii="GHEA Grapalat" w:hAnsi="GHEA Grapalat" w:cs="Arial Armenian"/>
                <w:b/>
                <w:lang w:val="hy-AM"/>
              </w:rPr>
              <w:t xml:space="preserve"> </w:t>
            </w:r>
            <w:r w:rsidRPr="0053423A">
              <w:rPr>
                <w:rFonts w:ascii="GHEA Grapalat" w:hAnsi="GHEA Grapalat" w:cs="Arial"/>
                <w:b/>
                <w:lang w:val="hy-AM"/>
              </w:rPr>
              <w:t>հարաբերությունների</w:t>
            </w:r>
            <w:r w:rsidRPr="0053423A">
              <w:rPr>
                <w:rFonts w:ascii="GHEA Grapalat" w:hAnsi="GHEA Grapalat" w:cs="Arial Armenian"/>
                <w:b/>
                <w:lang w:val="hy-AM"/>
              </w:rPr>
              <w:t xml:space="preserve"> </w:t>
            </w:r>
            <w:r w:rsidRPr="0053423A">
              <w:rPr>
                <w:rFonts w:ascii="GHEA Grapalat" w:hAnsi="GHEA Grapalat" w:cs="Arial"/>
                <w:b/>
                <w:lang w:val="hy-AM"/>
              </w:rPr>
              <w:t>ներկա</w:t>
            </w:r>
            <w:r w:rsidRPr="0053423A">
              <w:rPr>
                <w:rFonts w:ascii="GHEA Grapalat" w:hAnsi="GHEA Grapalat" w:cs="Arial Armenian"/>
                <w:b/>
                <w:lang w:val="hy-AM"/>
              </w:rPr>
              <w:t xml:space="preserve"> </w:t>
            </w:r>
            <w:r w:rsidRPr="0053423A">
              <w:rPr>
                <w:rFonts w:ascii="GHEA Grapalat" w:hAnsi="GHEA Grapalat" w:cs="Arial"/>
                <w:b/>
                <w:lang w:val="hy-AM"/>
              </w:rPr>
              <w:t>վիճակը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առկա</w:t>
            </w:r>
            <w:r w:rsidRPr="0053423A">
              <w:rPr>
                <w:rFonts w:ascii="GHEA Grapalat" w:hAnsi="GHEA Grapalat" w:cs="Arial Armenian"/>
                <w:b/>
                <w:lang w:val="hy-AM"/>
              </w:rPr>
              <w:t xml:space="preserve"> </w:t>
            </w:r>
            <w:r w:rsidRPr="0053423A">
              <w:rPr>
                <w:rFonts w:ascii="GHEA Grapalat" w:hAnsi="GHEA Grapalat" w:cs="Arial"/>
                <w:b/>
                <w:lang w:val="hy-AM"/>
              </w:rPr>
              <w:t>խնդիրները</w:t>
            </w:r>
          </w:p>
          <w:p w:rsidR="006B0618" w:rsidRPr="0053423A" w:rsidRDefault="006B0618" w:rsidP="00A67858">
            <w:pPr>
              <w:pStyle w:val="mechtex"/>
              <w:spacing w:line="276" w:lineRule="auto"/>
              <w:ind w:right="256"/>
              <w:jc w:val="both"/>
              <w:rPr>
                <w:rFonts w:ascii="GHEA Grapalat" w:hAnsi="GHEA Grapalat" w:cs="Arial"/>
                <w:lang w:val="hy-AM"/>
              </w:rPr>
            </w:pPr>
            <w:r w:rsidRPr="0053423A">
              <w:rPr>
                <w:rFonts w:ascii="GHEA Grapalat" w:hAnsi="GHEA Grapalat" w:cs="Arial"/>
                <w:lang w:val="hy-AM"/>
              </w:rPr>
              <w:t>Համայնքների զարգացման ծրագրերում վեր են հանված համայնքների սպառնացող վտանգները և դրանց հետևանքներից բնակչությանը, ենթակառուցվածքներին և տնտեսությանը հասցված վնասները: Բայց ծրագրում առկա չեն վեր հանված սպառնալիքների և վտանգների կանխարգելմանն ուղված միջոցառումներ: Ինչը համայնքը դարձնում է խոցելի, անպաշտպան:</w:t>
            </w:r>
          </w:p>
          <w:p w:rsidR="006B0618" w:rsidRPr="0053423A" w:rsidRDefault="006B0618" w:rsidP="00A67858">
            <w:pPr>
              <w:pStyle w:val="mechtex"/>
              <w:numPr>
                <w:ilvl w:val="1"/>
                <w:numId w:val="85"/>
              </w:numPr>
              <w:spacing w:line="276" w:lineRule="auto"/>
              <w:ind w:left="0" w:right="256" w:firstLine="0"/>
              <w:jc w:val="both"/>
              <w:rPr>
                <w:rFonts w:ascii="GHEA Grapalat" w:hAnsi="GHEA Grapalat" w:cs="Arial"/>
                <w:b/>
              </w:rPr>
            </w:pPr>
            <w:r w:rsidRPr="0053423A">
              <w:rPr>
                <w:rFonts w:ascii="GHEA Grapalat" w:hAnsi="GHEA Grapalat" w:cs="Arial"/>
                <w:b/>
              </w:rPr>
              <w:t>Ա</w:t>
            </w:r>
            <w:r w:rsidRPr="0053423A">
              <w:rPr>
                <w:rFonts w:ascii="GHEA Grapalat" w:hAnsi="GHEA Grapalat" w:cs="Arial"/>
                <w:b/>
                <w:lang w:val="hy-AM"/>
              </w:rPr>
              <w:t>ռկա</w:t>
            </w:r>
            <w:r w:rsidRPr="0053423A">
              <w:rPr>
                <w:rFonts w:ascii="GHEA Grapalat" w:hAnsi="GHEA Grapalat" w:cs="Arial Armenian"/>
                <w:b/>
                <w:lang w:val="hy-AM"/>
              </w:rPr>
              <w:t xml:space="preserve"> </w:t>
            </w:r>
            <w:r w:rsidRPr="0053423A">
              <w:rPr>
                <w:rFonts w:ascii="GHEA Grapalat" w:hAnsi="GHEA Grapalat" w:cs="Arial"/>
                <w:b/>
                <w:lang w:val="hy-AM"/>
              </w:rPr>
              <w:t>խնդիրների</w:t>
            </w:r>
            <w:r w:rsidRPr="0053423A">
              <w:rPr>
                <w:rFonts w:ascii="GHEA Grapalat" w:hAnsi="GHEA Grapalat" w:cs="Arial Armenian"/>
                <w:b/>
                <w:lang w:val="hy-AM"/>
              </w:rPr>
              <w:t xml:space="preserve"> </w:t>
            </w:r>
            <w:r w:rsidRPr="0053423A">
              <w:rPr>
                <w:rFonts w:ascii="GHEA Grapalat" w:hAnsi="GHEA Grapalat" w:cs="Arial"/>
                <w:b/>
                <w:lang w:val="hy-AM"/>
              </w:rPr>
              <w:t>առաջարկվող</w:t>
            </w:r>
            <w:r w:rsidRPr="0053423A">
              <w:rPr>
                <w:rFonts w:ascii="GHEA Grapalat" w:hAnsi="GHEA Grapalat" w:cs="Arial Armenian"/>
                <w:b/>
                <w:lang w:val="hy-AM"/>
              </w:rPr>
              <w:t xml:space="preserve"> </w:t>
            </w:r>
            <w:r w:rsidRPr="0053423A">
              <w:rPr>
                <w:rFonts w:ascii="GHEA Grapalat" w:hAnsi="GHEA Grapalat" w:cs="Arial"/>
                <w:b/>
                <w:lang w:val="hy-AM"/>
              </w:rPr>
              <w:t>լուծումները</w:t>
            </w:r>
          </w:p>
          <w:p w:rsidR="006B0618" w:rsidRPr="0053423A" w:rsidRDefault="006B0618" w:rsidP="00A67858">
            <w:pPr>
              <w:pStyle w:val="mechtex"/>
              <w:spacing w:line="276" w:lineRule="auto"/>
              <w:ind w:right="256"/>
              <w:jc w:val="both"/>
              <w:rPr>
                <w:rFonts w:ascii="GHEA Grapalat" w:hAnsi="GHEA Grapalat"/>
                <w:b/>
                <w:shd w:val="clear" w:color="auto" w:fill="FFFFFF"/>
              </w:rPr>
            </w:pPr>
            <w:r w:rsidRPr="0053423A">
              <w:rPr>
                <w:rFonts w:ascii="GHEA Grapalat" w:hAnsi="GHEA Grapalat"/>
              </w:rPr>
              <w:t xml:space="preserve">   Համայնքներին սպառնացող վտանգների ինչպես նաև աղետների ռիսկի նվազեցման միջոցառումների դասակարգումը՝ համայնքի բյուջետային միջոցներին համապատասխան թույլ կտա իրականացնելու աղետների ռիսկի նվազեցմանն ուղղված միջոցառումներ: Այդ նպատակով անհրաժեշտություն կառաջանա վերանայելու համայնքների զարգացման սոցիալ-տնտեսական ծրագրերը, մարզերի զարգացման ռազմավարությունները, դրանց մեջ աղետների ռիսկի կառավարման բաղադրիչի ներառումը: </w:t>
            </w:r>
          </w:p>
          <w:p w:rsidR="006B0618" w:rsidRPr="0053423A" w:rsidRDefault="006B0618" w:rsidP="00A67858">
            <w:pPr>
              <w:pStyle w:val="mechtex"/>
              <w:spacing w:line="276" w:lineRule="auto"/>
              <w:ind w:right="256"/>
              <w:jc w:val="both"/>
              <w:rPr>
                <w:rFonts w:ascii="GHEA Grapalat" w:hAnsi="GHEA Grapalat"/>
                <w:b/>
              </w:rPr>
            </w:pPr>
            <w:r w:rsidRPr="0053423A">
              <w:rPr>
                <w:rFonts w:ascii="GHEA Grapalat" w:hAnsi="GHEA Grapalat"/>
                <w:b/>
                <w:lang w:val="hy-AM"/>
              </w:rPr>
              <w:t>2. Միջոցառ</w:t>
            </w:r>
            <w:r w:rsidRPr="0053423A">
              <w:rPr>
                <w:rFonts w:ascii="GHEA Grapalat" w:hAnsi="GHEA Grapalat"/>
                <w:b/>
              </w:rPr>
              <w:t>ումների</w:t>
            </w:r>
            <w:r w:rsidRPr="0053423A">
              <w:rPr>
                <w:rFonts w:ascii="GHEA Grapalat" w:hAnsi="GHEA Grapalat" w:cs="Arial Armenian"/>
                <w:b/>
                <w:lang w:val="hy-AM"/>
              </w:rPr>
              <w:t xml:space="preserve"> </w:t>
            </w:r>
            <w:r w:rsidRPr="0053423A">
              <w:rPr>
                <w:rFonts w:ascii="GHEA Grapalat" w:hAnsi="GHEA Grapalat" w:cs="Arial"/>
                <w:b/>
                <w:lang w:val="hy-AM"/>
              </w:rPr>
              <w:t>իրականացումից</w:t>
            </w:r>
            <w:r w:rsidRPr="0053423A">
              <w:rPr>
                <w:rFonts w:ascii="GHEA Grapalat" w:hAnsi="GHEA Grapalat" w:cs="Arial Armenian"/>
                <w:b/>
                <w:lang w:val="hy-AM"/>
              </w:rPr>
              <w:t xml:space="preserve"> </w:t>
            </w:r>
            <w:r w:rsidRPr="0053423A">
              <w:rPr>
                <w:rFonts w:ascii="GHEA Grapalat" w:hAnsi="GHEA Grapalat" w:cs="Arial"/>
                <w:b/>
                <w:lang w:val="hy-AM"/>
              </w:rPr>
              <w:t>ակնկալվող</w:t>
            </w:r>
            <w:r w:rsidRPr="0053423A">
              <w:rPr>
                <w:rFonts w:ascii="GHEA Grapalat" w:hAnsi="GHEA Grapalat" w:cs="Arial Armenian"/>
                <w:b/>
                <w:lang w:val="hy-AM"/>
              </w:rPr>
              <w:t xml:space="preserve"> </w:t>
            </w:r>
            <w:r w:rsidRPr="0053423A">
              <w:rPr>
                <w:rFonts w:ascii="GHEA Grapalat" w:hAnsi="GHEA Grapalat" w:cs="Arial"/>
                <w:b/>
                <w:lang w:val="hy-AM"/>
              </w:rPr>
              <w:t>արդյունքը</w:t>
            </w:r>
            <w:r w:rsidRPr="0053423A">
              <w:rPr>
                <w:rFonts w:ascii="GHEA Grapalat" w:hAnsi="GHEA Grapalat"/>
                <w:b/>
                <w:lang w:val="hy-AM"/>
              </w:rPr>
              <w:t xml:space="preserve"> </w:t>
            </w:r>
          </w:p>
          <w:p w:rsidR="006B0618" w:rsidRPr="0053423A" w:rsidRDefault="006B0618" w:rsidP="00A67858">
            <w:pPr>
              <w:pStyle w:val="mechtex"/>
              <w:spacing w:line="276" w:lineRule="auto"/>
              <w:ind w:right="256"/>
              <w:jc w:val="both"/>
              <w:rPr>
                <w:rFonts w:ascii="GHEA Grapalat" w:hAnsi="GHEA Grapalat"/>
                <w:b/>
              </w:rPr>
            </w:pPr>
            <w:r w:rsidRPr="0053423A">
              <w:rPr>
                <w:rFonts w:ascii="GHEA Grapalat" w:hAnsi="GHEA Grapalat" w:cs="Tahoma"/>
              </w:rPr>
              <w:t>Միջոցառման իրականացումից</w:t>
            </w:r>
            <w:r w:rsidRPr="0053423A">
              <w:rPr>
                <w:rFonts w:ascii="GHEA Grapalat" w:hAnsi="GHEA Grapalat" w:cs="Tahoma"/>
                <w:lang w:val="fr-FR"/>
              </w:rPr>
              <w:t xml:space="preserve"> </w:t>
            </w:r>
            <w:r w:rsidRPr="0053423A">
              <w:rPr>
                <w:rFonts w:ascii="GHEA Grapalat" w:hAnsi="GHEA Grapalat" w:cs="Tahoma"/>
              </w:rPr>
              <w:t>ակնկալվող</w:t>
            </w:r>
            <w:r w:rsidRPr="0053423A">
              <w:rPr>
                <w:rFonts w:ascii="GHEA Grapalat" w:hAnsi="GHEA Grapalat" w:cs="Tahoma"/>
                <w:lang w:val="fr-FR"/>
              </w:rPr>
              <w:t xml:space="preserve"> </w:t>
            </w:r>
            <w:r w:rsidRPr="0053423A">
              <w:rPr>
                <w:rFonts w:ascii="GHEA Grapalat" w:hAnsi="GHEA Grapalat" w:cs="Tahoma"/>
              </w:rPr>
              <w:t>արդյունքն</w:t>
            </w:r>
            <w:r w:rsidRPr="0053423A">
              <w:rPr>
                <w:rFonts w:ascii="GHEA Grapalat" w:hAnsi="GHEA Grapalat" w:cs="Tahoma"/>
                <w:lang w:val="fr-FR"/>
              </w:rPr>
              <w:t xml:space="preserve"> </w:t>
            </w:r>
            <w:r w:rsidRPr="0053423A">
              <w:rPr>
                <w:rFonts w:ascii="GHEA Grapalat" w:hAnsi="GHEA Grapalat" w:cs="Tahoma"/>
              </w:rPr>
              <w:t>է</w:t>
            </w:r>
            <w:r w:rsidRPr="0053423A">
              <w:rPr>
                <w:rFonts w:ascii="GHEA Grapalat" w:hAnsi="GHEA Grapalat" w:cs="Tahoma"/>
                <w:lang w:val="fr-FR"/>
              </w:rPr>
              <w:t>`</w:t>
            </w:r>
            <w:r w:rsidRPr="0053423A">
              <w:rPr>
                <w:rFonts w:ascii="GHEA Grapalat" w:hAnsi="GHEA Grapalat"/>
                <w:lang w:val="hy-AM"/>
              </w:rPr>
              <w:t xml:space="preserve"> Հայաստանը դարձնել </w:t>
            </w:r>
            <w:r w:rsidRPr="0053423A">
              <w:rPr>
                <w:rFonts w:ascii="GHEA Grapalat" w:hAnsi="GHEA Grapalat"/>
              </w:rPr>
              <w:t>աղետներին</w:t>
            </w:r>
            <w:r w:rsidRPr="0053423A">
              <w:rPr>
                <w:rFonts w:ascii="GHEA Grapalat" w:hAnsi="GHEA Grapalat"/>
                <w:lang w:val="fr-FR"/>
              </w:rPr>
              <w:t xml:space="preserve"> </w:t>
            </w:r>
            <w:r w:rsidRPr="0053423A">
              <w:rPr>
                <w:rFonts w:ascii="GHEA Grapalat" w:hAnsi="GHEA Grapalat"/>
                <w:lang w:val="hy-AM"/>
              </w:rPr>
              <w:t>դիմակայուն երկիր՝ նվազեցնելով աղետներից մարդկանց կյանքին</w:t>
            </w:r>
            <w:r w:rsidRPr="0053423A">
              <w:rPr>
                <w:rFonts w:ascii="GHEA Grapalat" w:hAnsi="GHEA Grapalat"/>
                <w:lang w:val="fr-FR"/>
              </w:rPr>
              <w:t xml:space="preserve"> </w:t>
            </w:r>
            <w:r w:rsidRPr="0053423A">
              <w:rPr>
                <w:rFonts w:ascii="GHEA Grapalat" w:hAnsi="GHEA Grapalat"/>
              </w:rPr>
              <w:t>և</w:t>
            </w:r>
            <w:r w:rsidRPr="0053423A">
              <w:rPr>
                <w:rFonts w:ascii="GHEA Grapalat" w:hAnsi="GHEA Grapalat"/>
                <w:lang w:val="fr-FR"/>
              </w:rPr>
              <w:t xml:space="preserve"> </w:t>
            </w:r>
            <w:r w:rsidRPr="0053423A">
              <w:rPr>
                <w:rFonts w:ascii="GHEA Grapalat" w:hAnsi="GHEA Grapalat"/>
              </w:rPr>
              <w:t>առողջությանը</w:t>
            </w:r>
            <w:r w:rsidRPr="0053423A">
              <w:rPr>
                <w:rFonts w:ascii="GHEA Grapalat" w:hAnsi="GHEA Grapalat"/>
                <w:lang w:val="hy-AM"/>
              </w:rPr>
              <w:t>, երկրի տնտեսությանը և համայնքներին սպառնացող կորուստներ</w:t>
            </w:r>
            <w:r w:rsidRPr="0053423A">
              <w:rPr>
                <w:rFonts w:ascii="GHEA Grapalat" w:hAnsi="GHEA Grapalat"/>
              </w:rPr>
              <w:t>ն</w:t>
            </w:r>
            <w:r w:rsidRPr="0053423A">
              <w:rPr>
                <w:rFonts w:ascii="GHEA Grapalat" w:hAnsi="GHEA Grapalat"/>
                <w:lang w:val="fr-FR"/>
              </w:rPr>
              <w:t xml:space="preserve"> </w:t>
            </w:r>
            <w:r w:rsidRPr="0053423A">
              <w:rPr>
                <w:rFonts w:ascii="GHEA Grapalat" w:hAnsi="GHEA Grapalat"/>
              </w:rPr>
              <w:t>ու</w:t>
            </w:r>
            <w:r w:rsidRPr="0053423A">
              <w:rPr>
                <w:rFonts w:ascii="GHEA Grapalat" w:hAnsi="GHEA Grapalat"/>
                <w:lang w:val="fr-FR"/>
              </w:rPr>
              <w:t xml:space="preserve"> </w:t>
            </w:r>
            <w:r w:rsidRPr="0053423A">
              <w:rPr>
                <w:rFonts w:ascii="GHEA Grapalat" w:hAnsi="GHEA Grapalat"/>
              </w:rPr>
              <w:t>վնասները</w:t>
            </w:r>
            <w:r w:rsidRPr="0053423A">
              <w:rPr>
                <w:rFonts w:ascii="GHEA Grapalat" w:hAnsi="GHEA Grapalat"/>
                <w:lang w:val="hy-AM"/>
              </w:rPr>
              <w:t xml:space="preserve">` ձևավորելով ամուր հիմքեր </w:t>
            </w:r>
            <w:r w:rsidRPr="0053423A">
              <w:rPr>
                <w:rFonts w:ascii="GHEA Grapalat" w:hAnsi="GHEA Grapalat"/>
              </w:rPr>
              <w:t>երկրի</w:t>
            </w:r>
            <w:r w:rsidRPr="0053423A">
              <w:rPr>
                <w:rFonts w:ascii="GHEA Grapalat" w:hAnsi="GHEA Grapalat"/>
                <w:lang w:val="fr-FR"/>
              </w:rPr>
              <w:t xml:space="preserve"> </w:t>
            </w:r>
            <w:r w:rsidRPr="0053423A">
              <w:rPr>
                <w:rFonts w:ascii="GHEA Grapalat" w:hAnsi="GHEA Grapalat"/>
                <w:lang w:val="hy-AM"/>
              </w:rPr>
              <w:t>կայուն զարգացման համար:</w:t>
            </w:r>
          </w:p>
        </w:tc>
      </w:tr>
      <w:tr w:rsidR="006B0618" w:rsidRPr="00DE2EFA" w:rsidTr="001F6D5D">
        <w:tc>
          <w:tcPr>
            <w:tcW w:w="691" w:type="dxa"/>
          </w:tcPr>
          <w:p w:rsidR="006B0618" w:rsidRPr="001F6D5D" w:rsidRDefault="00696743" w:rsidP="00A67858">
            <w:pPr>
              <w:spacing w:line="276" w:lineRule="auto"/>
              <w:rPr>
                <w:lang w:val="hy-AM"/>
              </w:rPr>
            </w:pPr>
            <w:r>
              <w:rPr>
                <w:lang w:val="hy-AM"/>
              </w:rPr>
              <w:t>81</w:t>
            </w:r>
          </w:p>
        </w:tc>
        <w:tc>
          <w:tcPr>
            <w:tcW w:w="10649" w:type="dxa"/>
          </w:tcPr>
          <w:p w:rsidR="006B0618" w:rsidRPr="0053423A" w:rsidRDefault="00696743" w:rsidP="00A67858">
            <w:pPr>
              <w:pStyle w:val="mechtex"/>
              <w:spacing w:line="276" w:lineRule="auto"/>
              <w:ind w:right="256"/>
              <w:rPr>
                <w:rFonts w:ascii="GHEA Grapalat" w:hAnsi="GHEA Grapalat" w:cs="Sylfaen"/>
                <w:b/>
                <w:i/>
                <w:lang w:val="hy-AM"/>
              </w:rPr>
            </w:pPr>
            <w:r>
              <w:rPr>
                <w:rFonts w:ascii="GHEA Grapalat" w:hAnsi="GHEA Grapalat" w:cs="Sylfaen"/>
                <w:b/>
                <w:i/>
                <w:lang w:val="hy-AM"/>
              </w:rPr>
              <w:t xml:space="preserve">81.1 </w:t>
            </w:r>
            <w:r w:rsidR="006B0618" w:rsidRPr="0053423A">
              <w:rPr>
                <w:rFonts w:ascii="GHEA Grapalat" w:hAnsi="GHEA Grapalat" w:cs="Sylfaen"/>
                <w:b/>
                <w:i/>
                <w:lang w:val="hy-AM"/>
              </w:rPr>
              <w:t>Առավել</w:t>
            </w:r>
            <w:r w:rsidR="006B0618" w:rsidRPr="0053423A">
              <w:rPr>
                <w:rFonts w:ascii="GHEA Grapalat" w:hAnsi="GHEA Grapalat" w:cs="Arial"/>
                <w:b/>
                <w:i/>
                <w:lang w:val="hy-AM"/>
              </w:rPr>
              <w:t xml:space="preserve"> </w:t>
            </w:r>
            <w:r w:rsidR="006B0618" w:rsidRPr="0053423A">
              <w:rPr>
                <w:rFonts w:ascii="GHEA Grapalat" w:hAnsi="GHEA Grapalat" w:cs="Sylfaen"/>
                <w:b/>
                <w:i/>
                <w:lang w:val="hy-AM"/>
              </w:rPr>
              <w:t>վտանգավոր</w:t>
            </w:r>
            <w:r w:rsidR="006B0618" w:rsidRPr="0053423A">
              <w:rPr>
                <w:rFonts w:ascii="GHEA Grapalat" w:hAnsi="GHEA Grapalat" w:cs="Arial"/>
                <w:b/>
                <w:i/>
                <w:lang w:val="hy-AM"/>
              </w:rPr>
              <w:t xml:space="preserve"> </w:t>
            </w:r>
            <w:r w:rsidR="006B0618" w:rsidRPr="0053423A">
              <w:rPr>
                <w:rFonts w:ascii="GHEA Grapalat" w:hAnsi="GHEA Grapalat" w:cs="Sylfaen"/>
                <w:b/>
                <w:i/>
                <w:lang w:val="hy-AM"/>
              </w:rPr>
              <w:t>սողանքային</w:t>
            </w:r>
            <w:r w:rsidR="006B0618" w:rsidRPr="0053423A">
              <w:rPr>
                <w:rFonts w:ascii="GHEA Grapalat" w:hAnsi="GHEA Grapalat" w:cs="Arial"/>
                <w:b/>
                <w:i/>
                <w:lang w:val="hy-AM"/>
              </w:rPr>
              <w:t xml:space="preserve"> </w:t>
            </w:r>
            <w:r w:rsidR="006B0618" w:rsidRPr="0053423A">
              <w:rPr>
                <w:rFonts w:ascii="GHEA Grapalat" w:hAnsi="GHEA Grapalat" w:cs="Sylfaen"/>
                <w:b/>
                <w:i/>
                <w:lang w:val="hy-AM"/>
              </w:rPr>
              <w:t>տեղամասերի</w:t>
            </w:r>
            <w:r w:rsidR="006B0618" w:rsidRPr="0053423A">
              <w:rPr>
                <w:rFonts w:ascii="GHEA Grapalat" w:hAnsi="GHEA Grapalat" w:cs="Arial"/>
                <w:b/>
                <w:i/>
                <w:lang w:val="hy-AM"/>
              </w:rPr>
              <w:t xml:space="preserve"> </w:t>
            </w:r>
            <w:r w:rsidR="006B0618" w:rsidRPr="0053423A">
              <w:rPr>
                <w:rFonts w:ascii="GHEA Grapalat" w:hAnsi="GHEA Grapalat" w:cs="Sylfaen"/>
                <w:b/>
                <w:i/>
                <w:lang w:val="hy-AM"/>
              </w:rPr>
              <w:t>պարբերական</w:t>
            </w:r>
          </w:p>
          <w:p w:rsidR="006B0618" w:rsidRPr="0026110E" w:rsidRDefault="006B0618" w:rsidP="00A67858">
            <w:pPr>
              <w:pStyle w:val="mechtex"/>
              <w:spacing w:line="276" w:lineRule="auto"/>
              <w:ind w:right="256"/>
              <w:rPr>
                <w:rFonts w:ascii="GHEA Grapalat" w:hAnsi="GHEA Grapalat"/>
                <w:b/>
                <w:i/>
                <w:lang w:val="hy-AM"/>
              </w:rPr>
            </w:pPr>
            <w:r w:rsidRPr="0053423A">
              <w:rPr>
                <w:rFonts w:ascii="GHEA Grapalat" w:hAnsi="GHEA Grapalat" w:cs="Arial"/>
                <w:b/>
                <w:i/>
                <w:lang w:val="hy-AM"/>
              </w:rPr>
              <w:t xml:space="preserve"> </w:t>
            </w:r>
            <w:r w:rsidRPr="0053423A">
              <w:rPr>
                <w:rFonts w:ascii="GHEA Grapalat" w:hAnsi="GHEA Grapalat" w:cs="Sylfaen"/>
                <w:b/>
                <w:i/>
                <w:lang w:val="hy-AM"/>
              </w:rPr>
              <w:t>դիտարկումների</w:t>
            </w:r>
            <w:r w:rsidRPr="0053423A">
              <w:rPr>
                <w:rFonts w:ascii="GHEA Grapalat" w:hAnsi="GHEA Grapalat" w:cs="Arial"/>
                <w:b/>
                <w:i/>
                <w:lang w:val="hy-AM"/>
              </w:rPr>
              <w:t xml:space="preserve"> </w:t>
            </w:r>
            <w:r w:rsidRPr="0053423A">
              <w:rPr>
                <w:rFonts w:ascii="GHEA Grapalat" w:hAnsi="GHEA Grapalat" w:cs="Sylfaen"/>
                <w:b/>
                <w:i/>
                <w:lang w:val="hy-AM"/>
              </w:rPr>
              <w:t>իրականացում</w:t>
            </w:r>
            <w:r w:rsidRPr="0026110E">
              <w:rPr>
                <w:rFonts w:ascii="GHEA Grapalat" w:hAnsi="GHEA Grapalat" w:cs="Sylfaen"/>
                <w:b/>
                <w:i/>
                <w:lang w:val="hy-AM"/>
              </w:rPr>
              <w:t xml:space="preserve">, առկա թվով </w:t>
            </w:r>
            <w:r w:rsidRPr="0026110E">
              <w:rPr>
                <w:rFonts w:ascii="GHEA Grapalat" w:hAnsi="GHEA Grapalat"/>
                <w:b/>
                <w:i/>
                <w:lang w:val="hy-AM"/>
              </w:rPr>
              <w:t>131 ակտիվ սողանքներից 14-ի գործիքային հետազոտություն</w:t>
            </w:r>
          </w:p>
          <w:p w:rsidR="006B0618" w:rsidRPr="0053423A" w:rsidRDefault="006B0618" w:rsidP="00A67858">
            <w:pPr>
              <w:pStyle w:val="mechtex"/>
              <w:spacing w:line="276" w:lineRule="auto"/>
              <w:ind w:right="-14"/>
              <w:jc w:val="both"/>
              <w:rPr>
                <w:rFonts w:ascii="GHEA Grapalat" w:hAnsi="GHEA Grapalat"/>
                <w:lang w:val="hy-AM"/>
              </w:rPr>
            </w:pPr>
          </w:p>
          <w:p w:rsidR="006B0618" w:rsidRPr="0053423A" w:rsidRDefault="006B0618" w:rsidP="00A67858">
            <w:pPr>
              <w:pStyle w:val="mechtex"/>
              <w:spacing w:line="276" w:lineRule="auto"/>
              <w:ind w:right="-14"/>
              <w:jc w:val="both"/>
              <w:rPr>
                <w:rFonts w:ascii="GHEA Grapalat" w:hAnsi="GHEA Grapalat" w:cs="Arial"/>
                <w:b/>
                <w:lang w:val="hy-AM"/>
              </w:rPr>
            </w:pPr>
            <w:r w:rsidRPr="0053423A">
              <w:rPr>
                <w:rFonts w:ascii="GHEA Grapalat" w:hAnsi="GHEA Grapalat" w:cs="Arial"/>
                <w:b/>
                <w:lang w:val="hy-AM"/>
              </w:rPr>
              <w:t>1</w:t>
            </w:r>
            <w:r w:rsidRPr="0053423A">
              <w:rPr>
                <w:rFonts w:ascii="Cambria Math" w:eastAsia="MS Mincho" w:hAnsi="Cambria Math" w:cs="Cambria Math"/>
                <w:b/>
                <w:lang w:val="hy-AM"/>
              </w:rPr>
              <w:t>․</w:t>
            </w:r>
            <w:r w:rsidRPr="0053423A">
              <w:rPr>
                <w:rFonts w:ascii="GHEA Grapalat" w:eastAsia="MS Mincho" w:hAnsi="GHEA Grapalat" w:cs="MS Mincho"/>
                <w:b/>
                <w:lang w:val="hy-AM"/>
              </w:rPr>
              <w:t xml:space="preserve"> </w:t>
            </w:r>
            <w:r w:rsidRPr="0053423A">
              <w:rPr>
                <w:rFonts w:ascii="GHEA Grapalat" w:hAnsi="GHEA Grapalat" w:cs="Arial"/>
                <w:b/>
                <w:lang w:val="hy-AM"/>
              </w:rPr>
              <w:t>Միջոցառման</w:t>
            </w:r>
            <w:r w:rsidRPr="0053423A">
              <w:rPr>
                <w:rFonts w:ascii="GHEA Grapalat" w:hAnsi="GHEA Grapalat" w:cs="Arial Armenian"/>
                <w:b/>
                <w:lang w:val="hy-AM"/>
              </w:rPr>
              <w:t xml:space="preserve"> </w:t>
            </w:r>
            <w:r w:rsidRPr="0053423A">
              <w:rPr>
                <w:rFonts w:ascii="GHEA Grapalat" w:hAnsi="GHEA Grapalat" w:cs="Arial"/>
                <w:b/>
                <w:lang w:val="hy-AM"/>
              </w:rPr>
              <w:t>իրակացման</w:t>
            </w:r>
            <w:r w:rsidRPr="0053423A">
              <w:rPr>
                <w:rFonts w:ascii="GHEA Grapalat" w:hAnsi="GHEA Grapalat" w:cs="Arial Armenian"/>
                <w:b/>
                <w:lang w:val="hy-AM"/>
              </w:rPr>
              <w:t xml:space="preserve"> </w:t>
            </w:r>
            <w:r w:rsidRPr="0053423A">
              <w:rPr>
                <w:rFonts w:ascii="GHEA Grapalat" w:hAnsi="GHEA Grapalat" w:cs="Arial"/>
                <w:b/>
                <w:lang w:val="hy-AM"/>
              </w:rPr>
              <w:t>անհրաժեշտությունը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նպատակը</w:t>
            </w:r>
          </w:p>
          <w:p w:rsidR="006B0618" w:rsidRPr="0053423A" w:rsidRDefault="006B0618" w:rsidP="00A67858">
            <w:pPr>
              <w:pStyle w:val="mechtex"/>
              <w:spacing w:line="276" w:lineRule="auto"/>
              <w:ind w:right="-14" w:firstLine="180"/>
              <w:jc w:val="both"/>
              <w:rPr>
                <w:rFonts w:ascii="GHEA Grapalat" w:hAnsi="GHEA Grapalat"/>
                <w:lang w:val="hy-AM"/>
              </w:rPr>
            </w:pPr>
            <w:r w:rsidRPr="0053423A">
              <w:rPr>
                <w:rFonts w:ascii="GHEA Grapalat" w:hAnsi="GHEA Grapalat"/>
                <w:lang w:val="hy-AM"/>
              </w:rPr>
              <w:t xml:space="preserve">  Հանրապետությունում սողանքային աղետի հետ կապված հիմնախնդրի կարգավորումն ունի ռազմավարական նշանակություն, պահանջում է կառավարության միջամտություն և վերահսկողություն` ապահովելու համար հանրապետության սողանքավտանգ տարածքներում գտնվող բնակավայրերի կայուն զարգացումը, ենթակառուցվածքների և կենսաապահովման օբյեկտների անխափան և անվտանգ շահագործումը` դրանով իսկ ապահովելով տնտեսության բնականոն գործառումը և սողանքների հետևանքով հասցվող վնասների նվազեցումը: Միջոցառման հիմք է հանդիսանում </w:t>
            </w:r>
            <w:r w:rsidRPr="0053423A">
              <w:rPr>
                <w:rFonts w:ascii="GHEA Grapalat" w:hAnsi="GHEA Grapalat" w:cs="Sylfaen"/>
                <w:lang w:val="de-DE"/>
              </w:rPr>
              <w:t xml:space="preserve"> </w:t>
            </w:r>
            <w:r w:rsidRPr="0053423A">
              <w:rPr>
                <w:rFonts w:ascii="GHEA Grapalat" w:hAnsi="GHEA Grapalat" w:cs="Miriam"/>
                <w:lang w:val="fr-FR"/>
              </w:rPr>
              <w:t>«</w:t>
            </w:r>
            <w:r w:rsidRPr="0053423A">
              <w:rPr>
                <w:rFonts w:ascii="GHEA Grapalat" w:hAnsi="GHEA Grapalat" w:cs="Miriam"/>
                <w:lang w:val="hy-AM"/>
              </w:rPr>
              <w:t xml:space="preserve">Արտակարգ իրավիճակներում բնակչության պաշտպանության </w:t>
            </w:r>
            <w:r w:rsidRPr="0053423A">
              <w:rPr>
                <w:rFonts w:ascii="GHEA Grapalat" w:hAnsi="GHEA Grapalat" w:cs="Miriam"/>
                <w:lang w:val="fr-FR"/>
              </w:rPr>
              <w:t xml:space="preserve"> մասին» </w:t>
            </w:r>
            <w:r w:rsidRPr="0053423A">
              <w:rPr>
                <w:rFonts w:ascii="GHEA Grapalat" w:hAnsi="GHEA Grapalat" w:cs="Miriam"/>
                <w:lang w:val="hy-AM"/>
              </w:rPr>
              <w:t xml:space="preserve">և </w:t>
            </w:r>
            <w:r w:rsidRPr="0053423A">
              <w:rPr>
                <w:rFonts w:ascii="GHEA Grapalat" w:hAnsi="GHEA Grapalat" w:cs="Sylfaen"/>
                <w:lang w:val="de-DE"/>
              </w:rPr>
              <w:t xml:space="preserve"> </w:t>
            </w:r>
            <w:r w:rsidRPr="0053423A">
              <w:rPr>
                <w:rFonts w:ascii="GHEA Grapalat" w:hAnsi="GHEA Grapalat" w:cs="Miriam"/>
                <w:lang w:val="fr-FR"/>
              </w:rPr>
              <w:t>«</w:t>
            </w:r>
            <w:r w:rsidRPr="0053423A">
              <w:rPr>
                <w:rFonts w:ascii="GHEA Grapalat" w:hAnsi="GHEA Grapalat" w:cs="Miriam"/>
                <w:lang w:val="hy-AM"/>
              </w:rPr>
              <w:t>Փրկարար ծառայության</w:t>
            </w:r>
            <w:r w:rsidRPr="0053423A">
              <w:rPr>
                <w:rFonts w:ascii="GHEA Grapalat" w:hAnsi="GHEA Grapalat" w:cs="Miriam"/>
                <w:lang w:val="fr-FR"/>
              </w:rPr>
              <w:t xml:space="preserve"> մասին» ՀՀ օրենք</w:t>
            </w:r>
            <w:r w:rsidRPr="0053423A">
              <w:rPr>
                <w:rFonts w:ascii="GHEA Grapalat" w:hAnsi="GHEA Grapalat" w:cs="Miriam"/>
                <w:lang w:val="hy-AM"/>
              </w:rPr>
              <w:t>ները։</w:t>
            </w:r>
          </w:p>
          <w:p w:rsidR="006B0618" w:rsidRPr="0053423A" w:rsidRDefault="006B0618" w:rsidP="00A67858">
            <w:pPr>
              <w:pStyle w:val="mechtex"/>
              <w:spacing w:line="276" w:lineRule="auto"/>
              <w:ind w:right="256" w:firstLine="180"/>
              <w:jc w:val="both"/>
              <w:rPr>
                <w:rFonts w:ascii="GHEA Grapalat" w:hAnsi="GHEA Grapalat" w:cs="Arial"/>
                <w:b/>
                <w:lang w:val="hy-AM"/>
              </w:rPr>
            </w:pPr>
            <w:r w:rsidRPr="0053423A">
              <w:rPr>
                <w:rFonts w:ascii="GHEA Grapalat" w:hAnsi="GHEA Grapalat" w:cs="Arial"/>
                <w:b/>
                <w:lang w:val="hy-AM"/>
              </w:rPr>
              <w:t>1</w:t>
            </w:r>
            <w:r w:rsidRPr="0053423A">
              <w:rPr>
                <w:rFonts w:ascii="Cambria Math" w:eastAsia="MS Mincho" w:hAnsi="Cambria Math" w:cs="Cambria Math"/>
                <w:b/>
                <w:lang w:val="hy-AM"/>
              </w:rPr>
              <w:t>․</w:t>
            </w:r>
            <w:r w:rsidRPr="0053423A">
              <w:rPr>
                <w:rFonts w:ascii="GHEA Grapalat" w:hAnsi="GHEA Grapalat" w:cs="Arial"/>
                <w:b/>
                <w:lang w:val="hy-AM"/>
              </w:rPr>
              <w:t>1 Կարգավորման</w:t>
            </w:r>
            <w:r w:rsidRPr="0053423A">
              <w:rPr>
                <w:rFonts w:ascii="GHEA Grapalat" w:hAnsi="GHEA Grapalat" w:cs="Arial Armenian"/>
                <w:b/>
                <w:lang w:val="hy-AM"/>
              </w:rPr>
              <w:t xml:space="preserve"> </w:t>
            </w:r>
            <w:r w:rsidRPr="0053423A">
              <w:rPr>
                <w:rFonts w:ascii="GHEA Grapalat" w:hAnsi="GHEA Grapalat" w:cs="Arial"/>
                <w:b/>
                <w:lang w:val="hy-AM"/>
              </w:rPr>
              <w:t>հարաբերությունների</w:t>
            </w:r>
            <w:r w:rsidRPr="0053423A">
              <w:rPr>
                <w:rFonts w:ascii="GHEA Grapalat" w:hAnsi="GHEA Grapalat" w:cs="Arial Armenian"/>
                <w:b/>
                <w:lang w:val="hy-AM"/>
              </w:rPr>
              <w:t xml:space="preserve"> </w:t>
            </w:r>
            <w:r w:rsidRPr="0053423A">
              <w:rPr>
                <w:rFonts w:ascii="GHEA Grapalat" w:hAnsi="GHEA Grapalat" w:cs="Arial"/>
                <w:b/>
                <w:lang w:val="hy-AM"/>
              </w:rPr>
              <w:t>ներկա</w:t>
            </w:r>
            <w:r w:rsidRPr="0053423A">
              <w:rPr>
                <w:rFonts w:ascii="GHEA Grapalat" w:hAnsi="GHEA Grapalat" w:cs="Arial Armenian"/>
                <w:b/>
                <w:lang w:val="hy-AM"/>
              </w:rPr>
              <w:t xml:space="preserve"> </w:t>
            </w:r>
            <w:r w:rsidRPr="0053423A">
              <w:rPr>
                <w:rFonts w:ascii="GHEA Grapalat" w:hAnsi="GHEA Grapalat" w:cs="Arial"/>
                <w:b/>
                <w:lang w:val="hy-AM"/>
              </w:rPr>
              <w:t>վիճակը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առկա</w:t>
            </w:r>
            <w:r w:rsidRPr="0053423A">
              <w:rPr>
                <w:rFonts w:ascii="GHEA Grapalat" w:hAnsi="GHEA Grapalat" w:cs="Arial Armenian"/>
                <w:b/>
                <w:lang w:val="hy-AM"/>
              </w:rPr>
              <w:t xml:space="preserve"> </w:t>
            </w:r>
            <w:r w:rsidRPr="0053423A">
              <w:rPr>
                <w:rFonts w:ascii="GHEA Grapalat" w:hAnsi="GHEA Grapalat" w:cs="Arial"/>
                <w:b/>
                <w:lang w:val="hy-AM"/>
              </w:rPr>
              <w:t>խնդիրները</w:t>
            </w:r>
          </w:p>
          <w:p w:rsidR="006B0618" w:rsidRPr="0053423A" w:rsidRDefault="006B0618" w:rsidP="00A67858">
            <w:pPr>
              <w:spacing w:line="276" w:lineRule="auto"/>
              <w:ind w:firstLine="375"/>
              <w:rPr>
                <w:lang w:val="hy-AM"/>
              </w:rPr>
            </w:pPr>
            <w:r w:rsidRPr="0053423A">
              <w:rPr>
                <w:lang w:val="hy-AM"/>
              </w:rPr>
              <w:t>Սողանքային աղետից պաշտպանությունը բարդ ինժեներատեխնիկական համալիր խնդիր է, որը պահանջում է մեծ ֆինանսական ներդրումներ: Ուստի խնդրի լուծումն ակնկալում է համալիր ու համակարգված մոտեցում, որի հիմքում պետք է դրված լինի սողանքային պրոցեսների մշտադիտարկման /մոնիտորինգ/, կանխատեսման և կանխարգելման սկզբունքը: Տնտեսության սահմանափակ ֆինանսական հնարավորությունները, անհրաժետ կադրերով և տեխնիկական միջոցներով համալրված մասնագիտական կազմակերպությունների բացակայությունը, եղածների սահմանափակ հնարավորությունները լուրջ խոչնդոտներ են սողանքային աղետի կառավարման գործընթացում։</w:t>
            </w:r>
          </w:p>
          <w:p w:rsidR="006B0618" w:rsidRPr="0053423A" w:rsidRDefault="006B0618" w:rsidP="00A67858">
            <w:pPr>
              <w:pStyle w:val="mechtex"/>
              <w:spacing w:line="276" w:lineRule="auto"/>
              <w:ind w:right="256"/>
              <w:jc w:val="both"/>
              <w:rPr>
                <w:rFonts w:ascii="GHEA Grapalat" w:hAnsi="GHEA Grapalat" w:cs="Arial"/>
                <w:b/>
                <w:lang w:val="hy-AM"/>
              </w:rPr>
            </w:pPr>
            <w:r w:rsidRPr="0053423A">
              <w:rPr>
                <w:rFonts w:ascii="GHEA Grapalat" w:hAnsi="GHEA Grapalat" w:cs="Arial"/>
                <w:b/>
                <w:lang w:val="hy-AM"/>
              </w:rPr>
              <w:t>1</w:t>
            </w:r>
            <w:r w:rsidRPr="0053423A">
              <w:rPr>
                <w:rFonts w:ascii="Cambria Math" w:eastAsia="MS Mincho" w:hAnsi="Cambria Math" w:cs="Cambria Math"/>
                <w:b/>
                <w:lang w:val="hy-AM"/>
              </w:rPr>
              <w:t>․</w:t>
            </w:r>
            <w:r w:rsidRPr="0053423A">
              <w:rPr>
                <w:rFonts w:ascii="GHEA Grapalat" w:hAnsi="GHEA Grapalat" w:cs="Arial"/>
                <w:b/>
                <w:lang w:val="hy-AM"/>
              </w:rPr>
              <w:t>2 Առկա</w:t>
            </w:r>
            <w:r w:rsidRPr="0053423A">
              <w:rPr>
                <w:rFonts w:ascii="GHEA Grapalat" w:hAnsi="GHEA Grapalat" w:cs="Arial Armenian"/>
                <w:b/>
                <w:lang w:val="hy-AM"/>
              </w:rPr>
              <w:t xml:space="preserve"> </w:t>
            </w:r>
            <w:r w:rsidRPr="0053423A">
              <w:rPr>
                <w:rFonts w:ascii="GHEA Grapalat" w:hAnsi="GHEA Grapalat" w:cs="Arial"/>
                <w:b/>
                <w:lang w:val="hy-AM"/>
              </w:rPr>
              <w:t>խնդիրների</w:t>
            </w:r>
            <w:r w:rsidRPr="0053423A">
              <w:rPr>
                <w:rFonts w:ascii="GHEA Grapalat" w:hAnsi="GHEA Grapalat" w:cs="Arial Armenian"/>
                <w:b/>
                <w:lang w:val="hy-AM"/>
              </w:rPr>
              <w:t xml:space="preserve"> </w:t>
            </w:r>
            <w:r w:rsidRPr="0053423A">
              <w:rPr>
                <w:rFonts w:ascii="GHEA Grapalat" w:hAnsi="GHEA Grapalat" w:cs="Arial"/>
                <w:b/>
                <w:lang w:val="hy-AM"/>
              </w:rPr>
              <w:t>առաջարկվող</w:t>
            </w:r>
            <w:r w:rsidRPr="0053423A">
              <w:rPr>
                <w:rFonts w:ascii="GHEA Grapalat" w:hAnsi="GHEA Grapalat" w:cs="Arial Armenian"/>
                <w:b/>
                <w:lang w:val="hy-AM"/>
              </w:rPr>
              <w:t xml:space="preserve"> </w:t>
            </w:r>
            <w:r w:rsidRPr="0053423A">
              <w:rPr>
                <w:rFonts w:ascii="GHEA Grapalat" w:hAnsi="GHEA Grapalat" w:cs="Arial"/>
                <w:b/>
                <w:lang w:val="hy-AM"/>
              </w:rPr>
              <w:t>լուծումները</w:t>
            </w:r>
          </w:p>
          <w:p w:rsidR="006B0618" w:rsidRPr="0053423A" w:rsidRDefault="006B0618" w:rsidP="00A67858">
            <w:pPr>
              <w:pStyle w:val="mechtex"/>
              <w:spacing w:line="276" w:lineRule="auto"/>
              <w:ind w:right="256"/>
              <w:jc w:val="both"/>
              <w:rPr>
                <w:rFonts w:ascii="GHEA Grapalat" w:hAnsi="GHEA Grapalat" w:cs="Arial"/>
                <w:b/>
                <w:lang w:val="hy-AM"/>
              </w:rPr>
            </w:pPr>
            <w:r w:rsidRPr="0053423A">
              <w:rPr>
                <w:rFonts w:ascii="GHEA Grapalat" w:hAnsi="GHEA Grapalat" w:cs="Sylfaen"/>
                <w:lang w:val="hy-AM"/>
              </w:rPr>
              <w:t xml:space="preserve"> Առավել</w:t>
            </w:r>
            <w:r w:rsidRPr="0053423A">
              <w:rPr>
                <w:rFonts w:ascii="GHEA Grapalat" w:hAnsi="GHEA Grapalat" w:cs="Arial"/>
                <w:lang w:val="hy-AM"/>
              </w:rPr>
              <w:t xml:space="preserve"> </w:t>
            </w:r>
            <w:r w:rsidRPr="0053423A">
              <w:rPr>
                <w:rFonts w:ascii="GHEA Grapalat" w:hAnsi="GHEA Grapalat" w:cs="Sylfaen"/>
                <w:lang w:val="hy-AM"/>
              </w:rPr>
              <w:t>վտանգավոր</w:t>
            </w:r>
            <w:r w:rsidRPr="0053423A">
              <w:rPr>
                <w:rFonts w:ascii="GHEA Grapalat" w:hAnsi="GHEA Grapalat" w:cs="Arial"/>
                <w:lang w:val="hy-AM"/>
              </w:rPr>
              <w:t xml:space="preserve"> </w:t>
            </w:r>
            <w:r w:rsidRPr="0053423A">
              <w:rPr>
                <w:rFonts w:ascii="GHEA Grapalat" w:hAnsi="GHEA Grapalat" w:cs="Sylfaen"/>
                <w:lang w:val="hy-AM"/>
              </w:rPr>
              <w:t>սողանքային</w:t>
            </w:r>
            <w:r w:rsidRPr="0053423A">
              <w:rPr>
                <w:rFonts w:ascii="GHEA Grapalat" w:hAnsi="GHEA Grapalat" w:cs="Arial"/>
                <w:lang w:val="hy-AM"/>
              </w:rPr>
              <w:t xml:space="preserve"> </w:t>
            </w:r>
            <w:r w:rsidRPr="0053423A">
              <w:rPr>
                <w:rFonts w:ascii="GHEA Grapalat" w:hAnsi="GHEA Grapalat" w:cs="Sylfaen"/>
                <w:lang w:val="hy-AM"/>
              </w:rPr>
              <w:t>տեղամասերի</w:t>
            </w:r>
            <w:r w:rsidRPr="0053423A">
              <w:rPr>
                <w:rFonts w:ascii="GHEA Grapalat" w:hAnsi="GHEA Grapalat" w:cs="Arial"/>
                <w:lang w:val="hy-AM"/>
              </w:rPr>
              <w:t xml:space="preserve"> </w:t>
            </w:r>
            <w:r w:rsidRPr="0053423A">
              <w:rPr>
                <w:rFonts w:ascii="GHEA Grapalat" w:hAnsi="GHEA Grapalat" w:cs="Sylfaen"/>
                <w:lang w:val="hy-AM"/>
              </w:rPr>
              <w:t>պարբերական</w:t>
            </w:r>
            <w:r w:rsidRPr="0053423A">
              <w:rPr>
                <w:rFonts w:ascii="GHEA Grapalat" w:hAnsi="GHEA Grapalat" w:cs="Arial"/>
                <w:lang w:val="hy-AM"/>
              </w:rPr>
              <w:t xml:space="preserve"> </w:t>
            </w:r>
            <w:r w:rsidRPr="0053423A">
              <w:rPr>
                <w:rFonts w:ascii="GHEA Grapalat" w:hAnsi="GHEA Grapalat" w:cs="Sylfaen"/>
                <w:lang w:val="hy-AM"/>
              </w:rPr>
              <w:t xml:space="preserve">դիտարկումները մշտական հսկողություն կապահովեն սողանքային </w:t>
            </w:r>
            <w:r w:rsidRPr="0053423A">
              <w:rPr>
                <w:rFonts w:ascii="GHEA Grapalat" w:hAnsi="GHEA Grapalat"/>
                <w:color w:val="000000"/>
                <w:lang w:val="hy-AM"/>
              </w:rPr>
              <w:t>սպառնալիքի կամ ակտիվացման նկատմամբ։ Թվով 14 սողանքների գործիքային ուսումնասիրությունների արդյունքում կիրականացվի սողանքային երևույթների կանխարգելում:</w:t>
            </w:r>
          </w:p>
          <w:p w:rsidR="006B0618" w:rsidRPr="0053423A" w:rsidRDefault="006B0618" w:rsidP="00A67858">
            <w:pPr>
              <w:spacing w:line="276" w:lineRule="auto"/>
              <w:rPr>
                <w:rFonts w:eastAsia="MS Mincho" w:cs="MS Mincho"/>
                <w:lang w:val="hy-AM"/>
              </w:rPr>
            </w:pPr>
            <w:r w:rsidRPr="0053423A">
              <w:rPr>
                <w:b/>
                <w:lang w:val="hy-AM"/>
              </w:rPr>
              <w:t>2</w:t>
            </w:r>
            <w:r w:rsidRPr="0053423A">
              <w:rPr>
                <w:rFonts w:ascii="Cambria Math" w:eastAsia="MS Mincho" w:hAnsi="Cambria Math" w:cs="Cambria Math"/>
                <w:b/>
                <w:lang w:val="hy-AM"/>
              </w:rPr>
              <w:t>․</w:t>
            </w:r>
            <w:r w:rsidRPr="0053423A">
              <w:rPr>
                <w:rFonts w:cs="Arial"/>
                <w:b/>
                <w:lang w:val="hy-AM"/>
              </w:rPr>
              <w:t xml:space="preserve"> Միջոցառման</w:t>
            </w:r>
            <w:r w:rsidRPr="0053423A">
              <w:rPr>
                <w:rFonts w:cs="Arial Armenian"/>
                <w:b/>
                <w:lang w:val="hy-AM"/>
              </w:rPr>
              <w:t xml:space="preserve"> </w:t>
            </w:r>
            <w:r w:rsidRPr="0053423A">
              <w:rPr>
                <w:rFonts w:cs="Arial"/>
                <w:b/>
                <w:lang w:val="hy-AM"/>
              </w:rPr>
              <w:t>իրականացումից</w:t>
            </w:r>
            <w:r w:rsidRPr="0053423A">
              <w:rPr>
                <w:rFonts w:cs="Arial Armenian"/>
                <w:b/>
                <w:lang w:val="hy-AM"/>
              </w:rPr>
              <w:t xml:space="preserve"> </w:t>
            </w:r>
            <w:r w:rsidRPr="0053423A">
              <w:rPr>
                <w:rFonts w:cs="Arial"/>
                <w:b/>
                <w:lang w:val="hy-AM"/>
              </w:rPr>
              <w:t>ակնկալվող</w:t>
            </w:r>
            <w:r w:rsidRPr="0053423A">
              <w:rPr>
                <w:rFonts w:cs="Arial Armenian"/>
                <w:b/>
                <w:lang w:val="hy-AM"/>
              </w:rPr>
              <w:t xml:space="preserve"> </w:t>
            </w:r>
            <w:r w:rsidRPr="0053423A">
              <w:rPr>
                <w:rFonts w:cs="Arial"/>
                <w:b/>
                <w:lang w:val="hy-AM"/>
              </w:rPr>
              <w:t>արդյունքը</w:t>
            </w:r>
            <w:r w:rsidRPr="0053423A">
              <w:rPr>
                <w:rFonts w:eastAsia="MS Mincho" w:cs="MS Mincho"/>
                <w:lang w:val="hy-AM"/>
              </w:rPr>
              <w:t xml:space="preserve"> </w:t>
            </w:r>
          </w:p>
          <w:p w:rsidR="006B0618" w:rsidRPr="0053423A" w:rsidRDefault="006B0618" w:rsidP="00A67858">
            <w:pPr>
              <w:pStyle w:val="mechtex"/>
              <w:spacing w:line="276" w:lineRule="auto"/>
              <w:ind w:right="256"/>
              <w:jc w:val="both"/>
              <w:rPr>
                <w:rFonts w:ascii="GHEA Grapalat" w:hAnsi="GHEA Grapalat"/>
                <w:b/>
                <w:i/>
                <w:lang w:val="hy-AM"/>
              </w:rPr>
            </w:pPr>
            <w:r w:rsidRPr="0053423A">
              <w:rPr>
                <w:rFonts w:ascii="GHEA Grapalat" w:hAnsi="GHEA Grapalat" w:cs="Sylfaen"/>
                <w:lang w:val="hy-AM"/>
              </w:rPr>
              <w:t>Միջոցառման իրականացումը հնարավորություն կտա օպերատիվ</w:t>
            </w:r>
            <w:r w:rsidRPr="0053423A">
              <w:rPr>
                <w:rFonts w:ascii="GHEA Grapalat" w:hAnsi="GHEA Grapalat" w:cs="Arial"/>
                <w:lang w:val="hy-AM"/>
              </w:rPr>
              <w:t xml:space="preserve"> </w:t>
            </w:r>
            <w:r w:rsidRPr="0053423A">
              <w:rPr>
                <w:rFonts w:ascii="GHEA Grapalat" w:hAnsi="GHEA Grapalat" w:cs="Sylfaen"/>
                <w:lang w:val="hy-AM"/>
              </w:rPr>
              <w:t>արձագանքելու, մշակել</w:t>
            </w:r>
            <w:r w:rsidRPr="0053423A">
              <w:rPr>
                <w:rFonts w:ascii="GHEA Grapalat" w:hAnsi="GHEA Grapalat" w:cs="Arial"/>
                <w:lang w:val="hy-AM"/>
              </w:rPr>
              <w:t xml:space="preserve">, </w:t>
            </w:r>
            <w:r w:rsidRPr="0053423A">
              <w:rPr>
                <w:rFonts w:ascii="GHEA Grapalat" w:hAnsi="GHEA Grapalat" w:cs="Sylfaen"/>
                <w:lang w:val="hy-AM"/>
              </w:rPr>
              <w:t>կազմակերպել</w:t>
            </w:r>
            <w:r w:rsidRPr="0053423A">
              <w:rPr>
                <w:rFonts w:ascii="GHEA Grapalat" w:hAnsi="GHEA Grapalat" w:cs="Arial"/>
                <w:lang w:val="hy-AM"/>
              </w:rPr>
              <w:t xml:space="preserve"> </w:t>
            </w:r>
            <w:r w:rsidRPr="0053423A">
              <w:rPr>
                <w:rFonts w:ascii="GHEA Grapalat" w:hAnsi="GHEA Grapalat" w:cs="Sylfaen"/>
                <w:lang w:val="hy-AM"/>
              </w:rPr>
              <w:t>և</w:t>
            </w:r>
            <w:r w:rsidRPr="0053423A">
              <w:rPr>
                <w:rFonts w:ascii="GHEA Grapalat" w:hAnsi="GHEA Grapalat" w:cs="Arial"/>
                <w:lang w:val="hy-AM"/>
              </w:rPr>
              <w:t xml:space="preserve"> </w:t>
            </w:r>
            <w:r w:rsidRPr="0053423A">
              <w:rPr>
                <w:rFonts w:ascii="GHEA Grapalat" w:hAnsi="GHEA Grapalat" w:cs="Sylfaen"/>
                <w:lang w:val="hy-AM"/>
              </w:rPr>
              <w:t>իրականացնել կանխարգելիչ</w:t>
            </w:r>
            <w:r w:rsidRPr="0053423A">
              <w:rPr>
                <w:rFonts w:ascii="GHEA Grapalat" w:hAnsi="GHEA Grapalat" w:cs="Arial"/>
                <w:lang w:val="hy-AM"/>
              </w:rPr>
              <w:t xml:space="preserve"> </w:t>
            </w:r>
            <w:r w:rsidRPr="0053423A">
              <w:rPr>
                <w:rFonts w:ascii="GHEA Grapalat" w:hAnsi="GHEA Grapalat" w:cs="Sylfaen"/>
                <w:lang w:val="hy-AM"/>
              </w:rPr>
              <w:t>միջոցառումներ, բարձրացնել համայնքների դիմակայունությունը</w:t>
            </w:r>
            <w:r w:rsidRPr="0053423A">
              <w:rPr>
                <w:rFonts w:ascii="GHEA Grapalat" w:hAnsi="GHEA Grapalat" w:cs="Arial"/>
                <w:lang w:val="hy-AM"/>
              </w:rPr>
              <w:t>:</w:t>
            </w:r>
          </w:p>
        </w:tc>
      </w:tr>
      <w:tr w:rsidR="006B0618" w:rsidRPr="00DE2EFA" w:rsidTr="001F6D5D">
        <w:tc>
          <w:tcPr>
            <w:tcW w:w="691" w:type="dxa"/>
          </w:tcPr>
          <w:p w:rsidR="006B0618" w:rsidRPr="001F6D5D" w:rsidRDefault="001F6D5D" w:rsidP="00696743">
            <w:pPr>
              <w:spacing w:line="276" w:lineRule="auto"/>
              <w:rPr>
                <w:lang w:val="hy-AM"/>
              </w:rPr>
            </w:pPr>
            <w:r>
              <w:rPr>
                <w:lang w:val="hy-AM"/>
              </w:rPr>
              <w:t>8</w:t>
            </w:r>
            <w:r w:rsidR="00696743">
              <w:rPr>
                <w:lang w:val="hy-AM"/>
              </w:rPr>
              <w:t>2</w:t>
            </w:r>
          </w:p>
        </w:tc>
        <w:tc>
          <w:tcPr>
            <w:tcW w:w="10649" w:type="dxa"/>
          </w:tcPr>
          <w:p w:rsidR="006B0618" w:rsidRPr="0026110E" w:rsidRDefault="00696743" w:rsidP="00A67858">
            <w:pPr>
              <w:spacing w:line="276" w:lineRule="auto"/>
              <w:jc w:val="center"/>
              <w:rPr>
                <w:rFonts w:cs="Sylfaen"/>
                <w:b/>
                <w:i/>
                <w:lang w:val="hy-AM"/>
              </w:rPr>
            </w:pPr>
            <w:r>
              <w:rPr>
                <w:b/>
                <w:i/>
                <w:lang w:val="hy-AM"/>
              </w:rPr>
              <w:t xml:space="preserve">82.1 </w:t>
            </w:r>
            <w:r w:rsidR="006B0618" w:rsidRPr="0026110E">
              <w:rPr>
                <w:b/>
                <w:i/>
                <w:lang w:val="hy-AM"/>
              </w:rPr>
              <w:t xml:space="preserve">«Աղետների ռիսկի կառավարման ազգային ռազմավարության իրականացման գործընթացի մոնիթորինգի և գնահատման էլեկտրոնային համակարգի ներդրման մասին» </w:t>
            </w:r>
            <w:r w:rsidR="006B0618" w:rsidRPr="0026110E">
              <w:rPr>
                <w:rFonts w:cs="Sylfaen"/>
                <w:b/>
                <w:i/>
                <w:lang w:val="hy-AM"/>
              </w:rPr>
              <w:t>ՀՀ կառա</w:t>
            </w:r>
            <w:r w:rsidR="006B0618" w:rsidRPr="0026110E">
              <w:rPr>
                <w:rFonts w:cs="Sylfaen"/>
                <w:b/>
                <w:i/>
                <w:lang w:val="hy-AM"/>
              </w:rPr>
              <w:softHyphen/>
              <w:t>վա</w:t>
            </w:r>
            <w:r w:rsidR="006B0618" w:rsidRPr="0026110E">
              <w:rPr>
                <w:rFonts w:cs="Sylfaen"/>
                <w:b/>
                <w:i/>
                <w:lang w:val="hy-AM"/>
              </w:rPr>
              <w:softHyphen/>
              <w:t>րու</w:t>
            </w:r>
            <w:r w:rsidR="006B0618" w:rsidRPr="0026110E">
              <w:rPr>
                <w:rFonts w:cs="Sylfaen"/>
                <w:b/>
                <w:i/>
                <w:lang w:val="hy-AM"/>
              </w:rPr>
              <w:softHyphen/>
              <w:t>թյան որոշման նա</w:t>
            </w:r>
            <w:r w:rsidR="006B0618" w:rsidRPr="0026110E">
              <w:rPr>
                <w:rFonts w:cs="Sylfaen"/>
                <w:b/>
                <w:i/>
                <w:lang w:val="hy-AM"/>
              </w:rPr>
              <w:softHyphen/>
              <w:t xml:space="preserve">խագիծը </w:t>
            </w:r>
            <w:r w:rsidR="006B0618" w:rsidRPr="0026110E">
              <w:rPr>
                <w:b/>
                <w:i/>
                <w:lang w:val="hy-AM"/>
              </w:rPr>
              <w:t>ՀՀ վարչապետի աշխատակազմ ներկայացնելը</w:t>
            </w:r>
          </w:p>
          <w:p w:rsidR="006B0618" w:rsidRPr="00696743" w:rsidRDefault="00696743" w:rsidP="00A67858">
            <w:pPr>
              <w:spacing w:line="276" w:lineRule="auto"/>
              <w:jc w:val="center"/>
              <w:rPr>
                <w:rFonts w:cs="Sylfaen"/>
                <w:b/>
                <w:i/>
                <w:lang w:val="hy-AM"/>
              </w:rPr>
            </w:pPr>
            <w:r>
              <w:rPr>
                <w:rFonts w:cs="Sylfaen"/>
                <w:b/>
                <w:i/>
                <w:lang w:val="hy-AM"/>
              </w:rPr>
              <w:t>82</w:t>
            </w:r>
            <w:r w:rsidR="006B0618" w:rsidRPr="00696743">
              <w:rPr>
                <w:rFonts w:cs="Sylfaen"/>
                <w:b/>
                <w:i/>
                <w:lang w:val="hy-AM"/>
              </w:rPr>
              <w:t>.2 Մոնիթորինգի համակարգի փորձարկում, ուսուցում, ներդրում</w:t>
            </w:r>
          </w:p>
          <w:p w:rsidR="006B0618" w:rsidRPr="0053423A" w:rsidRDefault="006B0618" w:rsidP="00A67858">
            <w:pPr>
              <w:pStyle w:val="mechtex"/>
              <w:numPr>
                <w:ilvl w:val="0"/>
                <w:numId w:val="86"/>
              </w:numPr>
              <w:spacing w:line="276" w:lineRule="auto"/>
              <w:ind w:right="256"/>
              <w:jc w:val="both"/>
              <w:rPr>
                <w:rFonts w:ascii="GHEA Grapalat" w:hAnsi="GHEA Grapalat" w:cs="Arial"/>
                <w:b/>
                <w:lang w:val="hy-AM"/>
              </w:rPr>
            </w:pPr>
            <w:r w:rsidRPr="0053423A">
              <w:rPr>
                <w:rFonts w:ascii="GHEA Grapalat" w:hAnsi="GHEA Grapalat"/>
                <w:b/>
                <w:lang w:val="hy-AM"/>
              </w:rPr>
              <w:t>Միջոցառ</w:t>
            </w:r>
            <w:r w:rsidRPr="00696743">
              <w:rPr>
                <w:rFonts w:ascii="GHEA Grapalat" w:hAnsi="GHEA Grapalat"/>
                <w:b/>
                <w:lang w:val="hy-AM"/>
              </w:rPr>
              <w:t>ումների</w:t>
            </w:r>
            <w:r w:rsidRPr="0053423A">
              <w:rPr>
                <w:rFonts w:ascii="GHEA Grapalat" w:hAnsi="GHEA Grapalat" w:cs="Arial Armenian"/>
                <w:b/>
                <w:lang w:val="hy-AM"/>
              </w:rPr>
              <w:t xml:space="preserve"> </w:t>
            </w:r>
            <w:r w:rsidRPr="0053423A">
              <w:rPr>
                <w:rFonts w:ascii="GHEA Grapalat" w:hAnsi="GHEA Grapalat" w:cs="Arial"/>
                <w:b/>
                <w:lang w:val="hy-AM"/>
              </w:rPr>
              <w:t>իրակացման</w:t>
            </w:r>
            <w:r w:rsidRPr="0053423A">
              <w:rPr>
                <w:rFonts w:ascii="GHEA Grapalat" w:hAnsi="GHEA Grapalat" w:cs="Arial Armenian"/>
                <w:b/>
                <w:lang w:val="hy-AM"/>
              </w:rPr>
              <w:t xml:space="preserve"> </w:t>
            </w:r>
            <w:r w:rsidRPr="0053423A">
              <w:rPr>
                <w:rFonts w:ascii="GHEA Grapalat" w:hAnsi="GHEA Grapalat" w:cs="Arial"/>
                <w:b/>
                <w:lang w:val="hy-AM"/>
              </w:rPr>
              <w:t>անհրաժեշտությունը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նպատակը</w:t>
            </w:r>
          </w:p>
          <w:p w:rsidR="006B0618" w:rsidRPr="0053423A" w:rsidRDefault="006B0618" w:rsidP="00A67858">
            <w:pPr>
              <w:pStyle w:val="NormalWeb"/>
              <w:spacing w:before="0" w:beforeAutospacing="0" w:after="0" w:afterAutospacing="0" w:line="276" w:lineRule="auto"/>
              <w:jc w:val="both"/>
              <w:rPr>
                <w:rFonts w:ascii="GHEA Grapalat" w:hAnsi="GHEA Grapalat"/>
                <w:sz w:val="20"/>
                <w:szCs w:val="20"/>
                <w:lang w:val="hy-AM"/>
              </w:rPr>
            </w:pPr>
            <w:r w:rsidRPr="0053423A">
              <w:rPr>
                <w:rFonts w:ascii="GHEA Grapalat" w:hAnsi="GHEA Grapalat" w:cs="Sylfaen"/>
                <w:sz w:val="20"/>
                <w:szCs w:val="20"/>
                <w:lang w:val="hy-AM"/>
              </w:rPr>
              <w:t xml:space="preserve">      Միջոցառման իրականացման անհրաժեշտությունը բխում է</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ՀՀ</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Նախագահի</w:t>
            </w:r>
            <w:r w:rsidRPr="0053423A">
              <w:rPr>
                <w:rFonts w:ascii="GHEA Grapalat" w:hAnsi="GHEA Grapalat"/>
                <w:sz w:val="20"/>
                <w:szCs w:val="20"/>
                <w:lang w:val="hy-AM"/>
              </w:rPr>
              <w:t xml:space="preserve"> 2007.</w:t>
            </w:r>
            <w:r w:rsidRPr="0053423A">
              <w:rPr>
                <w:rFonts w:ascii="GHEA Grapalat" w:hAnsi="GHEA Grapalat" w:cs="Sylfaen"/>
                <w:sz w:val="20"/>
                <w:szCs w:val="20"/>
                <w:lang w:val="hy-AM"/>
              </w:rPr>
              <w:t>թ</w:t>
            </w:r>
            <w:r w:rsidRPr="0053423A">
              <w:rPr>
                <w:rFonts w:ascii="GHEA Grapalat" w:hAnsi="GHEA Grapalat"/>
                <w:sz w:val="20"/>
                <w:szCs w:val="20"/>
                <w:lang w:val="hy-AM"/>
              </w:rPr>
              <w:t xml:space="preserve"> </w:t>
            </w:r>
            <w:r w:rsidRPr="0053423A">
              <w:rPr>
                <w:rFonts w:ascii="GHEA Grapalat" w:hAnsi="GHEA Grapalat" w:cs="Sylfaen"/>
                <w:sz w:val="20"/>
                <w:szCs w:val="20"/>
                <w:lang w:val="hy-AM"/>
              </w:rPr>
              <w:t>փետրվարի</w:t>
            </w:r>
            <w:r w:rsidRPr="0053423A">
              <w:rPr>
                <w:rFonts w:ascii="GHEA Grapalat" w:hAnsi="GHEA Grapalat"/>
                <w:sz w:val="20"/>
                <w:szCs w:val="20"/>
                <w:lang w:val="hy-AM"/>
              </w:rPr>
              <w:t xml:space="preserve"> 7-</w:t>
            </w:r>
            <w:r w:rsidRPr="0053423A">
              <w:rPr>
                <w:rFonts w:ascii="GHEA Grapalat" w:hAnsi="GHEA Grapalat" w:cs="Sylfaen"/>
                <w:sz w:val="20"/>
                <w:szCs w:val="20"/>
                <w:lang w:val="hy-AM"/>
              </w:rPr>
              <w:t>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ՆՀ</w:t>
            </w:r>
            <w:r w:rsidRPr="0053423A">
              <w:rPr>
                <w:rFonts w:ascii="GHEA Grapalat" w:hAnsi="GHEA Grapalat"/>
                <w:sz w:val="20"/>
                <w:szCs w:val="20"/>
                <w:lang w:val="hy-AM"/>
              </w:rPr>
              <w:t>-37-</w:t>
            </w:r>
            <w:r w:rsidRPr="0053423A">
              <w:rPr>
                <w:rFonts w:ascii="GHEA Grapalat" w:hAnsi="GHEA Grapalat" w:cs="Sylfaen"/>
                <w:sz w:val="20"/>
                <w:szCs w:val="20"/>
                <w:lang w:val="hy-AM"/>
              </w:rPr>
              <w:t>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հրամանագրով</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հաստատված</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ՀՀ</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ազգային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անվտանգության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ռազմավարության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Բնական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և</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տեխնածին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բնույթի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արտակարգ</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իրավիճակների՝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ժամանակակից</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մոնիտորինգով</w:t>
            </w:r>
            <w:r w:rsidRPr="0053423A">
              <w:rPr>
                <w:rFonts w:ascii="GHEA Grapalat" w:hAnsi="GHEA Grapalat"/>
                <w:sz w:val="20"/>
                <w:szCs w:val="20"/>
                <w:lang w:val="hy-AM"/>
              </w:rPr>
              <w:t xml:space="preserve"> </w:t>
            </w:r>
            <w:r w:rsidRPr="0053423A">
              <w:rPr>
                <w:rFonts w:ascii="GHEA Grapalat" w:hAnsi="GHEA Grapalat" w:cs="Sylfaen"/>
                <w:sz w:val="20"/>
                <w:szCs w:val="20"/>
                <w:lang w:val="hy-AM"/>
              </w:rPr>
              <w:t>և</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կանխարգելմամբ</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զբաղվող</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միջազգային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կառույցներում</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ներգրավումը</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բնական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և</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տեխնածին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վտանգների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հուսալի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կանխատեսումը</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կանխարգելումն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ու</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չեզոքացումը</w:t>
            </w:r>
            <w:r w:rsidRPr="0053423A">
              <w:rPr>
                <w:rFonts w:ascii="GHEA Grapalat" w:hAnsi="GHEA Grapalat"/>
                <w:sz w:val="20"/>
                <w:szCs w:val="20"/>
                <w:lang w:val="hy-AM"/>
              </w:rPr>
              <w:t xml:space="preserve">, </w:t>
            </w:r>
            <w:r w:rsidRPr="0053423A">
              <w:rPr>
                <w:rFonts w:ascii="GHEA Grapalat" w:hAnsi="GHEA Grapalat" w:cs="Sylfaen"/>
                <w:sz w:val="20"/>
                <w:szCs w:val="20"/>
                <w:lang w:val="hy-AM"/>
              </w:rPr>
              <w:t>քաղաքաշինական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համակարգերի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անվտանգության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հուսալիության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և</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կայունության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ապահովում</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կետը</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Աղետների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ռիսկի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նվազեցման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Սենդայի</w:t>
            </w:r>
            <w:r w:rsidRPr="0053423A">
              <w:rPr>
                <w:rFonts w:ascii="GHEA Grapalat" w:hAnsi="GHEA Grapalat"/>
                <w:sz w:val="20"/>
                <w:szCs w:val="20"/>
                <w:lang w:val="hy-AM"/>
              </w:rPr>
              <w:t xml:space="preserve"> 2015-2030 </w:t>
            </w:r>
            <w:r w:rsidRPr="0053423A">
              <w:rPr>
                <w:rFonts w:ascii="GHEA Grapalat" w:hAnsi="GHEA Grapalat" w:cs="Sylfaen"/>
                <w:sz w:val="20"/>
                <w:szCs w:val="20"/>
                <w:lang w:val="hy-AM"/>
              </w:rPr>
              <w:t>թվականների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գործողությունների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ծրագիրը</w:t>
            </w:r>
            <w:r w:rsidRPr="0053423A">
              <w:rPr>
                <w:rFonts w:ascii="GHEA Grapalat" w:hAnsi="GHEA Grapalat"/>
                <w:sz w:val="20"/>
                <w:szCs w:val="20"/>
                <w:lang w:val="hy-AM"/>
              </w:rPr>
              <w:t xml:space="preserve"> </w:t>
            </w:r>
            <w:r w:rsidRPr="0053423A">
              <w:rPr>
                <w:rFonts w:ascii="GHEA Grapalat" w:hAnsi="GHEA Grapalat" w:cs="Sylfaen"/>
                <w:sz w:val="20"/>
                <w:szCs w:val="20"/>
                <w:lang w:val="hy-AM"/>
              </w:rPr>
              <w:t>և</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Կայուն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զարգացման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համաշխահային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նպատակները</w:t>
            </w:r>
            <w:r w:rsidRPr="0053423A">
              <w:rPr>
                <w:rFonts w:ascii="GHEA Grapalat" w:hAnsi="GHEA Grapalat"/>
                <w:sz w:val="20"/>
                <w:szCs w:val="20"/>
                <w:lang w:val="hy-AM"/>
              </w:rPr>
              <w:t>, 2015-2016</w:t>
            </w:r>
            <w:r w:rsidRPr="0053423A">
              <w:rPr>
                <w:rFonts w:ascii="GHEA Grapalat" w:hAnsi="GHEA Grapalat" w:cs="Sylfaen"/>
                <w:sz w:val="20"/>
                <w:szCs w:val="20"/>
                <w:lang w:val="hy-AM"/>
              </w:rPr>
              <w:t>թթ</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ընթացքում</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ՀՀ</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արտակարգ</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իրավիճակների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նախարարության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առաջնորդությամբ</w:t>
            </w:r>
            <w:r w:rsidRPr="0053423A">
              <w:rPr>
                <w:rFonts w:ascii="GHEA Grapalat" w:hAnsi="GHEA Grapalat"/>
                <w:sz w:val="20"/>
                <w:szCs w:val="20"/>
                <w:lang w:val="hy-AM"/>
              </w:rPr>
              <w:t xml:space="preserve"> </w:t>
            </w:r>
            <w:r w:rsidRPr="0053423A">
              <w:rPr>
                <w:rFonts w:ascii="GHEA Grapalat" w:hAnsi="GHEA Grapalat" w:cs="Sylfaen"/>
                <w:sz w:val="20"/>
                <w:szCs w:val="20"/>
                <w:lang w:val="hy-AM"/>
              </w:rPr>
              <w:t>և</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Աղետների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ռիսկի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նվազեցման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ազգային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պլատֆորմ</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հիմնադրամի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գործընկերների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աջակցությամբ</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մշակվեց</w:t>
            </w:r>
            <w:r w:rsidRPr="0053423A">
              <w:rPr>
                <w:rFonts w:ascii="GHEA Grapalat" w:hAnsi="GHEA Grapalat"/>
                <w:sz w:val="20"/>
                <w:szCs w:val="20"/>
                <w:lang w:val="hy-AM"/>
              </w:rPr>
              <w:t xml:space="preserve"> </w:t>
            </w:r>
            <w:r w:rsidRPr="0053423A">
              <w:rPr>
                <w:rFonts w:ascii="GHEA Grapalat" w:hAnsi="GHEA Grapalat" w:cs="Sylfaen"/>
                <w:sz w:val="20"/>
                <w:szCs w:val="20"/>
                <w:lang w:val="hy-AM"/>
              </w:rPr>
              <w:t>և</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ՀՀ</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Կառավարության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հաստատմանը</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ներկայացվեց</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Հայաստանի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աղետների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ռիսկի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կառավարման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ԱՌԿ</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ազգային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ռազմավարությունը</w:t>
            </w:r>
            <w:r w:rsidRPr="0053423A">
              <w:rPr>
                <w:rFonts w:ascii="GHEA Grapalat" w:hAnsi="GHEA Grapalat"/>
                <w:sz w:val="20"/>
                <w:szCs w:val="20"/>
                <w:lang w:val="hy-AM"/>
              </w:rPr>
              <w:t xml:space="preserve">: 2017 </w:t>
            </w:r>
            <w:r w:rsidRPr="0053423A">
              <w:rPr>
                <w:rFonts w:ascii="GHEA Grapalat" w:hAnsi="GHEA Grapalat" w:cs="Sylfaen"/>
                <w:sz w:val="20"/>
                <w:szCs w:val="20"/>
                <w:lang w:val="hy-AM"/>
              </w:rPr>
              <w:t>թ</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ապրիլին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ԱՌԿ</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ռազմավարությունն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արժանացավ</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ՀՀ</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կառավարության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հավանությանը</w:t>
            </w:r>
            <w:r w:rsidRPr="0053423A">
              <w:rPr>
                <w:rFonts w:ascii="GHEA Grapalat" w:hAnsi="GHEA Grapalat"/>
                <w:sz w:val="20"/>
                <w:szCs w:val="20"/>
                <w:lang w:val="hy-AM"/>
              </w:rPr>
              <w:t xml:space="preserve">: </w:t>
            </w:r>
          </w:p>
          <w:p w:rsidR="006B0618" w:rsidRPr="0053423A" w:rsidRDefault="006B0618" w:rsidP="00A67858">
            <w:pPr>
              <w:pStyle w:val="mechtex"/>
              <w:numPr>
                <w:ilvl w:val="1"/>
                <w:numId w:val="86"/>
              </w:numPr>
              <w:spacing w:line="276" w:lineRule="auto"/>
              <w:ind w:right="256"/>
              <w:jc w:val="both"/>
              <w:rPr>
                <w:rFonts w:ascii="GHEA Grapalat" w:hAnsi="GHEA Grapalat" w:cs="Arial"/>
                <w:b/>
                <w:lang w:val="hy-AM"/>
              </w:rPr>
            </w:pPr>
            <w:r w:rsidRPr="0053423A">
              <w:rPr>
                <w:rFonts w:ascii="GHEA Grapalat" w:hAnsi="GHEA Grapalat" w:cs="Arial"/>
                <w:b/>
                <w:lang w:val="hy-AM"/>
              </w:rPr>
              <w:t>Կարգավորման</w:t>
            </w:r>
            <w:r w:rsidRPr="0053423A">
              <w:rPr>
                <w:rFonts w:ascii="GHEA Grapalat" w:hAnsi="GHEA Grapalat" w:cs="Arial Armenian"/>
                <w:b/>
                <w:lang w:val="hy-AM"/>
              </w:rPr>
              <w:t xml:space="preserve"> </w:t>
            </w:r>
            <w:r w:rsidRPr="0053423A">
              <w:rPr>
                <w:rFonts w:ascii="GHEA Grapalat" w:hAnsi="GHEA Grapalat" w:cs="Arial"/>
                <w:b/>
                <w:lang w:val="hy-AM"/>
              </w:rPr>
              <w:t>հարաբերությունների</w:t>
            </w:r>
            <w:r w:rsidRPr="0053423A">
              <w:rPr>
                <w:rFonts w:ascii="GHEA Grapalat" w:hAnsi="GHEA Grapalat" w:cs="Arial Armenian"/>
                <w:b/>
                <w:lang w:val="hy-AM"/>
              </w:rPr>
              <w:t xml:space="preserve"> </w:t>
            </w:r>
            <w:r w:rsidRPr="0053423A">
              <w:rPr>
                <w:rFonts w:ascii="GHEA Grapalat" w:hAnsi="GHEA Grapalat" w:cs="Arial"/>
                <w:b/>
                <w:lang w:val="hy-AM"/>
              </w:rPr>
              <w:t>ներկա</w:t>
            </w:r>
            <w:r w:rsidRPr="0053423A">
              <w:rPr>
                <w:rFonts w:ascii="GHEA Grapalat" w:hAnsi="GHEA Grapalat" w:cs="Arial Armenian"/>
                <w:b/>
                <w:lang w:val="hy-AM"/>
              </w:rPr>
              <w:t xml:space="preserve"> </w:t>
            </w:r>
            <w:r w:rsidRPr="0053423A">
              <w:rPr>
                <w:rFonts w:ascii="GHEA Grapalat" w:hAnsi="GHEA Grapalat" w:cs="Arial"/>
                <w:b/>
                <w:lang w:val="hy-AM"/>
              </w:rPr>
              <w:t>վիճակը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առկա</w:t>
            </w:r>
            <w:r w:rsidRPr="0053423A">
              <w:rPr>
                <w:rFonts w:ascii="GHEA Grapalat" w:hAnsi="GHEA Grapalat" w:cs="Arial Armenian"/>
                <w:b/>
                <w:lang w:val="hy-AM"/>
              </w:rPr>
              <w:t xml:space="preserve"> </w:t>
            </w:r>
            <w:r w:rsidRPr="0053423A">
              <w:rPr>
                <w:rFonts w:ascii="GHEA Grapalat" w:hAnsi="GHEA Grapalat" w:cs="Arial"/>
                <w:b/>
                <w:lang w:val="hy-AM"/>
              </w:rPr>
              <w:t>խնդիրները</w:t>
            </w:r>
          </w:p>
          <w:p w:rsidR="006B0618" w:rsidRPr="0053423A" w:rsidRDefault="006B0618" w:rsidP="00A67858">
            <w:pPr>
              <w:pStyle w:val="NormalWeb"/>
              <w:spacing w:before="0" w:beforeAutospacing="0" w:after="0" w:afterAutospacing="0" w:line="276" w:lineRule="auto"/>
              <w:jc w:val="both"/>
              <w:rPr>
                <w:rFonts w:ascii="GHEA Grapalat" w:hAnsi="GHEA Grapalat"/>
                <w:sz w:val="20"/>
                <w:szCs w:val="20"/>
                <w:lang w:val="hy-AM"/>
              </w:rPr>
            </w:pPr>
            <w:r w:rsidRPr="0053423A">
              <w:rPr>
                <w:rFonts w:ascii="GHEA Grapalat" w:hAnsi="GHEA Grapalat"/>
                <w:sz w:val="20"/>
                <w:szCs w:val="20"/>
                <w:lang w:val="hy-AM"/>
              </w:rPr>
              <w:t xml:space="preserve">       Ռազմավարության գործընթացի մոնիթորինգի և գնահատման համար «Աղետների ռիսկի նվազեցման ազգային պլատֆորմ» հիմնադրամի ներքո, Հայաստանի Հանրապետության արտակարգ իրավիճակների նախարարության կողմից ստեղծվում են մոնիթորինգի և գնահատման աշխատանքային խմբեր:</w:t>
            </w:r>
          </w:p>
          <w:p w:rsidR="006B0618" w:rsidRPr="0053423A" w:rsidRDefault="006B0618" w:rsidP="00A67858">
            <w:pPr>
              <w:pStyle w:val="NormalWeb"/>
              <w:spacing w:before="0" w:beforeAutospacing="0" w:after="0" w:afterAutospacing="0" w:line="276" w:lineRule="auto"/>
              <w:jc w:val="both"/>
              <w:rPr>
                <w:rFonts w:ascii="GHEA Grapalat" w:hAnsi="GHEA Grapalat"/>
                <w:sz w:val="20"/>
                <w:szCs w:val="20"/>
                <w:lang w:val="hy-AM"/>
              </w:rPr>
            </w:pPr>
            <w:r w:rsidRPr="0053423A">
              <w:rPr>
                <w:rFonts w:ascii="GHEA Grapalat" w:hAnsi="GHEA Grapalat"/>
                <w:sz w:val="20"/>
                <w:szCs w:val="20"/>
                <w:lang w:val="hy-AM"/>
              </w:rPr>
              <w:t xml:space="preserve"> </w:t>
            </w:r>
            <w:r w:rsidRPr="0053423A">
              <w:rPr>
                <w:rFonts w:ascii="GHEA Grapalat" w:hAnsi="GHEA Grapalat" w:cs="Sylfaen"/>
                <w:sz w:val="20"/>
                <w:szCs w:val="20"/>
                <w:lang w:val="hy-AM"/>
              </w:rPr>
              <w:t>Հաջորդ</w:t>
            </w:r>
            <w:r w:rsidRPr="0053423A">
              <w:rPr>
                <w:rFonts w:ascii="GHEA Grapalat" w:hAnsi="GHEA Grapalat"/>
                <w:sz w:val="20"/>
                <w:szCs w:val="20"/>
                <w:lang w:val="hy-AM"/>
              </w:rPr>
              <w:t xml:space="preserve"> </w:t>
            </w:r>
            <w:r w:rsidRPr="0053423A">
              <w:rPr>
                <w:rFonts w:ascii="GHEA Grapalat" w:hAnsi="GHEA Grapalat" w:cs="Sylfaen"/>
                <w:sz w:val="20"/>
                <w:szCs w:val="20"/>
                <w:lang w:val="hy-AM"/>
              </w:rPr>
              <w:t>քայլով</w:t>
            </w:r>
            <w:r w:rsidRPr="0053423A">
              <w:rPr>
                <w:rFonts w:ascii="GHEA Grapalat" w:hAnsi="GHEA Grapalat"/>
                <w:sz w:val="20"/>
                <w:szCs w:val="20"/>
                <w:lang w:val="hy-AM"/>
              </w:rPr>
              <w:t>, 2018</w:t>
            </w:r>
            <w:r w:rsidRPr="0053423A">
              <w:rPr>
                <w:rFonts w:ascii="GHEA Grapalat" w:hAnsi="GHEA Grapalat" w:cs="Sylfaen"/>
                <w:sz w:val="20"/>
                <w:szCs w:val="20"/>
                <w:lang w:val="hy-AM"/>
              </w:rPr>
              <w:t>թ</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ընթացքում</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սույն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ռազմավարությունը</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մշակող</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թիմը</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ձեռնամուխ</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եղավ</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ԱՌԿ</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ազգային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ռազմավարության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իրականացման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գործողությունների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մոնիտորինգային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ցուցանիշների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մշակմանը</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Մոնիտորինգային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ցուցանիշների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համակարգի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նպատակն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է</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ԱՌԿ</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ազգային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ռազմավարության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իրականացման գործողությունների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իրավիճակային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ընթացիկ</w:t>
            </w:r>
            <w:r w:rsidRPr="0053423A">
              <w:rPr>
                <w:rFonts w:ascii="GHEA Grapalat" w:hAnsi="GHEA Grapalat"/>
                <w:sz w:val="20"/>
                <w:szCs w:val="20"/>
                <w:lang w:val="hy-AM"/>
              </w:rPr>
              <w:t xml:space="preserve"> </w:t>
            </w:r>
            <w:r w:rsidRPr="0053423A">
              <w:rPr>
                <w:rFonts w:ascii="GHEA Grapalat" w:hAnsi="GHEA Grapalat" w:cs="Sylfaen"/>
                <w:sz w:val="20"/>
                <w:szCs w:val="20"/>
                <w:lang w:val="hy-AM"/>
              </w:rPr>
              <w:t>և</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շարունակական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ուսումնասիրություն, վերլուծություն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ու</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արդյունքների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արձանագրման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ապահովումը</w:t>
            </w:r>
            <w:r w:rsidRPr="0053423A">
              <w:rPr>
                <w:rFonts w:ascii="GHEA Grapalat" w:hAnsi="GHEA Grapalat"/>
                <w:sz w:val="20"/>
                <w:szCs w:val="20"/>
                <w:lang w:val="hy-AM"/>
              </w:rPr>
              <w:t>:</w:t>
            </w:r>
          </w:p>
          <w:p w:rsidR="006B0618" w:rsidRPr="0053423A" w:rsidRDefault="006B0618" w:rsidP="00A67858">
            <w:pPr>
              <w:pStyle w:val="mechtex"/>
              <w:numPr>
                <w:ilvl w:val="1"/>
                <w:numId w:val="86"/>
              </w:numPr>
              <w:spacing w:line="276" w:lineRule="auto"/>
              <w:ind w:right="256"/>
              <w:jc w:val="both"/>
              <w:rPr>
                <w:rFonts w:ascii="GHEA Grapalat" w:hAnsi="GHEA Grapalat" w:cs="Arial"/>
                <w:b/>
              </w:rPr>
            </w:pPr>
            <w:r w:rsidRPr="0053423A">
              <w:rPr>
                <w:rFonts w:ascii="GHEA Grapalat" w:hAnsi="GHEA Grapalat" w:cs="Arial"/>
                <w:b/>
              </w:rPr>
              <w:t>Ա</w:t>
            </w:r>
            <w:r w:rsidRPr="0053423A">
              <w:rPr>
                <w:rFonts w:ascii="GHEA Grapalat" w:hAnsi="GHEA Grapalat" w:cs="Arial"/>
                <w:b/>
                <w:lang w:val="hy-AM"/>
              </w:rPr>
              <w:t>ռկա</w:t>
            </w:r>
            <w:r w:rsidRPr="0053423A">
              <w:rPr>
                <w:rFonts w:ascii="GHEA Grapalat" w:hAnsi="GHEA Grapalat" w:cs="Arial Armenian"/>
                <w:b/>
                <w:lang w:val="hy-AM"/>
              </w:rPr>
              <w:t xml:space="preserve"> </w:t>
            </w:r>
            <w:r w:rsidRPr="0053423A">
              <w:rPr>
                <w:rFonts w:ascii="GHEA Grapalat" w:hAnsi="GHEA Grapalat" w:cs="Arial"/>
                <w:b/>
                <w:lang w:val="hy-AM"/>
              </w:rPr>
              <w:t>խնդիրների</w:t>
            </w:r>
            <w:r w:rsidRPr="0053423A">
              <w:rPr>
                <w:rFonts w:ascii="GHEA Grapalat" w:hAnsi="GHEA Grapalat" w:cs="Arial Armenian"/>
                <w:b/>
                <w:lang w:val="hy-AM"/>
              </w:rPr>
              <w:t xml:space="preserve"> </w:t>
            </w:r>
            <w:r w:rsidRPr="0053423A">
              <w:rPr>
                <w:rFonts w:ascii="GHEA Grapalat" w:hAnsi="GHEA Grapalat" w:cs="Arial"/>
                <w:b/>
                <w:lang w:val="hy-AM"/>
              </w:rPr>
              <w:t>առաջարկվող</w:t>
            </w:r>
            <w:r w:rsidRPr="0053423A">
              <w:rPr>
                <w:rFonts w:ascii="GHEA Grapalat" w:hAnsi="GHEA Grapalat" w:cs="Arial Armenian"/>
                <w:b/>
                <w:lang w:val="hy-AM"/>
              </w:rPr>
              <w:t xml:space="preserve"> </w:t>
            </w:r>
            <w:r w:rsidRPr="0053423A">
              <w:rPr>
                <w:rFonts w:ascii="GHEA Grapalat" w:hAnsi="GHEA Grapalat" w:cs="Arial"/>
                <w:b/>
                <w:lang w:val="hy-AM"/>
              </w:rPr>
              <w:t>լուծումները</w:t>
            </w:r>
          </w:p>
          <w:p w:rsidR="006B0618" w:rsidRPr="0053423A" w:rsidRDefault="006B0618" w:rsidP="00A67858">
            <w:pPr>
              <w:pStyle w:val="NormalWeb"/>
              <w:spacing w:before="0" w:beforeAutospacing="0" w:after="0" w:afterAutospacing="0" w:line="276" w:lineRule="auto"/>
              <w:jc w:val="both"/>
              <w:rPr>
                <w:rFonts w:ascii="GHEA Grapalat" w:hAnsi="GHEA Grapalat"/>
                <w:sz w:val="20"/>
                <w:szCs w:val="20"/>
                <w:lang w:val="ru-RU"/>
              </w:rPr>
            </w:pPr>
            <w:r w:rsidRPr="0053423A">
              <w:rPr>
                <w:rFonts w:ascii="GHEA Grapalat" w:hAnsi="GHEA Grapalat" w:cs="Sylfaen"/>
                <w:sz w:val="20"/>
                <w:szCs w:val="20"/>
                <w:lang w:val="ru-RU"/>
              </w:rPr>
              <w:t xml:space="preserve">         </w:t>
            </w:r>
            <w:r w:rsidRPr="0053423A">
              <w:rPr>
                <w:rFonts w:ascii="GHEA Grapalat" w:hAnsi="GHEA Grapalat" w:cs="Sylfaen"/>
                <w:sz w:val="20"/>
                <w:szCs w:val="20"/>
              </w:rPr>
              <w:t>Երրորդ</w:t>
            </w:r>
            <w:r w:rsidRPr="0053423A">
              <w:rPr>
                <w:rFonts w:ascii="GHEA Grapalat" w:hAnsi="GHEA Grapalat"/>
                <w:sz w:val="20"/>
                <w:szCs w:val="20"/>
                <w:lang w:val="ru-RU"/>
              </w:rPr>
              <w:t xml:space="preserve"> </w:t>
            </w:r>
            <w:r w:rsidRPr="0053423A">
              <w:rPr>
                <w:rFonts w:ascii="GHEA Grapalat" w:hAnsi="GHEA Grapalat" w:cs="Sylfaen"/>
                <w:sz w:val="20"/>
                <w:szCs w:val="20"/>
              </w:rPr>
              <w:t>քայլով</w:t>
            </w:r>
            <w:r w:rsidRPr="0053423A">
              <w:rPr>
                <w:rFonts w:ascii="GHEA Grapalat" w:hAnsi="GHEA Grapalat"/>
                <w:sz w:val="20"/>
                <w:szCs w:val="20"/>
                <w:lang w:val="ru-RU"/>
              </w:rPr>
              <w:t xml:space="preserve"> 2018-2019</w:t>
            </w:r>
            <w:r w:rsidRPr="0053423A">
              <w:rPr>
                <w:rFonts w:ascii="GHEA Grapalat" w:hAnsi="GHEA Grapalat" w:cs="Sylfaen"/>
                <w:sz w:val="20"/>
                <w:szCs w:val="20"/>
              </w:rPr>
              <w:t>թթ</w:t>
            </w:r>
            <w:r w:rsidRPr="0053423A">
              <w:rPr>
                <w:rFonts w:ascii="GHEA Grapalat" w:hAnsi="GHEA Grapalat"/>
                <w:sz w:val="20"/>
                <w:szCs w:val="20"/>
                <w:lang w:val="ru-RU"/>
              </w:rPr>
              <w:t xml:space="preserve">. </w:t>
            </w:r>
            <w:r w:rsidRPr="0053423A">
              <w:rPr>
                <w:rFonts w:ascii="GHEA Grapalat" w:hAnsi="GHEA Grapalat" w:cs="Sylfaen"/>
                <w:sz w:val="20"/>
                <w:szCs w:val="20"/>
              </w:rPr>
              <w:t>ընթացքում</w:t>
            </w:r>
            <w:r w:rsidRPr="0053423A">
              <w:rPr>
                <w:rFonts w:ascii="GHEA Grapalat" w:hAnsi="GHEA Grapalat"/>
                <w:sz w:val="20"/>
                <w:szCs w:val="20"/>
                <w:lang w:val="ru-RU"/>
              </w:rPr>
              <w:t xml:space="preserve"> </w:t>
            </w:r>
            <w:r w:rsidRPr="0053423A">
              <w:rPr>
                <w:rFonts w:ascii="GHEA Grapalat" w:hAnsi="GHEA Grapalat" w:cs="Sylfaen"/>
                <w:sz w:val="20"/>
                <w:szCs w:val="20"/>
              </w:rPr>
              <w:t>ԱՌԿ</w:t>
            </w:r>
            <w:r w:rsidRPr="0053423A">
              <w:rPr>
                <w:rFonts w:ascii="GHEA Grapalat" w:hAnsi="GHEA Grapalat"/>
                <w:sz w:val="20"/>
                <w:szCs w:val="20"/>
                <w:lang w:val="ru-RU"/>
              </w:rPr>
              <w:t xml:space="preserve"> </w:t>
            </w:r>
            <w:r w:rsidRPr="0053423A">
              <w:rPr>
                <w:rFonts w:ascii="GHEA Grapalat" w:hAnsi="GHEA Grapalat" w:cs="Sylfaen"/>
                <w:sz w:val="20"/>
                <w:szCs w:val="20"/>
              </w:rPr>
              <w:t>ազգային</w:t>
            </w:r>
            <w:r w:rsidRPr="0053423A">
              <w:rPr>
                <w:rFonts w:ascii="GHEA Grapalat" w:hAnsi="GHEA Grapalat"/>
                <w:sz w:val="20"/>
                <w:szCs w:val="20"/>
                <w:lang w:val="ru-RU"/>
              </w:rPr>
              <w:t xml:space="preserve"> </w:t>
            </w:r>
            <w:r w:rsidRPr="0053423A">
              <w:rPr>
                <w:rFonts w:ascii="GHEA Grapalat" w:hAnsi="GHEA Grapalat" w:cs="Sylfaen"/>
                <w:sz w:val="20"/>
                <w:szCs w:val="20"/>
              </w:rPr>
              <w:t>ռազմավարության</w:t>
            </w:r>
            <w:r w:rsidRPr="0053423A">
              <w:rPr>
                <w:rFonts w:ascii="GHEA Grapalat" w:hAnsi="GHEA Grapalat"/>
                <w:sz w:val="20"/>
                <w:szCs w:val="20"/>
                <w:lang w:val="ru-RU"/>
              </w:rPr>
              <w:t xml:space="preserve"> </w:t>
            </w:r>
            <w:r w:rsidRPr="0053423A">
              <w:rPr>
                <w:rFonts w:ascii="GHEA Grapalat" w:hAnsi="GHEA Grapalat" w:cs="Sylfaen"/>
                <w:sz w:val="20"/>
                <w:szCs w:val="20"/>
              </w:rPr>
              <w:t>իրականացման</w:t>
            </w:r>
            <w:r w:rsidRPr="0053423A">
              <w:rPr>
                <w:rFonts w:ascii="GHEA Grapalat" w:hAnsi="GHEA Grapalat"/>
                <w:sz w:val="20"/>
                <w:szCs w:val="20"/>
                <w:lang w:val="ru-RU"/>
              </w:rPr>
              <w:t xml:space="preserve"> </w:t>
            </w:r>
            <w:r w:rsidRPr="0053423A">
              <w:rPr>
                <w:rFonts w:ascii="GHEA Grapalat" w:hAnsi="GHEA Grapalat" w:cs="Sylfaen"/>
                <w:sz w:val="20"/>
                <w:szCs w:val="20"/>
              </w:rPr>
              <w:t>իրավիճակային</w:t>
            </w:r>
            <w:r w:rsidRPr="0053423A">
              <w:rPr>
                <w:rFonts w:ascii="GHEA Grapalat" w:hAnsi="GHEA Grapalat"/>
                <w:sz w:val="20"/>
                <w:szCs w:val="20"/>
                <w:lang w:val="ru-RU"/>
              </w:rPr>
              <w:t xml:space="preserve">, </w:t>
            </w:r>
            <w:r w:rsidRPr="0053423A">
              <w:rPr>
                <w:rFonts w:ascii="GHEA Grapalat" w:hAnsi="GHEA Grapalat" w:cs="Sylfaen"/>
                <w:sz w:val="20"/>
                <w:szCs w:val="20"/>
              </w:rPr>
              <w:t>ընթացիկ</w:t>
            </w:r>
            <w:r w:rsidRPr="0053423A">
              <w:rPr>
                <w:rFonts w:ascii="GHEA Grapalat" w:hAnsi="GHEA Grapalat"/>
                <w:sz w:val="20"/>
                <w:szCs w:val="20"/>
                <w:lang w:val="ru-RU"/>
              </w:rPr>
              <w:t xml:space="preserve"> </w:t>
            </w:r>
            <w:r w:rsidRPr="0053423A">
              <w:rPr>
                <w:rFonts w:ascii="GHEA Grapalat" w:hAnsi="GHEA Grapalat" w:cs="Sylfaen"/>
                <w:sz w:val="20"/>
                <w:szCs w:val="20"/>
              </w:rPr>
              <w:t>և</w:t>
            </w:r>
            <w:r w:rsidRPr="0053423A">
              <w:rPr>
                <w:rFonts w:ascii="GHEA Grapalat" w:hAnsi="GHEA Grapalat"/>
                <w:sz w:val="20"/>
                <w:szCs w:val="20"/>
                <w:lang w:val="ru-RU"/>
              </w:rPr>
              <w:t xml:space="preserve"> </w:t>
            </w:r>
            <w:r w:rsidRPr="0053423A">
              <w:rPr>
                <w:rFonts w:ascii="GHEA Grapalat" w:hAnsi="GHEA Grapalat" w:cs="Sylfaen"/>
                <w:sz w:val="20"/>
                <w:szCs w:val="20"/>
              </w:rPr>
              <w:t>շարունակական</w:t>
            </w:r>
            <w:r w:rsidRPr="0053423A">
              <w:rPr>
                <w:rFonts w:ascii="GHEA Grapalat" w:hAnsi="GHEA Grapalat"/>
                <w:sz w:val="20"/>
                <w:szCs w:val="20"/>
                <w:lang w:val="ru-RU"/>
              </w:rPr>
              <w:t xml:space="preserve"> </w:t>
            </w:r>
            <w:r w:rsidRPr="0053423A">
              <w:rPr>
                <w:rFonts w:ascii="GHEA Grapalat" w:hAnsi="GHEA Grapalat" w:cs="Sylfaen"/>
                <w:sz w:val="20"/>
                <w:szCs w:val="20"/>
              </w:rPr>
              <w:t>ուսումնասիրությունն</w:t>
            </w:r>
            <w:r w:rsidRPr="0053423A">
              <w:rPr>
                <w:rFonts w:ascii="GHEA Grapalat" w:hAnsi="GHEA Grapalat"/>
                <w:sz w:val="20"/>
                <w:szCs w:val="20"/>
                <w:lang w:val="ru-RU"/>
              </w:rPr>
              <w:t xml:space="preserve"> </w:t>
            </w:r>
            <w:r w:rsidRPr="0053423A">
              <w:rPr>
                <w:rFonts w:ascii="GHEA Grapalat" w:hAnsi="GHEA Grapalat" w:cs="Sylfaen"/>
                <w:sz w:val="20"/>
                <w:szCs w:val="20"/>
              </w:rPr>
              <w:t>ու</w:t>
            </w:r>
            <w:r w:rsidRPr="0053423A">
              <w:rPr>
                <w:rFonts w:ascii="GHEA Grapalat" w:hAnsi="GHEA Grapalat"/>
                <w:sz w:val="20"/>
                <w:szCs w:val="20"/>
                <w:lang w:val="ru-RU"/>
              </w:rPr>
              <w:t xml:space="preserve"> </w:t>
            </w:r>
            <w:r w:rsidRPr="0053423A">
              <w:rPr>
                <w:rFonts w:ascii="GHEA Grapalat" w:hAnsi="GHEA Grapalat" w:cs="Sylfaen"/>
                <w:sz w:val="20"/>
                <w:szCs w:val="20"/>
              </w:rPr>
              <w:t>արդյունքների</w:t>
            </w:r>
            <w:r w:rsidRPr="0053423A">
              <w:rPr>
                <w:rFonts w:ascii="GHEA Grapalat" w:hAnsi="GHEA Grapalat"/>
                <w:sz w:val="20"/>
                <w:szCs w:val="20"/>
                <w:lang w:val="ru-RU"/>
              </w:rPr>
              <w:t xml:space="preserve"> </w:t>
            </w:r>
            <w:r w:rsidRPr="0053423A">
              <w:rPr>
                <w:rFonts w:ascii="GHEA Grapalat" w:hAnsi="GHEA Grapalat" w:cs="Sylfaen"/>
                <w:sz w:val="20"/>
                <w:szCs w:val="20"/>
              </w:rPr>
              <w:t>արձանագրման</w:t>
            </w:r>
            <w:r w:rsidRPr="0053423A">
              <w:rPr>
                <w:rFonts w:ascii="GHEA Grapalat" w:hAnsi="GHEA Grapalat"/>
                <w:sz w:val="20"/>
                <w:szCs w:val="20"/>
                <w:lang w:val="ru-RU"/>
              </w:rPr>
              <w:t xml:space="preserve"> </w:t>
            </w:r>
            <w:r w:rsidRPr="0053423A">
              <w:rPr>
                <w:rFonts w:ascii="GHEA Grapalat" w:hAnsi="GHEA Grapalat" w:cs="Sylfaen"/>
                <w:sz w:val="20"/>
                <w:szCs w:val="20"/>
              </w:rPr>
              <w:t>ապահովումը</w:t>
            </w:r>
            <w:r w:rsidRPr="0053423A">
              <w:rPr>
                <w:rFonts w:ascii="GHEA Grapalat" w:hAnsi="GHEA Grapalat"/>
                <w:sz w:val="20"/>
                <w:szCs w:val="20"/>
                <w:lang w:val="ru-RU"/>
              </w:rPr>
              <w:t xml:space="preserve"> </w:t>
            </w:r>
            <w:r w:rsidRPr="0053423A">
              <w:rPr>
                <w:rFonts w:ascii="GHEA Grapalat" w:hAnsi="GHEA Grapalat" w:cs="Sylfaen"/>
                <w:sz w:val="20"/>
                <w:szCs w:val="20"/>
              </w:rPr>
              <w:t>ավտոմատացնելու</w:t>
            </w:r>
            <w:r w:rsidRPr="0053423A">
              <w:rPr>
                <w:rFonts w:ascii="GHEA Grapalat" w:hAnsi="GHEA Grapalat"/>
                <w:sz w:val="20"/>
                <w:szCs w:val="20"/>
                <w:lang w:val="ru-RU"/>
              </w:rPr>
              <w:t xml:space="preserve">, </w:t>
            </w:r>
            <w:r w:rsidRPr="0053423A">
              <w:rPr>
                <w:rFonts w:ascii="GHEA Grapalat" w:hAnsi="GHEA Grapalat" w:cs="Sylfaen"/>
                <w:sz w:val="20"/>
                <w:szCs w:val="20"/>
              </w:rPr>
              <w:t>համակարգելու</w:t>
            </w:r>
            <w:r w:rsidRPr="0053423A">
              <w:rPr>
                <w:rFonts w:ascii="GHEA Grapalat" w:hAnsi="GHEA Grapalat"/>
                <w:sz w:val="20"/>
                <w:szCs w:val="20"/>
                <w:lang w:val="ru-RU"/>
              </w:rPr>
              <w:t xml:space="preserve">, </w:t>
            </w:r>
            <w:r w:rsidRPr="0053423A">
              <w:rPr>
                <w:rFonts w:ascii="GHEA Grapalat" w:hAnsi="GHEA Grapalat" w:cs="Sylfaen"/>
                <w:sz w:val="20"/>
                <w:szCs w:val="20"/>
              </w:rPr>
              <w:t>վերլուծելու</w:t>
            </w:r>
            <w:r w:rsidRPr="0053423A">
              <w:rPr>
                <w:rFonts w:ascii="GHEA Grapalat" w:hAnsi="GHEA Grapalat"/>
                <w:sz w:val="20"/>
                <w:szCs w:val="20"/>
                <w:lang w:val="ru-RU"/>
              </w:rPr>
              <w:t xml:space="preserve"> </w:t>
            </w:r>
            <w:r w:rsidRPr="0053423A">
              <w:rPr>
                <w:rFonts w:ascii="GHEA Grapalat" w:hAnsi="GHEA Grapalat" w:cs="Sylfaen"/>
                <w:sz w:val="20"/>
                <w:szCs w:val="20"/>
              </w:rPr>
              <w:t>և</w:t>
            </w:r>
            <w:r w:rsidRPr="0053423A">
              <w:rPr>
                <w:rFonts w:ascii="GHEA Grapalat" w:hAnsi="GHEA Grapalat"/>
                <w:sz w:val="20"/>
                <w:szCs w:val="20"/>
                <w:lang w:val="ru-RU"/>
              </w:rPr>
              <w:t xml:space="preserve"> </w:t>
            </w:r>
            <w:r w:rsidRPr="0053423A">
              <w:rPr>
                <w:rFonts w:ascii="GHEA Grapalat" w:hAnsi="GHEA Grapalat" w:cs="Sylfaen"/>
                <w:sz w:val="20"/>
                <w:szCs w:val="20"/>
              </w:rPr>
              <w:t>սույն</w:t>
            </w:r>
            <w:r w:rsidRPr="0053423A">
              <w:rPr>
                <w:rFonts w:ascii="GHEA Grapalat" w:hAnsi="GHEA Grapalat"/>
                <w:sz w:val="20"/>
                <w:szCs w:val="20"/>
                <w:lang w:val="ru-RU"/>
              </w:rPr>
              <w:t xml:space="preserve"> </w:t>
            </w:r>
            <w:r w:rsidRPr="0053423A">
              <w:rPr>
                <w:rFonts w:ascii="GHEA Grapalat" w:hAnsi="GHEA Grapalat" w:cs="Sylfaen"/>
                <w:sz w:val="20"/>
                <w:szCs w:val="20"/>
              </w:rPr>
              <w:t>տեղեկատվությամբ</w:t>
            </w:r>
            <w:r w:rsidRPr="0053423A">
              <w:rPr>
                <w:rFonts w:ascii="GHEA Grapalat" w:hAnsi="GHEA Grapalat"/>
                <w:sz w:val="20"/>
                <w:szCs w:val="20"/>
                <w:lang w:val="ru-RU"/>
              </w:rPr>
              <w:t xml:space="preserve"> </w:t>
            </w:r>
            <w:r w:rsidRPr="0053423A">
              <w:rPr>
                <w:rFonts w:ascii="GHEA Grapalat" w:hAnsi="GHEA Grapalat" w:cs="Sylfaen"/>
                <w:sz w:val="20"/>
                <w:szCs w:val="20"/>
              </w:rPr>
              <w:t>զբաղվող</w:t>
            </w:r>
            <w:r w:rsidRPr="0053423A">
              <w:rPr>
                <w:rFonts w:ascii="GHEA Grapalat" w:hAnsi="GHEA Grapalat"/>
                <w:sz w:val="20"/>
                <w:szCs w:val="20"/>
                <w:lang w:val="ru-RU"/>
              </w:rPr>
              <w:t xml:space="preserve"> </w:t>
            </w:r>
            <w:r w:rsidRPr="0053423A">
              <w:rPr>
                <w:rFonts w:ascii="GHEA Grapalat" w:hAnsi="GHEA Grapalat" w:cs="Sylfaen"/>
                <w:sz w:val="20"/>
                <w:szCs w:val="20"/>
              </w:rPr>
              <w:t>կառույցների</w:t>
            </w:r>
            <w:r w:rsidRPr="0053423A">
              <w:rPr>
                <w:rFonts w:ascii="GHEA Grapalat" w:hAnsi="GHEA Grapalat"/>
                <w:sz w:val="20"/>
                <w:szCs w:val="20"/>
                <w:lang w:val="ru-RU"/>
              </w:rPr>
              <w:t xml:space="preserve">, </w:t>
            </w:r>
            <w:r w:rsidRPr="0053423A">
              <w:rPr>
                <w:rFonts w:ascii="GHEA Grapalat" w:hAnsi="GHEA Grapalat" w:cs="Sylfaen"/>
                <w:sz w:val="20"/>
                <w:szCs w:val="20"/>
              </w:rPr>
              <w:t>ստորաբաժանումների</w:t>
            </w:r>
            <w:r w:rsidRPr="0053423A">
              <w:rPr>
                <w:rFonts w:ascii="GHEA Grapalat" w:hAnsi="GHEA Grapalat"/>
                <w:sz w:val="20"/>
                <w:szCs w:val="20"/>
                <w:lang w:val="ru-RU"/>
              </w:rPr>
              <w:t xml:space="preserve"> </w:t>
            </w:r>
            <w:r w:rsidRPr="0053423A">
              <w:rPr>
                <w:rFonts w:ascii="GHEA Grapalat" w:hAnsi="GHEA Grapalat" w:cs="Sylfaen"/>
                <w:sz w:val="20"/>
                <w:szCs w:val="20"/>
              </w:rPr>
              <w:t>աշխատանքը</w:t>
            </w:r>
            <w:r w:rsidRPr="0053423A">
              <w:rPr>
                <w:rFonts w:ascii="GHEA Grapalat" w:hAnsi="GHEA Grapalat"/>
                <w:sz w:val="20"/>
                <w:szCs w:val="20"/>
                <w:lang w:val="ru-RU"/>
              </w:rPr>
              <w:t xml:space="preserve"> </w:t>
            </w:r>
            <w:r w:rsidRPr="0053423A">
              <w:rPr>
                <w:rFonts w:ascii="GHEA Grapalat" w:hAnsi="GHEA Grapalat" w:cs="Sylfaen"/>
                <w:sz w:val="20"/>
                <w:szCs w:val="20"/>
              </w:rPr>
              <w:t>հեշտացնելու</w:t>
            </w:r>
            <w:r w:rsidRPr="0053423A">
              <w:rPr>
                <w:rFonts w:ascii="GHEA Grapalat" w:hAnsi="GHEA Grapalat"/>
                <w:sz w:val="20"/>
                <w:szCs w:val="20"/>
                <w:lang w:val="ru-RU"/>
              </w:rPr>
              <w:t xml:space="preserve"> </w:t>
            </w:r>
            <w:r w:rsidRPr="0053423A">
              <w:rPr>
                <w:rFonts w:ascii="GHEA Grapalat" w:hAnsi="GHEA Grapalat" w:cs="Sylfaen"/>
                <w:sz w:val="20"/>
                <w:szCs w:val="20"/>
              </w:rPr>
              <w:t>նպատակով՝</w:t>
            </w:r>
            <w:r w:rsidRPr="0053423A">
              <w:rPr>
                <w:rFonts w:ascii="GHEA Grapalat" w:hAnsi="GHEA Grapalat"/>
                <w:sz w:val="20"/>
                <w:szCs w:val="20"/>
                <w:lang w:val="ru-RU"/>
              </w:rPr>
              <w:t xml:space="preserve"> </w:t>
            </w:r>
            <w:r w:rsidRPr="0053423A">
              <w:rPr>
                <w:rFonts w:ascii="GHEA Grapalat" w:hAnsi="GHEA Grapalat" w:cs="Sylfaen"/>
                <w:sz w:val="20"/>
                <w:szCs w:val="20"/>
              </w:rPr>
              <w:t>ԱՌՆԱՊ</w:t>
            </w:r>
            <w:r w:rsidRPr="0053423A">
              <w:rPr>
                <w:rFonts w:ascii="GHEA Grapalat" w:hAnsi="GHEA Grapalat"/>
                <w:sz w:val="20"/>
                <w:szCs w:val="20"/>
                <w:lang w:val="ru-RU"/>
              </w:rPr>
              <w:t xml:space="preserve"> </w:t>
            </w:r>
            <w:r w:rsidRPr="0053423A">
              <w:rPr>
                <w:rFonts w:ascii="GHEA Grapalat" w:hAnsi="GHEA Grapalat" w:cs="Sylfaen"/>
                <w:sz w:val="20"/>
                <w:szCs w:val="20"/>
              </w:rPr>
              <w:t>հիմնադրամի</w:t>
            </w:r>
            <w:r w:rsidRPr="0053423A">
              <w:rPr>
                <w:rFonts w:ascii="GHEA Grapalat" w:hAnsi="GHEA Grapalat"/>
                <w:sz w:val="20"/>
                <w:szCs w:val="20"/>
                <w:lang w:val="ru-RU"/>
              </w:rPr>
              <w:t xml:space="preserve"> </w:t>
            </w:r>
            <w:r w:rsidRPr="0053423A">
              <w:rPr>
                <w:rFonts w:ascii="GHEA Grapalat" w:hAnsi="GHEA Grapalat" w:cs="Sylfaen"/>
                <w:sz w:val="20"/>
                <w:szCs w:val="20"/>
              </w:rPr>
              <w:t>և</w:t>
            </w:r>
            <w:r w:rsidRPr="0053423A">
              <w:rPr>
                <w:rFonts w:ascii="GHEA Grapalat" w:hAnsi="GHEA Grapalat"/>
                <w:sz w:val="20"/>
                <w:szCs w:val="20"/>
                <w:lang w:val="ru-RU"/>
              </w:rPr>
              <w:t xml:space="preserve"> </w:t>
            </w:r>
            <w:r w:rsidRPr="0053423A">
              <w:rPr>
                <w:rFonts w:ascii="GHEA Grapalat" w:hAnsi="GHEA Grapalat" w:cs="Sylfaen"/>
                <w:sz w:val="20"/>
                <w:szCs w:val="20"/>
              </w:rPr>
              <w:t>ՄԱԶԾ</w:t>
            </w:r>
            <w:r w:rsidRPr="0053423A">
              <w:rPr>
                <w:rFonts w:ascii="GHEA Grapalat" w:hAnsi="GHEA Grapalat"/>
                <w:sz w:val="20"/>
                <w:szCs w:val="20"/>
                <w:lang w:val="ru-RU"/>
              </w:rPr>
              <w:t>-</w:t>
            </w:r>
            <w:r w:rsidRPr="0053423A">
              <w:rPr>
                <w:rFonts w:ascii="GHEA Grapalat" w:hAnsi="GHEA Grapalat" w:cs="Sylfaen"/>
                <w:sz w:val="20"/>
                <w:szCs w:val="20"/>
              </w:rPr>
              <w:t>ի</w:t>
            </w:r>
            <w:r w:rsidRPr="0053423A">
              <w:rPr>
                <w:rFonts w:ascii="GHEA Grapalat" w:hAnsi="GHEA Grapalat"/>
                <w:sz w:val="20"/>
                <w:szCs w:val="20"/>
                <w:lang w:val="ru-RU"/>
              </w:rPr>
              <w:t xml:space="preserve"> </w:t>
            </w:r>
            <w:r w:rsidRPr="0053423A">
              <w:rPr>
                <w:rFonts w:ascii="GHEA Grapalat" w:hAnsi="GHEA Grapalat" w:cs="Sylfaen"/>
                <w:sz w:val="20"/>
                <w:szCs w:val="20"/>
              </w:rPr>
              <w:t>նախաձեռնությամբ</w:t>
            </w:r>
            <w:r w:rsidRPr="0053423A">
              <w:rPr>
                <w:rFonts w:ascii="GHEA Grapalat" w:hAnsi="GHEA Grapalat"/>
                <w:sz w:val="20"/>
                <w:szCs w:val="20"/>
                <w:lang w:val="ru-RU"/>
              </w:rPr>
              <w:t xml:space="preserve">, </w:t>
            </w:r>
            <w:r w:rsidRPr="0053423A">
              <w:rPr>
                <w:rFonts w:ascii="GHEA Grapalat" w:hAnsi="GHEA Grapalat" w:cs="Sylfaen"/>
                <w:sz w:val="20"/>
                <w:szCs w:val="20"/>
              </w:rPr>
              <w:t>ինչպես</w:t>
            </w:r>
            <w:r w:rsidRPr="0053423A">
              <w:rPr>
                <w:rFonts w:ascii="GHEA Grapalat" w:hAnsi="GHEA Grapalat"/>
                <w:sz w:val="20"/>
                <w:szCs w:val="20"/>
                <w:lang w:val="ru-RU"/>
              </w:rPr>
              <w:t xml:space="preserve"> </w:t>
            </w:r>
            <w:r w:rsidRPr="0053423A">
              <w:rPr>
                <w:rFonts w:ascii="GHEA Grapalat" w:hAnsi="GHEA Grapalat" w:cs="Sylfaen"/>
                <w:sz w:val="20"/>
                <w:szCs w:val="20"/>
              </w:rPr>
              <w:t>նաև</w:t>
            </w:r>
            <w:r w:rsidRPr="0053423A">
              <w:rPr>
                <w:rFonts w:ascii="GHEA Grapalat" w:hAnsi="GHEA Grapalat"/>
                <w:sz w:val="20"/>
                <w:szCs w:val="20"/>
                <w:lang w:val="ru-RU"/>
              </w:rPr>
              <w:t xml:space="preserve"> </w:t>
            </w:r>
            <w:r w:rsidRPr="0053423A">
              <w:rPr>
                <w:rFonts w:ascii="GHEA Grapalat" w:hAnsi="GHEA Grapalat" w:cs="Sylfaen"/>
                <w:sz w:val="20"/>
                <w:szCs w:val="20"/>
              </w:rPr>
              <w:t>ՀՀ</w:t>
            </w:r>
            <w:r w:rsidRPr="0053423A">
              <w:rPr>
                <w:rFonts w:ascii="GHEA Grapalat" w:hAnsi="GHEA Grapalat"/>
                <w:sz w:val="20"/>
                <w:szCs w:val="20"/>
                <w:lang w:val="ru-RU"/>
              </w:rPr>
              <w:t xml:space="preserve"> </w:t>
            </w:r>
            <w:r w:rsidRPr="0053423A">
              <w:rPr>
                <w:rFonts w:ascii="GHEA Grapalat" w:hAnsi="GHEA Grapalat" w:cs="Sylfaen"/>
                <w:sz w:val="20"/>
                <w:szCs w:val="20"/>
              </w:rPr>
              <w:t>ԱԻՆ</w:t>
            </w:r>
            <w:r w:rsidRPr="0053423A">
              <w:rPr>
                <w:rFonts w:ascii="GHEA Grapalat" w:hAnsi="GHEA Grapalat"/>
                <w:sz w:val="20"/>
                <w:szCs w:val="20"/>
                <w:lang w:val="ru-RU"/>
              </w:rPr>
              <w:t xml:space="preserve"> </w:t>
            </w:r>
            <w:r w:rsidRPr="0053423A">
              <w:rPr>
                <w:rFonts w:ascii="GHEA Grapalat" w:hAnsi="GHEA Grapalat" w:cs="Sylfaen"/>
                <w:sz w:val="20"/>
                <w:szCs w:val="20"/>
              </w:rPr>
              <w:t>աշխատակիցների</w:t>
            </w:r>
            <w:r w:rsidRPr="0053423A">
              <w:rPr>
                <w:rFonts w:ascii="GHEA Grapalat" w:hAnsi="GHEA Grapalat"/>
                <w:sz w:val="20"/>
                <w:szCs w:val="20"/>
                <w:lang w:val="ru-RU"/>
              </w:rPr>
              <w:t xml:space="preserve"> </w:t>
            </w:r>
            <w:r w:rsidRPr="0053423A">
              <w:rPr>
                <w:rFonts w:ascii="GHEA Grapalat" w:hAnsi="GHEA Grapalat" w:cs="Sylfaen"/>
                <w:sz w:val="20"/>
                <w:szCs w:val="20"/>
              </w:rPr>
              <w:t>ներգրավվմամբ</w:t>
            </w:r>
            <w:r w:rsidRPr="0053423A">
              <w:rPr>
                <w:rFonts w:ascii="GHEA Grapalat" w:hAnsi="GHEA Grapalat"/>
                <w:sz w:val="20"/>
                <w:szCs w:val="20"/>
                <w:lang w:val="ru-RU"/>
              </w:rPr>
              <w:t xml:space="preserve"> </w:t>
            </w:r>
            <w:r w:rsidRPr="0053423A">
              <w:rPr>
                <w:rFonts w:ascii="GHEA Grapalat" w:hAnsi="GHEA Grapalat" w:cs="Sylfaen"/>
                <w:sz w:val="20"/>
                <w:szCs w:val="20"/>
              </w:rPr>
              <w:t>պատրաստվել</w:t>
            </w:r>
            <w:r w:rsidRPr="0053423A">
              <w:rPr>
                <w:rFonts w:ascii="GHEA Grapalat" w:hAnsi="GHEA Grapalat"/>
                <w:sz w:val="20"/>
                <w:szCs w:val="20"/>
                <w:lang w:val="ru-RU"/>
              </w:rPr>
              <w:t xml:space="preserve"> </w:t>
            </w:r>
            <w:r w:rsidRPr="0053423A">
              <w:rPr>
                <w:rFonts w:ascii="GHEA Grapalat" w:hAnsi="GHEA Grapalat" w:cs="Sylfaen"/>
                <w:sz w:val="20"/>
                <w:szCs w:val="20"/>
              </w:rPr>
              <w:t>է</w:t>
            </w:r>
            <w:r w:rsidRPr="0053423A">
              <w:rPr>
                <w:rFonts w:ascii="GHEA Grapalat" w:hAnsi="GHEA Grapalat"/>
                <w:sz w:val="20"/>
                <w:szCs w:val="20"/>
                <w:lang w:val="ru-RU"/>
              </w:rPr>
              <w:t xml:space="preserve"> </w:t>
            </w:r>
            <w:r w:rsidRPr="0053423A">
              <w:rPr>
                <w:rFonts w:ascii="GHEA Grapalat" w:hAnsi="GHEA Grapalat" w:cs="Sylfaen"/>
                <w:sz w:val="20"/>
                <w:szCs w:val="20"/>
              </w:rPr>
              <w:t>ԱՌԿ</w:t>
            </w:r>
            <w:r w:rsidRPr="0053423A">
              <w:rPr>
                <w:rFonts w:ascii="GHEA Grapalat" w:hAnsi="GHEA Grapalat"/>
                <w:sz w:val="20"/>
                <w:szCs w:val="20"/>
                <w:lang w:val="ru-RU"/>
              </w:rPr>
              <w:t xml:space="preserve"> </w:t>
            </w:r>
            <w:r w:rsidRPr="0053423A">
              <w:rPr>
                <w:rFonts w:ascii="GHEA Grapalat" w:hAnsi="GHEA Grapalat" w:cs="Sylfaen"/>
                <w:sz w:val="20"/>
                <w:szCs w:val="20"/>
              </w:rPr>
              <w:t>ազգային</w:t>
            </w:r>
            <w:r w:rsidRPr="0053423A">
              <w:rPr>
                <w:rFonts w:ascii="GHEA Grapalat" w:hAnsi="GHEA Grapalat"/>
                <w:sz w:val="20"/>
                <w:szCs w:val="20"/>
                <w:lang w:val="ru-RU"/>
              </w:rPr>
              <w:t xml:space="preserve"> </w:t>
            </w:r>
            <w:r w:rsidRPr="0053423A">
              <w:rPr>
                <w:rFonts w:ascii="GHEA Grapalat" w:hAnsi="GHEA Grapalat" w:cs="Sylfaen"/>
                <w:sz w:val="20"/>
                <w:szCs w:val="20"/>
              </w:rPr>
              <w:t>ռազմավարության</w:t>
            </w:r>
            <w:r w:rsidRPr="0053423A">
              <w:rPr>
                <w:rFonts w:ascii="GHEA Grapalat" w:hAnsi="GHEA Grapalat"/>
                <w:sz w:val="20"/>
                <w:szCs w:val="20"/>
                <w:lang w:val="ru-RU"/>
              </w:rPr>
              <w:t xml:space="preserve"> </w:t>
            </w:r>
            <w:r w:rsidRPr="0053423A">
              <w:rPr>
                <w:rFonts w:ascii="GHEA Grapalat" w:hAnsi="GHEA Grapalat" w:cs="Sylfaen"/>
                <w:sz w:val="20"/>
                <w:szCs w:val="20"/>
              </w:rPr>
              <w:t>տեղեկատվության</w:t>
            </w:r>
            <w:r w:rsidRPr="0053423A">
              <w:rPr>
                <w:rFonts w:ascii="GHEA Grapalat" w:hAnsi="GHEA Grapalat"/>
                <w:sz w:val="20"/>
                <w:szCs w:val="20"/>
                <w:lang w:val="ru-RU"/>
              </w:rPr>
              <w:t xml:space="preserve"> </w:t>
            </w:r>
            <w:r w:rsidRPr="0053423A">
              <w:rPr>
                <w:rFonts w:ascii="GHEA Grapalat" w:hAnsi="GHEA Grapalat" w:cs="Sylfaen"/>
                <w:sz w:val="20"/>
                <w:szCs w:val="20"/>
              </w:rPr>
              <w:t>կառավարման</w:t>
            </w:r>
            <w:r w:rsidRPr="0053423A">
              <w:rPr>
                <w:rFonts w:ascii="GHEA Grapalat" w:hAnsi="GHEA Grapalat"/>
                <w:sz w:val="20"/>
                <w:szCs w:val="20"/>
                <w:lang w:val="ru-RU"/>
              </w:rPr>
              <w:t xml:space="preserve"> </w:t>
            </w:r>
            <w:r w:rsidRPr="0053423A">
              <w:rPr>
                <w:rFonts w:ascii="GHEA Grapalat" w:hAnsi="GHEA Grapalat" w:cs="Sylfaen"/>
                <w:sz w:val="20"/>
                <w:szCs w:val="20"/>
              </w:rPr>
              <w:t>համակարգ</w:t>
            </w:r>
            <w:r w:rsidRPr="0053423A">
              <w:rPr>
                <w:rFonts w:ascii="GHEA Grapalat" w:hAnsi="GHEA Grapalat"/>
                <w:sz w:val="20"/>
                <w:szCs w:val="20"/>
                <w:lang w:val="ru-RU"/>
              </w:rPr>
              <w:t>:</w:t>
            </w:r>
          </w:p>
          <w:p w:rsidR="006B0618" w:rsidRPr="0053423A" w:rsidRDefault="006B0618" w:rsidP="00A67858">
            <w:pPr>
              <w:pStyle w:val="mechtex"/>
              <w:spacing w:line="276" w:lineRule="auto"/>
              <w:ind w:left="360" w:right="256"/>
              <w:jc w:val="both"/>
              <w:rPr>
                <w:rFonts w:ascii="GHEA Grapalat" w:hAnsi="GHEA Grapalat"/>
                <w:b/>
              </w:rPr>
            </w:pPr>
            <w:r w:rsidRPr="0053423A">
              <w:rPr>
                <w:rFonts w:ascii="GHEA Grapalat" w:hAnsi="GHEA Grapalat"/>
                <w:b/>
                <w:lang w:val="hy-AM"/>
              </w:rPr>
              <w:t>2. Միջոցառ</w:t>
            </w:r>
            <w:r w:rsidRPr="0053423A">
              <w:rPr>
                <w:rFonts w:ascii="GHEA Grapalat" w:hAnsi="GHEA Grapalat"/>
                <w:b/>
              </w:rPr>
              <w:t>ումների</w:t>
            </w:r>
            <w:r w:rsidRPr="0053423A">
              <w:rPr>
                <w:rFonts w:ascii="GHEA Grapalat" w:hAnsi="GHEA Grapalat" w:cs="Arial Armenian"/>
                <w:b/>
                <w:lang w:val="hy-AM"/>
              </w:rPr>
              <w:t xml:space="preserve"> </w:t>
            </w:r>
            <w:r w:rsidRPr="0053423A">
              <w:rPr>
                <w:rFonts w:ascii="GHEA Grapalat" w:hAnsi="GHEA Grapalat" w:cs="Arial"/>
                <w:b/>
                <w:lang w:val="hy-AM"/>
              </w:rPr>
              <w:t>իրականացումից</w:t>
            </w:r>
            <w:r w:rsidRPr="0053423A">
              <w:rPr>
                <w:rFonts w:ascii="GHEA Grapalat" w:hAnsi="GHEA Grapalat" w:cs="Arial Armenian"/>
                <w:b/>
                <w:lang w:val="hy-AM"/>
              </w:rPr>
              <w:t xml:space="preserve"> </w:t>
            </w:r>
            <w:r w:rsidRPr="0053423A">
              <w:rPr>
                <w:rFonts w:ascii="GHEA Grapalat" w:hAnsi="GHEA Grapalat" w:cs="Arial"/>
                <w:b/>
                <w:lang w:val="hy-AM"/>
              </w:rPr>
              <w:t>ակնկալվող</w:t>
            </w:r>
            <w:r w:rsidRPr="0053423A">
              <w:rPr>
                <w:rFonts w:ascii="GHEA Grapalat" w:hAnsi="GHEA Grapalat" w:cs="Arial Armenian"/>
                <w:b/>
                <w:lang w:val="hy-AM"/>
              </w:rPr>
              <w:t xml:space="preserve"> </w:t>
            </w:r>
            <w:r w:rsidRPr="0053423A">
              <w:rPr>
                <w:rFonts w:ascii="GHEA Grapalat" w:hAnsi="GHEA Grapalat" w:cs="Arial"/>
                <w:b/>
                <w:lang w:val="hy-AM"/>
              </w:rPr>
              <w:t>արդյունքը</w:t>
            </w:r>
            <w:r w:rsidRPr="0053423A">
              <w:rPr>
                <w:rFonts w:ascii="GHEA Grapalat" w:hAnsi="GHEA Grapalat"/>
                <w:b/>
                <w:lang w:val="hy-AM"/>
              </w:rPr>
              <w:t xml:space="preserve"> </w:t>
            </w:r>
          </w:p>
          <w:p w:rsidR="006B0618" w:rsidRPr="0053423A" w:rsidRDefault="006B0618" w:rsidP="00A67858">
            <w:pPr>
              <w:pStyle w:val="NormalWeb"/>
              <w:spacing w:before="0" w:beforeAutospacing="0" w:after="0" w:afterAutospacing="0" w:line="276" w:lineRule="auto"/>
              <w:jc w:val="both"/>
              <w:rPr>
                <w:rFonts w:ascii="GHEA Grapalat" w:hAnsi="GHEA Grapalat"/>
                <w:sz w:val="20"/>
                <w:szCs w:val="20"/>
                <w:lang w:val="ru-RU"/>
              </w:rPr>
            </w:pPr>
            <w:r w:rsidRPr="0053423A">
              <w:rPr>
                <w:rFonts w:ascii="GHEA Grapalat" w:hAnsi="GHEA Grapalat" w:cs="Sylfaen"/>
                <w:sz w:val="20"/>
                <w:szCs w:val="20"/>
                <w:lang w:val="ru-RU"/>
              </w:rPr>
              <w:t xml:space="preserve">        </w:t>
            </w:r>
            <w:r w:rsidRPr="0053423A">
              <w:rPr>
                <w:rFonts w:ascii="GHEA Grapalat" w:hAnsi="GHEA Grapalat" w:cs="Sylfaen"/>
                <w:sz w:val="20"/>
                <w:szCs w:val="20"/>
              </w:rPr>
              <w:t>Տեղեկատվության</w:t>
            </w:r>
            <w:r w:rsidRPr="0053423A">
              <w:rPr>
                <w:rFonts w:ascii="GHEA Grapalat" w:hAnsi="GHEA Grapalat"/>
                <w:sz w:val="20"/>
                <w:szCs w:val="20"/>
                <w:lang w:val="ru-RU"/>
              </w:rPr>
              <w:t xml:space="preserve"> </w:t>
            </w:r>
            <w:r w:rsidRPr="0053423A">
              <w:rPr>
                <w:rFonts w:ascii="GHEA Grapalat" w:hAnsi="GHEA Grapalat" w:cs="Sylfaen"/>
                <w:sz w:val="20"/>
                <w:szCs w:val="20"/>
              </w:rPr>
              <w:t>կառավարման</w:t>
            </w:r>
            <w:r w:rsidRPr="0053423A">
              <w:rPr>
                <w:rFonts w:ascii="GHEA Grapalat" w:hAnsi="GHEA Grapalat"/>
                <w:sz w:val="20"/>
                <w:szCs w:val="20"/>
                <w:lang w:val="ru-RU"/>
              </w:rPr>
              <w:t xml:space="preserve"> </w:t>
            </w:r>
            <w:r w:rsidRPr="0053423A">
              <w:rPr>
                <w:rFonts w:ascii="GHEA Grapalat" w:hAnsi="GHEA Grapalat" w:cs="Sylfaen"/>
                <w:sz w:val="20"/>
                <w:szCs w:val="20"/>
              </w:rPr>
              <w:t>համակարգը</w:t>
            </w:r>
            <w:r w:rsidRPr="0053423A">
              <w:rPr>
                <w:rFonts w:ascii="GHEA Grapalat" w:hAnsi="GHEA Grapalat"/>
                <w:sz w:val="20"/>
                <w:szCs w:val="20"/>
                <w:lang w:val="ru-RU"/>
              </w:rPr>
              <w:t xml:space="preserve"> </w:t>
            </w:r>
            <w:r w:rsidRPr="0053423A">
              <w:rPr>
                <w:rFonts w:ascii="GHEA Grapalat" w:hAnsi="GHEA Grapalat" w:cs="Sylfaen"/>
                <w:sz w:val="20"/>
                <w:szCs w:val="20"/>
              </w:rPr>
              <w:t>աշխատելու</w:t>
            </w:r>
            <w:r w:rsidRPr="0053423A">
              <w:rPr>
                <w:rFonts w:ascii="GHEA Grapalat" w:hAnsi="GHEA Grapalat"/>
                <w:sz w:val="20"/>
                <w:szCs w:val="20"/>
                <w:lang w:val="ru-RU"/>
              </w:rPr>
              <w:t xml:space="preserve"> </w:t>
            </w:r>
            <w:r w:rsidRPr="0053423A">
              <w:rPr>
                <w:rFonts w:ascii="GHEA Grapalat" w:hAnsi="GHEA Grapalat" w:cs="Sylfaen"/>
                <w:sz w:val="20"/>
                <w:szCs w:val="20"/>
              </w:rPr>
              <w:t>է</w:t>
            </w:r>
            <w:r w:rsidRPr="0053423A">
              <w:rPr>
                <w:rFonts w:ascii="GHEA Grapalat" w:hAnsi="GHEA Grapalat"/>
                <w:sz w:val="20"/>
                <w:szCs w:val="20"/>
                <w:lang w:val="ru-RU"/>
              </w:rPr>
              <w:t xml:space="preserve"> </w:t>
            </w:r>
            <w:r w:rsidRPr="0053423A">
              <w:rPr>
                <w:rFonts w:ascii="GHEA Grapalat" w:hAnsi="GHEA Grapalat" w:cs="Sylfaen"/>
                <w:sz w:val="20"/>
                <w:szCs w:val="20"/>
              </w:rPr>
              <w:t>առցանց</w:t>
            </w:r>
            <w:r w:rsidRPr="0053423A">
              <w:rPr>
                <w:rFonts w:ascii="GHEA Grapalat" w:hAnsi="GHEA Grapalat"/>
                <w:sz w:val="20"/>
                <w:szCs w:val="20"/>
                <w:lang w:val="ru-RU"/>
              </w:rPr>
              <w:t xml:space="preserve"> </w:t>
            </w:r>
            <w:r w:rsidRPr="0053423A">
              <w:rPr>
                <w:rFonts w:ascii="GHEA Grapalat" w:hAnsi="GHEA Grapalat" w:cs="Sylfaen"/>
                <w:sz w:val="20"/>
                <w:szCs w:val="20"/>
              </w:rPr>
              <w:t>տիրույթում</w:t>
            </w:r>
            <w:r w:rsidRPr="0053423A">
              <w:rPr>
                <w:rFonts w:ascii="GHEA Grapalat" w:hAnsi="GHEA Grapalat"/>
                <w:sz w:val="20"/>
                <w:szCs w:val="20"/>
                <w:lang w:val="ru-RU"/>
              </w:rPr>
              <w:t xml:space="preserve">: </w:t>
            </w:r>
            <w:r w:rsidRPr="0053423A">
              <w:rPr>
                <w:rFonts w:ascii="GHEA Grapalat" w:hAnsi="GHEA Grapalat" w:cs="Sylfaen"/>
                <w:sz w:val="20"/>
                <w:szCs w:val="20"/>
              </w:rPr>
              <w:t>Այն</w:t>
            </w:r>
            <w:r w:rsidRPr="0053423A">
              <w:rPr>
                <w:rFonts w:ascii="GHEA Grapalat" w:hAnsi="GHEA Grapalat"/>
                <w:sz w:val="20"/>
                <w:szCs w:val="20"/>
                <w:lang w:val="ru-RU"/>
              </w:rPr>
              <w:t xml:space="preserve"> </w:t>
            </w:r>
            <w:r w:rsidRPr="0053423A">
              <w:rPr>
                <w:rFonts w:ascii="GHEA Grapalat" w:hAnsi="GHEA Grapalat" w:cs="Sylfaen"/>
                <w:sz w:val="20"/>
                <w:szCs w:val="20"/>
              </w:rPr>
              <w:t>նախագծված</w:t>
            </w:r>
            <w:r w:rsidRPr="0053423A">
              <w:rPr>
                <w:rFonts w:ascii="GHEA Grapalat" w:hAnsi="GHEA Grapalat"/>
                <w:sz w:val="20"/>
                <w:szCs w:val="20"/>
                <w:lang w:val="ru-RU"/>
              </w:rPr>
              <w:t xml:space="preserve"> </w:t>
            </w:r>
            <w:r w:rsidRPr="0053423A">
              <w:rPr>
                <w:rFonts w:ascii="GHEA Grapalat" w:hAnsi="GHEA Grapalat" w:cs="Sylfaen"/>
                <w:sz w:val="20"/>
                <w:szCs w:val="20"/>
              </w:rPr>
              <w:t>է</w:t>
            </w:r>
            <w:r w:rsidRPr="0053423A">
              <w:rPr>
                <w:rFonts w:ascii="GHEA Grapalat" w:hAnsi="GHEA Grapalat"/>
                <w:sz w:val="20"/>
                <w:szCs w:val="20"/>
                <w:lang w:val="ru-RU"/>
              </w:rPr>
              <w:t xml:space="preserve"> </w:t>
            </w:r>
            <w:r w:rsidRPr="0053423A">
              <w:rPr>
                <w:rFonts w:ascii="GHEA Grapalat" w:hAnsi="GHEA Grapalat" w:cs="Sylfaen"/>
                <w:sz w:val="20"/>
                <w:szCs w:val="20"/>
              </w:rPr>
              <w:t>այնպես</w:t>
            </w:r>
            <w:r w:rsidRPr="0053423A">
              <w:rPr>
                <w:rFonts w:ascii="GHEA Grapalat" w:hAnsi="GHEA Grapalat"/>
                <w:sz w:val="20"/>
                <w:szCs w:val="20"/>
                <w:lang w:val="ru-RU"/>
              </w:rPr>
              <w:t xml:space="preserve">, </w:t>
            </w:r>
            <w:r w:rsidRPr="0053423A">
              <w:rPr>
                <w:rFonts w:ascii="GHEA Grapalat" w:hAnsi="GHEA Grapalat" w:cs="Sylfaen"/>
                <w:sz w:val="20"/>
                <w:szCs w:val="20"/>
              </w:rPr>
              <w:t>որ</w:t>
            </w:r>
            <w:r w:rsidRPr="0053423A">
              <w:rPr>
                <w:rFonts w:ascii="GHEA Grapalat" w:hAnsi="GHEA Grapalat"/>
                <w:sz w:val="20"/>
                <w:szCs w:val="20"/>
                <w:lang w:val="ru-RU"/>
              </w:rPr>
              <w:t xml:space="preserve"> </w:t>
            </w:r>
            <w:r w:rsidRPr="0053423A">
              <w:rPr>
                <w:rFonts w:ascii="GHEA Grapalat" w:hAnsi="GHEA Grapalat" w:cs="Sylfaen"/>
                <w:sz w:val="20"/>
                <w:szCs w:val="20"/>
              </w:rPr>
              <w:t>յուրաքանչյուր</w:t>
            </w:r>
            <w:r w:rsidRPr="0053423A">
              <w:rPr>
                <w:rFonts w:ascii="GHEA Grapalat" w:hAnsi="GHEA Grapalat"/>
                <w:sz w:val="20"/>
                <w:szCs w:val="20"/>
                <w:lang w:val="ru-RU"/>
              </w:rPr>
              <w:t xml:space="preserve"> </w:t>
            </w:r>
            <w:r w:rsidRPr="0053423A">
              <w:rPr>
                <w:rFonts w:ascii="GHEA Grapalat" w:hAnsi="GHEA Grapalat" w:cs="Sylfaen"/>
                <w:sz w:val="20"/>
                <w:szCs w:val="20"/>
              </w:rPr>
              <w:t>կառույց</w:t>
            </w:r>
            <w:r w:rsidRPr="0053423A">
              <w:rPr>
                <w:rFonts w:ascii="GHEA Grapalat" w:hAnsi="GHEA Grapalat"/>
                <w:sz w:val="20"/>
                <w:szCs w:val="20"/>
                <w:lang w:val="ru-RU"/>
              </w:rPr>
              <w:t xml:space="preserve">, </w:t>
            </w:r>
            <w:r w:rsidRPr="0053423A">
              <w:rPr>
                <w:rFonts w:ascii="GHEA Grapalat" w:hAnsi="GHEA Grapalat" w:cs="Sylfaen"/>
                <w:sz w:val="20"/>
                <w:szCs w:val="20"/>
              </w:rPr>
              <w:t>որն</w:t>
            </w:r>
            <w:r w:rsidRPr="0053423A">
              <w:rPr>
                <w:rFonts w:ascii="GHEA Grapalat" w:hAnsi="GHEA Grapalat"/>
                <w:sz w:val="20"/>
                <w:szCs w:val="20"/>
                <w:lang w:val="ru-RU"/>
              </w:rPr>
              <w:t xml:space="preserve"> </w:t>
            </w:r>
            <w:r w:rsidRPr="0053423A">
              <w:rPr>
                <w:rFonts w:ascii="GHEA Grapalat" w:hAnsi="GHEA Grapalat" w:cs="Sylfaen"/>
                <w:sz w:val="20"/>
                <w:szCs w:val="20"/>
              </w:rPr>
              <w:t>ունի</w:t>
            </w:r>
            <w:r w:rsidRPr="0053423A">
              <w:rPr>
                <w:rFonts w:ascii="GHEA Grapalat" w:hAnsi="GHEA Grapalat"/>
                <w:sz w:val="20"/>
                <w:szCs w:val="20"/>
                <w:lang w:val="ru-RU"/>
              </w:rPr>
              <w:t xml:space="preserve"> </w:t>
            </w:r>
            <w:r w:rsidRPr="0053423A">
              <w:rPr>
                <w:rFonts w:ascii="GHEA Grapalat" w:hAnsi="GHEA Grapalat" w:cs="Sylfaen"/>
                <w:sz w:val="20"/>
                <w:szCs w:val="20"/>
              </w:rPr>
              <w:t>անելիք</w:t>
            </w:r>
            <w:r w:rsidRPr="0053423A">
              <w:rPr>
                <w:rFonts w:ascii="GHEA Grapalat" w:hAnsi="GHEA Grapalat"/>
                <w:sz w:val="20"/>
                <w:szCs w:val="20"/>
                <w:lang w:val="ru-RU"/>
              </w:rPr>
              <w:t xml:space="preserve"> </w:t>
            </w:r>
            <w:r w:rsidRPr="0053423A">
              <w:rPr>
                <w:rFonts w:ascii="GHEA Grapalat" w:hAnsi="GHEA Grapalat" w:cs="Sylfaen"/>
                <w:sz w:val="20"/>
                <w:szCs w:val="20"/>
              </w:rPr>
              <w:t>ԱՌԿ</w:t>
            </w:r>
            <w:r w:rsidRPr="0053423A">
              <w:rPr>
                <w:rFonts w:ascii="GHEA Grapalat" w:hAnsi="GHEA Grapalat"/>
                <w:sz w:val="20"/>
                <w:szCs w:val="20"/>
                <w:lang w:val="ru-RU"/>
              </w:rPr>
              <w:t xml:space="preserve"> </w:t>
            </w:r>
            <w:r w:rsidRPr="0053423A">
              <w:rPr>
                <w:rFonts w:ascii="GHEA Grapalat" w:hAnsi="GHEA Grapalat" w:cs="Sylfaen"/>
                <w:sz w:val="20"/>
                <w:szCs w:val="20"/>
              </w:rPr>
              <w:t>ազգային</w:t>
            </w:r>
            <w:r w:rsidRPr="0053423A">
              <w:rPr>
                <w:rFonts w:ascii="GHEA Grapalat" w:hAnsi="GHEA Grapalat"/>
                <w:sz w:val="20"/>
                <w:szCs w:val="20"/>
                <w:lang w:val="ru-RU"/>
              </w:rPr>
              <w:t xml:space="preserve"> </w:t>
            </w:r>
            <w:r w:rsidRPr="0053423A">
              <w:rPr>
                <w:rFonts w:ascii="GHEA Grapalat" w:hAnsi="GHEA Grapalat" w:cs="Sylfaen"/>
                <w:sz w:val="20"/>
                <w:szCs w:val="20"/>
              </w:rPr>
              <w:t>ռազմավարության</w:t>
            </w:r>
            <w:r w:rsidRPr="0053423A">
              <w:rPr>
                <w:rFonts w:ascii="GHEA Grapalat" w:hAnsi="GHEA Grapalat"/>
                <w:sz w:val="20"/>
                <w:szCs w:val="20"/>
                <w:lang w:val="ru-RU"/>
              </w:rPr>
              <w:t xml:space="preserve"> </w:t>
            </w:r>
            <w:r w:rsidRPr="0053423A">
              <w:rPr>
                <w:rFonts w:ascii="GHEA Grapalat" w:hAnsi="GHEA Grapalat" w:cs="Sylfaen"/>
                <w:sz w:val="20"/>
                <w:szCs w:val="20"/>
              </w:rPr>
              <w:t>ուղղությամբ</w:t>
            </w:r>
            <w:r w:rsidRPr="0053423A">
              <w:rPr>
                <w:rFonts w:ascii="GHEA Grapalat" w:hAnsi="GHEA Grapalat"/>
                <w:sz w:val="20"/>
                <w:szCs w:val="20"/>
                <w:lang w:val="ru-RU"/>
              </w:rPr>
              <w:t xml:space="preserve">, </w:t>
            </w:r>
            <w:r w:rsidRPr="0053423A">
              <w:rPr>
                <w:rFonts w:ascii="GHEA Grapalat" w:hAnsi="GHEA Grapalat" w:cs="Sylfaen"/>
                <w:sz w:val="20"/>
                <w:szCs w:val="20"/>
              </w:rPr>
              <w:t>կարող</w:t>
            </w:r>
            <w:r w:rsidRPr="0053423A">
              <w:rPr>
                <w:rFonts w:ascii="GHEA Grapalat" w:hAnsi="GHEA Grapalat"/>
                <w:sz w:val="20"/>
                <w:szCs w:val="20"/>
                <w:lang w:val="ru-RU"/>
              </w:rPr>
              <w:t xml:space="preserve"> </w:t>
            </w:r>
            <w:r w:rsidRPr="0053423A">
              <w:rPr>
                <w:rFonts w:ascii="GHEA Grapalat" w:hAnsi="GHEA Grapalat" w:cs="Sylfaen"/>
                <w:sz w:val="20"/>
                <w:szCs w:val="20"/>
              </w:rPr>
              <w:t>է</w:t>
            </w:r>
            <w:r w:rsidRPr="0053423A">
              <w:rPr>
                <w:rFonts w:ascii="GHEA Grapalat" w:hAnsi="GHEA Grapalat"/>
                <w:sz w:val="20"/>
                <w:szCs w:val="20"/>
                <w:lang w:val="ru-RU"/>
              </w:rPr>
              <w:t xml:space="preserve"> </w:t>
            </w:r>
            <w:r w:rsidRPr="0053423A">
              <w:rPr>
                <w:rFonts w:ascii="GHEA Grapalat" w:hAnsi="GHEA Grapalat" w:cs="Sylfaen"/>
                <w:sz w:val="20"/>
                <w:szCs w:val="20"/>
              </w:rPr>
              <w:t>աշխատել</w:t>
            </w:r>
            <w:r w:rsidRPr="0053423A">
              <w:rPr>
                <w:rFonts w:ascii="GHEA Grapalat" w:hAnsi="GHEA Grapalat"/>
                <w:sz w:val="20"/>
                <w:szCs w:val="20"/>
                <w:lang w:val="ru-RU"/>
              </w:rPr>
              <w:t xml:space="preserve"> </w:t>
            </w:r>
            <w:r w:rsidRPr="0053423A">
              <w:rPr>
                <w:rFonts w:ascii="GHEA Grapalat" w:hAnsi="GHEA Grapalat" w:cs="Sylfaen"/>
                <w:sz w:val="20"/>
                <w:szCs w:val="20"/>
              </w:rPr>
              <w:t>միայն</w:t>
            </w:r>
            <w:r w:rsidRPr="0053423A">
              <w:rPr>
                <w:rFonts w:ascii="GHEA Grapalat" w:hAnsi="GHEA Grapalat"/>
                <w:sz w:val="20"/>
                <w:szCs w:val="20"/>
                <w:lang w:val="ru-RU"/>
              </w:rPr>
              <w:t xml:space="preserve"> </w:t>
            </w:r>
            <w:r w:rsidRPr="0053423A">
              <w:rPr>
                <w:rFonts w:ascii="GHEA Grapalat" w:hAnsi="GHEA Grapalat" w:cs="Sylfaen"/>
                <w:sz w:val="20"/>
                <w:szCs w:val="20"/>
              </w:rPr>
              <w:t>ռազմավարության</w:t>
            </w:r>
            <w:r w:rsidRPr="0053423A">
              <w:rPr>
                <w:rFonts w:ascii="GHEA Grapalat" w:hAnsi="GHEA Grapalat"/>
                <w:sz w:val="20"/>
                <w:szCs w:val="20"/>
                <w:lang w:val="ru-RU"/>
              </w:rPr>
              <w:t xml:space="preserve"> </w:t>
            </w:r>
            <w:r w:rsidRPr="0053423A">
              <w:rPr>
                <w:rFonts w:ascii="GHEA Grapalat" w:hAnsi="GHEA Grapalat" w:cs="Sylfaen"/>
                <w:sz w:val="20"/>
                <w:szCs w:val="20"/>
              </w:rPr>
              <w:t>այն</w:t>
            </w:r>
            <w:r w:rsidRPr="0053423A">
              <w:rPr>
                <w:rFonts w:ascii="GHEA Grapalat" w:hAnsi="GHEA Grapalat"/>
                <w:sz w:val="20"/>
                <w:szCs w:val="20"/>
                <w:lang w:val="ru-RU"/>
              </w:rPr>
              <w:t xml:space="preserve"> </w:t>
            </w:r>
            <w:r w:rsidRPr="0053423A">
              <w:rPr>
                <w:rFonts w:ascii="GHEA Grapalat" w:hAnsi="GHEA Grapalat" w:cs="Sylfaen"/>
                <w:sz w:val="20"/>
                <w:szCs w:val="20"/>
              </w:rPr>
              <w:t>կետերով</w:t>
            </w:r>
            <w:r w:rsidRPr="0053423A">
              <w:rPr>
                <w:rFonts w:ascii="GHEA Grapalat" w:hAnsi="GHEA Grapalat"/>
                <w:sz w:val="20"/>
                <w:szCs w:val="20"/>
                <w:lang w:val="ru-RU"/>
              </w:rPr>
              <w:t xml:space="preserve">, </w:t>
            </w:r>
            <w:r w:rsidRPr="0053423A">
              <w:rPr>
                <w:rFonts w:ascii="GHEA Grapalat" w:hAnsi="GHEA Grapalat" w:cs="Sylfaen"/>
                <w:sz w:val="20"/>
                <w:szCs w:val="20"/>
              </w:rPr>
              <w:t>որոնցով</w:t>
            </w:r>
            <w:r w:rsidRPr="0053423A">
              <w:rPr>
                <w:rFonts w:ascii="GHEA Grapalat" w:hAnsi="GHEA Grapalat"/>
                <w:sz w:val="20"/>
                <w:szCs w:val="20"/>
                <w:lang w:val="ru-RU"/>
              </w:rPr>
              <w:t xml:space="preserve"> </w:t>
            </w:r>
            <w:r w:rsidRPr="0053423A">
              <w:rPr>
                <w:rFonts w:ascii="GHEA Grapalat" w:hAnsi="GHEA Grapalat" w:cs="Sylfaen"/>
                <w:sz w:val="20"/>
                <w:szCs w:val="20"/>
              </w:rPr>
              <w:t>ունի</w:t>
            </w:r>
            <w:r w:rsidRPr="0053423A">
              <w:rPr>
                <w:rFonts w:ascii="GHEA Grapalat" w:hAnsi="GHEA Grapalat"/>
                <w:sz w:val="20"/>
                <w:szCs w:val="20"/>
                <w:lang w:val="ru-RU"/>
              </w:rPr>
              <w:t xml:space="preserve"> </w:t>
            </w:r>
            <w:r w:rsidRPr="0053423A">
              <w:rPr>
                <w:rFonts w:ascii="GHEA Grapalat" w:hAnsi="GHEA Grapalat" w:cs="Sylfaen"/>
                <w:sz w:val="20"/>
                <w:szCs w:val="20"/>
              </w:rPr>
              <w:t>հստակ</w:t>
            </w:r>
            <w:r w:rsidRPr="0053423A">
              <w:rPr>
                <w:rFonts w:ascii="GHEA Grapalat" w:hAnsi="GHEA Grapalat"/>
                <w:sz w:val="20"/>
                <w:szCs w:val="20"/>
                <w:lang w:val="ru-RU"/>
              </w:rPr>
              <w:t xml:space="preserve"> </w:t>
            </w:r>
            <w:r w:rsidRPr="0053423A">
              <w:rPr>
                <w:rFonts w:ascii="GHEA Grapalat" w:hAnsi="GHEA Grapalat" w:cs="Sylfaen"/>
                <w:sz w:val="20"/>
                <w:szCs w:val="20"/>
              </w:rPr>
              <w:t>պարտավորություններ</w:t>
            </w:r>
            <w:r w:rsidRPr="0053423A">
              <w:rPr>
                <w:rFonts w:ascii="GHEA Grapalat" w:hAnsi="GHEA Grapalat"/>
                <w:sz w:val="20"/>
                <w:szCs w:val="20"/>
                <w:lang w:val="ru-RU"/>
              </w:rPr>
              <w:t xml:space="preserve">: </w:t>
            </w:r>
            <w:r w:rsidRPr="0053423A">
              <w:rPr>
                <w:rFonts w:ascii="GHEA Grapalat" w:hAnsi="GHEA Grapalat" w:cs="Sylfaen"/>
                <w:sz w:val="20"/>
                <w:szCs w:val="20"/>
              </w:rPr>
              <w:t>Այն</w:t>
            </w:r>
            <w:r w:rsidRPr="0053423A">
              <w:rPr>
                <w:rFonts w:ascii="GHEA Grapalat" w:hAnsi="GHEA Grapalat"/>
                <w:sz w:val="20"/>
                <w:szCs w:val="20"/>
                <w:lang w:val="ru-RU"/>
              </w:rPr>
              <w:t xml:space="preserve"> </w:t>
            </w:r>
            <w:r w:rsidRPr="0053423A">
              <w:rPr>
                <w:rFonts w:ascii="GHEA Grapalat" w:hAnsi="GHEA Grapalat" w:cs="Sylfaen"/>
                <w:sz w:val="20"/>
                <w:szCs w:val="20"/>
              </w:rPr>
              <w:t>իրենից</w:t>
            </w:r>
            <w:r w:rsidRPr="0053423A">
              <w:rPr>
                <w:rFonts w:ascii="GHEA Grapalat" w:hAnsi="GHEA Grapalat"/>
                <w:sz w:val="20"/>
                <w:szCs w:val="20"/>
                <w:lang w:val="ru-RU"/>
              </w:rPr>
              <w:t xml:space="preserve"> </w:t>
            </w:r>
            <w:r w:rsidRPr="0053423A">
              <w:rPr>
                <w:rFonts w:ascii="GHEA Grapalat" w:hAnsi="GHEA Grapalat" w:cs="Sylfaen"/>
                <w:sz w:val="20"/>
                <w:szCs w:val="20"/>
              </w:rPr>
              <w:t>ներկայացնում</w:t>
            </w:r>
            <w:r w:rsidRPr="0053423A">
              <w:rPr>
                <w:rFonts w:ascii="GHEA Grapalat" w:hAnsi="GHEA Grapalat"/>
                <w:sz w:val="20"/>
                <w:szCs w:val="20"/>
                <w:lang w:val="ru-RU"/>
              </w:rPr>
              <w:t xml:space="preserve"> </w:t>
            </w:r>
            <w:r w:rsidRPr="0053423A">
              <w:rPr>
                <w:rFonts w:ascii="GHEA Grapalat" w:hAnsi="GHEA Grapalat" w:cs="Sylfaen"/>
                <w:sz w:val="20"/>
                <w:szCs w:val="20"/>
              </w:rPr>
              <w:t>է</w:t>
            </w:r>
            <w:r w:rsidRPr="0053423A">
              <w:rPr>
                <w:rFonts w:ascii="GHEA Grapalat" w:hAnsi="GHEA Grapalat"/>
                <w:sz w:val="20"/>
                <w:szCs w:val="20"/>
                <w:lang w:val="ru-RU"/>
              </w:rPr>
              <w:t xml:space="preserve"> </w:t>
            </w:r>
            <w:r w:rsidRPr="0053423A">
              <w:rPr>
                <w:rFonts w:ascii="GHEA Grapalat" w:hAnsi="GHEA Grapalat" w:cs="Sylfaen"/>
                <w:sz w:val="20"/>
                <w:szCs w:val="20"/>
              </w:rPr>
              <w:t>եռաշերտ</w:t>
            </w:r>
            <w:r w:rsidRPr="0053423A">
              <w:rPr>
                <w:rFonts w:ascii="GHEA Grapalat" w:hAnsi="GHEA Grapalat"/>
                <w:sz w:val="20"/>
                <w:szCs w:val="20"/>
                <w:lang w:val="ru-RU"/>
              </w:rPr>
              <w:t xml:space="preserve"> </w:t>
            </w:r>
            <w:r w:rsidRPr="0053423A">
              <w:rPr>
                <w:rFonts w:ascii="GHEA Grapalat" w:hAnsi="GHEA Grapalat" w:cs="Sylfaen"/>
                <w:sz w:val="20"/>
                <w:szCs w:val="20"/>
              </w:rPr>
              <w:t>համակարգ</w:t>
            </w:r>
            <w:r w:rsidRPr="0053423A">
              <w:rPr>
                <w:rFonts w:ascii="GHEA Grapalat" w:hAnsi="GHEA Grapalat"/>
                <w:sz w:val="20"/>
                <w:szCs w:val="20"/>
                <w:lang w:val="ru-RU"/>
              </w:rPr>
              <w:t xml:space="preserve"> (</w:t>
            </w:r>
            <w:r w:rsidRPr="0053423A">
              <w:rPr>
                <w:rFonts w:ascii="GHEA Grapalat" w:hAnsi="GHEA Grapalat" w:cs="Sylfaen"/>
                <w:sz w:val="20"/>
                <w:szCs w:val="20"/>
              </w:rPr>
              <w:t>տեղեկատվությունը</w:t>
            </w:r>
            <w:r w:rsidRPr="0053423A">
              <w:rPr>
                <w:rFonts w:ascii="GHEA Grapalat" w:hAnsi="GHEA Grapalat"/>
                <w:sz w:val="20"/>
                <w:szCs w:val="20"/>
                <w:lang w:val="ru-RU"/>
              </w:rPr>
              <w:t xml:space="preserve"> </w:t>
            </w:r>
            <w:r w:rsidRPr="0053423A">
              <w:rPr>
                <w:rFonts w:ascii="GHEA Grapalat" w:hAnsi="GHEA Grapalat" w:cs="Sylfaen"/>
                <w:sz w:val="20"/>
                <w:szCs w:val="20"/>
              </w:rPr>
              <w:t>մուտքագրող</w:t>
            </w:r>
            <w:r w:rsidRPr="0053423A">
              <w:rPr>
                <w:rFonts w:ascii="GHEA Grapalat" w:hAnsi="GHEA Grapalat"/>
                <w:sz w:val="20"/>
                <w:szCs w:val="20"/>
                <w:lang w:val="ru-RU"/>
              </w:rPr>
              <w:t xml:space="preserve">, </w:t>
            </w:r>
            <w:r w:rsidRPr="0053423A">
              <w:rPr>
                <w:rFonts w:ascii="GHEA Grapalat" w:hAnsi="GHEA Grapalat" w:cs="Sylfaen"/>
                <w:sz w:val="20"/>
                <w:szCs w:val="20"/>
              </w:rPr>
              <w:t>տեղեկատվությունը</w:t>
            </w:r>
            <w:r w:rsidRPr="0053423A">
              <w:rPr>
                <w:rFonts w:ascii="GHEA Grapalat" w:hAnsi="GHEA Grapalat"/>
                <w:sz w:val="20"/>
                <w:szCs w:val="20"/>
                <w:lang w:val="ru-RU"/>
              </w:rPr>
              <w:t xml:space="preserve"> </w:t>
            </w:r>
            <w:r w:rsidRPr="0053423A">
              <w:rPr>
                <w:rFonts w:ascii="GHEA Grapalat" w:hAnsi="GHEA Grapalat" w:cs="Sylfaen"/>
                <w:sz w:val="20"/>
                <w:szCs w:val="20"/>
              </w:rPr>
              <w:t>վավերացնող</w:t>
            </w:r>
            <w:r w:rsidRPr="0053423A">
              <w:rPr>
                <w:rFonts w:ascii="GHEA Grapalat" w:hAnsi="GHEA Grapalat"/>
                <w:sz w:val="20"/>
                <w:szCs w:val="20"/>
                <w:lang w:val="ru-RU"/>
              </w:rPr>
              <w:t xml:space="preserve"> </w:t>
            </w:r>
            <w:r w:rsidRPr="0053423A">
              <w:rPr>
                <w:rFonts w:ascii="GHEA Grapalat" w:hAnsi="GHEA Grapalat" w:cs="Sylfaen"/>
                <w:sz w:val="20"/>
                <w:szCs w:val="20"/>
              </w:rPr>
              <w:t>և</w:t>
            </w:r>
            <w:r w:rsidRPr="0053423A">
              <w:rPr>
                <w:rFonts w:ascii="GHEA Grapalat" w:hAnsi="GHEA Grapalat"/>
                <w:sz w:val="20"/>
                <w:szCs w:val="20"/>
                <w:lang w:val="ru-RU"/>
              </w:rPr>
              <w:t xml:space="preserve"> </w:t>
            </w:r>
            <w:r w:rsidRPr="0053423A">
              <w:rPr>
                <w:rFonts w:ascii="GHEA Grapalat" w:hAnsi="GHEA Grapalat" w:cs="Sylfaen"/>
                <w:sz w:val="20"/>
                <w:szCs w:val="20"/>
              </w:rPr>
              <w:t>տեղեկատվությունը</w:t>
            </w:r>
            <w:r w:rsidRPr="0053423A">
              <w:rPr>
                <w:rFonts w:ascii="GHEA Grapalat" w:hAnsi="GHEA Grapalat"/>
                <w:sz w:val="20"/>
                <w:szCs w:val="20"/>
                <w:lang w:val="ru-RU"/>
              </w:rPr>
              <w:t xml:space="preserve"> </w:t>
            </w:r>
            <w:r w:rsidRPr="0053423A">
              <w:rPr>
                <w:rFonts w:ascii="GHEA Grapalat" w:hAnsi="GHEA Grapalat" w:cs="Sylfaen"/>
                <w:sz w:val="20"/>
                <w:szCs w:val="20"/>
              </w:rPr>
              <w:t>հաստատող</w:t>
            </w:r>
            <w:r w:rsidRPr="0053423A">
              <w:rPr>
                <w:rFonts w:ascii="GHEA Grapalat" w:hAnsi="GHEA Grapalat"/>
                <w:sz w:val="20"/>
                <w:szCs w:val="20"/>
                <w:lang w:val="ru-RU"/>
              </w:rPr>
              <w:t xml:space="preserve">): </w:t>
            </w:r>
            <w:r w:rsidRPr="0053423A">
              <w:rPr>
                <w:rFonts w:ascii="GHEA Grapalat" w:hAnsi="GHEA Grapalat" w:cs="Sylfaen"/>
                <w:sz w:val="20"/>
                <w:szCs w:val="20"/>
              </w:rPr>
              <w:t>Կախված</w:t>
            </w:r>
            <w:r w:rsidRPr="0053423A">
              <w:rPr>
                <w:rFonts w:ascii="GHEA Grapalat" w:hAnsi="GHEA Grapalat"/>
                <w:sz w:val="20"/>
                <w:szCs w:val="20"/>
                <w:lang w:val="ru-RU"/>
              </w:rPr>
              <w:t xml:space="preserve"> </w:t>
            </w:r>
            <w:r w:rsidRPr="0053423A">
              <w:rPr>
                <w:rFonts w:ascii="GHEA Grapalat" w:hAnsi="GHEA Grapalat" w:cs="Sylfaen"/>
                <w:sz w:val="20"/>
                <w:szCs w:val="20"/>
              </w:rPr>
              <w:t>նրանցից</w:t>
            </w:r>
            <w:r w:rsidRPr="0053423A">
              <w:rPr>
                <w:rFonts w:ascii="GHEA Grapalat" w:hAnsi="GHEA Grapalat"/>
                <w:sz w:val="20"/>
                <w:szCs w:val="20"/>
                <w:lang w:val="ru-RU"/>
              </w:rPr>
              <w:t xml:space="preserve">, </w:t>
            </w:r>
            <w:r w:rsidRPr="0053423A">
              <w:rPr>
                <w:rFonts w:ascii="GHEA Grapalat" w:hAnsi="GHEA Grapalat" w:cs="Sylfaen"/>
                <w:sz w:val="20"/>
                <w:szCs w:val="20"/>
              </w:rPr>
              <w:t>թե</w:t>
            </w:r>
            <w:r w:rsidRPr="0053423A">
              <w:rPr>
                <w:rFonts w:ascii="GHEA Grapalat" w:hAnsi="GHEA Grapalat"/>
                <w:sz w:val="20"/>
                <w:szCs w:val="20"/>
                <w:lang w:val="ru-RU"/>
              </w:rPr>
              <w:t xml:space="preserve"> </w:t>
            </w:r>
            <w:r w:rsidRPr="0053423A">
              <w:rPr>
                <w:rFonts w:ascii="GHEA Grapalat" w:hAnsi="GHEA Grapalat" w:cs="Sylfaen"/>
                <w:sz w:val="20"/>
                <w:szCs w:val="20"/>
              </w:rPr>
              <w:t>ռազմավարության</w:t>
            </w:r>
            <w:r w:rsidRPr="0053423A">
              <w:rPr>
                <w:rFonts w:ascii="GHEA Grapalat" w:hAnsi="GHEA Grapalat"/>
                <w:sz w:val="20"/>
                <w:szCs w:val="20"/>
                <w:lang w:val="ru-RU"/>
              </w:rPr>
              <w:t xml:space="preserve"> </w:t>
            </w:r>
            <w:r w:rsidRPr="0053423A">
              <w:rPr>
                <w:rFonts w:ascii="GHEA Grapalat" w:hAnsi="GHEA Grapalat" w:cs="Sylfaen"/>
                <w:sz w:val="20"/>
                <w:szCs w:val="20"/>
              </w:rPr>
              <w:t>որ</w:t>
            </w:r>
            <w:r w:rsidRPr="0053423A">
              <w:rPr>
                <w:rFonts w:ascii="GHEA Grapalat" w:hAnsi="GHEA Grapalat"/>
                <w:sz w:val="20"/>
                <w:szCs w:val="20"/>
                <w:lang w:val="ru-RU"/>
              </w:rPr>
              <w:t xml:space="preserve"> </w:t>
            </w:r>
            <w:r w:rsidRPr="0053423A">
              <w:rPr>
                <w:rFonts w:ascii="GHEA Grapalat" w:hAnsi="GHEA Grapalat" w:cs="Sylfaen"/>
                <w:sz w:val="20"/>
                <w:szCs w:val="20"/>
              </w:rPr>
              <w:t>կետին</w:t>
            </w:r>
            <w:r w:rsidRPr="0053423A">
              <w:rPr>
                <w:rFonts w:ascii="GHEA Grapalat" w:hAnsi="GHEA Grapalat"/>
                <w:sz w:val="20"/>
                <w:szCs w:val="20"/>
                <w:lang w:val="ru-RU"/>
              </w:rPr>
              <w:t xml:space="preserve"> </w:t>
            </w:r>
            <w:r w:rsidRPr="0053423A">
              <w:rPr>
                <w:rFonts w:ascii="GHEA Grapalat" w:hAnsi="GHEA Grapalat" w:cs="Sylfaen"/>
                <w:sz w:val="20"/>
                <w:szCs w:val="20"/>
              </w:rPr>
              <w:t>է</w:t>
            </w:r>
            <w:r w:rsidRPr="0053423A">
              <w:rPr>
                <w:rFonts w:ascii="GHEA Grapalat" w:hAnsi="GHEA Grapalat"/>
                <w:sz w:val="20"/>
                <w:szCs w:val="20"/>
                <w:lang w:val="ru-RU"/>
              </w:rPr>
              <w:t xml:space="preserve"> </w:t>
            </w:r>
            <w:r w:rsidRPr="0053423A">
              <w:rPr>
                <w:rFonts w:ascii="GHEA Grapalat" w:hAnsi="GHEA Grapalat" w:cs="Sylfaen"/>
                <w:sz w:val="20"/>
                <w:szCs w:val="20"/>
              </w:rPr>
              <w:t>վերաբերում</w:t>
            </w:r>
            <w:r w:rsidRPr="0053423A">
              <w:rPr>
                <w:rFonts w:ascii="GHEA Grapalat" w:hAnsi="GHEA Grapalat"/>
                <w:sz w:val="20"/>
                <w:szCs w:val="20"/>
                <w:lang w:val="ru-RU"/>
              </w:rPr>
              <w:t xml:space="preserve"> </w:t>
            </w:r>
            <w:r w:rsidRPr="0053423A">
              <w:rPr>
                <w:rFonts w:ascii="GHEA Grapalat" w:hAnsi="GHEA Grapalat" w:cs="Sylfaen"/>
                <w:sz w:val="20"/>
                <w:szCs w:val="20"/>
              </w:rPr>
              <w:t>տեղեկատվությունը՝</w:t>
            </w:r>
            <w:r w:rsidRPr="0053423A">
              <w:rPr>
                <w:rFonts w:ascii="GHEA Grapalat" w:hAnsi="GHEA Grapalat"/>
                <w:sz w:val="20"/>
                <w:szCs w:val="20"/>
                <w:lang w:val="ru-RU"/>
              </w:rPr>
              <w:t xml:space="preserve"> </w:t>
            </w:r>
            <w:r w:rsidRPr="0053423A">
              <w:rPr>
                <w:rFonts w:ascii="GHEA Grapalat" w:hAnsi="GHEA Grapalat" w:cs="Sylfaen"/>
                <w:sz w:val="20"/>
                <w:szCs w:val="20"/>
              </w:rPr>
              <w:t>այն</w:t>
            </w:r>
            <w:r w:rsidRPr="0053423A">
              <w:rPr>
                <w:rFonts w:ascii="GHEA Grapalat" w:hAnsi="GHEA Grapalat"/>
                <w:sz w:val="20"/>
                <w:szCs w:val="20"/>
                <w:lang w:val="ru-RU"/>
              </w:rPr>
              <w:t xml:space="preserve"> </w:t>
            </w:r>
            <w:r w:rsidRPr="0053423A">
              <w:rPr>
                <w:rFonts w:ascii="GHEA Grapalat" w:hAnsi="GHEA Grapalat" w:cs="Sylfaen"/>
                <w:sz w:val="20"/>
                <w:szCs w:val="20"/>
              </w:rPr>
              <w:t>մուտքագրողը</w:t>
            </w:r>
            <w:r w:rsidRPr="0053423A">
              <w:rPr>
                <w:rFonts w:ascii="GHEA Grapalat" w:hAnsi="GHEA Grapalat"/>
                <w:sz w:val="20"/>
                <w:szCs w:val="20"/>
                <w:lang w:val="ru-RU"/>
              </w:rPr>
              <w:t xml:space="preserve">, </w:t>
            </w:r>
            <w:r w:rsidRPr="0053423A">
              <w:rPr>
                <w:rFonts w:ascii="GHEA Grapalat" w:hAnsi="GHEA Grapalat" w:cs="Sylfaen"/>
                <w:sz w:val="20"/>
                <w:szCs w:val="20"/>
              </w:rPr>
              <w:t>վավերացնողը</w:t>
            </w:r>
            <w:r w:rsidRPr="0053423A">
              <w:rPr>
                <w:rFonts w:ascii="GHEA Grapalat" w:hAnsi="GHEA Grapalat"/>
                <w:sz w:val="20"/>
                <w:szCs w:val="20"/>
                <w:lang w:val="ru-RU"/>
              </w:rPr>
              <w:t xml:space="preserve"> </w:t>
            </w:r>
            <w:r w:rsidRPr="0053423A">
              <w:rPr>
                <w:rFonts w:ascii="GHEA Grapalat" w:hAnsi="GHEA Grapalat" w:cs="Sylfaen"/>
                <w:sz w:val="20"/>
                <w:szCs w:val="20"/>
              </w:rPr>
              <w:t>և</w:t>
            </w:r>
            <w:r w:rsidRPr="0053423A">
              <w:rPr>
                <w:rFonts w:ascii="GHEA Grapalat" w:hAnsi="GHEA Grapalat"/>
                <w:sz w:val="20"/>
                <w:szCs w:val="20"/>
                <w:lang w:val="ru-RU"/>
              </w:rPr>
              <w:t xml:space="preserve"> </w:t>
            </w:r>
            <w:r w:rsidRPr="0053423A">
              <w:rPr>
                <w:rFonts w:ascii="GHEA Grapalat" w:hAnsi="GHEA Grapalat" w:cs="Sylfaen"/>
                <w:sz w:val="20"/>
                <w:szCs w:val="20"/>
              </w:rPr>
              <w:t>հաստատողը</w:t>
            </w:r>
            <w:r w:rsidRPr="0053423A">
              <w:rPr>
                <w:rFonts w:ascii="GHEA Grapalat" w:hAnsi="GHEA Grapalat"/>
                <w:sz w:val="20"/>
                <w:szCs w:val="20"/>
                <w:lang w:val="ru-RU"/>
              </w:rPr>
              <w:t xml:space="preserve"> </w:t>
            </w:r>
            <w:r w:rsidRPr="0053423A">
              <w:rPr>
                <w:rFonts w:ascii="GHEA Grapalat" w:hAnsi="GHEA Grapalat" w:cs="Sylfaen"/>
                <w:sz w:val="20"/>
                <w:szCs w:val="20"/>
              </w:rPr>
              <w:t>կարող</w:t>
            </w:r>
            <w:r w:rsidRPr="0053423A">
              <w:rPr>
                <w:rFonts w:ascii="GHEA Grapalat" w:hAnsi="GHEA Grapalat"/>
                <w:sz w:val="20"/>
                <w:szCs w:val="20"/>
                <w:lang w:val="ru-RU"/>
              </w:rPr>
              <w:t xml:space="preserve"> </w:t>
            </w:r>
            <w:r w:rsidRPr="0053423A">
              <w:rPr>
                <w:rFonts w:ascii="GHEA Grapalat" w:hAnsi="GHEA Grapalat" w:cs="Sylfaen"/>
                <w:sz w:val="20"/>
                <w:szCs w:val="20"/>
              </w:rPr>
              <w:t>են</w:t>
            </w:r>
            <w:r w:rsidRPr="0053423A">
              <w:rPr>
                <w:rFonts w:ascii="GHEA Grapalat" w:hAnsi="GHEA Grapalat"/>
                <w:sz w:val="20"/>
                <w:szCs w:val="20"/>
                <w:lang w:val="ru-RU"/>
              </w:rPr>
              <w:t xml:space="preserve"> </w:t>
            </w:r>
            <w:r w:rsidRPr="0053423A">
              <w:rPr>
                <w:rFonts w:ascii="GHEA Grapalat" w:hAnsi="GHEA Grapalat" w:cs="Sylfaen"/>
                <w:sz w:val="20"/>
                <w:szCs w:val="20"/>
              </w:rPr>
              <w:t>լինել</w:t>
            </w:r>
            <w:r w:rsidRPr="0053423A">
              <w:rPr>
                <w:rFonts w:ascii="GHEA Grapalat" w:hAnsi="GHEA Grapalat"/>
                <w:sz w:val="20"/>
                <w:szCs w:val="20"/>
                <w:lang w:val="ru-RU"/>
              </w:rPr>
              <w:t xml:space="preserve"> </w:t>
            </w:r>
            <w:r w:rsidRPr="0053423A">
              <w:rPr>
                <w:rFonts w:ascii="GHEA Grapalat" w:hAnsi="GHEA Grapalat" w:cs="Sylfaen"/>
                <w:sz w:val="20"/>
                <w:szCs w:val="20"/>
              </w:rPr>
              <w:t>տարբեր</w:t>
            </w:r>
            <w:r w:rsidRPr="0053423A">
              <w:rPr>
                <w:rFonts w:ascii="GHEA Grapalat" w:hAnsi="GHEA Grapalat"/>
                <w:sz w:val="20"/>
                <w:szCs w:val="20"/>
                <w:lang w:val="ru-RU"/>
              </w:rPr>
              <w:t xml:space="preserve"> </w:t>
            </w:r>
            <w:r w:rsidRPr="0053423A">
              <w:rPr>
                <w:rFonts w:ascii="GHEA Grapalat" w:hAnsi="GHEA Grapalat" w:cs="Sylfaen"/>
                <w:sz w:val="20"/>
                <w:szCs w:val="20"/>
              </w:rPr>
              <w:t>կառույցներ</w:t>
            </w:r>
            <w:r w:rsidRPr="0053423A">
              <w:rPr>
                <w:rFonts w:ascii="GHEA Grapalat" w:hAnsi="GHEA Grapalat"/>
                <w:sz w:val="20"/>
                <w:szCs w:val="20"/>
                <w:lang w:val="ru-RU"/>
              </w:rPr>
              <w:t>:</w:t>
            </w:r>
          </w:p>
          <w:p w:rsidR="006B0618" w:rsidRPr="0053423A" w:rsidRDefault="006B0618" w:rsidP="00A67858">
            <w:pPr>
              <w:pStyle w:val="NormalWeb"/>
              <w:spacing w:before="0" w:beforeAutospacing="0" w:after="0" w:afterAutospacing="0" w:line="276" w:lineRule="auto"/>
              <w:ind w:firstLine="708"/>
              <w:jc w:val="both"/>
              <w:rPr>
                <w:rFonts w:ascii="GHEA Grapalat" w:hAnsi="GHEA Grapalat"/>
                <w:b/>
                <w:i/>
                <w:sz w:val="20"/>
                <w:szCs w:val="20"/>
                <w:lang w:val="ru-RU"/>
              </w:rPr>
            </w:pPr>
            <w:r w:rsidRPr="0053423A">
              <w:rPr>
                <w:rFonts w:ascii="GHEA Grapalat" w:hAnsi="GHEA Grapalat" w:cs="Sylfaen"/>
                <w:sz w:val="20"/>
                <w:szCs w:val="20"/>
              </w:rPr>
              <w:t>Առցանց</w:t>
            </w:r>
            <w:r w:rsidRPr="0053423A">
              <w:rPr>
                <w:rFonts w:ascii="GHEA Grapalat" w:hAnsi="GHEA Grapalat"/>
                <w:sz w:val="20"/>
                <w:szCs w:val="20"/>
                <w:lang w:val="ru-RU"/>
              </w:rPr>
              <w:t xml:space="preserve"> </w:t>
            </w:r>
            <w:r w:rsidRPr="0053423A">
              <w:rPr>
                <w:rFonts w:ascii="GHEA Grapalat" w:hAnsi="GHEA Grapalat" w:cs="Sylfaen"/>
                <w:sz w:val="20"/>
                <w:szCs w:val="20"/>
              </w:rPr>
              <w:t>մոնիտորինգային</w:t>
            </w:r>
            <w:r w:rsidRPr="0053423A">
              <w:rPr>
                <w:rFonts w:ascii="GHEA Grapalat" w:hAnsi="GHEA Grapalat"/>
                <w:sz w:val="20"/>
                <w:szCs w:val="20"/>
                <w:lang w:val="ru-RU"/>
              </w:rPr>
              <w:t xml:space="preserve"> </w:t>
            </w:r>
            <w:r w:rsidRPr="0053423A">
              <w:rPr>
                <w:rFonts w:ascii="GHEA Grapalat" w:hAnsi="GHEA Grapalat" w:cs="Sylfaen"/>
                <w:sz w:val="20"/>
                <w:szCs w:val="20"/>
              </w:rPr>
              <w:t>համակարգը</w:t>
            </w:r>
            <w:r w:rsidRPr="0053423A">
              <w:rPr>
                <w:rFonts w:ascii="GHEA Grapalat" w:hAnsi="GHEA Grapalat"/>
                <w:sz w:val="20"/>
                <w:szCs w:val="20"/>
                <w:lang w:val="ru-RU"/>
              </w:rPr>
              <w:t xml:space="preserve"> </w:t>
            </w:r>
            <w:r w:rsidRPr="0053423A">
              <w:rPr>
                <w:rFonts w:ascii="GHEA Grapalat" w:hAnsi="GHEA Grapalat" w:cs="Sylfaen"/>
                <w:sz w:val="20"/>
                <w:szCs w:val="20"/>
              </w:rPr>
              <w:t>շահագրգիռ</w:t>
            </w:r>
            <w:r w:rsidRPr="0053423A">
              <w:rPr>
                <w:rFonts w:ascii="GHEA Grapalat" w:hAnsi="GHEA Grapalat"/>
                <w:sz w:val="20"/>
                <w:szCs w:val="20"/>
                <w:lang w:val="ru-RU"/>
              </w:rPr>
              <w:t xml:space="preserve"> </w:t>
            </w:r>
            <w:r w:rsidRPr="0053423A">
              <w:rPr>
                <w:rFonts w:ascii="GHEA Grapalat" w:hAnsi="GHEA Grapalat" w:cs="Sylfaen"/>
                <w:sz w:val="20"/>
                <w:szCs w:val="20"/>
              </w:rPr>
              <w:t>կառույցների</w:t>
            </w:r>
            <w:r w:rsidRPr="0053423A">
              <w:rPr>
                <w:rFonts w:ascii="GHEA Grapalat" w:hAnsi="GHEA Grapalat"/>
                <w:sz w:val="20"/>
                <w:szCs w:val="20"/>
                <w:lang w:val="ru-RU"/>
              </w:rPr>
              <w:t xml:space="preserve"> </w:t>
            </w:r>
            <w:r w:rsidRPr="0053423A">
              <w:rPr>
                <w:rFonts w:ascii="GHEA Grapalat" w:hAnsi="GHEA Grapalat" w:cs="Sylfaen"/>
                <w:sz w:val="20"/>
                <w:szCs w:val="20"/>
              </w:rPr>
              <w:t>ներկայացուցիչներին</w:t>
            </w:r>
            <w:r w:rsidRPr="0053423A">
              <w:rPr>
                <w:rFonts w:ascii="GHEA Grapalat" w:hAnsi="GHEA Grapalat"/>
                <w:sz w:val="20"/>
                <w:szCs w:val="20"/>
                <w:lang w:val="ru-RU"/>
              </w:rPr>
              <w:t xml:space="preserve"> </w:t>
            </w:r>
            <w:r w:rsidRPr="0053423A">
              <w:rPr>
                <w:rFonts w:ascii="GHEA Grapalat" w:hAnsi="GHEA Grapalat" w:cs="Sylfaen"/>
                <w:sz w:val="20"/>
                <w:szCs w:val="20"/>
              </w:rPr>
              <w:t>ներկայացնելու</w:t>
            </w:r>
            <w:r w:rsidRPr="0053423A">
              <w:rPr>
                <w:rFonts w:ascii="GHEA Grapalat" w:hAnsi="GHEA Grapalat"/>
                <w:sz w:val="20"/>
                <w:szCs w:val="20"/>
                <w:lang w:val="ru-RU"/>
              </w:rPr>
              <w:t xml:space="preserve">, </w:t>
            </w:r>
            <w:r w:rsidRPr="0053423A">
              <w:rPr>
                <w:rFonts w:ascii="GHEA Grapalat" w:hAnsi="GHEA Grapalat" w:cs="Sylfaen"/>
                <w:sz w:val="20"/>
                <w:szCs w:val="20"/>
              </w:rPr>
              <w:t>ինչպես</w:t>
            </w:r>
            <w:r w:rsidRPr="0053423A">
              <w:rPr>
                <w:rFonts w:ascii="GHEA Grapalat" w:hAnsi="GHEA Grapalat"/>
                <w:sz w:val="20"/>
                <w:szCs w:val="20"/>
                <w:lang w:val="ru-RU"/>
              </w:rPr>
              <w:t xml:space="preserve"> </w:t>
            </w:r>
            <w:r w:rsidRPr="0053423A">
              <w:rPr>
                <w:rFonts w:ascii="GHEA Grapalat" w:hAnsi="GHEA Grapalat" w:cs="Sylfaen"/>
                <w:sz w:val="20"/>
                <w:szCs w:val="20"/>
              </w:rPr>
              <w:t>նաև</w:t>
            </w:r>
            <w:r w:rsidRPr="0053423A">
              <w:rPr>
                <w:rFonts w:ascii="GHEA Grapalat" w:hAnsi="GHEA Grapalat"/>
                <w:sz w:val="20"/>
                <w:szCs w:val="20"/>
                <w:lang w:val="ru-RU"/>
              </w:rPr>
              <w:t xml:space="preserve"> </w:t>
            </w:r>
            <w:r w:rsidRPr="0053423A">
              <w:rPr>
                <w:rFonts w:ascii="GHEA Grapalat" w:hAnsi="GHEA Grapalat" w:cs="Sylfaen"/>
                <w:sz w:val="20"/>
                <w:szCs w:val="20"/>
              </w:rPr>
              <w:t>համակարգից</w:t>
            </w:r>
            <w:r w:rsidRPr="0053423A">
              <w:rPr>
                <w:rFonts w:ascii="GHEA Grapalat" w:hAnsi="GHEA Grapalat"/>
                <w:sz w:val="20"/>
                <w:szCs w:val="20"/>
                <w:lang w:val="ru-RU"/>
              </w:rPr>
              <w:t xml:space="preserve"> </w:t>
            </w:r>
            <w:r w:rsidRPr="0053423A">
              <w:rPr>
                <w:rFonts w:ascii="GHEA Grapalat" w:hAnsi="GHEA Grapalat" w:cs="Sylfaen"/>
                <w:sz w:val="20"/>
                <w:szCs w:val="20"/>
              </w:rPr>
              <w:t>օգտվելու</w:t>
            </w:r>
            <w:r w:rsidRPr="0053423A">
              <w:rPr>
                <w:rFonts w:ascii="GHEA Grapalat" w:hAnsi="GHEA Grapalat"/>
                <w:sz w:val="20"/>
                <w:szCs w:val="20"/>
                <w:lang w:val="ru-RU"/>
              </w:rPr>
              <w:t xml:space="preserve"> </w:t>
            </w:r>
            <w:r w:rsidRPr="0053423A">
              <w:rPr>
                <w:rFonts w:ascii="GHEA Grapalat" w:hAnsi="GHEA Grapalat" w:cs="Sylfaen"/>
                <w:sz w:val="20"/>
                <w:szCs w:val="20"/>
              </w:rPr>
              <w:t>կարգը</w:t>
            </w:r>
            <w:r w:rsidRPr="0053423A">
              <w:rPr>
                <w:rFonts w:ascii="GHEA Grapalat" w:hAnsi="GHEA Grapalat"/>
                <w:sz w:val="20"/>
                <w:szCs w:val="20"/>
                <w:lang w:val="ru-RU"/>
              </w:rPr>
              <w:t xml:space="preserve">, </w:t>
            </w:r>
            <w:r w:rsidRPr="0053423A">
              <w:rPr>
                <w:rFonts w:ascii="GHEA Grapalat" w:hAnsi="GHEA Grapalat" w:cs="Sylfaen"/>
                <w:sz w:val="20"/>
                <w:szCs w:val="20"/>
              </w:rPr>
              <w:t>և</w:t>
            </w:r>
            <w:r w:rsidRPr="0053423A">
              <w:rPr>
                <w:rFonts w:ascii="GHEA Grapalat" w:hAnsi="GHEA Grapalat"/>
                <w:sz w:val="20"/>
                <w:szCs w:val="20"/>
                <w:lang w:val="ru-RU"/>
              </w:rPr>
              <w:t xml:space="preserve"> </w:t>
            </w:r>
            <w:r w:rsidRPr="0053423A">
              <w:rPr>
                <w:rFonts w:ascii="GHEA Grapalat" w:hAnsi="GHEA Grapalat" w:cs="Sylfaen"/>
                <w:sz w:val="20"/>
                <w:szCs w:val="20"/>
              </w:rPr>
              <w:t>մեխանիզմները</w:t>
            </w:r>
            <w:r w:rsidRPr="0053423A">
              <w:rPr>
                <w:rFonts w:ascii="GHEA Grapalat" w:hAnsi="GHEA Grapalat"/>
                <w:sz w:val="20"/>
                <w:szCs w:val="20"/>
                <w:lang w:val="ru-RU"/>
              </w:rPr>
              <w:t xml:space="preserve"> </w:t>
            </w:r>
            <w:r w:rsidRPr="0053423A">
              <w:rPr>
                <w:rFonts w:ascii="GHEA Grapalat" w:hAnsi="GHEA Grapalat" w:cs="Sylfaen"/>
                <w:sz w:val="20"/>
                <w:szCs w:val="20"/>
              </w:rPr>
              <w:t>ուսուցանելու</w:t>
            </w:r>
            <w:r w:rsidRPr="0053423A">
              <w:rPr>
                <w:rFonts w:ascii="GHEA Grapalat" w:hAnsi="GHEA Grapalat"/>
                <w:sz w:val="20"/>
                <w:szCs w:val="20"/>
                <w:lang w:val="ru-RU"/>
              </w:rPr>
              <w:t xml:space="preserve"> </w:t>
            </w:r>
            <w:r w:rsidRPr="0053423A">
              <w:rPr>
                <w:rFonts w:ascii="GHEA Grapalat" w:hAnsi="GHEA Grapalat" w:cs="Sylfaen"/>
                <w:sz w:val="20"/>
                <w:szCs w:val="20"/>
              </w:rPr>
              <w:t>նպատակով՝</w:t>
            </w:r>
            <w:r w:rsidRPr="0053423A">
              <w:rPr>
                <w:rFonts w:ascii="GHEA Grapalat" w:hAnsi="GHEA Grapalat"/>
                <w:sz w:val="20"/>
                <w:szCs w:val="20"/>
                <w:lang w:val="ru-RU"/>
              </w:rPr>
              <w:t xml:space="preserve"> </w:t>
            </w:r>
            <w:r w:rsidRPr="0053423A">
              <w:rPr>
                <w:rFonts w:ascii="GHEA Grapalat" w:hAnsi="GHEA Grapalat" w:cs="Sylfaen"/>
                <w:sz w:val="20"/>
                <w:szCs w:val="20"/>
              </w:rPr>
              <w:t>ԱՌՆԱՊ</w:t>
            </w:r>
            <w:r w:rsidRPr="0053423A">
              <w:rPr>
                <w:rFonts w:ascii="GHEA Grapalat" w:hAnsi="GHEA Grapalat"/>
                <w:sz w:val="20"/>
                <w:szCs w:val="20"/>
                <w:lang w:val="ru-RU"/>
              </w:rPr>
              <w:t xml:space="preserve"> </w:t>
            </w:r>
            <w:r w:rsidRPr="0053423A">
              <w:rPr>
                <w:rFonts w:ascii="GHEA Grapalat" w:hAnsi="GHEA Grapalat" w:cs="Sylfaen"/>
                <w:sz w:val="20"/>
                <w:szCs w:val="20"/>
              </w:rPr>
              <w:t>հիմնադրամը</w:t>
            </w:r>
            <w:r w:rsidRPr="0053423A">
              <w:rPr>
                <w:rFonts w:ascii="GHEA Grapalat" w:hAnsi="GHEA Grapalat"/>
                <w:sz w:val="20"/>
                <w:szCs w:val="20"/>
                <w:lang w:val="ru-RU"/>
              </w:rPr>
              <w:t xml:space="preserve"> </w:t>
            </w:r>
            <w:r w:rsidRPr="0053423A">
              <w:rPr>
                <w:rFonts w:ascii="GHEA Grapalat" w:hAnsi="GHEA Grapalat" w:cs="Sylfaen"/>
                <w:sz w:val="20"/>
                <w:szCs w:val="20"/>
              </w:rPr>
              <w:t>ՀՀ</w:t>
            </w:r>
            <w:r w:rsidRPr="0053423A">
              <w:rPr>
                <w:rFonts w:ascii="GHEA Grapalat" w:hAnsi="GHEA Grapalat"/>
                <w:sz w:val="20"/>
                <w:szCs w:val="20"/>
                <w:lang w:val="ru-RU"/>
              </w:rPr>
              <w:t xml:space="preserve"> </w:t>
            </w:r>
            <w:r w:rsidRPr="0053423A">
              <w:rPr>
                <w:rFonts w:ascii="GHEA Grapalat" w:hAnsi="GHEA Grapalat" w:cs="Sylfaen"/>
                <w:sz w:val="20"/>
                <w:szCs w:val="20"/>
              </w:rPr>
              <w:t>ԱԻՆ</w:t>
            </w:r>
            <w:r w:rsidRPr="0053423A">
              <w:rPr>
                <w:rFonts w:ascii="GHEA Grapalat" w:hAnsi="GHEA Grapalat"/>
                <w:sz w:val="20"/>
                <w:szCs w:val="20"/>
                <w:lang w:val="ru-RU"/>
              </w:rPr>
              <w:t xml:space="preserve"> </w:t>
            </w:r>
            <w:r w:rsidRPr="0053423A">
              <w:rPr>
                <w:rFonts w:ascii="GHEA Grapalat" w:hAnsi="GHEA Grapalat" w:cs="Sylfaen"/>
                <w:sz w:val="20"/>
                <w:szCs w:val="20"/>
              </w:rPr>
              <w:t>և</w:t>
            </w:r>
            <w:r w:rsidRPr="0053423A">
              <w:rPr>
                <w:rFonts w:ascii="GHEA Grapalat" w:hAnsi="GHEA Grapalat"/>
                <w:sz w:val="20"/>
                <w:szCs w:val="20"/>
                <w:lang w:val="ru-RU"/>
              </w:rPr>
              <w:t xml:space="preserve"> </w:t>
            </w:r>
            <w:r w:rsidRPr="0053423A">
              <w:rPr>
                <w:rFonts w:ascii="GHEA Grapalat" w:hAnsi="GHEA Grapalat" w:cs="Sylfaen"/>
                <w:sz w:val="20"/>
                <w:szCs w:val="20"/>
              </w:rPr>
              <w:t>ՄԱԶԾ</w:t>
            </w:r>
            <w:r w:rsidRPr="0053423A">
              <w:rPr>
                <w:rFonts w:ascii="GHEA Grapalat" w:hAnsi="GHEA Grapalat"/>
                <w:sz w:val="20"/>
                <w:szCs w:val="20"/>
                <w:lang w:val="ru-RU"/>
              </w:rPr>
              <w:t xml:space="preserve"> </w:t>
            </w:r>
            <w:r w:rsidRPr="0053423A">
              <w:rPr>
                <w:rFonts w:ascii="GHEA Grapalat" w:hAnsi="GHEA Grapalat" w:cs="Sylfaen"/>
                <w:sz w:val="20"/>
                <w:szCs w:val="20"/>
              </w:rPr>
              <w:t>աջակցությամբ</w:t>
            </w:r>
            <w:r w:rsidRPr="0053423A">
              <w:rPr>
                <w:rFonts w:ascii="GHEA Grapalat" w:hAnsi="GHEA Grapalat"/>
                <w:sz w:val="20"/>
                <w:szCs w:val="20"/>
                <w:lang w:val="ru-RU"/>
              </w:rPr>
              <w:t xml:space="preserve"> </w:t>
            </w:r>
            <w:r w:rsidRPr="0053423A">
              <w:rPr>
                <w:rFonts w:ascii="GHEA Grapalat" w:hAnsi="GHEA Grapalat" w:cs="Sylfaen"/>
                <w:sz w:val="20"/>
                <w:szCs w:val="20"/>
              </w:rPr>
              <w:t>ս</w:t>
            </w:r>
            <w:r w:rsidRPr="0053423A">
              <w:rPr>
                <w:rFonts w:ascii="GHEA Grapalat" w:hAnsi="GHEA Grapalat"/>
                <w:sz w:val="20"/>
                <w:szCs w:val="20"/>
                <w:lang w:val="ru-RU"/>
              </w:rPr>
              <w:t>.</w:t>
            </w:r>
            <w:r w:rsidRPr="0053423A">
              <w:rPr>
                <w:rFonts w:ascii="GHEA Grapalat" w:hAnsi="GHEA Grapalat" w:cs="Sylfaen"/>
                <w:sz w:val="20"/>
                <w:szCs w:val="20"/>
              </w:rPr>
              <w:t>թ</w:t>
            </w:r>
            <w:r w:rsidRPr="0053423A">
              <w:rPr>
                <w:rFonts w:ascii="GHEA Grapalat" w:hAnsi="GHEA Grapalat"/>
                <w:sz w:val="20"/>
                <w:szCs w:val="20"/>
                <w:lang w:val="ru-RU"/>
              </w:rPr>
              <w:t xml:space="preserve">. </w:t>
            </w:r>
            <w:r w:rsidRPr="0053423A">
              <w:rPr>
                <w:rFonts w:ascii="GHEA Grapalat" w:hAnsi="GHEA Grapalat" w:cs="Sylfaen"/>
                <w:sz w:val="20"/>
                <w:szCs w:val="20"/>
              </w:rPr>
              <w:t>փետրվարի</w:t>
            </w:r>
            <w:r w:rsidRPr="0053423A">
              <w:rPr>
                <w:rFonts w:ascii="GHEA Grapalat" w:hAnsi="GHEA Grapalat"/>
                <w:sz w:val="20"/>
                <w:szCs w:val="20"/>
                <w:lang w:val="ru-RU"/>
              </w:rPr>
              <w:t xml:space="preserve"> 25-27-</w:t>
            </w:r>
            <w:r w:rsidRPr="0053423A">
              <w:rPr>
                <w:rFonts w:ascii="GHEA Grapalat" w:hAnsi="GHEA Grapalat" w:cs="Sylfaen"/>
                <w:sz w:val="20"/>
                <w:szCs w:val="20"/>
              </w:rPr>
              <w:t>ը</w:t>
            </w:r>
            <w:r w:rsidRPr="0053423A">
              <w:rPr>
                <w:rFonts w:ascii="GHEA Grapalat" w:hAnsi="GHEA Grapalat"/>
                <w:sz w:val="20"/>
                <w:szCs w:val="20"/>
                <w:lang w:val="ru-RU"/>
              </w:rPr>
              <w:t xml:space="preserve"> </w:t>
            </w:r>
            <w:r w:rsidRPr="0053423A">
              <w:rPr>
                <w:rFonts w:ascii="GHEA Grapalat" w:hAnsi="GHEA Grapalat" w:cs="Sylfaen"/>
                <w:sz w:val="20"/>
                <w:szCs w:val="20"/>
              </w:rPr>
              <w:t>կազմակերպել</w:t>
            </w:r>
            <w:r w:rsidRPr="0053423A">
              <w:rPr>
                <w:rFonts w:ascii="GHEA Grapalat" w:hAnsi="GHEA Grapalat"/>
                <w:sz w:val="20"/>
                <w:szCs w:val="20"/>
                <w:lang w:val="ru-RU"/>
              </w:rPr>
              <w:t xml:space="preserve"> </w:t>
            </w:r>
            <w:r w:rsidRPr="0053423A">
              <w:rPr>
                <w:rFonts w:ascii="GHEA Grapalat" w:hAnsi="GHEA Grapalat" w:cs="Sylfaen"/>
                <w:sz w:val="20"/>
                <w:szCs w:val="20"/>
              </w:rPr>
              <w:t>և</w:t>
            </w:r>
            <w:r w:rsidRPr="0053423A">
              <w:rPr>
                <w:rFonts w:ascii="GHEA Grapalat" w:hAnsi="GHEA Grapalat"/>
                <w:sz w:val="20"/>
                <w:szCs w:val="20"/>
                <w:lang w:val="ru-RU"/>
              </w:rPr>
              <w:t xml:space="preserve"> </w:t>
            </w:r>
            <w:r w:rsidRPr="0053423A">
              <w:rPr>
                <w:rFonts w:ascii="GHEA Grapalat" w:hAnsi="GHEA Grapalat" w:cs="Sylfaen"/>
                <w:sz w:val="20"/>
                <w:szCs w:val="20"/>
              </w:rPr>
              <w:t>իրականացնում</w:t>
            </w:r>
            <w:r w:rsidRPr="0053423A">
              <w:rPr>
                <w:rFonts w:ascii="GHEA Grapalat" w:hAnsi="GHEA Grapalat"/>
                <w:sz w:val="20"/>
                <w:szCs w:val="20"/>
                <w:lang w:val="ru-RU"/>
              </w:rPr>
              <w:t xml:space="preserve"> </w:t>
            </w:r>
            <w:r w:rsidRPr="0053423A">
              <w:rPr>
                <w:rFonts w:ascii="GHEA Grapalat" w:hAnsi="GHEA Grapalat" w:cs="Sylfaen"/>
                <w:sz w:val="20"/>
                <w:szCs w:val="20"/>
              </w:rPr>
              <w:t>է</w:t>
            </w:r>
            <w:r w:rsidRPr="0053423A">
              <w:rPr>
                <w:rFonts w:ascii="GHEA Grapalat" w:hAnsi="GHEA Grapalat" w:cs="Sylfaen"/>
                <w:sz w:val="20"/>
                <w:szCs w:val="20"/>
                <w:lang w:val="ru-RU"/>
              </w:rPr>
              <w:t xml:space="preserve"> </w:t>
            </w:r>
            <w:r w:rsidRPr="0053423A">
              <w:rPr>
                <w:rFonts w:ascii="GHEA Grapalat" w:hAnsi="GHEA Grapalat" w:cs="Sylfaen"/>
                <w:sz w:val="20"/>
                <w:szCs w:val="20"/>
              </w:rPr>
              <w:t>եռօրյա</w:t>
            </w:r>
            <w:r w:rsidRPr="0053423A">
              <w:rPr>
                <w:rFonts w:ascii="GHEA Grapalat" w:hAnsi="GHEA Grapalat"/>
                <w:sz w:val="20"/>
                <w:szCs w:val="20"/>
                <w:lang w:val="ru-RU"/>
              </w:rPr>
              <w:t xml:space="preserve"> </w:t>
            </w:r>
            <w:r w:rsidRPr="0053423A">
              <w:rPr>
                <w:rFonts w:ascii="GHEA Grapalat" w:hAnsi="GHEA Grapalat" w:cs="Sylfaen"/>
                <w:sz w:val="20"/>
                <w:szCs w:val="20"/>
              </w:rPr>
              <w:t>հրահանգչային</w:t>
            </w:r>
            <w:r w:rsidRPr="0053423A">
              <w:rPr>
                <w:rFonts w:ascii="GHEA Grapalat" w:hAnsi="GHEA Grapalat"/>
                <w:sz w:val="20"/>
                <w:szCs w:val="20"/>
                <w:lang w:val="ru-RU"/>
              </w:rPr>
              <w:t xml:space="preserve"> </w:t>
            </w:r>
            <w:r w:rsidRPr="0053423A">
              <w:rPr>
                <w:rFonts w:ascii="GHEA Grapalat" w:hAnsi="GHEA Grapalat" w:cs="Sylfaen"/>
                <w:sz w:val="20"/>
                <w:szCs w:val="20"/>
              </w:rPr>
              <w:t>դասընթաց</w:t>
            </w:r>
            <w:r w:rsidRPr="0053423A">
              <w:rPr>
                <w:rFonts w:ascii="GHEA Grapalat" w:hAnsi="GHEA Grapalat"/>
                <w:sz w:val="20"/>
                <w:szCs w:val="20"/>
                <w:lang w:val="ru-RU"/>
              </w:rPr>
              <w:t xml:space="preserve">: </w:t>
            </w:r>
            <w:r w:rsidRPr="0053423A">
              <w:rPr>
                <w:rFonts w:ascii="GHEA Grapalat" w:hAnsi="GHEA Grapalat" w:cs="Sylfaen"/>
                <w:sz w:val="20"/>
                <w:szCs w:val="20"/>
              </w:rPr>
              <w:t>Դասընթացը</w:t>
            </w:r>
            <w:r w:rsidRPr="0053423A">
              <w:rPr>
                <w:rFonts w:ascii="GHEA Grapalat" w:hAnsi="GHEA Grapalat"/>
                <w:sz w:val="20"/>
                <w:szCs w:val="20"/>
                <w:lang w:val="ru-RU"/>
              </w:rPr>
              <w:t xml:space="preserve"> </w:t>
            </w:r>
            <w:r w:rsidRPr="0053423A">
              <w:rPr>
                <w:rFonts w:ascii="GHEA Grapalat" w:hAnsi="GHEA Grapalat" w:cs="Sylfaen"/>
                <w:sz w:val="20"/>
                <w:szCs w:val="20"/>
              </w:rPr>
              <w:t>նախատեսված</w:t>
            </w:r>
            <w:r w:rsidRPr="0053423A">
              <w:rPr>
                <w:rFonts w:ascii="GHEA Grapalat" w:hAnsi="GHEA Grapalat"/>
                <w:sz w:val="20"/>
                <w:szCs w:val="20"/>
                <w:lang w:val="ru-RU"/>
              </w:rPr>
              <w:t xml:space="preserve"> </w:t>
            </w:r>
            <w:r w:rsidRPr="0053423A">
              <w:rPr>
                <w:rFonts w:ascii="GHEA Grapalat" w:hAnsi="GHEA Grapalat" w:cs="Sylfaen"/>
                <w:sz w:val="20"/>
                <w:szCs w:val="20"/>
              </w:rPr>
              <w:t>է</w:t>
            </w:r>
            <w:r w:rsidRPr="0053423A">
              <w:rPr>
                <w:rFonts w:ascii="GHEA Grapalat" w:hAnsi="GHEA Grapalat"/>
                <w:sz w:val="20"/>
                <w:szCs w:val="20"/>
                <w:lang w:val="ru-RU"/>
              </w:rPr>
              <w:t xml:space="preserve"> </w:t>
            </w:r>
            <w:r w:rsidRPr="0053423A">
              <w:rPr>
                <w:rFonts w:ascii="GHEA Grapalat" w:hAnsi="GHEA Grapalat" w:cs="Sylfaen"/>
                <w:sz w:val="20"/>
                <w:szCs w:val="20"/>
              </w:rPr>
              <w:t>ՀՀ</w:t>
            </w:r>
            <w:r w:rsidRPr="0053423A">
              <w:rPr>
                <w:rFonts w:ascii="GHEA Grapalat" w:hAnsi="GHEA Grapalat"/>
                <w:sz w:val="20"/>
                <w:szCs w:val="20"/>
                <w:lang w:val="ru-RU"/>
              </w:rPr>
              <w:t xml:space="preserve"> </w:t>
            </w:r>
            <w:r w:rsidRPr="0053423A">
              <w:rPr>
                <w:rFonts w:ascii="GHEA Grapalat" w:hAnsi="GHEA Grapalat" w:cs="Sylfaen"/>
                <w:sz w:val="20"/>
                <w:szCs w:val="20"/>
              </w:rPr>
              <w:t>ԱԻՆ</w:t>
            </w:r>
            <w:r w:rsidRPr="0053423A">
              <w:rPr>
                <w:rFonts w:ascii="GHEA Grapalat" w:hAnsi="GHEA Grapalat"/>
                <w:sz w:val="20"/>
                <w:szCs w:val="20"/>
                <w:lang w:val="ru-RU"/>
              </w:rPr>
              <w:t>-</w:t>
            </w:r>
            <w:r w:rsidRPr="0053423A">
              <w:rPr>
                <w:rFonts w:ascii="GHEA Grapalat" w:hAnsi="GHEA Grapalat" w:cs="Sylfaen"/>
                <w:sz w:val="20"/>
                <w:szCs w:val="20"/>
              </w:rPr>
              <w:t>ի</w:t>
            </w:r>
            <w:r w:rsidRPr="0053423A">
              <w:rPr>
                <w:rFonts w:ascii="GHEA Grapalat" w:hAnsi="GHEA Grapalat"/>
                <w:sz w:val="20"/>
                <w:szCs w:val="20"/>
                <w:lang w:val="ru-RU"/>
              </w:rPr>
              <w:t xml:space="preserve">, </w:t>
            </w:r>
            <w:r w:rsidRPr="0053423A">
              <w:rPr>
                <w:rFonts w:ascii="GHEA Grapalat" w:hAnsi="GHEA Grapalat" w:cs="Sylfaen"/>
                <w:sz w:val="20"/>
                <w:szCs w:val="20"/>
              </w:rPr>
              <w:t>ՀՀ</w:t>
            </w:r>
            <w:r w:rsidRPr="0053423A">
              <w:rPr>
                <w:rFonts w:ascii="GHEA Grapalat" w:hAnsi="GHEA Grapalat"/>
                <w:sz w:val="20"/>
                <w:szCs w:val="20"/>
                <w:lang w:val="ru-RU"/>
              </w:rPr>
              <w:t xml:space="preserve"> </w:t>
            </w:r>
            <w:r w:rsidRPr="0053423A">
              <w:rPr>
                <w:rFonts w:ascii="GHEA Grapalat" w:hAnsi="GHEA Grapalat" w:cs="Sylfaen"/>
                <w:sz w:val="20"/>
                <w:szCs w:val="20"/>
              </w:rPr>
              <w:t>ԱԻՆ</w:t>
            </w:r>
            <w:r w:rsidRPr="0053423A">
              <w:rPr>
                <w:rFonts w:ascii="GHEA Grapalat" w:hAnsi="GHEA Grapalat"/>
                <w:sz w:val="20"/>
                <w:szCs w:val="20"/>
                <w:lang w:val="ru-RU"/>
              </w:rPr>
              <w:t xml:space="preserve"> </w:t>
            </w:r>
            <w:r w:rsidRPr="0053423A">
              <w:rPr>
                <w:rFonts w:ascii="GHEA Grapalat" w:hAnsi="GHEA Grapalat" w:cs="Sylfaen"/>
                <w:sz w:val="20"/>
                <w:szCs w:val="20"/>
              </w:rPr>
              <w:t>ՓԾ</w:t>
            </w:r>
            <w:r w:rsidRPr="0053423A">
              <w:rPr>
                <w:rFonts w:ascii="GHEA Grapalat" w:hAnsi="GHEA Grapalat"/>
                <w:sz w:val="20"/>
                <w:szCs w:val="20"/>
                <w:lang w:val="ru-RU"/>
              </w:rPr>
              <w:t xml:space="preserve"> </w:t>
            </w:r>
            <w:r w:rsidRPr="0053423A">
              <w:rPr>
                <w:rFonts w:ascii="GHEA Grapalat" w:hAnsi="GHEA Grapalat" w:cs="Sylfaen"/>
                <w:sz w:val="20"/>
                <w:szCs w:val="20"/>
              </w:rPr>
              <w:t>Երևանի</w:t>
            </w:r>
            <w:r w:rsidRPr="0053423A">
              <w:rPr>
                <w:rFonts w:ascii="GHEA Grapalat" w:hAnsi="GHEA Grapalat"/>
                <w:sz w:val="20"/>
                <w:szCs w:val="20"/>
                <w:lang w:val="ru-RU"/>
              </w:rPr>
              <w:t xml:space="preserve"> </w:t>
            </w:r>
            <w:r w:rsidRPr="0053423A">
              <w:rPr>
                <w:rFonts w:ascii="GHEA Grapalat" w:hAnsi="GHEA Grapalat" w:cs="Sylfaen"/>
                <w:sz w:val="20"/>
                <w:szCs w:val="20"/>
              </w:rPr>
              <w:t>և</w:t>
            </w:r>
            <w:r w:rsidRPr="0053423A">
              <w:rPr>
                <w:rFonts w:ascii="GHEA Grapalat" w:hAnsi="GHEA Grapalat"/>
                <w:sz w:val="20"/>
                <w:szCs w:val="20"/>
                <w:lang w:val="ru-RU"/>
              </w:rPr>
              <w:t xml:space="preserve"> </w:t>
            </w:r>
            <w:r w:rsidRPr="0053423A">
              <w:rPr>
                <w:rFonts w:ascii="GHEA Grapalat" w:hAnsi="GHEA Grapalat" w:cs="Sylfaen"/>
                <w:sz w:val="20"/>
                <w:szCs w:val="20"/>
              </w:rPr>
              <w:t>մարզային</w:t>
            </w:r>
            <w:r w:rsidRPr="0053423A">
              <w:rPr>
                <w:rFonts w:ascii="GHEA Grapalat" w:hAnsi="GHEA Grapalat"/>
                <w:sz w:val="20"/>
                <w:szCs w:val="20"/>
                <w:lang w:val="ru-RU"/>
              </w:rPr>
              <w:t xml:space="preserve"> </w:t>
            </w:r>
            <w:r w:rsidRPr="0053423A">
              <w:rPr>
                <w:rFonts w:ascii="GHEA Grapalat" w:hAnsi="GHEA Grapalat" w:cs="Sylfaen"/>
                <w:sz w:val="20"/>
                <w:szCs w:val="20"/>
              </w:rPr>
              <w:t>փրկարարական</w:t>
            </w:r>
            <w:r w:rsidRPr="0053423A">
              <w:rPr>
                <w:rFonts w:ascii="GHEA Grapalat" w:hAnsi="GHEA Grapalat"/>
                <w:sz w:val="20"/>
                <w:szCs w:val="20"/>
                <w:lang w:val="ru-RU"/>
              </w:rPr>
              <w:t xml:space="preserve"> </w:t>
            </w:r>
            <w:r w:rsidRPr="0053423A">
              <w:rPr>
                <w:rFonts w:ascii="GHEA Grapalat" w:hAnsi="GHEA Grapalat" w:cs="Sylfaen"/>
                <w:sz w:val="20"/>
                <w:szCs w:val="20"/>
              </w:rPr>
              <w:t>վարչությունների</w:t>
            </w:r>
            <w:r w:rsidRPr="0053423A">
              <w:rPr>
                <w:rFonts w:ascii="GHEA Grapalat" w:hAnsi="GHEA Grapalat"/>
                <w:sz w:val="20"/>
                <w:szCs w:val="20"/>
                <w:lang w:val="ru-RU"/>
              </w:rPr>
              <w:t xml:space="preserve"> </w:t>
            </w:r>
            <w:r w:rsidRPr="0053423A">
              <w:rPr>
                <w:rFonts w:ascii="GHEA Grapalat" w:hAnsi="GHEA Grapalat" w:cs="Sylfaen"/>
                <w:sz w:val="20"/>
                <w:szCs w:val="20"/>
              </w:rPr>
              <w:t>և</w:t>
            </w:r>
            <w:r w:rsidRPr="0053423A">
              <w:rPr>
                <w:rFonts w:ascii="GHEA Grapalat" w:hAnsi="GHEA Grapalat"/>
                <w:sz w:val="20"/>
                <w:szCs w:val="20"/>
                <w:lang w:val="ru-RU"/>
              </w:rPr>
              <w:t xml:space="preserve"> </w:t>
            </w:r>
            <w:r w:rsidRPr="0053423A">
              <w:rPr>
                <w:rFonts w:ascii="GHEA Grapalat" w:hAnsi="GHEA Grapalat" w:cs="Sylfaen"/>
                <w:sz w:val="20"/>
                <w:szCs w:val="20"/>
              </w:rPr>
              <w:t>ԱՌՆԱՊ</w:t>
            </w:r>
            <w:r w:rsidRPr="0053423A">
              <w:rPr>
                <w:rFonts w:ascii="GHEA Grapalat" w:hAnsi="GHEA Grapalat"/>
                <w:sz w:val="20"/>
                <w:szCs w:val="20"/>
                <w:lang w:val="ru-RU"/>
              </w:rPr>
              <w:t xml:space="preserve"> </w:t>
            </w:r>
            <w:r w:rsidRPr="0053423A">
              <w:rPr>
                <w:rFonts w:ascii="GHEA Grapalat" w:hAnsi="GHEA Grapalat" w:cs="Sylfaen"/>
                <w:sz w:val="20"/>
                <w:szCs w:val="20"/>
              </w:rPr>
              <w:t>հիմնադրամի</w:t>
            </w:r>
            <w:r w:rsidRPr="0053423A">
              <w:rPr>
                <w:rFonts w:ascii="GHEA Grapalat" w:hAnsi="GHEA Grapalat"/>
                <w:sz w:val="20"/>
                <w:szCs w:val="20"/>
                <w:lang w:val="ru-RU"/>
              </w:rPr>
              <w:t xml:space="preserve"> </w:t>
            </w:r>
            <w:r w:rsidRPr="0053423A">
              <w:rPr>
                <w:rFonts w:ascii="GHEA Grapalat" w:hAnsi="GHEA Grapalat" w:cs="Sylfaen"/>
                <w:sz w:val="20"/>
                <w:szCs w:val="20"/>
              </w:rPr>
              <w:t>ներկայացուցիչների</w:t>
            </w:r>
            <w:r w:rsidRPr="0053423A">
              <w:rPr>
                <w:rFonts w:ascii="GHEA Grapalat" w:hAnsi="GHEA Grapalat"/>
                <w:sz w:val="20"/>
                <w:szCs w:val="20"/>
                <w:lang w:val="ru-RU"/>
              </w:rPr>
              <w:t xml:space="preserve"> </w:t>
            </w:r>
            <w:r w:rsidRPr="0053423A">
              <w:rPr>
                <w:rFonts w:ascii="GHEA Grapalat" w:hAnsi="GHEA Grapalat" w:cs="Sylfaen"/>
                <w:sz w:val="20"/>
                <w:szCs w:val="20"/>
              </w:rPr>
              <w:t>համար</w:t>
            </w:r>
            <w:r w:rsidRPr="0053423A">
              <w:rPr>
                <w:rFonts w:ascii="GHEA Grapalat" w:hAnsi="GHEA Grapalat"/>
                <w:sz w:val="20"/>
                <w:szCs w:val="20"/>
                <w:lang w:val="ru-RU"/>
              </w:rPr>
              <w:t>:</w:t>
            </w:r>
          </w:p>
        </w:tc>
      </w:tr>
      <w:tr w:rsidR="006B0618" w:rsidRPr="00DE2EFA" w:rsidTr="001F6D5D">
        <w:tc>
          <w:tcPr>
            <w:tcW w:w="691" w:type="dxa"/>
          </w:tcPr>
          <w:p w:rsidR="006B0618" w:rsidRPr="001F6D5D" w:rsidRDefault="001F6D5D" w:rsidP="00696743">
            <w:pPr>
              <w:spacing w:line="276" w:lineRule="auto"/>
              <w:rPr>
                <w:lang w:val="hy-AM"/>
              </w:rPr>
            </w:pPr>
            <w:r>
              <w:rPr>
                <w:lang w:val="hy-AM"/>
              </w:rPr>
              <w:t>8</w:t>
            </w:r>
            <w:r w:rsidR="00696743">
              <w:rPr>
                <w:lang w:val="hy-AM"/>
              </w:rPr>
              <w:t>3</w:t>
            </w:r>
          </w:p>
        </w:tc>
        <w:tc>
          <w:tcPr>
            <w:tcW w:w="10649" w:type="dxa"/>
          </w:tcPr>
          <w:p w:rsidR="006B0618" w:rsidRPr="0026110E" w:rsidRDefault="00696743" w:rsidP="00A67858">
            <w:pPr>
              <w:pStyle w:val="mechtex"/>
              <w:spacing w:line="276" w:lineRule="auto"/>
              <w:ind w:right="256"/>
              <w:rPr>
                <w:rFonts w:ascii="GHEA Grapalat" w:hAnsi="GHEA Grapalat" w:cs="Sylfaen"/>
                <w:b/>
                <w:i/>
                <w:lang w:val="hy-AM"/>
              </w:rPr>
            </w:pPr>
            <w:r>
              <w:rPr>
                <w:rFonts w:ascii="GHEA Grapalat" w:hAnsi="GHEA Grapalat" w:cs="Sylfaen"/>
                <w:b/>
                <w:i/>
                <w:lang w:val="hy-AM"/>
              </w:rPr>
              <w:t xml:space="preserve">83.1 </w:t>
            </w:r>
            <w:r w:rsidR="006B0618" w:rsidRPr="0026110E">
              <w:rPr>
                <w:rFonts w:ascii="GHEA Grapalat" w:hAnsi="GHEA Grapalat" w:cs="Sylfaen"/>
                <w:b/>
                <w:i/>
                <w:lang w:val="hy-AM"/>
              </w:rPr>
              <w:t>Հրշեջ-փրկարար ջոկատների թվով 46 շենքերի մասնակի նորոգում</w:t>
            </w:r>
          </w:p>
          <w:p w:rsidR="006B0618" w:rsidRPr="0026110E" w:rsidRDefault="006B0618" w:rsidP="00A67858">
            <w:pPr>
              <w:pStyle w:val="mechtex"/>
              <w:spacing w:line="276" w:lineRule="auto"/>
              <w:ind w:right="256"/>
              <w:rPr>
                <w:rFonts w:ascii="GHEA Grapalat" w:hAnsi="GHEA Grapalat" w:cs="Sylfaen"/>
                <w:b/>
                <w:i/>
                <w:lang w:val="hy-AM"/>
              </w:rPr>
            </w:pPr>
          </w:p>
          <w:p w:rsidR="006B0618" w:rsidRPr="0053423A" w:rsidRDefault="006B0618" w:rsidP="00A67858">
            <w:pPr>
              <w:pStyle w:val="mechtex"/>
              <w:numPr>
                <w:ilvl w:val="0"/>
                <w:numId w:val="87"/>
              </w:numPr>
              <w:tabs>
                <w:tab w:val="left" w:pos="342"/>
              </w:tabs>
              <w:spacing w:line="276" w:lineRule="auto"/>
              <w:ind w:left="0" w:right="256" w:firstLine="0"/>
              <w:jc w:val="both"/>
              <w:rPr>
                <w:rFonts w:ascii="GHEA Grapalat" w:hAnsi="GHEA Grapalat" w:cs="Arial"/>
                <w:b/>
                <w:lang w:val="hy-AM"/>
              </w:rPr>
            </w:pPr>
            <w:r w:rsidRPr="0053423A">
              <w:rPr>
                <w:rFonts w:ascii="GHEA Grapalat" w:hAnsi="GHEA Grapalat"/>
                <w:b/>
                <w:lang w:val="hy-AM"/>
              </w:rPr>
              <w:t>Միջոցառ</w:t>
            </w:r>
            <w:r w:rsidRPr="0053423A">
              <w:rPr>
                <w:rFonts w:ascii="GHEA Grapalat" w:hAnsi="GHEA Grapalat"/>
                <w:b/>
              </w:rPr>
              <w:t>ումների</w:t>
            </w:r>
            <w:r w:rsidRPr="0053423A">
              <w:rPr>
                <w:rFonts w:ascii="GHEA Grapalat" w:hAnsi="GHEA Grapalat" w:cs="Arial Armenian"/>
                <w:b/>
                <w:lang w:val="hy-AM"/>
              </w:rPr>
              <w:t xml:space="preserve"> </w:t>
            </w:r>
            <w:r w:rsidRPr="0053423A">
              <w:rPr>
                <w:rFonts w:ascii="GHEA Grapalat" w:hAnsi="GHEA Grapalat" w:cs="Arial"/>
                <w:b/>
                <w:lang w:val="hy-AM"/>
              </w:rPr>
              <w:t>իրակացման</w:t>
            </w:r>
            <w:r w:rsidRPr="0053423A">
              <w:rPr>
                <w:rFonts w:ascii="GHEA Grapalat" w:hAnsi="GHEA Grapalat" w:cs="Arial Armenian"/>
                <w:b/>
                <w:lang w:val="hy-AM"/>
              </w:rPr>
              <w:t xml:space="preserve"> </w:t>
            </w:r>
            <w:r w:rsidRPr="0053423A">
              <w:rPr>
                <w:rFonts w:ascii="GHEA Grapalat" w:hAnsi="GHEA Grapalat" w:cs="Arial"/>
                <w:b/>
                <w:lang w:val="hy-AM"/>
              </w:rPr>
              <w:t>անհրաժեշտությունը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նպատակը</w:t>
            </w:r>
          </w:p>
          <w:p w:rsidR="006B0618" w:rsidRPr="0053423A" w:rsidRDefault="006B0618" w:rsidP="00A67858">
            <w:pPr>
              <w:pStyle w:val="mechtex"/>
              <w:tabs>
                <w:tab w:val="left" w:pos="342"/>
              </w:tabs>
              <w:spacing w:line="276" w:lineRule="auto"/>
              <w:ind w:right="256"/>
              <w:jc w:val="both"/>
              <w:rPr>
                <w:rFonts w:ascii="GHEA Grapalat" w:hAnsi="GHEA Grapalat"/>
                <w:lang w:val="hy-AM"/>
              </w:rPr>
            </w:pPr>
            <w:r w:rsidRPr="0053423A">
              <w:rPr>
                <w:rFonts w:ascii="GHEA Grapalat" w:hAnsi="GHEA Grapalat"/>
                <w:lang w:val="hy-AM"/>
              </w:rPr>
              <w:t>Փրկարար ծառայության ստորաբաժանումների զգալի մասն ունեն հիմնանորոգման, շենքային պայմանների բարելավման, փողրակների չորանոցների վերականգման, ավտոկայանատեղերի և տանիքների վերանորոգման, ինչպես նաև սանիտարահիգիենիկ նվազագույն պայմանների ապահովման կարիք:</w:t>
            </w:r>
          </w:p>
          <w:p w:rsidR="006B0618" w:rsidRPr="0053423A" w:rsidRDefault="006B0618" w:rsidP="00A67858">
            <w:pPr>
              <w:pStyle w:val="mechtex"/>
              <w:numPr>
                <w:ilvl w:val="1"/>
                <w:numId w:val="87"/>
              </w:numPr>
              <w:tabs>
                <w:tab w:val="left" w:pos="342"/>
              </w:tabs>
              <w:spacing w:line="276" w:lineRule="auto"/>
              <w:ind w:left="0" w:right="256" w:firstLine="0"/>
              <w:jc w:val="both"/>
              <w:rPr>
                <w:rFonts w:ascii="GHEA Grapalat" w:hAnsi="GHEA Grapalat" w:cs="Arial"/>
                <w:b/>
                <w:lang w:val="hy-AM"/>
              </w:rPr>
            </w:pPr>
            <w:r w:rsidRPr="0053423A">
              <w:rPr>
                <w:rFonts w:ascii="GHEA Grapalat" w:hAnsi="GHEA Grapalat" w:cs="Arial"/>
                <w:b/>
                <w:lang w:val="hy-AM"/>
              </w:rPr>
              <w:t>Կարգավորման</w:t>
            </w:r>
            <w:r w:rsidRPr="0053423A">
              <w:rPr>
                <w:rFonts w:ascii="GHEA Grapalat" w:hAnsi="GHEA Grapalat" w:cs="Arial Armenian"/>
                <w:b/>
                <w:lang w:val="hy-AM"/>
              </w:rPr>
              <w:t xml:space="preserve"> </w:t>
            </w:r>
            <w:r w:rsidRPr="0053423A">
              <w:rPr>
                <w:rFonts w:ascii="GHEA Grapalat" w:hAnsi="GHEA Grapalat" w:cs="Arial"/>
                <w:b/>
                <w:lang w:val="hy-AM"/>
              </w:rPr>
              <w:t>հարաբերությունների</w:t>
            </w:r>
            <w:r w:rsidRPr="0053423A">
              <w:rPr>
                <w:rFonts w:ascii="GHEA Grapalat" w:hAnsi="GHEA Grapalat" w:cs="Arial Armenian"/>
                <w:b/>
                <w:lang w:val="hy-AM"/>
              </w:rPr>
              <w:t xml:space="preserve"> </w:t>
            </w:r>
            <w:r w:rsidRPr="0053423A">
              <w:rPr>
                <w:rFonts w:ascii="GHEA Grapalat" w:hAnsi="GHEA Grapalat" w:cs="Arial"/>
                <w:b/>
                <w:lang w:val="hy-AM"/>
              </w:rPr>
              <w:t>ներկա</w:t>
            </w:r>
            <w:r w:rsidRPr="0053423A">
              <w:rPr>
                <w:rFonts w:ascii="GHEA Grapalat" w:hAnsi="GHEA Grapalat" w:cs="Arial Armenian"/>
                <w:b/>
                <w:lang w:val="hy-AM"/>
              </w:rPr>
              <w:t xml:space="preserve"> </w:t>
            </w:r>
            <w:r w:rsidRPr="0053423A">
              <w:rPr>
                <w:rFonts w:ascii="GHEA Grapalat" w:hAnsi="GHEA Grapalat" w:cs="Arial"/>
                <w:b/>
                <w:lang w:val="hy-AM"/>
              </w:rPr>
              <w:t>վիճակը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առկա</w:t>
            </w:r>
            <w:r w:rsidRPr="0053423A">
              <w:rPr>
                <w:rFonts w:ascii="GHEA Grapalat" w:hAnsi="GHEA Grapalat" w:cs="Arial Armenian"/>
                <w:b/>
                <w:lang w:val="hy-AM"/>
              </w:rPr>
              <w:t xml:space="preserve"> </w:t>
            </w:r>
            <w:r w:rsidRPr="0053423A">
              <w:rPr>
                <w:rFonts w:ascii="GHEA Grapalat" w:hAnsi="GHEA Grapalat" w:cs="Arial"/>
                <w:b/>
                <w:lang w:val="hy-AM"/>
              </w:rPr>
              <w:t>խնդիրները</w:t>
            </w:r>
          </w:p>
          <w:p w:rsidR="006B0618" w:rsidRPr="0053423A" w:rsidRDefault="006B0618" w:rsidP="00A67858">
            <w:pPr>
              <w:pStyle w:val="mechtex"/>
              <w:tabs>
                <w:tab w:val="left" w:pos="342"/>
              </w:tabs>
              <w:spacing w:line="276" w:lineRule="auto"/>
              <w:ind w:right="256"/>
              <w:jc w:val="both"/>
              <w:rPr>
                <w:rFonts w:ascii="GHEA Grapalat" w:hAnsi="GHEA Grapalat" w:cs="Arial"/>
                <w:lang w:val="hy-AM"/>
              </w:rPr>
            </w:pPr>
            <w:r w:rsidRPr="0053423A">
              <w:rPr>
                <w:rFonts w:ascii="GHEA Grapalat" w:hAnsi="GHEA Grapalat" w:cs="Arial"/>
                <w:lang w:val="hy-AM"/>
              </w:rPr>
              <w:t>Ստորաբաժանումներում հիմնական վերանորոգման աշխատանքներ չեն իրականացվել շուրջ 30 տարի, իսկ ընթացիկ նորոգում՝ շուրջ 15 տարի, ինչի հետևանքով շատ ջոկատներում բացակայում են առօրյա ծառայության կազմակերպման համար անհրաժեշտ նվազագույն պայմանները:՝ փակ տանիք, ջեռուցվող ավտոկայանատեղ, սանհանգույց և այլն:</w:t>
            </w:r>
          </w:p>
          <w:p w:rsidR="006B0618" w:rsidRPr="0053423A" w:rsidRDefault="006B0618" w:rsidP="00A67858">
            <w:pPr>
              <w:pStyle w:val="mechtex"/>
              <w:tabs>
                <w:tab w:val="left" w:pos="342"/>
              </w:tabs>
              <w:spacing w:line="276" w:lineRule="auto"/>
              <w:ind w:right="256"/>
              <w:jc w:val="both"/>
              <w:rPr>
                <w:rFonts w:ascii="GHEA Grapalat" w:hAnsi="GHEA Grapalat" w:cs="Arial"/>
                <w:lang w:val="hy-AM"/>
              </w:rPr>
            </w:pPr>
            <w:r w:rsidRPr="0053423A">
              <w:rPr>
                <w:rFonts w:ascii="GHEA Grapalat" w:hAnsi="GHEA Grapalat" w:cs="Arial"/>
                <w:lang w:val="hy-AM"/>
              </w:rPr>
              <w:t>Վերանորոգման աշխատանքները ժամանակին չիրականացնելը հանգեցրել է հիմնանորոգման համար անհրաժեշտ ծախսերի տարեցտարի ավելացմանը:</w:t>
            </w:r>
          </w:p>
          <w:p w:rsidR="006B0618" w:rsidRPr="0053423A" w:rsidRDefault="006B0618" w:rsidP="00A67858">
            <w:pPr>
              <w:pStyle w:val="mechtex"/>
              <w:tabs>
                <w:tab w:val="left" w:pos="342"/>
              </w:tabs>
              <w:spacing w:line="276" w:lineRule="auto"/>
              <w:ind w:right="256"/>
              <w:jc w:val="both"/>
              <w:rPr>
                <w:rFonts w:ascii="GHEA Grapalat" w:hAnsi="GHEA Grapalat"/>
                <w:b/>
                <w:lang w:val="hy-AM"/>
              </w:rPr>
            </w:pPr>
            <w:r w:rsidRPr="0053423A">
              <w:rPr>
                <w:rFonts w:ascii="GHEA Grapalat" w:hAnsi="GHEA Grapalat"/>
                <w:b/>
                <w:lang w:val="hy-AM"/>
              </w:rPr>
              <w:t>2. Միջոցառումների</w:t>
            </w:r>
            <w:r w:rsidRPr="0053423A">
              <w:rPr>
                <w:rFonts w:ascii="GHEA Grapalat" w:hAnsi="GHEA Grapalat" w:cs="Arial Armenian"/>
                <w:b/>
                <w:lang w:val="hy-AM"/>
              </w:rPr>
              <w:t xml:space="preserve"> </w:t>
            </w:r>
            <w:r w:rsidRPr="0053423A">
              <w:rPr>
                <w:rFonts w:ascii="GHEA Grapalat" w:hAnsi="GHEA Grapalat" w:cs="Arial"/>
                <w:b/>
                <w:lang w:val="hy-AM"/>
              </w:rPr>
              <w:t>իրականացումից</w:t>
            </w:r>
            <w:r w:rsidRPr="0053423A">
              <w:rPr>
                <w:rFonts w:ascii="GHEA Grapalat" w:hAnsi="GHEA Grapalat" w:cs="Arial Armenian"/>
                <w:b/>
                <w:lang w:val="hy-AM"/>
              </w:rPr>
              <w:t xml:space="preserve"> </w:t>
            </w:r>
            <w:r w:rsidRPr="0053423A">
              <w:rPr>
                <w:rFonts w:ascii="GHEA Grapalat" w:hAnsi="GHEA Grapalat" w:cs="Arial"/>
                <w:b/>
                <w:lang w:val="hy-AM"/>
              </w:rPr>
              <w:t>ակնկալվող</w:t>
            </w:r>
            <w:r w:rsidRPr="0053423A">
              <w:rPr>
                <w:rFonts w:ascii="GHEA Grapalat" w:hAnsi="GHEA Grapalat" w:cs="Arial Armenian"/>
                <w:b/>
                <w:lang w:val="hy-AM"/>
              </w:rPr>
              <w:t xml:space="preserve"> </w:t>
            </w:r>
            <w:r w:rsidRPr="0053423A">
              <w:rPr>
                <w:rFonts w:ascii="GHEA Grapalat" w:hAnsi="GHEA Grapalat" w:cs="Arial"/>
                <w:b/>
                <w:lang w:val="hy-AM"/>
              </w:rPr>
              <w:t>արդյունքը</w:t>
            </w:r>
            <w:r w:rsidRPr="0053423A">
              <w:rPr>
                <w:rFonts w:ascii="GHEA Grapalat" w:hAnsi="GHEA Grapalat"/>
                <w:b/>
                <w:lang w:val="hy-AM"/>
              </w:rPr>
              <w:t xml:space="preserve"> </w:t>
            </w:r>
          </w:p>
          <w:p w:rsidR="006B0618" w:rsidRPr="0053423A" w:rsidRDefault="006B0618" w:rsidP="00A67858">
            <w:pPr>
              <w:pStyle w:val="mechtex"/>
              <w:tabs>
                <w:tab w:val="left" w:pos="342"/>
              </w:tabs>
              <w:spacing w:line="276" w:lineRule="auto"/>
              <w:ind w:right="256"/>
              <w:jc w:val="both"/>
              <w:rPr>
                <w:rFonts w:ascii="GHEA Grapalat" w:hAnsi="GHEA Grapalat"/>
                <w:b/>
                <w:i/>
                <w:lang w:val="hy-AM"/>
              </w:rPr>
            </w:pPr>
            <w:r w:rsidRPr="0053423A">
              <w:rPr>
                <w:rFonts w:ascii="GHEA Grapalat" w:hAnsi="GHEA Grapalat" w:cs="Sylfaen"/>
                <w:lang w:val="hy-AM"/>
              </w:rPr>
              <w:t>Միջոցառման իրականացման արդյունքում կունենանք հրշեջ-փրկարար ջոկատների տարածքային ստորաբաժանումների շենքային բարելավված պայմաններ:</w:t>
            </w:r>
          </w:p>
        </w:tc>
      </w:tr>
      <w:tr w:rsidR="006B0618" w:rsidRPr="00DE2EFA" w:rsidTr="001F6D5D">
        <w:tc>
          <w:tcPr>
            <w:tcW w:w="691" w:type="dxa"/>
          </w:tcPr>
          <w:p w:rsidR="006B0618" w:rsidRPr="001F6D5D" w:rsidRDefault="001F6D5D" w:rsidP="00696743">
            <w:pPr>
              <w:spacing w:line="276" w:lineRule="auto"/>
              <w:rPr>
                <w:lang w:val="hy-AM"/>
              </w:rPr>
            </w:pPr>
            <w:r>
              <w:rPr>
                <w:lang w:val="hy-AM"/>
              </w:rPr>
              <w:t>8</w:t>
            </w:r>
            <w:r w:rsidR="00696743">
              <w:rPr>
                <w:lang w:val="hy-AM"/>
              </w:rPr>
              <w:t>4</w:t>
            </w:r>
          </w:p>
        </w:tc>
        <w:tc>
          <w:tcPr>
            <w:tcW w:w="10649" w:type="dxa"/>
          </w:tcPr>
          <w:p w:rsidR="006B0618" w:rsidRPr="0053423A" w:rsidRDefault="00696743" w:rsidP="00A67858">
            <w:pPr>
              <w:pStyle w:val="mechtex"/>
              <w:spacing w:line="276" w:lineRule="auto"/>
              <w:ind w:right="256"/>
              <w:rPr>
                <w:rFonts w:ascii="GHEA Grapalat" w:hAnsi="GHEA Grapalat" w:cs="Sylfaen"/>
                <w:b/>
                <w:i/>
                <w:lang w:val="hy-AM"/>
              </w:rPr>
            </w:pPr>
            <w:r>
              <w:rPr>
                <w:rFonts w:ascii="GHEA Grapalat" w:hAnsi="GHEA Grapalat"/>
                <w:lang w:val="hy-AM"/>
              </w:rPr>
              <w:t>84</w:t>
            </w:r>
            <w:r w:rsidRPr="00696743">
              <w:rPr>
                <w:rFonts w:ascii="GHEA Grapalat" w:hAnsi="GHEA Grapalat"/>
                <w:lang w:val="hy-AM"/>
              </w:rPr>
              <w:t xml:space="preserve">.1 </w:t>
            </w:r>
            <w:r w:rsidR="006B0618" w:rsidRPr="0053423A">
              <w:rPr>
                <w:rFonts w:ascii="GHEA Grapalat" w:hAnsi="GHEA Grapalat"/>
                <w:b/>
                <w:i/>
                <w:lang w:val="hy-AM"/>
              </w:rPr>
              <w:t>«Բնակչության պատսպարման հայեցակարգը հաստատելու մասին» ՀՀ կառավարության որոշման նախագիծը ՀՀ վարչապետի աշխատակազմ ներկայացնելը</w:t>
            </w:r>
          </w:p>
          <w:p w:rsidR="006B0618" w:rsidRPr="0053423A" w:rsidRDefault="006B0618" w:rsidP="00A67858">
            <w:pPr>
              <w:pStyle w:val="mechtex"/>
              <w:spacing w:line="276" w:lineRule="auto"/>
              <w:ind w:right="256"/>
              <w:rPr>
                <w:rFonts w:ascii="GHEA Grapalat" w:hAnsi="GHEA Grapalat" w:cs="Sylfaen"/>
                <w:b/>
                <w:i/>
                <w:lang w:val="hy-AM"/>
              </w:rPr>
            </w:pPr>
          </w:p>
          <w:p w:rsidR="006B0618" w:rsidRPr="0053423A" w:rsidRDefault="006B0618" w:rsidP="00A67858">
            <w:pPr>
              <w:pStyle w:val="mechtex"/>
              <w:numPr>
                <w:ilvl w:val="0"/>
                <w:numId w:val="88"/>
              </w:numPr>
              <w:tabs>
                <w:tab w:val="left" w:pos="342"/>
              </w:tabs>
              <w:spacing w:line="276" w:lineRule="auto"/>
              <w:ind w:left="72" w:right="256" w:firstLine="0"/>
              <w:jc w:val="both"/>
              <w:rPr>
                <w:rFonts w:ascii="GHEA Grapalat" w:hAnsi="GHEA Grapalat" w:cs="Arial"/>
                <w:b/>
                <w:lang w:val="hy-AM"/>
              </w:rPr>
            </w:pPr>
            <w:r w:rsidRPr="0053423A">
              <w:rPr>
                <w:rFonts w:ascii="GHEA Grapalat" w:hAnsi="GHEA Grapalat"/>
                <w:b/>
                <w:lang w:val="hy-AM"/>
              </w:rPr>
              <w:t>Միջոցառ</w:t>
            </w:r>
            <w:r w:rsidRPr="0053423A">
              <w:rPr>
                <w:rFonts w:ascii="GHEA Grapalat" w:hAnsi="GHEA Grapalat"/>
                <w:b/>
              </w:rPr>
              <w:t>ումների</w:t>
            </w:r>
            <w:r w:rsidRPr="0053423A">
              <w:rPr>
                <w:rFonts w:ascii="GHEA Grapalat" w:hAnsi="GHEA Grapalat" w:cs="Arial Armenian"/>
                <w:b/>
                <w:lang w:val="hy-AM"/>
              </w:rPr>
              <w:t xml:space="preserve"> </w:t>
            </w:r>
            <w:r w:rsidRPr="0053423A">
              <w:rPr>
                <w:rFonts w:ascii="GHEA Grapalat" w:hAnsi="GHEA Grapalat" w:cs="Arial"/>
                <w:b/>
                <w:lang w:val="hy-AM"/>
              </w:rPr>
              <w:t>իրակացման</w:t>
            </w:r>
            <w:r w:rsidRPr="0053423A">
              <w:rPr>
                <w:rFonts w:ascii="GHEA Grapalat" w:hAnsi="GHEA Grapalat" w:cs="Arial Armenian"/>
                <w:b/>
                <w:lang w:val="hy-AM"/>
              </w:rPr>
              <w:t xml:space="preserve"> </w:t>
            </w:r>
            <w:r w:rsidRPr="0053423A">
              <w:rPr>
                <w:rFonts w:ascii="GHEA Grapalat" w:hAnsi="GHEA Grapalat" w:cs="Arial"/>
                <w:b/>
                <w:lang w:val="hy-AM"/>
              </w:rPr>
              <w:t>անհրաժեշտությունը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նպատակը</w:t>
            </w:r>
          </w:p>
          <w:p w:rsidR="006B0618" w:rsidRPr="0053423A" w:rsidRDefault="006B0618" w:rsidP="00A67858">
            <w:pPr>
              <w:pStyle w:val="mechtex"/>
              <w:spacing w:line="276" w:lineRule="auto"/>
              <w:ind w:left="72" w:right="256"/>
              <w:jc w:val="both"/>
              <w:rPr>
                <w:rFonts w:ascii="GHEA Grapalat" w:hAnsi="GHEA Grapalat"/>
                <w:lang w:val="hy-AM"/>
              </w:rPr>
            </w:pPr>
            <w:r w:rsidRPr="0053423A">
              <w:rPr>
                <w:rFonts w:ascii="GHEA Grapalat" w:hAnsi="GHEA Grapalat"/>
                <w:lang w:val="hy-AM" w:eastAsia="en-GB"/>
              </w:rPr>
              <w:t xml:space="preserve">Միջոցառման հիմք է հանդիսանում </w:t>
            </w:r>
            <w:r w:rsidRPr="0053423A">
              <w:rPr>
                <w:rFonts w:ascii="GHEA Grapalat" w:hAnsi="GHEA Grapalat"/>
                <w:lang w:val="it-IT"/>
              </w:rPr>
              <w:t>«</w:t>
            </w:r>
            <w:r w:rsidRPr="0053423A">
              <w:rPr>
                <w:rFonts w:ascii="GHEA Grapalat" w:hAnsi="GHEA Grapalat"/>
                <w:lang w:val="hy-AM"/>
              </w:rPr>
              <w:t>Արտակարգ իրավիճակներում բնակչության պաշտպանության մասին</w:t>
            </w:r>
            <w:r w:rsidRPr="0053423A">
              <w:rPr>
                <w:rFonts w:ascii="GHEA Grapalat" w:hAnsi="GHEA Grapalat"/>
                <w:lang w:val="it-IT"/>
              </w:rPr>
              <w:t>» ՀՀ օրենքի 9-րդ հոդվածը և «</w:t>
            </w:r>
            <w:r w:rsidRPr="0053423A">
              <w:rPr>
                <w:rFonts w:ascii="GHEA Grapalat" w:hAnsi="GHEA Grapalat"/>
                <w:lang w:val="hy-AM"/>
              </w:rPr>
              <w:t>Քաղաքացիական պաշտպանության մասին</w:t>
            </w:r>
            <w:r w:rsidRPr="0053423A">
              <w:rPr>
                <w:rFonts w:ascii="GHEA Grapalat" w:hAnsi="GHEA Grapalat"/>
                <w:lang w:val="it-IT"/>
              </w:rPr>
              <w:t xml:space="preserve">» </w:t>
            </w:r>
            <w:r w:rsidRPr="0053423A">
              <w:rPr>
                <w:rFonts w:ascii="GHEA Grapalat" w:hAnsi="GHEA Grapalat"/>
                <w:lang w:val="hy-AM"/>
              </w:rPr>
              <w:t>ՀՀ</w:t>
            </w:r>
            <w:r w:rsidRPr="0053423A">
              <w:rPr>
                <w:rFonts w:ascii="GHEA Grapalat" w:hAnsi="GHEA Grapalat"/>
                <w:lang w:val="it-IT"/>
              </w:rPr>
              <w:t xml:space="preserve"> </w:t>
            </w:r>
            <w:r w:rsidRPr="0053423A">
              <w:rPr>
                <w:rFonts w:ascii="GHEA Grapalat" w:hAnsi="GHEA Grapalat"/>
                <w:lang w:val="hy-AM"/>
              </w:rPr>
              <w:t>օրենքի 8-րդ հոդվածի գ</w:t>
            </w:r>
            <w:r w:rsidRPr="0053423A">
              <w:rPr>
                <w:rFonts w:ascii="GHEA Grapalat" w:hAnsi="GHEA Grapalat"/>
                <w:lang w:val="it-IT"/>
              </w:rPr>
              <w:t>) կետը:</w:t>
            </w:r>
            <w:r w:rsidRPr="0053423A">
              <w:rPr>
                <w:rFonts w:ascii="GHEA Grapalat" w:hAnsi="GHEA Grapalat"/>
                <w:lang w:val="hy-AM"/>
              </w:rPr>
              <w:t xml:space="preserve"> </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Տարածաշրջանում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ստեղծված</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ռազմաքաղաքական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իրավիճակը</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քաղաքացիական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պաշտպանության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պաշտպանական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կառույցների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պահեստային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կառավարման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կետերի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ֆոնդը</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պատրաստ</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վիճակում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պահելը</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դարձնում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է</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տվյալ</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ոլորտի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գերակա</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խնդիրներից</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մեկը</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Ռազմական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դրության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ժամանակ</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բնակչության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պատսպարումը</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կազմակերպվում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է</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ապաստարաններում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հակաճառագայթային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պարզագույն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թաքստոցներում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և</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մետրոպոլիտենի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տարածքում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Հայաստանի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Հանրապետության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անկախացումից</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հետո</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բաց</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է</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մնացել</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քաղաքացիական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պաշտպանության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պաշտպանական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կառույցների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մասնավորապես</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ապաստարանների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և</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հակաճառագայթային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թաքստոցների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իրավական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կարգավիճակի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հստակեցման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հարցը</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որի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արդյունքում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բազմաթիվ</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պաշտպանական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կառույցներ</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օտարվել</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են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փոխվել</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է</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դրանց</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օգտագործման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նպատակային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նշանակությունը</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և</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ներկայումս</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անհրաժեշտ</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է</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իրականացնել</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պաշտպանական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կառույցների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նախապատրաստում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կահավորում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պահպանում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բարեկարգում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և</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դրանց</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արդիականացում</w:t>
            </w:r>
            <w:r w:rsidRPr="0053423A">
              <w:rPr>
                <w:rFonts w:ascii="GHEA Grapalat" w:hAnsi="GHEA Grapalat"/>
                <w:color w:val="000000"/>
                <w:lang w:val="hy-AM"/>
              </w:rPr>
              <w:t>:</w:t>
            </w:r>
          </w:p>
          <w:p w:rsidR="006B0618" w:rsidRPr="0053423A" w:rsidRDefault="006B0618" w:rsidP="00A67858">
            <w:pPr>
              <w:pStyle w:val="mechtex"/>
              <w:spacing w:line="276" w:lineRule="auto"/>
              <w:ind w:right="256" w:firstLine="360"/>
              <w:jc w:val="both"/>
              <w:rPr>
                <w:rFonts w:ascii="GHEA Grapalat" w:hAnsi="GHEA Grapalat" w:cs="Arial"/>
                <w:b/>
                <w:lang w:val="hy-AM"/>
              </w:rPr>
            </w:pPr>
            <w:r w:rsidRPr="0053423A">
              <w:rPr>
                <w:rFonts w:ascii="GHEA Grapalat" w:hAnsi="GHEA Grapalat" w:cs="Arial"/>
                <w:b/>
                <w:lang w:val="hy-AM"/>
              </w:rPr>
              <w:t>1.1 Կարգավորման</w:t>
            </w:r>
            <w:r w:rsidRPr="0053423A">
              <w:rPr>
                <w:rFonts w:ascii="GHEA Grapalat" w:hAnsi="GHEA Grapalat" w:cs="Arial Armenian"/>
                <w:b/>
                <w:lang w:val="hy-AM"/>
              </w:rPr>
              <w:t xml:space="preserve"> </w:t>
            </w:r>
            <w:r w:rsidRPr="0053423A">
              <w:rPr>
                <w:rFonts w:ascii="GHEA Grapalat" w:hAnsi="GHEA Grapalat" w:cs="Arial"/>
                <w:b/>
                <w:lang w:val="hy-AM"/>
              </w:rPr>
              <w:t>հարաբերությունների</w:t>
            </w:r>
            <w:r w:rsidRPr="0053423A">
              <w:rPr>
                <w:rFonts w:ascii="GHEA Grapalat" w:hAnsi="GHEA Grapalat" w:cs="Arial Armenian"/>
                <w:b/>
                <w:lang w:val="hy-AM"/>
              </w:rPr>
              <w:t xml:space="preserve"> </w:t>
            </w:r>
            <w:r w:rsidRPr="0053423A">
              <w:rPr>
                <w:rFonts w:ascii="GHEA Grapalat" w:hAnsi="GHEA Grapalat" w:cs="Arial"/>
                <w:b/>
                <w:lang w:val="hy-AM"/>
              </w:rPr>
              <w:t>ներկա</w:t>
            </w:r>
            <w:r w:rsidRPr="0053423A">
              <w:rPr>
                <w:rFonts w:ascii="GHEA Grapalat" w:hAnsi="GHEA Grapalat" w:cs="Arial Armenian"/>
                <w:b/>
                <w:lang w:val="hy-AM"/>
              </w:rPr>
              <w:t xml:space="preserve"> </w:t>
            </w:r>
            <w:r w:rsidRPr="0053423A">
              <w:rPr>
                <w:rFonts w:ascii="GHEA Grapalat" w:hAnsi="GHEA Grapalat" w:cs="Arial"/>
                <w:b/>
                <w:lang w:val="hy-AM"/>
              </w:rPr>
              <w:t>վիճակը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առկա</w:t>
            </w:r>
            <w:r w:rsidRPr="0053423A">
              <w:rPr>
                <w:rFonts w:ascii="GHEA Grapalat" w:hAnsi="GHEA Grapalat" w:cs="Arial Armenian"/>
                <w:b/>
                <w:lang w:val="hy-AM"/>
              </w:rPr>
              <w:t xml:space="preserve"> </w:t>
            </w:r>
            <w:r w:rsidRPr="0053423A">
              <w:rPr>
                <w:rFonts w:ascii="GHEA Grapalat" w:hAnsi="GHEA Grapalat" w:cs="Arial"/>
                <w:b/>
                <w:lang w:val="hy-AM"/>
              </w:rPr>
              <w:t>խնդիրները</w:t>
            </w:r>
          </w:p>
          <w:p w:rsidR="006B0618" w:rsidRPr="0053423A" w:rsidRDefault="006B0618" w:rsidP="00A67858">
            <w:pPr>
              <w:pStyle w:val="mechtex"/>
              <w:spacing w:line="276" w:lineRule="auto"/>
              <w:ind w:right="256" w:firstLine="360"/>
              <w:jc w:val="both"/>
              <w:rPr>
                <w:rFonts w:ascii="GHEA Grapalat" w:hAnsi="GHEA Grapalat"/>
                <w:b/>
                <w:lang w:val="hy-AM"/>
              </w:rPr>
            </w:pPr>
            <w:r w:rsidRPr="0053423A">
              <w:rPr>
                <w:rFonts w:ascii="GHEA Grapalat" w:hAnsi="GHEA Grapalat" w:cs="Sylfaen"/>
                <w:color w:val="000000"/>
                <w:lang w:val="hy-AM"/>
              </w:rPr>
              <w:t>Քաղաքացիական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պաշտպանության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պաշտպանական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կառույցների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մասնավորապես</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ապաստարանների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և</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հակաճառագայթային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թաքստոցների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իրավական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կարգավիճակը</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հստակեցված</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չէ</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որի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արդյունքում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բազմաթիվ</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պաշտպանական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կառույցներ</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օտարվել</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են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փոխվել</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է</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դրանց</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օգտագործման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նպատակային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նշանակությունը</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Անհրաժեշտության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դեպքում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բնակչության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պատսպարումը</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հիմնականում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նախատեսված</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է</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իրականացնել</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բնակելի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շենքերի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նկուղային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հարկերում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որոնք</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ներկայումս</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մեծամասամբ</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զբաղեցված</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են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բնակիչների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կողմից</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և</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օգտագործվում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են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որպես</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խորդանոցներ</w:t>
            </w:r>
            <w:r w:rsidRPr="0053423A">
              <w:rPr>
                <w:rFonts w:ascii="GHEA Grapalat" w:hAnsi="GHEA Grapalat"/>
                <w:color w:val="000000"/>
                <w:lang w:val="hy-AM"/>
              </w:rPr>
              <w:t>:</w:t>
            </w:r>
            <w:r w:rsidRPr="0053423A">
              <w:rPr>
                <w:rFonts w:ascii="GHEA Grapalat" w:hAnsi="GHEA Grapalat"/>
                <w:b/>
                <w:lang w:val="hy-AM"/>
              </w:rPr>
              <w:t xml:space="preserve"> </w:t>
            </w:r>
          </w:p>
          <w:p w:rsidR="006B0618" w:rsidRPr="0053423A" w:rsidRDefault="006B0618" w:rsidP="00A67858">
            <w:pPr>
              <w:spacing w:line="276" w:lineRule="auto"/>
              <w:rPr>
                <w:b/>
                <w:color w:val="000000"/>
                <w:lang w:val="hy-AM"/>
              </w:rPr>
            </w:pPr>
            <w:r w:rsidRPr="0053423A">
              <w:rPr>
                <w:b/>
                <w:color w:val="000000"/>
                <w:lang w:val="hy-AM"/>
              </w:rPr>
              <w:t xml:space="preserve">1.2  </w:t>
            </w:r>
            <w:r w:rsidRPr="0053423A">
              <w:rPr>
                <w:rFonts w:cs="Sylfaen"/>
                <w:b/>
                <w:color w:val="000000"/>
                <w:lang w:val="hy-AM"/>
              </w:rPr>
              <w:t>Առկա</w:t>
            </w:r>
            <w:r w:rsidRPr="0053423A">
              <w:rPr>
                <w:rFonts w:cs="Arial Armenian"/>
                <w:b/>
                <w:color w:val="000000"/>
                <w:lang w:val="hy-AM"/>
              </w:rPr>
              <w:t xml:space="preserve"> </w:t>
            </w:r>
            <w:r w:rsidRPr="0053423A">
              <w:rPr>
                <w:rFonts w:cs="Sylfaen"/>
                <w:b/>
                <w:color w:val="000000"/>
                <w:lang w:val="hy-AM"/>
              </w:rPr>
              <w:t>խնդիրների</w:t>
            </w:r>
            <w:r w:rsidRPr="0053423A">
              <w:rPr>
                <w:rFonts w:cs="Arial Armenian"/>
                <w:b/>
                <w:color w:val="000000"/>
                <w:lang w:val="hy-AM"/>
              </w:rPr>
              <w:t xml:space="preserve"> </w:t>
            </w:r>
            <w:r w:rsidRPr="0053423A">
              <w:rPr>
                <w:rFonts w:cs="Sylfaen"/>
                <w:b/>
                <w:color w:val="000000"/>
                <w:lang w:val="hy-AM"/>
              </w:rPr>
              <w:t>առաջարկվող</w:t>
            </w:r>
            <w:r w:rsidRPr="0053423A">
              <w:rPr>
                <w:rFonts w:cs="Arial Armenian"/>
                <w:b/>
                <w:color w:val="000000"/>
                <w:lang w:val="hy-AM"/>
              </w:rPr>
              <w:t xml:space="preserve"> </w:t>
            </w:r>
            <w:r w:rsidRPr="0053423A">
              <w:rPr>
                <w:rFonts w:cs="Sylfaen"/>
                <w:b/>
                <w:color w:val="000000"/>
                <w:lang w:val="hy-AM"/>
              </w:rPr>
              <w:t>լուծումները</w:t>
            </w:r>
          </w:p>
          <w:p w:rsidR="006B0618" w:rsidRPr="0053423A" w:rsidRDefault="006B0618" w:rsidP="00A67858">
            <w:pPr>
              <w:spacing w:line="276" w:lineRule="auto"/>
              <w:rPr>
                <w:color w:val="000000"/>
                <w:lang w:val="hy-AM"/>
              </w:rPr>
            </w:pPr>
            <w:r w:rsidRPr="0053423A">
              <w:rPr>
                <w:rFonts w:cs="Sylfaen"/>
                <w:color w:val="000000"/>
                <w:lang w:val="hy-AM"/>
              </w:rPr>
              <w:t>Հայաստանի</w:t>
            </w:r>
            <w:r w:rsidRPr="0053423A">
              <w:rPr>
                <w:color w:val="000000"/>
                <w:lang w:val="hy-AM"/>
              </w:rPr>
              <w:t xml:space="preserve"> </w:t>
            </w:r>
            <w:r w:rsidRPr="0053423A">
              <w:rPr>
                <w:rFonts w:cs="Sylfaen"/>
                <w:color w:val="000000"/>
                <w:lang w:val="hy-AM"/>
              </w:rPr>
              <w:t>Հանրապետության</w:t>
            </w:r>
            <w:r w:rsidRPr="0053423A">
              <w:rPr>
                <w:color w:val="000000"/>
                <w:lang w:val="hy-AM"/>
              </w:rPr>
              <w:t xml:space="preserve"> </w:t>
            </w:r>
            <w:r w:rsidRPr="0053423A">
              <w:rPr>
                <w:rFonts w:cs="Sylfaen"/>
                <w:color w:val="000000"/>
                <w:lang w:val="hy-AM"/>
              </w:rPr>
              <w:t>օրենսդրական</w:t>
            </w:r>
            <w:r w:rsidRPr="0053423A">
              <w:rPr>
                <w:color w:val="000000"/>
                <w:lang w:val="hy-AM"/>
              </w:rPr>
              <w:t xml:space="preserve"> </w:t>
            </w:r>
            <w:r w:rsidRPr="0053423A">
              <w:rPr>
                <w:rFonts w:cs="Sylfaen"/>
                <w:color w:val="000000"/>
                <w:lang w:val="hy-AM"/>
              </w:rPr>
              <w:t>կարգով</w:t>
            </w:r>
            <w:r w:rsidRPr="0053423A">
              <w:rPr>
                <w:color w:val="000000"/>
                <w:lang w:val="hy-AM"/>
              </w:rPr>
              <w:t xml:space="preserve"> </w:t>
            </w:r>
            <w:r w:rsidRPr="0053423A">
              <w:rPr>
                <w:rFonts w:cs="Sylfaen"/>
                <w:color w:val="000000"/>
                <w:lang w:val="hy-AM"/>
              </w:rPr>
              <w:t>խնդիրների</w:t>
            </w:r>
            <w:r w:rsidRPr="0053423A">
              <w:rPr>
                <w:color w:val="000000"/>
                <w:lang w:val="hy-AM"/>
              </w:rPr>
              <w:t xml:space="preserve"> </w:t>
            </w:r>
            <w:r w:rsidRPr="0053423A">
              <w:rPr>
                <w:rFonts w:cs="Sylfaen"/>
                <w:color w:val="000000"/>
                <w:lang w:val="hy-AM"/>
              </w:rPr>
              <w:t>կարգավորում</w:t>
            </w:r>
            <w:r w:rsidRPr="0053423A">
              <w:rPr>
                <w:color w:val="000000"/>
                <w:lang w:val="hy-AM"/>
              </w:rPr>
              <w:t>:</w:t>
            </w:r>
          </w:p>
          <w:p w:rsidR="006B0618" w:rsidRPr="0053423A" w:rsidRDefault="006B0618" w:rsidP="00A67858">
            <w:pPr>
              <w:pStyle w:val="mechtex"/>
              <w:spacing w:line="276" w:lineRule="auto"/>
              <w:ind w:right="256" w:firstLine="360"/>
              <w:jc w:val="both"/>
              <w:rPr>
                <w:rFonts w:ascii="GHEA Grapalat" w:hAnsi="GHEA Grapalat"/>
                <w:b/>
                <w:lang w:val="hy-AM"/>
              </w:rPr>
            </w:pPr>
            <w:r w:rsidRPr="0053423A">
              <w:rPr>
                <w:rFonts w:ascii="GHEA Grapalat" w:hAnsi="GHEA Grapalat"/>
                <w:b/>
                <w:lang w:val="hy-AM"/>
              </w:rPr>
              <w:t>2. Միջոցառումների</w:t>
            </w:r>
            <w:r w:rsidRPr="0053423A">
              <w:rPr>
                <w:rFonts w:ascii="GHEA Grapalat" w:hAnsi="GHEA Grapalat" w:cs="Arial Armenian"/>
                <w:b/>
                <w:lang w:val="hy-AM"/>
              </w:rPr>
              <w:t xml:space="preserve"> </w:t>
            </w:r>
            <w:r w:rsidRPr="0053423A">
              <w:rPr>
                <w:rFonts w:ascii="GHEA Grapalat" w:hAnsi="GHEA Grapalat" w:cs="Arial"/>
                <w:b/>
                <w:lang w:val="hy-AM"/>
              </w:rPr>
              <w:t>իրականացումից</w:t>
            </w:r>
            <w:r w:rsidRPr="0053423A">
              <w:rPr>
                <w:rFonts w:ascii="GHEA Grapalat" w:hAnsi="GHEA Grapalat" w:cs="Arial Armenian"/>
                <w:b/>
                <w:lang w:val="hy-AM"/>
              </w:rPr>
              <w:t xml:space="preserve"> </w:t>
            </w:r>
            <w:r w:rsidRPr="0053423A">
              <w:rPr>
                <w:rFonts w:ascii="GHEA Grapalat" w:hAnsi="GHEA Grapalat" w:cs="Arial"/>
                <w:b/>
                <w:lang w:val="hy-AM"/>
              </w:rPr>
              <w:t>ակնկալվող</w:t>
            </w:r>
            <w:r w:rsidRPr="0053423A">
              <w:rPr>
                <w:rFonts w:ascii="GHEA Grapalat" w:hAnsi="GHEA Grapalat" w:cs="Arial Armenian"/>
                <w:b/>
                <w:lang w:val="hy-AM"/>
              </w:rPr>
              <w:t xml:space="preserve"> </w:t>
            </w:r>
            <w:r w:rsidRPr="0053423A">
              <w:rPr>
                <w:rFonts w:ascii="GHEA Grapalat" w:hAnsi="GHEA Grapalat" w:cs="Arial"/>
                <w:b/>
                <w:lang w:val="hy-AM"/>
              </w:rPr>
              <w:t>արդյունքը</w:t>
            </w:r>
            <w:r w:rsidRPr="0053423A">
              <w:rPr>
                <w:rFonts w:ascii="GHEA Grapalat" w:hAnsi="GHEA Grapalat"/>
                <w:b/>
                <w:lang w:val="hy-AM"/>
              </w:rPr>
              <w:t xml:space="preserve"> </w:t>
            </w:r>
          </w:p>
          <w:p w:rsidR="006B0618" w:rsidRPr="0053423A" w:rsidRDefault="006B0618" w:rsidP="00A67858">
            <w:pPr>
              <w:pStyle w:val="mechtex"/>
              <w:spacing w:line="276" w:lineRule="auto"/>
              <w:ind w:right="256" w:firstLine="360"/>
              <w:jc w:val="both"/>
              <w:rPr>
                <w:rFonts w:ascii="GHEA Grapalat" w:hAnsi="GHEA Grapalat"/>
                <w:b/>
                <w:i/>
                <w:lang w:val="hy-AM"/>
              </w:rPr>
            </w:pPr>
            <w:r w:rsidRPr="0053423A">
              <w:rPr>
                <w:rFonts w:ascii="GHEA Grapalat" w:hAnsi="GHEA Grapalat" w:cs="Sylfaen"/>
                <w:color w:val="000000"/>
                <w:lang w:val="hy-AM"/>
              </w:rPr>
              <w:t>Պաշտպանական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կառույցների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ֆոնդի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կուտակում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գոյություն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ունեցող</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կառույցների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պահպանում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նախապատրաստմում</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և</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դրանց</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արդիականացում</w:t>
            </w:r>
            <w:r w:rsidRPr="0053423A">
              <w:rPr>
                <w:rFonts w:ascii="GHEA Grapalat" w:hAnsi="GHEA Grapalat"/>
                <w:color w:val="000000"/>
                <w:lang w:val="hy-AM"/>
              </w:rPr>
              <w:t>:</w:t>
            </w:r>
          </w:p>
        </w:tc>
      </w:tr>
      <w:tr w:rsidR="006B0618" w:rsidRPr="00DE2EFA" w:rsidTr="001F6D5D">
        <w:tc>
          <w:tcPr>
            <w:tcW w:w="691" w:type="dxa"/>
          </w:tcPr>
          <w:p w:rsidR="006B0618" w:rsidRPr="001F6D5D" w:rsidRDefault="001F6D5D" w:rsidP="00696743">
            <w:pPr>
              <w:spacing w:line="276" w:lineRule="auto"/>
              <w:rPr>
                <w:lang w:val="hy-AM"/>
              </w:rPr>
            </w:pPr>
            <w:r>
              <w:rPr>
                <w:lang w:val="hy-AM"/>
              </w:rPr>
              <w:t>8</w:t>
            </w:r>
            <w:r w:rsidR="00696743">
              <w:rPr>
                <w:lang w:val="hy-AM"/>
              </w:rPr>
              <w:t>5</w:t>
            </w:r>
          </w:p>
        </w:tc>
        <w:tc>
          <w:tcPr>
            <w:tcW w:w="10649" w:type="dxa"/>
          </w:tcPr>
          <w:p w:rsidR="006B0618" w:rsidRPr="0053423A" w:rsidRDefault="00696743" w:rsidP="00A67858">
            <w:pPr>
              <w:pStyle w:val="mechtex"/>
              <w:spacing w:line="276" w:lineRule="auto"/>
              <w:ind w:right="256"/>
              <w:rPr>
                <w:rFonts w:ascii="GHEA Grapalat" w:hAnsi="GHEA Grapalat" w:cs="Sylfaen"/>
                <w:b/>
                <w:i/>
                <w:lang w:val="hy-AM"/>
              </w:rPr>
            </w:pPr>
            <w:r>
              <w:rPr>
                <w:rFonts w:ascii="GHEA Grapalat" w:hAnsi="GHEA Grapalat"/>
                <w:lang w:val="hy-AM"/>
              </w:rPr>
              <w:t>85</w:t>
            </w:r>
            <w:r w:rsidRPr="00696743">
              <w:rPr>
                <w:rFonts w:ascii="GHEA Grapalat" w:hAnsi="GHEA Grapalat"/>
                <w:lang w:val="hy-AM"/>
              </w:rPr>
              <w:t xml:space="preserve">.1 </w:t>
            </w:r>
            <w:r w:rsidR="006B0618" w:rsidRPr="0053423A">
              <w:rPr>
                <w:rFonts w:ascii="GHEA Grapalat" w:hAnsi="GHEA Grapalat"/>
                <w:b/>
                <w:i/>
                <w:lang w:val="hy-AM"/>
              </w:rPr>
              <w:t>«Արտակարգ իրավիճակների նախարարության զարգացման ռազմավարությունը հաստատելու մասին » ՀՀ կառավարության որոշման նախագիծը ՀՀ վարչապետի աշխատակազմ ներկայացնելը</w:t>
            </w:r>
          </w:p>
          <w:p w:rsidR="006B0618" w:rsidRPr="0053423A" w:rsidRDefault="006B0618" w:rsidP="00A67858">
            <w:pPr>
              <w:pStyle w:val="mechtex"/>
              <w:spacing w:line="276" w:lineRule="auto"/>
              <w:ind w:right="256"/>
              <w:rPr>
                <w:rFonts w:ascii="GHEA Grapalat" w:hAnsi="GHEA Grapalat" w:cs="Sylfaen"/>
                <w:b/>
                <w:i/>
                <w:lang w:val="hy-AM"/>
              </w:rPr>
            </w:pPr>
          </w:p>
          <w:p w:rsidR="006B0618" w:rsidRPr="0053423A" w:rsidRDefault="006B0618" w:rsidP="00A67858">
            <w:pPr>
              <w:pStyle w:val="mechtex"/>
              <w:numPr>
                <w:ilvl w:val="0"/>
                <w:numId w:val="89"/>
              </w:numPr>
              <w:tabs>
                <w:tab w:val="left" w:pos="402"/>
              </w:tabs>
              <w:spacing w:line="276" w:lineRule="auto"/>
              <w:ind w:left="0" w:right="256" w:firstLine="0"/>
              <w:jc w:val="both"/>
              <w:rPr>
                <w:rFonts w:ascii="GHEA Grapalat" w:hAnsi="GHEA Grapalat" w:cs="Arial"/>
                <w:b/>
                <w:lang w:val="hy-AM"/>
              </w:rPr>
            </w:pPr>
            <w:r w:rsidRPr="0053423A">
              <w:rPr>
                <w:rFonts w:ascii="GHEA Grapalat" w:hAnsi="GHEA Grapalat"/>
                <w:b/>
                <w:lang w:val="hy-AM"/>
              </w:rPr>
              <w:t>Միջոցառ</w:t>
            </w:r>
            <w:r w:rsidRPr="0053423A">
              <w:rPr>
                <w:rFonts w:ascii="GHEA Grapalat" w:hAnsi="GHEA Grapalat"/>
                <w:b/>
              </w:rPr>
              <w:t>ումների</w:t>
            </w:r>
            <w:r w:rsidRPr="0053423A">
              <w:rPr>
                <w:rFonts w:ascii="GHEA Grapalat" w:hAnsi="GHEA Grapalat" w:cs="Arial Armenian"/>
                <w:b/>
                <w:lang w:val="hy-AM"/>
              </w:rPr>
              <w:t xml:space="preserve"> </w:t>
            </w:r>
            <w:r w:rsidRPr="0053423A">
              <w:rPr>
                <w:rFonts w:ascii="GHEA Grapalat" w:hAnsi="GHEA Grapalat" w:cs="Arial"/>
                <w:b/>
                <w:lang w:val="hy-AM"/>
              </w:rPr>
              <w:t>իրակացման</w:t>
            </w:r>
            <w:r w:rsidRPr="0053423A">
              <w:rPr>
                <w:rFonts w:ascii="GHEA Grapalat" w:hAnsi="GHEA Grapalat" w:cs="Arial Armenian"/>
                <w:b/>
                <w:lang w:val="hy-AM"/>
              </w:rPr>
              <w:t xml:space="preserve"> </w:t>
            </w:r>
            <w:r w:rsidRPr="0053423A">
              <w:rPr>
                <w:rFonts w:ascii="GHEA Grapalat" w:hAnsi="GHEA Grapalat" w:cs="Arial"/>
                <w:b/>
                <w:lang w:val="hy-AM"/>
              </w:rPr>
              <w:t>անհրաժեշտությունը</w:t>
            </w:r>
            <w:r w:rsidRPr="0053423A">
              <w:rPr>
                <w:rFonts w:ascii="GHEA Grapalat" w:hAnsi="GHEA Grapalat" w:cs="Arial Armenian"/>
                <w:b/>
                <w:lang w:val="hy-AM"/>
              </w:rPr>
              <w:t xml:space="preserve"> </w:t>
            </w:r>
            <w:r w:rsidRPr="0053423A">
              <w:rPr>
                <w:rFonts w:ascii="GHEA Grapalat" w:hAnsi="GHEA Grapalat" w:cs="Arial"/>
                <w:b/>
                <w:lang w:val="hy-AM"/>
              </w:rPr>
              <w:t>և</w:t>
            </w:r>
            <w:r w:rsidRPr="0053423A">
              <w:rPr>
                <w:rFonts w:ascii="GHEA Grapalat" w:hAnsi="GHEA Grapalat" w:cs="Arial Armenian"/>
                <w:b/>
                <w:lang w:val="hy-AM"/>
              </w:rPr>
              <w:t xml:space="preserve"> </w:t>
            </w:r>
            <w:r w:rsidRPr="0053423A">
              <w:rPr>
                <w:rFonts w:ascii="GHEA Grapalat" w:hAnsi="GHEA Grapalat" w:cs="Arial"/>
                <w:b/>
                <w:lang w:val="hy-AM"/>
              </w:rPr>
              <w:t>նպատակը</w:t>
            </w:r>
          </w:p>
          <w:p w:rsidR="006B0618" w:rsidRPr="0053423A" w:rsidRDefault="006B0618" w:rsidP="00A67858">
            <w:pPr>
              <w:pStyle w:val="mechtex"/>
              <w:tabs>
                <w:tab w:val="left" w:pos="402"/>
              </w:tabs>
              <w:spacing w:line="276" w:lineRule="auto"/>
              <w:ind w:right="256"/>
              <w:jc w:val="both"/>
              <w:rPr>
                <w:rFonts w:ascii="GHEA Grapalat" w:hAnsi="GHEA Grapalat"/>
                <w:color w:val="000000"/>
                <w:lang w:val="hy-AM" w:eastAsia="en-US"/>
              </w:rPr>
            </w:pPr>
            <w:r w:rsidRPr="0053423A">
              <w:rPr>
                <w:rFonts w:ascii="GHEA Grapalat" w:hAnsi="GHEA Grapalat"/>
                <w:lang w:val="hy-AM"/>
              </w:rPr>
              <w:t xml:space="preserve">Միջոցառման հիմք է հանդիսանում </w:t>
            </w:r>
            <w:r w:rsidRPr="0053423A">
              <w:rPr>
                <w:rFonts w:ascii="GHEA Grapalat" w:hAnsi="GHEA Grapalat" w:cs="Sylfaen"/>
                <w:color w:val="000000"/>
                <w:lang w:val="hy-AM"/>
              </w:rPr>
              <w:t>ՀՀ</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Ազգային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ժողովի</w:t>
            </w:r>
            <w:r w:rsidRPr="0053423A">
              <w:rPr>
                <w:rFonts w:ascii="GHEA Grapalat" w:hAnsi="GHEA Grapalat" w:cs="Arial Armenian"/>
                <w:color w:val="000000"/>
                <w:lang w:val="hy-AM"/>
              </w:rPr>
              <w:t xml:space="preserve"> 2019 </w:t>
            </w:r>
            <w:r w:rsidRPr="0053423A">
              <w:rPr>
                <w:rFonts w:ascii="GHEA Grapalat" w:hAnsi="GHEA Grapalat" w:cs="Sylfaen"/>
                <w:color w:val="000000"/>
                <w:lang w:val="hy-AM"/>
              </w:rPr>
              <w:t>թվականի</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ԱԺՈ</w:t>
            </w:r>
            <w:r w:rsidRPr="0053423A">
              <w:rPr>
                <w:rFonts w:ascii="GHEA Grapalat" w:hAnsi="GHEA Grapalat" w:cs="Arial Armenian"/>
                <w:color w:val="000000"/>
                <w:lang w:val="hy-AM"/>
              </w:rPr>
              <w:t>-002-</w:t>
            </w:r>
            <w:r w:rsidRPr="0053423A">
              <w:rPr>
                <w:rFonts w:ascii="GHEA Grapalat" w:hAnsi="GHEA Grapalat" w:cs="Sylfaen"/>
                <w:color w:val="000000"/>
                <w:lang w:val="hy-AM"/>
              </w:rPr>
              <w:t>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որոշմամբ</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հավանության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արժանացած</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ՀՀ</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կառավարության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ծրագրի</w:t>
            </w:r>
            <w:r w:rsidRPr="0053423A">
              <w:rPr>
                <w:rFonts w:ascii="GHEA Grapalat" w:hAnsi="GHEA Grapalat" w:cs="Arial Armenian"/>
                <w:color w:val="000000"/>
                <w:lang w:val="hy-AM"/>
              </w:rPr>
              <w:t xml:space="preserve"> «2.2. </w:t>
            </w:r>
            <w:r w:rsidRPr="0053423A">
              <w:rPr>
                <w:rFonts w:ascii="GHEA Grapalat" w:hAnsi="GHEA Grapalat" w:cs="Sylfaen"/>
                <w:color w:val="000000"/>
                <w:lang w:val="hy-AM"/>
              </w:rPr>
              <w:t>Ներքին</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անվտանգությունը</w:t>
            </w:r>
            <w:r w:rsidRPr="0053423A">
              <w:rPr>
                <w:rFonts w:ascii="GHEA Grapalat" w:hAnsi="GHEA Grapalat" w:cs="Arial Armenian"/>
                <w:color w:val="000000"/>
                <w:lang w:val="hy-AM"/>
              </w:rPr>
              <w:t xml:space="preserve">» </w:t>
            </w:r>
            <w:r w:rsidRPr="0053423A">
              <w:rPr>
                <w:rFonts w:ascii="GHEA Grapalat" w:hAnsi="GHEA Grapalat" w:cs="Sylfaen"/>
                <w:color w:val="000000"/>
                <w:lang w:val="hy-AM"/>
              </w:rPr>
              <w:t>բաժնում վեր հանված ԱԻ նախարարության ոլորտային խնդիրները</w:t>
            </w:r>
            <w:r w:rsidRPr="0053423A">
              <w:rPr>
                <w:rFonts w:ascii="GHEA Grapalat" w:hAnsi="GHEA Grapalat"/>
                <w:color w:val="000000"/>
                <w:lang w:val="hy-AM"/>
              </w:rPr>
              <w:t xml:space="preserve">: Մասնավորապես՝ Կառավարությունը կարևորում է </w:t>
            </w:r>
            <w:r w:rsidRPr="0053423A">
              <w:rPr>
                <w:rFonts w:ascii="GHEA Grapalat" w:hAnsi="GHEA Grapalat"/>
                <w:color w:val="000000"/>
                <w:lang w:val="hy-AM" w:eastAsia="en-US"/>
              </w:rPr>
              <w:t xml:space="preserve">է բնական և տեխնածին աղետների արդյունավետ կանխատեսումն ու վաղ ազդարարումը, դրանց արագ արձագանքման համակարգի կատարելագործումը, արտակարգ իրավիճակներում բնակչության իրազեկվածության ու կրթվածության մակարդակի բարձրացումը, </w:t>
            </w:r>
            <w:r w:rsidRPr="0053423A">
              <w:rPr>
                <w:rFonts w:ascii="GHEA Grapalat" w:hAnsi="GHEA Grapalat"/>
                <w:color w:val="000000"/>
                <w:shd w:val="clear" w:color="auto" w:fill="FFFFFF"/>
                <w:lang w:val="hy-AM"/>
              </w:rPr>
              <w:t>ռազմավարական նշանակության օբյեկտների և ենթակառուցվածքների անվտանգության ապահովումը,</w:t>
            </w:r>
            <w:r w:rsidRPr="0053423A">
              <w:rPr>
                <w:rFonts w:ascii="GHEA Grapalat" w:hAnsi="GHEA Grapalat"/>
                <w:color w:val="000000"/>
                <w:lang w:val="hy-AM" w:eastAsia="en-US"/>
              </w:rPr>
              <w:t xml:space="preserve"> նյութական արժեքների պետական պահուստի պահպանման, թարմացման, սպասարկման ու արդիականացման համար ֆինանսական միջոցների ուղղորդման միջոցառումները:</w:t>
            </w:r>
          </w:p>
          <w:p w:rsidR="006B0618" w:rsidRPr="0053423A" w:rsidRDefault="006B0618" w:rsidP="00A67858">
            <w:pPr>
              <w:pStyle w:val="mechtex"/>
              <w:tabs>
                <w:tab w:val="left" w:pos="402"/>
              </w:tabs>
              <w:spacing w:line="276" w:lineRule="auto"/>
              <w:ind w:right="256"/>
              <w:jc w:val="both"/>
              <w:rPr>
                <w:rFonts w:ascii="GHEA Grapalat" w:hAnsi="GHEA Grapalat"/>
                <w:color w:val="000000"/>
                <w:lang w:val="hy-AM" w:eastAsia="en-US"/>
              </w:rPr>
            </w:pPr>
          </w:p>
          <w:p w:rsidR="006B0618" w:rsidRPr="0053423A" w:rsidRDefault="006B0618" w:rsidP="00A67858">
            <w:pPr>
              <w:pStyle w:val="mechtex"/>
              <w:numPr>
                <w:ilvl w:val="1"/>
                <w:numId w:val="83"/>
              </w:numPr>
              <w:tabs>
                <w:tab w:val="left" w:pos="402"/>
              </w:tabs>
              <w:spacing w:line="276" w:lineRule="auto"/>
              <w:ind w:left="0" w:right="256" w:firstLine="0"/>
              <w:jc w:val="both"/>
              <w:rPr>
                <w:rFonts w:ascii="GHEA Grapalat" w:hAnsi="GHEA Grapalat" w:cs="Sylfaen"/>
                <w:b/>
                <w:color w:val="000000"/>
                <w:lang w:val="hy-AM"/>
              </w:rPr>
            </w:pPr>
            <w:r w:rsidRPr="0053423A">
              <w:rPr>
                <w:rFonts w:ascii="GHEA Grapalat" w:hAnsi="GHEA Grapalat" w:cs="Sylfaen"/>
                <w:b/>
                <w:color w:val="000000"/>
                <w:lang w:val="hy-AM"/>
              </w:rPr>
              <w:t>Կարգավորման</w:t>
            </w:r>
            <w:r w:rsidRPr="0053423A">
              <w:rPr>
                <w:rFonts w:ascii="GHEA Grapalat" w:hAnsi="GHEA Grapalat" w:cs="Arial Armenian"/>
                <w:b/>
                <w:color w:val="000000"/>
                <w:lang w:val="hy-AM"/>
              </w:rPr>
              <w:t xml:space="preserve"> </w:t>
            </w:r>
            <w:r w:rsidRPr="0053423A">
              <w:rPr>
                <w:rFonts w:ascii="GHEA Grapalat" w:hAnsi="GHEA Grapalat" w:cs="Sylfaen"/>
                <w:b/>
                <w:color w:val="000000"/>
                <w:lang w:val="hy-AM"/>
              </w:rPr>
              <w:t>հարաբերությունների</w:t>
            </w:r>
            <w:r w:rsidRPr="0053423A">
              <w:rPr>
                <w:rFonts w:ascii="GHEA Grapalat" w:hAnsi="GHEA Grapalat" w:cs="Arial Armenian"/>
                <w:b/>
                <w:color w:val="000000"/>
                <w:lang w:val="hy-AM"/>
              </w:rPr>
              <w:t xml:space="preserve"> </w:t>
            </w:r>
            <w:r w:rsidRPr="0053423A">
              <w:rPr>
                <w:rFonts w:ascii="GHEA Grapalat" w:hAnsi="GHEA Grapalat" w:cs="Sylfaen"/>
                <w:b/>
                <w:color w:val="000000"/>
                <w:lang w:val="hy-AM"/>
              </w:rPr>
              <w:t>ներկա</w:t>
            </w:r>
            <w:r w:rsidRPr="0053423A">
              <w:rPr>
                <w:rFonts w:ascii="GHEA Grapalat" w:hAnsi="GHEA Grapalat" w:cs="Arial Armenian"/>
                <w:b/>
                <w:color w:val="000000"/>
                <w:lang w:val="hy-AM"/>
              </w:rPr>
              <w:t xml:space="preserve"> </w:t>
            </w:r>
            <w:r w:rsidRPr="0053423A">
              <w:rPr>
                <w:rFonts w:ascii="GHEA Grapalat" w:hAnsi="GHEA Grapalat" w:cs="Sylfaen"/>
                <w:b/>
                <w:color w:val="000000"/>
                <w:lang w:val="hy-AM"/>
              </w:rPr>
              <w:t>վիճակը</w:t>
            </w:r>
            <w:r w:rsidRPr="0053423A">
              <w:rPr>
                <w:rFonts w:ascii="GHEA Grapalat" w:hAnsi="GHEA Grapalat" w:cs="Arial Armenian"/>
                <w:b/>
                <w:color w:val="000000"/>
                <w:lang w:val="hy-AM"/>
              </w:rPr>
              <w:t xml:space="preserve"> </w:t>
            </w:r>
            <w:r w:rsidRPr="0053423A">
              <w:rPr>
                <w:rFonts w:ascii="GHEA Grapalat" w:hAnsi="GHEA Grapalat" w:cs="Sylfaen"/>
                <w:b/>
                <w:color w:val="000000"/>
                <w:lang w:val="hy-AM"/>
              </w:rPr>
              <w:t>և</w:t>
            </w:r>
            <w:r w:rsidRPr="0053423A">
              <w:rPr>
                <w:rFonts w:ascii="GHEA Grapalat" w:hAnsi="GHEA Grapalat" w:cs="Arial Armenian"/>
                <w:b/>
                <w:color w:val="000000"/>
                <w:lang w:val="hy-AM"/>
              </w:rPr>
              <w:t xml:space="preserve"> </w:t>
            </w:r>
            <w:r w:rsidRPr="0053423A">
              <w:rPr>
                <w:rFonts w:ascii="GHEA Grapalat" w:hAnsi="GHEA Grapalat" w:cs="Sylfaen"/>
                <w:b/>
                <w:color w:val="000000"/>
                <w:lang w:val="hy-AM"/>
              </w:rPr>
              <w:t>առկա</w:t>
            </w:r>
            <w:r w:rsidRPr="0053423A">
              <w:rPr>
                <w:rFonts w:ascii="GHEA Grapalat" w:hAnsi="GHEA Grapalat" w:cs="Arial Armenian"/>
                <w:b/>
                <w:color w:val="000000"/>
                <w:lang w:val="hy-AM"/>
              </w:rPr>
              <w:t xml:space="preserve"> </w:t>
            </w:r>
            <w:r w:rsidRPr="0053423A">
              <w:rPr>
                <w:rFonts w:ascii="GHEA Grapalat" w:hAnsi="GHEA Grapalat" w:cs="Sylfaen"/>
                <w:b/>
                <w:color w:val="000000"/>
                <w:lang w:val="hy-AM"/>
              </w:rPr>
              <w:t>խնդիրը</w:t>
            </w:r>
          </w:p>
          <w:p w:rsidR="006B0618" w:rsidRPr="0053423A" w:rsidRDefault="006B0618" w:rsidP="00A67858">
            <w:pPr>
              <w:pStyle w:val="mechtex"/>
              <w:tabs>
                <w:tab w:val="left" w:pos="402"/>
              </w:tabs>
              <w:spacing w:line="276" w:lineRule="auto"/>
              <w:ind w:right="256"/>
              <w:jc w:val="both"/>
              <w:rPr>
                <w:rFonts w:ascii="GHEA Grapalat" w:hAnsi="GHEA Grapalat"/>
                <w:b/>
                <w:color w:val="000000"/>
                <w:lang w:val="hy-AM"/>
              </w:rPr>
            </w:pPr>
            <w:r w:rsidRPr="0053423A">
              <w:rPr>
                <w:rFonts w:ascii="GHEA Grapalat" w:hAnsi="GHEA Grapalat"/>
                <w:lang w:val="hy-AM"/>
              </w:rPr>
              <w:t>Ա</w:t>
            </w:r>
            <w:r w:rsidRPr="0053423A">
              <w:rPr>
                <w:rFonts w:ascii="GHEA Grapalat" w:hAnsi="GHEA Grapalat" w:cs="Arial"/>
                <w:lang w:val="af-ZA"/>
              </w:rPr>
              <w:t>ղետների ռիսկի</w:t>
            </w:r>
            <w:r w:rsidRPr="0053423A">
              <w:rPr>
                <w:rFonts w:ascii="GHEA Grapalat" w:hAnsi="GHEA Grapalat"/>
                <w:lang w:val="hy-AM"/>
              </w:rPr>
              <w:t xml:space="preserve"> նվազեցման գործառույթների ու չափորոշիչների ոչ բավարար չափով ներառումն երկրի զարգացման ծրագրերում, ֆինանսական սահմանափակ միջոցները, բնակչության իրազեկվածության ոչ բավարար մակարդակը:</w:t>
            </w:r>
          </w:p>
          <w:p w:rsidR="006B0618" w:rsidRPr="0053423A" w:rsidRDefault="006B0618" w:rsidP="00A67858">
            <w:pPr>
              <w:pStyle w:val="ListParagraph"/>
              <w:numPr>
                <w:ilvl w:val="1"/>
                <w:numId w:val="87"/>
              </w:numPr>
              <w:tabs>
                <w:tab w:val="left" w:pos="402"/>
              </w:tabs>
              <w:spacing w:line="276" w:lineRule="auto"/>
              <w:ind w:left="0" w:firstLine="0"/>
              <w:rPr>
                <w:rFonts w:cs="Sylfaen"/>
                <w:b/>
                <w:color w:val="000000"/>
              </w:rPr>
            </w:pPr>
            <w:r w:rsidRPr="0053423A">
              <w:rPr>
                <w:rFonts w:cs="Sylfaen"/>
                <w:b/>
                <w:color w:val="000000"/>
              </w:rPr>
              <w:t>Առկա</w:t>
            </w:r>
            <w:r w:rsidRPr="0053423A">
              <w:rPr>
                <w:rFonts w:cs="Arial Armenian"/>
                <w:b/>
                <w:color w:val="000000"/>
              </w:rPr>
              <w:t xml:space="preserve"> </w:t>
            </w:r>
            <w:r w:rsidRPr="0053423A">
              <w:rPr>
                <w:rFonts w:cs="Sylfaen"/>
                <w:b/>
                <w:color w:val="000000"/>
              </w:rPr>
              <w:t>խնդիրների</w:t>
            </w:r>
            <w:r w:rsidRPr="0053423A">
              <w:rPr>
                <w:rFonts w:cs="Arial Armenian"/>
                <w:b/>
                <w:color w:val="000000"/>
              </w:rPr>
              <w:t xml:space="preserve"> </w:t>
            </w:r>
            <w:r w:rsidRPr="0053423A">
              <w:rPr>
                <w:rFonts w:cs="Sylfaen"/>
                <w:b/>
                <w:color w:val="000000"/>
              </w:rPr>
              <w:t>առաջարկվող</w:t>
            </w:r>
            <w:r w:rsidRPr="0053423A">
              <w:rPr>
                <w:rFonts w:cs="Arial Armenian"/>
                <w:b/>
                <w:color w:val="000000"/>
              </w:rPr>
              <w:t xml:space="preserve"> </w:t>
            </w:r>
            <w:r w:rsidRPr="0053423A">
              <w:rPr>
                <w:rFonts w:cs="Sylfaen"/>
                <w:b/>
                <w:color w:val="000000"/>
              </w:rPr>
              <w:t>լուծումները</w:t>
            </w:r>
          </w:p>
          <w:p w:rsidR="006B0618" w:rsidRPr="0053423A" w:rsidRDefault="006B0618" w:rsidP="00A67858">
            <w:pPr>
              <w:pStyle w:val="ListParagraph"/>
              <w:tabs>
                <w:tab w:val="left" w:pos="402"/>
              </w:tabs>
              <w:spacing w:line="276" w:lineRule="auto"/>
              <w:ind w:left="0"/>
              <w:rPr>
                <w:rFonts w:cs="Sylfaen"/>
                <w:color w:val="000000"/>
              </w:rPr>
            </w:pPr>
            <w:r w:rsidRPr="0053423A">
              <w:rPr>
                <w:rFonts w:cs="Sylfaen"/>
                <w:color w:val="000000"/>
              </w:rPr>
              <w:t>Համակարգի կառավարման կարողությունների զարգացում, տեխնիկական միջոցների համալրում, ֆինասական միջոցների հայթայթում և այդ միջոցների նպատակային ներդրում:</w:t>
            </w:r>
          </w:p>
          <w:p w:rsidR="006B0618" w:rsidRPr="0053423A" w:rsidRDefault="006B0618" w:rsidP="00A67858">
            <w:pPr>
              <w:pStyle w:val="ListParagraph"/>
              <w:numPr>
                <w:ilvl w:val="0"/>
                <w:numId w:val="87"/>
              </w:numPr>
              <w:tabs>
                <w:tab w:val="left" w:pos="402"/>
              </w:tabs>
              <w:spacing w:line="276" w:lineRule="auto"/>
              <w:ind w:left="0" w:firstLine="0"/>
              <w:rPr>
                <w:b/>
                <w:color w:val="000000"/>
              </w:rPr>
            </w:pPr>
            <w:r w:rsidRPr="0053423A">
              <w:rPr>
                <w:color w:val="000000"/>
              </w:rPr>
              <w:t xml:space="preserve"> </w:t>
            </w:r>
            <w:r w:rsidRPr="0053423A">
              <w:rPr>
                <w:rFonts w:cs="Sylfaen"/>
                <w:b/>
                <w:color w:val="000000"/>
              </w:rPr>
              <w:t>Միջոցառման</w:t>
            </w:r>
            <w:r w:rsidRPr="0053423A">
              <w:rPr>
                <w:rFonts w:cs="Arial Armenian"/>
                <w:b/>
                <w:color w:val="000000"/>
              </w:rPr>
              <w:t xml:space="preserve"> </w:t>
            </w:r>
            <w:r w:rsidRPr="0053423A">
              <w:rPr>
                <w:rFonts w:cs="Sylfaen"/>
                <w:b/>
                <w:color w:val="000000"/>
              </w:rPr>
              <w:t>իրականացումից</w:t>
            </w:r>
            <w:r w:rsidRPr="0053423A">
              <w:rPr>
                <w:rFonts w:cs="Arial Armenian"/>
                <w:b/>
                <w:color w:val="000000"/>
              </w:rPr>
              <w:t xml:space="preserve"> </w:t>
            </w:r>
            <w:r w:rsidRPr="0053423A">
              <w:rPr>
                <w:rFonts w:cs="Sylfaen"/>
                <w:b/>
                <w:color w:val="000000"/>
              </w:rPr>
              <w:t>ակնկալվող</w:t>
            </w:r>
            <w:r w:rsidRPr="0053423A">
              <w:rPr>
                <w:rFonts w:cs="Arial Armenian"/>
                <w:b/>
                <w:color w:val="000000"/>
              </w:rPr>
              <w:t xml:space="preserve"> </w:t>
            </w:r>
            <w:r w:rsidRPr="0053423A">
              <w:rPr>
                <w:rFonts w:cs="Sylfaen"/>
                <w:b/>
                <w:color w:val="000000"/>
              </w:rPr>
              <w:t>արդյունք</w:t>
            </w:r>
          </w:p>
          <w:p w:rsidR="006B0618" w:rsidRPr="0053423A" w:rsidRDefault="006B0618" w:rsidP="00A67858">
            <w:pPr>
              <w:tabs>
                <w:tab w:val="left" w:pos="402"/>
              </w:tabs>
              <w:spacing w:line="276" w:lineRule="auto"/>
              <w:rPr>
                <w:b/>
                <w:i/>
                <w:lang w:val="fr-FR"/>
              </w:rPr>
            </w:pPr>
            <w:r w:rsidRPr="0053423A">
              <w:rPr>
                <w:rFonts w:cs="Tahoma"/>
              </w:rPr>
              <w:t>Նախագծի</w:t>
            </w:r>
            <w:r w:rsidRPr="0053423A">
              <w:rPr>
                <w:rFonts w:cs="Tahoma"/>
                <w:lang w:val="fr-FR"/>
              </w:rPr>
              <w:t xml:space="preserve"> </w:t>
            </w:r>
            <w:r w:rsidRPr="0053423A">
              <w:rPr>
                <w:rFonts w:cs="Tahoma"/>
              </w:rPr>
              <w:t>ընդունմամբ</w:t>
            </w:r>
            <w:r w:rsidRPr="0053423A">
              <w:rPr>
                <w:rFonts w:cs="Tahoma"/>
                <w:lang w:val="fr-FR"/>
              </w:rPr>
              <w:t xml:space="preserve"> </w:t>
            </w:r>
            <w:r w:rsidRPr="0053423A">
              <w:rPr>
                <w:rFonts w:cs="Tahoma"/>
              </w:rPr>
              <w:t>ակնկալվող</w:t>
            </w:r>
            <w:r w:rsidRPr="0053423A">
              <w:rPr>
                <w:rFonts w:cs="Tahoma"/>
                <w:lang w:val="fr-FR"/>
              </w:rPr>
              <w:t xml:space="preserve"> </w:t>
            </w:r>
            <w:r w:rsidRPr="0053423A">
              <w:rPr>
                <w:rFonts w:cs="Tahoma"/>
              </w:rPr>
              <w:t>արդյունքն</w:t>
            </w:r>
            <w:r w:rsidRPr="0053423A">
              <w:rPr>
                <w:rFonts w:cs="Tahoma"/>
                <w:lang w:val="fr-FR"/>
              </w:rPr>
              <w:t xml:space="preserve"> </w:t>
            </w:r>
            <w:r w:rsidRPr="0053423A">
              <w:rPr>
                <w:rFonts w:cs="Tahoma"/>
              </w:rPr>
              <w:t>է</w:t>
            </w:r>
            <w:r w:rsidRPr="0053423A">
              <w:rPr>
                <w:rFonts w:cs="Tahoma"/>
                <w:lang w:val="fr-FR"/>
              </w:rPr>
              <w:t>`</w:t>
            </w:r>
            <w:r w:rsidRPr="0053423A">
              <w:rPr>
                <w:lang w:val="hy-AM"/>
              </w:rPr>
              <w:t xml:space="preserve"> Հայաստանը դարձնել </w:t>
            </w:r>
            <w:r w:rsidRPr="0053423A">
              <w:t>աղետներին</w:t>
            </w:r>
            <w:r w:rsidRPr="0053423A">
              <w:rPr>
                <w:lang w:val="fr-FR"/>
              </w:rPr>
              <w:t xml:space="preserve"> </w:t>
            </w:r>
            <w:r w:rsidRPr="0053423A">
              <w:rPr>
                <w:lang w:val="hy-AM"/>
              </w:rPr>
              <w:t>դիմակայուն երկիր՝ նվազեցնելով աղետներից մարդկանց կյանքին</w:t>
            </w:r>
            <w:r w:rsidRPr="0053423A">
              <w:rPr>
                <w:lang w:val="fr-FR"/>
              </w:rPr>
              <w:t xml:space="preserve"> </w:t>
            </w:r>
            <w:r w:rsidRPr="0053423A">
              <w:t>և</w:t>
            </w:r>
            <w:r w:rsidRPr="0053423A">
              <w:rPr>
                <w:lang w:val="fr-FR"/>
              </w:rPr>
              <w:t xml:space="preserve"> </w:t>
            </w:r>
            <w:r w:rsidRPr="0053423A">
              <w:t>առողջությանը</w:t>
            </w:r>
            <w:r w:rsidRPr="0053423A">
              <w:rPr>
                <w:lang w:val="hy-AM"/>
              </w:rPr>
              <w:t>, երկրի տնտեսությանը և համայնքներին սպառնացող կորուստներ</w:t>
            </w:r>
            <w:r w:rsidRPr="0053423A">
              <w:t>ն</w:t>
            </w:r>
            <w:r w:rsidRPr="0053423A">
              <w:rPr>
                <w:lang w:val="fr-FR"/>
              </w:rPr>
              <w:t xml:space="preserve"> </w:t>
            </w:r>
            <w:r w:rsidRPr="0053423A">
              <w:t>ու</w:t>
            </w:r>
            <w:r w:rsidRPr="0053423A">
              <w:rPr>
                <w:lang w:val="fr-FR"/>
              </w:rPr>
              <w:t xml:space="preserve"> </w:t>
            </w:r>
            <w:r w:rsidRPr="0053423A">
              <w:t>վնասները</w:t>
            </w:r>
            <w:r w:rsidRPr="0053423A">
              <w:rPr>
                <w:lang w:val="hy-AM"/>
              </w:rPr>
              <w:t xml:space="preserve">` ձևավորելով ամուր հիմքեր </w:t>
            </w:r>
            <w:r w:rsidRPr="0053423A">
              <w:t>երկրի</w:t>
            </w:r>
            <w:r w:rsidRPr="0053423A">
              <w:rPr>
                <w:lang w:val="fr-FR"/>
              </w:rPr>
              <w:t xml:space="preserve"> </w:t>
            </w:r>
            <w:r w:rsidRPr="0053423A">
              <w:rPr>
                <w:lang w:val="hy-AM"/>
              </w:rPr>
              <w:t xml:space="preserve">կայուն զարգացման համար: </w:t>
            </w:r>
          </w:p>
        </w:tc>
      </w:tr>
    </w:tbl>
    <w:p w:rsidR="00B15656" w:rsidRPr="0053423A" w:rsidRDefault="00B15656" w:rsidP="00A67858">
      <w:pPr>
        <w:spacing w:after="0" w:line="276" w:lineRule="auto"/>
        <w:rPr>
          <w:sz w:val="20"/>
          <w:szCs w:val="20"/>
          <w:lang w:val="hy-AM"/>
        </w:rPr>
      </w:pPr>
    </w:p>
    <w:tbl>
      <w:tblPr>
        <w:tblStyle w:val="TableGrid"/>
        <w:tblW w:w="11401" w:type="dxa"/>
        <w:tblInd w:w="137" w:type="dxa"/>
        <w:shd w:val="clear" w:color="auto" w:fill="FFFF00"/>
        <w:tblLook w:val="04A0" w:firstRow="1" w:lastRow="0" w:firstColumn="1" w:lastColumn="0" w:noHBand="0" w:noVBand="1"/>
      </w:tblPr>
      <w:tblGrid>
        <w:gridCol w:w="11401"/>
      </w:tblGrid>
      <w:tr w:rsidR="00365399" w:rsidRPr="0053423A" w:rsidTr="00365399">
        <w:tc>
          <w:tcPr>
            <w:tcW w:w="11401" w:type="dxa"/>
            <w:shd w:val="clear" w:color="auto" w:fill="FFFF00"/>
          </w:tcPr>
          <w:p w:rsidR="00365399" w:rsidRPr="0053423A" w:rsidRDefault="00365399" w:rsidP="00A67858">
            <w:pPr>
              <w:spacing w:line="276" w:lineRule="auto"/>
              <w:jc w:val="center"/>
              <w:rPr>
                <w:b/>
                <w:lang w:val="hy-AM"/>
              </w:rPr>
            </w:pPr>
            <w:r w:rsidRPr="0053423A">
              <w:rPr>
                <w:b/>
                <w:lang w:val="hy-AM"/>
              </w:rPr>
              <w:t>Արտաքին գործերի նախարարություն</w:t>
            </w:r>
          </w:p>
        </w:tc>
      </w:tr>
    </w:tbl>
    <w:p w:rsidR="00365399" w:rsidRPr="0053423A" w:rsidRDefault="00365399">
      <w:pPr>
        <w:rPr>
          <w:sz w:val="20"/>
          <w:szCs w:val="20"/>
        </w:rPr>
      </w:pPr>
    </w:p>
    <w:tbl>
      <w:tblPr>
        <w:tblStyle w:val="TableGrid"/>
        <w:tblW w:w="11341" w:type="dxa"/>
        <w:tblInd w:w="137" w:type="dxa"/>
        <w:tblLook w:val="04A0" w:firstRow="1" w:lastRow="0" w:firstColumn="1" w:lastColumn="0" w:noHBand="0" w:noVBand="1"/>
      </w:tblPr>
      <w:tblGrid>
        <w:gridCol w:w="448"/>
        <w:gridCol w:w="10893"/>
      </w:tblGrid>
      <w:tr w:rsidR="00EF392F" w:rsidRPr="00DE2EFA" w:rsidTr="00365399">
        <w:tc>
          <w:tcPr>
            <w:tcW w:w="448" w:type="dxa"/>
          </w:tcPr>
          <w:p w:rsidR="00EF392F" w:rsidRPr="0053423A" w:rsidRDefault="00696743" w:rsidP="00A67858">
            <w:pPr>
              <w:spacing w:line="276" w:lineRule="auto"/>
              <w:ind w:left="-108" w:right="-108"/>
              <w:rPr>
                <w:b/>
              </w:rPr>
            </w:pPr>
            <w:r>
              <w:rPr>
                <w:b/>
                <w:lang w:val="hy-AM"/>
              </w:rPr>
              <w:t>86</w:t>
            </w:r>
          </w:p>
        </w:tc>
        <w:tc>
          <w:tcPr>
            <w:tcW w:w="10893" w:type="dxa"/>
          </w:tcPr>
          <w:p w:rsidR="00EF392F" w:rsidRPr="0053423A" w:rsidRDefault="00696743" w:rsidP="00A67858">
            <w:pPr>
              <w:spacing w:line="276" w:lineRule="auto"/>
              <w:ind w:firstLine="450"/>
              <w:jc w:val="center"/>
              <w:rPr>
                <w:b/>
                <w:lang w:val="hy-AM"/>
              </w:rPr>
            </w:pPr>
            <w:r>
              <w:rPr>
                <w:b/>
                <w:lang w:val="hy-AM"/>
              </w:rPr>
              <w:t xml:space="preserve">86.1-86.21 </w:t>
            </w:r>
            <w:r w:rsidR="00EF392F" w:rsidRPr="0053423A">
              <w:rPr>
                <w:b/>
                <w:lang w:val="hy-AM"/>
              </w:rPr>
              <w:t>ՀՀ կառավարության ծրագրի Արտաքին քաղաքականություն 2.3 բաժնից բխող միջոցառումների</w:t>
            </w:r>
          </w:p>
          <w:p w:rsidR="00EF392F" w:rsidRPr="0053423A" w:rsidRDefault="00EF392F" w:rsidP="00A67858">
            <w:pPr>
              <w:spacing w:line="276" w:lineRule="auto"/>
              <w:ind w:firstLine="450"/>
              <w:rPr>
                <w:b/>
                <w:lang w:val="hy-AM"/>
              </w:rPr>
            </w:pPr>
            <w:r w:rsidRPr="0053423A">
              <w:rPr>
                <w:b/>
                <w:lang w:val="hy-AM"/>
              </w:rPr>
              <w:t>Միջոցառումների իրականացման անհրաժեշտությունը</w:t>
            </w:r>
          </w:p>
          <w:p w:rsidR="00EF392F" w:rsidRPr="0053423A" w:rsidRDefault="00EF392F" w:rsidP="00A67858">
            <w:pPr>
              <w:spacing w:line="276" w:lineRule="auto"/>
              <w:ind w:firstLine="450"/>
              <w:rPr>
                <w:lang w:val="hy-AM"/>
              </w:rPr>
            </w:pPr>
            <w:r w:rsidRPr="0053423A">
              <w:rPr>
                <w:lang w:val="hy-AM"/>
              </w:rPr>
              <w:t>Հայաստանի Հանրապետության ԱԺ 2019թ. փետրվարի 14-ի ԱԺՈ-002-Ն որոշմամբ հավանության արժանացած ՀՀ կառավարության ծրագրի արտաքին քաղաքականության դրույթների՝ միջազգային պարտավորությունների ու հանձնառությունների, այլ երկրների հետ երկկողմ և բազմակողմ ձևաչափերով հարաբերությունների զարգացման և արտաքին քաղաքական նախաձեռնությունների իրականացումը</w:t>
            </w:r>
          </w:p>
          <w:p w:rsidR="00EF392F" w:rsidRPr="0053423A" w:rsidRDefault="00EF392F" w:rsidP="00A67858">
            <w:pPr>
              <w:spacing w:line="276" w:lineRule="auto"/>
              <w:ind w:firstLine="450"/>
              <w:rPr>
                <w:b/>
                <w:lang w:val="hy-AM"/>
              </w:rPr>
            </w:pPr>
            <w:r w:rsidRPr="0053423A">
              <w:rPr>
                <w:b/>
                <w:lang w:val="hy-AM"/>
              </w:rPr>
              <w:t>Միջոցառումների իրականացման նպատակը</w:t>
            </w:r>
          </w:p>
          <w:p w:rsidR="00EF392F" w:rsidRPr="0053423A" w:rsidRDefault="00EF392F" w:rsidP="00A67858">
            <w:pPr>
              <w:spacing w:line="276" w:lineRule="auto"/>
              <w:ind w:firstLine="450"/>
              <w:rPr>
                <w:lang w:val="hy-AM"/>
              </w:rPr>
            </w:pPr>
            <w:r w:rsidRPr="0053423A">
              <w:rPr>
                <w:lang w:val="hy-AM"/>
              </w:rPr>
              <w:t>Միջոցառումների իրականացման նպատակը Հայաստանի Հանրապետության ինքնիշխանության պաշտպանությունն է, Հայաստանի և Արցախի անվտանգության ապահովումը, Հայաստանի Հանրապետության միջազգային հեղինակության բարձրացումը, բոլոր պետությունների հետ փոխշահավետ հարաբերությունների հաստատումը, միջազգային ու տարածաշրջանային գործընթացներին Հայաստանի ներգրավվածության ավելացումը, երկկողմ և բազմակողմ ձևաչափերում Հայաստանի կայուն զարգացմանը և տնտեսության արդիականացմանը, նոր շուկաների ձեռքբերմանը և դեպի Հայաստան և Արցախ ներդրումային ծրագրերի նախաձեռնմանը միտված ակտիվ գործունեության ծավալումը։</w:t>
            </w:r>
          </w:p>
        </w:tc>
      </w:tr>
    </w:tbl>
    <w:p w:rsidR="00365399" w:rsidRPr="001F6D5D" w:rsidRDefault="00365399">
      <w:pPr>
        <w:rPr>
          <w:sz w:val="20"/>
          <w:szCs w:val="20"/>
          <w:lang w:val="hy-AM"/>
        </w:rPr>
      </w:pPr>
    </w:p>
    <w:tbl>
      <w:tblPr>
        <w:tblStyle w:val="TableGrid"/>
        <w:tblW w:w="11401" w:type="dxa"/>
        <w:tblInd w:w="137" w:type="dxa"/>
        <w:shd w:val="clear" w:color="auto" w:fill="FFFF00"/>
        <w:tblLook w:val="04A0" w:firstRow="1" w:lastRow="0" w:firstColumn="1" w:lastColumn="0" w:noHBand="0" w:noVBand="1"/>
      </w:tblPr>
      <w:tblGrid>
        <w:gridCol w:w="11401"/>
      </w:tblGrid>
      <w:tr w:rsidR="00365399" w:rsidRPr="0053423A" w:rsidTr="00365399">
        <w:tc>
          <w:tcPr>
            <w:tcW w:w="11401" w:type="dxa"/>
            <w:shd w:val="clear" w:color="auto" w:fill="FFFF00"/>
          </w:tcPr>
          <w:p w:rsidR="00365399" w:rsidRPr="0053423A" w:rsidRDefault="00365399" w:rsidP="00A67858">
            <w:pPr>
              <w:spacing w:line="276" w:lineRule="auto"/>
              <w:ind w:firstLine="450"/>
              <w:jc w:val="center"/>
              <w:rPr>
                <w:rFonts w:eastAsiaTheme="minorHAnsi" w:cstheme="minorBidi"/>
                <w:b/>
                <w:lang w:val="hy-AM" w:eastAsia="en-US"/>
              </w:rPr>
            </w:pPr>
            <w:r w:rsidRPr="0053423A">
              <w:rPr>
                <w:b/>
                <w:lang w:val="hy-AM"/>
              </w:rPr>
              <w:t>Բնապահպանության</w:t>
            </w:r>
            <w:r w:rsidRPr="0053423A">
              <w:rPr>
                <w:rFonts w:eastAsiaTheme="minorHAnsi" w:cstheme="minorBidi"/>
                <w:b/>
                <w:lang w:val="hy-AM" w:eastAsia="en-US"/>
              </w:rPr>
              <w:t xml:space="preserve"> նախարարություն</w:t>
            </w:r>
          </w:p>
        </w:tc>
      </w:tr>
    </w:tbl>
    <w:p w:rsidR="00365399" w:rsidRPr="0053423A" w:rsidRDefault="00365399">
      <w:pPr>
        <w:rPr>
          <w:sz w:val="20"/>
          <w:szCs w:val="20"/>
        </w:rPr>
      </w:pPr>
    </w:p>
    <w:tbl>
      <w:tblPr>
        <w:tblStyle w:val="TableGrid"/>
        <w:tblW w:w="11359" w:type="dxa"/>
        <w:tblInd w:w="137" w:type="dxa"/>
        <w:tblLook w:val="04A0" w:firstRow="1" w:lastRow="0" w:firstColumn="1" w:lastColumn="0" w:noHBand="0" w:noVBand="1"/>
      </w:tblPr>
      <w:tblGrid>
        <w:gridCol w:w="480"/>
        <w:gridCol w:w="10879"/>
      </w:tblGrid>
      <w:tr w:rsidR="006B0618" w:rsidRPr="00DE2EFA" w:rsidTr="004440EB">
        <w:tc>
          <w:tcPr>
            <w:tcW w:w="480" w:type="dxa"/>
          </w:tcPr>
          <w:p w:rsidR="006B0618" w:rsidRPr="0053423A" w:rsidRDefault="006B0618" w:rsidP="00A67858">
            <w:pPr>
              <w:spacing w:line="276" w:lineRule="auto"/>
              <w:rPr>
                <w:rFonts w:eastAsiaTheme="minorHAnsi" w:cstheme="minorBidi"/>
                <w:b/>
                <w:bCs/>
                <w:lang w:val="hy-AM"/>
              </w:rPr>
            </w:pPr>
            <w:r w:rsidRPr="0053423A">
              <w:rPr>
                <w:rFonts w:eastAsiaTheme="minorHAnsi" w:cstheme="minorBidi"/>
                <w:b/>
                <w:bCs/>
                <w:lang w:val="hy-AM"/>
              </w:rPr>
              <w:t>1</w:t>
            </w:r>
          </w:p>
        </w:tc>
        <w:tc>
          <w:tcPr>
            <w:tcW w:w="10879" w:type="dxa"/>
          </w:tcPr>
          <w:p w:rsidR="006B0618" w:rsidRPr="0053423A" w:rsidRDefault="006B0618" w:rsidP="00A67858">
            <w:pPr>
              <w:spacing w:line="276" w:lineRule="auto"/>
              <w:jc w:val="center"/>
              <w:rPr>
                <w:rFonts w:eastAsiaTheme="minorHAnsi" w:cstheme="minorBidi"/>
                <w:b/>
                <w:lang w:val="hy-AM"/>
              </w:rPr>
            </w:pPr>
            <w:r w:rsidRPr="0053423A">
              <w:rPr>
                <w:rFonts w:eastAsiaTheme="minorHAnsi" w:cstheme="minorBidi"/>
                <w:b/>
                <w:lang w:val="hy-AM"/>
              </w:rPr>
              <w:t>Ջրային ռեսուրսների կառավարման արդյունավետության բարձրացում,</w:t>
            </w:r>
          </w:p>
          <w:p w:rsidR="006B0618" w:rsidRPr="0053423A" w:rsidRDefault="006B0618" w:rsidP="00A67858">
            <w:pPr>
              <w:spacing w:line="276" w:lineRule="auto"/>
              <w:jc w:val="center"/>
              <w:rPr>
                <w:rFonts w:eastAsiaTheme="minorHAnsi" w:cstheme="minorBidi"/>
                <w:b/>
                <w:lang w:val="hy-AM"/>
              </w:rPr>
            </w:pPr>
            <w:r w:rsidRPr="0053423A">
              <w:rPr>
                <w:rFonts w:eastAsiaTheme="minorHAnsi" w:cstheme="minorBidi"/>
                <w:b/>
                <w:lang w:val="hy-AM"/>
              </w:rPr>
              <w:t>Արարատյան արտեզյան ավազանի և գետային էկոհամակարգերի պահպանություն և կառավարում</w:t>
            </w:r>
          </w:p>
          <w:p w:rsidR="006B0618" w:rsidRPr="0053423A" w:rsidRDefault="006B0618" w:rsidP="00A67858">
            <w:pPr>
              <w:spacing w:line="276" w:lineRule="auto"/>
              <w:jc w:val="center"/>
              <w:rPr>
                <w:rFonts w:eastAsiaTheme="minorHAnsi" w:cstheme="minorBidi"/>
                <w:b/>
                <w:lang w:val="hy-AM"/>
              </w:rPr>
            </w:pPr>
          </w:p>
          <w:p w:rsidR="006B0618" w:rsidRPr="0053423A" w:rsidRDefault="006B0618" w:rsidP="00A67858">
            <w:pPr>
              <w:numPr>
                <w:ilvl w:val="1"/>
                <w:numId w:val="61"/>
              </w:numPr>
              <w:spacing w:line="276" w:lineRule="auto"/>
              <w:jc w:val="center"/>
              <w:rPr>
                <w:rFonts w:eastAsiaTheme="minorHAnsi" w:cstheme="minorBidi"/>
                <w:b/>
                <w:u w:val="single"/>
                <w:lang w:val="hy-AM"/>
              </w:rPr>
            </w:pPr>
            <w:r w:rsidRPr="0053423A">
              <w:rPr>
                <w:rFonts w:eastAsiaTheme="minorHAnsi" w:cstheme="minorBidi"/>
                <w:u w:val="single"/>
                <w:lang w:val="hy-AM"/>
              </w:rPr>
              <w:t>«</w:t>
            </w:r>
            <w:r w:rsidRPr="0053423A">
              <w:rPr>
                <w:rFonts w:eastAsiaTheme="minorHAnsi" w:cstheme="minorBidi"/>
                <w:b/>
                <w:u w:val="single"/>
                <w:lang w:val="hy-AM"/>
              </w:rPr>
              <w:t>Ջրային ռեսուրսների ողջամիտ օգտագործման և պահպանության նպատակով ջրային ռեսուրսների, այդ թվում Արարատյան դաշտի ստորերկրյա ջրային ռեսուրսների, քանակական, որակական գնահատում, տնտեսական արժեքի ձևավորում և հիդրոլոգիական ու քիմիական  կանխատեսումների մշակում</w:t>
            </w:r>
          </w:p>
          <w:p w:rsidR="003F5E5F" w:rsidRPr="0053423A" w:rsidRDefault="003F5E5F" w:rsidP="00A67858">
            <w:pPr>
              <w:spacing w:line="276" w:lineRule="auto"/>
              <w:ind w:left="401"/>
              <w:jc w:val="both"/>
              <w:rPr>
                <w:rFonts w:eastAsiaTheme="minorHAnsi" w:cstheme="minorBidi"/>
                <w:b/>
                <w:u w:val="single"/>
                <w:lang w:val="hy-AM"/>
              </w:rPr>
            </w:pPr>
          </w:p>
          <w:p w:rsidR="006B0618" w:rsidRPr="0053423A" w:rsidRDefault="006B0618" w:rsidP="00A67858">
            <w:pPr>
              <w:numPr>
                <w:ilvl w:val="0"/>
                <w:numId w:val="45"/>
              </w:numPr>
              <w:spacing w:line="276" w:lineRule="auto"/>
              <w:jc w:val="both"/>
              <w:rPr>
                <w:rFonts w:eastAsiaTheme="minorHAnsi" w:cstheme="minorBidi"/>
                <w:b/>
                <w:i/>
                <w:lang w:val="af-ZA"/>
              </w:rPr>
            </w:pPr>
            <w:r w:rsidRPr="0053423A">
              <w:rPr>
                <w:rFonts w:eastAsiaTheme="minorHAnsi" w:cstheme="minorBidi"/>
                <w:b/>
                <w:i/>
                <w:lang w:val="hy-AM"/>
              </w:rPr>
              <w:t>Միջոցառման</w:t>
            </w:r>
            <w:r w:rsidRPr="0053423A">
              <w:rPr>
                <w:rFonts w:eastAsiaTheme="minorHAnsi" w:cstheme="minorBidi"/>
                <w:b/>
                <w:i/>
                <w:lang w:val="af-ZA"/>
              </w:rPr>
              <w:t xml:space="preserve"> </w:t>
            </w:r>
            <w:r w:rsidRPr="0053423A">
              <w:rPr>
                <w:rFonts w:eastAsiaTheme="minorHAnsi" w:cstheme="minorBidi"/>
                <w:b/>
                <w:i/>
                <w:lang w:val="hy-AM"/>
              </w:rPr>
              <w:t>իրակացման</w:t>
            </w:r>
            <w:r w:rsidRPr="0053423A">
              <w:rPr>
                <w:rFonts w:eastAsiaTheme="minorHAnsi" w:cstheme="minorBidi"/>
                <w:b/>
                <w:i/>
                <w:lang w:val="af-ZA"/>
              </w:rPr>
              <w:t xml:space="preserve"> </w:t>
            </w:r>
            <w:r w:rsidRPr="0053423A">
              <w:rPr>
                <w:rFonts w:eastAsiaTheme="minorHAnsi" w:cstheme="minorBidi"/>
                <w:b/>
                <w:i/>
                <w:lang w:val="hy-AM"/>
              </w:rPr>
              <w:t>անհրաժեշտությունը</w:t>
            </w:r>
            <w:r w:rsidRPr="0053423A">
              <w:rPr>
                <w:rFonts w:eastAsiaTheme="minorHAnsi" w:cstheme="minorBidi"/>
                <w:b/>
                <w:i/>
                <w:lang w:val="af-ZA"/>
              </w:rPr>
              <w:t xml:space="preserve"> </w:t>
            </w:r>
            <w:r w:rsidRPr="0053423A">
              <w:rPr>
                <w:rFonts w:eastAsiaTheme="minorHAnsi" w:cstheme="minorBidi"/>
                <w:b/>
                <w:i/>
                <w:lang w:val="hy-AM"/>
              </w:rPr>
              <w:t>և</w:t>
            </w:r>
            <w:r w:rsidRPr="0053423A">
              <w:rPr>
                <w:rFonts w:eastAsiaTheme="minorHAnsi" w:cstheme="minorBidi"/>
                <w:b/>
                <w:i/>
                <w:lang w:val="af-ZA"/>
              </w:rPr>
              <w:t xml:space="preserve"> </w:t>
            </w:r>
            <w:r w:rsidRPr="0053423A">
              <w:rPr>
                <w:rFonts w:eastAsiaTheme="minorHAnsi" w:cstheme="minorBidi"/>
                <w:b/>
                <w:i/>
                <w:lang w:val="hy-AM"/>
              </w:rPr>
              <w:t>նպատակը</w:t>
            </w:r>
          </w:p>
          <w:p w:rsidR="006B0618" w:rsidRPr="0053423A" w:rsidRDefault="00CE551D" w:rsidP="00A67858">
            <w:pPr>
              <w:spacing w:line="276" w:lineRule="auto"/>
              <w:ind w:firstLine="733"/>
              <w:jc w:val="both"/>
              <w:rPr>
                <w:rFonts w:eastAsiaTheme="minorHAnsi" w:cstheme="minorBidi"/>
                <w:lang w:val="af-ZA"/>
              </w:rPr>
            </w:pPr>
            <w:r w:rsidRPr="0053423A">
              <w:rPr>
                <w:rFonts w:eastAsiaTheme="minorHAnsi" w:cstheme="minorBidi"/>
                <w:lang w:val="en-US"/>
              </w:rPr>
              <w:t>Միջ</w:t>
            </w:r>
            <w:r w:rsidRPr="0053423A">
              <w:rPr>
                <w:rFonts w:eastAsiaTheme="minorHAnsi" w:cstheme="minorBidi"/>
                <w:lang w:val="hy-AM"/>
              </w:rPr>
              <w:t>ո</w:t>
            </w:r>
            <w:r w:rsidR="006B0618" w:rsidRPr="0053423A">
              <w:rPr>
                <w:rFonts w:eastAsiaTheme="minorHAnsi" w:cstheme="minorBidi"/>
                <w:lang w:val="en-US"/>
              </w:rPr>
              <w:t>ցառման</w:t>
            </w:r>
            <w:r w:rsidR="006B0618" w:rsidRPr="0053423A">
              <w:rPr>
                <w:rFonts w:eastAsiaTheme="minorHAnsi" w:cstheme="minorBidi"/>
                <w:lang w:val="af-ZA"/>
              </w:rPr>
              <w:t xml:space="preserve"> </w:t>
            </w:r>
            <w:r w:rsidR="006B0618" w:rsidRPr="0053423A">
              <w:rPr>
                <w:rFonts w:eastAsiaTheme="minorHAnsi" w:cstheme="minorBidi"/>
                <w:lang w:val="en-US"/>
              </w:rPr>
              <w:t>իրականացման</w:t>
            </w:r>
            <w:r w:rsidR="006B0618" w:rsidRPr="0053423A">
              <w:rPr>
                <w:rFonts w:eastAsiaTheme="minorHAnsi" w:cstheme="minorBidi"/>
                <w:lang w:val="af-ZA"/>
              </w:rPr>
              <w:t xml:space="preserve"> </w:t>
            </w:r>
            <w:r w:rsidR="006B0618" w:rsidRPr="0053423A">
              <w:rPr>
                <w:rFonts w:eastAsiaTheme="minorHAnsi" w:cstheme="minorBidi"/>
                <w:lang w:val="en-US"/>
              </w:rPr>
              <w:t>համար</w:t>
            </w:r>
            <w:r w:rsidR="006B0618" w:rsidRPr="0053423A">
              <w:rPr>
                <w:rFonts w:eastAsiaTheme="minorHAnsi" w:cstheme="minorBidi"/>
                <w:lang w:val="af-ZA"/>
              </w:rPr>
              <w:t xml:space="preserve"> </w:t>
            </w:r>
            <w:r w:rsidR="006B0618" w:rsidRPr="0053423A">
              <w:rPr>
                <w:rFonts w:eastAsiaTheme="minorHAnsi" w:cstheme="minorBidi"/>
                <w:lang w:val="en-US"/>
              </w:rPr>
              <w:t>հիմք</w:t>
            </w:r>
            <w:r w:rsidR="006B0618" w:rsidRPr="0053423A">
              <w:rPr>
                <w:rFonts w:eastAsiaTheme="minorHAnsi" w:cstheme="minorBidi"/>
                <w:lang w:val="af-ZA"/>
              </w:rPr>
              <w:t xml:space="preserve"> </w:t>
            </w:r>
            <w:r w:rsidR="006B0618" w:rsidRPr="0053423A">
              <w:rPr>
                <w:rFonts w:eastAsiaTheme="minorHAnsi" w:cstheme="minorBidi"/>
                <w:lang w:val="en-US"/>
              </w:rPr>
              <w:t>է</w:t>
            </w:r>
            <w:r w:rsidR="006B0618" w:rsidRPr="0053423A">
              <w:rPr>
                <w:rFonts w:eastAsiaTheme="minorHAnsi" w:cstheme="minorBidi"/>
                <w:lang w:val="af-ZA"/>
              </w:rPr>
              <w:t xml:space="preserve"> </w:t>
            </w:r>
            <w:r w:rsidR="006B0618" w:rsidRPr="0053423A">
              <w:rPr>
                <w:rFonts w:eastAsiaTheme="minorHAnsi" w:cstheme="minorBidi"/>
                <w:lang w:val="en-US"/>
              </w:rPr>
              <w:t>հանդիսացել</w:t>
            </w:r>
            <w:r w:rsidR="006B0618" w:rsidRPr="0053423A">
              <w:rPr>
                <w:rFonts w:eastAsiaTheme="minorHAnsi" w:cstheme="minorBidi"/>
                <w:lang w:val="af-ZA"/>
              </w:rPr>
              <w:t xml:space="preserve"> </w:t>
            </w:r>
            <w:r w:rsidR="006B0618" w:rsidRPr="0053423A">
              <w:rPr>
                <w:rFonts w:eastAsiaTheme="minorHAnsi" w:cstheme="minorBidi"/>
                <w:lang w:val="en-US"/>
              </w:rPr>
              <w:t>Կառավարության</w:t>
            </w:r>
            <w:r w:rsidR="006B0618" w:rsidRPr="0053423A">
              <w:rPr>
                <w:rFonts w:eastAsiaTheme="minorHAnsi" w:cstheme="minorBidi"/>
                <w:lang w:val="af-ZA"/>
              </w:rPr>
              <w:t xml:space="preserve"> 2019 </w:t>
            </w:r>
            <w:r w:rsidR="006B0618" w:rsidRPr="0053423A">
              <w:rPr>
                <w:rFonts w:eastAsiaTheme="minorHAnsi" w:cstheme="minorBidi"/>
                <w:lang w:val="en-US"/>
              </w:rPr>
              <w:t>թվականի</w:t>
            </w:r>
            <w:r w:rsidR="006B0618" w:rsidRPr="0053423A">
              <w:rPr>
                <w:rFonts w:eastAsiaTheme="minorHAnsi" w:cstheme="minorBidi"/>
                <w:lang w:val="af-ZA"/>
              </w:rPr>
              <w:t xml:space="preserve"> </w:t>
            </w:r>
            <w:r w:rsidR="006B0618" w:rsidRPr="0053423A">
              <w:rPr>
                <w:rFonts w:eastAsiaTheme="minorHAnsi" w:cstheme="minorBidi"/>
                <w:lang w:val="en-US"/>
              </w:rPr>
              <w:t>փետրվարի</w:t>
            </w:r>
            <w:r w:rsidR="006B0618" w:rsidRPr="0053423A">
              <w:rPr>
                <w:rFonts w:eastAsiaTheme="minorHAnsi" w:cstheme="minorBidi"/>
                <w:lang w:val="af-ZA"/>
              </w:rPr>
              <w:t xml:space="preserve"> 8-</w:t>
            </w:r>
            <w:r w:rsidR="006B0618" w:rsidRPr="0053423A">
              <w:rPr>
                <w:rFonts w:eastAsiaTheme="minorHAnsi" w:cstheme="minorBidi"/>
                <w:lang w:val="en-US"/>
              </w:rPr>
              <w:t>ի</w:t>
            </w:r>
            <w:r w:rsidR="006B0618" w:rsidRPr="0053423A">
              <w:rPr>
                <w:rFonts w:eastAsiaTheme="minorHAnsi" w:cstheme="minorBidi"/>
                <w:lang w:val="af-ZA"/>
              </w:rPr>
              <w:t xml:space="preserve"> </w:t>
            </w:r>
            <w:r w:rsidR="006B0618" w:rsidRPr="0053423A">
              <w:rPr>
                <w:rFonts w:eastAsiaTheme="minorHAnsi" w:cstheme="minorBidi"/>
                <w:lang w:val="en-US"/>
              </w:rPr>
              <w:t>Հայաստանի</w:t>
            </w:r>
            <w:r w:rsidR="006B0618" w:rsidRPr="0053423A">
              <w:rPr>
                <w:rFonts w:eastAsiaTheme="minorHAnsi" w:cstheme="minorBidi"/>
                <w:lang w:val="af-ZA"/>
              </w:rPr>
              <w:t xml:space="preserve"> </w:t>
            </w:r>
            <w:r w:rsidR="006B0618" w:rsidRPr="0053423A">
              <w:rPr>
                <w:rFonts w:eastAsiaTheme="minorHAnsi" w:cstheme="minorBidi"/>
                <w:lang w:val="en-US"/>
              </w:rPr>
              <w:t>Հանրապետության</w:t>
            </w:r>
            <w:r w:rsidR="006B0618" w:rsidRPr="0053423A">
              <w:rPr>
                <w:rFonts w:eastAsiaTheme="minorHAnsi" w:cstheme="minorBidi"/>
                <w:lang w:val="af-ZA"/>
              </w:rPr>
              <w:t xml:space="preserve"> </w:t>
            </w:r>
            <w:r w:rsidR="006B0618" w:rsidRPr="0053423A">
              <w:rPr>
                <w:rFonts w:eastAsiaTheme="minorHAnsi" w:cstheme="minorBidi"/>
                <w:lang w:val="en-US"/>
              </w:rPr>
              <w:t>Կառավարության</w:t>
            </w:r>
            <w:r w:rsidR="006B0618" w:rsidRPr="0053423A">
              <w:rPr>
                <w:rFonts w:eastAsiaTheme="minorHAnsi" w:cstheme="minorBidi"/>
                <w:lang w:val="af-ZA"/>
              </w:rPr>
              <w:t xml:space="preserve"> </w:t>
            </w:r>
            <w:r w:rsidR="006B0618" w:rsidRPr="0053423A">
              <w:rPr>
                <w:rFonts w:eastAsiaTheme="minorHAnsi" w:cstheme="minorBidi"/>
                <w:lang w:val="en-US"/>
              </w:rPr>
              <w:t>ծրագրի</w:t>
            </w:r>
            <w:r w:rsidR="006B0618" w:rsidRPr="0053423A">
              <w:rPr>
                <w:rFonts w:eastAsiaTheme="minorHAnsi" w:cstheme="minorBidi"/>
                <w:lang w:val="af-ZA"/>
              </w:rPr>
              <w:t xml:space="preserve"> </w:t>
            </w:r>
            <w:r w:rsidR="006B0618" w:rsidRPr="0053423A">
              <w:rPr>
                <w:rFonts w:eastAsiaTheme="minorHAnsi" w:cstheme="minorBidi"/>
                <w:lang w:val="en-US"/>
              </w:rPr>
              <w:t>մասին</w:t>
            </w:r>
            <w:r w:rsidR="006B0618" w:rsidRPr="0053423A">
              <w:rPr>
                <w:rFonts w:eastAsiaTheme="minorHAnsi" w:cstheme="minorBidi"/>
                <w:lang w:val="af-ZA"/>
              </w:rPr>
              <w:t> N 65-</w:t>
            </w:r>
            <w:r w:rsidR="006B0618" w:rsidRPr="0053423A">
              <w:rPr>
                <w:rFonts w:eastAsiaTheme="minorHAnsi" w:cstheme="minorBidi"/>
                <w:lang w:val="en-US"/>
              </w:rPr>
              <w:t>Ա</w:t>
            </w:r>
            <w:r w:rsidR="006B0618" w:rsidRPr="0053423A">
              <w:rPr>
                <w:rFonts w:eastAsiaTheme="minorHAnsi" w:cstheme="minorBidi"/>
                <w:lang w:val="af-ZA"/>
              </w:rPr>
              <w:t xml:space="preserve"> </w:t>
            </w:r>
            <w:r w:rsidR="006B0618" w:rsidRPr="0053423A">
              <w:rPr>
                <w:rFonts w:eastAsiaTheme="minorHAnsi" w:cstheme="minorBidi"/>
                <w:lang w:val="en-US"/>
              </w:rPr>
              <w:t>որոշման</w:t>
            </w:r>
            <w:r w:rsidR="006B0618" w:rsidRPr="0053423A">
              <w:rPr>
                <w:rFonts w:eastAsiaTheme="minorHAnsi" w:cstheme="minorBidi"/>
                <w:lang w:val="af-ZA"/>
              </w:rPr>
              <w:t xml:space="preserve"> </w:t>
            </w:r>
            <w:r w:rsidR="006B0618" w:rsidRPr="0053423A">
              <w:rPr>
                <w:rFonts w:eastAsiaTheme="minorHAnsi" w:cstheme="minorBidi"/>
                <w:lang w:val="en-US"/>
              </w:rPr>
              <w:t>հավելվածի</w:t>
            </w:r>
            <w:r w:rsidR="006B0618" w:rsidRPr="0053423A">
              <w:rPr>
                <w:rFonts w:eastAsiaTheme="minorHAnsi" w:cstheme="minorBidi"/>
                <w:lang w:val="af-ZA"/>
              </w:rPr>
              <w:t xml:space="preserve"> 4.8 </w:t>
            </w:r>
            <w:r w:rsidR="006B0618" w:rsidRPr="0053423A">
              <w:rPr>
                <w:rFonts w:eastAsiaTheme="minorHAnsi" w:cstheme="minorBidi"/>
                <w:lang w:val="en-US"/>
              </w:rPr>
              <w:t>բաժնի</w:t>
            </w:r>
            <w:r w:rsidR="006B0618" w:rsidRPr="0053423A">
              <w:rPr>
                <w:rFonts w:eastAsiaTheme="minorHAnsi" w:cstheme="minorBidi"/>
                <w:lang w:val="af-ZA"/>
              </w:rPr>
              <w:t xml:space="preserve"> </w:t>
            </w:r>
            <w:r w:rsidR="006B0618" w:rsidRPr="0053423A">
              <w:rPr>
                <w:rFonts w:eastAsiaTheme="minorHAnsi" w:cstheme="minorBidi"/>
                <w:lang w:val="en-US"/>
              </w:rPr>
              <w:t>Ջրային</w:t>
            </w:r>
            <w:r w:rsidR="006B0618" w:rsidRPr="0053423A">
              <w:rPr>
                <w:rFonts w:eastAsiaTheme="minorHAnsi" w:cstheme="minorBidi"/>
                <w:lang w:val="af-ZA"/>
              </w:rPr>
              <w:t xml:space="preserve"> </w:t>
            </w:r>
            <w:r w:rsidR="006B0618" w:rsidRPr="0053423A">
              <w:rPr>
                <w:rFonts w:eastAsiaTheme="minorHAnsi" w:cstheme="minorBidi"/>
                <w:lang w:val="en-US"/>
              </w:rPr>
              <w:t>ռեսուրսների</w:t>
            </w:r>
            <w:r w:rsidR="006B0618" w:rsidRPr="0053423A">
              <w:rPr>
                <w:rFonts w:eastAsiaTheme="minorHAnsi" w:cstheme="minorBidi"/>
                <w:lang w:val="af-ZA"/>
              </w:rPr>
              <w:t xml:space="preserve"> </w:t>
            </w:r>
            <w:r w:rsidR="006B0618" w:rsidRPr="0053423A">
              <w:rPr>
                <w:rFonts w:eastAsiaTheme="minorHAnsi" w:cstheme="minorBidi"/>
                <w:lang w:val="en-US"/>
              </w:rPr>
              <w:t>կառավարման</w:t>
            </w:r>
            <w:r w:rsidR="006B0618" w:rsidRPr="0053423A">
              <w:rPr>
                <w:rFonts w:eastAsiaTheme="minorHAnsi" w:cstheme="minorBidi"/>
                <w:lang w:val="af-ZA"/>
              </w:rPr>
              <w:t xml:space="preserve"> </w:t>
            </w:r>
            <w:r w:rsidR="006B0618" w:rsidRPr="0053423A">
              <w:rPr>
                <w:rFonts w:eastAsiaTheme="minorHAnsi" w:cstheme="minorBidi"/>
                <w:lang w:val="en-US"/>
              </w:rPr>
              <w:t>արդյունավետության</w:t>
            </w:r>
            <w:r w:rsidR="006B0618" w:rsidRPr="0053423A">
              <w:rPr>
                <w:rFonts w:eastAsiaTheme="minorHAnsi" w:cstheme="minorBidi"/>
                <w:lang w:val="af-ZA"/>
              </w:rPr>
              <w:t xml:space="preserve"> </w:t>
            </w:r>
            <w:r w:rsidR="006B0618" w:rsidRPr="0053423A">
              <w:rPr>
                <w:rFonts w:eastAsiaTheme="minorHAnsi" w:cstheme="minorBidi"/>
                <w:lang w:val="en-US"/>
              </w:rPr>
              <w:t>բարձրացում</w:t>
            </w:r>
            <w:r w:rsidR="006B0618" w:rsidRPr="0053423A">
              <w:rPr>
                <w:rFonts w:eastAsiaTheme="minorHAnsi" w:cstheme="minorBidi"/>
                <w:lang w:val="af-ZA"/>
              </w:rPr>
              <w:t xml:space="preserve"> </w:t>
            </w:r>
            <w:r w:rsidR="006B0618" w:rsidRPr="0053423A">
              <w:rPr>
                <w:rFonts w:eastAsiaTheme="minorHAnsi" w:cstheme="minorBidi"/>
                <w:lang w:val="en-US"/>
              </w:rPr>
              <w:t>ուղղությունը</w:t>
            </w:r>
            <w:r w:rsidR="006B0618" w:rsidRPr="0053423A">
              <w:rPr>
                <w:rFonts w:eastAsiaTheme="minorHAnsi" w:cstheme="minorBidi"/>
                <w:lang w:val="af-ZA"/>
              </w:rPr>
              <w:t xml:space="preserve">: </w:t>
            </w:r>
          </w:p>
          <w:p w:rsidR="006B0618" w:rsidRPr="0053423A" w:rsidRDefault="006B0618" w:rsidP="00A67858">
            <w:pPr>
              <w:spacing w:line="276" w:lineRule="auto"/>
              <w:jc w:val="both"/>
              <w:rPr>
                <w:rFonts w:eastAsiaTheme="minorHAnsi" w:cstheme="minorBidi"/>
                <w:lang w:val="hy-AM"/>
              </w:rPr>
            </w:pPr>
            <w:r w:rsidRPr="0053423A">
              <w:rPr>
                <w:rFonts w:eastAsiaTheme="minorHAnsi" w:cstheme="minorBidi"/>
                <w:lang w:val="hy-AM"/>
              </w:rPr>
              <w:tab/>
              <w:t>Ջրային ռեսուրսները մեծ նշանակություն ունեն Հայաստանի Հանրապետության համար: Ռազմավարության մշակման նպատակն է  ջրային օրենսդրությամբ ամրագրված ջրային ռեսուրսների ողջամիտ օգտագործման ու պահպանության նպատակին ուղղված հստակ գործողությունների հերթականության ձևավորումը, ըստ ջրավազանային կառավարման տարածքների առանձնահատկությունների և ելնելով տվյալ շրջանի զարգացվածության միտումներից ջրային ռեսուրսների տնտեսական արժեքի ձևավորումը, ինչպես նաև  ելնելով կլիմայի փոփոխության միտումներից ջրային ռեսուրսների կանխատեսումների մշակումը:</w:t>
            </w:r>
          </w:p>
          <w:p w:rsidR="006B0618" w:rsidRPr="0053423A" w:rsidRDefault="006B0618" w:rsidP="00A67858">
            <w:pPr>
              <w:spacing w:line="276" w:lineRule="auto"/>
              <w:ind w:firstLine="733"/>
              <w:jc w:val="both"/>
              <w:rPr>
                <w:rFonts w:eastAsiaTheme="minorHAnsi" w:cstheme="minorBidi"/>
                <w:b/>
                <w:lang w:val="hy-AM"/>
              </w:rPr>
            </w:pPr>
            <w:r w:rsidRPr="0053423A">
              <w:rPr>
                <w:rFonts w:eastAsiaTheme="minorHAnsi" w:cstheme="minorBidi"/>
                <w:b/>
                <w:lang w:val="hy-AM"/>
              </w:rPr>
              <w:t>1.1 Կարգավորման հարաբերությունների ներկա վիճակը և առկա խնդիրները</w:t>
            </w:r>
          </w:p>
          <w:p w:rsidR="006B0618" w:rsidRPr="0053423A" w:rsidRDefault="006B0618" w:rsidP="00A67858">
            <w:pPr>
              <w:spacing w:line="276" w:lineRule="auto"/>
              <w:jc w:val="both"/>
              <w:rPr>
                <w:rFonts w:eastAsiaTheme="minorHAnsi" w:cstheme="minorBidi"/>
                <w:lang w:val="hy-AM"/>
              </w:rPr>
            </w:pPr>
            <w:r w:rsidRPr="0053423A">
              <w:rPr>
                <w:rFonts w:eastAsiaTheme="minorHAnsi" w:cstheme="minorBidi"/>
                <w:lang w:val="hy-AM"/>
              </w:rPr>
              <w:tab/>
              <w:t xml:space="preserve">2002 թ.-ից ջրային ռեսուրսների կայուն և արդյունավետ կառավարման նպատակով Հայաստանի Հանրապետությունում իրականացվել են մի շարք բարեփոխումներ, սակայն դեռևս առկա են բազմաթիվ մարտահրավերներ, որոնք ունեն հրատապ լուծման անհրաժեշտություն:    </w:t>
            </w:r>
          </w:p>
          <w:p w:rsidR="006B0618" w:rsidRPr="0053423A" w:rsidRDefault="006B0618" w:rsidP="00A67858">
            <w:pPr>
              <w:spacing w:line="276" w:lineRule="auto"/>
              <w:jc w:val="both"/>
              <w:rPr>
                <w:rFonts w:eastAsiaTheme="minorHAnsi" w:cstheme="minorBidi"/>
                <w:lang w:val="hy-AM"/>
              </w:rPr>
            </w:pPr>
            <w:r w:rsidRPr="0053423A">
              <w:rPr>
                <w:rFonts w:eastAsiaTheme="minorHAnsi" w:cstheme="minorBidi"/>
                <w:lang w:val="hy-AM"/>
              </w:rPr>
              <w:tab/>
              <w:t>Ներկայումս ջրային ոլորտի բարեփոխումները գտնվում են անցումային ամենակարևոր փուլում, ինչը կապված է ջրային ռեսուրսների քանակական, որակական հստակ գնահատման, ջրային ռեսուրսի աղտոտումը և հյուծումը սպառնալիքների վերացման հետ: Միջոցառման իրականացման համար անհրաժեշտ ֆինանսավորումը նախատեսվում է իրականացնել պետական բյուջեից, որի համար անհրաժեշտ է մոտ 96.000,0  հազ. դրամ:</w:t>
            </w:r>
          </w:p>
          <w:p w:rsidR="006B0618" w:rsidRPr="0053423A" w:rsidRDefault="006B0618" w:rsidP="00A67858">
            <w:pPr>
              <w:numPr>
                <w:ilvl w:val="1"/>
                <w:numId w:val="45"/>
              </w:numPr>
              <w:spacing w:line="276" w:lineRule="auto"/>
              <w:jc w:val="both"/>
              <w:rPr>
                <w:rFonts w:eastAsiaTheme="minorHAnsi" w:cstheme="minorBidi"/>
                <w:b/>
              </w:rPr>
            </w:pPr>
            <w:r w:rsidRPr="0053423A">
              <w:rPr>
                <w:rFonts w:eastAsiaTheme="minorHAnsi" w:cstheme="minorBidi"/>
                <w:b/>
                <w:lang w:val="hy-AM"/>
              </w:rPr>
              <w:t>Ա</w:t>
            </w:r>
            <w:r w:rsidRPr="0053423A">
              <w:rPr>
                <w:rFonts w:eastAsiaTheme="minorHAnsi" w:cstheme="minorBidi"/>
                <w:b/>
                <w:lang w:val="en-US"/>
              </w:rPr>
              <w:t>ռկա խնդիրների առաջարկվող լուծումները</w:t>
            </w:r>
          </w:p>
          <w:p w:rsidR="006B0618" w:rsidRPr="0053423A" w:rsidRDefault="006B0618" w:rsidP="00A67858">
            <w:pPr>
              <w:spacing w:line="276" w:lineRule="auto"/>
              <w:jc w:val="both"/>
              <w:rPr>
                <w:rFonts w:eastAsiaTheme="minorHAnsi" w:cstheme="minorBidi"/>
              </w:rPr>
            </w:pPr>
            <w:r w:rsidRPr="0053423A">
              <w:rPr>
                <w:rFonts w:eastAsiaTheme="minorHAnsi" w:cstheme="minorBidi"/>
                <w:lang w:val="hy-AM"/>
              </w:rPr>
              <w:tab/>
              <w:t>Մշակվելիք ռազմավարության շրջանակներում հստակ կսահմանվեն ջրային ռեսուրսների ողջամիտ օգտագործման ու պահպանության առաջնահերթությունները և կտրվի հստակ ժամանակացույց ջրային ռեսուրսների  որակական, քանակական հատկանիշների բարելավման ուղղությամբ, ինչպես նաև ըստ տարբեր բաղադրիչների կտրվի ջրային ռեսուրսի տնտեսական արժեքը, կմշակվեն հիդրոլոգիական, քիմիական, հիդրոկենսաբանական և այլ կանխատեսումները՝ ելնելով կլիմայի փոփոխությունից:</w:t>
            </w:r>
          </w:p>
          <w:p w:rsidR="006B0618" w:rsidRPr="0053423A" w:rsidRDefault="006B0618" w:rsidP="00A67858">
            <w:pPr>
              <w:spacing w:line="276" w:lineRule="auto"/>
              <w:jc w:val="both"/>
              <w:rPr>
                <w:rFonts w:eastAsiaTheme="minorHAnsi" w:cstheme="minorBidi"/>
              </w:rPr>
            </w:pPr>
            <w:r w:rsidRPr="0053423A">
              <w:rPr>
                <w:rFonts w:eastAsiaTheme="minorHAnsi" w:cstheme="minorBidi"/>
                <w:lang w:val="en-US"/>
              </w:rPr>
              <w:t>Ռազմավարության</w:t>
            </w:r>
            <w:r w:rsidRPr="0053423A">
              <w:rPr>
                <w:rFonts w:eastAsiaTheme="minorHAnsi" w:cstheme="minorBidi"/>
                <w:lang w:val="hy-AM"/>
              </w:rPr>
              <w:t xml:space="preserve"> մշակման ընթացքում </w:t>
            </w:r>
            <w:r w:rsidRPr="0053423A">
              <w:rPr>
                <w:rFonts w:eastAsiaTheme="minorHAnsi" w:cstheme="minorBidi"/>
                <w:lang w:val="en-US"/>
              </w:rPr>
              <w:t>համակատարող</w:t>
            </w:r>
            <w:r w:rsidRPr="0053423A">
              <w:rPr>
                <w:rFonts w:eastAsiaTheme="minorHAnsi" w:cstheme="minorBidi"/>
                <w:lang w:val="hy-AM"/>
              </w:rPr>
              <w:t xml:space="preserve"> </w:t>
            </w:r>
            <w:r w:rsidRPr="0053423A">
              <w:rPr>
                <w:rFonts w:eastAsiaTheme="minorHAnsi" w:cstheme="minorBidi"/>
                <w:lang w:val="en-US"/>
              </w:rPr>
              <w:t>ԷԵԲՊՆ</w:t>
            </w:r>
            <w:r w:rsidRPr="0053423A">
              <w:rPr>
                <w:rFonts w:eastAsiaTheme="minorHAnsi" w:cstheme="minorBidi"/>
                <w:lang w:val="af-ZA"/>
              </w:rPr>
              <w:t xml:space="preserve"> </w:t>
            </w:r>
            <w:r w:rsidRPr="0053423A">
              <w:rPr>
                <w:rFonts w:eastAsiaTheme="minorHAnsi" w:cstheme="minorBidi"/>
                <w:lang w:val="en-US"/>
              </w:rPr>
              <w:t>ջրային</w:t>
            </w:r>
            <w:r w:rsidRPr="0053423A">
              <w:rPr>
                <w:rFonts w:eastAsiaTheme="minorHAnsi" w:cstheme="minorBidi"/>
                <w:lang w:val="af-ZA"/>
              </w:rPr>
              <w:t xml:space="preserve"> </w:t>
            </w:r>
            <w:r w:rsidRPr="0053423A">
              <w:rPr>
                <w:rFonts w:eastAsiaTheme="minorHAnsi" w:cstheme="minorBidi"/>
                <w:lang w:val="hy-AM"/>
              </w:rPr>
              <w:t>կոմիտեն</w:t>
            </w:r>
            <w:r w:rsidRPr="0053423A">
              <w:rPr>
                <w:rFonts w:eastAsiaTheme="minorHAnsi" w:cstheme="minorBidi"/>
                <w:lang w:val="af-ZA"/>
              </w:rPr>
              <w:t xml:space="preserve">, </w:t>
            </w:r>
            <w:r w:rsidRPr="0053423A">
              <w:rPr>
                <w:rFonts w:eastAsiaTheme="minorHAnsi" w:cstheme="minorBidi"/>
                <w:lang w:val="en-US"/>
              </w:rPr>
              <w:t>իր</w:t>
            </w:r>
            <w:r w:rsidRPr="0053423A">
              <w:rPr>
                <w:rFonts w:eastAsiaTheme="minorHAnsi" w:cstheme="minorBidi"/>
                <w:lang w:val="af-ZA"/>
              </w:rPr>
              <w:t xml:space="preserve"> </w:t>
            </w:r>
            <w:r w:rsidRPr="0053423A">
              <w:rPr>
                <w:rFonts w:eastAsiaTheme="minorHAnsi" w:cstheme="minorBidi"/>
                <w:lang w:val="hy-AM"/>
              </w:rPr>
              <w:t>իրավասությունների սահմանմա</w:t>
            </w:r>
            <w:r w:rsidRPr="0053423A">
              <w:rPr>
                <w:rFonts w:eastAsiaTheme="minorHAnsi" w:cstheme="minorBidi"/>
                <w:lang w:val="en-US"/>
              </w:rPr>
              <w:t>ններում</w:t>
            </w:r>
            <w:r w:rsidRPr="0053423A">
              <w:rPr>
                <w:rFonts w:eastAsiaTheme="minorHAnsi" w:cstheme="minorBidi"/>
                <w:lang w:val="hy-AM"/>
              </w:rPr>
              <w:t xml:space="preserve"> </w:t>
            </w:r>
            <w:r w:rsidRPr="0053423A">
              <w:rPr>
                <w:rFonts w:eastAsiaTheme="minorHAnsi" w:cstheme="minorBidi"/>
                <w:lang w:val="en-US"/>
              </w:rPr>
              <w:t>տրամադրում</w:t>
            </w:r>
            <w:r w:rsidRPr="0053423A">
              <w:rPr>
                <w:rFonts w:eastAsiaTheme="minorHAnsi" w:cstheme="minorBidi"/>
                <w:lang w:val="af-ZA"/>
              </w:rPr>
              <w:t xml:space="preserve"> </w:t>
            </w:r>
            <w:r w:rsidRPr="0053423A">
              <w:rPr>
                <w:rFonts w:eastAsiaTheme="minorHAnsi" w:cstheme="minorBidi"/>
                <w:lang w:val="en-US"/>
              </w:rPr>
              <w:t>է</w:t>
            </w:r>
            <w:r w:rsidRPr="0053423A">
              <w:rPr>
                <w:rFonts w:eastAsiaTheme="minorHAnsi" w:cstheme="minorBidi"/>
                <w:lang w:val="af-ZA"/>
              </w:rPr>
              <w:t xml:space="preserve"> </w:t>
            </w:r>
            <w:r w:rsidRPr="0053423A">
              <w:rPr>
                <w:rFonts w:eastAsiaTheme="minorHAnsi" w:cstheme="minorBidi"/>
              </w:rPr>
              <w:t xml:space="preserve"> </w:t>
            </w:r>
            <w:r w:rsidRPr="0053423A">
              <w:rPr>
                <w:rFonts w:eastAsiaTheme="minorHAnsi" w:cstheme="minorBidi"/>
                <w:lang w:val="en-US"/>
              </w:rPr>
              <w:t>ռազմավարության</w:t>
            </w:r>
            <w:r w:rsidRPr="0053423A">
              <w:rPr>
                <w:rFonts w:eastAsiaTheme="minorHAnsi" w:cstheme="minorBidi"/>
                <w:lang w:val="af-ZA"/>
              </w:rPr>
              <w:t xml:space="preserve">  </w:t>
            </w:r>
            <w:r w:rsidRPr="0053423A">
              <w:rPr>
                <w:rFonts w:eastAsiaTheme="minorHAnsi" w:cstheme="minorBidi"/>
                <w:lang w:val="en-US"/>
              </w:rPr>
              <w:t>մշակման</w:t>
            </w:r>
            <w:r w:rsidRPr="0053423A">
              <w:rPr>
                <w:rFonts w:eastAsiaTheme="minorHAnsi" w:cstheme="minorBidi"/>
                <w:lang w:val="af-ZA"/>
              </w:rPr>
              <w:t xml:space="preserve"> </w:t>
            </w:r>
            <w:r w:rsidRPr="0053423A">
              <w:rPr>
                <w:rFonts w:eastAsiaTheme="minorHAnsi" w:cstheme="minorBidi"/>
                <w:lang w:val="en-US"/>
              </w:rPr>
              <w:t>համար</w:t>
            </w:r>
            <w:r w:rsidRPr="0053423A">
              <w:rPr>
                <w:rFonts w:eastAsiaTheme="minorHAnsi" w:cstheme="minorBidi"/>
                <w:lang w:val="af-ZA"/>
              </w:rPr>
              <w:t xml:space="preserve"> </w:t>
            </w:r>
            <w:r w:rsidRPr="0053423A">
              <w:rPr>
                <w:rFonts w:eastAsiaTheme="minorHAnsi" w:cstheme="minorBidi"/>
                <w:lang w:val="en-US"/>
              </w:rPr>
              <w:t>անհրաժեշտ</w:t>
            </w:r>
            <w:r w:rsidRPr="0053423A">
              <w:rPr>
                <w:rFonts w:eastAsiaTheme="minorHAnsi" w:cstheme="minorBidi"/>
                <w:lang w:val="af-ZA"/>
              </w:rPr>
              <w:t xml:space="preserve"> </w:t>
            </w:r>
            <w:r w:rsidRPr="0053423A">
              <w:rPr>
                <w:rFonts w:eastAsiaTheme="minorHAnsi" w:cstheme="minorBidi"/>
                <w:lang w:val="en-US"/>
              </w:rPr>
              <w:t>տվյալներ</w:t>
            </w:r>
            <w:r w:rsidRPr="0053423A">
              <w:rPr>
                <w:rFonts w:eastAsiaTheme="minorHAnsi" w:cstheme="minorBidi"/>
                <w:lang w:val="af-ZA"/>
              </w:rPr>
              <w:t>:</w:t>
            </w:r>
            <w:r w:rsidRPr="0053423A">
              <w:rPr>
                <w:rFonts w:eastAsiaTheme="minorHAnsi" w:cstheme="minorBidi"/>
                <w:lang w:val="hy-AM"/>
              </w:rPr>
              <w:t xml:space="preserve"> </w:t>
            </w:r>
          </w:p>
          <w:p w:rsidR="006B0618" w:rsidRPr="0053423A" w:rsidRDefault="006B0618" w:rsidP="00A67858">
            <w:pPr>
              <w:numPr>
                <w:ilvl w:val="0"/>
                <w:numId w:val="45"/>
              </w:numPr>
              <w:spacing w:line="276" w:lineRule="auto"/>
              <w:jc w:val="both"/>
              <w:rPr>
                <w:rFonts w:eastAsiaTheme="minorHAnsi" w:cstheme="minorBidi"/>
                <w:b/>
                <w:lang w:val="en-US"/>
              </w:rPr>
            </w:pPr>
            <w:r w:rsidRPr="0053423A">
              <w:rPr>
                <w:rFonts w:eastAsiaTheme="minorHAnsi" w:cstheme="minorBidi"/>
                <w:b/>
                <w:lang w:val="hy-AM"/>
              </w:rPr>
              <w:t>Միջոցառման իրականացումից ակնկալվող արդյունքը</w:t>
            </w:r>
            <w:r w:rsidRPr="0053423A">
              <w:rPr>
                <w:rFonts w:eastAsiaTheme="minorHAnsi" w:cstheme="minorBidi"/>
                <w:b/>
                <w:lang w:val="hy-AM"/>
              </w:rPr>
              <w:tab/>
            </w:r>
          </w:p>
          <w:p w:rsidR="006B0618" w:rsidRPr="0053423A" w:rsidRDefault="006B0618" w:rsidP="00A67858">
            <w:pPr>
              <w:spacing w:line="276" w:lineRule="auto"/>
              <w:jc w:val="both"/>
              <w:rPr>
                <w:rFonts w:eastAsiaTheme="minorHAnsi" w:cstheme="minorBidi"/>
                <w:lang w:val="hy-AM"/>
              </w:rPr>
            </w:pPr>
            <w:r w:rsidRPr="0053423A">
              <w:rPr>
                <w:rFonts w:eastAsiaTheme="minorHAnsi" w:cstheme="minorBidi"/>
                <w:lang w:val="hy-AM"/>
              </w:rPr>
              <w:t>Ռազմավարության մշակմամբ և ընդունմամբ կբարելավվեն ջրային ռեսուրսների արդյունավետ կառավարման և պահպանության մոտեցումները, որը իր հերթին դրական ազդեցություն կունենա ջրային ռեսուրսների հատկանիշների վրա</w:t>
            </w:r>
          </w:p>
          <w:p w:rsidR="006B0618" w:rsidRPr="0053423A" w:rsidRDefault="006B0618" w:rsidP="00A67858">
            <w:pPr>
              <w:spacing w:line="276" w:lineRule="auto"/>
              <w:jc w:val="center"/>
              <w:rPr>
                <w:rFonts w:eastAsiaTheme="minorHAnsi" w:cstheme="minorBidi"/>
                <w:lang w:val="hy-AM"/>
              </w:rPr>
            </w:pPr>
          </w:p>
          <w:p w:rsidR="006B0618" w:rsidRPr="0053423A" w:rsidRDefault="006B0618" w:rsidP="00A67858">
            <w:pPr>
              <w:numPr>
                <w:ilvl w:val="1"/>
                <w:numId w:val="61"/>
              </w:numPr>
              <w:spacing w:line="276" w:lineRule="auto"/>
              <w:jc w:val="center"/>
              <w:rPr>
                <w:rFonts w:eastAsiaTheme="minorHAnsi" w:cstheme="minorBidi"/>
                <w:b/>
                <w:u w:val="single"/>
                <w:lang w:val="hy-AM"/>
              </w:rPr>
            </w:pPr>
            <w:r w:rsidRPr="0053423A">
              <w:rPr>
                <w:rFonts w:eastAsiaTheme="minorHAnsi" w:cstheme="minorBidi"/>
                <w:b/>
                <w:u w:val="single"/>
                <w:lang w:val="af-ZA"/>
              </w:rPr>
              <w:t></w:t>
            </w:r>
            <w:r w:rsidRPr="0053423A">
              <w:rPr>
                <w:rFonts w:eastAsiaTheme="minorHAnsi" w:cstheme="minorBidi"/>
                <w:b/>
                <w:u w:val="single"/>
                <w:lang w:val="hy-AM"/>
              </w:rPr>
              <w:t>Սևանի և Հրազդանի ջրավազանային տարածքների կառավարման պլանների մշակում և նախագծերը վարչապետի աշխատակազմ ներկայացնելը</w:t>
            </w:r>
            <w:r w:rsidRPr="0053423A">
              <w:rPr>
                <w:rFonts w:eastAsiaTheme="minorHAnsi" w:cstheme="minorBidi"/>
                <w:b/>
                <w:u w:val="single"/>
                <w:lang w:val="af-ZA"/>
              </w:rPr>
              <w:t></w:t>
            </w:r>
          </w:p>
          <w:p w:rsidR="006B0618" w:rsidRPr="0053423A" w:rsidRDefault="006B0618" w:rsidP="00A67858">
            <w:pPr>
              <w:spacing w:line="276" w:lineRule="auto"/>
              <w:rPr>
                <w:rFonts w:eastAsiaTheme="minorHAnsi" w:cstheme="minorBidi"/>
                <w:b/>
                <w:lang w:val="af-ZA"/>
              </w:rPr>
            </w:pPr>
          </w:p>
          <w:p w:rsidR="006B0618" w:rsidRPr="0053423A" w:rsidRDefault="006B0618" w:rsidP="00A67858">
            <w:pPr>
              <w:spacing w:line="276" w:lineRule="auto"/>
              <w:ind w:firstLine="643"/>
              <w:jc w:val="both"/>
              <w:rPr>
                <w:rFonts w:eastAsiaTheme="minorHAnsi" w:cstheme="minorBidi"/>
                <w:b/>
                <w:lang w:val="af-ZA"/>
              </w:rPr>
            </w:pPr>
            <w:r w:rsidRPr="0053423A">
              <w:rPr>
                <w:rFonts w:eastAsiaTheme="minorHAnsi" w:cstheme="minorBidi"/>
                <w:b/>
                <w:lang w:val="af-ZA"/>
              </w:rPr>
              <w:t>1.</w:t>
            </w:r>
            <w:r w:rsidRPr="0053423A">
              <w:rPr>
                <w:rFonts w:eastAsiaTheme="minorHAnsi" w:cstheme="minorBidi"/>
                <w:b/>
                <w:lang w:val="hy-AM"/>
              </w:rPr>
              <w:t xml:space="preserve"> </w:t>
            </w:r>
            <w:r w:rsidRPr="0053423A">
              <w:rPr>
                <w:rFonts w:eastAsiaTheme="minorHAnsi" w:cstheme="minorBidi"/>
                <w:b/>
                <w:lang w:val="en-US"/>
              </w:rPr>
              <w:t>Միջոցառման</w:t>
            </w:r>
            <w:r w:rsidRPr="0053423A">
              <w:rPr>
                <w:rFonts w:eastAsiaTheme="minorHAnsi" w:cstheme="minorBidi"/>
                <w:b/>
                <w:lang w:val="af-ZA"/>
              </w:rPr>
              <w:t xml:space="preserve"> </w:t>
            </w:r>
            <w:r w:rsidRPr="0053423A">
              <w:rPr>
                <w:rFonts w:eastAsiaTheme="minorHAnsi" w:cstheme="minorBidi"/>
                <w:b/>
                <w:lang w:val="en-US"/>
              </w:rPr>
              <w:t>իրակացման</w:t>
            </w:r>
            <w:r w:rsidRPr="0053423A">
              <w:rPr>
                <w:rFonts w:eastAsiaTheme="minorHAnsi" w:cstheme="minorBidi"/>
                <w:b/>
                <w:lang w:val="af-ZA"/>
              </w:rPr>
              <w:t xml:space="preserve"> </w:t>
            </w:r>
            <w:r w:rsidRPr="0053423A">
              <w:rPr>
                <w:rFonts w:eastAsiaTheme="minorHAnsi" w:cstheme="minorBidi"/>
                <w:b/>
                <w:lang w:val="en-US"/>
              </w:rPr>
              <w:t>անհրաժեշտությունը</w:t>
            </w:r>
            <w:r w:rsidRPr="0053423A">
              <w:rPr>
                <w:rFonts w:eastAsiaTheme="minorHAnsi" w:cstheme="minorBidi"/>
                <w:b/>
                <w:lang w:val="af-ZA"/>
              </w:rPr>
              <w:t xml:space="preserve"> </w:t>
            </w:r>
            <w:r w:rsidRPr="0053423A">
              <w:rPr>
                <w:rFonts w:eastAsiaTheme="minorHAnsi" w:cstheme="minorBidi"/>
                <w:b/>
                <w:lang w:val="en-US"/>
              </w:rPr>
              <w:t>և</w:t>
            </w:r>
            <w:r w:rsidRPr="0053423A">
              <w:rPr>
                <w:rFonts w:eastAsiaTheme="minorHAnsi" w:cstheme="minorBidi"/>
                <w:b/>
                <w:lang w:val="af-ZA"/>
              </w:rPr>
              <w:t xml:space="preserve"> </w:t>
            </w:r>
            <w:r w:rsidRPr="0053423A">
              <w:rPr>
                <w:rFonts w:eastAsiaTheme="minorHAnsi" w:cstheme="minorBidi"/>
                <w:b/>
                <w:lang w:val="en-US"/>
              </w:rPr>
              <w:t>նպատակը</w:t>
            </w:r>
          </w:p>
          <w:p w:rsidR="006B0618" w:rsidRPr="0053423A" w:rsidRDefault="00CE551D" w:rsidP="00A67858">
            <w:pPr>
              <w:spacing w:line="276" w:lineRule="auto"/>
              <w:ind w:firstLine="733"/>
              <w:jc w:val="both"/>
              <w:rPr>
                <w:rFonts w:eastAsiaTheme="minorHAnsi" w:cstheme="minorBidi"/>
                <w:lang w:val="af-ZA"/>
              </w:rPr>
            </w:pPr>
            <w:r w:rsidRPr="0053423A">
              <w:rPr>
                <w:rFonts w:eastAsiaTheme="minorHAnsi" w:cstheme="minorBidi"/>
                <w:lang w:val="en-US"/>
              </w:rPr>
              <w:t>Միջ</w:t>
            </w:r>
            <w:r w:rsidRPr="0053423A">
              <w:rPr>
                <w:rFonts w:eastAsiaTheme="minorHAnsi" w:cstheme="minorBidi"/>
                <w:lang w:val="hy-AM"/>
              </w:rPr>
              <w:t>ո</w:t>
            </w:r>
            <w:r w:rsidR="006B0618" w:rsidRPr="0053423A">
              <w:rPr>
                <w:rFonts w:eastAsiaTheme="minorHAnsi" w:cstheme="minorBidi"/>
                <w:lang w:val="en-US"/>
              </w:rPr>
              <w:t>ցառման</w:t>
            </w:r>
            <w:r w:rsidR="006B0618" w:rsidRPr="0053423A">
              <w:rPr>
                <w:rFonts w:eastAsiaTheme="minorHAnsi" w:cstheme="minorBidi"/>
                <w:lang w:val="af-ZA"/>
              </w:rPr>
              <w:t xml:space="preserve"> </w:t>
            </w:r>
            <w:r w:rsidR="006B0618" w:rsidRPr="0053423A">
              <w:rPr>
                <w:rFonts w:eastAsiaTheme="minorHAnsi" w:cstheme="minorBidi"/>
                <w:lang w:val="en-US"/>
              </w:rPr>
              <w:t>իրականացման</w:t>
            </w:r>
            <w:r w:rsidR="006B0618" w:rsidRPr="0053423A">
              <w:rPr>
                <w:rFonts w:eastAsiaTheme="minorHAnsi" w:cstheme="minorBidi"/>
                <w:lang w:val="af-ZA"/>
              </w:rPr>
              <w:t xml:space="preserve"> </w:t>
            </w:r>
            <w:r w:rsidR="006B0618" w:rsidRPr="0053423A">
              <w:rPr>
                <w:rFonts w:eastAsiaTheme="minorHAnsi" w:cstheme="minorBidi"/>
                <w:lang w:val="en-US"/>
              </w:rPr>
              <w:t>համար</w:t>
            </w:r>
            <w:r w:rsidR="006B0618" w:rsidRPr="0053423A">
              <w:rPr>
                <w:rFonts w:eastAsiaTheme="minorHAnsi" w:cstheme="minorBidi"/>
                <w:lang w:val="af-ZA"/>
              </w:rPr>
              <w:t xml:space="preserve"> </w:t>
            </w:r>
            <w:r w:rsidR="006B0618" w:rsidRPr="0053423A">
              <w:rPr>
                <w:rFonts w:eastAsiaTheme="minorHAnsi" w:cstheme="minorBidi"/>
                <w:lang w:val="en-US"/>
              </w:rPr>
              <w:t>հիմք</w:t>
            </w:r>
            <w:r w:rsidR="006B0618" w:rsidRPr="0053423A">
              <w:rPr>
                <w:rFonts w:eastAsiaTheme="minorHAnsi" w:cstheme="minorBidi"/>
                <w:lang w:val="af-ZA"/>
              </w:rPr>
              <w:t xml:space="preserve"> </w:t>
            </w:r>
            <w:r w:rsidR="006B0618" w:rsidRPr="0053423A">
              <w:rPr>
                <w:rFonts w:eastAsiaTheme="minorHAnsi" w:cstheme="minorBidi"/>
                <w:lang w:val="en-US"/>
              </w:rPr>
              <w:t>է</w:t>
            </w:r>
            <w:r w:rsidR="006B0618" w:rsidRPr="0053423A">
              <w:rPr>
                <w:rFonts w:eastAsiaTheme="minorHAnsi" w:cstheme="minorBidi"/>
                <w:lang w:val="af-ZA"/>
              </w:rPr>
              <w:t xml:space="preserve"> </w:t>
            </w:r>
            <w:r w:rsidR="006B0618" w:rsidRPr="0053423A">
              <w:rPr>
                <w:rFonts w:eastAsiaTheme="minorHAnsi" w:cstheme="minorBidi"/>
                <w:lang w:val="en-US"/>
              </w:rPr>
              <w:t>հանդիսացել</w:t>
            </w:r>
            <w:r w:rsidR="006B0618" w:rsidRPr="0053423A">
              <w:rPr>
                <w:rFonts w:eastAsiaTheme="minorHAnsi" w:cstheme="minorBidi"/>
                <w:lang w:val="af-ZA"/>
              </w:rPr>
              <w:t xml:space="preserve"> </w:t>
            </w:r>
            <w:r w:rsidR="006B0618" w:rsidRPr="0053423A">
              <w:rPr>
                <w:rFonts w:eastAsiaTheme="minorHAnsi" w:cstheme="minorBidi"/>
                <w:lang w:val="en-US"/>
              </w:rPr>
              <w:t>Կառավարության</w:t>
            </w:r>
            <w:r w:rsidR="006B0618" w:rsidRPr="0053423A">
              <w:rPr>
                <w:rFonts w:eastAsiaTheme="minorHAnsi" w:cstheme="minorBidi"/>
                <w:lang w:val="af-ZA"/>
              </w:rPr>
              <w:t xml:space="preserve"> 2019 </w:t>
            </w:r>
            <w:r w:rsidR="006B0618" w:rsidRPr="0053423A">
              <w:rPr>
                <w:rFonts w:eastAsiaTheme="minorHAnsi" w:cstheme="minorBidi"/>
                <w:lang w:val="en-US"/>
              </w:rPr>
              <w:t>թվականի</w:t>
            </w:r>
            <w:r w:rsidR="006B0618" w:rsidRPr="0053423A">
              <w:rPr>
                <w:rFonts w:eastAsiaTheme="minorHAnsi" w:cstheme="minorBidi"/>
                <w:lang w:val="af-ZA"/>
              </w:rPr>
              <w:t xml:space="preserve"> </w:t>
            </w:r>
            <w:r w:rsidR="006B0618" w:rsidRPr="0053423A">
              <w:rPr>
                <w:rFonts w:eastAsiaTheme="minorHAnsi" w:cstheme="minorBidi"/>
                <w:lang w:val="en-US"/>
              </w:rPr>
              <w:t>փետրվարի</w:t>
            </w:r>
            <w:r w:rsidR="006B0618" w:rsidRPr="0053423A">
              <w:rPr>
                <w:rFonts w:eastAsiaTheme="minorHAnsi" w:cstheme="minorBidi"/>
                <w:lang w:val="af-ZA"/>
              </w:rPr>
              <w:t xml:space="preserve"> 8-</w:t>
            </w:r>
            <w:r w:rsidR="006B0618" w:rsidRPr="0053423A">
              <w:rPr>
                <w:rFonts w:eastAsiaTheme="minorHAnsi" w:cstheme="minorBidi"/>
                <w:lang w:val="en-US"/>
              </w:rPr>
              <w:t>ի</w:t>
            </w:r>
            <w:r w:rsidR="006B0618" w:rsidRPr="0053423A">
              <w:rPr>
                <w:rFonts w:eastAsiaTheme="minorHAnsi" w:cstheme="minorBidi"/>
                <w:lang w:val="af-ZA"/>
              </w:rPr>
              <w:t xml:space="preserve"> </w:t>
            </w:r>
            <w:r w:rsidR="006B0618" w:rsidRPr="0053423A">
              <w:rPr>
                <w:rFonts w:eastAsiaTheme="minorHAnsi" w:cstheme="minorBidi"/>
                <w:lang w:val="en-US"/>
              </w:rPr>
              <w:t>Հայաստանի</w:t>
            </w:r>
            <w:r w:rsidR="006B0618" w:rsidRPr="0053423A">
              <w:rPr>
                <w:rFonts w:eastAsiaTheme="minorHAnsi" w:cstheme="minorBidi"/>
                <w:lang w:val="af-ZA"/>
              </w:rPr>
              <w:t xml:space="preserve"> </w:t>
            </w:r>
            <w:r w:rsidR="006B0618" w:rsidRPr="0053423A">
              <w:rPr>
                <w:rFonts w:eastAsiaTheme="minorHAnsi" w:cstheme="minorBidi"/>
                <w:lang w:val="en-US"/>
              </w:rPr>
              <w:t>Հանրապետության</w:t>
            </w:r>
            <w:r w:rsidR="006B0618" w:rsidRPr="0053423A">
              <w:rPr>
                <w:rFonts w:eastAsiaTheme="minorHAnsi" w:cstheme="minorBidi"/>
                <w:lang w:val="af-ZA"/>
              </w:rPr>
              <w:t xml:space="preserve"> </w:t>
            </w:r>
            <w:r w:rsidR="006B0618" w:rsidRPr="0053423A">
              <w:rPr>
                <w:rFonts w:eastAsiaTheme="minorHAnsi" w:cstheme="minorBidi"/>
                <w:lang w:val="en-US"/>
              </w:rPr>
              <w:t>Կառավարության</w:t>
            </w:r>
            <w:r w:rsidR="006B0618" w:rsidRPr="0053423A">
              <w:rPr>
                <w:rFonts w:eastAsiaTheme="minorHAnsi" w:cstheme="minorBidi"/>
                <w:lang w:val="af-ZA"/>
              </w:rPr>
              <w:t xml:space="preserve"> </w:t>
            </w:r>
            <w:r w:rsidR="006B0618" w:rsidRPr="0053423A">
              <w:rPr>
                <w:rFonts w:eastAsiaTheme="minorHAnsi" w:cstheme="minorBidi"/>
                <w:lang w:val="en-US"/>
              </w:rPr>
              <w:t>ծրագրի</w:t>
            </w:r>
            <w:r w:rsidR="006B0618" w:rsidRPr="0053423A">
              <w:rPr>
                <w:rFonts w:eastAsiaTheme="minorHAnsi" w:cstheme="minorBidi"/>
                <w:lang w:val="af-ZA"/>
              </w:rPr>
              <w:t xml:space="preserve"> </w:t>
            </w:r>
            <w:r w:rsidR="006B0618" w:rsidRPr="0053423A">
              <w:rPr>
                <w:rFonts w:eastAsiaTheme="minorHAnsi" w:cstheme="minorBidi"/>
                <w:lang w:val="en-US"/>
              </w:rPr>
              <w:t>մասին</w:t>
            </w:r>
            <w:r w:rsidR="006B0618" w:rsidRPr="0053423A">
              <w:rPr>
                <w:rFonts w:eastAsiaTheme="minorHAnsi" w:cstheme="minorBidi"/>
                <w:lang w:val="af-ZA"/>
              </w:rPr>
              <w:t> N 65-</w:t>
            </w:r>
            <w:r w:rsidR="006B0618" w:rsidRPr="0053423A">
              <w:rPr>
                <w:rFonts w:eastAsiaTheme="minorHAnsi" w:cstheme="minorBidi"/>
                <w:lang w:val="en-US"/>
              </w:rPr>
              <w:t>Ա</w:t>
            </w:r>
            <w:r w:rsidR="006B0618" w:rsidRPr="0053423A">
              <w:rPr>
                <w:rFonts w:eastAsiaTheme="minorHAnsi" w:cstheme="minorBidi"/>
                <w:lang w:val="af-ZA"/>
              </w:rPr>
              <w:t xml:space="preserve"> </w:t>
            </w:r>
            <w:r w:rsidR="006B0618" w:rsidRPr="0053423A">
              <w:rPr>
                <w:rFonts w:eastAsiaTheme="minorHAnsi" w:cstheme="minorBidi"/>
                <w:lang w:val="en-US"/>
              </w:rPr>
              <w:t>որոշման</w:t>
            </w:r>
            <w:r w:rsidR="006B0618" w:rsidRPr="0053423A">
              <w:rPr>
                <w:rFonts w:eastAsiaTheme="minorHAnsi" w:cstheme="minorBidi"/>
                <w:lang w:val="af-ZA"/>
              </w:rPr>
              <w:t xml:space="preserve"> </w:t>
            </w:r>
            <w:r w:rsidR="006B0618" w:rsidRPr="0053423A">
              <w:rPr>
                <w:rFonts w:eastAsiaTheme="minorHAnsi" w:cstheme="minorBidi"/>
                <w:lang w:val="en-US"/>
              </w:rPr>
              <w:t>հավելվածի</w:t>
            </w:r>
            <w:r w:rsidR="006B0618" w:rsidRPr="0053423A">
              <w:rPr>
                <w:rFonts w:eastAsiaTheme="minorHAnsi" w:cstheme="minorBidi"/>
                <w:lang w:val="af-ZA"/>
              </w:rPr>
              <w:t xml:space="preserve"> 4.8 </w:t>
            </w:r>
            <w:r w:rsidR="006B0618" w:rsidRPr="0053423A">
              <w:rPr>
                <w:rFonts w:eastAsiaTheme="minorHAnsi" w:cstheme="minorBidi"/>
                <w:lang w:val="en-US"/>
              </w:rPr>
              <w:t>բաժնի</w:t>
            </w:r>
            <w:r w:rsidR="006B0618" w:rsidRPr="0053423A">
              <w:rPr>
                <w:rFonts w:eastAsiaTheme="minorHAnsi" w:cstheme="minorBidi"/>
                <w:lang w:val="af-ZA"/>
              </w:rPr>
              <w:t xml:space="preserve"> </w:t>
            </w:r>
            <w:r w:rsidR="006B0618" w:rsidRPr="0053423A">
              <w:rPr>
                <w:rFonts w:eastAsiaTheme="minorHAnsi" w:cstheme="minorBidi"/>
                <w:lang w:val="en-US"/>
              </w:rPr>
              <w:t>Ջրային</w:t>
            </w:r>
            <w:r w:rsidR="006B0618" w:rsidRPr="0053423A">
              <w:rPr>
                <w:rFonts w:eastAsiaTheme="minorHAnsi" w:cstheme="minorBidi"/>
                <w:lang w:val="af-ZA"/>
              </w:rPr>
              <w:t xml:space="preserve"> </w:t>
            </w:r>
            <w:r w:rsidR="006B0618" w:rsidRPr="0053423A">
              <w:rPr>
                <w:rFonts w:eastAsiaTheme="minorHAnsi" w:cstheme="minorBidi"/>
                <w:lang w:val="en-US"/>
              </w:rPr>
              <w:t>ռեսուրսների</w:t>
            </w:r>
            <w:r w:rsidR="006B0618" w:rsidRPr="0053423A">
              <w:rPr>
                <w:rFonts w:eastAsiaTheme="minorHAnsi" w:cstheme="minorBidi"/>
                <w:lang w:val="af-ZA"/>
              </w:rPr>
              <w:t xml:space="preserve"> </w:t>
            </w:r>
            <w:r w:rsidR="006B0618" w:rsidRPr="0053423A">
              <w:rPr>
                <w:rFonts w:eastAsiaTheme="minorHAnsi" w:cstheme="minorBidi"/>
                <w:lang w:val="en-US"/>
              </w:rPr>
              <w:t>կառավարման</w:t>
            </w:r>
            <w:r w:rsidR="006B0618" w:rsidRPr="0053423A">
              <w:rPr>
                <w:rFonts w:eastAsiaTheme="minorHAnsi" w:cstheme="minorBidi"/>
                <w:lang w:val="af-ZA"/>
              </w:rPr>
              <w:t xml:space="preserve"> </w:t>
            </w:r>
            <w:r w:rsidR="006B0618" w:rsidRPr="0053423A">
              <w:rPr>
                <w:rFonts w:eastAsiaTheme="minorHAnsi" w:cstheme="minorBidi"/>
                <w:lang w:val="en-US"/>
              </w:rPr>
              <w:t>արդյունավետության</w:t>
            </w:r>
            <w:r w:rsidR="006B0618" w:rsidRPr="0053423A">
              <w:rPr>
                <w:rFonts w:eastAsiaTheme="minorHAnsi" w:cstheme="minorBidi"/>
                <w:lang w:val="af-ZA"/>
              </w:rPr>
              <w:t xml:space="preserve"> </w:t>
            </w:r>
            <w:r w:rsidR="006B0618" w:rsidRPr="0053423A">
              <w:rPr>
                <w:rFonts w:eastAsiaTheme="minorHAnsi" w:cstheme="minorBidi"/>
                <w:lang w:val="en-US"/>
              </w:rPr>
              <w:t>բարձրացում</w:t>
            </w:r>
            <w:r w:rsidR="006B0618" w:rsidRPr="0053423A">
              <w:rPr>
                <w:rFonts w:eastAsiaTheme="minorHAnsi" w:cstheme="minorBidi"/>
                <w:lang w:val="af-ZA"/>
              </w:rPr>
              <w:t xml:space="preserve"> </w:t>
            </w:r>
            <w:r w:rsidR="006B0618" w:rsidRPr="0053423A">
              <w:rPr>
                <w:rFonts w:eastAsiaTheme="minorHAnsi" w:cstheme="minorBidi"/>
                <w:lang w:val="en-US"/>
              </w:rPr>
              <w:t>ուղղությունը</w:t>
            </w:r>
            <w:r w:rsidR="006B0618" w:rsidRPr="0053423A">
              <w:rPr>
                <w:rFonts w:eastAsiaTheme="minorHAnsi" w:cstheme="minorBidi"/>
                <w:lang w:val="af-ZA"/>
              </w:rPr>
              <w:t xml:space="preserve">: </w:t>
            </w:r>
          </w:p>
          <w:p w:rsidR="006B0618" w:rsidRPr="0053423A" w:rsidRDefault="006B0618" w:rsidP="00A67858">
            <w:pPr>
              <w:spacing w:line="276" w:lineRule="auto"/>
              <w:jc w:val="both"/>
              <w:rPr>
                <w:rFonts w:eastAsiaTheme="minorHAnsi" w:cstheme="minorBidi"/>
                <w:lang w:val="af-ZA"/>
              </w:rPr>
            </w:pPr>
            <w:r w:rsidRPr="0053423A">
              <w:rPr>
                <w:rFonts w:eastAsiaTheme="minorHAnsi" w:cstheme="minorBidi"/>
              </w:rPr>
              <w:t>Սևանի</w:t>
            </w:r>
            <w:r w:rsidRPr="0053423A">
              <w:rPr>
                <w:rFonts w:eastAsiaTheme="minorHAnsi" w:cstheme="minorBidi"/>
                <w:lang w:val="af-ZA"/>
              </w:rPr>
              <w:t xml:space="preserve"> (</w:t>
            </w:r>
            <w:r w:rsidRPr="0053423A">
              <w:rPr>
                <w:rFonts w:eastAsiaTheme="minorHAnsi" w:cstheme="minorBidi"/>
                <w:lang w:val="en-US"/>
              </w:rPr>
              <w:t>Սևանա</w:t>
            </w:r>
            <w:r w:rsidRPr="0053423A">
              <w:rPr>
                <w:rFonts w:eastAsiaTheme="minorHAnsi" w:cstheme="minorBidi"/>
                <w:lang w:val="af-ZA"/>
              </w:rPr>
              <w:t xml:space="preserve"> </w:t>
            </w:r>
            <w:r w:rsidRPr="0053423A">
              <w:rPr>
                <w:rFonts w:eastAsiaTheme="minorHAnsi" w:cstheme="minorBidi"/>
                <w:lang w:val="en-US"/>
              </w:rPr>
              <w:t>լիճն</w:t>
            </w:r>
            <w:r w:rsidRPr="0053423A">
              <w:rPr>
                <w:rFonts w:eastAsiaTheme="minorHAnsi" w:cstheme="minorBidi"/>
                <w:lang w:val="af-ZA"/>
              </w:rPr>
              <w:t xml:space="preserve"> </w:t>
            </w:r>
            <w:r w:rsidRPr="0053423A">
              <w:rPr>
                <w:rFonts w:eastAsiaTheme="minorHAnsi" w:cstheme="minorBidi"/>
                <w:lang w:val="en-US"/>
              </w:rPr>
              <w:t>իր</w:t>
            </w:r>
            <w:r w:rsidRPr="0053423A">
              <w:rPr>
                <w:rFonts w:eastAsiaTheme="minorHAnsi" w:cstheme="minorBidi"/>
                <w:lang w:val="af-ZA"/>
              </w:rPr>
              <w:t xml:space="preserve"> </w:t>
            </w:r>
            <w:r w:rsidRPr="0053423A">
              <w:rPr>
                <w:rFonts w:eastAsiaTheme="minorHAnsi" w:cstheme="minorBidi"/>
                <w:lang w:val="en-US"/>
              </w:rPr>
              <w:t>ջրհավաք</w:t>
            </w:r>
            <w:r w:rsidRPr="0053423A">
              <w:rPr>
                <w:rFonts w:eastAsiaTheme="minorHAnsi" w:cstheme="minorBidi"/>
                <w:lang w:val="af-ZA"/>
              </w:rPr>
              <w:t xml:space="preserve"> </w:t>
            </w:r>
            <w:r w:rsidRPr="0053423A">
              <w:rPr>
                <w:rFonts w:eastAsiaTheme="minorHAnsi" w:cstheme="minorBidi"/>
              </w:rPr>
              <w:t>ավազանով</w:t>
            </w:r>
            <w:r w:rsidRPr="0053423A">
              <w:rPr>
                <w:rFonts w:eastAsiaTheme="minorHAnsi" w:cstheme="minorBidi"/>
                <w:lang w:val="af-ZA"/>
              </w:rPr>
              <w:t xml:space="preserve">) և </w:t>
            </w:r>
            <w:r w:rsidRPr="0053423A">
              <w:rPr>
                <w:rFonts w:eastAsiaTheme="minorHAnsi" w:cstheme="minorBidi"/>
              </w:rPr>
              <w:t>Հրազդանի</w:t>
            </w:r>
            <w:r w:rsidRPr="0053423A">
              <w:rPr>
                <w:rFonts w:eastAsiaTheme="minorHAnsi" w:cstheme="minorBidi"/>
                <w:lang w:val="af-ZA"/>
              </w:rPr>
              <w:t xml:space="preserve"> (</w:t>
            </w:r>
            <w:r w:rsidRPr="0053423A">
              <w:rPr>
                <w:rFonts w:eastAsiaTheme="minorHAnsi" w:cstheme="minorBidi"/>
                <w:lang w:val="en-US"/>
              </w:rPr>
              <w:t>Հրազդան</w:t>
            </w:r>
            <w:r w:rsidRPr="0053423A">
              <w:rPr>
                <w:rFonts w:eastAsiaTheme="minorHAnsi" w:cstheme="minorBidi"/>
                <w:lang w:val="af-ZA"/>
              </w:rPr>
              <w:t xml:space="preserve">, </w:t>
            </w:r>
            <w:r w:rsidRPr="0053423A">
              <w:rPr>
                <w:rFonts w:eastAsiaTheme="minorHAnsi" w:cstheme="minorBidi"/>
                <w:lang w:val="en-US"/>
              </w:rPr>
              <w:t>Մարմարիկ</w:t>
            </w:r>
            <w:r w:rsidRPr="0053423A">
              <w:rPr>
                <w:rFonts w:eastAsiaTheme="minorHAnsi" w:cstheme="minorBidi"/>
                <w:lang w:val="af-ZA"/>
              </w:rPr>
              <w:t xml:space="preserve">, </w:t>
            </w:r>
            <w:r w:rsidRPr="0053423A">
              <w:rPr>
                <w:rFonts w:eastAsiaTheme="minorHAnsi" w:cstheme="minorBidi"/>
                <w:lang w:val="en-US"/>
              </w:rPr>
              <w:t>Քասախ</w:t>
            </w:r>
            <w:r w:rsidRPr="0053423A">
              <w:rPr>
                <w:rFonts w:eastAsiaTheme="minorHAnsi" w:cstheme="minorBidi"/>
                <w:lang w:val="af-ZA"/>
              </w:rPr>
              <w:t xml:space="preserve"> </w:t>
            </w:r>
            <w:r w:rsidRPr="0053423A">
              <w:rPr>
                <w:rFonts w:eastAsiaTheme="minorHAnsi" w:cstheme="minorBidi"/>
                <w:lang w:val="en-US"/>
              </w:rPr>
              <w:t>և</w:t>
            </w:r>
            <w:r w:rsidRPr="0053423A">
              <w:rPr>
                <w:rFonts w:eastAsiaTheme="minorHAnsi" w:cstheme="minorBidi"/>
                <w:lang w:val="af-ZA"/>
              </w:rPr>
              <w:t xml:space="preserve"> </w:t>
            </w:r>
            <w:r w:rsidRPr="0053423A">
              <w:rPr>
                <w:rFonts w:eastAsiaTheme="minorHAnsi" w:cstheme="minorBidi"/>
                <w:lang w:val="en-US"/>
              </w:rPr>
              <w:t>Ամբերդ</w:t>
            </w:r>
            <w:r w:rsidRPr="0053423A">
              <w:rPr>
                <w:rFonts w:eastAsiaTheme="minorHAnsi" w:cstheme="minorBidi"/>
                <w:lang w:val="af-ZA"/>
              </w:rPr>
              <w:t xml:space="preserve"> </w:t>
            </w:r>
            <w:r w:rsidRPr="0053423A">
              <w:rPr>
                <w:rFonts w:eastAsiaTheme="minorHAnsi" w:cstheme="minorBidi"/>
                <w:lang w:val="en-US"/>
              </w:rPr>
              <w:t>գետերն</w:t>
            </w:r>
            <w:r w:rsidRPr="0053423A">
              <w:rPr>
                <w:rFonts w:eastAsiaTheme="minorHAnsi" w:cstheme="minorBidi"/>
                <w:lang w:val="af-ZA"/>
              </w:rPr>
              <w:t xml:space="preserve"> </w:t>
            </w:r>
            <w:r w:rsidRPr="0053423A">
              <w:rPr>
                <w:rFonts w:eastAsiaTheme="minorHAnsi" w:cstheme="minorBidi"/>
                <w:lang w:val="en-US"/>
              </w:rPr>
              <w:t>իրենց</w:t>
            </w:r>
            <w:r w:rsidRPr="0053423A">
              <w:rPr>
                <w:rFonts w:eastAsiaTheme="minorHAnsi" w:cstheme="minorBidi"/>
                <w:lang w:val="af-ZA"/>
              </w:rPr>
              <w:t xml:space="preserve"> </w:t>
            </w:r>
            <w:r w:rsidRPr="0053423A">
              <w:rPr>
                <w:rFonts w:eastAsiaTheme="minorHAnsi" w:cstheme="minorBidi"/>
                <w:lang w:val="en-US"/>
              </w:rPr>
              <w:t>ջրհավաքներով</w:t>
            </w:r>
            <w:r w:rsidRPr="0053423A">
              <w:rPr>
                <w:rFonts w:eastAsiaTheme="minorHAnsi" w:cstheme="minorBidi"/>
                <w:lang w:val="af-ZA"/>
              </w:rPr>
              <w:t xml:space="preserve">) </w:t>
            </w:r>
            <w:r w:rsidRPr="0053423A">
              <w:rPr>
                <w:rFonts w:eastAsiaTheme="minorHAnsi" w:cstheme="minorBidi"/>
              </w:rPr>
              <w:t>ջրավազանային</w:t>
            </w:r>
            <w:r w:rsidRPr="0053423A">
              <w:rPr>
                <w:rFonts w:eastAsiaTheme="minorHAnsi" w:cstheme="minorBidi"/>
                <w:lang w:val="af-ZA"/>
              </w:rPr>
              <w:t xml:space="preserve"> </w:t>
            </w:r>
            <w:r w:rsidRPr="0053423A">
              <w:rPr>
                <w:rFonts w:eastAsiaTheme="minorHAnsi" w:cstheme="minorBidi"/>
              </w:rPr>
              <w:t>տարածքների</w:t>
            </w:r>
            <w:r w:rsidRPr="0053423A">
              <w:rPr>
                <w:rFonts w:eastAsiaTheme="minorHAnsi" w:cstheme="minorBidi"/>
                <w:lang w:val="af-ZA"/>
              </w:rPr>
              <w:t xml:space="preserve"> </w:t>
            </w:r>
            <w:r w:rsidRPr="0053423A">
              <w:rPr>
                <w:rFonts w:eastAsiaTheme="minorHAnsi" w:cstheme="minorBidi"/>
              </w:rPr>
              <w:t>կառավարման</w:t>
            </w:r>
            <w:r w:rsidRPr="0053423A">
              <w:rPr>
                <w:rFonts w:eastAsiaTheme="minorHAnsi" w:cstheme="minorBidi"/>
                <w:lang w:val="af-ZA"/>
              </w:rPr>
              <w:t xml:space="preserve"> </w:t>
            </w:r>
            <w:r w:rsidRPr="0053423A">
              <w:rPr>
                <w:rFonts w:eastAsiaTheme="minorHAnsi" w:cstheme="minorBidi"/>
              </w:rPr>
              <w:t>պլանների</w:t>
            </w:r>
            <w:r w:rsidRPr="0053423A">
              <w:rPr>
                <w:rFonts w:eastAsiaTheme="minorHAnsi" w:cstheme="minorBidi"/>
                <w:lang w:val="af-ZA"/>
              </w:rPr>
              <w:t xml:space="preserve"> </w:t>
            </w:r>
            <w:r w:rsidRPr="0053423A">
              <w:rPr>
                <w:rFonts w:eastAsiaTheme="minorHAnsi" w:cstheme="minorBidi"/>
                <w:lang w:val="en-US"/>
              </w:rPr>
              <w:t>մշակումը</w:t>
            </w:r>
            <w:r w:rsidRPr="0053423A">
              <w:rPr>
                <w:rFonts w:eastAsiaTheme="minorHAnsi" w:cstheme="minorBidi"/>
                <w:lang w:val="af-ZA"/>
              </w:rPr>
              <w:t xml:space="preserve"> </w:t>
            </w:r>
            <w:r w:rsidRPr="0053423A">
              <w:rPr>
                <w:rFonts w:eastAsiaTheme="minorHAnsi" w:cstheme="minorBidi"/>
                <w:lang w:val="en-US"/>
              </w:rPr>
              <w:t>իրականացվում</w:t>
            </w:r>
            <w:r w:rsidRPr="0053423A">
              <w:rPr>
                <w:rFonts w:eastAsiaTheme="minorHAnsi" w:cstheme="minorBidi"/>
                <w:lang w:val="de-DE"/>
              </w:rPr>
              <w:t xml:space="preserve"> </w:t>
            </w:r>
            <w:r w:rsidRPr="0053423A">
              <w:rPr>
                <w:rFonts w:eastAsiaTheme="minorHAnsi" w:cstheme="minorBidi"/>
                <w:lang w:val="en-US"/>
              </w:rPr>
              <w:t>է</w:t>
            </w:r>
            <w:r w:rsidRPr="0053423A">
              <w:rPr>
                <w:rFonts w:eastAsiaTheme="minorHAnsi" w:cstheme="minorBidi"/>
                <w:lang w:val="de-DE"/>
              </w:rPr>
              <w:t xml:space="preserve"> </w:t>
            </w:r>
            <w:r w:rsidRPr="0053423A">
              <w:rPr>
                <w:rFonts w:eastAsiaTheme="minorHAnsi" w:cstheme="minorBidi"/>
                <w:lang w:val="en-US"/>
              </w:rPr>
              <w:t>համապարփակ</w:t>
            </w:r>
            <w:r w:rsidRPr="0053423A">
              <w:rPr>
                <w:rFonts w:eastAsiaTheme="minorHAnsi" w:cstheme="minorBidi"/>
                <w:lang w:val="de-DE"/>
              </w:rPr>
              <w:t xml:space="preserve"> </w:t>
            </w:r>
            <w:r w:rsidRPr="0053423A">
              <w:rPr>
                <w:rFonts w:eastAsiaTheme="minorHAnsi" w:cstheme="minorBidi"/>
                <w:lang w:val="en-US"/>
              </w:rPr>
              <w:t>պլանավորման</w:t>
            </w:r>
            <w:r w:rsidRPr="0053423A">
              <w:rPr>
                <w:rFonts w:eastAsiaTheme="minorHAnsi" w:cstheme="minorBidi"/>
                <w:lang w:val="de-DE"/>
              </w:rPr>
              <w:t xml:space="preserve"> </w:t>
            </w:r>
            <w:r w:rsidRPr="0053423A">
              <w:rPr>
                <w:rFonts w:eastAsiaTheme="minorHAnsi" w:cstheme="minorBidi"/>
                <w:lang w:val="en-US"/>
              </w:rPr>
              <w:t>սկզբունքով</w:t>
            </w:r>
            <w:r w:rsidRPr="0053423A">
              <w:rPr>
                <w:rFonts w:eastAsiaTheme="minorHAnsi" w:cstheme="minorBidi"/>
                <w:lang w:val="de-DE"/>
              </w:rPr>
              <w:t xml:space="preserve">, </w:t>
            </w:r>
            <w:r w:rsidRPr="0053423A">
              <w:rPr>
                <w:rFonts w:eastAsiaTheme="minorHAnsi" w:cstheme="minorBidi"/>
                <w:lang w:val="en-US"/>
              </w:rPr>
              <w:t>ինչը</w:t>
            </w:r>
            <w:r w:rsidRPr="0053423A">
              <w:rPr>
                <w:rFonts w:eastAsiaTheme="minorHAnsi" w:cstheme="minorBidi"/>
                <w:lang w:val="de-DE"/>
              </w:rPr>
              <w:t xml:space="preserve"> </w:t>
            </w:r>
            <w:r w:rsidRPr="0053423A">
              <w:rPr>
                <w:rFonts w:eastAsiaTheme="minorHAnsi" w:cstheme="minorBidi"/>
                <w:lang w:val="en-US"/>
              </w:rPr>
              <w:t>նպատակաուղղված</w:t>
            </w:r>
            <w:r w:rsidRPr="0053423A">
              <w:rPr>
                <w:rFonts w:eastAsiaTheme="minorHAnsi" w:cstheme="minorBidi"/>
                <w:lang w:val="de-DE"/>
              </w:rPr>
              <w:t xml:space="preserve"> </w:t>
            </w:r>
            <w:r w:rsidRPr="0053423A">
              <w:rPr>
                <w:rFonts w:eastAsiaTheme="minorHAnsi" w:cstheme="minorBidi"/>
                <w:lang w:val="en-US"/>
              </w:rPr>
              <w:t>է</w:t>
            </w:r>
            <w:r w:rsidRPr="0053423A">
              <w:rPr>
                <w:rFonts w:eastAsiaTheme="minorHAnsi" w:cstheme="minorBidi"/>
                <w:lang w:val="de-DE"/>
              </w:rPr>
              <w:t xml:space="preserve"> </w:t>
            </w:r>
            <w:r w:rsidRPr="0053423A">
              <w:rPr>
                <w:rFonts w:eastAsiaTheme="minorHAnsi" w:cstheme="minorBidi"/>
                <w:lang w:val="en-US"/>
              </w:rPr>
              <w:t>հավասարակշռելու</w:t>
            </w:r>
            <w:r w:rsidRPr="0053423A">
              <w:rPr>
                <w:rFonts w:eastAsiaTheme="minorHAnsi" w:cstheme="minorBidi"/>
                <w:lang w:val="de-DE"/>
              </w:rPr>
              <w:t xml:space="preserve"> </w:t>
            </w:r>
            <w:r w:rsidRPr="0053423A">
              <w:rPr>
                <w:rFonts w:eastAsiaTheme="minorHAnsi" w:cstheme="minorBidi"/>
                <w:lang w:val="en-US"/>
              </w:rPr>
              <w:t>ջրօգտագործողների՝</w:t>
            </w:r>
            <w:r w:rsidRPr="0053423A">
              <w:rPr>
                <w:rFonts w:eastAsiaTheme="minorHAnsi" w:cstheme="minorBidi"/>
                <w:lang w:val="de-DE"/>
              </w:rPr>
              <w:t xml:space="preserve"> </w:t>
            </w:r>
            <w:r w:rsidRPr="0053423A">
              <w:rPr>
                <w:rFonts w:eastAsiaTheme="minorHAnsi" w:cstheme="minorBidi"/>
                <w:lang w:val="en-US"/>
              </w:rPr>
              <w:t>ներառյալ</w:t>
            </w:r>
            <w:r w:rsidRPr="0053423A">
              <w:rPr>
                <w:rFonts w:eastAsiaTheme="minorHAnsi" w:cstheme="minorBidi"/>
                <w:lang w:val="de-DE"/>
              </w:rPr>
              <w:t xml:space="preserve"> </w:t>
            </w:r>
            <w:r w:rsidRPr="0053423A">
              <w:rPr>
                <w:rFonts w:eastAsiaTheme="minorHAnsi" w:cstheme="minorBidi"/>
                <w:lang w:val="en-US"/>
              </w:rPr>
              <w:t>համայնքների</w:t>
            </w:r>
            <w:r w:rsidRPr="0053423A">
              <w:rPr>
                <w:rFonts w:eastAsiaTheme="minorHAnsi" w:cstheme="minorBidi"/>
                <w:lang w:val="de-DE"/>
              </w:rPr>
              <w:t xml:space="preserve">, </w:t>
            </w:r>
            <w:r w:rsidRPr="0053423A">
              <w:rPr>
                <w:rFonts w:eastAsiaTheme="minorHAnsi" w:cstheme="minorBidi"/>
                <w:lang w:val="en-US"/>
              </w:rPr>
              <w:t>էներգետիկայի</w:t>
            </w:r>
            <w:r w:rsidRPr="0053423A">
              <w:rPr>
                <w:rFonts w:eastAsiaTheme="minorHAnsi" w:cstheme="minorBidi"/>
                <w:lang w:val="de-DE"/>
              </w:rPr>
              <w:t xml:space="preserve">, </w:t>
            </w:r>
            <w:r w:rsidRPr="0053423A">
              <w:rPr>
                <w:rFonts w:eastAsiaTheme="minorHAnsi" w:cstheme="minorBidi"/>
                <w:lang w:val="en-US"/>
              </w:rPr>
              <w:t>արդյունաբերության</w:t>
            </w:r>
            <w:r w:rsidRPr="0053423A">
              <w:rPr>
                <w:rFonts w:eastAsiaTheme="minorHAnsi" w:cstheme="minorBidi"/>
                <w:lang w:val="de-DE"/>
              </w:rPr>
              <w:t xml:space="preserve"> </w:t>
            </w:r>
            <w:r w:rsidRPr="0053423A">
              <w:rPr>
                <w:rFonts w:eastAsiaTheme="minorHAnsi" w:cstheme="minorBidi"/>
                <w:lang w:val="en-US"/>
              </w:rPr>
              <w:t>և</w:t>
            </w:r>
            <w:r w:rsidRPr="0053423A">
              <w:rPr>
                <w:rFonts w:eastAsiaTheme="minorHAnsi" w:cstheme="minorBidi"/>
                <w:lang w:val="de-DE"/>
              </w:rPr>
              <w:t xml:space="preserve"> </w:t>
            </w:r>
            <w:r w:rsidRPr="0053423A">
              <w:rPr>
                <w:rFonts w:eastAsiaTheme="minorHAnsi" w:cstheme="minorBidi"/>
                <w:lang w:val="en-US"/>
              </w:rPr>
              <w:t>գյուղատնտեսության</w:t>
            </w:r>
            <w:r w:rsidRPr="0053423A">
              <w:rPr>
                <w:rFonts w:eastAsiaTheme="minorHAnsi" w:cstheme="minorBidi"/>
                <w:lang w:val="de-DE"/>
              </w:rPr>
              <w:t xml:space="preserve"> </w:t>
            </w:r>
            <w:r w:rsidRPr="0053423A">
              <w:rPr>
                <w:rFonts w:eastAsiaTheme="minorHAnsi" w:cstheme="minorBidi"/>
                <w:lang w:val="en-US"/>
              </w:rPr>
              <w:t>փոխկապակցված</w:t>
            </w:r>
            <w:r w:rsidRPr="0053423A">
              <w:rPr>
                <w:rFonts w:eastAsiaTheme="minorHAnsi" w:cstheme="minorBidi"/>
                <w:lang w:val="de-DE"/>
              </w:rPr>
              <w:t xml:space="preserve"> </w:t>
            </w:r>
            <w:r w:rsidRPr="0053423A">
              <w:rPr>
                <w:rFonts w:eastAsiaTheme="minorHAnsi" w:cstheme="minorBidi"/>
                <w:lang w:val="en-US"/>
              </w:rPr>
              <w:t>փոխհարաբերությունները</w:t>
            </w:r>
            <w:r w:rsidRPr="0053423A">
              <w:rPr>
                <w:rFonts w:eastAsiaTheme="minorHAnsi" w:cstheme="minorBidi"/>
                <w:lang w:val="de-DE"/>
              </w:rPr>
              <w:t xml:space="preserve">: </w:t>
            </w:r>
            <w:r w:rsidRPr="0053423A">
              <w:rPr>
                <w:rFonts w:eastAsiaTheme="minorHAnsi" w:cstheme="minorBidi"/>
              </w:rPr>
              <w:t>Ջ</w:t>
            </w:r>
            <w:r w:rsidRPr="0053423A">
              <w:rPr>
                <w:rFonts w:eastAsiaTheme="minorHAnsi" w:cstheme="minorBidi"/>
                <w:lang w:val="en-US"/>
              </w:rPr>
              <w:t>րավազանային</w:t>
            </w:r>
            <w:r w:rsidRPr="0053423A">
              <w:rPr>
                <w:rFonts w:eastAsiaTheme="minorHAnsi" w:cstheme="minorBidi"/>
                <w:lang w:val="de-DE"/>
              </w:rPr>
              <w:t xml:space="preserve"> </w:t>
            </w:r>
            <w:r w:rsidRPr="0053423A">
              <w:rPr>
                <w:rFonts w:eastAsiaTheme="minorHAnsi" w:cstheme="minorBidi"/>
                <w:lang w:val="en-US"/>
              </w:rPr>
              <w:t>կառավարման</w:t>
            </w:r>
            <w:r w:rsidRPr="0053423A">
              <w:rPr>
                <w:rFonts w:eastAsiaTheme="minorHAnsi" w:cstheme="minorBidi"/>
                <w:lang w:val="de-DE"/>
              </w:rPr>
              <w:t xml:space="preserve"> </w:t>
            </w:r>
            <w:r w:rsidRPr="0053423A">
              <w:rPr>
                <w:rFonts w:eastAsiaTheme="minorHAnsi" w:cstheme="minorBidi"/>
                <w:lang w:val="en-US"/>
              </w:rPr>
              <w:t>պլան</w:t>
            </w:r>
            <w:r w:rsidRPr="0053423A">
              <w:rPr>
                <w:rFonts w:eastAsiaTheme="minorHAnsi" w:cstheme="minorBidi"/>
              </w:rPr>
              <w:t>ի</w:t>
            </w:r>
            <w:r w:rsidRPr="0053423A">
              <w:rPr>
                <w:rFonts w:eastAsiaTheme="minorHAnsi" w:cstheme="minorBidi"/>
                <w:lang w:val="de-DE"/>
              </w:rPr>
              <w:t xml:space="preserve"> </w:t>
            </w:r>
            <w:r w:rsidRPr="0053423A">
              <w:rPr>
                <w:rFonts w:eastAsiaTheme="minorHAnsi" w:cstheme="minorBidi"/>
                <w:lang w:val="en-US"/>
              </w:rPr>
              <w:t>նպատակն</w:t>
            </w:r>
            <w:r w:rsidRPr="0053423A">
              <w:rPr>
                <w:rFonts w:eastAsiaTheme="minorHAnsi" w:cstheme="minorBidi"/>
                <w:lang w:val="de-DE"/>
              </w:rPr>
              <w:t xml:space="preserve"> </w:t>
            </w:r>
            <w:r w:rsidRPr="0053423A">
              <w:rPr>
                <w:rFonts w:eastAsiaTheme="minorHAnsi" w:cstheme="minorBidi"/>
                <w:lang w:val="en-US"/>
              </w:rPr>
              <w:t>է</w:t>
            </w:r>
            <w:r w:rsidRPr="0053423A">
              <w:rPr>
                <w:rFonts w:eastAsiaTheme="minorHAnsi" w:cstheme="minorBidi"/>
                <w:lang w:val="de-DE"/>
              </w:rPr>
              <w:t xml:space="preserve"> </w:t>
            </w:r>
            <w:r w:rsidRPr="0053423A">
              <w:rPr>
                <w:rFonts w:eastAsiaTheme="minorHAnsi" w:cstheme="minorBidi"/>
                <w:lang w:val="en-US"/>
              </w:rPr>
              <w:t>հավասարակշռել</w:t>
            </w:r>
            <w:r w:rsidRPr="0053423A">
              <w:rPr>
                <w:rFonts w:eastAsiaTheme="minorHAnsi" w:cstheme="minorBidi"/>
                <w:lang w:val="de-DE"/>
              </w:rPr>
              <w:t xml:space="preserve"> </w:t>
            </w:r>
            <w:r w:rsidRPr="0053423A">
              <w:rPr>
                <w:rFonts w:eastAsiaTheme="minorHAnsi" w:cstheme="minorBidi"/>
                <w:lang w:val="en-US"/>
              </w:rPr>
              <w:t>ջրավազանում</w:t>
            </w:r>
            <w:r w:rsidRPr="0053423A">
              <w:rPr>
                <w:rFonts w:eastAsiaTheme="minorHAnsi" w:cstheme="minorBidi"/>
                <w:lang w:val="de-DE"/>
              </w:rPr>
              <w:t xml:space="preserve"> </w:t>
            </w:r>
            <w:r w:rsidRPr="0053423A">
              <w:rPr>
                <w:rFonts w:eastAsiaTheme="minorHAnsi" w:cstheme="minorBidi"/>
                <w:lang w:val="en-US"/>
              </w:rPr>
              <w:t>ջրի</w:t>
            </w:r>
            <w:r w:rsidRPr="0053423A">
              <w:rPr>
                <w:rFonts w:eastAsiaTheme="minorHAnsi" w:cstheme="minorBidi"/>
                <w:lang w:val="de-DE"/>
              </w:rPr>
              <w:t xml:space="preserve"> </w:t>
            </w:r>
            <w:r w:rsidRPr="0053423A">
              <w:rPr>
                <w:rFonts w:eastAsiaTheme="minorHAnsi" w:cstheme="minorBidi"/>
                <w:lang w:val="en-US"/>
              </w:rPr>
              <w:t>առաջարկը</w:t>
            </w:r>
            <w:r w:rsidRPr="0053423A">
              <w:rPr>
                <w:rFonts w:eastAsiaTheme="minorHAnsi" w:cstheme="minorBidi"/>
                <w:lang w:val="de-DE"/>
              </w:rPr>
              <w:t xml:space="preserve"> </w:t>
            </w:r>
            <w:r w:rsidRPr="0053423A">
              <w:rPr>
                <w:rFonts w:eastAsiaTheme="minorHAnsi" w:cstheme="minorBidi"/>
                <w:lang w:val="en-US"/>
              </w:rPr>
              <w:t>և</w:t>
            </w:r>
            <w:r w:rsidRPr="0053423A">
              <w:rPr>
                <w:rFonts w:eastAsiaTheme="minorHAnsi" w:cstheme="minorBidi"/>
                <w:lang w:val="de-DE"/>
              </w:rPr>
              <w:t xml:space="preserve"> </w:t>
            </w:r>
            <w:r w:rsidRPr="0053423A">
              <w:rPr>
                <w:rFonts w:eastAsiaTheme="minorHAnsi" w:cstheme="minorBidi"/>
                <w:lang w:val="en-US"/>
              </w:rPr>
              <w:t>պահանջարկը</w:t>
            </w:r>
            <w:r w:rsidRPr="0053423A">
              <w:rPr>
                <w:rFonts w:eastAsiaTheme="minorHAnsi" w:cstheme="minorBidi"/>
                <w:lang w:val="af-ZA"/>
              </w:rPr>
              <w:t xml:space="preserve">                               </w:t>
            </w:r>
          </w:p>
          <w:p w:rsidR="006B0618" w:rsidRPr="0053423A" w:rsidRDefault="006B0618" w:rsidP="00A67858">
            <w:pPr>
              <w:spacing w:line="276" w:lineRule="auto"/>
              <w:ind w:firstLine="643"/>
              <w:jc w:val="both"/>
              <w:rPr>
                <w:rFonts w:eastAsiaTheme="minorHAnsi" w:cstheme="minorBidi"/>
                <w:b/>
                <w:lang w:val="af-ZA"/>
              </w:rPr>
            </w:pPr>
            <w:r w:rsidRPr="0053423A">
              <w:rPr>
                <w:rFonts w:eastAsiaTheme="minorHAnsi" w:cstheme="minorBidi"/>
                <w:b/>
                <w:lang w:val="af-ZA"/>
              </w:rPr>
              <w:t>1.1</w:t>
            </w:r>
            <w:r w:rsidRPr="0053423A">
              <w:rPr>
                <w:rFonts w:eastAsiaTheme="minorHAnsi" w:cstheme="minorBidi"/>
                <w:b/>
                <w:lang w:val="hy-AM"/>
              </w:rPr>
              <w:t xml:space="preserve"> </w:t>
            </w:r>
            <w:r w:rsidRPr="0053423A">
              <w:rPr>
                <w:rFonts w:eastAsiaTheme="minorHAnsi" w:cstheme="minorBidi"/>
                <w:b/>
                <w:lang w:val="en-US"/>
              </w:rPr>
              <w:t>կարգավորման</w:t>
            </w:r>
            <w:r w:rsidRPr="0053423A">
              <w:rPr>
                <w:rFonts w:eastAsiaTheme="minorHAnsi" w:cstheme="minorBidi"/>
                <w:b/>
                <w:lang w:val="af-ZA"/>
              </w:rPr>
              <w:t xml:space="preserve"> </w:t>
            </w:r>
            <w:r w:rsidRPr="0053423A">
              <w:rPr>
                <w:rFonts w:eastAsiaTheme="minorHAnsi" w:cstheme="minorBidi"/>
                <w:b/>
                <w:lang w:val="en-US"/>
              </w:rPr>
              <w:t>հարաբերությունների</w:t>
            </w:r>
            <w:r w:rsidRPr="0053423A">
              <w:rPr>
                <w:rFonts w:eastAsiaTheme="minorHAnsi" w:cstheme="minorBidi"/>
                <w:b/>
                <w:lang w:val="af-ZA"/>
              </w:rPr>
              <w:t xml:space="preserve"> </w:t>
            </w:r>
            <w:r w:rsidRPr="0053423A">
              <w:rPr>
                <w:rFonts w:eastAsiaTheme="minorHAnsi" w:cstheme="minorBidi"/>
                <w:b/>
                <w:lang w:val="en-US"/>
              </w:rPr>
              <w:t>ներկա</w:t>
            </w:r>
            <w:r w:rsidRPr="0053423A">
              <w:rPr>
                <w:rFonts w:eastAsiaTheme="minorHAnsi" w:cstheme="minorBidi"/>
                <w:b/>
                <w:lang w:val="af-ZA"/>
              </w:rPr>
              <w:t xml:space="preserve"> </w:t>
            </w:r>
            <w:r w:rsidRPr="0053423A">
              <w:rPr>
                <w:rFonts w:eastAsiaTheme="minorHAnsi" w:cstheme="minorBidi"/>
                <w:b/>
                <w:lang w:val="en-US"/>
              </w:rPr>
              <w:t>վիճակը</w:t>
            </w:r>
            <w:r w:rsidRPr="0053423A">
              <w:rPr>
                <w:rFonts w:eastAsiaTheme="minorHAnsi" w:cstheme="minorBidi"/>
                <w:b/>
                <w:lang w:val="af-ZA"/>
              </w:rPr>
              <w:t xml:space="preserve"> </w:t>
            </w:r>
            <w:r w:rsidRPr="0053423A">
              <w:rPr>
                <w:rFonts w:eastAsiaTheme="minorHAnsi" w:cstheme="minorBidi"/>
                <w:b/>
                <w:lang w:val="en-US"/>
              </w:rPr>
              <w:t>և</w:t>
            </w:r>
            <w:r w:rsidRPr="0053423A">
              <w:rPr>
                <w:rFonts w:eastAsiaTheme="minorHAnsi" w:cstheme="minorBidi"/>
                <w:b/>
                <w:lang w:val="af-ZA"/>
              </w:rPr>
              <w:t xml:space="preserve"> </w:t>
            </w:r>
            <w:r w:rsidRPr="0053423A">
              <w:rPr>
                <w:rFonts w:eastAsiaTheme="minorHAnsi" w:cstheme="minorBidi"/>
                <w:b/>
                <w:lang w:val="en-US"/>
              </w:rPr>
              <w:t>առկա</w:t>
            </w:r>
            <w:r w:rsidRPr="0053423A">
              <w:rPr>
                <w:rFonts w:eastAsiaTheme="minorHAnsi" w:cstheme="minorBidi"/>
                <w:b/>
                <w:lang w:val="af-ZA"/>
              </w:rPr>
              <w:t xml:space="preserve"> </w:t>
            </w:r>
            <w:r w:rsidRPr="0053423A">
              <w:rPr>
                <w:rFonts w:eastAsiaTheme="minorHAnsi" w:cstheme="minorBidi"/>
                <w:b/>
                <w:lang w:val="en-US"/>
              </w:rPr>
              <w:t>խնդիրները</w:t>
            </w:r>
          </w:p>
          <w:p w:rsidR="006B0618" w:rsidRPr="0053423A" w:rsidRDefault="006B0618" w:rsidP="00A67858">
            <w:pPr>
              <w:spacing w:line="276" w:lineRule="auto"/>
              <w:jc w:val="both"/>
              <w:rPr>
                <w:rFonts w:eastAsiaTheme="minorHAnsi" w:cstheme="minorBidi"/>
                <w:lang w:val="af-ZA"/>
              </w:rPr>
            </w:pPr>
            <w:r w:rsidRPr="0053423A">
              <w:rPr>
                <w:rFonts w:eastAsiaTheme="minorHAnsi" w:cstheme="minorBidi"/>
                <w:lang w:val="af-ZA"/>
              </w:rPr>
              <w:tab/>
            </w:r>
            <w:r w:rsidRPr="0053423A">
              <w:rPr>
                <w:rFonts w:eastAsiaTheme="minorHAnsi" w:cstheme="minorBidi"/>
              </w:rPr>
              <w:t>Համաձայն</w:t>
            </w:r>
            <w:r w:rsidRPr="0053423A">
              <w:rPr>
                <w:rFonts w:eastAsiaTheme="minorHAnsi" w:cstheme="minorBidi"/>
                <w:lang w:val="af-ZA"/>
              </w:rPr>
              <w:t xml:space="preserve"> </w:t>
            </w:r>
            <w:r w:rsidRPr="0053423A">
              <w:rPr>
                <w:rFonts w:eastAsiaTheme="minorHAnsi" w:cstheme="minorBidi"/>
                <w:bCs/>
                <w:lang w:val="en-US"/>
              </w:rPr>
              <w:t>ՀՀ</w:t>
            </w:r>
            <w:r w:rsidRPr="0053423A">
              <w:rPr>
                <w:rFonts w:eastAsiaTheme="minorHAnsi" w:cstheme="minorBidi"/>
                <w:bCs/>
                <w:lang w:val="af-ZA"/>
              </w:rPr>
              <w:t xml:space="preserve"> </w:t>
            </w:r>
            <w:r w:rsidRPr="0053423A">
              <w:rPr>
                <w:rFonts w:eastAsiaTheme="minorHAnsi" w:cstheme="minorBidi"/>
                <w:bCs/>
                <w:lang w:val="en-US"/>
              </w:rPr>
              <w:t>ջրային</w:t>
            </w:r>
            <w:r w:rsidRPr="0053423A">
              <w:rPr>
                <w:rFonts w:eastAsiaTheme="minorHAnsi" w:cstheme="minorBidi"/>
                <w:bCs/>
                <w:lang w:val="af-ZA"/>
              </w:rPr>
              <w:t xml:space="preserve"> </w:t>
            </w:r>
            <w:r w:rsidRPr="0053423A">
              <w:rPr>
                <w:rFonts w:eastAsiaTheme="minorHAnsi" w:cstheme="minorBidi"/>
                <w:bCs/>
                <w:lang w:val="en-US"/>
              </w:rPr>
              <w:t>օրենսգիրք</w:t>
            </w:r>
            <w:r w:rsidRPr="0053423A">
              <w:rPr>
                <w:rFonts w:eastAsiaTheme="minorHAnsi" w:cstheme="minorBidi"/>
                <w:bCs/>
              </w:rPr>
              <w:t>ի</w:t>
            </w:r>
            <w:r w:rsidRPr="0053423A">
              <w:rPr>
                <w:rFonts w:eastAsiaTheme="minorHAnsi" w:cstheme="minorBidi"/>
                <w:bCs/>
                <w:lang w:val="af-ZA"/>
              </w:rPr>
              <w:t>, 2006</w:t>
            </w:r>
            <w:r w:rsidRPr="0053423A">
              <w:rPr>
                <w:rFonts w:eastAsiaTheme="minorHAnsi" w:cstheme="minorBidi"/>
                <w:bCs/>
                <w:lang w:val="en-US"/>
              </w:rPr>
              <w:t>թ</w:t>
            </w:r>
            <w:r w:rsidRPr="0053423A">
              <w:rPr>
                <w:rFonts w:eastAsiaTheme="minorHAnsi" w:cstheme="minorBidi"/>
                <w:bCs/>
                <w:lang w:val="af-ZA"/>
              </w:rPr>
              <w:t xml:space="preserve">. </w:t>
            </w:r>
            <w:r w:rsidRPr="0053423A">
              <w:rPr>
                <w:rFonts w:eastAsiaTheme="minorHAnsi" w:cstheme="minorBidi"/>
                <w:bCs/>
                <w:lang w:val="en-US"/>
              </w:rPr>
              <w:t>նոյեմբերի</w:t>
            </w:r>
            <w:r w:rsidRPr="0053423A">
              <w:rPr>
                <w:rFonts w:eastAsiaTheme="minorHAnsi" w:cstheme="minorBidi"/>
                <w:bCs/>
                <w:lang w:val="af-ZA"/>
              </w:rPr>
              <w:t xml:space="preserve"> 27-</w:t>
            </w:r>
            <w:r w:rsidRPr="0053423A">
              <w:rPr>
                <w:rFonts w:eastAsiaTheme="minorHAnsi" w:cstheme="minorBidi"/>
                <w:bCs/>
                <w:lang w:val="en-US"/>
              </w:rPr>
              <w:t>ի</w:t>
            </w:r>
            <w:r w:rsidRPr="0053423A">
              <w:rPr>
                <w:rFonts w:eastAsiaTheme="minorHAnsi" w:cstheme="minorBidi"/>
                <w:bCs/>
                <w:lang w:val="af-ZA"/>
              </w:rPr>
              <w:t xml:space="preserve"> </w:t>
            </w:r>
            <w:r w:rsidRPr="0053423A">
              <w:rPr>
                <w:rFonts w:eastAsiaTheme="minorHAnsi" w:cstheme="minorBidi"/>
                <w:lang w:val="af-ZA"/>
              </w:rPr>
              <w:t>«</w:t>
            </w:r>
            <w:r w:rsidRPr="0053423A">
              <w:rPr>
                <w:rFonts w:eastAsiaTheme="minorHAnsi" w:cstheme="minorBidi"/>
                <w:lang w:val="en-US"/>
              </w:rPr>
              <w:t>Հայաստանի</w:t>
            </w:r>
            <w:r w:rsidRPr="0053423A">
              <w:rPr>
                <w:rFonts w:eastAsiaTheme="minorHAnsi" w:cstheme="minorBidi"/>
                <w:lang w:val="af-ZA"/>
              </w:rPr>
              <w:t xml:space="preserve"> </w:t>
            </w:r>
            <w:r w:rsidRPr="0053423A">
              <w:rPr>
                <w:rFonts w:eastAsiaTheme="minorHAnsi" w:cstheme="minorBidi"/>
                <w:lang w:val="en-US"/>
              </w:rPr>
              <w:t>Հանրապետության</w:t>
            </w:r>
            <w:r w:rsidRPr="0053423A">
              <w:rPr>
                <w:rFonts w:eastAsiaTheme="minorHAnsi" w:cstheme="minorBidi"/>
                <w:lang w:val="af-ZA"/>
              </w:rPr>
              <w:t xml:space="preserve"> </w:t>
            </w:r>
            <w:r w:rsidRPr="0053423A">
              <w:rPr>
                <w:rFonts w:eastAsiaTheme="minorHAnsi" w:cstheme="minorBidi"/>
                <w:lang w:val="en-US"/>
              </w:rPr>
              <w:t>ջրի</w:t>
            </w:r>
            <w:r w:rsidRPr="0053423A">
              <w:rPr>
                <w:rFonts w:eastAsiaTheme="minorHAnsi" w:cstheme="minorBidi"/>
                <w:lang w:val="af-ZA"/>
              </w:rPr>
              <w:t xml:space="preserve"> </w:t>
            </w:r>
            <w:r w:rsidRPr="0053423A">
              <w:rPr>
                <w:rFonts w:eastAsiaTheme="minorHAnsi" w:cstheme="minorBidi"/>
                <w:lang w:val="en-US"/>
              </w:rPr>
              <w:t>ազգային</w:t>
            </w:r>
            <w:r w:rsidRPr="0053423A">
              <w:rPr>
                <w:rFonts w:eastAsiaTheme="minorHAnsi" w:cstheme="minorBidi"/>
                <w:lang w:val="af-ZA"/>
              </w:rPr>
              <w:t xml:space="preserve"> </w:t>
            </w:r>
            <w:r w:rsidRPr="0053423A">
              <w:rPr>
                <w:rFonts w:eastAsiaTheme="minorHAnsi" w:cstheme="minorBidi"/>
                <w:lang w:val="en-US"/>
              </w:rPr>
              <w:t>ծրագրի</w:t>
            </w:r>
            <w:r w:rsidRPr="0053423A">
              <w:rPr>
                <w:rFonts w:eastAsiaTheme="minorHAnsi" w:cstheme="minorBidi"/>
                <w:lang w:val="af-ZA"/>
              </w:rPr>
              <w:t xml:space="preserve"> </w:t>
            </w:r>
            <w:r w:rsidRPr="0053423A">
              <w:rPr>
                <w:rFonts w:eastAsiaTheme="minorHAnsi" w:cstheme="minorBidi"/>
                <w:lang w:val="en-US"/>
              </w:rPr>
              <w:t>մասին</w:t>
            </w:r>
            <w:r w:rsidRPr="0053423A">
              <w:rPr>
                <w:rFonts w:eastAsiaTheme="minorHAnsi" w:cstheme="minorBidi"/>
                <w:lang w:val="af-ZA"/>
              </w:rPr>
              <w:t xml:space="preserve">» </w:t>
            </w:r>
            <w:r w:rsidRPr="0053423A">
              <w:rPr>
                <w:rFonts w:eastAsiaTheme="minorHAnsi" w:cstheme="minorBidi"/>
                <w:lang w:val="en-US"/>
              </w:rPr>
              <w:t>ՀՀ</w:t>
            </w:r>
            <w:r w:rsidRPr="0053423A">
              <w:rPr>
                <w:rFonts w:eastAsiaTheme="minorHAnsi" w:cstheme="minorBidi"/>
                <w:lang w:val="af-ZA"/>
              </w:rPr>
              <w:t xml:space="preserve"> </w:t>
            </w:r>
            <w:r w:rsidRPr="0053423A">
              <w:rPr>
                <w:rFonts w:eastAsiaTheme="minorHAnsi" w:cstheme="minorBidi"/>
                <w:lang w:val="en-US"/>
              </w:rPr>
              <w:t>օրենք</w:t>
            </w:r>
            <w:r w:rsidRPr="0053423A">
              <w:rPr>
                <w:rFonts w:eastAsiaTheme="minorHAnsi" w:cstheme="minorBidi"/>
              </w:rPr>
              <w:t>ի</w:t>
            </w:r>
            <w:r w:rsidRPr="0053423A">
              <w:rPr>
                <w:rFonts w:eastAsiaTheme="minorHAnsi" w:cstheme="minorBidi"/>
                <w:lang w:val="af-ZA"/>
              </w:rPr>
              <w:t xml:space="preserve"> 2016-2017</w:t>
            </w:r>
            <w:r w:rsidRPr="0053423A">
              <w:rPr>
                <w:rFonts w:eastAsiaTheme="minorHAnsi" w:cstheme="minorBidi"/>
              </w:rPr>
              <w:t>թ</w:t>
            </w:r>
            <w:r w:rsidRPr="0053423A">
              <w:rPr>
                <w:rFonts w:eastAsiaTheme="minorHAnsi" w:cstheme="minorBidi"/>
                <w:lang w:val="af-ZA"/>
              </w:rPr>
              <w:t>.</w:t>
            </w:r>
            <w:r w:rsidRPr="0053423A">
              <w:rPr>
                <w:rFonts w:eastAsiaTheme="minorHAnsi" w:cstheme="minorBidi"/>
                <w:lang w:val="en-US"/>
              </w:rPr>
              <w:t>թ</w:t>
            </w:r>
            <w:r w:rsidRPr="0053423A">
              <w:rPr>
                <w:rFonts w:eastAsiaTheme="minorHAnsi" w:cstheme="minorBidi"/>
                <w:lang w:val="af-ZA"/>
              </w:rPr>
              <w:t xml:space="preserve">. </w:t>
            </w:r>
            <w:r w:rsidRPr="0053423A">
              <w:rPr>
                <w:rFonts w:eastAsiaTheme="minorHAnsi" w:cstheme="minorBidi"/>
                <w:lang w:val="en-US"/>
              </w:rPr>
              <w:t>ընթացքում</w:t>
            </w:r>
            <w:r w:rsidRPr="0053423A">
              <w:rPr>
                <w:rFonts w:eastAsiaTheme="minorHAnsi" w:cstheme="minorBidi"/>
                <w:lang w:val="af-ZA"/>
              </w:rPr>
              <w:t xml:space="preserve"> 6 </w:t>
            </w:r>
            <w:r w:rsidRPr="0053423A">
              <w:rPr>
                <w:rFonts w:eastAsiaTheme="minorHAnsi" w:cstheme="minorBidi"/>
                <w:lang w:val="en-US"/>
              </w:rPr>
              <w:t>ջրավազանային</w:t>
            </w:r>
            <w:r w:rsidRPr="0053423A">
              <w:rPr>
                <w:rFonts w:eastAsiaTheme="minorHAnsi" w:cstheme="minorBidi"/>
                <w:lang w:val="af-ZA"/>
              </w:rPr>
              <w:t xml:space="preserve"> </w:t>
            </w:r>
            <w:r w:rsidRPr="0053423A">
              <w:rPr>
                <w:rFonts w:eastAsiaTheme="minorHAnsi" w:cstheme="minorBidi"/>
                <w:lang w:val="en-US"/>
              </w:rPr>
              <w:t>կառավարման</w:t>
            </w:r>
            <w:r w:rsidRPr="0053423A">
              <w:rPr>
                <w:rFonts w:eastAsiaTheme="minorHAnsi" w:cstheme="minorBidi"/>
                <w:lang w:val="af-ZA"/>
              </w:rPr>
              <w:t xml:space="preserve"> </w:t>
            </w:r>
            <w:r w:rsidRPr="0053423A">
              <w:rPr>
                <w:rFonts w:eastAsiaTheme="minorHAnsi" w:cstheme="minorBidi"/>
                <w:lang w:val="en-US"/>
              </w:rPr>
              <w:t>պլաններից</w:t>
            </w:r>
            <w:r w:rsidRPr="0053423A">
              <w:rPr>
                <w:rFonts w:eastAsiaTheme="minorHAnsi" w:cstheme="minorBidi"/>
                <w:lang w:val="af-ZA"/>
              </w:rPr>
              <w:t xml:space="preserve"> </w:t>
            </w:r>
            <w:r w:rsidRPr="0053423A">
              <w:rPr>
                <w:rFonts w:eastAsiaTheme="minorHAnsi" w:cstheme="minorBidi"/>
              </w:rPr>
              <w:t>մշակվել</w:t>
            </w:r>
            <w:r w:rsidRPr="0053423A">
              <w:rPr>
                <w:rFonts w:eastAsiaTheme="minorHAnsi" w:cstheme="minorBidi"/>
                <w:lang w:val="af-ZA"/>
              </w:rPr>
              <w:t xml:space="preserve"> </w:t>
            </w:r>
            <w:r w:rsidRPr="0053423A">
              <w:rPr>
                <w:rFonts w:eastAsiaTheme="minorHAnsi" w:cstheme="minorBidi"/>
              </w:rPr>
              <w:t>և</w:t>
            </w:r>
            <w:r w:rsidRPr="0053423A">
              <w:rPr>
                <w:rFonts w:eastAsiaTheme="minorHAnsi" w:cstheme="minorBidi"/>
                <w:lang w:val="af-ZA"/>
              </w:rPr>
              <w:t xml:space="preserve"> </w:t>
            </w:r>
            <w:r w:rsidRPr="0053423A">
              <w:rPr>
                <w:rFonts w:eastAsiaTheme="minorHAnsi" w:cstheme="minorBidi"/>
              </w:rPr>
              <w:t>հաստատվել</w:t>
            </w:r>
            <w:r w:rsidRPr="0053423A">
              <w:rPr>
                <w:rFonts w:eastAsiaTheme="minorHAnsi" w:cstheme="minorBidi"/>
                <w:lang w:val="af-ZA"/>
              </w:rPr>
              <w:t xml:space="preserve"> </w:t>
            </w:r>
            <w:r w:rsidRPr="0053423A">
              <w:rPr>
                <w:rFonts w:eastAsiaTheme="minorHAnsi" w:cstheme="minorBidi"/>
                <w:lang w:val="en-US"/>
              </w:rPr>
              <w:t>է</w:t>
            </w:r>
            <w:r w:rsidRPr="0053423A">
              <w:rPr>
                <w:rFonts w:eastAsiaTheme="minorHAnsi" w:cstheme="minorBidi"/>
                <w:lang w:val="af-ZA"/>
              </w:rPr>
              <w:t xml:space="preserve"> 3-</w:t>
            </w:r>
            <w:r w:rsidRPr="0053423A">
              <w:rPr>
                <w:rFonts w:eastAsiaTheme="minorHAnsi" w:cstheme="minorBidi"/>
                <w:lang w:val="en-US"/>
              </w:rPr>
              <w:t>ը՝</w:t>
            </w:r>
            <w:r w:rsidRPr="0053423A">
              <w:rPr>
                <w:rFonts w:eastAsiaTheme="minorHAnsi" w:cstheme="minorBidi"/>
                <w:lang w:val="af-ZA"/>
              </w:rPr>
              <w:t xml:space="preserve"> </w:t>
            </w:r>
            <w:r w:rsidRPr="0053423A">
              <w:rPr>
                <w:rFonts w:eastAsiaTheme="minorHAnsi" w:cstheme="minorBidi"/>
                <w:lang w:val="en-US"/>
              </w:rPr>
              <w:t>Արարատյան</w:t>
            </w:r>
            <w:r w:rsidRPr="0053423A">
              <w:rPr>
                <w:rFonts w:eastAsiaTheme="minorHAnsi" w:cstheme="minorBidi"/>
                <w:lang w:val="af-ZA"/>
              </w:rPr>
              <w:t>,</w:t>
            </w:r>
            <w:r w:rsidRPr="0053423A">
              <w:rPr>
                <w:rFonts w:eastAsiaTheme="minorHAnsi" w:cstheme="minorBidi"/>
                <w:lang w:val="en-US"/>
              </w:rPr>
              <w:t>Հարավային</w:t>
            </w:r>
            <w:r w:rsidRPr="0053423A">
              <w:rPr>
                <w:rFonts w:eastAsiaTheme="minorHAnsi" w:cstheme="minorBidi"/>
                <w:lang w:val="af-ZA"/>
              </w:rPr>
              <w:t xml:space="preserve"> </w:t>
            </w:r>
            <w:r w:rsidRPr="0053423A">
              <w:rPr>
                <w:rFonts w:eastAsiaTheme="minorHAnsi" w:cstheme="minorBidi"/>
                <w:lang w:val="en-US"/>
              </w:rPr>
              <w:t>և</w:t>
            </w:r>
            <w:r w:rsidRPr="0053423A">
              <w:rPr>
                <w:rFonts w:eastAsiaTheme="minorHAnsi" w:cstheme="minorBidi"/>
                <w:lang w:val="af-ZA"/>
              </w:rPr>
              <w:t xml:space="preserve"> </w:t>
            </w:r>
            <w:r w:rsidRPr="0053423A">
              <w:rPr>
                <w:rFonts w:eastAsiaTheme="minorHAnsi" w:cstheme="minorBidi"/>
                <w:lang w:val="en-US"/>
              </w:rPr>
              <w:t>Ախուրյան</w:t>
            </w:r>
            <w:r w:rsidRPr="0053423A">
              <w:rPr>
                <w:rFonts w:eastAsiaTheme="minorHAnsi" w:cstheme="minorBidi"/>
                <w:lang w:val="af-ZA"/>
              </w:rPr>
              <w:t xml:space="preserve"> </w:t>
            </w:r>
            <w:r w:rsidRPr="0053423A">
              <w:rPr>
                <w:rFonts w:eastAsiaTheme="minorHAnsi" w:cstheme="minorBidi"/>
                <w:lang w:val="en-US"/>
              </w:rPr>
              <w:t>ջրավազանային</w:t>
            </w:r>
            <w:r w:rsidRPr="0053423A">
              <w:rPr>
                <w:rFonts w:eastAsiaTheme="minorHAnsi" w:cstheme="minorBidi"/>
                <w:lang w:val="af-ZA"/>
              </w:rPr>
              <w:t xml:space="preserve"> </w:t>
            </w:r>
            <w:r w:rsidRPr="0053423A">
              <w:rPr>
                <w:rFonts w:eastAsiaTheme="minorHAnsi" w:cstheme="minorBidi"/>
                <w:lang w:val="en-US"/>
              </w:rPr>
              <w:t>կառավարման</w:t>
            </w:r>
            <w:r w:rsidRPr="0053423A">
              <w:rPr>
                <w:rFonts w:eastAsiaTheme="minorHAnsi" w:cstheme="minorBidi"/>
                <w:lang w:val="af-ZA"/>
              </w:rPr>
              <w:t xml:space="preserve"> </w:t>
            </w:r>
            <w:r w:rsidRPr="0053423A">
              <w:rPr>
                <w:rFonts w:eastAsiaTheme="minorHAnsi" w:cstheme="minorBidi"/>
                <w:lang w:val="en-US"/>
              </w:rPr>
              <w:t>պլանները</w:t>
            </w:r>
            <w:r w:rsidRPr="0053423A">
              <w:rPr>
                <w:rFonts w:eastAsiaTheme="minorHAnsi" w:cstheme="minorBidi"/>
                <w:lang w:val="af-ZA"/>
              </w:rPr>
              <w:t xml:space="preserve">: </w:t>
            </w:r>
            <w:r w:rsidRPr="0053423A">
              <w:rPr>
                <w:rFonts w:eastAsiaTheme="minorHAnsi" w:cstheme="minorBidi"/>
                <w:lang w:val="en-US"/>
              </w:rPr>
              <w:t>Սևանի</w:t>
            </w:r>
            <w:r w:rsidRPr="0053423A">
              <w:rPr>
                <w:rFonts w:eastAsiaTheme="minorHAnsi" w:cstheme="minorBidi"/>
                <w:lang w:val="af-ZA"/>
              </w:rPr>
              <w:t xml:space="preserve"> </w:t>
            </w:r>
            <w:r w:rsidRPr="0053423A">
              <w:rPr>
                <w:rFonts w:eastAsiaTheme="minorHAnsi" w:cstheme="minorBidi"/>
                <w:lang w:val="en-US"/>
              </w:rPr>
              <w:t>և</w:t>
            </w:r>
            <w:r w:rsidRPr="0053423A">
              <w:rPr>
                <w:rFonts w:eastAsiaTheme="minorHAnsi" w:cstheme="minorBidi"/>
                <w:lang w:val="af-ZA"/>
              </w:rPr>
              <w:t xml:space="preserve"> </w:t>
            </w:r>
            <w:r w:rsidRPr="0053423A">
              <w:rPr>
                <w:rFonts w:eastAsiaTheme="minorHAnsi" w:cstheme="minorBidi"/>
                <w:lang w:val="en-US"/>
              </w:rPr>
              <w:t>Հրազդանի</w:t>
            </w:r>
            <w:r w:rsidRPr="0053423A">
              <w:rPr>
                <w:rFonts w:eastAsiaTheme="minorHAnsi" w:cstheme="minorBidi"/>
                <w:lang w:val="af-ZA"/>
              </w:rPr>
              <w:t xml:space="preserve"> </w:t>
            </w:r>
            <w:r w:rsidRPr="0053423A">
              <w:rPr>
                <w:rFonts w:eastAsiaTheme="minorHAnsi" w:cstheme="minorBidi"/>
                <w:lang w:val="en-US"/>
              </w:rPr>
              <w:t>ջրավազանային</w:t>
            </w:r>
            <w:r w:rsidRPr="0053423A">
              <w:rPr>
                <w:rFonts w:eastAsiaTheme="minorHAnsi" w:cstheme="minorBidi"/>
                <w:lang w:val="af-ZA"/>
              </w:rPr>
              <w:t xml:space="preserve"> </w:t>
            </w:r>
            <w:r w:rsidRPr="0053423A">
              <w:rPr>
                <w:rFonts w:eastAsiaTheme="minorHAnsi" w:cstheme="minorBidi"/>
                <w:lang w:val="en-US"/>
              </w:rPr>
              <w:t>տարածքների</w:t>
            </w:r>
            <w:r w:rsidRPr="0053423A">
              <w:rPr>
                <w:rFonts w:eastAsiaTheme="minorHAnsi" w:cstheme="minorBidi"/>
                <w:lang w:val="af-ZA"/>
              </w:rPr>
              <w:t xml:space="preserve"> </w:t>
            </w:r>
            <w:r w:rsidRPr="0053423A">
              <w:rPr>
                <w:rFonts w:eastAsiaTheme="minorHAnsi" w:cstheme="minorBidi"/>
                <w:lang w:val="en-US"/>
              </w:rPr>
              <w:t>կառավարման</w:t>
            </w:r>
            <w:r w:rsidRPr="0053423A">
              <w:rPr>
                <w:rFonts w:eastAsiaTheme="minorHAnsi" w:cstheme="minorBidi"/>
                <w:lang w:val="af-ZA"/>
              </w:rPr>
              <w:t xml:space="preserve"> </w:t>
            </w:r>
            <w:r w:rsidRPr="0053423A">
              <w:rPr>
                <w:rFonts w:eastAsiaTheme="minorHAnsi" w:cstheme="minorBidi"/>
                <w:lang w:val="en-US"/>
              </w:rPr>
              <w:t>պլանները</w:t>
            </w:r>
            <w:r w:rsidRPr="0053423A">
              <w:rPr>
                <w:rFonts w:eastAsiaTheme="minorHAnsi" w:cstheme="minorBidi"/>
                <w:lang w:val="af-ZA"/>
              </w:rPr>
              <w:t xml:space="preserve"> </w:t>
            </w:r>
            <w:r w:rsidRPr="0053423A">
              <w:rPr>
                <w:rFonts w:eastAsiaTheme="minorHAnsi" w:cstheme="minorBidi"/>
                <w:lang w:val="en-US"/>
              </w:rPr>
              <w:t>մշակման</w:t>
            </w:r>
            <w:r w:rsidRPr="0053423A">
              <w:rPr>
                <w:rFonts w:eastAsiaTheme="minorHAnsi" w:cstheme="minorBidi"/>
                <w:lang w:val="af-ZA"/>
              </w:rPr>
              <w:t xml:space="preserve"> </w:t>
            </w:r>
            <w:r w:rsidRPr="0053423A">
              <w:rPr>
                <w:rFonts w:eastAsiaTheme="minorHAnsi" w:cstheme="minorBidi"/>
                <w:lang w:val="en-US"/>
              </w:rPr>
              <w:t>ընթացքում</w:t>
            </w:r>
            <w:r w:rsidRPr="0053423A">
              <w:rPr>
                <w:rFonts w:eastAsiaTheme="minorHAnsi" w:cstheme="minorBidi"/>
                <w:lang w:val="af-ZA"/>
              </w:rPr>
              <w:t xml:space="preserve"> </w:t>
            </w:r>
            <w:r w:rsidRPr="0053423A">
              <w:rPr>
                <w:rFonts w:eastAsiaTheme="minorHAnsi" w:cstheme="minorBidi"/>
                <w:lang w:val="en-US"/>
              </w:rPr>
              <w:t>են</w:t>
            </w:r>
            <w:r w:rsidRPr="0053423A">
              <w:rPr>
                <w:rFonts w:eastAsiaTheme="minorHAnsi" w:cstheme="minorBidi"/>
                <w:lang w:val="af-ZA"/>
              </w:rPr>
              <w:t>:</w:t>
            </w:r>
          </w:p>
          <w:p w:rsidR="006B0618" w:rsidRPr="0053423A" w:rsidRDefault="006B0618" w:rsidP="00A67858">
            <w:pPr>
              <w:spacing w:line="276" w:lineRule="auto"/>
              <w:jc w:val="both"/>
              <w:rPr>
                <w:rFonts w:eastAsiaTheme="minorHAnsi" w:cstheme="minorBidi"/>
                <w:lang w:val="af-ZA"/>
              </w:rPr>
            </w:pPr>
            <w:r w:rsidRPr="0053423A">
              <w:rPr>
                <w:rFonts w:eastAsiaTheme="minorHAnsi" w:cstheme="minorBidi"/>
                <w:lang w:val="af-ZA"/>
              </w:rPr>
              <w:tab/>
            </w:r>
            <w:r w:rsidRPr="0053423A">
              <w:rPr>
                <w:rFonts w:eastAsiaTheme="minorHAnsi" w:cstheme="minorBidi"/>
                <w:lang w:val="en-US"/>
              </w:rPr>
              <w:t>Միջոցառման</w:t>
            </w:r>
            <w:r w:rsidRPr="0053423A">
              <w:rPr>
                <w:rFonts w:eastAsiaTheme="minorHAnsi" w:cstheme="minorBidi"/>
                <w:lang w:val="af-ZA"/>
              </w:rPr>
              <w:t xml:space="preserve"> </w:t>
            </w:r>
            <w:r w:rsidRPr="0053423A">
              <w:rPr>
                <w:rFonts w:eastAsiaTheme="minorHAnsi" w:cstheme="minorBidi"/>
                <w:lang w:val="en-US"/>
              </w:rPr>
              <w:t>իրականացման</w:t>
            </w:r>
            <w:r w:rsidRPr="0053423A">
              <w:rPr>
                <w:rFonts w:eastAsiaTheme="minorHAnsi" w:cstheme="minorBidi"/>
                <w:lang w:val="af-ZA"/>
              </w:rPr>
              <w:t xml:space="preserve"> </w:t>
            </w:r>
            <w:r w:rsidRPr="0053423A">
              <w:rPr>
                <w:rFonts w:eastAsiaTheme="minorHAnsi" w:cstheme="minorBidi"/>
                <w:lang w:val="en-US"/>
              </w:rPr>
              <w:t>ֆինանսավորման</w:t>
            </w:r>
            <w:r w:rsidRPr="0053423A">
              <w:rPr>
                <w:rFonts w:eastAsiaTheme="minorHAnsi" w:cstheme="minorBidi"/>
                <w:lang w:val="af-ZA"/>
              </w:rPr>
              <w:t xml:space="preserve"> </w:t>
            </w:r>
            <w:r w:rsidRPr="0053423A">
              <w:rPr>
                <w:rFonts w:eastAsiaTheme="minorHAnsi" w:cstheme="minorBidi"/>
                <w:lang w:val="en-US"/>
              </w:rPr>
              <w:t>աղբյուրը</w:t>
            </w:r>
            <w:r w:rsidRPr="0053423A">
              <w:rPr>
                <w:rFonts w:eastAsiaTheme="minorHAnsi" w:cstheme="minorBidi"/>
                <w:lang w:val="af-ZA"/>
              </w:rPr>
              <w:t xml:space="preserve"> «</w:t>
            </w:r>
            <w:r w:rsidRPr="0053423A">
              <w:rPr>
                <w:rFonts w:eastAsiaTheme="minorHAnsi" w:cstheme="minorBidi"/>
                <w:lang w:val="en-US"/>
              </w:rPr>
              <w:t>Արևելյան</w:t>
            </w:r>
            <w:r w:rsidRPr="0053423A">
              <w:rPr>
                <w:rFonts w:eastAsiaTheme="minorHAnsi" w:cstheme="minorBidi"/>
                <w:lang w:val="af-ZA"/>
              </w:rPr>
              <w:t xml:space="preserve"> </w:t>
            </w:r>
            <w:r w:rsidRPr="0053423A">
              <w:rPr>
                <w:rFonts w:eastAsiaTheme="minorHAnsi" w:cstheme="minorBidi"/>
                <w:lang w:val="en-US"/>
              </w:rPr>
              <w:t>համագործակցության</w:t>
            </w:r>
            <w:r w:rsidRPr="0053423A">
              <w:rPr>
                <w:rFonts w:eastAsiaTheme="minorHAnsi" w:cstheme="minorBidi"/>
                <w:lang w:val="af-ZA"/>
              </w:rPr>
              <w:t xml:space="preserve"> </w:t>
            </w:r>
            <w:r w:rsidRPr="0053423A">
              <w:rPr>
                <w:rFonts w:eastAsiaTheme="minorHAnsi" w:cstheme="minorBidi"/>
                <w:lang w:val="en-US"/>
              </w:rPr>
              <w:t>Եվրոպայի</w:t>
            </w:r>
            <w:r w:rsidRPr="0053423A">
              <w:rPr>
                <w:rFonts w:eastAsiaTheme="minorHAnsi" w:cstheme="minorBidi"/>
                <w:lang w:val="af-ZA"/>
              </w:rPr>
              <w:t xml:space="preserve"> </w:t>
            </w:r>
            <w:r w:rsidRPr="0053423A">
              <w:rPr>
                <w:rFonts w:eastAsiaTheme="minorHAnsi" w:cstheme="minorBidi"/>
                <w:lang w:val="en-US"/>
              </w:rPr>
              <w:t>ջրային</w:t>
            </w:r>
            <w:r w:rsidRPr="0053423A">
              <w:rPr>
                <w:rFonts w:eastAsiaTheme="minorHAnsi" w:cstheme="minorBidi"/>
                <w:lang w:val="af-ZA"/>
              </w:rPr>
              <w:t xml:space="preserve"> </w:t>
            </w:r>
            <w:r w:rsidRPr="0053423A">
              <w:rPr>
                <w:rFonts w:eastAsiaTheme="minorHAnsi" w:cstheme="minorBidi"/>
                <w:lang w:val="en-US"/>
              </w:rPr>
              <w:t>նախաձեռնություն</w:t>
            </w:r>
            <w:r w:rsidRPr="0053423A">
              <w:rPr>
                <w:rFonts w:eastAsiaTheme="minorHAnsi" w:cstheme="minorBidi"/>
                <w:lang w:val="af-ZA"/>
              </w:rPr>
              <w:t xml:space="preserve"> </w:t>
            </w:r>
            <w:r w:rsidRPr="0053423A">
              <w:rPr>
                <w:rFonts w:eastAsiaTheme="minorHAnsi" w:cstheme="minorBidi"/>
                <w:lang w:val="en-US"/>
              </w:rPr>
              <w:t>պլյուս</w:t>
            </w:r>
            <w:r w:rsidRPr="0053423A">
              <w:rPr>
                <w:rFonts w:eastAsiaTheme="minorHAnsi" w:cstheme="minorBidi"/>
                <w:lang w:val="af-ZA"/>
              </w:rPr>
              <w:t xml:space="preserve">» (EUWI+) </w:t>
            </w:r>
            <w:r w:rsidRPr="0053423A">
              <w:rPr>
                <w:rFonts w:eastAsiaTheme="minorHAnsi" w:cstheme="minorBidi"/>
                <w:lang w:val="en-US"/>
              </w:rPr>
              <w:t>ծրագիրն</w:t>
            </w:r>
            <w:r w:rsidRPr="0053423A">
              <w:rPr>
                <w:rFonts w:eastAsiaTheme="minorHAnsi" w:cstheme="minorBidi"/>
                <w:lang w:val="af-ZA"/>
              </w:rPr>
              <w:t xml:space="preserve"> </w:t>
            </w:r>
            <w:r w:rsidRPr="0053423A">
              <w:rPr>
                <w:rFonts w:eastAsiaTheme="minorHAnsi" w:cstheme="minorBidi"/>
                <w:lang w:val="en-US"/>
              </w:rPr>
              <w:t>է՝</w:t>
            </w:r>
            <w:r w:rsidRPr="0053423A">
              <w:rPr>
                <w:rFonts w:eastAsiaTheme="minorHAnsi" w:cstheme="minorBidi"/>
                <w:lang w:val="af-ZA"/>
              </w:rPr>
              <w:t xml:space="preserve"> </w:t>
            </w:r>
            <w:r w:rsidRPr="0053423A">
              <w:rPr>
                <w:rFonts w:eastAsiaTheme="minorHAnsi" w:cstheme="minorBidi"/>
                <w:lang w:val="en-US"/>
              </w:rPr>
              <w:t>կանխատեսվող</w:t>
            </w:r>
            <w:r w:rsidRPr="0053423A">
              <w:rPr>
                <w:rFonts w:eastAsiaTheme="minorHAnsi" w:cstheme="minorBidi"/>
                <w:lang w:val="af-ZA"/>
              </w:rPr>
              <w:t xml:space="preserve"> </w:t>
            </w:r>
            <w:r w:rsidRPr="0053423A">
              <w:rPr>
                <w:rFonts w:eastAsiaTheme="minorHAnsi" w:cstheme="minorBidi"/>
                <w:lang w:val="en-US"/>
              </w:rPr>
              <w:t>չափը</w:t>
            </w:r>
            <w:r w:rsidRPr="0053423A">
              <w:rPr>
                <w:rFonts w:eastAsiaTheme="minorHAnsi" w:cstheme="minorBidi"/>
                <w:lang w:val="af-ZA"/>
              </w:rPr>
              <w:t xml:space="preserve"> </w:t>
            </w:r>
            <w:r w:rsidRPr="0053423A">
              <w:rPr>
                <w:rFonts w:eastAsiaTheme="minorHAnsi" w:cstheme="minorBidi"/>
                <w:lang w:val="en-US"/>
              </w:rPr>
              <w:t>մոտ</w:t>
            </w:r>
            <w:r w:rsidRPr="0053423A">
              <w:rPr>
                <w:rFonts w:eastAsiaTheme="minorHAnsi" w:cstheme="minorBidi"/>
                <w:lang w:val="af-ZA"/>
              </w:rPr>
              <w:t xml:space="preserve"> 50. 000,0  </w:t>
            </w:r>
            <w:r w:rsidRPr="0053423A">
              <w:rPr>
                <w:rFonts w:eastAsiaTheme="minorHAnsi" w:cstheme="minorBidi"/>
                <w:lang w:val="en-US"/>
              </w:rPr>
              <w:t>հազ</w:t>
            </w:r>
            <w:r w:rsidRPr="0053423A">
              <w:rPr>
                <w:rFonts w:eastAsiaTheme="minorHAnsi" w:cstheme="minorBidi"/>
                <w:lang w:val="af-ZA"/>
              </w:rPr>
              <w:t xml:space="preserve">. </w:t>
            </w:r>
            <w:r w:rsidRPr="0053423A">
              <w:rPr>
                <w:rFonts w:eastAsiaTheme="minorHAnsi" w:cstheme="minorBidi"/>
                <w:lang w:val="en-US"/>
              </w:rPr>
              <w:t>դրամ</w:t>
            </w:r>
            <w:r w:rsidRPr="0053423A">
              <w:rPr>
                <w:rFonts w:eastAsiaTheme="minorHAnsi" w:cstheme="minorBidi"/>
                <w:lang w:val="af-ZA"/>
              </w:rPr>
              <w:t>:</w:t>
            </w:r>
          </w:p>
          <w:p w:rsidR="006B0618" w:rsidRPr="0053423A" w:rsidRDefault="006B0618" w:rsidP="00A67858">
            <w:pPr>
              <w:spacing w:line="276" w:lineRule="auto"/>
              <w:ind w:firstLine="643"/>
              <w:jc w:val="both"/>
              <w:rPr>
                <w:rFonts w:eastAsiaTheme="minorHAnsi" w:cstheme="minorBidi"/>
                <w:b/>
                <w:lang w:val="af-ZA"/>
              </w:rPr>
            </w:pPr>
            <w:r w:rsidRPr="0053423A">
              <w:rPr>
                <w:rFonts w:eastAsiaTheme="minorHAnsi" w:cstheme="minorBidi"/>
                <w:b/>
                <w:lang w:val="af-ZA"/>
              </w:rPr>
              <w:t>1.2</w:t>
            </w:r>
            <w:r w:rsidRPr="0053423A">
              <w:rPr>
                <w:rFonts w:eastAsiaTheme="minorHAnsi" w:cstheme="minorBidi"/>
                <w:b/>
                <w:lang w:val="hy-AM"/>
              </w:rPr>
              <w:t xml:space="preserve"> </w:t>
            </w:r>
            <w:r w:rsidRPr="0053423A">
              <w:rPr>
                <w:rFonts w:eastAsiaTheme="minorHAnsi" w:cstheme="minorBidi"/>
                <w:b/>
                <w:lang w:val="en-US"/>
              </w:rPr>
              <w:t>առկա</w:t>
            </w:r>
            <w:r w:rsidRPr="0053423A">
              <w:rPr>
                <w:rFonts w:eastAsiaTheme="minorHAnsi" w:cstheme="minorBidi"/>
                <w:b/>
                <w:lang w:val="af-ZA"/>
              </w:rPr>
              <w:t xml:space="preserve"> </w:t>
            </w:r>
            <w:r w:rsidRPr="0053423A">
              <w:rPr>
                <w:rFonts w:eastAsiaTheme="minorHAnsi" w:cstheme="minorBidi"/>
                <w:b/>
                <w:lang w:val="en-US"/>
              </w:rPr>
              <w:t>խնդիրների</w:t>
            </w:r>
            <w:r w:rsidRPr="0053423A">
              <w:rPr>
                <w:rFonts w:eastAsiaTheme="minorHAnsi" w:cstheme="minorBidi"/>
                <w:b/>
                <w:lang w:val="af-ZA"/>
              </w:rPr>
              <w:t xml:space="preserve"> </w:t>
            </w:r>
            <w:r w:rsidRPr="0053423A">
              <w:rPr>
                <w:rFonts w:eastAsiaTheme="minorHAnsi" w:cstheme="minorBidi"/>
                <w:b/>
                <w:lang w:val="en-US"/>
              </w:rPr>
              <w:t>առաջարկվող</w:t>
            </w:r>
            <w:r w:rsidRPr="0053423A">
              <w:rPr>
                <w:rFonts w:eastAsiaTheme="minorHAnsi" w:cstheme="minorBidi"/>
                <w:b/>
                <w:lang w:val="af-ZA"/>
              </w:rPr>
              <w:t xml:space="preserve"> </w:t>
            </w:r>
            <w:r w:rsidRPr="0053423A">
              <w:rPr>
                <w:rFonts w:eastAsiaTheme="minorHAnsi" w:cstheme="minorBidi"/>
                <w:b/>
                <w:lang w:val="en-US"/>
              </w:rPr>
              <w:t>լուծումները</w:t>
            </w:r>
          </w:p>
          <w:p w:rsidR="006B0618" w:rsidRPr="0053423A" w:rsidRDefault="006B0618" w:rsidP="00A67858">
            <w:pPr>
              <w:spacing w:line="276" w:lineRule="auto"/>
              <w:jc w:val="both"/>
              <w:rPr>
                <w:rFonts w:eastAsiaTheme="minorHAnsi" w:cstheme="minorBidi"/>
                <w:lang w:val="af-ZA"/>
              </w:rPr>
            </w:pPr>
            <w:r w:rsidRPr="0053423A">
              <w:rPr>
                <w:rFonts w:eastAsiaTheme="minorHAnsi" w:cstheme="minorBidi"/>
              </w:rPr>
              <w:t>Սևանի</w:t>
            </w:r>
            <w:r w:rsidRPr="0053423A">
              <w:rPr>
                <w:rFonts w:eastAsiaTheme="minorHAnsi" w:cstheme="minorBidi"/>
                <w:lang w:val="af-ZA"/>
              </w:rPr>
              <w:t xml:space="preserve"> </w:t>
            </w:r>
            <w:r w:rsidRPr="0053423A">
              <w:rPr>
                <w:rFonts w:eastAsiaTheme="minorHAnsi" w:cstheme="minorBidi"/>
              </w:rPr>
              <w:t>և</w:t>
            </w:r>
            <w:r w:rsidRPr="0053423A">
              <w:rPr>
                <w:rFonts w:eastAsiaTheme="minorHAnsi" w:cstheme="minorBidi"/>
                <w:lang w:val="af-ZA"/>
              </w:rPr>
              <w:t xml:space="preserve"> </w:t>
            </w:r>
            <w:r w:rsidRPr="0053423A">
              <w:rPr>
                <w:rFonts w:eastAsiaTheme="minorHAnsi" w:cstheme="minorBidi"/>
              </w:rPr>
              <w:t>Հրազդանի</w:t>
            </w:r>
            <w:r w:rsidRPr="0053423A">
              <w:rPr>
                <w:rFonts w:eastAsiaTheme="minorHAnsi" w:cstheme="minorBidi"/>
                <w:lang w:val="af-ZA"/>
              </w:rPr>
              <w:t xml:space="preserve"> </w:t>
            </w:r>
            <w:r w:rsidRPr="0053423A">
              <w:rPr>
                <w:rFonts w:eastAsiaTheme="minorHAnsi" w:cstheme="minorBidi"/>
              </w:rPr>
              <w:t>ջրավազանային</w:t>
            </w:r>
            <w:r w:rsidRPr="0053423A">
              <w:rPr>
                <w:rFonts w:eastAsiaTheme="minorHAnsi" w:cstheme="minorBidi"/>
                <w:lang w:val="af-ZA"/>
              </w:rPr>
              <w:t xml:space="preserve"> </w:t>
            </w:r>
            <w:r w:rsidRPr="0053423A">
              <w:rPr>
                <w:rFonts w:eastAsiaTheme="minorHAnsi" w:cstheme="minorBidi"/>
              </w:rPr>
              <w:t>տարածքների</w:t>
            </w:r>
            <w:r w:rsidRPr="0053423A">
              <w:rPr>
                <w:rFonts w:eastAsiaTheme="minorHAnsi" w:cstheme="minorBidi"/>
                <w:lang w:val="af-ZA"/>
              </w:rPr>
              <w:t xml:space="preserve"> </w:t>
            </w:r>
            <w:r w:rsidRPr="0053423A">
              <w:rPr>
                <w:rFonts w:eastAsiaTheme="minorHAnsi" w:cstheme="minorBidi"/>
              </w:rPr>
              <w:t>կառավարման</w:t>
            </w:r>
            <w:r w:rsidRPr="0053423A">
              <w:rPr>
                <w:rFonts w:eastAsiaTheme="minorHAnsi" w:cstheme="minorBidi"/>
                <w:lang w:val="af-ZA"/>
              </w:rPr>
              <w:t xml:space="preserve"> </w:t>
            </w:r>
            <w:r w:rsidRPr="0053423A">
              <w:rPr>
                <w:rFonts w:eastAsiaTheme="minorHAnsi" w:cstheme="minorBidi"/>
              </w:rPr>
              <w:t>պլաններ</w:t>
            </w:r>
            <w:r w:rsidRPr="0053423A">
              <w:rPr>
                <w:rFonts w:eastAsiaTheme="minorHAnsi" w:cstheme="minorBidi"/>
                <w:lang w:val="en-US"/>
              </w:rPr>
              <w:t>ի</w:t>
            </w:r>
            <w:r w:rsidRPr="0053423A">
              <w:rPr>
                <w:rFonts w:eastAsiaTheme="minorHAnsi" w:cstheme="minorBidi"/>
                <w:lang w:val="af-ZA"/>
              </w:rPr>
              <w:t xml:space="preserve"> </w:t>
            </w:r>
            <w:r w:rsidRPr="0053423A">
              <w:rPr>
                <w:rFonts w:eastAsiaTheme="minorHAnsi" w:cstheme="minorBidi"/>
              </w:rPr>
              <w:t>մշակում</w:t>
            </w:r>
            <w:r w:rsidRPr="0053423A">
              <w:rPr>
                <w:rFonts w:eastAsiaTheme="minorHAnsi" w:cstheme="minorBidi"/>
                <w:lang w:val="af-ZA"/>
              </w:rPr>
              <w:t xml:space="preserve"> </w:t>
            </w:r>
            <w:r w:rsidRPr="0053423A">
              <w:rPr>
                <w:rFonts w:eastAsiaTheme="minorHAnsi" w:cstheme="minorBidi"/>
              </w:rPr>
              <w:t>և</w:t>
            </w:r>
            <w:r w:rsidRPr="0053423A">
              <w:rPr>
                <w:rFonts w:eastAsiaTheme="minorHAnsi" w:cstheme="minorBidi"/>
                <w:lang w:val="af-ZA"/>
              </w:rPr>
              <w:t xml:space="preserve"> </w:t>
            </w:r>
            <w:r w:rsidRPr="0053423A">
              <w:rPr>
                <w:rFonts w:eastAsiaTheme="minorHAnsi" w:cstheme="minorBidi"/>
              </w:rPr>
              <w:t>հաստատում</w:t>
            </w:r>
            <w:r w:rsidRPr="0053423A">
              <w:rPr>
                <w:rFonts w:eastAsiaTheme="minorHAnsi" w:cstheme="minorBidi"/>
                <w:lang w:val="af-ZA"/>
              </w:rPr>
              <w:t>:</w:t>
            </w:r>
          </w:p>
          <w:p w:rsidR="006B0618" w:rsidRPr="0053423A" w:rsidRDefault="006B0618" w:rsidP="00A67858">
            <w:pPr>
              <w:spacing w:line="276" w:lineRule="auto"/>
              <w:jc w:val="both"/>
              <w:rPr>
                <w:rFonts w:eastAsiaTheme="minorHAnsi" w:cstheme="minorBidi"/>
                <w:lang w:val="af-ZA"/>
              </w:rPr>
            </w:pPr>
            <w:r w:rsidRPr="0053423A">
              <w:rPr>
                <w:rFonts w:eastAsiaTheme="minorHAnsi" w:cstheme="minorBidi"/>
              </w:rPr>
              <w:t>Սևանի</w:t>
            </w:r>
            <w:r w:rsidRPr="0053423A">
              <w:rPr>
                <w:rFonts w:eastAsiaTheme="minorHAnsi" w:cstheme="minorBidi"/>
                <w:lang w:val="af-ZA"/>
              </w:rPr>
              <w:t xml:space="preserve"> </w:t>
            </w:r>
            <w:r w:rsidRPr="0053423A">
              <w:rPr>
                <w:rFonts w:eastAsiaTheme="minorHAnsi" w:cstheme="minorBidi"/>
              </w:rPr>
              <w:t>և</w:t>
            </w:r>
            <w:r w:rsidRPr="0053423A">
              <w:rPr>
                <w:rFonts w:eastAsiaTheme="minorHAnsi" w:cstheme="minorBidi"/>
                <w:lang w:val="af-ZA"/>
              </w:rPr>
              <w:t xml:space="preserve"> </w:t>
            </w:r>
            <w:r w:rsidRPr="0053423A">
              <w:rPr>
                <w:rFonts w:eastAsiaTheme="minorHAnsi" w:cstheme="minorBidi"/>
              </w:rPr>
              <w:t>Հրազդանի</w:t>
            </w:r>
            <w:r w:rsidRPr="0053423A">
              <w:rPr>
                <w:rFonts w:eastAsiaTheme="minorHAnsi" w:cstheme="minorBidi"/>
                <w:lang w:val="af-ZA"/>
              </w:rPr>
              <w:t xml:space="preserve"> </w:t>
            </w:r>
            <w:r w:rsidRPr="0053423A">
              <w:rPr>
                <w:rFonts w:eastAsiaTheme="minorHAnsi" w:cstheme="minorBidi"/>
              </w:rPr>
              <w:t>ջրավազանային</w:t>
            </w:r>
            <w:r w:rsidRPr="0053423A">
              <w:rPr>
                <w:rFonts w:eastAsiaTheme="minorHAnsi" w:cstheme="minorBidi"/>
                <w:lang w:val="af-ZA"/>
              </w:rPr>
              <w:t xml:space="preserve"> </w:t>
            </w:r>
            <w:r w:rsidRPr="0053423A">
              <w:rPr>
                <w:rFonts w:eastAsiaTheme="minorHAnsi" w:cstheme="minorBidi"/>
              </w:rPr>
              <w:t>տարածքների</w:t>
            </w:r>
            <w:r w:rsidRPr="0053423A">
              <w:rPr>
                <w:rFonts w:eastAsiaTheme="minorHAnsi" w:cstheme="minorBidi"/>
                <w:lang w:val="af-ZA"/>
              </w:rPr>
              <w:t xml:space="preserve"> </w:t>
            </w:r>
            <w:r w:rsidRPr="0053423A">
              <w:rPr>
                <w:rFonts w:eastAsiaTheme="minorHAnsi" w:cstheme="minorBidi"/>
              </w:rPr>
              <w:t>կառավարման</w:t>
            </w:r>
            <w:r w:rsidRPr="0053423A">
              <w:rPr>
                <w:rFonts w:eastAsiaTheme="minorHAnsi" w:cstheme="minorBidi"/>
                <w:lang w:val="af-ZA"/>
              </w:rPr>
              <w:t xml:space="preserve"> </w:t>
            </w:r>
            <w:r w:rsidRPr="0053423A">
              <w:rPr>
                <w:rFonts w:eastAsiaTheme="minorHAnsi" w:cstheme="minorBidi"/>
              </w:rPr>
              <w:t>պլանների</w:t>
            </w:r>
            <w:r w:rsidRPr="0053423A">
              <w:rPr>
                <w:rFonts w:eastAsiaTheme="minorHAnsi" w:cstheme="minorBidi"/>
                <w:lang w:val="af-ZA"/>
              </w:rPr>
              <w:t xml:space="preserve">  </w:t>
            </w:r>
            <w:r w:rsidRPr="0053423A">
              <w:rPr>
                <w:rFonts w:eastAsiaTheme="minorHAnsi" w:cstheme="minorBidi"/>
              </w:rPr>
              <w:t>մշակման</w:t>
            </w:r>
            <w:r w:rsidRPr="0053423A">
              <w:rPr>
                <w:rFonts w:eastAsiaTheme="minorHAnsi" w:cstheme="minorBidi"/>
                <w:lang w:val="af-ZA"/>
              </w:rPr>
              <w:t xml:space="preserve"> </w:t>
            </w:r>
            <w:r w:rsidRPr="0053423A">
              <w:rPr>
                <w:rFonts w:eastAsiaTheme="minorHAnsi" w:cstheme="minorBidi"/>
              </w:rPr>
              <w:t>ընթացքում</w:t>
            </w:r>
            <w:r w:rsidRPr="0053423A">
              <w:rPr>
                <w:rFonts w:eastAsiaTheme="minorHAnsi" w:cstheme="minorBidi"/>
                <w:lang w:val="af-ZA"/>
              </w:rPr>
              <w:t xml:space="preserve"> </w:t>
            </w:r>
            <w:r w:rsidRPr="0053423A">
              <w:rPr>
                <w:rFonts w:eastAsiaTheme="minorHAnsi" w:cstheme="minorBidi"/>
              </w:rPr>
              <w:t>համակատարող՝</w:t>
            </w:r>
            <w:r w:rsidRPr="0053423A">
              <w:rPr>
                <w:rFonts w:eastAsiaTheme="minorHAnsi" w:cstheme="minorBidi"/>
                <w:lang w:val="af-ZA"/>
              </w:rPr>
              <w:t xml:space="preserve"> </w:t>
            </w:r>
            <w:r w:rsidRPr="0053423A">
              <w:rPr>
                <w:rFonts w:eastAsiaTheme="minorHAnsi" w:cstheme="minorBidi"/>
              </w:rPr>
              <w:t>Էներգետիկ</w:t>
            </w:r>
            <w:r w:rsidRPr="0053423A">
              <w:rPr>
                <w:rFonts w:eastAsiaTheme="minorHAnsi" w:cstheme="minorBidi"/>
                <w:lang w:val="af-ZA"/>
              </w:rPr>
              <w:t xml:space="preserve"> </w:t>
            </w:r>
            <w:r w:rsidRPr="0053423A">
              <w:rPr>
                <w:rFonts w:eastAsiaTheme="minorHAnsi" w:cstheme="minorBidi"/>
              </w:rPr>
              <w:t>ենթակառուցվածքների</w:t>
            </w:r>
            <w:r w:rsidRPr="0053423A">
              <w:rPr>
                <w:rFonts w:eastAsiaTheme="minorHAnsi" w:cstheme="minorBidi"/>
                <w:lang w:val="af-ZA"/>
              </w:rPr>
              <w:t xml:space="preserve"> </w:t>
            </w:r>
            <w:r w:rsidRPr="0053423A">
              <w:rPr>
                <w:rFonts w:eastAsiaTheme="minorHAnsi" w:cstheme="minorBidi"/>
              </w:rPr>
              <w:t>և</w:t>
            </w:r>
            <w:r w:rsidRPr="0053423A">
              <w:rPr>
                <w:rFonts w:eastAsiaTheme="minorHAnsi" w:cstheme="minorBidi"/>
                <w:lang w:val="af-ZA"/>
              </w:rPr>
              <w:t xml:space="preserve"> </w:t>
            </w:r>
            <w:r w:rsidRPr="0053423A">
              <w:rPr>
                <w:rFonts w:eastAsiaTheme="minorHAnsi" w:cstheme="minorBidi"/>
              </w:rPr>
              <w:t>բնական</w:t>
            </w:r>
            <w:r w:rsidRPr="0053423A">
              <w:rPr>
                <w:rFonts w:eastAsiaTheme="minorHAnsi" w:cstheme="minorBidi"/>
                <w:lang w:val="af-ZA"/>
              </w:rPr>
              <w:t xml:space="preserve"> </w:t>
            </w:r>
            <w:r w:rsidRPr="0053423A">
              <w:rPr>
                <w:rFonts w:eastAsiaTheme="minorHAnsi" w:cstheme="minorBidi"/>
              </w:rPr>
              <w:t>պաշարների</w:t>
            </w:r>
            <w:r w:rsidRPr="0053423A">
              <w:rPr>
                <w:rFonts w:eastAsiaTheme="minorHAnsi" w:cstheme="minorBidi"/>
                <w:lang w:val="af-ZA"/>
              </w:rPr>
              <w:t xml:space="preserve">, </w:t>
            </w:r>
            <w:r w:rsidRPr="0053423A">
              <w:rPr>
                <w:rFonts w:eastAsiaTheme="minorHAnsi" w:cstheme="minorBidi"/>
              </w:rPr>
              <w:t>գյուղատնտեսության</w:t>
            </w:r>
            <w:r w:rsidRPr="0053423A">
              <w:rPr>
                <w:rFonts w:eastAsiaTheme="minorHAnsi" w:cstheme="minorBidi"/>
                <w:lang w:val="af-ZA"/>
              </w:rPr>
              <w:t xml:space="preserve">, </w:t>
            </w:r>
            <w:r w:rsidRPr="0053423A">
              <w:rPr>
                <w:rFonts w:eastAsiaTheme="minorHAnsi" w:cstheme="minorBidi"/>
              </w:rPr>
              <w:t>արտակարգ</w:t>
            </w:r>
            <w:r w:rsidRPr="0053423A">
              <w:rPr>
                <w:rFonts w:eastAsiaTheme="minorHAnsi" w:cstheme="minorBidi"/>
                <w:lang w:val="af-ZA"/>
              </w:rPr>
              <w:t xml:space="preserve"> </w:t>
            </w:r>
            <w:r w:rsidRPr="0053423A">
              <w:rPr>
                <w:rFonts w:eastAsiaTheme="minorHAnsi" w:cstheme="minorBidi"/>
              </w:rPr>
              <w:t>իրավիճակների</w:t>
            </w:r>
            <w:r w:rsidRPr="0053423A">
              <w:rPr>
                <w:rFonts w:eastAsiaTheme="minorHAnsi" w:cstheme="minorBidi"/>
                <w:lang w:val="af-ZA"/>
              </w:rPr>
              <w:t xml:space="preserve">, </w:t>
            </w:r>
            <w:r w:rsidRPr="0053423A">
              <w:rPr>
                <w:rFonts w:eastAsiaTheme="minorHAnsi" w:cstheme="minorBidi"/>
              </w:rPr>
              <w:t>տարածքային</w:t>
            </w:r>
            <w:r w:rsidRPr="0053423A">
              <w:rPr>
                <w:rFonts w:eastAsiaTheme="minorHAnsi" w:cstheme="minorBidi"/>
                <w:lang w:val="af-ZA"/>
              </w:rPr>
              <w:t xml:space="preserve"> </w:t>
            </w:r>
            <w:r w:rsidRPr="0053423A">
              <w:rPr>
                <w:rFonts w:eastAsiaTheme="minorHAnsi" w:cstheme="minorBidi"/>
              </w:rPr>
              <w:t>կառավարման</w:t>
            </w:r>
            <w:r w:rsidRPr="0053423A">
              <w:rPr>
                <w:rFonts w:eastAsiaTheme="minorHAnsi" w:cstheme="minorBidi"/>
                <w:lang w:val="af-ZA"/>
              </w:rPr>
              <w:t xml:space="preserve"> </w:t>
            </w:r>
            <w:r w:rsidRPr="0053423A">
              <w:rPr>
                <w:rFonts w:eastAsiaTheme="minorHAnsi" w:cstheme="minorBidi"/>
              </w:rPr>
              <w:t>և</w:t>
            </w:r>
            <w:r w:rsidRPr="0053423A">
              <w:rPr>
                <w:rFonts w:eastAsiaTheme="minorHAnsi" w:cstheme="minorBidi"/>
                <w:lang w:val="af-ZA"/>
              </w:rPr>
              <w:t xml:space="preserve"> </w:t>
            </w:r>
            <w:r w:rsidRPr="0053423A">
              <w:rPr>
                <w:rFonts w:eastAsiaTheme="minorHAnsi" w:cstheme="minorBidi"/>
              </w:rPr>
              <w:t>զարգացման</w:t>
            </w:r>
            <w:r w:rsidRPr="0053423A">
              <w:rPr>
                <w:rFonts w:eastAsiaTheme="minorHAnsi" w:cstheme="minorBidi"/>
                <w:lang w:val="af-ZA"/>
              </w:rPr>
              <w:t xml:space="preserve">, </w:t>
            </w:r>
            <w:r w:rsidRPr="0053423A">
              <w:rPr>
                <w:rFonts w:eastAsiaTheme="minorHAnsi" w:cstheme="minorBidi"/>
              </w:rPr>
              <w:t>առողջապահության</w:t>
            </w:r>
            <w:r w:rsidRPr="0053423A">
              <w:rPr>
                <w:rFonts w:eastAsiaTheme="minorHAnsi" w:cstheme="minorBidi"/>
                <w:lang w:val="af-ZA"/>
              </w:rPr>
              <w:t xml:space="preserve">, </w:t>
            </w:r>
            <w:r w:rsidRPr="0053423A">
              <w:rPr>
                <w:rFonts w:eastAsiaTheme="minorHAnsi" w:cstheme="minorBidi"/>
              </w:rPr>
              <w:t>ֆինանսների</w:t>
            </w:r>
            <w:r w:rsidRPr="0053423A">
              <w:rPr>
                <w:rFonts w:eastAsiaTheme="minorHAnsi" w:cstheme="minorBidi"/>
                <w:lang w:val="af-ZA"/>
              </w:rPr>
              <w:t xml:space="preserve">, </w:t>
            </w:r>
            <w:r w:rsidRPr="0053423A">
              <w:rPr>
                <w:rFonts w:eastAsiaTheme="minorHAnsi" w:cstheme="minorBidi"/>
              </w:rPr>
              <w:t>տնտեսական</w:t>
            </w:r>
            <w:r w:rsidRPr="0053423A">
              <w:rPr>
                <w:rFonts w:eastAsiaTheme="minorHAnsi" w:cstheme="minorBidi"/>
                <w:lang w:val="af-ZA"/>
              </w:rPr>
              <w:t xml:space="preserve"> </w:t>
            </w:r>
            <w:r w:rsidRPr="0053423A">
              <w:rPr>
                <w:rFonts w:eastAsiaTheme="minorHAnsi" w:cstheme="minorBidi"/>
              </w:rPr>
              <w:t>զարգացման</w:t>
            </w:r>
            <w:r w:rsidRPr="0053423A">
              <w:rPr>
                <w:rFonts w:eastAsiaTheme="minorHAnsi" w:cstheme="minorBidi"/>
                <w:lang w:val="af-ZA"/>
              </w:rPr>
              <w:t xml:space="preserve"> </w:t>
            </w:r>
            <w:r w:rsidRPr="0053423A">
              <w:rPr>
                <w:rFonts w:eastAsiaTheme="minorHAnsi" w:cstheme="minorBidi"/>
              </w:rPr>
              <w:t>և</w:t>
            </w:r>
            <w:r w:rsidRPr="0053423A">
              <w:rPr>
                <w:rFonts w:eastAsiaTheme="minorHAnsi" w:cstheme="minorBidi"/>
                <w:lang w:val="af-ZA"/>
              </w:rPr>
              <w:t xml:space="preserve"> </w:t>
            </w:r>
            <w:r w:rsidRPr="0053423A">
              <w:rPr>
                <w:rFonts w:eastAsiaTheme="minorHAnsi" w:cstheme="minorBidi"/>
              </w:rPr>
              <w:t>ներդրումների</w:t>
            </w:r>
            <w:r w:rsidRPr="0053423A">
              <w:rPr>
                <w:rFonts w:eastAsiaTheme="minorHAnsi" w:cstheme="minorBidi"/>
                <w:lang w:val="af-ZA"/>
              </w:rPr>
              <w:t xml:space="preserve"> </w:t>
            </w:r>
            <w:r w:rsidRPr="0053423A">
              <w:rPr>
                <w:rFonts w:eastAsiaTheme="minorHAnsi" w:cstheme="minorBidi"/>
              </w:rPr>
              <w:t>նախարարությունները</w:t>
            </w:r>
            <w:r w:rsidRPr="0053423A">
              <w:rPr>
                <w:rFonts w:eastAsiaTheme="minorHAnsi" w:cstheme="minorBidi"/>
                <w:lang w:val="af-ZA"/>
              </w:rPr>
              <w:t xml:space="preserve"> </w:t>
            </w:r>
            <w:r w:rsidRPr="0053423A">
              <w:rPr>
                <w:rFonts w:eastAsiaTheme="minorHAnsi" w:cstheme="minorBidi"/>
              </w:rPr>
              <w:t>յուրաքանչյուրը</w:t>
            </w:r>
            <w:r w:rsidRPr="0053423A">
              <w:rPr>
                <w:rFonts w:eastAsiaTheme="minorHAnsi" w:cstheme="minorBidi"/>
                <w:lang w:val="af-ZA"/>
              </w:rPr>
              <w:t xml:space="preserve">  </w:t>
            </w:r>
            <w:r w:rsidRPr="0053423A">
              <w:rPr>
                <w:rFonts w:eastAsiaTheme="minorHAnsi" w:cstheme="minorBidi"/>
              </w:rPr>
              <w:t>իր</w:t>
            </w:r>
            <w:r w:rsidRPr="0053423A">
              <w:rPr>
                <w:rFonts w:eastAsiaTheme="minorHAnsi" w:cstheme="minorBidi"/>
                <w:lang w:val="af-ZA"/>
              </w:rPr>
              <w:t xml:space="preserve"> </w:t>
            </w:r>
            <w:r w:rsidRPr="0053423A">
              <w:rPr>
                <w:rFonts w:eastAsiaTheme="minorHAnsi" w:cstheme="minorBidi"/>
              </w:rPr>
              <w:t>իրավասությունների</w:t>
            </w:r>
            <w:r w:rsidRPr="0053423A">
              <w:rPr>
                <w:rFonts w:eastAsiaTheme="minorHAnsi" w:cstheme="minorBidi"/>
                <w:lang w:val="af-ZA"/>
              </w:rPr>
              <w:t xml:space="preserve"> </w:t>
            </w:r>
            <w:r w:rsidRPr="0053423A">
              <w:rPr>
                <w:rFonts w:eastAsiaTheme="minorHAnsi" w:cstheme="minorBidi"/>
              </w:rPr>
              <w:t>սահմանմաններում</w:t>
            </w:r>
            <w:r w:rsidRPr="0053423A">
              <w:rPr>
                <w:rFonts w:eastAsiaTheme="minorHAnsi" w:cstheme="minorBidi"/>
                <w:lang w:val="af-ZA"/>
              </w:rPr>
              <w:t xml:space="preserve"> </w:t>
            </w:r>
            <w:r w:rsidRPr="0053423A">
              <w:rPr>
                <w:rFonts w:eastAsiaTheme="minorHAnsi" w:cstheme="minorBidi"/>
              </w:rPr>
              <w:t>տրամադրում</w:t>
            </w:r>
            <w:r w:rsidRPr="0053423A">
              <w:rPr>
                <w:rFonts w:eastAsiaTheme="minorHAnsi" w:cstheme="minorBidi"/>
                <w:lang w:val="af-ZA"/>
              </w:rPr>
              <w:t xml:space="preserve"> </w:t>
            </w:r>
            <w:r w:rsidRPr="0053423A">
              <w:rPr>
                <w:rFonts w:eastAsiaTheme="minorHAnsi" w:cstheme="minorBidi"/>
              </w:rPr>
              <w:t>է</w:t>
            </w:r>
            <w:r w:rsidRPr="0053423A">
              <w:rPr>
                <w:rFonts w:eastAsiaTheme="minorHAnsi" w:cstheme="minorBidi"/>
                <w:lang w:val="af-ZA"/>
              </w:rPr>
              <w:t xml:space="preserve"> </w:t>
            </w:r>
            <w:r w:rsidRPr="0053423A">
              <w:rPr>
                <w:rFonts w:eastAsiaTheme="minorHAnsi" w:cstheme="minorBidi"/>
              </w:rPr>
              <w:t>պլանի</w:t>
            </w:r>
            <w:r w:rsidRPr="0053423A">
              <w:rPr>
                <w:rFonts w:eastAsiaTheme="minorHAnsi" w:cstheme="minorBidi"/>
                <w:lang w:val="af-ZA"/>
              </w:rPr>
              <w:t xml:space="preserve"> </w:t>
            </w:r>
            <w:r w:rsidRPr="0053423A">
              <w:rPr>
                <w:rFonts w:eastAsiaTheme="minorHAnsi" w:cstheme="minorBidi"/>
              </w:rPr>
              <w:t>նախագծի</w:t>
            </w:r>
            <w:r w:rsidRPr="0053423A">
              <w:rPr>
                <w:rFonts w:eastAsiaTheme="minorHAnsi" w:cstheme="minorBidi"/>
                <w:lang w:val="af-ZA"/>
              </w:rPr>
              <w:t xml:space="preserve"> </w:t>
            </w:r>
            <w:r w:rsidRPr="0053423A">
              <w:rPr>
                <w:rFonts w:eastAsiaTheme="minorHAnsi" w:cstheme="minorBidi"/>
              </w:rPr>
              <w:t>մշակման</w:t>
            </w:r>
            <w:r w:rsidRPr="0053423A">
              <w:rPr>
                <w:rFonts w:eastAsiaTheme="minorHAnsi" w:cstheme="minorBidi"/>
                <w:lang w:val="af-ZA"/>
              </w:rPr>
              <w:t xml:space="preserve"> </w:t>
            </w:r>
            <w:r w:rsidRPr="0053423A">
              <w:rPr>
                <w:rFonts w:eastAsiaTheme="minorHAnsi" w:cstheme="minorBidi"/>
              </w:rPr>
              <w:t>համար</w:t>
            </w:r>
            <w:r w:rsidRPr="0053423A">
              <w:rPr>
                <w:rFonts w:eastAsiaTheme="minorHAnsi" w:cstheme="minorBidi"/>
                <w:lang w:val="af-ZA"/>
              </w:rPr>
              <w:t xml:space="preserve"> </w:t>
            </w:r>
            <w:r w:rsidRPr="0053423A">
              <w:rPr>
                <w:rFonts w:eastAsiaTheme="minorHAnsi" w:cstheme="minorBidi"/>
              </w:rPr>
              <w:t>անհրաժեշտ</w:t>
            </w:r>
            <w:r w:rsidRPr="0053423A">
              <w:rPr>
                <w:rFonts w:eastAsiaTheme="minorHAnsi" w:cstheme="minorBidi"/>
                <w:lang w:val="af-ZA"/>
              </w:rPr>
              <w:t xml:space="preserve"> </w:t>
            </w:r>
            <w:r w:rsidRPr="0053423A">
              <w:rPr>
                <w:rFonts w:eastAsiaTheme="minorHAnsi" w:cstheme="minorBidi"/>
              </w:rPr>
              <w:t>տվյալներ</w:t>
            </w:r>
            <w:r w:rsidRPr="0053423A">
              <w:rPr>
                <w:rFonts w:eastAsiaTheme="minorHAnsi" w:cstheme="minorBidi"/>
                <w:lang w:val="af-ZA"/>
              </w:rPr>
              <w:t xml:space="preserve">: </w:t>
            </w:r>
            <w:r w:rsidRPr="0053423A">
              <w:rPr>
                <w:rFonts w:eastAsiaTheme="minorHAnsi" w:cstheme="minorBidi"/>
              </w:rPr>
              <w:t>Մասնակցում</w:t>
            </w:r>
            <w:r w:rsidRPr="0053423A">
              <w:rPr>
                <w:rFonts w:eastAsiaTheme="minorHAnsi" w:cstheme="minorBidi"/>
                <w:lang w:val="af-ZA"/>
              </w:rPr>
              <w:t xml:space="preserve">  </w:t>
            </w:r>
            <w:r w:rsidRPr="0053423A">
              <w:rPr>
                <w:rFonts w:eastAsiaTheme="minorHAnsi" w:cstheme="minorBidi"/>
              </w:rPr>
              <w:t>են</w:t>
            </w:r>
            <w:r w:rsidRPr="0053423A">
              <w:rPr>
                <w:rFonts w:eastAsiaTheme="minorHAnsi" w:cstheme="minorBidi"/>
                <w:lang w:val="af-ZA"/>
              </w:rPr>
              <w:t xml:space="preserve"> </w:t>
            </w:r>
            <w:r w:rsidRPr="0053423A">
              <w:rPr>
                <w:rFonts w:eastAsiaTheme="minorHAnsi" w:cstheme="minorBidi"/>
              </w:rPr>
              <w:t>նախագծի</w:t>
            </w:r>
            <w:r w:rsidRPr="0053423A">
              <w:rPr>
                <w:rFonts w:eastAsiaTheme="minorHAnsi" w:cstheme="minorBidi"/>
                <w:lang w:val="af-ZA"/>
              </w:rPr>
              <w:t xml:space="preserve"> </w:t>
            </w:r>
            <w:r w:rsidRPr="0053423A">
              <w:rPr>
                <w:rFonts w:eastAsiaTheme="minorHAnsi" w:cstheme="minorBidi"/>
              </w:rPr>
              <w:t>մշակման</w:t>
            </w:r>
            <w:r w:rsidRPr="0053423A">
              <w:rPr>
                <w:rFonts w:eastAsiaTheme="minorHAnsi" w:cstheme="minorBidi"/>
                <w:lang w:val="af-ZA"/>
              </w:rPr>
              <w:t xml:space="preserve"> </w:t>
            </w:r>
            <w:r w:rsidRPr="0053423A">
              <w:rPr>
                <w:rFonts w:eastAsiaTheme="minorHAnsi" w:cstheme="minorBidi"/>
              </w:rPr>
              <w:t>ընթացքում</w:t>
            </w:r>
            <w:r w:rsidRPr="0053423A">
              <w:rPr>
                <w:rFonts w:eastAsiaTheme="minorHAnsi" w:cstheme="minorBidi"/>
                <w:lang w:val="af-ZA"/>
              </w:rPr>
              <w:t xml:space="preserve"> </w:t>
            </w:r>
            <w:r w:rsidRPr="0053423A">
              <w:rPr>
                <w:rFonts w:eastAsiaTheme="minorHAnsi" w:cstheme="minorBidi"/>
              </w:rPr>
              <w:t>կազմակերպվող</w:t>
            </w:r>
            <w:r w:rsidRPr="0053423A">
              <w:rPr>
                <w:rFonts w:eastAsiaTheme="minorHAnsi" w:cstheme="minorBidi"/>
                <w:lang w:val="af-ZA"/>
              </w:rPr>
              <w:t xml:space="preserve"> </w:t>
            </w:r>
            <w:r w:rsidRPr="0053423A">
              <w:rPr>
                <w:rFonts w:eastAsiaTheme="minorHAnsi" w:cstheme="minorBidi"/>
              </w:rPr>
              <w:t>քննարկումներին</w:t>
            </w:r>
            <w:r w:rsidRPr="0053423A">
              <w:rPr>
                <w:rFonts w:eastAsiaTheme="minorHAnsi" w:cstheme="minorBidi"/>
                <w:lang w:val="af-ZA"/>
              </w:rPr>
              <w:t xml:space="preserve">, </w:t>
            </w:r>
            <w:r w:rsidRPr="0053423A">
              <w:rPr>
                <w:rFonts w:eastAsiaTheme="minorHAnsi" w:cstheme="minorBidi"/>
              </w:rPr>
              <w:t>լսումներին</w:t>
            </w:r>
            <w:r w:rsidRPr="0053423A">
              <w:rPr>
                <w:rFonts w:eastAsiaTheme="minorHAnsi" w:cstheme="minorBidi"/>
                <w:lang w:val="af-ZA"/>
              </w:rPr>
              <w:t xml:space="preserve"> </w:t>
            </w:r>
            <w:r w:rsidRPr="0053423A">
              <w:rPr>
                <w:rFonts w:eastAsiaTheme="minorHAnsi" w:cstheme="minorBidi"/>
              </w:rPr>
              <w:t>և</w:t>
            </w:r>
            <w:r w:rsidRPr="0053423A">
              <w:rPr>
                <w:rFonts w:eastAsiaTheme="minorHAnsi" w:cstheme="minorBidi"/>
                <w:lang w:val="af-ZA"/>
              </w:rPr>
              <w:t xml:space="preserve"> </w:t>
            </w:r>
            <w:r w:rsidRPr="0053423A">
              <w:rPr>
                <w:rFonts w:eastAsiaTheme="minorHAnsi" w:cstheme="minorBidi"/>
              </w:rPr>
              <w:t>տալիս</w:t>
            </w:r>
            <w:r w:rsidRPr="0053423A">
              <w:rPr>
                <w:rFonts w:eastAsiaTheme="minorHAnsi" w:cstheme="minorBidi"/>
                <w:lang w:val="af-ZA"/>
              </w:rPr>
              <w:t xml:space="preserve"> </w:t>
            </w:r>
            <w:r w:rsidRPr="0053423A">
              <w:rPr>
                <w:rFonts w:eastAsiaTheme="minorHAnsi" w:cstheme="minorBidi"/>
              </w:rPr>
              <w:t>եզրակացություններ</w:t>
            </w:r>
            <w:r w:rsidRPr="0053423A">
              <w:rPr>
                <w:rFonts w:eastAsiaTheme="minorHAnsi" w:cstheme="minorBidi"/>
                <w:lang w:val="af-ZA"/>
              </w:rPr>
              <w:t xml:space="preserve">:  </w:t>
            </w:r>
          </w:p>
          <w:p w:rsidR="006B0618" w:rsidRPr="0053423A" w:rsidRDefault="006B0618" w:rsidP="00A67858">
            <w:pPr>
              <w:spacing w:line="276" w:lineRule="auto"/>
              <w:ind w:firstLine="643"/>
              <w:jc w:val="both"/>
              <w:rPr>
                <w:rFonts w:eastAsiaTheme="minorHAnsi" w:cstheme="minorBidi"/>
                <w:lang w:val="af-ZA"/>
              </w:rPr>
            </w:pPr>
            <w:r w:rsidRPr="0053423A">
              <w:rPr>
                <w:rFonts w:eastAsiaTheme="minorHAnsi" w:cstheme="minorBidi"/>
                <w:b/>
                <w:lang w:val="af-ZA"/>
              </w:rPr>
              <w:t>2.</w:t>
            </w:r>
            <w:r w:rsidRPr="0053423A">
              <w:rPr>
                <w:rFonts w:eastAsiaTheme="minorHAnsi" w:cstheme="minorBidi"/>
                <w:lang w:val="af-ZA"/>
              </w:rPr>
              <w:t xml:space="preserve"> </w:t>
            </w:r>
            <w:r w:rsidRPr="0053423A">
              <w:rPr>
                <w:rFonts w:eastAsiaTheme="minorHAnsi" w:cstheme="minorBidi"/>
                <w:b/>
                <w:lang w:val="en-US"/>
              </w:rPr>
              <w:t>Միջոցառման</w:t>
            </w:r>
            <w:r w:rsidRPr="0053423A">
              <w:rPr>
                <w:rFonts w:eastAsiaTheme="minorHAnsi" w:cstheme="minorBidi"/>
                <w:b/>
                <w:lang w:val="af-ZA"/>
              </w:rPr>
              <w:t xml:space="preserve"> </w:t>
            </w:r>
            <w:r w:rsidRPr="0053423A">
              <w:rPr>
                <w:rFonts w:eastAsiaTheme="minorHAnsi" w:cstheme="minorBidi"/>
                <w:b/>
                <w:lang w:val="en-US"/>
              </w:rPr>
              <w:t>իրականացումից</w:t>
            </w:r>
            <w:r w:rsidRPr="0053423A">
              <w:rPr>
                <w:rFonts w:eastAsiaTheme="minorHAnsi" w:cstheme="minorBidi"/>
                <w:b/>
                <w:lang w:val="af-ZA"/>
              </w:rPr>
              <w:t xml:space="preserve"> </w:t>
            </w:r>
            <w:r w:rsidRPr="0053423A">
              <w:rPr>
                <w:rFonts w:eastAsiaTheme="minorHAnsi" w:cstheme="minorBidi"/>
                <w:b/>
                <w:lang w:val="en-US"/>
              </w:rPr>
              <w:t>ակնկալվող</w:t>
            </w:r>
            <w:r w:rsidRPr="0053423A">
              <w:rPr>
                <w:rFonts w:eastAsiaTheme="minorHAnsi" w:cstheme="minorBidi"/>
                <w:b/>
                <w:lang w:val="af-ZA"/>
              </w:rPr>
              <w:t xml:space="preserve"> </w:t>
            </w:r>
            <w:r w:rsidRPr="0053423A">
              <w:rPr>
                <w:rFonts w:eastAsiaTheme="minorHAnsi" w:cstheme="minorBidi"/>
                <w:b/>
                <w:lang w:val="en-US"/>
              </w:rPr>
              <w:t>արդյունքը</w:t>
            </w:r>
          </w:p>
          <w:p w:rsidR="006B0618" w:rsidRPr="0053423A" w:rsidRDefault="006B0618" w:rsidP="00A67858">
            <w:pPr>
              <w:spacing w:line="276" w:lineRule="auto"/>
              <w:jc w:val="both"/>
              <w:rPr>
                <w:rFonts w:eastAsiaTheme="minorHAnsi" w:cstheme="minorBidi"/>
                <w:lang w:val="af-ZA"/>
              </w:rPr>
            </w:pPr>
            <w:r w:rsidRPr="0053423A">
              <w:rPr>
                <w:rFonts w:eastAsiaTheme="minorHAnsi" w:cstheme="minorBidi"/>
                <w:b/>
                <w:lang w:val="af-ZA"/>
              </w:rPr>
              <w:tab/>
            </w:r>
            <w:r w:rsidRPr="0053423A">
              <w:rPr>
                <w:rFonts w:eastAsiaTheme="minorHAnsi" w:cstheme="minorBidi"/>
              </w:rPr>
              <w:t>Սևանի</w:t>
            </w:r>
            <w:r w:rsidRPr="0053423A">
              <w:rPr>
                <w:rFonts w:eastAsiaTheme="minorHAnsi" w:cstheme="minorBidi"/>
                <w:lang w:val="af-ZA"/>
              </w:rPr>
              <w:t xml:space="preserve">, </w:t>
            </w:r>
            <w:r w:rsidRPr="0053423A">
              <w:rPr>
                <w:rFonts w:eastAsiaTheme="minorHAnsi" w:cstheme="minorBidi"/>
              </w:rPr>
              <w:t>Հրազդանի</w:t>
            </w:r>
            <w:r w:rsidRPr="0053423A">
              <w:rPr>
                <w:rFonts w:eastAsiaTheme="minorHAnsi" w:cstheme="minorBidi"/>
                <w:lang w:val="af-ZA"/>
              </w:rPr>
              <w:t xml:space="preserve"> </w:t>
            </w:r>
            <w:r w:rsidRPr="0053423A">
              <w:rPr>
                <w:rFonts w:eastAsiaTheme="minorHAnsi" w:cstheme="minorBidi"/>
              </w:rPr>
              <w:t>ջրավազանային</w:t>
            </w:r>
            <w:r w:rsidRPr="0053423A">
              <w:rPr>
                <w:rFonts w:eastAsiaTheme="minorHAnsi" w:cstheme="minorBidi"/>
                <w:lang w:val="af-ZA"/>
              </w:rPr>
              <w:t xml:space="preserve"> </w:t>
            </w:r>
            <w:r w:rsidRPr="0053423A">
              <w:rPr>
                <w:rFonts w:eastAsiaTheme="minorHAnsi" w:cstheme="minorBidi"/>
              </w:rPr>
              <w:t>տարածքների</w:t>
            </w:r>
            <w:r w:rsidRPr="0053423A">
              <w:rPr>
                <w:rFonts w:eastAsiaTheme="minorHAnsi" w:cstheme="minorBidi"/>
                <w:lang w:val="af-ZA"/>
              </w:rPr>
              <w:t xml:space="preserve"> </w:t>
            </w:r>
            <w:r w:rsidRPr="0053423A">
              <w:rPr>
                <w:rFonts w:eastAsiaTheme="minorHAnsi" w:cstheme="minorBidi"/>
              </w:rPr>
              <w:t>կառավարման</w:t>
            </w:r>
            <w:r w:rsidRPr="0053423A">
              <w:rPr>
                <w:rFonts w:eastAsiaTheme="minorHAnsi" w:cstheme="minorBidi"/>
                <w:lang w:val="af-ZA"/>
              </w:rPr>
              <w:t xml:space="preserve"> </w:t>
            </w:r>
            <w:r w:rsidRPr="0053423A">
              <w:rPr>
                <w:rFonts w:eastAsiaTheme="minorHAnsi" w:cstheme="minorBidi"/>
              </w:rPr>
              <w:t>պլանների</w:t>
            </w:r>
            <w:r w:rsidRPr="0053423A">
              <w:rPr>
                <w:rFonts w:eastAsiaTheme="minorHAnsi" w:cstheme="minorBidi"/>
                <w:lang w:val="af-ZA"/>
              </w:rPr>
              <w:t xml:space="preserve"> </w:t>
            </w:r>
            <w:r w:rsidRPr="0053423A">
              <w:rPr>
                <w:rFonts w:eastAsiaTheme="minorHAnsi" w:cstheme="minorBidi"/>
              </w:rPr>
              <w:t>կազմումը</w:t>
            </w:r>
            <w:r w:rsidRPr="0053423A">
              <w:rPr>
                <w:rFonts w:eastAsiaTheme="minorHAnsi" w:cstheme="minorBidi"/>
                <w:b/>
                <w:lang w:val="af-ZA"/>
              </w:rPr>
              <w:t xml:space="preserve"> </w:t>
            </w:r>
            <w:r w:rsidRPr="0053423A">
              <w:rPr>
                <w:rFonts w:eastAsiaTheme="minorHAnsi" w:cstheme="minorBidi"/>
                <w:lang w:val="en-US"/>
              </w:rPr>
              <w:t>կնպաստի</w:t>
            </w:r>
            <w:r w:rsidRPr="0053423A">
              <w:rPr>
                <w:rFonts w:eastAsiaTheme="minorHAnsi" w:cstheme="minorBidi"/>
                <w:lang w:val="af-ZA"/>
              </w:rPr>
              <w:t xml:space="preserve">  </w:t>
            </w:r>
            <w:r w:rsidRPr="0053423A">
              <w:rPr>
                <w:rFonts w:eastAsiaTheme="minorHAnsi" w:cstheme="minorBidi"/>
                <w:lang w:val="en-US"/>
              </w:rPr>
              <w:t>համապատասխան</w:t>
            </w:r>
            <w:r w:rsidRPr="0053423A">
              <w:rPr>
                <w:rFonts w:eastAsiaTheme="minorHAnsi" w:cstheme="minorBidi"/>
                <w:lang w:val="af-ZA"/>
              </w:rPr>
              <w:t xml:space="preserve"> </w:t>
            </w:r>
            <w:r w:rsidRPr="0053423A">
              <w:rPr>
                <w:rFonts w:eastAsiaTheme="minorHAnsi" w:cstheme="minorBidi"/>
                <w:lang w:val="en-US"/>
              </w:rPr>
              <w:t>ջրավազան</w:t>
            </w:r>
            <w:r w:rsidRPr="0053423A">
              <w:rPr>
                <w:rFonts w:eastAsiaTheme="minorHAnsi" w:cstheme="minorBidi"/>
              </w:rPr>
              <w:t>ներում</w:t>
            </w:r>
            <w:r w:rsidRPr="0053423A">
              <w:rPr>
                <w:rFonts w:eastAsiaTheme="minorHAnsi" w:cstheme="minorBidi"/>
                <w:lang w:val="af-ZA"/>
              </w:rPr>
              <w:t xml:space="preserve"> </w:t>
            </w:r>
            <w:r w:rsidRPr="0053423A">
              <w:rPr>
                <w:rFonts w:eastAsiaTheme="minorHAnsi" w:cstheme="minorBidi"/>
                <w:lang w:val="en-US"/>
              </w:rPr>
              <w:t>ջրի</w:t>
            </w:r>
            <w:r w:rsidRPr="0053423A">
              <w:rPr>
                <w:rFonts w:eastAsiaTheme="minorHAnsi" w:cstheme="minorBidi"/>
                <w:lang w:val="af-ZA"/>
              </w:rPr>
              <w:t xml:space="preserve"> </w:t>
            </w:r>
            <w:r w:rsidRPr="0053423A">
              <w:rPr>
                <w:rFonts w:eastAsiaTheme="minorHAnsi" w:cstheme="minorBidi"/>
                <w:lang w:val="en-US"/>
              </w:rPr>
              <w:t>ազգային</w:t>
            </w:r>
            <w:r w:rsidRPr="0053423A">
              <w:rPr>
                <w:rFonts w:eastAsiaTheme="minorHAnsi" w:cstheme="minorBidi"/>
                <w:lang w:val="af-ZA"/>
              </w:rPr>
              <w:t xml:space="preserve"> </w:t>
            </w:r>
            <w:r w:rsidRPr="0053423A">
              <w:rPr>
                <w:rFonts w:eastAsiaTheme="minorHAnsi" w:cstheme="minorBidi"/>
                <w:lang w:val="en-US"/>
              </w:rPr>
              <w:t>ու</w:t>
            </w:r>
            <w:r w:rsidRPr="0053423A">
              <w:rPr>
                <w:rFonts w:eastAsiaTheme="minorHAnsi" w:cstheme="minorBidi"/>
                <w:lang w:val="af-ZA"/>
              </w:rPr>
              <w:t xml:space="preserve"> </w:t>
            </w:r>
            <w:r w:rsidRPr="0053423A">
              <w:rPr>
                <w:rFonts w:eastAsiaTheme="minorHAnsi" w:cstheme="minorBidi"/>
                <w:lang w:val="en-US"/>
              </w:rPr>
              <w:t>ռազմավարական</w:t>
            </w:r>
            <w:r w:rsidRPr="0053423A">
              <w:rPr>
                <w:rFonts w:eastAsiaTheme="minorHAnsi" w:cstheme="minorBidi"/>
                <w:lang w:val="af-ZA"/>
              </w:rPr>
              <w:t xml:space="preserve"> </w:t>
            </w:r>
            <w:r w:rsidRPr="0053423A">
              <w:rPr>
                <w:rFonts w:eastAsiaTheme="minorHAnsi" w:cstheme="minorBidi"/>
                <w:lang w:val="en-US"/>
              </w:rPr>
              <w:t>պաշարների</w:t>
            </w:r>
            <w:r w:rsidRPr="0053423A">
              <w:rPr>
                <w:rFonts w:eastAsiaTheme="minorHAnsi" w:cstheme="minorBidi"/>
                <w:lang w:val="af-ZA"/>
              </w:rPr>
              <w:t xml:space="preserve"> </w:t>
            </w:r>
            <w:r w:rsidRPr="0053423A">
              <w:rPr>
                <w:rFonts w:eastAsiaTheme="minorHAnsi" w:cstheme="minorBidi"/>
                <w:lang w:val="en-US"/>
              </w:rPr>
              <w:t>հստակեցմանը</w:t>
            </w:r>
            <w:r w:rsidRPr="0053423A">
              <w:rPr>
                <w:rFonts w:eastAsiaTheme="minorHAnsi" w:cstheme="minorBidi"/>
                <w:lang w:val="af-ZA"/>
              </w:rPr>
              <w:t xml:space="preserve">, </w:t>
            </w:r>
            <w:r w:rsidRPr="0053423A">
              <w:rPr>
                <w:rFonts w:eastAsiaTheme="minorHAnsi" w:cstheme="minorBidi"/>
                <w:lang w:val="en-US"/>
              </w:rPr>
              <w:t>ջրի</w:t>
            </w:r>
            <w:r w:rsidRPr="0053423A">
              <w:rPr>
                <w:rFonts w:eastAsiaTheme="minorHAnsi" w:cstheme="minorBidi"/>
                <w:lang w:val="af-ZA"/>
              </w:rPr>
              <w:t xml:space="preserve"> </w:t>
            </w:r>
            <w:r w:rsidRPr="0053423A">
              <w:rPr>
                <w:rFonts w:eastAsiaTheme="minorHAnsi" w:cstheme="minorBidi"/>
                <w:lang w:val="en-US"/>
              </w:rPr>
              <w:t>առաջարկի</w:t>
            </w:r>
            <w:r w:rsidRPr="0053423A">
              <w:rPr>
                <w:rFonts w:eastAsiaTheme="minorHAnsi" w:cstheme="minorBidi"/>
                <w:lang w:val="af-ZA"/>
              </w:rPr>
              <w:t xml:space="preserve"> </w:t>
            </w:r>
            <w:r w:rsidRPr="0053423A">
              <w:rPr>
                <w:rFonts w:eastAsiaTheme="minorHAnsi" w:cstheme="minorBidi"/>
                <w:lang w:val="en-US"/>
              </w:rPr>
              <w:t>և</w:t>
            </w:r>
            <w:r w:rsidRPr="0053423A">
              <w:rPr>
                <w:rFonts w:eastAsiaTheme="minorHAnsi" w:cstheme="minorBidi"/>
                <w:lang w:val="af-ZA"/>
              </w:rPr>
              <w:t xml:space="preserve"> </w:t>
            </w:r>
            <w:r w:rsidRPr="0053423A">
              <w:rPr>
                <w:rFonts w:eastAsiaTheme="minorHAnsi" w:cstheme="minorBidi"/>
                <w:lang w:val="en-US"/>
              </w:rPr>
              <w:t>պահանջարկի</w:t>
            </w:r>
            <w:r w:rsidRPr="0053423A">
              <w:rPr>
                <w:rFonts w:eastAsiaTheme="minorHAnsi" w:cstheme="minorBidi"/>
                <w:lang w:val="af-ZA"/>
              </w:rPr>
              <w:t xml:space="preserve"> </w:t>
            </w:r>
            <w:r w:rsidRPr="0053423A">
              <w:rPr>
                <w:rFonts w:eastAsiaTheme="minorHAnsi" w:cstheme="minorBidi"/>
                <w:lang w:val="en-US"/>
              </w:rPr>
              <w:t>հավասարակշռմանը</w:t>
            </w:r>
            <w:r w:rsidRPr="0053423A">
              <w:rPr>
                <w:rFonts w:eastAsiaTheme="minorHAnsi" w:cstheme="minorBidi"/>
                <w:lang w:val="af-ZA"/>
              </w:rPr>
              <w:t xml:space="preserve">, </w:t>
            </w:r>
            <w:r w:rsidRPr="0053423A">
              <w:rPr>
                <w:rFonts w:eastAsiaTheme="minorHAnsi" w:cstheme="minorBidi"/>
                <w:lang w:val="en-US"/>
              </w:rPr>
              <w:t>որը</w:t>
            </w:r>
            <w:r w:rsidRPr="0053423A">
              <w:rPr>
                <w:rFonts w:eastAsiaTheme="minorHAnsi" w:cstheme="minorBidi"/>
                <w:lang w:val="af-ZA"/>
              </w:rPr>
              <w:t xml:space="preserve"> </w:t>
            </w:r>
            <w:r w:rsidRPr="0053423A">
              <w:rPr>
                <w:rFonts w:eastAsiaTheme="minorHAnsi" w:cstheme="minorBidi"/>
                <w:lang w:val="en-US"/>
              </w:rPr>
              <w:t>իր</w:t>
            </w:r>
            <w:r w:rsidRPr="0053423A">
              <w:rPr>
                <w:rFonts w:eastAsiaTheme="minorHAnsi" w:cstheme="minorBidi"/>
                <w:lang w:val="af-ZA"/>
              </w:rPr>
              <w:t xml:space="preserve"> </w:t>
            </w:r>
            <w:r w:rsidRPr="0053423A">
              <w:rPr>
                <w:rFonts w:eastAsiaTheme="minorHAnsi" w:cstheme="minorBidi"/>
                <w:lang w:val="en-US"/>
              </w:rPr>
              <w:t>հերթին</w:t>
            </w:r>
            <w:r w:rsidRPr="0053423A">
              <w:rPr>
                <w:rFonts w:eastAsiaTheme="minorHAnsi" w:cstheme="minorBidi"/>
                <w:lang w:val="af-ZA"/>
              </w:rPr>
              <w:t xml:space="preserve"> </w:t>
            </w:r>
            <w:r w:rsidRPr="0053423A">
              <w:rPr>
                <w:rFonts w:eastAsiaTheme="minorHAnsi" w:cstheme="minorBidi"/>
                <w:lang w:val="en-US"/>
              </w:rPr>
              <w:t>կբերի</w:t>
            </w:r>
            <w:r w:rsidRPr="0053423A">
              <w:rPr>
                <w:rFonts w:eastAsiaTheme="minorHAnsi" w:cstheme="minorBidi"/>
                <w:lang w:val="af-ZA"/>
              </w:rPr>
              <w:t xml:space="preserve"> </w:t>
            </w:r>
            <w:r w:rsidRPr="0053423A">
              <w:rPr>
                <w:rFonts w:eastAsiaTheme="minorHAnsi" w:cstheme="minorBidi"/>
                <w:lang w:val="en-US"/>
              </w:rPr>
              <w:t>ջրային</w:t>
            </w:r>
            <w:r w:rsidRPr="0053423A">
              <w:rPr>
                <w:rFonts w:eastAsiaTheme="minorHAnsi" w:cstheme="minorBidi"/>
                <w:lang w:val="af-ZA"/>
              </w:rPr>
              <w:t xml:space="preserve"> </w:t>
            </w:r>
            <w:r w:rsidRPr="0053423A">
              <w:rPr>
                <w:rFonts w:eastAsiaTheme="minorHAnsi" w:cstheme="minorBidi"/>
                <w:lang w:val="en-US"/>
              </w:rPr>
              <w:t>ռեսուրսի</w:t>
            </w:r>
            <w:r w:rsidRPr="0053423A">
              <w:rPr>
                <w:rFonts w:eastAsiaTheme="minorHAnsi" w:cstheme="minorBidi"/>
                <w:lang w:val="af-ZA"/>
              </w:rPr>
              <w:t xml:space="preserve"> </w:t>
            </w:r>
            <w:r w:rsidRPr="0053423A">
              <w:rPr>
                <w:rFonts w:eastAsiaTheme="minorHAnsi" w:cstheme="minorBidi"/>
                <w:lang w:val="en-US"/>
              </w:rPr>
              <w:t>արդյունավետ</w:t>
            </w:r>
            <w:r w:rsidRPr="0053423A">
              <w:rPr>
                <w:rFonts w:eastAsiaTheme="minorHAnsi" w:cstheme="minorBidi"/>
                <w:lang w:val="af-ZA"/>
              </w:rPr>
              <w:t xml:space="preserve"> </w:t>
            </w:r>
            <w:r w:rsidRPr="0053423A">
              <w:rPr>
                <w:rFonts w:eastAsiaTheme="minorHAnsi" w:cstheme="minorBidi"/>
                <w:lang w:val="en-US"/>
              </w:rPr>
              <w:t>և</w:t>
            </w:r>
            <w:r w:rsidRPr="0053423A">
              <w:rPr>
                <w:rFonts w:eastAsiaTheme="minorHAnsi" w:cstheme="minorBidi"/>
                <w:lang w:val="af-ZA"/>
              </w:rPr>
              <w:t xml:space="preserve"> </w:t>
            </w:r>
            <w:r w:rsidRPr="0053423A">
              <w:rPr>
                <w:rFonts w:eastAsiaTheme="minorHAnsi" w:cstheme="minorBidi"/>
                <w:lang w:val="en-US"/>
              </w:rPr>
              <w:t>ճիշտ</w:t>
            </w:r>
            <w:r w:rsidRPr="0053423A">
              <w:rPr>
                <w:rFonts w:eastAsiaTheme="minorHAnsi" w:cstheme="minorBidi"/>
                <w:lang w:val="af-ZA"/>
              </w:rPr>
              <w:t xml:space="preserve"> </w:t>
            </w:r>
            <w:r w:rsidRPr="0053423A">
              <w:rPr>
                <w:rFonts w:eastAsiaTheme="minorHAnsi" w:cstheme="minorBidi"/>
                <w:lang w:val="en-US"/>
              </w:rPr>
              <w:t>կառավարմանը</w:t>
            </w:r>
            <w:r w:rsidRPr="0053423A">
              <w:rPr>
                <w:rFonts w:eastAsiaTheme="minorHAnsi" w:cstheme="minorBidi"/>
                <w:lang w:val="af-ZA"/>
              </w:rPr>
              <w:t xml:space="preserve">, </w:t>
            </w:r>
            <w:r w:rsidRPr="0053423A">
              <w:rPr>
                <w:rFonts w:eastAsiaTheme="minorHAnsi" w:cstheme="minorBidi"/>
                <w:lang w:val="en-US"/>
              </w:rPr>
              <w:t>ինչպես</w:t>
            </w:r>
            <w:r w:rsidRPr="0053423A">
              <w:rPr>
                <w:rFonts w:eastAsiaTheme="minorHAnsi" w:cstheme="minorBidi"/>
                <w:lang w:val="af-ZA"/>
              </w:rPr>
              <w:t xml:space="preserve"> </w:t>
            </w:r>
            <w:r w:rsidRPr="0053423A">
              <w:rPr>
                <w:rFonts w:eastAsiaTheme="minorHAnsi" w:cstheme="minorBidi"/>
                <w:lang w:val="en-US"/>
              </w:rPr>
              <w:t>նաև</w:t>
            </w:r>
            <w:r w:rsidRPr="0053423A">
              <w:rPr>
                <w:rFonts w:eastAsiaTheme="minorHAnsi" w:cstheme="minorBidi"/>
                <w:lang w:val="af-ZA"/>
              </w:rPr>
              <w:t xml:space="preserve"> </w:t>
            </w:r>
            <w:r w:rsidRPr="0053423A">
              <w:rPr>
                <w:rFonts w:eastAsiaTheme="minorHAnsi" w:cstheme="minorBidi"/>
                <w:lang w:val="en-US"/>
              </w:rPr>
              <w:t>ջրային</w:t>
            </w:r>
            <w:r w:rsidRPr="0053423A">
              <w:rPr>
                <w:rFonts w:eastAsiaTheme="minorHAnsi" w:cstheme="minorBidi"/>
                <w:lang w:val="af-ZA"/>
              </w:rPr>
              <w:t xml:space="preserve"> </w:t>
            </w:r>
            <w:r w:rsidRPr="0053423A">
              <w:rPr>
                <w:rFonts w:eastAsiaTheme="minorHAnsi" w:cstheme="minorBidi"/>
                <w:lang w:val="en-US"/>
              </w:rPr>
              <w:t>ռեսուրսի</w:t>
            </w:r>
            <w:r w:rsidRPr="0053423A">
              <w:rPr>
                <w:rFonts w:eastAsiaTheme="minorHAnsi" w:cstheme="minorBidi"/>
                <w:lang w:val="af-ZA"/>
              </w:rPr>
              <w:t xml:space="preserve"> </w:t>
            </w:r>
            <w:r w:rsidRPr="0053423A">
              <w:rPr>
                <w:rFonts w:eastAsiaTheme="minorHAnsi" w:cstheme="minorBidi"/>
                <w:lang w:val="en-US"/>
              </w:rPr>
              <w:t>խնայողությանը</w:t>
            </w:r>
            <w:r w:rsidRPr="0053423A">
              <w:rPr>
                <w:rFonts w:eastAsiaTheme="minorHAnsi" w:cstheme="minorBidi"/>
                <w:lang w:val="af-ZA"/>
              </w:rPr>
              <w:t xml:space="preserve">: </w:t>
            </w:r>
          </w:p>
          <w:p w:rsidR="006B0618" w:rsidRPr="0053423A" w:rsidRDefault="006B0618" w:rsidP="00A67858">
            <w:pPr>
              <w:numPr>
                <w:ilvl w:val="1"/>
                <w:numId w:val="61"/>
              </w:numPr>
              <w:spacing w:line="276" w:lineRule="auto"/>
              <w:jc w:val="both"/>
              <w:rPr>
                <w:rFonts w:eastAsiaTheme="minorHAnsi" w:cstheme="minorBidi"/>
                <w:b/>
                <w:u w:val="single"/>
                <w:lang w:val="af-ZA"/>
              </w:rPr>
            </w:pPr>
            <w:r w:rsidRPr="0053423A">
              <w:rPr>
                <w:rFonts w:eastAsiaTheme="minorHAnsi" w:cstheme="minorBidi"/>
                <w:b/>
                <w:u w:val="single"/>
                <w:lang w:val="af-ZA"/>
              </w:rPr>
              <w:t></w:t>
            </w:r>
            <w:r w:rsidRPr="0053423A">
              <w:rPr>
                <w:rFonts w:eastAsiaTheme="minorHAnsi" w:cstheme="minorBidi"/>
                <w:b/>
                <w:u w:val="single"/>
                <w:lang w:val="hy-AM"/>
              </w:rPr>
              <w:t>Հյուսիսային ջրավազանային տարածքի կառավարման պլանի մշակում և նախագիծը վարչապետի աշխատակազմ ներկայացնելը</w:t>
            </w:r>
            <w:r w:rsidRPr="0053423A">
              <w:rPr>
                <w:rFonts w:eastAsiaTheme="minorHAnsi" w:cstheme="minorBidi"/>
                <w:b/>
                <w:u w:val="single"/>
                <w:lang w:val="af-ZA"/>
              </w:rPr>
              <w:t></w:t>
            </w:r>
          </w:p>
          <w:p w:rsidR="006B0618" w:rsidRPr="0053423A" w:rsidRDefault="006B0618" w:rsidP="00A67858">
            <w:pPr>
              <w:numPr>
                <w:ilvl w:val="0"/>
                <w:numId w:val="62"/>
              </w:numPr>
              <w:spacing w:line="276" w:lineRule="auto"/>
              <w:jc w:val="both"/>
              <w:rPr>
                <w:rFonts w:eastAsiaTheme="minorHAnsi" w:cstheme="minorBidi"/>
                <w:b/>
                <w:i/>
                <w:lang w:val="af-ZA"/>
              </w:rPr>
            </w:pPr>
            <w:r w:rsidRPr="0053423A">
              <w:rPr>
                <w:rFonts w:eastAsiaTheme="minorHAnsi" w:cstheme="minorBidi"/>
                <w:b/>
                <w:i/>
                <w:lang w:val="en-US"/>
              </w:rPr>
              <w:t>Միջոցառման</w:t>
            </w:r>
            <w:r w:rsidRPr="0053423A">
              <w:rPr>
                <w:rFonts w:eastAsiaTheme="minorHAnsi" w:cstheme="minorBidi"/>
                <w:b/>
                <w:i/>
                <w:lang w:val="af-ZA"/>
              </w:rPr>
              <w:t xml:space="preserve"> </w:t>
            </w:r>
            <w:r w:rsidRPr="0053423A">
              <w:rPr>
                <w:rFonts w:eastAsiaTheme="minorHAnsi" w:cstheme="minorBidi"/>
                <w:b/>
                <w:i/>
                <w:lang w:val="en-US"/>
              </w:rPr>
              <w:t>իրակացման</w:t>
            </w:r>
            <w:r w:rsidRPr="0053423A">
              <w:rPr>
                <w:rFonts w:eastAsiaTheme="minorHAnsi" w:cstheme="minorBidi"/>
                <w:b/>
                <w:i/>
                <w:lang w:val="af-ZA"/>
              </w:rPr>
              <w:t xml:space="preserve"> </w:t>
            </w:r>
            <w:r w:rsidRPr="0053423A">
              <w:rPr>
                <w:rFonts w:eastAsiaTheme="minorHAnsi" w:cstheme="minorBidi"/>
                <w:b/>
                <w:i/>
                <w:lang w:val="en-US"/>
              </w:rPr>
              <w:t>անհրաժեշտությունը</w:t>
            </w:r>
            <w:r w:rsidRPr="0053423A">
              <w:rPr>
                <w:rFonts w:eastAsiaTheme="minorHAnsi" w:cstheme="minorBidi"/>
                <w:b/>
                <w:i/>
                <w:lang w:val="af-ZA"/>
              </w:rPr>
              <w:t xml:space="preserve"> </w:t>
            </w:r>
            <w:r w:rsidRPr="0053423A">
              <w:rPr>
                <w:rFonts w:eastAsiaTheme="minorHAnsi" w:cstheme="minorBidi"/>
                <w:b/>
                <w:i/>
                <w:lang w:val="en-US"/>
              </w:rPr>
              <w:t>և</w:t>
            </w:r>
            <w:r w:rsidRPr="0053423A">
              <w:rPr>
                <w:rFonts w:eastAsiaTheme="minorHAnsi" w:cstheme="minorBidi"/>
                <w:b/>
                <w:i/>
                <w:lang w:val="af-ZA"/>
              </w:rPr>
              <w:t xml:space="preserve"> </w:t>
            </w:r>
            <w:r w:rsidRPr="0053423A">
              <w:rPr>
                <w:rFonts w:eastAsiaTheme="minorHAnsi" w:cstheme="minorBidi"/>
                <w:b/>
                <w:i/>
                <w:lang w:val="en-US"/>
              </w:rPr>
              <w:t>նպատակը</w:t>
            </w:r>
          </w:p>
          <w:p w:rsidR="006B0618" w:rsidRPr="0053423A" w:rsidRDefault="003F5E5F" w:rsidP="00A67858">
            <w:pPr>
              <w:spacing w:line="276" w:lineRule="auto"/>
              <w:ind w:firstLine="193"/>
              <w:jc w:val="both"/>
              <w:rPr>
                <w:rFonts w:eastAsiaTheme="minorHAnsi" w:cstheme="minorBidi"/>
                <w:lang w:val="af-ZA"/>
              </w:rPr>
            </w:pPr>
            <w:r w:rsidRPr="0053423A">
              <w:rPr>
                <w:rFonts w:eastAsiaTheme="minorHAnsi" w:cstheme="minorBidi"/>
                <w:lang w:val="hy-AM"/>
              </w:rPr>
              <w:t xml:space="preserve">     </w:t>
            </w:r>
            <w:r w:rsidRPr="0053423A">
              <w:rPr>
                <w:rFonts w:eastAsiaTheme="minorHAnsi" w:cstheme="minorBidi"/>
                <w:lang w:val="en-US"/>
              </w:rPr>
              <w:t>Միջո</w:t>
            </w:r>
            <w:r w:rsidR="006B0618" w:rsidRPr="0053423A">
              <w:rPr>
                <w:rFonts w:eastAsiaTheme="minorHAnsi" w:cstheme="minorBidi"/>
                <w:lang w:val="en-US"/>
              </w:rPr>
              <w:t>ցառման</w:t>
            </w:r>
            <w:r w:rsidR="006B0618" w:rsidRPr="0053423A">
              <w:rPr>
                <w:rFonts w:eastAsiaTheme="minorHAnsi" w:cstheme="minorBidi"/>
                <w:lang w:val="af-ZA"/>
              </w:rPr>
              <w:t xml:space="preserve"> </w:t>
            </w:r>
            <w:r w:rsidR="006B0618" w:rsidRPr="0053423A">
              <w:rPr>
                <w:rFonts w:eastAsiaTheme="minorHAnsi" w:cstheme="minorBidi"/>
                <w:lang w:val="en-US"/>
              </w:rPr>
              <w:t>իրականացման</w:t>
            </w:r>
            <w:r w:rsidR="006B0618" w:rsidRPr="0053423A">
              <w:rPr>
                <w:rFonts w:eastAsiaTheme="minorHAnsi" w:cstheme="minorBidi"/>
                <w:lang w:val="af-ZA"/>
              </w:rPr>
              <w:t xml:space="preserve"> </w:t>
            </w:r>
            <w:r w:rsidR="006B0618" w:rsidRPr="0053423A">
              <w:rPr>
                <w:rFonts w:eastAsiaTheme="minorHAnsi" w:cstheme="minorBidi"/>
                <w:lang w:val="en-US"/>
              </w:rPr>
              <w:t>համար</w:t>
            </w:r>
            <w:r w:rsidR="006B0618" w:rsidRPr="0053423A">
              <w:rPr>
                <w:rFonts w:eastAsiaTheme="minorHAnsi" w:cstheme="minorBidi"/>
                <w:lang w:val="af-ZA"/>
              </w:rPr>
              <w:t xml:space="preserve"> </w:t>
            </w:r>
            <w:r w:rsidR="006B0618" w:rsidRPr="0053423A">
              <w:rPr>
                <w:rFonts w:eastAsiaTheme="minorHAnsi" w:cstheme="minorBidi"/>
                <w:lang w:val="en-US"/>
              </w:rPr>
              <w:t>հիմք</w:t>
            </w:r>
            <w:r w:rsidR="006B0618" w:rsidRPr="0053423A">
              <w:rPr>
                <w:rFonts w:eastAsiaTheme="minorHAnsi" w:cstheme="minorBidi"/>
                <w:lang w:val="af-ZA"/>
              </w:rPr>
              <w:t xml:space="preserve"> </w:t>
            </w:r>
            <w:r w:rsidR="006B0618" w:rsidRPr="0053423A">
              <w:rPr>
                <w:rFonts w:eastAsiaTheme="minorHAnsi" w:cstheme="minorBidi"/>
                <w:lang w:val="en-US"/>
              </w:rPr>
              <w:t>է</w:t>
            </w:r>
            <w:r w:rsidR="006B0618" w:rsidRPr="0053423A">
              <w:rPr>
                <w:rFonts w:eastAsiaTheme="minorHAnsi" w:cstheme="minorBidi"/>
                <w:lang w:val="af-ZA"/>
              </w:rPr>
              <w:t xml:space="preserve"> </w:t>
            </w:r>
            <w:r w:rsidR="006B0618" w:rsidRPr="0053423A">
              <w:rPr>
                <w:rFonts w:eastAsiaTheme="minorHAnsi" w:cstheme="minorBidi"/>
                <w:lang w:val="en-US"/>
              </w:rPr>
              <w:t>հանդիսացել</w:t>
            </w:r>
            <w:r w:rsidR="006B0618" w:rsidRPr="0053423A">
              <w:rPr>
                <w:rFonts w:eastAsiaTheme="minorHAnsi" w:cstheme="minorBidi"/>
                <w:lang w:val="af-ZA"/>
              </w:rPr>
              <w:t xml:space="preserve"> </w:t>
            </w:r>
            <w:r w:rsidR="006B0618" w:rsidRPr="0053423A">
              <w:rPr>
                <w:rFonts w:eastAsiaTheme="minorHAnsi" w:cstheme="minorBidi"/>
                <w:lang w:val="en-US"/>
              </w:rPr>
              <w:t>Կառավարության</w:t>
            </w:r>
            <w:r w:rsidR="006B0618" w:rsidRPr="0053423A">
              <w:rPr>
                <w:rFonts w:eastAsiaTheme="minorHAnsi" w:cstheme="minorBidi"/>
                <w:lang w:val="af-ZA"/>
              </w:rPr>
              <w:t xml:space="preserve"> 2019 </w:t>
            </w:r>
            <w:r w:rsidR="006B0618" w:rsidRPr="0053423A">
              <w:rPr>
                <w:rFonts w:eastAsiaTheme="minorHAnsi" w:cstheme="minorBidi"/>
                <w:lang w:val="en-US"/>
              </w:rPr>
              <w:t>թվականի</w:t>
            </w:r>
            <w:r w:rsidR="006B0618" w:rsidRPr="0053423A">
              <w:rPr>
                <w:rFonts w:eastAsiaTheme="minorHAnsi" w:cstheme="minorBidi"/>
                <w:lang w:val="af-ZA"/>
              </w:rPr>
              <w:t xml:space="preserve"> </w:t>
            </w:r>
            <w:r w:rsidR="006B0618" w:rsidRPr="0053423A">
              <w:rPr>
                <w:rFonts w:eastAsiaTheme="minorHAnsi" w:cstheme="minorBidi"/>
                <w:lang w:val="en-US"/>
              </w:rPr>
              <w:t>փետրվարի</w:t>
            </w:r>
            <w:r w:rsidR="006B0618" w:rsidRPr="0053423A">
              <w:rPr>
                <w:rFonts w:eastAsiaTheme="minorHAnsi" w:cstheme="minorBidi"/>
                <w:lang w:val="af-ZA"/>
              </w:rPr>
              <w:t xml:space="preserve"> 8-</w:t>
            </w:r>
            <w:r w:rsidR="006B0618" w:rsidRPr="0053423A">
              <w:rPr>
                <w:rFonts w:eastAsiaTheme="minorHAnsi" w:cstheme="minorBidi"/>
                <w:lang w:val="en-US"/>
              </w:rPr>
              <w:t>ի</w:t>
            </w:r>
            <w:r w:rsidR="006B0618" w:rsidRPr="0053423A">
              <w:rPr>
                <w:rFonts w:eastAsiaTheme="minorHAnsi" w:cstheme="minorBidi"/>
                <w:lang w:val="af-ZA"/>
              </w:rPr>
              <w:t xml:space="preserve"> </w:t>
            </w:r>
            <w:r w:rsidR="006B0618" w:rsidRPr="0053423A">
              <w:rPr>
                <w:rFonts w:eastAsiaTheme="minorHAnsi" w:cstheme="minorBidi"/>
                <w:lang w:val="en-US"/>
              </w:rPr>
              <w:t>Հայաստանի</w:t>
            </w:r>
            <w:r w:rsidR="006B0618" w:rsidRPr="0053423A">
              <w:rPr>
                <w:rFonts w:eastAsiaTheme="minorHAnsi" w:cstheme="minorBidi"/>
                <w:lang w:val="af-ZA"/>
              </w:rPr>
              <w:t xml:space="preserve"> </w:t>
            </w:r>
            <w:r w:rsidR="006B0618" w:rsidRPr="0053423A">
              <w:rPr>
                <w:rFonts w:eastAsiaTheme="minorHAnsi" w:cstheme="minorBidi"/>
                <w:lang w:val="en-US"/>
              </w:rPr>
              <w:t>Հանրապետության</w:t>
            </w:r>
            <w:r w:rsidR="006B0618" w:rsidRPr="0053423A">
              <w:rPr>
                <w:rFonts w:eastAsiaTheme="minorHAnsi" w:cstheme="minorBidi"/>
                <w:lang w:val="af-ZA"/>
              </w:rPr>
              <w:t xml:space="preserve"> </w:t>
            </w:r>
            <w:r w:rsidR="006B0618" w:rsidRPr="0053423A">
              <w:rPr>
                <w:rFonts w:eastAsiaTheme="minorHAnsi" w:cstheme="minorBidi"/>
                <w:lang w:val="en-US"/>
              </w:rPr>
              <w:t>Կառավարության</w:t>
            </w:r>
            <w:r w:rsidR="006B0618" w:rsidRPr="0053423A">
              <w:rPr>
                <w:rFonts w:eastAsiaTheme="minorHAnsi" w:cstheme="minorBidi"/>
                <w:lang w:val="af-ZA"/>
              </w:rPr>
              <w:t xml:space="preserve"> </w:t>
            </w:r>
            <w:r w:rsidR="006B0618" w:rsidRPr="0053423A">
              <w:rPr>
                <w:rFonts w:eastAsiaTheme="minorHAnsi" w:cstheme="minorBidi"/>
                <w:lang w:val="en-US"/>
              </w:rPr>
              <w:t>ծրագրի</w:t>
            </w:r>
            <w:r w:rsidR="006B0618" w:rsidRPr="0053423A">
              <w:rPr>
                <w:rFonts w:eastAsiaTheme="minorHAnsi" w:cstheme="minorBidi"/>
                <w:lang w:val="af-ZA"/>
              </w:rPr>
              <w:t xml:space="preserve"> </w:t>
            </w:r>
            <w:r w:rsidR="006B0618" w:rsidRPr="0053423A">
              <w:rPr>
                <w:rFonts w:eastAsiaTheme="minorHAnsi" w:cstheme="minorBidi"/>
                <w:lang w:val="en-US"/>
              </w:rPr>
              <w:t>մասին</w:t>
            </w:r>
            <w:r w:rsidR="006B0618" w:rsidRPr="0053423A">
              <w:rPr>
                <w:rFonts w:eastAsiaTheme="minorHAnsi" w:cstheme="minorBidi"/>
                <w:lang w:val="af-ZA"/>
              </w:rPr>
              <w:t> N 65-</w:t>
            </w:r>
            <w:r w:rsidR="006B0618" w:rsidRPr="0053423A">
              <w:rPr>
                <w:rFonts w:eastAsiaTheme="minorHAnsi" w:cstheme="minorBidi"/>
                <w:lang w:val="en-US"/>
              </w:rPr>
              <w:t>Ա</w:t>
            </w:r>
            <w:r w:rsidR="006B0618" w:rsidRPr="0053423A">
              <w:rPr>
                <w:rFonts w:eastAsiaTheme="minorHAnsi" w:cstheme="minorBidi"/>
                <w:lang w:val="af-ZA"/>
              </w:rPr>
              <w:t xml:space="preserve"> </w:t>
            </w:r>
            <w:r w:rsidR="006B0618" w:rsidRPr="0053423A">
              <w:rPr>
                <w:rFonts w:eastAsiaTheme="minorHAnsi" w:cstheme="minorBidi"/>
                <w:lang w:val="en-US"/>
              </w:rPr>
              <w:t>որոշման</w:t>
            </w:r>
            <w:r w:rsidR="006B0618" w:rsidRPr="0053423A">
              <w:rPr>
                <w:rFonts w:eastAsiaTheme="minorHAnsi" w:cstheme="minorBidi"/>
                <w:lang w:val="af-ZA"/>
              </w:rPr>
              <w:t xml:space="preserve"> </w:t>
            </w:r>
            <w:r w:rsidR="006B0618" w:rsidRPr="0053423A">
              <w:rPr>
                <w:rFonts w:eastAsiaTheme="minorHAnsi" w:cstheme="minorBidi"/>
                <w:lang w:val="en-US"/>
              </w:rPr>
              <w:t>հավելվածի</w:t>
            </w:r>
            <w:r w:rsidR="006B0618" w:rsidRPr="0053423A">
              <w:rPr>
                <w:rFonts w:eastAsiaTheme="minorHAnsi" w:cstheme="minorBidi"/>
                <w:lang w:val="af-ZA"/>
              </w:rPr>
              <w:t xml:space="preserve"> 4.8 </w:t>
            </w:r>
            <w:r w:rsidR="006B0618" w:rsidRPr="0053423A">
              <w:rPr>
                <w:rFonts w:eastAsiaTheme="minorHAnsi" w:cstheme="minorBidi"/>
                <w:lang w:val="en-US"/>
              </w:rPr>
              <w:t>բաժնի</w:t>
            </w:r>
            <w:r w:rsidR="006B0618" w:rsidRPr="0053423A">
              <w:rPr>
                <w:rFonts w:eastAsiaTheme="minorHAnsi" w:cstheme="minorBidi"/>
                <w:lang w:val="af-ZA"/>
              </w:rPr>
              <w:t xml:space="preserve"> </w:t>
            </w:r>
            <w:r w:rsidR="006B0618" w:rsidRPr="0053423A">
              <w:rPr>
                <w:rFonts w:eastAsiaTheme="minorHAnsi" w:cstheme="minorBidi"/>
                <w:lang w:val="en-US"/>
              </w:rPr>
              <w:t>Ջրային</w:t>
            </w:r>
            <w:r w:rsidR="006B0618" w:rsidRPr="0053423A">
              <w:rPr>
                <w:rFonts w:eastAsiaTheme="minorHAnsi" w:cstheme="minorBidi"/>
                <w:lang w:val="af-ZA"/>
              </w:rPr>
              <w:t xml:space="preserve"> </w:t>
            </w:r>
            <w:r w:rsidR="006B0618" w:rsidRPr="0053423A">
              <w:rPr>
                <w:rFonts w:eastAsiaTheme="minorHAnsi" w:cstheme="minorBidi"/>
                <w:lang w:val="en-US"/>
              </w:rPr>
              <w:t>ռեսուրսների</w:t>
            </w:r>
            <w:r w:rsidR="006B0618" w:rsidRPr="0053423A">
              <w:rPr>
                <w:rFonts w:eastAsiaTheme="minorHAnsi" w:cstheme="minorBidi"/>
                <w:lang w:val="af-ZA"/>
              </w:rPr>
              <w:t xml:space="preserve"> </w:t>
            </w:r>
            <w:r w:rsidR="006B0618" w:rsidRPr="0053423A">
              <w:rPr>
                <w:rFonts w:eastAsiaTheme="minorHAnsi" w:cstheme="minorBidi"/>
                <w:lang w:val="en-US"/>
              </w:rPr>
              <w:t>կառավարման</w:t>
            </w:r>
            <w:r w:rsidR="006B0618" w:rsidRPr="0053423A">
              <w:rPr>
                <w:rFonts w:eastAsiaTheme="minorHAnsi" w:cstheme="minorBidi"/>
                <w:lang w:val="af-ZA"/>
              </w:rPr>
              <w:t xml:space="preserve"> </w:t>
            </w:r>
            <w:r w:rsidR="006B0618" w:rsidRPr="0053423A">
              <w:rPr>
                <w:rFonts w:eastAsiaTheme="minorHAnsi" w:cstheme="minorBidi"/>
                <w:lang w:val="en-US"/>
              </w:rPr>
              <w:t>արդյունավետության</w:t>
            </w:r>
            <w:r w:rsidR="006B0618" w:rsidRPr="0053423A">
              <w:rPr>
                <w:rFonts w:eastAsiaTheme="minorHAnsi" w:cstheme="minorBidi"/>
                <w:lang w:val="af-ZA"/>
              </w:rPr>
              <w:t xml:space="preserve"> </w:t>
            </w:r>
            <w:r w:rsidR="006B0618" w:rsidRPr="0053423A">
              <w:rPr>
                <w:rFonts w:eastAsiaTheme="minorHAnsi" w:cstheme="minorBidi"/>
                <w:lang w:val="en-US"/>
              </w:rPr>
              <w:t>բարձրացում</w:t>
            </w:r>
            <w:r w:rsidR="006B0618" w:rsidRPr="0053423A">
              <w:rPr>
                <w:rFonts w:eastAsiaTheme="minorHAnsi" w:cstheme="minorBidi"/>
                <w:lang w:val="af-ZA"/>
              </w:rPr>
              <w:t xml:space="preserve"> </w:t>
            </w:r>
            <w:r w:rsidR="006B0618" w:rsidRPr="0053423A">
              <w:rPr>
                <w:rFonts w:eastAsiaTheme="minorHAnsi" w:cstheme="minorBidi"/>
                <w:lang w:val="en-US"/>
              </w:rPr>
              <w:t>ուղղությունը</w:t>
            </w:r>
            <w:r w:rsidR="006B0618" w:rsidRPr="0053423A">
              <w:rPr>
                <w:rFonts w:eastAsiaTheme="minorHAnsi" w:cstheme="minorBidi"/>
                <w:lang w:val="af-ZA"/>
              </w:rPr>
              <w:t xml:space="preserve">: </w:t>
            </w:r>
          </w:p>
          <w:p w:rsidR="006B0618" w:rsidRPr="0053423A" w:rsidRDefault="006B0618" w:rsidP="00A67858">
            <w:pPr>
              <w:spacing w:line="276" w:lineRule="auto"/>
              <w:jc w:val="both"/>
              <w:rPr>
                <w:rFonts w:eastAsiaTheme="minorHAnsi" w:cstheme="minorBidi"/>
                <w:lang w:val="af-ZA"/>
              </w:rPr>
            </w:pPr>
            <w:r w:rsidRPr="0053423A">
              <w:rPr>
                <w:rFonts w:eastAsiaTheme="minorHAnsi" w:cstheme="minorBidi"/>
              </w:rPr>
              <w:t>Հյուսիսային</w:t>
            </w:r>
            <w:r w:rsidRPr="0053423A">
              <w:rPr>
                <w:rFonts w:eastAsiaTheme="minorHAnsi" w:cstheme="minorBidi"/>
                <w:lang w:val="af-ZA"/>
              </w:rPr>
              <w:t xml:space="preserve"> (</w:t>
            </w:r>
            <w:r w:rsidRPr="0053423A">
              <w:rPr>
                <w:rFonts w:eastAsiaTheme="minorHAnsi" w:cstheme="minorBidi"/>
                <w:lang w:val="en-US"/>
              </w:rPr>
              <w:t>Դեբեդ</w:t>
            </w:r>
            <w:r w:rsidRPr="0053423A">
              <w:rPr>
                <w:rFonts w:eastAsiaTheme="minorHAnsi" w:cstheme="minorBidi"/>
                <w:lang w:val="af-ZA"/>
              </w:rPr>
              <w:t xml:space="preserve">, </w:t>
            </w:r>
            <w:r w:rsidRPr="0053423A">
              <w:rPr>
                <w:rFonts w:eastAsiaTheme="minorHAnsi" w:cstheme="minorBidi"/>
                <w:lang w:val="en-US"/>
              </w:rPr>
              <w:t>Աղստև</w:t>
            </w:r>
            <w:r w:rsidRPr="0053423A">
              <w:rPr>
                <w:rFonts w:eastAsiaTheme="minorHAnsi" w:cstheme="minorBidi"/>
                <w:lang w:val="af-ZA"/>
              </w:rPr>
              <w:t xml:space="preserve"> </w:t>
            </w:r>
            <w:r w:rsidRPr="0053423A">
              <w:rPr>
                <w:rFonts w:eastAsiaTheme="minorHAnsi" w:cstheme="minorBidi"/>
                <w:lang w:val="en-US"/>
              </w:rPr>
              <w:t>գետերը</w:t>
            </w:r>
            <w:r w:rsidRPr="0053423A">
              <w:rPr>
                <w:rFonts w:eastAsiaTheme="minorHAnsi" w:cstheme="minorBidi"/>
                <w:lang w:val="af-ZA"/>
              </w:rPr>
              <w:t xml:space="preserve">` </w:t>
            </w:r>
            <w:r w:rsidRPr="0053423A">
              <w:rPr>
                <w:rFonts w:eastAsiaTheme="minorHAnsi" w:cstheme="minorBidi"/>
                <w:lang w:val="en-US"/>
              </w:rPr>
              <w:t>իրենց</w:t>
            </w:r>
            <w:r w:rsidRPr="0053423A">
              <w:rPr>
                <w:rFonts w:eastAsiaTheme="minorHAnsi" w:cstheme="minorBidi"/>
                <w:lang w:val="af-ZA"/>
              </w:rPr>
              <w:t xml:space="preserve"> </w:t>
            </w:r>
            <w:r w:rsidRPr="0053423A">
              <w:rPr>
                <w:rFonts w:eastAsiaTheme="minorHAnsi" w:cstheme="minorBidi"/>
                <w:lang w:val="en-US"/>
              </w:rPr>
              <w:t>ջրհավաքներով</w:t>
            </w:r>
            <w:r w:rsidRPr="0053423A">
              <w:rPr>
                <w:rFonts w:eastAsiaTheme="minorHAnsi" w:cstheme="minorBidi"/>
                <w:lang w:val="af-ZA"/>
              </w:rPr>
              <w:t xml:space="preserve">, </w:t>
            </w:r>
            <w:r w:rsidRPr="0053423A">
              <w:rPr>
                <w:rFonts w:eastAsiaTheme="minorHAnsi" w:cstheme="minorBidi"/>
                <w:lang w:val="en-US"/>
              </w:rPr>
              <w:t>և</w:t>
            </w:r>
            <w:r w:rsidRPr="0053423A">
              <w:rPr>
                <w:rFonts w:eastAsiaTheme="minorHAnsi" w:cstheme="minorBidi"/>
                <w:lang w:val="af-ZA"/>
              </w:rPr>
              <w:t xml:space="preserve"> </w:t>
            </w:r>
            <w:r w:rsidRPr="0053423A">
              <w:rPr>
                <w:rFonts w:eastAsiaTheme="minorHAnsi" w:cstheme="minorBidi"/>
                <w:lang w:val="en-US"/>
              </w:rPr>
              <w:t>Քուռ</w:t>
            </w:r>
            <w:r w:rsidRPr="0053423A">
              <w:rPr>
                <w:rFonts w:eastAsiaTheme="minorHAnsi" w:cstheme="minorBidi"/>
                <w:lang w:val="af-ZA"/>
              </w:rPr>
              <w:t xml:space="preserve"> </w:t>
            </w:r>
            <w:r w:rsidRPr="0053423A">
              <w:rPr>
                <w:rFonts w:eastAsiaTheme="minorHAnsi" w:cstheme="minorBidi"/>
                <w:lang w:val="en-US"/>
              </w:rPr>
              <w:t>գետի</w:t>
            </w:r>
            <w:r w:rsidRPr="0053423A">
              <w:rPr>
                <w:rFonts w:eastAsiaTheme="minorHAnsi" w:cstheme="minorBidi"/>
                <w:lang w:val="af-ZA"/>
              </w:rPr>
              <w:t xml:space="preserve"> </w:t>
            </w:r>
            <w:r w:rsidRPr="0053423A">
              <w:rPr>
                <w:rFonts w:eastAsiaTheme="minorHAnsi" w:cstheme="minorBidi"/>
                <w:lang w:val="en-US"/>
              </w:rPr>
              <w:t>վտակները</w:t>
            </w:r>
            <w:r w:rsidRPr="0053423A">
              <w:rPr>
                <w:rFonts w:eastAsiaTheme="minorHAnsi" w:cstheme="minorBidi"/>
                <w:lang w:val="af-ZA"/>
              </w:rPr>
              <w:t xml:space="preserve">` </w:t>
            </w:r>
            <w:r w:rsidRPr="0053423A">
              <w:rPr>
                <w:rFonts w:eastAsiaTheme="minorHAnsi" w:cstheme="minorBidi"/>
                <w:lang w:val="en-US"/>
              </w:rPr>
              <w:t>իրենց</w:t>
            </w:r>
            <w:r w:rsidRPr="0053423A">
              <w:rPr>
                <w:rFonts w:eastAsiaTheme="minorHAnsi" w:cstheme="minorBidi"/>
                <w:lang w:val="af-ZA"/>
              </w:rPr>
              <w:t xml:space="preserve"> </w:t>
            </w:r>
            <w:r w:rsidRPr="0053423A">
              <w:rPr>
                <w:rFonts w:eastAsiaTheme="minorHAnsi" w:cstheme="minorBidi"/>
                <w:lang w:val="en-US"/>
              </w:rPr>
              <w:t>ջրհավաքներով</w:t>
            </w:r>
            <w:r w:rsidRPr="0053423A">
              <w:rPr>
                <w:rFonts w:eastAsiaTheme="minorHAnsi" w:cstheme="minorBidi"/>
                <w:lang w:val="af-ZA"/>
              </w:rPr>
              <w:t>)</w:t>
            </w:r>
            <w:r w:rsidRPr="0053423A">
              <w:rPr>
                <w:rFonts w:eastAsiaTheme="minorHAnsi" w:cstheme="minorBidi"/>
                <w:b/>
                <w:lang w:val="af-ZA"/>
              </w:rPr>
              <w:t xml:space="preserve"> </w:t>
            </w:r>
            <w:r w:rsidRPr="0053423A">
              <w:rPr>
                <w:rFonts w:eastAsiaTheme="minorHAnsi" w:cstheme="minorBidi"/>
                <w:lang w:val="af-ZA"/>
              </w:rPr>
              <w:t xml:space="preserve"> </w:t>
            </w:r>
            <w:r w:rsidRPr="0053423A">
              <w:rPr>
                <w:rFonts w:eastAsiaTheme="minorHAnsi" w:cstheme="minorBidi"/>
              </w:rPr>
              <w:t>ջրավազանային</w:t>
            </w:r>
            <w:r w:rsidRPr="0053423A">
              <w:rPr>
                <w:rFonts w:eastAsiaTheme="minorHAnsi" w:cstheme="minorBidi"/>
                <w:lang w:val="af-ZA"/>
              </w:rPr>
              <w:t xml:space="preserve"> </w:t>
            </w:r>
            <w:r w:rsidRPr="0053423A">
              <w:rPr>
                <w:rFonts w:eastAsiaTheme="minorHAnsi" w:cstheme="minorBidi"/>
              </w:rPr>
              <w:t>տարածքի</w:t>
            </w:r>
            <w:r w:rsidRPr="0053423A">
              <w:rPr>
                <w:rFonts w:eastAsiaTheme="minorHAnsi" w:cstheme="minorBidi"/>
                <w:lang w:val="af-ZA"/>
              </w:rPr>
              <w:t xml:space="preserve"> </w:t>
            </w:r>
            <w:r w:rsidRPr="0053423A">
              <w:rPr>
                <w:rFonts w:eastAsiaTheme="minorHAnsi" w:cstheme="minorBidi"/>
              </w:rPr>
              <w:t>կառավարման</w:t>
            </w:r>
            <w:r w:rsidRPr="0053423A">
              <w:rPr>
                <w:rFonts w:eastAsiaTheme="minorHAnsi" w:cstheme="minorBidi"/>
                <w:lang w:val="af-ZA"/>
              </w:rPr>
              <w:t xml:space="preserve"> </w:t>
            </w:r>
            <w:r w:rsidRPr="0053423A">
              <w:rPr>
                <w:rFonts w:eastAsiaTheme="minorHAnsi" w:cstheme="minorBidi"/>
              </w:rPr>
              <w:t>պլանի</w:t>
            </w:r>
            <w:r w:rsidRPr="0053423A">
              <w:rPr>
                <w:rFonts w:eastAsiaTheme="minorHAnsi" w:cstheme="minorBidi"/>
                <w:lang w:val="af-ZA"/>
              </w:rPr>
              <w:t xml:space="preserve"> </w:t>
            </w:r>
            <w:r w:rsidRPr="0053423A">
              <w:rPr>
                <w:rFonts w:eastAsiaTheme="minorHAnsi" w:cstheme="minorBidi"/>
                <w:lang w:val="en-US"/>
              </w:rPr>
              <w:t>մշակումը</w:t>
            </w:r>
            <w:r w:rsidRPr="0053423A">
              <w:rPr>
                <w:rFonts w:eastAsiaTheme="minorHAnsi" w:cstheme="minorBidi"/>
                <w:lang w:val="af-ZA"/>
              </w:rPr>
              <w:t xml:space="preserve"> </w:t>
            </w:r>
            <w:r w:rsidRPr="0053423A">
              <w:rPr>
                <w:rFonts w:eastAsiaTheme="minorHAnsi" w:cstheme="minorBidi"/>
                <w:lang w:val="en-US"/>
              </w:rPr>
              <w:t>իրականացվում</w:t>
            </w:r>
            <w:r w:rsidRPr="0053423A">
              <w:rPr>
                <w:rFonts w:eastAsiaTheme="minorHAnsi" w:cstheme="minorBidi"/>
                <w:lang w:val="de-DE"/>
              </w:rPr>
              <w:t xml:space="preserve"> </w:t>
            </w:r>
            <w:r w:rsidRPr="0053423A">
              <w:rPr>
                <w:rFonts w:eastAsiaTheme="minorHAnsi" w:cstheme="minorBidi"/>
                <w:lang w:val="en-US"/>
              </w:rPr>
              <w:t>է</w:t>
            </w:r>
            <w:r w:rsidRPr="0053423A">
              <w:rPr>
                <w:rFonts w:eastAsiaTheme="minorHAnsi" w:cstheme="minorBidi"/>
                <w:lang w:val="de-DE"/>
              </w:rPr>
              <w:t xml:space="preserve"> </w:t>
            </w:r>
            <w:r w:rsidRPr="0053423A">
              <w:rPr>
                <w:rFonts w:eastAsiaTheme="minorHAnsi" w:cstheme="minorBidi"/>
                <w:lang w:val="en-US"/>
              </w:rPr>
              <w:t>համապարփակ</w:t>
            </w:r>
            <w:r w:rsidRPr="0053423A">
              <w:rPr>
                <w:rFonts w:eastAsiaTheme="minorHAnsi" w:cstheme="minorBidi"/>
                <w:lang w:val="de-DE"/>
              </w:rPr>
              <w:t xml:space="preserve"> </w:t>
            </w:r>
            <w:r w:rsidRPr="0053423A">
              <w:rPr>
                <w:rFonts w:eastAsiaTheme="minorHAnsi" w:cstheme="minorBidi"/>
                <w:lang w:val="en-US"/>
              </w:rPr>
              <w:t>պլանավորման</w:t>
            </w:r>
            <w:r w:rsidRPr="0053423A">
              <w:rPr>
                <w:rFonts w:eastAsiaTheme="minorHAnsi" w:cstheme="minorBidi"/>
                <w:lang w:val="de-DE"/>
              </w:rPr>
              <w:t xml:space="preserve"> </w:t>
            </w:r>
            <w:r w:rsidRPr="0053423A">
              <w:rPr>
                <w:rFonts w:eastAsiaTheme="minorHAnsi" w:cstheme="minorBidi"/>
                <w:lang w:val="en-US"/>
              </w:rPr>
              <w:t>սկզբունքով</w:t>
            </w:r>
            <w:r w:rsidRPr="0053423A">
              <w:rPr>
                <w:rFonts w:eastAsiaTheme="minorHAnsi" w:cstheme="minorBidi"/>
                <w:lang w:val="de-DE"/>
              </w:rPr>
              <w:t xml:space="preserve">, </w:t>
            </w:r>
            <w:r w:rsidRPr="0053423A">
              <w:rPr>
                <w:rFonts w:eastAsiaTheme="minorHAnsi" w:cstheme="minorBidi"/>
                <w:lang w:val="en-US"/>
              </w:rPr>
              <w:t>ինչը</w:t>
            </w:r>
            <w:r w:rsidRPr="0053423A">
              <w:rPr>
                <w:rFonts w:eastAsiaTheme="minorHAnsi" w:cstheme="minorBidi"/>
                <w:lang w:val="de-DE"/>
              </w:rPr>
              <w:t xml:space="preserve"> </w:t>
            </w:r>
            <w:r w:rsidRPr="0053423A">
              <w:rPr>
                <w:rFonts w:eastAsiaTheme="minorHAnsi" w:cstheme="minorBidi"/>
                <w:lang w:val="en-US"/>
              </w:rPr>
              <w:t>նպատակաուղղված</w:t>
            </w:r>
            <w:r w:rsidRPr="0053423A">
              <w:rPr>
                <w:rFonts w:eastAsiaTheme="minorHAnsi" w:cstheme="minorBidi"/>
                <w:lang w:val="de-DE"/>
              </w:rPr>
              <w:t xml:space="preserve"> </w:t>
            </w:r>
            <w:r w:rsidRPr="0053423A">
              <w:rPr>
                <w:rFonts w:eastAsiaTheme="minorHAnsi" w:cstheme="minorBidi"/>
                <w:lang w:val="en-US"/>
              </w:rPr>
              <w:t>է</w:t>
            </w:r>
            <w:r w:rsidRPr="0053423A">
              <w:rPr>
                <w:rFonts w:eastAsiaTheme="minorHAnsi" w:cstheme="minorBidi"/>
                <w:lang w:val="de-DE"/>
              </w:rPr>
              <w:t xml:space="preserve"> </w:t>
            </w:r>
            <w:r w:rsidRPr="0053423A">
              <w:rPr>
                <w:rFonts w:eastAsiaTheme="minorHAnsi" w:cstheme="minorBidi"/>
                <w:lang w:val="en-US"/>
              </w:rPr>
              <w:t>հավասարակշռելու</w:t>
            </w:r>
            <w:r w:rsidRPr="0053423A">
              <w:rPr>
                <w:rFonts w:eastAsiaTheme="minorHAnsi" w:cstheme="minorBidi"/>
                <w:lang w:val="de-DE"/>
              </w:rPr>
              <w:t xml:space="preserve"> </w:t>
            </w:r>
            <w:r w:rsidRPr="0053423A">
              <w:rPr>
                <w:rFonts w:eastAsiaTheme="minorHAnsi" w:cstheme="minorBidi"/>
                <w:lang w:val="en-US"/>
              </w:rPr>
              <w:t>ջրօգտագործողների՝</w:t>
            </w:r>
            <w:r w:rsidRPr="0053423A">
              <w:rPr>
                <w:rFonts w:eastAsiaTheme="minorHAnsi" w:cstheme="minorBidi"/>
                <w:lang w:val="de-DE"/>
              </w:rPr>
              <w:t xml:space="preserve"> </w:t>
            </w:r>
            <w:r w:rsidRPr="0053423A">
              <w:rPr>
                <w:rFonts w:eastAsiaTheme="minorHAnsi" w:cstheme="minorBidi"/>
                <w:lang w:val="en-US"/>
              </w:rPr>
              <w:t>ներառյալ</w:t>
            </w:r>
            <w:r w:rsidRPr="0053423A">
              <w:rPr>
                <w:rFonts w:eastAsiaTheme="minorHAnsi" w:cstheme="minorBidi"/>
                <w:lang w:val="de-DE"/>
              </w:rPr>
              <w:t xml:space="preserve"> </w:t>
            </w:r>
            <w:r w:rsidRPr="0053423A">
              <w:rPr>
                <w:rFonts w:eastAsiaTheme="minorHAnsi" w:cstheme="minorBidi"/>
                <w:lang w:val="en-US"/>
              </w:rPr>
              <w:t>համայնքների</w:t>
            </w:r>
            <w:r w:rsidRPr="0053423A">
              <w:rPr>
                <w:rFonts w:eastAsiaTheme="minorHAnsi" w:cstheme="minorBidi"/>
                <w:lang w:val="de-DE"/>
              </w:rPr>
              <w:t xml:space="preserve">, </w:t>
            </w:r>
            <w:r w:rsidRPr="0053423A">
              <w:rPr>
                <w:rFonts w:eastAsiaTheme="minorHAnsi" w:cstheme="minorBidi"/>
                <w:lang w:val="en-US"/>
              </w:rPr>
              <w:t>էներգետիկայի</w:t>
            </w:r>
            <w:r w:rsidRPr="0053423A">
              <w:rPr>
                <w:rFonts w:eastAsiaTheme="minorHAnsi" w:cstheme="minorBidi"/>
                <w:lang w:val="de-DE"/>
              </w:rPr>
              <w:t xml:space="preserve">, </w:t>
            </w:r>
            <w:r w:rsidRPr="0053423A">
              <w:rPr>
                <w:rFonts w:eastAsiaTheme="minorHAnsi" w:cstheme="minorBidi"/>
                <w:lang w:val="en-US"/>
              </w:rPr>
              <w:t>արդյունաբերության</w:t>
            </w:r>
            <w:r w:rsidRPr="0053423A">
              <w:rPr>
                <w:rFonts w:eastAsiaTheme="minorHAnsi" w:cstheme="minorBidi"/>
                <w:lang w:val="de-DE"/>
              </w:rPr>
              <w:t xml:space="preserve"> </w:t>
            </w:r>
            <w:r w:rsidRPr="0053423A">
              <w:rPr>
                <w:rFonts w:eastAsiaTheme="minorHAnsi" w:cstheme="minorBidi"/>
                <w:lang w:val="en-US"/>
              </w:rPr>
              <w:t>և</w:t>
            </w:r>
            <w:r w:rsidRPr="0053423A">
              <w:rPr>
                <w:rFonts w:eastAsiaTheme="minorHAnsi" w:cstheme="minorBidi"/>
                <w:lang w:val="de-DE"/>
              </w:rPr>
              <w:t xml:space="preserve"> </w:t>
            </w:r>
            <w:r w:rsidRPr="0053423A">
              <w:rPr>
                <w:rFonts w:eastAsiaTheme="minorHAnsi" w:cstheme="minorBidi"/>
                <w:lang w:val="en-US"/>
              </w:rPr>
              <w:t>գյուղատնտեսության</w:t>
            </w:r>
            <w:r w:rsidRPr="0053423A">
              <w:rPr>
                <w:rFonts w:eastAsiaTheme="minorHAnsi" w:cstheme="minorBidi"/>
                <w:lang w:val="de-DE"/>
              </w:rPr>
              <w:t xml:space="preserve"> </w:t>
            </w:r>
            <w:r w:rsidRPr="0053423A">
              <w:rPr>
                <w:rFonts w:eastAsiaTheme="minorHAnsi" w:cstheme="minorBidi"/>
                <w:lang w:val="en-US"/>
              </w:rPr>
              <w:t>փոխկապակցված</w:t>
            </w:r>
            <w:r w:rsidRPr="0053423A">
              <w:rPr>
                <w:rFonts w:eastAsiaTheme="minorHAnsi" w:cstheme="minorBidi"/>
                <w:lang w:val="de-DE"/>
              </w:rPr>
              <w:t xml:space="preserve"> </w:t>
            </w:r>
            <w:r w:rsidRPr="0053423A">
              <w:rPr>
                <w:rFonts w:eastAsiaTheme="minorHAnsi" w:cstheme="minorBidi"/>
                <w:lang w:val="en-US"/>
              </w:rPr>
              <w:t>փոխհարաբերությունները</w:t>
            </w:r>
            <w:r w:rsidRPr="0053423A">
              <w:rPr>
                <w:rFonts w:eastAsiaTheme="minorHAnsi" w:cstheme="minorBidi"/>
                <w:lang w:val="de-DE"/>
              </w:rPr>
              <w:t xml:space="preserve">: </w:t>
            </w:r>
            <w:r w:rsidRPr="0053423A">
              <w:rPr>
                <w:rFonts w:eastAsiaTheme="minorHAnsi" w:cstheme="minorBidi"/>
              </w:rPr>
              <w:t>Ջ</w:t>
            </w:r>
            <w:r w:rsidRPr="0053423A">
              <w:rPr>
                <w:rFonts w:eastAsiaTheme="minorHAnsi" w:cstheme="minorBidi"/>
                <w:lang w:val="en-US"/>
              </w:rPr>
              <w:t>րավազանային</w:t>
            </w:r>
            <w:r w:rsidRPr="0053423A">
              <w:rPr>
                <w:rFonts w:eastAsiaTheme="minorHAnsi" w:cstheme="minorBidi"/>
                <w:lang w:val="de-DE"/>
              </w:rPr>
              <w:t xml:space="preserve"> </w:t>
            </w:r>
            <w:r w:rsidRPr="0053423A">
              <w:rPr>
                <w:rFonts w:eastAsiaTheme="minorHAnsi" w:cstheme="minorBidi"/>
                <w:lang w:val="en-US"/>
              </w:rPr>
              <w:t>կառավարման</w:t>
            </w:r>
            <w:r w:rsidRPr="0053423A">
              <w:rPr>
                <w:rFonts w:eastAsiaTheme="minorHAnsi" w:cstheme="minorBidi"/>
                <w:lang w:val="de-DE"/>
              </w:rPr>
              <w:t xml:space="preserve"> </w:t>
            </w:r>
            <w:r w:rsidRPr="0053423A">
              <w:rPr>
                <w:rFonts w:eastAsiaTheme="minorHAnsi" w:cstheme="minorBidi"/>
                <w:lang w:val="en-US"/>
              </w:rPr>
              <w:t>պլան</w:t>
            </w:r>
            <w:r w:rsidRPr="0053423A">
              <w:rPr>
                <w:rFonts w:eastAsiaTheme="minorHAnsi" w:cstheme="minorBidi"/>
              </w:rPr>
              <w:t>ի</w:t>
            </w:r>
            <w:r w:rsidRPr="0053423A">
              <w:rPr>
                <w:rFonts w:eastAsiaTheme="minorHAnsi" w:cstheme="minorBidi"/>
                <w:lang w:val="de-DE"/>
              </w:rPr>
              <w:t xml:space="preserve"> </w:t>
            </w:r>
            <w:r w:rsidRPr="0053423A">
              <w:rPr>
                <w:rFonts w:eastAsiaTheme="minorHAnsi" w:cstheme="minorBidi"/>
                <w:lang w:val="en-US"/>
              </w:rPr>
              <w:t>նպատակն</w:t>
            </w:r>
            <w:r w:rsidRPr="0053423A">
              <w:rPr>
                <w:rFonts w:eastAsiaTheme="minorHAnsi" w:cstheme="minorBidi"/>
                <w:lang w:val="de-DE"/>
              </w:rPr>
              <w:t xml:space="preserve"> </w:t>
            </w:r>
            <w:r w:rsidRPr="0053423A">
              <w:rPr>
                <w:rFonts w:eastAsiaTheme="minorHAnsi" w:cstheme="minorBidi"/>
                <w:lang w:val="en-US"/>
              </w:rPr>
              <w:t>է</w:t>
            </w:r>
            <w:r w:rsidRPr="0053423A">
              <w:rPr>
                <w:rFonts w:eastAsiaTheme="minorHAnsi" w:cstheme="minorBidi"/>
                <w:lang w:val="de-DE"/>
              </w:rPr>
              <w:t xml:space="preserve"> </w:t>
            </w:r>
            <w:r w:rsidRPr="0053423A">
              <w:rPr>
                <w:rFonts w:eastAsiaTheme="minorHAnsi" w:cstheme="minorBidi"/>
                <w:lang w:val="en-US"/>
              </w:rPr>
              <w:t>հավասարակշռել</w:t>
            </w:r>
            <w:r w:rsidRPr="0053423A">
              <w:rPr>
                <w:rFonts w:eastAsiaTheme="minorHAnsi" w:cstheme="minorBidi"/>
                <w:lang w:val="de-DE"/>
              </w:rPr>
              <w:t xml:space="preserve"> </w:t>
            </w:r>
            <w:r w:rsidRPr="0053423A">
              <w:rPr>
                <w:rFonts w:eastAsiaTheme="minorHAnsi" w:cstheme="minorBidi"/>
                <w:lang w:val="en-US"/>
              </w:rPr>
              <w:t>ջրավազանում</w:t>
            </w:r>
            <w:r w:rsidRPr="0053423A">
              <w:rPr>
                <w:rFonts w:eastAsiaTheme="minorHAnsi" w:cstheme="minorBidi"/>
                <w:lang w:val="de-DE"/>
              </w:rPr>
              <w:t xml:space="preserve"> </w:t>
            </w:r>
            <w:r w:rsidRPr="0053423A">
              <w:rPr>
                <w:rFonts w:eastAsiaTheme="minorHAnsi" w:cstheme="minorBidi"/>
                <w:lang w:val="en-US"/>
              </w:rPr>
              <w:t>ջրի</w:t>
            </w:r>
            <w:r w:rsidRPr="0053423A">
              <w:rPr>
                <w:rFonts w:eastAsiaTheme="minorHAnsi" w:cstheme="minorBidi"/>
                <w:lang w:val="de-DE"/>
              </w:rPr>
              <w:t xml:space="preserve"> </w:t>
            </w:r>
            <w:r w:rsidRPr="0053423A">
              <w:rPr>
                <w:rFonts w:eastAsiaTheme="minorHAnsi" w:cstheme="minorBidi"/>
                <w:lang w:val="en-US"/>
              </w:rPr>
              <w:t>առաջարկը</w:t>
            </w:r>
            <w:r w:rsidRPr="0053423A">
              <w:rPr>
                <w:rFonts w:eastAsiaTheme="minorHAnsi" w:cstheme="minorBidi"/>
                <w:lang w:val="de-DE"/>
              </w:rPr>
              <w:t xml:space="preserve"> </w:t>
            </w:r>
            <w:r w:rsidRPr="0053423A">
              <w:rPr>
                <w:rFonts w:eastAsiaTheme="minorHAnsi" w:cstheme="minorBidi"/>
                <w:lang w:val="en-US"/>
              </w:rPr>
              <w:t>և</w:t>
            </w:r>
            <w:r w:rsidRPr="0053423A">
              <w:rPr>
                <w:rFonts w:eastAsiaTheme="minorHAnsi" w:cstheme="minorBidi"/>
                <w:lang w:val="de-DE"/>
              </w:rPr>
              <w:t xml:space="preserve"> </w:t>
            </w:r>
            <w:r w:rsidRPr="0053423A">
              <w:rPr>
                <w:rFonts w:eastAsiaTheme="minorHAnsi" w:cstheme="minorBidi"/>
                <w:lang w:val="en-US"/>
              </w:rPr>
              <w:t>պահանջարկը</w:t>
            </w:r>
            <w:r w:rsidRPr="0053423A">
              <w:rPr>
                <w:rFonts w:eastAsiaTheme="minorHAnsi" w:cstheme="minorBidi"/>
                <w:lang w:val="af-ZA"/>
              </w:rPr>
              <w:t xml:space="preserve">                               </w:t>
            </w:r>
          </w:p>
          <w:p w:rsidR="006B0618" w:rsidRPr="0053423A" w:rsidRDefault="003F5E5F" w:rsidP="00A67858">
            <w:pPr>
              <w:numPr>
                <w:ilvl w:val="1"/>
                <w:numId w:val="44"/>
              </w:numPr>
              <w:spacing w:line="276" w:lineRule="auto"/>
              <w:jc w:val="both"/>
              <w:rPr>
                <w:rFonts w:eastAsiaTheme="minorHAnsi" w:cstheme="minorBidi"/>
                <w:b/>
                <w:lang w:val="af-ZA"/>
              </w:rPr>
            </w:pPr>
            <w:r w:rsidRPr="0053423A">
              <w:rPr>
                <w:rFonts w:eastAsiaTheme="minorHAnsi" w:cstheme="minorBidi"/>
                <w:b/>
                <w:lang w:val="en-US"/>
              </w:rPr>
              <w:t>Կ</w:t>
            </w:r>
            <w:r w:rsidR="006B0618" w:rsidRPr="0053423A">
              <w:rPr>
                <w:rFonts w:eastAsiaTheme="minorHAnsi" w:cstheme="minorBidi"/>
                <w:b/>
                <w:lang w:val="en-US"/>
              </w:rPr>
              <w:t>արգավորման</w:t>
            </w:r>
            <w:r w:rsidR="006B0618" w:rsidRPr="0053423A">
              <w:rPr>
                <w:rFonts w:eastAsiaTheme="minorHAnsi" w:cstheme="minorBidi"/>
                <w:b/>
                <w:lang w:val="af-ZA"/>
              </w:rPr>
              <w:t xml:space="preserve"> </w:t>
            </w:r>
            <w:r w:rsidR="006B0618" w:rsidRPr="0053423A">
              <w:rPr>
                <w:rFonts w:eastAsiaTheme="minorHAnsi" w:cstheme="minorBidi"/>
                <w:b/>
                <w:lang w:val="en-US"/>
              </w:rPr>
              <w:t>հարաբերությունների</w:t>
            </w:r>
            <w:r w:rsidR="006B0618" w:rsidRPr="0053423A">
              <w:rPr>
                <w:rFonts w:eastAsiaTheme="minorHAnsi" w:cstheme="minorBidi"/>
                <w:b/>
                <w:lang w:val="af-ZA"/>
              </w:rPr>
              <w:t xml:space="preserve"> </w:t>
            </w:r>
            <w:r w:rsidR="006B0618" w:rsidRPr="0053423A">
              <w:rPr>
                <w:rFonts w:eastAsiaTheme="minorHAnsi" w:cstheme="minorBidi"/>
                <w:b/>
                <w:lang w:val="en-US"/>
              </w:rPr>
              <w:t>ներկա</w:t>
            </w:r>
            <w:r w:rsidR="006B0618" w:rsidRPr="0053423A">
              <w:rPr>
                <w:rFonts w:eastAsiaTheme="minorHAnsi" w:cstheme="minorBidi"/>
                <w:b/>
                <w:lang w:val="af-ZA"/>
              </w:rPr>
              <w:t xml:space="preserve"> </w:t>
            </w:r>
            <w:r w:rsidR="006B0618" w:rsidRPr="0053423A">
              <w:rPr>
                <w:rFonts w:eastAsiaTheme="minorHAnsi" w:cstheme="minorBidi"/>
                <w:b/>
                <w:lang w:val="en-US"/>
              </w:rPr>
              <w:t>վիճակը</w:t>
            </w:r>
            <w:r w:rsidR="006B0618" w:rsidRPr="0053423A">
              <w:rPr>
                <w:rFonts w:eastAsiaTheme="minorHAnsi" w:cstheme="minorBidi"/>
                <w:b/>
                <w:lang w:val="af-ZA"/>
              </w:rPr>
              <w:t xml:space="preserve"> </w:t>
            </w:r>
            <w:r w:rsidR="006B0618" w:rsidRPr="0053423A">
              <w:rPr>
                <w:rFonts w:eastAsiaTheme="minorHAnsi" w:cstheme="minorBidi"/>
                <w:b/>
                <w:lang w:val="en-US"/>
              </w:rPr>
              <w:t>և</w:t>
            </w:r>
            <w:r w:rsidR="006B0618" w:rsidRPr="0053423A">
              <w:rPr>
                <w:rFonts w:eastAsiaTheme="minorHAnsi" w:cstheme="minorBidi"/>
                <w:b/>
                <w:lang w:val="af-ZA"/>
              </w:rPr>
              <w:t xml:space="preserve"> </w:t>
            </w:r>
            <w:r w:rsidR="006B0618" w:rsidRPr="0053423A">
              <w:rPr>
                <w:rFonts w:eastAsiaTheme="minorHAnsi" w:cstheme="minorBidi"/>
                <w:b/>
                <w:lang w:val="en-US"/>
              </w:rPr>
              <w:t>առկա</w:t>
            </w:r>
            <w:r w:rsidR="006B0618" w:rsidRPr="0053423A">
              <w:rPr>
                <w:rFonts w:eastAsiaTheme="minorHAnsi" w:cstheme="minorBidi"/>
                <w:b/>
                <w:lang w:val="af-ZA"/>
              </w:rPr>
              <w:t xml:space="preserve"> </w:t>
            </w:r>
            <w:r w:rsidR="006B0618" w:rsidRPr="0053423A">
              <w:rPr>
                <w:rFonts w:eastAsiaTheme="minorHAnsi" w:cstheme="minorBidi"/>
                <w:b/>
                <w:lang w:val="en-US"/>
              </w:rPr>
              <w:t>խնդիրները</w:t>
            </w:r>
          </w:p>
          <w:p w:rsidR="006B0618" w:rsidRPr="0053423A" w:rsidRDefault="006B0618" w:rsidP="00A67858">
            <w:pPr>
              <w:spacing w:line="276" w:lineRule="auto"/>
              <w:jc w:val="both"/>
              <w:rPr>
                <w:rFonts w:eastAsiaTheme="minorHAnsi" w:cstheme="minorBidi"/>
                <w:b/>
                <w:bCs/>
                <w:lang w:val="af-ZA"/>
              </w:rPr>
            </w:pPr>
            <w:r w:rsidRPr="0053423A">
              <w:rPr>
                <w:rFonts w:eastAsiaTheme="minorHAnsi" w:cstheme="minorBidi"/>
              </w:rPr>
              <w:t>Համաձայն</w:t>
            </w:r>
            <w:r w:rsidRPr="0053423A">
              <w:rPr>
                <w:rFonts w:eastAsiaTheme="minorHAnsi" w:cstheme="minorBidi"/>
                <w:lang w:val="af-ZA"/>
              </w:rPr>
              <w:t xml:space="preserve"> </w:t>
            </w:r>
            <w:r w:rsidRPr="0053423A">
              <w:rPr>
                <w:rFonts w:eastAsiaTheme="minorHAnsi" w:cstheme="minorBidi"/>
                <w:bCs/>
                <w:lang w:val="en-US"/>
              </w:rPr>
              <w:t>ՀՀ</w:t>
            </w:r>
            <w:r w:rsidRPr="0053423A">
              <w:rPr>
                <w:rFonts w:eastAsiaTheme="minorHAnsi" w:cstheme="minorBidi"/>
                <w:bCs/>
                <w:lang w:val="af-ZA"/>
              </w:rPr>
              <w:t xml:space="preserve"> </w:t>
            </w:r>
            <w:r w:rsidRPr="0053423A">
              <w:rPr>
                <w:rFonts w:eastAsiaTheme="minorHAnsi" w:cstheme="minorBidi"/>
                <w:bCs/>
                <w:lang w:val="en-US"/>
              </w:rPr>
              <w:t>ջրային</w:t>
            </w:r>
            <w:r w:rsidRPr="0053423A">
              <w:rPr>
                <w:rFonts w:eastAsiaTheme="minorHAnsi" w:cstheme="minorBidi"/>
                <w:bCs/>
                <w:lang w:val="af-ZA"/>
              </w:rPr>
              <w:t xml:space="preserve"> </w:t>
            </w:r>
            <w:r w:rsidRPr="0053423A">
              <w:rPr>
                <w:rFonts w:eastAsiaTheme="minorHAnsi" w:cstheme="minorBidi"/>
                <w:bCs/>
                <w:lang w:val="en-US"/>
              </w:rPr>
              <w:t>օրենսգիրք</w:t>
            </w:r>
            <w:r w:rsidRPr="0053423A">
              <w:rPr>
                <w:rFonts w:eastAsiaTheme="minorHAnsi" w:cstheme="minorBidi"/>
                <w:bCs/>
              </w:rPr>
              <w:t>ի</w:t>
            </w:r>
            <w:r w:rsidRPr="0053423A">
              <w:rPr>
                <w:rFonts w:eastAsiaTheme="minorHAnsi" w:cstheme="minorBidi"/>
                <w:bCs/>
                <w:lang w:val="af-ZA"/>
              </w:rPr>
              <w:t>, 2006</w:t>
            </w:r>
            <w:r w:rsidRPr="0053423A">
              <w:rPr>
                <w:rFonts w:eastAsiaTheme="minorHAnsi" w:cstheme="minorBidi"/>
                <w:bCs/>
                <w:lang w:val="en-US"/>
              </w:rPr>
              <w:t>թ</w:t>
            </w:r>
            <w:r w:rsidRPr="0053423A">
              <w:rPr>
                <w:rFonts w:eastAsiaTheme="minorHAnsi" w:cstheme="minorBidi"/>
                <w:bCs/>
                <w:lang w:val="af-ZA"/>
              </w:rPr>
              <w:t xml:space="preserve">. </w:t>
            </w:r>
            <w:r w:rsidRPr="0053423A">
              <w:rPr>
                <w:rFonts w:eastAsiaTheme="minorHAnsi" w:cstheme="minorBidi"/>
                <w:bCs/>
                <w:lang w:val="en-US"/>
              </w:rPr>
              <w:t>նոյեմբերի</w:t>
            </w:r>
            <w:r w:rsidRPr="0053423A">
              <w:rPr>
                <w:rFonts w:eastAsiaTheme="minorHAnsi" w:cstheme="minorBidi"/>
                <w:bCs/>
                <w:lang w:val="af-ZA"/>
              </w:rPr>
              <w:t xml:space="preserve"> 27-</w:t>
            </w:r>
            <w:r w:rsidRPr="0053423A">
              <w:rPr>
                <w:rFonts w:eastAsiaTheme="minorHAnsi" w:cstheme="minorBidi"/>
                <w:bCs/>
                <w:lang w:val="en-US"/>
              </w:rPr>
              <w:t>ի</w:t>
            </w:r>
            <w:r w:rsidRPr="0053423A">
              <w:rPr>
                <w:rFonts w:eastAsiaTheme="minorHAnsi" w:cstheme="minorBidi"/>
                <w:lang w:val="af-ZA"/>
              </w:rPr>
              <w:t>«</w:t>
            </w:r>
            <w:r w:rsidRPr="0053423A">
              <w:rPr>
                <w:rFonts w:eastAsiaTheme="minorHAnsi" w:cstheme="minorBidi"/>
                <w:lang w:val="en-US"/>
              </w:rPr>
              <w:t>Հայաստանի</w:t>
            </w:r>
            <w:r w:rsidRPr="0053423A">
              <w:rPr>
                <w:rFonts w:eastAsiaTheme="minorHAnsi" w:cstheme="minorBidi"/>
                <w:lang w:val="af-ZA"/>
              </w:rPr>
              <w:t xml:space="preserve"> </w:t>
            </w:r>
            <w:r w:rsidRPr="0053423A">
              <w:rPr>
                <w:rFonts w:eastAsiaTheme="minorHAnsi" w:cstheme="minorBidi"/>
                <w:lang w:val="en-US"/>
              </w:rPr>
              <w:t>Հանրապետության</w:t>
            </w:r>
            <w:r w:rsidRPr="0053423A">
              <w:rPr>
                <w:rFonts w:eastAsiaTheme="minorHAnsi" w:cstheme="minorBidi"/>
                <w:lang w:val="af-ZA"/>
              </w:rPr>
              <w:t xml:space="preserve"> </w:t>
            </w:r>
            <w:r w:rsidRPr="0053423A">
              <w:rPr>
                <w:rFonts w:eastAsiaTheme="minorHAnsi" w:cstheme="minorBidi"/>
                <w:lang w:val="en-US"/>
              </w:rPr>
              <w:t>ջրի</w:t>
            </w:r>
            <w:r w:rsidRPr="0053423A">
              <w:rPr>
                <w:rFonts w:eastAsiaTheme="minorHAnsi" w:cstheme="minorBidi"/>
                <w:lang w:val="af-ZA"/>
              </w:rPr>
              <w:t xml:space="preserve"> </w:t>
            </w:r>
            <w:r w:rsidRPr="0053423A">
              <w:rPr>
                <w:rFonts w:eastAsiaTheme="minorHAnsi" w:cstheme="minorBidi"/>
                <w:lang w:val="en-US"/>
              </w:rPr>
              <w:t>ազգային</w:t>
            </w:r>
            <w:r w:rsidRPr="0053423A">
              <w:rPr>
                <w:rFonts w:eastAsiaTheme="minorHAnsi" w:cstheme="minorBidi"/>
                <w:lang w:val="af-ZA"/>
              </w:rPr>
              <w:t xml:space="preserve"> </w:t>
            </w:r>
            <w:r w:rsidRPr="0053423A">
              <w:rPr>
                <w:rFonts w:eastAsiaTheme="minorHAnsi" w:cstheme="minorBidi"/>
                <w:lang w:val="en-US"/>
              </w:rPr>
              <w:t>ծրագրի</w:t>
            </w:r>
            <w:r w:rsidRPr="0053423A">
              <w:rPr>
                <w:rFonts w:eastAsiaTheme="minorHAnsi" w:cstheme="minorBidi"/>
                <w:lang w:val="af-ZA"/>
              </w:rPr>
              <w:t xml:space="preserve"> </w:t>
            </w:r>
            <w:r w:rsidRPr="0053423A">
              <w:rPr>
                <w:rFonts w:eastAsiaTheme="minorHAnsi" w:cstheme="minorBidi"/>
                <w:lang w:val="en-US"/>
              </w:rPr>
              <w:t>մասին</w:t>
            </w:r>
            <w:r w:rsidRPr="0053423A">
              <w:rPr>
                <w:rFonts w:eastAsiaTheme="minorHAnsi" w:cstheme="minorBidi"/>
                <w:lang w:val="af-ZA"/>
              </w:rPr>
              <w:t xml:space="preserve">» </w:t>
            </w:r>
            <w:r w:rsidRPr="0053423A">
              <w:rPr>
                <w:rFonts w:eastAsiaTheme="minorHAnsi" w:cstheme="minorBidi"/>
                <w:lang w:val="en-US"/>
              </w:rPr>
              <w:t>ՀՀ</w:t>
            </w:r>
            <w:r w:rsidRPr="0053423A">
              <w:rPr>
                <w:rFonts w:eastAsiaTheme="minorHAnsi" w:cstheme="minorBidi"/>
                <w:lang w:val="af-ZA"/>
              </w:rPr>
              <w:t xml:space="preserve"> </w:t>
            </w:r>
            <w:r w:rsidRPr="0053423A">
              <w:rPr>
                <w:rFonts w:eastAsiaTheme="minorHAnsi" w:cstheme="minorBidi"/>
                <w:lang w:val="en-US"/>
              </w:rPr>
              <w:t>օրենք</w:t>
            </w:r>
            <w:r w:rsidRPr="0053423A">
              <w:rPr>
                <w:rFonts w:eastAsiaTheme="minorHAnsi" w:cstheme="minorBidi"/>
              </w:rPr>
              <w:t>ի</w:t>
            </w:r>
            <w:r w:rsidRPr="0053423A">
              <w:rPr>
                <w:rFonts w:eastAsiaTheme="minorHAnsi" w:cstheme="minorBidi"/>
                <w:lang w:val="af-ZA"/>
              </w:rPr>
              <w:t xml:space="preserve"> 2016-2017</w:t>
            </w:r>
            <w:r w:rsidRPr="0053423A">
              <w:rPr>
                <w:rFonts w:eastAsiaTheme="minorHAnsi" w:cstheme="minorBidi"/>
              </w:rPr>
              <w:t>թ</w:t>
            </w:r>
            <w:r w:rsidRPr="0053423A">
              <w:rPr>
                <w:rFonts w:eastAsiaTheme="minorHAnsi" w:cstheme="minorBidi"/>
                <w:lang w:val="af-ZA"/>
              </w:rPr>
              <w:t>.</w:t>
            </w:r>
            <w:r w:rsidRPr="0053423A">
              <w:rPr>
                <w:rFonts w:eastAsiaTheme="minorHAnsi" w:cstheme="minorBidi"/>
                <w:lang w:val="en-US"/>
              </w:rPr>
              <w:t>թ</w:t>
            </w:r>
            <w:r w:rsidRPr="0053423A">
              <w:rPr>
                <w:rFonts w:eastAsiaTheme="minorHAnsi" w:cstheme="minorBidi"/>
                <w:lang w:val="af-ZA"/>
              </w:rPr>
              <w:t xml:space="preserve">. </w:t>
            </w:r>
            <w:r w:rsidRPr="0053423A">
              <w:rPr>
                <w:rFonts w:eastAsiaTheme="minorHAnsi" w:cstheme="minorBidi"/>
                <w:lang w:val="en-US"/>
              </w:rPr>
              <w:t>ընթացքում</w:t>
            </w:r>
            <w:r w:rsidRPr="0053423A">
              <w:rPr>
                <w:rFonts w:eastAsiaTheme="minorHAnsi" w:cstheme="minorBidi"/>
                <w:lang w:val="af-ZA"/>
              </w:rPr>
              <w:t xml:space="preserve"> 6 </w:t>
            </w:r>
            <w:r w:rsidRPr="0053423A">
              <w:rPr>
                <w:rFonts w:eastAsiaTheme="minorHAnsi" w:cstheme="minorBidi"/>
                <w:lang w:val="en-US"/>
              </w:rPr>
              <w:t>ջրավազանային</w:t>
            </w:r>
            <w:r w:rsidRPr="0053423A">
              <w:rPr>
                <w:rFonts w:eastAsiaTheme="minorHAnsi" w:cstheme="minorBidi"/>
                <w:lang w:val="af-ZA"/>
              </w:rPr>
              <w:t xml:space="preserve"> </w:t>
            </w:r>
            <w:r w:rsidRPr="0053423A">
              <w:rPr>
                <w:rFonts w:eastAsiaTheme="minorHAnsi" w:cstheme="minorBidi"/>
                <w:lang w:val="en-US"/>
              </w:rPr>
              <w:t>կառավարման</w:t>
            </w:r>
            <w:r w:rsidRPr="0053423A">
              <w:rPr>
                <w:rFonts w:eastAsiaTheme="minorHAnsi" w:cstheme="minorBidi"/>
                <w:lang w:val="af-ZA"/>
              </w:rPr>
              <w:t xml:space="preserve"> </w:t>
            </w:r>
            <w:r w:rsidRPr="0053423A">
              <w:rPr>
                <w:rFonts w:eastAsiaTheme="minorHAnsi" w:cstheme="minorBidi"/>
                <w:lang w:val="en-US"/>
              </w:rPr>
              <w:t>պլաններից</w:t>
            </w:r>
            <w:r w:rsidRPr="0053423A">
              <w:rPr>
                <w:rFonts w:eastAsiaTheme="minorHAnsi" w:cstheme="minorBidi"/>
                <w:lang w:val="af-ZA"/>
              </w:rPr>
              <w:t xml:space="preserve"> </w:t>
            </w:r>
            <w:r w:rsidRPr="0053423A">
              <w:rPr>
                <w:rFonts w:eastAsiaTheme="minorHAnsi" w:cstheme="minorBidi"/>
              </w:rPr>
              <w:t>մշակվել</w:t>
            </w:r>
            <w:r w:rsidRPr="0053423A">
              <w:rPr>
                <w:rFonts w:eastAsiaTheme="minorHAnsi" w:cstheme="minorBidi"/>
                <w:lang w:val="af-ZA"/>
              </w:rPr>
              <w:t xml:space="preserve"> </w:t>
            </w:r>
            <w:r w:rsidRPr="0053423A">
              <w:rPr>
                <w:rFonts w:eastAsiaTheme="minorHAnsi" w:cstheme="minorBidi"/>
              </w:rPr>
              <w:t>և</w:t>
            </w:r>
            <w:r w:rsidRPr="0053423A">
              <w:rPr>
                <w:rFonts w:eastAsiaTheme="minorHAnsi" w:cstheme="minorBidi"/>
                <w:lang w:val="af-ZA"/>
              </w:rPr>
              <w:t xml:space="preserve"> </w:t>
            </w:r>
            <w:r w:rsidRPr="0053423A">
              <w:rPr>
                <w:rFonts w:eastAsiaTheme="minorHAnsi" w:cstheme="minorBidi"/>
              </w:rPr>
              <w:t>հաստատվել</w:t>
            </w:r>
            <w:r w:rsidRPr="0053423A">
              <w:rPr>
                <w:rFonts w:eastAsiaTheme="minorHAnsi" w:cstheme="minorBidi"/>
                <w:lang w:val="af-ZA"/>
              </w:rPr>
              <w:t xml:space="preserve"> </w:t>
            </w:r>
            <w:r w:rsidRPr="0053423A">
              <w:rPr>
                <w:rFonts w:eastAsiaTheme="minorHAnsi" w:cstheme="minorBidi"/>
                <w:lang w:val="en-US"/>
              </w:rPr>
              <w:t>է</w:t>
            </w:r>
            <w:r w:rsidRPr="0053423A">
              <w:rPr>
                <w:rFonts w:eastAsiaTheme="minorHAnsi" w:cstheme="minorBidi"/>
                <w:lang w:val="af-ZA"/>
              </w:rPr>
              <w:t xml:space="preserve"> 3-</w:t>
            </w:r>
            <w:r w:rsidRPr="0053423A">
              <w:rPr>
                <w:rFonts w:eastAsiaTheme="minorHAnsi" w:cstheme="minorBidi"/>
                <w:lang w:val="en-US"/>
              </w:rPr>
              <w:t>ը՝</w:t>
            </w:r>
            <w:r w:rsidRPr="0053423A">
              <w:rPr>
                <w:rFonts w:eastAsiaTheme="minorHAnsi" w:cstheme="minorBidi"/>
                <w:lang w:val="af-ZA"/>
              </w:rPr>
              <w:t xml:space="preserve">  </w:t>
            </w:r>
            <w:r w:rsidRPr="0053423A">
              <w:rPr>
                <w:rFonts w:eastAsiaTheme="minorHAnsi" w:cstheme="minorBidi"/>
                <w:lang w:val="en-US"/>
              </w:rPr>
              <w:t>Արարատյան</w:t>
            </w:r>
            <w:r w:rsidRPr="0053423A">
              <w:rPr>
                <w:rFonts w:eastAsiaTheme="minorHAnsi" w:cstheme="minorBidi"/>
                <w:lang w:val="af-ZA"/>
              </w:rPr>
              <w:t>,</w:t>
            </w:r>
            <w:r w:rsidRPr="0053423A">
              <w:rPr>
                <w:rFonts w:eastAsiaTheme="minorHAnsi" w:cstheme="minorBidi"/>
                <w:lang w:val="en-US"/>
              </w:rPr>
              <w:t>Հարավային</w:t>
            </w:r>
            <w:r w:rsidRPr="0053423A">
              <w:rPr>
                <w:rFonts w:eastAsiaTheme="minorHAnsi" w:cstheme="minorBidi"/>
                <w:lang w:val="af-ZA"/>
              </w:rPr>
              <w:t xml:space="preserve"> </w:t>
            </w:r>
            <w:r w:rsidRPr="0053423A">
              <w:rPr>
                <w:rFonts w:eastAsiaTheme="minorHAnsi" w:cstheme="minorBidi"/>
              </w:rPr>
              <w:t>և</w:t>
            </w:r>
            <w:r w:rsidRPr="0053423A">
              <w:rPr>
                <w:rFonts w:eastAsiaTheme="minorHAnsi" w:cstheme="minorBidi"/>
                <w:lang w:val="af-ZA"/>
              </w:rPr>
              <w:t xml:space="preserve"> </w:t>
            </w:r>
            <w:r w:rsidRPr="0053423A">
              <w:rPr>
                <w:rFonts w:eastAsiaTheme="minorHAnsi" w:cstheme="minorBidi"/>
              </w:rPr>
              <w:t>Ախուրյան</w:t>
            </w:r>
            <w:r w:rsidRPr="0053423A">
              <w:rPr>
                <w:rFonts w:eastAsiaTheme="minorHAnsi" w:cstheme="minorBidi"/>
                <w:lang w:val="af-ZA"/>
              </w:rPr>
              <w:t xml:space="preserve"> </w:t>
            </w:r>
            <w:r w:rsidRPr="0053423A">
              <w:rPr>
                <w:rFonts w:eastAsiaTheme="minorHAnsi" w:cstheme="minorBidi"/>
                <w:lang w:val="en-US"/>
              </w:rPr>
              <w:t>ջրավազանային</w:t>
            </w:r>
            <w:r w:rsidRPr="0053423A">
              <w:rPr>
                <w:rFonts w:eastAsiaTheme="minorHAnsi" w:cstheme="minorBidi"/>
                <w:lang w:val="af-ZA"/>
              </w:rPr>
              <w:t xml:space="preserve"> </w:t>
            </w:r>
            <w:r w:rsidRPr="0053423A">
              <w:rPr>
                <w:rFonts w:eastAsiaTheme="minorHAnsi" w:cstheme="minorBidi"/>
                <w:lang w:val="en-US"/>
              </w:rPr>
              <w:t>կառավարման</w:t>
            </w:r>
            <w:r w:rsidRPr="0053423A">
              <w:rPr>
                <w:rFonts w:eastAsiaTheme="minorHAnsi" w:cstheme="minorBidi"/>
                <w:lang w:val="af-ZA"/>
              </w:rPr>
              <w:t xml:space="preserve"> </w:t>
            </w:r>
            <w:r w:rsidRPr="0053423A">
              <w:rPr>
                <w:rFonts w:eastAsiaTheme="minorHAnsi" w:cstheme="minorBidi"/>
                <w:lang w:val="en-US"/>
              </w:rPr>
              <w:t>պլաններ</w:t>
            </w:r>
            <w:r w:rsidRPr="0053423A">
              <w:rPr>
                <w:rFonts w:eastAsiaTheme="minorHAnsi" w:cstheme="minorBidi"/>
              </w:rPr>
              <w:t>ը</w:t>
            </w:r>
            <w:r w:rsidRPr="0053423A">
              <w:rPr>
                <w:rFonts w:eastAsiaTheme="minorHAnsi" w:cstheme="minorBidi"/>
                <w:lang w:val="af-ZA"/>
              </w:rPr>
              <w:t xml:space="preserve">: Մշակման ընթացքում է </w:t>
            </w:r>
            <w:r w:rsidRPr="0053423A">
              <w:rPr>
                <w:rFonts w:eastAsiaTheme="minorHAnsi" w:cstheme="minorBidi"/>
              </w:rPr>
              <w:t>Սևանի</w:t>
            </w:r>
            <w:r w:rsidRPr="0053423A">
              <w:rPr>
                <w:rFonts w:eastAsiaTheme="minorHAnsi" w:cstheme="minorBidi"/>
                <w:lang w:val="af-ZA"/>
              </w:rPr>
              <w:t xml:space="preserve"> </w:t>
            </w:r>
            <w:r w:rsidRPr="0053423A">
              <w:rPr>
                <w:rFonts w:eastAsiaTheme="minorHAnsi" w:cstheme="minorBidi"/>
              </w:rPr>
              <w:t>և</w:t>
            </w:r>
            <w:r w:rsidRPr="0053423A">
              <w:rPr>
                <w:rFonts w:eastAsiaTheme="minorHAnsi" w:cstheme="minorBidi"/>
                <w:lang w:val="af-ZA"/>
              </w:rPr>
              <w:t xml:space="preserve"> </w:t>
            </w:r>
            <w:r w:rsidRPr="0053423A">
              <w:rPr>
                <w:rFonts w:eastAsiaTheme="minorHAnsi" w:cstheme="minorBidi"/>
              </w:rPr>
              <w:t>Հրազդանի</w:t>
            </w:r>
            <w:r w:rsidRPr="0053423A">
              <w:rPr>
                <w:rFonts w:eastAsiaTheme="minorHAnsi" w:cstheme="minorBidi"/>
                <w:lang w:val="af-ZA"/>
              </w:rPr>
              <w:t xml:space="preserve"> </w:t>
            </w:r>
            <w:r w:rsidRPr="0053423A">
              <w:rPr>
                <w:rFonts w:eastAsiaTheme="minorHAnsi" w:cstheme="minorBidi"/>
              </w:rPr>
              <w:t>ջրավազանային</w:t>
            </w:r>
            <w:r w:rsidRPr="0053423A">
              <w:rPr>
                <w:rFonts w:eastAsiaTheme="minorHAnsi" w:cstheme="minorBidi"/>
                <w:lang w:val="af-ZA"/>
              </w:rPr>
              <w:t xml:space="preserve"> </w:t>
            </w:r>
            <w:r w:rsidRPr="0053423A">
              <w:rPr>
                <w:rFonts w:eastAsiaTheme="minorHAnsi" w:cstheme="minorBidi"/>
              </w:rPr>
              <w:t>տարածքների</w:t>
            </w:r>
            <w:r w:rsidRPr="0053423A">
              <w:rPr>
                <w:rFonts w:eastAsiaTheme="minorHAnsi" w:cstheme="minorBidi"/>
                <w:lang w:val="af-ZA"/>
              </w:rPr>
              <w:t xml:space="preserve"> </w:t>
            </w:r>
            <w:r w:rsidRPr="0053423A">
              <w:rPr>
                <w:rFonts w:eastAsiaTheme="minorHAnsi" w:cstheme="minorBidi"/>
              </w:rPr>
              <w:t>կառավարման</w:t>
            </w:r>
            <w:r w:rsidRPr="0053423A">
              <w:rPr>
                <w:rFonts w:eastAsiaTheme="minorHAnsi" w:cstheme="minorBidi"/>
                <w:lang w:val="af-ZA"/>
              </w:rPr>
              <w:t xml:space="preserve"> </w:t>
            </w:r>
            <w:r w:rsidRPr="0053423A">
              <w:rPr>
                <w:rFonts w:eastAsiaTheme="minorHAnsi" w:cstheme="minorBidi"/>
              </w:rPr>
              <w:t>պլաններ</w:t>
            </w:r>
            <w:r w:rsidRPr="0053423A">
              <w:rPr>
                <w:rFonts w:eastAsiaTheme="minorHAnsi" w:cstheme="minorBidi"/>
                <w:lang w:val="en-US"/>
              </w:rPr>
              <w:t>ը</w:t>
            </w:r>
            <w:r w:rsidRPr="0053423A">
              <w:rPr>
                <w:rFonts w:eastAsiaTheme="minorHAnsi" w:cstheme="minorBidi"/>
                <w:lang w:val="af-ZA"/>
              </w:rPr>
              <w:t>:</w:t>
            </w:r>
            <w:r w:rsidRPr="0053423A">
              <w:rPr>
                <w:rFonts w:eastAsiaTheme="minorHAnsi" w:cstheme="minorBidi"/>
                <w:bCs/>
                <w:lang w:val="af-ZA"/>
              </w:rPr>
              <w:t xml:space="preserve"> </w:t>
            </w:r>
            <w:r w:rsidRPr="0053423A">
              <w:rPr>
                <w:rFonts w:eastAsiaTheme="minorHAnsi" w:cstheme="minorBidi"/>
                <w:bCs/>
                <w:lang w:val="en-US"/>
              </w:rPr>
              <w:t>Ներակայու</w:t>
            </w:r>
            <w:r w:rsidRPr="0053423A">
              <w:rPr>
                <w:rFonts w:eastAsiaTheme="minorHAnsi" w:cstheme="minorBidi"/>
                <w:bCs/>
              </w:rPr>
              <w:t>մ</w:t>
            </w:r>
            <w:r w:rsidRPr="0053423A">
              <w:rPr>
                <w:rFonts w:eastAsiaTheme="minorHAnsi" w:cstheme="minorBidi"/>
                <w:bCs/>
                <w:lang w:val="af-ZA"/>
              </w:rPr>
              <w:t xml:space="preserve"> </w:t>
            </w:r>
            <w:r w:rsidRPr="0053423A">
              <w:rPr>
                <w:rFonts w:eastAsiaTheme="minorHAnsi" w:cstheme="minorBidi"/>
                <w:bCs/>
                <w:lang w:val="en-US"/>
              </w:rPr>
              <w:t>Հյուսիսային</w:t>
            </w:r>
            <w:r w:rsidRPr="0053423A">
              <w:rPr>
                <w:rFonts w:eastAsiaTheme="minorHAnsi" w:cstheme="minorBidi"/>
                <w:bCs/>
                <w:lang w:val="af-ZA"/>
              </w:rPr>
              <w:t xml:space="preserve"> </w:t>
            </w:r>
            <w:r w:rsidRPr="0053423A">
              <w:rPr>
                <w:rFonts w:eastAsiaTheme="minorHAnsi" w:cstheme="minorBidi"/>
                <w:bCs/>
                <w:lang w:val="en-US"/>
              </w:rPr>
              <w:t>ջրավազանային</w:t>
            </w:r>
            <w:r w:rsidRPr="0053423A">
              <w:rPr>
                <w:rFonts w:eastAsiaTheme="minorHAnsi" w:cstheme="minorBidi"/>
                <w:bCs/>
                <w:lang w:val="af-ZA"/>
              </w:rPr>
              <w:t xml:space="preserve"> </w:t>
            </w:r>
            <w:r w:rsidRPr="0053423A">
              <w:rPr>
                <w:rFonts w:eastAsiaTheme="minorHAnsi" w:cstheme="minorBidi"/>
                <w:bCs/>
                <w:lang w:val="en-US"/>
              </w:rPr>
              <w:t>կառավարման</w:t>
            </w:r>
            <w:r w:rsidRPr="0053423A">
              <w:rPr>
                <w:rFonts w:eastAsiaTheme="minorHAnsi" w:cstheme="minorBidi"/>
                <w:bCs/>
                <w:lang w:val="af-ZA"/>
              </w:rPr>
              <w:t xml:space="preserve"> </w:t>
            </w:r>
            <w:r w:rsidRPr="0053423A">
              <w:rPr>
                <w:rFonts w:eastAsiaTheme="minorHAnsi" w:cstheme="minorBidi"/>
                <w:bCs/>
                <w:lang w:val="en-US"/>
              </w:rPr>
              <w:t>պլանը</w:t>
            </w:r>
            <w:r w:rsidRPr="0053423A">
              <w:rPr>
                <w:rFonts w:eastAsiaTheme="minorHAnsi" w:cstheme="minorBidi"/>
                <w:bCs/>
                <w:lang w:val="af-ZA"/>
              </w:rPr>
              <w:t xml:space="preserve"> </w:t>
            </w:r>
            <w:r w:rsidRPr="0053423A">
              <w:rPr>
                <w:rFonts w:eastAsiaTheme="minorHAnsi" w:cstheme="minorBidi"/>
                <w:bCs/>
                <w:lang w:val="en-US"/>
              </w:rPr>
              <w:t>մշակված</w:t>
            </w:r>
            <w:r w:rsidRPr="0053423A">
              <w:rPr>
                <w:rFonts w:eastAsiaTheme="minorHAnsi" w:cstheme="minorBidi"/>
                <w:bCs/>
                <w:lang w:val="af-ZA"/>
              </w:rPr>
              <w:t xml:space="preserve"> </w:t>
            </w:r>
            <w:r w:rsidRPr="0053423A">
              <w:rPr>
                <w:rFonts w:eastAsiaTheme="minorHAnsi" w:cstheme="minorBidi"/>
                <w:bCs/>
                <w:lang w:val="en-US"/>
              </w:rPr>
              <w:t>չէ՝</w:t>
            </w:r>
            <w:r w:rsidRPr="0053423A">
              <w:rPr>
                <w:rFonts w:eastAsiaTheme="minorHAnsi" w:cstheme="minorBidi"/>
                <w:bCs/>
                <w:lang w:val="af-ZA"/>
              </w:rPr>
              <w:t xml:space="preserve"> </w:t>
            </w:r>
            <w:r w:rsidRPr="0053423A">
              <w:rPr>
                <w:rFonts w:eastAsiaTheme="minorHAnsi" w:cstheme="minorBidi"/>
                <w:bCs/>
              </w:rPr>
              <w:t>համապատասխան</w:t>
            </w:r>
            <w:r w:rsidRPr="0053423A">
              <w:rPr>
                <w:rFonts w:eastAsiaTheme="minorHAnsi" w:cstheme="minorBidi"/>
                <w:bCs/>
                <w:lang w:val="af-ZA"/>
              </w:rPr>
              <w:t xml:space="preserve"> </w:t>
            </w:r>
            <w:r w:rsidRPr="0053423A">
              <w:rPr>
                <w:rFonts w:eastAsiaTheme="minorHAnsi" w:cstheme="minorBidi"/>
                <w:bCs/>
              </w:rPr>
              <w:t>միջոցների</w:t>
            </w:r>
            <w:r w:rsidRPr="0053423A">
              <w:rPr>
                <w:rFonts w:eastAsiaTheme="minorHAnsi" w:cstheme="minorBidi"/>
                <w:bCs/>
                <w:lang w:val="af-ZA"/>
              </w:rPr>
              <w:t xml:space="preserve"> </w:t>
            </w:r>
            <w:r w:rsidRPr="0053423A">
              <w:rPr>
                <w:rFonts w:eastAsiaTheme="minorHAnsi" w:cstheme="minorBidi"/>
                <w:bCs/>
              </w:rPr>
              <w:t>բացակայության</w:t>
            </w:r>
            <w:r w:rsidRPr="0053423A">
              <w:rPr>
                <w:rFonts w:eastAsiaTheme="minorHAnsi" w:cstheme="minorBidi"/>
                <w:bCs/>
                <w:lang w:val="af-ZA"/>
              </w:rPr>
              <w:t xml:space="preserve"> </w:t>
            </w:r>
            <w:r w:rsidRPr="0053423A">
              <w:rPr>
                <w:rFonts w:eastAsiaTheme="minorHAnsi" w:cstheme="minorBidi"/>
                <w:bCs/>
              </w:rPr>
              <w:t>պատճառով</w:t>
            </w:r>
            <w:r w:rsidRPr="0053423A">
              <w:rPr>
                <w:rFonts w:eastAsiaTheme="minorHAnsi" w:cstheme="minorBidi"/>
                <w:bCs/>
                <w:lang w:val="af-ZA"/>
              </w:rPr>
              <w:t xml:space="preserve">: </w:t>
            </w:r>
            <w:r w:rsidRPr="0053423A">
              <w:rPr>
                <w:rFonts w:eastAsiaTheme="minorHAnsi" w:cstheme="minorBidi"/>
                <w:lang w:val="af-ZA"/>
              </w:rPr>
              <w:tab/>
            </w:r>
            <w:r w:rsidRPr="0053423A">
              <w:rPr>
                <w:rFonts w:eastAsiaTheme="minorHAnsi" w:cstheme="minorBidi"/>
                <w:lang w:val="en-US"/>
              </w:rPr>
              <w:t>Մ</w:t>
            </w:r>
            <w:r w:rsidRPr="0053423A">
              <w:rPr>
                <w:rFonts w:eastAsiaTheme="minorHAnsi" w:cstheme="minorBidi"/>
                <w:lang w:val="hy-AM"/>
              </w:rPr>
              <w:t>իջոցառման իրականացման համար անհրաժեշտ է</w:t>
            </w:r>
            <w:r w:rsidRPr="0053423A">
              <w:rPr>
                <w:rFonts w:eastAsiaTheme="minorHAnsi" w:cstheme="minorBidi"/>
                <w:lang w:val="af-ZA"/>
              </w:rPr>
              <w:t xml:space="preserve"> </w:t>
            </w:r>
            <w:r w:rsidRPr="0053423A">
              <w:rPr>
                <w:rFonts w:eastAsiaTheme="minorHAnsi" w:cstheme="minorBidi"/>
                <w:lang w:val="en-US"/>
              </w:rPr>
              <w:t>մոտ</w:t>
            </w:r>
            <w:r w:rsidRPr="0053423A">
              <w:rPr>
                <w:rFonts w:eastAsiaTheme="minorHAnsi" w:cstheme="minorBidi"/>
                <w:lang w:val="hy-AM"/>
              </w:rPr>
              <w:t xml:space="preserve"> </w:t>
            </w:r>
            <w:r w:rsidRPr="0053423A">
              <w:rPr>
                <w:rFonts w:eastAsiaTheme="minorHAnsi" w:cstheme="minorBidi"/>
                <w:lang w:val="af-ZA"/>
              </w:rPr>
              <w:t>3</w:t>
            </w:r>
            <w:r w:rsidRPr="0053423A">
              <w:rPr>
                <w:rFonts w:eastAsiaTheme="minorHAnsi" w:cstheme="minorBidi"/>
                <w:lang w:val="hy-AM"/>
              </w:rPr>
              <w:t>4</w:t>
            </w:r>
            <w:r w:rsidRPr="0053423A">
              <w:rPr>
                <w:rFonts w:eastAsiaTheme="minorHAnsi" w:cstheme="minorBidi"/>
                <w:lang w:val="af-ZA"/>
              </w:rPr>
              <w:t>.</w:t>
            </w:r>
            <w:r w:rsidRPr="0053423A">
              <w:rPr>
                <w:rFonts w:eastAsiaTheme="minorHAnsi" w:cstheme="minorBidi"/>
                <w:lang w:val="hy-AM"/>
              </w:rPr>
              <w:t>000</w:t>
            </w:r>
            <w:r w:rsidRPr="0053423A">
              <w:rPr>
                <w:rFonts w:eastAsiaTheme="minorHAnsi" w:cstheme="minorBidi"/>
                <w:lang w:val="af-ZA"/>
              </w:rPr>
              <w:t>.0</w:t>
            </w:r>
            <w:r w:rsidRPr="0053423A">
              <w:rPr>
                <w:rFonts w:eastAsiaTheme="minorHAnsi" w:cstheme="minorBidi"/>
                <w:lang w:val="hy-AM"/>
              </w:rPr>
              <w:t xml:space="preserve"> հազ. դրամ, որի ֆինանսավորման աղբյուրը դեռևս </w:t>
            </w:r>
            <w:r w:rsidRPr="0053423A">
              <w:rPr>
                <w:rFonts w:eastAsiaTheme="minorHAnsi" w:cstheme="minorBidi"/>
                <w:lang w:val="en-US"/>
              </w:rPr>
              <w:t>հստակեցված</w:t>
            </w:r>
            <w:r w:rsidRPr="0053423A">
              <w:rPr>
                <w:rFonts w:eastAsiaTheme="minorHAnsi" w:cstheme="minorBidi"/>
                <w:lang w:val="af-ZA"/>
              </w:rPr>
              <w:t xml:space="preserve"> </w:t>
            </w:r>
            <w:r w:rsidRPr="0053423A">
              <w:rPr>
                <w:rFonts w:eastAsiaTheme="minorHAnsi" w:cstheme="minorBidi"/>
                <w:lang w:val="hy-AM"/>
              </w:rPr>
              <w:t>չէ</w:t>
            </w:r>
            <w:r w:rsidRPr="0053423A">
              <w:rPr>
                <w:rFonts w:eastAsiaTheme="minorHAnsi" w:cstheme="minorBidi"/>
                <w:lang w:val="af-ZA"/>
              </w:rPr>
              <w:t>:</w:t>
            </w:r>
            <w:r w:rsidRPr="0053423A">
              <w:rPr>
                <w:rFonts w:eastAsiaTheme="minorHAnsi" w:cstheme="minorBidi"/>
                <w:b/>
                <w:bCs/>
                <w:lang w:val="af-ZA"/>
              </w:rPr>
              <w:t xml:space="preserve"> </w:t>
            </w:r>
          </w:p>
          <w:p w:rsidR="006B0618" w:rsidRPr="0053423A" w:rsidRDefault="003F5E5F" w:rsidP="00A67858">
            <w:pPr>
              <w:numPr>
                <w:ilvl w:val="1"/>
                <w:numId w:val="44"/>
              </w:numPr>
              <w:spacing w:line="276" w:lineRule="auto"/>
              <w:jc w:val="both"/>
              <w:rPr>
                <w:rFonts w:eastAsiaTheme="minorHAnsi" w:cstheme="minorBidi"/>
                <w:b/>
              </w:rPr>
            </w:pPr>
            <w:r w:rsidRPr="0053423A">
              <w:rPr>
                <w:rFonts w:eastAsiaTheme="minorHAnsi" w:cstheme="minorBidi"/>
                <w:b/>
                <w:lang w:val="en-US"/>
              </w:rPr>
              <w:t>Ա</w:t>
            </w:r>
            <w:r w:rsidR="006B0618" w:rsidRPr="0053423A">
              <w:rPr>
                <w:rFonts w:eastAsiaTheme="minorHAnsi" w:cstheme="minorBidi"/>
                <w:b/>
                <w:lang w:val="en-US"/>
              </w:rPr>
              <w:t>ռկա խնդիրների առաջարկվող լուծումները</w:t>
            </w:r>
          </w:p>
          <w:p w:rsidR="006B0618" w:rsidRPr="0053423A" w:rsidRDefault="003F5E5F" w:rsidP="00A67858">
            <w:pPr>
              <w:spacing w:line="276" w:lineRule="auto"/>
              <w:jc w:val="both"/>
              <w:rPr>
                <w:rFonts w:eastAsiaTheme="minorHAnsi" w:cstheme="minorBidi"/>
              </w:rPr>
            </w:pPr>
            <w:r w:rsidRPr="0053423A">
              <w:rPr>
                <w:rFonts w:eastAsiaTheme="minorHAnsi" w:cstheme="minorBidi"/>
                <w:lang w:val="hy-AM"/>
              </w:rPr>
              <w:t xml:space="preserve">    </w:t>
            </w:r>
            <w:r w:rsidR="006B0618" w:rsidRPr="0053423A">
              <w:rPr>
                <w:rFonts w:eastAsiaTheme="minorHAnsi" w:cstheme="minorBidi"/>
              </w:rPr>
              <w:t xml:space="preserve">Հյուսիսային ջրավազանային տարածքի կառավարման պլանի մշակում և հաստատում: </w:t>
            </w:r>
          </w:p>
          <w:p w:rsidR="006B0618" w:rsidRPr="0053423A" w:rsidRDefault="003F5E5F" w:rsidP="00A67858">
            <w:pPr>
              <w:spacing w:line="276" w:lineRule="auto"/>
              <w:jc w:val="both"/>
              <w:rPr>
                <w:rFonts w:eastAsiaTheme="minorHAnsi" w:cstheme="minorBidi"/>
                <w:lang w:val="hy-AM"/>
              </w:rPr>
            </w:pPr>
            <w:r w:rsidRPr="0053423A">
              <w:rPr>
                <w:rFonts w:eastAsiaTheme="minorHAnsi" w:cstheme="minorBidi"/>
                <w:lang w:val="hy-AM"/>
              </w:rPr>
              <w:t xml:space="preserve">    </w:t>
            </w:r>
            <w:r w:rsidR="006B0618" w:rsidRPr="0053423A">
              <w:rPr>
                <w:rFonts w:eastAsiaTheme="minorHAnsi" w:cstheme="minorBidi"/>
                <w:lang w:val="hy-AM"/>
              </w:rPr>
              <w:t xml:space="preserve">Հյուսիսային ջրավազանային տարածքի կառավարման պլանի  մշակման ընթացքում համակատարող՝ Էներգետիկ ենթակառուցվածքների և բնական պաշարների, գյուղատնտեսության, արտակարգ իրավիճակների, տարածքային կառավարման և զարգացման, առողջապահության, ֆինանսների, տնտեսական զարգացման և ներդրումների նախարարությունները յուրաքանչյուրը  իր իրավասությունների սահմանմաններում տրամադրում է պլանի նախագծի մշակման համար անհրաժեշտ տվյալներ: Մասնակցում  են նախագծի մշակման ընթացքում կազմակերպվող քննարկումներին, լսումներին և տալիս եզրակացություններ:  </w:t>
            </w:r>
          </w:p>
          <w:p w:rsidR="006B0618" w:rsidRPr="0053423A" w:rsidRDefault="006B0618" w:rsidP="00A67858">
            <w:pPr>
              <w:spacing w:line="276" w:lineRule="auto"/>
              <w:ind w:firstLine="193"/>
              <w:jc w:val="both"/>
              <w:rPr>
                <w:rFonts w:eastAsiaTheme="minorHAnsi" w:cstheme="minorBidi"/>
                <w:i/>
                <w:lang w:val="hy-AM"/>
              </w:rPr>
            </w:pPr>
            <w:r w:rsidRPr="0053423A">
              <w:rPr>
                <w:rFonts w:eastAsiaTheme="minorHAnsi" w:cstheme="minorBidi"/>
                <w:b/>
                <w:i/>
                <w:lang w:val="hy-AM"/>
              </w:rPr>
              <w:t>2. Միջոցառման իրականացումից ակնկալվող արդյունքը</w:t>
            </w:r>
          </w:p>
          <w:p w:rsidR="006B0618" w:rsidRPr="0053423A" w:rsidRDefault="006B0618" w:rsidP="00A67858">
            <w:pPr>
              <w:spacing w:line="276" w:lineRule="auto"/>
              <w:ind w:firstLine="283"/>
              <w:jc w:val="both"/>
              <w:rPr>
                <w:rFonts w:eastAsiaTheme="minorHAnsi" w:cstheme="minorBidi"/>
                <w:lang w:val="hy-AM"/>
              </w:rPr>
            </w:pPr>
            <w:r w:rsidRPr="0053423A">
              <w:rPr>
                <w:rFonts w:eastAsiaTheme="minorHAnsi" w:cstheme="minorBidi"/>
                <w:lang w:val="hy-AM"/>
              </w:rPr>
              <w:t xml:space="preserve"> Հյուսիսային ջրավազանային տարածքի կառավարման պլանի կազմումը</w:t>
            </w:r>
            <w:r w:rsidRPr="0053423A">
              <w:rPr>
                <w:rFonts w:eastAsiaTheme="minorHAnsi" w:cstheme="minorBidi"/>
                <w:b/>
                <w:lang w:val="hy-AM"/>
              </w:rPr>
              <w:t xml:space="preserve"> </w:t>
            </w:r>
            <w:r w:rsidRPr="0053423A">
              <w:rPr>
                <w:rFonts w:eastAsiaTheme="minorHAnsi" w:cstheme="minorBidi"/>
                <w:lang w:val="hy-AM"/>
              </w:rPr>
              <w:t xml:space="preserve">կնպաստի Հյուսիսային ջրավազանում ջրի ազգային ու ռազմավարական պաշարների հստակեցմանը, ջրի առաջարկի և պահանջարկի հավասարակշռմանը, որը իր հերթին կբերի ջրային ռեսուրսի արդյունավետ և ճիշտ կառավարմանը, ինչպես նաև ջրային ռեսուրսի խնայողությանը: </w:t>
            </w:r>
          </w:p>
          <w:p w:rsidR="006B0618" w:rsidRPr="0053423A" w:rsidRDefault="006B0618" w:rsidP="00A67858">
            <w:pPr>
              <w:spacing w:line="276" w:lineRule="auto"/>
              <w:rPr>
                <w:rFonts w:eastAsiaTheme="minorHAnsi" w:cstheme="minorBidi"/>
                <w:lang w:val="hy-AM"/>
              </w:rPr>
            </w:pPr>
          </w:p>
          <w:p w:rsidR="006B0618" w:rsidRPr="0053423A" w:rsidRDefault="006B0618" w:rsidP="00A67858">
            <w:pPr>
              <w:numPr>
                <w:ilvl w:val="1"/>
                <w:numId w:val="62"/>
              </w:numPr>
              <w:spacing w:line="276" w:lineRule="auto"/>
              <w:rPr>
                <w:rFonts w:eastAsiaTheme="minorHAnsi" w:cstheme="minorBidi"/>
                <w:b/>
                <w:bCs/>
                <w:u w:val="single"/>
                <w:lang w:val="pt-BR"/>
              </w:rPr>
            </w:pPr>
            <w:r w:rsidRPr="0053423A">
              <w:rPr>
                <w:rFonts w:eastAsiaTheme="minorHAnsi" w:cstheme="minorBidi"/>
                <w:b/>
                <w:u w:val="single"/>
                <w:lang w:val="hy-AM"/>
              </w:rPr>
              <w:t>«Գետի ինքնամաքրման կարողության գնահատման մեթոդը և վերջինիս կիրարկման մեխանիզմները սահմանելու մասին» Կառավարության որոշման նախագիծը վարչապետի աշխատակազմ ներկայացնելը</w:t>
            </w:r>
            <w:r w:rsidRPr="0053423A">
              <w:rPr>
                <w:rFonts w:eastAsiaTheme="minorHAnsi" w:cstheme="minorBidi"/>
                <w:b/>
                <w:bCs/>
                <w:u w:val="single"/>
                <w:lang w:val="pt-BR"/>
              </w:rPr>
              <w:t></w:t>
            </w:r>
          </w:p>
          <w:p w:rsidR="006B0618" w:rsidRPr="0053423A" w:rsidRDefault="006B0618" w:rsidP="00A67858">
            <w:pPr>
              <w:numPr>
                <w:ilvl w:val="0"/>
                <w:numId w:val="46"/>
              </w:numPr>
              <w:spacing w:line="276" w:lineRule="auto"/>
              <w:rPr>
                <w:rFonts w:eastAsiaTheme="minorHAnsi" w:cstheme="minorBidi"/>
                <w:b/>
                <w:i/>
                <w:lang w:val="hy-AM"/>
              </w:rPr>
            </w:pPr>
            <w:r w:rsidRPr="0053423A">
              <w:rPr>
                <w:rFonts w:eastAsiaTheme="minorHAnsi" w:cstheme="minorBidi"/>
                <w:b/>
                <w:i/>
                <w:lang w:val="hy-AM"/>
              </w:rPr>
              <w:t>Միջոցառման իրակացման անհրաժեշտությունը և նպատակը</w:t>
            </w:r>
          </w:p>
          <w:p w:rsidR="006B0618" w:rsidRPr="0053423A" w:rsidRDefault="006B0618" w:rsidP="00A67858">
            <w:pPr>
              <w:spacing w:line="276" w:lineRule="auto"/>
              <w:ind w:firstLine="733"/>
              <w:rPr>
                <w:rFonts w:eastAsiaTheme="minorHAnsi" w:cstheme="minorBidi"/>
                <w:b/>
                <w:lang w:val="hy-AM"/>
              </w:rPr>
            </w:pPr>
            <w:r w:rsidRPr="0053423A">
              <w:rPr>
                <w:rFonts w:eastAsiaTheme="minorHAnsi" w:cstheme="minorBidi"/>
                <w:b/>
                <w:lang w:val="hy-AM"/>
              </w:rPr>
              <w:t>1.1. Կարգավորման հարաբերությունների ներկա վիճակը և առկա խնդիրները</w:t>
            </w:r>
          </w:p>
          <w:p w:rsidR="006B0618" w:rsidRPr="0053423A" w:rsidRDefault="003F5E5F" w:rsidP="00A67858">
            <w:pPr>
              <w:spacing w:line="276" w:lineRule="auto"/>
              <w:jc w:val="both"/>
              <w:rPr>
                <w:rFonts w:eastAsiaTheme="minorHAnsi" w:cstheme="minorBidi"/>
                <w:lang w:val="hy-AM"/>
              </w:rPr>
            </w:pPr>
            <w:r w:rsidRPr="0053423A">
              <w:rPr>
                <w:rFonts w:eastAsiaTheme="minorHAnsi" w:cstheme="minorBidi"/>
                <w:lang w:val="hy-AM"/>
              </w:rPr>
              <w:t xml:space="preserve">         Միջո</w:t>
            </w:r>
            <w:r w:rsidR="006B0618" w:rsidRPr="0053423A">
              <w:rPr>
                <w:rFonts w:eastAsiaTheme="minorHAnsi" w:cstheme="minorBidi"/>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Ջրային ռեսուրսների կառավարման արդյունավետության բարձրացում ուղղությունը և ՀՀ ջրային օրենսգրքի 10-րդ հոդվածի 1-ին մասի 8-րդ կետը, ՀՀ կառավարության 2016 թվականի հունիսի 23-ի N751-Ն որոշումը և Կառավարության կառուցվածքի և գործունեության մասին ՀՀ օրենքի հավելվածի 6-րդ կետի համաձայն:</w:t>
            </w:r>
          </w:p>
          <w:p w:rsidR="006B0618" w:rsidRPr="0053423A" w:rsidRDefault="006B0618" w:rsidP="00A67858">
            <w:pPr>
              <w:spacing w:line="276" w:lineRule="auto"/>
              <w:jc w:val="both"/>
              <w:rPr>
                <w:rFonts w:eastAsiaTheme="minorHAnsi" w:cstheme="minorBidi"/>
                <w:lang w:val="hy-AM"/>
              </w:rPr>
            </w:pPr>
            <w:r w:rsidRPr="0053423A">
              <w:rPr>
                <w:rFonts w:eastAsiaTheme="minorHAnsi" w:cstheme="minorBidi"/>
                <w:lang w:val="hy-AM"/>
              </w:rPr>
              <w:t>«Գետի ինքնամաքրման կարողության գնահատման մեթոդը և վերջինիս կիրարկման մեխանիզմները սահմանելու մասին» Կառավարության որոշման նախագծի մշակման անհրաժեշտությունը բխում է Հայաստանի Հանրապետության ջրային օրենսգրքի պահանջից:</w:t>
            </w:r>
          </w:p>
          <w:p w:rsidR="006B0618" w:rsidRPr="0053423A" w:rsidRDefault="006B0618" w:rsidP="00A67858">
            <w:pPr>
              <w:spacing w:line="276" w:lineRule="auto"/>
              <w:ind w:firstLine="643"/>
              <w:rPr>
                <w:rFonts w:eastAsiaTheme="minorHAnsi" w:cstheme="minorBidi"/>
                <w:b/>
                <w:lang w:val="hy-AM"/>
              </w:rPr>
            </w:pPr>
            <w:r w:rsidRPr="0053423A">
              <w:rPr>
                <w:rFonts w:eastAsiaTheme="minorHAnsi" w:cstheme="minorBidi"/>
                <w:b/>
                <w:lang w:val="hy-AM"/>
              </w:rPr>
              <w:t>1.2. Առկա խնդիրների առաջարկվող լուծումները</w:t>
            </w:r>
          </w:p>
          <w:p w:rsidR="006B0618" w:rsidRPr="0053423A" w:rsidRDefault="006B0618" w:rsidP="00A67858">
            <w:pPr>
              <w:spacing w:line="276" w:lineRule="auto"/>
              <w:ind w:firstLine="463"/>
              <w:jc w:val="both"/>
              <w:rPr>
                <w:rFonts w:eastAsiaTheme="minorHAnsi" w:cstheme="minorBidi"/>
                <w:lang w:val="hy-AM"/>
              </w:rPr>
            </w:pPr>
            <w:r w:rsidRPr="0053423A">
              <w:rPr>
                <w:rFonts w:eastAsiaTheme="minorHAnsi" w:cstheme="minorBidi"/>
                <w:bCs/>
                <w:lang w:val="hy-AM"/>
              </w:rPr>
              <w:t xml:space="preserve"> </w:t>
            </w:r>
            <w:r w:rsidRPr="0053423A">
              <w:rPr>
                <w:rFonts w:eastAsiaTheme="minorHAnsi" w:cstheme="minorBidi"/>
                <w:lang w:val="hy-AM"/>
              </w:rPr>
              <w:t xml:space="preserve">Հայաստանում ջրային ռեսուրսները, հատկապես մակերևութային ջրերը, տնտեսության զարգացմանը զուգընթաց, առավել խոցելի են դարձել։ Երկրում չի իրականացվում կենցաղային և արդյունաբերական և/կամ արտադրական կեղտաջրերի ամբողջական մաքրում, իսկ արդյունքում կեղտաջրերն հիմնականում առանց մաքրման թափվում են մակերևութային ջրային ռեսուրսներ, ոռոգման առուներ՝ աղտոտելով և դեգրադացնելով էկոհամակարգերը, վնաս հասցնելով մարդու առողջությանը: Կեղտաջրերի մաքրման բացակայության հետևանքով գետերի վերին հոսանքներում գտնվող հանգստի, զբոսաշրջության, սննդի օբյեկտների գործունեության արդյունքում վնասը հիմնականում հասցվում է ջրային էկոհամակարգերին: Այդ գետերի ստորին հոսանքները նույնպես օգտագործվում են որպես հանգստի գոտիներ, որտեղ մարդիկ անմիջապես շփվում են աղտոտված ջրի հետ: Գետի ինքնամաքրման կարողության գնահատման մեթոդի առկայությունը  հնարավորություն կտա  գնահատելու գետի ինքնամաքրման կարողությունը, կանոնակարգելու գետը աղտոտող տնտեսական օբյեկտների գործունեությունը,  մեղմելու կամ կանխելու գետերի աղտոտումը: Համակատարող գերատեսչությունները մասնակցում են կազմակերպվող քննարկումներին, ներկայացնում են ոլորտային մասնագիտական կարծիքներ։  </w:t>
            </w:r>
          </w:p>
          <w:p w:rsidR="006B0618" w:rsidRPr="0053423A" w:rsidRDefault="006B0618" w:rsidP="00A67858">
            <w:pPr>
              <w:numPr>
                <w:ilvl w:val="0"/>
                <w:numId w:val="46"/>
              </w:numPr>
              <w:spacing w:line="276" w:lineRule="auto"/>
              <w:rPr>
                <w:rFonts w:eastAsiaTheme="minorHAnsi" w:cstheme="minorBidi"/>
                <w:b/>
                <w:i/>
                <w:lang w:val="hy-AM"/>
              </w:rPr>
            </w:pPr>
            <w:r w:rsidRPr="0053423A">
              <w:rPr>
                <w:rFonts w:eastAsiaTheme="minorHAnsi" w:cstheme="minorBidi"/>
                <w:b/>
                <w:i/>
                <w:lang w:val="hy-AM"/>
              </w:rPr>
              <w:t>Միջոցառման իրականացումից ակնկալվող արդյունքը</w:t>
            </w:r>
          </w:p>
          <w:p w:rsidR="006B0618" w:rsidRPr="0053423A" w:rsidRDefault="006B0618" w:rsidP="00A67858">
            <w:pPr>
              <w:spacing w:line="276" w:lineRule="auto"/>
              <w:jc w:val="both"/>
              <w:rPr>
                <w:rFonts w:eastAsiaTheme="minorHAnsi" w:cstheme="minorBidi"/>
                <w:lang w:val="hy-AM"/>
              </w:rPr>
            </w:pPr>
            <w:r w:rsidRPr="0053423A">
              <w:rPr>
                <w:rFonts w:eastAsiaTheme="minorHAnsi" w:cstheme="minorBidi"/>
                <w:lang w:val="hy-AM"/>
              </w:rPr>
              <w:t xml:space="preserve"> </w:t>
            </w:r>
            <w:r w:rsidR="00CE551D" w:rsidRPr="0053423A">
              <w:rPr>
                <w:rFonts w:eastAsiaTheme="minorHAnsi" w:cstheme="minorBidi"/>
                <w:lang w:val="hy-AM"/>
              </w:rPr>
              <w:t xml:space="preserve">           </w:t>
            </w:r>
            <w:r w:rsidRPr="0053423A">
              <w:rPr>
                <w:rFonts w:eastAsiaTheme="minorHAnsi" w:cstheme="minorBidi"/>
                <w:lang w:val="hy-AM"/>
              </w:rPr>
              <w:t>Նախագծի ընդունումը կնպաստի գետի աղտոտման կանխմանը, գետային էկոհամակարգի պահպանությանը, գետի ջրի որակի բարելավմանը։</w:t>
            </w:r>
          </w:p>
          <w:p w:rsidR="006B0618" w:rsidRPr="0053423A" w:rsidRDefault="006B0618" w:rsidP="00A67858">
            <w:pPr>
              <w:spacing w:line="276" w:lineRule="auto"/>
              <w:rPr>
                <w:rFonts w:eastAsiaTheme="minorHAnsi" w:cstheme="minorBidi"/>
                <w:lang w:val="hy-AM"/>
              </w:rPr>
            </w:pPr>
          </w:p>
          <w:p w:rsidR="006B0618" w:rsidRPr="0053423A" w:rsidRDefault="006B0618" w:rsidP="00A67858">
            <w:pPr>
              <w:numPr>
                <w:ilvl w:val="1"/>
                <w:numId w:val="62"/>
              </w:numPr>
              <w:spacing w:line="276" w:lineRule="auto"/>
              <w:rPr>
                <w:rFonts w:eastAsiaTheme="minorHAnsi" w:cstheme="minorBidi"/>
                <w:b/>
                <w:bCs/>
                <w:u w:val="single"/>
                <w:lang w:val="pt-BR"/>
              </w:rPr>
            </w:pPr>
            <w:r w:rsidRPr="0053423A">
              <w:rPr>
                <w:rFonts w:eastAsiaTheme="minorHAnsi" w:cstheme="minorBidi"/>
                <w:b/>
                <w:u w:val="single"/>
                <w:lang w:val="af-ZA"/>
              </w:rPr>
              <w:t>«</w:t>
            </w:r>
            <w:r w:rsidRPr="0053423A">
              <w:rPr>
                <w:rFonts w:eastAsiaTheme="minorHAnsi" w:cstheme="minorBidi"/>
                <w:b/>
                <w:u w:val="single"/>
                <w:lang w:val="hy-AM"/>
              </w:rPr>
              <w:t>Փոքր հիդրոէլեկտրակայանների կառուցման</w:t>
            </w:r>
            <w:r w:rsidRPr="0053423A">
              <w:rPr>
                <w:rFonts w:eastAsiaTheme="minorHAnsi" w:cstheme="minorBidi"/>
                <w:b/>
                <w:u w:val="single"/>
                <w:lang w:val="af-ZA"/>
              </w:rPr>
              <w:t xml:space="preserve"> </w:t>
            </w:r>
            <w:r w:rsidRPr="0053423A">
              <w:rPr>
                <w:rFonts w:eastAsiaTheme="minorHAnsi" w:cstheme="minorBidi"/>
                <w:b/>
                <w:u w:val="single"/>
                <w:lang w:val="hy-AM"/>
              </w:rPr>
              <w:t>և շահագործման համար արգելված գետերի ցանկը</w:t>
            </w:r>
            <w:r w:rsidRPr="0053423A">
              <w:rPr>
                <w:rFonts w:eastAsiaTheme="minorHAnsi" w:cstheme="minorBidi"/>
                <w:b/>
                <w:lang w:val="hy-AM"/>
              </w:rPr>
              <w:t xml:space="preserve"> հաստատելու մասին»</w:t>
            </w:r>
            <w:r w:rsidRPr="0053423A">
              <w:rPr>
                <w:rFonts w:eastAsiaTheme="minorHAnsi" w:cstheme="minorBidi"/>
                <w:b/>
                <w:lang w:val="af-ZA"/>
              </w:rPr>
              <w:t xml:space="preserve"> </w:t>
            </w:r>
            <w:r w:rsidRPr="0053423A">
              <w:rPr>
                <w:rFonts w:eastAsiaTheme="minorHAnsi" w:cstheme="minorBidi"/>
                <w:b/>
                <w:lang w:val="hy-AM"/>
              </w:rPr>
              <w:t>Կառավարության</w:t>
            </w:r>
            <w:r w:rsidRPr="0053423A">
              <w:rPr>
                <w:rFonts w:eastAsiaTheme="minorHAnsi" w:cstheme="minorBidi"/>
                <w:b/>
                <w:lang w:val="af-ZA"/>
              </w:rPr>
              <w:t xml:space="preserve"> </w:t>
            </w:r>
            <w:r w:rsidRPr="0053423A">
              <w:rPr>
                <w:rFonts w:eastAsiaTheme="minorHAnsi" w:cstheme="minorBidi"/>
                <w:b/>
                <w:u w:val="single"/>
                <w:lang w:val="hy-AM"/>
              </w:rPr>
              <w:t>նախագիծը վարչապետի աշխատակազմ ներկայացնելը</w:t>
            </w:r>
            <w:r w:rsidRPr="0053423A">
              <w:rPr>
                <w:rFonts w:eastAsiaTheme="minorHAnsi" w:cstheme="minorBidi"/>
                <w:b/>
                <w:bCs/>
                <w:u w:val="single"/>
                <w:lang w:val="pt-BR"/>
              </w:rPr>
              <w:t></w:t>
            </w:r>
          </w:p>
          <w:p w:rsidR="006B0618" w:rsidRPr="0053423A" w:rsidRDefault="006B0618" w:rsidP="00A67858">
            <w:pPr>
              <w:numPr>
                <w:ilvl w:val="0"/>
                <w:numId w:val="18"/>
              </w:numPr>
              <w:spacing w:line="276" w:lineRule="auto"/>
              <w:rPr>
                <w:rFonts w:eastAsiaTheme="minorHAnsi" w:cstheme="minorBidi"/>
                <w:b/>
                <w:i/>
                <w:lang w:val="hy-AM"/>
              </w:rPr>
            </w:pPr>
            <w:r w:rsidRPr="0053423A">
              <w:rPr>
                <w:rFonts w:eastAsiaTheme="minorHAnsi" w:cstheme="minorBidi"/>
                <w:b/>
                <w:i/>
                <w:lang w:val="hy-AM"/>
              </w:rPr>
              <w:t>Միջոցառման իրակացման անհրաժեշտությունը և նպատակը</w:t>
            </w:r>
          </w:p>
          <w:p w:rsidR="006B0618" w:rsidRPr="0053423A" w:rsidRDefault="006B0618" w:rsidP="00A67858">
            <w:pPr>
              <w:numPr>
                <w:ilvl w:val="1"/>
                <w:numId w:val="20"/>
              </w:numPr>
              <w:spacing w:line="276" w:lineRule="auto"/>
              <w:ind w:firstLine="373"/>
              <w:rPr>
                <w:rFonts w:eastAsiaTheme="minorHAnsi" w:cstheme="minorBidi"/>
                <w:b/>
                <w:lang w:val="hy-AM"/>
              </w:rPr>
            </w:pPr>
            <w:r w:rsidRPr="0053423A">
              <w:rPr>
                <w:rFonts w:eastAsiaTheme="minorHAnsi" w:cstheme="minorBidi"/>
                <w:b/>
                <w:lang w:val="hy-AM"/>
              </w:rPr>
              <w:t>Կարգավորման հարաբերությունների ներկա վիճակը և առկա խնդիրները</w:t>
            </w:r>
          </w:p>
          <w:p w:rsidR="006B0618" w:rsidRPr="0053423A" w:rsidRDefault="00CE551D" w:rsidP="00A67858">
            <w:pPr>
              <w:spacing w:line="276" w:lineRule="auto"/>
              <w:jc w:val="both"/>
              <w:rPr>
                <w:rFonts w:eastAsiaTheme="minorHAnsi" w:cstheme="minorBidi"/>
                <w:lang w:val="af-ZA"/>
              </w:rPr>
            </w:pPr>
            <w:r w:rsidRPr="0053423A">
              <w:rPr>
                <w:rFonts w:eastAsiaTheme="minorHAnsi" w:cstheme="minorBidi"/>
                <w:lang w:val="hy-AM"/>
              </w:rPr>
              <w:t xml:space="preserve">            </w:t>
            </w:r>
            <w:r w:rsidR="0073408B" w:rsidRPr="0053423A">
              <w:rPr>
                <w:rFonts w:eastAsiaTheme="minorHAnsi" w:cstheme="minorBidi"/>
                <w:lang w:val="af-ZA"/>
              </w:rPr>
              <w:t>Միջո</w:t>
            </w:r>
            <w:r w:rsidR="006B0618" w:rsidRPr="0053423A">
              <w:rPr>
                <w:rFonts w:eastAsiaTheme="minorHAnsi" w:cstheme="minorBidi"/>
                <w:lang w:val="af-ZA"/>
              </w:rPr>
              <w:t xml:space="preserve">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Ջրային ռեսուրսների կառավարման արդյունավետության բարձրացում  ուղղությունը, </w:t>
            </w:r>
            <w:r w:rsidR="006B0618" w:rsidRPr="0053423A">
              <w:rPr>
                <w:rFonts w:eastAsiaTheme="minorHAnsi" w:cstheme="minorBidi"/>
                <w:lang w:val="hy-AM"/>
              </w:rPr>
              <w:t>ՀՀ ջրային օրենսգրքի 10-րդ հոդվածի 10-րդ և 15-րդ կետերը և 30.1 հոդվածը և</w:t>
            </w:r>
            <w:r w:rsidR="006B0618" w:rsidRPr="0053423A">
              <w:rPr>
                <w:rFonts w:eastAsiaTheme="minorHAnsi" w:cstheme="minorBidi"/>
                <w:lang w:val="af-ZA"/>
              </w:rPr>
              <w:t xml:space="preserve"> Կառավարության կառուցվածքի և գործունեության մասին ՀՀ օրենքի հավելվածի 6-րդ կետի համաձայն:</w:t>
            </w:r>
          </w:p>
          <w:p w:rsidR="006B0618" w:rsidRPr="0053423A" w:rsidRDefault="006B0618" w:rsidP="00A67858">
            <w:pPr>
              <w:spacing w:line="276" w:lineRule="auto"/>
              <w:jc w:val="both"/>
              <w:rPr>
                <w:rFonts w:eastAsiaTheme="minorHAnsi" w:cstheme="minorBidi"/>
                <w:lang w:val="hy-AM"/>
              </w:rPr>
            </w:pPr>
            <w:r w:rsidRPr="0053423A">
              <w:rPr>
                <w:rFonts w:eastAsiaTheme="minorHAnsi" w:cstheme="minorBidi"/>
                <w:lang w:val="af-ZA"/>
              </w:rPr>
              <w:t>«</w:t>
            </w:r>
            <w:r w:rsidRPr="0053423A">
              <w:rPr>
                <w:rFonts w:eastAsiaTheme="minorHAnsi" w:cstheme="minorBidi"/>
                <w:lang w:val="hy-AM"/>
              </w:rPr>
              <w:t>Փոքր հիդրոէլեկտրակայանների կառուցման</w:t>
            </w:r>
            <w:r w:rsidRPr="0053423A">
              <w:rPr>
                <w:rFonts w:eastAsiaTheme="minorHAnsi" w:cstheme="minorBidi"/>
                <w:lang w:val="af-ZA"/>
              </w:rPr>
              <w:t xml:space="preserve"> </w:t>
            </w:r>
            <w:r w:rsidRPr="0053423A">
              <w:rPr>
                <w:rFonts w:eastAsiaTheme="minorHAnsi" w:cstheme="minorBidi"/>
                <w:lang w:val="hy-AM"/>
              </w:rPr>
              <w:t>և շահագործման համար արգելված գետերի ցանկը հաստատելու մասին</w:t>
            </w:r>
            <w:r w:rsidRPr="0053423A">
              <w:rPr>
                <w:rFonts w:eastAsiaTheme="minorHAnsi" w:cstheme="minorBidi"/>
                <w:b/>
                <w:lang w:val="hy-AM"/>
              </w:rPr>
              <w:t>»</w:t>
            </w:r>
            <w:r w:rsidRPr="0053423A">
              <w:rPr>
                <w:rFonts w:eastAsiaTheme="minorHAnsi" w:cstheme="minorBidi"/>
                <w:b/>
                <w:lang w:val="af-ZA"/>
              </w:rPr>
              <w:t xml:space="preserve"> </w:t>
            </w:r>
            <w:r w:rsidRPr="0053423A">
              <w:rPr>
                <w:rFonts w:eastAsiaTheme="minorHAnsi" w:cstheme="minorBidi"/>
                <w:lang w:val="en-US"/>
              </w:rPr>
              <w:t>Կ</w:t>
            </w:r>
            <w:r w:rsidRPr="0053423A">
              <w:rPr>
                <w:rFonts w:eastAsiaTheme="minorHAnsi" w:cstheme="minorBidi"/>
                <w:lang w:val="hy-AM"/>
              </w:rPr>
              <w:t>առավարության որոշման նախագծի մշակման անհրաժեշտությունը բխում է Հայաստանի Հանրապետության ջրային օրենսգրքի   պահանջից:</w:t>
            </w:r>
          </w:p>
          <w:p w:rsidR="006B0618" w:rsidRPr="0053423A" w:rsidRDefault="006B0618" w:rsidP="00A67858">
            <w:pPr>
              <w:spacing w:line="276" w:lineRule="auto"/>
              <w:ind w:firstLine="823"/>
              <w:rPr>
                <w:rFonts w:eastAsiaTheme="minorHAnsi" w:cstheme="minorBidi"/>
                <w:b/>
                <w:lang w:val="hy-AM"/>
              </w:rPr>
            </w:pPr>
            <w:r w:rsidRPr="0053423A">
              <w:rPr>
                <w:rFonts w:eastAsiaTheme="minorHAnsi" w:cstheme="minorBidi"/>
                <w:b/>
                <w:lang w:val="hy-AM"/>
              </w:rPr>
              <w:t>1.2. Առկա խնդիրների առաջարկվող լուծումները</w:t>
            </w:r>
          </w:p>
          <w:p w:rsidR="006B0618" w:rsidRPr="0053423A" w:rsidRDefault="00CE551D" w:rsidP="00A67858">
            <w:pPr>
              <w:spacing w:line="276" w:lineRule="auto"/>
              <w:jc w:val="both"/>
              <w:rPr>
                <w:rFonts w:eastAsiaTheme="minorHAnsi" w:cstheme="minorBidi"/>
                <w:b/>
                <w:lang w:val="af-ZA"/>
              </w:rPr>
            </w:pPr>
            <w:r w:rsidRPr="0053423A">
              <w:rPr>
                <w:rFonts w:eastAsiaTheme="minorHAnsi" w:cstheme="minorBidi"/>
                <w:lang w:val="hy-AM"/>
              </w:rPr>
              <w:t xml:space="preserve">           </w:t>
            </w:r>
            <w:r w:rsidR="006B0618" w:rsidRPr="0053423A">
              <w:rPr>
                <w:rFonts w:eastAsiaTheme="minorHAnsi" w:cstheme="minorBidi"/>
                <w:lang w:val="hy-AM"/>
              </w:rPr>
              <w:t>Փոքր հիդրոէլեկտրակայանների շինարարությունը էական վնաս է հասցնում բնությանը: Փոքր հիդրոէլեկտրակայանների զարգացմանը զուգընթաց նկատվում է կենսաբազմազանության կորուստ, վտանգվում են Կարմիր գրքում գրանցված բուսական և կենդանական տեսակները, գետերը ծանրաբեռնվում են դերիվացիոն խողովակներով և հայտնվում  ճգնաժամային վիճակում: Ստեղծված բնապահպանական խնդիրները լուծելու, ջրօգտագործման ժամանակ ջրաէկոհամակարգի պահպանությունը և հավասարակշռությունը ապահովելու համար անհրաժեշտ է սահմանել փոքր հիդրոէլեկտրակայանների կառուցման և շահագործման համար արգելված գետերի ցանկը, որով կկանխարգելվի շրջակա միջավայրի վրա փոքր հիդրոէլեկտրակայանների վնասակար ազդեցությունը, կնպաստի գետերի ծանրաբեռնվածության կանխմանը, գետային էկոհամակարգի պահպանությանը</w:t>
            </w:r>
            <w:r w:rsidR="006B0618" w:rsidRPr="0053423A">
              <w:rPr>
                <w:rFonts w:eastAsiaTheme="minorHAnsi" w:cstheme="minorBidi"/>
                <w:b/>
                <w:lang w:val="hy-AM"/>
              </w:rPr>
              <w:t xml:space="preserve">: </w:t>
            </w:r>
            <w:r w:rsidR="006B0618" w:rsidRPr="0053423A">
              <w:rPr>
                <w:rFonts w:eastAsiaTheme="minorHAnsi" w:cstheme="minorBidi"/>
                <w:lang w:val="hy-AM"/>
              </w:rPr>
              <w:t>Համակատարող գերատեսչությունները մասնակցում են կազմակերպվող քննարկումներին, ներկայացնում են ոլորտային մասնագիտական կարծիքներ։</w:t>
            </w:r>
          </w:p>
          <w:p w:rsidR="006B0618" w:rsidRPr="0053423A" w:rsidRDefault="006B0618" w:rsidP="00A67858">
            <w:pPr>
              <w:numPr>
                <w:ilvl w:val="0"/>
                <w:numId w:val="18"/>
              </w:numPr>
              <w:spacing w:line="276" w:lineRule="auto"/>
              <w:rPr>
                <w:rFonts w:eastAsiaTheme="minorHAnsi" w:cstheme="minorBidi"/>
                <w:b/>
                <w:i/>
                <w:lang w:val="hy-AM"/>
              </w:rPr>
            </w:pPr>
            <w:r w:rsidRPr="0053423A">
              <w:rPr>
                <w:rFonts w:eastAsiaTheme="minorHAnsi" w:cstheme="minorBidi"/>
                <w:b/>
                <w:i/>
                <w:lang w:val="hy-AM"/>
              </w:rPr>
              <w:t>Միջոցառման իրականացումից ակնկալվող արդյունքը</w:t>
            </w:r>
          </w:p>
          <w:p w:rsidR="006B0618" w:rsidRPr="0053423A" w:rsidRDefault="00CE551D" w:rsidP="00A67858">
            <w:pPr>
              <w:spacing w:line="276" w:lineRule="auto"/>
              <w:jc w:val="both"/>
              <w:rPr>
                <w:rFonts w:eastAsiaTheme="minorHAnsi" w:cstheme="minorBidi"/>
                <w:b/>
                <w:u w:val="single"/>
                <w:lang w:val="hy-AM"/>
              </w:rPr>
            </w:pPr>
            <w:r w:rsidRPr="0053423A">
              <w:rPr>
                <w:rFonts w:eastAsiaTheme="minorHAnsi" w:cstheme="minorBidi"/>
                <w:lang w:val="hy-AM"/>
              </w:rPr>
              <w:t xml:space="preserve">            </w:t>
            </w:r>
            <w:r w:rsidR="006B0618" w:rsidRPr="0053423A">
              <w:rPr>
                <w:rFonts w:eastAsiaTheme="minorHAnsi" w:cstheme="minorBidi"/>
                <w:lang w:val="hy-AM"/>
              </w:rPr>
              <w:t xml:space="preserve">Նախագծի ընդունումը կնպաստի գետերի ծանրաբեռնվածության կանխմանը, գետային էկոհամակարգերի պահպանությանը </w:t>
            </w:r>
            <w:r w:rsidR="006B0618" w:rsidRPr="0053423A">
              <w:rPr>
                <w:rFonts w:eastAsiaTheme="minorHAnsi" w:cstheme="minorBidi"/>
                <w:lang w:val="af-ZA"/>
              </w:rPr>
              <w:t>և հավասարակշռության ապահովման</w:t>
            </w:r>
            <w:r w:rsidR="006B0618" w:rsidRPr="0053423A">
              <w:rPr>
                <w:rFonts w:eastAsiaTheme="minorHAnsi" w:cstheme="minorBidi"/>
                <w:lang w:val="hy-AM"/>
              </w:rPr>
              <w:t>ը։</w:t>
            </w:r>
          </w:p>
          <w:p w:rsidR="006B0618" w:rsidRPr="0053423A" w:rsidRDefault="006B0618" w:rsidP="00A67858">
            <w:pPr>
              <w:spacing w:line="276" w:lineRule="auto"/>
              <w:rPr>
                <w:rFonts w:eastAsiaTheme="minorHAnsi" w:cstheme="minorBidi"/>
                <w:b/>
                <w:bCs/>
                <w:lang w:val="hy-AM"/>
              </w:rPr>
            </w:pPr>
          </w:p>
        </w:tc>
      </w:tr>
      <w:tr w:rsidR="006B0618" w:rsidRPr="00DE2EFA" w:rsidTr="004440EB">
        <w:tc>
          <w:tcPr>
            <w:tcW w:w="480" w:type="dxa"/>
          </w:tcPr>
          <w:p w:rsidR="006B0618" w:rsidRPr="0053423A" w:rsidRDefault="006B0618" w:rsidP="00A67858">
            <w:pPr>
              <w:spacing w:line="276" w:lineRule="auto"/>
              <w:jc w:val="center"/>
              <w:rPr>
                <w:b/>
                <w:bCs/>
                <w:lang w:val="hy-AM"/>
              </w:rPr>
            </w:pPr>
            <w:r w:rsidRPr="0053423A">
              <w:rPr>
                <w:b/>
                <w:bCs/>
                <w:lang w:val="hy-AM"/>
              </w:rPr>
              <w:t>2</w:t>
            </w:r>
          </w:p>
        </w:tc>
        <w:tc>
          <w:tcPr>
            <w:tcW w:w="10879" w:type="dxa"/>
          </w:tcPr>
          <w:p w:rsidR="006B0618" w:rsidRPr="0053423A" w:rsidRDefault="006B0618" w:rsidP="00A67858">
            <w:pPr>
              <w:spacing w:line="276" w:lineRule="auto"/>
              <w:jc w:val="center"/>
              <w:rPr>
                <w:b/>
                <w:lang w:val="hy-AM"/>
              </w:rPr>
            </w:pPr>
            <w:r w:rsidRPr="0053423A">
              <w:rPr>
                <w:b/>
                <w:lang w:val="hy-AM"/>
              </w:rPr>
              <w:t>Սևանա լճի էկոլոգիական հավասարակշռության վերականգնում և պահպանություն</w:t>
            </w:r>
          </w:p>
          <w:p w:rsidR="006B0618" w:rsidRPr="0053423A" w:rsidRDefault="006B0618" w:rsidP="00A67858">
            <w:pPr>
              <w:spacing w:line="276" w:lineRule="auto"/>
              <w:jc w:val="center"/>
              <w:rPr>
                <w:b/>
                <w:lang w:val="hy-AM"/>
              </w:rPr>
            </w:pPr>
          </w:p>
          <w:p w:rsidR="006B0618" w:rsidRPr="0053423A" w:rsidRDefault="006B0618" w:rsidP="00A67858">
            <w:pPr>
              <w:pStyle w:val="ListParagraph"/>
              <w:numPr>
                <w:ilvl w:val="1"/>
                <w:numId w:val="46"/>
              </w:numPr>
              <w:spacing w:line="276" w:lineRule="auto"/>
              <w:jc w:val="center"/>
              <w:rPr>
                <w:b/>
                <w:color w:val="000000"/>
                <w:u w:val="single"/>
                <w:lang w:val="hy-AM"/>
              </w:rPr>
            </w:pPr>
            <w:r w:rsidRPr="0053423A">
              <w:rPr>
                <w:b/>
                <w:color w:val="000000"/>
                <w:u w:val="single"/>
                <w:lang w:val="hy-AM"/>
              </w:rPr>
              <w:t>Սևանա լճի շրջակայքում ջրածածկ և ջրածածկման ենթակա տարածքներում անտառմաքրման աշխատանքների իրականացում</w:t>
            </w:r>
          </w:p>
          <w:p w:rsidR="006B0618" w:rsidRPr="0053423A" w:rsidRDefault="006B0618" w:rsidP="00A67858">
            <w:pPr>
              <w:pStyle w:val="ListParagraph"/>
              <w:spacing w:line="276" w:lineRule="auto"/>
              <w:ind w:left="1080"/>
              <w:rPr>
                <w:b/>
                <w:color w:val="000000"/>
                <w:u w:val="single"/>
                <w:lang w:val="hy-AM"/>
              </w:rPr>
            </w:pPr>
          </w:p>
          <w:p w:rsidR="006B0618" w:rsidRPr="0053423A" w:rsidRDefault="006B0618" w:rsidP="00A67858">
            <w:pPr>
              <w:pStyle w:val="ListParagraph"/>
              <w:numPr>
                <w:ilvl w:val="0"/>
                <w:numId w:val="63"/>
              </w:numPr>
              <w:spacing w:line="276" w:lineRule="auto"/>
              <w:ind w:left="913" w:hanging="180"/>
              <w:jc w:val="both"/>
              <w:rPr>
                <w:b/>
                <w:i/>
                <w:lang w:val="hy-AM"/>
              </w:rPr>
            </w:pPr>
            <w:r w:rsidRPr="0053423A">
              <w:rPr>
                <w:b/>
                <w:i/>
                <w:lang w:val="hy-AM"/>
              </w:rPr>
              <w:t>Միջոցառման իրակացման անհրաժեշտությունը և նպատակը</w:t>
            </w:r>
          </w:p>
          <w:p w:rsidR="006B0618" w:rsidRPr="0053423A" w:rsidRDefault="00CE551D" w:rsidP="00A67858">
            <w:pPr>
              <w:pStyle w:val="ListParagraph"/>
              <w:spacing w:line="276" w:lineRule="auto"/>
              <w:ind w:left="0" w:firstLine="709"/>
              <w:jc w:val="both"/>
              <w:rPr>
                <w:color w:val="000000"/>
                <w:lang w:val="hy-AM"/>
              </w:rPr>
            </w:pPr>
            <w:r w:rsidRPr="0053423A">
              <w:rPr>
                <w:color w:val="000000"/>
                <w:lang w:val="hy-AM"/>
              </w:rPr>
              <w:t>Միջո</w:t>
            </w:r>
            <w:r w:rsidR="006B0618" w:rsidRPr="0053423A">
              <w:rPr>
                <w:color w:val="000000"/>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Սևանա լճի էկոլոգիական հավասարակշռութ-յան վերականգնում և պահպանություն. Արարատյան արտեզյան ավազանի և գետային էկոհամակարգերի պահպանություն և կառավարում  ուղղությունը:</w:t>
            </w:r>
          </w:p>
          <w:p w:rsidR="006B0618" w:rsidRPr="0053423A" w:rsidRDefault="006B0618" w:rsidP="00A67858">
            <w:pPr>
              <w:pStyle w:val="ListParagraph"/>
              <w:spacing w:line="276" w:lineRule="auto"/>
              <w:ind w:left="0" w:firstLine="709"/>
              <w:jc w:val="both"/>
              <w:rPr>
                <w:color w:val="000000"/>
                <w:lang w:val="hy-AM"/>
              </w:rPr>
            </w:pPr>
            <w:r w:rsidRPr="0053423A">
              <w:rPr>
                <w:color w:val="000000"/>
                <w:lang w:val="hy-AM"/>
              </w:rPr>
              <w:t>2001 թվականի դեկտեմբերի 14-ին ընդունված «Սևանա լճի էկոհամակարգի վերականգնման, պահպանման, վերարտադրման և օգտագործման միջոցառումների տարեկան և համալիր ծրագրերը հաստատելու մասին» ՀՀ օրենքով նախատեսվել է Սևանա լճի մակարդակի բարձրացման հետևանքով 5000 հա ջրածածկման ենթակա անտառածածկ տարածքների մաքրման աշխատանքներ:</w:t>
            </w:r>
          </w:p>
          <w:p w:rsidR="006B0618" w:rsidRPr="0053423A" w:rsidRDefault="006B0618" w:rsidP="00A67858">
            <w:pPr>
              <w:spacing w:line="276" w:lineRule="auto"/>
              <w:ind w:firstLine="553"/>
              <w:jc w:val="both"/>
              <w:rPr>
                <w:b/>
                <w:lang w:val="hy-AM"/>
              </w:rPr>
            </w:pPr>
            <w:r w:rsidRPr="0053423A">
              <w:rPr>
                <w:b/>
                <w:lang w:val="hy-AM"/>
              </w:rPr>
              <w:t>1.1 Կարգավորման հարաբերությունների ներկա վիճակը և առկա խնդիրները</w:t>
            </w:r>
          </w:p>
          <w:p w:rsidR="006B0618" w:rsidRPr="0053423A" w:rsidRDefault="006B0618" w:rsidP="00A67858">
            <w:pPr>
              <w:spacing w:line="276" w:lineRule="auto"/>
              <w:ind w:firstLine="709"/>
              <w:jc w:val="both"/>
              <w:rPr>
                <w:lang w:val="hy-AM"/>
              </w:rPr>
            </w:pPr>
            <w:r w:rsidRPr="0053423A">
              <w:rPr>
                <w:lang w:val="hy-AM"/>
              </w:rPr>
              <w:t xml:space="preserve">2005-2018 </w:t>
            </w:r>
            <w:r w:rsidRPr="0053423A">
              <w:rPr>
                <w:lang w:val="af-ZA"/>
              </w:rPr>
              <w:t xml:space="preserve"> </w:t>
            </w:r>
            <w:r w:rsidRPr="0053423A">
              <w:rPr>
                <w:color w:val="000000" w:themeColor="text1"/>
                <w:lang w:val="af-ZA"/>
              </w:rPr>
              <w:t>թվականների ընթացքում</w:t>
            </w:r>
            <w:r w:rsidRPr="0053423A">
              <w:rPr>
                <w:lang w:val="af-ZA"/>
              </w:rPr>
              <w:t xml:space="preserve"> </w:t>
            </w:r>
            <w:r w:rsidRPr="0053423A">
              <w:rPr>
                <w:lang w:val="hy-AM"/>
              </w:rPr>
              <w:t>մաքր</w:t>
            </w:r>
            <w:r w:rsidRPr="0053423A">
              <w:rPr>
                <w:lang w:val="af-ZA"/>
              </w:rPr>
              <w:t xml:space="preserve">վել է  </w:t>
            </w:r>
            <w:r w:rsidRPr="0053423A">
              <w:rPr>
                <w:color w:val="000000" w:themeColor="text1"/>
                <w:lang w:val="af-ZA"/>
              </w:rPr>
              <w:t>2064.17 հ</w:t>
            </w:r>
            <w:r w:rsidRPr="0053423A">
              <w:rPr>
                <w:color w:val="000000" w:themeColor="text1"/>
                <w:lang w:val="hy-AM"/>
              </w:rPr>
              <w:t xml:space="preserve">ա, որից 1740,23 հա մաքրվել է </w:t>
            </w:r>
            <w:r w:rsidRPr="0053423A">
              <w:rPr>
                <w:lang w:val="af-ZA"/>
              </w:rPr>
              <w:t>ՀՀ պետ. Բյուջեից</w:t>
            </w:r>
            <w:r w:rsidRPr="0053423A">
              <w:rPr>
                <w:lang w:val="hy-AM"/>
              </w:rPr>
              <w:t xml:space="preserve"> հատկացված միջոցներով, իսկ </w:t>
            </w:r>
            <w:r w:rsidRPr="0053423A">
              <w:rPr>
                <w:lang w:val="af-ZA"/>
              </w:rPr>
              <w:t xml:space="preserve">323.94 հա ջրածածկի ենթակա անտառածածկ տարածք մաքրվել է </w:t>
            </w:r>
            <w:r w:rsidRPr="0053423A">
              <w:rPr>
                <w:color w:val="000000" w:themeColor="text1"/>
                <w:lang w:val="af-ZA"/>
              </w:rPr>
              <w:t></w:t>
            </w:r>
            <w:r w:rsidRPr="0053423A">
              <w:rPr>
                <w:color w:val="000000" w:themeColor="text1"/>
                <w:lang w:val="hy-AM"/>
              </w:rPr>
              <w:t>Սևան</w:t>
            </w:r>
            <w:r w:rsidRPr="0053423A">
              <w:rPr>
                <w:color w:val="000000" w:themeColor="text1"/>
                <w:lang w:val="af-ZA"/>
              </w:rPr>
              <w:t></w:t>
            </w:r>
            <w:r w:rsidRPr="0053423A">
              <w:rPr>
                <w:color w:val="000000" w:themeColor="text1"/>
                <w:lang w:val="hy-AM"/>
              </w:rPr>
              <w:t xml:space="preserve"> ազգային պարկ ՊՈԱԿ-ի և ֆիզիկական անձանց</w:t>
            </w:r>
            <w:r w:rsidRPr="0053423A">
              <w:rPr>
                <w:color w:val="000000" w:themeColor="text1"/>
                <w:lang w:val="af-ZA"/>
              </w:rPr>
              <w:t xml:space="preserve"> միջև կնքված ջրածածկի ենթակա անտառների մաքրման պայմանագրերով</w:t>
            </w:r>
            <w:r w:rsidRPr="0053423A">
              <w:rPr>
                <w:lang w:val="af-ZA"/>
              </w:rPr>
              <w:t xml:space="preserve">: </w:t>
            </w:r>
          </w:p>
          <w:p w:rsidR="006B0618" w:rsidRPr="0053423A" w:rsidRDefault="006B0618" w:rsidP="00A67858">
            <w:pPr>
              <w:spacing w:line="276" w:lineRule="auto"/>
              <w:ind w:firstLine="708"/>
              <w:jc w:val="both"/>
              <w:rPr>
                <w:rFonts w:cs="GHEA Grapalat"/>
                <w:lang w:val="hy-AM"/>
              </w:rPr>
            </w:pPr>
            <w:r w:rsidRPr="0053423A">
              <w:rPr>
                <w:rFonts w:cs="Arial"/>
                <w:color w:val="000000" w:themeColor="text1"/>
                <w:lang w:val="af-ZA"/>
              </w:rPr>
              <w:t>Դեռևս</w:t>
            </w:r>
            <w:r w:rsidRPr="0053423A">
              <w:rPr>
                <w:color w:val="000000" w:themeColor="text1"/>
                <w:lang w:val="af-ZA"/>
              </w:rPr>
              <w:t xml:space="preserve"> առկա է ջրածածկի ենթակա 2935.83 հա անտառածածկ տարածք</w:t>
            </w:r>
            <w:r w:rsidRPr="0053423A">
              <w:rPr>
                <w:color w:val="000000" w:themeColor="text1"/>
                <w:lang w:val="hy-AM"/>
              </w:rPr>
              <w:t xml:space="preserve">, որից </w:t>
            </w:r>
            <w:r w:rsidRPr="0053423A">
              <w:rPr>
                <w:rFonts w:cs="GHEA Grapalat"/>
                <w:lang w:val="hy-AM"/>
              </w:rPr>
              <w:t>111.7 հա արդեն իսկ ջրածածկ եղած ու անտառներից չմաքրված և 72.9 հա ճահճացած տարածքներ են։</w:t>
            </w:r>
          </w:p>
          <w:p w:rsidR="006B0618" w:rsidRPr="0053423A" w:rsidRDefault="006B0618" w:rsidP="00A67858">
            <w:pPr>
              <w:spacing w:line="276" w:lineRule="auto"/>
              <w:ind w:right="34"/>
              <w:jc w:val="both"/>
              <w:rPr>
                <w:color w:val="000000" w:themeColor="text1"/>
                <w:lang w:val="hy-AM"/>
              </w:rPr>
            </w:pPr>
            <w:r w:rsidRPr="0053423A">
              <w:rPr>
                <w:color w:val="000000" w:themeColor="text1"/>
                <w:lang w:val="hy-AM"/>
              </w:rPr>
              <w:t>Աշխատանքներն  իրականացվելու են պետական բյուջեի միջոցների հաշվին՝ 351186.0հազ. դրամ գումարով, այդ թվում՝ 2019թ.՝ 117062.0 հազ. դրամ, 2020թ.՝  117062.0 հազ.դրամ, 2021թ.՝ 117062.0 հազ.դրամ:</w:t>
            </w:r>
          </w:p>
          <w:p w:rsidR="006B0618" w:rsidRPr="0053423A" w:rsidRDefault="006B0618" w:rsidP="00A67858">
            <w:pPr>
              <w:pStyle w:val="ListParagraph"/>
              <w:numPr>
                <w:ilvl w:val="1"/>
                <w:numId w:val="20"/>
              </w:numPr>
              <w:spacing w:line="276" w:lineRule="auto"/>
              <w:ind w:firstLine="193"/>
              <w:jc w:val="both"/>
              <w:rPr>
                <w:b/>
              </w:rPr>
            </w:pPr>
            <w:r w:rsidRPr="0053423A">
              <w:rPr>
                <w:b/>
                <w:lang w:val="hy-AM"/>
              </w:rPr>
              <w:t>Առկա խնդիրների առաջարկվող լուծումները</w:t>
            </w:r>
          </w:p>
          <w:p w:rsidR="006B0618" w:rsidRPr="0053423A" w:rsidRDefault="006B0618" w:rsidP="00A67858">
            <w:pPr>
              <w:spacing w:line="276" w:lineRule="auto"/>
              <w:ind w:firstLine="708"/>
              <w:jc w:val="both"/>
              <w:rPr>
                <w:rFonts w:cs="GHEA Grapalat"/>
                <w:lang w:val="hy-AM"/>
              </w:rPr>
            </w:pPr>
            <w:r w:rsidRPr="0053423A">
              <w:rPr>
                <w:rFonts w:cs="GHEA Grapalat"/>
                <w:lang w:val="hy-AM"/>
              </w:rPr>
              <w:t>Սևանա լճի ջրի որակի վրա խիստ բացասական ազդեցություն ունեն ջրածածկված անտառային տարածքները, որտեղից հեռացված չեն ջրի տակ մնացած ծառերը, թփերը, կոճղերը և այլն, ինչպես նաև ջերմաստիճանը և ջրհավաք ավազանից մուտք գործած կենսածին տարրերը: Ջրի տակ գտնվող ծառերի, թփերի ու կոճղերի նեխման և փտման գործընթացը նպաստում է լճի ճահճացմանը (օր. 2018թ. ամռանը լճում տեղի ունեցած կապտականաչ ջրիմուռների ծաղկումը):</w:t>
            </w:r>
          </w:p>
          <w:p w:rsidR="006B0618" w:rsidRPr="0053423A" w:rsidRDefault="006B0618" w:rsidP="00A67858">
            <w:pPr>
              <w:spacing w:line="276" w:lineRule="auto"/>
              <w:ind w:firstLine="708"/>
              <w:jc w:val="both"/>
              <w:rPr>
                <w:rFonts w:cs="GHEA Grapalat"/>
                <w:lang w:val="hy-AM"/>
              </w:rPr>
            </w:pPr>
            <w:r w:rsidRPr="0053423A">
              <w:rPr>
                <w:rFonts w:cs="GHEA Grapalat"/>
                <w:lang w:val="hy-AM"/>
              </w:rPr>
              <w:t>Այդ պատճառով ներկայումս հրատապ է 111.7 հա արդեն իսկ ջրածածկ եղած ու անտառներից չմաքրված և 72.9 հա ճահճացած տարածքների մաքրումը։</w:t>
            </w:r>
          </w:p>
          <w:p w:rsidR="006B0618" w:rsidRPr="0053423A" w:rsidRDefault="006B0618" w:rsidP="00A67858">
            <w:pPr>
              <w:pStyle w:val="ListParagraph"/>
              <w:numPr>
                <w:ilvl w:val="0"/>
                <w:numId w:val="20"/>
              </w:numPr>
              <w:spacing w:line="276" w:lineRule="auto"/>
              <w:ind w:firstLine="103"/>
              <w:jc w:val="both"/>
              <w:rPr>
                <w:b/>
                <w:i/>
              </w:rPr>
            </w:pPr>
            <w:r w:rsidRPr="0053423A">
              <w:rPr>
                <w:b/>
                <w:i/>
                <w:lang w:val="hy-AM"/>
              </w:rPr>
              <w:t>Միջոցառման իրականացումից ակնկալվող արդյունքը</w:t>
            </w:r>
          </w:p>
          <w:p w:rsidR="006B0618" w:rsidRPr="0053423A" w:rsidRDefault="006B0618" w:rsidP="00A67858">
            <w:pPr>
              <w:spacing w:line="276" w:lineRule="auto"/>
              <w:ind w:firstLine="426"/>
              <w:jc w:val="both"/>
              <w:rPr>
                <w:lang w:val="hy-AM"/>
              </w:rPr>
            </w:pPr>
            <w:r w:rsidRPr="0053423A">
              <w:rPr>
                <w:rFonts w:cs="Sylfaen"/>
                <w:lang w:val="hy-AM"/>
              </w:rPr>
              <w:t>Անտառմաքրման</w:t>
            </w:r>
            <w:r w:rsidRPr="0053423A">
              <w:rPr>
                <w:lang w:val="hy-AM"/>
              </w:rPr>
              <w:t xml:space="preserve"> աշխատանքների իրականացման արդյունքում լճի մակարդակի բարձրացման հետևանքով կկանխարգել</w:t>
            </w:r>
            <w:r w:rsidRPr="0053423A">
              <w:t>վ</w:t>
            </w:r>
            <w:r w:rsidRPr="0053423A">
              <w:rPr>
                <w:lang w:val="hy-AM"/>
              </w:rPr>
              <w:t xml:space="preserve">ի Սևանա լճի ջրի որակի վատթարացումը և լճի ճահճացումը։ </w:t>
            </w:r>
          </w:p>
          <w:p w:rsidR="006B0618" w:rsidRPr="0053423A" w:rsidRDefault="006B0618" w:rsidP="00A67858">
            <w:pPr>
              <w:spacing w:line="276" w:lineRule="auto"/>
              <w:ind w:firstLine="426"/>
              <w:jc w:val="both"/>
              <w:rPr>
                <w:lang w:val="hy-AM"/>
              </w:rPr>
            </w:pPr>
            <w:r w:rsidRPr="0053423A">
              <w:rPr>
                <w:color w:val="000000" w:themeColor="text1"/>
                <w:lang w:val="hy-AM"/>
              </w:rPr>
              <w:t>Աշխատանքներ են տարվում անտառմաքրման աշխատանքներում օրենքով չարգելված ֆինանսական այլ աբյուրներ ներգրավելու ուղղությամբ, ինչը նախատեսվածից ավելի մեծ ծավալներով մաքրման աշխատանքներ իրականացնելու հնարավորություն կընձեռի։</w:t>
            </w:r>
          </w:p>
          <w:p w:rsidR="006B0618" w:rsidRPr="0053423A" w:rsidRDefault="006B0618" w:rsidP="00A67858">
            <w:pPr>
              <w:spacing w:line="276" w:lineRule="auto"/>
              <w:jc w:val="center"/>
              <w:rPr>
                <w:b/>
                <w:bCs/>
                <w:lang w:val="hy-AM"/>
              </w:rPr>
            </w:pPr>
          </w:p>
        </w:tc>
      </w:tr>
      <w:tr w:rsidR="006B0618" w:rsidRPr="00DE2EFA" w:rsidTr="004440EB">
        <w:tc>
          <w:tcPr>
            <w:tcW w:w="480" w:type="dxa"/>
          </w:tcPr>
          <w:p w:rsidR="006B0618" w:rsidRPr="0053423A" w:rsidRDefault="006B0618" w:rsidP="00A67858">
            <w:pPr>
              <w:spacing w:line="276" w:lineRule="auto"/>
              <w:jc w:val="center"/>
              <w:rPr>
                <w:b/>
                <w:bCs/>
                <w:lang w:val="hy-AM"/>
              </w:rPr>
            </w:pPr>
            <w:r w:rsidRPr="0053423A">
              <w:rPr>
                <w:b/>
                <w:bCs/>
                <w:lang w:val="hy-AM"/>
              </w:rPr>
              <w:t>3</w:t>
            </w:r>
          </w:p>
        </w:tc>
        <w:tc>
          <w:tcPr>
            <w:tcW w:w="10879" w:type="dxa"/>
          </w:tcPr>
          <w:p w:rsidR="006B0618" w:rsidRPr="0053423A" w:rsidRDefault="006B0618" w:rsidP="00A67858">
            <w:pPr>
              <w:spacing w:line="276" w:lineRule="auto"/>
              <w:jc w:val="center"/>
              <w:rPr>
                <w:b/>
                <w:lang w:val="hy-AM"/>
              </w:rPr>
            </w:pPr>
            <w:r w:rsidRPr="0053423A">
              <w:rPr>
                <w:b/>
                <w:lang w:val="hy-AM"/>
              </w:rPr>
              <w:t>Անտառների կայուն կառավարում, անտառածածկ տարածքների ընդլայնում, անտառվերականգ-նում և անատառապատում, դրանց  իրականացմանն ուղղված կարողությունների շարունակական զարգացում</w:t>
            </w:r>
          </w:p>
          <w:p w:rsidR="006B0618" w:rsidRPr="0053423A" w:rsidRDefault="006B0618" w:rsidP="00A67858">
            <w:pPr>
              <w:spacing w:line="276" w:lineRule="auto"/>
              <w:jc w:val="center"/>
              <w:rPr>
                <w:b/>
                <w:lang w:val="hy-AM"/>
              </w:rPr>
            </w:pPr>
          </w:p>
          <w:p w:rsidR="006B0618" w:rsidRPr="0053423A" w:rsidRDefault="006B0618" w:rsidP="00A67858">
            <w:pPr>
              <w:spacing w:line="276" w:lineRule="auto"/>
              <w:jc w:val="center"/>
              <w:rPr>
                <w:rFonts w:cs="GHEA Grapalat"/>
                <w:b/>
                <w:bCs/>
                <w:u w:val="single"/>
                <w:lang w:val="hy-AM"/>
              </w:rPr>
            </w:pPr>
            <w:r w:rsidRPr="0053423A">
              <w:rPr>
                <w:b/>
                <w:u w:val="single"/>
                <w:lang w:val="hy-AM"/>
              </w:rPr>
              <w:t xml:space="preserve">3.1 </w:t>
            </w:r>
            <w:r w:rsidRPr="0053423A">
              <w:rPr>
                <w:rFonts w:cs="GHEA Grapalat"/>
                <w:b/>
                <w:bCs/>
                <w:u w:val="single"/>
                <w:lang w:val="pt-BR"/>
              </w:rPr>
              <w:t xml:space="preserve">«Հայաստանի Հանրապետության անտառային օրենսգրքում փոփոխություններ </w:t>
            </w:r>
            <w:r w:rsidRPr="0053423A">
              <w:rPr>
                <w:rFonts w:cs="GHEA Grapalat"/>
                <w:b/>
                <w:bCs/>
                <w:u w:val="single"/>
                <w:lang w:val="hy-AM"/>
              </w:rPr>
              <w:t>և</w:t>
            </w:r>
            <w:r w:rsidRPr="0053423A">
              <w:rPr>
                <w:rFonts w:cs="GHEA Grapalat"/>
                <w:b/>
                <w:bCs/>
                <w:u w:val="single"/>
                <w:lang w:val="pt-BR"/>
              </w:rPr>
              <w:t xml:space="preserve"> լրացումներ կատարելու մասին» ՀՀ օրենքի </w:t>
            </w:r>
            <w:r w:rsidRPr="0053423A">
              <w:rPr>
                <w:b/>
                <w:u w:val="single"/>
                <w:lang w:val="hy-AM"/>
              </w:rPr>
              <w:t>նախագիծը վարչապետի աշխատակազմ ներկայացնելը</w:t>
            </w:r>
            <w:r w:rsidRPr="0053423A">
              <w:rPr>
                <w:rFonts w:cs="GHEA Grapalat"/>
                <w:b/>
                <w:bCs/>
                <w:u w:val="single"/>
                <w:lang w:val="hy-AM"/>
              </w:rPr>
              <w:t>»</w:t>
            </w:r>
          </w:p>
          <w:p w:rsidR="006B0618" w:rsidRPr="0053423A" w:rsidRDefault="006B0618" w:rsidP="00A67858">
            <w:pPr>
              <w:spacing w:line="276" w:lineRule="auto"/>
              <w:jc w:val="center"/>
              <w:rPr>
                <w:b/>
                <w:u w:val="single"/>
                <w:lang w:val="hy-AM"/>
              </w:rPr>
            </w:pPr>
          </w:p>
          <w:p w:rsidR="006B0618" w:rsidRPr="0053423A" w:rsidRDefault="006B0618" w:rsidP="00A67858">
            <w:pPr>
              <w:pStyle w:val="ListParagraph"/>
              <w:numPr>
                <w:ilvl w:val="0"/>
                <w:numId w:val="31"/>
              </w:numPr>
              <w:tabs>
                <w:tab w:val="left" w:pos="1017"/>
              </w:tabs>
              <w:spacing w:line="276" w:lineRule="auto"/>
              <w:ind w:left="734" w:hanging="77"/>
              <w:contextualSpacing w:val="0"/>
              <w:rPr>
                <w:b/>
                <w:i/>
                <w:lang w:val="hy-AM"/>
              </w:rPr>
            </w:pPr>
            <w:r w:rsidRPr="0053423A">
              <w:rPr>
                <w:b/>
                <w:i/>
                <w:lang w:val="hy-AM"/>
              </w:rPr>
              <w:t xml:space="preserve">Միջոցառման իրականացման անհրաժեշտությունը և նպատակը </w:t>
            </w:r>
          </w:p>
          <w:p w:rsidR="006B0618" w:rsidRPr="0053423A" w:rsidRDefault="0073408B" w:rsidP="00A67858">
            <w:pPr>
              <w:pStyle w:val="ListParagraph"/>
              <w:spacing w:line="276" w:lineRule="auto"/>
              <w:ind w:left="0" w:firstLine="648"/>
              <w:jc w:val="both"/>
              <w:rPr>
                <w:lang w:val="hy-AM"/>
              </w:rPr>
            </w:pPr>
            <w:r w:rsidRPr="0053423A">
              <w:rPr>
                <w:lang w:val="hy-AM"/>
              </w:rPr>
              <w:t>Միջո</w:t>
            </w:r>
            <w:r w:rsidR="006B0618" w:rsidRPr="0053423A">
              <w:rPr>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Անտառների կայուն կառավարում, անտառածածկ տարածքների ընդլայնում, անտառվերականգնում և անատառապատում, դրանց իրականացմանն ուղղված կարողությունների շարունակական զարգացում  ուղղությունը:</w:t>
            </w:r>
          </w:p>
          <w:p w:rsidR="006B0618" w:rsidRPr="0053423A" w:rsidRDefault="006B0618" w:rsidP="00A67858">
            <w:pPr>
              <w:pStyle w:val="ListParagraph"/>
              <w:spacing w:line="276" w:lineRule="auto"/>
              <w:ind w:left="0" w:firstLine="648"/>
              <w:jc w:val="both"/>
              <w:rPr>
                <w:lang w:val="hy-AM"/>
              </w:rPr>
            </w:pPr>
            <w:r w:rsidRPr="0053423A">
              <w:rPr>
                <w:lang w:val="hy-AM"/>
              </w:rPr>
              <w:t>«Հայաստանի Հանրապետության անտառային օրենսգրքում փոփոխություններ և լրացումներ կատարելու մասին» օրենքի նախագծի ընդունումը պայմանավորված է իրավական  նոր հիմքեր ամրագրելու հանգամանքով, ըստ որոնց անտառները կկառավարվեն բնական միջավայրին համապատասխան, անտառային տարածքների հետևողական ընդլայնմամբ, անտառային պաշարների բնական, շարունակական և անսպառ օգտագործմամբ։</w:t>
            </w:r>
          </w:p>
          <w:p w:rsidR="006B0618" w:rsidRPr="0053423A" w:rsidRDefault="006B0618" w:rsidP="00A67858">
            <w:pPr>
              <w:pStyle w:val="ListParagraph"/>
              <w:numPr>
                <w:ilvl w:val="1"/>
                <w:numId w:val="31"/>
              </w:numPr>
              <w:tabs>
                <w:tab w:val="left" w:pos="1125"/>
              </w:tabs>
              <w:spacing w:line="276" w:lineRule="auto"/>
              <w:ind w:left="765" w:hanging="117"/>
              <w:contextualSpacing w:val="0"/>
              <w:rPr>
                <w:b/>
                <w:lang w:val="hy-AM"/>
              </w:rPr>
            </w:pPr>
            <w:r w:rsidRPr="0053423A">
              <w:rPr>
                <w:b/>
                <w:lang w:val="hy-AM"/>
              </w:rPr>
              <w:t xml:space="preserve">կարգավորման հարաբերությունների ներկա վիճակը և առկա խնդիրները </w:t>
            </w:r>
          </w:p>
          <w:p w:rsidR="006B0618" w:rsidRPr="0053423A" w:rsidRDefault="006B0618" w:rsidP="00A67858">
            <w:pPr>
              <w:pStyle w:val="ListParagraph"/>
              <w:spacing w:line="276" w:lineRule="auto"/>
              <w:ind w:left="0" w:firstLine="375"/>
              <w:jc w:val="both"/>
              <w:rPr>
                <w:lang w:val="hy-AM"/>
              </w:rPr>
            </w:pPr>
            <w:r w:rsidRPr="0053423A">
              <w:rPr>
                <w:lang w:val="hy-AM"/>
              </w:rPr>
              <w:t xml:space="preserve">ՀՀ անտառային օրենսգրքի 10-րդ հոդվածով սահմանվում են ըստ հիմնական նպատակային նշանակության անտառների դասակարգման դրույթներ, որը հակասության մեջ է գտնվում ՀՀ հողային օրենսգրքի 25-րդ հոդվածի 2-րդ մասի հետ, մասնավորապես` անտառային հողերի գործառնական նշանակությունը սահմանվում է ՀՀ անտառային օրենսգրքով: Բացի նշվածից ՀՀ անտառային օրենսգրքի 10-րդ հոդվածի 1-ին մասով պահանջվում է, որ ըստ հիմնական նպատակային նշանակության` անտառների դասակարգման կարգը սահմանի ՀՀ կառավարությունը, ինչը գործնականորեն հնարավոր չէ:  </w:t>
            </w:r>
          </w:p>
          <w:p w:rsidR="006B0618" w:rsidRPr="0053423A" w:rsidRDefault="006B0618" w:rsidP="00A67858">
            <w:pPr>
              <w:pStyle w:val="ListParagraph"/>
              <w:spacing w:line="276" w:lineRule="auto"/>
              <w:ind w:left="0" w:firstLine="375"/>
              <w:jc w:val="both"/>
              <w:rPr>
                <w:lang w:val="hy-AM"/>
              </w:rPr>
            </w:pPr>
            <w:r w:rsidRPr="0053423A">
              <w:rPr>
                <w:lang w:val="hy-AM"/>
              </w:rPr>
              <w:t>ՀՀ անտառային օրենսգրքում բացակայում են անտառային տնտեսության վարման իրականացումն ապահովող դրույթներ, ինչպես նաև այնպիսի կարևոր սահմանափակումներ, որոնք կխոչընդոտեն անտառային հողերի տարածքների կրճատմանը:</w:t>
            </w:r>
          </w:p>
          <w:p w:rsidR="006B0618" w:rsidRPr="0053423A" w:rsidRDefault="006B0618" w:rsidP="00A67858">
            <w:pPr>
              <w:pStyle w:val="ListParagraph"/>
              <w:spacing w:line="276" w:lineRule="auto"/>
              <w:ind w:left="0" w:firstLine="375"/>
              <w:jc w:val="both"/>
              <w:rPr>
                <w:lang w:val="hy-AM"/>
              </w:rPr>
            </w:pPr>
            <w:r w:rsidRPr="0053423A">
              <w:rPr>
                <w:lang w:val="hy-AM"/>
              </w:rPr>
              <w:t>ՀՀ անտառային օրենսգրքում չեն նախատեսվում անտառային տնկադաշտերի հիմնման, անտառային և տնկարանային տնտեսության կազմակերպման նպատակներով անտառօգտագործման դրույթներ և այլն:</w:t>
            </w:r>
          </w:p>
          <w:p w:rsidR="006B0618" w:rsidRPr="0053423A" w:rsidRDefault="006B0618" w:rsidP="00A67858">
            <w:pPr>
              <w:pStyle w:val="ListParagraph"/>
              <w:numPr>
                <w:ilvl w:val="1"/>
                <w:numId w:val="31"/>
              </w:numPr>
              <w:tabs>
                <w:tab w:val="left" w:pos="1080"/>
              </w:tabs>
              <w:spacing w:line="276" w:lineRule="auto"/>
              <w:ind w:left="792" w:hanging="187"/>
              <w:contextualSpacing w:val="0"/>
              <w:jc w:val="both"/>
              <w:rPr>
                <w:b/>
                <w:lang w:val="hy-AM"/>
              </w:rPr>
            </w:pPr>
            <w:r w:rsidRPr="0053423A">
              <w:rPr>
                <w:b/>
                <w:lang w:val="hy-AM"/>
              </w:rPr>
              <w:t xml:space="preserve">առկա խնդիրների առաջարկվող լուծումները </w:t>
            </w:r>
          </w:p>
          <w:p w:rsidR="006B0618" w:rsidRPr="0053423A" w:rsidRDefault="006B0618" w:rsidP="00A67858">
            <w:pPr>
              <w:spacing w:line="276" w:lineRule="auto"/>
              <w:ind w:firstLine="720"/>
              <w:contextualSpacing/>
              <w:jc w:val="both"/>
              <w:rPr>
                <w:lang w:val="hy-AM"/>
              </w:rPr>
            </w:pPr>
            <w:r w:rsidRPr="0053423A">
              <w:rPr>
                <w:lang w:val="hy-AM"/>
              </w:rPr>
              <w:t xml:space="preserve">ՀՀ անտառային օրենսգրքի վերանայում և համապատասխանեցում ոլորտային ներկա քաղաքականությանը։ Անտառային տնտեսության վարման իրականացումն ապահովող դրույթների ամրագրում, ինչպես նաև անտառային հողերի տրամադրման  սահմանափակումների ամրագրում, նոր անտառօգտագործման դրույթների ամրագրում՝ կապված տնկարանային տնտեսությունների կազմակերպման հետ։ </w:t>
            </w:r>
          </w:p>
          <w:p w:rsidR="006B0618" w:rsidRPr="0053423A" w:rsidRDefault="006B0618" w:rsidP="00A67858">
            <w:pPr>
              <w:pStyle w:val="ListParagraph"/>
              <w:numPr>
                <w:ilvl w:val="0"/>
                <w:numId w:val="31"/>
              </w:numPr>
              <w:tabs>
                <w:tab w:val="left" w:pos="990"/>
              </w:tabs>
              <w:spacing w:line="276" w:lineRule="auto"/>
              <w:ind w:left="734" w:hanging="104"/>
              <w:contextualSpacing w:val="0"/>
              <w:rPr>
                <w:b/>
                <w:i/>
                <w:lang w:val="hy-AM"/>
              </w:rPr>
            </w:pPr>
            <w:r w:rsidRPr="0053423A">
              <w:rPr>
                <w:b/>
                <w:i/>
                <w:lang w:val="hy-AM"/>
              </w:rPr>
              <w:t>Միջոցառման իրականացումից ակնկալվող արդյունքը</w:t>
            </w:r>
          </w:p>
          <w:p w:rsidR="006B0618" w:rsidRPr="0053423A" w:rsidRDefault="006B0618" w:rsidP="00A67858">
            <w:pPr>
              <w:pStyle w:val="ListParagraph"/>
              <w:spacing w:line="276" w:lineRule="auto"/>
              <w:ind w:left="-18" w:firstLine="405"/>
              <w:jc w:val="both"/>
              <w:rPr>
                <w:lang w:val="hy-AM"/>
              </w:rPr>
            </w:pPr>
            <w:r w:rsidRPr="0053423A">
              <w:rPr>
                <w:lang w:val="hy-AM"/>
              </w:rPr>
              <w:t>Անտառային ոլորտի իրավական դաշտի կատարելագործում, լիազորությունների հստակեցում, անտառային տնտեսության վարման համակարգի բարեփոխում:</w:t>
            </w:r>
          </w:p>
          <w:p w:rsidR="006B0618" w:rsidRPr="0053423A" w:rsidRDefault="006B0618" w:rsidP="00A67858">
            <w:pPr>
              <w:pStyle w:val="ListParagraph"/>
              <w:spacing w:line="276" w:lineRule="auto"/>
              <w:ind w:left="-18" w:firstLine="405"/>
              <w:jc w:val="both"/>
              <w:rPr>
                <w:lang w:val="hy-AM"/>
              </w:rPr>
            </w:pPr>
          </w:p>
          <w:p w:rsidR="006B0618" w:rsidRPr="0053423A" w:rsidRDefault="006B0618" w:rsidP="00A67858">
            <w:pPr>
              <w:pStyle w:val="ListParagraph"/>
              <w:spacing w:line="276" w:lineRule="auto"/>
              <w:ind w:left="-18" w:firstLine="405"/>
              <w:jc w:val="center"/>
              <w:rPr>
                <w:b/>
                <w:u w:val="single"/>
                <w:lang w:val="hy-AM"/>
              </w:rPr>
            </w:pPr>
            <w:r w:rsidRPr="0053423A">
              <w:rPr>
                <w:b/>
                <w:u w:val="single"/>
                <w:lang w:val="hy-AM"/>
              </w:rPr>
              <w:t>3.2 «Հայանտառ» ՊՈԱԿ-ի «անտառտնտեսություն» մասնաճյուղերի համար անտառակառավարման պլանների մշակում և հաստատում նախարարի հրամանով</w:t>
            </w:r>
          </w:p>
          <w:p w:rsidR="006B0618" w:rsidRPr="0053423A" w:rsidRDefault="006B0618" w:rsidP="00A67858">
            <w:pPr>
              <w:spacing w:line="276" w:lineRule="auto"/>
              <w:jc w:val="center"/>
              <w:rPr>
                <w:b/>
                <w:lang w:val="hy-AM"/>
              </w:rPr>
            </w:pPr>
          </w:p>
          <w:p w:rsidR="006B0618" w:rsidRPr="0053423A" w:rsidRDefault="006B0618" w:rsidP="00A67858">
            <w:pPr>
              <w:spacing w:line="276" w:lineRule="auto"/>
              <w:ind w:firstLine="373"/>
              <w:jc w:val="both"/>
              <w:rPr>
                <w:b/>
                <w:i/>
                <w:lang w:val="hy-AM"/>
              </w:rPr>
            </w:pPr>
            <w:r w:rsidRPr="0053423A">
              <w:rPr>
                <w:b/>
                <w:i/>
                <w:lang w:val="hy-AM"/>
              </w:rPr>
              <w:t>1. Միջոցառման իրականացման անհրաժեշտությունը և նպատակը</w:t>
            </w:r>
          </w:p>
          <w:p w:rsidR="006B0618" w:rsidRPr="0053423A" w:rsidRDefault="0073408B" w:rsidP="00A67858">
            <w:pPr>
              <w:spacing w:line="276" w:lineRule="auto"/>
              <w:jc w:val="both"/>
              <w:rPr>
                <w:lang w:val="hy-AM"/>
              </w:rPr>
            </w:pPr>
            <w:r w:rsidRPr="0053423A">
              <w:rPr>
                <w:lang w:val="hy-AM"/>
              </w:rPr>
              <w:t xml:space="preserve">    </w:t>
            </w:r>
            <w:r w:rsidR="00CE551D" w:rsidRPr="0053423A">
              <w:rPr>
                <w:lang w:val="hy-AM"/>
              </w:rPr>
              <w:t xml:space="preserve">  </w:t>
            </w:r>
            <w:r w:rsidRPr="0053423A">
              <w:rPr>
                <w:lang w:val="hy-AM"/>
              </w:rPr>
              <w:t>Միջո</w:t>
            </w:r>
            <w:r w:rsidR="006B0618" w:rsidRPr="0053423A">
              <w:rPr>
                <w:lang w:val="hy-AM"/>
              </w:rPr>
              <w:t xml:space="preserve">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Անտառների կայուն կառավարում, անտառածածկ տարածքների ընդլայնում, անտառվերականգնում և անատառապատում, դրանց իրականացմանն ուղղված կարողությունների շարունակական զարգացում  ուղղությունը, ՀՀ Անտառային օրենսգրքի 15-րդ հոդվածը և </w:t>
            </w:r>
            <w:r w:rsidR="006B0618" w:rsidRPr="0053423A">
              <w:rPr>
                <w:rFonts w:eastAsia="Calibri"/>
                <w:lang w:val="hy-AM"/>
              </w:rPr>
              <w:t xml:space="preserve"> </w:t>
            </w:r>
            <w:r w:rsidR="006B0618" w:rsidRPr="0053423A">
              <w:rPr>
                <w:rFonts w:cs="GHEA Grapalat"/>
                <w:color w:val="000000" w:themeColor="text1"/>
                <w:lang w:val="hy-AM"/>
              </w:rPr>
              <w:t>համաձայն</w:t>
            </w:r>
            <w:r w:rsidR="006B0618" w:rsidRPr="0053423A">
              <w:rPr>
                <w:lang w:val="hy-AM"/>
              </w:rPr>
              <w:t xml:space="preserve"> Կառավարության կառուցվածքի և գործունեության մասին ՀՀ օրենքի հավելվածի 6-րդ կետի</w:t>
            </w:r>
            <w:r w:rsidR="006B0618" w:rsidRPr="0053423A">
              <w:rPr>
                <w:rFonts w:cs="GHEA Grapalat"/>
                <w:color w:val="000000" w:themeColor="text1"/>
                <w:lang w:val="hy-AM"/>
              </w:rPr>
              <w:t>:</w:t>
            </w:r>
          </w:p>
          <w:p w:rsidR="006B0618" w:rsidRPr="0053423A" w:rsidRDefault="006B0618" w:rsidP="00A67858">
            <w:pPr>
              <w:spacing w:line="276" w:lineRule="auto"/>
              <w:ind w:firstLine="720"/>
              <w:jc w:val="both"/>
              <w:rPr>
                <w:lang w:val="hy-AM"/>
              </w:rPr>
            </w:pPr>
            <w:r w:rsidRPr="0053423A">
              <w:rPr>
                <w:lang w:val="hy-AM"/>
              </w:rPr>
              <w:t xml:space="preserve">Անտառային տնտեսության վարման հիմք է հանդիսանում անտառաշինական նախագիծը (անտառակառավարման պլանը), որն իրենից ներկայացնում է  անտառաշինության արդյունքում մշակված և հաստատված տեխնիկական փաստաթուղթ: Անտառաշինական նախագծում պլանավորվում է անտառային տնտեսության վարման առաջիկա 10 տարիներին իրականացվելիք միջոցառումները: </w:t>
            </w:r>
          </w:p>
          <w:p w:rsidR="006B0618" w:rsidRPr="0053423A" w:rsidRDefault="006B0618" w:rsidP="00A67858">
            <w:pPr>
              <w:spacing w:line="276" w:lineRule="auto"/>
              <w:ind w:firstLine="553"/>
              <w:jc w:val="both"/>
              <w:rPr>
                <w:b/>
                <w:lang w:val="hy-AM"/>
              </w:rPr>
            </w:pPr>
            <w:bookmarkStart w:id="2" w:name="OLE_LINK17"/>
            <w:r w:rsidRPr="0053423A">
              <w:rPr>
                <w:b/>
                <w:lang w:val="hy-AM"/>
              </w:rPr>
              <w:t>1.1 կարգավորման հարաբերությունների ներկա վիճակը և առկա խնդիրները</w:t>
            </w:r>
          </w:p>
          <w:bookmarkEnd w:id="2"/>
          <w:p w:rsidR="006B0618" w:rsidRPr="0053423A" w:rsidRDefault="006B0618" w:rsidP="00A67858">
            <w:pPr>
              <w:spacing w:line="276" w:lineRule="auto"/>
              <w:jc w:val="both"/>
              <w:rPr>
                <w:lang w:val="hy-AM"/>
              </w:rPr>
            </w:pPr>
            <w:r w:rsidRPr="0053423A">
              <w:rPr>
                <w:lang w:val="hy-AM"/>
              </w:rPr>
              <w:t xml:space="preserve">ՀՀ գյուղատնտեսության նախարարի 16 նոյեմբերի 2017 թվականի  N253-Ա հրամանով անտառաշինական նախագծերը սառեցվել են, և ներկայումս անհրաժեշտություն է առաջացել «Հայանտառ» ՊՈԱԿ-ի 19 «անտառտնտեսություն» մասնաճյուղերի համար մշակել և հաստատել նոր անտառաշինական նախագծեր (անտառակառավարման պլաններ): Անտառակառավարման պլանների բացակայությունը լուրջ խոչընդոտ է հանդիսանում անտառների կայուն կառավարման համար:  </w:t>
            </w:r>
          </w:p>
          <w:p w:rsidR="006B0618" w:rsidRPr="0053423A" w:rsidRDefault="006B0618" w:rsidP="00A67858">
            <w:pPr>
              <w:spacing w:line="276" w:lineRule="auto"/>
              <w:ind w:firstLine="720"/>
              <w:jc w:val="both"/>
              <w:rPr>
                <w:lang w:val="hy-AM"/>
              </w:rPr>
            </w:pPr>
            <w:r w:rsidRPr="0053423A">
              <w:rPr>
                <w:lang w:val="hy-AM"/>
              </w:rPr>
              <w:t>Աշխատանքները նախատեսվում է իրականացնել Հայաստանի Հանրապետության պետական բյուջեի և օրենքով չարգելված այլ միջոցների հաշվին և կկազմեն  432349,5 հազ. դրամ, որից 2019թ. համար  պետական բյուջեում նախատեսվել է 113677,2 հազ. դրամ և 2020թ.՝ 318.672.3հազ.դրամ:</w:t>
            </w:r>
          </w:p>
          <w:p w:rsidR="006B0618" w:rsidRPr="0053423A" w:rsidRDefault="006B0618" w:rsidP="00A67858">
            <w:pPr>
              <w:spacing w:line="276" w:lineRule="auto"/>
              <w:ind w:firstLine="643"/>
              <w:jc w:val="both"/>
              <w:rPr>
                <w:b/>
                <w:lang w:val="hy-AM"/>
              </w:rPr>
            </w:pPr>
            <w:r w:rsidRPr="0053423A">
              <w:rPr>
                <w:b/>
                <w:lang w:val="hy-AM"/>
              </w:rPr>
              <w:t>1.2 առկա խնդիրների առաջարկվող լուծումները</w:t>
            </w:r>
          </w:p>
          <w:p w:rsidR="006B0618" w:rsidRPr="0053423A" w:rsidRDefault="006B0618" w:rsidP="00A67858">
            <w:pPr>
              <w:spacing w:line="276" w:lineRule="auto"/>
              <w:jc w:val="both"/>
              <w:rPr>
                <w:lang w:val="hy-AM"/>
              </w:rPr>
            </w:pPr>
            <w:r w:rsidRPr="0053423A">
              <w:rPr>
                <w:lang w:val="hy-AM"/>
              </w:rPr>
              <w:t xml:space="preserve">Անտառաշինական նախագծերի (անտառակառավարման պլանների) մշակում և հաստատում «Հայանտառ» ՊՈԱԿ-ի 19 «անտառտնտեսություն» մասնաճյուղերի համար: </w:t>
            </w:r>
          </w:p>
          <w:p w:rsidR="006B0618" w:rsidRPr="0053423A" w:rsidRDefault="006B0618" w:rsidP="00A67858">
            <w:pPr>
              <w:spacing w:line="276" w:lineRule="auto"/>
              <w:ind w:firstLine="643"/>
              <w:jc w:val="both"/>
              <w:rPr>
                <w:b/>
                <w:i/>
                <w:lang w:val="hy-AM"/>
              </w:rPr>
            </w:pPr>
            <w:bookmarkStart w:id="3" w:name="OLE_LINK19"/>
            <w:r w:rsidRPr="0053423A">
              <w:rPr>
                <w:b/>
                <w:i/>
                <w:lang w:val="hy-AM"/>
              </w:rPr>
              <w:t xml:space="preserve">2. Միջոցառման իրականացումից ակնկալվող արդյունքը </w:t>
            </w:r>
          </w:p>
          <w:bookmarkEnd w:id="3"/>
          <w:p w:rsidR="006B0618" w:rsidRPr="0053423A" w:rsidRDefault="006B0618" w:rsidP="00A67858">
            <w:pPr>
              <w:spacing w:line="276" w:lineRule="auto"/>
              <w:ind w:firstLine="720"/>
              <w:jc w:val="both"/>
              <w:rPr>
                <w:lang w:val="hy-AM"/>
              </w:rPr>
            </w:pPr>
            <w:r w:rsidRPr="0053423A">
              <w:rPr>
                <w:lang w:val="hy-AM"/>
              </w:rPr>
              <w:t>Անտառակառավարման պլանների մշակումը և հաստատումը թույլ կտա հստակեցնել անտառային տարածքների սահմանները, անտառների ներկա վիճակը և պլանավորել անտառային տնտեսության վարման առաջիկա 10 տարիների համար անհրաժեշտ միջոցառումները:</w:t>
            </w:r>
          </w:p>
          <w:p w:rsidR="006B0618" w:rsidRPr="0053423A" w:rsidRDefault="006B0618" w:rsidP="00A67858">
            <w:pPr>
              <w:spacing w:line="276" w:lineRule="auto"/>
              <w:ind w:firstLine="720"/>
              <w:jc w:val="both"/>
              <w:rPr>
                <w:lang w:val="hy-AM"/>
              </w:rPr>
            </w:pPr>
          </w:p>
          <w:p w:rsidR="006B0618" w:rsidRPr="0053423A" w:rsidRDefault="006B0618" w:rsidP="00A67858">
            <w:pPr>
              <w:spacing w:line="276" w:lineRule="auto"/>
              <w:jc w:val="center"/>
              <w:rPr>
                <w:b/>
                <w:u w:val="single"/>
                <w:lang w:val="hy-AM"/>
              </w:rPr>
            </w:pPr>
            <w:r w:rsidRPr="0053423A">
              <w:rPr>
                <w:b/>
                <w:u w:val="single"/>
                <w:lang w:val="hy-AM"/>
              </w:rPr>
              <w:t>3.3 Անտառվերականգնման և անտառապատման աշխատանքների կազմակերպում, այդ թվում անտառային տնկարանների հիմնում և սերմնային տնտեսության զարգացում</w:t>
            </w:r>
          </w:p>
          <w:p w:rsidR="006B0618" w:rsidRPr="0053423A" w:rsidRDefault="006B0618" w:rsidP="00A67858">
            <w:pPr>
              <w:spacing w:line="276" w:lineRule="auto"/>
              <w:jc w:val="center"/>
              <w:rPr>
                <w:b/>
                <w:u w:val="single"/>
                <w:lang w:val="hy-AM"/>
              </w:rPr>
            </w:pPr>
          </w:p>
          <w:p w:rsidR="006B0618" w:rsidRPr="0053423A" w:rsidRDefault="006B0618" w:rsidP="00A67858">
            <w:pPr>
              <w:spacing w:line="276" w:lineRule="auto"/>
              <w:ind w:firstLine="733"/>
              <w:jc w:val="both"/>
              <w:rPr>
                <w:b/>
                <w:i/>
                <w:lang w:val="hy-AM"/>
              </w:rPr>
            </w:pPr>
            <w:r w:rsidRPr="0053423A">
              <w:rPr>
                <w:b/>
                <w:i/>
                <w:lang w:val="hy-AM"/>
              </w:rPr>
              <w:t>1. Միջոցառման իրականացման անհրաժեշտությունը և նպատակը</w:t>
            </w:r>
          </w:p>
          <w:p w:rsidR="006B0618" w:rsidRPr="0053423A" w:rsidRDefault="0073408B" w:rsidP="00A67858">
            <w:pPr>
              <w:spacing w:line="276" w:lineRule="auto"/>
              <w:ind w:firstLine="720"/>
              <w:jc w:val="both"/>
              <w:rPr>
                <w:lang w:val="hy-AM"/>
              </w:rPr>
            </w:pPr>
            <w:r w:rsidRPr="0053423A">
              <w:rPr>
                <w:lang w:val="hy-AM"/>
              </w:rPr>
              <w:t>Միջո</w:t>
            </w:r>
            <w:r w:rsidR="006B0618" w:rsidRPr="0053423A">
              <w:rPr>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Անտառների կայուն կառավարում, անտառածածկ տարածքների ընդլայնում, անտառվերականգնում և անատառապատում, դրանց իրականացմանն ուղղված կարողությունների շարունակական զարգացում  ուղղությունը:</w:t>
            </w:r>
          </w:p>
          <w:p w:rsidR="006B0618" w:rsidRPr="0053423A" w:rsidRDefault="006B0618" w:rsidP="00A67858">
            <w:pPr>
              <w:spacing w:line="276" w:lineRule="auto"/>
              <w:ind w:firstLine="720"/>
              <w:jc w:val="both"/>
              <w:rPr>
                <w:lang w:val="hy-AM"/>
              </w:rPr>
            </w:pPr>
            <w:r w:rsidRPr="0053423A">
              <w:rPr>
                <w:lang w:val="hy-AM"/>
              </w:rPr>
              <w:t xml:space="preserve">ՄԱԿ–ի «Կլիմայի փոփոխության մասին» շրջանակային կոնվենցիայի շրջանակներում ընդունված «Ազգային մակարդակով սահմանված նախատեսվող գործողությունները/ներդրումը» (INDC) փաստաթղթով (ՀՀ կառավարության 10.09.2015թ. N41 արձանագրային որոշում) </w:t>
            </w:r>
            <w:bookmarkStart w:id="4" w:name="OLE_LINK3"/>
            <w:r w:rsidRPr="0053423A">
              <w:rPr>
                <w:lang w:val="hy-AM"/>
              </w:rPr>
              <w:t xml:space="preserve">Հայաստանի Հանրապետությունը ստանձնել է միջազգային պարտավորություն մինչև 2050 թվականը երկրի անտառապատվածությունը ներկայիս 11.2 %-ի փոխարեն հասցնել օպտիմալ 20.1%-ի: </w:t>
            </w:r>
            <w:bookmarkEnd w:id="4"/>
          </w:p>
          <w:p w:rsidR="006B0618" w:rsidRPr="0053423A" w:rsidRDefault="006B0618" w:rsidP="00A67858">
            <w:pPr>
              <w:spacing w:line="276" w:lineRule="auto"/>
              <w:ind w:firstLine="720"/>
              <w:jc w:val="both"/>
              <w:rPr>
                <w:lang w:val="hy-AM"/>
              </w:rPr>
            </w:pPr>
          </w:p>
          <w:p w:rsidR="006B0618" w:rsidRPr="0053423A" w:rsidRDefault="006B0618" w:rsidP="00A67858">
            <w:pPr>
              <w:spacing w:line="276" w:lineRule="auto"/>
              <w:ind w:firstLine="643"/>
              <w:jc w:val="both"/>
              <w:rPr>
                <w:b/>
                <w:lang w:val="hy-AM"/>
              </w:rPr>
            </w:pPr>
            <w:r w:rsidRPr="0053423A">
              <w:rPr>
                <w:b/>
                <w:lang w:val="hy-AM"/>
              </w:rPr>
              <w:t>1.1 կարգավորման հարաբերությունների ներկա վիճակը և առկա խնդիրները</w:t>
            </w:r>
          </w:p>
          <w:p w:rsidR="006B0618" w:rsidRPr="0053423A" w:rsidRDefault="006B0618" w:rsidP="00A67858">
            <w:pPr>
              <w:spacing w:line="276" w:lineRule="auto"/>
              <w:jc w:val="both"/>
              <w:rPr>
                <w:lang w:val="hy-AM"/>
              </w:rPr>
            </w:pPr>
            <w:r w:rsidRPr="0053423A">
              <w:rPr>
                <w:lang w:val="hy-AM"/>
              </w:rPr>
              <w:t xml:space="preserve"> </w:t>
            </w:r>
            <w:r w:rsidRPr="0053423A">
              <w:rPr>
                <w:lang w:val="hy-AM"/>
              </w:rPr>
              <w:tab/>
              <w:t xml:space="preserve">Անտառվերականգնման և անտառապատման աշխատանքների իրականացման համար անհրաժեշտ է ունենալ տարբեր տեսակների որակյալ տնկանյութ, ինչի համար պետք է զարգացնել տնկարանային և սերմնային տնտեսությունները: Աշխատանքները նախատեսվում է իրականացնել Հայաստանի Հանրապետության պետական բյուջեի և օրենքով չարգելված այլ միջոցների հաշվին և կկազմեն 2618187.8 հազ. դրամ: </w:t>
            </w:r>
          </w:p>
          <w:p w:rsidR="006B0618" w:rsidRPr="0053423A" w:rsidRDefault="006B0618" w:rsidP="00A67858">
            <w:pPr>
              <w:spacing w:line="276" w:lineRule="auto"/>
              <w:ind w:firstLine="720"/>
              <w:jc w:val="both"/>
              <w:rPr>
                <w:lang w:val="hy-AM"/>
              </w:rPr>
            </w:pPr>
            <w:r w:rsidRPr="0053423A">
              <w:rPr>
                <w:lang w:val="hy-AM"/>
              </w:rPr>
              <w:t xml:space="preserve">2019 թվականին նախատասեվում է «Հայանտառ» ՊՈԱԿ-ի «Անտառտնտեսություն» մասնաճյուղերում իրականացնել շուրջ 800 հա անտառվերականգնման և անտառապատման և տնկարանների հիմնման աշխատանքներ, ինչի համար  </w:t>
            </w:r>
            <w:bookmarkStart w:id="5" w:name="OLE_LINK11"/>
            <w:r w:rsidRPr="0053423A">
              <w:rPr>
                <w:lang w:val="hy-AM"/>
              </w:rPr>
              <w:t xml:space="preserve">պետական բյուջեից հատկացվել է  425842.8 հազ. դրամ: </w:t>
            </w:r>
          </w:p>
          <w:p w:rsidR="006B0618" w:rsidRPr="0053423A" w:rsidRDefault="006B0618" w:rsidP="00A67858">
            <w:pPr>
              <w:spacing w:line="276" w:lineRule="auto"/>
              <w:ind w:firstLine="720"/>
              <w:jc w:val="both"/>
              <w:rPr>
                <w:color w:val="FF0000"/>
                <w:lang w:val="hy-AM"/>
              </w:rPr>
            </w:pPr>
            <w:r w:rsidRPr="0053423A">
              <w:rPr>
                <w:lang w:val="hy-AM"/>
              </w:rPr>
              <w:t xml:space="preserve">2020-2022թթ. միջնաժամկետ ծախսերի ծրագրով նախատեսված է 2192345.0հազ. դրամ, որից 2020թ.՝ 539520.0 հազ. դրամ, 2021թ.՝ 706233.0 հազ. դրամ, 2022թ,՝ 946592.0 հազ. դրամ:  </w:t>
            </w:r>
            <w:r w:rsidRPr="0053423A">
              <w:rPr>
                <w:color w:val="FF0000"/>
                <w:lang w:val="hy-AM"/>
              </w:rPr>
              <w:t xml:space="preserve"> </w:t>
            </w:r>
          </w:p>
          <w:p w:rsidR="006B0618" w:rsidRPr="0053423A" w:rsidRDefault="006B0618" w:rsidP="00A67858">
            <w:pPr>
              <w:spacing w:line="276" w:lineRule="auto"/>
              <w:ind w:firstLine="720"/>
              <w:jc w:val="both"/>
              <w:rPr>
                <w:color w:val="FF0000"/>
                <w:lang w:val="hy-AM"/>
              </w:rPr>
            </w:pPr>
          </w:p>
          <w:bookmarkEnd w:id="5"/>
          <w:p w:rsidR="006B0618" w:rsidRPr="0053423A" w:rsidRDefault="006B0618" w:rsidP="00A67858">
            <w:pPr>
              <w:spacing w:line="276" w:lineRule="auto"/>
              <w:ind w:firstLine="553"/>
              <w:jc w:val="both"/>
              <w:rPr>
                <w:b/>
                <w:lang w:val="hy-AM"/>
              </w:rPr>
            </w:pPr>
            <w:r w:rsidRPr="0053423A">
              <w:rPr>
                <w:b/>
                <w:lang w:val="hy-AM"/>
              </w:rPr>
              <w:t>1.2 առկա խնդիրների առաջարկվող լուծումները</w:t>
            </w:r>
          </w:p>
          <w:p w:rsidR="006B0618" w:rsidRPr="0053423A" w:rsidRDefault="006B0618" w:rsidP="00A67858">
            <w:pPr>
              <w:spacing w:line="276" w:lineRule="auto"/>
              <w:jc w:val="both"/>
              <w:rPr>
                <w:lang w:val="hy-AM"/>
              </w:rPr>
            </w:pPr>
            <w:r w:rsidRPr="0053423A">
              <w:rPr>
                <w:lang w:val="hy-AM"/>
              </w:rPr>
              <w:t xml:space="preserve">Անտառվերականգնման և անտառապատման ենթակա տարածքների ընտրություն (անտառակառավարման պլանների առկայության դեպքում հիմք ընդունելով կառավարման պլանի տվյալները), նախագծում և կազմակերպում, անտառային տնկարանների հիմնում և սերմնային տնտեսության զարգացում: Անհրաժեշտ քանակությամբ որակյալ տնկանյութ ստանալու նպատակով ջերմոցային համալիրներ են հիմնվելու  Լոռու մարզում 2 հատ, Սյունիքի մարզում 2 հատ, Կոտայքի մարզում ևս 2 հատ: Սերմերի և տնկանյութի երկարատև պահպանության համար անհրաժեշտ է ձեռք բերել սառնարաններ: </w:t>
            </w:r>
          </w:p>
          <w:p w:rsidR="006B0618" w:rsidRPr="0053423A" w:rsidRDefault="006B0618" w:rsidP="00A67858">
            <w:pPr>
              <w:spacing w:line="276" w:lineRule="auto"/>
              <w:jc w:val="both"/>
              <w:rPr>
                <w:lang w:val="hy-AM"/>
              </w:rPr>
            </w:pPr>
          </w:p>
          <w:p w:rsidR="006B0618" w:rsidRPr="0053423A" w:rsidRDefault="006B0618" w:rsidP="00A67858">
            <w:pPr>
              <w:spacing w:line="276" w:lineRule="auto"/>
              <w:ind w:firstLine="463"/>
              <w:jc w:val="both"/>
              <w:rPr>
                <w:b/>
                <w:i/>
                <w:lang w:val="hy-AM"/>
              </w:rPr>
            </w:pPr>
            <w:r w:rsidRPr="0053423A">
              <w:rPr>
                <w:b/>
                <w:i/>
                <w:lang w:val="hy-AM"/>
              </w:rPr>
              <w:t xml:space="preserve">2. Միջոցառման իրականացումից ակնկալվող արդյունքը </w:t>
            </w:r>
          </w:p>
          <w:p w:rsidR="006B0618" w:rsidRPr="0053423A" w:rsidRDefault="006B0618" w:rsidP="00A67858">
            <w:pPr>
              <w:spacing w:line="276" w:lineRule="auto"/>
              <w:jc w:val="both"/>
              <w:rPr>
                <w:lang w:val="hy-AM"/>
              </w:rPr>
            </w:pPr>
            <w:r w:rsidRPr="0053423A">
              <w:rPr>
                <w:lang w:val="hy-AM"/>
              </w:rPr>
              <w:t>Անտառածածկ տարածքների ընդլայնում:</w:t>
            </w:r>
          </w:p>
          <w:p w:rsidR="006B0618" w:rsidRPr="0053423A" w:rsidRDefault="006B0618" w:rsidP="00A67858">
            <w:pPr>
              <w:spacing w:line="276" w:lineRule="auto"/>
              <w:jc w:val="center"/>
              <w:rPr>
                <w:b/>
                <w:u w:val="single"/>
                <w:lang w:val="hy-AM"/>
              </w:rPr>
            </w:pPr>
          </w:p>
          <w:p w:rsidR="006B0618" w:rsidRPr="0053423A" w:rsidRDefault="006B0618" w:rsidP="00A67858">
            <w:pPr>
              <w:spacing w:line="276" w:lineRule="auto"/>
              <w:jc w:val="center"/>
              <w:rPr>
                <w:b/>
                <w:u w:val="single"/>
                <w:lang w:val="hy-AM"/>
              </w:rPr>
            </w:pPr>
            <w:r w:rsidRPr="0053423A">
              <w:rPr>
                <w:b/>
                <w:u w:val="single"/>
                <w:lang w:val="hy-AM"/>
              </w:rPr>
              <w:t xml:space="preserve">3.4 Անտառների կառավարման ոլորտում անտառպահպանության, անտառվերականգնման և անտառօգտագործման նորագույն տեխնիկայի և սարքավորումների ձեռքբերում </w:t>
            </w:r>
          </w:p>
          <w:p w:rsidR="006B0618" w:rsidRPr="0053423A" w:rsidRDefault="006B0618" w:rsidP="00A67858">
            <w:pPr>
              <w:spacing w:line="276" w:lineRule="auto"/>
              <w:jc w:val="center"/>
              <w:rPr>
                <w:b/>
                <w:u w:val="single"/>
                <w:lang w:val="hy-AM"/>
              </w:rPr>
            </w:pPr>
          </w:p>
          <w:p w:rsidR="006B0618" w:rsidRPr="0053423A" w:rsidRDefault="006B0618" w:rsidP="00A67858">
            <w:pPr>
              <w:pStyle w:val="ListParagraph"/>
              <w:numPr>
                <w:ilvl w:val="0"/>
                <w:numId w:val="57"/>
              </w:numPr>
              <w:spacing w:line="276" w:lineRule="auto"/>
              <w:ind w:firstLine="13"/>
              <w:jc w:val="both"/>
              <w:rPr>
                <w:b/>
                <w:i/>
                <w:lang w:val="hy-AM"/>
              </w:rPr>
            </w:pPr>
            <w:r w:rsidRPr="0053423A">
              <w:rPr>
                <w:b/>
                <w:i/>
                <w:lang w:val="hy-AM"/>
              </w:rPr>
              <w:t>Միջոցառման իրականացման անհրաժեշտությունը և նպատակը</w:t>
            </w:r>
          </w:p>
          <w:p w:rsidR="006B0618" w:rsidRPr="0053423A" w:rsidRDefault="00CE551D" w:rsidP="00A67858">
            <w:pPr>
              <w:spacing w:line="276" w:lineRule="auto"/>
              <w:ind w:firstLine="720"/>
              <w:jc w:val="both"/>
              <w:rPr>
                <w:lang w:val="hy-AM"/>
              </w:rPr>
            </w:pPr>
            <w:r w:rsidRPr="0053423A">
              <w:rPr>
                <w:rFonts w:cs="Sylfaen"/>
                <w:lang w:val="hy-AM"/>
              </w:rPr>
              <w:t>Միջո</w:t>
            </w:r>
            <w:r w:rsidR="006B0618" w:rsidRPr="0053423A">
              <w:rPr>
                <w:rFonts w:cs="Sylfaen"/>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Անտառների կայուն կառավարում, անտառածածկ տարածքների ընդլայնում, անտառվերականգնում և անատառապատում, դրանց իրականացմանն ուղղված կարողությունների շարունակական զարգացում  ուղղությունը: Նորագույն</w:t>
            </w:r>
            <w:r w:rsidR="006B0618" w:rsidRPr="0053423A">
              <w:rPr>
                <w:lang w:val="hy-AM"/>
              </w:rPr>
              <w:t xml:space="preserve"> տեխնիկայի և սարքավորումների ձեռքբերման նպատակն է բարձրացնել անտառների պահպանության արդյունավետությունը, նվազեցնել անտառխախտումների դեպքերը, կանխարգելել անտառային հրդեհները, ինչպես նաև նպաստել անտառային տնտեսության զարգացմանը և կայուն օգտագործմանը:</w:t>
            </w:r>
          </w:p>
          <w:p w:rsidR="006B0618" w:rsidRPr="0053423A" w:rsidRDefault="006B0618" w:rsidP="00A67858">
            <w:pPr>
              <w:spacing w:line="276" w:lineRule="auto"/>
              <w:ind w:firstLine="720"/>
              <w:jc w:val="both"/>
              <w:rPr>
                <w:b/>
                <w:lang w:val="hy-AM"/>
              </w:rPr>
            </w:pPr>
            <w:bookmarkStart w:id="6" w:name="OLE_LINK5"/>
            <w:bookmarkStart w:id="7" w:name="OLE_LINK6"/>
            <w:bookmarkStart w:id="8" w:name="OLE_LINK7"/>
            <w:r w:rsidRPr="0053423A">
              <w:rPr>
                <w:b/>
                <w:lang w:val="hy-AM"/>
              </w:rPr>
              <w:t>1.1 կարգավորման հարաբերությունների ներկա վիճակը և առկա խնդիրները</w:t>
            </w:r>
            <w:bookmarkEnd w:id="6"/>
            <w:bookmarkEnd w:id="7"/>
            <w:bookmarkEnd w:id="8"/>
          </w:p>
          <w:p w:rsidR="006B0618" w:rsidRPr="0053423A" w:rsidRDefault="006B0618" w:rsidP="00A67858">
            <w:pPr>
              <w:spacing w:line="276" w:lineRule="auto"/>
              <w:ind w:firstLine="720"/>
              <w:jc w:val="both"/>
              <w:rPr>
                <w:lang w:val="hy-AM"/>
              </w:rPr>
            </w:pPr>
            <w:r w:rsidRPr="0053423A">
              <w:rPr>
                <w:lang w:val="hy-AM"/>
              </w:rPr>
              <w:t xml:space="preserve">Անտառտնտեսություններում հակահրդեհային սարքավորումներով անբավարար հագեցվածություն: </w:t>
            </w:r>
          </w:p>
          <w:p w:rsidR="006B0618" w:rsidRPr="0053423A" w:rsidRDefault="006B0618" w:rsidP="00A67858">
            <w:pPr>
              <w:spacing w:line="276" w:lineRule="auto"/>
              <w:ind w:firstLine="720"/>
              <w:jc w:val="both"/>
              <w:rPr>
                <w:lang w:val="hy-AM"/>
              </w:rPr>
            </w:pPr>
            <w:r w:rsidRPr="0053423A">
              <w:rPr>
                <w:lang w:val="hy-AM"/>
              </w:rPr>
              <w:t xml:space="preserve">Քանի որ Հայաստանը հանդիսանում է լեռնային երկիր, և անտառները գտնվում են հիմնականում թեք լանջերի վրա, ապա ներկայումս կիրառվող հնացած (դեռևս Խորհրդային Միության տարիներից) տեխնոլոգիաները թույլ չեն տալիս հատատեղերի շահագործումն իրականացնել էկոլոգիապես անվտանգ եղանակով, որը հանգեցնում է բազմաթիվ խնդիրների: </w:t>
            </w:r>
          </w:p>
          <w:p w:rsidR="006B0618" w:rsidRPr="0053423A" w:rsidRDefault="006B0618" w:rsidP="00A67858">
            <w:pPr>
              <w:spacing w:line="276" w:lineRule="auto"/>
              <w:ind w:firstLine="720"/>
              <w:jc w:val="both"/>
              <w:rPr>
                <w:lang w:val="hy-AM"/>
              </w:rPr>
            </w:pPr>
            <w:r w:rsidRPr="0053423A">
              <w:rPr>
                <w:lang w:val="hy-AM"/>
              </w:rPr>
              <w:t xml:space="preserve">Անտառապատման աշխատանքները նույնպես հիմնականում կատարվում են ձեռքով, քանի որ տարածքները գտնվում են թեք լանջերի վրա և չկան համապատասխան (մեծ թեքությունների վրա աշխատող տրակտորներ և այլն) տեխնիկական միջոցներ:  </w:t>
            </w:r>
          </w:p>
          <w:p w:rsidR="006B0618" w:rsidRPr="0053423A" w:rsidRDefault="006B0618" w:rsidP="00A67858">
            <w:pPr>
              <w:spacing w:line="276" w:lineRule="auto"/>
              <w:ind w:firstLine="720"/>
              <w:jc w:val="both"/>
              <w:rPr>
                <w:lang w:val="hy-AM"/>
              </w:rPr>
            </w:pPr>
            <w:r w:rsidRPr="0053423A">
              <w:rPr>
                <w:lang w:val="hy-AM"/>
              </w:rPr>
              <w:t xml:space="preserve">Աշխատանքները նախատեսվում է իրականացնել օրենքով չարգելված այլ միջոցների հաշվին և կկազմեն 1470900,0 հազ. դրամ: </w:t>
            </w:r>
          </w:p>
          <w:p w:rsidR="006B0618" w:rsidRPr="0053423A" w:rsidRDefault="006B0618" w:rsidP="00A67858">
            <w:pPr>
              <w:spacing w:line="276" w:lineRule="auto"/>
              <w:ind w:firstLine="720"/>
              <w:jc w:val="both"/>
              <w:rPr>
                <w:lang w:val="hy-AM"/>
              </w:rPr>
            </w:pPr>
            <w:r w:rsidRPr="0053423A">
              <w:rPr>
                <w:lang w:val="hy-AM"/>
              </w:rPr>
              <w:t>2019թ. ընթացքում նախատեսվում է իրականացնել աշխատանքներ 461400,0 հազ. դրամի չափով:</w:t>
            </w:r>
          </w:p>
          <w:p w:rsidR="006B0618" w:rsidRPr="0053423A" w:rsidRDefault="006B0618" w:rsidP="00A67858">
            <w:pPr>
              <w:spacing w:line="276" w:lineRule="auto"/>
              <w:ind w:firstLine="720"/>
              <w:jc w:val="both"/>
              <w:rPr>
                <w:b/>
                <w:lang w:val="hy-AM"/>
              </w:rPr>
            </w:pPr>
            <w:bookmarkStart w:id="9" w:name="OLE_LINK12"/>
            <w:r w:rsidRPr="0053423A">
              <w:rPr>
                <w:b/>
                <w:lang w:val="hy-AM"/>
              </w:rPr>
              <w:t>1.2 առկա խնդիրների առաջարկվող լուծումները</w:t>
            </w:r>
          </w:p>
          <w:bookmarkEnd w:id="9"/>
          <w:p w:rsidR="006B0618" w:rsidRPr="0053423A" w:rsidRDefault="006B0618" w:rsidP="00A67858">
            <w:pPr>
              <w:spacing w:line="276" w:lineRule="auto"/>
              <w:ind w:firstLine="720"/>
              <w:jc w:val="both"/>
              <w:rPr>
                <w:lang w:val="hy-AM"/>
              </w:rPr>
            </w:pPr>
            <w:r w:rsidRPr="0053423A">
              <w:rPr>
                <w:lang w:val="hy-AM"/>
              </w:rPr>
              <w:t>Անտառպահախմբի աշխատողների ժամանակակից տեխնիկական և տրանսպորտային միջոցներով վերազինում (արտահագուստ, զենք, ձիեր, ամենագնաց մեքենաներ, ֆոտո և տեսախցիկներ, դրոններ, գիշերային տեսանելիության հեռադիտակներ և այլն),  հրդեհների արագ արձագանքման խմբերի ստեղծում, անտառային որոշ հատվածներում փոքր ջրամբարների կառուցում, ուղեփակոցների, հակահրդեհային թեմաներով ցուցանակների տեղադրում և այլն:</w:t>
            </w:r>
          </w:p>
          <w:p w:rsidR="006B0618" w:rsidRPr="0053423A" w:rsidRDefault="006B0618" w:rsidP="00A67858">
            <w:pPr>
              <w:spacing w:line="276" w:lineRule="auto"/>
              <w:ind w:firstLine="720"/>
              <w:jc w:val="both"/>
              <w:rPr>
                <w:lang w:val="hy-AM"/>
              </w:rPr>
            </w:pPr>
            <w:r w:rsidRPr="0053423A">
              <w:rPr>
                <w:lang w:val="hy-AM"/>
              </w:rPr>
              <w:t>Հատատեղերը էկոլոգիապես անվտանգ եղանակներով շահագործելու նպատակով անհրաժեշտ է ներդնել լեռնային երկրներում կիրառվող՝ փայտանյութի մթերման նորագույն տեխնոլոգիաներ (անտառային ճոպանուղի (Cable crane), անիվավոր տրակտորներ և այլն), ինչպես նաև ստեղծել  փայտանյութը վերամշակող ժամանակակից արտադրություններ՝ շարժական սղոցարաններ, փայտածուխի, մանրահատակի արտադրություններ և այլն:</w:t>
            </w:r>
          </w:p>
          <w:p w:rsidR="006B0618" w:rsidRPr="0053423A" w:rsidRDefault="006B0618" w:rsidP="00A67858">
            <w:pPr>
              <w:spacing w:line="276" w:lineRule="auto"/>
              <w:ind w:firstLine="720"/>
              <w:jc w:val="both"/>
              <w:rPr>
                <w:b/>
                <w:i/>
                <w:lang w:val="hy-AM"/>
              </w:rPr>
            </w:pPr>
            <w:bookmarkStart w:id="10" w:name="OLE_LINK13"/>
            <w:r w:rsidRPr="0053423A">
              <w:rPr>
                <w:b/>
                <w:i/>
                <w:lang w:val="hy-AM"/>
              </w:rPr>
              <w:t xml:space="preserve">2. Միջոցառման իրականացումից ակնկալվող արդյունքը </w:t>
            </w:r>
          </w:p>
          <w:bookmarkEnd w:id="10"/>
          <w:p w:rsidR="006B0618" w:rsidRPr="0053423A" w:rsidRDefault="006B0618" w:rsidP="00A67858">
            <w:pPr>
              <w:spacing w:line="276" w:lineRule="auto"/>
              <w:ind w:firstLine="720"/>
              <w:jc w:val="both"/>
              <w:rPr>
                <w:lang w:val="hy-AM"/>
              </w:rPr>
            </w:pPr>
            <w:r w:rsidRPr="0053423A">
              <w:rPr>
                <w:lang w:val="hy-AM"/>
              </w:rPr>
              <w:t>Կնվազեն ապօրինի հատումները, անտառային հրդեհների դեպքերը, կբարձրանա անտառային ռեսուրսների օգտագործման և անտառապատման աշխատանքների արդյունավետությունը, կավելանան անտառային տնտեսության եկամուտները:</w:t>
            </w:r>
          </w:p>
          <w:p w:rsidR="006B0618" w:rsidRPr="0053423A" w:rsidRDefault="006B0618" w:rsidP="00A67858">
            <w:pPr>
              <w:spacing w:line="276" w:lineRule="auto"/>
              <w:ind w:firstLine="720"/>
              <w:jc w:val="both"/>
              <w:rPr>
                <w:lang w:val="hy-AM"/>
              </w:rPr>
            </w:pPr>
          </w:p>
          <w:p w:rsidR="006B0618" w:rsidRPr="0053423A" w:rsidRDefault="006B0618" w:rsidP="00A67858">
            <w:pPr>
              <w:spacing w:line="276" w:lineRule="auto"/>
              <w:ind w:firstLine="720"/>
              <w:jc w:val="center"/>
              <w:rPr>
                <w:b/>
                <w:u w:val="single"/>
                <w:lang w:val="hy-AM"/>
              </w:rPr>
            </w:pPr>
            <w:r w:rsidRPr="0053423A">
              <w:rPr>
                <w:b/>
                <w:u w:val="single"/>
                <w:lang w:val="hy-AM"/>
              </w:rPr>
              <w:t>3.5 Վնասատուներից և հիվանդություններից  անտառների պաշտպանության նպատակով անտառպաթոլոգիական ուսումնասիրությունների իրականացում. անտառային վնասատուների և հիվանդությունների դեմ պայքարի իրականացման կազմակերպում</w:t>
            </w:r>
          </w:p>
          <w:p w:rsidR="006B0618" w:rsidRPr="0053423A" w:rsidRDefault="006B0618" w:rsidP="00A67858">
            <w:pPr>
              <w:spacing w:line="276" w:lineRule="auto"/>
              <w:ind w:firstLine="720"/>
              <w:jc w:val="center"/>
              <w:rPr>
                <w:b/>
                <w:u w:val="single"/>
                <w:lang w:val="hy-AM"/>
              </w:rPr>
            </w:pPr>
          </w:p>
          <w:p w:rsidR="006B0618" w:rsidRPr="0053423A" w:rsidRDefault="006B0618" w:rsidP="00A67858">
            <w:pPr>
              <w:spacing w:line="276" w:lineRule="auto"/>
              <w:ind w:firstLine="463"/>
              <w:jc w:val="both"/>
              <w:rPr>
                <w:b/>
                <w:i/>
                <w:lang w:val="hy-AM"/>
              </w:rPr>
            </w:pPr>
            <w:r w:rsidRPr="0053423A">
              <w:rPr>
                <w:b/>
                <w:i/>
                <w:lang w:val="hy-AM"/>
              </w:rPr>
              <w:t>1. Միջոցառման իրականացման անհրաժեշտությունը և նպատակը</w:t>
            </w:r>
          </w:p>
          <w:p w:rsidR="006B0618" w:rsidRPr="0053423A" w:rsidRDefault="0073408B" w:rsidP="00A67858">
            <w:pPr>
              <w:spacing w:line="276" w:lineRule="auto"/>
              <w:jc w:val="both"/>
              <w:rPr>
                <w:lang w:val="hy-AM"/>
              </w:rPr>
            </w:pPr>
            <w:r w:rsidRPr="0053423A">
              <w:rPr>
                <w:lang w:val="hy-AM"/>
              </w:rPr>
              <w:t xml:space="preserve">        </w:t>
            </w:r>
            <w:r w:rsidR="00232EB0" w:rsidRPr="0053423A">
              <w:rPr>
                <w:lang w:val="hy-AM"/>
              </w:rPr>
              <w:t>Միջո</w:t>
            </w:r>
            <w:r w:rsidR="006B0618" w:rsidRPr="0053423A">
              <w:rPr>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Անտառների կայուն կառավարում, անտառածածկ տարածքների ընդլայնում, անտառվերականգնում և անատառապատում, դրանց իրականացմանն ուղղված կարողությունների շարունակական զարգացում  ուղղությունը:</w:t>
            </w:r>
          </w:p>
          <w:p w:rsidR="006B0618" w:rsidRPr="0053423A" w:rsidRDefault="006B0618" w:rsidP="00A67858">
            <w:pPr>
              <w:spacing w:line="276" w:lineRule="auto"/>
              <w:ind w:firstLine="720"/>
              <w:jc w:val="both"/>
              <w:rPr>
                <w:lang w:val="hy-AM"/>
              </w:rPr>
            </w:pPr>
            <w:r w:rsidRPr="0053423A">
              <w:rPr>
                <w:lang w:val="hy-AM"/>
              </w:rPr>
              <w:t>Միջոցառման իրականացման նպատակն է ապահովել անտառպաշտպանական աշխատանքների արդյունավետությունը:</w:t>
            </w:r>
          </w:p>
          <w:p w:rsidR="006B0618" w:rsidRPr="0053423A" w:rsidRDefault="0073408B" w:rsidP="00A67858">
            <w:pPr>
              <w:spacing w:line="276" w:lineRule="auto"/>
              <w:ind w:firstLine="463"/>
              <w:jc w:val="both"/>
              <w:rPr>
                <w:b/>
                <w:lang w:val="hy-AM"/>
              </w:rPr>
            </w:pPr>
            <w:r w:rsidRPr="0053423A">
              <w:rPr>
                <w:b/>
                <w:lang w:val="hy-AM"/>
              </w:rPr>
              <w:t>1.1 Կ</w:t>
            </w:r>
            <w:r w:rsidR="006B0618" w:rsidRPr="0053423A">
              <w:rPr>
                <w:b/>
                <w:lang w:val="hy-AM"/>
              </w:rPr>
              <w:t>արգավորման հարաբերությունների ներկա վիճակը և առկա խնդիրները</w:t>
            </w:r>
          </w:p>
          <w:p w:rsidR="006B0618" w:rsidRPr="0053423A" w:rsidRDefault="006B0618" w:rsidP="00A67858">
            <w:pPr>
              <w:spacing w:line="276" w:lineRule="auto"/>
              <w:ind w:firstLine="720"/>
              <w:jc w:val="both"/>
              <w:rPr>
                <w:lang w:val="hy-AM"/>
              </w:rPr>
            </w:pPr>
            <w:r w:rsidRPr="0053423A">
              <w:rPr>
                <w:lang w:val="hy-AM"/>
              </w:rPr>
              <w:t xml:space="preserve">Ներկայումս «Հայանտառ» ՊՈԱԿ-ի շուրջ 11000 հա անտառներում առկա են վնասատուների և հիվանդությունների օջախներ, բացի այդ նկատվում են ասեղնատերևավոր ծառատեսակների մասսայական չորացման դեպքեր: </w:t>
            </w:r>
          </w:p>
          <w:p w:rsidR="006B0618" w:rsidRPr="0053423A" w:rsidRDefault="006B0618" w:rsidP="00A67858">
            <w:pPr>
              <w:spacing w:line="276" w:lineRule="auto"/>
              <w:ind w:firstLine="720"/>
              <w:jc w:val="both"/>
              <w:rPr>
                <w:lang w:val="hy-AM"/>
              </w:rPr>
            </w:pPr>
            <w:r w:rsidRPr="0053423A">
              <w:rPr>
                <w:lang w:val="hy-AM"/>
              </w:rPr>
              <w:t>Աշխատանքները նախատեսվում է իրականացնել ՀՀ պետական բյուջեի և օրենքով չարգելված այլ միջոցների հաշվին և կկազմեն 437109.0հազ. դրամ, որից 2019թ. պետական բյուջեում նախատեսվել է 43710,9 հազ. դրամ: 2020-2022թթ. միջնաժամկետ ծախսերի ծրագրում նախատեսված է 393398.1հազ.դրամ, որից 2020թ.՝ 131132.7 հազ.դրամ, 2021թ.՝ 131132.7հազ.դրամ, 2022թ.՝ 131132.7հազ.դրամ գումար:</w:t>
            </w:r>
          </w:p>
          <w:p w:rsidR="006B0618" w:rsidRPr="0053423A" w:rsidRDefault="0073408B" w:rsidP="00A67858">
            <w:pPr>
              <w:spacing w:line="276" w:lineRule="auto"/>
              <w:ind w:firstLine="373"/>
              <w:jc w:val="both"/>
              <w:rPr>
                <w:b/>
                <w:lang w:val="hy-AM"/>
              </w:rPr>
            </w:pPr>
            <w:r w:rsidRPr="0053423A">
              <w:rPr>
                <w:b/>
                <w:lang w:val="hy-AM"/>
              </w:rPr>
              <w:t>1.2 Ա</w:t>
            </w:r>
            <w:r w:rsidR="006B0618" w:rsidRPr="0053423A">
              <w:rPr>
                <w:b/>
                <w:lang w:val="hy-AM"/>
              </w:rPr>
              <w:t>ռկա խնդիրների առաջարկվող լուծումները</w:t>
            </w:r>
          </w:p>
          <w:p w:rsidR="006B0618" w:rsidRPr="0053423A" w:rsidRDefault="006B0618" w:rsidP="00A67858">
            <w:pPr>
              <w:spacing w:line="276" w:lineRule="auto"/>
              <w:ind w:firstLine="720"/>
              <w:jc w:val="both"/>
              <w:rPr>
                <w:lang w:val="hy-AM"/>
              </w:rPr>
            </w:pPr>
            <w:r w:rsidRPr="0053423A">
              <w:rPr>
                <w:lang w:val="hy-AM"/>
              </w:rPr>
              <w:t xml:space="preserve">Անտառային վնասատուների և հիվանդությունների դեմ իրականացնել բացառապես կենսաբանական պայքարի աշխատանքներ, ստեղծել համապատասխան լաբորատորիաներ և այլն: </w:t>
            </w:r>
          </w:p>
          <w:p w:rsidR="006B0618" w:rsidRPr="0053423A" w:rsidRDefault="006B0618" w:rsidP="00A67858">
            <w:pPr>
              <w:spacing w:line="276" w:lineRule="auto"/>
              <w:ind w:firstLine="373"/>
              <w:jc w:val="both"/>
              <w:rPr>
                <w:b/>
                <w:i/>
                <w:lang w:val="hy-AM"/>
              </w:rPr>
            </w:pPr>
            <w:r w:rsidRPr="0053423A">
              <w:rPr>
                <w:b/>
                <w:i/>
                <w:lang w:val="hy-AM"/>
              </w:rPr>
              <w:t>2. Միջոցառման իրականացումից ակնկալվող արդյունքը</w:t>
            </w:r>
          </w:p>
          <w:p w:rsidR="006B0618" w:rsidRPr="0053423A" w:rsidRDefault="006B0618" w:rsidP="00A67858">
            <w:pPr>
              <w:spacing w:line="276" w:lineRule="auto"/>
              <w:ind w:firstLine="720"/>
              <w:jc w:val="both"/>
              <w:rPr>
                <w:lang w:val="hy-AM"/>
              </w:rPr>
            </w:pPr>
            <w:r w:rsidRPr="0053423A">
              <w:rPr>
                <w:lang w:val="hy-AM"/>
              </w:rPr>
              <w:t>Առողջ անտառների առկայություն:</w:t>
            </w:r>
          </w:p>
          <w:p w:rsidR="006B0618" w:rsidRPr="0053423A" w:rsidRDefault="006B0618" w:rsidP="00A67858">
            <w:pPr>
              <w:spacing w:line="276" w:lineRule="auto"/>
              <w:ind w:firstLine="720"/>
              <w:jc w:val="both"/>
              <w:rPr>
                <w:rFonts w:cs="Arial"/>
                <w:b/>
                <w:lang w:val="hy-AM"/>
              </w:rPr>
            </w:pPr>
          </w:p>
          <w:p w:rsidR="006B0618" w:rsidRPr="0053423A" w:rsidRDefault="006B0618" w:rsidP="00A67858">
            <w:pPr>
              <w:spacing w:line="276" w:lineRule="auto"/>
              <w:jc w:val="center"/>
              <w:rPr>
                <w:b/>
                <w:u w:val="single"/>
                <w:lang w:val="hy-AM"/>
              </w:rPr>
            </w:pPr>
            <w:r w:rsidRPr="0053423A">
              <w:rPr>
                <w:b/>
                <w:u w:val="single"/>
                <w:lang w:val="hy-AM"/>
              </w:rPr>
              <w:t>3.6 Անտառների կադաստրի ստեղծման և վարման համար անհրաժեշտ սարքավորումների ձեռքբերում, կադաստրի վարում</w:t>
            </w:r>
          </w:p>
          <w:p w:rsidR="006B0618" w:rsidRPr="0053423A" w:rsidRDefault="006B0618" w:rsidP="00A67858">
            <w:pPr>
              <w:spacing w:line="276" w:lineRule="auto"/>
              <w:jc w:val="center"/>
              <w:rPr>
                <w:b/>
                <w:u w:val="single"/>
                <w:lang w:val="hy-AM"/>
              </w:rPr>
            </w:pPr>
          </w:p>
          <w:p w:rsidR="006B0618" w:rsidRPr="0053423A" w:rsidRDefault="006B0618" w:rsidP="00A67858">
            <w:pPr>
              <w:spacing w:line="276" w:lineRule="auto"/>
              <w:ind w:firstLine="720"/>
              <w:jc w:val="both"/>
              <w:rPr>
                <w:b/>
                <w:i/>
                <w:lang w:val="hy-AM"/>
              </w:rPr>
            </w:pPr>
            <w:r w:rsidRPr="0053423A">
              <w:rPr>
                <w:b/>
                <w:i/>
                <w:lang w:val="hy-AM"/>
              </w:rPr>
              <w:t>1. Միջոցառման իրականացման անհրաժեշտությունը և նպատակը</w:t>
            </w:r>
          </w:p>
          <w:p w:rsidR="006B0618" w:rsidRPr="0053423A" w:rsidRDefault="00232EB0" w:rsidP="00A67858">
            <w:pPr>
              <w:pStyle w:val="ListParagraph"/>
              <w:spacing w:line="276" w:lineRule="auto"/>
              <w:ind w:left="0" w:firstLine="648"/>
              <w:jc w:val="both"/>
              <w:rPr>
                <w:lang w:val="hy-AM"/>
              </w:rPr>
            </w:pPr>
            <w:r w:rsidRPr="0053423A">
              <w:rPr>
                <w:lang w:val="hy-AM"/>
              </w:rPr>
              <w:t>Միջո</w:t>
            </w:r>
            <w:r w:rsidR="006B0618" w:rsidRPr="0053423A">
              <w:rPr>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Անտառների կայուն կառավարում, անտառածածկ տարածքների ընդլայնում, անտառվերականգնում և անատառապատում, դրանց իրականացմանն ուղղված կարողությունների շարունակական զարգացում  ուղղությունը:</w:t>
            </w:r>
          </w:p>
          <w:p w:rsidR="006B0618" w:rsidRPr="0053423A" w:rsidRDefault="006B0618" w:rsidP="00A67858">
            <w:pPr>
              <w:spacing w:line="276" w:lineRule="auto"/>
              <w:ind w:firstLine="720"/>
              <w:jc w:val="both"/>
              <w:rPr>
                <w:lang w:val="hy-AM"/>
              </w:rPr>
            </w:pPr>
            <w:r w:rsidRPr="0053423A">
              <w:rPr>
                <w:lang w:val="hy-AM"/>
              </w:rPr>
              <w:t xml:space="preserve">Անտառների կադաստրի վարումն իրականացվում է անտառների կայուն կառավարման, անտառների քանակական և որակական փոփոխությունների պարբերական գրանցման, ինչպես նաև ՀՀ կառավարությանը, տեղական ինքնակառավարման մարմիններին, շահագրգիռ իրավաբանական անձանց և քաղաքացիներին անտառային հողերի մասին տեղեկություններով ապահովելու նպատակով: </w:t>
            </w:r>
          </w:p>
          <w:p w:rsidR="006B0618" w:rsidRPr="0053423A" w:rsidRDefault="006B0618" w:rsidP="00A67858">
            <w:pPr>
              <w:spacing w:line="276" w:lineRule="auto"/>
              <w:ind w:firstLine="720"/>
              <w:jc w:val="both"/>
              <w:rPr>
                <w:b/>
                <w:lang w:val="hy-AM"/>
              </w:rPr>
            </w:pPr>
            <w:r w:rsidRPr="0053423A">
              <w:rPr>
                <w:b/>
                <w:lang w:val="hy-AM"/>
              </w:rPr>
              <w:t>1.1 կարգավորման հարաբերությունների ներկա վիճակը և առկա խնդիրները</w:t>
            </w:r>
          </w:p>
          <w:p w:rsidR="006B0618" w:rsidRPr="0053423A" w:rsidRDefault="006B0618" w:rsidP="00A67858">
            <w:pPr>
              <w:spacing w:line="276" w:lineRule="auto"/>
              <w:ind w:firstLine="720"/>
              <w:jc w:val="both"/>
              <w:rPr>
                <w:lang w:val="hy-AM"/>
              </w:rPr>
            </w:pPr>
            <w:r w:rsidRPr="0053423A">
              <w:rPr>
                <w:lang w:val="hy-AM"/>
              </w:rPr>
              <w:t>Ներկայումս անտառների կադաստրի վարման համակարգը դեռ չի ստեղծվել, ինչի արդյունքում անտառային և կադաստրային քարտեզներում առկա են մեծ քանակությամբ անճշտություններ և անհամապատասխանություններ, ինչի շտկման նպատակով ստեղծվելու է անտառների կադաստրի համակարգը:</w:t>
            </w:r>
          </w:p>
          <w:p w:rsidR="006B0618" w:rsidRPr="0053423A" w:rsidRDefault="006B0618" w:rsidP="00A67858">
            <w:pPr>
              <w:spacing w:line="276" w:lineRule="auto"/>
              <w:ind w:firstLine="720"/>
              <w:jc w:val="both"/>
              <w:rPr>
                <w:lang w:val="hy-AM"/>
              </w:rPr>
            </w:pPr>
            <w:r w:rsidRPr="0053423A">
              <w:rPr>
                <w:lang w:val="hy-AM"/>
              </w:rPr>
              <w:t>Աշխատանքները նախատեսվում է իրականացնել ՀՀ պետական բյուջեի և օրենքով չարգելված այլ միջոցների հաշվին և կկազմեն 60000,0 հազ. դրամ, որից 2019թ. պետական բյուջեից հատկացվել է  15000,0 հազ. դրամ:  2020-2021թթ. 45000,0 հազ. դրամ գումարը նախատեսված է Միջնաժամկետ ծախսային ծրագրով (ՄԺԾԾ), որից 2020թ.՝ 15000.0հազ.դրամ, 2021թ.՝ 15000.0հազ.դրամ, 2022թ.՝ 15000.0հազ.դրամ:</w:t>
            </w:r>
          </w:p>
          <w:p w:rsidR="006B0618" w:rsidRPr="0053423A" w:rsidRDefault="006B0618" w:rsidP="00A67858">
            <w:pPr>
              <w:spacing w:line="276" w:lineRule="auto"/>
              <w:ind w:firstLine="720"/>
              <w:jc w:val="both"/>
              <w:rPr>
                <w:b/>
                <w:lang w:val="hy-AM"/>
              </w:rPr>
            </w:pPr>
            <w:r w:rsidRPr="0053423A">
              <w:rPr>
                <w:b/>
                <w:lang w:val="hy-AM"/>
              </w:rPr>
              <w:t>1.2 առկա խնդիրների առաջարկվող լուծումները</w:t>
            </w:r>
          </w:p>
          <w:p w:rsidR="006B0618" w:rsidRPr="0053423A" w:rsidRDefault="006B0618" w:rsidP="00A67858">
            <w:pPr>
              <w:spacing w:line="276" w:lineRule="auto"/>
              <w:jc w:val="both"/>
              <w:rPr>
                <w:lang w:val="hy-AM"/>
              </w:rPr>
            </w:pPr>
            <w:r w:rsidRPr="0053423A">
              <w:rPr>
                <w:lang w:val="hy-AM"/>
              </w:rPr>
              <w:t>Անտառների կադաստրի վարման համար անհրաժեշտ հենքի ստեղծում:</w:t>
            </w:r>
          </w:p>
          <w:p w:rsidR="006B0618" w:rsidRPr="0053423A" w:rsidRDefault="006B0618" w:rsidP="00A67858">
            <w:pPr>
              <w:spacing w:line="276" w:lineRule="auto"/>
              <w:ind w:firstLine="720"/>
              <w:jc w:val="both"/>
              <w:rPr>
                <w:b/>
                <w:i/>
                <w:lang w:val="hy-AM"/>
              </w:rPr>
            </w:pPr>
            <w:r w:rsidRPr="0053423A">
              <w:rPr>
                <w:b/>
                <w:i/>
                <w:lang w:val="hy-AM"/>
              </w:rPr>
              <w:t>2. Միջոցառման իրականացումից ակնկալվող արդյունքը</w:t>
            </w:r>
          </w:p>
          <w:p w:rsidR="006B0618" w:rsidRPr="0053423A" w:rsidRDefault="006B0618" w:rsidP="00A67858">
            <w:pPr>
              <w:spacing w:line="276" w:lineRule="auto"/>
              <w:jc w:val="both"/>
              <w:rPr>
                <w:lang w:val="hy-AM"/>
              </w:rPr>
            </w:pPr>
            <w:r w:rsidRPr="0053423A">
              <w:rPr>
                <w:lang w:val="hy-AM"/>
              </w:rPr>
              <w:t>Անտառների կադաստրի համակարգի ստեղծում և վարում:</w:t>
            </w:r>
          </w:p>
          <w:p w:rsidR="006B0618" w:rsidRPr="0053423A" w:rsidRDefault="006B0618" w:rsidP="00A67858">
            <w:pPr>
              <w:spacing w:line="276" w:lineRule="auto"/>
              <w:jc w:val="both"/>
              <w:rPr>
                <w:lang w:val="hy-AM"/>
              </w:rPr>
            </w:pPr>
          </w:p>
          <w:p w:rsidR="006B0618" w:rsidRPr="0053423A" w:rsidRDefault="006B0618" w:rsidP="00A67858">
            <w:pPr>
              <w:spacing w:line="276" w:lineRule="auto"/>
              <w:jc w:val="center"/>
              <w:rPr>
                <w:rFonts w:cs="Arial"/>
                <w:b/>
                <w:u w:val="single"/>
                <w:lang w:val="hy-AM"/>
              </w:rPr>
            </w:pPr>
            <w:r w:rsidRPr="0053423A">
              <w:rPr>
                <w:b/>
                <w:u w:val="single"/>
                <w:lang w:val="hy-AM"/>
              </w:rPr>
              <w:t xml:space="preserve">3.7 </w:t>
            </w:r>
            <w:r w:rsidRPr="0053423A">
              <w:rPr>
                <w:rFonts w:cs="Arial"/>
                <w:b/>
                <w:u w:val="single"/>
                <w:lang w:val="hy-AM"/>
              </w:rPr>
              <w:t>«Անտառների պետական հաշվառում»</w:t>
            </w:r>
          </w:p>
          <w:p w:rsidR="006B0618" w:rsidRPr="0053423A" w:rsidRDefault="006B0618" w:rsidP="00A67858">
            <w:pPr>
              <w:spacing w:line="276" w:lineRule="auto"/>
              <w:jc w:val="center"/>
              <w:rPr>
                <w:b/>
                <w:u w:val="single"/>
                <w:lang w:val="hy-AM"/>
              </w:rPr>
            </w:pPr>
          </w:p>
          <w:p w:rsidR="006B0618" w:rsidRPr="0053423A" w:rsidRDefault="006B0618" w:rsidP="00A67858">
            <w:pPr>
              <w:numPr>
                <w:ilvl w:val="0"/>
                <w:numId w:val="32"/>
              </w:numPr>
              <w:tabs>
                <w:tab w:val="left" w:pos="540"/>
                <w:tab w:val="left" w:pos="1080"/>
              </w:tabs>
              <w:spacing w:line="276" w:lineRule="auto"/>
              <w:rPr>
                <w:rFonts w:eastAsiaTheme="minorHAnsi"/>
                <w:b/>
                <w:i/>
                <w:lang w:val="hy-AM"/>
              </w:rPr>
            </w:pPr>
            <w:r w:rsidRPr="0053423A">
              <w:rPr>
                <w:rFonts w:eastAsiaTheme="minorHAnsi"/>
                <w:b/>
                <w:i/>
                <w:lang w:val="hy-AM"/>
              </w:rPr>
              <w:t>Միջոցառման իրականացման անհրաժեշտությունը և նպատակը</w:t>
            </w:r>
          </w:p>
          <w:p w:rsidR="006B0618" w:rsidRPr="0053423A" w:rsidRDefault="00232EB0" w:rsidP="00A67858">
            <w:pPr>
              <w:spacing w:line="276" w:lineRule="auto"/>
              <w:ind w:firstLine="720"/>
              <w:jc w:val="both"/>
              <w:rPr>
                <w:lang w:val="hy-AM"/>
              </w:rPr>
            </w:pPr>
            <w:r w:rsidRPr="0053423A">
              <w:rPr>
                <w:lang w:val="hy-AM"/>
              </w:rPr>
              <w:t>Միջո</w:t>
            </w:r>
            <w:r w:rsidR="006B0618" w:rsidRPr="0053423A">
              <w:rPr>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Անտառների կայուն կառավարում, անտառածածկ տարածքների ընդլայնում, անտառվերականգնում և անատառապատում, դրանց իրականացմանն ուղղված կարողությունների շարունակական զարգացում  ուղղությունը:</w:t>
            </w:r>
          </w:p>
          <w:p w:rsidR="006B0618" w:rsidRPr="0053423A" w:rsidRDefault="006B0618" w:rsidP="00A67858">
            <w:pPr>
              <w:spacing w:line="276" w:lineRule="auto"/>
              <w:ind w:firstLine="463"/>
              <w:jc w:val="both"/>
              <w:rPr>
                <w:lang w:val="hy-AM"/>
              </w:rPr>
            </w:pPr>
            <w:r w:rsidRPr="0053423A">
              <w:rPr>
                <w:lang w:val="hy-AM"/>
              </w:rPr>
              <w:t>Անտառների պետական հաշվառումն իրականացվում է ՀՀ Անտառային օրենսգրքի 16-րդ հոդվածի 3-րդ մասի  համաձայն՝ 5 տարին մեկ անգամ, անտառների պահպանության, պաշտպանության, վերականգնման, որակական և քանակական փոփոխությունների գրանցման, տեղեկատվության տրամադրման, հաշվարկային հատատեղերի սահմանման, անտառների օգտագործման, զարգացման, անտառատնտեսական այլ միջոցառումների ծրագրավորման, ինչպես նաև անտառների նպատակային կամ գործառնական նշանակության փոփոխման նպատակով:</w:t>
            </w:r>
          </w:p>
          <w:p w:rsidR="006B0618" w:rsidRPr="0053423A" w:rsidRDefault="006B0618" w:rsidP="00A67858">
            <w:pPr>
              <w:spacing w:line="276" w:lineRule="auto"/>
              <w:ind w:firstLine="373"/>
              <w:jc w:val="both"/>
              <w:rPr>
                <w:b/>
                <w:lang w:val="hy-AM"/>
              </w:rPr>
            </w:pPr>
            <w:r w:rsidRPr="0053423A">
              <w:rPr>
                <w:b/>
                <w:lang w:val="hy-AM"/>
              </w:rPr>
              <w:t>1.1 կարգավորման հարաբերությունների ներկա վիճակը և առկա խնդիրները</w:t>
            </w:r>
          </w:p>
          <w:p w:rsidR="006B0618" w:rsidRPr="0053423A" w:rsidRDefault="006B0618" w:rsidP="00A67858">
            <w:pPr>
              <w:spacing w:line="276" w:lineRule="auto"/>
              <w:ind w:right="149" w:firstLine="426"/>
              <w:contextualSpacing/>
              <w:jc w:val="both"/>
              <w:rPr>
                <w:rFonts w:eastAsiaTheme="minorHAnsi" w:cs="Sylfaen"/>
                <w:lang w:val="hy-AM"/>
              </w:rPr>
            </w:pPr>
            <w:r w:rsidRPr="0053423A">
              <w:rPr>
                <w:rFonts w:eastAsiaTheme="minorHAnsi" w:cs="Sylfaen"/>
                <w:lang w:val="hy-AM"/>
              </w:rPr>
              <w:t>Անտառների պետական հաշվառումն իրականացվում է 5 տարին մեկ, սակայն 1993 թվականից հետո չի կատարվել ֆինանսական միջոցների, ինչպես նաև  անտառների և անտառային տարածքների վերաբերյալ ամբողջական տեղեկատվության բացակայության պատճառով (ոչ բոլոր անտառտնտեսություններն ունեին անտառակառավարման պլաններ):</w:t>
            </w:r>
          </w:p>
          <w:p w:rsidR="006B0618" w:rsidRPr="0053423A" w:rsidRDefault="006B0618" w:rsidP="00A67858">
            <w:pPr>
              <w:spacing w:line="276" w:lineRule="auto"/>
              <w:ind w:left="426" w:right="149"/>
              <w:contextualSpacing/>
              <w:jc w:val="both"/>
              <w:rPr>
                <w:rFonts w:eastAsiaTheme="minorHAnsi" w:cs="Sylfaen"/>
                <w:b/>
                <w:lang w:val="hy-AM"/>
              </w:rPr>
            </w:pPr>
            <w:r w:rsidRPr="0053423A">
              <w:rPr>
                <w:rFonts w:eastAsiaTheme="minorHAnsi" w:cs="Sylfaen"/>
                <w:b/>
                <w:lang w:val="hy-AM"/>
              </w:rPr>
              <w:t>1</w:t>
            </w:r>
            <w:r w:rsidRPr="0053423A">
              <w:rPr>
                <w:rFonts w:ascii="Cambria Math" w:eastAsia="MS Gothic" w:hAnsi="Cambria Math" w:cs="Cambria Math"/>
                <w:b/>
                <w:lang w:val="hy-AM"/>
              </w:rPr>
              <w:t>․</w:t>
            </w:r>
            <w:r w:rsidRPr="0053423A">
              <w:rPr>
                <w:rFonts w:eastAsiaTheme="minorHAnsi" w:cs="Sylfaen"/>
                <w:b/>
                <w:lang w:val="hy-AM"/>
              </w:rPr>
              <w:t>2 Առկա խնդիրների առաջարկվող լուծումները</w:t>
            </w:r>
          </w:p>
          <w:p w:rsidR="006B0618" w:rsidRPr="0053423A" w:rsidRDefault="006B0618" w:rsidP="00A67858">
            <w:pPr>
              <w:spacing w:line="276" w:lineRule="auto"/>
              <w:ind w:firstLine="426"/>
              <w:jc w:val="both"/>
              <w:rPr>
                <w:lang w:val="hy-AM"/>
              </w:rPr>
            </w:pPr>
            <w:r w:rsidRPr="0053423A">
              <w:rPr>
                <w:lang w:val="hy-AM"/>
              </w:rPr>
              <w:t>Հայաստանում անտառների պետական հաշվառում վերջին անգամ իրականացվել է մոտ 15 տարի առաջ, ինչի արդյունքում առկա տվյալները կորցրել են իրենց արդիականությունը և անհրաժեշտություն է առաջացել իրականացնել անտառների պետական նոր հաշվառում: Սակայն հաշվի առնելով,  որ անտառների պետական հաշվառումն իրականացվում է հիմք ընդունելով անտառաշինական նախագծերը (անտառակառավարման պլաններ), ապա անհրաժեշտ է այն իրականացնել անտառակառավարման պլանների մշակումից հետո, ինչի վերջնաժամկետն է սահմանված 2022 թվականը: Անտառների պետական հաշվառման համար 2023 թվականին պետական բյուջեից անհրաժեշտ կլինի հատկացնել 200000.0 հազ. դրամ:</w:t>
            </w:r>
          </w:p>
          <w:p w:rsidR="006B0618" w:rsidRPr="0053423A" w:rsidRDefault="006B0618" w:rsidP="00A67858">
            <w:pPr>
              <w:spacing w:line="276" w:lineRule="auto"/>
              <w:ind w:firstLine="553"/>
              <w:jc w:val="both"/>
              <w:rPr>
                <w:b/>
                <w:i/>
                <w:lang w:val="hy-AM"/>
              </w:rPr>
            </w:pPr>
            <w:r w:rsidRPr="0053423A">
              <w:rPr>
                <w:b/>
                <w:i/>
                <w:lang w:val="hy-AM"/>
              </w:rPr>
              <w:t xml:space="preserve">2. Միջոցառման իրականացումից ակնկալվող արդյունքը </w:t>
            </w:r>
          </w:p>
          <w:p w:rsidR="006B0618" w:rsidRPr="0053423A" w:rsidRDefault="006B0618" w:rsidP="00A67858">
            <w:pPr>
              <w:spacing w:line="276" w:lineRule="auto"/>
              <w:ind w:right="149" w:firstLine="720"/>
              <w:jc w:val="both"/>
              <w:rPr>
                <w:rFonts w:eastAsia="Calibri" w:cs="Sylfaen"/>
                <w:lang w:val="hy-AM"/>
              </w:rPr>
            </w:pPr>
            <w:r w:rsidRPr="0053423A">
              <w:rPr>
                <w:rFonts w:eastAsia="Calibri" w:cs="Sylfaen"/>
                <w:lang w:val="hy-AM"/>
              </w:rPr>
              <w:t>Անտառների պահպանության, պաշտպանության, վերականգնման, որակական և քանակական փոփոխությունների վերաբերյալ տեղեկատվության առկայություն:</w:t>
            </w:r>
          </w:p>
          <w:p w:rsidR="006B0618" w:rsidRPr="0053423A" w:rsidRDefault="006B0618" w:rsidP="00A67858">
            <w:pPr>
              <w:spacing w:line="276" w:lineRule="auto"/>
              <w:jc w:val="center"/>
              <w:rPr>
                <w:b/>
                <w:u w:val="single"/>
                <w:lang w:val="hy-AM"/>
              </w:rPr>
            </w:pPr>
          </w:p>
        </w:tc>
      </w:tr>
      <w:tr w:rsidR="006B0618" w:rsidRPr="00DE2EFA" w:rsidTr="004440EB">
        <w:tc>
          <w:tcPr>
            <w:tcW w:w="480" w:type="dxa"/>
          </w:tcPr>
          <w:p w:rsidR="006B0618" w:rsidRPr="0053423A" w:rsidRDefault="006B0618" w:rsidP="00A67858">
            <w:pPr>
              <w:spacing w:line="276" w:lineRule="auto"/>
              <w:jc w:val="center"/>
              <w:rPr>
                <w:b/>
                <w:bCs/>
                <w:lang w:val="hy-AM"/>
              </w:rPr>
            </w:pPr>
            <w:r w:rsidRPr="0053423A">
              <w:rPr>
                <w:b/>
                <w:bCs/>
                <w:lang w:val="hy-AM"/>
              </w:rPr>
              <w:t>4</w:t>
            </w:r>
          </w:p>
        </w:tc>
        <w:tc>
          <w:tcPr>
            <w:tcW w:w="10879" w:type="dxa"/>
          </w:tcPr>
          <w:p w:rsidR="006B0618" w:rsidRPr="0053423A" w:rsidRDefault="006B0618" w:rsidP="00A67858">
            <w:pPr>
              <w:spacing w:line="276" w:lineRule="auto"/>
              <w:jc w:val="center"/>
              <w:rPr>
                <w:b/>
                <w:lang w:val="hy-AM"/>
              </w:rPr>
            </w:pPr>
            <w:r w:rsidRPr="0053423A">
              <w:rPr>
                <w:b/>
                <w:lang w:val="hy-AM"/>
              </w:rPr>
              <w:t>Կլիմայի փոփոխության հետևանքով առաջացող խնդիրների մեղմման և կանխարգելման, ինչպես նաև հարմարվողականության գործողությունների իրականացում՝ համաձայն միջազգային համաձայնագրերով ստանձնած պարտավորությունների, շրջակա միջավայրի կառավարման ոլորտում գործող միջազգային կառույցների հետ շարունակական համագործակցության ապահովումը, մասնակցությունը նոր նախաձեռնություններին</w:t>
            </w:r>
          </w:p>
          <w:p w:rsidR="006B0618" w:rsidRPr="0053423A" w:rsidRDefault="006B0618" w:rsidP="00A67858">
            <w:pPr>
              <w:spacing w:line="276" w:lineRule="auto"/>
              <w:jc w:val="center"/>
              <w:rPr>
                <w:b/>
                <w:lang w:val="hy-AM"/>
              </w:rPr>
            </w:pPr>
          </w:p>
          <w:p w:rsidR="006B0618" w:rsidRPr="0053423A" w:rsidRDefault="006B0618" w:rsidP="00A67858">
            <w:pPr>
              <w:spacing w:line="276" w:lineRule="auto"/>
              <w:jc w:val="center"/>
              <w:rPr>
                <w:b/>
                <w:u w:val="single"/>
                <w:lang w:val="hy-AM"/>
              </w:rPr>
            </w:pPr>
            <w:r w:rsidRPr="0053423A">
              <w:rPr>
                <w:u w:val="single"/>
                <w:lang w:val="hy-AM"/>
              </w:rPr>
              <w:t xml:space="preserve">4.1 </w:t>
            </w:r>
            <w:r w:rsidRPr="0053423A">
              <w:rPr>
                <w:b/>
                <w:u w:val="single"/>
                <w:lang w:val="hy-AM"/>
              </w:rPr>
              <w:t>«</w:t>
            </w:r>
            <w:r w:rsidRPr="0053423A">
              <w:rPr>
                <w:rFonts w:cs="AK Courier"/>
                <w:b/>
                <w:u w:val="single"/>
                <w:lang w:val="hy-AM"/>
              </w:rPr>
              <w:t>Մ</w:t>
            </w:r>
            <w:r w:rsidRPr="0053423A">
              <w:rPr>
                <w:rFonts w:cs="Sylfaen"/>
                <w:b/>
                <w:u w:val="single"/>
                <w:lang w:val="hy-AM"/>
              </w:rPr>
              <w:t>թնոլորտային</w:t>
            </w:r>
            <w:r w:rsidRPr="0053423A">
              <w:rPr>
                <w:b/>
                <w:u w:val="single"/>
                <w:lang w:val="hy-AM"/>
              </w:rPr>
              <w:t xml:space="preserve"> </w:t>
            </w:r>
            <w:r w:rsidRPr="0053423A">
              <w:rPr>
                <w:rFonts w:cs="Sylfaen"/>
                <w:b/>
                <w:u w:val="single"/>
                <w:lang w:val="hy-AM"/>
              </w:rPr>
              <w:t>օդի</w:t>
            </w:r>
            <w:r w:rsidRPr="0053423A">
              <w:rPr>
                <w:b/>
                <w:u w:val="single"/>
                <w:lang w:val="hy-AM"/>
              </w:rPr>
              <w:t xml:space="preserve"> </w:t>
            </w:r>
            <w:r w:rsidRPr="0053423A">
              <w:rPr>
                <w:rFonts w:cs="Sylfaen"/>
                <w:b/>
                <w:u w:val="single"/>
                <w:lang w:val="hy-AM"/>
              </w:rPr>
              <w:t>պահպանության</w:t>
            </w:r>
            <w:r w:rsidRPr="0053423A">
              <w:rPr>
                <w:b/>
                <w:u w:val="single"/>
                <w:lang w:val="hy-AM"/>
              </w:rPr>
              <w:t xml:space="preserve"> </w:t>
            </w:r>
            <w:r w:rsidRPr="0053423A">
              <w:rPr>
                <w:rFonts w:cs="Sylfaen"/>
                <w:b/>
                <w:u w:val="single"/>
                <w:lang w:val="hy-AM"/>
              </w:rPr>
              <w:t>մասին</w:t>
            </w:r>
            <w:r w:rsidRPr="0053423A">
              <w:rPr>
                <w:b/>
                <w:u w:val="single"/>
                <w:lang w:val="hy-AM"/>
              </w:rPr>
              <w:t>»</w:t>
            </w:r>
            <w:r w:rsidRPr="0053423A">
              <w:rPr>
                <w:rFonts w:cs="AK Courier"/>
                <w:b/>
                <w:u w:val="single"/>
                <w:lang w:val="hy-AM"/>
              </w:rPr>
              <w:t xml:space="preserve"> </w:t>
            </w:r>
            <w:r w:rsidRPr="0053423A">
              <w:rPr>
                <w:rFonts w:cs="Sylfaen"/>
                <w:b/>
                <w:u w:val="single"/>
                <w:lang w:val="hy-AM"/>
              </w:rPr>
              <w:t>ՀՀ</w:t>
            </w:r>
            <w:r w:rsidRPr="0053423A">
              <w:rPr>
                <w:b/>
                <w:u w:val="single"/>
                <w:lang w:val="hy-AM"/>
              </w:rPr>
              <w:t xml:space="preserve"> </w:t>
            </w:r>
            <w:r w:rsidRPr="0053423A">
              <w:rPr>
                <w:rFonts w:cs="Sylfaen"/>
                <w:b/>
                <w:u w:val="single"/>
                <w:lang w:val="hy-AM"/>
              </w:rPr>
              <w:t>օրենքի</w:t>
            </w:r>
            <w:r w:rsidRPr="0053423A">
              <w:rPr>
                <w:b/>
                <w:u w:val="single"/>
                <w:lang w:val="hy-AM"/>
              </w:rPr>
              <w:t xml:space="preserve"> նախագիծը վարչապետի աշխատակազմ ներկայացնելը</w:t>
            </w:r>
          </w:p>
          <w:p w:rsidR="006B0618" w:rsidRPr="0053423A" w:rsidRDefault="006B0618" w:rsidP="00A67858">
            <w:pPr>
              <w:spacing w:line="276" w:lineRule="auto"/>
              <w:jc w:val="center"/>
              <w:rPr>
                <w:u w:val="single"/>
                <w:lang w:val="hy-AM"/>
              </w:rPr>
            </w:pPr>
          </w:p>
          <w:p w:rsidR="006B0618" w:rsidRPr="0053423A" w:rsidRDefault="006B0618" w:rsidP="00A67858">
            <w:pPr>
              <w:pStyle w:val="ListParagraph"/>
              <w:numPr>
                <w:ilvl w:val="0"/>
                <w:numId w:val="19"/>
              </w:numPr>
              <w:spacing w:line="276" w:lineRule="auto"/>
              <w:ind w:left="426" w:right="149" w:firstLine="127"/>
              <w:jc w:val="both"/>
              <w:rPr>
                <w:rFonts w:cs="Sylfaen"/>
                <w:b/>
                <w:i/>
                <w:lang w:val="hy-AM"/>
              </w:rPr>
            </w:pPr>
            <w:r w:rsidRPr="0053423A">
              <w:rPr>
                <w:rFonts w:cs="Sylfaen"/>
                <w:b/>
                <w:i/>
                <w:lang w:val="hy-AM"/>
              </w:rPr>
              <w:t>Միջոցառման իրականացման անհրաժեշտությունը և նպատակը</w:t>
            </w:r>
          </w:p>
          <w:p w:rsidR="006B0618" w:rsidRPr="0053423A" w:rsidRDefault="00232EB0" w:rsidP="00A67858">
            <w:pPr>
              <w:spacing w:line="276" w:lineRule="auto"/>
              <w:ind w:firstLine="720"/>
              <w:jc w:val="both"/>
              <w:rPr>
                <w:rFonts w:cs="GHEA Grapalat"/>
                <w:lang w:val="hy-AM"/>
              </w:rPr>
            </w:pPr>
            <w:r w:rsidRPr="0053423A">
              <w:rPr>
                <w:rFonts w:cs="GHEA Grapalat"/>
                <w:lang w:val="hy-AM"/>
              </w:rPr>
              <w:t>Միջո</w:t>
            </w:r>
            <w:r w:rsidR="006B0618" w:rsidRPr="0053423A">
              <w:rPr>
                <w:rFonts w:cs="GHEA Grapalat"/>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Կլիմայի փոփոխության հետևանքով առաջացող խնդիրների մեղմման և կանխարգելման, ինչպես նաև հարմարվողականության գործողությունների իրականացումը՝ համաձայն միջազգային համաձայնագրերով ստանձնած պարտավորությունների ուղղությունը:</w:t>
            </w:r>
          </w:p>
          <w:p w:rsidR="006B0618" w:rsidRPr="0053423A" w:rsidRDefault="006B0618" w:rsidP="00A67858">
            <w:pPr>
              <w:spacing w:line="276" w:lineRule="auto"/>
              <w:ind w:firstLine="720"/>
              <w:jc w:val="both"/>
              <w:rPr>
                <w:rFonts w:cs="GHEA Grapalat"/>
                <w:lang w:val="hy-AM"/>
              </w:rPr>
            </w:pPr>
            <w:r w:rsidRPr="0053423A">
              <w:rPr>
                <w:rFonts w:cs="GHEA Grapalat"/>
                <w:lang w:val="hy-AM"/>
              </w:rPr>
              <w:t xml:space="preserve">«Մթնոլորտային օդի պահպանության մասին» Հայաստանի Հանրապետության օրենքի նախագիծը (այսուհետ՝ Նախագիծ) մշակվել է ի կատարումն ՀՀ կառավարության 2018 թվականի մարտի 22-ի նիստի N11 արձանագրային որոշման Շրջակա միջավայրի պահպանության և բնական ռեսուրսների օգտագործման կառավարման 2018-2022 թվականների միջոցառումների  ծրագրի առաջին կետի: </w:t>
            </w:r>
          </w:p>
          <w:p w:rsidR="006B0618" w:rsidRPr="0053423A" w:rsidRDefault="006B0618" w:rsidP="00A67858">
            <w:pPr>
              <w:spacing w:line="276" w:lineRule="auto"/>
              <w:ind w:firstLine="720"/>
              <w:jc w:val="both"/>
              <w:rPr>
                <w:rFonts w:cs="Sylfaen"/>
                <w:lang w:val="hy-AM"/>
              </w:rPr>
            </w:pPr>
            <w:r w:rsidRPr="0053423A">
              <w:rPr>
                <w:rFonts w:eastAsia="MS Mincho" w:cs="GHEA Grapalat"/>
                <w:lang w:val="hy-AM"/>
              </w:rPr>
              <w:t xml:space="preserve">Մշակվել և  2016 թվականի  դեկտեմբերի 15 նիստի N 50 արձանագրային որոշմամբ հավանության է արժանացել «Մթնոլորտային օդի պահպանության մասին» Հայաստանի Հանրապետության օրենքի նախագծի հայեցակարգը: Հայեցակարգում հստակ նշվել են այն փոփոխությունները և լրացումները, որն էլ իրավական հենք է հանդիսացել տվյալ Նախագծի մշակման համար: </w:t>
            </w:r>
            <w:r w:rsidRPr="0053423A">
              <w:rPr>
                <w:rFonts w:cs="Sylfaen"/>
                <w:lang w:val="hy-AM"/>
              </w:rPr>
              <w:t xml:space="preserve"> </w:t>
            </w:r>
          </w:p>
          <w:p w:rsidR="006B0618" w:rsidRPr="0053423A" w:rsidRDefault="006B0618" w:rsidP="00A67858">
            <w:pPr>
              <w:spacing w:line="276" w:lineRule="auto"/>
              <w:ind w:firstLine="720"/>
              <w:jc w:val="both"/>
              <w:rPr>
                <w:rFonts w:cs="AK Courier"/>
                <w:lang w:val="hy-AM"/>
              </w:rPr>
            </w:pPr>
            <w:r w:rsidRPr="0053423A">
              <w:rPr>
                <w:rFonts w:cs="AK Courier"/>
                <w:lang w:val="hy-AM"/>
              </w:rPr>
              <w:t xml:space="preserve">Նախագծի նպատակն է իրավական հենքի ստեղծման միջոցով ապահովել մթնոլորտային օդի պահպանության արդյունավետ կառավարումը` ժամանակակից մոտեցումներին համապատասխան և կայուն զարգացման համատեքստում: </w:t>
            </w:r>
          </w:p>
          <w:p w:rsidR="006B0618" w:rsidRPr="0053423A" w:rsidRDefault="006B0618" w:rsidP="00A67858">
            <w:pPr>
              <w:spacing w:line="276" w:lineRule="auto"/>
              <w:ind w:firstLine="463"/>
              <w:jc w:val="both"/>
              <w:rPr>
                <w:rFonts w:cs="Sylfaen"/>
                <w:b/>
                <w:lang w:val="hy-AM"/>
              </w:rPr>
            </w:pPr>
            <w:r w:rsidRPr="0053423A">
              <w:rPr>
                <w:rFonts w:cs="AK Courier"/>
                <w:lang w:val="hy-AM"/>
              </w:rPr>
              <w:t xml:space="preserve"> </w:t>
            </w:r>
            <w:r w:rsidRPr="0053423A">
              <w:rPr>
                <w:rFonts w:cs="Sylfaen"/>
                <w:b/>
                <w:lang w:val="hy-AM"/>
              </w:rPr>
              <w:t>1</w:t>
            </w:r>
            <w:r w:rsidRPr="0053423A">
              <w:rPr>
                <w:rFonts w:ascii="Cambria Math" w:eastAsia="MS Gothic" w:hAnsi="Cambria Math" w:cs="Cambria Math"/>
                <w:b/>
                <w:lang w:val="hy-AM"/>
              </w:rPr>
              <w:t>․</w:t>
            </w:r>
            <w:r w:rsidRPr="0053423A">
              <w:rPr>
                <w:rFonts w:cs="Sylfaen"/>
                <w:b/>
                <w:lang w:val="hy-AM"/>
              </w:rPr>
              <w:t>1 Կարգավորման հարաբերությունների ներկա վիճակը և առկա խնդիրները</w:t>
            </w:r>
          </w:p>
          <w:p w:rsidR="006B0618" w:rsidRPr="0053423A" w:rsidRDefault="0073408B" w:rsidP="00A67858">
            <w:pPr>
              <w:spacing w:line="276" w:lineRule="auto"/>
              <w:jc w:val="both"/>
              <w:rPr>
                <w:rFonts w:eastAsia="MS Mincho" w:cs="GHEA Grapalat"/>
                <w:lang w:val="hy-AM"/>
              </w:rPr>
            </w:pPr>
            <w:r w:rsidRPr="0053423A">
              <w:rPr>
                <w:rFonts w:cs="Sylfaen"/>
                <w:lang w:val="hy-AM"/>
              </w:rPr>
              <w:t xml:space="preserve">         </w:t>
            </w:r>
            <w:r w:rsidR="006B0618" w:rsidRPr="0053423A">
              <w:rPr>
                <w:rFonts w:cs="Sylfaen"/>
                <w:lang w:val="hy-AM"/>
              </w:rPr>
              <w:t>Ներկայումս</w:t>
            </w:r>
            <w:r w:rsidR="006B0618" w:rsidRPr="0053423A">
              <w:rPr>
                <w:rFonts w:cs="Sylfaen"/>
                <w:b/>
                <w:lang w:val="hy-AM"/>
              </w:rPr>
              <w:t xml:space="preserve"> </w:t>
            </w:r>
            <w:r w:rsidR="006B0618" w:rsidRPr="0053423A">
              <w:rPr>
                <w:rFonts w:cs="Sylfaen"/>
                <w:lang w:val="hy-AM"/>
              </w:rPr>
              <w:t>մթնոլորտային</w:t>
            </w:r>
            <w:r w:rsidR="006B0618" w:rsidRPr="0053423A">
              <w:rPr>
                <w:lang w:val="hy-AM"/>
              </w:rPr>
              <w:t xml:space="preserve"> </w:t>
            </w:r>
            <w:r w:rsidR="006B0618" w:rsidRPr="0053423A">
              <w:rPr>
                <w:rFonts w:cs="Sylfaen"/>
                <w:lang w:val="hy-AM"/>
              </w:rPr>
              <w:t>օդի</w:t>
            </w:r>
            <w:r w:rsidR="006B0618" w:rsidRPr="0053423A">
              <w:rPr>
                <w:lang w:val="hy-AM"/>
              </w:rPr>
              <w:t xml:space="preserve"> </w:t>
            </w:r>
            <w:r w:rsidR="006B0618" w:rsidRPr="0053423A">
              <w:rPr>
                <w:rFonts w:cs="Sylfaen"/>
                <w:lang w:val="hy-AM"/>
              </w:rPr>
              <w:t>պահպանության</w:t>
            </w:r>
            <w:r w:rsidR="006B0618" w:rsidRPr="0053423A">
              <w:rPr>
                <w:lang w:val="hy-AM"/>
              </w:rPr>
              <w:t xml:space="preserve"> </w:t>
            </w:r>
            <w:r w:rsidR="006B0618" w:rsidRPr="0053423A">
              <w:rPr>
                <w:rFonts w:cs="Sylfaen"/>
                <w:lang w:val="hy-AM"/>
              </w:rPr>
              <w:t>կառավարումն</w:t>
            </w:r>
            <w:r w:rsidR="006B0618" w:rsidRPr="0053423A">
              <w:rPr>
                <w:lang w:val="hy-AM"/>
              </w:rPr>
              <w:t xml:space="preserve"> </w:t>
            </w:r>
            <w:r w:rsidR="006B0618" w:rsidRPr="0053423A">
              <w:rPr>
                <w:rFonts w:cs="Sylfaen"/>
                <w:lang w:val="hy-AM"/>
              </w:rPr>
              <w:t>իրականացվում</w:t>
            </w:r>
            <w:r w:rsidR="006B0618" w:rsidRPr="0053423A">
              <w:rPr>
                <w:lang w:val="hy-AM"/>
              </w:rPr>
              <w:t xml:space="preserve"> </w:t>
            </w:r>
            <w:r w:rsidR="006B0618" w:rsidRPr="0053423A">
              <w:rPr>
                <w:rFonts w:cs="Sylfaen"/>
                <w:lang w:val="hy-AM"/>
              </w:rPr>
              <w:t>է</w:t>
            </w:r>
            <w:r w:rsidR="006B0618" w:rsidRPr="0053423A">
              <w:rPr>
                <w:lang w:val="hy-AM"/>
              </w:rPr>
              <w:t xml:space="preserve"> «</w:t>
            </w:r>
            <w:r w:rsidR="006B0618" w:rsidRPr="0053423A">
              <w:rPr>
                <w:rFonts w:cs="Sylfaen"/>
                <w:lang w:val="hy-AM"/>
              </w:rPr>
              <w:t>Մթնոլորտային</w:t>
            </w:r>
            <w:r w:rsidR="006B0618" w:rsidRPr="0053423A">
              <w:rPr>
                <w:lang w:val="hy-AM"/>
              </w:rPr>
              <w:t xml:space="preserve"> </w:t>
            </w:r>
            <w:r w:rsidR="006B0618" w:rsidRPr="0053423A">
              <w:rPr>
                <w:rFonts w:cs="Sylfaen"/>
                <w:lang w:val="hy-AM"/>
              </w:rPr>
              <w:t>օդի</w:t>
            </w:r>
            <w:r w:rsidR="006B0618" w:rsidRPr="0053423A">
              <w:rPr>
                <w:lang w:val="hy-AM"/>
              </w:rPr>
              <w:t xml:space="preserve"> </w:t>
            </w:r>
            <w:r w:rsidR="006B0618" w:rsidRPr="0053423A">
              <w:rPr>
                <w:rFonts w:cs="Sylfaen"/>
                <w:lang w:val="hy-AM"/>
              </w:rPr>
              <w:t>պահպանության</w:t>
            </w:r>
            <w:r w:rsidR="006B0618" w:rsidRPr="0053423A">
              <w:rPr>
                <w:lang w:val="hy-AM"/>
              </w:rPr>
              <w:t xml:space="preserve"> </w:t>
            </w:r>
            <w:r w:rsidR="006B0618" w:rsidRPr="0053423A">
              <w:rPr>
                <w:rFonts w:cs="Sylfaen"/>
                <w:lang w:val="hy-AM"/>
              </w:rPr>
              <w:t>մասին</w:t>
            </w:r>
            <w:r w:rsidR="006B0618" w:rsidRPr="0053423A">
              <w:rPr>
                <w:lang w:val="hy-AM"/>
              </w:rPr>
              <w:t>» Հայաստանի Հանրապետության  1994</w:t>
            </w:r>
            <w:r w:rsidR="006B0618" w:rsidRPr="0053423A">
              <w:rPr>
                <w:lang w:val="af-ZA"/>
              </w:rPr>
              <w:t xml:space="preserve"> </w:t>
            </w:r>
            <w:r w:rsidR="006B0618" w:rsidRPr="0053423A">
              <w:rPr>
                <w:rFonts w:cs="Sylfaen"/>
                <w:lang w:val="hy-AM"/>
              </w:rPr>
              <w:t>թ</w:t>
            </w:r>
            <w:r w:rsidR="006B0618" w:rsidRPr="0053423A">
              <w:rPr>
                <w:lang w:val="hy-AM"/>
              </w:rPr>
              <w:t xml:space="preserve">վականի հոկտեմբերի 11-ի </w:t>
            </w:r>
            <w:r w:rsidR="006B0618" w:rsidRPr="0053423A">
              <w:rPr>
                <w:rFonts w:cs="Sylfaen"/>
                <w:lang w:val="hy-AM"/>
              </w:rPr>
              <w:t>օրենքով</w:t>
            </w:r>
            <w:r w:rsidR="006B0618" w:rsidRPr="0053423A">
              <w:rPr>
                <w:rFonts w:eastAsia="MS Mincho" w:cs="GHEA Grapalat"/>
                <w:lang w:val="af-ZA"/>
              </w:rPr>
              <w:t xml:space="preserve"> (</w:t>
            </w:r>
            <w:r w:rsidR="006B0618" w:rsidRPr="0053423A">
              <w:rPr>
                <w:rFonts w:eastAsia="MS Mincho" w:cs="GHEA Grapalat"/>
                <w:lang w:val="hy-AM"/>
              </w:rPr>
              <w:t>այսուհետ՝ Օրենք</w:t>
            </w:r>
            <w:r w:rsidR="006B0618" w:rsidRPr="0053423A">
              <w:rPr>
                <w:rFonts w:eastAsia="MS Mincho" w:cs="GHEA Grapalat"/>
                <w:lang w:val="af-ZA"/>
              </w:rPr>
              <w:t>)</w:t>
            </w:r>
            <w:r w:rsidR="006B0618" w:rsidRPr="0053423A">
              <w:rPr>
                <w:rFonts w:eastAsia="MS Mincho" w:cs="GHEA Grapalat"/>
                <w:lang w:val="hy-AM"/>
              </w:rPr>
              <w:t>:</w:t>
            </w:r>
            <w:r w:rsidR="006B0618" w:rsidRPr="0053423A">
              <w:rPr>
                <w:rFonts w:eastAsia="MS Mincho" w:cs="GHEA Grapalat"/>
                <w:lang w:val="af-ZA"/>
              </w:rPr>
              <w:t xml:space="preserve"> </w:t>
            </w:r>
            <w:r w:rsidR="006B0618" w:rsidRPr="0053423A">
              <w:rPr>
                <w:rFonts w:eastAsia="MS Mincho" w:cs="GHEA Grapalat"/>
                <w:lang w:val="hy-AM"/>
              </w:rPr>
              <w:t>Դեռևս 2015-2016 թվականների ընթացքում ուսումնասիրվել և բացահայտվել էին Օրենքում առկա մի շարք խնդիրներ: Մասնավորապես` հին նորմերի վերանայման և նոր պահանջների ամրագրման անհրաժեշտությունը, որն առաջացել է հասարակական</w:t>
            </w:r>
            <w:r w:rsidR="006B0618" w:rsidRPr="0053423A">
              <w:rPr>
                <w:rFonts w:eastAsia="MS Mincho" w:cs="GHEA Grapalat"/>
                <w:lang w:val="af-ZA"/>
              </w:rPr>
              <w:t xml:space="preserve"> </w:t>
            </w:r>
            <w:r w:rsidR="006B0618" w:rsidRPr="0053423A">
              <w:rPr>
                <w:rFonts w:eastAsia="MS Mincho" w:cs="GHEA Grapalat"/>
                <w:lang w:val="hy-AM"/>
              </w:rPr>
              <w:t>և</w:t>
            </w:r>
            <w:r w:rsidR="006B0618" w:rsidRPr="0053423A">
              <w:rPr>
                <w:rFonts w:eastAsia="MS Mincho" w:cs="GHEA Grapalat"/>
                <w:lang w:val="af-ZA"/>
              </w:rPr>
              <w:t xml:space="preserve"> </w:t>
            </w:r>
            <w:r w:rsidR="006B0618" w:rsidRPr="0053423A">
              <w:rPr>
                <w:rFonts w:eastAsia="MS Mincho" w:cs="GHEA Grapalat"/>
                <w:lang w:val="hy-AM"/>
              </w:rPr>
              <w:t>միջազգային</w:t>
            </w:r>
            <w:r w:rsidR="006B0618" w:rsidRPr="0053423A">
              <w:rPr>
                <w:rFonts w:eastAsia="MS Mincho" w:cs="GHEA Grapalat"/>
                <w:lang w:val="af-ZA"/>
              </w:rPr>
              <w:t xml:space="preserve"> </w:t>
            </w:r>
            <w:r w:rsidR="006B0618" w:rsidRPr="0053423A">
              <w:rPr>
                <w:rFonts w:eastAsia="MS Mincho" w:cs="GHEA Grapalat"/>
                <w:lang w:val="hy-AM"/>
              </w:rPr>
              <w:t>հարաբերություններում</w:t>
            </w:r>
            <w:r w:rsidR="006B0618" w:rsidRPr="0053423A">
              <w:rPr>
                <w:rFonts w:eastAsia="MS Mincho" w:cs="GHEA Grapalat"/>
                <w:lang w:val="af-ZA"/>
              </w:rPr>
              <w:t xml:space="preserve"> </w:t>
            </w:r>
            <w:r w:rsidR="006B0618" w:rsidRPr="0053423A">
              <w:rPr>
                <w:rFonts w:eastAsia="MS Mincho" w:cs="GHEA Grapalat"/>
                <w:lang w:val="hy-AM"/>
              </w:rPr>
              <w:t>տեղի</w:t>
            </w:r>
            <w:r w:rsidR="006B0618" w:rsidRPr="0053423A">
              <w:rPr>
                <w:rFonts w:eastAsia="MS Mincho" w:cs="GHEA Grapalat"/>
                <w:lang w:val="af-ZA"/>
              </w:rPr>
              <w:t xml:space="preserve"> </w:t>
            </w:r>
            <w:r w:rsidR="006B0618" w:rsidRPr="0053423A">
              <w:rPr>
                <w:rFonts w:eastAsia="MS Mincho" w:cs="GHEA Grapalat"/>
                <w:lang w:val="hy-AM"/>
              </w:rPr>
              <w:t>ունեցող որոշակի</w:t>
            </w:r>
            <w:r w:rsidR="006B0618" w:rsidRPr="0053423A">
              <w:rPr>
                <w:rFonts w:eastAsia="MS Mincho" w:cs="GHEA Grapalat"/>
                <w:lang w:val="af-ZA"/>
              </w:rPr>
              <w:t xml:space="preserve"> </w:t>
            </w:r>
            <w:r w:rsidR="006B0618" w:rsidRPr="0053423A">
              <w:rPr>
                <w:rFonts w:eastAsia="MS Mincho" w:cs="GHEA Grapalat"/>
                <w:lang w:val="hy-AM"/>
              </w:rPr>
              <w:t>զարգացումների արդյունքում: Բացի</w:t>
            </w:r>
            <w:r w:rsidR="006B0618" w:rsidRPr="0053423A">
              <w:rPr>
                <w:rFonts w:eastAsia="MS Mincho" w:cs="GHEA Grapalat"/>
                <w:lang w:val="af-ZA"/>
              </w:rPr>
              <w:t xml:space="preserve"> </w:t>
            </w:r>
            <w:r w:rsidR="006B0618" w:rsidRPr="0053423A">
              <w:rPr>
                <w:rFonts w:eastAsia="MS Mincho" w:cs="GHEA Grapalat"/>
                <w:lang w:val="hy-AM"/>
              </w:rPr>
              <w:t>այդ</w:t>
            </w:r>
            <w:r w:rsidR="006B0618" w:rsidRPr="0053423A">
              <w:rPr>
                <w:rFonts w:eastAsia="MS Mincho" w:cs="GHEA Grapalat"/>
                <w:lang w:val="af-ZA"/>
              </w:rPr>
              <w:t xml:space="preserve">, </w:t>
            </w:r>
            <w:r w:rsidR="006B0618" w:rsidRPr="0053423A">
              <w:rPr>
                <w:rFonts w:eastAsia="MS Mincho" w:cs="GHEA Grapalat"/>
                <w:lang w:val="hy-AM"/>
              </w:rPr>
              <w:t>Օրենքի</w:t>
            </w:r>
            <w:r w:rsidR="006B0618" w:rsidRPr="0053423A">
              <w:rPr>
                <w:rFonts w:eastAsia="MS Mincho" w:cs="GHEA Grapalat"/>
                <w:lang w:val="af-ZA"/>
              </w:rPr>
              <w:t xml:space="preserve"> </w:t>
            </w:r>
            <w:r w:rsidR="006B0618" w:rsidRPr="0053423A">
              <w:rPr>
                <w:rFonts w:eastAsia="MS Mincho" w:cs="GHEA Grapalat"/>
                <w:lang w:val="hy-AM"/>
              </w:rPr>
              <w:t>իրավակիրառման</w:t>
            </w:r>
            <w:r w:rsidR="006B0618" w:rsidRPr="0053423A">
              <w:rPr>
                <w:rFonts w:eastAsia="MS Mincho" w:cs="GHEA Grapalat"/>
                <w:lang w:val="af-ZA"/>
              </w:rPr>
              <w:t xml:space="preserve"> </w:t>
            </w:r>
            <w:r w:rsidR="006B0618" w:rsidRPr="0053423A">
              <w:rPr>
                <w:rFonts w:eastAsia="MS Mincho" w:cs="GHEA Grapalat"/>
                <w:lang w:val="hy-AM"/>
              </w:rPr>
              <w:t>գործընթացում</w:t>
            </w:r>
            <w:r w:rsidR="006B0618" w:rsidRPr="0053423A">
              <w:rPr>
                <w:rFonts w:eastAsia="MS Mincho" w:cs="GHEA Grapalat"/>
                <w:lang w:val="af-ZA"/>
              </w:rPr>
              <w:t xml:space="preserve"> </w:t>
            </w:r>
            <w:r w:rsidR="006B0618" w:rsidRPr="0053423A">
              <w:rPr>
                <w:rFonts w:eastAsia="MS Mincho" w:cs="GHEA Grapalat"/>
                <w:lang w:val="hy-AM"/>
              </w:rPr>
              <w:t>բացահայտվել</w:t>
            </w:r>
            <w:r w:rsidR="006B0618" w:rsidRPr="0053423A">
              <w:rPr>
                <w:rFonts w:eastAsia="MS Mincho" w:cs="GHEA Grapalat"/>
                <w:lang w:val="af-ZA"/>
              </w:rPr>
              <w:t xml:space="preserve"> </w:t>
            </w:r>
            <w:r w:rsidR="006B0618" w:rsidRPr="0053423A">
              <w:rPr>
                <w:rFonts w:eastAsia="MS Mincho" w:cs="GHEA Grapalat"/>
                <w:lang w:val="hy-AM"/>
              </w:rPr>
              <w:t>էին</w:t>
            </w:r>
            <w:r w:rsidR="006B0618" w:rsidRPr="0053423A">
              <w:rPr>
                <w:rFonts w:eastAsia="MS Mincho" w:cs="GHEA Grapalat"/>
                <w:lang w:val="af-ZA"/>
              </w:rPr>
              <w:t xml:space="preserve"> </w:t>
            </w:r>
            <w:r w:rsidR="006B0618" w:rsidRPr="0053423A">
              <w:rPr>
                <w:rFonts w:eastAsia="MS Mincho" w:cs="GHEA Grapalat"/>
                <w:lang w:val="hy-AM"/>
              </w:rPr>
              <w:t>թերություններ</w:t>
            </w:r>
            <w:r w:rsidR="006B0618" w:rsidRPr="0053423A">
              <w:rPr>
                <w:rFonts w:eastAsia="MS Mincho" w:cs="GHEA Grapalat"/>
                <w:lang w:val="af-ZA"/>
              </w:rPr>
              <w:t xml:space="preserve"> </w:t>
            </w:r>
            <w:r w:rsidR="006B0618" w:rsidRPr="0053423A">
              <w:rPr>
                <w:rFonts w:eastAsia="MS Mincho" w:cs="GHEA Grapalat"/>
                <w:lang w:val="hy-AM"/>
              </w:rPr>
              <w:t>ու</w:t>
            </w:r>
            <w:r w:rsidR="006B0618" w:rsidRPr="0053423A">
              <w:rPr>
                <w:rFonts w:eastAsia="MS Mincho" w:cs="GHEA Grapalat"/>
                <w:lang w:val="af-ZA"/>
              </w:rPr>
              <w:t xml:space="preserve"> </w:t>
            </w:r>
            <w:r w:rsidR="006B0618" w:rsidRPr="0053423A">
              <w:rPr>
                <w:rFonts w:eastAsia="MS Mincho" w:cs="GHEA Grapalat"/>
                <w:lang w:val="hy-AM"/>
              </w:rPr>
              <w:t>բացթողումներ</w:t>
            </w:r>
            <w:r w:rsidR="006B0618" w:rsidRPr="0053423A">
              <w:rPr>
                <w:rFonts w:eastAsia="MS Mincho" w:cs="GHEA Grapalat"/>
                <w:lang w:val="af-ZA"/>
              </w:rPr>
              <w:t xml:space="preserve">, </w:t>
            </w:r>
            <w:r w:rsidR="006B0618" w:rsidRPr="0053423A">
              <w:rPr>
                <w:rFonts w:eastAsia="MS Mincho" w:cs="GHEA Grapalat"/>
                <w:lang w:val="hy-AM"/>
              </w:rPr>
              <w:t>որոնք</w:t>
            </w:r>
            <w:r w:rsidR="006B0618" w:rsidRPr="0053423A">
              <w:rPr>
                <w:rFonts w:eastAsia="MS Mincho" w:cs="GHEA Grapalat"/>
                <w:lang w:val="af-ZA"/>
              </w:rPr>
              <w:t xml:space="preserve"> </w:t>
            </w:r>
            <w:r w:rsidR="006B0618" w:rsidRPr="0053423A">
              <w:rPr>
                <w:rFonts w:eastAsia="MS Mincho" w:cs="GHEA Grapalat"/>
                <w:lang w:val="hy-AM"/>
              </w:rPr>
              <w:t>շտկելը</w:t>
            </w:r>
            <w:r w:rsidR="006B0618" w:rsidRPr="0053423A">
              <w:rPr>
                <w:rFonts w:eastAsia="MS Mincho" w:cs="GHEA Grapalat"/>
                <w:lang w:val="af-ZA"/>
              </w:rPr>
              <w:t xml:space="preserve"> </w:t>
            </w:r>
            <w:r w:rsidR="006B0618" w:rsidRPr="0053423A">
              <w:rPr>
                <w:rFonts w:eastAsia="MS Mincho" w:cs="GHEA Grapalat"/>
                <w:lang w:val="hy-AM"/>
              </w:rPr>
              <w:t>նույնպես</w:t>
            </w:r>
            <w:r w:rsidR="006B0618" w:rsidRPr="0053423A">
              <w:rPr>
                <w:rFonts w:eastAsia="MS Mincho" w:cs="GHEA Grapalat"/>
                <w:lang w:val="af-ZA"/>
              </w:rPr>
              <w:t xml:space="preserve"> </w:t>
            </w:r>
            <w:r w:rsidR="006B0618" w:rsidRPr="0053423A">
              <w:rPr>
                <w:rFonts w:eastAsia="MS Mincho" w:cs="GHEA Grapalat"/>
                <w:lang w:val="hy-AM"/>
              </w:rPr>
              <w:t>անհրաժեշտություն</w:t>
            </w:r>
            <w:r w:rsidR="006B0618" w:rsidRPr="0053423A">
              <w:rPr>
                <w:rFonts w:eastAsia="MS Mincho" w:cs="GHEA Grapalat"/>
                <w:lang w:val="af-ZA"/>
              </w:rPr>
              <w:t xml:space="preserve"> </w:t>
            </w:r>
            <w:r w:rsidR="006B0618" w:rsidRPr="0053423A">
              <w:rPr>
                <w:rFonts w:eastAsia="MS Mincho" w:cs="GHEA Grapalat"/>
                <w:lang w:val="hy-AM"/>
              </w:rPr>
              <w:t>է</w:t>
            </w:r>
            <w:r w:rsidR="006B0618" w:rsidRPr="0053423A">
              <w:rPr>
                <w:rFonts w:eastAsia="MS Mincho" w:cs="GHEA Grapalat"/>
                <w:lang w:val="af-ZA"/>
              </w:rPr>
              <w:t>:</w:t>
            </w:r>
            <w:r w:rsidR="006B0618" w:rsidRPr="0053423A">
              <w:rPr>
                <w:rFonts w:eastAsia="MS Mincho" w:cs="GHEA Grapalat"/>
                <w:lang w:val="hy-AM"/>
              </w:rPr>
              <w:t xml:space="preserve"> </w:t>
            </w:r>
          </w:p>
          <w:p w:rsidR="006B0618" w:rsidRPr="0053423A" w:rsidRDefault="006B0618" w:rsidP="00A67858">
            <w:pPr>
              <w:pStyle w:val="ListParagraph"/>
              <w:spacing w:line="276" w:lineRule="auto"/>
              <w:ind w:left="426" w:right="149"/>
              <w:jc w:val="both"/>
              <w:rPr>
                <w:rFonts w:eastAsia="Calibri" w:cs="Sylfaen"/>
                <w:b/>
                <w:lang w:val="hy-AM"/>
              </w:rPr>
            </w:pPr>
            <w:r w:rsidRPr="0053423A">
              <w:rPr>
                <w:rFonts w:cs="Sylfaen"/>
                <w:b/>
                <w:lang w:val="hy-AM"/>
              </w:rPr>
              <w:t>1</w:t>
            </w:r>
            <w:r w:rsidRPr="0053423A">
              <w:rPr>
                <w:rFonts w:ascii="Cambria Math" w:eastAsia="MS Gothic" w:hAnsi="Cambria Math" w:cs="Cambria Math"/>
                <w:b/>
                <w:lang w:val="hy-AM"/>
              </w:rPr>
              <w:t>․</w:t>
            </w:r>
            <w:r w:rsidRPr="0053423A">
              <w:rPr>
                <w:rFonts w:cs="Sylfaen"/>
                <w:b/>
                <w:lang w:val="hy-AM"/>
              </w:rPr>
              <w:t>2 Առկա խնդիրների առաջարկվող լուծումները</w:t>
            </w:r>
          </w:p>
          <w:p w:rsidR="006B0618" w:rsidRPr="0053423A" w:rsidRDefault="006B0618" w:rsidP="00A67858">
            <w:pPr>
              <w:tabs>
                <w:tab w:val="left" w:pos="567"/>
              </w:tabs>
              <w:spacing w:line="276" w:lineRule="auto"/>
              <w:ind w:right="-1" w:firstLine="463"/>
              <w:jc w:val="both"/>
              <w:rPr>
                <w:rFonts w:cs="AK Courier"/>
                <w:lang w:val="hy-AM"/>
              </w:rPr>
            </w:pPr>
            <w:r w:rsidRPr="0053423A">
              <w:rPr>
                <w:rFonts w:cs="AK Courier"/>
                <w:lang w:val="hy-AM"/>
              </w:rPr>
              <w:t xml:space="preserve">Օրենքը լրջորեն լրամշակվել է: Ավելացվել են մի շարք հասկացություններ, որոնք կիրառվում են այլ երկրներում՝ օդի որակի գնահատման համար: Ավելացվել են դրույթներ, կապված արտանետումների տեխնիկական նորմավորման հետ, արտանետումների հաշվառման, լիազորությունների բաշխման և այլն: </w:t>
            </w:r>
          </w:p>
          <w:p w:rsidR="006B0618" w:rsidRPr="0053423A" w:rsidRDefault="006B0618" w:rsidP="00A67858">
            <w:pPr>
              <w:spacing w:line="276" w:lineRule="auto"/>
              <w:ind w:right="-1" w:firstLine="720"/>
              <w:jc w:val="both"/>
              <w:rPr>
                <w:rFonts w:eastAsia="Calibri" w:cs="GHEA Grapalat"/>
                <w:lang w:val="hy-AM"/>
              </w:rPr>
            </w:pPr>
            <w:r w:rsidRPr="0053423A">
              <w:rPr>
                <w:rFonts w:cs="AK Courier"/>
                <w:lang w:val="hy-AM"/>
              </w:rPr>
              <w:t>Նկատի ունենալով, որ փոփոխությունները ծավալուն էին, առաջարկվում է ընդունել Նախագիծը, որպես «Մթնոլորտային օդի պահպանության մասին» նոր խմբագրությամբ օրենք, իսկ Օրենքը ամբողջությամբ ուժը կորցրած ճանաչել: Օ</w:t>
            </w:r>
            <w:r w:rsidRPr="0053423A">
              <w:rPr>
                <w:rFonts w:cs="GHEA Grapalat"/>
                <w:lang w:val="hy-AM"/>
              </w:rPr>
              <w:t>րենքի որևէ դրույթ չի անտեսվել և դուրս չի մնացել Նախագծից, դրանք միավորվել են կամ խմբագրվել:</w:t>
            </w:r>
          </w:p>
          <w:p w:rsidR="006B0618" w:rsidRPr="0053423A" w:rsidRDefault="006B0618" w:rsidP="00A67858">
            <w:pPr>
              <w:tabs>
                <w:tab w:val="left" w:pos="-142"/>
                <w:tab w:val="left" w:pos="0"/>
                <w:tab w:val="left" w:pos="567"/>
                <w:tab w:val="left" w:pos="709"/>
                <w:tab w:val="left" w:pos="993"/>
              </w:tabs>
              <w:spacing w:line="276" w:lineRule="auto"/>
              <w:ind w:right="-1"/>
              <w:jc w:val="both"/>
              <w:rPr>
                <w:rFonts w:eastAsia="Calibri" w:cs="GHEA Grapalat"/>
                <w:i/>
                <w:lang w:val="hy-AM"/>
              </w:rPr>
            </w:pPr>
            <w:r w:rsidRPr="0053423A">
              <w:rPr>
                <w:rFonts w:cs="GHEA Grapalat"/>
                <w:i/>
                <w:lang w:val="hy-AM"/>
              </w:rPr>
              <w:tab/>
              <w:t xml:space="preserve">    </w:t>
            </w:r>
            <w:r w:rsidRPr="0053423A">
              <w:rPr>
                <w:rFonts w:cs="Sylfaen"/>
                <w:b/>
                <w:i/>
                <w:lang w:val="hy-AM"/>
              </w:rPr>
              <w:t>2</w:t>
            </w:r>
            <w:r w:rsidRPr="0053423A">
              <w:rPr>
                <w:rFonts w:cs="Sylfaen"/>
                <w:b/>
                <w:i/>
                <w:lang w:val="af-ZA"/>
              </w:rPr>
              <w:t xml:space="preserve">. </w:t>
            </w:r>
            <w:r w:rsidRPr="0053423A">
              <w:rPr>
                <w:rFonts w:cs="Sylfaen"/>
                <w:b/>
                <w:i/>
                <w:lang w:val="hy-AM"/>
              </w:rPr>
              <w:t>Միջոցառման իրականացումից ա</w:t>
            </w:r>
            <w:r w:rsidRPr="0053423A">
              <w:rPr>
                <w:rFonts w:cs="Sylfaen"/>
                <w:b/>
                <w:i/>
                <w:lang w:val="af-ZA"/>
              </w:rPr>
              <w:t>կնկալվող արդյունքը</w:t>
            </w:r>
          </w:p>
          <w:p w:rsidR="006B0618" w:rsidRPr="0053423A" w:rsidRDefault="006B0618" w:rsidP="00A67858">
            <w:pPr>
              <w:tabs>
                <w:tab w:val="left" w:pos="709"/>
              </w:tabs>
              <w:spacing w:line="276" w:lineRule="auto"/>
              <w:jc w:val="both"/>
              <w:outlineLvl w:val="2"/>
              <w:rPr>
                <w:rFonts w:cs="Sylfaen"/>
                <w:lang w:val="hy-AM"/>
              </w:rPr>
            </w:pPr>
            <w:r w:rsidRPr="0053423A">
              <w:rPr>
                <w:rFonts w:cs="AK Courier"/>
                <w:lang w:val="hy-AM"/>
              </w:rPr>
              <w:tab/>
            </w:r>
            <w:r w:rsidRPr="0053423A">
              <w:rPr>
                <w:rFonts w:cs="AK Courier"/>
                <w:lang w:val="hy-AM"/>
              </w:rPr>
              <w:tab/>
              <w:t xml:space="preserve">Նախագծի ընդունումը կամրագրի  </w:t>
            </w:r>
            <w:r w:rsidRPr="0053423A">
              <w:rPr>
                <w:rFonts w:cs="Sylfaen"/>
                <w:lang w:val="hy-AM"/>
              </w:rPr>
              <w:t xml:space="preserve">մթնոլորտային օդի պահպանության </w:t>
            </w:r>
            <w:r w:rsidRPr="0053423A">
              <w:rPr>
                <w:lang w:val="hy-AM"/>
              </w:rPr>
              <w:t xml:space="preserve">ժամանակակից մոտեցումները, մասնավորապես՝  </w:t>
            </w:r>
          </w:p>
          <w:p w:rsidR="006B0618" w:rsidRPr="0053423A" w:rsidRDefault="006B0618" w:rsidP="00A67858">
            <w:pPr>
              <w:spacing w:line="276" w:lineRule="auto"/>
              <w:ind w:firstLine="720"/>
              <w:jc w:val="both"/>
              <w:rPr>
                <w:rFonts w:eastAsia="Calibri" w:cs="Sylfaen"/>
                <w:lang w:val="hy-AM"/>
              </w:rPr>
            </w:pPr>
            <w:r w:rsidRPr="0053423A">
              <w:rPr>
                <w:rFonts w:cs="Sylfaen"/>
                <w:lang w:val="hy-AM"/>
              </w:rPr>
              <w:t xml:space="preserve">ա. մթնոլորտային օդի որակի գնահատման մասով. </w:t>
            </w:r>
          </w:p>
          <w:p w:rsidR="006B0618" w:rsidRPr="0053423A" w:rsidRDefault="006B0618" w:rsidP="00A67858">
            <w:pPr>
              <w:spacing w:line="276" w:lineRule="auto"/>
              <w:jc w:val="both"/>
              <w:rPr>
                <w:rFonts w:cs="Sylfaen"/>
                <w:lang w:val="hy-AM"/>
              </w:rPr>
            </w:pPr>
            <w:r w:rsidRPr="0053423A">
              <w:rPr>
                <w:rFonts w:cs="Sylfaen"/>
                <w:lang w:val="hy-AM"/>
              </w:rPr>
              <w:t>«կրիտիկական մակարդակ» հասկացությունը, ինչպես նաև դրա որոշման մեթոդները, կիրառումն, աղտոտվածության մոնիթորինգի և վերահսկողության լիազորությունների սահմանումը,</w:t>
            </w:r>
          </w:p>
          <w:p w:rsidR="006B0618" w:rsidRPr="0053423A" w:rsidRDefault="006B0618" w:rsidP="00A67858">
            <w:pPr>
              <w:spacing w:line="276" w:lineRule="auto"/>
              <w:ind w:firstLine="720"/>
              <w:jc w:val="both"/>
              <w:rPr>
                <w:rFonts w:cs="Sylfaen"/>
                <w:lang w:val="hy-AM"/>
              </w:rPr>
            </w:pPr>
            <w:r w:rsidRPr="0053423A">
              <w:rPr>
                <w:rFonts w:cs="Sylfaen"/>
                <w:lang w:val="hy-AM"/>
              </w:rPr>
              <w:t>բ. անշարժ աղբյուրներից արտանետումների  սահմանափակման մասով.</w:t>
            </w:r>
          </w:p>
          <w:p w:rsidR="006B0618" w:rsidRPr="0053423A" w:rsidRDefault="006B0618" w:rsidP="00A67858">
            <w:pPr>
              <w:spacing w:line="276" w:lineRule="auto"/>
              <w:jc w:val="both"/>
              <w:rPr>
                <w:rFonts w:cs="Sylfaen"/>
                <w:lang w:val="hy-AM"/>
              </w:rPr>
            </w:pPr>
            <w:r w:rsidRPr="0053423A">
              <w:rPr>
                <w:rFonts w:cs="Sylfaen"/>
                <w:lang w:val="hy-AM"/>
              </w:rPr>
              <w:t xml:space="preserve">«տեխնիկական նորմատիվների» և «լավագույն հասանելի տեխնոլոգիաների» որոշման մեթոդների կիրառումը, </w:t>
            </w:r>
          </w:p>
          <w:p w:rsidR="006B0618" w:rsidRPr="0053423A" w:rsidRDefault="006B0618" w:rsidP="00A67858">
            <w:pPr>
              <w:spacing w:line="276" w:lineRule="auto"/>
              <w:ind w:firstLine="720"/>
              <w:jc w:val="both"/>
              <w:rPr>
                <w:rFonts w:cs="Sylfaen"/>
                <w:lang w:val="hy-AM"/>
              </w:rPr>
            </w:pPr>
            <w:r w:rsidRPr="0053423A">
              <w:rPr>
                <w:rFonts w:cs="Sylfaen"/>
                <w:lang w:val="hy-AM"/>
              </w:rPr>
              <w:t>գ. շարժական աղբյուրներից արտանետումների սահմանափակման մասով.</w:t>
            </w:r>
          </w:p>
          <w:p w:rsidR="006B0618" w:rsidRPr="0053423A" w:rsidRDefault="006B0618" w:rsidP="00A67858">
            <w:pPr>
              <w:spacing w:line="276" w:lineRule="auto"/>
              <w:jc w:val="both"/>
              <w:rPr>
                <w:rFonts w:cs="Sylfaen"/>
                <w:lang w:val="hy-AM"/>
              </w:rPr>
            </w:pPr>
            <w:r w:rsidRPr="0053423A">
              <w:rPr>
                <w:rFonts w:cs="Sylfaen"/>
                <w:lang w:val="hy-AM"/>
              </w:rPr>
              <w:t xml:space="preserve"> արգելքի պահանջները և դրանք կիրառելու իրավասությունները:</w:t>
            </w:r>
          </w:p>
          <w:p w:rsidR="006B0618" w:rsidRPr="0053423A" w:rsidRDefault="006B0618" w:rsidP="00A67858">
            <w:pPr>
              <w:spacing w:line="276" w:lineRule="auto"/>
              <w:jc w:val="both"/>
              <w:rPr>
                <w:rFonts w:cs="Sylfaen"/>
                <w:lang w:val="hy-AM"/>
              </w:rPr>
            </w:pPr>
            <w:r w:rsidRPr="0053423A">
              <w:rPr>
                <w:rFonts w:cs="Sylfaen"/>
                <w:lang w:val="hy-AM"/>
              </w:rPr>
              <w:tab/>
              <w:t>դ. արտանետումների հաշվառման մասով.</w:t>
            </w:r>
          </w:p>
          <w:p w:rsidR="006B0618" w:rsidRPr="0053423A" w:rsidRDefault="006B0618" w:rsidP="00A67858">
            <w:pPr>
              <w:spacing w:line="276" w:lineRule="auto"/>
              <w:jc w:val="both"/>
              <w:rPr>
                <w:rFonts w:cs="Sylfaen"/>
                <w:lang w:val="hy-AM"/>
              </w:rPr>
            </w:pPr>
            <w:r w:rsidRPr="0053423A">
              <w:rPr>
                <w:rFonts w:cs="Sylfaen"/>
                <w:lang w:val="hy-AM"/>
              </w:rPr>
              <w:t>վնասակար նյութերի և ջերմոցային գազերի արտանետումների (անշարժ և շարժական աղբյուրներից) միասնական հաշվառման դրույթը:</w:t>
            </w:r>
          </w:p>
          <w:p w:rsidR="006B0618" w:rsidRPr="0053423A" w:rsidRDefault="006B0618" w:rsidP="00A67858">
            <w:pPr>
              <w:tabs>
                <w:tab w:val="left" w:pos="709"/>
              </w:tabs>
              <w:spacing w:line="276" w:lineRule="auto"/>
              <w:jc w:val="both"/>
              <w:outlineLvl w:val="2"/>
              <w:rPr>
                <w:rFonts w:cs="Sylfaen"/>
                <w:lang w:val="hy-AM"/>
              </w:rPr>
            </w:pPr>
            <w:r w:rsidRPr="0053423A">
              <w:rPr>
                <w:rFonts w:cs="Sylfaen"/>
                <w:lang w:val="hy-AM"/>
              </w:rPr>
              <w:tab/>
              <w:t xml:space="preserve">Այսպիսով, կներդաշնակեցվեն  աշխարհում ընդունված և ներկայումս երկրում գործող օդի որակի գնահատման չափանիշներն, արտանետումների սահմանափակման նպատակով և  զարգացած երկրներում լայնորեն կիրառվող «լավագույն հասանելի տեխնոլոգիաների» ներդրման պահանջարկն՝ այն համատեղելով արտանետումների սահմանափակման էկոլոգիական (այդ թվում տարածքային) սկզբունքի հետ:  Այն ավելի արդյունավետ կդարձնի մթնոլորտային օդի պահպանության </w:t>
            </w:r>
            <w:r w:rsidRPr="0053423A">
              <w:rPr>
                <w:rFonts w:cs="AK Courier"/>
                <w:lang w:val="af-ZA"/>
              </w:rPr>
              <w:t xml:space="preserve"> </w:t>
            </w:r>
            <w:r w:rsidRPr="0053423A">
              <w:rPr>
                <w:rFonts w:cs="AK Courier"/>
                <w:lang w:val="hy-AM"/>
              </w:rPr>
              <w:t>կառավարումը, և կնպաստի միջազգային</w:t>
            </w:r>
            <w:r w:rsidRPr="0053423A">
              <w:rPr>
                <w:rFonts w:cs="AK Courier"/>
                <w:lang w:val="af-ZA"/>
              </w:rPr>
              <w:t xml:space="preserve"> </w:t>
            </w:r>
            <w:r w:rsidRPr="0053423A">
              <w:rPr>
                <w:rFonts w:cs="AK Courier"/>
                <w:lang w:val="hy-AM"/>
              </w:rPr>
              <w:t>պայմանագրերով</w:t>
            </w:r>
            <w:r w:rsidRPr="0053423A">
              <w:rPr>
                <w:rFonts w:cs="AK Courier"/>
                <w:lang w:val="af-ZA"/>
              </w:rPr>
              <w:t xml:space="preserve"> </w:t>
            </w:r>
            <w:r w:rsidRPr="0053423A">
              <w:rPr>
                <w:rFonts w:cs="AK Courier"/>
                <w:lang w:val="hy-AM"/>
              </w:rPr>
              <w:t>ամրագրված</w:t>
            </w:r>
            <w:r w:rsidRPr="0053423A">
              <w:rPr>
                <w:rFonts w:cs="AK Courier"/>
                <w:lang w:val="af-ZA"/>
              </w:rPr>
              <w:t xml:space="preserve"> </w:t>
            </w:r>
            <w:r w:rsidRPr="0053423A">
              <w:rPr>
                <w:rFonts w:cs="AK Courier"/>
                <w:lang w:val="hy-AM"/>
              </w:rPr>
              <w:t>պարտավորությունների</w:t>
            </w:r>
            <w:r w:rsidRPr="0053423A">
              <w:rPr>
                <w:rFonts w:cs="AK Courier"/>
                <w:lang w:val="af-ZA"/>
              </w:rPr>
              <w:t xml:space="preserve"> </w:t>
            </w:r>
            <w:r w:rsidRPr="0053423A">
              <w:rPr>
                <w:rFonts w:cs="AK Courier"/>
                <w:lang w:val="hy-AM"/>
              </w:rPr>
              <w:t>պատշաճ կատարմանը</w:t>
            </w:r>
            <w:r w:rsidRPr="0053423A">
              <w:rPr>
                <w:rFonts w:cs="AK Courier"/>
                <w:lang w:val="af-ZA"/>
              </w:rPr>
              <w:t>:</w:t>
            </w:r>
          </w:p>
          <w:p w:rsidR="006B0618" w:rsidRPr="0053423A" w:rsidRDefault="006B0618" w:rsidP="00A67858">
            <w:pPr>
              <w:spacing w:line="276" w:lineRule="auto"/>
              <w:ind w:left="375"/>
              <w:jc w:val="both"/>
              <w:rPr>
                <w:rFonts w:cs="GHEA Grapalat"/>
                <w:lang w:val="hy-AM"/>
              </w:rPr>
            </w:pPr>
          </w:p>
          <w:p w:rsidR="006B0618" w:rsidRPr="0053423A" w:rsidRDefault="006B0618" w:rsidP="00A67858">
            <w:pPr>
              <w:spacing w:line="276" w:lineRule="auto"/>
              <w:jc w:val="center"/>
              <w:rPr>
                <w:b/>
                <w:lang w:val="hy-AM"/>
              </w:rPr>
            </w:pPr>
            <w:r w:rsidRPr="0053423A">
              <w:rPr>
                <w:u w:val="single"/>
                <w:lang w:val="hy-AM"/>
              </w:rPr>
              <w:t xml:space="preserve">4.2 </w:t>
            </w:r>
            <w:r w:rsidRPr="0053423A">
              <w:rPr>
                <w:b/>
                <w:u w:val="single"/>
                <w:lang w:val="hy-AM"/>
              </w:rPr>
              <w:t>Արթիկ քաղաքի փակ քարհանքի թափոնների և ջրհեղեղների կառավարումշրագրի իրականացում միջոցառման</w:t>
            </w:r>
            <w:r w:rsidRPr="0053423A">
              <w:rPr>
                <w:b/>
                <w:lang w:val="hy-AM"/>
              </w:rPr>
              <w:t xml:space="preserve">   </w:t>
            </w:r>
          </w:p>
          <w:p w:rsidR="006B0618" w:rsidRPr="0053423A" w:rsidRDefault="006B0618" w:rsidP="00A67858">
            <w:pPr>
              <w:spacing w:line="276" w:lineRule="auto"/>
              <w:jc w:val="center"/>
              <w:rPr>
                <w:u w:val="single"/>
                <w:lang w:val="hy-AM"/>
              </w:rPr>
            </w:pPr>
          </w:p>
          <w:p w:rsidR="006B0618" w:rsidRPr="0053423A" w:rsidRDefault="006B0618" w:rsidP="00A67858">
            <w:pPr>
              <w:pStyle w:val="ListParagraph"/>
              <w:numPr>
                <w:ilvl w:val="0"/>
                <w:numId w:val="25"/>
              </w:numPr>
              <w:spacing w:line="276" w:lineRule="auto"/>
              <w:jc w:val="both"/>
              <w:rPr>
                <w:i/>
                <w:lang w:val="hy-AM"/>
              </w:rPr>
            </w:pPr>
            <w:r w:rsidRPr="0053423A">
              <w:rPr>
                <w:rFonts w:cs="Sylfaen"/>
                <w:b/>
                <w:i/>
                <w:lang w:val="hy-AM"/>
              </w:rPr>
              <w:t>Միջոցառման</w:t>
            </w:r>
            <w:r w:rsidRPr="0053423A">
              <w:rPr>
                <w:b/>
                <w:i/>
                <w:lang w:val="hy-AM"/>
              </w:rPr>
              <w:t xml:space="preserve"> իրականացման անհրաժեշտությունը և նպատակը</w:t>
            </w:r>
          </w:p>
          <w:p w:rsidR="006B0618" w:rsidRPr="0053423A" w:rsidRDefault="00232EB0" w:rsidP="00A67858">
            <w:pPr>
              <w:spacing w:line="276" w:lineRule="auto"/>
              <w:ind w:firstLine="360"/>
              <w:jc w:val="both"/>
              <w:rPr>
                <w:lang w:val="hy-AM"/>
              </w:rPr>
            </w:pPr>
            <w:r w:rsidRPr="0053423A">
              <w:rPr>
                <w:lang w:val="hy-AM"/>
              </w:rPr>
              <w:t>Միջո</w:t>
            </w:r>
            <w:r w:rsidR="006B0618" w:rsidRPr="0053423A">
              <w:rPr>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Կլիմայի փոփոխության հետևանքով առաջացող խնդիրների մեղմման և կանխարգելման, ինչպես նաև հարմարվողականության գործողությունների իրականացումը՝ համաձայն միջազգային համաձայնագրերով ստանձնած պարտավորությունների  ուղղությունը:</w:t>
            </w:r>
          </w:p>
          <w:p w:rsidR="006B0618" w:rsidRPr="0053423A" w:rsidRDefault="006B0618" w:rsidP="00A67858">
            <w:pPr>
              <w:spacing w:line="276" w:lineRule="auto"/>
              <w:ind w:firstLine="360"/>
              <w:jc w:val="both"/>
              <w:rPr>
                <w:lang w:val="hy-AM"/>
              </w:rPr>
            </w:pPr>
            <w:r w:rsidRPr="0053423A">
              <w:rPr>
                <w:lang w:val="hy-AM"/>
              </w:rPr>
              <w:t>Ծրագրի իրականացման տարածքը գտնվում է Հայաստանի հյուսիս-արևմուտքում, Հայաստանի Հանրապետության Շիրակի մարզում: Մարզը արևմուտքից սահմանակից է Թուրքիային, հյուսիսից՝ Վրաստանին: Մարզի տարածքում է գտնվում «Արփի լիճ» ազգային պարկը: Մարզի կլիման մեղմ լեռնային է, զով ամառներով և երկար ձմեռներով: Տարեկան տեղումների քանակը 500-600 մմ է: Այստեղ արձանագրվել է Հայաստանում բացարձակ նվազագույն ջերմաստիճանը՝ -46˚C:</w:t>
            </w:r>
          </w:p>
          <w:p w:rsidR="006B0618" w:rsidRPr="0053423A" w:rsidRDefault="006B0618" w:rsidP="00A67858">
            <w:pPr>
              <w:spacing w:line="276" w:lineRule="auto"/>
              <w:ind w:firstLine="360"/>
              <w:jc w:val="both"/>
              <w:rPr>
                <w:lang w:val="hy-AM"/>
              </w:rPr>
            </w:pPr>
            <w:r w:rsidRPr="0053423A">
              <w:rPr>
                <w:lang w:val="hy-AM"/>
              </w:rPr>
              <w:t xml:space="preserve">Ծրագրի տարածքն ընդգրկում է Շիրակի մարզի հարավային հատվածում գտնվող Արթիկի տարածաշրջանը, որը հայտնի է տուֆի, պեմզաի, կրաքարի հանքավայրերով: Տարածքը ներկայացված է հրաբխային հարթավայրերով, որը հացահատիկային մշակաբույսերի և անասնաբուծության զարգացման համար աչքի է ընկնում բարենպաստ պայմաններով: Տարիներ շարունակ շահագործվող քարի հանքերը բացասաբար են անդրադարձել շրջակա միջավայրի վրա: Ավելի վաղ Արթիկում և նրա հարակից համայնքներում արտադրվել է հանրապետության շինարարական քարի ընդհանուր ծավալից ավելի քան 60 %-ը: Շատ հանքեր փակվեցին, քանի որ շինարարական քարերի սպառման ծավալները կրճատվել էին, հանքավայրերի պահպանության և վերականգնման աշխատանքներ չեն իրականացվել, որոնք բազմաթիվ բնապահպանական խնդիրներ առաջացրեցին: Հանքավայրերի շահագործման պատճառով գյուղատնտեսական և բնական լանդշաֆտների hարյուրավոր հեկտարներ դեգրադացվեցին: Ուժեղ քամիների միջոցով հանքավայրերի թափոնների փոշին և ամուր մնացորդները ձնհալի ու անձրևի միջոցով տարածվում են մեծ հեռավորությունների վրա՝ աղտոտելով բնական և գյուղատնտեսական լանդշաֆտները: Արդյունքում նկատվում է գյուղատնտեսական մշակաբույսերի բերքատվության, որակի և կլիմայի փոփոխության նկատմամբ բնական լանդշաֆտի հարմարվողականության մակարդակի նվազում: </w:t>
            </w:r>
          </w:p>
          <w:p w:rsidR="006B0618" w:rsidRPr="0053423A" w:rsidRDefault="006B0618" w:rsidP="00A67858">
            <w:pPr>
              <w:spacing w:line="276" w:lineRule="auto"/>
              <w:ind w:firstLine="720"/>
              <w:jc w:val="both"/>
              <w:rPr>
                <w:lang w:val="hy-AM"/>
              </w:rPr>
            </w:pPr>
            <w:r w:rsidRPr="0053423A">
              <w:rPr>
                <w:lang w:val="hy-AM"/>
              </w:rPr>
              <w:t xml:space="preserve">Մեկ այլ խնդիր է վերջին 20 տարիներին ջրհեղեղների աճող հաճախականությունը, որը պայմանավորված է տարածաշրջանին ոչ բնորոշ գարնանային բարձր ջերմաստիճանով: Մինչև 1980-ական թվականները գարնան մեկուկես ամսվա ընթացքում օդի ջերմաստիճանը հասնում էր 20-25 աստիճանի, ապա ներկայումս այն աճում է արագ և անհավասար, որի հետևանքով արագանում է ձնհալը՝ առաջացնելով ուժեղ հեղեղներ, որոնք զգալի վնաս են հասցնում բնակելի և հասարակական շինություններին, գյուղատնտեսական հողերին, տնամերձերին և այգիներին: Հեղեղների հզորացմանը նպաստում է նաև այն հանգամանքը, որ հանքավայրերի արդյունաբերական թափոնները լցվում են Արթիկ քաղաքի տարածքով անցնող երկու հեղեղատար ջրանցքների մեջ և նվազեցնում են դրանց թողունակությունը  տարողունակությունը: Այս երևույթը կրկնվում է ամեն տարի: 2016 թ. հունիսին տեղի ունեցած ջրհեղեղը Արթիկ քաղաքի ենթակառուցվածքներին և բնակչությանը պատճառել է ավելի քան 210 000 ԱՄՆ դոլարի վնաս, որի հետևանքների վերականգնումը չի կարող կատարվել միայն քաղաքային բյուջեի միջոցներով: Արթիկ քաղաքի և հարակից համայնքների բյուջեն թույլ չի տալիս վերացնել կրկնվող ջրհեղեղների և քարի թափոնների բացասական ազդեցությունները շրջակա միջավայրի վրա: </w:t>
            </w:r>
          </w:p>
          <w:p w:rsidR="006B0618" w:rsidRPr="0053423A" w:rsidRDefault="006B0618" w:rsidP="00A67858">
            <w:pPr>
              <w:spacing w:line="276" w:lineRule="auto"/>
              <w:ind w:firstLine="360"/>
              <w:jc w:val="both"/>
              <w:rPr>
                <w:lang w:val="hy-AM"/>
              </w:rPr>
            </w:pPr>
            <w:r w:rsidRPr="0053423A">
              <w:rPr>
                <w:lang w:val="hy-AM"/>
              </w:rPr>
              <w:tab/>
              <w:t>Միջոցառման իրականացման նպատակներն են՝</w:t>
            </w:r>
          </w:p>
          <w:p w:rsidR="006B0618" w:rsidRPr="0053423A" w:rsidRDefault="006B0618" w:rsidP="00A67858">
            <w:pPr>
              <w:spacing w:line="276" w:lineRule="auto"/>
              <w:ind w:firstLine="360"/>
              <w:jc w:val="both"/>
              <w:rPr>
                <w:lang w:val="hy-AM"/>
              </w:rPr>
            </w:pPr>
            <w:r w:rsidRPr="0053423A">
              <w:rPr>
                <w:lang w:val="hy-AM"/>
              </w:rPr>
              <w:t>1.</w:t>
            </w:r>
            <w:r w:rsidRPr="0053423A">
              <w:rPr>
                <w:lang w:val="hy-AM"/>
              </w:rPr>
              <w:tab/>
              <w:t>բարձրացնել բնական և գյուղատնտեսական լանդշաֆտների հարմարվողականության մակարդակը.</w:t>
            </w:r>
          </w:p>
          <w:p w:rsidR="006B0618" w:rsidRPr="0053423A" w:rsidRDefault="006B0618" w:rsidP="00A67858">
            <w:pPr>
              <w:spacing w:line="276" w:lineRule="auto"/>
              <w:ind w:firstLine="360"/>
              <w:jc w:val="both"/>
              <w:rPr>
                <w:lang w:val="hy-AM"/>
              </w:rPr>
            </w:pPr>
            <w:r w:rsidRPr="0053423A">
              <w:rPr>
                <w:lang w:val="hy-AM"/>
              </w:rPr>
              <w:t>2.</w:t>
            </w:r>
            <w:r w:rsidRPr="0053423A">
              <w:rPr>
                <w:lang w:val="hy-AM"/>
              </w:rPr>
              <w:tab/>
              <w:t>կառավարելի դարձնել ջրհեղեղները՝ նվազեցնելով դրանց հետևանքները.</w:t>
            </w:r>
          </w:p>
          <w:p w:rsidR="006B0618" w:rsidRPr="0053423A" w:rsidRDefault="006B0618" w:rsidP="00A67858">
            <w:pPr>
              <w:spacing w:line="276" w:lineRule="auto"/>
              <w:ind w:firstLine="360"/>
              <w:jc w:val="both"/>
              <w:rPr>
                <w:lang w:val="hy-AM"/>
              </w:rPr>
            </w:pPr>
            <w:r w:rsidRPr="0053423A">
              <w:rPr>
                <w:lang w:val="hy-AM"/>
              </w:rPr>
              <w:t>3.</w:t>
            </w:r>
            <w:r w:rsidRPr="0053423A">
              <w:rPr>
                <w:lang w:val="hy-AM"/>
              </w:rPr>
              <w:tab/>
              <w:t>վերականգնել կլիմայի փոփոխության և մարդածին ազդեցությունների հետևանքով վնասված բնական լանդշաֆտը՝ ցուցադրելով դեգրադացված բնական լանդշաֆտի հարմարվողականության բարձրացման հնարավորությունները.</w:t>
            </w:r>
          </w:p>
          <w:p w:rsidR="006B0618" w:rsidRPr="0053423A" w:rsidRDefault="006B0618" w:rsidP="00A67858">
            <w:pPr>
              <w:spacing w:line="276" w:lineRule="auto"/>
              <w:ind w:firstLine="360"/>
              <w:jc w:val="both"/>
              <w:rPr>
                <w:lang w:val="hy-AM"/>
              </w:rPr>
            </w:pPr>
            <w:r w:rsidRPr="0053423A">
              <w:rPr>
                <w:lang w:val="hy-AM"/>
              </w:rPr>
              <w:t>4.</w:t>
            </w:r>
            <w:r w:rsidRPr="0053423A">
              <w:rPr>
                <w:lang w:val="hy-AM"/>
              </w:rPr>
              <w:tab/>
              <w:t>ստեղծել բնական աղետների կանխարգելման վաղ արձագանքման համակարգ.</w:t>
            </w:r>
          </w:p>
          <w:p w:rsidR="006B0618" w:rsidRPr="0053423A" w:rsidRDefault="006B0618" w:rsidP="00A67858">
            <w:pPr>
              <w:spacing w:line="276" w:lineRule="auto"/>
              <w:ind w:firstLine="360"/>
              <w:jc w:val="both"/>
              <w:rPr>
                <w:lang w:val="hy-AM"/>
              </w:rPr>
            </w:pPr>
            <w:r w:rsidRPr="0053423A">
              <w:rPr>
                <w:lang w:val="hy-AM"/>
              </w:rPr>
              <w:t>5.</w:t>
            </w:r>
            <w:r w:rsidRPr="0053423A">
              <w:rPr>
                <w:lang w:val="hy-AM"/>
              </w:rPr>
              <w:tab/>
              <w:t>կլիմայի փոփոխության ներկայիս պայմաններում բարելավել համայնքի հաստատությունների և այլ շահագրգիռ կողմերի հարմարվողական ներուժը.</w:t>
            </w:r>
          </w:p>
          <w:p w:rsidR="006B0618" w:rsidRPr="0053423A" w:rsidRDefault="006B0618" w:rsidP="00A67858">
            <w:pPr>
              <w:spacing w:line="276" w:lineRule="auto"/>
              <w:ind w:firstLine="360"/>
              <w:jc w:val="both"/>
              <w:rPr>
                <w:lang w:val="hy-AM"/>
              </w:rPr>
            </w:pPr>
            <w:r w:rsidRPr="0053423A">
              <w:rPr>
                <w:lang w:val="hy-AM"/>
              </w:rPr>
              <w:t>6.</w:t>
            </w:r>
            <w:r w:rsidRPr="0053423A">
              <w:rPr>
                <w:lang w:val="hy-AM"/>
              </w:rPr>
              <w:tab/>
              <w:t>բարձրացնել բնակչության գիտելիքների մակարդակը կլիմայի փոփոխության պայմաններում բնական աղետների կանխարգելման և հարմարվողականության վերաբերյալ: նպատակն է անտառային և անտառային հողերի ընթացիկ վիճակի ուսումնասիրության միջոցով օժանդակել անտառների կայուն կառավարմանը:</w:t>
            </w:r>
          </w:p>
          <w:p w:rsidR="006B0618" w:rsidRPr="0053423A" w:rsidRDefault="006B0618" w:rsidP="00A67858">
            <w:pPr>
              <w:pStyle w:val="ListParagraph"/>
              <w:numPr>
                <w:ilvl w:val="1"/>
                <w:numId w:val="25"/>
              </w:numPr>
              <w:spacing w:line="276" w:lineRule="auto"/>
              <w:jc w:val="both"/>
              <w:rPr>
                <w:b/>
                <w:lang w:val="hy-AM"/>
              </w:rPr>
            </w:pPr>
            <w:r w:rsidRPr="0053423A">
              <w:rPr>
                <w:b/>
                <w:lang w:val="hy-AM"/>
              </w:rPr>
              <w:t>Կարգավորման հարաբերությունների ներկա վիճակը և առկա խնդիրները</w:t>
            </w:r>
          </w:p>
          <w:p w:rsidR="006B0618" w:rsidRPr="0053423A" w:rsidRDefault="006B0618" w:rsidP="00A67858">
            <w:pPr>
              <w:pStyle w:val="ListParagraph"/>
              <w:spacing w:line="276" w:lineRule="auto"/>
              <w:ind w:left="0" w:firstLine="720"/>
              <w:jc w:val="both"/>
              <w:rPr>
                <w:lang w:val="hy-AM"/>
              </w:rPr>
            </w:pPr>
            <w:r w:rsidRPr="0053423A">
              <w:rPr>
                <w:lang w:val="hy-AM"/>
              </w:rPr>
              <w:t xml:space="preserve">Ինչպես խորհրդային, այնպես էլ հետխորհրդային տարիներին Արթիկում արդյունահանվել է հանրապետությունում արտադրվող շինաքարի ամբողջ ծավալի ավելի քան 60 % -ը, որից միայն 35-40 %-ն է օգտագործվել որպես ստանդարտին համապատասխանող շինանյութ, իսկ մյուս մեծ մասը հիմնականում նետվել է շրջակա միջավայր որպես թափոն։ Քանի որ թափոնների կուտակման համար հատուկ վայրեր չեն առանձնացվել, դրանք անկանոն կերպով լցվել են հանքերին հարակից տարածքներում: Խորհրդային տարիներին օգտագործվել են Արթիկ քաղաքի և հարակից համայնքների բնական լանդշաֆտները, իսկ հետխորհրդային տարիներին՝ նաև գյուղատնտեսական նշանակության այն հողերը, որոնք սեփականաշնորհվել և հետագայում լքվել են սեփականատերերի կողմից: Հիմնականում աղտոտվել են լեռնատափաստանային սևահողերը, ձորակները և թեք լանջերը, որտեղ տարածված են  տարախոտա-հացազգի խոտաբույսերը և թփուտները: Որպես ուղղակի ազդեցություն՝ այս և հարակից տարածքներում էականորեն աղքատացել է  բուսական և կենդանական աշխարհը, վատացել է հողերի ֆիզիկա-քիմիական կազմը և ջրակուտակիչ հատկությունը: Այս պայմաններում արագանում է ձնհալի և անձրևաջրերի մակերեսային հոսքը, վատանում է հողի ջուր կլանելու  և խոնավությունը պահելու հատկությունը, որի արդյունքում արագանում է բուսական և կենդանական աշխարհների տեսակային և քանակական կազմի կորուստը: Այսպիսի փոփոխությունները արագացնում են բնական լանդշաֆտների դեգրադացման պրոցեսները:  </w:t>
            </w:r>
          </w:p>
          <w:p w:rsidR="006B0618" w:rsidRPr="0053423A" w:rsidRDefault="006B0618" w:rsidP="00A67858">
            <w:pPr>
              <w:pStyle w:val="ListParagraph"/>
              <w:spacing w:line="276" w:lineRule="auto"/>
              <w:ind w:left="0" w:firstLine="720"/>
              <w:jc w:val="both"/>
              <w:rPr>
                <w:lang w:val="hy-AM"/>
              </w:rPr>
            </w:pPr>
            <w:r w:rsidRPr="0053423A">
              <w:rPr>
                <w:lang w:val="hy-AM"/>
              </w:rPr>
              <w:t xml:space="preserve">Որպես քարհանքների երկրորդային ազդեցություն առկա է քամու, ձնհալի և անձրևաջրերի միջոցով քարի փոշու, լուծվող նյութերի և համեմատաբար մանր ֆրակցիաների տարածումը հարակից բնական և գյուղատնտեսական լանդշաֆտներ: Տարիների ընթացքում դրանց աստիճանական կուտակումը բացասական ազդեցություն է թողել բնական լանդշաֆտների կայունության և գյուղատնտեսական լանդշաֆտների բերքատվության վրա:  </w:t>
            </w:r>
          </w:p>
          <w:p w:rsidR="006B0618" w:rsidRPr="0053423A" w:rsidRDefault="006B0618" w:rsidP="00A67858">
            <w:pPr>
              <w:pStyle w:val="ListParagraph"/>
              <w:spacing w:line="276" w:lineRule="auto"/>
              <w:ind w:left="0" w:firstLine="720"/>
              <w:jc w:val="both"/>
              <w:rPr>
                <w:lang w:val="hy-AM"/>
              </w:rPr>
            </w:pPr>
            <w:r w:rsidRPr="0053423A">
              <w:rPr>
                <w:lang w:val="hy-AM"/>
              </w:rPr>
              <w:t>Նշված ազդեցությունների հանրագումարը մեծ չափով թուլացնում է լանդշաֆտների ինքնավերականգնման հատկությունը և հարմարվողականության մակարդակը կլիմայի կանխատեսվող փոփոխությունների նկատմաբ:</w:t>
            </w:r>
          </w:p>
          <w:p w:rsidR="006B0618" w:rsidRPr="0053423A" w:rsidRDefault="006B0618" w:rsidP="00A67858">
            <w:pPr>
              <w:pStyle w:val="ListParagraph"/>
              <w:spacing w:line="276" w:lineRule="auto"/>
              <w:ind w:left="0" w:firstLine="720"/>
              <w:jc w:val="both"/>
              <w:rPr>
                <w:lang w:val="hy-AM"/>
              </w:rPr>
            </w:pPr>
            <w:r w:rsidRPr="0053423A">
              <w:rPr>
                <w:lang w:val="hy-AM"/>
              </w:rPr>
              <w:t xml:space="preserve">Կարելի է ընդհանրացնել, որ չռեկուլտիվացված քարհանքերի և թափոնների բացասական ազդեցությունը կարելի է նմանեցնել մի շղթայի, որի օղակներն են բնական, գյուղատնտեսական և մարդկային գործունեության արդյունքում ձևափոխված լանդշաֆտները, ջրային էկոհամակարգերը, հարակից համայնքները և ենթակառուցվածքները:   </w:t>
            </w:r>
          </w:p>
          <w:p w:rsidR="006B0618" w:rsidRPr="0053423A" w:rsidRDefault="006B0618" w:rsidP="00A67858">
            <w:pPr>
              <w:pStyle w:val="ListParagraph"/>
              <w:spacing w:line="276" w:lineRule="auto"/>
              <w:ind w:left="0" w:firstLine="720"/>
              <w:jc w:val="both"/>
              <w:rPr>
                <w:lang w:val="hy-AM"/>
              </w:rPr>
            </w:pPr>
            <w:r w:rsidRPr="0053423A">
              <w:rPr>
                <w:lang w:val="hy-AM"/>
              </w:rPr>
              <w:t>Մինչ այժմ Հայաստանի Հանրապետությունում չի իրականացվել փակված քարհանքերի ռեկուլտիվացիա և կլիմայական փոփոխություններին հարմարվողականության տեխնոլոգիաների և մեթոդների ներդրում: Հաշվի առնելով տարածքի կլիման և հողի պայմանները՝ հողի շերտի վերականգնումը և անտառտնկումը կլիմայի փոփոխության դեմ պայքարի առավել արդյունավետ միջոցն են, որոնք կնպաստեն շրջակա լանդշաֆտների հարմարվողականության բարձրացմանը:</w:t>
            </w:r>
          </w:p>
          <w:p w:rsidR="006B0618" w:rsidRPr="0053423A" w:rsidRDefault="006B0618" w:rsidP="00A67858">
            <w:pPr>
              <w:pStyle w:val="ListParagraph"/>
              <w:spacing w:line="276" w:lineRule="auto"/>
              <w:ind w:left="0" w:firstLine="720"/>
              <w:jc w:val="both"/>
              <w:rPr>
                <w:lang w:val="hy-AM"/>
              </w:rPr>
            </w:pPr>
            <w:r w:rsidRPr="0053423A">
              <w:rPr>
                <w:lang w:val="hy-AM"/>
              </w:rPr>
              <w:t>Աշխատաքները նախատեսվում իրականացնել օրենքով չարգելված այլ միջոցների հաշվին՝ ՄԱԿ-ի Հարմարվողականության հիմնադրամի միջոցներով՝ 698 893.7 հազ. դրամ: 2019թ. համար նախատեսված է 122000.0 հազ.դրամ:</w:t>
            </w:r>
          </w:p>
          <w:p w:rsidR="006B0618" w:rsidRPr="0053423A" w:rsidRDefault="006B0618" w:rsidP="00A67858">
            <w:pPr>
              <w:pStyle w:val="ListParagraph"/>
              <w:spacing w:line="276" w:lineRule="auto"/>
              <w:ind w:left="0" w:firstLine="720"/>
              <w:jc w:val="both"/>
              <w:rPr>
                <w:lang w:val="hy-AM"/>
              </w:rPr>
            </w:pPr>
            <w:r w:rsidRPr="0053423A">
              <w:rPr>
                <w:lang w:val="hy-AM"/>
              </w:rPr>
              <w:t xml:space="preserve"> </w:t>
            </w:r>
          </w:p>
          <w:p w:rsidR="006B0618" w:rsidRPr="0053423A" w:rsidRDefault="006B0618" w:rsidP="00A67858">
            <w:pPr>
              <w:pStyle w:val="ListParagraph"/>
              <w:numPr>
                <w:ilvl w:val="1"/>
                <w:numId w:val="25"/>
              </w:numPr>
              <w:spacing w:line="276" w:lineRule="auto"/>
              <w:jc w:val="both"/>
              <w:rPr>
                <w:b/>
              </w:rPr>
            </w:pPr>
            <w:r w:rsidRPr="0053423A">
              <w:rPr>
                <w:b/>
              </w:rPr>
              <w:t>Առկա խնդիրների առաջարկվող լուծումները</w:t>
            </w:r>
          </w:p>
          <w:p w:rsidR="006B0618" w:rsidRPr="0053423A" w:rsidRDefault="006B0618" w:rsidP="00A67858">
            <w:pPr>
              <w:spacing w:line="276" w:lineRule="auto"/>
              <w:ind w:firstLine="360"/>
              <w:jc w:val="both"/>
            </w:pPr>
            <w:r w:rsidRPr="0053423A">
              <w:t>Կլիմայի գլոբալ փոփոխության պայմաններում բնական և գյուղատնտեսական լանդշաֆտների հարմարվողականության բարձրացում, ջրհեղեղների կանխարգելում, մարդածին ազդեցությունների հետևանքով խախտված բնական լանդշաֆտի վերականգնում, կլիմայի փոփոխության և հարմարվողականության  վերաբերյալ բնակչության գիտելիքների բարձրացում</w:t>
            </w:r>
          </w:p>
          <w:p w:rsidR="006B0618" w:rsidRPr="0053423A" w:rsidRDefault="006B0618" w:rsidP="00A67858">
            <w:pPr>
              <w:pStyle w:val="ListParagraph"/>
              <w:numPr>
                <w:ilvl w:val="0"/>
                <w:numId w:val="25"/>
              </w:numPr>
              <w:spacing w:line="276" w:lineRule="auto"/>
              <w:jc w:val="both"/>
              <w:rPr>
                <w:b/>
                <w:i/>
              </w:rPr>
            </w:pPr>
            <w:r w:rsidRPr="0053423A">
              <w:rPr>
                <w:b/>
                <w:i/>
              </w:rPr>
              <w:t>Միջոցառման իրականացումից ակնկալվող արդյունքները</w:t>
            </w:r>
          </w:p>
          <w:p w:rsidR="006B0618" w:rsidRPr="0053423A" w:rsidRDefault="006B0618" w:rsidP="00A67858">
            <w:pPr>
              <w:spacing w:line="276" w:lineRule="auto"/>
              <w:ind w:firstLine="360"/>
              <w:jc w:val="both"/>
            </w:pPr>
            <w:r w:rsidRPr="0053423A">
              <w:t>Նախատեսվող միջոցառումները կնպաստեն Արթիկ քաղաքում ջրհեղեղների կանխարգելմանը, հանքավայրի ազդեցության գոտում գտնվող ավելի քան 300 հա վարելահողերի, 190 հա արոտների, 15 հա խոտհարքների,   640 հա արհեստական անտառի, 80 հա մակերեսով արհեստական ջրամբարի և բնական լանդշաֆտների պայմանների բարելավմանը, ինքնավերականգնման և կլիմայի փոփոխության պայմաններում կայունության ու հարմարվողականության մակարդակի բարձրացմանը, ինչպես նաև 40,0հա փակ քարհանքի լանդշաֆտի վերափոխմանը անտառայգու և հանգստի գոտու:</w:t>
            </w:r>
          </w:p>
          <w:p w:rsidR="006B0618" w:rsidRPr="0053423A" w:rsidRDefault="006B0618" w:rsidP="00A67858">
            <w:pPr>
              <w:spacing w:line="276" w:lineRule="auto"/>
              <w:ind w:firstLine="360"/>
              <w:jc w:val="both"/>
            </w:pPr>
          </w:p>
          <w:p w:rsidR="006B0618" w:rsidRPr="0053423A" w:rsidRDefault="006B0618" w:rsidP="00A67858">
            <w:pPr>
              <w:spacing w:line="276" w:lineRule="auto"/>
              <w:jc w:val="center"/>
              <w:rPr>
                <w:b/>
                <w:u w:val="single"/>
                <w:lang w:val="hy-AM"/>
              </w:rPr>
            </w:pPr>
            <w:r w:rsidRPr="0053423A">
              <w:rPr>
                <w:b/>
                <w:u w:val="single"/>
                <w:lang w:val="hy-AM"/>
              </w:rPr>
              <w:t xml:space="preserve">4.3 </w:t>
            </w:r>
            <w:r w:rsidRPr="0053423A">
              <w:rPr>
                <w:rFonts w:cs="Arial"/>
                <w:b/>
                <w:u w:val="single"/>
                <w:lang w:val="hy-AM"/>
              </w:rPr>
              <w:t>Կլիմայի</w:t>
            </w:r>
            <w:r w:rsidRPr="0053423A">
              <w:rPr>
                <w:b/>
                <w:u w:val="single"/>
                <w:lang w:val="hy-AM"/>
              </w:rPr>
              <w:t xml:space="preserve"> </w:t>
            </w:r>
            <w:r w:rsidRPr="0053423A">
              <w:rPr>
                <w:rFonts w:cs="Arial"/>
                <w:b/>
                <w:u w:val="single"/>
                <w:lang w:val="hy-AM"/>
              </w:rPr>
              <w:t>փոփոխության</w:t>
            </w:r>
            <w:r w:rsidRPr="0053423A">
              <w:rPr>
                <w:b/>
                <w:u w:val="single"/>
                <w:lang w:val="hy-AM"/>
              </w:rPr>
              <w:t xml:space="preserve"> </w:t>
            </w:r>
            <w:r w:rsidRPr="0053423A">
              <w:rPr>
                <w:rFonts w:cs="Arial"/>
                <w:b/>
                <w:u w:val="single"/>
                <w:lang w:val="hy-AM"/>
              </w:rPr>
              <w:t>հարմարվողականության</w:t>
            </w:r>
            <w:r w:rsidRPr="0053423A">
              <w:rPr>
                <w:b/>
                <w:u w:val="single"/>
                <w:lang w:val="hy-AM"/>
              </w:rPr>
              <w:t xml:space="preserve"> </w:t>
            </w:r>
            <w:r w:rsidRPr="0053423A">
              <w:rPr>
                <w:rFonts w:cs="Arial"/>
                <w:b/>
                <w:u w:val="single"/>
                <w:lang w:val="hy-AM"/>
              </w:rPr>
              <w:t>ազգային</w:t>
            </w:r>
            <w:r w:rsidRPr="0053423A">
              <w:rPr>
                <w:b/>
                <w:u w:val="single"/>
                <w:lang w:val="hy-AM"/>
              </w:rPr>
              <w:t xml:space="preserve"> </w:t>
            </w:r>
            <w:r w:rsidRPr="0053423A">
              <w:rPr>
                <w:rFonts w:cs="Arial"/>
                <w:b/>
                <w:u w:val="single"/>
                <w:lang w:val="hy-AM"/>
              </w:rPr>
              <w:t>գործողությունների</w:t>
            </w:r>
            <w:r w:rsidRPr="0053423A">
              <w:rPr>
                <w:b/>
                <w:u w:val="single"/>
                <w:lang w:val="hy-AM"/>
              </w:rPr>
              <w:t xml:space="preserve"> </w:t>
            </w:r>
            <w:r w:rsidRPr="0053423A">
              <w:rPr>
                <w:rFonts w:cs="Arial"/>
                <w:b/>
                <w:u w:val="single"/>
                <w:lang w:val="hy-AM"/>
              </w:rPr>
              <w:t xml:space="preserve">ծրագրի մշակում և </w:t>
            </w:r>
            <w:r w:rsidRPr="0053423A">
              <w:rPr>
                <w:b/>
                <w:u w:val="single"/>
                <w:lang w:val="hy-AM"/>
              </w:rPr>
              <w:t>նախագիծը վարչապետի աշխատակազմ ներկայացնելը</w:t>
            </w:r>
            <w:r w:rsidRPr="0053423A">
              <w:rPr>
                <w:rFonts w:cs="Arial"/>
                <w:b/>
                <w:u w:val="single"/>
                <w:lang w:val="hy-AM"/>
              </w:rPr>
              <w:t></w:t>
            </w:r>
          </w:p>
          <w:p w:rsidR="006B0618" w:rsidRPr="0053423A" w:rsidRDefault="006B0618" w:rsidP="00A67858">
            <w:pPr>
              <w:spacing w:line="276" w:lineRule="auto"/>
              <w:jc w:val="center"/>
              <w:rPr>
                <w:u w:val="single"/>
              </w:rPr>
            </w:pPr>
          </w:p>
          <w:p w:rsidR="006B0618" w:rsidRPr="0053423A" w:rsidRDefault="006B0618" w:rsidP="00A67858">
            <w:pPr>
              <w:pStyle w:val="ListParagraph"/>
              <w:numPr>
                <w:ilvl w:val="0"/>
                <w:numId w:val="55"/>
              </w:numPr>
              <w:spacing w:line="276" w:lineRule="auto"/>
              <w:ind w:right="149"/>
              <w:jc w:val="both"/>
              <w:rPr>
                <w:rFonts w:cs="Sylfaen"/>
                <w:b/>
                <w:i/>
                <w:lang w:val="hy-AM"/>
              </w:rPr>
            </w:pPr>
            <w:r w:rsidRPr="0053423A">
              <w:rPr>
                <w:rFonts w:cs="Sylfaen"/>
                <w:b/>
                <w:i/>
                <w:lang w:val="hy-AM"/>
              </w:rPr>
              <w:t>Միջոցառման իրականացման անհրաժեշտությունը և նպատակը</w:t>
            </w:r>
          </w:p>
          <w:p w:rsidR="006B0618" w:rsidRPr="0053423A" w:rsidRDefault="00232EB0" w:rsidP="00A67858">
            <w:pPr>
              <w:pStyle w:val="ListParagraph"/>
              <w:spacing w:line="276" w:lineRule="auto"/>
              <w:ind w:left="0" w:firstLine="720"/>
              <w:jc w:val="both"/>
              <w:rPr>
                <w:lang w:val="hy-AM"/>
              </w:rPr>
            </w:pPr>
            <w:r w:rsidRPr="0053423A">
              <w:rPr>
                <w:lang w:val="hy-AM"/>
              </w:rPr>
              <w:t>Միջո</w:t>
            </w:r>
            <w:r w:rsidR="006B0618" w:rsidRPr="0053423A">
              <w:rPr>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Կլիմայի փոփոխության հետևանքով առաջացող խնդիրների մեղմման և կանխարգելման, ինչպես նաև հարմարվողականության գործողությունների իրականացումը՝ համաձայն միջազգային համաձայնագրերով ստանձնած պարտավորությունների  ուղղությունը:</w:t>
            </w:r>
          </w:p>
          <w:p w:rsidR="006B0618" w:rsidRPr="0053423A" w:rsidRDefault="006B0618" w:rsidP="00A67858">
            <w:pPr>
              <w:pStyle w:val="ListParagraph"/>
              <w:spacing w:line="276" w:lineRule="auto"/>
              <w:ind w:left="0" w:firstLine="720"/>
              <w:jc w:val="both"/>
              <w:rPr>
                <w:rFonts w:cs="Sylfaen"/>
                <w:lang w:val="hy-AM"/>
              </w:rPr>
            </w:pPr>
            <w:r w:rsidRPr="0053423A">
              <w:rPr>
                <w:lang w:val="hy-AM"/>
              </w:rPr>
              <w:t>«</w:t>
            </w:r>
            <w:r w:rsidRPr="0053423A">
              <w:rPr>
                <w:rFonts w:cs="Sylfaen"/>
                <w:lang w:val="hy-AM"/>
              </w:rPr>
              <w:t>Կլիմայի փոփոխության հարմարվողականության ազգային գործողություն</w:t>
            </w:r>
            <w:r w:rsidRPr="0053423A">
              <w:rPr>
                <w:rFonts w:cs="Sylfaen"/>
                <w:lang w:val="hy-AM"/>
              </w:rPr>
              <w:softHyphen/>
              <w:t xml:space="preserve">ների ծրագրի» ընդունման անհրաժեշտությունը պայմանվորված է Հայաստանի Հանրապետության կայուն զարգացման նպատակներից,  քանի որ տնտեսության շատ ճյուղեր խոցելի են ներկա և կանխատեսվող կլիմայի փոփոխության հետ կապված ռիսկերից: Այն պայմանավորված է նաև ՀՀ կառավարության 2016թ. դեկտեմբերի 8-ի N49 արձանագրային որոշմամբ հավանության արժանացած «Ազգային մակարդակով նախատեսված գործողությունների/ներդրումների»-ից և բխում է ՄԱԿ-ի «Կլիմայի փոփոխության մասին» շրջանակային կոնվենցիայի Փարիզյան համաձայնագրի դրույթներից։ </w:t>
            </w:r>
          </w:p>
          <w:p w:rsidR="006B0618" w:rsidRPr="0053423A" w:rsidRDefault="006B0618" w:rsidP="00A67858">
            <w:pPr>
              <w:pStyle w:val="ListParagraph"/>
              <w:spacing w:line="276" w:lineRule="auto"/>
              <w:ind w:left="0" w:firstLine="720"/>
              <w:jc w:val="both"/>
              <w:rPr>
                <w:rFonts w:cs="Sylfaen"/>
                <w:lang w:val="hy-AM"/>
              </w:rPr>
            </w:pPr>
            <w:r w:rsidRPr="0053423A">
              <w:rPr>
                <w:rFonts w:cs="Sylfaen"/>
                <w:lang w:val="hy-AM"/>
              </w:rPr>
              <w:t>Հարմարվողականության ազգային ծրագրի նպատակն է վեց գերակա ոլորտներում ներդրումների առաջնահերթության սահմանումը և ծրագրով նախատեսված գերակա գործողությունների իրականացման նպատակով  ֆինանսական ռեսուրսների հասանելիության հնարավորության ապահովումը:</w:t>
            </w:r>
          </w:p>
          <w:p w:rsidR="006B0618" w:rsidRPr="0053423A" w:rsidRDefault="006B0618" w:rsidP="00A67858">
            <w:pPr>
              <w:pStyle w:val="ListParagraph"/>
              <w:spacing w:line="276" w:lineRule="auto"/>
              <w:ind w:left="1440" w:right="149" w:hanging="707"/>
              <w:jc w:val="both"/>
              <w:rPr>
                <w:rFonts w:cs="Sylfaen"/>
                <w:b/>
                <w:lang w:val="hy-AM"/>
              </w:rPr>
            </w:pPr>
            <w:r w:rsidRPr="0053423A">
              <w:rPr>
                <w:rFonts w:cs="Sylfaen"/>
                <w:b/>
                <w:lang w:val="hy-AM"/>
              </w:rPr>
              <w:t>1</w:t>
            </w:r>
            <w:r w:rsidRPr="0053423A">
              <w:rPr>
                <w:rFonts w:ascii="Cambria Math" w:eastAsia="MS Gothic" w:hAnsi="Cambria Math" w:cs="Cambria Math"/>
                <w:b/>
                <w:lang w:val="hy-AM"/>
              </w:rPr>
              <w:t>․</w:t>
            </w:r>
            <w:r w:rsidRPr="0053423A">
              <w:rPr>
                <w:rFonts w:cs="Sylfaen"/>
                <w:b/>
                <w:lang w:val="hy-AM"/>
              </w:rPr>
              <w:t>1 Կարգավորման հարաբերությունների ներկա վիճակը և առկա խնդիրները</w:t>
            </w:r>
          </w:p>
          <w:p w:rsidR="006B0618" w:rsidRPr="0053423A" w:rsidRDefault="006B0618" w:rsidP="00A67858">
            <w:pPr>
              <w:pStyle w:val="ListParagraph"/>
              <w:spacing w:line="276" w:lineRule="auto"/>
              <w:ind w:left="0" w:firstLine="720"/>
              <w:jc w:val="both"/>
              <w:rPr>
                <w:rFonts w:cs="Tahoma"/>
                <w:lang w:val="hy-AM"/>
              </w:rPr>
            </w:pPr>
            <w:r w:rsidRPr="0053423A">
              <w:rPr>
                <w:rFonts w:cs="Sylfaen"/>
                <w:lang w:val="hy-AM"/>
              </w:rPr>
              <w:t>Հարմարվողականության գործողությունները պետք է ընդգրկեն կլիմայի փոփոխությամբ պայմանավորված խոցելի ոլորտները (տնտեսական ճյուղերից` ջրային ռեսուրսները, գյուղատնտեսությունը, էներգետի</w:t>
            </w:r>
            <w:r w:rsidRPr="0053423A">
              <w:rPr>
                <w:rFonts w:cs="Sylfaen"/>
                <w:lang w:val="hy-AM"/>
              </w:rPr>
              <w:softHyphen/>
              <w:t>կան, ենթակառուցվածքները, զբոսաշրջությունը, բնական էկոհամակարգերը՝ ջրային ու ցամաքային, այդ թվում անտառային էկոհամակարգերի կենսաբազմազանությունը և մարդու առողջու</w:t>
            </w:r>
            <w:r w:rsidRPr="0053423A">
              <w:rPr>
                <w:rFonts w:cs="Sylfaen"/>
                <w:lang w:val="hy-AM"/>
              </w:rPr>
              <w:softHyphen/>
              <w:t xml:space="preserve">թյունը): </w:t>
            </w:r>
          </w:p>
          <w:p w:rsidR="006B0618" w:rsidRPr="0053423A" w:rsidRDefault="006B0618" w:rsidP="00A67858">
            <w:pPr>
              <w:autoSpaceDE w:val="0"/>
              <w:autoSpaceDN w:val="0"/>
              <w:adjustRightInd w:val="0"/>
              <w:spacing w:line="276" w:lineRule="auto"/>
              <w:ind w:firstLine="720"/>
              <w:jc w:val="both"/>
              <w:rPr>
                <w:rFonts w:cs="Tahoma"/>
                <w:lang w:val="hy-AM"/>
              </w:rPr>
            </w:pPr>
            <w:r w:rsidRPr="0053423A">
              <w:rPr>
                <w:rFonts w:cs="Tahoma"/>
                <w:lang w:val="hy-AM"/>
              </w:rPr>
              <w:t>Սակայն, հարմարվողականությանն ուղղված միջոցառումների մշակման ու առաջնահերթությունների սահմանման համար</w:t>
            </w:r>
            <w:r w:rsidRPr="0053423A">
              <w:rPr>
                <w:lang w:val="hy-AM"/>
              </w:rPr>
              <w:t xml:space="preserve"> հ</w:t>
            </w:r>
            <w:r w:rsidRPr="0053423A">
              <w:rPr>
                <w:rFonts w:cs="Tahoma"/>
                <w:lang w:val="hy-AM"/>
              </w:rPr>
              <w:t>ստակ ընթացակարգերի բացակայությունը, կլիմայի փոփոխության և հարմարվողականության առումով իրազեկության և կարողությունների պակասը կարող է լրջորեն վտանգել համապարփակ կլիմայի փոփոխության հարմարվողակա</w:t>
            </w:r>
            <w:r w:rsidRPr="0053423A">
              <w:rPr>
                <w:rFonts w:cs="Tahoma"/>
                <w:lang w:val="hy-AM"/>
              </w:rPr>
              <w:softHyphen/>
              <w:t>նության ազգային ծրագրի մշակմանը:</w:t>
            </w:r>
          </w:p>
          <w:p w:rsidR="006B0618" w:rsidRPr="0053423A" w:rsidRDefault="006B0618" w:rsidP="00A67858">
            <w:pPr>
              <w:spacing w:line="276" w:lineRule="auto"/>
              <w:ind w:right="149" w:firstLine="733"/>
              <w:jc w:val="both"/>
              <w:rPr>
                <w:rFonts w:cs="Sylfaen"/>
                <w:b/>
                <w:lang w:val="hy-AM"/>
              </w:rPr>
            </w:pPr>
            <w:r w:rsidRPr="0053423A">
              <w:rPr>
                <w:rFonts w:cs="Sylfaen"/>
                <w:b/>
                <w:lang w:val="hy-AM"/>
              </w:rPr>
              <w:t>1</w:t>
            </w:r>
            <w:r w:rsidRPr="0053423A">
              <w:rPr>
                <w:rFonts w:eastAsia="MS Gothic" w:cs="MS Gothic"/>
                <w:b/>
                <w:lang w:val="hy-AM"/>
              </w:rPr>
              <w:t>.</w:t>
            </w:r>
            <w:r w:rsidRPr="0053423A">
              <w:rPr>
                <w:rFonts w:cs="Sylfaen"/>
                <w:b/>
                <w:lang w:val="hy-AM"/>
              </w:rPr>
              <w:t>2 Առկա խնդիրների առաջարկվող լուծումները</w:t>
            </w:r>
          </w:p>
          <w:p w:rsidR="006B0618" w:rsidRPr="0053423A" w:rsidRDefault="006B0618" w:rsidP="00A67858">
            <w:pPr>
              <w:pStyle w:val="ListParagraph"/>
              <w:spacing w:line="276" w:lineRule="auto"/>
              <w:ind w:left="0" w:right="149" w:firstLine="720"/>
              <w:jc w:val="both"/>
              <w:rPr>
                <w:rFonts w:cs="Sylfaen"/>
                <w:lang w:val="hy-AM"/>
              </w:rPr>
            </w:pPr>
            <w:r w:rsidRPr="0053423A">
              <w:rPr>
                <w:rFonts w:cs="Sylfaen"/>
                <w:lang w:val="hy-AM"/>
              </w:rPr>
              <w:t xml:space="preserve">Ներկայումս աշխատանքներ են իրականացվում Էկոհամակարգային մոտեցմամբ կլիմայի փոփոխության հարմարվողականության ազգային ծրագրի ու պլանի մշակման համար։ </w:t>
            </w:r>
            <w:r w:rsidRPr="0053423A">
              <w:rPr>
                <w:bCs/>
                <w:kern w:val="24"/>
                <w:lang w:val="af-ZA"/>
              </w:rPr>
              <w:t>Մասնավորապես, Կլիմայական կանաչ հիմնադրամին ներկայացվել է «Հարմարվողականության ծրագրի և գործողությունների պլանավորման» անվամբ հայտ: Մոտ 3 մլն ԱՄՆ դոլարի դրամաշնորհային ծրագրի շրջանակներում նախատեսված են նաև կոնկրետ հարմարվողականության ցուցադրական միջոցառումներ:</w:t>
            </w:r>
          </w:p>
          <w:p w:rsidR="006B0618" w:rsidRPr="0053423A" w:rsidRDefault="006B0618" w:rsidP="00A67858">
            <w:pPr>
              <w:spacing w:line="276" w:lineRule="auto"/>
              <w:ind w:firstLine="720"/>
              <w:jc w:val="both"/>
              <w:rPr>
                <w:bCs/>
                <w:kern w:val="24"/>
                <w:lang w:val="af-ZA"/>
              </w:rPr>
            </w:pPr>
            <w:r w:rsidRPr="0053423A">
              <w:rPr>
                <w:lang w:val="hy-AM"/>
              </w:rPr>
              <w:t xml:space="preserve">Այդ դրամաշնորհի շրջանակներում, բացի հարմարվողականության ազգային ծրագրի մշակումից, նաև նախատեսվում է միջազգային փորձի ներգրավում հարմարվողականության կոնկրետ միջոցառումների տեխնիկատնտեսական գնահատումների իրականացման համար: Տեխնիկատնտեսական գնահատումներն անհրաժեշտ են ներդրումային միջոցների ներգրավման համար: </w:t>
            </w:r>
          </w:p>
          <w:p w:rsidR="006B0618" w:rsidRPr="0053423A" w:rsidRDefault="00232EB0" w:rsidP="00A67858">
            <w:pPr>
              <w:spacing w:line="276" w:lineRule="auto"/>
              <w:ind w:right="-1"/>
              <w:rPr>
                <w:rFonts w:eastAsia="Calibri" w:cs="GHEA Grapalat"/>
                <w:i/>
                <w:lang w:val="hy-AM"/>
              </w:rPr>
            </w:pPr>
            <w:r w:rsidRPr="0053423A">
              <w:rPr>
                <w:rFonts w:cs="GHEA Grapalat"/>
                <w:lang w:val="hy-AM"/>
              </w:rPr>
              <w:t xml:space="preserve">          </w:t>
            </w:r>
            <w:r w:rsidR="006B0618" w:rsidRPr="0053423A">
              <w:rPr>
                <w:rFonts w:cs="GHEA Grapalat"/>
                <w:i/>
                <w:lang w:val="hy-AM"/>
              </w:rPr>
              <w:t xml:space="preserve"> </w:t>
            </w:r>
            <w:r w:rsidR="006B0618" w:rsidRPr="0053423A">
              <w:rPr>
                <w:rFonts w:cs="Sylfaen"/>
                <w:b/>
                <w:i/>
                <w:lang w:val="hy-AM"/>
              </w:rPr>
              <w:t>2</w:t>
            </w:r>
            <w:r w:rsidR="006B0618" w:rsidRPr="0053423A">
              <w:rPr>
                <w:rFonts w:cs="Sylfaen"/>
                <w:b/>
                <w:i/>
                <w:lang w:val="af-ZA"/>
              </w:rPr>
              <w:t xml:space="preserve">. </w:t>
            </w:r>
            <w:r w:rsidR="006B0618" w:rsidRPr="0053423A">
              <w:rPr>
                <w:rFonts w:cs="Sylfaen"/>
                <w:b/>
                <w:i/>
                <w:lang w:val="hy-AM"/>
              </w:rPr>
              <w:t>Միջոցառման իրականացումից ա</w:t>
            </w:r>
            <w:r w:rsidR="006B0618" w:rsidRPr="0053423A">
              <w:rPr>
                <w:rFonts w:cs="Sylfaen"/>
                <w:b/>
                <w:i/>
                <w:lang w:val="af-ZA"/>
              </w:rPr>
              <w:t>կնկալվող արդյունքը</w:t>
            </w:r>
          </w:p>
          <w:p w:rsidR="006B0618" w:rsidRPr="0053423A" w:rsidRDefault="006B0618" w:rsidP="00A67858">
            <w:pPr>
              <w:spacing w:line="276" w:lineRule="auto"/>
              <w:ind w:firstLine="720"/>
              <w:jc w:val="both"/>
              <w:rPr>
                <w:rFonts w:cs="Arial"/>
                <w:b/>
                <w:lang w:val="hy-AM"/>
              </w:rPr>
            </w:pPr>
            <w:r w:rsidRPr="0053423A">
              <w:rPr>
                <w:rFonts w:cs="Arial"/>
                <w:lang w:val="hy-AM"/>
              </w:rPr>
              <w:t>Հայաստանի</w:t>
            </w:r>
            <w:r w:rsidRPr="0053423A">
              <w:rPr>
                <w:lang w:val="hy-AM"/>
              </w:rPr>
              <w:t xml:space="preserve"> </w:t>
            </w:r>
            <w:r w:rsidRPr="0053423A">
              <w:rPr>
                <w:rFonts w:cs="Arial"/>
                <w:lang w:val="hy-AM"/>
              </w:rPr>
              <w:t>հարմարվողականության</w:t>
            </w:r>
            <w:r w:rsidRPr="0053423A">
              <w:rPr>
                <w:lang w:val="hy-AM"/>
              </w:rPr>
              <w:t xml:space="preserve"> </w:t>
            </w:r>
            <w:r w:rsidRPr="0053423A">
              <w:rPr>
                <w:rFonts w:cs="Arial"/>
                <w:lang w:val="hy-AM"/>
              </w:rPr>
              <w:t>ազգային</w:t>
            </w:r>
            <w:r w:rsidRPr="0053423A">
              <w:rPr>
                <w:lang w:val="hy-AM"/>
              </w:rPr>
              <w:t xml:space="preserve"> </w:t>
            </w:r>
            <w:r w:rsidRPr="0053423A">
              <w:rPr>
                <w:rFonts w:cs="Arial"/>
                <w:lang w:val="hy-AM"/>
              </w:rPr>
              <w:t>ծրագրի ընդունման դեպքում</w:t>
            </w:r>
            <w:r w:rsidRPr="0053423A">
              <w:rPr>
                <w:lang w:val="hy-AM"/>
              </w:rPr>
              <w:t xml:space="preserve"> </w:t>
            </w:r>
            <w:r w:rsidRPr="0053423A">
              <w:rPr>
                <w:rFonts w:cs="Sylfaen"/>
                <w:lang w:val="hy-AM"/>
              </w:rPr>
              <w:t xml:space="preserve">հնարավորություն կստեղծվի միջազգային փորձագետների և տեղական մասնագետների անմիջական մասնակցությամբ  մանրամասն ուսումնասիրել </w:t>
            </w:r>
            <w:r w:rsidRPr="0053423A">
              <w:rPr>
                <w:rFonts w:cs="Tahoma"/>
                <w:lang w:val="hy-AM"/>
              </w:rPr>
              <w:t xml:space="preserve">հարմարվողականությանն ուղղված միջոցառումները </w:t>
            </w:r>
            <w:r w:rsidRPr="0053423A">
              <w:rPr>
                <w:rFonts w:cs="Tahoma"/>
                <w:lang w:val="af-ZA"/>
              </w:rPr>
              <w:t>(</w:t>
            </w:r>
            <w:r w:rsidRPr="0053423A">
              <w:rPr>
                <w:rFonts w:cs="Tahoma"/>
                <w:lang w:val="hy-AM"/>
              </w:rPr>
              <w:t>ըստ ոլորտների</w:t>
            </w:r>
            <w:r w:rsidRPr="0053423A">
              <w:rPr>
                <w:rFonts w:cs="Tahoma"/>
                <w:lang w:val="af-ZA"/>
              </w:rPr>
              <w:t>)</w:t>
            </w:r>
            <w:r w:rsidRPr="0053423A">
              <w:rPr>
                <w:rFonts w:cs="Tahoma"/>
                <w:lang w:val="hy-AM"/>
              </w:rPr>
              <w:t>, կազմակերպել լայնածավալ քննարկումներ հանրության մասնակցությամբ</w:t>
            </w:r>
            <w:r w:rsidRPr="0053423A">
              <w:rPr>
                <w:rFonts w:cs="Tahoma"/>
                <w:lang w:val="af-ZA"/>
              </w:rPr>
              <w:t xml:space="preserve">: </w:t>
            </w:r>
            <w:r w:rsidRPr="0053423A">
              <w:rPr>
                <w:rFonts w:cs="Tahoma"/>
                <w:lang w:val="hy-AM"/>
              </w:rPr>
              <w:t>Ուսումնասիրությունների</w:t>
            </w:r>
            <w:r w:rsidRPr="0053423A">
              <w:rPr>
                <w:rFonts w:cs="Tahoma"/>
                <w:lang w:val="af-ZA"/>
              </w:rPr>
              <w:t xml:space="preserve"> </w:t>
            </w:r>
            <w:r w:rsidRPr="0053423A">
              <w:rPr>
                <w:rFonts w:cs="Tahoma"/>
                <w:lang w:val="hy-AM"/>
              </w:rPr>
              <w:t>արդյունքում</w:t>
            </w:r>
            <w:r w:rsidRPr="0053423A">
              <w:rPr>
                <w:rFonts w:cs="Tahoma"/>
                <w:lang w:val="af-ZA"/>
              </w:rPr>
              <w:t xml:space="preserve"> </w:t>
            </w:r>
            <w:r w:rsidRPr="0053423A">
              <w:rPr>
                <w:rFonts w:cs="Tahoma"/>
                <w:lang w:val="hy-AM"/>
              </w:rPr>
              <w:t>ստացված</w:t>
            </w:r>
            <w:r w:rsidRPr="0053423A">
              <w:rPr>
                <w:rFonts w:cs="Tahoma"/>
                <w:lang w:val="af-ZA"/>
              </w:rPr>
              <w:t xml:space="preserve"> </w:t>
            </w:r>
            <w:r w:rsidRPr="0053423A">
              <w:rPr>
                <w:rFonts w:cs="Tahoma"/>
                <w:lang w:val="hy-AM"/>
              </w:rPr>
              <w:t>տեղեկատվությունը</w:t>
            </w:r>
            <w:r w:rsidRPr="0053423A">
              <w:rPr>
                <w:rFonts w:cs="Tahoma"/>
                <w:lang w:val="af-ZA"/>
              </w:rPr>
              <w:t xml:space="preserve"> </w:t>
            </w:r>
            <w:r w:rsidRPr="0053423A">
              <w:rPr>
                <w:rFonts w:cs="Tahoma"/>
                <w:lang w:val="hy-AM"/>
              </w:rPr>
              <w:t>և</w:t>
            </w:r>
            <w:r w:rsidRPr="0053423A">
              <w:rPr>
                <w:rFonts w:cs="Tahoma"/>
                <w:lang w:val="af-ZA"/>
              </w:rPr>
              <w:t xml:space="preserve"> </w:t>
            </w:r>
            <w:r w:rsidRPr="0053423A">
              <w:rPr>
                <w:rFonts w:cs="Tahoma"/>
                <w:lang w:val="hy-AM"/>
              </w:rPr>
              <w:t>դրա</w:t>
            </w:r>
            <w:r w:rsidRPr="0053423A">
              <w:rPr>
                <w:rFonts w:cs="Tahoma"/>
                <w:lang w:val="af-ZA"/>
              </w:rPr>
              <w:t xml:space="preserve"> </w:t>
            </w:r>
            <w:r w:rsidRPr="0053423A">
              <w:rPr>
                <w:rFonts w:cs="Tahoma"/>
                <w:lang w:val="hy-AM"/>
              </w:rPr>
              <w:t>վերլուծությունը</w:t>
            </w:r>
            <w:r w:rsidRPr="0053423A">
              <w:rPr>
                <w:rFonts w:cs="Tahoma"/>
                <w:lang w:val="af-ZA"/>
              </w:rPr>
              <w:t xml:space="preserve"> </w:t>
            </w:r>
            <w:r w:rsidRPr="0053423A">
              <w:rPr>
                <w:rFonts w:cs="Tahoma"/>
                <w:lang w:val="hy-AM"/>
              </w:rPr>
              <w:t>կնպաստի</w:t>
            </w:r>
            <w:r w:rsidRPr="0053423A">
              <w:rPr>
                <w:rFonts w:cs="Tahoma"/>
                <w:lang w:val="af-ZA"/>
              </w:rPr>
              <w:t xml:space="preserve"> </w:t>
            </w:r>
            <w:r w:rsidRPr="0053423A">
              <w:rPr>
                <w:rFonts w:cs="Sylfaen"/>
                <w:lang w:val="hy-AM"/>
              </w:rPr>
              <w:t xml:space="preserve"> մշակել</w:t>
            </w:r>
            <w:r w:rsidRPr="0053423A">
              <w:rPr>
                <w:rFonts w:cs="Sylfaen"/>
                <w:lang w:val="af-ZA"/>
              </w:rPr>
              <w:t xml:space="preserve"> </w:t>
            </w:r>
            <w:r w:rsidRPr="0053423A">
              <w:rPr>
                <w:rFonts w:cs="AK Courier"/>
                <w:lang w:val="hy-AM"/>
              </w:rPr>
              <w:t>Կլիմայի</w:t>
            </w:r>
            <w:r w:rsidRPr="0053423A">
              <w:rPr>
                <w:rFonts w:cs="AK Courier"/>
                <w:lang w:val="af-ZA"/>
              </w:rPr>
              <w:t xml:space="preserve"> </w:t>
            </w:r>
            <w:r w:rsidRPr="0053423A">
              <w:rPr>
                <w:rFonts w:cs="AK Courier"/>
                <w:lang w:val="hy-AM"/>
              </w:rPr>
              <w:t>փոփոխության</w:t>
            </w:r>
            <w:r w:rsidRPr="0053423A">
              <w:rPr>
                <w:rFonts w:cs="AK Courier"/>
                <w:lang w:val="af-ZA"/>
              </w:rPr>
              <w:t xml:space="preserve"> </w:t>
            </w:r>
            <w:r w:rsidRPr="0053423A">
              <w:rPr>
                <w:rFonts w:cs="AK Courier"/>
                <w:lang w:val="hy-AM"/>
              </w:rPr>
              <w:t>նկատմամբ</w:t>
            </w:r>
            <w:r w:rsidRPr="0053423A">
              <w:rPr>
                <w:rFonts w:cs="AK Courier"/>
                <w:lang w:val="af-ZA"/>
              </w:rPr>
              <w:t xml:space="preserve"> </w:t>
            </w:r>
            <w:r w:rsidRPr="0053423A">
              <w:rPr>
                <w:rFonts w:cs="AK Courier"/>
                <w:lang w:val="hy-AM"/>
              </w:rPr>
              <w:t>էկոհամակարգային</w:t>
            </w:r>
            <w:r w:rsidRPr="0053423A">
              <w:rPr>
                <w:rFonts w:cs="AK Courier"/>
                <w:lang w:val="af-ZA"/>
              </w:rPr>
              <w:t xml:space="preserve"> </w:t>
            </w:r>
            <w:r w:rsidRPr="0053423A">
              <w:rPr>
                <w:rFonts w:cs="AK Courier"/>
                <w:lang w:val="hy-AM"/>
              </w:rPr>
              <w:t>մոտեցմամբ</w:t>
            </w:r>
            <w:r w:rsidRPr="0053423A">
              <w:rPr>
                <w:rFonts w:cs="AK Courier"/>
                <w:lang w:val="af-ZA"/>
              </w:rPr>
              <w:t xml:space="preserve"> </w:t>
            </w:r>
            <w:r w:rsidRPr="0053423A">
              <w:rPr>
                <w:rFonts w:cs="AK Courier"/>
                <w:lang w:val="hy-AM"/>
              </w:rPr>
              <w:t>հարմարվողականությանը</w:t>
            </w:r>
            <w:r w:rsidRPr="0053423A">
              <w:rPr>
                <w:rFonts w:cs="AK Courier"/>
                <w:lang w:val="af-ZA"/>
              </w:rPr>
              <w:t xml:space="preserve"> </w:t>
            </w:r>
            <w:r w:rsidRPr="0053423A">
              <w:rPr>
                <w:rFonts w:cs="AK Courier"/>
                <w:lang w:val="hy-AM"/>
              </w:rPr>
              <w:t>նպատակաուղղված համապարփակ</w:t>
            </w:r>
            <w:r w:rsidRPr="0053423A">
              <w:rPr>
                <w:rFonts w:cs="AK Courier"/>
                <w:lang w:val="af-ZA"/>
              </w:rPr>
              <w:t xml:space="preserve"> </w:t>
            </w:r>
            <w:r w:rsidRPr="0053423A">
              <w:rPr>
                <w:rFonts w:cs="AK Courier"/>
                <w:lang w:val="hy-AM"/>
              </w:rPr>
              <w:t>Ազգային գործողությունների ծրագրի</w:t>
            </w:r>
            <w:r w:rsidRPr="0053423A">
              <w:rPr>
                <w:rFonts w:cs="AK Courier"/>
                <w:lang w:val="af-ZA"/>
              </w:rPr>
              <w:t xml:space="preserve"> </w:t>
            </w:r>
            <w:r w:rsidRPr="0053423A">
              <w:rPr>
                <w:rFonts w:cs="AK Courier"/>
                <w:lang w:val="hy-AM"/>
              </w:rPr>
              <w:t>մշակմանը:</w:t>
            </w:r>
          </w:p>
          <w:p w:rsidR="006B0618" w:rsidRPr="0053423A" w:rsidRDefault="006B0618" w:rsidP="00A67858">
            <w:pPr>
              <w:spacing w:line="276" w:lineRule="auto"/>
              <w:jc w:val="center"/>
              <w:rPr>
                <w:u w:val="single"/>
                <w:lang w:val="hy-AM"/>
              </w:rPr>
            </w:pPr>
          </w:p>
        </w:tc>
      </w:tr>
      <w:tr w:rsidR="006B0618" w:rsidRPr="00DE2EFA" w:rsidTr="004440EB">
        <w:tc>
          <w:tcPr>
            <w:tcW w:w="480" w:type="dxa"/>
          </w:tcPr>
          <w:p w:rsidR="006B0618" w:rsidRPr="0053423A" w:rsidRDefault="006B0618" w:rsidP="00A67858">
            <w:pPr>
              <w:spacing w:line="276" w:lineRule="auto"/>
              <w:jc w:val="center"/>
              <w:rPr>
                <w:b/>
                <w:bCs/>
                <w:lang w:val="hy-AM"/>
              </w:rPr>
            </w:pPr>
            <w:r w:rsidRPr="0053423A">
              <w:rPr>
                <w:b/>
                <w:bCs/>
                <w:lang w:val="hy-AM"/>
              </w:rPr>
              <w:t>5</w:t>
            </w:r>
          </w:p>
        </w:tc>
        <w:tc>
          <w:tcPr>
            <w:tcW w:w="10879" w:type="dxa"/>
          </w:tcPr>
          <w:p w:rsidR="006B0618" w:rsidRPr="0053423A" w:rsidRDefault="006B0618" w:rsidP="00A67858">
            <w:pPr>
              <w:spacing w:line="276" w:lineRule="auto"/>
              <w:jc w:val="center"/>
              <w:rPr>
                <w:rFonts w:cs="GHEA Grapalat"/>
                <w:b/>
                <w:lang w:val="hy-AM" w:eastAsia="zh-CN"/>
              </w:rPr>
            </w:pPr>
            <w:r w:rsidRPr="0053423A">
              <w:rPr>
                <w:rFonts w:cs="GHEA Grapalat"/>
                <w:b/>
                <w:lang w:val="hy-AM" w:eastAsia="zh-CN"/>
              </w:rPr>
              <w:t>Բնության հատուկ պահպանվող տարածքների հզորացում, հարակից բնակավայրերի  կարողությունների զարգացում</w:t>
            </w:r>
          </w:p>
          <w:p w:rsidR="006B0618" w:rsidRPr="0053423A" w:rsidRDefault="006B0618" w:rsidP="00A67858">
            <w:pPr>
              <w:spacing w:line="276" w:lineRule="auto"/>
              <w:jc w:val="center"/>
              <w:rPr>
                <w:rFonts w:cs="GHEA Grapalat"/>
                <w:b/>
                <w:lang w:val="hy-AM" w:eastAsia="zh-CN"/>
              </w:rPr>
            </w:pPr>
          </w:p>
          <w:p w:rsidR="006B0618" w:rsidRPr="0053423A" w:rsidRDefault="006B0618" w:rsidP="00A67858">
            <w:pPr>
              <w:spacing w:line="276" w:lineRule="auto"/>
              <w:jc w:val="center"/>
              <w:rPr>
                <w:b/>
                <w:u w:val="single"/>
                <w:lang w:val="hy-AM"/>
              </w:rPr>
            </w:pPr>
            <w:r w:rsidRPr="0053423A">
              <w:rPr>
                <w:rFonts w:cs="GHEA Grapalat"/>
                <w:b/>
                <w:u w:val="single"/>
                <w:lang w:val="hy-AM" w:eastAsia="zh-CN"/>
              </w:rPr>
              <w:t xml:space="preserve">5.1 </w:t>
            </w:r>
            <w:r w:rsidRPr="0053423A">
              <w:rPr>
                <w:rFonts w:cs="GHEA Grapalat"/>
                <w:b/>
                <w:bCs/>
                <w:u w:val="single"/>
                <w:lang w:val="hy-AM"/>
              </w:rPr>
              <w:t>Բ</w:t>
            </w:r>
            <w:r w:rsidRPr="0053423A">
              <w:rPr>
                <w:rFonts w:cs="GHEA Grapalat"/>
                <w:b/>
                <w:bCs/>
                <w:u w:val="single"/>
                <w:lang w:val="pt-BR"/>
              </w:rPr>
              <w:t>նության հատուկ պահպանվող</w:t>
            </w:r>
            <w:r w:rsidRPr="0053423A">
              <w:rPr>
                <w:rFonts w:cs="GHEA Grapalat"/>
                <w:b/>
                <w:bCs/>
                <w:u w:val="single"/>
                <w:lang w:val="hy-AM"/>
              </w:rPr>
              <w:t xml:space="preserve"> տարածքների</w:t>
            </w:r>
            <w:r w:rsidRPr="0053423A">
              <w:rPr>
                <w:rFonts w:cs="GHEA Grapalat"/>
                <w:b/>
                <w:bCs/>
                <w:u w:val="single"/>
                <w:lang w:val="pt-BR"/>
              </w:rPr>
              <w:t xml:space="preserve"> քարտեզագրում </w:t>
            </w:r>
            <w:r w:rsidRPr="0053423A">
              <w:rPr>
                <w:rFonts w:cs="GHEA Grapalat"/>
                <w:b/>
                <w:bCs/>
                <w:u w:val="single"/>
                <w:lang w:val="hy-AM"/>
              </w:rPr>
              <w:t>և</w:t>
            </w:r>
            <w:r w:rsidRPr="0053423A">
              <w:rPr>
                <w:rFonts w:cs="GHEA Grapalat"/>
                <w:b/>
                <w:bCs/>
                <w:u w:val="single"/>
                <w:lang w:val="pt-BR"/>
              </w:rPr>
              <w:t xml:space="preserve"> կադաստրային իրավունքի վերագրանց</w:t>
            </w:r>
            <w:r w:rsidRPr="0053423A">
              <w:rPr>
                <w:rFonts w:cs="GHEA Grapalat"/>
                <w:b/>
                <w:bCs/>
                <w:u w:val="single"/>
                <w:lang w:val="hy-AM"/>
              </w:rPr>
              <w:t>ու</w:t>
            </w:r>
            <w:r w:rsidRPr="0053423A">
              <w:rPr>
                <w:rFonts w:cs="GHEA Grapalat"/>
                <w:b/>
                <w:bCs/>
                <w:u w:val="single"/>
                <w:lang w:val="pt-BR"/>
              </w:rPr>
              <w:t xml:space="preserve">մ </w:t>
            </w:r>
            <w:r w:rsidRPr="0053423A">
              <w:rPr>
                <w:b/>
                <w:u w:val="single"/>
                <w:lang w:val="hy-AM"/>
              </w:rPr>
              <w:t xml:space="preserve"> </w:t>
            </w:r>
          </w:p>
          <w:p w:rsidR="006B0618" w:rsidRPr="0053423A" w:rsidRDefault="006B0618" w:rsidP="00A67858">
            <w:pPr>
              <w:spacing w:line="276" w:lineRule="auto"/>
              <w:jc w:val="center"/>
              <w:rPr>
                <w:b/>
                <w:bCs/>
                <w:u w:val="single"/>
                <w:lang w:val="hy-AM"/>
              </w:rPr>
            </w:pPr>
          </w:p>
          <w:p w:rsidR="006B0618" w:rsidRPr="0053423A" w:rsidRDefault="006B0618" w:rsidP="00A67858">
            <w:pPr>
              <w:pStyle w:val="ListParagraph"/>
              <w:numPr>
                <w:ilvl w:val="0"/>
                <w:numId w:val="10"/>
              </w:numPr>
              <w:spacing w:line="276" w:lineRule="auto"/>
              <w:ind w:left="360" w:firstLine="373"/>
              <w:jc w:val="both"/>
              <w:rPr>
                <w:b/>
                <w:i/>
                <w:lang w:val="hy-AM"/>
              </w:rPr>
            </w:pPr>
            <w:r w:rsidRPr="0053423A">
              <w:rPr>
                <w:b/>
                <w:i/>
                <w:lang w:val="hy-AM"/>
              </w:rPr>
              <w:t xml:space="preserve">Միջոցառման իրակացման անհրաժեշտությունը և նպատակը </w:t>
            </w:r>
          </w:p>
          <w:p w:rsidR="006B0618" w:rsidRPr="0053423A" w:rsidRDefault="00232EB0" w:rsidP="00A67858">
            <w:pPr>
              <w:tabs>
                <w:tab w:val="left" w:pos="0"/>
                <w:tab w:val="left" w:pos="1092"/>
                <w:tab w:val="left" w:pos="1134"/>
              </w:tabs>
              <w:spacing w:line="276" w:lineRule="auto"/>
              <w:ind w:firstLine="360"/>
              <w:jc w:val="both"/>
              <w:rPr>
                <w:rFonts w:cs="GHEA Grapalat"/>
                <w:lang w:val="hy-AM"/>
              </w:rPr>
            </w:pPr>
            <w:r w:rsidRPr="0053423A">
              <w:rPr>
                <w:rFonts w:cs="GHEA Grapalat"/>
                <w:lang w:val="hy-AM"/>
              </w:rPr>
              <w:t>Միջո</w:t>
            </w:r>
            <w:r w:rsidR="006B0618" w:rsidRPr="0053423A">
              <w:rPr>
                <w:rFonts w:cs="GHEA Grapalat"/>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Բնության հատուկ պահպանվող տարածքների հզորացում, հարակից բնակավայրերի  կարողությունների զարգացում  ուղղությունը:</w:t>
            </w:r>
          </w:p>
          <w:p w:rsidR="006B0618" w:rsidRPr="0053423A" w:rsidRDefault="006B0618" w:rsidP="00A67858">
            <w:pPr>
              <w:tabs>
                <w:tab w:val="left" w:pos="284"/>
                <w:tab w:val="left" w:pos="567"/>
                <w:tab w:val="left" w:pos="1092"/>
                <w:tab w:val="left" w:pos="1134"/>
              </w:tabs>
              <w:spacing w:line="276" w:lineRule="auto"/>
              <w:jc w:val="both"/>
              <w:rPr>
                <w:spacing w:val="-2"/>
                <w:lang w:val="hy-AM"/>
              </w:rPr>
            </w:pPr>
            <w:r w:rsidRPr="0053423A">
              <w:rPr>
                <w:rFonts w:cs="Sylfaen"/>
                <w:spacing w:val="-2"/>
                <w:lang w:val="hy-AM"/>
              </w:rPr>
              <w:tab/>
              <w:t>Սույն</w:t>
            </w:r>
            <w:r w:rsidRPr="0053423A">
              <w:rPr>
                <w:spacing w:val="-2"/>
                <w:lang w:val="hy-AM"/>
              </w:rPr>
              <w:t xml:space="preserve"> </w:t>
            </w:r>
            <w:r w:rsidRPr="0053423A">
              <w:rPr>
                <w:rFonts w:cs="Sylfaen"/>
                <w:spacing w:val="-2"/>
                <w:lang w:val="hy-AM"/>
              </w:rPr>
              <w:t>միջոցառման</w:t>
            </w:r>
            <w:r w:rsidRPr="0053423A">
              <w:rPr>
                <w:spacing w:val="-2"/>
                <w:lang w:val="hy-AM"/>
              </w:rPr>
              <w:t xml:space="preserve"> </w:t>
            </w:r>
            <w:r w:rsidRPr="0053423A">
              <w:rPr>
                <w:rFonts w:cs="Sylfaen"/>
                <w:spacing w:val="-2"/>
                <w:lang w:val="hy-AM"/>
              </w:rPr>
              <w:t>նպատակն</w:t>
            </w:r>
            <w:r w:rsidRPr="0053423A">
              <w:rPr>
                <w:spacing w:val="-2"/>
                <w:lang w:val="hy-AM"/>
              </w:rPr>
              <w:t xml:space="preserve"> </w:t>
            </w:r>
            <w:r w:rsidRPr="0053423A">
              <w:rPr>
                <w:rFonts w:cs="Sylfaen"/>
                <w:spacing w:val="-2"/>
                <w:lang w:val="hy-AM"/>
              </w:rPr>
              <w:t>է</w:t>
            </w:r>
            <w:r w:rsidRPr="0053423A">
              <w:rPr>
                <w:spacing w:val="-2"/>
                <w:lang w:val="hy-AM"/>
              </w:rPr>
              <w:t xml:space="preserve"> </w:t>
            </w:r>
            <w:r w:rsidRPr="0053423A">
              <w:rPr>
                <w:rFonts w:cs="Sylfaen"/>
                <w:spacing w:val="-2"/>
                <w:lang w:val="hy-AM"/>
              </w:rPr>
              <w:t>բնության</w:t>
            </w:r>
            <w:r w:rsidRPr="0053423A">
              <w:rPr>
                <w:spacing w:val="-2"/>
                <w:lang w:val="hy-AM"/>
              </w:rPr>
              <w:t xml:space="preserve"> </w:t>
            </w:r>
            <w:r w:rsidRPr="0053423A">
              <w:rPr>
                <w:rFonts w:cs="Sylfaen"/>
                <w:spacing w:val="-2"/>
                <w:lang w:val="hy-AM"/>
              </w:rPr>
              <w:t>հատուկ</w:t>
            </w:r>
            <w:r w:rsidRPr="0053423A">
              <w:rPr>
                <w:spacing w:val="-2"/>
                <w:lang w:val="hy-AM"/>
              </w:rPr>
              <w:t xml:space="preserve"> </w:t>
            </w:r>
            <w:r w:rsidRPr="0053423A">
              <w:rPr>
                <w:rFonts w:cs="Sylfaen"/>
                <w:spacing w:val="-2"/>
                <w:lang w:val="hy-AM"/>
              </w:rPr>
              <w:t>պահպանվող</w:t>
            </w:r>
            <w:r w:rsidRPr="0053423A">
              <w:rPr>
                <w:spacing w:val="-2"/>
                <w:lang w:val="hy-AM"/>
              </w:rPr>
              <w:t xml:space="preserve"> </w:t>
            </w:r>
            <w:r w:rsidRPr="0053423A">
              <w:rPr>
                <w:rFonts w:cs="Sylfaen"/>
                <w:spacing w:val="-2"/>
                <w:lang w:val="hy-AM"/>
              </w:rPr>
              <w:t>տարածքների</w:t>
            </w:r>
            <w:r w:rsidRPr="0053423A">
              <w:rPr>
                <w:spacing w:val="-2"/>
                <w:lang w:val="hy-AM"/>
              </w:rPr>
              <w:t xml:space="preserve"> </w:t>
            </w:r>
            <w:r w:rsidRPr="0053423A">
              <w:rPr>
                <w:rFonts w:cs="Sylfaen"/>
                <w:spacing w:val="-2"/>
                <w:lang w:val="hy-AM"/>
              </w:rPr>
              <w:t>քարտեզագրման</w:t>
            </w:r>
            <w:r w:rsidRPr="0053423A">
              <w:rPr>
                <w:spacing w:val="-2"/>
                <w:lang w:val="hy-AM"/>
              </w:rPr>
              <w:t xml:space="preserve">, </w:t>
            </w:r>
            <w:r w:rsidRPr="0053423A">
              <w:rPr>
                <w:rFonts w:cs="Sylfaen"/>
                <w:spacing w:val="-2"/>
                <w:lang w:val="hy-AM"/>
              </w:rPr>
              <w:t>գոտևորման</w:t>
            </w:r>
            <w:r w:rsidRPr="0053423A">
              <w:rPr>
                <w:spacing w:val="-2"/>
                <w:lang w:val="hy-AM"/>
              </w:rPr>
              <w:t xml:space="preserve"> </w:t>
            </w:r>
            <w:r w:rsidRPr="0053423A">
              <w:rPr>
                <w:rFonts w:cs="Sylfaen"/>
                <w:spacing w:val="-2"/>
                <w:lang w:val="hy-AM"/>
              </w:rPr>
              <w:t>սխեմայի</w:t>
            </w:r>
            <w:r w:rsidRPr="0053423A">
              <w:rPr>
                <w:spacing w:val="-2"/>
                <w:lang w:val="hy-AM"/>
              </w:rPr>
              <w:t xml:space="preserve"> </w:t>
            </w:r>
            <w:r w:rsidRPr="0053423A">
              <w:rPr>
                <w:rFonts w:cs="Sylfaen"/>
                <w:spacing w:val="-2"/>
                <w:lang w:val="hy-AM"/>
              </w:rPr>
              <w:t>կազմման</w:t>
            </w:r>
            <w:r w:rsidRPr="0053423A">
              <w:rPr>
                <w:spacing w:val="-2"/>
                <w:lang w:val="hy-AM"/>
              </w:rPr>
              <w:t xml:space="preserve">, </w:t>
            </w:r>
            <w:r w:rsidRPr="0053423A">
              <w:rPr>
                <w:rFonts w:cs="Sylfaen"/>
                <w:spacing w:val="-2"/>
                <w:lang w:val="hy-AM"/>
              </w:rPr>
              <w:t>ու</w:t>
            </w:r>
            <w:r w:rsidRPr="0053423A">
              <w:rPr>
                <w:spacing w:val="-2"/>
                <w:lang w:val="hy-AM"/>
              </w:rPr>
              <w:t xml:space="preserve"> </w:t>
            </w:r>
            <w:r w:rsidRPr="0053423A">
              <w:rPr>
                <w:rFonts w:cs="Sylfaen"/>
                <w:spacing w:val="-2"/>
                <w:lang w:val="hy-AM"/>
              </w:rPr>
              <w:t>դրա</w:t>
            </w:r>
            <w:r w:rsidRPr="0053423A">
              <w:rPr>
                <w:spacing w:val="-2"/>
                <w:lang w:val="hy-AM"/>
              </w:rPr>
              <w:t xml:space="preserve"> </w:t>
            </w:r>
            <w:r w:rsidRPr="0053423A">
              <w:rPr>
                <w:rFonts w:cs="Sylfaen"/>
                <w:spacing w:val="-2"/>
                <w:lang w:val="hy-AM"/>
              </w:rPr>
              <w:t>պահպանման</w:t>
            </w:r>
            <w:r w:rsidRPr="0053423A">
              <w:rPr>
                <w:spacing w:val="-2"/>
                <w:lang w:val="hy-AM"/>
              </w:rPr>
              <w:t xml:space="preserve"> </w:t>
            </w:r>
            <w:r w:rsidRPr="0053423A">
              <w:rPr>
                <w:rFonts w:cs="Sylfaen"/>
                <w:spacing w:val="-2"/>
                <w:lang w:val="hy-AM"/>
              </w:rPr>
              <w:t>գոտու</w:t>
            </w:r>
            <w:r w:rsidRPr="0053423A">
              <w:rPr>
                <w:spacing w:val="-2"/>
                <w:lang w:val="hy-AM"/>
              </w:rPr>
              <w:t xml:space="preserve"> </w:t>
            </w:r>
            <w:r w:rsidRPr="0053423A">
              <w:rPr>
                <w:rFonts w:cs="Sylfaen"/>
                <w:spacing w:val="-2"/>
                <w:lang w:val="hy-AM"/>
              </w:rPr>
              <w:t>սահմանների</w:t>
            </w:r>
            <w:r w:rsidRPr="0053423A">
              <w:rPr>
                <w:spacing w:val="-2"/>
                <w:lang w:val="hy-AM"/>
              </w:rPr>
              <w:t xml:space="preserve"> </w:t>
            </w:r>
            <w:r w:rsidRPr="0053423A">
              <w:rPr>
                <w:rFonts w:cs="Sylfaen"/>
                <w:spacing w:val="-2"/>
                <w:lang w:val="hy-AM"/>
              </w:rPr>
              <w:t>ճշգրտման</w:t>
            </w:r>
            <w:r w:rsidRPr="0053423A">
              <w:rPr>
                <w:spacing w:val="-2"/>
                <w:lang w:val="hy-AM"/>
              </w:rPr>
              <w:t xml:space="preserve">  </w:t>
            </w:r>
            <w:r w:rsidRPr="0053423A">
              <w:rPr>
                <w:rFonts w:cs="Sylfaen"/>
                <w:spacing w:val="-2"/>
                <w:lang w:val="hy-AM"/>
              </w:rPr>
              <w:t>աշխատանքների</w:t>
            </w:r>
            <w:r w:rsidRPr="0053423A">
              <w:rPr>
                <w:spacing w:val="-2"/>
                <w:lang w:val="hy-AM"/>
              </w:rPr>
              <w:t xml:space="preserve"> </w:t>
            </w:r>
            <w:r w:rsidRPr="0053423A">
              <w:rPr>
                <w:rFonts w:cs="Sylfaen"/>
                <w:spacing w:val="-2"/>
                <w:lang w:val="hy-AM"/>
              </w:rPr>
              <w:t>իրականացումը</w:t>
            </w:r>
            <w:r w:rsidRPr="0053423A">
              <w:rPr>
                <w:spacing w:val="-2"/>
                <w:lang w:val="hy-AM"/>
              </w:rPr>
              <w:t>:</w:t>
            </w:r>
          </w:p>
          <w:p w:rsidR="006B0618" w:rsidRPr="0053423A" w:rsidRDefault="006B0618" w:rsidP="00A67858">
            <w:pPr>
              <w:tabs>
                <w:tab w:val="left" w:pos="284"/>
                <w:tab w:val="left" w:pos="567"/>
                <w:tab w:val="left" w:pos="1092"/>
                <w:tab w:val="left" w:pos="1134"/>
              </w:tabs>
              <w:spacing w:line="276" w:lineRule="auto"/>
              <w:jc w:val="both"/>
              <w:rPr>
                <w:spacing w:val="-2"/>
                <w:lang w:val="hy-AM"/>
              </w:rPr>
            </w:pPr>
            <w:r w:rsidRPr="0053423A">
              <w:rPr>
                <w:spacing w:val="-2"/>
                <w:lang w:val="hy-AM"/>
              </w:rPr>
              <w:tab/>
            </w:r>
            <w:r w:rsidRPr="0053423A">
              <w:rPr>
                <w:rFonts w:cs="Sylfaen"/>
                <w:spacing w:val="-2"/>
                <w:lang w:val="hy-AM"/>
              </w:rPr>
              <w:t>Միջոցառման</w:t>
            </w:r>
            <w:r w:rsidRPr="0053423A">
              <w:rPr>
                <w:spacing w:val="-2"/>
                <w:lang w:val="hy-AM"/>
              </w:rPr>
              <w:t xml:space="preserve"> </w:t>
            </w:r>
            <w:r w:rsidRPr="0053423A">
              <w:rPr>
                <w:rFonts w:cs="Sylfaen"/>
                <w:spacing w:val="-2"/>
                <w:lang w:val="hy-AM"/>
              </w:rPr>
              <w:t>իրականացման</w:t>
            </w:r>
            <w:r w:rsidRPr="0053423A">
              <w:rPr>
                <w:spacing w:val="-2"/>
                <w:lang w:val="hy-AM"/>
              </w:rPr>
              <w:t xml:space="preserve"> </w:t>
            </w:r>
            <w:r w:rsidRPr="0053423A">
              <w:rPr>
                <w:rFonts w:cs="Sylfaen"/>
                <w:spacing w:val="-2"/>
                <w:lang w:val="hy-AM"/>
              </w:rPr>
              <w:t>համար</w:t>
            </w:r>
            <w:r w:rsidRPr="0053423A">
              <w:rPr>
                <w:spacing w:val="-2"/>
                <w:lang w:val="hy-AM"/>
              </w:rPr>
              <w:t xml:space="preserve"> </w:t>
            </w:r>
            <w:r w:rsidRPr="0053423A">
              <w:rPr>
                <w:rFonts w:cs="Sylfaen"/>
                <w:spacing w:val="-2"/>
                <w:lang w:val="hy-AM"/>
              </w:rPr>
              <w:t>հիմք</w:t>
            </w:r>
            <w:r w:rsidRPr="0053423A">
              <w:rPr>
                <w:spacing w:val="-2"/>
                <w:lang w:val="hy-AM"/>
              </w:rPr>
              <w:t xml:space="preserve"> </w:t>
            </w:r>
            <w:r w:rsidRPr="0053423A">
              <w:rPr>
                <w:rFonts w:cs="Sylfaen"/>
                <w:spacing w:val="-2"/>
                <w:lang w:val="hy-AM"/>
              </w:rPr>
              <w:t>են</w:t>
            </w:r>
            <w:r w:rsidRPr="0053423A">
              <w:rPr>
                <w:spacing w:val="-2"/>
                <w:lang w:val="hy-AM"/>
              </w:rPr>
              <w:t xml:space="preserve"> </w:t>
            </w:r>
            <w:r w:rsidRPr="0053423A">
              <w:rPr>
                <w:rFonts w:cs="Sylfaen"/>
                <w:spacing w:val="-2"/>
                <w:lang w:val="hy-AM"/>
              </w:rPr>
              <w:t>հանդիսացել</w:t>
            </w:r>
            <w:r w:rsidRPr="0053423A">
              <w:rPr>
                <w:spacing w:val="-2"/>
                <w:lang w:val="hy-AM"/>
              </w:rPr>
              <w:t xml:space="preserve"> </w:t>
            </w:r>
            <w:r w:rsidRPr="0053423A">
              <w:rPr>
                <w:rFonts w:cs="Sylfaen"/>
                <w:spacing w:val="-2"/>
                <w:lang w:val="hy-AM"/>
              </w:rPr>
              <w:t>Բնության</w:t>
            </w:r>
            <w:r w:rsidRPr="0053423A">
              <w:rPr>
                <w:spacing w:val="-2"/>
                <w:lang w:val="hy-AM"/>
              </w:rPr>
              <w:t xml:space="preserve"> </w:t>
            </w:r>
            <w:r w:rsidRPr="0053423A">
              <w:rPr>
                <w:rFonts w:cs="Sylfaen"/>
                <w:spacing w:val="-2"/>
                <w:lang w:val="hy-AM"/>
              </w:rPr>
              <w:t>հատուկ</w:t>
            </w:r>
            <w:r w:rsidRPr="0053423A">
              <w:rPr>
                <w:spacing w:val="-2"/>
                <w:lang w:val="hy-AM"/>
              </w:rPr>
              <w:t xml:space="preserve"> </w:t>
            </w:r>
            <w:r w:rsidRPr="0053423A">
              <w:rPr>
                <w:rFonts w:cs="Sylfaen"/>
                <w:spacing w:val="-2"/>
                <w:lang w:val="hy-AM"/>
              </w:rPr>
              <w:t>պահպանվող</w:t>
            </w:r>
            <w:r w:rsidRPr="0053423A">
              <w:rPr>
                <w:spacing w:val="-2"/>
                <w:lang w:val="hy-AM"/>
              </w:rPr>
              <w:t xml:space="preserve"> </w:t>
            </w:r>
            <w:r w:rsidRPr="0053423A">
              <w:rPr>
                <w:rFonts w:cs="Sylfaen"/>
                <w:spacing w:val="-2"/>
                <w:lang w:val="hy-AM"/>
              </w:rPr>
              <w:t>տարածքների</w:t>
            </w:r>
            <w:r w:rsidRPr="0053423A">
              <w:rPr>
                <w:spacing w:val="-2"/>
                <w:lang w:val="hy-AM"/>
              </w:rPr>
              <w:t xml:space="preserve"> </w:t>
            </w:r>
            <w:r w:rsidRPr="0053423A">
              <w:rPr>
                <w:rFonts w:cs="Sylfaen"/>
                <w:spacing w:val="-2"/>
                <w:lang w:val="hy-AM"/>
              </w:rPr>
              <w:t>մասին</w:t>
            </w:r>
            <w:r w:rsidRPr="0053423A">
              <w:rPr>
                <w:spacing w:val="-2"/>
                <w:lang w:val="hy-AM"/>
              </w:rPr>
              <w:t xml:space="preserve"> </w:t>
            </w:r>
            <w:r w:rsidRPr="0053423A">
              <w:rPr>
                <w:rFonts w:cs="Sylfaen"/>
                <w:spacing w:val="-2"/>
                <w:lang w:val="hy-AM"/>
              </w:rPr>
              <w:t>ՀՀ</w:t>
            </w:r>
            <w:r w:rsidRPr="0053423A">
              <w:rPr>
                <w:spacing w:val="-2"/>
                <w:lang w:val="hy-AM"/>
              </w:rPr>
              <w:t xml:space="preserve"> </w:t>
            </w:r>
            <w:r w:rsidRPr="0053423A">
              <w:rPr>
                <w:rFonts w:cs="Sylfaen"/>
                <w:spacing w:val="-2"/>
                <w:lang w:val="hy-AM"/>
              </w:rPr>
              <w:t>օրենքի</w:t>
            </w:r>
            <w:r w:rsidRPr="0053423A">
              <w:rPr>
                <w:spacing w:val="-2"/>
                <w:lang w:val="hy-AM"/>
              </w:rPr>
              <w:t xml:space="preserve"> 5-</w:t>
            </w:r>
            <w:r w:rsidRPr="0053423A">
              <w:rPr>
                <w:rFonts w:cs="Sylfaen"/>
                <w:spacing w:val="-2"/>
                <w:lang w:val="hy-AM"/>
              </w:rPr>
              <w:t>րդ</w:t>
            </w:r>
            <w:r w:rsidRPr="0053423A">
              <w:rPr>
                <w:spacing w:val="-2"/>
                <w:lang w:val="hy-AM"/>
              </w:rPr>
              <w:t xml:space="preserve"> </w:t>
            </w:r>
            <w:r w:rsidRPr="0053423A">
              <w:rPr>
                <w:rFonts w:cs="Sylfaen"/>
                <w:spacing w:val="-2"/>
                <w:lang w:val="hy-AM"/>
              </w:rPr>
              <w:t>հոդվածի</w:t>
            </w:r>
            <w:r w:rsidRPr="0053423A">
              <w:rPr>
                <w:spacing w:val="-2"/>
                <w:lang w:val="hy-AM"/>
              </w:rPr>
              <w:t xml:space="preserve"> 5-</w:t>
            </w:r>
            <w:r w:rsidRPr="0053423A">
              <w:rPr>
                <w:rFonts w:cs="Sylfaen"/>
                <w:spacing w:val="-2"/>
                <w:lang w:val="hy-AM"/>
              </w:rPr>
              <w:t>րդ</w:t>
            </w:r>
            <w:r w:rsidRPr="0053423A">
              <w:rPr>
                <w:spacing w:val="-2"/>
                <w:lang w:val="hy-AM"/>
              </w:rPr>
              <w:t xml:space="preserve"> </w:t>
            </w:r>
            <w:r w:rsidRPr="0053423A">
              <w:rPr>
                <w:rFonts w:cs="Sylfaen"/>
                <w:spacing w:val="-2"/>
                <w:lang w:val="hy-AM"/>
              </w:rPr>
              <w:t>մասի</w:t>
            </w:r>
            <w:r w:rsidRPr="0053423A">
              <w:rPr>
                <w:spacing w:val="-2"/>
                <w:lang w:val="hy-AM"/>
              </w:rPr>
              <w:t xml:space="preserve"> </w:t>
            </w:r>
            <w:r w:rsidRPr="0053423A">
              <w:rPr>
                <w:rFonts w:cs="Sylfaen"/>
                <w:spacing w:val="-2"/>
                <w:lang w:val="hy-AM"/>
              </w:rPr>
              <w:t>պահանջները</w:t>
            </w:r>
            <w:r w:rsidRPr="0053423A">
              <w:rPr>
                <w:spacing w:val="-2"/>
                <w:lang w:val="hy-AM"/>
              </w:rPr>
              <w:t>:</w:t>
            </w:r>
          </w:p>
          <w:p w:rsidR="006B0618" w:rsidRPr="0053423A" w:rsidRDefault="006B0618" w:rsidP="00A67858">
            <w:pPr>
              <w:spacing w:line="276" w:lineRule="auto"/>
              <w:ind w:firstLine="733"/>
              <w:jc w:val="both"/>
              <w:rPr>
                <w:rFonts w:cs="Calibri"/>
                <w:lang w:val="hy-AM"/>
              </w:rPr>
            </w:pPr>
            <w:r w:rsidRPr="0053423A">
              <w:rPr>
                <w:rFonts w:cs="Sylfaen"/>
                <w:b/>
                <w:lang w:val="hy-AM"/>
              </w:rPr>
              <w:t>1.1 կարգավորման</w:t>
            </w:r>
            <w:r w:rsidRPr="0053423A">
              <w:rPr>
                <w:b/>
                <w:lang w:val="hy-AM"/>
              </w:rPr>
              <w:t xml:space="preserve"> </w:t>
            </w:r>
            <w:r w:rsidRPr="0053423A">
              <w:rPr>
                <w:rFonts w:cs="Sylfaen"/>
                <w:b/>
                <w:lang w:val="hy-AM"/>
              </w:rPr>
              <w:t>հարաբերությունների</w:t>
            </w:r>
            <w:r w:rsidRPr="0053423A">
              <w:rPr>
                <w:b/>
                <w:lang w:val="hy-AM"/>
              </w:rPr>
              <w:t xml:space="preserve"> </w:t>
            </w:r>
            <w:r w:rsidRPr="0053423A">
              <w:rPr>
                <w:rFonts w:cs="Sylfaen"/>
                <w:b/>
                <w:lang w:val="hy-AM"/>
              </w:rPr>
              <w:t>ներկա</w:t>
            </w:r>
            <w:r w:rsidRPr="0053423A">
              <w:rPr>
                <w:b/>
                <w:lang w:val="hy-AM"/>
              </w:rPr>
              <w:t xml:space="preserve"> </w:t>
            </w:r>
            <w:r w:rsidRPr="0053423A">
              <w:rPr>
                <w:rFonts w:cs="Sylfaen"/>
                <w:b/>
                <w:lang w:val="hy-AM"/>
              </w:rPr>
              <w:t>վիճակը</w:t>
            </w:r>
            <w:r w:rsidRPr="0053423A">
              <w:rPr>
                <w:b/>
                <w:lang w:val="hy-AM"/>
              </w:rPr>
              <w:t xml:space="preserve"> </w:t>
            </w:r>
            <w:r w:rsidRPr="0053423A">
              <w:rPr>
                <w:rFonts w:cs="Sylfaen"/>
                <w:b/>
                <w:lang w:val="hy-AM"/>
              </w:rPr>
              <w:t>և</w:t>
            </w:r>
            <w:r w:rsidRPr="0053423A">
              <w:rPr>
                <w:b/>
                <w:lang w:val="hy-AM"/>
              </w:rPr>
              <w:t xml:space="preserve"> </w:t>
            </w:r>
            <w:r w:rsidRPr="0053423A">
              <w:rPr>
                <w:rFonts w:cs="Sylfaen"/>
                <w:b/>
                <w:lang w:val="hy-AM"/>
              </w:rPr>
              <w:t>առկա</w:t>
            </w:r>
            <w:r w:rsidRPr="0053423A">
              <w:rPr>
                <w:b/>
                <w:lang w:val="hy-AM"/>
              </w:rPr>
              <w:t xml:space="preserve"> </w:t>
            </w:r>
            <w:r w:rsidRPr="0053423A">
              <w:rPr>
                <w:rFonts w:cs="Sylfaen"/>
                <w:b/>
                <w:lang w:val="hy-AM"/>
              </w:rPr>
              <w:t>խնդիրները</w:t>
            </w:r>
            <w:r w:rsidRPr="0053423A">
              <w:rPr>
                <w:b/>
                <w:lang w:val="hy-AM"/>
              </w:rPr>
              <w:t xml:space="preserve"> </w:t>
            </w:r>
          </w:p>
          <w:p w:rsidR="006B0618" w:rsidRPr="0053423A" w:rsidRDefault="006B0618" w:rsidP="00A67858">
            <w:pPr>
              <w:tabs>
                <w:tab w:val="left" w:pos="900"/>
              </w:tabs>
              <w:spacing w:line="276" w:lineRule="auto"/>
              <w:jc w:val="both"/>
              <w:rPr>
                <w:rFonts w:cs="Calibri"/>
                <w:spacing w:val="-2"/>
                <w:lang w:val="hy-AM"/>
              </w:rPr>
            </w:pPr>
            <w:r w:rsidRPr="0053423A">
              <w:rPr>
                <w:spacing w:val="-2"/>
                <w:lang w:val="hy-AM"/>
              </w:rPr>
              <w:tab/>
              <w:t>Բ</w:t>
            </w:r>
            <w:r w:rsidRPr="0053423A">
              <w:rPr>
                <w:rFonts w:cs="GHEA Grapalat"/>
                <w:bCs/>
                <w:lang w:val="pt-BR"/>
              </w:rPr>
              <w:t>նության հատուկ պահպանվող տարածքների</w:t>
            </w:r>
            <w:r w:rsidRPr="0053423A">
              <w:rPr>
                <w:rFonts w:cs="Calibri"/>
                <w:lang w:val="hy-AM"/>
              </w:rPr>
              <w:t xml:space="preserve"> գործառույթներն առաջիկայում պետք է ուղղորդվեն պարկի եզակի անտառների, լանդշաֆտների և կենսաբազմազանության, ինչպես նաև բնական և մշակութային հուշարձանների պահպանության արդյունավետության բարձրացմանը՝ ի շահ բնության և բնակչության: </w:t>
            </w:r>
          </w:p>
          <w:p w:rsidR="006B0618" w:rsidRPr="0053423A" w:rsidRDefault="006B0618" w:rsidP="00A67858">
            <w:pPr>
              <w:spacing w:line="276" w:lineRule="auto"/>
              <w:ind w:left="90" w:firstLine="630"/>
              <w:jc w:val="both"/>
              <w:rPr>
                <w:rFonts w:cs="Arial"/>
                <w:lang w:val="hy-AM"/>
              </w:rPr>
            </w:pPr>
            <w:r w:rsidRPr="0053423A">
              <w:rPr>
                <w:rFonts w:cs="Arial"/>
                <w:lang w:val="hy-AM"/>
              </w:rPr>
              <w:t>Խնդիրների լուծման համար ֆինանսական միջոցներ հայթայթելու աշխատանքների իրականացման նպատակով բանակցություններ են տարվում մի շարք միջազգային կառույցների /KFW, UNFCCC AF, CNF, WWF, TGS և այլն/ հետ:</w:t>
            </w:r>
          </w:p>
          <w:p w:rsidR="006B0618" w:rsidRPr="0053423A" w:rsidRDefault="0073408B" w:rsidP="00A67858">
            <w:pPr>
              <w:pStyle w:val="ListParagraph"/>
              <w:numPr>
                <w:ilvl w:val="1"/>
                <w:numId w:val="32"/>
              </w:numPr>
              <w:spacing w:line="276" w:lineRule="auto"/>
              <w:jc w:val="both"/>
              <w:rPr>
                <w:lang w:val="hy-AM"/>
              </w:rPr>
            </w:pPr>
            <w:r w:rsidRPr="0053423A">
              <w:rPr>
                <w:b/>
                <w:lang w:val="hy-AM"/>
              </w:rPr>
              <w:t>Ա</w:t>
            </w:r>
            <w:r w:rsidR="006B0618" w:rsidRPr="0053423A">
              <w:rPr>
                <w:b/>
                <w:lang w:val="hy-AM"/>
              </w:rPr>
              <w:t xml:space="preserve">ռկա խնդիրների առաջարկվող լուծումները </w:t>
            </w:r>
          </w:p>
          <w:p w:rsidR="006B0618" w:rsidRPr="0053423A" w:rsidRDefault="0073408B" w:rsidP="00A67858">
            <w:pPr>
              <w:tabs>
                <w:tab w:val="left" w:pos="540"/>
              </w:tabs>
              <w:spacing w:line="276" w:lineRule="auto"/>
              <w:jc w:val="both"/>
              <w:rPr>
                <w:lang w:val="hy-AM"/>
              </w:rPr>
            </w:pPr>
            <w:r w:rsidRPr="0053423A">
              <w:rPr>
                <w:lang w:val="hy-AM"/>
              </w:rPr>
              <w:t xml:space="preserve">            </w:t>
            </w:r>
            <w:r w:rsidR="006B0618" w:rsidRPr="0053423A">
              <w:rPr>
                <w:lang w:val="hy-AM"/>
              </w:rPr>
              <w:t>Աշխատանքները նախատեսվում է իրականացնել մրցութային կարգով` շահող կազմակերպության կողմից, որը պետք է իրականացնի հետևյալ աշխատանքները.</w:t>
            </w:r>
          </w:p>
          <w:p w:rsidR="006B0618" w:rsidRPr="0053423A" w:rsidRDefault="006B0618" w:rsidP="00A67858">
            <w:pPr>
              <w:pStyle w:val="ListParagraph"/>
              <w:tabs>
                <w:tab w:val="left" w:pos="540"/>
              </w:tabs>
              <w:spacing w:line="276" w:lineRule="auto"/>
              <w:jc w:val="both"/>
              <w:rPr>
                <w:lang w:val="hy-AM"/>
              </w:rPr>
            </w:pPr>
          </w:p>
          <w:p w:rsidR="006B0618" w:rsidRPr="0053423A" w:rsidRDefault="006B0618" w:rsidP="00A67858">
            <w:pPr>
              <w:pStyle w:val="ListParagraph"/>
              <w:tabs>
                <w:tab w:val="left" w:pos="540"/>
              </w:tabs>
              <w:spacing w:line="276" w:lineRule="auto"/>
              <w:jc w:val="both"/>
              <w:rPr>
                <w:lang w:val="hy-AM"/>
              </w:rPr>
            </w:pPr>
            <w:r w:rsidRPr="0053423A">
              <w:rPr>
                <w:lang w:val="hy-AM"/>
              </w:rPr>
              <w:t>ա/ ելակետային տվյալների հավաքագրում.</w:t>
            </w:r>
          </w:p>
          <w:p w:rsidR="006B0618" w:rsidRPr="0053423A" w:rsidRDefault="006B0618" w:rsidP="00A67858">
            <w:pPr>
              <w:pStyle w:val="ListParagraph"/>
              <w:tabs>
                <w:tab w:val="left" w:pos="540"/>
              </w:tabs>
              <w:spacing w:line="276" w:lineRule="auto"/>
              <w:jc w:val="both"/>
              <w:rPr>
                <w:lang w:val="hy-AM"/>
              </w:rPr>
            </w:pPr>
            <w:r w:rsidRPr="0053423A">
              <w:rPr>
                <w:lang w:val="hy-AM"/>
              </w:rPr>
              <w:t>•</w:t>
            </w:r>
            <w:r w:rsidRPr="0053423A">
              <w:rPr>
                <w:lang w:val="hy-AM"/>
              </w:rPr>
              <w:tab/>
              <w:t xml:space="preserve"> Բնության հատուկ պահպանվող տարածքների դրա պահպանման գոտում  ներկա սահմանների վերաբերյալ նախորդ անտառաշինական (տաքսացիոն-անտառագնահատում և պլան-քարտեզագրական) և արխիվային նյութերի ուսումնասիրություն, արդյունքների վերլուծություն:</w:t>
            </w:r>
          </w:p>
          <w:p w:rsidR="006B0618" w:rsidRPr="0053423A" w:rsidRDefault="006B0618" w:rsidP="00A67858">
            <w:pPr>
              <w:pStyle w:val="ListParagraph"/>
              <w:tabs>
                <w:tab w:val="left" w:pos="540"/>
              </w:tabs>
              <w:spacing w:line="276" w:lineRule="auto"/>
              <w:jc w:val="both"/>
              <w:rPr>
                <w:lang w:val="hy-AM"/>
              </w:rPr>
            </w:pPr>
            <w:r w:rsidRPr="0053423A">
              <w:rPr>
                <w:lang w:val="hy-AM"/>
              </w:rPr>
              <w:t>•</w:t>
            </w:r>
            <w:r w:rsidRPr="0053423A">
              <w:rPr>
                <w:lang w:val="hy-AM"/>
              </w:rPr>
              <w:tab/>
              <w:t>Բնության հատուկ պահպանվող տարածքների դրա պահպանման գոտում տնտեսավարող սուբյեկտների ֆիզիկական գույքագրում և քարտեզագրում:</w:t>
            </w:r>
          </w:p>
          <w:p w:rsidR="006B0618" w:rsidRPr="0053423A" w:rsidRDefault="006B0618" w:rsidP="00A67858">
            <w:pPr>
              <w:pStyle w:val="ListParagraph"/>
              <w:tabs>
                <w:tab w:val="left" w:pos="540"/>
              </w:tabs>
              <w:spacing w:line="276" w:lineRule="auto"/>
              <w:jc w:val="both"/>
              <w:rPr>
                <w:lang w:val="hy-AM"/>
              </w:rPr>
            </w:pPr>
            <w:r w:rsidRPr="0053423A">
              <w:rPr>
                <w:lang w:val="hy-AM"/>
              </w:rPr>
              <w:t>•</w:t>
            </w:r>
            <w:r w:rsidRPr="0053423A">
              <w:rPr>
                <w:lang w:val="hy-AM"/>
              </w:rPr>
              <w:tab/>
              <w:t>Նախատեսվող տարածքների վարչատնտեսական միավորների և հարակից համայնքային հողերի սահմանների վերաբերյալ տեղեկատվության հավաքագրում:</w:t>
            </w:r>
          </w:p>
          <w:p w:rsidR="006B0618" w:rsidRPr="0053423A" w:rsidRDefault="006B0618" w:rsidP="00A67858">
            <w:pPr>
              <w:pStyle w:val="ListParagraph"/>
              <w:tabs>
                <w:tab w:val="left" w:pos="540"/>
              </w:tabs>
              <w:spacing w:line="276" w:lineRule="auto"/>
              <w:jc w:val="both"/>
              <w:rPr>
                <w:lang w:val="hy-AM"/>
              </w:rPr>
            </w:pPr>
            <w:r w:rsidRPr="0053423A">
              <w:rPr>
                <w:lang w:val="hy-AM"/>
              </w:rPr>
              <w:t>•</w:t>
            </w:r>
            <w:r w:rsidRPr="0053423A">
              <w:rPr>
                <w:lang w:val="hy-AM"/>
              </w:rPr>
              <w:tab/>
              <w:t>Նախորդ հողաշինարարության ու անտառաշինության և դրան հաջորդած ժամանակահատվածում անտառային ֆոնդի, գեոդեզիա-քարտեզագրական աշխատանքների, գույքագրման և փոփոխությունների վերաբերյալ անհրաժեշտ տվյալների ձեռք բերում:</w:t>
            </w:r>
          </w:p>
          <w:p w:rsidR="006B0618" w:rsidRPr="0053423A" w:rsidRDefault="006B0618" w:rsidP="00A67858">
            <w:pPr>
              <w:pStyle w:val="ListParagraph"/>
              <w:tabs>
                <w:tab w:val="left" w:pos="540"/>
              </w:tabs>
              <w:spacing w:line="276" w:lineRule="auto"/>
              <w:jc w:val="both"/>
              <w:rPr>
                <w:lang w:val="hy-AM"/>
              </w:rPr>
            </w:pPr>
            <w:r w:rsidRPr="0053423A">
              <w:rPr>
                <w:lang w:val="hy-AM"/>
              </w:rPr>
              <w:t>բ/ Բնության հատուկ պահպանվող տարածքների սահմանների և ներքին գործառնական գոտիների   սահմանների ճշգրտում և նկարագրում.</w:t>
            </w:r>
          </w:p>
          <w:p w:rsidR="006B0618" w:rsidRPr="0053423A" w:rsidRDefault="006B0618" w:rsidP="00A67858">
            <w:pPr>
              <w:pStyle w:val="ListParagraph"/>
              <w:tabs>
                <w:tab w:val="left" w:pos="540"/>
              </w:tabs>
              <w:spacing w:line="276" w:lineRule="auto"/>
              <w:jc w:val="both"/>
              <w:rPr>
                <w:lang w:val="hy-AM"/>
              </w:rPr>
            </w:pPr>
            <w:r w:rsidRPr="0053423A">
              <w:rPr>
                <w:lang w:val="hy-AM"/>
              </w:rPr>
              <w:t>•</w:t>
            </w:r>
            <w:r w:rsidRPr="0053423A">
              <w:rPr>
                <w:lang w:val="hy-AM"/>
              </w:rPr>
              <w:tab/>
              <w:t xml:space="preserve">Բնության հատուկ պահպանվող տարածքների դրա պահպանման գոտում հանդիպող հազվագյուտ և արժեքավոր բույսերի և կենդանիների տեսակների արեալների ուսումնասիրում և նկարագրություն /քարտեզագրական նկարագրում/: </w:t>
            </w:r>
          </w:p>
          <w:p w:rsidR="006B0618" w:rsidRPr="0053423A" w:rsidRDefault="006B0618" w:rsidP="00A67858">
            <w:pPr>
              <w:pStyle w:val="ListParagraph"/>
              <w:tabs>
                <w:tab w:val="left" w:pos="540"/>
              </w:tabs>
              <w:spacing w:line="276" w:lineRule="auto"/>
              <w:jc w:val="both"/>
              <w:rPr>
                <w:lang w:val="hy-AM"/>
              </w:rPr>
            </w:pPr>
            <w:r w:rsidRPr="0053423A">
              <w:rPr>
                <w:lang w:val="hy-AM"/>
              </w:rPr>
              <w:t>•</w:t>
            </w:r>
            <w:r w:rsidRPr="0053423A">
              <w:rPr>
                <w:lang w:val="hy-AM"/>
              </w:rPr>
              <w:tab/>
              <w:t>Կադաստրի ստեղծման նպատակով արխիվային նյութերի և քարտեզների ուսումնասիրում, դրանց պատճենների ձեռքբերում:</w:t>
            </w:r>
          </w:p>
          <w:p w:rsidR="006B0618" w:rsidRPr="0053423A" w:rsidRDefault="006B0618" w:rsidP="00A67858">
            <w:pPr>
              <w:pStyle w:val="ListParagraph"/>
              <w:tabs>
                <w:tab w:val="left" w:pos="540"/>
              </w:tabs>
              <w:spacing w:line="276" w:lineRule="auto"/>
              <w:jc w:val="both"/>
              <w:rPr>
                <w:lang w:val="hy-AM"/>
              </w:rPr>
            </w:pPr>
            <w:r w:rsidRPr="0053423A">
              <w:rPr>
                <w:lang w:val="hy-AM"/>
              </w:rPr>
              <w:t>•</w:t>
            </w:r>
            <w:r w:rsidRPr="0053423A">
              <w:rPr>
                <w:lang w:val="hy-AM"/>
              </w:rPr>
              <w:tab/>
              <w:t>ՀՀ ԳԱԱ կենդանաբանության և բուսաբանության ինստիտուտներից  Բնության հատուկ պահպանվող տարածքների բուսական և կենդանական աշխարհի վերաբերյալ տեղեկատվության ձեռքբերում:</w:t>
            </w:r>
          </w:p>
          <w:p w:rsidR="006B0618" w:rsidRPr="0053423A" w:rsidRDefault="006B0618" w:rsidP="00A67858">
            <w:pPr>
              <w:pStyle w:val="ListParagraph"/>
              <w:tabs>
                <w:tab w:val="left" w:pos="540"/>
              </w:tabs>
              <w:spacing w:line="276" w:lineRule="auto"/>
              <w:jc w:val="both"/>
              <w:rPr>
                <w:lang w:val="hy-AM"/>
              </w:rPr>
            </w:pPr>
            <w:r w:rsidRPr="0053423A">
              <w:rPr>
                <w:lang w:val="hy-AM"/>
              </w:rPr>
              <w:t>•</w:t>
            </w:r>
            <w:r w:rsidRPr="0053423A">
              <w:rPr>
                <w:lang w:val="hy-AM"/>
              </w:rPr>
              <w:tab/>
              <w:t>Դաշտային դիտարկումներ և հետազոտություններ բնության հատուկ պահպանվող  տարածքների և դրանց պահպանման գոտու տարածքում:</w:t>
            </w:r>
          </w:p>
          <w:p w:rsidR="006B0618" w:rsidRPr="0053423A" w:rsidRDefault="006B0618" w:rsidP="00A67858">
            <w:pPr>
              <w:pStyle w:val="ListParagraph"/>
              <w:tabs>
                <w:tab w:val="left" w:pos="540"/>
              </w:tabs>
              <w:spacing w:line="276" w:lineRule="auto"/>
              <w:jc w:val="both"/>
              <w:rPr>
                <w:lang w:val="hy-AM"/>
              </w:rPr>
            </w:pPr>
            <w:r w:rsidRPr="0053423A">
              <w:rPr>
                <w:lang w:val="hy-AM"/>
              </w:rPr>
              <w:t>•</w:t>
            </w:r>
            <w:r w:rsidRPr="0053423A">
              <w:rPr>
                <w:lang w:val="hy-AM"/>
              </w:rPr>
              <w:tab/>
              <w:t>Բնության հատուկ պահպանվող տարածքների սահմանների համաձայնեցում հարակից համայնքների հետ:</w:t>
            </w:r>
          </w:p>
          <w:p w:rsidR="006B0618" w:rsidRPr="0053423A" w:rsidRDefault="006B0618" w:rsidP="00A67858">
            <w:pPr>
              <w:pStyle w:val="ListParagraph"/>
              <w:tabs>
                <w:tab w:val="left" w:pos="540"/>
              </w:tabs>
              <w:spacing w:line="276" w:lineRule="auto"/>
              <w:jc w:val="both"/>
              <w:rPr>
                <w:lang w:val="hy-AM"/>
              </w:rPr>
            </w:pPr>
            <w:r w:rsidRPr="0053423A">
              <w:rPr>
                <w:lang w:val="hy-AM"/>
              </w:rPr>
              <w:t>•</w:t>
            </w:r>
            <w:r w:rsidRPr="0053423A">
              <w:rPr>
                <w:lang w:val="hy-AM"/>
              </w:rPr>
              <w:tab/>
              <w:t xml:space="preserve">Բնության հատուկ պահպանվող տարածքների արտաքին սահմանների, ներքին գործառնական գոտիների և պահպանման գոտու սահմանների նկարագրությունը 1:25 000 մասշտ.քարտեզներով: </w:t>
            </w:r>
          </w:p>
          <w:p w:rsidR="006B0618" w:rsidRPr="0053423A" w:rsidRDefault="006B0618" w:rsidP="00A67858">
            <w:pPr>
              <w:pStyle w:val="ListParagraph"/>
              <w:tabs>
                <w:tab w:val="left" w:pos="540"/>
              </w:tabs>
              <w:spacing w:line="276" w:lineRule="auto"/>
              <w:jc w:val="both"/>
              <w:rPr>
                <w:lang w:val="hy-AM"/>
              </w:rPr>
            </w:pPr>
            <w:r w:rsidRPr="0053423A">
              <w:rPr>
                <w:lang w:val="hy-AM"/>
              </w:rPr>
              <w:t>գ/</w:t>
            </w:r>
            <w:r w:rsidR="0073408B" w:rsidRPr="0053423A">
              <w:rPr>
                <w:lang w:val="hy-AM"/>
              </w:rPr>
              <w:t xml:space="preserve"> </w:t>
            </w:r>
            <w:r w:rsidRPr="0053423A">
              <w:rPr>
                <w:lang w:val="hy-AM"/>
              </w:rPr>
              <w:t xml:space="preserve">Քարտեզագրական աշխատանքների իրականացում: </w:t>
            </w:r>
          </w:p>
          <w:p w:rsidR="006B0618" w:rsidRPr="0053423A" w:rsidRDefault="006B0618" w:rsidP="00A67858">
            <w:pPr>
              <w:pStyle w:val="ListParagraph"/>
              <w:tabs>
                <w:tab w:val="left" w:pos="540"/>
              </w:tabs>
              <w:spacing w:line="276" w:lineRule="auto"/>
              <w:jc w:val="both"/>
              <w:rPr>
                <w:lang w:val="hy-AM"/>
              </w:rPr>
            </w:pPr>
            <w:r w:rsidRPr="0053423A">
              <w:rPr>
                <w:lang w:val="hy-AM"/>
              </w:rPr>
              <w:t xml:space="preserve"> դ/</w:t>
            </w:r>
            <w:r w:rsidR="0073408B" w:rsidRPr="0053423A">
              <w:rPr>
                <w:lang w:val="hy-AM"/>
              </w:rPr>
              <w:t xml:space="preserve"> </w:t>
            </w:r>
            <w:r w:rsidRPr="0053423A">
              <w:rPr>
                <w:lang w:val="hy-AM"/>
              </w:rPr>
              <w:t>Համապատասխան նորագույն տեխնոլոգիաների կիրառում,  սարքավորումների և այլ տեխնիկակա</w:t>
            </w:r>
            <w:r w:rsidR="0073408B" w:rsidRPr="0053423A">
              <w:rPr>
                <w:lang w:val="hy-AM"/>
              </w:rPr>
              <w:t>ն միջոցների ձեռքբերում կիրառում</w:t>
            </w:r>
            <w:r w:rsidRPr="0053423A">
              <w:rPr>
                <w:lang w:val="hy-AM"/>
              </w:rPr>
              <w:t>:</w:t>
            </w:r>
          </w:p>
          <w:p w:rsidR="006B0618" w:rsidRPr="0053423A" w:rsidRDefault="006B0618" w:rsidP="00A67858">
            <w:pPr>
              <w:pStyle w:val="ListParagraph"/>
              <w:tabs>
                <w:tab w:val="left" w:pos="540"/>
              </w:tabs>
              <w:spacing w:line="276" w:lineRule="auto"/>
              <w:jc w:val="both"/>
              <w:rPr>
                <w:lang w:val="hy-AM"/>
              </w:rPr>
            </w:pPr>
            <w:r w:rsidRPr="0053423A">
              <w:rPr>
                <w:lang w:val="hy-AM"/>
              </w:rPr>
              <w:t>ե/</w:t>
            </w:r>
            <w:r w:rsidR="0073408B" w:rsidRPr="0053423A">
              <w:rPr>
                <w:lang w:val="hy-AM"/>
              </w:rPr>
              <w:t xml:space="preserve"> </w:t>
            </w:r>
            <w:r w:rsidRPr="0053423A">
              <w:rPr>
                <w:lang w:val="hy-AM"/>
              </w:rPr>
              <w:t xml:space="preserve">Սահմանների ամրակայում: </w:t>
            </w:r>
          </w:p>
          <w:p w:rsidR="006B0618" w:rsidRPr="0053423A" w:rsidRDefault="006B0618" w:rsidP="00A67858">
            <w:pPr>
              <w:pStyle w:val="ListParagraph"/>
              <w:tabs>
                <w:tab w:val="left" w:pos="540"/>
              </w:tabs>
              <w:spacing w:line="276" w:lineRule="auto"/>
              <w:jc w:val="both"/>
              <w:rPr>
                <w:lang w:val="hy-AM"/>
              </w:rPr>
            </w:pPr>
            <w:r w:rsidRPr="0053423A">
              <w:rPr>
                <w:lang w:val="hy-AM"/>
              </w:rPr>
              <w:t>զ/</w:t>
            </w:r>
            <w:r w:rsidR="0073408B" w:rsidRPr="0053423A">
              <w:rPr>
                <w:lang w:val="hy-AM"/>
              </w:rPr>
              <w:t xml:space="preserve"> </w:t>
            </w:r>
            <w:r w:rsidRPr="0053423A">
              <w:rPr>
                <w:lang w:val="hy-AM"/>
              </w:rPr>
              <w:t xml:space="preserve">Բնության հատուկ պահպանվող տարածքների կադաստրային քարտեզի նախապատրաստում` անշարժ գույքի կադաստրի պետական կոմիտեում պետական գրանցում ստանալու համար: </w:t>
            </w:r>
          </w:p>
          <w:p w:rsidR="006B0618" w:rsidRPr="0053423A" w:rsidRDefault="006B0618" w:rsidP="00A67858">
            <w:pPr>
              <w:pStyle w:val="ListParagraph"/>
              <w:tabs>
                <w:tab w:val="left" w:pos="540"/>
              </w:tabs>
              <w:spacing w:line="276" w:lineRule="auto"/>
              <w:ind w:left="0"/>
              <w:jc w:val="both"/>
              <w:rPr>
                <w:lang w:val="hy-AM"/>
              </w:rPr>
            </w:pPr>
            <w:r w:rsidRPr="0053423A">
              <w:rPr>
                <w:lang w:val="hy-AM"/>
              </w:rPr>
              <w:t xml:space="preserve"> </w:t>
            </w:r>
            <w:r w:rsidRPr="0053423A">
              <w:rPr>
                <w:lang w:val="hy-AM"/>
              </w:rPr>
              <w:tab/>
              <w:t>Համագարծակցության ընթացքում համակատարողների հետ աշխատանքները կապված են տարածքների և սահմանների համաձայնեցման խնդրո առարկայով` Տարածքային կառավարման և զարգացման նախարարության հետ, համապատասխան ՀՀ կառավարության որոշման նախագծի մշակաման համար, իսկ պետական գրացում ստանալու համար` անշարժ գույքի կադաստրի կոմիտեի հետ:</w:t>
            </w:r>
          </w:p>
          <w:p w:rsidR="006B0618" w:rsidRPr="0053423A" w:rsidRDefault="006B0618" w:rsidP="00A67858">
            <w:pPr>
              <w:spacing w:line="276" w:lineRule="auto"/>
              <w:ind w:firstLine="553"/>
              <w:jc w:val="both"/>
              <w:rPr>
                <w:b/>
                <w:i/>
                <w:lang w:val="hy-AM"/>
              </w:rPr>
            </w:pPr>
            <w:r w:rsidRPr="0053423A">
              <w:rPr>
                <w:b/>
                <w:i/>
                <w:lang w:val="hy-AM"/>
              </w:rPr>
              <w:t>2. Միջոցառման իրականացումից ակնկալվող արդյունքը</w:t>
            </w:r>
          </w:p>
          <w:p w:rsidR="006B0618" w:rsidRPr="0053423A" w:rsidRDefault="006B0618" w:rsidP="00A67858">
            <w:pPr>
              <w:spacing w:line="276" w:lineRule="auto"/>
              <w:jc w:val="both"/>
              <w:rPr>
                <w:rFonts w:cs="Sylfaen"/>
                <w:lang w:val="de-DE"/>
              </w:rPr>
            </w:pPr>
            <w:r w:rsidRPr="0053423A">
              <w:rPr>
                <w:rFonts w:ascii="Calibri" w:hAnsi="Calibri" w:cs="Calibri"/>
                <w:color w:val="943634"/>
                <w:lang w:val="hy-AM"/>
              </w:rPr>
              <w:t> </w:t>
            </w:r>
            <w:r w:rsidRPr="0053423A">
              <w:rPr>
                <w:rFonts w:cs="Courier New"/>
                <w:color w:val="943634"/>
                <w:lang w:val="pt-BR"/>
              </w:rPr>
              <w:tab/>
            </w:r>
            <w:r w:rsidRPr="0053423A">
              <w:rPr>
                <w:rFonts w:cs="Sylfaen"/>
                <w:lang w:val="de-DE"/>
              </w:rPr>
              <w:t>Միջոցառման իրականացման արդյունքում կստեղծվի ճշգրիտ տեղեկատվություն  բնության հատուկ պահպանվող տարածքների, այնպես էլ բուսական ու կենդանական աշխարհի ներկայացուցիչների տարածման արեալների վերաբերյալ, ինչը կստեղծի նախադրյալներ վերը նշված տարածքների  կենսաբազմազանության արդյունավետ պահպանման, հարակից համայնքների զարգացման, տարածքներում պահպանության և օգտագործման ռեժիմների ապահովման  համար:</w:t>
            </w:r>
          </w:p>
          <w:p w:rsidR="006B0618" w:rsidRPr="0053423A" w:rsidRDefault="006B0618" w:rsidP="00A67858">
            <w:pPr>
              <w:spacing w:line="276" w:lineRule="auto"/>
              <w:ind w:firstLine="720"/>
              <w:jc w:val="both"/>
              <w:rPr>
                <w:rFonts w:cs="Arial"/>
                <w:b/>
                <w:lang w:val="hy-AM"/>
              </w:rPr>
            </w:pPr>
          </w:p>
          <w:p w:rsidR="006B0618" w:rsidRPr="0053423A" w:rsidRDefault="006B0618" w:rsidP="00A67858">
            <w:pPr>
              <w:spacing w:line="276" w:lineRule="auto"/>
              <w:jc w:val="center"/>
              <w:rPr>
                <w:rFonts w:cs="Arial"/>
                <w:b/>
                <w:u w:val="single"/>
                <w:lang w:val="hy-AM"/>
              </w:rPr>
            </w:pPr>
            <w:r w:rsidRPr="0053423A">
              <w:rPr>
                <w:b/>
                <w:bCs/>
                <w:u w:val="single"/>
                <w:lang w:val="hy-AM"/>
              </w:rPr>
              <w:t xml:space="preserve">5.2 </w:t>
            </w:r>
            <w:r w:rsidRPr="0053423A">
              <w:rPr>
                <w:rFonts w:cs="Arial"/>
                <w:b/>
                <w:u w:val="single"/>
                <w:lang w:val="hy-AM"/>
              </w:rPr>
              <w:t>«Բնության հատուկ պահպանվող տարածքների կառավարման պլանների մշակում»</w:t>
            </w:r>
          </w:p>
          <w:p w:rsidR="00B009C2" w:rsidRPr="0053423A" w:rsidRDefault="00B009C2" w:rsidP="00A67858">
            <w:pPr>
              <w:spacing w:line="276" w:lineRule="auto"/>
              <w:jc w:val="center"/>
              <w:rPr>
                <w:rFonts w:cs="Arial"/>
                <w:b/>
                <w:u w:val="single"/>
                <w:lang w:val="hy-AM"/>
              </w:rPr>
            </w:pPr>
          </w:p>
          <w:p w:rsidR="006B0618" w:rsidRPr="0053423A" w:rsidRDefault="006B0618" w:rsidP="00A67858">
            <w:pPr>
              <w:pStyle w:val="ListParagraph"/>
              <w:numPr>
                <w:ilvl w:val="0"/>
                <w:numId w:val="33"/>
              </w:numPr>
              <w:tabs>
                <w:tab w:val="left" w:pos="540"/>
                <w:tab w:val="left" w:pos="1080"/>
              </w:tabs>
              <w:spacing w:line="276" w:lineRule="auto"/>
              <w:ind w:hanging="702"/>
              <w:contextualSpacing w:val="0"/>
              <w:rPr>
                <w:b/>
                <w:i/>
                <w:lang w:val="hy-AM"/>
              </w:rPr>
            </w:pPr>
            <w:r w:rsidRPr="0053423A">
              <w:rPr>
                <w:b/>
                <w:i/>
                <w:lang w:val="hy-AM"/>
              </w:rPr>
              <w:t>Միջոցառման իրականացման անհրաժեշտությունը և նպատակը</w:t>
            </w:r>
          </w:p>
          <w:p w:rsidR="006B0618" w:rsidRPr="0053423A" w:rsidRDefault="00232EB0" w:rsidP="00A67858">
            <w:pPr>
              <w:tabs>
                <w:tab w:val="left" w:pos="540"/>
              </w:tabs>
              <w:spacing w:line="276" w:lineRule="auto"/>
              <w:ind w:firstLine="720"/>
              <w:jc w:val="both"/>
              <w:rPr>
                <w:lang w:val="hy-AM"/>
              </w:rPr>
            </w:pPr>
            <w:r w:rsidRPr="0053423A">
              <w:rPr>
                <w:lang w:val="hy-AM"/>
              </w:rPr>
              <w:t>Միջո</w:t>
            </w:r>
            <w:r w:rsidR="006B0618" w:rsidRPr="0053423A">
              <w:rPr>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Բնության հատուկ պահպանվող տարածքների հզորացում, հարակից բնակավայրերի  կարողությունների զարգացում  ուղղությունը:</w:t>
            </w:r>
          </w:p>
          <w:p w:rsidR="006B0618" w:rsidRPr="0053423A" w:rsidRDefault="006B0618" w:rsidP="00A67858">
            <w:pPr>
              <w:tabs>
                <w:tab w:val="left" w:pos="540"/>
              </w:tabs>
              <w:spacing w:line="276" w:lineRule="auto"/>
              <w:ind w:firstLine="720"/>
              <w:jc w:val="both"/>
              <w:rPr>
                <w:lang w:val="hy-AM"/>
              </w:rPr>
            </w:pPr>
            <w:r w:rsidRPr="0053423A">
              <w:rPr>
                <w:lang w:val="hy-AM"/>
              </w:rPr>
              <w:t>Բնության հատուկ պահպանվող տարածքների կայուն կառավարում՝ կառավարման պլանների վերանայման ու նոր կառավարման պլանների մշակման միջոցով։</w:t>
            </w:r>
          </w:p>
          <w:p w:rsidR="006B0618" w:rsidRPr="0053423A" w:rsidRDefault="006B0618" w:rsidP="00A67858">
            <w:pPr>
              <w:numPr>
                <w:ilvl w:val="1"/>
                <w:numId w:val="34"/>
              </w:numPr>
              <w:tabs>
                <w:tab w:val="left" w:pos="540"/>
                <w:tab w:val="left" w:pos="1080"/>
                <w:tab w:val="left" w:pos="1170"/>
              </w:tabs>
              <w:spacing w:line="276" w:lineRule="auto"/>
              <w:ind w:firstLine="27"/>
              <w:rPr>
                <w:rFonts w:cs="Arial"/>
                <w:b/>
                <w:lang w:val="hy-AM"/>
              </w:rPr>
            </w:pPr>
            <w:r w:rsidRPr="0053423A">
              <w:rPr>
                <w:rFonts w:cs="Arial"/>
                <w:b/>
                <w:lang w:val="hy-AM"/>
              </w:rPr>
              <w:t xml:space="preserve"> կարգավորման հարաբերությունների ներկա վիճակը և առկա խնդիրները </w:t>
            </w:r>
          </w:p>
          <w:p w:rsidR="006B0618" w:rsidRPr="0053423A" w:rsidRDefault="006B0618" w:rsidP="00A67858">
            <w:pPr>
              <w:spacing w:line="276" w:lineRule="auto"/>
              <w:ind w:firstLine="720"/>
              <w:jc w:val="both"/>
              <w:rPr>
                <w:lang w:val="hy-AM"/>
              </w:rPr>
            </w:pPr>
            <w:r w:rsidRPr="0053423A">
              <w:rPr>
                <w:lang w:val="hy-AM"/>
              </w:rPr>
              <w:t>Ներկայումս մի շարք բնության հատուկ պահպանվող  տարածքների կառավարման  պլանները ժամկետանց են կամ ընդհանրապես չունեն կառավարման պլաններ, ինչն էլ խոչընդոտում է տվյալ տարածքի արդյունավետ կառավարմանը։ Մասնավորապես Սևան ազգային պարկի կառավարման պլանը նախատեսված էր 2007-2011 թվականների համար, Արփի լիճ ազգային պարկի կառավարման պլանը նախատեսված էր 2011-2015 թվականների համար, և այլն։</w:t>
            </w:r>
          </w:p>
          <w:p w:rsidR="006B0618" w:rsidRPr="0053423A" w:rsidRDefault="006B0618" w:rsidP="00A67858">
            <w:pPr>
              <w:spacing w:line="276" w:lineRule="auto"/>
              <w:ind w:firstLine="720"/>
              <w:jc w:val="both"/>
              <w:rPr>
                <w:lang w:val="hy-AM"/>
              </w:rPr>
            </w:pPr>
            <w:r w:rsidRPr="0053423A">
              <w:rPr>
                <w:lang w:val="hy-AM"/>
              </w:rPr>
              <w:t>Բնապահպանության նախարարի 2015 թվականի դեկտեմբերի 22-ի &lt;&lt;Կառավարման պլանների մշակման մեթոդական ուղեցույցը հաստատելու մասին&gt;&gt; N 392-Ա հրամանի 3-րդ բաժնով սահմանված է, որ՝</w:t>
            </w:r>
          </w:p>
          <w:p w:rsidR="006B0618" w:rsidRPr="0053423A" w:rsidRDefault="006B0618" w:rsidP="00A67858">
            <w:pPr>
              <w:pStyle w:val="Bodytext21"/>
              <w:numPr>
                <w:ilvl w:val="0"/>
                <w:numId w:val="59"/>
              </w:numPr>
              <w:shd w:val="clear" w:color="auto" w:fill="auto"/>
              <w:tabs>
                <w:tab w:val="left" w:pos="449"/>
              </w:tabs>
              <w:spacing w:before="0" w:after="0" w:line="276" w:lineRule="auto"/>
              <w:ind w:left="142" w:hanging="142"/>
              <w:jc w:val="both"/>
              <w:rPr>
                <w:rFonts w:ascii="GHEA Grapalat" w:hAnsi="GHEA Grapalat"/>
                <w:lang w:val="hy-AM"/>
              </w:rPr>
            </w:pPr>
            <w:r w:rsidRPr="0053423A">
              <w:rPr>
                <w:rFonts w:ascii="GHEA Grapalat" w:hAnsi="GHEA Grapalat"/>
                <w:lang w:val="hy-AM"/>
              </w:rPr>
              <w:t>Կառավարման պլանների նախագծի կազմմանը նախորդում է տվյալ բնության հատուկ պահպանվող տարածքի (գոյություն ունեցող կամ ստեղծվող), ներառյալ դրա պահպանման գոտու, բազմակողմանի ուսումնասիրությունը, առկա տեղեկատվության հավաքը և վերլուծությունը:</w:t>
            </w:r>
          </w:p>
          <w:p w:rsidR="006B0618" w:rsidRPr="0053423A" w:rsidRDefault="006B0618" w:rsidP="00A67858">
            <w:pPr>
              <w:pStyle w:val="Bodytext21"/>
              <w:numPr>
                <w:ilvl w:val="0"/>
                <w:numId w:val="59"/>
              </w:numPr>
              <w:shd w:val="clear" w:color="auto" w:fill="auto"/>
              <w:tabs>
                <w:tab w:val="left" w:pos="449"/>
              </w:tabs>
              <w:spacing w:before="0" w:after="0" w:line="276" w:lineRule="auto"/>
              <w:ind w:left="142" w:hanging="142"/>
              <w:jc w:val="both"/>
              <w:rPr>
                <w:rFonts w:ascii="GHEA Grapalat" w:hAnsi="GHEA Grapalat"/>
                <w:lang w:val="hy-AM"/>
              </w:rPr>
            </w:pPr>
            <w:r w:rsidRPr="0053423A">
              <w:rPr>
                <w:rFonts w:ascii="GHEA Grapalat" w:hAnsi="GHEA Grapalat"/>
                <w:lang w:val="hy-AM"/>
              </w:rPr>
              <w:t>Կառավարման պլանի մշակման ժամանակ ամփոփվում և վերլուծվում է ԲՀՊՏ-ի տարածքային կառուցվածքի, կազմակերպչական առանձնահատկությունների, ենթակաոուցվածքների, ֆինանսական գործունեության (ֆինանսավորման ծավալները և աղբյուրները, դրամական ելքերը և մուտքերը), վերջին 5 տարվա ընթացքում ԲՀՊՏ-ի կազմակերպման և գործունեության ուժեղ ու թույլ կողմերի, հիմնական հաջողությունների ու անհաջողությունների, դրանց պատճառների, տեղական ինքնակառավարման մարմինների և ԲՀՊՏ-րին սահմանակից բնակավայրերի բնակչության հետ փոխհարաբերությունների և համագործակցության մասին տեղեկատվությունը:</w:t>
            </w:r>
          </w:p>
          <w:p w:rsidR="006B0618" w:rsidRPr="0053423A" w:rsidRDefault="006B0618" w:rsidP="00A67858">
            <w:pPr>
              <w:pStyle w:val="Bodytext21"/>
              <w:numPr>
                <w:ilvl w:val="0"/>
                <w:numId w:val="59"/>
              </w:numPr>
              <w:shd w:val="clear" w:color="auto" w:fill="auto"/>
              <w:tabs>
                <w:tab w:val="left" w:pos="449"/>
              </w:tabs>
              <w:spacing w:before="0" w:after="0" w:line="276" w:lineRule="auto"/>
              <w:ind w:left="142" w:hanging="142"/>
              <w:jc w:val="both"/>
              <w:rPr>
                <w:rFonts w:ascii="GHEA Grapalat" w:hAnsi="GHEA Grapalat"/>
                <w:lang w:val="hy-AM"/>
              </w:rPr>
            </w:pPr>
            <w:r w:rsidRPr="0053423A">
              <w:rPr>
                <w:rFonts w:ascii="GHEA Grapalat" w:hAnsi="GHEA Grapalat"/>
                <w:lang w:val="hy-AM"/>
              </w:rPr>
              <w:t>Կառավարման պլանի մշակման ընթացքում կատարվում է.</w:t>
            </w:r>
          </w:p>
          <w:p w:rsidR="006B0618" w:rsidRPr="0053423A" w:rsidRDefault="006B0618" w:rsidP="00A67858">
            <w:pPr>
              <w:pStyle w:val="Bodytext21"/>
              <w:numPr>
                <w:ilvl w:val="0"/>
                <w:numId w:val="58"/>
              </w:numPr>
              <w:shd w:val="clear" w:color="auto" w:fill="auto"/>
              <w:tabs>
                <w:tab w:val="left" w:pos="310"/>
              </w:tabs>
              <w:spacing w:before="0" w:after="0" w:line="276" w:lineRule="auto"/>
              <w:ind w:left="284" w:firstLine="0"/>
              <w:jc w:val="both"/>
              <w:rPr>
                <w:rFonts w:ascii="GHEA Grapalat" w:hAnsi="GHEA Grapalat"/>
                <w:lang w:val="hy-AM"/>
              </w:rPr>
            </w:pPr>
            <w:r w:rsidRPr="0053423A">
              <w:rPr>
                <w:rFonts w:ascii="GHEA Grapalat" w:hAnsi="GHEA Grapalat"/>
                <w:lang w:val="hy-AM"/>
              </w:rPr>
              <w:t>էկոհամակարգերի և բնական օբյեկտների արդի վիճակի վերլուծություն.</w:t>
            </w:r>
          </w:p>
          <w:p w:rsidR="006B0618" w:rsidRPr="0053423A" w:rsidRDefault="006B0618" w:rsidP="00A67858">
            <w:pPr>
              <w:pStyle w:val="Bodytext21"/>
              <w:numPr>
                <w:ilvl w:val="0"/>
                <w:numId w:val="58"/>
              </w:numPr>
              <w:shd w:val="clear" w:color="auto" w:fill="auto"/>
              <w:spacing w:before="0" w:after="0" w:line="276" w:lineRule="auto"/>
              <w:ind w:left="284" w:firstLine="0"/>
              <w:jc w:val="both"/>
              <w:rPr>
                <w:rFonts w:ascii="GHEA Grapalat" w:hAnsi="GHEA Grapalat"/>
                <w:lang w:val="hy-AM"/>
              </w:rPr>
            </w:pPr>
            <w:r w:rsidRPr="0053423A">
              <w:rPr>
                <w:rFonts w:ascii="GHEA Grapalat" w:hAnsi="GHEA Grapalat"/>
                <w:lang w:val="hy-AM"/>
              </w:rPr>
              <w:t xml:space="preserve"> ԲՀՊՏ-ների զարգացմանը և կենսաբանական բազմազանության ու պատմամշակութային ժառանգության պահպանությանը խոչընդոտող հիմնախնդիրների որոշում.</w:t>
            </w:r>
          </w:p>
          <w:p w:rsidR="006B0618" w:rsidRPr="0053423A" w:rsidRDefault="006B0618" w:rsidP="00A67858">
            <w:pPr>
              <w:pStyle w:val="Bodytext21"/>
              <w:numPr>
                <w:ilvl w:val="0"/>
                <w:numId w:val="58"/>
              </w:numPr>
              <w:shd w:val="clear" w:color="auto" w:fill="auto"/>
              <w:tabs>
                <w:tab w:val="left" w:pos="710"/>
                <w:tab w:val="left" w:pos="2170"/>
                <w:tab w:val="left" w:pos="4061"/>
              </w:tabs>
              <w:spacing w:before="0" w:after="0" w:line="276" w:lineRule="auto"/>
              <w:ind w:left="284" w:firstLine="0"/>
              <w:jc w:val="both"/>
              <w:rPr>
                <w:rFonts w:ascii="GHEA Grapalat" w:hAnsi="GHEA Grapalat"/>
              </w:rPr>
            </w:pPr>
            <w:r w:rsidRPr="0053423A">
              <w:rPr>
                <w:rFonts w:ascii="GHEA Grapalat" w:hAnsi="GHEA Grapalat"/>
              </w:rPr>
              <w:t>տարածքի</w:t>
            </w:r>
            <w:r w:rsidRPr="0053423A">
              <w:rPr>
                <w:rFonts w:ascii="GHEA Grapalat" w:hAnsi="GHEA Grapalat"/>
              </w:rPr>
              <w:tab/>
              <w:t>զարգացման</w:t>
            </w:r>
            <w:r w:rsidRPr="0053423A">
              <w:rPr>
                <w:rFonts w:ascii="GHEA Grapalat" w:hAnsi="GHEA Grapalat"/>
              </w:rPr>
              <w:tab/>
              <w:t>հնարավորությունների և կառավարման</w:t>
            </w:r>
          </w:p>
          <w:p w:rsidR="006B0618" w:rsidRPr="0053423A" w:rsidRDefault="006B0618" w:rsidP="00A67858">
            <w:pPr>
              <w:pStyle w:val="Bodytext21"/>
              <w:shd w:val="clear" w:color="auto" w:fill="auto"/>
              <w:spacing w:before="0" w:after="0" w:line="276" w:lineRule="auto"/>
              <w:ind w:left="284" w:firstLine="0"/>
              <w:jc w:val="both"/>
              <w:rPr>
                <w:rFonts w:ascii="GHEA Grapalat" w:hAnsi="GHEA Grapalat"/>
              </w:rPr>
            </w:pPr>
            <w:r w:rsidRPr="0053423A">
              <w:rPr>
                <w:rFonts w:ascii="GHEA Grapalat" w:hAnsi="GHEA Grapalat"/>
              </w:rPr>
              <w:t>կատարելագործման ուղիների որոշում' հաշվի առնելով առկա ռեսուրսները և փաստացի իրավիճակը.</w:t>
            </w:r>
          </w:p>
          <w:p w:rsidR="006B0618" w:rsidRPr="0053423A" w:rsidRDefault="006B0618" w:rsidP="00A67858">
            <w:pPr>
              <w:pStyle w:val="Bodytext21"/>
              <w:numPr>
                <w:ilvl w:val="0"/>
                <w:numId w:val="58"/>
              </w:numPr>
              <w:shd w:val="clear" w:color="auto" w:fill="auto"/>
              <w:tabs>
                <w:tab w:val="left" w:pos="333"/>
              </w:tabs>
              <w:spacing w:before="0" w:after="0" w:line="276" w:lineRule="auto"/>
              <w:ind w:left="284" w:firstLine="0"/>
              <w:jc w:val="both"/>
              <w:rPr>
                <w:rFonts w:ascii="GHEA Grapalat" w:hAnsi="GHEA Grapalat"/>
              </w:rPr>
            </w:pPr>
            <w:r w:rsidRPr="0053423A">
              <w:rPr>
                <w:rFonts w:ascii="GHEA Grapalat" w:hAnsi="GHEA Grapalat"/>
              </w:rPr>
              <w:t>գոյություն ունեցող հիմնախնդիրների լուծման ու սպառնալիքների մեղմացման կամ վերացման ուղիների և մեթոդների մշակում:</w:t>
            </w:r>
          </w:p>
          <w:p w:rsidR="006B0618" w:rsidRPr="0053423A" w:rsidRDefault="006B0618" w:rsidP="00A67858">
            <w:pPr>
              <w:spacing w:line="276" w:lineRule="auto"/>
              <w:jc w:val="both"/>
              <w:rPr>
                <w:rFonts w:cs="GHEA Grapalat"/>
                <w:bCs/>
                <w:color w:val="000000"/>
              </w:rPr>
            </w:pPr>
            <w:r w:rsidRPr="0053423A">
              <w:rPr>
                <w:rFonts w:cs="GHEA Grapalat"/>
                <w:bCs/>
                <w:color w:val="000000"/>
              </w:rPr>
              <w:t>Նշված պահանջների կատարումը</w:t>
            </w:r>
            <w:r w:rsidRPr="0053423A">
              <w:rPr>
                <w:rFonts w:cs="GHEA Grapalat"/>
                <w:bCs/>
                <w:color w:val="000000"/>
                <w:lang w:val="hy-AM"/>
              </w:rPr>
              <w:t xml:space="preserve"> ենթադրում է ֆինանսական միջոցների ներգրավում</w:t>
            </w:r>
            <w:r w:rsidRPr="0053423A">
              <w:rPr>
                <w:rFonts w:cs="GHEA Grapalat"/>
                <w:bCs/>
                <w:color w:val="000000"/>
              </w:rPr>
              <w:t xml:space="preserve">: </w:t>
            </w:r>
          </w:p>
          <w:p w:rsidR="006B0618" w:rsidRPr="0053423A" w:rsidRDefault="006B0618" w:rsidP="00A67858">
            <w:pPr>
              <w:spacing w:line="276" w:lineRule="auto"/>
              <w:ind w:firstLine="600"/>
              <w:jc w:val="both"/>
              <w:rPr>
                <w:rFonts w:eastAsia="Calibri" w:cs="Sylfaen"/>
                <w:kern w:val="16"/>
                <w:lang w:val="hy-AM"/>
              </w:rPr>
            </w:pPr>
            <w:r w:rsidRPr="0053423A">
              <w:rPr>
                <w:rFonts w:eastAsia="Calibri" w:cs="Sylfaen"/>
                <w:kern w:val="16"/>
                <w:lang w:val="hy-AM"/>
              </w:rPr>
              <w:t xml:space="preserve">Այս փուլում հնարավոր չէ հստակ գնահատել աշխատանքների իրականացման համար անհրաժեշտ միջոցները, քանի որ դրանք կապված են յուրաքանչյուր օբյեկտում կատարվելիք </w:t>
            </w:r>
            <w:r w:rsidRPr="0053423A">
              <w:rPr>
                <w:rFonts w:eastAsia="Calibri" w:cs="Sylfaen"/>
                <w:kern w:val="16"/>
              </w:rPr>
              <w:t>գործողությունների</w:t>
            </w:r>
            <w:r w:rsidRPr="0053423A">
              <w:rPr>
                <w:rFonts w:eastAsia="Calibri" w:cs="Sylfaen"/>
                <w:kern w:val="16"/>
                <w:lang w:val="hy-AM"/>
              </w:rPr>
              <w:t xml:space="preserve"> տեսակից և ծավալներից:</w:t>
            </w:r>
            <w:r w:rsidRPr="0053423A">
              <w:rPr>
                <w:lang w:val="hy-AM"/>
              </w:rPr>
              <w:t xml:space="preserve"> </w:t>
            </w:r>
            <w:r w:rsidRPr="0053423A">
              <w:t xml:space="preserve">Աշխատանքներ են տարվում միջոցառման իրականացման համար </w:t>
            </w:r>
            <w:r w:rsidRPr="0053423A">
              <w:rPr>
                <w:lang w:val="hy-AM"/>
              </w:rPr>
              <w:t>դոնոր կազմակերպությունների</w:t>
            </w:r>
            <w:r w:rsidRPr="0053423A">
              <w:t>ն ներգրավելու</w:t>
            </w:r>
            <w:r w:rsidRPr="0053423A">
              <w:rPr>
                <w:lang w:val="hy-AM"/>
              </w:rPr>
              <w:t xml:space="preserve"> </w:t>
            </w:r>
            <w:r w:rsidRPr="0053423A">
              <w:t>և ֆինանսական միջոցների ապահովման ուղությամբ</w:t>
            </w:r>
            <w:r w:rsidRPr="0053423A">
              <w:rPr>
                <w:lang w:val="hy-AM"/>
              </w:rPr>
              <w:t>։</w:t>
            </w:r>
          </w:p>
          <w:p w:rsidR="006B0618" w:rsidRPr="0053423A" w:rsidRDefault="006B0618" w:rsidP="00A67858">
            <w:pPr>
              <w:numPr>
                <w:ilvl w:val="1"/>
                <w:numId w:val="34"/>
              </w:numPr>
              <w:tabs>
                <w:tab w:val="left" w:pos="1287"/>
              </w:tabs>
              <w:spacing w:line="276" w:lineRule="auto"/>
              <w:ind w:firstLine="14"/>
              <w:jc w:val="both"/>
              <w:rPr>
                <w:b/>
                <w:lang w:val="hy-AM"/>
              </w:rPr>
            </w:pPr>
            <w:r w:rsidRPr="0053423A">
              <w:rPr>
                <w:rFonts w:cs="Arial"/>
                <w:b/>
                <w:lang w:val="hy-AM"/>
              </w:rPr>
              <w:t xml:space="preserve">առկա խնդիրների առաջարկվող լուծումները </w:t>
            </w:r>
          </w:p>
          <w:p w:rsidR="006B0618" w:rsidRPr="0053423A" w:rsidRDefault="006B0618" w:rsidP="00A67858">
            <w:pPr>
              <w:tabs>
                <w:tab w:val="left" w:pos="426"/>
              </w:tabs>
              <w:spacing w:line="276" w:lineRule="auto"/>
              <w:ind w:firstLine="720"/>
              <w:jc w:val="both"/>
              <w:rPr>
                <w:lang w:val="hy-AM"/>
              </w:rPr>
            </w:pPr>
            <w:r w:rsidRPr="0053423A">
              <w:rPr>
                <w:lang w:val="hy-AM" w:eastAsia="en-GB"/>
              </w:rPr>
              <w:t xml:space="preserve">Առաջարկվում է վերլուծել </w:t>
            </w:r>
            <w:r w:rsidRPr="0053423A">
              <w:rPr>
                <w:lang w:val="hy-AM"/>
              </w:rPr>
              <w:t xml:space="preserve">բնության հատուկ պահպանվող տարածքների </w:t>
            </w:r>
            <w:r w:rsidRPr="0053423A">
              <w:rPr>
                <w:lang w:val="hy-AM" w:eastAsia="en-GB"/>
              </w:rPr>
              <w:t xml:space="preserve">առկա խնդիրները, </w:t>
            </w:r>
            <w:r w:rsidRPr="0053423A">
              <w:rPr>
                <w:lang w:val="hy-AM"/>
              </w:rPr>
              <w:t xml:space="preserve">կառավարման պլաններ մշակել այն բնության հատուկ պահպանվող տարածքների համար, որոնց կառավարման պլանները ժամկետանց են, վերանայել և անհրաժեշտության դեպքում լրամշակել ներկայումս գործող կառավարման պլանները։ </w:t>
            </w:r>
          </w:p>
          <w:p w:rsidR="006B0618" w:rsidRPr="0053423A" w:rsidRDefault="006B0618" w:rsidP="00A67858">
            <w:pPr>
              <w:numPr>
                <w:ilvl w:val="0"/>
                <w:numId w:val="33"/>
              </w:numPr>
              <w:tabs>
                <w:tab w:val="left" w:pos="540"/>
                <w:tab w:val="left" w:pos="1080"/>
              </w:tabs>
              <w:spacing w:line="276" w:lineRule="auto"/>
              <w:ind w:left="1107"/>
              <w:rPr>
                <w:rFonts w:cs="Arial"/>
                <w:b/>
                <w:i/>
                <w:lang w:val="hy-AM"/>
              </w:rPr>
            </w:pPr>
            <w:r w:rsidRPr="0053423A">
              <w:rPr>
                <w:rFonts w:cs="Arial"/>
                <w:b/>
                <w:i/>
                <w:lang w:val="hy-AM"/>
              </w:rPr>
              <w:t>Միջոցառման իրականացումից ակնկալվող արդյունքը</w:t>
            </w:r>
          </w:p>
          <w:p w:rsidR="006B0618" w:rsidRPr="0053423A" w:rsidRDefault="006B0618" w:rsidP="00A67858">
            <w:pPr>
              <w:tabs>
                <w:tab w:val="left" w:pos="426"/>
              </w:tabs>
              <w:spacing w:line="276" w:lineRule="auto"/>
              <w:ind w:left="27"/>
              <w:jc w:val="both"/>
              <w:rPr>
                <w:lang w:val="hy-AM"/>
              </w:rPr>
            </w:pPr>
            <w:r w:rsidRPr="0053423A">
              <w:rPr>
                <w:lang w:val="hy-AM"/>
              </w:rPr>
              <w:tab/>
            </w:r>
            <w:r w:rsidRPr="0053423A">
              <w:rPr>
                <w:lang w:val="hy-AM"/>
              </w:rPr>
              <w:tab/>
              <w:t>Բոլոր բնության հատուկ պահպանվող տարածքների կառավարման պլանների առկայություն մինչև 2023 թվականի ավարտը։</w:t>
            </w:r>
          </w:p>
          <w:p w:rsidR="006B0618" w:rsidRPr="0053423A" w:rsidRDefault="006B0618" w:rsidP="00A67858">
            <w:pPr>
              <w:tabs>
                <w:tab w:val="left" w:pos="426"/>
              </w:tabs>
              <w:spacing w:line="276" w:lineRule="auto"/>
              <w:ind w:left="27"/>
              <w:jc w:val="both"/>
              <w:rPr>
                <w:lang w:val="hy-AM"/>
              </w:rPr>
            </w:pPr>
          </w:p>
          <w:p w:rsidR="006B0618" w:rsidRPr="0053423A" w:rsidRDefault="006B0618" w:rsidP="00A67858">
            <w:pPr>
              <w:spacing w:line="276" w:lineRule="auto"/>
              <w:jc w:val="center"/>
              <w:rPr>
                <w:rFonts w:cs="Arial"/>
                <w:b/>
                <w:u w:val="single"/>
                <w:lang w:val="hy-AM"/>
              </w:rPr>
            </w:pPr>
            <w:r w:rsidRPr="0053423A">
              <w:rPr>
                <w:b/>
                <w:bCs/>
                <w:u w:val="single"/>
                <w:lang w:val="hy-AM"/>
              </w:rPr>
              <w:t xml:space="preserve">5.3 </w:t>
            </w:r>
            <w:r w:rsidRPr="0053423A">
              <w:rPr>
                <w:rFonts w:cs="Arial"/>
                <w:b/>
                <w:u w:val="single"/>
                <w:lang w:val="hy-AM"/>
              </w:rPr>
              <w:t>«Բնության հատուկ պահպանվող տարածքների մասին» նոր օրենքի նախագիծը վարչապետի աշխատակազմ ներկայացնելը»</w:t>
            </w:r>
          </w:p>
          <w:p w:rsidR="006B0618" w:rsidRPr="0053423A" w:rsidRDefault="006B0618" w:rsidP="00A67858">
            <w:pPr>
              <w:spacing w:line="276" w:lineRule="auto"/>
              <w:jc w:val="center"/>
              <w:rPr>
                <w:b/>
                <w:bCs/>
                <w:u w:val="single"/>
                <w:lang w:val="hy-AM"/>
              </w:rPr>
            </w:pPr>
          </w:p>
          <w:p w:rsidR="006B0618" w:rsidRPr="0053423A" w:rsidRDefault="006B0618" w:rsidP="00A67858">
            <w:pPr>
              <w:pStyle w:val="ListParagraph"/>
              <w:numPr>
                <w:ilvl w:val="0"/>
                <w:numId w:val="36"/>
              </w:numPr>
              <w:tabs>
                <w:tab w:val="left" w:pos="540"/>
                <w:tab w:val="left" w:pos="1080"/>
              </w:tabs>
              <w:spacing w:line="276" w:lineRule="auto"/>
              <w:ind w:left="1170"/>
              <w:contextualSpacing w:val="0"/>
              <w:rPr>
                <w:b/>
                <w:i/>
                <w:lang w:val="hy-AM"/>
              </w:rPr>
            </w:pPr>
            <w:r w:rsidRPr="0053423A">
              <w:rPr>
                <w:b/>
                <w:i/>
                <w:lang w:val="hy-AM"/>
              </w:rPr>
              <w:t>Միջոցառման իրականացման անհրաժեշտությունը և նպատակը</w:t>
            </w:r>
          </w:p>
          <w:p w:rsidR="006B0618" w:rsidRPr="0053423A" w:rsidRDefault="00232EB0" w:rsidP="00A67858">
            <w:pPr>
              <w:spacing w:line="276" w:lineRule="auto"/>
              <w:ind w:firstLine="720"/>
              <w:jc w:val="both"/>
              <w:rPr>
                <w:lang w:val="hy-AM"/>
              </w:rPr>
            </w:pPr>
            <w:r w:rsidRPr="0053423A">
              <w:rPr>
                <w:lang w:val="hy-AM"/>
              </w:rPr>
              <w:t>Միջո</w:t>
            </w:r>
            <w:r w:rsidR="006B0618" w:rsidRPr="0053423A">
              <w:rPr>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Բնության հատուկ պահպանվող տարածքների հզորացում, հարակից բնակավայրերի  կարողությունների զարգացում  ուղղությունը:</w:t>
            </w:r>
          </w:p>
          <w:p w:rsidR="006B0618" w:rsidRPr="0053423A" w:rsidRDefault="006B0618" w:rsidP="00A67858">
            <w:pPr>
              <w:spacing w:line="276" w:lineRule="auto"/>
              <w:ind w:firstLine="720"/>
              <w:jc w:val="both"/>
              <w:rPr>
                <w:b/>
                <w:noProof/>
                <w:lang w:val="hy-AM"/>
              </w:rPr>
            </w:pPr>
            <w:r w:rsidRPr="0053423A">
              <w:rPr>
                <w:lang w:val="hy-AM"/>
              </w:rPr>
              <w:t xml:space="preserve">«Բնության հատուկ պահպանվող տարածքների մասին» Հայաստանի Հանրապետության օրենքի նոր նախագծի </w:t>
            </w:r>
            <w:r w:rsidRPr="0053423A">
              <w:rPr>
                <w:rFonts w:cs="Sylfaen"/>
                <w:noProof/>
                <w:lang w:val="hy-AM"/>
              </w:rPr>
              <w:t xml:space="preserve">ընդունման հետևանքով կկարգավորվեն բնության հատուկ պահպանվող տարածքների </w:t>
            </w:r>
            <w:r w:rsidRPr="0053423A">
              <w:rPr>
                <w:rFonts w:cs="Sylfaen"/>
                <w:lang w:val="hy-AM"/>
              </w:rPr>
              <w:t>ստեղծման</w:t>
            </w:r>
            <w:r w:rsidRPr="0053423A">
              <w:rPr>
                <w:rFonts w:cs="Sylfaen"/>
                <w:lang w:val="af-ZA"/>
              </w:rPr>
              <w:t xml:space="preserve">, </w:t>
            </w:r>
            <w:r w:rsidRPr="0053423A">
              <w:rPr>
                <w:rFonts w:cs="Sylfaen"/>
                <w:lang w:val="hy-AM"/>
              </w:rPr>
              <w:t>պահպանության</w:t>
            </w:r>
            <w:r w:rsidRPr="0053423A">
              <w:rPr>
                <w:rFonts w:cs="Sylfaen"/>
                <w:lang w:val="af-ZA"/>
              </w:rPr>
              <w:t xml:space="preserve">, </w:t>
            </w:r>
            <w:r w:rsidRPr="0053423A">
              <w:rPr>
                <w:rFonts w:cs="Sylfaen"/>
                <w:lang w:val="hy-AM"/>
              </w:rPr>
              <w:t>օգտագործման</w:t>
            </w:r>
            <w:r w:rsidRPr="0053423A">
              <w:rPr>
                <w:rFonts w:cs="Sylfaen"/>
                <w:lang w:val="af-ZA"/>
              </w:rPr>
              <w:t xml:space="preserve"> </w:t>
            </w:r>
            <w:r w:rsidRPr="0053423A">
              <w:rPr>
                <w:rFonts w:cs="Sylfaen"/>
                <w:lang w:val="hy-AM"/>
              </w:rPr>
              <w:t>և</w:t>
            </w:r>
            <w:r w:rsidRPr="0053423A">
              <w:rPr>
                <w:lang w:val="af-ZA"/>
              </w:rPr>
              <w:t xml:space="preserve"> </w:t>
            </w:r>
            <w:r w:rsidRPr="0053423A">
              <w:rPr>
                <w:rFonts w:cs="Sylfaen"/>
                <w:lang w:val="hy-AM"/>
              </w:rPr>
              <w:t>կառավարման</w:t>
            </w:r>
            <w:r w:rsidRPr="0053423A">
              <w:rPr>
                <w:color w:val="FF0000"/>
                <w:lang w:val="af-ZA"/>
              </w:rPr>
              <w:t xml:space="preserve"> </w:t>
            </w:r>
            <w:r w:rsidRPr="0053423A">
              <w:rPr>
                <w:rFonts w:cs="Sylfaen"/>
                <w:lang w:val="hy-AM"/>
              </w:rPr>
              <w:t>հարաբերությունները</w:t>
            </w:r>
            <w:r w:rsidRPr="0053423A">
              <w:rPr>
                <w:rFonts w:cs="Sylfaen"/>
                <w:lang w:val="af-ZA"/>
              </w:rPr>
              <w:t>:</w:t>
            </w:r>
          </w:p>
          <w:p w:rsidR="006B0618" w:rsidRPr="0053423A" w:rsidRDefault="006B0618" w:rsidP="00A67858">
            <w:pPr>
              <w:pStyle w:val="ListParagraph"/>
              <w:spacing w:line="276" w:lineRule="auto"/>
              <w:ind w:left="0" w:firstLine="720"/>
              <w:jc w:val="both"/>
              <w:rPr>
                <w:lang w:val="hy-AM"/>
              </w:rPr>
            </w:pPr>
            <w:r w:rsidRPr="0053423A">
              <w:rPr>
                <w:lang w:val="hy-AM"/>
              </w:rPr>
              <w:t>Միջոցառման նպատակն է վերհանել գործող օրենքի կարգավորման բացերը, անհամապատասխանությունները, օրենքը համապատասխանեցնել միջազգային չափորոշիչներով սահմանված պահանջներին թե կառավարման և թե ստեղծման ասպեկտներով։</w:t>
            </w:r>
          </w:p>
          <w:p w:rsidR="006B0618" w:rsidRPr="0053423A" w:rsidRDefault="006B0618" w:rsidP="00A67858">
            <w:pPr>
              <w:pStyle w:val="ListParagraph"/>
              <w:tabs>
                <w:tab w:val="left" w:pos="540"/>
                <w:tab w:val="left" w:pos="1080"/>
              </w:tabs>
              <w:spacing w:line="276" w:lineRule="auto"/>
              <w:ind w:left="1080"/>
              <w:rPr>
                <w:b/>
                <w:lang w:val="hy-AM"/>
              </w:rPr>
            </w:pPr>
            <w:r w:rsidRPr="0053423A">
              <w:rPr>
                <w:b/>
                <w:lang w:val="hy-AM"/>
              </w:rPr>
              <w:t xml:space="preserve"> </w:t>
            </w:r>
          </w:p>
          <w:p w:rsidR="006B0618" w:rsidRPr="0053423A" w:rsidRDefault="006B0618" w:rsidP="00A67858">
            <w:pPr>
              <w:pStyle w:val="ListParagraph"/>
              <w:numPr>
                <w:ilvl w:val="1"/>
                <w:numId w:val="36"/>
              </w:numPr>
              <w:tabs>
                <w:tab w:val="left" w:pos="540"/>
                <w:tab w:val="left" w:pos="1080"/>
                <w:tab w:val="left" w:pos="1170"/>
              </w:tabs>
              <w:spacing w:line="276" w:lineRule="auto"/>
              <w:ind w:left="1530"/>
              <w:contextualSpacing w:val="0"/>
              <w:rPr>
                <w:rFonts w:cs="Arial"/>
                <w:b/>
                <w:lang w:val="hy-AM"/>
              </w:rPr>
            </w:pPr>
            <w:r w:rsidRPr="0053423A">
              <w:rPr>
                <w:rFonts w:cs="Arial"/>
                <w:b/>
                <w:lang w:val="hy-AM"/>
              </w:rPr>
              <w:t xml:space="preserve"> կարգավորման հարաբերությունների ներկա վիճակը և առկա խնդիրները </w:t>
            </w:r>
          </w:p>
          <w:p w:rsidR="006B0618" w:rsidRPr="0053423A" w:rsidRDefault="006B0618" w:rsidP="00A67858">
            <w:pPr>
              <w:pStyle w:val="ListParagraph"/>
              <w:spacing w:line="276" w:lineRule="auto"/>
              <w:ind w:left="27" w:firstLine="711"/>
              <w:jc w:val="both"/>
              <w:rPr>
                <w:lang w:val="hy-AM"/>
              </w:rPr>
            </w:pPr>
            <w:r w:rsidRPr="0053423A">
              <w:rPr>
                <w:lang w:val="hy-AM"/>
              </w:rPr>
              <w:t xml:space="preserve">«Բնության հատուկ պահպանվող տարածքների մասին» Հայաստանի Հանրապետության օրենքի նոր նախագծի մշակումը պայմանավորված է գործող օրենքի հետևյալ բացերով` </w:t>
            </w:r>
          </w:p>
          <w:p w:rsidR="006B0618" w:rsidRPr="0053423A" w:rsidRDefault="006B0618" w:rsidP="00A67858">
            <w:pPr>
              <w:pStyle w:val="ListParagraph"/>
              <w:numPr>
                <w:ilvl w:val="0"/>
                <w:numId w:val="35"/>
              </w:numPr>
              <w:tabs>
                <w:tab w:val="left" w:pos="284"/>
              </w:tabs>
              <w:spacing w:line="276" w:lineRule="auto"/>
              <w:ind w:left="0" w:firstLine="334"/>
              <w:contextualSpacing w:val="0"/>
              <w:jc w:val="both"/>
              <w:rPr>
                <w:lang w:val="hy-AM"/>
              </w:rPr>
            </w:pPr>
            <w:r w:rsidRPr="0053423A">
              <w:rPr>
                <w:lang w:val="hy-AM"/>
              </w:rPr>
              <w:t>օրենքում բացակայում են բնության հատուկ պահպանվող տարածքների ստեղծման նպատակները և հիմքերը.</w:t>
            </w:r>
          </w:p>
          <w:p w:rsidR="006B0618" w:rsidRPr="0053423A" w:rsidRDefault="006B0618" w:rsidP="00A67858">
            <w:pPr>
              <w:pStyle w:val="ListParagraph"/>
              <w:numPr>
                <w:ilvl w:val="0"/>
                <w:numId w:val="35"/>
              </w:numPr>
              <w:tabs>
                <w:tab w:val="left" w:pos="284"/>
              </w:tabs>
              <w:spacing w:line="276" w:lineRule="auto"/>
              <w:ind w:left="0" w:firstLine="334"/>
              <w:contextualSpacing w:val="0"/>
              <w:jc w:val="both"/>
              <w:rPr>
                <w:lang w:val="hy-AM"/>
              </w:rPr>
            </w:pPr>
            <w:r w:rsidRPr="0053423A">
              <w:rPr>
                <w:lang w:val="hy-AM"/>
              </w:rPr>
              <w:t>հստակ չեն շարադրված բնության հատուկ պահպանվող տարածքների կառավարման սկզբունքները.</w:t>
            </w:r>
          </w:p>
          <w:p w:rsidR="006B0618" w:rsidRPr="0053423A" w:rsidRDefault="006B0618" w:rsidP="00A67858">
            <w:pPr>
              <w:pStyle w:val="ListParagraph"/>
              <w:numPr>
                <w:ilvl w:val="0"/>
                <w:numId w:val="35"/>
              </w:numPr>
              <w:tabs>
                <w:tab w:val="left" w:pos="284"/>
              </w:tabs>
              <w:spacing w:line="276" w:lineRule="auto"/>
              <w:ind w:left="0" w:firstLine="334"/>
              <w:contextualSpacing w:val="0"/>
              <w:jc w:val="both"/>
              <w:rPr>
                <w:lang w:val="hy-AM"/>
              </w:rPr>
            </w:pPr>
            <w:r w:rsidRPr="0053423A">
              <w:rPr>
                <w:lang w:val="hy-AM"/>
              </w:rPr>
              <w:t>բացակայում են բնության հատուկ պահպանվող տարածքների կատեգորիաների խնդիրները.</w:t>
            </w:r>
          </w:p>
          <w:p w:rsidR="006B0618" w:rsidRPr="0053423A" w:rsidRDefault="006B0618" w:rsidP="00A67858">
            <w:pPr>
              <w:pStyle w:val="ListParagraph"/>
              <w:numPr>
                <w:ilvl w:val="0"/>
                <w:numId w:val="35"/>
              </w:numPr>
              <w:tabs>
                <w:tab w:val="left" w:pos="284"/>
              </w:tabs>
              <w:spacing w:line="276" w:lineRule="auto"/>
              <w:ind w:left="0" w:firstLine="334"/>
              <w:contextualSpacing w:val="0"/>
              <w:jc w:val="both"/>
              <w:rPr>
                <w:lang w:val="hy-AM"/>
              </w:rPr>
            </w:pPr>
            <w:r w:rsidRPr="0053423A">
              <w:rPr>
                <w:lang w:val="hy-AM"/>
              </w:rPr>
              <w:t>բացակայում են բնության հուշարձանի դասակարգումը, ստեղծման չափանիշները և պահպանության ռեժիմը.</w:t>
            </w:r>
          </w:p>
          <w:p w:rsidR="006B0618" w:rsidRPr="0053423A" w:rsidRDefault="006B0618" w:rsidP="00A67858">
            <w:pPr>
              <w:pStyle w:val="ListParagraph"/>
              <w:numPr>
                <w:ilvl w:val="0"/>
                <w:numId w:val="35"/>
              </w:numPr>
              <w:tabs>
                <w:tab w:val="left" w:pos="284"/>
              </w:tabs>
              <w:spacing w:line="276" w:lineRule="auto"/>
              <w:ind w:left="0" w:firstLine="334"/>
              <w:contextualSpacing w:val="0"/>
              <w:jc w:val="both"/>
              <w:rPr>
                <w:lang w:val="hy-AM"/>
              </w:rPr>
            </w:pPr>
            <w:r w:rsidRPr="0053423A">
              <w:rPr>
                <w:lang w:val="hy-AM"/>
              </w:rPr>
              <w:t>բացակայում է արգելավայրի պահպանության ռեժիմը.</w:t>
            </w:r>
          </w:p>
          <w:p w:rsidR="006B0618" w:rsidRPr="0053423A" w:rsidRDefault="006B0618" w:rsidP="00A67858">
            <w:pPr>
              <w:pStyle w:val="ListParagraph"/>
              <w:numPr>
                <w:ilvl w:val="0"/>
                <w:numId w:val="35"/>
              </w:numPr>
              <w:tabs>
                <w:tab w:val="left" w:pos="284"/>
              </w:tabs>
              <w:spacing w:line="276" w:lineRule="auto"/>
              <w:ind w:left="0" w:firstLine="334"/>
              <w:contextualSpacing w:val="0"/>
              <w:jc w:val="both"/>
              <w:rPr>
                <w:lang w:val="hy-AM"/>
              </w:rPr>
            </w:pPr>
            <w:r w:rsidRPr="0053423A">
              <w:rPr>
                <w:lang w:val="hy-AM"/>
              </w:rPr>
              <w:t>բացակայում են պահպանման գոտու, էկոլոգիական միջանցքի և էկոլոգիական ցանցի կառավարման սկզբունքները և պահպանության ռեժիմը.</w:t>
            </w:r>
          </w:p>
          <w:p w:rsidR="006B0618" w:rsidRPr="0053423A" w:rsidRDefault="006B0618" w:rsidP="00A67858">
            <w:pPr>
              <w:pStyle w:val="ListParagraph"/>
              <w:numPr>
                <w:ilvl w:val="0"/>
                <w:numId w:val="35"/>
              </w:numPr>
              <w:tabs>
                <w:tab w:val="left" w:pos="284"/>
              </w:tabs>
              <w:spacing w:line="276" w:lineRule="auto"/>
              <w:ind w:left="0" w:firstLine="334"/>
              <w:contextualSpacing w:val="0"/>
              <w:jc w:val="both"/>
              <w:rPr>
                <w:lang w:val="hy-AM"/>
              </w:rPr>
            </w:pPr>
            <w:r w:rsidRPr="0053423A">
              <w:rPr>
                <w:lang w:val="hy-AM"/>
              </w:rPr>
              <w:t>բացակայում են կենսոլորտային արգելոցի ստեղծման և կառավարման հարցերը:</w:t>
            </w:r>
          </w:p>
          <w:p w:rsidR="006B0618" w:rsidRPr="0053423A" w:rsidRDefault="006B0618" w:rsidP="00A67858">
            <w:pPr>
              <w:spacing w:line="276" w:lineRule="auto"/>
              <w:ind w:firstLine="720"/>
              <w:jc w:val="both"/>
              <w:rPr>
                <w:rFonts w:cs="Times Armenian"/>
                <w:noProof/>
                <w:lang w:val="hy-AM"/>
              </w:rPr>
            </w:pPr>
            <w:r w:rsidRPr="0053423A">
              <w:rPr>
                <w:rFonts w:cs="Times Armenian"/>
                <w:noProof/>
                <w:lang w:val="hy-AM"/>
              </w:rPr>
              <w:t>Ինչպես նաև` Բնության հատուկ պահպանվող տարածքների մասին Հայաստանի Հանրապետության օրենքի և այլ իրավական ակտերի միջև առկա են անհամապատասխանություններ և հակասություններ:</w:t>
            </w:r>
          </w:p>
          <w:p w:rsidR="006B0618" w:rsidRPr="0053423A" w:rsidRDefault="006B0618" w:rsidP="00A67858">
            <w:pPr>
              <w:pStyle w:val="ListParagraph"/>
              <w:numPr>
                <w:ilvl w:val="1"/>
                <w:numId w:val="36"/>
              </w:numPr>
              <w:tabs>
                <w:tab w:val="left" w:pos="1080"/>
              </w:tabs>
              <w:spacing w:line="276" w:lineRule="auto"/>
              <w:ind w:left="1260" w:hanging="450"/>
              <w:contextualSpacing w:val="0"/>
              <w:jc w:val="both"/>
              <w:rPr>
                <w:b/>
                <w:lang w:val="hy-AM"/>
              </w:rPr>
            </w:pPr>
            <w:r w:rsidRPr="0053423A">
              <w:rPr>
                <w:rFonts w:cs="Arial"/>
                <w:b/>
                <w:lang w:val="hy-AM"/>
              </w:rPr>
              <w:t xml:space="preserve">առկա խնդիրների առաջարկվող լուծումները </w:t>
            </w:r>
          </w:p>
          <w:p w:rsidR="006B0618" w:rsidRPr="0053423A" w:rsidRDefault="006B0618" w:rsidP="00A67858">
            <w:pPr>
              <w:spacing w:line="276" w:lineRule="auto"/>
              <w:ind w:firstLine="709"/>
              <w:jc w:val="both"/>
              <w:rPr>
                <w:rFonts w:cs="Times Armenian"/>
                <w:noProof/>
                <w:lang w:val="hy-AM"/>
              </w:rPr>
            </w:pPr>
            <w:r w:rsidRPr="0053423A">
              <w:rPr>
                <w:lang w:val="hy-AM" w:eastAsia="en-GB"/>
              </w:rPr>
              <w:tab/>
              <w:t xml:space="preserve">«Բնության հատուկ պահպանվող տարածքների մասին» նոր օրենքի նախագծով առաջարկվում է գործող օրենքի բացերի վերացում, նոր կարգավորումների ամրագրում, մասնավորապես </w:t>
            </w:r>
            <w:r w:rsidRPr="0053423A">
              <w:rPr>
                <w:rFonts w:cs="Times Armenian"/>
                <w:noProof/>
                <w:lang w:val="hy-AM"/>
              </w:rPr>
              <w:t>բնության հատուկ պահպանվող տարածքների ստեղծման նպատակների և հիմքերի։ Առաջարկվում է Բնության հատուկ պահպանվող տարածքների մասին Հայաստանի Հանրապետության օրենքը միջազգային չափանիշներին համապատասխանեցում մասնավորապես` Բնության պահպանության միջազգային միության (IUCN) կողմից սահմանված բնության հատուկ պահպանվող տարածքների 5-րդ (պահպանվող լանդշաֆտ) կատեգորիայի ստեղծման հիմքերի ամրագրում, տեղական ինքնակառավարման մարմինների ներգրավմանը ուղղված իրավական հիմքի ամրագրում՝ բնության հատուկ պահպանվող տարածքների կառավարման գործընթացում:</w:t>
            </w:r>
          </w:p>
          <w:p w:rsidR="006B0618" w:rsidRPr="0053423A" w:rsidRDefault="006B0618" w:rsidP="00A67858">
            <w:pPr>
              <w:spacing w:line="276" w:lineRule="auto"/>
              <w:ind w:firstLine="709"/>
              <w:jc w:val="both"/>
              <w:rPr>
                <w:rFonts w:cs="Times Armenian"/>
                <w:noProof/>
                <w:lang w:val="hy-AM"/>
              </w:rPr>
            </w:pPr>
            <w:r w:rsidRPr="0053423A">
              <w:rPr>
                <w:rStyle w:val="apple-converted-space"/>
                <w:rFonts w:cs="Sylfaen"/>
                <w:lang w:val="hy-AM"/>
              </w:rPr>
              <w:t xml:space="preserve"> Միջոցառման իրականացման համակատարող է հանդիսանում տարածքային կառավարման և զարգացման նախարարությունը, քանի որ նախագծով նախատեսվելու է </w:t>
            </w:r>
            <w:r w:rsidRPr="0053423A">
              <w:rPr>
                <w:rFonts w:cs="Times Armenian"/>
                <w:noProof/>
                <w:lang w:val="hy-AM"/>
              </w:rPr>
              <w:t>տեղական ինքնակառավարման մարմիններին ևս ներգրավել որոշ բնության հատուկ պահպանվող տարածքների կառավարման գործընթացում։</w:t>
            </w:r>
          </w:p>
          <w:p w:rsidR="006B0618" w:rsidRPr="0053423A" w:rsidRDefault="006B0618" w:rsidP="00A67858">
            <w:pPr>
              <w:pStyle w:val="ListParagraph"/>
              <w:numPr>
                <w:ilvl w:val="0"/>
                <w:numId w:val="36"/>
              </w:numPr>
              <w:tabs>
                <w:tab w:val="left" w:pos="540"/>
                <w:tab w:val="left" w:pos="1080"/>
              </w:tabs>
              <w:spacing w:line="276" w:lineRule="auto"/>
              <w:ind w:left="1107"/>
              <w:contextualSpacing w:val="0"/>
              <w:rPr>
                <w:rFonts w:cs="Arial"/>
                <w:b/>
                <w:i/>
                <w:lang w:val="hy-AM"/>
              </w:rPr>
            </w:pPr>
            <w:r w:rsidRPr="0053423A">
              <w:rPr>
                <w:rFonts w:cs="Arial"/>
                <w:b/>
                <w:i/>
                <w:lang w:val="hy-AM"/>
              </w:rPr>
              <w:t>Միջոցառման իրականացումից ակնկալվող արդյունքը</w:t>
            </w:r>
          </w:p>
          <w:p w:rsidR="006B0618" w:rsidRPr="0053423A" w:rsidRDefault="006B0618" w:rsidP="00A67858">
            <w:pPr>
              <w:spacing w:line="276" w:lineRule="auto"/>
              <w:ind w:firstLine="709"/>
              <w:jc w:val="both"/>
              <w:rPr>
                <w:noProof/>
                <w:lang w:val="hy-AM"/>
              </w:rPr>
            </w:pPr>
            <w:r w:rsidRPr="0053423A">
              <w:rPr>
                <w:lang w:val="hy-AM" w:eastAsia="en-GB"/>
              </w:rPr>
              <w:t xml:space="preserve">Միջազգային չափորոշիչներին և արդի հասարակական հարաբերություններին համահունչ օրենքի առկայություն, որի միջոցով </w:t>
            </w:r>
            <w:r w:rsidRPr="0053423A">
              <w:rPr>
                <w:noProof/>
                <w:lang w:val="af-ZA"/>
              </w:rPr>
              <w:t>առավել արդյունավետ կդառնան բնության հատուկ պահպանվող տարածքների կառավարման գործընթացները</w:t>
            </w:r>
            <w:r w:rsidRPr="0053423A">
              <w:rPr>
                <w:noProof/>
                <w:lang w:val="hy-AM"/>
              </w:rPr>
              <w:t>։</w:t>
            </w:r>
          </w:p>
          <w:p w:rsidR="006B0618" w:rsidRPr="0053423A" w:rsidRDefault="006B0618" w:rsidP="00A67858">
            <w:pPr>
              <w:spacing w:line="276" w:lineRule="auto"/>
              <w:ind w:firstLine="709"/>
              <w:jc w:val="both"/>
              <w:rPr>
                <w:lang w:val="hy-AM" w:eastAsia="en-GB"/>
              </w:rPr>
            </w:pPr>
          </w:p>
          <w:p w:rsidR="006B0618" w:rsidRPr="0053423A" w:rsidRDefault="006B0618" w:rsidP="00A67858">
            <w:pPr>
              <w:spacing w:line="276" w:lineRule="auto"/>
              <w:jc w:val="center"/>
              <w:rPr>
                <w:rFonts w:eastAsia="Calibri"/>
                <w:b/>
                <w:u w:val="single"/>
                <w:lang w:val="hy-AM"/>
              </w:rPr>
            </w:pPr>
            <w:r w:rsidRPr="0053423A">
              <w:rPr>
                <w:b/>
                <w:bCs/>
                <w:u w:val="single"/>
                <w:lang w:val="hy-AM"/>
              </w:rPr>
              <w:t xml:space="preserve">5.4 </w:t>
            </w:r>
            <w:r w:rsidRPr="0053423A">
              <w:rPr>
                <w:rFonts w:eastAsia="Calibri" w:cs="Sylfaen"/>
                <w:b/>
                <w:u w:val="single"/>
                <w:lang w:val="hy-AM"/>
              </w:rPr>
              <w:t>Բնության հատուկ պահպանվող տարածքներին հարակից էկոհամակարգերի և համայնքների հարմարվողականության կարողությունների ամրապնդում</w:t>
            </w:r>
            <w:r w:rsidRPr="0053423A">
              <w:rPr>
                <w:rFonts w:eastAsia="Calibri"/>
                <w:b/>
                <w:u w:val="single"/>
                <w:lang w:val="hy-AM"/>
              </w:rPr>
              <w:t></w:t>
            </w:r>
          </w:p>
          <w:p w:rsidR="006B0618" w:rsidRPr="0053423A" w:rsidRDefault="006B0618" w:rsidP="00A67858">
            <w:pPr>
              <w:spacing w:line="276" w:lineRule="auto"/>
              <w:jc w:val="center"/>
              <w:rPr>
                <w:rFonts w:eastAsia="Calibri"/>
                <w:b/>
                <w:u w:val="single"/>
                <w:lang w:val="hy-AM"/>
              </w:rPr>
            </w:pPr>
          </w:p>
          <w:p w:rsidR="006B0618" w:rsidRPr="0053423A" w:rsidRDefault="006B0618" w:rsidP="00A67858">
            <w:pPr>
              <w:numPr>
                <w:ilvl w:val="0"/>
                <w:numId w:val="41"/>
              </w:numPr>
              <w:spacing w:line="276" w:lineRule="auto"/>
              <w:ind w:left="0" w:firstLine="567"/>
              <w:contextualSpacing/>
              <w:jc w:val="both"/>
              <w:rPr>
                <w:rFonts w:eastAsia="Calibri"/>
                <w:b/>
                <w:i/>
                <w:lang w:val="hy-AM"/>
              </w:rPr>
            </w:pPr>
            <w:r w:rsidRPr="0053423A">
              <w:rPr>
                <w:rFonts w:eastAsia="Calibri"/>
                <w:b/>
                <w:i/>
                <w:lang w:val="hy-AM"/>
              </w:rPr>
              <w:t xml:space="preserve"> Միջոցառման իրականացման անհրաժեշտությունը և նպատակը</w:t>
            </w:r>
          </w:p>
          <w:p w:rsidR="006B0618" w:rsidRPr="0053423A" w:rsidRDefault="00232EB0" w:rsidP="00A67858">
            <w:pPr>
              <w:spacing w:line="276" w:lineRule="auto"/>
              <w:ind w:firstLine="567"/>
              <w:contextualSpacing/>
              <w:jc w:val="both"/>
              <w:rPr>
                <w:rFonts w:eastAsia="Calibri"/>
                <w:lang w:val="hy-AM"/>
              </w:rPr>
            </w:pPr>
            <w:r w:rsidRPr="0053423A">
              <w:rPr>
                <w:rFonts w:eastAsia="Calibri"/>
                <w:lang w:val="hy-AM"/>
              </w:rPr>
              <w:t>Միջո</w:t>
            </w:r>
            <w:r w:rsidR="006B0618" w:rsidRPr="0053423A">
              <w:rPr>
                <w:rFonts w:eastAsia="Calibri"/>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Բնության հատուկ պահպանվող տարածքների հզորացում, հարակից բնակավայրերի կարողությունների զարգացում  ուղղությունը:</w:t>
            </w:r>
          </w:p>
          <w:p w:rsidR="006B0618" w:rsidRPr="0053423A" w:rsidRDefault="006B0618" w:rsidP="00A67858">
            <w:pPr>
              <w:spacing w:line="276" w:lineRule="auto"/>
              <w:ind w:firstLine="567"/>
              <w:contextualSpacing/>
              <w:jc w:val="both"/>
              <w:rPr>
                <w:rFonts w:eastAsia="Calibri"/>
                <w:lang w:val="hy-AM"/>
              </w:rPr>
            </w:pPr>
            <w:r w:rsidRPr="0053423A">
              <w:rPr>
                <w:rFonts w:eastAsia="Calibri"/>
                <w:lang w:val="hy-AM"/>
              </w:rPr>
              <w:t xml:space="preserve">Բնության հատուկ պահպանվող տարածքներից օգտվելու օրենքով ամրագրված սահմանափակումներին գումարվում է հողային և ջրային ռեսուրսների օգտագործման անբավարար մակարդակը (սոցիալական վատ պայմանները հնարավորություն չեն տալիս բնակիչների մեծ մասին օգտվելու հեռագնա արոտներից և խոտհարքներից, կիրառելու ոռոգման ջրի խնայող տեխնոլոգիաներ), կլիմայի փոփոխությունը  և արդյունքում՝  զգալիորեն մեծանում է բնական և մարդածին ճնշումը համայնքներին հարակից բնական էկոհամակարգերի (անտառներ, գյուղամերձ  արոտներ և խոտհարքներ, ջրային տարածքներ և այլն) վրա: Այս պայմաններում արագանում է համայնքներին համեմատաբար մոտ գտնվող բնական էկոհամակարգերի դեգրադացումը և դրանք կորցնում են  կլիմայի փոփոխության նկատմամբ հարմարվողականությունը: Մյուս կողմից կլիմայի դիտվող փոփոխությունները     (ջերմաստիճանի բարձրացում, տեղումների քանակի նվազում, ջերմային ալիքների, հեղեղների և կարկուտի հաճախականության մեծացում և այլն)  նվազեցնում են գյուղատնտեսական արտադրանքի քանակը, որակը և իջնում է բնակչության կենսամակարդակը: </w:t>
            </w:r>
          </w:p>
          <w:p w:rsidR="006B0618" w:rsidRPr="0053423A" w:rsidRDefault="006B0618" w:rsidP="00A67858">
            <w:pPr>
              <w:spacing w:line="276" w:lineRule="auto"/>
              <w:ind w:firstLine="567"/>
              <w:contextualSpacing/>
              <w:jc w:val="both"/>
              <w:rPr>
                <w:rFonts w:eastAsia="Calibri"/>
                <w:lang w:val="hy-AM"/>
              </w:rPr>
            </w:pPr>
            <w:r w:rsidRPr="0053423A">
              <w:rPr>
                <w:rFonts w:eastAsia="Calibri"/>
                <w:lang w:val="hy-AM"/>
              </w:rPr>
              <w:t xml:space="preserve">Միջոցառման նպատակն է նվազեցնել «Խոսրովի անտառ» պետական արգելոցին և «Դիլիջան» ազգային պարկին հարակից համայքների խոցելիությունը կլիմայական ռիսկերի նկատմամբ, այդ տարածքներում հզորացնել գյուղատնտեսության ոլորտի հարմարվողական կարողությունները, ամրապնդել ինստիտուցիոնալ ու պլանավորման հնարավորությունները, համայնքներում իրականացնել կլիմայի փոփոխության նկատմաբ հարմարվողականության միջոցառումներ:   </w:t>
            </w:r>
          </w:p>
          <w:p w:rsidR="006B0618" w:rsidRPr="0053423A" w:rsidRDefault="006B0618" w:rsidP="00A67858">
            <w:pPr>
              <w:spacing w:line="276" w:lineRule="auto"/>
              <w:ind w:firstLine="567"/>
              <w:contextualSpacing/>
              <w:jc w:val="both"/>
              <w:rPr>
                <w:rFonts w:eastAsia="Calibri"/>
                <w:lang w:val="hy-AM"/>
              </w:rPr>
            </w:pPr>
            <w:r w:rsidRPr="0053423A">
              <w:rPr>
                <w:rFonts w:eastAsia="Calibri"/>
                <w:lang w:val="hy-AM"/>
              </w:rPr>
              <w:tab/>
              <w:t>Այդ տեսակետից անհրաժեշտ է մշակել հարմարվողական ռազմավարական միջոցառումներ, որոնք կլիմայական խելացի գյուղատնտեսական տեխնոլոգիաների ներդրման, նպատակային արտադրանքի արժեքային շղթայի բարելավման, պլանավորման կարողությունների ուժեղացման միջոցով համայնքներում կամրապնդեն կենսապահովման մակարդակը՝ կանխելով հողերի հետագա դեգրադացիան: Ծրագիրն ապահովում է հողի չեզոք դեգրադացիային հասնելու գաղափարի և կլիմայի փոփոխության նկատմամբ հարմարվողականության բարձրացման փոխկապակցվածությունը:</w:t>
            </w:r>
          </w:p>
          <w:p w:rsidR="006B0618" w:rsidRPr="0053423A" w:rsidRDefault="006B0618" w:rsidP="00A67858">
            <w:pPr>
              <w:numPr>
                <w:ilvl w:val="1"/>
                <w:numId w:val="41"/>
              </w:numPr>
              <w:spacing w:line="276" w:lineRule="auto"/>
              <w:ind w:left="0" w:firstLine="567"/>
              <w:contextualSpacing/>
              <w:jc w:val="both"/>
              <w:rPr>
                <w:rFonts w:eastAsia="Calibri"/>
                <w:lang w:val="hy-AM"/>
              </w:rPr>
            </w:pPr>
            <w:r w:rsidRPr="0053423A">
              <w:rPr>
                <w:rFonts w:eastAsia="Calibri"/>
                <w:b/>
                <w:lang w:val="hy-AM"/>
              </w:rPr>
              <w:t>Կարգավորման հարաբերությունների ներկա վիճակը և առկա խնդիրները</w:t>
            </w:r>
            <w:r w:rsidRPr="0053423A">
              <w:rPr>
                <w:rFonts w:eastAsia="Calibri"/>
                <w:lang w:val="hy-AM"/>
              </w:rPr>
              <w:t xml:space="preserve"> </w:t>
            </w:r>
          </w:p>
          <w:p w:rsidR="006B0618" w:rsidRPr="0053423A" w:rsidRDefault="006B0618" w:rsidP="00A67858">
            <w:pPr>
              <w:spacing w:line="276" w:lineRule="auto"/>
              <w:ind w:firstLine="567"/>
              <w:contextualSpacing/>
              <w:jc w:val="both"/>
              <w:rPr>
                <w:rFonts w:eastAsia="Calibri"/>
                <w:lang w:val="hy-AM"/>
              </w:rPr>
            </w:pPr>
            <w:r w:rsidRPr="0053423A">
              <w:rPr>
                <w:rFonts w:eastAsia="Calibri"/>
                <w:lang w:val="hy-AM"/>
              </w:rPr>
              <w:t>Գյուղատնտեսությունից և անասնապահությունից ստացվող եկամուտների նվազումը հնարավորություն չի տալիս բնակիչների մի մասին կենցաղային կարիքների համար բավարար օգտվելու գազից և էլեկտրաէներգիայից: Որպես վառելանյութ է օգտագործվում փայտը և չորացված գոմաղբը: Այս պայմաններում առկա է 2 հիմնական բացասական արդյունք:</w:t>
            </w:r>
          </w:p>
          <w:p w:rsidR="006B0618" w:rsidRPr="0053423A" w:rsidRDefault="006B0618" w:rsidP="00A67858">
            <w:pPr>
              <w:spacing w:line="276" w:lineRule="auto"/>
              <w:ind w:firstLine="567"/>
              <w:contextualSpacing/>
              <w:jc w:val="both"/>
              <w:rPr>
                <w:rFonts w:eastAsia="Calibri"/>
                <w:lang w:val="hy-AM"/>
              </w:rPr>
            </w:pPr>
            <w:r w:rsidRPr="0053423A">
              <w:rPr>
                <w:rFonts w:eastAsia="Calibri"/>
                <w:lang w:val="hy-AM"/>
              </w:rPr>
              <w:t xml:space="preserve"> 1. Մեծանում է ճնշումը անտառային էկոհամակարգի վրա, որի հետևանքով նվազում է անտառի կլիմայակարգավորիչ և ջրակուտակիչ հատկությունները: Հատումների հետևանքով առաջանում են էկոհամակարգին ոչ հատուկ բացատներ, նոսրուտներ, ցածրարժեք թփուտներ, որտեղ խիստ վատանում է անտառին հատուկ ծառատեսակների սերմերի ծլումը և նոր անտառի զարգացումը: Էկոհամակարգը աստիճանաբար թուլանում է և կորցնում կլիմայի փոփոխության նկատմամբ հարմարվողականությունը: </w:t>
            </w:r>
          </w:p>
          <w:p w:rsidR="006B0618" w:rsidRPr="0053423A" w:rsidRDefault="006B0618" w:rsidP="00A67858">
            <w:pPr>
              <w:spacing w:line="276" w:lineRule="auto"/>
              <w:ind w:firstLine="567"/>
              <w:contextualSpacing/>
              <w:jc w:val="both"/>
              <w:rPr>
                <w:rFonts w:eastAsia="Calibri"/>
                <w:lang w:val="hy-AM"/>
              </w:rPr>
            </w:pPr>
            <w:r w:rsidRPr="0053423A">
              <w:rPr>
                <w:rFonts w:eastAsia="Calibri"/>
                <w:lang w:val="hy-AM"/>
              </w:rPr>
              <w:t>2. Գյուղատնտեսության մեջ նվազում է օրգանական պարարտանյութերի օգտագործման ծավալները: Աստիճանաբար վատանում են հողի որակական հատկությունները և շատ հաճախ դրանք դուրս են մնում մշակությունից, դեգրադացվում են՝ վերածվելով կիսաանապատային կամ շատ նոսր խոտածածկով հողատեսքերի:</w:t>
            </w:r>
          </w:p>
          <w:p w:rsidR="006B0618" w:rsidRPr="0053423A" w:rsidRDefault="006B0618" w:rsidP="00A67858">
            <w:pPr>
              <w:spacing w:line="276" w:lineRule="auto"/>
              <w:ind w:firstLine="567"/>
              <w:contextualSpacing/>
              <w:jc w:val="both"/>
              <w:rPr>
                <w:rFonts w:eastAsia="Calibri"/>
                <w:lang w:val="hy-AM"/>
              </w:rPr>
            </w:pPr>
            <w:r w:rsidRPr="0053423A">
              <w:rPr>
                <w:rFonts w:eastAsia="Calibri"/>
                <w:lang w:val="hy-AM"/>
              </w:rPr>
              <w:t>Համայնքների ինքնակառավարման մարմինները չունենալով բավարար ֆինանսական միջոցներ չեն կարողանում կլիմայի փոփոխության պայմաններում  իրականացնել բնական էկոհամակարգերի և գյուղատնտեսական լանդշաֆտների կայունության բարձրացմանն ուղղված էներգախնայողության (մրգերի, դեղաբույսերի արևային չորանոցների, բանջարային մշակաբույսերի սածիլների արտադրության թեթև կոնստրուկցիաներով ժամանակակից ջերմոցների կառուցում և այլն)  և արտադրանքի ծավալների մեծացման (ոռոգման համակարգի նորոգում, գյուղատնտեսության դիվերսիֆիկացիա, դաշտամիջյան ճանապարհների վերանորոգում, արոտներում ջրարբիացման կետերի կառուցում և այլն) միջոցառումներ: Այս և այլ նման միջոցառումները բնակիչների և տեղական ինքնակառավարման մարմինների  համար կստեղծեն եկամուտի ստացման այլընտրանքային  հնարավորություններ, որի արդյունքում կնվազի ճնշումը բնական էկոհամակարգերի վրա և դրանք ավելի արդյունավետ կարող են հարմարվել կլիմայի փոփոխությանը:</w:t>
            </w:r>
          </w:p>
          <w:p w:rsidR="006B0618" w:rsidRPr="0053423A" w:rsidRDefault="006B0618" w:rsidP="00A67858">
            <w:pPr>
              <w:numPr>
                <w:ilvl w:val="1"/>
                <w:numId w:val="41"/>
              </w:numPr>
              <w:spacing w:line="276" w:lineRule="auto"/>
              <w:ind w:left="0" w:firstLine="567"/>
              <w:contextualSpacing/>
              <w:jc w:val="both"/>
              <w:rPr>
                <w:rFonts w:eastAsia="Calibri"/>
                <w:b/>
              </w:rPr>
            </w:pPr>
            <w:r w:rsidRPr="0053423A">
              <w:rPr>
                <w:rFonts w:eastAsia="Calibri"/>
                <w:b/>
              </w:rPr>
              <w:t>Առկա խնդիրների առաջարկվող լուծումները</w:t>
            </w:r>
          </w:p>
          <w:p w:rsidR="006B0618" w:rsidRPr="0053423A" w:rsidRDefault="006B0618" w:rsidP="00A67858">
            <w:pPr>
              <w:spacing w:line="276" w:lineRule="auto"/>
              <w:ind w:firstLine="567"/>
              <w:contextualSpacing/>
              <w:jc w:val="both"/>
              <w:rPr>
                <w:rFonts w:eastAsia="Calibri"/>
              </w:rPr>
            </w:pPr>
            <w:r w:rsidRPr="0053423A">
              <w:rPr>
                <w:rFonts w:eastAsia="Calibri"/>
              </w:rPr>
              <w:t>«Խոսրովի անտառ» պետական արգելոցին և «Դիլիջան» ազգային պարկին հարակից համայքների դեգրադացված տարածքներում համայնքահեն խելացի գյուղատնտեսական գործելակերպի կիրառում և կլիմայական ռիսկերի նկատմամբ խոցելիության նվազեցում, գյուղատնտեսական արտադրության արժեքային շղթաների ամրապնդում, համայնքներին կլիմայական խելացի տեխնոլոգիաների փոխանցում, գյուղատնտեսության վարման կլիմայական խելացի գործելակերպի վերաբերյալ իրազեկվածության, պլանավորման, մոնիթորինգի և որոշումների կայացման ներուժի հզորացում:</w:t>
            </w:r>
          </w:p>
          <w:p w:rsidR="006B0618" w:rsidRPr="0053423A" w:rsidRDefault="006B0618" w:rsidP="00A67858">
            <w:pPr>
              <w:pStyle w:val="ListParagraph"/>
              <w:numPr>
                <w:ilvl w:val="0"/>
                <w:numId w:val="41"/>
              </w:numPr>
              <w:spacing w:line="276" w:lineRule="auto"/>
              <w:ind w:firstLine="283"/>
              <w:jc w:val="both"/>
              <w:rPr>
                <w:rFonts w:eastAsia="Calibri"/>
                <w:b/>
              </w:rPr>
            </w:pPr>
            <w:r w:rsidRPr="0053423A">
              <w:rPr>
                <w:rFonts w:eastAsia="Calibri"/>
                <w:b/>
              </w:rPr>
              <w:t>Միջոցառման իրականացումից ակնկալվող արդյունքը</w:t>
            </w:r>
          </w:p>
          <w:p w:rsidR="006B0618" w:rsidRPr="0053423A" w:rsidRDefault="006B0618" w:rsidP="00A67858">
            <w:pPr>
              <w:spacing w:line="276" w:lineRule="auto"/>
              <w:ind w:firstLine="567"/>
              <w:jc w:val="both"/>
              <w:rPr>
                <w:rFonts w:eastAsia="Calibri"/>
              </w:rPr>
            </w:pPr>
            <w:r w:rsidRPr="0053423A">
              <w:rPr>
                <w:rFonts w:eastAsia="Calibri"/>
              </w:rPr>
              <w:t>Միջոցառումը կնպաստի.  հարմարվողական ռազմավարական միջոցառումների մշակմանը, կլիմայական խելացի գյուղատնտեսական տեխնոլոգիաների ներդրմանը, նպատակային արտադրանքի արժեքային շղթայի բարելավմանը, պլանավորման կարողությունների ուժեղացման միջոցով համայնքներում  կենսապահովման մակարդակի բարձրացմանը, հողերի դեգրադացիայի կանխարգելմանը, ոռոգման ջրի խնայողական նոր տեխնոլոգիաների ներդրմանը, բնական կերհանդակների արտադրողականության բարձրացմանը, գյուղատնտեսական մշակաբույսերի բերքատվության բարձրացմանը և բնակչության եկամուտների բազմազանացմանը: Միջոցառումն ապահովում է հողիրի չեզոք դեգրադացիային հասնելու գաղափարի և կլիմայի փոփոխության նկատմամբ հարմարվողականության բարձրացման փոխկապակցվածությունը: Մասնավորապես՝</w:t>
            </w:r>
          </w:p>
          <w:p w:rsidR="006B0618" w:rsidRPr="0053423A" w:rsidRDefault="006B0618" w:rsidP="00A67858">
            <w:pPr>
              <w:pStyle w:val="ListParagraph"/>
              <w:numPr>
                <w:ilvl w:val="2"/>
                <w:numId w:val="43"/>
              </w:numPr>
              <w:spacing w:line="276" w:lineRule="auto"/>
              <w:ind w:left="426"/>
              <w:jc w:val="both"/>
              <w:rPr>
                <w:rFonts w:eastAsia="Calibri"/>
              </w:rPr>
            </w:pPr>
            <w:r w:rsidRPr="0053423A">
              <w:rPr>
                <w:rFonts w:eastAsia="Calibri"/>
              </w:rPr>
              <w:t>դեգրադացված արոտավայրերում և խոտհարքներում բուսածածկի վերականգնմանը և կմեծանա դրանց հարմարվողականությունը կլիմայի փոփոխության նկատմամբ:</w:t>
            </w:r>
          </w:p>
          <w:p w:rsidR="006B0618" w:rsidRPr="0053423A" w:rsidRDefault="006B0618" w:rsidP="00A67858">
            <w:pPr>
              <w:pStyle w:val="ListParagraph"/>
              <w:numPr>
                <w:ilvl w:val="2"/>
                <w:numId w:val="43"/>
              </w:numPr>
              <w:spacing w:line="276" w:lineRule="auto"/>
              <w:ind w:left="426"/>
              <w:jc w:val="both"/>
              <w:rPr>
                <w:rFonts w:eastAsia="Calibri"/>
              </w:rPr>
            </w:pPr>
            <w:r w:rsidRPr="0053423A">
              <w:rPr>
                <w:rFonts w:eastAsia="Calibri"/>
              </w:rPr>
              <w:t>կստեղծվի անասնակերի ձմեռային անհրաժեշտ քանակ, որի դեպքում հնարավորություն կլինի նվազեցնել ճնշումը արոտավայրերի և տարածքին բնորոշ այլ էկոհամակարգերի վրա:</w:t>
            </w:r>
          </w:p>
          <w:p w:rsidR="006B0618" w:rsidRPr="0053423A" w:rsidRDefault="006B0618" w:rsidP="00A67858">
            <w:pPr>
              <w:pStyle w:val="ListParagraph"/>
              <w:numPr>
                <w:ilvl w:val="2"/>
                <w:numId w:val="43"/>
              </w:numPr>
              <w:spacing w:line="276" w:lineRule="auto"/>
              <w:ind w:left="426"/>
              <w:jc w:val="both"/>
              <w:rPr>
                <w:rFonts w:eastAsia="Calibri"/>
              </w:rPr>
            </w:pPr>
            <w:r w:rsidRPr="0053423A">
              <w:rPr>
                <w:rFonts w:eastAsia="Calibri"/>
              </w:rPr>
              <w:t>ջրարբիացման կետերի կառուցմամբ կբարելավվեն կենդանիների պահվածքի պայմանները և կբարձրանա կաթնատվությունը:</w:t>
            </w:r>
          </w:p>
          <w:p w:rsidR="006B0618" w:rsidRPr="0053423A" w:rsidRDefault="006B0618" w:rsidP="00A67858">
            <w:pPr>
              <w:pStyle w:val="ListParagraph"/>
              <w:numPr>
                <w:ilvl w:val="2"/>
                <w:numId w:val="43"/>
              </w:numPr>
              <w:spacing w:line="276" w:lineRule="auto"/>
              <w:ind w:left="426"/>
              <w:jc w:val="both"/>
              <w:rPr>
                <w:rFonts w:eastAsia="Calibri"/>
              </w:rPr>
            </w:pPr>
            <w:r w:rsidRPr="0053423A">
              <w:rPr>
                <w:rFonts w:eastAsia="Calibri"/>
              </w:rPr>
              <w:t>ոռոգման ջրի մատակարարման բարելավումը և նոր խնայողական տեխնոլոգիաների կիրառումը հնարավորություն կտա բարձրացնել մշակաբույսերի բերքատվությունը և օգտագործել վարելահողերի մեծ մասը:</w:t>
            </w:r>
          </w:p>
          <w:p w:rsidR="006B0618" w:rsidRPr="0053423A" w:rsidRDefault="006B0618" w:rsidP="00A67858">
            <w:pPr>
              <w:pStyle w:val="ListParagraph"/>
              <w:numPr>
                <w:ilvl w:val="2"/>
                <w:numId w:val="43"/>
              </w:numPr>
              <w:spacing w:line="276" w:lineRule="auto"/>
              <w:ind w:left="426"/>
              <w:jc w:val="both"/>
              <w:rPr>
                <w:rFonts w:eastAsia="Calibri"/>
              </w:rPr>
            </w:pPr>
            <w:r w:rsidRPr="0053423A">
              <w:rPr>
                <w:rFonts w:eastAsia="Calibri"/>
              </w:rPr>
              <w:t>անասնապահները և հող մշակողները կստանան լրացուցիչ եկամուտներ:</w:t>
            </w:r>
          </w:p>
          <w:p w:rsidR="006B0618" w:rsidRPr="0053423A" w:rsidRDefault="006B0618" w:rsidP="00A67858">
            <w:pPr>
              <w:pStyle w:val="ListParagraph"/>
              <w:numPr>
                <w:ilvl w:val="2"/>
                <w:numId w:val="43"/>
              </w:numPr>
              <w:spacing w:line="276" w:lineRule="auto"/>
              <w:ind w:left="426"/>
              <w:jc w:val="both"/>
              <w:rPr>
                <w:rFonts w:eastAsia="Calibri"/>
              </w:rPr>
            </w:pPr>
            <w:r w:rsidRPr="0053423A">
              <w:rPr>
                <w:rFonts w:eastAsia="Calibri"/>
              </w:rPr>
              <w:t>ընդհանուր օգտագործման արևային ջերմոցները կնպաստեն նոր չորադիմացկուն և շուկայում մեծ պահանջարկ ունեցող մշակաբույսերի սածիլների աճեցմանը և տրամադրմանը գյուղացիներին: Ամռանը այդ ջերմատներում կարտադրվի բանջարեղեն, որի մի մասը կվաճառվի, իսկ մի մասը կտրամադրվի մանկապատեզին և դպրոցին:</w:t>
            </w:r>
          </w:p>
          <w:p w:rsidR="006B0618" w:rsidRPr="0053423A" w:rsidRDefault="006B0618" w:rsidP="00A67858">
            <w:pPr>
              <w:pStyle w:val="ListParagraph"/>
              <w:numPr>
                <w:ilvl w:val="2"/>
                <w:numId w:val="43"/>
              </w:numPr>
              <w:spacing w:line="276" w:lineRule="auto"/>
              <w:ind w:left="426"/>
              <w:jc w:val="both"/>
              <w:rPr>
                <w:rFonts w:eastAsia="Calibri"/>
              </w:rPr>
            </w:pPr>
            <w:r w:rsidRPr="0053423A">
              <w:rPr>
                <w:rFonts w:eastAsia="Calibri"/>
              </w:rPr>
              <w:t>ընդհանուր օգտագործման արևային չորանոցները հնարավորություն կտան արագ չորացնել շուկայում մեծ պահանջարկ ունեցող մրգերը, հատապտուղները,  դեղաբույսերը և թեյում օգտագործվող բուսատեսակները, դրանք վաճառելով նաև աշնանը և ձմռանը:</w:t>
            </w:r>
          </w:p>
          <w:p w:rsidR="006B0618" w:rsidRPr="0053423A" w:rsidRDefault="006B0618" w:rsidP="00A67858">
            <w:pPr>
              <w:pStyle w:val="ListParagraph"/>
              <w:numPr>
                <w:ilvl w:val="2"/>
                <w:numId w:val="43"/>
              </w:numPr>
              <w:spacing w:line="276" w:lineRule="auto"/>
              <w:ind w:left="426"/>
              <w:jc w:val="both"/>
              <w:rPr>
                <w:rFonts w:eastAsia="Calibri"/>
              </w:rPr>
            </w:pPr>
            <w:r w:rsidRPr="0053423A">
              <w:rPr>
                <w:rFonts w:eastAsia="Calibri"/>
              </w:rPr>
              <w:t>դեպի արոտներ, խոտհարքներ և վարելահողեր տանող գրունտային ճանապարհների վերանորոգումը հասանելի կդարձնի դժվարամատչելի տարածքները և հնարավորություն կստեղծի բարձրացնել առավել դեգրադացված էկոհամակարգերի վերականգնման արդյունավետությունը:</w:t>
            </w:r>
          </w:p>
          <w:p w:rsidR="006B0618" w:rsidRPr="0053423A" w:rsidRDefault="006B0618" w:rsidP="00A67858">
            <w:pPr>
              <w:pStyle w:val="ListParagraph"/>
              <w:numPr>
                <w:ilvl w:val="0"/>
                <w:numId w:val="43"/>
              </w:numPr>
              <w:spacing w:line="276" w:lineRule="auto"/>
              <w:ind w:left="426"/>
              <w:jc w:val="both"/>
              <w:rPr>
                <w:rFonts w:eastAsia="Calibri"/>
              </w:rPr>
            </w:pPr>
            <w:r w:rsidRPr="0053423A">
              <w:rPr>
                <w:rFonts w:eastAsia="Calibri"/>
              </w:rPr>
              <w:t>1.3.9 համայնքներում կցուցադրվի էկոհամակարգերի այն հատվածների օգտագործման հնարավորությունները, /մասուրի կամ այլ վայրի հատապտուղների պլանտացիայի հիմնում, կաթիլային ոռոգմամբ պտղատու այգու հիմնում/   որոնք կորցրել են հարմարվողականությունը և բնական ճանապարհով չեն կարող վերականգնվել:</w:t>
            </w:r>
          </w:p>
          <w:p w:rsidR="006B0618" w:rsidRPr="0053423A" w:rsidRDefault="006B0618" w:rsidP="00A67858">
            <w:pPr>
              <w:pStyle w:val="ListParagraph"/>
              <w:numPr>
                <w:ilvl w:val="2"/>
                <w:numId w:val="43"/>
              </w:numPr>
              <w:spacing w:line="276" w:lineRule="auto"/>
              <w:ind w:left="426"/>
              <w:jc w:val="both"/>
              <w:rPr>
                <w:rFonts w:eastAsia="Calibri"/>
              </w:rPr>
            </w:pPr>
            <w:r w:rsidRPr="0053423A">
              <w:rPr>
                <w:rFonts w:eastAsia="Calibri"/>
              </w:rPr>
              <w:t>կցուցադրվի հողերի չեզոք դեգրադացիային հասնելու հնարավորությունները:</w:t>
            </w:r>
          </w:p>
          <w:p w:rsidR="006B0618" w:rsidRPr="0053423A" w:rsidRDefault="006B0618" w:rsidP="00A67858">
            <w:pPr>
              <w:spacing w:line="276" w:lineRule="auto"/>
              <w:jc w:val="center"/>
              <w:rPr>
                <w:b/>
                <w:bCs/>
                <w:u w:val="single"/>
                <w:lang w:val="hy-AM"/>
              </w:rPr>
            </w:pPr>
          </w:p>
        </w:tc>
      </w:tr>
      <w:tr w:rsidR="006B0618" w:rsidRPr="00DE2EFA" w:rsidTr="004440EB">
        <w:tc>
          <w:tcPr>
            <w:tcW w:w="480" w:type="dxa"/>
          </w:tcPr>
          <w:p w:rsidR="006B0618" w:rsidRPr="0053423A" w:rsidRDefault="006B0618" w:rsidP="00A67858">
            <w:pPr>
              <w:spacing w:line="276" w:lineRule="auto"/>
              <w:jc w:val="center"/>
              <w:rPr>
                <w:b/>
                <w:bCs/>
                <w:lang w:val="hy-AM"/>
              </w:rPr>
            </w:pPr>
            <w:r w:rsidRPr="0053423A">
              <w:rPr>
                <w:b/>
                <w:bCs/>
                <w:lang w:val="hy-AM"/>
              </w:rPr>
              <w:t>6</w:t>
            </w:r>
          </w:p>
        </w:tc>
        <w:tc>
          <w:tcPr>
            <w:tcW w:w="10879" w:type="dxa"/>
          </w:tcPr>
          <w:p w:rsidR="006B0618" w:rsidRPr="0053423A" w:rsidRDefault="006B0618" w:rsidP="00A67858">
            <w:pPr>
              <w:tabs>
                <w:tab w:val="left" w:pos="1080"/>
              </w:tabs>
              <w:suppressAutoHyphens/>
              <w:spacing w:line="276" w:lineRule="auto"/>
              <w:jc w:val="center"/>
              <w:rPr>
                <w:rFonts w:cs="GHEA Grapalat"/>
                <w:b/>
                <w:lang w:val="hy-AM" w:eastAsia="zh-CN"/>
              </w:rPr>
            </w:pPr>
            <w:r w:rsidRPr="0053423A">
              <w:rPr>
                <w:rFonts w:cs="GHEA Grapalat"/>
                <w:b/>
                <w:lang w:val="hy-AM" w:eastAsia="zh-CN"/>
              </w:rPr>
              <w:t>Կենսաբազմազանության</w:t>
            </w:r>
            <w:r w:rsidRPr="0053423A">
              <w:rPr>
                <w:rFonts w:eastAsia="GHEA Grapalat" w:cs="GHEA Grapalat"/>
                <w:b/>
                <w:lang w:val="hy-AM" w:eastAsia="zh-CN"/>
              </w:rPr>
              <w:t xml:space="preserve"> </w:t>
            </w:r>
            <w:r w:rsidRPr="0053423A">
              <w:rPr>
                <w:rFonts w:cs="GHEA Grapalat"/>
                <w:b/>
                <w:lang w:val="hy-AM" w:eastAsia="zh-CN"/>
              </w:rPr>
              <w:t>պահպանությունը</w:t>
            </w:r>
            <w:r w:rsidRPr="0053423A">
              <w:rPr>
                <w:rFonts w:eastAsia="GHEA Grapalat" w:cs="GHEA Grapalat"/>
                <w:b/>
                <w:lang w:val="hy-AM" w:eastAsia="zh-CN"/>
              </w:rPr>
              <w:t xml:space="preserve"> </w:t>
            </w:r>
            <w:r w:rsidRPr="0053423A">
              <w:rPr>
                <w:rFonts w:cs="GHEA Grapalat"/>
                <w:b/>
                <w:lang w:val="hy-AM" w:eastAsia="zh-CN"/>
              </w:rPr>
              <w:t>և</w:t>
            </w:r>
            <w:r w:rsidRPr="0053423A">
              <w:rPr>
                <w:rFonts w:eastAsia="GHEA Grapalat" w:cs="GHEA Grapalat"/>
                <w:b/>
                <w:lang w:val="hy-AM" w:eastAsia="zh-CN"/>
              </w:rPr>
              <w:t xml:space="preserve"> </w:t>
            </w:r>
            <w:r w:rsidRPr="0053423A">
              <w:rPr>
                <w:rFonts w:cs="GHEA Grapalat"/>
                <w:b/>
                <w:lang w:val="hy-AM" w:eastAsia="zh-CN"/>
              </w:rPr>
              <w:t>կենսաանվտանգության</w:t>
            </w:r>
            <w:r w:rsidRPr="0053423A">
              <w:rPr>
                <w:rFonts w:eastAsia="GHEA Grapalat" w:cs="GHEA Grapalat"/>
                <w:b/>
                <w:lang w:val="hy-AM" w:eastAsia="zh-CN"/>
              </w:rPr>
              <w:t xml:space="preserve"> </w:t>
            </w:r>
            <w:r w:rsidRPr="0053423A">
              <w:rPr>
                <w:rFonts w:cs="GHEA Grapalat"/>
                <w:b/>
                <w:lang w:val="hy-AM" w:eastAsia="zh-CN"/>
              </w:rPr>
              <w:t>ապահովումը</w:t>
            </w:r>
            <w:r w:rsidRPr="0053423A">
              <w:rPr>
                <w:rFonts w:eastAsia="GHEA Grapalat" w:cs="GHEA Grapalat"/>
                <w:b/>
                <w:lang w:val="hy-AM" w:eastAsia="zh-CN"/>
              </w:rPr>
              <w:t xml:space="preserve">, </w:t>
            </w:r>
            <w:r w:rsidRPr="0053423A">
              <w:rPr>
                <w:rFonts w:cs="GHEA Grapalat"/>
                <w:b/>
                <w:lang w:val="hy-AM" w:eastAsia="zh-CN"/>
              </w:rPr>
              <w:t>կենդանական</w:t>
            </w:r>
            <w:r w:rsidRPr="0053423A">
              <w:rPr>
                <w:rFonts w:eastAsia="GHEA Grapalat" w:cs="GHEA Grapalat"/>
                <w:b/>
                <w:lang w:val="hy-AM" w:eastAsia="zh-CN"/>
              </w:rPr>
              <w:t xml:space="preserve"> </w:t>
            </w:r>
            <w:r w:rsidRPr="0053423A">
              <w:rPr>
                <w:rFonts w:cs="GHEA Grapalat"/>
                <w:b/>
                <w:lang w:val="hy-AM" w:eastAsia="zh-CN"/>
              </w:rPr>
              <w:t>և</w:t>
            </w:r>
            <w:r w:rsidRPr="0053423A">
              <w:rPr>
                <w:rFonts w:eastAsia="GHEA Grapalat" w:cs="GHEA Grapalat"/>
                <w:b/>
                <w:lang w:val="hy-AM" w:eastAsia="zh-CN"/>
              </w:rPr>
              <w:t xml:space="preserve"> </w:t>
            </w:r>
            <w:r w:rsidRPr="0053423A">
              <w:rPr>
                <w:rFonts w:cs="GHEA Grapalat"/>
                <w:b/>
                <w:lang w:val="hy-AM" w:eastAsia="zh-CN"/>
              </w:rPr>
              <w:t>բուսական</w:t>
            </w:r>
            <w:r w:rsidRPr="0053423A">
              <w:rPr>
                <w:rFonts w:eastAsia="GHEA Grapalat" w:cs="GHEA Grapalat"/>
                <w:b/>
                <w:lang w:val="hy-AM" w:eastAsia="zh-CN"/>
              </w:rPr>
              <w:t xml:space="preserve"> </w:t>
            </w:r>
            <w:r w:rsidRPr="0053423A">
              <w:rPr>
                <w:rFonts w:cs="GHEA Grapalat"/>
                <w:b/>
                <w:lang w:val="hy-AM" w:eastAsia="zh-CN"/>
              </w:rPr>
              <w:t>աշխարհի</w:t>
            </w:r>
            <w:r w:rsidRPr="0053423A">
              <w:rPr>
                <w:rFonts w:eastAsia="GHEA Grapalat" w:cs="GHEA Grapalat"/>
                <w:b/>
                <w:lang w:val="hy-AM" w:eastAsia="zh-CN"/>
              </w:rPr>
              <w:t xml:space="preserve"> </w:t>
            </w:r>
            <w:r w:rsidRPr="0053423A">
              <w:rPr>
                <w:rFonts w:cs="GHEA Grapalat"/>
                <w:b/>
                <w:lang w:val="hy-AM" w:eastAsia="zh-CN"/>
              </w:rPr>
              <w:t>օբյեկտների</w:t>
            </w:r>
            <w:r w:rsidRPr="0053423A">
              <w:rPr>
                <w:rFonts w:eastAsia="GHEA Grapalat" w:cs="GHEA Grapalat"/>
                <w:b/>
                <w:lang w:val="hy-AM" w:eastAsia="zh-CN"/>
              </w:rPr>
              <w:t xml:space="preserve"> </w:t>
            </w:r>
            <w:r w:rsidRPr="0053423A">
              <w:rPr>
                <w:rFonts w:cs="GHEA Grapalat"/>
                <w:b/>
                <w:lang w:val="hy-AM" w:eastAsia="zh-CN"/>
              </w:rPr>
              <w:t>հաշվառում</w:t>
            </w:r>
          </w:p>
          <w:p w:rsidR="006B0618" w:rsidRPr="0053423A" w:rsidRDefault="006B0618" w:rsidP="00A67858">
            <w:pPr>
              <w:tabs>
                <w:tab w:val="left" w:pos="1080"/>
              </w:tabs>
              <w:suppressAutoHyphens/>
              <w:spacing w:line="276" w:lineRule="auto"/>
              <w:jc w:val="center"/>
              <w:rPr>
                <w:rFonts w:cs="GHEA Grapalat"/>
                <w:b/>
                <w:lang w:val="hy-AM" w:eastAsia="zh-CN"/>
              </w:rPr>
            </w:pPr>
          </w:p>
          <w:p w:rsidR="006B0618" w:rsidRPr="0053423A" w:rsidRDefault="006B0618" w:rsidP="00A67858">
            <w:pPr>
              <w:tabs>
                <w:tab w:val="left" w:pos="1080"/>
              </w:tabs>
              <w:suppressAutoHyphens/>
              <w:spacing w:line="276" w:lineRule="auto"/>
              <w:jc w:val="center"/>
              <w:rPr>
                <w:rFonts w:cs="GHEA Grapalat"/>
                <w:b/>
                <w:bCs/>
                <w:u w:val="single"/>
                <w:lang w:val="hy-AM"/>
              </w:rPr>
            </w:pPr>
            <w:r w:rsidRPr="0053423A">
              <w:rPr>
                <w:rFonts w:cs="GHEA Grapalat"/>
                <w:b/>
                <w:u w:val="single"/>
                <w:lang w:val="hy-AM" w:eastAsia="zh-CN"/>
              </w:rPr>
              <w:t xml:space="preserve">6.1 </w:t>
            </w:r>
            <w:r w:rsidRPr="0053423A">
              <w:rPr>
                <w:rFonts w:cs="GHEA Grapalat"/>
                <w:b/>
                <w:bCs/>
                <w:u w:val="single"/>
                <w:lang w:val="pt-BR"/>
              </w:rPr>
              <w:t xml:space="preserve">«Կենդանական աշխարհի մասին» ՀՀ օրենքում փոփոխություններ </w:t>
            </w:r>
            <w:r w:rsidRPr="0053423A">
              <w:rPr>
                <w:rFonts w:cs="GHEA Grapalat"/>
                <w:b/>
                <w:bCs/>
                <w:u w:val="single"/>
                <w:lang w:val="hy-AM"/>
              </w:rPr>
              <w:t>և</w:t>
            </w:r>
            <w:r w:rsidRPr="0053423A">
              <w:rPr>
                <w:rFonts w:cs="GHEA Grapalat"/>
                <w:b/>
                <w:bCs/>
                <w:u w:val="single"/>
                <w:lang w:val="pt-BR"/>
              </w:rPr>
              <w:t xml:space="preserve"> լրացումներ կատարելու մասին» ՀՀ օրենքի </w:t>
            </w:r>
            <w:r w:rsidRPr="0053423A">
              <w:rPr>
                <w:rFonts w:cs="Arial"/>
                <w:b/>
                <w:u w:val="single"/>
                <w:lang w:val="hy-AM"/>
              </w:rPr>
              <w:t>նախագիծը վարչապետի աշխատակազմ ներկայացնելը</w:t>
            </w:r>
            <w:r w:rsidRPr="0053423A">
              <w:rPr>
                <w:rFonts w:cs="GHEA Grapalat"/>
                <w:b/>
                <w:bCs/>
                <w:u w:val="single"/>
                <w:lang w:val="hy-AM"/>
              </w:rPr>
              <w:t>»</w:t>
            </w:r>
          </w:p>
          <w:p w:rsidR="006B0618" w:rsidRPr="0053423A" w:rsidRDefault="006B0618" w:rsidP="00A67858">
            <w:pPr>
              <w:tabs>
                <w:tab w:val="left" w:pos="1080"/>
              </w:tabs>
              <w:suppressAutoHyphens/>
              <w:spacing w:line="276" w:lineRule="auto"/>
              <w:jc w:val="center"/>
              <w:rPr>
                <w:rFonts w:cs="GHEA Grapalat"/>
                <w:b/>
                <w:bCs/>
                <w:u w:val="single"/>
                <w:lang w:val="hy-AM"/>
              </w:rPr>
            </w:pPr>
          </w:p>
          <w:p w:rsidR="006B0618" w:rsidRPr="0053423A" w:rsidRDefault="006B0618" w:rsidP="00A67858">
            <w:pPr>
              <w:pStyle w:val="ListParagraph"/>
              <w:numPr>
                <w:ilvl w:val="0"/>
                <w:numId w:val="37"/>
              </w:numPr>
              <w:tabs>
                <w:tab w:val="left" w:pos="990"/>
              </w:tabs>
              <w:spacing w:line="276" w:lineRule="auto"/>
              <w:ind w:left="0" w:firstLine="709"/>
              <w:contextualSpacing w:val="0"/>
              <w:jc w:val="both"/>
              <w:rPr>
                <w:rFonts w:cs="Sylfaen"/>
                <w:noProof/>
                <w:lang w:val="pt-BR"/>
              </w:rPr>
            </w:pPr>
            <w:r w:rsidRPr="0053423A">
              <w:rPr>
                <w:b/>
                <w:i/>
                <w:lang w:val="hy-AM" w:eastAsia="en-GB"/>
              </w:rPr>
              <w:t>Միջոցառման իրականացման անհրաժեշտությունը և նպատակը</w:t>
            </w:r>
          </w:p>
          <w:p w:rsidR="006B0618" w:rsidRPr="0053423A" w:rsidRDefault="00232EB0" w:rsidP="00A67858">
            <w:pPr>
              <w:spacing w:line="276" w:lineRule="auto"/>
              <w:ind w:firstLine="709"/>
              <w:jc w:val="both"/>
              <w:rPr>
                <w:rFonts w:cs="Sylfaen"/>
                <w:noProof/>
                <w:lang w:val="pt-BR"/>
              </w:rPr>
            </w:pPr>
            <w:r w:rsidRPr="0053423A">
              <w:rPr>
                <w:rFonts w:cs="Sylfaen"/>
                <w:noProof/>
              </w:rPr>
              <w:t>Միջո</w:t>
            </w:r>
            <w:r w:rsidR="006B0618" w:rsidRPr="0053423A">
              <w:rPr>
                <w:rFonts w:cs="Sylfaen"/>
                <w:noProof/>
              </w:rPr>
              <w:t>ցառման</w:t>
            </w:r>
            <w:r w:rsidR="006B0618" w:rsidRPr="0053423A">
              <w:rPr>
                <w:rFonts w:cs="Sylfaen"/>
                <w:noProof/>
                <w:lang w:val="pt-BR"/>
              </w:rPr>
              <w:t xml:space="preserve"> </w:t>
            </w:r>
            <w:r w:rsidR="006B0618" w:rsidRPr="0053423A">
              <w:rPr>
                <w:rFonts w:cs="Sylfaen"/>
                <w:noProof/>
              </w:rPr>
              <w:t>իրականացման</w:t>
            </w:r>
            <w:r w:rsidR="006B0618" w:rsidRPr="0053423A">
              <w:rPr>
                <w:rFonts w:cs="Sylfaen"/>
                <w:noProof/>
                <w:lang w:val="pt-BR"/>
              </w:rPr>
              <w:t xml:space="preserve"> </w:t>
            </w:r>
            <w:r w:rsidR="006B0618" w:rsidRPr="0053423A">
              <w:rPr>
                <w:rFonts w:cs="Sylfaen"/>
                <w:noProof/>
              </w:rPr>
              <w:t>համար</w:t>
            </w:r>
            <w:r w:rsidR="006B0618" w:rsidRPr="0053423A">
              <w:rPr>
                <w:rFonts w:cs="Sylfaen"/>
                <w:noProof/>
                <w:lang w:val="pt-BR"/>
              </w:rPr>
              <w:t xml:space="preserve"> </w:t>
            </w:r>
            <w:r w:rsidR="006B0618" w:rsidRPr="0053423A">
              <w:rPr>
                <w:rFonts w:cs="Sylfaen"/>
                <w:noProof/>
              </w:rPr>
              <w:t>հիմք</w:t>
            </w:r>
            <w:r w:rsidR="006B0618" w:rsidRPr="0053423A">
              <w:rPr>
                <w:rFonts w:cs="Sylfaen"/>
                <w:noProof/>
                <w:lang w:val="pt-BR"/>
              </w:rPr>
              <w:t xml:space="preserve"> </w:t>
            </w:r>
            <w:r w:rsidR="006B0618" w:rsidRPr="0053423A">
              <w:rPr>
                <w:rFonts w:cs="Sylfaen"/>
                <w:noProof/>
              </w:rPr>
              <w:t>է</w:t>
            </w:r>
            <w:r w:rsidR="006B0618" w:rsidRPr="0053423A">
              <w:rPr>
                <w:rFonts w:cs="Sylfaen"/>
                <w:noProof/>
                <w:lang w:val="pt-BR"/>
              </w:rPr>
              <w:t xml:space="preserve"> </w:t>
            </w:r>
            <w:r w:rsidR="006B0618" w:rsidRPr="0053423A">
              <w:rPr>
                <w:rFonts w:cs="Sylfaen"/>
                <w:noProof/>
              </w:rPr>
              <w:t>հանդիսացել</w:t>
            </w:r>
            <w:r w:rsidR="006B0618" w:rsidRPr="0053423A">
              <w:rPr>
                <w:rFonts w:cs="Sylfaen"/>
                <w:noProof/>
                <w:lang w:val="pt-BR"/>
              </w:rPr>
              <w:t xml:space="preserve"> </w:t>
            </w:r>
            <w:r w:rsidR="006B0618" w:rsidRPr="0053423A">
              <w:rPr>
                <w:rFonts w:cs="Sylfaen"/>
                <w:noProof/>
              </w:rPr>
              <w:t>Կառավարության</w:t>
            </w:r>
            <w:r w:rsidR="006B0618" w:rsidRPr="0053423A">
              <w:rPr>
                <w:rFonts w:cs="Sylfaen"/>
                <w:noProof/>
                <w:lang w:val="pt-BR"/>
              </w:rPr>
              <w:t xml:space="preserve"> 2019 </w:t>
            </w:r>
            <w:r w:rsidR="006B0618" w:rsidRPr="0053423A">
              <w:rPr>
                <w:rFonts w:cs="Sylfaen"/>
                <w:noProof/>
              </w:rPr>
              <w:t>թվականի</w:t>
            </w:r>
            <w:r w:rsidR="006B0618" w:rsidRPr="0053423A">
              <w:rPr>
                <w:rFonts w:cs="Sylfaen"/>
                <w:noProof/>
                <w:lang w:val="pt-BR"/>
              </w:rPr>
              <w:t xml:space="preserve"> </w:t>
            </w:r>
            <w:r w:rsidR="006B0618" w:rsidRPr="0053423A">
              <w:rPr>
                <w:rFonts w:cs="Sylfaen"/>
                <w:noProof/>
              </w:rPr>
              <w:t>փետրվարի</w:t>
            </w:r>
            <w:r w:rsidR="006B0618" w:rsidRPr="0053423A">
              <w:rPr>
                <w:rFonts w:cs="Sylfaen"/>
                <w:noProof/>
                <w:lang w:val="pt-BR"/>
              </w:rPr>
              <w:t xml:space="preserve"> 8-</w:t>
            </w:r>
            <w:r w:rsidR="006B0618" w:rsidRPr="0053423A">
              <w:rPr>
                <w:rFonts w:cs="Sylfaen"/>
                <w:noProof/>
              </w:rPr>
              <w:t>ի</w:t>
            </w:r>
            <w:r w:rsidR="006B0618" w:rsidRPr="0053423A">
              <w:rPr>
                <w:rFonts w:cs="Sylfaen"/>
                <w:noProof/>
                <w:lang w:val="pt-BR"/>
              </w:rPr>
              <w:t xml:space="preserve"> </w:t>
            </w:r>
            <w:r w:rsidR="006B0618" w:rsidRPr="0053423A">
              <w:rPr>
                <w:rFonts w:cs="Sylfaen"/>
                <w:noProof/>
              </w:rPr>
              <w:t>Հայաստանի</w:t>
            </w:r>
            <w:r w:rsidR="006B0618" w:rsidRPr="0053423A">
              <w:rPr>
                <w:rFonts w:cs="Sylfaen"/>
                <w:noProof/>
                <w:lang w:val="pt-BR"/>
              </w:rPr>
              <w:t xml:space="preserve"> </w:t>
            </w:r>
            <w:r w:rsidR="006B0618" w:rsidRPr="0053423A">
              <w:rPr>
                <w:rFonts w:cs="Sylfaen"/>
                <w:noProof/>
              </w:rPr>
              <w:t>Հանրապետության</w:t>
            </w:r>
            <w:r w:rsidR="006B0618" w:rsidRPr="0053423A">
              <w:rPr>
                <w:rFonts w:cs="Sylfaen"/>
                <w:noProof/>
                <w:lang w:val="pt-BR"/>
              </w:rPr>
              <w:t xml:space="preserve"> </w:t>
            </w:r>
            <w:r w:rsidR="006B0618" w:rsidRPr="0053423A">
              <w:rPr>
                <w:rFonts w:cs="Sylfaen"/>
                <w:noProof/>
              </w:rPr>
              <w:t>Կառավարության</w:t>
            </w:r>
            <w:r w:rsidR="006B0618" w:rsidRPr="0053423A">
              <w:rPr>
                <w:rFonts w:cs="Sylfaen"/>
                <w:noProof/>
                <w:lang w:val="pt-BR"/>
              </w:rPr>
              <w:t xml:space="preserve"> </w:t>
            </w:r>
            <w:r w:rsidR="006B0618" w:rsidRPr="0053423A">
              <w:rPr>
                <w:rFonts w:cs="Sylfaen"/>
                <w:noProof/>
              </w:rPr>
              <w:t>ծրագրի</w:t>
            </w:r>
            <w:r w:rsidR="006B0618" w:rsidRPr="0053423A">
              <w:rPr>
                <w:rFonts w:cs="Sylfaen"/>
                <w:noProof/>
                <w:lang w:val="pt-BR"/>
              </w:rPr>
              <w:t xml:space="preserve"> </w:t>
            </w:r>
            <w:r w:rsidR="006B0618" w:rsidRPr="0053423A">
              <w:rPr>
                <w:rFonts w:cs="Sylfaen"/>
                <w:noProof/>
              </w:rPr>
              <w:t>մասին</w:t>
            </w:r>
            <w:r w:rsidR="006B0618" w:rsidRPr="0053423A">
              <w:rPr>
                <w:rFonts w:cs="Sylfaen"/>
                <w:noProof/>
                <w:lang w:val="pt-BR"/>
              </w:rPr>
              <w:t xml:space="preserve"> N 65-</w:t>
            </w:r>
            <w:r w:rsidR="006B0618" w:rsidRPr="0053423A">
              <w:rPr>
                <w:rFonts w:cs="Sylfaen"/>
                <w:noProof/>
              </w:rPr>
              <w:t>Ա</w:t>
            </w:r>
            <w:r w:rsidR="006B0618" w:rsidRPr="0053423A">
              <w:rPr>
                <w:rFonts w:cs="Sylfaen"/>
                <w:noProof/>
                <w:lang w:val="pt-BR"/>
              </w:rPr>
              <w:t xml:space="preserve"> </w:t>
            </w:r>
            <w:r w:rsidR="006B0618" w:rsidRPr="0053423A">
              <w:rPr>
                <w:rFonts w:cs="Sylfaen"/>
                <w:noProof/>
              </w:rPr>
              <w:t>որոշման</w:t>
            </w:r>
            <w:r w:rsidR="006B0618" w:rsidRPr="0053423A">
              <w:rPr>
                <w:rFonts w:cs="Sylfaen"/>
                <w:noProof/>
                <w:lang w:val="pt-BR"/>
              </w:rPr>
              <w:t xml:space="preserve"> </w:t>
            </w:r>
            <w:r w:rsidR="006B0618" w:rsidRPr="0053423A">
              <w:rPr>
                <w:rFonts w:cs="Sylfaen"/>
                <w:noProof/>
              </w:rPr>
              <w:t>հավելվածի</w:t>
            </w:r>
            <w:r w:rsidR="006B0618" w:rsidRPr="0053423A">
              <w:rPr>
                <w:rFonts w:cs="Sylfaen"/>
                <w:noProof/>
                <w:lang w:val="pt-BR"/>
              </w:rPr>
              <w:t xml:space="preserve"> 4.8 </w:t>
            </w:r>
            <w:r w:rsidR="006B0618" w:rsidRPr="0053423A">
              <w:rPr>
                <w:rFonts w:cs="Sylfaen"/>
                <w:noProof/>
              </w:rPr>
              <w:t>բաժնի</w:t>
            </w:r>
            <w:r w:rsidR="006B0618" w:rsidRPr="0053423A">
              <w:rPr>
                <w:rFonts w:cs="Sylfaen"/>
                <w:noProof/>
                <w:lang w:val="pt-BR"/>
              </w:rPr>
              <w:t xml:space="preserve"> </w:t>
            </w:r>
            <w:r w:rsidR="006B0618" w:rsidRPr="0053423A">
              <w:rPr>
                <w:rFonts w:cs="Sylfaen"/>
                <w:noProof/>
              </w:rPr>
              <w:t>Կենսաբազմազանության</w:t>
            </w:r>
            <w:r w:rsidR="006B0618" w:rsidRPr="0053423A">
              <w:rPr>
                <w:rFonts w:cs="Sylfaen"/>
                <w:noProof/>
                <w:lang w:val="pt-BR"/>
              </w:rPr>
              <w:t xml:space="preserve"> </w:t>
            </w:r>
            <w:r w:rsidR="006B0618" w:rsidRPr="0053423A">
              <w:rPr>
                <w:rFonts w:cs="Sylfaen"/>
                <w:noProof/>
              </w:rPr>
              <w:t>պահպանություն</w:t>
            </w:r>
            <w:r w:rsidR="006B0618" w:rsidRPr="0053423A">
              <w:rPr>
                <w:rFonts w:cs="Sylfaen"/>
                <w:noProof/>
                <w:lang w:val="pt-BR"/>
              </w:rPr>
              <w:t xml:space="preserve"> </w:t>
            </w:r>
            <w:r w:rsidR="006B0618" w:rsidRPr="0053423A">
              <w:rPr>
                <w:rFonts w:cs="Sylfaen"/>
                <w:noProof/>
              </w:rPr>
              <w:t>և</w:t>
            </w:r>
            <w:r w:rsidR="006B0618" w:rsidRPr="0053423A">
              <w:rPr>
                <w:rFonts w:cs="Sylfaen"/>
                <w:noProof/>
                <w:lang w:val="pt-BR"/>
              </w:rPr>
              <w:t xml:space="preserve"> </w:t>
            </w:r>
            <w:r w:rsidR="006B0618" w:rsidRPr="0053423A">
              <w:rPr>
                <w:rFonts w:cs="Sylfaen"/>
                <w:noProof/>
              </w:rPr>
              <w:t>կենսաանվտանգության</w:t>
            </w:r>
            <w:r w:rsidR="006B0618" w:rsidRPr="0053423A">
              <w:rPr>
                <w:rFonts w:cs="Sylfaen"/>
                <w:noProof/>
                <w:lang w:val="pt-BR"/>
              </w:rPr>
              <w:t xml:space="preserve"> </w:t>
            </w:r>
            <w:r w:rsidR="006B0618" w:rsidRPr="0053423A">
              <w:rPr>
                <w:rFonts w:cs="Sylfaen"/>
                <w:noProof/>
              </w:rPr>
              <w:t>ապահովում</w:t>
            </w:r>
            <w:r w:rsidR="006B0618" w:rsidRPr="0053423A">
              <w:rPr>
                <w:rFonts w:cs="Sylfaen"/>
                <w:noProof/>
                <w:lang w:val="pt-BR"/>
              </w:rPr>
              <w:t xml:space="preserve">, </w:t>
            </w:r>
            <w:r w:rsidR="006B0618" w:rsidRPr="0053423A">
              <w:rPr>
                <w:rFonts w:cs="Sylfaen"/>
                <w:noProof/>
              </w:rPr>
              <w:t>կենդանական</w:t>
            </w:r>
            <w:r w:rsidR="006B0618" w:rsidRPr="0053423A">
              <w:rPr>
                <w:rFonts w:cs="Sylfaen"/>
                <w:noProof/>
                <w:lang w:val="pt-BR"/>
              </w:rPr>
              <w:t xml:space="preserve"> </w:t>
            </w:r>
            <w:r w:rsidR="006B0618" w:rsidRPr="0053423A">
              <w:rPr>
                <w:rFonts w:cs="Sylfaen"/>
                <w:noProof/>
              </w:rPr>
              <w:t>և</w:t>
            </w:r>
            <w:r w:rsidR="006B0618" w:rsidRPr="0053423A">
              <w:rPr>
                <w:rFonts w:cs="Sylfaen"/>
                <w:noProof/>
                <w:lang w:val="pt-BR"/>
              </w:rPr>
              <w:t xml:space="preserve"> </w:t>
            </w:r>
            <w:r w:rsidR="006B0618" w:rsidRPr="0053423A">
              <w:rPr>
                <w:rFonts w:cs="Sylfaen"/>
                <w:noProof/>
              </w:rPr>
              <w:t>բուսական</w:t>
            </w:r>
            <w:r w:rsidR="006B0618" w:rsidRPr="0053423A">
              <w:rPr>
                <w:rFonts w:cs="Sylfaen"/>
                <w:noProof/>
                <w:lang w:val="pt-BR"/>
              </w:rPr>
              <w:t xml:space="preserve"> </w:t>
            </w:r>
            <w:r w:rsidR="006B0618" w:rsidRPr="0053423A">
              <w:rPr>
                <w:rFonts w:cs="Sylfaen"/>
                <w:noProof/>
              </w:rPr>
              <w:t>աշխարհի</w:t>
            </w:r>
            <w:r w:rsidR="006B0618" w:rsidRPr="0053423A">
              <w:rPr>
                <w:rFonts w:cs="Sylfaen"/>
                <w:noProof/>
                <w:lang w:val="pt-BR"/>
              </w:rPr>
              <w:t xml:space="preserve"> </w:t>
            </w:r>
            <w:r w:rsidR="006B0618" w:rsidRPr="0053423A">
              <w:rPr>
                <w:rFonts w:cs="Sylfaen"/>
                <w:noProof/>
              </w:rPr>
              <w:t>օբյեկտների</w:t>
            </w:r>
            <w:r w:rsidR="006B0618" w:rsidRPr="0053423A">
              <w:rPr>
                <w:rFonts w:cs="Sylfaen"/>
                <w:noProof/>
                <w:lang w:val="pt-BR"/>
              </w:rPr>
              <w:t xml:space="preserve"> </w:t>
            </w:r>
            <w:r w:rsidR="006B0618" w:rsidRPr="0053423A">
              <w:rPr>
                <w:rFonts w:cs="Sylfaen"/>
                <w:noProof/>
              </w:rPr>
              <w:t>հաշվառում</w:t>
            </w:r>
            <w:r w:rsidR="006B0618" w:rsidRPr="0053423A">
              <w:rPr>
                <w:rFonts w:cs="Sylfaen"/>
                <w:noProof/>
                <w:lang w:val="pt-BR"/>
              </w:rPr>
              <w:t xml:space="preserve">  </w:t>
            </w:r>
            <w:r w:rsidR="006B0618" w:rsidRPr="0053423A">
              <w:rPr>
                <w:rFonts w:cs="Sylfaen"/>
                <w:noProof/>
              </w:rPr>
              <w:t>ուղղությունը</w:t>
            </w:r>
            <w:r w:rsidR="006B0618" w:rsidRPr="0053423A">
              <w:rPr>
                <w:rFonts w:cs="Sylfaen"/>
                <w:noProof/>
                <w:lang w:val="pt-BR"/>
              </w:rPr>
              <w:t>:</w:t>
            </w:r>
            <w:r w:rsidR="006B0618" w:rsidRPr="0053423A">
              <w:rPr>
                <w:rFonts w:cs="Sylfaen"/>
                <w:noProof/>
                <w:lang w:val="hy-AM"/>
              </w:rPr>
              <w:t xml:space="preserve"> </w:t>
            </w:r>
          </w:p>
          <w:p w:rsidR="006B0618" w:rsidRPr="0053423A" w:rsidRDefault="006B0618" w:rsidP="00A67858">
            <w:pPr>
              <w:spacing w:line="276" w:lineRule="auto"/>
              <w:ind w:firstLine="709"/>
              <w:jc w:val="both"/>
              <w:rPr>
                <w:rFonts w:cs="Sylfaen"/>
                <w:noProof/>
                <w:lang w:val="hy-AM"/>
              </w:rPr>
            </w:pPr>
            <w:r w:rsidRPr="0053423A">
              <w:rPr>
                <w:rFonts w:cs="Sylfaen"/>
                <w:noProof/>
                <w:lang w:val="hy-AM"/>
              </w:rPr>
              <w:t>«Կենդանական աշխարհի մասին» Հայաստանի Հանրապետության օրենքում փոփոխություններ և լրացումներ կատարելու մասին» Հայաստանի Հանրապետության օրենքի (այսուհետ՝ Օրենք) ընդունման անհրաժեշտությունը բխում է այն Միջազգային պահանջներին և ԵՄ դիրեկտիվների հետ համապատասխանեցնելու, դաշտը կարգավորող ներպետական օրենսդրության ներդաշնակեցման,  անազատ և կիսաազատ պայմաններում վայրի կենդանիների, այդ թվում` Հայաստանի Հանրապետության Կարմիր գրքում գրանցված կենդանիների պահելու և օգտագործելու իրավահարաբերությունները կանոնակարգելու պահանջից։</w:t>
            </w:r>
          </w:p>
          <w:p w:rsidR="006B0618" w:rsidRPr="0053423A" w:rsidRDefault="006B0618" w:rsidP="00A67858">
            <w:pPr>
              <w:tabs>
                <w:tab w:val="left" w:pos="1260"/>
                <w:tab w:val="left" w:pos="1350"/>
              </w:tabs>
              <w:spacing w:line="276" w:lineRule="auto"/>
              <w:ind w:firstLine="706"/>
              <w:jc w:val="both"/>
              <w:rPr>
                <w:b/>
                <w:color w:val="000000"/>
                <w:shd w:val="clear" w:color="auto" w:fill="FFFFFF"/>
                <w:lang w:val="hy-AM"/>
              </w:rPr>
            </w:pPr>
            <w:r w:rsidRPr="0053423A">
              <w:rPr>
                <w:b/>
                <w:color w:val="000000"/>
                <w:shd w:val="clear" w:color="auto" w:fill="FFFFFF"/>
                <w:lang w:val="hy-AM"/>
              </w:rPr>
              <w:t xml:space="preserve">1.1  </w:t>
            </w:r>
            <w:r w:rsidRPr="0053423A">
              <w:rPr>
                <w:rFonts w:cs="Sylfaen"/>
                <w:b/>
                <w:lang w:val="hy-AM"/>
              </w:rPr>
              <w:t>կ</w:t>
            </w:r>
            <w:r w:rsidRPr="0053423A">
              <w:rPr>
                <w:b/>
                <w:lang w:val="hy-AM"/>
              </w:rPr>
              <w:t xml:space="preserve">արգավորման հարաբերությունների ներկա վիճակը և առկա </w:t>
            </w:r>
          </w:p>
          <w:p w:rsidR="006B0618" w:rsidRPr="0053423A" w:rsidRDefault="006B0618" w:rsidP="00A67858">
            <w:pPr>
              <w:spacing w:line="276" w:lineRule="auto"/>
              <w:ind w:right="-1" w:firstLine="709"/>
              <w:contextualSpacing/>
              <w:jc w:val="both"/>
              <w:rPr>
                <w:lang w:val="hy-AM"/>
              </w:rPr>
            </w:pPr>
            <w:r w:rsidRPr="0053423A">
              <w:rPr>
                <w:lang w:val="fi-FI"/>
              </w:rPr>
              <w:t>«</w:t>
            </w:r>
            <w:r w:rsidRPr="0053423A">
              <w:rPr>
                <w:rFonts w:cs="Sylfaen"/>
                <w:lang w:val="hy-AM"/>
              </w:rPr>
              <w:t>Հայաստանի</w:t>
            </w:r>
            <w:r w:rsidRPr="0053423A">
              <w:rPr>
                <w:lang w:val="fi-FI"/>
              </w:rPr>
              <w:t xml:space="preserve"> </w:t>
            </w:r>
            <w:r w:rsidRPr="0053423A">
              <w:rPr>
                <w:rFonts w:cs="Sylfaen"/>
                <w:lang w:val="hy-AM"/>
              </w:rPr>
              <w:t>Հանրապետության</w:t>
            </w:r>
            <w:r w:rsidRPr="0053423A">
              <w:rPr>
                <w:lang w:val="fi-FI"/>
              </w:rPr>
              <w:t xml:space="preserve"> </w:t>
            </w:r>
            <w:r w:rsidRPr="0053423A">
              <w:rPr>
                <w:rFonts w:cs="Sylfaen"/>
                <w:lang w:val="hy-AM"/>
              </w:rPr>
              <w:t>կենսաբանական</w:t>
            </w:r>
            <w:r w:rsidRPr="0053423A">
              <w:rPr>
                <w:lang w:val="fi-FI"/>
              </w:rPr>
              <w:t xml:space="preserve"> </w:t>
            </w:r>
            <w:r w:rsidRPr="0053423A">
              <w:rPr>
                <w:rFonts w:cs="Sylfaen"/>
                <w:lang w:val="hy-AM"/>
              </w:rPr>
              <w:t>բազմազանության</w:t>
            </w:r>
            <w:r w:rsidRPr="0053423A">
              <w:rPr>
                <w:lang w:val="fi-FI"/>
              </w:rPr>
              <w:t xml:space="preserve"> </w:t>
            </w:r>
            <w:r w:rsidRPr="0053423A">
              <w:rPr>
                <w:rFonts w:cs="Sylfaen"/>
                <w:lang w:val="hy-AM"/>
              </w:rPr>
              <w:t>պահպանության</w:t>
            </w:r>
            <w:r w:rsidRPr="0053423A">
              <w:rPr>
                <w:lang w:val="fi-FI"/>
              </w:rPr>
              <w:t xml:space="preserve">, </w:t>
            </w:r>
            <w:r w:rsidRPr="0053423A">
              <w:rPr>
                <w:rFonts w:cs="Sylfaen"/>
                <w:lang w:val="hy-AM"/>
              </w:rPr>
              <w:t>պաշտպանության</w:t>
            </w:r>
            <w:r w:rsidRPr="0053423A">
              <w:rPr>
                <w:lang w:val="fi-FI"/>
              </w:rPr>
              <w:t xml:space="preserve">, </w:t>
            </w:r>
            <w:r w:rsidRPr="0053423A">
              <w:rPr>
                <w:rFonts w:cs="Sylfaen"/>
                <w:lang w:val="hy-AM"/>
              </w:rPr>
              <w:t>վերարտադրության</w:t>
            </w:r>
            <w:r w:rsidRPr="0053423A">
              <w:rPr>
                <w:lang w:val="fi-FI"/>
              </w:rPr>
              <w:t xml:space="preserve"> </w:t>
            </w:r>
            <w:r w:rsidRPr="0053423A">
              <w:rPr>
                <w:rFonts w:cs="Sylfaen"/>
                <w:lang w:val="hy-AM"/>
              </w:rPr>
              <w:t>և</w:t>
            </w:r>
            <w:r w:rsidRPr="0053423A">
              <w:rPr>
                <w:lang w:val="fi-FI"/>
              </w:rPr>
              <w:t xml:space="preserve"> </w:t>
            </w:r>
            <w:r w:rsidRPr="0053423A">
              <w:rPr>
                <w:rFonts w:cs="Sylfaen"/>
                <w:lang w:val="hy-AM"/>
              </w:rPr>
              <w:t>օգտագործման</w:t>
            </w:r>
            <w:r w:rsidRPr="0053423A">
              <w:rPr>
                <w:lang w:val="fi-FI"/>
              </w:rPr>
              <w:t xml:space="preserve"> </w:t>
            </w:r>
            <w:r w:rsidRPr="0053423A">
              <w:rPr>
                <w:rFonts w:cs="Sylfaen"/>
                <w:lang w:val="hy-AM"/>
              </w:rPr>
              <w:t>բնագավառներում</w:t>
            </w:r>
            <w:r w:rsidRPr="0053423A">
              <w:rPr>
                <w:lang w:val="fi-FI"/>
              </w:rPr>
              <w:t xml:space="preserve"> </w:t>
            </w:r>
            <w:r w:rsidRPr="0053423A">
              <w:rPr>
                <w:rFonts w:cs="Sylfaen"/>
                <w:lang w:val="hy-AM"/>
              </w:rPr>
              <w:t>ռազմավարությանը</w:t>
            </w:r>
            <w:r w:rsidRPr="0053423A">
              <w:rPr>
                <w:lang w:val="fi-FI"/>
              </w:rPr>
              <w:t xml:space="preserve"> </w:t>
            </w:r>
            <w:r w:rsidRPr="0053423A">
              <w:rPr>
                <w:rFonts w:cs="Sylfaen"/>
                <w:lang w:val="hy-AM"/>
              </w:rPr>
              <w:t>և</w:t>
            </w:r>
            <w:r w:rsidRPr="0053423A">
              <w:rPr>
                <w:lang w:val="fi-FI"/>
              </w:rPr>
              <w:t xml:space="preserve"> </w:t>
            </w:r>
            <w:r w:rsidRPr="0053423A">
              <w:rPr>
                <w:rFonts w:cs="Sylfaen"/>
                <w:lang w:val="hy-AM"/>
              </w:rPr>
              <w:t>գործողությունների</w:t>
            </w:r>
            <w:r w:rsidRPr="0053423A">
              <w:rPr>
                <w:lang w:val="fi-FI"/>
              </w:rPr>
              <w:t xml:space="preserve"> </w:t>
            </w:r>
            <w:r w:rsidRPr="0053423A">
              <w:rPr>
                <w:rFonts w:cs="Sylfaen"/>
                <w:lang w:val="hy-AM"/>
              </w:rPr>
              <w:t>ազգային</w:t>
            </w:r>
            <w:r w:rsidRPr="0053423A">
              <w:rPr>
                <w:lang w:val="fi-FI"/>
              </w:rPr>
              <w:t xml:space="preserve"> </w:t>
            </w:r>
            <w:r w:rsidRPr="0053423A">
              <w:rPr>
                <w:rFonts w:cs="Sylfaen"/>
                <w:lang w:val="hy-AM"/>
              </w:rPr>
              <w:t>ծրագրին</w:t>
            </w:r>
            <w:r w:rsidRPr="0053423A">
              <w:rPr>
                <w:lang w:val="fi-FI"/>
              </w:rPr>
              <w:t xml:space="preserve"> </w:t>
            </w:r>
            <w:r w:rsidRPr="0053423A">
              <w:rPr>
                <w:rFonts w:cs="Sylfaen"/>
                <w:lang w:val="hy-AM"/>
              </w:rPr>
              <w:t>հավանություն</w:t>
            </w:r>
            <w:r w:rsidRPr="0053423A">
              <w:rPr>
                <w:lang w:val="fi-FI"/>
              </w:rPr>
              <w:t xml:space="preserve"> </w:t>
            </w:r>
            <w:r w:rsidRPr="0053423A">
              <w:rPr>
                <w:rFonts w:cs="Sylfaen"/>
                <w:lang w:val="hy-AM"/>
              </w:rPr>
              <w:t>տալու</w:t>
            </w:r>
            <w:r w:rsidRPr="0053423A">
              <w:rPr>
                <w:lang w:val="fi-FI"/>
              </w:rPr>
              <w:t xml:space="preserve"> </w:t>
            </w:r>
            <w:r w:rsidRPr="0053423A">
              <w:rPr>
                <w:rFonts w:cs="Sylfaen"/>
                <w:lang w:val="hy-AM"/>
              </w:rPr>
              <w:t>մասին</w:t>
            </w:r>
            <w:r w:rsidRPr="0053423A">
              <w:rPr>
                <w:lang w:val="fi-FI"/>
              </w:rPr>
              <w:t xml:space="preserve">» N 54 </w:t>
            </w:r>
            <w:r w:rsidRPr="0053423A">
              <w:rPr>
                <w:rFonts w:cs="Sylfaen"/>
                <w:lang w:val="hy-AM"/>
              </w:rPr>
              <w:t>արձանագրային</w:t>
            </w:r>
            <w:r w:rsidRPr="0053423A">
              <w:rPr>
                <w:lang w:val="fi-FI"/>
              </w:rPr>
              <w:t xml:space="preserve"> </w:t>
            </w:r>
            <w:r w:rsidRPr="0053423A">
              <w:rPr>
                <w:rFonts w:cs="Sylfaen"/>
                <w:lang w:val="hy-AM"/>
              </w:rPr>
              <w:t>որոշման</w:t>
            </w:r>
            <w:r w:rsidRPr="0053423A">
              <w:rPr>
                <w:lang w:val="fi-FI"/>
              </w:rPr>
              <w:t xml:space="preserve"> </w:t>
            </w:r>
            <w:r w:rsidRPr="0053423A">
              <w:rPr>
                <w:lang w:val="hy-AM"/>
              </w:rPr>
              <w:t xml:space="preserve"> պահանջից ելնելով նախաձեռնվել է </w:t>
            </w:r>
            <w:r w:rsidRPr="0053423A">
              <w:rPr>
                <w:rFonts w:cs="Sylfaen"/>
                <w:lang w:val="hy-AM"/>
              </w:rPr>
              <w:t>Օրենքի մշակման գործընթաց՝ նպատակ հետապնդելով սահմանել կենսաբանական պաշարների գնահատման և</w:t>
            </w:r>
            <w:r w:rsidRPr="0053423A">
              <w:rPr>
                <w:rFonts w:cs="Sylfaen"/>
                <w:lang w:val="af-ZA"/>
              </w:rPr>
              <w:t xml:space="preserve"> </w:t>
            </w:r>
            <w:r w:rsidRPr="0053423A">
              <w:rPr>
                <w:rFonts w:cs="Sylfaen"/>
                <w:lang w:val="hy-AM"/>
              </w:rPr>
              <w:t>օգտագործման</w:t>
            </w:r>
            <w:r w:rsidRPr="0053423A">
              <w:rPr>
                <w:rFonts w:cs="Sylfaen"/>
                <w:lang w:val="af-ZA"/>
              </w:rPr>
              <w:t xml:space="preserve"> </w:t>
            </w:r>
            <w:r w:rsidRPr="0053423A">
              <w:rPr>
                <w:rFonts w:cs="Sylfaen"/>
                <w:lang w:val="hy-AM"/>
              </w:rPr>
              <w:t>ենթակա</w:t>
            </w:r>
            <w:r w:rsidRPr="0053423A">
              <w:rPr>
                <w:rFonts w:cs="Sylfaen"/>
                <w:lang w:val="af-ZA"/>
              </w:rPr>
              <w:t xml:space="preserve"> </w:t>
            </w:r>
            <w:r w:rsidRPr="0053423A">
              <w:rPr>
                <w:rFonts w:cs="Sylfaen"/>
                <w:lang w:val="hy-AM"/>
              </w:rPr>
              <w:t>չափաքանակների</w:t>
            </w:r>
            <w:r w:rsidRPr="0053423A">
              <w:rPr>
                <w:rFonts w:cs="Sylfaen"/>
                <w:lang w:val="af-ZA"/>
              </w:rPr>
              <w:t xml:space="preserve"> </w:t>
            </w:r>
            <w:r w:rsidRPr="0053423A">
              <w:rPr>
                <w:rFonts w:cs="Sylfaen"/>
                <w:lang w:val="hy-AM"/>
              </w:rPr>
              <w:t>որոշման</w:t>
            </w:r>
            <w:r w:rsidRPr="0053423A">
              <w:rPr>
                <w:rFonts w:cs="Sylfaen"/>
                <w:lang w:val="af-ZA"/>
              </w:rPr>
              <w:t xml:space="preserve"> </w:t>
            </w:r>
            <w:r w:rsidRPr="0053423A">
              <w:rPr>
                <w:rFonts w:cs="Sylfaen"/>
                <w:lang w:val="hy-AM"/>
              </w:rPr>
              <w:t xml:space="preserve"> մեխանիզմները, </w:t>
            </w:r>
            <w:r w:rsidRPr="0053423A">
              <w:rPr>
                <w:lang w:val="af-ZA"/>
              </w:rPr>
              <w:t xml:space="preserve">կենդանիների անազատ և կիսաազատ պայմաններում պահման թույլտվության տրամադրման </w:t>
            </w:r>
            <w:r w:rsidRPr="0053423A">
              <w:rPr>
                <w:lang w:val="hy-AM"/>
              </w:rPr>
              <w:t>և</w:t>
            </w:r>
            <w:r w:rsidRPr="0053423A">
              <w:rPr>
                <w:lang w:val="af-ZA"/>
              </w:rPr>
              <w:t xml:space="preserve"> </w:t>
            </w:r>
            <w:r w:rsidRPr="0053423A">
              <w:rPr>
                <w:lang w:val="hy-AM"/>
              </w:rPr>
              <w:t>հաշվառման</w:t>
            </w:r>
            <w:r w:rsidRPr="0053423A">
              <w:rPr>
                <w:lang w:val="af-ZA"/>
              </w:rPr>
              <w:t xml:space="preserve"> կարգ</w:t>
            </w:r>
            <w:r w:rsidRPr="0053423A">
              <w:rPr>
                <w:lang w:val="hy-AM"/>
              </w:rPr>
              <w:t xml:space="preserve">ը և կանոնակարգել կենսառեսուրսների </w:t>
            </w:r>
            <w:r w:rsidRPr="0053423A">
              <w:rPr>
                <w:lang w:val="af-ZA"/>
              </w:rPr>
              <w:t>օգտագործման իրավունքներ</w:t>
            </w:r>
            <w:r w:rsidRPr="0053423A">
              <w:rPr>
                <w:lang w:val="hy-AM"/>
              </w:rPr>
              <w:t>ը։</w:t>
            </w:r>
          </w:p>
          <w:p w:rsidR="006B0618" w:rsidRPr="0053423A" w:rsidRDefault="006B0618" w:rsidP="00A67858">
            <w:pPr>
              <w:spacing w:line="276" w:lineRule="auto"/>
              <w:ind w:right="-1" w:firstLine="709"/>
              <w:contextualSpacing/>
              <w:jc w:val="both"/>
              <w:rPr>
                <w:lang w:val="af-ZA"/>
              </w:rPr>
            </w:pPr>
            <w:r w:rsidRPr="0053423A">
              <w:rPr>
                <w:lang w:val="hy-AM"/>
              </w:rPr>
              <w:t xml:space="preserve">Խիստ կարևոր հանգամանք է հանդիսանում նաև 2018 թվականի ապրիլի 11-ին վավերացված </w:t>
            </w:r>
            <w:r w:rsidRPr="0053423A">
              <w:rPr>
                <w:rFonts w:cs="Sylfaen"/>
                <w:bCs/>
                <w:lang w:val="hy-AM"/>
              </w:rPr>
              <w:t>Հայաստանի</w:t>
            </w:r>
            <w:r w:rsidRPr="0053423A">
              <w:rPr>
                <w:bCs/>
                <w:lang w:val="hy-AM"/>
              </w:rPr>
              <w:t xml:space="preserve"> </w:t>
            </w:r>
            <w:r w:rsidRPr="0053423A">
              <w:rPr>
                <w:rFonts w:cs="Sylfaen"/>
                <w:bCs/>
                <w:lang w:val="hy-AM"/>
              </w:rPr>
              <w:t>Հանրապետություն</w:t>
            </w:r>
            <w:r w:rsidRPr="0053423A">
              <w:rPr>
                <w:bCs/>
                <w:lang w:val="hy-AM"/>
              </w:rPr>
              <w:t>-</w:t>
            </w:r>
            <w:r w:rsidRPr="0053423A">
              <w:rPr>
                <w:rFonts w:cs="Sylfaen"/>
                <w:bCs/>
                <w:lang w:val="hy-AM"/>
              </w:rPr>
              <w:t>Եվրոպական</w:t>
            </w:r>
            <w:r w:rsidRPr="0053423A">
              <w:rPr>
                <w:bCs/>
                <w:lang w:val="hy-AM"/>
              </w:rPr>
              <w:t xml:space="preserve"> </w:t>
            </w:r>
            <w:r w:rsidRPr="0053423A">
              <w:rPr>
                <w:rFonts w:cs="Sylfaen"/>
                <w:bCs/>
                <w:lang w:val="hy-AM"/>
              </w:rPr>
              <w:t>Միություն</w:t>
            </w:r>
            <w:r w:rsidRPr="0053423A">
              <w:rPr>
                <w:bCs/>
                <w:lang w:val="hy-AM"/>
              </w:rPr>
              <w:t xml:space="preserve"> </w:t>
            </w:r>
            <w:r w:rsidRPr="0053423A">
              <w:rPr>
                <w:rFonts w:cs="Sylfaen"/>
                <w:bCs/>
                <w:lang w:val="hy-AM"/>
              </w:rPr>
              <w:t>համապարփակ</w:t>
            </w:r>
            <w:r w:rsidRPr="0053423A">
              <w:rPr>
                <w:bCs/>
                <w:lang w:val="hy-AM"/>
              </w:rPr>
              <w:t xml:space="preserve"> </w:t>
            </w:r>
            <w:r w:rsidRPr="0053423A">
              <w:rPr>
                <w:rFonts w:cs="Sylfaen"/>
                <w:bCs/>
                <w:lang w:val="hy-AM"/>
              </w:rPr>
              <w:t>և</w:t>
            </w:r>
            <w:r w:rsidRPr="0053423A">
              <w:rPr>
                <w:bCs/>
                <w:lang w:val="hy-AM"/>
              </w:rPr>
              <w:t xml:space="preserve"> </w:t>
            </w:r>
            <w:r w:rsidRPr="0053423A">
              <w:rPr>
                <w:rFonts w:cs="Sylfaen"/>
                <w:bCs/>
                <w:lang w:val="hy-AM"/>
              </w:rPr>
              <w:t>ընդլայնված</w:t>
            </w:r>
            <w:r w:rsidRPr="0053423A">
              <w:rPr>
                <w:bCs/>
                <w:lang w:val="hy-AM"/>
              </w:rPr>
              <w:t xml:space="preserve"> </w:t>
            </w:r>
            <w:r w:rsidRPr="0053423A">
              <w:rPr>
                <w:rFonts w:cs="Sylfaen"/>
                <w:bCs/>
                <w:lang w:val="hy-AM"/>
              </w:rPr>
              <w:t>գործընկերության</w:t>
            </w:r>
            <w:r w:rsidRPr="0053423A">
              <w:rPr>
                <w:bCs/>
                <w:lang w:val="hy-AM"/>
              </w:rPr>
              <w:t xml:space="preserve"> </w:t>
            </w:r>
            <w:r w:rsidRPr="0053423A">
              <w:rPr>
                <w:rFonts w:cs="Sylfaen"/>
                <w:bCs/>
                <w:lang w:val="hy-AM"/>
              </w:rPr>
              <w:t>համաձայնագիրը</w:t>
            </w:r>
            <w:r w:rsidRPr="0053423A">
              <w:rPr>
                <w:lang w:val="hy-AM"/>
              </w:rPr>
              <w:t>։ Սրա շրջանակներում անհրաժեշտություն է առաջացել ձեռնարկել միջոցառումներ ՀՀ ներպետական օրենսդրության և ԵՄ դիրեկտիվների համապատասխանեցման ուղղությամբ։</w:t>
            </w:r>
          </w:p>
          <w:p w:rsidR="006B0618" w:rsidRPr="0053423A" w:rsidRDefault="006B0618" w:rsidP="00A67858">
            <w:pPr>
              <w:spacing w:line="276" w:lineRule="auto"/>
              <w:ind w:firstLine="709"/>
              <w:jc w:val="both"/>
              <w:rPr>
                <w:rFonts w:cs="Sylfaen"/>
                <w:lang w:val="hy-AM"/>
              </w:rPr>
            </w:pPr>
            <w:r w:rsidRPr="0053423A">
              <w:rPr>
                <w:rFonts w:cs="Sylfaen"/>
                <w:lang w:val="hy-AM"/>
              </w:rPr>
              <w:t xml:space="preserve">2015 թվականին միջազգային մամուլում </w:t>
            </w:r>
            <w:r w:rsidRPr="0053423A">
              <w:rPr>
                <w:rFonts w:cs="Sylfaen"/>
                <w:lang w:val="fi-FI"/>
              </w:rPr>
              <w:t>(Daily Mail)</w:t>
            </w:r>
            <w:r w:rsidRPr="0053423A">
              <w:rPr>
                <w:rFonts w:cs="Sylfaen"/>
                <w:lang w:val="hy-AM"/>
              </w:rPr>
              <w:t xml:space="preserve"> տպագրված Գյումրու մասնավոր կենդանաբանական այգում պահվող կենդանիների թշվառ վիճակին վերաբերող աղմկահարույց հոդվածի հրապարակումից հետո։ Բնապահպանության նախարարի 2016 թվականի հունվարի 14-ի N5-Ա հրամանով ստեղծվեց աշխատանքային խումբ (կազմած նախարարության, հասարակական սեկտորի և միջազգային կազմակերպությունների ներկայացուցիչներից), որի կողմից վերլուծվեց վայրի կենդանիների անազատ պայմաններում պահման դաշտում առկա բացերը և ներկայացվեց խնդրի լուծման առաջարկությունների փաթեթ։ </w:t>
            </w:r>
          </w:p>
          <w:p w:rsidR="006B0618" w:rsidRPr="0053423A" w:rsidRDefault="006B0618" w:rsidP="00A67858">
            <w:pPr>
              <w:pStyle w:val="ListParagraph"/>
              <w:numPr>
                <w:ilvl w:val="1"/>
                <w:numId w:val="38"/>
              </w:numPr>
              <w:tabs>
                <w:tab w:val="left" w:pos="1260"/>
              </w:tabs>
              <w:spacing w:line="276" w:lineRule="auto"/>
              <w:ind w:left="0" w:firstLine="709"/>
              <w:contextualSpacing w:val="0"/>
              <w:jc w:val="both"/>
              <w:rPr>
                <w:b/>
                <w:lang w:val="fi-FI"/>
              </w:rPr>
            </w:pPr>
            <w:r w:rsidRPr="0053423A">
              <w:rPr>
                <w:rFonts w:cs="Sylfaen"/>
                <w:b/>
                <w:lang w:val="hy-AM"/>
              </w:rPr>
              <w:t>ա</w:t>
            </w:r>
            <w:r w:rsidRPr="0053423A">
              <w:rPr>
                <w:b/>
                <w:lang w:val="hy-AM"/>
              </w:rPr>
              <w:t>ռկա խնդիրների առաջարկվող լուծումները</w:t>
            </w:r>
            <w:r w:rsidRPr="0053423A">
              <w:rPr>
                <w:b/>
                <w:i/>
                <w:lang w:val="hy-AM"/>
              </w:rPr>
              <w:t xml:space="preserve"> </w:t>
            </w:r>
          </w:p>
          <w:p w:rsidR="006B0618" w:rsidRPr="0053423A" w:rsidRDefault="006B0618" w:rsidP="00A67858">
            <w:pPr>
              <w:pStyle w:val="ListParagraph"/>
              <w:spacing w:line="276" w:lineRule="auto"/>
              <w:ind w:left="0" w:firstLine="709"/>
              <w:jc w:val="both"/>
              <w:rPr>
                <w:lang w:val="fi-FI"/>
              </w:rPr>
            </w:pPr>
            <w:r w:rsidRPr="0053423A">
              <w:rPr>
                <w:rFonts w:cs="Sylfaen"/>
                <w:color w:val="000000"/>
                <w:shd w:val="clear" w:color="auto" w:fill="FFFFFF"/>
                <w:lang w:val="hy-AM"/>
              </w:rPr>
              <w:t>Օրենքի</w:t>
            </w:r>
            <w:r w:rsidRPr="0053423A">
              <w:rPr>
                <w:color w:val="000000"/>
                <w:shd w:val="clear" w:color="auto" w:fill="FFFFFF"/>
                <w:lang w:val="fr-FR"/>
              </w:rPr>
              <w:t xml:space="preserve"> </w:t>
            </w:r>
            <w:r w:rsidRPr="0053423A">
              <w:rPr>
                <w:color w:val="000000"/>
                <w:shd w:val="clear" w:color="auto" w:fill="FFFFFF"/>
                <w:lang w:val="hy-AM"/>
              </w:rPr>
              <w:t>համապատասխան</w:t>
            </w:r>
            <w:r w:rsidRPr="0053423A">
              <w:rPr>
                <w:color w:val="000000"/>
                <w:shd w:val="clear" w:color="auto" w:fill="FFFFFF"/>
                <w:lang w:val="fr-FR"/>
              </w:rPr>
              <w:t xml:space="preserve"> </w:t>
            </w:r>
            <w:r w:rsidRPr="0053423A">
              <w:rPr>
                <w:color w:val="000000"/>
                <w:shd w:val="clear" w:color="auto" w:fill="FFFFFF"/>
                <w:lang w:val="hy-AM"/>
              </w:rPr>
              <w:t>հոդվածներում</w:t>
            </w:r>
            <w:r w:rsidRPr="0053423A">
              <w:rPr>
                <w:color w:val="000000"/>
                <w:shd w:val="clear" w:color="auto" w:fill="FFFFFF"/>
                <w:lang w:val="fr-FR"/>
              </w:rPr>
              <w:t xml:space="preserve"> </w:t>
            </w:r>
            <w:r w:rsidRPr="0053423A">
              <w:rPr>
                <w:color w:val="000000"/>
                <w:shd w:val="clear" w:color="auto" w:fill="FFFFFF"/>
                <w:lang w:val="hy-AM"/>
              </w:rPr>
              <w:t>նախատեսվում է կատարել</w:t>
            </w:r>
            <w:r w:rsidRPr="0053423A">
              <w:rPr>
                <w:color w:val="000000"/>
                <w:shd w:val="clear" w:color="auto" w:fill="FFFFFF"/>
                <w:lang w:val="fr-FR"/>
              </w:rPr>
              <w:t xml:space="preserve"> </w:t>
            </w:r>
            <w:r w:rsidRPr="0053423A">
              <w:rPr>
                <w:color w:val="000000"/>
                <w:shd w:val="clear" w:color="auto" w:fill="FFFFFF"/>
                <w:lang w:val="hy-AM"/>
              </w:rPr>
              <w:t>համապատասխան</w:t>
            </w:r>
            <w:r w:rsidRPr="0053423A">
              <w:rPr>
                <w:color w:val="000000"/>
                <w:shd w:val="clear" w:color="auto" w:fill="FFFFFF"/>
                <w:lang w:val="fr-FR"/>
              </w:rPr>
              <w:t xml:space="preserve"> </w:t>
            </w:r>
            <w:r w:rsidRPr="0053423A">
              <w:rPr>
                <w:color w:val="000000"/>
                <w:shd w:val="clear" w:color="auto" w:fill="FFFFFF"/>
                <w:lang w:val="hy-AM"/>
              </w:rPr>
              <w:t>փոփոխություններ</w:t>
            </w:r>
            <w:r w:rsidRPr="0053423A">
              <w:rPr>
                <w:color w:val="000000"/>
                <w:shd w:val="clear" w:color="auto" w:fill="FFFFFF"/>
                <w:lang w:val="fr-FR"/>
              </w:rPr>
              <w:t>`</w:t>
            </w:r>
            <w:r w:rsidRPr="0053423A">
              <w:rPr>
                <w:color w:val="000000"/>
                <w:shd w:val="clear" w:color="auto" w:fill="FFFFFF"/>
                <w:lang w:val="hy-AM"/>
              </w:rPr>
              <w:t xml:space="preserve"> </w:t>
            </w:r>
            <w:r w:rsidRPr="0053423A">
              <w:rPr>
                <w:color w:val="000000"/>
                <w:shd w:val="clear" w:color="auto" w:fill="FFFFFF"/>
                <w:lang w:val="fr-FR"/>
              </w:rPr>
              <w:t>նպատակաուղղված դրանց</w:t>
            </w:r>
            <w:r w:rsidRPr="0053423A">
              <w:rPr>
                <w:color w:val="000000"/>
                <w:shd w:val="clear" w:color="auto" w:fill="FFFFFF"/>
                <w:lang w:val="hy-AM"/>
              </w:rPr>
              <w:t xml:space="preserve"> վայրի կենդանիների</w:t>
            </w:r>
            <w:r w:rsidRPr="0053423A">
              <w:rPr>
                <w:color w:val="000000"/>
                <w:shd w:val="clear" w:color="auto" w:fill="FFFFFF"/>
                <w:lang w:val="fr-FR"/>
              </w:rPr>
              <w:t xml:space="preserve"> </w:t>
            </w:r>
            <w:r w:rsidRPr="0053423A">
              <w:rPr>
                <w:color w:val="000000"/>
                <w:lang w:val="hy-AM"/>
              </w:rPr>
              <w:t>պահելու</w:t>
            </w:r>
            <w:r w:rsidRPr="0053423A">
              <w:rPr>
                <w:color w:val="000000"/>
                <w:lang w:val="fr-FR"/>
              </w:rPr>
              <w:t xml:space="preserve"> </w:t>
            </w:r>
            <w:r w:rsidRPr="0053423A">
              <w:rPr>
                <w:lang w:val="hy-AM"/>
              </w:rPr>
              <w:t>գործընթացն</w:t>
            </w:r>
            <w:r w:rsidRPr="0053423A">
              <w:rPr>
                <w:lang w:val="fr-FR"/>
              </w:rPr>
              <w:t xml:space="preserve"> </w:t>
            </w:r>
            <w:r w:rsidRPr="0053423A">
              <w:rPr>
                <w:lang w:val="hy-AM"/>
              </w:rPr>
              <w:t>առավել</w:t>
            </w:r>
            <w:r w:rsidRPr="0053423A">
              <w:rPr>
                <w:lang w:val="fr-FR"/>
              </w:rPr>
              <w:t xml:space="preserve"> </w:t>
            </w:r>
            <w:r w:rsidRPr="0053423A">
              <w:rPr>
                <w:lang w:val="hy-AM"/>
              </w:rPr>
              <w:t>կանոնակարգված</w:t>
            </w:r>
            <w:r w:rsidRPr="0053423A">
              <w:rPr>
                <w:lang w:val="fr-FR"/>
              </w:rPr>
              <w:t xml:space="preserve"> </w:t>
            </w:r>
            <w:r w:rsidRPr="0053423A">
              <w:rPr>
                <w:lang w:val="hy-AM"/>
              </w:rPr>
              <w:t>դարձնելուն, նախատեսվում է սահմանել անցումային դրույթներ, որով Օրենքի ընդունումից հետո վայրի կենդանիներ անազատ պայմաններում պահողներին (անկախ տվյալ վայրի կենդանու ձեռքբերումը հաստատող փաստաթղթի առկայությունից) տրամադրվում է 12 ամիս ժամանակ՝ գալու և լիազոր մարմնից դրանց պահման թույլտվություն ստանալու և դրանց  հաշվառման տվյալները լիազոր մարմնին տրամադրելու համար։</w:t>
            </w:r>
          </w:p>
          <w:p w:rsidR="006B0618" w:rsidRPr="0053423A" w:rsidRDefault="006B0618" w:rsidP="00A67858">
            <w:pPr>
              <w:spacing w:line="276" w:lineRule="auto"/>
              <w:ind w:firstLine="709"/>
              <w:jc w:val="both"/>
              <w:rPr>
                <w:rFonts w:cs="Sylfaen"/>
                <w:lang w:val="hy-AM"/>
              </w:rPr>
            </w:pPr>
            <w:r w:rsidRPr="0053423A">
              <w:rPr>
                <w:lang w:val="fr-FR"/>
              </w:rPr>
              <w:t>Ա</w:t>
            </w:r>
            <w:r w:rsidRPr="0053423A">
              <w:rPr>
                <w:lang w:val="hy-AM"/>
              </w:rPr>
              <w:t>ռաջարկվող</w:t>
            </w:r>
            <w:r w:rsidRPr="0053423A">
              <w:rPr>
                <w:lang w:val="fr-FR"/>
              </w:rPr>
              <w:t xml:space="preserve"> </w:t>
            </w:r>
            <w:r w:rsidRPr="0053423A">
              <w:rPr>
                <w:lang w:val="hy-AM"/>
              </w:rPr>
              <w:t>փոփոխությունների</w:t>
            </w:r>
            <w:r w:rsidRPr="0053423A">
              <w:rPr>
                <w:lang w:val="fr-FR"/>
              </w:rPr>
              <w:t xml:space="preserve"> </w:t>
            </w:r>
            <w:r w:rsidRPr="0053423A">
              <w:rPr>
                <w:lang w:val="hy-AM"/>
              </w:rPr>
              <w:t>միջոցով</w:t>
            </w:r>
            <w:r w:rsidRPr="0053423A">
              <w:rPr>
                <w:lang w:val="fr-FR"/>
              </w:rPr>
              <w:t xml:space="preserve"> </w:t>
            </w:r>
            <w:r w:rsidRPr="0053423A">
              <w:rPr>
                <w:lang w:val="hy-AM"/>
              </w:rPr>
              <w:t>նախատեսվում</w:t>
            </w:r>
            <w:r w:rsidRPr="0053423A">
              <w:rPr>
                <w:lang w:val="fr-FR"/>
              </w:rPr>
              <w:t xml:space="preserve"> </w:t>
            </w:r>
            <w:r w:rsidRPr="0053423A">
              <w:rPr>
                <w:lang w:val="hy-AM"/>
              </w:rPr>
              <w:t>է</w:t>
            </w:r>
            <w:r w:rsidRPr="0053423A">
              <w:rPr>
                <w:lang w:val="fr-FR"/>
              </w:rPr>
              <w:t xml:space="preserve"> </w:t>
            </w:r>
            <w:r w:rsidRPr="0053423A">
              <w:rPr>
                <w:lang w:val="hy-AM"/>
              </w:rPr>
              <w:t>կարգավորել նաև</w:t>
            </w:r>
            <w:r w:rsidRPr="0053423A">
              <w:rPr>
                <w:lang w:val="fr-FR"/>
              </w:rPr>
              <w:t xml:space="preserve"> </w:t>
            </w:r>
            <w:r w:rsidRPr="0053423A">
              <w:rPr>
                <w:lang w:val="hy-AM"/>
              </w:rPr>
              <w:t>կենդանական</w:t>
            </w:r>
            <w:r w:rsidRPr="0053423A">
              <w:rPr>
                <w:lang w:val="fr-FR"/>
              </w:rPr>
              <w:t xml:space="preserve"> </w:t>
            </w:r>
            <w:r w:rsidRPr="0053423A">
              <w:rPr>
                <w:lang w:val="hy-AM"/>
              </w:rPr>
              <w:t>աշխարհի</w:t>
            </w:r>
            <w:r w:rsidRPr="0053423A">
              <w:rPr>
                <w:lang w:val="fr-FR"/>
              </w:rPr>
              <w:t xml:space="preserve"> </w:t>
            </w:r>
            <w:r w:rsidRPr="0053423A">
              <w:rPr>
                <w:lang w:val="hy-AM"/>
              </w:rPr>
              <w:t>օբյեկտների օգտագործման տեսակներին առնչվող</w:t>
            </w:r>
            <w:r w:rsidRPr="0053423A">
              <w:rPr>
                <w:lang w:val="fr-FR"/>
              </w:rPr>
              <w:t xml:space="preserve"> </w:t>
            </w:r>
            <w:r w:rsidRPr="0053423A">
              <w:rPr>
                <w:lang w:val="hy-AM"/>
              </w:rPr>
              <w:t>Օրենքի</w:t>
            </w:r>
            <w:r w:rsidRPr="0053423A">
              <w:rPr>
                <w:lang w:val="fr-FR"/>
              </w:rPr>
              <w:t xml:space="preserve"> </w:t>
            </w:r>
            <w:r w:rsidRPr="0053423A">
              <w:rPr>
                <w:lang w:val="hy-AM"/>
              </w:rPr>
              <w:t>համապատասխան</w:t>
            </w:r>
            <w:r w:rsidRPr="0053423A">
              <w:rPr>
                <w:lang w:val="fr-FR"/>
              </w:rPr>
              <w:t xml:space="preserve"> </w:t>
            </w:r>
            <w:r w:rsidRPr="0053423A">
              <w:rPr>
                <w:lang w:val="hy-AM"/>
              </w:rPr>
              <w:t>հոդվածները՝</w:t>
            </w:r>
            <w:r w:rsidRPr="0053423A">
              <w:rPr>
                <w:rFonts w:cs="Sylfaen"/>
                <w:lang w:val="fi-FI"/>
              </w:rPr>
              <w:t xml:space="preserve"> </w:t>
            </w:r>
            <w:r w:rsidRPr="0053423A">
              <w:rPr>
                <w:rFonts w:cs="Sylfaen"/>
                <w:lang w:val="hy-AM"/>
              </w:rPr>
              <w:t>օգտագործման</w:t>
            </w:r>
            <w:r w:rsidRPr="0053423A">
              <w:rPr>
                <w:rFonts w:cs="Sylfaen"/>
                <w:lang w:val="fr-FR"/>
              </w:rPr>
              <w:t xml:space="preserve"> </w:t>
            </w:r>
            <w:r w:rsidRPr="0053423A">
              <w:rPr>
                <w:rFonts w:cs="Sylfaen"/>
                <w:lang w:val="hy-AM"/>
              </w:rPr>
              <w:t>գործընթացի</w:t>
            </w:r>
            <w:r w:rsidRPr="0053423A">
              <w:rPr>
                <w:lang w:val="fr-FR"/>
              </w:rPr>
              <w:t xml:space="preserve"> </w:t>
            </w:r>
            <w:r w:rsidRPr="0053423A">
              <w:rPr>
                <w:rFonts w:cs="Sylfaen"/>
                <w:lang w:val="hy-AM"/>
              </w:rPr>
              <w:t>կանոնակարգման</w:t>
            </w:r>
            <w:r w:rsidRPr="0053423A">
              <w:rPr>
                <w:rFonts w:cs="Sylfaen"/>
                <w:lang w:val="fr-FR"/>
              </w:rPr>
              <w:t xml:space="preserve"> </w:t>
            </w:r>
            <w:r w:rsidRPr="0053423A">
              <w:rPr>
                <w:rFonts w:cs="Sylfaen"/>
                <w:lang w:val="hy-AM"/>
              </w:rPr>
              <w:t>և</w:t>
            </w:r>
            <w:r w:rsidRPr="0053423A">
              <w:rPr>
                <w:lang w:val="fr-FR"/>
              </w:rPr>
              <w:t xml:space="preserve"> </w:t>
            </w:r>
            <w:r w:rsidRPr="0053423A">
              <w:rPr>
                <w:rFonts w:cs="Sylfaen"/>
                <w:lang w:val="hy-AM"/>
              </w:rPr>
              <w:t>վարչարարության</w:t>
            </w:r>
            <w:r w:rsidRPr="0053423A">
              <w:rPr>
                <w:lang w:val="fr-FR"/>
              </w:rPr>
              <w:t xml:space="preserve"> </w:t>
            </w:r>
            <w:r w:rsidRPr="0053423A">
              <w:rPr>
                <w:rFonts w:cs="Sylfaen"/>
                <w:lang w:val="hy-AM"/>
              </w:rPr>
              <w:t>նվազեցման նպատակով</w:t>
            </w:r>
            <w:r w:rsidRPr="0053423A">
              <w:rPr>
                <w:rFonts w:cs="Sylfaen"/>
                <w:lang w:val="fr-FR"/>
              </w:rPr>
              <w:t>:</w:t>
            </w:r>
            <w:r w:rsidRPr="0053423A">
              <w:rPr>
                <w:rFonts w:cs="Sylfaen"/>
                <w:lang w:val="hy-AM"/>
              </w:rPr>
              <w:t xml:space="preserve"> Կա նաև ՀՀ Սահմանադրությանը համապատասխանեցնելու  պահանջ՝ գործող օրենքի նախաբանում «ՀՀ կենդանական աշխարհը պետության բացառիկ  սեփականությունն է» նախադասությունից անհրաժեշտ է հանել է «բացառիկ» բառը։ </w:t>
            </w:r>
          </w:p>
          <w:p w:rsidR="006B0618" w:rsidRPr="0053423A" w:rsidRDefault="006B0618" w:rsidP="00A67858">
            <w:pPr>
              <w:spacing w:line="276" w:lineRule="auto"/>
              <w:ind w:firstLine="709"/>
              <w:jc w:val="both"/>
              <w:rPr>
                <w:rFonts w:cs="Sylfaen"/>
                <w:noProof/>
                <w:lang w:val="hy-AM"/>
              </w:rPr>
            </w:pPr>
            <w:r w:rsidRPr="0053423A">
              <w:rPr>
                <w:rFonts w:cs="Sylfaen"/>
                <w:lang w:val="hy-AM"/>
              </w:rPr>
              <w:t xml:space="preserve">Առկա է նաև գործող </w:t>
            </w:r>
            <w:r w:rsidRPr="0053423A">
              <w:rPr>
                <w:rFonts w:cs="Sylfaen"/>
                <w:noProof/>
                <w:lang w:val="hy-AM"/>
              </w:rPr>
              <w:t>օրենքում օգտագործված որոշ հասկացությունների ճշգրտման և մի շարք նոր հասկացությունների ավելացման անհրաժեշտություն։</w:t>
            </w:r>
          </w:p>
          <w:p w:rsidR="006B0618" w:rsidRPr="0053423A" w:rsidRDefault="006B0618" w:rsidP="00A67858">
            <w:pPr>
              <w:pStyle w:val="ListParagraph"/>
              <w:spacing w:line="276" w:lineRule="auto"/>
              <w:ind w:left="0" w:firstLine="709"/>
              <w:jc w:val="both"/>
              <w:rPr>
                <w:rFonts w:cs="Sylfaen"/>
                <w:noProof/>
                <w:lang w:val="hy-AM" w:eastAsia="en-GB"/>
              </w:rPr>
            </w:pPr>
            <w:r w:rsidRPr="0053423A">
              <w:rPr>
                <w:rFonts w:cs="Sylfaen"/>
                <w:lang w:val="hy-AM"/>
              </w:rPr>
              <w:t xml:space="preserve">Համակատարող կազմակերպությունները պետք է օժանդակեն նախագծի մշակման աշխատանքներին։ </w:t>
            </w:r>
          </w:p>
          <w:p w:rsidR="006B0618" w:rsidRPr="0053423A" w:rsidRDefault="006B0618" w:rsidP="00A67858">
            <w:pPr>
              <w:spacing w:line="276" w:lineRule="auto"/>
              <w:ind w:firstLine="706"/>
              <w:jc w:val="both"/>
              <w:rPr>
                <w:rFonts w:cs="Sylfaen"/>
                <w:b/>
                <w:i/>
                <w:lang w:val="hy-AM"/>
              </w:rPr>
            </w:pPr>
            <w:r w:rsidRPr="0053423A">
              <w:rPr>
                <w:b/>
                <w:i/>
                <w:lang w:val="hy-AM"/>
              </w:rPr>
              <w:t>2. Միջոցառման իրականացումից ակնկալվող արդյունքը</w:t>
            </w:r>
          </w:p>
          <w:p w:rsidR="006B0618" w:rsidRPr="0053423A" w:rsidRDefault="006B0618" w:rsidP="00A67858">
            <w:pPr>
              <w:spacing w:line="276" w:lineRule="auto"/>
              <w:ind w:firstLine="709"/>
              <w:jc w:val="both"/>
              <w:rPr>
                <w:lang w:val="hy-AM"/>
              </w:rPr>
            </w:pPr>
            <w:r w:rsidRPr="0053423A">
              <w:rPr>
                <w:rFonts w:cs="GHEA Grapalat"/>
                <w:bCs/>
                <w:lang w:val="pt-BR"/>
              </w:rPr>
              <w:t>Միջազգային պահանջներին և ԵՄ դիրեկտիվների հետ համահունչ օրենքի առկայություն</w:t>
            </w:r>
            <w:r w:rsidRPr="0053423A">
              <w:rPr>
                <w:rFonts w:cs="GHEA Grapalat"/>
                <w:bCs/>
                <w:lang w:val="hy-AM"/>
              </w:rPr>
              <w:t>, ա</w:t>
            </w:r>
            <w:r w:rsidRPr="0053423A">
              <w:rPr>
                <w:rFonts w:cs="GHEA Grapalat"/>
                <w:bCs/>
                <w:lang w:val="pt-BR"/>
              </w:rPr>
              <w:t>նազատ և կիսաազատ պայմաններում վայրի կենդանիներ. այդ թվում` ՀՀ կենդանիների Կարմիր գրքում գրանցված կենդանիներ պահելու գործընթացի հստակեցում</w:t>
            </w:r>
            <w:r w:rsidRPr="0053423A">
              <w:rPr>
                <w:rFonts w:cs="GHEA Grapalat"/>
                <w:bCs/>
                <w:lang w:val="hy-AM"/>
              </w:rPr>
              <w:t xml:space="preserve">, </w:t>
            </w:r>
            <w:r w:rsidRPr="0053423A">
              <w:rPr>
                <w:rFonts w:cs="Sylfaen"/>
                <w:noProof/>
                <w:lang w:val="hy-AM"/>
              </w:rPr>
              <w:t xml:space="preserve">կենդանական աշխարհի օբյեկտների օգտագործման գործընթացի կանոնակարգում և վարչարարության նվազեցում։ </w:t>
            </w:r>
            <w:r w:rsidRPr="0053423A">
              <w:rPr>
                <w:rFonts w:cs="Sylfaen"/>
                <w:lang w:val="hy-AM"/>
              </w:rPr>
              <w:t>Լրամշակվել են</w:t>
            </w:r>
            <w:r w:rsidRPr="0053423A">
              <w:rPr>
                <w:rFonts w:cs="Sylfaen"/>
                <w:lang w:val="fr-FR"/>
              </w:rPr>
              <w:t xml:space="preserve"> </w:t>
            </w:r>
            <w:r w:rsidRPr="0053423A">
              <w:rPr>
                <w:rFonts w:cs="Sylfaen"/>
                <w:lang w:val="hy-AM"/>
              </w:rPr>
              <w:t>Օրենքում</w:t>
            </w:r>
            <w:r w:rsidRPr="0053423A">
              <w:rPr>
                <w:lang w:val="hy-AM"/>
              </w:rPr>
              <w:t xml:space="preserve"> </w:t>
            </w:r>
            <w:r w:rsidRPr="0053423A">
              <w:rPr>
                <w:rFonts w:cs="Sylfaen"/>
                <w:lang w:val="hy-AM"/>
              </w:rPr>
              <w:t>օգտագործված</w:t>
            </w:r>
            <w:r w:rsidRPr="0053423A">
              <w:rPr>
                <w:lang w:val="hy-AM"/>
              </w:rPr>
              <w:t xml:space="preserve"> </w:t>
            </w:r>
            <w:r w:rsidRPr="0053423A">
              <w:rPr>
                <w:rFonts w:cs="Sylfaen"/>
                <w:lang w:val="hy-AM"/>
              </w:rPr>
              <w:t>որոշ</w:t>
            </w:r>
            <w:r w:rsidRPr="0053423A">
              <w:rPr>
                <w:lang w:val="hy-AM"/>
              </w:rPr>
              <w:t xml:space="preserve"> </w:t>
            </w:r>
            <w:r w:rsidRPr="0053423A">
              <w:rPr>
                <w:rFonts w:cs="Sylfaen"/>
                <w:lang w:val="hy-AM"/>
              </w:rPr>
              <w:t>հասկացություններ</w:t>
            </w:r>
            <w:r w:rsidRPr="0053423A">
              <w:rPr>
                <w:rFonts w:cs="Sylfaen"/>
                <w:lang w:val="fr-FR"/>
              </w:rPr>
              <w:t xml:space="preserve">, </w:t>
            </w:r>
            <w:r w:rsidRPr="0053423A">
              <w:rPr>
                <w:rFonts w:cs="Sylfaen"/>
                <w:lang w:val="hy-AM"/>
              </w:rPr>
              <w:t>ավելացվել</w:t>
            </w:r>
            <w:r w:rsidRPr="0053423A">
              <w:rPr>
                <w:lang w:val="hy-AM"/>
              </w:rPr>
              <w:t xml:space="preserve"> </w:t>
            </w:r>
            <w:r w:rsidRPr="0053423A">
              <w:rPr>
                <w:rFonts w:cs="Sylfaen"/>
                <w:lang w:val="hy-AM"/>
              </w:rPr>
              <w:t>են</w:t>
            </w:r>
            <w:r w:rsidRPr="0053423A">
              <w:rPr>
                <w:lang w:val="hy-AM"/>
              </w:rPr>
              <w:t xml:space="preserve"> նաև</w:t>
            </w:r>
            <w:r w:rsidRPr="0053423A">
              <w:rPr>
                <w:lang w:val="fr-FR"/>
              </w:rPr>
              <w:t xml:space="preserve"> </w:t>
            </w:r>
            <w:r w:rsidRPr="0053423A">
              <w:rPr>
                <w:lang w:val="hy-AM"/>
              </w:rPr>
              <w:t>մի</w:t>
            </w:r>
            <w:r w:rsidRPr="0053423A">
              <w:rPr>
                <w:lang w:val="fr-FR"/>
              </w:rPr>
              <w:t xml:space="preserve"> </w:t>
            </w:r>
            <w:r w:rsidRPr="0053423A">
              <w:rPr>
                <w:lang w:val="hy-AM"/>
              </w:rPr>
              <w:t>շարք</w:t>
            </w:r>
            <w:r w:rsidRPr="0053423A">
              <w:rPr>
                <w:lang w:val="fr-FR"/>
              </w:rPr>
              <w:t xml:space="preserve"> </w:t>
            </w:r>
            <w:r w:rsidRPr="0053423A">
              <w:rPr>
                <w:lang w:val="hy-AM"/>
              </w:rPr>
              <w:t>նոր</w:t>
            </w:r>
            <w:r w:rsidRPr="0053423A">
              <w:rPr>
                <w:lang w:val="fr-FR"/>
              </w:rPr>
              <w:t xml:space="preserve"> </w:t>
            </w:r>
            <w:r w:rsidRPr="0053423A">
              <w:rPr>
                <w:lang w:val="hy-AM"/>
              </w:rPr>
              <w:t>հասկացություններ, որոնց վերաբերյալ Օ</w:t>
            </w:r>
            <w:r w:rsidRPr="0053423A">
              <w:rPr>
                <w:rFonts w:cs="Sylfaen"/>
                <w:lang w:val="hy-AM"/>
              </w:rPr>
              <w:t>րենքում</w:t>
            </w:r>
            <w:r w:rsidRPr="0053423A">
              <w:rPr>
                <w:lang w:val="hy-AM"/>
              </w:rPr>
              <w:t xml:space="preserve"> ներառվել</w:t>
            </w:r>
            <w:r w:rsidRPr="0053423A">
              <w:rPr>
                <w:lang w:val="fr-FR"/>
              </w:rPr>
              <w:t xml:space="preserve"> </w:t>
            </w:r>
            <w:r w:rsidRPr="0053423A">
              <w:rPr>
                <w:lang w:val="hy-AM"/>
              </w:rPr>
              <w:t xml:space="preserve">են դրույթներ: </w:t>
            </w:r>
          </w:p>
          <w:p w:rsidR="006B0618" w:rsidRPr="0053423A" w:rsidRDefault="006B0618" w:rsidP="00A67858">
            <w:pPr>
              <w:spacing w:line="276" w:lineRule="auto"/>
              <w:ind w:firstLine="709"/>
              <w:jc w:val="both"/>
              <w:rPr>
                <w:lang w:val="hy-AM"/>
              </w:rPr>
            </w:pPr>
          </w:p>
          <w:p w:rsidR="006B0618" w:rsidRPr="0053423A" w:rsidRDefault="006B0618" w:rsidP="00A67858">
            <w:pPr>
              <w:spacing w:line="276" w:lineRule="auto"/>
              <w:ind w:firstLine="709"/>
              <w:jc w:val="center"/>
              <w:rPr>
                <w:rFonts w:cs="GHEA Grapalat"/>
                <w:b/>
                <w:bCs/>
                <w:u w:val="single"/>
                <w:lang w:val="pt-BR"/>
              </w:rPr>
            </w:pPr>
            <w:r w:rsidRPr="0053423A">
              <w:rPr>
                <w:b/>
                <w:u w:val="single"/>
                <w:lang w:val="hy-AM"/>
              </w:rPr>
              <w:t xml:space="preserve">6.2 </w:t>
            </w:r>
            <w:r w:rsidRPr="0053423A">
              <w:rPr>
                <w:rFonts w:cs="GHEA Grapalat"/>
                <w:b/>
                <w:bCs/>
                <w:u w:val="single"/>
                <w:lang w:val="pt-BR"/>
              </w:rPr>
              <w:t xml:space="preserve">«Բուսական աշխարհի մասին» ՀՀ օրենքում փոփոխություններ </w:t>
            </w:r>
            <w:r w:rsidRPr="0053423A">
              <w:rPr>
                <w:rFonts w:cs="GHEA Grapalat"/>
                <w:b/>
                <w:bCs/>
                <w:u w:val="single"/>
                <w:lang w:val="hy-AM"/>
              </w:rPr>
              <w:t>և</w:t>
            </w:r>
            <w:r w:rsidRPr="0053423A">
              <w:rPr>
                <w:rFonts w:cs="GHEA Grapalat"/>
                <w:b/>
                <w:bCs/>
                <w:u w:val="single"/>
                <w:lang w:val="pt-BR"/>
              </w:rPr>
              <w:t xml:space="preserve"> լրացումներ կատարելու մասին» ՀՀ օրենքի </w:t>
            </w:r>
            <w:r w:rsidRPr="0053423A">
              <w:rPr>
                <w:rFonts w:cs="Arial"/>
                <w:b/>
                <w:u w:val="single"/>
                <w:lang w:val="hy-AM"/>
              </w:rPr>
              <w:t>նախագիծը վարչապետի աշխատակազմ ներկայացնելը</w:t>
            </w:r>
            <w:r w:rsidRPr="0053423A">
              <w:rPr>
                <w:rFonts w:cs="GHEA Grapalat"/>
                <w:b/>
                <w:bCs/>
                <w:u w:val="single"/>
                <w:lang w:val="pt-BR"/>
              </w:rPr>
              <w:t>»</w:t>
            </w:r>
          </w:p>
          <w:p w:rsidR="006B0618" w:rsidRPr="0053423A" w:rsidRDefault="006B0618" w:rsidP="00A67858">
            <w:pPr>
              <w:spacing w:line="276" w:lineRule="auto"/>
              <w:ind w:firstLine="709"/>
              <w:jc w:val="center"/>
              <w:rPr>
                <w:rFonts w:cs="GHEA Grapalat"/>
                <w:b/>
                <w:bCs/>
                <w:u w:val="single"/>
                <w:lang w:val="pt-BR"/>
              </w:rPr>
            </w:pPr>
          </w:p>
          <w:p w:rsidR="006B0618" w:rsidRPr="0053423A" w:rsidRDefault="00B009C2" w:rsidP="001F6D5D">
            <w:pPr>
              <w:pStyle w:val="ListParagraph"/>
              <w:numPr>
                <w:ilvl w:val="0"/>
                <w:numId w:val="302"/>
              </w:numPr>
              <w:spacing w:line="276" w:lineRule="auto"/>
              <w:ind w:hanging="167"/>
              <w:rPr>
                <w:b/>
                <w:i/>
                <w:lang w:val="hy-AM" w:eastAsia="en-GB"/>
              </w:rPr>
            </w:pPr>
            <w:r w:rsidRPr="0053423A">
              <w:rPr>
                <w:rFonts w:cs="Sylfaen"/>
                <w:b/>
                <w:i/>
                <w:lang w:val="hy-AM" w:eastAsia="en-GB"/>
              </w:rPr>
              <w:t xml:space="preserve"> </w:t>
            </w:r>
            <w:r w:rsidR="006B0618" w:rsidRPr="0053423A">
              <w:rPr>
                <w:rFonts w:cs="Sylfaen"/>
                <w:b/>
                <w:i/>
                <w:lang w:val="hy-AM" w:eastAsia="en-GB"/>
              </w:rPr>
              <w:t>Միջոցառման</w:t>
            </w:r>
            <w:r w:rsidR="006B0618" w:rsidRPr="0053423A">
              <w:rPr>
                <w:b/>
                <w:i/>
                <w:lang w:val="hy-AM" w:eastAsia="en-GB"/>
              </w:rPr>
              <w:t xml:space="preserve"> </w:t>
            </w:r>
            <w:r w:rsidR="006B0618" w:rsidRPr="0053423A">
              <w:rPr>
                <w:rFonts w:cs="Sylfaen"/>
                <w:b/>
                <w:i/>
                <w:lang w:val="hy-AM" w:eastAsia="en-GB"/>
              </w:rPr>
              <w:t>իրականացման</w:t>
            </w:r>
            <w:r w:rsidR="006B0618" w:rsidRPr="0053423A">
              <w:rPr>
                <w:b/>
                <w:i/>
                <w:lang w:val="hy-AM" w:eastAsia="en-GB"/>
              </w:rPr>
              <w:t xml:space="preserve"> </w:t>
            </w:r>
            <w:r w:rsidR="006B0618" w:rsidRPr="0053423A">
              <w:rPr>
                <w:rFonts w:cs="Sylfaen"/>
                <w:b/>
                <w:i/>
                <w:lang w:val="hy-AM" w:eastAsia="en-GB"/>
              </w:rPr>
              <w:t>անհրաժեշտությունը</w:t>
            </w:r>
            <w:r w:rsidR="006B0618" w:rsidRPr="0053423A">
              <w:rPr>
                <w:b/>
                <w:i/>
                <w:lang w:val="hy-AM" w:eastAsia="en-GB"/>
              </w:rPr>
              <w:t xml:space="preserve"> </w:t>
            </w:r>
            <w:r w:rsidR="006B0618" w:rsidRPr="0053423A">
              <w:rPr>
                <w:rFonts w:cs="Sylfaen"/>
                <w:b/>
                <w:i/>
                <w:lang w:val="hy-AM" w:eastAsia="en-GB"/>
              </w:rPr>
              <w:t>և</w:t>
            </w:r>
            <w:r w:rsidR="006B0618" w:rsidRPr="0053423A">
              <w:rPr>
                <w:b/>
                <w:i/>
                <w:lang w:val="hy-AM" w:eastAsia="en-GB"/>
              </w:rPr>
              <w:t xml:space="preserve"> </w:t>
            </w:r>
            <w:r w:rsidR="006B0618" w:rsidRPr="0053423A">
              <w:rPr>
                <w:rFonts w:cs="Sylfaen"/>
                <w:b/>
                <w:i/>
                <w:lang w:val="hy-AM" w:eastAsia="en-GB"/>
              </w:rPr>
              <w:t>նպատակը</w:t>
            </w:r>
          </w:p>
          <w:p w:rsidR="006B0618" w:rsidRPr="0053423A" w:rsidRDefault="00B009C2" w:rsidP="00A67858">
            <w:pPr>
              <w:tabs>
                <w:tab w:val="left" w:pos="993"/>
              </w:tabs>
              <w:suppressAutoHyphens/>
              <w:spacing w:line="276" w:lineRule="auto"/>
              <w:jc w:val="both"/>
              <w:rPr>
                <w:rFonts w:cs="Sylfaen"/>
                <w:noProof/>
                <w:lang w:val="pt-BR"/>
              </w:rPr>
            </w:pPr>
            <w:r w:rsidRPr="0053423A">
              <w:rPr>
                <w:rFonts w:cs="Sylfaen"/>
                <w:noProof/>
                <w:lang w:val="hy-AM"/>
              </w:rPr>
              <w:t xml:space="preserve">        </w:t>
            </w:r>
            <w:r w:rsidR="00232EB0" w:rsidRPr="0053423A">
              <w:rPr>
                <w:rFonts w:cs="Sylfaen"/>
                <w:noProof/>
                <w:lang w:val="hy-AM"/>
              </w:rPr>
              <w:t>Միջո</w:t>
            </w:r>
            <w:r w:rsidR="006B0618" w:rsidRPr="0053423A">
              <w:rPr>
                <w:rFonts w:cs="Sylfaen"/>
                <w:noProof/>
                <w:lang w:val="hy-AM"/>
              </w:rPr>
              <w:t>ցառման</w:t>
            </w:r>
            <w:r w:rsidR="006B0618" w:rsidRPr="0053423A">
              <w:rPr>
                <w:rFonts w:cs="Sylfaen"/>
                <w:noProof/>
                <w:lang w:val="pt-BR"/>
              </w:rPr>
              <w:t xml:space="preserve"> </w:t>
            </w:r>
            <w:r w:rsidR="006B0618" w:rsidRPr="0053423A">
              <w:rPr>
                <w:rFonts w:cs="Sylfaen"/>
                <w:noProof/>
                <w:lang w:val="hy-AM"/>
              </w:rPr>
              <w:t>իրականացման</w:t>
            </w:r>
            <w:r w:rsidR="006B0618" w:rsidRPr="0053423A">
              <w:rPr>
                <w:rFonts w:cs="Sylfaen"/>
                <w:noProof/>
                <w:lang w:val="pt-BR"/>
              </w:rPr>
              <w:t xml:space="preserve"> </w:t>
            </w:r>
            <w:r w:rsidR="006B0618" w:rsidRPr="0053423A">
              <w:rPr>
                <w:rFonts w:cs="Sylfaen"/>
                <w:noProof/>
                <w:lang w:val="hy-AM"/>
              </w:rPr>
              <w:t>համար</w:t>
            </w:r>
            <w:r w:rsidR="006B0618" w:rsidRPr="0053423A">
              <w:rPr>
                <w:rFonts w:cs="Sylfaen"/>
                <w:noProof/>
                <w:lang w:val="pt-BR"/>
              </w:rPr>
              <w:t xml:space="preserve"> </w:t>
            </w:r>
            <w:r w:rsidR="006B0618" w:rsidRPr="0053423A">
              <w:rPr>
                <w:rFonts w:cs="Sylfaen"/>
                <w:noProof/>
                <w:lang w:val="hy-AM"/>
              </w:rPr>
              <w:t>հիմք</w:t>
            </w:r>
            <w:r w:rsidR="006B0618" w:rsidRPr="0053423A">
              <w:rPr>
                <w:rFonts w:cs="Sylfaen"/>
                <w:noProof/>
                <w:lang w:val="pt-BR"/>
              </w:rPr>
              <w:t xml:space="preserve"> </w:t>
            </w:r>
            <w:r w:rsidR="006B0618" w:rsidRPr="0053423A">
              <w:rPr>
                <w:rFonts w:cs="Sylfaen"/>
                <w:noProof/>
                <w:lang w:val="hy-AM"/>
              </w:rPr>
              <w:t>է</w:t>
            </w:r>
            <w:r w:rsidR="006B0618" w:rsidRPr="0053423A">
              <w:rPr>
                <w:rFonts w:cs="Sylfaen"/>
                <w:noProof/>
                <w:lang w:val="pt-BR"/>
              </w:rPr>
              <w:t xml:space="preserve"> </w:t>
            </w:r>
            <w:r w:rsidR="006B0618" w:rsidRPr="0053423A">
              <w:rPr>
                <w:rFonts w:cs="Sylfaen"/>
                <w:noProof/>
                <w:lang w:val="hy-AM"/>
              </w:rPr>
              <w:t>հանդիսացել</w:t>
            </w:r>
            <w:r w:rsidR="006B0618" w:rsidRPr="0053423A">
              <w:rPr>
                <w:rFonts w:cs="Sylfaen"/>
                <w:noProof/>
                <w:lang w:val="pt-BR"/>
              </w:rPr>
              <w:t xml:space="preserve"> </w:t>
            </w:r>
            <w:r w:rsidR="006B0618" w:rsidRPr="0053423A">
              <w:rPr>
                <w:rFonts w:cs="Sylfaen"/>
                <w:noProof/>
                <w:lang w:val="hy-AM"/>
              </w:rPr>
              <w:t>Կառավարության</w:t>
            </w:r>
            <w:r w:rsidR="006B0618" w:rsidRPr="0053423A">
              <w:rPr>
                <w:rFonts w:cs="Sylfaen"/>
                <w:noProof/>
                <w:lang w:val="pt-BR"/>
              </w:rPr>
              <w:t xml:space="preserve"> 2019 </w:t>
            </w:r>
            <w:r w:rsidR="006B0618" w:rsidRPr="0053423A">
              <w:rPr>
                <w:rFonts w:cs="Sylfaen"/>
                <w:noProof/>
                <w:lang w:val="hy-AM"/>
              </w:rPr>
              <w:t>թվականի</w:t>
            </w:r>
            <w:r w:rsidR="006B0618" w:rsidRPr="0053423A">
              <w:rPr>
                <w:rFonts w:cs="Sylfaen"/>
                <w:noProof/>
                <w:lang w:val="pt-BR"/>
              </w:rPr>
              <w:t xml:space="preserve"> </w:t>
            </w:r>
            <w:r w:rsidR="006B0618" w:rsidRPr="0053423A">
              <w:rPr>
                <w:rFonts w:cs="Sylfaen"/>
                <w:noProof/>
                <w:lang w:val="hy-AM"/>
              </w:rPr>
              <w:t>փետրվարի</w:t>
            </w:r>
            <w:r w:rsidR="006B0618" w:rsidRPr="0053423A">
              <w:rPr>
                <w:rFonts w:cs="Sylfaen"/>
                <w:noProof/>
                <w:lang w:val="pt-BR"/>
              </w:rPr>
              <w:t xml:space="preserve"> 8-</w:t>
            </w:r>
            <w:r w:rsidR="006B0618" w:rsidRPr="0053423A">
              <w:rPr>
                <w:rFonts w:cs="Sylfaen"/>
                <w:noProof/>
                <w:lang w:val="hy-AM"/>
              </w:rPr>
              <w:t>ի</w:t>
            </w:r>
            <w:r w:rsidR="006B0618" w:rsidRPr="0053423A">
              <w:rPr>
                <w:rFonts w:cs="Sylfaen"/>
                <w:noProof/>
                <w:lang w:val="pt-BR"/>
              </w:rPr>
              <w:t xml:space="preserve"> </w:t>
            </w:r>
            <w:r w:rsidR="006B0618" w:rsidRPr="0053423A">
              <w:rPr>
                <w:rFonts w:cs="Sylfaen"/>
                <w:noProof/>
                <w:lang w:val="hy-AM"/>
              </w:rPr>
              <w:t>Հայաստանի</w:t>
            </w:r>
            <w:r w:rsidR="006B0618" w:rsidRPr="0053423A">
              <w:rPr>
                <w:rFonts w:cs="Sylfaen"/>
                <w:noProof/>
                <w:lang w:val="pt-BR"/>
              </w:rPr>
              <w:t xml:space="preserve"> </w:t>
            </w:r>
            <w:r w:rsidR="006B0618" w:rsidRPr="0053423A">
              <w:rPr>
                <w:rFonts w:cs="Sylfaen"/>
                <w:noProof/>
                <w:lang w:val="hy-AM"/>
              </w:rPr>
              <w:t>Հանրապետության</w:t>
            </w:r>
            <w:r w:rsidR="006B0618" w:rsidRPr="0053423A">
              <w:rPr>
                <w:rFonts w:cs="Sylfaen"/>
                <w:noProof/>
                <w:lang w:val="pt-BR"/>
              </w:rPr>
              <w:t xml:space="preserve"> </w:t>
            </w:r>
            <w:r w:rsidR="006B0618" w:rsidRPr="0053423A">
              <w:rPr>
                <w:rFonts w:cs="Sylfaen"/>
                <w:noProof/>
                <w:lang w:val="hy-AM"/>
              </w:rPr>
              <w:t>Կառավարության</w:t>
            </w:r>
            <w:r w:rsidR="006B0618" w:rsidRPr="0053423A">
              <w:rPr>
                <w:rFonts w:cs="Sylfaen"/>
                <w:noProof/>
                <w:lang w:val="pt-BR"/>
              </w:rPr>
              <w:t xml:space="preserve"> </w:t>
            </w:r>
            <w:r w:rsidR="006B0618" w:rsidRPr="0053423A">
              <w:rPr>
                <w:rFonts w:cs="Sylfaen"/>
                <w:noProof/>
                <w:lang w:val="hy-AM"/>
              </w:rPr>
              <w:t>ծրագրի</w:t>
            </w:r>
            <w:r w:rsidR="006B0618" w:rsidRPr="0053423A">
              <w:rPr>
                <w:rFonts w:cs="Sylfaen"/>
                <w:noProof/>
                <w:lang w:val="pt-BR"/>
              </w:rPr>
              <w:t xml:space="preserve"> </w:t>
            </w:r>
            <w:r w:rsidR="006B0618" w:rsidRPr="0053423A">
              <w:rPr>
                <w:rFonts w:cs="Sylfaen"/>
                <w:noProof/>
                <w:lang w:val="hy-AM"/>
              </w:rPr>
              <w:t>մասին</w:t>
            </w:r>
            <w:r w:rsidR="006B0618" w:rsidRPr="0053423A">
              <w:rPr>
                <w:rFonts w:cs="Sylfaen"/>
                <w:noProof/>
                <w:lang w:val="pt-BR"/>
              </w:rPr>
              <w:t xml:space="preserve"> N 65-</w:t>
            </w:r>
            <w:r w:rsidR="006B0618" w:rsidRPr="0053423A">
              <w:rPr>
                <w:rFonts w:cs="Sylfaen"/>
                <w:noProof/>
                <w:lang w:val="hy-AM"/>
              </w:rPr>
              <w:t>Ա</w:t>
            </w:r>
            <w:r w:rsidR="006B0618" w:rsidRPr="0053423A">
              <w:rPr>
                <w:rFonts w:cs="Sylfaen"/>
                <w:noProof/>
                <w:lang w:val="pt-BR"/>
              </w:rPr>
              <w:t xml:space="preserve"> </w:t>
            </w:r>
            <w:r w:rsidR="006B0618" w:rsidRPr="0053423A">
              <w:rPr>
                <w:rFonts w:cs="Sylfaen"/>
                <w:noProof/>
                <w:lang w:val="hy-AM"/>
              </w:rPr>
              <w:t>որոշման</w:t>
            </w:r>
            <w:r w:rsidR="006B0618" w:rsidRPr="0053423A">
              <w:rPr>
                <w:rFonts w:cs="Sylfaen"/>
                <w:noProof/>
                <w:lang w:val="pt-BR"/>
              </w:rPr>
              <w:t xml:space="preserve"> </w:t>
            </w:r>
            <w:r w:rsidR="006B0618" w:rsidRPr="0053423A">
              <w:rPr>
                <w:rFonts w:cs="Sylfaen"/>
                <w:noProof/>
                <w:lang w:val="hy-AM"/>
              </w:rPr>
              <w:t>հավելվածի</w:t>
            </w:r>
            <w:r w:rsidR="006B0618" w:rsidRPr="0053423A">
              <w:rPr>
                <w:rFonts w:cs="Sylfaen"/>
                <w:noProof/>
                <w:lang w:val="pt-BR"/>
              </w:rPr>
              <w:t xml:space="preserve"> 4.8 </w:t>
            </w:r>
            <w:r w:rsidR="006B0618" w:rsidRPr="0053423A">
              <w:rPr>
                <w:rFonts w:cs="Sylfaen"/>
                <w:noProof/>
                <w:lang w:val="hy-AM"/>
              </w:rPr>
              <w:t>բաժնի</w:t>
            </w:r>
            <w:r w:rsidR="006B0618" w:rsidRPr="0053423A">
              <w:rPr>
                <w:rFonts w:cs="Sylfaen"/>
                <w:noProof/>
                <w:lang w:val="pt-BR"/>
              </w:rPr>
              <w:t xml:space="preserve"> </w:t>
            </w:r>
            <w:r w:rsidR="006B0618" w:rsidRPr="0053423A">
              <w:rPr>
                <w:rFonts w:cs="Sylfaen"/>
                <w:noProof/>
                <w:lang w:val="hy-AM"/>
              </w:rPr>
              <w:t>Կենսաբազմազանության</w:t>
            </w:r>
            <w:r w:rsidR="006B0618" w:rsidRPr="0053423A">
              <w:rPr>
                <w:rFonts w:cs="Sylfaen"/>
                <w:noProof/>
                <w:lang w:val="pt-BR"/>
              </w:rPr>
              <w:t xml:space="preserve"> </w:t>
            </w:r>
            <w:r w:rsidR="006B0618" w:rsidRPr="0053423A">
              <w:rPr>
                <w:rFonts w:cs="Sylfaen"/>
                <w:noProof/>
                <w:lang w:val="hy-AM"/>
              </w:rPr>
              <w:t>պահպանություն</w:t>
            </w:r>
            <w:r w:rsidR="006B0618" w:rsidRPr="0053423A">
              <w:rPr>
                <w:rFonts w:cs="Sylfaen"/>
                <w:noProof/>
                <w:lang w:val="pt-BR"/>
              </w:rPr>
              <w:t xml:space="preserve"> </w:t>
            </w:r>
            <w:r w:rsidR="006B0618" w:rsidRPr="0053423A">
              <w:rPr>
                <w:rFonts w:cs="Sylfaen"/>
                <w:noProof/>
                <w:lang w:val="hy-AM"/>
              </w:rPr>
              <w:t>և</w:t>
            </w:r>
            <w:r w:rsidR="006B0618" w:rsidRPr="0053423A">
              <w:rPr>
                <w:rFonts w:cs="Sylfaen"/>
                <w:noProof/>
                <w:lang w:val="pt-BR"/>
              </w:rPr>
              <w:t xml:space="preserve"> </w:t>
            </w:r>
            <w:r w:rsidR="006B0618" w:rsidRPr="0053423A">
              <w:rPr>
                <w:rFonts w:cs="Sylfaen"/>
                <w:noProof/>
                <w:lang w:val="hy-AM"/>
              </w:rPr>
              <w:t>կենսաանվտանգության</w:t>
            </w:r>
            <w:r w:rsidR="006B0618" w:rsidRPr="0053423A">
              <w:rPr>
                <w:rFonts w:cs="Sylfaen"/>
                <w:noProof/>
                <w:lang w:val="pt-BR"/>
              </w:rPr>
              <w:t xml:space="preserve"> </w:t>
            </w:r>
            <w:r w:rsidR="006B0618" w:rsidRPr="0053423A">
              <w:rPr>
                <w:rFonts w:cs="Sylfaen"/>
                <w:noProof/>
                <w:lang w:val="hy-AM"/>
              </w:rPr>
              <w:t>ապահովում</w:t>
            </w:r>
            <w:r w:rsidR="006B0618" w:rsidRPr="0053423A">
              <w:rPr>
                <w:rFonts w:cs="Sylfaen"/>
                <w:noProof/>
                <w:lang w:val="pt-BR"/>
              </w:rPr>
              <w:t xml:space="preserve">, </w:t>
            </w:r>
            <w:r w:rsidR="006B0618" w:rsidRPr="0053423A">
              <w:rPr>
                <w:rFonts w:cs="Sylfaen"/>
                <w:noProof/>
                <w:lang w:val="hy-AM"/>
              </w:rPr>
              <w:t>կենդանական</w:t>
            </w:r>
            <w:r w:rsidR="006B0618" w:rsidRPr="0053423A">
              <w:rPr>
                <w:rFonts w:cs="Sylfaen"/>
                <w:noProof/>
                <w:lang w:val="pt-BR"/>
              </w:rPr>
              <w:t xml:space="preserve"> </w:t>
            </w:r>
            <w:r w:rsidR="006B0618" w:rsidRPr="0053423A">
              <w:rPr>
                <w:rFonts w:cs="Sylfaen"/>
                <w:noProof/>
                <w:lang w:val="hy-AM"/>
              </w:rPr>
              <w:t>և</w:t>
            </w:r>
            <w:r w:rsidR="006B0618" w:rsidRPr="0053423A">
              <w:rPr>
                <w:rFonts w:cs="Sylfaen"/>
                <w:noProof/>
                <w:lang w:val="pt-BR"/>
              </w:rPr>
              <w:t xml:space="preserve"> </w:t>
            </w:r>
            <w:r w:rsidR="006B0618" w:rsidRPr="0053423A">
              <w:rPr>
                <w:rFonts w:cs="Sylfaen"/>
                <w:noProof/>
                <w:lang w:val="hy-AM"/>
              </w:rPr>
              <w:t>բուսական</w:t>
            </w:r>
            <w:r w:rsidR="006B0618" w:rsidRPr="0053423A">
              <w:rPr>
                <w:rFonts w:cs="Sylfaen"/>
                <w:noProof/>
                <w:lang w:val="pt-BR"/>
              </w:rPr>
              <w:t xml:space="preserve"> </w:t>
            </w:r>
            <w:r w:rsidR="006B0618" w:rsidRPr="0053423A">
              <w:rPr>
                <w:rFonts w:cs="Sylfaen"/>
                <w:noProof/>
                <w:lang w:val="hy-AM"/>
              </w:rPr>
              <w:t>աշխարհի</w:t>
            </w:r>
            <w:r w:rsidR="006B0618" w:rsidRPr="0053423A">
              <w:rPr>
                <w:rFonts w:cs="Sylfaen"/>
                <w:noProof/>
                <w:lang w:val="pt-BR"/>
              </w:rPr>
              <w:t xml:space="preserve"> </w:t>
            </w:r>
            <w:r w:rsidR="006B0618" w:rsidRPr="0053423A">
              <w:rPr>
                <w:rFonts w:cs="Sylfaen"/>
                <w:noProof/>
                <w:lang w:val="hy-AM"/>
              </w:rPr>
              <w:t>օբյեկտների</w:t>
            </w:r>
            <w:r w:rsidR="006B0618" w:rsidRPr="0053423A">
              <w:rPr>
                <w:rFonts w:cs="Sylfaen"/>
                <w:noProof/>
                <w:lang w:val="pt-BR"/>
              </w:rPr>
              <w:t xml:space="preserve"> </w:t>
            </w:r>
            <w:r w:rsidR="006B0618" w:rsidRPr="0053423A">
              <w:rPr>
                <w:rFonts w:cs="Sylfaen"/>
                <w:noProof/>
                <w:lang w:val="hy-AM"/>
              </w:rPr>
              <w:t>հաշվառում</w:t>
            </w:r>
            <w:r w:rsidR="006B0618" w:rsidRPr="0053423A">
              <w:rPr>
                <w:rFonts w:cs="Sylfaen"/>
                <w:noProof/>
                <w:lang w:val="pt-BR"/>
              </w:rPr>
              <w:t xml:space="preserve">  </w:t>
            </w:r>
            <w:r w:rsidR="006B0618" w:rsidRPr="0053423A">
              <w:rPr>
                <w:rFonts w:cs="Sylfaen"/>
                <w:noProof/>
                <w:lang w:val="hy-AM"/>
              </w:rPr>
              <w:t>ուղղությունը</w:t>
            </w:r>
            <w:r w:rsidR="006B0618" w:rsidRPr="0053423A">
              <w:rPr>
                <w:rFonts w:cs="Sylfaen"/>
                <w:noProof/>
                <w:lang w:val="pt-BR"/>
              </w:rPr>
              <w:t>:</w:t>
            </w:r>
          </w:p>
          <w:p w:rsidR="006B0618" w:rsidRPr="0053423A" w:rsidRDefault="00B009C2" w:rsidP="00A67858">
            <w:pPr>
              <w:tabs>
                <w:tab w:val="left" w:pos="1080"/>
              </w:tabs>
              <w:suppressAutoHyphens/>
              <w:spacing w:line="276" w:lineRule="auto"/>
              <w:jc w:val="both"/>
              <w:rPr>
                <w:rFonts w:cs="Sylfaen"/>
                <w:noProof/>
                <w:lang w:val="pt-BR"/>
              </w:rPr>
            </w:pPr>
            <w:r w:rsidRPr="0053423A">
              <w:rPr>
                <w:rFonts w:cs="Sylfaen"/>
                <w:noProof/>
                <w:lang w:val="hy-AM"/>
              </w:rPr>
              <w:t xml:space="preserve">       </w:t>
            </w:r>
            <w:r w:rsidR="006B0618" w:rsidRPr="0053423A">
              <w:rPr>
                <w:rFonts w:cs="Sylfaen"/>
                <w:noProof/>
                <w:lang w:val="hy-AM"/>
              </w:rPr>
              <w:t xml:space="preserve">«Բուսական աշխարհի մասին» Հայաստանի Հանրապետության օրենքում փոփոխություններ և լրացումներ կատարելու մասին» Հայաստանի Հանրապետության օրենքի (այսուհետ՝ Օրենք) </w:t>
            </w:r>
            <w:r w:rsidR="006B0618" w:rsidRPr="0053423A">
              <w:rPr>
                <w:rFonts w:cs="Sylfaen"/>
                <w:lang w:val="hy-AM"/>
              </w:rPr>
              <w:t>ընդունման անհրաժեշտությունը</w:t>
            </w:r>
            <w:r w:rsidR="006B0618" w:rsidRPr="0053423A">
              <w:rPr>
                <w:rFonts w:cs="Sylfaen"/>
                <w:lang w:val="it-IT"/>
              </w:rPr>
              <w:t xml:space="preserve"> </w:t>
            </w:r>
            <w:r w:rsidR="006B0618" w:rsidRPr="0053423A">
              <w:rPr>
                <w:rFonts w:cs="Sylfaen"/>
                <w:lang w:val="hy-AM"/>
              </w:rPr>
              <w:t>բխում</w:t>
            </w:r>
            <w:r w:rsidR="006B0618" w:rsidRPr="0053423A">
              <w:rPr>
                <w:lang w:val="fr-FR"/>
              </w:rPr>
              <w:t xml:space="preserve"> </w:t>
            </w:r>
            <w:r w:rsidR="006B0618" w:rsidRPr="0053423A">
              <w:rPr>
                <w:rFonts w:cs="Sylfaen"/>
                <w:lang w:val="hy-AM"/>
              </w:rPr>
              <w:t xml:space="preserve">է այն </w:t>
            </w:r>
            <w:r w:rsidR="006B0618" w:rsidRPr="0053423A">
              <w:rPr>
                <w:rFonts w:cs="GHEA Grapalat"/>
                <w:bCs/>
                <w:lang w:val="pt-BR"/>
              </w:rPr>
              <w:t>Միջազգային պահանջներին և ԵՄ դիրեկտիվների հետ համա</w:t>
            </w:r>
            <w:r w:rsidR="006B0618" w:rsidRPr="0053423A">
              <w:rPr>
                <w:rFonts w:cs="GHEA Grapalat"/>
                <w:bCs/>
                <w:lang w:val="hy-AM"/>
              </w:rPr>
              <w:t xml:space="preserve">պատասխանեցնելու, </w:t>
            </w:r>
            <w:r w:rsidR="006B0618" w:rsidRPr="0053423A">
              <w:rPr>
                <w:color w:val="000000"/>
                <w:shd w:val="clear" w:color="auto" w:fill="FFFFFF"/>
                <w:lang w:val="hy-AM"/>
              </w:rPr>
              <w:t>դաշտը կարգավորող ներպետական օրենսդրության ներդաշնակեցման,  բուսական աշխարհի օբյեկտների,</w:t>
            </w:r>
            <w:r w:rsidR="006B0618" w:rsidRPr="0053423A">
              <w:rPr>
                <w:color w:val="000000"/>
                <w:shd w:val="clear" w:color="auto" w:fill="FFFFFF"/>
                <w:lang w:val="pt-BR"/>
              </w:rPr>
              <w:t xml:space="preserve"> </w:t>
            </w:r>
            <w:r w:rsidR="006B0618" w:rsidRPr="0053423A">
              <w:rPr>
                <w:color w:val="000000"/>
                <w:shd w:val="clear" w:color="auto" w:fill="FFFFFF"/>
                <w:lang w:val="hy-AM"/>
              </w:rPr>
              <w:t>այդ</w:t>
            </w:r>
            <w:r w:rsidR="006B0618" w:rsidRPr="0053423A">
              <w:rPr>
                <w:color w:val="000000"/>
                <w:shd w:val="clear" w:color="auto" w:fill="FFFFFF"/>
                <w:lang w:val="pt-BR"/>
              </w:rPr>
              <w:t xml:space="preserve"> </w:t>
            </w:r>
            <w:r w:rsidR="006B0618" w:rsidRPr="0053423A">
              <w:rPr>
                <w:color w:val="000000"/>
                <w:shd w:val="clear" w:color="auto" w:fill="FFFFFF"/>
                <w:lang w:val="hy-AM"/>
              </w:rPr>
              <w:t>թվում</w:t>
            </w:r>
            <w:r w:rsidR="006B0618" w:rsidRPr="0053423A">
              <w:rPr>
                <w:color w:val="000000"/>
                <w:shd w:val="clear" w:color="auto" w:fill="FFFFFF"/>
                <w:lang w:val="pt-BR"/>
              </w:rPr>
              <w:t xml:space="preserve">` </w:t>
            </w:r>
            <w:r w:rsidR="006B0618" w:rsidRPr="0053423A">
              <w:rPr>
                <w:color w:val="000000"/>
                <w:shd w:val="clear" w:color="auto" w:fill="FFFFFF"/>
                <w:lang w:val="hy-AM"/>
              </w:rPr>
              <w:t>Հայաստանի</w:t>
            </w:r>
            <w:r w:rsidR="006B0618" w:rsidRPr="0053423A">
              <w:rPr>
                <w:color w:val="000000"/>
                <w:shd w:val="clear" w:color="auto" w:fill="FFFFFF"/>
                <w:lang w:val="pt-BR"/>
              </w:rPr>
              <w:t xml:space="preserve"> </w:t>
            </w:r>
            <w:r w:rsidR="006B0618" w:rsidRPr="0053423A">
              <w:rPr>
                <w:color w:val="000000"/>
                <w:shd w:val="clear" w:color="auto" w:fill="FFFFFF"/>
                <w:lang w:val="hy-AM"/>
              </w:rPr>
              <w:t>Հանրապետության</w:t>
            </w:r>
            <w:r w:rsidR="006B0618" w:rsidRPr="0053423A">
              <w:rPr>
                <w:color w:val="000000"/>
                <w:shd w:val="clear" w:color="auto" w:fill="FFFFFF"/>
                <w:lang w:val="pt-BR"/>
              </w:rPr>
              <w:t xml:space="preserve"> </w:t>
            </w:r>
            <w:r w:rsidR="006B0618" w:rsidRPr="0053423A">
              <w:rPr>
                <w:color w:val="000000"/>
                <w:shd w:val="clear" w:color="auto" w:fill="FFFFFF"/>
                <w:lang w:val="hy-AM"/>
              </w:rPr>
              <w:t>Կարմիր</w:t>
            </w:r>
            <w:r w:rsidR="006B0618" w:rsidRPr="0053423A">
              <w:rPr>
                <w:color w:val="000000"/>
                <w:shd w:val="clear" w:color="auto" w:fill="FFFFFF"/>
                <w:lang w:val="pt-BR"/>
              </w:rPr>
              <w:t xml:space="preserve"> </w:t>
            </w:r>
            <w:r w:rsidR="006B0618" w:rsidRPr="0053423A">
              <w:rPr>
                <w:color w:val="000000"/>
                <w:shd w:val="clear" w:color="auto" w:fill="FFFFFF"/>
                <w:lang w:val="hy-AM"/>
              </w:rPr>
              <w:t>գրքում</w:t>
            </w:r>
            <w:r w:rsidR="006B0618" w:rsidRPr="0053423A">
              <w:rPr>
                <w:color w:val="000000"/>
                <w:shd w:val="clear" w:color="auto" w:fill="FFFFFF"/>
                <w:lang w:val="pt-BR"/>
              </w:rPr>
              <w:t xml:space="preserve"> </w:t>
            </w:r>
            <w:r w:rsidR="006B0618" w:rsidRPr="0053423A">
              <w:rPr>
                <w:color w:val="000000"/>
                <w:shd w:val="clear" w:color="auto" w:fill="FFFFFF"/>
                <w:lang w:val="hy-AM"/>
              </w:rPr>
              <w:t>գրանցված</w:t>
            </w:r>
            <w:r w:rsidR="006B0618" w:rsidRPr="0053423A">
              <w:rPr>
                <w:color w:val="000000"/>
                <w:shd w:val="clear" w:color="auto" w:fill="FFFFFF"/>
                <w:lang w:val="pt-BR"/>
              </w:rPr>
              <w:t xml:space="preserve"> </w:t>
            </w:r>
            <w:r w:rsidR="006B0618" w:rsidRPr="0053423A">
              <w:rPr>
                <w:color w:val="000000"/>
                <w:shd w:val="clear" w:color="auto" w:fill="FFFFFF"/>
                <w:lang w:val="hy-AM"/>
              </w:rPr>
              <w:t>բույսերի</w:t>
            </w:r>
            <w:r w:rsidR="006B0618" w:rsidRPr="0053423A">
              <w:rPr>
                <w:color w:val="000000"/>
                <w:shd w:val="clear" w:color="auto" w:fill="FFFFFF"/>
                <w:lang w:val="pt-BR"/>
              </w:rPr>
              <w:t xml:space="preserve"> </w:t>
            </w:r>
            <w:r w:rsidR="006B0618" w:rsidRPr="0053423A">
              <w:rPr>
                <w:i/>
                <w:color w:val="000000"/>
                <w:shd w:val="clear" w:color="auto" w:fill="FFFFFF"/>
                <w:lang w:val="hy-AM"/>
              </w:rPr>
              <w:t>օգտագործելու</w:t>
            </w:r>
            <w:r w:rsidR="006B0618" w:rsidRPr="0053423A">
              <w:rPr>
                <w:color w:val="000000"/>
                <w:shd w:val="clear" w:color="auto" w:fill="FFFFFF"/>
                <w:lang w:val="fr-FR"/>
              </w:rPr>
              <w:t xml:space="preserve"> </w:t>
            </w:r>
            <w:r w:rsidR="006B0618" w:rsidRPr="0053423A">
              <w:rPr>
                <w:color w:val="000000"/>
                <w:shd w:val="clear" w:color="auto" w:fill="FFFFFF"/>
                <w:lang w:val="hy-AM"/>
              </w:rPr>
              <w:t>իրավահարաբերությունները</w:t>
            </w:r>
            <w:r w:rsidR="006B0618" w:rsidRPr="0053423A">
              <w:rPr>
                <w:color w:val="000000"/>
                <w:shd w:val="clear" w:color="auto" w:fill="FFFFFF"/>
                <w:lang w:val="fr-FR"/>
              </w:rPr>
              <w:t xml:space="preserve"> </w:t>
            </w:r>
            <w:r w:rsidR="006B0618" w:rsidRPr="0053423A">
              <w:rPr>
                <w:color w:val="000000"/>
                <w:shd w:val="clear" w:color="auto" w:fill="FFFFFF"/>
                <w:lang w:val="hy-AM"/>
              </w:rPr>
              <w:t>կանոնակարգելու պահանջից։</w:t>
            </w:r>
          </w:p>
          <w:p w:rsidR="006B0618" w:rsidRPr="0053423A" w:rsidRDefault="00B009C2" w:rsidP="00A67858">
            <w:pPr>
              <w:spacing w:line="276" w:lineRule="auto"/>
              <w:jc w:val="both"/>
              <w:rPr>
                <w:color w:val="000000"/>
                <w:shd w:val="clear" w:color="auto" w:fill="FFFFFF"/>
                <w:lang w:val="hy-AM"/>
              </w:rPr>
            </w:pPr>
            <w:r w:rsidRPr="0053423A">
              <w:rPr>
                <w:b/>
                <w:color w:val="000000"/>
                <w:shd w:val="clear" w:color="auto" w:fill="FFFFFF"/>
                <w:lang w:val="hy-AM"/>
              </w:rPr>
              <w:t xml:space="preserve">         </w:t>
            </w:r>
            <w:r w:rsidR="006B0618" w:rsidRPr="0053423A">
              <w:rPr>
                <w:b/>
                <w:color w:val="000000"/>
                <w:shd w:val="clear" w:color="auto" w:fill="FFFFFF"/>
                <w:lang w:val="hy-AM"/>
              </w:rPr>
              <w:t xml:space="preserve">1.1  </w:t>
            </w:r>
            <w:r w:rsidR="006B0618" w:rsidRPr="0053423A">
              <w:rPr>
                <w:rFonts w:cs="Sylfaen"/>
                <w:b/>
                <w:lang w:val="hy-AM"/>
              </w:rPr>
              <w:t>կ</w:t>
            </w:r>
            <w:r w:rsidR="006B0618" w:rsidRPr="0053423A">
              <w:rPr>
                <w:b/>
                <w:lang w:val="hy-AM"/>
              </w:rPr>
              <w:t>արգավորման հարաբերությունների ներկա վիճակը և առկա խնդիրները</w:t>
            </w:r>
            <w:r w:rsidR="006B0618" w:rsidRPr="0053423A">
              <w:rPr>
                <w:i/>
                <w:lang w:val="hy-AM"/>
              </w:rPr>
              <w:t xml:space="preserve"> </w:t>
            </w:r>
          </w:p>
          <w:p w:rsidR="006B0618" w:rsidRPr="0053423A" w:rsidRDefault="00B009C2" w:rsidP="00A67858">
            <w:pPr>
              <w:spacing w:line="276" w:lineRule="auto"/>
              <w:ind w:right="-1"/>
              <w:contextualSpacing/>
              <w:jc w:val="both"/>
              <w:rPr>
                <w:lang w:val="hy-AM"/>
              </w:rPr>
            </w:pPr>
            <w:r w:rsidRPr="0053423A">
              <w:rPr>
                <w:lang w:val="hy-AM"/>
              </w:rPr>
              <w:t xml:space="preserve">         </w:t>
            </w:r>
            <w:r w:rsidR="006B0618" w:rsidRPr="0053423A">
              <w:rPr>
                <w:lang w:val="fi-FI"/>
              </w:rPr>
              <w:t>«</w:t>
            </w:r>
            <w:r w:rsidR="006B0618" w:rsidRPr="0053423A">
              <w:rPr>
                <w:rFonts w:cs="Sylfaen"/>
                <w:lang w:val="hy-AM"/>
              </w:rPr>
              <w:t>Հայաստանի</w:t>
            </w:r>
            <w:r w:rsidR="006B0618" w:rsidRPr="0053423A">
              <w:rPr>
                <w:lang w:val="fi-FI"/>
              </w:rPr>
              <w:t xml:space="preserve"> </w:t>
            </w:r>
            <w:r w:rsidR="006B0618" w:rsidRPr="0053423A">
              <w:rPr>
                <w:rFonts w:cs="Sylfaen"/>
                <w:lang w:val="hy-AM"/>
              </w:rPr>
              <w:t>Հանրապետության</w:t>
            </w:r>
            <w:r w:rsidR="006B0618" w:rsidRPr="0053423A">
              <w:rPr>
                <w:lang w:val="fi-FI"/>
              </w:rPr>
              <w:t xml:space="preserve"> </w:t>
            </w:r>
            <w:r w:rsidR="006B0618" w:rsidRPr="0053423A">
              <w:rPr>
                <w:rFonts w:cs="Sylfaen"/>
                <w:lang w:val="hy-AM"/>
              </w:rPr>
              <w:t>կենսաբանական</w:t>
            </w:r>
            <w:r w:rsidR="006B0618" w:rsidRPr="0053423A">
              <w:rPr>
                <w:lang w:val="fi-FI"/>
              </w:rPr>
              <w:t xml:space="preserve"> </w:t>
            </w:r>
            <w:r w:rsidR="006B0618" w:rsidRPr="0053423A">
              <w:rPr>
                <w:rFonts w:cs="Sylfaen"/>
                <w:lang w:val="hy-AM"/>
              </w:rPr>
              <w:t>բազմազանության</w:t>
            </w:r>
            <w:r w:rsidR="006B0618" w:rsidRPr="0053423A">
              <w:rPr>
                <w:lang w:val="fi-FI"/>
              </w:rPr>
              <w:t xml:space="preserve"> </w:t>
            </w:r>
            <w:r w:rsidR="006B0618" w:rsidRPr="0053423A">
              <w:rPr>
                <w:rFonts w:cs="Sylfaen"/>
                <w:lang w:val="hy-AM"/>
              </w:rPr>
              <w:t>պահպանության</w:t>
            </w:r>
            <w:r w:rsidR="006B0618" w:rsidRPr="0053423A">
              <w:rPr>
                <w:lang w:val="fi-FI"/>
              </w:rPr>
              <w:t xml:space="preserve">, </w:t>
            </w:r>
            <w:r w:rsidR="006B0618" w:rsidRPr="0053423A">
              <w:rPr>
                <w:rFonts w:cs="Sylfaen"/>
                <w:lang w:val="hy-AM"/>
              </w:rPr>
              <w:t>պաշտպանության</w:t>
            </w:r>
            <w:r w:rsidR="006B0618" w:rsidRPr="0053423A">
              <w:rPr>
                <w:lang w:val="fi-FI"/>
              </w:rPr>
              <w:t xml:space="preserve">, </w:t>
            </w:r>
            <w:r w:rsidR="006B0618" w:rsidRPr="0053423A">
              <w:rPr>
                <w:rFonts w:cs="Sylfaen"/>
                <w:lang w:val="hy-AM"/>
              </w:rPr>
              <w:t>վերարտադրության</w:t>
            </w:r>
            <w:r w:rsidR="006B0618" w:rsidRPr="0053423A">
              <w:rPr>
                <w:lang w:val="fi-FI"/>
              </w:rPr>
              <w:t xml:space="preserve"> </w:t>
            </w:r>
            <w:r w:rsidR="006B0618" w:rsidRPr="0053423A">
              <w:rPr>
                <w:rFonts w:cs="Sylfaen"/>
                <w:lang w:val="hy-AM"/>
              </w:rPr>
              <w:t>և</w:t>
            </w:r>
            <w:r w:rsidR="006B0618" w:rsidRPr="0053423A">
              <w:rPr>
                <w:lang w:val="fi-FI"/>
              </w:rPr>
              <w:t xml:space="preserve"> </w:t>
            </w:r>
            <w:r w:rsidR="006B0618" w:rsidRPr="0053423A">
              <w:rPr>
                <w:rFonts w:cs="Sylfaen"/>
                <w:lang w:val="hy-AM"/>
              </w:rPr>
              <w:t>օգտագործման</w:t>
            </w:r>
            <w:r w:rsidR="006B0618" w:rsidRPr="0053423A">
              <w:rPr>
                <w:lang w:val="fi-FI"/>
              </w:rPr>
              <w:t xml:space="preserve"> </w:t>
            </w:r>
            <w:r w:rsidR="006B0618" w:rsidRPr="0053423A">
              <w:rPr>
                <w:rFonts w:cs="Sylfaen"/>
                <w:lang w:val="hy-AM"/>
              </w:rPr>
              <w:t>բնագավառներում</w:t>
            </w:r>
            <w:r w:rsidR="006B0618" w:rsidRPr="0053423A">
              <w:rPr>
                <w:lang w:val="fi-FI"/>
              </w:rPr>
              <w:t xml:space="preserve"> </w:t>
            </w:r>
            <w:r w:rsidR="006B0618" w:rsidRPr="0053423A">
              <w:rPr>
                <w:rFonts w:cs="Sylfaen"/>
                <w:lang w:val="hy-AM"/>
              </w:rPr>
              <w:t>ռազմավարությանը</w:t>
            </w:r>
            <w:r w:rsidR="006B0618" w:rsidRPr="0053423A">
              <w:rPr>
                <w:lang w:val="fi-FI"/>
              </w:rPr>
              <w:t xml:space="preserve"> </w:t>
            </w:r>
            <w:r w:rsidR="006B0618" w:rsidRPr="0053423A">
              <w:rPr>
                <w:rFonts w:cs="Sylfaen"/>
                <w:lang w:val="hy-AM"/>
              </w:rPr>
              <w:t>և</w:t>
            </w:r>
            <w:r w:rsidR="006B0618" w:rsidRPr="0053423A">
              <w:rPr>
                <w:lang w:val="fi-FI"/>
              </w:rPr>
              <w:t xml:space="preserve"> </w:t>
            </w:r>
            <w:r w:rsidR="006B0618" w:rsidRPr="0053423A">
              <w:rPr>
                <w:rFonts w:cs="Sylfaen"/>
                <w:lang w:val="hy-AM"/>
              </w:rPr>
              <w:t>գործողությունների</w:t>
            </w:r>
            <w:r w:rsidR="006B0618" w:rsidRPr="0053423A">
              <w:rPr>
                <w:lang w:val="fi-FI"/>
              </w:rPr>
              <w:t xml:space="preserve"> </w:t>
            </w:r>
            <w:r w:rsidR="006B0618" w:rsidRPr="0053423A">
              <w:rPr>
                <w:rFonts w:cs="Sylfaen"/>
                <w:lang w:val="hy-AM"/>
              </w:rPr>
              <w:t>ազգային</w:t>
            </w:r>
            <w:r w:rsidR="006B0618" w:rsidRPr="0053423A">
              <w:rPr>
                <w:lang w:val="fi-FI"/>
              </w:rPr>
              <w:t xml:space="preserve"> </w:t>
            </w:r>
            <w:r w:rsidR="006B0618" w:rsidRPr="0053423A">
              <w:rPr>
                <w:rFonts w:cs="Sylfaen"/>
                <w:lang w:val="hy-AM"/>
              </w:rPr>
              <w:t>ծրագրին</w:t>
            </w:r>
            <w:r w:rsidR="006B0618" w:rsidRPr="0053423A">
              <w:rPr>
                <w:lang w:val="fi-FI"/>
              </w:rPr>
              <w:t xml:space="preserve"> </w:t>
            </w:r>
            <w:r w:rsidR="006B0618" w:rsidRPr="0053423A">
              <w:rPr>
                <w:rFonts w:cs="Sylfaen"/>
                <w:lang w:val="hy-AM"/>
              </w:rPr>
              <w:t>հավանություն</w:t>
            </w:r>
            <w:r w:rsidR="006B0618" w:rsidRPr="0053423A">
              <w:rPr>
                <w:lang w:val="fi-FI"/>
              </w:rPr>
              <w:t xml:space="preserve"> </w:t>
            </w:r>
            <w:r w:rsidR="006B0618" w:rsidRPr="0053423A">
              <w:rPr>
                <w:rFonts w:cs="Sylfaen"/>
                <w:lang w:val="hy-AM"/>
              </w:rPr>
              <w:t>տալու</w:t>
            </w:r>
            <w:r w:rsidR="006B0618" w:rsidRPr="0053423A">
              <w:rPr>
                <w:lang w:val="fi-FI"/>
              </w:rPr>
              <w:t xml:space="preserve"> </w:t>
            </w:r>
            <w:r w:rsidR="006B0618" w:rsidRPr="0053423A">
              <w:rPr>
                <w:rFonts w:cs="Sylfaen"/>
                <w:lang w:val="hy-AM"/>
              </w:rPr>
              <w:t>մասին</w:t>
            </w:r>
            <w:r w:rsidR="006B0618" w:rsidRPr="0053423A">
              <w:rPr>
                <w:lang w:val="fi-FI"/>
              </w:rPr>
              <w:t xml:space="preserve">» N 54 </w:t>
            </w:r>
            <w:r w:rsidR="006B0618" w:rsidRPr="0053423A">
              <w:rPr>
                <w:rFonts w:cs="Sylfaen"/>
                <w:lang w:val="hy-AM"/>
              </w:rPr>
              <w:t>արձանագրային</w:t>
            </w:r>
            <w:r w:rsidR="006B0618" w:rsidRPr="0053423A">
              <w:rPr>
                <w:lang w:val="fi-FI"/>
              </w:rPr>
              <w:t xml:space="preserve"> </w:t>
            </w:r>
            <w:r w:rsidR="006B0618" w:rsidRPr="0053423A">
              <w:rPr>
                <w:rFonts w:cs="Sylfaen"/>
                <w:lang w:val="hy-AM"/>
              </w:rPr>
              <w:t>որոշման</w:t>
            </w:r>
            <w:r w:rsidR="006B0618" w:rsidRPr="0053423A">
              <w:rPr>
                <w:lang w:val="fi-FI"/>
              </w:rPr>
              <w:t xml:space="preserve"> </w:t>
            </w:r>
            <w:r w:rsidR="006B0618" w:rsidRPr="0053423A">
              <w:rPr>
                <w:lang w:val="hy-AM"/>
              </w:rPr>
              <w:t xml:space="preserve"> պահանջից ելնելով նախաձեռնվել է </w:t>
            </w:r>
            <w:r w:rsidR="006B0618" w:rsidRPr="0053423A">
              <w:rPr>
                <w:rFonts w:cs="Sylfaen"/>
                <w:lang w:val="hy-AM"/>
              </w:rPr>
              <w:t>Օրենքի մշակման գործընթաց՝ նպատակ հետապնդելով սահմանել կենսաբանական պաշարների գնահատման և</w:t>
            </w:r>
            <w:r w:rsidR="006B0618" w:rsidRPr="0053423A">
              <w:rPr>
                <w:rFonts w:cs="Sylfaen"/>
                <w:lang w:val="af-ZA"/>
              </w:rPr>
              <w:t xml:space="preserve"> </w:t>
            </w:r>
            <w:r w:rsidR="006B0618" w:rsidRPr="0053423A">
              <w:rPr>
                <w:rFonts w:cs="Sylfaen"/>
                <w:lang w:val="hy-AM"/>
              </w:rPr>
              <w:t>օգտագործման</w:t>
            </w:r>
            <w:r w:rsidR="006B0618" w:rsidRPr="0053423A">
              <w:rPr>
                <w:rFonts w:cs="Sylfaen"/>
                <w:lang w:val="af-ZA"/>
              </w:rPr>
              <w:t xml:space="preserve"> </w:t>
            </w:r>
            <w:r w:rsidR="006B0618" w:rsidRPr="0053423A">
              <w:rPr>
                <w:rFonts w:cs="Sylfaen"/>
                <w:lang w:val="hy-AM"/>
              </w:rPr>
              <w:t>ենթակա</w:t>
            </w:r>
            <w:r w:rsidR="006B0618" w:rsidRPr="0053423A">
              <w:rPr>
                <w:rFonts w:cs="Sylfaen"/>
                <w:lang w:val="af-ZA"/>
              </w:rPr>
              <w:t xml:space="preserve"> </w:t>
            </w:r>
            <w:r w:rsidR="006B0618" w:rsidRPr="0053423A">
              <w:rPr>
                <w:rFonts w:cs="Sylfaen"/>
                <w:lang w:val="hy-AM"/>
              </w:rPr>
              <w:t>չափաքանակների</w:t>
            </w:r>
            <w:r w:rsidR="006B0618" w:rsidRPr="0053423A">
              <w:rPr>
                <w:rFonts w:cs="Sylfaen"/>
                <w:lang w:val="af-ZA"/>
              </w:rPr>
              <w:t xml:space="preserve"> </w:t>
            </w:r>
            <w:r w:rsidR="006B0618" w:rsidRPr="0053423A">
              <w:rPr>
                <w:rFonts w:cs="Sylfaen"/>
                <w:lang w:val="hy-AM"/>
              </w:rPr>
              <w:t>որոշման</w:t>
            </w:r>
            <w:r w:rsidR="006B0618" w:rsidRPr="0053423A">
              <w:rPr>
                <w:rFonts w:cs="Sylfaen"/>
                <w:lang w:val="af-ZA"/>
              </w:rPr>
              <w:t xml:space="preserve"> </w:t>
            </w:r>
            <w:r w:rsidR="006B0618" w:rsidRPr="0053423A">
              <w:rPr>
                <w:rFonts w:cs="Sylfaen"/>
                <w:lang w:val="hy-AM"/>
              </w:rPr>
              <w:t xml:space="preserve"> մեխանիզմները,</w:t>
            </w:r>
            <w:r w:rsidR="006B0618" w:rsidRPr="0053423A">
              <w:rPr>
                <w:lang w:val="hy-AM"/>
              </w:rPr>
              <w:t xml:space="preserve"> կանոնակարգել կենսառեսուրսների </w:t>
            </w:r>
            <w:r w:rsidR="006B0618" w:rsidRPr="0053423A">
              <w:rPr>
                <w:lang w:val="af-ZA"/>
              </w:rPr>
              <w:t>օգտագործման իրավունքներ</w:t>
            </w:r>
            <w:r w:rsidR="006B0618" w:rsidRPr="0053423A">
              <w:rPr>
                <w:lang w:val="hy-AM"/>
              </w:rPr>
              <w:t>ը, արտահանման և ներմուծման գոծընթացները։</w:t>
            </w:r>
          </w:p>
          <w:p w:rsidR="006B0618" w:rsidRPr="0053423A" w:rsidRDefault="006B0618" w:rsidP="00A67858">
            <w:pPr>
              <w:spacing w:line="276" w:lineRule="auto"/>
              <w:ind w:right="-1" w:firstLine="709"/>
              <w:contextualSpacing/>
              <w:jc w:val="both"/>
              <w:rPr>
                <w:rFonts w:cs="Sylfaen"/>
                <w:b/>
                <w:lang w:val="hy-AM"/>
              </w:rPr>
            </w:pPr>
            <w:r w:rsidRPr="0053423A">
              <w:rPr>
                <w:lang w:val="hy-AM"/>
              </w:rPr>
              <w:t xml:space="preserve">Խիստ կարևոր հանգամանք է հանդիսանում նաև 2018 թվականի ապրիլի 11-ին վավերացված </w:t>
            </w:r>
            <w:r w:rsidRPr="0053423A">
              <w:rPr>
                <w:rFonts w:cs="Sylfaen"/>
                <w:bCs/>
                <w:lang w:val="hy-AM"/>
              </w:rPr>
              <w:t>Հայաստանի</w:t>
            </w:r>
            <w:r w:rsidRPr="0053423A">
              <w:rPr>
                <w:bCs/>
                <w:lang w:val="hy-AM"/>
              </w:rPr>
              <w:t xml:space="preserve"> </w:t>
            </w:r>
            <w:r w:rsidRPr="0053423A">
              <w:rPr>
                <w:rFonts w:cs="Sylfaen"/>
                <w:bCs/>
                <w:lang w:val="hy-AM"/>
              </w:rPr>
              <w:t>Հանրապետություն</w:t>
            </w:r>
            <w:r w:rsidRPr="0053423A">
              <w:rPr>
                <w:bCs/>
                <w:lang w:val="hy-AM"/>
              </w:rPr>
              <w:t>-</w:t>
            </w:r>
            <w:r w:rsidRPr="0053423A">
              <w:rPr>
                <w:rFonts w:cs="Sylfaen"/>
                <w:bCs/>
                <w:lang w:val="hy-AM"/>
              </w:rPr>
              <w:t>Եվրոպական</w:t>
            </w:r>
            <w:r w:rsidRPr="0053423A">
              <w:rPr>
                <w:bCs/>
                <w:lang w:val="hy-AM"/>
              </w:rPr>
              <w:t xml:space="preserve"> </w:t>
            </w:r>
            <w:r w:rsidRPr="0053423A">
              <w:rPr>
                <w:rFonts w:cs="Sylfaen"/>
                <w:bCs/>
                <w:lang w:val="hy-AM"/>
              </w:rPr>
              <w:t>Միություն</w:t>
            </w:r>
            <w:r w:rsidRPr="0053423A">
              <w:rPr>
                <w:bCs/>
                <w:lang w:val="hy-AM"/>
              </w:rPr>
              <w:t xml:space="preserve"> </w:t>
            </w:r>
            <w:r w:rsidRPr="0053423A">
              <w:rPr>
                <w:rFonts w:cs="Sylfaen"/>
                <w:bCs/>
                <w:lang w:val="hy-AM"/>
              </w:rPr>
              <w:t>համապարփակ</w:t>
            </w:r>
            <w:r w:rsidRPr="0053423A">
              <w:rPr>
                <w:bCs/>
                <w:lang w:val="hy-AM"/>
              </w:rPr>
              <w:t xml:space="preserve"> </w:t>
            </w:r>
            <w:r w:rsidRPr="0053423A">
              <w:rPr>
                <w:rFonts w:cs="Sylfaen"/>
                <w:bCs/>
                <w:lang w:val="hy-AM"/>
              </w:rPr>
              <w:t>և</w:t>
            </w:r>
            <w:r w:rsidRPr="0053423A">
              <w:rPr>
                <w:bCs/>
                <w:lang w:val="hy-AM"/>
              </w:rPr>
              <w:t xml:space="preserve"> </w:t>
            </w:r>
            <w:r w:rsidRPr="0053423A">
              <w:rPr>
                <w:rFonts w:cs="Sylfaen"/>
                <w:bCs/>
                <w:lang w:val="hy-AM"/>
              </w:rPr>
              <w:t>ընդլայնված</w:t>
            </w:r>
            <w:r w:rsidRPr="0053423A">
              <w:rPr>
                <w:bCs/>
                <w:lang w:val="hy-AM"/>
              </w:rPr>
              <w:t xml:space="preserve"> </w:t>
            </w:r>
            <w:r w:rsidRPr="0053423A">
              <w:rPr>
                <w:rFonts w:cs="Sylfaen"/>
                <w:bCs/>
                <w:lang w:val="hy-AM"/>
              </w:rPr>
              <w:t>գործընկերության</w:t>
            </w:r>
            <w:r w:rsidRPr="0053423A">
              <w:rPr>
                <w:bCs/>
                <w:lang w:val="hy-AM"/>
              </w:rPr>
              <w:t xml:space="preserve"> </w:t>
            </w:r>
            <w:r w:rsidRPr="0053423A">
              <w:rPr>
                <w:rFonts w:cs="Sylfaen"/>
                <w:bCs/>
                <w:lang w:val="hy-AM"/>
              </w:rPr>
              <w:t>համաձայնագիրը</w:t>
            </w:r>
            <w:r w:rsidRPr="0053423A">
              <w:rPr>
                <w:lang w:val="hy-AM"/>
              </w:rPr>
              <w:t>։ Սրա շրջանակներում անհրաժեշտություն է առաջացել ձեռնարկել միջոցառումներ ՀՀ ներպետական օրենսդրության և ԵՄ դիրեկտիվների համապատասխանեցման ուղղությամբ։</w:t>
            </w:r>
          </w:p>
          <w:p w:rsidR="006B0618" w:rsidRPr="0053423A" w:rsidRDefault="006B0618" w:rsidP="00A67858">
            <w:pPr>
              <w:pStyle w:val="ListParagraph"/>
              <w:numPr>
                <w:ilvl w:val="1"/>
                <w:numId w:val="39"/>
              </w:numPr>
              <w:tabs>
                <w:tab w:val="left" w:pos="1170"/>
              </w:tabs>
              <w:spacing w:line="276" w:lineRule="auto"/>
              <w:ind w:left="0" w:firstLine="706"/>
              <w:contextualSpacing w:val="0"/>
              <w:jc w:val="both"/>
              <w:rPr>
                <w:rFonts w:cs="Sylfaen"/>
                <w:b/>
                <w:lang w:val="hy-AM"/>
              </w:rPr>
            </w:pPr>
            <w:r w:rsidRPr="0053423A">
              <w:rPr>
                <w:rFonts w:cs="Sylfaen"/>
                <w:b/>
                <w:lang w:val="hy-AM"/>
              </w:rPr>
              <w:t>ա</w:t>
            </w:r>
            <w:r w:rsidRPr="0053423A">
              <w:rPr>
                <w:b/>
                <w:lang w:val="hy-AM"/>
              </w:rPr>
              <w:t xml:space="preserve">ռկա խնդիրների առաջարկվող լուծումները </w:t>
            </w:r>
          </w:p>
          <w:p w:rsidR="006B0618" w:rsidRPr="0053423A" w:rsidRDefault="006B0618" w:rsidP="00A67858">
            <w:pPr>
              <w:pStyle w:val="ListParagraph"/>
              <w:spacing w:line="276" w:lineRule="auto"/>
              <w:ind w:left="0" w:firstLine="720"/>
              <w:jc w:val="both"/>
              <w:rPr>
                <w:rFonts w:cs="Sylfaen"/>
                <w:lang w:val="hy-AM"/>
              </w:rPr>
            </w:pPr>
            <w:r w:rsidRPr="0053423A">
              <w:rPr>
                <w:lang w:val="fr-FR"/>
              </w:rPr>
              <w:t>Ա</w:t>
            </w:r>
            <w:r w:rsidRPr="0053423A">
              <w:rPr>
                <w:lang w:val="hy-AM"/>
              </w:rPr>
              <w:t>ռաջարկվող</w:t>
            </w:r>
            <w:r w:rsidRPr="0053423A">
              <w:rPr>
                <w:lang w:val="fr-FR"/>
              </w:rPr>
              <w:t xml:space="preserve"> </w:t>
            </w:r>
            <w:r w:rsidRPr="0053423A">
              <w:rPr>
                <w:lang w:val="hy-AM"/>
              </w:rPr>
              <w:t>փոփոխությունների</w:t>
            </w:r>
            <w:r w:rsidRPr="0053423A">
              <w:rPr>
                <w:lang w:val="fr-FR"/>
              </w:rPr>
              <w:t xml:space="preserve"> </w:t>
            </w:r>
            <w:r w:rsidRPr="0053423A">
              <w:rPr>
                <w:lang w:val="hy-AM"/>
              </w:rPr>
              <w:t>միջոցով</w:t>
            </w:r>
            <w:r w:rsidRPr="0053423A">
              <w:rPr>
                <w:lang w:val="fr-FR"/>
              </w:rPr>
              <w:t xml:space="preserve"> </w:t>
            </w:r>
            <w:r w:rsidRPr="0053423A">
              <w:rPr>
                <w:lang w:val="hy-AM"/>
              </w:rPr>
              <w:t>նախատեսվում</w:t>
            </w:r>
            <w:r w:rsidRPr="0053423A">
              <w:rPr>
                <w:lang w:val="fr-FR"/>
              </w:rPr>
              <w:t xml:space="preserve"> </w:t>
            </w:r>
            <w:r w:rsidRPr="0053423A">
              <w:rPr>
                <w:lang w:val="hy-AM"/>
              </w:rPr>
              <w:t>է</w:t>
            </w:r>
            <w:r w:rsidRPr="0053423A">
              <w:rPr>
                <w:lang w:val="fr-FR"/>
              </w:rPr>
              <w:t xml:space="preserve"> </w:t>
            </w:r>
            <w:r w:rsidRPr="0053423A">
              <w:rPr>
                <w:lang w:val="hy-AM"/>
              </w:rPr>
              <w:t>կարգավորել</w:t>
            </w:r>
            <w:r w:rsidRPr="0053423A">
              <w:rPr>
                <w:lang w:val="fr-FR"/>
              </w:rPr>
              <w:t xml:space="preserve"> </w:t>
            </w:r>
            <w:r w:rsidRPr="0053423A">
              <w:rPr>
                <w:lang w:val="hy-AM"/>
              </w:rPr>
              <w:t>բուսանական</w:t>
            </w:r>
            <w:r w:rsidRPr="0053423A">
              <w:rPr>
                <w:lang w:val="fr-FR"/>
              </w:rPr>
              <w:t xml:space="preserve"> </w:t>
            </w:r>
            <w:r w:rsidRPr="0053423A">
              <w:rPr>
                <w:lang w:val="hy-AM"/>
              </w:rPr>
              <w:t>աշխարհի</w:t>
            </w:r>
            <w:r w:rsidRPr="0053423A">
              <w:rPr>
                <w:lang w:val="fr-FR"/>
              </w:rPr>
              <w:t xml:space="preserve"> </w:t>
            </w:r>
            <w:r w:rsidRPr="0053423A">
              <w:rPr>
                <w:lang w:val="hy-AM"/>
              </w:rPr>
              <w:t>օբյեկտների օգտագործման տեսակներին առնչվող</w:t>
            </w:r>
            <w:r w:rsidRPr="0053423A">
              <w:rPr>
                <w:lang w:val="fr-FR"/>
              </w:rPr>
              <w:t xml:space="preserve"> </w:t>
            </w:r>
            <w:r w:rsidRPr="0053423A">
              <w:rPr>
                <w:lang w:val="hy-AM"/>
              </w:rPr>
              <w:t>Օրենքի</w:t>
            </w:r>
            <w:r w:rsidRPr="0053423A">
              <w:rPr>
                <w:lang w:val="fr-FR"/>
              </w:rPr>
              <w:t xml:space="preserve"> </w:t>
            </w:r>
            <w:r w:rsidRPr="0053423A">
              <w:rPr>
                <w:lang w:val="hy-AM"/>
              </w:rPr>
              <w:t>համապատասխան</w:t>
            </w:r>
            <w:r w:rsidRPr="0053423A">
              <w:rPr>
                <w:lang w:val="fr-FR"/>
              </w:rPr>
              <w:t xml:space="preserve"> </w:t>
            </w:r>
            <w:r w:rsidRPr="0053423A">
              <w:rPr>
                <w:lang w:val="hy-AM"/>
              </w:rPr>
              <w:t>հոդվածները՝</w:t>
            </w:r>
            <w:r w:rsidRPr="0053423A">
              <w:rPr>
                <w:rFonts w:cs="Sylfaen"/>
                <w:lang w:val="fi-FI"/>
              </w:rPr>
              <w:t xml:space="preserve"> </w:t>
            </w:r>
            <w:r w:rsidRPr="0053423A">
              <w:rPr>
                <w:rFonts w:cs="Sylfaen"/>
                <w:lang w:val="hy-AM"/>
              </w:rPr>
              <w:t>օգտագործման</w:t>
            </w:r>
            <w:r w:rsidRPr="0053423A">
              <w:rPr>
                <w:rFonts w:cs="Sylfaen"/>
                <w:lang w:val="fr-FR"/>
              </w:rPr>
              <w:t xml:space="preserve"> </w:t>
            </w:r>
            <w:r w:rsidRPr="0053423A">
              <w:rPr>
                <w:rFonts w:cs="Sylfaen"/>
                <w:lang w:val="hy-AM"/>
              </w:rPr>
              <w:t>գործընթացի</w:t>
            </w:r>
            <w:r w:rsidRPr="0053423A">
              <w:rPr>
                <w:lang w:val="fr-FR"/>
              </w:rPr>
              <w:t xml:space="preserve"> </w:t>
            </w:r>
            <w:r w:rsidRPr="0053423A">
              <w:rPr>
                <w:rFonts w:cs="Sylfaen"/>
                <w:lang w:val="hy-AM"/>
              </w:rPr>
              <w:t>կանոնակարգման, վարչարարության</w:t>
            </w:r>
            <w:r w:rsidRPr="0053423A">
              <w:rPr>
                <w:lang w:val="fr-FR"/>
              </w:rPr>
              <w:t xml:space="preserve"> </w:t>
            </w:r>
            <w:r w:rsidRPr="0053423A">
              <w:rPr>
                <w:rFonts w:cs="Sylfaen"/>
                <w:lang w:val="hy-AM"/>
              </w:rPr>
              <w:t xml:space="preserve">նվազեցման, ինչպես նաև դրանց </w:t>
            </w:r>
            <w:r w:rsidRPr="0053423A">
              <w:rPr>
                <w:rFonts w:cs="Sylfaen"/>
                <w:noProof/>
                <w:lang w:val="hy-AM" w:eastAsia="en-GB"/>
              </w:rPr>
              <w:t>արտահանման, ներմուծման գործընթացները կարգավորելու</w:t>
            </w:r>
            <w:r w:rsidRPr="0053423A">
              <w:rPr>
                <w:rFonts w:cs="Sylfaen"/>
                <w:lang w:val="hy-AM"/>
              </w:rPr>
              <w:t xml:space="preserve"> նպատակով</w:t>
            </w:r>
            <w:r w:rsidRPr="0053423A">
              <w:rPr>
                <w:rFonts w:cs="Sylfaen"/>
                <w:lang w:val="fr-FR"/>
              </w:rPr>
              <w:t>:</w:t>
            </w:r>
          </w:p>
          <w:p w:rsidR="006B0618" w:rsidRPr="0053423A" w:rsidRDefault="006B0618" w:rsidP="00A67858">
            <w:pPr>
              <w:pStyle w:val="ListParagraph"/>
              <w:spacing w:line="276" w:lineRule="auto"/>
              <w:ind w:left="0" w:firstLine="709"/>
              <w:jc w:val="both"/>
              <w:rPr>
                <w:rFonts w:cs="Sylfaen"/>
                <w:noProof/>
                <w:lang w:val="hy-AM" w:eastAsia="en-GB"/>
              </w:rPr>
            </w:pPr>
            <w:r w:rsidRPr="0053423A">
              <w:rPr>
                <w:rFonts w:cs="Sylfaen"/>
                <w:lang w:val="hy-AM"/>
              </w:rPr>
              <w:t xml:space="preserve">Համակատարող կազմակերպությունները պետք է օժանդակեն նախագծի մշակման աշխատանքներին։ </w:t>
            </w:r>
          </w:p>
          <w:p w:rsidR="006B0618" w:rsidRPr="0053423A" w:rsidRDefault="006B0618" w:rsidP="00A67858">
            <w:pPr>
              <w:spacing w:line="276" w:lineRule="auto"/>
              <w:ind w:firstLine="709"/>
              <w:jc w:val="both"/>
              <w:rPr>
                <w:rFonts w:cs="Sylfaen"/>
                <w:noProof/>
                <w:lang w:val="hy-AM"/>
              </w:rPr>
            </w:pPr>
            <w:r w:rsidRPr="0053423A">
              <w:rPr>
                <w:rFonts w:cs="Sylfaen"/>
                <w:lang w:val="hy-AM"/>
              </w:rPr>
              <w:t xml:space="preserve">Առկա է նաև գործող </w:t>
            </w:r>
            <w:r w:rsidRPr="0053423A">
              <w:rPr>
                <w:rFonts w:cs="Sylfaen"/>
                <w:noProof/>
                <w:lang w:val="hy-AM"/>
              </w:rPr>
              <w:t>օրենքում օգտագործված որոշ հասկացությունների ճշգրտման և մի շարք նոր հասկացությունների ավելացման անհրաժեշտություն։</w:t>
            </w:r>
          </w:p>
          <w:p w:rsidR="006B0618" w:rsidRPr="0053423A" w:rsidRDefault="006B0618" w:rsidP="00A67858">
            <w:pPr>
              <w:spacing w:line="276" w:lineRule="auto"/>
              <w:ind w:firstLine="706"/>
              <w:jc w:val="both"/>
              <w:rPr>
                <w:rFonts w:cs="Sylfaen"/>
                <w:i/>
                <w:lang w:val="hy-AM"/>
              </w:rPr>
            </w:pPr>
            <w:r w:rsidRPr="0053423A">
              <w:rPr>
                <w:b/>
                <w:i/>
                <w:lang w:val="hy-AM"/>
              </w:rPr>
              <w:t>2. Միջոցառման իրականացումից ակնկալվող արդյունքը</w:t>
            </w:r>
          </w:p>
          <w:p w:rsidR="006B0618" w:rsidRPr="0053423A" w:rsidRDefault="006B0618" w:rsidP="00A67858">
            <w:pPr>
              <w:spacing w:line="276" w:lineRule="auto"/>
              <w:ind w:firstLine="709"/>
              <w:jc w:val="both"/>
              <w:rPr>
                <w:rFonts w:cs="Arial"/>
                <w:b/>
                <w:lang w:val="hy-AM"/>
              </w:rPr>
            </w:pPr>
            <w:r w:rsidRPr="0053423A">
              <w:rPr>
                <w:rFonts w:cs="GHEA Grapalat"/>
                <w:bCs/>
                <w:lang w:val="pt-BR"/>
              </w:rPr>
              <w:t>Միջազգային պահանջներին և ԵՄ դիրեկտիվների հետ համահունչ օրենքի առկայություն</w:t>
            </w:r>
            <w:r w:rsidRPr="0053423A">
              <w:rPr>
                <w:rFonts w:cs="GHEA Grapalat"/>
                <w:bCs/>
                <w:lang w:val="hy-AM"/>
              </w:rPr>
              <w:t>, բուսական աշխարհի օբյեկտների</w:t>
            </w:r>
            <w:r w:rsidRPr="0053423A">
              <w:rPr>
                <w:rFonts w:cs="GHEA Grapalat"/>
                <w:bCs/>
                <w:lang w:val="pt-BR"/>
              </w:rPr>
              <w:t xml:space="preserve">. այդ թվում` ՀՀ </w:t>
            </w:r>
            <w:r w:rsidRPr="0053423A">
              <w:rPr>
                <w:rFonts w:cs="GHEA Grapalat"/>
                <w:bCs/>
                <w:lang w:val="hy-AM"/>
              </w:rPr>
              <w:t>բույս</w:t>
            </w:r>
            <w:r w:rsidRPr="0053423A">
              <w:rPr>
                <w:rFonts w:cs="GHEA Grapalat"/>
                <w:bCs/>
                <w:lang w:val="pt-BR"/>
              </w:rPr>
              <w:t xml:space="preserve">երի Կարմիր գրքում գրանցված </w:t>
            </w:r>
            <w:r w:rsidRPr="0053423A">
              <w:rPr>
                <w:rFonts w:cs="GHEA Grapalat"/>
                <w:bCs/>
                <w:lang w:val="hy-AM"/>
              </w:rPr>
              <w:t>բույս</w:t>
            </w:r>
            <w:r w:rsidRPr="0053423A">
              <w:rPr>
                <w:rFonts w:cs="GHEA Grapalat"/>
                <w:bCs/>
                <w:lang w:val="pt-BR"/>
              </w:rPr>
              <w:t>եր</w:t>
            </w:r>
            <w:r w:rsidRPr="0053423A">
              <w:rPr>
                <w:rFonts w:cs="GHEA Grapalat"/>
                <w:bCs/>
                <w:lang w:val="hy-AM"/>
              </w:rPr>
              <w:t>ի</w:t>
            </w:r>
            <w:r w:rsidRPr="0053423A">
              <w:rPr>
                <w:rFonts w:cs="GHEA Grapalat"/>
                <w:bCs/>
                <w:lang w:val="pt-BR"/>
              </w:rPr>
              <w:t xml:space="preserve"> </w:t>
            </w:r>
            <w:r w:rsidRPr="0053423A">
              <w:rPr>
                <w:rFonts w:cs="Sylfaen"/>
                <w:noProof/>
                <w:lang w:val="hy-AM"/>
              </w:rPr>
              <w:t xml:space="preserve">օգտագործման գործընթացի կանոնակարգում և վարչարարության նվազեցում։ </w:t>
            </w:r>
            <w:r w:rsidRPr="0053423A">
              <w:rPr>
                <w:rFonts w:cs="Sylfaen"/>
                <w:lang w:val="hy-AM"/>
              </w:rPr>
              <w:t>Լրամշակվել են</w:t>
            </w:r>
            <w:r w:rsidRPr="0053423A">
              <w:rPr>
                <w:rFonts w:cs="Sylfaen"/>
                <w:lang w:val="fr-FR"/>
              </w:rPr>
              <w:t xml:space="preserve"> </w:t>
            </w:r>
            <w:r w:rsidRPr="0053423A">
              <w:rPr>
                <w:rFonts w:cs="Sylfaen"/>
                <w:lang w:val="hy-AM"/>
              </w:rPr>
              <w:t>Օրենքում</w:t>
            </w:r>
            <w:r w:rsidRPr="0053423A">
              <w:rPr>
                <w:lang w:val="hy-AM"/>
              </w:rPr>
              <w:t xml:space="preserve"> </w:t>
            </w:r>
            <w:r w:rsidRPr="0053423A">
              <w:rPr>
                <w:rFonts w:cs="Sylfaen"/>
                <w:lang w:val="hy-AM"/>
              </w:rPr>
              <w:t>օգտագործված</w:t>
            </w:r>
            <w:r w:rsidRPr="0053423A">
              <w:rPr>
                <w:lang w:val="hy-AM"/>
              </w:rPr>
              <w:t xml:space="preserve"> </w:t>
            </w:r>
            <w:r w:rsidRPr="0053423A">
              <w:rPr>
                <w:rFonts w:cs="Sylfaen"/>
                <w:lang w:val="hy-AM"/>
              </w:rPr>
              <w:t>որոշ</w:t>
            </w:r>
            <w:r w:rsidRPr="0053423A">
              <w:rPr>
                <w:lang w:val="hy-AM"/>
              </w:rPr>
              <w:t xml:space="preserve"> </w:t>
            </w:r>
            <w:r w:rsidRPr="0053423A">
              <w:rPr>
                <w:rFonts w:cs="Sylfaen"/>
                <w:lang w:val="hy-AM"/>
              </w:rPr>
              <w:t>հասկացություններ</w:t>
            </w:r>
            <w:r w:rsidRPr="0053423A">
              <w:rPr>
                <w:rFonts w:cs="Sylfaen"/>
                <w:lang w:val="fr-FR"/>
              </w:rPr>
              <w:t xml:space="preserve">, </w:t>
            </w:r>
            <w:r w:rsidRPr="0053423A">
              <w:rPr>
                <w:rFonts w:cs="Sylfaen"/>
                <w:lang w:val="hy-AM"/>
              </w:rPr>
              <w:t>ավելացվել</w:t>
            </w:r>
            <w:r w:rsidRPr="0053423A">
              <w:rPr>
                <w:lang w:val="hy-AM"/>
              </w:rPr>
              <w:t xml:space="preserve"> </w:t>
            </w:r>
            <w:r w:rsidRPr="0053423A">
              <w:rPr>
                <w:rFonts w:cs="Sylfaen"/>
                <w:lang w:val="hy-AM"/>
              </w:rPr>
              <w:t>են</w:t>
            </w:r>
            <w:r w:rsidRPr="0053423A">
              <w:rPr>
                <w:lang w:val="hy-AM"/>
              </w:rPr>
              <w:t xml:space="preserve"> նաև</w:t>
            </w:r>
            <w:r w:rsidRPr="0053423A">
              <w:rPr>
                <w:lang w:val="fr-FR"/>
              </w:rPr>
              <w:t xml:space="preserve"> </w:t>
            </w:r>
            <w:r w:rsidRPr="0053423A">
              <w:rPr>
                <w:lang w:val="hy-AM"/>
              </w:rPr>
              <w:t>մի</w:t>
            </w:r>
            <w:r w:rsidRPr="0053423A">
              <w:rPr>
                <w:lang w:val="fr-FR"/>
              </w:rPr>
              <w:t xml:space="preserve"> </w:t>
            </w:r>
            <w:r w:rsidRPr="0053423A">
              <w:rPr>
                <w:lang w:val="hy-AM"/>
              </w:rPr>
              <w:t>շարք</w:t>
            </w:r>
            <w:r w:rsidRPr="0053423A">
              <w:rPr>
                <w:lang w:val="fr-FR"/>
              </w:rPr>
              <w:t xml:space="preserve"> </w:t>
            </w:r>
            <w:r w:rsidRPr="0053423A">
              <w:rPr>
                <w:lang w:val="hy-AM"/>
              </w:rPr>
              <w:t>նոր</w:t>
            </w:r>
            <w:r w:rsidRPr="0053423A">
              <w:rPr>
                <w:lang w:val="fr-FR"/>
              </w:rPr>
              <w:t xml:space="preserve"> </w:t>
            </w:r>
            <w:r w:rsidRPr="0053423A">
              <w:rPr>
                <w:lang w:val="hy-AM"/>
              </w:rPr>
              <w:t>հասկացություններ, որոնց վերաբերյալ Օ</w:t>
            </w:r>
            <w:r w:rsidRPr="0053423A">
              <w:rPr>
                <w:rFonts w:cs="Sylfaen"/>
                <w:lang w:val="hy-AM"/>
              </w:rPr>
              <w:t>րենքում</w:t>
            </w:r>
            <w:r w:rsidRPr="0053423A">
              <w:rPr>
                <w:lang w:val="hy-AM"/>
              </w:rPr>
              <w:t xml:space="preserve"> ներառվել</w:t>
            </w:r>
            <w:r w:rsidRPr="0053423A">
              <w:rPr>
                <w:lang w:val="fr-FR"/>
              </w:rPr>
              <w:t xml:space="preserve"> </w:t>
            </w:r>
            <w:r w:rsidRPr="0053423A">
              <w:rPr>
                <w:lang w:val="hy-AM"/>
              </w:rPr>
              <w:t xml:space="preserve">են դրույթներ: </w:t>
            </w:r>
          </w:p>
          <w:p w:rsidR="006B0618" w:rsidRPr="0053423A" w:rsidRDefault="006B0618" w:rsidP="00A67858">
            <w:pPr>
              <w:spacing w:line="276" w:lineRule="auto"/>
              <w:jc w:val="center"/>
              <w:rPr>
                <w:rFonts w:cs="Arial"/>
                <w:b/>
                <w:lang w:val="hy-AM"/>
              </w:rPr>
            </w:pPr>
          </w:p>
          <w:p w:rsidR="006B0618" w:rsidRPr="0053423A" w:rsidRDefault="006B0618" w:rsidP="00A67858">
            <w:pPr>
              <w:tabs>
                <w:tab w:val="left" w:pos="1080"/>
              </w:tabs>
              <w:suppressAutoHyphens/>
              <w:spacing w:line="276" w:lineRule="auto"/>
              <w:jc w:val="center"/>
              <w:rPr>
                <w:b/>
                <w:kern w:val="16"/>
                <w:u w:val="single"/>
                <w:lang w:val="hy-AM"/>
              </w:rPr>
            </w:pPr>
            <w:r w:rsidRPr="0053423A">
              <w:rPr>
                <w:rFonts w:cs="GHEA Grapalat"/>
                <w:b/>
                <w:u w:val="single"/>
                <w:lang w:val="hy-AM" w:eastAsia="zh-CN"/>
              </w:rPr>
              <w:t xml:space="preserve">6.3 </w:t>
            </w:r>
            <w:r w:rsidRPr="0053423A">
              <w:rPr>
                <w:rFonts w:cs="Sylfaen"/>
                <w:b/>
                <w:u w:val="single"/>
                <w:lang w:val="hy-AM"/>
              </w:rPr>
              <w:t>Բուսական և կենդանական</w:t>
            </w:r>
            <w:r w:rsidRPr="0053423A">
              <w:rPr>
                <w:b/>
                <w:u w:val="single"/>
                <w:lang w:val="hy-AM"/>
              </w:rPr>
              <w:t xml:space="preserve"> աշխարհի օբյեկտների հաշվառում.  կադաստրների </w:t>
            </w:r>
            <w:r w:rsidRPr="0053423A">
              <w:rPr>
                <w:b/>
                <w:kern w:val="16"/>
                <w:u w:val="single"/>
                <w:lang w:val="pt-BR"/>
              </w:rPr>
              <w:t>կատարելագործում</w:t>
            </w:r>
            <w:r w:rsidRPr="0053423A">
              <w:rPr>
                <w:b/>
                <w:kern w:val="16"/>
                <w:u w:val="single"/>
                <w:lang w:val="hy-AM"/>
              </w:rPr>
              <w:t></w:t>
            </w:r>
          </w:p>
          <w:p w:rsidR="006B0618" w:rsidRPr="0053423A" w:rsidRDefault="006B0618" w:rsidP="00A67858">
            <w:pPr>
              <w:tabs>
                <w:tab w:val="left" w:pos="1080"/>
              </w:tabs>
              <w:suppressAutoHyphens/>
              <w:spacing w:line="276" w:lineRule="auto"/>
              <w:jc w:val="center"/>
              <w:rPr>
                <w:b/>
                <w:kern w:val="16"/>
                <w:u w:val="single"/>
                <w:lang w:val="hy-AM"/>
              </w:rPr>
            </w:pPr>
          </w:p>
          <w:p w:rsidR="006B0618" w:rsidRPr="0053423A" w:rsidRDefault="006B0618" w:rsidP="00A67858">
            <w:pPr>
              <w:pStyle w:val="ListParagraph"/>
              <w:numPr>
                <w:ilvl w:val="0"/>
                <w:numId w:val="48"/>
              </w:numPr>
              <w:spacing w:line="276" w:lineRule="auto"/>
              <w:jc w:val="both"/>
              <w:rPr>
                <w:b/>
                <w:i/>
                <w:lang w:val="hy-AM"/>
              </w:rPr>
            </w:pPr>
            <w:r w:rsidRPr="0053423A">
              <w:rPr>
                <w:b/>
                <w:i/>
                <w:lang w:val="hy-AM"/>
              </w:rPr>
              <w:t xml:space="preserve">Միջոցառման իրականացման անհրաժեշտությունը և նպատակը </w:t>
            </w:r>
          </w:p>
          <w:p w:rsidR="006B0618" w:rsidRPr="0053423A" w:rsidRDefault="00232EB0" w:rsidP="00A67858">
            <w:pPr>
              <w:pStyle w:val="BodyText2"/>
              <w:spacing w:after="0" w:line="276" w:lineRule="auto"/>
              <w:ind w:firstLine="375"/>
              <w:jc w:val="both"/>
              <w:rPr>
                <w:rFonts w:ascii="GHEA Grapalat" w:hAnsi="GHEA Grapalat"/>
                <w:kern w:val="16"/>
                <w:sz w:val="20"/>
                <w:szCs w:val="20"/>
              </w:rPr>
            </w:pPr>
            <w:r w:rsidRPr="0053423A">
              <w:rPr>
                <w:rFonts w:ascii="GHEA Grapalat" w:hAnsi="GHEA Grapalat"/>
                <w:kern w:val="16"/>
                <w:sz w:val="20"/>
                <w:szCs w:val="20"/>
              </w:rPr>
              <w:t>Միջո</w:t>
            </w:r>
            <w:r w:rsidR="006B0618" w:rsidRPr="0053423A">
              <w:rPr>
                <w:rFonts w:ascii="GHEA Grapalat" w:hAnsi="GHEA Grapalat"/>
                <w:kern w:val="16"/>
                <w:sz w:val="20"/>
                <w:szCs w:val="20"/>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Կենսաբազմազանության պահպանություն և կենսաանվտանգության ապահովում, կենդանական և բուսական աշխարհի օբյեկտների հաշվառում ուղղությունը:</w:t>
            </w:r>
          </w:p>
          <w:p w:rsidR="006B0618" w:rsidRPr="0053423A" w:rsidRDefault="006B0618" w:rsidP="00A67858">
            <w:pPr>
              <w:pStyle w:val="BodyText2"/>
              <w:spacing w:after="0" w:line="276" w:lineRule="auto"/>
              <w:ind w:firstLine="375"/>
              <w:jc w:val="both"/>
              <w:rPr>
                <w:rFonts w:ascii="GHEA Grapalat" w:hAnsi="GHEA Grapalat"/>
                <w:kern w:val="16"/>
                <w:sz w:val="20"/>
                <w:szCs w:val="20"/>
                <w:lang w:val="hy-AM"/>
              </w:rPr>
            </w:pPr>
            <w:r w:rsidRPr="0053423A">
              <w:rPr>
                <w:rFonts w:ascii="GHEA Grapalat" w:hAnsi="GHEA Grapalat"/>
                <w:kern w:val="16"/>
                <w:sz w:val="20"/>
                <w:szCs w:val="20"/>
                <w:lang w:val="hy-AM"/>
              </w:rPr>
              <w:t xml:space="preserve">Միջոցառման </w:t>
            </w:r>
            <w:r w:rsidRPr="0053423A">
              <w:rPr>
                <w:rFonts w:ascii="GHEA Grapalat" w:hAnsi="GHEA Grapalat"/>
                <w:kern w:val="16"/>
                <w:sz w:val="20"/>
                <w:szCs w:val="20"/>
                <w:lang w:val="pt-BR"/>
              </w:rPr>
              <w:t xml:space="preserve">հիմնական նպատակը` ՀՀ տարածքում </w:t>
            </w:r>
            <w:r w:rsidRPr="0053423A">
              <w:rPr>
                <w:rFonts w:ascii="GHEA Grapalat" w:hAnsi="GHEA Grapalat"/>
                <w:kern w:val="16"/>
                <w:sz w:val="20"/>
                <w:szCs w:val="20"/>
                <w:lang w:val="hy-AM"/>
              </w:rPr>
              <w:t>բուսական և կենդանական</w:t>
            </w:r>
            <w:r w:rsidRPr="0053423A">
              <w:rPr>
                <w:rFonts w:ascii="GHEA Grapalat" w:hAnsi="GHEA Grapalat"/>
                <w:kern w:val="16"/>
                <w:sz w:val="20"/>
                <w:szCs w:val="20"/>
                <w:lang w:val="pt-BR"/>
              </w:rPr>
              <w:t xml:space="preserve"> աշխարհի պետական հաշվառման կազմակերպումն է: Աշխատանքների իրականացման փուլում նախատեսվում է կազմակերպել և իրականացնել </w:t>
            </w:r>
            <w:r w:rsidRPr="0053423A">
              <w:rPr>
                <w:rFonts w:ascii="GHEA Grapalat" w:hAnsi="GHEA Grapalat"/>
                <w:kern w:val="16"/>
                <w:sz w:val="20"/>
                <w:szCs w:val="20"/>
                <w:lang w:val="hy-AM"/>
              </w:rPr>
              <w:t>բուսական և կենդանական</w:t>
            </w:r>
            <w:r w:rsidRPr="0053423A">
              <w:rPr>
                <w:rFonts w:ascii="GHEA Grapalat" w:hAnsi="GHEA Grapalat"/>
                <w:kern w:val="16"/>
                <w:sz w:val="20"/>
                <w:szCs w:val="20"/>
                <w:lang w:val="pt-BR"/>
              </w:rPr>
              <w:t xml:space="preserve"> աշխարհի, ներառյալ օգտագործման իմաստով առավել խոցելի խոշոր խմբերի՝</w:t>
            </w:r>
            <w:r w:rsidRPr="0053423A">
              <w:rPr>
                <w:rFonts w:ascii="GHEA Grapalat" w:hAnsi="GHEA Grapalat"/>
                <w:kern w:val="16"/>
                <w:sz w:val="20"/>
                <w:szCs w:val="20"/>
                <w:lang w:val="hy-AM"/>
              </w:rPr>
              <w:t xml:space="preserve"> դեղաբույսերի, ուտելի բույսերի և ուտելի սնկերի,</w:t>
            </w:r>
            <w:r w:rsidRPr="0053423A">
              <w:rPr>
                <w:rFonts w:ascii="GHEA Grapalat" w:hAnsi="GHEA Grapalat"/>
                <w:kern w:val="16"/>
                <w:sz w:val="20"/>
                <w:szCs w:val="20"/>
                <w:lang w:val="pt-BR"/>
              </w:rPr>
              <w:t xml:space="preserve"> </w:t>
            </w:r>
            <w:r w:rsidRPr="0053423A">
              <w:rPr>
                <w:rFonts w:ascii="GHEA Grapalat" w:hAnsi="GHEA Grapalat"/>
                <w:kern w:val="16"/>
                <w:sz w:val="20"/>
                <w:szCs w:val="20"/>
                <w:lang w:val="hy-AM"/>
              </w:rPr>
              <w:t>խոշոր և մանր կաթնասունների, թռչունների, ձկների և խեցգետնի ուսումնասիրություններ և հաշվառում</w:t>
            </w:r>
            <w:r w:rsidRPr="0053423A">
              <w:rPr>
                <w:rFonts w:ascii="GHEA Grapalat" w:hAnsi="GHEA Grapalat"/>
                <w:kern w:val="16"/>
                <w:sz w:val="20"/>
                <w:szCs w:val="20"/>
                <w:lang w:val="pt-BR"/>
              </w:rPr>
              <w:t>՝ ըստ ՀՀ մարզերի, որն իր մեջ կներառի տեսակային կազմի, տարածվածության, քարտեզագրման և հնարավորինս նաև պաշարների գնահատման</w:t>
            </w:r>
            <w:r w:rsidRPr="0053423A">
              <w:rPr>
                <w:rFonts w:ascii="GHEA Grapalat" w:hAnsi="GHEA Grapalat"/>
                <w:kern w:val="16"/>
                <w:sz w:val="20"/>
                <w:szCs w:val="20"/>
                <w:lang w:val="hy-AM"/>
              </w:rPr>
              <w:t>,</w:t>
            </w:r>
            <w:r w:rsidRPr="0053423A">
              <w:rPr>
                <w:rFonts w:ascii="GHEA Grapalat" w:hAnsi="GHEA Grapalat"/>
                <w:kern w:val="16"/>
                <w:sz w:val="20"/>
                <w:szCs w:val="20"/>
                <w:lang w:val="pt-BR"/>
              </w:rPr>
              <w:t xml:space="preserve"> տվյալների էլեկտրոնային բազայի ձևավորմ</w:t>
            </w:r>
            <w:r w:rsidRPr="0053423A">
              <w:rPr>
                <w:rFonts w:ascii="GHEA Grapalat" w:hAnsi="GHEA Grapalat"/>
                <w:kern w:val="16"/>
                <w:sz w:val="20"/>
                <w:szCs w:val="20"/>
                <w:lang w:val="hy-AM"/>
              </w:rPr>
              <w:t>ան, կադաստրի ստեղծման</w:t>
            </w:r>
            <w:r w:rsidRPr="0053423A">
              <w:rPr>
                <w:rFonts w:ascii="GHEA Grapalat" w:hAnsi="GHEA Grapalat"/>
                <w:kern w:val="16"/>
                <w:sz w:val="20"/>
                <w:szCs w:val="20"/>
                <w:lang w:val="pt-BR"/>
              </w:rPr>
              <w:t xml:space="preserve"> աշխատանքներ</w:t>
            </w:r>
            <w:r w:rsidRPr="0053423A">
              <w:rPr>
                <w:rFonts w:ascii="GHEA Grapalat" w:hAnsi="GHEA Grapalat"/>
                <w:kern w:val="16"/>
                <w:sz w:val="20"/>
                <w:szCs w:val="20"/>
                <w:lang w:val="hy-AM"/>
              </w:rPr>
              <w:t>:</w:t>
            </w:r>
            <w:r w:rsidRPr="0053423A">
              <w:rPr>
                <w:rFonts w:ascii="GHEA Grapalat" w:hAnsi="GHEA Grapalat"/>
                <w:kern w:val="16"/>
                <w:sz w:val="20"/>
                <w:szCs w:val="20"/>
                <w:lang w:val="pt-BR"/>
              </w:rPr>
              <w:t xml:space="preserve"> </w:t>
            </w:r>
          </w:p>
          <w:p w:rsidR="006B0618" w:rsidRPr="0053423A" w:rsidRDefault="006B0618" w:rsidP="00A67858">
            <w:pPr>
              <w:pStyle w:val="BodyText2"/>
              <w:spacing w:after="0" w:line="276" w:lineRule="auto"/>
              <w:ind w:firstLine="720"/>
              <w:jc w:val="both"/>
              <w:rPr>
                <w:rFonts w:ascii="GHEA Grapalat" w:hAnsi="GHEA Grapalat"/>
                <w:kern w:val="16"/>
                <w:sz w:val="20"/>
                <w:szCs w:val="20"/>
                <w:lang w:val="pt-BR"/>
              </w:rPr>
            </w:pPr>
            <w:r w:rsidRPr="0053423A">
              <w:rPr>
                <w:rFonts w:ascii="GHEA Grapalat" w:hAnsi="GHEA Grapalat"/>
                <w:kern w:val="16"/>
                <w:sz w:val="20"/>
                <w:szCs w:val="20"/>
                <w:lang w:val="pt-BR"/>
              </w:rPr>
              <w:t xml:space="preserve">Վերոնշյալ հաշվառման արդյունքների հիման վրա միայն հնարավոր կլինի ապահովել </w:t>
            </w:r>
            <w:r w:rsidRPr="0053423A">
              <w:rPr>
                <w:rFonts w:ascii="GHEA Grapalat" w:hAnsi="GHEA Grapalat"/>
                <w:kern w:val="16"/>
                <w:sz w:val="20"/>
                <w:szCs w:val="20"/>
                <w:lang w:val="hy-AM"/>
              </w:rPr>
              <w:t>բուսական և կենդանական</w:t>
            </w:r>
            <w:r w:rsidRPr="0053423A">
              <w:rPr>
                <w:rFonts w:ascii="GHEA Grapalat" w:hAnsi="GHEA Grapalat"/>
                <w:kern w:val="16"/>
                <w:sz w:val="20"/>
                <w:szCs w:val="20"/>
                <w:lang w:val="pt-BR"/>
              </w:rPr>
              <w:t xml:space="preserve"> տեսակների գիտականորեն հիմնավորված շարունակական օգտագործումն ու վերարտադրությունը, ձևավորել </w:t>
            </w:r>
            <w:r w:rsidRPr="0053423A">
              <w:rPr>
                <w:rFonts w:ascii="GHEA Grapalat" w:hAnsi="GHEA Grapalat"/>
                <w:kern w:val="16"/>
                <w:sz w:val="20"/>
                <w:szCs w:val="20"/>
                <w:lang w:val="hy-AM"/>
              </w:rPr>
              <w:t>բուսական և կենդանական</w:t>
            </w:r>
            <w:r w:rsidRPr="0053423A">
              <w:rPr>
                <w:rFonts w:ascii="GHEA Grapalat" w:hAnsi="GHEA Grapalat"/>
                <w:kern w:val="16"/>
                <w:sz w:val="20"/>
                <w:szCs w:val="20"/>
                <w:lang w:val="pt-BR"/>
              </w:rPr>
              <w:t xml:space="preserve"> աշխարհի կադաստրն ու ստեղծել նախադրյալներ մոնիթորինգի իրականացման համար</w:t>
            </w:r>
            <w:r w:rsidRPr="0053423A">
              <w:rPr>
                <w:rFonts w:ascii="GHEA Grapalat" w:hAnsi="GHEA Grapalat"/>
                <w:kern w:val="16"/>
                <w:sz w:val="20"/>
                <w:szCs w:val="20"/>
                <w:lang w:val="hy-AM"/>
              </w:rPr>
              <w:t xml:space="preserve">, վերանայել Կարմիր գրքում ներառված բուսական և </w:t>
            </w:r>
            <w:r w:rsidRPr="0053423A">
              <w:rPr>
                <w:rFonts w:ascii="GHEA Grapalat" w:hAnsi="GHEA Grapalat"/>
                <w:kern w:val="16"/>
                <w:sz w:val="20"/>
                <w:szCs w:val="20"/>
                <w:lang w:val="pt-BR"/>
              </w:rPr>
              <w:t xml:space="preserve">կենդանական տեսակների ցանկը: </w:t>
            </w:r>
          </w:p>
          <w:p w:rsidR="006B0618" w:rsidRPr="0053423A" w:rsidRDefault="006B0618" w:rsidP="00A67858">
            <w:pPr>
              <w:pStyle w:val="BodyText2"/>
              <w:spacing w:after="0" w:line="276" w:lineRule="auto"/>
              <w:ind w:firstLine="720"/>
              <w:jc w:val="both"/>
              <w:rPr>
                <w:rFonts w:ascii="GHEA Grapalat" w:hAnsi="GHEA Grapalat"/>
                <w:kern w:val="16"/>
                <w:sz w:val="20"/>
                <w:szCs w:val="20"/>
                <w:lang w:val="pt-BR"/>
              </w:rPr>
            </w:pPr>
            <w:r w:rsidRPr="0053423A">
              <w:rPr>
                <w:rFonts w:ascii="GHEA Grapalat" w:hAnsi="GHEA Grapalat"/>
                <w:kern w:val="16"/>
                <w:sz w:val="20"/>
                <w:szCs w:val="20"/>
                <w:lang w:val="pt-BR"/>
              </w:rPr>
              <w:t>Բուսական և կենդանական աշխարհի հաշվառման արդյունքում հնարավոր կլինի նաև բացահայտել բուսական և կենդանական տեսակների աճելավայրերի և ապրելավայրերի քանակական և որակական փոփոխությունները:</w:t>
            </w:r>
          </w:p>
          <w:p w:rsidR="006B0618" w:rsidRPr="0053423A" w:rsidRDefault="006B0618" w:rsidP="00A67858">
            <w:pPr>
              <w:pStyle w:val="BodyText2"/>
              <w:spacing w:after="0" w:line="276" w:lineRule="auto"/>
              <w:ind w:firstLine="720"/>
              <w:jc w:val="both"/>
              <w:rPr>
                <w:rFonts w:ascii="GHEA Grapalat" w:hAnsi="GHEA Grapalat"/>
                <w:kern w:val="16"/>
                <w:sz w:val="20"/>
                <w:szCs w:val="20"/>
                <w:lang w:val="pt-BR"/>
              </w:rPr>
            </w:pPr>
            <w:r w:rsidRPr="0053423A">
              <w:rPr>
                <w:rFonts w:ascii="GHEA Grapalat" w:hAnsi="GHEA Grapalat"/>
                <w:kern w:val="16"/>
                <w:sz w:val="20"/>
                <w:szCs w:val="20"/>
                <w:lang w:val="pt-BR"/>
              </w:rPr>
              <w:t xml:space="preserve">Հաշվառման իրականացման պահանջն ամրագրված է Բուսական աշխարհի մասին և Կենդանական աշխարհի մասին ՀՀ օրենքներում, որոնց համաձայն՝ ոչ ուշ քան տաս տարին մեկ պետք է իրականացվի բուսական աշխարհի պետական և ոչ ուշ քան հինգ տարին մեկ անգամ կենդանական աշխարհի պետական հաշվառում: </w:t>
            </w:r>
          </w:p>
          <w:p w:rsidR="006B0618" w:rsidRPr="0053423A" w:rsidRDefault="006B0618" w:rsidP="00A67858">
            <w:pPr>
              <w:pStyle w:val="BodyText2"/>
              <w:spacing w:after="0" w:line="276" w:lineRule="auto"/>
              <w:ind w:firstLine="720"/>
              <w:jc w:val="both"/>
              <w:rPr>
                <w:rFonts w:ascii="GHEA Grapalat" w:hAnsi="GHEA Grapalat"/>
                <w:kern w:val="16"/>
                <w:sz w:val="20"/>
                <w:szCs w:val="20"/>
                <w:lang w:val="pt-BR"/>
              </w:rPr>
            </w:pPr>
            <w:r w:rsidRPr="0053423A">
              <w:rPr>
                <w:rFonts w:ascii="GHEA Grapalat" w:hAnsi="GHEA Grapalat"/>
                <w:kern w:val="16"/>
                <w:sz w:val="20"/>
                <w:szCs w:val="20"/>
                <w:lang w:val="pt-BR"/>
              </w:rPr>
              <w:t>Սակայն ՀՀ տարածքում բուսական և կենդանական աշխարհի միասնական պետական հաշվառում երբևիցե չի կատարվել: Միայն գիտական թեմաների շրջանակներում ՀՀ ԳԱԱ բուսաբանության ինստիտուտի, կենդանաբանության և հիդրոէկոլոգիայի գիտական կենտրոնի, ՀՀ պետական համալսարանի և այլ կազմակերպությունների կողմից կատարվել են առանձին թեմատիկ ուսումնասիրություններ, որոնք նույնպես ամբողջականացման, համախմբման և կարգավորման կարիք ունեն:</w:t>
            </w:r>
          </w:p>
          <w:p w:rsidR="006B0618" w:rsidRPr="0053423A" w:rsidRDefault="006B0618" w:rsidP="00A67858">
            <w:pPr>
              <w:pStyle w:val="BodyText2"/>
              <w:spacing w:after="0" w:line="276" w:lineRule="auto"/>
              <w:ind w:firstLine="720"/>
              <w:jc w:val="both"/>
              <w:rPr>
                <w:rFonts w:ascii="GHEA Grapalat" w:hAnsi="GHEA Grapalat"/>
                <w:kern w:val="16"/>
                <w:sz w:val="20"/>
                <w:szCs w:val="20"/>
                <w:lang w:val="pt-BR"/>
              </w:rPr>
            </w:pPr>
            <w:r w:rsidRPr="0053423A">
              <w:rPr>
                <w:rFonts w:ascii="GHEA Grapalat" w:hAnsi="GHEA Grapalat"/>
                <w:kern w:val="16"/>
                <w:sz w:val="20"/>
                <w:szCs w:val="20"/>
                <w:lang w:val="pt-BR"/>
              </w:rPr>
              <w:t>Բացի այդ ՀՀ բույսերի և կենդանիների Կարմիր գիրքը, համաձայն Բուսական աշխարհի մասին և Կենդանական աշխարհի մասին ՀՀ օրենքների կազմվում է` հիմք ընդունելով բուսական և կենդանական աշխարհի պետական հաշվառման արդյունքները և արդեն իսկ լրացել է վերջին Կարմիր գրքի կազմման 10 տարին:</w:t>
            </w:r>
          </w:p>
          <w:p w:rsidR="006B0618" w:rsidRPr="0053423A" w:rsidRDefault="006B0618" w:rsidP="00A67858">
            <w:pPr>
              <w:pStyle w:val="BodyText2"/>
              <w:spacing w:after="0" w:line="276" w:lineRule="auto"/>
              <w:ind w:firstLine="600"/>
              <w:jc w:val="both"/>
              <w:rPr>
                <w:rFonts w:ascii="GHEA Grapalat" w:hAnsi="GHEA Grapalat"/>
                <w:b/>
                <w:bCs/>
                <w:sz w:val="20"/>
                <w:szCs w:val="20"/>
                <w:lang w:val="hy-AM"/>
              </w:rPr>
            </w:pPr>
            <w:r w:rsidRPr="0053423A">
              <w:rPr>
                <w:rFonts w:ascii="GHEA Grapalat" w:hAnsi="GHEA Grapalat"/>
                <w:sz w:val="20"/>
                <w:szCs w:val="20"/>
                <w:lang w:val="hy-AM"/>
              </w:rPr>
              <w:t xml:space="preserve">Բուսական և կենդանական աշխարհի հաշվառման </w:t>
            </w:r>
            <w:r w:rsidRPr="0053423A">
              <w:rPr>
                <w:rFonts w:ascii="GHEA Grapalat" w:hAnsi="GHEA Grapalat"/>
                <w:sz w:val="20"/>
                <w:szCs w:val="20"/>
              </w:rPr>
              <w:t>աշխատանքները</w:t>
            </w:r>
            <w:r w:rsidRPr="0053423A">
              <w:rPr>
                <w:rFonts w:ascii="GHEA Grapalat" w:hAnsi="GHEA Grapalat"/>
                <w:sz w:val="20"/>
                <w:szCs w:val="20"/>
                <w:lang w:val="pt-BR"/>
              </w:rPr>
              <w:t xml:space="preserve"> </w:t>
            </w:r>
            <w:r w:rsidRPr="0053423A">
              <w:rPr>
                <w:rFonts w:ascii="GHEA Grapalat" w:hAnsi="GHEA Grapalat"/>
                <w:sz w:val="20"/>
                <w:szCs w:val="20"/>
              </w:rPr>
              <w:t>նախատեսվում</w:t>
            </w:r>
            <w:r w:rsidRPr="0053423A">
              <w:rPr>
                <w:rFonts w:ascii="GHEA Grapalat" w:hAnsi="GHEA Grapalat"/>
                <w:sz w:val="20"/>
                <w:szCs w:val="20"/>
                <w:lang w:val="pt-BR"/>
              </w:rPr>
              <w:t xml:space="preserve"> </w:t>
            </w:r>
            <w:r w:rsidRPr="0053423A">
              <w:rPr>
                <w:rFonts w:ascii="GHEA Grapalat" w:hAnsi="GHEA Grapalat"/>
                <w:sz w:val="20"/>
                <w:szCs w:val="20"/>
              </w:rPr>
              <w:t>է</w:t>
            </w:r>
            <w:r w:rsidRPr="0053423A">
              <w:rPr>
                <w:rFonts w:ascii="GHEA Grapalat" w:hAnsi="GHEA Grapalat"/>
                <w:sz w:val="20"/>
                <w:szCs w:val="20"/>
                <w:lang w:val="pt-BR"/>
              </w:rPr>
              <w:t xml:space="preserve"> </w:t>
            </w:r>
            <w:r w:rsidRPr="0053423A">
              <w:rPr>
                <w:rFonts w:ascii="GHEA Grapalat" w:hAnsi="GHEA Grapalat"/>
                <w:sz w:val="20"/>
                <w:szCs w:val="20"/>
              </w:rPr>
              <w:t>իրականացնել</w:t>
            </w:r>
            <w:r w:rsidRPr="0053423A">
              <w:rPr>
                <w:rFonts w:ascii="GHEA Grapalat" w:hAnsi="GHEA Grapalat"/>
                <w:sz w:val="20"/>
                <w:szCs w:val="20"/>
                <w:lang w:val="pt-BR"/>
              </w:rPr>
              <w:t xml:space="preserve"> </w:t>
            </w:r>
            <w:r w:rsidRPr="0053423A">
              <w:rPr>
                <w:rFonts w:ascii="GHEA Grapalat" w:hAnsi="GHEA Grapalat"/>
                <w:sz w:val="20"/>
                <w:szCs w:val="20"/>
              </w:rPr>
              <w:t>պետական</w:t>
            </w:r>
            <w:r w:rsidRPr="0053423A">
              <w:rPr>
                <w:rFonts w:ascii="GHEA Grapalat" w:hAnsi="GHEA Grapalat"/>
                <w:sz w:val="20"/>
                <w:szCs w:val="20"/>
                <w:lang w:val="pt-BR"/>
              </w:rPr>
              <w:t xml:space="preserve"> </w:t>
            </w:r>
            <w:r w:rsidRPr="0053423A">
              <w:rPr>
                <w:rFonts w:ascii="GHEA Grapalat" w:hAnsi="GHEA Grapalat"/>
                <w:sz w:val="20"/>
                <w:szCs w:val="20"/>
              </w:rPr>
              <w:t>բյուջեի</w:t>
            </w:r>
            <w:r w:rsidRPr="0053423A">
              <w:rPr>
                <w:rFonts w:ascii="GHEA Grapalat" w:hAnsi="GHEA Grapalat"/>
                <w:sz w:val="20"/>
                <w:szCs w:val="20"/>
                <w:lang w:val="pt-BR"/>
              </w:rPr>
              <w:t xml:space="preserve"> </w:t>
            </w:r>
            <w:r w:rsidRPr="0053423A">
              <w:rPr>
                <w:rFonts w:ascii="GHEA Grapalat" w:hAnsi="GHEA Grapalat"/>
                <w:sz w:val="20"/>
                <w:szCs w:val="20"/>
              </w:rPr>
              <w:t>միջոցների</w:t>
            </w:r>
            <w:r w:rsidRPr="0053423A">
              <w:rPr>
                <w:rFonts w:ascii="GHEA Grapalat" w:hAnsi="GHEA Grapalat"/>
                <w:sz w:val="20"/>
                <w:szCs w:val="20"/>
                <w:lang w:val="pt-BR"/>
              </w:rPr>
              <w:t xml:space="preserve"> </w:t>
            </w:r>
            <w:r w:rsidRPr="0053423A">
              <w:rPr>
                <w:rFonts w:ascii="GHEA Grapalat" w:hAnsi="GHEA Grapalat"/>
                <w:sz w:val="20"/>
                <w:szCs w:val="20"/>
              </w:rPr>
              <w:t>հաշվին</w:t>
            </w:r>
            <w:r w:rsidRPr="0053423A">
              <w:rPr>
                <w:rFonts w:ascii="GHEA Grapalat" w:hAnsi="GHEA Grapalat"/>
                <w:sz w:val="20"/>
                <w:szCs w:val="20"/>
                <w:lang w:val="pt-BR"/>
              </w:rPr>
              <w:t xml:space="preserve"> </w:t>
            </w:r>
            <w:r w:rsidRPr="0053423A">
              <w:rPr>
                <w:rFonts w:ascii="GHEA Grapalat" w:hAnsi="GHEA Grapalat"/>
                <w:sz w:val="20"/>
                <w:szCs w:val="20"/>
              </w:rPr>
              <w:t>կամ</w:t>
            </w:r>
            <w:r w:rsidRPr="0053423A">
              <w:rPr>
                <w:rFonts w:ascii="GHEA Grapalat" w:hAnsi="GHEA Grapalat"/>
                <w:sz w:val="20"/>
                <w:szCs w:val="20"/>
                <w:lang w:val="pt-BR"/>
              </w:rPr>
              <w:t xml:space="preserve">, </w:t>
            </w:r>
            <w:r w:rsidRPr="0053423A">
              <w:rPr>
                <w:rFonts w:ascii="GHEA Grapalat" w:hAnsi="GHEA Grapalat"/>
                <w:sz w:val="20"/>
                <w:szCs w:val="20"/>
              </w:rPr>
              <w:t>որպես</w:t>
            </w:r>
            <w:r w:rsidRPr="0053423A">
              <w:rPr>
                <w:rFonts w:ascii="GHEA Grapalat" w:hAnsi="GHEA Grapalat"/>
                <w:sz w:val="20"/>
                <w:szCs w:val="20"/>
                <w:lang w:val="pt-BR"/>
              </w:rPr>
              <w:t xml:space="preserve"> </w:t>
            </w:r>
            <w:r w:rsidRPr="0053423A">
              <w:rPr>
                <w:rFonts w:ascii="GHEA Grapalat" w:hAnsi="GHEA Grapalat"/>
                <w:sz w:val="20"/>
                <w:szCs w:val="20"/>
              </w:rPr>
              <w:t>հավանական</w:t>
            </w:r>
            <w:r w:rsidRPr="0053423A">
              <w:rPr>
                <w:rFonts w:ascii="GHEA Grapalat" w:hAnsi="GHEA Grapalat"/>
                <w:sz w:val="20"/>
                <w:szCs w:val="20"/>
                <w:lang w:val="pt-BR"/>
              </w:rPr>
              <w:t xml:space="preserve"> </w:t>
            </w:r>
            <w:r w:rsidRPr="0053423A">
              <w:rPr>
                <w:rFonts w:ascii="GHEA Grapalat" w:hAnsi="GHEA Grapalat"/>
                <w:sz w:val="20"/>
                <w:szCs w:val="20"/>
                <w:lang w:val="hy-AM"/>
              </w:rPr>
              <w:t>/հնարավոր ֆինանսական աղբյուր</w:t>
            </w:r>
            <w:r w:rsidRPr="0053423A">
              <w:rPr>
                <w:rFonts w:ascii="GHEA Grapalat" w:hAnsi="GHEA Grapalat"/>
                <w:sz w:val="20"/>
                <w:szCs w:val="20"/>
                <w:lang w:val="pt-BR"/>
              </w:rPr>
              <w:t xml:space="preserve"> </w:t>
            </w:r>
            <w:r w:rsidRPr="0053423A">
              <w:rPr>
                <w:rFonts w:ascii="GHEA Grapalat" w:hAnsi="GHEA Grapalat"/>
                <w:sz w:val="20"/>
                <w:szCs w:val="20"/>
              </w:rPr>
              <w:t>կարող</w:t>
            </w:r>
            <w:r w:rsidRPr="0053423A">
              <w:rPr>
                <w:rFonts w:ascii="GHEA Grapalat" w:hAnsi="GHEA Grapalat"/>
                <w:sz w:val="20"/>
                <w:szCs w:val="20"/>
                <w:lang w:val="pt-BR"/>
              </w:rPr>
              <w:t xml:space="preserve"> </w:t>
            </w:r>
            <w:r w:rsidRPr="0053423A">
              <w:rPr>
                <w:rFonts w:ascii="GHEA Grapalat" w:hAnsi="GHEA Grapalat"/>
                <w:sz w:val="20"/>
                <w:szCs w:val="20"/>
              </w:rPr>
              <w:t>է</w:t>
            </w:r>
            <w:r w:rsidRPr="0053423A">
              <w:rPr>
                <w:rFonts w:ascii="GHEA Grapalat" w:hAnsi="GHEA Grapalat"/>
                <w:sz w:val="20"/>
                <w:szCs w:val="20"/>
                <w:lang w:val="pt-BR"/>
              </w:rPr>
              <w:t xml:space="preserve"> </w:t>
            </w:r>
            <w:r w:rsidRPr="0053423A">
              <w:rPr>
                <w:rFonts w:ascii="GHEA Grapalat" w:hAnsi="GHEA Grapalat"/>
                <w:sz w:val="20"/>
                <w:szCs w:val="20"/>
              </w:rPr>
              <w:t>հանդիսանալ</w:t>
            </w:r>
            <w:r w:rsidRPr="0053423A">
              <w:rPr>
                <w:rFonts w:ascii="GHEA Grapalat" w:hAnsi="GHEA Grapalat"/>
                <w:sz w:val="20"/>
                <w:szCs w:val="20"/>
                <w:lang w:val="pt-BR"/>
              </w:rPr>
              <w:t xml:space="preserve"> </w:t>
            </w:r>
            <w:r w:rsidRPr="0053423A">
              <w:rPr>
                <w:rFonts w:ascii="GHEA Grapalat" w:hAnsi="GHEA Grapalat"/>
                <w:sz w:val="20"/>
                <w:szCs w:val="20"/>
                <w:lang w:val="hy-AM"/>
              </w:rPr>
              <w:t>ԵՄ «Կենսաբազմազանություն և կայուն տեղական զարգացում-Հայաստան» ծրագ</w:t>
            </w:r>
            <w:r w:rsidRPr="0053423A">
              <w:rPr>
                <w:rFonts w:ascii="GHEA Grapalat" w:hAnsi="GHEA Grapalat"/>
                <w:sz w:val="20"/>
                <w:szCs w:val="20"/>
              </w:rPr>
              <w:t>իրը</w:t>
            </w:r>
            <w:r w:rsidRPr="0053423A">
              <w:rPr>
                <w:rFonts w:ascii="GHEA Grapalat" w:hAnsi="GHEA Grapalat" w:cs="Arial"/>
                <w:sz w:val="20"/>
                <w:szCs w:val="20"/>
                <w:lang w:val="hy-AM"/>
              </w:rPr>
              <w:t xml:space="preserve"> (KfW</w:t>
            </w:r>
            <w:r w:rsidRPr="0053423A">
              <w:rPr>
                <w:rFonts w:ascii="GHEA Grapalat" w:hAnsi="GHEA Grapalat"/>
                <w:sz w:val="20"/>
                <w:szCs w:val="20"/>
                <w:lang w:val="hy-AM"/>
              </w:rPr>
              <w:t>), ինչպես նաև օրենքով չարգելված այլ միջոցներ:</w:t>
            </w:r>
          </w:p>
          <w:p w:rsidR="006B0618" w:rsidRPr="0053423A" w:rsidRDefault="00B009C2" w:rsidP="00A67858">
            <w:pPr>
              <w:numPr>
                <w:ilvl w:val="1"/>
                <w:numId w:val="48"/>
              </w:numPr>
              <w:spacing w:line="276" w:lineRule="auto"/>
              <w:rPr>
                <w:b/>
                <w:lang w:val="hy-AM"/>
              </w:rPr>
            </w:pPr>
            <w:r w:rsidRPr="0053423A">
              <w:rPr>
                <w:b/>
                <w:lang w:val="hy-AM"/>
              </w:rPr>
              <w:t>Կ</w:t>
            </w:r>
            <w:r w:rsidR="006B0618" w:rsidRPr="0053423A">
              <w:rPr>
                <w:b/>
                <w:lang w:val="hy-AM"/>
              </w:rPr>
              <w:t xml:space="preserve">արգավորման հարաբերությունների ներկա վիճակը և առկա խնդիրները </w:t>
            </w:r>
          </w:p>
          <w:p w:rsidR="006B0618" w:rsidRPr="0053423A" w:rsidRDefault="006B0618" w:rsidP="00A67858">
            <w:pPr>
              <w:pStyle w:val="mechtex"/>
              <w:spacing w:line="276" w:lineRule="auto"/>
              <w:ind w:firstLine="375"/>
              <w:jc w:val="both"/>
              <w:rPr>
                <w:rFonts w:ascii="GHEA Grapalat" w:hAnsi="GHEA Grapalat"/>
                <w:kern w:val="16"/>
                <w:lang w:val="pt-BR"/>
              </w:rPr>
            </w:pPr>
            <w:r w:rsidRPr="0053423A">
              <w:rPr>
                <w:rFonts w:ascii="GHEA Grapalat" w:hAnsi="GHEA Grapalat"/>
                <w:kern w:val="16"/>
                <w:lang w:val="pt-BR"/>
              </w:rPr>
              <w:t>Բուսական և կենդանական աշխարհը հանդիսանում է երկրի տնտեսությանն աջակցող առանցքային աղբյուրներից մեկը, հատկապես գյուղատնտեսության և ռեկրեացիայի, ինչպես նաև սննդային, առողջապահության և այլ արդյունաբերական ոլորտներին հումքի տրամադրման առումով: Սակայն վերջին տասնամյակում բուսական և կենդանական աշխարհի օգտագործումը մեծամասամբ ընթացել է տարերայնորեն, առանց հաշվի առնելու կենսապաշարների վերարտադրության բնական հնարավորությունները և դրա ապահովման անհրաժեշտ նախապայմանները:</w:t>
            </w:r>
          </w:p>
          <w:p w:rsidR="006B0618" w:rsidRPr="0053423A" w:rsidRDefault="006B0618" w:rsidP="00A67858">
            <w:pPr>
              <w:pStyle w:val="mechtex"/>
              <w:spacing w:line="276" w:lineRule="auto"/>
              <w:jc w:val="both"/>
              <w:rPr>
                <w:rFonts w:ascii="GHEA Grapalat" w:hAnsi="GHEA Grapalat"/>
                <w:kern w:val="16"/>
                <w:lang w:val="pt-BR"/>
              </w:rPr>
            </w:pPr>
            <w:r w:rsidRPr="0053423A">
              <w:rPr>
                <w:rFonts w:ascii="GHEA Grapalat" w:hAnsi="GHEA Grapalat"/>
                <w:kern w:val="16"/>
                <w:lang w:val="pt-BR"/>
              </w:rPr>
              <w:t>Այդ տեսանկյունից չափազանց կարևորվում է հաշվառման իրականացումը, ստացված տվյալների հիման վրա պետական կադաստրի ձևավորումն ու վարումը, որն էլ իր հերթին հնարավորություն կընձեռի ՀՀ տարածքի բուսական և կենդանական աշխարհի բազմազանության, դրանց պաշարների, աճելավայրերի, ապրելավայրերի քանակական և որակական փոփոխությունների վերաբերյալ հավաստի տեղեկատվության միջոցով կանոնակարգելու արդեն իսկ օգտագործման ենթակա չափաքանակները, ինչպես նաև վերանայելու Կարմիր գիրքը, քանի որ այն կազմվել է 2007-2009 թթ. ԳԱԱ բուսաբանության ինստիտուտի, Կենդանաբանության և հիդրոէկոլոգիայի գիտական կենտրոնի, Երևանի պետական համալսարանի մասնագետների կողմից իրականացված գիտական հետազոտությունների հիման վրա (հիմք` բույսերի և կենդանիների Կարմիր գիրք): Այս աշխատանքների իրականացումից արդեն իսկ անցել է 10 տարուց ավել և հետևաբար հաշվառման իրականացումը կարևորագույն պահանջ և արդյունք է հանդիսանալու Կարմիր գրքի վերանայման հարցում:</w:t>
            </w:r>
          </w:p>
          <w:p w:rsidR="006B0618" w:rsidRPr="0053423A" w:rsidRDefault="006B0618" w:rsidP="00A67858">
            <w:pPr>
              <w:pStyle w:val="mechtex"/>
              <w:spacing w:line="276" w:lineRule="auto"/>
              <w:jc w:val="both"/>
              <w:rPr>
                <w:rFonts w:ascii="GHEA Grapalat" w:hAnsi="GHEA Grapalat"/>
                <w:kern w:val="16"/>
                <w:lang w:val="pt-BR"/>
              </w:rPr>
            </w:pPr>
            <w:r w:rsidRPr="0053423A">
              <w:rPr>
                <w:rFonts w:ascii="GHEA Grapalat" w:hAnsi="GHEA Grapalat"/>
                <w:b/>
                <w:kern w:val="16"/>
                <w:lang w:val="pt-BR"/>
              </w:rPr>
              <w:t xml:space="preserve"> </w:t>
            </w:r>
            <w:r w:rsidRPr="0053423A">
              <w:rPr>
                <w:rFonts w:ascii="GHEA Grapalat" w:hAnsi="GHEA Grapalat"/>
                <w:b/>
                <w:kern w:val="16"/>
                <w:lang w:val="pt-BR"/>
              </w:rPr>
              <w:tab/>
            </w:r>
            <w:r w:rsidRPr="0053423A">
              <w:rPr>
                <w:rFonts w:ascii="GHEA Grapalat" w:hAnsi="GHEA Grapalat"/>
                <w:kern w:val="16"/>
                <w:lang w:val="pt-BR"/>
              </w:rPr>
              <w:t xml:space="preserve">Հաշվառման անհրաժեշտությունը կարևորվել է նաև ՀՀ կառավարության 2015թ. դեկտեմբերի 10-ի նիստի Հայաստանի Հանրապետության կենսաբանական բազմազանության պահպանության, պաշտպանության, վերարտադրության և օգտագործման բնագավառներում ռազմավարությանը և գործողությունների ազգային ծրագրին հավանություն տալու մասին N54 արձանագրային և ՀՀ կառավարության 2009 թվականի օգոստոսի 13-ի Հայաստանի Հանրապետության </w:t>
            </w:r>
            <w:r w:rsidRPr="0053423A">
              <w:rPr>
                <w:rFonts w:ascii="GHEA Grapalat" w:hAnsi="GHEA Grapalat"/>
                <w:kern w:val="16"/>
                <w:lang w:val="hy-AM"/>
              </w:rPr>
              <w:t>կենդանական</w:t>
            </w:r>
            <w:r w:rsidRPr="0053423A">
              <w:rPr>
                <w:rFonts w:ascii="GHEA Grapalat" w:hAnsi="GHEA Grapalat"/>
                <w:kern w:val="16"/>
                <w:lang w:val="pt-BR"/>
              </w:rPr>
              <w:t xml:space="preserve"> աշխարհի պետական հաշվառման ծրագիր N97</w:t>
            </w:r>
            <w:r w:rsidRPr="0053423A">
              <w:rPr>
                <w:rFonts w:ascii="GHEA Grapalat" w:hAnsi="GHEA Grapalat"/>
                <w:kern w:val="16"/>
                <w:lang w:val="hy-AM"/>
              </w:rPr>
              <w:t>5</w:t>
            </w:r>
            <w:r w:rsidRPr="0053423A">
              <w:rPr>
                <w:rFonts w:ascii="GHEA Grapalat" w:hAnsi="GHEA Grapalat"/>
                <w:kern w:val="16"/>
                <w:lang w:val="pt-BR"/>
              </w:rPr>
              <w:t xml:space="preserve">-Ն </w:t>
            </w:r>
            <w:r w:rsidRPr="0053423A">
              <w:rPr>
                <w:rFonts w:ascii="GHEA Grapalat" w:hAnsi="GHEA Grapalat"/>
                <w:kern w:val="16"/>
                <w:lang w:val="hy-AM"/>
              </w:rPr>
              <w:t xml:space="preserve"> և </w:t>
            </w:r>
            <w:r w:rsidRPr="0053423A">
              <w:rPr>
                <w:rFonts w:ascii="GHEA Grapalat" w:hAnsi="GHEA Grapalat"/>
                <w:kern w:val="16"/>
                <w:lang w:val="pt-BR"/>
              </w:rPr>
              <w:t xml:space="preserve">ՀՀ կառավարության 2009 թվականի օգոստոսի 13-ի Հայաստանի Հանրապետության </w:t>
            </w:r>
            <w:r w:rsidRPr="0053423A">
              <w:rPr>
                <w:rFonts w:ascii="GHEA Grapalat" w:hAnsi="GHEA Grapalat"/>
                <w:kern w:val="16"/>
                <w:lang w:val="hy-AM"/>
              </w:rPr>
              <w:t>բուսական</w:t>
            </w:r>
            <w:r w:rsidRPr="0053423A">
              <w:rPr>
                <w:rFonts w:ascii="GHEA Grapalat" w:hAnsi="GHEA Grapalat"/>
                <w:kern w:val="16"/>
                <w:lang w:val="pt-BR"/>
              </w:rPr>
              <w:t xml:space="preserve"> աշխարհի պետական հաշվառման ծրագիր N974-Ն որոշումներով: </w:t>
            </w:r>
          </w:p>
          <w:p w:rsidR="006B0618" w:rsidRPr="0053423A" w:rsidRDefault="006B0618" w:rsidP="00A67858">
            <w:pPr>
              <w:pStyle w:val="mechtex"/>
              <w:spacing w:line="276" w:lineRule="auto"/>
              <w:jc w:val="both"/>
              <w:rPr>
                <w:rFonts w:ascii="GHEA Grapalat" w:hAnsi="GHEA Grapalat"/>
                <w:kern w:val="16"/>
                <w:lang w:val="pt-BR"/>
              </w:rPr>
            </w:pPr>
            <w:r w:rsidRPr="0053423A">
              <w:rPr>
                <w:rFonts w:ascii="GHEA Grapalat" w:hAnsi="GHEA Grapalat"/>
                <w:kern w:val="16"/>
                <w:lang w:val="pt-BR"/>
              </w:rPr>
              <w:t xml:space="preserve"> </w:t>
            </w:r>
            <w:r w:rsidRPr="0053423A">
              <w:rPr>
                <w:rFonts w:ascii="GHEA Grapalat" w:hAnsi="GHEA Grapalat"/>
                <w:kern w:val="16"/>
                <w:lang w:val="pt-BR"/>
              </w:rPr>
              <w:tab/>
              <w:t>Այսպիսով.</w:t>
            </w:r>
          </w:p>
          <w:p w:rsidR="006B0618" w:rsidRPr="0053423A" w:rsidRDefault="006B0618" w:rsidP="00A67858">
            <w:pPr>
              <w:pStyle w:val="mechtex"/>
              <w:spacing w:line="276" w:lineRule="auto"/>
              <w:jc w:val="both"/>
              <w:rPr>
                <w:rFonts w:ascii="GHEA Grapalat" w:hAnsi="GHEA Grapalat"/>
                <w:kern w:val="16"/>
                <w:lang w:val="pt-BR"/>
              </w:rPr>
            </w:pPr>
            <w:r w:rsidRPr="0053423A">
              <w:rPr>
                <w:rFonts w:ascii="GHEA Grapalat" w:hAnsi="GHEA Grapalat"/>
                <w:kern w:val="16"/>
                <w:lang w:val="pt-BR"/>
              </w:rPr>
              <w:t>Ըստ ՀՀ մարզերի բուսական և կենդանական տեսակների հաշվառման իրականացումը կնպաստի բուսական և կենդանական աշխարհի պետական կադաստրների ստեղծմանը, վարմանը, ինչպես նաև հիմք կհանդիսանա բուսական և կենդանական աշխարհի մոնիթորինգի իրականացման համար, կապահովի ՀՀ Կարմիր գրքի վերանայման հիմքերը:</w:t>
            </w:r>
          </w:p>
          <w:p w:rsidR="006B0618" w:rsidRPr="0053423A" w:rsidRDefault="00B009C2" w:rsidP="00A67858">
            <w:pPr>
              <w:numPr>
                <w:ilvl w:val="1"/>
                <w:numId w:val="48"/>
              </w:numPr>
              <w:spacing w:line="276" w:lineRule="auto"/>
              <w:jc w:val="both"/>
              <w:rPr>
                <w:b/>
                <w:bCs/>
                <w:lang w:val="hy-AM"/>
              </w:rPr>
            </w:pPr>
            <w:r w:rsidRPr="0053423A">
              <w:rPr>
                <w:b/>
                <w:lang w:val="hy-AM"/>
              </w:rPr>
              <w:t>Ա</w:t>
            </w:r>
            <w:r w:rsidR="006B0618" w:rsidRPr="0053423A">
              <w:rPr>
                <w:b/>
                <w:lang w:val="hy-AM"/>
              </w:rPr>
              <w:t>ռկա խնդիրների առաջարկվող լուծումները</w:t>
            </w:r>
          </w:p>
          <w:p w:rsidR="006B0618" w:rsidRPr="0053423A" w:rsidRDefault="006B0618" w:rsidP="00A67858">
            <w:pPr>
              <w:spacing w:line="276" w:lineRule="auto"/>
              <w:ind w:firstLine="357"/>
              <w:jc w:val="both"/>
              <w:rPr>
                <w:kern w:val="16"/>
                <w:lang w:val="hy-AM"/>
              </w:rPr>
            </w:pPr>
            <w:r w:rsidRPr="0053423A">
              <w:rPr>
                <w:kern w:val="16"/>
                <w:lang w:val="hy-AM"/>
              </w:rPr>
              <w:t>Բուսական և կենդանական աշխարհի հաշվառման ա</w:t>
            </w:r>
            <w:r w:rsidRPr="0053423A">
              <w:rPr>
                <w:kern w:val="16"/>
                <w:lang w:val="pt-BR"/>
              </w:rPr>
              <w:t xml:space="preserve">շխատանքները նախատեսվում է իրականացնել </w:t>
            </w:r>
            <w:r w:rsidRPr="0053423A">
              <w:rPr>
                <w:kern w:val="16"/>
                <w:lang w:val="hy-AM"/>
              </w:rPr>
              <w:t xml:space="preserve">ոլորտի </w:t>
            </w:r>
            <w:r w:rsidRPr="0053423A">
              <w:rPr>
                <w:kern w:val="16"/>
                <w:lang w:val="pt-BR"/>
              </w:rPr>
              <w:t>մասնագիտացված, գիտահետազոտական ուսումնասիրությունների իրականացման գործառույթներ ունեցող` ՀՀ ԳԱԱ կենդանաբանության և հիդրոէկոլոգիայի գիտական կենտրոն</w:t>
            </w:r>
            <w:r w:rsidRPr="0053423A">
              <w:rPr>
                <w:kern w:val="16"/>
                <w:lang w:val="hy-AM"/>
              </w:rPr>
              <w:t>ի</w:t>
            </w:r>
            <w:r w:rsidRPr="0053423A">
              <w:rPr>
                <w:kern w:val="16"/>
                <w:lang w:val="pt-BR"/>
              </w:rPr>
              <w:t>, ՀՀ ԳԱԱ Ա.Թախտաջյանի անվան բուսաբանության ինստիտուտ</w:t>
            </w:r>
            <w:r w:rsidRPr="0053423A">
              <w:rPr>
                <w:kern w:val="16"/>
                <w:lang w:val="hy-AM"/>
              </w:rPr>
              <w:t>ի,</w:t>
            </w:r>
            <w:r w:rsidRPr="0053423A">
              <w:rPr>
                <w:kern w:val="16"/>
                <w:lang w:val="pt-BR"/>
              </w:rPr>
              <w:t xml:space="preserve"> Երևանի պետական համալսարանի մասնագետների </w:t>
            </w:r>
            <w:r w:rsidRPr="0053423A">
              <w:rPr>
                <w:kern w:val="16"/>
                <w:lang w:val="hy-AM"/>
              </w:rPr>
              <w:t>հետ համատեղ, առավել ևս, որ նրանց միջոցով են իրականացվել Հայաստանի Հանրապետությունում գործող Կարմիր գրքի ստեղծման աշխատանքները:</w:t>
            </w:r>
          </w:p>
          <w:p w:rsidR="006B0618" w:rsidRPr="0053423A" w:rsidRDefault="006B0618" w:rsidP="00A67858">
            <w:pPr>
              <w:spacing w:line="276" w:lineRule="auto"/>
              <w:ind w:left="735"/>
              <w:jc w:val="both"/>
              <w:rPr>
                <w:kern w:val="16"/>
                <w:lang w:val="hy-AM"/>
              </w:rPr>
            </w:pPr>
            <w:r w:rsidRPr="0053423A">
              <w:rPr>
                <w:kern w:val="16"/>
                <w:lang w:val="pt-BR"/>
              </w:rPr>
              <w:t>Այսպիսով</w:t>
            </w:r>
            <w:r w:rsidRPr="0053423A">
              <w:rPr>
                <w:kern w:val="16"/>
                <w:lang w:val="hy-AM"/>
              </w:rPr>
              <w:t>.</w:t>
            </w:r>
          </w:p>
          <w:p w:rsidR="006B0618" w:rsidRPr="0053423A" w:rsidRDefault="006B0618" w:rsidP="00A67858">
            <w:pPr>
              <w:pStyle w:val="BodyText"/>
              <w:spacing w:after="0" w:line="276" w:lineRule="auto"/>
              <w:ind w:firstLine="357"/>
              <w:jc w:val="both"/>
              <w:rPr>
                <w:rFonts w:ascii="GHEA Grapalat" w:hAnsi="GHEA Grapalat" w:cs="Sylfaen"/>
                <w:b/>
                <w:iCs/>
                <w:sz w:val="20"/>
                <w:szCs w:val="20"/>
                <w:lang w:val="hy-AM"/>
              </w:rPr>
            </w:pPr>
            <w:r w:rsidRPr="0053423A">
              <w:rPr>
                <w:rFonts w:ascii="GHEA Grapalat" w:hAnsi="GHEA Grapalat" w:cs="Sylfaen"/>
                <w:iCs/>
                <w:sz w:val="20"/>
                <w:szCs w:val="20"/>
                <w:lang w:val="hy-AM"/>
              </w:rPr>
              <w:t xml:space="preserve">Վերը նշված կազմակերպությունների միջոցով ըստ ՀՀ մարզերի իրականացվելու են դաշտային ուսումնասիրություններ հետևյալ խնդիրների լուծման նպատակով. </w:t>
            </w:r>
          </w:p>
          <w:p w:rsidR="006B0618" w:rsidRPr="0053423A" w:rsidRDefault="006B0618" w:rsidP="00A67858">
            <w:pPr>
              <w:pStyle w:val="BodyText2"/>
              <w:numPr>
                <w:ilvl w:val="0"/>
                <w:numId w:val="47"/>
              </w:numPr>
              <w:spacing w:after="0" w:line="276" w:lineRule="auto"/>
              <w:ind w:left="0" w:firstLine="463"/>
              <w:jc w:val="both"/>
              <w:rPr>
                <w:rFonts w:ascii="GHEA Grapalat" w:hAnsi="GHEA Grapalat" w:cs="Sylfaen"/>
                <w:iCs/>
                <w:sz w:val="20"/>
                <w:szCs w:val="20"/>
                <w:lang w:val="hy-AM"/>
              </w:rPr>
            </w:pPr>
            <w:r w:rsidRPr="0053423A">
              <w:rPr>
                <w:rFonts w:ascii="GHEA Grapalat" w:hAnsi="GHEA Grapalat" w:cs="Sylfaen"/>
                <w:iCs/>
                <w:sz w:val="20"/>
                <w:szCs w:val="20"/>
                <w:lang w:val="hy-AM"/>
              </w:rPr>
              <w:t>տեսակային կազմ</w:t>
            </w:r>
            <w:r w:rsidRPr="0053423A">
              <w:rPr>
                <w:rFonts w:ascii="GHEA Grapalat" w:hAnsi="GHEA Grapalat" w:cs="Sylfaen"/>
                <w:iCs/>
                <w:sz w:val="20"/>
                <w:szCs w:val="20"/>
              </w:rPr>
              <w:t>ի որոշում</w:t>
            </w:r>
            <w:r w:rsidRPr="0053423A">
              <w:rPr>
                <w:rFonts w:ascii="GHEA Grapalat" w:hAnsi="GHEA Grapalat" w:cs="Sylfaen"/>
                <w:iCs/>
                <w:sz w:val="20"/>
                <w:szCs w:val="20"/>
                <w:lang w:val="hy-AM"/>
              </w:rPr>
              <w:t xml:space="preserve">, </w:t>
            </w:r>
          </w:p>
          <w:p w:rsidR="006B0618" w:rsidRPr="0053423A" w:rsidRDefault="006B0618" w:rsidP="00A67858">
            <w:pPr>
              <w:pStyle w:val="BodyText2"/>
              <w:numPr>
                <w:ilvl w:val="0"/>
                <w:numId w:val="47"/>
              </w:numPr>
              <w:spacing w:after="0" w:line="276" w:lineRule="auto"/>
              <w:ind w:left="0" w:firstLine="463"/>
              <w:jc w:val="both"/>
              <w:rPr>
                <w:rFonts w:ascii="GHEA Grapalat" w:hAnsi="GHEA Grapalat" w:cs="Sylfaen"/>
                <w:iCs/>
                <w:sz w:val="20"/>
                <w:szCs w:val="20"/>
                <w:lang w:val="hy-AM"/>
              </w:rPr>
            </w:pPr>
            <w:r w:rsidRPr="0053423A">
              <w:rPr>
                <w:rFonts w:ascii="GHEA Grapalat" w:hAnsi="GHEA Grapalat" w:cs="Sylfaen"/>
                <w:iCs/>
                <w:sz w:val="20"/>
                <w:szCs w:val="20"/>
                <w:lang w:val="hy-AM"/>
              </w:rPr>
              <w:t>տարածվածություն,</w:t>
            </w:r>
            <w:r w:rsidRPr="0053423A">
              <w:rPr>
                <w:rFonts w:ascii="GHEA Grapalat" w:hAnsi="GHEA Grapalat" w:cs="Sylfaen"/>
                <w:iCs/>
                <w:sz w:val="20"/>
                <w:szCs w:val="20"/>
              </w:rPr>
              <w:t xml:space="preserve"> քարտեզագրում /GIS/</w:t>
            </w:r>
          </w:p>
          <w:p w:rsidR="006B0618" w:rsidRPr="0053423A" w:rsidRDefault="006B0618" w:rsidP="00A67858">
            <w:pPr>
              <w:pStyle w:val="BodyText2"/>
              <w:numPr>
                <w:ilvl w:val="0"/>
                <w:numId w:val="47"/>
              </w:numPr>
              <w:spacing w:after="0" w:line="276" w:lineRule="auto"/>
              <w:ind w:left="0" w:firstLine="463"/>
              <w:jc w:val="both"/>
              <w:rPr>
                <w:rFonts w:ascii="GHEA Grapalat" w:hAnsi="GHEA Grapalat" w:cs="Sylfaen"/>
                <w:iCs/>
                <w:sz w:val="20"/>
                <w:szCs w:val="20"/>
                <w:lang w:val="hy-AM"/>
              </w:rPr>
            </w:pPr>
            <w:r w:rsidRPr="0053423A">
              <w:rPr>
                <w:rFonts w:ascii="GHEA Grapalat" w:hAnsi="GHEA Grapalat" w:cs="Sylfaen"/>
                <w:iCs/>
                <w:sz w:val="20"/>
                <w:szCs w:val="20"/>
                <w:lang w:val="hy-AM"/>
              </w:rPr>
              <w:t>պաշարների հաշվառում, օգտագործման ենթակա չափաքանակների վերաբերյալ հիմնավորումների առկայություն,</w:t>
            </w:r>
          </w:p>
          <w:p w:rsidR="006B0618" w:rsidRPr="0053423A" w:rsidRDefault="006B0618" w:rsidP="00A67858">
            <w:pPr>
              <w:pStyle w:val="BodyText2"/>
              <w:numPr>
                <w:ilvl w:val="0"/>
                <w:numId w:val="47"/>
              </w:numPr>
              <w:spacing w:after="0" w:line="276" w:lineRule="auto"/>
              <w:ind w:left="0" w:firstLine="463"/>
              <w:jc w:val="both"/>
              <w:rPr>
                <w:rFonts w:ascii="GHEA Grapalat" w:hAnsi="GHEA Grapalat" w:cs="Sylfaen"/>
                <w:iCs/>
                <w:sz w:val="20"/>
                <w:szCs w:val="20"/>
                <w:lang w:val="hy-AM"/>
              </w:rPr>
            </w:pPr>
            <w:r w:rsidRPr="0053423A">
              <w:rPr>
                <w:rFonts w:ascii="GHEA Grapalat" w:hAnsi="GHEA Grapalat" w:cs="Sylfaen"/>
                <w:iCs/>
                <w:sz w:val="20"/>
                <w:szCs w:val="20"/>
                <w:lang w:val="hy-AM"/>
              </w:rPr>
              <w:t xml:space="preserve">Կարմիր գրքում ընդգրկված տեսակների ցանկի վերանայում, </w:t>
            </w:r>
          </w:p>
          <w:p w:rsidR="006B0618" w:rsidRPr="0053423A" w:rsidRDefault="006B0618" w:rsidP="00A67858">
            <w:pPr>
              <w:pStyle w:val="BodyText2"/>
              <w:numPr>
                <w:ilvl w:val="0"/>
                <w:numId w:val="47"/>
              </w:numPr>
              <w:spacing w:after="0" w:line="276" w:lineRule="auto"/>
              <w:ind w:left="0" w:firstLine="463"/>
              <w:jc w:val="both"/>
              <w:rPr>
                <w:rFonts w:ascii="GHEA Grapalat" w:hAnsi="GHEA Grapalat" w:cs="Sylfaen"/>
                <w:iCs/>
                <w:sz w:val="20"/>
                <w:szCs w:val="20"/>
                <w:lang w:val="hy-AM"/>
              </w:rPr>
            </w:pPr>
            <w:r w:rsidRPr="0053423A">
              <w:rPr>
                <w:rFonts w:ascii="GHEA Grapalat" w:hAnsi="GHEA Grapalat" w:cs="Sylfaen"/>
                <w:iCs/>
                <w:sz w:val="20"/>
                <w:szCs w:val="20"/>
                <w:lang w:val="hy-AM"/>
              </w:rPr>
              <w:t>հաշվառման արդյունքների ամփոփում և տվյալների էլեկտրոնային բազայի ձևավորում, կադաստրի ստեղծում:</w:t>
            </w:r>
          </w:p>
          <w:p w:rsidR="006B0618" w:rsidRPr="0053423A" w:rsidRDefault="006B0618" w:rsidP="00A67858">
            <w:pPr>
              <w:spacing w:line="276" w:lineRule="auto"/>
              <w:ind w:firstLine="463"/>
              <w:jc w:val="both"/>
              <w:rPr>
                <w:kern w:val="16"/>
              </w:rPr>
            </w:pPr>
            <w:r w:rsidRPr="0053423A">
              <w:rPr>
                <w:kern w:val="16"/>
              </w:rPr>
              <w:t>Կարևորագույն գերակայություններից են.</w:t>
            </w:r>
          </w:p>
          <w:p w:rsidR="006B0618" w:rsidRPr="0053423A" w:rsidRDefault="006B0618" w:rsidP="00A67858">
            <w:pPr>
              <w:pStyle w:val="BodyText2"/>
              <w:numPr>
                <w:ilvl w:val="0"/>
                <w:numId w:val="47"/>
              </w:numPr>
              <w:spacing w:after="0" w:line="276" w:lineRule="auto"/>
              <w:ind w:left="0" w:firstLine="463"/>
              <w:jc w:val="both"/>
              <w:rPr>
                <w:rFonts w:ascii="GHEA Grapalat" w:hAnsi="GHEA Grapalat" w:cs="Sylfaen"/>
                <w:iCs/>
                <w:sz w:val="20"/>
                <w:szCs w:val="20"/>
                <w:lang w:val="hy-AM"/>
              </w:rPr>
            </w:pPr>
            <w:r w:rsidRPr="0053423A">
              <w:rPr>
                <w:rFonts w:ascii="GHEA Grapalat" w:hAnsi="GHEA Grapalat" w:cs="Sylfaen"/>
                <w:iCs/>
                <w:sz w:val="20"/>
                <w:szCs w:val="20"/>
                <w:lang w:val="hy-AM"/>
              </w:rPr>
              <w:t xml:space="preserve">ՀՀ </w:t>
            </w:r>
            <w:r w:rsidRPr="0053423A">
              <w:rPr>
                <w:rFonts w:ascii="GHEA Grapalat" w:hAnsi="GHEA Grapalat" w:cs="Sylfaen"/>
                <w:iCs/>
                <w:sz w:val="20"/>
                <w:szCs w:val="20"/>
              </w:rPr>
              <w:t xml:space="preserve">բուսական և </w:t>
            </w:r>
            <w:r w:rsidRPr="0053423A">
              <w:rPr>
                <w:rFonts w:ascii="GHEA Grapalat" w:hAnsi="GHEA Grapalat" w:cs="Sylfaen"/>
                <w:iCs/>
                <w:sz w:val="20"/>
                <w:szCs w:val="20"/>
                <w:lang w:val="hy-AM"/>
              </w:rPr>
              <w:t>կենդանական</w:t>
            </w:r>
            <w:r w:rsidRPr="0053423A">
              <w:rPr>
                <w:rFonts w:ascii="GHEA Grapalat" w:hAnsi="GHEA Grapalat" w:cs="Sylfaen"/>
                <w:iCs/>
                <w:sz w:val="20"/>
                <w:szCs w:val="20"/>
              </w:rPr>
              <w:t xml:space="preserve"> աշխարհի</w:t>
            </w:r>
            <w:r w:rsidRPr="0053423A">
              <w:rPr>
                <w:rFonts w:ascii="GHEA Grapalat" w:hAnsi="GHEA Grapalat" w:cs="Sylfaen"/>
                <w:iCs/>
                <w:sz w:val="20"/>
                <w:szCs w:val="20"/>
                <w:lang w:val="hy-AM"/>
              </w:rPr>
              <w:t xml:space="preserve"> վիճակի վերաբերյալ արդիականացված, հավաստի և համակարգված տեղեկատվական բազայի առկայությունը:</w:t>
            </w:r>
          </w:p>
          <w:p w:rsidR="006B0618" w:rsidRPr="0053423A" w:rsidRDefault="006B0618" w:rsidP="00A67858">
            <w:pPr>
              <w:pStyle w:val="BodyText2"/>
              <w:numPr>
                <w:ilvl w:val="0"/>
                <w:numId w:val="47"/>
              </w:numPr>
              <w:spacing w:after="0" w:line="276" w:lineRule="auto"/>
              <w:ind w:left="0" w:firstLine="463"/>
              <w:jc w:val="both"/>
              <w:rPr>
                <w:rFonts w:ascii="GHEA Grapalat" w:hAnsi="GHEA Grapalat" w:cs="Sylfaen"/>
                <w:iCs/>
                <w:sz w:val="20"/>
                <w:szCs w:val="20"/>
                <w:lang w:val="hy-AM"/>
              </w:rPr>
            </w:pPr>
            <w:r w:rsidRPr="0053423A">
              <w:rPr>
                <w:rFonts w:ascii="GHEA Grapalat" w:hAnsi="GHEA Grapalat" w:cs="Sylfaen"/>
                <w:iCs/>
                <w:sz w:val="20"/>
                <w:szCs w:val="20"/>
                <w:lang w:val="hy-AM"/>
              </w:rPr>
              <w:t xml:space="preserve">ՀՀ բուսական և կենդանական աշխարհի </w:t>
            </w:r>
            <w:r w:rsidRPr="0053423A">
              <w:rPr>
                <w:rFonts w:ascii="GHEA Grapalat" w:hAnsi="GHEA Grapalat"/>
                <w:kern w:val="16"/>
                <w:sz w:val="20"/>
                <w:szCs w:val="20"/>
                <w:lang w:val="hy-AM" w:eastAsia="ru-RU"/>
              </w:rPr>
              <w:t>աճելավայրերի</w:t>
            </w:r>
            <w:r w:rsidRPr="0053423A">
              <w:rPr>
                <w:rFonts w:ascii="GHEA Grapalat" w:hAnsi="GHEA Grapalat" w:cs="Sylfaen"/>
                <w:iCs/>
                <w:sz w:val="20"/>
                <w:szCs w:val="20"/>
                <w:lang w:val="hy-AM"/>
              </w:rPr>
              <w:t>, ապրելավայրերի պահպանությանն ու կայուն կառավարման համար նախադրյալների ստեղծումը:</w:t>
            </w:r>
          </w:p>
          <w:p w:rsidR="006B0618" w:rsidRPr="0053423A" w:rsidRDefault="006B0618" w:rsidP="00A67858">
            <w:pPr>
              <w:pStyle w:val="BodyText2"/>
              <w:numPr>
                <w:ilvl w:val="0"/>
                <w:numId w:val="47"/>
              </w:numPr>
              <w:spacing w:after="0" w:line="276" w:lineRule="auto"/>
              <w:ind w:left="0" w:firstLine="463"/>
              <w:jc w:val="both"/>
              <w:rPr>
                <w:rFonts w:ascii="GHEA Grapalat" w:hAnsi="GHEA Grapalat" w:cs="Sylfaen"/>
                <w:iCs/>
                <w:sz w:val="20"/>
                <w:szCs w:val="20"/>
                <w:lang w:val="hy-AM"/>
              </w:rPr>
            </w:pPr>
            <w:r w:rsidRPr="0053423A">
              <w:rPr>
                <w:rFonts w:ascii="GHEA Grapalat" w:hAnsi="GHEA Grapalat" w:cs="Sylfaen"/>
                <w:iCs/>
                <w:sz w:val="20"/>
                <w:szCs w:val="20"/>
                <w:lang w:val="hy-AM"/>
              </w:rPr>
              <w:t>ՀՀ բուսական և կենդանական աշխարհի օգտագործման ենթակա չափաքանակների կանոնակարգումը:</w:t>
            </w:r>
          </w:p>
          <w:p w:rsidR="006B0618" w:rsidRPr="0053423A" w:rsidRDefault="006B0618" w:rsidP="00A67858">
            <w:pPr>
              <w:pStyle w:val="BodyText2"/>
              <w:numPr>
                <w:ilvl w:val="0"/>
                <w:numId w:val="47"/>
              </w:numPr>
              <w:spacing w:after="0" w:line="276" w:lineRule="auto"/>
              <w:ind w:left="0" w:firstLine="463"/>
              <w:jc w:val="both"/>
              <w:rPr>
                <w:rFonts w:ascii="GHEA Grapalat" w:hAnsi="GHEA Grapalat" w:cs="Sylfaen"/>
                <w:iCs/>
                <w:sz w:val="20"/>
                <w:szCs w:val="20"/>
                <w:lang w:val="hy-AM"/>
              </w:rPr>
            </w:pPr>
            <w:r w:rsidRPr="0053423A">
              <w:rPr>
                <w:rFonts w:ascii="GHEA Grapalat" w:hAnsi="GHEA Grapalat" w:cs="Sylfaen"/>
                <w:iCs/>
                <w:sz w:val="20"/>
                <w:szCs w:val="20"/>
                <w:lang w:val="hy-AM"/>
              </w:rPr>
              <w:t>Մոնիթորինգի համար նախադրյալների ապահովումը:</w:t>
            </w:r>
          </w:p>
          <w:p w:rsidR="006B0618" w:rsidRPr="0053423A" w:rsidRDefault="006B0618" w:rsidP="00A67858">
            <w:pPr>
              <w:pStyle w:val="BodyText2"/>
              <w:numPr>
                <w:ilvl w:val="0"/>
                <w:numId w:val="47"/>
              </w:numPr>
              <w:spacing w:after="0" w:line="276" w:lineRule="auto"/>
              <w:ind w:left="0" w:firstLine="463"/>
              <w:jc w:val="both"/>
              <w:rPr>
                <w:rFonts w:ascii="GHEA Grapalat" w:hAnsi="GHEA Grapalat" w:cs="Sylfaen"/>
                <w:iCs/>
                <w:sz w:val="20"/>
                <w:szCs w:val="20"/>
                <w:lang w:val="hy-AM"/>
              </w:rPr>
            </w:pPr>
            <w:r w:rsidRPr="0053423A">
              <w:rPr>
                <w:rFonts w:ascii="GHEA Grapalat" w:hAnsi="GHEA Grapalat" w:cs="Sylfaen"/>
                <w:iCs/>
                <w:sz w:val="20"/>
                <w:szCs w:val="20"/>
                <w:lang w:val="hy-AM"/>
              </w:rPr>
              <w:t>ՀՀ</w:t>
            </w:r>
            <w:r w:rsidRPr="0053423A">
              <w:rPr>
                <w:rFonts w:ascii="GHEA Grapalat" w:hAnsi="GHEA Grapalat"/>
                <w:kern w:val="16"/>
                <w:sz w:val="20"/>
                <w:szCs w:val="20"/>
                <w:lang w:val="hy-AM" w:eastAsia="ru-RU"/>
              </w:rPr>
              <w:t xml:space="preserve"> բուսական և կենդանական աշխարհի հաշվառման արդյունքների հիման վրա ՀՀ Կարմիր գրքի վերանայման հիմքերի ապահովում:</w:t>
            </w:r>
          </w:p>
          <w:p w:rsidR="006B0618" w:rsidRPr="0053423A" w:rsidRDefault="006B0618" w:rsidP="00A67858">
            <w:pPr>
              <w:spacing w:line="276" w:lineRule="auto"/>
              <w:ind w:firstLine="375"/>
              <w:rPr>
                <w:b/>
                <w:i/>
                <w:lang w:val="hy-AM"/>
              </w:rPr>
            </w:pPr>
            <w:r w:rsidRPr="0053423A">
              <w:rPr>
                <w:b/>
                <w:i/>
                <w:lang w:val="hy-AM"/>
              </w:rPr>
              <w:t>2. Միջոցառման իրականացումից ակնկալվող արդյունքը</w:t>
            </w:r>
          </w:p>
          <w:p w:rsidR="006B0618" w:rsidRPr="0053423A" w:rsidRDefault="006B0618" w:rsidP="00A67858">
            <w:pPr>
              <w:spacing w:line="276" w:lineRule="auto"/>
              <w:ind w:firstLine="375"/>
              <w:jc w:val="both"/>
              <w:rPr>
                <w:kern w:val="16"/>
                <w:lang w:val="hy-AM"/>
              </w:rPr>
            </w:pPr>
            <w:r w:rsidRPr="0053423A">
              <w:rPr>
                <w:rFonts w:ascii="Calibri" w:hAnsi="Calibri" w:cs="Calibri"/>
                <w:b/>
                <w:lang w:val="hy-AM"/>
              </w:rPr>
              <w:t> </w:t>
            </w:r>
            <w:r w:rsidRPr="0053423A">
              <w:rPr>
                <w:bCs/>
                <w:kern w:val="16"/>
                <w:lang w:val="hy-AM"/>
              </w:rPr>
              <w:t>Ներկայացված գերակայություններից բխող միջոցառումների իրականացման արդյունքում Հանրապետությունը կունենա ըստ մարզերի բուսական և կենդանական աշխարհի միաժամանակյա, լիարժեք նկարագիրը, ներառյալ պաշարների և օգտագործման ենթակա չափաքանակների վերաբերյալ հիմնավորումները, ինչպես նաև միջազգային չափանիշներով արդյունավետ գործող</w:t>
            </w:r>
            <w:r w:rsidRPr="0053423A">
              <w:rPr>
                <w:kern w:val="16"/>
                <w:lang w:val="hy-AM"/>
              </w:rPr>
              <w:t xml:space="preserve"> և նպատակային տեղեկատվություն տրամադրող բուսական և կենդանական տեղեկատվական համակարգ, ձևավորված բուսական և կենդանական աշխարհի կադաստր, ՀՀ Կարմիր գրքի վերանայման համար հավաստի հիմքեր:</w:t>
            </w:r>
          </w:p>
          <w:p w:rsidR="006B0618" w:rsidRPr="0053423A" w:rsidRDefault="006B0618" w:rsidP="00A67858">
            <w:pPr>
              <w:tabs>
                <w:tab w:val="left" w:pos="1080"/>
              </w:tabs>
              <w:suppressAutoHyphens/>
              <w:spacing w:line="276" w:lineRule="auto"/>
              <w:jc w:val="center"/>
              <w:rPr>
                <w:rFonts w:cs="GHEA Grapalat"/>
                <w:b/>
                <w:u w:val="single"/>
                <w:lang w:val="hy-AM" w:eastAsia="zh-CN"/>
              </w:rPr>
            </w:pPr>
          </w:p>
        </w:tc>
      </w:tr>
      <w:tr w:rsidR="006B0618" w:rsidRPr="0053423A" w:rsidTr="004440EB">
        <w:tc>
          <w:tcPr>
            <w:tcW w:w="480" w:type="dxa"/>
          </w:tcPr>
          <w:p w:rsidR="006B0618" w:rsidRPr="0053423A" w:rsidRDefault="006B0618" w:rsidP="00A67858">
            <w:pPr>
              <w:spacing w:line="276" w:lineRule="auto"/>
              <w:jc w:val="center"/>
              <w:rPr>
                <w:b/>
                <w:bCs/>
                <w:lang w:val="hy-AM"/>
              </w:rPr>
            </w:pPr>
            <w:r w:rsidRPr="0053423A">
              <w:rPr>
                <w:b/>
                <w:bCs/>
                <w:lang w:val="hy-AM"/>
              </w:rPr>
              <w:t>7</w:t>
            </w:r>
          </w:p>
        </w:tc>
        <w:tc>
          <w:tcPr>
            <w:tcW w:w="10879" w:type="dxa"/>
          </w:tcPr>
          <w:p w:rsidR="006B0618" w:rsidRPr="0053423A" w:rsidRDefault="006B0618" w:rsidP="00A67858">
            <w:pPr>
              <w:spacing w:line="276" w:lineRule="auto"/>
              <w:jc w:val="center"/>
              <w:rPr>
                <w:b/>
                <w:strike/>
                <w:lang w:val="hy-AM"/>
              </w:rPr>
            </w:pPr>
            <w:r w:rsidRPr="0053423A">
              <w:rPr>
                <w:b/>
                <w:lang w:val="hy-AM"/>
              </w:rPr>
              <w:t>Հողային ռեսուրսների արդյունավետ կառավարումը, հողերի աղտոտման և դեգրադացման կանխարգելմանն ու նվազմանն ուղղված քաղաքականության մշակում և իրականացում</w:t>
            </w:r>
            <w:r w:rsidRPr="0053423A">
              <w:rPr>
                <w:b/>
                <w:strike/>
                <w:lang w:val="hy-AM"/>
              </w:rPr>
              <w:t xml:space="preserve"> </w:t>
            </w:r>
          </w:p>
          <w:p w:rsidR="006B0618" w:rsidRPr="0053423A" w:rsidRDefault="006B0618" w:rsidP="00A67858">
            <w:pPr>
              <w:spacing w:line="276" w:lineRule="auto"/>
              <w:jc w:val="center"/>
              <w:rPr>
                <w:b/>
                <w:strike/>
                <w:lang w:val="hy-AM"/>
              </w:rPr>
            </w:pPr>
          </w:p>
          <w:p w:rsidR="006B0618" w:rsidRPr="0053423A" w:rsidRDefault="006B0618" w:rsidP="00A67858">
            <w:pPr>
              <w:spacing w:line="276" w:lineRule="auto"/>
              <w:jc w:val="center"/>
              <w:rPr>
                <w:b/>
                <w:u w:val="single"/>
                <w:lang w:val="hy-AM"/>
              </w:rPr>
            </w:pPr>
            <w:r w:rsidRPr="0053423A">
              <w:rPr>
                <w:b/>
                <w:u w:val="single"/>
                <w:lang w:val="hy-AM"/>
              </w:rPr>
              <w:t xml:space="preserve">7.1 </w:t>
            </w:r>
            <w:r w:rsidRPr="0053423A">
              <w:rPr>
                <w:rFonts w:cs="Sylfaen"/>
                <w:b/>
                <w:u w:val="single"/>
                <w:lang w:val="hy-AM"/>
              </w:rPr>
              <w:t>«Ընդերքօգտագործման</w:t>
            </w:r>
            <w:r w:rsidRPr="0053423A">
              <w:rPr>
                <w:b/>
                <w:u w:val="single"/>
                <w:lang w:val="hy-AM"/>
              </w:rPr>
              <w:t xml:space="preserve"> </w:t>
            </w:r>
            <w:r w:rsidRPr="0053423A">
              <w:rPr>
                <w:rFonts w:cs="Sylfaen"/>
                <w:b/>
                <w:u w:val="single"/>
                <w:lang w:val="hy-AM"/>
              </w:rPr>
              <w:t>արդյունքում</w:t>
            </w:r>
            <w:r w:rsidRPr="0053423A">
              <w:rPr>
                <w:b/>
                <w:u w:val="single"/>
                <w:lang w:val="hy-AM"/>
              </w:rPr>
              <w:t xml:space="preserve"> </w:t>
            </w:r>
            <w:r w:rsidRPr="0053423A">
              <w:rPr>
                <w:rFonts w:cs="Sylfaen"/>
                <w:b/>
                <w:u w:val="single"/>
                <w:lang w:val="hy-AM"/>
              </w:rPr>
              <w:t>խախտված</w:t>
            </w:r>
            <w:r w:rsidRPr="0053423A">
              <w:rPr>
                <w:b/>
                <w:u w:val="single"/>
                <w:lang w:val="hy-AM"/>
              </w:rPr>
              <w:t xml:space="preserve"> </w:t>
            </w:r>
            <w:r w:rsidRPr="0053423A">
              <w:rPr>
                <w:rFonts w:cs="Sylfaen"/>
                <w:b/>
                <w:u w:val="single"/>
                <w:lang w:val="hy-AM"/>
              </w:rPr>
              <w:t>հողերի</w:t>
            </w:r>
            <w:r w:rsidRPr="0053423A">
              <w:rPr>
                <w:b/>
                <w:u w:val="single"/>
                <w:lang w:val="hy-AM"/>
              </w:rPr>
              <w:t xml:space="preserve"> </w:t>
            </w:r>
            <w:r w:rsidRPr="0053423A">
              <w:rPr>
                <w:rFonts w:cs="Sylfaen"/>
                <w:b/>
                <w:u w:val="single"/>
                <w:lang w:val="hy-AM"/>
              </w:rPr>
              <w:t>կենսաբանական</w:t>
            </w:r>
            <w:r w:rsidRPr="0053423A">
              <w:rPr>
                <w:b/>
                <w:u w:val="single"/>
                <w:lang w:val="hy-AM"/>
              </w:rPr>
              <w:t xml:space="preserve"> </w:t>
            </w:r>
            <w:r w:rsidRPr="0053423A">
              <w:rPr>
                <w:rFonts w:cs="Sylfaen"/>
                <w:b/>
                <w:u w:val="single"/>
                <w:lang w:val="hy-AM"/>
              </w:rPr>
              <w:t>վերականգնման</w:t>
            </w:r>
            <w:r w:rsidRPr="0053423A">
              <w:rPr>
                <w:b/>
                <w:u w:val="single"/>
                <w:lang w:val="hy-AM"/>
              </w:rPr>
              <w:t xml:space="preserve"> </w:t>
            </w:r>
            <w:r w:rsidRPr="0053423A">
              <w:rPr>
                <w:rFonts w:cs="Sylfaen"/>
                <w:b/>
                <w:u w:val="single"/>
                <w:lang w:val="hy-AM"/>
              </w:rPr>
              <w:t>իրականացման</w:t>
            </w:r>
            <w:r w:rsidRPr="0053423A">
              <w:rPr>
                <w:b/>
                <w:u w:val="single"/>
                <w:lang w:val="hy-AM"/>
              </w:rPr>
              <w:t xml:space="preserve"> </w:t>
            </w:r>
            <w:r w:rsidRPr="0053423A">
              <w:rPr>
                <w:rFonts w:cs="Sylfaen"/>
                <w:b/>
                <w:u w:val="single"/>
                <w:lang w:val="hy-AM"/>
              </w:rPr>
              <w:t>ուղեցույցը</w:t>
            </w:r>
            <w:r w:rsidRPr="0053423A">
              <w:rPr>
                <w:b/>
                <w:u w:val="single"/>
                <w:lang w:val="hy-AM"/>
              </w:rPr>
              <w:t xml:space="preserve"> </w:t>
            </w:r>
            <w:r w:rsidRPr="0053423A">
              <w:rPr>
                <w:rFonts w:cs="Sylfaen"/>
                <w:b/>
                <w:u w:val="single"/>
                <w:lang w:val="hy-AM"/>
              </w:rPr>
              <w:t>հաստատելու</w:t>
            </w:r>
            <w:r w:rsidRPr="0053423A">
              <w:rPr>
                <w:b/>
                <w:u w:val="single"/>
                <w:lang w:val="hy-AM"/>
              </w:rPr>
              <w:t xml:space="preserve"> </w:t>
            </w:r>
            <w:r w:rsidRPr="0053423A">
              <w:rPr>
                <w:rFonts w:cs="Sylfaen"/>
                <w:b/>
                <w:u w:val="single"/>
                <w:lang w:val="hy-AM"/>
              </w:rPr>
              <w:t>մասին</w:t>
            </w:r>
            <w:r w:rsidRPr="0053423A">
              <w:rPr>
                <w:rFonts w:cs="Arial"/>
                <w:b/>
                <w:u w:val="single"/>
                <w:lang w:val="hy-AM"/>
              </w:rPr>
              <w:t>»</w:t>
            </w:r>
            <w:r w:rsidRPr="0053423A">
              <w:rPr>
                <w:b/>
                <w:u w:val="single"/>
                <w:lang w:val="hy-AM"/>
              </w:rPr>
              <w:t xml:space="preserve"> Կ</w:t>
            </w:r>
            <w:r w:rsidRPr="0053423A">
              <w:rPr>
                <w:rFonts w:cs="Sylfaen"/>
                <w:b/>
                <w:u w:val="single"/>
                <w:lang w:val="hy-AM"/>
              </w:rPr>
              <w:t>առավարության</w:t>
            </w:r>
            <w:r w:rsidRPr="0053423A">
              <w:rPr>
                <w:b/>
                <w:u w:val="single"/>
                <w:lang w:val="hy-AM"/>
              </w:rPr>
              <w:t xml:space="preserve"> </w:t>
            </w:r>
            <w:r w:rsidRPr="0053423A">
              <w:rPr>
                <w:rFonts w:cs="Sylfaen"/>
                <w:b/>
                <w:u w:val="single"/>
                <w:lang w:val="hy-AM"/>
              </w:rPr>
              <w:t>որոշման</w:t>
            </w:r>
            <w:r w:rsidRPr="0053423A">
              <w:rPr>
                <w:b/>
                <w:u w:val="single"/>
                <w:lang w:val="hy-AM"/>
              </w:rPr>
              <w:t xml:space="preserve"> </w:t>
            </w:r>
            <w:r w:rsidRPr="0053423A">
              <w:rPr>
                <w:rFonts w:cs="Arial"/>
                <w:b/>
                <w:u w:val="single"/>
                <w:lang w:val="hy-AM"/>
              </w:rPr>
              <w:t>նախագիծը վարչապետի աշխատակազմ ներկայացնելը</w:t>
            </w:r>
            <w:r w:rsidRPr="0053423A">
              <w:rPr>
                <w:rFonts w:cs="Sylfaen"/>
                <w:b/>
                <w:u w:val="single"/>
                <w:lang w:val="hy-AM"/>
              </w:rPr>
              <w:t>»</w:t>
            </w:r>
          </w:p>
          <w:p w:rsidR="006B0618" w:rsidRPr="0053423A" w:rsidRDefault="006B0618" w:rsidP="00A67858">
            <w:pPr>
              <w:spacing w:line="276" w:lineRule="auto"/>
              <w:jc w:val="center"/>
              <w:rPr>
                <w:b/>
                <w:bCs/>
                <w:lang w:val="hy-AM"/>
              </w:rPr>
            </w:pPr>
          </w:p>
          <w:p w:rsidR="006B0618" w:rsidRPr="0053423A" w:rsidRDefault="006B0618" w:rsidP="00A67858">
            <w:pPr>
              <w:pStyle w:val="ListParagraph"/>
              <w:numPr>
                <w:ilvl w:val="0"/>
                <w:numId w:val="12"/>
              </w:numPr>
              <w:spacing w:line="276" w:lineRule="auto"/>
              <w:jc w:val="both"/>
              <w:rPr>
                <w:b/>
                <w:i/>
                <w:lang w:val="hy-AM"/>
              </w:rPr>
            </w:pPr>
            <w:r w:rsidRPr="0053423A">
              <w:rPr>
                <w:b/>
                <w:i/>
                <w:lang w:val="hy-AM"/>
              </w:rPr>
              <w:t>Միջոցառման իրակացման անհրաժեշտությունը և նպատակը</w:t>
            </w:r>
          </w:p>
          <w:p w:rsidR="006B0618" w:rsidRPr="0053423A" w:rsidRDefault="00232EB0" w:rsidP="00A67858">
            <w:pPr>
              <w:spacing w:line="276" w:lineRule="auto"/>
              <w:ind w:firstLine="375"/>
              <w:jc w:val="both"/>
              <w:rPr>
                <w:rFonts w:cs="Sylfaen"/>
                <w:lang w:val="hy-AM"/>
              </w:rPr>
            </w:pPr>
            <w:r w:rsidRPr="0053423A">
              <w:rPr>
                <w:rFonts w:cs="Sylfaen"/>
                <w:noProof/>
                <w:lang w:val="hy-AM"/>
              </w:rPr>
              <w:t>Միջո</w:t>
            </w:r>
            <w:r w:rsidR="006B0618" w:rsidRPr="0053423A">
              <w:rPr>
                <w:rFonts w:cs="Sylfaen"/>
                <w:noProof/>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w:t>
            </w:r>
            <w:r w:rsidR="006B0618" w:rsidRPr="0053423A">
              <w:rPr>
                <w:rFonts w:cs="Sylfaen"/>
                <w:lang w:val="hy-AM"/>
              </w:rPr>
              <w:t xml:space="preserve"> </w:t>
            </w:r>
            <w:r w:rsidR="006B0618" w:rsidRPr="0053423A">
              <w:rPr>
                <w:rFonts w:cs="Sylfaen"/>
                <w:noProof/>
                <w:lang w:val="hy-AM"/>
              </w:rPr>
              <w:t>Հողային ռեսուրսների արդյունավետ կառավարում, հողերի աղտոտման և դեգրադացման կանխարգելմանն ու նվազմանն ուղղված քաղաքականության մշակում և իրականացում  ուղղությունը:</w:t>
            </w:r>
          </w:p>
          <w:p w:rsidR="006B0618" w:rsidRPr="0053423A" w:rsidRDefault="006B0618" w:rsidP="00A67858">
            <w:pPr>
              <w:spacing w:line="276" w:lineRule="auto"/>
              <w:ind w:firstLine="375"/>
              <w:jc w:val="both"/>
              <w:rPr>
                <w:color w:val="000000"/>
                <w:shd w:val="clear" w:color="auto" w:fill="FFFFFF"/>
                <w:lang w:val="hy-AM"/>
              </w:rPr>
            </w:pPr>
            <w:r w:rsidRPr="0053423A">
              <w:rPr>
                <w:rFonts w:cs="Sylfaen"/>
                <w:lang w:val="hy-AM"/>
              </w:rPr>
              <w:t>«Ընդերքօգտագործման</w:t>
            </w:r>
            <w:r w:rsidRPr="0053423A">
              <w:rPr>
                <w:lang w:val="hy-AM"/>
              </w:rPr>
              <w:t xml:space="preserve"> </w:t>
            </w:r>
            <w:r w:rsidRPr="0053423A">
              <w:rPr>
                <w:rFonts w:cs="Sylfaen"/>
                <w:lang w:val="hy-AM"/>
              </w:rPr>
              <w:t>արդյունքում</w:t>
            </w:r>
            <w:r w:rsidRPr="0053423A">
              <w:rPr>
                <w:lang w:val="hy-AM"/>
              </w:rPr>
              <w:t xml:space="preserve"> </w:t>
            </w:r>
            <w:r w:rsidRPr="0053423A">
              <w:rPr>
                <w:rFonts w:cs="Sylfaen"/>
                <w:lang w:val="hy-AM"/>
              </w:rPr>
              <w:t>խախտված</w:t>
            </w:r>
            <w:r w:rsidRPr="0053423A">
              <w:rPr>
                <w:lang w:val="hy-AM"/>
              </w:rPr>
              <w:t xml:space="preserve"> </w:t>
            </w:r>
            <w:r w:rsidRPr="0053423A">
              <w:rPr>
                <w:rFonts w:cs="Sylfaen"/>
                <w:lang w:val="hy-AM"/>
              </w:rPr>
              <w:t>հողերի</w:t>
            </w:r>
            <w:r w:rsidRPr="0053423A">
              <w:rPr>
                <w:lang w:val="hy-AM"/>
              </w:rPr>
              <w:t xml:space="preserve"> </w:t>
            </w:r>
            <w:r w:rsidRPr="0053423A">
              <w:rPr>
                <w:rFonts w:cs="Sylfaen"/>
                <w:lang w:val="hy-AM"/>
              </w:rPr>
              <w:t>կենսաբանական</w:t>
            </w:r>
            <w:r w:rsidRPr="0053423A">
              <w:rPr>
                <w:lang w:val="hy-AM"/>
              </w:rPr>
              <w:t xml:space="preserve"> </w:t>
            </w:r>
            <w:r w:rsidRPr="0053423A">
              <w:rPr>
                <w:rFonts w:cs="Sylfaen"/>
                <w:lang w:val="hy-AM"/>
              </w:rPr>
              <w:t>վերականգնման</w:t>
            </w:r>
            <w:r w:rsidRPr="0053423A">
              <w:rPr>
                <w:lang w:val="hy-AM"/>
              </w:rPr>
              <w:t xml:space="preserve"> </w:t>
            </w:r>
            <w:r w:rsidRPr="0053423A">
              <w:rPr>
                <w:rFonts w:cs="Sylfaen"/>
                <w:lang w:val="hy-AM"/>
              </w:rPr>
              <w:t>իրականացման</w:t>
            </w:r>
            <w:r w:rsidRPr="0053423A">
              <w:rPr>
                <w:lang w:val="hy-AM"/>
              </w:rPr>
              <w:t xml:space="preserve"> </w:t>
            </w:r>
            <w:r w:rsidRPr="0053423A">
              <w:rPr>
                <w:rFonts w:cs="Sylfaen"/>
                <w:lang w:val="hy-AM"/>
              </w:rPr>
              <w:t>ուղեցույցը</w:t>
            </w:r>
            <w:r w:rsidRPr="0053423A">
              <w:rPr>
                <w:lang w:val="hy-AM"/>
              </w:rPr>
              <w:t xml:space="preserve"> </w:t>
            </w:r>
            <w:r w:rsidRPr="0053423A">
              <w:rPr>
                <w:rFonts w:cs="Sylfaen"/>
                <w:lang w:val="hy-AM"/>
              </w:rPr>
              <w:t>հաստատելու</w:t>
            </w:r>
            <w:r w:rsidRPr="0053423A">
              <w:rPr>
                <w:lang w:val="hy-AM"/>
              </w:rPr>
              <w:t xml:space="preserve"> </w:t>
            </w:r>
            <w:r w:rsidRPr="0053423A">
              <w:rPr>
                <w:rFonts w:cs="Sylfaen"/>
                <w:lang w:val="hy-AM"/>
              </w:rPr>
              <w:t>մասին</w:t>
            </w:r>
            <w:r w:rsidRPr="0053423A">
              <w:rPr>
                <w:rFonts w:cs="Arial"/>
                <w:lang w:val="hy-AM"/>
              </w:rPr>
              <w:t>»</w:t>
            </w:r>
            <w:r w:rsidRPr="0053423A">
              <w:rPr>
                <w:lang w:val="hy-AM"/>
              </w:rPr>
              <w:t xml:space="preserve"> </w:t>
            </w:r>
            <w:r w:rsidRPr="0053423A">
              <w:rPr>
                <w:rFonts w:cs="Sylfaen"/>
                <w:lang w:val="hy-AM"/>
              </w:rPr>
              <w:t>ՀՀ</w:t>
            </w:r>
            <w:r w:rsidRPr="0053423A">
              <w:rPr>
                <w:lang w:val="hy-AM"/>
              </w:rPr>
              <w:t xml:space="preserve"> </w:t>
            </w:r>
            <w:r w:rsidRPr="0053423A">
              <w:rPr>
                <w:rFonts w:cs="Sylfaen"/>
                <w:lang w:val="hy-AM"/>
              </w:rPr>
              <w:t>կառավարության</w:t>
            </w:r>
            <w:r w:rsidRPr="0053423A">
              <w:rPr>
                <w:lang w:val="hy-AM"/>
              </w:rPr>
              <w:t xml:space="preserve"> </w:t>
            </w:r>
            <w:r w:rsidRPr="0053423A">
              <w:rPr>
                <w:rFonts w:cs="Sylfaen"/>
                <w:lang w:val="hy-AM"/>
              </w:rPr>
              <w:t>որոշման</w:t>
            </w:r>
            <w:r w:rsidRPr="0053423A">
              <w:rPr>
                <w:lang w:val="hy-AM"/>
              </w:rPr>
              <w:t xml:space="preserve"> </w:t>
            </w:r>
            <w:r w:rsidRPr="0053423A">
              <w:rPr>
                <w:rFonts w:cs="Sylfaen"/>
                <w:lang w:val="hy-AM"/>
              </w:rPr>
              <w:t xml:space="preserve">նախագծի մշակումը ամրագրված է </w:t>
            </w:r>
            <w:r w:rsidRPr="0053423A">
              <w:rPr>
                <w:rFonts w:cs="GHEA Grapalat"/>
                <w:lang w:val="hy-AM"/>
              </w:rPr>
              <w:t>ամրագրված</w:t>
            </w:r>
            <w:r w:rsidRPr="0053423A">
              <w:rPr>
                <w:rFonts w:cs="GHEA Grapalat"/>
                <w:lang w:val="it-IT"/>
              </w:rPr>
              <w:t xml:space="preserve"> </w:t>
            </w:r>
            <w:r w:rsidRPr="0053423A">
              <w:rPr>
                <w:rFonts w:cs="GHEA Grapalat"/>
                <w:lang w:val="hy-AM"/>
              </w:rPr>
              <w:t>է</w:t>
            </w:r>
            <w:r w:rsidRPr="0053423A">
              <w:rPr>
                <w:rFonts w:cs="GHEA Grapalat"/>
                <w:lang w:val="it-IT"/>
              </w:rPr>
              <w:t xml:space="preserve"> </w:t>
            </w:r>
            <w:r w:rsidRPr="0053423A">
              <w:rPr>
                <w:rFonts w:cs="GHEA Grapalat"/>
                <w:lang w:val="hy-AM"/>
              </w:rPr>
              <w:t>Կառավարության</w:t>
            </w:r>
            <w:r w:rsidRPr="0053423A">
              <w:rPr>
                <w:rFonts w:cs="GHEA Grapalat"/>
                <w:lang w:val="it-IT"/>
              </w:rPr>
              <w:t xml:space="preserve"> 08.02.2019</w:t>
            </w:r>
            <w:r w:rsidRPr="0053423A">
              <w:rPr>
                <w:rFonts w:cs="GHEA Grapalat"/>
                <w:lang w:val="hy-AM"/>
              </w:rPr>
              <w:t>թ</w:t>
            </w:r>
            <w:r w:rsidRPr="0053423A">
              <w:rPr>
                <w:rFonts w:cs="GHEA Grapalat"/>
                <w:lang w:val="it-IT"/>
              </w:rPr>
              <w:t>.-ի N65-Ա որոշման 4.8 գլխում՝ որպես</w:t>
            </w:r>
            <w:r w:rsidRPr="0053423A">
              <w:rPr>
                <w:rFonts w:cs="Sylfaen"/>
                <w:lang w:val="hy-AM"/>
              </w:rPr>
              <w:t xml:space="preserve"> հողերի</w:t>
            </w:r>
            <w:r w:rsidRPr="0053423A">
              <w:rPr>
                <w:lang w:val="hy-AM"/>
              </w:rPr>
              <w:t xml:space="preserve"> </w:t>
            </w:r>
            <w:r w:rsidRPr="0053423A">
              <w:rPr>
                <w:rFonts w:cs="Sylfaen"/>
                <w:lang w:val="hy-AM"/>
              </w:rPr>
              <w:t>աղտոտման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դեգրադացման</w:t>
            </w:r>
            <w:r w:rsidRPr="0053423A">
              <w:rPr>
                <w:lang w:val="hy-AM"/>
              </w:rPr>
              <w:t xml:space="preserve"> </w:t>
            </w:r>
            <w:r w:rsidRPr="0053423A">
              <w:rPr>
                <w:rFonts w:cs="Sylfaen"/>
                <w:lang w:val="hy-AM"/>
              </w:rPr>
              <w:t>նվազմանն</w:t>
            </w:r>
            <w:r w:rsidRPr="0053423A">
              <w:rPr>
                <w:lang w:val="hy-AM"/>
              </w:rPr>
              <w:t xml:space="preserve"> </w:t>
            </w:r>
            <w:r w:rsidRPr="0053423A">
              <w:rPr>
                <w:rFonts w:cs="Sylfaen"/>
                <w:lang w:val="hy-AM"/>
              </w:rPr>
              <w:t>ուղղված</w:t>
            </w:r>
            <w:r w:rsidRPr="0053423A">
              <w:rPr>
                <w:lang w:val="hy-AM"/>
              </w:rPr>
              <w:t xml:space="preserve"> </w:t>
            </w:r>
            <w:r w:rsidRPr="0053423A">
              <w:rPr>
                <w:rFonts w:cs="Sylfaen"/>
                <w:lang w:val="hy-AM"/>
              </w:rPr>
              <w:t>քաղաքականության</w:t>
            </w:r>
            <w:r w:rsidRPr="0053423A">
              <w:rPr>
                <w:lang w:val="hy-AM"/>
              </w:rPr>
              <w:t xml:space="preserve"> </w:t>
            </w:r>
            <w:r w:rsidRPr="0053423A">
              <w:rPr>
                <w:rFonts w:cs="Sylfaen"/>
                <w:lang w:val="hy-AM"/>
              </w:rPr>
              <w:t>մշակում, Կառավարության 22.03.2018թ.-ի N 11 արձանագրային որոշմամբ հաստատված շրջակա</w:t>
            </w:r>
            <w:r w:rsidRPr="0053423A">
              <w:rPr>
                <w:rFonts w:cs="Arial Armenian"/>
                <w:lang w:val="hy-AM"/>
              </w:rPr>
              <w:t xml:space="preserve"> </w:t>
            </w:r>
            <w:r w:rsidRPr="0053423A">
              <w:rPr>
                <w:rFonts w:cs="Sylfaen"/>
                <w:lang w:val="hy-AM"/>
              </w:rPr>
              <w:t>միջավայրի</w:t>
            </w:r>
            <w:r w:rsidRPr="0053423A">
              <w:rPr>
                <w:rFonts w:cs="Arial Armenian"/>
                <w:lang w:val="hy-AM"/>
              </w:rPr>
              <w:t xml:space="preserve"> </w:t>
            </w:r>
            <w:r w:rsidRPr="0053423A">
              <w:rPr>
                <w:rFonts w:cs="Sylfaen"/>
                <w:lang w:val="hy-AM"/>
              </w:rPr>
              <w:t>պահպանության</w:t>
            </w:r>
            <w:r w:rsidRPr="0053423A">
              <w:rPr>
                <w:rFonts w:cs="Arial Armenian"/>
                <w:lang w:val="hy-AM"/>
              </w:rPr>
              <w:t xml:space="preserve"> </w:t>
            </w:r>
            <w:r w:rsidRPr="0053423A">
              <w:rPr>
                <w:rFonts w:cs="Sylfaen"/>
                <w:lang w:val="hy-AM"/>
              </w:rPr>
              <w:t>և</w:t>
            </w:r>
            <w:r w:rsidRPr="0053423A">
              <w:rPr>
                <w:rFonts w:cs="Arial Armenian"/>
                <w:lang w:val="hy-AM"/>
              </w:rPr>
              <w:t xml:space="preserve"> </w:t>
            </w:r>
            <w:r w:rsidRPr="0053423A">
              <w:rPr>
                <w:rFonts w:cs="Sylfaen"/>
                <w:lang w:val="hy-AM"/>
              </w:rPr>
              <w:t>բնական</w:t>
            </w:r>
            <w:r w:rsidRPr="0053423A">
              <w:rPr>
                <w:rFonts w:cs="Arial Armenian"/>
                <w:lang w:val="hy-AM"/>
              </w:rPr>
              <w:t xml:space="preserve"> </w:t>
            </w:r>
            <w:r w:rsidRPr="0053423A">
              <w:rPr>
                <w:rFonts w:cs="Sylfaen"/>
                <w:lang w:val="hy-AM"/>
              </w:rPr>
              <w:t>ռեսուրսների</w:t>
            </w:r>
            <w:r w:rsidRPr="0053423A">
              <w:rPr>
                <w:rFonts w:cs="Arial Armenian"/>
                <w:lang w:val="hy-AM"/>
              </w:rPr>
              <w:t xml:space="preserve"> </w:t>
            </w:r>
            <w:r w:rsidRPr="0053423A">
              <w:rPr>
                <w:rFonts w:cs="Sylfaen"/>
                <w:lang w:val="hy-AM"/>
              </w:rPr>
              <w:t>օգտագործման</w:t>
            </w:r>
            <w:r w:rsidRPr="0053423A">
              <w:rPr>
                <w:rFonts w:cs="Arial Armenian"/>
                <w:lang w:val="hy-AM"/>
              </w:rPr>
              <w:t xml:space="preserve"> </w:t>
            </w:r>
            <w:r w:rsidRPr="0053423A">
              <w:rPr>
                <w:rFonts w:cs="Sylfaen"/>
                <w:lang w:val="hy-AM"/>
              </w:rPr>
              <w:t>կառավարման</w:t>
            </w:r>
            <w:r w:rsidRPr="0053423A">
              <w:rPr>
                <w:rFonts w:cs="Arial Armenian"/>
                <w:lang w:val="hy-AM"/>
              </w:rPr>
              <w:t xml:space="preserve"> </w:t>
            </w:r>
            <w:r w:rsidRPr="0053423A">
              <w:rPr>
                <w:rFonts w:cs="Sylfaen"/>
                <w:lang w:val="hy-AM"/>
              </w:rPr>
              <w:t>ռազմավարությամբ, կառավարման</w:t>
            </w:r>
            <w:r w:rsidRPr="0053423A">
              <w:rPr>
                <w:rFonts w:cs="Sylfaen"/>
                <w:bCs/>
                <w:spacing w:val="-8"/>
                <w:lang w:val="hy-AM"/>
              </w:rPr>
              <w:t xml:space="preserve"> միջոցառումների</w:t>
            </w:r>
            <w:r w:rsidRPr="0053423A">
              <w:rPr>
                <w:rFonts w:cs="Tahoma"/>
                <w:bCs/>
                <w:spacing w:val="-8"/>
                <w:lang w:val="hy-AM"/>
              </w:rPr>
              <w:t xml:space="preserve"> 2018-2022 </w:t>
            </w:r>
            <w:r w:rsidRPr="0053423A">
              <w:rPr>
                <w:rFonts w:cs="Sylfaen"/>
                <w:bCs/>
                <w:spacing w:val="-8"/>
                <w:lang w:val="hy-AM"/>
              </w:rPr>
              <w:t>թվականների</w:t>
            </w:r>
            <w:r w:rsidRPr="0053423A">
              <w:rPr>
                <w:rFonts w:cs="Tahoma"/>
                <w:bCs/>
                <w:spacing w:val="-8"/>
                <w:lang w:val="hy-AM"/>
              </w:rPr>
              <w:t xml:space="preserve"> </w:t>
            </w:r>
            <w:r w:rsidRPr="0053423A">
              <w:rPr>
                <w:rFonts w:cs="Sylfaen"/>
                <w:bCs/>
                <w:spacing w:val="-8"/>
                <w:lang w:val="hy-AM"/>
              </w:rPr>
              <w:t xml:space="preserve">ծրագրով </w:t>
            </w:r>
            <w:r w:rsidRPr="0053423A">
              <w:rPr>
                <w:rFonts w:cs="Sylfaen"/>
                <w:lang w:val="hy-AM"/>
              </w:rPr>
              <w:t xml:space="preserve">և Կառավարության 01.06.2018թ.-ի N 626-Լ որոշմամբ հաստատված </w:t>
            </w:r>
            <w:r w:rsidRPr="0053423A">
              <w:rPr>
                <w:color w:val="000000"/>
                <w:shd w:val="clear" w:color="auto" w:fill="FFFFFF"/>
                <w:lang w:val="hy-AM"/>
              </w:rPr>
              <w:t>ռեկուլտիվացիոն ֆոնդի արդյունավետ կառավարման հայեցակարգն ապահովող միջոցառումների ցանկով:</w:t>
            </w:r>
          </w:p>
          <w:p w:rsidR="006B0618" w:rsidRPr="0053423A" w:rsidRDefault="006B0618" w:rsidP="00A67858">
            <w:pPr>
              <w:spacing w:line="276" w:lineRule="auto"/>
              <w:ind w:firstLine="375"/>
              <w:jc w:val="both"/>
              <w:rPr>
                <w:lang w:val="hy-AM"/>
              </w:rPr>
            </w:pPr>
            <w:r w:rsidRPr="0053423A">
              <w:rPr>
                <w:lang w:val="hy-AM"/>
              </w:rPr>
              <w:t xml:space="preserve">Որոշման նախագծի նպատակն է մշակել և հաստատել մեթոդական հենք ընդերքօգտագործման հետևանքով խախտված տարածքների նպատակային, կենսաբանական վերականգնման համար և ապահովել վերականգնված հողատարածքների վերադարձը </w:t>
            </w:r>
            <w:r w:rsidRPr="0053423A">
              <w:rPr>
                <w:rFonts w:cs="Sylfaen"/>
                <w:bCs/>
                <w:lang w:val="hy-AM"/>
              </w:rPr>
              <w:t>տնտեսական շրջանառության համակարգ:</w:t>
            </w:r>
          </w:p>
          <w:p w:rsidR="006B0618" w:rsidRPr="0053423A" w:rsidRDefault="006B0618" w:rsidP="00A67858">
            <w:pPr>
              <w:spacing w:line="276" w:lineRule="auto"/>
              <w:ind w:firstLine="375"/>
              <w:rPr>
                <w:lang w:val="hy-AM"/>
              </w:rPr>
            </w:pPr>
            <w:r w:rsidRPr="0053423A">
              <w:rPr>
                <w:b/>
                <w:lang w:val="hy-AM"/>
              </w:rPr>
              <w:t>1.1. Կարգավորման հարաբերությունների ներկա վիճակը և առկա խնդիրները</w:t>
            </w:r>
            <w:r w:rsidRPr="0053423A">
              <w:rPr>
                <w:lang w:val="hy-AM"/>
              </w:rPr>
              <w:t xml:space="preserve"> </w:t>
            </w:r>
          </w:p>
          <w:p w:rsidR="006B0618" w:rsidRPr="0053423A" w:rsidRDefault="006B0618" w:rsidP="00A67858">
            <w:pPr>
              <w:spacing w:line="276" w:lineRule="auto"/>
              <w:ind w:firstLine="375"/>
              <w:jc w:val="both"/>
              <w:rPr>
                <w:lang w:val="hy-AM"/>
              </w:rPr>
            </w:pPr>
            <w:r w:rsidRPr="0053423A">
              <w:rPr>
                <w:lang w:val="hy-AM"/>
              </w:rPr>
              <w:t>Ներկայումս ընդերքօգտագործողներ գերակշռող մասը (մոտ 90%) մշակում են միայն խախտված հողերի լեռնատեխնիկական վերականգնման նախագծեր՝ սահմանափակվելով ռեկուլտիվացվող տարածքներում մակաբացման ապարների, հազվադեպ՝ նախապես կուտակված հողաբուսական շերտի փռման, հարթեման աշխատանքներով: Նման մոտեցումը չի նպաստում վերականգնվող տարածքներում նոր լանդշաֆտային միավորների ստեղծմանը, բացառվում է այդ տարածքներում որևիցե այլ տնտեսական գործունեության իրականացումը, ինչպես նաև դրանք շարունակում են մնալ շրջակա միջավայրի աղտոտման աղբյուր:</w:t>
            </w:r>
          </w:p>
          <w:p w:rsidR="006B0618" w:rsidRPr="0053423A" w:rsidRDefault="006B0618" w:rsidP="00A67858">
            <w:pPr>
              <w:spacing w:line="276" w:lineRule="auto"/>
              <w:ind w:firstLine="375"/>
              <w:jc w:val="both"/>
              <w:rPr>
                <w:lang w:val="hy-AM"/>
              </w:rPr>
            </w:pPr>
            <w:r w:rsidRPr="0053423A">
              <w:rPr>
                <w:lang w:val="hy-AM"/>
              </w:rPr>
              <w:t>Ուղեցույցի մշակման համար անհրաժեշտ է իրականացնել ռեկուլտիվացիոն աշխատանքներ մի քանի փորձարարական հարթակներում: Աշխատանքների կատարման համար պահանջվող ֆինանսավորումը տվյալ փուլում հստակեցնել և գնահատել հնարավոր չէ, քանի որ դա կախված է հարթակների աշխարհագրական տեղադիրքից, մակերեսից, կենսաբանական  վերականգնման աշխատանքների ծավալից, մեթոդաբանությունից,</w:t>
            </w:r>
          </w:p>
          <w:p w:rsidR="006B0618" w:rsidRPr="0053423A" w:rsidRDefault="006B0618" w:rsidP="00A67858">
            <w:pPr>
              <w:spacing w:line="276" w:lineRule="auto"/>
              <w:ind w:firstLine="375"/>
              <w:jc w:val="both"/>
              <w:rPr>
                <w:lang w:val="hy-AM"/>
              </w:rPr>
            </w:pPr>
            <w:r w:rsidRPr="0053423A">
              <w:rPr>
                <w:lang w:val="hy-AM"/>
              </w:rPr>
              <w:t xml:space="preserve"> Ընտրված բուսատեսակների կպչողականությունից և այլն: Հայտնի չէ նաև հնարավոր ֆինասավորման աղբյուրը:</w:t>
            </w:r>
          </w:p>
          <w:p w:rsidR="006B0618" w:rsidRPr="0053423A" w:rsidRDefault="006B0618" w:rsidP="00A67858">
            <w:pPr>
              <w:spacing w:line="276" w:lineRule="auto"/>
              <w:ind w:firstLine="375"/>
              <w:jc w:val="both"/>
              <w:rPr>
                <w:b/>
                <w:lang w:val="hy-AM"/>
              </w:rPr>
            </w:pPr>
            <w:r w:rsidRPr="0053423A">
              <w:rPr>
                <w:b/>
                <w:lang w:val="hy-AM"/>
              </w:rPr>
              <w:t>1.2. Առկա խնդիրների առաջարկվող լուծումները</w:t>
            </w:r>
          </w:p>
          <w:p w:rsidR="006B0618" w:rsidRPr="0053423A" w:rsidRDefault="006B0618" w:rsidP="00A67858">
            <w:pPr>
              <w:spacing w:line="276" w:lineRule="auto"/>
              <w:ind w:firstLine="375"/>
              <w:jc w:val="both"/>
              <w:rPr>
                <w:lang w:val="hy-AM"/>
              </w:rPr>
            </w:pPr>
            <w:r w:rsidRPr="0053423A">
              <w:rPr>
                <w:rFonts w:cs="Sylfaen"/>
                <w:lang w:val="hy-AM"/>
              </w:rPr>
              <w:t>Ընդերքօգտագործման</w:t>
            </w:r>
            <w:r w:rsidRPr="0053423A">
              <w:rPr>
                <w:lang w:val="hy-AM"/>
              </w:rPr>
              <w:t xml:space="preserve"> </w:t>
            </w:r>
            <w:r w:rsidRPr="0053423A">
              <w:rPr>
                <w:rFonts w:cs="Sylfaen"/>
                <w:lang w:val="hy-AM"/>
              </w:rPr>
              <w:t>արդյունքում</w:t>
            </w:r>
            <w:r w:rsidRPr="0053423A">
              <w:rPr>
                <w:lang w:val="hy-AM"/>
              </w:rPr>
              <w:t xml:space="preserve"> </w:t>
            </w:r>
            <w:r w:rsidRPr="0053423A">
              <w:rPr>
                <w:rFonts w:cs="Sylfaen"/>
                <w:lang w:val="hy-AM"/>
              </w:rPr>
              <w:t>խախտված</w:t>
            </w:r>
            <w:r w:rsidRPr="0053423A">
              <w:rPr>
                <w:lang w:val="hy-AM"/>
              </w:rPr>
              <w:t xml:space="preserve"> </w:t>
            </w:r>
            <w:r w:rsidRPr="0053423A">
              <w:rPr>
                <w:rFonts w:cs="Sylfaen"/>
                <w:lang w:val="hy-AM"/>
              </w:rPr>
              <w:t>հողերի</w:t>
            </w:r>
            <w:r w:rsidRPr="0053423A">
              <w:rPr>
                <w:lang w:val="hy-AM"/>
              </w:rPr>
              <w:t xml:space="preserve"> </w:t>
            </w:r>
            <w:r w:rsidRPr="0053423A">
              <w:rPr>
                <w:rFonts w:cs="Sylfaen"/>
                <w:lang w:val="hy-AM"/>
              </w:rPr>
              <w:t>կենսաբանական</w:t>
            </w:r>
            <w:r w:rsidRPr="0053423A">
              <w:rPr>
                <w:lang w:val="hy-AM"/>
              </w:rPr>
              <w:t xml:space="preserve"> </w:t>
            </w:r>
            <w:r w:rsidRPr="0053423A">
              <w:rPr>
                <w:rFonts w:cs="Sylfaen"/>
                <w:lang w:val="hy-AM"/>
              </w:rPr>
              <w:t>վերականգնման</w:t>
            </w:r>
            <w:r w:rsidRPr="0053423A">
              <w:rPr>
                <w:lang w:val="hy-AM"/>
              </w:rPr>
              <w:t xml:space="preserve"> </w:t>
            </w:r>
            <w:r w:rsidRPr="0053423A">
              <w:rPr>
                <w:rFonts w:cs="Sylfaen"/>
                <w:lang w:val="hy-AM"/>
              </w:rPr>
              <w:t>իրականացման</w:t>
            </w:r>
            <w:r w:rsidRPr="0053423A">
              <w:rPr>
                <w:lang w:val="hy-AM"/>
              </w:rPr>
              <w:t xml:space="preserve"> </w:t>
            </w:r>
            <w:r w:rsidRPr="0053423A">
              <w:rPr>
                <w:rFonts w:cs="Sylfaen"/>
                <w:lang w:val="hy-AM"/>
              </w:rPr>
              <w:t xml:space="preserve">ուղեցույցի </w:t>
            </w:r>
            <w:r w:rsidRPr="0053423A">
              <w:rPr>
                <w:lang w:val="hy-AM"/>
              </w:rPr>
              <w:t xml:space="preserve"> </w:t>
            </w:r>
            <w:r w:rsidRPr="0053423A">
              <w:rPr>
                <w:rFonts w:cs="Sylfaen"/>
                <w:lang w:val="hy-AM"/>
              </w:rPr>
              <w:t>մշակման համար նախատեսվում է ընտրել փորձարարական հարթակներ, այդտեղ իրականացնել փոքրամասշտաբ պիլոտային ծրագրեր՝ կատարելով հարթակներում ոչ միայն լեռնատեխնիկական վերականգնում, այլ նաև փորձարկել վերականգնված վերին, հողաբուսական շերտի ամրացում յուրաքանչյուր տարածաշրջանին բնորոշ բուսական տեսակների (խոտային ծածկույթ, թփուտներ, ծառապատում) տնկման միջոցով:</w:t>
            </w:r>
          </w:p>
          <w:p w:rsidR="006B0618" w:rsidRPr="0053423A" w:rsidRDefault="006B0618" w:rsidP="00A67858">
            <w:pPr>
              <w:spacing w:line="276" w:lineRule="auto"/>
              <w:ind w:firstLine="375"/>
              <w:jc w:val="both"/>
              <w:rPr>
                <w:b/>
                <w:i/>
                <w:lang w:val="hy-AM"/>
              </w:rPr>
            </w:pPr>
            <w:r w:rsidRPr="0053423A">
              <w:rPr>
                <w:b/>
                <w:i/>
                <w:lang w:val="hy-AM"/>
              </w:rPr>
              <w:t>2. Միջոցառման իրականացումից ակնկալվող արդյունքը</w:t>
            </w:r>
          </w:p>
          <w:p w:rsidR="006B0618" w:rsidRPr="0053423A" w:rsidRDefault="006B0618" w:rsidP="00A67858">
            <w:pPr>
              <w:spacing w:line="276" w:lineRule="auto"/>
              <w:ind w:firstLine="375"/>
              <w:jc w:val="both"/>
              <w:rPr>
                <w:lang w:val="hy-AM"/>
              </w:rPr>
            </w:pPr>
            <w:r w:rsidRPr="0053423A">
              <w:rPr>
                <w:lang w:val="hy-AM"/>
              </w:rPr>
              <w:t>Մշակել ՀՀ տարածքին համարժեք, գիտելիքահենք մեթոդաբանություն, որը թույլ կտա ընդերքօգտագործման արդյունքում խախտված տարածքների համար մշակել և իրականացնել կենսաբանական ռեկուլտիվացիայի ծրագրեր, ապահովել վերականգնված տարածքների հետագա տնտեսական յուրացումը:</w:t>
            </w:r>
          </w:p>
          <w:p w:rsidR="006B0618" w:rsidRPr="0053423A" w:rsidRDefault="006B0618" w:rsidP="00A67858">
            <w:pPr>
              <w:spacing w:line="276" w:lineRule="auto"/>
              <w:ind w:firstLine="375"/>
              <w:jc w:val="both"/>
              <w:rPr>
                <w:lang w:val="hy-AM"/>
              </w:rPr>
            </w:pPr>
          </w:p>
          <w:p w:rsidR="006B0618" w:rsidRPr="0053423A" w:rsidRDefault="006B0618" w:rsidP="00A67858">
            <w:pPr>
              <w:spacing w:line="276" w:lineRule="auto"/>
              <w:ind w:firstLine="375"/>
              <w:jc w:val="center"/>
              <w:rPr>
                <w:rFonts w:cs="GHEA Grapalat"/>
                <w:b/>
                <w:u w:val="single"/>
                <w:lang w:val="hy-AM"/>
              </w:rPr>
            </w:pPr>
            <w:r w:rsidRPr="0053423A">
              <w:rPr>
                <w:b/>
                <w:u w:val="single"/>
                <w:lang w:val="hy-AM"/>
              </w:rPr>
              <w:t xml:space="preserve">7.2 </w:t>
            </w:r>
            <w:r w:rsidRPr="0053423A">
              <w:rPr>
                <w:rFonts w:cs="GHEA Grapalat"/>
                <w:b/>
                <w:u w:val="single"/>
                <w:lang w:val="hy-AM"/>
              </w:rPr>
              <w:t>«ՀՀ տարածքում աղտոտված, դեգրադացված հողերի մոնիթորինգի իրականացում»</w:t>
            </w:r>
          </w:p>
          <w:p w:rsidR="006B0618" w:rsidRPr="0053423A" w:rsidRDefault="006B0618" w:rsidP="00A67858">
            <w:pPr>
              <w:pStyle w:val="ListParagraph"/>
              <w:numPr>
                <w:ilvl w:val="0"/>
                <w:numId w:val="13"/>
              </w:numPr>
              <w:spacing w:line="276" w:lineRule="auto"/>
              <w:jc w:val="both"/>
              <w:rPr>
                <w:b/>
                <w:i/>
                <w:lang w:val="hy-AM"/>
              </w:rPr>
            </w:pPr>
            <w:r w:rsidRPr="0053423A">
              <w:rPr>
                <w:b/>
                <w:i/>
                <w:lang w:val="hy-AM"/>
              </w:rPr>
              <w:t>Միջոցառման իրակացման անհրաժեշտությունը և նպատակը</w:t>
            </w:r>
          </w:p>
          <w:p w:rsidR="006B0618" w:rsidRPr="0053423A" w:rsidRDefault="006B0618" w:rsidP="00A67858">
            <w:pPr>
              <w:spacing w:line="276" w:lineRule="auto"/>
              <w:ind w:firstLine="374"/>
              <w:jc w:val="both"/>
              <w:rPr>
                <w:rFonts w:cs="Sylfaen"/>
                <w:noProof/>
              </w:rPr>
            </w:pPr>
          </w:p>
          <w:p w:rsidR="006B0618" w:rsidRPr="0053423A" w:rsidRDefault="00232EB0" w:rsidP="00A67858">
            <w:pPr>
              <w:spacing w:line="276" w:lineRule="auto"/>
              <w:ind w:firstLine="374"/>
              <w:jc w:val="both"/>
              <w:rPr>
                <w:rFonts w:cs="Sylfaen"/>
              </w:rPr>
            </w:pPr>
            <w:r w:rsidRPr="0053423A">
              <w:rPr>
                <w:rFonts w:cs="Sylfaen"/>
                <w:noProof/>
              </w:rPr>
              <w:t>Միջո</w:t>
            </w:r>
            <w:r w:rsidR="006B0618" w:rsidRPr="0053423A">
              <w:rPr>
                <w:rFonts w:cs="Sylfaen"/>
                <w:noProof/>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w:t>
            </w:r>
            <w:r w:rsidR="006B0618" w:rsidRPr="0053423A">
              <w:rPr>
                <w:rFonts w:cs="Sylfaen"/>
              </w:rPr>
              <w:t xml:space="preserve"> </w:t>
            </w:r>
            <w:r w:rsidR="006B0618" w:rsidRPr="0053423A">
              <w:rPr>
                <w:rFonts w:cs="Sylfaen"/>
                <w:noProof/>
              </w:rPr>
              <w:t>Հողային ռեսուրսների արդյունավետ կառավարում, հողերի աղտոտման և դեգրադացման կանխարգելմանն ու նվազմանն ուղղված քաղաքականության մշակում և իրականացում  ուղղությունը:</w:t>
            </w:r>
          </w:p>
          <w:p w:rsidR="006B0618" w:rsidRPr="0053423A" w:rsidRDefault="006B0618" w:rsidP="00A67858">
            <w:pPr>
              <w:spacing w:line="276" w:lineRule="auto"/>
              <w:ind w:firstLine="374"/>
              <w:jc w:val="both"/>
              <w:rPr>
                <w:rFonts w:cs="Sylfaen"/>
                <w:bCs/>
                <w:spacing w:val="-8"/>
                <w:lang w:val="it-IT"/>
              </w:rPr>
            </w:pPr>
            <w:r w:rsidRPr="0053423A">
              <w:rPr>
                <w:rFonts w:cs="Sylfaen"/>
                <w:kern w:val="16"/>
                <w:lang w:val="it-IT"/>
              </w:rPr>
              <w:t xml:space="preserve">Հողերի վիճակի ուսումնասիրության, գնահատման և դրա փոփոխության ժամանակին բացահայտման (աղտոտվածության մոնիթորինգը)  անհրաժեշտությունը բխում է ՀՀ հողային օրենսգրքի 32-րդ հոդվածի և ՀՀ կառավարության 19.02.2009թ.-ի N 276-Ն դրույթներից: </w:t>
            </w:r>
            <w:r w:rsidRPr="0053423A">
              <w:rPr>
                <w:rFonts w:cs="GHEA Grapalat"/>
                <w:lang w:val="hy-AM"/>
              </w:rPr>
              <w:t>Աղտոտված, դեգրադացված հողերի մոնիթորինգի իրականացման</w:t>
            </w:r>
            <w:r w:rsidRPr="0053423A">
              <w:rPr>
                <w:rFonts w:cs="GHEA Grapalat"/>
                <w:lang w:val="it-IT"/>
              </w:rPr>
              <w:t xml:space="preserve"> </w:t>
            </w:r>
            <w:r w:rsidRPr="0053423A">
              <w:rPr>
                <w:rFonts w:cs="GHEA Grapalat"/>
                <w:lang w:val="hy-AM"/>
              </w:rPr>
              <w:t>անհրաժեշտությունը</w:t>
            </w:r>
            <w:r w:rsidRPr="0053423A">
              <w:rPr>
                <w:rFonts w:cs="GHEA Grapalat"/>
                <w:lang w:val="it-IT"/>
              </w:rPr>
              <w:t xml:space="preserve"> </w:t>
            </w:r>
            <w:r w:rsidRPr="0053423A">
              <w:rPr>
                <w:rFonts w:cs="GHEA Grapalat"/>
                <w:lang w:val="hy-AM"/>
              </w:rPr>
              <w:t>ամրագրված</w:t>
            </w:r>
            <w:r w:rsidRPr="0053423A">
              <w:rPr>
                <w:rFonts w:cs="GHEA Grapalat"/>
                <w:lang w:val="it-IT"/>
              </w:rPr>
              <w:t xml:space="preserve"> </w:t>
            </w:r>
            <w:r w:rsidRPr="0053423A">
              <w:rPr>
                <w:rFonts w:cs="GHEA Grapalat"/>
                <w:lang w:val="hy-AM"/>
              </w:rPr>
              <w:t>է</w:t>
            </w:r>
            <w:r w:rsidRPr="0053423A">
              <w:rPr>
                <w:rFonts w:cs="GHEA Grapalat"/>
                <w:lang w:val="it-IT"/>
              </w:rPr>
              <w:t xml:space="preserve"> </w:t>
            </w:r>
            <w:r w:rsidRPr="0053423A">
              <w:rPr>
                <w:rFonts w:cs="GHEA Grapalat"/>
                <w:lang w:val="hy-AM"/>
              </w:rPr>
              <w:t>Կառավարության</w:t>
            </w:r>
            <w:r w:rsidRPr="0053423A">
              <w:rPr>
                <w:rFonts w:cs="GHEA Grapalat"/>
                <w:lang w:val="it-IT"/>
              </w:rPr>
              <w:t xml:space="preserve"> 08.02.2019</w:t>
            </w:r>
            <w:r w:rsidRPr="0053423A">
              <w:rPr>
                <w:rFonts w:cs="GHEA Grapalat"/>
                <w:lang w:val="hy-AM"/>
              </w:rPr>
              <w:t>թ</w:t>
            </w:r>
            <w:r w:rsidRPr="0053423A">
              <w:rPr>
                <w:rFonts w:cs="GHEA Grapalat"/>
                <w:lang w:val="it-IT"/>
              </w:rPr>
              <w:t xml:space="preserve">.-ի N65-Ա որոշման 4.8 գլխում՝ որպես </w:t>
            </w:r>
            <w:r w:rsidRPr="0053423A">
              <w:rPr>
                <w:rFonts w:cs="Sylfaen"/>
                <w:lang w:val="hy-AM"/>
              </w:rPr>
              <w:t>շրջակա</w:t>
            </w:r>
            <w:r w:rsidRPr="0053423A">
              <w:rPr>
                <w:lang w:val="it-IT"/>
              </w:rPr>
              <w:t xml:space="preserve"> </w:t>
            </w:r>
            <w:r w:rsidRPr="0053423A">
              <w:rPr>
                <w:rFonts w:cs="Sylfaen"/>
                <w:lang w:val="hy-AM"/>
              </w:rPr>
              <w:t>միջավայրի</w:t>
            </w:r>
            <w:r w:rsidRPr="0053423A">
              <w:rPr>
                <w:lang w:val="it-IT"/>
              </w:rPr>
              <w:t xml:space="preserve"> </w:t>
            </w:r>
            <w:r w:rsidRPr="0053423A">
              <w:rPr>
                <w:rFonts w:cs="Sylfaen"/>
                <w:lang w:val="hy-AM"/>
              </w:rPr>
              <w:t>կառավարման</w:t>
            </w:r>
            <w:r w:rsidRPr="0053423A">
              <w:rPr>
                <w:lang w:val="it-IT"/>
              </w:rPr>
              <w:t xml:space="preserve"> </w:t>
            </w:r>
            <w:r w:rsidRPr="0053423A">
              <w:rPr>
                <w:rFonts w:cs="Sylfaen"/>
                <w:lang w:val="hy-AM"/>
              </w:rPr>
              <w:t>առաջնահերթ</w:t>
            </w:r>
            <w:r w:rsidRPr="0053423A">
              <w:rPr>
                <w:lang w:val="it-IT"/>
              </w:rPr>
              <w:t xml:space="preserve"> </w:t>
            </w:r>
            <w:r w:rsidRPr="0053423A">
              <w:rPr>
                <w:rFonts w:cs="Sylfaen"/>
                <w:lang w:val="hy-AM"/>
              </w:rPr>
              <w:t>ուղղություն</w:t>
            </w:r>
            <w:r w:rsidRPr="0053423A">
              <w:rPr>
                <w:rFonts w:cs="Sylfaen"/>
                <w:lang w:val="it-IT"/>
              </w:rPr>
              <w:t xml:space="preserve">, ինչպես նաև </w:t>
            </w:r>
            <w:r w:rsidRPr="0053423A">
              <w:rPr>
                <w:rFonts w:cs="Sylfaen"/>
                <w:lang w:val="hy-AM"/>
              </w:rPr>
              <w:t>Կառավարության 22.03.2018թ.-ի N 11 արձանագրային որոշմամբ հաստատված շրջակա</w:t>
            </w:r>
            <w:r w:rsidRPr="0053423A">
              <w:rPr>
                <w:rFonts w:cs="Arial Armenian"/>
                <w:lang w:val="hy-AM"/>
              </w:rPr>
              <w:t xml:space="preserve"> </w:t>
            </w:r>
            <w:r w:rsidRPr="0053423A">
              <w:rPr>
                <w:rFonts w:cs="Sylfaen"/>
                <w:lang w:val="hy-AM"/>
              </w:rPr>
              <w:t>միջավայրի</w:t>
            </w:r>
            <w:r w:rsidRPr="0053423A">
              <w:rPr>
                <w:rFonts w:cs="Arial Armenian"/>
                <w:lang w:val="hy-AM"/>
              </w:rPr>
              <w:t xml:space="preserve"> </w:t>
            </w:r>
            <w:r w:rsidRPr="0053423A">
              <w:rPr>
                <w:rFonts w:cs="Sylfaen"/>
                <w:lang w:val="hy-AM"/>
              </w:rPr>
              <w:t>պահպանության</w:t>
            </w:r>
            <w:r w:rsidRPr="0053423A">
              <w:rPr>
                <w:rFonts w:cs="Arial Armenian"/>
                <w:lang w:val="hy-AM"/>
              </w:rPr>
              <w:t xml:space="preserve"> </w:t>
            </w:r>
            <w:r w:rsidRPr="0053423A">
              <w:rPr>
                <w:rFonts w:cs="Sylfaen"/>
                <w:lang w:val="hy-AM"/>
              </w:rPr>
              <w:t>և</w:t>
            </w:r>
            <w:r w:rsidRPr="0053423A">
              <w:rPr>
                <w:rFonts w:cs="Arial Armenian"/>
                <w:lang w:val="hy-AM"/>
              </w:rPr>
              <w:t xml:space="preserve"> </w:t>
            </w:r>
            <w:r w:rsidRPr="0053423A">
              <w:rPr>
                <w:rFonts w:cs="Sylfaen"/>
                <w:lang w:val="hy-AM"/>
              </w:rPr>
              <w:t>բնական</w:t>
            </w:r>
            <w:r w:rsidRPr="0053423A">
              <w:rPr>
                <w:rFonts w:cs="Arial Armenian"/>
                <w:lang w:val="hy-AM"/>
              </w:rPr>
              <w:t xml:space="preserve"> </w:t>
            </w:r>
            <w:r w:rsidRPr="0053423A">
              <w:rPr>
                <w:rFonts w:cs="Sylfaen"/>
                <w:lang w:val="hy-AM"/>
              </w:rPr>
              <w:t>ռեսուրսների</w:t>
            </w:r>
            <w:r w:rsidRPr="0053423A">
              <w:rPr>
                <w:rFonts w:cs="Arial Armenian"/>
                <w:lang w:val="hy-AM"/>
              </w:rPr>
              <w:t xml:space="preserve"> </w:t>
            </w:r>
            <w:r w:rsidRPr="0053423A">
              <w:rPr>
                <w:rFonts w:cs="Sylfaen"/>
                <w:lang w:val="hy-AM"/>
              </w:rPr>
              <w:t>օգտագործման</w:t>
            </w:r>
            <w:r w:rsidRPr="0053423A">
              <w:rPr>
                <w:rFonts w:cs="Arial Armenian"/>
                <w:lang w:val="hy-AM"/>
              </w:rPr>
              <w:t xml:space="preserve"> </w:t>
            </w:r>
            <w:r w:rsidRPr="0053423A">
              <w:rPr>
                <w:rFonts w:cs="Sylfaen"/>
                <w:lang w:val="hy-AM"/>
              </w:rPr>
              <w:t>կառավարման</w:t>
            </w:r>
            <w:r w:rsidRPr="0053423A">
              <w:rPr>
                <w:rFonts w:cs="Arial Armenian"/>
                <w:lang w:val="hy-AM"/>
              </w:rPr>
              <w:t xml:space="preserve"> </w:t>
            </w:r>
            <w:r w:rsidRPr="0053423A">
              <w:rPr>
                <w:rFonts w:cs="Sylfaen"/>
                <w:lang w:val="hy-AM"/>
              </w:rPr>
              <w:t>ն</w:t>
            </w:r>
            <w:r w:rsidRPr="0053423A">
              <w:rPr>
                <w:rFonts w:cs="Sylfaen"/>
                <w:bCs/>
                <w:spacing w:val="-8"/>
                <w:lang w:val="hy-AM"/>
              </w:rPr>
              <w:t xml:space="preserve"> միջոցառումների</w:t>
            </w:r>
            <w:r w:rsidRPr="0053423A">
              <w:rPr>
                <w:rFonts w:cs="Tahoma"/>
                <w:bCs/>
                <w:spacing w:val="-8"/>
                <w:lang w:val="hy-AM"/>
              </w:rPr>
              <w:t xml:space="preserve"> 2018-2022 </w:t>
            </w:r>
            <w:r w:rsidRPr="0053423A">
              <w:rPr>
                <w:rFonts w:cs="Sylfaen"/>
                <w:bCs/>
                <w:spacing w:val="-8"/>
                <w:lang w:val="hy-AM"/>
              </w:rPr>
              <w:t>թվականների</w:t>
            </w:r>
            <w:r w:rsidRPr="0053423A">
              <w:rPr>
                <w:rFonts w:cs="Tahoma"/>
                <w:bCs/>
                <w:spacing w:val="-8"/>
                <w:lang w:val="hy-AM"/>
              </w:rPr>
              <w:t xml:space="preserve"> </w:t>
            </w:r>
            <w:r w:rsidRPr="0053423A">
              <w:rPr>
                <w:rFonts w:cs="Sylfaen"/>
                <w:bCs/>
                <w:spacing w:val="-8"/>
                <w:lang w:val="hy-AM"/>
              </w:rPr>
              <w:t>ծրագրում</w:t>
            </w:r>
            <w:r w:rsidRPr="0053423A">
              <w:rPr>
                <w:rFonts w:cs="Sylfaen"/>
                <w:bCs/>
                <w:spacing w:val="-8"/>
                <w:lang w:val="it-IT"/>
              </w:rPr>
              <w:t>:</w:t>
            </w:r>
          </w:p>
          <w:p w:rsidR="006B0618" w:rsidRPr="0053423A" w:rsidRDefault="006B0618" w:rsidP="00A67858">
            <w:pPr>
              <w:spacing w:line="276" w:lineRule="auto"/>
              <w:ind w:firstLine="374"/>
              <w:jc w:val="both"/>
              <w:rPr>
                <w:rFonts w:cs="Sylfaen"/>
                <w:bCs/>
                <w:spacing w:val="-8"/>
                <w:lang w:val="it-IT"/>
              </w:rPr>
            </w:pPr>
            <w:r w:rsidRPr="0053423A">
              <w:rPr>
                <w:rFonts w:cs="Sylfaen"/>
                <w:bCs/>
                <w:spacing w:val="-8"/>
                <w:lang w:val="it-IT"/>
              </w:rPr>
              <w:t xml:space="preserve">Միջոցառման իրականացման նպատակներն են. </w:t>
            </w:r>
          </w:p>
          <w:p w:rsidR="006B0618" w:rsidRPr="0053423A" w:rsidRDefault="006B0618" w:rsidP="00A67858">
            <w:pPr>
              <w:pStyle w:val="BodyText"/>
              <w:spacing w:after="0" w:line="276" w:lineRule="auto"/>
              <w:ind w:firstLine="357"/>
              <w:jc w:val="both"/>
              <w:rPr>
                <w:rFonts w:ascii="GHEA Grapalat" w:hAnsi="GHEA Grapalat" w:cs="Sylfaen"/>
                <w:b/>
                <w:iCs/>
                <w:sz w:val="20"/>
                <w:szCs w:val="20"/>
                <w:lang w:val="hy-AM"/>
              </w:rPr>
            </w:pPr>
            <w:r w:rsidRPr="0053423A">
              <w:rPr>
                <w:rFonts w:ascii="GHEA Grapalat" w:hAnsi="GHEA Grapalat" w:cs="Sylfaen"/>
                <w:iCs/>
                <w:sz w:val="20"/>
                <w:szCs w:val="20"/>
                <w:lang w:val="hy-AM"/>
              </w:rPr>
              <w:t>1) հողերի վիճակի ուսումնասիրություն, գնահատում և դրա փոփոխության ժամանակին բացահայտում, այդ փոփոխությունների կանխատեսում և բացասական գործընթացների հետևանքների կանխարգելում,</w:t>
            </w:r>
          </w:p>
          <w:p w:rsidR="006B0618" w:rsidRPr="0053423A" w:rsidRDefault="006B0618" w:rsidP="00A67858">
            <w:pPr>
              <w:pStyle w:val="BodyText"/>
              <w:spacing w:after="0" w:line="276" w:lineRule="auto"/>
              <w:ind w:firstLine="357"/>
              <w:jc w:val="both"/>
              <w:rPr>
                <w:rFonts w:ascii="GHEA Grapalat" w:hAnsi="GHEA Grapalat" w:cs="Sylfaen"/>
                <w:b/>
                <w:iCs/>
                <w:sz w:val="20"/>
                <w:szCs w:val="20"/>
                <w:lang w:val="hy-AM"/>
              </w:rPr>
            </w:pPr>
            <w:r w:rsidRPr="0053423A">
              <w:rPr>
                <w:rFonts w:ascii="GHEA Grapalat" w:hAnsi="GHEA Grapalat" w:cs="Sylfaen"/>
                <w:iCs/>
                <w:sz w:val="20"/>
                <w:szCs w:val="20"/>
                <w:lang w:val="hy-AM"/>
              </w:rPr>
              <w:t>2)</w:t>
            </w:r>
            <w:r w:rsidRPr="0053423A">
              <w:rPr>
                <w:rFonts w:ascii="GHEA Grapalat" w:hAnsi="GHEA Grapalat" w:cs="Sylfaen"/>
                <w:iCs/>
                <w:sz w:val="20"/>
                <w:szCs w:val="20"/>
                <w:lang w:val="hy-AM"/>
              </w:rPr>
              <w:tab/>
              <w:t>տեխնածին աղտոտված հողատարածքների վերաբերյալ տեղեկատվության  հավաքագրում, կադաստրի ստեղծում,</w:t>
            </w:r>
          </w:p>
          <w:p w:rsidR="006B0618" w:rsidRPr="0053423A" w:rsidRDefault="006B0618" w:rsidP="00A67858">
            <w:pPr>
              <w:pStyle w:val="BodyText"/>
              <w:spacing w:after="0" w:line="276" w:lineRule="auto"/>
              <w:ind w:firstLine="357"/>
              <w:jc w:val="both"/>
              <w:rPr>
                <w:rFonts w:ascii="GHEA Grapalat" w:hAnsi="GHEA Grapalat" w:cs="Sylfaen"/>
                <w:b/>
                <w:iCs/>
                <w:sz w:val="20"/>
                <w:szCs w:val="20"/>
                <w:lang w:val="hy-AM"/>
              </w:rPr>
            </w:pPr>
            <w:r w:rsidRPr="0053423A">
              <w:rPr>
                <w:rFonts w:ascii="GHEA Grapalat" w:hAnsi="GHEA Grapalat" w:cs="Sylfaen"/>
                <w:iCs/>
                <w:sz w:val="20"/>
                <w:szCs w:val="20"/>
                <w:lang w:val="hy-AM"/>
              </w:rPr>
              <w:t>3) քարտեզագրական նյութերի թվայնացում և ներկայացում թվային տեղեկատվական միջավայրերում,</w:t>
            </w:r>
          </w:p>
          <w:p w:rsidR="006B0618" w:rsidRPr="0053423A" w:rsidRDefault="006B0618" w:rsidP="00A67858">
            <w:pPr>
              <w:pStyle w:val="BodyText"/>
              <w:spacing w:after="0" w:line="276" w:lineRule="auto"/>
              <w:ind w:firstLine="357"/>
              <w:jc w:val="both"/>
              <w:rPr>
                <w:rFonts w:ascii="GHEA Grapalat" w:hAnsi="GHEA Grapalat" w:cs="Sylfaen"/>
                <w:b/>
                <w:iCs/>
                <w:sz w:val="20"/>
                <w:szCs w:val="20"/>
                <w:lang w:val="hy-AM"/>
              </w:rPr>
            </w:pPr>
            <w:r w:rsidRPr="0053423A">
              <w:rPr>
                <w:rFonts w:ascii="GHEA Grapalat" w:hAnsi="GHEA Grapalat" w:cs="Sylfaen"/>
                <w:iCs/>
                <w:sz w:val="20"/>
                <w:szCs w:val="20"/>
                <w:lang w:val="hy-AM"/>
              </w:rPr>
              <w:t>4) դիտակետերի ցանցի ստեղծում,</w:t>
            </w:r>
          </w:p>
          <w:p w:rsidR="006B0618" w:rsidRPr="0053423A" w:rsidRDefault="006B0618" w:rsidP="00A67858">
            <w:pPr>
              <w:pStyle w:val="BodyText"/>
              <w:spacing w:after="0" w:line="276" w:lineRule="auto"/>
              <w:ind w:firstLine="357"/>
              <w:jc w:val="both"/>
              <w:rPr>
                <w:rFonts w:ascii="GHEA Grapalat" w:hAnsi="GHEA Grapalat" w:cs="Sylfaen"/>
                <w:b/>
                <w:iCs/>
                <w:sz w:val="20"/>
                <w:szCs w:val="20"/>
                <w:lang w:val="hy-AM"/>
              </w:rPr>
            </w:pPr>
            <w:r w:rsidRPr="0053423A">
              <w:rPr>
                <w:rFonts w:ascii="GHEA Grapalat" w:hAnsi="GHEA Grapalat" w:cs="Sylfaen"/>
                <w:iCs/>
                <w:sz w:val="20"/>
                <w:szCs w:val="20"/>
                <w:lang w:val="hy-AM"/>
              </w:rPr>
              <w:t>5) մոնիթորինգի տեղեկատվության հավաքագրում և գրանցում:</w:t>
            </w:r>
          </w:p>
          <w:p w:rsidR="006B0618" w:rsidRPr="0053423A" w:rsidRDefault="006B0618" w:rsidP="00A67858">
            <w:pPr>
              <w:spacing w:line="276" w:lineRule="auto"/>
              <w:ind w:firstLine="375"/>
              <w:rPr>
                <w:lang w:val="hy-AM"/>
              </w:rPr>
            </w:pPr>
            <w:r w:rsidRPr="0053423A">
              <w:rPr>
                <w:b/>
                <w:lang w:val="hy-AM"/>
              </w:rPr>
              <w:t>1.1. Կարգավորման հարաբերությունների ներկա վիճակը և առկա խնդիրները</w:t>
            </w:r>
            <w:r w:rsidRPr="0053423A">
              <w:rPr>
                <w:lang w:val="hy-AM"/>
              </w:rPr>
              <w:t xml:space="preserve"> </w:t>
            </w:r>
          </w:p>
          <w:p w:rsidR="006B0618" w:rsidRPr="0053423A" w:rsidRDefault="006B0618" w:rsidP="00A67858">
            <w:pPr>
              <w:spacing w:line="276" w:lineRule="auto"/>
              <w:ind w:firstLine="374"/>
              <w:jc w:val="both"/>
              <w:rPr>
                <w:rFonts w:cs="Sylfaen"/>
                <w:kern w:val="16"/>
                <w:lang w:val="it-IT"/>
              </w:rPr>
            </w:pPr>
            <w:r w:rsidRPr="0053423A">
              <w:rPr>
                <w:rFonts w:cs="Sylfaen"/>
                <w:kern w:val="16"/>
                <w:lang w:val="it-IT"/>
              </w:rPr>
              <w:t>Օրենսդրորեն հստակ սահմանված են հողերի մոնիթորինգի իրականացման ցուցանիշները, սակայն ներկայումս իրականացվում է հողերի աղտոտվածության ոչ կարգավորված և էպիզոդիկ բնույթ կրող մոնի</w:t>
            </w:r>
            <w:r w:rsidRPr="0053423A">
              <w:rPr>
                <w:rFonts w:cs="Sylfaen"/>
                <w:kern w:val="16"/>
                <w:lang w:val="hy-AM"/>
              </w:rPr>
              <w:t>թ</w:t>
            </w:r>
            <w:r w:rsidRPr="0053423A">
              <w:rPr>
                <w:rFonts w:cs="Sylfaen"/>
                <w:kern w:val="16"/>
                <w:lang w:val="it-IT"/>
              </w:rPr>
              <w:t>որինգ։ Հողերի աղտոտվածության դիտարկման աշխատանքները կատարվում են տարբեր մակարդակներով, ոչ լիարժեք, ինչի արդյունքում բացակայում է հողերի որակի մոնի</w:t>
            </w:r>
            <w:r w:rsidRPr="0053423A">
              <w:rPr>
                <w:rFonts w:cs="Sylfaen"/>
                <w:kern w:val="16"/>
              </w:rPr>
              <w:t>թ</w:t>
            </w:r>
            <w:r w:rsidRPr="0053423A">
              <w:rPr>
                <w:rFonts w:cs="Sylfaen"/>
                <w:kern w:val="16"/>
                <w:lang w:val="it-IT"/>
              </w:rPr>
              <w:t>որինգի և դրա վերաբերյալ տեղեկատվության մշտական գործող ու կանոնակարգված համակարգ։</w:t>
            </w:r>
          </w:p>
          <w:p w:rsidR="006B0618" w:rsidRPr="0053423A" w:rsidRDefault="006B0618" w:rsidP="00A67858">
            <w:pPr>
              <w:spacing w:line="276" w:lineRule="auto"/>
              <w:ind w:firstLine="374"/>
              <w:jc w:val="both"/>
              <w:rPr>
                <w:rFonts w:cs="Sylfaen"/>
                <w:kern w:val="16"/>
                <w:lang w:val="it-IT"/>
              </w:rPr>
            </w:pPr>
            <w:r w:rsidRPr="0053423A">
              <w:rPr>
                <w:rFonts w:cs="Sylfaen"/>
                <w:kern w:val="16"/>
                <w:lang w:val="it-IT"/>
              </w:rPr>
              <w:t>Աշխատանքների կատարման համար անհրաժեշտ գումարները գնահատվել են ըստ հողերի տեխնածին աղտոտվածությամբ գնահատվող հարթակների (ընդերքօգտագործման թափոնների օբյեկտներ, բացահանքեր, հանքահորային ջրերի բեռնաթափման վայրեր և այլն) քանակի, դրանցից յուրաքանչյուրում նվազագույն նմուշների քանակի և կազմել են մոտ 100300.0 հազ.դրամ: Ֆինանսավորման աղբյուրը այս փուլում դեռևս որոշված չէ:</w:t>
            </w:r>
          </w:p>
          <w:p w:rsidR="006B0618" w:rsidRPr="0053423A" w:rsidRDefault="006B0618" w:rsidP="00A67858">
            <w:pPr>
              <w:spacing w:line="276" w:lineRule="auto"/>
              <w:ind w:firstLine="375"/>
              <w:jc w:val="both"/>
              <w:rPr>
                <w:b/>
                <w:lang w:val="hy-AM"/>
              </w:rPr>
            </w:pPr>
            <w:r w:rsidRPr="0053423A">
              <w:rPr>
                <w:b/>
                <w:lang w:val="hy-AM"/>
              </w:rPr>
              <w:t xml:space="preserve">1.2. </w:t>
            </w:r>
            <w:r w:rsidRPr="0053423A">
              <w:rPr>
                <w:b/>
              </w:rPr>
              <w:t>Ա</w:t>
            </w:r>
            <w:r w:rsidRPr="0053423A">
              <w:rPr>
                <w:b/>
                <w:lang w:val="hy-AM"/>
              </w:rPr>
              <w:t>ռկա խնդիրների առաջարկվող լուծումները</w:t>
            </w:r>
          </w:p>
          <w:p w:rsidR="006B0618" w:rsidRPr="0053423A" w:rsidRDefault="006B0618" w:rsidP="00A67858">
            <w:pPr>
              <w:spacing w:line="276" w:lineRule="auto"/>
              <w:ind w:firstLine="360"/>
              <w:jc w:val="both"/>
              <w:rPr>
                <w:rFonts w:cs="Sylfaen"/>
                <w:kern w:val="16"/>
                <w:lang w:val="hy-AM"/>
              </w:rPr>
            </w:pPr>
            <w:r w:rsidRPr="0053423A">
              <w:rPr>
                <w:kern w:val="16"/>
                <w:lang w:val="hy-AM"/>
              </w:rPr>
              <w:t xml:space="preserve">Իրականացնել աղտոտված, դեգրադացված հողերի դաշտային ուսումնասիրություններ, առանձնացված տարածքները կապակցել կոորդինական առանցքներով տոպոհիմքերի հետ, զարգացնել նմուշարկման դիտացանց, հատկապես  պոչամբարներին և մետաղական հանքավայրերի լցակույտերին հարող տարածքներում, իրականացնել հողերի աղտոտվածությունը բնութագրող շուրջ 30 պարամետրերի որոշում, լրացնել հողերի աղտոտվածության վիճակի վերաբերյալ մոնիթորինգային շարքեր: </w:t>
            </w:r>
          </w:p>
          <w:p w:rsidR="006B0618" w:rsidRPr="0053423A" w:rsidRDefault="006B0618" w:rsidP="00A67858">
            <w:pPr>
              <w:pStyle w:val="ListParagraph"/>
              <w:numPr>
                <w:ilvl w:val="0"/>
                <w:numId w:val="13"/>
              </w:numPr>
              <w:spacing w:line="276" w:lineRule="auto"/>
              <w:jc w:val="both"/>
              <w:rPr>
                <w:b/>
                <w:i/>
                <w:lang w:val="hy-AM"/>
              </w:rPr>
            </w:pPr>
            <w:r w:rsidRPr="0053423A">
              <w:rPr>
                <w:b/>
                <w:i/>
                <w:lang w:val="hy-AM"/>
              </w:rPr>
              <w:t>Միջոցառման իրականացումից ակնկալվող արդյունքը</w:t>
            </w:r>
          </w:p>
          <w:p w:rsidR="006B0618" w:rsidRPr="0053423A" w:rsidRDefault="006B0618" w:rsidP="00A67858">
            <w:pPr>
              <w:spacing w:line="276" w:lineRule="auto"/>
              <w:ind w:firstLine="375"/>
              <w:jc w:val="both"/>
              <w:rPr>
                <w:kern w:val="16"/>
                <w:lang w:val="hy-AM"/>
              </w:rPr>
            </w:pPr>
            <w:r w:rsidRPr="0053423A">
              <w:rPr>
                <w:rFonts w:cs="Sylfaen"/>
                <w:kern w:val="16"/>
                <w:lang w:val="hy-AM"/>
              </w:rPr>
              <w:t>Միջոցառման</w:t>
            </w:r>
            <w:r w:rsidRPr="0053423A">
              <w:rPr>
                <w:kern w:val="16"/>
                <w:lang w:val="hy-AM"/>
              </w:rPr>
              <w:t xml:space="preserve"> իրականացման արդյունքում կձևավորվի ՀՀ տարածքին համարժեք, միջազգային չափանիշներով արդյունավետ գործող և նպատակային ինֆորմացիա արտադրող մոնիթորինգային համակարգ, ինչպես նաև կմշակվեն ՀՀ բնակլիմայական պայմաններին և հողային շերտի աղտոտվածության որակական բաշխման առանձնահատկություններին համապատասխան քարտեզներ:</w:t>
            </w:r>
          </w:p>
          <w:p w:rsidR="006B0618" w:rsidRPr="0053423A" w:rsidRDefault="006B0618" w:rsidP="00A67858">
            <w:pPr>
              <w:spacing w:line="276" w:lineRule="auto"/>
              <w:ind w:firstLine="375"/>
              <w:jc w:val="center"/>
              <w:rPr>
                <w:b/>
                <w:u w:val="single"/>
                <w:lang w:val="hy-AM"/>
              </w:rPr>
            </w:pPr>
          </w:p>
          <w:p w:rsidR="006B0618" w:rsidRPr="0053423A" w:rsidRDefault="006B0618" w:rsidP="00A67858">
            <w:pPr>
              <w:spacing w:line="276" w:lineRule="auto"/>
              <w:jc w:val="center"/>
              <w:rPr>
                <w:rFonts w:cs="GHEA Grapalat"/>
                <w:b/>
                <w:u w:val="single"/>
                <w:lang w:val="hy-AM"/>
              </w:rPr>
            </w:pPr>
            <w:r w:rsidRPr="0053423A">
              <w:rPr>
                <w:b/>
                <w:bCs/>
                <w:u w:val="single"/>
                <w:lang w:val="hy-AM"/>
              </w:rPr>
              <w:t xml:space="preserve">7.3 </w:t>
            </w:r>
            <w:r w:rsidRPr="0053423A">
              <w:rPr>
                <w:rFonts w:cs="GHEA Grapalat"/>
                <w:b/>
                <w:u w:val="single"/>
                <w:lang w:val="hy-AM"/>
              </w:rPr>
              <w:t>«ՀՀ բնության հատուկ պահպանվող տարածքներում և անտառային հողերում սողանքային և սողանքավտանգ տեղամասերի գույքագրում»</w:t>
            </w:r>
          </w:p>
          <w:p w:rsidR="006B0618" w:rsidRPr="0053423A" w:rsidRDefault="006B0618" w:rsidP="00A67858">
            <w:pPr>
              <w:spacing w:line="276" w:lineRule="auto"/>
              <w:jc w:val="center"/>
              <w:rPr>
                <w:rFonts w:cs="GHEA Grapalat"/>
                <w:b/>
                <w:u w:val="single"/>
                <w:lang w:val="hy-AM"/>
              </w:rPr>
            </w:pPr>
          </w:p>
          <w:p w:rsidR="006B0618" w:rsidRPr="0053423A" w:rsidRDefault="006B0618" w:rsidP="00A67858">
            <w:pPr>
              <w:pStyle w:val="ListParagraph"/>
              <w:numPr>
                <w:ilvl w:val="0"/>
                <w:numId w:val="14"/>
              </w:numPr>
              <w:spacing w:line="276" w:lineRule="auto"/>
              <w:jc w:val="both"/>
              <w:rPr>
                <w:b/>
                <w:i/>
                <w:lang w:val="hy-AM"/>
              </w:rPr>
            </w:pPr>
            <w:r w:rsidRPr="0053423A">
              <w:rPr>
                <w:b/>
                <w:i/>
                <w:lang w:val="hy-AM"/>
              </w:rPr>
              <w:t>Միջոցառման իրակացման անհրաժեշտությունը և նպատակը</w:t>
            </w:r>
          </w:p>
          <w:p w:rsidR="006B0618" w:rsidRPr="0053423A" w:rsidRDefault="00232EB0" w:rsidP="00A67858">
            <w:pPr>
              <w:spacing w:line="276" w:lineRule="auto"/>
              <w:ind w:firstLine="374"/>
              <w:jc w:val="both"/>
              <w:rPr>
                <w:rFonts w:cs="GHEA Grapalat"/>
                <w:lang w:val="hy-AM"/>
              </w:rPr>
            </w:pPr>
            <w:r w:rsidRPr="0053423A">
              <w:rPr>
                <w:rFonts w:cs="GHEA Grapalat"/>
                <w:lang w:val="hy-AM"/>
              </w:rPr>
              <w:t>Միջո</w:t>
            </w:r>
            <w:r w:rsidR="006B0618" w:rsidRPr="0053423A">
              <w:rPr>
                <w:rFonts w:cs="GHEA Grapalat"/>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 Հողային ռեսուրսների արդյունավետ կառավարում, հողերի աղտոտման և դեգրադացման կանխարգելմանն ու նվազմանն ուղղված քաղաքականության մշակում և իրականացում ուղղությունը:</w:t>
            </w:r>
          </w:p>
          <w:p w:rsidR="006B0618" w:rsidRPr="0053423A" w:rsidRDefault="006B0618" w:rsidP="00A67858">
            <w:pPr>
              <w:spacing w:line="276" w:lineRule="auto"/>
              <w:ind w:firstLine="374"/>
              <w:jc w:val="both"/>
              <w:rPr>
                <w:lang w:val="hy-AM"/>
              </w:rPr>
            </w:pPr>
            <w:r w:rsidRPr="0053423A">
              <w:rPr>
                <w:rFonts w:cs="GHEA Grapalat"/>
                <w:lang w:val="hy-AM"/>
              </w:rPr>
              <w:t>ՀՀ բնության հատուկ պահպանվող տարածքներում և անտառային հողերում սողանքային և սողանքավտանգ տեղամասերի գույքագրման իրականացման</w:t>
            </w:r>
            <w:r w:rsidRPr="0053423A">
              <w:rPr>
                <w:rFonts w:cs="GHEA Grapalat"/>
                <w:lang w:val="it-IT"/>
              </w:rPr>
              <w:t xml:space="preserve"> </w:t>
            </w:r>
            <w:r w:rsidRPr="0053423A">
              <w:rPr>
                <w:rFonts w:cs="GHEA Grapalat"/>
                <w:lang w:val="hy-AM"/>
              </w:rPr>
              <w:t>անհրաժեշտությունը</w:t>
            </w:r>
            <w:r w:rsidRPr="0053423A">
              <w:rPr>
                <w:rFonts w:cs="GHEA Grapalat"/>
                <w:lang w:val="it-IT"/>
              </w:rPr>
              <w:t xml:space="preserve"> </w:t>
            </w:r>
            <w:r w:rsidRPr="0053423A">
              <w:rPr>
                <w:rFonts w:cs="GHEA Grapalat"/>
                <w:lang w:val="hy-AM"/>
              </w:rPr>
              <w:t>ամրագրված</w:t>
            </w:r>
            <w:r w:rsidRPr="0053423A">
              <w:rPr>
                <w:rFonts w:cs="GHEA Grapalat"/>
                <w:lang w:val="it-IT"/>
              </w:rPr>
              <w:t xml:space="preserve"> </w:t>
            </w:r>
            <w:r w:rsidRPr="0053423A">
              <w:rPr>
                <w:rFonts w:cs="GHEA Grapalat"/>
                <w:lang w:val="hy-AM"/>
              </w:rPr>
              <w:t>է</w:t>
            </w:r>
            <w:r w:rsidRPr="0053423A">
              <w:rPr>
                <w:rFonts w:cs="GHEA Grapalat"/>
                <w:lang w:val="it-IT"/>
              </w:rPr>
              <w:t xml:space="preserve"> </w:t>
            </w:r>
            <w:r w:rsidRPr="0053423A">
              <w:rPr>
                <w:rFonts w:cs="GHEA Grapalat"/>
                <w:lang w:val="hy-AM"/>
              </w:rPr>
              <w:t>Կառավարության</w:t>
            </w:r>
            <w:r w:rsidRPr="0053423A">
              <w:rPr>
                <w:rFonts w:cs="GHEA Grapalat"/>
                <w:lang w:val="it-IT"/>
              </w:rPr>
              <w:t xml:space="preserve"> 08.02.2019</w:t>
            </w:r>
            <w:r w:rsidRPr="0053423A">
              <w:rPr>
                <w:rFonts w:cs="GHEA Grapalat"/>
                <w:lang w:val="hy-AM"/>
              </w:rPr>
              <w:t>թ</w:t>
            </w:r>
            <w:r w:rsidRPr="0053423A">
              <w:rPr>
                <w:rFonts w:cs="GHEA Grapalat"/>
                <w:lang w:val="it-IT"/>
              </w:rPr>
              <w:t xml:space="preserve">.-ի N65-Ա որոշման 4.8 գլխում՝ որպես </w:t>
            </w:r>
            <w:r w:rsidRPr="0053423A">
              <w:rPr>
                <w:rFonts w:cs="Sylfaen"/>
                <w:lang w:val="hy-AM"/>
              </w:rPr>
              <w:t>շրջակա</w:t>
            </w:r>
            <w:r w:rsidRPr="0053423A">
              <w:rPr>
                <w:lang w:val="it-IT"/>
              </w:rPr>
              <w:t xml:space="preserve"> </w:t>
            </w:r>
            <w:r w:rsidRPr="0053423A">
              <w:rPr>
                <w:rFonts w:cs="Sylfaen"/>
                <w:lang w:val="hy-AM"/>
              </w:rPr>
              <w:t>միջավայրի</w:t>
            </w:r>
            <w:r w:rsidRPr="0053423A">
              <w:rPr>
                <w:lang w:val="it-IT"/>
              </w:rPr>
              <w:t xml:space="preserve"> </w:t>
            </w:r>
            <w:r w:rsidRPr="0053423A">
              <w:rPr>
                <w:rFonts w:cs="Sylfaen"/>
                <w:lang w:val="hy-AM"/>
              </w:rPr>
              <w:t>կառավարման</w:t>
            </w:r>
            <w:r w:rsidRPr="0053423A">
              <w:rPr>
                <w:lang w:val="it-IT"/>
              </w:rPr>
              <w:t xml:space="preserve"> </w:t>
            </w:r>
            <w:r w:rsidRPr="0053423A">
              <w:rPr>
                <w:rFonts w:cs="Sylfaen"/>
                <w:lang w:val="hy-AM"/>
              </w:rPr>
              <w:t>առաջնահերթ</w:t>
            </w:r>
            <w:r w:rsidRPr="0053423A">
              <w:rPr>
                <w:lang w:val="it-IT"/>
              </w:rPr>
              <w:t xml:space="preserve"> </w:t>
            </w:r>
            <w:r w:rsidRPr="0053423A">
              <w:rPr>
                <w:rFonts w:cs="Sylfaen"/>
                <w:lang w:val="hy-AM"/>
              </w:rPr>
              <w:t>ուղղություն</w:t>
            </w:r>
            <w:r w:rsidRPr="0053423A">
              <w:rPr>
                <w:rFonts w:cs="Sylfaen"/>
                <w:lang w:val="it-IT"/>
              </w:rPr>
              <w:t xml:space="preserve">, ինչպես նաև </w:t>
            </w:r>
            <w:r w:rsidRPr="0053423A">
              <w:rPr>
                <w:rFonts w:cs="Sylfaen"/>
                <w:lang w:val="hy-AM"/>
              </w:rPr>
              <w:t>Կառավարության 22.03.2018թ.-ի N 11 արձանագրային որոշմամբ հաստատված շրջակա</w:t>
            </w:r>
            <w:r w:rsidRPr="0053423A">
              <w:rPr>
                <w:rFonts w:cs="Arial Armenian"/>
                <w:lang w:val="hy-AM"/>
              </w:rPr>
              <w:t xml:space="preserve"> </w:t>
            </w:r>
            <w:r w:rsidRPr="0053423A">
              <w:rPr>
                <w:rFonts w:cs="Sylfaen"/>
                <w:lang w:val="hy-AM"/>
              </w:rPr>
              <w:t>միջավայրի</w:t>
            </w:r>
            <w:r w:rsidRPr="0053423A">
              <w:rPr>
                <w:rFonts w:cs="Arial Armenian"/>
                <w:lang w:val="hy-AM"/>
              </w:rPr>
              <w:t xml:space="preserve"> </w:t>
            </w:r>
            <w:r w:rsidRPr="0053423A">
              <w:rPr>
                <w:rFonts w:cs="Sylfaen"/>
                <w:lang w:val="hy-AM"/>
              </w:rPr>
              <w:t>պահպանության</w:t>
            </w:r>
            <w:r w:rsidRPr="0053423A">
              <w:rPr>
                <w:rFonts w:cs="Arial Armenian"/>
                <w:lang w:val="hy-AM"/>
              </w:rPr>
              <w:t xml:space="preserve"> </w:t>
            </w:r>
            <w:r w:rsidRPr="0053423A">
              <w:rPr>
                <w:rFonts w:cs="Sylfaen"/>
                <w:lang w:val="hy-AM"/>
              </w:rPr>
              <w:t>և</w:t>
            </w:r>
            <w:r w:rsidRPr="0053423A">
              <w:rPr>
                <w:rFonts w:cs="Arial Armenian"/>
                <w:lang w:val="hy-AM"/>
              </w:rPr>
              <w:t xml:space="preserve"> </w:t>
            </w:r>
            <w:r w:rsidRPr="0053423A">
              <w:rPr>
                <w:rFonts w:cs="Sylfaen"/>
                <w:lang w:val="hy-AM"/>
              </w:rPr>
              <w:t>բնական</w:t>
            </w:r>
            <w:r w:rsidRPr="0053423A">
              <w:rPr>
                <w:rFonts w:cs="Arial Armenian"/>
                <w:lang w:val="hy-AM"/>
              </w:rPr>
              <w:t xml:space="preserve"> </w:t>
            </w:r>
            <w:r w:rsidRPr="0053423A">
              <w:rPr>
                <w:rFonts w:cs="Sylfaen"/>
                <w:lang w:val="hy-AM"/>
              </w:rPr>
              <w:t>ռեսուրսների</w:t>
            </w:r>
            <w:r w:rsidRPr="0053423A">
              <w:rPr>
                <w:rFonts w:cs="Arial Armenian"/>
                <w:lang w:val="hy-AM"/>
              </w:rPr>
              <w:t xml:space="preserve"> </w:t>
            </w:r>
            <w:r w:rsidRPr="0053423A">
              <w:rPr>
                <w:rFonts w:cs="Sylfaen"/>
                <w:lang w:val="hy-AM"/>
              </w:rPr>
              <w:t>օգտագործման</w:t>
            </w:r>
            <w:r w:rsidRPr="0053423A">
              <w:rPr>
                <w:rFonts w:cs="Arial Armenian"/>
                <w:lang w:val="hy-AM"/>
              </w:rPr>
              <w:t xml:space="preserve"> </w:t>
            </w:r>
            <w:r w:rsidRPr="0053423A">
              <w:rPr>
                <w:rFonts w:cs="Sylfaen"/>
                <w:lang w:val="hy-AM"/>
              </w:rPr>
              <w:t>կառավարման</w:t>
            </w:r>
            <w:r w:rsidRPr="0053423A">
              <w:rPr>
                <w:rFonts w:cs="Arial Armenian"/>
                <w:lang w:val="hy-AM"/>
              </w:rPr>
              <w:t xml:space="preserve"> </w:t>
            </w:r>
            <w:r w:rsidRPr="0053423A">
              <w:rPr>
                <w:rFonts w:cs="Sylfaen"/>
                <w:bCs/>
                <w:spacing w:val="-8"/>
                <w:lang w:val="hy-AM"/>
              </w:rPr>
              <w:t>միջոցառումների</w:t>
            </w:r>
            <w:r w:rsidRPr="0053423A">
              <w:rPr>
                <w:rFonts w:cs="Tahoma"/>
                <w:bCs/>
                <w:spacing w:val="-8"/>
                <w:lang w:val="hy-AM"/>
              </w:rPr>
              <w:t xml:space="preserve"> 2018-2022 </w:t>
            </w:r>
            <w:r w:rsidRPr="0053423A">
              <w:rPr>
                <w:rFonts w:cs="Sylfaen"/>
                <w:bCs/>
                <w:spacing w:val="-8"/>
                <w:lang w:val="hy-AM"/>
              </w:rPr>
              <w:t>թվականների</w:t>
            </w:r>
            <w:r w:rsidRPr="0053423A">
              <w:rPr>
                <w:rFonts w:cs="Tahoma"/>
                <w:bCs/>
                <w:spacing w:val="-8"/>
                <w:lang w:val="hy-AM"/>
              </w:rPr>
              <w:t xml:space="preserve"> </w:t>
            </w:r>
            <w:r w:rsidRPr="0053423A">
              <w:rPr>
                <w:rFonts w:cs="Sylfaen"/>
                <w:bCs/>
                <w:spacing w:val="-8"/>
                <w:lang w:val="hy-AM"/>
              </w:rPr>
              <w:t>ծրագրում</w:t>
            </w:r>
            <w:r w:rsidRPr="0053423A">
              <w:rPr>
                <w:rFonts w:cs="Sylfaen"/>
                <w:bCs/>
                <w:spacing w:val="-8"/>
                <w:lang w:val="it-IT"/>
              </w:rPr>
              <w:t xml:space="preserve">, </w:t>
            </w:r>
            <w:r w:rsidRPr="0053423A">
              <w:rPr>
                <w:lang w:val="hy-AM"/>
              </w:rPr>
              <w:t xml:space="preserve">ՀՀ կառավարության 2013թ.-ի </w:t>
            </w:r>
            <w:r w:rsidRPr="0053423A">
              <w:rPr>
                <w:spacing w:val="-4"/>
                <w:lang w:val="hy-AM"/>
              </w:rPr>
              <w:t xml:space="preserve">հուլիսի  10-ի  նիստի  N 27 </w:t>
            </w:r>
            <w:r w:rsidRPr="0053423A">
              <w:rPr>
                <w:lang w:val="hy-AM"/>
              </w:rPr>
              <w:t>արձանագրային  որոշման հավելվածով հաստատված ՀՀ սողանքային աղետի կառավարման հայեցակարգում:</w:t>
            </w:r>
          </w:p>
          <w:p w:rsidR="006B0618" w:rsidRPr="0053423A" w:rsidRDefault="006B0618" w:rsidP="00A67858">
            <w:pPr>
              <w:spacing w:line="276" w:lineRule="auto"/>
              <w:ind w:firstLine="374"/>
              <w:jc w:val="both"/>
              <w:rPr>
                <w:lang w:val="hy-AM"/>
              </w:rPr>
            </w:pPr>
            <w:r w:rsidRPr="0053423A">
              <w:rPr>
                <w:lang w:val="hy-AM"/>
              </w:rPr>
              <w:t>Միջոցառման իրականացման նպատակն է բնության հատուկ պահպանվող և անտառային տարածքներում բնապահպանական աղետի աղբյուր հանդիսացող սողանքային և սողանքավտանգ տեղամասերի կադաստրի ստեղծումը:</w:t>
            </w:r>
          </w:p>
          <w:p w:rsidR="006B0618" w:rsidRPr="0053423A" w:rsidRDefault="006B0618" w:rsidP="00A67858">
            <w:pPr>
              <w:spacing w:line="276" w:lineRule="auto"/>
              <w:ind w:firstLine="375"/>
              <w:rPr>
                <w:b/>
                <w:lang w:val="hy-AM"/>
              </w:rPr>
            </w:pPr>
          </w:p>
          <w:p w:rsidR="006B0618" w:rsidRPr="0053423A" w:rsidRDefault="006B0618" w:rsidP="00A67858">
            <w:pPr>
              <w:spacing w:line="276" w:lineRule="auto"/>
              <w:ind w:firstLine="375"/>
              <w:rPr>
                <w:lang w:val="hy-AM"/>
              </w:rPr>
            </w:pPr>
            <w:r w:rsidRPr="0053423A">
              <w:rPr>
                <w:b/>
                <w:lang w:val="hy-AM"/>
              </w:rPr>
              <w:t>1.1. Կարգավորման հարաբերությունների ներկա վիճակը և առկա խնդիրները</w:t>
            </w:r>
            <w:r w:rsidRPr="0053423A">
              <w:rPr>
                <w:lang w:val="hy-AM"/>
              </w:rPr>
              <w:t xml:space="preserve"> </w:t>
            </w:r>
          </w:p>
          <w:p w:rsidR="006B0618" w:rsidRPr="0053423A" w:rsidRDefault="006B0618" w:rsidP="00A67858">
            <w:pPr>
              <w:spacing w:line="276" w:lineRule="auto"/>
              <w:ind w:firstLine="720"/>
              <w:jc w:val="both"/>
              <w:rPr>
                <w:rFonts w:cs="Sylfaen"/>
                <w:lang w:val="it-IT"/>
              </w:rPr>
            </w:pPr>
            <w:r w:rsidRPr="0053423A">
              <w:rPr>
                <w:lang w:val="hy-AM"/>
              </w:rPr>
              <w:t>ՀՀ</w:t>
            </w:r>
            <w:r w:rsidRPr="0053423A">
              <w:rPr>
                <w:lang w:val="it-IT"/>
              </w:rPr>
              <w:t xml:space="preserve"> </w:t>
            </w:r>
            <w:r w:rsidRPr="0053423A">
              <w:rPr>
                <w:lang w:val="hy-AM"/>
              </w:rPr>
              <w:t>կառավարության</w:t>
            </w:r>
            <w:r w:rsidRPr="0053423A">
              <w:rPr>
                <w:lang w:val="it-IT"/>
              </w:rPr>
              <w:t xml:space="preserve"> 2013</w:t>
            </w:r>
            <w:r w:rsidRPr="0053423A">
              <w:rPr>
                <w:lang w:val="hy-AM"/>
              </w:rPr>
              <w:t>թ</w:t>
            </w:r>
            <w:r w:rsidRPr="0053423A">
              <w:rPr>
                <w:lang w:val="it-IT"/>
              </w:rPr>
              <w:t>.-</w:t>
            </w:r>
            <w:r w:rsidRPr="0053423A">
              <w:rPr>
                <w:lang w:val="hy-AM"/>
              </w:rPr>
              <w:t>ի</w:t>
            </w:r>
            <w:r w:rsidRPr="0053423A">
              <w:rPr>
                <w:lang w:val="it-IT"/>
              </w:rPr>
              <w:t xml:space="preserve"> </w:t>
            </w:r>
            <w:r w:rsidRPr="0053423A">
              <w:rPr>
                <w:spacing w:val="-4"/>
                <w:lang w:val="hy-AM"/>
              </w:rPr>
              <w:t>հուլիսի</w:t>
            </w:r>
            <w:r w:rsidRPr="0053423A">
              <w:rPr>
                <w:spacing w:val="-4"/>
                <w:lang w:val="it-IT"/>
              </w:rPr>
              <w:t xml:space="preserve">  10-</w:t>
            </w:r>
            <w:r w:rsidRPr="0053423A">
              <w:rPr>
                <w:spacing w:val="-4"/>
                <w:lang w:val="hy-AM"/>
              </w:rPr>
              <w:t>ի</w:t>
            </w:r>
            <w:r w:rsidRPr="0053423A">
              <w:rPr>
                <w:spacing w:val="-4"/>
                <w:lang w:val="it-IT"/>
              </w:rPr>
              <w:t xml:space="preserve">  </w:t>
            </w:r>
            <w:r w:rsidRPr="0053423A">
              <w:rPr>
                <w:spacing w:val="-4"/>
                <w:lang w:val="hy-AM"/>
              </w:rPr>
              <w:t>նիստի</w:t>
            </w:r>
            <w:r w:rsidRPr="0053423A">
              <w:rPr>
                <w:spacing w:val="-4"/>
                <w:lang w:val="it-IT"/>
              </w:rPr>
              <w:t xml:space="preserve">  N 27 </w:t>
            </w:r>
            <w:r w:rsidRPr="0053423A">
              <w:rPr>
                <w:lang w:val="hy-AM"/>
              </w:rPr>
              <w:t>արձանագրային</w:t>
            </w:r>
            <w:r w:rsidRPr="0053423A">
              <w:rPr>
                <w:lang w:val="it-IT"/>
              </w:rPr>
              <w:t xml:space="preserve">  </w:t>
            </w:r>
            <w:r w:rsidRPr="0053423A">
              <w:rPr>
                <w:lang w:val="hy-AM"/>
              </w:rPr>
              <w:t>որոշման</w:t>
            </w:r>
            <w:r w:rsidRPr="0053423A">
              <w:rPr>
                <w:lang w:val="it-IT"/>
              </w:rPr>
              <w:t xml:space="preserve"> </w:t>
            </w:r>
            <w:r w:rsidRPr="0053423A">
              <w:rPr>
                <w:lang w:val="hy-AM"/>
              </w:rPr>
              <w:t>հավելվածով</w:t>
            </w:r>
            <w:r w:rsidRPr="0053423A">
              <w:rPr>
                <w:lang w:val="it-IT"/>
              </w:rPr>
              <w:t xml:space="preserve"> </w:t>
            </w:r>
            <w:r w:rsidRPr="0053423A">
              <w:rPr>
                <w:lang w:val="hy-AM"/>
              </w:rPr>
              <w:t>հաստատվել</w:t>
            </w:r>
            <w:r w:rsidRPr="0053423A">
              <w:rPr>
                <w:lang w:val="it-IT"/>
              </w:rPr>
              <w:t xml:space="preserve"> </w:t>
            </w:r>
            <w:r w:rsidRPr="0053423A">
              <w:rPr>
                <w:lang w:val="hy-AM"/>
              </w:rPr>
              <w:t>է</w:t>
            </w:r>
            <w:r w:rsidRPr="0053423A">
              <w:rPr>
                <w:lang w:val="it-IT"/>
              </w:rPr>
              <w:t xml:space="preserve"> </w:t>
            </w:r>
            <w:r w:rsidRPr="0053423A">
              <w:rPr>
                <w:lang w:val="hy-AM"/>
              </w:rPr>
              <w:t>ՀՀ</w:t>
            </w:r>
            <w:r w:rsidRPr="0053423A">
              <w:rPr>
                <w:lang w:val="it-IT"/>
              </w:rPr>
              <w:t xml:space="preserve"> </w:t>
            </w:r>
            <w:r w:rsidRPr="0053423A">
              <w:rPr>
                <w:lang w:val="hy-AM"/>
              </w:rPr>
              <w:t>սողանքային</w:t>
            </w:r>
            <w:r w:rsidRPr="0053423A">
              <w:rPr>
                <w:lang w:val="it-IT"/>
              </w:rPr>
              <w:t xml:space="preserve"> </w:t>
            </w:r>
            <w:r w:rsidRPr="0053423A">
              <w:rPr>
                <w:lang w:val="hy-AM"/>
              </w:rPr>
              <w:t>աղետի</w:t>
            </w:r>
            <w:r w:rsidRPr="0053423A">
              <w:rPr>
                <w:lang w:val="it-IT"/>
              </w:rPr>
              <w:t xml:space="preserve"> </w:t>
            </w:r>
            <w:r w:rsidRPr="0053423A">
              <w:rPr>
                <w:lang w:val="hy-AM"/>
              </w:rPr>
              <w:t>կառավարման</w:t>
            </w:r>
            <w:r w:rsidRPr="0053423A">
              <w:rPr>
                <w:lang w:val="it-IT"/>
              </w:rPr>
              <w:t xml:space="preserve"> </w:t>
            </w:r>
            <w:r w:rsidRPr="0053423A">
              <w:rPr>
                <w:lang w:val="hy-AM"/>
              </w:rPr>
              <w:t>հայեցակարգը</w:t>
            </w:r>
            <w:r w:rsidRPr="0053423A">
              <w:rPr>
                <w:lang w:val="it-IT"/>
              </w:rPr>
              <w:t xml:space="preserve">, </w:t>
            </w:r>
            <w:r w:rsidRPr="0053423A">
              <w:rPr>
                <w:lang w:val="hy-AM"/>
              </w:rPr>
              <w:t>որի</w:t>
            </w:r>
            <w:r w:rsidRPr="0053423A">
              <w:rPr>
                <w:lang w:val="it-IT"/>
              </w:rPr>
              <w:t xml:space="preserve"> VIII-</w:t>
            </w:r>
            <w:r w:rsidRPr="0053423A">
              <w:rPr>
                <w:lang w:val="hy-AM"/>
              </w:rPr>
              <w:t>րդ</w:t>
            </w:r>
            <w:r w:rsidRPr="0053423A">
              <w:rPr>
                <w:lang w:val="it-IT"/>
              </w:rPr>
              <w:t xml:space="preserve"> </w:t>
            </w:r>
            <w:r w:rsidRPr="0053423A">
              <w:rPr>
                <w:lang w:val="hy-AM"/>
              </w:rPr>
              <w:t>գլխի</w:t>
            </w:r>
            <w:r w:rsidRPr="0053423A">
              <w:rPr>
                <w:lang w:val="it-IT"/>
              </w:rPr>
              <w:t xml:space="preserve"> 35-</w:t>
            </w:r>
            <w:r w:rsidRPr="0053423A">
              <w:rPr>
                <w:lang w:val="hy-AM"/>
              </w:rPr>
              <w:t>րդ</w:t>
            </w:r>
            <w:r w:rsidRPr="0053423A">
              <w:rPr>
                <w:lang w:val="it-IT"/>
              </w:rPr>
              <w:t xml:space="preserve"> </w:t>
            </w:r>
            <w:r w:rsidRPr="0053423A">
              <w:rPr>
                <w:lang w:val="hy-AM"/>
              </w:rPr>
              <w:t>կետի</w:t>
            </w:r>
            <w:r w:rsidRPr="0053423A">
              <w:rPr>
                <w:lang w:val="it-IT"/>
              </w:rPr>
              <w:t xml:space="preserve"> 7)-</w:t>
            </w:r>
            <w:r w:rsidRPr="0053423A">
              <w:rPr>
                <w:lang w:val="hy-AM"/>
              </w:rPr>
              <w:t>րդ</w:t>
            </w:r>
            <w:r w:rsidRPr="0053423A">
              <w:rPr>
                <w:lang w:val="it-IT"/>
              </w:rPr>
              <w:t xml:space="preserve"> </w:t>
            </w:r>
            <w:r w:rsidRPr="0053423A">
              <w:rPr>
                <w:lang w:val="hy-AM"/>
              </w:rPr>
              <w:t>ենթակետի</w:t>
            </w:r>
            <w:r w:rsidRPr="0053423A">
              <w:rPr>
                <w:lang w:val="it-IT"/>
              </w:rPr>
              <w:t xml:space="preserve"> </w:t>
            </w:r>
            <w:r w:rsidRPr="0053423A">
              <w:rPr>
                <w:lang w:val="hy-AM"/>
              </w:rPr>
              <w:t>և</w:t>
            </w:r>
            <w:r w:rsidRPr="0053423A">
              <w:rPr>
                <w:lang w:val="it-IT"/>
              </w:rPr>
              <w:t xml:space="preserve"> </w:t>
            </w:r>
            <w:r w:rsidRPr="0053423A">
              <w:rPr>
                <w:lang w:val="hy-AM"/>
              </w:rPr>
              <w:t>ՀՀ</w:t>
            </w:r>
            <w:r w:rsidRPr="0053423A">
              <w:rPr>
                <w:lang w:val="it-IT"/>
              </w:rPr>
              <w:t xml:space="preserve"> </w:t>
            </w:r>
            <w:r w:rsidRPr="0053423A">
              <w:rPr>
                <w:lang w:val="hy-AM"/>
              </w:rPr>
              <w:t>կառավարության</w:t>
            </w:r>
            <w:r w:rsidRPr="0053423A">
              <w:rPr>
                <w:lang w:val="it-IT"/>
              </w:rPr>
              <w:t xml:space="preserve"> 2017 </w:t>
            </w:r>
            <w:r w:rsidRPr="0053423A">
              <w:rPr>
                <w:lang w:val="hy-AM"/>
              </w:rPr>
              <w:t>թվականի</w:t>
            </w:r>
            <w:r w:rsidRPr="0053423A">
              <w:rPr>
                <w:lang w:val="it-IT"/>
              </w:rPr>
              <w:t xml:space="preserve"> </w:t>
            </w:r>
            <w:r w:rsidRPr="0053423A">
              <w:rPr>
                <w:lang w:val="hy-AM"/>
              </w:rPr>
              <w:t>մայիսի</w:t>
            </w:r>
            <w:r w:rsidRPr="0053423A">
              <w:rPr>
                <w:lang w:val="it-IT"/>
              </w:rPr>
              <w:t xml:space="preserve"> 25-</w:t>
            </w:r>
            <w:r w:rsidRPr="0053423A">
              <w:rPr>
                <w:lang w:val="hy-AM"/>
              </w:rPr>
              <w:t>ի</w:t>
            </w:r>
            <w:r w:rsidRPr="0053423A">
              <w:rPr>
                <w:lang w:val="it-IT"/>
              </w:rPr>
              <w:t xml:space="preserve"> </w:t>
            </w:r>
            <w:r w:rsidRPr="0053423A">
              <w:rPr>
                <w:lang w:val="hy-AM"/>
              </w:rPr>
              <w:t>նիստի</w:t>
            </w:r>
            <w:r w:rsidRPr="0053423A">
              <w:rPr>
                <w:lang w:val="it-IT"/>
              </w:rPr>
              <w:t xml:space="preserve"> N 22 </w:t>
            </w:r>
            <w:r w:rsidRPr="0053423A">
              <w:rPr>
                <w:lang w:val="hy-AM"/>
              </w:rPr>
              <w:t>արձանագրային</w:t>
            </w:r>
            <w:r w:rsidRPr="0053423A">
              <w:rPr>
                <w:lang w:val="it-IT"/>
              </w:rPr>
              <w:t xml:space="preserve"> </w:t>
            </w:r>
            <w:r w:rsidRPr="0053423A">
              <w:rPr>
                <w:lang w:val="hy-AM"/>
              </w:rPr>
              <w:t>որոշմամբ</w:t>
            </w:r>
            <w:r w:rsidRPr="0053423A">
              <w:rPr>
                <w:lang w:val="it-IT"/>
              </w:rPr>
              <w:t xml:space="preserve"> </w:t>
            </w:r>
            <w:r w:rsidRPr="0053423A">
              <w:rPr>
                <w:lang w:val="hy-AM"/>
              </w:rPr>
              <w:t>հավանության</w:t>
            </w:r>
            <w:r w:rsidRPr="0053423A">
              <w:rPr>
                <w:lang w:val="it-IT"/>
              </w:rPr>
              <w:t xml:space="preserve"> </w:t>
            </w:r>
            <w:r w:rsidRPr="0053423A">
              <w:rPr>
                <w:lang w:val="hy-AM"/>
              </w:rPr>
              <w:t>արժանացած</w:t>
            </w:r>
            <w:r w:rsidRPr="0053423A">
              <w:rPr>
                <w:lang w:val="it-IT"/>
              </w:rPr>
              <w:t xml:space="preserve"> </w:t>
            </w:r>
            <w:r w:rsidRPr="0053423A">
              <w:rPr>
                <w:lang w:val="hy-AM"/>
              </w:rPr>
              <w:t>սողանքային</w:t>
            </w:r>
            <w:r w:rsidRPr="0053423A">
              <w:rPr>
                <w:lang w:val="it-IT"/>
              </w:rPr>
              <w:t xml:space="preserve"> </w:t>
            </w:r>
            <w:r w:rsidRPr="0053423A">
              <w:rPr>
                <w:lang w:val="hy-AM"/>
              </w:rPr>
              <w:t>աղետի</w:t>
            </w:r>
            <w:r w:rsidRPr="0053423A">
              <w:rPr>
                <w:lang w:val="it-IT"/>
              </w:rPr>
              <w:t xml:space="preserve"> </w:t>
            </w:r>
            <w:r w:rsidRPr="0053423A">
              <w:rPr>
                <w:lang w:val="hy-AM"/>
              </w:rPr>
              <w:t>կառավարման</w:t>
            </w:r>
            <w:r w:rsidRPr="0053423A">
              <w:rPr>
                <w:lang w:val="it-IT"/>
              </w:rPr>
              <w:t xml:space="preserve"> </w:t>
            </w:r>
            <w:r w:rsidRPr="0053423A">
              <w:rPr>
                <w:lang w:val="hy-AM"/>
              </w:rPr>
              <w:t>պլանի</w:t>
            </w:r>
            <w:r w:rsidRPr="0053423A">
              <w:rPr>
                <w:lang w:val="it-IT"/>
              </w:rPr>
              <w:t xml:space="preserve"> </w:t>
            </w:r>
            <w:r w:rsidRPr="0053423A">
              <w:rPr>
                <w:lang w:val="hy-AM"/>
              </w:rPr>
              <w:t>հավելվածի</w:t>
            </w:r>
            <w:r w:rsidRPr="0053423A">
              <w:rPr>
                <w:lang w:val="it-IT"/>
              </w:rPr>
              <w:t xml:space="preserve"> 6-</w:t>
            </w:r>
            <w:r w:rsidRPr="0053423A">
              <w:rPr>
                <w:lang w:val="hy-AM"/>
              </w:rPr>
              <w:t>րդ</w:t>
            </w:r>
            <w:r w:rsidRPr="0053423A">
              <w:rPr>
                <w:lang w:val="it-IT"/>
              </w:rPr>
              <w:t xml:space="preserve"> </w:t>
            </w:r>
            <w:r w:rsidRPr="0053423A">
              <w:rPr>
                <w:lang w:val="hy-AM"/>
              </w:rPr>
              <w:t>կետի</w:t>
            </w:r>
            <w:r w:rsidRPr="0053423A">
              <w:rPr>
                <w:lang w:val="it-IT"/>
              </w:rPr>
              <w:t xml:space="preserve"> 5-</w:t>
            </w:r>
            <w:r w:rsidRPr="0053423A">
              <w:rPr>
                <w:lang w:val="hy-AM"/>
              </w:rPr>
              <w:t>րդ</w:t>
            </w:r>
            <w:r w:rsidRPr="0053423A">
              <w:rPr>
                <w:lang w:val="it-IT"/>
              </w:rPr>
              <w:t xml:space="preserve"> </w:t>
            </w:r>
            <w:r w:rsidRPr="0053423A">
              <w:rPr>
                <w:lang w:val="hy-AM"/>
              </w:rPr>
              <w:t>ենթակետի</w:t>
            </w:r>
            <w:r w:rsidRPr="0053423A">
              <w:rPr>
                <w:lang w:val="it-IT"/>
              </w:rPr>
              <w:t xml:space="preserve"> </w:t>
            </w:r>
            <w:r w:rsidRPr="0053423A">
              <w:rPr>
                <w:lang w:val="hy-AM"/>
              </w:rPr>
              <w:t>պահանջներին</w:t>
            </w:r>
            <w:r w:rsidRPr="0053423A">
              <w:rPr>
                <w:lang w:val="it-IT"/>
              </w:rPr>
              <w:t xml:space="preserve"> </w:t>
            </w:r>
            <w:r w:rsidRPr="0053423A">
              <w:rPr>
                <w:lang w:val="hy-AM"/>
              </w:rPr>
              <w:t>համաձայն</w:t>
            </w:r>
            <w:r w:rsidRPr="0053423A">
              <w:rPr>
                <w:lang w:val="it-IT"/>
              </w:rPr>
              <w:t xml:space="preserve"> </w:t>
            </w:r>
            <w:r w:rsidRPr="0053423A">
              <w:rPr>
                <w:color w:val="000000"/>
                <w:lang w:val="hy-AM"/>
              </w:rPr>
              <w:t xml:space="preserve">բնապահպանության </w:t>
            </w:r>
            <w:r w:rsidRPr="0053423A">
              <w:rPr>
                <w:rFonts w:cs="Sylfaen"/>
                <w:lang w:val="hy-AM"/>
              </w:rPr>
              <w:t>նախարարությունն</w:t>
            </w:r>
            <w:r w:rsidRPr="0053423A">
              <w:rPr>
                <w:rFonts w:cs="Sylfaen"/>
                <w:lang w:val="pt-PT"/>
              </w:rPr>
              <w:t xml:space="preserve"> </w:t>
            </w:r>
            <w:r w:rsidRPr="0053423A">
              <w:rPr>
                <w:rFonts w:cs="Sylfaen"/>
                <w:lang w:val="hy-AM"/>
              </w:rPr>
              <w:t>իրականացնում</w:t>
            </w:r>
            <w:r w:rsidRPr="0053423A">
              <w:rPr>
                <w:rFonts w:cs="Sylfaen"/>
                <w:lang w:val="pt-PT"/>
              </w:rPr>
              <w:t xml:space="preserve"> </w:t>
            </w:r>
            <w:r w:rsidRPr="0053423A">
              <w:rPr>
                <w:rFonts w:cs="Sylfaen"/>
                <w:lang w:val="hy-AM"/>
              </w:rPr>
              <w:t>է</w:t>
            </w:r>
            <w:r w:rsidRPr="0053423A">
              <w:rPr>
                <w:rFonts w:cs="Sylfaen"/>
                <w:lang w:val="pt-PT"/>
              </w:rPr>
              <w:t xml:space="preserve"> </w:t>
            </w:r>
            <w:r w:rsidRPr="0053423A">
              <w:rPr>
                <w:rFonts w:cs="Sylfaen"/>
                <w:lang w:val="hy-AM"/>
              </w:rPr>
              <w:t>բնության</w:t>
            </w:r>
            <w:r w:rsidRPr="0053423A">
              <w:rPr>
                <w:rFonts w:cs="Sylfaen"/>
                <w:lang w:val="pt-PT"/>
              </w:rPr>
              <w:t xml:space="preserve"> </w:t>
            </w:r>
            <w:r w:rsidRPr="0053423A">
              <w:rPr>
                <w:rFonts w:cs="Sylfaen"/>
                <w:lang w:val="hy-AM"/>
              </w:rPr>
              <w:t>հատուկ</w:t>
            </w:r>
            <w:r w:rsidRPr="0053423A">
              <w:rPr>
                <w:rFonts w:cs="Sylfaen"/>
                <w:lang w:val="pt-PT"/>
              </w:rPr>
              <w:t xml:space="preserve"> </w:t>
            </w:r>
            <w:r w:rsidRPr="0053423A">
              <w:rPr>
                <w:rFonts w:cs="Sylfaen"/>
                <w:lang w:val="hy-AM"/>
              </w:rPr>
              <w:t>պահպանվող</w:t>
            </w:r>
            <w:r w:rsidRPr="0053423A">
              <w:rPr>
                <w:rFonts w:cs="Sylfaen"/>
                <w:lang w:val="pt-PT"/>
              </w:rPr>
              <w:t xml:space="preserve"> </w:t>
            </w:r>
            <w:r w:rsidRPr="0053423A">
              <w:rPr>
                <w:rFonts w:cs="Sylfaen"/>
                <w:lang w:val="hy-AM"/>
              </w:rPr>
              <w:t>տարածքներին</w:t>
            </w:r>
            <w:r w:rsidRPr="0053423A">
              <w:rPr>
                <w:rFonts w:cs="Sylfaen"/>
                <w:lang w:val="pt-PT"/>
              </w:rPr>
              <w:t xml:space="preserve"> (բնության հուշարձան, արգելավայր, արգելոց) սպառնացող սողանքների </w:t>
            </w:r>
            <w:r w:rsidRPr="0053423A">
              <w:rPr>
                <w:rFonts w:cs="Sylfaen"/>
                <w:lang w:val="hy-AM"/>
              </w:rPr>
              <w:t>մոնիթորինգ</w:t>
            </w:r>
            <w:r w:rsidRPr="0053423A">
              <w:rPr>
                <w:rFonts w:cs="Sylfaen"/>
                <w:lang w:val="pt-PT"/>
              </w:rPr>
              <w:t>,</w:t>
            </w:r>
            <w:r w:rsidRPr="0053423A">
              <w:rPr>
                <w:rFonts w:cs="Sylfaen"/>
                <w:lang w:val="it-IT"/>
              </w:rPr>
              <w:t xml:space="preserve"> </w:t>
            </w:r>
            <w:r w:rsidRPr="0053423A">
              <w:rPr>
                <w:rFonts w:cs="Sylfaen"/>
                <w:lang w:val="hy-AM"/>
              </w:rPr>
              <w:t>գույքագրում</w:t>
            </w:r>
            <w:r w:rsidRPr="0053423A">
              <w:rPr>
                <w:rFonts w:cs="Sylfaen"/>
                <w:lang w:val="pt-PT"/>
              </w:rPr>
              <w:t xml:space="preserve"> </w:t>
            </w:r>
            <w:r w:rsidRPr="0053423A">
              <w:rPr>
                <w:rFonts w:cs="Sylfaen"/>
                <w:lang w:val="hy-AM"/>
              </w:rPr>
              <w:t>է</w:t>
            </w:r>
            <w:r w:rsidRPr="0053423A">
              <w:rPr>
                <w:rFonts w:cs="Sylfaen"/>
                <w:lang w:val="pt-PT"/>
              </w:rPr>
              <w:t xml:space="preserve"> </w:t>
            </w:r>
            <w:r w:rsidRPr="0053423A">
              <w:rPr>
                <w:rFonts w:cs="Sylfaen"/>
                <w:lang w:val="hy-AM"/>
              </w:rPr>
              <w:t>իր</w:t>
            </w:r>
            <w:r w:rsidRPr="0053423A">
              <w:rPr>
                <w:rFonts w:cs="Sylfaen"/>
                <w:lang w:val="pt-PT"/>
              </w:rPr>
              <w:t xml:space="preserve"> </w:t>
            </w:r>
            <w:r w:rsidRPr="0053423A">
              <w:rPr>
                <w:rFonts w:cs="Sylfaen"/>
                <w:lang w:val="hy-AM"/>
              </w:rPr>
              <w:t>ոլորտի</w:t>
            </w:r>
            <w:r w:rsidRPr="0053423A">
              <w:rPr>
                <w:rFonts w:cs="Sylfaen"/>
                <w:lang w:val="pt-PT"/>
              </w:rPr>
              <w:t xml:space="preserve"> </w:t>
            </w:r>
            <w:r w:rsidRPr="0053423A">
              <w:rPr>
                <w:rFonts w:cs="Sylfaen"/>
                <w:lang w:val="hy-AM"/>
              </w:rPr>
              <w:t>օբյեկտներին</w:t>
            </w:r>
            <w:r w:rsidRPr="0053423A">
              <w:rPr>
                <w:rFonts w:cs="Sylfaen"/>
                <w:lang w:val="pt-PT"/>
              </w:rPr>
              <w:t xml:space="preserve"> (</w:t>
            </w:r>
            <w:r w:rsidRPr="0053423A">
              <w:rPr>
                <w:rFonts w:cs="Sylfaen"/>
                <w:lang w:val="hy-AM"/>
              </w:rPr>
              <w:t>որպես</w:t>
            </w:r>
            <w:r w:rsidRPr="0053423A">
              <w:rPr>
                <w:rFonts w:cs="Sylfaen"/>
                <w:lang w:val="pt-PT"/>
              </w:rPr>
              <w:t xml:space="preserve"> </w:t>
            </w:r>
            <w:r w:rsidRPr="0053423A">
              <w:rPr>
                <w:rFonts w:cs="Sylfaen"/>
                <w:lang w:val="hy-AM"/>
              </w:rPr>
              <w:t>հնարավոր</w:t>
            </w:r>
            <w:r w:rsidRPr="0053423A">
              <w:rPr>
                <w:rFonts w:cs="Sylfaen"/>
                <w:lang w:val="pt-PT"/>
              </w:rPr>
              <w:t xml:space="preserve"> </w:t>
            </w:r>
            <w:r w:rsidRPr="0053423A">
              <w:rPr>
                <w:rFonts w:cs="Sylfaen"/>
                <w:lang w:val="hy-AM"/>
              </w:rPr>
              <w:t>բնապահպանական</w:t>
            </w:r>
            <w:r w:rsidRPr="0053423A">
              <w:rPr>
                <w:rFonts w:cs="Sylfaen"/>
                <w:lang w:val="pt-PT"/>
              </w:rPr>
              <w:t xml:space="preserve"> </w:t>
            </w:r>
            <w:r w:rsidRPr="0053423A">
              <w:rPr>
                <w:rFonts w:cs="Sylfaen"/>
                <w:lang w:val="hy-AM"/>
              </w:rPr>
              <w:t>աղետների</w:t>
            </w:r>
            <w:r w:rsidRPr="0053423A">
              <w:rPr>
                <w:rFonts w:cs="Sylfaen"/>
                <w:lang w:val="pt-PT"/>
              </w:rPr>
              <w:t xml:space="preserve"> </w:t>
            </w:r>
            <w:r w:rsidRPr="0053423A">
              <w:rPr>
                <w:rFonts w:cs="Sylfaen"/>
                <w:lang w:val="hy-AM"/>
              </w:rPr>
              <w:t>աղբյուր</w:t>
            </w:r>
            <w:r w:rsidRPr="0053423A">
              <w:rPr>
                <w:rFonts w:cs="Sylfaen"/>
                <w:lang w:val="pt-PT"/>
              </w:rPr>
              <w:t xml:space="preserve">) վտանգ սպառնացող սողանքների </w:t>
            </w:r>
            <w:r w:rsidRPr="0053423A">
              <w:rPr>
                <w:rFonts w:cs="Sylfaen"/>
                <w:lang w:val="hy-AM"/>
              </w:rPr>
              <w:t>տեղամասերը</w:t>
            </w:r>
            <w:r w:rsidRPr="0053423A">
              <w:rPr>
                <w:rFonts w:cs="Sylfaen"/>
                <w:lang w:val="pt-PT"/>
              </w:rPr>
              <w:t xml:space="preserve"> </w:t>
            </w:r>
            <w:r w:rsidRPr="0053423A">
              <w:rPr>
                <w:rFonts w:cs="Sylfaen"/>
                <w:lang w:val="hy-AM"/>
              </w:rPr>
              <w:t>և</w:t>
            </w:r>
            <w:r w:rsidRPr="0053423A">
              <w:rPr>
                <w:rFonts w:cs="Sylfaen"/>
                <w:lang w:val="pt-PT"/>
              </w:rPr>
              <w:t xml:space="preserve"> </w:t>
            </w:r>
            <w:r w:rsidRPr="0053423A">
              <w:rPr>
                <w:rFonts w:cs="Sylfaen"/>
                <w:lang w:val="hy-AM"/>
              </w:rPr>
              <w:t>պարբերաբար</w:t>
            </w:r>
            <w:r w:rsidRPr="0053423A">
              <w:rPr>
                <w:rFonts w:cs="Sylfaen"/>
                <w:lang w:val="pt-PT"/>
              </w:rPr>
              <w:t xml:space="preserve"> </w:t>
            </w:r>
            <w:r w:rsidRPr="0053423A">
              <w:rPr>
                <w:rFonts w:cs="Sylfaen"/>
                <w:lang w:val="hy-AM"/>
              </w:rPr>
              <w:t>թարմացնում</w:t>
            </w:r>
            <w:r w:rsidRPr="0053423A">
              <w:rPr>
                <w:rFonts w:cs="Sylfaen"/>
                <w:lang w:val="pt-PT"/>
              </w:rPr>
              <w:t xml:space="preserve"> </w:t>
            </w:r>
            <w:r w:rsidRPr="0053423A">
              <w:rPr>
                <w:rFonts w:cs="Sylfaen"/>
                <w:lang w:val="hy-AM"/>
              </w:rPr>
              <w:t>դրանց</w:t>
            </w:r>
            <w:r w:rsidRPr="0053423A">
              <w:rPr>
                <w:rFonts w:cs="Sylfaen"/>
                <w:lang w:val="pt-PT"/>
              </w:rPr>
              <w:t xml:space="preserve"> </w:t>
            </w:r>
            <w:r w:rsidRPr="0053423A">
              <w:rPr>
                <w:rFonts w:cs="Sylfaen"/>
                <w:lang w:val="hy-AM"/>
              </w:rPr>
              <w:t>ակտիվացումների</w:t>
            </w:r>
            <w:r w:rsidRPr="0053423A">
              <w:rPr>
                <w:rFonts w:cs="Sylfaen"/>
                <w:lang w:val="pt-PT"/>
              </w:rPr>
              <w:t xml:space="preserve"> </w:t>
            </w:r>
            <w:r w:rsidRPr="0053423A">
              <w:rPr>
                <w:rFonts w:cs="Sylfaen"/>
                <w:lang w:val="hy-AM"/>
              </w:rPr>
              <w:t>մասին</w:t>
            </w:r>
            <w:r w:rsidRPr="0053423A">
              <w:rPr>
                <w:rFonts w:cs="Sylfaen"/>
                <w:lang w:val="pt-PT"/>
              </w:rPr>
              <w:t xml:space="preserve"> </w:t>
            </w:r>
            <w:r w:rsidRPr="0053423A">
              <w:rPr>
                <w:rFonts w:cs="Sylfaen"/>
                <w:lang w:val="hy-AM"/>
              </w:rPr>
              <w:t>տեղեկատվական</w:t>
            </w:r>
            <w:r w:rsidRPr="0053423A">
              <w:rPr>
                <w:rFonts w:cs="Sylfaen"/>
                <w:lang w:val="pt-PT"/>
              </w:rPr>
              <w:t xml:space="preserve"> </w:t>
            </w:r>
            <w:r w:rsidRPr="0053423A">
              <w:rPr>
                <w:rFonts w:cs="Sylfaen"/>
                <w:lang w:val="hy-AM"/>
              </w:rPr>
              <w:t>բազան</w:t>
            </w:r>
            <w:r w:rsidRPr="0053423A">
              <w:rPr>
                <w:rFonts w:cs="Sylfaen"/>
                <w:lang w:val="it-IT"/>
              </w:rPr>
              <w:t>: Սողանքային մարմինների վերաբերյալ համակարգված տեղեկատվության բացակայությունը բացասաբար է անդրառադնում բնության հատուկ պահպանվող տարածքների արդյունավետ կառավարման, էկոլոգիական աղետների կանխալգելման նախադրայլների ստեղծման վրա:</w:t>
            </w:r>
          </w:p>
          <w:p w:rsidR="006B0618" w:rsidRPr="0053423A" w:rsidRDefault="006B0618" w:rsidP="00A67858">
            <w:pPr>
              <w:spacing w:line="276" w:lineRule="auto"/>
              <w:ind w:firstLine="374"/>
              <w:jc w:val="both"/>
              <w:rPr>
                <w:rFonts w:cs="Sylfaen"/>
                <w:kern w:val="16"/>
                <w:lang w:val="it-IT"/>
              </w:rPr>
            </w:pPr>
            <w:r w:rsidRPr="0053423A">
              <w:rPr>
                <w:rFonts w:cs="Sylfaen"/>
                <w:lang w:val="it-IT"/>
              </w:rPr>
              <w:t xml:space="preserve">Գույքագրման աշխատանքների առաջին փուլի՝ </w:t>
            </w:r>
            <w:r w:rsidRPr="0053423A">
              <w:rPr>
                <w:kern w:val="16"/>
                <w:lang w:val="hy-AM"/>
              </w:rPr>
              <w:t xml:space="preserve">ֆոնդային և հրատարակված նյութերի </w:t>
            </w:r>
            <w:r w:rsidRPr="0053423A">
              <w:rPr>
                <w:kern w:val="16"/>
              </w:rPr>
              <w:t>վերլուծության</w:t>
            </w:r>
            <w:r w:rsidRPr="0053423A">
              <w:rPr>
                <w:kern w:val="16"/>
                <w:lang w:val="hy-AM"/>
              </w:rPr>
              <w:t>, դաշտային ուսումնասիրություններ</w:t>
            </w:r>
            <w:r w:rsidRPr="0053423A">
              <w:rPr>
                <w:kern w:val="16"/>
              </w:rPr>
              <w:t>ի</w:t>
            </w:r>
            <w:r w:rsidRPr="0053423A">
              <w:rPr>
                <w:kern w:val="16"/>
                <w:lang w:val="it-IT"/>
              </w:rPr>
              <w:t xml:space="preserve">, առաջնային տեղեկատվական փաթեթի կազմման համար լրացուցիչ ֆինանսավորում չի պահանջվում: </w:t>
            </w:r>
            <w:r w:rsidRPr="0053423A">
              <w:rPr>
                <w:rFonts w:cs="Sylfaen"/>
                <w:kern w:val="16"/>
                <w:lang w:val="hy-AM"/>
              </w:rPr>
              <w:t xml:space="preserve">Դրանք իրականացվում են </w:t>
            </w:r>
            <w:r w:rsidRPr="0053423A">
              <w:rPr>
                <w:color w:val="000000"/>
              </w:rPr>
              <w:t>բնապահպանության</w:t>
            </w:r>
            <w:r w:rsidRPr="0053423A">
              <w:rPr>
                <w:rFonts w:cs="Sylfaen"/>
                <w:kern w:val="16"/>
                <w:lang w:val="hy-AM"/>
              </w:rPr>
              <w:t xml:space="preserve"> նախարարության մասնագետների կողմից: </w:t>
            </w:r>
            <w:r w:rsidRPr="0053423A">
              <w:rPr>
                <w:kern w:val="16"/>
                <w:lang w:val="it-IT"/>
              </w:rPr>
              <w:t xml:space="preserve">Հիմնական փուլի աշխատանքների՝ ակտիվ սողանքային մարմինների տարածքում </w:t>
            </w:r>
            <w:r w:rsidRPr="0053423A">
              <w:rPr>
                <w:kern w:val="16"/>
                <w:lang w:val="hy-AM"/>
              </w:rPr>
              <w:t>դիտակետերի ցանցի ստեղծ</w:t>
            </w:r>
            <w:r w:rsidRPr="0053423A">
              <w:rPr>
                <w:kern w:val="16"/>
              </w:rPr>
              <w:t>ման</w:t>
            </w:r>
            <w:r w:rsidRPr="0053423A">
              <w:rPr>
                <w:kern w:val="16"/>
                <w:lang w:val="it-IT"/>
              </w:rPr>
              <w:t xml:space="preserve"> և</w:t>
            </w:r>
            <w:r w:rsidRPr="0053423A">
              <w:rPr>
                <w:kern w:val="16"/>
                <w:lang w:val="hy-AM"/>
              </w:rPr>
              <w:t xml:space="preserve"> սողանքային երևույթների մոնիթորինգի իրականաց</w:t>
            </w:r>
            <w:r w:rsidRPr="0053423A">
              <w:rPr>
                <w:kern w:val="16"/>
              </w:rPr>
              <w:t>ման</w:t>
            </w:r>
            <w:r w:rsidRPr="0053423A">
              <w:rPr>
                <w:kern w:val="16"/>
                <w:lang w:val="it-IT"/>
              </w:rPr>
              <w:t xml:space="preserve"> համար նախնական հաշվարկներով անհրաժեշտ է շուրջ 122535.0 հազ.դրամ գումար: </w:t>
            </w:r>
            <w:r w:rsidRPr="0053423A">
              <w:rPr>
                <w:rFonts w:cs="Sylfaen"/>
                <w:kern w:val="16"/>
                <w:lang w:val="it-IT"/>
              </w:rPr>
              <w:t>Ֆինանսավորման աղբյուրը այս փուլում դեռևս որոշված չէ:</w:t>
            </w:r>
          </w:p>
          <w:p w:rsidR="006B0618" w:rsidRPr="0053423A" w:rsidRDefault="006B0618" w:rsidP="00A67858">
            <w:pPr>
              <w:spacing w:line="276" w:lineRule="auto"/>
              <w:ind w:firstLine="374"/>
              <w:jc w:val="both"/>
              <w:rPr>
                <w:b/>
                <w:lang w:val="hy-AM"/>
              </w:rPr>
            </w:pPr>
            <w:r w:rsidRPr="0053423A">
              <w:rPr>
                <w:b/>
                <w:lang w:val="hy-AM"/>
              </w:rPr>
              <w:t xml:space="preserve">1.2. </w:t>
            </w:r>
            <w:r w:rsidRPr="0053423A">
              <w:rPr>
                <w:b/>
              </w:rPr>
              <w:t>Ա</w:t>
            </w:r>
            <w:r w:rsidRPr="0053423A">
              <w:rPr>
                <w:b/>
                <w:lang w:val="hy-AM"/>
              </w:rPr>
              <w:t>ռկա խնդիրների առաջարկվող լուծումները</w:t>
            </w:r>
          </w:p>
          <w:p w:rsidR="006B0618" w:rsidRPr="0053423A" w:rsidRDefault="006B0618" w:rsidP="00A67858">
            <w:pPr>
              <w:spacing w:line="276" w:lineRule="auto"/>
              <w:ind w:firstLine="374"/>
              <w:jc w:val="both"/>
              <w:rPr>
                <w:kern w:val="16"/>
                <w:lang w:val="it-IT"/>
              </w:rPr>
            </w:pPr>
            <w:r w:rsidRPr="0053423A">
              <w:rPr>
                <w:lang w:val="it-IT"/>
              </w:rPr>
              <w:t xml:space="preserve">Միջոցառման իրականացումն ապահովելու համար նախատեսվում է. </w:t>
            </w:r>
            <w:r w:rsidRPr="0053423A">
              <w:rPr>
                <w:kern w:val="16"/>
                <w:lang w:val="hy-AM"/>
              </w:rPr>
              <w:t>ֆոնդային և հրատարակված նյութերի ուսումնասիրություն, դաշտային ուսումնասիրություններ` բնության հատուկ պահպանվող տարածքներում սողանքային/սողանքավտանգ տեղամասերի բացահայտում, ուսումնասիրու</w:t>
            </w:r>
            <w:r w:rsidRPr="0053423A">
              <w:rPr>
                <w:kern w:val="16"/>
                <w:lang w:val="hy-AM"/>
              </w:rPr>
              <w:softHyphen/>
              <w:t>թյուն, գույքագրում, կադաստրի ստեղծում, դիտակետերի ցանցի ստեղծում, սողանքային երևույթների մոնիթորինգի իրականացում (որպես հեռանկարային ծրագրային գործընթաց):</w:t>
            </w:r>
          </w:p>
          <w:p w:rsidR="006B0618" w:rsidRPr="0053423A" w:rsidRDefault="006B0618" w:rsidP="00A67858">
            <w:pPr>
              <w:pStyle w:val="ListParagraph"/>
              <w:numPr>
                <w:ilvl w:val="0"/>
                <w:numId w:val="14"/>
              </w:numPr>
              <w:spacing w:line="276" w:lineRule="auto"/>
              <w:jc w:val="both"/>
              <w:rPr>
                <w:b/>
                <w:i/>
                <w:lang w:val="hy-AM"/>
              </w:rPr>
            </w:pPr>
            <w:r w:rsidRPr="0053423A">
              <w:rPr>
                <w:b/>
                <w:i/>
                <w:lang w:val="hy-AM"/>
              </w:rPr>
              <w:t>Միջոցառման իրականացումից ակնկալվող արդյունքը</w:t>
            </w:r>
          </w:p>
          <w:p w:rsidR="006B0618" w:rsidRPr="0053423A" w:rsidRDefault="006B0618" w:rsidP="00A67858">
            <w:pPr>
              <w:spacing w:line="276" w:lineRule="auto"/>
              <w:ind w:firstLine="360"/>
              <w:jc w:val="both"/>
              <w:rPr>
                <w:kern w:val="16"/>
                <w:lang w:val="hy-AM"/>
              </w:rPr>
            </w:pPr>
            <w:r w:rsidRPr="0053423A">
              <w:rPr>
                <w:kern w:val="16"/>
                <w:lang w:val="hy-AM"/>
              </w:rPr>
              <w:t>Հանրապետության տարածքին համարժեք, միջազգային չափանիշներով արդյունավետ գործող և նպատակային ինֆորմացիա տրամադրող բնության հատուկ պահպանվող տարածքներում, անտառային հողերում սողանքային երևույթների և սողանքավտանգ տեղամասերի կադաստր:</w:t>
            </w:r>
          </w:p>
          <w:p w:rsidR="006B0618" w:rsidRPr="0053423A" w:rsidRDefault="006B0618" w:rsidP="00A67858">
            <w:pPr>
              <w:spacing w:line="276" w:lineRule="auto"/>
              <w:ind w:firstLine="360"/>
              <w:jc w:val="both"/>
              <w:rPr>
                <w:kern w:val="16"/>
                <w:lang w:val="hy-AM"/>
              </w:rPr>
            </w:pPr>
          </w:p>
          <w:p w:rsidR="006B0618" w:rsidRPr="0053423A" w:rsidRDefault="006B0618" w:rsidP="00A67858">
            <w:pPr>
              <w:spacing w:line="276" w:lineRule="auto"/>
              <w:jc w:val="center"/>
              <w:rPr>
                <w:rFonts w:cs="GHEA Grapalat"/>
                <w:b/>
                <w:u w:val="single"/>
                <w:lang w:val="hy-AM"/>
              </w:rPr>
            </w:pPr>
            <w:r w:rsidRPr="0053423A">
              <w:rPr>
                <w:b/>
                <w:bCs/>
                <w:u w:val="single"/>
                <w:lang w:val="hy-AM"/>
              </w:rPr>
              <w:t xml:space="preserve">7.4 </w:t>
            </w:r>
            <w:r w:rsidRPr="0053423A">
              <w:rPr>
                <w:rFonts w:cs="GHEA Grapalat"/>
                <w:b/>
                <w:u w:val="single"/>
                <w:lang w:val="hy-AM"/>
              </w:rPr>
              <w:t xml:space="preserve">«Հայաստանի Հանրապետության կառավարության 2013 թվականի հունվարի 10-ի N22-Ն որոշման մեջ փոփոխություններ և լրացումներ կատարելու մասին» Կառավարության որոշման </w:t>
            </w:r>
            <w:r w:rsidRPr="0053423A">
              <w:rPr>
                <w:rFonts w:cs="Arial"/>
                <w:b/>
                <w:u w:val="single"/>
                <w:lang w:val="hy-AM"/>
              </w:rPr>
              <w:t>նախագիծը վարչապետի աշխատակազմ ներկայացնելը</w:t>
            </w:r>
            <w:r w:rsidRPr="0053423A">
              <w:rPr>
                <w:rFonts w:cs="GHEA Grapalat"/>
                <w:b/>
                <w:u w:val="single"/>
                <w:lang w:val="hy-AM"/>
              </w:rPr>
              <w:t>»</w:t>
            </w:r>
          </w:p>
          <w:p w:rsidR="006B0618" w:rsidRPr="0053423A" w:rsidRDefault="006B0618" w:rsidP="00A67858">
            <w:pPr>
              <w:spacing w:line="276" w:lineRule="auto"/>
              <w:jc w:val="center"/>
              <w:rPr>
                <w:rFonts w:cs="GHEA Grapalat"/>
                <w:b/>
                <w:u w:val="single"/>
                <w:lang w:val="hy-AM"/>
              </w:rPr>
            </w:pPr>
          </w:p>
          <w:p w:rsidR="006B0618" w:rsidRPr="0053423A" w:rsidRDefault="006B0618" w:rsidP="00A67858">
            <w:pPr>
              <w:pStyle w:val="ListParagraph"/>
              <w:numPr>
                <w:ilvl w:val="0"/>
                <w:numId w:val="15"/>
              </w:numPr>
              <w:spacing w:line="276" w:lineRule="auto"/>
              <w:jc w:val="both"/>
              <w:rPr>
                <w:b/>
                <w:i/>
                <w:lang w:val="hy-AM"/>
              </w:rPr>
            </w:pPr>
            <w:r w:rsidRPr="0053423A">
              <w:rPr>
                <w:b/>
                <w:i/>
                <w:lang w:val="hy-AM"/>
              </w:rPr>
              <w:t>Միջոցառման իրակացման անհրաժեշտությունը և նպատակը</w:t>
            </w:r>
          </w:p>
          <w:p w:rsidR="006B0618" w:rsidRPr="0053423A" w:rsidRDefault="00232EB0" w:rsidP="00A67858">
            <w:pPr>
              <w:spacing w:line="276" w:lineRule="auto"/>
              <w:ind w:firstLine="375"/>
              <w:jc w:val="both"/>
              <w:rPr>
                <w:color w:val="000000"/>
                <w:shd w:val="clear" w:color="auto" w:fill="FFFFFF"/>
                <w:lang w:val="hy-AM"/>
              </w:rPr>
            </w:pPr>
            <w:r w:rsidRPr="0053423A">
              <w:rPr>
                <w:color w:val="000000"/>
                <w:shd w:val="clear" w:color="auto" w:fill="FFFFFF"/>
                <w:lang w:val="hy-AM"/>
              </w:rPr>
              <w:t>Միջո</w:t>
            </w:r>
            <w:r w:rsidR="006B0618" w:rsidRPr="0053423A">
              <w:rPr>
                <w:color w:val="000000"/>
                <w:shd w:val="clear" w:color="auto" w:fill="FFFFFF"/>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 Հողային ռեսուրսների արդյունավետ կառավարում, հողերի աղտոտման և դեգրադացման կանխարգելմանն ու նվազմանն ուղղված քաղաքականության մշակում և իրականացում  ուղղությունը:</w:t>
            </w:r>
          </w:p>
          <w:p w:rsidR="006B0618" w:rsidRPr="0053423A" w:rsidRDefault="006B0618" w:rsidP="00A67858">
            <w:pPr>
              <w:spacing w:line="276" w:lineRule="auto"/>
              <w:ind w:firstLine="375"/>
              <w:jc w:val="both"/>
              <w:rPr>
                <w:rFonts w:cs="Sylfaen"/>
                <w:lang w:val="hy-AM"/>
              </w:rPr>
            </w:pPr>
            <w:r w:rsidRPr="0053423A">
              <w:rPr>
                <w:color w:val="000000"/>
                <w:shd w:val="clear" w:color="auto" w:fill="FFFFFF"/>
                <w:lang w:val="hy-AM"/>
              </w:rPr>
              <w:t>Օգտակար հանածոյի արդյունահանված տարածքի, արդյունահանման ընթացքում առաջացած արտադրական լցակույտերի տեղադիրքի և դրանց հարակից համայնքների բնակչության անվտանգության և առողջության ապահովման նպատակով մշտադիտարկումների իրականացման կարգի մշակումը</w:t>
            </w:r>
            <w:r w:rsidRPr="0053423A">
              <w:rPr>
                <w:rFonts w:cs="Sylfaen"/>
                <w:color w:val="000000"/>
                <w:shd w:val="clear" w:color="auto" w:fill="FFFFFF"/>
                <w:lang w:val="hy-AM"/>
              </w:rPr>
              <w:t xml:space="preserve"> համաձայն ՀՀ Ընդերքի մասին օրենսգրքի 17-րդ հոդվածի 2-րդ մասի 5-րդ կետի ՀՀ բնապապանության նախարարության իրավասությունն է: Որոշման նախագծի մշակման անհրաժեշտությունը ամրագրված է </w:t>
            </w:r>
            <w:r w:rsidRPr="0053423A">
              <w:rPr>
                <w:rFonts w:cs="GHEA Grapalat"/>
                <w:lang w:val="hy-AM"/>
              </w:rPr>
              <w:t>Կառավարության</w:t>
            </w:r>
            <w:r w:rsidRPr="0053423A">
              <w:rPr>
                <w:rFonts w:cs="GHEA Grapalat"/>
                <w:lang w:val="it-IT"/>
              </w:rPr>
              <w:t xml:space="preserve"> 08.02.2019</w:t>
            </w:r>
            <w:r w:rsidRPr="0053423A">
              <w:rPr>
                <w:rFonts w:cs="GHEA Grapalat"/>
                <w:lang w:val="hy-AM"/>
              </w:rPr>
              <w:t>թ</w:t>
            </w:r>
            <w:r w:rsidRPr="0053423A">
              <w:rPr>
                <w:rFonts w:cs="GHEA Grapalat"/>
                <w:lang w:val="it-IT"/>
              </w:rPr>
              <w:t xml:space="preserve">.-ի N65-Ա որոշման 4.8 գլխում՝ որպես </w:t>
            </w:r>
            <w:r w:rsidRPr="0053423A">
              <w:rPr>
                <w:rFonts w:cs="Sylfaen"/>
                <w:lang w:val="hy-AM"/>
              </w:rPr>
              <w:t>շրջակա</w:t>
            </w:r>
            <w:r w:rsidRPr="0053423A">
              <w:rPr>
                <w:lang w:val="it-IT"/>
              </w:rPr>
              <w:t xml:space="preserve"> </w:t>
            </w:r>
            <w:r w:rsidRPr="0053423A">
              <w:rPr>
                <w:rFonts w:cs="Sylfaen"/>
                <w:lang w:val="hy-AM"/>
              </w:rPr>
              <w:t>միջավայրի</w:t>
            </w:r>
            <w:r w:rsidRPr="0053423A">
              <w:rPr>
                <w:lang w:val="it-IT"/>
              </w:rPr>
              <w:t xml:space="preserve"> </w:t>
            </w:r>
            <w:r w:rsidRPr="0053423A">
              <w:rPr>
                <w:rFonts w:cs="Sylfaen"/>
                <w:lang w:val="hy-AM"/>
              </w:rPr>
              <w:t>կառավարման</w:t>
            </w:r>
            <w:r w:rsidRPr="0053423A">
              <w:rPr>
                <w:lang w:val="it-IT"/>
              </w:rPr>
              <w:t xml:space="preserve"> </w:t>
            </w:r>
            <w:r w:rsidRPr="0053423A">
              <w:rPr>
                <w:rFonts w:cs="Sylfaen"/>
                <w:lang w:val="hy-AM"/>
              </w:rPr>
              <w:t>առաջնահերթ</w:t>
            </w:r>
            <w:r w:rsidRPr="0053423A">
              <w:rPr>
                <w:lang w:val="it-IT"/>
              </w:rPr>
              <w:t xml:space="preserve"> </w:t>
            </w:r>
            <w:r w:rsidRPr="0053423A">
              <w:rPr>
                <w:rFonts w:cs="Sylfaen"/>
                <w:lang w:val="hy-AM"/>
              </w:rPr>
              <w:t>ուղղություն:</w:t>
            </w:r>
          </w:p>
          <w:p w:rsidR="006B0618" w:rsidRPr="0053423A" w:rsidRDefault="006B0618" w:rsidP="00A67858">
            <w:pPr>
              <w:spacing w:line="276" w:lineRule="auto"/>
              <w:ind w:firstLine="375"/>
              <w:jc w:val="both"/>
              <w:rPr>
                <w:color w:val="000000"/>
                <w:shd w:val="clear" w:color="auto" w:fill="FFFFFF"/>
                <w:lang w:val="hy-AM"/>
              </w:rPr>
            </w:pPr>
            <w:r w:rsidRPr="0053423A">
              <w:rPr>
                <w:rFonts w:cs="Sylfaen"/>
                <w:lang w:val="hy-AM"/>
              </w:rPr>
              <w:t xml:space="preserve">Միջոցառման նպատակն է մշակել իրավական հիմք ընդերքօգտագործողների կողմից </w:t>
            </w:r>
            <w:r w:rsidRPr="0053423A">
              <w:rPr>
                <w:color w:val="000000"/>
                <w:shd w:val="clear" w:color="auto" w:fill="FFFFFF"/>
                <w:lang w:val="hy-AM"/>
              </w:rPr>
              <w:t>արտադրական լցակույտերի տեղադիրքի և դրանց հարակից համայնքների բնակչության անվտանգության և առողջության ապահովման նպատակով մշտադիտարկումների համար կատարվող հատկացումների վերահաշվարկման, հանքի վերջնական փակման ծրագրի դրույթներին համապատասխանեցման համար:</w:t>
            </w:r>
          </w:p>
          <w:p w:rsidR="006B0618" w:rsidRPr="0053423A" w:rsidRDefault="006B0618" w:rsidP="00A67858">
            <w:pPr>
              <w:spacing w:line="276" w:lineRule="auto"/>
              <w:ind w:firstLine="375"/>
              <w:rPr>
                <w:lang w:val="hy-AM"/>
              </w:rPr>
            </w:pPr>
            <w:r w:rsidRPr="0053423A">
              <w:rPr>
                <w:b/>
                <w:lang w:val="hy-AM"/>
              </w:rPr>
              <w:t>1.1. Կարգավորման հարաբերությունների ներկա վիճակը և առկա խնդիրները</w:t>
            </w:r>
            <w:r w:rsidRPr="0053423A">
              <w:rPr>
                <w:lang w:val="hy-AM"/>
              </w:rPr>
              <w:t xml:space="preserve"> </w:t>
            </w:r>
          </w:p>
          <w:p w:rsidR="006B0618" w:rsidRPr="0053423A" w:rsidRDefault="006B0618" w:rsidP="00A67858">
            <w:pPr>
              <w:spacing w:line="276" w:lineRule="auto"/>
              <w:ind w:firstLine="375"/>
              <w:jc w:val="both"/>
              <w:rPr>
                <w:color w:val="000000"/>
                <w:shd w:val="clear" w:color="auto" w:fill="FFFFFF"/>
                <w:lang w:val="hy-AM"/>
              </w:rPr>
            </w:pPr>
            <w:r w:rsidRPr="0053423A">
              <w:rPr>
                <w:rFonts w:cs="Sylfaen"/>
                <w:lang w:val="hy-AM"/>
              </w:rPr>
              <w:t xml:space="preserve">Համաձայն ներկայումս գործող ընթացակարգերի՝ ընդերքօգտագործողը կատարում է տարեկան հատկացումներ հանքի փակումից հետո </w:t>
            </w:r>
            <w:r w:rsidRPr="0053423A">
              <w:rPr>
                <w:color w:val="000000"/>
                <w:shd w:val="clear" w:color="auto" w:fill="FFFFFF"/>
                <w:lang w:val="hy-AM"/>
              </w:rPr>
              <w:t>արտադրական լցակույտերի տեղադիրքի և դրանց հարակից համայնքների բնակչության անվտանգության և առողջության ապահովման նպատակով մշտադիտարկումների իրականացման համար: Սակայն հաշվի առնելով ընդերքօգտագործման թույլտվությունների գործողությունների ժամկետները՝ մինչև 50 տարի, հանքի փակման ժամանակ անհրաժեշտություն է առաջանում վերանայել հատկացված գումարները և դրանք համապատասխանեցնել հանքի փակման վերջնական ծրագրին և մշտադիտարկման իրականացման փաստացի ծախսերին:</w:t>
            </w:r>
          </w:p>
          <w:p w:rsidR="006B0618" w:rsidRPr="0053423A" w:rsidRDefault="006B0618" w:rsidP="00A67858">
            <w:pPr>
              <w:spacing w:line="276" w:lineRule="auto"/>
              <w:ind w:firstLine="375"/>
              <w:jc w:val="both"/>
              <w:rPr>
                <w:b/>
                <w:lang w:val="hy-AM"/>
              </w:rPr>
            </w:pPr>
            <w:r w:rsidRPr="0053423A">
              <w:rPr>
                <w:b/>
                <w:lang w:val="hy-AM"/>
              </w:rPr>
              <w:t>1.2. Առկա խնդիրների առաջարկվող լուծումները</w:t>
            </w:r>
          </w:p>
          <w:p w:rsidR="006B0618" w:rsidRPr="0053423A" w:rsidRDefault="006B0618" w:rsidP="00A67858">
            <w:pPr>
              <w:spacing w:line="276" w:lineRule="auto"/>
              <w:ind w:firstLine="375"/>
              <w:jc w:val="both"/>
              <w:rPr>
                <w:rFonts w:cs="GHEA Grapalat"/>
                <w:lang w:val="hy-AM"/>
              </w:rPr>
            </w:pPr>
            <w:r w:rsidRPr="0053423A">
              <w:rPr>
                <w:rFonts w:cs="GHEA Grapalat"/>
                <w:lang w:val="hy-AM"/>
              </w:rPr>
              <w:t>Կառավարության որոշման նախագծում կներկայացվեն հանքի փակման ծրագրին համապատասխան մոնիթորինգի համար անհրաժեշտ գումարների հաշվարկման, վերջնական հատկացումների կատարման մեխանիզմներ:</w:t>
            </w:r>
          </w:p>
          <w:p w:rsidR="006B0618" w:rsidRPr="0053423A" w:rsidRDefault="006B0618" w:rsidP="00A67858">
            <w:pPr>
              <w:pStyle w:val="ListParagraph"/>
              <w:numPr>
                <w:ilvl w:val="0"/>
                <w:numId w:val="15"/>
              </w:numPr>
              <w:spacing w:line="276" w:lineRule="auto"/>
              <w:jc w:val="both"/>
              <w:rPr>
                <w:b/>
                <w:i/>
                <w:lang w:val="hy-AM"/>
              </w:rPr>
            </w:pPr>
            <w:r w:rsidRPr="0053423A">
              <w:rPr>
                <w:b/>
                <w:i/>
                <w:lang w:val="hy-AM"/>
              </w:rPr>
              <w:t>Միջոցառման իրականացումից ակնկալվող արդյունքը</w:t>
            </w:r>
          </w:p>
          <w:p w:rsidR="006B0618" w:rsidRPr="0053423A" w:rsidRDefault="006B0618" w:rsidP="00A67858">
            <w:pPr>
              <w:spacing w:line="276" w:lineRule="auto"/>
              <w:ind w:firstLine="375"/>
              <w:jc w:val="both"/>
              <w:rPr>
                <w:rFonts w:cs="Sylfaen"/>
                <w:lang w:val="hy-AM"/>
              </w:rPr>
            </w:pPr>
            <w:r w:rsidRPr="0053423A">
              <w:rPr>
                <w:rFonts w:cs="Sylfaen"/>
                <w:lang w:val="hy-AM"/>
              </w:rPr>
              <w:t>Հանքի փակումից հետո շրջակա միջավայրի, հարակից բնակավայրերի բնակչության անվտանգության և առողջության վրա բացասական ազդեցությունների մոնիթորինգի արդյունավետ և նպատակային իրականացման համար անհրաժեշտ գումարների առկայություն:</w:t>
            </w:r>
          </w:p>
          <w:p w:rsidR="006B0618" w:rsidRPr="0053423A" w:rsidRDefault="006B0618" w:rsidP="00A67858">
            <w:pPr>
              <w:spacing w:line="276" w:lineRule="auto"/>
              <w:ind w:firstLine="375"/>
              <w:jc w:val="both"/>
              <w:rPr>
                <w:rFonts w:cs="Sylfaen"/>
                <w:lang w:val="hy-AM"/>
              </w:rPr>
            </w:pPr>
          </w:p>
          <w:p w:rsidR="006B0618" w:rsidRPr="0053423A" w:rsidRDefault="006B0618" w:rsidP="00A67858">
            <w:pPr>
              <w:spacing w:line="276" w:lineRule="auto"/>
              <w:ind w:firstLine="375"/>
              <w:jc w:val="center"/>
              <w:rPr>
                <w:b/>
                <w:u w:val="single"/>
                <w:lang w:val="hy-AM"/>
              </w:rPr>
            </w:pPr>
            <w:r w:rsidRPr="0053423A">
              <w:rPr>
                <w:rFonts w:cs="Sylfaen"/>
                <w:b/>
                <w:u w:val="single"/>
                <w:lang w:val="hy-AM"/>
              </w:rPr>
              <w:t>7.5 </w:t>
            </w:r>
            <w:r w:rsidRPr="0053423A">
              <w:rPr>
                <w:b/>
                <w:u w:val="single"/>
                <w:lang w:val="hy-AM"/>
              </w:rPr>
              <w:t>Հայաստանի Հանրապետության Արարատյան դաշտում հողերի չեզոք դեգրադացիայի գաղափարի իրականացում</w:t>
            </w:r>
          </w:p>
          <w:p w:rsidR="006B0618" w:rsidRPr="0053423A" w:rsidRDefault="006B0618" w:rsidP="00A67858">
            <w:pPr>
              <w:spacing w:line="276" w:lineRule="auto"/>
              <w:ind w:firstLine="375"/>
              <w:jc w:val="center"/>
              <w:rPr>
                <w:b/>
                <w:u w:val="single"/>
                <w:lang w:val="hy-AM"/>
              </w:rPr>
            </w:pPr>
          </w:p>
          <w:p w:rsidR="006B0618" w:rsidRPr="0053423A" w:rsidRDefault="006B0618" w:rsidP="00A67858">
            <w:pPr>
              <w:pStyle w:val="ListParagraph"/>
              <w:numPr>
                <w:ilvl w:val="0"/>
                <w:numId w:val="64"/>
              </w:numPr>
              <w:spacing w:line="276" w:lineRule="auto"/>
              <w:jc w:val="both"/>
              <w:rPr>
                <w:rFonts w:cs="Sylfaen"/>
                <w:b/>
                <w:i/>
                <w:lang w:val="hy-AM"/>
              </w:rPr>
            </w:pPr>
            <w:r w:rsidRPr="0053423A">
              <w:rPr>
                <w:rFonts w:cs="Sylfaen"/>
                <w:b/>
                <w:i/>
                <w:lang w:val="hy-AM"/>
              </w:rPr>
              <w:t>Միջոցառման իրականացման անհրաժեշտությունը և նպատակը:</w:t>
            </w:r>
          </w:p>
          <w:p w:rsidR="006B0618" w:rsidRPr="0053423A" w:rsidRDefault="00232EB0" w:rsidP="00A67858">
            <w:pPr>
              <w:spacing w:line="276" w:lineRule="auto"/>
              <w:ind w:firstLine="720"/>
              <w:jc w:val="both"/>
              <w:rPr>
                <w:rFonts w:cs="Sylfaen"/>
                <w:lang w:val="hy-AM"/>
              </w:rPr>
            </w:pPr>
            <w:r w:rsidRPr="0053423A">
              <w:rPr>
                <w:rFonts w:cs="Sylfaen"/>
                <w:lang w:val="hy-AM"/>
              </w:rPr>
              <w:t>Միջո</w:t>
            </w:r>
            <w:r w:rsidR="006B0618" w:rsidRPr="0053423A">
              <w:rPr>
                <w:rFonts w:cs="Sylfaen"/>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 Հողային ռեսուրսների արդյունավետ կառավարում, հողերի աղտոտման և դեգրադացման կանխարգելմանն ու նվազմանն ուղղված քաղաքականության մշակում և իրականացում  ուղղությունը:</w:t>
            </w:r>
          </w:p>
          <w:p w:rsidR="006B0618" w:rsidRPr="0053423A" w:rsidRDefault="006B0618" w:rsidP="00A67858">
            <w:pPr>
              <w:spacing w:line="276" w:lineRule="auto"/>
              <w:ind w:firstLine="720"/>
              <w:jc w:val="both"/>
              <w:rPr>
                <w:rFonts w:cs="Sylfaen"/>
                <w:lang w:val="hy-AM"/>
              </w:rPr>
            </w:pPr>
            <w:r w:rsidRPr="0053423A">
              <w:rPr>
                <w:rFonts w:cs="Sylfaen"/>
                <w:lang w:val="hy-AM"/>
              </w:rPr>
              <w:t xml:space="preserve"> Հայաստանի հողային բոլոր գոտիներում դիտվում է հողի բերրիության անկում և էրոզիոն պրոցեսների ակտիվացում՝ պայմանվորված հիմնականում մարդածին և մասամբ բնական գործոնների ազդեցությամբ: Առավել խոցելի են կիսանապատային, չոր տափաստանային, տափաստանային և անտառային գոտիները, որտեղ մարդածին ներգործության և տարածքի բնական պայմանների (լանջերի թեքություն) փոփոխության հետ կապված մեծանում է հողերի էրոզացվածության աստիճանը:</w:t>
            </w:r>
          </w:p>
          <w:p w:rsidR="006B0618" w:rsidRPr="0053423A" w:rsidRDefault="006B0618" w:rsidP="00A67858">
            <w:pPr>
              <w:spacing w:line="276" w:lineRule="auto"/>
              <w:ind w:firstLine="720"/>
              <w:jc w:val="both"/>
              <w:rPr>
                <w:rFonts w:cs="Sylfaen"/>
                <w:lang w:val="hy-AM"/>
              </w:rPr>
            </w:pPr>
            <w:r w:rsidRPr="0053423A">
              <w:rPr>
                <w:rFonts w:cs="Sylfaen"/>
                <w:lang w:val="hy-AM"/>
              </w:rPr>
              <w:t>Միջոցառման նպատակն է Արարատյան դաշտավայրի նախալեռնային ջրասակավ գոտում ցուցադրել հողերի չեզոք դեգրադացիային գաղափարի հասնելու հնարավորությունները:</w:t>
            </w:r>
          </w:p>
          <w:p w:rsidR="006B0618" w:rsidRPr="0053423A" w:rsidRDefault="006B0618" w:rsidP="00A67858">
            <w:pPr>
              <w:spacing w:line="276" w:lineRule="auto"/>
              <w:ind w:firstLine="720"/>
              <w:jc w:val="both"/>
              <w:rPr>
                <w:rFonts w:cs="Sylfaen"/>
                <w:lang w:val="hy-AM"/>
              </w:rPr>
            </w:pPr>
          </w:p>
          <w:p w:rsidR="006B0618" w:rsidRPr="0053423A" w:rsidRDefault="006B0618" w:rsidP="00A67858">
            <w:pPr>
              <w:spacing w:line="276" w:lineRule="auto"/>
              <w:ind w:firstLine="373"/>
              <w:jc w:val="both"/>
              <w:rPr>
                <w:rFonts w:cs="Sylfaen"/>
                <w:b/>
                <w:lang w:val="hy-AM"/>
              </w:rPr>
            </w:pPr>
            <w:r w:rsidRPr="0053423A">
              <w:rPr>
                <w:rFonts w:cs="Sylfaen"/>
                <w:b/>
                <w:lang w:val="hy-AM"/>
              </w:rPr>
              <w:t>1.1. Կարգավորման հարաբերությունների ներկա վիճակը և առկա խնդիրները</w:t>
            </w:r>
          </w:p>
          <w:p w:rsidR="006B0618" w:rsidRPr="0053423A" w:rsidRDefault="006B0618" w:rsidP="00A67858">
            <w:pPr>
              <w:spacing w:line="276" w:lineRule="auto"/>
              <w:jc w:val="both"/>
              <w:rPr>
                <w:rFonts w:cs="Sylfaen"/>
                <w:lang w:val="hy-AM"/>
              </w:rPr>
            </w:pPr>
            <w:r w:rsidRPr="0053423A">
              <w:rPr>
                <w:rFonts w:cs="Sylfaen"/>
                <w:lang w:val="hy-AM"/>
              </w:rPr>
              <w:t>Հողերի չեզոք դեգրադացիան ազգային մակարդակով քաղաքականության մեջ ներառելու նպատակով դրա դրույթները ընդգրկվել են ՄԱԿ-ի Անապատացման դեմ պայքարի կոնվենցիայի 10-ամյա ռազմավարությանը ներդաշնակեցված Հայաստանի Հանրապետությունում անապատացման դեմ պայքարի ռազմավարության և գործողությունների ազգային ծրագրում, որը ՀՀ կառավարության կողմից հավանության է արժանացել 2015 թ. մայիսի 27-ի N 23 արձանագրային որոշմամբ: Սույն փաստաթղթում, որպես առաջնահերթ գործողություն, ամրագրված է Հայաստանում ՀՉԴ-ի իրականացման ծրագրի մշակումը:</w:t>
            </w:r>
          </w:p>
          <w:p w:rsidR="006B0618" w:rsidRPr="0053423A" w:rsidRDefault="006B0618" w:rsidP="00A67858">
            <w:pPr>
              <w:spacing w:line="276" w:lineRule="auto"/>
              <w:ind w:firstLine="373"/>
              <w:jc w:val="both"/>
              <w:rPr>
                <w:lang w:val="hy-AM"/>
              </w:rPr>
            </w:pPr>
            <w:r w:rsidRPr="0053423A">
              <w:rPr>
                <w:rFonts w:cs="Sylfaen"/>
                <w:b/>
                <w:lang w:val="hy-AM"/>
              </w:rPr>
              <w:t>1.2.</w:t>
            </w:r>
            <w:r w:rsidRPr="0053423A">
              <w:rPr>
                <w:b/>
                <w:lang w:val="hy-AM"/>
              </w:rPr>
              <w:t xml:space="preserve"> Առկա  խնդիրների  առաջարկվող լուծումները</w:t>
            </w:r>
            <w:r w:rsidRPr="0053423A">
              <w:rPr>
                <w:lang w:val="hy-AM"/>
              </w:rPr>
              <w:t xml:space="preserve"> </w:t>
            </w:r>
          </w:p>
          <w:p w:rsidR="006B0618" w:rsidRPr="0053423A" w:rsidRDefault="006B0618" w:rsidP="00A67858">
            <w:pPr>
              <w:spacing w:line="276" w:lineRule="auto"/>
              <w:jc w:val="both"/>
              <w:rPr>
                <w:lang w:val="hy-AM"/>
              </w:rPr>
            </w:pPr>
            <w:r w:rsidRPr="0053423A">
              <w:rPr>
                <w:lang w:val="hy-AM"/>
              </w:rPr>
              <w:t>Կաթիլային համակարգի ներդրում, հողերի բարելավում կենսահումուսի կիրառմամբ, քամու ուժը մեղմող ծառաշերտերի ստեղծում:</w:t>
            </w:r>
          </w:p>
          <w:p w:rsidR="006B0618" w:rsidRPr="0053423A" w:rsidRDefault="006B0618" w:rsidP="00A67858">
            <w:pPr>
              <w:spacing w:line="276" w:lineRule="auto"/>
              <w:ind w:firstLine="463"/>
              <w:jc w:val="both"/>
              <w:rPr>
                <w:rFonts w:cs="Sylfaen"/>
                <w:b/>
              </w:rPr>
            </w:pPr>
            <w:r w:rsidRPr="0053423A">
              <w:rPr>
                <w:rFonts w:cs="Sylfaen"/>
                <w:b/>
              </w:rPr>
              <w:t>2. Միջոցառման իրականացումից ակնկալվող արդյունքը</w:t>
            </w:r>
          </w:p>
          <w:p w:rsidR="006B0618" w:rsidRPr="0053423A" w:rsidRDefault="006B0618" w:rsidP="00A67858">
            <w:pPr>
              <w:pStyle w:val="ListParagraph"/>
              <w:numPr>
                <w:ilvl w:val="0"/>
                <w:numId w:val="42"/>
              </w:numPr>
              <w:spacing w:line="276" w:lineRule="auto"/>
              <w:jc w:val="both"/>
              <w:rPr>
                <w:rFonts w:cs="Sylfaen"/>
              </w:rPr>
            </w:pPr>
            <w:r w:rsidRPr="0053423A">
              <w:rPr>
                <w:rFonts w:cs="Sylfaen"/>
              </w:rPr>
              <w:t>Արարտի մարզի Նարեկ համայնքում 10,0հա կաթիլային ոռոգմամբ պտղատու նոր այգու հիմնում,</w:t>
            </w:r>
          </w:p>
          <w:p w:rsidR="006B0618" w:rsidRPr="0053423A" w:rsidRDefault="006B0618" w:rsidP="00A67858">
            <w:pPr>
              <w:pStyle w:val="ListParagraph"/>
              <w:numPr>
                <w:ilvl w:val="0"/>
                <w:numId w:val="42"/>
              </w:numPr>
              <w:spacing w:line="276" w:lineRule="auto"/>
              <w:jc w:val="both"/>
              <w:rPr>
                <w:rFonts w:cs="Sylfaen"/>
              </w:rPr>
            </w:pPr>
            <w:r w:rsidRPr="0053423A">
              <w:rPr>
                <w:rFonts w:cs="Sylfaen"/>
              </w:rPr>
              <w:t>Արարտի մարզի Նարեկ համայնքում 20,0հա նորատունկ այգիներում կաթիլային ոռոգման համակարգի ներդրում,</w:t>
            </w:r>
          </w:p>
          <w:p w:rsidR="006B0618" w:rsidRPr="0053423A" w:rsidRDefault="006B0618" w:rsidP="00A67858">
            <w:pPr>
              <w:pStyle w:val="ListParagraph"/>
              <w:numPr>
                <w:ilvl w:val="0"/>
                <w:numId w:val="42"/>
              </w:numPr>
              <w:spacing w:line="276" w:lineRule="auto"/>
              <w:jc w:val="both"/>
              <w:rPr>
                <w:rFonts w:cs="Sylfaen"/>
              </w:rPr>
            </w:pPr>
            <w:r w:rsidRPr="0053423A">
              <w:rPr>
                <w:rFonts w:cs="Sylfaen"/>
              </w:rPr>
              <w:t>Տարածքի բերքատվության բարձրացում կենսահումուսով պարարտացման եղանակով,</w:t>
            </w:r>
          </w:p>
          <w:p w:rsidR="006B0618" w:rsidRPr="0053423A" w:rsidRDefault="006B0618" w:rsidP="00A67858">
            <w:pPr>
              <w:pStyle w:val="ListParagraph"/>
              <w:numPr>
                <w:ilvl w:val="0"/>
                <w:numId w:val="42"/>
              </w:numPr>
              <w:spacing w:line="276" w:lineRule="auto"/>
              <w:ind w:right="-270"/>
              <w:jc w:val="both"/>
              <w:rPr>
                <w:rFonts w:cs="Sylfaen"/>
              </w:rPr>
            </w:pPr>
            <w:r w:rsidRPr="0053423A">
              <w:rPr>
                <w:rFonts w:cs="Sylfaen"/>
              </w:rPr>
              <w:t>ճանապարհների եզրով ծառերի տնկում</w:t>
            </w:r>
          </w:p>
          <w:p w:rsidR="006B0618" w:rsidRPr="0053423A" w:rsidRDefault="006B0618" w:rsidP="00A67858">
            <w:pPr>
              <w:spacing w:line="276" w:lineRule="auto"/>
              <w:ind w:right="-270"/>
              <w:jc w:val="center"/>
              <w:rPr>
                <w:b/>
                <w:bCs/>
                <w:u w:val="single"/>
                <w:lang w:val="hy-AM"/>
              </w:rPr>
            </w:pPr>
          </w:p>
        </w:tc>
      </w:tr>
      <w:tr w:rsidR="00530B14" w:rsidRPr="00DE2EFA" w:rsidTr="004440EB">
        <w:tc>
          <w:tcPr>
            <w:tcW w:w="480" w:type="dxa"/>
          </w:tcPr>
          <w:p w:rsidR="00530B14" w:rsidRPr="0053423A" w:rsidRDefault="00530B14" w:rsidP="00A67858">
            <w:pPr>
              <w:spacing w:line="276" w:lineRule="auto"/>
              <w:jc w:val="center"/>
              <w:rPr>
                <w:b/>
                <w:bCs/>
              </w:rPr>
            </w:pPr>
            <w:r w:rsidRPr="0053423A">
              <w:rPr>
                <w:b/>
                <w:bCs/>
              </w:rPr>
              <w:t>8</w:t>
            </w:r>
          </w:p>
        </w:tc>
        <w:tc>
          <w:tcPr>
            <w:tcW w:w="10879" w:type="dxa"/>
          </w:tcPr>
          <w:p w:rsidR="00530B14" w:rsidRPr="0053423A" w:rsidRDefault="00530B14" w:rsidP="00A67858">
            <w:pPr>
              <w:tabs>
                <w:tab w:val="left" w:pos="1080"/>
              </w:tabs>
              <w:suppressAutoHyphens/>
              <w:spacing w:line="276" w:lineRule="auto"/>
              <w:jc w:val="center"/>
              <w:rPr>
                <w:rFonts w:eastAsia="GHEA Grapalat" w:cs="GHEA Grapalat"/>
                <w:b/>
                <w:lang w:val="hy-AM" w:eastAsia="zh-CN"/>
              </w:rPr>
            </w:pPr>
            <w:r w:rsidRPr="0053423A">
              <w:rPr>
                <w:rFonts w:cs="GHEA Grapalat"/>
                <w:b/>
                <w:lang w:val="hy-AM" w:eastAsia="zh-CN"/>
              </w:rPr>
              <w:t>Հանքերի</w:t>
            </w:r>
            <w:r w:rsidRPr="0053423A">
              <w:rPr>
                <w:rFonts w:eastAsia="GHEA Grapalat" w:cs="GHEA Grapalat"/>
                <w:b/>
                <w:lang w:val="hy-AM" w:eastAsia="zh-CN"/>
              </w:rPr>
              <w:t xml:space="preserve"> </w:t>
            </w:r>
            <w:r w:rsidRPr="0053423A">
              <w:rPr>
                <w:rFonts w:cs="GHEA Grapalat"/>
                <w:b/>
                <w:lang w:val="hy-AM" w:eastAsia="zh-CN"/>
              </w:rPr>
              <w:t>փակման (ռեկուլտիվացիայի</w:t>
            </w:r>
            <w:r w:rsidRPr="0053423A">
              <w:rPr>
                <w:rFonts w:cs="GHEA Grapalat"/>
                <w:b/>
                <w:lang w:eastAsia="zh-CN"/>
              </w:rPr>
              <w:t></w:t>
            </w:r>
            <w:r w:rsidRPr="0053423A">
              <w:rPr>
                <w:rFonts w:eastAsia="GHEA Grapalat" w:cs="GHEA Grapalat"/>
                <w:b/>
                <w:lang w:eastAsia="zh-CN"/>
              </w:rPr>
              <w:t xml:space="preserve"> </w:t>
            </w:r>
            <w:r w:rsidRPr="0053423A">
              <w:rPr>
                <w:rFonts w:cs="GHEA Grapalat"/>
                <w:b/>
                <w:lang w:val="hy-AM" w:eastAsia="zh-CN"/>
              </w:rPr>
              <w:t>ժամանակակից</w:t>
            </w:r>
            <w:r w:rsidRPr="0053423A">
              <w:rPr>
                <w:rFonts w:eastAsia="GHEA Grapalat" w:cs="GHEA Grapalat"/>
                <w:b/>
                <w:lang w:val="hy-AM" w:eastAsia="zh-CN"/>
              </w:rPr>
              <w:t xml:space="preserve"> </w:t>
            </w:r>
            <w:r w:rsidRPr="0053423A">
              <w:rPr>
                <w:rFonts w:cs="GHEA Grapalat"/>
                <w:b/>
                <w:lang w:val="hy-AM" w:eastAsia="zh-CN"/>
              </w:rPr>
              <w:t>մեխանիզմների</w:t>
            </w:r>
            <w:r w:rsidRPr="0053423A">
              <w:rPr>
                <w:rFonts w:eastAsia="GHEA Grapalat" w:cs="GHEA Grapalat"/>
                <w:b/>
                <w:lang w:val="hy-AM" w:eastAsia="zh-CN"/>
              </w:rPr>
              <w:t xml:space="preserve"> </w:t>
            </w:r>
          </w:p>
          <w:p w:rsidR="00530B14" w:rsidRPr="0053423A" w:rsidRDefault="00530B14" w:rsidP="00A67858">
            <w:pPr>
              <w:tabs>
                <w:tab w:val="left" w:pos="1080"/>
              </w:tabs>
              <w:suppressAutoHyphens/>
              <w:spacing w:line="276" w:lineRule="auto"/>
              <w:jc w:val="center"/>
              <w:rPr>
                <w:rFonts w:cs="GHEA Grapalat"/>
                <w:b/>
                <w:lang w:val="hy-AM" w:eastAsia="zh-CN"/>
              </w:rPr>
            </w:pPr>
            <w:r w:rsidRPr="0053423A">
              <w:rPr>
                <w:rFonts w:cs="GHEA Grapalat"/>
                <w:b/>
                <w:lang w:val="hy-AM" w:eastAsia="zh-CN"/>
              </w:rPr>
              <w:t>կիրառման</w:t>
            </w:r>
            <w:r w:rsidRPr="0053423A">
              <w:rPr>
                <w:rFonts w:eastAsia="GHEA Grapalat" w:cs="GHEA Grapalat"/>
                <w:b/>
                <w:lang w:val="hy-AM" w:eastAsia="zh-CN"/>
              </w:rPr>
              <w:t xml:space="preserve"> </w:t>
            </w:r>
            <w:r w:rsidRPr="0053423A">
              <w:rPr>
                <w:rFonts w:cs="GHEA Grapalat"/>
                <w:b/>
                <w:lang w:val="hy-AM" w:eastAsia="zh-CN"/>
              </w:rPr>
              <w:t>խթանում</w:t>
            </w:r>
          </w:p>
          <w:p w:rsidR="00530B14" w:rsidRPr="0053423A" w:rsidRDefault="00530B14" w:rsidP="00A67858">
            <w:pPr>
              <w:tabs>
                <w:tab w:val="left" w:pos="1080"/>
              </w:tabs>
              <w:suppressAutoHyphens/>
              <w:spacing w:line="276" w:lineRule="auto"/>
              <w:jc w:val="center"/>
              <w:rPr>
                <w:rFonts w:cs="GHEA Grapalat"/>
                <w:b/>
                <w:lang w:val="hy-AM" w:eastAsia="zh-CN"/>
              </w:rPr>
            </w:pPr>
          </w:p>
          <w:p w:rsidR="00530B14" w:rsidRPr="0053423A" w:rsidRDefault="00530B14" w:rsidP="00A67858">
            <w:pPr>
              <w:tabs>
                <w:tab w:val="left" w:pos="315"/>
              </w:tabs>
              <w:spacing w:line="276" w:lineRule="auto"/>
              <w:jc w:val="center"/>
              <w:rPr>
                <w:rFonts w:cs="GHEA Grapalat"/>
                <w:b/>
                <w:u w:val="single"/>
                <w:lang w:val="hy-AM"/>
              </w:rPr>
            </w:pPr>
            <w:r w:rsidRPr="0053423A">
              <w:rPr>
                <w:rFonts w:eastAsia="GHEA Grapalat" w:cs="GHEA Grapalat"/>
                <w:b/>
                <w:u w:val="single"/>
                <w:lang w:val="hy-AM" w:eastAsia="zh-CN"/>
              </w:rPr>
              <w:t xml:space="preserve">8.1 </w:t>
            </w:r>
            <w:r w:rsidRPr="0053423A">
              <w:rPr>
                <w:rFonts w:cs="GHEA Grapalat"/>
                <w:b/>
                <w:u w:val="single"/>
                <w:lang w:val="hy-AM"/>
              </w:rPr>
              <w:t xml:space="preserve">«Հայաստանի Հանրապետության կառավարության 2012 թվականի օգոստոսի 23-ի N 1079-Ն որոշման մեջ  փոփոխություններ և լրացումներ կատարելու մասին» ՀՀ կառավարության որոշման </w:t>
            </w:r>
            <w:r w:rsidRPr="0053423A">
              <w:rPr>
                <w:rFonts w:cs="Arial"/>
                <w:b/>
                <w:u w:val="single"/>
                <w:lang w:val="hy-AM"/>
              </w:rPr>
              <w:t>նախագիծը վարչապետի աշխատակազմ ներկայացնելը</w:t>
            </w:r>
            <w:r w:rsidRPr="0053423A">
              <w:rPr>
                <w:rFonts w:cs="GHEA Grapalat"/>
                <w:b/>
                <w:u w:val="single"/>
                <w:lang w:val="hy-AM"/>
              </w:rPr>
              <w:t>»</w:t>
            </w:r>
          </w:p>
          <w:p w:rsidR="00530B14" w:rsidRPr="0053423A" w:rsidRDefault="00530B14" w:rsidP="00A67858">
            <w:pPr>
              <w:tabs>
                <w:tab w:val="left" w:pos="315"/>
              </w:tabs>
              <w:spacing w:line="276" w:lineRule="auto"/>
              <w:jc w:val="center"/>
              <w:rPr>
                <w:rFonts w:cs="GHEA Grapalat"/>
                <w:b/>
                <w:u w:val="single"/>
                <w:lang w:val="hy-AM"/>
              </w:rPr>
            </w:pPr>
          </w:p>
          <w:p w:rsidR="00530B14" w:rsidRPr="0053423A" w:rsidRDefault="00530B14" w:rsidP="00A67858">
            <w:pPr>
              <w:pStyle w:val="ListParagraph"/>
              <w:numPr>
                <w:ilvl w:val="0"/>
                <w:numId w:val="11"/>
              </w:numPr>
              <w:spacing w:line="276" w:lineRule="auto"/>
              <w:rPr>
                <w:b/>
                <w:i/>
                <w:lang w:val="hy-AM"/>
              </w:rPr>
            </w:pPr>
            <w:r w:rsidRPr="0053423A">
              <w:rPr>
                <w:b/>
                <w:i/>
                <w:lang w:val="hy-AM"/>
              </w:rPr>
              <w:t xml:space="preserve">Միջոցառման իրակացման անհրաժեշտությունը և նպատակը </w:t>
            </w:r>
          </w:p>
          <w:p w:rsidR="00530B14" w:rsidRPr="0053423A" w:rsidRDefault="00232EB0" w:rsidP="00A67858">
            <w:pPr>
              <w:spacing w:line="276" w:lineRule="auto"/>
              <w:ind w:firstLine="375"/>
              <w:jc w:val="both"/>
              <w:rPr>
                <w:rFonts w:cs="Sylfaen"/>
                <w:shd w:val="clear" w:color="auto" w:fill="FFFFFF"/>
                <w:lang w:val="hy-AM"/>
              </w:rPr>
            </w:pPr>
            <w:r w:rsidRPr="0053423A">
              <w:rPr>
                <w:rFonts w:cs="Sylfaen"/>
                <w:shd w:val="clear" w:color="auto" w:fill="FFFFFF"/>
                <w:lang w:val="hy-AM"/>
              </w:rPr>
              <w:t>Միջո</w:t>
            </w:r>
            <w:r w:rsidR="00530B14" w:rsidRPr="0053423A">
              <w:rPr>
                <w:rFonts w:cs="Sylfaen"/>
                <w:shd w:val="clear" w:color="auto" w:fill="FFFFFF"/>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Հանքերի փակման (ռեկուլտիվացիայի ժամանակակից մեխանիզմների կիրառման խթանում ուղղությունը:</w:t>
            </w:r>
          </w:p>
          <w:p w:rsidR="00530B14" w:rsidRPr="0053423A" w:rsidRDefault="00530B14" w:rsidP="00A67858">
            <w:pPr>
              <w:spacing w:line="276" w:lineRule="auto"/>
              <w:ind w:firstLine="375"/>
              <w:jc w:val="both"/>
              <w:rPr>
                <w:rFonts w:cs="Sylfaen"/>
                <w:shd w:val="clear" w:color="auto" w:fill="FFFFFF"/>
                <w:lang w:val="hy-AM"/>
              </w:rPr>
            </w:pPr>
            <w:r w:rsidRPr="0053423A">
              <w:rPr>
                <w:rFonts w:cs="Sylfaen"/>
                <w:shd w:val="clear" w:color="auto" w:fill="FFFFFF"/>
                <w:lang w:val="hy-AM"/>
              </w:rPr>
              <w:t>Շրջակա</w:t>
            </w:r>
            <w:r w:rsidRPr="0053423A">
              <w:rPr>
                <w:shd w:val="clear" w:color="auto" w:fill="FFFFFF"/>
                <w:lang w:val="hy-AM"/>
              </w:rPr>
              <w:t xml:space="preserve"> </w:t>
            </w:r>
            <w:r w:rsidRPr="0053423A">
              <w:rPr>
                <w:rFonts w:cs="Sylfaen"/>
                <w:shd w:val="clear" w:color="auto" w:fill="FFFFFF"/>
                <w:lang w:val="hy-AM"/>
              </w:rPr>
              <w:t>միջավայրի</w:t>
            </w:r>
            <w:r w:rsidRPr="0053423A">
              <w:rPr>
                <w:shd w:val="clear" w:color="auto" w:fill="FFFFFF"/>
                <w:lang w:val="hy-AM"/>
              </w:rPr>
              <w:t xml:space="preserve"> </w:t>
            </w:r>
            <w:r w:rsidRPr="0053423A">
              <w:rPr>
                <w:rFonts w:cs="Sylfaen"/>
                <w:shd w:val="clear" w:color="auto" w:fill="FFFFFF"/>
                <w:lang w:val="hy-AM"/>
              </w:rPr>
              <w:t>պահպանության</w:t>
            </w:r>
            <w:r w:rsidRPr="0053423A">
              <w:rPr>
                <w:shd w:val="clear" w:color="auto" w:fill="FFFFFF"/>
                <w:lang w:val="hy-AM"/>
              </w:rPr>
              <w:t xml:space="preserve"> </w:t>
            </w:r>
            <w:r w:rsidRPr="0053423A">
              <w:rPr>
                <w:rFonts w:cs="Sylfaen"/>
                <w:shd w:val="clear" w:color="auto" w:fill="FFFFFF"/>
                <w:lang w:val="hy-AM"/>
              </w:rPr>
              <w:t>դրամագլխի</w:t>
            </w:r>
            <w:r w:rsidRPr="0053423A">
              <w:rPr>
                <w:shd w:val="clear" w:color="auto" w:fill="FFFFFF"/>
                <w:lang w:val="hy-AM"/>
              </w:rPr>
              <w:t xml:space="preserve"> </w:t>
            </w:r>
            <w:r w:rsidRPr="0053423A">
              <w:rPr>
                <w:rFonts w:cs="Sylfaen"/>
                <w:shd w:val="clear" w:color="auto" w:fill="FFFFFF"/>
                <w:lang w:val="hy-AM"/>
              </w:rPr>
              <w:t>օգտագործման</w:t>
            </w:r>
            <w:r w:rsidRPr="0053423A">
              <w:rPr>
                <w:shd w:val="clear" w:color="auto" w:fill="FFFFFF"/>
                <w:lang w:val="hy-AM"/>
              </w:rPr>
              <w:t xml:space="preserve">, </w:t>
            </w:r>
            <w:r w:rsidRPr="0053423A">
              <w:rPr>
                <w:rFonts w:cs="Sylfaen"/>
                <w:shd w:val="clear" w:color="auto" w:fill="FFFFFF"/>
                <w:lang w:val="hy-AM"/>
              </w:rPr>
              <w:t>հատկացումների</w:t>
            </w:r>
            <w:r w:rsidRPr="0053423A">
              <w:rPr>
                <w:shd w:val="clear" w:color="auto" w:fill="FFFFFF"/>
                <w:lang w:val="hy-AM"/>
              </w:rPr>
              <w:t xml:space="preserve"> </w:t>
            </w:r>
            <w:r w:rsidRPr="0053423A">
              <w:rPr>
                <w:rFonts w:cs="Sylfaen"/>
                <w:shd w:val="clear" w:color="auto" w:fill="FFFFFF"/>
                <w:lang w:val="hy-AM"/>
              </w:rPr>
              <w:t>չափերի</w:t>
            </w:r>
            <w:r w:rsidRPr="0053423A">
              <w:rPr>
                <w:shd w:val="clear" w:color="auto" w:fill="FFFFFF"/>
                <w:lang w:val="hy-AM"/>
              </w:rPr>
              <w:t xml:space="preserve"> </w:t>
            </w:r>
            <w:r w:rsidRPr="0053423A">
              <w:rPr>
                <w:rFonts w:cs="Sylfaen"/>
                <w:shd w:val="clear" w:color="auto" w:fill="FFFFFF"/>
                <w:lang w:val="hy-AM"/>
              </w:rPr>
              <w:t>հաշվարկման մեխանիզմների մշակումը, ռեկուլտիվացիոն</w:t>
            </w:r>
            <w:r w:rsidRPr="0053423A">
              <w:rPr>
                <w:shd w:val="clear" w:color="auto" w:fill="FFFFFF"/>
                <w:lang w:val="hy-AM"/>
              </w:rPr>
              <w:t xml:space="preserve"> </w:t>
            </w:r>
            <w:r w:rsidRPr="0053423A">
              <w:rPr>
                <w:rFonts w:cs="Sylfaen"/>
                <w:shd w:val="clear" w:color="auto" w:fill="FFFFFF"/>
                <w:lang w:val="hy-AM"/>
              </w:rPr>
              <w:t>աշխատանքներ</w:t>
            </w:r>
            <w:r w:rsidRPr="0053423A">
              <w:rPr>
                <w:shd w:val="clear" w:color="auto" w:fill="FFFFFF"/>
                <w:lang w:val="hy-AM"/>
              </w:rPr>
              <w:t xml:space="preserve"> </w:t>
            </w:r>
            <w:r w:rsidRPr="0053423A">
              <w:rPr>
                <w:rFonts w:cs="Sylfaen"/>
                <w:shd w:val="clear" w:color="auto" w:fill="FFFFFF"/>
                <w:lang w:val="hy-AM"/>
              </w:rPr>
              <w:t>իրականացնելու</w:t>
            </w:r>
            <w:r w:rsidRPr="0053423A">
              <w:rPr>
                <w:shd w:val="clear" w:color="auto" w:fill="FFFFFF"/>
                <w:lang w:val="hy-AM"/>
              </w:rPr>
              <w:t xml:space="preserve"> </w:t>
            </w:r>
            <w:r w:rsidRPr="0053423A">
              <w:rPr>
                <w:rFonts w:cs="Sylfaen"/>
                <w:shd w:val="clear" w:color="auto" w:fill="FFFFFF"/>
                <w:lang w:val="hy-AM"/>
              </w:rPr>
              <w:t>վերաբերյալ</w:t>
            </w:r>
            <w:r w:rsidRPr="0053423A">
              <w:rPr>
                <w:shd w:val="clear" w:color="auto" w:fill="FFFFFF"/>
                <w:lang w:val="hy-AM"/>
              </w:rPr>
              <w:t xml:space="preserve"> </w:t>
            </w:r>
            <w:r w:rsidRPr="0053423A">
              <w:rPr>
                <w:rFonts w:cs="Sylfaen"/>
                <w:shd w:val="clear" w:color="auto" w:fill="FFFFFF"/>
                <w:lang w:val="hy-AM"/>
              </w:rPr>
              <w:t>որոշումների</w:t>
            </w:r>
            <w:r w:rsidRPr="0053423A">
              <w:rPr>
                <w:shd w:val="clear" w:color="auto" w:fill="FFFFFF"/>
                <w:lang w:val="hy-AM"/>
              </w:rPr>
              <w:t xml:space="preserve"> </w:t>
            </w:r>
            <w:r w:rsidRPr="0053423A">
              <w:rPr>
                <w:rFonts w:cs="Sylfaen"/>
                <w:shd w:val="clear" w:color="auto" w:fill="FFFFFF"/>
                <w:lang w:val="hy-AM"/>
              </w:rPr>
              <w:t xml:space="preserve">ընդունումը համաձայն ՀՀ Ընդերքի մասին օրենսգրքի 17-րդ հոդվածի 2-րդ մասի 4-րդ կետի ՀՀ բնապապանության նախարարության իրավասությունն է: </w:t>
            </w:r>
            <w:r w:rsidRPr="0053423A">
              <w:rPr>
                <w:rFonts w:cs="GHEA Grapalat"/>
                <w:lang w:val="hy-AM"/>
              </w:rPr>
              <w:t>«Հայաստանի Հանրապետության կառավարության 2012 թվականի օգոստոսի 23-ի N 1079-Ն որոշման մեջ  փոփոխություններ և լրացումներ կատարելու մասին» կառավարության որոշման նախագծի մշակման անհրաժեշտությունը ամրագրված է Կառավարության</w:t>
            </w:r>
            <w:r w:rsidRPr="0053423A">
              <w:rPr>
                <w:rFonts w:cs="GHEA Grapalat"/>
                <w:lang w:val="it-IT"/>
              </w:rPr>
              <w:t xml:space="preserve"> 08.02.2019</w:t>
            </w:r>
            <w:r w:rsidRPr="0053423A">
              <w:rPr>
                <w:rFonts w:cs="GHEA Grapalat"/>
                <w:lang w:val="hy-AM"/>
              </w:rPr>
              <w:t>թ</w:t>
            </w:r>
            <w:r w:rsidRPr="0053423A">
              <w:rPr>
                <w:rFonts w:cs="GHEA Grapalat"/>
                <w:lang w:val="it-IT"/>
              </w:rPr>
              <w:t xml:space="preserve">.-ի N65-Ա որոշման 4.8 գլխում՝ որպես </w:t>
            </w:r>
            <w:r w:rsidRPr="0053423A">
              <w:rPr>
                <w:rFonts w:cs="Sylfaen"/>
                <w:lang w:val="hy-AM"/>
              </w:rPr>
              <w:t>շրջակա</w:t>
            </w:r>
            <w:r w:rsidRPr="0053423A">
              <w:rPr>
                <w:lang w:val="it-IT"/>
              </w:rPr>
              <w:t xml:space="preserve"> </w:t>
            </w:r>
            <w:r w:rsidRPr="0053423A">
              <w:rPr>
                <w:rFonts w:cs="Sylfaen"/>
                <w:lang w:val="hy-AM"/>
              </w:rPr>
              <w:t>միջավայրի</w:t>
            </w:r>
            <w:r w:rsidRPr="0053423A">
              <w:rPr>
                <w:lang w:val="it-IT"/>
              </w:rPr>
              <w:t xml:space="preserve"> </w:t>
            </w:r>
            <w:r w:rsidRPr="0053423A">
              <w:rPr>
                <w:rFonts w:cs="Sylfaen"/>
                <w:lang w:val="hy-AM"/>
              </w:rPr>
              <w:t>կառավարման</w:t>
            </w:r>
            <w:r w:rsidRPr="0053423A">
              <w:rPr>
                <w:lang w:val="it-IT"/>
              </w:rPr>
              <w:t xml:space="preserve"> </w:t>
            </w:r>
            <w:r w:rsidRPr="0053423A">
              <w:rPr>
                <w:rFonts w:cs="Sylfaen"/>
                <w:lang w:val="hy-AM"/>
              </w:rPr>
              <w:t>առաջնահերթ</w:t>
            </w:r>
            <w:r w:rsidRPr="0053423A">
              <w:rPr>
                <w:lang w:val="it-IT"/>
              </w:rPr>
              <w:t xml:space="preserve"> </w:t>
            </w:r>
            <w:r w:rsidRPr="0053423A">
              <w:rPr>
                <w:rFonts w:cs="Sylfaen"/>
                <w:lang w:val="hy-AM"/>
              </w:rPr>
              <w:t xml:space="preserve">ուղղություն, ինչպես նաև Կառավարության 01.06.2018թ.-ի N 626-Լ որոշմամբ հաստատված </w:t>
            </w:r>
            <w:r w:rsidRPr="0053423A">
              <w:rPr>
                <w:shd w:val="clear" w:color="auto" w:fill="FFFFFF"/>
                <w:lang w:val="hy-AM"/>
              </w:rPr>
              <w:t xml:space="preserve">ռեկուլտիվացիոն ֆոնդի արդյունավետ կառավարման հայեցակարգն ապահովող միջոցառումների ցանկով: </w:t>
            </w:r>
          </w:p>
          <w:p w:rsidR="00530B14" w:rsidRPr="0053423A" w:rsidRDefault="00530B14" w:rsidP="00A67858">
            <w:pPr>
              <w:spacing w:line="276" w:lineRule="auto"/>
              <w:ind w:firstLine="375"/>
              <w:jc w:val="both"/>
              <w:rPr>
                <w:shd w:val="clear" w:color="auto" w:fill="FFFFFF"/>
                <w:lang w:val="hy-AM"/>
              </w:rPr>
            </w:pPr>
            <w:r w:rsidRPr="0053423A">
              <w:rPr>
                <w:rFonts w:cs="Sylfaen"/>
                <w:lang w:val="hy-AM"/>
              </w:rPr>
              <w:t xml:space="preserve">Միջոցառման նպատակն է մշակել իրավական հիմք ընդերքօգտագործողների կողմից խախտված հողատարածքների </w:t>
            </w:r>
            <w:r w:rsidRPr="0053423A">
              <w:rPr>
                <w:shd w:val="clear" w:color="auto" w:fill="FFFFFF"/>
                <w:lang w:val="hy-AM"/>
              </w:rPr>
              <w:t>վերականգնման համար շրջակա միջավայրի պահպանության դրամագլխին կատարվող հատկացումների վերահաշվարկման, հանքի վերջնական փակման ծրագրի դրույթներին համապատասխանեցման, ինչպես նաև դրամագլխի միջոցները խախտված տարածքներում բիզնես-ծրագրերի ծավալման նպատակով օգտագործելու համար:</w:t>
            </w:r>
          </w:p>
          <w:p w:rsidR="00530B14" w:rsidRPr="0053423A" w:rsidRDefault="00530B14" w:rsidP="00A67858">
            <w:pPr>
              <w:spacing w:line="276" w:lineRule="auto"/>
              <w:ind w:firstLine="375"/>
              <w:rPr>
                <w:lang w:val="hy-AM"/>
              </w:rPr>
            </w:pPr>
            <w:r w:rsidRPr="0053423A">
              <w:rPr>
                <w:b/>
                <w:lang w:val="hy-AM"/>
              </w:rPr>
              <w:t>1.1. Կարգավորման հարաբերությունների ներկա վիճակը և առկա խնդիրները</w:t>
            </w:r>
            <w:r w:rsidRPr="0053423A">
              <w:rPr>
                <w:lang w:val="hy-AM"/>
              </w:rPr>
              <w:t xml:space="preserve"> </w:t>
            </w:r>
          </w:p>
          <w:p w:rsidR="00530B14" w:rsidRPr="0053423A" w:rsidRDefault="00530B14" w:rsidP="00A67858">
            <w:pPr>
              <w:pStyle w:val="NormalWeb"/>
              <w:spacing w:before="0" w:beforeAutospacing="0" w:after="0" w:afterAutospacing="0" w:line="276" w:lineRule="auto"/>
              <w:jc w:val="both"/>
              <w:rPr>
                <w:rFonts w:ascii="GHEA Grapalat" w:hAnsi="GHEA Grapalat"/>
                <w:sz w:val="20"/>
                <w:szCs w:val="20"/>
                <w:shd w:val="clear" w:color="auto" w:fill="FFFFFF"/>
                <w:lang w:val="hy-AM"/>
              </w:rPr>
            </w:pPr>
            <w:r w:rsidRPr="0053423A">
              <w:rPr>
                <w:rFonts w:ascii="GHEA Grapalat" w:hAnsi="GHEA Grapalat" w:cs="Sylfaen"/>
                <w:sz w:val="20"/>
                <w:szCs w:val="20"/>
                <w:lang w:val="hy-AM"/>
              </w:rPr>
              <w:t>Համաձայն ներկայումս գործող ընթացակարգերի՝ ընդերքօգտագործողը կատարում է տարեկան հատկացումներ երկրաբանական ուսումնասիրության և արդյունահանման աշխատանքների  ավարտից հետո խախտված հողատարածք</w:t>
            </w:r>
            <w:r w:rsidRPr="0053423A">
              <w:rPr>
                <w:rFonts w:ascii="GHEA Grapalat" w:hAnsi="GHEA Grapalat" w:cs="Sylfaen"/>
                <w:sz w:val="20"/>
                <w:szCs w:val="20"/>
                <w:lang w:val="hy-AM"/>
              </w:rPr>
              <w:softHyphen/>
              <w:t>ների վերականգնման՝ ռեկուլտիվացիայի</w:t>
            </w:r>
            <w:r w:rsidRPr="0053423A">
              <w:rPr>
                <w:rFonts w:ascii="GHEA Grapalat" w:hAnsi="GHEA Grapalat"/>
                <w:sz w:val="20"/>
                <w:szCs w:val="20"/>
                <w:shd w:val="clear" w:color="auto" w:fill="FFFFFF"/>
                <w:lang w:val="hy-AM"/>
              </w:rPr>
              <w:t xml:space="preserve"> համար: Սակայն հաշվի առնելով ընդերքօգտագործման թույլտվությունների գործողությունների ժամկետները՝ մինչև 50 տարի, հանքի փակման ժամանակ անհրաժեշտություն է առաջանում վերանայել հատկացված գումարները և դրանք համապատասխանեցնել հանքի փակման վերջնական ծրագրին և ռեկուլտիվացիոն աշխատանքների իրականացման փաստացի ծախսերին: Միաժամանակ, շրջակա միջավայրի պահպանության դրամագլխում կուտակված գումարների օգտագործման հնարավորությունները խիստ սահմանափակված են՝ միայն խախտված հողերի վերականգնման համար:</w:t>
            </w:r>
          </w:p>
          <w:p w:rsidR="00530B14" w:rsidRPr="0053423A" w:rsidRDefault="00530B14" w:rsidP="00A67858">
            <w:pPr>
              <w:spacing w:line="276" w:lineRule="auto"/>
              <w:ind w:firstLine="375"/>
              <w:jc w:val="both"/>
              <w:rPr>
                <w:b/>
                <w:lang w:val="hy-AM"/>
              </w:rPr>
            </w:pPr>
            <w:r w:rsidRPr="0053423A">
              <w:rPr>
                <w:b/>
                <w:lang w:val="hy-AM"/>
              </w:rPr>
              <w:t>1.2. Առկա խնդիրների առաջարկվող լուծումները</w:t>
            </w:r>
          </w:p>
          <w:p w:rsidR="00530B14" w:rsidRPr="0053423A" w:rsidRDefault="00530B14" w:rsidP="00A67858">
            <w:pPr>
              <w:spacing w:line="276" w:lineRule="auto"/>
              <w:ind w:firstLine="375"/>
              <w:jc w:val="both"/>
              <w:rPr>
                <w:rFonts w:cs="Sylfaen"/>
                <w:b/>
                <w:lang w:val="hy-AM"/>
              </w:rPr>
            </w:pPr>
            <w:r w:rsidRPr="0053423A">
              <w:rPr>
                <w:rFonts w:cs="GHEA Grapalat"/>
                <w:lang w:val="hy-AM"/>
              </w:rPr>
              <w:t>Կառավարության որոշման նախագծում կներկայացվեն հանքի փակման ծրագրին համապատասխան ռեկուլտիվացիոն աշխատանքների իրականացման  համար անհրաժեշտ գումարների վերահաշվարկման, վերջնական հատկացումների կատարման մեխանիզմնե</w:t>
            </w:r>
            <w:r w:rsidRPr="0053423A">
              <w:rPr>
                <w:rFonts w:cs="GHEA Grapalat"/>
                <w:b/>
                <w:lang w:val="hy-AM"/>
              </w:rPr>
              <w:t xml:space="preserve">ր: </w:t>
            </w:r>
            <w:r w:rsidRPr="0053423A">
              <w:rPr>
                <w:rStyle w:val="Strong"/>
                <w:rFonts w:cs="Sylfaen"/>
                <w:lang w:val="hy-AM"/>
              </w:rPr>
              <w:t xml:space="preserve">Կստեղծվեն իրավական հիմքեր, որոնք թույլ կտան օգտագործել շրջակա միջավայրի պահպանության դրամագլխին հատկացված գումարները խախտված տարածքներում նոր բիզնես ծրագրերի իրականացման համար </w:t>
            </w:r>
            <w:r w:rsidRPr="0053423A">
              <w:rPr>
                <w:b/>
                <w:shd w:val="clear" w:color="auto" w:fill="FFFFFF"/>
                <w:lang w:val="hy-AM"/>
              </w:rPr>
              <w:t>(</w:t>
            </w:r>
            <w:r w:rsidRPr="0053423A">
              <w:rPr>
                <w:rStyle w:val="Strong"/>
                <w:rFonts w:cs="Sylfaen"/>
                <w:lang w:val="hy-AM"/>
              </w:rPr>
              <w:t>օրինակ՝ ռեկրեացիոն գոտիների ստեղծում, ձկնաբուծական տնտեսություններ և այլն</w:t>
            </w:r>
            <w:r w:rsidRPr="0053423A">
              <w:rPr>
                <w:rFonts w:cs="Sylfaen"/>
                <w:b/>
                <w:lang w:val="hy-AM"/>
              </w:rPr>
              <w:t>):</w:t>
            </w:r>
          </w:p>
          <w:p w:rsidR="00530B14" w:rsidRPr="0053423A" w:rsidRDefault="00530B14" w:rsidP="00A67858">
            <w:pPr>
              <w:pStyle w:val="ListParagraph"/>
              <w:numPr>
                <w:ilvl w:val="0"/>
                <w:numId w:val="11"/>
              </w:numPr>
              <w:spacing w:line="276" w:lineRule="auto"/>
              <w:jc w:val="both"/>
              <w:rPr>
                <w:b/>
                <w:i/>
                <w:lang w:val="hy-AM"/>
              </w:rPr>
            </w:pPr>
            <w:r w:rsidRPr="0053423A">
              <w:rPr>
                <w:b/>
                <w:i/>
                <w:lang w:val="hy-AM"/>
              </w:rPr>
              <w:t>Միջոցառման իրականացումից ակնկալվող արդյունքը</w:t>
            </w:r>
          </w:p>
          <w:p w:rsidR="00530B14" w:rsidRPr="0053423A" w:rsidRDefault="00530B14" w:rsidP="00A67858">
            <w:pPr>
              <w:spacing w:line="276" w:lineRule="auto"/>
              <w:ind w:firstLine="375"/>
              <w:jc w:val="both"/>
              <w:rPr>
                <w:rFonts w:cs="Sylfaen"/>
                <w:lang w:val="hy-AM"/>
              </w:rPr>
            </w:pPr>
            <w:r w:rsidRPr="0053423A">
              <w:rPr>
                <w:rFonts w:cs="Sylfaen"/>
                <w:lang w:val="hy-AM"/>
              </w:rPr>
              <w:t>Ռեկուլտիվացիոն աշխատանքների արդյունավետ և նպատակային (այդ թվում՝ բիզնես-ծրագրերի ծավալման) իրականացման համար անհրաժեշտ գումարների առկայություն:</w:t>
            </w:r>
          </w:p>
          <w:p w:rsidR="00530B14" w:rsidRPr="0053423A" w:rsidRDefault="00530B14" w:rsidP="00A67858">
            <w:pPr>
              <w:spacing w:line="276" w:lineRule="auto"/>
              <w:ind w:firstLine="375"/>
              <w:jc w:val="both"/>
              <w:rPr>
                <w:b/>
                <w:shd w:val="clear" w:color="auto" w:fill="FFFFFF"/>
                <w:lang w:val="hy-AM"/>
              </w:rPr>
            </w:pPr>
          </w:p>
          <w:p w:rsidR="00530B14" w:rsidRPr="0053423A" w:rsidRDefault="00530B14" w:rsidP="00A67858">
            <w:pPr>
              <w:spacing w:line="276" w:lineRule="auto"/>
              <w:ind w:firstLine="375"/>
              <w:jc w:val="center"/>
              <w:rPr>
                <w:rFonts w:cs="GHEA Grapalat"/>
                <w:b/>
                <w:u w:val="single"/>
                <w:lang w:val="hy-AM"/>
              </w:rPr>
            </w:pPr>
            <w:r w:rsidRPr="0053423A">
              <w:rPr>
                <w:b/>
                <w:u w:val="single"/>
                <w:shd w:val="clear" w:color="auto" w:fill="FFFFFF"/>
                <w:lang w:val="hy-AM"/>
              </w:rPr>
              <w:t xml:space="preserve">8.2 </w:t>
            </w:r>
            <w:r w:rsidRPr="0053423A">
              <w:rPr>
                <w:rFonts w:cs="GHEA Grapalat"/>
                <w:b/>
                <w:u w:val="single"/>
                <w:lang w:val="hy-AM"/>
              </w:rPr>
              <w:t xml:space="preserve">«Ռեկուլտիվացիոն աշխատանքների նախահաշվային արժեքների հաշվարկման և վերահաշվարկման կարգը հաստատելու մասին» Կառավարության որոշման </w:t>
            </w:r>
            <w:r w:rsidRPr="0053423A">
              <w:rPr>
                <w:rFonts w:cs="Arial"/>
                <w:b/>
                <w:u w:val="single"/>
                <w:lang w:val="hy-AM"/>
              </w:rPr>
              <w:t>նախագիծը վարչապետի աշխատակազմ ներկայացնելը</w:t>
            </w:r>
            <w:r w:rsidRPr="0053423A">
              <w:rPr>
                <w:rFonts w:cs="GHEA Grapalat"/>
                <w:b/>
                <w:u w:val="single"/>
                <w:lang w:val="hy-AM"/>
              </w:rPr>
              <w:t>»</w:t>
            </w:r>
          </w:p>
          <w:p w:rsidR="00530B14" w:rsidRPr="0053423A" w:rsidRDefault="00530B14" w:rsidP="00A67858">
            <w:pPr>
              <w:spacing w:line="276" w:lineRule="auto"/>
              <w:ind w:firstLine="375"/>
              <w:jc w:val="center"/>
              <w:rPr>
                <w:b/>
                <w:u w:val="single"/>
                <w:shd w:val="clear" w:color="auto" w:fill="FFFFFF"/>
                <w:lang w:val="hy-AM"/>
              </w:rPr>
            </w:pPr>
          </w:p>
          <w:p w:rsidR="00530B14" w:rsidRPr="0053423A" w:rsidRDefault="00530B14" w:rsidP="00A67858">
            <w:pPr>
              <w:pStyle w:val="ListParagraph"/>
              <w:numPr>
                <w:ilvl w:val="0"/>
                <w:numId w:val="16"/>
              </w:numPr>
              <w:spacing w:line="276" w:lineRule="auto"/>
              <w:rPr>
                <w:b/>
                <w:i/>
                <w:lang w:val="hy-AM"/>
              </w:rPr>
            </w:pPr>
            <w:r w:rsidRPr="0053423A">
              <w:rPr>
                <w:b/>
                <w:i/>
                <w:lang w:val="hy-AM"/>
              </w:rPr>
              <w:t xml:space="preserve">Միջոցառման իրակացման անհրաժեշտությունը և նպատակը </w:t>
            </w:r>
          </w:p>
          <w:p w:rsidR="00530B14" w:rsidRPr="0053423A" w:rsidRDefault="00232EB0" w:rsidP="00A67858">
            <w:pPr>
              <w:spacing w:line="276" w:lineRule="auto"/>
              <w:ind w:firstLine="375"/>
              <w:jc w:val="both"/>
              <w:rPr>
                <w:rFonts w:cs="Sylfaen"/>
                <w:lang w:val="hy-AM"/>
              </w:rPr>
            </w:pPr>
            <w:r w:rsidRPr="0053423A">
              <w:rPr>
                <w:rFonts w:cs="Sylfaen"/>
                <w:lang w:val="hy-AM"/>
              </w:rPr>
              <w:t>Միջո</w:t>
            </w:r>
            <w:r w:rsidR="00530B14" w:rsidRPr="0053423A">
              <w:rPr>
                <w:rFonts w:cs="Sylfaen"/>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Հանքերի փակման (ռեկուլտիվացիայի ժամանակակից մեխանիզմների կիրառման խթանում ուղղությունը:</w:t>
            </w:r>
          </w:p>
          <w:p w:rsidR="00530B14" w:rsidRPr="0053423A" w:rsidRDefault="00530B14" w:rsidP="00A67858">
            <w:pPr>
              <w:spacing w:line="276" w:lineRule="auto"/>
              <w:ind w:firstLine="375"/>
              <w:jc w:val="both"/>
              <w:rPr>
                <w:rFonts w:cs="Sylfaen"/>
                <w:lang w:val="hy-AM"/>
              </w:rPr>
            </w:pPr>
            <w:r w:rsidRPr="0053423A">
              <w:rPr>
                <w:rFonts w:cs="Sylfaen"/>
                <w:lang w:val="hy-AM"/>
              </w:rPr>
              <w:t xml:space="preserve">ՀՀ ընդերքի մասին օրենսգրքի (ՀՕ-280-Ն, 28.11.2011թ.) 17-րդ հոդվածի 2-րդ մասի 14-րդ կետի համաձայն՝ </w:t>
            </w:r>
            <w:r w:rsidRPr="0053423A">
              <w:rPr>
                <w:color w:val="000000"/>
                <w:shd w:val="clear" w:color="auto" w:fill="FFFFFF"/>
                <w:lang w:val="hy-AM"/>
              </w:rPr>
              <w:t>ընդերքօգտագործման հետ կապված՝ շրջակա միջավայրի պահպանության ոլորտում բնապահպանության բնագավառի պետական կառավարման լիազոր մարմնի (բնապահպանության նախարարության) իրավասություններից է ռեկուլտիվացիոն աշխատանքների նախահաշվային արժեքների հաշվարկման և ինդեքսավորման կարգի հաստատումը:</w:t>
            </w:r>
          </w:p>
          <w:p w:rsidR="00530B14" w:rsidRPr="0053423A" w:rsidRDefault="00530B14" w:rsidP="00A67858">
            <w:pPr>
              <w:spacing w:line="276" w:lineRule="auto"/>
              <w:ind w:firstLine="375"/>
              <w:jc w:val="both"/>
              <w:rPr>
                <w:color w:val="000000"/>
                <w:shd w:val="clear" w:color="auto" w:fill="FFFFFF"/>
                <w:lang w:val="hy-AM"/>
              </w:rPr>
            </w:pPr>
            <w:r w:rsidRPr="0053423A">
              <w:rPr>
                <w:rFonts w:cs="Sylfaen"/>
                <w:lang w:val="hy-AM"/>
              </w:rPr>
              <w:t>«</w:t>
            </w:r>
            <w:r w:rsidRPr="0053423A">
              <w:rPr>
                <w:rFonts w:cs="GHEA Grapalat"/>
                <w:lang w:val="hy-AM"/>
              </w:rPr>
              <w:t>Ռեկուլտիվացիոն աշխատանքների նախահաշվային արժեքների հաշվարկման և վերահաշվարկման կարգը հաստատելու մասին</w:t>
            </w:r>
            <w:r w:rsidRPr="0053423A">
              <w:rPr>
                <w:rFonts w:cs="Arial"/>
                <w:lang w:val="hy-AM"/>
              </w:rPr>
              <w:t>»</w:t>
            </w:r>
            <w:r w:rsidRPr="0053423A">
              <w:rPr>
                <w:lang w:val="hy-AM"/>
              </w:rPr>
              <w:t xml:space="preserve"> </w:t>
            </w:r>
            <w:r w:rsidRPr="0053423A">
              <w:rPr>
                <w:rFonts w:cs="Sylfaen"/>
                <w:lang w:val="hy-AM"/>
              </w:rPr>
              <w:t>ՀՀ</w:t>
            </w:r>
            <w:r w:rsidRPr="0053423A">
              <w:rPr>
                <w:lang w:val="hy-AM"/>
              </w:rPr>
              <w:t xml:space="preserve"> </w:t>
            </w:r>
            <w:r w:rsidRPr="0053423A">
              <w:rPr>
                <w:rFonts w:cs="Sylfaen"/>
                <w:lang w:val="hy-AM"/>
              </w:rPr>
              <w:t>կառավարության</w:t>
            </w:r>
            <w:r w:rsidRPr="0053423A">
              <w:rPr>
                <w:lang w:val="hy-AM"/>
              </w:rPr>
              <w:t xml:space="preserve"> </w:t>
            </w:r>
            <w:r w:rsidRPr="0053423A">
              <w:rPr>
                <w:rFonts w:cs="Sylfaen"/>
                <w:lang w:val="hy-AM"/>
              </w:rPr>
              <w:t>որոշման</w:t>
            </w:r>
            <w:r w:rsidRPr="0053423A">
              <w:rPr>
                <w:lang w:val="hy-AM"/>
              </w:rPr>
              <w:t xml:space="preserve"> </w:t>
            </w:r>
            <w:r w:rsidRPr="0053423A">
              <w:rPr>
                <w:rFonts w:cs="Sylfaen"/>
                <w:lang w:val="hy-AM"/>
              </w:rPr>
              <w:t xml:space="preserve">նախագծի մշակումը ամրագրված է </w:t>
            </w:r>
            <w:r w:rsidRPr="0053423A">
              <w:rPr>
                <w:rFonts w:cs="GHEA Grapalat"/>
                <w:lang w:val="hy-AM"/>
              </w:rPr>
              <w:t>ամրագրված</w:t>
            </w:r>
            <w:r w:rsidRPr="0053423A">
              <w:rPr>
                <w:rFonts w:cs="GHEA Grapalat"/>
                <w:lang w:val="it-IT"/>
              </w:rPr>
              <w:t xml:space="preserve"> </w:t>
            </w:r>
            <w:r w:rsidRPr="0053423A">
              <w:rPr>
                <w:rFonts w:cs="GHEA Grapalat"/>
                <w:lang w:val="hy-AM"/>
              </w:rPr>
              <w:t>է</w:t>
            </w:r>
            <w:r w:rsidRPr="0053423A">
              <w:rPr>
                <w:rFonts w:cs="GHEA Grapalat"/>
                <w:lang w:val="it-IT"/>
              </w:rPr>
              <w:t xml:space="preserve"> </w:t>
            </w:r>
            <w:r w:rsidRPr="0053423A">
              <w:rPr>
                <w:rFonts w:cs="GHEA Grapalat"/>
                <w:lang w:val="hy-AM"/>
              </w:rPr>
              <w:t>Կառավարության</w:t>
            </w:r>
            <w:r w:rsidRPr="0053423A">
              <w:rPr>
                <w:rFonts w:cs="GHEA Grapalat"/>
                <w:lang w:val="it-IT"/>
              </w:rPr>
              <w:t xml:space="preserve"> 08.02.2019</w:t>
            </w:r>
            <w:r w:rsidRPr="0053423A">
              <w:rPr>
                <w:rFonts w:cs="GHEA Grapalat"/>
                <w:lang w:val="hy-AM"/>
              </w:rPr>
              <w:t>թ</w:t>
            </w:r>
            <w:r w:rsidRPr="0053423A">
              <w:rPr>
                <w:rFonts w:cs="GHEA Grapalat"/>
                <w:lang w:val="it-IT"/>
              </w:rPr>
              <w:t>.-ի N65-Ա որոշման 4.8 գլխում՝ որպես</w:t>
            </w:r>
            <w:r w:rsidRPr="0053423A">
              <w:rPr>
                <w:rFonts w:cs="Sylfaen"/>
                <w:lang w:val="hy-AM"/>
              </w:rPr>
              <w:t xml:space="preserve"> հողերի</w:t>
            </w:r>
            <w:r w:rsidRPr="0053423A">
              <w:rPr>
                <w:lang w:val="hy-AM"/>
              </w:rPr>
              <w:t xml:space="preserve"> </w:t>
            </w:r>
            <w:r w:rsidRPr="0053423A">
              <w:rPr>
                <w:rFonts w:cs="Sylfaen"/>
                <w:lang w:val="hy-AM"/>
              </w:rPr>
              <w:t>աղտոտման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դեգրադացման</w:t>
            </w:r>
            <w:r w:rsidRPr="0053423A">
              <w:rPr>
                <w:lang w:val="hy-AM"/>
              </w:rPr>
              <w:t xml:space="preserve"> </w:t>
            </w:r>
            <w:r w:rsidRPr="0053423A">
              <w:rPr>
                <w:rFonts w:cs="Sylfaen"/>
                <w:lang w:val="hy-AM"/>
              </w:rPr>
              <w:t>նվազմանն</w:t>
            </w:r>
            <w:r w:rsidRPr="0053423A">
              <w:rPr>
                <w:lang w:val="hy-AM"/>
              </w:rPr>
              <w:t xml:space="preserve"> </w:t>
            </w:r>
            <w:r w:rsidRPr="0053423A">
              <w:rPr>
                <w:rFonts w:cs="Sylfaen"/>
                <w:lang w:val="hy-AM"/>
              </w:rPr>
              <w:t>ուղղված</w:t>
            </w:r>
            <w:r w:rsidRPr="0053423A">
              <w:rPr>
                <w:lang w:val="hy-AM"/>
              </w:rPr>
              <w:t xml:space="preserve"> </w:t>
            </w:r>
            <w:r w:rsidRPr="0053423A">
              <w:rPr>
                <w:rFonts w:cs="Sylfaen"/>
                <w:lang w:val="hy-AM"/>
              </w:rPr>
              <w:t>քաղաքականության</w:t>
            </w:r>
            <w:r w:rsidRPr="0053423A">
              <w:rPr>
                <w:lang w:val="hy-AM"/>
              </w:rPr>
              <w:t xml:space="preserve"> </w:t>
            </w:r>
            <w:r w:rsidRPr="0053423A">
              <w:rPr>
                <w:rFonts w:cs="Sylfaen"/>
                <w:lang w:val="hy-AM"/>
              </w:rPr>
              <w:t xml:space="preserve">մշակում, Կառավարության 01.06.2018թ.-ի N 626-Լ որոշմամբ հաստատված </w:t>
            </w:r>
            <w:r w:rsidRPr="0053423A">
              <w:rPr>
                <w:color w:val="000000"/>
                <w:shd w:val="clear" w:color="auto" w:fill="FFFFFF"/>
                <w:lang w:val="hy-AM"/>
              </w:rPr>
              <w:t>ռեկուլտիվացիոն ֆոնդի արդյունավետ կառավարման հայեցակարգն ապահովող միջոցառումների ցանկով:</w:t>
            </w:r>
          </w:p>
          <w:p w:rsidR="00530B14" w:rsidRPr="0053423A" w:rsidRDefault="00530B14" w:rsidP="00A67858">
            <w:pPr>
              <w:spacing w:line="276" w:lineRule="auto"/>
              <w:ind w:firstLine="375"/>
              <w:jc w:val="both"/>
              <w:rPr>
                <w:lang w:val="hy-AM"/>
              </w:rPr>
            </w:pPr>
            <w:r w:rsidRPr="0053423A">
              <w:rPr>
                <w:lang w:val="hy-AM"/>
              </w:rPr>
              <w:t>Որոշման նախագծի նպատակն է մշակել և հաստատել իրավական հենք ընդերքօգտագործման հետևանքով խախտված տարածքների նպատակային, արդյունավետ վերականգնման նախագծերի կազմման համար, ինչպես նաև ներդնել մեխանիզմներ հանքի վերջնական փակման ծրագրի մշակման ընթացքում  հողերի լիարժեք վերականգնման ապահովման համար անհրաժեշտ գումարների վերահաշվարկման համար:</w:t>
            </w:r>
          </w:p>
          <w:p w:rsidR="00530B14" w:rsidRPr="0053423A" w:rsidRDefault="00530B14" w:rsidP="00A67858">
            <w:pPr>
              <w:spacing w:line="276" w:lineRule="auto"/>
              <w:ind w:firstLine="375"/>
              <w:jc w:val="both"/>
              <w:rPr>
                <w:lang w:val="hy-AM"/>
              </w:rPr>
            </w:pPr>
          </w:p>
          <w:p w:rsidR="00530B14" w:rsidRPr="0053423A" w:rsidRDefault="00530B14" w:rsidP="00A67858">
            <w:pPr>
              <w:pStyle w:val="ListParagraph"/>
              <w:numPr>
                <w:ilvl w:val="1"/>
                <w:numId w:val="12"/>
              </w:numPr>
              <w:spacing w:line="276" w:lineRule="auto"/>
              <w:ind w:left="0" w:firstLine="553"/>
              <w:rPr>
                <w:b/>
                <w:lang w:val="hy-AM"/>
              </w:rPr>
            </w:pPr>
            <w:r w:rsidRPr="0053423A">
              <w:rPr>
                <w:b/>
                <w:lang w:val="hy-AM"/>
              </w:rPr>
              <w:t>Կարգավորման հարաբերությունների ներկա վիճակը և առկա խնդիրները</w:t>
            </w:r>
          </w:p>
          <w:p w:rsidR="00530B14" w:rsidRPr="0053423A" w:rsidRDefault="00530B14" w:rsidP="00A67858">
            <w:pPr>
              <w:spacing w:line="276" w:lineRule="auto"/>
              <w:ind w:firstLine="720"/>
              <w:jc w:val="both"/>
              <w:rPr>
                <w:lang w:val="hy-AM"/>
              </w:rPr>
            </w:pPr>
            <w:r w:rsidRPr="0053423A">
              <w:rPr>
                <w:lang w:val="hy-AM"/>
              </w:rPr>
              <w:t>Ներկայումս ընդերքօգտագործողներ գերակշռող մասը (մոտ 90%) մշակում են միայն խախտված հողերի լեռնատեխնիկական վերականգնման նախագծեր՝ սահմանափակվելով ռեկուլտիվացվող տարածքներում մակաբացման ապարների, հազվադեպ՝ նախապես կուտակված հողաբուսական շերտի փռման, հարթեման աշխատանքներով: Նման մոտեցումը չի նպաստում վերականգնվող տարածքներում նոր լանդշաֆտային միավորների ստեղծմանը, բացառվում է այդ տարածքներում որևիցե այլ տնտեսական գործունեության իրականացումը, ինչպես նաև դրանք շարունակում են մնալ շրջակա միջավայրի աղտոտման աղբյուր:</w:t>
            </w:r>
          </w:p>
          <w:p w:rsidR="00530B14" w:rsidRPr="0053423A" w:rsidRDefault="00530B14" w:rsidP="00A67858">
            <w:pPr>
              <w:pStyle w:val="NormalWeb"/>
              <w:spacing w:before="0" w:beforeAutospacing="0" w:after="0" w:afterAutospacing="0" w:line="276" w:lineRule="auto"/>
              <w:jc w:val="both"/>
              <w:rPr>
                <w:rFonts w:ascii="GHEA Grapalat" w:hAnsi="GHEA Grapalat"/>
                <w:sz w:val="20"/>
                <w:szCs w:val="20"/>
                <w:shd w:val="clear" w:color="auto" w:fill="FFFFFF"/>
                <w:lang w:val="hy-AM"/>
              </w:rPr>
            </w:pPr>
            <w:r w:rsidRPr="0053423A">
              <w:rPr>
                <w:rFonts w:ascii="GHEA Grapalat" w:hAnsi="GHEA Grapalat"/>
                <w:sz w:val="20"/>
                <w:szCs w:val="20"/>
                <w:lang w:val="hy-AM"/>
              </w:rPr>
              <w:tab/>
              <w:t xml:space="preserve">Միաժամանակ, </w:t>
            </w:r>
            <w:r w:rsidRPr="0053423A">
              <w:rPr>
                <w:rFonts w:ascii="GHEA Grapalat" w:hAnsi="GHEA Grapalat"/>
                <w:sz w:val="20"/>
                <w:szCs w:val="20"/>
                <w:shd w:val="clear" w:color="auto" w:fill="FFFFFF"/>
                <w:lang w:val="hy-AM"/>
              </w:rPr>
              <w:t>հաշվի առնելով ընդերքօգտագործման թույլտվությունների գործողությունների ժամկետները՝ մինչև 50 տարի, հանքի փակման ժամանակ անհրաժեշտություն է առաջանում վերանայել ռեկուլտիվացիայի ծրագիրը և այն համապատասխանեցնել հանքի փակման վերջնական ծրագրին, վերականգնման աշխատանքների իրականացման փաստացի ծավալներին:</w:t>
            </w:r>
          </w:p>
          <w:p w:rsidR="00530B14" w:rsidRPr="0053423A" w:rsidRDefault="00530B14" w:rsidP="00A67858">
            <w:pPr>
              <w:pStyle w:val="NormalWeb"/>
              <w:spacing w:before="0" w:beforeAutospacing="0" w:after="0" w:afterAutospacing="0" w:line="276" w:lineRule="auto"/>
              <w:ind w:firstLine="373"/>
              <w:jc w:val="both"/>
              <w:rPr>
                <w:rFonts w:ascii="GHEA Grapalat" w:hAnsi="GHEA Grapalat"/>
                <w:b/>
                <w:sz w:val="20"/>
                <w:szCs w:val="20"/>
                <w:lang w:val="hy-AM"/>
              </w:rPr>
            </w:pPr>
            <w:r w:rsidRPr="0053423A">
              <w:rPr>
                <w:rFonts w:ascii="GHEA Grapalat" w:hAnsi="GHEA Grapalat"/>
                <w:sz w:val="20"/>
                <w:szCs w:val="20"/>
                <w:shd w:val="clear" w:color="auto" w:fill="FFFFFF"/>
                <w:lang w:val="hy-AM"/>
              </w:rPr>
              <w:t xml:space="preserve">1.2 </w:t>
            </w:r>
            <w:r w:rsidRPr="0053423A">
              <w:rPr>
                <w:rFonts w:ascii="GHEA Grapalat" w:hAnsi="GHEA Grapalat"/>
                <w:b/>
                <w:sz w:val="20"/>
                <w:szCs w:val="20"/>
                <w:lang w:val="hy-AM"/>
              </w:rPr>
              <w:t>Առկա խնդիրների առաջարկվող լուծումները</w:t>
            </w:r>
          </w:p>
          <w:p w:rsidR="00530B14" w:rsidRPr="0053423A" w:rsidRDefault="00530B14" w:rsidP="00A67858">
            <w:pPr>
              <w:spacing w:line="276" w:lineRule="auto"/>
              <w:ind w:firstLine="375"/>
              <w:jc w:val="both"/>
              <w:rPr>
                <w:lang w:val="hy-AM"/>
              </w:rPr>
            </w:pPr>
            <w:r w:rsidRPr="0053423A">
              <w:rPr>
                <w:lang w:val="hy-AM"/>
              </w:rPr>
              <w:t>Առկա խնդիրների լուծման նպատակով կվերանայվի գործող իրավական ակտը, որով սահմանվում են ռեկուլտիվացիոն արժեքների կառուցվածքը, ծախսատեսակները, աշխատանքների արժեքների հաշվարկման մեթոդաբանությունը, կսահմանվեն գումարների ինդեքսավորման նոր մոտեցումներ:</w:t>
            </w:r>
          </w:p>
          <w:p w:rsidR="00530B14" w:rsidRPr="0053423A" w:rsidRDefault="00530B14" w:rsidP="00A67858">
            <w:pPr>
              <w:pStyle w:val="ListParagraph"/>
              <w:numPr>
                <w:ilvl w:val="0"/>
                <w:numId w:val="16"/>
              </w:numPr>
              <w:spacing w:line="276" w:lineRule="auto"/>
              <w:jc w:val="both"/>
              <w:rPr>
                <w:b/>
                <w:i/>
                <w:lang w:val="hy-AM"/>
              </w:rPr>
            </w:pPr>
            <w:r w:rsidRPr="0053423A">
              <w:rPr>
                <w:b/>
                <w:i/>
                <w:lang w:val="hy-AM"/>
              </w:rPr>
              <w:t>Միջոցառման իրականացումից ակնկալվող արդյունքը</w:t>
            </w:r>
          </w:p>
          <w:p w:rsidR="00530B14" w:rsidRPr="0053423A" w:rsidRDefault="00530B14" w:rsidP="00A67858">
            <w:pPr>
              <w:pStyle w:val="Text"/>
              <w:spacing w:after="0" w:line="276" w:lineRule="auto"/>
              <w:ind w:firstLine="375"/>
              <w:rPr>
                <w:rFonts w:ascii="GHEA Grapalat" w:eastAsia="GHEA Grapalat" w:hAnsi="GHEA Grapalat" w:cs="GHEA Grapalat"/>
                <w:b/>
                <w:u w:val="single"/>
                <w:lang w:val="hy-AM" w:eastAsia="zh-CN"/>
              </w:rPr>
            </w:pPr>
            <w:r w:rsidRPr="0053423A">
              <w:rPr>
                <w:rFonts w:ascii="GHEA Grapalat" w:hAnsi="GHEA Grapalat" w:cs="GHEA Grapalat"/>
                <w:lang w:val="hy-AM"/>
              </w:rPr>
              <w:t>Ընդերքօգտագործման արդյունքում խախտված հողերի ռեկուլտիվացման իրատեսական և արդյունավետ աշխատանքների նախագծերի կազմման,   աշխատանքների նախահաշվային արժեքների հաշվարկման գործուն մեխանիզմների առկայություն:</w:t>
            </w:r>
          </w:p>
          <w:p w:rsidR="00530B14" w:rsidRPr="0053423A" w:rsidRDefault="00530B14" w:rsidP="00A67858">
            <w:pPr>
              <w:spacing w:line="276" w:lineRule="auto"/>
              <w:jc w:val="center"/>
              <w:rPr>
                <w:b/>
                <w:bCs/>
                <w:lang w:val="hy-AM"/>
              </w:rPr>
            </w:pPr>
          </w:p>
        </w:tc>
      </w:tr>
      <w:tr w:rsidR="00530B14" w:rsidRPr="00DE2EFA" w:rsidTr="004440EB">
        <w:tc>
          <w:tcPr>
            <w:tcW w:w="480" w:type="dxa"/>
          </w:tcPr>
          <w:p w:rsidR="00530B14" w:rsidRPr="0053423A" w:rsidRDefault="00530B14" w:rsidP="00A67858">
            <w:pPr>
              <w:spacing w:line="276" w:lineRule="auto"/>
              <w:jc w:val="center"/>
              <w:rPr>
                <w:b/>
                <w:bCs/>
                <w:lang w:val="hy-AM"/>
              </w:rPr>
            </w:pPr>
            <w:r w:rsidRPr="0053423A">
              <w:rPr>
                <w:b/>
                <w:bCs/>
                <w:lang w:val="hy-AM"/>
              </w:rPr>
              <w:t xml:space="preserve">9 </w:t>
            </w:r>
          </w:p>
        </w:tc>
        <w:tc>
          <w:tcPr>
            <w:tcW w:w="10879" w:type="dxa"/>
          </w:tcPr>
          <w:p w:rsidR="00530B14" w:rsidRPr="0053423A" w:rsidRDefault="00530B14" w:rsidP="00A67858">
            <w:pPr>
              <w:spacing w:line="276" w:lineRule="auto"/>
              <w:jc w:val="center"/>
              <w:rPr>
                <w:b/>
                <w:lang w:val="hy-AM"/>
              </w:rPr>
            </w:pPr>
            <w:r w:rsidRPr="0053423A">
              <w:rPr>
                <w:b/>
                <w:lang w:val="hy-AM"/>
              </w:rPr>
              <w:t>Քիմիական նյութերի և թափոնների</w:t>
            </w:r>
          </w:p>
          <w:p w:rsidR="00530B14" w:rsidRPr="0053423A" w:rsidRDefault="00530B14" w:rsidP="00A67858">
            <w:pPr>
              <w:spacing w:line="276" w:lineRule="auto"/>
              <w:jc w:val="center"/>
              <w:rPr>
                <w:b/>
                <w:lang w:val="hy-AM"/>
              </w:rPr>
            </w:pPr>
            <w:r w:rsidRPr="0053423A">
              <w:rPr>
                <w:b/>
                <w:lang w:val="hy-AM"/>
              </w:rPr>
              <w:t>(այդ թվում՝ ընդերքօգտագործման) էկոլոգիապես անվտանգ կառավարում</w:t>
            </w:r>
          </w:p>
          <w:p w:rsidR="00530B14" w:rsidRPr="0053423A" w:rsidRDefault="00530B14" w:rsidP="00A67858">
            <w:pPr>
              <w:spacing w:line="276" w:lineRule="auto"/>
              <w:jc w:val="center"/>
              <w:rPr>
                <w:b/>
                <w:lang w:val="hy-AM"/>
              </w:rPr>
            </w:pPr>
          </w:p>
          <w:p w:rsidR="00530B14" w:rsidRPr="0053423A" w:rsidRDefault="00530B14" w:rsidP="00A67858">
            <w:pPr>
              <w:spacing w:line="276" w:lineRule="auto"/>
              <w:jc w:val="center"/>
              <w:rPr>
                <w:b/>
                <w:u w:val="single"/>
                <w:lang w:val="hy-AM"/>
              </w:rPr>
            </w:pPr>
            <w:r w:rsidRPr="0053423A">
              <w:rPr>
                <w:b/>
                <w:u w:val="single"/>
                <w:lang w:val="hy-AM"/>
              </w:rPr>
              <w:t xml:space="preserve">9.1 </w:t>
            </w:r>
            <w:r w:rsidRPr="0053423A">
              <w:rPr>
                <w:rFonts w:eastAsia="Calibri" w:cs="GHEA Grapalat"/>
                <w:b/>
                <w:u w:val="single"/>
                <w:lang w:val="hy-AM"/>
              </w:rPr>
              <w:t xml:space="preserve">«Քիմիական նյութերի մասին» օրենքի </w:t>
            </w:r>
            <w:r w:rsidRPr="0053423A">
              <w:rPr>
                <w:rFonts w:cs="Arial"/>
                <w:b/>
                <w:u w:val="single"/>
                <w:lang w:val="hy-AM"/>
              </w:rPr>
              <w:t>նախագիծը վարչապետի աշխատակազմ ներկայացնելը</w:t>
            </w:r>
            <w:r w:rsidRPr="0053423A">
              <w:rPr>
                <w:rFonts w:eastAsia="Calibri" w:cs="GHEA Grapalat"/>
                <w:b/>
                <w:u w:val="single"/>
                <w:lang w:val="hy-AM"/>
              </w:rPr>
              <w:t>»</w:t>
            </w:r>
          </w:p>
          <w:p w:rsidR="00530B14" w:rsidRPr="0053423A" w:rsidRDefault="00530B14" w:rsidP="00A67858">
            <w:pPr>
              <w:spacing w:line="276" w:lineRule="auto"/>
              <w:jc w:val="center"/>
              <w:rPr>
                <w:b/>
                <w:bCs/>
                <w:lang w:val="hy-AM"/>
              </w:rPr>
            </w:pPr>
          </w:p>
          <w:p w:rsidR="00530B14" w:rsidRPr="0053423A" w:rsidRDefault="00530B14" w:rsidP="00A67858">
            <w:pPr>
              <w:pStyle w:val="ListParagraph"/>
              <w:numPr>
                <w:ilvl w:val="0"/>
                <w:numId w:val="23"/>
              </w:numPr>
              <w:spacing w:line="276" w:lineRule="auto"/>
              <w:ind w:left="0" w:right="104" w:firstLine="283"/>
              <w:rPr>
                <w:b/>
                <w:i/>
              </w:rPr>
            </w:pPr>
            <w:r w:rsidRPr="0053423A">
              <w:rPr>
                <w:b/>
                <w:i/>
                <w:lang w:val="hy-AM"/>
              </w:rPr>
              <w:t xml:space="preserve">Միջոցառման իրակացման անհրաժեշտությունը և նպատակը </w:t>
            </w:r>
          </w:p>
          <w:p w:rsidR="00530B14" w:rsidRPr="0053423A" w:rsidRDefault="00232EB0" w:rsidP="00A67858">
            <w:pPr>
              <w:spacing w:line="276" w:lineRule="auto"/>
              <w:ind w:firstLine="283"/>
              <w:jc w:val="both"/>
              <w:rPr>
                <w:rFonts w:cs="Sylfaen"/>
                <w:shd w:val="clear" w:color="auto" w:fill="FFFFFF"/>
              </w:rPr>
            </w:pPr>
            <w:r w:rsidRPr="0053423A">
              <w:rPr>
                <w:rFonts w:cs="Sylfaen"/>
                <w:shd w:val="clear" w:color="auto" w:fill="FFFFFF"/>
              </w:rPr>
              <w:t>Միջո</w:t>
            </w:r>
            <w:r w:rsidR="00530B14" w:rsidRPr="0053423A">
              <w:rPr>
                <w:rFonts w:cs="Sylfaen"/>
                <w:shd w:val="clear" w:color="auto" w:fill="FFFFFF"/>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Քիմիական նյութերի և թափոնների (այդ թվում՝ ընդերքօգտագործման) էկոլոգիապես անվտանգ կառավարում ուղղությունը:</w:t>
            </w:r>
          </w:p>
          <w:p w:rsidR="00530B14" w:rsidRPr="0053423A" w:rsidRDefault="00530B14" w:rsidP="00A67858">
            <w:pPr>
              <w:tabs>
                <w:tab w:val="left" w:pos="90"/>
                <w:tab w:val="left" w:pos="180"/>
                <w:tab w:val="left" w:pos="270"/>
                <w:tab w:val="left" w:pos="540"/>
                <w:tab w:val="left" w:pos="630"/>
              </w:tabs>
              <w:spacing w:line="276" w:lineRule="auto"/>
              <w:ind w:right="187" w:firstLine="283"/>
              <w:jc w:val="both"/>
              <w:rPr>
                <w:rFonts w:cs="Sylfaen"/>
                <w:color w:val="000000"/>
                <w:lang w:val="hy-AM"/>
              </w:rPr>
            </w:pPr>
            <w:r w:rsidRPr="0053423A">
              <w:rPr>
                <w:rFonts w:cs="Sylfaen"/>
                <w:color w:val="000000"/>
                <w:lang w:val="de-DE"/>
              </w:rPr>
              <w:t>«</w:t>
            </w:r>
            <w:r w:rsidRPr="0053423A">
              <w:rPr>
                <w:rFonts w:cs="Sylfaen"/>
                <w:color w:val="000000"/>
                <w:lang w:val="hy-AM"/>
              </w:rPr>
              <w:t>Քիմիական</w:t>
            </w:r>
            <w:r w:rsidRPr="0053423A">
              <w:rPr>
                <w:rFonts w:cs="Sylfaen"/>
                <w:color w:val="000000"/>
                <w:lang w:val="de-DE"/>
              </w:rPr>
              <w:t xml:space="preserve"> </w:t>
            </w:r>
            <w:r w:rsidRPr="0053423A">
              <w:rPr>
                <w:rFonts w:cs="Sylfaen"/>
                <w:color w:val="000000"/>
                <w:lang w:val="hy-AM"/>
              </w:rPr>
              <w:t>նյութերի</w:t>
            </w:r>
            <w:r w:rsidRPr="0053423A">
              <w:rPr>
                <w:rFonts w:cs="Sylfaen"/>
                <w:color w:val="000000"/>
                <w:lang w:val="de-DE"/>
              </w:rPr>
              <w:t xml:space="preserve"> </w:t>
            </w:r>
            <w:r w:rsidRPr="0053423A">
              <w:rPr>
                <w:rFonts w:cs="Sylfaen"/>
                <w:color w:val="000000"/>
                <w:lang w:val="hy-AM"/>
              </w:rPr>
              <w:t>մասին</w:t>
            </w:r>
            <w:r w:rsidRPr="0053423A">
              <w:rPr>
                <w:rFonts w:cs="Sylfaen"/>
                <w:color w:val="000000"/>
                <w:lang w:val="de-DE"/>
              </w:rPr>
              <w:t xml:space="preserve">» </w:t>
            </w:r>
            <w:r w:rsidRPr="0053423A">
              <w:rPr>
                <w:rFonts w:cs="Sylfaen"/>
                <w:color w:val="000000"/>
                <w:lang w:val="hy-AM"/>
              </w:rPr>
              <w:t>օրենքի</w:t>
            </w:r>
            <w:r w:rsidRPr="0053423A">
              <w:rPr>
                <w:rFonts w:cs="Sylfaen"/>
                <w:color w:val="000000"/>
                <w:lang w:val="de-DE"/>
              </w:rPr>
              <w:t xml:space="preserve"> </w:t>
            </w:r>
            <w:r w:rsidRPr="0053423A">
              <w:rPr>
                <w:rFonts w:cs="Sylfaen"/>
                <w:color w:val="000000"/>
                <w:lang w:val="hy-AM"/>
              </w:rPr>
              <w:t>նախագծի</w:t>
            </w:r>
            <w:r w:rsidRPr="0053423A">
              <w:rPr>
                <w:rFonts w:eastAsia="Calibri" w:cs="Arial"/>
                <w:lang w:val="hy-AM"/>
              </w:rPr>
              <w:t xml:space="preserve"> նպատակը քիմիական նյութերի՝ մարդու առողջության և շրջակա միջավայրի պահպանության տեսանկյունից անվտանգ գործածության ապահովումն է:</w:t>
            </w:r>
            <w:r w:rsidRPr="0053423A">
              <w:rPr>
                <w:rFonts w:cs="Sylfaen"/>
                <w:color w:val="000000"/>
                <w:lang w:val="hy-AM"/>
              </w:rPr>
              <w:t xml:space="preserve"> </w:t>
            </w:r>
          </w:p>
          <w:p w:rsidR="00530B14" w:rsidRPr="0053423A" w:rsidRDefault="00530B14" w:rsidP="00A67858">
            <w:pPr>
              <w:tabs>
                <w:tab w:val="left" w:pos="90"/>
                <w:tab w:val="left" w:pos="180"/>
                <w:tab w:val="left" w:pos="630"/>
                <w:tab w:val="left" w:pos="720"/>
              </w:tabs>
              <w:spacing w:line="276" w:lineRule="auto"/>
              <w:ind w:right="187" w:firstLine="283"/>
              <w:jc w:val="both"/>
              <w:rPr>
                <w:rFonts w:eastAsia="Calibri"/>
                <w:lang w:val="pt-BR"/>
              </w:rPr>
            </w:pPr>
            <w:r w:rsidRPr="0053423A">
              <w:rPr>
                <w:rFonts w:cs="Sylfaen"/>
                <w:color w:val="000000"/>
                <w:lang w:val="hy-AM"/>
              </w:rPr>
              <w:t xml:space="preserve"> Նախագծի</w:t>
            </w:r>
            <w:r w:rsidRPr="0053423A">
              <w:rPr>
                <w:rFonts w:cs="Sylfaen"/>
                <w:bCs/>
                <w:color w:val="000000"/>
                <w:kern w:val="32"/>
                <w:lang w:val="af-ZA"/>
              </w:rPr>
              <w:t xml:space="preserve"> </w:t>
            </w:r>
            <w:r w:rsidRPr="0053423A">
              <w:rPr>
                <w:rFonts w:cs="Sylfaen"/>
                <w:bCs/>
                <w:color w:val="000000"/>
                <w:kern w:val="32"/>
                <w:lang w:val="hy-AM"/>
              </w:rPr>
              <w:t>մշակման</w:t>
            </w:r>
            <w:r w:rsidRPr="0053423A">
              <w:rPr>
                <w:rFonts w:cs="Arial"/>
                <w:bCs/>
                <w:color w:val="000000"/>
                <w:kern w:val="32"/>
                <w:lang w:val="de-DE"/>
              </w:rPr>
              <w:t xml:space="preserve"> </w:t>
            </w:r>
            <w:r w:rsidRPr="0053423A">
              <w:rPr>
                <w:rFonts w:cs="Sylfaen"/>
                <w:bCs/>
                <w:color w:val="000000"/>
                <w:kern w:val="32"/>
                <w:lang w:val="hy-AM"/>
              </w:rPr>
              <w:t>անհրաժեշտությունը</w:t>
            </w:r>
            <w:r w:rsidRPr="0053423A">
              <w:rPr>
                <w:rFonts w:cs="Arial"/>
                <w:bCs/>
                <w:color w:val="000000"/>
                <w:kern w:val="32"/>
                <w:lang w:val="de-DE"/>
              </w:rPr>
              <w:t xml:space="preserve"> </w:t>
            </w:r>
            <w:r w:rsidRPr="0053423A">
              <w:rPr>
                <w:rFonts w:cs="Sylfaen"/>
                <w:bCs/>
                <w:color w:val="000000"/>
                <w:kern w:val="32"/>
                <w:lang w:val="hy-AM"/>
              </w:rPr>
              <w:t>բխում</w:t>
            </w:r>
            <w:r w:rsidRPr="0053423A">
              <w:rPr>
                <w:rFonts w:cs="Arial"/>
                <w:bCs/>
                <w:color w:val="000000"/>
                <w:kern w:val="32"/>
                <w:lang w:val="de-DE"/>
              </w:rPr>
              <w:t xml:space="preserve"> </w:t>
            </w:r>
            <w:r w:rsidRPr="0053423A">
              <w:rPr>
                <w:rFonts w:cs="Sylfaen"/>
                <w:bCs/>
                <w:color w:val="000000"/>
                <w:kern w:val="32"/>
                <w:lang w:val="hy-AM"/>
              </w:rPr>
              <w:t>է</w:t>
            </w:r>
            <w:r w:rsidRPr="0053423A">
              <w:rPr>
                <w:rFonts w:eastAsia="Calibri" w:cs="Arial"/>
                <w:lang w:val="hy-AM"/>
              </w:rPr>
              <w:t xml:space="preserve"> Հայաստանի Հանրապետության կողմից վավերացված կոնվենցիաներից, ինչպես նաև </w:t>
            </w:r>
            <w:r w:rsidRPr="0053423A">
              <w:rPr>
                <w:rFonts w:ascii="Calibri" w:hAnsi="Calibri" w:cs="Calibri"/>
                <w:lang w:val="hy-AM"/>
              </w:rPr>
              <w:t> </w:t>
            </w:r>
            <w:r w:rsidRPr="0053423A">
              <w:rPr>
                <w:rFonts w:eastAsia="Calibri" w:cs="Arial"/>
                <w:lang w:val="hy-AM"/>
              </w:rPr>
              <w:t>Հայաստանի</w:t>
            </w:r>
            <w:r w:rsidRPr="0053423A">
              <w:rPr>
                <w:rFonts w:eastAsia="Calibri" w:cs="Arial"/>
                <w:lang w:val="pt-BR"/>
              </w:rPr>
              <w:t xml:space="preserve"> </w:t>
            </w:r>
            <w:r w:rsidRPr="0053423A">
              <w:rPr>
                <w:rFonts w:eastAsia="Calibri" w:cs="Arial"/>
                <w:lang w:val="hy-AM"/>
              </w:rPr>
              <w:t>Հանրապետության</w:t>
            </w:r>
            <w:r w:rsidRPr="0053423A">
              <w:rPr>
                <w:rFonts w:eastAsia="Calibri" w:cs="Arial"/>
                <w:lang w:val="pt-BR"/>
              </w:rPr>
              <w:t xml:space="preserve"> </w:t>
            </w:r>
            <w:r w:rsidRPr="0053423A">
              <w:rPr>
                <w:rFonts w:eastAsia="Calibri" w:cs="Arial"/>
                <w:lang w:val="hy-AM"/>
              </w:rPr>
              <w:t>Սահմանադրության</w:t>
            </w:r>
            <w:r w:rsidRPr="0053423A">
              <w:rPr>
                <w:rFonts w:eastAsia="Calibri" w:cs="Arial"/>
                <w:lang w:val="pt-BR"/>
              </w:rPr>
              <w:t xml:space="preserve"> 6-</w:t>
            </w:r>
            <w:r w:rsidRPr="0053423A">
              <w:rPr>
                <w:rFonts w:eastAsia="Calibri" w:cs="Arial"/>
                <w:lang w:val="hy-AM"/>
              </w:rPr>
              <w:t>րդ</w:t>
            </w:r>
            <w:r w:rsidRPr="0053423A">
              <w:rPr>
                <w:rFonts w:eastAsia="Calibri" w:cs="Arial"/>
                <w:lang w:val="pt-BR"/>
              </w:rPr>
              <w:t xml:space="preserve"> </w:t>
            </w:r>
            <w:r w:rsidRPr="0053423A">
              <w:rPr>
                <w:rFonts w:eastAsia="Calibri" w:cs="Arial"/>
                <w:lang w:val="hy-AM"/>
              </w:rPr>
              <w:t>հոդվածից, որի համաձայն</w:t>
            </w:r>
            <w:r w:rsidRPr="0053423A">
              <w:rPr>
                <w:rFonts w:eastAsia="Calibri" w:cs="Arial"/>
                <w:lang w:val="pt-BR"/>
              </w:rPr>
              <w:t xml:space="preserve"> </w:t>
            </w:r>
            <w:r w:rsidRPr="0053423A">
              <w:rPr>
                <w:rFonts w:eastAsia="Calibri" w:cs="Arial"/>
                <w:lang w:val="hy-AM"/>
              </w:rPr>
              <w:t>պետական</w:t>
            </w:r>
            <w:r w:rsidRPr="0053423A">
              <w:rPr>
                <w:rFonts w:eastAsia="Calibri"/>
                <w:lang w:val="pt-BR"/>
              </w:rPr>
              <w:t xml:space="preserve"> </w:t>
            </w:r>
            <w:r w:rsidRPr="0053423A">
              <w:rPr>
                <w:rFonts w:eastAsia="Calibri" w:cs="Arial"/>
                <w:lang w:val="hy-AM"/>
              </w:rPr>
              <w:t>և</w:t>
            </w:r>
            <w:r w:rsidRPr="0053423A">
              <w:rPr>
                <w:rFonts w:eastAsia="Calibri"/>
                <w:lang w:val="pt-BR"/>
              </w:rPr>
              <w:t xml:space="preserve"> </w:t>
            </w:r>
            <w:r w:rsidRPr="0053423A">
              <w:rPr>
                <w:rFonts w:eastAsia="Calibri" w:cs="Arial"/>
                <w:lang w:val="hy-AM"/>
              </w:rPr>
              <w:t>տեղական</w:t>
            </w:r>
            <w:r w:rsidRPr="0053423A">
              <w:rPr>
                <w:rFonts w:eastAsia="Calibri"/>
                <w:lang w:val="pt-BR"/>
              </w:rPr>
              <w:t xml:space="preserve"> </w:t>
            </w:r>
            <w:r w:rsidRPr="0053423A">
              <w:rPr>
                <w:rFonts w:eastAsia="Calibri" w:cs="Arial"/>
                <w:lang w:val="hy-AM"/>
              </w:rPr>
              <w:t>ինքնակառավարման</w:t>
            </w:r>
            <w:r w:rsidRPr="0053423A">
              <w:rPr>
                <w:rFonts w:eastAsia="Calibri"/>
                <w:lang w:val="pt-BR"/>
              </w:rPr>
              <w:t xml:space="preserve"> </w:t>
            </w:r>
            <w:r w:rsidRPr="0053423A">
              <w:rPr>
                <w:rFonts w:eastAsia="Calibri" w:cs="Arial"/>
                <w:lang w:val="hy-AM"/>
              </w:rPr>
              <w:t>մարմիններն</w:t>
            </w:r>
            <w:r w:rsidRPr="0053423A">
              <w:rPr>
                <w:rFonts w:eastAsia="Calibri"/>
                <w:lang w:val="pt-BR"/>
              </w:rPr>
              <w:t xml:space="preserve"> </w:t>
            </w:r>
            <w:r w:rsidRPr="0053423A">
              <w:rPr>
                <w:rFonts w:eastAsia="Calibri" w:cs="Arial"/>
                <w:lang w:val="hy-AM"/>
              </w:rPr>
              <w:t>ու</w:t>
            </w:r>
            <w:r w:rsidRPr="0053423A">
              <w:rPr>
                <w:rFonts w:eastAsia="Calibri"/>
                <w:lang w:val="pt-BR"/>
              </w:rPr>
              <w:t xml:space="preserve"> </w:t>
            </w:r>
            <w:r w:rsidRPr="0053423A">
              <w:rPr>
                <w:rFonts w:eastAsia="Calibri" w:cs="Arial"/>
                <w:lang w:val="hy-AM"/>
              </w:rPr>
              <w:t>պաշտոնատար</w:t>
            </w:r>
            <w:r w:rsidRPr="0053423A">
              <w:rPr>
                <w:rFonts w:eastAsia="Calibri"/>
                <w:lang w:val="pt-BR"/>
              </w:rPr>
              <w:t xml:space="preserve"> </w:t>
            </w:r>
            <w:r w:rsidRPr="0053423A">
              <w:rPr>
                <w:rFonts w:eastAsia="Calibri" w:cs="Arial"/>
                <w:lang w:val="hy-AM"/>
              </w:rPr>
              <w:t>անձինք</w:t>
            </w:r>
            <w:r w:rsidRPr="0053423A">
              <w:rPr>
                <w:rFonts w:eastAsia="Calibri"/>
                <w:lang w:val="pt-BR"/>
              </w:rPr>
              <w:t xml:space="preserve"> </w:t>
            </w:r>
            <w:r w:rsidRPr="0053423A">
              <w:rPr>
                <w:rFonts w:eastAsia="Calibri" w:cs="Arial"/>
                <w:lang w:val="hy-AM"/>
              </w:rPr>
              <w:t>իրավասու</w:t>
            </w:r>
            <w:r w:rsidRPr="0053423A">
              <w:rPr>
                <w:rFonts w:eastAsia="Calibri"/>
                <w:lang w:val="pt-BR"/>
              </w:rPr>
              <w:t xml:space="preserve"> </w:t>
            </w:r>
            <w:r w:rsidRPr="0053423A">
              <w:rPr>
                <w:rFonts w:eastAsia="Calibri" w:cs="Arial"/>
                <w:lang w:val="hy-AM"/>
              </w:rPr>
              <w:t>են</w:t>
            </w:r>
            <w:r w:rsidRPr="0053423A">
              <w:rPr>
                <w:rFonts w:eastAsia="Calibri"/>
                <w:lang w:val="pt-BR"/>
              </w:rPr>
              <w:t xml:space="preserve"> </w:t>
            </w:r>
            <w:r w:rsidRPr="0053423A">
              <w:rPr>
                <w:rFonts w:eastAsia="Calibri" w:cs="Arial"/>
                <w:lang w:val="hy-AM"/>
              </w:rPr>
              <w:t>կատարելու</w:t>
            </w:r>
            <w:r w:rsidRPr="0053423A">
              <w:rPr>
                <w:rFonts w:eastAsia="Calibri"/>
                <w:lang w:val="pt-BR"/>
              </w:rPr>
              <w:t xml:space="preserve"> </w:t>
            </w:r>
            <w:r w:rsidRPr="0053423A">
              <w:rPr>
                <w:rFonts w:eastAsia="Calibri" w:cs="Arial"/>
                <w:lang w:val="hy-AM"/>
              </w:rPr>
              <w:t>միայն</w:t>
            </w:r>
            <w:r w:rsidRPr="0053423A">
              <w:rPr>
                <w:rFonts w:eastAsia="Calibri"/>
                <w:lang w:val="pt-BR"/>
              </w:rPr>
              <w:t xml:space="preserve"> </w:t>
            </w:r>
            <w:r w:rsidRPr="0053423A">
              <w:rPr>
                <w:rFonts w:eastAsia="Calibri" w:cs="Arial"/>
                <w:lang w:val="hy-AM"/>
              </w:rPr>
              <w:t>այնպիսի</w:t>
            </w:r>
            <w:r w:rsidRPr="0053423A">
              <w:rPr>
                <w:rFonts w:eastAsia="Calibri"/>
                <w:lang w:val="pt-BR"/>
              </w:rPr>
              <w:t xml:space="preserve"> </w:t>
            </w:r>
            <w:r w:rsidRPr="0053423A">
              <w:rPr>
                <w:rFonts w:eastAsia="Calibri" w:cs="Arial"/>
                <w:lang w:val="hy-AM"/>
              </w:rPr>
              <w:t>գործողություններ</w:t>
            </w:r>
            <w:r w:rsidRPr="0053423A">
              <w:rPr>
                <w:rFonts w:eastAsia="Calibri"/>
                <w:lang w:val="pt-BR"/>
              </w:rPr>
              <w:t xml:space="preserve">, </w:t>
            </w:r>
            <w:r w:rsidRPr="0053423A">
              <w:rPr>
                <w:rFonts w:eastAsia="Calibri" w:cs="Arial"/>
                <w:lang w:val="hy-AM"/>
              </w:rPr>
              <w:t>որոնց</w:t>
            </w:r>
            <w:r w:rsidRPr="0053423A">
              <w:rPr>
                <w:rFonts w:eastAsia="Calibri"/>
                <w:lang w:val="pt-BR"/>
              </w:rPr>
              <w:t xml:space="preserve"> </w:t>
            </w:r>
            <w:r w:rsidRPr="0053423A">
              <w:rPr>
                <w:rFonts w:eastAsia="Calibri" w:cs="Arial"/>
                <w:lang w:val="hy-AM"/>
              </w:rPr>
              <w:t>համար</w:t>
            </w:r>
            <w:r w:rsidRPr="0053423A">
              <w:rPr>
                <w:rFonts w:eastAsia="Calibri"/>
                <w:lang w:val="pt-BR"/>
              </w:rPr>
              <w:t xml:space="preserve"> </w:t>
            </w:r>
            <w:r w:rsidRPr="0053423A">
              <w:rPr>
                <w:rFonts w:eastAsia="Calibri" w:cs="Arial"/>
                <w:lang w:val="hy-AM"/>
              </w:rPr>
              <w:t>լիազորված</w:t>
            </w:r>
            <w:r w:rsidRPr="0053423A">
              <w:rPr>
                <w:rFonts w:eastAsia="Calibri"/>
                <w:lang w:val="pt-BR"/>
              </w:rPr>
              <w:t xml:space="preserve"> </w:t>
            </w:r>
            <w:r w:rsidRPr="0053423A">
              <w:rPr>
                <w:rFonts w:eastAsia="Calibri" w:cs="Arial"/>
                <w:lang w:val="hy-AM"/>
              </w:rPr>
              <w:t>են</w:t>
            </w:r>
            <w:r w:rsidRPr="0053423A">
              <w:rPr>
                <w:rFonts w:eastAsia="Calibri"/>
                <w:lang w:val="pt-BR"/>
              </w:rPr>
              <w:t xml:space="preserve"> </w:t>
            </w:r>
            <w:r w:rsidRPr="0053423A">
              <w:rPr>
                <w:rFonts w:eastAsia="Calibri" w:cs="Arial"/>
                <w:lang w:val="hy-AM"/>
              </w:rPr>
              <w:t>Սահմանադրությամբ</w:t>
            </w:r>
            <w:r w:rsidRPr="0053423A">
              <w:rPr>
                <w:rFonts w:eastAsia="Calibri"/>
                <w:lang w:val="pt-BR"/>
              </w:rPr>
              <w:t xml:space="preserve"> </w:t>
            </w:r>
            <w:r w:rsidRPr="0053423A">
              <w:rPr>
                <w:rFonts w:eastAsia="Calibri" w:cs="Arial"/>
                <w:lang w:val="hy-AM"/>
              </w:rPr>
              <w:t>կամ</w:t>
            </w:r>
            <w:r w:rsidRPr="0053423A">
              <w:rPr>
                <w:rFonts w:eastAsia="Calibri"/>
                <w:lang w:val="pt-BR"/>
              </w:rPr>
              <w:t xml:space="preserve"> </w:t>
            </w:r>
            <w:r w:rsidRPr="0053423A">
              <w:rPr>
                <w:rFonts w:eastAsia="Calibri" w:cs="Arial"/>
                <w:lang w:val="hy-AM"/>
              </w:rPr>
              <w:t>օրենքներով</w:t>
            </w:r>
            <w:r w:rsidRPr="0053423A">
              <w:rPr>
                <w:rFonts w:eastAsia="Calibri"/>
                <w:lang w:val="pt-BR"/>
              </w:rPr>
              <w:t xml:space="preserve">: </w:t>
            </w:r>
            <w:r w:rsidRPr="0053423A">
              <w:rPr>
                <w:rFonts w:eastAsia="Calibri"/>
                <w:lang w:val="hy-AM"/>
              </w:rPr>
              <w:t>Հետևաբար</w:t>
            </w:r>
            <w:r w:rsidRPr="0053423A">
              <w:rPr>
                <w:rFonts w:eastAsia="Calibri"/>
                <w:lang w:val="pt-BR"/>
              </w:rPr>
              <w:t xml:space="preserve">` </w:t>
            </w:r>
            <w:r w:rsidRPr="0053423A">
              <w:rPr>
                <w:rFonts w:eastAsia="Calibri"/>
                <w:lang w:val="hy-AM"/>
              </w:rPr>
              <w:t>քիմիական</w:t>
            </w:r>
            <w:r w:rsidRPr="0053423A">
              <w:rPr>
                <w:rFonts w:eastAsia="Calibri"/>
                <w:lang w:val="pt-BR"/>
              </w:rPr>
              <w:t xml:space="preserve"> </w:t>
            </w:r>
            <w:r w:rsidRPr="0053423A">
              <w:rPr>
                <w:rFonts w:eastAsia="Calibri"/>
                <w:lang w:val="hy-AM"/>
              </w:rPr>
              <w:t>նյութերի</w:t>
            </w:r>
            <w:r w:rsidRPr="0053423A">
              <w:rPr>
                <w:rFonts w:eastAsia="Calibri"/>
                <w:lang w:val="pt-BR"/>
              </w:rPr>
              <w:t xml:space="preserve"> </w:t>
            </w:r>
            <w:r w:rsidRPr="0053423A">
              <w:rPr>
                <w:rFonts w:eastAsia="Calibri"/>
                <w:lang w:val="hy-AM"/>
              </w:rPr>
              <w:t>գործածության</w:t>
            </w:r>
            <w:r w:rsidRPr="0053423A">
              <w:rPr>
                <w:rFonts w:eastAsia="Calibri"/>
                <w:lang w:val="pt-BR"/>
              </w:rPr>
              <w:t xml:space="preserve"> </w:t>
            </w:r>
            <w:r w:rsidRPr="0053423A">
              <w:rPr>
                <w:rFonts w:eastAsia="Calibri"/>
                <w:lang w:val="hy-AM"/>
              </w:rPr>
              <w:t>ոլորտում</w:t>
            </w:r>
            <w:r w:rsidRPr="0053423A">
              <w:rPr>
                <w:rFonts w:eastAsia="Calibri"/>
                <w:lang w:val="pt-BR"/>
              </w:rPr>
              <w:t xml:space="preserve"> </w:t>
            </w:r>
            <w:r w:rsidRPr="0053423A">
              <w:rPr>
                <w:rFonts w:eastAsia="Calibri"/>
                <w:lang w:val="hy-AM"/>
              </w:rPr>
              <w:t>պետական</w:t>
            </w:r>
            <w:r w:rsidRPr="0053423A">
              <w:rPr>
                <w:rFonts w:eastAsia="Calibri"/>
                <w:lang w:val="pt-BR"/>
              </w:rPr>
              <w:t xml:space="preserve"> </w:t>
            </w:r>
            <w:r w:rsidRPr="0053423A">
              <w:rPr>
                <w:rFonts w:eastAsia="Calibri"/>
                <w:lang w:val="hy-AM"/>
              </w:rPr>
              <w:t>կառավարման</w:t>
            </w:r>
            <w:r w:rsidRPr="0053423A">
              <w:rPr>
                <w:rFonts w:eastAsia="Calibri"/>
                <w:lang w:val="pt-BR"/>
              </w:rPr>
              <w:t xml:space="preserve"> </w:t>
            </w:r>
            <w:r w:rsidRPr="0053423A">
              <w:rPr>
                <w:rFonts w:eastAsia="Calibri"/>
                <w:lang w:val="hy-AM"/>
              </w:rPr>
              <w:t>մարմինների</w:t>
            </w:r>
            <w:r w:rsidRPr="0053423A">
              <w:rPr>
                <w:rFonts w:eastAsia="Calibri"/>
                <w:lang w:val="pt-BR"/>
              </w:rPr>
              <w:t xml:space="preserve"> </w:t>
            </w:r>
            <w:r w:rsidRPr="0053423A">
              <w:rPr>
                <w:rFonts w:eastAsia="Calibri"/>
                <w:lang w:val="hy-AM"/>
              </w:rPr>
              <w:t>իրավասությունները</w:t>
            </w:r>
            <w:r w:rsidRPr="0053423A">
              <w:rPr>
                <w:rFonts w:eastAsia="Calibri"/>
                <w:lang w:val="pt-BR"/>
              </w:rPr>
              <w:t xml:space="preserve"> </w:t>
            </w:r>
            <w:r w:rsidRPr="0053423A">
              <w:rPr>
                <w:rFonts w:eastAsia="Calibri"/>
                <w:lang w:val="hy-AM"/>
              </w:rPr>
              <w:t>պետք</w:t>
            </w:r>
            <w:r w:rsidRPr="0053423A">
              <w:rPr>
                <w:rFonts w:eastAsia="Calibri"/>
                <w:lang w:val="pt-BR"/>
              </w:rPr>
              <w:t xml:space="preserve"> </w:t>
            </w:r>
            <w:r w:rsidRPr="0053423A">
              <w:rPr>
                <w:rFonts w:eastAsia="Calibri"/>
                <w:lang w:val="hy-AM"/>
              </w:rPr>
              <w:t>է</w:t>
            </w:r>
            <w:r w:rsidRPr="0053423A">
              <w:rPr>
                <w:rFonts w:eastAsia="Calibri"/>
                <w:lang w:val="pt-BR"/>
              </w:rPr>
              <w:t xml:space="preserve"> </w:t>
            </w:r>
            <w:r w:rsidRPr="0053423A">
              <w:rPr>
                <w:rFonts w:eastAsia="Calibri"/>
                <w:lang w:val="hy-AM"/>
              </w:rPr>
              <w:t>բխեն</w:t>
            </w:r>
            <w:r w:rsidRPr="0053423A">
              <w:rPr>
                <w:rFonts w:eastAsia="Calibri"/>
                <w:lang w:val="pt-BR"/>
              </w:rPr>
              <w:t xml:space="preserve"> </w:t>
            </w:r>
            <w:r w:rsidRPr="0053423A">
              <w:rPr>
                <w:rFonts w:eastAsia="Calibri"/>
                <w:lang w:val="hy-AM"/>
              </w:rPr>
              <w:t>օրենքից</w:t>
            </w:r>
            <w:r w:rsidRPr="0053423A">
              <w:rPr>
                <w:rFonts w:eastAsia="Calibri"/>
                <w:lang w:val="pt-BR"/>
              </w:rPr>
              <w:t>:</w:t>
            </w:r>
          </w:p>
          <w:p w:rsidR="00530B14" w:rsidRPr="0053423A" w:rsidRDefault="00530B14" w:rsidP="00A67858">
            <w:pPr>
              <w:pStyle w:val="ListParagraph"/>
              <w:numPr>
                <w:ilvl w:val="1"/>
                <w:numId w:val="24"/>
              </w:numPr>
              <w:spacing w:line="276" w:lineRule="auto"/>
              <w:ind w:left="0" w:right="180" w:firstLine="283"/>
              <w:rPr>
                <w:b/>
                <w:lang w:val="hy-AM"/>
              </w:rPr>
            </w:pPr>
            <w:r w:rsidRPr="0053423A">
              <w:rPr>
                <w:b/>
                <w:lang w:val="hy-AM"/>
              </w:rPr>
              <w:t xml:space="preserve">կարգավորման հարաբերությունների ներկա վիճակը և առկա խնդիրները </w:t>
            </w:r>
          </w:p>
          <w:p w:rsidR="00530B14" w:rsidRPr="0053423A" w:rsidRDefault="00530B14" w:rsidP="00A67858">
            <w:pPr>
              <w:spacing w:line="276" w:lineRule="auto"/>
              <w:ind w:right="180" w:firstLine="283"/>
              <w:jc w:val="both"/>
              <w:rPr>
                <w:rFonts w:eastAsia="Calibri" w:cs="Arial"/>
                <w:lang w:val="hy-AM"/>
              </w:rPr>
            </w:pPr>
            <w:r w:rsidRPr="0053423A">
              <w:rPr>
                <w:rFonts w:eastAsia="Calibri" w:cs="Arial"/>
                <w:lang w:val="hy-AM"/>
              </w:rPr>
              <w:t>Հայաստանի Հանրապետությունում քիմիական նյութերի գործածության բնագավառում ընդունված են բավականին մեծ թվով իրավական ակտեր, որոնք հիմնականում բխում են Հայաստանի Հանրապետության միջազգային պայմանագրերից և կարգավորում են քիմիական նյութերի բնագավառի առանձին, երբեմն միմյանց հետ չկապակցվող իրավահարաբերություններ: Քիմիական նյութերի գործածության բնագավառում ընդունված և՛ միջազգային կոնվենցիաները, և՛ ներպետական օրենսդրությունը, և՛ Եվրասիական տնտեսական միության շրջանակներում ընդունված իրավական ակտերը հիմնականում կարգավորում են որոշ քիմիական նյութերի արգելման, ներմուծման և արտահանման գործընթացները կամ կարգավորում են սահմանափակ թվով քիմիական նյութերի գործածությունը, մինչդեռ Հայաստանի Հանրապետությունում քիմիական նյութերի գրանցման, մակնշման հետ կապված հարաբերությունները կարգավորված չեն:</w:t>
            </w:r>
          </w:p>
          <w:p w:rsidR="00530B14" w:rsidRPr="0053423A" w:rsidRDefault="00530B14" w:rsidP="00A67858">
            <w:pPr>
              <w:pStyle w:val="ListParagraph"/>
              <w:numPr>
                <w:ilvl w:val="1"/>
                <w:numId w:val="23"/>
              </w:numPr>
              <w:spacing w:line="276" w:lineRule="auto"/>
              <w:ind w:left="0" w:right="180" w:firstLine="283"/>
              <w:jc w:val="both"/>
              <w:rPr>
                <w:b/>
              </w:rPr>
            </w:pPr>
            <w:r w:rsidRPr="0053423A">
              <w:rPr>
                <w:b/>
                <w:lang w:val="hy-AM"/>
              </w:rPr>
              <w:t xml:space="preserve">առկա խնդիրների առաջարկվող լուծումները </w:t>
            </w:r>
          </w:p>
          <w:p w:rsidR="00530B14" w:rsidRPr="0053423A" w:rsidRDefault="00530B14" w:rsidP="00A67858">
            <w:pPr>
              <w:tabs>
                <w:tab w:val="left" w:pos="630"/>
              </w:tabs>
              <w:spacing w:line="276" w:lineRule="auto"/>
              <w:ind w:right="180"/>
              <w:jc w:val="both"/>
              <w:rPr>
                <w:rFonts w:eastAsia="Calibri" w:cs="Arial"/>
                <w:lang w:val="pt-BR"/>
              </w:rPr>
            </w:pPr>
            <w:r w:rsidRPr="0053423A">
              <w:rPr>
                <w:rFonts w:eastAsia="Calibri" w:cs="Arial"/>
                <w:lang w:val="hy-AM"/>
              </w:rPr>
              <w:t xml:space="preserve">   Հայաստանի</w:t>
            </w:r>
            <w:r w:rsidRPr="0053423A">
              <w:rPr>
                <w:rFonts w:eastAsia="Calibri" w:cs="Arial"/>
                <w:lang w:val="pt-BR"/>
              </w:rPr>
              <w:t xml:space="preserve"> </w:t>
            </w:r>
            <w:r w:rsidRPr="0053423A">
              <w:rPr>
                <w:rFonts w:eastAsia="Calibri" w:cs="Arial"/>
                <w:lang w:val="hy-AM"/>
              </w:rPr>
              <w:t>Հանրապետությունում</w:t>
            </w:r>
            <w:r w:rsidRPr="0053423A">
              <w:rPr>
                <w:rFonts w:eastAsia="Calibri" w:cs="Arial"/>
                <w:lang w:val="pt-BR"/>
              </w:rPr>
              <w:t xml:space="preserve"> </w:t>
            </w:r>
            <w:r w:rsidRPr="0053423A">
              <w:rPr>
                <w:rFonts w:eastAsia="Calibri" w:cs="Arial"/>
                <w:lang w:val="hy-AM"/>
              </w:rPr>
              <w:t>բացակայում</w:t>
            </w:r>
            <w:r w:rsidRPr="0053423A">
              <w:rPr>
                <w:rFonts w:eastAsia="Calibri" w:cs="Arial"/>
                <w:lang w:val="pt-BR"/>
              </w:rPr>
              <w:t xml:space="preserve"> </w:t>
            </w:r>
            <w:r w:rsidRPr="0053423A">
              <w:rPr>
                <w:rFonts w:eastAsia="Calibri" w:cs="Arial"/>
                <w:lang w:val="hy-AM"/>
              </w:rPr>
              <w:t>է</w:t>
            </w:r>
            <w:r w:rsidRPr="0053423A">
              <w:rPr>
                <w:rFonts w:eastAsia="Calibri" w:cs="Arial"/>
                <w:lang w:val="pt-BR"/>
              </w:rPr>
              <w:t xml:space="preserve"> </w:t>
            </w:r>
            <w:r w:rsidRPr="0053423A">
              <w:rPr>
                <w:rFonts w:eastAsia="Calibri" w:cs="Arial"/>
                <w:lang w:val="hy-AM"/>
              </w:rPr>
              <w:t>քիմիական</w:t>
            </w:r>
            <w:r w:rsidRPr="0053423A">
              <w:rPr>
                <w:rFonts w:eastAsia="Calibri" w:cs="Arial"/>
                <w:lang w:val="pt-BR"/>
              </w:rPr>
              <w:t xml:space="preserve"> </w:t>
            </w:r>
            <w:r w:rsidRPr="0053423A">
              <w:rPr>
                <w:rFonts w:eastAsia="Calibri" w:cs="Arial"/>
                <w:lang w:val="hy-AM"/>
              </w:rPr>
              <w:t>նյութերի</w:t>
            </w:r>
            <w:r w:rsidRPr="0053423A">
              <w:rPr>
                <w:rFonts w:eastAsia="Calibri" w:cs="Arial"/>
                <w:lang w:val="pt-BR"/>
              </w:rPr>
              <w:t xml:space="preserve"> </w:t>
            </w:r>
            <w:r w:rsidRPr="0053423A">
              <w:rPr>
                <w:rFonts w:eastAsia="Calibri" w:cs="Arial"/>
                <w:lang w:val="hy-AM"/>
              </w:rPr>
              <w:t>միասնական</w:t>
            </w:r>
            <w:r w:rsidRPr="0053423A">
              <w:rPr>
                <w:rFonts w:eastAsia="Calibri" w:cs="Arial"/>
                <w:lang w:val="pt-BR"/>
              </w:rPr>
              <w:t xml:space="preserve"> </w:t>
            </w:r>
            <w:r w:rsidRPr="0053423A">
              <w:rPr>
                <w:rFonts w:eastAsia="Calibri" w:cs="Arial"/>
                <w:lang w:val="hy-AM"/>
              </w:rPr>
              <w:t>գրանցման</w:t>
            </w:r>
            <w:r w:rsidRPr="0053423A">
              <w:rPr>
                <w:rFonts w:eastAsia="Calibri" w:cs="Arial"/>
                <w:lang w:val="pt-BR"/>
              </w:rPr>
              <w:t xml:space="preserve"> </w:t>
            </w:r>
            <w:r w:rsidRPr="0053423A">
              <w:rPr>
                <w:rFonts w:eastAsia="Calibri" w:cs="Arial"/>
                <w:lang w:val="hy-AM"/>
              </w:rPr>
              <w:t>համակարգը</w:t>
            </w:r>
            <w:r w:rsidRPr="0053423A">
              <w:rPr>
                <w:rFonts w:eastAsia="Calibri" w:cs="Arial"/>
                <w:lang w:val="pt-BR"/>
              </w:rPr>
              <w:t xml:space="preserve"> </w:t>
            </w:r>
            <w:r w:rsidRPr="0053423A">
              <w:rPr>
                <w:rFonts w:eastAsia="Calibri" w:cs="Arial"/>
                <w:lang w:val="hy-AM"/>
              </w:rPr>
              <w:t>և</w:t>
            </w:r>
            <w:r w:rsidRPr="0053423A">
              <w:rPr>
                <w:rFonts w:eastAsia="Calibri" w:cs="Arial"/>
                <w:lang w:val="pt-BR"/>
              </w:rPr>
              <w:t xml:space="preserve"> </w:t>
            </w:r>
            <w:r w:rsidRPr="0053423A">
              <w:rPr>
                <w:rFonts w:eastAsia="Calibri" w:cs="Arial"/>
                <w:lang w:val="hy-AM"/>
              </w:rPr>
              <w:t>ներկայումս</w:t>
            </w:r>
            <w:r w:rsidRPr="0053423A">
              <w:rPr>
                <w:rFonts w:eastAsia="Calibri" w:cs="Arial"/>
                <w:lang w:val="pt-BR"/>
              </w:rPr>
              <w:t xml:space="preserve"> </w:t>
            </w:r>
            <w:r w:rsidRPr="0053423A">
              <w:rPr>
                <w:rFonts w:eastAsia="Calibri" w:cs="Arial"/>
                <w:lang w:val="hy-AM"/>
              </w:rPr>
              <w:t>քիմիական</w:t>
            </w:r>
            <w:r w:rsidRPr="0053423A">
              <w:rPr>
                <w:rFonts w:eastAsia="Calibri" w:cs="Arial"/>
                <w:lang w:val="pt-BR"/>
              </w:rPr>
              <w:t xml:space="preserve"> </w:t>
            </w:r>
            <w:r w:rsidRPr="0053423A">
              <w:rPr>
                <w:rFonts w:eastAsia="Calibri" w:cs="Arial"/>
                <w:lang w:val="hy-AM"/>
              </w:rPr>
              <w:t>նյութերի</w:t>
            </w:r>
            <w:r w:rsidRPr="0053423A">
              <w:rPr>
                <w:rFonts w:eastAsia="Calibri" w:cs="Arial"/>
                <w:lang w:val="pt-BR"/>
              </w:rPr>
              <w:t xml:space="preserve"> </w:t>
            </w:r>
            <w:r w:rsidRPr="0053423A">
              <w:rPr>
                <w:rFonts w:eastAsia="Calibri" w:cs="Arial"/>
                <w:lang w:val="hy-AM"/>
              </w:rPr>
              <w:t>կարգավորման</w:t>
            </w:r>
            <w:r w:rsidRPr="0053423A">
              <w:rPr>
                <w:rFonts w:eastAsia="Calibri" w:cs="Arial"/>
                <w:lang w:val="pt-BR"/>
              </w:rPr>
              <w:t xml:space="preserve"> </w:t>
            </w:r>
            <w:r w:rsidRPr="0053423A">
              <w:rPr>
                <w:rFonts w:eastAsia="Calibri" w:cs="Arial"/>
                <w:lang w:val="hy-AM"/>
              </w:rPr>
              <w:t>բնագավառում</w:t>
            </w:r>
            <w:r w:rsidRPr="0053423A">
              <w:rPr>
                <w:rFonts w:eastAsia="Calibri" w:cs="Arial"/>
                <w:lang w:val="pt-BR"/>
              </w:rPr>
              <w:t xml:space="preserve"> </w:t>
            </w:r>
            <w:r w:rsidRPr="0053423A">
              <w:rPr>
                <w:rFonts w:eastAsia="Calibri" w:cs="Arial"/>
                <w:lang w:val="hy-AM"/>
              </w:rPr>
              <w:t>առաջնային</w:t>
            </w:r>
            <w:r w:rsidRPr="0053423A">
              <w:rPr>
                <w:rFonts w:eastAsia="Calibri" w:cs="Arial"/>
                <w:lang w:val="pt-BR"/>
              </w:rPr>
              <w:t xml:space="preserve"> </w:t>
            </w:r>
            <w:r w:rsidRPr="0053423A">
              <w:rPr>
                <w:rFonts w:eastAsia="Calibri" w:cs="Arial"/>
                <w:lang w:val="hy-AM"/>
              </w:rPr>
              <w:t>լուծում</w:t>
            </w:r>
            <w:r w:rsidRPr="0053423A">
              <w:rPr>
                <w:rFonts w:eastAsia="Calibri" w:cs="Arial"/>
                <w:lang w:val="pt-BR"/>
              </w:rPr>
              <w:t xml:space="preserve"> </w:t>
            </w:r>
            <w:r w:rsidRPr="0053423A">
              <w:rPr>
                <w:rFonts w:eastAsia="Calibri" w:cs="Arial"/>
                <w:lang w:val="hy-AM"/>
              </w:rPr>
              <w:t>պահանջող</w:t>
            </w:r>
            <w:r w:rsidRPr="0053423A">
              <w:rPr>
                <w:rFonts w:eastAsia="Calibri" w:cs="Arial"/>
                <w:lang w:val="pt-BR"/>
              </w:rPr>
              <w:t xml:space="preserve"> </w:t>
            </w:r>
            <w:r w:rsidRPr="0053423A">
              <w:rPr>
                <w:rFonts w:eastAsia="Calibri" w:cs="Arial"/>
                <w:lang w:val="hy-AM"/>
              </w:rPr>
              <w:t>խնդիրը</w:t>
            </w:r>
            <w:r w:rsidRPr="0053423A">
              <w:rPr>
                <w:rFonts w:eastAsia="Calibri" w:cs="Arial"/>
                <w:lang w:val="pt-BR"/>
              </w:rPr>
              <w:t xml:space="preserve"> </w:t>
            </w:r>
            <w:r w:rsidRPr="0053423A">
              <w:rPr>
                <w:rFonts w:eastAsia="Calibri" w:cs="Arial"/>
                <w:lang w:val="hy-AM"/>
              </w:rPr>
              <w:t>քիմիական</w:t>
            </w:r>
            <w:r w:rsidRPr="0053423A">
              <w:rPr>
                <w:rFonts w:eastAsia="Calibri" w:cs="Arial"/>
                <w:lang w:val="pt-BR"/>
              </w:rPr>
              <w:t xml:space="preserve"> </w:t>
            </w:r>
            <w:r w:rsidRPr="0053423A">
              <w:rPr>
                <w:rFonts w:eastAsia="Calibri" w:cs="Arial"/>
                <w:lang w:val="hy-AM"/>
              </w:rPr>
              <w:t>նյութերի</w:t>
            </w:r>
            <w:r w:rsidRPr="0053423A">
              <w:rPr>
                <w:rFonts w:eastAsia="Calibri" w:cs="Arial"/>
                <w:lang w:val="pt-BR"/>
              </w:rPr>
              <w:t xml:space="preserve"> </w:t>
            </w:r>
            <w:r w:rsidRPr="0053423A">
              <w:rPr>
                <w:rFonts w:eastAsia="Calibri" w:cs="Arial"/>
                <w:lang w:val="hy-AM"/>
              </w:rPr>
              <w:t>միասնական</w:t>
            </w:r>
            <w:r w:rsidRPr="0053423A">
              <w:rPr>
                <w:rFonts w:eastAsia="Calibri" w:cs="Arial"/>
                <w:lang w:val="pt-BR"/>
              </w:rPr>
              <w:t xml:space="preserve"> </w:t>
            </w:r>
            <w:r w:rsidRPr="0053423A">
              <w:rPr>
                <w:rFonts w:eastAsia="Calibri" w:cs="Arial"/>
                <w:lang w:val="hy-AM"/>
              </w:rPr>
              <w:t>գրանցման</w:t>
            </w:r>
            <w:r w:rsidRPr="0053423A">
              <w:rPr>
                <w:rFonts w:eastAsia="Calibri" w:cs="Arial"/>
                <w:lang w:val="pt-BR"/>
              </w:rPr>
              <w:t xml:space="preserve"> </w:t>
            </w:r>
            <w:r w:rsidRPr="0053423A">
              <w:rPr>
                <w:rFonts w:eastAsia="Calibri" w:cs="Arial"/>
                <w:lang w:val="hy-AM"/>
              </w:rPr>
              <w:t>համակարգի</w:t>
            </w:r>
            <w:r w:rsidRPr="0053423A">
              <w:rPr>
                <w:rFonts w:eastAsia="Calibri" w:cs="Arial"/>
                <w:lang w:val="pt-BR"/>
              </w:rPr>
              <w:t xml:space="preserve"> </w:t>
            </w:r>
            <w:r w:rsidRPr="0053423A">
              <w:rPr>
                <w:rFonts w:eastAsia="Calibri" w:cs="Arial"/>
                <w:lang w:val="hy-AM"/>
              </w:rPr>
              <w:t>ստեղծումն</w:t>
            </w:r>
            <w:r w:rsidRPr="0053423A">
              <w:rPr>
                <w:rFonts w:eastAsia="Calibri" w:cs="Arial"/>
                <w:lang w:val="pt-BR"/>
              </w:rPr>
              <w:t xml:space="preserve"> </w:t>
            </w:r>
            <w:r w:rsidRPr="0053423A">
              <w:rPr>
                <w:rFonts w:eastAsia="Calibri" w:cs="Arial"/>
                <w:lang w:val="hy-AM"/>
              </w:rPr>
              <w:t>է</w:t>
            </w:r>
            <w:r w:rsidRPr="0053423A">
              <w:rPr>
                <w:rFonts w:eastAsia="Calibri" w:cs="Arial"/>
                <w:lang w:val="pt-BR"/>
              </w:rPr>
              <w:t xml:space="preserve">, </w:t>
            </w:r>
            <w:r w:rsidRPr="0053423A">
              <w:rPr>
                <w:rFonts w:eastAsia="Calibri" w:cs="Arial"/>
                <w:lang w:val="hy-AM"/>
              </w:rPr>
              <w:t>քանի</w:t>
            </w:r>
            <w:r w:rsidRPr="0053423A">
              <w:rPr>
                <w:rFonts w:eastAsia="Calibri" w:cs="Arial"/>
                <w:lang w:val="pt-BR"/>
              </w:rPr>
              <w:t xml:space="preserve"> </w:t>
            </w:r>
            <w:r w:rsidRPr="0053423A">
              <w:rPr>
                <w:rFonts w:eastAsia="Calibri" w:cs="Arial"/>
                <w:lang w:val="hy-AM"/>
              </w:rPr>
              <w:t>որ</w:t>
            </w:r>
            <w:r w:rsidRPr="0053423A">
              <w:rPr>
                <w:rFonts w:eastAsia="Calibri" w:cs="Arial"/>
                <w:lang w:val="pt-BR"/>
              </w:rPr>
              <w:t xml:space="preserve"> </w:t>
            </w:r>
            <w:r w:rsidRPr="0053423A">
              <w:rPr>
                <w:rFonts w:eastAsia="Calibri" w:cs="Arial"/>
                <w:lang w:val="hy-AM"/>
              </w:rPr>
              <w:t>քիմիական</w:t>
            </w:r>
            <w:r w:rsidRPr="0053423A">
              <w:rPr>
                <w:rFonts w:eastAsia="Calibri" w:cs="Arial"/>
                <w:lang w:val="pt-BR"/>
              </w:rPr>
              <w:t xml:space="preserve"> </w:t>
            </w:r>
            <w:r w:rsidRPr="0053423A">
              <w:rPr>
                <w:rFonts w:eastAsia="Calibri" w:cs="Arial"/>
                <w:lang w:val="hy-AM"/>
              </w:rPr>
              <w:t>նյութերի</w:t>
            </w:r>
            <w:r w:rsidRPr="0053423A">
              <w:rPr>
                <w:rFonts w:eastAsia="Calibri" w:cs="Arial"/>
                <w:lang w:val="pt-BR"/>
              </w:rPr>
              <w:t xml:space="preserve"> </w:t>
            </w:r>
            <w:r w:rsidRPr="0053423A">
              <w:rPr>
                <w:rFonts w:eastAsia="Calibri" w:cs="Arial"/>
                <w:lang w:val="hy-AM"/>
              </w:rPr>
              <w:t>հատկությունների</w:t>
            </w:r>
            <w:r w:rsidRPr="0053423A">
              <w:rPr>
                <w:rFonts w:eastAsia="Calibri" w:cs="Arial"/>
                <w:lang w:val="pt-BR"/>
              </w:rPr>
              <w:t xml:space="preserve">, </w:t>
            </w:r>
            <w:r w:rsidRPr="0053423A">
              <w:rPr>
                <w:rFonts w:eastAsia="Calibri" w:cs="Arial"/>
                <w:lang w:val="hy-AM"/>
              </w:rPr>
              <w:t>քանակության</w:t>
            </w:r>
            <w:r w:rsidRPr="0053423A">
              <w:rPr>
                <w:rFonts w:eastAsia="Calibri" w:cs="Arial"/>
                <w:lang w:val="pt-BR"/>
              </w:rPr>
              <w:t xml:space="preserve">, </w:t>
            </w:r>
            <w:r w:rsidRPr="0053423A">
              <w:rPr>
                <w:rFonts w:eastAsia="Calibri" w:cs="Arial"/>
                <w:lang w:val="hy-AM"/>
              </w:rPr>
              <w:t>մարդու</w:t>
            </w:r>
            <w:r w:rsidRPr="0053423A">
              <w:rPr>
                <w:rFonts w:eastAsia="Calibri" w:cs="Arial"/>
                <w:lang w:val="pt-BR"/>
              </w:rPr>
              <w:t xml:space="preserve"> </w:t>
            </w:r>
            <w:r w:rsidRPr="0053423A">
              <w:rPr>
                <w:rFonts w:eastAsia="Calibri" w:cs="Arial"/>
                <w:lang w:val="hy-AM"/>
              </w:rPr>
              <w:t>առողջության</w:t>
            </w:r>
            <w:r w:rsidRPr="0053423A">
              <w:rPr>
                <w:rFonts w:eastAsia="Calibri" w:cs="Arial"/>
                <w:lang w:val="pt-BR"/>
              </w:rPr>
              <w:t xml:space="preserve"> </w:t>
            </w:r>
            <w:r w:rsidRPr="0053423A">
              <w:rPr>
                <w:rFonts w:eastAsia="Calibri" w:cs="Arial"/>
                <w:lang w:val="hy-AM"/>
              </w:rPr>
              <w:t>և</w:t>
            </w:r>
            <w:r w:rsidRPr="0053423A">
              <w:rPr>
                <w:rFonts w:eastAsia="Calibri" w:cs="Arial"/>
                <w:lang w:val="pt-BR"/>
              </w:rPr>
              <w:t xml:space="preserve"> </w:t>
            </w:r>
            <w:r w:rsidRPr="0053423A">
              <w:rPr>
                <w:rFonts w:eastAsia="Calibri" w:cs="Arial"/>
                <w:lang w:val="hy-AM"/>
              </w:rPr>
              <w:t>շրջակա</w:t>
            </w:r>
            <w:r w:rsidRPr="0053423A">
              <w:rPr>
                <w:rFonts w:eastAsia="Calibri" w:cs="Arial"/>
                <w:lang w:val="pt-BR"/>
              </w:rPr>
              <w:t xml:space="preserve"> </w:t>
            </w:r>
            <w:r w:rsidRPr="0053423A">
              <w:rPr>
                <w:rFonts w:eastAsia="Calibri" w:cs="Arial"/>
                <w:lang w:val="hy-AM"/>
              </w:rPr>
              <w:t>միջավայրի</w:t>
            </w:r>
            <w:r w:rsidRPr="0053423A">
              <w:rPr>
                <w:rFonts w:eastAsia="Calibri" w:cs="Arial"/>
                <w:lang w:val="pt-BR"/>
              </w:rPr>
              <w:t xml:space="preserve"> </w:t>
            </w:r>
            <w:r w:rsidRPr="0053423A">
              <w:rPr>
                <w:rFonts w:eastAsia="Calibri" w:cs="Arial"/>
                <w:lang w:val="hy-AM"/>
              </w:rPr>
              <w:t>վրա</w:t>
            </w:r>
            <w:r w:rsidRPr="0053423A">
              <w:rPr>
                <w:rFonts w:eastAsia="Calibri" w:cs="Arial"/>
                <w:lang w:val="pt-BR"/>
              </w:rPr>
              <w:t xml:space="preserve"> </w:t>
            </w:r>
            <w:r w:rsidRPr="0053423A">
              <w:rPr>
                <w:rFonts w:eastAsia="Calibri" w:cs="Arial"/>
                <w:lang w:val="hy-AM"/>
              </w:rPr>
              <w:t>դրանց</w:t>
            </w:r>
            <w:r w:rsidRPr="0053423A">
              <w:rPr>
                <w:rFonts w:eastAsia="Calibri" w:cs="Arial"/>
                <w:lang w:val="pt-BR"/>
              </w:rPr>
              <w:t xml:space="preserve"> </w:t>
            </w:r>
            <w:r w:rsidRPr="0053423A">
              <w:rPr>
                <w:rFonts w:eastAsia="Calibri" w:cs="Arial"/>
                <w:lang w:val="hy-AM"/>
              </w:rPr>
              <w:t>ազդեցության</w:t>
            </w:r>
            <w:r w:rsidRPr="0053423A">
              <w:rPr>
                <w:rFonts w:eastAsia="Calibri" w:cs="Arial"/>
                <w:lang w:val="pt-BR"/>
              </w:rPr>
              <w:t xml:space="preserve">, </w:t>
            </w:r>
            <w:r w:rsidRPr="0053423A">
              <w:rPr>
                <w:rFonts w:eastAsia="Calibri" w:cs="Arial"/>
                <w:lang w:val="hy-AM"/>
              </w:rPr>
              <w:t>քիմիական</w:t>
            </w:r>
            <w:r w:rsidRPr="0053423A">
              <w:rPr>
                <w:rFonts w:eastAsia="Calibri" w:cs="Arial"/>
                <w:lang w:val="pt-BR"/>
              </w:rPr>
              <w:t xml:space="preserve"> </w:t>
            </w:r>
            <w:r w:rsidRPr="0053423A">
              <w:rPr>
                <w:rFonts w:eastAsia="Calibri" w:cs="Arial"/>
                <w:lang w:val="hy-AM"/>
              </w:rPr>
              <w:t>նյութեր</w:t>
            </w:r>
            <w:r w:rsidRPr="0053423A">
              <w:rPr>
                <w:rFonts w:eastAsia="Calibri" w:cs="Arial"/>
                <w:lang w:val="pt-BR"/>
              </w:rPr>
              <w:t xml:space="preserve"> </w:t>
            </w:r>
            <w:r w:rsidRPr="0053423A">
              <w:rPr>
                <w:rFonts w:eastAsia="Calibri" w:cs="Arial"/>
                <w:lang w:val="hy-AM"/>
              </w:rPr>
              <w:t>արտադրողների</w:t>
            </w:r>
            <w:r w:rsidRPr="0053423A">
              <w:rPr>
                <w:rFonts w:eastAsia="Calibri" w:cs="Arial"/>
                <w:lang w:val="pt-BR"/>
              </w:rPr>
              <w:t xml:space="preserve">, </w:t>
            </w:r>
            <w:r w:rsidRPr="0053423A">
              <w:rPr>
                <w:rFonts w:eastAsia="Calibri" w:cs="Arial"/>
                <w:lang w:val="hy-AM"/>
              </w:rPr>
              <w:t>ներմուծողների</w:t>
            </w:r>
            <w:r w:rsidRPr="0053423A">
              <w:rPr>
                <w:rFonts w:eastAsia="Calibri" w:cs="Arial"/>
                <w:lang w:val="pt-BR"/>
              </w:rPr>
              <w:t xml:space="preserve">, </w:t>
            </w:r>
            <w:r w:rsidRPr="0053423A">
              <w:rPr>
                <w:rFonts w:eastAsia="Calibri" w:cs="Arial"/>
                <w:lang w:val="hy-AM"/>
              </w:rPr>
              <w:t>իրացնողների</w:t>
            </w:r>
            <w:r w:rsidRPr="0053423A">
              <w:rPr>
                <w:rFonts w:eastAsia="Calibri" w:cs="Arial"/>
                <w:lang w:val="pt-BR"/>
              </w:rPr>
              <w:t xml:space="preserve"> </w:t>
            </w:r>
            <w:r w:rsidRPr="0053423A">
              <w:rPr>
                <w:rFonts w:eastAsia="Calibri" w:cs="Arial"/>
                <w:lang w:val="hy-AM"/>
              </w:rPr>
              <w:t>վերաբերյալ</w:t>
            </w:r>
            <w:r w:rsidRPr="0053423A">
              <w:rPr>
                <w:rFonts w:eastAsia="Calibri" w:cs="Arial"/>
                <w:lang w:val="pt-BR"/>
              </w:rPr>
              <w:t xml:space="preserve"> </w:t>
            </w:r>
            <w:r w:rsidRPr="0053423A">
              <w:rPr>
                <w:rFonts w:eastAsia="Calibri" w:cs="Arial"/>
                <w:lang w:val="hy-AM"/>
              </w:rPr>
              <w:t>տվյալների</w:t>
            </w:r>
            <w:r w:rsidRPr="0053423A">
              <w:rPr>
                <w:rFonts w:eastAsia="Calibri" w:cs="Arial"/>
                <w:lang w:val="pt-BR"/>
              </w:rPr>
              <w:t xml:space="preserve"> </w:t>
            </w:r>
            <w:r w:rsidRPr="0053423A">
              <w:rPr>
                <w:rFonts w:eastAsia="Calibri" w:cs="Arial"/>
                <w:lang w:val="hy-AM"/>
              </w:rPr>
              <w:t>բացակայությունը</w:t>
            </w:r>
            <w:r w:rsidRPr="0053423A">
              <w:rPr>
                <w:rFonts w:eastAsia="Calibri" w:cs="Arial"/>
                <w:lang w:val="pt-BR"/>
              </w:rPr>
              <w:t xml:space="preserve"> </w:t>
            </w:r>
            <w:r w:rsidRPr="0053423A">
              <w:rPr>
                <w:rFonts w:eastAsia="Calibri" w:cs="Arial"/>
                <w:lang w:val="hy-AM"/>
              </w:rPr>
              <w:t>հնարավորություն</w:t>
            </w:r>
            <w:r w:rsidRPr="0053423A">
              <w:rPr>
                <w:rFonts w:eastAsia="Calibri" w:cs="Arial"/>
                <w:lang w:val="pt-BR"/>
              </w:rPr>
              <w:t xml:space="preserve"> </w:t>
            </w:r>
            <w:r w:rsidRPr="0053423A">
              <w:rPr>
                <w:rFonts w:eastAsia="Calibri" w:cs="Arial"/>
                <w:lang w:val="hy-AM"/>
              </w:rPr>
              <w:t>չի</w:t>
            </w:r>
            <w:r w:rsidRPr="0053423A">
              <w:rPr>
                <w:rFonts w:eastAsia="Calibri" w:cs="Arial"/>
                <w:lang w:val="pt-BR"/>
              </w:rPr>
              <w:t xml:space="preserve"> </w:t>
            </w:r>
            <w:r w:rsidRPr="0053423A">
              <w:rPr>
                <w:rFonts w:eastAsia="Calibri" w:cs="Arial"/>
                <w:lang w:val="hy-AM"/>
              </w:rPr>
              <w:t>տալու</w:t>
            </w:r>
            <w:r w:rsidRPr="0053423A">
              <w:rPr>
                <w:rFonts w:eastAsia="Calibri" w:cs="Arial"/>
                <w:lang w:val="pt-BR"/>
              </w:rPr>
              <w:t xml:space="preserve"> </w:t>
            </w:r>
            <w:r w:rsidRPr="0053423A">
              <w:rPr>
                <w:rFonts w:eastAsia="Calibri" w:cs="Arial"/>
                <w:lang w:val="hy-AM"/>
              </w:rPr>
              <w:t>պետական</w:t>
            </w:r>
            <w:r w:rsidRPr="0053423A">
              <w:rPr>
                <w:rFonts w:eastAsia="Calibri" w:cs="Arial"/>
                <w:lang w:val="pt-BR"/>
              </w:rPr>
              <w:t xml:space="preserve"> </w:t>
            </w:r>
            <w:r w:rsidRPr="0053423A">
              <w:rPr>
                <w:rFonts w:eastAsia="Calibri" w:cs="Arial"/>
                <w:lang w:val="hy-AM"/>
              </w:rPr>
              <w:t>մարմիններին</w:t>
            </w:r>
            <w:r w:rsidRPr="0053423A">
              <w:rPr>
                <w:rFonts w:eastAsia="Calibri" w:cs="Arial"/>
                <w:lang w:val="pt-BR"/>
              </w:rPr>
              <w:t xml:space="preserve"> </w:t>
            </w:r>
            <w:r w:rsidRPr="0053423A">
              <w:rPr>
                <w:rFonts w:eastAsia="Calibri" w:cs="Arial"/>
                <w:lang w:val="hy-AM"/>
              </w:rPr>
              <w:t>արդյունավետ</w:t>
            </w:r>
            <w:r w:rsidRPr="0053423A">
              <w:rPr>
                <w:rFonts w:eastAsia="Calibri" w:cs="Arial"/>
                <w:lang w:val="pt-BR"/>
              </w:rPr>
              <w:t xml:space="preserve"> </w:t>
            </w:r>
            <w:r w:rsidRPr="0053423A">
              <w:rPr>
                <w:rFonts w:eastAsia="Calibri" w:cs="Arial"/>
                <w:lang w:val="hy-AM"/>
              </w:rPr>
              <w:t>կարգավորել</w:t>
            </w:r>
            <w:r w:rsidRPr="0053423A">
              <w:rPr>
                <w:rFonts w:eastAsia="Calibri" w:cs="Arial"/>
                <w:lang w:val="pt-BR"/>
              </w:rPr>
              <w:t xml:space="preserve"> </w:t>
            </w:r>
            <w:r w:rsidRPr="0053423A">
              <w:rPr>
                <w:rFonts w:eastAsia="Calibri" w:cs="Arial"/>
                <w:lang w:val="hy-AM"/>
              </w:rPr>
              <w:t>բնագավառը</w:t>
            </w:r>
            <w:r w:rsidRPr="0053423A">
              <w:rPr>
                <w:rFonts w:eastAsia="Calibri" w:cs="Arial"/>
                <w:lang w:val="pt-BR"/>
              </w:rPr>
              <w:t>:</w:t>
            </w:r>
          </w:p>
          <w:p w:rsidR="00530B14" w:rsidRPr="0053423A" w:rsidRDefault="00530B14" w:rsidP="00A67858">
            <w:pPr>
              <w:tabs>
                <w:tab w:val="left" w:pos="540"/>
              </w:tabs>
              <w:spacing w:line="276" w:lineRule="auto"/>
              <w:ind w:right="180"/>
              <w:jc w:val="both"/>
              <w:rPr>
                <w:rFonts w:eastAsia="Calibri" w:cs="Arial"/>
                <w:lang w:val="hy-AM"/>
              </w:rPr>
            </w:pPr>
            <w:r w:rsidRPr="0053423A">
              <w:rPr>
                <w:rFonts w:eastAsia="Calibri" w:cs="Arial"/>
                <w:lang w:val="hy-AM"/>
              </w:rPr>
              <w:t xml:space="preserve">  Քիմիական</w:t>
            </w:r>
            <w:r w:rsidRPr="0053423A">
              <w:rPr>
                <w:rFonts w:eastAsia="Calibri" w:cs="Arial"/>
                <w:lang w:val="pt-BR"/>
              </w:rPr>
              <w:t xml:space="preserve"> </w:t>
            </w:r>
            <w:r w:rsidRPr="0053423A">
              <w:rPr>
                <w:rFonts w:eastAsia="Calibri" w:cs="Arial"/>
                <w:lang w:val="hy-AM"/>
              </w:rPr>
              <w:t>նյութերի</w:t>
            </w:r>
            <w:r w:rsidRPr="0053423A">
              <w:rPr>
                <w:rFonts w:eastAsia="Calibri" w:cs="Arial"/>
                <w:lang w:val="pt-BR"/>
              </w:rPr>
              <w:t xml:space="preserve"> </w:t>
            </w:r>
            <w:r w:rsidRPr="0053423A">
              <w:rPr>
                <w:rFonts w:eastAsia="Calibri" w:cs="Arial"/>
                <w:lang w:val="hy-AM"/>
              </w:rPr>
              <w:t>գործածության</w:t>
            </w:r>
            <w:r w:rsidRPr="0053423A">
              <w:rPr>
                <w:rFonts w:eastAsia="Calibri" w:cs="Arial"/>
                <w:lang w:val="pt-BR"/>
              </w:rPr>
              <w:t xml:space="preserve"> </w:t>
            </w:r>
            <w:r w:rsidRPr="0053423A">
              <w:rPr>
                <w:rFonts w:eastAsia="Calibri" w:cs="Arial"/>
                <w:lang w:val="hy-AM"/>
              </w:rPr>
              <w:t>բնագավառում</w:t>
            </w:r>
            <w:r w:rsidRPr="0053423A">
              <w:rPr>
                <w:rFonts w:eastAsia="Calibri" w:cs="Arial"/>
                <w:lang w:val="pt-BR"/>
              </w:rPr>
              <w:t xml:space="preserve"> </w:t>
            </w:r>
            <w:r w:rsidRPr="0053423A">
              <w:rPr>
                <w:rFonts w:eastAsia="Calibri" w:cs="Arial"/>
                <w:lang w:val="hy-AM"/>
              </w:rPr>
              <w:t>չափազանց</w:t>
            </w:r>
            <w:r w:rsidRPr="0053423A">
              <w:rPr>
                <w:rFonts w:eastAsia="Calibri" w:cs="Arial"/>
                <w:lang w:val="pt-BR"/>
              </w:rPr>
              <w:t xml:space="preserve"> </w:t>
            </w:r>
            <w:r w:rsidRPr="0053423A">
              <w:rPr>
                <w:rFonts w:eastAsia="Calibri" w:cs="Arial"/>
                <w:lang w:val="hy-AM"/>
              </w:rPr>
              <w:t>կարևոր</w:t>
            </w:r>
            <w:r w:rsidRPr="0053423A">
              <w:rPr>
                <w:rFonts w:eastAsia="Calibri" w:cs="Arial"/>
                <w:lang w:val="pt-BR"/>
              </w:rPr>
              <w:t xml:space="preserve"> </w:t>
            </w:r>
            <w:r w:rsidRPr="0053423A">
              <w:rPr>
                <w:rFonts w:eastAsia="Calibri" w:cs="Arial"/>
                <w:lang w:val="hy-AM"/>
              </w:rPr>
              <w:t>է</w:t>
            </w:r>
            <w:r w:rsidRPr="0053423A">
              <w:rPr>
                <w:rFonts w:eastAsia="Calibri" w:cs="Arial"/>
                <w:lang w:val="pt-BR"/>
              </w:rPr>
              <w:t xml:space="preserve"> </w:t>
            </w:r>
            <w:r w:rsidRPr="0053423A">
              <w:rPr>
                <w:rFonts w:eastAsia="Calibri" w:cs="Arial"/>
                <w:lang w:val="hy-AM"/>
              </w:rPr>
              <w:t>քիմիական</w:t>
            </w:r>
            <w:r w:rsidRPr="0053423A">
              <w:rPr>
                <w:rFonts w:eastAsia="Calibri" w:cs="Arial"/>
                <w:lang w:val="pt-BR"/>
              </w:rPr>
              <w:t xml:space="preserve"> </w:t>
            </w:r>
            <w:r w:rsidRPr="0053423A">
              <w:rPr>
                <w:rFonts w:eastAsia="Calibri" w:cs="Arial"/>
                <w:lang w:val="hy-AM"/>
              </w:rPr>
              <w:t>նյութերի</w:t>
            </w:r>
            <w:r w:rsidRPr="0053423A">
              <w:rPr>
                <w:rFonts w:eastAsia="Calibri" w:cs="Arial"/>
                <w:lang w:val="pt-BR"/>
              </w:rPr>
              <w:t xml:space="preserve"> </w:t>
            </w:r>
            <w:r w:rsidRPr="0053423A">
              <w:rPr>
                <w:rFonts w:eastAsia="Calibri" w:cs="Arial"/>
                <w:lang w:val="hy-AM"/>
              </w:rPr>
              <w:t>հատկությունների</w:t>
            </w:r>
            <w:r w:rsidRPr="0053423A">
              <w:rPr>
                <w:rFonts w:eastAsia="Calibri" w:cs="Arial"/>
                <w:lang w:val="pt-BR"/>
              </w:rPr>
              <w:t xml:space="preserve">, </w:t>
            </w:r>
            <w:r w:rsidRPr="0053423A">
              <w:rPr>
                <w:rFonts w:eastAsia="Calibri" w:cs="Arial"/>
                <w:lang w:val="hy-AM"/>
              </w:rPr>
              <w:t>մարդու</w:t>
            </w:r>
            <w:r w:rsidRPr="0053423A">
              <w:rPr>
                <w:rFonts w:eastAsia="Calibri" w:cs="Arial"/>
                <w:lang w:val="pt-BR"/>
              </w:rPr>
              <w:t xml:space="preserve"> </w:t>
            </w:r>
            <w:r w:rsidRPr="0053423A">
              <w:rPr>
                <w:rFonts w:eastAsia="Calibri" w:cs="Arial"/>
                <w:lang w:val="hy-AM"/>
              </w:rPr>
              <w:t>առողջության</w:t>
            </w:r>
            <w:r w:rsidRPr="0053423A">
              <w:rPr>
                <w:rFonts w:eastAsia="Calibri" w:cs="Arial"/>
                <w:lang w:val="pt-BR"/>
              </w:rPr>
              <w:t xml:space="preserve"> </w:t>
            </w:r>
            <w:r w:rsidRPr="0053423A">
              <w:rPr>
                <w:rFonts w:eastAsia="Calibri" w:cs="Arial"/>
                <w:lang w:val="hy-AM"/>
              </w:rPr>
              <w:t>և</w:t>
            </w:r>
            <w:r w:rsidRPr="0053423A">
              <w:rPr>
                <w:rFonts w:eastAsia="Calibri" w:cs="Arial"/>
                <w:lang w:val="pt-BR"/>
              </w:rPr>
              <w:t xml:space="preserve"> </w:t>
            </w:r>
            <w:r w:rsidRPr="0053423A">
              <w:rPr>
                <w:rFonts w:eastAsia="Calibri" w:cs="Arial"/>
                <w:lang w:val="hy-AM"/>
              </w:rPr>
              <w:t>շրջակա</w:t>
            </w:r>
            <w:r w:rsidRPr="0053423A">
              <w:rPr>
                <w:rFonts w:eastAsia="Calibri" w:cs="Arial"/>
                <w:lang w:val="pt-BR"/>
              </w:rPr>
              <w:t xml:space="preserve"> </w:t>
            </w:r>
            <w:r w:rsidRPr="0053423A">
              <w:rPr>
                <w:rFonts w:eastAsia="Calibri" w:cs="Arial"/>
                <w:lang w:val="hy-AM"/>
              </w:rPr>
              <w:t>միջավայրի</w:t>
            </w:r>
            <w:r w:rsidRPr="0053423A">
              <w:rPr>
                <w:rFonts w:eastAsia="Calibri" w:cs="Arial"/>
                <w:lang w:val="pt-BR"/>
              </w:rPr>
              <w:t xml:space="preserve"> </w:t>
            </w:r>
            <w:r w:rsidRPr="0053423A">
              <w:rPr>
                <w:rFonts w:eastAsia="Calibri" w:cs="Arial"/>
                <w:lang w:val="hy-AM"/>
              </w:rPr>
              <w:t>վրա</w:t>
            </w:r>
            <w:r w:rsidRPr="0053423A">
              <w:rPr>
                <w:rFonts w:eastAsia="Calibri" w:cs="Arial"/>
                <w:lang w:val="pt-BR"/>
              </w:rPr>
              <w:t xml:space="preserve"> </w:t>
            </w:r>
            <w:r w:rsidRPr="0053423A">
              <w:rPr>
                <w:rFonts w:eastAsia="Calibri" w:cs="Arial"/>
                <w:lang w:val="hy-AM"/>
              </w:rPr>
              <w:t>դրանց</w:t>
            </w:r>
            <w:r w:rsidRPr="0053423A">
              <w:rPr>
                <w:rFonts w:eastAsia="Calibri" w:cs="Arial"/>
                <w:lang w:val="pt-BR"/>
              </w:rPr>
              <w:t xml:space="preserve"> </w:t>
            </w:r>
            <w:r w:rsidRPr="0053423A">
              <w:rPr>
                <w:rFonts w:eastAsia="Calibri" w:cs="Arial"/>
                <w:lang w:val="hy-AM"/>
              </w:rPr>
              <w:t>ունեցած</w:t>
            </w:r>
            <w:r w:rsidRPr="0053423A">
              <w:rPr>
                <w:rFonts w:eastAsia="Calibri" w:cs="Arial"/>
                <w:lang w:val="pt-BR"/>
              </w:rPr>
              <w:t xml:space="preserve"> </w:t>
            </w:r>
            <w:r w:rsidRPr="0053423A">
              <w:rPr>
                <w:rFonts w:eastAsia="Calibri" w:cs="Arial"/>
                <w:lang w:val="hy-AM"/>
              </w:rPr>
              <w:t>ազդեցության</w:t>
            </w:r>
            <w:r w:rsidRPr="0053423A">
              <w:rPr>
                <w:rFonts w:eastAsia="Calibri" w:cs="Arial"/>
                <w:lang w:val="pt-BR"/>
              </w:rPr>
              <w:t xml:space="preserve"> </w:t>
            </w:r>
            <w:r w:rsidRPr="0053423A">
              <w:rPr>
                <w:rFonts w:eastAsia="Calibri" w:cs="Arial"/>
                <w:lang w:val="hy-AM"/>
              </w:rPr>
              <w:t>վերաբերյալ</w:t>
            </w:r>
            <w:r w:rsidRPr="0053423A">
              <w:rPr>
                <w:rFonts w:eastAsia="Calibri" w:cs="Arial"/>
                <w:lang w:val="pt-BR"/>
              </w:rPr>
              <w:t xml:space="preserve"> </w:t>
            </w:r>
            <w:r w:rsidRPr="0053423A">
              <w:rPr>
                <w:rFonts w:eastAsia="Calibri" w:cs="Arial"/>
                <w:lang w:val="hy-AM"/>
              </w:rPr>
              <w:t>վերջնական</w:t>
            </w:r>
            <w:r w:rsidRPr="0053423A">
              <w:rPr>
                <w:rFonts w:eastAsia="Calibri" w:cs="Arial"/>
                <w:lang w:val="pt-BR"/>
              </w:rPr>
              <w:t xml:space="preserve"> </w:t>
            </w:r>
            <w:r w:rsidRPr="0053423A">
              <w:rPr>
                <w:rFonts w:eastAsia="Calibri" w:cs="Arial"/>
                <w:lang w:val="hy-AM"/>
              </w:rPr>
              <w:t>սպառողներին</w:t>
            </w:r>
            <w:r w:rsidRPr="0053423A">
              <w:rPr>
                <w:rFonts w:eastAsia="Calibri" w:cs="Arial"/>
                <w:lang w:val="pt-BR"/>
              </w:rPr>
              <w:t xml:space="preserve">, </w:t>
            </w:r>
            <w:r w:rsidRPr="0053423A">
              <w:rPr>
                <w:rFonts w:eastAsia="Calibri" w:cs="Arial"/>
                <w:lang w:val="hy-AM"/>
              </w:rPr>
              <w:t>քիմիական</w:t>
            </w:r>
            <w:r w:rsidRPr="0053423A">
              <w:rPr>
                <w:rFonts w:eastAsia="Calibri" w:cs="Arial"/>
                <w:lang w:val="pt-BR"/>
              </w:rPr>
              <w:t xml:space="preserve"> </w:t>
            </w:r>
            <w:r w:rsidRPr="0053423A">
              <w:rPr>
                <w:rFonts w:eastAsia="Calibri" w:cs="Arial"/>
                <w:lang w:val="hy-AM"/>
              </w:rPr>
              <w:t>նյութերի</w:t>
            </w:r>
            <w:r w:rsidRPr="0053423A">
              <w:rPr>
                <w:rFonts w:eastAsia="Calibri" w:cs="Arial"/>
                <w:lang w:val="pt-BR"/>
              </w:rPr>
              <w:t xml:space="preserve"> </w:t>
            </w:r>
            <w:r w:rsidRPr="0053423A">
              <w:rPr>
                <w:rFonts w:eastAsia="Calibri" w:cs="Arial"/>
                <w:lang w:val="hy-AM"/>
              </w:rPr>
              <w:t>գործածության</w:t>
            </w:r>
            <w:r w:rsidRPr="0053423A">
              <w:rPr>
                <w:rFonts w:eastAsia="Calibri" w:cs="Arial"/>
                <w:lang w:val="pt-BR"/>
              </w:rPr>
              <w:t xml:space="preserve"> </w:t>
            </w:r>
            <w:r w:rsidRPr="0053423A">
              <w:rPr>
                <w:rFonts w:eastAsia="Calibri" w:cs="Arial"/>
                <w:lang w:val="hy-AM"/>
              </w:rPr>
              <w:t>մեջ</w:t>
            </w:r>
            <w:r w:rsidRPr="0053423A">
              <w:rPr>
                <w:rFonts w:eastAsia="Calibri" w:cs="Arial"/>
                <w:lang w:val="pt-BR"/>
              </w:rPr>
              <w:t xml:space="preserve"> </w:t>
            </w:r>
            <w:r w:rsidRPr="0053423A">
              <w:rPr>
                <w:rFonts w:eastAsia="Calibri" w:cs="Arial"/>
                <w:lang w:val="hy-AM"/>
              </w:rPr>
              <w:t>ներգրավված</w:t>
            </w:r>
            <w:r w:rsidRPr="0053423A">
              <w:rPr>
                <w:rFonts w:eastAsia="Calibri" w:cs="Arial"/>
                <w:lang w:val="pt-BR"/>
              </w:rPr>
              <w:t xml:space="preserve"> </w:t>
            </w:r>
            <w:r w:rsidRPr="0053423A">
              <w:rPr>
                <w:rFonts w:eastAsia="Calibri" w:cs="Arial"/>
                <w:lang w:val="hy-AM"/>
              </w:rPr>
              <w:t>աշխատողներին</w:t>
            </w:r>
            <w:r w:rsidRPr="0053423A">
              <w:rPr>
                <w:rFonts w:eastAsia="Calibri" w:cs="Arial"/>
                <w:lang w:val="pt-BR"/>
              </w:rPr>
              <w:t xml:space="preserve">, </w:t>
            </w:r>
            <w:r w:rsidRPr="0053423A">
              <w:rPr>
                <w:rFonts w:eastAsia="Calibri" w:cs="Arial"/>
                <w:lang w:val="hy-AM"/>
              </w:rPr>
              <w:t>ազդակիր</w:t>
            </w:r>
            <w:r w:rsidRPr="0053423A">
              <w:rPr>
                <w:rFonts w:eastAsia="Calibri" w:cs="Arial"/>
                <w:lang w:val="pt-BR"/>
              </w:rPr>
              <w:t xml:space="preserve"> </w:t>
            </w:r>
            <w:r w:rsidRPr="0053423A">
              <w:rPr>
                <w:rFonts w:eastAsia="Calibri" w:cs="Arial"/>
                <w:lang w:val="hy-AM"/>
              </w:rPr>
              <w:t>այլ</w:t>
            </w:r>
            <w:r w:rsidRPr="0053423A">
              <w:rPr>
                <w:rFonts w:eastAsia="Calibri" w:cs="Arial"/>
                <w:lang w:val="pt-BR"/>
              </w:rPr>
              <w:t xml:space="preserve"> </w:t>
            </w:r>
            <w:r w:rsidRPr="0053423A">
              <w:rPr>
                <w:rFonts w:eastAsia="Calibri" w:cs="Arial"/>
                <w:lang w:val="hy-AM"/>
              </w:rPr>
              <w:t>անձանց</w:t>
            </w:r>
            <w:r w:rsidRPr="0053423A">
              <w:rPr>
                <w:rFonts w:eastAsia="Calibri" w:cs="Arial"/>
                <w:lang w:val="pt-BR"/>
              </w:rPr>
              <w:t xml:space="preserve"> </w:t>
            </w:r>
            <w:r w:rsidRPr="0053423A">
              <w:rPr>
                <w:rFonts w:eastAsia="Calibri" w:cs="Arial"/>
                <w:lang w:val="hy-AM"/>
              </w:rPr>
              <w:t>իրազեկելը</w:t>
            </w:r>
            <w:r w:rsidRPr="0053423A">
              <w:rPr>
                <w:rFonts w:eastAsia="Calibri" w:cs="Arial"/>
                <w:lang w:val="pt-BR"/>
              </w:rPr>
              <w:t xml:space="preserve">: </w:t>
            </w:r>
          </w:p>
          <w:p w:rsidR="00530B14" w:rsidRPr="0053423A" w:rsidRDefault="00530B14" w:rsidP="00A67858">
            <w:pPr>
              <w:tabs>
                <w:tab w:val="left" w:pos="450"/>
                <w:tab w:val="left" w:pos="540"/>
              </w:tabs>
              <w:spacing w:line="276" w:lineRule="auto"/>
              <w:ind w:right="180"/>
              <w:jc w:val="both"/>
              <w:rPr>
                <w:rFonts w:cs="GHEA Grapalat"/>
                <w:color w:val="000000"/>
                <w:lang w:val="hy-AM"/>
              </w:rPr>
            </w:pPr>
            <w:r w:rsidRPr="0053423A">
              <w:rPr>
                <w:rFonts w:eastAsia="Calibri" w:cs="Arial"/>
                <w:lang w:val="hy-AM"/>
              </w:rPr>
              <w:t xml:space="preserve">  Վերը</w:t>
            </w:r>
            <w:r w:rsidRPr="0053423A">
              <w:rPr>
                <w:rFonts w:eastAsia="Calibri" w:cs="Arial"/>
                <w:lang w:val="pt-BR"/>
              </w:rPr>
              <w:t xml:space="preserve"> </w:t>
            </w:r>
            <w:r w:rsidRPr="0053423A">
              <w:rPr>
                <w:rFonts w:eastAsia="Calibri" w:cs="Arial"/>
                <w:lang w:val="hy-AM"/>
              </w:rPr>
              <w:t>նշված</w:t>
            </w:r>
            <w:r w:rsidRPr="0053423A">
              <w:rPr>
                <w:rFonts w:eastAsia="Calibri" w:cs="Arial"/>
                <w:lang w:val="pt-BR"/>
              </w:rPr>
              <w:t xml:space="preserve"> </w:t>
            </w:r>
            <w:r w:rsidRPr="0053423A">
              <w:rPr>
                <w:rFonts w:eastAsia="Calibri" w:cs="Arial"/>
                <w:lang w:val="hy-AM"/>
              </w:rPr>
              <w:t>խնդիրների</w:t>
            </w:r>
            <w:r w:rsidRPr="0053423A">
              <w:rPr>
                <w:rFonts w:eastAsia="Calibri" w:cs="Arial"/>
                <w:lang w:val="pt-BR"/>
              </w:rPr>
              <w:t xml:space="preserve"> </w:t>
            </w:r>
            <w:r w:rsidRPr="0053423A">
              <w:rPr>
                <w:rFonts w:eastAsia="Calibri" w:cs="Arial"/>
                <w:lang w:val="hy-AM"/>
              </w:rPr>
              <w:t>լուծման</w:t>
            </w:r>
            <w:r w:rsidRPr="0053423A">
              <w:rPr>
                <w:rFonts w:eastAsia="Calibri" w:cs="Arial"/>
                <w:lang w:val="pt-BR"/>
              </w:rPr>
              <w:t xml:space="preserve"> </w:t>
            </w:r>
            <w:r w:rsidRPr="0053423A">
              <w:rPr>
                <w:rFonts w:eastAsia="Calibri" w:cs="Arial"/>
                <w:lang w:val="hy-AM"/>
              </w:rPr>
              <w:t>նպատակով</w:t>
            </w:r>
            <w:r w:rsidRPr="0053423A">
              <w:rPr>
                <w:rFonts w:eastAsia="Calibri" w:cs="Arial"/>
                <w:lang w:val="pt-BR"/>
              </w:rPr>
              <w:t xml:space="preserve"> </w:t>
            </w:r>
            <w:r w:rsidRPr="0053423A">
              <w:rPr>
                <w:rFonts w:eastAsia="Calibri" w:cs="Arial"/>
                <w:lang w:val="hy-AM"/>
              </w:rPr>
              <w:t>անհրաժեշտ</w:t>
            </w:r>
            <w:r w:rsidRPr="0053423A">
              <w:rPr>
                <w:rFonts w:eastAsia="Calibri" w:cs="Arial"/>
                <w:lang w:val="pt-BR"/>
              </w:rPr>
              <w:t xml:space="preserve"> </w:t>
            </w:r>
            <w:r w:rsidRPr="0053423A">
              <w:rPr>
                <w:rFonts w:eastAsia="Calibri" w:cs="Arial"/>
                <w:lang w:val="hy-AM"/>
              </w:rPr>
              <w:t>է մշակել</w:t>
            </w:r>
            <w:r w:rsidRPr="0053423A">
              <w:rPr>
                <w:rFonts w:eastAsia="Calibri" w:cs="Arial"/>
                <w:lang w:val="pt-BR"/>
              </w:rPr>
              <w:t xml:space="preserve"> </w:t>
            </w:r>
            <w:r w:rsidRPr="0053423A">
              <w:rPr>
                <w:rFonts w:eastAsia="Calibri" w:cs="Arial"/>
                <w:lang w:val="hy-AM"/>
              </w:rPr>
              <w:t>և</w:t>
            </w:r>
            <w:r w:rsidRPr="0053423A">
              <w:rPr>
                <w:rFonts w:eastAsia="Calibri" w:cs="Arial"/>
                <w:lang w:val="pt-BR"/>
              </w:rPr>
              <w:t xml:space="preserve"> </w:t>
            </w:r>
            <w:r w:rsidRPr="0053423A">
              <w:rPr>
                <w:rFonts w:eastAsia="Calibri" w:cs="Arial"/>
                <w:lang w:val="hy-AM"/>
              </w:rPr>
              <w:t>ընդունել «Քիմիական</w:t>
            </w:r>
            <w:r w:rsidRPr="0053423A">
              <w:rPr>
                <w:rFonts w:eastAsia="Calibri" w:cs="Arial"/>
                <w:lang w:val="pt-BR"/>
              </w:rPr>
              <w:t xml:space="preserve"> </w:t>
            </w:r>
            <w:r w:rsidRPr="0053423A">
              <w:rPr>
                <w:rFonts w:eastAsia="Calibri" w:cs="Arial"/>
                <w:lang w:val="hy-AM"/>
              </w:rPr>
              <w:t>նյութերի</w:t>
            </w:r>
            <w:r w:rsidRPr="0053423A">
              <w:rPr>
                <w:rFonts w:eastAsia="Calibri" w:cs="Arial"/>
                <w:lang w:val="pt-BR"/>
              </w:rPr>
              <w:t xml:space="preserve"> </w:t>
            </w:r>
            <w:r w:rsidRPr="0053423A">
              <w:rPr>
                <w:rFonts w:eastAsia="Calibri" w:cs="Arial"/>
                <w:lang w:val="hy-AM"/>
              </w:rPr>
              <w:t>մասին»</w:t>
            </w:r>
            <w:r w:rsidRPr="0053423A">
              <w:rPr>
                <w:rFonts w:eastAsia="Calibri" w:cs="Arial"/>
                <w:lang w:val="pt-BR"/>
              </w:rPr>
              <w:t xml:space="preserve"> </w:t>
            </w:r>
            <w:r w:rsidRPr="0053423A">
              <w:rPr>
                <w:rFonts w:eastAsia="Calibri" w:cs="Arial"/>
                <w:lang w:val="hy-AM"/>
              </w:rPr>
              <w:t>օրենք</w:t>
            </w:r>
            <w:r w:rsidRPr="0053423A">
              <w:rPr>
                <w:rFonts w:eastAsia="Calibri" w:cs="Arial"/>
                <w:lang w:val="pt-BR"/>
              </w:rPr>
              <w:t xml:space="preserve">, </w:t>
            </w:r>
            <w:r w:rsidRPr="0053423A">
              <w:rPr>
                <w:rFonts w:eastAsia="Calibri" w:cs="Arial"/>
                <w:lang w:val="hy-AM"/>
              </w:rPr>
              <w:t>որով կ</w:t>
            </w:r>
            <w:r w:rsidRPr="0053423A">
              <w:rPr>
                <w:rFonts w:eastAsia="Calibri" w:cs="Sylfaen"/>
                <w:lang w:val="hy-AM"/>
              </w:rPr>
              <w:t>կարգավորվեն</w:t>
            </w:r>
            <w:r w:rsidRPr="0053423A">
              <w:rPr>
                <w:rFonts w:eastAsia="Calibri"/>
                <w:lang w:val="hy-AM"/>
              </w:rPr>
              <w:t xml:space="preserve"> </w:t>
            </w:r>
            <w:r w:rsidRPr="0053423A">
              <w:rPr>
                <w:rFonts w:eastAsia="Calibri" w:cs="Arial"/>
                <w:lang w:val="hy-AM"/>
              </w:rPr>
              <w:t>քիմիական</w:t>
            </w:r>
            <w:r w:rsidRPr="0053423A">
              <w:rPr>
                <w:rFonts w:eastAsia="Calibri" w:cs="Arial"/>
                <w:lang w:val="pt-BR"/>
              </w:rPr>
              <w:t xml:space="preserve"> </w:t>
            </w:r>
            <w:r w:rsidRPr="0053423A">
              <w:rPr>
                <w:rFonts w:eastAsia="Calibri" w:cs="Arial"/>
                <w:lang w:val="hy-AM"/>
              </w:rPr>
              <w:t>նյութերի</w:t>
            </w:r>
            <w:r w:rsidRPr="0053423A">
              <w:rPr>
                <w:rFonts w:eastAsia="Calibri" w:cs="Arial"/>
                <w:lang w:val="pt-BR"/>
              </w:rPr>
              <w:t xml:space="preserve"> </w:t>
            </w:r>
            <w:r w:rsidRPr="0053423A">
              <w:rPr>
                <w:rFonts w:eastAsia="Calibri" w:cs="Arial"/>
                <w:lang w:val="hy-AM"/>
              </w:rPr>
              <w:t>անվտանգ շրջանառությունը Հայաստանի Հանրապետությունում  և քիմիական</w:t>
            </w:r>
            <w:r w:rsidRPr="0053423A">
              <w:rPr>
                <w:rFonts w:eastAsia="Calibri" w:cs="Arial"/>
                <w:lang w:val="pt-BR"/>
              </w:rPr>
              <w:t xml:space="preserve"> </w:t>
            </w:r>
            <w:r w:rsidRPr="0053423A">
              <w:rPr>
                <w:rFonts w:eastAsia="Calibri" w:cs="Arial"/>
                <w:lang w:val="hy-AM"/>
              </w:rPr>
              <w:t>նյութերի</w:t>
            </w:r>
            <w:r w:rsidRPr="0053423A">
              <w:rPr>
                <w:rFonts w:eastAsia="Calibri" w:cs="Arial"/>
                <w:lang w:val="pt-BR"/>
              </w:rPr>
              <w:t xml:space="preserve"> </w:t>
            </w:r>
            <w:r w:rsidRPr="0053423A">
              <w:rPr>
                <w:rFonts w:eastAsia="Calibri" w:cs="Arial"/>
                <w:lang w:val="hy-AM"/>
              </w:rPr>
              <w:t>ներմուծման</w:t>
            </w:r>
            <w:r w:rsidRPr="0053423A">
              <w:rPr>
                <w:rFonts w:eastAsia="Calibri" w:cs="Arial"/>
                <w:lang w:val="pt-BR"/>
              </w:rPr>
              <w:t xml:space="preserve"> </w:t>
            </w:r>
            <w:r w:rsidRPr="0053423A">
              <w:rPr>
                <w:rFonts w:eastAsia="Calibri" w:cs="Arial"/>
                <w:lang w:val="hy-AM"/>
              </w:rPr>
              <w:t>և</w:t>
            </w:r>
            <w:r w:rsidRPr="0053423A">
              <w:rPr>
                <w:rFonts w:eastAsia="Calibri" w:cs="Arial"/>
                <w:lang w:val="pt-BR"/>
              </w:rPr>
              <w:t xml:space="preserve"> </w:t>
            </w:r>
            <w:r w:rsidRPr="0053423A">
              <w:rPr>
                <w:rFonts w:eastAsia="Calibri" w:cs="Arial"/>
                <w:lang w:val="hy-AM"/>
              </w:rPr>
              <w:t>արտահանման</w:t>
            </w:r>
            <w:r w:rsidRPr="0053423A">
              <w:rPr>
                <w:rFonts w:eastAsia="Calibri" w:cs="Arial"/>
                <w:lang w:val="pt-BR"/>
              </w:rPr>
              <w:t xml:space="preserve"> </w:t>
            </w:r>
            <w:r w:rsidRPr="0053423A">
              <w:rPr>
                <w:rFonts w:eastAsia="Calibri" w:cs="Arial"/>
                <w:lang w:val="hy-AM"/>
              </w:rPr>
              <w:t>համակարգը</w:t>
            </w:r>
            <w:r w:rsidRPr="0053423A">
              <w:rPr>
                <w:rFonts w:eastAsia="Calibri" w:cs="Arial"/>
                <w:lang w:val="pt-BR"/>
              </w:rPr>
              <w:t>,</w:t>
            </w:r>
            <w:r w:rsidRPr="0053423A">
              <w:rPr>
                <w:rFonts w:eastAsia="Calibri" w:cs="Arial"/>
                <w:lang w:val="hy-AM"/>
              </w:rPr>
              <w:t xml:space="preserve"> կստեղծվի քիմիական</w:t>
            </w:r>
            <w:r w:rsidRPr="0053423A">
              <w:rPr>
                <w:rFonts w:eastAsia="Calibri" w:cs="Arial"/>
                <w:lang w:val="pt-BR"/>
              </w:rPr>
              <w:t xml:space="preserve"> </w:t>
            </w:r>
            <w:r w:rsidRPr="0053423A">
              <w:rPr>
                <w:rFonts w:eastAsia="Calibri" w:cs="Arial"/>
                <w:lang w:val="hy-AM"/>
              </w:rPr>
              <w:t>նյութերի գրանցման</w:t>
            </w:r>
            <w:r w:rsidRPr="0053423A">
              <w:rPr>
                <w:rFonts w:eastAsia="Calibri" w:cs="Arial"/>
                <w:lang w:val="pt-BR"/>
              </w:rPr>
              <w:t xml:space="preserve"> </w:t>
            </w:r>
            <w:r w:rsidRPr="0053423A">
              <w:rPr>
                <w:rFonts w:eastAsia="Calibri" w:cs="Arial"/>
                <w:lang w:val="hy-AM"/>
              </w:rPr>
              <w:t>միասնական</w:t>
            </w:r>
            <w:r w:rsidRPr="0053423A">
              <w:rPr>
                <w:rFonts w:eastAsia="Calibri" w:cs="Arial"/>
                <w:lang w:val="pt-BR"/>
              </w:rPr>
              <w:t xml:space="preserve"> </w:t>
            </w:r>
            <w:r w:rsidRPr="0053423A">
              <w:rPr>
                <w:rFonts w:eastAsia="Calibri" w:cs="Arial"/>
                <w:lang w:val="hy-AM"/>
              </w:rPr>
              <w:t>համակարգ, կսահմանվեն՝ քիմիական</w:t>
            </w:r>
            <w:r w:rsidRPr="0053423A">
              <w:rPr>
                <w:rFonts w:eastAsia="Calibri" w:cs="Arial"/>
                <w:lang w:val="pt-BR"/>
              </w:rPr>
              <w:t xml:space="preserve"> </w:t>
            </w:r>
            <w:r w:rsidRPr="0053423A">
              <w:rPr>
                <w:rFonts w:eastAsia="Calibri" w:cs="Arial"/>
                <w:lang w:val="hy-AM"/>
              </w:rPr>
              <w:t>նյութերի</w:t>
            </w:r>
            <w:r w:rsidRPr="0053423A">
              <w:rPr>
                <w:rFonts w:eastAsia="Calibri" w:cs="Arial"/>
                <w:lang w:val="pt-BR"/>
              </w:rPr>
              <w:t xml:space="preserve"> </w:t>
            </w:r>
            <w:r w:rsidRPr="0053423A">
              <w:rPr>
                <w:rFonts w:eastAsia="Calibri" w:cs="Arial"/>
                <w:lang w:val="hy-AM"/>
              </w:rPr>
              <w:t>դասակարգման և մակնշման</w:t>
            </w:r>
            <w:r w:rsidRPr="0053423A">
              <w:rPr>
                <w:rFonts w:eastAsia="Calibri" w:cs="Arial"/>
                <w:lang w:val="pt-BR"/>
              </w:rPr>
              <w:t xml:space="preserve"> </w:t>
            </w:r>
            <w:r w:rsidRPr="0053423A">
              <w:rPr>
                <w:rFonts w:eastAsia="Calibri" w:cs="Arial"/>
                <w:lang w:val="hy-AM"/>
              </w:rPr>
              <w:t>պահանջները, քիմիական</w:t>
            </w:r>
            <w:r w:rsidRPr="0053423A">
              <w:rPr>
                <w:rFonts w:eastAsia="Calibri" w:cs="Arial"/>
                <w:lang w:val="pt-BR"/>
              </w:rPr>
              <w:t xml:space="preserve"> </w:t>
            </w:r>
            <w:r w:rsidRPr="0053423A">
              <w:rPr>
                <w:rFonts w:eastAsia="Calibri" w:cs="Arial"/>
                <w:lang w:val="hy-AM"/>
              </w:rPr>
              <w:t>նյութերի</w:t>
            </w:r>
            <w:r w:rsidRPr="0053423A">
              <w:rPr>
                <w:rFonts w:eastAsia="Calibri" w:cs="Arial"/>
                <w:lang w:val="pt-BR"/>
              </w:rPr>
              <w:t xml:space="preserve"> </w:t>
            </w:r>
            <w:r w:rsidRPr="0053423A">
              <w:rPr>
                <w:rFonts w:eastAsia="Calibri" w:cs="Arial"/>
                <w:lang w:val="hy-AM"/>
              </w:rPr>
              <w:t>գործածության</w:t>
            </w:r>
            <w:r w:rsidRPr="0053423A">
              <w:rPr>
                <w:rFonts w:eastAsia="Calibri" w:cs="Arial"/>
                <w:lang w:val="pt-BR"/>
              </w:rPr>
              <w:t xml:space="preserve"> </w:t>
            </w:r>
            <w:r w:rsidRPr="0053423A">
              <w:rPr>
                <w:rFonts w:eastAsia="Calibri" w:cs="Arial"/>
                <w:lang w:val="hy-AM"/>
              </w:rPr>
              <w:t>մեջ</w:t>
            </w:r>
            <w:r w:rsidRPr="0053423A">
              <w:rPr>
                <w:rFonts w:eastAsia="Calibri" w:cs="Arial"/>
                <w:lang w:val="pt-BR"/>
              </w:rPr>
              <w:t xml:space="preserve"> </w:t>
            </w:r>
            <w:r w:rsidRPr="0053423A">
              <w:rPr>
                <w:rFonts w:eastAsia="Calibri" w:cs="Arial"/>
                <w:lang w:val="hy-AM"/>
              </w:rPr>
              <w:t>ներգրավված</w:t>
            </w:r>
            <w:r w:rsidRPr="0053423A">
              <w:rPr>
                <w:rFonts w:eastAsia="Calibri" w:cs="Arial"/>
                <w:lang w:val="pt-BR"/>
              </w:rPr>
              <w:t xml:space="preserve"> </w:t>
            </w:r>
            <w:r w:rsidRPr="0053423A">
              <w:rPr>
                <w:rFonts w:eastAsia="Calibri" w:cs="Arial"/>
                <w:lang w:val="hy-AM"/>
              </w:rPr>
              <w:t>անձանց</w:t>
            </w:r>
            <w:r w:rsidRPr="0053423A">
              <w:rPr>
                <w:rFonts w:eastAsia="Calibri" w:cs="Arial"/>
                <w:lang w:val="pt-BR"/>
              </w:rPr>
              <w:t xml:space="preserve"> </w:t>
            </w:r>
            <w:r w:rsidRPr="0053423A">
              <w:rPr>
                <w:rFonts w:eastAsia="Calibri" w:cs="Arial"/>
                <w:lang w:val="hy-AM"/>
              </w:rPr>
              <w:t>իրավունքները</w:t>
            </w:r>
            <w:r w:rsidRPr="0053423A">
              <w:rPr>
                <w:rFonts w:eastAsia="Calibri" w:cs="Arial"/>
                <w:lang w:val="pt-BR"/>
              </w:rPr>
              <w:t xml:space="preserve"> </w:t>
            </w:r>
            <w:r w:rsidRPr="0053423A">
              <w:rPr>
                <w:rFonts w:eastAsia="Calibri" w:cs="Arial"/>
                <w:lang w:val="hy-AM"/>
              </w:rPr>
              <w:t>և</w:t>
            </w:r>
            <w:r w:rsidRPr="0053423A">
              <w:rPr>
                <w:rFonts w:eastAsia="Calibri" w:cs="Arial"/>
                <w:lang w:val="pt-BR"/>
              </w:rPr>
              <w:t xml:space="preserve"> </w:t>
            </w:r>
            <w:r w:rsidRPr="0053423A">
              <w:rPr>
                <w:rFonts w:eastAsia="Calibri" w:cs="Arial"/>
                <w:lang w:val="hy-AM"/>
              </w:rPr>
              <w:t>պարտականությունները</w:t>
            </w:r>
            <w:r w:rsidRPr="0053423A">
              <w:rPr>
                <w:rFonts w:eastAsia="Calibri" w:cs="Arial"/>
                <w:lang w:val="pt-BR"/>
              </w:rPr>
              <w:t>,</w:t>
            </w:r>
            <w:r w:rsidRPr="0053423A">
              <w:rPr>
                <w:rFonts w:eastAsia="Calibri" w:cs="Arial"/>
                <w:lang w:val="hy-AM"/>
              </w:rPr>
              <w:t xml:space="preserve"> պատասխանատվություն</w:t>
            </w:r>
            <w:r w:rsidRPr="0053423A">
              <w:rPr>
                <w:rFonts w:eastAsia="Calibri" w:cs="Arial"/>
                <w:lang w:val="pt-BR"/>
              </w:rPr>
              <w:t>`</w:t>
            </w:r>
            <w:r w:rsidRPr="0053423A">
              <w:rPr>
                <w:rFonts w:eastAsia="Calibri" w:cs="Arial"/>
                <w:lang w:val="hy-AM"/>
              </w:rPr>
              <w:t xml:space="preserve"> </w:t>
            </w:r>
            <w:r w:rsidRPr="0053423A">
              <w:rPr>
                <w:rFonts w:eastAsia="Calibri"/>
                <w:lang w:val="hy-AM"/>
              </w:rPr>
              <w:t>քիմիական</w:t>
            </w:r>
            <w:r w:rsidRPr="0053423A">
              <w:rPr>
                <w:rFonts w:eastAsia="Calibri"/>
                <w:lang w:val="pt-BR"/>
              </w:rPr>
              <w:t xml:space="preserve"> </w:t>
            </w:r>
            <w:r w:rsidRPr="0053423A">
              <w:rPr>
                <w:rFonts w:eastAsia="Calibri"/>
                <w:lang w:val="hy-AM"/>
              </w:rPr>
              <w:t>նյութերի</w:t>
            </w:r>
            <w:r w:rsidRPr="0053423A">
              <w:rPr>
                <w:rFonts w:eastAsia="Calibri"/>
                <w:lang w:val="pt-BR"/>
              </w:rPr>
              <w:t xml:space="preserve"> </w:t>
            </w:r>
            <w:r w:rsidRPr="0053423A">
              <w:rPr>
                <w:rFonts w:eastAsia="Calibri"/>
                <w:lang w:val="hy-AM"/>
              </w:rPr>
              <w:t>գործածության</w:t>
            </w:r>
            <w:r w:rsidRPr="0053423A">
              <w:rPr>
                <w:rFonts w:eastAsia="Calibri"/>
                <w:lang w:val="pt-BR"/>
              </w:rPr>
              <w:t xml:space="preserve"> </w:t>
            </w:r>
            <w:r w:rsidRPr="0053423A">
              <w:rPr>
                <w:rFonts w:eastAsia="Calibri"/>
                <w:lang w:val="hy-AM"/>
              </w:rPr>
              <w:t xml:space="preserve">օրենսդրության </w:t>
            </w:r>
            <w:r w:rsidRPr="0053423A">
              <w:rPr>
                <w:rFonts w:eastAsia="Calibri" w:cs="Arial"/>
                <w:lang w:val="hy-AM"/>
              </w:rPr>
              <w:t>պահանջները</w:t>
            </w:r>
            <w:r w:rsidRPr="0053423A">
              <w:rPr>
                <w:rFonts w:eastAsia="Calibri" w:cs="Arial"/>
                <w:lang w:val="pt-BR"/>
              </w:rPr>
              <w:t xml:space="preserve"> </w:t>
            </w:r>
            <w:r w:rsidRPr="0053423A">
              <w:rPr>
                <w:rFonts w:eastAsia="Calibri" w:cs="Arial"/>
                <w:lang w:val="hy-AM"/>
              </w:rPr>
              <w:t>խախտելու</w:t>
            </w:r>
            <w:r w:rsidRPr="0053423A">
              <w:rPr>
                <w:rFonts w:eastAsia="Calibri" w:cs="Arial"/>
                <w:lang w:val="pt-BR"/>
              </w:rPr>
              <w:t xml:space="preserve"> </w:t>
            </w:r>
            <w:r w:rsidRPr="0053423A">
              <w:rPr>
                <w:rFonts w:eastAsia="Calibri" w:cs="Arial"/>
                <w:lang w:val="hy-AM"/>
              </w:rPr>
              <w:t>համար</w:t>
            </w:r>
            <w:r w:rsidRPr="0053423A">
              <w:rPr>
                <w:rFonts w:cs="GHEA Grapalat"/>
                <w:color w:val="000000"/>
                <w:lang w:val="af-ZA"/>
              </w:rPr>
              <w:t>:</w:t>
            </w:r>
          </w:p>
          <w:p w:rsidR="00530B14" w:rsidRPr="0053423A" w:rsidRDefault="00530B14" w:rsidP="00A67858">
            <w:pPr>
              <w:tabs>
                <w:tab w:val="left" w:pos="540"/>
              </w:tabs>
              <w:spacing w:line="276" w:lineRule="auto"/>
              <w:ind w:right="180"/>
              <w:jc w:val="both"/>
              <w:rPr>
                <w:rFonts w:eastAsia="Calibri" w:cs="GHEA Grapalat"/>
                <w:lang w:val="hy-AM"/>
              </w:rPr>
            </w:pPr>
            <w:r w:rsidRPr="0053423A">
              <w:rPr>
                <w:rFonts w:cs="Sylfaen"/>
                <w:color w:val="000000"/>
                <w:lang w:val="hy-AM"/>
              </w:rPr>
              <w:t>Օրենքի</w:t>
            </w:r>
            <w:r w:rsidRPr="0053423A">
              <w:rPr>
                <w:rFonts w:cs="Sylfaen"/>
                <w:color w:val="000000"/>
                <w:lang w:val="de-DE"/>
              </w:rPr>
              <w:t xml:space="preserve"> </w:t>
            </w:r>
            <w:r w:rsidRPr="0053423A">
              <w:rPr>
                <w:rFonts w:cs="Sylfaen"/>
                <w:color w:val="000000"/>
                <w:lang w:val="hy-AM"/>
              </w:rPr>
              <w:t xml:space="preserve">նախագծի մշակման ընթացքում կներգրավվեն </w:t>
            </w:r>
            <w:r w:rsidRPr="0053423A">
              <w:rPr>
                <w:rFonts w:eastAsia="Calibri" w:cs="GHEA Grapalat"/>
                <w:lang w:val="hy-AM"/>
              </w:rPr>
              <w:t xml:space="preserve">առողջապահության, տնտեսական զարգացման և ներդրումների, արտակարգ իրավիճակների, գյուղատնտեսության նախարարությունները և պետական եկամուտների կոմիտեն՝ </w:t>
            </w:r>
            <w:r w:rsidRPr="0053423A">
              <w:rPr>
                <w:rFonts w:eastAsia="Calibri"/>
                <w:lang w:val="hy-AM"/>
              </w:rPr>
              <w:t>քիմիական</w:t>
            </w:r>
            <w:r w:rsidRPr="0053423A">
              <w:rPr>
                <w:rFonts w:eastAsia="Calibri"/>
                <w:lang w:val="pt-BR"/>
              </w:rPr>
              <w:t xml:space="preserve"> </w:t>
            </w:r>
            <w:r w:rsidRPr="0053423A">
              <w:rPr>
                <w:rFonts w:eastAsia="Calibri"/>
                <w:lang w:val="hy-AM"/>
              </w:rPr>
              <w:t>նյութերի</w:t>
            </w:r>
            <w:r w:rsidRPr="0053423A">
              <w:rPr>
                <w:rFonts w:eastAsia="Calibri"/>
                <w:lang w:val="pt-BR"/>
              </w:rPr>
              <w:t xml:space="preserve"> </w:t>
            </w:r>
            <w:r w:rsidRPr="0053423A">
              <w:rPr>
                <w:rFonts w:eastAsia="Calibri"/>
                <w:lang w:val="hy-AM"/>
              </w:rPr>
              <w:t>գործածության ոլորտում յուրաքանչյուր մարմնի իրավասությունները սահմանելու համար։</w:t>
            </w:r>
          </w:p>
          <w:p w:rsidR="00530B14" w:rsidRPr="0053423A" w:rsidRDefault="00530B14" w:rsidP="00A67858">
            <w:pPr>
              <w:spacing w:line="276" w:lineRule="auto"/>
              <w:ind w:right="180" w:firstLine="283"/>
              <w:rPr>
                <w:b/>
                <w:i/>
                <w:lang w:val="hy-AM"/>
              </w:rPr>
            </w:pPr>
            <w:r w:rsidRPr="0053423A">
              <w:rPr>
                <w:b/>
                <w:i/>
                <w:lang w:val="hy-AM"/>
              </w:rPr>
              <w:t>2. Միջոցառման իրականացումից ակնկալվող արդյունքը</w:t>
            </w:r>
          </w:p>
          <w:p w:rsidR="00530B14" w:rsidRPr="0053423A" w:rsidRDefault="00530B14" w:rsidP="00A67858">
            <w:pPr>
              <w:tabs>
                <w:tab w:val="left" w:pos="-90"/>
                <w:tab w:val="left" w:pos="270"/>
                <w:tab w:val="left" w:pos="360"/>
                <w:tab w:val="left" w:pos="450"/>
              </w:tabs>
              <w:spacing w:line="276" w:lineRule="auto"/>
              <w:ind w:right="180"/>
              <w:jc w:val="both"/>
              <w:rPr>
                <w:rFonts w:cs="Arial"/>
                <w:bCs/>
                <w:color w:val="000000"/>
                <w:kern w:val="32"/>
                <w:lang w:val="de-DE"/>
              </w:rPr>
            </w:pPr>
            <w:r w:rsidRPr="0053423A">
              <w:rPr>
                <w:rFonts w:eastAsia="Calibri" w:cs="Arial"/>
                <w:lang w:val="hy-AM"/>
              </w:rPr>
              <w:tab/>
              <w:t>«Քիմիական</w:t>
            </w:r>
            <w:r w:rsidRPr="0053423A">
              <w:rPr>
                <w:rFonts w:eastAsia="Calibri" w:cs="Arial"/>
                <w:lang w:val="pt-BR"/>
              </w:rPr>
              <w:t xml:space="preserve"> </w:t>
            </w:r>
            <w:r w:rsidRPr="0053423A">
              <w:rPr>
                <w:rFonts w:eastAsia="Calibri" w:cs="Arial"/>
                <w:lang w:val="hy-AM"/>
              </w:rPr>
              <w:t>նյութերի</w:t>
            </w:r>
            <w:r w:rsidRPr="0053423A">
              <w:rPr>
                <w:rFonts w:eastAsia="Calibri" w:cs="Arial"/>
                <w:lang w:val="pt-BR"/>
              </w:rPr>
              <w:t xml:space="preserve"> </w:t>
            </w:r>
            <w:r w:rsidRPr="0053423A">
              <w:rPr>
                <w:rFonts w:eastAsia="Calibri" w:cs="Arial"/>
                <w:lang w:val="hy-AM"/>
              </w:rPr>
              <w:t>մասին»</w:t>
            </w:r>
            <w:r w:rsidRPr="0053423A">
              <w:rPr>
                <w:rFonts w:eastAsia="Calibri" w:cs="Arial"/>
                <w:lang w:val="pt-BR"/>
              </w:rPr>
              <w:t xml:space="preserve"> </w:t>
            </w:r>
            <w:r w:rsidRPr="0053423A">
              <w:rPr>
                <w:rFonts w:eastAsia="Calibri" w:cs="Arial"/>
                <w:lang w:val="hy-AM"/>
              </w:rPr>
              <w:t>օրենք</w:t>
            </w:r>
            <w:r w:rsidRPr="0053423A">
              <w:rPr>
                <w:rFonts w:cs="Sylfaen"/>
                <w:color w:val="000000"/>
                <w:lang w:val="hy-AM"/>
              </w:rPr>
              <w:t xml:space="preserve">ի </w:t>
            </w:r>
            <w:r w:rsidRPr="0053423A">
              <w:rPr>
                <w:rFonts w:eastAsia="Calibri" w:cs="Sylfaen"/>
                <w:color w:val="000000"/>
                <w:lang w:val="hy-AM"/>
              </w:rPr>
              <w:t>նախագծի</w:t>
            </w:r>
            <w:r w:rsidRPr="0053423A">
              <w:rPr>
                <w:rFonts w:eastAsia="Calibri"/>
                <w:lang w:val="hy-AM"/>
              </w:rPr>
              <w:t xml:space="preserve"> </w:t>
            </w:r>
            <w:r w:rsidRPr="0053423A">
              <w:rPr>
                <w:rFonts w:eastAsia="Calibri" w:cs="Sylfaen"/>
                <w:spacing w:val="-6"/>
                <w:lang w:val="hy-AM"/>
              </w:rPr>
              <w:t>ընդունմամբ</w:t>
            </w:r>
            <w:r w:rsidRPr="0053423A">
              <w:rPr>
                <w:rFonts w:eastAsia="Calibri"/>
                <w:spacing w:val="-6"/>
                <w:lang w:val="hy-AM"/>
              </w:rPr>
              <w:t xml:space="preserve"> </w:t>
            </w:r>
            <w:r w:rsidRPr="0053423A">
              <w:rPr>
                <w:rFonts w:cs="Sylfaen"/>
                <w:bCs/>
                <w:color w:val="000000"/>
                <w:kern w:val="32"/>
                <w:lang w:val="hy-AM"/>
              </w:rPr>
              <w:t>կ</w:t>
            </w:r>
            <w:r w:rsidRPr="0053423A">
              <w:rPr>
                <w:rFonts w:cs="Sylfaen"/>
                <w:color w:val="000000"/>
                <w:lang w:val="hy-AM"/>
              </w:rPr>
              <w:t>կարգավորվեն Հայաստանի</w:t>
            </w:r>
            <w:r w:rsidRPr="0053423A">
              <w:rPr>
                <w:rFonts w:cs="Sylfaen"/>
                <w:color w:val="000000"/>
                <w:lang w:val="de-DE"/>
              </w:rPr>
              <w:t xml:space="preserve"> </w:t>
            </w:r>
            <w:r w:rsidRPr="0053423A">
              <w:rPr>
                <w:rFonts w:cs="Sylfaen"/>
                <w:color w:val="000000"/>
                <w:lang w:val="hy-AM"/>
              </w:rPr>
              <w:t>Հանրապետությունում</w:t>
            </w:r>
            <w:r w:rsidRPr="0053423A">
              <w:rPr>
                <w:rFonts w:cs="Sylfaen"/>
                <w:color w:val="000000"/>
                <w:lang w:val="de-DE"/>
              </w:rPr>
              <w:t xml:space="preserve"> </w:t>
            </w:r>
            <w:r w:rsidRPr="0053423A">
              <w:rPr>
                <w:rFonts w:cs="Sylfaen"/>
                <w:color w:val="000000"/>
                <w:lang w:val="hy-AM"/>
              </w:rPr>
              <w:t>քիմիական</w:t>
            </w:r>
            <w:r w:rsidRPr="0053423A">
              <w:rPr>
                <w:rFonts w:cs="Sylfaen"/>
                <w:color w:val="000000"/>
                <w:lang w:val="de-DE"/>
              </w:rPr>
              <w:t xml:space="preserve"> </w:t>
            </w:r>
            <w:r w:rsidRPr="0053423A">
              <w:rPr>
                <w:rFonts w:cs="Sylfaen"/>
                <w:color w:val="000000"/>
                <w:lang w:val="hy-AM"/>
              </w:rPr>
              <w:t>նյութերի</w:t>
            </w:r>
            <w:r w:rsidRPr="0053423A">
              <w:rPr>
                <w:rFonts w:cs="Sylfaen"/>
                <w:color w:val="000000"/>
                <w:lang w:val="de-DE"/>
              </w:rPr>
              <w:t xml:space="preserve"> գործածության </w:t>
            </w:r>
            <w:r w:rsidRPr="0053423A">
              <w:rPr>
                <w:rFonts w:cs="Sylfaen"/>
                <w:color w:val="000000"/>
                <w:lang w:val="hy-AM"/>
              </w:rPr>
              <w:t>հետ</w:t>
            </w:r>
            <w:r w:rsidRPr="0053423A">
              <w:rPr>
                <w:rFonts w:cs="Sylfaen"/>
                <w:color w:val="000000"/>
                <w:lang w:val="de-DE"/>
              </w:rPr>
              <w:t xml:space="preserve"> </w:t>
            </w:r>
            <w:r w:rsidRPr="0053423A">
              <w:rPr>
                <w:rFonts w:cs="Sylfaen"/>
                <w:color w:val="000000"/>
                <w:lang w:val="hy-AM"/>
              </w:rPr>
              <w:t>կապված</w:t>
            </w:r>
            <w:r w:rsidRPr="0053423A">
              <w:rPr>
                <w:rFonts w:cs="Sylfaen"/>
                <w:color w:val="000000"/>
                <w:lang w:val="de-DE"/>
              </w:rPr>
              <w:t xml:space="preserve"> իրավա</w:t>
            </w:r>
            <w:r w:rsidRPr="0053423A">
              <w:rPr>
                <w:rFonts w:cs="Sylfaen"/>
                <w:color w:val="000000"/>
                <w:lang w:val="hy-AM"/>
              </w:rPr>
              <w:t>հարաբերությունները</w:t>
            </w:r>
            <w:r w:rsidRPr="0053423A">
              <w:rPr>
                <w:rFonts w:cs="Arial"/>
                <w:bCs/>
                <w:color w:val="000000"/>
                <w:kern w:val="32"/>
                <w:lang w:val="de-DE"/>
              </w:rPr>
              <w:t>`</w:t>
            </w:r>
            <w:r w:rsidRPr="0053423A">
              <w:rPr>
                <w:rFonts w:cs="Arial"/>
                <w:bCs/>
                <w:color w:val="000000"/>
                <w:kern w:val="32"/>
                <w:lang w:val="hy-AM"/>
              </w:rPr>
              <w:t xml:space="preserve"> </w:t>
            </w:r>
            <w:r w:rsidRPr="0053423A">
              <w:rPr>
                <w:rFonts w:cs="Sylfaen"/>
                <w:bCs/>
                <w:color w:val="000000"/>
                <w:kern w:val="32"/>
                <w:lang w:val="hy-AM"/>
              </w:rPr>
              <w:t>մարդու</w:t>
            </w:r>
            <w:r w:rsidRPr="0053423A">
              <w:rPr>
                <w:rFonts w:cs="Arial"/>
                <w:bCs/>
                <w:color w:val="000000"/>
                <w:kern w:val="32"/>
                <w:lang w:val="de-DE"/>
              </w:rPr>
              <w:t xml:space="preserve"> </w:t>
            </w:r>
            <w:r w:rsidRPr="0053423A">
              <w:rPr>
                <w:rFonts w:cs="Sylfaen"/>
                <w:bCs/>
                <w:color w:val="000000"/>
                <w:kern w:val="32"/>
                <w:lang w:val="hy-AM"/>
              </w:rPr>
              <w:t>առողջության</w:t>
            </w:r>
            <w:r w:rsidRPr="0053423A">
              <w:rPr>
                <w:rFonts w:cs="Arial"/>
                <w:bCs/>
                <w:color w:val="000000"/>
                <w:kern w:val="32"/>
                <w:lang w:val="de-DE"/>
              </w:rPr>
              <w:t xml:space="preserve"> </w:t>
            </w:r>
            <w:r w:rsidRPr="0053423A">
              <w:rPr>
                <w:rFonts w:cs="Sylfaen"/>
                <w:bCs/>
                <w:color w:val="000000"/>
                <w:kern w:val="32"/>
                <w:lang w:val="hy-AM"/>
              </w:rPr>
              <w:t>և</w:t>
            </w:r>
            <w:r w:rsidRPr="0053423A">
              <w:rPr>
                <w:rFonts w:cs="Arial"/>
                <w:bCs/>
                <w:color w:val="000000"/>
                <w:kern w:val="32"/>
                <w:lang w:val="de-DE"/>
              </w:rPr>
              <w:t xml:space="preserve"> </w:t>
            </w:r>
            <w:r w:rsidRPr="0053423A">
              <w:rPr>
                <w:rFonts w:cs="Sylfaen"/>
                <w:bCs/>
                <w:color w:val="000000"/>
                <w:kern w:val="32"/>
                <w:lang w:val="hy-AM"/>
              </w:rPr>
              <w:t>շրջակա</w:t>
            </w:r>
            <w:r w:rsidRPr="0053423A">
              <w:rPr>
                <w:rFonts w:cs="Arial"/>
                <w:bCs/>
                <w:color w:val="000000"/>
                <w:kern w:val="32"/>
                <w:lang w:val="de-DE"/>
              </w:rPr>
              <w:t xml:space="preserve"> </w:t>
            </w:r>
            <w:r w:rsidRPr="0053423A">
              <w:rPr>
                <w:rFonts w:cs="Sylfaen"/>
                <w:bCs/>
                <w:color w:val="000000"/>
                <w:kern w:val="32"/>
                <w:lang w:val="hy-AM"/>
              </w:rPr>
              <w:t>միջավայրի</w:t>
            </w:r>
            <w:r w:rsidRPr="0053423A">
              <w:rPr>
                <w:rFonts w:cs="Arial"/>
                <w:bCs/>
                <w:color w:val="000000"/>
                <w:kern w:val="32"/>
                <w:lang w:val="de-DE"/>
              </w:rPr>
              <w:t xml:space="preserve"> </w:t>
            </w:r>
            <w:r w:rsidRPr="0053423A">
              <w:rPr>
                <w:rFonts w:cs="Sylfaen"/>
                <w:bCs/>
                <w:color w:val="000000"/>
                <w:kern w:val="32"/>
                <w:lang w:val="hy-AM"/>
              </w:rPr>
              <w:t>վրա</w:t>
            </w:r>
            <w:r w:rsidRPr="0053423A">
              <w:rPr>
                <w:rFonts w:cs="Arial"/>
                <w:bCs/>
                <w:color w:val="000000"/>
                <w:kern w:val="32"/>
                <w:lang w:val="de-DE"/>
              </w:rPr>
              <w:t xml:space="preserve"> </w:t>
            </w:r>
            <w:r w:rsidRPr="0053423A">
              <w:rPr>
                <w:rFonts w:cs="Sylfaen"/>
                <w:bCs/>
                <w:color w:val="000000"/>
                <w:kern w:val="32"/>
                <w:lang w:val="hy-AM"/>
              </w:rPr>
              <w:t>դրանց</w:t>
            </w:r>
            <w:r w:rsidRPr="0053423A">
              <w:rPr>
                <w:rFonts w:cs="Arial"/>
                <w:bCs/>
                <w:color w:val="000000"/>
                <w:kern w:val="32"/>
                <w:lang w:val="de-DE"/>
              </w:rPr>
              <w:t xml:space="preserve"> </w:t>
            </w:r>
            <w:r w:rsidRPr="0053423A">
              <w:rPr>
                <w:rFonts w:cs="Sylfaen"/>
                <w:bCs/>
                <w:color w:val="000000"/>
                <w:kern w:val="32"/>
                <w:lang w:val="hy-AM"/>
              </w:rPr>
              <w:t>հնարավոր</w:t>
            </w:r>
            <w:r w:rsidRPr="0053423A">
              <w:rPr>
                <w:rFonts w:cs="Arial"/>
                <w:bCs/>
                <w:color w:val="000000"/>
                <w:kern w:val="32"/>
                <w:lang w:val="de-DE"/>
              </w:rPr>
              <w:t xml:space="preserve"> </w:t>
            </w:r>
            <w:r w:rsidRPr="0053423A">
              <w:rPr>
                <w:rFonts w:cs="Sylfaen"/>
                <w:bCs/>
                <w:color w:val="000000"/>
                <w:kern w:val="32"/>
                <w:lang w:val="hy-AM"/>
              </w:rPr>
              <w:t>վնասակար</w:t>
            </w:r>
            <w:r w:rsidRPr="0053423A">
              <w:rPr>
                <w:rFonts w:cs="Arial"/>
                <w:bCs/>
                <w:color w:val="000000"/>
                <w:kern w:val="32"/>
                <w:lang w:val="de-DE"/>
              </w:rPr>
              <w:t xml:space="preserve"> </w:t>
            </w:r>
            <w:r w:rsidRPr="0053423A">
              <w:rPr>
                <w:rFonts w:cs="Sylfaen"/>
                <w:bCs/>
                <w:color w:val="000000"/>
                <w:kern w:val="32"/>
                <w:lang w:val="hy-AM"/>
              </w:rPr>
              <w:t>ազդեցության</w:t>
            </w:r>
            <w:r w:rsidRPr="0053423A">
              <w:rPr>
                <w:rFonts w:cs="Arial"/>
                <w:bCs/>
                <w:color w:val="000000"/>
                <w:kern w:val="32"/>
                <w:lang w:val="de-DE"/>
              </w:rPr>
              <w:t xml:space="preserve"> </w:t>
            </w:r>
            <w:r w:rsidRPr="0053423A">
              <w:rPr>
                <w:rFonts w:cs="Sylfaen"/>
                <w:bCs/>
                <w:color w:val="000000"/>
                <w:kern w:val="32"/>
                <w:lang w:val="hy-AM"/>
              </w:rPr>
              <w:t>նվազեցման</w:t>
            </w:r>
            <w:r w:rsidRPr="0053423A">
              <w:rPr>
                <w:rFonts w:cs="Arial"/>
                <w:bCs/>
                <w:color w:val="000000"/>
                <w:kern w:val="32"/>
                <w:lang w:val="de-DE"/>
              </w:rPr>
              <w:t xml:space="preserve"> </w:t>
            </w:r>
            <w:r w:rsidRPr="0053423A">
              <w:rPr>
                <w:rFonts w:cs="Sylfaen"/>
                <w:bCs/>
                <w:color w:val="000000"/>
                <w:kern w:val="32"/>
                <w:lang w:val="hy-AM"/>
              </w:rPr>
              <w:t>ու</w:t>
            </w:r>
            <w:r w:rsidRPr="0053423A">
              <w:rPr>
                <w:rFonts w:cs="Arial"/>
                <w:bCs/>
                <w:color w:val="000000"/>
                <w:kern w:val="32"/>
                <w:lang w:val="de-DE"/>
              </w:rPr>
              <w:t xml:space="preserve"> </w:t>
            </w:r>
            <w:r w:rsidRPr="0053423A">
              <w:rPr>
                <w:rFonts w:cs="Sylfaen"/>
                <w:bCs/>
                <w:color w:val="000000"/>
                <w:kern w:val="32"/>
                <w:lang w:val="hy-AM"/>
              </w:rPr>
              <w:t>անվտանգության</w:t>
            </w:r>
            <w:r w:rsidRPr="0053423A">
              <w:rPr>
                <w:rFonts w:cs="Arial"/>
                <w:bCs/>
                <w:color w:val="000000"/>
                <w:kern w:val="32"/>
                <w:lang w:val="de-DE"/>
              </w:rPr>
              <w:t xml:space="preserve"> </w:t>
            </w:r>
            <w:r w:rsidRPr="0053423A">
              <w:rPr>
                <w:rFonts w:cs="Sylfaen"/>
                <w:bCs/>
                <w:color w:val="000000"/>
                <w:kern w:val="32"/>
                <w:lang w:val="hy-AM"/>
              </w:rPr>
              <w:t>ապահովման</w:t>
            </w:r>
            <w:r w:rsidRPr="0053423A">
              <w:rPr>
                <w:rFonts w:cs="Sylfaen"/>
                <w:bCs/>
                <w:color w:val="000000"/>
                <w:kern w:val="32"/>
                <w:lang w:val="de-DE"/>
              </w:rPr>
              <w:t xml:space="preserve"> </w:t>
            </w:r>
            <w:r w:rsidRPr="0053423A">
              <w:rPr>
                <w:rFonts w:cs="Sylfaen"/>
                <w:bCs/>
                <w:color w:val="000000"/>
                <w:kern w:val="32"/>
                <w:lang w:val="hy-AM"/>
              </w:rPr>
              <w:t>նպատակով</w:t>
            </w:r>
            <w:r w:rsidRPr="0053423A">
              <w:rPr>
                <w:rFonts w:cs="Arial"/>
                <w:bCs/>
                <w:color w:val="000000"/>
                <w:kern w:val="32"/>
                <w:lang w:val="de-DE"/>
              </w:rPr>
              <w:t xml:space="preserve">: </w:t>
            </w:r>
          </w:p>
          <w:p w:rsidR="00530B14" w:rsidRPr="0053423A" w:rsidRDefault="00530B14" w:rsidP="00A67858">
            <w:pPr>
              <w:tabs>
                <w:tab w:val="left" w:pos="-90"/>
                <w:tab w:val="left" w:pos="270"/>
                <w:tab w:val="left" w:pos="360"/>
                <w:tab w:val="left" w:pos="450"/>
              </w:tabs>
              <w:spacing w:line="276" w:lineRule="auto"/>
              <w:ind w:left="-90" w:right="180"/>
              <w:jc w:val="center"/>
              <w:rPr>
                <w:rFonts w:cs="Arial"/>
                <w:b/>
                <w:bCs/>
                <w:color w:val="000000"/>
                <w:kern w:val="32"/>
                <w:u w:val="single"/>
                <w:lang w:val="de-DE"/>
              </w:rPr>
            </w:pPr>
          </w:p>
          <w:p w:rsidR="00530B14" w:rsidRPr="0053423A" w:rsidRDefault="00530B14" w:rsidP="00A67858">
            <w:pPr>
              <w:tabs>
                <w:tab w:val="left" w:pos="-90"/>
                <w:tab w:val="left" w:pos="270"/>
                <w:tab w:val="left" w:pos="360"/>
                <w:tab w:val="left" w:pos="450"/>
              </w:tabs>
              <w:spacing w:line="276" w:lineRule="auto"/>
              <w:ind w:left="-90" w:right="180"/>
              <w:jc w:val="center"/>
              <w:rPr>
                <w:rFonts w:eastAsia="Calibri" w:cs="GHEA Grapalat"/>
                <w:b/>
                <w:u w:val="single"/>
                <w:lang w:val="hy-AM"/>
              </w:rPr>
            </w:pPr>
            <w:r w:rsidRPr="0053423A">
              <w:rPr>
                <w:rFonts w:cs="Arial"/>
                <w:b/>
                <w:bCs/>
                <w:color w:val="000000"/>
                <w:kern w:val="32"/>
                <w:u w:val="single"/>
                <w:lang w:val="hy-AM"/>
              </w:rPr>
              <w:t xml:space="preserve">9.2 </w:t>
            </w:r>
            <w:r w:rsidRPr="0053423A">
              <w:rPr>
                <w:rFonts w:eastAsia="Calibri" w:cs="GHEA Grapalat"/>
                <w:b/>
                <w:u w:val="single"/>
                <w:lang w:val="hy-AM"/>
              </w:rPr>
              <w:t xml:space="preserve"> «Ընդերքօգագործման թափոնների փակված օբյեկտների գույքագրում»</w:t>
            </w:r>
          </w:p>
          <w:p w:rsidR="00530B14" w:rsidRPr="0053423A" w:rsidRDefault="00530B14" w:rsidP="00A67858">
            <w:pPr>
              <w:tabs>
                <w:tab w:val="left" w:pos="-90"/>
                <w:tab w:val="left" w:pos="270"/>
                <w:tab w:val="left" w:pos="360"/>
                <w:tab w:val="left" w:pos="450"/>
              </w:tabs>
              <w:spacing w:line="276" w:lineRule="auto"/>
              <w:ind w:left="-90" w:right="180"/>
              <w:jc w:val="center"/>
              <w:rPr>
                <w:rFonts w:cs="Arial"/>
                <w:b/>
                <w:bCs/>
                <w:color w:val="000000"/>
                <w:kern w:val="32"/>
                <w:u w:val="single"/>
                <w:lang w:val="hy-AM"/>
              </w:rPr>
            </w:pPr>
          </w:p>
          <w:p w:rsidR="00530B14" w:rsidRPr="0053423A" w:rsidRDefault="00530B14" w:rsidP="00A67858">
            <w:pPr>
              <w:numPr>
                <w:ilvl w:val="0"/>
                <w:numId w:val="17"/>
              </w:numPr>
              <w:spacing w:line="276" w:lineRule="auto"/>
              <w:contextualSpacing/>
              <w:rPr>
                <w:b/>
                <w:i/>
                <w:lang w:val="hy-AM"/>
              </w:rPr>
            </w:pPr>
            <w:r w:rsidRPr="0053423A">
              <w:rPr>
                <w:b/>
                <w:i/>
                <w:lang w:val="hy-AM"/>
              </w:rPr>
              <w:t xml:space="preserve">Միջոցառման իրակացման անհրաժեշտությունը և նպատակը </w:t>
            </w:r>
          </w:p>
          <w:p w:rsidR="00530B14" w:rsidRPr="0053423A" w:rsidRDefault="00232EB0" w:rsidP="00A67858">
            <w:pPr>
              <w:spacing w:line="276" w:lineRule="auto"/>
              <w:ind w:firstLine="375"/>
              <w:jc w:val="both"/>
              <w:rPr>
                <w:rFonts w:cs="Sylfaen"/>
                <w:shd w:val="clear" w:color="auto" w:fill="FFFFFF"/>
                <w:lang w:val="hy-AM"/>
              </w:rPr>
            </w:pPr>
            <w:r w:rsidRPr="0053423A">
              <w:rPr>
                <w:rFonts w:cs="Sylfaen"/>
                <w:shd w:val="clear" w:color="auto" w:fill="FFFFFF"/>
                <w:lang w:val="hy-AM"/>
              </w:rPr>
              <w:t>Միջո</w:t>
            </w:r>
            <w:r w:rsidR="00530B14" w:rsidRPr="0053423A">
              <w:rPr>
                <w:rFonts w:cs="Sylfaen"/>
                <w:shd w:val="clear" w:color="auto" w:fill="FFFFFF"/>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Քիմիական նյութերի և թափոնների (այդ թվում՝ ընդերքօգտագործման) էկոլոգիապես անվտանգ կառավարում  ուղղությունը:</w:t>
            </w:r>
          </w:p>
          <w:p w:rsidR="00530B14" w:rsidRPr="0053423A" w:rsidRDefault="00530B14" w:rsidP="00A67858">
            <w:pPr>
              <w:spacing w:line="276" w:lineRule="auto"/>
              <w:ind w:firstLine="375"/>
              <w:jc w:val="both"/>
              <w:rPr>
                <w:rFonts w:eastAsia="Calibri"/>
                <w:b/>
                <w:shd w:val="clear" w:color="auto" w:fill="FFFFFF"/>
                <w:lang w:val="hy-AM"/>
              </w:rPr>
            </w:pPr>
            <w:r w:rsidRPr="0053423A">
              <w:rPr>
                <w:rFonts w:eastAsia="Calibri" w:cs="GHEA Grapalat"/>
                <w:lang w:val="hy-AM"/>
              </w:rPr>
              <w:t>Մետաղական օգտակար հանածոների երկրաբանական ուսումնասիրության և արդյունահանման արդյունքում առաջացած ընդերքօգտագործման թափոնների գույքագրման իրականացման անհրաժեշտությունը ամրագրված է Կառավարության</w:t>
            </w:r>
            <w:r w:rsidRPr="0053423A">
              <w:rPr>
                <w:rFonts w:eastAsia="Calibri" w:cs="GHEA Grapalat"/>
                <w:lang w:val="it-IT"/>
              </w:rPr>
              <w:t xml:space="preserve"> 08.02.2019</w:t>
            </w:r>
            <w:r w:rsidRPr="0053423A">
              <w:rPr>
                <w:rFonts w:eastAsia="Calibri" w:cs="GHEA Grapalat"/>
                <w:lang w:val="hy-AM"/>
              </w:rPr>
              <w:t>թ</w:t>
            </w:r>
            <w:r w:rsidRPr="0053423A">
              <w:rPr>
                <w:rFonts w:eastAsia="Calibri" w:cs="GHEA Grapalat"/>
                <w:lang w:val="it-IT"/>
              </w:rPr>
              <w:t xml:space="preserve">.-ի N65-Ա որոշման 4.8 գլխում՝ որպես </w:t>
            </w:r>
            <w:r w:rsidRPr="0053423A">
              <w:rPr>
                <w:rFonts w:eastAsia="Calibri" w:cs="Sylfaen"/>
                <w:lang w:val="hy-AM"/>
              </w:rPr>
              <w:t>թափոնների</w:t>
            </w:r>
            <w:r w:rsidRPr="0053423A">
              <w:rPr>
                <w:rFonts w:eastAsia="Calibri"/>
                <w:lang w:val="hy-AM"/>
              </w:rPr>
              <w:t xml:space="preserve"> (</w:t>
            </w:r>
            <w:r w:rsidRPr="0053423A">
              <w:rPr>
                <w:rFonts w:eastAsia="Calibri" w:cs="Sylfaen"/>
                <w:lang w:val="hy-AM"/>
              </w:rPr>
              <w:t>այդ</w:t>
            </w:r>
            <w:r w:rsidRPr="0053423A">
              <w:rPr>
                <w:rFonts w:eastAsia="Calibri"/>
                <w:lang w:val="hy-AM"/>
              </w:rPr>
              <w:t xml:space="preserve"> </w:t>
            </w:r>
            <w:r w:rsidRPr="0053423A">
              <w:rPr>
                <w:rFonts w:eastAsia="Calibri" w:cs="Sylfaen"/>
                <w:lang w:val="hy-AM"/>
              </w:rPr>
              <w:t>թվում՝</w:t>
            </w:r>
            <w:r w:rsidRPr="0053423A">
              <w:rPr>
                <w:rFonts w:eastAsia="Calibri"/>
                <w:lang w:val="hy-AM"/>
              </w:rPr>
              <w:t xml:space="preserve"> </w:t>
            </w:r>
            <w:r w:rsidRPr="0053423A">
              <w:rPr>
                <w:rFonts w:eastAsia="Calibri" w:cs="Sylfaen"/>
                <w:lang w:val="hy-AM"/>
              </w:rPr>
              <w:t>ընդերքօգտագործման</w:t>
            </w:r>
            <w:r w:rsidRPr="0053423A">
              <w:rPr>
                <w:rFonts w:eastAsia="Calibri"/>
                <w:lang w:val="hy-AM"/>
              </w:rPr>
              <w:t xml:space="preserve">) </w:t>
            </w:r>
            <w:r w:rsidRPr="0053423A">
              <w:rPr>
                <w:rFonts w:eastAsia="Calibri" w:cs="Sylfaen"/>
                <w:lang w:val="hy-AM"/>
              </w:rPr>
              <w:t>էկոլոգիապես</w:t>
            </w:r>
            <w:r w:rsidRPr="0053423A">
              <w:rPr>
                <w:rFonts w:eastAsia="Calibri"/>
                <w:lang w:val="hy-AM"/>
              </w:rPr>
              <w:t xml:space="preserve"> </w:t>
            </w:r>
            <w:r w:rsidRPr="0053423A">
              <w:rPr>
                <w:rFonts w:eastAsia="Calibri" w:cs="Sylfaen"/>
                <w:lang w:val="hy-AM"/>
              </w:rPr>
              <w:t>անվտանգ</w:t>
            </w:r>
            <w:r w:rsidRPr="0053423A">
              <w:rPr>
                <w:rFonts w:eastAsia="Calibri"/>
                <w:lang w:val="hy-AM"/>
              </w:rPr>
              <w:t xml:space="preserve"> կառավարման բնագավառի </w:t>
            </w:r>
            <w:r w:rsidRPr="0053423A">
              <w:rPr>
                <w:rFonts w:eastAsia="Calibri" w:cs="Sylfaen"/>
                <w:lang w:val="hy-AM"/>
              </w:rPr>
              <w:t>առաջնահերթ</w:t>
            </w:r>
            <w:r w:rsidRPr="0053423A">
              <w:rPr>
                <w:rFonts w:eastAsia="Calibri"/>
                <w:lang w:val="it-IT"/>
              </w:rPr>
              <w:t xml:space="preserve"> </w:t>
            </w:r>
            <w:r w:rsidRPr="0053423A">
              <w:rPr>
                <w:rFonts w:eastAsia="Calibri" w:cs="Sylfaen"/>
                <w:lang w:val="hy-AM"/>
              </w:rPr>
              <w:t>ուղղություն, ինչպես նաև Կառավարության 22.03.2018թ.-ի N 11 արձանագրային որոշմամբ հաստատված շրջակա</w:t>
            </w:r>
            <w:r w:rsidRPr="0053423A">
              <w:rPr>
                <w:rFonts w:eastAsia="Calibri" w:cs="Arial Armenian"/>
                <w:lang w:val="hy-AM"/>
              </w:rPr>
              <w:t xml:space="preserve"> </w:t>
            </w:r>
            <w:r w:rsidRPr="0053423A">
              <w:rPr>
                <w:rFonts w:eastAsia="Calibri" w:cs="Sylfaen"/>
                <w:lang w:val="hy-AM"/>
              </w:rPr>
              <w:t>միջավայրի</w:t>
            </w:r>
            <w:r w:rsidRPr="0053423A">
              <w:rPr>
                <w:rFonts w:eastAsia="Calibri" w:cs="Arial Armenian"/>
                <w:lang w:val="hy-AM"/>
              </w:rPr>
              <w:t xml:space="preserve"> </w:t>
            </w:r>
            <w:r w:rsidRPr="0053423A">
              <w:rPr>
                <w:rFonts w:eastAsia="Calibri" w:cs="Sylfaen"/>
                <w:lang w:val="hy-AM"/>
              </w:rPr>
              <w:t>պահպանության</w:t>
            </w:r>
            <w:r w:rsidRPr="0053423A">
              <w:rPr>
                <w:rFonts w:eastAsia="Calibri" w:cs="Arial Armenian"/>
                <w:lang w:val="hy-AM"/>
              </w:rPr>
              <w:t xml:space="preserve"> </w:t>
            </w:r>
            <w:r w:rsidRPr="0053423A">
              <w:rPr>
                <w:rFonts w:eastAsia="Calibri" w:cs="Sylfaen"/>
                <w:lang w:val="hy-AM"/>
              </w:rPr>
              <w:t>և</w:t>
            </w:r>
            <w:r w:rsidRPr="0053423A">
              <w:rPr>
                <w:rFonts w:eastAsia="Calibri" w:cs="Arial Armenian"/>
                <w:lang w:val="hy-AM"/>
              </w:rPr>
              <w:t xml:space="preserve"> </w:t>
            </w:r>
            <w:r w:rsidRPr="0053423A">
              <w:rPr>
                <w:rFonts w:eastAsia="Calibri" w:cs="Sylfaen"/>
                <w:lang w:val="hy-AM"/>
              </w:rPr>
              <w:t>բնական</w:t>
            </w:r>
            <w:r w:rsidRPr="0053423A">
              <w:rPr>
                <w:rFonts w:eastAsia="Calibri" w:cs="Arial Armenian"/>
                <w:lang w:val="hy-AM"/>
              </w:rPr>
              <w:t xml:space="preserve"> </w:t>
            </w:r>
            <w:r w:rsidRPr="0053423A">
              <w:rPr>
                <w:rFonts w:eastAsia="Calibri" w:cs="Sylfaen"/>
                <w:lang w:val="hy-AM"/>
              </w:rPr>
              <w:t>ռեսուրսների</w:t>
            </w:r>
            <w:r w:rsidRPr="0053423A">
              <w:rPr>
                <w:rFonts w:eastAsia="Calibri" w:cs="Arial Armenian"/>
                <w:lang w:val="hy-AM"/>
              </w:rPr>
              <w:t xml:space="preserve"> </w:t>
            </w:r>
            <w:r w:rsidRPr="0053423A">
              <w:rPr>
                <w:rFonts w:eastAsia="Calibri" w:cs="Sylfaen"/>
                <w:lang w:val="hy-AM"/>
              </w:rPr>
              <w:t>օգտագործման</w:t>
            </w:r>
            <w:r w:rsidRPr="0053423A">
              <w:rPr>
                <w:rFonts w:eastAsia="Calibri" w:cs="Arial Armenian"/>
                <w:lang w:val="hy-AM"/>
              </w:rPr>
              <w:t xml:space="preserve"> </w:t>
            </w:r>
            <w:r w:rsidRPr="0053423A">
              <w:rPr>
                <w:rFonts w:eastAsia="Calibri" w:cs="Sylfaen"/>
                <w:lang w:val="hy-AM"/>
              </w:rPr>
              <w:t>կառավարման</w:t>
            </w:r>
            <w:r w:rsidRPr="0053423A">
              <w:rPr>
                <w:rFonts w:eastAsia="Calibri" w:cs="Arial Armenian"/>
                <w:lang w:val="hy-AM"/>
              </w:rPr>
              <w:t xml:space="preserve"> </w:t>
            </w:r>
            <w:r w:rsidRPr="0053423A">
              <w:rPr>
                <w:rFonts w:eastAsia="Calibri" w:cs="Sylfaen"/>
                <w:bCs/>
                <w:spacing w:val="-8"/>
                <w:lang w:val="hy-AM"/>
              </w:rPr>
              <w:t>միջոցառումների</w:t>
            </w:r>
            <w:r w:rsidRPr="0053423A">
              <w:rPr>
                <w:rFonts w:eastAsia="Calibri" w:cs="Tahoma"/>
                <w:bCs/>
                <w:spacing w:val="-8"/>
                <w:lang w:val="hy-AM"/>
              </w:rPr>
              <w:t xml:space="preserve"> 2018-2022 </w:t>
            </w:r>
            <w:r w:rsidRPr="0053423A">
              <w:rPr>
                <w:rFonts w:eastAsia="Calibri" w:cs="Sylfaen"/>
                <w:bCs/>
                <w:spacing w:val="-8"/>
                <w:lang w:val="hy-AM"/>
              </w:rPr>
              <w:t>թվականների</w:t>
            </w:r>
            <w:r w:rsidRPr="0053423A">
              <w:rPr>
                <w:rFonts w:eastAsia="Calibri" w:cs="Tahoma"/>
                <w:bCs/>
                <w:spacing w:val="-8"/>
                <w:lang w:val="hy-AM"/>
              </w:rPr>
              <w:t xml:space="preserve"> </w:t>
            </w:r>
            <w:r w:rsidRPr="0053423A">
              <w:rPr>
                <w:rFonts w:eastAsia="Calibri" w:cs="Sylfaen"/>
                <w:bCs/>
                <w:spacing w:val="-8"/>
                <w:lang w:val="hy-AM"/>
              </w:rPr>
              <w:t>ծրագրում:</w:t>
            </w:r>
          </w:p>
          <w:p w:rsidR="00530B14" w:rsidRPr="0053423A" w:rsidRDefault="00530B14" w:rsidP="00A67858">
            <w:pPr>
              <w:spacing w:line="276" w:lineRule="auto"/>
              <w:ind w:firstLine="708"/>
              <w:jc w:val="both"/>
              <w:rPr>
                <w:rFonts w:eastAsia="Calibri" w:cs="GHEA Grapalat"/>
                <w:lang w:val="it-IT"/>
              </w:rPr>
            </w:pPr>
            <w:r w:rsidRPr="0053423A">
              <w:rPr>
                <w:rFonts w:eastAsia="Calibri"/>
                <w:shd w:val="clear" w:color="auto" w:fill="FFFFFF"/>
                <w:lang w:val="hy-AM"/>
              </w:rPr>
              <w:t>Միջոցառման նպատակն է</w:t>
            </w:r>
            <w:r w:rsidRPr="0053423A">
              <w:rPr>
                <w:rFonts w:eastAsia="Calibri"/>
                <w:color w:val="000000"/>
                <w:shd w:val="clear" w:color="auto" w:fill="FFFFFF"/>
                <w:lang w:val="hy-AM"/>
              </w:rPr>
              <w:t xml:space="preserve"> դասակարգել</w:t>
            </w:r>
            <w:r w:rsidRPr="0053423A">
              <w:rPr>
                <w:rFonts w:eastAsia="Calibri"/>
                <w:color w:val="000000"/>
                <w:shd w:val="clear" w:color="auto" w:fill="FFFFFF"/>
                <w:lang w:val="it-IT"/>
              </w:rPr>
              <w:t xml:space="preserve"> </w:t>
            </w:r>
            <w:r w:rsidRPr="0053423A">
              <w:rPr>
                <w:rFonts w:eastAsia="Calibri" w:cs="GHEA Grapalat"/>
                <w:lang w:val="hy-AM"/>
              </w:rPr>
              <w:t>ընդերքօգտագործման</w:t>
            </w:r>
            <w:r w:rsidRPr="0053423A">
              <w:rPr>
                <w:rFonts w:eastAsia="Calibri" w:cs="GHEA Grapalat"/>
                <w:lang w:val="af-ZA"/>
              </w:rPr>
              <w:t xml:space="preserve"> </w:t>
            </w:r>
            <w:r w:rsidRPr="0053423A">
              <w:rPr>
                <w:rFonts w:eastAsia="Calibri" w:cs="GHEA Grapalat"/>
                <w:lang w:val="hy-AM"/>
              </w:rPr>
              <w:t>թափոնների</w:t>
            </w:r>
            <w:r w:rsidRPr="0053423A">
              <w:rPr>
                <w:rFonts w:eastAsia="Calibri" w:cs="GHEA Grapalat"/>
                <w:lang w:val="af-ZA"/>
              </w:rPr>
              <w:t xml:space="preserve"> </w:t>
            </w:r>
            <w:r w:rsidRPr="0053423A">
              <w:rPr>
                <w:rFonts w:eastAsia="Calibri" w:cs="GHEA Grapalat"/>
                <w:lang w:val="hy-AM"/>
              </w:rPr>
              <w:t>փակված</w:t>
            </w:r>
            <w:r w:rsidRPr="0053423A">
              <w:rPr>
                <w:rFonts w:eastAsia="Calibri" w:cs="GHEA Grapalat"/>
                <w:lang w:val="af-ZA"/>
              </w:rPr>
              <w:t xml:space="preserve"> </w:t>
            </w:r>
            <w:r w:rsidRPr="0053423A">
              <w:rPr>
                <w:rFonts w:eastAsia="Calibri" w:cs="GHEA Grapalat"/>
                <w:lang w:val="hy-AM"/>
              </w:rPr>
              <w:t>օբյեկտներ և թափոնների տեղամասերը</w:t>
            </w:r>
            <w:r w:rsidRPr="0053423A">
              <w:rPr>
                <w:rFonts w:eastAsia="Calibri" w:cs="GHEA Grapalat"/>
                <w:lang w:val="it-IT"/>
              </w:rPr>
              <w:t xml:space="preserve"> </w:t>
            </w:r>
            <w:r w:rsidRPr="0053423A">
              <w:rPr>
                <w:rFonts w:eastAsia="Calibri" w:cs="GHEA Grapalat"/>
                <w:lang w:val="hy-AM"/>
              </w:rPr>
              <w:t>ըստ</w:t>
            </w:r>
            <w:r w:rsidRPr="0053423A">
              <w:rPr>
                <w:rFonts w:eastAsia="Calibri" w:cs="GHEA Grapalat"/>
                <w:lang w:val="it-IT"/>
              </w:rPr>
              <w:t xml:space="preserve"> </w:t>
            </w:r>
            <w:r w:rsidRPr="0053423A">
              <w:rPr>
                <w:rFonts w:eastAsia="Calibri" w:cs="GHEA Grapalat"/>
                <w:lang w:val="hy-AM"/>
              </w:rPr>
              <w:t>վտանգավորության՝</w:t>
            </w:r>
            <w:r w:rsidRPr="0053423A">
              <w:rPr>
                <w:rFonts w:eastAsia="Calibri" w:cs="GHEA Grapalat"/>
                <w:lang w:val="it-IT"/>
              </w:rPr>
              <w:t xml:space="preserve"> </w:t>
            </w:r>
            <w:r w:rsidRPr="0053423A">
              <w:rPr>
                <w:rFonts w:eastAsia="Calibri"/>
                <w:color w:val="000000"/>
                <w:shd w:val="clear" w:color="auto" w:fill="FFFFFF"/>
                <w:lang w:val="hy-AM"/>
              </w:rPr>
              <w:t>գնահատելով</w:t>
            </w:r>
            <w:r w:rsidRPr="0053423A">
              <w:rPr>
                <w:rFonts w:eastAsia="Calibri" w:cs="GHEA Grapalat"/>
                <w:lang w:val="af-ZA"/>
              </w:rPr>
              <w:t xml:space="preserve"> </w:t>
            </w:r>
            <w:r w:rsidRPr="0053423A">
              <w:rPr>
                <w:rFonts w:eastAsia="Calibri" w:cs="GHEA Grapalat"/>
                <w:lang w:val="hy-AM"/>
              </w:rPr>
              <w:t>դրանք</w:t>
            </w:r>
            <w:r w:rsidRPr="0053423A">
              <w:rPr>
                <w:rFonts w:eastAsia="Calibri" w:cs="GHEA Grapalat"/>
                <w:lang w:val="af-ZA"/>
              </w:rPr>
              <w:t xml:space="preserve"> </w:t>
            </w:r>
            <w:r w:rsidRPr="0053423A">
              <w:rPr>
                <w:rFonts w:eastAsia="Calibri" w:cs="GHEA Grapalat"/>
                <w:lang w:val="hy-AM"/>
              </w:rPr>
              <w:t>տարածքում</w:t>
            </w:r>
            <w:r w:rsidRPr="0053423A">
              <w:rPr>
                <w:rFonts w:eastAsia="Calibri" w:cs="GHEA Grapalat"/>
                <w:lang w:val="af-ZA"/>
              </w:rPr>
              <w:t xml:space="preserve"> </w:t>
            </w:r>
            <w:r w:rsidRPr="0053423A">
              <w:rPr>
                <w:rFonts w:eastAsia="Calibri" w:cs="GHEA Grapalat"/>
                <w:lang w:val="hy-AM"/>
              </w:rPr>
              <w:t>շրջակա</w:t>
            </w:r>
            <w:r w:rsidRPr="0053423A">
              <w:rPr>
                <w:rFonts w:eastAsia="Calibri" w:cs="GHEA Grapalat"/>
                <w:lang w:val="af-ZA"/>
              </w:rPr>
              <w:t xml:space="preserve"> </w:t>
            </w:r>
            <w:r w:rsidRPr="0053423A">
              <w:rPr>
                <w:rFonts w:eastAsia="Calibri" w:cs="GHEA Grapalat"/>
                <w:lang w:val="hy-AM"/>
              </w:rPr>
              <w:t>միջավայրի</w:t>
            </w:r>
            <w:r w:rsidRPr="0053423A">
              <w:rPr>
                <w:rFonts w:eastAsia="Calibri" w:cs="GHEA Grapalat"/>
                <w:lang w:val="af-ZA"/>
              </w:rPr>
              <w:t xml:space="preserve"> </w:t>
            </w:r>
            <w:r w:rsidRPr="0053423A">
              <w:rPr>
                <w:rFonts w:eastAsia="Calibri" w:cs="GHEA Grapalat"/>
                <w:lang w:val="hy-AM"/>
              </w:rPr>
              <w:t>աղտոտվածության</w:t>
            </w:r>
            <w:r w:rsidRPr="0053423A">
              <w:rPr>
                <w:rFonts w:eastAsia="Calibri" w:cs="GHEA Grapalat"/>
                <w:lang w:val="af-ZA"/>
              </w:rPr>
              <w:t xml:space="preserve"> </w:t>
            </w:r>
            <w:r w:rsidRPr="0053423A">
              <w:rPr>
                <w:rFonts w:eastAsia="Calibri" w:cs="GHEA Grapalat"/>
                <w:lang w:val="hy-AM"/>
              </w:rPr>
              <w:t>մակարդակ</w:t>
            </w:r>
            <w:r w:rsidRPr="0053423A">
              <w:rPr>
                <w:rFonts w:eastAsia="Calibri" w:cs="GHEA Grapalat"/>
                <w:lang w:val="it-IT"/>
              </w:rPr>
              <w:t xml:space="preserve">ը </w:t>
            </w:r>
            <w:r w:rsidRPr="0053423A">
              <w:rPr>
                <w:rFonts w:eastAsia="Calibri" w:cs="GHEA Grapalat"/>
                <w:lang w:val="hy-AM"/>
              </w:rPr>
              <w:t>և</w:t>
            </w:r>
            <w:r w:rsidRPr="0053423A">
              <w:rPr>
                <w:rFonts w:eastAsia="Calibri" w:cs="GHEA Grapalat"/>
                <w:lang w:val="it-IT"/>
              </w:rPr>
              <w:t xml:space="preserve"> </w:t>
            </w:r>
            <w:r w:rsidRPr="0053423A">
              <w:rPr>
                <w:rFonts w:eastAsia="Calibri" w:cs="GHEA Grapalat"/>
                <w:lang w:val="hy-AM"/>
              </w:rPr>
              <w:t>շրջակա</w:t>
            </w:r>
            <w:r w:rsidRPr="0053423A">
              <w:rPr>
                <w:rFonts w:eastAsia="Calibri" w:cs="GHEA Grapalat"/>
                <w:lang w:val="af-ZA"/>
              </w:rPr>
              <w:t xml:space="preserve"> </w:t>
            </w:r>
            <w:r w:rsidRPr="0053423A">
              <w:rPr>
                <w:rFonts w:eastAsia="Calibri" w:cs="GHEA Grapalat"/>
                <w:lang w:val="hy-AM"/>
              </w:rPr>
              <w:t>միջավայրին</w:t>
            </w:r>
            <w:r w:rsidRPr="0053423A">
              <w:rPr>
                <w:rFonts w:eastAsia="Calibri" w:cs="GHEA Grapalat"/>
                <w:lang w:val="af-ZA"/>
              </w:rPr>
              <w:t xml:space="preserve"> </w:t>
            </w:r>
            <w:r w:rsidRPr="0053423A">
              <w:rPr>
                <w:rFonts w:eastAsia="Calibri" w:cs="GHEA Grapalat"/>
                <w:lang w:val="hy-AM"/>
              </w:rPr>
              <w:t>հասցված</w:t>
            </w:r>
            <w:r w:rsidRPr="0053423A">
              <w:rPr>
                <w:rFonts w:eastAsia="Calibri" w:cs="GHEA Grapalat"/>
                <w:lang w:val="af-ZA"/>
              </w:rPr>
              <w:t xml:space="preserve"> </w:t>
            </w:r>
            <w:r w:rsidRPr="0053423A">
              <w:rPr>
                <w:rFonts w:eastAsia="Calibri" w:cs="GHEA Grapalat"/>
                <w:lang w:val="hy-AM"/>
              </w:rPr>
              <w:t>վնասը</w:t>
            </w:r>
            <w:r w:rsidRPr="0053423A">
              <w:rPr>
                <w:rFonts w:eastAsia="Calibri" w:cs="GHEA Grapalat"/>
                <w:lang w:val="it-IT"/>
              </w:rPr>
              <w:t xml:space="preserve">: </w:t>
            </w:r>
          </w:p>
          <w:p w:rsidR="00530B14" w:rsidRPr="0053423A" w:rsidRDefault="00530B14" w:rsidP="00A67858">
            <w:pPr>
              <w:spacing w:line="276" w:lineRule="auto"/>
              <w:ind w:firstLine="375"/>
              <w:rPr>
                <w:lang w:val="hy-AM"/>
              </w:rPr>
            </w:pPr>
            <w:r w:rsidRPr="0053423A">
              <w:rPr>
                <w:b/>
                <w:lang w:val="hy-AM"/>
              </w:rPr>
              <w:t>1.1. Կարգավորման հարաբերությունների ներկա վիճակը և առկա խնդիրները</w:t>
            </w:r>
            <w:r w:rsidRPr="0053423A">
              <w:rPr>
                <w:lang w:val="hy-AM"/>
              </w:rPr>
              <w:t xml:space="preserve"> </w:t>
            </w:r>
          </w:p>
          <w:p w:rsidR="00530B14" w:rsidRPr="0053423A" w:rsidRDefault="00530B14" w:rsidP="00A67858">
            <w:pPr>
              <w:spacing w:line="276" w:lineRule="auto"/>
              <w:ind w:firstLine="600"/>
              <w:jc w:val="both"/>
              <w:rPr>
                <w:rFonts w:eastAsia="Calibri" w:cs="Sylfaen"/>
                <w:kern w:val="16"/>
                <w:lang w:val="hy-AM"/>
              </w:rPr>
            </w:pPr>
            <w:r w:rsidRPr="0053423A">
              <w:rPr>
                <w:rFonts w:eastAsia="Calibri" w:cs="Sylfaen"/>
                <w:kern w:val="16"/>
                <w:lang w:val="hy-AM"/>
              </w:rPr>
              <w:t xml:space="preserve">Ընդերքօգտագործման թափոնների օբյեկտները և տեղամասերը հանդիսանում են շրջակա միջավայրի վրա բացասական ազդեցության աղբյուր լանդշաֆտային և կենսաբանական բազմազանության վրա, հանգեցնում է էկոհամակարգի դեգրադացմանը, աղտոտվում են մակերևութային և ստորգետնյա ջրերը, փոխոխվում է դրանց ջրաբանական ռեժիմը, ֆիզիկական ու քիմիական բաղադրությունները, տեղի է ունենում մթնոլորտային օդի աղտոտում՝ ընդերքօգտագործման թափոնների օբյեկտների մակերևույթից փոշեգոյացման հետևանքով: </w:t>
            </w:r>
          </w:p>
          <w:p w:rsidR="00530B14" w:rsidRPr="0053423A" w:rsidRDefault="00530B14" w:rsidP="00A67858">
            <w:pPr>
              <w:spacing w:line="276" w:lineRule="auto"/>
              <w:ind w:firstLine="600"/>
              <w:jc w:val="both"/>
              <w:rPr>
                <w:rFonts w:eastAsia="Calibri" w:cs="Sylfaen"/>
                <w:kern w:val="16"/>
                <w:lang w:val="hy-AM"/>
              </w:rPr>
            </w:pPr>
            <w:r w:rsidRPr="0053423A">
              <w:rPr>
                <w:rFonts w:eastAsia="Calibri" w:cs="Sylfaen"/>
                <w:kern w:val="16"/>
                <w:lang w:val="hy-AM"/>
              </w:rPr>
              <w:t>Լքված և տիրազուրկ ընդերքօգտագործման թափոնների օբյեկտների և տեղամասերի կառավարման, շրջակա միջավայրի վրա դրանց բացասական ազդեցությունների նվազեցման միջոցառումների ծրագրերի մշակման համար անհրաժեշտ են մի շարք բնութագրիչ տվյալներ, որոնց լիազոր մարմինը ներկայումս չի տիրապետում:</w:t>
            </w:r>
          </w:p>
          <w:p w:rsidR="00530B14" w:rsidRPr="0053423A" w:rsidRDefault="00530B14" w:rsidP="00A67858">
            <w:pPr>
              <w:spacing w:line="276" w:lineRule="auto"/>
              <w:ind w:firstLine="600"/>
              <w:jc w:val="both"/>
              <w:rPr>
                <w:rFonts w:eastAsia="Calibri" w:cs="Sylfaen"/>
                <w:kern w:val="16"/>
                <w:lang w:val="hy-AM"/>
              </w:rPr>
            </w:pPr>
            <w:r w:rsidRPr="0053423A">
              <w:rPr>
                <w:rFonts w:eastAsia="Calibri" w:cs="Sylfaen"/>
                <w:kern w:val="16"/>
                <w:lang w:val="hy-AM"/>
              </w:rPr>
              <w:t>Սակայն ընդերքօգտագործման թափոնների օբյեկտների և տեղամասերի վտանգավորության աստիճանի գնահատման նպատակոն անհրաժեշտ են  մի շարք հետազոտական աշխատանքներ՝ բնական միջավայրի բաղադրիչների նմուշառում, նմուշների քիմիական վերլուծություն և այլն, որի համար նախնական հաշվարկով անհրաժեշտ է շուրջ 33120.0հազ.դրամ գումար: Աշխատանքների ֆինասավորման աղբյուր այս փուլում չկա:</w:t>
            </w:r>
          </w:p>
          <w:p w:rsidR="00530B14" w:rsidRPr="0053423A" w:rsidRDefault="00530B14" w:rsidP="00A67858">
            <w:pPr>
              <w:numPr>
                <w:ilvl w:val="1"/>
                <w:numId w:val="17"/>
              </w:numPr>
              <w:spacing w:line="276" w:lineRule="auto"/>
              <w:contextualSpacing/>
              <w:jc w:val="both"/>
              <w:rPr>
                <w:b/>
                <w:lang w:val="hy-AM"/>
              </w:rPr>
            </w:pPr>
            <w:r w:rsidRPr="0053423A">
              <w:rPr>
                <w:b/>
                <w:lang w:val="hy-AM"/>
              </w:rPr>
              <w:t>Առկա խնդիրների առաջարկվող լուծումներ</w:t>
            </w:r>
            <w:r w:rsidRPr="0053423A">
              <w:rPr>
                <w:b/>
              </w:rPr>
              <w:t>ը</w:t>
            </w:r>
          </w:p>
          <w:p w:rsidR="00530B14" w:rsidRPr="0053423A" w:rsidRDefault="00530B14" w:rsidP="00A67858">
            <w:pPr>
              <w:spacing w:line="276" w:lineRule="auto"/>
              <w:ind w:firstLine="375"/>
              <w:jc w:val="both"/>
              <w:rPr>
                <w:b/>
                <w:lang w:val="hy-AM"/>
              </w:rPr>
            </w:pPr>
            <w:r w:rsidRPr="0053423A">
              <w:rPr>
                <w:rFonts w:eastAsia="Calibri" w:cs="Sylfaen"/>
                <w:kern w:val="16"/>
                <w:lang w:val="hy-AM"/>
              </w:rPr>
              <w:t>Ընդերքօգտագործման թափոնների օբյեկտների և տեղամասերի գույքագրման նպատակով նախատեսվում է իրականացնել.</w:t>
            </w:r>
          </w:p>
          <w:p w:rsidR="00530B14" w:rsidRPr="0053423A" w:rsidRDefault="00530B14" w:rsidP="00A67858">
            <w:pPr>
              <w:overflowPunct w:val="0"/>
              <w:autoSpaceDE w:val="0"/>
              <w:autoSpaceDN w:val="0"/>
              <w:adjustRightInd w:val="0"/>
              <w:spacing w:line="276" w:lineRule="auto"/>
              <w:ind w:firstLine="357"/>
              <w:jc w:val="both"/>
              <w:rPr>
                <w:rFonts w:cs="Sylfaen"/>
                <w:bCs/>
                <w:iCs/>
                <w:lang w:val="hy-AM"/>
              </w:rPr>
            </w:pPr>
            <w:r w:rsidRPr="0053423A">
              <w:rPr>
                <w:rFonts w:cs="Sylfaen"/>
                <w:bCs/>
                <w:iCs/>
                <w:lang w:val="hy-AM"/>
              </w:rPr>
              <w:t xml:space="preserve">1) ընդերքօգտագործման թափոնների փակված օբյեկտների հարակից տարածքներում շրջակա միջավայրի աղտոտման ուսումնասիրությունը, </w:t>
            </w:r>
          </w:p>
          <w:p w:rsidR="00530B14" w:rsidRPr="0053423A" w:rsidRDefault="00530B14" w:rsidP="00A67858">
            <w:pPr>
              <w:overflowPunct w:val="0"/>
              <w:autoSpaceDE w:val="0"/>
              <w:autoSpaceDN w:val="0"/>
              <w:adjustRightInd w:val="0"/>
              <w:spacing w:line="276" w:lineRule="auto"/>
              <w:ind w:firstLine="357"/>
              <w:jc w:val="both"/>
              <w:rPr>
                <w:rFonts w:cs="Sylfaen"/>
                <w:bCs/>
                <w:iCs/>
                <w:lang w:val="hy-AM"/>
              </w:rPr>
            </w:pPr>
            <w:r w:rsidRPr="0053423A">
              <w:rPr>
                <w:rFonts w:cs="Sylfaen"/>
                <w:bCs/>
                <w:iCs/>
                <w:lang w:val="hy-AM"/>
              </w:rPr>
              <w:t xml:space="preserve">2) ընդերքօգտագործման թափոնների փակված օբյեկտների  և դրանց հարակից տարածքերի շրջակա միջավայրի վիճակի վերաբերյալ տեղեկատվական բազային ստեղծումը, դրանց վերաբերյալ ամփոփ տեղեկատվական թերթիկների լրացումը, </w:t>
            </w:r>
          </w:p>
          <w:p w:rsidR="00530B14" w:rsidRPr="0053423A" w:rsidRDefault="00530B14" w:rsidP="00A67858">
            <w:pPr>
              <w:overflowPunct w:val="0"/>
              <w:autoSpaceDE w:val="0"/>
              <w:autoSpaceDN w:val="0"/>
              <w:adjustRightInd w:val="0"/>
              <w:spacing w:line="276" w:lineRule="auto"/>
              <w:ind w:firstLine="357"/>
              <w:jc w:val="both"/>
              <w:rPr>
                <w:rFonts w:cs="Sylfaen"/>
                <w:bCs/>
                <w:iCs/>
                <w:lang w:val="hy-AM"/>
              </w:rPr>
            </w:pPr>
            <w:r w:rsidRPr="0053423A">
              <w:rPr>
                <w:rFonts w:cs="Sylfaen"/>
                <w:bCs/>
                <w:iCs/>
                <w:lang w:val="hy-AM"/>
              </w:rPr>
              <w:t>3) ընդերքօգտագործման թափոնների փակված օբյեկտների դասակարգումն ըստ վտանգավորության,</w:t>
            </w:r>
          </w:p>
          <w:p w:rsidR="00530B14" w:rsidRPr="0053423A" w:rsidRDefault="00530B14" w:rsidP="00A67858">
            <w:pPr>
              <w:overflowPunct w:val="0"/>
              <w:autoSpaceDE w:val="0"/>
              <w:autoSpaceDN w:val="0"/>
              <w:adjustRightInd w:val="0"/>
              <w:spacing w:line="276" w:lineRule="auto"/>
              <w:ind w:firstLine="357"/>
              <w:jc w:val="both"/>
              <w:rPr>
                <w:rFonts w:cs="Sylfaen"/>
                <w:bCs/>
                <w:iCs/>
                <w:lang w:val="hy-AM"/>
              </w:rPr>
            </w:pPr>
            <w:r w:rsidRPr="0053423A">
              <w:rPr>
                <w:rFonts w:cs="Sylfaen"/>
                <w:bCs/>
                <w:iCs/>
                <w:lang w:val="hy-AM"/>
              </w:rPr>
              <w:t>4) շրջակա միջավայրի վրա բացասական ազդեցության նվազեցման նպատակով օգտահանման, վերամշակման, կոնսերվացման, այլ միջոցառումների նախագծման և իրականացման անհրաժեշտության հրատապության և միջոցառումների առաջնահերթություն</w:t>
            </w:r>
            <w:r w:rsidRPr="0053423A">
              <w:rPr>
                <w:rFonts w:cs="Sylfaen"/>
                <w:bCs/>
                <w:iCs/>
                <w:lang w:val="hy-AM"/>
              </w:rPr>
              <w:softHyphen/>
              <w:t>ների որոշումը:</w:t>
            </w:r>
          </w:p>
          <w:p w:rsidR="00530B14" w:rsidRPr="0053423A" w:rsidRDefault="00530B14" w:rsidP="00A67858">
            <w:pPr>
              <w:numPr>
                <w:ilvl w:val="0"/>
                <w:numId w:val="17"/>
              </w:numPr>
              <w:spacing w:line="276" w:lineRule="auto"/>
              <w:contextualSpacing/>
              <w:jc w:val="both"/>
              <w:rPr>
                <w:b/>
                <w:i/>
                <w:lang w:val="hy-AM"/>
              </w:rPr>
            </w:pPr>
            <w:r w:rsidRPr="0053423A">
              <w:rPr>
                <w:b/>
                <w:i/>
                <w:lang w:val="hy-AM"/>
              </w:rPr>
              <w:t>Միջոցառման իրականացումից ակնկալվող արդյունքը</w:t>
            </w:r>
          </w:p>
          <w:p w:rsidR="00530B14" w:rsidRPr="0053423A" w:rsidRDefault="00530B14" w:rsidP="00A67858">
            <w:pPr>
              <w:overflowPunct w:val="0"/>
              <w:autoSpaceDE w:val="0"/>
              <w:autoSpaceDN w:val="0"/>
              <w:adjustRightInd w:val="0"/>
              <w:spacing w:line="276" w:lineRule="auto"/>
              <w:ind w:firstLine="375"/>
              <w:jc w:val="both"/>
              <w:rPr>
                <w:kern w:val="16"/>
                <w:lang w:val="hy-AM"/>
              </w:rPr>
            </w:pPr>
            <w:r w:rsidRPr="0053423A">
              <w:rPr>
                <w:kern w:val="16"/>
                <w:lang w:val="hy-AM"/>
              </w:rPr>
              <w:t>ՀՀ տարածքում ընդերքօգտագործման թափոնների փակված օբյեկտների գույքագրման արդյունքում շրջակա միջավայրի աղտոտվածության վերաբերյալ տվյալների ստացում, շրջակա միջավայրի բնական բաղադրիչների աղտոտվածության բնույթի և մարդկանց առողջության վրա հնարավոր ազդեցությունների վերաբերյալ համապարփակ տեղեկատվական հենքի առկայություն:</w:t>
            </w:r>
          </w:p>
          <w:p w:rsidR="00530B14" w:rsidRPr="0053423A" w:rsidRDefault="00530B14" w:rsidP="00A67858">
            <w:pPr>
              <w:overflowPunct w:val="0"/>
              <w:autoSpaceDE w:val="0"/>
              <w:autoSpaceDN w:val="0"/>
              <w:adjustRightInd w:val="0"/>
              <w:spacing w:line="276" w:lineRule="auto"/>
              <w:ind w:firstLine="375"/>
              <w:jc w:val="both"/>
              <w:rPr>
                <w:kern w:val="16"/>
                <w:lang w:val="hy-AM"/>
              </w:rPr>
            </w:pPr>
          </w:p>
          <w:p w:rsidR="00530B14" w:rsidRPr="0053423A" w:rsidRDefault="00530B14" w:rsidP="00A67858">
            <w:pPr>
              <w:overflowPunct w:val="0"/>
              <w:autoSpaceDE w:val="0"/>
              <w:autoSpaceDN w:val="0"/>
              <w:adjustRightInd w:val="0"/>
              <w:spacing w:line="276" w:lineRule="auto"/>
              <w:ind w:firstLine="375"/>
              <w:jc w:val="center"/>
              <w:rPr>
                <w:rFonts w:eastAsia="Calibri" w:cs="GHEA Grapalat"/>
                <w:b/>
                <w:u w:val="single"/>
                <w:lang w:val="hy-AM"/>
              </w:rPr>
            </w:pPr>
            <w:r w:rsidRPr="0053423A">
              <w:rPr>
                <w:b/>
                <w:kern w:val="16"/>
                <w:u w:val="single"/>
                <w:lang w:val="hy-AM"/>
              </w:rPr>
              <w:t xml:space="preserve">9.3 </w:t>
            </w:r>
            <w:r w:rsidRPr="0053423A">
              <w:rPr>
                <w:rFonts w:eastAsia="Calibri" w:cs="GHEA Grapalat"/>
                <w:b/>
                <w:u w:val="single"/>
                <w:lang w:val="hy-AM"/>
              </w:rPr>
              <w:t>«Ընդերքօգտագործման թափոնների լքված, տիրազուրկ տեղամասերի/օբյեկտների ռեկուլտիվացիա»</w:t>
            </w:r>
          </w:p>
          <w:p w:rsidR="00530B14" w:rsidRPr="0053423A" w:rsidRDefault="00530B14" w:rsidP="00A67858">
            <w:pPr>
              <w:overflowPunct w:val="0"/>
              <w:autoSpaceDE w:val="0"/>
              <w:autoSpaceDN w:val="0"/>
              <w:adjustRightInd w:val="0"/>
              <w:spacing w:line="276" w:lineRule="auto"/>
              <w:ind w:firstLine="375"/>
              <w:jc w:val="center"/>
              <w:rPr>
                <w:b/>
                <w:kern w:val="16"/>
                <w:u w:val="single"/>
                <w:lang w:val="hy-AM"/>
              </w:rPr>
            </w:pPr>
          </w:p>
          <w:p w:rsidR="00530B14" w:rsidRPr="0053423A" w:rsidRDefault="00530B14" w:rsidP="00A67858">
            <w:pPr>
              <w:numPr>
                <w:ilvl w:val="0"/>
                <w:numId w:val="53"/>
              </w:numPr>
              <w:spacing w:line="276" w:lineRule="auto"/>
              <w:contextualSpacing/>
              <w:rPr>
                <w:b/>
                <w:i/>
                <w:lang w:val="hy-AM"/>
              </w:rPr>
            </w:pPr>
            <w:r w:rsidRPr="0053423A">
              <w:rPr>
                <w:b/>
                <w:i/>
                <w:lang w:val="hy-AM"/>
              </w:rPr>
              <w:t xml:space="preserve">Միջոցառման իրակացման անհրաժեշտությունը և նպատակը </w:t>
            </w:r>
          </w:p>
          <w:p w:rsidR="00530B14" w:rsidRPr="0053423A" w:rsidRDefault="00232EB0" w:rsidP="00A67858">
            <w:pPr>
              <w:spacing w:line="276" w:lineRule="auto"/>
              <w:ind w:firstLine="708"/>
              <w:jc w:val="both"/>
              <w:rPr>
                <w:rFonts w:eastAsia="Calibri" w:cs="GHEA Grapalat"/>
                <w:lang w:val="hy-AM"/>
              </w:rPr>
            </w:pPr>
            <w:r w:rsidRPr="0053423A">
              <w:rPr>
                <w:rFonts w:eastAsia="Calibri" w:cs="GHEA Grapalat"/>
                <w:lang w:val="hy-AM"/>
              </w:rPr>
              <w:t>Միջո</w:t>
            </w:r>
            <w:r w:rsidR="00530B14" w:rsidRPr="0053423A">
              <w:rPr>
                <w:rFonts w:eastAsia="Calibri" w:cs="GHEA Grapalat"/>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Քիմիական նյութերի և թափոնների (այդ թվում՝ ընդերքօգտագործ-ման) էկոլոգիապես անվտանգ կառավարում  ուղղությունը:</w:t>
            </w:r>
          </w:p>
          <w:p w:rsidR="00530B14" w:rsidRPr="0053423A" w:rsidRDefault="00530B14" w:rsidP="00A67858">
            <w:pPr>
              <w:spacing w:line="276" w:lineRule="auto"/>
              <w:ind w:firstLine="708"/>
              <w:jc w:val="both"/>
              <w:rPr>
                <w:rFonts w:eastAsia="Calibri" w:cs="GHEA Grapalat"/>
                <w:lang w:val="it-IT"/>
              </w:rPr>
            </w:pPr>
            <w:r w:rsidRPr="0053423A">
              <w:rPr>
                <w:rFonts w:eastAsia="Calibri" w:cs="GHEA Grapalat"/>
                <w:lang w:val="hy-AM"/>
              </w:rPr>
              <w:t xml:space="preserve">Ընդերքօգտագործման թափոնների լքված, տիրազուրկ տեղամասերի և օբյեկտների ռեկուլտիվացիայի, դրա արդյունքում </w:t>
            </w:r>
            <w:r w:rsidRPr="0053423A">
              <w:rPr>
                <w:rFonts w:eastAsia="Calibri" w:cs="Sylfaen"/>
                <w:lang w:val="hy-AM"/>
              </w:rPr>
              <w:t>հողերի</w:t>
            </w:r>
            <w:r w:rsidRPr="0053423A">
              <w:rPr>
                <w:rFonts w:eastAsia="Calibri"/>
                <w:lang w:val="hy-AM"/>
              </w:rPr>
              <w:t xml:space="preserve"> </w:t>
            </w:r>
            <w:r w:rsidRPr="0053423A">
              <w:rPr>
                <w:rFonts w:eastAsia="Calibri" w:cs="Sylfaen"/>
                <w:lang w:val="hy-AM"/>
              </w:rPr>
              <w:t>աղտոտման</w:t>
            </w:r>
            <w:r w:rsidRPr="0053423A">
              <w:rPr>
                <w:rFonts w:eastAsia="Calibri"/>
                <w:lang w:val="hy-AM"/>
              </w:rPr>
              <w:t xml:space="preserve"> </w:t>
            </w:r>
            <w:r w:rsidRPr="0053423A">
              <w:rPr>
                <w:rFonts w:eastAsia="Calibri" w:cs="Sylfaen"/>
                <w:lang w:val="hy-AM"/>
              </w:rPr>
              <w:t>և</w:t>
            </w:r>
            <w:r w:rsidRPr="0053423A">
              <w:rPr>
                <w:rFonts w:eastAsia="Calibri"/>
                <w:lang w:val="hy-AM"/>
              </w:rPr>
              <w:t xml:space="preserve"> </w:t>
            </w:r>
            <w:r w:rsidRPr="0053423A">
              <w:rPr>
                <w:rFonts w:eastAsia="Calibri" w:cs="Sylfaen"/>
                <w:lang w:val="hy-AM"/>
              </w:rPr>
              <w:t>դեգրադացման</w:t>
            </w:r>
            <w:r w:rsidRPr="0053423A">
              <w:rPr>
                <w:rFonts w:eastAsia="Calibri"/>
                <w:lang w:val="hy-AM"/>
              </w:rPr>
              <w:t xml:space="preserve"> </w:t>
            </w:r>
            <w:r w:rsidRPr="0053423A">
              <w:rPr>
                <w:rFonts w:eastAsia="Calibri" w:cs="Sylfaen"/>
                <w:lang w:val="hy-AM"/>
              </w:rPr>
              <w:t>նվազմանն</w:t>
            </w:r>
            <w:r w:rsidRPr="0053423A">
              <w:rPr>
                <w:rFonts w:eastAsia="Calibri"/>
                <w:lang w:val="hy-AM"/>
              </w:rPr>
              <w:t xml:space="preserve"> </w:t>
            </w:r>
            <w:r w:rsidRPr="0053423A">
              <w:rPr>
                <w:rFonts w:eastAsia="Calibri" w:cs="Sylfaen"/>
                <w:lang w:val="hy-AM"/>
              </w:rPr>
              <w:t>ուղղված</w:t>
            </w:r>
            <w:r w:rsidRPr="0053423A">
              <w:rPr>
                <w:rFonts w:eastAsia="Calibri"/>
                <w:lang w:val="hy-AM"/>
              </w:rPr>
              <w:t xml:space="preserve"> </w:t>
            </w:r>
            <w:r w:rsidRPr="0053423A">
              <w:rPr>
                <w:rFonts w:eastAsia="Calibri" w:cs="Sylfaen"/>
                <w:lang w:val="hy-AM"/>
              </w:rPr>
              <w:t>քաղաքականության</w:t>
            </w:r>
            <w:r w:rsidRPr="0053423A">
              <w:rPr>
                <w:rFonts w:eastAsia="Calibri"/>
                <w:lang w:val="hy-AM"/>
              </w:rPr>
              <w:t xml:space="preserve"> </w:t>
            </w:r>
            <w:r w:rsidRPr="0053423A">
              <w:rPr>
                <w:rFonts w:eastAsia="Calibri" w:cs="Sylfaen"/>
                <w:lang w:val="hy-AM"/>
              </w:rPr>
              <w:t>իրականացման</w:t>
            </w:r>
            <w:r w:rsidRPr="0053423A">
              <w:rPr>
                <w:rFonts w:eastAsia="Calibri" w:cs="GHEA Grapalat"/>
                <w:lang w:val="hy-AM"/>
              </w:rPr>
              <w:t xml:space="preserve"> անհրաժեշտությունը ամրագրված է Կառավարության</w:t>
            </w:r>
            <w:r w:rsidRPr="0053423A">
              <w:rPr>
                <w:rFonts w:eastAsia="Calibri" w:cs="GHEA Grapalat"/>
                <w:lang w:val="it-IT"/>
              </w:rPr>
              <w:t xml:space="preserve"> 08.02.2019</w:t>
            </w:r>
            <w:r w:rsidRPr="0053423A">
              <w:rPr>
                <w:rFonts w:eastAsia="Calibri" w:cs="GHEA Grapalat"/>
                <w:lang w:val="hy-AM"/>
              </w:rPr>
              <w:t>թ</w:t>
            </w:r>
            <w:r w:rsidRPr="0053423A">
              <w:rPr>
                <w:rFonts w:eastAsia="Calibri" w:cs="GHEA Grapalat"/>
                <w:lang w:val="it-IT"/>
              </w:rPr>
              <w:t>.-ի N65-Ա որոշման 4.8 գլխում:</w:t>
            </w:r>
          </w:p>
          <w:p w:rsidR="00530B14" w:rsidRPr="0053423A" w:rsidRDefault="00530B14" w:rsidP="00A67858">
            <w:pPr>
              <w:spacing w:line="276" w:lineRule="auto"/>
              <w:ind w:firstLine="708"/>
              <w:jc w:val="both"/>
              <w:rPr>
                <w:rFonts w:eastAsia="Calibri" w:cs="GHEA Grapalat"/>
                <w:lang w:val="it-IT"/>
              </w:rPr>
            </w:pPr>
            <w:r w:rsidRPr="0053423A">
              <w:rPr>
                <w:rFonts w:eastAsia="Calibri"/>
                <w:shd w:val="clear" w:color="auto" w:fill="FFFFFF"/>
                <w:lang w:val="hy-AM"/>
              </w:rPr>
              <w:t>Միջոցառման նպատակն է</w:t>
            </w:r>
            <w:r w:rsidRPr="0053423A">
              <w:rPr>
                <w:rFonts w:eastAsia="Calibri"/>
                <w:color w:val="000000"/>
                <w:shd w:val="clear" w:color="auto" w:fill="FFFFFF"/>
                <w:lang w:val="hy-AM"/>
              </w:rPr>
              <w:t xml:space="preserve"> </w:t>
            </w:r>
            <w:r w:rsidRPr="0053423A">
              <w:rPr>
                <w:rFonts w:eastAsia="Calibri"/>
                <w:color w:val="000000"/>
                <w:shd w:val="clear" w:color="auto" w:fill="FFFFFF"/>
              </w:rPr>
              <w:t>կատարել</w:t>
            </w:r>
            <w:r w:rsidRPr="0053423A">
              <w:rPr>
                <w:rFonts w:eastAsia="Calibri"/>
                <w:color w:val="000000"/>
                <w:shd w:val="clear" w:color="auto" w:fill="FFFFFF"/>
                <w:lang w:val="it-IT"/>
              </w:rPr>
              <w:t xml:space="preserve"> ներկայիս դրությամբ տիրազուրկ կամ լքված համարվող </w:t>
            </w:r>
            <w:r w:rsidRPr="0053423A">
              <w:rPr>
                <w:rFonts w:eastAsia="Calibri"/>
                <w:color w:val="000000"/>
                <w:shd w:val="clear" w:color="auto" w:fill="FFFFFF"/>
              </w:rPr>
              <w:t>ընդերքօգտագործման</w:t>
            </w:r>
            <w:r w:rsidRPr="0053423A">
              <w:rPr>
                <w:rFonts w:eastAsia="Calibri"/>
                <w:color w:val="000000"/>
                <w:shd w:val="clear" w:color="auto" w:fill="FFFFFF"/>
                <w:lang w:val="it-IT"/>
              </w:rPr>
              <w:t xml:space="preserve"> </w:t>
            </w:r>
            <w:r w:rsidRPr="0053423A">
              <w:rPr>
                <w:rFonts w:eastAsia="Calibri"/>
                <w:color w:val="000000"/>
                <w:shd w:val="clear" w:color="auto" w:fill="FFFFFF"/>
              </w:rPr>
              <w:t>թափոններով</w:t>
            </w:r>
            <w:r w:rsidRPr="0053423A">
              <w:rPr>
                <w:rFonts w:eastAsia="Calibri"/>
                <w:color w:val="000000"/>
                <w:shd w:val="clear" w:color="auto" w:fill="FFFFFF"/>
                <w:lang w:val="it-IT"/>
              </w:rPr>
              <w:t xml:space="preserve"> </w:t>
            </w:r>
            <w:r w:rsidRPr="0053423A">
              <w:rPr>
                <w:rFonts w:eastAsia="Calibri"/>
                <w:color w:val="000000"/>
                <w:shd w:val="clear" w:color="auto" w:fill="FFFFFF"/>
              </w:rPr>
              <w:t>զբաղեցրած</w:t>
            </w:r>
            <w:r w:rsidRPr="0053423A">
              <w:rPr>
                <w:rFonts w:eastAsia="Calibri"/>
                <w:color w:val="000000"/>
                <w:shd w:val="clear" w:color="auto" w:fill="FFFFFF"/>
                <w:lang w:val="it-IT"/>
              </w:rPr>
              <w:t xml:space="preserve"> </w:t>
            </w:r>
            <w:r w:rsidRPr="0053423A">
              <w:rPr>
                <w:rFonts w:eastAsia="Calibri"/>
                <w:color w:val="000000"/>
                <w:shd w:val="clear" w:color="auto" w:fill="FFFFFF"/>
              </w:rPr>
              <w:t>տարածքների</w:t>
            </w:r>
            <w:r w:rsidRPr="0053423A">
              <w:rPr>
                <w:rFonts w:eastAsia="Calibri"/>
                <w:color w:val="000000"/>
                <w:shd w:val="clear" w:color="auto" w:fill="FFFFFF"/>
                <w:lang w:val="it-IT"/>
              </w:rPr>
              <w:t xml:space="preserve">, </w:t>
            </w:r>
            <w:r w:rsidRPr="0053423A">
              <w:rPr>
                <w:rFonts w:eastAsia="Calibri"/>
                <w:color w:val="000000"/>
                <w:shd w:val="clear" w:color="auto" w:fill="FFFFFF"/>
              </w:rPr>
              <w:t>ինչպես</w:t>
            </w:r>
            <w:r w:rsidRPr="0053423A">
              <w:rPr>
                <w:rFonts w:eastAsia="Calibri"/>
                <w:color w:val="000000"/>
                <w:shd w:val="clear" w:color="auto" w:fill="FFFFFF"/>
                <w:lang w:val="it-IT"/>
              </w:rPr>
              <w:t xml:space="preserve"> </w:t>
            </w:r>
            <w:r w:rsidRPr="0053423A">
              <w:rPr>
                <w:rFonts w:eastAsia="Calibri"/>
                <w:color w:val="000000"/>
                <w:shd w:val="clear" w:color="auto" w:fill="FFFFFF"/>
              </w:rPr>
              <w:t>նաև</w:t>
            </w:r>
            <w:r w:rsidRPr="0053423A">
              <w:rPr>
                <w:rFonts w:eastAsia="Calibri"/>
                <w:color w:val="000000"/>
                <w:shd w:val="clear" w:color="auto" w:fill="FFFFFF"/>
                <w:lang w:val="it-IT"/>
              </w:rPr>
              <w:t xml:space="preserve"> </w:t>
            </w:r>
            <w:r w:rsidRPr="0053423A">
              <w:rPr>
                <w:rFonts w:eastAsia="Calibri"/>
                <w:color w:val="000000"/>
                <w:shd w:val="clear" w:color="auto" w:fill="FFFFFF"/>
              </w:rPr>
              <w:t>թափոնների</w:t>
            </w:r>
            <w:r w:rsidRPr="0053423A">
              <w:rPr>
                <w:rFonts w:eastAsia="Calibri"/>
                <w:color w:val="000000"/>
                <w:shd w:val="clear" w:color="auto" w:fill="FFFFFF"/>
                <w:lang w:val="it-IT"/>
              </w:rPr>
              <w:t xml:space="preserve"> </w:t>
            </w:r>
            <w:r w:rsidRPr="0053423A">
              <w:rPr>
                <w:rFonts w:eastAsia="Calibri"/>
                <w:color w:val="000000"/>
                <w:shd w:val="clear" w:color="auto" w:fill="FFFFFF"/>
              </w:rPr>
              <w:t>օբյեկտների</w:t>
            </w:r>
            <w:r w:rsidRPr="0053423A">
              <w:rPr>
                <w:rFonts w:eastAsia="Calibri"/>
                <w:color w:val="000000"/>
                <w:shd w:val="clear" w:color="auto" w:fill="FFFFFF"/>
                <w:lang w:val="it-IT"/>
              </w:rPr>
              <w:t xml:space="preserve"> լեռնատեխնիկական և կենսաբանական ռեկուլտիվացիա՝ դրանք չեզոքացնելով որպես </w:t>
            </w:r>
            <w:r w:rsidRPr="0053423A">
              <w:rPr>
                <w:rFonts w:eastAsia="Calibri" w:cs="GHEA Grapalat"/>
                <w:lang w:val="hy-AM"/>
              </w:rPr>
              <w:t>շրջակա</w:t>
            </w:r>
            <w:r w:rsidRPr="0053423A">
              <w:rPr>
                <w:rFonts w:eastAsia="Calibri" w:cs="GHEA Grapalat"/>
                <w:lang w:val="af-ZA"/>
              </w:rPr>
              <w:t xml:space="preserve"> </w:t>
            </w:r>
            <w:r w:rsidRPr="0053423A">
              <w:rPr>
                <w:rFonts w:eastAsia="Calibri" w:cs="GHEA Grapalat"/>
                <w:lang w:val="hy-AM"/>
              </w:rPr>
              <w:t>միջավայրի</w:t>
            </w:r>
            <w:r w:rsidRPr="0053423A">
              <w:rPr>
                <w:rFonts w:eastAsia="Calibri" w:cs="GHEA Grapalat"/>
                <w:lang w:val="af-ZA"/>
              </w:rPr>
              <w:t xml:space="preserve"> </w:t>
            </w:r>
            <w:r w:rsidRPr="0053423A">
              <w:rPr>
                <w:rFonts w:eastAsia="Calibri" w:cs="GHEA Grapalat"/>
                <w:lang w:val="hy-AM"/>
              </w:rPr>
              <w:t>աղտոտ</w:t>
            </w:r>
            <w:r w:rsidRPr="0053423A">
              <w:rPr>
                <w:rFonts w:eastAsia="Calibri" w:cs="GHEA Grapalat"/>
              </w:rPr>
              <w:t>ման</w:t>
            </w:r>
            <w:r w:rsidRPr="0053423A">
              <w:rPr>
                <w:rFonts w:eastAsia="Calibri" w:cs="GHEA Grapalat"/>
                <w:lang w:val="it-IT"/>
              </w:rPr>
              <w:t xml:space="preserve"> </w:t>
            </w:r>
            <w:r w:rsidRPr="0053423A">
              <w:rPr>
                <w:rFonts w:eastAsia="Calibri" w:cs="GHEA Grapalat"/>
              </w:rPr>
              <w:t>աղբյուր</w:t>
            </w:r>
            <w:r w:rsidRPr="0053423A">
              <w:rPr>
                <w:rFonts w:eastAsia="Calibri" w:cs="GHEA Grapalat"/>
                <w:lang w:val="it-IT"/>
              </w:rPr>
              <w:t xml:space="preserve">, </w:t>
            </w:r>
            <w:r w:rsidRPr="0053423A">
              <w:rPr>
                <w:rFonts w:eastAsia="Calibri" w:cs="GHEA Grapalat"/>
              </w:rPr>
              <w:t>նվազեցնելով</w:t>
            </w:r>
            <w:r w:rsidRPr="0053423A">
              <w:rPr>
                <w:rFonts w:eastAsia="Calibri" w:cs="GHEA Grapalat"/>
                <w:lang w:val="it-IT"/>
              </w:rPr>
              <w:t xml:space="preserve"> </w:t>
            </w:r>
            <w:r w:rsidRPr="0053423A">
              <w:rPr>
                <w:rFonts w:eastAsia="Calibri" w:cs="GHEA Grapalat"/>
              </w:rPr>
              <w:t>տեխնածին</w:t>
            </w:r>
            <w:r w:rsidRPr="0053423A">
              <w:rPr>
                <w:rFonts w:eastAsia="Calibri" w:cs="GHEA Grapalat"/>
                <w:lang w:val="it-IT"/>
              </w:rPr>
              <w:t xml:space="preserve"> </w:t>
            </w:r>
            <w:r w:rsidRPr="0053423A">
              <w:rPr>
                <w:rFonts w:eastAsia="Calibri" w:cs="GHEA Grapalat"/>
              </w:rPr>
              <w:t>աղտոտման</w:t>
            </w:r>
            <w:r w:rsidRPr="0053423A">
              <w:rPr>
                <w:rFonts w:eastAsia="Calibri" w:cs="GHEA Grapalat"/>
                <w:lang w:val="it-IT"/>
              </w:rPr>
              <w:t xml:space="preserve"> </w:t>
            </w:r>
            <w:r w:rsidRPr="0053423A">
              <w:rPr>
                <w:rFonts w:eastAsia="Calibri" w:cs="GHEA Grapalat"/>
              </w:rPr>
              <w:t>մակարդակը</w:t>
            </w:r>
            <w:r w:rsidRPr="0053423A">
              <w:rPr>
                <w:rFonts w:eastAsia="Calibri" w:cs="GHEA Grapalat"/>
                <w:lang w:val="it-IT"/>
              </w:rPr>
              <w:t xml:space="preserve"> </w:t>
            </w:r>
            <w:r w:rsidRPr="0053423A">
              <w:rPr>
                <w:rFonts w:eastAsia="Calibri" w:cs="GHEA Grapalat"/>
              </w:rPr>
              <w:t>և</w:t>
            </w:r>
            <w:r w:rsidRPr="0053423A">
              <w:rPr>
                <w:rFonts w:eastAsia="Calibri" w:cs="GHEA Grapalat"/>
                <w:lang w:val="it-IT"/>
              </w:rPr>
              <w:t xml:space="preserve"> </w:t>
            </w:r>
            <w:r w:rsidRPr="0053423A">
              <w:rPr>
                <w:rFonts w:eastAsia="Calibri" w:cs="GHEA Grapalat"/>
              </w:rPr>
              <w:t>բնությանը</w:t>
            </w:r>
            <w:r w:rsidRPr="0053423A">
              <w:rPr>
                <w:rFonts w:eastAsia="Calibri" w:cs="GHEA Grapalat"/>
                <w:lang w:val="it-IT"/>
              </w:rPr>
              <w:t xml:space="preserve"> </w:t>
            </w:r>
            <w:r w:rsidRPr="0053423A">
              <w:rPr>
                <w:rFonts w:eastAsia="Calibri" w:cs="GHEA Grapalat"/>
              </w:rPr>
              <w:t>հասցվող</w:t>
            </w:r>
            <w:r w:rsidRPr="0053423A">
              <w:rPr>
                <w:rFonts w:eastAsia="Calibri" w:cs="GHEA Grapalat"/>
                <w:lang w:val="af-ZA"/>
              </w:rPr>
              <w:t xml:space="preserve"> </w:t>
            </w:r>
            <w:r w:rsidRPr="0053423A">
              <w:rPr>
                <w:rFonts w:eastAsia="Calibri" w:cs="GHEA Grapalat"/>
                <w:lang w:val="hy-AM"/>
              </w:rPr>
              <w:t>վնասը</w:t>
            </w:r>
            <w:r w:rsidRPr="0053423A">
              <w:rPr>
                <w:rFonts w:eastAsia="Calibri" w:cs="GHEA Grapalat"/>
                <w:lang w:val="it-IT"/>
              </w:rPr>
              <w:t xml:space="preserve">: </w:t>
            </w:r>
          </w:p>
          <w:p w:rsidR="00530B14" w:rsidRPr="0053423A" w:rsidRDefault="00530B14" w:rsidP="00A67858">
            <w:pPr>
              <w:spacing w:line="276" w:lineRule="auto"/>
              <w:ind w:firstLine="375"/>
              <w:rPr>
                <w:lang w:val="hy-AM"/>
              </w:rPr>
            </w:pPr>
            <w:r w:rsidRPr="0053423A">
              <w:rPr>
                <w:b/>
                <w:lang w:val="hy-AM"/>
              </w:rPr>
              <w:t>1.1. Կարգավորման հարաբերությունների ներկա վիճակը և առկա խնդիրները</w:t>
            </w:r>
            <w:r w:rsidRPr="0053423A">
              <w:rPr>
                <w:lang w:val="hy-AM"/>
              </w:rPr>
              <w:t xml:space="preserve"> </w:t>
            </w:r>
          </w:p>
          <w:p w:rsidR="00530B14" w:rsidRPr="0053423A" w:rsidRDefault="00530B14" w:rsidP="00A67858">
            <w:pPr>
              <w:spacing w:line="276" w:lineRule="auto"/>
              <w:ind w:firstLine="600"/>
              <w:jc w:val="both"/>
              <w:rPr>
                <w:rFonts w:eastAsia="Calibri" w:cs="Sylfaen"/>
                <w:kern w:val="16"/>
                <w:lang w:val="hy-AM"/>
              </w:rPr>
            </w:pPr>
            <w:r w:rsidRPr="0053423A">
              <w:rPr>
                <w:rFonts w:eastAsia="Calibri" w:cs="Sylfaen"/>
                <w:kern w:val="16"/>
                <w:lang w:val="hy-AM"/>
              </w:rPr>
              <w:t xml:space="preserve">2017 թվականին բնապահպանության նախարարության կողմից իրականացված դաշտային ուսումնասիրությունների արդյունքում ՀՀ </w:t>
            </w:r>
            <w:r w:rsidRPr="0053423A">
              <w:rPr>
                <w:rFonts w:eastAsia="Calibri"/>
                <w:lang w:val="hy-AM"/>
              </w:rPr>
              <w:t>ՀՀ Լոռու, Արարատի, Արագածոտնի, Գեղարքունիքի, Կոտայքի, Վայոց ձորի և Սյունիքի մարզերում</w:t>
            </w:r>
            <w:r w:rsidRPr="0053423A">
              <w:rPr>
                <w:rFonts w:eastAsia="Calibri" w:cs="Sylfaen"/>
                <w:kern w:val="16"/>
                <w:lang w:val="hy-AM"/>
              </w:rPr>
              <w:t xml:space="preserve"> դիտարկվել են երեք տասնյակ ընդերքօգտագործման թափոնների տեղամասեր և օբյեկտներ, դրանց վերաբերյալ ստեղծվել է սկզբնական տեղեկատվական հենք:</w:t>
            </w:r>
          </w:p>
          <w:p w:rsidR="00530B14" w:rsidRPr="0053423A" w:rsidRDefault="00530B14" w:rsidP="00A67858">
            <w:pPr>
              <w:spacing w:line="276" w:lineRule="auto"/>
              <w:ind w:firstLine="600"/>
              <w:jc w:val="both"/>
              <w:rPr>
                <w:rFonts w:eastAsia="Calibri"/>
                <w:color w:val="000000"/>
                <w:lang w:val="hy-AM"/>
              </w:rPr>
            </w:pPr>
            <w:r w:rsidRPr="0053423A">
              <w:rPr>
                <w:rFonts w:eastAsia="Calibri" w:cs="Sylfaen"/>
                <w:kern w:val="16"/>
                <w:lang w:val="hy-AM"/>
              </w:rPr>
              <w:t xml:space="preserve">Առանձնացվել են տասնյակից ավել տեղամասեր, որտեղ </w:t>
            </w:r>
            <w:r w:rsidRPr="0053423A">
              <w:rPr>
                <w:rFonts w:eastAsia="Calibri"/>
                <w:color w:val="000000"/>
                <w:lang w:val="hy-AM"/>
              </w:rPr>
              <w:t>ռեկուլտիվացիոն աշխատանքների, կենսաբանական ռեմեդացիայի միջոցառումների իրականացումն ավելի քան հրատապ է:</w:t>
            </w:r>
          </w:p>
          <w:p w:rsidR="00530B14" w:rsidRPr="0053423A" w:rsidRDefault="00530B14" w:rsidP="00A67858">
            <w:pPr>
              <w:spacing w:line="276" w:lineRule="auto"/>
              <w:ind w:firstLine="600"/>
              <w:jc w:val="both"/>
              <w:rPr>
                <w:rFonts w:eastAsia="Calibri" w:cs="Sylfaen"/>
                <w:kern w:val="16"/>
                <w:lang w:val="hy-AM"/>
              </w:rPr>
            </w:pPr>
            <w:r w:rsidRPr="0053423A">
              <w:rPr>
                <w:rFonts w:eastAsia="Calibri" w:cs="Sylfaen"/>
                <w:kern w:val="16"/>
                <w:lang w:val="hy-AM"/>
              </w:rPr>
              <w:t>Ռեկուլտիվացիոն աշխատանքների նախագծման, թափոնների էկոլոգիապես անվտանգ կառավարման համակարգի ստեղծման համար անհրաժեշտ են շրջակա միջավայրի վրա դրանց բացասական ազդեցությունների մի շարք բնութագրիչ տվյալներ (հողային և ջրային միջավայրերի աղտոտվածության մակարդակ, թափոններով զբաղեցրած տարածքների տոպոգրաֆիական հանույթներ, տարածքների կամ օբյեկտների տարածական-ծավալային եռաչափ մոդելներ և այլն): Վերը նշված աշխատանքների կատարման ֆինասավորման աղբյուր այս փուլում չկա: Այս փուլում հնարավոր չէ նաև հստակ գնահատել աշխատանքների իրականացման համար անհրաժեշտ միջոցները, քանի որ դրանք կապված են յուրաքանչյուր օբյեկտում կատարվելիք միջոցառումների տեսակից և ծավալներից:</w:t>
            </w:r>
          </w:p>
          <w:p w:rsidR="00530B14" w:rsidRPr="0053423A" w:rsidRDefault="00530B14" w:rsidP="00A67858">
            <w:pPr>
              <w:numPr>
                <w:ilvl w:val="1"/>
                <w:numId w:val="54"/>
              </w:numPr>
              <w:spacing w:line="276" w:lineRule="auto"/>
              <w:contextualSpacing/>
              <w:jc w:val="both"/>
              <w:rPr>
                <w:b/>
                <w:lang w:val="hy-AM"/>
              </w:rPr>
            </w:pPr>
            <w:r w:rsidRPr="0053423A">
              <w:rPr>
                <w:b/>
                <w:lang w:val="hy-AM"/>
              </w:rPr>
              <w:t>Առկա խնդիրների առաջարկվող լուծումներ</w:t>
            </w:r>
            <w:r w:rsidRPr="0053423A">
              <w:rPr>
                <w:b/>
              </w:rPr>
              <w:t>ը</w:t>
            </w:r>
          </w:p>
          <w:p w:rsidR="00530B14" w:rsidRPr="0053423A" w:rsidRDefault="00530B14" w:rsidP="00A67858">
            <w:pPr>
              <w:spacing w:line="276" w:lineRule="auto"/>
              <w:ind w:firstLine="375"/>
              <w:jc w:val="both"/>
              <w:rPr>
                <w:rFonts w:eastAsia="Calibri" w:cs="Sylfaen"/>
                <w:kern w:val="16"/>
                <w:lang w:val="hy-AM"/>
              </w:rPr>
            </w:pPr>
            <w:r w:rsidRPr="0053423A">
              <w:rPr>
                <w:rFonts w:eastAsia="Calibri" w:cs="GHEA Grapalat"/>
                <w:lang w:val="hy-AM"/>
              </w:rPr>
              <w:t xml:space="preserve">Ընդերքօգտագործման թափոնների լքված, տիրազուրկ տեղամասերի և օբյեկտների ռեկուլտիվացիայի </w:t>
            </w:r>
            <w:r w:rsidRPr="0053423A">
              <w:rPr>
                <w:rFonts w:eastAsia="Calibri" w:cs="Sylfaen"/>
                <w:kern w:val="16"/>
                <w:lang w:val="hy-AM"/>
              </w:rPr>
              <w:t>նպատակով նախատեսվում է.</w:t>
            </w:r>
          </w:p>
          <w:p w:rsidR="00530B14" w:rsidRPr="0053423A" w:rsidRDefault="00530B14" w:rsidP="00A67858">
            <w:pPr>
              <w:numPr>
                <w:ilvl w:val="0"/>
                <w:numId w:val="52"/>
              </w:numPr>
              <w:spacing w:line="276" w:lineRule="auto"/>
              <w:ind w:left="0" w:firstLine="463"/>
              <w:contextualSpacing/>
              <w:jc w:val="both"/>
              <w:rPr>
                <w:rFonts w:eastAsia="Calibri" w:cs="Sylfaen"/>
                <w:kern w:val="16"/>
                <w:lang w:val="hy-AM"/>
              </w:rPr>
            </w:pPr>
            <w:r w:rsidRPr="0053423A">
              <w:rPr>
                <w:rFonts w:eastAsia="Calibri" w:cs="Sylfaen"/>
                <w:lang w:val="hy-AM"/>
              </w:rPr>
              <w:t>իրականացնել</w:t>
            </w:r>
            <w:r w:rsidRPr="0053423A">
              <w:rPr>
                <w:rFonts w:eastAsia="Calibri" w:cs="Sylfaen"/>
                <w:lang w:val="es-ES_tradnl"/>
              </w:rPr>
              <w:t xml:space="preserve"> </w:t>
            </w:r>
            <w:r w:rsidRPr="0053423A">
              <w:rPr>
                <w:rFonts w:eastAsia="Calibri" w:cs="Sylfaen"/>
                <w:lang w:val="hy-AM"/>
              </w:rPr>
              <w:t xml:space="preserve">ընդերքօգտագործման թափոնների տեղամասերի և </w:t>
            </w:r>
            <w:r w:rsidRPr="0053423A">
              <w:rPr>
                <w:rFonts w:eastAsia="Calibri" w:cs="Sylfaen"/>
                <w:kern w:val="16"/>
                <w:lang w:val="hy-AM"/>
              </w:rPr>
              <w:t>օբյեկտների շրջակա միջավայրի բնական բաղադրիչների աղտոտվածության մոնիթորինգ:</w:t>
            </w:r>
          </w:p>
          <w:p w:rsidR="00530B14" w:rsidRPr="0053423A" w:rsidRDefault="00530B14" w:rsidP="00A67858">
            <w:pPr>
              <w:numPr>
                <w:ilvl w:val="0"/>
                <w:numId w:val="52"/>
              </w:numPr>
              <w:spacing w:line="276" w:lineRule="auto"/>
              <w:ind w:left="0" w:firstLine="463"/>
              <w:contextualSpacing/>
              <w:jc w:val="both"/>
              <w:rPr>
                <w:rFonts w:eastAsia="Calibri" w:cs="Sylfaen"/>
                <w:kern w:val="16"/>
              </w:rPr>
            </w:pPr>
            <w:r w:rsidRPr="0053423A">
              <w:rPr>
                <w:rFonts w:eastAsia="Calibri" w:cs="Sylfaen"/>
                <w:kern w:val="16"/>
              </w:rPr>
              <w:t>Չափագրել ռեկուլտիվացման ենթակա տարածքները:</w:t>
            </w:r>
          </w:p>
          <w:p w:rsidR="00530B14" w:rsidRPr="0053423A" w:rsidRDefault="00530B14" w:rsidP="00A67858">
            <w:pPr>
              <w:numPr>
                <w:ilvl w:val="0"/>
                <w:numId w:val="52"/>
              </w:numPr>
              <w:spacing w:line="276" w:lineRule="auto"/>
              <w:ind w:left="0" w:firstLine="463"/>
              <w:contextualSpacing/>
              <w:jc w:val="both"/>
              <w:rPr>
                <w:rFonts w:eastAsia="Calibri" w:cs="Sylfaen"/>
                <w:kern w:val="16"/>
              </w:rPr>
            </w:pPr>
            <w:r w:rsidRPr="0053423A">
              <w:rPr>
                <w:rFonts w:eastAsia="Calibri" w:cs="Sylfaen"/>
                <w:kern w:val="16"/>
              </w:rPr>
              <w:t>Յուրաքանչյուր տեղամասում կատարել տոպոգրաֆիական մանրակրկիտ հանույթ:</w:t>
            </w:r>
          </w:p>
          <w:p w:rsidR="00530B14" w:rsidRPr="0053423A" w:rsidRDefault="00530B14" w:rsidP="00A67858">
            <w:pPr>
              <w:numPr>
                <w:ilvl w:val="0"/>
                <w:numId w:val="52"/>
              </w:numPr>
              <w:spacing w:line="276" w:lineRule="auto"/>
              <w:ind w:left="0" w:firstLine="463"/>
              <w:contextualSpacing/>
              <w:jc w:val="both"/>
              <w:rPr>
                <w:rFonts w:eastAsia="Calibri" w:cs="Sylfaen"/>
                <w:kern w:val="16"/>
              </w:rPr>
            </w:pPr>
            <w:r w:rsidRPr="0053423A">
              <w:rPr>
                <w:rFonts w:eastAsia="Calibri" w:cs="Sylfaen"/>
                <w:kern w:val="16"/>
              </w:rPr>
              <w:t>Մշակել յուրաքանչյուր տեղամասի/օբյեկտի եռաչափ համակարգչային մոդել՝ դրանց տարածական դիրքի, ծավալային պատկերի, կազմող ապարների, ինֆիլտրացվող ջրային հոսերի և դրանց բեռնաթափման օջախների և այլ վերաբերյալ հստակ ելակետային տվյալներ ապահովելու նպատակով:</w:t>
            </w:r>
          </w:p>
          <w:p w:rsidR="00530B14" w:rsidRPr="0053423A" w:rsidRDefault="00530B14" w:rsidP="00A67858">
            <w:pPr>
              <w:numPr>
                <w:ilvl w:val="0"/>
                <w:numId w:val="52"/>
              </w:numPr>
              <w:spacing w:line="276" w:lineRule="auto"/>
              <w:ind w:left="0" w:firstLine="463"/>
              <w:contextualSpacing/>
              <w:jc w:val="both"/>
              <w:rPr>
                <w:rFonts w:eastAsia="Calibri" w:cs="Sylfaen"/>
                <w:kern w:val="16"/>
              </w:rPr>
            </w:pPr>
            <w:r w:rsidRPr="0053423A">
              <w:rPr>
                <w:rFonts w:eastAsia="Calibri" w:cs="Sylfaen"/>
                <w:kern w:val="16"/>
              </w:rPr>
              <w:t>Մշակել լեռնատեխնիկական ռեկուլտիվացիայի նախագիծ և իրականացնել այն:</w:t>
            </w:r>
          </w:p>
          <w:p w:rsidR="00530B14" w:rsidRPr="0053423A" w:rsidRDefault="00530B14" w:rsidP="00A67858">
            <w:pPr>
              <w:numPr>
                <w:ilvl w:val="0"/>
                <w:numId w:val="52"/>
              </w:numPr>
              <w:spacing w:line="276" w:lineRule="auto"/>
              <w:ind w:left="0" w:firstLine="463"/>
              <w:contextualSpacing/>
              <w:jc w:val="both"/>
              <w:rPr>
                <w:rFonts w:eastAsia="Calibri" w:cs="Sylfaen"/>
                <w:kern w:val="16"/>
              </w:rPr>
            </w:pPr>
            <w:r w:rsidRPr="0053423A">
              <w:rPr>
                <w:rFonts w:eastAsia="Calibri" w:cs="Sylfaen"/>
                <w:kern w:val="16"/>
              </w:rPr>
              <w:t>Համապատասխան գիտական հաստատությունների հետ քննարկել և ընտրել կենսաբանական ռեկուլտիվացիայի առավել նպաստավոր մեթոդները՝ կենտրոնանալով տարածքներին բնորոշ էնդեմիկ բուսատեսակների կիրառման հնարավորությունների վրա:</w:t>
            </w:r>
          </w:p>
          <w:p w:rsidR="00530B14" w:rsidRPr="0053423A" w:rsidRDefault="00530B14" w:rsidP="00A67858">
            <w:pPr>
              <w:numPr>
                <w:ilvl w:val="0"/>
                <w:numId w:val="52"/>
              </w:numPr>
              <w:spacing w:line="276" w:lineRule="auto"/>
              <w:ind w:left="0" w:firstLine="463"/>
              <w:contextualSpacing/>
              <w:jc w:val="both"/>
              <w:rPr>
                <w:rFonts w:eastAsia="Calibri" w:cs="Sylfaen"/>
                <w:kern w:val="16"/>
              </w:rPr>
            </w:pPr>
            <w:r w:rsidRPr="0053423A">
              <w:rPr>
                <w:rFonts w:eastAsia="Calibri" w:cs="Sylfaen"/>
                <w:kern w:val="16"/>
              </w:rPr>
              <w:t>Մշակել կենսաբանական ռեկուլտիվացիայի նախագիծ և իրականացնել այն:</w:t>
            </w:r>
          </w:p>
          <w:p w:rsidR="00530B14" w:rsidRPr="0053423A" w:rsidRDefault="00530B14" w:rsidP="00A67858">
            <w:pPr>
              <w:numPr>
                <w:ilvl w:val="0"/>
                <w:numId w:val="52"/>
              </w:numPr>
              <w:spacing w:line="276" w:lineRule="auto"/>
              <w:ind w:left="0" w:firstLine="463"/>
              <w:contextualSpacing/>
              <w:jc w:val="both"/>
              <w:rPr>
                <w:rFonts w:eastAsia="Calibri" w:cs="Sylfaen"/>
                <w:kern w:val="16"/>
              </w:rPr>
            </w:pPr>
            <w:r w:rsidRPr="0053423A">
              <w:rPr>
                <w:rFonts w:eastAsia="Calibri" w:cs="Sylfaen"/>
                <w:kern w:val="16"/>
              </w:rPr>
              <w:t>Ապահովել ռեկուլտիվացված տարածքներում շրջակա միջավայրի հետնախագծային մոնիթորինգ (առնվազն 5 տարի)՝ վերահսկելով կենսաբանական ռեկուլտիվացիոն աշխատանքների արդյունավետությունը:</w:t>
            </w:r>
          </w:p>
          <w:p w:rsidR="00530B14" w:rsidRPr="0053423A" w:rsidRDefault="00530B14" w:rsidP="00A67858">
            <w:pPr>
              <w:numPr>
                <w:ilvl w:val="0"/>
                <w:numId w:val="53"/>
              </w:numPr>
              <w:spacing w:line="276" w:lineRule="auto"/>
              <w:contextualSpacing/>
              <w:jc w:val="both"/>
              <w:rPr>
                <w:b/>
                <w:i/>
                <w:lang w:val="hy-AM"/>
              </w:rPr>
            </w:pPr>
            <w:r w:rsidRPr="0053423A">
              <w:rPr>
                <w:b/>
                <w:i/>
                <w:lang w:val="hy-AM"/>
              </w:rPr>
              <w:t>Միջոցառման իրականացումից ակնկալվող արդյունքը</w:t>
            </w:r>
          </w:p>
          <w:p w:rsidR="00530B14" w:rsidRPr="00955F0E" w:rsidRDefault="00530B14" w:rsidP="00A67858">
            <w:pPr>
              <w:overflowPunct w:val="0"/>
              <w:autoSpaceDE w:val="0"/>
              <w:autoSpaceDN w:val="0"/>
              <w:adjustRightInd w:val="0"/>
              <w:spacing w:line="276" w:lineRule="auto"/>
              <w:ind w:firstLine="375"/>
              <w:jc w:val="both"/>
              <w:rPr>
                <w:color w:val="000000"/>
                <w:shd w:val="clear" w:color="auto" w:fill="FFFFFF"/>
                <w:lang w:val="hy-AM"/>
              </w:rPr>
            </w:pPr>
            <w:r w:rsidRPr="00955F0E">
              <w:rPr>
                <w:kern w:val="16"/>
                <w:lang w:val="hy-AM"/>
              </w:rPr>
              <w:t xml:space="preserve">Շրջակա միջավայրի աղտոտվածության նվազեցում, ընդերքօգտագործման թափոնների տեղամասերի և օբյեկտների </w:t>
            </w:r>
            <w:r w:rsidRPr="00955F0E">
              <w:rPr>
                <w:color w:val="000000"/>
                <w:shd w:val="clear" w:color="auto" w:fill="FFFFFF"/>
                <w:lang w:val="hy-AM"/>
              </w:rPr>
              <w:t>հարակից համայնքների բնակչության անվտանգության և առողջության ապահովում:</w:t>
            </w:r>
          </w:p>
          <w:p w:rsidR="00955F0E" w:rsidRPr="00955F0E" w:rsidRDefault="00955F0E" w:rsidP="00955F0E">
            <w:pPr>
              <w:ind w:left="735"/>
              <w:contextualSpacing/>
              <w:rPr>
                <w:szCs w:val="24"/>
                <w:lang w:val="hy-AM"/>
              </w:rPr>
            </w:pPr>
          </w:p>
          <w:p w:rsidR="00955F0E" w:rsidRDefault="00955F0E" w:rsidP="00955F0E">
            <w:pPr>
              <w:ind w:firstLine="375"/>
              <w:jc w:val="center"/>
              <w:rPr>
                <w:rFonts w:ascii="Courier New" w:hAnsi="Courier New" w:cs="Courier New"/>
                <w:b/>
                <w:szCs w:val="24"/>
                <w:u w:val="single"/>
                <w:lang w:val="hy-AM"/>
              </w:rPr>
            </w:pPr>
            <w:r w:rsidRPr="00955F0E">
              <w:rPr>
                <w:rFonts w:eastAsia="Calibri" w:cs="GHEA Grapalat"/>
                <w:b/>
                <w:szCs w:val="24"/>
                <w:u w:val="single"/>
                <w:lang w:val="hy-AM"/>
              </w:rPr>
              <w:t>9.4 «Թափոնների կառավարման ռազմավարությունը հաստատելու մասին Կառավարության որոշման նախագծի ներկայացում Վարչապետի աշխատակազմ ներկայացնելը</w:t>
            </w:r>
            <w:r w:rsidRPr="003715AF">
              <w:rPr>
                <w:rFonts w:eastAsia="Calibri" w:cs="Sylfaen"/>
                <w:b/>
                <w:szCs w:val="24"/>
                <w:lang w:val="hy-AM"/>
              </w:rPr>
              <w:t xml:space="preserve">  </w:t>
            </w:r>
            <w:r w:rsidRPr="003715AF">
              <w:rPr>
                <w:rFonts w:ascii="Courier New" w:hAnsi="Courier New" w:cs="Courier New"/>
                <w:b/>
                <w:szCs w:val="24"/>
                <w:lang w:val="hy-AM"/>
              </w:rPr>
              <w:t> </w:t>
            </w:r>
          </w:p>
          <w:p w:rsidR="00955F0E" w:rsidRPr="00955F0E" w:rsidRDefault="00955F0E" w:rsidP="00955F0E">
            <w:pPr>
              <w:ind w:firstLine="375"/>
              <w:jc w:val="center"/>
              <w:rPr>
                <w:b/>
                <w:szCs w:val="24"/>
                <w:u w:val="single"/>
                <w:lang w:val="hy-AM"/>
              </w:rPr>
            </w:pPr>
          </w:p>
          <w:p w:rsidR="00955F0E" w:rsidRPr="00955F0E" w:rsidRDefault="00955F0E" w:rsidP="00955F0E">
            <w:pPr>
              <w:ind w:firstLine="375"/>
              <w:rPr>
                <w:szCs w:val="24"/>
                <w:lang w:val="hy-AM"/>
              </w:rPr>
            </w:pPr>
            <w:r w:rsidRPr="00955F0E">
              <w:rPr>
                <w:rFonts w:ascii="Courier New" w:hAnsi="Courier New" w:cs="Courier New"/>
                <w:szCs w:val="24"/>
                <w:lang w:val="hy-AM"/>
              </w:rPr>
              <w:t> </w:t>
            </w:r>
          </w:p>
          <w:p w:rsidR="00955F0E" w:rsidRPr="00955F0E" w:rsidRDefault="00955F0E" w:rsidP="00955F0E">
            <w:pPr>
              <w:numPr>
                <w:ilvl w:val="0"/>
                <w:numId w:val="518"/>
              </w:numPr>
              <w:ind w:right="104"/>
              <w:contextualSpacing/>
              <w:rPr>
                <w:b/>
                <w:i/>
                <w:szCs w:val="24"/>
              </w:rPr>
            </w:pPr>
            <w:r w:rsidRPr="00955F0E">
              <w:rPr>
                <w:b/>
                <w:i/>
                <w:szCs w:val="24"/>
                <w:lang w:val="hy-AM"/>
              </w:rPr>
              <w:t xml:space="preserve">Միջոցառման իրակացման անհրաժեշտությունը և նպատակը </w:t>
            </w:r>
          </w:p>
          <w:p w:rsidR="00955F0E" w:rsidRPr="00955F0E" w:rsidRDefault="00955F0E" w:rsidP="00955F0E">
            <w:pPr>
              <w:ind w:left="735" w:right="104"/>
              <w:contextualSpacing/>
              <w:rPr>
                <w:szCs w:val="24"/>
              </w:rPr>
            </w:pPr>
          </w:p>
          <w:p w:rsidR="00955F0E" w:rsidRPr="00955F0E" w:rsidRDefault="002A5DA6" w:rsidP="00955F0E">
            <w:pPr>
              <w:ind w:firstLine="375"/>
              <w:jc w:val="both"/>
              <w:rPr>
                <w:rFonts w:eastAsiaTheme="minorEastAsia" w:cs="Sylfaen"/>
                <w:szCs w:val="24"/>
                <w:shd w:val="clear" w:color="auto" w:fill="FFFFFF"/>
              </w:rPr>
            </w:pPr>
            <w:r>
              <w:rPr>
                <w:rFonts w:eastAsiaTheme="minorEastAsia" w:cs="Sylfaen"/>
                <w:szCs w:val="24"/>
                <w:shd w:val="clear" w:color="auto" w:fill="FFFFFF"/>
              </w:rPr>
              <w:t>Միջո</w:t>
            </w:r>
            <w:r w:rsidR="00955F0E" w:rsidRPr="00955F0E">
              <w:rPr>
                <w:rFonts w:eastAsiaTheme="minorEastAsia" w:cs="Sylfaen"/>
                <w:szCs w:val="24"/>
                <w:shd w:val="clear" w:color="auto" w:fill="FFFFFF"/>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Քիմիական նյութերի և թափոնների (այդ թվում՝ ընդերքօգտագործման) էկոլոգիապես անվտանգ կառավարում  ուղղությունը:</w:t>
            </w:r>
          </w:p>
          <w:p w:rsidR="00955F0E" w:rsidRPr="00955F0E" w:rsidRDefault="00955F0E" w:rsidP="00955F0E">
            <w:pPr>
              <w:tabs>
                <w:tab w:val="left" w:pos="90"/>
                <w:tab w:val="left" w:pos="180"/>
                <w:tab w:val="left" w:pos="270"/>
                <w:tab w:val="left" w:pos="540"/>
                <w:tab w:val="left" w:pos="630"/>
              </w:tabs>
              <w:ind w:left="-90" w:right="187"/>
              <w:jc w:val="both"/>
              <w:rPr>
                <w:rFonts w:cs="Sylfaen"/>
                <w:szCs w:val="24"/>
              </w:rPr>
            </w:pPr>
            <w:r w:rsidRPr="00955F0E">
              <w:rPr>
                <w:rFonts w:cs="Sylfaen"/>
                <w:szCs w:val="24"/>
              </w:rPr>
              <w:tab/>
            </w:r>
            <w:r w:rsidRPr="00955F0E">
              <w:rPr>
                <w:rFonts w:cs="Sylfaen"/>
                <w:szCs w:val="24"/>
              </w:rPr>
              <w:tab/>
            </w:r>
            <w:r w:rsidRPr="00955F0E">
              <w:rPr>
                <w:rFonts w:cs="Sylfaen"/>
                <w:szCs w:val="24"/>
              </w:rPr>
              <w:tab/>
            </w:r>
            <w:r w:rsidRPr="00955F0E">
              <w:rPr>
                <w:rFonts w:cs="Sylfaen"/>
                <w:szCs w:val="24"/>
              </w:rPr>
              <w:tab/>
            </w:r>
            <w:r w:rsidRPr="00955F0E">
              <w:rPr>
                <w:rFonts w:cs="Sylfaen"/>
                <w:szCs w:val="24"/>
                <w:lang w:val="de-DE"/>
              </w:rPr>
              <w:t xml:space="preserve">«Թափոնների կառավարման ռազմավարությունը հաստատելու մասին Կառավարության որոշման </w:t>
            </w:r>
            <w:r w:rsidRPr="00955F0E">
              <w:rPr>
                <w:rFonts w:cs="Sylfaen"/>
                <w:szCs w:val="24"/>
                <w:lang w:val="hy-AM"/>
              </w:rPr>
              <w:t>նախագծի</w:t>
            </w:r>
            <w:r w:rsidRPr="00955F0E">
              <w:rPr>
                <w:rFonts w:eastAsia="Calibri" w:cs="Arial"/>
                <w:szCs w:val="24"/>
                <w:lang w:val="hy-AM"/>
              </w:rPr>
              <w:t xml:space="preserve"> նպատակ</w:t>
            </w:r>
            <w:r w:rsidRPr="00955F0E">
              <w:rPr>
                <w:rFonts w:eastAsia="Calibri" w:cs="Arial"/>
                <w:szCs w:val="24"/>
              </w:rPr>
              <w:t>ն է՝</w:t>
            </w:r>
            <w:r w:rsidRPr="00955F0E">
              <w:rPr>
                <w:rFonts w:eastAsia="Calibri" w:cs="Arial"/>
                <w:szCs w:val="24"/>
                <w:lang w:val="hy-AM"/>
              </w:rPr>
              <w:t xml:space="preserve"> առողջության և շրջակա միջավայրի պահպանության ապահովումն է:</w:t>
            </w:r>
            <w:r w:rsidRPr="00955F0E">
              <w:rPr>
                <w:rFonts w:cs="Sylfaen"/>
                <w:szCs w:val="24"/>
                <w:lang w:val="hy-AM"/>
              </w:rPr>
              <w:t xml:space="preserve"> </w:t>
            </w:r>
            <w:r w:rsidRPr="00955F0E">
              <w:rPr>
                <w:rFonts w:cs="Sylfaen"/>
                <w:szCs w:val="24"/>
              </w:rPr>
              <w:t xml:space="preserve"> </w:t>
            </w:r>
          </w:p>
          <w:p w:rsidR="00955F0E" w:rsidRPr="00955F0E" w:rsidRDefault="00955F0E" w:rsidP="00955F0E">
            <w:pPr>
              <w:ind w:left="735" w:right="187"/>
              <w:contextualSpacing/>
              <w:rPr>
                <w:szCs w:val="24"/>
                <w:lang w:val="hy-AM"/>
              </w:rPr>
            </w:pPr>
          </w:p>
          <w:p w:rsidR="00955F0E" w:rsidRPr="00955F0E" w:rsidRDefault="00955F0E" w:rsidP="00955F0E">
            <w:pPr>
              <w:numPr>
                <w:ilvl w:val="1"/>
                <w:numId w:val="518"/>
              </w:numPr>
              <w:ind w:left="993" w:right="180"/>
              <w:contextualSpacing/>
              <w:rPr>
                <w:b/>
                <w:szCs w:val="24"/>
                <w:lang w:val="hy-AM"/>
              </w:rPr>
            </w:pPr>
            <w:r w:rsidRPr="00955F0E">
              <w:rPr>
                <w:b/>
                <w:szCs w:val="24"/>
                <w:lang w:val="hy-AM"/>
              </w:rPr>
              <w:t xml:space="preserve">կարգավորման հարաբերությունների ներկա վիճակը և առկա խնդիրները </w:t>
            </w:r>
          </w:p>
          <w:p w:rsidR="00955F0E" w:rsidRPr="00955F0E" w:rsidRDefault="00955F0E" w:rsidP="00955F0E">
            <w:pPr>
              <w:ind w:left="1095" w:right="180"/>
              <w:contextualSpacing/>
              <w:rPr>
                <w:szCs w:val="24"/>
                <w:lang w:val="hy-AM"/>
              </w:rPr>
            </w:pPr>
          </w:p>
          <w:p w:rsidR="00955F0E" w:rsidRPr="00955F0E" w:rsidRDefault="00955F0E" w:rsidP="00955F0E">
            <w:pPr>
              <w:ind w:left="-90" w:right="180" w:firstLine="720"/>
              <w:jc w:val="both"/>
              <w:rPr>
                <w:rFonts w:eastAsia="Calibri" w:cs="Arial"/>
                <w:szCs w:val="24"/>
                <w:lang w:val="hy-AM"/>
              </w:rPr>
            </w:pPr>
            <w:r w:rsidRPr="00955F0E">
              <w:rPr>
                <w:rFonts w:eastAsia="Calibri" w:cs="Arial"/>
                <w:szCs w:val="24"/>
                <w:lang w:val="hy-AM"/>
              </w:rPr>
              <w:t>Հայաստանի Հանրապետությունում թափոնների, թափոնների հավաքման, փոխադրման, պահման, մշակման, օգտահանման, հեռացման, ծավալների կրճատման և դրանց հետ կապված այլ հարաբերությունները դեռևս լիարժեք կարգավորված չեն:</w:t>
            </w:r>
          </w:p>
          <w:p w:rsidR="00955F0E" w:rsidRPr="00955F0E" w:rsidRDefault="00955F0E" w:rsidP="00955F0E">
            <w:pPr>
              <w:ind w:right="180" w:firstLine="375"/>
              <w:rPr>
                <w:szCs w:val="24"/>
                <w:lang w:val="hy-AM"/>
              </w:rPr>
            </w:pPr>
          </w:p>
          <w:p w:rsidR="00955F0E" w:rsidRPr="00955F0E" w:rsidRDefault="00955F0E" w:rsidP="00955F0E">
            <w:pPr>
              <w:ind w:right="180" w:firstLine="375"/>
              <w:rPr>
                <w:b/>
                <w:i/>
                <w:szCs w:val="24"/>
                <w:lang w:val="hy-AM"/>
              </w:rPr>
            </w:pPr>
            <w:r w:rsidRPr="00955F0E">
              <w:rPr>
                <w:b/>
                <w:i/>
                <w:szCs w:val="24"/>
                <w:lang w:val="hy-AM"/>
              </w:rPr>
              <w:t>2. Միջոցառման իրականացումից ակնկալվող արդյունքը</w:t>
            </w:r>
          </w:p>
          <w:p w:rsidR="00955F0E" w:rsidRPr="00955F0E" w:rsidRDefault="00955F0E" w:rsidP="00955F0E">
            <w:pPr>
              <w:ind w:right="180"/>
              <w:rPr>
                <w:szCs w:val="24"/>
                <w:lang w:val="hy-AM"/>
              </w:rPr>
            </w:pPr>
          </w:p>
          <w:p w:rsidR="00955F0E" w:rsidRPr="0053423A" w:rsidRDefault="00955F0E" w:rsidP="00955F0E">
            <w:pPr>
              <w:ind w:right="140" w:firstLine="426"/>
              <w:contextualSpacing/>
              <w:jc w:val="both"/>
              <w:rPr>
                <w:lang w:val="af-ZA"/>
              </w:rPr>
            </w:pPr>
            <w:r w:rsidRPr="00955F0E">
              <w:rPr>
                <w:rFonts w:eastAsia="Calibri" w:cs="Arial"/>
                <w:szCs w:val="24"/>
                <w:lang w:val="hy-AM"/>
              </w:rPr>
              <w:tab/>
              <w:t xml:space="preserve">«Թափոնների կառավարման ռազմավարությունը հաստատելու մասին Կառավարության որոշման նախագծի </w:t>
            </w:r>
            <w:r w:rsidRPr="00955F0E">
              <w:rPr>
                <w:rFonts w:eastAsia="Calibri" w:cs="Sylfaen"/>
                <w:spacing w:val="-6"/>
                <w:szCs w:val="24"/>
                <w:lang w:val="hy-AM"/>
              </w:rPr>
              <w:t>ընդունմամբ</w:t>
            </w:r>
            <w:r w:rsidRPr="00955F0E">
              <w:rPr>
                <w:rFonts w:eastAsia="Calibri"/>
                <w:spacing w:val="-6"/>
                <w:szCs w:val="24"/>
                <w:lang w:val="hy-AM"/>
              </w:rPr>
              <w:t xml:space="preserve"> </w:t>
            </w:r>
            <w:r w:rsidRPr="00955F0E">
              <w:rPr>
                <w:rFonts w:cs="Sylfaen"/>
                <w:bCs/>
                <w:kern w:val="32"/>
                <w:szCs w:val="24"/>
                <w:lang w:val="hy-AM"/>
              </w:rPr>
              <w:t>կ</w:t>
            </w:r>
            <w:r w:rsidRPr="00955F0E">
              <w:rPr>
                <w:rFonts w:cs="Sylfaen"/>
                <w:szCs w:val="24"/>
                <w:lang w:val="hy-AM"/>
              </w:rPr>
              <w:t>կարգավորվեն Հայաստանի</w:t>
            </w:r>
            <w:r w:rsidRPr="00955F0E">
              <w:rPr>
                <w:rFonts w:cs="Sylfaen"/>
                <w:szCs w:val="24"/>
                <w:lang w:val="de-DE"/>
              </w:rPr>
              <w:t xml:space="preserve"> </w:t>
            </w:r>
            <w:r w:rsidRPr="00955F0E">
              <w:rPr>
                <w:rFonts w:cs="Sylfaen"/>
                <w:szCs w:val="24"/>
                <w:lang w:val="hy-AM"/>
              </w:rPr>
              <w:t>Հանրապետությունում</w:t>
            </w:r>
            <w:r w:rsidRPr="00955F0E">
              <w:rPr>
                <w:rFonts w:cs="Sylfaen"/>
                <w:szCs w:val="24"/>
                <w:lang w:val="de-DE"/>
              </w:rPr>
              <w:t xml:space="preserve"> </w:t>
            </w:r>
            <w:r w:rsidRPr="00955F0E">
              <w:rPr>
                <w:rFonts w:cs="Sylfaen"/>
                <w:szCs w:val="24"/>
                <w:lang w:val="hy-AM"/>
              </w:rPr>
              <w:t>թափոնների</w:t>
            </w:r>
            <w:r w:rsidRPr="00955F0E">
              <w:rPr>
                <w:rFonts w:cs="Sylfaen"/>
                <w:szCs w:val="24"/>
                <w:lang w:val="de-DE"/>
              </w:rPr>
              <w:t xml:space="preserve"> գործածության </w:t>
            </w:r>
            <w:r w:rsidRPr="00955F0E">
              <w:rPr>
                <w:rFonts w:cs="Sylfaen"/>
                <w:szCs w:val="24"/>
                <w:lang w:val="hy-AM"/>
              </w:rPr>
              <w:t>հետ</w:t>
            </w:r>
            <w:r w:rsidRPr="00955F0E">
              <w:rPr>
                <w:rFonts w:cs="Sylfaen"/>
                <w:szCs w:val="24"/>
                <w:lang w:val="de-DE"/>
              </w:rPr>
              <w:t xml:space="preserve"> </w:t>
            </w:r>
            <w:r w:rsidRPr="00955F0E">
              <w:rPr>
                <w:rFonts w:cs="Sylfaen"/>
                <w:szCs w:val="24"/>
                <w:lang w:val="hy-AM"/>
              </w:rPr>
              <w:t>կապված</w:t>
            </w:r>
            <w:r w:rsidRPr="00955F0E">
              <w:rPr>
                <w:rFonts w:cs="Sylfaen"/>
                <w:szCs w:val="24"/>
                <w:lang w:val="de-DE"/>
              </w:rPr>
              <w:t xml:space="preserve"> իրավա</w:t>
            </w:r>
            <w:r w:rsidRPr="00955F0E">
              <w:rPr>
                <w:rFonts w:cs="Sylfaen"/>
                <w:szCs w:val="24"/>
                <w:lang w:val="hy-AM"/>
              </w:rPr>
              <w:t>հարաբերությունները</w:t>
            </w:r>
            <w:r w:rsidRPr="00955F0E">
              <w:rPr>
                <w:rFonts w:cs="Arial"/>
                <w:bCs/>
                <w:kern w:val="32"/>
                <w:szCs w:val="24"/>
                <w:lang w:val="de-DE"/>
              </w:rPr>
              <w:t>`</w:t>
            </w:r>
            <w:r w:rsidRPr="00955F0E">
              <w:rPr>
                <w:rFonts w:cs="Arial"/>
                <w:bCs/>
                <w:kern w:val="32"/>
                <w:szCs w:val="24"/>
                <w:lang w:val="hy-AM"/>
              </w:rPr>
              <w:t xml:space="preserve"> </w:t>
            </w:r>
            <w:r w:rsidRPr="00955F0E">
              <w:rPr>
                <w:rFonts w:cs="Sylfaen"/>
                <w:bCs/>
                <w:kern w:val="32"/>
                <w:szCs w:val="24"/>
                <w:lang w:val="hy-AM"/>
              </w:rPr>
              <w:t>մարդու</w:t>
            </w:r>
            <w:r w:rsidRPr="00955F0E">
              <w:rPr>
                <w:rFonts w:cs="Arial"/>
                <w:bCs/>
                <w:kern w:val="32"/>
                <w:szCs w:val="24"/>
                <w:lang w:val="de-DE"/>
              </w:rPr>
              <w:t xml:space="preserve"> </w:t>
            </w:r>
            <w:r w:rsidRPr="00955F0E">
              <w:rPr>
                <w:rFonts w:cs="Sylfaen"/>
                <w:bCs/>
                <w:kern w:val="32"/>
                <w:szCs w:val="24"/>
                <w:lang w:val="hy-AM"/>
              </w:rPr>
              <w:t>առողջության</w:t>
            </w:r>
            <w:r w:rsidRPr="00955F0E">
              <w:rPr>
                <w:rFonts w:cs="Arial"/>
                <w:bCs/>
                <w:kern w:val="32"/>
                <w:szCs w:val="24"/>
                <w:lang w:val="de-DE"/>
              </w:rPr>
              <w:t xml:space="preserve"> </w:t>
            </w:r>
            <w:r w:rsidRPr="00955F0E">
              <w:rPr>
                <w:rFonts w:cs="Sylfaen"/>
                <w:bCs/>
                <w:kern w:val="32"/>
                <w:szCs w:val="24"/>
                <w:lang w:val="hy-AM"/>
              </w:rPr>
              <w:t>և</w:t>
            </w:r>
            <w:r w:rsidRPr="00955F0E">
              <w:rPr>
                <w:rFonts w:cs="Arial"/>
                <w:bCs/>
                <w:kern w:val="32"/>
                <w:szCs w:val="24"/>
                <w:lang w:val="de-DE"/>
              </w:rPr>
              <w:t xml:space="preserve"> </w:t>
            </w:r>
            <w:r w:rsidRPr="00955F0E">
              <w:rPr>
                <w:rFonts w:cs="Sylfaen"/>
                <w:bCs/>
                <w:kern w:val="32"/>
                <w:szCs w:val="24"/>
                <w:lang w:val="hy-AM"/>
              </w:rPr>
              <w:t>շրջակա</w:t>
            </w:r>
            <w:r w:rsidRPr="00955F0E">
              <w:rPr>
                <w:rFonts w:cs="Arial"/>
                <w:bCs/>
                <w:kern w:val="32"/>
                <w:szCs w:val="24"/>
                <w:lang w:val="de-DE"/>
              </w:rPr>
              <w:t xml:space="preserve"> </w:t>
            </w:r>
            <w:r w:rsidRPr="00955F0E">
              <w:rPr>
                <w:rFonts w:cs="Sylfaen"/>
                <w:bCs/>
                <w:kern w:val="32"/>
                <w:szCs w:val="24"/>
                <w:lang w:val="hy-AM"/>
              </w:rPr>
              <w:t>միջավայրի</w:t>
            </w:r>
            <w:r w:rsidRPr="00955F0E">
              <w:rPr>
                <w:rFonts w:cs="Arial"/>
                <w:bCs/>
                <w:kern w:val="32"/>
                <w:szCs w:val="24"/>
                <w:lang w:val="de-DE"/>
              </w:rPr>
              <w:t xml:space="preserve"> </w:t>
            </w:r>
            <w:r w:rsidRPr="00955F0E">
              <w:rPr>
                <w:rFonts w:cs="Sylfaen"/>
                <w:bCs/>
                <w:kern w:val="32"/>
                <w:szCs w:val="24"/>
                <w:lang w:val="hy-AM"/>
              </w:rPr>
              <w:t>վրա</w:t>
            </w:r>
            <w:r w:rsidRPr="00955F0E">
              <w:rPr>
                <w:rFonts w:cs="Arial"/>
                <w:bCs/>
                <w:kern w:val="32"/>
                <w:szCs w:val="24"/>
                <w:lang w:val="de-DE"/>
              </w:rPr>
              <w:t xml:space="preserve"> </w:t>
            </w:r>
            <w:r w:rsidRPr="00955F0E">
              <w:rPr>
                <w:rFonts w:cs="Sylfaen"/>
                <w:bCs/>
                <w:kern w:val="32"/>
                <w:szCs w:val="24"/>
                <w:lang w:val="hy-AM"/>
              </w:rPr>
              <w:t>դրանց</w:t>
            </w:r>
            <w:r w:rsidRPr="00955F0E">
              <w:rPr>
                <w:rFonts w:cs="Arial"/>
                <w:bCs/>
                <w:kern w:val="32"/>
                <w:szCs w:val="24"/>
                <w:lang w:val="de-DE"/>
              </w:rPr>
              <w:t xml:space="preserve"> </w:t>
            </w:r>
            <w:r w:rsidRPr="00955F0E">
              <w:rPr>
                <w:rFonts w:cs="Sylfaen"/>
                <w:bCs/>
                <w:kern w:val="32"/>
                <w:szCs w:val="24"/>
                <w:lang w:val="hy-AM"/>
              </w:rPr>
              <w:t>հնարավոր</w:t>
            </w:r>
            <w:r w:rsidRPr="00955F0E">
              <w:rPr>
                <w:rFonts w:cs="Arial"/>
                <w:bCs/>
                <w:kern w:val="32"/>
                <w:szCs w:val="24"/>
                <w:lang w:val="de-DE"/>
              </w:rPr>
              <w:t xml:space="preserve"> </w:t>
            </w:r>
            <w:r w:rsidRPr="00955F0E">
              <w:rPr>
                <w:rFonts w:cs="Sylfaen"/>
                <w:bCs/>
                <w:kern w:val="32"/>
                <w:szCs w:val="24"/>
                <w:lang w:val="hy-AM"/>
              </w:rPr>
              <w:t>վնասակար</w:t>
            </w:r>
            <w:r w:rsidRPr="00955F0E">
              <w:rPr>
                <w:rFonts w:cs="Arial"/>
                <w:bCs/>
                <w:kern w:val="32"/>
                <w:szCs w:val="24"/>
                <w:lang w:val="de-DE"/>
              </w:rPr>
              <w:t xml:space="preserve"> </w:t>
            </w:r>
            <w:r w:rsidRPr="00955F0E">
              <w:rPr>
                <w:rFonts w:cs="Sylfaen"/>
                <w:bCs/>
                <w:kern w:val="32"/>
                <w:szCs w:val="24"/>
                <w:lang w:val="hy-AM"/>
              </w:rPr>
              <w:t>ազդեցության</w:t>
            </w:r>
            <w:r w:rsidRPr="00955F0E">
              <w:rPr>
                <w:rFonts w:cs="Arial"/>
                <w:bCs/>
                <w:kern w:val="32"/>
                <w:szCs w:val="24"/>
                <w:lang w:val="de-DE"/>
              </w:rPr>
              <w:t xml:space="preserve"> </w:t>
            </w:r>
            <w:r w:rsidRPr="00955F0E">
              <w:rPr>
                <w:rFonts w:cs="Sylfaen"/>
                <w:bCs/>
                <w:kern w:val="32"/>
                <w:szCs w:val="24"/>
                <w:lang w:val="hy-AM"/>
              </w:rPr>
              <w:t>նվազեցման</w:t>
            </w:r>
            <w:r w:rsidRPr="00955F0E">
              <w:rPr>
                <w:rFonts w:cs="Arial"/>
                <w:bCs/>
                <w:kern w:val="32"/>
                <w:szCs w:val="24"/>
                <w:lang w:val="de-DE"/>
              </w:rPr>
              <w:t xml:space="preserve"> </w:t>
            </w:r>
            <w:r w:rsidRPr="00955F0E">
              <w:rPr>
                <w:rFonts w:cs="Sylfaen"/>
                <w:bCs/>
                <w:kern w:val="32"/>
                <w:szCs w:val="24"/>
                <w:lang w:val="hy-AM"/>
              </w:rPr>
              <w:t>ու</w:t>
            </w:r>
            <w:r w:rsidRPr="00955F0E">
              <w:rPr>
                <w:rFonts w:cs="Arial"/>
                <w:bCs/>
                <w:kern w:val="32"/>
                <w:szCs w:val="24"/>
                <w:lang w:val="de-DE"/>
              </w:rPr>
              <w:t xml:space="preserve"> </w:t>
            </w:r>
            <w:r w:rsidRPr="00955F0E">
              <w:rPr>
                <w:rFonts w:cs="Sylfaen"/>
                <w:bCs/>
                <w:kern w:val="32"/>
                <w:szCs w:val="24"/>
                <w:lang w:val="hy-AM"/>
              </w:rPr>
              <w:t>անվտանգության</w:t>
            </w:r>
            <w:r w:rsidRPr="00955F0E">
              <w:rPr>
                <w:rFonts w:cs="Arial"/>
                <w:bCs/>
                <w:kern w:val="32"/>
                <w:szCs w:val="24"/>
                <w:lang w:val="de-DE"/>
              </w:rPr>
              <w:t xml:space="preserve"> </w:t>
            </w:r>
            <w:r w:rsidRPr="00955F0E">
              <w:rPr>
                <w:rFonts w:cs="Sylfaen"/>
                <w:bCs/>
                <w:kern w:val="32"/>
                <w:szCs w:val="24"/>
                <w:lang w:val="hy-AM"/>
              </w:rPr>
              <w:t>ապահովման</w:t>
            </w:r>
            <w:r w:rsidRPr="00955F0E">
              <w:rPr>
                <w:rFonts w:cs="Sylfaen"/>
                <w:bCs/>
                <w:kern w:val="32"/>
                <w:szCs w:val="24"/>
                <w:lang w:val="de-DE"/>
              </w:rPr>
              <w:t xml:space="preserve"> </w:t>
            </w:r>
            <w:r w:rsidRPr="00955F0E">
              <w:rPr>
                <w:rFonts w:cs="Sylfaen"/>
                <w:bCs/>
                <w:kern w:val="32"/>
                <w:szCs w:val="24"/>
                <w:lang w:val="hy-AM"/>
              </w:rPr>
              <w:t>նպատակով</w:t>
            </w:r>
            <w:r w:rsidRPr="00955F0E">
              <w:rPr>
                <w:rFonts w:cs="Arial"/>
                <w:bCs/>
                <w:kern w:val="32"/>
                <w:szCs w:val="24"/>
                <w:lang w:val="de-DE"/>
              </w:rPr>
              <w:t>:</w:t>
            </w:r>
          </w:p>
          <w:p w:rsidR="00530B14" w:rsidRPr="0053423A" w:rsidRDefault="00530B14" w:rsidP="00A67858">
            <w:pPr>
              <w:spacing w:line="276" w:lineRule="auto"/>
              <w:jc w:val="center"/>
              <w:rPr>
                <w:b/>
                <w:bCs/>
                <w:lang w:val="af-ZA"/>
              </w:rPr>
            </w:pPr>
          </w:p>
        </w:tc>
      </w:tr>
      <w:tr w:rsidR="00530B14" w:rsidRPr="00DE2EFA" w:rsidTr="004440EB">
        <w:tc>
          <w:tcPr>
            <w:tcW w:w="480" w:type="dxa"/>
          </w:tcPr>
          <w:p w:rsidR="00530B14" w:rsidRPr="0053423A" w:rsidRDefault="00530B14" w:rsidP="00A67858">
            <w:pPr>
              <w:spacing w:line="276" w:lineRule="auto"/>
              <w:jc w:val="center"/>
              <w:rPr>
                <w:b/>
                <w:bCs/>
                <w:lang w:val="hy-AM"/>
              </w:rPr>
            </w:pPr>
            <w:r w:rsidRPr="0053423A">
              <w:rPr>
                <w:b/>
                <w:bCs/>
                <w:lang w:val="hy-AM"/>
              </w:rPr>
              <w:t xml:space="preserve">10 </w:t>
            </w:r>
          </w:p>
        </w:tc>
        <w:tc>
          <w:tcPr>
            <w:tcW w:w="10879" w:type="dxa"/>
          </w:tcPr>
          <w:p w:rsidR="00530B14" w:rsidRPr="0053423A" w:rsidRDefault="00530B14" w:rsidP="00A67858">
            <w:pPr>
              <w:spacing w:line="276" w:lineRule="auto"/>
              <w:jc w:val="center"/>
              <w:rPr>
                <w:b/>
                <w:lang w:val="hy-AM"/>
              </w:rPr>
            </w:pPr>
            <w:r w:rsidRPr="0053423A">
              <w:rPr>
                <w:b/>
                <w:lang w:val="hy-AM"/>
              </w:rPr>
              <w:t>Շրջակա միջավայրի վրա ազդեցության փորձաքնական գործընթացի արդյունավետ իրականացումը.</w:t>
            </w:r>
          </w:p>
          <w:p w:rsidR="00530B14" w:rsidRPr="0053423A" w:rsidRDefault="00530B14" w:rsidP="00A67858">
            <w:pPr>
              <w:spacing w:line="276" w:lineRule="auto"/>
              <w:jc w:val="center"/>
              <w:rPr>
                <w:b/>
                <w:lang w:val="hy-AM"/>
              </w:rPr>
            </w:pPr>
            <w:r w:rsidRPr="0053423A">
              <w:rPr>
                <w:b/>
                <w:lang w:val="hy-AM"/>
              </w:rPr>
              <w:t>բնապահպանական օրենսդրության ներդաշնակեցում, ՀՀ-ԵՄ համապարփակ և ընդլայնված գործընկերության համաձայնագրի դիրեկտիվներին և այդ համատեքստում միջազգային համագործակցության ընդլայնումը՝ ճանապարհային քարտեզով նախանշված գործողությունների իրականացման արդյունավետության բարձրացման նպատակով</w:t>
            </w:r>
          </w:p>
          <w:p w:rsidR="00530B14" w:rsidRPr="0053423A" w:rsidRDefault="00530B14" w:rsidP="00A67858">
            <w:pPr>
              <w:spacing w:line="276" w:lineRule="auto"/>
              <w:jc w:val="center"/>
              <w:rPr>
                <w:b/>
                <w:lang w:val="hy-AM"/>
              </w:rPr>
            </w:pPr>
          </w:p>
          <w:p w:rsidR="00530B14" w:rsidRPr="0053423A" w:rsidRDefault="00530B14" w:rsidP="00A67858">
            <w:pPr>
              <w:spacing w:line="276" w:lineRule="auto"/>
              <w:jc w:val="center"/>
              <w:rPr>
                <w:rFonts w:cs="Arial"/>
                <w:b/>
                <w:u w:val="single"/>
                <w:lang w:val="hy-AM"/>
              </w:rPr>
            </w:pPr>
            <w:r w:rsidRPr="0053423A">
              <w:rPr>
                <w:b/>
                <w:u w:val="single"/>
                <w:lang w:val="hy-AM"/>
              </w:rPr>
              <w:t xml:space="preserve">10.1 </w:t>
            </w:r>
            <w:r w:rsidRPr="0053423A">
              <w:rPr>
                <w:rFonts w:eastAsia="Merriweather" w:cs="Merriweather"/>
                <w:b/>
                <w:u w:val="single"/>
                <w:lang w:val="hy-AM"/>
              </w:rPr>
              <w:t xml:space="preserve">Շրջակա միջավայրի վրա ազդեցության գնահատման և փորձաքննության մասին ՀՀ օրենքում լրացումներ և փոփոխություններ կատարելու մասին ՀՀ օրենքի </w:t>
            </w:r>
            <w:r w:rsidRPr="0053423A">
              <w:rPr>
                <w:rFonts w:cs="Arial"/>
                <w:b/>
                <w:u w:val="single"/>
                <w:lang w:val="hy-AM"/>
              </w:rPr>
              <w:t>նախագիծը վարչապետի աշխատակազմ ներկայացնելը</w:t>
            </w:r>
          </w:p>
          <w:p w:rsidR="00530B14" w:rsidRPr="0053423A" w:rsidRDefault="00530B14" w:rsidP="00A67858">
            <w:pPr>
              <w:spacing w:line="276" w:lineRule="auto"/>
              <w:jc w:val="center"/>
              <w:rPr>
                <w:rFonts w:cs="Arial"/>
                <w:b/>
                <w:u w:val="single"/>
                <w:lang w:val="hy-AM"/>
              </w:rPr>
            </w:pPr>
          </w:p>
          <w:p w:rsidR="00530B14" w:rsidRPr="0053423A" w:rsidRDefault="00530B14" w:rsidP="00A67858">
            <w:pPr>
              <w:pStyle w:val="ListParagraph"/>
              <w:numPr>
                <w:ilvl w:val="0"/>
                <w:numId w:val="29"/>
              </w:numPr>
              <w:spacing w:line="276" w:lineRule="auto"/>
              <w:jc w:val="both"/>
              <w:rPr>
                <w:rFonts w:cs="Sylfaen"/>
                <w:lang w:val="hy-AM"/>
              </w:rPr>
            </w:pPr>
            <w:r w:rsidRPr="0053423A">
              <w:rPr>
                <w:b/>
                <w:i/>
                <w:lang w:val="hy-AM"/>
              </w:rPr>
              <w:t xml:space="preserve">Միջոցառման իրակացման անհրաժեշտությունը և նպատակը </w:t>
            </w:r>
          </w:p>
          <w:p w:rsidR="00530B14" w:rsidRPr="0053423A" w:rsidRDefault="00232EB0" w:rsidP="00A67858">
            <w:pPr>
              <w:spacing w:line="276" w:lineRule="auto"/>
              <w:ind w:firstLine="375"/>
              <w:jc w:val="both"/>
              <w:rPr>
                <w:rFonts w:eastAsia="Merriweather" w:cs="Merriweather"/>
                <w:lang w:val="hy-AM"/>
              </w:rPr>
            </w:pPr>
            <w:r w:rsidRPr="0053423A">
              <w:rPr>
                <w:rFonts w:eastAsia="Merriweather" w:cs="Merriweather"/>
                <w:lang w:val="hy-AM"/>
              </w:rPr>
              <w:t>Միջո</w:t>
            </w:r>
            <w:r w:rsidR="00530B14" w:rsidRPr="0053423A">
              <w:rPr>
                <w:rFonts w:eastAsia="Merriweather" w:cs="Merriweather"/>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Շրջակա միջավայրի վրա ազդեցության փորձաքնական գործընթացի արդյունավետ իրականացում  ուղղությունը:</w:t>
            </w:r>
          </w:p>
          <w:p w:rsidR="00530B14" w:rsidRPr="0053423A" w:rsidRDefault="00530B14" w:rsidP="00A67858">
            <w:pPr>
              <w:spacing w:line="276" w:lineRule="auto"/>
              <w:ind w:firstLine="375"/>
              <w:jc w:val="both"/>
              <w:rPr>
                <w:rFonts w:eastAsia="Merriweather" w:cs="Merriweather"/>
                <w:lang w:val="hy-AM"/>
              </w:rPr>
            </w:pPr>
            <w:r w:rsidRPr="0053423A">
              <w:rPr>
                <w:rFonts w:eastAsia="Merriweather" w:cs="Merriweather"/>
                <w:lang w:val="hy-AM"/>
              </w:rPr>
              <w:t xml:space="preserve">ՄԱԿ-ի ԵՏՀ քարտուղարության կողմից տրամադրված  կարողությունների զարգացմանն ուղղված աջակցությամբ, Հայաստանը իրականացրել  է  Ռազմավարական էկոլոգիական գնահատման ՌԷԳ արձանագրության դրույթների համապատասխանեցումը ազգային օրենսդրության դրույթներին, ազգային փորձի զարգացումը, ՌէԳ ուղեցույցների մշակումը, ՌԷԳ-ի արդյունավետ իրականացումը Հայաստանի Հանրապետությունում ծրագիրը, որի նպատակն էր Էսպո կոնվենցիայի և արձանագրության կիրարկման ապահովումը: </w:t>
            </w:r>
          </w:p>
          <w:p w:rsidR="00530B14" w:rsidRPr="0053423A" w:rsidRDefault="00530B14" w:rsidP="00A67858">
            <w:pPr>
              <w:spacing w:line="276" w:lineRule="auto"/>
              <w:ind w:firstLine="375"/>
              <w:rPr>
                <w:b/>
                <w:lang w:val="hy-AM"/>
              </w:rPr>
            </w:pPr>
            <w:r w:rsidRPr="0053423A">
              <w:rPr>
                <w:b/>
                <w:lang w:val="hy-AM"/>
              </w:rPr>
              <w:t xml:space="preserve">1.1. կարգավորման հարաբերությունների ներկա վիճակը և առկա խնդիրները </w:t>
            </w:r>
          </w:p>
          <w:p w:rsidR="00530B14" w:rsidRPr="0053423A" w:rsidRDefault="00530B14" w:rsidP="00A67858">
            <w:pPr>
              <w:spacing w:line="276" w:lineRule="auto"/>
              <w:ind w:firstLine="375"/>
              <w:jc w:val="both"/>
              <w:rPr>
                <w:rFonts w:eastAsia="Merriweather" w:cs="Merriweather"/>
                <w:lang w:val="hy-AM"/>
              </w:rPr>
            </w:pPr>
            <w:r w:rsidRPr="0053423A">
              <w:rPr>
                <w:rFonts w:eastAsia="Merriweather" w:cs="Merriweather"/>
                <w:lang w:val="hy-AM"/>
              </w:rPr>
              <w:t>Մշակվել է Շրջակա միջավայրի վրա ազդեցության գնահատման և փորձաքննության մասին ՀՀ օրենքի փոփոխությունների նախագիծը,  Օրենքի նախագիծը 2017թ.դեկտեմբերի 26-ին ներկայացվել է ՀՀ կառավարության քննարկմանը: ՀՀ կառավարության  կողմից ստացվել են առաջարկություններ և դիտողություններ, այժմ կատարվում են նախագծի վերանայման աշխատանքները:</w:t>
            </w:r>
          </w:p>
          <w:p w:rsidR="00530B14" w:rsidRPr="0053423A" w:rsidRDefault="00530B14" w:rsidP="00A67858">
            <w:pPr>
              <w:spacing w:line="276" w:lineRule="auto"/>
              <w:ind w:firstLine="375"/>
              <w:jc w:val="both"/>
              <w:rPr>
                <w:bCs/>
                <w:lang w:val="hy-AM"/>
              </w:rPr>
            </w:pPr>
            <w:r w:rsidRPr="0053423A">
              <w:rPr>
                <w:b/>
                <w:lang w:val="hy-AM"/>
              </w:rPr>
              <w:t xml:space="preserve">1.2. առկա խնդիրների առաջարկվող լուծումները </w:t>
            </w:r>
          </w:p>
          <w:p w:rsidR="00530B14" w:rsidRPr="0053423A" w:rsidRDefault="00530B14" w:rsidP="00A67858">
            <w:pPr>
              <w:spacing w:line="276" w:lineRule="auto"/>
              <w:ind w:firstLine="375"/>
              <w:jc w:val="both"/>
              <w:rPr>
                <w:rFonts w:eastAsia="Merriweather" w:cs="Merriweather"/>
                <w:color w:val="FF0000"/>
                <w:lang w:val="hy-AM"/>
              </w:rPr>
            </w:pPr>
            <w:r w:rsidRPr="0053423A">
              <w:rPr>
                <w:rFonts w:eastAsia="Merriweather" w:cs="Merriweather"/>
                <w:lang w:val="hy-AM"/>
              </w:rPr>
              <w:t>Շրջակա միջավայրի վրա ազդեցության գնահատման և փորձաքննության մասին ՀՀ օրենքի փոփոխությունների նախագծի վերանայում և ՀՀ կառավարության քննարկմանը ներկայացում:</w:t>
            </w:r>
            <w:r w:rsidRPr="0053423A">
              <w:rPr>
                <w:rFonts w:eastAsia="Merriweather" w:cs="Merriweather"/>
                <w:color w:val="FF0000"/>
                <w:lang w:val="hy-AM"/>
              </w:rPr>
              <w:t xml:space="preserve"> </w:t>
            </w:r>
          </w:p>
          <w:p w:rsidR="00530B14" w:rsidRPr="0053423A" w:rsidRDefault="00B009C2" w:rsidP="00A67858">
            <w:pPr>
              <w:pStyle w:val="ListParagraph"/>
              <w:numPr>
                <w:ilvl w:val="0"/>
                <w:numId w:val="29"/>
              </w:numPr>
              <w:spacing w:line="276" w:lineRule="auto"/>
              <w:ind w:hanging="181"/>
              <w:jc w:val="both"/>
              <w:rPr>
                <w:b/>
                <w:i/>
                <w:lang w:val="hy-AM"/>
              </w:rPr>
            </w:pPr>
            <w:r w:rsidRPr="0053423A">
              <w:rPr>
                <w:b/>
                <w:i/>
                <w:lang w:val="hy-AM"/>
              </w:rPr>
              <w:t xml:space="preserve"> </w:t>
            </w:r>
            <w:r w:rsidR="00530B14" w:rsidRPr="0053423A">
              <w:rPr>
                <w:b/>
                <w:i/>
                <w:lang w:val="hy-AM"/>
              </w:rPr>
              <w:t>Միջոցառման իրականացումից ակնկալվող արդյունքը</w:t>
            </w:r>
          </w:p>
          <w:p w:rsidR="00530B14" w:rsidRPr="0053423A" w:rsidRDefault="00530B14" w:rsidP="00A67858">
            <w:pPr>
              <w:pStyle w:val="ListParagraph"/>
              <w:spacing w:line="276" w:lineRule="auto"/>
              <w:ind w:left="0" w:firstLine="284"/>
              <w:jc w:val="both"/>
              <w:rPr>
                <w:lang w:val="hy-AM"/>
              </w:rPr>
            </w:pPr>
            <w:r w:rsidRPr="0053423A">
              <w:rPr>
                <w:lang w:val="hy-AM"/>
              </w:rPr>
              <w:t xml:space="preserve">Օրենքի հասկացությունները կհամապատասխանեցվի Կոնվենցիաների հասկացություններին: </w:t>
            </w:r>
          </w:p>
          <w:p w:rsidR="00530B14" w:rsidRPr="0053423A" w:rsidRDefault="00530B14" w:rsidP="00A67858">
            <w:pPr>
              <w:pStyle w:val="ListParagraph"/>
              <w:spacing w:line="276" w:lineRule="auto"/>
              <w:ind w:left="0" w:firstLine="284"/>
              <w:jc w:val="both"/>
              <w:rPr>
                <w:lang w:val="hy-AM"/>
              </w:rPr>
            </w:pPr>
            <w:r w:rsidRPr="0053423A">
              <w:rPr>
                <w:lang w:val="hy-AM"/>
              </w:rPr>
              <w:t>Օրենքի գնահատման և փորձաքննության սկզբունքներում կկատարվեն համապատասխան փոփոխություններ:</w:t>
            </w:r>
          </w:p>
          <w:p w:rsidR="00530B14" w:rsidRPr="0053423A" w:rsidRDefault="00530B14" w:rsidP="00A67858">
            <w:pPr>
              <w:pStyle w:val="ListParagraph"/>
              <w:spacing w:line="276" w:lineRule="auto"/>
              <w:ind w:left="0" w:firstLine="284"/>
              <w:jc w:val="both"/>
              <w:rPr>
                <w:rFonts w:cs="Sylfaen"/>
                <w:lang w:val="hy-AM"/>
              </w:rPr>
            </w:pPr>
            <w:r w:rsidRPr="0053423A">
              <w:rPr>
                <w:rFonts w:cs="Sylfaen"/>
                <w:lang w:val="hy-AM"/>
              </w:rPr>
              <w:t>Գործունեությունների ցանկում /14-րդ հոդված/, առաջարկվել են կոնվենցիաներում ամրագրված մի քանի գործունեության տեսակներ: Օրենքում կներառվի է Ձեռնարկողի նախաձեռնությամբ փորձաքննության իրականացման հնարավորությունը և այլն: ՌԷԳ -ը կառանձնացվի ՇՄԱԳ-ից և կներկայացվի առանձին գլխով: Օրենքում կամրագրվեն ՌԷԳ ենթակա լինելու մեխանիզմները, համաձայն արձանագրության դրույթների: Փորձաքննության ենթակա հիմնադրութային փաստաթղթերի ցանկից կհանվեն բնապահպանության և առողջապահության ոլորտները: Ամբողջովին նոր խմբագրմամբ կներկայացվի Հանրային ծանուցման և քննարկումների իրականացման  հոդվածը:</w:t>
            </w:r>
          </w:p>
          <w:p w:rsidR="00530B14" w:rsidRPr="0053423A" w:rsidRDefault="00530B14" w:rsidP="00A67858">
            <w:pPr>
              <w:pStyle w:val="ListParagraph"/>
              <w:spacing w:line="276" w:lineRule="auto"/>
              <w:ind w:left="0" w:firstLine="426"/>
              <w:jc w:val="both"/>
              <w:rPr>
                <w:rFonts w:eastAsia="Merriweather" w:cs="Merriweather"/>
                <w:lang w:val="hy-AM"/>
              </w:rPr>
            </w:pPr>
            <w:r w:rsidRPr="0053423A">
              <w:rPr>
                <w:lang w:val="hy-AM"/>
              </w:rPr>
              <w:t xml:space="preserve">Միջոցառման իրականացման արդյունքում գործընթացները կմոտարկվեն միջազգային չափորոշիչներին, կկարգավորվի Ռազմավարական էկոլոգիական գնահատման /ՌԷԳ/ և </w:t>
            </w:r>
            <w:r w:rsidRPr="0053423A">
              <w:rPr>
                <w:rFonts w:eastAsia="Merriweather" w:cs="Merriweather"/>
                <w:lang w:val="hy-AM"/>
              </w:rPr>
              <w:t>Շրջակա միջավայրի վրա ազդեցության գնահատման /ՇՄԱԳ/ գործընթացները:</w:t>
            </w:r>
          </w:p>
          <w:p w:rsidR="00530B14" w:rsidRPr="0053423A" w:rsidRDefault="00530B14" w:rsidP="00A67858">
            <w:pPr>
              <w:pStyle w:val="ListParagraph"/>
              <w:spacing w:line="276" w:lineRule="auto"/>
              <w:ind w:left="0" w:firstLine="426"/>
              <w:jc w:val="both"/>
              <w:rPr>
                <w:rFonts w:eastAsia="Merriweather" w:cs="Merriweather"/>
                <w:lang w:val="hy-AM"/>
              </w:rPr>
            </w:pPr>
            <w:r w:rsidRPr="0053423A">
              <w:rPr>
                <w:rFonts w:eastAsia="Merriweather" w:cs="Merriweather"/>
                <w:lang w:val="hy-AM"/>
              </w:rPr>
              <w:t>Գործընթացները կհամապատասխանեցվեն Հայաստանի Հանրապետության կողմից վավերացված միջազգային կոնվենցիաների դրույթներին:</w:t>
            </w:r>
          </w:p>
          <w:p w:rsidR="00530B14" w:rsidRPr="0053423A" w:rsidRDefault="00530B14" w:rsidP="00A67858">
            <w:pPr>
              <w:pStyle w:val="ListParagraph"/>
              <w:spacing w:line="276" w:lineRule="auto"/>
              <w:ind w:left="0" w:firstLine="426"/>
              <w:jc w:val="both"/>
              <w:rPr>
                <w:rFonts w:eastAsia="Merriweather" w:cs="Merriweather"/>
                <w:lang w:val="hy-AM"/>
              </w:rPr>
            </w:pPr>
            <w:r w:rsidRPr="0053423A">
              <w:rPr>
                <w:rFonts w:eastAsia="Merriweather" w:cs="Merriweather"/>
                <w:lang w:val="hy-AM"/>
              </w:rPr>
              <w:t>Միջոցառումների իրականացման արդյունքում կկարգավորվեն Օրենքով դեռևս չկարգավորված  գործընթացները, ինչը կորոշակիացնի և թափանցիկ կդարձնի շրջակա միջավայրի վրա ազդեցության գնահատման և փորձաքննության գործընթացները, կհեշտացնի Ձեռնարկողների և ոլորտի կառավարումն իրականացնող մարմինների աշխատանքը:</w:t>
            </w:r>
          </w:p>
          <w:p w:rsidR="00530B14" w:rsidRPr="0053423A" w:rsidRDefault="00530B14" w:rsidP="00A67858">
            <w:pPr>
              <w:pStyle w:val="ListParagraph"/>
              <w:spacing w:line="276" w:lineRule="auto"/>
              <w:ind w:left="0" w:firstLine="426"/>
              <w:jc w:val="both"/>
              <w:rPr>
                <w:rFonts w:eastAsia="Merriweather" w:cs="Merriweather"/>
                <w:lang w:val="hy-AM"/>
              </w:rPr>
            </w:pPr>
          </w:p>
          <w:p w:rsidR="00530B14" w:rsidRPr="0053423A" w:rsidRDefault="00530B14" w:rsidP="00A67858">
            <w:pPr>
              <w:spacing w:line="276" w:lineRule="auto"/>
              <w:jc w:val="center"/>
              <w:rPr>
                <w:rFonts w:eastAsia="Merriweather" w:cs="Merriweather"/>
                <w:b/>
                <w:u w:val="single"/>
                <w:lang w:val="hy-AM"/>
              </w:rPr>
            </w:pPr>
            <w:r w:rsidRPr="0053423A">
              <w:rPr>
                <w:b/>
                <w:bCs/>
                <w:u w:val="single"/>
                <w:lang w:val="hy-AM"/>
              </w:rPr>
              <w:t xml:space="preserve">10.2 </w:t>
            </w:r>
            <w:r w:rsidRPr="0053423A">
              <w:rPr>
                <w:rFonts w:eastAsia="Merriweather" w:cs="Merriweather"/>
                <w:b/>
                <w:u w:val="single"/>
                <w:lang w:val="hy-AM"/>
              </w:rPr>
              <w:t xml:space="preserve">Ռազմավարական էկոլոգիական գնահատման իրականացման կարգը սահմանելու մասին Կառավարության որոշման </w:t>
            </w:r>
            <w:r w:rsidRPr="0053423A">
              <w:rPr>
                <w:rFonts w:cs="Arial"/>
                <w:b/>
                <w:u w:val="single"/>
                <w:lang w:val="hy-AM"/>
              </w:rPr>
              <w:t>նախագիծը վարչապետի աշխատակազմ ներկայացնելը</w:t>
            </w:r>
            <w:r w:rsidRPr="0053423A">
              <w:rPr>
                <w:rFonts w:eastAsia="Merriweather" w:cs="Merriweather"/>
                <w:b/>
                <w:u w:val="single"/>
                <w:lang w:val="hy-AM"/>
              </w:rPr>
              <w:t></w:t>
            </w:r>
          </w:p>
          <w:p w:rsidR="00530B14" w:rsidRPr="0053423A" w:rsidRDefault="00530B14" w:rsidP="00A67858">
            <w:pPr>
              <w:spacing w:line="276" w:lineRule="auto"/>
              <w:jc w:val="center"/>
              <w:rPr>
                <w:rFonts w:eastAsia="Merriweather" w:cs="Merriweather"/>
                <w:b/>
                <w:u w:val="single"/>
                <w:lang w:val="hy-AM"/>
              </w:rPr>
            </w:pPr>
          </w:p>
          <w:p w:rsidR="00530B14" w:rsidRPr="0053423A" w:rsidRDefault="00530B14" w:rsidP="00A67858">
            <w:pPr>
              <w:pStyle w:val="ListParagraph"/>
              <w:numPr>
                <w:ilvl w:val="0"/>
                <w:numId w:val="28"/>
              </w:numPr>
              <w:spacing w:line="276" w:lineRule="auto"/>
              <w:rPr>
                <w:b/>
                <w:i/>
                <w:lang w:val="hy-AM"/>
              </w:rPr>
            </w:pPr>
            <w:r w:rsidRPr="0053423A">
              <w:rPr>
                <w:b/>
                <w:i/>
                <w:lang w:val="hy-AM"/>
              </w:rPr>
              <w:t xml:space="preserve">Միջոցառման իրակացման անհրաժեշտությունը և նպատակը </w:t>
            </w:r>
          </w:p>
          <w:p w:rsidR="00530B14" w:rsidRPr="0053423A" w:rsidRDefault="00530B14" w:rsidP="00A67858">
            <w:pPr>
              <w:pStyle w:val="ListParagraph"/>
              <w:spacing w:line="276" w:lineRule="auto"/>
              <w:ind w:left="426"/>
              <w:jc w:val="both"/>
              <w:rPr>
                <w:b/>
                <w:lang w:val="hy-AM"/>
              </w:rPr>
            </w:pPr>
            <w:r w:rsidRPr="0053423A">
              <w:rPr>
                <w:b/>
                <w:lang w:val="hy-AM"/>
              </w:rPr>
              <w:t xml:space="preserve">1.1. կարգավորման հարաբերությունների ներկա վիճակը և առկա խնդիրները </w:t>
            </w:r>
          </w:p>
          <w:p w:rsidR="00530B14" w:rsidRPr="0053423A" w:rsidRDefault="00232EB0" w:rsidP="00A67858">
            <w:pPr>
              <w:spacing w:line="276" w:lineRule="auto"/>
              <w:ind w:firstLine="426"/>
              <w:jc w:val="both"/>
              <w:rPr>
                <w:rFonts w:cs="GHEA Grapalat"/>
                <w:color w:val="000000" w:themeColor="text1"/>
                <w:lang w:val="hy-AM"/>
              </w:rPr>
            </w:pPr>
            <w:r w:rsidRPr="0053423A">
              <w:rPr>
                <w:rFonts w:eastAsia="Merriweather" w:cs="Merriweather"/>
                <w:lang w:val="hy-AM"/>
              </w:rPr>
              <w:t>Միջո</w:t>
            </w:r>
            <w:r w:rsidR="00530B14" w:rsidRPr="0053423A">
              <w:rPr>
                <w:rFonts w:eastAsia="Merriweather" w:cs="Merriweather"/>
                <w:lang w:val="hy-AM"/>
              </w:rPr>
              <w:t xml:space="preserve">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Շրջակա միջավայրի վրա ազդեցության փորձաքնական </w:t>
            </w:r>
            <w:r w:rsidR="00530B14" w:rsidRPr="0053423A">
              <w:rPr>
                <w:rFonts w:cs="GHEA Grapalat"/>
                <w:color w:val="000000" w:themeColor="text1"/>
                <w:lang w:val="hy-AM"/>
              </w:rPr>
              <w:t>գործընթացի արդյունավետ իրականացում  ուղղությունը, Շրջակա միջավայրի վրա ազդեցության գնահատման և փորձաքննության մասին ՀՀ օրենքի 4-րդ հոդվածի 1 մասի 16 կետը և Կառավարության կառուցվածքի և գործունեության մասին ՀՀ օրենքի հավելվածի 6-րդ կետի համաձայն:</w:t>
            </w:r>
          </w:p>
          <w:p w:rsidR="00530B14" w:rsidRPr="0053423A" w:rsidRDefault="00530B14" w:rsidP="00A67858">
            <w:pPr>
              <w:pStyle w:val="ListParagraph"/>
              <w:spacing w:line="276" w:lineRule="auto"/>
              <w:ind w:left="0" w:firstLine="426"/>
              <w:jc w:val="both"/>
              <w:rPr>
                <w:lang w:val="hy-AM"/>
              </w:rPr>
            </w:pPr>
            <w:r w:rsidRPr="0053423A">
              <w:rPr>
                <w:rFonts w:eastAsia="Merriweather" w:cs="Merriweather"/>
                <w:lang w:val="hy-AM"/>
              </w:rPr>
              <w:t>ՄԱԿ-ի ԵՏՀ քարտուղարության կողմից տրամադրված  կարողությունների զարգացմանն ուղղված աջակցությամբ, Հայաստանը իրականացրել է  Ռազմավարական էկոլոգիական գնահատման</w:t>
            </w:r>
            <w:r w:rsidRPr="0053423A">
              <w:rPr>
                <w:rFonts w:eastAsia="Merriweather" w:cs="Merriweather"/>
                <w:b/>
                <w:lang w:val="hy-AM"/>
              </w:rPr>
              <w:t xml:space="preserve"> </w:t>
            </w:r>
            <w:r w:rsidRPr="0053423A">
              <w:rPr>
                <w:rFonts w:eastAsia="Merriweather" w:cs="Merriweather"/>
                <w:lang w:val="hy-AM"/>
              </w:rPr>
              <w:t xml:space="preserve">ՌԷԳ արձանագրության դրույթների համապատասխանեցումը ազգային օրենսդրության դրույթներին, ազգային փորձի զարգացումը, ՌէԳ ուղեցույցերի մշակումը, ՌԷԳ-ի արդյունավետ իրականացումը Հայաստանի Հանրապետությունում ծրագիրը, որի նպատակն էր Էսպո կոնվենցիայի և արձանագրության կիրարկման ապահովումը: </w:t>
            </w:r>
          </w:p>
          <w:p w:rsidR="00530B14" w:rsidRPr="0053423A" w:rsidRDefault="00530B14" w:rsidP="00A67858">
            <w:pPr>
              <w:spacing w:line="276" w:lineRule="auto"/>
              <w:ind w:firstLine="426"/>
              <w:jc w:val="both"/>
              <w:rPr>
                <w:rFonts w:eastAsia="Merriweather" w:cs="Merriweather"/>
                <w:lang w:val="hy-AM"/>
              </w:rPr>
            </w:pPr>
            <w:r w:rsidRPr="0053423A">
              <w:rPr>
                <w:rFonts w:eastAsia="Merriweather" w:cs="Merriweather"/>
                <w:lang w:val="hy-AM"/>
              </w:rPr>
              <w:t>Մշակվել է ՌԷԳ իրականացման կարգը սահմանելու մասին ՀՀ կառավարության որոշման նախագիծը: Այժմ կատարվում են նախագծի վերանայման աշխատանքները:</w:t>
            </w:r>
          </w:p>
          <w:p w:rsidR="00530B14" w:rsidRPr="0053423A" w:rsidRDefault="00530B14" w:rsidP="00A67858">
            <w:pPr>
              <w:spacing w:line="276" w:lineRule="auto"/>
              <w:ind w:firstLine="426"/>
              <w:jc w:val="both"/>
              <w:rPr>
                <w:b/>
                <w:bCs/>
                <w:lang w:val="hy-AM"/>
              </w:rPr>
            </w:pPr>
            <w:r w:rsidRPr="0053423A">
              <w:rPr>
                <w:b/>
                <w:lang w:val="hy-AM"/>
              </w:rPr>
              <w:t xml:space="preserve">1.2. առկա խնդիրների առաջարկվող լուծումները </w:t>
            </w:r>
          </w:p>
          <w:p w:rsidR="00530B14" w:rsidRPr="0053423A" w:rsidRDefault="00530B14" w:rsidP="00A67858">
            <w:pPr>
              <w:spacing w:line="276" w:lineRule="auto"/>
              <w:ind w:firstLine="426"/>
              <w:jc w:val="both"/>
              <w:rPr>
                <w:rFonts w:eastAsia="Merriweather" w:cs="Merriweather"/>
                <w:color w:val="FF0000"/>
                <w:lang w:val="hy-AM"/>
              </w:rPr>
            </w:pPr>
            <w:r w:rsidRPr="0053423A">
              <w:rPr>
                <w:rFonts w:eastAsia="Merriweather" w:cs="Merriweather"/>
                <w:lang w:val="hy-AM"/>
              </w:rPr>
              <w:t>Ռազմավարական էկոլոգիական գնահատման իրականացման կարգը սահմանելու մասին Կառավարության որոշման նախագծի  վերանայում և ՀՀ կառավարության քննարկմանը ներկայացում:</w:t>
            </w:r>
            <w:r w:rsidRPr="0053423A">
              <w:rPr>
                <w:rFonts w:eastAsia="Merriweather" w:cs="Merriweather"/>
                <w:color w:val="FF0000"/>
                <w:lang w:val="hy-AM"/>
              </w:rPr>
              <w:t xml:space="preserve"> </w:t>
            </w:r>
          </w:p>
          <w:p w:rsidR="00530B14" w:rsidRPr="0053423A" w:rsidRDefault="00530B14" w:rsidP="00A67858">
            <w:pPr>
              <w:pStyle w:val="ListParagraph"/>
              <w:numPr>
                <w:ilvl w:val="0"/>
                <w:numId w:val="28"/>
              </w:numPr>
              <w:spacing w:line="276" w:lineRule="auto"/>
              <w:ind w:left="0" w:firstLine="426"/>
              <w:jc w:val="both"/>
              <w:rPr>
                <w:b/>
                <w:i/>
                <w:lang w:val="hy-AM"/>
              </w:rPr>
            </w:pPr>
            <w:r w:rsidRPr="0053423A">
              <w:rPr>
                <w:b/>
                <w:i/>
                <w:lang w:val="hy-AM"/>
              </w:rPr>
              <w:t>Միջոցառման իրականացումից ակնկալվող արդյունքը</w:t>
            </w:r>
          </w:p>
          <w:p w:rsidR="00530B14" w:rsidRPr="0053423A" w:rsidRDefault="00530B14" w:rsidP="00A67858">
            <w:pPr>
              <w:pStyle w:val="ListParagraph"/>
              <w:spacing w:line="276" w:lineRule="auto"/>
              <w:ind w:left="0" w:firstLine="720"/>
              <w:jc w:val="both"/>
              <w:rPr>
                <w:lang w:val="hy-AM"/>
              </w:rPr>
            </w:pPr>
            <w:r w:rsidRPr="0053423A">
              <w:rPr>
                <w:lang w:val="hy-AM"/>
              </w:rPr>
              <w:t xml:space="preserve">ՌԷԳ գործընթացը կհանվի </w:t>
            </w:r>
            <w:r w:rsidRPr="0053423A">
              <w:rPr>
                <w:rFonts w:eastAsia="Merriweather" w:cs="Merriweather"/>
                <w:lang w:val="hy-AM"/>
              </w:rPr>
              <w:t>Շրջակա միջավայրի վրա ազդեցության գնահատման և փորձաքննության մասին ՀՀ օրենքից</w:t>
            </w:r>
            <w:r w:rsidRPr="0053423A">
              <w:rPr>
                <w:lang w:val="hy-AM"/>
              </w:rPr>
              <w:t xml:space="preserve">, ինչի արդյունքում Օրենքը կպարզեցվի: </w:t>
            </w:r>
          </w:p>
          <w:p w:rsidR="00530B14" w:rsidRPr="0053423A" w:rsidRDefault="00530B14" w:rsidP="00A67858">
            <w:pPr>
              <w:pStyle w:val="ListParagraph"/>
              <w:spacing w:line="276" w:lineRule="auto"/>
              <w:ind w:left="0" w:firstLine="720"/>
              <w:jc w:val="both"/>
              <w:rPr>
                <w:rFonts w:cs="Sylfaen"/>
                <w:lang w:val="hy-AM"/>
              </w:rPr>
            </w:pPr>
            <w:r w:rsidRPr="0053423A">
              <w:rPr>
                <w:rFonts w:cs="Sylfaen"/>
                <w:lang w:val="hy-AM"/>
              </w:rPr>
              <w:t xml:space="preserve">Կպարզեցվի նաև բոլոր ոլորտների հիմնադրութային փաստաթղթերի փորձաքննությունը՝ այն կիրականացվի միայն հաշվետվության փուլում: Կպարզեցվեն  քաղաքաշինության ոլորտի փոքր տարածքների պլանավորման փաստաթղթերի փորձաքննական գործընթացը: </w:t>
            </w:r>
          </w:p>
          <w:p w:rsidR="00530B14" w:rsidRPr="0053423A" w:rsidRDefault="00530B14" w:rsidP="00A67858">
            <w:pPr>
              <w:pStyle w:val="ListParagraph"/>
              <w:spacing w:line="276" w:lineRule="auto"/>
              <w:ind w:left="0" w:firstLine="720"/>
              <w:jc w:val="both"/>
              <w:rPr>
                <w:rFonts w:eastAsia="Merriweather" w:cs="Merriweather"/>
                <w:lang w:val="hy-AM"/>
              </w:rPr>
            </w:pPr>
            <w:r w:rsidRPr="0053423A">
              <w:rPr>
                <w:lang w:val="hy-AM"/>
              </w:rPr>
              <w:t xml:space="preserve">Միջոցառման արդյունքում կկարգավորվի Ռազմավարական էկոլոգիական գնահատման /ՌԷԳ/ </w:t>
            </w:r>
            <w:r w:rsidRPr="0053423A">
              <w:rPr>
                <w:rFonts w:eastAsia="Merriweather" w:cs="Merriweather"/>
                <w:lang w:val="hy-AM"/>
              </w:rPr>
              <w:t>գործընթացը,</w:t>
            </w:r>
            <w:r w:rsidRPr="0053423A">
              <w:rPr>
                <w:lang w:val="hy-AM"/>
              </w:rPr>
              <w:t xml:space="preserve"> կմոտարկվի միջազգային չափորոշիչներին</w:t>
            </w:r>
            <w:r w:rsidRPr="0053423A">
              <w:rPr>
                <w:rFonts w:eastAsia="Merriweather" w:cs="Merriweather"/>
                <w:lang w:val="hy-AM"/>
              </w:rPr>
              <w:t xml:space="preserve"> և կհամապատասխանեցվի Հայաստանի Հանրապետության կողմից վավերացված միջազգային կոնվենցիաների դրույթներին, ինչը որոշակի և թափանցիկ կդարձնի նաև փորձաքննության գործընթացը, կհեշտացնի Ձեռնարկողների և ոլորտի կառավարումն իրականացնող մարմինների աշխատանքը:</w:t>
            </w:r>
          </w:p>
          <w:p w:rsidR="00530B14" w:rsidRPr="0053423A" w:rsidRDefault="00530B14" w:rsidP="00A67858">
            <w:pPr>
              <w:pStyle w:val="ListParagraph"/>
              <w:spacing w:line="276" w:lineRule="auto"/>
              <w:ind w:left="0" w:firstLine="720"/>
              <w:jc w:val="both"/>
              <w:rPr>
                <w:rFonts w:eastAsia="Merriweather" w:cs="Merriweather"/>
                <w:lang w:val="hy-AM"/>
              </w:rPr>
            </w:pPr>
          </w:p>
          <w:p w:rsidR="00530B14" w:rsidRPr="0053423A" w:rsidRDefault="00530B14" w:rsidP="00A67858">
            <w:pPr>
              <w:spacing w:line="276" w:lineRule="auto"/>
              <w:jc w:val="center"/>
              <w:rPr>
                <w:b/>
                <w:u w:val="single"/>
                <w:lang w:val="hy-AM"/>
              </w:rPr>
            </w:pPr>
            <w:r w:rsidRPr="0053423A">
              <w:rPr>
                <w:b/>
                <w:bCs/>
                <w:u w:val="single"/>
                <w:lang w:val="hy-AM"/>
              </w:rPr>
              <w:t xml:space="preserve">10.3 </w:t>
            </w:r>
            <w:r w:rsidRPr="0053423A">
              <w:rPr>
                <w:rFonts w:cs="GHEA Grapalat"/>
                <w:b/>
                <w:bCs/>
                <w:u w:val="single"/>
                <w:lang w:val="pt-BR"/>
              </w:rPr>
              <w:t>«</w:t>
            </w:r>
            <w:r w:rsidRPr="0053423A">
              <w:rPr>
                <w:rStyle w:val="Strong"/>
                <w:color w:val="000000" w:themeColor="text1"/>
                <w:u w:val="single"/>
                <w:shd w:val="clear" w:color="auto" w:fill="FFFFFF"/>
                <w:lang w:val="hy-AM"/>
              </w:rPr>
              <w:t>Շրջակա միջավայրի և մարդու առողջության վրա ազդեցության հիմնական գնահատման</w:t>
            </w:r>
            <w:r w:rsidRPr="0053423A">
              <w:rPr>
                <w:color w:val="000000" w:themeColor="text1"/>
                <w:u w:val="single"/>
                <w:lang w:val="hy-AM"/>
              </w:rPr>
              <w:t xml:space="preserve"> </w:t>
            </w:r>
            <w:r w:rsidRPr="0053423A">
              <w:rPr>
                <w:b/>
                <w:color w:val="000000" w:themeColor="text1"/>
                <w:u w:val="single"/>
                <w:lang w:val="hy-AM"/>
              </w:rPr>
              <w:t>մեթոդիկան հաստատելու մասին</w:t>
            </w:r>
            <w:r w:rsidRPr="0053423A">
              <w:rPr>
                <w:b/>
                <w:u w:val="single"/>
                <w:lang w:val="hy-AM"/>
              </w:rPr>
              <w:t xml:space="preserve">» Կառավարության որոշման </w:t>
            </w:r>
            <w:r w:rsidRPr="0053423A">
              <w:rPr>
                <w:rFonts w:cs="Arial"/>
                <w:b/>
                <w:u w:val="single"/>
                <w:lang w:val="hy-AM"/>
              </w:rPr>
              <w:t>նախագիծը վարչապետի աշխատակազմ ներկայացնելը</w:t>
            </w:r>
            <w:r w:rsidRPr="0053423A">
              <w:rPr>
                <w:b/>
                <w:u w:val="single"/>
                <w:lang w:val="hy-AM"/>
              </w:rPr>
              <w:t></w:t>
            </w:r>
          </w:p>
          <w:p w:rsidR="00530B14" w:rsidRPr="0053423A" w:rsidRDefault="00530B14" w:rsidP="00A67858">
            <w:pPr>
              <w:spacing w:line="276" w:lineRule="auto"/>
              <w:jc w:val="center"/>
              <w:rPr>
                <w:b/>
                <w:u w:val="single"/>
                <w:lang w:val="hy-AM"/>
              </w:rPr>
            </w:pPr>
          </w:p>
          <w:p w:rsidR="00530B14" w:rsidRPr="0053423A" w:rsidRDefault="00530B14" w:rsidP="00A67858">
            <w:pPr>
              <w:pStyle w:val="ListParagraph"/>
              <w:numPr>
                <w:ilvl w:val="0"/>
                <w:numId w:val="21"/>
              </w:numPr>
              <w:spacing w:line="276" w:lineRule="auto"/>
              <w:jc w:val="both"/>
              <w:rPr>
                <w:b/>
                <w:i/>
              </w:rPr>
            </w:pPr>
            <w:r w:rsidRPr="0053423A">
              <w:rPr>
                <w:b/>
                <w:i/>
                <w:lang w:val="hy-AM"/>
              </w:rPr>
              <w:t>Միջոցառման իրակացման անհրաժեշտությունը և նպատակը</w:t>
            </w:r>
          </w:p>
          <w:p w:rsidR="00530B14" w:rsidRPr="0053423A" w:rsidRDefault="00530B14" w:rsidP="00A67858">
            <w:pPr>
              <w:spacing w:line="276" w:lineRule="auto"/>
              <w:ind w:left="375"/>
              <w:jc w:val="both"/>
            </w:pPr>
          </w:p>
          <w:p w:rsidR="00530B14" w:rsidRPr="0053423A" w:rsidRDefault="00530B14" w:rsidP="00A67858">
            <w:pPr>
              <w:pStyle w:val="ListParagraph"/>
              <w:spacing w:line="276" w:lineRule="auto"/>
              <w:ind w:left="0" w:firstLine="735"/>
              <w:jc w:val="both"/>
              <w:rPr>
                <w:rFonts w:cs="GHEA Grapalat"/>
                <w:bCs/>
                <w:lang w:val="pt-BR"/>
              </w:rPr>
            </w:pPr>
            <w:r w:rsidRPr="0053423A">
              <w:rPr>
                <w:b/>
                <w:lang w:val="hy-AM"/>
              </w:rPr>
              <w:t>1.1. կարգավորման հարաբերությունների ներկա վիճակը և առկա խնդիրները</w:t>
            </w:r>
            <w:r w:rsidRPr="0053423A">
              <w:rPr>
                <w:rFonts w:cs="GHEA Grapalat"/>
                <w:bCs/>
                <w:lang w:val="pt-BR"/>
              </w:rPr>
              <w:t xml:space="preserve">  </w:t>
            </w:r>
          </w:p>
          <w:p w:rsidR="00530B14" w:rsidRPr="0053423A" w:rsidRDefault="00232EB0" w:rsidP="00A67858">
            <w:pPr>
              <w:pStyle w:val="NormalWeb"/>
              <w:shd w:val="clear" w:color="auto" w:fill="FFFFFF"/>
              <w:tabs>
                <w:tab w:val="left" w:pos="3544"/>
              </w:tabs>
              <w:spacing w:before="0" w:beforeAutospacing="0" w:after="0" w:afterAutospacing="0" w:line="276" w:lineRule="auto"/>
              <w:ind w:firstLine="375"/>
              <w:jc w:val="both"/>
              <w:rPr>
                <w:rFonts w:ascii="GHEA Grapalat" w:hAnsi="GHEA Grapalat" w:cs="GHEA Grapalat"/>
                <w:bCs/>
                <w:sz w:val="20"/>
                <w:szCs w:val="20"/>
                <w:lang w:val="pt-BR"/>
              </w:rPr>
            </w:pPr>
            <w:r w:rsidRPr="0053423A">
              <w:rPr>
                <w:rFonts w:ascii="GHEA Grapalat" w:hAnsi="GHEA Grapalat" w:cs="GHEA Grapalat"/>
                <w:bCs/>
                <w:sz w:val="20"/>
                <w:szCs w:val="20"/>
                <w:lang w:val="pt-BR"/>
              </w:rPr>
              <w:t>Միջո</w:t>
            </w:r>
            <w:r w:rsidR="00530B14" w:rsidRPr="0053423A">
              <w:rPr>
                <w:rFonts w:ascii="GHEA Grapalat" w:hAnsi="GHEA Grapalat" w:cs="GHEA Grapalat"/>
                <w:bCs/>
                <w:sz w:val="20"/>
                <w:szCs w:val="20"/>
                <w:lang w:val="pt-BR"/>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Շրջակա միջավայրի վրա ազդեցության փորձաքնական գործընթացի արդյունավետ իրականացում ուղղությունը:</w:t>
            </w:r>
          </w:p>
          <w:p w:rsidR="00530B14" w:rsidRPr="0053423A" w:rsidRDefault="00530B14" w:rsidP="00A67858">
            <w:pPr>
              <w:pStyle w:val="NormalWeb"/>
              <w:shd w:val="clear" w:color="auto" w:fill="FFFFFF"/>
              <w:tabs>
                <w:tab w:val="left" w:pos="3544"/>
              </w:tabs>
              <w:spacing w:before="0" w:beforeAutospacing="0" w:after="0" w:afterAutospacing="0" w:line="276" w:lineRule="auto"/>
              <w:ind w:firstLine="375"/>
              <w:jc w:val="both"/>
              <w:rPr>
                <w:rFonts w:ascii="GHEA Grapalat" w:hAnsi="GHEA Grapalat" w:cs="GHEA Grapalat"/>
                <w:color w:val="000000" w:themeColor="text1"/>
                <w:sz w:val="20"/>
                <w:szCs w:val="20"/>
                <w:lang w:val="pt-BR"/>
              </w:rPr>
            </w:pPr>
            <w:r w:rsidRPr="0053423A">
              <w:rPr>
                <w:rFonts w:ascii="GHEA Grapalat" w:hAnsi="GHEA Grapalat" w:cs="GHEA Grapalat"/>
                <w:bCs/>
                <w:sz w:val="20"/>
                <w:szCs w:val="20"/>
                <w:lang w:val="pt-BR"/>
              </w:rPr>
              <w:t>«</w:t>
            </w:r>
            <w:r w:rsidRPr="0053423A">
              <w:rPr>
                <w:rStyle w:val="Strong"/>
                <w:rFonts w:ascii="GHEA Grapalat" w:hAnsi="GHEA Grapalat"/>
                <w:color w:val="000000" w:themeColor="text1"/>
                <w:sz w:val="20"/>
                <w:szCs w:val="20"/>
                <w:shd w:val="clear" w:color="auto" w:fill="FFFFFF"/>
                <w:lang w:val="hy-AM"/>
              </w:rPr>
              <w:t>Շրջակա միջավայրի և մարդու առողջության վրա ազդեցության հիմնական գնահատման</w:t>
            </w:r>
            <w:r w:rsidRPr="0053423A">
              <w:rPr>
                <w:rFonts w:ascii="GHEA Grapalat" w:hAnsi="GHEA Grapalat"/>
                <w:color w:val="000000" w:themeColor="text1"/>
                <w:sz w:val="20"/>
                <w:szCs w:val="20"/>
                <w:lang w:val="hy-AM"/>
              </w:rPr>
              <w:t xml:space="preserve"> մեթոդիկան հաստատելու մասին</w:t>
            </w:r>
            <w:r w:rsidRPr="0053423A">
              <w:rPr>
                <w:rFonts w:ascii="GHEA Grapalat" w:hAnsi="GHEA Grapalat"/>
                <w:sz w:val="20"/>
                <w:szCs w:val="20"/>
                <w:lang w:val="hy-AM"/>
              </w:rPr>
              <w:t xml:space="preserve">» Կառավարության որոշման նախագծի </w:t>
            </w:r>
            <w:r w:rsidRPr="0053423A">
              <w:rPr>
                <w:rFonts w:ascii="GHEA Grapalat" w:hAnsi="GHEA Grapalat" w:cs="GHEA Grapalat"/>
                <w:sz w:val="20"/>
                <w:szCs w:val="20"/>
                <w:lang w:val="hy-AM"/>
              </w:rPr>
              <w:t xml:space="preserve">մշակման անհրաժեշտությունը բխում է </w:t>
            </w:r>
            <w:r w:rsidRPr="0053423A">
              <w:rPr>
                <w:rFonts w:ascii="GHEA Grapalat" w:hAnsi="GHEA Grapalat" w:cs="Arial Unicode"/>
                <w:color w:val="000000"/>
                <w:sz w:val="20"/>
                <w:szCs w:val="20"/>
                <w:lang w:val="hy-AM"/>
              </w:rPr>
              <w:t xml:space="preserve">2014 թվականի </w:t>
            </w:r>
            <w:r w:rsidRPr="0053423A">
              <w:rPr>
                <w:rFonts w:ascii="GHEA Grapalat" w:hAnsi="GHEA Grapalat" w:cs="Arial Unicode"/>
                <w:color w:val="000000" w:themeColor="text1"/>
                <w:sz w:val="20"/>
                <w:szCs w:val="20"/>
                <w:lang w:val="hy-AM"/>
              </w:rPr>
              <w:t xml:space="preserve">հունիսի 21-ի </w:t>
            </w:r>
            <w:r w:rsidRPr="0053423A">
              <w:rPr>
                <w:rFonts w:ascii="GHEA Grapalat" w:hAnsi="GHEA Grapalat" w:cs="GHEA Grapalat"/>
                <w:color w:val="000000" w:themeColor="text1"/>
                <w:sz w:val="20"/>
                <w:szCs w:val="20"/>
                <w:lang w:val="hy-AM"/>
              </w:rPr>
              <w:t>«</w:t>
            </w:r>
            <w:r w:rsidRPr="0053423A">
              <w:rPr>
                <w:rStyle w:val="Strong"/>
                <w:rFonts w:ascii="GHEA Grapalat" w:hAnsi="GHEA Grapalat"/>
                <w:color w:val="000000" w:themeColor="text1"/>
                <w:sz w:val="20"/>
                <w:szCs w:val="20"/>
                <w:shd w:val="clear" w:color="auto" w:fill="FFFFFF"/>
                <w:lang w:val="hy-AM"/>
              </w:rPr>
              <w:t>Շրջակա միջավայրի վրա ազդեցության գնահատման և փորձաքննության մասին</w:t>
            </w:r>
            <w:r w:rsidRPr="0053423A">
              <w:rPr>
                <w:rFonts w:ascii="GHEA Grapalat" w:hAnsi="GHEA Grapalat" w:cs="GHEA Grapalat"/>
                <w:color w:val="000000" w:themeColor="text1"/>
                <w:sz w:val="20"/>
                <w:szCs w:val="20"/>
                <w:lang w:val="hy-AM"/>
              </w:rPr>
              <w:t>» ՀՀ օրենքի 17-րդ հոդվածի 3-րդ կետի</w:t>
            </w:r>
            <w:r w:rsidRPr="0053423A">
              <w:rPr>
                <w:rFonts w:ascii="GHEA Grapalat" w:hAnsi="GHEA Grapalat" w:cs="GHEA Grapalat"/>
                <w:sz w:val="20"/>
                <w:szCs w:val="20"/>
                <w:lang w:val="hy-AM"/>
              </w:rPr>
              <w:t xml:space="preserve"> </w:t>
            </w:r>
            <w:r w:rsidRPr="0053423A">
              <w:rPr>
                <w:rFonts w:ascii="GHEA Grapalat" w:hAnsi="GHEA Grapalat" w:cs="GHEA Grapalat"/>
                <w:color w:val="000000" w:themeColor="text1"/>
                <w:sz w:val="20"/>
                <w:szCs w:val="20"/>
                <w:lang w:val="hy-AM"/>
              </w:rPr>
              <w:t>պահանջից:</w:t>
            </w:r>
          </w:p>
          <w:p w:rsidR="00530B14" w:rsidRPr="0053423A" w:rsidRDefault="00530B14" w:rsidP="00A67858">
            <w:pPr>
              <w:pStyle w:val="NormalWeb"/>
              <w:shd w:val="clear" w:color="auto" w:fill="FFFFFF"/>
              <w:tabs>
                <w:tab w:val="left" w:pos="3544"/>
              </w:tabs>
              <w:spacing w:before="0" w:beforeAutospacing="0" w:after="0" w:afterAutospacing="0" w:line="276" w:lineRule="auto"/>
              <w:ind w:firstLine="375"/>
              <w:jc w:val="both"/>
              <w:rPr>
                <w:rFonts w:ascii="GHEA Grapalat" w:hAnsi="GHEA Grapalat"/>
                <w:color w:val="000000"/>
                <w:sz w:val="20"/>
                <w:szCs w:val="20"/>
                <w:lang w:val="pt-BR"/>
              </w:rPr>
            </w:pPr>
          </w:p>
          <w:p w:rsidR="00530B14" w:rsidRPr="0053423A" w:rsidRDefault="00530B14" w:rsidP="00A67858">
            <w:pPr>
              <w:pStyle w:val="ListParagraph"/>
              <w:numPr>
                <w:ilvl w:val="1"/>
                <w:numId w:val="21"/>
              </w:numPr>
              <w:spacing w:line="276" w:lineRule="auto"/>
              <w:ind w:left="823" w:hanging="90"/>
              <w:jc w:val="both"/>
              <w:rPr>
                <w:b/>
              </w:rPr>
            </w:pPr>
            <w:r w:rsidRPr="0053423A">
              <w:rPr>
                <w:b/>
                <w:lang w:val="hy-AM"/>
              </w:rPr>
              <w:t>Առկա խնդիրների առաջարկվող լուծումները</w:t>
            </w:r>
          </w:p>
          <w:p w:rsidR="00530B14" w:rsidRPr="0053423A" w:rsidRDefault="00530B14" w:rsidP="00A67858">
            <w:pPr>
              <w:pStyle w:val="ListParagraph"/>
              <w:spacing w:line="276" w:lineRule="auto"/>
              <w:ind w:left="0" w:firstLine="709"/>
              <w:jc w:val="both"/>
              <w:rPr>
                <w:lang w:val="hy-AM"/>
              </w:rPr>
            </w:pPr>
            <w:r w:rsidRPr="0053423A">
              <w:rPr>
                <w:rStyle w:val="Strong"/>
                <w:color w:val="000000" w:themeColor="text1"/>
                <w:shd w:val="clear" w:color="auto" w:fill="FFFFFF"/>
                <w:lang w:val="hy-AM"/>
              </w:rPr>
              <w:t>Շրջակա միջավայրի և մարդու առողջության վրա ազդեցության հիմնական գնահատման</w:t>
            </w:r>
            <w:r w:rsidRPr="0053423A">
              <w:rPr>
                <w:b/>
                <w:color w:val="000000" w:themeColor="text1"/>
                <w:lang w:val="hy-AM"/>
              </w:rPr>
              <w:t xml:space="preserve"> </w:t>
            </w:r>
            <w:r w:rsidRPr="0053423A">
              <w:rPr>
                <w:color w:val="000000" w:themeColor="text1"/>
                <w:lang w:val="hy-AM"/>
              </w:rPr>
              <w:t>մեթոդիկայի մշակումը անհրաժեշտ է</w:t>
            </w:r>
            <w:r w:rsidRPr="0053423A">
              <w:rPr>
                <w:color w:val="FF0000"/>
                <w:lang w:val="hy-AM"/>
              </w:rPr>
              <w:t xml:space="preserve"> </w:t>
            </w:r>
            <w:r w:rsidRPr="0053423A">
              <w:rPr>
                <w:rFonts w:cs="Sylfaen"/>
                <w:lang w:val="hy-AM"/>
              </w:rPr>
              <w:t>նախատեսվող</w:t>
            </w:r>
            <w:r w:rsidRPr="0053423A">
              <w:rPr>
                <w:lang w:val="hy-AM"/>
              </w:rPr>
              <w:t xml:space="preserve"> </w:t>
            </w:r>
            <w:r w:rsidRPr="0053423A">
              <w:rPr>
                <w:rFonts w:cs="Sylfaen"/>
                <w:lang w:val="hy-AM"/>
              </w:rPr>
              <w:t>գործունեության</w:t>
            </w:r>
            <w:r w:rsidRPr="0053423A">
              <w:rPr>
                <w:lang w:val="hy-AM"/>
              </w:rPr>
              <w:t xml:space="preserve"> </w:t>
            </w:r>
            <w:r w:rsidRPr="0053423A">
              <w:rPr>
                <w:rFonts w:cs="Sylfaen"/>
                <w:lang w:val="hy-AM"/>
              </w:rPr>
              <w:t>իրականացման</w:t>
            </w:r>
            <w:r w:rsidRPr="0053423A">
              <w:rPr>
                <w:lang w:val="hy-AM"/>
              </w:rPr>
              <w:t xml:space="preserve"> </w:t>
            </w:r>
            <w:r w:rsidRPr="0053423A">
              <w:rPr>
                <w:rFonts w:cs="Sylfaen"/>
                <w:lang w:val="hy-AM"/>
              </w:rPr>
              <w:t>արդյունքում</w:t>
            </w:r>
            <w:r w:rsidRPr="0053423A">
              <w:rPr>
                <w:lang w:val="hy-AM"/>
              </w:rPr>
              <w:t xml:space="preserve"> </w:t>
            </w:r>
            <w:r w:rsidRPr="0053423A">
              <w:rPr>
                <w:rFonts w:cs="Sylfaen"/>
                <w:lang w:val="hy-AM"/>
              </w:rPr>
              <w:t>շրջակա</w:t>
            </w:r>
            <w:r w:rsidRPr="0053423A">
              <w:rPr>
                <w:rFonts w:cs="Arial"/>
                <w:lang w:val="hy-AM"/>
              </w:rPr>
              <w:t xml:space="preserve"> </w:t>
            </w:r>
            <w:r w:rsidRPr="0053423A">
              <w:rPr>
                <w:rFonts w:cs="Sylfaen"/>
                <w:lang w:val="hy-AM"/>
              </w:rPr>
              <w:t>միջավայրի</w:t>
            </w:r>
            <w:r w:rsidRPr="0053423A">
              <w:rPr>
                <w:rFonts w:cs="Arial"/>
                <w:lang w:val="hy-AM"/>
              </w:rPr>
              <w:t xml:space="preserve"> </w:t>
            </w:r>
            <w:r w:rsidRPr="0053423A">
              <w:rPr>
                <w:rFonts w:cs="Sylfaen"/>
                <w:lang w:val="hy-AM"/>
              </w:rPr>
              <w:t>առանձին</w:t>
            </w:r>
            <w:r w:rsidRPr="0053423A">
              <w:rPr>
                <w:rFonts w:cs="Arial"/>
                <w:lang w:val="hy-AM"/>
              </w:rPr>
              <w:t xml:space="preserve"> </w:t>
            </w:r>
            <w:r w:rsidRPr="0053423A">
              <w:rPr>
                <w:rFonts w:cs="Sylfaen"/>
                <w:lang w:val="hy-AM"/>
              </w:rPr>
              <w:t>բաղադրիչների</w:t>
            </w:r>
            <w:r w:rsidRPr="0053423A">
              <w:rPr>
                <w:rFonts w:cs="Arial"/>
                <w:lang w:val="hy-AM"/>
              </w:rPr>
              <w:t xml:space="preserve">, </w:t>
            </w:r>
            <w:r w:rsidRPr="0053423A">
              <w:rPr>
                <w:rFonts w:cs="Sylfaen"/>
                <w:lang w:val="hy-AM"/>
              </w:rPr>
              <w:t>բնական</w:t>
            </w:r>
            <w:r w:rsidRPr="0053423A">
              <w:rPr>
                <w:rFonts w:cs="Arial"/>
                <w:lang w:val="hy-AM"/>
              </w:rPr>
              <w:t xml:space="preserve"> </w:t>
            </w:r>
            <w:r w:rsidRPr="0053423A">
              <w:rPr>
                <w:rFonts w:cs="Sylfaen"/>
                <w:lang w:val="hy-AM"/>
              </w:rPr>
              <w:t>ռեսուրսների</w:t>
            </w:r>
            <w:r w:rsidRPr="0053423A">
              <w:rPr>
                <w:rFonts w:cs="Arial"/>
                <w:lang w:val="hy-AM"/>
              </w:rPr>
              <w:t xml:space="preserve">, </w:t>
            </w:r>
            <w:r w:rsidRPr="0053423A">
              <w:rPr>
                <w:rFonts w:cs="Sylfaen"/>
                <w:lang w:val="hy-AM"/>
              </w:rPr>
              <w:t>պայմանների</w:t>
            </w:r>
            <w:r w:rsidRPr="0053423A">
              <w:rPr>
                <w:rFonts w:cs="Arial"/>
                <w:lang w:val="hy-AM"/>
              </w:rPr>
              <w:t xml:space="preserve"> </w:t>
            </w:r>
            <w:r w:rsidRPr="0053423A">
              <w:rPr>
                <w:rFonts w:cs="Sylfaen"/>
                <w:lang w:val="hy-AM"/>
              </w:rPr>
              <w:t>հնարավոր</w:t>
            </w:r>
            <w:r w:rsidRPr="0053423A">
              <w:rPr>
                <w:rFonts w:cs="Arial"/>
                <w:lang w:val="hy-AM"/>
              </w:rPr>
              <w:t xml:space="preserve"> </w:t>
            </w:r>
            <w:r w:rsidRPr="0053423A">
              <w:rPr>
                <w:rFonts w:cs="Sylfaen"/>
                <w:lang w:val="hy-AM"/>
              </w:rPr>
              <w:t>փոփոխությունների</w:t>
            </w:r>
            <w:r w:rsidRPr="0053423A">
              <w:rPr>
                <w:rFonts w:cs="Arial"/>
                <w:lang w:val="hy-AM"/>
              </w:rPr>
              <w:t xml:space="preserve"> </w:t>
            </w:r>
            <w:r w:rsidRPr="0053423A">
              <w:rPr>
                <w:rFonts w:cs="Sylfaen"/>
                <w:lang w:val="hy-AM"/>
              </w:rPr>
              <w:t>և</w:t>
            </w:r>
            <w:r w:rsidRPr="0053423A">
              <w:rPr>
                <w:rFonts w:cs="Arial"/>
                <w:lang w:val="hy-AM"/>
              </w:rPr>
              <w:t xml:space="preserve"> </w:t>
            </w:r>
            <w:r w:rsidRPr="0053423A">
              <w:rPr>
                <w:rFonts w:cs="Sylfaen"/>
                <w:lang w:val="hy-AM"/>
              </w:rPr>
              <w:t>դրանց</w:t>
            </w:r>
            <w:r w:rsidRPr="0053423A">
              <w:rPr>
                <w:rFonts w:cs="Arial"/>
                <w:lang w:val="hy-AM"/>
              </w:rPr>
              <w:t xml:space="preserve"> </w:t>
            </w:r>
            <w:r w:rsidRPr="0053423A">
              <w:rPr>
                <w:rFonts w:cs="Sylfaen"/>
                <w:lang w:val="hy-AM"/>
              </w:rPr>
              <w:t>ծավալների</w:t>
            </w:r>
            <w:r w:rsidRPr="0053423A">
              <w:rPr>
                <w:lang w:val="hy-AM"/>
              </w:rPr>
              <w:t xml:space="preserve"> </w:t>
            </w:r>
            <w:r w:rsidRPr="0053423A">
              <w:rPr>
                <w:rFonts w:cs="Sylfaen"/>
                <w:lang w:val="hy-AM"/>
              </w:rPr>
              <w:t>հնարավոր</w:t>
            </w:r>
            <w:r w:rsidRPr="0053423A">
              <w:rPr>
                <w:lang w:val="hy-AM"/>
              </w:rPr>
              <w:t xml:space="preserve"> </w:t>
            </w:r>
            <w:r w:rsidRPr="0053423A">
              <w:rPr>
                <w:rFonts w:cs="Sylfaen"/>
                <w:lang w:val="hy-AM"/>
              </w:rPr>
              <w:t>ազդեցության</w:t>
            </w:r>
            <w:r w:rsidRPr="0053423A">
              <w:rPr>
                <w:lang w:val="hy-AM"/>
              </w:rPr>
              <w:t xml:space="preserve"> </w:t>
            </w:r>
            <w:r w:rsidRPr="0053423A">
              <w:rPr>
                <w:rFonts w:cs="Sylfaen"/>
                <w:lang w:val="hy-AM"/>
              </w:rPr>
              <w:t>ամբողջական</w:t>
            </w:r>
            <w:r w:rsidRPr="0053423A">
              <w:rPr>
                <w:lang w:val="hy-AM"/>
              </w:rPr>
              <w:t xml:space="preserve">, </w:t>
            </w:r>
            <w:r w:rsidRPr="0053423A">
              <w:rPr>
                <w:rFonts w:cs="Sylfaen"/>
                <w:lang w:val="hy-AM"/>
              </w:rPr>
              <w:t>գումարային</w:t>
            </w:r>
            <w:r w:rsidRPr="0053423A">
              <w:rPr>
                <w:lang w:val="hy-AM"/>
              </w:rPr>
              <w:t xml:space="preserve"> </w:t>
            </w:r>
            <w:r w:rsidRPr="0053423A">
              <w:rPr>
                <w:rFonts w:cs="Sylfaen"/>
                <w:lang w:val="hy-AM"/>
              </w:rPr>
              <w:t>գնահատման</w:t>
            </w:r>
            <w:r w:rsidRPr="0053423A">
              <w:rPr>
                <w:lang w:val="hy-AM"/>
              </w:rPr>
              <w:t xml:space="preserve"> </w:t>
            </w:r>
            <w:r w:rsidRPr="0053423A">
              <w:rPr>
                <w:rFonts w:cs="Sylfaen"/>
                <w:lang w:val="hy-AM"/>
              </w:rPr>
              <w:t>գործընթացը</w:t>
            </w:r>
            <w:r w:rsidRPr="0053423A">
              <w:rPr>
                <w:rFonts w:cs="Arial"/>
                <w:lang w:val="hy-AM"/>
              </w:rPr>
              <w:t xml:space="preserve"> </w:t>
            </w:r>
            <w:r w:rsidRPr="0053423A">
              <w:rPr>
                <w:rFonts w:cs="Sylfaen"/>
                <w:lang w:val="hy-AM"/>
              </w:rPr>
              <w:t>ճշգրիտ</w:t>
            </w:r>
            <w:r w:rsidRPr="0053423A">
              <w:rPr>
                <w:rFonts w:cs="Arial"/>
                <w:lang w:val="hy-AM"/>
              </w:rPr>
              <w:t xml:space="preserve">, </w:t>
            </w:r>
            <w:r w:rsidRPr="0053423A">
              <w:rPr>
                <w:rFonts w:cs="Sylfaen"/>
                <w:lang w:val="hy-AM"/>
              </w:rPr>
              <w:t>հիմնավորված</w:t>
            </w:r>
            <w:r w:rsidRPr="0053423A">
              <w:rPr>
                <w:rFonts w:cs="Arial"/>
                <w:lang w:val="hy-AM"/>
              </w:rPr>
              <w:t xml:space="preserve"> </w:t>
            </w:r>
            <w:r w:rsidRPr="0053423A">
              <w:rPr>
                <w:rFonts w:cs="Sylfaen"/>
                <w:lang w:val="hy-AM"/>
              </w:rPr>
              <w:t>կազմակերպելու</w:t>
            </w:r>
            <w:r w:rsidRPr="0053423A">
              <w:rPr>
                <w:rFonts w:cs="Arial"/>
                <w:lang w:val="hy-AM"/>
              </w:rPr>
              <w:t xml:space="preserve"> </w:t>
            </w:r>
            <w:r w:rsidRPr="0053423A">
              <w:rPr>
                <w:rFonts w:cs="Sylfaen"/>
                <w:lang w:val="hy-AM"/>
              </w:rPr>
              <w:t>համար</w:t>
            </w:r>
            <w:r w:rsidRPr="0053423A">
              <w:rPr>
                <w:lang w:val="hy-AM"/>
              </w:rPr>
              <w:t xml:space="preserve">, </w:t>
            </w:r>
            <w:r w:rsidRPr="0053423A">
              <w:rPr>
                <w:rFonts w:cs="Sylfaen"/>
                <w:lang w:val="hy-AM"/>
              </w:rPr>
              <w:t>ինչը</w:t>
            </w:r>
            <w:r w:rsidRPr="0053423A">
              <w:rPr>
                <w:rFonts w:cs="Arial"/>
                <w:lang w:val="hy-AM"/>
              </w:rPr>
              <w:t xml:space="preserve"> </w:t>
            </w:r>
            <w:r w:rsidRPr="0053423A">
              <w:rPr>
                <w:rFonts w:cs="Sylfaen"/>
                <w:lang w:val="hy-AM"/>
              </w:rPr>
              <w:t>նաև</w:t>
            </w:r>
            <w:r w:rsidRPr="0053423A">
              <w:rPr>
                <w:rFonts w:cs="Arial"/>
                <w:lang w:val="hy-AM"/>
              </w:rPr>
              <w:t xml:space="preserve"> </w:t>
            </w:r>
            <w:r w:rsidRPr="0053423A">
              <w:rPr>
                <w:rFonts w:cs="Sylfaen"/>
                <w:lang w:val="hy-AM"/>
              </w:rPr>
              <w:t>փորձաքննության</w:t>
            </w:r>
            <w:r w:rsidRPr="0053423A">
              <w:rPr>
                <w:rFonts w:cs="Arial"/>
                <w:lang w:val="hy-AM"/>
              </w:rPr>
              <w:t xml:space="preserve"> </w:t>
            </w:r>
            <w:r w:rsidRPr="0053423A">
              <w:rPr>
                <w:rFonts w:cs="Sylfaen"/>
                <w:lang w:val="hy-AM"/>
              </w:rPr>
              <w:t>կարևորագույն</w:t>
            </w:r>
            <w:r w:rsidRPr="0053423A">
              <w:rPr>
                <w:rFonts w:cs="Arial"/>
                <w:lang w:val="hy-AM"/>
              </w:rPr>
              <w:t xml:space="preserve"> </w:t>
            </w:r>
            <w:r w:rsidRPr="0053423A">
              <w:rPr>
                <w:rFonts w:cs="Sylfaen"/>
                <w:lang w:val="hy-AM"/>
              </w:rPr>
              <w:t>սկզբունք</w:t>
            </w:r>
            <w:r w:rsidRPr="0053423A">
              <w:rPr>
                <w:rFonts w:cs="Arial"/>
                <w:lang w:val="hy-AM"/>
              </w:rPr>
              <w:t xml:space="preserve"> </w:t>
            </w:r>
            <w:r w:rsidRPr="0053423A">
              <w:rPr>
                <w:rFonts w:cs="Sylfaen"/>
                <w:lang w:val="hy-AM"/>
              </w:rPr>
              <w:t>է</w:t>
            </w:r>
            <w:r w:rsidRPr="0053423A">
              <w:rPr>
                <w:lang w:val="hy-AM"/>
              </w:rPr>
              <w:t xml:space="preserve">: </w:t>
            </w:r>
            <w:r w:rsidRPr="0053423A">
              <w:rPr>
                <w:rFonts w:cs="Arial AMU"/>
                <w:lang w:val="hy-AM"/>
              </w:rPr>
              <w:t xml:space="preserve">Համակատարող գերատեսչությունը մասնակցում է կազմակերպվող քննարկումներին, ներկայացնում է համապատասխան ոլորտային առաջարկություններ։  </w:t>
            </w:r>
          </w:p>
          <w:p w:rsidR="00530B14" w:rsidRPr="0053423A" w:rsidRDefault="00530B14" w:rsidP="00A67858">
            <w:pPr>
              <w:pStyle w:val="ListParagraph"/>
              <w:spacing w:line="276" w:lineRule="auto"/>
              <w:ind w:left="0" w:firstLine="553"/>
              <w:jc w:val="both"/>
              <w:rPr>
                <w:b/>
                <w:i/>
                <w:lang w:val="hy-AM"/>
              </w:rPr>
            </w:pPr>
            <w:r w:rsidRPr="0053423A">
              <w:rPr>
                <w:b/>
                <w:i/>
                <w:color w:val="FF0000"/>
                <w:lang w:val="hy-AM"/>
              </w:rPr>
              <w:t xml:space="preserve"> </w:t>
            </w:r>
            <w:r w:rsidRPr="0053423A">
              <w:rPr>
                <w:b/>
                <w:i/>
                <w:lang w:val="hy-AM"/>
              </w:rPr>
              <w:t>2. Միջոցառման իրականացումից ակնկալվող արդյունքը</w:t>
            </w:r>
          </w:p>
          <w:p w:rsidR="00530B14" w:rsidRPr="0053423A" w:rsidRDefault="00530B14" w:rsidP="00A67858">
            <w:pPr>
              <w:pStyle w:val="ListParagraph"/>
              <w:spacing w:line="276" w:lineRule="auto"/>
              <w:ind w:left="0" w:firstLine="735"/>
              <w:jc w:val="both"/>
              <w:rPr>
                <w:b/>
                <w:bCs/>
                <w:u w:val="single"/>
                <w:lang w:val="hy-AM"/>
              </w:rPr>
            </w:pPr>
            <w:r w:rsidRPr="0053423A">
              <w:rPr>
                <w:lang w:val="hy-AM"/>
              </w:rPr>
              <w:t xml:space="preserve">Շրջակա միջավայրի և մարդու առողջության վրա ազդեցության հիմնական գնահատման մեթոդիկայի առկայություն, գնահատման գործընթացի </w:t>
            </w:r>
            <w:r w:rsidRPr="0053423A">
              <w:rPr>
                <w:rFonts w:cs="Sylfaen"/>
                <w:lang w:val="hy-AM"/>
              </w:rPr>
              <w:t>ճշգրիտ</w:t>
            </w:r>
            <w:r w:rsidRPr="0053423A">
              <w:rPr>
                <w:rFonts w:cs="Arial"/>
                <w:lang w:val="hy-AM"/>
              </w:rPr>
              <w:t xml:space="preserve">, </w:t>
            </w:r>
            <w:r w:rsidRPr="0053423A">
              <w:rPr>
                <w:rFonts w:cs="Sylfaen"/>
                <w:lang w:val="hy-AM"/>
              </w:rPr>
              <w:t>հիմնավորված</w:t>
            </w:r>
            <w:r w:rsidRPr="0053423A">
              <w:rPr>
                <w:rFonts w:cs="Arial"/>
                <w:lang w:val="hy-AM"/>
              </w:rPr>
              <w:t xml:space="preserve"> </w:t>
            </w:r>
            <w:r w:rsidRPr="0053423A">
              <w:rPr>
                <w:rFonts w:cs="Sylfaen"/>
                <w:lang w:val="hy-AM"/>
              </w:rPr>
              <w:t xml:space="preserve">կազմակերպում, </w:t>
            </w:r>
            <w:r w:rsidRPr="0053423A">
              <w:rPr>
                <w:lang w:val="hy-AM"/>
              </w:rPr>
              <w:t xml:space="preserve"> փորձաքննության պատշաճ իրականացում:  </w:t>
            </w:r>
          </w:p>
        </w:tc>
      </w:tr>
      <w:tr w:rsidR="00530B14" w:rsidRPr="00DE2EFA" w:rsidTr="004440EB">
        <w:tc>
          <w:tcPr>
            <w:tcW w:w="480" w:type="dxa"/>
          </w:tcPr>
          <w:p w:rsidR="00530B14" w:rsidRPr="0053423A" w:rsidRDefault="00530B14" w:rsidP="00A67858">
            <w:pPr>
              <w:spacing w:line="276" w:lineRule="auto"/>
              <w:jc w:val="center"/>
              <w:rPr>
                <w:b/>
                <w:bCs/>
                <w:lang w:val="hy-AM"/>
              </w:rPr>
            </w:pPr>
            <w:r w:rsidRPr="0053423A">
              <w:rPr>
                <w:b/>
                <w:bCs/>
                <w:lang w:val="hy-AM"/>
              </w:rPr>
              <w:t>11</w:t>
            </w:r>
          </w:p>
        </w:tc>
        <w:tc>
          <w:tcPr>
            <w:tcW w:w="10879" w:type="dxa"/>
          </w:tcPr>
          <w:p w:rsidR="00530B14" w:rsidRPr="0053423A" w:rsidRDefault="00530B14" w:rsidP="00A67858">
            <w:pPr>
              <w:spacing w:line="276" w:lineRule="auto"/>
              <w:jc w:val="center"/>
              <w:rPr>
                <w:rFonts w:eastAsia="GHEA Grapalat" w:cs="GHEA Grapalat"/>
                <w:b/>
                <w:lang w:val="hy-AM" w:eastAsia="zh-CN"/>
              </w:rPr>
            </w:pPr>
            <w:r w:rsidRPr="0053423A">
              <w:rPr>
                <w:rFonts w:cs="GHEA Grapalat"/>
                <w:b/>
                <w:lang w:val="hy-AM" w:eastAsia="zh-CN"/>
              </w:rPr>
              <w:t>Շրջակա</w:t>
            </w:r>
            <w:r w:rsidRPr="0053423A">
              <w:rPr>
                <w:rFonts w:eastAsia="GHEA Grapalat" w:cs="GHEA Grapalat"/>
                <w:b/>
                <w:lang w:val="hy-AM" w:eastAsia="zh-CN"/>
              </w:rPr>
              <w:t xml:space="preserve"> </w:t>
            </w:r>
            <w:r w:rsidRPr="0053423A">
              <w:rPr>
                <w:rFonts w:cs="GHEA Grapalat"/>
                <w:b/>
                <w:lang w:val="hy-AM" w:eastAsia="zh-CN"/>
              </w:rPr>
              <w:t>միջավայրի</w:t>
            </w:r>
            <w:r w:rsidRPr="0053423A">
              <w:rPr>
                <w:rFonts w:eastAsia="GHEA Grapalat" w:cs="GHEA Grapalat"/>
                <w:b/>
                <w:lang w:val="hy-AM" w:eastAsia="zh-CN"/>
              </w:rPr>
              <w:t xml:space="preserve"> </w:t>
            </w:r>
            <w:r w:rsidRPr="0053423A">
              <w:rPr>
                <w:rFonts w:cs="GHEA Grapalat"/>
                <w:b/>
                <w:lang w:val="hy-AM" w:eastAsia="zh-CN"/>
              </w:rPr>
              <w:t>մոնիթորինգի</w:t>
            </w:r>
            <w:r w:rsidRPr="0053423A">
              <w:rPr>
                <w:rFonts w:eastAsia="GHEA Grapalat" w:cs="GHEA Grapalat"/>
                <w:b/>
                <w:lang w:val="hy-AM" w:eastAsia="zh-CN"/>
              </w:rPr>
              <w:t xml:space="preserve">, </w:t>
            </w:r>
            <w:r w:rsidRPr="0053423A">
              <w:rPr>
                <w:rFonts w:cs="GHEA Grapalat"/>
                <w:b/>
                <w:lang w:val="hy-AM" w:eastAsia="zh-CN"/>
              </w:rPr>
              <w:t>թույլտվություն</w:t>
            </w:r>
            <w:r w:rsidRPr="0053423A">
              <w:rPr>
                <w:rFonts w:cs="GHEA Grapalat"/>
                <w:b/>
                <w:lang w:val="hy-AM" w:eastAsia="zh-CN"/>
              </w:rPr>
              <w:softHyphen/>
              <w:t>ների</w:t>
            </w:r>
            <w:r w:rsidRPr="0053423A">
              <w:rPr>
                <w:rFonts w:eastAsia="GHEA Grapalat" w:cs="GHEA Grapalat"/>
                <w:b/>
                <w:lang w:val="hy-AM" w:eastAsia="zh-CN"/>
              </w:rPr>
              <w:t xml:space="preserve">, </w:t>
            </w:r>
            <w:r w:rsidRPr="0053423A">
              <w:rPr>
                <w:rFonts w:cs="GHEA Grapalat"/>
                <w:b/>
                <w:lang w:val="hy-AM" w:eastAsia="zh-CN"/>
              </w:rPr>
              <w:t>լիցենզիաների</w:t>
            </w:r>
            <w:r w:rsidRPr="0053423A">
              <w:rPr>
                <w:rFonts w:eastAsia="GHEA Grapalat" w:cs="GHEA Grapalat"/>
                <w:b/>
                <w:lang w:val="hy-AM" w:eastAsia="zh-CN"/>
              </w:rPr>
              <w:t xml:space="preserve"> </w:t>
            </w:r>
            <w:r w:rsidRPr="0053423A">
              <w:rPr>
                <w:rFonts w:cs="GHEA Grapalat"/>
                <w:b/>
                <w:spacing w:val="-8"/>
                <w:lang w:val="hy-AM" w:eastAsia="zh-CN"/>
              </w:rPr>
              <w:t>միասնական</w:t>
            </w:r>
            <w:r w:rsidRPr="0053423A">
              <w:rPr>
                <w:rFonts w:eastAsia="GHEA Grapalat" w:cs="GHEA Grapalat"/>
                <w:b/>
                <w:spacing w:val="-8"/>
                <w:lang w:val="hy-AM" w:eastAsia="zh-CN"/>
              </w:rPr>
              <w:t xml:space="preserve"> </w:t>
            </w:r>
            <w:r w:rsidRPr="0053423A">
              <w:rPr>
                <w:rFonts w:cs="GHEA Grapalat"/>
                <w:b/>
                <w:spacing w:val="-8"/>
                <w:lang w:val="hy-AM" w:eastAsia="zh-CN"/>
              </w:rPr>
              <w:t>և</w:t>
            </w:r>
            <w:r w:rsidRPr="0053423A">
              <w:rPr>
                <w:rFonts w:eastAsia="GHEA Grapalat" w:cs="GHEA Grapalat"/>
                <w:b/>
                <w:spacing w:val="-8"/>
                <w:lang w:val="hy-AM" w:eastAsia="zh-CN"/>
              </w:rPr>
              <w:t xml:space="preserve"> </w:t>
            </w:r>
            <w:r w:rsidRPr="0053423A">
              <w:rPr>
                <w:rFonts w:cs="GHEA Grapalat"/>
                <w:b/>
                <w:spacing w:val="-8"/>
                <w:lang w:val="hy-AM" w:eastAsia="zh-CN"/>
              </w:rPr>
              <w:t>ժամանակակից</w:t>
            </w:r>
            <w:r w:rsidRPr="0053423A">
              <w:rPr>
                <w:rFonts w:eastAsia="GHEA Grapalat" w:cs="GHEA Grapalat"/>
                <w:b/>
                <w:spacing w:val="-8"/>
                <w:lang w:val="hy-AM" w:eastAsia="zh-CN"/>
              </w:rPr>
              <w:t xml:space="preserve"> </w:t>
            </w:r>
            <w:r w:rsidRPr="0053423A">
              <w:rPr>
                <w:rFonts w:cs="GHEA Grapalat"/>
                <w:b/>
                <w:spacing w:val="-8"/>
                <w:lang w:val="hy-AM" w:eastAsia="zh-CN"/>
              </w:rPr>
              <w:t>համակարգերի ներդրումը, առաջնային</w:t>
            </w:r>
            <w:r w:rsidRPr="0053423A">
              <w:rPr>
                <w:rFonts w:cs="GHEA Grapalat"/>
                <w:b/>
                <w:lang w:val="hy-AM" w:eastAsia="zh-CN"/>
              </w:rPr>
              <w:t xml:space="preserve"> տեղեկատվության համակարգված</w:t>
            </w:r>
            <w:r w:rsidRPr="0053423A">
              <w:rPr>
                <w:rFonts w:eastAsia="GHEA Grapalat" w:cs="GHEA Grapalat"/>
                <w:b/>
                <w:lang w:val="hy-AM" w:eastAsia="zh-CN"/>
              </w:rPr>
              <w:t xml:space="preserve"> </w:t>
            </w:r>
            <w:r w:rsidRPr="0053423A">
              <w:rPr>
                <w:rFonts w:cs="GHEA Grapalat"/>
                <w:b/>
                <w:lang w:val="hy-AM" w:eastAsia="zh-CN"/>
              </w:rPr>
              <w:t>կառավարումը</w:t>
            </w:r>
          </w:p>
          <w:p w:rsidR="00530B14" w:rsidRPr="0053423A" w:rsidRDefault="00530B14" w:rsidP="00A67858">
            <w:pPr>
              <w:spacing w:line="276" w:lineRule="auto"/>
              <w:jc w:val="center"/>
              <w:rPr>
                <w:rFonts w:eastAsia="GHEA Grapalat" w:cs="GHEA Grapalat"/>
                <w:b/>
                <w:lang w:val="hy-AM" w:eastAsia="zh-CN"/>
              </w:rPr>
            </w:pPr>
          </w:p>
          <w:p w:rsidR="00530B14" w:rsidRPr="0053423A" w:rsidRDefault="00530B14" w:rsidP="00A67858">
            <w:pPr>
              <w:spacing w:line="276" w:lineRule="auto"/>
              <w:jc w:val="center"/>
              <w:rPr>
                <w:b/>
                <w:u w:val="single"/>
                <w:lang w:val="hy-AM"/>
              </w:rPr>
            </w:pPr>
            <w:r w:rsidRPr="0053423A">
              <w:rPr>
                <w:b/>
                <w:u w:val="single"/>
                <w:lang w:val="hy-AM"/>
              </w:rPr>
              <w:t>Բնապահպանության նախարարության կողմից լիցենզիաների ու թույլտվությունների  տրամադրման էլեկտրոնային համակարգի ներդրում</w:t>
            </w:r>
          </w:p>
          <w:p w:rsidR="00530B14" w:rsidRPr="0053423A" w:rsidRDefault="00530B14" w:rsidP="00A67858">
            <w:pPr>
              <w:spacing w:line="276" w:lineRule="auto"/>
              <w:jc w:val="center"/>
              <w:rPr>
                <w:b/>
                <w:u w:val="single"/>
                <w:lang w:val="hy-AM"/>
              </w:rPr>
            </w:pPr>
          </w:p>
          <w:p w:rsidR="00530B14" w:rsidRPr="0053423A" w:rsidRDefault="00530B14" w:rsidP="00A67858">
            <w:pPr>
              <w:pStyle w:val="ListParagraph"/>
              <w:numPr>
                <w:ilvl w:val="0"/>
                <w:numId w:val="65"/>
              </w:numPr>
              <w:spacing w:line="276" w:lineRule="auto"/>
              <w:ind w:hanging="617"/>
              <w:rPr>
                <w:b/>
                <w:i/>
                <w:lang w:val="hy-AM"/>
              </w:rPr>
            </w:pPr>
            <w:r w:rsidRPr="0053423A">
              <w:rPr>
                <w:b/>
                <w:i/>
                <w:lang w:val="hy-AM"/>
              </w:rPr>
              <w:t xml:space="preserve">Միջոցառման իրակացման անհրաժեշտությունը և նպատակը </w:t>
            </w:r>
          </w:p>
          <w:p w:rsidR="00530B14" w:rsidRPr="0053423A" w:rsidRDefault="00B009C2" w:rsidP="00A67858">
            <w:pPr>
              <w:shd w:val="clear" w:color="auto" w:fill="FFFFFF"/>
              <w:spacing w:line="276" w:lineRule="auto"/>
              <w:ind w:firstLine="375"/>
              <w:jc w:val="both"/>
              <w:rPr>
                <w:lang w:val="hy-AM"/>
              </w:rPr>
            </w:pPr>
            <w:r w:rsidRPr="0053423A">
              <w:rPr>
                <w:lang w:val="hy-AM"/>
              </w:rPr>
              <w:t xml:space="preserve">  </w:t>
            </w:r>
            <w:r w:rsidR="00232EB0" w:rsidRPr="0053423A">
              <w:rPr>
                <w:lang w:val="hy-AM"/>
              </w:rPr>
              <w:t>Միջո</w:t>
            </w:r>
            <w:r w:rsidR="00530B14" w:rsidRPr="0053423A">
              <w:rPr>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Շրջակա միջավայրի մոնիթորինգի, թույլտվություն¬ների, լիցենզիաների միասնական և ժամանակակից համակարգերի ներդրում, առաջնային տեղեկատվության համակարգված կառավարում  ուղղությունը:</w:t>
            </w:r>
          </w:p>
          <w:p w:rsidR="00530B14" w:rsidRPr="0053423A" w:rsidRDefault="00530B14" w:rsidP="00A67858">
            <w:pPr>
              <w:shd w:val="clear" w:color="auto" w:fill="FFFFFF"/>
              <w:spacing w:line="276" w:lineRule="auto"/>
              <w:ind w:firstLine="375"/>
              <w:jc w:val="both"/>
              <w:rPr>
                <w:rFonts w:cs="Arial Unicode"/>
                <w:color w:val="000000"/>
                <w:lang w:val="hy-AM"/>
              </w:rPr>
            </w:pPr>
            <w:r w:rsidRPr="0053423A">
              <w:rPr>
                <w:lang w:val="hy-AM"/>
              </w:rPr>
              <w:t xml:space="preserve">  </w:t>
            </w:r>
            <w:r w:rsidRPr="0053423A">
              <w:rPr>
                <w:color w:val="000000"/>
                <w:lang w:val="hy-AM"/>
              </w:rPr>
              <w:t>Բնապահպանության նախարարությունը ՀՀ կառավարության 2015 թվականի փետրվարի 5-ի N 90-Ն որոշման 2-րդ կետի 4-րդ ենթակետի համաձայն և առաջնորդվելով ՀՀ կառավարության 2014 թվականի դեկտեմբերի 25-ի N 1524-Ն որոշման 5-րդ կետով հաստատված կարգով ապահովում է մասնավորապես՝</w:t>
            </w:r>
            <w:r w:rsidRPr="0053423A">
              <w:rPr>
                <w:rFonts w:cs="Arial Unicode"/>
                <w:color w:val="000000"/>
                <w:lang w:val="hy-AM"/>
              </w:rPr>
              <w:t xml:space="preserve"> վտանգավոր թափոնների, թմրամիջոցների և հոգեմետ նյութերի պրեկուրսորներ չհամարվող թունավոր նյութերի և օզոնային շերտը քայքայող նյութերի ներմուծման և արտահանման մեկանգամյա լիցենզիաների  տրամադրումը: </w:t>
            </w:r>
          </w:p>
          <w:p w:rsidR="00530B14" w:rsidRPr="0053423A" w:rsidRDefault="00530B14" w:rsidP="00A67858">
            <w:pPr>
              <w:spacing w:line="276" w:lineRule="auto"/>
              <w:contextualSpacing/>
              <w:jc w:val="both"/>
              <w:rPr>
                <w:rFonts w:eastAsia="Calibri" w:cs="Sylfaen"/>
                <w:color w:val="000000"/>
                <w:lang w:val="hy-AM"/>
              </w:rPr>
            </w:pPr>
            <w:r w:rsidRPr="0053423A">
              <w:rPr>
                <w:rFonts w:eastAsia="Calibri"/>
                <w:lang w:val="hy-AM"/>
              </w:rPr>
              <w:t>Միջոցառման նպատակը բ</w:t>
            </w:r>
            <w:r w:rsidRPr="0053423A">
              <w:rPr>
                <w:rFonts w:eastAsia="Calibri" w:cs="Sylfaen"/>
                <w:color w:val="000000"/>
                <w:lang w:val="hy-AM"/>
              </w:rPr>
              <w:t>նապահպանության</w:t>
            </w:r>
            <w:r w:rsidRPr="0053423A">
              <w:rPr>
                <w:rFonts w:eastAsia="Calibri" w:cs="Arial"/>
                <w:color w:val="000000"/>
                <w:lang w:val="hy-AM"/>
              </w:rPr>
              <w:t xml:space="preserve"> </w:t>
            </w:r>
            <w:r w:rsidRPr="0053423A">
              <w:rPr>
                <w:rFonts w:eastAsia="Calibri" w:cs="Sylfaen"/>
                <w:color w:val="000000"/>
                <w:lang w:val="hy-AM"/>
              </w:rPr>
              <w:t>բնագա</w:t>
            </w:r>
            <w:r w:rsidRPr="0053423A">
              <w:rPr>
                <w:rFonts w:eastAsia="Calibri" w:cs="Arial"/>
                <w:color w:val="000000"/>
                <w:lang w:val="hy-AM"/>
              </w:rPr>
              <w:softHyphen/>
            </w:r>
            <w:r w:rsidRPr="0053423A">
              <w:rPr>
                <w:rFonts w:eastAsia="Calibri" w:cs="Sylfaen"/>
                <w:color w:val="000000"/>
                <w:lang w:val="hy-AM"/>
              </w:rPr>
              <w:t>վառում</w:t>
            </w:r>
            <w:r w:rsidRPr="0053423A">
              <w:rPr>
                <w:rFonts w:eastAsia="Calibri" w:cs="Arial"/>
                <w:color w:val="000000"/>
                <w:lang w:val="hy-AM"/>
              </w:rPr>
              <w:t xml:space="preserve"> </w:t>
            </w:r>
            <w:r w:rsidRPr="0053423A">
              <w:rPr>
                <w:rFonts w:eastAsia="Calibri" w:cs="Sylfaen"/>
                <w:color w:val="000000"/>
                <w:lang w:val="hy-AM"/>
              </w:rPr>
              <w:t>լիցենզիաների</w:t>
            </w:r>
            <w:r w:rsidRPr="0053423A">
              <w:rPr>
                <w:rFonts w:eastAsia="Calibri" w:cs="Arial"/>
                <w:color w:val="000000"/>
                <w:lang w:val="hy-AM"/>
              </w:rPr>
              <w:t xml:space="preserve"> </w:t>
            </w:r>
            <w:r w:rsidRPr="0053423A">
              <w:rPr>
                <w:rFonts w:eastAsia="Calibri" w:cs="Sylfaen"/>
                <w:color w:val="000000"/>
                <w:lang w:val="hy-AM"/>
              </w:rPr>
              <w:t>և</w:t>
            </w:r>
            <w:r w:rsidRPr="0053423A">
              <w:rPr>
                <w:rFonts w:eastAsia="Calibri" w:cs="Arial"/>
                <w:color w:val="000000"/>
                <w:lang w:val="hy-AM"/>
              </w:rPr>
              <w:t xml:space="preserve"> </w:t>
            </w:r>
            <w:r w:rsidRPr="0053423A">
              <w:rPr>
                <w:rFonts w:eastAsia="Calibri" w:cs="Sylfaen"/>
                <w:color w:val="000000"/>
                <w:spacing w:val="-2"/>
                <w:lang w:val="hy-AM"/>
              </w:rPr>
              <w:t>թույլտվու</w:t>
            </w:r>
            <w:r w:rsidRPr="0053423A">
              <w:rPr>
                <w:rFonts w:eastAsia="Calibri" w:cs="Arial"/>
                <w:color w:val="000000"/>
                <w:spacing w:val="-2"/>
                <w:lang w:val="hy-AM"/>
              </w:rPr>
              <w:softHyphen/>
            </w:r>
            <w:r w:rsidRPr="0053423A">
              <w:rPr>
                <w:rFonts w:eastAsia="Calibri" w:cs="Sylfaen"/>
                <w:color w:val="000000"/>
                <w:spacing w:val="-2"/>
                <w:lang w:val="hy-AM"/>
              </w:rPr>
              <w:t>թյունների</w:t>
            </w:r>
            <w:r w:rsidRPr="0053423A">
              <w:rPr>
                <w:rFonts w:eastAsia="Calibri" w:cs="Arial"/>
                <w:color w:val="000000"/>
                <w:spacing w:val="-2"/>
                <w:lang w:val="hy-AM"/>
              </w:rPr>
              <w:t xml:space="preserve">  </w:t>
            </w:r>
            <w:r w:rsidRPr="0053423A">
              <w:rPr>
                <w:rFonts w:eastAsia="Calibri" w:cs="Sylfaen"/>
                <w:color w:val="000000"/>
                <w:spacing w:val="-2"/>
                <w:lang w:val="hy-AM"/>
              </w:rPr>
              <w:t>տրա</w:t>
            </w:r>
            <w:r w:rsidRPr="0053423A">
              <w:rPr>
                <w:rFonts w:eastAsia="Calibri" w:cs="Arial"/>
                <w:color w:val="000000"/>
                <w:spacing w:val="-2"/>
                <w:lang w:val="hy-AM"/>
              </w:rPr>
              <w:softHyphen/>
            </w:r>
            <w:r w:rsidRPr="0053423A">
              <w:rPr>
                <w:rFonts w:eastAsia="Calibri" w:cs="Sylfaen"/>
                <w:color w:val="000000"/>
                <w:spacing w:val="-2"/>
                <w:lang w:val="hy-AM"/>
              </w:rPr>
              <w:t>մադրում</w:t>
            </w:r>
            <w:r w:rsidRPr="0053423A">
              <w:rPr>
                <w:rFonts w:eastAsia="Calibri" w:cs="Sylfaen"/>
                <w:color w:val="000000"/>
                <w:lang w:val="hy-AM"/>
              </w:rPr>
              <w:t xml:space="preserve">ն </w:t>
            </w:r>
            <w:r w:rsidRPr="0053423A">
              <w:rPr>
                <w:rFonts w:eastAsia="Calibri" w:cs="Sylfaen"/>
                <w:color w:val="000000"/>
                <w:spacing w:val="-2"/>
                <w:lang w:val="hy-AM"/>
              </w:rPr>
              <w:t>էլեկտրոնային</w:t>
            </w:r>
            <w:r w:rsidRPr="0053423A">
              <w:rPr>
                <w:rFonts w:eastAsia="Calibri" w:cs="Arial"/>
                <w:color w:val="000000"/>
                <w:spacing w:val="-2"/>
                <w:lang w:val="hy-AM"/>
              </w:rPr>
              <w:t xml:space="preserve"> </w:t>
            </w:r>
            <w:r w:rsidRPr="0053423A">
              <w:rPr>
                <w:rFonts w:eastAsia="Calibri" w:cs="Sylfaen"/>
                <w:color w:val="000000"/>
                <w:lang w:val="hy-AM"/>
              </w:rPr>
              <w:t xml:space="preserve"> համակարգի միջոցով իրականացնելն է:</w:t>
            </w:r>
          </w:p>
          <w:p w:rsidR="00530B14" w:rsidRPr="0053423A" w:rsidRDefault="00530B14" w:rsidP="00A67858">
            <w:pPr>
              <w:spacing w:line="276" w:lineRule="auto"/>
              <w:ind w:firstLine="720"/>
              <w:contextualSpacing/>
              <w:jc w:val="both"/>
              <w:rPr>
                <w:lang w:val="hy-AM"/>
              </w:rPr>
            </w:pPr>
            <w:r w:rsidRPr="0053423A">
              <w:rPr>
                <w:lang w:val="hy-AM"/>
              </w:rPr>
              <w:t>Թույլտվությունների, լիցենզիաների միասնական և ժամանակակից համակարգերի ներդրումն ընդգրկված է ՀՀ կառավարության 2019 թվականի փետրվարի 8-ի N 65-Ա որոշման հավելվածի 4.8 ՇՐՋԱԿԱ ՄԻՋԱՎԱՅՐ կետով սահմանված շրջակա միջավայրի կառավարման առաջնահերթ ուղղությունների թվարկվող շարքում:</w:t>
            </w:r>
          </w:p>
          <w:p w:rsidR="00530B14" w:rsidRPr="0053423A" w:rsidRDefault="00530B14" w:rsidP="00A67858">
            <w:pPr>
              <w:spacing w:line="276" w:lineRule="auto"/>
              <w:ind w:left="975"/>
              <w:contextualSpacing/>
              <w:rPr>
                <w:lang w:val="hy-AM"/>
              </w:rPr>
            </w:pPr>
            <w:r w:rsidRPr="0053423A">
              <w:rPr>
                <w:lang w:val="hy-AM"/>
              </w:rPr>
              <w:t xml:space="preserve"> </w:t>
            </w:r>
          </w:p>
          <w:p w:rsidR="00530B14" w:rsidRPr="0053423A" w:rsidRDefault="00530B14" w:rsidP="00A67858">
            <w:pPr>
              <w:pStyle w:val="ListParagraph"/>
              <w:numPr>
                <w:ilvl w:val="1"/>
                <w:numId w:val="22"/>
              </w:numPr>
              <w:spacing w:line="276" w:lineRule="auto"/>
              <w:ind w:firstLine="103"/>
              <w:rPr>
                <w:lang w:val="hy-AM"/>
              </w:rPr>
            </w:pPr>
            <w:r w:rsidRPr="0053423A">
              <w:rPr>
                <w:b/>
                <w:lang w:val="hy-AM"/>
              </w:rPr>
              <w:t>Կարգավորման հարաբերությունների ներկա վիճակը և առկա խնդիրները</w:t>
            </w:r>
            <w:r w:rsidRPr="0053423A">
              <w:rPr>
                <w:lang w:val="hy-AM"/>
              </w:rPr>
              <w:t xml:space="preserve"> </w:t>
            </w:r>
          </w:p>
          <w:p w:rsidR="00530B14" w:rsidRPr="0053423A" w:rsidRDefault="00530B14" w:rsidP="00A67858">
            <w:pPr>
              <w:spacing w:line="276" w:lineRule="auto"/>
              <w:ind w:firstLine="708"/>
              <w:jc w:val="both"/>
              <w:rPr>
                <w:color w:val="000000"/>
                <w:lang w:val="hy-AM"/>
              </w:rPr>
            </w:pPr>
          </w:p>
          <w:p w:rsidR="00530B14" w:rsidRPr="0053423A" w:rsidRDefault="00530B14" w:rsidP="00A67858">
            <w:pPr>
              <w:spacing w:line="276" w:lineRule="auto"/>
              <w:ind w:firstLine="708"/>
              <w:jc w:val="both"/>
              <w:rPr>
                <w:lang w:val="hy-AM"/>
              </w:rPr>
            </w:pPr>
            <w:r w:rsidRPr="0053423A">
              <w:rPr>
                <w:color w:val="000000"/>
                <w:lang w:val="hy-AM"/>
              </w:rPr>
              <w:t>Հայաստանի Հանրապետության կողմից արտաքին առևտրի դեպքում սահմանափակումների ենթակա ապրանքների արտահանման և (կամ) ներմուծման մեկանգամյա լիցենզիաները բնապահպանության նախարարությունը տրամադրում է թղթային տարբերակով:</w:t>
            </w:r>
            <w:r w:rsidRPr="0053423A">
              <w:rPr>
                <w:lang w:val="hy-AM"/>
              </w:rPr>
              <w:t xml:space="preserve">  Եվրասիական տնտեսական միության (ԵԱՏՄ) մասին պայմանագրի 7-րդ հավելվածի արձանագրության՝ երրորդ երկրների հետ արտաքին առևտրի դեպքում սահմանափակումների ենթակա ապրանքների արտահանման և(կամ) ներմուծման լիցենզիաների և թույլտվությունների տրամադրման կանոնակարգը սահմանում է, որ լիցենզիան հնարավոր է տրամադրել (ձևակերպել) էլեկտրոնային փաստաթղթի տեսքով՝ Եվրասիական տնտեսական հանձնաժողովի (ԵՏՀ) սահմանած կարգով, իսկ մինչ այդ ԵԱՏՄ անդամ պետության օրենսդրությանը համապատասխան: Հայաստանի Հանրապետության կառավարության </w:t>
            </w:r>
            <w:r w:rsidRPr="0053423A">
              <w:rPr>
                <w:lang w:val="af-ZA"/>
              </w:rPr>
              <w:t xml:space="preserve">2014 </w:t>
            </w:r>
            <w:r w:rsidRPr="0053423A">
              <w:rPr>
                <w:lang w:val="hy-AM"/>
              </w:rPr>
              <w:t>թ</w:t>
            </w:r>
            <w:r w:rsidRPr="0053423A">
              <w:rPr>
                <w:lang w:val="af-ZA"/>
              </w:rPr>
              <w:t>վականի դեկտեմբեր</w:t>
            </w:r>
            <w:r w:rsidRPr="0053423A">
              <w:rPr>
                <w:lang w:val="hy-AM"/>
              </w:rPr>
              <w:t>ի</w:t>
            </w:r>
            <w:r w:rsidRPr="0053423A">
              <w:rPr>
                <w:lang w:val="af-ZA"/>
              </w:rPr>
              <w:t xml:space="preserve"> 25-</w:t>
            </w:r>
            <w:r w:rsidRPr="0053423A">
              <w:rPr>
                <w:lang w:val="hy-AM"/>
              </w:rPr>
              <w:t>ի</w:t>
            </w:r>
            <w:r w:rsidRPr="0053423A">
              <w:rPr>
                <w:lang w:val="af-ZA"/>
              </w:rPr>
              <w:t xml:space="preserve"> N 1524-</w:t>
            </w:r>
            <w:r w:rsidRPr="0053423A">
              <w:rPr>
                <w:lang w:val="hy-AM"/>
              </w:rPr>
              <w:t xml:space="preserve">Ն և </w:t>
            </w:r>
            <w:r w:rsidRPr="0053423A">
              <w:rPr>
                <w:rFonts w:cs="Sylfaen"/>
                <w:lang w:val="hy-AM"/>
              </w:rPr>
              <w:t xml:space="preserve">2015 թվականի փետրվարի 5-ի  N90-Ն որոշումներով լիցենզիաների և թույլտվությունների էլեկտրոնային փաստաթղթի տեսքով տրամադրման համար հայտերի և պահանջվող փաստաթղթերի </w:t>
            </w:r>
            <w:r w:rsidRPr="0053423A">
              <w:rPr>
                <w:lang w:val="hy-AM"/>
              </w:rPr>
              <w:t>(տեղեկությունների) առցանց ներկայացման և էլեկտրոնային փաստաթղթի տեսքով տրամադրման ընթացակարգեր սահմանված չեն:</w:t>
            </w:r>
          </w:p>
          <w:p w:rsidR="00530B14" w:rsidRPr="0053423A" w:rsidRDefault="00530B14" w:rsidP="00A67858">
            <w:pPr>
              <w:tabs>
                <w:tab w:val="left" w:pos="0"/>
              </w:tabs>
              <w:spacing w:line="276" w:lineRule="auto"/>
              <w:contextualSpacing/>
              <w:jc w:val="both"/>
              <w:rPr>
                <w:rFonts w:eastAsia="Calibri"/>
                <w:lang w:val="hy-AM"/>
              </w:rPr>
            </w:pPr>
            <w:r w:rsidRPr="0053423A">
              <w:rPr>
                <w:color w:val="000000"/>
                <w:lang w:val="hy-AM"/>
              </w:rPr>
              <w:t>Բնապահպանության</w:t>
            </w:r>
            <w:r w:rsidRPr="0053423A">
              <w:rPr>
                <w:rFonts w:eastAsia="Calibri"/>
                <w:lang w:val="hy-AM"/>
              </w:rPr>
              <w:t xml:space="preserve"> նախարարության կողմից լիցենզիաների ու թույլտվությունների  տրամադրման էլեկտրոնային համակարգի ներդրման համար պահանջվող ֆինանսական միջոցներ ներկայումս առկա չեն:</w:t>
            </w:r>
          </w:p>
          <w:p w:rsidR="00530B14" w:rsidRPr="0053423A" w:rsidRDefault="00530B14" w:rsidP="00A67858">
            <w:pPr>
              <w:spacing w:line="276" w:lineRule="auto"/>
              <w:contextualSpacing/>
              <w:jc w:val="both"/>
              <w:rPr>
                <w:color w:val="943634"/>
                <w:lang w:val="hy-AM"/>
              </w:rPr>
            </w:pPr>
            <w:r w:rsidRPr="0053423A">
              <w:rPr>
                <w:rFonts w:eastAsia="Calibri"/>
                <w:lang w:val="hy-AM"/>
              </w:rPr>
              <w:t>Ակնկալվում է ֆինանսական միջոցներ ստանալ օրենքով չարգելված այլ աղբյուրներից:</w:t>
            </w:r>
          </w:p>
          <w:p w:rsidR="00530B14" w:rsidRPr="0053423A" w:rsidRDefault="00530B14" w:rsidP="00A67858">
            <w:pPr>
              <w:spacing w:line="276" w:lineRule="auto"/>
              <w:contextualSpacing/>
              <w:jc w:val="both"/>
              <w:rPr>
                <w:lang w:val="hy-AM"/>
              </w:rPr>
            </w:pPr>
          </w:p>
          <w:p w:rsidR="00530B14" w:rsidRPr="0053423A" w:rsidRDefault="00530B14" w:rsidP="00A67858">
            <w:pPr>
              <w:spacing w:line="276" w:lineRule="auto"/>
              <w:ind w:firstLine="463"/>
              <w:contextualSpacing/>
              <w:jc w:val="both"/>
              <w:rPr>
                <w:rFonts w:eastAsia="Calibri"/>
                <w:b/>
                <w:bCs/>
                <w:lang w:val="hy-AM"/>
              </w:rPr>
            </w:pPr>
            <w:r w:rsidRPr="0053423A">
              <w:rPr>
                <w:b/>
                <w:lang w:val="hy-AM"/>
              </w:rPr>
              <w:t xml:space="preserve">1.2 Առկա խնդիրների առաջարկվող լուծումները </w:t>
            </w:r>
          </w:p>
          <w:p w:rsidR="00530B14" w:rsidRPr="0053423A" w:rsidRDefault="00530B14" w:rsidP="00A67858">
            <w:pPr>
              <w:spacing w:line="276" w:lineRule="auto"/>
              <w:ind w:firstLine="720"/>
              <w:contextualSpacing/>
              <w:jc w:val="both"/>
              <w:rPr>
                <w:bCs/>
                <w:lang w:val="hy-AM"/>
              </w:rPr>
            </w:pPr>
            <w:r w:rsidRPr="0053423A">
              <w:rPr>
                <w:color w:val="000000"/>
                <w:lang w:val="hy-AM"/>
              </w:rPr>
              <w:t>Բնապահպանության</w:t>
            </w:r>
            <w:r w:rsidRPr="0053423A">
              <w:rPr>
                <w:rFonts w:eastAsia="Calibri"/>
                <w:lang w:val="hy-AM"/>
              </w:rPr>
              <w:t xml:space="preserve"> նախարարության կողմից լիցենզիաների ու թույլտվությունների  տրամադրման էլեկտրոնային համակարգի ներդրումն ապահովելու նպատակով անհրաժեշտ է մեկանգամյա լիցենզիաների տրամադրումն կանոնակարգող նորմատիվ իրավական ակտերում կատարել համապատասխան լրացումներ, ապահովել էլեկտրոնային համակարգի գործարկման համար անհրաժեշտ ծրագրային և տեխնիկական միջոցների առկայությունը:</w:t>
            </w:r>
          </w:p>
          <w:p w:rsidR="00530B14" w:rsidRPr="0053423A" w:rsidRDefault="00530B14" w:rsidP="00A67858">
            <w:pPr>
              <w:spacing w:line="276" w:lineRule="auto"/>
              <w:contextualSpacing/>
              <w:jc w:val="both"/>
              <w:rPr>
                <w:lang w:val="hy-AM"/>
              </w:rPr>
            </w:pPr>
            <w:r w:rsidRPr="0053423A">
              <w:rPr>
                <w:lang w:val="hy-AM"/>
              </w:rPr>
              <w:t>Միջոցառման համակատարողներ են հանդիսանում՝ արդարադատության նախարարությունը ևԷԿԵՆԳ ՓԲԸ-ն (համաձայնությամբ):</w:t>
            </w:r>
          </w:p>
          <w:p w:rsidR="00530B14" w:rsidRPr="0053423A" w:rsidRDefault="00530B14" w:rsidP="00A67858">
            <w:pPr>
              <w:spacing w:line="276" w:lineRule="auto"/>
              <w:contextualSpacing/>
              <w:jc w:val="both"/>
              <w:rPr>
                <w:lang w:val="hy-AM"/>
              </w:rPr>
            </w:pPr>
            <w:r w:rsidRPr="0053423A">
              <w:rPr>
                <w:lang w:val="hy-AM"/>
              </w:rPr>
              <w:t>Ակնկալվում է համակատարողների խորհրդատվությունը և օժանդակությունը էլեկտրոնային համակարգի ներդրման իրավական և տեխնիկական հարցերում:</w:t>
            </w:r>
          </w:p>
          <w:p w:rsidR="00530B14" w:rsidRPr="0053423A" w:rsidRDefault="00530B14" w:rsidP="00A67858">
            <w:pPr>
              <w:spacing w:line="276" w:lineRule="auto"/>
              <w:ind w:firstLine="375"/>
              <w:rPr>
                <w:b/>
                <w:i/>
                <w:lang w:val="hy-AM"/>
              </w:rPr>
            </w:pPr>
            <w:r w:rsidRPr="0053423A">
              <w:rPr>
                <w:b/>
                <w:i/>
                <w:lang w:val="hy-AM"/>
              </w:rPr>
              <w:t>2. Միջոցառման իրականացումից ակնկալվող արդյունքը</w:t>
            </w:r>
          </w:p>
          <w:p w:rsidR="00530B14" w:rsidRPr="0053423A" w:rsidRDefault="00530B14" w:rsidP="00A67858">
            <w:pPr>
              <w:spacing w:line="276" w:lineRule="auto"/>
              <w:ind w:firstLine="375"/>
              <w:rPr>
                <w:lang w:val="pt-BR"/>
              </w:rPr>
            </w:pPr>
            <w:r w:rsidRPr="0053423A">
              <w:rPr>
                <w:rFonts w:ascii="Calibri" w:hAnsi="Calibri" w:cs="Calibri"/>
                <w:color w:val="943634"/>
                <w:lang w:val="hy-AM"/>
              </w:rPr>
              <w:t> </w:t>
            </w:r>
            <w:r w:rsidRPr="0053423A">
              <w:rPr>
                <w:rFonts w:ascii="Calibri" w:hAnsi="Calibri" w:cs="Calibri"/>
                <w:lang w:val="hy-AM"/>
              </w:rPr>
              <w:t> </w:t>
            </w:r>
            <w:r w:rsidRPr="0053423A">
              <w:rPr>
                <w:rFonts w:cs="Sylfaen"/>
                <w:color w:val="000000"/>
                <w:lang w:val="hy-AM"/>
              </w:rPr>
              <w:t>Միջոցառման իրականացումը հնարավորություն</w:t>
            </w:r>
            <w:r w:rsidRPr="0053423A">
              <w:rPr>
                <w:rFonts w:cs="Sylfaen"/>
                <w:color w:val="000000"/>
                <w:lang w:val="de-DE"/>
              </w:rPr>
              <w:t xml:space="preserve"> </w:t>
            </w:r>
            <w:r w:rsidRPr="0053423A">
              <w:rPr>
                <w:rFonts w:cs="Sylfaen"/>
                <w:color w:val="000000"/>
                <w:lang w:val="hy-AM"/>
              </w:rPr>
              <w:t>կստեղծի</w:t>
            </w:r>
            <w:r w:rsidRPr="0053423A">
              <w:rPr>
                <w:rFonts w:cs="Sylfaen"/>
                <w:color w:val="000000"/>
                <w:lang w:val="de-DE"/>
              </w:rPr>
              <w:t xml:space="preserve"> </w:t>
            </w:r>
            <w:r w:rsidRPr="0053423A">
              <w:rPr>
                <w:rFonts w:cs="Sylfaen"/>
                <w:color w:val="000000"/>
                <w:lang w:val="hy-AM"/>
              </w:rPr>
              <w:t>էլեկտրոնային</w:t>
            </w:r>
            <w:r w:rsidRPr="0053423A">
              <w:rPr>
                <w:rFonts w:cs="Sylfaen"/>
                <w:color w:val="000000"/>
                <w:lang w:val="de-DE"/>
              </w:rPr>
              <w:t xml:space="preserve"> </w:t>
            </w:r>
            <w:r w:rsidRPr="0053423A">
              <w:rPr>
                <w:rFonts w:cs="Sylfaen"/>
                <w:color w:val="000000"/>
                <w:lang w:val="hy-AM"/>
              </w:rPr>
              <w:t>հարթակի</w:t>
            </w:r>
            <w:r w:rsidRPr="0053423A">
              <w:rPr>
                <w:rFonts w:cs="Sylfaen"/>
                <w:color w:val="000000"/>
                <w:lang w:val="de-DE"/>
              </w:rPr>
              <w:t xml:space="preserve"> </w:t>
            </w:r>
            <w:r w:rsidRPr="0053423A">
              <w:rPr>
                <w:rFonts w:cs="Sylfaen"/>
                <w:color w:val="000000"/>
                <w:lang w:val="hy-AM"/>
              </w:rPr>
              <w:t>միջոցով</w:t>
            </w:r>
            <w:r w:rsidRPr="0053423A">
              <w:rPr>
                <w:rFonts w:cs="Sylfaen"/>
                <w:color w:val="000000"/>
                <w:lang w:val="de-DE"/>
              </w:rPr>
              <w:t xml:space="preserve"> </w:t>
            </w:r>
            <w:r w:rsidRPr="0053423A">
              <w:rPr>
                <w:rFonts w:cs="Sylfaen"/>
                <w:color w:val="000000"/>
                <w:lang w:val="hy-AM"/>
              </w:rPr>
              <w:t>իրականացնել</w:t>
            </w:r>
            <w:r w:rsidRPr="0053423A">
              <w:rPr>
                <w:rFonts w:cs="Sylfaen"/>
                <w:color w:val="000000"/>
                <w:lang w:val="de-DE"/>
              </w:rPr>
              <w:t xml:space="preserve"> </w:t>
            </w:r>
            <w:r w:rsidRPr="0053423A">
              <w:rPr>
                <w:lang w:val="hy-AM"/>
              </w:rPr>
              <w:t>մեկանգամյա</w:t>
            </w:r>
            <w:r w:rsidRPr="0053423A">
              <w:rPr>
                <w:lang w:val="de-DE"/>
              </w:rPr>
              <w:t xml:space="preserve"> </w:t>
            </w:r>
            <w:r w:rsidRPr="0053423A">
              <w:rPr>
                <w:lang w:val="hy-AM"/>
              </w:rPr>
              <w:t>լիցենզաների</w:t>
            </w:r>
            <w:r w:rsidRPr="0053423A">
              <w:rPr>
                <w:lang w:val="de-DE"/>
              </w:rPr>
              <w:t xml:space="preserve"> </w:t>
            </w:r>
            <w:r w:rsidRPr="0053423A">
              <w:rPr>
                <w:lang w:val="hy-AM"/>
              </w:rPr>
              <w:t>համար</w:t>
            </w:r>
            <w:r w:rsidRPr="0053423A">
              <w:rPr>
                <w:lang w:val="de-DE"/>
              </w:rPr>
              <w:t xml:space="preserve"> լիազոր մարմնին </w:t>
            </w:r>
            <w:r w:rsidRPr="0053423A">
              <w:rPr>
                <w:lang w:val="hy-AM"/>
              </w:rPr>
              <w:t>հայտերի</w:t>
            </w:r>
            <w:r w:rsidRPr="0053423A">
              <w:rPr>
                <w:lang w:val="de-DE"/>
              </w:rPr>
              <w:t xml:space="preserve"> և պահանջվող փաստաթղթերի </w:t>
            </w:r>
            <w:r w:rsidRPr="0053423A">
              <w:rPr>
                <w:lang w:val="hy-AM"/>
              </w:rPr>
              <w:t>ներկայացումը</w:t>
            </w:r>
            <w:r w:rsidRPr="0053423A">
              <w:rPr>
                <w:lang w:val="de-DE"/>
              </w:rPr>
              <w:t xml:space="preserve"> և լիազոր մարմնի կողմից էլեկտրոնային լիցենզիաների տրամադրումը, որը կնվազեցնի փաստաթղթաշարժի վրա ծախսվող ժամանակը և կավելացնի աշխատանքի </w:t>
            </w:r>
            <w:r w:rsidRPr="0053423A">
              <w:rPr>
                <w:color w:val="000000"/>
                <w:lang w:val="hy-AM"/>
              </w:rPr>
              <w:t>արդյունավետությունը</w:t>
            </w:r>
            <w:r w:rsidRPr="0053423A">
              <w:rPr>
                <w:color w:val="000000"/>
                <w:lang w:val="de-DE"/>
              </w:rPr>
              <w:t>:</w:t>
            </w:r>
            <w:r w:rsidRPr="0053423A">
              <w:rPr>
                <w:color w:val="000000"/>
                <w:lang w:val="hy-AM"/>
              </w:rPr>
              <w:t xml:space="preserve"> </w:t>
            </w:r>
            <w:r w:rsidRPr="0053423A">
              <w:rPr>
                <w:lang w:val="hy-AM"/>
              </w:rPr>
              <w:t xml:space="preserve">Էլեկտրոնային փաստաթղթի տեսքով տրամադրված </w:t>
            </w:r>
            <w:r w:rsidRPr="0053423A">
              <w:rPr>
                <w:lang w:val="pt-BR"/>
              </w:rPr>
              <w:t xml:space="preserve"> </w:t>
            </w:r>
            <w:r w:rsidRPr="0053423A">
              <w:rPr>
                <w:lang w:val="hy-AM"/>
              </w:rPr>
              <w:t>մեկանգամյա</w:t>
            </w:r>
            <w:r w:rsidRPr="0053423A">
              <w:rPr>
                <w:lang w:val="pt-BR"/>
              </w:rPr>
              <w:t xml:space="preserve"> </w:t>
            </w:r>
            <w:r w:rsidRPr="0053423A">
              <w:rPr>
                <w:lang w:val="hy-AM"/>
              </w:rPr>
              <w:t>լիցենզիաները հասանելի կլինեն տվյալ ապրանքների</w:t>
            </w:r>
            <w:r w:rsidRPr="0053423A">
              <w:rPr>
                <w:lang w:val="pt-BR"/>
              </w:rPr>
              <w:t xml:space="preserve"> </w:t>
            </w:r>
            <w:r w:rsidRPr="0053423A">
              <w:rPr>
                <w:lang w:val="hy-AM"/>
              </w:rPr>
              <w:t>մաքսային բացթողում, ինչպես նաև հսկողություն իրականացնող</w:t>
            </w:r>
            <w:r w:rsidRPr="0053423A">
              <w:rPr>
                <w:lang w:val="pt-BR"/>
              </w:rPr>
              <w:t xml:space="preserve"> </w:t>
            </w:r>
            <w:r w:rsidRPr="0053423A">
              <w:rPr>
                <w:lang w:val="hy-AM"/>
              </w:rPr>
              <w:t>մարմինների  համար:</w:t>
            </w:r>
            <w:r w:rsidRPr="0053423A">
              <w:rPr>
                <w:lang w:val="pt-BR"/>
              </w:rPr>
              <w:t xml:space="preserve"> </w:t>
            </w:r>
          </w:p>
          <w:p w:rsidR="00530B14" w:rsidRPr="0053423A" w:rsidRDefault="00530B14" w:rsidP="00A67858">
            <w:pPr>
              <w:spacing w:line="276" w:lineRule="auto"/>
              <w:ind w:firstLine="375"/>
              <w:jc w:val="both"/>
              <w:rPr>
                <w:rFonts w:cs="Sylfaen"/>
                <w:lang w:val="hy-AM"/>
              </w:rPr>
            </w:pPr>
          </w:p>
          <w:p w:rsidR="00530B14" w:rsidRPr="0053423A" w:rsidRDefault="00530B14" w:rsidP="00A67858">
            <w:pPr>
              <w:spacing w:line="276" w:lineRule="auto"/>
              <w:jc w:val="center"/>
              <w:rPr>
                <w:b/>
                <w:u w:val="single"/>
                <w:lang w:val="hy-AM"/>
              </w:rPr>
            </w:pPr>
            <w:r w:rsidRPr="0053423A">
              <w:rPr>
                <w:rFonts w:eastAsia="GHEA Grapalat" w:cs="GHEA Grapalat"/>
                <w:b/>
                <w:u w:val="single"/>
                <w:lang w:val="hy-AM" w:eastAsia="zh-CN"/>
              </w:rPr>
              <w:t xml:space="preserve">11.2 </w:t>
            </w:r>
            <w:r w:rsidRPr="0053423A">
              <w:rPr>
                <w:b/>
                <w:u w:val="single"/>
                <w:lang w:val="hy-AM"/>
              </w:rPr>
              <w:t>Ջրային ռեսուրսների, հողերի, մթնոլորտային օդի, կենդանական ու բուսական աշխարհի վիճակի պետական մոնիթորինգի իրականացման. ստացված տվյալների հավաքագրման, վերլուծության, գնահատման և տեղեկատվության տարածման օրենսդրական դաշտի կարգավորում</w:t>
            </w:r>
          </w:p>
          <w:p w:rsidR="00530B14" w:rsidRPr="0053423A" w:rsidRDefault="00530B14" w:rsidP="00A67858">
            <w:pPr>
              <w:spacing w:line="276" w:lineRule="auto"/>
              <w:jc w:val="center"/>
              <w:rPr>
                <w:b/>
                <w:u w:val="single"/>
                <w:lang w:val="hy-AM"/>
              </w:rPr>
            </w:pPr>
          </w:p>
          <w:p w:rsidR="00530B14" w:rsidRPr="0053423A" w:rsidRDefault="00530B14" w:rsidP="00A67858">
            <w:pPr>
              <w:numPr>
                <w:ilvl w:val="0"/>
                <w:numId w:val="30"/>
              </w:numPr>
              <w:spacing w:line="276" w:lineRule="auto"/>
              <w:contextualSpacing/>
              <w:jc w:val="both"/>
              <w:rPr>
                <w:b/>
                <w:lang w:val="hy-AM"/>
              </w:rPr>
            </w:pPr>
            <w:r w:rsidRPr="0053423A">
              <w:rPr>
                <w:b/>
                <w:lang w:val="hy-AM"/>
              </w:rPr>
              <w:t>Միջոցառման իրակացման անհրաժեշտությունը և նպատակը</w:t>
            </w:r>
          </w:p>
          <w:p w:rsidR="00530B14" w:rsidRPr="0053423A" w:rsidRDefault="00232EB0" w:rsidP="00A67858">
            <w:pPr>
              <w:shd w:val="clear" w:color="auto" w:fill="FFFFFF"/>
              <w:spacing w:line="276" w:lineRule="auto"/>
              <w:ind w:firstLine="375"/>
              <w:jc w:val="both"/>
              <w:rPr>
                <w:lang w:val="af-ZA"/>
              </w:rPr>
            </w:pPr>
            <w:r w:rsidRPr="0053423A">
              <w:rPr>
                <w:lang w:val="hy-AM"/>
              </w:rPr>
              <w:t>Միջո</w:t>
            </w:r>
            <w:r w:rsidR="00530B14" w:rsidRPr="0053423A">
              <w:rPr>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Շրջակա միջավայրի մոնիթորինգի, թույլտվություն¬ների, լիցենզիաների միասնական և ժամանակակից համակարգերի ներդրում, առաջնային տեղեկատվության համակարգված կառավարում  ուղղությունը:</w:t>
            </w:r>
          </w:p>
          <w:p w:rsidR="00530B14" w:rsidRPr="0053423A" w:rsidRDefault="00530B14" w:rsidP="00A67858">
            <w:pPr>
              <w:spacing w:line="276" w:lineRule="auto"/>
              <w:ind w:firstLine="735"/>
              <w:contextualSpacing/>
              <w:jc w:val="both"/>
              <w:rPr>
                <w:rFonts w:eastAsia="Calibri"/>
                <w:lang w:val="af-ZA"/>
              </w:rPr>
            </w:pPr>
            <w:r w:rsidRPr="0053423A">
              <w:rPr>
                <w:rFonts w:cs="Sylfaen"/>
                <w:bCs/>
                <w:lang w:val="af-ZA"/>
              </w:rPr>
              <w:t>Մշակված միջոցառ</w:t>
            </w:r>
            <w:r w:rsidRPr="0053423A">
              <w:rPr>
                <w:rFonts w:cs="Sylfaen"/>
                <w:bCs/>
                <w:lang w:val="hy-AM"/>
              </w:rPr>
              <w:t>ման</w:t>
            </w:r>
            <w:r w:rsidRPr="0053423A">
              <w:rPr>
                <w:rFonts w:cs="Sylfaen"/>
                <w:bCs/>
                <w:lang w:val="af-ZA"/>
              </w:rPr>
              <w:t xml:space="preserve"> հաստատման համար հիմք են հանդիսացել՝ </w:t>
            </w:r>
            <w:r w:rsidRPr="0053423A">
              <w:rPr>
                <w:rFonts w:eastAsia="Calibri" w:cs="Sylfaen"/>
                <w:bCs/>
                <w:lang w:val="af-ZA"/>
              </w:rPr>
              <w:t xml:space="preserve">Ջրային օրենսգրքի 19.1-րդ </w:t>
            </w:r>
            <w:r w:rsidRPr="0053423A">
              <w:rPr>
                <w:rFonts w:eastAsia="Calibri" w:cs="Sylfaen"/>
                <w:bCs/>
                <w:lang w:val="hy-AM"/>
              </w:rPr>
              <w:t>և</w:t>
            </w:r>
            <w:r w:rsidRPr="0053423A">
              <w:rPr>
                <w:rFonts w:eastAsia="Calibri" w:cs="Sylfaen"/>
                <w:bCs/>
                <w:lang w:val="af-ZA"/>
              </w:rPr>
              <w:t xml:space="preserve"> 19.2-րդ հոդվածները, Անտառային օրենսգրքի 6-րդ և 16-րդ հոդվածները,</w:t>
            </w:r>
            <w:r w:rsidRPr="0053423A">
              <w:rPr>
                <w:rFonts w:cs="Sylfaen"/>
                <w:bCs/>
                <w:lang w:val="af-ZA"/>
              </w:rPr>
              <w:t xml:space="preserve"> ՀՀ հողային օրենսգրքի 36-րդ հոդվածը, </w:t>
            </w:r>
            <w:r w:rsidRPr="0053423A">
              <w:rPr>
                <w:rFonts w:eastAsia="Calibri" w:cs="Sylfaen"/>
                <w:lang w:val="af-ZA"/>
              </w:rPr>
              <w:t>«Բնության հատուկ պահպանվող տարածքների մասին</w:t>
            </w:r>
            <w:r w:rsidRPr="0053423A">
              <w:rPr>
                <w:rFonts w:eastAsia="Calibri"/>
                <w:lang w:val="hy-AM"/>
              </w:rPr>
              <w:t>» ՀՀ օրենքի</w:t>
            </w:r>
            <w:r w:rsidRPr="0053423A">
              <w:rPr>
                <w:rFonts w:eastAsia="Calibri"/>
                <w:lang w:val="af-ZA"/>
              </w:rPr>
              <w:t xml:space="preserve"> 8-</w:t>
            </w:r>
            <w:r w:rsidRPr="0053423A">
              <w:rPr>
                <w:rFonts w:eastAsia="Calibri"/>
                <w:lang w:val="hy-AM"/>
              </w:rPr>
              <w:t>րդ հոդվածը</w:t>
            </w:r>
            <w:r w:rsidRPr="0053423A">
              <w:rPr>
                <w:rFonts w:eastAsia="Calibri"/>
                <w:lang w:val="af-ZA"/>
              </w:rPr>
              <w:t xml:space="preserve">, </w:t>
            </w:r>
            <w:r w:rsidRPr="0053423A">
              <w:rPr>
                <w:rFonts w:eastAsia="Calibri" w:cs="Sylfaen"/>
                <w:lang w:val="af-ZA"/>
              </w:rPr>
              <w:t>«Կենդանական աշխարհի մասին</w:t>
            </w:r>
            <w:r w:rsidRPr="0053423A">
              <w:rPr>
                <w:rFonts w:eastAsia="Calibri"/>
                <w:lang w:val="hy-AM"/>
              </w:rPr>
              <w:t>» ՀՀ օրենքի</w:t>
            </w:r>
            <w:r w:rsidRPr="0053423A">
              <w:rPr>
                <w:rFonts w:eastAsia="Calibri"/>
                <w:lang w:val="af-ZA"/>
              </w:rPr>
              <w:t xml:space="preserve"> 5-</w:t>
            </w:r>
            <w:r w:rsidRPr="0053423A">
              <w:rPr>
                <w:rFonts w:eastAsia="Calibri"/>
                <w:lang w:val="hy-AM"/>
              </w:rPr>
              <w:t>րդ հոդվածը</w:t>
            </w:r>
            <w:r w:rsidRPr="0053423A">
              <w:rPr>
                <w:rFonts w:eastAsia="Calibri"/>
                <w:lang w:val="af-ZA"/>
              </w:rPr>
              <w:t xml:space="preserve">, </w:t>
            </w:r>
            <w:r w:rsidRPr="0053423A">
              <w:rPr>
                <w:rFonts w:eastAsia="Calibri" w:cs="Sylfaen"/>
                <w:lang w:val="af-ZA"/>
              </w:rPr>
              <w:t>«Բուսական աշխարհի մասին</w:t>
            </w:r>
            <w:r w:rsidRPr="0053423A">
              <w:rPr>
                <w:rFonts w:eastAsia="Calibri"/>
                <w:lang w:val="hy-AM"/>
              </w:rPr>
              <w:t>» ՀՀ օրենքի</w:t>
            </w:r>
            <w:r w:rsidRPr="0053423A">
              <w:rPr>
                <w:rFonts w:eastAsia="Calibri"/>
                <w:lang w:val="af-ZA"/>
              </w:rPr>
              <w:t xml:space="preserve"> 5-</w:t>
            </w:r>
            <w:r w:rsidRPr="0053423A">
              <w:rPr>
                <w:rFonts w:eastAsia="Calibri"/>
                <w:lang w:val="hy-AM"/>
              </w:rPr>
              <w:t>րդ հոդվածը</w:t>
            </w:r>
            <w:r w:rsidRPr="0053423A">
              <w:rPr>
                <w:rFonts w:eastAsia="Calibri"/>
                <w:lang w:val="af-ZA"/>
              </w:rPr>
              <w:t xml:space="preserve">, </w:t>
            </w:r>
            <w:r w:rsidRPr="0053423A">
              <w:rPr>
                <w:rFonts w:eastAsia="Calibri" w:cs="Sylfaen"/>
                <w:lang w:val="af-ZA"/>
              </w:rPr>
              <w:t>«Մթնոլորտային օդի պահպանության մասին</w:t>
            </w:r>
            <w:r w:rsidRPr="0053423A">
              <w:rPr>
                <w:rFonts w:eastAsia="Calibri"/>
                <w:lang w:val="hy-AM"/>
              </w:rPr>
              <w:t>» ՀՀ օրենքի</w:t>
            </w:r>
            <w:r w:rsidRPr="0053423A">
              <w:rPr>
                <w:rFonts w:eastAsia="Calibri"/>
                <w:lang w:val="af-ZA"/>
              </w:rPr>
              <w:t xml:space="preserve"> 5-</w:t>
            </w:r>
            <w:r w:rsidRPr="0053423A">
              <w:rPr>
                <w:rFonts w:eastAsia="Calibri"/>
                <w:lang w:val="hy-AM"/>
              </w:rPr>
              <w:t>րդ հոդվածը</w:t>
            </w:r>
            <w:r w:rsidRPr="0053423A">
              <w:rPr>
                <w:rFonts w:eastAsia="Calibri"/>
                <w:lang w:val="af-ZA"/>
              </w:rPr>
              <w:t xml:space="preserve">:  </w:t>
            </w:r>
          </w:p>
          <w:p w:rsidR="00530B14" w:rsidRPr="0053423A" w:rsidRDefault="00530B14" w:rsidP="00A67858">
            <w:pPr>
              <w:spacing w:line="276" w:lineRule="auto"/>
              <w:ind w:firstLine="735"/>
              <w:contextualSpacing/>
              <w:jc w:val="both"/>
              <w:rPr>
                <w:rFonts w:eastAsia="Calibri"/>
                <w:lang w:val="af-ZA"/>
              </w:rPr>
            </w:pPr>
          </w:p>
          <w:p w:rsidR="00530B14" w:rsidRPr="0053423A" w:rsidRDefault="00530B14" w:rsidP="00A67858">
            <w:pPr>
              <w:spacing w:line="276" w:lineRule="auto"/>
              <w:ind w:firstLine="735"/>
              <w:contextualSpacing/>
              <w:jc w:val="both"/>
              <w:rPr>
                <w:b/>
                <w:lang w:val="hy-AM"/>
              </w:rPr>
            </w:pPr>
            <w:r w:rsidRPr="0053423A">
              <w:rPr>
                <w:rFonts w:eastAsia="Calibri" w:cs="Sylfaen"/>
                <w:b/>
                <w:lang w:val="hy-AM"/>
              </w:rPr>
              <w:t xml:space="preserve">1.1 </w:t>
            </w:r>
            <w:r w:rsidRPr="0053423A">
              <w:rPr>
                <w:b/>
                <w:lang w:val="hy-AM"/>
              </w:rPr>
              <w:t>Կարգավորման հարաբերությունների ներկա վիճակը և առկա խնդիրները</w:t>
            </w:r>
          </w:p>
          <w:p w:rsidR="00530B14" w:rsidRPr="0053423A" w:rsidRDefault="00530B14" w:rsidP="00A67858">
            <w:pPr>
              <w:shd w:val="clear" w:color="auto" w:fill="FFFFFF"/>
              <w:tabs>
                <w:tab w:val="left" w:pos="0"/>
              </w:tabs>
              <w:spacing w:line="276" w:lineRule="auto"/>
              <w:ind w:right="-164" w:firstLine="540"/>
              <w:jc w:val="both"/>
              <w:rPr>
                <w:lang w:val="hy-AM"/>
              </w:rPr>
            </w:pPr>
            <w:r w:rsidRPr="0053423A">
              <w:rPr>
                <w:rFonts w:cs="Courier New"/>
                <w:lang w:val="af-ZA"/>
              </w:rPr>
              <w:tab/>
            </w:r>
            <w:r w:rsidRPr="0053423A">
              <w:rPr>
                <w:lang w:val="hy-AM"/>
              </w:rPr>
              <w:t xml:space="preserve">Ներկա դրությամբ </w:t>
            </w:r>
            <w:r w:rsidRPr="0053423A">
              <w:t>Հայաստանի</w:t>
            </w:r>
            <w:r w:rsidRPr="0053423A">
              <w:rPr>
                <w:lang w:val="af-ZA"/>
              </w:rPr>
              <w:t xml:space="preserve"> </w:t>
            </w:r>
            <w:r w:rsidRPr="0053423A">
              <w:t>Հանրապետության</w:t>
            </w:r>
            <w:r w:rsidRPr="0053423A">
              <w:rPr>
                <w:lang w:val="af-ZA"/>
              </w:rPr>
              <w:t xml:space="preserve"> </w:t>
            </w:r>
            <w:r w:rsidRPr="0053423A">
              <w:rPr>
                <w:lang w:val="hy-AM"/>
              </w:rPr>
              <w:t>շրջակա միջավայրի և բնական ռեսուրսների տարբեր բաղադրիչների (մթնոլորտային օդի, մակերևութային և ստորերկրյա քաղցրահամ ջրային ռեսուրսների, հողերի, կենդանական և բուսական աշխարհի, այդ թվում՝ բնության հատուկ պահպանվող տարածքների ու անտառների)</w:t>
            </w:r>
            <w:r w:rsidRPr="0053423A">
              <w:rPr>
                <w:lang w:val="af-ZA"/>
              </w:rPr>
              <w:t xml:space="preserve"> </w:t>
            </w:r>
            <w:r w:rsidRPr="0053423A">
              <w:rPr>
                <w:lang w:val="hy-AM"/>
              </w:rPr>
              <w:t xml:space="preserve">և այդ բաղադրիչների վրա ազդեցություն ունեցող գործոնների վիճակը բնութագրող դիտարկումները, պետական բյուջեի միջոցների հաշվին, իրականացվում են տարբեր պետական կառավարման մարմինների կողմից՝ իրենց կանոնադրական խնդիրների շրջանակներում։ Այդպիսի դիտարկումներն իրականացվում են ինչպես </w:t>
            </w:r>
            <w:r w:rsidRPr="0053423A">
              <w:rPr>
                <w:color w:val="000000"/>
                <w:lang w:val="hy-AM"/>
              </w:rPr>
              <w:t>բնապահպանության</w:t>
            </w:r>
            <w:r w:rsidRPr="0053423A">
              <w:rPr>
                <w:lang w:val="hy-AM"/>
              </w:rPr>
              <w:t xml:space="preserve"> նախարարության ենթակայության գործող՝ «Շրջակա միջավայրի մոնիթորինգի ու տեղեկատվության կենտրոն» ՊՈԱԿ-ի կողմից (մթնոլորտային օդի ու մակերևութային ջրային ռեսուրսների նկատմամբ որակական, իսկ ստորերկրյա քաղցրահամ ջրային ռեսուրսների նկատմամբ՝ որակական ու քանակական և մասամբ հողերի աղտոտվածության նկատմամբ դիտարկումներ, </w:t>
            </w:r>
            <w:r w:rsidRPr="0053423A">
              <w:rPr>
                <w:rFonts w:cs="Tahoma"/>
                <w:lang w:val="hy-AM"/>
              </w:rPr>
              <w:t xml:space="preserve">թափոնների հեռացման վայրերի դիտարկումներ ու </w:t>
            </w:r>
            <w:r w:rsidRPr="0053423A">
              <w:rPr>
                <w:lang w:val="hy-AM"/>
              </w:rPr>
              <w:t xml:space="preserve">թափոնների ուսումնասիրություններ) և «Անտառային մոնիթորինգի կենտրոն» ՊՈԱԿ-ի (անտառների և անտառային հողերի վիճակի, դրանց վրա տարբեր տեսակի մարդածին և բնական ներգործությունների, այդ թվում՝ ապօրինի հատումների, անտառային հրդեհների, հիվանդությունների ու վնասատուների տարածվածության և բացասական այլ գործողությունների ու երևույթների, ինչպես նաև դրանց հետևանքով առաջացած քանակական ու որակական փոփոխությունների նկատմամբ դիտարկումներ) կողմից, այնպես էլ՝ </w:t>
            </w:r>
            <w:r w:rsidRPr="0053423A">
              <w:rPr>
                <w:rFonts w:cs="Sylfaen"/>
                <w:lang w:val="hy-AM"/>
              </w:rPr>
              <w:t xml:space="preserve">«Հիդրոօդերևութաբանության և մթնոլորտային երևույթների վրա ակտիվ ներգործության ծառայություն» ՊՈԱԿ-ի կողմից </w:t>
            </w:r>
            <w:r w:rsidRPr="0053423A">
              <w:rPr>
                <w:lang w:val="hy-AM"/>
              </w:rPr>
              <w:t>(</w:t>
            </w:r>
            <w:r w:rsidRPr="0053423A">
              <w:rPr>
                <w:rFonts w:cs="Sylfaen"/>
                <w:lang w:val="hy-AM"/>
              </w:rPr>
              <w:t>մակերևութային ջրերի և մթնոլորտի քանակական հատկությունների նկատմամբ</w:t>
            </w:r>
            <w:r w:rsidRPr="0053423A">
              <w:rPr>
                <w:rFonts w:cs="Sylfaen"/>
                <w:lang w:val="af-ZA"/>
              </w:rPr>
              <w:t xml:space="preserve">, </w:t>
            </w:r>
            <w:r w:rsidRPr="0053423A">
              <w:rPr>
                <w:rFonts w:cs="Sylfaen"/>
                <w:lang w:val="hy-AM"/>
              </w:rPr>
              <w:t>ներառյալ</w:t>
            </w:r>
            <w:r w:rsidRPr="0053423A">
              <w:rPr>
                <w:rFonts w:cs="Sylfaen"/>
                <w:lang w:val="af-ZA"/>
              </w:rPr>
              <w:t xml:space="preserve">` </w:t>
            </w:r>
            <w:r w:rsidRPr="0053423A">
              <w:rPr>
                <w:lang w:val="hy-AM"/>
              </w:rPr>
              <w:t>աերոլոգիական</w:t>
            </w:r>
            <w:r w:rsidRPr="0053423A">
              <w:rPr>
                <w:rFonts w:cs="Sylfaen"/>
                <w:lang w:val="hy-AM"/>
              </w:rPr>
              <w:t>/մթնոլորտի վերին շերտերի/</w:t>
            </w:r>
            <w:r w:rsidRPr="0053423A">
              <w:rPr>
                <w:rFonts w:cs="Sylfaen"/>
                <w:lang w:val="af-ZA"/>
              </w:rPr>
              <w:t xml:space="preserve">, </w:t>
            </w:r>
            <w:r w:rsidRPr="0053423A">
              <w:rPr>
                <w:lang w:val="hy-AM"/>
              </w:rPr>
              <w:t>կլիմայական /</w:t>
            </w:r>
            <w:r w:rsidRPr="0053423A">
              <w:rPr>
                <w:rFonts w:cs="Sylfaen"/>
                <w:lang w:val="hy-AM"/>
              </w:rPr>
              <w:t>կլիմայական պայմանների ու անոմալիաների/</w:t>
            </w:r>
            <w:r w:rsidRPr="0053423A">
              <w:rPr>
                <w:rFonts w:cs="Sylfaen"/>
                <w:lang w:val="af-ZA"/>
              </w:rPr>
              <w:t xml:space="preserve">, </w:t>
            </w:r>
            <w:r w:rsidRPr="0053423A">
              <w:rPr>
                <w:lang w:val="hy-AM"/>
              </w:rPr>
              <w:t>օզոնոչափական</w:t>
            </w:r>
            <w:r w:rsidRPr="0053423A">
              <w:rPr>
                <w:rFonts w:cs="Sylfaen"/>
                <w:lang w:val="hy-AM"/>
              </w:rPr>
              <w:t xml:space="preserve"> /ընդհանուր պարունակության/</w:t>
            </w:r>
            <w:r w:rsidRPr="0053423A">
              <w:rPr>
                <w:lang w:val="hy-AM"/>
              </w:rPr>
              <w:t>, հելիոերկրաֆիզիկական</w:t>
            </w:r>
            <w:r w:rsidRPr="0053423A">
              <w:rPr>
                <w:rFonts w:cs="Sylfaen"/>
                <w:lang w:val="hy-AM"/>
              </w:rPr>
              <w:t>/ ուլտրամանուշակագույն ճառագայթման/</w:t>
            </w:r>
            <w:r w:rsidRPr="0053423A">
              <w:rPr>
                <w:lang w:val="hy-AM"/>
              </w:rPr>
              <w:t>, ակտինոմետրական</w:t>
            </w:r>
            <w:r w:rsidRPr="0053423A">
              <w:rPr>
                <w:rFonts w:cs="Sylfaen"/>
                <w:lang w:val="hy-AM"/>
              </w:rPr>
              <w:t xml:space="preserve">/ արեգակնային ճառագայթման/, ագրոօդերևութաբանական /գյուղատնտեսական մշակաբույսերի աճի և զարգացման, խոտհարքների և արոտավայրերի ագրոօդերևութաբանական պայմանների/, </w:t>
            </w:r>
            <w:r w:rsidRPr="0053423A">
              <w:rPr>
                <w:lang w:val="hy-AM"/>
              </w:rPr>
              <w:t>ռադիոլոգիական /</w:t>
            </w:r>
            <w:r w:rsidRPr="0053423A">
              <w:rPr>
                <w:rFonts w:cs="Sylfaen"/>
                <w:lang w:val="hy-AM"/>
              </w:rPr>
              <w:t>մթնոլորտի, հողի և ջրի ռադիոակտիվության աստիճանի/ դիտարկումներ</w:t>
            </w:r>
            <w:r w:rsidRPr="0053423A">
              <w:rPr>
                <w:lang w:val="hy-AM"/>
              </w:rPr>
              <w:t xml:space="preserve">)։ </w:t>
            </w:r>
          </w:p>
          <w:p w:rsidR="00530B14" w:rsidRPr="0053423A" w:rsidRDefault="00530B14" w:rsidP="00A67858">
            <w:pPr>
              <w:shd w:val="clear" w:color="auto" w:fill="FFFFFF"/>
              <w:tabs>
                <w:tab w:val="left" w:pos="0"/>
                <w:tab w:val="left" w:pos="4140"/>
                <w:tab w:val="left" w:pos="4500"/>
              </w:tabs>
              <w:spacing w:line="276" w:lineRule="auto"/>
              <w:ind w:right="-164" w:firstLine="540"/>
              <w:jc w:val="both"/>
              <w:rPr>
                <w:rFonts w:cs="Sylfaen"/>
                <w:lang w:val="af-ZA"/>
              </w:rPr>
            </w:pPr>
            <w:r w:rsidRPr="0053423A">
              <w:rPr>
                <w:lang w:val="hy-AM"/>
              </w:rPr>
              <w:t>Շրջակա միրավայրի և բնական ռեսուրսների վիճակի հավաստի և ամբողջական գնահատում իրականացնելու նպատակով անհրաժեշտ են ոչ միայն վերը նշված դիտարկումների արդյունքներով ըստ տարբեր ցուցանիշների ստացված տեղեկատվությունը, այլ նաև առողջապահության, ավտոտրանսպորտի, էներգետիկ ռեսուրսների և ջրատնտեսական համակարգերի վիճակի վերաբերյալ տեղեկատվությունը</w:t>
            </w:r>
            <w:r w:rsidRPr="0053423A">
              <w:rPr>
                <w:rFonts w:cs="Sylfaen"/>
                <w:lang w:val="af-ZA"/>
              </w:rPr>
              <w:t>:</w:t>
            </w:r>
          </w:p>
          <w:p w:rsidR="00530B14" w:rsidRPr="0053423A" w:rsidRDefault="00530B14" w:rsidP="00A67858">
            <w:pPr>
              <w:spacing w:line="276" w:lineRule="auto"/>
              <w:ind w:firstLine="375"/>
              <w:jc w:val="both"/>
              <w:rPr>
                <w:b/>
                <w:lang w:val="hy-AM"/>
              </w:rPr>
            </w:pPr>
            <w:r w:rsidRPr="0053423A">
              <w:rPr>
                <w:b/>
                <w:lang w:val="hy-AM"/>
              </w:rPr>
              <w:t>1.2. Առկա խնդիրների առաջարկվող լուծումները</w:t>
            </w:r>
          </w:p>
          <w:p w:rsidR="00530B14" w:rsidRPr="0053423A" w:rsidRDefault="00530B14" w:rsidP="00A67858">
            <w:pPr>
              <w:shd w:val="clear" w:color="auto" w:fill="FFFFFF"/>
              <w:tabs>
                <w:tab w:val="left" w:pos="0"/>
                <w:tab w:val="left" w:pos="4140"/>
                <w:tab w:val="left" w:pos="4500"/>
              </w:tabs>
              <w:spacing w:line="276" w:lineRule="auto"/>
              <w:ind w:right="-164" w:firstLine="540"/>
              <w:jc w:val="both"/>
              <w:rPr>
                <w:lang w:val="af-ZA"/>
              </w:rPr>
            </w:pPr>
            <w:r w:rsidRPr="0053423A">
              <w:rPr>
                <w:lang w:val="hy-AM"/>
              </w:rPr>
              <w:t>Շրջակա միրավայրի վիճակի ամբողջական գնահատման անհրաժեշտ տեղեկատվության ստացման, տվյալների հավաքագրման, դրանց վերլուծման, գնահատման և այդ տեղեկատվության տրամադրման համար անհրաժեշտ է ՀՀ կառավարության որոշմամբ ամրագրել ընթացակարգ, հստակ սահմանելով՝ պահանջվող տեղեկատվության տեսակն ու բովանդակությունը և դրանց տրամադրման ձևն ու ժամկետները՝ ըստ տեղեկատվությունը տնօրինող համապատասխան պետական կառավարման մարմինների</w:t>
            </w:r>
            <w:r w:rsidRPr="0053423A">
              <w:rPr>
                <w:lang w:val="af-ZA"/>
              </w:rPr>
              <w:t xml:space="preserve">, </w:t>
            </w:r>
            <w:r w:rsidRPr="0053423A">
              <w:t>որոնք</w:t>
            </w:r>
            <w:r w:rsidRPr="0053423A">
              <w:rPr>
                <w:lang w:val="af-ZA"/>
              </w:rPr>
              <w:t xml:space="preserve"> </w:t>
            </w:r>
            <w:r w:rsidRPr="0053423A">
              <w:t>հանդիսանում</w:t>
            </w:r>
            <w:r w:rsidRPr="0053423A">
              <w:rPr>
                <w:lang w:val="af-ZA"/>
              </w:rPr>
              <w:t xml:space="preserve"> </w:t>
            </w:r>
            <w:r w:rsidRPr="0053423A">
              <w:t>եմ</w:t>
            </w:r>
            <w:r w:rsidRPr="0053423A">
              <w:rPr>
                <w:lang w:val="af-ZA"/>
              </w:rPr>
              <w:t xml:space="preserve"> </w:t>
            </w:r>
            <w:r w:rsidRPr="0053423A">
              <w:t>միջոցառման</w:t>
            </w:r>
            <w:r w:rsidRPr="0053423A">
              <w:rPr>
                <w:lang w:val="af-ZA"/>
              </w:rPr>
              <w:t xml:space="preserve"> </w:t>
            </w:r>
            <w:r w:rsidRPr="0053423A">
              <w:t>գործողությունների</w:t>
            </w:r>
            <w:r w:rsidRPr="0053423A">
              <w:rPr>
                <w:lang w:val="af-ZA"/>
              </w:rPr>
              <w:t xml:space="preserve"> </w:t>
            </w:r>
            <w:r w:rsidRPr="0053423A">
              <w:t>իրականացման</w:t>
            </w:r>
            <w:r w:rsidRPr="0053423A">
              <w:rPr>
                <w:lang w:val="af-ZA"/>
              </w:rPr>
              <w:t xml:space="preserve"> </w:t>
            </w:r>
            <w:r w:rsidRPr="0053423A">
              <w:t>համակատարողներ</w:t>
            </w:r>
            <w:r w:rsidRPr="0053423A">
              <w:rPr>
                <w:lang w:val="af-ZA"/>
              </w:rPr>
              <w:t>:</w:t>
            </w:r>
          </w:p>
          <w:p w:rsidR="00530B14" w:rsidRPr="0053423A" w:rsidRDefault="00530B14" w:rsidP="00A67858">
            <w:pPr>
              <w:spacing w:line="276" w:lineRule="auto"/>
              <w:ind w:firstLine="375"/>
              <w:rPr>
                <w:rFonts w:cs="Courier New"/>
                <w:b/>
                <w:lang w:val="hy-AM"/>
              </w:rPr>
            </w:pPr>
            <w:r w:rsidRPr="0053423A">
              <w:rPr>
                <w:b/>
                <w:lang w:val="hy-AM"/>
              </w:rPr>
              <w:t>2. Միջոցառման իրականացումից ակնկալվող արդյունքը</w:t>
            </w:r>
          </w:p>
          <w:p w:rsidR="00530B14" w:rsidRPr="0053423A" w:rsidRDefault="00530B14" w:rsidP="00A67858">
            <w:pPr>
              <w:spacing w:line="276" w:lineRule="auto"/>
              <w:ind w:firstLine="720"/>
              <w:contextualSpacing/>
              <w:jc w:val="both"/>
              <w:rPr>
                <w:lang w:val="hy-AM"/>
              </w:rPr>
            </w:pPr>
            <w:r w:rsidRPr="0053423A">
              <w:rPr>
                <w:lang w:val="hy-AM"/>
              </w:rPr>
              <w:t>Շրջակա միրավայրի և բնական ռեսուրսների իրական վիճակի վերաբերյալ՝ հավաստի տեղեկատվության առկայություն, առկա տեկեկատվության փոխանակման հասանելության ապահովում, շրջակա միջավայրի վիճակի վերաբերյալ իրազեկվածության բարձրացում,բնապահպանական ազգային պորտալի ստեղծման հիմքերի ապահովում ուազգային պորտալի առկայությունև ՀՀ կողմից միջազգային պայմանագրերով ստանձնած պարտավորությունների կատարման ապահովում։</w:t>
            </w:r>
          </w:p>
          <w:p w:rsidR="00530B14" w:rsidRPr="0053423A" w:rsidRDefault="00530B14" w:rsidP="00A67858">
            <w:pPr>
              <w:spacing w:line="276" w:lineRule="auto"/>
              <w:ind w:firstLine="720"/>
              <w:contextualSpacing/>
              <w:jc w:val="both"/>
              <w:rPr>
                <w:lang w:val="hy-AM"/>
              </w:rPr>
            </w:pPr>
          </w:p>
          <w:p w:rsidR="00530B14" w:rsidRPr="0053423A" w:rsidRDefault="00530B14" w:rsidP="00A67858">
            <w:pPr>
              <w:spacing w:line="276" w:lineRule="auto"/>
              <w:ind w:firstLine="720"/>
              <w:contextualSpacing/>
              <w:jc w:val="center"/>
              <w:rPr>
                <w:b/>
                <w:u w:val="single"/>
                <w:lang w:val="af-ZA"/>
              </w:rPr>
            </w:pPr>
            <w:r w:rsidRPr="0053423A">
              <w:rPr>
                <w:b/>
                <w:u w:val="single"/>
                <w:lang w:val="hy-AM"/>
              </w:rPr>
              <w:t xml:space="preserve">11.3 </w:t>
            </w:r>
            <w:r w:rsidRPr="0053423A">
              <w:rPr>
                <w:b/>
                <w:u w:val="single"/>
                <w:lang w:val="af-ZA"/>
              </w:rPr>
              <w:t></w:t>
            </w:r>
            <w:r w:rsidRPr="0053423A">
              <w:rPr>
                <w:b/>
                <w:u w:val="single"/>
                <w:lang w:val="hy-AM"/>
              </w:rPr>
              <w:t>Շրջակա միջավայրի բաղադրիչների (մթնոլորտային օդի. ջրային ռեսուրսների՝ ներառյալ քաղցրահամ և ստորերկրյա ջրերի. հողերի. կենսաբազմազանության) և թափոնների հեռացման վայրերի մոնիթորինգի դիտացանցերի արդիականացում</w:t>
            </w:r>
            <w:r w:rsidRPr="0053423A">
              <w:rPr>
                <w:b/>
                <w:u w:val="single"/>
                <w:lang w:val="af-ZA"/>
              </w:rPr>
              <w:t></w:t>
            </w:r>
          </w:p>
          <w:p w:rsidR="00530B14" w:rsidRPr="0053423A" w:rsidRDefault="00530B14" w:rsidP="00A67858">
            <w:pPr>
              <w:spacing w:line="276" w:lineRule="auto"/>
              <w:ind w:firstLine="720"/>
              <w:contextualSpacing/>
              <w:jc w:val="center"/>
              <w:rPr>
                <w:b/>
                <w:u w:val="single"/>
                <w:lang w:val="af-ZA"/>
              </w:rPr>
            </w:pPr>
          </w:p>
          <w:p w:rsidR="00530B14" w:rsidRPr="0053423A" w:rsidRDefault="00530B14" w:rsidP="00A67858">
            <w:pPr>
              <w:pStyle w:val="ListParagraph"/>
              <w:spacing w:line="276" w:lineRule="auto"/>
              <w:ind w:left="735"/>
              <w:jc w:val="both"/>
              <w:rPr>
                <w:lang w:val="hy-AM"/>
              </w:rPr>
            </w:pPr>
            <w:r w:rsidRPr="0053423A">
              <w:rPr>
                <w:b/>
                <w:i/>
                <w:lang w:val="hy-AM"/>
              </w:rPr>
              <w:t>Միջոցառման իրակացման անհրաժեշտությունը և նպատակը</w:t>
            </w:r>
          </w:p>
          <w:p w:rsidR="00530B14" w:rsidRPr="0053423A" w:rsidRDefault="00530B14" w:rsidP="00A67858">
            <w:pPr>
              <w:pStyle w:val="ListParagraph"/>
              <w:spacing w:line="276" w:lineRule="auto"/>
              <w:ind w:left="0" w:firstLine="553"/>
              <w:jc w:val="both"/>
              <w:rPr>
                <w:b/>
                <w:lang w:val="hy-AM"/>
              </w:rPr>
            </w:pPr>
            <w:r w:rsidRPr="0053423A">
              <w:rPr>
                <w:rFonts w:cs="Sylfaen"/>
                <w:b/>
                <w:lang w:val="hy-AM"/>
              </w:rPr>
              <w:t xml:space="preserve">1.1 </w:t>
            </w:r>
            <w:r w:rsidRPr="0053423A">
              <w:rPr>
                <w:b/>
                <w:lang w:val="hy-AM"/>
              </w:rPr>
              <w:t xml:space="preserve">Կարգավորման հարաբերությունների ներկա վիճակը և առկա խնդիրները </w:t>
            </w:r>
          </w:p>
          <w:p w:rsidR="00530B14" w:rsidRPr="0053423A" w:rsidRDefault="00232EB0" w:rsidP="00A67858">
            <w:pPr>
              <w:shd w:val="clear" w:color="auto" w:fill="FFFFFF"/>
              <w:spacing w:line="276" w:lineRule="auto"/>
              <w:ind w:firstLine="373"/>
              <w:jc w:val="both"/>
              <w:rPr>
                <w:lang w:val="hy-AM"/>
              </w:rPr>
            </w:pPr>
            <w:r w:rsidRPr="0053423A">
              <w:rPr>
                <w:lang w:val="hy-AM"/>
              </w:rPr>
              <w:t>Միջո</w:t>
            </w:r>
            <w:r w:rsidR="00530B14" w:rsidRPr="0053423A">
              <w:rPr>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Շրջակա միջավայրի մոնիթորինգի, թույլտվությունների, լիցենզիաների միասնական և ժամանակակից համակարգերի ներդրում, առաջնային տեղեկատվության համակարգված կառավարում  ուղղությունը:</w:t>
            </w:r>
          </w:p>
          <w:p w:rsidR="00530B14" w:rsidRPr="0053423A" w:rsidRDefault="00530B14" w:rsidP="00A67858">
            <w:pPr>
              <w:pStyle w:val="1"/>
              <w:spacing w:line="276" w:lineRule="auto"/>
              <w:ind w:left="0" w:firstLine="375"/>
              <w:jc w:val="both"/>
              <w:rPr>
                <w:rFonts w:ascii="GHEA Grapalat" w:eastAsiaTheme="minorHAnsi" w:hAnsi="GHEA Grapalat" w:cs="Sylfaen"/>
                <w:sz w:val="20"/>
                <w:szCs w:val="20"/>
                <w:lang w:val="hy-AM"/>
              </w:rPr>
            </w:pPr>
            <w:r w:rsidRPr="0053423A">
              <w:rPr>
                <w:rFonts w:ascii="GHEA Grapalat" w:eastAsiaTheme="minorHAnsi" w:hAnsi="GHEA Grapalat" w:cs="Sylfaen"/>
                <w:sz w:val="20"/>
                <w:szCs w:val="20"/>
                <w:lang w:val="hy-AM"/>
              </w:rPr>
              <w:t xml:space="preserve">Շրջակա միջավայրի պահպանության համար կարևորագույն հիմք է հանդիսանում շրջակա միջավայրի վիճակի վերաբերյալ ճշգրիտ գնահատականների առկայությունը, ինչը ստացվում է բաղադրիչների մոնիթորինգի արդյունքում: </w:t>
            </w:r>
          </w:p>
          <w:p w:rsidR="00530B14" w:rsidRPr="0053423A" w:rsidRDefault="00530B14" w:rsidP="00A67858">
            <w:pPr>
              <w:tabs>
                <w:tab w:val="num" w:pos="600"/>
              </w:tabs>
              <w:spacing w:line="276" w:lineRule="auto"/>
              <w:ind w:right="-85"/>
              <w:jc w:val="both"/>
              <w:rPr>
                <w:rFonts w:cs="Sylfaen"/>
                <w:lang w:val="hy-AM"/>
              </w:rPr>
            </w:pPr>
            <w:r w:rsidRPr="0053423A">
              <w:rPr>
                <w:rFonts w:cs="Sylfaen"/>
                <w:lang w:val="hy-AM"/>
              </w:rPr>
              <w:tab/>
              <w:t>Ներկայումս, օրինակ՝ մթնոլորտային օդի աղտոտվածության դիտարկումներն իրականացվում եմ հիբրիդային դիտացանցի միջոցով: Այն բաղկացած է 16 ակտիվ և ավտոմատ հիմնական անշարժ և 229 շարժական (պասիվ) նմուշառման դիտակետից: Դիտակետերի վերազինումը ավտոմատ սարքավորումներով տեղի է ունեցել 2006-2007 թվականներին: Այդ սարքավորումներից շատերը կարիք ունեն հիմնովին վերանորոգման կամ փոխարինման, որոնց համար պետական բյուջեով ֆինանսավորում չի հատկացվում: Բացի այդ, մթնոլորտային օդի դիտակետերի գոյություն ունեցող քանակը և դիտակետերում անընդհատ ռեժիմով որոշվող աղտոտիչների տեսակը չի համապատասխանում ՀՀ նորմատիվային պահանջներին (ՀՀ կառավարության 14.09.2017թ. 1120-Ն որոշում), ինչպես օրինակ Գյումրի քաղաքում նվազագույն դիտակետերի քանակը ըստ բնակչության թվի պետք է լինի երեք ներկայիս մեկի փոխարեն:</w:t>
            </w:r>
          </w:p>
          <w:p w:rsidR="00530B14" w:rsidRPr="0053423A" w:rsidRDefault="00530B14" w:rsidP="00A67858">
            <w:pPr>
              <w:spacing w:line="276" w:lineRule="auto"/>
              <w:ind w:firstLine="720"/>
              <w:jc w:val="both"/>
              <w:rPr>
                <w:rFonts w:cs="Sylfaen"/>
                <w:lang w:val="hy-AM"/>
              </w:rPr>
            </w:pPr>
            <w:r w:rsidRPr="0053423A">
              <w:rPr>
                <w:rFonts w:cs="Sylfaen"/>
                <w:lang w:val="hy-AM"/>
              </w:rPr>
              <w:t>ՀՀ և միջազգային պահանջների համաձայն հիմնական անշարժ դիտակետերում պետք է կատարվեն հիմնական աղտոտող նյութերի` ծծմբի երկօքսիդի, ազոտի օքսիդների, ածխածնի մոնօքսիդի, կախված մասնիկների (PM</w:t>
            </w:r>
            <w:r w:rsidRPr="0053423A">
              <w:rPr>
                <w:rFonts w:cs="Sylfaen"/>
                <w:vertAlign w:val="subscript"/>
                <w:lang w:val="hy-AM"/>
              </w:rPr>
              <w:t>10</w:t>
            </w:r>
            <w:r w:rsidRPr="0053423A">
              <w:rPr>
                <w:rFonts w:cs="Sylfaen"/>
                <w:lang w:val="hy-AM"/>
              </w:rPr>
              <w:t xml:space="preserve"> և PM</w:t>
            </w:r>
            <w:r w:rsidRPr="0053423A">
              <w:rPr>
                <w:rFonts w:cs="Sylfaen"/>
                <w:vertAlign w:val="subscript"/>
                <w:lang w:val="hy-AM"/>
              </w:rPr>
              <w:t>2.5</w:t>
            </w:r>
            <w:r w:rsidRPr="0053423A">
              <w:rPr>
                <w:rFonts w:cs="Sylfaen"/>
                <w:lang w:val="hy-AM"/>
              </w:rPr>
              <w:t xml:space="preserve">) և գետնամերձ օզոնի (երկրորդային աղտոտիչ) մոնիթորինգ: Ներկայումս Հայաստանի Հանրապետությունում, շարժական և անշարժ դիտակետերում որոշվող աղտոտիչների ցանկը մասամբ է համապատասխանում նշված պահանջներին: Օդի աղտոտիչների դիտարկումներից ստացված տեղեկատվությունը </w:t>
            </w:r>
            <w:r w:rsidRPr="0053423A">
              <w:rPr>
                <w:rFonts w:cs="Arial Armenian"/>
                <w:lang w:val="hy-AM"/>
              </w:rPr>
              <w:t xml:space="preserve">իրական </w:t>
            </w:r>
            <w:r w:rsidRPr="0053423A">
              <w:rPr>
                <w:rFonts w:cs="Sylfaen"/>
                <w:lang w:val="hy-AM"/>
              </w:rPr>
              <w:t>ժամանակին (real-time)</w:t>
            </w:r>
            <w:r w:rsidRPr="0053423A">
              <w:rPr>
                <w:rFonts w:cs="Arial Armenian"/>
                <w:lang w:val="hy-AM"/>
              </w:rPr>
              <w:t xml:space="preserve"> հասանելիության </w:t>
            </w:r>
            <w:r w:rsidRPr="0053423A">
              <w:rPr>
                <w:rFonts w:cs="Sylfaen"/>
                <w:lang w:val="hy-AM"/>
              </w:rPr>
              <w:t xml:space="preserve">և ժամանակային գնահատականների տեսանկյունից ևս մասամբ է  համապատասխանում միջազգային պահանջներին: </w:t>
            </w:r>
          </w:p>
          <w:p w:rsidR="00530B14" w:rsidRPr="0053423A" w:rsidRDefault="00530B14" w:rsidP="00A67858">
            <w:pPr>
              <w:spacing w:line="276" w:lineRule="auto"/>
              <w:ind w:firstLine="720"/>
              <w:jc w:val="both"/>
              <w:rPr>
                <w:lang w:val="hy-AM"/>
              </w:rPr>
            </w:pPr>
            <w:r w:rsidRPr="0053423A">
              <w:rPr>
                <w:lang w:val="hy-AM"/>
              </w:rPr>
              <w:t xml:space="preserve">Ստորերկրյա քաղցրահամ ջրերի պաշարների գնահատման համար գործող մոնիթորինգի դիտացանցը կարիք ունի ընդլայնման: Ներկայումս, մի շարք գետավազաններում բացակայում են հիդրոերկրաբանական ազգային ցանցի դիտակետերը, այդ թվում՝ Դեբեդ, Հախում, Տավուշ, Խնձորուտ, Ողջի, Մեղրի և այլ գետավազաններում,  ինչպես  նաև արարատյան արտեզյան ավազանի նախալեռնային գոտիներում: </w:t>
            </w:r>
          </w:p>
          <w:p w:rsidR="00530B14" w:rsidRPr="0053423A" w:rsidRDefault="00530B14" w:rsidP="00A67858">
            <w:pPr>
              <w:spacing w:line="276" w:lineRule="auto"/>
              <w:ind w:firstLine="720"/>
              <w:jc w:val="both"/>
              <w:rPr>
                <w:lang w:val="hy-AM"/>
              </w:rPr>
            </w:pPr>
            <w:r w:rsidRPr="0053423A">
              <w:rPr>
                <w:lang w:val="hy-AM"/>
              </w:rPr>
              <w:t>Հողերի աղտոտվածության մոնիթորինգն իրականացվում է ընդամենը 10 դիտակետում, ինչը բավարար չէ հողերի աղտոտվածության ամբողջական պատկերի գնահատման համար:</w:t>
            </w:r>
          </w:p>
          <w:p w:rsidR="00530B14" w:rsidRPr="0053423A" w:rsidRDefault="00530B14" w:rsidP="00A67858">
            <w:pPr>
              <w:autoSpaceDE w:val="0"/>
              <w:autoSpaceDN w:val="0"/>
              <w:adjustRightInd w:val="0"/>
              <w:spacing w:line="276" w:lineRule="auto"/>
              <w:ind w:firstLine="375"/>
              <w:jc w:val="both"/>
              <w:rPr>
                <w:rFonts w:eastAsia="MS Mincho" w:cs="MS Mincho"/>
                <w:lang w:val="hy-AM"/>
              </w:rPr>
            </w:pPr>
            <w:r w:rsidRPr="0053423A">
              <w:rPr>
                <w:lang w:val="hy-AM"/>
              </w:rPr>
              <w:t>Ծրագիրը իրականացնելու համար անհրաշետ է</w:t>
            </w:r>
            <w:r w:rsidRPr="0053423A">
              <w:rPr>
                <w:b/>
                <w:lang w:val="hy-AM"/>
              </w:rPr>
              <w:t xml:space="preserve"> </w:t>
            </w:r>
            <w:r w:rsidRPr="0053423A">
              <w:rPr>
                <w:rFonts w:eastAsia="MS Mincho" w:cs="MS Mincho"/>
                <w:lang w:val="hy-AM"/>
              </w:rPr>
              <w:t xml:space="preserve">725000.0 հազ.դրամ գումար, սակայն ֆինանսավորման աղբյուրը դեռևս հայտնի չէ: </w:t>
            </w:r>
          </w:p>
          <w:p w:rsidR="00530B14" w:rsidRPr="0053423A" w:rsidRDefault="00530B14" w:rsidP="00A67858">
            <w:pPr>
              <w:spacing w:line="276" w:lineRule="auto"/>
              <w:ind w:firstLine="375"/>
              <w:jc w:val="both"/>
              <w:rPr>
                <w:b/>
                <w:lang w:val="hy-AM"/>
              </w:rPr>
            </w:pPr>
            <w:r w:rsidRPr="0053423A">
              <w:rPr>
                <w:b/>
                <w:lang w:val="hy-AM"/>
              </w:rPr>
              <w:t xml:space="preserve">1.2. Առկա խնդիրների առաջարկվող լուծումները </w:t>
            </w:r>
          </w:p>
          <w:p w:rsidR="00530B14" w:rsidRPr="0053423A" w:rsidRDefault="00232EB0" w:rsidP="00A67858">
            <w:pPr>
              <w:spacing w:line="276" w:lineRule="auto"/>
              <w:contextualSpacing/>
              <w:jc w:val="both"/>
              <w:rPr>
                <w:lang w:val="hy-AM"/>
              </w:rPr>
            </w:pPr>
            <w:r w:rsidRPr="0053423A">
              <w:rPr>
                <w:lang w:val="hy-AM"/>
              </w:rPr>
              <w:t xml:space="preserve">      </w:t>
            </w:r>
            <w:r w:rsidR="00530B14" w:rsidRPr="0053423A">
              <w:rPr>
                <w:lang w:val="hy-AM"/>
              </w:rPr>
              <w:t>Հայաստանի Հանրապետությունում  մթնոլորտային օդի աղտոտվածության դիտարկումները ժամանակակից տեխնոլոգիաներով իրականացնելու, ՀՀ և միջազգային չափանիշներին համապատասխանեցնելու համար անհրաժեշտ է մթնոլորտային օդի որակի մոնիթորինգի դիտակետերը համալրել օդի հիմնական աղտոտիչների` ծծմբի երկօքսիդի, ազոտի օքսիդների, ածխածնի մոնօքսիդի, գետնամերձ օզոնի, կախված մասնիկների (PM</w:t>
            </w:r>
            <w:r w:rsidR="00530B14" w:rsidRPr="0053423A">
              <w:rPr>
                <w:vertAlign w:val="subscript"/>
                <w:lang w:val="hy-AM"/>
              </w:rPr>
              <w:t>10</w:t>
            </w:r>
            <w:r w:rsidR="00530B14" w:rsidRPr="0053423A">
              <w:rPr>
                <w:lang w:val="hy-AM"/>
              </w:rPr>
              <w:t xml:space="preserve"> և PM</w:t>
            </w:r>
            <w:r w:rsidR="00530B14" w:rsidRPr="0053423A">
              <w:rPr>
                <w:vertAlign w:val="subscript"/>
                <w:lang w:val="hy-AM"/>
              </w:rPr>
              <w:t>2.5</w:t>
            </w:r>
            <w:r w:rsidR="00530B14" w:rsidRPr="0053423A">
              <w:rPr>
                <w:lang w:val="hy-AM"/>
              </w:rPr>
              <w:t xml:space="preserve">) հետազոտությունների ավտոմատ սարքավորումներով: Մթնոլորտային օդի դիտարկումների ավտոմատացումը հնարավորություն կտա առցանց տեղեկանալ օդի աղտոտվածության վիճակի մասին, արագ բացահայտել մարդու առողջության համար վտանգավոր իրավիճակները և կանխատեսել հետագա աղտոտվածության պատկերը: </w:t>
            </w:r>
          </w:p>
          <w:p w:rsidR="00530B14" w:rsidRPr="0053423A" w:rsidRDefault="00530B14" w:rsidP="00A67858">
            <w:pPr>
              <w:spacing w:line="276" w:lineRule="auto"/>
              <w:ind w:firstLine="375"/>
              <w:jc w:val="both"/>
              <w:rPr>
                <w:lang w:val="hy-AM"/>
              </w:rPr>
            </w:pPr>
            <w:r w:rsidRPr="0053423A">
              <w:rPr>
                <w:lang w:val="hy-AM"/>
              </w:rPr>
              <w:t>Ֆինանսավորման առկայության դեպքում հնարավոր կլինի ստորերկրյա ջրերի ազգային ցանցի, հողերի աղտոտվածության մոնիթորինգի դիտացանցի ընդլայնում:</w:t>
            </w:r>
          </w:p>
          <w:p w:rsidR="00530B14" w:rsidRPr="0053423A" w:rsidRDefault="00530B14" w:rsidP="00A67858">
            <w:pPr>
              <w:spacing w:line="276" w:lineRule="auto"/>
              <w:ind w:firstLine="375"/>
              <w:rPr>
                <w:rFonts w:cs="Courier New"/>
                <w:b/>
                <w:i/>
                <w:lang w:val="hy-AM"/>
              </w:rPr>
            </w:pPr>
            <w:r w:rsidRPr="0053423A">
              <w:rPr>
                <w:b/>
                <w:i/>
                <w:lang w:val="hy-AM"/>
              </w:rPr>
              <w:t>2. Միջոցառման իրականացումից ակնկալվող արդյունքը</w:t>
            </w:r>
          </w:p>
          <w:p w:rsidR="00530B14" w:rsidRPr="0053423A" w:rsidRDefault="00530B14" w:rsidP="00A67858">
            <w:pPr>
              <w:spacing w:line="276" w:lineRule="auto"/>
              <w:contextualSpacing/>
              <w:jc w:val="both"/>
              <w:rPr>
                <w:lang w:val="hy-AM"/>
              </w:rPr>
            </w:pPr>
            <w:r w:rsidRPr="0053423A">
              <w:rPr>
                <w:lang w:val="hy-AM"/>
              </w:rPr>
              <w:t>Շրջակա միջավարի բաղադրիչների՝ մոնիթորինգի դիտակայանների և դիտացանցերի արդի տեխնոլոգիաներով հագեցվածության առկայություն և շրջակա միջավարի վերաբերյալ ժամանակին, ճշգրիտ ու անընդհատ տեղեկատվության ապահովում:</w:t>
            </w:r>
          </w:p>
          <w:p w:rsidR="00530B14" w:rsidRPr="0053423A" w:rsidRDefault="00530B14" w:rsidP="00A67858">
            <w:pPr>
              <w:spacing w:line="276" w:lineRule="auto"/>
              <w:contextualSpacing/>
              <w:jc w:val="both"/>
              <w:rPr>
                <w:b/>
                <w:lang w:val="hy-AM"/>
              </w:rPr>
            </w:pPr>
          </w:p>
          <w:p w:rsidR="00530B14" w:rsidRPr="0053423A" w:rsidRDefault="00530B14" w:rsidP="00A67858">
            <w:pPr>
              <w:spacing w:line="276" w:lineRule="auto"/>
              <w:ind w:firstLine="720"/>
              <w:contextualSpacing/>
              <w:rPr>
                <w:b/>
                <w:u w:val="single"/>
                <w:lang w:val="hy-AM"/>
              </w:rPr>
            </w:pPr>
            <w:r w:rsidRPr="0053423A">
              <w:rPr>
                <w:b/>
                <w:bCs/>
                <w:u w:val="single"/>
                <w:lang w:val="hy-AM"/>
              </w:rPr>
              <w:t xml:space="preserve">11.4 </w:t>
            </w:r>
            <w:r w:rsidRPr="0053423A">
              <w:rPr>
                <w:b/>
                <w:u w:val="single"/>
                <w:lang w:val="hy-AM"/>
              </w:rPr>
              <w:t>Շրջակա միջավայրի մոնիթորինգի լաբորատորիայի կարողությունների զարգացում</w:t>
            </w:r>
          </w:p>
          <w:p w:rsidR="00530B14" w:rsidRPr="0053423A" w:rsidRDefault="00530B14" w:rsidP="00A67858">
            <w:pPr>
              <w:spacing w:line="276" w:lineRule="auto"/>
              <w:ind w:firstLine="720"/>
              <w:contextualSpacing/>
              <w:rPr>
                <w:b/>
                <w:u w:val="single"/>
                <w:lang w:val="hy-AM"/>
              </w:rPr>
            </w:pPr>
          </w:p>
          <w:p w:rsidR="00530B14" w:rsidRPr="0053423A" w:rsidRDefault="00B009C2" w:rsidP="00A67858">
            <w:pPr>
              <w:pStyle w:val="ListParagraph"/>
              <w:spacing w:line="276" w:lineRule="auto"/>
              <w:ind w:left="735"/>
              <w:jc w:val="both"/>
              <w:rPr>
                <w:b/>
                <w:i/>
                <w:lang w:val="hy-AM"/>
              </w:rPr>
            </w:pPr>
            <w:r w:rsidRPr="0053423A">
              <w:rPr>
                <w:b/>
                <w:i/>
                <w:lang w:val="hy-AM"/>
              </w:rPr>
              <w:t xml:space="preserve">1. </w:t>
            </w:r>
            <w:r w:rsidR="00530B14" w:rsidRPr="0053423A">
              <w:rPr>
                <w:b/>
                <w:i/>
                <w:lang w:val="hy-AM"/>
              </w:rPr>
              <w:t>Միջոցառման իրակացման անհրաժեշտությունը և նպատակը</w:t>
            </w:r>
          </w:p>
          <w:p w:rsidR="00530B14" w:rsidRPr="0053423A" w:rsidRDefault="00530B14" w:rsidP="00A67858">
            <w:pPr>
              <w:pStyle w:val="ListParagraph"/>
              <w:spacing w:line="276" w:lineRule="auto"/>
              <w:ind w:left="0" w:firstLine="735"/>
              <w:jc w:val="both"/>
              <w:rPr>
                <w:b/>
                <w:lang w:val="hy-AM"/>
              </w:rPr>
            </w:pPr>
            <w:r w:rsidRPr="0053423A">
              <w:rPr>
                <w:rFonts w:cs="Sylfaen"/>
                <w:b/>
                <w:lang w:val="hy-AM"/>
              </w:rPr>
              <w:t>1.1 Կ</w:t>
            </w:r>
            <w:r w:rsidRPr="0053423A">
              <w:rPr>
                <w:b/>
                <w:lang w:val="hy-AM"/>
              </w:rPr>
              <w:t>արգավորման հարաբերությունների ներկա վիճակը և առկա խնդիրները</w:t>
            </w:r>
          </w:p>
          <w:p w:rsidR="00530B14" w:rsidRPr="0053423A" w:rsidRDefault="00232EB0" w:rsidP="00A67858">
            <w:pPr>
              <w:shd w:val="clear" w:color="auto" w:fill="FFFFFF"/>
              <w:spacing w:line="276" w:lineRule="auto"/>
              <w:ind w:firstLine="375"/>
              <w:jc w:val="both"/>
              <w:rPr>
                <w:lang w:val="hy-AM"/>
              </w:rPr>
            </w:pPr>
            <w:r w:rsidRPr="0053423A">
              <w:rPr>
                <w:lang w:val="hy-AM"/>
              </w:rPr>
              <w:t>Միջո</w:t>
            </w:r>
            <w:r w:rsidR="00530B14" w:rsidRPr="0053423A">
              <w:rPr>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Շրջակա միջավայրի մոնիթորինգի, թույլտվություն¬ների, լիցենզիաների միասնական և ժամանակակից համակարգերի ներդրում, առաջնային տեղեկատվության համակարգված կառավարում  ուղղությունը:</w:t>
            </w:r>
          </w:p>
          <w:p w:rsidR="00530B14" w:rsidRPr="0053423A" w:rsidRDefault="00530B14" w:rsidP="00A67858">
            <w:pPr>
              <w:spacing w:line="276" w:lineRule="auto"/>
              <w:ind w:firstLine="375"/>
              <w:jc w:val="both"/>
              <w:rPr>
                <w:rFonts w:cs="Sylfaen"/>
                <w:lang w:val="hy-AM"/>
              </w:rPr>
            </w:pPr>
            <w:r w:rsidRPr="0053423A">
              <w:rPr>
                <w:rFonts w:cs="Sylfaen"/>
                <w:lang w:val="hy-AM"/>
              </w:rPr>
              <w:t xml:space="preserve"> Շրջակա միջավայրի բաղադրիչների վերաբերյալ ճշգրիտ և հավաստի տվյալների աղբյուր է հանդիսանում բաղադրիչների որակի լաբորատոր հետազոտությունները: Բնապահպանության նախարարության ենթակայությամբ գործող Շրջակա միջավայրի մոնիթորինգի և տեղեկատվության ՊՈԱԿ-ի լաբորատորիան իրականացնում է մակերևութային և ստորերկրյա ջրերի, մթնոլորատային օդի, մթնոլորտային տեղումների, հողերի և հատակային նստվածքների որակի լաբորատոր հետազոտություններ: </w:t>
            </w:r>
          </w:p>
          <w:p w:rsidR="00530B14" w:rsidRPr="0053423A" w:rsidRDefault="00530B14" w:rsidP="00A67858">
            <w:pPr>
              <w:spacing w:line="276" w:lineRule="auto"/>
              <w:ind w:firstLine="375"/>
              <w:jc w:val="both"/>
              <w:rPr>
                <w:rFonts w:cs="Sylfaen"/>
                <w:lang w:val="hy-AM"/>
              </w:rPr>
            </w:pPr>
            <w:r w:rsidRPr="0053423A">
              <w:rPr>
                <w:rFonts w:cs="Sylfaen"/>
                <w:lang w:val="hy-AM"/>
              </w:rPr>
              <w:t>Սկսած 2004 թվականից, միջազգային և պետական ծրագրերի շրջանակում լաբորատորիան համալրվել է ժամանակակից սարքավորումներով: Լաբորատորիայի մասնագետները երկարամյա փորձառության, ինչպես նաև մասնակցելով որակավորման դասընթացների, ձեռք են բերել բարձր որակի մասնագիտական կարողություններ: Առկա լաբորատոր և մասնագիտական կարողությունները բավարար հիմք են հանդիսանում լաբորատորիայի միջազգային հավատարմագրման համար: Սակայն լաբորատորիայի միջազգային հավատարմագրման համար լաբորատորիայի ներկայիս շենքային պայմանները (լաբորատորիան տեղակայված է վարձակալությամբ Կոմիտաս 29 հասցեում) չեն բավարարում անհրաժեշտ պահանջներին:</w:t>
            </w:r>
          </w:p>
          <w:p w:rsidR="00530B14" w:rsidRPr="0053423A" w:rsidRDefault="00530B14" w:rsidP="00A67858">
            <w:pPr>
              <w:spacing w:line="276" w:lineRule="auto"/>
              <w:ind w:firstLine="375"/>
              <w:jc w:val="both"/>
              <w:rPr>
                <w:rFonts w:cs="Sylfaen"/>
                <w:lang w:val="hy-AM"/>
              </w:rPr>
            </w:pPr>
            <w:r w:rsidRPr="0053423A">
              <w:rPr>
                <w:rFonts w:cs="Sylfaen"/>
                <w:lang w:val="hy-AM"/>
              </w:rPr>
              <w:t xml:space="preserve">ՀՀ կառավարության 2017թ. դեկտեմբերի 7-ի Տարածք հետ վերցնելու և ամրացնելու մասին N 1584-Ա որոշմամբ  Երևան քաղաքի Պարույր Սևակի 5/2 հասցեում գտնվող Քիմիական ֆիզիկայի ինստիտուտի գլխավոր մասնաշենքի 539.1 քառ. մետր ընդհանուր մակերեսով տարածք է հատկացվել «Շրջակա միջավայրի մոնիթորինգի և տեղեկատվության կենտրոն ՊՈԱԿ-ի կենտրոնական լաբորատորիային: </w:t>
            </w:r>
          </w:p>
          <w:p w:rsidR="00530B14" w:rsidRPr="0053423A" w:rsidRDefault="00530B14" w:rsidP="00A67858">
            <w:pPr>
              <w:spacing w:line="276" w:lineRule="auto"/>
              <w:ind w:firstLine="375"/>
              <w:jc w:val="both"/>
              <w:rPr>
                <w:rFonts w:cs="Sylfaen"/>
                <w:lang w:val="hy-AM"/>
              </w:rPr>
            </w:pPr>
            <w:r w:rsidRPr="0053423A">
              <w:rPr>
                <w:rFonts w:cs="Sylfaen"/>
                <w:lang w:val="hy-AM"/>
              </w:rPr>
              <w:t>Եվրոպական միության Ջրային նախաձեռնություն պլյուս ծրագրի շրջանակում 2019-2020թթ. նախատեսվում է լաբորատորիայի տարածքի վերանորոգում, սարքավորումների համալրում, մասնագետների վերապատրաստում և լաբորատորիայի միջազգային հավատարմագրման գործընթացի նախապատրաստում:</w:t>
            </w:r>
          </w:p>
          <w:p w:rsidR="00530B14" w:rsidRPr="0053423A" w:rsidRDefault="00530B14" w:rsidP="00A67858">
            <w:pPr>
              <w:pStyle w:val="ListParagraph"/>
              <w:spacing w:line="276" w:lineRule="auto"/>
              <w:ind w:left="0" w:firstLine="735"/>
              <w:jc w:val="both"/>
              <w:rPr>
                <w:rFonts w:cs="Sylfaen"/>
                <w:b/>
                <w:lang w:val="hy-AM"/>
              </w:rPr>
            </w:pPr>
            <w:r w:rsidRPr="0053423A">
              <w:rPr>
                <w:rFonts w:cs="Sylfaen"/>
                <w:b/>
                <w:lang w:val="hy-AM"/>
              </w:rPr>
              <w:t>1.2. Առկա խնդիրների առաջարկվող լուծումները</w:t>
            </w:r>
          </w:p>
          <w:p w:rsidR="00530B14" w:rsidRPr="0053423A" w:rsidRDefault="00530B14" w:rsidP="00A67858">
            <w:pPr>
              <w:pStyle w:val="ListParagraph"/>
              <w:spacing w:line="276" w:lineRule="auto"/>
              <w:ind w:left="0"/>
              <w:jc w:val="both"/>
              <w:rPr>
                <w:rFonts w:cs="IRTEK Courier"/>
                <w:spacing w:val="-4"/>
                <w:lang w:val="pt-BR"/>
              </w:rPr>
            </w:pPr>
            <w:r w:rsidRPr="0053423A">
              <w:rPr>
                <w:lang w:val="hy-AM"/>
              </w:rPr>
              <w:t xml:space="preserve"> Վերոնշյալ տարածքի վերանորոգման համար ՀՀ </w:t>
            </w:r>
            <w:r w:rsidRPr="0053423A">
              <w:rPr>
                <w:rFonts w:cs="IRTEK Courier"/>
                <w:spacing w:val="-4"/>
                <w:lang w:val="pt-BR"/>
              </w:rPr>
              <w:t xml:space="preserve">կառավարության 2018 թվականի   դեկտեմբերի 13-ի N 1452- Ն որոշման 2.2 կետի համաձայն 2019թ. ընթացքում Շրջակա միջավայրի մոնիթորինգի և տեղեկատվության կենտրոն ՊՈԱԿ-ին հատկացված 73542.0 հազ. դրամ գումարի շրջանակներում 539.1 քառ. մետր տարածքի վերանորոգման, կահավորման և լաբորատորիայի տեղափոխման աշխատանքների իրականացում։ </w:t>
            </w:r>
          </w:p>
          <w:p w:rsidR="00530B14" w:rsidRPr="0053423A" w:rsidRDefault="00530B14" w:rsidP="00A67858">
            <w:pPr>
              <w:pStyle w:val="ListParagraph"/>
              <w:spacing w:line="276" w:lineRule="auto"/>
              <w:ind w:left="735"/>
              <w:jc w:val="both"/>
              <w:rPr>
                <w:b/>
                <w:i/>
                <w:lang w:val="hy-AM"/>
              </w:rPr>
            </w:pPr>
            <w:r w:rsidRPr="0053423A">
              <w:rPr>
                <w:b/>
                <w:i/>
                <w:lang w:val="hy-AM"/>
              </w:rPr>
              <w:t>2. Միջոցառման իրականացումից ակնկալվող արդյունքը</w:t>
            </w:r>
          </w:p>
          <w:p w:rsidR="00530B14" w:rsidRPr="0053423A" w:rsidRDefault="00530B14" w:rsidP="00A67858">
            <w:pPr>
              <w:pStyle w:val="ListParagraph"/>
              <w:spacing w:line="276" w:lineRule="auto"/>
              <w:ind w:left="0"/>
              <w:jc w:val="both"/>
              <w:rPr>
                <w:lang w:val="hy-AM"/>
              </w:rPr>
            </w:pPr>
            <w:r w:rsidRPr="0053423A">
              <w:rPr>
                <w:lang w:val="hy-AM"/>
              </w:rPr>
              <w:tab/>
              <w:t>Շրջակա միջավայրի մոնիթորինգի լաբորատորիաների վերանորոգված շենքի, ժամանակակից սարքավորումներով հագեցվածության և միջազգային հավատարմագրված լաբորատորիայի առկայություն։</w:t>
            </w:r>
          </w:p>
          <w:p w:rsidR="00530B14" w:rsidRPr="0053423A" w:rsidRDefault="00530B14" w:rsidP="00A67858">
            <w:pPr>
              <w:pStyle w:val="ListParagraph"/>
              <w:spacing w:line="276" w:lineRule="auto"/>
              <w:ind w:left="0"/>
              <w:jc w:val="both"/>
              <w:rPr>
                <w:lang w:val="hy-AM"/>
              </w:rPr>
            </w:pPr>
          </w:p>
          <w:p w:rsidR="00530B14" w:rsidRPr="0053423A" w:rsidRDefault="00530B14" w:rsidP="00A67858">
            <w:pPr>
              <w:spacing w:line="276" w:lineRule="auto"/>
              <w:ind w:firstLine="720"/>
              <w:contextualSpacing/>
              <w:rPr>
                <w:b/>
                <w:u w:val="single"/>
                <w:lang w:val="hy-AM"/>
              </w:rPr>
            </w:pPr>
            <w:r w:rsidRPr="0053423A">
              <w:rPr>
                <w:b/>
                <w:bCs/>
                <w:u w:val="single"/>
                <w:lang w:val="hy-AM"/>
              </w:rPr>
              <w:t xml:space="preserve">11.5 </w:t>
            </w:r>
            <w:r w:rsidRPr="0053423A">
              <w:rPr>
                <w:b/>
                <w:u w:val="single"/>
                <w:lang w:val="hy-AM"/>
              </w:rPr>
              <w:t>Շրջակա միջավայրի վերաբերյալ միասնական տեղեկատվական համակարգի ստեղծում</w:t>
            </w:r>
          </w:p>
          <w:p w:rsidR="00530B14" w:rsidRPr="0053423A" w:rsidRDefault="00530B14" w:rsidP="00A67858">
            <w:pPr>
              <w:spacing w:line="276" w:lineRule="auto"/>
              <w:ind w:firstLine="720"/>
              <w:contextualSpacing/>
              <w:rPr>
                <w:b/>
                <w:u w:val="single"/>
                <w:lang w:val="hy-AM"/>
              </w:rPr>
            </w:pPr>
          </w:p>
          <w:p w:rsidR="00530B14" w:rsidRPr="0053423A" w:rsidRDefault="00B009C2" w:rsidP="00A67858">
            <w:pPr>
              <w:pStyle w:val="ListParagraph"/>
              <w:spacing w:line="276" w:lineRule="auto"/>
              <w:ind w:left="735" w:hanging="362"/>
              <w:jc w:val="both"/>
              <w:rPr>
                <w:b/>
                <w:i/>
                <w:lang w:val="hy-AM"/>
              </w:rPr>
            </w:pPr>
            <w:r w:rsidRPr="0053423A">
              <w:rPr>
                <w:b/>
                <w:i/>
                <w:lang w:val="hy-AM"/>
              </w:rPr>
              <w:t xml:space="preserve">1. </w:t>
            </w:r>
            <w:r w:rsidR="00530B14" w:rsidRPr="0053423A">
              <w:rPr>
                <w:b/>
                <w:i/>
                <w:lang w:val="hy-AM"/>
              </w:rPr>
              <w:t>Միջոցառման իրակացման անհրաժեշտությունը և նպատակը</w:t>
            </w:r>
          </w:p>
          <w:p w:rsidR="00530B14" w:rsidRPr="0053423A" w:rsidRDefault="00530B14" w:rsidP="00A67858">
            <w:pPr>
              <w:pStyle w:val="ListParagraph"/>
              <w:spacing w:line="276" w:lineRule="auto"/>
              <w:ind w:left="0" w:firstLine="373"/>
              <w:jc w:val="both"/>
              <w:rPr>
                <w:b/>
                <w:lang w:val="hy-AM"/>
              </w:rPr>
            </w:pPr>
            <w:r w:rsidRPr="0053423A">
              <w:rPr>
                <w:rFonts w:cs="Sylfaen"/>
                <w:b/>
                <w:lang w:val="hy-AM"/>
              </w:rPr>
              <w:t xml:space="preserve">1.1 </w:t>
            </w:r>
            <w:r w:rsidRPr="0053423A">
              <w:rPr>
                <w:b/>
                <w:lang w:val="hy-AM"/>
              </w:rPr>
              <w:t>Կարգավորման հարաբերությունների ներկա վիճակը և առկա խնդիրները</w:t>
            </w:r>
          </w:p>
          <w:p w:rsidR="00530B14" w:rsidRPr="0053423A" w:rsidRDefault="00232EB0" w:rsidP="00A67858">
            <w:pPr>
              <w:shd w:val="clear" w:color="auto" w:fill="FFFFFF"/>
              <w:spacing w:line="276" w:lineRule="auto"/>
              <w:ind w:firstLine="375"/>
              <w:jc w:val="both"/>
              <w:rPr>
                <w:lang w:val="hy-AM"/>
              </w:rPr>
            </w:pPr>
            <w:r w:rsidRPr="0053423A">
              <w:rPr>
                <w:lang w:val="hy-AM"/>
              </w:rPr>
              <w:t>Միջո</w:t>
            </w:r>
            <w:r w:rsidR="00530B14" w:rsidRPr="0053423A">
              <w:rPr>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Շրջակա միջավայրի մոնիթորինգի, թույլտվություն¬ների, լիցենզիաների միասնական և ժամանակակից համակարգերի ներդրում, առաջնային տեղեկատվության համակարգված կառավարում  ուղղությունը:</w:t>
            </w:r>
          </w:p>
          <w:p w:rsidR="00530B14" w:rsidRPr="0053423A" w:rsidRDefault="00530B14" w:rsidP="00A67858">
            <w:pPr>
              <w:spacing w:line="276" w:lineRule="auto"/>
              <w:ind w:firstLine="375"/>
              <w:jc w:val="both"/>
              <w:rPr>
                <w:color w:val="000000"/>
                <w:shd w:val="clear" w:color="auto" w:fill="FFFFFF"/>
                <w:lang w:val="hy-AM"/>
              </w:rPr>
            </w:pPr>
            <w:r w:rsidRPr="0053423A">
              <w:rPr>
                <w:rFonts w:cs="Sylfaen"/>
                <w:lang w:val="hy-AM"/>
              </w:rPr>
              <w:t xml:space="preserve">ՀՀ-ում </w:t>
            </w:r>
            <w:r w:rsidRPr="0053423A">
              <w:rPr>
                <w:rFonts w:eastAsia="Calibri"/>
                <w:lang w:val="hy-AM"/>
              </w:rPr>
              <w:t xml:space="preserve">«Եվրոպական Հարևանության և </w:t>
            </w:r>
            <w:r w:rsidRPr="0053423A">
              <w:rPr>
                <w:rFonts w:eastAsia="Calibri" w:cs="Sylfaen"/>
                <w:lang w:val="hy-AM"/>
              </w:rPr>
              <w:t>Համագործակցությ</w:t>
            </w:r>
            <w:r w:rsidRPr="0053423A">
              <w:rPr>
                <w:rFonts w:eastAsia="Calibri"/>
                <w:lang w:val="hy-AM"/>
              </w:rPr>
              <w:t>ա</w:t>
            </w:r>
            <w:r w:rsidRPr="0053423A">
              <w:rPr>
                <w:rFonts w:eastAsia="Calibri" w:cs="Sylfaen"/>
                <w:lang w:val="hy-AM"/>
              </w:rPr>
              <w:t>ն</w:t>
            </w:r>
            <w:r w:rsidRPr="0053423A">
              <w:rPr>
                <w:rFonts w:eastAsia="Calibri"/>
                <w:lang w:val="hy-AM"/>
              </w:rPr>
              <w:t xml:space="preserve"> Գործիք–Բնապահպանական տեղեկատվական միասնական համակարգ» (ԵՀՀԳ-ԲՏՄՀ/</w:t>
            </w:r>
            <w:r w:rsidRPr="0053423A">
              <w:rPr>
                <w:rFonts w:eastAsia="Calibri" w:cs="Calibri"/>
                <w:lang w:val="hy-AM"/>
              </w:rPr>
              <w:t xml:space="preserve"> </w:t>
            </w:r>
            <w:r w:rsidRPr="0053423A">
              <w:rPr>
                <w:rFonts w:eastAsia="Calibri"/>
                <w:lang w:val="hy-AM"/>
              </w:rPr>
              <w:t>ENPI-SEIS) ծրագրի աջակցությամբ մշակվում է  ԲՏՄՀ/</w:t>
            </w:r>
            <w:r w:rsidRPr="0053423A">
              <w:rPr>
                <w:rFonts w:eastAsia="Calibri" w:cs="Sylfaen"/>
                <w:lang w:val="hy-AM"/>
              </w:rPr>
              <w:t>SEIS սկզբունքներին համապատասխան շրջակա միջավայրի միասնական տեղեկատվական համակարգ,</w:t>
            </w:r>
            <w:r w:rsidRPr="0053423A">
              <w:rPr>
                <w:color w:val="000000"/>
                <w:shd w:val="clear" w:color="auto" w:fill="FFFFFF"/>
                <w:lang w:val="hy-AM"/>
              </w:rPr>
              <w:t xml:space="preserve"> </w:t>
            </w:r>
            <w:r w:rsidRPr="0053423A">
              <w:rPr>
                <w:rFonts w:cs="Sylfaen"/>
                <w:color w:val="000000"/>
                <w:shd w:val="clear" w:color="auto" w:fill="FFFFFF"/>
                <w:lang w:val="hy-AM"/>
              </w:rPr>
              <w:t>որով</w:t>
            </w:r>
            <w:r w:rsidRPr="0053423A">
              <w:rPr>
                <w:color w:val="000000"/>
                <w:shd w:val="clear" w:color="auto" w:fill="FFFFFF"/>
                <w:lang w:val="hy-AM"/>
              </w:rPr>
              <w:t xml:space="preserve"> </w:t>
            </w:r>
            <w:r w:rsidRPr="0053423A">
              <w:rPr>
                <w:rFonts w:cs="Sylfaen"/>
                <w:color w:val="000000"/>
                <w:shd w:val="clear" w:color="auto" w:fill="FFFFFF"/>
                <w:lang w:val="hy-AM"/>
              </w:rPr>
              <w:t>շրջակա</w:t>
            </w:r>
            <w:r w:rsidRPr="0053423A">
              <w:rPr>
                <w:color w:val="000000"/>
                <w:shd w:val="clear" w:color="auto" w:fill="FFFFFF"/>
                <w:lang w:val="hy-AM"/>
              </w:rPr>
              <w:t xml:space="preserve"> </w:t>
            </w:r>
            <w:r w:rsidRPr="0053423A">
              <w:rPr>
                <w:rFonts w:cs="Sylfaen"/>
                <w:color w:val="000000"/>
                <w:shd w:val="clear" w:color="auto" w:fill="FFFFFF"/>
                <w:lang w:val="hy-AM"/>
              </w:rPr>
              <w:t>միջավայրի</w:t>
            </w:r>
            <w:r w:rsidRPr="0053423A">
              <w:rPr>
                <w:color w:val="000000"/>
                <w:shd w:val="clear" w:color="auto" w:fill="FFFFFF"/>
                <w:lang w:val="hy-AM"/>
              </w:rPr>
              <w:t xml:space="preserve"> </w:t>
            </w:r>
            <w:r w:rsidRPr="0053423A">
              <w:rPr>
                <w:rFonts w:cs="Sylfaen"/>
                <w:color w:val="000000"/>
                <w:shd w:val="clear" w:color="auto" w:fill="FFFFFF"/>
                <w:lang w:val="hy-AM"/>
              </w:rPr>
              <w:t>տեղեկատվության</w:t>
            </w:r>
            <w:r w:rsidRPr="0053423A">
              <w:rPr>
                <w:color w:val="000000"/>
                <w:shd w:val="clear" w:color="auto" w:fill="FFFFFF"/>
                <w:lang w:val="hy-AM"/>
              </w:rPr>
              <w:t xml:space="preserve"> </w:t>
            </w:r>
            <w:r w:rsidRPr="0053423A">
              <w:rPr>
                <w:rFonts w:cs="Sylfaen"/>
                <w:color w:val="000000"/>
                <w:shd w:val="clear" w:color="auto" w:fill="FFFFFF"/>
                <w:lang w:val="hy-AM"/>
              </w:rPr>
              <w:t>հավաքագրումը</w:t>
            </w:r>
            <w:r w:rsidRPr="0053423A">
              <w:rPr>
                <w:color w:val="000000"/>
                <w:shd w:val="clear" w:color="auto" w:fill="FFFFFF"/>
                <w:lang w:val="hy-AM"/>
              </w:rPr>
              <w:t xml:space="preserve"> </w:t>
            </w:r>
            <w:r w:rsidRPr="0053423A">
              <w:rPr>
                <w:rFonts w:cs="Sylfaen"/>
                <w:color w:val="000000"/>
                <w:shd w:val="clear" w:color="auto" w:fill="FFFFFF"/>
                <w:lang w:val="hy-AM"/>
              </w:rPr>
              <w:t>և</w:t>
            </w:r>
            <w:r w:rsidRPr="0053423A">
              <w:rPr>
                <w:color w:val="000000"/>
                <w:shd w:val="clear" w:color="auto" w:fill="FFFFFF"/>
                <w:lang w:val="hy-AM"/>
              </w:rPr>
              <w:t xml:space="preserve"> </w:t>
            </w:r>
            <w:r w:rsidRPr="0053423A">
              <w:rPr>
                <w:rFonts w:cs="Sylfaen"/>
                <w:color w:val="000000"/>
                <w:shd w:val="clear" w:color="auto" w:fill="FFFFFF"/>
                <w:lang w:val="hy-AM"/>
              </w:rPr>
              <w:t>հրապարակումը</w:t>
            </w:r>
            <w:r w:rsidRPr="0053423A">
              <w:rPr>
                <w:color w:val="000000"/>
                <w:shd w:val="clear" w:color="auto" w:fill="FFFFFF"/>
                <w:lang w:val="hy-AM"/>
              </w:rPr>
              <w:t xml:space="preserve"> </w:t>
            </w:r>
            <w:r w:rsidRPr="0053423A">
              <w:rPr>
                <w:rFonts w:cs="Sylfaen"/>
                <w:color w:val="000000"/>
                <w:shd w:val="clear" w:color="auto" w:fill="FFFFFF"/>
                <w:lang w:val="hy-AM"/>
              </w:rPr>
              <w:t>կիրականացվի</w:t>
            </w:r>
            <w:r w:rsidRPr="0053423A">
              <w:rPr>
                <w:color w:val="000000"/>
                <w:shd w:val="clear" w:color="auto" w:fill="FFFFFF"/>
                <w:lang w:val="hy-AM"/>
              </w:rPr>
              <w:t xml:space="preserve"> </w:t>
            </w:r>
            <w:r w:rsidRPr="0053423A">
              <w:rPr>
                <w:rFonts w:cs="Sylfaen"/>
                <w:color w:val="000000"/>
                <w:shd w:val="clear" w:color="auto" w:fill="FFFFFF"/>
                <w:lang w:val="hy-AM"/>
              </w:rPr>
              <w:t>մեկ</w:t>
            </w:r>
            <w:r w:rsidRPr="0053423A">
              <w:rPr>
                <w:color w:val="000000"/>
                <w:shd w:val="clear" w:color="auto" w:fill="FFFFFF"/>
                <w:lang w:val="hy-AM"/>
              </w:rPr>
              <w:t xml:space="preserve"> </w:t>
            </w:r>
            <w:r w:rsidRPr="0053423A">
              <w:rPr>
                <w:rFonts w:cs="Sylfaen"/>
                <w:color w:val="000000"/>
                <w:shd w:val="clear" w:color="auto" w:fill="FFFFFF"/>
                <w:lang w:val="hy-AM"/>
              </w:rPr>
              <w:t>հարթակում</w:t>
            </w:r>
            <w:r w:rsidRPr="0053423A">
              <w:rPr>
                <w:color w:val="000000"/>
                <w:shd w:val="clear" w:color="auto" w:fill="FFFFFF"/>
                <w:lang w:val="hy-AM"/>
              </w:rPr>
              <w:t xml:space="preserve">` </w:t>
            </w:r>
            <w:r w:rsidRPr="0053423A">
              <w:rPr>
                <w:rFonts w:cs="Sylfaen"/>
                <w:color w:val="000000"/>
                <w:shd w:val="clear" w:color="auto" w:fill="FFFFFF"/>
                <w:lang w:val="hy-AM"/>
              </w:rPr>
              <w:t>մատչելի</w:t>
            </w:r>
            <w:r w:rsidRPr="0053423A">
              <w:rPr>
                <w:color w:val="000000"/>
                <w:shd w:val="clear" w:color="auto" w:fill="FFFFFF"/>
                <w:lang w:val="hy-AM"/>
              </w:rPr>
              <w:t xml:space="preserve"> </w:t>
            </w:r>
            <w:r w:rsidRPr="0053423A">
              <w:rPr>
                <w:rFonts w:cs="Sylfaen"/>
                <w:color w:val="000000"/>
                <w:shd w:val="clear" w:color="auto" w:fill="FFFFFF"/>
                <w:lang w:val="hy-AM"/>
              </w:rPr>
              <w:t>և</w:t>
            </w:r>
            <w:r w:rsidRPr="0053423A">
              <w:rPr>
                <w:color w:val="000000"/>
                <w:shd w:val="clear" w:color="auto" w:fill="FFFFFF"/>
                <w:lang w:val="hy-AM"/>
              </w:rPr>
              <w:t xml:space="preserve"> </w:t>
            </w:r>
            <w:r w:rsidRPr="0053423A">
              <w:rPr>
                <w:rFonts w:cs="Sylfaen"/>
                <w:color w:val="000000"/>
                <w:shd w:val="clear" w:color="auto" w:fill="FFFFFF"/>
                <w:lang w:val="hy-AM"/>
              </w:rPr>
              <w:t>հասանելի</w:t>
            </w:r>
            <w:r w:rsidRPr="0053423A">
              <w:rPr>
                <w:color w:val="000000"/>
                <w:shd w:val="clear" w:color="auto" w:fill="FFFFFF"/>
                <w:lang w:val="hy-AM"/>
              </w:rPr>
              <w:t xml:space="preserve"> </w:t>
            </w:r>
            <w:r w:rsidRPr="0053423A">
              <w:rPr>
                <w:rFonts w:cs="Sylfaen"/>
                <w:color w:val="000000"/>
                <w:shd w:val="clear" w:color="auto" w:fill="FFFFFF"/>
                <w:lang w:val="hy-AM"/>
              </w:rPr>
              <w:t>դարձնելով</w:t>
            </w:r>
            <w:r w:rsidRPr="0053423A">
              <w:rPr>
                <w:color w:val="000000"/>
                <w:shd w:val="clear" w:color="auto" w:fill="FFFFFF"/>
                <w:lang w:val="hy-AM"/>
              </w:rPr>
              <w:t xml:space="preserve"> </w:t>
            </w:r>
            <w:r w:rsidRPr="0053423A">
              <w:rPr>
                <w:rFonts w:cs="Sylfaen"/>
                <w:color w:val="000000"/>
                <w:shd w:val="clear" w:color="auto" w:fill="FFFFFF"/>
                <w:lang w:val="hy-AM"/>
              </w:rPr>
              <w:t>հանրությանը</w:t>
            </w:r>
            <w:r w:rsidRPr="0053423A">
              <w:rPr>
                <w:color w:val="000000"/>
                <w:shd w:val="clear" w:color="auto" w:fill="FFFFFF"/>
                <w:lang w:val="hy-AM"/>
              </w:rPr>
              <w:t xml:space="preserve">: </w:t>
            </w:r>
          </w:p>
          <w:p w:rsidR="00530B14" w:rsidRPr="0053423A" w:rsidRDefault="00530B14" w:rsidP="00A67858">
            <w:pPr>
              <w:pStyle w:val="ListParagraph"/>
              <w:spacing w:line="276" w:lineRule="auto"/>
              <w:ind w:left="735" w:hanging="362"/>
              <w:jc w:val="both"/>
              <w:rPr>
                <w:b/>
                <w:i/>
                <w:lang w:val="hy-AM"/>
              </w:rPr>
            </w:pPr>
            <w:r w:rsidRPr="0053423A">
              <w:rPr>
                <w:b/>
                <w:i/>
                <w:lang w:val="hy-AM"/>
              </w:rPr>
              <w:t>1.2. Առկա խնդիրների առաջարկվող լուծումները</w:t>
            </w:r>
          </w:p>
          <w:p w:rsidR="00530B14" w:rsidRPr="0053423A" w:rsidRDefault="00530B14" w:rsidP="00A67858">
            <w:pPr>
              <w:spacing w:line="276" w:lineRule="auto"/>
              <w:ind w:firstLine="375"/>
              <w:jc w:val="both"/>
              <w:rPr>
                <w:rFonts w:cs="Sylfaen"/>
                <w:lang w:val="hy-AM"/>
              </w:rPr>
            </w:pPr>
            <w:r w:rsidRPr="0053423A">
              <w:rPr>
                <w:rFonts w:cs="Sylfaen"/>
                <w:lang w:val="hy-AM"/>
              </w:rPr>
              <w:t xml:space="preserve">Շրջակա միջավայրի միասնական տեղեկատվական համակարգի հիմք են կազմում թեմատիկ շտեմարանները և ինդիկատորային ցուցանիշները: ԵՄ Ջրային նախաձեռնություն ծրագրի շրջանակում նախատեսվում 2019-2020թթ. ջրային տվյալներ ստեղծող կազմակերպություններում հիմնել շտեմարաններ, որոնք ՀՀ Բնապահպանության Ջրային կադաստի մաս կկազմեն: </w:t>
            </w:r>
            <w:r w:rsidRPr="0053423A">
              <w:rPr>
                <w:rFonts w:eastAsia="Calibri"/>
                <w:lang w:val="hy-AM"/>
              </w:rPr>
              <w:t xml:space="preserve">«Եվրոպական Հարևանության և </w:t>
            </w:r>
            <w:r w:rsidRPr="0053423A">
              <w:rPr>
                <w:rFonts w:eastAsia="Calibri" w:cs="Sylfaen"/>
                <w:lang w:val="hy-AM"/>
              </w:rPr>
              <w:t>Համագործակցությ</w:t>
            </w:r>
            <w:r w:rsidRPr="0053423A">
              <w:rPr>
                <w:rFonts w:eastAsia="Calibri"/>
                <w:lang w:val="hy-AM"/>
              </w:rPr>
              <w:t>ա</w:t>
            </w:r>
            <w:r w:rsidRPr="0053423A">
              <w:rPr>
                <w:rFonts w:eastAsia="Calibri" w:cs="Sylfaen"/>
                <w:lang w:val="hy-AM"/>
              </w:rPr>
              <w:t>ն</w:t>
            </w:r>
            <w:r w:rsidRPr="0053423A">
              <w:rPr>
                <w:rFonts w:eastAsia="Calibri"/>
                <w:lang w:val="hy-AM"/>
              </w:rPr>
              <w:t xml:space="preserve"> Գործիք–Բնապահպանական տեղեկատվական միասնական համակարգ» (ԵՀՀԳ-ԲՏՄՀ/</w:t>
            </w:r>
            <w:r w:rsidRPr="0053423A">
              <w:rPr>
                <w:rFonts w:eastAsia="Calibri" w:cs="Calibri"/>
                <w:lang w:val="hy-AM"/>
              </w:rPr>
              <w:t xml:space="preserve"> </w:t>
            </w:r>
            <w:r w:rsidRPr="0053423A">
              <w:rPr>
                <w:rFonts w:eastAsia="Calibri"/>
                <w:lang w:val="hy-AM"/>
              </w:rPr>
              <w:t>ENPI-SEIS) ծրագրի աջակցությամբ կմշակվի Ջրային կադաստրի և պորտալի ինտեգրումը:</w:t>
            </w:r>
          </w:p>
          <w:p w:rsidR="00530B14" w:rsidRPr="0053423A" w:rsidRDefault="00530B14" w:rsidP="00A67858">
            <w:pPr>
              <w:spacing w:line="276" w:lineRule="auto"/>
              <w:ind w:firstLine="375"/>
              <w:jc w:val="both"/>
              <w:rPr>
                <w:rFonts w:cs="Sylfaen"/>
                <w:lang w:val="hy-AM"/>
              </w:rPr>
            </w:pPr>
            <w:r w:rsidRPr="0053423A">
              <w:rPr>
                <w:rFonts w:cs="Sylfaen"/>
                <w:lang w:val="hy-AM"/>
              </w:rPr>
              <w:t>Մինչդեռ, շրջակա միջավայի մյուս բաղադրիչների թեմատիկ շտեմարանների ստեղծման գործընթացները կամ նախատեսման փուլում են կամ բացակայում են:</w:t>
            </w:r>
          </w:p>
          <w:p w:rsidR="00530B14" w:rsidRPr="0053423A" w:rsidRDefault="00530B14" w:rsidP="00A67858">
            <w:pPr>
              <w:spacing w:line="276" w:lineRule="auto"/>
              <w:ind w:firstLine="375"/>
              <w:jc w:val="both"/>
              <w:rPr>
                <w:rFonts w:cs="Sylfaen"/>
                <w:lang w:val="hy-AM"/>
              </w:rPr>
            </w:pPr>
            <w:r w:rsidRPr="0053423A">
              <w:rPr>
                <w:rFonts w:cs="Sylfaen"/>
                <w:lang w:val="hy-AM"/>
              </w:rPr>
              <w:t xml:space="preserve">Միջոցառման համակատարող մարմինները հանդիսանում են շրջակա միջավայրի վերաբերյալ տեղեկատվության ստեղծողներ և որոնցում առկա թեմատիկ շտեմարանները մաս են կազմելու ստեղծվող պորտալի: </w:t>
            </w:r>
          </w:p>
          <w:p w:rsidR="00530B14" w:rsidRPr="0053423A" w:rsidRDefault="00530B14" w:rsidP="00A67858">
            <w:pPr>
              <w:spacing w:line="276" w:lineRule="auto"/>
              <w:ind w:firstLine="375"/>
              <w:jc w:val="both"/>
              <w:rPr>
                <w:b/>
                <w:i/>
                <w:lang w:val="hy-AM"/>
              </w:rPr>
            </w:pPr>
            <w:r w:rsidRPr="0053423A">
              <w:rPr>
                <w:rFonts w:cs="Sylfaen"/>
                <w:lang w:val="hy-AM"/>
              </w:rPr>
              <w:t xml:space="preserve"> </w:t>
            </w:r>
            <w:r w:rsidRPr="0053423A">
              <w:rPr>
                <w:b/>
                <w:i/>
                <w:lang w:val="hy-AM"/>
              </w:rPr>
              <w:t>2. Միջոցառման իրականացումից ակնկալվող արդյունքը</w:t>
            </w:r>
          </w:p>
          <w:p w:rsidR="00530B14" w:rsidRPr="0053423A" w:rsidRDefault="00530B14" w:rsidP="00A67858">
            <w:pPr>
              <w:spacing w:line="276" w:lineRule="auto"/>
              <w:ind w:firstLine="375"/>
              <w:jc w:val="both"/>
              <w:rPr>
                <w:lang w:val="hy-AM"/>
              </w:rPr>
            </w:pPr>
            <w:r w:rsidRPr="0053423A">
              <w:rPr>
                <w:rFonts w:cs="Sylfaen"/>
                <w:lang w:val="hy-AM"/>
              </w:rPr>
              <w:t>Շրջակա միջավայրի ազգային պորտալի առկայություն, ժամանակակից տեղեկատվական տեխնոլոգիաների կիրառմամբ շրջակա միջավայրի վերաբերյալ միասնական հավաքագրված տվյալների  առկայություն և դրանց հասանելիության ապահովում։</w:t>
            </w:r>
          </w:p>
          <w:p w:rsidR="00530B14" w:rsidRPr="0053423A" w:rsidRDefault="00530B14" w:rsidP="00A67858">
            <w:pPr>
              <w:spacing w:line="276" w:lineRule="auto"/>
              <w:ind w:firstLine="720"/>
              <w:contextualSpacing/>
              <w:rPr>
                <w:b/>
                <w:bCs/>
                <w:u w:val="single"/>
                <w:lang w:val="hy-AM"/>
              </w:rPr>
            </w:pPr>
          </w:p>
          <w:p w:rsidR="00530B14" w:rsidRPr="0053423A" w:rsidRDefault="00530B14" w:rsidP="00A67858">
            <w:pPr>
              <w:spacing w:line="276" w:lineRule="auto"/>
              <w:ind w:firstLine="720"/>
              <w:contextualSpacing/>
              <w:jc w:val="center"/>
              <w:rPr>
                <w:rFonts w:cs="Sylfaen"/>
                <w:b/>
                <w:u w:val="single"/>
                <w:lang w:val="hy-AM"/>
              </w:rPr>
            </w:pPr>
            <w:r w:rsidRPr="0053423A">
              <w:rPr>
                <w:b/>
                <w:bCs/>
                <w:u w:val="single"/>
                <w:lang w:val="hy-AM"/>
              </w:rPr>
              <w:t xml:space="preserve">11.6 </w:t>
            </w:r>
            <w:r w:rsidRPr="0053423A">
              <w:rPr>
                <w:rFonts w:cs="Sylfaen"/>
                <w:b/>
                <w:u w:val="single"/>
                <w:lang w:val="hy-AM"/>
              </w:rPr>
              <w:t>Սևանա</w:t>
            </w:r>
            <w:r w:rsidRPr="0053423A">
              <w:rPr>
                <w:b/>
                <w:u w:val="single"/>
                <w:lang w:val="hy-AM"/>
              </w:rPr>
              <w:t xml:space="preserve"> </w:t>
            </w:r>
            <w:r w:rsidRPr="0053423A">
              <w:rPr>
                <w:rFonts w:cs="Sylfaen"/>
                <w:b/>
                <w:u w:val="single"/>
                <w:lang w:val="hy-AM"/>
              </w:rPr>
              <w:t>լճի</w:t>
            </w:r>
            <w:r w:rsidRPr="0053423A">
              <w:rPr>
                <w:b/>
                <w:u w:val="single"/>
                <w:lang w:val="hy-AM"/>
              </w:rPr>
              <w:t xml:space="preserve"> </w:t>
            </w:r>
            <w:r w:rsidRPr="0053423A">
              <w:rPr>
                <w:rFonts w:cs="Sylfaen"/>
                <w:b/>
                <w:u w:val="single"/>
                <w:lang w:val="hy-AM"/>
              </w:rPr>
              <w:t>ջրածածկ</w:t>
            </w:r>
            <w:r w:rsidRPr="0053423A">
              <w:rPr>
                <w:b/>
                <w:u w:val="single"/>
                <w:lang w:val="hy-AM"/>
              </w:rPr>
              <w:t xml:space="preserve"> </w:t>
            </w:r>
            <w:r w:rsidRPr="0053423A">
              <w:rPr>
                <w:rFonts w:cs="Sylfaen"/>
                <w:b/>
                <w:u w:val="single"/>
                <w:lang w:val="hy-AM"/>
              </w:rPr>
              <w:t>անտառտնկարկների</w:t>
            </w:r>
            <w:r w:rsidRPr="0053423A">
              <w:rPr>
                <w:b/>
                <w:u w:val="single"/>
                <w:lang w:val="hy-AM"/>
              </w:rPr>
              <w:t xml:space="preserve"> </w:t>
            </w:r>
            <w:r w:rsidRPr="0053423A">
              <w:rPr>
                <w:rFonts w:cs="Sylfaen"/>
                <w:b/>
                <w:u w:val="single"/>
                <w:lang w:val="hy-AM"/>
              </w:rPr>
              <w:t>մաքրման</w:t>
            </w:r>
            <w:r w:rsidRPr="0053423A">
              <w:rPr>
                <w:b/>
                <w:u w:val="single"/>
                <w:lang w:val="hy-AM"/>
              </w:rPr>
              <w:t xml:space="preserve"> </w:t>
            </w:r>
            <w:r w:rsidRPr="0053423A">
              <w:rPr>
                <w:rFonts w:cs="Sylfaen"/>
                <w:b/>
                <w:u w:val="single"/>
                <w:lang w:val="hy-AM"/>
              </w:rPr>
              <w:t>համար</w:t>
            </w:r>
            <w:r w:rsidRPr="0053423A">
              <w:rPr>
                <w:b/>
                <w:u w:val="single"/>
                <w:lang w:val="hy-AM"/>
              </w:rPr>
              <w:t xml:space="preserve"> </w:t>
            </w:r>
            <w:r w:rsidRPr="0053423A">
              <w:rPr>
                <w:rFonts w:cs="Sylfaen"/>
                <w:b/>
                <w:u w:val="single"/>
                <w:lang w:val="hy-AM"/>
              </w:rPr>
              <w:t>անտառների</w:t>
            </w:r>
            <w:r w:rsidRPr="0053423A">
              <w:rPr>
                <w:b/>
                <w:u w:val="single"/>
                <w:lang w:val="hy-AM"/>
              </w:rPr>
              <w:t xml:space="preserve"> </w:t>
            </w:r>
            <w:r w:rsidRPr="0053423A">
              <w:rPr>
                <w:rFonts w:cs="Sylfaen"/>
                <w:b/>
                <w:u w:val="single"/>
                <w:lang w:val="hy-AM"/>
              </w:rPr>
              <w:t>գույքագրման</w:t>
            </w:r>
            <w:r w:rsidRPr="0053423A">
              <w:rPr>
                <w:b/>
                <w:u w:val="single"/>
                <w:lang w:val="hy-AM"/>
              </w:rPr>
              <w:t xml:space="preserve"> </w:t>
            </w:r>
            <w:r w:rsidRPr="0053423A">
              <w:rPr>
                <w:rFonts w:cs="Sylfaen"/>
                <w:b/>
                <w:u w:val="single"/>
                <w:lang w:val="hy-AM"/>
              </w:rPr>
              <w:t>իրականացում՝</w:t>
            </w:r>
            <w:r w:rsidRPr="0053423A">
              <w:rPr>
                <w:b/>
                <w:u w:val="single"/>
                <w:lang w:val="hy-AM"/>
              </w:rPr>
              <w:t xml:space="preserve"> </w:t>
            </w:r>
            <w:r w:rsidRPr="0053423A">
              <w:rPr>
                <w:rFonts w:cs="Sylfaen"/>
                <w:b/>
                <w:u w:val="single"/>
                <w:lang w:val="hy-AM"/>
              </w:rPr>
              <w:t>անօդաչու</w:t>
            </w:r>
            <w:r w:rsidRPr="0053423A">
              <w:rPr>
                <w:b/>
                <w:u w:val="single"/>
                <w:lang w:val="hy-AM"/>
              </w:rPr>
              <w:t xml:space="preserve"> </w:t>
            </w:r>
            <w:r w:rsidRPr="0053423A">
              <w:rPr>
                <w:rFonts w:cs="Sylfaen"/>
                <w:b/>
                <w:u w:val="single"/>
                <w:lang w:val="hy-AM"/>
              </w:rPr>
              <w:t>թռչող</w:t>
            </w:r>
            <w:r w:rsidRPr="0053423A">
              <w:rPr>
                <w:b/>
                <w:u w:val="single"/>
                <w:lang w:val="hy-AM"/>
              </w:rPr>
              <w:t xml:space="preserve"> </w:t>
            </w:r>
            <w:r w:rsidRPr="0053423A">
              <w:rPr>
                <w:rFonts w:cs="Sylfaen"/>
                <w:b/>
                <w:u w:val="single"/>
                <w:lang w:val="hy-AM"/>
              </w:rPr>
              <w:t>սարքի</w:t>
            </w:r>
            <w:r w:rsidRPr="0053423A">
              <w:rPr>
                <w:b/>
                <w:u w:val="single"/>
                <w:lang w:val="hy-AM"/>
              </w:rPr>
              <w:t xml:space="preserve"> </w:t>
            </w:r>
            <w:r w:rsidRPr="0053423A">
              <w:rPr>
                <w:rFonts w:cs="Sylfaen"/>
                <w:b/>
                <w:u w:val="single"/>
                <w:lang w:val="hy-AM"/>
              </w:rPr>
              <w:t>կիրառմամբ</w:t>
            </w:r>
            <w:r w:rsidRPr="0053423A">
              <w:rPr>
                <w:b/>
                <w:u w:val="single"/>
                <w:lang w:val="hy-AM"/>
              </w:rPr>
              <w:t xml:space="preserve"> </w:t>
            </w:r>
            <w:r w:rsidRPr="0053423A">
              <w:rPr>
                <w:rFonts w:cs="Sylfaen"/>
                <w:b/>
                <w:u w:val="single"/>
                <w:lang w:val="hy-AM"/>
              </w:rPr>
              <w:t>հանույթի</w:t>
            </w:r>
            <w:r w:rsidRPr="0053423A">
              <w:rPr>
                <w:b/>
                <w:u w:val="single"/>
                <w:lang w:val="hy-AM"/>
              </w:rPr>
              <w:t xml:space="preserve"> </w:t>
            </w:r>
            <w:r w:rsidRPr="0053423A">
              <w:rPr>
                <w:rFonts w:cs="Sylfaen"/>
                <w:b/>
                <w:u w:val="single"/>
                <w:lang w:val="hy-AM"/>
              </w:rPr>
              <w:t>միջոցով</w:t>
            </w:r>
          </w:p>
          <w:p w:rsidR="00530B14" w:rsidRPr="0053423A" w:rsidRDefault="00530B14" w:rsidP="00A67858">
            <w:pPr>
              <w:spacing w:line="276" w:lineRule="auto"/>
              <w:ind w:firstLine="720"/>
              <w:contextualSpacing/>
              <w:jc w:val="center"/>
              <w:rPr>
                <w:rFonts w:cs="Sylfaen"/>
                <w:b/>
                <w:u w:val="single"/>
                <w:lang w:val="hy-AM"/>
              </w:rPr>
            </w:pPr>
          </w:p>
          <w:p w:rsidR="00530B14" w:rsidRPr="0053423A" w:rsidRDefault="00530B14" w:rsidP="00A67858">
            <w:pPr>
              <w:pStyle w:val="ListParagraph"/>
              <w:numPr>
                <w:ilvl w:val="0"/>
                <w:numId w:val="26"/>
              </w:numPr>
              <w:spacing w:line="276" w:lineRule="auto"/>
              <w:rPr>
                <w:rFonts w:cs="Sylfaen"/>
                <w:lang w:val="hy-AM"/>
              </w:rPr>
            </w:pPr>
            <w:r w:rsidRPr="0053423A">
              <w:rPr>
                <w:rFonts w:cs="Sylfaen"/>
                <w:b/>
                <w:i/>
                <w:lang w:val="hy-AM"/>
              </w:rPr>
              <w:t>Միջոցառման իրականացման անհրաժեշտությունը և նպատակը</w:t>
            </w:r>
            <w:r w:rsidRPr="0053423A">
              <w:rPr>
                <w:rFonts w:cs="Sylfaen"/>
                <w:i/>
                <w:lang w:val="hy-AM"/>
              </w:rPr>
              <w:t>.</w:t>
            </w:r>
          </w:p>
          <w:p w:rsidR="00530B14" w:rsidRPr="0053423A" w:rsidRDefault="00232EB0" w:rsidP="00A67858">
            <w:pPr>
              <w:spacing w:line="276" w:lineRule="auto"/>
              <w:ind w:firstLine="720"/>
              <w:jc w:val="both"/>
              <w:rPr>
                <w:rFonts w:cs="Sylfaen"/>
                <w:lang w:val="hy-AM"/>
              </w:rPr>
            </w:pPr>
            <w:r w:rsidRPr="0053423A">
              <w:rPr>
                <w:rFonts w:cs="Sylfaen"/>
                <w:lang w:val="hy-AM"/>
              </w:rPr>
              <w:t>Միջո</w:t>
            </w:r>
            <w:r w:rsidR="00530B14" w:rsidRPr="0053423A">
              <w:rPr>
                <w:rFonts w:cs="Sylfaen"/>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Շրջակա միջավայրի մոնիթորինգի, թույլտվություն¬ների, լիցենզիաների միասնական և ժամանակակից համակարգերի ներդրում, առաջնային տեղեկատվության համակարգված կառավարում  ուղղությունը:</w:t>
            </w:r>
          </w:p>
          <w:p w:rsidR="00530B14" w:rsidRPr="0053423A" w:rsidRDefault="00530B14" w:rsidP="00A67858">
            <w:pPr>
              <w:spacing w:line="276" w:lineRule="auto"/>
              <w:ind w:firstLine="360"/>
              <w:jc w:val="both"/>
              <w:rPr>
                <w:rFonts w:cs="Sylfaen"/>
                <w:lang w:val="hy-AM"/>
              </w:rPr>
            </w:pPr>
            <w:r w:rsidRPr="0053423A">
              <w:rPr>
                <w:rFonts w:cs="Sylfaen"/>
                <w:lang w:val="hy-AM"/>
              </w:rPr>
              <w:t>Սևան  ազգային պարկի ափամերձ տարածքներում՝ մինչև 1901,5 մ ծովի մակերևույթից բարձր մակարդակում 2019-2023 թվականների համար մաքրման տարածքների տարածական տվյալների ստացում:</w:t>
            </w:r>
          </w:p>
          <w:p w:rsidR="00530B14" w:rsidRPr="0053423A" w:rsidRDefault="00530B14" w:rsidP="00A67858">
            <w:pPr>
              <w:spacing w:line="276" w:lineRule="auto"/>
              <w:jc w:val="both"/>
              <w:rPr>
                <w:rFonts w:cs="Sylfaen"/>
                <w:lang w:val="hy-AM"/>
              </w:rPr>
            </w:pPr>
            <w:r w:rsidRPr="0053423A">
              <w:rPr>
                <w:rFonts w:cs="Sylfaen"/>
                <w:lang w:val="hy-AM"/>
              </w:rPr>
              <w:t>Ընտրված տեղամասերի համար ստանալ տեղանքի օրթոֆոտոհատակագիծ 10սմ/պ  լուծաչափով, մակերևույթի թվային մոդել: Վեգետացիոն ցուցիչների հաշվարկի  և  վերլուծության արդյունքում առաջնային տարածքների վերհանում, /ջրածածկ ճահճապատ / վեկտորային շերտերով /shp. ֆորմատով/:</w:t>
            </w:r>
          </w:p>
          <w:p w:rsidR="00530B14" w:rsidRPr="0053423A" w:rsidRDefault="00530B14" w:rsidP="00A67858">
            <w:pPr>
              <w:spacing w:line="276" w:lineRule="auto"/>
              <w:ind w:firstLine="553"/>
              <w:jc w:val="both"/>
              <w:rPr>
                <w:rFonts w:cs="Sylfaen"/>
                <w:b/>
                <w:lang w:val="hy-AM"/>
              </w:rPr>
            </w:pPr>
            <w:r w:rsidRPr="0053423A">
              <w:rPr>
                <w:rFonts w:cs="Sylfaen"/>
                <w:b/>
                <w:lang w:val="hy-AM"/>
              </w:rPr>
              <w:t>1.1</w:t>
            </w:r>
            <w:r w:rsidRPr="0053423A">
              <w:rPr>
                <w:rFonts w:cs="Sylfaen"/>
                <w:lang w:val="hy-AM"/>
              </w:rPr>
              <w:t xml:space="preserve"> </w:t>
            </w:r>
            <w:r w:rsidRPr="0053423A">
              <w:rPr>
                <w:rFonts w:cs="Sylfaen"/>
                <w:b/>
                <w:lang w:val="hy-AM"/>
              </w:rPr>
              <w:t>Կարգավորման հարաբերությունների ներկա վիճակը և առկա խնդիրները.</w:t>
            </w:r>
          </w:p>
          <w:p w:rsidR="00530B14" w:rsidRPr="0053423A" w:rsidRDefault="00530B14" w:rsidP="00A67858">
            <w:pPr>
              <w:spacing w:line="276" w:lineRule="auto"/>
              <w:ind w:firstLine="553"/>
              <w:jc w:val="both"/>
              <w:rPr>
                <w:rFonts w:cs="Sylfaen"/>
                <w:lang w:val="hy-AM"/>
              </w:rPr>
            </w:pPr>
            <w:r w:rsidRPr="0053423A">
              <w:rPr>
                <w:rFonts w:cs="Sylfaen"/>
                <w:lang w:val="hy-AM"/>
              </w:rPr>
              <w:t>Հայաստանի Հանրապետությունում  անօդաչու թռչող համակարգերի շահագործումը ներկայումս կանոնակարգվում է ՀՀ կառավարությանն առընթեր քաղաքացիական ավիացիայի գլխավոր վարչության պետի 2007 թվականի ապրիլի 11-ի N56-Ն հրամանով հաստատված «Հայաստանի Հանրապետությունում ուսումնական և հատուկ բնույթի թռիչքների իրականացման կարգով»:</w:t>
            </w:r>
          </w:p>
          <w:p w:rsidR="00530B14" w:rsidRPr="0053423A" w:rsidRDefault="00530B14" w:rsidP="00A67858">
            <w:pPr>
              <w:spacing w:line="276" w:lineRule="auto"/>
              <w:ind w:firstLine="553"/>
              <w:jc w:val="both"/>
              <w:rPr>
                <w:rFonts w:cs="Sylfaen"/>
                <w:lang w:val="hy-AM"/>
              </w:rPr>
            </w:pPr>
            <w:r w:rsidRPr="0053423A">
              <w:rPr>
                <w:rFonts w:cs="Sylfaen"/>
                <w:lang w:val="hy-AM"/>
              </w:rPr>
              <w:t>Հաշվի առնելով ոլորտի զարգացման միտումները, շահագործման ոլորտների բազմազանությունը, ինչպես նաև դրանց կողմից ավիացիային սպառնացող հնարավոր ռիսկերը Քաղաքացիական ավիացիայի կոմիտեի կողմից մշակվել է ԱԹՀ-ի գրանցումը, հաշվառումը և շահագործման սահմանփակումները  կանոնակարգող նոր կարգի նախագիծ:</w:t>
            </w:r>
          </w:p>
          <w:p w:rsidR="00530B14" w:rsidRPr="0053423A" w:rsidRDefault="00530B14" w:rsidP="00A67858">
            <w:pPr>
              <w:spacing w:line="276" w:lineRule="auto"/>
              <w:ind w:firstLine="553"/>
              <w:jc w:val="both"/>
              <w:rPr>
                <w:lang w:val="hy-AM"/>
              </w:rPr>
            </w:pPr>
            <w:r w:rsidRPr="0053423A">
              <w:rPr>
                <w:rFonts w:cs="Sylfaen"/>
                <w:b/>
                <w:lang w:val="hy-AM"/>
              </w:rPr>
              <w:t>1.2.Առկա</w:t>
            </w:r>
            <w:r w:rsidRPr="0053423A">
              <w:rPr>
                <w:b/>
                <w:lang w:val="hy-AM"/>
              </w:rPr>
              <w:t xml:space="preserve">  խնդիրների  առաջարկվող լուծումները</w:t>
            </w:r>
            <w:r w:rsidRPr="0053423A">
              <w:rPr>
                <w:lang w:val="hy-AM"/>
              </w:rPr>
              <w:t xml:space="preserve">. </w:t>
            </w:r>
          </w:p>
          <w:p w:rsidR="00530B14" w:rsidRPr="0053423A" w:rsidRDefault="00530B14" w:rsidP="00A67858">
            <w:pPr>
              <w:pStyle w:val="ListParagraph"/>
              <w:spacing w:line="276" w:lineRule="auto"/>
              <w:ind w:left="0" w:firstLine="553"/>
              <w:jc w:val="both"/>
              <w:rPr>
                <w:rFonts w:cs="Sylfaen"/>
                <w:lang w:val="hy-AM"/>
              </w:rPr>
            </w:pPr>
            <w:r w:rsidRPr="0053423A">
              <w:rPr>
                <w:rFonts w:cs="Sylfaen"/>
                <w:lang w:val="hy-AM"/>
              </w:rPr>
              <w:t>Կենտրոնի կողմից կիրառվող անօդաչուի բարձրությունը  /Ebee Sensefly/ ընտրված տեղամասերում հանույթ իրականեցնելիս  հասնելու է  առավելագույնը 85 մետրի:</w:t>
            </w:r>
          </w:p>
          <w:p w:rsidR="00530B14" w:rsidRPr="0053423A" w:rsidRDefault="00530B14" w:rsidP="00A67858">
            <w:pPr>
              <w:spacing w:line="276" w:lineRule="auto"/>
              <w:ind w:firstLine="553"/>
              <w:jc w:val="both"/>
              <w:rPr>
                <w:rFonts w:cs="Sylfaen"/>
                <w:b/>
                <w:i/>
                <w:lang w:val="hy-AM"/>
              </w:rPr>
            </w:pPr>
            <w:r w:rsidRPr="0053423A">
              <w:rPr>
                <w:rFonts w:cs="Sylfaen"/>
                <w:b/>
                <w:i/>
                <w:lang w:val="hy-AM"/>
              </w:rPr>
              <w:t>2.Միջոցառման իրականացումից ակնկալվող արդյունքը.</w:t>
            </w:r>
          </w:p>
          <w:p w:rsidR="00530B14" w:rsidRPr="0053423A" w:rsidRDefault="00530B14" w:rsidP="00A67858">
            <w:pPr>
              <w:spacing w:line="276" w:lineRule="auto"/>
              <w:jc w:val="both"/>
              <w:rPr>
                <w:rFonts w:cs="Sylfaen"/>
                <w:lang w:val="hy-AM"/>
              </w:rPr>
            </w:pPr>
            <w:r w:rsidRPr="0053423A">
              <w:rPr>
                <w:rFonts w:cs="Sylfaen"/>
                <w:lang w:val="hy-AM"/>
              </w:rPr>
              <w:t>Բազմասպեկտրալ տեսախցիկի առկայությունը հնարավորություն է ընձեռելու ստանալ տեղեկատվություն գունային 4 տիրույթներում, որի վերլուծության արդյունքում հստակ առանձնացվելու է ճահճապատ, ջրածածկ տարածքները ցամաքայինից, առանձնացնելու նախատեսված տարածքներում անտառածածկի հստակ սահմանները: Վեգետացիոն ցուցիչների հաշվարկի արդյունքում նախատեսված տարածքներում առանձնացնելու մաքրման ենթակա նախնական տարածքները:</w:t>
            </w:r>
          </w:p>
          <w:p w:rsidR="00530B14" w:rsidRPr="0053423A" w:rsidRDefault="00530B14" w:rsidP="00A67858">
            <w:pPr>
              <w:spacing w:line="276" w:lineRule="auto"/>
              <w:ind w:firstLine="720"/>
              <w:contextualSpacing/>
              <w:jc w:val="center"/>
              <w:rPr>
                <w:b/>
                <w:bCs/>
                <w:u w:val="single"/>
                <w:lang w:val="hy-AM"/>
              </w:rPr>
            </w:pPr>
          </w:p>
          <w:p w:rsidR="00530B14" w:rsidRPr="0053423A" w:rsidRDefault="00530B14" w:rsidP="00A67858">
            <w:pPr>
              <w:spacing w:line="276" w:lineRule="auto"/>
              <w:ind w:firstLine="720"/>
              <w:contextualSpacing/>
              <w:jc w:val="center"/>
              <w:rPr>
                <w:rFonts w:cs="Sylfaen"/>
                <w:b/>
                <w:u w:val="single"/>
                <w:lang w:val="hy-AM"/>
              </w:rPr>
            </w:pPr>
            <w:r w:rsidRPr="0053423A">
              <w:rPr>
                <w:b/>
                <w:bCs/>
                <w:u w:val="single"/>
                <w:lang w:val="hy-AM"/>
              </w:rPr>
              <w:t xml:space="preserve">11.7 </w:t>
            </w:r>
            <w:r w:rsidRPr="0053423A">
              <w:rPr>
                <w:rFonts w:cs="Sylfaen"/>
                <w:b/>
                <w:u w:val="single"/>
                <w:lang w:val="hy-AM"/>
              </w:rPr>
              <w:t>Սևանա լճի ջրածածկ անտառտնկարկների մաքրման աշխատանքների 2019թ հեղինակային հսկողության իրականացում՝ դաշտային դիտարկումներ. ուսումնասիրություններ. GPS հանույթ</w:t>
            </w:r>
          </w:p>
          <w:p w:rsidR="00530B14" w:rsidRPr="0053423A" w:rsidRDefault="00530B14" w:rsidP="00A67858">
            <w:pPr>
              <w:spacing w:line="276" w:lineRule="auto"/>
              <w:ind w:firstLine="720"/>
              <w:contextualSpacing/>
              <w:jc w:val="center"/>
              <w:rPr>
                <w:rFonts w:cs="Sylfaen"/>
                <w:b/>
                <w:u w:val="single"/>
                <w:lang w:val="hy-AM"/>
              </w:rPr>
            </w:pPr>
          </w:p>
          <w:p w:rsidR="00530B14" w:rsidRPr="0053423A" w:rsidRDefault="00530B14" w:rsidP="00A67858">
            <w:pPr>
              <w:pStyle w:val="ListParagraph"/>
              <w:numPr>
                <w:ilvl w:val="0"/>
                <w:numId w:val="27"/>
              </w:numPr>
              <w:spacing w:line="276" w:lineRule="auto"/>
              <w:ind w:left="13" w:firstLine="720"/>
              <w:jc w:val="both"/>
              <w:rPr>
                <w:rFonts w:cs="Sylfaen"/>
                <w:lang w:val="hy-AM"/>
              </w:rPr>
            </w:pPr>
            <w:r w:rsidRPr="0053423A">
              <w:rPr>
                <w:rFonts w:cs="Sylfaen"/>
                <w:b/>
                <w:i/>
                <w:lang w:val="hy-AM"/>
              </w:rPr>
              <w:t>Միջոցառման իրականացման անհրաժեշտությունը և նպատակը.</w:t>
            </w:r>
            <w:r w:rsidRPr="0053423A">
              <w:rPr>
                <w:rFonts w:cs="Sylfaen"/>
                <w:b/>
                <w:i/>
                <w:lang w:val="hy-AM"/>
              </w:rPr>
              <w:br/>
            </w:r>
            <w:r w:rsidR="00232EB0" w:rsidRPr="0053423A">
              <w:rPr>
                <w:rFonts w:cs="Sylfaen"/>
                <w:lang w:val="hy-AM"/>
              </w:rPr>
              <w:t>Միջո</w:t>
            </w:r>
            <w:r w:rsidRPr="0053423A">
              <w:rPr>
                <w:rFonts w:cs="Sylfaen"/>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Շրջակա միջավայրի մոնիթորինգի, թույլտվություն¬ների, լիցենզիաների միասնական և ժամանակակից համակարգերի ներդրում, առաջնային տեղեկատվության համակարգված կառավարում  ուղղությունը:</w:t>
            </w:r>
          </w:p>
          <w:p w:rsidR="00530B14" w:rsidRPr="0053423A" w:rsidRDefault="00530B14" w:rsidP="00A67858">
            <w:pPr>
              <w:spacing w:line="276" w:lineRule="auto"/>
              <w:ind w:firstLine="720"/>
              <w:jc w:val="both"/>
              <w:rPr>
                <w:rFonts w:cs="Sylfaen"/>
                <w:lang w:val="hy-AM"/>
              </w:rPr>
            </w:pPr>
            <w:r w:rsidRPr="0053423A">
              <w:rPr>
                <w:rFonts w:cs="Sylfaen"/>
                <w:lang w:val="hy-AM"/>
              </w:rPr>
              <w:t>Սևան ազգային պարկի ափամերձ տարածքներում ՝ մինչև 1901,5 մ ծովի մակերևույթից բարձր մակարդակում 2019-2023 թվականների համար մաքրման համար ընտրված նախնական տարածքներում դաշտային ուսումնասիրություններ, սահմանների ճշգրտում:</w:t>
            </w:r>
          </w:p>
          <w:p w:rsidR="00530B14" w:rsidRPr="0053423A" w:rsidRDefault="00530B14" w:rsidP="00A67858">
            <w:pPr>
              <w:spacing w:line="276" w:lineRule="auto"/>
              <w:ind w:firstLine="720"/>
              <w:jc w:val="both"/>
              <w:rPr>
                <w:rFonts w:cs="Sylfaen"/>
                <w:lang w:val="hy-AM"/>
              </w:rPr>
            </w:pPr>
            <w:r w:rsidRPr="0053423A">
              <w:rPr>
                <w:rFonts w:cs="Sylfaen"/>
                <w:lang w:val="hy-AM"/>
              </w:rPr>
              <w:t>Իրականացնել դիտարկում ուսումնասիրություններ՝ ապահովելու նախորոշված տարածքներում մաքրման աշխատանքների պատշաճ իրականացում:</w:t>
            </w:r>
          </w:p>
          <w:p w:rsidR="00530B14" w:rsidRPr="0053423A" w:rsidRDefault="00530B14" w:rsidP="00A67858">
            <w:pPr>
              <w:spacing w:line="276" w:lineRule="auto"/>
              <w:ind w:firstLine="373"/>
              <w:jc w:val="both"/>
              <w:rPr>
                <w:rFonts w:cs="Sylfaen"/>
                <w:b/>
                <w:lang w:val="hy-AM"/>
              </w:rPr>
            </w:pPr>
            <w:r w:rsidRPr="0053423A">
              <w:rPr>
                <w:rFonts w:cs="Sylfaen"/>
                <w:b/>
                <w:lang w:val="hy-AM"/>
              </w:rPr>
              <w:t xml:space="preserve">      1.1. Կարգավորման հարաբերությունների ներկա վիճակը և առկա խնդիրները. </w:t>
            </w:r>
          </w:p>
          <w:p w:rsidR="00530B14" w:rsidRPr="0053423A" w:rsidRDefault="00530B14" w:rsidP="00A67858">
            <w:pPr>
              <w:spacing w:line="276" w:lineRule="auto"/>
              <w:jc w:val="both"/>
              <w:rPr>
                <w:rFonts w:cs="Sylfaen"/>
                <w:lang w:val="hy-AM"/>
              </w:rPr>
            </w:pPr>
            <w:r w:rsidRPr="0053423A">
              <w:rPr>
                <w:rFonts w:cs="Sylfaen"/>
                <w:lang w:val="hy-AM"/>
              </w:rPr>
              <w:t xml:space="preserve">Գրասենյակային պայմաններում վերլուծությունների արդյունքում առաձնացված նախնական տարածքների սահմանների ճշգրտման նպատակով կատարվելու է GPS հանույթ: </w:t>
            </w:r>
          </w:p>
          <w:p w:rsidR="00530B14" w:rsidRPr="0053423A" w:rsidRDefault="00530B14" w:rsidP="00A67858">
            <w:pPr>
              <w:spacing w:line="276" w:lineRule="auto"/>
              <w:ind w:firstLine="720"/>
              <w:rPr>
                <w:rFonts w:cs="Sylfaen"/>
                <w:lang w:val="hy-AM"/>
              </w:rPr>
            </w:pPr>
            <w:r w:rsidRPr="0053423A">
              <w:rPr>
                <w:rFonts w:cs="Sylfaen"/>
                <w:b/>
                <w:lang w:val="hy-AM"/>
              </w:rPr>
              <w:t>1.2</w:t>
            </w:r>
            <w:r w:rsidRPr="0053423A">
              <w:rPr>
                <w:b/>
                <w:lang w:val="hy-AM"/>
              </w:rPr>
              <w:t xml:space="preserve"> Առկա խնդիրների առաջարկվող լուծումները</w:t>
            </w:r>
            <w:r w:rsidRPr="0053423A">
              <w:rPr>
                <w:rFonts w:cs="Sylfaen"/>
                <w:b/>
                <w:lang w:val="hy-AM"/>
              </w:rPr>
              <w:t>.</w:t>
            </w:r>
            <w:r w:rsidRPr="0053423A">
              <w:rPr>
                <w:rFonts w:cs="Sylfaen"/>
                <w:b/>
                <w:lang w:val="hy-AM"/>
              </w:rPr>
              <w:br/>
            </w:r>
            <w:r w:rsidRPr="0053423A">
              <w:rPr>
                <w:rFonts w:cs="Sylfaen"/>
                <w:lang w:val="hy-AM"/>
              </w:rPr>
              <w:t xml:space="preserve">Կենտրոնում առկա Trimble GPS գործիքի շեղում  կազմում է առավելագույն 1.5 մետր: </w:t>
            </w:r>
          </w:p>
          <w:p w:rsidR="00530B14" w:rsidRPr="0053423A" w:rsidRDefault="00530B14" w:rsidP="00A67858">
            <w:pPr>
              <w:spacing w:line="276" w:lineRule="auto"/>
              <w:ind w:firstLine="720"/>
              <w:rPr>
                <w:rFonts w:cs="Sylfaen"/>
                <w:b/>
                <w:lang w:val="hy-AM"/>
              </w:rPr>
            </w:pPr>
            <w:r w:rsidRPr="0053423A">
              <w:rPr>
                <w:rFonts w:cs="Sylfaen"/>
                <w:b/>
                <w:lang w:val="hy-AM"/>
              </w:rPr>
              <w:t xml:space="preserve">2.Միջոցառման իրականացումից ակնկալվող արդյունքը. </w:t>
            </w:r>
          </w:p>
          <w:p w:rsidR="00530B14" w:rsidRPr="0053423A" w:rsidRDefault="00530B14" w:rsidP="00A67858">
            <w:pPr>
              <w:spacing w:line="276" w:lineRule="auto"/>
              <w:ind w:firstLine="720"/>
              <w:rPr>
                <w:lang w:val="hy-AM"/>
              </w:rPr>
            </w:pPr>
            <w:r w:rsidRPr="0053423A">
              <w:rPr>
                <w:rFonts w:cs="Sylfaen"/>
                <w:lang w:val="hy-AM"/>
              </w:rPr>
              <w:t>Կատարված աշխատանքների վերլուծություն, առկա խնդիրների և բացթողումների վերհանում, տարածքների վեկտորային շերտեր/Shp. ֆորմատի/:</w:t>
            </w:r>
          </w:p>
          <w:p w:rsidR="00530B14" w:rsidRPr="0053423A" w:rsidRDefault="00530B14" w:rsidP="00A67858">
            <w:pPr>
              <w:spacing w:line="276" w:lineRule="auto"/>
              <w:ind w:firstLine="720"/>
              <w:contextualSpacing/>
              <w:jc w:val="center"/>
              <w:rPr>
                <w:b/>
                <w:bCs/>
                <w:u w:val="single"/>
                <w:lang w:val="hy-AM"/>
              </w:rPr>
            </w:pPr>
          </w:p>
        </w:tc>
      </w:tr>
      <w:tr w:rsidR="00530B14" w:rsidRPr="00DE2EFA" w:rsidTr="004440EB">
        <w:tc>
          <w:tcPr>
            <w:tcW w:w="480" w:type="dxa"/>
          </w:tcPr>
          <w:p w:rsidR="00530B14" w:rsidRPr="0053423A" w:rsidRDefault="00530B14" w:rsidP="00A67858">
            <w:pPr>
              <w:spacing w:line="276" w:lineRule="auto"/>
              <w:jc w:val="center"/>
              <w:rPr>
                <w:b/>
                <w:bCs/>
                <w:lang w:val="hy-AM"/>
              </w:rPr>
            </w:pPr>
            <w:r w:rsidRPr="0053423A">
              <w:rPr>
                <w:b/>
                <w:bCs/>
                <w:lang w:val="hy-AM"/>
              </w:rPr>
              <w:t>12</w:t>
            </w:r>
          </w:p>
        </w:tc>
        <w:tc>
          <w:tcPr>
            <w:tcW w:w="10879" w:type="dxa"/>
          </w:tcPr>
          <w:p w:rsidR="00530B14" w:rsidRPr="0053423A" w:rsidRDefault="00530B14" w:rsidP="00A67858">
            <w:pPr>
              <w:tabs>
                <w:tab w:val="left" w:pos="312"/>
              </w:tabs>
              <w:suppressAutoHyphens/>
              <w:spacing w:line="276" w:lineRule="auto"/>
              <w:jc w:val="center"/>
              <w:rPr>
                <w:b/>
                <w:lang w:val="hy-AM"/>
              </w:rPr>
            </w:pPr>
            <w:r w:rsidRPr="0053423A">
              <w:rPr>
                <w:b/>
                <w:lang w:val="hy-AM"/>
              </w:rPr>
              <w:t>Կանաչ</w:t>
            </w:r>
            <w:r w:rsidRPr="0053423A">
              <w:rPr>
                <w:rFonts w:eastAsia="Calibri"/>
                <w:b/>
                <w:lang w:val="hy-AM"/>
              </w:rPr>
              <w:t xml:space="preserve"> </w:t>
            </w:r>
            <w:r w:rsidRPr="0053423A">
              <w:rPr>
                <w:b/>
                <w:lang w:val="hy-AM"/>
              </w:rPr>
              <w:t>տնտեսության</w:t>
            </w:r>
            <w:r w:rsidRPr="0053423A">
              <w:rPr>
                <w:rFonts w:eastAsia="Calibri"/>
                <w:b/>
                <w:lang w:val="hy-AM"/>
              </w:rPr>
              <w:t xml:space="preserve"> </w:t>
            </w:r>
            <w:r w:rsidRPr="0053423A">
              <w:rPr>
                <w:b/>
                <w:lang w:val="hy-AM"/>
              </w:rPr>
              <w:t>և</w:t>
            </w:r>
            <w:r w:rsidRPr="0053423A">
              <w:rPr>
                <w:rFonts w:eastAsia="Calibri"/>
                <w:b/>
                <w:lang w:val="hy-AM"/>
              </w:rPr>
              <w:t xml:space="preserve"> </w:t>
            </w:r>
            <w:r w:rsidRPr="0053423A">
              <w:rPr>
                <w:b/>
                <w:lang w:val="hy-AM"/>
              </w:rPr>
              <w:t>կայուն</w:t>
            </w:r>
            <w:r w:rsidRPr="0053423A">
              <w:rPr>
                <w:rFonts w:eastAsia="Calibri"/>
                <w:b/>
                <w:lang w:val="hy-AM"/>
              </w:rPr>
              <w:t xml:space="preserve"> </w:t>
            </w:r>
            <w:r w:rsidRPr="0053423A">
              <w:rPr>
                <w:b/>
                <w:lang w:val="hy-AM"/>
              </w:rPr>
              <w:t>զարգացման երկարաժամկետ</w:t>
            </w:r>
            <w:r w:rsidRPr="0053423A">
              <w:rPr>
                <w:rFonts w:eastAsia="Calibri"/>
                <w:b/>
                <w:lang w:val="hy-AM"/>
              </w:rPr>
              <w:t xml:space="preserve"> </w:t>
            </w:r>
            <w:r w:rsidRPr="0053423A">
              <w:rPr>
                <w:b/>
                <w:lang w:val="hy-AM"/>
              </w:rPr>
              <w:t>նպատակի</w:t>
            </w:r>
            <w:r w:rsidRPr="0053423A">
              <w:rPr>
                <w:rFonts w:eastAsia="Calibri"/>
                <w:b/>
                <w:lang w:val="hy-AM"/>
              </w:rPr>
              <w:t xml:space="preserve"> </w:t>
            </w:r>
            <w:r w:rsidRPr="0053423A">
              <w:rPr>
                <w:b/>
                <w:lang w:val="hy-AM"/>
              </w:rPr>
              <w:t>խթանմանն</w:t>
            </w:r>
            <w:r w:rsidRPr="0053423A">
              <w:rPr>
                <w:rFonts w:eastAsia="Calibri"/>
                <w:b/>
                <w:lang w:val="hy-AM"/>
              </w:rPr>
              <w:t xml:space="preserve"> </w:t>
            </w:r>
            <w:r w:rsidRPr="0053423A">
              <w:rPr>
                <w:b/>
                <w:lang w:val="hy-AM"/>
              </w:rPr>
              <w:t>ուղղված</w:t>
            </w:r>
            <w:r w:rsidRPr="0053423A">
              <w:rPr>
                <w:rFonts w:eastAsia="Calibri"/>
                <w:b/>
                <w:lang w:val="hy-AM"/>
              </w:rPr>
              <w:t xml:space="preserve"> </w:t>
            </w:r>
            <w:r w:rsidRPr="0053423A">
              <w:rPr>
                <w:b/>
                <w:lang w:val="hy-AM"/>
              </w:rPr>
              <w:t>քաղաքականության</w:t>
            </w:r>
            <w:r w:rsidRPr="0053423A">
              <w:rPr>
                <w:rFonts w:eastAsia="Calibri"/>
                <w:b/>
                <w:lang w:val="hy-AM"/>
              </w:rPr>
              <w:t xml:space="preserve"> </w:t>
            </w:r>
            <w:r w:rsidRPr="0053423A">
              <w:rPr>
                <w:b/>
                <w:lang w:val="hy-AM"/>
              </w:rPr>
              <w:t>մշակումն</w:t>
            </w:r>
            <w:r w:rsidRPr="0053423A">
              <w:rPr>
                <w:rFonts w:eastAsia="Calibri"/>
                <w:b/>
                <w:lang w:val="hy-AM"/>
              </w:rPr>
              <w:t xml:space="preserve"> </w:t>
            </w:r>
            <w:r w:rsidRPr="0053423A">
              <w:rPr>
                <w:b/>
                <w:lang w:val="hy-AM"/>
              </w:rPr>
              <w:t>ու</w:t>
            </w:r>
            <w:r w:rsidRPr="0053423A">
              <w:rPr>
                <w:rFonts w:eastAsia="Calibri"/>
                <w:b/>
                <w:lang w:val="hy-AM"/>
              </w:rPr>
              <w:t xml:space="preserve"> </w:t>
            </w:r>
            <w:r w:rsidRPr="0053423A">
              <w:rPr>
                <w:b/>
                <w:lang w:val="hy-AM"/>
              </w:rPr>
              <w:t>իրականացումը</w:t>
            </w:r>
          </w:p>
          <w:p w:rsidR="00530B14" w:rsidRPr="0053423A" w:rsidRDefault="00530B14" w:rsidP="00A67858">
            <w:pPr>
              <w:tabs>
                <w:tab w:val="left" w:pos="312"/>
              </w:tabs>
              <w:suppressAutoHyphens/>
              <w:spacing w:line="276" w:lineRule="auto"/>
              <w:jc w:val="center"/>
              <w:rPr>
                <w:rFonts w:eastAsia="Calibri"/>
                <w:b/>
                <w:lang w:val="hy-AM"/>
              </w:rPr>
            </w:pPr>
          </w:p>
          <w:p w:rsidR="00530B14" w:rsidRPr="0053423A" w:rsidRDefault="00530B14" w:rsidP="00A67858">
            <w:pPr>
              <w:tabs>
                <w:tab w:val="left" w:pos="312"/>
              </w:tabs>
              <w:suppressAutoHyphens/>
              <w:spacing w:line="276" w:lineRule="auto"/>
              <w:jc w:val="center"/>
              <w:rPr>
                <w:b/>
                <w:u w:val="single"/>
                <w:lang w:val="hy-AM"/>
              </w:rPr>
            </w:pPr>
            <w:r w:rsidRPr="0053423A">
              <w:rPr>
                <w:rFonts w:eastAsia="Calibri"/>
                <w:b/>
                <w:u w:val="single"/>
                <w:lang w:val="hy-AM"/>
              </w:rPr>
              <w:t xml:space="preserve">12.1 </w:t>
            </w:r>
            <w:r w:rsidRPr="0053423A">
              <w:rPr>
                <w:b/>
                <w:u w:val="single"/>
                <w:lang w:val="hy-AM"/>
              </w:rPr>
              <w:t></w:t>
            </w:r>
            <w:r w:rsidRPr="0053423A">
              <w:rPr>
                <w:rFonts w:cs="Sylfaen"/>
                <w:b/>
                <w:u w:val="single"/>
                <w:lang w:val="hy-AM"/>
              </w:rPr>
              <w:t>Կանաչ</w:t>
            </w:r>
            <w:r w:rsidRPr="0053423A">
              <w:rPr>
                <w:b/>
                <w:u w:val="single"/>
                <w:lang w:val="hy-AM"/>
              </w:rPr>
              <w:t xml:space="preserve"> </w:t>
            </w:r>
            <w:r w:rsidRPr="0053423A">
              <w:rPr>
                <w:rFonts w:cs="Sylfaen"/>
                <w:b/>
                <w:u w:val="single"/>
                <w:lang w:val="hy-AM"/>
              </w:rPr>
              <w:t>տնտեսության</w:t>
            </w:r>
            <w:r w:rsidRPr="0053423A">
              <w:rPr>
                <w:b/>
                <w:u w:val="single"/>
                <w:lang w:val="hy-AM"/>
              </w:rPr>
              <w:t xml:space="preserve">» </w:t>
            </w:r>
            <w:r w:rsidRPr="0053423A">
              <w:rPr>
                <w:rFonts w:cs="Sylfaen"/>
                <w:b/>
                <w:u w:val="single"/>
                <w:lang w:val="hy-AM"/>
              </w:rPr>
              <w:t>սկզբուների</w:t>
            </w:r>
            <w:r w:rsidRPr="0053423A">
              <w:rPr>
                <w:b/>
                <w:u w:val="single"/>
                <w:lang w:val="hy-AM"/>
              </w:rPr>
              <w:t xml:space="preserve"> </w:t>
            </w:r>
            <w:r w:rsidRPr="0053423A">
              <w:rPr>
                <w:rFonts w:cs="Sylfaen"/>
                <w:b/>
                <w:u w:val="single"/>
                <w:lang w:val="hy-AM"/>
              </w:rPr>
              <w:t>ներդրման</w:t>
            </w:r>
            <w:r w:rsidRPr="0053423A">
              <w:rPr>
                <w:b/>
                <w:u w:val="single"/>
                <w:lang w:val="hy-AM"/>
              </w:rPr>
              <w:t xml:space="preserve"> </w:t>
            </w:r>
            <w:r w:rsidRPr="0053423A">
              <w:rPr>
                <w:rFonts w:cs="Sylfaen"/>
                <w:b/>
                <w:u w:val="single"/>
                <w:lang w:val="hy-AM"/>
              </w:rPr>
              <w:t>հայեցակարգի</w:t>
            </w:r>
            <w:r w:rsidRPr="0053423A">
              <w:rPr>
                <w:b/>
                <w:u w:val="single"/>
                <w:lang w:val="hy-AM"/>
              </w:rPr>
              <w:t xml:space="preserve"> </w:t>
            </w:r>
            <w:r w:rsidRPr="0053423A">
              <w:rPr>
                <w:rFonts w:cs="Arial"/>
                <w:b/>
                <w:u w:val="single"/>
                <w:lang w:val="hy-AM"/>
              </w:rPr>
              <w:t>նախագիծը վարչապետի աշխատակազմ ներկայացնելը</w:t>
            </w:r>
            <w:r w:rsidRPr="0053423A">
              <w:rPr>
                <w:b/>
                <w:u w:val="single"/>
                <w:lang w:val="hy-AM"/>
              </w:rPr>
              <w:t xml:space="preserve"> </w:t>
            </w:r>
          </w:p>
          <w:p w:rsidR="00530B14" w:rsidRPr="0053423A" w:rsidRDefault="00530B14" w:rsidP="00A67858">
            <w:pPr>
              <w:tabs>
                <w:tab w:val="left" w:pos="312"/>
              </w:tabs>
              <w:suppressAutoHyphens/>
              <w:spacing w:line="276" w:lineRule="auto"/>
              <w:jc w:val="center"/>
              <w:rPr>
                <w:b/>
                <w:u w:val="single"/>
                <w:lang w:val="hy-AM"/>
              </w:rPr>
            </w:pPr>
          </w:p>
          <w:p w:rsidR="00530B14" w:rsidRPr="0053423A" w:rsidRDefault="00530B14" w:rsidP="00A67858">
            <w:pPr>
              <w:pStyle w:val="ListParagraph"/>
              <w:numPr>
                <w:ilvl w:val="3"/>
                <w:numId w:val="40"/>
              </w:numPr>
              <w:spacing w:line="276" w:lineRule="auto"/>
              <w:ind w:left="426" w:firstLine="37"/>
              <w:rPr>
                <w:b/>
                <w:i/>
              </w:rPr>
            </w:pPr>
            <w:r w:rsidRPr="0053423A">
              <w:rPr>
                <w:rFonts w:cs="Sylfaen"/>
                <w:b/>
                <w:i/>
              </w:rPr>
              <w:t>Միջոցառման</w:t>
            </w:r>
            <w:r w:rsidRPr="0053423A">
              <w:rPr>
                <w:b/>
                <w:i/>
              </w:rPr>
              <w:t xml:space="preserve"> </w:t>
            </w:r>
            <w:r w:rsidRPr="0053423A">
              <w:rPr>
                <w:rFonts w:cs="Sylfaen"/>
                <w:b/>
                <w:i/>
              </w:rPr>
              <w:t>իրականացման</w:t>
            </w:r>
            <w:r w:rsidRPr="0053423A">
              <w:rPr>
                <w:b/>
                <w:i/>
              </w:rPr>
              <w:t xml:space="preserve"> </w:t>
            </w:r>
            <w:r w:rsidRPr="0053423A">
              <w:rPr>
                <w:rFonts w:cs="Sylfaen"/>
                <w:b/>
                <w:i/>
              </w:rPr>
              <w:t>անհրաժեշտությունը</w:t>
            </w:r>
            <w:r w:rsidRPr="0053423A">
              <w:rPr>
                <w:b/>
                <w:i/>
              </w:rPr>
              <w:t xml:space="preserve"> </w:t>
            </w:r>
            <w:r w:rsidRPr="0053423A">
              <w:rPr>
                <w:rFonts w:cs="Sylfaen"/>
                <w:b/>
                <w:i/>
              </w:rPr>
              <w:t>և</w:t>
            </w:r>
            <w:r w:rsidRPr="0053423A">
              <w:rPr>
                <w:b/>
                <w:i/>
              </w:rPr>
              <w:t xml:space="preserve"> </w:t>
            </w:r>
            <w:r w:rsidRPr="0053423A">
              <w:rPr>
                <w:rFonts w:cs="Sylfaen"/>
                <w:b/>
                <w:i/>
              </w:rPr>
              <w:t>նպատակը</w:t>
            </w:r>
          </w:p>
          <w:p w:rsidR="00530B14" w:rsidRPr="0053423A" w:rsidRDefault="00232EB0" w:rsidP="00A67858">
            <w:pPr>
              <w:autoSpaceDE w:val="0"/>
              <w:autoSpaceDN w:val="0"/>
              <w:adjustRightInd w:val="0"/>
              <w:spacing w:line="276" w:lineRule="auto"/>
              <w:jc w:val="both"/>
            </w:pPr>
            <w:r w:rsidRPr="0053423A">
              <w:tab/>
              <w:t>Միջո</w:t>
            </w:r>
            <w:r w:rsidR="00530B14" w:rsidRPr="0053423A">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Կանաչ տնտեսության և կայուն զարգացման երկարաժամկետ նպատակի խթանմանն ուղղված քաղաքականության մշակումն ու իրականացում  ուղղությունը:</w:t>
            </w:r>
          </w:p>
          <w:p w:rsidR="00530B14" w:rsidRPr="0053423A" w:rsidRDefault="00530B14" w:rsidP="00A67858">
            <w:pPr>
              <w:autoSpaceDE w:val="0"/>
              <w:autoSpaceDN w:val="0"/>
              <w:adjustRightInd w:val="0"/>
              <w:spacing w:line="276" w:lineRule="auto"/>
              <w:ind w:firstLine="426"/>
              <w:jc w:val="both"/>
              <w:rPr>
                <w:rFonts w:eastAsia="GHEAGrapalat" w:cs="GHEAGrapalat"/>
              </w:rPr>
            </w:pPr>
            <w:r w:rsidRPr="0053423A">
              <w:rPr>
                <w:rFonts w:eastAsia="GHEAGrapalat" w:cs="Sylfaen"/>
              </w:rPr>
              <w:t>Կանաչ</w:t>
            </w:r>
            <w:r w:rsidRPr="0053423A">
              <w:rPr>
                <w:rFonts w:eastAsia="GHEAGrapalat" w:cs="GHEAGrapalat"/>
              </w:rPr>
              <w:t xml:space="preserve"> </w:t>
            </w:r>
            <w:r w:rsidRPr="0053423A">
              <w:rPr>
                <w:rFonts w:eastAsia="GHEAGrapalat" w:cs="Sylfaen"/>
              </w:rPr>
              <w:t>տնտեսության</w:t>
            </w:r>
            <w:r w:rsidRPr="0053423A">
              <w:rPr>
                <w:rFonts w:eastAsia="GHEAGrapalat" w:cs="GHEAGrapalat"/>
              </w:rPr>
              <w:t xml:space="preserve"> </w:t>
            </w:r>
            <w:r w:rsidRPr="0053423A">
              <w:rPr>
                <w:rFonts w:eastAsia="GHEAGrapalat" w:cs="Sylfaen"/>
              </w:rPr>
              <w:t>քաղաքականության</w:t>
            </w:r>
            <w:r w:rsidRPr="0053423A">
              <w:rPr>
                <w:rFonts w:eastAsia="GHEAGrapalat" w:cs="GHEAGrapalat"/>
              </w:rPr>
              <w:t xml:space="preserve"> </w:t>
            </w:r>
            <w:r w:rsidRPr="0053423A">
              <w:rPr>
                <w:rFonts w:eastAsia="GHEAGrapalat" w:cs="Sylfaen"/>
              </w:rPr>
              <w:t>տրամաբանությունը</w:t>
            </w:r>
            <w:r w:rsidRPr="0053423A">
              <w:rPr>
                <w:rFonts w:eastAsia="GHEAGrapalat" w:cs="GHEAGrapalat"/>
              </w:rPr>
              <w:t xml:space="preserve"> </w:t>
            </w:r>
            <w:r w:rsidRPr="0053423A">
              <w:rPr>
                <w:rFonts w:eastAsia="GHEAGrapalat" w:cs="Sylfaen"/>
              </w:rPr>
              <w:t>և</w:t>
            </w:r>
            <w:r w:rsidRPr="0053423A">
              <w:rPr>
                <w:rFonts w:eastAsia="GHEAGrapalat" w:cs="GHEAGrapalat"/>
              </w:rPr>
              <w:t xml:space="preserve"> </w:t>
            </w:r>
            <w:r w:rsidRPr="0053423A">
              <w:rPr>
                <w:rFonts w:eastAsia="GHEAGrapalat" w:cs="Sylfaen"/>
              </w:rPr>
              <w:t>միջոցա</w:t>
            </w:r>
            <w:r w:rsidRPr="0053423A">
              <w:rPr>
                <w:rFonts w:eastAsia="GHEAGrapalat" w:cs="GHEAGrapalat"/>
              </w:rPr>
              <w:t>-</w:t>
            </w:r>
          </w:p>
          <w:p w:rsidR="00530B14" w:rsidRPr="0053423A" w:rsidRDefault="00530B14" w:rsidP="00A67858">
            <w:pPr>
              <w:autoSpaceDE w:val="0"/>
              <w:autoSpaceDN w:val="0"/>
              <w:adjustRightInd w:val="0"/>
              <w:spacing w:line="276" w:lineRule="auto"/>
              <w:jc w:val="both"/>
              <w:rPr>
                <w:rFonts w:eastAsia="GHEAGrapalat" w:cs="GHEAGrapalat"/>
              </w:rPr>
            </w:pPr>
            <w:r w:rsidRPr="0053423A">
              <w:rPr>
                <w:rFonts w:eastAsia="GHEAGrapalat" w:cs="Sylfaen"/>
              </w:rPr>
              <w:t>ռումները</w:t>
            </w:r>
            <w:r w:rsidRPr="0053423A">
              <w:rPr>
                <w:rFonts w:eastAsia="GHEAGrapalat" w:cs="GHEAGrapalat"/>
              </w:rPr>
              <w:t xml:space="preserve"> </w:t>
            </w:r>
            <w:r w:rsidRPr="0053423A">
              <w:rPr>
                <w:rFonts w:eastAsia="GHEAGrapalat" w:cs="Sylfaen"/>
              </w:rPr>
              <w:t>առավելապես</w:t>
            </w:r>
            <w:r w:rsidRPr="0053423A">
              <w:rPr>
                <w:rFonts w:eastAsia="GHEAGrapalat" w:cs="GHEAGrapalat"/>
              </w:rPr>
              <w:t xml:space="preserve"> </w:t>
            </w:r>
            <w:r w:rsidRPr="0053423A">
              <w:rPr>
                <w:rFonts w:eastAsia="GHEAGrapalat" w:cs="Sylfaen"/>
              </w:rPr>
              <w:t>բխում</w:t>
            </w:r>
            <w:r w:rsidRPr="0053423A">
              <w:rPr>
                <w:rFonts w:eastAsia="GHEAGrapalat" w:cs="GHEAGrapalat"/>
              </w:rPr>
              <w:t xml:space="preserve"> </w:t>
            </w:r>
            <w:r w:rsidRPr="0053423A">
              <w:rPr>
                <w:rFonts w:eastAsia="GHEAGrapalat" w:cs="Sylfaen"/>
              </w:rPr>
              <w:t>են</w:t>
            </w:r>
            <w:r w:rsidRPr="0053423A">
              <w:rPr>
                <w:rFonts w:eastAsia="GHEAGrapalat" w:cs="GHEAGrapalat"/>
              </w:rPr>
              <w:t xml:space="preserve"> </w:t>
            </w:r>
            <w:r w:rsidRPr="0053423A">
              <w:rPr>
                <w:rFonts w:eastAsia="GHEAGrapalat" w:cs="Sylfaen"/>
              </w:rPr>
              <w:t>կայուն</w:t>
            </w:r>
            <w:r w:rsidRPr="0053423A">
              <w:rPr>
                <w:rFonts w:eastAsia="GHEAGrapalat" w:cs="GHEAGrapalat"/>
              </w:rPr>
              <w:t xml:space="preserve"> </w:t>
            </w:r>
            <w:r w:rsidRPr="0053423A">
              <w:rPr>
                <w:rFonts w:eastAsia="GHEAGrapalat" w:cs="Sylfaen"/>
              </w:rPr>
              <w:t>զարգացման</w:t>
            </w:r>
            <w:r w:rsidRPr="0053423A">
              <w:rPr>
                <w:rFonts w:eastAsia="GHEAGrapalat" w:cs="GHEAGrapalat"/>
              </w:rPr>
              <w:t xml:space="preserve"> </w:t>
            </w:r>
            <w:r w:rsidRPr="0053423A">
              <w:rPr>
                <w:rFonts w:eastAsia="GHEAGrapalat" w:cs="Sylfaen"/>
              </w:rPr>
              <w:t>և</w:t>
            </w:r>
            <w:r w:rsidRPr="0053423A">
              <w:rPr>
                <w:rFonts w:eastAsia="GHEAGrapalat" w:cs="GHEAGrapalat"/>
              </w:rPr>
              <w:t xml:space="preserve"> </w:t>
            </w:r>
            <w:r w:rsidRPr="0053423A">
              <w:rPr>
                <w:rFonts w:eastAsia="GHEAGrapalat" w:cs="Sylfaen"/>
              </w:rPr>
              <w:t>աղքատության</w:t>
            </w:r>
            <w:r w:rsidRPr="0053423A">
              <w:rPr>
                <w:rFonts w:eastAsia="GHEAGrapalat" w:cs="GHEAGrapalat"/>
              </w:rPr>
              <w:t xml:space="preserve"> </w:t>
            </w:r>
            <w:r w:rsidRPr="0053423A">
              <w:rPr>
                <w:rFonts w:eastAsia="GHEAGrapalat" w:cs="Sylfaen"/>
              </w:rPr>
              <w:t>նվազեցման նպատակներից՝ ամրագրելով</w:t>
            </w:r>
            <w:r w:rsidRPr="0053423A">
              <w:rPr>
                <w:rFonts w:eastAsia="GHEAGrapalat" w:cs="GHEAGrapalat"/>
              </w:rPr>
              <w:t xml:space="preserve"> </w:t>
            </w:r>
            <w:r w:rsidRPr="0053423A">
              <w:rPr>
                <w:rFonts w:eastAsia="GHEAGrapalat" w:cs="Sylfaen"/>
              </w:rPr>
              <w:t>գործառնական</w:t>
            </w:r>
            <w:r w:rsidRPr="0053423A">
              <w:rPr>
                <w:rFonts w:eastAsia="GHEAGrapalat" w:cs="GHEAGrapalat"/>
              </w:rPr>
              <w:t xml:space="preserve"> </w:t>
            </w:r>
            <w:r w:rsidRPr="0053423A">
              <w:rPr>
                <w:rFonts w:eastAsia="GHEAGrapalat" w:cs="Sylfaen"/>
              </w:rPr>
              <w:t>օրակարգ</w:t>
            </w:r>
            <w:r w:rsidRPr="0053423A">
              <w:rPr>
                <w:rFonts w:eastAsia="GHEAGrapalat" w:cs="GHEAGrapalat"/>
              </w:rPr>
              <w:t xml:space="preserve"> </w:t>
            </w:r>
            <w:r w:rsidRPr="0053423A">
              <w:rPr>
                <w:rFonts w:eastAsia="GHEAGrapalat" w:cs="Sylfaen"/>
              </w:rPr>
              <w:t>տնտեսության</w:t>
            </w:r>
            <w:r w:rsidRPr="0053423A">
              <w:rPr>
                <w:rFonts w:eastAsia="GHEAGrapalat" w:cs="GHEAGrapalat"/>
              </w:rPr>
              <w:t xml:space="preserve"> </w:t>
            </w:r>
            <w:r w:rsidRPr="0053423A">
              <w:rPr>
                <w:rFonts w:eastAsia="GHEAGrapalat" w:cs="Sylfaen"/>
              </w:rPr>
              <w:t>և</w:t>
            </w:r>
            <w:r w:rsidRPr="0053423A">
              <w:rPr>
                <w:rFonts w:eastAsia="GHEAGrapalat" w:cs="GHEAGrapalat"/>
              </w:rPr>
              <w:t xml:space="preserve"> </w:t>
            </w:r>
            <w:r w:rsidRPr="0053423A">
              <w:rPr>
                <w:rFonts w:eastAsia="GHEAGrapalat" w:cs="Sylfaen"/>
              </w:rPr>
              <w:t>շրջակա</w:t>
            </w:r>
            <w:r w:rsidRPr="0053423A">
              <w:rPr>
                <w:rFonts w:eastAsia="GHEAGrapalat" w:cs="GHEAGrapalat"/>
              </w:rPr>
              <w:t xml:space="preserve"> </w:t>
            </w:r>
            <w:r w:rsidRPr="0053423A">
              <w:rPr>
                <w:rFonts w:eastAsia="GHEAGrapalat" w:cs="Sylfaen"/>
              </w:rPr>
              <w:t>միջավայրի</w:t>
            </w:r>
            <w:r w:rsidRPr="0053423A">
              <w:rPr>
                <w:rFonts w:eastAsia="GHEAGrapalat" w:cs="GHEAGrapalat"/>
              </w:rPr>
              <w:t xml:space="preserve"> </w:t>
            </w:r>
            <w:r w:rsidRPr="0053423A">
              <w:rPr>
                <w:rFonts w:eastAsia="GHEAGrapalat" w:cs="Sylfaen"/>
              </w:rPr>
              <w:t>ներդաշնակ</w:t>
            </w:r>
            <w:r w:rsidRPr="0053423A">
              <w:rPr>
                <w:rFonts w:eastAsia="GHEAGrapalat" w:cs="GHEAGrapalat"/>
              </w:rPr>
              <w:t xml:space="preserve"> </w:t>
            </w:r>
            <w:r w:rsidRPr="0053423A">
              <w:rPr>
                <w:rFonts w:eastAsia="GHEAGrapalat" w:cs="Sylfaen"/>
              </w:rPr>
              <w:t>զարգացման</w:t>
            </w:r>
            <w:r w:rsidRPr="0053423A">
              <w:rPr>
                <w:rFonts w:eastAsia="GHEAGrapalat" w:cs="GHEAGrapalat"/>
              </w:rPr>
              <w:t xml:space="preserve"> </w:t>
            </w:r>
            <w:r w:rsidRPr="0053423A">
              <w:rPr>
                <w:rFonts w:eastAsia="GHEAGrapalat" w:cs="Sylfaen"/>
              </w:rPr>
              <w:t>չափելի</w:t>
            </w:r>
            <w:r w:rsidRPr="0053423A">
              <w:rPr>
                <w:rFonts w:eastAsia="GHEAGrapalat" w:cs="GHEAGrapalat"/>
              </w:rPr>
              <w:t xml:space="preserve"> </w:t>
            </w:r>
            <w:r w:rsidRPr="0053423A">
              <w:rPr>
                <w:rFonts w:eastAsia="GHEAGrapalat" w:cs="Sylfaen"/>
              </w:rPr>
              <w:t>և</w:t>
            </w:r>
            <w:r w:rsidRPr="0053423A">
              <w:rPr>
                <w:rFonts w:eastAsia="GHEAGrapalat" w:cs="GHEAGrapalat"/>
              </w:rPr>
              <w:t xml:space="preserve"> </w:t>
            </w:r>
            <w:r w:rsidRPr="0053423A">
              <w:rPr>
                <w:rFonts w:eastAsia="GHEAGrapalat" w:cs="Sylfaen"/>
              </w:rPr>
              <w:t>կոնկրետ</w:t>
            </w:r>
            <w:r w:rsidRPr="0053423A">
              <w:rPr>
                <w:rFonts w:eastAsia="GHEAGrapalat" w:cs="GHEAGrapalat"/>
              </w:rPr>
              <w:t xml:space="preserve"> </w:t>
            </w:r>
            <w:r w:rsidRPr="0053423A">
              <w:rPr>
                <w:rFonts w:eastAsia="GHEAGrapalat" w:cs="Sylfaen"/>
              </w:rPr>
              <w:t>արդյունքների</w:t>
            </w:r>
            <w:r w:rsidRPr="0053423A">
              <w:rPr>
                <w:rFonts w:eastAsia="GHEAGrapalat" w:cs="GHEAGrapalat"/>
              </w:rPr>
              <w:t xml:space="preserve"> </w:t>
            </w:r>
            <w:r w:rsidRPr="0053423A">
              <w:rPr>
                <w:rFonts w:eastAsia="GHEAGrapalat" w:cs="Sylfaen"/>
              </w:rPr>
              <w:t>հասնելու</w:t>
            </w:r>
            <w:r w:rsidRPr="0053423A">
              <w:rPr>
                <w:rFonts w:eastAsia="GHEAGrapalat" w:cs="GHEAGrapalat"/>
              </w:rPr>
              <w:t xml:space="preserve"> </w:t>
            </w:r>
            <w:r w:rsidRPr="0053423A">
              <w:rPr>
                <w:rFonts w:eastAsia="GHEAGrapalat" w:cs="Sylfaen"/>
              </w:rPr>
              <w:t>հնարավորությունները</w:t>
            </w:r>
            <w:r w:rsidRPr="0053423A">
              <w:rPr>
                <w:rFonts w:eastAsia="GHEAGrapalat" w:cs="GHEAGrapalat"/>
              </w:rPr>
              <w:t>:</w:t>
            </w:r>
          </w:p>
          <w:p w:rsidR="00530B14" w:rsidRPr="0053423A" w:rsidRDefault="00530B14" w:rsidP="00A67858">
            <w:pPr>
              <w:autoSpaceDE w:val="0"/>
              <w:autoSpaceDN w:val="0"/>
              <w:adjustRightInd w:val="0"/>
              <w:spacing w:line="276" w:lineRule="auto"/>
              <w:ind w:firstLine="567"/>
              <w:jc w:val="both"/>
            </w:pPr>
            <w:r w:rsidRPr="0053423A">
              <w:rPr>
                <w:rFonts w:eastAsia="GHEAGrapalat" w:cs="Sylfaen"/>
              </w:rPr>
              <w:t>Կանաչ</w:t>
            </w:r>
            <w:r w:rsidRPr="0053423A">
              <w:rPr>
                <w:rFonts w:eastAsia="GHEAGrapalat" w:cs="GHEAGrapalat"/>
              </w:rPr>
              <w:t xml:space="preserve"> </w:t>
            </w:r>
            <w:r w:rsidRPr="0053423A">
              <w:rPr>
                <w:rFonts w:eastAsia="GHEAGrapalat" w:cs="Sylfaen"/>
              </w:rPr>
              <w:t>տնտեսության</w:t>
            </w:r>
            <w:r w:rsidRPr="0053423A">
              <w:rPr>
                <w:rFonts w:eastAsia="GHEAGrapalat" w:cs="GHEAGrapalat"/>
              </w:rPr>
              <w:t xml:space="preserve"> </w:t>
            </w:r>
            <w:r w:rsidRPr="0053423A">
              <w:rPr>
                <w:rFonts w:eastAsia="GHEAGrapalat" w:cs="Sylfaen"/>
              </w:rPr>
              <w:t>օրակարգի</w:t>
            </w:r>
            <w:r w:rsidRPr="0053423A">
              <w:rPr>
                <w:rFonts w:eastAsia="GHEAGrapalat" w:cs="GHEAGrapalat"/>
              </w:rPr>
              <w:t xml:space="preserve"> </w:t>
            </w:r>
            <w:r w:rsidRPr="0053423A">
              <w:rPr>
                <w:rFonts w:eastAsia="GHEAGrapalat" w:cs="Sylfaen"/>
              </w:rPr>
              <w:t>ձևավորումն</w:t>
            </w:r>
            <w:r w:rsidRPr="0053423A">
              <w:rPr>
                <w:rFonts w:eastAsia="GHEAGrapalat" w:cs="GHEAGrapalat"/>
              </w:rPr>
              <w:t xml:space="preserve"> </w:t>
            </w:r>
            <w:r w:rsidRPr="0053423A">
              <w:rPr>
                <w:rFonts w:eastAsia="GHEAGrapalat" w:cs="Sylfaen"/>
              </w:rPr>
              <w:t>առավել</w:t>
            </w:r>
            <w:r w:rsidRPr="0053423A">
              <w:rPr>
                <w:rFonts w:eastAsia="GHEAGrapalat" w:cs="GHEAGrapalat"/>
              </w:rPr>
              <w:t xml:space="preserve"> </w:t>
            </w:r>
            <w:r w:rsidRPr="0053423A">
              <w:rPr>
                <w:rFonts w:eastAsia="GHEAGrapalat" w:cs="Sylfaen"/>
              </w:rPr>
              <w:t>կարևորվում</w:t>
            </w:r>
            <w:r w:rsidRPr="0053423A">
              <w:rPr>
                <w:rFonts w:eastAsia="GHEAGrapalat" w:cs="GHEAGrapalat"/>
              </w:rPr>
              <w:t xml:space="preserve"> </w:t>
            </w:r>
            <w:r w:rsidRPr="0053423A">
              <w:rPr>
                <w:rFonts w:eastAsia="GHEAGrapalat" w:cs="Sylfaen"/>
              </w:rPr>
              <w:t>է</w:t>
            </w:r>
            <w:r w:rsidRPr="0053423A">
              <w:rPr>
                <w:rFonts w:eastAsia="GHEAGrapalat" w:cs="GHEAGrapalat"/>
              </w:rPr>
              <w:t xml:space="preserve"> </w:t>
            </w:r>
            <w:r w:rsidRPr="0053423A">
              <w:rPr>
                <w:rFonts w:eastAsia="GHEAGrapalat" w:cs="Sylfaen"/>
              </w:rPr>
              <w:t>այն</w:t>
            </w:r>
            <w:r w:rsidRPr="0053423A">
              <w:rPr>
                <w:rFonts w:eastAsia="GHEAGrapalat" w:cs="GHEAGrapalat"/>
              </w:rPr>
              <w:t xml:space="preserve"> </w:t>
            </w:r>
            <w:r w:rsidRPr="0053423A">
              <w:rPr>
                <w:rFonts w:eastAsia="GHEAGrapalat" w:cs="Sylfaen"/>
              </w:rPr>
              <w:t>հիմքով</w:t>
            </w:r>
            <w:r w:rsidRPr="0053423A">
              <w:rPr>
                <w:rFonts w:eastAsia="GHEAGrapalat" w:cs="GHEAGrapalat"/>
              </w:rPr>
              <w:t xml:space="preserve">, </w:t>
            </w:r>
            <w:r w:rsidRPr="0053423A">
              <w:rPr>
                <w:rFonts w:eastAsia="GHEAGrapalat" w:cs="Sylfaen"/>
              </w:rPr>
              <w:t>որ բնական</w:t>
            </w:r>
            <w:r w:rsidRPr="0053423A">
              <w:rPr>
                <w:rFonts w:eastAsia="GHEAGrapalat" w:cs="GHEAGrapalat"/>
              </w:rPr>
              <w:t xml:space="preserve"> </w:t>
            </w:r>
            <w:r w:rsidRPr="0053423A">
              <w:rPr>
                <w:rFonts w:eastAsia="GHEAGrapalat" w:cs="Sylfaen"/>
              </w:rPr>
              <w:t>կապիտալի</w:t>
            </w:r>
            <w:r w:rsidRPr="0053423A">
              <w:rPr>
                <w:rFonts w:eastAsia="GHEAGrapalat" w:cs="GHEAGrapalat"/>
              </w:rPr>
              <w:t xml:space="preserve"> </w:t>
            </w:r>
            <w:r w:rsidRPr="0053423A">
              <w:rPr>
                <w:rFonts w:eastAsia="GHEAGrapalat" w:cs="Sylfaen"/>
              </w:rPr>
              <w:t>շարունակական</w:t>
            </w:r>
            <w:r w:rsidRPr="0053423A">
              <w:rPr>
                <w:rFonts w:eastAsia="GHEAGrapalat" w:cs="GHEAGrapalat"/>
              </w:rPr>
              <w:t xml:space="preserve"> </w:t>
            </w:r>
            <w:r w:rsidRPr="0053423A">
              <w:rPr>
                <w:rFonts w:eastAsia="GHEAGrapalat" w:cs="Sylfaen"/>
              </w:rPr>
              <w:t>սպառման</w:t>
            </w:r>
            <w:r w:rsidRPr="0053423A">
              <w:rPr>
                <w:rFonts w:eastAsia="GHEAGrapalat" w:cs="GHEAGrapalat"/>
              </w:rPr>
              <w:t xml:space="preserve"> </w:t>
            </w:r>
            <w:r w:rsidRPr="0053423A">
              <w:rPr>
                <w:rFonts w:eastAsia="GHEAGrapalat" w:cs="Sylfaen"/>
              </w:rPr>
              <w:t>հաշվին</w:t>
            </w:r>
            <w:r w:rsidRPr="0053423A">
              <w:rPr>
                <w:rFonts w:eastAsia="GHEAGrapalat" w:cs="GHEAGrapalat"/>
              </w:rPr>
              <w:t xml:space="preserve"> </w:t>
            </w:r>
            <w:r w:rsidRPr="0053423A">
              <w:rPr>
                <w:rFonts w:eastAsia="GHEAGrapalat" w:cs="Sylfaen"/>
              </w:rPr>
              <w:t>ազգային</w:t>
            </w:r>
            <w:r w:rsidRPr="0053423A">
              <w:rPr>
                <w:rFonts w:eastAsia="GHEAGrapalat" w:cs="GHEAGrapalat"/>
              </w:rPr>
              <w:t xml:space="preserve"> </w:t>
            </w:r>
            <w:r w:rsidRPr="0053423A">
              <w:rPr>
                <w:rFonts w:eastAsia="GHEAGrapalat" w:cs="Sylfaen"/>
              </w:rPr>
              <w:t>եկամտի</w:t>
            </w:r>
            <w:r w:rsidRPr="0053423A">
              <w:rPr>
                <w:rFonts w:eastAsia="GHEAGrapalat" w:cs="GHEAGrapalat"/>
              </w:rPr>
              <w:t xml:space="preserve"> </w:t>
            </w:r>
            <w:r w:rsidRPr="0053423A">
              <w:rPr>
                <w:rFonts w:eastAsia="GHEAGrapalat" w:cs="Sylfaen"/>
              </w:rPr>
              <w:t>ավելացման ընթացքում</w:t>
            </w:r>
            <w:r w:rsidRPr="0053423A">
              <w:rPr>
                <w:rFonts w:eastAsia="GHEAGrapalat" w:cs="GHEAGrapalat"/>
              </w:rPr>
              <w:t xml:space="preserve"> </w:t>
            </w:r>
            <w:r w:rsidRPr="0053423A">
              <w:rPr>
                <w:rFonts w:eastAsia="GHEAGrapalat" w:cs="Sylfaen"/>
              </w:rPr>
              <w:t>ավելի</w:t>
            </w:r>
            <w:r w:rsidRPr="0053423A">
              <w:rPr>
                <w:rFonts w:eastAsia="GHEAGrapalat" w:cs="GHEAGrapalat"/>
              </w:rPr>
              <w:t xml:space="preserve"> </w:t>
            </w:r>
            <w:r w:rsidRPr="0053423A">
              <w:rPr>
                <w:rFonts w:eastAsia="GHEAGrapalat" w:cs="Sylfaen"/>
              </w:rPr>
              <w:t>են</w:t>
            </w:r>
            <w:r w:rsidRPr="0053423A">
              <w:rPr>
                <w:rFonts w:eastAsia="GHEAGrapalat" w:cs="GHEAGrapalat"/>
              </w:rPr>
              <w:t xml:space="preserve"> </w:t>
            </w:r>
            <w:r w:rsidRPr="0053423A">
              <w:rPr>
                <w:rFonts w:eastAsia="GHEAGrapalat" w:cs="Sylfaen"/>
              </w:rPr>
              <w:t>սրվում</w:t>
            </w:r>
            <w:r w:rsidRPr="0053423A">
              <w:rPr>
                <w:rFonts w:eastAsia="GHEAGrapalat" w:cs="GHEAGrapalat"/>
              </w:rPr>
              <w:t xml:space="preserve"> </w:t>
            </w:r>
            <w:r w:rsidRPr="0053423A">
              <w:rPr>
                <w:rFonts w:eastAsia="GHEAGrapalat" w:cs="Sylfaen"/>
              </w:rPr>
              <w:t>ապագա</w:t>
            </w:r>
            <w:r w:rsidRPr="0053423A">
              <w:rPr>
                <w:rFonts w:eastAsia="GHEAGrapalat" w:cs="GHEAGrapalat"/>
              </w:rPr>
              <w:t xml:space="preserve"> </w:t>
            </w:r>
            <w:r w:rsidRPr="0053423A">
              <w:rPr>
                <w:rFonts w:eastAsia="GHEAGrapalat" w:cs="Sylfaen"/>
              </w:rPr>
              <w:t>զարգացման</w:t>
            </w:r>
            <w:r w:rsidRPr="0053423A">
              <w:rPr>
                <w:rFonts w:eastAsia="GHEAGrapalat" w:cs="GHEAGrapalat"/>
              </w:rPr>
              <w:t xml:space="preserve"> </w:t>
            </w:r>
            <w:r w:rsidRPr="0053423A">
              <w:rPr>
                <w:rFonts w:eastAsia="GHEAGrapalat" w:cs="Sylfaen"/>
              </w:rPr>
              <w:t>ռիսկերը</w:t>
            </w:r>
            <w:r w:rsidRPr="0053423A">
              <w:rPr>
                <w:rFonts w:eastAsia="GHEAGrapalat" w:cs="GHEAGrapalat"/>
              </w:rPr>
              <w:t xml:space="preserve"> </w:t>
            </w:r>
            <w:r w:rsidRPr="0053423A">
              <w:rPr>
                <w:rFonts w:eastAsia="GHEAGrapalat" w:cs="Sylfaen"/>
              </w:rPr>
              <w:t>և</w:t>
            </w:r>
            <w:r w:rsidRPr="0053423A">
              <w:rPr>
                <w:rFonts w:eastAsia="GHEAGrapalat" w:cs="GHEAGrapalat"/>
              </w:rPr>
              <w:t xml:space="preserve"> </w:t>
            </w:r>
            <w:r w:rsidRPr="0053423A">
              <w:rPr>
                <w:rFonts w:eastAsia="GHEAGrapalat" w:cs="Sylfaen"/>
              </w:rPr>
              <w:t>սահմանափակումները:</w:t>
            </w:r>
            <w:r w:rsidRPr="0053423A">
              <w:rPr>
                <w:rStyle w:val="apple-converted-space"/>
                <w:rFonts w:cs="Arial"/>
                <w:shd w:val="clear" w:color="auto" w:fill="FFFFFF"/>
              </w:rPr>
              <w:t xml:space="preserve"> Կանաչ տնտեսության մոդելին անցումը պահանջում է համարժեք քաղաքականություն և ինստի</w:t>
            </w:r>
            <w:r w:rsidRPr="0053423A">
              <w:rPr>
                <w:rStyle w:val="apple-converted-space"/>
                <w:rFonts w:cs="Arial"/>
                <w:shd w:val="clear" w:color="auto" w:fill="FFFFFF"/>
              </w:rPr>
              <w:softHyphen/>
              <w:t>տուցիոնալ կարգավորում</w:t>
            </w:r>
            <w:r w:rsidRPr="0053423A">
              <w:rPr>
                <w:rStyle w:val="apple-converted-space"/>
                <w:rFonts w:cs="Arial"/>
                <w:shd w:val="clear" w:color="auto" w:fill="FFFFFF"/>
                <w:lang w:val="hy-AM"/>
              </w:rPr>
              <w:t>։</w:t>
            </w:r>
            <w:r w:rsidRPr="0053423A">
              <w:rPr>
                <w:rStyle w:val="apple-converted-space"/>
                <w:rFonts w:cs="Arial"/>
                <w:shd w:val="clear" w:color="auto" w:fill="FFFFFF"/>
              </w:rPr>
              <w:t xml:space="preserve">  </w:t>
            </w:r>
          </w:p>
          <w:p w:rsidR="00530B14" w:rsidRPr="0053423A" w:rsidRDefault="00530B14" w:rsidP="00A67858">
            <w:pPr>
              <w:autoSpaceDE w:val="0"/>
              <w:autoSpaceDN w:val="0"/>
              <w:adjustRightInd w:val="0"/>
              <w:spacing w:line="276" w:lineRule="auto"/>
              <w:jc w:val="both"/>
              <w:rPr>
                <w:rFonts w:cs="Sylfaen"/>
              </w:rPr>
            </w:pPr>
            <w:r w:rsidRPr="0053423A">
              <w:rPr>
                <w:rFonts w:cs="Sylfaen"/>
              </w:rPr>
              <w:t>Հայեցակարգի</w:t>
            </w:r>
            <w:r w:rsidRPr="0053423A">
              <w:t xml:space="preserve"> </w:t>
            </w:r>
            <w:r w:rsidRPr="0053423A">
              <w:rPr>
                <w:rFonts w:cs="Sylfaen"/>
              </w:rPr>
              <w:t>մշակման նպատակն է կանաչ</w:t>
            </w:r>
            <w:r w:rsidRPr="0053423A">
              <w:t xml:space="preserve"> </w:t>
            </w:r>
            <w:r w:rsidRPr="0053423A">
              <w:rPr>
                <w:rFonts w:cs="Sylfaen"/>
              </w:rPr>
              <w:t>տնտեսության</w:t>
            </w:r>
            <w:r w:rsidRPr="0053423A">
              <w:t xml:space="preserve"> </w:t>
            </w:r>
            <w:r w:rsidRPr="0053423A">
              <w:rPr>
                <w:rFonts w:cs="Sylfaen"/>
              </w:rPr>
              <w:t>և</w:t>
            </w:r>
            <w:r w:rsidRPr="0053423A">
              <w:t xml:space="preserve"> </w:t>
            </w:r>
            <w:r w:rsidRPr="0053423A">
              <w:rPr>
                <w:rFonts w:cs="Sylfaen"/>
              </w:rPr>
              <w:t>կայուն</w:t>
            </w:r>
            <w:r w:rsidRPr="0053423A">
              <w:t xml:space="preserve"> </w:t>
            </w:r>
            <w:r w:rsidRPr="0053423A">
              <w:rPr>
                <w:rFonts w:cs="Sylfaen"/>
              </w:rPr>
              <w:t>զարգացման</w:t>
            </w:r>
            <w:r w:rsidRPr="0053423A">
              <w:t xml:space="preserve"> </w:t>
            </w:r>
            <w:r w:rsidRPr="0053423A">
              <w:rPr>
                <w:rFonts w:cs="Sylfaen"/>
              </w:rPr>
              <w:t>երկարաժամկետ</w:t>
            </w:r>
            <w:r w:rsidRPr="0053423A">
              <w:t xml:space="preserve"> </w:t>
            </w:r>
            <w:r w:rsidRPr="0053423A">
              <w:rPr>
                <w:rFonts w:cs="Sylfaen"/>
              </w:rPr>
              <w:t xml:space="preserve">ռազմավարության հիմնական բաղադրիչների և ուղղությունների սահմանումը և հետագա գործողությունների ուրվագծումը: </w:t>
            </w:r>
          </w:p>
          <w:p w:rsidR="00530B14" w:rsidRPr="0053423A" w:rsidRDefault="00530B14" w:rsidP="00A67858">
            <w:pPr>
              <w:spacing w:line="276" w:lineRule="auto"/>
              <w:ind w:firstLine="463"/>
              <w:rPr>
                <w:rFonts w:cs="Sylfaen"/>
                <w:b/>
              </w:rPr>
            </w:pPr>
            <w:r w:rsidRPr="0053423A">
              <w:rPr>
                <w:rFonts w:cs="Sylfaen"/>
                <w:b/>
              </w:rPr>
              <w:t>1.1 Կարգավորման</w:t>
            </w:r>
            <w:r w:rsidRPr="0053423A">
              <w:rPr>
                <w:b/>
              </w:rPr>
              <w:t xml:space="preserve"> </w:t>
            </w:r>
            <w:r w:rsidRPr="0053423A">
              <w:rPr>
                <w:rFonts w:cs="Sylfaen"/>
                <w:b/>
              </w:rPr>
              <w:t>հարաբերությունների</w:t>
            </w:r>
            <w:r w:rsidRPr="0053423A">
              <w:rPr>
                <w:b/>
              </w:rPr>
              <w:t xml:space="preserve"> </w:t>
            </w:r>
            <w:r w:rsidRPr="0053423A">
              <w:rPr>
                <w:rFonts w:cs="Sylfaen"/>
                <w:b/>
              </w:rPr>
              <w:t>ներկա</w:t>
            </w:r>
            <w:r w:rsidRPr="0053423A">
              <w:rPr>
                <w:b/>
              </w:rPr>
              <w:t xml:space="preserve"> </w:t>
            </w:r>
            <w:r w:rsidRPr="0053423A">
              <w:rPr>
                <w:rFonts w:cs="Sylfaen"/>
                <w:b/>
              </w:rPr>
              <w:t>վիճակը</w:t>
            </w:r>
            <w:r w:rsidRPr="0053423A">
              <w:rPr>
                <w:b/>
              </w:rPr>
              <w:t xml:space="preserve"> </w:t>
            </w:r>
            <w:r w:rsidRPr="0053423A">
              <w:rPr>
                <w:rFonts w:cs="Sylfaen"/>
                <w:b/>
              </w:rPr>
              <w:t>և</w:t>
            </w:r>
            <w:r w:rsidRPr="0053423A">
              <w:rPr>
                <w:b/>
              </w:rPr>
              <w:t xml:space="preserve"> </w:t>
            </w:r>
            <w:r w:rsidRPr="0053423A">
              <w:rPr>
                <w:rFonts w:cs="Sylfaen"/>
                <w:b/>
              </w:rPr>
              <w:t>առկա</w:t>
            </w:r>
            <w:r w:rsidRPr="0053423A">
              <w:rPr>
                <w:b/>
              </w:rPr>
              <w:t xml:space="preserve"> </w:t>
            </w:r>
            <w:r w:rsidRPr="0053423A">
              <w:rPr>
                <w:rFonts w:cs="Sylfaen"/>
                <w:b/>
              </w:rPr>
              <w:t>խնդիրները</w:t>
            </w:r>
          </w:p>
          <w:p w:rsidR="00530B14" w:rsidRPr="0053423A" w:rsidRDefault="00530B14" w:rsidP="00A67858">
            <w:pPr>
              <w:spacing w:line="276" w:lineRule="auto"/>
              <w:ind w:firstLine="525"/>
              <w:jc w:val="both"/>
              <w:rPr>
                <w:b/>
                <w:i/>
                <w:u w:val="single"/>
                <w:lang w:val="af-ZA"/>
              </w:rPr>
            </w:pPr>
            <w:r w:rsidRPr="0053423A">
              <w:rPr>
                <w:rStyle w:val="apple-style-span"/>
                <w:color w:val="000000"/>
              </w:rPr>
              <w:t xml:space="preserve">Հայաստանում </w:t>
            </w:r>
            <w:r w:rsidRPr="0053423A">
              <w:rPr>
                <w:lang w:val="af-ZA"/>
              </w:rPr>
              <w:t>«</w:t>
            </w:r>
            <w:r w:rsidRPr="0053423A">
              <w:rPr>
                <w:rFonts w:cs="Sylfaen"/>
              </w:rPr>
              <w:t>Կանաչ</w:t>
            </w:r>
            <w:r w:rsidRPr="0053423A">
              <w:rPr>
                <w:rFonts w:cs="Sylfaen"/>
                <w:lang w:val="af-ZA"/>
              </w:rPr>
              <w:t xml:space="preserve"> տնտեսության» </w:t>
            </w:r>
            <w:r w:rsidRPr="0053423A">
              <w:rPr>
                <w:rStyle w:val="apple-style-span"/>
                <w:color w:val="000000"/>
              </w:rPr>
              <w:t>ներդրման գործընթացին խոչընդոտում են համապատասխան օրենսդրական և</w:t>
            </w:r>
            <w:r w:rsidRPr="0053423A">
              <w:rPr>
                <w:rStyle w:val="apple-style-span"/>
                <w:color w:val="000000"/>
                <w:lang w:val="af-ZA"/>
              </w:rPr>
              <w:t xml:space="preserve"> </w:t>
            </w:r>
            <w:r w:rsidRPr="0053423A">
              <w:rPr>
                <w:rStyle w:val="apple-style-span"/>
                <w:color w:val="000000"/>
              </w:rPr>
              <w:t>մեթոդաբանական</w:t>
            </w:r>
            <w:r w:rsidRPr="0053423A">
              <w:rPr>
                <w:rStyle w:val="apple-style-span"/>
                <w:color w:val="000000"/>
                <w:lang w:val="af-ZA"/>
              </w:rPr>
              <w:t xml:space="preserve"> </w:t>
            </w:r>
            <w:r w:rsidRPr="0053423A">
              <w:rPr>
                <w:rStyle w:val="apple-style-span"/>
                <w:color w:val="000000"/>
              </w:rPr>
              <w:t>հիմքերի բացակայությունը, հիմնական մակրոտնտեսական ցուցանիշներում շրջակա միջավայրի աղտոտման և բնական ռեսուրսների գերշահագործման բաղադրիչի մասով համապատասխան ուսումնասիրությունների</w:t>
            </w:r>
            <w:r w:rsidRPr="0053423A">
              <w:rPr>
                <w:rStyle w:val="apple-style-span"/>
                <w:color w:val="000000"/>
                <w:lang w:val="af-ZA"/>
              </w:rPr>
              <w:t xml:space="preserve"> </w:t>
            </w:r>
            <w:r w:rsidRPr="0053423A">
              <w:rPr>
                <w:rStyle w:val="apple-style-span"/>
                <w:color w:val="000000"/>
              </w:rPr>
              <w:t>և</w:t>
            </w:r>
            <w:r w:rsidRPr="0053423A">
              <w:rPr>
                <w:rStyle w:val="apple-style-span"/>
                <w:color w:val="000000"/>
                <w:lang w:val="af-ZA"/>
              </w:rPr>
              <w:t xml:space="preserve"> </w:t>
            </w:r>
            <w:r w:rsidRPr="0053423A">
              <w:rPr>
                <w:rStyle w:val="apple-style-span"/>
                <w:color w:val="000000"/>
              </w:rPr>
              <w:t>գնահատումների բացակայությունը: Գ</w:t>
            </w:r>
            <w:r w:rsidRPr="0053423A">
              <w:rPr>
                <w:lang w:val="af-ZA"/>
              </w:rPr>
              <w:t>ործընթացին խանգարում են բնապահպանական խնդիրների թույլ ինտեգրումը տնտեսության տարբեր ճյուղերի մեջ (տրանսպորտը, էներգետիկան, գյուղատնտեսություն և այլն):</w:t>
            </w:r>
          </w:p>
          <w:p w:rsidR="00530B14" w:rsidRPr="0053423A" w:rsidRDefault="00530B14" w:rsidP="00A67858">
            <w:pPr>
              <w:spacing w:line="276" w:lineRule="auto"/>
              <w:ind w:firstLine="525"/>
              <w:jc w:val="both"/>
              <w:rPr>
                <w:b/>
                <w:i/>
                <w:u w:val="single"/>
                <w:lang w:val="af-ZA"/>
              </w:rPr>
            </w:pPr>
            <w:r w:rsidRPr="0053423A">
              <w:rPr>
                <w:lang w:val="af-ZA"/>
              </w:rPr>
              <w:t>Դեռևս բավարար չեն գնահատվում «կանաչ տնտեսության» անցման տնտեսական և սոցիալական առավելությունները` էկոլոգիական արդյունավետության և սոցիալական արդարության ապահովման պայմաններում, արդյունավետ չեն օգտագործվում «կանաչ» նորամուծությունների խթանման մեխան</w:t>
            </w:r>
            <w:r w:rsidRPr="0053423A">
              <w:rPr>
                <w:lang w:val="hy-AM"/>
              </w:rPr>
              <w:t>ի</w:t>
            </w:r>
            <w:r w:rsidRPr="0053423A">
              <w:rPr>
                <w:lang w:val="af-ZA"/>
              </w:rPr>
              <w:t xml:space="preserve">զմները և միջազգային բնապահպանական համաձայնագրերի շրջանակներում </w:t>
            </w:r>
            <w:r w:rsidRPr="0053423A">
              <w:rPr>
                <w:rFonts w:cs="Sylfaen"/>
              </w:rPr>
              <w:t>զարգացող</w:t>
            </w:r>
            <w:r w:rsidRPr="0053423A">
              <w:rPr>
                <w:rFonts w:cs="Sylfaen"/>
                <w:lang w:val="af-ZA"/>
              </w:rPr>
              <w:t xml:space="preserve"> </w:t>
            </w:r>
            <w:r w:rsidRPr="0053423A">
              <w:rPr>
                <w:rFonts w:cs="Sylfaen"/>
              </w:rPr>
              <w:t>երկրներին</w:t>
            </w:r>
            <w:r w:rsidRPr="0053423A">
              <w:rPr>
                <w:lang w:val="af-ZA"/>
              </w:rPr>
              <w:t xml:space="preserve"> «Կանաչ» տեխնոլոգիաների և նորամուծությունների փոխանցման հնարավորությունները:</w:t>
            </w:r>
          </w:p>
          <w:p w:rsidR="00530B14" w:rsidRPr="0053423A" w:rsidRDefault="00530B14" w:rsidP="00A67858">
            <w:pPr>
              <w:spacing w:line="276" w:lineRule="auto"/>
              <w:jc w:val="both"/>
              <w:rPr>
                <w:b/>
                <w:i/>
                <w:u w:val="single"/>
                <w:lang w:val="af-ZA"/>
              </w:rPr>
            </w:pPr>
            <w:r w:rsidRPr="0053423A">
              <w:rPr>
                <w:lang w:val="af-ZA"/>
              </w:rPr>
              <w:tab/>
              <w:t>«</w:t>
            </w:r>
            <w:r w:rsidRPr="0053423A">
              <w:rPr>
                <w:rFonts w:cs="Sylfaen"/>
              </w:rPr>
              <w:t>Կանաչ</w:t>
            </w:r>
            <w:r w:rsidRPr="0053423A">
              <w:rPr>
                <w:rFonts w:cs="Sylfaen"/>
                <w:lang w:val="af-ZA"/>
              </w:rPr>
              <w:t xml:space="preserve"> տնտեսության» </w:t>
            </w:r>
            <w:r w:rsidRPr="0053423A">
              <w:rPr>
                <w:rFonts w:cs="Sylfaen"/>
              </w:rPr>
              <w:t>ներդրման</w:t>
            </w:r>
            <w:r w:rsidRPr="0053423A">
              <w:rPr>
                <w:rFonts w:cs="Sylfaen"/>
                <w:lang w:val="af-ZA"/>
              </w:rPr>
              <w:t xml:space="preserve"> </w:t>
            </w:r>
            <w:r w:rsidRPr="0053423A">
              <w:rPr>
                <w:rFonts w:cs="Sylfaen"/>
              </w:rPr>
              <w:t>գործընթացում</w:t>
            </w:r>
            <w:r w:rsidRPr="0053423A">
              <w:rPr>
                <w:rFonts w:cs="Sylfaen"/>
                <w:lang w:val="af-ZA"/>
              </w:rPr>
              <w:t xml:space="preserve"> </w:t>
            </w:r>
            <w:r w:rsidRPr="0053423A">
              <w:rPr>
                <w:rFonts w:cs="Sylfaen"/>
              </w:rPr>
              <w:t>առկա</w:t>
            </w:r>
            <w:r w:rsidRPr="0053423A">
              <w:rPr>
                <w:rFonts w:cs="Sylfaen"/>
                <w:lang w:val="af-ZA"/>
              </w:rPr>
              <w:t xml:space="preserve"> </w:t>
            </w:r>
            <w:r w:rsidRPr="0053423A">
              <w:rPr>
                <w:rFonts w:cs="Sylfaen"/>
              </w:rPr>
              <w:t>են</w:t>
            </w:r>
            <w:r w:rsidRPr="0053423A">
              <w:rPr>
                <w:rFonts w:cs="Sylfaen"/>
                <w:lang w:val="af-ZA"/>
              </w:rPr>
              <w:t xml:space="preserve"> </w:t>
            </w:r>
            <w:r w:rsidRPr="0053423A">
              <w:rPr>
                <w:rFonts w:cs="Sylfaen"/>
              </w:rPr>
              <w:t>բազմաթիվ</w:t>
            </w:r>
            <w:r w:rsidRPr="0053423A">
              <w:rPr>
                <w:rFonts w:cs="Sylfaen"/>
                <w:lang w:val="af-ZA"/>
              </w:rPr>
              <w:t xml:space="preserve"> </w:t>
            </w:r>
            <w:r w:rsidRPr="0053423A">
              <w:rPr>
                <w:rFonts w:cs="Sylfaen"/>
              </w:rPr>
              <w:t>չլուծված</w:t>
            </w:r>
            <w:r w:rsidRPr="0053423A">
              <w:rPr>
                <w:rFonts w:cs="Sylfaen"/>
                <w:lang w:val="af-ZA"/>
              </w:rPr>
              <w:t xml:space="preserve"> </w:t>
            </w:r>
            <w:r w:rsidRPr="0053423A">
              <w:rPr>
                <w:rFonts w:cs="Sylfaen"/>
              </w:rPr>
              <w:t>խնդիրներ</w:t>
            </w:r>
            <w:r w:rsidRPr="0053423A">
              <w:rPr>
                <w:rFonts w:cs="Sylfaen"/>
                <w:lang w:val="af-ZA"/>
              </w:rPr>
              <w:t xml:space="preserve">, </w:t>
            </w:r>
            <w:r w:rsidRPr="0053423A">
              <w:rPr>
                <w:rFonts w:cs="Sylfaen"/>
              </w:rPr>
              <w:t>որոնք</w:t>
            </w:r>
            <w:r w:rsidRPr="0053423A">
              <w:rPr>
                <w:rFonts w:cs="Sylfaen"/>
                <w:lang w:val="af-ZA"/>
              </w:rPr>
              <w:t xml:space="preserve"> աստիճանական լուծում և </w:t>
            </w:r>
            <w:r w:rsidRPr="0053423A">
              <w:rPr>
                <w:rFonts w:cs="Sylfaen"/>
              </w:rPr>
              <w:t>օժանդակություն</w:t>
            </w:r>
            <w:r w:rsidRPr="0053423A">
              <w:rPr>
                <w:rFonts w:cs="Sylfaen"/>
                <w:lang w:val="af-ZA"/>
              </w:rPr>
              <w:t xml:space="preserve"> </w:t>
            </w:r>
            <w:r w:rsidRPr="0053423A">
              <w:rPr>
                <w:rFonts w:cs="Sylfaen"/>
              </w:rPr>
              <w:t>են</w:t>
            </w:r>
            <w:r w:rsidRPr="0053423A">
              <w:rPr>
                <w:rFonts w:cs="Sylfaen"/>
                <w:lang w:val="af-ZA"/>
              </w:rPr>
              <w:t xml:space="preserve"> </w:t>
            </w:r>
            <w:r w:rsidRPr="0053423A">
              <w:rPr>
                <w:rFonts w:cs="Sylfaen"/>
              </w:rPr>
              <w:t>պահանջում</w:t>
            </w:r>
            <w:r w:rsidRPr="0053423A">
              <w:rPr>
                <w:rFonts w:cs="Sylfaen"/>
                <w:lang w:val="af-ZA"/>
              </w:rPr>
              <w:t xml:space="preserve">` </w:t>
            </w:r>
            <w:r w:rsidRPr="0053423A">
              <w:rPr>
                <w:rFonts w:cs="Sylfaen"/>
              </w:rPr>
              <w:t>բոլոր</w:t>
            </w:r>
            <w:r w:rsidRPr="0053423A">
              <w:rPr>
                <w:rFonts w:cs="Sylfaen"/>
                <w:lang w:val="af-ZA"/>
              </w:rPr>
              <w:t xml:space="preserve"> </w:t>
            </w:r>
            <w:r w:rsidRPr="0053423A">
              <w:rPr>
                <w:rFonts w:cs="Sylfaen"/>
              </w:rPr>
              <w:t>հնարավոր</w:t>
            </w:r>
            <w:r w:rsidRPr="0053423A">
              <w:rPr>
                <w:rFonts w:cs="Sylfaen"/>
                <w:lang w:val="af-ZA"/>
              </w:rPr>
              <w:t xml:space="preserve"> </w:t>
            </w:r>
            <w:r w:rsidRPr="0053423A">
              <w:rPr>
                <w:rFonts w:cs="Sylfaen"/>
              </w:rPr>
              <w:t>կամ</w:t>
            </w:r>
            <w:r w:rsidRPr="0053423A">
              <w:rPr>
                <w:rFonts w:cs="Sylfaen"/>
                <w:lang w:val="af-ZA"/>
              </w:rPr>
              <w:t xml:space="preserve"> </w:t>
            </w:r>
            <w:r w:rsidRPr="0053423A">
              <w:rPr>
                <w:rFonts w:cs="Sylfaen"/>
              </w:rPr>
              <w:t>հասանելի</w:t>
            </w:r>
            <w:r w:rsidRPr="0053423A">
              <w:rPr>
                <w:rFonts w:cs="Sylfaen"/>
                <w:lang w:val="af-ZA"/>
              </w:rPr>
              <w:t xml:space="preserve"> </w:t>
            </w:r>
            <w:r w:rsidRPr="0053423A">
              <w:rPr>
                <w:rFonts w:cs="Sylfaen"/>
              </w:rPr>
              <w:t>ձևերով</w:t>
            </w:r>
            <w:r w:rsidRPr="0053423A">
              <w:rPr>
                <w:rFonts w:cs="Sylfaen"/>
                <w:lang w:val="af-ZA"/>
              </w:rPr>
              <w:t xml:space="preserve"> </w:t>
            </w:r>
            <w:r w:rsidRPr="0053423A">
              <w:rPr>
                <w:rFonts w:cs="Sylfaen"/>
              </w:rPr>
              <w:t>և</w:t>
            </w:r>
            <w:r w:rsidRPr="0053423A">
              <w:rPr>
                <w:rFonts w:cs="Sylfaen"/>
                <w:lang w:val="af-ZA"/>
              </w:rPr>
              <w:t xml:space="preserve"> </w:t>
            </w:r>
            <w:r w:rsidRPr="0053423A">
              <w:rPr>
                <w:rFonts w:cs="Sylfaen"/>
              </w:rPr>
              <w:t>մեխանիզմներով</w:t>
            </w:r>
            <w:r w:rsidRPr="0053423A">
              <w:rPr>
                <w:rFonts w:cs="Sylfaen"/>
                <w:lang w:val="af-ZA"/>
              </w:rPr>
              <w:t>:</w:t>
            </w:r>
          </w:p>
          <w:p w:rsidR="00530B14" w:rsidRPr="0053423A" w:rsidRDefault="00530B14" w:rsidP="00A67858">
            <w:pPr>
              <w:spacing w:line="276" w:lineRule="auto"/>
              <w:ind w:firstLine="463"/>
              <w:rPr>
                <w:rFonts w:cs="Sylfaen"/>
                <w:b/>
                <w:lang w:val="af-ZA"/>
              </w:rPr>
            </w:pPr>
            <w:r w:rsidRPr="0053423A">
              <w:rPr>
                <w:rFonts w:cs="Sylfaen"/>
                <w:b/>
                <w:lang w:val="af-ZA"/>
              </w:rPr>
              <w:t xml:space="preserve">1.2 </w:t>
            </w:r>
            <w:r w:rsidRPr="0053423A">
              <w:rPr>
                <w:rFonts w:cs="Sylfaen"/>
                <w:b/>
              </w:rPr>
              <w:t>Առկա</w:t>
            </w:r>
            <w:r w:rsidRPr="0053423A">
              <w:rPr>
                <w:b/>
                <w:lang w:val="af-ZA"/>
              </w:rPr>
              <w:t xml:space="preserve"> </w:t>
            </w:r>
            <w:r w:rsidRPr="0053423A">
              <w:rPr>
                <w:rFonts w:cs="Sylfaen"/>
                <w:b/>
              </w:rPr>
              <w:t>խնդիրների</w:t>
            </w:r>
            <w:r w:rsidRPr="0053423A">
              <w:rPr>
                <w:b/>
                <w:lang w:val="af-ZA"/>
              </w:rPr>
              <w:t xml:space="preserve"> </w:t>
            </w:r>
            <w:r w:rsidRPr="0053423A">
              <w:rPr>
                <w:rFonts w:cs="Sylfaen"/>
                <w:b/>
              </w:rPr>
              <w:t>առաջարկվող</w:t>
            </w:r>
            <w:r w:rsidRPr="0053423A">
              <w:rPr>
                <w:b/>
                <w:lang w:val="af-ZA"/>
              </w:rPr>
              <w:t xml:space="preserve"> </w:t>
            </w:r>
            <w:r w:rsidRPr="0053423A">
              <w:rPr>
                <w:rFonts w:cs="Sylfaen"/>
                <w:b/>
              </w:rPr>
              <w:t>լուծումները</w:t>
            </w:r>
          </w:p>
          <w:p w:rsidR="00530B14" w:rsidRPr="0053423A" w:rsidRDefault="00530B14" w:rsidP="00A67858">
            <w:pPr>
              <w:widowControl w:val="0"/>
              <w:spacing w:line="276" w:lineRule="auto"/>
              <w:jc w:val="both"/>
              <w:rPr>
                <w:rStyle w:val="apple-converted-space"/>
                <w:rFonts w:cs="Arial"/>
                <w:shd w:val="clear" w:color="auto" w:fill="FFFFFF"/>
                <w:lang w:val="af-ZA"/>
              </w:rPr>
            </w:pPr>
            <w:r w:rsidRPr="0053423A">
              <w:rPr>
                <w:rFonts w:cs="Sylfaen"/>
              </w:rPr>
              <w:t>Հայեցակարգի</w:t>
            </w:r>
            <w:r w:rsidRPr="0053423A">
              <w:rPr>
                <w:rFonts w:cs="Sylfaen"/>
                <w:lang w:val="af-ZA"/>
              </w:rPr>
              <w:t xml:space="preserve"> </w:t>
            </w:r>
            <w:r w:rsidRPr="0053423A">
              <w:rPr>
                <w:rFonts w:cs="Sylfaen"/>
              </w:rPr>
              <w:t>մշակման</w:t>
            </w:r>
            <w:r w:rsidRPr="0053423A">
              <w:rPr>
                <w:rFonts w:cs="Sylfaen"/>
                <w:lang w:val="af-ZA"/>
              </w:rPr>
              <w:t xml:space="preserve"> </w:t>
            </w:r>
            <w:r w:rsidRPr="0053423A">
              <w:rPr>
                <w:rFonts w:cs="Sylfaen"/>
              </w:rPr>
              <w:t>արդյունքում</w:t>
            </w:r>
            <w:r w:rsidRPr="0053423A">
              <w:rPr>
                <w:rFonts w:cs="Sylfaen"/>
                <w:lang w:val="af-ZA"/>
              </w:rPr>
              <w:t xml:space="preserve"> </w:t>
            </w:r>
            <w:r w:rsidRPr="0053423A">
              <w:rPr>
                <w:rFonts w:cs="Sylfaen"/>
              </w:rPr>
              <w:t>կամրագրվեն</w:t>
            </w:r>
            <w:r w:rsidRPr="0053423A">
              <w:rPr>
                <w:rFonts w:cs="Sylfaen"/>
                <w:lang w:val="af-ZA"/>
              </w:rPr>
              <w:t xml:space="preserve"> </w:t>
            </w:r>
            <w:r w:rsidRPr="0053423A">
              <w:rPr>
                <w:rFonts w:cs="Sylfaen"/>
              </w:rPr>
              <w:t>կ</w:t>
            </w:r>
            <w:r w:rsidRPr="0053423A">
              <w:rPr>
                <w:rStyle w:val="apple-converted-space"/>
                <w:rFonts w:cs="Arial"/>
                <w:shd w:val="clear" w:color="auto" w:fill="FFFFFF"/>
              </w:rPr>
              <w:t>անաչ</w:t>
            </w:r>
            <w:r w:rsidRPr="0053423A">
              <w:rPr>
                <w:rStyle w:val="apple-converted-space"/>
                <w:rFonts w:cs="Arial"/>
                <w:shd w:val="clear" w:color="auto" w:fill="FFFFFF"/>
                <w:lang w:val="af-ZA"/>
              </w:rPr>
              <w:t xml:space="preserve"> </w:t>
            </w:r>
            <w:r w:rsidRPr="0053423A">
              <w:rPr>
                <w:rStyle w:val="apple-converted-space"/>
                <w:rFonts w:cs="Arial"/>
                <w:shd w:val="clear" w:color="auto" w:fill="FFFFFF"/>
              </w:rPr>
              <w:t>տնտեսության</w:t>
            </w:r>
            <w:r w:rsidRPr="0053423A">
              <w:rPr>
                <w:rStyle w:val="apple-converted-space"/>
                <w:rFonts w:cs="Arial"/>
                <w:shd w:val="clear" w:color="auto" w:fill="FFFFFF"/>
                <w:lang w:val="af-ZA"/>
              </w:rPr>
              <w:t xml:space="preserve"> </w:t>
            </w:r>
            <w:r w:rsidRPr="0053423A">
              <w:rPr>
                <w:rStyle w:val="apple-converted-space"/>
                <w:rFonts w:cs="Arial"/>
                <w:shd w:val="clear" w:color="auto" w:fill="FFFFFF"/>
              </w:rPr>
              <w:t>սկզբունքների</w:t>
            </w:r>
            <w:r w:rsidRPr="0053423A">
              <w:rPr>
                <w:rStyle w:val="apple-converted-space"/>
                <w:rFonts w:cs="Arial"/>
                <w:shd w:val="clear" w:color="auto" w:fill="FFFFFF"/>
                <w:lang w:val="af-ZA"/>
              </w:rPr>
              <w:t xml:space="preserve"> </w:t>
            </w:r>
            <w:r w:rsidRPr="0053423A">
              <w:rPr>
                <w:rStyle w:val="apple-converted-space"/>
                <w:rFonts w:cs="Arial"/>
                <w:shd w:val="clear" w:color="auto" w:fill="FFFFFF"/>
              </w:rPr>
              <w:t>ներդրման</w:t>
            </w:r>
            <w:r w:rsidRPr="0053423A">
              <w:rPr>
                <w:rStyle w:val="apple-converted-space"/>
                <w:rFonts w:cs="Arial"/>
                <w:shd w:val="clear" w:color="auto" w:fill="FFFFFF"/>
                <w:lang w:val="af-ZA"/>
              </w:rPr>
              <w:t xml:space="preserve"> </w:t>
            </w:r>
            <w:r w:rsidRPr="0053423A">
              <w:rPr>
                <w:rStyle w:val="apple-converted-space"/>
                <w:rFonts w:cs="Arial"/>
                <w:shd w:val="clear" w:color="auto" w:fill="FFFFFF"/>
              </w:rPr>
              <w:t>համար</w:t>
            </w:r>
            <w:r w:rsidRPr="0053423A">
              <w:rPr>
                <w:rStyle w:val="apple-converted-space"/>
                <w:rFonts w:cs="Arial"/>
                <w:shd w:val="clear" w:color="auto" w:fill="FFFFFF"/>
                <w:lang w:val="af-ZA"/>
              </w:rPr>
              <w:t xml:space="preserve"> </w:t>
            </w:r>
            <w:r w:rsidRPr="0053423A">
              <w:rPr>
                <w:rStyle w:val="apple-converted-space"/>
                <w:rFonts w:cs="Arial"/>
                <w:shd w:val="clear" w:color="auto" w:fill="FFFFFF"/>
              </w:rPr>
              <w:t>անհրաժեշտ</w:t>
            </w:r>
            <w:r w:rsidRPr="0053423A">
              <w:rPr>
                <w:rStyle w:val="apple-converted-space"/>
                <w:rFonts w:cs="Arial"/>
                <w:shd w:val="clear" w:color="auto" w:fill="FFFFFF"/>
                <w:lang w:val="af-ZA"/>
              </w:rPr>
              <w:t xml:space="preserve"> </w:t>
            </w:r>
            <w:r w:rsidRPr="0053423A">
              <w:rPr>
                <w:rStyle w:val="apple-converted-space"/>
                <w:rFonts w:cs="Arial"/>
                <w:shd w:val="clear" w:color="auto" w:fill="FFFFFF"/>
              </w:rPr>
              <w:t>հիմնական</w:t>
            </w:r>
            <w:r w:rsidRPr="0053423A">
              <w:rPr>
                <w:rStyle w:val="apple-converted-space"/>
                <w:rFonts w:cs="Arial"/>
                <w:shd w:val="clear" w:color="auto" w:fill="FFFFFF"/>
                <w:lang w:val="af-ZA"/>
              </w:rPr>
              <w:t xml:space="preserve"> </w:t>
            </w:r>
            <w:r w:rsidRPr="0053423A">
              <w:rPr>
                <w:rStyle w:val="apple-converted-space"/>
                <w:rFonts w:cs="Arial"/>
                <w:shd w:val="clear" w:color="auto" w:fill="FFFFFF"/>
              </w:rPr>
              <w:t>քայլերը</w:t>
            </w:r>
            <w:r w:rsidRPr="0053423A">
              <w:rPr>
                <w:rStyle w:val="apple-converted-space"/>
                <w:rFonts w:cs="Arial"/>
                <w:shd w:val="clear" w:color="auto" w:fill="FFFFFF"/>
                <w:lang w:val="af-ZA"/>
              </w:rPr>
              <w:t xml:space="preserve">, </w:t>
            </w:r>
            <w:r w:rsidRPr="0053423A">
              <w:rPr>
                <w:rStyle w:val="apple-converted-space"/>
                <w:rFonts w:cs="Arial"/>
                <w:shd w:val="clear" w:color="auto" w:fill="FFFFFF"/>
              </w:rPr>
              <w:t>հիմք</w:t>
            </w:r>
            <w:r w:rsidRPr="0053423A">
              <w:rPr>
                <w:rStyle w:val="apple-converted-space"/>
                <w:rFonts w:cs="Arial"/>
                <w:shd w:val="clear" w:color="auto" w:fill="FFFFFF"/>
                <w:lang w:val="af-ZA"/>
              </w:rPr>
              <w:t xml:space="preserve"> </w:t>
            </w:r>
            <w:r w:rsidRPr="0053423A">
              <w:rPr>
                <w:rStyle w:val="apple-converted-space"/>
                <w:rFonts w:cs="Arial"/>
                <w:shd w:val="clear" w:color="auto" w:fill="FFFFFF"/>
              </w:rPr>
              <w:t>ընդունելով</w:t>
            </w:r>
            <w:r w:rsidRPr="0053423A">
              <w:rPr>
                <w:rStyle w:val="apple-converted-space"/>
                <w:rFonts w:cs="Arial"/>
                <w:shd w:val="clear" w:color="auto" w:fill="FFFFFF"/>
                <w:lang w:val="af-ZA"/>
              </w:rPr>
              <w:t xml:space="preserve"> </w:t>
            </w:r>
            <w:r w:rsidRPr="0053423A">
              <w:rPr>
                <w:rStyle w:val="apple-converted-space"/>
                <w:rFonts w:cs="Arial"/>
                <w:shd w:val="clear" w:color="auto" w:fill="FFFFFF"/>
              </w:rPr>
              <w:t>հետևյալ</w:t>
            </w:r>
            <w:r w:rsidRPr="0053423A">
              <w:rPr>
                <w:rStyle w:val="apple-converted-space"/>
                <w:rFonts w:cs="Arial"/>
                <w:shd w:val="clear" w:color="auto" w:fill="FFFFFF"/>
                <w:lang w:val="af-ZA"/>
              </w:rPr>
              <w:t xml:space="preserve"> </w:t>
            </w:r>
            <w:r w:rsidRPr="0053423A">
              <w:rPr>
                <w:rStyle w:val="apple-converted-space"/>
                <w:rFonts w:cs="Arial"/>
                <w:shd w:val="clear" w:color="auto" w:fill="FFFFFF"/>
              </w:rPr>
              <w:t>առաջնահերթությունները</w:t>
            </w:r>
            <w:r w:rsidRPr="0053423A">
              <w:rPr>
                <w:rStyle w:val="apple-converted-space"/>
                <w:rFonts w:cs="Arial"/>
                <w:shd w:val="clear" w:color="auto" w:fill="FFFFFF"/>
                <w:lang w:val="af-ZA"/>
              </w:rPr>
              <w:t xml:space="preserve">. </w:t>
            </w:r>
          </w:p>
          <w:p w:rsidR="00530B14" w:rsidRPr="0053423A" w:rsidRDefault="00530B14" w:rsidP="00A67858">
            <w:pPr>
              <w:pStyle w:val="ListParagraph"/>
              <w:widowControl w:val="0"/>
              <w:numPr>
                <w:ilvl w:val="0"/>
                <w:numId w:val="49"/>
              </w:numPr>
              <w:spacing w:line="276" w:lineRule="auto"/>
              <w:contextualSpacing w:val="0"/>
              <w:jc w:val="both"/>
              <w:rPr>
                <w:rStyle w:val="apple-converted-space"/>
                <w:rFonts w:cs="Arial"/>
                <w:shd w:val="clear" w:color="auto" w:fill="FFFFFF"/>
              </w:rPr>
            </w:pPr>
            <w:r w:rsidRPr="0053423A">
              <w:rPr>
                <w:rStyle w:val="apple-converted-space"/>
                <w:rFonts w:cs="Arial"/>
                <w:shd w:val="clear" w:color="auto" w:fill="FFFFFF"/>
              </w:rPr>
              <w:t xml:space="preserve">Մարդկային բարեկեցության աճ, </w:t>
            </w:r>
          </w:p>
          <w:p w:rsidR="00530B14" w:rsidRPr="0053423A" w:rsidRDefault="00530B14" w:rsidP="00A67858">
            <w:pPr>
              <w:pStyle w:val="ListParagraph"/>
              <w:widowControl w:val="0"/>
              <w:numPr>
                <w:ilvl w:val="0"/>
                <w:numId w:val="49"/>
              </w:numPr>
              <w:spacing w:line="276" w:lineRule="auto"/>
              <w:contextualSpacing w:val="0"/>
              <w:jc w:val="both"/>
              <w:rPr>
                <w:rStyle w:val="apple-converted-space"/>
                <w:rFonts w:cs="Arial"/>
                <w:shd w:val="clear" w:color="auto" w:fill="FFFFFF"/>
              </w:rPr>
            </w:pPr>
            <w:r w:rsidRPr="0053423A">
              <w:rPr>
                <w:rStyle w:val="apple-converted-space"/>
                <w:rFonts w:cs="Arial"/>
                <w:shd w:val="clear" w:color="auto" w:fill="FFFFFF"/>
              </w:rPr>
              <w:t xml:space="preserve">Հավասար հնարավորություններ, </w:t>
            </w:r>
          </w:p>
          <w:p w:rsidR="00530B14" w:rsidRPr="0053423A" w:rsidRDefault="00530B14" w:rsidP="00A67858">
            <w:pPr>
              <w:pStyle w:val="ListParagraph"/>
              <w:widowControl w:val="0"/>
              <w:numPr>
                <w:ilvl w:val="0"/>
                <w:numId w:val="49"/>
              </w:numPr>
              <w:spacing w:line="276" w:lineRule="auto"/>
              <w:contextualSpacing w:val="0"/>
              <w:jc w:val="both"/>
              <w:rPr>
                <w:rStyle w:val="apple-converted-space"/>
                <w:rFonts w:cs="Arial"/>
                <w:shd w:val="clear" w:color="auto" w:fill="FFFFFF"/>
              </w:rPr>
            </w:pPr>
            <w:r w:rsidRPr="0053423A">
              <w:rPr>
                <w:rStyle w:val="apple-converted-space"/>
                <w:rFonts w:cs="Arial"/>
                <w:shd w:val="clear" w:color="auto" w:fill="FFFFFF"/>
              </w:rPr>
              <w:t xml:space="preserve">Շրջակա միջավայրի ռիսկերի նվազեցում, </w:t>
            </w:r>
          </w:p>
          <w:p w:rsidR="00530B14" w:rsidRPr="0053423A" w:rsidRDefault="00530B14" w:rsidP="00A67858">
            <w:pPr>
              <w:pStyle w:val="ListParagraph"/>
              <w:widowControl w:val="0"/>
              <w:numPr>
                <w:ilvl w:val="0"/>
                <w:numId w:val="49"/>
              </w:numPr>
              <w:spacing w:line="276" w:lineRule="auto"/>
              <w:contextualSpacing w:val="0"/>
              <w:jc w:val="both"/>
              <w:rPr>
                <w:rStyle w:val="apple-converted-space"/>
                <w:rFonts w:cs="Arial"/>
                <w:shd w:val="clear" w:color="auto" w:fill="FFFFFF"/>
              </w:rPr>
            </w:pPr>
            <w:r w:rsidRPr="0053423A">
              <w:rPr>
                <w:rStyle w:val="apple-converted-space"/>
                <w:rFonts w:cs="Arial"/>
                <w:shd w:val="clear" w:color="auto" w:fill="FFFFFF"/>
              </w:rPr>
              <w:t>Բնական կապիտալը` որպես արտադրության գործոն և ռեսուրսների արդյունավետ օգտագործում,</w:t>
            </w:r>
          </w:p>
          <w:p w:rsidR="00530B14" w:rsidRPr="0053423A" w:rsidRDefault="00530B14" w:rsidP="00A67858">
            <w:pPr>
              <w:pStyle w:val="ListParagraph"/>
              <w:widowControl w:val="0"/>
              <w:numPr>
                <w:ilvl w:val="0"/>
                <w:numId w:val="49"/>
              </w:numPr>
              <w:spacing w:line="276" w:lineRule="auto"/>
              <w:contextualSpacing w:val="0"/>
              <w:jc w:val="both"/>
              <w:rPr>
                <w:rStyle w:val="apple-converted-space"/>
                <w:rFonts w:cs="Arial"/>
                <w:shd w:val="clear" w:color="auto" w:fill="FFFFFF"/>
              </w:rPr>
            </w:pPr>
            <w:r w:rsidRPr="0053423A">
              <w:rPr>
                <w:rStyle w:val="apple-converted-space"/>
                <w:rFonts w:cs="Arial"/>
                <w:shd w:val="clear" w:color="auto" w:fill="FFFFFF"/>
              </w:rPr>
              <w:t xml:space="preserve">Կանաչ տնտեսությանն անցման գործընթացում ներքևից վերև գործելակերպի գերակայություն. </w:t>
            </w:r>
          </w:p>
          <w:p w:rsidR="00530B14" w:rsidRPr="0053423A" w:rsidRDefault="00530B14" w:rsidP="00A67858">
            <w:pPr>
              <w:pStyle w:val="ListParagraph"/>
              <w:widowControl w:val="0"/>
              <w:numPr>
                <w:ilvl w:val="0"/>
                <w:numId w:val="49"/>
              </w:numPr>
              <w:spacing w:line="276" w:lineRule="auto"/>
              <w:contextualSpacing w:val="0"/>
              <w:jc w:val="both"/>
              <w:rPr>
                <w:rStyle w:val="apple-converted-space"/>
                <w:rFonts w:cs="Arial"/>
                <w:shd w:val="clear" w:color="auto" w:fill="FFFFFF"/>
              </w:rPr>
            </w:pPr>
            <w:r w:rsidRPr="0053423A">
              <w:rPr>
                <w:rStyle w:val="apple-converted-space"/>
                <w:rFonts w:cs="Arial"/>
                <w:shd w:val="clear" w:color="auto" w:fill="FFFFFF"/>
              </w:rPr>
              <w:t>Պետություն-մասնավոր համագործակցություն ի շահ ինովացիոն նախաձեռնությունների առաջմղման և էներգախնայող տեխնոլոգիաներում ներդրումների ներգրավման</w:t>
            </w:r>
          </w:p>
          <w:p w:rsidR="00530B14" w:rsidRPr="0053423A" w:rsidRDefault="00530B14" w:rsidP="00A67858">
            <w:pPr>
              <w:pStyle w:val="ListParagraph"/>
              <w:widowControl w:val="0"/>
              <w:numPr>
                <w:ilvl w:val="0"/>
                <w:numId w:val="49"/>
              </w:numPr>
              <w:spacing w:line="276" w:lineRule="auto"/>
              <w:contextualSpacing w:val="0"/>
              <w:jc w:val="both"/>
              <w:rPr>
                <w:rStyle w:val="apple-converted-space"/>
                <w:shd w:val="clear" w:color="auto" w:fill="FFFFFF"/>
              </w:rPr>
            </w:pPr>
            <w:r w:rsidRPr="0053423A">
              <w:rPr>
                <w:rStyle w:val="apple-converted-space"/>
                <w:shd w:val="clear" w:color="auto" w:fill="FFFFFF"/>
              </w:rPr>
              <w:t>Տնտեսական աճի ներառական մոդելի որդեգրում` որպես աղքատության կրճատման և եկամուտների վերաբաշխման ամենաարդյունավետ մեխանիզմ:</w:t>
            </w:r>
          </w:p>
          <w:p w:rsidR="00530B14" w:rsidRPr="0053423A" w:rsidRDefault="00530B14" w:rsidP="00A67858">
            <w:pPr>
              <w:pStyle w:val="ListParagraph"/>
              <w:numPr>
                <w:ilvl w:val="0"/>
                <w:numId w:val="40"/>
              </w:numPr>
              <w:spacing w:line="276" w:lineRule="auto"/>
              <w:rPr>
                <w:b/>
              </w:rPr>
            </w:pPr>
            <w:r w:rsidRPr="0053423A">
              <w:rPr>
                <w:rFonts w:cs="Sylfaen"/>
                <w:b/>
              </w:rPr>
              <w:t>Միջոցառման</w:t>
            </w:r>
            <w:r w:rsidRPr="0053423A">
              <w:rPr>
                <w:b/>
              </w:rPr>
              <w:t xml:space="preserve"> </w:t>
            </w:r>
            <w:r w:rsidRPr="0053423A">
              <w:rPr>
                <w:rFonts w:cs="Sylfaen"/>
                <w:b/>
              </w:rPr>
              <w:t>իրականացումից</w:t>
            </w:r>
            <w:r w:rsidRPr="0053423A">
              <w:rPr>
                <w:b/>
              </w:rPr>
              <w:t xml:space="preserve"> </w:t>
            </w:r>
            <w:r w:rsidRPr="0053423A">
              <w:rPr>
                <w:rFonts w:cs="Sylfaen"/>
                <w:b/>
              </w:rPr>
              <w:t>ակնկալվող</w:t>
            </w:r>
            <w:r w:rsidRPr="0053423A">
              <w:rPr>
                <w:b/>
              </w:rPr>
              <w:t xml:space="preserve"> </w:t>
            </w:r>
            <w:r w:rsidRPr="0053423A">
              <w:rPr>
                <w:rFonts w:cs="Sylfaen"/>
                <w:b/>
              </w:rPr>
              <w:t>արդյունքները</w:t>
            </w:r>
          </w:p>
          <w:p w:rsidR="00530B14" w:rsidRPr="0053423A" w:rsidRDefault="00530B14" w:rsidP="00A67858">
            <w:pPr>
              <w:spacing w:line="276" w:lineRule="auto"/>
              <w:jc w:val="both"/>
              <w:rPr>
                <w:rFonts w:cs="Sylfaen"/>
                <w:lang w:val="hy-AM"/>
              </w:rPr>
            </w:pPr>
            <w:r w:rsidRPr="0053423A">
              <w:rPr>
                <w:rFonts w:cs="Sylfaen"/>
                <w:lang w:val="hy-AM"/>
              </w:rPr>
              <w:t>«Կանաչ» տնտեսության զարգացումն ապահովող տնտեսական մեխանիզմների և ցուցանիշների կառավարման համակարգի սկզբունքների կիրառում</w:t>
            </w:r>
            <w:r w:rsidRPr="0053423A">
              <w:rPr>
                <w:rFonts w:cs="Sylfaen"/>
              </w:rPr>
              <w:t xml:space="preserve"> և </w:t>
            </w:r>
            <w:r w:rsidRPr="0053423A">
              <w:rPr>
                <w:rFonts w:cs="Sylfaen"/>
                <w:lang w:val="hy-AM"/>
              </w:rPr>
              <w:t>«կանաչ» նորամուծությունների ներդրման խրախուսման տնտեսաիրավական մեխանիզմների ներդրում</w:t>
            </w:r>
            <w:r w:rsidRPr="0053423A">
              <w:rPr>
                <w:rFonts w:cs="Sylfaen"/>
              </w:rPr>
              <w:t>:</w:t>
            </w:r>
          </w:p>
          <w:p w:rsidR="00530B14" w:rsidRPr="0053423A" w:rsidRDefault="00530B14" w:rsidP="00A67858">
            <w:pPr>
              <w:tabs>
                <w:tab w:val="left" w:pos="312"/>
              </w:tabs>
              <w:suppressAutoHyphens/>
              <w:spacing w:line="276" w:lineRule="auto"/>
              <w:jc w:val="center"/>
              <w:rPr>
                <w:b/>
                <w:bCs/>
                <w:u w:val="single"/>
                <w:lang w:val="hy-AM"/>
              </w:rPr>
            </w:pPr>
          </w:p>
        </w:tc>
      </w:tr>
      <w:tr w:rsidR="00530B14" w:rsidRPr="00DE2EFA" w:rsidTr="004440EB">
        <w:tc>
          <w:tcPr>
            <w:tcW w:w="480" w:type="dxa"/>
          </w:tcPr>
          <w:p w:rsidR="00530B14" w:rsidRPr="0053423A" w:rsidRDefault="00530B14" w:rsidP="00A67858">
            <w:pPr>
              <w:spacing w:line="276" w:lineRule="auto"/>
              <w:jc w:val="center"/>
              <w:rPr>
                <w:b/>
                <w:bCs/>
                <w:lang w:val="hy-AM"/>
              </w:rPr>
            </w:pPr>
            <w:r w:rsidRPr="0053423A">
              <w:rPr>
                <w:b/>
                <w:bCs/>
                <w:lang w:val="hy-AM"/>
              </w:rPr>
              <w:t xml:space="preserve">13 </w:t>
            </w:r>
          </w:p>
        </w:tc>
        <w:tc>
          <w:tcPr>
            <w:tcW w:w="10879" w:type="dxa"/>
          </w:tcPr>
          <w:p w:rsidR="00530B14" w:rsidRPr="0053423A" w:rsidRDefault="00530B14" w:rsidP="00A67858">
            <w:pPr>
              <w:spacing w:line="276" w:lineRule="auto"/>
              <w:jc w:val="center"/>
              <w:rPr>
                <w:rFonts w:cs="Sylfaen"/>
                <w:b/>
                <w:lang w:val="hy-AM"/>
              </w:rPr>
            </w:pPr>
            <w:r w:rsidRPr="0053423A">
              <w:rPr>
                <w:rFonts w:cs="Sylfaen"/>
                <w:b/>
                <w:lang w:val="hy-AM"/>
              </w:rPr>
              <w:t>Մեկանգամյա</w:t>
            </w:r>
            <w:r w:rsidRPr="0053423A">
              <w:rPr>
                <w:rFonts w:eastAsia="Calibri" w:cs="Sylfaen"/>
                <w:b/>
                <w:lang w:val="hy-AM"/>
              </w:rPr>
              <w:t xml:space="preserve"> </w:t>
            </w:r>
            <w:r w:rsidRPr="0053423A">
              <w:rPr>
                <w:rFonts w:cs="Sylfaen"/>
                <w:b/>
                <w:lang w:val="hy-AM"/>
              </w:rPr>
              <w:t>օգտագործման</w:t>
            </w:r>
            <w:r w:rsidRPr="0053423A">
              <w:rPr>
                <w:rFonts w:eastAsia="Calibri" w:cs="Sylfaen"/>
                <w:b/>
                <w:lang w:val="hy-AM"/>
              </w:rPr>
              <w:t xml:space="preserve"> </w:t>
            </w:r>
            <w:r w:rsidRPr="0053423A">
              <w:rPr>
                <w:rFonts w:cs="Sylfaen"/>
                <w:b/>
                <w:lang w:val="hy-AM"/>
              </w:rPr>
              <w:t>պոլիէթիլենային</w:t>
            </w:r>
            <w:r w:rsidRPr="0053423A">
              <w:rPr>
                <w:rFonts w:eastAsia="Calibri" w:cs="Sylfaen"/>
                <w:b/>
                <w:lang w:val="hy-AM"/>
              </w:rPr>
              <w:t xml:space="preserve"> </w:t>
            </w:r>
            <w:r w:rsidRPr="0053423A">
              <w:rPr>
                <w:rFonts w:cs="Sylfaen"/>
                <w:b/>
                <w:lang w:val="hy-AM"/>
              </w:rPr>
              <w:t>արտադրանքի</w:t>
            </w:r>
            <w:r w:rsidRPr="0053423A">
              <w:rPr>
                <w:rFonts w:eastAsia="Calibri" w:cs="Sylfaen"/>
                <w:b/>
                <w:lang w:val="hy-AM"/>
              </w:rPr>
              <w:t xml:space="preserve"> </w:t>
            </w:r>
            <w:r w:rsidRPr="0053423A">
              <w:rPr>
                <w:rFonts w:cs="Sylfaen"/>
                <w:b/>
                <w:lang w:val="hy-AM"/>
              </w:rPr>
              <w:t>գործածության</w:t>
            </w:r>
            <w:r w:rsidRPr="0053423A">
              <w:rPr>
                <w:rFonts w:eastAsia="Calibri" w:cs="Sylfaen"/>
                <w:b/>
                <w:lang w:val="hy-AM"/>
              </w:rPr>
              <w:t xml:space="preserve"> </w:t>
            </w:r>
            <w:r w:rsidRPr="0053423A">
              <w:rPr>
                <w:rFonts w:cs="Sylfaen"/>
                <w:b/>
                <w:lang w:val="hy-AM"/>
              </w:rPr>
              <w:t>աստիճանական</w:t>
            </w:r>
            <w:r w:rsidRPr="0053423A">
              <w:rPr>
                <w:rFonts w:eastAsia="Calibri" w:cs="Sylfaen"/>
                <w:b/>
                <w:lang w:val="hy-AM"/>
              </w:rPr>
              <w:t xml:space="preserve"> </w:t>
            </w:r>
            <w:r w:rsidRPr="0053423A">
              <w:rPr>
                <w:rFonts w:cs="Sylfaen"/>
                <w:b/>
                <w:lang w:val="hy-AM"/>
              </w:rPr>
              <w:t>կրճատում</w:t>
            </w:r>
            <w:r w:rsidRPr="0053423A">
              <w:rPr>
                <w:rFonts w:eastAsia="Calibri" w:cs="Sylfaen"/>
                <w:b/>
                <w:lang w:val="hy-AM"/>
              </w:rPr>
              <w:t xml:space="preserve"> </w:t>
            </w:r>
            <w:r w:rsidRPr="0053423A">
              <w:rPr>
                <w:rFonts w:cs="Sylfaen"/>
                <w:b/>
                <w:lang w:val="hy-AM"/>
              </w:rPr>
              <w:t>և</w:t>
            </w:r>
            <w:r w:rsidRPr="0053423A">
              <w:rPr>
                <w:rFonts w:eastAsia="Calibri" w:cs="Sylfaen"/>
                <w:b/>
                <w:lang w:val="hy-AM"/>
              </w:rPr>
              <w:t xml:space="preserve"> </w:t>
            </w:r>
            <w:r w:rsidRPr="0053423A">
              <w:rPr>
                <w:rFonts w:cs="Sylfaen"/>
                <w:b/>
                <w:lang w:val="hy-AM"/>
              </w:rPr>
              <w:t>արգելում</w:t>
            </w:r>
          </w:p>
          <w:p w:rsidR="00530B14" w:rsidRPr="0053423A" w:rsidRDefault="00530B14" w:rsidP="00A67858">
            <w:pPr>
              <w:spacing w:line="276" w:lineRule="auto"/>
              <w:jc w:val="center"/>
              <w:rPr>
                <w:rFonts w:cs="Sylfaen"/>
                <w:b/>
                <w:lang w:val="hy-AM"/>
              </w:rPr>
            </w:pPr>
          </w:p>
          <w:p w:rsidR="00530B14" w:rsidRPr="0053423A" w:rsidRDefault="00530B14" w:rsidP="00A67858">
            <w:pPr>
              <w:spacing w:line="276" w:lineRule="auto"/>
              <w:jc w:val="center"/>
              <w:rPr>
                <w:b/>
                <w:u w:val="single"/>
                <w:lang w:val="hy-AM"/>
              </w:rPr>
            </w:pPr>
            <w:r w:rsidRPr="0053423A">
              <w:rPr>
                <w:rFonts w:cs="Sylfaen"/>
                <w:b/>
                <w:u w:val="single"/>
                <w:lang w:val="hy-AM"/>
              </w:rPr>
              <w:t xml:space="preserve">13.1  «Առևտրի և ծառայությունների մասին ՀՀ օրենքում լրացումներ կատարելու մասին» օրենքնի նախագծի փաթեթը </w:t>
            </w:r>
            <w:r w:rsidRPr="0053423A">
              <w:rPr>
                <w:rFonts w:cs="Arial"/>
                <w:b/>
                <w:u w:val="single"/>
                <w:lang w:val="hy-AM"/>
              </w:rPr>
              <w:t>վարչապետի աշխատակազմ ներկայացնելը</w:t>
            </w:r>
            <w:r w:rsidRPr="0053423A">
              <w:rPr>
                <w:b/>
                <w:u w:val="single"/>
                <w:lang w:val="hy-AM"/>
              </w:rPr>
              <w:t></w:t>
            </w:r>
          </w:p>
          <w:p w:rsidR="00530B14" w:rsidRPr="0053423A" w:rsidRDefault="00530B14" w:rsidP="00A67858">
            <w:pPr>
              <w:spacing w:line="276" w:lineRule="auto"/>
              <w:jc w:val="center"/>
              <w:rPr>
                <w:b/>
                <w:u w:val="single"/>
                <w:lang w:val="hy-AM"/>
              </w:rPr>
            </w:pPr>
          </w:p>
          <w:p w:rsidR="00530B14" w:rsidRPr="0053423A" w:rsidRDefault="00530B14" w:rsidP="00A67858">
            <w:pPr>
              <w:pStyle w:val="ListParagraph"/>
              <w:numPr>
                <w:ilvl w:val="0"/>
                <w:numId w:val="66"/>
              </w:numPr>
              <w:spacing w:line="276" w:lineRule="auto"/>
              <w:ind w:hanging="167"/>
              <w:rPr>
                <w:rFonts w:cs="Sylfaen"/>
                <w:b/>
                <w:i/>
                <w:lang w:val="hy-AM"/>
              </w:rPr>
            </w:pPr>
            <w:r w:rsidRPr="0053423A">
              <w:rPr>
                <w:rFonts w:cs="Sylfaen"/>
                <w:b/>
                <w:i/>
                <w:lang w:val="hy-AM"/>
              </w:rPr>
              <w:t>Միջոցառման</w:t>
            </w:r>
            <w:r w:rsidRPr="0053423A">
              <w:rPr>
                <w:b/>
                <w:i/>
                <w:lang w:val="hy-AM"/>
              </w:rPr>
              <w:t xml:space="preserve"> </w:t>
            </w:r>
            <w:r w:rsidRPr="0053423A">
              <w:rPr>
                <w:rFonts w:cs="Sylfaen"/>
                <w:b/>
                <w:i/>
                <w:lang w:val="hy-AM"/>
              </w:rPr>
              <w:t>իրականացման</w:t>
            </w:r>
            <w:r w:rsidRPr="0053423A">
              <w:rPr>
                <w:b/>
                <w:i/>
                <w:lang w:val="hy-AM"/>
              </w:rPr>
              <w:t xml:space="preserve"> </w:t>
            </w:r>
            <w:r w:rsidRPr="0053423A">
              <w:rPr>
                <w:rFonts w:cs="Sylfaen"/>
                <w:b/>
                <w:i/>
                <w:lang w:val="hy-AM"/>
              </w:rPr>
              <w:t>անհրաժեշտությունը</w:t>
            </w:r>
            <w:r w:rsidRPr="0053423A">
              <w:rPr>
                <w:b/>
                <w:i/>
                <w:lang w:val="hy-AM"/>
              </w:rPr>
              <w:t xml:space="preserve"> </w:t>
            </w:r>
            <w:r w:rsidRPr="0053423A">
              <w:rPr>
                <w:rFonts w:cs="Sylfaen"/>
                <w:b/>
                <w:i/>
                <w:lang w:val="hy-AM"/>
              </w:rPr>
              <w:t>և</w:t>
            </w:r>
            <w:r w:rsidRPr="0053423A">
              <w:rPr>
                <w:b/>
                <w:i/>
                <w:lang w:val="hy-AM"/>
              </w:rPr>
              <w:t xml:space="preserve"> </w:t>
            </w:r>
            <w:r w:rsidRPr="0053423A">
              <w:rPr>
                <w:rFonts w:cs="Sylfaen"/>
                <w:b/>
                <w:i/>
                <w:lang w:val="hy-AM"/>
              </w:rPr>
              <w:t>նպատակը</w:t>
            </w:r>
          </w:p>
          <w:p w:rsidR="00530B14" w:rsidRPr="0053423A" w:rsidRDefault="00232EB0" w:rsidP="00A67858">
            <w:pPr>
              <w:spacing w:line="276" w:lineRule="auto"/>
              <w:ind w:firstLine="553"/>
              <w:jc w:val="both"/>
              <w:rPr>
                <w:rFonts w:eastAsia="Arial Unicode MS" w:cs="Arial Unicode MS"/>
                <w:lang w:val="hy-AM"/>
              </w:rPr>
            </w:pPr>
            <w:r w:rsidRPr="0053423A">
              <w:rPr>
                <w:rFonts w:eastAsia="Arial Unicode MS" w:cs="Arial Unicode MS"/>
                <w:lang w:val="hy-AM"/>
              </w:rPr>
              <w:t>Միջո</w:t>
            </w:r>
            <w:r w:rsidR="00530B14" w:rsidRPr="0053423A">
              <w:rPr>
                <w:rFonts w:eastAsia="Arial Unicode MS" w:cs="Arial Unicode MS"/>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Մեկանգամյա օգտագործման պոլիէթիլենային արտադրանքի գործածության աստիճանական կրճատում և արգելում  ուղղությունը:</w:t>
            </w:r>
          </w:p>
          <w:p w:rsidR="00530B14" w:rsidRPr="0053423A" w:rsidRDefault="00530B14" w:rsidP="00A67858">
            <w:pPr>
              <w:spacing w:line="276" w:lineRule="auto"/>
              <w:ind w:firstLine="553"/>
              <w:jc w:val="both"/>
              <w:rPr>
                <w:lang w:val="af-ZA"/>
              </w:rPr>
            </w:pPr>
            <w:r w:rsidRPr="0053423A">
              <w:rPr>
                <w:rFonts w:eastAsia="Arial Unicode MS" w:cs="Arial Unicode MS"/>
                <w:lang w:val="hy-AM"/>
              </w:rPr>
              <w:t>Հայա</w:t>
            </w:r>
            <w:r w:rsidRPr="0053423A">
              <w:rPr>
                <w:rFonts w:eastAsia="Arial Unicode MS" w:cs="Arial Unicode MS"/>
                <w:lang w:val="af-ZA"/>
              </w:rPr>
              <w:t>u</w:t>
            </w:r>
            <w:r w:rsidRPr="0053423A">
              <w:rPr>
                <w:rFonts w:eastAsia="Arial Unicode MS" w:cs="Arial Unicode MS"/>
                <w:lang w:val="hy-AM"/>
              </w:rPr>
              <w:t>տանի</w:t>
            </w:r>
            <w:r w:rsidRPr="0053423A">
              <w:rPr>
                <w:rFonts w:eastAsia="Arial Unicode MS" w:cs="Arial Unicode MS"/>
                <w:lang w:val="af-ZA"/>
              </w:rPr>
              <w:t xml:space="preserve"> </w:t>
            </w:r>
            <w:r w:rsidRPr="0053423A">
              <w:rPr>
                <w:rFonts w:eastAsia="Arial Unicode MS" w:cs="Arial Unicode MS"/>
                <w:lang w:val="hy-AM"/>
              </w:rPr>
              <w:t>Հանրապետության</w:t>
            </w:r>
            <w:r w:rsidRPr="0053423A">
              <w:rPr>
                <w:rFonts w:eastAsia="Arial Unicode MS" w:cs="Arial Unicode MS"/>
                <w:lang w:val="af-ZA"/>
              </w:rPr>
              <w:t xml:space="preserve"> «Առևտրի և ծառայությունների մասին» օրենքում</w:t>
            </w:r>
            <w:r w:rsidRPr="0053423A">
              <w:rPr>
                <w:rFonts w:eastAsia="Arial Unicode MS" w:cs="Arial Unicode MS"/>
                <w:lang w:val="hy-AM"/>
              </w:rPr>
              <w:t xml:space="preserve"> (այսուհետ՝ Օրենք)</w:t>
            </w:r>
            <w:r w:rsidRPr="0053423A">
              <w:rPr>
                <w:rFonts w:eastAsia="Arial Unicode MS" w:cs="Arial Unicode MS"/>
                <w:lang w:val="af-ZA"/>
              </w:rPr>
              <w:t xml:space="preserve">  լրացումներ </w:t>
            </w:r>
            <w:r w:rsidRPr="0053423A">
              <w:rPr>
                <w:rFonts w:eastAsia="Arial Unicode MS" w:cs="Arial Unicode MS"/>
                <w:lang w:val="hy-AM"/>
              </w:rPr>
              <w:t>կատարելու</w:t>
            </w:r>
            <w:r w:rsidRPr="0053423A">
              <w:rPr>
                <w:rFonts w:eastAsia="Arial Unicode MS" w:cs="Arial Unicode MS"/>
                <w:lang w:val="af-ZA"/>
              </w:rPr>
              <w:t xml:space="preserve"> </w:t>
            </w:r>
            <w:r w:rsidRPr="0053423A">
              <w:rPr>
                <w:rFonts w:eastAsia="Arial Unicode MS" w:cs="Arial Unicode MS"/>
                <w:lang w:val="hy-AM"/>
              </w:rPr>
              <w:t xml:space="preserve">անհրաժեշտությունը պայմանավորված է </w:t>
            </w:r>
            <w:r w:rsidRPr="0053423A">
              <w:rPr>
                <w:lang w:val="hy-AM"/>
              </w:rPr>
              <w:t xml:space="preserve">պոլիէթիլենային պարկերի և տոպրակների (բացառությամբ ապրանքների կշռափաթեթավորման համար օգտագործվողների և երկրորդային հումքից պատրաստվածների) </w:t>
            </w:r>
            <w:r w:rsidRPr="0053423A">
              <w:rPr>
                <w:bCs/>
                <w:lang w:val="hy-AM"/>
              </w:rPr>
              <w:t xml:space="preserve"> </w:t>
            </w:r>
            <w:r w:rsidRPr="0053423A">
              <w:rPr>
                <w:lang w:val="hy-AM"/>
              </w:rPr>
              <w:t xml:space="preserve">օգտագործման </w:t>
            </w:r>
            <w:r w:rsidRPr="0053423A">
              <w:rPr>
                <w:rFonts w:cs="Sylfaen"/>
                <w:lang w:val="hy-AM"/>
              </w:rPr>
              <w:t>ծավալների</w:t>
            </w:r>
            <w:r w:rsidRPr="0053423A">
              <w:rPr>
                <w:lang w:val="hy-AM"/>
              </w:rPr>
              <w:t xml:space="preserve"> </w:t>
            </w:r>
            <w:r w:rsidRPr="0053423A">
              <w:rPr>
                <w:rFonts w:cs="Sylfaen"/>
                <w:lang w:val="hy-AM"/>
              </w:rPr>
              <w:t>կրճատմանն</w:t>
            </w:r>
            <w:r w:rsidRPr="0053423A">
              <w:rPr>
                <w:lang w:val="hy-AM"/>
              </w:rPr>
              <w:t xml:space="preserve"> </w:t>
            </w:r>
            <w:r w:rsidRPr="0053423A">
              <w:rPr>
                <w:rFonts w:cs="Sylfaen"/>
                <w:lang w:val="hy-AM"/>
              </w:rPr>
              <w:t>ուղղված</w:t>
            </w:r>
            <w:r w:rsidRPr="0053423A">
              <w:rPr>
                <w:lang w:val="hy-AM"/>
              </w:rPr>
              <w:t xml:space="preserve"> </w:t>
            </w:r>
            <w:r w:rsidRPr="0053423A">
              <w:rPr>
                <w:rFonts w:cs="Sylfaen"/>
                <w:lang w:val="hy-AM"/>
              </w:rPr>
              <w:t>իրավական կարգավորման հետ</w:t>
            </w:r>
            <w:r w:rsidRPr="0053423A">
              <w:rPr>
                <w:rFonts w:eastAsia="Arial Unicode MS" w:cs="Arial Unicode MS"/>
                <w:lang w:val="hy-AM"/>
              </w:rPr>
              <w:t>։</w:t>
            </w:r>
            <w:r w:rsidRPr="0053423A">
              <w:rPr>
                <w:lang w:val="af-ZA"/>
              </w:rPr>
              <w:t xml:space="preserve"> </w:t>
            </w:r>
          </w:p>
          <w:p w:rsidR="00530B14" w:rsidRPr="0053423A" w:rsidRDefault="00530B14" w:rsidP="00A67858">
            <w:pPr>
              <w:spacing w:line="276" w:lineRule="auto"/>
              <w:ind w:firstLine="553"/>
              <w:jc w:val="both"/>
              <w:rPr>
                <w:rFonts w:eastAsia="Arial Unicode MS" w:cs="Arial Unicode MS"/>
                <w:color w:val="000000"/>
                <w:lang w:val="af-ZA"/>
              </w:rPr>
            </w:pPr>
            <w:r w:rsidRPr="0053423A">
              <w:rPr>
                <w:rFonts w:cs="Sylfaen"/>
              </w:rPr>
              <w:t>Միջոցառման</w:t>
            </w:r>
            <w:r w:rsidRPr="0053423A">
              <w:rPr>
                <w:rFonts w:cs="Sylfaen"/>
                <w:lang w:val="af-ZA"/>
              </w:rPr>
              <w:t xml:space="preserve"> </w:t>
            </w:r>
            <w:r w:rsidRPr="0053423A">
              <w:rPr>
                <w:rFonts w:cs="Sylfaen"/>
              </w:rPr>
              <w:t>հիմնական</w:t>
            </w:r>
            <w:r w:rsidRPr="0053423A">
              <w:rPr>
                <w:rFonts w:cs="Sylfaen"/>
                <w:lang w:val="af-ZA"/>
              </w:rPr>
              <w:t xml:space="preserve"> </w:t>
            </w:r>
            <w:r w:rsidRPr="0053423A">
              <w:rPr>
                <w:rFonts w:cs="Sylfaen"/>
              </w:rPr>
              <w:t>նպատակն</w:t>
            </w:r>
            <w:r w:rsidRPr="0053423A">
              <w:rPr>
                <w:rFonts w:cs="Sylfaen"/>
                <w:lang w:val="af-ZA"/>
              </w:rPr>
              <w:t xml:space="preserve"> </w:t>
            </w:r>
            <w:r w:rsidRPr="0053423A">
              <w:rPr>
                <w:rFonts w:cs="Sylfaen"/>
              </w:rPr>
              <w:t>է</w:t>
            </w:r>
            <w:r w:rsidRPr="0053423A">
              <w:rPr>
                <w:rFonts w:cs="Sylfaen"/>
                <w:lang w:val="af-ZA"/>
              </w:rPr>
              <w:t xml:space="preserve"> </w:t>
            </w:r>
            <w:r w:rsidRPr="0053423A">
              <w:rPr>
                <w:rFonts w:cs="Sylfaen"/>
              </w:rPr>
              <w:t>տ</w:t>
            </w:r>
            <w:r w:rsidRPr="0053423A">
              <w:rPr>
                <w:rFonts w:cs="Sylfaen"/>
                <w:lang w:val="hy-AM"/>
              </w:rPr>
              <w:t>նտեսական մեխանիզմների կի</w:t>
            </w:r>
            <w:r w:rsidRPr="0053423A">
              <w:rPr>
                <w:rFonts w:cs="Sylfaen"/>
              </w:rPr>
              <w:t>ր</w:t>
            </w:r>
            <w:r w:rsidRPr="0053423A">
              <w:rPr>
                <w:rFonts w:cs="Sylfaen"/>
                <w:lang w:val="hy-AM"/>
              </w:rPr>
              <w:t>առման միջոցով պլաստիկ թափոնների ծավալների կրճատում</w:t>
            </w:r>
            <w:r w:rsidRPr="0053423A">
              <w:rPr>
                <w:rFonts w:cs="Sylfaen"/>
              </w:rPr>
              <w:t>ը</w:t>
            </w:r>
            <w:r w:rsidRPr="0053423A">
              <w:rPr>
                <w:rFonts w:cs="Sylfaen"/>
                <w:lang w:val="af-ZA"/>
              </w:rPr>
              <w:t>,</w:t>
            </w:r>
            <w:r w:rsidRPr="0053423A">
              <w:rPr>
                <w:rFonts w:cs="Sylfaen"/>
                <w:lang w:val="hy-AM"/>
              </w:rPr>
              <w:t xml:space="preserve"> մասնավորապես</w:t>
            </w:r>
            <w:r w:rsidRPr="0053423A">
              <w:rPr>
                <w:rFonts w:cs="Sylfaen"/>
              </w:rPr>
              <w:t>՝</w:t>
            </w:r>
            <w:r w:rsidRPr="0053423A">
              <w:rPr>
                <w:rFonts w:cs="Sylfaen"/>
                <w:lang w:val="hy-AM"/>
              </w:rPr>
              <w:t xml:space="preserve"> մեկանգամյա օգտագործման պոլիէթիլենային տոպրակների ծավալների կտրուկ կրճատում</w:t>
            </w:r>
            <w:r w:rsidRPr="0053423A">
              <w:rPr>
                <w:rFonts w:cs="Sylfaen"/>
              </w:rPr>
              <w:t>ը</w:t>
            </w:r>
            <w:r w:rsidRPr="0053423A">
              <w:rPr>
                <w:rFonts w:cs="Sylfaen"/>
                <w:lang w:val="af-ZA"/>
              </w:rPr>
              <w:t>:</w:t>
            </w:r>
          </w:p>
          <w:p w:rsidR="00530B14" w:rsidRPr="0053423A" w:rsidRDefault="00530B14" w:rsidP="00A67858">
            <w:pPr>
              <w:spacing w:line="276" w:lineRule="auto"/>
              <w:ind w:firstLine="553"/>
              <w:rPr>
                <w:rFonts w:cs="Sylfaen"/>
                <w:b/>
                <w:lang w:val="af-ZA"/>
              </w:rPr>
            </w:pPr>
            <w:r w:rsidRPr="0053423A">
              <w:rPr>
                <w:rFonts w:cs="Sylfaen"/>
                <w:b/>
                <w:lang w:val="af-ZA"/>
              </w:rPr>
              <w:t xml:space="preserve">1.1 </w:t>
            </w:r>
            <w:r w:rsidRPr="0053423A">
              <w:rPr>
                <w:rFonts w:cs="Sylfaen"/>
                <w:b/>
              </w:rPr>
              <w:t>Կարգավորման</w:t>
            </w:r>
            <w:r w:rsidRPr="0053423A">
              <w:rPr>
                <w:b/>
                <w:lang w:val="af-ZA"/>
              </w:rPr>
              <w:t xml:space="preserve"> </w:t>
            </w:r>
            <w:r w:rsidRPr="0053423A">
              <w:rPr>
                <w:rFonts w:cs="Sylfaen"/>
                <w:b/>
              </w:rPr>
              <w:t>հարաբերությունների</w:t>
            </w:r>
            <w:r w:rsidRPr="0053423A">
              <w:rPr>
                <w:b/>
                <w:lang w:val="af-ZA"/>
              </w:rPr>
              <w:t xml:space="preserve"> </w:t>
            </w:r>
            <w:r w:rsidRPr="0053423A">
              <w:rPr>
                <w:rFonts w:cs="Sylfaen"/>
                <w:b/>
              </w:rPr>
              <w:t>ներկա</w:t>
            </w:r>
            <w:r w:rsidRPr="0053423A">
              <w:rPr>
                <w:b/>
                <w:lang w:val="af-ZA"/>
              </w:rPr>
              <w:t xml:space="preserve"> </w:t>
            </w:r>
            <w:r w:rsidRPr="0053423A">
              <w:rPr>
                <w:rFonts w:cs="Sylfaen"/>
                <w:b/>
              </w:rPr>
              <w:t>վիճակը</w:t>
            </w:r>
            <w:r w:rsidRPr="0053423A">
              <w:rPr>
                <w:b/>
                <w:lang w:val="af-ZA"/>
              </w:rPr>
              <w:t xml:space="preserve"> </w:t>
            </w:r>
            <w:r w:rsidRPr="0053423A">
              <w:rPr>
                <w:rFonts w:cs="Sylfaen"/>
                <w:b/>
              </w:rPr>
              <w:t>և</w:t>
            </w:r>
            <w:r w:rsidRPr="0053423A">
              <w:rPr>
                <w:b/>
                <w:lang w:val="af-ZA"/>
              </w:rPr>
              <w:t xml:space="preserve"> </w:t>
            </w:r>
            <w:r w:rsidRPr="0053423A">
              <w:rPr>
                <w:rFonts w:cs="Sylfaen"/>
                <w:b/>
              </w:rPr>
              <w:t>առկա</w:t>
            </w:r>
            <w:r w:rsidRPr="0053423A">
              <w:rPr>
                <w:b/>
                <w:lang w:val="af-ZA"/>
              </w:rPr>
              <w:t xml:space="preserve"> </w:t>
            </w:r>
            <w:r w:rsidRPr="0053423A">
              <w:rPr>
                <w:rFonts w:cs="Sylfaen"/>
                <w:b/>
              </w:rPr>
              <w:t>խնդիրները</w:t>
            </w:r>
          </w:p>
          <w:p w:rsidR="00530B14" w:rsidRPr="0053423A" w:rsidRDefault="00530B14" w:rsidP="00A67858">
            <w:pPr>
              <w:spacing w:line="276" w:lineRule="auto"/>
              <w:ind w:firstLine="553"/>
              <w:jc w:val="both"/>
              <w:rPr>
                <w:rFonts w:cs="Sylfaen"/>
                <w:lang w:val="af-ZA"/>
              </w:rPr>
            </w:pPr>
            <w:r w:rsidRPr="0053423A">
              <w:rPr>
                <w:lang w:val="af-ZA"/>
              </w:rPr>
              <w:t xml:space="preserve">Հանրապետությունում </w:t>
            </w:r>
            <w:r w:rsidRPr="0053423A">
              <w:rPr>
                <w:bCs/>
              </w:rPr>
              <w:t>առևտրի</w:t>
            </w:r>
            <w:r w:rsidRPr="0053423A">
              <w:rPr>
                <w:bCs/>
                <w:lang w:val="af-ZA"/>
              </w:rPr>
              <w:t xml:space="preserve"> </w:t>
            </w:r>
            <w:r w:rsidRPr="0053423A">
              <w:rPr>
                <w:bCs/>
              </w:rPr>
              <w:t>և</w:t>
            </w:r>
            <w:r w:rsidRPr="0053423A">
              <w:rPr>
                <w:bCs/>
                <w:lang w:val="af-ZA"/>
              </w:rPr>
              <w:t xml:space="preserve"> </w:t>
            </w:r>
            <w:r w:rsidRPr="0053423A">
              <w:rPr>
                <w:bCs/>
              </w:rPr>
              <w:t>սպասարկման</w:t>
            </w:r>
            <w:r w:rsidRPr="0053423A">
              <w:rPr>
                <w:bCs/>
                <w:lang w:val="af-ZA"/>
              </w:rPr>
              <w:t xml:space="preserve"> </w:t>
            </w:r>
            <w:r w:rsidRPr="0053423A">
              <w:rPr>
                <w:bCs/>
              </w:rPr>
              <w:t>ոլորտներում</w:t>
            </w:r>
            <w:r w:rsidRPr="0053423A">
              <w:rPr>
                <w:bCs/>
                <w:lang w:val="af-ZA"/>
              </w:rPr>
              <w:t xml:space="preserve"> </w:t>
            </w:r>
            <w:r w:rsidRPr="0053423A">
              <w:rPr>
                <w:bCs/>
                <w:lang w:val="hy-AM"/>
              </w:rPr>
              <w:t>պոլիէթիլենային տոպրակների</w:t>
            </w:r>
            <w:r w:rsidRPr="0053423A">
              <w:rPr>
                <w:bCs/>
                <w:lang w:val="af-ZA"/>
              </w:rPr>
              <w:t xml:space="preserve"> </w:t>
            </w:r>
            <w:r w:rsidRPr="0053423A">
              <w:rPr>
                <w:bCs/>
              </w:rPr>
              <w:t>լայն</w:t>
            </w:r>
            <w:r w:rsidRPr="0053423A">
              <w:rPr>
                <w:bCs/>
                <w:lang w:val="af-ZA"/>
              </w:rPr>
              <w:t xml:space="preserve"> </w:t>
            </w:r>
            <w:r w:rsidRPr="0053423A">
              <w:rPr>
                <w:bCs/>
              </w:rPr>
              <w:t>կիրառումը</w:t>
            </w:r>
            <w:r w:rsidRPr="0053423A">
              <w:rPr>
                <w:bCs/>
                <w:lang w:val="af-ZA"/>
              </w:rPr>
              <w:t xml:space="preserve"> </w:t>
            </w:r>
            <w:r w:rsidRPr="0053423A">
              <w:rPr>
                <w:lang w:val="af-ZA"/>
              </w:rPr>
              <w:t xml:space="preserve">հանգեցրել է բնապահպանական խնդիրների առաջացման: </w:t>
            </w:r>
            <w:r w:rsidRPr="0053423A">
              <w:rPr>
                <w:rFonts w:cs="Sylfaen"/>
                <w:lang w:val="af-ZA"/>
              </w:rPr>
              <w:t>Շրջակա միջավայր արտանետված պոլիէթիլենային փաթեթները պահպանվում են երկար ժամանակ և չեն ենթարկվում կենսաբանական քայքայման, որի հետևանքով դրանք առաջացնում են կայուն աղտոտվածություն:</w:t>
            </w:r>
          </w:p>
          <w:p w:rsidR="00530B14" w:rsidRPr="0053423A" w:rsidRDefault="00530B14" w:rsidP="00A67858">
            <w:pPr>
              <w:spacing w:line="276" w:lineRule="auto"/>
              <w:ind w:firstLine="463"/>
              <w:jc w:val="both"/>
              <w:rPr>
                <w:lang w:val="af-ZA"/>
              </w:rPr>
            </w:pPr>
            <w:r w:rsidRPr="0053423A">
              <w:rPr>
                <w:rFonts w:cs="Arial"/>
                <w:color w:val="000000"/>
                <w:lang w:val="af-ZA"/>
              </w:rPr>
              <w:t>Պ</w:t>
            </w:r>
            <w:r w:rsidRPr="0053423A">
              <w:rPr>
                <w:bCs/>
                <w:lang w:val="hy-AM"/>
              </w:rPr>
              <w:t>ոլիէթիլենային տոպրակների</w:t>
            </w:r>
            <w:r w:rsidRPr="0053423A">
              <w:rPr>
                <w:bCs/>
                <w:lang w:val="af-ZA"/>
              </w:rPr>
              <w:t xml:space="preserve"> </w:t>
            </w:r>
            <w:r w:rsidRPr="0053423A">
              <w:rPr>
                <w:rFonts w:cs="Sylfaen"/>
                <w:lang w:val="af-ZA"/>
              </w:rPr>
              <w:t xml:space="preserve">օգտագործման միջին ժամանակահատվածը </w:t>
            </w:r>
            <w:r w:rsidRPr="0053423A">
              <w:rPr>
                <w:rFonts w:cs="Arial"/>
                <w:color w:val="000000"/>
                <w:lang w:val="af-ZA"/>
              </w:rPr>
              <w:t xml:space="preserve"> 10-15 րոպե է, իսկ բնության մեջ դրա քայքայման համար անհրաժեշտ է ավելի քան 100-400 տարի:</w:t>
            </w:r>
            <w:r w:rsidRPr="0053423A">
              <w:rPr>
                <w:lang w:val="af-ZA"/>
              </w:rPr>
              <w:t xml:space="preserve"> </w:t>
            </w:r>
            <w:r w:rsidRPr="0053423A">
              <w:rPr>
                <w:rFonts w:cs="Sylfaen"/>
              </w:rPr>
              <w:t>Ըստ</w:t>
            </w:r>
            <w:r w:rsidRPr="0053423A">
              <w:rPr>
                <w:lang w:val="af-ZA"/>
              </w:rPr>
              <w:t xml:space="preserve"> </w:t>
            </w:r>
            <w:r w:rsidRPr="0053423A">
              <w:rPr>
                <w:rFonts w:cs="Sylfaen"/>
              </w:rPr>
              <w:t>որոշ</w:t>
            </w:r>
            <w:r w:rsidRPr="0053423A">
              <w:rPr>
                <w:lang w:val="af-ZA"/>
              </w:rPr>
              <w:t xml:space="preserve"> </w:t>
            </w:r>
            <w:r w:rsidRPr="0053423A">
              <w:rPr>
                <w:rFonts w:cs="Sylfaen"/>
              </w:rPr>
              <w:t>ուսումնասիրությունների</w:t>
            </w:r>
            <w:r w:rsidRPr="0053423A">
              <w:rPr>
                <w:rFonts w:cs="Sylfaen"/>
                <w:lang w:val="hy-AM"/>
              </w:rPr>
              <w:t>՝</w:t>
            </w:r>
            <w:r w:rsidRPr="0053423A">
              <w:rPr>
                <w:rFonts w:cs="Sylfaen"/>
                <w:lang w:val="af-ZA"/>
              </w:rPr>
              <w:t xml:space="preserve"> </w:t>
            </w:r>
            <w:r w:rsidRPr="0053423A">
              <w:rPr>
                <w:rFonts w:cs="Sylfaen"/>
              </w:rPr>
              <w:t>հանրապետությունում</w:t>
            </w:r>
            <w:r w:rsidRPr="0053423A">
              <w:rPr>
                <w:rFonts w:cs="Sylfaen"/>
                <w:lang w:val="af-ZA"/>
              </w:rPr>
              <w:t xml:space="preserve"> </w:t>
            </w:r>
            <w:r w:rsidRPr="0053423A">
              <w:rPr>
                <w:rFonts w:cs="Sylfaen"/>
              </w:rPr>
              <w:t>պլաստիկ</w:t>
            </w:r>
            <w:r w:rsidRPr="0053423A">
              <w:rPr>
                <w:lang w:val="af-ZA"/>
              </w:rPr>
              <w:t xml:space="preserve"> </w:t>
            </w:r>
            <w:r w:rsidRPr="0053423A">
              <w:rPr>
                <w:rFonts w:cs="Sylfaen"/>
              </w:rPr>
              <w:t>թափոնները</w:t>
            </w:r>
            <w:r w:rsidRPr="0053423A">
              <w:rPr>
                <w:lang w:val="af-ZA"/>
              </w:rPr>
              <w:t xml:space="preserve"> </w:t>
            </w:r>
            <w:r w:rsidRPr="0053423A">
              <w:rPr>
                <w:rFonts w:cs="Sylfaen"/>
              </w:rPr>
              <w:t>կազմում</w:t>
            </w:r>
            <w:r w:rsidRPr="0053423A">
              <w:rPr>
                <w:lang w:val="af-ZA"/>
              </w:rPr>
              <w:t xml:space="preserve"> </w:t>
            </w:r>
            <w:r w:rsidRPr="0053423A">
              <w:rPr>
                <w:rFonts w:cs="Sylfaen"/>
              </w:rPr>
              <w:t>են</w:t>
            </w:r>
            <w:r w:rsidRPr="0053423A">
              <w:rPr>
                <w:lang w:val="af-ZA"/>
              </w:rPr>
              <w:t xml:space="preserve"> </w:t>
            </w:r>
            <w:r w:rsidRPr="0053423A">
              <w:rPr>
                <w:rFonts w:cs="Sylfaen"/>
              </w:rPr>
              <w:t>կենցաղային</w:t>
            </w:r>
            <w:r w:rsidRPr="0053423A">
              <w:rPr>
                <w:lang w:val="af-ZA"/>
              </w:rPr>
              <w:t xml:space="preserve"> </w:t>
            </w:r>
            <w:r w:rsidRPr="0053423A">
              <w:rPr>
                <w:rFonts w:cs="Sylfaen"/>
              </w:rPr>
              <w:t>թափոնների</w:t>
            </w:r>
            <w:r w:rsidRPr="0053423A">
              <w:rPr>
                <w:lang w:val="af-ZA"/>
              </w:rPr>
              <w:t xml:space="preserve"> </w:t>
            </w:r>
            <w:r w:rsidRPr="0053423A">
              <w:rPr>
                <w:rFonts w:cs="Sylfaen"/>
              </w:rPr>
              <w:t>ծավալի</w:t>
            </w:r>
            <w:r w:rsidRPr="0053423A">
              <w:rPr>
                <w:lang w:val="af-ZA"/>
              </w:rPr>
              <w:t xml:space="preserve"> </w:t>
            </w:r>
            <w:r w:rsidRPr="0053423A">
              <w:rPr>
                <w:rFonts w:cs="Sylfaen"/>
              </w:rPr>
              <w:t>ավելի</w:t>
            </w:r>
            <w:r w:rsidRPr="0053423A">
              <w:rPr>
                <w:lang w:val="af-ZA"/>
              </w:rPr>
              <w:t xml:space="preserve"> </w:t>
            </w:r>
            <w:r w:rsidRPr="0053423A">
              <w:rPr>
                <w:rFonts w:cs="Sylfaen"/>
              </w:rPr>
              <w:t>քան</w:t>
            </w:r>
            <w:r w:rsidRPr="0053423A">
              <w:rPr>
                <w:lang w:val="af-ZA"/>
              </w:rPr>
              <w:t xml:space="preserve"> 30%-</w:t>
            </w:r>
            <w:r w:rsidRPr="0053423A">
              <w:rPr>
                <w:rFonts w:cs="Sylfaen"/>
              </w:rPr>
              <w:t>ը</w:t>
            </w:r>
            <w:r w:rsidRPr="0053423A">
              <w:rPr>
                <w:rFonts w:cs="Sylfaen"/>
                <w:lang w:val="af-ZA"/>
              </w:rPr>
              <w:t>:</w:t>
            </w:r>
            <w:r w:rsidRPr="0053423A">
              <w:rPr>
                <w:lang w:val="af-ZA"/>
              </w:rPr>
              <w:t xml:space="preserve"> Oգտագործված պոլիէթիլենային փաթեթներով և դրանց մնացորդներով աղտոտված է Հայաստանի Հանրապետության գետերի հիմնական մասը,  հանգստավայրերին և զբոսաշրջության վայրերին կից տարածքները: </w:t>
            </w:r>
            <w:r w:rsidRPr="0053423A">
              <w:t>Հանրապետությունում</w:t>
            </w:r>
            <w:r w:rsidRPr="0053423A">
              <w:rPr>
                <w:lang w:val="af-ZA"/>
              </w:rPr>
              <w:t xml:space="preserve"> </w:t>
            </w:r>
            <w:r w:rsidRPr="0053423A">
              <w:rPr>
                <w:rFonts w:cs="Sylfaen"/>
              </w:rPr>
              <w:t>արտադրվող</w:t>
            </w:r>
            <w:r w:rsidRPr="0053423A">
              <w:rPr>
                <w:lang w:val="af-ZA"/>
              </w:rPr>
              <w:t xml:space="preserve"> </w:t>
            </w:r>
            <w:r w:rsidRPr="0053423A">
              <w:t>և</w:t>
            </w:r>
            <w:r w:rsidRPr="0053423A">
              <w:rPr>
                <w:lang w:val="af-ZA"/>
              </w:rPr>
              <w:t xml:space="preserve"> </w:t>
            </w:r>
            <w:r w:rsidRPr="0053423A">
              <w:rPr>
                <w:rFonts w:cs="Sylfaen"/>
              </w:rPr>
              <w:t>ներկրվող</w:t>
            </w:r>
            <w:r w:rsidRPr="0053423A">
              <w:rPr>
                <w:lang w:val="af-ZA"/>
              </w:rPr>
              <w:t xml:space="preserve"> </w:t>
            </w:r>
            <w:r w:rsidRPr="0053423A">
              <w:rPr>
                <w:bCs/>
                <w:lang w:val="hy-AM"/>
              </w:rPr>
              <w:t xml:space="preserve">պոլիէթիլենից </w:t>
            </w:r>
            <w:r w:rsidRPr="0053423A">
              <w:rPr>
                <w:bCs/>
              </w:rPr>
              <w:t>փաթեթների</w:t>
            </w:r>
            <w:r w:rsidRPr="0053423A">
              <w:rPr>
                <w:rFonts w:cs="Sylfaen"/>
                <w:lang w:val="af-ZA"/>
              </w:rPr>
              <w:t xml:space="preserve"> </w:t>
            </w:r>
            <w:r w:rsidRPr="0053423A">
              <w:rPr>
                <w:rFonts w:cs="Sylfaen"/>
              </w:rPr>
              <w:t>ողջ</w:t>
            </w:r>
            <w:r w:rsidRPr="0053423A">
              <w:rPr>
                <w:lang w:val="af-ZA"/>
              </w:rPr>
              <w:t xml:space="preserve"> </w:t>
            </w:r>
            <w:r w:rsidRPr="0053423A">
              <w:rPr>
                <w:rFonts w:cs="Sylfaen"/>
              </w:rPr>
              <w:t>քանակությունն</w:t>
            </w:r>
            <w:r w:rsidRPr="0053423A">
              <w:rPr>
                <w:lang w:val="af-ZA"/>
              </w:rPr>
              <w:t xml:space="preserve"> </w:t>
            </w:r>
            <w:r w:rsidRPr="0053423A">
              <w:rPr>
                <w:rFonts w:cs="Sylfaen"/>
              </w:rPr>
              <w:t>ի</w:t>
            </w:r>
            <w:r w:rsidRPr="0053423A">
              <w:rPr>
                <w:lang w:val="af-ZA"/>
              </w:rPr>
              <w:t xml:space="preserve"> </w:t>
            </w:r>
            <w:r w:rsidRPr="0053423A">
              <w:rPr>
                <w:rFonts w:cs="Sylfaen"/>
              </w:rPr>
              <w:t>վերջո</w:t>
            </w:r>
            <w:r w:rsidRPr="0053423A">
              <w:rPr>
                <w:lang w:val="af-ZA"/>
              </w:rPr>
              <w:t xml:space="preserve"> </w:t>
            </w:r>
            <w:r w:rsidRPr="0053423A">
              <w:rPr>
                <w:rFonts w:cs="Sylfaen"/>
              </w:rPr>
              <w:t>հանգրվանում</w:t>
            </w:r>
            <w:r w:rsidRPr="0053423A">
              <w:rPr>
                <w:lang w:val="af-ZA"/>
              </w:rPr>
              <w:t xml:space="preserve"> </w:t>
            </w:r>
            <w:r w:rsidRPr="0053423A">
              <w:rPr>
                <w:rFonts w:cs="Sylfaen"/>
              </w:rPr>
              <w:t>է</w:t>
            </w:r>
            <w:r w:rsidRPr="0053423A">
              <w:rPr>
                <w:lang w:val="af-ZA"/>
              </w:rPr>
              <w:t xml:space="preserve"> </w:t>
            </w:r>
            <w:r w:rsidRPr="0053423A">
              <w:rPr>
                <w:rFonts w:cs="Sylfaen"/>
              </w:rPr>
              <w:t>բնության</w:t>
            </w:r>
            <w:r w:rsidRPr="0053423A">
              <w:rPr>
                <w:lang w:val="af-ZA"/>
              </w:rPr>
              <w:t xml:space="preserve"> </w:t>
            </w:r>
            <w:r w:rsidRPr="0053423A">
              <w:rPr>
                <w:rFonts w:cs="Sylfaen"/>
              </w:rPr>
              <w:t>մեջ</w:t>
            </w:r>
            <w:r w:rsidRPr="0053423A">
              <w:rPr>
                <w:rFonts w:cs="Sylfaen"/>
                <w:lang w:val="af-ZA"/>
              </w:rPr>
              <w:t xml:space="preserve"> </w:t>
            </w:r>
            <w:r w:rsidRPr="0053423A">
              <w:rPr>
                <w:rFonts w:cs="Sylfaen"/>
              </w:rPr>
              <w:t>և</w:t>
            </w:r>
            <w:r w:rsidRPr="0053423A">
              <w:rPr>
                <w:rFonts w:cs="Sylfaen"/>
                <w:lang w:val="af-ZA"/>
              </w:rPr>
              <w:t xml:space="preserve"> </w:t>
            </w:r>
            <w:r w:rsidRPr="0053423A">
              <w:rPr>
                <w:rFonts w:cs="Sylfaen"/>
              </w:rPr>
              <w:t>նույնիսկ</w:t>
            </w:r>
            <w:r w:rsidRPr="0053423A">
              <w:rPr>
                <w:lang w:val="af-ZA"/>
              </w:rPr>
              <w:t xml:space="preserve"> </w:t>
            </w:r>
            <w:r w:rsidRPr="0053423A">
              <w:rPr>
                <w:rFonts w:cs="Sylfaen"/>
              </w:rPr>
              <w:t>աղբավայրերում</w:t>
            </w:r>
            <w:r w:rsidRPr="0053423A">
              <w:rPr>
                <w:rFonts w:cs="Sylfaen"/>
                <w:lang w:val="af-ZA"/>
              </w:rPr>
              <w:t xml:space="preserve"> </w:t>
            </w:r>
            <w:r w:rsidRPr="0053423A">
              <w:rPr>
                <w:rFonts w:cs="Sylfaen"/>
              </w:rPr>
              <w:t>դրանք</w:t>
            </w:r>
            <w:r w:rsidRPr="0053423A">
              <w:rPr>
                <w:rFonts w:cs="Sylfaen"/>
                <w:lang w:val="af-ZA"/>
              </w:rPr>
              <w:t xml:space="preserve"> </w:t>
            </w:r>
            <w:r w:rsidRPr="0053423A">
              <w:rPr>
                <w:rFonts w:cs="Sylfaen"/>
              </w:rPr>
              <w:t>շարունակում</w:t>
            </w:r>
            <w:r w:rsidRPr="0053423A">
              <w:rPr>
                <w:rFonts w:cs="Sylfaen"/>
                <w:lang w:val="af-ZA"/>
              </w:rPr>
              <w:t xml:space="preserve"> </w:t>
            </w:r>
            <w:r w:rsidRPr="0053423A">
              <w:rPr>
                <w:rFonts w:cs="Sylfaen"/>
              </w:rPr>
              <w:t>են</w:t>
            </w:r>
            <w:r w:rsidRPr="0053423A">
              <w:rPr>
                <w:rFonts w:cs="Sylfaen"/>
                <w:lang w:val="af-ZA"/>
              </w:rPr>
              <w:t xml:space="preserve"> </w:t>
            </w:r>
            <w:r w:rsidRPr="0053423A">
              <w:rPr>
                <w:rFonts w:cs="Sylfaen"/>
              </w:rPr>
              <w:t>վնաս</w:t>
            </w:r>
            <w:r w:rsidRPr="0053423A">
              <w:rPr>
                <w:rFonts w:cs="Sylfaen"/>
                <w:lang w:val="af-ZA"/>
              </w:rPr>
              <w:t xml:space="preserve"> </w:t>
            </w:r>
            <w:r w:rsidRPr="0053423A">
              <w:rPr>
                <w:rFonts w:cs="Sylfaen"/>
              </w:rPr>
              <w:t>պատճառել</w:t>
            </w:r>
            <w:r w:rsidRPr="0053423A">
              <w:rPr>
                <w:rFonts w:cs="Sylfaen"/>
                <w:lang w:val="af-ZA"/>
              </w:rPr>
              <w:t xml:space="preserve"> </w:t>
            </w:r>
            <w:r w:rsidRPr="0053423A">
              <w:rPr>
                <w:rFonts w:cs="Sylfaen"/>
              </w:rPr>
              <w:t>շրջակա</w:t>
            </w:r>
            <w:r w:rsidRPr="0053423A">
              <w:rPr>
                <w:rFonts w:cs="Sylfaen"/>
                <w:lang w:val="af-ZA"/>
              </w:rPr>
              <w:t xml:space="preserve"> </w:t>
            </w:r>
            <w:r w:rsidRPr="0053423A">
              <w:rPr>
                <w:rFonts w:cs="Sylfaen"/>
              </w:rPr>
              <w:t>միջավայրին</w:t>
            </w:r>
            <w:r w:rsidRPr="0053423A">
              <w:rPr>
                <w:rFonts w:cs="Sylfaen"/>
                <w:lang w:val="hy-AM"/>
              </w:rPr>
              <w:t>։</w:t>
            </w:r>
            <w:r w:rsidRPr="0053423A">
              <w:rPr>
                <w:rFonts w:cs="Sylfaen"/>
                <w:lang w:val="af-ZA"/>
              </w:rPr>
              <w:t xml:space="preserve"> </w:t>
            </w:r>
            <w:r w:rsidRPr="0053423A">
              <w:rPr>
                <w:lang w:val="af-ZA"/>
              </w:rPr>
              <w:t xml:space="preserve"> </w:t>
            </w:r>
            <w:r w:rsidRPr="0053423A">
              <w:rPr>
                <w:lang w:val="hy-AM"/>
              </w:rPr>
              <w:t>Ա</w:t>
            </w:r>
            <w:r w:rsidRPr="0053423A">
              <w:rPr>
                <w:rFonts w:cs="Sylfaen"/>
              </w:rPr>
              <w:t>րևի</w:t>
            </w:r>
            <w:r w:rsidRPr="0053423A">
              <w:rPr>
                <w:lang w:val="af-ZA"/>
              </w:rPr>
              <w:t xml:space="preserve"> </w:t>
            </w:r>
            <w:r w:rsidRPr="0053423A">
              <w:rPr>
                <w:rFonts w:cs="Sylfaen"/>
              </w:rPr>
              <w:t>ազդեցությա</w:t>
            </w:r>
            <w:r w:rsidRPr="0053423A">
              <w:rPr>
                <w:rFonts w:cs="Sylfaen"/>
                <w:lang w:val="hy-AM"/>
              </w:rPr>
              <w:t>մբ</w:t>
            </w:r>
            <w:r w:rsidRPr="0053423A">
              <w:rPr>
                <w:lang w:val="af-ZA"/>
              </w:rPr>
              <w:t xml:space="preserve"> </w:t>
            </w:r>
            <w:r w:rsidRPr="0053423A">
              <w:t>և</w:t>
            </w:r>
            <w:r w:rsidRPr="0053423A">
              <w:rPr>
                <w:lang w:val="af-ZA"/>
              </w:rPr>
              <w:t xml:space="preserve"> </w:t>
            </w:r>
            <w:r w:rsidRPr="0053423A">
              <w:rPr>
                <w:rFonts w:cs="Sylfaen"/>
              </w:rPr>
              <w:t>ինքնայրման</w:t>
            </w:r>
            <w:r w:rsidRPr="0053423A">
              <w:rPr>
                <w:lang w:val="af-ZA"/>
              </w:rPr>
              <w:t xml:space="preserve"> </w:t>
            </w:r>
            <w:r w:rsidRPr="0053423A">
              <w:rPr>
                <w:rFonts w:cs="Sylfaen"/>
              </w:rPr>
              <w:t>հետևանքով</w:t>
            </w:r>
            <w:r w:rsidRPr="0053423A">
              <w:rPr>
                <w:lang w:val="af-ZA"/>
              </w:rPr>
              <w:t xml:space="preserve"> </w:t>
            </w:r>
            <w:r w:rsidRPr="0053423A">
              <w:rPr>
                <w:rFonts w:cs="Sylfaen"/>
              </w:rPr>
              <w:t>արտազատ</w:t>
            </w:r>
            <w:r w:rsidRPr="0053423A">
              <w:rPr>
                <w:rFonts w:cs="Sylfaen"/>
                <w:lang w:val="hy-AM"/>
              </w:rPr>
              <w:t>ու</w:t>
            </w:r>
            <w:r w:rsidRPr="0053423A">
              <w:rPr>
                <w:rFonts w:cs="Sylfaen"/>
              </w:rPr>
              <w:t>մ</w:t>
            </w:r>
            <w:r w:rsidRPr="0053423A">
              <w:rPr>
                <w:rFonts w:cs="Sylfaen"/>
                <w:lang w:val="hy-AM"/>
              </w:rPr>
              <w:t xml:space="preserve"> են</w:t>
            </w:r>
            <w:r w:rsidRPr="0053423A">
              <w:rPr>
                <w:rFonts w:cs="Sylfaen"/>
                <w:lang w:val="af-ZA"/>
              </w:rPr>
              <w:t xml:space="preserve"> </w:t>
            </w:r>
            <w:r w:rsidRPr="0053423A">
              <w:rPr>
                <w:rFonts w:cs="Sylfaen"/>
              </w:rPr>
              <w:t>դիօքսին</w:t>
            </w:r>
            <w:r w:rsidRPr="0053423A">
              <w:rPr>
                <w:lang w:val="af-ZA"/>
              </w:rPr>
              <w:t xml:space="preserve"> </w:t>
            </w:r>
            <w:r w:rsidRPr="0053423A">
              <w:rPr>
                <w:rFonts w:cs="Sylfaen"/>
              </w:rPr>
              <w:t>եւ</w:t>
            </w:r>
            <w:r w:rsidRPr="0053423A">
              <w:rPr>
                <w:lang w:val="af-ZA"/>
              </w:rPr>
              <w:t xml:space="preserve"> </w:t>
            </w:r>
            <w:r w:rsidRPr="0053423A">
              <w:rPr>
                <w:rFonts w:cs="Sylfaen"/>
              </w:rPr>
              <w:t>ֆուրան</w:t>
            </w:r>
            <w:r w:rsidRPr="0053423A">
              <w:rPr>
                <w:lang w:val="af-ZA"/>
              </w:rPr>
              <w:t xml:space="preserve"> </w:t>
            </w:r>
            <w:r w:rsidRPr="0053423A">
              <w:rPr>
                <w:rFonts w:cs="Sylfaen"/>
              </w:rPr>
              <w:t>գազեր</w:t>
            </w:r>
            <w:r w:rsidRPr="0053423A">
              <w:rPr>
                <w:rFonts w:cs="Sylfaen"/>
                <w:lang w:val="af-ZA"/>
              </w:rPr>
              <w:t>:</w:t>
            </w:r>
          </w:p>
          <w:p w:rsidR="00530B14" w:rsidRPr="0053423A" w:rsidRDefault="00530B14" w:rsidP="00A67858">
            <w:pPr>
              <w:spacing w:line="276" w:lineRule="auto"/>
              <w:ind w:firstLine="553"/>
              <w:jc w:val="both"/>
              <w:rPr>
                <w:rFonts w:cs="Sylfaen"/>
                <w:lang w:val="af-ZA"/>
              </w:rPr>
            </w:pPr>
            <w:r w:rsidRPr="0053423A">
              <w:rPr>
                <w:rFonts w:cs="GHEA Grapalat"/>
                <w:lang w:val="af-ZA"/>
              </w:rPr>
              <w:t>Առկա վիճակը պայմանավորված է նաև հասարակության բնապահպանական մշակույթի անբավարար ձևավորմամբ</w:t>
            </w:r>
            <w:r w:rsidRPr="0053423A">
              <w:rPr>
                <w:rFonts w:cs="GHEA Grapalat"/>
                <w:lang w:val="hy-AM"/>
              </w:rPr>
              <w:t xml:space="preserve"> և սույն նախաձեռնությամբ նախատեսվում է տնտեսական լծակների միջոցով փոխել սպառողի վարքագիծը, ինչը կստիպի սպառողին օգտագործել </w:t>
            </w:r>
            <w:r w:rsidRPr="0053423A">
              <w:rPr>
                <w:rFonts w:cs="Sylfaen"/>
              </w:rPr>
              <w:t>այլընտրանքային</w:t>
            </w:r>
            <w:r w:rsidRPr="0053423A">
              <w:rPr>
                <w:rFonts w:cs="Sylfaen"/>
                <w:lang w:val="hy-AM"/>
              </w:rPr>
              <w:t xml:space="preserve"> </w:t>
            </w:r>
            <w:r w:rsidRPr="0053423A">
              <w:rPr>
                <w:rFonts w:cs="Sylfaen"/>
                <w:lang w:val="af-ZA"/>
              </w:rPr>
              <w:t>(</w:t>
            </w:r>
            <w:r w:rsidRPr="0053423A">
              <w:rPr>
                <w:rFonts w:cs="Sylfaen"/>
              </w:rPr>
              <w:t>էկոլոգիական</w:t>
            </w:r>
            <w:r w:rsidRPr="0053423A">
              <w:rPr>
                <w:rFonts w:cs="Sylfaen"/>
                <w:lang w:val="af-ZA"/>
              </w:rPr>
              <w:t xml:space="preserve"> </w:t>
            </w:r>
            <w:r w:rsidRPr="0053423A">
              <w:rPr>
                <w:rFonts w:cs="Sylfaen"/>
              </w:rPr>
              <w:t>տեսանկյունից</w:t>
            </w:r>
            <w:r w:rsidRPr="0053423A">
              <w:rPr>
                <w:rFonts w:cs="Sylfaen"/>
                <w:lang w:val="af-ZA"/>
              </w:rPr>
              <w:t xml:space="preserve"> </w:t>
            </w:r>
            <w:r w:rsidRPr="0053423A">
              <w:rPr>
                <w:rFonts w:cs="Sylfaen"/>
              </w:rPr>
              <w:t>անվտանգ</w:t>
            </w:r>
            <w:r w:rsidRPr="0053423A">
              <w:rPr>
                <w:rFonts w:cs="Sylfaen"/>
                <w:lang w:val="af-ZA"/>
              </w:rPr>
              <w:t xml:space="preserve">), </w:t>
            </w:r>
            <w:r w:rsidRPr="0053423A">
              <w:rPr>
                <w:rFonts w:cs="Sylfaen"/>
              </w:rPr>
              <w:t>բազմակի</w:t>
            </w:r>
            <w:r w:rsidRPr="0053423A">
              <w:rPr>
                <w:rFonts w:cs="Sylfaen"/>
                <w:lang w:val="af-ZA"/>
              </w:rPr>
              <w:t xml:space="preserve"> </w:t>
            </w:r>
            <w:r w:rsidRPr="0053423A">
              <w:rPr>
                <w:rFonts w:cs="Sylfaen"/>
                <w:lang w:val="hy-AM"/>
              </w:rPr>
              <w:t>օգտագործման պարկեր և տոպրակներ</w:t>
            </w:r>
            <w:r w:rsidRPr="0053423A">
              <w:rPr>
                <w:rFonts w:cs="Sylfaen"/>
                <w:lang w:val="af-ZA"/>
              </w:rPr>
              <w:t>:</w:t>
            </w:r>
          </w:p>
          <w:p w:rsidR="00530B14" w:rsidRPr="0053423A" w:rsidRDefault="00530B14" w:rsidP="00A67858">
            <w:pPr>
              <w:spacing w:line="276" w:lineRule="auto"/>
              <w:ind w:firstLine="463"/>
              <w:rPr>
                <w:rFonts w:cs="Sylfaen"/>
                <w:b/>
                <w:lang w:val="af-ZA"/>
              </w:rPr>
            </w:pPr>
            <w:r w:rsidRPr="0053423A">
              <w:rPr>
                <w:rFonts w:cs="Sylfaen"/>
                <w:b/>
                <w:lang w:val="af-ZA"/>
              </w:rPr>
              <w:t xml:space="preserve">1.2 </w:t>
            </w:r>
            <w:r w:rsidRPr="0053423A">
              <w:rPr>
                <w:rFonts w:cs="Sylfaen"/>
                <w:b/>
              </w:rPr>
              <w:t>Առկա</w:t>
            </w:r>
            <w:r w:rsidRPr="0053423A">
              <w:rPr>
                <w:b/>
                <w:lang w:val="af-ZA"/>
              </w:rPr>
              <w:t xml:space="preserve"> </w:t>
            </w:r>
            <w:r w:rsidRPr="0053423A">
              <w:rPr>
                <w:rFonts w:cs="Sylfaen"/>
                <w:b/>
              </w:rPr>
              <w:t>խնդիրների</w:t>
            </w:r>
            <w:r w:rsidRPr="0053423A">
              <w:rPr>
                <w:b/>
                <w:lang w:val="af-ZA"/>
              </w:rPr>
              <w:t xml:space="preserve"> </w:t>
            </w:r>
            <w:r w:rsidRPr="0053423A">
              <w:rPr>
                <w:rFonts w:cs="Sylfaen"/>
                <w:b/>
              </w:rPr>
              <w:t>առաջարկվող</w:t>
            </w:r>
            <w:r w:rsidRPr="0053423A">
              <w:rPr>
                <w:b/>
                <w:lang w:val="af-ZA"/>
              </w:rPr>
              <w:t xml:space="preserve"> </w:t>
            </w:r>
            <w:r w:rsidRPr="0053423A">
              <w:rPr>
                <w:rFonts w:cs="Sylfaen"/>
                <w:b/>
              </w:rPr>
              <w:t>լուծումները</w:t>
            </w:r>
          </w:p>
          <w:p w:rsidR="00530B14" w:rsidRPr="0053423A" w:rsidRDefault="00530B14" w:rsidP="00A67858">
            <w:pPr>
              <w:spacing w:line="276" w:lineRule="auto"/>
              <w:ind w:left="-90" w:firstLine="450"/>
              <w:jc w:val="both"/>
              <w:rPr>
                <w:rFonts w:eastAsia="Arial Unicode MS" w:cs="Arial Unicode MS"/>
                <w:lang w:val="hy-AM"/>
              </w:rPr>
            </w:pPr>
            <w:r w:rsidRPr="0053423A">
              <w:rPr>
                <w:rFonts w:eastAsia="Arial Unicode MS" w:cs="Arial Unicode MS"/>
                <w:lang w:val="hy-AM"/>
              </w:rPr>
              <w:t xml:space="preserve"> «</w:t>
            </w:r>
            <w:r w:rsidRPr="0053423A">
              <w:rPr>
                <w:rFonts w:eastAsia="Arial Unicode MS" w:cs="Arial Unicode MS"/>
                <w:lang w:val="af-ZA"/>
              </w:rPr>
              <w:t>Առևտրի և ծառայությունների մասին» օրենք</w:t>
            </w:r>
            <w:r w:rsidRPr="0053423A">
              <w:rPr>
                <w:rFonts w:eastAsia="Arial Unicode MS" w:cs="Arial Unicode MS"/>
                <w:lang w:val="hy-AM"/>
              </w:rPr>
              <w:t xml:space="preserve">ում լրացում կատարելու միջոցով նախատեսվում է </w:t>
            </w:r>
            <w:r w:rsidRPr="0053423A">
              <w:rPr>
                <w:rFonts w:eastAsia="Arial Unicode MS" w:cs="Arial Unicode MS"/>
                <w:lang w:val="af-ZA"/>
              </w:rPr>
              <w:t xml:space="preserve">կարգելվի մինչև </w:t>
            </w:r>
            <w:r w:rsidRPr="0053423A">
              <w:rPr>
                <w:rFonts w:eastAsia="Arial Unicode MS" w:cs="Arial Unicode MS"/>
                <w:lang w:val="hy-AM"/>
              </w:rPr>
              <w:t>50</w:t>
            </w:r>
            <w:r w:rsidRPr="0053423A">
              <w:rPr>
                <w:rFonts w:eastAsia="Arial Unicode MS" w:cs="Arial Unicode MS"/>
                <w:lang w:val="af-ZA"/>
              </w:rPr>
              <w:t xml:space="preserve"> միկրոն հաստությամբ պոլիէթիլենային պարկերի և տոպրակների (բացառությամբ կշռափաթեթավորման համար օգտագործվողների և երկրորդային հումքից արտադրվածների)</w:t>
            </w:r>
            <w:r w:rsidRPr="0053423A">
              <w:rPr>
                <w:rFonts w:eastAsia="Arial Unicode MS" w:cs="Arial Unicode MS"/>
                <w:lang w:val="hy-AM"/>
              </w:rPr>
              <w:t xml:space="preserve"> </w:t>
            </w:r>
            <w:r w:rsidRPr="0053423A">
              <w:rPr>
                <w:rFonts w:eastAsia="Arial Unicode MS" w:cs="Arial Unicode MS"/>
                <w:lang w:val="af-ZA"/>
              </w:rPr>
              <w:t xml:space="preserve">օտարումը։ </w:t>
            </w:r>
          </w:p>
          <w:p w:rsidR="00530B14" w:rsidRPr="0053423A" w:rsidRDefault="00530B14" w:rsidP="00A67858">
            <w:pPr>
              <w:pStyle w:val="ListParagraph"/>
              <w:spacing w:line="276" w:lineRule="auto"/>
              <w:ind w:left="735" w:hanging="272"/>
              <w:rPr>
                <w:rFonts w:cs="Sylfaen"/>
                <w:b/>
                <w:i/>
                <w:lang w:val="af-ZA"/>
              </w:rPr>
            </w:pPr>
            <w:r w:rsidRPr="0053423A">
              <w:rPr>
                <w:rFonts w:cs="Sylfaen"/>
                <w:b/>
                <w:i/>
                <w:lang w:val="af-ZA"/>
              </w:rPr>
              <w:t>2.</w:t>
            </w:r>
            <w:r w:rsidRPr="0053423A">
              <w:rPr>
                <w:rFonts w:cs="Sylfaen"/>
                <w:b/>
                <w:i/>
                <w:lang w:val="hy-AM"/>
              </w:rPr>
              <w:t>Միջոցառման</w:t>
            </w:r>
            <w:r w:rsidRPr="0053423A">
              <w:rPr>
                <w:b/>
                <w:i/>
                <w:lang w:val="af-ZA"/>
              </w:rPr>
              <w:t xml:space="preserve"> </w:t>
            </w:r>
            <w:r w:rsidRPr="0053423A">
              <w:rPr>
                <w:rFonts w:cs="Sylfaen"/>
                <w:b/>
                <w:i/>
                <w:lang w:val="hy-AM"/>
              </w:rPr>
              <w:t>իրականացումից</w:t>
            </w:r>
            <w:r w:rsidRPr="0053423A">
              <w:rPr>
                <w:b/>
                <w:i/>
                <w:lang w:val="af-ZA"/>
              </w:rPr>
              <w:t xml:space="preserve"> </w:t>
            </w:r>
            <w:r w:rsidRPr="0053423A">
              <w:rPr>
                <w:rFonts w:cs="Sylfaen"/>
                <w:b/>
                <w:i/>
                <w:lang w:val="hy-AM"/>
              </w:rPr>
              <w:t>ակնկալվող</w:t>
            </w:r>
            <w:r w:rsidRPr="0053423A">
              <w:rPr>
                <w:b/>
                <w:i/>
                <w:lang w:val="af-ZA"/>
              </w:rPr>
              <w:t xml:space="preserve"> </w:t>
            </w:r>
            <w:r w:rsidRPr="0053423A">
              <w:rPr>
                <w:rFonts w:cs="Sylfaen"/>
                <w:b/>
                <w:i/>
                <w:lang w:val="hy-AM"/>
              </w:rPr>
              <w:t>արդյունքը</w:t>
            </w:r>
          </w:p>
          <w:p w:rsidR="00530B14" w:rsidRPr="0053423A" w:rsidRDefault="00530B14" w:rsidP="00A67858">
            <w:pPr>
              <w:spacing w:line="276" w:lineRule="auto"/>
              <w:ind w:firstLine="463"/>
              <w:jc w:val="both"/>
              <w:rPr>
                <w:rFonts w:eastAsia="Arial Unicode MS" w:cs="Arial Unicode MS"/>
                <w:color w:val="000000"/>
                <w:lang w:val="hy-AM"/>
              </w:rPr>
            </w:pPr>
            <w:r w:rsidRPr="0053423A">
              <w:rPr>
                <w:rFonts w:eastAsia="Arial Unicode MS" w:cs="Arial Unicode MS"/>
                <w:color w:val="000000"/>
                <w:lang w:val="hy-AM"/>
              </w:rPr>
              <w:t xml:space="preserve">Ներկայացված միջոցառման արդյունքում նպաստավոր պայմաններ կստեղծվեն երկրում </w:t>
            </w:r>
            <w:r w:rsidRPr="0053423A">
              <w:rPr>
                <w:rFonts w:cs="Sylfaen"/>
                <w:lang w:val="hy-AM"/>
              </w:rPr>
              <w:t>պլաստիկ</w:t>
            </w:r>
            <w:r w:rsidRPr="0053423A">
              <w:rPr>
                <w:lang w:val="hy-AM"/>
              </w:rPr>
              <w:t xml:space="preserve"> </w:t>
            </w:r>
            <w:r w:rsidRPr="0053423A">
              <w:rPr>
                <w:rFonts w:cs="Sylfaen"/>
                <w:lang w:val="hy-AM"/>
              </w:rPr>
              <w:t xml:space="preserve">թափոնների ծավալների կրճատման համար, մասնավորապես, ակնկալվում է </w:t>
            </w:r>
            <w:r w:rsidRPr="0053423A">
              <w:rPr>
                <w:bCs/>
                <w:lang w:val="hy-AM"/>
              </w:rPr>
              <w:t xml:space="preserve">պոլիէթիլենային տոպրակների օգտագործման ծավալների կտրուկ կրճատում, ինչը կհանգեցնի </w:t>
            </w:r>
            <w:r w:rsidRPr="0053423A">
              <w:rPr>
                <w:rFonts w:cs="Sylfaen"/>
                <w:lang w:val="hy-AM"/>
              </w:rPr>
              <w:t xml:space="preserve">շրջակա միջավայրի և դրա բաղադրիչների աղտոտման նվազեցմանը, հանրապետության էկոլոգիական վիճակի բարելավմանը։ </w:t>
            </w:r>
          </w:p>
          <w:p w:rsidR="00530B14" w:rsidRPr="0053423A" w:rsidRDefault="00530B14" w:rsidP="00A67858">
            <w:pPr>
              <w:spacing w:line="276" w:lineRule="auto"/>
              <w:jc w:val="center"/>
              <w:rPr>
                <w:b/>
                <w:bCs/>
                <w:u w:val="single"/>
                <w:lang w:val="hy-AM"/>
              </w:rPr>
            </w:pPr>
          </w:p>
        </w:tc>
      </w:tr>
      <w:tr w:rsidR="00530B14" w:rsidRPr="00DE2EFA" w:rsidTr="004440EB">
        <w:tc>
          <w:tcPr>
            <w:tcW w:w="480" w:type="dxa"/>
          </w:tcPr>
          <w:p w:rsidR="00530B14" w:rsidRPr="0053423A" w:rsidRDefault="00530B14" w:rsidP="00A67858">
            <w:pPr>
              <w:spacing w:line="276" w:lineRule="auto"/>
              <w:jc w:val="center"/>
              <w:rPr>
                <w:b/>
                <w:bCs/>
                <w:lang w:val="hy-AM"/>
              </w:rPr>
            </w:pPr>
            <w:r w:rsidRPr="0053423A">
              <w:rPr>
                <w:b/>
                <w:bCs/>
                <w:lang w:val="hy-AM"/>
              </w:rPr>
              <w:t xml:space="preserve">14 </w:t>
            </w:r>
          </w:p>
        </w:tc>
        <w:tc>
          <w:tcPr>
            <w:tcW w:w="10879" w:type="dxa"/>
          </w:tcPr>
          <w:p w:rsidR="00530B14" w:rsidRPr="0053423A" w:rsidRDefault="00530B14" w:rsidP="00A67858">
            <w:pPr>
              <w:tabs>
                <w:tab w:val="left" w:pos="1080"/>
              </w:tabs>
              <w:suppressAutoHyphens/>
              <w:spacing w:line="276" w:lineRule="auto"/>
              <w:ind w:left="29"/>
              <w:jc w:val="center"/>
              <w:rPr>
                <w:rFonts w:eastAsia="Calibri"/>
                <w:b/>
                <w:lang w:val="hy-AM"/>
              </w:rPr>
            </w:pPr>
            <w:r w:rsidRPr="0053423A">
              <w:rPr>
                <w:b/>
                <w:lang w:val="hy-AM"/>
              </w:rPr>
              <w:t>Շրջակա</w:t>
            </w:r>
            <w:r w:rsidRPr="0053423A">
              <w:rPr>
                <w:rFonts w:eastAsia="Calibri"/>
                <w:b/>
                <w:lang w:val="hy-AM"/>
              </w:rPr>
              <w:t xml:space="preserve"> </w:t>
            </w:r>
            <w:r w:rsidRPr="0053423A">
              <w:rPr>
                <w:b/>
                <w:lang w:val="hy-AM"/>
              </w:rPr>
              <w:t>միջավայրի</w:t>
            </w:r>
            <w:r w:rsidRPr="0053423A">
              <w:rPr>
                <w:rFonts w:eastAsia="Calibri"/>
                <w:b/>
                <w:lang w:val="hy-AM"/>
              </w:rPr>
              <w:t xml:space="preserve"> </w:t>
            </w:r>
            <w:r w:rsidRPr="0053423A">
              <w:rPr>
                <w:b/>
                <w:lang w:val="hy-AM"/>
              </w:rPr>
              <w:t>կառավարման</w:t>
            </w:r>
            <w:r w:rsidRPr="0053423A">
              <w:rPr>
                <w:rFonts w:eastAsia="Calibri"/>
                <w:b/>
                <w:lang w:val="hy-AM"/>
              </w:rPr>
              <w:t xml:space="preserve"> </w:t>
            </w:r>
            <w:r w:rsidRPr="0053423A">
              <w:rPr>
                <w:b/>
                <w:lang w:val="hy-AM"/>
              </w:rPr>
              <w:t>տնտեսական</w:t>
            </w:r>
            <w:r w:rsidRPr="0053423A">
              <w:rPr>
                <w:rFonts w:eastAsia="Calibri"/>
                <w:b/>
                <w:lang w:val="hy-AM"/>
              </w:rPr>
              <w:t xml:space="preserve"> </w:t>
            </w:r>
            <w:r w:rsidRPr="0053423A">
              <w:rPr>
                <w:b/>
                <w:lang w:val="hy-AM"/>
              </w:rPr>
              <w:t>մեխանիզմների</w:t>
            </w:r>
            <w:r w:rsidRPr="0053423A">
              <w:rPr>
                <w:rFonts w:eastAsia="Calibri"/>
                <w:b/>
                <w:lang w:val="hy-AM"/>
              </w:rPr>
              <w:t xml:space="preserve"> </w:t>
            </w:r>
            <w:r w:rsidRPr="0053423A">
              <w:rPr>
                <w:b/>
                <w:lang w:val="hy-AM"/>
              </w:rPr>
              <w:t>և</w:t>
            </w:r>
            <w:r w:rsidRPr="0053423A">
              <w:rPr>
                <w:rFonts w:eastAsia="Calibri"/>
                <w:b/>
                <w:lang w:val="hy-AM"/>
              </w:rPr>
              <w:t xml:space="preserve"> </w:t>
            </w:r>
            <w:r w:rsidRPr="0053423A">
              <w:rPr>
                <w:b/>
                <w:lang w:val="hy-AM"/>
              </w:rPr>
              <w:t>լծակների</w:t>
            </w:r>
            <w:r w:rsidRPr="0053423A">
              <w:rPr>
                <w:rFonts w:eastAsia="Calibri"/>
                <w:b/>
                <w:lang w:val="hy-AM"/>
              </w:rPr>
              <w:t xml:space="preserve"> </w:t>
            </w:r>
            <w:r w:rsidRPr="0053423A">
              <w:rPr>
                <w:b/>
                <w:lang w:val="hy-AM"/>
              </w:rPr>
              <w:t>ճկուն</w:t>
            </w:r>
            <w:r w:rsidRPr="0053423A">
              <w:rPr>
                <w:rFonts w:eastAsia="Calibri"/>
                <w:b/>
                <w:lang w:val="hy-AM"/>
              </w:rPr>
              <w:t xml:space="preserve"> </w:t>
            </w:r>
            <w:r w:rsidRPr="0053423A">
              <w:rPr>
                <w:b/>
                <w:lang w:val="hy-AM"/>
              </w:rPr>
              <w:t>համակարգի</w:t>
            </w:r>
            <w:r w:rsidRPr="0053423A">
              <w:rPr>
                <w:rFonts w:eastAsia="Calibri"/>
                <w:b/>
                <w:lang w:val="hy-AM"/>
              </w:rPr>
              <w:t xml:space="preserve"> </w:t>
            </w:r>
            <w:r w:rsidRPr="0053423A">
              <w:rPr>
                <w:b/>
                <w:lang w:val="hy-AM"/>
              </w:rPr>
              <w:t>ներդրում,</w:t>
            </w:r>
            <w:r w:rsidRPr="0053423A">
              <w:rPr>
                <w:rFonts w:eastAsia="Calibri"/>
                <w:b/>
                <w:lang w:val="hy-AM"/>
              </w:rPr>
              <w:t xml:space="preserve"> </w:t>
            </w:r>
            <w:r w:rsidRPr="0053423A">
              <w:rPr>
                <w:b/>
                <w:lang w:val="hy-AM"/>
              </w:rPr>
              <w:t>միջազգային</w:t>
            </w:r>
            <w:r w:rsidRPr="0053423A">
              <w:rPr>
                <w:rFonts w:eastAsia="Calibri"/>
                <w:b/>
                <w:lang w:val="hy-AM"/>
              </w:rPr>
              <w:t xml:space="preserve"> </w:t>
            </w:r>
            <w:r w:rsidRPr="0053423A">
              <w:rPr>
                <w:b/>
                <w:lang w:val="hy-AM"/>
              </w:rPr>
              <w:t>կառույցների</w:t>
            </w:r>
            <w:r w:rsidRPr="0053423A">
              <w:rPr>
                <w:rFonts w:eastAsia="Calibri"/>
                <w:b/>
                <w:lang w:val="hy-AM"/>
              </w:rPr>
              <w:t xml:space="preserve"> </w:t>
            </w:r>
            <w:r w:rsidRPr="0053423A">
              <w:rPr>
                <w:b/>
                <w:lang w:val="hy-AM"/>
              </w:rPr>
              <w:t>հետ</w:t>
            </w:r>
            <w:r w:rsidRPr="0053423A">
              <w:rPr>
                <w:rFonts w:eastAsia="Calibri"/>
                <w:b/>
                <w:lang w:val="hy-AM"/>
              </w:rPr>
              <w:t xml:space="preserve"> </w:t>
            </w:r>
            <w:r w:rsidRPr="0053423A">
              <w:rPr>
                <w:b/>
                <w:lang w:val="hy-AM"/>
              </w:rPr>
              <w:t>համատեղ</w:t>
            </w:r>
            <w:r w:rsidRPr="0053423A">
              <w:rPr>
                <w:rFonts w:eastAsia="Calibri"/>
                <w:b/>
                <w:lang w:val="hy-AM"/>
              </w:rPr>
              <w:t xml:space="preserve"> </w:t>
            </w:r>
            <w:r w:rsidRPr="0053423A">
              <w:rPr>
                <w:b/>
                <w:lang w:val="hy-AM"/>
              </w:rPr>
              <w:t>ֆինանսա</w:t>
            </w:r>
            <w:r w:rsidRPr="0053423A">
              <w:rPr>
                <w:b/>
                <w:lang w:val="hy-AM"/>
              </w:rPr>
              <w:softHyphen/>
              <w:t>վորման</w:t>
            </w:r>
            <w:r w:rsidRPr="0053423A">
              <w:rPr>
                <w:rFonts w:eastAsia="Calibri"/>
                <w:b/>
                <w:lang w:val="hy-AM"/>
              </w:rPr>
              <w:t xml:space="preserve"> </w:t>
            </w:r>
            <w:r w:rsidRPr="0053423A">
              <w:rPr>
                <w:b/>
                <w:lang w:val="hy-AM"/>
              </w:rPr>
              <w:t>նորարարական մեխանիզմների</w:t>
            </w:r>
            <w:r w:rsidRPr="0053423A">
              <w:rPr>
                <w:rFonts w:eastAsia="Calibri"/>
                <w:b/>
                <w:lang w:val="hy-AM"/>
              </w:rPr>
              <w:t xml:space="preserve"> </w:t>
            </w:r>
            <w:r w:rsidRPr="0053423A">
              <w:rPr>
                <w:b/>
                <w:lang w:val="hy-AM"/>
              </w:rPr>
              <w:t>ներառյալ</w:t>
            </w:r>
            <w:r w:rsidRPr="0053423A">
              <w:rPr>
                <w:rFonts w:eastAsia="Calibri"/>
                <w:b/>
                <w:lang w:val="hy-AM"/>
              </w:rPr>
              <w:t xml:space="preserve"> </w:t>
            </w:r>
            <w:r w:rsidRPr="0053423A">
              <w:rPr>
                <w:b/>
                <w:lang w:val="hy-AM"/>
              </w:rPr>
              <w:t>բնապահպանական</w:t>
            </w:r>
            <w:r w:rsidRPr="0053423A">
              <w:rPr>
                <w:rFonts w:eastAsia="Calibri"/>
                <w:b/>
                <w:lang w:val="hy-AM"/>
              </w:rPr>
              <w:t xml:space="preserve"> </w:t>
            </w:r>
            <w:r w:rsidRPr="0053423A">
              <w:rPr>
                <w:b/>
                <w:lang w:val="hy-AM"/>
              </w:rPr>
              <w:t>ծրագրերով պարտավորությունների</w:t>
            </w:r>
            <w:r w:rsidRPr="0053423A">
              <w:rPr>
                <w:rFonts w:eastAsia="Calibri"/>
                <w:b/>
                <w:lang w:val="hy-AM"/>
              </w:rPr>
              <w:t xml:space="preserve"> </w:t>
            </w:r>
            <w:r w:rsidRPr="0053423A">
              <w:rPr>
                <w:b/>
                <w:lang w:val="hy-AM"/>
              </w:rPr>
              <w:t>հաշվանցման</w:t>
            </w:r>
          </w:p>
          <w:p w:rsidR="00530B14" w:rsidRPr="0053423A" w:rsidRDefault="00530B14" w:rsidP="00A67858">
            <w:pPr>
              <w:tabs>
                <w:tab w:val="left" w:pos="1080"/>
              </w:tabs>
              <w:suppressAutoHyphens/>
              <w:spacing w:line="276" w:lineRule="auto"/>
              <w:jc w:val="center"/>
              <w:rPr>
                <w:b/>
                <w:lang w:val="hy-AM"/>
              </w:rPr>
            </w:pPr>
            <w:r w:rsidRPr="0053423A">
              <w:rPr>
                <w:b/>
                <w:lang w:val="hy-AM"/>
              </w:rPr>
              <w:t>մեխանիզմի</w:t>
            </w:r>
            <w:r w:rsidRPr="0053423A">
              <w:rPr>
                <w:rFonts w:eastAsia="Calibri"/>
                <w:b/>
                <w:lang w:val="hy-AM"/>
              </w:rPr>
              <w:t xml:space="preserve"> </w:t>
            </w:r>
            <w:r w:rsidRPr="0053423A">
              <w:rPr>
                <w:b/>
                <w:lang w:val="hy-AM"/>
              </w:rPr>
              <w:t>մշակում</w:t>
            </w:r>
            <w:r w:rsidRPr="0053423A">
              <w:rPr>
                <w:rFonts w:eastAsia="Calibri"/>
                <w:b/>
                <w:lang w:val="hy-AM"/>
              </w:rPr>
              <w:t xml:space="preserve"> </w:t>
            </w:r>
            <w:r w:rsidRPr="0053423A">
              <w:rPr>
                <w:b/>
                <w:lang w:val="hy-AM"/>
              </w:rPr>
              <w:t>և</w:t>
            </w:r>
            <w:r w:rsidRPr="0053423A">
              <w:rPr>
                <w:rFonts w:eastAsia="Calibri"/>
                <w:b/>
                <w:lang w:val="hy-AM"/>
              </w:rPr>
              <w:t xml:space="preserve"> </w:t>
            </w:r>
            <w:r w:rsidRPr="0053423A">
              <w:rPr>
                <w:b/>
                <w:lang w:val="hy-AM"/>
              </w:rPr>
              <w:t>ներդրում</w:t>
            </w:r>
          </w:p>
          <w:p w:rsidR="00530B14" w:rsidRPr="0053423A" w:rsidRDefault="00530B14" w:rsidP="00A67858">
            <w:pPr>
              <w:tabs>
                <w:tab w:val="left" w:pos="1080"/>
              </w:tabs>
              <w:suppressAutoHyphens/>
              <w:spacing w:line="276" w:lineRule="auto"/>
              <w:jc w:val="center"/>
              <w:rPr>
                <w:b/>
                <w:lang w:val="hy-AM"/>
              </w:rPr>
            </w:pPr>
          </w:p>
          <w:p w:rsidR="00530B14" w:rsidRPr="0053423A" w:rsidRDefault="00530B14" w:rsidP="00A67858">
            <w:pPr>
              <w:tabs>
                <w:tab w:val="left" w:pos="1080"/>
              </w:tabs>
              <w:suppressAutoHyphens/>
              <w:spacing w:line="276" w:lineRule="auto"/>
              <w:jc w:val="center"/>
              <w:rPr>
                <w:b/>
                <w:u w:val="single"/>
                <w:lang w:val="af-ZA"/>
              </w:rPr>
            </w:pPr>
            <w:r w:rsidRPr="0053423A">
              <w:rPr>
                <w:b/>
                <w:u w:val="single"/>
                <w:lang w:val="hy-AM"/>
              </w:rPr>
              <w:t>14.1 «ՀՀ հարկային օրենսգրքում փոփոխություններ և լրացումներ կատարելու» մասին» ՀՀ օրենքի</w:t>
            </w:r>
            <w:r w:rsidRPr="0053423A">
              <w:rPr>
                <w:b/>
                <w:u w:val="single"/>
                <w:lang w:val="af-ZA"/>
              </w:rPr>
              <w:t xml:space="preserve"> </w:t>
            </w:r>
            <w:r w:rsidRPr="0053423A">
              <w:rPr>
                <w:rFonts w:cs="Arial"/>
                <w:b/>
                <w:u w:val="single"/>
                <w:lang w:val="hy-AM"/>
              </w:rPr>
              <w:t>նախագիծը վարչապետի աշխատակազմ ներկայացնելը</w:t>
            </w:r>
            <w:r w:rsidRPr="0053423A">
              <w:rPr>
                <w:b/>
                <w:u w:val="single"/>
                <w:lang w:val="hy-AM"/>
              </w:rPr>
              <w:t xml:space="preserve">» </w:t>
            </w:r>
            <w:r w:rsidRPr="0053423A">
              <w:rPr>
                <w:b/>
                <w:u w:val="single"/>
                <w:lang w:val="af-ZA"/>
              </w:rPr>
              <w:t xml:space="preserve"> </w:t>
            </w:r>
          </w:p>
          <w:p w:rsidR="00530B14" w:rsidRPr="0053423A" w:rsidRDefault="00530B14" w:rsidP="00A67858">
            <w:pPr>
              <w:tabs>
                <w:tab w:val="left" w:pos="1080"/>
              </w:tabs>
              <w:suppressAutoHyphens/>
              <w:spacing w:line="276" w:lineRule="auto"/>
              <w:jc w:val="center"/>
              <w:rPr>
                <w:b/>
                <w:u w:val="single"/>
                <w:lang w:val="af-ZA"/>
              </w:rPr>
            </w:pPr>
          </w:p>
          <w:p w:rsidR="00530B14" w:rsidRPr="0053423A" w:rsidRDefault="00530B14" w:rsidP="001F6D5D">
            <w:pPr>
              <w:pStyle w:val="ListParagraph"/>
              <w:numPr>
                <w:ilvl w:val="0"/>
                <w:numId w:val="301"/>
              </w:numPr>
              <w:spacing w:line="276" w:lineRule="auto"/>
              <w:rPr>
                <w:rFonts w:cs="Sylfaen"/>
                <w:b/>
                <w:i/>
                <w:lang w:val="af-ZA"/>
              </w:rPr>
            </w:pPr>
            <w:r w:rsidRPr="0053423A">
              <w:rPr>
                <w:rFonts w:cs="Sylfaen"/>
                <w:b/>
                <w:i/>
              </w:rPr>
              <w:t>Միջոցառման</w:t>
            </w:r>
            <w:r w:rsidRPr="0053423A">
              <w:rPr>
                <w:b/>
                <w:i/>
                <w:lang w:val="af-ZA"/>
              </w:rPr>
              <w:t xml:space="preserve"> </w:t>
            </w:r>
            <w:r w:rsidRPr="0053423A">
              <w:rPr>
                <w:rFonts w:cs="Sylfaen"/>
                <w:b/>
                <w:i/>
              </w:rPr>
              <w:t>իրականացման</w:t>
            </w:r>
            <w:r w:rsidRPr="0053423A">
              <w:rPr>
                <w:b/>
                <w:i/>
                <w:lang w:val="af-ZA"/>
              </w:rPr>
              <w:t xml:space="preserve"> </w:t>
            </w:r>
            <w:r w:rsidRPr="0053423A">
              <w:rPr>
                <w:rFonts w:cs="Sylfaen"/>
                <w:b/>
                <w:i/>
              </w:rPr>
              <w:t>անհրաժեշտությունը</w:t>
            </w:r>
            <w:r w:rsidRPr="0053423A">
              <w:rPr>
                <w:b/>
                <w:i/>
                <w:lang w:val="af-ZA"/>
              </w:rPr>
              <w:t xml:space="preserve"> </w:t>
            </w:r>
            <w:r w:rsidRPr="0053423A">
              <w:rPr>
                <w:rFonts w:cs="Sylfaen"/>
                <w:b/>
                <w:i/>
              </w:rPr>
              <w:t>և</w:t>
            </w:r>
            <w:r w:rsidRPr="0053423A">
              <w:rPr>
                <w:b/>
                <w:i/>
                <w:lang w:val="af-ZA"/>
              </w:rPr>
              <w:t xml:space="preserve"> </w:t>
            </w:r>
            <w:r w:rsidRPr="0053423A">
              <w:rPr>
                <w:rFonts w:cs="Sylfaen"/>
                <w:b/>
                <w:i/>
              </w:rPr>
              <w:t>նպատակը</w:t>
            </w:r>
          </w:p>
          <w:p w:rsidR="00530B14" w:rsidRPr="0053423A" w:rsidRDefault="00232EB0" w:rsidP="00A67858">
            <w:pPr>
              <w:tabs>
                <w:tab w:val="left" w:pos="1080"/>
              </w:tabs>
              <w:suppressAutoHyphens/>
              <w:spacing w:line="276" w:lineRule="auto"/>
              <w:ind w:left="29" w:firstLine="344"/>
              <w:jc w:val="both"/>
              <w:rPr>
                <w:lang w:val="af-ZA"/>
              </w:rPr>
            </w:pPr>
            <w:r w:rsidRPr="0053423A">
              <w:rPr>
                <w:lang w:val="af-ZA"/>
              </w:rPr>
              <w:t>Միջո</w:t>
            </w:r>
            <w:r w:rsidR="00530B14" w:rsidRPr="0053423A">
              <w:rPr>
                <w:lang w:val="af-ZA"/>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Շրջակա միջավայրի կառավարման տնտեսական մեխանիզմների և լծակների ճկուն համակարգի ներդրում, միջազգային կառույցների հետ համատեղ ֆինանսավորման նորարարական մեխանիզմների ներառյալ բնապահպանական ծրագրերով պարտավորությունների հաշվանցման մեխանիզմի մշակում և ներդրում  ուղղությունը:</w:t>
            </w:r>
          </w:p>
          <w:p w:rsidR="00530B14" w:rsidRPr="0053423A" w:rsidRDefault="00530B14" w:rsidP="00A67858">
            <w:pPr>
              <w:tabs>
                <w:tab w:val="left" w:pos="1080"/>
              </w:tabs>
              <w:suppressAutoHyphens/>
              <w:spacing w:line="276" w:lineRule="auto"/>
              <w:ind w:left="29"/>
              <w:jc w:val="both"/>
              <w:rPr>
                <w:lang w:val="af-ZA"/>
              </w:rPr>
            </w:pPr>
            <w:r w:rsidRPr="0053423A">
              <w:rPr>
                <w:lang w:val="af-ZA"/>
              </w:rPr>
              <w:tab/>
              <w:t>«</w:t>
            </w:r>
            <w:r w:rsidRPr="0053423A">
              <w:rPr>
                <w:lang w:val="hy-AM"/>
              </w:rPr>
              <w:t xml:space="preserve">ՀՀ հարկային օրենսգրքում փոփոխություններ և լրացումներ կատարելու» մասին» ՀՀ օրենքի </w:t>
            </w:r>
            <w:r w:rsidRPr="0053423A">
              <w:t>նախագծի</w:t>
            </w:r>
            <w:r w:rsidRPr="0053423A">
              <w:rPr>
                <w:lang w:val="af-ZA"/>
              </w:rPr>
              <w:t xml:space="preserve"> </w:t>
            </w:r>
            <w:r w:rsidRPr="0053423A">
              <w:t>մշակման</w:t>
            </w:r>
            <w:r w:rsidRPr="0053423A">
              <w:rPr>
                <w:lang w:val="af-ZA"/>
              </w:rPr>
              <w:t xml:space="preserve"> </w:t>
            </w:r>
            <w:r w:rsidRPr="0053423A">
              <w:t>հիմնական</w:t>
            </w:r>
            <w:r w:rsidRPr="0053423A">
              <w:rPr>
                <w:lang w:val="af-ZA"/>
              </w:rPr>
              <w:t xml:space="preserve"> </w:t>
            </w:r>
            <w:r w:rsidRPr="0053423A">
              <w:t>նպատակն</w:t>
            </w:r>
            <w:r w:rsidRPr="0053423A">
              <w:rPr>
                <w:lang w:val="af-ZA"/>
              </w:rPr>
              <w:t xml:space="preserve"> </w:t>
            </w:r>
            <w:r w:rsidRPr="0053423A">
              <w:t>է</w:t>
            </w:r>
            <w:r w:rsidRPr="0053423A">
              <w:rPr>
                <w:lang w:val="af-ZA"/>
              </w:rPr>
              <w:t xml:space="preserve"> </w:t>
            </w:r>
            <w:r w:rsidRPr="0053423A">
              <w:rPr>
                <w:lang w:val="hy-AM"/>
              </w:rPr>
              <w:t>շրջակա միջավայրի կառավարման տնտեսական մեխանիզմների և լծակների ճկուն համակարգի ներդրումը</w:t>
            </w:r>
            <w:r w:rsidRPr="0053423A">
              <w:t>՝</w:t>
            </w:r>
            <w:r w:rsidRPr="0053423A">
              <w:rPr>
                <w:lang w:val="af-ZA"/>
              </w:rPr>
              <w:t xml:space="preserve"> </w:t>
            </w:r>
            <w:r w:rsidRPr="0053423A">
              <w:t>բնապահպանական</w:t>
            </w:r>
            <w:r w:rsidRPr="0053423A">
              <w:rPr>
                <w:lang w:val="af-ZA"/>
              </w:rPr>
              <w:t xml:space="preserve"> </w:t>
            </w:r>
            <w:r w:rsidRPr="0053423A">
              <w:t>հարկարկավորման</w:t>
            </w:r>
            <w:r w:rsidRPr="0053423A">
              <w:rPr>
                <w:lang w:val="af-ZA"/>
              </w:rPr>
              <w:t xml:space="preserve"> </w:t>
            </w:r>
            <w:r w:rsidRPr="0053423A">
              <w:t>գործող</w:t>
            </w:r>
            <w:r w:rsidRPr="0053423A">
              <w:rPr>
                <w:lang w:val="af-ZA"/>
              </w:rPr>
              <w:t xml:space="preserve"> </w:t>
            </w:r>
            <w:r w:rsidRPr="0053423A">
              <w:t>համակարգի</w:t>
            </w:r>
            <w:r w:rsidRPr="0053423A">
              <w:rPr>
                <w:lang w:val="af-ZA"/>
              </w:rPr>
              <w:t xml:space="preserve"> </w:t>
            </w:r>
            <w:r w:rsidRPr="0053423A">
              <w:t>վերանայման</w:t>
            </w:r>
            <w:r w:rsidRPr="0053423A">
              <w:rPr>
                <w:lang w:val="af-ZA"/>
              </w:rPr>
              <w:t xml:space="preserve"> </w:t>
            </w:r>
            <w:r w:rsidRPr="0053423A">
              <w:t>և</w:t>
            </w:r>
            <w:r w:rsidRPr="0053423A">
              <w:rPr>
                <w:lang w:val="af-ZA"/>
              </w:rPr>
              <w:t xml:space="preserve"> </w:t>
            </w:r>
            <w:r w:rsidRPr="0053423A">
              <w:t>առաջավոր</w:t>
            </w:r>
            <w:r w:rsidRPr="0053423A">
              <w:rPr>
                <w:lang w:val="af-ZA"/>
              </w:rPr>
              <w:t xml:space="preserve"> </w:t>
            </w:r>
            <w:r w:rsidRPr="0053423A">
              <w:t>միջազգային</w:t>
            </w:r>
            <w:r w:rsidRPr="0053423A">
              <w:rPr>
                <w:lang w:val="af-ZA"/>
              </w:rPr>
              <w:t xml:space="preserve"> </w:t>
            </w:r>
            <w:r w:rsidRPr="0053423A">
              <w:t>փորձի</w:t>
            </w:r>
            <w:r w:rsidRPr="0053423A">
              <w:rPr>
                <w:lang w:val="af-ZA"/>
              </w:rPr>
              <w:t xml:space="preserve"> </w:t>
            </w:r>
            <w:r w:rsidRPr="0053423A">
              <w:t>վերլուծությամբ</w:t>
            </w:r>
            <w:r w:rsidRPr="0053423A">
              <w:rPr>
                <w:lang w:val="af-ZA"/>
              </w:rPr>
              <w:t xml:space="preserve">:  </w:t>
            </w:r>
          </w:p>
          <w:p w:rsidR="00530B14" w:rsidRPr="0053423A" w:rsidRDefault="00530B14" w:rsidP="00A67858">
            <w:pPr>
              <w:spacing w:line="276" w:lineRule="auto"/>
              <w:ind w:firstLine="463"/>
              <w:rPr>
                <w:rFonts w:cs="Sylfaen"/>
                <w:b/>
                <w:lang w:val="af-ZA"/>
              </w:rPr>
            </w:pPr>
            <w:r w:rsidRPr="0053423A">
              <w:rPr>
                <w:b/>
                <w:lang w:val="af-ZA"/>
              </w:rPr>
              <w:t xml:space="preserve"> 1.1 </w:t>
            </w:r>
            <w:r w:rsidRPr="0053423A">
              <w:rPr>
                <w:rFonts w:cs="Sylfaen"/>
                <w:b/>
              </w:rPr>
              <w:t>Կարգավորման</w:t>
            </w:r>
            <w:r w:rsidRPr="0053423A">
              <w:rPr>
                <w:b/>
                <w:lang w:val="af-ZA"/>
              </w:rPr>
              <w:t xml:space="preserve"> </w:t>
            </w:r>
            <w:r w:rsidRPr="0053423A">
              <w:rPr>
                <w:rFonts w:cs="Sylfaen"/>
                <w:b/>
              </w:rPr>
              <w:t>հարաբերությունների</w:t>
            </w:r>
            <w:r w:rsidRPr="0053423A">
              <w:rPr>
                <w:b/>
                <w:lang w:val="af-ZA"/>
              </w:rPr>
              <w:t xml:space="preserve"> </w:t>
            </w:r>
            <w:r w:rsidRPr="0053423A">
              <w:rPr>
                <w:rFonts w:cs="Sylfaen"/>
                <w:b/>
              </w:rPr>
              <w:t>ներկա</w:t>
            </w:r>
            <w:r w:rsidRPr="0053423A">
              <w:rPr>
                <w:b/>
                <w:lang w:val="af-ZA"/>
              </w:rPr>
              <w:t xml:space="preserve"> </w:t>
            </w:r>
            <w:r w:rsidRPr="0053423A">
              <w:rPr>
                <w:rFonts w:cs="Sylfaen"/>
                <w:b/>
              </w:rPr>
              <w:t>վիճակը</w:t>
            </w:r>
            <w:r w:rsidRPr="0053423A">
              <w:rPr>
                <w:b/>
                <w:lang w:val="af-ZA"/>
              </w:rPr>
              <w:t xml:space="preserve"> </w:t>
            </w:r>
            <w:r w:rsidRPr="0053423A">
              <w:rPr>
                <w:rFonts w:cs="Sylfaen"/>
                <w:b/>
              </w:rPr>
              <w:t>և</w:t>
            </w:r>
            <w:r w:rsidRPr="0053423A">
              <w:rPr>
                <w:b/>
                <w:lang w:val="af-ZA"/>
              </w:rPr>
              <w:t xml:space="preserve"> </w:t>
            </w:r>
            <w:r w:rsidRPr="0053423A">
              <w:rPr>
                <w:rFonts w:cs="Sylfaen"/>
                <w:b/>
              </w:rPr>
              <w:t>առկա</w:t>
            </w:r>
            <w:r w:rsidRPr="0053423A">
              <w:rPr>
                <w:b/>
                <w:lang w:val="af-ZA"/>
              </w:rPr>
              <w:t xml:space="preserve"> </w:t>
            </w:r>
            <w:r w:rsidRPr="0053423A">
              <w:rPr>
                <w:rFonts w:cs="Sylfaen"/>
                <w:b/>
              </w:rPr>
              <w:t>խնդիրները</w:t>
            </w:r>
          </w:p>
          <w:p w:rsidR="00530B14" w:rsidRPr="0053423A" w:rsidRDefault="00530B14" w:rsidP="00A67858">
            <w:pPr>
              <w:spacing w:line="276" w:lineRule="auto"/>
              <w:jc w:val="both"/>
              <w:rPr>
                <w:rFonts w:cs="Sylfaen"/>
                <w:b/>
                <w:lang w:val="af-ZA"/>
              </w:rPr>
            </w:pPr>
            <w:r w:rsidRPr="0053423A">
              <w:t>Ներկայումս</w:t>
            </w:r>
            <w:r w:rsidRPr="0053423A">
              <w:rPr>
                <w:lang w:val="af-ZA"/>
              </w:rPr>
              <w:t xml:space="preserve"> </w:t>
            </w:r>
            <w:r w:rsidRPr="0053423A">
              <w:t>գործող</w:t>
            </w:r>
            <w:r w:rsidRPr="0053423A">
              <w:rPr>
                <w:lang w:val="af-ZA"/>
              </w:rPr>
              <w:t xml:space="preserve"> </w:t>
            </w:r>
            <w:r w:rsidRPr="0053423A">
              <w:t>բնապահպանական</w:t>
            </w:r>
            <w:r w:rsidRPr="0053423A">
              <w:rPr>
                <w:lang w:val="af-ZA"/>
              </w:rPr>
              <w:t xml:space="preserve"> </w:t>
            </w:r>
            <w:r w:rsidRPr="0053423A">
              <w:t>հարկավորման</w:t>
            </w:r>
            <w:r w:rsidRPr="0053423A">
              <w:rPr>
                <w:lang w:val="af-ZA"/>
              </w:rPr>
              <w:t xml:space="preserve"> </w:t>
            </w:r>
            <w:r w:rsidRPr="0053423A">
              <w:t>համակարգը</w:t>
            </w:r>
            <w:r w:rsidRPr="0053423A">
              <w:rPr>
                <w:lang w:val="af-ZA"/>
              </w:rPr>
              <w:t xml:space="preserve"> </w:t>
            </w:r>
            <w:r w:rsidRPr="0053423A">
              <w:t>չի</w:t>
            </w:r>
            <w:r w:rsidRPr="0053423A">
              <w:rPr>
                <w:lang w:val="af-ZA"/>
              </w:rPr>
              <w:t xml:space="preserve"> </w:t>
            </w:r>
            <w:r w:rsidRPr="0053423A">
              <w:t>համապատասխանում</w:t>
            </w:r>
            <w:r w:rsidRPr="0053423A">
              <w:rPr>
                <w:lang w:val="af-ZA"/>
              </w:rPr>
              <w:t xml:space="preserve"> </w:t>
            </w:r>
            <w:r w:rsidRPr="0053423A">
              <w:t>ռե</w:t>
            </w:r>
            <w:r w:rsidRPr="0053423A">
              <w:rPr>
                <w:lang w:val="af-ZA"/>
              </w:rPr>
              <w:t>u</w:t>
            </w:r>
            <w:r w:rsidRPr="0053423A">
              <w:t>ուր</w:t>
            </w:r>
            <w:r w:rsidRPr="0053423A">
              <w:rPr>
                <w:lang w:val="af-ZA"/>
              </w:rPr>
              <w:t>u</w:t>
            </w:r>
            <w:r w:rsidRPr="0053423A">
              <w:t>ի</w:t>
            </w:r>
            <w:r w:rsidRPr="0053423A">
              <w:rPr>
                <w:lang w:val="af-ZA"/>
              </w:rPr>
              <w:t>/</w:t>
            </w:r>
            <w:r w:rsidRPr="0053423A">
              <w:t>վնա</w:t>
            </w:r>
            <w:r w:rsidRPr="0053423A">
              <w:rPr>
                <w:lang w:val="af-ZA"/>
              </w:rPr>
              <w:t>u</w:t>
            </w:r>
            <w:r w:rsidRPr="0053423A">
              <w:t>ի</w:t>
            </w:r>
            <w:r w:rsidRPr="0053423A">
              <w:rPr>
                <w:lang w:val="af-ZA"/>
              </w:rPr>
              <w:t xml:space="preserve"> </w:t>
            </w:r>
            <w:r w:rsidRPr="0053423A">
              <w:t>իրական</w:t>
            </w:r>
            <w:r w:rsidRPr="0053423A">
              <w:rPr>
                <w:lang w:val="af-ZA"/>
              </w:rPr>
              <w:t xml:space="preserve">  </w:t>
            </w:r>
            <w:r w:rsidRPr="0053423A">
              <w:t>տնտե</w:t>
            </w:r>
            <w:r w:rsidRPr="0053423A">
              <w:rPr>
                <w:lang w:val="af-ZA"/>
              </w:rPr>
              <w:t>u</w:t>
            </w:r>
            <w:r w:rsidRPr="0053423A">
              <w:t>ական</w:t>
            </w:r>
            <w:r w:rsidRPr="0053423A">
              <w:rPr>
                <w:lang w:val="af-ZA"/>
              </w:rPr>
              <w:t xml:space="preserve"> </w:t>
            </w:r>
            <w:r w:rsidRPr="0053423A">
              <w:t>արժեքին</w:t>
            </w:r>
            <w:r w:rsidRPr="0053423A">
              <w:rPr>
                <w:lang w:val="af-ZA"/>
              </w:rPr>
              <w:t xml:space="preserve"> </w:t>
            </w:r>
            <w:r w:rsidRPr="0053423A">
              <w:t>եւ</w:t>
            </w:r>
            <w:r w:rsidRPr="0053423A">
              <w:rPr>
                <w:lang w:val="af-ZA"/>
              </w:rPr>
              <w:t xml:space="preserve"> </w:t>
            </w:r>
            <w:r w:rsidRPr="0053423A">
              <w:t>այդ</w:t>
            </w:r>
            <w:r w:rsidRPr="0053423A">
              <w:rPr>
                <w:lang w:val="af-ZA"/>
              </w:rPr>
              <w:t xml:space="preserve"> </w:t>
            </w:r>
            <w:r w:rsidRPr="0053423A">
              <w:t>պատճառով</w:t>
            </w:r>
            <w:r w:rsidRPr="0053423A">
              <w:rPr>
                <w:lang w:val="af-ZA"/>
              </w:rPr>
              <w:t xml:space="preserve"> </w:t>
            </w:r>
            <w:r w:rsidRPr="0053423A">
              <w:t>բավարար</w:t>
            </w:r>
            <w:r w:rsidRPr="0053423A">
              <w:rPr>
                <w:lang w:val="af-ZA"/>
              </w:rPr>
              <w:t xml:space="preserve"> </w:t>
            </w:r>
            <w:r w:rsidRPr="0053423A">
              <w:t>չափով</w:t>
            </w:r>
            <w:r w:rsidRPr="0053423A">
              <w:rPr>
                <w:lang w:val="af-ZA"/>
              </w:rPr>
              <w:t xml:space="preserve"> </w:t>
            </w:r>
            <w:r w:rsidRPr="0053423A">
              <w:t>չի</w:t>
            </w:r>
            <w:r w:rsidRPr="0053423A">
              <w:rPr>
                <w:lang w:val="af-ZA"/>
              </w:rPr>
              <w:t xml:space="preserve"> </w:t>
            </w:r>
            <w:r w:rsidRPr="0053423A">
              <w:t>ազդում</w:t>
            </w:r>
            <w:r w:rsidRPr="0053423A">
              <w:rPr>
                <w:lang w:val="af-ZA"/>
              </w:rPr>
              <w:t xml:space="preserve"> </w:t>
            </w:r>
            <w:r w:rsidRPr="0053423A">
              <w:t>տնտե</w:t>
            </w:r>
            <w:r w:rsidRPr="0053423A">
              <w:rPr>
                <w:lang w:val="af-ZA"/>
              </w:rPr>
              <w:t>u</w:t>
            </w:r>
            <w:r w:rsidRPr="0053423A">
              <w:t>ավարող</w:t>
            </w:r>
            <w:r w:rsidRPr="0053423A">
              <w:rPr>
                <w:lang w:val="af-ZA"/>
              </w:rPr>
              <w:t xml:space="preserve">  u</w:t>
            </w:r>
            <w:r w:rsidRPr="0053423A">
              <w:t>ուբյեկտների</w:t>
            </w:r>
            <w:r w:rsidRPr="0053423A">
              <w:rPr>
                <w:lang w:val="af-ZA"/>
              </w:rPr>
              <w:t xml:space="preserve"> </w:t>
            </w:r>
            <w:r w:rsidRPr="0053423A">
              <w:t>և</w:t>
            </w:r>
            <w:r w:rsidRPr="0053423A">
              <w:rPr>
                <w:lang w:val="af-ZA"/>
              </w:rPr>
              <w:t xml:space="preserve"> </w:t>
            </w:r>
            <w:r w:rsidRPr="0053423A">
              <w:t>հասարակությանայլ</w:t>
            </w:r>
            <w:r w:rsidRPr="0053423A">
              <w:rPr>
                <w:lang w:val="af-ZA"/>
              </w:rPr>
              <w:t xml:space="preserve"> </w:t>
            </w:r>
            <w:r w:rsidRPr="0053423A">
              <w:t>անդամների</w:t>
            </w:r>
            <w:r w:rsidRPr="0053423A">
              <w:rPr>
                <w:lang w:val="af-ZA"/>
              </w:rPr>
              <w:t xml:space="preserve"> </w:t>
            </w:r>
            <w:r w:rsidRPr="0053423A">
              <w:t>բնապահպանական</w:t>
            </w:r>
            <w:r w:rsidRPr="0053423A">
              <w:rPr>
                <w:lang w:val="af-ZA"/>
              </w:rPr>
              <w:t xml:space="preserve"> </w:t>
            </w:r>
            <w:r w:rsidRPr="0053423A">
              <w:t>եւ</w:t>
            </w:r>
            <w:r w:rsidRPr="0053423A">
              <w:rPr>
                <w:lang w:val="af-ZA"/>
              </w:rPr>
              <w:t xml:space="preserve"> </w:t>
            </w:r>
            <w:r w:rsidRPr="0053423A">
              <w:t>բն</w:t>
            </w:r>
            <w:r w:rsidRPr="0053423A">
              <w:rPr>
                <w:lang w:val="af-ZA"/>
              </w:rPr>
              <w:t>o</w:t>
            </w:r>
            <w:r w:rsidRPr="0053423A">
              <w:t>գտագործման</w:t>
            </w:r>
            <w:r w:rsidRPr="0053423A">
              <w:rPr>
                <w:lang w:val="af-ZA"/>
              </w:rPr>
              <w:t xml:space="preserve"> </w:t>
            </w:r>
            <w:r w:rsidRPr="0053423A">
              <w:t>վարքագծի</w:t>
            </w:r>
            <w:r w:rsidRPr="0053423A">
              <w:rPr>
                <w:lang w:val="af-ZA"/>
              </w:rPr>
              <w:t xml:space="preserve"> </w:t>
            </w:r>
            <w:r w:rsidRPr="0053423A">
              <w:t>վրա</w:t>
            </w:r>
            <w:r w:rsidRPr="0053423A">
              <w:rPr>
                <w:lang w:val="af-ZA"/>
              </w:rPr>
              <w:t xml:space="preserve">: </w:t>
            </w:r>
            <w:r w:rsidRPr="0053423A">
              <w:t>Ն</w:t>
            </w:r>
            <w:r w:rsidRPr="0053423A">
              <w:rPr>
                <w:rFonts w:cs="GHEA Grapalat"/>
                <w:lang w:val="hy-AM"/>
              </w:rPr>
              <w:t xml:space="preserve">երկայումս կիրառվող բնօգտագործման և բնապահպանական </w:t>
            </w:r>
            <w:r w:rsidRPr="0053423A">
              <w:rPr>
                <w:rFonts w:cs="GHEA Grapalat"/>
              </w:rPr>
              <w:t>հարկերը</w:t>
            </w:r>
            <w:r w:rsidRPr="0053423A">
              <w:rPr>
                <w:rFonts w:cs="GHEA Grapalat"/>
                <w:lang w:val="hy-AM"/>
              </w:rPr>
              <w:t xml:space="preserve"> զիջում են փաստացի պատճառվող վնաս</w:t>
            </w:r>
            <w:r w:rsidRPr="0053423A">
              <w:rPr>
                <w:rFonts w:cs="GHEA Grapalat"/>
              </w:rPr>
              <w:t>ը</w:t>
            </w:r>
            <w:r w:rsidRPr="0053423A">
              <w:rPr>
                <w:rFonts w:cs="GHEA Grapalat"/>
                <w:lang w:val="af-ZA"/>
              </w:rPr>
              <w:t xml:space="preserve"> </w:t>
            </w:r>
            <w:r w:rsidRPr="0053423A">
              <w:rPr>
                <w:rFonts w:cs="GHEA Grapalat"/>
              </w:rPr>
              <w:t>մի</w:t>
            </w:r>
            <w:r w:rsidRPr="0053423A">
              <w:rPr>
                <w:rFonts w:cs="GHEA Grapalat"/>
                <w:lang w:val="af-ZA"/>
              </w:rPr>
              <w:t xml:space="preserve"> </w:t>
            </w:r>
            <w:r w:rsidRPr="0053423A">
              <w:rPr>
                <w:rFonts w:cs="GHEA Grapalat"/>
              </w:rPr>
              <w:t>քանի</w:t>
            </w:r>
            <w:r w:rsidRPr="0053423A">
              <w:rPr>
                <w:rFonts w:cs="GHEA Grapalat"/>
                <w:lang w:val="hy-AM"/>
              </w:rPr>
              <w:t xml:space="preserve">  </w:t>
            </w:r>
            <w:r w:rsidRPr="0053423A">
              <w:rPr>
                <w:rFonts w:cs="GHEA Grapalat"/>
              </w:rPr>
              <w:t>տասնյակ</w:t>
            </w:r>
            <w:r w:rsidRPr="0053423A">
              <w:rPr>
                <w:rFonts w:cs="GHEA Grapalat"/>
                <w:lang w:val="hy-AM"/>
              </w:rPr>
              <w:t xml:space="preserve"> անգամ</w:t>
            </w:r>
            <w:r w:rsidRPr="0053423A">
              <w:rPr>
                <w:rFonts w:cs="GHEA Grapalat"/>
                <w:lang w:val="af-ZA"/>
              </w:rPr>
              <w:t xml:space="preserve">: </w:t>
            </w:r>
            <w:r w:rsidRPr="0053423A">
              <w:rPr>
                <w:rFonts w:cs="GHEA Grapalat"/>
                <w:lang w:val="hy-AM"/>
              </w:rPr>
              <w:t xml:space="preserve"> </w:t>
            </w:r>
            <w:r w:rsidRPr="0053423A">
              <w:rPr>
                <w:rFonts w:cs="GHEA Grapalat"/>
              </w:rPr>
              <w:t>Ո</w:t>
            </w:r>
            <w:r w:rsidRPr="0053423A">
              <w:rPr>
                <w:rFonts w:cs="GHEA Grapalat"/>
                <w:lang w:val="hy-AM"/>
              </w:rPr>
              <w:t xml:space="preserve">րոշ ոլորտների համար բնապահպանական </w:t>
            </w:r>
            <w:r w:rsidRPr="0053423A">
              <w:rPr>
                <w:rFonts w:cs="GHEA Grapalat"/>
              </w:rPr>
              <w:t>հարկերի</w:t>
            </w:r>
            <w:r w:rsidRPr="0053423A">
              <w:rPr>
                <w:rFonts w:cs="GHEA Grapalat"/>
                <w:lang w:val="hy-AM"/>
              </w:rPr>
              <w:t xml:space="preserve"> և ռեսուրսների օգտագործման դիմաց սահմանված 0-ական կամ ցածր դրույքաչափերի գծով արտոնությունների հետագա կիրառումը չի նպաստում բնական ռեսուրսների արդյունավետ օգտագործմանը և շրջակա միջավայրի պահպանությանը:</w:t>
            </w:r>
            <w:r w:rsidRPr="0053423A">
              <w:rPr>
                <w:rFonts w:cs="GHEA Grapalat"/>
                <w:lang w:val="af-ZA"/>
              </w:rPr>
              <w:t xml:space="preserve"> </w:t>
            </w:r>
            <w:r w:rsidRPr="0053423A">
              <w:rPr>
                <w:rFonts w:cs="GHEA Grapalat"/>
              </w:rPr>
              <w:t>Այդ</w:t>
            </w:r>
            <w:r w:rsidRPr="0053423A">
              <w:rPr>
                <w:rFonts w:cs="GHEA Grapalat"/>
                <w:lang w:val="af-ZA"/>
              </w:rPr>
              <w:t xml:space="preserve"> </w:t>
            </w:r>
            <w:r w:rsidRPr="0053423A">
              <w:rPr>
                <w:rFonts w:cs="GHEA Grapalat"/>
              </w:rPr>
              <w:t>պատճառով</w:t>
            </w:r>
            <w:r w:rsidRPr="0053423A">
              <w:rPr>
                <w:rFonts w:cs="GHEA Grapalat"/>
                <w:lang w:val="af-ZA"/>
              </w:rPr>
              <w:t xml:space="preserve"> </w:t>
            </w:r>
            <w:r w:rsidRPr="0053423A">
              <w:rPr>
                <w:rFonts w:cs="GHEA Grapalat"/>
                <w:lang w:val="hy-AM"/>
              </w:rPr>
              <w:t>բնապահպանության ոլորտում գործող   տնտեսական մեխա</w:t>
            </w:r>
            <w:r w:rsidRPr="0053423A">
              <w:rPr>
                <w:rFonts w:cs="GHEA Grapalat"/>
                <w:lang w:val="hy-AM"/>
              </w:rPr>
              <w:softHyphen/>
              <w:t>նիզմները պետք է վերանայվեն</w:t>
            </w:r>
            <w:r w:rsidRPr="0053423A">
              <w:rPr>
                <w:rFonts w:cs="GHEA Grapalat"/>
                <w:lang w:val="af-ZA"/>
              </w:rPr>
              <w:t>:</w:t>
            </w:r>
          </w:p>
          <w:p w:rsidR="00530B14" w:rsidRPr="0053423A" w:rsidRDefault="00530B14" w:rsidP="00A67858">
            <w:pPr>
              <w:spacing w:line="276" w:lineRule="auto"/>
              <w:ind w:firstLine="373"/>
              <w:jc w:val="both"/>
              <w:rPr>
                <w:b/>
                <w:lang w:val="af-ZA"/>
              </w:rPr>
            </w:pPr>
            <w:r w:rsidRPr="0053423A">
              <w:rPr>
                <w:b/>
                <w:lang w:val="af-ZA"/>
              </w:rPr>
              <w:t xml:space="preserve">1.2 </w:t>
            </w:r>
            <w:r w:rsidRPr="0053423A">
              <w:rPr>
                <w:rFonts w:cs="Sylfaen"/>
                <w:b/>
              </w:rPr>
              <w:t>Առկա</w:t>
            </w:r>
            <w:r w:rsidRPr="0053423A">
              <w:rPr>
                <w:b/>
                <w:lang w:val="af-ZA"/>
              </w:rPr>
              <w:t xml:space="preserve">  </w:t>
            </w:r>
            <w:r w:rsidRPr="0053423A">
              <w:rPr>
                <w:rFonts w:cs="Sylfaen"/>
                <w:b/>
              </w:rPr>
              <w:t>խնդիրների</w:t>
            </w:r>
            <w:r w:rsidRPr="0053423A">
              <w:rPr>
                <w:b/>
                <w:lang w:val="af-ZA"/>
              </w:rPr>
              <w:t xml:space="preserve">  </w:t>
            </w:r>
            <w:r w:rsidRPr="0053423A">
              <w:rPr>
                <w:rFonts w:cs="Sylfaen"/>
                <w:b/>
              </w:rPr>
              <w:t>առաջարկվող</w:t>
            </w:r>
            <w:r w:rsidRPr="0053423A">
              <w:rPr>
                <w:b/>
                <w:lang w:val="af-ZA"/>
              </w:rPr>
              <w:t xml:space="preserve"> </w:t>
            </w:r>
            <w:r w:rsidRPr="0053423A">
              <w:rPr>
                <w:rFonts w:cs="Sylfaen"/>
                <w:b/>
              </w:rPr>
              <w:t>լուծումները</w:t>
            </w:r>
            <w:r w:rsidRPr="0053423A">
              <w:rPr>
                <w:b/>
                <w:lang w:val="af-ZA"/>
              </w:rPr>
              <w:t xml:space="preserve"> </w:t>
            </w:r>
          </w:p>
          <w:p w:rsidR="00530B14" w:rsidRPr="0053423A" w:rsidRDefault="00530B14" w:rsidP="00A67858">
            <w:pPr>
              <w:widowControl w:val="0"/>
              <w:spacing w:line="276" w:lineRule="auto"/>
              <w:ind w:firstLine="375"/>
              <w:jc w:val="both"/>
              <w:rPr>
                <w:rFonts w:cs="GHEA Grapalat"/>
                <w:color w:val="FF0000"/>
                <w:lang w:val="af-ZA"/>
              </w:rPr>
            </w:pPr>
            <w:r w:rsidRPr="0053423A">
              <w:rPr>
                <w:rFonts w:cs="Sylfaen"/>
              </w:rPr>
              <w:t>Նախատեսվում</w:t>
            </w:r>
            <w:r w:rsidRPr="0053423A">
              <w:rPr>
                <w:rFonts w:cs="Sylfaen"/>
                <w:lang w:val="af-ZA"/>
              </w:rPr>
              <w:t xml:space="preserve"> </w:t>
            </w:r>
            <w:r w:rsidRPr="0053423A">
              <w:rPr>
                <w:rFonts w:cs="Sylfaen"/>
              </w:rPr>
              <w:t>է</w:t>
            </w:r>
            <w:r w:rsidRPr="0053423A">
              <w:rPr>
                <w:rFonts w:cs="Sylfaen"/>
                <w:lang w:val="af-ZA"/>
              </w:rPr>
              <w:t xml:space="preserve"> </w:t>
            </w:r>
            <w:r w:rsidRPr="0053423A">
              <w:rPr>
                <w:rFonts w:cs="Sylfaen"/>
                <w:lang w:val="hy-AM"/>
              </w:rPr>
              <w:t>ՀՀ հարկային օրենսգրքի դրույթներով սահմանված բնապահպանական հարկերի ու բնօգտագործման վճարների տեսակների</w:t>
            </w:r>
            <w:r w:rsidRPr="0053423A">
              <w:rPr>
                <w:rFonts w:cs="Sylfaen"/>
                <w:lang w:val="af-ZA"/>
              </w:rPr>
              <w:t>,</w:t>
            </w:r>
            <w:r w:rsidRPr="0053423A">
              <w:rPr>
                <w:rFonts w:cs="Sylfaen"/>
                <w:lang w:val="hy-AM"/>
              </w:rPr>
              <w:t xml:space="preserve"> դրույքաչափերի</w:t>
            </w:r>
            <w:r w:rsidRPr="0053423A">
              <w:rPr>
                <w:rFonts w:cs="Sylfaen"/>
                <w:lang w:val="af-ZA"/>
              </w:rPr>
              <w:t>,</w:t>
            </w:r>
            <w:r w:rsidRPr="0053423A">
              <w:rPr>
                <w:rFonts w:cs="Sylfaen"/>
                <w:lang w:val="hy-AM"/>
              </w:rPr>
              <w:t xml:space="preserve"> դրանց հաշվարկման</w:t>
            </w:r>
            <w:r w:rsidRPr="0053423A">
              <w:rPr>
                <w:rFonts w:cs="Sylfaen"/>
                <w:lang w:val="af-ZA"/>
              </w:rPr>
              <w:t>,</w:t>
            </w:r>
            <w:r w:rsidRPr="0053423A">
              <w:rPr>
                <w:rFonts w:cs="Sylfaen"/>
                <w:lang w:val="hy-AM"/>
              </w:rPr>
              <w:t xml:space="preserve"> վճարման</w:t>
            </w:r>
            <w:r w:rsidRPr="0053423A">
              <w:rPr>
                <w:rFonts w:cs="Sylfaen"/>
                <w:lang w:val="af-ZA"/>
              </w:rPr>
              <w:t>,</w:t>
            </w:r>
            <w:r w:rsidRPr="0053423A">
              <w:rPr>
                <w:rFonts w:cs="Sylfaen"/>
                <w:lang w:val="hy-AM"/>
              </w:rPr>
              <w:t xml:space="preserve"> գանձման կարգի և ժամկետների</w:t>
            </w:r>
            <w:r w:rsidRPr="0053423A">
              <w:rPr>
                <w:rFonts w:cs="Sylfaen"/>
                <w:lang w:val="af-ZA"/>
              </w:rPr>
              <w:t>,</w:t>
            </w:r>
            <w:r w:rsidRPr="0053423A">
              <w:rPr>
                <w:rFonts w:cs="Sylfaen"/>
                <w:lang w:val="hy-AM"/>
              </w:rPr>
              <w:t xml:space="preserve"> ինչպես նաև հարկային արտոնությունների վերանայում</w:t>
            </w:r>
            <w:r w:rsidRPr="0053423A">
              <w:rPr>
                <w:rFonts w:cs="Sylfaen"/>
                <w:lang w:val="af-ZA"/>
              </w:rPr>
              <w:t xml:space="preserve">, </w:t>
            </w:r>
            <w:r w:rsidRPr="0053423A">
              <w:rPr>
                <w:rFonts w:cs="Sylfaen"/>
              </w:rPr>
              <w:t>մասնավորապես</w:t>
            </w:r>
            <w:r w:rsidRPr="0053423A">
              <w:rPr>
                <w:rFonts w:cs="Sylfaen"/>
                <w:lang w:val="af-ZA"/>
              </w:rPr>
              <w:t xml:space="preserve"> </w:t>
            </w:r>
            <w:r w:rsidRPr="0053423A">
              <w:rPr>
                <w:rFonts w:cs="Sylfaen"/>
              </w:rPr>
              <w:t>բ</w:t>
            </w:r>
            <w:r w:rsidRPr="0053423A">
              <w:rPr>
                <w:rFonts w:cs="GHEA Grapalat"/>
                <w:lang w:val="hy-AM"/>
              </w:rPr>
              <w:t xml:space="preserve">նապահպանական </w:t>
            </w:r>
            <w:r w:rsidRPr="0053423A">
              <w:rPr>
                <w:rFonts w:cs="GHEA Grapalat"/>
              </w:rPr>
              <w:t>հարկերի</w:t>
            </w:r>
            <w:r w:rsidRPr="0053423A">
              <w:rPr>
                <w:rFonts w:cs="GHEA Grapalat"/>
                <w:lang w:val="hy-AM"/>
              </w:rPr>
              <w:t xml:space="preserve"> և բնօգտագործման վճարների դրույքաչափերի աստիճանական բարձրացում` մոտեցնելով դրանք ռեսուրսների իրական տնտեսական արժեքին և /կամ/ շրջակա միջավայրին պատճառվող վնասի իրական չափերին, որը մի կողմից հնարավորություն կտա բարձրացնելու բնական ռեսուրսների օգտագործման արդյունավետությունը, իսկ մյուս կողմից  կրճատելու շրջակա միջավայրի աղտոտման ծավալները: Միաժամանակ, կատարվող փոփոխությամբ նախատեսվում է նաև տարբերակված մոտեցում ցուցաբերել փոքրածավալ և նվազ վտանգավորություն ներկայացնող, շրջակա միջավայրը աղտոտող ֆիզիկական և իրավաբանական անձանց նկատմամբ՝ բնապահպանական հարկի հաշվարկման այդ թվում՝ հաշվետվությունների ներկայացման և վճարման ընթացակարգերի պարզեցմամբ՝ ըստ գործողության տեսակի ընդհանրացված և տիպային հարկի վճարների:  </w:t>
            </w:r>
          </w:p>
          <w:p w:rsidR="00530B14" w:rsidRPr="0053423A" w:rsidRDefault="00530B14" w:rsidP="00A67858">
            <w:pPr>
              <w:pStyle w:val="ListParagraph"/>
              <w:spacing w:line="276" w:lineRule="auto"/>
              <w:ind w:left="735"/>
              <w:rPr>
                <w:rFonts w:cs="Sylfaen"/>
                <w:b/>
                <w:i/>
                <w:lang w:val="af-ZA"/>
              </w:rPr>
            </w:pPr>
          </w:p>
          <w:p w:rsidR="00530B14" w:rsidRPr="0053423A" w:rsidRDefault="00530B14" w:rsidP="00A67858">
            <w:pPr>
              <w:pStyle w:val="ListParagraph"/>
              <w:spacing w:line="276" w:lineRule="auto"/>
              <w:ind w:left="735"/>
              <w:rPr>
                <w:rFonts w:cs="Sylfaen"/>
                <w:b/>
                <w:i/>
                <w:lang w:val="af-ZA"/>
              </w:rPr>
            </w:pPr>
            <w:r w:rsidRPr="0053423A">
              <w:rPr>
                <w:rFonts w:cs="Sylfaen"/>
                <w:b/>
                <w:i/>
                <w:lang w:val="af-ZA"/>
              </w:rPr>
              <w:t>2.</w:t>
            </w:r>
            <w:r w:rsidRPr="0053423A">
              <w:rPr>
                <w:rFonts w:cs="Sylfaen"/>
                <w:b/>
                <w:i/>
              </w:rPr>
              <w:t>Միջոցառման</w:t>
            </w:r>
            <w:r w:rsidRPr="0053423A">
              <w:rPr>
                <w:b/>
                <w:i/>
                <w:lang w:val="af-ZA"/>
              </w:rPr>
              <w:t xml:space="preserve"> </w:t>
            </w:r>
            <w:r w:rsidRPr="0053423A">
              <w:rPr>
                <w:rFonts w:cs="Sylfaen"/>
                <w:b/>
                <w:i/>
              </w:rPr>
              <w:t>իրականացումից</w:t>
            </w:r>
            <w:r w:rsidRPr="0053423A">
              <w:rPr>
                <w:b/>
                <w:i/>
                <w:lang w:val="af-ZA"/>
              </w:rPr>
              <w:t xml:space="preserve"> </w:t>
            </w:r>
            <w:r w:rsidRPr="0053423A">
              <w:rPr>
                <w:rFonts w:cs="Sylfaen"/>
                <w:b/>
                <w:i/>
              </w:rPr>
              <w:t>ակնկալվող</w:t>
            </w:r>
            <w:r w:rsidRPr="0053423A">
              <w:rPr>
                <w:b/>
                <w:i/>
                <w:lang w:val="af-ZA"/>
              </w:rPr>
              <w:t xml:space="preserve"> </w:t>
            </w:r>
            <w:r w:rsidRPr="0053423A">
              <w:rPr>
                <w:rFonts w:cs="Sylfaen"/>
                <w:b/>
                <w:i/>
              </w:rPr>
              <w:t>արդյունքը</w:t>
            </w:r>
          </w:p>
          <w:p w:rsidR="00530B14" w:rsidRPr="0053423A" w:rsidRDefault="00530B14" w:rsidP="00A67858">
            <w:pPr>
              <w:spacing w:line="276" w:lineRule="auto"/>
              <w:ind w:left="75"/>
              <w:jc w:val="both"/>
              <w:rPr>
                <w:lang w:val="af-ZA"/>
              </w:rPr>
            </w:pPr>
            <w:r w:rsidRPr="0053423A">
              <w:t>Օրինագծի</w:t>
            </w:r>
            <w:r w:rsidRPr="0053423A">
              <w:rPr>
                <w:lang w:val="af-ZA"/>
              </w:rPr>
              <w:t xml:space="preserve"> </w:t>
            </w:r>
            <w:r w:rsidRPr="0053423A">
              <w:t>ընդունումից</w:t>
            </w:r>
            <w:r w:rsidRPr="0053423A">
              <w:rPr>
                <w:lang w:val="af-ZA"/>
              </w:rPr>
              <w:t xml:space="preserve"> </w:t>
            </w:r>
            <w:r w:rsidRPr="0053423A">
              <w:t>ակնկալվում</w:t>
            </w:r>
            <w:r w:rsidRPr="0053423A">
              <w:rPr>
                <w:lang w:val="af-ZA"/>
              </w:rPr>
              <w:t xml:space="preserve"> </w:t>
            </w:r>
            <w:r w:rsidRPr="0053423A">
              <w:t>են</w:t>
            </w:r>
            <w:r w:rsidRPr="0053423A">
              <w:rPr>
                <w:lang w:val="af-ZA"/>
              </w:rPr>
              <w:t xml:space="preserve"> </w:t>
            </w:r>
            <w:r w:rsidRPr="0053423A">
              <w:t>հետևյալ</w:t>
            </w:r>
            <w:r w:rsidRPr="0053423A">
              <w:rPr>
                <w:lang w:val="af-ZA"/>
              </w:rPr>
              <w:t xml:space="preserve"> </w:t>
            </w:r>
            <w:r w:rsidRPr="0053423A">
              <w:t>նպատակների</w:t>
            </w:r>
            <w:r w:rsidRPr="0053423A">
              <w:rPr>
                <w:lang w:val="af-ZA"/>
              </w:rPr>
              <w:t xml:space="preserve"> </w:t>
            </w:r>
            <w:r w:rsidRPr="0053423A">
              <w:t>իրականացումը</w:t>
            </w:r>
            <w:r w:rsidRPr="0053423A">
              <w:rPr>
                <w:lang w:val="af-ZA"/>
              </w:rPr>
              <w:t>.</w:t>
            </w:r>
          </w:p>
          <w:p w:rsidR="00530B14" w:rsidRPr="0053423A" w:rsidRDefault="00530B14" w:rsidP="00A67858">
            <w:pPr>
              <w:pStyle w:val="ListParagraph"/>
              <w:numPr>
                <w:ilvl w:val="0"/>
                <w:numId w:val="51"/>
              </w:numPr>
              <w:spacing w:line="276" w:lineRule="auto"/>
              <w:jc w:val="both"/>
              <w:rPr>
                <w:lang w:val="af-ZA"/>
              </w:rPr>
            </w:pPr>
            <w:r w:rsidRPr="0053423A">
              <w:t>բնական</w:t>
            </w:r>
            <w:r w:rsidRPr="0053423A">
              <w:rPr>
                <w:lang w:val="af-ZA"/>
              </w:rPr>
              <w:t xml:space="preserve"> </w:t>
            </w:r>
            <w:r w:rsidRPr="0053423A">
              <w:t>ռեսուրսների</w:t>
            </w:r>
            <w:r w:rsidRPr="0053423A">
              <w:rPr>
                <w:lang w:val="af-ZA"/>
              </w:rPr>
              <w:t xml:space="preserve"> </w:t>
            </w:r>
            <w:r w:rsidRPr="0053423A">
              <w:t>օգտագործման</w:t>
            </w:r>
            <w:r w:rsidRPr="0053423A">
              <w:rPr>
                <w:lang w:val="af-ZA"/>
              </w:rPr>
              <w:t xml:space="preserve"> </w:t>
            </w:r>
            <w:r w:rsidRPr="0053423A">
              <w:t>արդյունավետության</w:t>
            </w:r>
            <w:r w:rsidRPr="0053423A">
              <w:rPr>
                <w:lang w:val="af-ZA"/>
              </w:rPr>
              <w:t xml:space="preserve"> </w:t>
            </w:r>
            <w:r w:rsidRPr="0053423A">
              <w:t>բարձրացում</w:t>
            </w:r>
            <w:r w:rsidRPr="0053423A">
              <w:rPr>
                <w:lang w:val="af-ZA"/>
              </w:rPr>
              <w:t>,</w:t>
            </w:r>
          </w:p>
          <w:p w:rsidR="00530B14" w:rsidRPr="0053423A" w:rsidRDefault="00530B14" w:rsidP="00A67858">
            <w:pPr>
              <w:pStyle w:val="ListParagraph"/>
              <w:numPr>
                <w:ilvl w:val="0"/>
                <w:numId w:val="51"/>
              </w:numPr>
              <w:spacing w:line="276" w:lineRule="auto"/>
              <w:jc w:val="both"/>
              <w:rPr>
                <w:lang w:val="af-ZA"/>
              </w:rPr>
            </w:pPr>
            <w:r w:rsidRPr="0053423A">
              <w:t>մարդու</w:t>
            </w:r>
            <w:r w:rsidRPr="0053423A">
              <w:rPr>
                <w:lang w:val="af-ZA"/>
              </w:rPr>
              <w:t xml:space="preserve"> </w:t>
            </w:r>
            <w:r w:rsidRPr="0053423A">
              <w:t>առողջության</w:t>
            </w:r>
            <w:r w:rsidRPr="0053423A">
              <w:rPr>
                <w:lang w:val="af-ZA"/>
              </w:rPr>
              <w:t xml:space="preserve"> </w:t>
            </w:r>
            <w:r w:rsidRPr="0053423A">
              <w:t>եւ</w:t>
            </w:r>
            <w:r w:rsidRPr="0053423A">
              <w:rPr>
                <w:lang w:val="af-ZA"/>
              </w:rPr>
              <w:t xml:space="preserve"> </w:t>
            </w:r>
            <w:r w:rsidRPr="0053423A">
              <w:t>շրջակա</w:t>
            </w:r>
            <w:r w:rsidRPr="0053423A">
              <w:rPr>
                <w:lang w:val="af-ZA"/>
              </w:rPr>
              <w:t xml:space="preserve"> </w:t>
            </w:r>
            <w:r w:rsidRPr="0053423A">
              <w:t>միջավայրի</w:t>
            </w:r>
            <w:r w:rsidRPr="0053423A">
              <w:rPr>
                <w:lang w:val="af-ZA"/>
              </w:rPr>
              <w:t xml:space="preserve"> </w:t>
            </w:r>
            <w:r w:rsidRPr="0053423A">
              <w:t>վրա</w:t>
            </w:r>
            <w:r w:rsidRPr="0053423A">
              <w:rPr>
                <w:lang w:val="af-ZA"/>
              </w:rPr>
              <w:t xml:space="preserve"> </w:t>
            </w:r>
            <w:r w:rsidRPr="0053423A">
              <w:t>վնա</w:t>
            </w:r>
            <w:r w:rsidRPr="0053423A">
              <w:rPr>
                <w:lang w:val="af-ZA"/>
              </w:rPr>
              <w:t>u</w:t>
            </w:r>
            <w:r w:rsidRPr="0053423A">
              <w:t>ակար</w:t>
            </w:r>
            <w:r w:rsidRPr="0053423A">
              <w:rPr>
                <w:lang w:val="af-ZA"/>
              </w:rPr>
              <w:t xml:space="preserve"> </w:t>
            </w:r>
            <w:r w:rsidRPr="0053423A">
              <w:t>ներգործությունների</w:t>
            </w:r>
            <w:r w:rsidRPr="0053423A">
              <w:rPr>
                <w:lang w:val="af-ZA"/>
              </w:rPr>
              <w:t xml:space="preserve"> </w:t>
            </w:r>
            <w:r w:rsidRPr="0053423A">
              <w:rPr>
                <w:rFonts w:cs="Sylfaen"/>
              </w:rPr>
              <w:t>կանխարգելում</w:t>
            </w:r>
            <w:r w:rsidRPr="0053423A">
              <w:rPr>
                <w:rFonts w:cs="Sylfaen"/>
                <w:lang w:val="af-ZA"/>
              </w:rPr>
              <w:t xml:space="preserve"> </w:t>
            </w:r>
            <w:r w:rsidRPr="0053423A">
              <w:rPr>
                <w:rFonts w:cs="Sylfaen"/>
              </w:rPr>
              <w:t>և</w:t>
            </w:r>
            <w:r w:rsidRPr="0053423A">
              <w:rPr>
                <w:rFonts w:cs="Sylfaen"/>
                <w:lang w:val="af-ZA"/>
              </w:rPr>
              <w:t xml:space="preserve"> </w:t>
            </w:r>
            <w:r w:rsidRPr="0053423A">
              <w:rPr>
                <w:rFonts w:cs="Sylfaen"/>
              </w:rPr>
              <w:t>նվազեցում</w:t>
            </w:r>
            <w:r w:rsidRPr="0053423A">
              <w:rPr>
                <w:lang w:val="af-ZA"/>
              </w:rPr>
              <w:t>,</w:t>
            </w:r>
          </w:p>
          <w:p w:rsidR="00530B14" w:rsidRPr="0053423A" w:rsidRDefault="00530B14" w:rsidP="00A67858">
            <w:pPr>
              <w:numPr>
                <w:ilvl w:val="0"/>
                <w:numId w:val="50"/>
              </w:numPr>
              <w:spacing w:line="276" w:lineRule="auto"/>
              <w:jc w:val="both"/>
            </w:pPr>
            <w:r w:rsidRPr="0053423A">
              <w:t>մթնոլորտի գերնորմատիվային աղտոտվածության վերացում,</w:t>
            </w:r>
          </w:p>
          <w:p w:rsidR="00530B14" w:rsidRPr="0053423A" w:rsidRDefault="00530B14" w:rsidP="00A67858">
            <w:pPr>
              <w:spacing w:line="276" w:lineRule="auto"/>
              <w:ind w:left="795"/>
              <w:jc w:val="both"/>
            </w:pPr>
            <w:r w:rsidRPr="0053423A">
              <w:t>կենuաբազմազանության պահպանություն,</w:t>
            </w:r>
          </w:p>
          <w:p w:rsidR="00530B14" w:rsidRPr="0053423A" w:rsidRDefault="00530B14" w:rsidP="00A67858">
            <w:pPr>
              <w:numPr>
                <w:ilvl w:val="0"/>
                <w:numId w:val="50"/>
              </w:numPr>
              <w:spacing w:line="276" w:lineRule="auto"/>
              <w:jc w:val="both"/>
            </w:pPr>
            <w:r w:rsidRPr="0053423A">
              <w:t>վերականգնվող բնական ռեuուրuների վերարտադրության անհրաժեշտ ծավալների և բնական հավաuարակշռվածությանն նպաստող պայմանները ապահովում,</w:t>
            </w:r>
          </w:p>
          <w:p w:rsidR="00530B14" w:rsidRPr="0053423A" w:rsidRDefault="00530B14" w:rsidP="00A67858">
            <w:pPr>
              <w:numPr>
                <w:ilvl w:val="0"/>
                <w:numId w:val="50"/>
              </w:numPr>
              <w:spacing w:line="276" w:lineRule="auto"/>
              <w:jc w:val="both"/>
            </w:pPr>
            <w:r w:rsidRPr="0053423A">
              <w:t>չվերականգնվող բնական ռեuուրuների բանական և արդյունավետ oգտագործման ապահովումը և այլն:</w:t>
            </w:r>
          </w:p>
          <w:p w:rsidR="00530B14" w:rsidRPr="0053423A" w:rsidRDefault="00530B14" w:rsidP="00A67858">
            <w:pPr>
              <w:spacing w:line="276" w:lineRule="auto"/>
            </w:pPr>
          </w:p>
          <w:p w:rsidR="00530B14" w:rsidRPr="0053423A" w:rsidRDefault="00530B14" w:rsidP="00A67858">
            <w:pPr>
              <w:tabs>
                <w:tab w:val="left" w:pos="1080"/>
              </w:tabs>
              <w:suppressAutoHyphens/>
              <w:spacing w:line="276" w:lineRule="auto"/>
              <w:jc w:val="center"/>
              <w:rPr>
                <w:b/>
                <w:u w:val="single"/>
              </w:rPr>
            </w:pPr>
            <w:r w:rsidRPr="0053423A">
              <w:rPr>
                <w:rFonts w:eastAsia="Calibri"/>
                <w:b/>
                <w:u w:val="single"/>
                <w:lang w:val="hy-AM"/>
              </w:rPr>
              <w:t xml:space="preserve">14.2 </w:t>
            </w:r>
            <w:r w:rsidRPr="0053423A">
              <w:rPr>
                <w:b/>
                <w:u w:val="single"/>
              </w:rPr>
              <w:t>«ՀՀ հ</w:t>
            </w:r>
            <w:r w:rsidRPr="0053423A">
              <w:rPr>
                <w:b/>
                <w:u w:val="single"/>
                <w:lang w:val="hy-AM"/>
              </w:rPr>
              <w:t>արկային օրենսգրքում փոփո</w:t>
            </w:r>
            <w:r w:rsidRPr="0053423A">
              <w:rPr>
                <w:b/>
                <w:u w:val="single"/>
                <w:lang w:val="hy-AM"/>
              </w:rPr>
              <w:softHyphen/>
              <w:t>խու</w:t>
            </w:r>
            <w:r w:rsidRPr="0053423A">
              <w:rPr>
                <w:b/>
                <w:u w:val="single"/>
                <w:lang w:val="hy-AM"/>
              </w:rPr>
              <w:softHyphen/>
              <w:t xml:space="preserve">թյուն կատարելու մասին» ՀՀ օրենքի </w:t>
            </w:r>
            <w:r w:rsidRPr="0053423A">
              <w:rPr>
                <w:rFonts w:cs="Arial"/>
                <w:b/>
                <w:u w:val="single"/>
                <w:lang w:val="hy-AM"/>
              </w:rPr>
              <w:t>նախագիծը վարչապետի աշխատակազմ ներկայացնելը</w:t>
            </w:r>
            <w:r w:rsidRPr="0053423A">
              <w:rPr>
                <w:b/>
                <w:u w:val="single"/>
              </w:rPr>
              <w:t>»</w:t>
            </w:r>
          </w:p>
          <w:p w:rsidR="00530B14" w:rsidRPr="0053423A" w:rsidRDefault="00530B14" w:rsidP="00A67858">
            <w:pPr>
              <w:tabs>
                <w:tab w:val="left" w:pos="1080"/>
              </w:tabs>
              <w:suppressAutoHyphens/>
              <w:spacing w:line="276" w:lineRule="auto"/>
              <w:jc w:val="center"/>
              <w:rPr>
                <w:b/>
                <w:u w:val="single"/>
              </w:rPr>
            </w:pPr>
          </w:p>
          <w:p w:rsidR="00530B14" w:rsidRPr="0053423A" w:rsidRDefault="00530B14" w:rsidP="00A67858">
            <w:pPr>
              <w:pStyle w:val="ListParagraph"/>
              <w:numPr>
                <w:ilvl w:val="0"/>
                <w:numId w:val="60"/>
              </w:numPr>
              <w:spacing w:line="276" w:lineRule="auto"/>
              <w:ind w:left="0" w:firstLine="463"/>
              <w:jc w:val="both"/>
              <w:rPr>
                <w:rFonts w:cs="Sylfaen"/>
                <w:b/>
                <w:i/>
              </w:rPr>
            </w:pPr>
            <w:r w:rsidRPr="0053423A">
              <w:rPr>
                <w:rFonts w:cs="Sylfaen"/>
                <w:b/>
                <w:i/>
              </w:rPr>
              <w:t>Միջոցառման</w:t>
            </w:r>
            <w:r w:rsidRPr="0053423A">
              <w:rPr>
                <w:b/>
                <w:i/>
              </w:rPr>
              <w:t xml:space="preserve"> </w:t>
            </w:r>
            <w:r w:rsidRPr="0053423A">
              <w:rPr>
                <w:rFonts w:cs="Sylfaen"/>
                <w:b/>
                <w:i/>
              </w:rPr>
              <w:t>իրականացման</w:t>
            </w:r>
            <w:r w:rsidRPr="0053423A">
              <w:rPr>
                <w:b/>
                <w:i/>
              </w:rPr>
              <w:t xml:space="preserve"> </w:t>
            </w:r>
            <w:r w:rsidRPr="0053423A">
              <w:rPr>
                <w:rFonts w:cs="Sylfaen"/>
                <w:b/>
                <w:i/>
              </w:rPr>
              <w:t>անհրաժեշտությունը</w:t>
            </w:r>
            <w:r w:rsidRPr="0053423A">
              <w:rPr>
                <w:b/>
                <w:i/>
              </w:rPr>
              <w:t xml:space="preserve"> </w:t>
            </w:r>
            <w:r w:rsidRPr="0053423A">
              <w:rPr>
                <w:rFonts w:cs="Sylfaen"/>
                <w:b/>
                <w:i/>
              </w:rPr>
              <w:t>և</w:t>
            </w:r>
            <w:r w:rsidRPr="0053423A">
              <w:rPr>
                <w:b/>
                <w:i/>
              </w:rPr>
              <w:t xml:space="preserve"> </w:t>
            </w:r>
            <w:r w:rsidRPr="0053423A">
              <w:rPr>
                <w:rFonts w:cs="Sylfaen"/>
                <w:b/>
                <w:i/>
              </w:rPr>
              <w:t>նպատակը</w:t>
            </w:r>
          </w:p>
          <w:p w:rsidR="00530B14" w:rsidRPr="0053423A" w:rsidRDefault="00D67A7D" w:rsidP="00A67858">
            <w:pPr>
              <w:spacing w:line="276" w:lineRule="auto"/>
              <w:jc w:val="both"/>
              <w:rPr>
                <w:rFonts w:cs="GHEA Grapalat"/>
              </w:rPr>
            </w:pPr>
            <w:r w:rsidRPr="0053423A">
              <w:rPr>
                <w:rFonts w:cs="Sylfaen"/>
              </w:rPr>
              <w:t xml:space="preserve">      </w:t>
            </w:r>
            <w:r w:rsidR="00232EB0" w:rsidRPr="0053423A">
              <w:rPr>
                <w:rFonts w:cs="GHEA Grapalat"/>
              </w:rPr>
              <w:t>Միջո</w:t>
            </w:r>
            <w:r w:rsidR="00530B14" w:rsidRPr="0053423A">
              <w:rPr>
                <w:rFonts w:cs="GHEA Grapalat"/>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Շրջակա միջավայրի կառավարման տնտեսական մեխանիզմների և լծակների ճկուն համակարգի ներդրում, միջազգային կառույցների հետ համատեղ ֆինանսավորման նորարարական մեխանիզմների ներառյալ բնապահպանական ծրագրերով պարտավորությունների հաշվանցման մեխանիզմի մշակում և ներդրում  ուղղությունը:</w:t>
            </w:r>
          </w:p>
          <w:p w:rsidR="00530B14" w:rsidRPr="0053423A" w:rsidRDefault="00232EB0" w:rsidP="00A67858">
            <w:pPr>
              <w:spacing w:line="276" w:lineRule="auto"/>
              <w:jc w:val="both"/>
              <w:rPr>
                <w:rFonts w:cs="GHEA Grapalat"/>
                <w:lang w:val="hy-AM"/>
              </w:rPr>
            </w:pPr>
            <w:r w:rsidRPr="0053423A">
              <w:rPr>
                <w:rFonts w:cs="GHEA Grapalat"/>
                <w:lang w:val="hy-AM"/>
              </w:rPr>
              <w:t xml:space="preserve">        </w:t>
            </w:r>
            <w:r w:rsidR="00530B14" w:rsidRPr="0053423A">
              <w:rPr>
                <w:rFonts w:cs="GHEA Grapalat"/>
                <w:lang w:val="hy-AM"/>
              </w:rPr>
              <w:t>Նախագծի մշակման անհրաժեշտությունը ամրագրված է  «Հայաստանի Հանրապե</w:t>
            </w:r>
            <w:r w:rsidR="00530B14" w:rsidRPr="0053423A">
              <w:rPr>
                <w:rFonts w:cs="GHEA Grapalat"/>
                <w:lang w:val="hy-AM"/>
              </w:rPr>
              <w:softHyphen/>
              <w:t>տու</w:t>
            </w:r>
            <w:r w:rsidR="00530B14" w:rsidRPr="0053423A">
              <w:rPr>
                <w:rFonts w:cs="GHEA Grapalat"/>
                <w:lang w:val="hy-AM"/>
              </w:rPr>
              <w:softHyphen/>
              <w:t>թյան ջրային օրենս</w:t>
            </w:r>
            <w:r w:rsidR="00530B14" w:rsidRPr="0053423A">
              <w:rPr>
                <w:rFonts w:cs="GHEA Grapalat"/>
                <w:lang w:val="hy-AM"/>
              </w:rPr>
              <w:softHyphen/>
              <w:t>գրքում փոփոխություններ և լրացում</w:t>
            </w:r>
            <w:r w:rsidR="00530B14" w:rsidRPr="0053423A">
              <w:rPr>
                <w:rFonts w:cs="GHEA Grapalat"/>
                <w:lang w:val="hy-AM"/>
              </w:rPr>
              <w:softHyphen/>
              <w:t xml:space="preserve">ներ կատարելու մասին» ՀՀ օրենքի 13-րդ հոդվածի 6-րդ կետում, որի համաձայն՝ նախատեսվում է ջրային ռեսուրսների երկրորդային օգտագործման համար հարկային արտոնությունների սահմանում: </w:t>
            </w:r>
          </w:p>
          <w:p w:rsidR="00530B14" w:rsidRPr="0053423A" w:rsidRDefault="00232EB0" w:rsidP="00A67858">
            <w:pPr>
              <w:spacing w:line="276" w:lineRule="auto"/>
              <w:jc w:val="both"/>
              <w:rPr>
                <w:rFonts w:cs="GHEA Grapalat"/>
                <w:lang w:val="hy-AM"/>
              </w:rPr>
            </w:pPr>
            <w:r w:rsidRPr="0053423A">
              <w:rPr>
                <w:rFonts w:cs="GHEA Grapalat"/>
                <w:lang w:val="hy-AM"/>
              </w:rPr>
              <w:t xml:space="preserve">        </w:t>
            </w:r>
            <w:r w:rsidR="00530B14" w:rsidRPr="0053423A">
              <w:rPr>
                <w:rFonts w:cs="GHEA Grapalat"/>
                <w:lang w:val="hy-AM"/>
              </w:rPr>
              <w:t>Վերոնշյալ օրենքի ընդունման հիմնական նպատակն է ջրային ռեսուրսների երկրորդային օգտագործման տնտեսապես խթանելը:</w:t>
            </w:r>
          </w:p>
          <w:p w:rsidR="00530B14" w:rsidRPr="0053423A" w:rsidRDefault="00530B14" w:rsidP="00A67858">
            <w:pPr>
              <w:spacing w:line="276" w:lineRule="auto"/>
              <w:ind w:firstLine="283"/>
              <w:rPr>
                <w:b/>
                <w:lang w:val="hy-AM"/>
              </w:rPr>
            </w:pPr>
            <w:r w:rsidRPr="0053423A">
              <w:rPr>
                <w:b/>
                <w:lang w:val="hy-AM"/>
              </w:rPr>
              <w:t xml:space="preserve"> </w:t>
            </w:r>
            <w:r w:rsidR="00232EB0" w:rsidRPr="0053423A">
              <w:rPr>
                <w:b/>
                <w:lang w:val="hy-AM"/>
              </w:rPr>
              <w:t xml:space="preserve">   </w:t>
            </w:r>
            <w:r w:rsidRPr="0053423A">
              <w:rPr>
                <w:b/>
                <w:lang w:val="hy-AM"/>
              </w:rPr>
              <w:t xml:space="preserve">1.1 </w:t>
            </w:r>
            <w:r w:rsidRPr="0053423A">
              <w:rPr>
                <w:rFonts w:cs="Sylfaen"/>
                <w:b/>
                <w:lang w:val="hy-AM"/>
              </w:rPr>
              <w:t>Ներկա</w:t>
            </w:r>
            <w:r w:rsidRPr="0053423A">
              <w:rPr>
                <w:b/>
                <w:lang w:val="hy-AM"/>
              </w:rPr>
              <w:t xml:space="preserve"> </w:t>
            </w:r>
            <w:r w:rsidRPr="0053423A">
              <w:rPr>
                <w:rFonts w:cs="Sylfaen"/>
                <w:b/>
                <w:lang w:val="hy-AM"/>
              </w:rPr>
              <w:t>վիճակը</w:t>
            </w:r>
            <w:r w:rsidRPr="0053423A">
              <w:rPr>
                <w:b/>
                <w:lang w:val="hy-AM"/>
              </w:rPr>
              <w:t xml:space="preserve"> </w:t>
            </w:r>
            <w:r w:rsidRPr="0053423A">
              <w:rPr>
                <w:rFonts w:cs="Sylfaen"/>
                <w:b/>
                <w:lang w:val="hy-AM"/>
              </w:rPr>
              <w:t>և</w:t>
            </w:r>
            <w:r w:rsidRPr="0053423A">
              <w:rPr>
                <w:b/>
                <w:lang w:val="hy-AM"/>
              </w:rPr>
              <w:t xml:space="preserve"> </w:t>
            </w:r>
            <w:r w:rsidRPr="0053423A">
              <w:rPr>
                <w:rFonts w:cs="Sylfaen"/>
                <w:b/>
                <w:lang w:val="hy-AM"/>
              </w:rPr>
              <w:t>առկա</w:t>
            </w:r>
            <w:r w:rsidRPr="0053423A">
              <w:rPr>
                <w:b/>
                <w:lang w:val="hy-AM"/>
              </w:rPr>
              <w:t xml:space="preserve"> </w:t>
            </w:r>
            <w:r w:rsidRPr="0053423A">
              <w:rPr>
                <w:rFonts w:cs="Sylfaen"/>
                <w:b/>
                <w:lang w:val="hy-AM"/>
              </w:rPr>
              <w:t>խնդիրները</w:t>
            </w:r>
            <w:r w:rsidRPr="0053423A">
              <w:rPr>
                <w:b/>
                <w:lang w:val="hy-AM"/>
              </w:rPr>
              <w:t xml:space="preserve"> </w:t>
            </w:r>
          </w:p>
          <w:p w:rsidR="00530B14" w:rsidRPr="0053423A" w:rsidRDefault="00232EB0" w:rsidP="00A67858">
            <w:pPr>
              <w:spacing w:line="276" w:lineRule="auto"/>
              <w:jc w:val="both"/>
              <w:rPr>
                <w:rFonts w:cs="Sylfaen"/>
                <w:lang w:val="hy-AM"/>
              </w:rPr>
            </w:pPr>
            <w:r w:rsidRPr="0053423A">
              <w:rPr>
                <w:rFonts w:cs="Sylfaen"/>
                <w:lang w:val="hy-AM"/>
              </w:rPr>
              <w:t xml:space="preserve">        </w:t>
            </w:r>
            <w:r w:rsidR="00530B14" w:rsidRPr="0053423A">
              <w:rPr>
                <w:rFonts w:cs="Sylfaen"/>
                <w:lang w:val="hy-AM"/>
              </w:rPr>
              <w:t xml:space="preserve">Ներկայումս հանրապետության ջրային ռեսուրսների կառավարման և պահպանության ոլորտում բացակայում է ջրային ռեսուրսների  երկրոդային օգտագործումը խրախուսող մեխանիզմների և արտոնությունների կիրառման համակարգը:   </w:t>
            </w:r>
          </w:p>
          <w:p w:rsidR="00530B14" w:rsidRPr="0053423A" w:rsidRDefault="00232EB0" w:rsidP="00A67858">
            <w:pPr>
              <w:spacing w:line="276" w:lineRule="auto"/>
              <w:ind w:firstLine="283"/>
              <w:rPr>
                <w:rFonts w:cs="Sylfaen"/>
                <w:b/>
                <w:lang w:val="hy-AM"/>
              </w:rPr>
            </w:pPr>
            <w:r w:rsidRPr="0053423A">
              <w:rPr>
                <w:rFonts w:cs="Sylfaen"/>
                <w:b/>
                <w:lang w:val="hy-AM"/>
              </w:rPr>
              <w:t xml:space="preserve">    </w:t>
            </w:r>
            <w:r w:rsidR="00530B14" w:rsidRPr="0053423A">
              <w:rPr>
                <w:rFonts w:cs="Sylfaen"/>
                <w:b/>
                <w:lang w:val="hy-AM"/>
              </w:rPr>
              <w:t>1.2 Առկա</w:t>
            </w:r>
            <w:r w:rsidR="00530B14" w:rsidRPr="0053423A">
              <w:rPr>
                <w:b/>
                <w:lang w:val="hy-AM"/>
              </w:rPr>
              <w:t xml:space="preserve">  </w:t>
            </w:r>
            <w:r w:rsidR="00530B14" w:rsidRPr="0053423A">
              <w:rPr>
                <w:rFonts w:cs="Sylfaen"/>
                <w:b/>
                <w:lang w:val="hy-AM"/>
              </w:rPr>
              <w:t>խնդիրների</w:t>
            </w:r>
            <w:r w:rsidR="00530B14" w:rsidRPr="0053423A">
              <w:rPr>
                <w:b/>
                <w:lang w:val="hy-AM"/>
              </w:rPr>
              <w:t xml:space="preserve">  </w:t>
            </w:r>
            <w:r w:rsidR="00530B14" w:rsidRPr="0053423A">
              <w:rPr>
                <w:rFonts w:cs="Sylfaen"/>
                <w:b/>
                <w:lang w:val="hy-AM"/>
              </w:rPr>
              <w:t>առաջարկվող</w:t>
            </w:r>
            <w:r w:rsidR="00530B14" w:rsidRPr="0053423A">
              <w:rPr>
                <w:b/>
                <w:lang w:val="hy-AM"/>
              </w:rPr>
              <w:t xml:space="preserve"> </w:t>
            </w:r>
            <w:r w:rsidR="00530B14" w:rsidRPr="0053423A">
              <w:rPr>
                <w:rFonts w:cs="Sylfaen"/>
                <w:b/>
                <w:lang w:val="hy-AM"/>
              </w:rPr>
              <w:t>լուծումները</w:t>
            </w:r>
          </w:p>
          <w:p w:rsidR="00530B14" w:rsidRPr="0053423A" w:rsidRDefault="00232EB0" w:rsidP="00A67858">
            <w:pPr>
              <w:spacing w:line="276" w:lineRule="auto"/>
              <w:ind w:firstLine="284"/>
              <w:jc w:val="both"/>
              <w:rPr>
                <w:rFonts w:cs="Sylfaen"/>
                <w:lang w:val="hy-AM"/>
              </w:rPr>
            </w:pPr>
            <w:r w:rsidRPr="0053423A">
              <w:rPr>
                <w:rFonts w:cs="Sylfaen"/>
                <w:lang w:val="hy-AM"/>
              </w:rPr>
              <w:t xml:space="preserve">    </w:t>
            </w:r>
            <w:r w:rsidR="00530B14" w:rsidRPr="0053423A">
              <w:rPr>
                <w:rFonts w:cs="Sylfaen"/>
                <w:lang w:val="hy-AM"/>
              </w:rPr>
              <w:t xml:space="preserve">Նախատեսվում է </w:t>
            </w:r>
            <w:r w:rsidR="00530B14" w:rsidRPr="0053423A">
              <w:rPr>
                <w:lang w:val="hy-AM"/>
              </w:rPr>
              <w:t>«Հարկային օրենսգրքում փոփո</w:t>
            </w:r>
            <w:r w:rsidR="00530B14" w:rsidRPr="0053423A">
              <w:rPr>
                <w:lang w:val="hy-AM"/>
              </w:rPr>
              <w:softHyphen/>
              <w:t>խու</w:t>
            </w:r>
            <w:r w:rsidR="00530B14" w:rsidRPr="0053423A">
              <w:rPr>
                <w:lang w:val="hy-AM"/>
              </w:rPr>
              <w:softHyphen/>
              <w:t xml:space="preserve">թյուն կատարելու մասին» ՀՀ օրենքի նախագծի մշակում, որի նպատակն է հանրապետությունում </w:t>
            </w:r>
            <w:r w:rsidR="00530B14" w:rsidRPr="0053423A">
              <w:rPr>
                <w:rFonts w:cs="Sylfaen"/>
                <w:lang w:val="hy-AM"/>
              </w:rPr>
              <w:t>ջրային ռեսուրսների  երկրոդային օգտագործման ծավալների ավելացմանն ուղղված տնտեսական մեխանիզմի ներդրումը:</w:t>
            </w:r>
          </w:p>
          <w:p w:rsidR="00530B14" w:rsidRPr="0053423A" w:rsidRDefault="00232EB0" w:rsidP="00A67858">
            <w:pPr>
              <w:spacing w:line="276" w:lineRule="auto"/>
              <w:ind w:firstLine="283"/>
              <w:jc w:val="both"/>
              <w:rPr>
                <w:b/>
                <w:lang w:val="hy-AM"/>
              </w:rPr>
            </w:pPr>
            <w:r w:rsidRPr="0053423A">
              <w:rPr>
                <w:rFonts w:cs="Sylfaen"/>
                <w:b/>
                <w:lang w:val="hy-AM"/>
              </w:rPr>
              <w:t xml:space="preserve">     </w:t>
            </w:r>
            <w:r w:rsidR="00530B14" w:rsidRPr="0053423A">
              <w:rPr>
                <w:rFonts w:cs="Sylfaen"/>
                <w:b/>
                <w:lang w:val="hy-AM"/>
              </w:rPr>
              <w:t>2.Միջոցառման</w:t>
            </w:r>
            <w:r w:rsidR="00530B14" w:rsidRPr="0053423A">
              <w:rPr>
                <w:b/>
                <w:lang w:val="hy-AM"/>
              </w:rPr>
              <w:t xml:space="preserve"> </w:t>
            </w:r>
            <w:r w:rsidR="00530B14" w:rsidRPr="0053423A">
              <w:rPr>
                <w:rFonts w:cs="Sylfaen"/>
                <w:b/>
                <w:lang w:val="hy-AM"/>
              </w:rPr>
              <w:t>իրականացումից</w:t>
            </w:r>
            <w:r w:rsidR="00530B14" w:rsidRPr="0053423A">
              <w:rPr>
                <w:b/>
                <w:lang w:val="hy-AM"/>
              </w:rPr>
              <w:t xml:space="preserve"> </w:t>
            </w:r>
            <w:r w:rsidR="00530B14" w:rsidRPr="0053423A">
              <w:rPr>
                <w:rFonts w:cs="Sylfaen"/>
                <w:b/>
                <w:lang w:val="hy-AM"/>
              </w:rPr>
              <w:t>ակնկալվող</w:t>
            </w:r>
            <w:r w:rsidR="00530B14" w:rsidRPr="0053423A">
              <w:rPr>
                <w:b/>
                <w:lang w:val="hy-AM"/>
              </w:rPr>
              <w:t xml:space="preserve"> </w:t>
            </w:r>
            <w:r w:rsidR="00530B14" w:rsidRPr="0053423A">
              <w:rPr>
                <w:rFonts w:cs="Sylfaen"/>
                <w:b/>
                <w:lang w:val="hy-AM"/>
              </w:rPr>
              <w:t>արդյունքը</w:t>
            </w:r>
            <w:r w:rsidR="00530B14" w:rsidRPr="0053423A">
              <w:rPr>
                <w:b/>
                <w:lang w:val="hy-AM"/>
              </w:rPr>
              <w:t xml:space="preserve"> </w:t>
            </w:r>
          </w:p>
          <w:p w:rsidR="00530B14" w:rsidRPr="0053423A" w:rsidRDefault="00530B14" w:rsidP="00A67858">
            <w:pPr>
              <w:spacing w:line="276" w:lineRule="auto"/>
              <w:ind w:firstLine="284"/>
              <w:jc w:val="both"/>
              <w:rPr>
                <w:lang w:val="hy-AM"/>
              </w:rPr>
            </w:pPr>
            <w:r w:rsidRPr="0053423A">
              <w:rPr>
                <w:rFonts w:cs="Sylfaen"/>
                <w:lang w:val="hy-AM"/>
              </w:rPr>
              <w:t>Կանխատեսվում է, որ օրենքի ընդունումից հետո  կբարձրանա ջրային ռեսուրսների կառավարման և պահպանության արդյունավետությունը,  մասնավորապես ջրային ռեսուրսների  երկրոդային օգտագործման ծավալների ավելացման շնորհիվ կկրճատվի ջրառը:</w:t>
            </w:r>
          </w:p>
          <w:p w:rsidR="00530B14" w:rsidRPr="0053423A" w:rsidRDefault="00530B14" w:rsidP="00A67858">
            <w:pPr>
              <w:tabs>
                <w:tab w:val="left" w:pos="1080"/>
              </w:tabs>
              <w:suppressAutoHyphens/>
              <w:spacing w:line="276" w:lineRule="auto"/>
              <w:jc w:val="center"/>
              <w:rPr>
                <w:rFonts w:eastAsia="Calibri"/>
                <w:b/>
                <w:u w:val="single"/>
                <w:lang w:val="hy-AM"/>
              </w:rPr>
            </w:pPr>
          </w:p>
        </w:tc>
      </w:tr>
      <w:tr w:rsidR="00530B14" w:rsidRPr="0053423A" w:rsidTr="004440EB">
        <w:tc>
          <w:tcPr>
            <w:tcW w:w="480" w:type="dxa"/>
          </w:tcPr>
          <w:p w:rsidR="00530B14" w:rsidRPr="0053423A" w:rsidRDefault="00530B14" w:rsidP="00A67858">
            <w:pPr>
              <w:spacing w:line="276" w:lineRule="auto"/>
              <w:jc w:val="center"/>
              <w:rPr>
                <w:b/>
                <w:bCs/>
                <w:lang w:val="hy-AM"/>
              </w:rPr>
            </w:pPr>
            <w:r w:rsidRPr="0053423A">
              <w:rPr>
                <w:b/>
                <w:bCs/>
                <w:lang w:val="hy-AM"/>
              </w:rPr>
              <w:t xml:space="preserve">15. </w:t>
            </w:r>
          </w:p>
        </w:tc>
        <w:tc>
          <w:tcPr>
            <w:tcW w:w="10879" w:type="dxa"/>
          </w:tcPr>
          <w:p w:rsidR="00530B14" w:rsidRPr="0053423A" w:rsidRDefault="00530B14" w:rsidP="00A67858">
            <w:pPr>
              <w:spacing w:line="276" w:lineRule="auto"/>
              <w:jc w:val="center"/>
              <w:rPr>
                <w:b/>
                <w:lang w:val="hy-AM"/>
              </w:rPr>
            </w:pPr>
            <w:r w:rsidRPr="0053423A">
              <w:rPr>
                <w:b/>
                <w:lang w:val="hy-AM"/>
              </w:rPr>
              <w:t>Անտառներում</w:t>
            </w:r>
            <w:r w:rsidRPr="0053423A">
              <w:rPr>
                <w:rFonts w:eastAsia="Calibri"/>
                <w:b/>
                <w:lang w:val="hy-AM"/>
              </w:rPr>
              <w:t xml:space="preserve"> </w:t>
            </w:r>
            <w:r w:rsidRPr="0053423A">
              <w:rPr>
                <w:b/>
                <w:lang w:val="hy-AM"/>
              </w:rPr>
              <w:t>և</w:t>
            </w:r>
            <w:r w:rsidRPr="0053423A">
              <w:rPr>
                <w:rFonts w:eastAsia="Calibri"/>
                <w:b/>
                <w:lang w:val="hy-AM"/>
              </w:rPr>
              <w:t xml:space="preserve"> </w:t>
            </w:r>
            <w:r w:rsidRPr="0053423A">
              <w:rPr>
                <w:b/>
                <w:lang w:val="hy-AM"/>
              </w:rPr>
              <w:t>բնության</w:t>
            </w:r>
            <w:r w:rsidRPr="0053423A">
              <w:rPr>
                <w:rFonts w:eastAsia="Calibri"/>
                <w:b/>
                <w:lang w:val="hy-AM"/>
              </w:rPr>
              <w:t xml:space="preserve"> </w:t>
            </w:r>
            <w:r w:rsidRPr="0053423A">
              <w:rPr>
                <w:b/>
                <w:lang w:val="hy-AM"/>
              </w:rPr>
              <w:t>հատուկ</w:t>
            </w:r>
            <w:r w:rsidRPr="0053423A">
              <w:rPr>
                <w:rFonts w:eastAsia="Calibri"/>
                <w:b/>
                <w:lang w:val="hy-AM"/>
              </w:rPr>
              <w:t xml:space="preserve"> </w:t>
            </w:r>
            <w:r w:rsidRPr="0053423A">
              <w:rPr>
                <w:b/>
                <w:lang w:val="hy-AM"/>
              </w:rPr>
              <w:t>պահպանվող</w:t>
            </w:r>
            <w:r w:rsidRPr="0053423A">
              <w:rPr>
                <w:rFonts w:eastAsia="Calibri"/>
                <w:b/>
                <w:lang w:val="hy-AM"/>
              </w:rPr>
              <w:t xml:space="preserve"> </w:t>
            </w:r>
            <w:r w:rsidRPr="0053423A">
              <w:rPr>
                <w:b/>
                <w:lang w:val="hy-AM"/>
              </w:rPr>
              <w:t>տարածքներում</w:t>
            </w:r>
            <w:r w:rsidRPr="0053423A">
              <w:rPr>
                <w:rFonts w:eastAsia="Calibri"/>
                <w:b/>
                <w:lang w:val="hy-AM"/>
              </w:rPr>
              <w:t xml:space="preserve"> </w:t>
            </w:r>
            <w:r w:rsidRPr="0053423A">
              <w:rPr>
                <w:b/>
                <w:lang w:val="hy-AM"/>
              </w:rPr>
              <w:t>էկոտուրիզմի</w:t>
            </w:r>
            <w:r w:rsidRPr="0053423A">
              <w:rPr>
                <w:rFonts w:eastAsia="Calibri"/>
                <w:b/>
                <w:lang w:val="hy-AM"/>
              </w:rPr>
              <w:t xml:space="preserve"> </w:t>
            </w:r>
            <w:r w:rsidRPr="0053423A">
              <w:rPr>
                <w:b/>
                <w:lang w:val="hy-AM"/>
              </w:rPr>
              <w:t>զարգացում</w:t>
            </w:r>
          </w:p>
          <w:p w:rsidR="00530B14" w:rsidRPr="0053423A" w:rsidRDefault="00530B14" w:rsidP="00A67858">
            <w:pPr>
              <w:spacing w:line="276" w:lineRule="auto"/>
              <w:jc w:val="center"/>
              <w:rPr>
                <w:b/>
                <w:lang w:val="hy-AM"/>
              </w:rPr>
            </w:pPr>
          </w:p>
          <w:p w:rsidR="00530B14" w:rsidRPr="0053423A" w:rsidRDefault="00530B14" w:rsidP="00A67858">
            <w:pPr>
              <w:spacing w:line="276" w:lineRule="auto"/>
              <w:jc w:val="center"/>
              <w:rPr>
                <w:rStyle w:val="apple-style-span"/>
                <w:b/>
                <w:u w:val="single"/>
                <w:lang w:val="hy-AM"/>
              </w:rPr>
            </w:pPr>
            <w:r w:rsidRPr="0053423A">
              <w:rPr>
                <w:b/>
                <w:bCs/>
                <w:u w:val="single"/>
                <w:lang w:val="hy-AM"/>
              </w:rPr>
              <w:t xml:space="preserve">15.1 </w:t>
            </w:r>
            <w:r w:rsidRPr="0053423A">
              <w:rPr>
                <w:rFonts w:cs="GHEA Grapalat"/>
                <w:b/>
                <w:bCs/>
                <w:u w:val="single"/>
                <w:lang w:val="pt-BR"/>
              </w:rPr>
              <w:t></w:t>
            </w:r>
            <w:r w:rsidRPr="0053423A">
              <w:rPr>
                <w:rStyle w:val="apple-style-span"/>
                <w:b/>
                <w:u w:val="single"/>
                <w:lang w:val="hy-AM"/>
              </w:rPr>
              <w:t xml:space="preserve">էկոտուրիստական երթուղիների մշակում» </w:t>
            </w:r>
          </w:p>
          <w:p w:rsidR="00530B14" w:rsidRPr="0053423A" w:rsidRDefault="00530B14" w:rsidP="00A67858">
            <w:pPr>
              <w:spacing w:line="276" w:lineRule="auto"/>
              <w:jc w:val="center"/>
              <w:rPr>
                <w:rStyle w:val="apple-style-span"/>
                <w:b/>
                <w:lang w:val="hy-AM"/>
              </w:rPr>
            </w:pPr>
          </w:p>
          <w:p w:rsidR="00530B14" w:rsidRPr="0053423A" w:rsidRDefault="00530B14" w:rsidP="00A67858">
            <w:pPr>
              <w:pStyle w:val="ListParagraph"/>
              <w:numPr>
                <w:ilvl w:val="0"/>
                <w:numId w:val="67"/>
              </w:numPr>
              <w:spacing w:line="276" w:lineRule="auto"/>
              <w:jc w:val="both"/>
              <w:rPr>
                <w:b/>
                <w:i/>
                <w:lang w:val="hy-AM"/>
              </w:rPr>
            </w:pPr>
            <w:r w:rsidRPr="0053423A">
              <w:rPr>
                <w:b/>
                <w:i/>
                <w:lang w:val="hy-AM"/>
              </w:rPr>
              <w:t>Միջոցառման իրականացման անհրաժեշտությունը և նպատակը</w:t>
            </w:r>
            <w:r w:rsidRPr="0053423A">
              <w:rPr>
                <w:b/>
                <w:i/>
                <w:lang w:val="pt-BR"/>
              </w:rPr>
              <w:t>.</w:t>
            </w:r>
          </w:p>
          <w:p w:rsidR="00530B14" w:rsidRPr="0053423A" w:rsidRDefault="00232EB0" w:rsidP="00A67858">
            <w:pPr>
              <w:spacing w:line="276" w:lineRule="auto"/>
              <w:ind w:firstLine="375"/>
              <w:jc w:val="both"/>
              <w:rPr>
                <w:rFonts w:cs="Courier New"/>
                <w:lang w:val="hy-AM"/>
              </w:rPr>
            </w:pPr>
            <w:r w:rsidRPr="0053423A">
              <w:rPr>
                <w:rFonts w:cs="Courier New"/>
                <w:lang w:val="hy-AM"/>
              </w:rPr>
              <w:t>Միջո</w:t>
            </w:r>
            <w:r w:rsidR="00530B14" w:rsidRPr="0053423A">
              <w:rPr>
                <w:rFonts w:cs="Courier New"/>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Անտառներում և բնության հատուկ պահպանվող տարածքներում էկոտուրիզմի զարգացում  ուղղությունը:</w:t>
            </w:r>
          </w:p>
          <w:p w:rsidR="00530B14" w:rsidRPr="0053423A" w:rsidRDefault="00530B14" w:rsidP="00A67858">
            <w:pPr>
              <w:spacing w:line="276" w:lineRule="auto"/>
              <w:ind w:firstLine="375"/>
              <w:jc w:val="both"/>
              <w:rPr>
                <w:rFonts w:cs="Courier New"/>
                <w:lang w:val="hy-AM"/>
              </w:rPr>
            </w:pPr>
            <w:r w:rsidRPr="0053423A">
              <w:rPr>
                <w:rFonts w:cs="Courier New"/>
                <w:lang w:val="hy-AM"/>
              </w:rPr>
              <w:t>Միջոցառման իրականացման համար հիմք է համդիսացել աշխարհում լայն տարածում ստացած անտառներում և բնության հատուկ պահպանվող տարածքներում էկոտուրիզմի զարգացումը և դրա մասսայականացումը</w:t>
            </w:r>
            <w:r w:rsidRPr="0053423A">
              <w:rPr>
                <w:rFonts w:cs="Courier New"/>
                <w:lang w:val="pt-BR"/>
              </w:rPr>
              <w:t xml:space="preserve">, </w:t>
            </w:r>
            <w:r w:rsidRPr="0053423A">
              <w:rPr>
                <w:rFonts w:cs="Courier New"/>
                <w:lang w:val="hy-AM"/>
              </w:rPr>
              <w:t>ինչպես նաև կառավարության կողմից հաստատված գերակա ճյուղը, Հայաստան այցելած զբոսաշրջիկների աճը:</w:t>
            </w:r>
          </w:p>
          <w:p w:rsidR="00530B14" w:rsidRPr="0053423A" w:rsidRDefault="00530B14" w:rsidP="00A67858">
            <w:pPr>
              <w:spacing w:line="276" w:lineRule="auto"/>
              <w:ind w:firstLine="375"/>
              <w:jc w:val="both"/>
              <w:rPr>
                <w:rFonts w:cs="Courier New"/>
                <w:b/>
                <w:lang w:val="pt-BR"/>
              </w:rPr>
            </w:pPr>
            <w:r w:rsidRPr="0053423A">
              <w:rPr>
                <w:rFonts w:cs="Courier New"/>
                <w:b/>
                <w:lang w:val="pt-BR"/>
              </w:rPr>
              <w:t>1.1.</w:t>
            </w:r>
            <w:r w:rsidRPr="0053423A">
              <w:rPr>
                <w:rFonts w:cs="Courier New"/>
                <w:b/>
                <w:lang w:val="pt-BR"/>
              </w:rPr>
              <w:tab/>
            </w:r>
            <w:r w:rsidRPr="0053423A">
              <w:rPr>
                <w:rFonts w:cs="Courier New"/>
                <w:b/>
                <w:lang w:val="hy-AM"/>
              </w:rPr>
              <w:t>Կարգավորման հարաբերությունների ներկա վիճակը և առկա խնդիրները</w:t>
            </w:r>
            <w:r w:rsidRPr="0053423A">
              <w:rPr>
                <w:rFonts w:cs="Courier New"/>
                <w:b/>
                <w:lang w:val="pt-BR"/>
              </w:rPr>
              <w:t>.</w:t>
            </w:r>
          </w:p>
          <w:p w:rsidR="00530B14" w:rsidRPr="0053423A" w:rsidRDefault="00530B14" w:rsidP="00A67858">
            <w:pPr>
              <w:spacing w:line="276" w:lineRule="auto"/>
              <w:ind w:firstLine="375"/>
              <w:jc w:val="both"/>
              <w:rPr>
                <w:rFonts w:cs="Courier New"/>
                <w:lang w:val="hy-AM"/>
              </w:rPr>
            </w:pPr>
            <w:r w:rsidRPr="0053423A">
              <w:rPr>
                <w:rFonts w:cs="Courier New"/>
                <w:lang w:val="hy-AM"/>
              </w:rPr>
              <w:t xml:space="preserve">Բնության հատուկ պահպանվող տարածքներում գործում են էկոերթուղիներ, սակայն կանոնակարգված չեն, նոր էկոերթուղիները կհանդիսանան ժամանակակից, գրավիչ և այլ առանձնահատկություններով օժտված: </w:t>
            </w:r>
          </w:p>
          <w:p w:rsidR="00530B14" w:rsidRPr="0053423A" w:rsidRDefault="00530B14" w:rsidP="00A67858">
            <w:pPr>
              <w:pStyle w:val="ListParagraph"/>
              <w:numPr>
                <w:ilvl w:val="1"/>
                <w:numId w:val="30"/>
              </w:numPr>
              <w:spacing w:line="276" w:lineRule="auto"/>
              <w:ind w:left="733" w:hanging="270"/>
              <w:jc w:val="both"/>
              <w:rPr>
                <w:b/>
              </w:rPr>
            </w:pPr>
            <w:r w:rsidRPr="0053423A">
              <w:rPr>
                <w:rFonts w:cs="Sylfaen"/>
                <w:b/>
              </w:rPr>
              <w:t>Առկա</w:t>
            </w:r>
            <w:r w:rsidRPr="0053423A">
              <w:rPr>
                <w:b/>
              </w:rPr>
              <w:t xml:space="preserve"> խնդիրների առաջարկվող լուծումները.</w:t>
            </w:r>
          </w:p>
          <w:p w:rsidR="00530B14" w:rsidRPr="0053423A" w:rsidRDefault="00530B14" w:rsidP="00A67858">
            <w:pPr>
              <w:spacing w:line="276" w:lineRule="auto"/>
              <w:ind w:firstLine="720"/>
              <w:jc w:val="both"/>
              <w:rPr>
                <w:rFonts w:cs="Courier New"/>
              </w:rPr>
            </w:pPr>
            <w:r w:rsidRPr="0053423A">
              <w:rPr>
                <w:rFonts w:cs="Courier New"/>
                <w:lang w:val="hy-AM"/>
              </w:rPr>
              <w:t xml:space="preserve">Նոր էկոերթուղիների նախագծման ժամանակ հաշվի կառնվեն միջազգաին չափորոշիչները, գրավչության աստիճանը, հաշվի կառնվեն քայլարշավային առավելագույն տարածությունները մեկ մարդու հաշվով: </w:t>
            </w:r>
            <w:r w:rsidRPr="0053423A">
              <w:rPr>
                <w:rFonts w:cs="Courier New"/>
              </w:rPr>
              <w:t xml:space="preserve">Միջոցառման իրականացման համակատարողներ են հանդիսանում ՀՀ տնտեսական զարգացման և ներդրումների նախարարության զբոսաշրջության պետական կոմիտեն, ինչպես նաև ակնկալվում </w:t>
            </w:r>
            <w:r w:rsidRPr="0053423A">
              <w:rPr>
                <w:rFonts w:cs="Courier New"/>
                <w:lang w:val="hy-AM"/>
              </w:rPr>
              <w:t xml:space="preserve">է </w:t>
            </w:r>
            <w:r w:rsidRPr="0053423A">
              <w:rPr>
                <w:rFonts w:cs="Courier New"/>
              </w:rPr>
              <w:t>ստանալ աջակցություն Հայաստանի տուրիզմի ֆեդերացիայի և տուրիստական կազմակերպությունների (ըստ ցանկության) կողմից:</w:t>
            </w:r>
            <w:r w:rsidRPr="0053423A">
              <w:rPr>
                <w:rFonts w:cs="Courier New"/>
                <w:lang w:val="hy-AM"/>
              </w:rPr>
              <w:t xml:space="preserve"> </w:t>
            </w:r>
            <w:r w:rsidRPr="0053423A">
              <w:rPr>
                <w:rFonts w:cs="Courier New"/>
              </w:rPr>
              <w:t>Նախատեսվում է, որ համակատարողները կօ</w:t>
            </w:r>
            <w:r w:rsidRPr="0053423A">
              <w:rPr>
                <w:rFonts w:cs="Courier New"/>
                <w:lang w:val="hy-AM"/>
              </w:rPr>
              <w:t>ժանդակե</w:t>
            </w:r>
            <w:r w:rsidRPr="0053423A">
              <w:rPr>
                <w:rFonts w:cs="Courier New"/>
              </w:rPr>
              <w:t>ն համապատասխան գովազդների պատրաստման հարցում:</w:t>
            </w:r>
          </w:p>
          <w:p w:rsidR="00530B14" w:rsidRPr="0053423A" w:rsidRDefault="00530B14" w:rsidP="00A67858">
            <w:pPr>
              <w:pStyle w:val="ListParagraph"/>
              <w:spacing w:line="276" w:lineRule="auto"/>
              <w:jc w:val="both"/>
              <w:rPr>
                <w:b/>
                <w:i/>
              </w:rPr>
            </w:pPr>
            <w:r w:rsidRPr="0053423A">
              <w:rPr>
                <w:b/>
                <w:i/>
              </w:rPr>
              <w:t>2.</w:t>
            </w:r>
            <w:r w:rsidR="00D67A7D" w:rsidRPr="0053423A">
              <w:rPr>
                <w:b/>
                <w:i/>
                <w:lang w:val="hy-AM"/>
              </w:rPr>
              <w:t xml:space="preserve"> </w:t>
            </w:r>
            <w:r w:rsidRPr="0053423A">
              <w:rPr>
                <w:b/>
                <w:i/>
              </w:rPr>
              <w:t>Միջոցառման իրականացումից ակնկալվող արդյունքը.</w:t>
            </w:r>
          </w:p>
          <w:p w:rsidR="00530B14" w:rsidRPr="0053423A" w:rsidRDefault="00530B14" w:rsidP="00A67858">
            <w:pPr>
              <w:spacing w:line="276" w:lineRule="auto"/>
              <w:ind w:left="426" w:hanging="51"/>
              <w:jc w:val="both"/>
              <w:rPr>
                <w:rFonts w:cs="Courier New"/>
                <w:lang w:val="hy-AM"/>
              </w:rPr>
            </w:pPr>
            <w:r w:rsidRPr="0053423A">
              <w:rPr>
                <w:rFonts w:cs="Courier New"/>
                <w:lang w:val="hy-AM"/>
              </w:rPr>
              <w:t>Հիմնական արդյունք</w:t>
            </w:r>
            <w:r w:rsidRPr="0053423A">
              <w:rPr>
                <w:rFonts w:cs="Courier New"/>
              </w:rPr>
              <w:t>ն է</w:t>
            </w:r>
            <w:r w:rsidRPr="0053423A">
              <w:rPr>
                <w:rFonts w:cs="Courier New"/>
                <w:lang w:val="hy-AM"/>
              </w:rPr>
              <w:t>՝</w:t>
            </w:r>
          </w:p>
          <w:p w:rsidR="00530B14" w:rsidRPr="0053423A" w:rsidRDefault="00530B14" w:rsidP="00A67858">
            <w:pPr>
              <w:spacing w:line="276" w:lineRule="auto"/>
              <w:ind w:left="426" w:hanging="51"/>
              <w:jc w:val="both"/>
              <w:rPr>
                <w:rFonts w:cs="Courier New"/>
                <w:lang w:val="hy-AM"/>
              </w:rPr>
            </w:pPr>
            <w:r w:rsidRPr="0053423A">
              <w:rPr>
                <w:rFonts w:cs="Courier New"/>
                <w:lang w:val="hy-AM"/>
              </w:rPr>
              <w:t>- բնության հատուկ պահպանվող տարածքներում և անտառներում էկոտուրիզմի զարգացում,</w:t>
            </w:r>
          </w:p>
          <w:p w:rsidR="00530B14" w:rsidRPr="0053423A" w:rsidRDefault="00530B14" w:rsidP="00A67858">
            <w:pPr>
              <w:spacing w:line="276" w:lineRule="auto"/>
              <w:ind w:left="426" w:hanging="51"/>
              <w:jc w:val="both"/>
              <w:rPr>
                <w:rFonts w:cs="Courier New"/>
                <w:lang w:val="hy-AM"/>
              </w:rPr>
            </w:pPr>
            <w:r w:rsidRPr="0053423A">
              <w:rPr>
                <w:rFonts w:cs="Courier New"/>
                <w:lang w:val="hy-AM"/>
              </w:rPr>
              <w:t xml:space="preserve">- զբոսաշրջիկների ներգրավվածությունը բնության մեջ, </w:t>
            </w:r>
          </w:p>
          <w:p w:rsidR="00530B14" w:rsidRPr="0053423A" w:rsidRDefault="00530B14" w:rsidP="00A67858">
            <w:pPr>
              <w:spacing w:line="276" w:lineRule="auto"/>
              <w:ind w:left="426" w:hanging="51"/>
              <w:jc w:val="both"/>
              <w:rPr>
                <w:rFonts w:cs="Courier New"/>
                <w:lang w:val="hy-AM"/>
              </w:rPr>
            </w:pPr>
            <w:r w:rsidRPr="0053423A">
              <w:rPr>
                <w:rFonts w:cs="Courier New"/>
                <w:lang w:val="hy-AM"/>
              </w:rPr>
              <w:t>- էկոկրթվածության մակարդակի բարձրացում,</w:t>
            </w:r>
          </w:p>
          <w:p w:rsidR="00530B14" w:rsidRPr="0053423A" w:rsidRDefault="00530B14" w:rsidP="00A67858">
            <w:pPr>
              <w:spacing w:line="276" w:lineRule="auto"/>
              <w:ind w:left="426" w:hanging="51"/>
              <w:jc w:val="both"/>
              <w:rPr>
                <w:rFonts w:cs="Courier New"/>
                <w:lang w:val="hy-AM"/>
              </w:rPr>
            </w:pPr>
            <w:r w:rsidRPr="0053423A">
              <w:rPr>
                <w:rFonts w:cs="Courier New"/>
                <w:lang w:val="hy-AM"/>
              </w:rPr>
              <w:t>-տեղական բնակչության զարգացում:</w:t>
            </w:r>
          </w:p>
          <w:p w:rsidR="00530B14" w:rsidRPr="0053423A" w:rsidRDefault="00530B14" w:rsidP="00A67858">
            <w:pPr>
              <w:spacing w:line="276" w:lineRule="auto"/>
              <w:ind w:left="426" w:hanging="51"/>
              <w:jc w:val="both"/>
              <w:rPr>
                <w:b/>
                <w:bCs/>
                <w:lang w:val="hy-AM"/>
              </w:rPr>
            </w:pPr>
          </w:p>
        </w:tc>
      </w:tr>
      <w:tr w:rsidR="00530B14" w:rsidRPr="00DE2EFA" w:rsidTr="004440EB">
        <w:tc>
          <w:tcPr>
            <w:tcW w:w="480" w:type="dxa"/>
          </w:tcPr>
          <w:p w:rsidR="00530B14" w:rsidRPr="0053423A" w:rsidRDefault="00530B14" w:rsidP="00A67858">
            <w:pPr>
              <w:spacing w:line="276" w:lineRule="auto"/>
              <w:jc w:val="center"/>
              <w:rPr>
                <w:b/>
                <w:bCs/>
              </w:rPr>
            </w:pPr>
            <w:r w:rsidRPr="0053423A">
              <w:rPr>
                <w:b/>
                <w:bCs/>
              </w:rPr>
              <w:t xml:space="preserve">16 </w:t>
            </w:r>
          </w:p>
        </w:tc>
        <w:tc>
          <w:tcPr>
            <w:tcW w:w="10879" w:type="dxa"/>
          </w:tcPr>
          <w:p w:rsidR="00530B14" w:rsidRPr="0053423A" w:rsidRDefault="00530B14" w:rsidP="00A67858">
            <w:pPr>
              <w:spacing w:line="276" w:lineRule="auto"/>
              <w:jc w:val="center"/>
              <w:rPr>
                <w:b/>
                <w:lang w:val="hy-AM"/>
              </w:rPr>
            </w:pPr>
            <w:r w:rsidRPr="0053423A">
              <w:rPr>
                <w:b/>
                <w:lang w:val="hy-AM"/>
              </w:rPr>
              <w:t>Էկոլոգիական իրազեկման, էկոկրթության, մշակույթի, դաստիարակության լայնածավալ միջոցառումների իրականացում, էկոլոգիական գիտության դերի բարձրացում</w:t>
            </w:r>
          </w:p>
          <w:p w:rsidR="00530B14" w:rsidRPr="0053423A" w:rsidRDefault="00530B14" w:rsidP="00A67858">
            <w:pPr>
              <w:spacing w:line="276" w:lineRule="auto"/>
              <w:jc w:val="center"/>
              <w:rPr>
                <w:b/>
                <w:lang w:val="hy-AM"/>
              </w:rPr>
            </w:pPr>
          </w:p>
          <w:p w:rsidR="00530B14" w:rsidRPr="0053423A" w:rsidRDefault="00530B14" w:rsidP="00A67858">
            <w:pPr>
              <w:spacing w:line="276" w:lineRule="auto"/>
              <w:jc w:val="center"/>
              <w:rPr>
                <w:b/>
                <w:u w:val="single"/>
                <w:lang w:val="hy-AM"/>
              </w:rPr>
            </w:pPr>
            <w:r w:rsidRPr="0053423A">
              <w:rPr>
                <w:b/>
                <w:u w:val="single"/>
                <w:lang w:val="hy-AM"/>
              </w:rPr>
              <w:t xml:space="preserve">16.1 «Էկոլոգիական կրթության և դաստիարակության մասին» ՀՀ օրենքում փոփոխություններ և լրացումներ կատարելու մասին» ՀՀ օրենքի </w:t>
            </w:r>
            <w:r w:rsidRPr="0053423A">
              <w:rPr>
                <w:rFonts w:cs="Arial"/>
                <w:b/>
                <w:u w:val="single"/>
                <w:lang w:val="hy-AM"/>
              </w:rPr>
              <w:t>նախագիծը վարչապետի աշխատակազմ ներկայացնելը</w:t>
            </w:r>
            <w:r w:rsidRPr="0053423A">
              <w:rPr>
                <w:b/>
                <w:u w:val="single"/>
                <w:lang w:val="hy-AM"/>
              </w:rPr>
              <w:t>»</w:t>
            </w:r>
          </w:p>
          <w:p w:rsidR="00530B14" w:rsidRPr="0053423A" w:rsidRDefault="00530B14" w:rsidP="00A67858">
            <w:pPr>
              <w:spacing w:line="276" w:lineRule="auto"/>
              <w:jc w:val="center"/>
              <w:rPr>
                <w:b/>
                <w:u w:val="single"/>
                <w:lang w:val="hy-AM"/>
              </w:rPr>
            </w:pPr>
          </w:p>
          <w:p w:rsidR="00530B14" w:rsidRPr="0053423A" w:rsidRDefault="00530B14" w:rsidP="001F6D5D">
            <w:pPr>
              <w:pStyle w:val="ListParagraph"/>
              <w:numPr>
                <w:ilvl w:val="0"/>
                <w:numId w:val="300"/>
              </w:numPr>
              <w:spacing w:line="276" w:lineRule="auto"/>
              <w:jc w:val="both"/>
              <w:rPr>
                <w:b/>
                <w:i/>
                <w:lang w:val="hy-AM"/>
              </w:rPr>
            </w:pPr>
            <w:r w:rsidRPr="0053423A">
              <w:rPr>
                <w:b/>
                <w:i/>
                <w:lang w:val="hy-AM"/>
              </w:rPr>
              <w:t>Միջոցառման իրակացման անհրաժեշտությունը և նպատակը</w:t>
            </w:r>
          </w:p>
          <w:p w:rsidR="00530B14" w:rsidRPr="0053423A" w:rsidRDefault="00232EB0" w:rsidP="00A67858">
            <w:pPr>
              <w:spacing w:line="276" w:lineRule="auto"/>
              <w:jc w:val="both"/>
              <w:rPr>
                <w:lang w:val="hy-AM"/>
              </w:rPr>
            </w:pPr>
            <w:r w:rsidRPr="0053423A">
              <w:rPr>
                <w:lang w:val="hy-AM"/>
              </w:rPr>
              <w:t xml:space="preserve">  </w:t>
            </w:r>
            <w:r w:rsidRPr="0053423A">
              <w:rPr>
                <w:lang w:val="hy-AM"/>
              </w:rPr>
              <w:tab/>
              <w:t>Միջո</w:t>
            </w:r>
            <w:r w:rsidR="00530B14" w:rsidRPr="0053423A">
              <w:rPr>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Էկոլոգիական իրազեկման, էկոկրթության, մշակույթի, դաստիարակության լայնածավալ միջոցառումների իրականացում, էկոլոգիական գիտության դերի բարձրացում  ուղղությունը:</w:t>
            </w:r>
          </w:p>
          <w:p w:rsidR="00530B14" w:rsidRPr="0053423A" w:rsidRDefault="00530B14" w:rsidP="00A67858">
            <w:pPr>
              <w:spacing w:line="276" w:lineRule="auto"/>
              <w:ind w:firstLine="720"/>
              <w:jc w:val="both"/>
              <w:rPr>
                <w:lang w:val="hy-AM"/>
              </w:rPr>
            </w:pPr>
            <w:r w:rsidRPr="0053423A">
              <w:rPr>
                <w:lang w:val="hy-AM"/>
              </w:rPr>
              <w:t>Միջոցառման նպատակը Հայաստանի Հանրապետությունում էկոլոգիական կրթության, դաստիարակության և իրազեկման համակարգի կատարելագործումն է, պետական կառավարման մարմինների իրավասությունների հստակեցումը` ուղղված էկոլոգիական կրթության որակի բարելավմանը, հասարակության իրազեկվածության մակարդակի բարձրացմանը և էկոլոգիական գիտակցության ձևավորմանը:</w:t>
            </w:r>
          </w:p>
          <w:p w:rsidR="00530B14" w:rsidRPr="0053423A" w:rsidRDefault="00530B14" w:rsidP="00A67858">
            <w:pPr>
              <w:spacing w:line="276" w:lineRule="auto"/>
              <w:jc w:val="both"/>
              <w:rPr>
                <w:b/>
                <w:lang w:val="hy-AM"/>
              </w:rPr>
            </w:pPr>
            <w:r w:rsidRPr="0053423A">
              <w:rPr>
                <w:lang w:val="hy-AM"/>
              </w:rPr>
              <w:t xml:space="preserve">  </w:t>
            </w:r>
            <w:r w:rsidR="00D67A7D" w:rsidRPr="0053423A">
              <w:rPr>
                <w:lang w:val="hy-AM"/>
              </w:rPr>
              <w:t xml:space="preserve">    </w:t>
            </w:r>
            <w:r w:rsidRPr="0053423A">
              <w:rPr>
                <w:b/>
                <w:lang w:val="hy-AM"/>
              </w:rPr>
              <w:t>1.1. կարգավորման հարաբերությունների ներկա վիճակը և առկա խնդիրները</w:t>
            </w:r>
          </w:p>
          <w:p w:rsidR="00530B14" w:rsidRPr="0053423A" w:rsidRDefault="00530B14" w:rsidP="00A67858">
            <w:pPr>
              <w:spacing w:line="276" w:lineRule="auto"/>
              <w:jc w:val="both"/>
              <w:rPr>
                <w:lang w:val="hy-AM"/>
              </w:rPr>
            </w:pPr>
            <w:r w:rsidRPr="0053423A">
              <w:rPr>
                <w:lang w:val="hy-AM"/>
              </w:rPr>
              <w:t xml:space="preserve">      Ոլորտում դեռևս առկա է օրենքների, սկզբունքների ներդաշնակ կիրառման պակաս, որը պայմանավորված է բնապահպանական կրթության համակարգի պետական լիազոր մարմինների իրավասությունների ոչ բավարար հստակեցումից և ոչ արդյունավետ փոխհամագործակցությունից։ Բավարար չափով ուշադրություն չի դարձվում ընտանեկան և նախադպրոցական հաստատություններում էկոլոգիական դաստիարակության ներդաշնակության վրա, ինչպես նաև հանրակրթական մակարդակում էկոլոգիական կրթության շարունակականության վրա։ Այն պետք է իրականացնել տարրական դպրոցից մինչև ավագ դպրոց ներառյալ։ Առաջացել է ոլորտի օրենսդրական բազայի կատարելագործման, բնապահպանական  կրթության ոլորտում  «Կրթությունը հանուն կայուն զարգացման» ռազմավարության  գաղափարների և սկզբունքների ինտեգրման, պետական կառավարման մարմինների լիազորությունների վերանայման և հստակեցման անհրաժեշտություն։ </w:t>
            </w:r>
          </w:p>
          <w:p w:rsidR="00530B14" w:rsidRPr="0053423A" w:rsidRDefault="00530B14" w:rsidP="00A67858">
            <w:pPr>
              <w:spacing w:line="276" w:lineRule="auto"/>
              <w:jc w:val="both"/>
              <w:rPr>
                <w:b/>
                <w:lang w:val="hy-AM"/>
              </w:rPr>
            </w:pPr>
            <w:r w:rsidRPr="0053423A">
              <w:rPr>
                <w:lang w:val="hy-AM"/>
              </w:rPr>
              <w:t xml:space="preserve">     </w:t>
            </w:r>
            <w:r w:rsidRPr="0053423A">
              <w:rPr>
                <w:b/>
                <w:lang w:val="hy-AM"/>
              </w:rPr>
              <w:t>1.2. առկա խնդիրների առաջարկվող լուծումները</w:t>
            </w:r>
          </w:p>
          <w:p w:rsidR="00530B14" w:rsidRPr="0053423A" w:rsidRDefault="00530B14" w:rsidP="00A67858">
            <w:pPr>
              <w:spacing w:line="276" w:lineRule="auto"/>
              <w:jc w:val="both"/>
              <w:rPr>
                <w:lang w:val="hy-AM"/>
              </w:rPr>
            </w:pPr>
            <w:r w:rsidRPr="0053423A">
              <w:rPr>
                <w:lang w:val="hy-AM"/>
              </w:rPr>
              <w:t xml:space="preserve">     Ոլորտի խնդիրների արդյունավետ լուծման համար անհրաժեշտ է.</w:t>
            </w:r>
          </w:p>
          <w:p w:rsidR="00530B14" w:rsidRPr="0053423A" w:rsidRDefault="00530B14" w:rsidP="00A67858">
            <w:pPr>
              <w:spacing w:line="276" w:lineRule="auto"/>
              <w:jc w:val="both"/>
              <w:rPr>
                <w:lang w:val="hy-AM"/>
              </w:rPr>
            </w:pPr>
            <w:r w:rsidRPr="0053423A">
              <w:rPr>
                <w:lang w:val="hy-AM"/>
              </w:rPr>
              <w:t xml:space="preserve">• Բնապահպանական կրթության անընդհատության ապահովում, ոլորտի կառավարման արդյունավետության բարձրացում և օպտիմալացում, </w:t>
            </w:r>
          </w:p>
          <w:p w:rsidR="00530B14" w:rsidRPr="0053423A" w:rsidRDefault="00530B14" w:rsidP="00A67858">
            <w:pPr>
              <w:spacing w:line="276" w:lineRule="auto"/>
              <w:jc w:val="both"/>
              <w:rPr>
                <w:lang w:val="hy-AM"/>
              </w:rPr>
            </w:pPr>
            <w:r w:rsidRPr="0053423A">
              <w:rPr>
                <w:lang w:val="hy-AM"/>
              </w:rPr>
              <w:t xml:space="preserve">• Հասարակության լայն խավերի համար բնապահպանական կրթության և իրազեկման մատչելիության ապահովում, </w:t>
            </w:r>
          </w:p>
          <w:p w:rsidR="00530B14" w:rsidRPr="0053423A" w:rsidRDefault="00530B14" w:rsidP="00A67858">
            <w:pPr>
              <w:spacing w:line="276" w:lineRule="auto"/>
              <w:jc w:val="both"/>
              <w:rPr>
                <w:lang w:val="hy-AM"/>
              </w:rPr>
            </w:pPr>
            <w:r w:rsidRPr="0053423A">
              <w:rPr>
                <w:lang w:val="hy-AM"/>
              </w:rPr>
              <w:t>• Պետական կառավարման մարմինների միջև սերտ համագործակցություն, միասնական քաղաքականության իրականացում։</w:t>
            </w:r>
          </w:p>
          <w:p w:rsidR="00530B14" w:rsidRPr="0053423A" w:rsidRDefault="00530B14" w:rsidP="00A67858">
            <w:pPr>
              <w:spacing w:line="276" w:lineRule="auto"/>
              <w:jc w:val="both"/>
              <w:rPr>
                <w:lang w:val="hy-AM"/>
              </w:rPr>
            </w:pPr>
            <w:r w:rsidRPr="0053423A">
              <w:rPr>
                <w:lang w:val="hy-AM"/>
              </w:rPr>
              <w:t xml:space="preserve">•  Կրթության և գիտության նախարարության աշխատակիցների հետ համատեղ քննարկումների իրականացում՝ օրենքի հոդվածներում փոփոխություններ կատարելու և պետական կառավարման մարմինների լիազորությունների վերանայման և հստակեցման վերաբերյալ։ </w:t>
            </w:r>
          </w:p>
          <w:p w:rsidR="00530B14" w:rsidRPr="0053423A" w:rsidRDefault="00530B14" w:rsidP="00A67858">
            <w:pPr>
              <w:spacing w:line="276" w:lineRule="auto"/>
              <w:jc w:val="both"/>
              <w:rPr>
                <w:b/>
                <w:i/>
                <w:lang w:val="hy-AM"/>
              </w:rPr>
            </w:pPr>
            <w:r w:rsidRPr="0053423A">
              <w:rPr>
                <w:lang w:val="hy-AM"/>
              </w:rPr>
              <w:t xml:space="preserve">   </w:t>
            </w:r>
            <w:r w:rsidRPr="0053423A">
              <w:rPr>
                <w:b/>
                <w:i/>
                <w:lang w:val="hy-AM"/>
              </w:rPr>
              <w:t xml:space="preserve">     2. Միջոցառման իրակացումից ակնկալվող արդյունքը</w:t>
            </w:r>
          </w:p>
          <w:p w:rsidR="00530B14" w:rsidRPr="0053423A" w:rsidRDefault="00530B14" w:rsidP="00A67858">
            <w:pPr>
              <w:spacing w:line="276" w:lineRule="auto"/>
              <w:jc w:val="both"/>
              <w:rPr>
                <w:lang w:val="hy-AM"/>
              </w:rPr>
            </w:pPr>
            <w:r w:rsidRPr="0053423A">
              <w:rPr>
                <w:lang w:val="hy-AM"/>
              </w:rPr>
              <w:t xml:space="preserve">       Կբարելավվի էկոլոգիական կրթության օրենսդրությունը և կառավարման համակարգը, կստեղծվի կայուն զարգացման սկզբունքներին բավարարող էկոլոգիական կրթության արդյունավետ գործող   համակարգ։</w:t>
            </w:r>
          </w:p>
          <w:p w:rsidR="00530B14" w:rsidRPr="0053423A" w:rsidRDefault="00530B14" w:rsidP="00A67858">
            <w:pPr>
              <w:spacing w:line="276" w:lineRule="auto"/>
              <w:jc w:val="both"/>
              <w:rPr>
                <w:lang w:val="hy-AM"/>
              </w:rPr>
            </w:pPr>
          </w:p>
          <w:p w:rsidR="00530B14" w:rsidRPr="0053423A" w:rsidRDefault="00530B14" w:rsidP="00A67858">
            <w:pPr>
              <w:spacing w:line="276" w:lineRule="auto"/>
              <w:jc w:val="center"/>
              <w:rPr>
                <w:b/>
                <w:u w:val="single"/>
                <w:lang w:val="hy-AM"/>
              </w:rPr>
            </w:pPr>
            <w:r w:rsidRPr="0053423A">
              <w:rPr>
                <w:b/>
                <w:u w:val="single"/>
                <w:lang w:val="hy-AM"/>
              </w:rPr>
              <w:t>16.2 «Ոչ ֆորմալ էկոլոգիական կրթության համակարգի զարգացում՝ հանրային իրազեկման մեխանիզմների կիրառմամբ»</w:t>
            </w:r>
          </w:p>
          <w:p w:rsidR="00530B14" w:rsidRPr="0053423A" w:rsidRDefault="00530B14" w:rsidP="00A67858">
            <w:pPr>
              <w:spacing w:line="276" w:lineRule="auto"/>
              <w:jc w:val="center"/>
              <w:rPr>
                <w:b/>
                <w:bCs/>
                <w:lang w:val="hy-AM"/>
              </w:rPr>
            </w:pPr>
          </w:p>
          <w:p w:rsidR="00530B14" w:rsidRPr="0053423A" w:rsidRDefault="00530B14" w:rsidP="00A67858">
            <w:pPr>
              <w:pStyle w:val="ListParagraph"/>
              <w:numPr>
                <w:ilvl w:val="0"/>
                <w:numId w:val="68"/>
              </w:numPr>
              <w:spacing w:line="276" w:lineRule="auto"/>
              <w:jc w:val="both"/>
              <w:rPr>
                <w:b/>
                <w:i/>
                <w:lang w:val="hy-AM"/>
              </w:rPr>
            </w:pPr>
            <w:r w:rsidRPr="0053423A">
              <w:rPr>
                <w:b/>
                <w:i/>
                <w:lang w:val="hy-AM"/>
              </w:rPr>
              <w:t>Միջոցառման իրակացման անհրաժեշտությունը և նպատակը</w:t>
            </w:r>
          </w:p>
          <w:p w:rsidR="00530B14" w:rsidRPr="0053423A" w:rsidRDefault="00232EB0" w:rsidP="00A67858">
            <w:pPr>
              <w:spacing w:line="276" w:lineRule="auto"/>
              <w:ind w:firstLine="720"/>
              <w:jc w:val="both"/>
              <w:rPr>
                <w:rFonts w:cs="Arial LatArm"/>
                <w:lang w:val="hy-AM"/>
              </w:rPr>
            </w:pPr>
            <w:r w:rsidRPr="0053423A">
              <w:rPr>
                <w:rFonts w:cs="Arial LatArm"/>
                <w:lang w:val="hy-AM"/>
              </w:rPr>
              <w:t xml:space="preserve">  Միջո</w:t>
            </w:r>
            <w:r w:rsidR="00530B14" w:rsidRPr="0053423A">
              <w:rPr>
                <w:rFonts w:cs="Arial LatArm"/>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Էկոլոգիական իրազեկման, էկոկրթության, մշակույթի, դաստիարակության լայնածավալ միջոցառումների իրականացում, էկոլոգիական գիտության դերի բարձրացում  ուղղությունը:</w:t>
            </w:r>
          </w:p>
          <w:p w:rsidR="00530B14" w:rsidRPr="0053423A" w:rsidRDefault="00530B14" w:rsidP="00A67858">
            <w:pPr>
              <w:spacing w:line="276" w:lineRule="auto"/>
              <w:ind w:firstLine="720"/>
              <w:jc w:val="both"/>
              <w:rPr>
                <w:rFonts w:cs="Arial LatArm"/>
                <w:lang w:val="hy-AM"/>
              </w:rPr>
            </w:pPr>
            <w:r w:rsidRPr="0053423A">
              <w:rPr>
                <w:rFonts w:cs="Arial LatArm"/>
                <w:lang w:val="hy-AM"/>
              </w:rPr>
              <w:t>Ոչ ֆորմալ կրթությունը կարող է  իրականացվել տարաբնույթ կրթական միջոցառումների տեսքով, որոնք տեղի են ունենում ֆորմալ կրթական համակարգից դուրս։Միջոցառման նպատակը ոչ ֆորմալ կրթության միջոցով զարգացնել հասարակության էկոլոգիական գիտելիքները, բարձրացնել</w:t>
            </w:r>
            <w:r w:rsidRPr="0053423A">
              <w:rPr>
                <w:lang w:val="hy-AM"/>
              </w:rPr>
              <w:t xml:space="preserve"> իրազեկվածության մակարդակը և նպաստել էկոլոգիական գիտակցության ձևավորմանը:</w:t>
            </w:r>
          </w:p>
          <w:p w:rsidR="00530B14" w:rsidRPr="0053423A" w:rsidRDefault="00530B14" w:rsidP="00A67858">
            <w:pPr>
              <w:spacing w:line="276" w:lineRule="auto"/>
              <w:jc w:val="both"/>
              <w:rPr>
                <w:b/>
                <w:lang w:val="hy-AM"/>
              </w:rPr>
            </w:pPr>
            <w:r w:rsidRPr="0053423A">
              <w:rPr>
                <w:lang w:val="hy-AM"/>
              </w:rPr>
              <w:t xml:space="preserve">  </w:t>
            </w:r>
            <w:r w:rsidRPr="0053423A">
              <w:rPr>
                <w:b/>
                <w:lang w:val="hy-AM"/>
              </w:rPr>
              <w:t xml:space="preserve">   1.1. կարգավորման հարաբերությունների ներկա վիճակը և առկա խնդիրները</w:t>
            </w:r>
          </w:p>
          <w:p w:rsidR="00530B14" w:rsidRPr="0053423A" w:rsidRDefault="00530B14" w:rsidP="00A67858">
            <w:pPr>
              <w:spacing w:line="276" w:lineRule="auto"/>
              <w:ind w:firstLine="720"/>
              <w:jc w:val="both"/>
              <w:rPr>
                <w:rFonts w:cs="Arial LatArm"/>
                <w:lang w:val="hy-AM"/>
              </w:rPr>
            </w:pPr>
            <w:r w:rsidRPr="0053423A">
              <w:rPr>
                <w:rFonts w:cs="Sylfaen"/>
                <w:lang w:val="hy-AM"/>
              </w:rPr>
              <w:t>Որպես</w:t>
            </w:r>
            <w:r w:rsidRPr="0053423A">
              <w:rPr>
                <w:rFonts w:cs="Arial LatArm"/>
                <w:lang w:val="hy-AM"/>
              </w:rPr>
              <w:t xml:space="preserve"> </w:t>
            </w:r>
            <w:r w:rsidRPr="0053423A">
              <w:rPr>
                <w:rFonts w:cs="Sylfaen"/>
                <w:lang w:val="hy-AM"/>
              </w:rPr>
              <w:t>կրթության</w:t>
            </w:r>
            <w:r w:rsidRPr="0053423A">
              <w:rPr>
                <w:rFonts w:cs="Arial LatArm"/>
                <w:lang w:val="hy-AM"/>
              </w:rPr>
              <w:t xml:space="preserve"> </w:t>
            </w:r>
            <w:r w:rsidRPr="0053423A">
              <w:rPr>
                <w:rFonts w:cs="Sylfaen"/>
                <w:lang w:val="hy-AM"/>
              </w:rPr>
              <w:t>յուրահատուկ</w:t>
            </w:r>
            <w:r w:rsidRPr="0053423A">
              <w:rPr>
                <w:rFonts w:cs="Arial LatArm"/>
                <w:lang w:val="hy-AM"/>
              </w:rPr>
              <w:t xml:space="preserve"> </w:t>
            </w:r>
            <w:r w:rsidRPr="0053423A">
              <w:rPr>
                <w:rFonts w:cs="Sylfaen"/>
                <w:lang w:val="hy-AM"/>
              </w:rPr>
              <w:t>ձև</w:t>
            </w:r>
            <w:r w:rsidRPr="0053423A">
              <w:rPr>
                <w:rFonts w:cs="Arial LatArm"/>
                <w:lang w:val="hy-AM"/>
              </w:rPr>
              <w:t xml:space="preserve">` </w:t>
            </w:r>
            <w:r w:rsidRPr="0053423A">
              <w:rPr>
                <w:rFonts w:cs="Sylfaen"/>
                <w:lang w:val="hy-AM"/>
              </w:rPr>
              <w:t>ոչ</w:t>
            </w:r>
            <w:r w:rsidRPr="0053423A">
              <w:rPr>
                <w:rFonts w:cs="Arial LatArm"/>
                <w:lang w:val="hy-AM"/>
              </w:rPr>
              <w:t xml:space="preserve"> </w:t>
            </w:r>
            <w:r w:rsidRPr="0053423A">
              <w:rPr>
                <w:rFonts w:cs="Sylfaen"/>
                <w:lang w:val="hy-AM"/>
              </w:rPr>
              <w:t>ֆորմալ</w:t>
            </w:r>
            <w:r w:rsidRPr="0053423A">
              <w:rPr>
                <w:rFonts w:cs="Arial LatArm"/>
                <w:lang w:val="hy-AM"/>
              </w:rPr>
              <w:t xml:space="preserve"> </w:t>
            </w:r>
            <w:r w:rsidRPr="0053423A">
              <w:rPr>
                <w:rFonts w:cs="Sylfaen"/>
                <w:lang w:val="hy-AM"/>
              </w:rPr>
              <w:t>կրթությունը</w:t>
            </w:r>
            <w:r w:rsidRPr="0053423A">
              <w:rPr>
                <w:rFonts w:cs="Arial LatArm"/>
                <w:lang w:val="hy-AM"/>
              </w:rPr>
              <w:t xml:space="preserve"> </w:t>
            </w:r>
            <w:r w:rsidRPr="0053423A">
              <w:rPr>
                <w:rFonts w:cs="Sylfaen"/>
                <w:lang w:val="hy-AM"/>
              </w:rPr>
              <w:t>թույլ</w:t>
            </w:r>
            <w:r w:rsidRPr="0053423A">
              <w:rPr>
                <w:rFonts w:cs="Arial LatArm"/>
                <w:lang w:val="hy-AM"/>
              </w:rPr>
              <w:t xml:space="preserve"> </w:t>
            </w:r>
            <w:r w:rsidRPr="0053423A">
              <w:rPr>
                <w:rFonts w:cs="Sylfaen"/>
                <w:lang w:val="hy-AM"/>
              </w:rPr>
              <w:t>է</w:t>
            </w:r>
            <w:r w:rsidRPr="0053423A">
              <w:rPr>
                <w:rFonts w:cs="Arial LatArm"/>
                <w:lang w:val="hy-AM"/>
              </w:rPr>
              <w:t xml:space="preserve"> </w:t>
            </w:r>
            <w:r w:rsidRPr="0053423A">
              <w:rPr>
                <w:rFonts w:cs="Sylfaen"/>
                <w:lang w:val="hy-AM"/>
              </w:rPr>
              <w:t>տալիս</w:t>
            </w:r>
            <w:r w:rsidRPr="0053423A">
              <w:rPr>
                <w:rFonts w:cs="Arial LatArm"/>
                <w:lang w:val="hy-AM"/>
              </w:rPr>
              <w:t xml:space="preserve"> </w:t>
            </w:r>
            <w:r w:rsidRPr="0053423A">
              <w:rPr>
                <w:rFonts w:cs="Sylfaen"/>
                <w:lang w:val="hy-AM"/>
              </w:rPr>
              <w:t>սոցիալական</w:t>
            </w:r>
            <w:r w:rsidRPr="0053423A">
              <w:rPr>
                <w:rFonts w:cs="Arial LatArm"/>
                <w:lang w:val="hy-AM"/>
              </w:rPr>
              <w:t xml:space="preserve"> </w:t>
            </w:r>
            <w:r w:rsidRPr="0053423A">
              <w:rPr>
                <w:rFonts w:cs="Sylfaen"/>
                <w:lang w:val="hy-AM"/>
              </w:rPr>
              <w:t>տարբեր</w:t>
            </w:r>
            <w:r w:rsidRPr="0053423A">
              <w:rPr>
                <w:rFonts w:cs="Arial LatArm"/>
                <w:lang w:val="hy-AM"/>
              </w:rPr>
              <w:t xml:space="preserve"> </w:t>
            </w:r>
            <w:r w:rsidRPr="0053423A">
              <w:rPr>
                <w:rFonts w:cs="Sylfaen"/>
                <w:lang w:val="hy-AM"/>
              </w:rPr>
              <w:t>խմբերի</w:t>
            </w:r>
            <w:r w:rsidRPr="0053423A">
              <w:rPr>
                <w:rFonts w:cs="Arial LatArm"/>
                <w:lang w:val="hy-AM"/>
              </w:rPr>
              <w:t xml:space="preserve"> </w:t>
            </w:r>
            <w:r w:rsidRPr="0053423A">
              <w:rPr>
                <w:rFonts w:cs="Sylfaen"/>
                <w:lang w:val="hy-AM"/>
              </w:rPr>
              <w:t>ներկայացուցիչներին</w:t>
            </w:r>
            <w:r w:rsidRPr="0053423A">
              <w:rPr>
                <w:rFonts w:cs="Arial LatArm"/>
                <w:lang w:val="hy-AM"/>
              </w:rPr>
              <w:t xml:space="preserve"> </w:t>
            </w:r>
            <w:r w:rsidRPr="0053423A">
              <w:rPr>
                <w:rFonts w:cs="Sylfaen"/>
                <w:lang w:val="hy-AM"/>
              </w:rPr>
              <w:t>ձեռք</w:t>
            </w:r>
            <w:r w:rsidRPr="0053423A">
              <w:rPr>
                <w:rFonts w:cs="Arial LatArm"/>
                <w:lang w:val="hy-AM"/>
              </w:rPr>
              <w:t xml:space="preserve"> </w:t>
            </w:r>
            <w:r w:rsidRPr="0053423A">
              <w:rPr>
                <w:rFonts w:cs="Sylfaen"/>
                <w:lang w:val="hy-AM"/>
              </w:rPr>
              <w:t>բերել</w:t>
            </w:r>
            <w:r w:rsidRPr="0053423A">
              <w:rPr>
                <w:rFonts w:cs="Arial LatArm"/>
                <w:lang w:val="hy-AM"/>
              </w:rPr>
              <w:t xml:space="preserve"> </w:t>
            </w:r>
            <w:r w:rsidRPr="0053423A">
              <w:rPr>
                <w:rFonts w:cs="Sylfaen"/>
                <w:lang w:val="hy-AM"/>
              </w:rPr>
              <w:t>և</w:t>
            </w:r>
            <w:r w:rsidRPr="0053423A">
              <w:rPr>
                <w:rFonts w:cs="Arial LatArm"/>
                <w:lang w:val="hy-AM"/>
              </w:rPr>
              <w:t xml:space="preserve"> </w:t>
            </w:r>
            <w:r w:rsidRPr="0053423A">
              <w:rPr>
                <w:rFonts w:cs="Sylfaen"/>
                <w:lang w:val="hy-AM"/>
              </w:rPr>
              <w:t>զարգացնել</w:t>
            </w:r>
            <w:r w:rsidRPr="0053423A">
              <w:rPr>
                <w:rFonts w:cs="Arial LatArm"/>
                <w:lang w:val="hy-AM"/>
              </w:rPr>
              <w:t xml:space="preserve"> </w:t>
            </w:r>
            <w:r w:rsidRPr="0053423A">
              <w:rPr>
                <w:rFonts w:cs="Sylfaen"/>
                <w:lang w:val="hy-AM"/>
              </w:rPr>
              <w:t>շարունակ</w:t>
            </w:r>
            <w:r w:rsidRPr="0053423A">
              <w:rPr>
                <w:rFonts w:cs="Arial LatArm"/>
                <w:lang w:val="hy-AM"/>
              </w:rPr>
              <w:t xml:space="preserve"> </w:t>
            </w:r>
            <w:r w:rsidRPr="0053423A">
              <w:rPr>
                <w:rFonts w:cs="Sylfaen"/>
                <w:lang w:val="hy-AM"/>
              </w:rPr>
              <w:t>փոփոխվող</w:t>
            </w:r>
            <w:r w:rsidRPr="0053423A">
              <w:rPr>
                <w:rFonts w:cs="Arial LatArm"/>
                <w:lang w:val="hy-AM"/>
              </w:rPr>
              <w:t xml:space="preserve"> </w:t>
            </w:r>
            <w:r w:rsidRPr="0053423A">
              <w:rPr>
                <w:rFonts w:cs="Sylfaen"/>
                <w:lang w:val="hy-AM"/>
              </w:rPr>
              <w:t>միջավայրի</w:t>
            </w:r>
            <w:r w:rsidRPr="0053423A">
              <w:rPr>
                <w:rFonts w:cs="Arial LatArm"/>
                <w:lang w:val="hy-AM"/>
              </w:rPr>
              <w:t xml:space="preserve"> </w:t>
            </w:r>
            <w:r w:rsidRPr="0053423A">
              <w:rPr>
                <w:rFonts w:cs="Sylfaen"/>
                <w:lang w:val="hy-AM"/>
              </w:rPr>
              <w:t>պահանջներին</w:t>
            </w:r>
            <w:r w:rsidRPr="0053423A">
              <w:rPr>
                <w:rFonts w:cs="Arial LatArm"/>
                <w:lang w:val="hy-AM"/>
              </w:rPr>
              <w:t xml:space="preserve"> /</w:t>
            </w:r>
            <w:r w:rsidRPr="0053423A">
              <w:rPr>
                <w:rFonts w:cs="Sylfaen"/>
                <w:lang w:val="hy-AM"/>
              </w:rPr>
              <w:t>պայմաններին</w:t>
            </w:r>
            <w:r w:rsidRPr="0053423A">
              <w:rPr>
                <w:rFonts w:cs="Arial LatArm"/>
                <w:lang w:val="hy-AM"/>
              </w:rPr>
              <w:t xml:space="preserve">/ </w:t>
            </w:r>
            <w:r w:rsidRPr="0053423A">
              <w:rPr>
                <w:rFonts w:cs="Sylfaen"/>
                <w:lang w:val="hy-AM"/>
              </w:rPr>
              <w:t>համապատասխան</w:t>
            </w:r>
            <w:r w:rsidRPr="0053423A">
              <w:rPr>
                <w:rFonts w:cs="Arial LatArm"/>
                <w:lang w:val="hy-AM"/>
              </w:rPr>
              <w:t xml:space="preserve"> </w:t>
            </w:r>
            <w:r w:rsidRPr="0053423A">
              <w:rPr>
                <w:rFonts w:cs="Sylfaen"/>
                <w:lang w:val="hy-AM"/>
              </w:rPr>
              <w:t>հմտություններ</w:t>
            </w:r>
            <w:r w:rsidRPr="0053423A">
              <w:rPr>
                <w:rFonts w:cs="Arial LatArm"/>
                <w:lang w:val="hy-AM"/>
              </w:rPr>
              <w:t xml:space="preserve">, </w:t>
            </w:r>
            <w:r w:rsidRPr="0053423A">
              <w:rPr>
                <w:rFonts w:cs="Sylfaen"/>
                <w:lang w:val="hy-AM"/>
              </w:rPr>
              <w:t>կարողություններ</w:t>
            </w:r>
            <w:r w:rsidRPr="0053423A">
              <w:rPr>
                <w:rFonts w:cs="Arial LatArm"/>
                <w:lang w:val="hy-AM"/>
              </w:rPr>
              <w:t xml:space="preserve"> </w:t>
            </w:r>
            <w:r w:rsidRPr="0053423A">
              <w:rPr>
                <w:rFonts w:cs="Sylfaen"/>
                <w:lang w:val="hy-AM"/>
              </w:rPr>
              <w:t>և</w:t>
            </w:r>
            <w:r w:rsidRPr="0053423A">
              <w:rPr>
                <w:rFonts w:cs="Arial LatArm"/>
                <w:lang w:val="hy-AM"/>
              </w:rPr>
              <w:t xml:space="preserve"> </w:t>
            </w:r>
            <w:r w:rsidRPr="0053423A">
              <w:rPr>
                <w:rFonts w:cs="Sylfaen"/>
                <w:lang w:val="hy-AM"/>
              </w:rPr>
              <w:t>գիտելիքներ</w:t>
            </w:r>
            <w:r w:rsidRPr="0053423A">
              <w:rPr>
                <w:rFonts w:cs="Arial LatArm"/>
                <w:lang w:val="hy-AM"/>
              </w:rPr>
              <w:t>:</w:t>
            </w:r>
          </w:p>
          <w:p w:rsidR="00530B14" w:rsidRPr="0053423A" w:rsidRDefault="00530B14" w:rsidP="00A67858">
            <w:pPr>
              <w:spacing w:line="276" w:lineRule="auto"/>
              <w:ind w:firstLine="720"/>
              <w:jc w:val="both"/>
              <w:rPr>
                <w:rFonts w:cs="Arial LatArm"/>
                <w:lang w:val="hy-AM"/>
              </w:rPr>
            </w:pPr>
            <w:r w:rsidRPr="0053423A">
              <w:rPr>
                <w:rFonts w:cs="Sylfaen"/>
                <w:lang w:val="hy-AM"/>
              </w:rPr>
              <w:t>Համաձայն</w:t>
            </w:r>
            <w:r w:rsidRPr="0053423A">
              <w:rPr>
                <w:rFonts w:cs="Arial LatArm"/>
                <w:lang w:val="hy-AM"/>
              </w:rPr>
              <w:t xml:space="preserve"> </w:t>
            </w:r>
            <w:r w:rsidRPr="0053423A">
              <w:rPr>
                <w:rFonts w:cs="Sylfaen"/>
                <w:lang w:val="hy-AM"/>
              </w:rPr>
              <w:t>ոչ</w:t>
            </w:r>
            <w:r w:rsidRPr="0053423A">
              <w:rPr>
                <w:rFonts w:cs="Arial LatArm"/>
                <w:lang w:val="hy-AM"/>
              </w:rPr>
              <w:t xml:space="preserve"> </w:t>
            </w:r>
            <w:r w:rsidRPr="0053423A">
              <w:rPr>
                <w:rFonts w:cs="Sylfaen"/>
                <w:lang w:val="hy-AM"/>
              </w:rPr>
              <w:t>ֆորմալ</w:t>
            </w:r>
            <w:r w:rsidRPr="0053423A">
              <w:rPr>
                <w:rFonts w:cs="Arial LatArm"/>
                <w:lang w:val="hy-AM"/>
              </w:rPr>
              <w:t xml:space="preserve"> </w:t>
            </w:r>
            <w:r w:rsidRPr="0053423A">
              <w:rPr>
                <w:rFonts w:cs="Sylfaen"/>
                <w:lang w:val="hy-AM"/>
              </w:rPr>
              <w:t>կրթության</w:t>
            </w:r>
            <w:r w:rsidRPr="0053423A">
              <w:rPr>
                <w:rFonts w:cs="Arial LatArm"/>
                <w:lang w:val="hy-AM"/>
              </w:rPr>
              <w:t xml:space="preserve"> </w:t>
            </w:r>
            <w:r w:rsidRPr="0053423A">
              <w:rPr>
                <w:rFonts w:cs="Sylfaen"/>
                <w:lang w:val="hy-AM"/>
              </w:rPr>
              <w:t>մեջ</w:t>
            </w:r>
            <w:r w:rsidRPr="0053423A">
              <w:rPr>
                <w:rFonts w:cs="Arial LatArm"/>
                <w:lang w:val="hy-AM"/>
              </w:rPr>
              <w:t xml:space="preserve"> </w:t>
            </w:r>
            <w:r w:rsidRPr="0053423A">
              <w:rPr>
                <w:rFonts w:cs="Sylfaen"/>
                <w:lang w:val="hy-AM"/>
              </w:rPr>
              <w:t>ընդունված</w:t>
            </w:r>
            <w:r w:rsidRPr="0053423A">
              <w:rPr>
                <w:rFonts w:cs="Arial LatArm"/>
                <w:lang w:val="hy-AM"/>
              </w:rPr>
              <w:t xml:space="preserve"> </w:t>
            </w:r>
            <w:r w:rsidRPr="0053423A">
              <w:rPr>
                <w:rFonts w:cs="Sylfaen"/>
                <w:lang w:val="hy-AM"/>
              </w:rPr>
              <w:t>սկզբունքների</w:t>
            </w:r>
            <w:r w:rsidRPr="0053423A">
              <w:rPr>
                <w:rFonts w:cs="Arial LatArm"/>
                <w:lang w:val="hy-AM"/>
              </w:rPr>
              <w:t xml:space="preserve">` </w:t>
            </w:r>
            <w:r w:rsidRPr="0053423A">
              <w:rPr>
                <w:rFonts w:cs="Sylfaen"/>
                <w:lang w:val="hy-AM"/>
              </w:rPr>
              <w:t>դրանք</w:t>
            </w:r>
            <w:r w:rsidRPr="0053423A">
              <w:rPr>
                <w:rFonts w:cs="Arial LatArm"/>
                <w:lang w:val="hy-AM"/>
              </w:rPr>
              <w:t xml:space="preserve"> </w:t>
            </w:r>
            <w:r w:rsidRPr="0053423A">
              <w:rPr>
                <w:rFonts w:cs="Sylfaen"/>
                <w:lang w:val="hy-AM"/>
              </w:rPr>
              <w:t>կարող</w:t>
            </w:r>
            <w:r w:rsidRPr="0053423A">
              <w:rPr>
                <w:rFonts w:cs="Arial LatArm"/>
                <w:lang w:val="hy-AM"/>
              </w:rPr>
              <w:t xml:space="preserve"> </w:t>
            </w:r>
            <w:r w:rsidRPr="0053423A">
              <w:rPr>
                <w:rFonts w:cs="Sylfaen"/>
                <w:lang w:val="hy-AM"/>
              </w:rPr>
              <w:t>են</w:t>
            </w:r>
            <w:r w:rsidRPr="0053423A">
              <w:rPr>
                <w:rFonts w:cs="Arial LatArm"/>
                <w:lang w:val="hy-AM"/>
              </w:rPr>
              <w:t xml:space="preserve"> </w:t>
            </w:r>
            <w:r w:rsidRPr="0053423A">
              <w:rPr>
                <w:rFonts w:cs="Sylfaen"/>
                <w:lang w:val="hy-AM"/>
              </w:rPr>
              <w:t>ձեռք</w:t>
            </w:r>
            <w:r w:rsidRPr="0053423A">
              <w:rPr>
                <w:rFonts w:cs="Arial LatArm"/>
                <w:lang w:val="hy-AM"/>
              </w:rPr>
              <w:t xml:space="preserve"> </w:t>
            </w:r>
            <w:r w:rsidRPr="0053423A">
              <w:rPr>
                <w:rFonts w:cs="Sylfaen"/>
                <w:lang w:val="hy-AM"/>
              </w:rPr>
              <w:t>բերվել</w:t>
            </w:r>
            <w:r w:rsidRPr="0053423A">
              <w:rPr>
                <w:rFonts w:cs="Arial LatArm"/>
                <w:lang w:val="hy-AM"/>
              </w:rPr>
              <w:t xml:space="preserve"> </w:t>
            </w:r>
            <w:r w:rsidRPr="0053423A">
              <w:rPr>
                <w:rFonts w:cs="Sylfaen"/>
                <w:lang w:val="hy-AM"/>
              </w:rPr>
              <w:t>կամավոր</w:t>
            </w:r>
            <w:r w:rsidRPr="0053423A">
              <w:rPr>
                <w:rFonts w:cs="Arial LatArm"/>
                <w:lang w:val="hy-AM"/>
              </w:rPr>
              <w:t xml:space="preserve"> </w:t>
            </w:r>
            <w:r w:rsidRPr="0053423A">
              <w:rPr>
                <w:rFonts w:cs="Sylfaen"/>
                <w:lang w:val="hy-AM"/>
              </w:rPr>
              <w:t>հիմունքներով</w:t>
            </w:r>
            <w:r w:rsidRPr="0053423A">
              <w:rPr>
                <w:rFonts w:cs="Arial LatArm"/>
                <w:lang w:val="hy-AM"/>
              </w:rPr>
              <w:t xml:space="preserve">, </w:t>
            </w:r>
            <w:r w:rsidRPr="0053423A">
              <w:rPr>
                <w:rFonts w:cs="Sylfaen"/>
                <w:lang w:val="hy-AM"/>
              </w:rPr>
              <w:t>տարաբնույթ</w:t>
            </w:r>
            <w:r w:rsidRPr="0053423A">
              <w:rPr>
                <w:rFonts w:cs="Arial LatArm"/>
                <w:lang w:val="hy-AM"/>
              </w:rPr>
              <w:t xml:space="preserve"> </w:t>
            </w:r>
            <w:r w:rsidRPr="0053423A">
              <w:rPr>
                <w:rFonts w:cs="Sylfaen"/>
                <w:lang w:val="hy-AM"/>
              </w:rPr>
              <w:t>կրթական</w:t>
            </w:r>
            <w:r w:rsidRPr="0053423A">
              <w:rPr>
                <w:rFonts w:cs="Arial LatArm"/>
                <w:lang w:val="hy-AM"/>
              </w:rPr>
              <w:t xml:space="preserve"> </w:t>
            </w:r>
            <w:r w:rsidRPr="0053423A">
              <w:rPr>
                <w:rFonts w:cs="Sylfaen"/>
                <w:lang w:val="hy-AM"/>
              </w:rPr>
              <w:t>միջոցառումների</w:t>
            </w:r>
            <w:r w:rsidRPr="0053423A">
              <w:rPr>
                <w:rFonts w:cs="Arial LatArm"/>
                <w:lang w:val="hy-AM"/>
              </w:rPr>
              <w:t xml:space="preserve"> </w:t>
            </w:r>
            <w:r w:rsidRPr="0053423A">
              <w:rPr>
                <w:rFonts w:cs="Sylfaen"/>
                <w:lang w:val="hy-AM"/>
              </w:rPr>
              <w:t>տեսքով</w:t>
            </w:r>
            <w:r w:rsidRPr="0053423A">
              <w:rPr>
                <w:rFonts w:cs="Arial LatArm"/>
                <w:lang w:val="hy-AM"/>
              </w:rPr>
              <w:t xml:space="preserve">, </w:t>
            </w:r>
            <w:r w:rsidRPr="0053423A">
              <w:rPr>
                <w:rFonts w:cs="Sylfaen"/>
                <w:lang w:val="hy-AM"/>
              </w:rPr>
              <w:t>որոնք</w:t>
            </w:r>
            <w:r w:rsidRPr="0053423A">
              <w:rPr>
                <w:rFonts w:cs="Arial LatArm"/>
                <w:lang w:val="hy-AM"/>
              </w:rPr>
              <w:t xml:space="preserve"> </w:t>
            </w:r>
            <w:r w:rsidRPr="0053423A">
              <w:rPr>
                <w:rFonts w:cs="Sylfaen"/>
                <w:lang w:val="hy-AM"/>
              </w:rPr>
              <w:t>տեղի</w:t>
            </w:r>
            <w:r w:rsidRPr="0053423A">
              <w:rPr>
                <w:rFonts w:cs="Arial LatArm"/>
                <w:lang w:val="hy-AM"/>
              </w:rPr>
              <w:t xml:space="preserve"> </w:t>
            </w:r>
            <w:r w:rsidRPr="0053423A">
              <w:rPr>
                <w:rFonts w:cs="Sylfaen"/>
                <w:lang w:val="hy-AM"/>
              </w:rPr>
              <w:t>են</w:t>
            </w:r>
            <w:r w:rsidRPr="0053423A">
              <w:rPr>
                <w:rFonts w:cs="Arial LatArm"/>
                <w:lang w:val="hy-AM"/>
              </w:rPr>
              <w:t xml:space="preserve"> </w:t>
            </w:r>
            <w:r w:rsidRPr="0053423A">
              <w:rPr>
                <w:rFonts w:cs="Sylfaen"/>
                <w:lang w:val="hy-AM"/>
              </w:rPr>
              <w:t>ունենում</w:t>
            </w:r>
            <w:r w:rsidRPr="0053423A">
              <w:rPr>
                <w:rFonts w:cs="Arial LatArm"/>
                <w:lang w:val="hy-AM"/>
              </w:rPr>
              <w:t xml:space="preserve"> </w:t>
            </w:r>
            <w:r w:rsidRPr="0053423A">
              <w:rPr>
                <w:rFonts w:cs="Sylfaen"/>
                <w:lang w:val="hy-AM"/>
              </w:rPr>
              <w:t>ֆորմալ</w:t>
            </w:r>
            <w:r w:rsidRPr="0053423A">
              <w:rPr>
                <w:rFonts w:cs="Arial LatArm"/>
                <w:lang w:val="hy-AM"/>
              </w:rPr>
              <w:t xml:space="preserve"> </w:t>
            </w:r>
            <w:r w:rsidRPr="0053423A">
              <w:rPr>
                <w:rFonts w:cs="Sylfaen"/>
                <w:lang w:val="hy-AM"/>
              </w:rPr>
              <w:t>կրթական</w:t>
            </w:r>
            <w:r w:rsidRPr="0053423A">
              <w:rPr>
                <w:rFonts w:cs="Arial LatArm"/>
                <w:lang w:val="hy-AM"/>
              </w:rPr>
              <w:t xml:space="preserve"> </w:t>
            </w:r>
            <w:r w:rsidRPr="0053423A">
              <w:rPr>
                <w:rFonts w:cs="Sylfaen"/>
                <w:lang w:val="hy-AM"/>
              </w:rPr>
              <w:t>համակարգից</w:t>
            </w:r>
            <w:r w:rsidRPr="0053423A">
              <w:rPr>
                <w:rFonts w:cs="Arial LatArm"/>
                <w:lang w:val="hy-AM"/>
              </w:rPr>
              <w:t xml:space="preserve"> </w:t>
            </w:r>
            <w:r w:rsidRPr="0053423A">
              <w:rPr>
                <w:rFonts w:cs="Sylfaen"/>
                <w:lang w:val="hy-AM"/>
              </w:rPr>
              <w:t>դուրս</w:t>
            </w:r>
            <w:r w:rsidRPr="0053423A">
              <w:rPr>
                <w:rFonts w:cs="Arial LatArm"/>
                <w:lang w:val="hy-AM"/>
              </w:rPr>
              <w:t>: Ո</w:t>
            </w:r>
            <w:r w:rsidRPr="0053423A">
              <w:rPr>
                <w:rFonts w:cs="Sylfaen"/>
                <w:lang w:val="hy-AM"/>
              </w:rPr>
              <w:t>չ</w:t>
            </w:r>
            <w:r w:rsidRPr="0053423A">
              <w:rPr>
                <w:rFonts w:cs="Arial LatArm"/>
                <w:lang w:val="hy-AM"/>
              </w:rPr>
              <w:t xml:space="preserve"> </w:t>
            </w:r>
            <w:r w:rsidRPr="0053423A">
              <w:rPr>
                <w:rFonts w:cs="Sylfaen"/>
                <w:lang w:val="hy-AM"/>
              </w:rPr>
              <w:t>ֆորմալ</w:t>
            </w:r>
            <w:r w:rsidRPr="0053423A">
              <w:rPr>
                <w:rFonts w:cs="Arial LatArm"/>
                <w:lang w:val="hy-AM"/>
              </w:rPr>
              <w:t xml:space="preserve"> </w:t>
            </w:r>
            <w:r w:rsidRPr="0053423A">
              <w:rPr>
                <w:rFonts w:cs="Sylfaen"/>
                <w:lang w:val="hy-AM"/>
              </w:rPr>
              <w:t>կրթության</w:t>
            </w:r>
            <w:r w:rsidRPr="0053423A">
              <w:rPr>
                <w:rFonts w:cs="Arial LatArm"/>
                <w:lang w:val="hy-AM"/>
              </w:rPr>
              <w:t xml:space="preserve"> </w:t>
            </w:r>
            <w:r w:rsidRPr="0053423A">
              <w:rPr>
                <w:rFonts w:cs="Sylfaen"/>
                <w:lang w:val="hy-AM"/>
              </w:rPr>
              <w:t>իրականացման</w:t>
            </w:r>
            <w:r w:rsidRPr="0053423A">
              <w:rPr>
                <w:rFonts w:cs="Arial LatArm"/>
                <w:lang w:val="hy-AM"/>
              </w:rPr>
              <w:t xml:space="preserve"> </w:t>
            </w:r>
            <w:r w:rsidRPr="0053423A">
              <w:rPr>
                <w:rFonts w:cs="Sylfaen"/>
                <w:lang w:val="hy-AM"/>
              </w:rPr>
              <w:t>մեջ</w:t>
            </w:r>
            <w:r w:rsidRPr="0053423A">
              <w:rPr>
                <w:rFonts w:cs="Arial LatArm"/>
                <w:lang w:val="hy-AM"/>
              </w:rPr>
              <w:t xml:space="preserve"> </w:t>
            </w:r>
            <w:r w:rsidRPr="0053423A">
              <w:rPr>
                <w:rFonts w:cs="Sylfaen"/>
                <w:lang w:val="hy-AM"/>
              </w:rPr>
              <w:t>էական</w:t>
            </w:r>
            <w:r w:rsidRPr="0053423A">
              <w:rPr>
                <w:rFonts w:cs="Arial LatArm"/>
                <w:lang w:val="hy-AM"/>
              </w:rPr>
              <w:t xml:space="preserve"> </w:t>
            </w:r>
            <w:r w:rsidRPr="0053423A">
              <w:rPr>
                <w:rFonts w:cs="Sylfaen"/>
                <w:lang w:val="hy-AM"/>
              </w:rPr>
              <w:t>դեր</w:t>
            </w:r>
            <w:r w:rsidRPr="0053423A">
              <w:rPr>
                <w:rFonts w:cs="Arial LatArm"/>
                <w:lang w:val="hy-AM"/>
              </w:rPr>
              <w:t xml:space="preserve"> </w:t>
            </w:r>
            <w:r w:rsidRPr="0053423A">
              <w:rPr>
                <w:rFonts w:cs="Sylfaen"/>
                <w:lang w:val="hy-AM"/>
              </w:rPr>
              <w:t>են</w:t>
            </w:r>
            <w:r w:rsidRPr="0053423A">
              <w:rPr>
                <w:rFonts w:cs="Arial LatArm"/>
                <w:lang w:val="hy-AM"/>
              </w:rPr>
              <w:t xml:space="preserve"> </w:t>
            </w:r>
            <w:r w:rsidRPr="0053423A">
              <w:rPr>
                <w:rFonts w:cs="Sylfaen"/>
                <w:lang w:val="hy-AM"/>
              </w:rPr>
              <w:t>խաղում</w:t>
            </w:r>
            <w:r w:rsidRPr="0053423A">
              <w:rPr>
                <w:rFonts w:cs="Arial LatArm"/>
                <w:lang w:val="hy-AM"/>
              </w:rPr>
              <w:t xml:space="preserve"> </w:t>
            </w:r>
            <w:r w:rsidRPr="0053423A">
              <w:rPr>
                <w:rFonts w:cs="Sylfaen"/>
                <w:lang w:val="hy-AM"/>
              </w:rPr>
              <w:t>հասարակական</w:t>
            </w:r>
            <w:r w:rsidRPr="0053423A">
              <w:rPr>
                <w:rFonts w:cs="Arial LatArm"/>
                <w:lang w:val="hy-AM"/>
              </w:rPr>
              <w:t xml:space="preserve"> </w:t>
            </w:r>
            <w:r w:rsidRPr="0053423A">
              <w:rPr>
                <w:rFonts w:cs="Sylfaen"/>
                <w:lang w:val="hy-AM"/>
              </w:rPr>
              <w:t>կազմակերպությունները</w:t>
            </w:r>
            <w:r w:rsidRPr="0053423A">
              <w:rPr>
                <w:rFonts w:cs="Arial LatArm"/>
                <w:lang w:val="hy-AM"/>
              </w:rPr>
              <w:t xml:space="preserve">, </w:t>
            </w:r>
            <w:r w:rsidRPr="0053423A">
              <w:rPr>
                <w:rFonts w:cs="Sylfaen"/>
                <w:lang w:val="hy-AM"/>
              </w:rPr>
              <w:t>որոնք</w:t>
            </w:r>
            <w:r w:rsidRPr="0053423A">
              <w:rPr>
                <w:rFonts w:cs="Arial LatArm"/>
                <w:lang w:val="hy-AM"/>
              </w:rPr>
              <w:t xml:space="preserve"> </w:t>
            </w:r>
            <w:r w:rsidRPr="0053423A">
              <w:rPr>
                <w:rFonts w:cs="Sylfaen"/>
                <w:lang w:val="hy-AM"/>
              </w:rPr>
              <w:t>առավելապես</w:t>
            </w:r>
            <w:r w:rsidRPr="0053423A">
              <w:rPr>
                <w:rFonts w:cs="Arial LatArm"/>
                <w:lang w:val="hy-AM"/>
              </w:rPr>
              <w:t xml:space="preserve"> </w:t>
            </w:r>
            <w:r w:rsidRPr="0053423A">
              <w:rPr>
                <w:rFonts w:cs="Sylfaen"/>
                <w:lang w:val="hy-AM"/>
              </w:rPr>
              <w:t>ներգրավված</w:t>
            </w:r>
            <w:r w:rsidRPr="0053423A">
              <w:rPr>
                <w:rFonts w:cs="Arial LatArm"/>
                <w:lang w:val="hy-AM"/>
              </w:rPr>
              <w:t xml:space="preserve"> </w:t>
            </w:r>
            <w:r w:rsidRPr="0053423A">
              <w:rPr>
                <w:rFonts w:cs="Sylfaen"/>
                <w:lang w:val="hy-AM"/>
              </w:rPr>
              <w:t>են</w:t>
            </w:r>
            <w:r w:rsidRPr="0053423A">
              <w:rPr>
                <w:rFonts w:cs="Arial LatArm"/>
                <w:lang w:val="hy-AM"/>
              </w:rPr>
              <w:t xml:space="preserve"> </w:t>
            </w:r>
            <w:r w:rsidRPr="0053423A">
              <w:rPr>
                <w:rFonts w:cs="Sylfaen"/>
                <w:lang w:val="hy-AM"/>
              </w:rPr>
              <w:t>համայնքային</w:t>
            </w:r>
            <w:r w:rsidRPr="0053423A">
              <w:rPr>
                <w:rFonts w:cs="Arial LatArm"/>
                <w:lang w:val="hy-AM"/>
              </w:rPr>
              <w:t xml:space="preserve"> </w:t>
            </w:r>
            <w:r w:rsidRPr="0053423A">
              <w:rPr>
                <w:rFonts w:cs="Sylfaen"/>
                <w:lang w:val="hy-AM"/>
              </w:rPr>
              <w:t>և</w:t>
            </w:r>
            <w:r w:rsidRPr="0053423A">
              <w:rPr>
                <w:rFonts w:cs="Arial LatArm"/>
                <w:lang w:val="hy-AM"/>
              </w:rPr>
              <w:t xml:space="preserve"> </w:t>
            </w:r>
            <w:r w:rsidRPr="0053423A">
              <w:rPr>
                <w:rFonts w:cs="Sylfaen"/>
                <w:lang w:val="hy-AM"/>
              </w:rPr>
              <w:t>երիտասարդության</w:t>
            </w:r>
            <w:r w:rsidRPr="0053423A">
              <w:rPr>
                <w:rFonts w:cs="Arial LatArm"/>
                <w:lang w:val="hy-AM"/>
              </w:rPr>
              <w:t xml:space="preserve"> </w:t>
            </w:r>
            <w:r w:rsidRPr="0053423A">
              <w:rPr>
                <w:rFonts w:cs="Sylfaen"/>
                <w:lang w:val="hy-AM"/>
              </w:rPr>
              <w:t>հետ</w:t>
            </w:r>
            <w:r w:rsidRPr="0053423A">
              <w:rPr>
                <w:rFonts w:cs="Arial LatArm"/>
                <w:lang w:val="hy-AM"/>
              </w:rPr>
              <w:t xml:space="preserve"> </w:t>
            </w:r>
            <w:r w:rsidRPr="0053423A">
              <w:rPr>
                <w:rFonts w:cs="Sylfaen"/>
                <w:lang w:val="hy-AM"/>
              </w:rPr>
              <w:t>կատարվող</w:t>
            </w:r>
            <w:r w:rsidRPr="0053423A">
              <w:rPr>
                <w:rFonts w:cs="Arial LatArm"/>
                <w:lang w:val="hy-AM"/>
              </w:rPr>
              <w:t xml:space="preserve"> </w:t>
            </w:r>
            <w:r w:rsidRPr="0053423A">
              <w:rPr>
                <w:rFonts w:cs="Sylfaen"/>
                <w:lang w:val="hy-AM"/>
              </w:rPr>
              <w:t>կրթական</w:t>
            </w:r>
            <w:r w:rsidRPr="0053423A">
              <w:rPr>
                <w:rFonts w:cs="Arial LatArm"/>
                <w:lang w:val="hy-AM"/>
              </w:rPr>
              <w:t xml:space="preserve"> </w:t>
            </w:r>
            <w:r w:rsidRPr="0053423A">
              <w:rPr>
                <w:rFonts w:cs="Sylfaen"/>
                <w:lang w:val="hy-AM"/>
              </w:rPr>
              <w:t>ծրագրերի</w:t>
            </w:r>
            <w:r w:rsidRPr="0053423A">
              <w:rPr>
                <w:rFonts w:cs="Arial LatArm"/>
                <w:lang w:val="hy-AM"/>
              </w:rPr>
              <w:t xml:space="preserve"> </w:t>
            </w:r>
            <w:r w:rsidRPr="0053423A">
              <w:rPr>
                <w:rFonts w:cs="Sylfaen"/>
                <w:lang w:val="hy-AM"/>
              </w:rPr>
              <w:t>իրականացման</w:t>
            </w:r>
            <w:r w:rsidRPr="0053423A">
              <w:rPr>
                <w:rFonts w:cs="Arial LatArm"/>
                <w:lang w:val="hy-AM"/>
              </w:rPr>
              <w:t xml:space="preserve"> </w:t>
            </w:r>
            <w:r w:rsidRPr="0053423A">
              <w:rPr>
                <w:rFonts w:cs="Sylfaen"/>
                <w:lang w:val="hy-AM"/>
              </w:rPr>
              <w:t>աշխատանքներում</w:t>
            </w:r>
            <w:r w:rsidRPr="0053423A">
              <w:rPr>
                <w:rFonts w:cs="Arial LatArm"/>
                <w:lang w:val="hy-AM"/>
              </w:rPr>
              <w:t xml:space="preserve">: </w:t>
            </w:r>
            <w:r w:rsidRPr="0053423A">
              <w:rPr>
                <w:color w:val="000000"/>
                <w:lang w:val="hy-AM"/>
              </w:rPr>
              <w:t>Բնապահպանության</w:t>
            </w:r>
            <w:r w:rsidRPr="0053423A">
              <w:rPr>
                <w:rFonts w:cs="Arial LatArm"/>
                <w:lang w:val="hy-AM"/>
              </w:rPr>
              <w:t xml:space="preserve"> նախարարությունը նախաձեռնում է ոչ ֆորմալ  էկոլոգիական կրթության իրականացում բնության հատուկ պահպանվող տարածքներում հանրության ուսուցման և </w:t>
            </w:r>
            <w:r w:rsidRPr="0053423A">
              <w:rPr>
                <w:lang w:val="hy-AM"/>
              </w:rPr>
              <w:t xml:space="preserve">բնապահպանական թեմայով հաղորդաշարերի ստեղծման միջոցով։ </w:t>
            </w:r>
          </w:p>
          <w:p w:rsidR="00530B14" w:rsidRPr="0053423A" w:rsidRDefault="00530B14" w:rsidP="00A67858">
            <w:pPr>
              <w:spacing w:line="276" w:lineRule="auto"/>
              <w:jc w:val="both"/>
              <w:rPr>
                <w:lang w:val="hy-AM"/>
              </w:rPr>
            </w:pPr>
            <w:r w:rsidRPr="0053423A">
              <w:rPr>
                <w:lang w:val="hy-AM"/>
              </w:rPr>
              <w:t xml:space="preserve">       </w:t>
            </w:r>
            <w:r w:rsidRPr="0053423A">
              <w:rPr>
                <w:b/>
                <w:lang w:val="hy-AM"/>
              </w:rPr>
              <w:t>1.2. առկա խնդիրների առաջարկվող լուծումները</w:t>
            </w:r>
          </w:p>
          <w:p w:rsidR="00530B14" w:rsidRPr="0053423A" w:rsidRDefault="00530B14" w:rsidP="00A67858">
            <w:pPr>
              <w:spacing w:line="276" w:lineRule="auto"/>
              <w:jc w:val="both"/>
              <w:rPr>
                <w:lang w:val="hy-AM"/>
              </w:rPr>
            </w:pPr>
            <w:r w:rsidRPr="0053423A">
              <w:rPr>
                <w:lang w:val="hy-AM"/>
              </w:rPr>
              <w:t xml:space="preserve">     Ոլորտի խնդիրների արդյունավետ լուծման համար անհրաժեշտ է.</w:t>
            </w:r>
          </w:p>
          <w:p w:rsidR="00530B14" w:rsidRPr="0053423A" w:rsidRDefault="00530B14" w:rsidP="00A67858">
            <w:pPr>
              <w:spacing w:line="276" w:lineRule="auto"/>
              <w:ind w:firstLine="373"/>
              <w:jc w:val="both"/>
              <w:rPr>
                <w:lang w:val="hy-AM"/>
              </w:rPr>
            </w:pPr>
            <w:r w:rsidRPr="0053423A">
              <w:rPr>
                <w:lang w:val="hy-AM"/>
              </w:rPr>
              <w:t xml:space="preserve">   •   Հասարակության լայն խավերի համար բնապահպանական կրթության և իրազեկման մատչելիության ապահովում, </w:t>
            </w:r>
          </w:p>
          <w:p w:rsidR="00530B14" w:rsidRPr="0053423A" w:rsidRDefault="00530B14" w:rsidP="00A67858">
            <w:pPr>
              <w:spacing w:line="276" w:lineRule="auto"/>
              <w:ind w:firstLine="373"/>
              <w:jc w:val="both"/>
              <w:rPr>
                <w:lang w:val="hy-AM"/>
              </w:rPr>
            </w:pPr>
            <w:r w:rsidRPr="0053423A">
              <w:rPr>
                <w:lang w:val="hy-AM"/>
              </w:rPr>
              <w:t xml:space="preserve">  </w:t>
            </w:r>
            <w:r w:rsidR="00D67A7D" w:rsidRPr="0053423A">
              <w:rPr>
                <w:lang w:val="hy-AM"/>
              </w:rPr>
              <w:t xml:space="preserve"> </w:t>
            </w:r>
            <w:r w:rsidRPr="0053423A">
              <w:rPr>
                <w:lang w:val="hy-AM"/>
              </w:rPr>
              <w:t>•  Պետական կառավարման մարմինների միջև սերտ համագործակցություն, միասնական քաղաքականության իրականացում։</w:t>
            </w:r>
          </w:p>
          <w:p w:rsidR="00530B14" w:rsidRPr="0053423A" w:rsidRDefault="00530B14" w:rsidP="00A67858">
            <w:pPr>
              <w:spacing w:line="276" w:lineRule="auto"/>
              <w:ind w:firstLine="373"/>
              <w:jc w:val="both"/>
              <w:rPr>
                <w:lang w:val="hy-AM"/>
              </w:rPr>
            </w:pPr>
            <w:r w:rsidRPr="0053423A">
              <w:rPr>
                <w:lang w:val="hy-AM"/>
              </w:rPr>
              <w:t xml:space="preserve">   • Ոչ ֆորմալ էկոլոգիական կրթության ոլորտում Կրթության և գիտության նախարարության հետ համատեղ ծրագրերի իրականացում։</w:t>
            </w:r>
          </w:p>
          <w:p w:rsidR="00530B14" w:rsidRPr="0053423A" w:rsidRDefault="00530B14" w:rsidP="00A67858">
            <w:pPr>
              <w:spacing w:line="276" w:lineRule="auto"/>
              <w:jc w:val="both"/>
              <w:rPr>
                <w:b/>
                <w:i/>
                <w:lang w:val="hy-AM"/>
              </w:rPr>
            </w:pPr>
            <w:r w:rsidRPr="0053423A">
              <w:rPr>
                <w:b/>
                <w:i/>
                <w:lang w:val="hy-AM"/>
              </w:rPr>
              <w:t xml:space="preserve">    2. Միջոցառման իրակացումից ակնկալվող արդյունքը</w:t>
            </w:r>
          </w:p>
          <w:p w:rsidR="00530B14" w:rsidRPr="0053423A" w:rsidRDefault="00530B14" w:rsidP="00A67858">
            <w:pPr>
              <w:spacing w:line="276" w:lineRule="auto"/>
              <w:jc w:val="both"/>
              <w:rPr>
                <w:lang w:val="hy-AM"/>
              </w:rPr>
            </w:pPr>
            <w:r w:rsidRPr="0053423A">
              <w:rPr>
                <w:lang w:val="hy-AM"/>
              </w:rPr>
              <w:t xml:space="preserve">        Կստեղծվի կայուն զարգացման սկզբունքներին բավարարող ոչ ֆորմալ էկոլոգիական կրթության արդյունավետ գործող   համակարգ, առավել արագ և օպերատիվ արձագանք կլինի բնապահպանական հիմնախնդիրներին և արտակարգ իրավիճակներին:</w:t>
            </w:r>
          </w:p>
          <w:p w:rsidR="00530B14" w:rsidRPr="0053423A" w:rsidRDefault="00530B14" w:rsidP="00A67858">
            <w:pPr>
              <w:spacing w:line="276" w:lineRule="auto"/>
              <w:jc w:val="both"/>
              <w:rPr>
                <w:lang w:val="hy-AM"/>
              </w:rPr>
            </w:pPr>
          </w:p>
          <w:p w:rsidR="00530B14" w:rsidRPr="0053423A" w:rsidRDefault="00530B14" w:rsidP="00A67858">
            <w:pPr>
              <w:spacing w:line="276" w:lineRule="auto"/>
              <w:jc w:val="center"/>
              <w:rPr>
                <w:b/>
                <w:u w:val="single"/>
                <w:lang w:val="hy-AM"/>
              </w:rPr>
            </w:pPr>
            <w:r w:rsidRPr="0053423A">
              <w:rPr>
                <w:b/>
                <w:bCs/>
                <w:u w:val="single"/>
                <w:lang w:val="hy-AM"/>
              </w:rPr>
              <w:t xml:space="preserve">16.3 </w:t>
            </w:r>
            <w:r w:rsidRPr="0053423A">
              <w:rPr>
                <w:b/>
                <w:u w:val="single"/>
                <w:lang w:val="hy-AM"/>
              </w:rPr>
              <w:t xml:space="preserve">«Տեղեկատվության ազատության  մասին» ՀՀ օրենքում փոփոխություններ և լրացումներ կատարելու մասին» ՀՀ օրենքի </w:t>
            </w:r>
            <w:r w:rsidRPr="0053423A">
              <w:rPr>
                <w:rFonts w:cs="Arial"/>
                <w:b/>
                <w:u w:val="single"/>
                <w:lang w:val="hy-AM"/>
              </w:rPr>
              <w:t>նախագիծը վարչապետի աշխատակազմ ներկայացնելը</w:t>
            </w:r>
            <w:r w:rsidRPr="0053423A">
              <w:rPr>
                <w:b/>
                <w:u w:val="single"/>
                <w:lang w:val="hy-AM"/>
              </w:rPr>
              <w:t>»</w:t>
            </w:r>
          </w:p>
          <w:p w:rsidR="00530B14" w:rsidRPr="0053423A" w:rsidRDefault="00530B14" w:rsidP="00A67858">
            <w:pPr>
              <w:spacing w:line="276" w:lineRule="auto"/>
              <w:jc w:val="center"/>
              <w:rPr>
                <w:b/>
                <w:u w:val="single"/>
                <w:lang w:val="hy-AM"/>
              </w:rPr>
            </w:pPr>
          </w:p>
          <w:p w:rsidR="00530B14" w:rsidRPr="0053423A" w:rsidRDefault="00530B14" w:rsidP="001F6D5D">
            <w:pPr>
              <w:pStyle w:val="ListParagraph"/>
              <w:numPr>
                <w:ilvl w:val="0"/>
                <w:numId w:val="299"/>
              </w:numPr>
              <w:spacing w:line="276" w:lineRule="auto"/>
              <w:rPr>
                <w:b/>
                <w:i/>
                <w:lang w:val="hy-AM"/>
              </w:rPr>
            </w:pPr>
            <w:r w:rsidRPr="0053423A">
              <w:rPr>
                <w:b/>
                <w:i/>
                <w:lang w:val="hy-AM"/>
              </w:rPr>
              <w:t>Միջոցառման իրականացման անհրաժեշտությունը և նպատակը</w:t>
            </w:r>
          </w:p>
          <w:p w:rsidR="00530B14" w:rsidRPr="0053423A" w:rsidRDefault="00232EB0" w:rsidP="00A67858">
            <w:pPr>
              <w:spacing w:line="276" w:lineRule="auto"/>
              <w:jc w:val="both"/>
              <w:rPr>
                <w:lang w:val="hy-AM"/>
              </w:rPr>
            </w:pPr>
            <w:r w:rsidRPr="0053423A">
              <w:rPr>
                <w:lang w:val="hy-AM"/>
              </w:rPr>
              <w:t xml:space="preserve">    </w:t>
            </w:r>
            <w:r w:rsidRPr="0053423A">
              <w:rPr>
                <w:lang w:val="hy-AM"/>
              </w:rPr>
              <w:tab/>
              <w:t>Միջո</w:t>
            </w:r>
            <w:r w:rsidR="00530B14" w:rsidRPr="0053423A">
              <w:rPr>
                <w:lang w:val="hy-AM"/>
              </w:rPr>
              <w:t>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Էկոլոգիական իրազեկման, էկոկրթության, մշակույթի, դաստիարակության լայնածավալ միջոցառումների իրականացում, էկոլոգիական գիտության դերի բարձրացում  ուղղությունը:</w:t>
            </w:r>
          </w:p>
          <w:p w:rsidR="00530B14" w:rsidRPr="0053423A" w:rsidRDefault="00530B14" w:rsidP="00A67858">
            <w:pPr>
              <w:spacing w:line="276" w:lineRule="auto"/>
              <w:ind w:firstLine="720"/>
              <w:jc w:val="both"/>
              <w:rPr>
                <w:lang w:val="hy-AM"/>
              </w:rPr>
            </w:pPr>
            <w:r w:rsidRPr="0053423A">
              <w:rPr>
                <w:lang w:val="hy-AM"/>
              </w:rPr>
              <w:t>Օրենսդրական փոփոխության նպատակն է լիազոր մարմնին տալ իրավասություն չտրամադրել շրջակա միջավայրի վերաբերյալ հայցվող այնպիսի տեղեկատվություն, որի հրապարակման արդյունքում շրջակա միջավայրի կամ հանրային անվտանգության վրա դա կունենա բացասական ազդեցություն։</w:t>
            </w:r>
          </w:p>
          <w:p w:rsidR="00530B14" w:rsidRPr="0053423A" w:rsidRDefault="00530B14" w:rsidP="00A67858">
            <w:pPr>
              <w:spacing w:line="276" w:lineRule="auto"/>
              <w:jc w:val="both"/>
              <w:rPr>
                <w:b/>
                <w:lang w:val="hy-AM"/>
              </w:rPr>
            </w:pPr>
            <w:r w:rsidRPr="0053423A">
              <w:rPr>
                <w:lang w:val="hy-AM"/>
              </w:rPr>
              <w:t xml:space="preserve">  </w:t>
            </w:r>
            <w:r w:rsidRPr="0053423A">
              <w:rPr>
                <w:b/>
                <w:lang w:val="hy-AM"/>
              </w:rPr>
              <w:t xml:space="preserve">   1.1. Կարգավորման հարաբերությունների ներկա վիճակը և առկա խնդիրները</w:t>
            </w:r>
          </w:p>
          <w:p w:rsidR="00530B14" w:rsidRPr="0053423A" w:rsidRDefault="00530B14" w:rsidP="00A67858">
            <w:pPr>
              <w:spacing w:line="276" w:lineRule="auto"/>
              <w:jc w:val="both"/>
              <w:rPr>
                <w:lang w:val="hy-AM"/>
              </w:rPr>
            </w:pPr>
            <w:r w:rsidRPr="0053423A">
              <w:rPr>
                <w:lang w:val="hy-AM"/>
              </w:rPr>
              <w:t>«</w:t>
            </w:r>
            <w:r w:rsidRPr="0053423A">
              <w:rPr>
                <w:rFonts w:cs="Sylfaen"/>
                <w:lang w:val="hy-AM"/>
              </w:rPr>
              <w:t>Տեղեկատվության</w:t>
            </w:r>
            <w:r w:rsidRPr="0053423A">
              <w:rPr>
                <w:lang w:val="hy-AM"/>
              </w:rPr>
              <w:t xml:space="preserve"> </w:t>
            </w:r>
            <w:r w:rsidRPr="0053423A">
              <w:rPr>
                <w:rFonts w:cs="Sylfaen"/>
                <w:lang w:val="hy-AM"/>
              </w:rPr>
              <w:t>ազատության</w:t>
            </w:r>
            <w:r w:rsidRPr="0053423A">
              <w:rPr>
                <w:lang w:val="hy-AM"/>
              </w:rPr>
              <w:t xml:space="preserve"> </w:t>
            </w:r>
            <w:r w:rsidRPr="0053423A">
              <w:rPr>
                <w:rFonts w:cs="Sylfaen"/>
                <w:lang w:val="hy-AM"/>
              </w:rPr>
              <w:t>մասին</w:t>
            </w:r>
            <w:r w:rsidRPr="0053423A">
              <w:rPr>
                <w:lang w:val="hy-AM"/>
              </w:rPr>
              <w:t xml:space="preserve">» </w:t>
            </w:r>
            <w:r w:rsidRPr="0053423A">
              <w:rPr>
                <w:rFonts w:cs="Sylfaen"/>
                <w:lang w:val="hy-AM"/>
              </w:rPr>
              <w:t>ՀՀ</w:t>
            </w:r>
            <w:r w:rsidRPr="0053423A">
              <w:rPr>
                <w:lang w:val="hy-AM"/>
              </w:rPr>
              <w:t xml:space="preserve"> </w:t>
            </w:r>
            <w:r w:rsidRPr="0053423A">
              <w:rPr>
                <w:rFonts w:cs="Sylfaen"/>
                <w:lang w:val="hy-AM"/>
              </w:rPr>
              <w:t>օրենքի</w:t>
            </w:r>
            <w:r w:rsidRPr="0053423A">
              <w:rPr>
                <w:lang w:val="hy-AM"/>
              </w:rPr>
              <w:t xml:space="preserve"> 8-</w:t>
            </w:r>
            <w:r w:rsidRPr="0053423A">
              <w:rPr>
                <w:rFonts w:cs="Sylfaen"/>
                <w:lang w:val="hy-AM"/>
              </w:rPr>
              <w:t>րդ</w:t>
            </w:r>
            <w:r w:rsidRPr="0053423A">
              <w:rPr>
                <w:lang w:val="hy-AM"/>
              </w:rPr>
              <w:t xml:space="preserve"> </w:t>
            </w:r>
            <w:r w:rsidRPr="0053423A">
              <w:rPr>
                <w:rFonts w:cs="Sylfaen"/>
                <w:lang w:val="hy-AM"/>
              </w:rPr>
              <w:t>հոդվածի</w:t>
            </w:r>
            <w:r w:rsidRPr="0053423A">
              <w:rPr>
                <w:lang w:val="hy-AM"/>
              </w:rPr>
              <w:t xml:space="preserve"> 1-</w:t>
            </w:r>
            <w:r w:rsidRPr="0053423A">
              <w:rPr>
                <w:rFonts w:cs="Sylfaen"/>
                <w:lang w:val="hy-AM"/>
              </w:rPr>
              <w:t>ին</w:t>
            </w:r>
            <w:r w:rsidRPr="0053423A">
              <w:rPr>
                <w:lang w:val="hy-AM"/>
              </w:rPr>
              <w:t xml:space="preserve"> </w:t>
            </w:r>
            <w:r w:rsidRPr="0053423A">
              <w:rPr>
                <w:rFonts w:cs="Sylfaen"/>
                <w:lang w:val="hy-AM"/>
              </w:rPr>
              <w:t>մասը</w:t>
            </w:r>
            <w:r w:rsidRPr="0053423A">
              <w:rPr>
                <w:lang w:val="hy-AM"/>
              </w:rPr>
              <w:t xml:space="preserve"> </w:t>
            </w:r>
            <w:r w:rsidRPr="0053423A">
              <w:rPr>
                <w:rFonts w:cs="Sylfaen"/>
                <w:lang w:val="hy-AM"/>
              </w:rPr>
              <w:t>նախատեսում</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տեղեկատվության</w:t>
            </w:r>
            <w:r w:rsidRPr="0053423A">
              <w:rPr>
                <w:lang w:val="hy-AM"/>
              </w:rPr>
              <w:t xml:space="preserve"> </w:t>
            </w:r>
            <w:r w:rsidRPr="0053423A">
              <w:rPr>
                <w:rFonts w:cs="Sylfaen"/>
                <w:lang w:val="hy-AM"/>
              </w:rPr>
              <w:t>տրամադրման</w:t>
            </w:r>
            <w:r w:rsidRPr="0053423A">
              <w:rPr>
                <w:lang w:val="hy-AM"/>
              </w:rPr>
              <w:t xml:space="preserve"> </w:t>
            </w:r>
            <w:r w:rsidRPr="0053423A">
              <w:rPr>
                <w:rFonts w:cs="Sylfaen"/>
                <w:lang w:val="hy-AM"/>
              </w:rPr>
              <w:t>սահմանափակումները</w:t>
            </w:r>
            <w:r w:rsidRPr="0053423A">
              <w:rPr>
                <w:lang w:val="hy-AM"/>
              </w:rPr>
              <w:t>, 3-</w:t>
            </w:r>
            <w:r w:rsidRPr="0053423A">
              <w:rPr>
                <w:rFonts w:cs="Sylfaen"/>
                <w:lang w:val="hy-AM"/>
              </w:rPr>
              <w:t>րդ</w:t>
            </w:r>
            <w:r w:rsidRPr="0053423A">
              <w:rPr>
                <w:lang w:val="hy-AM"/>
              </w:rPr>
              <w:t xml:space="preserve"> </w:t>
            </w:r>
            <w:r w:rsidRPr="0053423A">
              <w:rPr>
                <w:rFonts w:cs="Sylfaen"/>
                <w:lang w:val="hy-AM"/>
              </w:rPr>
              <w:t>մասը</w:t>
            </w:r>
            <w:r w:rsidRPr="0053423A">
              <w:rPr>
                <w:lang w:val="hy-AM"/>
              </w:rPr>
              <w:t xml:space="preserve"> </w:t>
            </w:r>
            <w:r w:rsidRPr="0053423A">
              <w:rPr>
                <w:rFonts w:cs="Sylfaen"/>
                <w:lang w:val="hy-AM"/>
              </w:rPr>
              <w:t>նախատեսում</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սահմանափակման</w:t>
            </w:r>
            <w:r w:rsidRPr="0053423A">
              <w:rPr>
                <w:lang w:val="hy-AM"/>
              </w:rPr>
              <w:t xml:space="preserve"> </w:t>
            </w:r>
            <w:r w:rsidRPr="0053423A">
              <w:rPr>
                <w:rFonts w:cs="Sylfaen"/>
                <w:lang w:val="hy-AM"/>
              </w:rPr>
              <w:t>ոչ</w:t>
            </w:r>
            <w:r w:rsidRPr="0053423A">
              <w:rPr>
                <w:lang w:val="hy-AM"/>
              </w:rPr>
              <w:t xml:space="preserve"> </w:t>
            </w:r>
            <w:r w:rsidRPr="0053423A">
              <w:rPr>
                <w:rFonts w:cs="Sylfaen"/>
                <w:lang w:val="hy-AM"/>
              </w:rPr>
              <w:t>ենթակա</w:t>
            </w:r>
            <w:r w:rsidRPr="0053423A">
              <w:rPr>
                <w:lang w:val="hy-AM"/>
              </w:rPr>
              <w:t xml:space="preserve"> </w:t>
            </w:r>
            <w:r w:rsidRPr="0053423A">
              <w:rPr>
                <w:rFonts w:cs="Sylfaen"/>
                <w:lang w:val="hy-AM"/>
              </w:rPr>
              <w:t>տեղեկատվության</w:t>
            </w:r>
            <w:r w:rsidRPr="0053423A">
              <w:rPr>
                <w:lang w:val="hy-AM"/>
              </w:rPr>
              <w:t xml:space="preserve"> </w:t>
            </w:r>
            <w:r w:rsidRPr="0053423A">
              <w:rPr>
                <w:rFonts w:cs="Sylfaen"/>
                <w:lang w:val="hy-AM"/>
              </w:rPr>
              <w:t>շրջանակը։</w:t>
            </w:r>
            <w:r w:rsidRPr="0053423A">
              <w:rPr>
                <w:lang w:val="hy-AM"/>
              </w:rPr>
              <w:t xml:space="preserve"> </w:t>
            </w:r>
            <w:r w:rsidRPr="0053423A">
              <w:rPr>
                <w:rFonts w:cs="Sylfaen"/>
                <w:lang w:val="hy-AM"/>
              </w:rPr>
              <w:t>Մասնավորապես</w:t>
            </w:r>
            <w:r w:rsidRPr="0053423A">
              <w:rPr>
                <w:lang w:val="hy-AM"/>
              </w:rPr>
              <w:t xml:space="preserve">, </w:t>
            </w:r>
            <w:r w:rsidRPr="0053423A">
              <w:rPr>
                <w:rFonts w:cs="Sylfaen"/>
                <w:lang w:val="hy-AM"/>
              </w:rPr>
              <w:t>նշյալ</w:t>
            </w:r>
            <w:r w:rsidRPr="0053423A">
              <w:rPr>
                <w:lang w:val="hy-AM"/>
              </w:rPr>
              <w:t xml:space="preserve"> </w:t>
            </w:r>
            <w:r w:rsidRPr="0053423A">
              <w:rPr>
                <w:rFonts w:cs="Sylfaen"/>
                <w:lang w:val="hy-AM"/>
              </w:rPr>
              <w:t>օրենքի</w:t>
            </w:r>
            <w:r w:rsidRPr="0053423A">
              <w:rPr>
                <w:lang w:val="hy-AM"/>
              </w:rPr>
              <w:t xml:space="preserve"> 8-</w:t>
            </w:r>
            <w:r w:rsidRPr="0053423A">
              <w:rPr>
                <w:rFonts w:cs="Sylfaen"/>
                <w:lang w:val="hy-AM"/>
              </w:rPr>
              <w:t>րդ</w:t>
            </w:r>
            <w:r w:rsidRPr="0053423A">
              <w:rPr>
                <w:lang w:val="hy-AM"/>
              </w:rPr>
              <w:t xml:space="preserve"> </w:t>
            </w:r>
            <w:r w:rsidRPr="0053423A">
              <w:rPr>
                <w:rFonts w:cs="Sylfaen"/>
                <w:lang w:val="hy-AM"/>
              </w:rPr>
              <w:t>հոդվածի</w:t>
            </w:r>
            <w:r w:rsidRPr="0053423A">
              <w:rPr>
                <w:lang w:val="hy-AM"/>
              </w:rPr>
              <w:t xml:space="preserve"> 3-</w:t>
            </w:r>
            <w:r w:rsidRPr="0053423A">
              <w:rPr>
                <w:rFonts w:cs="Sylfaen"/>
                <w:lang w:val="hy-AM"/>
              </w:rPr>
              <w:t>րդ</w:t>
            </w:r>
            <w:r w:rsidRPr="0053423A">
              <w:rPr>
                <w:lang w:val="hy-AM"/>
              </w:rPr>
              <w:t xml:space="preserve"> </w:t>
            </w:r>
            <w:r w:rsidRPr="0053423A">
              <w:rPr>
                <w:rFonts w:cs="Sylfaen"/>
                <w:lang w:val="hy-AM"/>
              </w:rPr>
              <w:t>մասի</w:t>
            </w:r>
            <w:r w:rsidRPr="0053423A">
              <w:rPr>
                <w:lang w:val="hy-AM"/>
              </w:rPr>
              <w:t xml:space="preserve"> 2-</w:t>
            </w:r>
            <w:r w:rsidRPr="0053423A">
              <w:rPr>
                <w:rFonts w:cs="Sylfaen"/>
                <w:lang w:val="hy-AM"/>
              </w:rPr>
              <w:t>րդ</w:t>
            </w:r>
            <w:r w:rsidRPr="0053423A">
              <w:rPr>
                <w:lang w:val="hy-AM"/>
              </w:rPr>
              <w:t xml:space="preserve"> </w:t>
            </w:r>
            <w:r w:rsidRPr="0053423A">
              <w:rPr>
                <w:rFonts w:cs="Sylfaen"/>
                <w:lang w:val="hy-AM"/>
              </w:rPr>
              <w:t>կետի</w:t>
            </w:r>
            <w:r w:rsidRPr="0053423A">
              <w:rPr>
                <w:lang w:val="hy-AM"/>
              </w:rPr>
              <w:t xml:space="preserve"> </w:t>
            </w:r>
            <w:r w:rsidRPr="0053423A">
              <w:rPr>
                <w:rFonts w:cs="Sylfaen"/>
                <w:lang w:val="hy-AM"/>
              </w:rPr>
              <w:t>համաձայն՝</w:t>
            </w:r>
            <w:r w:rsidRPr="0053423A">
              <w:rPr>
                <w:lang w:val="hy-AM"/>
              </w:rPr>
              <w:t xml:space="preserve"> </w:t>
            </w:r>
            <w:r w:rsidRPr="0053423A">
              <w:rPr>
                <w:rFonts w:cs="Sylfaen"/>
                <w:lang w:val="hy-AM"/>
              </w:rPr>
              <w:t>տեղեկության</w:t>
            </w:r>
            <w:r w:rsidRPr="0053423A">
              <w:rPr>
                <w:lang w:val="hy-AM"/>
              </w:rPr>
              <w:t xml:space="preserve"> </w:t>
            </w:r>
            <w:r w:rsidRPr="0053423A">
              <w:rPr>
                <w:rFonts w:cs="Sylfaen"/>
                <w:lang w:val="hy-AM"/>
              </w:rPr>
              <w:t>տրամադրումը</w:t>
            </w:r>
            <w:r w:rsidRPr="0053423A">
              <w:rPr>
                <w:lang w:val="hy-AM"/>
              </w:rPr>
              <w:t xml:space="preserve"> </w:t>
            </w:r>
            <w:r w:rsidRPr="0053423A">
              <w:rPr>
                <w:rFonts w:cs="Sylfaen"/>
                <w:lang w:val="hy-AM"/>
              </w:rPr>
              <w:t>չի</w:t>
            </w:r>
            <w:r w:rsidRPr="0053423A">
              <w:rPr>
                <w:lang w:val="hy-AM"/>
              </w:rPr>
              <w:t xml:space="preserve"> </w:t>
            </w:r>
            <w:r w:rsidRPr="0053423A">
              <w:rPr>
                <w:rFonts w:cs="Sylfaen"/>
                <w:lang w:val="hy-AM"/>
              </w:rPr>
              <w:t>կարող</w:t>
            </w:r>
            <w:r w:rsidRPr="0053423A">
              <w:rPr>
                <w:lang w:val="hy-AM"/>
              </w:rPr>
              <w:t xml:space="preserve"> </w:t>
            </w:r>
            <w:r w:rsidRPr="0053423A">
              <w:rPr>
                <w:rFonts w:cs="Sylfaen"/>
                <w:lang w:val="hy-AM"/>
              </w:rPr>
              <w:t>մերժվել</w:t>
            </w:r>
            <w:r w:rsidRPr="0053423A">
              <w:rPr>
                <w:lang w:val="hy-AM"/>
              </w:rPr>
              <w:t xml:space="preserve">, </w:t>
            </w:r>
            <w:r w:rsidRPr="0053423A">
              <w:rPr>
                <w:rFonts w:cs="Sylfaen"/>
                <w:lang w:val="hy-AM"/>
              </w:rPr>
              <w:t>եթե</w:t>
            </w:r>
            <w:r w:rsidRPr="0053423A">
              <w:rPr>
                <w:lang w:val="hy-AM"/>
              </w:rPr>
              <w:t xml:space="preserve"> </w:t>
            </w:r>
            <w:r w:rsidRPr="0053423A">
              <w:rPr>
                <w:rFonts w:cs="Sylfaen"/>
                <w:lang w:val="hy-AM"/>
              </w:rPr>
              <w:t>դա՝</w:t>
            </w:r>
            <w:r w:rsidRPr="0053423A">
              <w:rPr>
                <w:lang w:val="hy-AM"/>
              </w:rPr>
              <w:t xml:space="preserve"> 2) </w:t>
            </w:r>
            <w:r w:rsidRPr="0053423A">
              <w:rPr>
                <w:rFonts w:cs="Sylfaen"/>
                <w:lang w:val="hy-AM"/>
              </w:rPr>
              <w:t>ներկայացնում</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Հայաստանի</w:t>
            </w:r>
            <w:r w:rsidRPr="0053423A">
              <w:rPr>
                <w:lang w:val="hy-AM"/>
              </w:rPr>
              <w:t xml:space="preserve"> </w:t>
            </w:r>
            <w:r w:rsidRPr="0053423A">
              <w:rPr>
                <w:rFonts w:cs="Sylfaen"/>
                <w:lang w:val="hy-AM"/>
              </w:rPr>
              <w:t>Հանրապետության</w:t>
            </w:r>
            <w:r w:rsidRPr="0053423A">
              <w:rPr>
                <w:lang w:val="hy-AM"/>
              </w:rPr>
              <w:t xml:space="preserve"> </w:t>
            </w:r>
            <w:r w:rsidRPr="0053423A">
              <w:rPr>
                <w:rFonts w:cs="Sylfaen"/>
                <w:lang w:val="hy-AM"/>
              </w:rPr>
              <w:t>տնտեսության</w:t>
            </w:r>
            <w:r w:rsidRPr="0053423A">
              <w:rPr>
                <w:lang w:val="hy-AM"/>
              </w:rPr>
              <w:t xml:space="preserve"> </w:t>
            </w:r>
            <w:r w:rsidRPr="0053423A">
              <w:rPr>
                <w:rFonts w:cs="Sylfaen"/>
                <w:lang w:val="hy-AM"/>
              </w:rPr>
              <w:t>ընդհանուր</w:t>
            </w:r>
            <w:r w:rsidRPr="0053423A">
              <w:rPr>
                <w:lang w:val="hy-AM"/>
              </w:rPr>
              <w:t xml:space="preserve"> </w:t>
            </w:r>
            <w:r w:rsidRPr="0053423A">
              <w:rPr>
                <w:rFonts w:cs="Sylfaen"/>
                <w:lang w:val="hy-AM"/>
              </w:rPr>
              <w:t>վիճակը</w:t>
            </w:r>
            <w:r w:rsidRPr="0053423A">
              <w:rPr>
                <w:lang w:val="hy-AM"/>
              </w:rPr>
              <w:t xml:space="preserve">, </w:t>
            </w:r>
            <w:r w:rsidRPr="0053423A">
              <w:rPr>
                <w:rFonts w:cs="Sylfaen"/>
                <w:lang w:val="hy-AM"/>
              </w:rPr>
              <w:t>ինչպես</w:t>
            </w:r>
            <w:r w:rsidRPr="0053423A">
              <w:rPr>
                <w:lang w:val="hy-AM"/>
              </w:rPr>
              <w:t xml:space="preserve"> </w:t>
            </w:r>
            <w:r w:rsidRPr="0053423A">
              <w:rPr>
                <w:rFonts w:cs="Sylfaen"/>
                <w:lang w:val="hy-AM"/>
              </w:rPr>
              <w:t>նաև</w:t>
            </w:r>
            <w:r w:rsidRPr="0053423A">
              <w:rPr>
                <w:lang w:val="hy-AM"/>
              </w:rPr>
              <w:t xml:space="preserve"> </w:t>
            </w:r>
            <w:r w:rsidRPr="0053423A">
              <w:rPr>
                <w:rFonts w:cs="Sylfaen"/>
                <w:lang w:val="hy-AM"/>
              </w:rPr>
              <w:t>բնության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շրջակա</w:t>
            </w:r>
            <w:r w:rsidRPr="0053423A">
              <w:rPr>
                <w:lang w:val="hy-AM"/>
              </w:rPr>
              <w:t xml:space="preserve"> </w:t>
            </w:r>
            <w:r w:rsidRPr="0053423A">
              <w:rPr>
                <w:rFonts w:cs="Sylfaen"/>
                <w:lang w:val="hy-AM"/>
              </w:rPr>
              <w:t>միջավայրի</w:t>
            </w:r>
            <w:r w:rsidRPr="0053423A">
              <w:rPr>
                <w:lang w:val="hy-AM"/>
              </w:rPr>
              <w:t xml:space="preserve"> </w:t>
            </w:r>
            <w:r w:rsidRPr="0053423A">
              <w:rPr>
                <w:rFonts w:cs="Sylfaen"/>
                <w:lang w:val="hy-AM"/>
              </w:rPr>
              <w:t>պաշտպանության</w:t>
            </w:r>
            <w:r w:rsidRPr="0053423A">
              <w:rPr>
                <w:lang w:val="hy-AM"/>
              </w:rPr>
              <w:t xml:space="preserve">, </w:t>
            </w:r>
            <w:r w:rsidRPr="0053423A">
              <w:rPr>
                <w:rFonts w:cs="Sylfaen"/>
                <w:lang w:val="hy-AM"/>
              </w:rPr>
              <w:t>առողջապահության</w:t>
            </w:r>
            <w:r w:rsidRPr="0053423A">
              <w:rPr>
                <w:lang w:val="hy-AM"/>
              </w:rPr>
              <w:t xml:space="preserve">, </w:t>
            </w:r>
            <w:r w:rsidRPr="0053423A">
              <w:rPr>
                <w:rFonts w:cs="Sylfaen"/>
                <w:lang w:val="hy-AM"/>
              </w:rPr>
              <w:t>կրթության</w:t>
            </w:r>
            <w:r w:rsidRPr="0053423A">
              <w:rPr>
                <w:lang w:val="hy-AM"/>
              </w:rPr>
              <w:t xml:space="preserve">, </w:t>
            </w:r>
            <w:r w:rsidRPr="0053423A">
              <w:rPr>
                <w:rFonts w:cs="Sylfaen"/>
                <w:lang w:val="hy-AM"/>
              </w:rPr>
              <w:t>գյուղատնտեսության</w:t>
            </w:r>
            <w:r w:rsidRPr="0053423A">
              <w:rPr>
                <w:lang w:val="hy-AM"/>
              </w:rPr>
              <w:t xml:space="preserve">, </w:t>
            </w:r>
            <w:r w:rsidRPr="0053423A">
              <w:rPr>
                <w:rFonts w:cs="Sylfaen"/>
                <w:lang w:val="hy-AM"/>
              </w:rPr>
              <w:t>առևտրի</w:t>
            </w:r>
            <w:r w:rsidRPr="0053423A">
              <w:rPr>
                <w:lang w:val="hy-AM"/>
              </w:rPr>
              <w:t xml:space="preserve">, </w:t>
            </w:r>
            <w:r w:rsidRPr="0053423A">
              <w:rPr>
                <w:rFonts w:cs="Sylfaen"/>
                <w:lang w:val="hy-AM"/>
              </w:rPr>
              <w:t>մշակույթի</w:t>
            </w:r>
            <w:r w:rsidRPr="0053423A">
              <w:rPr>
                <w:lang w:val="hy-AM"/>
              </w:rPr>
              <w:t xml:space="preserve"> </w:t>
            </w:r>
            <w:r w:rsidRPr="0053423A">
              <w:rPr>
                <w:rFonts w:cs="Sylfaen"/>
                <w:lang w:val="hy-AM"/>
              </w:rPr>
              <w:t>բնագավառում</w:t>
            </w:r>
            <w:r w:rsidRPr="0053423A">
              <w:rPr>
                <w:lang w:val="hy-AM"/>
              </w:rPr>
              <w:t xml:space="preserve"> </w:t>
            </w:r>
            <w:r w:rsidRPr="0053423A">
              <w:rPr>
                <w:rFonts w:cs="Sylfaen"/>
                <w:lang w:val="hy-AM"/>
              </w:rPr>
              <w:t>տիրող</w:t>
            </w:r>
            <w:r w:rsidRPr="0053423A">
              <w:rPr>
                <w:lang w:val="hy-AM"/>
              </w:rPr>
              <w:t xml:space="preserve"> </w:t>
            </w:r>
            <w:r w:rsidRPr="0053423A">
              <w:rPr>
                <w:rFonts w:cs="Sylfaen"/>
                <w:lang w:val="hy-AM"/>
              </w:rPr>
              <w:t>իրական</w:t>
            </w:r>
            <w:r w:rsidRPr="0053423A">
              <w:rPr>
                <w:lang w:val="hy-AM"/>
              </w:rPr>
              <w:t xml:space="preserve"> </w:t>
            </w:r>
            <w:r w:rsidRPr="0053423A">
              <w:rPr>
                <w:rFonts w:cs="Sylfaen"/>
                <w:lang w:val="hy-AM"/>
              </w:rPr>
              <w:t>վիճակը։</w:t>
            </w:r>
            <w:r w:rsidRPr="0053423A">
              <w:rPr>
                <w:lang w:val="hy-AM"/>
              </w:rPr>
              <w:t xml:space="preserve"> </w:t>
            </w:r>
          </w:p>
          <w:p w:rsidR="00530B14" w:rsidRPr="0053423A" w:rsidRDefault="00530B14" w:rsidP="00A67858">
            <w:pPr>
              <w:spacing w:line="276" w:lineRule="auto"/>
              <w:jc w:val="both"/>
              <w:rPr>
                <w:lang w:val="hy-AM"/>
              </w:rPr>
            </w:pPr>
            <w:r w:rsidRPr="0053423A">
              <w:rPr>
                <w:rFonts w:cs="Sylfaen"/>
                <w:lang w:val="hy-AM"/>
              </w:rPr>
              <w:t>Օրհուսի</w:t>
            </w:r>
            <w:r w:rsidRPr="0053423A">
              <w:rPr>
                <w:lang w:val="hy-AM"/>
              </w:rPr>
              <w:t xml:space="preserve"> </w:t>
            </w:r>
            <w:r w:rsidRPr="0053423A">
              <w:rPr>
                <w:rFonts w:cs="Sylfaen"/>
                <w:lang w:val="hy-AM"/>
              </w:rPr>
              <w:t>կոնվենցիայի</w:t>
            </w:r>
            <w:r w:rsidRPr="0053423A">
              <w:rPr>
                <w:lang w:val="hy-AM"/>
              </w:rPr>
              <w:t xml:space="preserve"> 4-</w:t>
            </w:r>
            <w:r w:rsidRPr="0053423A">
              <w:rPr>
                <w:rFonts w:cs="Sylfaen"/>
                <w:lang w:val="hy-AM"/>
              </w:rPr>
              <w:t>րդ</w:t>
            </w:r>
            <w:r w:rsidRPr="0053423A">
              <w:rPr>
                <w:lang w:val="hy-AM"/>
              </w:rPr>
              <w:t xml:space="preserve"> </w:t>
            </w:r>
            <w:r w:rsidRPr="0053423A">
              <w:rPr>
                <w:rFonts w:cs="Sylfaen"/>
                <w:lang w:val="hy-AM"/>
              </w:rPr>
              <w:t>հոդվածի</w:t>
            </w:r>
            <w:r w:rsidRPr="0053423A">
              <w:rPr>
                <w:lang w:val="hy-AM"/>
              </w:rPr>
              <w:t xml:space="preserve"> 3-</w:t>
            </w:r>
            <w:r w:rsidRPr="0053423A">
              <w:rPr>
                <w:rFonts w:cs="Sylfaen"/>
                <w:lang w:val="hy-AM"/>
              </w:rPr>
              <w:t>րդ</w:t>
            </w:r>
            <w:r w:rsidRPr="0053423A">
              <w:rPr>
                <w:lang w:val="hy-AM"/>
              </w:rPr>
              <w:t xml:space="preserve"> </w:t>
            </w:r>
            <w:r w:rsidRPr="0053423A">
              <w:rPr>
                <w:rFonts w:cs="Sylfaen"/>
                <w:lang w:val="hy-AM"/>
              </w:rPr>
              <w:t>և</w:t>
            </w:r>
            <w:r w:rsidRPr="0053423A">
              <w:rPr>
                <w:lang w:val="hy-AM"/>
              </w:rPr>
              <w:t xml:space="preserve"> 4-</w:t>
            </w:r>
            <w:r w:rsidRPr="0053423A">
              <w:rPr>
                <w:rFonts w:cs="Sylfaen"/>
                <w:lang w:val="hy-AM"/>
              </w:rPr>
              <w:t>րդ</w:t>
            </w:r>
            <w:r w:rsidRPr="0053423A">
              <w:rPr>
                <w:lang w:val="hy-AM"/>
              </w:rPr>
              <w:t xml:space="preserve"> </w:t>
            </w:r>
            <w:r w:rsidRPr="0053423A">
              <w:rPr>
                <w:rFonts w:cs="Sylfaen"/>
                <w:lang w:val="hy-AM"/>
              </w:rPr>
              <w:t>մասերում</w:t>
            </w:r>
            <w:r w:rsidRPr="0053423A">
              <w:rPr>
                <w:lang w:val="hy-AM"/>
              </w:rPr>
              <w:t xml:space="preserve"> </w:t>
            </w:r>
            <w:r w:rsidRPr="0053423A">
              <w:rPr>
                <w:rFonts w:cs="Sylfaen"/>
                <w:lang w:val="hy-AM"/>
              </w:rPr>
              <w:t>սահմանված</w:t>
            </w:r>
            <w:r w:rsidRPr="0053423A">
              <w:rPr>
                <w:lang w:val="hy-AM"/>
              </w:rPr>
              <w:t xml:space="preserve"> </w:t>
            </w:r>
            <w:r w:rsidRPr="0053423A">
              <w:rPr>
                <w:rFonts w:cs="Sylfaen"/>
                <w:lang w:val="hy-AM"/>
              </w:rPr>
              <w:t>են</w:t>
            </w:r>
            <w:r w:rsidRPr="0053423A">
              <w:rPr>
                <w:lang w:val="hy-AM"/>
              </w:rPr>
              <w:t xml:space="preserve"> </w:t>
            </w:r>
            <w:r w:rsidRPr="0053423A">
              <w:rPr>
                <w:rFonts w:cs="Sylfaen"/>
                <w:lang w:val="hy-AM"/>
              </w:rPr>
              <w:t>մի</w:t>
            </w:r>
            <w:r w:rsidRPr="0053423A">
              <w:rPr>
                <w:lang w:val="hy-AM"/>
              </w:rPr>
              <w:t xml:space="preserve"> </w:t>
            </w:r>
            <w:r w:rsidRPr="0053423A">
              <w:rPr>
                <w:rFonts w:cs="Sylfaen"/>
                <w:lang w:val="hy-AM"/>
              </w:rPr>
              <w:t>քանի</w:t>
            </w:r>
            <w:r w:rsidRPr="0053423A">
              <w:rPr>
                <w:lang w:val="hy-AM"/>
              </w:rPr>
              <w:t xml:space="preserve"> </w:t>
            </w:r>
            <w:r w:rsidRPr="0053423A">
              <w:rPr>
                <w:rFonts w:cs="Sylfaen"/>
                <w:lang w:val="hy-AM"/>
              </w:rPr>
              <w:t>հիմքեր</w:t>
            </w:r>
            <w:r w:rsidRPr="0053423A">
              <w:rPr>
                <w:lang w:val="hy-AM"/>
              </w:rPr>
              <w:t xml:space="preserve">, </w:t>
            </w:r>
            <w:r w:rsidRPr="0053423A">
              <w:rPr>
                <w:rFonts w:cs="Sylfaen"/>
                <w:lang w:val="hy-AM"/>
              </w:rPr>
              <w:t>որոնց</w:t>
            </w:r>
            <w:r w:rsidRPr="0053423A">
              <w:rPr>
                <w:lang w:val="hy-AM"/>
              </w:rPr>
              <w:t xml:space="preserve"> </w:t>
            </w:r>
            <w:r w:rsidRPr="0053423A">
              <w:rPr>
                <w:rFonts w:cs="Sylfaen"/>
                <w:lang w:val="hy-AM"/>
              </w:rPr>
              <w:t>պարագայում</w:t>
            </w:r>
            <w:r w:rsidRPr="0053423A">
              <w:rPr>
                <w:lang w:val="hy-AM"/>
              </w:rPr>
              <w:t xml:space="preserve"> </w:t>
            </w:r>
            <w:r w:rsidRPr="0053423A">
              <w:rPr>
                <w:rFonts w:cs="Sylfaen"/>
                <w:lang w:val="hy-AM"/>
              </w:rPr>
              <w:t>շրջակա</w:t>
            </w:r>
            <w:r w:rsidRPr="0053423A">
              <w:rPr>
                <w:lang w:val="hy-AM"/>
              </w:rPr>
              <w:t xml:space="preserve"> </w:t>
            </w:r>
            <w:r w:rsidRPr="0053423A">
              <w:rPr>
                <w:rFonts w:cs="Sylfaen"/>
                <w:lang w:val="hy-AM"/>
              </w:rPr>
              <w:t>միջավայրին</w:t>
            </w:r>
            <w:r w:rsidRPr="0053423A">
              <w:rPr>
                <w:lang w:val="hy-AM"/>
              </w:rPr>
              <w:t xml:space="preserve"> </w:t>
            </w:r>
            <w:r w:rsidRPr="0053423A">
              <w:rPr>
                <w:rFonts w:cs="Sylfaen"/>
                <w:lang w:val="hy-AM"/>
              </w:rPr>
              <w:t>վերաբերող</w:t>
            </w:r>
            <w:r w:rsidRPr="0053423A">
              <w:rPr>
                <w:lang w:val="hy-AM"/>
              </w:rPr>
              <w:t xml:space="preserve"> </w:t>
            </w:r>
            <w:r w:rsidRPr="0053423A">
              <w:rPr>
                <w:rFonts w:cs="Sylfaen"/>
                <w:lang w:val="hy-AM"/>
              </w:rPr>
              <w:t>տեղեկատվություն</w:t>
            </w:r>
            <w:r w:rsidRPr="0053423A">
              <w:rPr>
                <w:lang w:val="hy-AM"/>
              </w:rPr>
              <w:t xml:space="preserve"> </w:t>
            </w:r>
            <w:r w:rsidRPr="0053423A">
              <w:rPr>
                <w:rFonts w:cs="Sylfaen"/>
                <w:lang w:val="hy-AM"/>
              </w:rPr>
              <w:t>ստանալու</w:t>
            </w:r>
            <w:r w:rsidRPr="0053423A">
              <w:rPr>
                <w:lang w:val="hy-AM"/>
              </w:rPr>
              <w:t xml:space="preserve"> </w:t>
            </w:r>
            <w:r w:rsidRPr="0053423A">
              <w:rPr>
                <w:rFonts w:cs="Sylfaen"/>
                <w:lang w:val="hy-AM"/>
              </w:rPr>
              <w:t>կապակցությամբ</w:t>
            </w:r>
            <w:r w:rsidRPr="0053423A">
              <w:rPr>
                <w:lang w:val="hy-AM"/>
              </w:rPr>
              <w:t xml:space="preserve"> </w:t>
            </w:r>
            <w:r w:rsidRPr="0053423A">
              <w:rPr>
                <w:rFonts w:cs="Sylfaen"/>
                <w:lang w:val="hy-AM"/>
              </w:rPr>
              <w:t>կատարված</w:t>
            </w:r>
            <w:r w:rsidRPr="0053423A">
              <w:rPr>
                <w:lang w:val="hy-AM"/>
              </w:rPr>
              <w:t xml:space="preserve"> </w:t>
            </w:r>
            <w:r w:rsidRPr="0053423A">
              <w:rPr>
                <w:rFonts w:cs="Sylfaen"/>
                <w:lang w:val="hy-AM"/>
              </w:rPr>
              <w:t>հարցումը</w:t>
            </w:r>
            <w:r w:rsidRPr="0053423A">
              <w:rPr>
                <w:lang w:val="hy-AM"/>
              </w:rPr>
              <w:t xml:space="preserve"> </w:t>
            </w:r>
            <w:r w:rsidRPr="0053423A">
              <w:rPr>
                <w:rFonts w:cs="Sylfaen"/>
                <w:lang w:val="hy-AM"/>
              </w:rPr>
              <w:t>կարող</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մերժվել։</w:t>
            </w:r>
            <w:r w:rsidRPr="0053423A">
              <w:rPr>
                <w:lang w:val="hy-AM"/>
              </w:rPr>
              <w:t xml:space="preserve"> </w:t>
            </w:r>
            <w:r w:rsidRPr="0053423A">
              <w:rPr>
                <w:rFonts w:cs="Sylfaen"/>
                <w:lang w:val="hy-AM"/>
              </w:rPr>
              <w:t>Այդ</w:t>
            </w:r>
            <w:r w:rsidRPr="0053423A">
              <w:rPr>
                <w:lang w:val="hy-AM"/>
              </w:rPr>
              <w:t xml:space="preserve"> </w:t>
            </w:r>
            <w:r w:rsidRPr="0053423A">
              <w:rPr>
                <w:rFonts w:cs="Sylfaen"/>
                <w:lang w:val="hy-AM"/>
              </w:rPr>
              <w:t>հիմքերից</w:t>
            </w:r>
            <w:r w:rsidRPr="0053423A">
              <w:rPr>
                <w:lang w:val="hy-AM"/>
              </w:rPr>
              <w:t xml:space="preserve"> </w:t>
            </w:r>
            <w:r w:rsidRPr="0053423A">
              <w:rPr>
                <w:rFonts w:cs="Sylfaen"/>
                <w:lang w:val="hy-AM"/>
              </w:rPr>
              <w:t>են՝</w:t>
            </w:r>
            <w:r w:rsidRPr="0053423A">
              <w:rPr>
                <w:lang w:val="hy-AM"/>
              </w:rPr>
              <w:t xml:space="preserve"> </w:t>
            </w:r>
          </w:p>
          <w:p w:rsidR="00530B14" w:rsidRPr="0053423A" w:rsidRDefault="00530B14" w:rsidP="00A67858">
            <w:pPr>
              <w:spacing w:line="276" w:lineRule="auto"/>
              <w:ind w:firstLine="553"/>
              <w:jc w:val="both"/>
              <w:rPr>
                <w:lang w:val="hy-AM"/>
              </w:rPr>
            </w:pPr>
            <w:r w:rsidRPr="0053423A">
              <w:rPr>
                <w:lang w:val="hy-AM"/>
              </w:rPr>
              <w:t>-</w:t>
            </w:r>
            <w:r w:rsidRPr="0053423A">
              <w:rPr>
                <w:lang w:val="hy-AM"/>
              </w:rPr>
              <w:tab/>
            </w:r>
            <w:r w:rsidRPr="0053423A">
              <w:rPr>
                <w:rFonts w:cs="Sylfaen"/>
                <w:lang w:val="hy-AM"/>
              </w:rPr>
              <w:t>տեղեկատվության</w:t>
            </w:r>
            <w:r w:rsidRPr="0053423A">
              <w:rPr>
                <w:lang w:val="hy-AM"/>
              </w:rPr>
              <w:t xml:space="preserve"> </w:t>
            </w:r>
            <w:r w:rsidRPr="0053423A">
              <w:rPr>
                <w:rFonts w:cs="Sylfaen"/>
                <w:lang w:val="hy-AM"/>
              </w:rPr>
              <w:t>հրապարակումը</w:t>
            </w:r>
            <w:r w:rsidRPr="0053423A">
              <w:rPr>
                <w:lang w:val="hy-AM"/>
              </w:rPr>
              <w:t xml:space="preserve"> </w:t>
            </w:r>
            <w:r w:rsidRPr="0053423A">
              <w:rPr>
                <w:rFonts w:cs="Sylfaen"/>
                <w:lang w:val="hy-AM"/>
              </w:rPr>
              <w:t>բացասաբար</w:t>
            </w:r>
            <w:r w:rsidRPr="0053423A">
              <w:rPr>
                <w:lang w:val="hy-AM"/>
              </w:rPr>
              <w:t xml:space="preserve"> </w:t>
            </w:r>
            <w:r w:rsidRPr="0053423A">
              <w:rPr>
                <w:rFonts w:cs="Sylfaen"/>
                <w:lang w:val="hy-AM"/>
              </w:rPr>
              <w:t>կարող</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անդրադառնալ</w:t>
            </w:r>
            <w:r w:rsidRPr="0053423A">
              <w:rPr>
                <w:lang w:val="hy-AM"/>
              </w:rPr>
              <w:t xml:space="preserve"> </w:t>
            </w:r>
            <w:r w:rsidRPr="0053423A">
              <w:rPr>
                <w:rFonts w:cs="Sylfaen"/>
                <w:lang w:val="hy-AM"/>
              </w:rPr>
              <w:t>հանրային</w:t>
            </w:r>
            <w:r w:rsidRPr="0053423A">
              <w:rPr>
                <w:lang w:val="hy-AM"/>
              </w:rPr>
              <w:t xml:space="preserve"> </w:t>
            </w:r>
            <w:r w:rsidRPr="0053423A">
              <w:rPr>
                <w:rFonts w:cs="Sylfaen"/>
                <w:lang w:val="hy-AM"/>
              </w:rPr>
              <w:t>անվտանգության</w:t>
            </w:r>
            <w:r w:rsidRPr="0053423A">
              <w:rPr>
                <w:lang w:val="hy-AM"/>
              </w:rPr>
              <w:t xml:space="preserve"> </w:t>
            </w:r>
            <w:r w:rsidRPr="0053423A">
              <w:rPr>
                <w:rFonts w:cs="Sylfaen"/>
                <w:lang w:val="hy-AM"/>
              </w:rPr>
              <w:t>վրա</w:t>
            </w:r>
            <w:r w:rsidRPr="0053423A">
              <w:rPr>
                <w:lang w:val="hy-AM"/>
              </w:rPr>
              <w:t xml:space="preserve">, </w:t>
            </w:r>
          </w:p>
          <w:p w:rsidR="00530B14" w:rsidRPr="0053423A" w:rsidRDefault="00530B14" w:rsidP="00A67858">
            <w:pPr>
              <w:spacing w:line="276" w:lineRule="auto"/>
              <w:ind w:firstLine="553"/>
              <w:jc w:val="both"/>
              <w:rPr>
                <w:lang w:val="hy-AM"/>
              </w:rPr>
            </w:pPr>
            <w:r w:rsidRPr="0053423A">
              <w:rPr>
                <w:lang w:val="hy-AM"/>
              </w:rPr>
              <w:t>-</w:t>
            </w:r>
            <w:r w:rsidRPr="0053423A">
              <w:rPr>
                <w:lang w:val="hy-AM"/>
              </w:rPr>
              <w:tab/>
            </w:r>
            <w:r w:rsidRPr="0053423A">
              <w:rPr>
                <w:rFonts w:cs="Sylfaen"/>
                <w:lang w:val="hy-AM"/>
              </w:rPr>
              <w:t>տեղեկատվության</w:t>
            </w:r>
            <w:r w:rsidRPr="0053423A">
              <w:rPr>
                <w:lang w:val="hy-AM"/>
              </w:rPr>
              <w:t xml:space="preserve"> </w:t>
            </w:r>
            <w:r w:rsidRPr="0053423A">
              <w:rPr>
                <w:rFonts w:cs="Sylfaen"/>
                <w:lang w:val="hy-AM"/>
              </w:rPr>
              <w:t>հրապարակումը</w:t>
            </w:r>
            <w:r w:rsidRPr="0053423A">
              <w:rPr>
                <w:lang w:val="hy-AM"/>
              </w:rPr>
              <w:t xml:space="preserve"> </w:t>
            </w:r>
            <w:r w:rsidRPr="0053423A">
              <w:rPr>
                <w:rFonts w:cs="Sylfaen"/>
                <w:lang w:val="hy-AM"/>
              </w:rPr>
              <w:t>բացասաբար</w:t>
            </w:r>
            <w:r w:rsidRPr="0053423A">
              <w:rPr>
                <w:lang w:val="hy-AM"/>
              </w:rPr>
              <w:t xml:space="preserve"> </w:t>
            </w:r>
            <w:r w:rsidRPr="0053423A">
              <w:rPr>
                <w:rFonts w:cs="Sylfaen"/>
                <w:lang w:val="hy-AM"/>
              </w:rPr>
              <w:t>կարող</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անդրադառնալ</w:t>
            </w:r>
            <w:r w:rsidRPr="0053423A">
              <w:rPr>
                <w:lang w:val="hy-AM"/>
              </w:rPr>
              <w:t xml:space="preserve"> </w:t>
            </w:r>
            <w:r w:rsidRPr="0053423A">
              <w:rPr>
                <w:rFonts w:cs="Sylfaen"/>
                <w:lang w:val="hy-AM"/>
              </w:rPr>
              <w:t>շրջակա</w:t>
            </w:r>
            <w:r w:rsidRPr="0053423A">
              <w:rPr>
                <w:lang w:val="hy-AM"/>
              </w:rPr>
              <w:t xml:space="preserve"> </w:t>
            </w:r>
            <w:r w:rsidRPr="0053423A">
              <w:rPr>
                <w:rFonts w:cs="Sylfaen"/>
                <w:lang w:val="hy-AM"/>
              </w:rPr>
              <w:t>միջավայրի</w:t>
            </w:r>
            <w:r w:rsidRPr="0053423A">
              <w:rPr>
                <w:lang w:val="hy-AM"/>
              </w:rPr>
              <w:t xml:space="preserve"> </w:t>
            </w:r>
            <w:r w:rsidRPr="0053423A">
              <w:rPr>
                <w:rFonts w:cs="Sylfaen"/>
                <w:lang w:val="hy-AM"/>
              </w:rPr>
              <w:t>վրա</w:t>
            </w:r>
            <w:r w:rsidRPr="0053423A">
              <w:rPr>
                <w:lang w:val="hy-AM"/>
              </w:rPr>
              <w:t xml:space="preserve">, </w:t>
            </w:r>
            <w:r w:rsidRPr="0053423A">
              <w:rPr>
                <w:rFonts w:cs="Sylfaen"/>
                <w:lang w:val="hy-AM"/>
              </w:rPr>
              <w:t>որին</w:t>
            </w:r>
            <w:r w:rsidRPr="0053423A">
              <w:rPr>
                <w:lang w:val="hy-AM"/>
              </w:rPr>
              <w:t xml:space="preserve"> </w:t>
            </w:r>
            <w:r w:rsidRPr="0053423A">
              <w:rPr>
                <w:rFonts w:cs="Sylfaen"/>
                <w:lang w:val="hy-AM"/>
              </w:rPr>
              <w:t>վերաբերում</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այդ</w:t>
            </w:r>
            <w:r w:rsidRPr="0053423A">
              <w:rPr>
                <w:lang w:val="hy-AM"/>
              </w:rPr>
              <w:t xml:space="preserve"> </w:t>
            </w:r>
            <w:r w:rsidRPr="0053423A">
              <w:rPr>
                <w:rFonts w:cs="Sylfaen"/>
                <w:lang w:val="hy-AM"/>
              </w:rPr>
              <w:t>տեղեկատվությունը։</w:t>
            </w:r>
            <w:r w:rsidRPr="0053423A">
              <w:rPr>
                <w:lang w:val="hy-AM"/>
              </w:rPr>
              <w:t xml:space="preserve"> </w:t>
            </w:r>
            <w:r w:rsidRPr="0053423A">
              <w:rPr>
                <w:rFonts w:cs="Sylfaen"/>
                <w:lang w:val="hy-AM"/>
              </w:rPr>
              <w:t>Շրջակա</w:t>
            </w:r>
            <w:r w:rsidRPr="0053423A">
              <w:rPr>
                <w:lang w:val="hy-AM"/>
              </w:rPr>
              <w:t xml:space="preserve"> </w:t>
            </w:r>
            <w:r w:rsidRPr="0053423A">
              <w:rPr>
                <w:rFonts w:cs="Sylfaen"/>
                <w:lang w:val="hy-AM"/>
              </w:rPr>
              <w:t>միջավայրի</w:t>
            </w:r>
            <w:r w:rsidRPr="0053423A">
              <w:rPr>
                <w:lang w:val="hy-AM"/>
              </w:rPr>
              <w:t xml:space="preserve"> </w:t>
            </w:r>
            <w:r w:rsidRPr="0053423A">
              <w:rPr>
                <w:rFonts w:cs="Sylfaen"/>
                <w:lang w:val="hy-AM"/>
              </w:rPr>
              <w:t>պահպանությանն</w:t>
            </w:r>
            <w:r w:rsidRPr="0053423A">
              <w:rPr>
                <w:lang w:val="hy-AM"/>
              </w:rPr>
              <w:t xml:space="preserve"> </w:t>
            </w:r>
            <w:r w:rsidRPr="0053423A">
              <w:rPr>
                <w:rFonts w:cs="Sylfaen"/>
                <w:lang w:val="hy-AM"/>
              </w:rPr>
              <w:t>առնչվող</w:t>
            </w:r>
            <w:r w:rsidRPr="0053423A">
              <w:rPr>
                <w:lang w:val="hy-AM"/>
              </w:rPr>
              <w:t xml:space="preserve"> </w:t>
            </w:r>
            <w:r w:rsidRPr="0053423A">
              <w:rPr>
                <w:rFonts w:cs="Sylfaen"/>
                <w:lang w:val="hy-AM"/>
              </w:rPr>
              <w:t>արտանետումների</w:t>
            </w:r>
            <w:r w:rsidRPr="0053423A">
              <w:rPr>
                <w:lang w:val="hy-AM"/>
              </w:rPr>
              <w:t xml:space="preserve"> </w:t>
            </w:r>
            <w:r w:rsidRPr="0053423A">
              <w:rPr>
                <w:rFonts w:cs="Sylfaen"/>
                <w:lang w:val="hy-AM"/>
              </w:rPr>
              <w:t>մասին</w:t>
            </w:r>
            <w:r w:rsidRPr="0053423A">
              <w:rPr>
                <w:lang w:val="hy-AM"/>
              </w:rPr>
              <w:t xml:space="preserve"> </w:t>
            </w:r>
            <w:r w:rsidRPr="0053423A">
              <w:rPr>
                <w:rFonts w:cs="Sylfaen"/>
                <w:lang w:val="hy-AM"/>
              </w:rPr>
              <w:t>տեղեկատվությունը</w:t>
            </w:r>
            <w:r w:rsidRPr="0053423A">
              <w:rPr>
                <w:lang w:val="hy-AM"/>
              </w:rPr>
              <w:t xml:space="preserve"> </w:t>
            </w:r>
            <w:r w:rsidRPr="0053423A">
              <w:rPr>
                <w:rFonts w:cs="Sylfaen"/>
                <w:lang w:val="hy-AM"/>
              </w:rPr>
              <w:t>ենթակա</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բացահայտման։</w:t>
            </w:r>
          </w:p>
          <w:p w:rsidR="00530B14" w:rsidRPr="0053423A" w:rsidRDefault="00530B14" w:rsidP="00A67858">
            <w:pPr>
              <w:spacing w:line="276" w:lineRule="auto"/>
              <w:jc w:val="both"/>
              <w:rPr>
                <w:lang w:val="hy-AM"/>
              </w:rPr>
            </w:pPr>
            <w:r w:rsidRPr="0053423A">
              <w:rPr>
                <w:rFonts w:cs="Sylfaen"/>
                <w:lang w:val="hy-AM"/>
              </w:rPr>
              <w:t>Այսինքն</w:t>
            </w:r>
            <w:r w:rsidRPr="0053423A">
              <w:rPr>
                <w:lang w:val="hy-AM"/>
              </w:rPr>
              <w:t xml:space="preserve">, </w:t>
            </w:r>
            <w:r w:rsidRPr="0053423A">
              <w:rPr>
                <w:rFonts w:cs="Sylfaen"/>
                <w:lang w:val="hy-AM"/>
              </w:rPr>
              <w:t>Օրհուսի</w:t>
            </w:r>
            <w:r w:rsidRPr="0053423A">
              <w:rPr>
                <w:lang w:val="hy-AM"/>
              </w:rPr>
              <w:t xml:space="preserve"> </w:t>
            </w:r>
            <w:r w:rsidRPr="0053423A">
              <w:rPr>
                <w:rFonts w:cs="Sylfaen"/>
                <w:lang w:val="hy-AM"/>
              </w:rPr>
              <w:t>կոնվենցիան</w:t>
            </w:r>
            <w:r w:rsidRPr="0053423A">
              <w:rPr>
                <w:lang w:val="hy-AM"/>
              </w:rPr>
              <w:t xml:space="preserve"> </w:t>
            </w:r>
            <w:r w:rsidRPr="0053423A">
              <w:rPr>
                <w:rFonts w:cs="Sylfaen"/>
                <w:lang w:val="hy-AM"/>
              </w:rPr>
              <w:t>հնարավորություն</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ընձեռում</w:t>
            </w:r>
            <w:r w:rsidRPr="0053423A">
              <w:rPr>
                <w:lang w:val="hy-AM"/>
              </w:rPr>
              <w:t xml:space="preserve"> </w:t>
            </w:r>
            <w:r w:rsidRPr="0053423A">
              <w:rPr>
                <w:rFonts w:cs="Sylfaen"/>
                <w:lang w:val="hy-AM"/>
              </w:rPr>
              <w:t>տեղեկատվությունը</w:t>
            </w:r>
            <w:r w:rsidRPr="0053423A">
              <w:rPr>
                <w:lang w:val="hy-AM"/>
              </w:rPr>
              <w:t xml:space="preserve"> </w:t>
            </w:r>
            <w:r w:rsidRPr="0053423A">
              <w:rPr>
                <w:rFonts w:cs="Sylfaen"/>
                <w:lang w:val="hy-AM"/>
              </w:rPr>
              <w:t>տիրապետող</w:t>
            </w:r>
            <w:r w:rsidRPr="0053423A">
              <w:rPr>
                <w:lang w:val="hy-AM"/>
              </w:rPr>
              <w:t xml:space="preserve"> </w:t>
            </w:r>
            <w:r w:rsidRPr="0053423A">
              <w:rPr>
                <w:rFonts w:cs="Sylfaen"/>
                <w:lang w:val="hy-AM"/>
              </w:rPr>
              <w:t>սուբյեկտին</w:t>
            </w:r>
            <w:r w:rsidRPr="0053423A">
              <w:rPr>
                <w:lang w:val="hy-AM"/>
              </w:rPr>
              <w:t xml:space="preserve"> </w:t>
            </w:r>
            <w:r w:rsidRPr="0053423A">
              <w:rPr>
                <w:rFonts w:cs="Sylfaen"/>
                <w:lang w:val="hy-AM"/>
              </w:rPr>
              <w:t>որոշել</w:t>
            </w:r>
            <w:r w:rsidRPr="0053423A">
              <w:rPr>
                <w:lang w:val="hy-AM"/>
              </w:rPr>
              <w:t xml:space="preserve"> </w:t>
            </w:r>
            <w:r w:rsidRPr="0053423A">
              <w:rPr>
                <w:rFonts w:cs="Sylfaen"/>
                <w:lang w:val="hy-AM"/>
              </w:rPr>
              <w:t>տեղեկատվության</w:t>
            </w:r>
            <w:r w:rsidRPr="0053423A">
              <w:rPr>
                <w:lang w:val="hy-AM"/>
              </w:rPr>
              <w:t xml:space="preserve"> </w:t>
            </w:r>
            <w:r w:rsidRPr="0053423A">
              <w:rPr>
                <w:rFonts w:cs="Sylfaen"/>
                <w:lang w:val="hy-AM"/>
              </w:rPr>
              <w:t>հասանելիության</w:t>
            </w:r>
            <w:r w:rsidRPr="0053423A">
              <w:rPr>
                <w:lang w:val="hy-AM"/>
              </w:rPr>
              <w:t xml:space="preserve"> </w:t>
            </w:r>
            <w:r w:rsidRPr="0053423A">
              <w:rPr>
                <w:rFonts w:cs="Sylfaen"/>
                <w:lang w:val="hy-AM"/>
              </w:rPr>
              <w:t>սահմանները</w:t>
            </w:r>
            <w:r w:rsidRPr="0053423A">
              <w:rPr>
                <w:lang w:val="hy-AM"/>
              </w:rPr>
              <w:t xml:space="preserve">, </w:t>
            </w:r>
            <w:r w:rsidRPr="0053423A">
              <w:rPr>
                <w:rFonts w:cs="Sylfaen"/>
                <w:lang w:val="hy-AM"/>
              </w:rPr>
              <w:t>հաշվի</w:t>
            </w:r>
            <w:r w:rsidRPr="0053423A">
              <w:rPr>
                <w:lang w:val="hy-AM"/>
              </w:rPr>
              <w:t xml:space="preserve"> </w:t>
            </w:r>
            <w:r w:rsidRPr="0053423A">
              <w:rPr>
                <w:rFonts w:cs="Sylfaen"/>
                <w:lang w:val="hy-AM"/>
              </w:rPr>
              <w:t>առնելով</w:t>
            </w:r>
            <w:r w:rsidRPr="0053423A">
              <w:rPr>
                <w:lang w:val="hy-AM"/>
              </w:rPr>
              <w:t xml:space="preserve"> </w:t>
            </w:r>
            <w:r w:rsidRPr="0053423A">
              <w:rPr>
                <w:rFonts w:cs="Sylfaen"/>
                <w:lang w:val="hy-AM"/>
              </w:rPr>
              <w:t>որոշ</w:t>
            </w:r>
            <w:r w:rsidRPr="0053423A">
              <w:rPr>
                <w:lang w:val="hy-AM"/>
              </w:rPr>
              <w:t xml:space="preserve"> </w:t>
            </w:r>
            <w:r w:rsidRPr="0053423A">
              <w:rPr>
                <w:rFonts w:cs="Sylfaen"/>
                <w:lang w:val="hy-AM"/>
              </w:rPr>
              <w:t>օբյեկտիվ</w:t>
            </w:r>
            <w:r w:rsidRPr="0053423A">
              <w:rPr>
                <w:lang w:val="hy-AM"/>
              </w:rPr>
              <w:t xml:space="preserve"> </w:t>
            </w:r>
            <w:r w:rsidRPr="0053423A">
              <w:rPr>
                <w:rFonts w:cs="Sylfaen"/>
                <w:lang w:val="hy-AM"/>
              </w:rPr>
              <w:t>հանգամանքներ</w:t>
            </w:r>
            <w:r w:rsidRPr="0053423A">
              <w:rPr>
                <w:lang w:val="hy-AM"/>
              </w:rPr>
              <w:t xml:space="preserve">, </w:t>
            </w:r>
            <w:r w:rsidRPr="0053423A">
              <w:rPr>
                <w:rFonts w:cs="Sylfaen"/>
                <w:lang w:val="hy-AM"/>
              </w:rPr>
              <w:t>մասնավորապես</w:t>
            </w:r>
            <w:r w:rsidRPr="0053423A">
              <w:rPr>
                <w:lang w:val="hy-AM"/>
              </w:rPr>
              <w:t xml:space="preserve"> </w:t>
            </w:r>
            <w:r w:rsidRPr="0053423A">
              <w:rPr>
                <w:rFonts w:cs="Sylfaen"/>
                <w:lang w:val="hy-AM"/>
              </w:rPr>
              <w:t>տեղեկատվության</w:t>
            </w:r>
            <w:r w:rsidRPr="0053423A">
              <w:rPr>
                <w:lang w:val="hy-AM"/>
              </w:rPr>
              <w:t xml:space="preserve"> </w:t>
            </w:r>
            <w:r w:rsidRPr="0053423A">
              <w:rPr>
                <w:rFonts w:cs="Sylfaen"/>
                <w:lang w:val="hy-AM"/>
              </w:rPr>
              <w:t>հրապարակման</w:t>
            </w:r>
            <w:r w:rsidRPr="0053423A">
              <w:rPr>
                <w:lang w:val="hy-AM"/>
              </w:rPr>
              <w:t xml:space="preserve"> </w:t>
            </w:r>
            <w:r w:rsidRPr="0053423A">
              <w:rPr>
                <w:rFonts w:cs="Sylfaen"/>
                <w:lang w:val="hy-AM"/>
              </w:rPr>
              <w:t>արդյունքում</w:t>
            </w:r>
            <w:r w:rsidRPr="0053423A">
              <w:rPr>
                <w:lang w:val="hy-AM"/>
              </w:rPr>
              <w:t xml:space="preserve"> </w:t>
            </w:r>
            <w:r w:rsidRPr="0053423A">
              <w:rPr>
                <w:rFonts w:cs="Sylfaen"/>
                <w:lang w:val="hy-AM"/>
              </w:rPr>
              <w:t>շրջակա</w:t>
            </w:r>
            <w:r w:rsidRPr="0053423A">
              <w:rPr>
                <w:lang w:val="hy-AM"/>
              </w:rPr>
              <w:t xml:space="preserve"> </w:t>
            </w:r>
            <w:r w:rsidRPr="0053423A">
              <w:rPr>
                <w:rFonts w:cs="Sylfaen"/>
                <w:lang w:val="hy-AM"/>
              </w:rPr>
              <w:t>միջավայրի</w:t>
            </w:r>
            <w:r w:rsidRPr="0053423A">
              <w:rPr>
                <w:lang w:val="hy-AM"/>
              </w:rPr>
              <w:t xml:space="preserve"> </w:t>
            </w:r>
            <w:r w:rsidRPr="0053423A">
              <w:rPr>
                <w:rFonts w:cs="Sylfaen"/>
                <w:lang w:val="hy-AM"/>
              </w:rPr>
              <w:t>կամ</w:t>
            </w:r>
            <w:r w:rsidRPr="0053423A">
              <w:rPr>
                <w:lang w:val="hy-AM"/>
              </w:rPr>
              <w:t xml:space="preserve"> </w:t>
            </w:r>
            <w:r w:rsidRPr="0053423A">
              <w:rPr>
                <w:rFonts w:cs="Sylfaen"/>
                <w:lang w:val="hy-AM"/>
              </w:rPr>
              <w:t>հանրային</w:t>
            </w:r>
            <w:r w:rsidRPr="0053423A">
              <w:rPr>
                <w:lang w:val="hy-AM"/>
              </w:rPr>
              <w:t xml:space="preserve"> </w:t>
            </w:r>
            <w:r w:rsidRPr="0053423A">
              <w:rPr>
                <w:rFonts w:cs="Sylfaen"/>
                <w:lang w:val="hy-AM"/>
              </w:rPr>
              <w:t>անվտանգության</w:t>
            </w:r>
            <w:r w:rsidRPr="0053423A">
              <w:rPr>
                <w:lang w:val="hy-AM"/>
              </w:rPr>
              <w:t xml:space="preserve"> </w:t>
            </w:r>
            <w:r w:rsidRPr="0053423A">
              <w:rPr>
                <w:rFonts w:cs="Sylfaen"/>
                <w:lang w:val="hy-AM"/>
              </w:rPr>
              <w:t>վրա</w:t>
            </w:r>
            <w:r w:rsidRPr="0053423A">
              <w:rPr>
                <w:lang w:val="hy-AM"/>
              </w:rPr>
              <w:t xml:space="preserve"> </w:t>
            </w:r>
            <w:r w:rsidRPr="0053423A">
              <w:rPr>
                <w:rFonts w:cs="Sylfaen"/>
                <w:lang w:val="hy-AM"/>
              </w:rPr>
              <w:t>դրա</w:t>
            </w:r>
            <w:r w:rsidRPr="0053423A">
              <w:rPr>
                <w:lang w:val="hy-AM"/>
              </w:rPr>
              <w:t xml:space="preserve"> </w:t>
            </w:r>
            <w:r w:rsidRPr="0053423A">
              <w:rPr>
                <w:rFonts w:cs="Sylfaen"/>
                <w:lang w:val="hy-AM"/>
              </w:rPr>
              <w:t>բացասական</w:t>
            </w:r>
            <w:r w:rsidRPr="0053423A">
              <w:rPr>
                <w:lang w:val="hy-AM"/>
              </w:rPr>
              <w:t xml:space="preserve"> </w:t>
            </w:r>
            <w:r w:rsidRPr="0053423A">
              <w:rPr>
                <w:rFonts w:cs="Sylfaen"/>
                <w:lang w:val="hy-AM"/>
              </w:rPr>
              <w:t>ազդեցությունը։</w:t>
            </w:r>
            <w:r w:rsidRPr="0053423A">
              <w:rPr>
                <w:lang w:val="hy-AM"/>
              </w:rPr>
              <w:t xml:space="preserve"> </w:t>
            </w:r>
            <w:r w:rsidRPr="0053423A">
              <w:rPr>
                <w:rFonts w:cs="Sylfaen"/>
                <w:lang w:val="hy-AM"/>
              </w:rPr>
              <w:t>Իսկ</w:t>
            </w:r>
            <w:r w:rsidRPr="0053423A">
              <w:rPr>
                <w:lang w:val="hy-AM"/>
              </w:rPr>
              <w:t xml:space="preserve"> </w:t>
            </w:r>
            <w:r w:rsidRPr="0053423A">
              <w:rPr>
                <w:rFonts w:cs="Sylfaen"/>
                <w:lang w:val="hy-AM"/>
              </w:rPr>
              <w:t>ներպետական</w:t>
            </w:r>
            <w:r w:rsidRPr="0053423A">
              <w:rPr>
                <w:lang w:val="hy-AM"/>
              </w:rPr>
              <w:t xml:space="preserve"> </w:t>
            </w:r>
            <w:r w:rsidRPr="0053423A">
              <w:rPr>
                <w:rFonts w:cs="Sylfaen"/>
                <w:lang w:val="hy-AM"/>
              </w:rPr>
              <w:t>օրենսդրության</w:t>
            </w:r>
            <w:r w:rsidRPr="0053423A">
              <w:rPr>
                <w:lang w:val="hy-AM"/>
              </w:rPr>
              <w:t xml:space="preserve"> </w:t>
            </w:r>
            <w:r w:rsidRPr="0053423A">
              <w:rPr>
                <w:rFonts w:cs="Sylfaen"/>
                <w:lang w:val="hy-AM"/>
              </w:rPr>
              <w:t>կարգավորումների</w:t>
            </w:r>
            <w:r w:rsidRPr="0053423A">
              <w:rPr>
                <w:lang w:val="hy-AM"/>
              </w:rPr>
              <w:t xml:space="preserve"> </w:t>
            </w:r>
            <w:r w:rsidRPr="0053423A">
              <w:rPr>
                <w:rFonts w:cs="Sylfaen"/>
                <w:lang w:val="hy-AM"/>
              </w:rPr>
              <w:t>լույսի</w:t>
            </w:r>
            <w:r w:rsidRPr="0053423A">
              <w:rPr>
                <w:lang w:val="hy-AM"/>
              </w:rPr>
              <w:t xml:space="preserve"> </w:t>
            </w:r>
            <w:r w:rsidRPr="0053423A">
              <w:rPr>
                <w:rFonts w:cs="Sylfaen"/>
                <w:lang w:val="hy-AM"/>
              </w:rPr>
              <w:t>ներքո</w:t>
            </w:r>
            <w:r w:rsidRPr="0053423A">
              <w:rPr>
                <w:lang w:val="hy-AM"/>
              </w:rPr>
              <w:t xml:space="preserve"> </w:t>
            </w:r>
            <w:r w:rsidRPr="0053423A">
              <w:rPr>
                <w:rFonts w:cs="Sylfaen"/>
                <w:lang w:val="hy-AM"/>
              </w:rPr>
              <w:t>այս</w:t>
            </w:r>
            <w:r w:rsidRPr="0053423A">
              <w:rPr>
                <w:lang w:val="hy-AM"/>
              </w:rPr>
              <w:t xml:space="preserve"> </w:t>
            </w:r>
            <w:r w:rsidRPr="0053423A">
              <w:rPr>
                <w:rFonts w:cs="Sylfaen"/>
                <w:lang w:val="hy-AM"/>
              </w:rPr>
              <w:t>իրավական</w:t>
            </w:r>
            <w:r w:rsidRPr="0053423A">
              <w:rPr>
                <w:lang w:val="hy-AM"/>
              </w:rPr>
              <w:t xml:space="preserve"> </w:t>
            </w:r>
            <w:r w:rsidRPr="0053423A">
              <w:rPr>
                <w:rFonts w:cs="Sylfaen"/>
                <w:lang w:val="hy-AM"/>
              </w:rPr>
              <w:t>լծակն</w:t>
            </w:r>
            <w:r w:rsidRPr="0053423A">
              <w:rPr>
                <w:lang w:val="hy-AM"/>
              </w:rPr>
              <w:t xml:space="preserve"> </w:t>
            </w:r>
            <w:r w:rsidRPr="0053423A">
              <w:rPr>
                <w:rFonts w:cs="Sylfaen"/>
                <w:lang w:val="hy-AM"/>
              </w:rPr>
              <w:t>իր</w:t>
            </w:r>
            <w:r w:rsidRPr="0053423A">
              <w:rPr>
                <w:lang w:val="hy-AM"/>
              </w:rPr>
              <w:t xml:space="preserve"> </w:t>
            </w:r>
            <w:r w:rsidRPr="0053423A">
              <w:rPr>
                <w:rFonts w:cs="Sylfaen"/>
                <w:lang w:val="hy-AM"/>
              </w:rPr>
              <w:t>գործիքակազմը</w:t>
            </w:r>
            <w:r w:rsidRPr="0053423A">
              <w:rPr>
                <w:lang w:val="hy-AM"/>
              </w:rPr>
              <w:t xml:space="preserve"> </w:t>
            </w:r>
            <w:r w:rsidRPr="0053423A">
              <w:rPr>
                <w:rFonts w:cs="Sylfaen"/>
                <w:lang w:val="hy-AM"/>
              </w:rPr>
              <w:t>չունի</w:t>
            </w:r>
            <w:r w:rsidRPr="0053423A">
              <w:rPr>
                <w:lang w:val="hy-AM"/>
              </w:rPr>
              <w:t xml:space="preserve">, </w:t>
            </w:r>
            <w:r w:rsidRPr="0053423A">
              <w:rPr>
                <w:rFonts w:cs="Sylfaen"/>
                <w:lang w:val="hy-AM"/>
              </w:rPr>
              <w:t>չնայած</w:t>
            </w:r>
            <w:r w:rsidRPr="0053423A">
              <w:rPr>
                <w:lang w:val="hy-AM"/>
              </w:rPr>
              <w:t xml:space="preserve"> </w:t>
            </w:r>
            <w:r w:rsidRPr="0053423A">
              <w:rPr>
                <w:rFonts w:cs="Sylfaen"/>
                <w:lang w:val="hy-AM"/>
              </w:rPr>
              <w:t>որ</w:t>
            </w:r>
            <w:r w:rsidRPr="0053423A">
              <w:rPr>
                <w:lang w:val="hy-AM"/>
              </w:rPr>
              <w:t xml:space="preserve"> </w:t>
            </w:r>
            <w:r w:rsidRPr="0053423A">
              <w:rPr>
                <w:rFonts w:cs="Sylfaen"/>
                <w:lang w:val="hy-AM"/>
              </w:rPr>
              <w:t>միջազգային</w:t>
            </w:r>
            <w:r w:rsidRPr="0053423A">
              <w:rPr>
                <w:lang w:val="hy-AM"/>
              </w:rPr>
              <w:t xml:space="preserve"> </w:t>
            </w:r>
            <w:r w:rsidRPr="0053423A">
              <w:rPr>
                <w:rFonts w:cs="Sylfaen"/>
                <w:lang w:val="hy-AM"/>
              </w:rPr>
              <w:t>իրավական</w:t>
            </w:r>
            <w:r w:rsidRPr="0053423A">
              <w:rPr>
                <w:lang w:val="hy-AM"/>
              </w:rPr>
              <w:t xml:space="preserve"> </w:t>
            </w:r>
            <w:r w:rsidRPr="0053423A">
              <w:rPr>
                <w:rFonts w:cs="Sylfaen"/>
                <w:lang w:val="hy-AM"/>
              </w:rPr>
              <w:t>ակտին</w:t>
            </w:r>
            <w:r w:rsidRPr="0053423A">
              <w:rPr>
                <w:lang w:val="hy-AM"/>
              </w:rPr>
              <w:t xml:space="preserve"> </w:t>
            </w:r>
            <w:r w:rsidRPr="0053423A">
              <w:rPr>
                <w:rFonts w:cs="Sylfaen"/>
                <w:lang w:val="hy-AM"/>
              </w:rPr>
              <w:t>տրվում</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գերակա</w:t>
            </w:r>
            <w:r w:rsidRPr="0053423A">
              <w:rPr>
                <w:lang w:val="hy-AM"/>
              </w:rPr>
              <w:t xml:space="preserve"> </w:t>
            </w:r>
            <w:r w:rsidRPr="0053423A">
              <w:rPr>
                <w:rFonts w:cs="Sylfaen"/>
                <w:lang w:val="hy-AM"/>
              </w:rPr>
              <w:t>իրավական</w:t>
            </w:r>
            <w:r w:rsidRPr="0053423A">
              <w:rPr>
                <w:lang w:val="hy-AM"/>
              </w:rPr>
              <w:t xml:space="preserve"> </w:t>
            </w:r>
            <w:r w:rsidRPr="0053423A">
              <w:rPr>
                <w:rFonts w:cs="Sylfaen"/>
                <w:lang w:val="hy-AM"/>
              </w:rPr>
              <w:t>ուժ։</w:t>
            </w:r>
          </w:p>
          <w:p w:rsidR="00530B14" w:rsidRPr="0053423A" w:rsidRDefault="00530B14" w:rsidP="00A67858">
            <w:pPr>
              <w:spacing w:line="276" w:lineRule="auto"/>
              <w:jc w:val="both"/>
              <w:rPr>
                <w:rFonts w:cs="Sylfaen"/>
                <w:lang w:val="hy-AM"/>
              </w:rPr>
            </w:pPr>
            <w:r w:rsidRPr="0053423A">
              <w:rPr>
                <w:rFonts w:cs="Sylfaen"/>
                <w:lang w:val="hy-AM"/>
              </w:rPr>
              <w:t>Այսպես</w:t>
            </w:r>
            <w:r w:rsidRPr="0053423A">
              <w:rPr>
                <w:lang w:val="hy-AM"/>
              </w:rPr>
              <w:t xml:space="preserve">, </w:t>
            </w:r>
            <w:r w:rsidRPr="0053423A">
              <w:rPr>
                <w:rFonts w:cs="Sylfaen"/>
                <w:lang w:val="hy-AM"/>
              </w:rPr>
              <w:t>վերոնշյալ</w:t>
            </w:r>
            <w:r w:rsidRPr="0053423A">
              <w:rPr>
                <w:lang w:val="hy-AM"/>
              </w:rPr>
              <w:t xml:space="preserve"> </w:t>
            </w:r>
            <w:r w:rsidRPr="0053423A">
              <w:rPr>
                <w:rFonts w:cs="Sylfaen"/>
                <w:lang w:val="hy-AM"/>
              </w:rPr>
              <w:t>բացառություն</w:t>
            </w:r>
            <w:r w:rsidRPr="0053423A">
              <w:rPr>
                <w:lang w:val="hy-AM"/>
              </w:rPr>
              <w:t xml:space="preserve"> </w:t>
            </w:r>
            <w:r w:rsidRPr="0053423A">
              <w:rPr>
                <w:rFonts w:cs="Sylfaen"/>
                <w:lang w:val="hy-AM"/>
              </w:rPr>
              <w:t>կազմող</w:t>
            </w:r>
            <w:r w:rsidRPr="0053423A">
              <w:rPr>
                <w:lang w:val="hy-AM"/>
              </w:rPr>
              <w:t xml:space="preserve"> </w:t>
            </w:r>
            <w:r w:rsidRPr="0053423A">
              <w:rPr>
                <w:rFonts w:cs="Sylfaen"/>
                <w:lang w:val="hy-AM"/>
              </w:rPr>
              <w:t>հիմքերից</w:t>
            </w:r>
            <w:r w:rsidRPr="0053423A">
              <w:rPr>
                <w:lang w:val="hy-AM"/>
              </w:rPr>
              <w:t xml:space="preserve"> </w:t>
            </w:r>
            <w:r w:rsidRPr="0053423A">
              <w:rPr>
                <w:rFonts w:cs="Sylfaen"/>
                <w:lang w:val="hy-AM"/>
              </w:rPr>
              <w:t>ոչ</w:t>
            </w:r>
            <w:r w:rsidRPr="0053423A">
              <w:rPr>
                <w:lang w:val="hy-AM"/>
              </w:rPr>
              <w:t xml:space="preserve"> </w:t>
            </w:r>
            <w:r w:rsidRPr="0053423A">
              <w:rPr>
                <w:rFonts w:cs="Sylfaen"/>
                <w:lang w:val="hy-AM"/>
              </w:rPr>
              <w:t>մեկն</w:t>
            </w:r>
            <w:r w:rsidRPr="0053423A">
              <w:rPr>
                <w:lang w:val="hy-AM"/>
              </w:rPr>
              <w:t xml:space="preserve"> </w:t>
            </w:r>
            <w:r w:rsidRPr="0053423A">
              <w:rPr>
                <w:rFonts w:cs="Sylfaen"/>
                <w:lang w:val="hy-AM"/>
              </w:rPr>
              <w:t>ամրագրված</w:t>
            </w:r>
            <w:r w:rsidRPr="0053423A">
              <w:rPr>
                <w:lang w:val="hy-AM"/>
              </w:rPr>
              <w:t xml:space="preserve"> </w:t>
            </w:r>
            <w:r w:rsidRPr="0053423A">
              <w:rPr>
                <w:rFonts w:cs="Sylfaen"/>
                <w:lang w:val="hy-AM"/>
              </w:rPr>
              <w:t>չեն</w:t>
            </w:r>
            <w:r w:rsidRPr="0053423A">
              <w:rPr>
                <w:lang w:val="hy-AM"/>
              </w:rPr>
              <w:t xml:space="preserve"> </w:t>
            </w:r>
            <w:r w:rsidRPr="0053423A">
              <w:rPr>
                <w:rFonts w:cs="Sylfaen"/>
                <w:lang w:val="hy-AM"/>
              </w:rPr>
              <w:t>ազգային</w:t>
            </w:r>
            <w:r w:rsidRPr="0053423A">
              <w:rPr>
                <w:lang w:val="hy-AM"/>
              </w:rPr>
              <w:t xml:space="preserve"> </w:t>
            </w:r>
            <w:r w:rsidRPr="0053423A">
              <w:rPr>
                <w:rFonts w:cs="Sylfaen"/>
                <w:lang w:val="hy-AM"/>
              </w:rPr>
              <w:t>օրենսդրության</w:t>
            </w:r>
            <w:r w:rsidRPr="0053423A">
              <w:rPr>
                <w:lang w:val="hy-AM"/>
              </w:rPr>
              <w:t xml:space="preserve"> </w:t>
            </w:r>
            <w:r w:rsidRPr="0053423A">
              <w:rPr>
                <w:rFonts w:cs="Sylfaen"/>
                <w:lang w:val="hy-AM"/>
              </w:rPr>
              <w:t>մեջ</w:t>
            </w:r>
            <w:r w:rsidRPr="0053423A">
              <w:rPr>
                <w:lang w:val="hy-AM"/>
              </w:rPr>
              <w:t xml:space="preserve">, </w:t>
            </w:r>
            <w:r w:rsidRPr="0053423A">
              <w:rPr>
                <w:rFonts w:cs="Sylfaen"/>
                <w:lang w:val="hy-AM"/>
              </w:rPr>
              <w:t>մինչդեռ</w:t>
            </w:r>
            <w:r w:rsidRPr="0053423A">
              <w:rPr>
                <w:lang w:val="hy-AM"/>
              </w:rPr>
              <w:t xml:space="preserve"> </w:t>
            </w:r>
            <w:r w:rsidRPr="0053423A">
              <w:rPr>
                <w:rFonts w:cs="Sylfaen"/>
                <w:lang w:val="hy-AM"/>
              </w:rPr>
              <w:t>դրանց</w:t>
            </w:r>
            <w:r w:rsidRPr="0053423A">
              <w:rPr>
                <w:lang w:val="hy-AM"/>
              </w:rPr>
              <w:t xml:space="preserve"> </w:t>
            </w:r>
            <w:r w:rsidRPr="0053423A">
              <w:rPr>
                <w:rFonts w:cs="Sylfaen"/>
                <w:lang w:val="hy-AM"/>
              </w:rPr>
              <w:t>ամրագրումն</w:t>
            </w:r>
            <w:r w:rsidRPr="0053423A">
              <w:rPr>
                <w:lang w:val="hy-AM"/>
              </w:rPr>
              <w:t xml:space="preserve"> </w:t>
            </w:r>
            <w:r w:rsidRPr="0053423A">
              <w:rPr>
                <w:rFonts w:cs="Sylfaen"/>
                <w:lang w:val="hy-AM"/>
              </w:rPr>
              <w:t>անհրաժեշտ</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հաշվի</w:t>
            </w:r>
            <w:r w:rsidRPr="0053423A">
              <w:rPr>
                <w:lang w:val="hy-AM"/>
              </w:rPr>
              <w:t xml:space="preserve"> </w:t>
            </w:r>
            <w:r w:rsidRPr="0053423A">
              <w:rPr>
                <w:rFonts w:cs="Sylfaen"/>
                <w:lang w:val="hy-AM"/>
              </w:rPr>
              <w:t>առնելով</w:t>
            </w:r>
            <w:r w:rsidRPr="0053423A">
              <w:rPr>
                <w:lang w:val="hy-AM"/>
              </w:rPr>
              <w:t xml:space="preserve"> </w:t>
            </w:r>
            <w:r w:rsidRPr="0053423A">
              <w:rPr>
                <w:rFonts w:cs="Sylfaen"/>
                <w:lang w:val="hy-AM"/>
              </w:rPr>
              <w:t>երկու</w:t>
            </w:r>
            <w:r w:rsidRPr="0053423A">
              <w:rPr>
                <w:lang w:val="hy-AM"/>
              </w:rPr>
              <w:t xml:space="preserve"> </w:t>
            </w:r>
            <w:r w:rsidRPr="0053423A">
              <w:rPr>
                <w:rFonts w:cs="Sylfaen"/>
                <w:lang w:val="hy-AM"/>
              </w:rPr>
              <w:t>պայման</w:t>
            </w:r>
            <w:r w:rsidRPr="0053423A">
              <w:rPr>
                <w:rFonts w:ascii="Cambria Math" w:eastAsia="MS Gothic" w:hAnsi="Cambria Math" w:cs="Cambria Math"/>
                <w:lang w:val="hy-AM"/>
              </w:rPr>
              <w:t>․</w:t>
            </w:r>
            <w:r w:rsidRPr="0053423A">
              <w:rPr>
                <w:lang w:val="hy-AM"/>
              </w:rPr>
              <w:t xml:space="preserve"> </w:t>
            </w:r>
            <w:r w:rsidRPr="0053423A">
              <w:rPr>
                <w:rFonts w:cs="Sylfaen"/>
                <w:lang w:val="hy-AM"/>
              </w:rPr>
              <w:t>նախ՝</w:t>
            </w:r>
            <w:r w:rsidRPr="0053423A">
              <w:rPr>
                <w:lang w:val="hy-AM"/>
              </w:rPr>
              <w:t xml:space="preserve"> </w:t>
            </w:r>
            <w:r w:rsidRPr="0053423A">
              <w:rPr>
                <w:rFonts w:cs="Sylfaen"/>
                <w:lang w:val="hy-AM"/>
              </w:rPr>
              <w:t>միջազգային</w:t>
            </w:r>
            <w:r w:rsidRPr="0053423A">
              <w:rPr>
                <w:lang w:val="hy-AM"/>
              </w:rPr>
              <w:t xml:space="preserve"> </w:t>
            </w:r>
            <w:r w:rsidRPr="0053423A">
              <w:rPr>
                <w:rFonts w:cs="Sylfaen"/>
                <w:lang w:val="hy-AM"/>
              </w:rPr>
              <w:t>իրավական</w:t>
            </w:r>
            <w:r w:rsidRPr="0053423A">
              <w:rPr>
                <w:lang w:val="hy-AM"/>
              </w:rPr>
              <w:t xml:space="preserve"> </w:t>
            </w:r>
            <w:r w:rsidRPr="0053423A">
              <w:rPr>
                <w:rFonts w:cs="Sylfaen"/>
                <w:lang w:val="hy-AM"/>
              </w:rPr>
              <w:t>նորմի</w:t>
            </w:r>
            <w:r w:rsidRPr="0053423A">
              <w:rPr>
                <w:lang w:val="hy-AM"/>
              </w:rPr>
              <w:t xml:space="preserve"> </w:t>
            </w:r>
            <w:r w:rsidRPr="0053423A">
              <w:rPr>
                <w:rFonts w:cs="Sylfaen"/>
                <w:lang w:val="hy-AM"/>
              </w:rPr>
              <w:t>ազգային</w:t>
            </w:r>
            <w:r w:rsidRPr="0053423A">
              <w:rPr>
                <w:lang w:val="hy-AM"/>
              </w:rPr>
              <w:t xml:space="preserve"> </w:t>
            </w:r>
            <w:r w:rsidRPr="0053423A">
              <w:rPr>
                <w:rFonts w:cs="Sylfaen"/>
                <w:lang w:val="hy-AM"/>
              </w:rPr>
              <w:t>օրենսդրության</w:t>
            </w:r>
            <w:r w:rsidRPr="0053423A">
              <w:rPr>
                <w:lang w:val="hy-AM"/>
              </w:rPr>
              <w:t xml:space="preserve"> </w:t>
            </w:r>
            <w:r w:rsidRPr="0053423A">
              <w:rPr>
                <w:rFonts w:cs="Sylfaen"/>
                <w:lang w:val="hy-AM"/>
              </w:rPr>
              <w:t>մեջ</w:t>
            </w:r>
            <w:r w:rsidRPr="0053423A">
              <w:rPr>
                <w:lang w:val="hy-AM"/>
              </w:rPr>
              <w:t xml:space="preserve"> </w:t>
            </w:r>
            <w:r w:rsidRPr="0053423A">
              <w:rPr>
                <w:rFonts w:cs="Sylfaen"/>
                <w:lang w:val="hy-AM"/>
              </w:rPr>
              <w:t>կիրարկման</w:t>
            </w:r>
            <w:r w:rsidRPr="0053423A">
              <w:rPr>
                <w:lang w:val="hy-AM"/>
              </w:rPr>
              <w:t xml:space="preserve"> </w:t>
            </w:r>
            <w:r w:rsidRPr="0053423A">
              <w:rPr>
                <w:rFonts w:cs="Sylfaen"/>
                <w:lang w:val="hy-AM"/>
              </w:rPr>
              <w:t>տեսանկյունից</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երկրորդ՝</w:t>
            </w:r>
            <w:r w:rsidRPr="0053423A">
              <w:rPr>
                <w:lang w:val="hy-AM"/>
              </w:rPr>
              <w:t xml:space="preserve"> </w:t>
            </w:r>
            <w:r w:rsidRPr="0053423A">
              <w:rPr>
                <w:rFonts w:cs="Sylfaen"/>
                <w:lang w:val="hy-AM"/>
              </w:rPr>
              <w:t>որպես</w:t>
            </w:r>
            <w:r w:rsidRPr="0053423A">
              <w:rPr>
                <w:lang w:val="hy-AM"/>
              </w:rPr>
              <w:t xml:space="preserve"> </w:t>
            </w:r>
            <w:r w:rsidRPr="0053423A">
              <w:rPr>
                <w:rFonts w:cs="Sylfaen"/>
                <w:lang w:val="hy-AM"/>
              </w:rPr>
              <w:t>իրավական</w:t>
            </w:r>
            <w:r w:rsidRPr="0053423A">
              <w:rPr>
                <w:lang w:val="hy-AM"/>
              </w:rPr>
              <w:t xml:space="preserve"> </w:t>
            </w:r>
            <w:r w:rsidRPr="0053423A">
              <w:rPr>
                <w:rFonts w:cs="Sylfaen"/>
                <w:lang w:val="hy-AM"/>
              </w:rPr>
              <w:t>բավարար</w:t>
            </w:r>
            <w:r w:rsidRPr="0053423A">
              <w:rPr>
                <w:lang w:val="hy-AM"/>
              </w:rPr>
              <w:t xml:space="preserve"> </w:t>
            </w:r>
            <w:r w:rsidRPr="0053423A">
              <w:rPr>
                <w:rFonts w:cs="Sylfaen"/>
                <w:lang w:val="hy-AM"/>
              </w:rPr>
              <w:t>հիմք</w:t>
            </w:r>
            <w:r w:rsidRPr="0053423A">
              <w:rPr>
                <w:lang w:val="hy-AM"/>
              </w:rPr>
              <w:t xml:space="preserve"> </w:t>
            </w:r>
            <w:r w:rsidRPr="0053423A">
              <w:rPr>
                <w:rFonts w:cs="Sylfaen"/>
                <w:lang w:val="hy-AM"/>
              </w:rPr>
              <w:t>պաշտպանելու</w:t>
            </w:r>
            <w:r w:rsidRPr="0053423A">
              <w:rPr>
                <w:lang w:val="hy-AM"/>
              </w:rPr>
              <w:t xml:space="preserve"> </w:t>
            </w:r>
            <w:r w:rsidRPr="0053423A">
              <w:rPr>
                <w:rFonts w:cs="Sylfaen"/>
                <w:lang w:val="hy-AM"/>
              </w:rPr>
              <w:t>հանրային</w:t>
            </w:r>
            <w:r w:rsidRPr="0053423A">
              <w:rPr>
                <w:lang w:val="hy-AM"/>
              </w:rPr>
              <w:t xml:space="preserve"> </w:t>
            </w:r>
            <w:r w:rsidRPr="0053423A">
              <w:rPr>
                <w:rFonts w:cs="Sylfaen"/>
                <w:lang w:val="hy-AM"/>
              </w:rPr>
              <w:t>շահն</w:t>
            </w:r>
            <w:r w:rsidRPr="0053423A">
              <w:rPr>
                <w:lang w:val="hy-AM"/>
              </w:rPr>
              <w:t xml:space="preserve"> </w:t>
            </w:r>
            <w:r w:rsidRPr="0053423A">
              <w:rPr>
                <w:rFonts w:cs="Sylfaen"/>
                <w:lang w:val="hy-AM"/>
              </w:rPr>
              <w:t>ու</w:t>
            </w:r>
            <w:r w:rsidRPr="0053423A">
              <w:rPr>
                <w:lang w:val="hy-AM"/>
              </w:rPr>
              <w:t xml:space="preserve"> </w:t>
            </w:r>
            <w:r w:rsidRPr="0053423A">
              <w:rPr>
                <w:rFonts w:cs="Sylfaen"/>
                <w:lang w:val="hy-AM"/>
              </w:rPr>
              <w:t>անվտանգությունը։</w:t>
            </w:r>
          </w:p>
          <w:p w:rsidR="00530B14" w:rsidRPr="0053423A" w:rsidRDefault="00530B14" w:rsidP="00A67858">
            <w:pPr>
              <w:spacing w:line="276" w:lineRule="auto"/>
              <w:jc w:val="both"/>
              <w:rPr>
                <w:b/>
                <w:lang w:val="hy-AM"/>
              </w:rPr>
            </w:pPr>
            <w:r w:rsidRPr="0053423A">
              <w:rPr>
                <w:lang w:val="hy-AM"/>
              </w:rPr>
              <w:t xml:space="preserve">          </w:t>
            </w:r>
            <w:r w:rsidRPr="0053423A">
              <w:rPr>
                <w:b/>
                <w:lang w:val="hy-AM"/>
              </w:rPr>
              <w:t>1.2. Առկա խնդիրների առաջարկվող լուծումները</w:t>
            </w:r>
          </w:p>
          <w:p w:rsidR="00530B14" w:rsidRPr="0053423A" w:rsidRDefault="00530B14" w:rsidP="00A67858">
            <w:pPr>
              <w:spacing w:line="276" w:lineRule="auto"/>
              <w:jc w:val="both"/>
              <w:rPr>
                <w:lang w:val="hy-AM"/>
              </w:rPr>
            </w:pPr>
            <w:r w:rsidRPr="0053423A">
              <w:rPr>
                <w:lang w:val="hy-AM"/>
              </w:rPr>
              <w:t xml:space="preserve">    </w:t>
            </w:r>
            <w:r w:rsidRPr="0053423A">
              <w:rPr>
                <w:rFonts w:cs="Arial"/>
                <w:lang w:val="hy-AM"/>
              </w:rPr>
              <w:t>Վերոնշյալ</w:t>
            </w:r>
            <w:r w:rsidRPr="0053423A">
              <w:rPr>
                <w:lang w:val="hy-AM"/>
              </w:rPr>
              <w:t xml:space="preserve"> </w:t>
            </w:r>
            <w:r w:rsidRPr="0053423A">
              <w:rPr>
                <w:rFonts w:cs="Arial"/>
                <w:lang w:val="hy-AM"/>
              </w:rPr>
              <w:t>խնդիրների</w:t>
            </w:r>
            <w:r w:rsidRPr="0053423A">
              <w:rPr>
                <w:lang w:val="hy-AM"/>
              </w:rPr>
              <w:t xml:space="preserve"> </w:t>
            </w:r>
            <w:r w:rsidRPr="0053423A">
              <w:rPr>
                <w:rFonts w:cs="Arial"/>
                <w:lang w:val="hy-AM"/>
              </w:rPr>
              <w:t>կարգավորման</w:t>
            </w:r>
            <w:r w:rsidRPr="0053423A">
              <w:rPr>
                <w:lang w:val="hy-AM"/>
              </w:rPr>
              <w:t xml:space="preserve">, </w:t>
            </w:r>
            <w:r w:rsidRPr="0053423A">
              <w:rPr>
                <w:rFonts w:cs="Arial"/>
                <w:lang w:val="hy-AM"/>
              </w:rPr>
              <w:t>պրակտիկայում</w:t>
            </w:r>
            <w:r w:rsidRPr="0053423A">
              <w:rPr>
                <w:lang w:val="hy-AM"/>
              </w:rPr>
              <w:t xml:space="preserve"> </w:t>
            </w:r>
            <w:r w:rsidRPr="0053423A">
              <w:rPr>
                <w:rFonts w:cs="Arial"/>
                <w:lang w:val="hy-AM"/>
              </w:rPr>
              <w:t>առկա</w:t>
            </w:r>
            <w:r w:rsidRPr="0053423A">
              <w:rPr>
                <w:lang w:val="hy-AM"/>
              </w:rPr>
              <w:t xml:space="preserve"> </w:t>
            </w:r>
            <w:r w:rsidRPr="0053423A">
              <w:rPr>
                <w:rFonts w:cs="Arial"/>
                <w:lang w:val="hy-AM"/>
              </w:rPr>
              <w:t>իրավիճակի</w:t>
            </w:r>
            <w:r w:rsidRPr="0053423A">
              <w:rPr>
                <w:lang w:val="hy-AM"/>
              </w:rPr>
              <w:t xml:space="preserve"> </w:t>
            </w:r>
            <w:r w:rsidRPr="0053423A">
              <w:rPr>
                <w:rFonts w:cs="Arial"/>
                <w:lang w:val="hy-AM"/>
              </w:rPr>
              <w:t>բարելավման</w:t>
            </w:r>
            <w:r w:rsidRPr="0053423A">
              <w:rPr>
                <w:lang w:val="hy-AM"/>
              </w:rPr>
              <w:t xml:space="preserve"> </w:t>
            </w:r>
            <w:r w:rsidRPr="0053423A">
              <w:rPr>
                <w:rFonts w:cs="Arial"/>
                <w:lang w:val="hy-AM"/>
              </w:rPr>
              <w:t>նպատակով</w:t>
            </w:r>
            <w:r w:rsidRPr="0053423A">
              <w:rPr>
                <w:lang w:val="hy-AM"/>
              </w:rPr>
              <w:t xml:space="preserve"> «</w:t>
            </w:r>
            <w:r w:rsidRPr="0053423A">
              <w:rPr>
                <w:rFonts w:cs="Arial"/>
                <w:lang w:val="hy-AM"/>
              </w:rPr>
              <w:t>Տեղեկատվության</w:t>
            </w:r>
            <w:r w:rsidRPr="0053423A">
              <w:rPr>
                <w:lang w:val="hy-AM"/>
              </w:rPr>
              <w:t xml:space="preserve"> </w:t>
            </w:r>
            <w:r w:rsidRPr="0053423A">
              <w:rPr>
                <w:rFonts w:cs="Arial"/>
                <w:lang w:val="hy-AM"/>
              </w:rPr>
              <w:t>ազատության</w:t>
            </w:r>
            <w:r w:rsidRPr="0053423A">
              <w:rPr>
                <w:lang w:val="hy-AM"/>
              </w:rPr>
              <w:t xml:space="preserve"> </w:t>
            </w:r>
            <w:r w:rsidRPr="0053423A">
              <w:rPr>
                <w:rFonts w:cs="Arial"/>
                <w:lang w:val="hy-AM"/>
              </w:rPr>
              <w:t>մասին</w:t>
            </w:r>
            <w:r w:rsidRPr="0053423A">
              <w:rPr>
                <w:lang w:val="hy-AM"/>
              </w:rPr>
              <w:t xml:space="preserve">» </w:t>
            </w:r>
            <w:r w:rsidRPr="0053423A">
              <w:rPr>
                <w:rFonts w:cs="Arial"/>
                <w:lang w:val="hy-AM"/>
              </w:rPr>
              <w:t>ՀՀ</w:t>
            </w:r>
            <w:r w:rsidRPr="0053423A">
              <w:rPr>
                <w:lang w:val="hy-AM"/>
              </w:rPr>
              <w:t xml:space="preserve"> </w:t>
            </w:r>
            <w:r w:rsidRPr="0053423A">
              <w:rPr>
                <w:rFonts w:cs="Arial"/>
                <w:lang w:val="hy-AM"/>
              </w:rPr>
              <w:t>օրենքում</w:t>
            </w:r>
            <w:r w:rsidRPr="0053423A">
              <w:rPr>
                <w:lang w:val="hy-AM"/>
              </w:rPr>
              <w:t xml:space="preserve"> </w:t>
            </w:r>
            <w:r w:rsidRPr="0053423A">
              <w:rPr>
                <w:rFonts w:cs="Arial"/>
                <w:lang w:val="hy-AM"/>
              </w:rPr>
              <w:t>առաջարկվում</w:t>
            </w:r>
            <w:r w:rsidRPr="0053423A">
              <w:rPr>
                <w:lang w:val="hy-AM"/>
              </w:rPr>
              <w:t xml:space="preserve"> </w:t>
            </w:r>
            <w:r w:rsidRPr="0053423A">
              <w:rPr>
                <w:rFonts w:cs="Arial"/>
                <w:lang w:val="hy-AM"/>
              </w:rPr>
              <w:t>է</w:t>
            </w:r>
            <w:r w:rsidRPr="0053423A">
              <w:rPr>
                <w:lang w:val="hy-AM"/>
              </w:rPr>
              <w:t xml:space="preserve"> </w:t>
            </w:r>
            <w:r w:rsidRPr="0053423A">
              <w:rPr>
                <w:rFonts w:cs="Arial"/>
                <w:lang w:val="hy-AM"/>
              </w:rPr>
              <w:t>իրականացնել</w:t>
            </w:r>
            <w:r w:rsidRPr="0053423A">
              <w:rPr>
                <w:lang w:val="hy-AM"/>
              </w:rPr>
              <w:t xml:space="preserve"> </w:t>
            </w:r>
            <w:r w:rsidRPr="0053423A">
              <w:rPr>
                <w:rFonts w:cs="Arial"/>
                <w:lang w:val="hy-AM"/>
              </w:rPr>
              <w:t>հետևյալ</w:t>
            </w:r>
            <w:r w:rsidRPr="0053423A">
              <w:rPr>
                <w:lang w:val="hy-AM"/>
              </w:rPr>
              <w:t xml:space="preserve"> </w:t>
            </w:r>
            <w:r w:rsidRPr="0053423A">
              <w:rPr>
                <w:rFonts w:cs="Arial"/>
                <w:lang w:val="hy-AM"/>
              </w:rPr>
              <w:t>փոփոխությունները՝</w:t>
            </w:r>
          </w:p>
          <w:p w:rsidR="00530B14" w:rsidRPr="0053423A" w:rsidRDefault="00530B14" w:rsidP="00A67858">
            <w:pPr>
              <w:spacing w:line="276" w:lineRule="auto"/>
              <w:jc w:val="both"/>
              <w:rPr>
                <w:lang w:val="hy-AM"/>
              </w:rPr>
            </w:pPr>
            <w:r w:rsidRPr="0053423A">
              <w:rPr>
                <w:lang w:val="hy-AM"/>
              </w:rPr>
              <w:t>1 «</w:t>
            </w:r>
            <w:r w:rsidRPr="0053423A">
              <w:rPr>
                <w:rFonts w:cs="Arial"/>
                <w:lang w:val="hy-AM"/>
              </w:rPr>
              <w:t>Տեղեկատվության</w:t>
            </w:r>
            <w:r w:rsidRPr="0053423A">
              <w:rPr>
                <w:lang w:val="hy-AM"/>
              </w:rPr>
              <w:t xml:space="preserve"> </w:t>
            </w:r>
            <w:r w:rsidRPr="0053423A">
              <w:rPr>
                <w:rFonts w:cs="Arial"/>
                <w:lang w:val="hy-AM"/>
              </w:rPr>
              <w:t>ազատության</w:t>
            </w:r>
            <w:r w:rsidRPr="0053423A">
              <w:rPr>
                <w:lang w:val="hy-AM"/>
              </w:rPr>
              <w:t xml:space="preserve"> </w:t>
            </w:r>
            <w:r w:rsidRPr="0053423A">
              <w:rPr>
                <w:rFonts w:cs="Arial"/>
                <w:lang w:val="hy-AM"/>
              </w:rPr>
              <w:t>մասին</w:t>
            </w:r>
            <w:r w:rsidRPr="0053423A">
              <w:rPr>
                <w:lang w:val="hy-AM"/>
              </w:rPr>
              <w:t xml:space="preserve">» </w:t>
            </w:r>
            <w:r w:rsidRPr="0053423A">
              <w:rPr>
                <w:rFonts w:cs="Arial"/>
                <w:lang w:val="hy-AM"/>
              </w:rPr>
              <w:t>ՀՀ</w:t>
            </w:r>
            <w:r w:rsidRPr="0053423A">
              <w:rPr>
                <w:lang w:val="hy-AM"/>
              </w:rPr>
              <w:t xml:space="preserve"> </w:t>
            </w:r>
            <w:r w:rsidRPr="0053423A">
              <w:rPr>
                <w:rFonts w:cs="Arial"/>
                <w:lang w:val="hy-AM"/>
              </w:rPr>
              <w:t>օրենքի</w:t>
            </w:r>
            <w:r w:rsidRPr="0053423A">
              <w:rPr>
                <w:lang w:val="hy-AM"/>
              </w:rPr>
              <w:t xml:space="preserve"> 8-</w:t>
            </w:r>
            <w:r w:rsidRPr="0053423A">
              <w:rPr>
                <w:rFonts w:cs="Arial"/>
                <w:lang w:val="hy-AM"/>
              </w:rPr>
              <w:t>րդ</w:t>
            </w:r>
            <w:r w:rsidRPr="0053423A">
              <w:rPr>
                <w:lang w:val="hy-AM"/>
              </w:rPr>
              <w:t xml:space="preserve"> </w:t>
            </w:r>
            <w:r w:rsidRPr="0053423A">
              <w:rPr>
                <w:rFonts w:cs="Arial"/>
                <w:lang w:val="hy-AM"/>
              </w:rPr>
              <w:t>հոդվածը</w:t>
            </w:r>
            <w:r w:rsidRPr="0053423A">
              <w:rPr>
                <w:lang w:val="hy-AM"/>
              </w:rPr>
              <w:t xml:space="preserve"> </w:t>
            </w:r>
            <w:r w:rsidRPr="0053423A">
              <w:rPr>
                <w:rFonts w:cs="Arial"/>
                <w:lang w:val="hy-AM"/>
              </w:rPr>
              <w:t>լրացնել</w:t>
            </w:r>
            <w:r w:rsidRPr="0053423A">
              <w:rPr>
                <w:lang w:val="hy-AM"/>
              </w:rPr>
              <w:t xml:space="preserve"> 4-</w:t>
            </w:r>
            <w:r w:rsidRPr="0053423A">
              <w:rPr>
                <w:rFonts w:cs="Arial"/>
                <w:lang w:val="hy-AM"/>
              </w:rPr>
              <w:t>րդ</w:t>
            </w:r>
            <w:r w:rsidRPr="0053423A">
              <w:rPr>
                <w:lang w:val="hy-AM"/>
              </w:rPr>
              <w:t xml:space="preserve"> </w:t>
            </w:r>
            <w:r w:rsidRPr="0053423A">
              <w:rPr>
                <w:rFonts w:cs="Arial"/>
                <w:lang w:val="hy-AM"/>
              </w:rPr>
              <w:t>մասով</w:t>
            </w:r>
            <w:r w:rsidRPr="0053423A">
              <w:rPr>
                <w:lang w:val="hy-AM"/>
              </w:rPr>
              <w:t xml:space="preserve">, </w:t>
            </w:r>
            <w:r w:rsidRPr="0053423A">
              <w:rPr>
                <w:rFonts w:cs="Arial"/>
                <w:lang w:val="hy-AM"/>
              </w:rPr>
              <w:t>որով</w:t>
            </w:r>
            <w:r w:rsidRPr="0053423A">
              <w:rPr>
                <w:lang w:val="hy-AM"/>
              </w:rPr>
              <w:t xml:space="preserve"> </w:t>
            </w:r>
            <w:r w:rsidRPr="0053423A">
              <w:rPr>
                <w:rFonts w:cs="Arial"/>
                <w:lang w:val="hy-AM"/>
              </w:rPr>
              <w:t>կնշվեն</w:t>
            </w:r>
            <w:r w:rsidRPr="0053423A">
              <w:rPr>
                <w:lang w:val="hy-AM"/>
              </w:rPr>
              <w:t xml:space="preserve"> </w:t>
            </w:r>
            <w:r w:rsidRPr="0053423A">
              <w:rPr>
                <w:rFonts w:cs="Arial"/>
                <w:lang w:val="hy-AM"/>
              </w:rPr>
              <w:t>Օրհուսի</w:t>
            </w:r>
            <w:r w:rsidRPr="0053423A">
              <w:rPr>
                <w:lang w:val="hy-AM"/>
              </w:rPr>
              <w:t xml:space="preserve"> </w:t>
            </w:r>
            <w:r w:rsidRPr="0053423A">
              <w:rPr>
                <w:rFonts w:cs="Arial"/>
                <w:lang w:val="hy-AM"/>
              </w:rPr>
              <w:t>կոնվենցիայով</w:t>
            </w:r>
            <w:r w:rsidRPr="0053423A">
              <w:rPr>
                <w:lang w:val="hy-AM"/>
              </w:rPr>
              <w:t xml:space="preserve"> </w:t>
            </w:r>
            <w:r w:rsidRPr="0053423A">
              <w:rPr>
                <w:rFonts w:cs="Arial"/>
                <w:lang w:val="hy-AM"/>
              </w:rPr>
              <w:t>ամրագրված</w:t>
            </w:r>
            <w:r w:rsidRPr="0053423A">
              <w:rPr>
                <w:lang w:val="hy-AM"/>
              </w:rPr>
              <w:t xml:space="preserve"> </w:t>
            </w:r>
            <w:r w:rsidRPr="0053423A">
              <w:rPr>
                <w:rFonts w:cs="Arial"/>
                <w:lang w:val="hy-AM"/>
              </w:rPr>
              <w:t>սահմանափակումներից</w:t>
            </w:r>
            <w:r w:rsidRPr="0053423A">
              <w:rPr>
                <w:lang w:val="hy-AM"/>
              </w:rPr>
              <w:t xml:space="preserve"> </w:t>
            </w:r>
            <w:r w:rsidRPr="0053423A">
              <w:rPr>
                <w:rFonts w:cs="Arial"/>
                <w:lang w:val="hy-AM"/>
              </w:rPr>
              <w:t>մի</w:t>
            </w:r>
            <w:r w:rsidRPr="0053423A">
              <w:rPr>
                <w:lang w:val="hy-AM"/>
              </w:rPr>
              <w:t xml:space="preserve"> </w:t>
            </w:r>
            <w:r w:rsidRPr="0053423A">
              <w:rPr>
                <w:rFonts w:cs="Arial"/>
                <w:lang w:val="hy-AM"/>
              </w:rPr>
              <w:t>քանիսը</w:t>
            </w:r>
            <w:r w:rsidRPr="0053423A">
              <w:rPr>
                <w:lang w:val="hy-AM"/>
              </w:rPr>
              <w:t xml:space="preserve">, </w:t>
            </w:r>
            <w:r w:rsidRPr="0053423A">
              <w:rPr>
                <w:rFonts w:cs="Arial"/>
                <w:lang w:val="hy-AM"/>
              </w:rPr>
              <w:t>որոնց</w:t>
            </w:r>
            <w:r w:rsidRPr="0053423A">
              <w:rPr>
                <w:lang w:val="hy-AM"/>
              </w:rPr>
              <w:t xml:space="preserve"> </w:t>
            </w:r>
            <w:r w:rsidRPr="0053423A">
              <w:rPr>
                <w:rFonts w:cs="Arial"/>
                <w:lang w:val="hy-AM"/>
              </w:rPr>
              <w:t>միջոցով</w:t>
            </w:r>
            <w:r w:rsidRPr="0053423A">
              <w:rPr>
                <w:lang w:val="hy-AM"/>
              </w:rPr>
              <w:t xml:space="preserve"> </w:t>
            </w:r>
            <w:r w:rsidRPr="0053423A">
              <w:rPr>
                <w:rFonts w:cs="Arial"/>
                <w:lang w:val="hy-AM"/>
              </w:rPr>
              <w:t>տեղեկատվությանը</w:t>
            </w:r>
            <w:r w:rsidRPr="0053423A">
              <w:rPr>
                <w:lang w:val="hy-AM"/>
              </w:rPr>
              <w:t xml:space="preserve"> </w:t>
            </w:r>
            <w:r w:rsidRPr="0053423A">
              <w:rPr>
                <w:rFonts w:cs="Arial"/>
                <w:lang w:val="hy-AM"/>
              </w:rPr>
              <w:t>տիրապետող</w:t>
            </w:r>
            <w:r w:rsidRPr="0053423A">
              <w:rPr>
                <w:lang w:val="hy-AM"/>
              </w:rPr>
              <w:t xml:space="preserve"> </w:t>
            </w:r>
            <w:r w:rsidRPr="0053423A">
              <w:rPr>
                <w:rFonts w:cs="Arial"/>
                <w:lang w:val="hy-AM"/>
              </w:rPr>
              <w:t>մարմինը</w:t>
            </w:r>
            <w:r w:rsidRPr="0053423A">
              <w:rPr>
                <w:lang w:val="hy-AM"/>
              </w:rPr>
              <w:t xml:space="preserve"> </w:t>
            </w:r>
            <w:r w:rsidRPr="0053423A">
              <w:rPr>
                <w:rFonts w:cs="Arial"/>
                <w:lang w:val="hy-AM"/>
              </w:rPr>
              <w:t>կարող</w:t>
            </w:r>
            <w:r w:rsidRPr="0053423A">
              <w:rPr>
                <w:lang w:val="hy-AM"/>
              </w:rPr>
              <w:t xml:space="preserve"> </w:t>
            </w:r>
            <w:r w:rsidRPr="0053423A">
              <w:rPr>
                <w:rFonts w:cs="Arial"/>
                <w:lang w:val="hy-AM"/>
              </w:rPr>
              <w:t>է</w:t>
            </w:r>
            <w:r w:rsidRPr="0053423A">
              <w:rPr>
                <w:lang w:val="hy-AM"/>
              </w:rPr>
              <w:t xml:space="preserve"> </w:t>
            </w:r>
            <w:r w:rsidRPr="0053423A">
              <w:rPr>
                <w:rFonts w:cs="Arial"/>
                <w:lang w:val="hy-AM"/>
              </w:rPr>
              <w:t>գնահատել</w:t>
            </w:r>
            <w:r w:rsidRPr="0053423A">
              <w:rPr>
                <w:lang w:val="hy-AM"/>
              </w:rPr>
              <w:t xml:space="preserve"> </w:t>
            </w:r>
            <w:r w:rsidRPr="0053423A">
              <w:rPr>
                <w:rFonts w:cs="Arial"/>
                <w:lang w:val="hy-AM"/>
              </w:rPr>
              <w:t>տեղեկատվության</w:t>
            </w:r>
            <w:r w:rsidRPr="0053423A">
              <w:rPr>
                <w:lang w:val="hy-AM"/>
              </w:rPr>
              <w:t xml:space="preserve"> </w:t>
            </w:r>
            <w:r w:rsidRPr="0053423A">
              <w:rPr>
                <w:rFonts w:cs="Arial"/>
                <w:lang w:val="hy-AM"/>
              </w:rPr>
              <w:t>բացահայտման</w:t>
            </w:r>
            <w:r w:rsidRPr="0053423A">
              <w:rPr>
                <w:lang w:val="hy-AM"/>
              </w:rPr>
              <w:t xml:space="preserve"> </w:t>
            </w:r>
            <w:r w:rsidRPr="0053423A">
              <w:rPr>
                <w:rFonts w:cs="Arial"/>
                <w:lang w:val="hy-AM"/>
              </w:rPr>
              <w:t>արդյունքում</w:t>
            </w:r>
            <w:r w:rsidRPr="0053423A">
              <w:rPr>
                <w:lang w:val="hy-AM"/>
              </w:rPr>
              <w:t xml:space="preserve"> </w:t>
            </w:r>
            <w:r w:rsidRPr="0053423A">
              <w:rPr>
                <w:rFonts w:cs="Arial"/>
                <w:lang w:val="hy-AM"/>
              </w:rPr>
              <w:t>առաջացող</w:t>
            </w:r>
            <w:r w:rsidRPr="0053423A">
              <w:rPr>
                <w:lang w:val="hy-AM"/>
              </w:rPr>
              <w:t xml:space="preserve"> </w:t>
            </w:r>
            <w:r w:rsidRPr="0053423A">
              <w:rPr>
                <w:rFonts w:cs="Arial"/>
                <w:lang w:val="hy-AM"/>
              </w:rPr>
              <w:t>ռիսկը</w:t>
            </w:r>
            <w:r w:rsidRPr="0053423A">
              <w:rPr>
                <w:lang w:val="hy-AM"/>
              </w:rPr>
              <w:t xml:space="preserve"> </w:t>
            </w:r>
            <w:r w:rsidRPr="0053423A">
              <w:rPr>
                <w:rFonts w:cs="Arial"/>
                <w:lang w:val="hy-AM"/>
              </w:rPr>
              <w:t>և</w:t>
            </w:r>
            <w:r w:rsidRPr="0053423A">
              <w:rPr>
                <w:lang w:val="hy-AM"/>
              </w:rPr>
              <w:t xml:space="preserve"> </w:t>
            </w:r>
            <w:r w:rsidRPr="0053423A">
              <w:rPr>
                <w:rFonts w:cs="Arial"/>
                <w:lang w:val="hy-AM"/>
              </w:rPr>
              <w:t>այդ</w:t>
            </w:r>
            <w:r w:rsidRPr="0053423A">
              <w:rPr>
                <w:lang w:val="hy-AM"/>
              </w:rPr>
              <w:t xml:space="preserve"> </w:t>
            </w:r>
            <w:r w:rsidRPr="0053423A">
              <w:rPr>
                <w:rFonts w:cs="Arial"/>
                <w:lang w:val="hy-AM"/>
              </w:rPr>
              <w:t>հիմքով</w:t>
            </w:r>
            <w:r w:rsidRPr="0053423A">
              <w:rPr>
                <w:lang w:val="hy-AM"/>
              </w:rPr>
              <w:t xml:space="preserve"> </w:t>
            </w:r>
            <w:r w:rsidRPr="0053423A">
              <w:rPr>
                <w:rFonts w:cs="Arial"/>
                <w:lang w:val="hy-AM"/>
              </w:rPr>
              <w:t>մերժել</w:t>
            </w:r>
            <w:r w:rsidRPr="0053423A">
              <w:rPr>
                <w:lang w:val="hy-AM"/>
              </w:rPr>
              <w:t xml:space="preserve"> </w:t>
            </w:r>
            <w:r w:rsidRPr="0053423A">
              <w:rPr>
                <w:rFonts w:cs="Arial"/>
                <w:lang w:val="hy-AM"/>
              </w:rPr>
              <w:t>տեղեկատվության</w:t>
            </w:r>
            <w:r w:rsidRPr="0053423A">
              <w:rPr>
                <w:lang w:val="hy-AM"/>
              </w:rPr>
              <w:t xml:space="preserve"> </w:t>
            </w:r>
            <w:r w:rsidRPr="0053423A">
              <w:rPr>
                <w:rFonts w:cs="Arial"/>
                <w:lang w:val="hy-AM"/>
              </w:rPr>
              <w:t>տրամադրումը։</w:t>
            </w:r>
          </w:p>
          <w:p w:rsidR="00530B14" w:rsidRPr="0053423A" w:rsidRDefault="00530B14" w:rsidP="00A67858">
            <w:pPr>
              <w:spacing w:line="276" w:lineRule="auto"/>
              <w:jc w:val="both"/>
              <w:rPr>
                <w:lang w:val="hy-AM"/>
              </w:rPr>
            </w:pPr>
            <w:r w:rsidRPr="0053423A">
              <w:rPr>
                <w:lang w:val="hy-AM"/>
              </w:rPr>
              <w:t>2 «</w:t>
            </w:r>
            <w:r w:rsidRPr="0053423A">
              <w:rPr>
                <w:rFonts w:cs="Arial"/>
                <w:lang w:val="hy-AM"/>
              </w:rPr>
              <w:t>Տեղեկատվության</w:t>
            </w:r>
            <w:r w:rsidRPr="0053423A">
              <w:rPr>
                <w:lang w:val="hy-AM"/>
              </w:rPr>
              <w:t xml:space="preserve"> </w:t>
            </w:r>
            <w:r w:rsidRPr="0053423A">
              <w:rPr>
                <w:rFonts w:cs="Arial"/>
                <w:lang w:val="hy-AM"/>
              </w:rPr>
              <w:t>ազատության</w:t>
            </w:r>
            <w:r w:rsidRPr="0053423A">
              <w:rPr>
                <w:lang w:val="hy-AM"/>
              </w:rPr>
              <w:t xml:space="preserve"> </w:t>
            </w:r>
            <w:r w:rsidRPr="0053423A">
              <w:rPr>
                <w:rFonts w:cs="Arial"/>
                <w:lang w:val="hy-AM"/>
              </w:rPr>
              <w:t>մասին</w:t>
            </w:r>
            <w:r w:rsidRPr="0053423A">
              <w:rPr>
                <w:lang w:val="hy-AM"/>
              </w:rPr>
              <w:t xml:space="preserve">» </w:t>
            </w:r>
            <w:r w:rsidRPr="0053423A">
              <w:rPr>
                <w:rFonts w:cs="Arial"/>
                <w:lang w:val="hy-AM"/>
              </w:rPr>
              <w:t>ՀՀ</w:t>
            </w:r>
            <w:r w:rsidRPr="0053423A">
              <w:rPr>
                <w:lang w:val="hy-AM"/>
              </w:rPr>
              <w:t xml:space="preserve"> </w:t>
            </w:r>
            <w:r w:rsidRPr="0053423A">
              <w:rPr>
                <w:rFonts w:cs="Arial"/>
                <w:lang w:val="hy-AM"/>
              </w:rPr>
              <w:t>օրենքի</w:t>
            </w:r>
            <w:r w:rsidRPr="0053423A">
              <w:rPr>
                <w:lang w:val="hy-AM"/>
              </w:rPr>
              <w:t xml:space="preserve"> 3-</w:t>
            </w:r>
            <w:r w:rsidRPr="0053423A">
              <w:rPr>
                <w:rFonts w:cs="Arial"/>
                <w:lang w:val="hy-AM"/>
              </w:rPr>
              <w:t>րդ</w:t>
            </w:r>
            <w:r w:rsidRPr="0053423A">
              <w:rPr>
                <w:lang w:val="hy-AM"/>
              </w:rPr>
              <w:t xml:space="preserve"> </w:t>
            </w:r>
            <w:r w:rsidRPr="0053423A">
              <w:rPr>
                <w:rFonts w:cs="Arial"/>
                <w:lang w:val="hy-AM"/>
              </w:rPr>
              <w:t>հոդվածը</w:t>
            </w:r>
            <w:r w:rsidRPr="0053423A">
              <w:rPr>
                <w:lang w:val="hy-AM"/>
              </w:rPr>
              <w:t xml:space="preserve"> </w:t>
            </w:r>
            <w:r w:rsidRPr="0053423A">
              <w:rPr>
                <w:rFonts w:cs="Arial"/>
                <w:lang w:val="hy-AM"/>
              </w:rPr>
              <w:t>լրացնել</w:t>
            </w:r>
            <w:r w:rsidRPr="0053423A">
              <w:rPr>
                <w:lang w:val="hy-AM"/>
              </w:rPr>
              <w:t xml:space="preserve"> </w:t>
            </w:r>
            <w:r w:rsidRPr="0053423A">
              <w:rPr>
                <w:rFonts w:cs="Arial"/>
                <w:lang w:val="hy-AM"/>
              </w:rPr>
              <w:t>նոր</w:t>
            </w:r>
            <w:r w:rsidRPr="0053423A">
              <w:rPr>
                <w:lang w:val="hy-AM"/>
              </w:rPr>
              <w:t xml:space="preserve"> </w:t>
            </w:r>
            <w:r w:rsidRPr="0053423A">
              <w:rPr>
                <w:rFonts w:cs="Arial"/>
                <w:lang w:val="hy-AM"/>
              </w:rPr>
              <w:t>պարբերությամբ</w:t>
            </w:r>
            <w:r w:rsidRPr="0053423A">
              <w:rPr>
                <w:lang w:val="hy-AM"/>
              </w:rPr>
              <w:t xml:space="preserve">, </w:t>
            </w:r>
            <w:r w:rsidRPr="0053423A">
              <w:rPr>
                <w:rFonts w:cs="Arial"/>
                <w:lang w:val="hy-AM"/>
              </w:rPr>
              <w:t>որով</w:t>
            </w:r>
            <w:r w:rsidRPr="0053423A">
              <w:rPr>
                <w:lang w:val="hy-AM"/>
              </w:rPr>
              <w:t xml:space="preserve"> </w:t>
            </w:r>
            <w:r w:rsidRPr="0053423A">
              <w:rPr>
                <w:rFonts w:cs="Arial"/>
                <w:lang w:val="hy-AM"/>
              </w:rPr>
              <w:t>կտրվի</w:t>
            </w:r>
            <w:r w:rsidRPr="0053423A">
              <w:rPr>
                <w:lang w:val="hy-AM"/>
              </w:rPr>
              <w:t xml:space="preserve"> «</w:t>
            </w:r>
            <w:r w:rsidRPr="0053423A">
              <w:rPr>
                <w:rFonts w:cs="Arial"/>
                <w:lang w:val="hy-AM"/>
              </w:rPr>
              <w:t>շրջակա</w:t>
            </w:r>
            <w:r w:rsidRPr="0053423A">
              <w:rPr>
                <w:lang w:val="hy-AM"/>
              </w:rPr>
              <w:t xml:space="preserve"> </w:t>
            </w:r>
            <w:r w:rsidRPr="0053423A">
              <w:rPr>
                <w:rFonts w:cs="Arial"/>
                <w:lang w:val="hy-AM"/>
              </w:rPr>
              <w:t>միջավայրին</w:t>
            </w:r>
            <w:r w:rsidRPr="0053423A">
              <w:rPr>
                <w:lang w:val="hy-AM"/>
              </w:rPr>
              <w:t xml:space="preserve"> </w:t>
            </w:r>
            <w:r w:rsidRPr="0053423A">
              <w:rPr>
                <w:rFonts w:cs="Arial"/>
                <w:lang w:val="hy-AM"/>
              </w:rPr>
              <w:t>վերաբերող</w:t>
            </w:r>
            <w:r w:rsidRPr="0053423A">
              <w:rPr>
                <w:lang w:val="hy-AM"/>
              </w:rPr>
              <w:t xml:space="preserve"> </w:t>
            </w:r>
            <w:r w:rsidRPr="0053423A">
              <w:rPr>
                <w:rFonts w:cs="Arial"/>
                <w:lang w:val="hy-AM"/>
              </w:rPr>
              <w:t>տեղեկատվություն</w:t>
            </w:r>
            <w:r w:rsidRPr="0053423A">
              <w:rPr>
                <w:lang w:val="hy-AM"/>
              </w:rPr>
              <w:t xml:space="preserve">»  </w:t>
            </w:r>
            <w:r w:rsidRPr="0053423A">
              <w:rPr>
                <w:rFonts w:cs="Arial"/>
                <w:lang w:val="hy-AM"/>
              </w:rPr>
              <w:t>հասկացության</w:t>
            </w:r>
            <w:r w:rsidRPr="0053423A">
              <w:rPr>
                <w:lang w:val="hy-AM"/>
              </w:rPr>
              <w:t xml:space="preserve"> </w:t>
            </w:r>
            <w:r w:rsidRPr="0053423A">
              <w:rPr>
                <w:rFonts w:cs="Arial"/>
                <w:lang w:val="hy-AM"/>
              </w:rPr>
              <w:t>բովանդակությունը</w:t>
            </w:r>
            <w:r w:rsidRPr="0053423A">
              <w:rPr>
                <w:lang w:val="hy-AM"/>
              </w:rPr>
              <w:t xml:space="preserve">, </w:t>
            </w:r>
            <w:r w:rsidRPr="0053423A">
              <w:rPr>
                <w:rFonts w:cs="Arial"/>
                <w:lang w:val="hy-AM"/>
              </w:rPr>
              <w:t>որի</w:t>
            </w:r>
            <w:r w:rsidRPr="0053423A">
              <w:rPr>
                <w:lang w:val="hy-AM"/>
              </w:rPr>
              <w:t xml:space="preserve"> </w:t>
            </w:r>
            <w:r w:rsidRPr="0053423A">
              <w:rPr>
                <w:rFonts w:cs="Arial"/>
                <w:lang w:val="hy-AM"/>
              </w:rPr>
              <w:t>միջոցով</w:t>
            </w:r>
            <w:r w:rsidRPr="0053423A">
              <w:rPr>
                <w:lang w:val="hy-AM"/>
              </w:rPr>
              <w:t xml:space="preserve"> </w:t>
            </w:r>
            <w:r w:rsidRPr="0053423A">
              <w:rPr>
                <w:rFonts w:cs="Arial"/>
                <w:lang w:val="hy-AM"/>
              </w:rPr>
              <w:t>ավելի</w:t>
            </w:r>
            <w:r w:rsidRPr="0053423A">
              <w:rPr>
                <w:lang w:val="hy-AM"/>
              </w:rPr>
              <w:t xml:space="preserve"> </w:t>
            </w:r>
            <w:r w:rsidRPr="0053423A">
              <w:rPr>
                <w:rFonts w:cs="Arial"/>
                <w:lang w:val="hy-AM"/>
              </w:rPr>
              <w:t>հստակ</w:t>
            </w:r>
            <w:r w:rsidRPr="0053423A">
              <w:rPr>
                <w:lang w:val="hy-AM"/>
              </w:rPr>
              <w:t xml:space="preserve"> </w:t>
            </w:r>
            <w:r w:rsidRPr="0053423A">
              <w:rPr>
                <w:rFonts w:cs="Arial"/>
                <w:lang w:val="hy-AM"/>
              </w:rPr>
              <w:t>կլինի</w:t>
            </w:r>
            <w:r w:rsidRPr="0053423A">
              <w:rPr>
                <w:lang w:val="hy-AM"/>
              </w:rPr>
              <w:t xml:space="preserve"> </w:t>
            </w:r>
            <w:r w:rsidRPr="0053423A">
              <w:rPr>
                <w:rFonts w:cs="Arial"/>
                <w:lang w:val="hy-AM"/>
              </w:rPr>
              <w:t>տեղեկատվության</w:t>
            </w:r>
            <w:r w:rsidRPr="0053423A">
              <w:rPr>
                <w:lang w:val="hy-AM"/>
              </w:rPr>
              <w:t xml:space="preserve"> </w:t>
            </w:r>
            <w:r w:rsidRPr="0053423A">
              <w:rPr>
                <w:rFonts w:cs="Arial"/>
                <w:lang w:val="hy-AM"/>
              </w:rPr>
              <w:t>շրջանակը</w:t>
            </w:r>
            <w:r w:rsidRPr="0053423A">
              <w:rPr>
                <w:lang w:val="hy-AM"/>
              </w:rPr>
              <w:t xml:space="preserve"> </w:t>
            </w:r>
            <w:r w:rsidRPr="0053423A">
              <w:rPr>
                <w:rFonts w:cs="Arial"/>
                <w:lang w:val="hy-AM"/>
              </w:rPr>
              <w:t>և</w:t>
            </w:r>
            <w:r w:rsidRPr="0053423A">
              <w:rPr>
                <w:lang w:val="hy-AM"/>
              </w:rPr>
              <w:t xml:space="preserve"> </w:t>
            </w:r>
            <w:r w:rsidRPr="0053423A">
              <w:rPr>
                <w:rFonts w:cs="Arial"/>
                <w:lang w:val="hy-AM"/>
              </w:rPr>
              <w:t>նման</w:t>
            </w:r>
            <w:r w:rsidRPr="0053423A">
              <w:rPr>
                <w:lang w:val="hy-AM"/>
              </w:rPr>
              <w:t xml:space="preserve"> </w:t>
            </w:r>
            <w:r w:rsidRPr="0053423A">
              <w:rPr>
                <w:rFonts w:cs="Arial"/>
                <w:lang w:val="hy-AM"/>
              </w:rPr>
              <w:t>տեղեկատվությունը</w:t>
            </w:r>
            <w:r w:rsidRPr="0053423A">
              <w:rPr>
                <w:lang w:val="hy-AM"/>
              </w:rPr>
              <w:t xml:space="preserve"> </w:t>
            </w:r>
            <w:r w:rsidRPr="0053423A">
              <w:rPr>
                <w:rFonts w:cs="Arial"/>
                <w:lang w:val="hy-AM"/>
              </w:rPr>
              <w:t>զերծ</w:t>
            </w:r>
            <w:r w:rsidRPr="0053423A">
              <w:rPr>
                <w:lang w:val="hy-AM"/>
              </w:rPr>
              <w:t xml:space="preserve"> </w:t>
            </w:r>
            <w:r w:rsidRPr="0053423A">
              <w:rPr>
                <w:rFonts w:cs="Arial"/>
                <w:lang w:val="hy-AM"/>
              </w:rPr>
              <w:t>կլինի</w:t>
            </w:r>
            <w:r w:rsidRPr="0053423A">
              <w:rPr>
                <w:lang w:val="hy-AM"/>
              </w:rPr>
              <w:t xml:space="preserve"> </w:t>
            </w:r>
            <w:r w:rsidRPr="0053423A">
              <w:rPr>
                <w:rFonts w:cs="Arial"/>
                <w:lang w:val="hy-AM"/>
              </w:rPr>
              <w:t>կամայական</w:t>
            </w:r>
            <w:r w:rsidRPr="0053423A">
              <w:rPr>
                <w:lang w:val="hy-AM"/>
              </w:rPr>
              <w:t xml:space="preserve"> </w:t>
            </w:r>
            <w:r w:rsidRPr="0053423A">
              <w:rPr>
                <w:rFonts w:cs="Arial"/>
                <w:lang w:val="hy-AM"/>
              </w:rPr>
              <w:t>մեկնաբանությունների</w:t>
            </w:r>
            <w:r w:rsidRPr="0053423A">
              <w:rPr>
                <w:lang w:val="hy-AM"/>
              </w:rPr>
              <w:t xml:space="preserve"> </w:t>
            </w:r>
            <w:r w:rsidRPr="0053423A">
              <w:rPr>
                <w:rFonts w:cs="Arial"/>
                <w:lang w:val="hy-AM"/>
              </w:rPr>
              <w:t>հնարավորությունից։</w:t>
            </w:r>
          </w:p>
          <w:p w:rsidR="00530B14" w:rsidRPr="0053423A" w:rsidRDefault="00530B14" w:rsidP="00A67858">
            <w:pPr>
              <w:spacing w:line="276" w:lineRule="auto"/>
              <w:ind w:left="283" w:firstLine="13"/>
              <w:jc w:val="both"/>
              <w:rPr>
                <w:b/>
                <w:lang w:val="hy-AM"/>
              </w:rPr>
            </w:pPr>
            <w:r w:rsidRPr="0053423A">
              <w:rPr>
                <w:lang w:val="hy-AM"/>
              </w:rPr>
              <w:t xml:space="preserve">     </w:t>
            </w:r>
            <w:r w:rsidRPr="0053423A">
              <w:rPr>
                <w:b/>
                <w:lang w:val="hy-AM"/>
              </w:rPr>
              <w:t>2. Միջոցառման իրականացումից ակնկալվող արդյունքը</w:t>
            </w:r>
          </w:p>
          <w:p w:rsidR="00530B14" w:rsidRPr="0053423A" w:rsidRDefault="00530B14" w:rsidP="00A67858">
            <w:pPr>
              <w:spacing w:line="276" w:lineRule="auto"/>
              <w:jc w:val="both"/>
              <w:rPr>
                <w:lang w:val="hy-AM"/>
              </w:rPr>
            </w:pPr>
            <w:r w:rsidRPr="0053423A">
              <w:rPr>
                <w:rFonts w:cs="Arial"/>
                <w:lang w:val="hy-AM"/>
              </w:rPr>
              <w:t>Նախագծի</w:t>
            </w:r>
            <w:r w:rsidRPr="0053423A">
              <w:rPr>
                <w:lang w:val="hy-AM"/>
              </w:rPr>
              <w:t xml:space="preserve"> </w:t>
            </w:r>
            <w:r w:rsidRPr="0053423A">
              <w:rPr>
                <w:rFonts w:cs="Arial"/>
                <w:lang w:val="hy-AM"/>
              </w:rPr>
              <w:t>ընդունումը</w:t>
            </w:r>
            <w:r w:rsidRPr="0053423A">
              <w:rPr>
                <w:lang w:val="hy-AM"/>
              </w:rPr>
              <w:t xml:space="preserve"> </w:t>
            </w:r>
            <w:r w:rsidRPr="0053423A">
              <w:rPr>
                <w:rFonts w:cs="Arial"/>
                <w:lang w:val="hy-AM"/>
              </w:rPr>
              <w:t>կնպաստի</w:t>
            </w:r>
            <w:r w:rsidRPr="0053423A">
              <w:rPr>
                <w:lang w:val="hy-AM"/>
              </w:rPr>
              <w:t xml:space="preserve"> </w:t>
            </w:r>
            <w:r w:rsidRPr="0053423A">
              <w:rPr>
                <w:rFonts w:cs="Arial"/>
                <w:lang w:val="hy-AM"/>
              </w:rPr>
              <w:t>Օրհուսի</w:t>
            </w:r>
            <w:r w:rsidRPr="0053423A">
              <w:rPr>
                <w:lang w:val="hy-AM"/>
              </w:rPr>
              <w:t xml:space="preserve"> </w:t>
            </w:r>
            <w:r w:rsidRPr="0053423A">
              <w:rPr>
                <w:rFonts w:cs="Arial"/>
                <w:lang w:val="hy-AM"/>
              </w:rPr>
              <w:t>կոնվենցիայի</w:t>
            </w:r>
            <w:r w:rsidRPr="0053423A">
              <w:rPr>
                <w:lang w:val="hy-AM"/>
              </w:rPr>
              <w:t xml:space="preserve"> </w:t>
            </w:r>
            <w:r w:rsidRPr="0053423A">
              <w:rPr>
                <w:rFonts w:cs="Arial"/>
                <w:lang w:val="hy-AM"/>
              </w:rPr>
              <w:t>ամբողջական</w:t>
            </w:r>
            <w:r w:rsidRPr="0053423A">
              <w:rPr>
                <w:lang w:val="hy-AM"/>
              </w:rPr>
              <w:t xml:space="preserve"> </w:t>
            </w:r>
            <w:r w:rsidRPr="0053423A">
              <w:rPr>
                <w:rFonts w:cs="Arial"/>
                <w:lang w:val="hy-AM"/>
              </w:rPr>
              <w:t>կիրարկման</w:t>
            </w:r>
            <w:r w:rsidRPr="0053423A">
              <w:rPr>
                <w:lang w:val="hy-AM"/>
              </w:rPr>
              <w:t xml:space="preserve">, </w:t>
            </w:r>
            <w:r w:rsidRPr="0053423A">
              <w:rPr>
                <w:rFonts w:cs="Arial"/>
                <w:lang w:val="hy-AM"/>
              </w:rPr>
              <w:t>ինչպես</w:t>
            </w:r>
            <w:r w:rsidRPr="0053423A">
              <w:rPr>
                <w:lang w:val="hy-AM"/>
              </w:rPr>
              <w:t xml:space="preserve"> </w:t>
            </w:r>
            <w:r w:rsidRPr="0053423A">
              <w:rPr>
                <w:rFonts w:cs="Arial"/>
                <w:lang w:val="hy-AM"/>
              </w:rPr>
              <w:t>նաև</w:t>
            </w:r>
            <w:r w:rsidRPr="0053423A">
              <w:rPr>
                <w:lang w:val="hy-AM"/>
              </w:rPr>
              <w:t xml:space="preserve"> </w:t>
            </w:r>
            <w:r w:rsidRPr="0053423A">
              <w:rPr>
                <w:rFonts w:cs="Arial"/>
                <w:lang w:val="hy-AM"/>
              </w:rPr>
              <w:t>ՀՀ</w:t>
            </w:r>
            <w:r w:rsidRPr="0053423A">
              <w:rPr>
                <w:lang w:val="hy-AM"/>
              </w:rPr>
              <w:t xml:space="preserve"> </w:t>
            </w:r>
            <w:r w:rsidRPr="0053423A">
              <w:rPr>
                <w:rFonts w:cs="Arial"/>
                <w:lang w:val="hy-AM"/>
              </w:rPr>
              <w:t>Սահմանադրության</w:t>
            </w:r>
            <w:r w:rsidRPr="0053423A">
              <w:rPr>
                <w:lang w:val="hy-AM"/>
              </w:rPr>
              <w:t xml:space="preserve"> </w:t>
            </w:r>
            <w:r w:rsidRPr="0053423A">
              <w:rPr>
                <w:rFonts w:cs="Arial"/>
                <w:lang w:val="hy-AM"/>
              </w:rPr>
              <w:t>և</w:t>
            </w:r>
            <w:r w:rsidRPr="0053423A">
              <w:rPr>
                <w:lang w:val="hy-AM"/>
              </w:rPr>
              <w:t xml:space="preserve"> «</w:t>
            </w:r>
            <w:r w:rsidRPr="0053423A">
              <w:rPr>
                <w:rFonts w:cs="Arial"/>
                <w:lang w:val="hy-AM"/>
              </w:rPr>
              <w:t>Տեղեկատվության</w:t>
            </w:r>
            <w:r w:rsidRPr="0053423A">
              <w:rPr>
                <w:lang w:val="hy-AM"/>
              </w:rPr>
              <w:t xml:space="preserve"> </w:t>
            </w:r>
            <w:r w:rsidRPr="0053423A">
              <w:rPr>
                <w:rFonts w:cs="Arial"/>
                <w:lang w:val="hy-AM"/>
              </w:rPr>
              <w:t>ազատության</w:t>
            </w:r>
            <w:r w:rsidRPr="0053423A">
              <w:rPr>
                <w:lang w:val="hy-AM"/>
              </w:rPr>
              <w:t xml:space="preserve"> </w:t>
            </w:r>
            <w:r w:rsidRPr="0053423A">
              <w:rPr>
                <w:rFonts w:cs="Arial"/>
                <w:lang w:val="hy-AM"/>
              </w:rPr>
              <w:t>մասին</w:t>
            </w:r>
            <w:r w:rsidRPr="0053423A">
              <w:rPr>
                <w:lang w:val="hy-AM"/>
              </w:rPr>
              <w:t xml:space="preserve">» </w:t>
            </w:r>
            <w:r w:rsidRPr="0053423A">
              <w:rPr>
                <w:rFonts w:cs="Arial"/>
                <w:lang w:val="hy-AM"/>
              </w:rPr>
              <w:t>ՀՀ</w:t>
            </w:r>
            <w:r w:rsidRPr="0053423A">
              <w:rPr>
                <w:lang w:val="hy-AM"/>
              </w:rPr>
              <w:t xml:space="preserve"> </w:t>
            </w:r>
            <w:r w:rsidRPr="0053423A">
              <w:rPr>
                <w:rFonts w:cs="Arial"/>
                <w:lang w:val="hy-AM"/>
              </w:rPr>
              <w:t>օրենքի</w:t>
            </w:r>
            <w:r w:rsidRPr="0053423A">
              <w:rPr>
                <w:lang w:val="hy-AM"/>
              </w:rPr>
              <w:t xml:space="preserve"> </w:t>
            </w:r>
            <w:r w:rsidRPr="0053423A">
              <w:rPr>
                <w:rFonts w:cs="Arial"/>
                <w:lang w:val="hy-AM"/>
              </w:rPr>
              <w:t>համապատասխան</w:t>
            </w:r>
            <w:r w:rsidRPr="0053423A">
              <w:rPr>
                <w:lang w:val="hy-AM"/>
              </w:rPr>
              <w:t xml:space="preserve"> </w:t>
            </w:r>
            <w:r w:rsidRPr="0053423A">
              <w:rPr>
                <w:rFonts w:cs="Arial"/>
                <w:lang w:val="hy-AM"/>
              </w:rPr>
              <w:t>դրույթների</w:t>
            </w:r>
            <w:r w:rsidRPr="0053423A">
              <w:rPr>
                <w:lang w:val="hy-AM"/>
              </w:rPr>
              <w:t xml:space="preserve"> </w:t>
            </w:r>
            <w:r w:rsidRPr="0053423A">
              <w:rPr>
                <w:rFonts w:cs="Arial"/>
                <w:lang w:val="hy-AM"/>
              </w:rPr>
              <w:t>շրջանակներում</w:t>
            </w:r>
            <w:r w:rsidRPr="0053423A">
              <w:rPr>
                <w:lang w:val="hy-AM"/>
              </w:rPr>
              <w:t xml:space="preserve"> </w:t>
            </w:r>
            <w:r w:rsidRPr="0053423A">
              <w:rPr>
                <w:rFonts w:cs="Arial"/>
                <w:lang w:val="hy-AM"/>
              </w:rPr>
              <w:t>շրջակա</w:t>
            </w:r>
            <w:r w:rsidRPr="0053423A">
              <w:rPr>
                <w:lang w:val="hy-AM"/>
              </w:rPr>
              <w:t xml:space="preserve"> </w:t>
            </w:r>
            <w:r w:rsidRPr="0053423A">
              <w:rPr>
                <w:rFonts w:cs="Arial"/>
                <w:lang w:val="hy-AM"/>
              </w:rPr>
              <w:t>միջավայրին</w:t>
            </w:r>
            <w:r w:rsidRPr="0053423A">
              <w:rPr>
                <w:lang w:val="hy-AM"/>
              </w:rPr>
              <w:t xml:space="preserve"> </w:t>
            </w:r>
            <w:r w:rsidRPr="0053423A">
              <w:rPr>
                <w:rFonts w:cs="Arial"/>
                <w:lang w:val="hy-AM"/>
              </w:rPr>
              <w:t>վերաբերող</w:t>
            </w:r>
            <w:r w:rsidRPr="0053423A">
              <w:rPr>
                <w:lang w:val="hy-AM"/>
              </w:rPr>
              <w:t xml:space="preserve"> </w:t>
            </w:r>
            <w:r w:rsidRPr="0053423A">
              <w:rPr>
                <w:rFonts w:cs="Arial"/>
                <w:lang w:val="hy-AM"/>
              </w:rPr>
              <w:t>տեղեկատվությունը</w:t>
            </w:r>
            <w:r w:rsidRPr="0053423A">
              <w:rPr>
                <w:lang w:val="hy-AM"/>
              </w:rPr>
              <w:t xml:space="preserve"> </w:t>
            </w:r>
            <w:r w:rsidRPr="0053423A">
              <w:rPr>
                <w:rFonts w:cs="Arial"/>
                <w:lang w:val="hy-AM"/>
              </w:rPr>
              <w:t>տնօրինող</w:t>
            </w:r>
            <w:r w:rsidRPr="0053423A">
              <w:rPr>
                <w:lang w:val="hy-AM"/>
              </w:rPr>
              <w:t xml:space="preserve"> </w:t>
            </w:r>
            <w:r w:rsidRPr="0053423A">
              <w:rPr>
                <w:rFonts w:cs="Arial"/>
                <w:lang w:val="hy-AM"/>
              </w:rPr>
              <w:t>սուբյեկտին</w:t>
            </w:r>
            <w:r w:rsidRPr="0053423A">
              <w:rPr>
                <w:lang w:val="hy-AM"/>
              </w:rPr>
              <w:t xml:space="preserve"> </w:t>
            </w:r>
            <w:r w:rsidRPr="0053423A">
              <w:rPr>
                <w:rFonts w:cs="Arial"/>
                <w:lang w:val="hy-AM"/>
              </w:rPr>
              <w:t>կընձեռի</w:t>
            </w:r>
            <w:r w:rsidRPr="0053423A">
              <w:rPr>
                <w:lang w:val="hy-AM"/>
              </w:rPr>
              <w:t xml:space="preserve"> </w:t>
            </w:r>
            <w:r w:rsidRPr="0053423A">
              <w:rPr>
                <w:rFonts w:cs="Arial"/>
                <w:lang w:val="hy-AM"/>
              </w:rPr>
              <w:t>հնարավորություն</w:t>
            </w:r>
            <w:r w:rsidRPr="0053423A">
              <w:rPr>
                <w:lang w:val="hy-AM"/>
              </w:rPr>
              <w:t xml:space="preserve"> </w:t>
            </w:r>
            <w:r w:rsidRPr="0053423A">
              <w:rPr>
                <w:rFonts w:cs="Arial"/>
                <w:lang w:val="hy-AM"/>
              </w:rPr>
              <w:t>պաշտպանելու</w:t>
            </w:r>
            <w:r w:rsidRPr="0053423A">
              <w:rPr>
                <w:lang w:val="hy-AM"/>
              </w:rPr>
              <w:t xml:space="preserve"> </w:t>
            </w:r>
            <w:r w:rsidRPr="0053423A">
              <w:rPr>
                <w:rFonts w:cs="Arial"/>
                <w:lang w:val="hy-AM"/>
              </w:rPr>
              <w:t>հանրային</w:t>
            </w:r>
            <w:r w:rsidRPr="0053423A">
              <w:rPr>
                <w:lang w:val="hy-AM"/>
              </w:rPr>
              <w:t xml:space="preserve"> </w:t>
            </w:r>
            <w:r w:rsidRPr="0053423A">
              <w:rPr>
                <w:rFonts w:cs="Arial"/>
                <w:lang w:val="hy-AM"/>
              </w:rPr>
              <w:t>շահն</w:t>
            </w:r>
            <w:r w:rsidRPr="0053423A">
              <w:rPr>
                <w:lang w:val="hy-AM"/>
              </w:rPr>
              <w:t xml:space="preserve"> </w:t>
            </w:r>
            <w:r w:rsidRPr="0053423A">
              <w:rPr>
                <w:rFonts w:cs="Arial"/>
                <w:lang w:val="hy-AM"/>
              </w:rPr>
              <w:t>ու</w:t>
            </w:r>
            <w:r w:rsidRPr="0053423A">
              <w:rPr>
                <w:lang w:val="hy-AM"/>
              </w:rPr>
              <w:t xml:space="preserve"> </w:t>
            </w:r>
            <w:r w:rsidRPr="0053423A">
              <w:rPr>
                <w:rFonts w:cs="Arial"/>
                <w:lang w:val="hy-AM"/>
              </w:rPr>
              <w:t>անվտանգությունը</w:t>
            </w:r>
            <w:r w:rsidRPr="0053423A">
              <w:rPr>
                <w:lang w:val="hy-AM"/>
              </w:rPr>
              <w:t xml:space="preserve"> </w:t>
            </w:r>
            <w:r w:rsidRPr="0053423A">
              <w:rPr>
                <w:rFonts w:cs="Arial"/>
                <w:lang w:val="hy-AM"/>
              </w:rPr>
              <w:t>ոլորտին</w:t>
            </w:r>
            <w:r w:rsidRPr="0053423A">
              <w:rPr>
                <w:lang w:val="hy-AM"/>
              </w:rPr>
              <w:t xml:space="preserve"> </w:t>
            </w:r>
            <w:r w:rsidRPr="0053423A">
              <w:rPr>
                <w:rFonts w:cs="Arial"/>
                <w:lang w:val="hy-AM"/>
              </w:rPr>
              <w:t>վերաբերելի</w:t>
            </w:r>
            <w:r w:rsidRPr="0053423A">
              <w:rPr>
                <w:lang w:val="hy-AM"/>
              </w:rPr>
              <w:t xml:space="preserve"> </w:t>
            </w:r>
            <w:r w:rsidRPr="0053423A">
              <w:rPr>
                <w:rFonts w:cs="Arial"/>
                <w:lang w:val="hy-AM"/>
              </w:rPr>
              <w:t>խնդիրների</w:t>
            </w:r>
            <w:r w:rsidRPr="0053423A">
              <w:rPr>
                <w:lang w:val="hy-AM"/>
              </w:rPr>
              <w:t xml:space="preserve"> </w:t>
            </w:r>
            <w:r w:rsidRPr="0053423A">
              <w:rPr>
                <w:rFonts w:cs="Arial"/>
                <w:lang w:val="hy-AM"/>
              </w:rPr>
              <w:t>կարգավորման</w:t>
            </w:r>
            <w:r w:rsidRPr="0053423A">
              <w:rPr>
                <w:lang w:val="hy-AM"/>
              </w:rPr>
              <w:t xml:space="preserve"> </w:t>
            </w:r>
            <w:r w:rsidRPr="0053423A">
              <w:rPr>
                <w:rFonts w:cs="Arial"/>
                <w:lang w:val="hy-AM"/>
              </w:rPr>
              <w:t>հարցում։</w:t>
            </w:r>
            <w:r w:rsidRPr="0053423A">
              <w:rPr>
                <w:lang w:val="hy-AM"/>
              </w:rPr>
              <w:t xml:space="preserve"> </w:t>
            </w:r>
          </w:p>
          <w:p w:rsidR="00530B14" w:rsidRPr="0053423A" w:rsidRDefault="00530B14" w:rsidP="00A67858">
            <w:pPr>
              <w:spacing w:line="276" w:lineRule="auto"/>
              <w:jc w:val="center"/>
              <w:rPr>
                <w:b/>
                <w:bCs/>
                <w:u w:val="single"/>
                <w:lang w:val="hy-AM"/>
              </w:rPr>
            </w:pPr>
          </w:p>
        </w:tc>
      </w:tr>
      <w:tr w:rsidR="00530B14" w:rsidRPr="00DE2EFA" w:rsidTr="004440EB">
        <w:tc>
          <w:tcPr>
            <w:tcW w:w="480" w:type="dxa"/>
          </w:tcPr>
          <w:p w:rsidR="00530B14" w:rsidRPr="0053423A" w:rsidRDefault="00530B14" w:rsidP="00A67858">
            <w:pPr>
              <w:spacing w:line="276" w:lineRule="auto"/>
              <w:jc w:val="center"/>
              <w:rPr>
                <w:b/>
                <w:bCs/>
              </w:rPr>
            </w:pPr>
            <w:r w:rsidRPr="0053423A">
              <w:rPr>
                <w:b/>
                <w:bCs/>
              </w:rPr>
              <w:t xml:space="preserve">17 </w:t>
            </w:r>
          </w:p>
        </w:tc>
        <w:tc>
          <w:tcPr>
            <w:tcW w:w="10879" w:type="dxa"/>
          </w:tcPr>
          <w:p w:rsidR="00530B14" w:rsidRPr="0053423A" w:rsidRDefault="00530B14" w:rsidP="00A67858">
            <w:pPr>
              <w:spacing w:line="276" w:lineRule="auto"/>
              <w:jc w:val="center"/>
              <w:rPr>
                <w:b/>
                <w:lang w:val="hy-AM"/>
              </w:rPr>
            </w:pPr>
            <w:r w:rsidRPr="0053423A">
              <w:rPr>
                <w:b/>
                <w:lang w:val="hy-AM"/>
              </w:rPr>
              <w:t>Պետական կառավարման արդյունավետության բարձրացում, այդ թվում՝</w:t>
            </w:r>
            <w:r w:rsidRPr="0053423A">
              <w:rPr>
                <w:b/>
              </w:rPr>
              <w:t xml:space="preserve"> </w:t>
            </w:r>
            <w:r w:rsidRPr="0053423A">
              <w:rPr>
                <w:b/>
                <w:lang w:val="hy-AM"/>
              </w:rPr>
              <w:t>կրկնվող գործառույթների վերհանում՝ դանդաղ, ոչ արդյունավետ, անհարկի բյուրոկրատական ընթացակարգերի կրճատում, տարբեր պետական հիմնարկներում և ստորաբաժանումներում իրականացվող միևնույն տեսակի գործառույթների կենտրոնացում և մեկտեղում, գործառույթների ծախսատարության գնահատում և ծախսերի նվազեց-մանն ուղղված շարունակական բարեփոխումների իրականացում</w:t>
            </w:r>
          </w:p>
          <w:p w:rsidR="00530B14" w:rsidRPr="0053423A" w:rsidRDefault="00530B14" w:rsidP="00A67858">
            <w:pPr>
              <w:spacing w:line="276" w:lineRule="auto"/>
              <w:jc w:val="center"/>
              <w:rPr>
                <w:b/>
                <w:lang w:val="hy-AM"/>
              </w:rPr>
            </w:pPr>
          </w:p>
          <w:p w:rsidR="00530B14" w:rsidRPr="0053423A" w:rsidRDefault="00530B14" w:rsidP="00A67858">
            <w:pPr>
              <w:spacing w:line="276" w:lineRule="auto"/>
              <w:jc w:val="center"/>
              <w:rPr>
                <w:b/>
                <w:u w:val="single"/>
                <w:lang w:val="hy-AM"/>
              </w:rPr>
            </w:pPr>
            <w:r w:rsidRPr="0053423A">
              <w:rPr>
                <w:b/>
                <w:u w:val="single"/>
                <w:lang w:val="hy-AM"/>
              </w:rPr>
              <w:t xml:space="preserve">17.1 </w:t>
            </w:r>
            <w:r w:rsidRPr="0053423A">
              <w:rPr>
                <w:rFonts w:cs="GHEA Grapalat"/>
                <w:b/>
                <w:bCs/>
                <w:u w:val="single"/>
                <w:lang w:val="pt-BR"/>
              </w:rPr>
              <w:t>«</w:t>
            </w:r>
            <w:r w:rsidRPr="0053423A">
              <w:rPr>
                <w:rStyle w:val="Strong"/>
                <w:color w:val="000000" w:themeColor="text1"/>
                <w:u w:val="single"/>
                <w:shd w:val="clear" w:color="auto" w:fill="FFFFFF"/>
                <w:lang w:val="hy-AM"/>
              </w:rPr>
              <w:t>Նախարարության գործունեության արդյունավետության բարձրացմանն ուղղված ինստիտուցիոնալ բարեփոխումների իրականացում</w:t>
            </w:r>
            <w:r w:rsidRPr="0053423A">
              <w:rPr>
                <w:b/>
                <w:u w:val="single"/>
                <w:lang w:val="hy-AM"/>
              </w:rPr>
              <w:t></w:t>
            </w:r>
          </w:p>
          <w:p w:rsidR="00530B14" w:rsidRPr="0053423A" w:rsidRDefault="00530B14" w:rsidP="00A67858">
            <w:pPr>
              <w:spacing w:line="276" w:lineRule="auto"/>
              <w:jc w:val="center"/>
              <w:rPr>
                <w:b/>
                <w:u w:val="single"/>
                <w:lang w:val="hy-AM"/>
              </w:rPr>
            </w:pPr>
          </w:p>
          <w:p w:rsidR="00530B14" w:rsidRPr="0053423A" w:rsidRDefault="00530B14" w:rsidP="00A67858">
            <w:pPr>
              <w:pStyle w:val="ListParagraph"/>
              <w:numPr>
                <w:ilvl w:val="0"/>
                <w:numId w:val="56"/>
              </w:numPr>
              <w:spacing w:line="276" w:lineRule="auto"/>
              <w:ind w:hanging="2"/>
              <w:jc w:val="both"/>
              <w:rPr>
                <w:b/>
                <w:i/>
              </w:rPr>
            </w:pPr>
            <w:r w:rsidRPr="0053423A">
              <w:rPr>
                <w:b/>
                <w:i/>
                <w:lang w:val="hy-AM"/>
              </w:rPr>
              <w:t>Միջոցառման իրակացման անհրաժեշտությունը և նպատակը</w:t>
            </w:r>
          </w:p>
          <w:p w:rsidR="00530B14" w:rsidRPr="0053423A" w:rsidRDefault="00530B14" w:rsidP="00A67858">
            <w:pPr>
              <w:shd w:val="clear" w:color="auto" w:fill="FFFFFF"/>
              <w:spacing w:line="276" w:lineRule="auto"/>
              <w:ind w:firstLine="375"/>
              <w:jc w:val="both"/>
            </w:pPr>
            <w:r w:rsidRPr="0053423A">
              <w:t xml:space="preserve">  </w:t>
            </w:r>
            <w:r w:rsidRPr="0053423A">
              <w:tab/>
              <w:t>Միջացառման իրականացման համար հիմք է հանդիսացել Կառավարության 2019 թվականի փետրվարի 8-ի Հայաստանի Հանրապետության Կառավարության ծրագրի մասին N 65-Ա որոշման հավելվածի 4.8 բաժնի Պետական կառավարման արդյունավետության բարձրացում, այդ թվում՝</w:t>
            </w:r>
          </w:p>
          <w:p w:rsidR="00530B14" w:rsidRPr="0053423A" w:rsidRDefault="00530B14" w:rsidP="00A67858">
            <w:pPr>
              <w:shd w:val="clear" w:color="auto" w:fill="FFFFFF"/>
              <w:spacing w:line="276" w:lineRule="auto"/>
              <w:ind w:firstLine="375"/>
              <w:jc w:val="both"/>
            </w:pPr>
            <w:r w:rsidRPr="0053423A">
              <w:t>- կրկնվող գործառույթների վերհանում՝ դանդաղ, ոչ արդյունավետ, անհարկի բյուրոկրատական ընթացակարգերի կրճատում, տարբեր պետական հիմնարկներում և ստորաբաժանումներում իրականացվող միևնույն տեսակի գործառույթների կենտրոնացում և մեկտեղում, գործառույթների ծախսատարության գնահատում և ծախսերի նվազեցմանն ուղղված շարունակական բարեփոխումների իրականացում ուղղությունը:</w:t>
            </w:r>
          </w:p>
          <w:p w:rsidR="00530B14" w:rsidRPr="0053423A" w:rsidRDefault="00530B14" w:rsidP="00A67858">
            <w:pPr>
              <w:shd w:val="clear" w:color="auto" w:fill="FFFFFF"/>
              <w:spacing w:line="276" w:lineRule="auto"/>
              <w:ind w:firstLine="375"/>
              <w:jc w:val="both"/>
            </w:pPr>
            <w:r w:rsidRPr="0053423A">
              <w:t xml:space="preserve">Միջոցառման իրականացումը պայմանավորված է Կառավարության որդեգրած քաղաքականությամբ և Կառավարության 2019 թվականի փետրվարի 8-ի Հայաստանի Հանրապետության կառավարության ծրագրի մասին  N 65-Ա որոշման 1-ին բաժնի 2-րդ կետի 1-ին պարբերության կատարման անհրաժեշտությունից:  Միջոցառման նպատակն է իրականացնել բնապահպանական ոլորտի համակարգի գործունեությունն առավել արդյունավետ կազմակերպելը՝ ստորաբաժանումների միացման և պետական ոչ առևտրային կազմակերպությունների Այսուհետ՝ ՊՈԱԿ օպտիմալացման միջոցոցով: </w:t>
            </w:r>
          </w:p>
          <w:p w:rsidR="00530B14" w:rsidRPr="0053423A" w:rsidRDefault="00530B14" w:rsidP="00A67858">
            <w:pPr>
              <w:pStyle w:val="ListParagraph"/>
              <w:spacing w:line="276" w:lineRule="auto"/>
              <w:ind w:left="0" w:firstLine="735"/>
              <w:jc w:val="both"/>
              <w:rPr>
                <w:rFonts w:cs="GHEA Grapalat"/>
                <w:bCs/>
                <w:lang w:val="pt-BR"/>
              </w:rPr>
            </w:pPr>
            <w:r w:rsidRPr="0053423A">
              <w:rPr>
                <w:b/>
                <w:lang w:val="hy-AM"/>
              </w:rPr>
              <w:t>1.1. կարգավորման հարաբերությունների ներկա վիճակը և առկա խնդիրները</w:t>
            </w:r>
            <w:r w:rsidRPr="0053423A">
              <w:rPr>
                <w:rFonts w:cs="GHEA Grapalat"/>
                <w:bCs/>
                <w:lang w:val="pt-BR"/>
              </w:rPr>
              <w:t xml:space="preserve">  </w:t>
            </w:r>
          </w:p>
          <w:p w:rsidR="00530B14" w:rsidRPr="0053423A" w:rsidRDefault="00530B14" w:rsidP="00A67858">
            <w:pPr>
              <w:pStyle w:val="NormalWeb"/>
              <w:shd w:val="clear" w:color="auto" w:fill="FFFFFF"/>
              <w:tabs>
                <w:tab w:val="left" w:pos="3544"/>
              </w:tabs>
              <w:spacing w:before="0" w:beforeAutospacing="0" w:after="0" w:afterAutospacing="0" w:line="276" w:lineRule="auto"/>
              <w:ind w:firstLine="375"/>
              <w:jc w:val="both"/>
              <w:rPr>
                <w:rFonts w:ascii="GHEA Grapalat" w:hAnsi="GHEA Grapalat"/>
                <w:sz w:val="20"/>
                <w:szCs w:val="20"/>
              </w:rPr>
            </w:pPr>
            <w:r w:rsidRPr="0053423A">
              <w:rPr>
                <w:rFonts w:ascii="GHEA Grapalat" w:hAnsi="GHEA Grapalat"/>
                <w:sz w:val="20"/>
                <w:szCs w:val="20"/>
              </w:rPr>
              <w:t>Գործող իրավական ակտերի պահանջներին համապատասխան, առաջանում է բարեփոխումներ իրականացնելու անհրաժեշտություն, ինչով կհամապատասխանեցվեն նախարարության կառուցվածքն ու վերապահված գործառույթները՝ ապահովելով նախարարության առավել արդյունավետ գործունեությունը:</w:t>
            </w:r>
          </w:p>
          <w:p w:rsidR="00530B14" w:rsidRPr="0053423A" w:rsidRDefault="00530B14" w:rsidP="00A67858">
            <w:pPr>
              <w:pStyle w:val="ListParagraph"/>
              <w:numPr>
                <w:ilvl w:val="1"/>
                <w:numId w:val="56"/>
              </w:numPr>
              <w:spacing w:line="276" w:lineRule="auto"/>
              <w:ind w:left="1003" w:hanging="270"/>
              <w:jc w:val="both"/>
              <w:rPr>
                <w:b/>
              </w:rPr>
            </w:pPr>
            <w:r w:rsidRPr="0053423A">
              <w:rPr>
                <w:b/>
                <w:lang w:val="hy-AM"/>
              </w:rPr>
              <w:t>Առկա խնդիրների առաջարկվող լուծումները</w:t>
            </w:r>
          </w:p>
          <w:p w:rsidR="00530B14" w:rsidRPr="0053423A" w:rsidRDefault="00530B14" w:rsidP="00A67858">
            <w:pPr>
              <w:tabs>
                <w:tab w:val="left" w:pos="-5670"/>
                <w:tab w:val="left" w:pos="993"/>
              </w:tabs>
              <w:spacing w:line="276" w:lineRule="auto"/>
              <w:jc w:val="both"/>
              <w:rPr>
                <w:rFonts w:cs="Arial Armenian"/>
                <w:bCs/>
              </w:rPr>
            </w:pPr>
            <w:r w:rsidRPr="0053423A">
              <w:rPr>
                <w:rFonts w:cs="Arial Armenian"/>
              </w:rPr>
              <w:tab/>
              <w:t>Շ</w:t>
            </w:r>
            <w:r w:rsidRPr="0053423A">
              <w:rPr>
                <w:rFonts w:cs="Arial Armenian"/>
                <w:bCs/>
              </w:rPr>
              <w:t xml:space="preserve">րջակա միջավայրի բոլոր բաղադրիչների՝ ջրերի, մթնոլորտային օդի, հողի և անտառի մոնիթորինգի իրականացումն առավել արդյունավետ կազմակերպելու նպատակով </w:t>
            </w:r>
            <w:r w:rsidRPr="0053423A">
              <w:rPr>
                <w:rFonts w:cs="Arial Armenian"/>
              </w:rPr>
              <w:t>նախատեսվում է</w:t>
            </w:r>
            <w:r w:rsidRPr="0053423A">
              <w:rPr>
                <w:rFonts w:cs="Arial Armenian"/>
                <w:bCs/>
              </w:rPr>
              <w:t xml:space="preserve"> մոնիթորինգ իրականացնող ՊՈԱԿ-ների գործառույթները համախմբել մեկ կառույցում:</w:t>
            </w:r>
          </w:p>
          <w:p w:rsidR="00530B14" w:rsidRPr="0053423A" w:rsidRDefault="00530B14" w:rsidP="00A67858">
            <w:pPr>
              <w:tabs>
                <w:tab w:val="left" w:pos="-5670"/>
                <w:tab w:val="left" w:pos="993"/>
              </w:tabs>
              <w:spacing w:line="276" w:lineRule="auto"/>
              <w:jc w:val="both"/>
              <w:rPr>
                <w:rFonts w:cs="Arial Armenian"/>
                <w:bCs/>
              </w:rPr>
            </w:pPr>
            <w:r w:rsidRPr="0053423A">
              <w:rPr>
                <w:rFonts w:cs="Arial Armenian"/>
                <w:bCs/>
              </w:rPr>
              <w:tab/>
              <w:t>Շրջակա միջավայրի ոլորտում միասնական քաղաքականության մշակման նպատակով նախատեսվում է իրականացնել ՊՈԱԿ-ներում իրականացվող միանման գործառույթների կենտրոնացում:</w:t>
            </w:r>
          </w:p>
          <w:p w:rsidR="00530B14" w:rsidRPr="0053423A" w:rsidRDefault="00530B14" w:rsidP="00A67858">
            <w:pPr>
              <w:tabs>
                <w:tab w:val="left" w:pos="-5670"/>
                <w:tab w:val="left" w:pos="993"/>
              </w:tabs>
              <w:spacing w:line="276" w:lineRule="auto"/>
              <w:jc w:val="both"/>
            </w:pPr>
            <w:r w:rsidRPr="0053423A">
              <w:rPr>
                <w:rFonts w:cs="Arial Armenian"/>
                <w:bCs/>
              </w:rPr>
              <w:tab/>
            </w:r>
            <w:r w:rsidRPr="0053423A">
              <w:rPr>
                <w:bCs/>
                <w:color w:val="000000"/>
                <w:shd w:val="clear" w:color="auto" w:fill="FFFFFF"/>
              </w:rPr>
              <w:t>Միաժամանակ ն</w:t>
            </w:r>
            <w:r w:rsidRPr="0053423A">
              <w:t xml:space="preserve">ախատեսվում է իրականացնել կառուցվածքային բարեփոխումներ նախարարության ներսում՝ կառուցվածքային ստորաբաժանումների խոշորացում, վերակազմակերպում կամ ստեղծում:  </w:t>
            </w:r>
          </w:p>
          <w:p w:rsidR="00530B14" w:rsidRPr="0053423A" w:rsidRDefault="00530B14" w:rsidP="00A67858">
            <w:pPr>
              <w:pStyle w:val="ListParagraph"/>
              <w:numPr>
                <w:ilvl w:val="0"/>
                <w:numId w:val="56"/>
              </w:numPr>
              <w:spacing w:line="276" w:lineRule="auto"/>
              <w:ind w:firstLine="268"/>
              <w:jc w:val="both"/>
            </w:pPr>
            <w:r w:rsidRPr="0053423A">
              <w:rPr>
                <w:b/>
                <w:i/>
                <w:lang w:val="hy-AM"/>
              </w:rPr>
              <w:t>Միջոցառման իրականացումից ակնկալվող արդյունքը</w:t>
            </w:r>
            <w:r w:rsidRPr="0053423A">
              <w:rPr>
                <w:lang w:val="hy-AM"/>
              </w:rPr>
              <w:tab/>
            </w:r>
          </w:p>
          <w:p w:rsidR="00530B14" w:rsidRPr="0053423A" w:rsidRDefault="00530B14" w:rsidP="00A67858">
            <w:pPr>
              <w:spacing w:line="276" w:lineRule="auto"/>
              <w:ind w:firstLine="375"/>
              <w:jc w:val="both"/>
              <w:rPr>
                <w:b/>
                <w:bCs/>
                <w:u w:val="single"/>
                <w:lang w:val="hy-AM"/>
              </w:rPr>
            </w:pPr>
            <w:r w:rsidRPr="0053423A">
              <w:rPr>
                <w:rStyle w:val="Strong"/>
                <w:color w:val="000000" w:themeColor="text1"/>
                <w:shd w:val="clear" w:color="auto" w:fill="FFFFFF"/>
                <w:lang w:val="hy-AM"/>
              </w:rPr>
              <w:t>Շ</w:t>
            </w:r>
            <w:r w:rsidRPr="0053423A">
              <w:rPr>
                <w:rFonts w:cs="Arial Armenian"/>
                <w:bCs/>
                <w:lang w:val="hy-AM"/>
              </w:rPr>
              <w:t>րջակա միջավայրի բոլոր բաղադրիչների՝ ջրերի, մթնոլորտային օդի, հողի և անտառի արդյունավետ կառավարման ապահովում:</w:t>
            </w:r>
          </w:p>
        </w:tc>
      </w:tr>
    </w:tbl>
    <w:p w:rsidR="00365399" w:rsidRPr="001F6D5D" w:rsidRDefault="00365399">
      <w:pPr>
        <w:rPr>
          <w:sz w:val="20"/>
          <w:szCs w:val="20"/>
          <w:lang w:val="ru-RU"/>
        </w:rPr>
      </w:pPr>
    </w:p>
    <w:tbl>
      <w:tblPr>
        <w:tblStyle w:val="TableGrid"/>
        <w:tblW w:w="11359" w:type="dxa"/>
        <w:tblInd w:w="137" w:type="dxa"/>
        <w:tblLook w:val="04A0" w:firstRow="1" w:lastRow="0" w:firstColumn="1" w:lastColumn="0" w:noHBand="0" w:noVBand="1"/>
      </w:tblPr>
      <w:tblGrid>
        <w:gridCol w:w="480"/>
        <w:gridCol w:w="10879"/>
      </w:tblGrid>
      <w:tr w:rsidR="00530B14" w:rsidRPr="0053423A" w:rsidTr="006D2AD6">
        <w:tc>
          <w:tcPr>
            <w:tcW w:w="480" w:type="dxa"/>
            <w:shd w:val="clear" w:color="auto" w:fill="FFFF00"/>
          </w:tcPr>
          <w:p w:rsidR="00530B14" w:rsidRPr="0053423A" w:rsidRDefault="00530B14" w:rsidP="00A67858">
            <w:pPr>
              <w:spacing w:line="276" w:lineRule="auto"/>
              <w:jc w:val="center"/>
              <w:rPr>
                <w:b/>
                <w:bCs/>
              </w:rPr>
            </w:pPr>
          </w:p>
        </w:tc>
        <w:tc>
          <w:tcPr>
            <w:tcW w:w="10879" w:type="dxa"/>
            <w:shd w:val="clear" w:color="auto" w:fill="FFFF00"/>
          </w:tcPr>
          <w:p w:rsidR="00530B14" w:rsidRPr="0053423A" w:rsidRDefault="00530B14" w:rsidP="00A67858">
            <w:pPr>
              <w:spacing w:line="276" w:lineRule="auto"/>
              <w:jc w:val="center"/>
              <w:rPr>
                <w:b/>
                <w:bCs/>
              </w:rPr>
            </w:pPr>
            <w:r w:rsidRPr="0053423A">
              <w:rPr>
                <w:b/>
                <w:bCs/>
              </w:rPr>
              <w:t>Գյուղատնտեսության նախարարություն</w:t>
            </w:r>
          </w:p>
        </w:tc>
      </w:tr>
    </w:tbl>
    <w:p w:rsidR="00365399" w:rsidRPr="0053423A" w:rsidRDefault="00365399">
      <w:pPr>
        <w:rPr>
          <w:sz w:val="20"/>
          <w:szCs w:val="20"/>
        </w:rPr>
      </w:pPr>
    </w:p>
    <w:tbl>
      <w:tblPr>
        <w:tblStyle w:val="TableGrid"/>
        <w:tblW w:w="11359" w:type="dxa"/>
        <w:tblInd w:w="137" w:type="dxa"/>
        <w:tblLook w:val="04A0" w:firstRow="1" w:lastRow="0" w:firstColumn="1" w:lastColumn="0" w:noHBand="0" w:noVBand="1"/>
      </w:tblPr>
      <w:tblGrid>
        <w:gridCol w:w="480"/>
        <w:gridCol w:w="10879"/>
      </w:tblGrid>
      <w:tr w:rsidR="00530B14" w:rsidRPr="00DE2EFA" w:rsidTr="00C26C87">
        <w:trPr>
          <w:trHeight w:val="4665"/>
        </w:trPr>
        <w:tc>
          <w:tcPr>
            <w:tcW w:w="480" w:type="dxa"/>
          </w:tcPr>
          <w:p w:rsidR="00530B14" w:rsidRPr="0053423A" w:rsidRDefault="00530B14" w:rsidP="00A67858">
            <w:pPr>
              <w:spacing w:line="276" w:lineRule="auto"/>
              <w:jc w:val="center"/>
              <w:rPr>
                <w:b/>
                <w:bCs/>
              </w:rPr>
            </w:pPr>
            <w:r w:rsidRPr="0053423A">
              <w:rPr>
                <w:b/>
                <w:bCs/>
              </w:rPr>
              <w:t>1</w:t>
            </w:r>
          </w:p>
        </w:tc>
        <w:tc>
          <w:tcPr>
            <w:tcW w:w="10879" w:type="dxa"/>
          </w:tcPr>
          <w:p w:rsidR="00530B14" w:rsidRPr="0053423A" w:rsidRDefault="00530B14" w:rsidP="00A67858">
            <w:pPr>
              <w:spacing w:line="276" w:lineRule="auto"/>
              <w:jc w:val="center"/>
              <w:rPr>
                <w:b/>
                <w:bCs/>
              </w:rPr>
            </w:pPr>
            <w:r w:rsidRPr="0053423A">
              <w:rPr>
                <w:b/>
                <w:bCs/>
              </w:rPr>
              <w:t>Չօգտագործվող գյու</w:t>
            </w:r>
            <w:r w:rsidRPr="0053423A">
              <w:rPr>
                <w:b/>
                <w:bCs/>
              </w:rPr>
              <w:softHyphen/>
              <w:t>ղա</w:t>
            </w:r>
            <w:r w:rsidRPr="0053423A">
              <w:rPr>
                <w:b/>
                <w:bCs/>
              </w:rPr>
              <w:softHyphen/>
              <w:t>տնտեսական նշանա</w:t>
            </w:r>
            <w:r w:rsidRPr="0053423A">
              <w:rPr>
                <w:b/>
                <w:bCs/>
              </w:rPr>
              <w:softHyphen/>
              <w:t>կության հողերի նպա</w:t>
            </w:r>
            <w:r w:rsidRPr="0053423A">
              <w:rPr>
                <w:b/>
                <w:bCs/>
              </w:rPr>
              <w:softHyphen/>
              <w:t>տակայնորեն օգտագոր</w:t>
            </w:r>
            <w:r w:rsidRPr="0053423A">
              <w:rPr>
                <w:b/>
                <w:bCs/>
              </w:rPr>
              <w:softHyphen/>
              <w:t>ծելու ուղղու</w:t>
            </w:r>
            <w:r w:rsidRPr="0053423A">
              <w:rPr>
                <w:b/>
                <w:bCs/>
              </w:rPr>
              <w:softHyphen/>
              <w:t>թյամբ խթանների ու մեխա</w:t>
            </w:r>
            <w:r w:rsidRPr="0053423A">
              <w:rPr>
                <w:b/>
                <w:bCs/>
              </w:rPr>
              <w:softHyphen/>
              <w:t>նիզմների մշակում</w:t>
            </w:r>
          </w:p>
          <w:p w:rsidR="00530B14" w:rsidRPr="0053423A" w:rsidRDefault="00530B14" w:rsidP="00A67858">
            <w:pPr>
              <w:spacing w:line="276" w:lineRule="auto"/>
              <w:jc w:val="center"/>
              <w:rPr>
                <w:b/>
                <w:bCs/>
              </w:rPr>
            </w:pPr>
          </w:p>
          <w:p w:rsidR="00530B14" w:rsidRPr="0053423A" w:rsidRDefault="00530B14" w:rsidP="001F6D5D">
            <w:pPr>
              <w:pStyle w:val="ListParagraph"/>
              <w:numPr>
                <w:ilvl w:val="1"/>
                <w:numId w:val="121"/>
              </w:numPr>
              <w:spacing w:line="276" w:lineRule="auto"/>
              <w:jc w:val="center"/>
              <w:rPr>
                <w:b/>
                <w:bCs/>
                <w:u w:val="single"/>
              </w:rPr>
            </w:pPr>
            <w:r w:rsidRPr="0053423A">
              <w:rPr>
                <w:b/>
                <w:bCs/>
                <w:u w:val="single"/>
              </w:rPr>
              <w:t>Գյուղատնտեսական նշանակության չօգտագործվող հողերը շրջանառության մեջ ներառելու ուղիների մշակում, մասնավորապես չօգտագործվող հողերը շրջանա</w:t>
            </w:r>
            <w:r w:rsidRPr="0053423A">
              <w:rPr>
                <w:b/>
                <w:bCs/>
                <w:u w:val="single"/>
              </w:rPr>
              <w:softHyphen/>
              <w:t>ռության մեջ դնելու վերաբերյալ իրավական ակտի նախագծի մշակում և ընդունում</w:t>
            </w:r>
          </w:p>
          <w:p w:rsidR="00530B14" w:rsidRPr="0053423A" w:rsidRDefault="00530B14" w:rsidP="00A67858">
            <w:pPr>
              <w:spacing w:line="276" w:lineRule="auto"/>
              <w:jc w:val="center"/>
              <w:rPr>
                <w:b/>
                <w:bCs/>
              </w:rPr>
            </w:pPr>
          </w:p>
          <w:p w:rsidR="00530B14" w:rsidRPr="0053423A" w:rsidRDefault="00530B14" w:rsidP="00A67858">
            <w:pPr>
              <w:tabs>
                <w:tab w:val="left" w:pos="567"/>
              </w:tabs>
              <w:spacing w:line="276" w:lineRule="auto"/>
              <w:ind w:firstLine="567"/>
              <w:jc w:val="both"/>
              <w:rPr>
                <w:b/>
                <w:bCs/>
              </w:rPr>
            </w:pPr>
            <w:r w:rsidRPr="0053423A">
              <w:rPr>
                <w:b/>
                <w:bCs/>
              </w:rPr>
              <w:t xml:space="preserve">1. Միջոցառման իրականացման անհրաժեշտությունը և նպատակը </w:t>
            </w:r>
          </w:p>
          <w:p w:rsidR="00530B14" w:rsidRPr="0053423A" w:rsidRDefault="00530B14" w:rsidP="00A67858">
            <w:pPr>
              <w:pStyle w:val="BodyTextIndent2"/>
              <w:spacing w:after="0" w:line="276" w:lineRule="auto"/>
              <w:ind w:left="0" w:firstLine="567"/>
              <w:jc w:val="both"/>
              <w:rPr>
                <w:rFonts w:ascii="GHEA Grapalat" w:eastAsia="Times New Roman" w:hAnsi="GHEA Grapalat"/>
                <w:bCs/>
                <w:lang w:val="ru-RU" w:eastAsia="ru-RU"/>
              </w:rPr>
            </w:pPr>
            <w:r w:rsidRPr="0053423A">
              <w:rPr>
                <w:rFonts w:ascii="GHEA Grapalat" w:eastAsia="Times New Roman" w:hAnsi="GHEA Grapalat"/>
                <w:bCs/>
                <w:lang w:val="ru-RU" w:eastAsia="ru-RU"/>
              </w:rPr>
              <w:t>Միջոցառումների իրակա</w:t>
            </w:r>
            <w:r w:rsidRPr="0053423A">
              <w:rPr>
                <w:rFonts w:ascii="GHEA Grapalat" w:eastAsia="Times New Roman" w:hAnsi="GHEA Grapalat"/>
                <w:bCs/>
                <w:lang w:val="ru-RU" w:eastAsia="ru-RU"/>
              </w:rPr>
              <w:softHyphen/>
              <w:t>նացման անհրաժեշտությունը բխում է ՀՀ ԱԺ 2019 թվականի փետրվարի 14-ի ԱԺՈ-002-Ն որոշմամբ հավանության արժանացած ՀՀ կառավարության ծրագրից (5.10. Գյուղատնտեսությունը բաժին, 2-րդ պարբերություն), ՀՀ կառավա</w:t>
            </w:r>
            <w:r w:rsidRPr="0053423A">
              <w:rPr>
                <w:rFonts w:ascii="GHEA Grapalat" w:eastAsia="Times New Roman" w:hAnsi="GHEA Grapalat"/>
                <w:bCs/>
                <w:lang w:val="ru-RU" w:eastAsia="ru-RU"/>
              </w:rPr>
              <w:softHyphen/>
              <w:t>րության 2010 թվականի նոյեմ</w:t>
            </w:r>
            <w:r w:rsidRPr="0053423A">
              <w:rPr>
                <w:rFonts w:ascii="GHEA Grapalat" w:eastAsia="Times New Roman" w:hAnsi="GHEA Grapalat"/>
                <w:bCs/>
                <w:lang w:val="ru-RU" w:eastAsia="ru-RU"/>
              </w:rPr>
              <w:softHyphen/>
              <w:t>բերի 4-ի N 1476-Ն որոշ</w:t>
            </w:r>
            <w:r w:rsidRPr="0053423A">
              <w:rPr>
                <w:rFonts w:ascii="GHEA Grapalat" w:eastAsia="Times New Roman" w:hAnsi="GHEA Grapalat"/>
                <w:bCs/>
                <w:lang w:val="ru-RU" w:eastAsia="ru-RU"/>
              </w:rPr>
              <w:softHyphen/>
            </w:r>
            <w:r w:rsidRPr="0053423A">
              <w:rPr>
                <w:rFonts w:ascii="GHEA Grapalat" w:eastAsia="Times New Roman" w:hAnsi="GHEA Grapalat"/>
                <w:bCs/>
                <w:lang w:val="ru-RU" w:eastAsia="ru-RU"/>
              </w:rPr>
              <w:softHyphen/>
              <w:t>մամբ հաս</w:t>
            </w:r>
            <w:r w:rsidRPr="0053423A">
              <w:rPr>
                <w:rFonts w:ascii="GHEA Grapalat" w:eastAsia="Times New Roman" w:hAnsi="GHEA Grapalat"/>
                <w:bCs/>
                <w:lang w:val="ru-RU" w:eastAsia="ru-RU"/>
              </w:rPr>
              <w:softHyphen/>
              <w:t>տատ</w:t>
            </w:r>
            <w:r w:rsidRPr="0053423A">
              <w:rPr>
                <w:rFonts w:ascii="GHEA Grapalat" w:eastAsia="Times New Roman" w:hAnsi="GHEA Grapalat"/>
                <w:bCs/>
                <w:lang w:val="ru-RU" w:eastAsia="ru-RU"/>
              </w:rPr>
              <w:softHyphen/>
              <w:t>ված «Հայաստանի Հան</w:t>
            </w:r>
            <w:r w:rsidRPr="0053423A">
              <w:rPr>
                <w:rFonts w:ascii="GHEA Grapalat" w:eastAsia="Times New Roman" w:hAnsi="GHEA Grapalat"/>
                <w:bCs/>
                <w:lang w:val="ru-RU" w:eastAsia="ru-RU"/>
              </w:rPr>
              <w:softHyphen/>
              <w:t>րա</w:t>
            </w:r>
            <w:r w:rsidRPr="0053423A">
              <w:rPr>
                <w:rFonts w:ascii="GHEA Grapalat" w:eastAsia="Times New Roman" w:hAnsi="GHEA Grapalat"/>
                <w:bCs/>
                <w:lang w:val="ru-RU" w:eastAsia="ru-RU"/>
              </w:rPr>
              <w:softHyphen/>
              <w:t>պե</w:t>
            </w:r>
            <w:r w:rsidRPr="0053423A">
              <w:rPr>
                <w:rFonts w:ascii="GHEA Grapalat" w:eastAsia="Times New Roman" w:hAnsi="GHEA Grapalat"/>
                <w:bCs/>
                <w:lang w:val="ru-RU" w:eastAsia="ru-RU"/>
              </w:rPr>
              <w:softHyphen/>
              <w:t>տու</w:t>
            </w:r>
            <w:r w:rsidRPr="0053423A">
              <w:rPr>
                <w:rFonts w:ascii="GHEA Grapalat" w:eastAsia="Times New Roman" w:hAnsi="GHEA Grapalat"/>
                <w:bCs/>
                <w:lang w:val="ru-RU" w:eastAsia="ru-RU"/>
              </w:rPr>
              <w:softHyphen/>
              <w:t>թյան գյուղի և գյուղա</w:t>
            </w:r>
            <w:r w:rsidRPr="0053423A">
              <w:rPr>
                <w:rFonts w:ascii="GHEA Grapalat" w:eastAsia="Times New Roman" w:hAnsi="GHEA Grapalat"/>
                <w:bCs/>
                <w:lang w:val="ru-RU" w:eastAsia="ru-RU"/>
              </w:rPr>
              <w:softHyphen/>
              <w:t>տն</w:t>
            </w:r>
            <w:r w:rsidRPr="0053423A">
              <w:rPr>
                <w:rFonts w:ascii="GHEA Grapalat" w:eastAsia="Times New Roman" w:hAnsi="GHEA Grapalat"/>
                <w:bCs/>
                <w:lang w:val="ru-RU" w:eastAsia="ru-RU"/>
              </w:rPr>
              <w:softHyphen/>
              <w:t>տե</w:t>
            </w:r>
            <w:r w:rsidRPr="0053423A">
              <w:rPr>
                <w:rFonts w:ascii="GHEA Grapalat" w:eastAsia="Times New Roman" w:hAnsi="GHEA Grapalat"/>
                <w:bCs/>
                <w:lang w:val="ru-RU" w:eastAsia="ru-RU"/>
              </w:rPr>
              <w:softHyphen/>
              <w:t>սության 2010-2020 թվական</w:t>
            </w:r>
            <w:r w:rsidRPr="0053423A">
              <w:rPr>
                <w:rFonts w:ascii="GHEA Grapalat" w:eastAsia="Times New Roman" w:hAnsi="GHEA Grapalat"/>
                <w:bCs/>
                <w:lang w:val="ru-RU" w:eastAsia="ru-RU"/>
              </w:rPr>
              <w:softHyphen/>
              <w:t>ների կայուն զար</w:t>
            </w:r>
            <w:r w:rsidRPr="0053423A">
              <w:rPr>
                <w:rFonts w:ascii="GHEA Grapalat" w:eastAsia="Times New Roman" w:hAnsi="GHEA Grapalat"/>
                <w:bCs/>
                <w:lang w:val="ru-RU" w:eastAsia="ru-RU"/>
              </w:rPr>
              <w:softHyphen/>
              <w:t>գաց</w:t>
            </w:r>
            <w:r w:rsidRPr="0053423A">
              <w:rPr>
                <w:rFonts w:ascii="GHEA Grapalat" w:eastAsia="Times New Roman" w:hAnsi="GHEA Grapalat"/>
                <w:bCs/>
                <w:lang w:val="ru-RU" w:eastAsia="ru-RU"/>
              </w:rPr>
              <w:softHyphen/>
              <w:t>ման ռազ</w:t>
            </w:r>
            <w:r w:rsidRPr="0053423A">
              <w:rPr>
                <w:rFonts w:ascii="GHEA Grapalat" w:eastAsia="Times New Roman" w:hAnsi="GHEA Grapalat"/>
                <w:bCs/>
                <w:lang w:val="ru-RU" w:eastAsia="ru-RU"/>
              </w:rPr>
              <w:softHyphen/>
              <w:t>մավարու</w:t>
            </w:r>
            <w:r w:rsidRPr="0053423A">
              <w:rPr>
                <w:rFonts w:ascii="GHEA Grapalat" w:eastAsia="Times New Roman" w:hAnsi="GHEA Grapalat"/>
                <w:bCs/>
                <w:lang w:val="ru-RU" w:eastAsia="ru-RU"/>
              </w:rPr>
              <w:softHyphen/>
              <w:t>թյու</w:t>
            </w:r>
            <w:r w:rsidRPr="0053423A">
              <w:rPr>
                <w:rFonts w:ascii="GHEA Grapalat" w:eastAsia="Times New Roman" w:hAnsi="GHEA Grapalat"/>
                <w:bCs/>
                <w:lang w:val="ru-RU" w:eastAsia="ru-RU"/>
              </w:rPr>
              <w:softHyphen/>
              <w:t>նից» (III բա</w:t>
            </w:r>
            <w:r w:rsidRPr="0053423A">
              <w:rPr>
                <w:rFonts w:ascii="GHEA Grapalat" w:eastAsia="Times New Roman" w:hAnsi="GHEA Grapalat"/>
                <w:bCs/>
                <w:lang w:val="ru-RU" w:eastAsia="ru-RU"/>
              </w:rPr>
              <w:softHyphen/>
              <w:t>ժին կետ 38.5, V բա</w:t>
            </w:r>
            <w:r w:rsidRPr="0053423A">
              <w:rPr>
                <w:rFonts w:ascii="GHEA Grapalat" w:eastAsia="Times New Roman" w:hAnsi="GHEA Grapalat"/>
                <w:bCs/>
                <w:lang w:val="ru-RU" w:eastAsia="ru-RU"/>
              </w:rPr>
              <w:softHyphen/>
              <w:t>ժին կետ 62) և ՀՀ կառավարության 2014 թվականի մարտի 27-ի N 442-Ն որոշմամբ հաստատված` «Հայաստանի Հանրապետության 2014-2025 թվականների հեռանկարային զարգաց</w:t>
            </w:r>
            <w:r w:rsidRPr="0053423A">
              <w:rPr>
                <w:rFonts w:ascii="GHEA Grapalat" w:eastAsia="Times New Roman" w:hAnsi="GHEA Grapalat"/>
                <w:bCs/>
                <w:lang w:val="ru-RU" w:eastAsia="ru-RU"/>
              </w:rPr>
              <w:softHyphen/>
              <w:t>ման ծրագրից» (9.4. Գյուղատնտեսությունը և գյուղի զարգացումը, կետեր 218.1, 220, 221)։</w:t>
            </w:r>
          </w:p>
          <w:p w:rsidR="00530B14" w:rsidRPr="0053423A" w:rsidRDefault="00530B14" w:rsidP="00A67858">
            <w:pPr>
              <w:spacing w:line="276" w:lineRule="auto"/>
              <w:ind w:firstLine="567"/>
              <w:jc w:val="both"/>
              <w:rPr>
                <w:bCs/>
              </w:rPr>
            </w:pPr>
            <w:r w:rsidRPr="0053423A">
              <w:rPr>
                <w:bCs/>
              </w:rPr>
              <w:t xml:space="preserve">Միջոցառումների իրականացման հիմնական նպատակը գյուղատնտեսական նշանակության հողերի օգտագործման արդյունավետության բարձրացումն է, չմշակվող հողատարածքները գյուղատնտեսական շրջանառության մեջ վերադարձնելը: </w:t>
            </w:r>
          </w:p>
          <w:p w:rsidR="00530B14" w:rsidRPr="0053423A" w:rsidRDefault="00530B14" w:rsidP="00A67858">
            <w:pPr>
              <w:tabs>
                <w:tab w:val="left" w:pos="567"/>
              </w:tabs>
              <w:spacing w:line="276" w:lineRule="auto"/>
              <w:jc w:val="both"/>
              <w:rPr>
                <w:b/>
                <w:bCs/>
              </w:rPr>
            </w:pPr>
            <w:r w:rsidRPr="0053423A">
              <w:rPr>
                <w:b/>
                <w:bCs/>
              </w:rPr>
              <w:tab/>
              <w:t>1.1. Կարգավորման հարաբերությունների ներկա վիճակը և առկա խնդիրները</w:t>
            </w:r>
          </w:p>
          <w:p w:rsidR="00530B14" w:rsidRPr="0053423A" w:rsidRDefault="00530B14" w:rsidP="00A67858">
            <w:pPr>
              <w:spacing w:line="276" w:lineRule="auto"/>
              <w:ind w:firstLine="567"/>
              <w:jc w:val="both"/>
              <w:rPr>
                <w:bCs/>
              </w:rPr>
            </w:pPr>
            <w:r w:rsidRPr="0053423A">
              <w:rPr>
                <w:bCs/>
              </w:rPr>
              <w:t>Հայաստանի Հանրապետությունում առկա 445,6 հազար հեկտար վարելահողերից 2018 թվականի հուլիսի 1-ի դրությամբ նպատակային օգտագործվել է 242.8 հազ. հա-ն (54.5%), կամ տարբեր օբյեկտիվ և սուբյեկտիվ պատճառներով չի մշակվել 202,7 հազ. հա հողատարածք (45,5 %)։</w:t>
            </w:r>
          </w:p>
          <w:p w:rsidR="00530B14" w:rsidRPr="0053423A" w:rsidRDefault="00530B14" w:rsidP="00A67858">
            <w:pPr>
              <w:tabs>
                <w:tab w:val="left" w:pos="9923"/>
              </w:tabs>
              <w:spacing w:line="276" w:lineRule="auto"/>
              <w:ind w:firstLine="567"/>
              <w:jc w:val="both"/>
              <w:rPr>
                <w:bCs/>
              </w:rPr>
            </w:pPr>
            <w:r w:rsidRPr="0053423A">
              <w:rPr>
                <w:bCs/>
              </w:rPr>
              <w:t>Գյուղատնտեսական հողերի չմշակման պատճառները բազմազան են՝ ցածր եկա</w:t>
            </w:r>
            <w:r w:rsidRPr="0053423A">
              <w:rPr>
                <w:bCs/>
              </w:rPr>
              <w:softHyphen/>
              <w:t>մտաբերություն, շրջանառու միջոցների անբավարարություն, ոռոգման ջրի անհա</w:t>
            </w:r>
            <w:r w:rsidRPr="0053423A">
              <w:rPr>
                <w:bCs/>
              </w:rPr>
              <w:softHyphen/>
              <w:t>սանելիություն կամ անբավարար մատակարարում, գյուղատնտեսական տեխնիկայի օգտագործման անմատչելիություն, հողի բերրիության ցածր մակարդակ, հողօգտա</w:t>
            </w:r>
            <w:r w:rsidRPr="0053423A">
              <w:rPr>
                <w:bCs/>
              </w:rPr>
              <w:softHyphen/>
              <w:t>գործողի` սեփականատիրոջ բացակայություն և այլն:</w:t>
            </w:r>
          </w:p>
          <w:p w:rsidR="00530B14" w:rsidRPr="0053423A" w:rsidRDefault="00530B14" w:rsidP="00A67858">
            <w:pPr>
              <w:tabs>
                <w:tab w:val="left" w:pos="567"/>
              </w:tabs>
              <w:spacing w:line="276" w:lineRule="auto"/>
              <w:jc w:val="both"/>
              <w:rPr>
                <w:b/>
                <w:bCs/>
              </w:rPr>
            </w:pPr>
            <w:r w:rsidRPr="0053423A">
              <w:rPr>
                <w:b/>
                <w:bCs/>
              </w:rPr>
              <w:tab/>
              <w:t>1.2. Առկա խնդիրների առաջարկվող լուծումները</w:t>
            </w:r>
          </w:p>
          <w:p w:rsidR="00530B14" w:rsidRPr="0053423A" w:rsidRDefault="00530B14" w:rsidP="00A67858">
            <w:pPr>
              <w:spacing w:line="276" w:lineRule="auto"/>
              <w:ind w:firstLine="567"/>
              <w:jc w:val="both"/>
              <w:rPr>
                <w:bCs/>
              </w:rPr>
            </w:pPr>
            <w:r w:rsidRPr="0053423A">
              <w:rPr>
                <w:bCs/>
              </w:rPr>
              <w:t>ՀՀ հողային օրենսգրքի 102-րդ հոդվածի 3-րդ կետի համաձայն` գյուղա</w:t>
            </w:r>
            <w:r w:rsidRPr="0053423A">
              <w:rPr>
                <w:bCs/>
              </w:rPr>
              <w:softHyphen/>
              <w:t>տն</w:t>
            </w:r>
            <w:r w:rsidRPr="0053423A">
              <w:rPr>
                <w:bCs/>
              </w:rPr>
              <w:softHyphen/>
              <w:t>տեսա</w:t>
            </w:r>
            <w:r w:rsidRPr="0053423A">
              <w:rPr>
                <w:bCs/>
              </w:rPr>
              <w:softHyphen/>
              <w:t>կան նշանակության հողամասը երեք տարվա ընթացքում չօգտագործելը` հողամասի յուրացման, մելիորատիվ շինարարության, տարերային աղետներից հետո վերականգն</w:t>
            </w:r>
            <w:r w:rsidRPr="0053423A">
              <w:rPr>
                <w:bCs/>
              </w:rPr>
              <w:softHyphen/>
              <w:t>ման և նման օգտագործումը բացառող այլ հանգամանքների վերացման համար անհրաժեշտ ժամկետի հաշվանցով, հողամասի նկատմամբ իրավունքների դատական կարգով հարկադրաբար դադարեցման հիմք է հանդիսանում: Նշված հիմքով հողա</w:t>
            </w:r>
            <w:r w:rsidRPr="0053423A">
              <w:rPr>
                <w:bCs/>
              </w:rPr>
              <w:softHyphen/>
              <w:t>մասի նկատմամբ իրավունքների հարկադիր դադարեցման դրույթը գործնականորեն չի կիրառվել մի շարք օբյեկտիվ և սուբյեկտիվ պատճառներով:</w:t>
            </w:r>
          </w:p>
          <w:p w:rsidR="00530B14" w:rsidRPr="0053423A" w:rsidRDefault="00530B14" w:rsidP="00A67858">
            <w:pPr>
              <w:spacing w:line="276" w:lineRule="auto"/>
              <w:jc w:val="both"/>
              <w:rPr>
                <w:bCs/>
              </w:rPr>
            </w:pPr>
            <w:r w:rsidRPr="0053423A">
              <w:rPr>
                <w:bCs/>
              </w:rPr>
              <w:tab/>
              <w:t>Սեփականության իրավունքից զրկելը որևէ պարագայում ընդունելի չհամարելով, անհրաժեշտ է կարգավորել օրենսդրական դաշտը` հնարավորություն ստեղծելով տնօրի</w:t>
            </w:r>
            <w:r w:rsidRPr="0053423A">
              <w:rPr>
                <w:bCs/>
              </w:rPr>
              <w:softHyphen/>
              <w:t>նելու սեփականացված չմշակվող հողատարածքները, այդ թվում` հանրապետու</w:t>
            </w:r>
            <w:r w:rsidRPr="0053423A">
              <w:rPr>
                <w:bCs/>
              </w:rPr>
              <w:softHyphen/>
              <w:t>թյունից ընտանիքներով արտագաղթած հողօգտագործողներինը (մինչև իրենց կողմից հողերի մշակմանը ձեռնամուխ լինելը), դրանք գյուղատնտեսական շրջանառության մեջ ներառելու համար: Կմշակվի չօգտագործվող հողերը շրջանա</w:t>
            </w:r>
            <w:r w:rsidRPr="0053423A">
              <w:rPr>
                <w:bCs/>
              </w:rPr>
              <w:softHyphen/>
              <w:t>ռության մեջ դնելու վերաբերյալ իրավական ակտի նախագիծ:</w:t>
            </w:r>
          </w:p>
          <w:p w:rsidR="00530B14" w:rsidRPr="0053423A" w:rsidRDefault="00530B14" w:rsidP="00A67858">
            <w:pPr>
              <w:tabs>
                <w:tab w:val="left" w:pos="-3780"/>
              </w:tabs>
              <w:spacing w:line="276" w:lineRule="auto"/>
              <w:ind w:firstLine="567"/>
              <w:jc w:val="both"/>
              <w:rPr>
                <w:b/>
                <w:bCs/>
              </w:rPr>
            </w:pPr>
            <w:r w:rsidRPr="0053423A">
              <w:rPr>
                <w:b/>
                <w:bCs/>
              </w:rPr>
              <w:t>2. Միջոցառման իրականացումից ակնկալվող արդյունքը</w:t>
            </w:r>
          </w:p>
          <w:p w:rsidR="00530B14" w:rsidRPr="0053423A" w:rsidRDefault="00C26C87" w:rsidP="00A67858">
            <w:pPr>
              <w:spacing w:line="276" w:lineRule="auto"/>
              <w:ind w:right="94"/>
              <w:jc w:val="both"/>
              <w:rPr>
                <w:bCs/>
              </w:rPr>
            </w:pPr>
            <w:r w:rsidRPr="0053423A">
              <w:rPr>
                <w:b/>
                <w:bCs/>
                <w:lang w:val="hy-AM"/>
              </w:rPr>
              <w:t xml:space="preserve">         </w:t>
            </w:r>
            <w:r w:rsidR="00530B14" w:rsidRPr="0053423A">
              <w:rPr>
                <w:bCs/>
              </w:rPr>
              <w:t>Իրավական ակտերի մշակման և կատարելագործման արդյունքում յուրաքանչյուր տարի գյուղատնտեսության ոլորտում շրջանառության մեջ նոր հողերի ներառում։</w:t>
            </w:r>
          </w:p>
          <w:p w:rsidR="00530B14" w:rsidRPr="0053423A" w:rsidRDefault="00530B14" w:rsidP="00A67858">
            <w:pPr>
              <w:spacing w:line="276" w:lineRule="auto"/>
              <w:ind w:right="94"/>
              <w:jc w:val="both"/>
              <w:rPr>
                <w:b/>
                <w:bCs/>
              </w:rPr>
            </w:pPr>
          </w:p>
          <w:p w:rsidR="00530B14" w:rsidRPr="0053423A" w:rsidRDefault="00530B14" w:rsidP="00A67858">
            <w:pPr>
              <w:tabs>
                <w:tab w:val="left" w:pos="9923"/>
              </w:tabs>
              <w:spacing w:line="276" w:lineRule="auto"/>
              <w:jc w:val="center"/>
              <w:rPr>
                <w:b/>
                <w:bCs/>
                <w:u w:val="single"/>
              </w:rPr>
            </w:pPr>
            <w:r w:rsidRPr="0053423A">
              <w:rPr>
                <w:b/>
                <w:bCs/>
                <w:u w:val="single"/>
              </w:rPr>
              <w:t>1.2 Գյուղատնտեսական նշանակության հողերի տվյալների թվայնացված համակարգի ներդրում, մոնիթորինգի վարում</w:t>
            </w:r>
          </w:p>
          <w:p w:rsidR="00530B14" w:rsidRPr="0053423A" w:rsidRDefault="00530B14" w:rsidP="00A67858">
            <w:pPr>
              <w:tabs>
                <w:tab w:val="left" w:pos="9923"/>
              </w:tabs>
              <w:spacing w:line="276" w:lineRule="auto"/>
              <w:jc w:val="center"/>
              <w:rPr>
                <w:b/>
                <w:bCs/>
              </w:rPr>
            </w:pPr>
          </w:p>
          <w:p w:rsidR="00530B14" w:rsidRPr="0053423A" w:rsidRDefault="00530B14" w:rsidP="001F6D5D">
            <w:pPr>
              <w:pStyle w:val="ListParagraph"/>
              <w:numPr>
                <w:ilvl w:val="0"/>
                <w:numId w:val="307"/>
              </w:numPr>
              <w:tabs>
                <w:tab w:val="left" w:pos="567"/>
              </w:tabs>
              <w:spacing w:line="276" w:lineRule="auto"/>
              <w:jc w:val="both"/>
              <w:rPr>
                <w:b/>
                <w:bCs/>
              </w:rPr>
            </w:pPr>
            <w:r w:rsidRPr="0053423A">
              <w:rPr>
                <w:b/>
                <w:bCs/>
              </w:rPr>
              <w:t xml:space="preserve">Միջոցառման իրականացման անհրաժեշտությունը և նպատակը </w:t>
            </w:r>
          </w:p>
          <w:p w:rsidR="00530B14" w:rsidRPr="0053423A" w:rsidRDefault="00530B14" w:rsidP="00A67858">
            <w:pPr>
              <w:pStyle w:val="BodyTextIndent2"/>
              <w:spacing w:after="0" w:line="276" w:lineRule="auto"/>
              <w:ind w:left="0" w:firstLine="567"/>
              <w:jc w:val="both"/>
              <w:rPr>
                <w:rFonts w:ascii="GHEA Grapalat" w:eastAsia="Times New Roman" w:hAnsi="GHEA Grapalat"/>
                <w:bCs/>
                <w:lang w:val="ru-RU" w:eastAsia="ru-RU"/>
              </w:rPr>
            </w:pPr>
            <w:r w:rsidRPr="0053423A">
              <w:rPr>
                <w:rFonts w:ascii="GHEA Grapalat" w:eastAsia="Times New Roman" w:hAnsi="GHEA Grapalat"/>
                <w:bCs/>
                <w:lang w:val="ru-RU" w:eastAsia="ru-RU"/>
              </w:rPr>
              <w:t>Չօգտագործվող գյուղա</w:t>
            </w:r>
            <w:r w:rsidRPr="0053423A">
              <w:rPr>
                <w:rFonts w:ascii="GHEA Grapalat" w:eastAsia="Times New Roman" w:hAnsi="GHEA Grapalat"/>
                <w:bCs/>
                <w:lang w:val="ru-RU" w:eastAsia="ru-RU"/>
              </w:rPr>
              <w:softHyphen/>
            </w:r>
            <w:r w:rsidRPr="0053423A">
              <w:rPr>
                <w:rFonts w:ascii="GHEA Grapalat" w:eastAsia="Times New Roman" w:hAnsi="GHEA Grapalat"/>
                <w:bCs/>
                <w:lang w:val="ru-RU" w:eastAsia="ru-RU"/>
              </w:rPr>
              <w:softHyphen/>
              <w:t>տնտեսական նշանա</w:t>
            </w:r>
            <w:r w:rsidRPr="0053423A">
              <w:rPr>
                <w:rFonts w:ascii="GHEA Grapalat" w:eastAsia="Times New Roman" w:hAnsi="GHEA Grapalat"/>
                <w:bCs/>
                <w:lang w:val="ru-RU" w:eastAsia="ru-RU"/>
              </w:rPr>
              <w:softHyphen/>
              <w:t>կության հողերի նպա</w:t>
            </w:r>
            <w:r w:rsidRPr="0053423A">
              <w:rPr>
                <w:rFonts w:ascii="GHEA Grapalat" w:eastAsia="Times New Roman" w:hAnsi="GHEA Grapalat"/>
                <w:bCs/>
                <w:lang w:val="ru-RU" w:eastAsia="ru-RU"/>
              </w:rPr>
              <w:softHyphen/>
              <w:t>տակայնորեն օգտագոր</w:t>
            </w:r>
            <w:r w:rsidRPr="0053423A">
              <w:rPr>
                <w:rFonts w:ascii="GHEA Grapalat" w:eastAsia="Times New Roman" w:hAnsi="GHEA Grapalat"/>
                <w:bCs/>
                <w:lang w:val="ru-RU" w:eastAsia="ru-RU"/>
              </w:rPr>
              <w:softHyphen/>
              <w:t>ծելու ուղղությամբ խթանների և մեխա</w:t>
            </w:r>
            <w:r w:rsidRPr="0053423A">
              <w:rPr>
                <w:rFonts w:ascii="GHEA Grapalat" w:eastAsia="Times New Roman" w:hAnsi="GHEA Grapalat"/>
                <w:bCs/>
                <w:lang w:val="ru-RU" w:eastAsia="ru-RU"/>
              </w:rPr>
              <w:softHyphen/>
              <w:t>նիզմների մշակման միջոցառումների (այսուհետ՝ միջոցառումներ) իրակա</w:t>
            </w:r>
            <w:r w:rsidRPr="0053423A">
              <w:rPr>
                <w:rFonts w:ascii="GHEA Grapalat" w:eastAsia="Times New Roman" w:hAnsi="GHEA Grapalat"/>
                <w:bCs/>
                <w:lang w:val="ru-RU" w:eastAsia="ru-RU"/>
              </w:rPr>
              <w:softHyphen/>
              <w:t>նացման անհրաժեշտությունը բխում է ՀՀ ԱԺ 2019 թվականի փետրվարի 14-ի ԱԺՈ-002-Ն որոշմամբ հավանության արժանացած ՀՀ կառավարության ծրագրից (5.10. Գյուղատնտեսությունը բաժին, 2-րդ պարբերություն), ՀՀ կառավա</w:t>
            </w:r>
            <w:r w:rsidRPr="0053423A">
              <w:rPr>
                <w:rFonts w:ascii="GHEA Grapalat" w:eastAsia="Times New Roman" w:hAnsi="GHEA Grapalat"/>
                <w:bCs/>
                <w:lang w:val="ru-RU" w:eastAsia="ru-RU"/>
              </w:rPr>
              <w:softHyphen/>
              <w:t>րության 2010 թվականի նոյեմ</w:t>
            </w:r>
            <w:r w:rsidRPr="0053423A">
              <w:rPr>
                <w:rFonts w:ascii="GHEA Grapalat" w:eastAsia="Times New Roman" w:hAnsi="GHEA Grapalat"/>
                <w:bCs/>
                <w:lang w:val="ru-RU" w:eastAsia="ru-RU"/>
              </w:rPr>
              <w:softHyphen/>
              <w:t>բերի 4-ի N 1476-Ն որոշ</w:t>
            </w:r>
            <w:r w:rsidRPr="0053423A">
              <w:rPr>
                <w:rFonts w:ascii="GHEA Grapalat" w:eastAsia="Times New Roman" w:hAnsi="GHEA Grapalat"/>
                <w:bCs/>
                <w:lang w:val="ru-RU" w:eastAsia="ru-RU"/>
              </w:rPr>
              <w:softHyphen/>
            </w:r>
            <w:r w:rsidRPr="0053423A">
              <w:rPr>
                <w:rFonts w:ascii="GHEA Grapalat" w:eastAsia="Times New Roman" w:hAnsi="GHEA Grapalat"/>
                <w:bCs/>
                <w:lang w:val="ru-RU" w:eastAsia="ru-RU"/>
              </w:rPr>
              <w:softHyphen/>
              <w:t>մամբ հաս</w:t>
            </w:r>
            <w:r w:rsidRPr="0053423A">
              <w:rPr>
                <w:rFonts w:ascii="GHEA Grapalat" w:eastAsia="Times New Roman" w:hAnsi="GHEA Grapalat"/>
                <w:bCs/>
                <w:lang w:val="ru-RU" w:eastAsia="ru-RU"/>
              </w:rPr>
              <w:softHyphen/>
              <w:t>տատ</w:t>
            </w:r>
            <w:r w:rsidRPr="0053423A">
              <w:rPr>
                <w:rFonts w:ascii="GHEA Grapalat" w:eastAsia="Times New Roman" w:hAnsi="GHEA Grapalat"/>
                <w:bCs/>
                <w:lang w:val="ru-RU" w:eastAsia="ru-RU"/>
              </w:rPr>
              <w:softHyphen/>
              <w:t>ված «Հայաստանի Հան</w:t>
            </w:r>
            <w:r w:rsidRPr="0053423A">
              <w:rPr>
                <w:rFonts w:ascii="GHEA Grapalat" w:eastAsia="Times New Roman" w:hAnsi="GHEA Grapalat"/>
                <w:bCs/>
                <w:lang w:val="ru-RU" w:eastAsia="ru-RU"/>
              </w:rPr>
              <w:softHyphen/>
              <w:t>րա</w:t>
            </w:r>
            <w:r w:rsidRPr="0053423A">
              <w:rPr>
                <w:rFonts w:ascii="GHEA Grapalat" w:eastAsia="Times New Roman" w:hAnsi="GHEA Grapalat"/>
                <w:bCs/>
                <w:lang w:val="ru-RU" w:eastAsia="ru-RU"/>
              </w:rPr>
              <w:softHyphen/>
              <w:t>պե</w:t>
            </w:r>
            <w:r w:rsidRPr="0053423A">
              <w:rPr>
                <w:rFonts w:ascii="GHEA Grapalat" w:eastAsia="Times New Roman" w:hAnsi="GHEA Grapalat"/>
                <w:bCs/>
                <w:lang w:val="ru-RU" w:eastAsia="ru-RU"/>
              </w:rPr>
              <w:softHyphen/>
              <w:t>տու</w:t>
            </w:r>
            <w:r w:rsidRPr="0053423A">
              <w:rPr>
                <w:rFonts w:ascii="GHEA Grapalat" w:eastAsia="Times New Roman" w:hAnsi="GHEA Grapalat"/>
                <w:bCs/>
                <w:lang w:val="ru-RU" w:eastAsia="ru-RU"/>
              </w:rPr>
              <w:softHyphen/>
            </w:r>
            <w:r w:rsidRPr="0053423A">
              <w:rPr>
                <w:rFonts w:ascii="GHEA Grapalat" w:eastAsia="Times New Roman" w:hAnsi="GHEA Grapalat"/>
                <w:bCs/>
                <w:lang w:val="ru-RU" w:eastAsia="ru-RU"/>
              </w:rPr>
              <w:softHyphen/>
              <w:t>թյան գյուղի և գյուղա</w:t>
            </w:r>
            <w:r w:rsidRPr="0053423A">
              <w:rPr>
                <w:rFonts w:ascii="GHEA Grapalat" w:eastAsia="Times New Roman" w:hAnsi="GHEA Grapalat"/>
                <w:bCs/>
                <w:lang w:val="ru-RU" w:eastAsia="ru-RU"/>
              </w:rPr>
              <w:softHyphen/>
              <w:t>տն</w:t>
            </w:r>
            <w:r w:rsidRPr="0053423A">
              <w:rPr>
                <w:rFonts w:ascii="GHEA Grapalat" w:eastAsia="Times New Roman" w:hAnsi="GHEA Grapalat"/>
                <w:bCs/>
                <w:lang w:val="ru-RU" w:eastAsia="ru-RU"/>
              </w:rPr>
              <w:softHyphen/>
              <w:t>տե</w:t>
            </w:r>
            <w:r w:rsidRPr="0053423A">
              <w:rPr>
                <w:rFonts w:ascii="GHEA Grapalat" w:eastAsia="Times New Roman" w:hAnsi="GHEA Grapalat"/>
                <w:bCs/>
                <w:lang w:val="ru-RU" w:eastAsia="ru-RU"/>
              </w:rPr>
              <w:softHyphen/>
              <w:t>սության 2010-2020 թվական</w:t>
            </w:r>
            <w:r w:rsidRPr="0053423A">
              <w:rPr>
                <w:rFonts w:ascii="GHEA Grapalat" w:eastAsia="Times New Roman" w:hAnsi="GHEA Grapalat"/>
                <w:bCs/>
                <w:lang w:val="ru-RU" w:eastAsia="ru-RU"/>
              </w:rPr>
              <w:softHyphen/>
              <w:t>ների կայուն զար</w:t>
            </w:r>
            <w:r w:rsidRPr="0053423A">
              <w:rPr>
                <w:rFonts w:ascii="GHEA Grapalat" w:eastAsia="Times New Roman" w:hAnsi="GHEA Grapalat"/>
                <w:bCs/>
                <w:lang w:val="ru-RU" w:eastAsia="ru-RU"/>
              </w:rPr>
              <w:softHyphen/>
              <w:t>գաց</w:t>
            </w:r>
            <w:r w:rsidRPr="0053423A">
              <w:rPr>
                <w:rFonts w:ascii="GHEA Grapalat" w:eastAsia="Times New Roman" w:hAnsi="GHEA Grapalat"/>
                <w:bCs/>
                <w:lang w:val="ru-RU" w:eastAsia="ru-RU"/>
              </w:rPr>
              <w:softHyphen/>
              <w:t>ման ռազ</w:t>
            </w:r>
            <w:r w:rsidRPr="0053423A">
              <w:rPr>
                <w:rFonts w:ascii="GHEA Grapalat" w:eastAsia="Times New Roman" w:hAnsi="GHEA Grapalat"/>
                <w:bCs/>
                <w:lang w:val="ru-RU" w:eastAsia="ru-RU"/>
              </w:rPr>
              <w:softHyphen/>
              <w:t>մավարու</w:t>
            </w:r>
            <w:r w:rsidRPr="0053423A">
              <w:rPr>
                <w:rFonts w:ascii="GHEA Grapalat" w:eastAsia="Times New Roman" w:hAnsi="GHEA Grapalat"/>
                <w:bCs/>
                <w:lang w:val="ru-RU" w:eastAsia="ru-RU"/>
              </w:rPr>
              <w:softHyphen/>
              <w:t>թյու</w:t>
            </w:r>
            <w:r w:rsidRPr="0053423A">
              <w:rPr>
                <w:rFonts w:ascii="GHEA Grapalat" w:eastAsia="Times New Roman" w:hAnsi="GHEA Grapalat"/>
                <w:bCs/>
                <w:lang w:val="ru-RU" w:eastAsia="ru-RU"/>
              </w:rPr>
              <w:softHyphen/>
              <w:t>նից» (III բա</w:t>
            </w:r>
            <w:r w:rsidRPr="0053423A">
              <w:rPr>
                <w:rFonts w:ascii="GHEA Grapalat" w:eastAsia="Times New Roman" w:hAnsi="GHEA Grapalat"/>
                <w:bCs/>
                <w:lang w:val="ru-RU" w:eastAsia="ru-RU"/>
              </w:rPr>
              <w:softHyphen/>
              <w:t>ժին կետ 38.5, V բա</w:t>
            </w:r>
            <w:r w:rsidRPr="0053423A">
              <w:rPr>
                <w:rFonts w:ascii="GHEA Grapalat" w:eastAsia="Times New Roman" w:hAnsi="GHEA Grapalat"/>
                <w:bCs/>
                <w:lang w:val="ru-RU" w:eastAsia="ru-RU"/>
              </w:rPr>
              <w:softHyphen/>
              <w:t>ժին կետ 62) և ՀՀ կառավարության 2014 թվականի մարտի 27-ի N 442-Ն որոշմամբ հաստատված` «Հայաստանի Հանրապետության 2014-2025 թվականների հեռանկարային զար</w:t>
            </w:r>
            <w:r w:rsidRPr="0053423A">
              <w:rPr>
                <w:rFonts w:ascii="GHEA Grapalat" w:eastAsia="Times New Roman" w:hAnsi="GHEA Grapalat"/>
                <w:bCs/>
                <w:lang w:val="ru-RU" w:eastAsia="ru-RU"/>
              </w:rPr>
              <w:softHyphen/>
              <w:t>գացման ծրագրից» (</w:t>
            </w:r>
            <w:bookmarkStart w:id="11" w:name="_Toc335305423"/>
            <w:bookmarkStart w:id="12" w:name="_Toc339551361"/>
            <w:bookmarkStart w:id="13" w:name="_Toc386025107"/>
            <w:r w:rsidRPr="0053423A">
              <w:rPr>
                <w:rFonts w:ascii="GHEA Grapalat" w:eastAsia="Times New Roman" w:hAnsi="GHEA Grapalat"/>
                <w:bCs/>
                <w:lang w:val="ru-RU" w:eastAsia="ru-RU"/>
              </w:rPr>
              <w:t>9.4. Գյուղատնտեսությունը և գյուղի զարգացումը</w:t>
            </w:r>
            <w:bookmarkEnd w:id="11"/>
            <w:bookmarkEnd w:id="12"/>
            <w:bookmarkEnd w:id="13"/>
            <w:r w:rsidRPr="0053423A">
              <w:rPr>
                <w:rFonts w:ascii="GHEA Grapalat" w:eastAsia="Times New Roman" w:hAnsi="GHEA Grapalat"/>
                <w:bCs/>
                <w:lang w:val="ru-RU" w:eastAsia="ru-RU"/>
              </w:rPr>
              <w:t>, կետեր 218.1, 220, 221)։</w:t>
            </w:r>
          </w:p>
          <w:p w:rsidR="00530B14" w:rsidRPr="0053423A" w:rsidRDefault="00530B14" w:rsidP="00A67858">
            <w:pPr>
              <w:spacing w:line="276" w:lineRule="auto"/>
              <w:ind w:firstLine="567"/>
              <w:jc w:val="both"/>
              <w:rPr>
                <w:bCs/>
              </w:rPr>
            </w:pPr>
            <w:r w:rsidRPr="0053423A">
              <w:rPr>
                <w:bCs/>
              </w:rPr>
              <w:t>Միջոցառումների իրականացման հիմնական նպատակը գյուղատնտեսական նշանակության հողերի օգտագործման արդյունավետության բարձրացումն է, չմշակվող հողատարածքները գյուղատնտեսական շրջանառության մեջ վերադարձնելը:</w:t>
            </w:r>
          </w:p>
          <w:p w:rsidR="00530B14" w:rsidRPr="0053423A" w:rsidRDefault="00530B14" w:rsidP="00A67858">
            <w:pPr>
              <w:spacing w:line="276" w:lineRule="auto"/>
              <w:ind w:firstLine="567"/>
              <w:jc w:val="both"/>
              <w:rPr>
                <w:b/>
                <w:bCs/>
              </w:rPr>
            </w:pPr>
          </w:p>
          <w:p w:rsidR="00530B14" w:rsidRPr="0053423A" w:rsidRDefault="00530B14" w:rsidP="00A67858">
            <w:pPr>
              <w:tabs>
                <w:tab w:val="left" w:pos="567"/>
              </w:tabs>
              <w:spacing w:line="276" w:lineRule="auto"/>
              <w:ind w:firstLine="643"/>
              <w:jc w:val="both"/>
              <w:rPr>
                <w:b/>
                <w:bCs/>
              </w:rPr>
            </w:pPr>
            <w:r w:rsidRPr="0053423A">
              <w:rPr>
                <w:b/>
                <w:bCs/>
              </w:rPr>
              <w:t>1.1. Կարգավորման հարաբերությունների ներկա վիճակը և առկա խնդիրները</w:t>
            </w:r>
          </w:p>
          <w:p w:rsidR="00530B14" w:rsidRPr="0053423A" w:rsidRDefault="00530B14" w:rsidP="00A67858">
            <w:pPr>
              <w:spacing w:line="276" w:lineRule="auto"/>
              <w:ind w:firstLine="567"/>
              <w:jc w:val="both"/>
              <w:rPr>
                <w:bCs/>
              </w:rPr>
            </w:pPr>
            <w:r w:rsidRPr="0053423A">
              <w:rPr>
                <w:bCs/>
              </w:rPr>
              <w:t>Ներկայումս չտիրապետելով գյուղատնտեսական նշանակության հողերի վերա</w:t>
            </w:r>
            <w:r w:rsidRPr="0053423A">
              <w:rPr>
                <w:bCs/>
              </w:rPr>
              <w:softHyphen/>
              <w:t>բերյալ լիարժեք տեղեկատվությանը, նախարարության առջև խնդիրներ են առա</w:t>
            </w:r>
            <w:r w:rsidRPr="0053423A">
              <w:rPr>
                <w:bCs/>
              </w:rPr>
              <w:softHyphen/>
              <w:t>ջա</w:t>
            </w:r>
            <w:r w:rsidRPr="0053423A">
              <w:rPr>
                <w:bCs/>
              </w:rPr>
              <w:softHyphen/>
              <w:t>նում, մի կողմից՝ օբյեկտիվ պատճառներով չօգտագործվող կամ ոչ նպատա</w:t>
            </w:r>
            <w:r w:rsidRPr="0053423A">
              <w:rPr>
                <w:bCs/>
              </w:rPr>
              <w:softHyphen/>
              <w:t>կային օգտագործվող վարելահողերի գյուղատնտեսա</w:t>
            </w:r>
            <w:r w:rsidRPr="0053423A">
              <w:rPr>
                <w:bCs/>
              </w:rPr>
              <w:softHyphen/>
              <w:t>կան շրջանառու</w:t>
            </w:r>
            <w:r w:rsidRPr="0053423A">
              <w:rPr>
                <w:bCs/>
              </w:rPr>
              <w:softHyphen/>
              <w:t>թյան մեջ ներառումը խթանող գործուն մեխանիզմների (ոռոգման համակարգերի և այլ ենթակա</w:t>
            </w:r>
            <w:r w:rsidRPr="0053423A">
              <w:rPr>
                <w:bCs/>
              </w:rPr>
              <w:softHyphen/>
              <w:t>ռուց</w:t>
            </w:r>
            <w:r w:rsidRPr="0053423A">
              <w:rPr>
                <w:bCs/>
              </w:rPr>
              <w:softHyphen/>
              <w:t>վածք</w:t>
            </w:r>
            <w:r w:rsidRPr="0053423A">
              <w:rPr>
                <w:bCs/>
              </w:rPr>
              <w:softHyphen/>
              <w:t>ների վերականգնում, կառուցում ու արդիականացում, գյուղատնտեսական տեխնիկայի օգտագործման մատչելիության բարձրացում, ցածր բերրիությամբ հողերի մելիորատիվ վիճակի բարելավում, աղուտ-ալկալի հողերի յուրացում և այլն) մշակման ու ներդրման համար, մյուս կողմից՝ պոտենցիալ ներդրողներին անհրաժեշտ հողատարածքների վերաբերյալ տեղեկատվություն տրամադրելու հարցում։</w:t>
            </w:r>
          </w:p>
          <w:p w:rsidR="00530B14" w:rsidRPr="0053423A" w:rsidRDefault="00530B14" w:rsidP="00A67858">
            <w:pPr>
              <w:tabs>
                <w:tab w:val="left" w:pos="567"/>
              </w:tabs>
              <w:spacing w:line="276" w:lineRule="auto"/>
              <w:jc w:val="both"/>
              <w:rPr>
                <w:b/>
                <w:bCs/>
              </w:rPr>
            </w:pPr>
            <w:r w:rsidRPr="0053423A">
              <w:rPr>
                <w:b/>
                <w:bCs/>
              </w:rPr>
              <w:tab/>
              <w:t>1.2. Առկա խնդիրների առաջարկվող լուծումները</w:t>
            </w:r>
          </w:p>
          <w:p w:rsidR="00530B14" w:rsidRPr="0053423A" w:rsidRDefault="00530B14" w:rsidP="00A67858">
            <w:pPr>
              <w:pStyle w:val="BodyTextIndent"/>
              <w:spacing w:after="0" w:line="276" w:lineRule="auto"/>
              <w:ind w:left="0" w:firstLine="567"/>
              <w:jc w:val="both"/>
              <w:rPr>
                <w:rFonts w:ascii="GHEA Grapalat" w:hAnsi="GHEA Grapalat"/>
                <w:bCs/>
                <w:sz w:val="20"/>
                <w:szCs w:val="20"/>
                <w:lang w:val="ru-RU" w:eastAsia="ru-RU"/>
              </w:rPr>
            </w:pPr>
            <w:r w:rsidRPr="0053423A">
              <w:rPr>
                <w:rFonts w:ascii="GHEA Grapalat" w:hAnsi="GHEA Grapalat"/>
                <w:bCs/>
                <w:sz w:val="20"/>
                <w:szCs w:val="20"/>
                <w:lang w:val="ru-RU" w:eastAsia="ru-RU"/>
              </w:rPr>
              <w:t>Գյուղատնտեսական հողերի առկա վիճակի վերաբերյալ տեղեկատվությանը տիրապետելու համար նպատակահարմար է կիրառել արբանյակային լուսանկարման ու այդ լուսանկարների վերծանման մեթոդը: Նշված տեղեկատվության առկայության պարագայում հնարավոր կլինի գյուղատնտեսական հողերի օգտագործման նկատմամբ վարել մոնիթորինգ` համադրելով վերծանված լուսանկարները կադաստրային քարտեզների հետ:</w:t>
            </w:r>
          </w:p>
          <w:p w:rsidR="00530B14" w:rsidRPr="0053423A" w:rsidRDefault="00530B14" w:rsidP="00A67858">
            <w:pPr>
              <w:tabs>
                <w:tab w:val="left" w:pos="-3780"/>
              </w:tabs>
              <w:spacing w:line="276" w:lineRule="auto"/>
              <w:ind w:firstLine="567"/>
              <w:jc w:val="both"/>
              <w:rPr>
                <w:b/>
                <w:bCs/>
              </w:rPr>
            </w:pPr>
            <w:r w:rsidRPr="0053423A">
              <w:rPr>
                <w:b/>
                <w:bCs/>
              </w:rPr>
              <w:t>2. Ակնկալվող արդյունքները</w:t>
            </w:r>
          </w:p>
          <w:p w:rsidR="00530B14" w:rsidRPr="0053423A" w:rsidRDefault="00530B14" w:rsidP="00A67858">
            <w:pPr>
              <w:pStyle w:val="BodyTextIndent"/>
              <w:spacing w:after="0" w:line="276" w:lineRule="auto"/>
              <w:ind w:left="0" w:firstLine="567"/>
              <w:jc w:val="both"/>
              <w:rPr>
                <w:rFonts w:ascii="GHEA Grapalat" w:hAnsi="GHEA Grapalat"/>
                <w:bCs/>
                <w:sz w:val="20"/>
                <w:szCs w:val="20"/>
                <w:lang w:val="ru-RU" w:eastAsia="ru-RU"/>
              </w:rPr>
            </w:pPr>
            <w:r w:rsidRPr="0053423A">
              <w:rPr>
                <w:rFonts w:ascii="GHEA Grapalat" w:hAnsi="GHEA Grapalat"/>
                <w:bCs/>
                <w:sz w:val="20"/>
                <w:szCs w:val="20"/>
                <w:lang w:val="ru-RU" w:eastAsia="ru-RU"/>
              </w:rPr>
              <w:t>Գյուղատնտեսական հողերի՝ վարելահողերի և բազմամյա տնկարկների,  առկա (փաստացի) վիճակի վե</w:t>
            </w:r>
            <w:r w:rsidRPr="0053423A">
              <w:rPr>
                <w:rFonts w:ascii="GHEA Grapalat" w:hAnsi="GHEA Grapalat"/>
                <w:bCs/>
                <w:sz w:val="20"/>
                <w:szCs w:val="20"/>
                <w:lang w:val="ru-RU" w:eastAsia="ru-RU"/>
              </w:rPr>
              <w:softHyphen/>
              <w:t>րաբերյալ տեղեկատվական շտեմարանի` թվայնացված քարտեզների առկա</w:t>
            </w:r>
            <w:r w:rsidRPr="0053423A">
              <w:rPr>
                <w:rFonts w:ascii="GHEA Grapalat" w:hAnsi="GHEA Grapalat"/>
                <w:bCs/>
                <w:sz w:val="20"/>
                <w:szCs w:val="20"/>
                <w:lang w:val="ru-RU" w:eastAsia="ru-RU"/>
              </w:rPr>
              <w:softHyphen/>
              <w:t>յություն, որը կնպաստի հողօգտագործ</w:t>
            </w:r>
            <w:r w:rsidRPr="0053423A">
              <w:rPr>
                <w:rFonts w:ascii="GHEA Grapalat" w:hAnsi="GHEA Grapalat"/>
                <w:bCs/>
                <w:sz w:val="20"/>
                <w:szCs w:val="20"/>
                <w:lang w:val="ru-RU" w:eastAsia="ru-RU"/>
              </w:rPr>
              <w:softHyphen/>
              <w:t>ման արդյունավետության բարձրացմանը, հողի շուկայի և գործարար միջավայրի բարե</w:t>
            </w:r>
            <w:r w:rsidRPr="0053423A">
              <w:rPr>
                <w:rFonts w:ascii="GHEA Grapalat" w:hAnsi="GHEA Grapalat"/>
                <w:bCs/>
                <w:sz w:val="20"/>
                <w:szCs w:val="20"/>
                <w:lang w:val="ru-RU" w:eastAsia="ru-RU"/>
              </w:rPr>
              <w:softHyphen/>
              <w:t>լավմանը:</w:t>
            </w:r>
          </w:p>
          <w:p w:rsidR="00530B14" w:rsidRPr="0053423A" w:rsidRDefault="00530B14" w:rsidP="00A67858">
            <w:pPr>
              <w:pStyle w:val="BodyTextIndent"/>
              <w:spacing w:after="0" w:line="276" w:lineRule="auto"/>
              <w:ind w:left="0" w:firstLine="567"/>
              <w:jc w:val="both"/>
              <w:rPr>
                <w:rFonts w:ascii="GHEA Grapalat" w:hAnsi="GHEA Grapalat"/>
                <w:bCs/>
                <w:sz w:val="20"/>
                <w:szCs w:val="20"/>
                <w:lang w:val="ru-RU" w:eastAsia="ru-RU"/>
              </w:rPr>
            </w:pPr>
            <w:r w:rsidRPr="0053423A">
              <w:rPr>
                <w:rFonts w:ascii="GHEA Grapalat" w:hAnsi="GHEA Grapalat"/>
                <w:bCs/>
                <w:sz w:val="20"/>
                <w:szCs w:val="20"/>
                <w:lang w:val="ru-RU" w:eastAsia="ru-RU"/>
              </w:rPr>
              <w:t>Գյուղատնտեսական հողերի՝ վարելահողերի և բազմամյա տնկարկների վիճակի վերաբերյալ տեղեկատվա</w:t>
            </w:r>
            <w:r w:rsidRPr="0053423A">
              <w:rPr>
                <w:rFonts w:ascii="GHEA Grapalat" w:hAnsi="GHEA Grapalat"/>
                <w:bCs/>
                <w:sz w:val="20"/>
                <w:szCs w:val="20"/>
                <w:lang w:val="ru-RU" w:eastAsia="ru-RU"/>
              </w:rPr>
              <w:softHyphen/>
              <w:t>կան շտեմարանի տվյալների հիման վրա չմշակվող գյուղատնտեսական նշանակության հողերը հնարավոր կլինի տարանջատել երեք հիմնական խմբերի` ըստ դրանց չմշակման պատ</w:t>
            </w:r>
            <w:r w:rsidRPr="0053423A">
              <w:rPr>
                <w:rFonts w:ascii="GHEA Grapalat" w:hAnsi="GHEA Grapalat"/>
                <w:bCs/>
                <w:sz w:val="20"/>
                <w:szCs w:val="20"/>
                <w:lang w:val="ru-RU" w:eastAsia="ru-RU"/>
              </w:rPr>
              <w:softHyphen/>
              <w:t>ճառների`</w:t>
            </w:r>
          </w:p>
          <w:p w:rsidR="00530B14" w:rsidRPr="0053423A" w:rsidRDefault="00530B14" w:rsidP="00A67858">
            <w:pPr>
              <w:tabs>
                <w:tab w:val="left" w:pos="900"/>
              </w:tabs>
              <w:spacing w:line="276" w:lineRule="auto"/>
              <w:ind w:firstLine="567"/>
              <w:jc w:val="both"/>
              <w:rPr>
                <w:bCs/>
              </w:rPr>
            </w:pPr>
            <w:r w:rsidRPr="0053423A">
              <w:rPr>
                <w:bCs/>
              </w:rPr>
              <w:t xml:space="preserve">1) </w:t>
            </w:r>
            <w:r w:rsidRPr="0053423A">
              <w:rPr>
                <w:bCs/>
              </w:rPr>
              <w:tab/>
              <w:t>ենթակառուցվածքների բացակայության պատճառով չմշակվող հողեր,</w:t>
            </w:r>
          </w:p>
          <w:p w:rsidR="00530B14" w:rsidRPr="0053423A" w:rsidRDefault="00530B14" w:rsidP="00A67858">
            <w:pPr>
              <w:tabs>
                <w:tab w:val="left" w:pos="900"/>
              </w:tabs>
              <w:spacing w:line="276" w:lineRule="auto"/>
              <w:ind w:firstLine="567"/>
              <w:jc w:val="both"/>
              <w:rPr>
                <w:bCs/>
              </w:rPr>
            </w:pPr>
            <w:r w:rsidRPr="0053423A">
              <w:rPr>
                <w:bCs/>
              </w:rPr>
              <w:t>2)</w:t>
            </w:r>
            <w:r w:rsidRPr="0053423A">
              <w:rPr>
                <w:bCs/>
              </w:rPr>
              <w:tab/>
              <w:t>դեգրադացված հողեր,</w:t>
            </w:r>
          </w:p>
          <w:p w:rsidR="00530B14" w:rsidRPr="0053423A" w:rsidRDefault="00530B14" w:rsidP="00A67858">
            <w:pPr>
              <w:tabs>
                <w:tab w:val="left" w:pos="900"/>
              </w:tabs>
              <w:spacing w:line="276" w:lineRule="auto"/>
              <w:ind w:firstLine="567"/>
              <w:jc w:val="both"/>
              <w:rPr>
                <w:bCs/>
              </w:rPr>
            </w:pPr>
            <w:r w:rsidRPr="0053423A">
              <w:rPr>
                <w:bCs/>
              </w:rPr>
              <w:t>3)</w:t>
            </w:r>
            <w:r w:rsidRPr="0053423A">
              <w:rPr>
                <w:bCs/>
              </w:rPr>
              <w:tab/>
              <w:t>հողօգտագործողի բացակայության կամ այլ սուբյեկտիվ պատճառներով չմշակ</w:t>
            </w:r>
            <w:r w:rsidRPr="0053423A">
              <w:rPr>
                <w:bCs/>
              </w:rPr>
              <w:softHyphen/>
              <w:t>վող հողեր։</w:t>
            </w:r>
          </w:p>
          <w:p w:rsidR="00530B14" w:rsidRPr="0053423A" w:rsidRDefault="00530B14" w:rsidP="00A67858">
            <w:pPr>
              <w:spacing w:line="276" w:lineRule="auto"/>
              <w:ind w:firstLine="567"/>
              <w:jc w:val="both"/>
              <w:rPr>
                <w:bCs/>
              </w:rPr>
            </w:pPr>
            <w:r w:rsidRPr="0053423A">
              <w:rPr>
                <w:bCs/>
              </w:rPr>
              <w:t>Ըստ համայնքների` հողերի չմշակման կամ ոչ նպատակային օգտագործման պատճառների բացահայտումից հետո կմշակվեն գյուղատնտեսական շրջանառության մեջ ընդգրկմանն ուղղված միջոցառումներ` յուրաքանչյուր խմբի հողերի համար, հնարավորություն կառաջանա վաճառքի և վարձակալությամբ տրամադրման ենթակա հողատարածքների տեղեկատվական շտեմարանի ստեղծման, մասնատված հողերի միավորման ու խոշորացման ծրագրերի մշակման համար:</w:t>
            </w:r>
          </w:p>
          <w:p w:rsidR="00530B14" w:rsidRPr="0053423A" w:rsidRDefault="00530B14" w:rsidP="00A67858">
            <w:pPr>
              <w:spacing w:line="276" w:lineRule="auto"/>
              <w:ind w:firstLine="567"/>
              <w:jc w:val="both"/>
              <w:rPr>
                <w:b/>
                <w:bCs/>
              </w:rPr>
            </w:pPr>
          </w:p>
          <w:p w:rsidR="00C26C87" w:rsidRPr="0053423A" w:rsidRDefault="00530B14" w:rsidP="001F6D5D">
            <w:pPr>
              <w:pStyle w:val="ListParagraph"/>
              <w:numPr>
                <w:ilvl w:val="1"/>
                <w:numId w:val="307"/>
              </w:numPr>
              <w:tabs>
                <w:tab w:val="left" w:pos="9923"/>
              </w:tabs>
              <w:spacing w:line="276" w:lineRule="auto"/>
              <w:jc w:val="center"/>
              <w:rPr>
                <w:b/>
                <w:bCs/>
                <w:u w:val="single"/>
              </w:rPr>
            </w:pPr>
            <w:r w:rsidRPr="0053423A">
              <w:rPr>
                <w:b/>
                <w:bCs/>
                <w:u w:val="single"/>
              </w:rPr>
              <w:t>Գյուղատնտեսական նշանակության հողերի կոնսոլիդացման ծրագրի նախագծի մշակում</w:t>
            </w:r>
          </w:p>
          <w:p w:rsidR="00530B14" w:rsidRPr="0053423A" w:rsidRDefault="00530B14" w:rsidP="00A67858">
            <w:pPr>
              <w:tabs>
                <w:tab w:val="left" w:pos="9923"/>
              </w:tabs>
              <w:spacing w:line="276" w:lineRule="auto"/>
              <w:ind w:left="567"/>
              <w:jc w:val="center"/>
              <w:rPr>
                <w:b/>
                <w:bCs/>
                <w:u w:val="single"/>
              </w:rPr>
            </w:pPr>
            <w:r w:rsidRPr="0053423A">
              <w:rPr>
                <w:b/>
                <w:bCs/>
                <w:u w:val="single"/>
              </w:rPr>
              <w:t>և ընդունում</w:t>
            </w:r>
          </w:p>
          <w:p w:rsidR="00530B14" w:rsidRPr="0053423A" w:rsidRDefault="00530B14" w:rsidP="00A67858">
            <w:pPr>
              <w:tabs>
                <w:tab w:val="left" w:pos="9923"/>
              </w:tabs>
              <w:spacing w:line="276" w:lineRule="auto"/>
              <w:jc w:val="center"/>
              <w:rPr>
                <w:b/>
                <w:bCs/>
              </w:rPr>
            </w:pPr>
          </w:p>
          <w:p w:rsidR="00530B14" w:rsidRPr="0053423A" w:rsidRDefault="00530B14" w:rsidP="00A67858">
            <w:pPr>
              <w:tabs>
                <w:tab w:val="left" w:pos="567"/>
              </w:tabs>
              <w:spacing w:line="276" w:lineRule="auto"/>
              <w:ind w:firstLine="567"/>
              <w:jc w:val="both"/>
              <w:rPr>
                <w:b/>
                <w:bCs/>
              </w:rPr>
            </w:pPr>
            <w:r w:rsidRPr="0053423A">
              <w:rPr>
                <w:b/>
                <w:bCs/>
              </w:rPr>
              <w:t xml:space="preserve">1. Միջոցառման իրականացման անհրաժեշտությունը և նպատակը </w:t>
            </w:r>
          </w:p>
          <w:p w:rsidR="00530B14" w:rsidRPr="0053423A" w:rsidRDefault="00530B14" w:rsidP="00A67858">
            <w:pPr>
              <w:pStyle w:val="BodyTextIndent2"/>
              <w:spacing w:after="0" w:line="276" w:lineRule="auto"/>
              <w:ind w:left="0" w:firstLine="567"/>
              <w:jc w:val="both"/>
              <w:rPr>
                <w:rFonts w:ascii="GHEA Grapalat" w:eastAsia="Times New Roman" w:hAnsi="GHEA Grapalat"/>
                <w:bCs/>
                <w:lang w:val="ru-RU" w:eastAsia="ru-RU"/>
              </w:rPr>
            </w:pPr>
            <w:r w:rsidRPr="0053423A">
              <w:rPr>
                <w:rFonts w:ascii="GHEA Grapalat" w:eastAsia="Times New Roman" w:hAnsi="GHEA Grapalat"/>
                <w:bCs/>
                <w:lang w:val="ru-RU" w:eastAsia="ru-RU"/>
              </w:rPr>
              <w:t>Չօգտագործվող գյուղա</w:t>
            </w:r>
            <w:r w:rsidRPr="0053423A">
              <w:rPr>
                <w:rFonts w:ascii="GHEA Grapalat" w:eastAsia="Times New Roman" w:hAnsi="GHEA Grapalat"/>
                <w:bCs/>
                <w:lang w:val="ru-RU" w:eastAsia="ru-RU"/>
              </w:rPr>
              <w:softHyphen/>
            </w:r>
            <w:r w:rsidRPr="0053423A">
              <w:rPr>
                <w:rFonts w:ascii="GHEA Grapalat" w:eastAsia="Times New Roman" w:hAnsi="GHEA Grapalat"/>
                <w:bCs/>
                <w:lang w:val="ru-RU" w:eastAsia="ru-RU"/>
              </w:rPr>
              <w:softHyphen/>
              <w:t>տնտեսական նշանա</w:t>
            </w:r>
            <w:r w:rsidRPr="0053423A">
              <w:rPr>
                <w:rFonts w:ascii="GHEA Grapalat" w:eastAsia="Times New Roman" w:hAnsi="GHEA Grapalat"/>
                <w:bCs/>
                <w:lang w:val="ru-RU" w:eastAsia="ru-RU"/>
              </w:rPr>
              <w:softHyphen/>
              <w:t>կության հողերի նպա</w:t>
            </w:r>
            <w:r w:rsidRPr="0053423A">
              <w:rPr>
                <w:rFonts w:ascii="GHEA Grapalat" w:eastAsia="Times New Roman" w:hAnsi="GHEA Grapalat"/>
                <w:bCs/>
                <w:lang w:val="ru-RU" w:eastAsia="ru-RU"/>
              </w:rPr>
              <w:softHyphen/>
              <w:t>տակայնորեն օգտագոր</w:t>
            </w:r>
            <w:r w:rsidRPr="0053423A">
              <w:rPr>
                <w:rFonts w:ascii="GHEA Grapalat" w:eastAsia="Times New Roman" w:hAnsi="GHEA Grapalat"/>
                <w:bCs/>
                <w:lang w:val="ru-RU" w:eastAsia="ru-RU"/>
              </w:rPr>
              <w:softHyphen/>
              <w:t>ծելու ուղղությամբ խթանների և մեխա</w:t>
            </w:r>
            <w:r w:rsidRPr="0053423A">
              <w:rPr>
                <w:rFonts w:ascii="GHEA Grapalat" w:eastAsia="Times New Roman" w:hAnsi="GHEA Grapalat"/>
                <w:bCs/>
                <w:lang w:val="ru-RU" w:eastAsia="ru-RU"/>
              </w:rPr>
              <w:softHyphen/>
              <w:t>նիզմների մշակման միջոցառումների (այսուհետ՝ միջոցառումներ) իրակա</w:t>
            </w:r>
            <w:r w:rsidRPr="0053423A">
              <w:rPr>
                <w:rFonts w:ascii="GHEA Grapalat" w:eastAsia="Times New Roman" w:hAnsi="GHEA Grapalat"/>
                <w:bCs/>
                <w:lang w:val="ru-RU" w:eastAsia="ru-RU"/>
              </w:rPr>
              <w:softHyphen/>
              <w:t>նացման անհրաժեշտությունը բխում է ՀՀ ԱԺ 2019 թվականի փետրվարի 14-ի ԱԺՈ-002-Ն որոշմամբ հավանության արժանացած ՀՀ կառավարության ծրագրից (5.10. Գյուղատնտեսությունը բաժին, 2-րդ պարբերություն), ՀՀ կառավա</w:t>
            </w:r>
            <w:r w:rsidRPr="0053423A">
              <w:rPr>
                <w:rFonts w:ascii="GHEA Grapalat" w:eastAsia="Times New Roman" w:hAnsi="GHEA Grapalat"/>
                <w:bCs/>
                <w:lang w:val="ru-RU" w:eastAsia="ru-RU"/>
              </w:rPr>
              <w:softHyphen/>
              <w:t>րության 2010 թվականի նոյեմ</w:t>
            </w:r>
            <w:r w:rsidRPr="0053423A">
              <w:rPr>
                <w:rFonts w:ascii="GHEA Grapalat" w:eastAsia="Times New Roman" w:hAnsi="GHEA Grapalat"/>
                <w:bCs/>
                <w:lang w:val="ru-RU" w:eastAsia="ru-RU"/>
              </w:rPr>
              <w:softHyphen/>
              <w:t>բերի 4-ի N 1476-Ն որոշ</w:t>
            </w:r>
            <w:r w:rsidRPr="0053423A">
              <w:rPr>
                <w:rFonts w:ascii="GHEA Grapalat" w:eastAsia="Times New Roman" w:hAnsi="GHEA Grapalat"/>
                <w:bCs/>
                <w:lang w:val="ru-RU" w:eastAsia="ru-RU"/>
              </w:rPr>
              <w:softHyphen/>
            </w:r>
            <w:r w:rsidRPr="0053423A">
              <w:rPr>
                <w:rFonts w:ascii="GHEA Grapalat" w:eastAsia="Times New Roman" w:hAnsi="GHEA Grapalat"/>
                <w:bCs/>
                <w:lang w:val="ru-RU" w:eastAsia="ru-RU"/>
              </w:rPr>
              <w:softHyphen/>
              <w:t>մամբ հաս</w:t>
            </w:r>
            <w:r w:rsidRPr="0053423A">
              <w:rPr>
                <w:rFonts w:ascii="GHEA Grapalat" w:eastAsia="Times New Roman" w:hAnsi="GHEA Grapalat"/>
                <w:bCs/>
                <w:lang w:val="ru-RU" w:eastAsia="ru-RU"/>
              </w:rPr>
              <w:softHyphen/>
              <w:t>տատ</w:t>
            </w:r>
            <w:r w:rsidRPr="0053423A">
              <w:rPr>
                <w:rFonts w:ascii="GHEA Grapalat" w:eastAsia="Times New Roman" w:hAnsi="GHEA Grapalat"/>
                <w:bCs/>
                <w:lang w:val="ru-RU" w:eastAsia="ru-RU"/>
              </w:rPr>
              <w:softHyphen/>
              <w:t>ված «Հայաստանի Հան</w:t>
            </w:r>
            <w:r w:rsidRPr="0053423A">
              <w:rPr>
                <w:rFonts w:ascii="GHEA Grapalat" w:eastAsia="Times New Roman" w:hAnsi="GHEA Grapalat"/>
                <w:bCs/>
                <w:lang w:val="ru-RU" w:eastAsia="ru-RU"/>
              </w:rPr>
              <w:softHyphen/>
              <w:t>րա</w:t>
            </w:r>
            <w:r w:rsidRPr="0053423A">
              <w:rPr>
                <w:rFonts w:ascii="GHEA Grapalat" w:eastAsia="Times New Roman" w:hAnsi="GHEA Grapalat"/>
                <w:bCs/>
                <w:lang w:val="ru-RU" w:eastAsia="ru-RU"/>
              </w:rPr>
              <w:softHyphen/>
              <w:t>պե</w:t>
            </w:r>
            <w:r w:rsidRPr="0053423A">
              <w:rPr>
                <w:rFonts w:ascii="GHEA Grapalat" w:eastAsia="Times New Roman" w:hAnsi="GHEA Grapalat"/>
                <w:bCs/>
                <w:lang w:val="ru-RU" w:eastAsia="ru-RU"/>
              </w:rPr>
              <w:softHyphen/>
              <w:t>տու</w:t>
            </w:r>
            <w:r w:rsidRPr="0053423A">
              <w:rPr>
                <w:rFonts w:ascii="GHEA Grapalat" w:eastAsia="Times New Roman" w:hAnsi="GHEA Grapalat"/>
                <w:bCs/>
                <w:lang w:val="ru-RU" w:eastAsia="ru-RU"/>
              </w:rPr>
              <w:softHyphen/>
              <w:t>թյան գյուղի և գյուղա</w:t>
            </w:r>
            <w:r w:rsidRPr="0053423A">
              <w:rPr>
                <w:rFonts w:ascii="GHEA Grapalat" w:eastAsia="Times New Roman" w:hAnsi="GHEA Grapalat"/>
                <w:bCs/>
                <w:lang w:val="ru-RU" w:eastAsia="ru-RU"/>
              </w:rPr>
              <w:softHyphen/>
              <w:t>տն</w:t>
            </w:r>
            <w:r w:rsidRPr="0053423A">
              <w:rPr>
                <w:rFonts w:ascii="GHEA Grapalat" w:eastAsia="Times New Roman" w:hAnsi="GHEA Grapalat"/>
                <w:bCs/>
                <w:lang w:val="ru-RU" w:eastAsia="ru-RU"/>
              </w:rPr>
              <w:softHyphen/>
              <w:t>տե</w:t>
            </w:r>
            <w:r w:rsidRPr="0053423A">
              <w:rPr>
                <w:rFonts w:ascii="GHEA Grapalat" w:eastAsia="Times New Roman" w:hAnsi="GHEA Grapalat"/>
                <w:bCs/>
                <w:lang w:val="ru-RU" w:eastAsia="ru-RU"/>
              </w:rPr>
              <w:softHyphen/>
              <w:t>սության 2010-2020 թվական</w:t>
            </w:r>
            <w:r w:rsidRPr="0053423A">
              <w:rPr>
                <w:rFonts w:ascii="GHEA Grapalat" w:eastAsia="Times New Roman" w:hAnsi="GHEA Grapalat"/>
                <w:bCs/>
                <w:lang w:val="ru-RU" w:eastAsia="ru-RU"/>
              </w:rPr>
              <w:softHyphen/>
              <w:t>ների կայուն զար</w:t>
            </w:r>
            <w:r w:rsidRPr="0053423A">
              <w:rPr>
                <w:rFonts w:ascii="GHEA Grapalat" w:eastAsia="Times New Roman" w:hAnsi="GHEA Grapalat"/>
                <w:bCs/>
                <w:lang w:val="ru-RU" w:eastAsia="ru-RU"/>
              </w:rPr>
              <w:softHyphen/>
              <w:t>գաց</w:t>
            </w:r>
            <w:r w:rsidRPr="0053423A">
              <w:rPr>
                <w:rFonts w:ascii="GHEA Grapalat" w:eastAsia="Times New Roman" w:hAnsi="GHEA Grapalat"/>
                <w:bCs/>
                <w:lang w:val="ru-RU" w:eastAsia="ru-RU"/>
              </w:rPr>
              <w:softHyphen/>
              <w:t>ման ռազ</w:t>
            </w:r>
            <w:r w:rsidRPr="0053423A">
              <w:rPr>
                <w:rFonts w:ascii="GHEA Grapalat" w:eastAsia="Times New Roman" w:hAnsi="GHEA Grapalat"/>
                <w:bCs/>
                <w:lang w:val="ru-RU" w:eastAsia="ru-RU"/>
              </w:rPr>
              <w:softHyphen/>
              <w:t>մավարու</w:t>
            </w:r>
            <w:r w:rsidRPr="0053423A">
              <w:rPr>
                <w:rFonts w:ascii="GHEA Grapalat" w:eastAsia="Times New Roman" w:hAnsi="GHEA Grapalat"/>
                <w:bCs/>
                <w:lang w:val="ru-RU" w:eastAsia="ru-RU"/>
              </w:rPr>
              <w:softHyphen/>
              <w:t>թյու</w:t>
            </w:r>
            <w:r w:rsidRPr="0053423A">
              <w:rPr>
                <w:rFonts w:ascii="GHEA Grapalat" w:eastAsia="Times New Roman" w:hAnsi="GHEA Grapalat"/>
                <w:bCs/>
                <w:lang w:val="ru-RU" w:eastAsia="ru-RU"/>
              </w:rPr>
              <w:softHyphen/>
              <w:t>նից» (III բա</w:t>
            </w:r>
            <w:r w:rsidRPr="0053423A">
              <w:rPr>
                <w:rFonts w:ascii="GHEA Grapalat" w:eastAsia="Times New Roman" w:hAnsi="GHEA Grapalat"/>
                <w:bCs/>
                <w:lang w:val="ru-RU" w:eastAsia="ru-RU"/>
              </w:rPr>
              <w:softHyphen/>
              <w:t>ժին կետ 38.5, V բա</w:t>
            </w:r>
            <w:r w:rsidRPr="0053423A">
              <w:rPr>
                <w:rFonts w:ascii="GHEA Grapalat" w:eastAsia="Times New Roman" w:hAnsi="GHEA Grapalat"/>
                <w:bCs/>
                <w:lang w:val="ru-RU" w:eastAsia="ru-RU"/>
              </w:rPr>
              <w:softHyphen/>
              <w:t>ժին կետ 62) և ՀՀ կառավարության 2014 թվականի մարտի 27-ի N 442-Ն որոշմամբ հաստատված` «Հայաստանի Հանրապետության 2014-2025 թվականների հեռանկարային զարգաց</w:t>
            </w:r>
            <w:r w:rsidRPr="0053423A">
              <w:rPr>
                <w:rFonts w:ascii="GHEA Grapalat" w:eastAsia="Times New Roman" w:hAnsi="GHEA Grapalat"/>
                <w:bCs/>
                <w:lang w:val="ru-RU" w:eastAsia="ru-RU"/>
              </w:rPr>
              <w:softHyphen/>
              <w:t>ման ծրագրից» (9.4. Գյուղատնտեսությունը և գյուղի զարգացումը, կետեր 218.1, 220, 221)։</w:t>
            </w:r>
          </w:p>
          <w:p w:rsidR="00530B14" w:rsidRPr="0053423A" w:rsidRDefault="00530B14" w:rsidP="00A67858">
            <w:pPr>
              <w:spacing w:line="276" w:lineRule="auto"/>
              <w:ind w:firstLine="567"/>
              <w:jc w:val="both"/>
              <w:rPr>
                <w:bCs/>
              </w:rPr>
            </w:pPr>
            <w:r w:rsidRPr="0053423A">
              <w:rPr>
                <w:bCs/>
              </w:rPr>
              <w:t>Միջոցառման իրականացման հիմնական նպատակը գյուղատնտեսական նշանակության հողերի օգտագործման արդյունավետության բարձրացումն է, չմշակվող հողատարածքները գյուղատնտեսական շրջանառության մեջ վերադարձնելը:</w:t>
            </w:r>
          </w:p>
          <w:p w:rsidR="00530B14" w:rsidRPr="0053423A" w:rsidRDefault="00530B14" w:rsidP="00A67858">
            <w:pPr>
              <w:tabs>
                <w:tab w:val="left" w:pos="567"/>
              </w:tabs>
              <w:spacing w:line="276" w:lineRule="auto"/>
              <w:jc w:val="both"/>
              <w:rPr>
                <w:b/>
                <w:bCs/>
              </w:rPr>
            </w:pPr>
            <w:r w:rsidRPr="0053423A">
              <w:rPr>
                <w:b/>
                <w:bCs/>
              </w:rPr>
              <w:tab/>
              <w:t>1.1. Կարգավորման հարաբերությունների ներկա վիճակը և առկա խնդիրները</w:t>
            </w:r>
          </w:p>
          <w:p w:rsidR="00530B14" w:rsidRPr="0053423A" w:rsidRDefault="00530B14" w:rsidP="00A67858">
            <w:pPr>
              <w:tabs>
                <w:tab w:val="left" w:pos="9923"/>
              </w:tabs>
              <w:spacing w:line="276" w:lineRule="auto"/>
              <w:ind w:firstLine="567"/>
              <w:jc w:val="both"/>
              <w:rPr>
                <w:bCs/>
              </w:rPr>
            </w:pPr>
            <w:r w:rsidRPr="0053423A">
              <w:rPr>
                <w:bCs/>
              </w:rPr>
              <w:t>Հողերի չօգտագործման կարևոր հիմնախնդիրներից մեկը` ցածր եկամտաբերու</w:t>
            </w:r>
            <w:r w:rsidRPr="0053423A">
              <w:rPr>
                <w:bCs/>
              </w:rPr>
              <w:softHyphen/>
              <w:t>թյունը, ի թիվս այլ պատճառների, պայմանավորված է հողերի մասնատվածությամբ:</w:t>
            </w:r>
          </w:p>
          <w:p w:rsidR="00530B14" w:rsidRPr="0053423A" w:rsidRDefault="00530B14" w:rsidP="00A67858">
            <w:pPr>
              <w:tabs>
                <w:tab w:val="left" w:pos="567"/>
              </w:tabs>
              <w:spacing w:line="276" w:lineRule="auto"/>
              <w:jc w:val="both"/>
              <w:rPr>
                <w:b/>
                <w:bCs/>
              </w:rPr>
            </w:pPr>
            <w:r w:rsidRPr="0053423A">
              <w:rPr>
                <w:b/>
                <w:bCs/>
              </w:rPr>
              <w:tab/>
              <w:t>1.2. Առկա խնդիրների առաջարկվող լուծումները</w:t>
            </w:r>
          </w:p>
          <w:p w:rsidR="00530B14" w:rsidRPr="0053423A" w:rsidRDefault="00530B14" w:rsidP="00A67858">
            <w:pPr>
              <w:pStyle w:val="BodyTextIndent"/>
              <w:spacing w:after="0" w:line="276" w:lineRule="auto"/>
              <w:ind w:left="0" w:firstLine="567"/>
              <w:jc w:val="both"/>
              <w:rPr>
                <w:rFonts w:ascii="GHEA Grapalat" w:hAnsi="GHEA Grapalat"/>
                <w:bCs/>
                <w:sz w:val="20"/>
                <w:szCs w:val="20"/>
                <w:lang w:val="ru-RU" w:eastAsia="ru-RU"/>
              </w:rPr>
            </w:pPr>
            <w:r w:rsidRPr="0053423A">
              <w:rPr>
                <w:rFonts w:ascii="GHEA Grapalat" w:hAnsi="GHEA Grapalat"/>
                <w:bCs/>
                <w:sz w:val="20"/>
                <w:szCs w:val="20"/>
                <w:lang w:val="ru-RU" w:eastAsia="ru-RU"/>
              </w:rPr>
              <w:t>Համաշխարհային փորձը ցույց է տալիս, որ հողերի միավորման հստակ բա</w:t>
            </w:r>
            <w:r w:rsidRPr="0053423A">
              <w:rPr>
                <w:rFonts w:ascii="GHEA Grapalat" w:hAnsi="GHEA Grapalat"/>
                <w:bCs/>
                <w:sz w:val="20"/>
                <w:szCs w:val="20"/>
                <w:lang w:val="ru-RU" w:eastAsia="ru-RU"/>
              </w:rPr>
              <w:softHyphen/>
              <w:t>նաձևեր ու մեխանիզմներ չկան, և տարբեր երկրներում այս գործընթացներն իրա</w:t>
            </w:r>
            <w:r w:rsidRPr="0053423A">
              <w:rPr>
                <w:rFonts w:ascii="GHEA Grapalat" w:hAnsi="GHEA Grapalat"/>
                <w:bCs/>
                <w:sz w:val="20"/>
                <w:szCs w:val="20"/>
                <w:lang w:val="ru-RU" w:eastAsia="ru-RU"/>
              </w:rPr>
              <w:softHyphen/>
              <w:t>կա</w:t>
            </w:r>
            <w:r w:rsidRPr="0053423A">
              <w:rPr>
                <w:rFonts w:ascii="GHEA Grapalat" w:hAnsi="GHEA Grapalat"/>
                <w:bCs/>
                <w:sz w:val="20"/>
                <w:szCs w:val="20"/>
                <w:lang w:val="ru-RU" w:eastAsia="ru-RU"/>
              </w:rPr>
              <w:softHyphen/>
              <w:t>նացվում են տեղական առանձնահատկությունների ու ձևավորված փորձի հիման վրա, պետության կամ մասնավոր ընկերությունների կողմից, որոշ երկրներում կիրառ</w:t>
            </w:r>
            <w:r w:rsidRPr="0053423A">
              <w:rPr>
                <w:rFonts w:ascii="GHEA Grapalat" w:hAnsi="GHEA Grapalat"/>
                <w:bCs/>
                <w:sz w:val="20"/>
                <w:szCs w:val="20"/>
                <w:lang w:val="ru-RU" w:eastAsia="ru-RU"/>
              </w:rPr>
              <w:softHyphen/>
              <w:t>վում է հողերի միավորման կամավորության, այլ երկրներում` պարտադրման սկզբուն</w:t>
            </w:r>
            <w:r w:rsidRPr="0053423A">
              <w:rPr>
                <w:rFonts w:ascii="GHEA Grapalat" w:hAnsi="GHEA Grapalat"/>
                <w:bCs/>
                <w:sz w:val="20"/>
                <w:szCs w:val="20"/>
                <w:lang w:val="ru-RU" w:eastAsia="ru-RU"/>
              </w:rPr>
              <w:softHyphen/>
              <w:t>քը:</w:t>
            </w:r>
          </w:p>
          <w:p w:rsidR="00530B14" w:rsidRPr="0053423A" w:rsidRDefault="00530B14" w:rsidP="00A67858">
            <w:pPr>
              <w:pStyle w:val="BodyTextIndent"/>
              <w:spacing w:after="0" w:line="276" w:lineRule="auto"/>
              <w:ind w:left="0" w:firstLine="567"/>
              <w:jc w:val="both"/>
              <w:rPr>
                <w:rFonts w:ascii="GHEA Grapalat" w:hAnsi="GHEA Grapalat"/>
                <w:bCs/>
                <w:sz w:val="20"/>
                <w:szCs w:val="20"/>
                <w:lang w:val="ru-RU" w:eastAsia="ru-RU"/>
              </w:rPr>
            </w:pPr>
            <w:r w:rsidRPr="0053423A">
              <w:rPr>
                <w:rFonts w:ascii="GHEA Grapalat" w:hAnsi="GHEA Grapalat"/>
                <w:bCs/>
                <w:sz w:val="20"/>
                <w:szCs w:val="20"/>
                <w:lang w:val="ru-RU" w:eastAsia="ru-RU"/>
              </w:rPr>
              <w:t xml:space="preserve">Առաջարկվում է մշակել և ընդունել գյուղատնտեսական նշանակության հողերի կոնսոլիդացման ծրագրի նախագիծ: </w:t>
            </w:r>
          </w:p>
          <w:p w:rsidR="00530B14" w:rsidRPr="0053423A" w:rsidRDefault="00530B14" w:rsidP="00A67858">
            <w:pPr>
              <w:tabs>
                <w:tab w:val="left" w:pos="-3780"/>
              </w:tabs>
              <w:spacing w:line="276" w:lineRule="auto"/>
              <w:ind w:firstLine="567"/>
              <w:jc w:val="both"/>
              <w:rPr>
                <w:b/>
                <w:bCs/>
              </w:rPr>
            </w:pPr>
            <w:r w:rsidRPr="0053423A">
              <w:rPr>
                <w:b/>
                <w:bCs/>
              </w:rPr>
              <w:t>2. Միջոցառման իրականացումից ակնկալվող արդյունքը</w:t>
            </w:r>
          </w:p>
          <w:p w:rsidR="00530B14" w:rsidRPr="0053423A" w:rsidRDefault="00530B14" w:rsidP="00A67858">
            <w:pPr>
              <w:tabs>
                <w:tab w:val="left" w:pos="9923"/>
              </w:tabs>
              <w:spacing w:line="276" w:lineRule="auto"/>
              <w:ind w:firstLine="562"/>
              <w:jc w:val="both"/>
              <w:rPr>
                <w:bCs/>
              </w:rPr>
            </w:pPr>
            <w:r w:rsidRPr="0053423A">
              <w:rPr>
                <w:bCs/>
              </w:rPr>
              <w:t>Գյուղատնտեսական նշանակության հողերի կոնսոլիդացման ծրագրի իրականացմամբ մասնատված հողերը միավորման ու խոշորացման արդյունքում կօգտա</w:t>
            </w:r>
            <w:r w:rsidRPr="0053423A">
              <w:rPr>
                <w:bCs/>
              </w:rPr>
              <w:softHyphen/>
              <w:t>գործվեն առավել արդյունավետ, կբարձրանա դրանց եկամտաբերությունը:</w:t>
            </w:r>
          </w:p>
          <w:p w:rsidR="00530B14" w:rsidRPr="0053423A" w:rsidRDefault="00530B14" w:rsidP="00A67858">
            <w:pPr>
              <w:pStyle w:val="BodyTextIndent"/>
              <w:spacing w:after="0" w:line="276" w:lineRule="auto"/>
              <w:ind w:left="0" w:firstLine="562"/>
              <w:jc w:val="both"/>
              <w:rPr>
                <w:rFonts w:ascii="GHEA Grapalat" w:hAnsi="GHEA Grapalat"/>
                <w:bCs/>
                <w:sz w:val="20"/>
                <w:szCs w:val="20"/>
                <w:lang w:val="ru-RU" w:eastAsia="ru-RU"/>
              </w:rPr>
            </w:pPr>
            <w:r w:rsidRPr="0053423A">
              <w:rPr>
                <w:rFonts w:ascii="GHEA Grapalat" w:hAnsi="GHEA Grapalat"/>
                <w:bCs/>
                <w:sz w:val="20"/>
                <w:szCs w:val="20"/>
                <w:lang w:val="ru-RU" w:eastAsia="ru-RU"/>
              </w:rPr>
              <w:t>Գյուղա</w:t>
            </w:r>
            <w:r w:rsidRPr="0053423A">
              <w:rPr>
                <w:rFonts w:ascii="GHEA Grapalat" w:hAnsi="GHEA Grapalat"/>
                <w:bCs/>
                <w:sz w:val="20"/>
                <w:szCs w:val="20"/>
                <w:lang w:val="ru-RU" w:eastAsia="ru-RU"/>
              </w:rPr>
              <w:softHyphen/>
            </w:r>
            <w:r w:rsidRPr="0053423A">
              <w:rPr>
                <w:rFonts w:ascii="GHEA Grapalat" w:hAnsi="GHEA Grapalat"/>
                <w:bCs/>
                <w:sz w:val="20"/>
                <w:szCs w:val="20"/>
                <w:lang w:val="ru-RU" w:eastAsia="ru-RU"/>
              </w:rPr>
              <w:softHyphen/>
              <w:t>տնտեսական նշանա</w:t>
            </w:r>
            <w:r w:rsidRPr="0053423A">
              <w:rPr>
                <w:rFonts w:ascii="GHEA Grapalat" w:hAnsi="GHEA Grapalat"/>
                <w:bCs/>
                <w:sz w:val="20"/>
                <w:szCs w:val="20"/>
                <w:lang w:val="ru-RU" w:eastAsia="ru-RU"/>
              </w:rPr>
              <w:softHyphen/>
              <w:t>կության հողերի նպատակային օգտագործման արդյու</w:t>
            </w:r>
            <w:r w:rsidRPr="0053423A">
              <w:rPr>
                <w:rFonts w:ascii="GHEA Grapalat" w:hAnsi="GHEA Grapalat"/>
                <w:bCs/>
                <w:sz w:val="20"/>
                <w:szCs w:val="20"/>
                <w:lang w:val="ru-RU" w:eastAsia="ru-RU"/>
              </w:rPr>
              <w:softHyphen/>
            </w:r>
            <w:r w:rsidRPr="0053423A">
              <w:rPr>
                <w:rFonts w:ascii="GHEA Grapalat" w:hAnsi="GHEA Grapalat"/>
                <w:bCs/>
                <w:sz w:val="20"/>
                <w:szCs w:val="20"/>
                <w:lang w:val="ru-RU" w:eastAsia="ru-RU"/>
              </w:rPr>
              <w:softHyphen/>
            </w:r>
            <w:r w:rsidRPr="0053423A">
              <w:rPr>
                <w:rFonts w:ascii="GHEA Grapalat" w:hAnsi="GHEA Grapalat"/>
                <w:bCs/>
                <w:sz w:val="20"/>
                <w:szCs w:val="20"/>
                <w:lang w:val="ru-RU" w:eastAsia="ru-RU"/>
              </w:rPr>
              <w:softHyphen/>
              <w:t>նավետության բարձրացմանը միտված՝ վերը նշված միջոցառումների իրա</w:t>
            </w:r>
            <w:r w:rsidRPr="0053423A">
              <w:rPr>
                <w:rFonts w:ascii="GHEA Grapalat" w:hAnsi="GHEA Grapalat"/>
                <w:bCs/>
                <w:sz w:val="20"/>
                <w:szCs w:val="20"/>
                <w:lang w:val="ru-RU" w:eastAsia="ru-RU"/>
              </w:rPr>
              <w:softHyphen/>
              <w:t>կա</w:t>
            </w:r>
            <w:r w:rsidRPr="0053423A">
              <w:rPr>
                <w:rFonts w:ascii="GHEA Grapalat" w:hAnsi="GHEA Grapalat"/>
                <w:bCs/>
                <w:sz w:val="20"/>
                <w:szCs w:val="20"/>
                <w:lang w:val="ru-RU" w:eastAsia="ru-RU"/>
              </w:rPr>
              <w:softHyphen/>
              <w:t>նացման արդյունքում ակնկալվում է հողօգտագործման արդյունավետության բարձ</w:t>
            </w:r>
            <w:r w:rsidRPr="0053423A">
              <w:rPr>
                <w:rFonts w:ascii="GHEA Grapalat" w:hAnsi="GHEA Grapalat"/>
                <w:bCs/>
                <w:sz w:val="20"/>
                <w:szCs w:val="20"/>
                <w:lang w:val="ru-RU" w:eastAsia="ru-RU"/>
              </w:rPr>
              <w:softHyphen/>
              <w:t>րացում, հողի շուկայի և գործարար միջավայրի բարելավում, ներդրումային գրավ</w:t>
            </w:r>
            <w:r w:rsidRPr="0053423A">
              <w:rPr>
                <w:rFonts w:ascii="GHEA Grapalat" w:hAnsi="GHEA Grapalat"/>
                <w:bCs/>
                <w:sz w:val="20"/>
                <w:szCs w:val="20"/>
                <w:lang w:val="ru-RU" w:eastAsia="ru-RU"/>
              </w:rPr>
              <w:softHyphen/>
              <w:t>չության բարձրացում, վարելահողերի շուրջ 80% նպատակային օգտագործում:</w:t>
            </w:r>
          </w:p>
          <w:p w:rsidR="00530B14" w:rsidRPr="0053423A" w:rsidRDefault="00530B14" w:rsidP="00A67858">
            <w:pPr>
              <w:tabs>
                <w:tab w:val="left" w:pos="9923"/>
              </w:tabs>
              <w:spacing w:line="276" w:lineRule="auto"/>
              <w:jc w:val="center"/>
              <w:rPr>
                <w:b/>
                <w:bCs/>
              </w:rPr>
            </w:pPr>
          </w:p>
          <w:p w:rsidR="00530B14" w:rsidRPr="0053423A" w:rsidRDefault="00530B14" w:rsidP="00A67858">
            <w:pPr>
              <w:tabs>
                <w:tab w:val="left" w:pos="9923"/>
              </w:tabs>
              <w:spacing w:line="276" w:lineRule="auto"/>
              <w:ind w:firstLine="540"/>
              <w:jc w:val="center"/>
              <w:rPr>
                <w:b/>
                <w:bCs/>
                <w:u w:val="single"/>
              </w:rPr>
            </w:pPr>
            <w:r w:rsidRPr="0053423A">
              <w:rPr>
                <w:b/>
                <w:bCs/>
                <w:u w:val="single"/>
              </w:rPr>
              <w:t>1.4 Գյուղատնտեսության ոլորտում պետական աջակ</w:t>
            </w:r>
            <w:r w:rsidRPr="0053423A">
              <w:rPr>
                <w:b/>
                <w:bCs/>
                <w:u w:val="single"/>
              </w:rPr>
              <w:softHyphen/>
              <w:t>ցության ծրագրերից օգտվող տնտեսավարողների ռեգիստրի ձևավորում</w:t>
            </w:r>
          </w:p>
          <w:p w:rsidR="00530B14" w:rsidRPr="0053423A" w:rsidRDefault="00530B14" w:rsidP="00A67858">
            <w:pPr>
              <w:tabs>
                <w:tab w:val="left" w:pos="9923"/>
              </w:tabs>
              <w:spacing w:line="276" w:lineRule="auto"/>
              <w:ind w:firstLine="540"/>
              <w:jc w:val="both"/>
              <w:rPr>
                <w:b/>
                <w:bCs/>
              </w:rPr>
            </w:pPr>
          </w:p>
          <w:p w:rsidR="00530B14" w:rsidRPr="0053423A" w:rsidRDefault="00530B14" w:rsidP="00A67858">
            <w:pPr>
              <w:tabs>
                <w:tab w:val="left" w:pos="567"/>
              </w:tabs>
              <w:spacing w:line="276" w:lineRule="auto"/>
              <w:ind w:firstLine="567"/>
              <w:jc w:val="both"/>
              <w:rPr>
                <w:b/>
                <w:bCs/>
              </w:rPr>
            </w:pPr>
            <w:r w:rsidRPr="0053423A">
              <w:rPr>
                <w:b/>
                <w:bCs/>
              </w:rPr>
              <w:t>1. Միջոցառման իրականացման անհրաժեշտությունը և նպատակը</w:t>
            </w:r>
          </w:p>
          <w:p w:rsidR="00530B14" w:rsidRPr="0053423A" w:rsidRDefault="00530B14" w:rsidP="00A67858">
            <w:pPr>
              <w:pStyle w:val="BodyTextIndent2"/>
              <w:spacing w:after="0" w:line="276" w:lineRule="auto"/>
              <w:ind w:left="0" w:firstLine="567"/>
              <w:jc w:val="both"/>
              <w:rPr>
                <w:rFonts w:ascii="GHEA Grapalat" w:eastAsia="Times New Roman" w:hAnsi="GHEA Grapalat"/>
                <w:bCs/>
                <w:lang w:val="ru-RU" w:eastAsia="ru-RU"/>
              </w:rPr>
            </w:pPr>
            <w:r w:rsidRPr="0053423A">
              <w:rPr>
                <w:rFonts w:ascii="GHEA Grapalat" w:eastAsia="Times New Roman" w:hAnsi="GHEA Grapalat"/>
                <w:bCs/>
                <w:lang w:val="ru-RU" w:eastAsia="ru-RU"/>
              </w:rPr>
              <w:t>Միջոցառումների իրականացման անհրաժեշտությունը բխում է ՀՀ ԱԺ 2019 թվականի փետրվարի 14-ի ԱԺՈ-002-Ն որոշմամբ հավանության արժանացած ՀՀ կառավարության ծրագրից (5.10. Գյուղատնտեսությունը բաժին, 2-րդ պարբերություն):</w:t>
            </w:r>
          </w:p>
          <w:p w:rsidR="00530B14" w:rsidRPr="0053423A" w:rsidRDefault="00530B14" w:rsidP="00A67858">
            <w:pPr>
              <w:spacing w:line="276" w:lineRule="auto"/>
              <w:ind w:firstLine="567"/>
              <w:jc w:val="both"/>
              <w:rPr>
                <w:bCs/>
              </w:rPr>
            </w:pPr>
            <w:r w:rsidRPr="0053423A">
              <w:rPr>
                <w:bCs/>
              </w:rPr>
              <w:t xml:space="preserve">Միջոցառումների իրականացման հիմնական նպատակը գյուղացիկան տնտեսությունների գործունեության վերաբերյալ տեղեկատվական շտեմարանի ստեղծումն է: </w:t>
            </w:r>
          </w:p>
          <w:p w:rsidR="00530B14" w:rsidRPr="0053423A" w:rsidRDefault="00530B14" w:rsidP="00A67858">
            <w:pPr>
              <w:tabs>
                <w:tab w:val="left" w:pos="567"/>
              </w:tabs>
              <w:spacing w:line="276" w:lineRule="auto"/>
              <w:jc w:val="both"/>
              <w:rPr>
                <w:b/>
                <w:bCs/>
              </w:rPr>
            </w:pPr>
            <w:r w:rsidRPr="0053423A">
              <w:rPr>
                <w:b/>
                <w:bCs/>
              </w:rPr>
              <w:tab/>
              <w:t>1.1. Կարգավորման հարաբերությունների ներկա վիճակը և առկա խնդիրները</w:t>
            </w:r>
          </w:p>
          <w:p w:rsidR="00530B14" w:rsidRPr="0053423A" w:rsidRDefault="00530B14" w:rsidP="00A67858">
            <w:pPr>
              <w:spacing w:line="276" w:lineRule="auto"/>
              <w:ind w:firstLine="567"/>
              <w:jc w:val="both"/>
              <w:rPr>
                <w:bCs/>
              </w:rPr>
            </w:pPr>
            <w:r w:rsidRPr="0053423A">
              <w:rPr>
                <w:bCs/>
              </w:rPr>
              <w:t>Ագրարային քաղաքականության իրականացման և արդյունքների գնահատման հիմնական խնդիրներից մեկը տնտեսավարողների գործունեության վերաբերյալ տեղեկատվության պակասն է, որը թույլ չի տալիս ծրագրային բարեփոխումներ իրա</w:t>
            </w:r>
            <w:r w:rsidRPr="0053423A">
              <w:rPr>
                <w:bCs/>
              </w:rPr>
              <w:softHyphen/>
              <w:t>կանացնելիս արդյունավետ որոշումներ կայացնել։</w:t>
            </w:r>
          </w:p>
          <w:p w:rsidR="00530B14" w:rsidRPr="0053423A" w:rsidRDefault="00530B14" w:rsidP="00A67858">
            <w:pPr>
              <w:tabs>
                <w:tab w:val="left" w:pos="567"/>
              </w:tabs>
              <w:spacing w:line="276" w:lineRule="auto"/>
              <w:jc w:val="both"/>
              <w:rPr>
                <w:b/>
                <w:bCs/>
              </w:rPr>
            </w:pPr>
            <w:r w:rsidRPr="0053423A">
              <w:rPr>
                <w:b/>
                <w:bCs/>
              </w:rPr>
              <w:tab/>
              <w:t>1.2. Առկա խնդիրների առաջարկվող լուծումները</w:t>
            </w:r>
          </w:p>
          <w:p w:rsidR="00530B14" w:rsidRPr="0053423A" w:rsidRDefault="00530B14" w:rsidP="00A67858">
            <w:pPr>
              <w:pStyle w:val="BodyTextIndent"/>
              <w:spacing w:after="0" w:line="276" w:lineRule="auto"/>
              <w:ind w:left="0" w:firstLine="567"/>
              <w:jc w:val="both"/>
              <w:rPr>
                <w:rFonts w:ascii="GHEA Grapalat" w:hAnsi="GHEA Grapalat"/>
                <w:bCs/>
                <w:sz w:val="20"/>
                <w:szCs w:val="20"/>
                <w:lang w:val="ru-RU" w:eastAsia="ru-RU"/>
              </w:rPr>
            </w:pPr>
            <w:r w:rsidRPr="0053423A">
              <w:rPr>
                <w:rFonts w:ascii="GHEA Grapalat" w:hAnsi="GHEA Grapalat"/>
                <w:bCs/>
                <w:sz w:val="20"/>
                <w:szCs w:val="20"/>
                <w:lang w:val="ru-RU" w:eastAsia="ru-RU"/>
              </w:rPr>
              <w:t>Միջազգային փորձը ցույց է տալիս, որ ֆերմերային ռեգիստրների ձևավորումը հնարավորություն է տալիս տեղեկատվություն ստանալ պետական աջակցություն ստացած բոլոր տնտեսությունների վերաբերյալ։ Այս առումով առաջարկվում է ստեղծել ֆերմերների գրանցման համակարգ, որում կզետեղվի տեղեկատվություն գյուղա</w:t>
            </w:r>
            <w:r w:rsidRPr="0053423A">
              <w:rPr>
                <w:rFonts w:ascii="GHEA Grapalat" w:hAnsi="GHEA Grapalat"/>
                <w:bCs/>
                <w:sz w:val="20"/>
                <w:szCs w:val="20"/>
                <w:lang w:val="ru-RU" w:eastAsia="ru-RU"/>
              </w:rPr>
              <w:softHyphen/>
              <w:t>ցիա</w:t>
            </w:r>
            <w:r w:rsidRPr="0053423A">
              <w:rPr>
                <w:rFonts w:ascii="GHEA Grapalat" w:hAnsi="GHEA Grapalat"/>
                <w:bCs/>
                <w:sz w:val="20"/>
                <w:szCs w:val="20"/>
                <w:lang w:val="ru-RU" w:eastAsia="ru-RU"/>
              </w:rPr>
              <w:softHyphen/>
              <w:t>կան տնտեսությունների ընդհանուր տնտեսական գործունեության փոփոխության վերաբերյալ, ինչպես նաև կներդրվի կենդանիների համարակալման և հաշվառման համակարգ։</w:t>
            </w:r>
          </w:p>
          <w:p w:rsidR="00530B14" w:rsidRPr="0053423A" w:rsidRDefault="00530B14" w:rsidP="00A67858">
            <w:pPr>
              <w:tabs>
                <w:tab w:val="left" w:pos="567"/>
              </w:tabs>
              <w:spacing w:line="276" w:lineRule="auto"/>
              <w:jc w:val="both"/>
              <w:rPr>
                <w:b/>
                <w:bCs/>
              </w:rPr>
            </w:pPr>
            <w:r w:rsidRPr="0053423A">
              <w:rPr>
                <w:b/>
                <w:bCs/>
              </w:rPr>
              <w:tab/>
              <w:t>2. Միջոցառման իրականացումից ակնկալվող արդյունքը</w:t>
            </w:r>
          </w:p>
          <w:p w:rsidR="00530B14" w:rsidRPr="0053423A" w:rsidRDefault="00530B14" w:rsidP="00A67858">
            <w:pPr>
              <w:tabs>
                <w:tab w:val="left" w:pos="567"/>
              </w:tabs>
              <w:spacing w:line="276" w:lineRule="auto"/>
              <w:jc w:val="both"/>
              <w:rPr>
                <w:bCs/>
              </w:rPr>
            </w:pPr>
            <w:r w:rsidRPr="0053423A">
              <w:rPr>
                <w:b/>
                <w:bCs/>
              </w:rPr>
              <w:tab/>
            </w:r>
            <w:r w:rsidRPr="0053423A">
              <w:rPr>
                <w:bCs/>
              </w:rPr>
              <w:t xml:space="preserve">Միջոցառման իրականացումը հնարավորություն կտա տիրապետելու տնտեսավարողների գործունեության վերաբերյալ հստակ տեղեկատվության, որը կբարձրացնի պետական կառավարման որոշումների կայացման արդյունավետությունը։ </w:t>
            </w:r>
          </w:p>
        </w:tc>
      </w:tr>
      <w:tr w:rsidR="00530B14" w:rsidRPr="00DE2EFA" w:rsidTr="004440EB">
        <w:tc>
          <w:tcPr>
            <w:tcW w:w="480" w:type="dxa"/>
          </w:tcPr>
          <w:p w:rsidR="00530B14" w:rsidRPr="0053423A" w:rsidRDefault="00530B14" w:rsidP="00A67858">
            <w:pPr>
              <w:spacing w:line="276" w:lineRule="auto"/>
              <w:jc w:val="right"/>
              <w:rPr>
                <w:bCs/>
                <w:iCs/>
                <w:lang w:val="hy-AM"/>
              </w:rPr>
            </w:pPr>
            <w:r w:rsidRPr="0053423A">
              <w:rPr>
                <w:bCs/>
                <w:iCs/>
                <w:lang w:val="hy-AM"/>
              </w:rPr>
              <w:t>2.</w:t>
            </w:r>
          </w:p>
        </w:tc>
        <w:tc>
          <w:tcPr>
            <w:tcW w:w="10879" w:type="dxa"/>
          </w:tcPr>
          <w:p w:rsidR="00530B14" w:rsidRPr="0053423A" w:rsidRDefault="00530B14" w:rsidP="00A67858">
            <w:pPr>
              <w:spacing w:line="276" w:lineRule="auto"/>
              <w:jc w:val="center"/>
              <w:rPr>
                <w:b/>
                <w:lang w:val="hy-AM"/>
              </w:rPr>
            </w:pPr>
            <w:r w:rsidRPr="0053423A">
              <w:rPr>
                <w:b/>
                <w:lang w:val="hy-AM"/>
              </w:rPr>
              <w:t>Գյուղատնտեսության ոլորտում նոր տեխնո</w:t>
            </w:r>
            <w:r w:rsidRPr="0053423A">
              <w:rPr>
                <w:b/>
                <w:lang w:val="hy-AM"/>
              </w:rPr>
              <w:softHyphen/>
              <w:t>լոգիաների կիրառում</w:t>
            </w:r>
          </w:p>
          <w:p w:rsidR="00530B14" w:rsidRPr="0053423A" w:rsidRDefault="00530B14" w:rsidP="00A67858">
            <w:pPr>
              <w:spacing w:line="276" w:lineRule="auto"/>
              <w:jc w:val="center"/>
              <w:rPr>
                <w:b/>
                <w:lang w:val="hy-AM"/>
              </w:rPr>
            </w:pPr>
          </w:p>
          <w:p w:rsidR="00530B14" w:rsidRPr="0053423A" w:rsidRDefault="00530B14" w:rsidP="00A67858">
            <w:pPr>
              <w:tabs>
                <w:tab w:val="left" w:pos="9923"/>
              </w:tabs>
              <w:spacing w:line="276" w:lineRule="auto"/>
              <w:jc w:val="center"/>
              <w:rPr>
                <w:b/>
                <w:u w:val="single"/>
                <w:lang w:val="hy-AM"/>
              </w:rPr>
            </w:pPr>
            <w:r w:rsidRPr="0053423A">
              <w:rPr>
                <w:b/>
                <w:u w:val="single"/>
                <w:lang w:val="hy-AM"/>
              </w:rPr>
              <w:t>2.1 Ոռոգման արդիական համակարգերի ներդրման համաֆինանսավորման ծրագրի իրականացում</w:t>
            </w:r>
          </w:p>
          <w:p w:rsidR="00530B14" w:rsidRPr="0053423A" w:rsidRDefault="00530B14" w:rsidP="00A67858">
            <w:pPr>
              <w:tabs>
                <w:tab w:val="left" w:pos="567"/>
                <w:tab w:val="left" w:pos="9923"/>
              </w:tabs>
              <w:spacing w:line="276" w:lineRule="auto"/>
              <w:ind w:firstLine="567"/>
              <w:jc w:val="both"/>
              <w:rPr>
                <w:b/>
                <w:lang w:val="hy-AM"/>
              </w:rPr>
            </w:pPr>
            <w:r w:rsidRPr="0053423A">
              <w:rPr>
                <w:b/>
                <w:lang w:val="hy-AM"/>
              </w:rPr>
              <w:t xml:space="preserve">1. Միջոցառման իրականացման անհրաժեշտությունը և նպատակը </w:t>
            </w:r>
          </w:p>
          <w:p w:rsidR="00530B14" w:rsidRPr="0053423A" w:rsidRDefault="00530B14" w:rsidP="00A67858">
            <w:pPr>
              <w:pStyle w:val="BodyTextIndent2"/>
              <w:tabs>
                <w:tab w:val="left" w:pos="9923"/>
              </w:tabs>
              <w:spacing w:after="0" w:line="276" w:lineRule="auto"/>
              <w:ind w:left="0" w:firstLine="567"/>
              <w:jc w:val="both"/>
              <w:rPr>
                <w:rFonts w:ascii="GHEA Grapalat" w:eastAsiaTheme="minorHAnsi" w:hAnsi="GHEA Grapalat" w:cstheme="minorBidi"/>
                <w:lang w:val="hy-AM"/>
              </w:rPr>
            </w:pPr>
            <w:r w:rsidRPr="0053423A">
              <w:rPr>
                <w:rFonts w:ascii="GHEA Grapalat" w:eastAsiaTheme="minorHAnsi" w:hAnsi="GHEA Grapalat" w:cstheme="minorBidi"/>
                <w:lang w:val="hy-AM"/>
              </w:rPr>
              <w:t>Ոռոգման արդիական համակարգերի ներդրման համաֆինանսավորման ծրագրի (այսուհետ՝ ծրագիր) իրակա</w:t>
            </w:r>
            <w:r w:rsidRPr="0053423A">
              <w:rPr>
                <w:rFonts w:ascii="GHEA Grapalat" w:eastAsiaTheme="minorHAnsi" w:hAnsi="GHEA Grapalat" w:cstheme="minorBidi"/>
                <w:lang w:val="hy-AM"/>
              </w:rPr>
              <w:softHyphen/>
              <w:t>նացման անհրաժեշտությունը բխում է ՀՀ ԱԺ 2019 թվա</w:t>
            </w:r>
            <w:r w:rsidRPr="0053423A">
              <w:rPr>
                <w:rFonts w:ascii="GHEA Grapalat" w:eastAsiaTheme="minorHAnsi" w:hAnsi="GHEA Grapalat" w:cstheme="minorBidi"/>
                <w:lang w:val="hy-AM"/>
              </w:rPr>
              <w:softHyphen/>
              <w:t>կանի փետրվարի 14-ի ԱԺՈ-002-Ն որոշմամբ հավանության արժանացած ՀՀ կառա</w:t>
            </w:r>
            <w:r w:rsidRPr="0053423A">
              <w:rPr>
                <w:rFonts w:ascii="GHEA Grapalat" w:eastAsiaTheme="minorHAnsi" w:hAnsi="GHEA Grapalat" w:cstheme="minorBidi"/>
                <w:lang w:val="hy-AM"/>
              </w:rPr>
              <w:softHyphen/>
              <w:t>վարության ծրագրից (5.10. Գյուղատնտեսությունը բաժին, 4-րդ պարբերություն), ՀՀ կառավա</w:t>
            </w:r>
            <w:r w:rsidRPr="0053423A">
              <w:rPr>
                <w:rFonts w:ascii="GHEA Grapalat" w:eastAsiaTheme="minorHAnsi" w:hAnsi="GHEA Grapalat" w:cstheme="minorBidi"/>
                <w:lang w:val="hy-AM"/>
              </w:rPr>
              <w:softHyphen/>
              <w:t>րության 2010 թվականի նոյեմ</w:t>
            </w:r>
            <w:r w:rsidRPr="0053423A">
              <w:rPr>
                <w:rFonts w:ascii="GHEA Grapalat" w:eastAsiaTheme="minorHAnsi" w:hAnsi="GHEA Grapalat" w:cstheme="minorBidi"/>
                <w:lang w:val="hy-AM"/>
              </w:rPr>
              <w:softHyphen/>
              <w:t>բերի 4-ի N 1476-Ն որոշ</w:t>
            </w:r>
            <w:r w:rsidRPr="0053423A">
              <w:rPr>
                <w:rFonts w:ascii="GHEA Grapalat" w:eastAsiaTheme="minorHAnsi" w:hAnsi="GHEA Grapalat" w:cstheme="minorBidi"/>
                <w:lang w:val="hy-AM"/>
              </w:rPr>
              <w:softHyphen/>
            </w:r>
            <w:r w:rsidRPr="0053423A">
              <w:rPr>
                <w:rFonts w:ascii="GHEA Grapalat" w:eastAsiaTheme="minorHAnsi" w:hAnsi="GHEA Grapalat" w:cstheme="minorBidi"/>
                <w:lang w:val="hy-AM"/>
              </w:rPr>
              <w:softHyphen/>
              <w:t>մամբ հաս</w:t>
            </w:r>
            <w:r w:rsidRPr="0053423A">
              <w:rPr>
                <w:rFonts w:ascii="GHEA Grapalat" w:eastAsiaTheme="minorHAnsi" w:hAnsi="GHEA Grapalat" w:cstheme="minorBidi"/>
                <w:lang w:val="hy-AM"/>
              </w:rPr>
              <w:softHyphen/>
              <w:t>տատ</w:t>
            </w:r>
            <w:r w:rsidRPr="0053423A">
              <w:rPr>
                <w:rFonts w:ascii="GHEA Grapalat" w:eastAsiaTheme="minorHAnsi" w:hAnsi="GHEA Grapalat" w:cstheme="minorBidi"/>
                <w:lang w:val="hy-AM"/>
              </w:rPr>
              <w:softHyphen/>
              <w:t>ված «Հայաստանի Հան</w:t>
            </w:r>
            <w:r w:rsidRPr="0053423A">
              <w:rPr>
                <w:rFonts w:ascii="GHEA Grapalat" w:eastAsiaTheme="minorHAnsi" w:hAnsi="GHEA Grapalat" w:cstheme="minorBidi"/>
                <w:lang w:val="hy-AM"/>
              </w:rPr>
              <w:softHyphen/>
              <w:t>րա</w:t>
            </w:r>
            <w:r w:rsidRPr="0053423A">
              <w:rPr>
                <w:rFonts w:ascii="GHEA Grapalat" w:eastAsiaTheme="minorHAnsi" w:hAnsi="GHEA Grapalat" w:cstheme="minorBidi"/>
                <w:lang w:val="hy-AM"/>
              </w:rPr>
              <w:softHyphen/>
              <w:t>պե</w:t>
            </w:r>
            <w:r w:rsidRPr="0053423A">
              <w:rPr>
                <w:rFonts w:ascii="GHEA Grapalat" w:eastAsiaTheme="minorHAnsi" w:hAnsi="GHEA Grapalat" w:cstheme="minorBidi"/>
                <w:lang w:val="hy-AM"/>
              </w:rPr>
              <w:softHyphen/>
              <w:t>տու</w:t>
            </w:r>
            <w:r w:rsidRPr="0053423A">
              <w:rPr>
                <w:rFonts w:ascii="GHEA Grapalat" w:eastAsiaTheme="minorHAnsi" w:hAnsi="GHEA Grapalat" w:cstheme="minorBidi"/>
                <w:lang w:val="hy-AM"/>
              </w:rPr>
              <w:softHyphen/>
              <w:t>թյան գյուղի և գյուղա</w:t>
            </w:r>
            <w:r w:rsidRPr="0053423A">
              <w:rPr>
                <w:rFonts w:ascii="GHEA Grapalat" w:eastAsiaTheme="minorHAnsi" w:hAnsi="GHEA Grapalat" w:cstheme="minorBidi"/>
                <w:lang w:val="hy-AM"/>
              </w:rPr>
              <w:softHyphen/>
              <w:t>տն</w:t>
            </w:r>
            <w:r w:rsidRPr="0053423A">
              <w:rPr>
                <w:rFonts w:ascii="GHEA Grapalat" w:eastAsiaTheme="minorHAnsi" w:hAnsi="GHEA Grapalat" w:cstheme="minorBidi"/>
                <w:lang w:val="hy-AM"/>
              </w:rPr>
              <w:softHyphen/>
              <w:t>տե</w:t>
            </w:r>
            <w:r w:rsidRPr="0053423A">
              <w:rPr>
                <w:rFonts w:ascii="GHEA Grapalat" w:eastAsiaTheme="minorHAnsi" w:hAnsi="GHEA Grapalat" w:cstheme="minorBidi"/>
                <w:lang w:val="hy-AM"/>
              </w:rPr>
              <w:softHyphen/>
              <w:t>սության 2010-2020 թվական</w:t>
            </w:r>
            <w:r w:rsidRPr="0053423A">
              <w:rPr>
                <w:rFonts w:ascii="GHEA Grapalat" w:eastAsiaTheme="minorHAnsi" w:hAnsi="GHEA Grapalat" w:cstheme="minorBidi"/>
                <w:lang w:val="hy-AM"/>
              </w:rPr>
              <w:softHyphen/>
              <w:t>ների կայուն զար</w:t>
            </w:r>
            <w:r w:rsidRPr="0053423A">
              <w:rPr>
                <w:rFonts w:ascii="GHEA Grapalat" w:eastAsiaTheme="minorHAnsi" w:hAnsi="GHEA Grapalat" w:cstheme="minorBidi"/>
                <w:lang w:val="hy-AM"/>
              </w:rPr>
              <w:softHyphen/>
              <w:t>գաց</w:t>
            </w:r>
            <w:r w:rsidRPr="0053423A">
              <w:rPr>
                <w:rFonts w:ascii="GHEA Grapalat" w:eastAsiaTheme="minorHAnsi" w:hAnsi="GHEA Grapalat" w:cstheme="minorBidi"/>
                <w:lang w:val="hy-AM"/>
              </w:rPr>
              <w:softHyphen/>
              <w:t>ման ռազ</w:t>
            </w:r>
            <w:r w:rsidRPr="0053423A">
              <w:rPr>
                <w:rFonts w:ascii="GHEA Grapalat" w:eastAsiaTheme="minorHAnsi" w:hAnsi="GHEA Grapalat" w:cstheme="minorBidi"/>
                <w:lang w:val="hy-AM"/>
              </w:rPr>
              <w:softHyphen/>
              <w:t>մավարու</w:t>
            </w:r>
            <w:r w:rsidRPr="0053423A">
              <w:rPr>
                <w:rFonts w:ascii="GHEA Grapalat" w:eastAsiaTheme="minorHAnsi" w:hAnsi="GHEA Grapalat" w:cstheme="minorBidi"/>
                <w:lang w:val="hy-AM"/>
              </w:rPr>
              <w:softHyphen/>
              <w:t>թյու</w:t>
            </w:r>
            <w:r w:rsidRPr="0053423A">
              <w:rPr>
                <w:rFonts w:ascii="GHEA Grapalat" w:eastAsiaTheme="minorHAnsi" w:hAnsi="GHEA Grapalat" w:cstheme="minorBidi"/>
                <w:lang w:val="hy-AM"/>
              </w:rPr>
              <w:softHyphen/>
              <w:t>նից» (V-րդ բա</w:t>
            </w:r>
            <w:r w:rsidRPr="0053423A">
              <w:rPr>
                <w:rFonts w:ascii="GHEA Grapalat" w:eastAsiaTheme="minorHAnsi" w:hAnsi="GHEA Grapalat" w:cstheme="minorBidi"/>
                <w:lang w:val="hy-AM"/>
              </w:rPr>
              <w:softHyphen/>
              <w:t>ժին, կետ 63) և ՀՀ կառա</w:t>
            </w:r>
            <w:r w:rsidRPr="0053423A">
              <w:rPr>
                <w:rFonts w:ascii="GHEA Grapalat" w:eastAsiaTheme="minorHAnsi" w:hAnsi="GHEA Grapalat" w:cstheme="minorBidi"/>
                <w:lang w:val="hy-AM"/>
              </w:rPr>
              <w:softHyphen/>
              <w:t>վարության 2014 թվականի մարտի 27-ի N 442-Ն որոշմամբ հաստատված` «Հայաս</w:t>
            </w:r>
            <w:r w:rsidRPr="0053423A">
              <w:rPr>
                <w:rFonts w:ascii="GHEA Grapalat" w:eastAsiaTheme="minorHAnsi" w:hAnsi="GHEA Grapalat" w:cstheme="minorBidi"/>
                <w:lang w:val="hy-AM"/>
              </w:rPr>
              <w:softHyphen/>
              <w:t>տանի Հանրապետության 2014-2025 թվականների հեռանկարային զարգացման ծրագրից» (227.2 ենթակետ)։</w:t>
            </w:r>
          </w:p>
          <w:p w:rsidR="00530B14" w:rsidRPr="0053423A" w:rsidRDefault="00530B14" w:rsidP="00A67858">
            <w:pPr>
              <w:tabs>
                <w:tab w:val="left" w:pos="9923"/>
              </w:tabs>
              <w:spacing w:line="276" w:lineRule="auto"/>
              <w:ind w:firstLine="567"/>
              <w:jc w:val="both"/>
              <w:rPr>
                <w:lang w:val="hy-AM"/>
              </w:rPr>
            </w:pPr>
            <w:r w:rsidRPr="0053423A">
              <w:rPr>
                <w:lang w:val="hy-AM"/>
              </w:rPr>
              <w:t>Ծրագրի իրականացման հիմնական նպատակը նոր տեխնոլոգիաների և գիտա</w:t>
            </w:r>
            <w:r w:rsidRPr="0053423A">
              <w:rPr>
                <w:lang w:val="hy-AM"/>
              </w:rPr>
              <w:softHyphen/>
              <w:t>կան հենքի վրա հիմնված մրցունակ և արդյունավետ գյուղատնտեսության ստեղծումն ու կաթիլային և անձրևացման համակարգերի ներդրման խթանումն է նպատակային վարկերի տոկոսա</w:t>
            </w:r>
            <w:r w:rsidRPr="0053423A">
              <w:rPr>
                <w:lang w:val="hy-AM"/>
              </w:rPr>
              <w:softHyphen/>
              <w:t>դրույքի սուբսիդա</w:t>
            </w:r>
            <w:r w:rsidRPr="0053423A">
              <w:rPr>
                <w:lang w:val="hy-AM"/>
              </w:rPr>
              <w:softHyphen/>
              <w:t>վորման և համաֆինանսավորման միջոցով:</w:t>
            </w:r>
          </w:p>
          <w:p w:rsidR="00530B14" w:rsidRPr="0053423A" w:rsidRDefault="00530B14" w:rsidP="00A67858">
            <w:pPr>
              <w:tabs>
                <w:tab w:val="left" w:pos="567"/>
              </w:tabs>
              <w:spacing w:line="276" w:lineRule="auto"/>
              <w:jc w:val="both"/>
              <w:rPr>
                <w:rFonts w:eastAsia="Calibri"/>
                <w:b/>
                <w:lang w:val="hy-AM"/>
              </w:rPr>
            </w:pPr>
            <w:r w:rsidRPr="0053423A">
              <w:rPr>
                <w:rFonts w:eastAsia="Calibri"/>
                <w:b/>
                <w:lang w:val="hy-AM"/>
              </w:rPr>
              <w:tab/>
              <w:t>1.1. Կարգավորման հարաբերությունների ներկա վիճակը և առկա խնդիրները</w:t>
            </w:r>
          </w:p>
          <w:p w:rsidR="00530B14" w:rsidRPr="0053423A" w:rsidRDefault="00530B14" w:rsidP="00A67858">
            <w:pPr>
              <w:tabs>
                <w:tab w:val="left" w:pos="0"/>
              </w:tabs>
              <w:spacing w:line="276" w:lineRule="auto"/>
              <w:ind w:firstLine="567"/>
              <w:jc w:val="both"/>
              <w:rPr>
                <w:lang w:val="af-ZA"/>
              </w:rPr>
            </w:pPr>
            <w:r w:rsidRPr="0053423A">
              <w:rPr>
                <w:lang w:val="hy-AM"/>
              </w:rPr>
              <w:tab/>
              <w:t>Վերջին</w:t>
            </w:r>
            <w:r w:rsidRPr="0053423A">
              <w:rPr>
                <w:lang w:val="af-ZA"/>
              </w:rPr>
              <w:t xml:space="preserve"> </w:t>
            </w:r>
            <w:r w:rsidRPr="0053423A">
              <w:rPr>
                <w:lang w:val="hy-AM"/>
              </w:rPr>
              <w:t>տարիներին</w:t>
            </w:r>
            <w:r w:rsidRPr="0053423A">
              <w:rPr>
                <w:lang w:val="af-ZA"/>
              </w:rPr>
              <w:t xml:space="preserve"> </w:t>
            </w:r>
            <w:r w:rsidRPr="0053423A">
              <w:rPr>
                <w:lang w:val="hy-AM"/>
              </w:rPr>
              <w:t>Հայաստանի</w:t>
            </w:r>
            <w:r w:rsidRPr="0053423A">
              <w:rPr>
                <w:lang w:val="af-ZA"/>
              </w:rPr>
              <w:t xml:space="preserve"> </w:t>
            </w:r>
            <w:r w:rsidRPr="0053423A">
              <w:rPr>
                <w:lang w:val="hy-AM"/>
              </w:rPr>
              <w:t>Հանրապետությունում՝</w:t>
            </w:r>
            <w:r w:rsidRPr="0053423A">
              <w:rPr>
                <w:lang w:val="af-ZA"/>
              </w:rPr>
              <w:t xml:space="preserve"> </w:t>
            </w:r>
            <w:r w:rsidRPr="0053423A">
              <w:rPr>
                <w:lang w:val="hy-AM"/>
              </w:rPr>
              <w:t>կապված</w:t>
            </w:r>
            <w:r w:rsidRPr="0053423A">
              <w:rPr>
                <w:lang w:val="af-ZA"/>
              </w:rPr>
              <w:t xml:space="preserve"> </w:t>
            </w:r>
            <w:r w:rsidRPr="0053423A">
              <w:rPr>
                <w:lang w:val="hy-AM"/>
              </w:rPr>
              <w:t>կլիմայի</w:t>
            </w:r>
            <w:r w:rsidRPr="0053423A">
              <w:rPr>
                <w:lang w:val="af-ZA"/>
              </w:rPr>
              <w:t xml:space="preserve"> </w:t>
            </w:r>
            <w:r w:rsidRPr="0053423A">
              <w:rPr>
                <w:lang w:val="hy-AM"/>
              </w:rPr>
              <w:t>գլոբալ</w:t>
            </w:r>
            <w:r w:rsidRPr="0053423A">
              <w:rPr>
                <w:lang w:val="af-ZA"/>
              </w:rPr>
              <w:t xml:space="preserve"> </w:t>
            </w:r>
            <w:r w:rsidRPr="0053423A">
              <w:rPr>
                <w:lang w:val="hy-AM"/>
              </w:rPr>
              <w:t>փոփոխությունների</w:t>
            </w:r>
            <w:r w:rsidRPr="0053423A">
              <w:rPr>
                <w:lang w:val="af-ZA"/>
              </w:rPr>
              <w:t xml:space="preserve"> </w:t>
            </w:r>
            <w:r w:rsidRPr="0053423A">
              <w:rPr>
                <w:lang w:val="hy-AM"/>
              </w:rPr>
              <w:t>և</w:t>
            </w:r>
            <w:r w:rsidRPr="0053423A">
              <w:rPr>
                <w:lang w:val="af-ZA"/>
              </w:rPr>
              <w:t xml:space="preserve"> </w:t>
            </w:r>
            <w:r w:rsidRPr="0053423A">
              <w:rPr>
                <w:lang w:val="hy-AM"/>
              </w:rPr>
              <w:t>Արարատյան</w:t>
            </w:r>
            <w:r w:rsidRPr="0053423A">
              <w:rPr>
                <w:lang w:val="af-ZA"/>
              </w:rPr>
              <w:t xml:space="preserve"> </w:t>
            </w:r>
            <w:r w:rsidRPr="0053423A">
              <w:rPr>
                <w:lang w:val="hy-AM"/>
              </w:rPr>
              <w:t>հարթավայրի</w:t>
            </w:r>
            <w:r w:rsidRPr="0053423A">
              <w:rPr>
                <w:lang w:val="af-ZA"/>
              </w:rPr>
              <w:t xml:space="preserve"> </w:t>
            </w:r>
            <w:r w:rsidRPr="0053423A">
              <w:rPr>
                <w:lang w:val="hy-AM"/>
              </w:rPr>
              <w:t>ստորգետնյա</w:t>
            </w:r>
            <w:r w:rsidRPr="0053423A">
              <w:rPr>
                <w:lang w:val="af-ZA"/>
              </w:rPr>
              <w:t xml:space="preserve"> </w:t>
            </w:r>
            <w:r w:rsidRPr="0053423A">
              <w:rPr>
                <w:lang w:val="hy-AM"/>
              </w:rPr>
              <w:t>ջրերի</w:t>
            </w:r>
            <w:r w:rsidRPr="0053423A">
              <w:rPr>
                <w:lang w:val="af-ZA"/>
              </w:rPr>
              <w:t xml:space="preserve"> </w:t>
            </w:r>
            <w:r w:rsidRPr="0053423A">
              <w:rPr>
                <w:lang w:val="hy-AM"/>
              </w:rPr>
              <w:t>աննա</w:t>
            </w:r>
            <w:r w:rsidRPr="0053423A">
              <w:rPr>
                <w:lang w:val="hy-AM"/>
              </w:rPr>
              <w:softHyphen/>
              <w:t>խադեպ</w:t>
            </w:r>
            <w:r w:rsidRPr="0053423A">
              <w:rPr>
                <w:lang w:val="af-ZA"/>
              </w:rPr>
              <w:t xml:space="preserve"> </w:t>
            </w:r>
            <w:r w:rsidRPr="0053423A">
              <w:rPr>
                <w:lang w:val="hy-AM"/>
              </w:rPr>
              <w:t>սպառման</w:t>
            </w:r>
            <w:r w:rsidRPr="0053423A">
              <w:rPr>
                <w:lang w:val="af-ZA"/>
              </w:rPr>
              <w:t xml:space="preserve"> </w:t>
            </w:r>
            <w:r w:rsidRPr="0053423A">
              <w:rPr>
                <w:lang w:val="hy-AM"/>
              </w:rPr>
              <w:t>հետ</w:t>
            </w:r>
            <w:r w:rsidRPr="0053423A">
              <w:rPr>
                <w:lang w:val="af-ZA"/>
              </w:rPr>
              <w:t xml:space="preserve">, </w:t>
            </w:r>
            <w:r w:rsidRPr="0053423A">
              <w:rPr>
                <w:lang w:val="hy-AM"/>
              </w:rPr>
              <w:t>ստեղծվել</w:t>
            </w:r>
            <w:r w:rsidRPr="0053423A">
              <w:rPr>
                <w:lang w:val="af-ZA"/>
              </w:rPr>
              <w:t xml:space="preserve"> </w:t>
            </w:r>
            <w:r w:rsidRPr="0053423A">
              <w:rPr>
                <w:lang w:val="hy-AM"/>
              </w:rPr>
              <w:t>է</w:t>
            </w:r>
            <w:r w:rsidRPr="0053423A">
              <w:rPr>
                <w:lang w:val="af-ZA"/>
              </w:rPr>
              <w:t xml:space="preserve"> </w:t>
            </w:r>
            <w:r w:rsidRPr="0053423A">
              <w:rPr>
                <w:lang w:val="hy-AM"/>
              </w:rPr>
              <w:t>ջրային</w:t>
            </w:r>
            <w:r w:rsidRPr="0053423A">
              <w:rPr>
                <w:lang w:val="af-ZA"/>
              </w:rPr>
              <w:t xml:space="preserve"> </w:t>
            </w:r>
            <w:r w:rsidRPr="0053423A">
              <w:rPr>
                <w:lang w:val="hy-AM"/>
              </w:rPr>
              <w:t>ռեսուրսների</w:t>
            </w:r>
            <w:r w:rsidRPr="0053423A">
              <w:rPr>
                <w:lang w:val="af-ZA"/>
              </w:rPr>
              <w:t xml:space="preserve"> </w:t>
            </w:r>
            <w:r w:rsidRPr="0053423A">
              <w:rPr>
                <w:lang w:val="hy-AM"/>
              </w:rPr>
              <w:t>խիստ</w:t>
            </w:r>
            <w:r w:rsidRPr="0053423A">
              <w:rPr>
                <w:lang w:val="af-ZA"/>
              </w:rPr>
              <w:t xml:space="preserve"> </w:t>
            </w:r>
            <w:r w:rsidRPr="0053423A">
              <w:rPr>
                <w:lang w:val="hy-AM"/>
              </w:rPr>
              <w:t>դեֆիցիտ</w:t>
            </w:r>
            <w:r w:rsidRPr="0053423A">
              <w:rPr>
                <w:lang w:val="af-ZA"/>
              </w:rPr>
              <w:t xml:space="preserve">, </w:t>
            </w:r>
            <w:r w:rsidRPr="0053423A">
              <w:rPr>
                <w:lang w:val="hy-AM"/>
              </w:rPr>
              <w:t>որը</w:t>
            </w:r>
            <w:r w:rsidRPr="0053423A">
              <w:rPr>
                <w:lang w:val="af-ZA"/>
              </w:rPr>
              <w:t xml:space="preserve"> </w:t>
            </w:r>
            <w:r w:rsidRPr="0053423A">
              <w:rPr>
                <w:lang w:val="hy-AM"/>
              </w:rPr>
              <w:t>զգալի</w:t>
            </w:r>
            <w:r w:rsidRPr="0053423A">
              <w:rPr>
                <w:lang w:val="af-ZA"/>
              </w:rPr>
              <w:t xml:space="preserve"> </w:t>
            </w:r>
            <w:r w:rsidRPr="0053423A">
              <w:rPr>
                <w:lang w:val="hy-AM"/>
              </w:rPr>
              <w:t>բացասական</w:t>
            </w:r>
            <w:r w:rsidRPr="0053423A">
              <w:rPr>
                <w:lang w:val="af-ZA"/>
              </w:rPr>
              <w:t xml:space="preserve"> </w:t>
            </w:r>
            <w:r w:rsidRPr="0053423A">
              <w:rPr>
                <w:lang w:val="hy-AM"/>
              </w:rPr>
              <w:t>ազդեցություն</w:t>
            </w:r>
            <w:r w:rsidRPr="0053423A">
              <w:rPr>
                <w:lang w:val="af-ZA"/>
              </w:rPr>
              <w:t xml:space="preserve"> </w:t>
            </w:r>
            <w:r w:rsidRPr="0053423A">
              <w:rPr>
                <w:lang w:val="hy-AM"/>
              </w:rPr>
              <w:t>է</w:t>
            </w:r>
            <w:r w:rsidRPr="0053423A">
              <w:rPr>
                <w:lang w:val="af-ZA"/>
              </w:rPr>
              <w:t xml:space="preserve"> </w:t>
            </w:r>
            <w:r w:rsidRPr="0053423A">
              <w:rPr>
                <w:lang w:val="hy-AM"/>
              </w:rPr>
              <w:t>թողնում</w:t>
            </w:r>
            <w:r w:rsidRPr="0053423A">
              <w:rPr>
                <w:lang w:val="af-ZA"/>
              </w:rPr>
              <w:t xml:space="preserve"> </w:t>
            </w:r>
            <w:r w:rsidRPr="0053423A">
              <w:rPr>
                <w:lang w:val="hy-AM"/>
              </w:rPr>
              <w:t>գյուղատնտե</w:t>
            </w:r>
            <w:r w:rsidRPr="0053423A">
              <w:rPr>
                <w:lang w:val="af-ZA"/>
              </w:rPr>
              <w:softHyphen/>
            </w:r>
            <w:r w:rsidRPr="0053423A">
              <w:rPr>
                <w:lang w:val="hy-AM"/>
              </w:rPr>
              <w:t>սական</w:t>
            </w:r>
            <w:r w:rsidRPr="0053423A">
              <w:rPr>
                <w:lang w:val="af-ZA"/>
              </w:rPr>
              <w:t xml:space="preserve"> </w:t>
            </w:r>
            <w:r w:rsidRPr="0053423A">
              <w:rPr>
                <w:lang w:val="hy-AM"/>
              </w:rPr>
              <w:t>մշակաբույսերի</w:t>
            </w:r>
            <w:r w:rsidRPr="0053423A">
              <w:rPr>
                <w:lang w:val="af-ZA"/>
              </w:rPr>
              <w:t xml:space="preserve"> </w:t>
            </w:r>
            <w:r w:rsidRPr="0053423A">
              <w:rPr>
                <w:lang w:val="hy-AM"/>
              </w:rPr>
              <w:t>կայուն</w:t>
            </w:r>
            <w:r w:rsidRPr="0053423A">
              <w:rPr>
                <w:lang w:val="af-ZA"/>
              </w:rPr>
              <w:t xml:space="preserve"> </w:t>
            </w:r>
            <w:r w:rsidRPr="0053423A">
              <w:rPr>
                <w:lang w:val="hy-AM"/>
              </w:rPr>
              <w:t>ջրամատակարարման</w:t>
            </w:r>
            <w:r w:rsidRPr="0053423A">
              <w:rPr>
                <w:lang w:val="af-ZA"/>
              </w:rPr>
              <w:t xml:space="preserve"> </w:t>
            </w:r>
            <w:r w:rsidRPr="0053423A">
              <w:rPr>
                <w:lang w:val="hy-AM"/>
              </w:rPr>
              <w:t>վրա</w:t>
            </w:r>
            <w:r w:rsidRPr="0053423A">
              <w:rPr>
                <w:lang w:val="af-ZA"/>
              </w:rPr>
              <w:t>:</w:t>
            </w:r>
          </w:p>
          <w:p w:rsidR="00530B14" w:rsidRPr="0053423A" w:rsidRDefault="00530B14" w:rsidP="00A67858">
            <w:pPr>
              <w:tabs>
                <w:tab w:val="left" w:pos="0"/>
              </w:tabs>
              <w:spacing w:line="276" w:lineRule="auto"/>
              <w:jc w:val="both"/>
              <w:rPr>
                <w:lang w:val="hy-AM"/>
              </w:rPr>
            </w:pPr>
            <w:r w:rsidRPr="0053423A">
              <w:rPr>
                <w:lang w:val="hy-AM"/>
              </w:rPr>
              <w:tab/>
              <w:t>Չնայած</w:t>
            </w:r>
            <w:r w:rsidRPr="0053423A">
              <w:rPr>
                <w:lang w:val="af-ZA"/>
              </w:rPr>
              <w:t xml:space="preserve"> </w:t>
            </w:r>
            <w:r w:rsidRPr="0053423A">
              <w:rPr>
                <w:lang w:val="hy-AM"/>
              </w:rPr>
              <w:t>կառավարության</w:t>
            </w:r>
            <w:r w:rsidRPr="0053423A">
              <w:rPr>
                <w:lang w:val="af-ZA"/>
              </w:rPr>
              <w:t xml:space="preserve"> </w:t>
            </w:r>
            <w:r w:rsidRPr="0053423A">
              <w:rPr>
                <w:lang w:val="hy-AM"/>
              </w:rPr>
              <w:t>կողմից</w:t>
            </w:r>
            <w:r w:rsidRPr="0053423A">
              <w:rPr>
                <w:lang w:val="af-ZA"/>
              </w:rPr>
              <w:t xml:space="preserve"> </w:t>
            </w:r>
            <w:r w:rsidRPr="0053423A">
              <w:rPr>
                <w:lang w:val="hy-AM"/>
              </w:rPr>
              <w:t>հիմնախնդրի</w:t>
            </w:r>
            <w:r w:rsidRPr="0053423A">
              <w:rPr>
                <w:lang w:val="af-ZA"/>
              </w:rPr>
              <w:t xml:space="preserve"> </w:t>
            </w:r>
            <w:r w:rsidRPr="0053423A">
              <w:rPr>
                <w:lang w:val="hy-AM"/>
              </w:rPr>
              <w:t>լուծման</w:t>
            </w:r>
            <w:r w:rsidRPr="0053423A">
              <w:rPr>
                <w:lang w:val="af-ZA"/>
              </w:rPr>
              <w:t xml:space="preserve"> </w:t>
            </w:r>
            <w:r w:rsidRPr="0053423A">
              <w:rPr>
                <w:lang w:val="hy-AM"/>
              </w:rPr>
              <w:t>ուղղությամբ քայլեր</w:t>
            </w:r>
            <w:r w:rsidRPr="0053423A">
              <w:rPr>
                <w:lang w:val="af-ZA"/>
              </w:rPr>
              <w:t xml:space="preserve"> </w:t>
            </w:r>
            <w:r w:rsidRPr="0053423A">
              <w:rPr>
                <w:lang w:val="hy-AM"/>
              </w:rPr>
              <w:t>են</w:t>
            </w:r>
            <w:r w:rsidRPr="0053423A">
              <w:rPr>
                <w:lang w:val="af-ZA"/>
              </w:rPr>
              <w:t xml:space="preserve"> </w:t>
            </w:r>
            <w:r w:rsidRPr="0053423A">
              <w:rPr>
                <w:lang w:val="hy-AM"/>
              </w:rPr>
              <w:t>ձեռնարկվում</w:t>
            </w:r>
            <w:r w:rsidRPr="0053423A">
              <w:rPr>
                <w:lang w:val="af-ZA"/>
              </w:rPr>
              <w:t xml:space="preserve">` </w:t>
            </w:r>
            <w:r w:rsidRPr="0053423A">
              <w:rPr>
                <w:lang w:val="hy-AM"/>
              </w:rPr>
              <w:t>նոր</w:t>
            </w:r>
            <w:r w:rsidRPr="0053423A">
              <w:rPr>
                <w:lang w:val="af-ZA"/>
              </w:rPr>
              <w:t xml:space="preserve"> </w:t>
            </w:r>
            <w:r w:rsidRPr="0053423A">
              <w:rPr>
                <w:lang w:val="hy-AM"/>
              </w:rPr>
              <w:t>ջրամբարների</w:t>
            </w:r>
            <w:r w:rsidRPr="0053423A">
              <w:rPr>
                <w:lang w:val="af-ZA"/>
              </w:rPr>
              <w:t xml:space="preserve"> </w:t>
            </w:r>
            <w:r w:rsidRPr="0053423A">
              <w:rPr>
                <w:lang w:val="hy-AM"/>
              </w:rPr>
              <w:t>կառուցման</w:t>
            </w:r>
            <w:r w:rsidRPr="0053423A">
              <w:rPr>
                <w:lang w:val="af-ZA"/>
              </w:rPr>
              <w:t xml:space="preserve"> </w:t>
            </w:r>
            <w:r w:rsidRPr="0053423A">
              <w:rPr>
                <w:lang w:val="hy-AM"/>
              </w:rPr>
              <w:t>և</w:t>
            </w:r>
            <w:r w:rsidRPr="0053423A">
              <w:rPr>
                <w:lang w:val="af-ZA"/>
              </w:rPr>
              <w:t xml:space="preserve"> </w:t>
            </w:r>
            <w:r w:rsidRPr="0053423A">
              <w:rPr>
                <w:lang w:val="hy-AM"/>
              </w:rPr>
              <w:t>ստորերկրյա</w:t>
            </w:r>
            <w:r w:rsidRPr="0053423A">
              <w:rPr>
                <w:lang w:val="af-ZA"/>
              </w:rPr>
              <w:t xml:space="preserve"> </w:t>
            </w:r>
            <w:r w:rsidRPr="0053423A">
              <w:rPr>
                <w:lang w:val="hy-AM"/>
              </w:rPr>
              <w:t>ջրային</w:t>
            </w:r>
            <w:r w:rsidRPr="0053423A">
              <w:rPr>
                <w:lang w:val="af-ZA"/>
              </w:rPr>
              <w:t xml:space="preserve"> </w:t>
            </w:r>
            <w:r w:rsidRPr="0053423A">
              <w:rPr>
                <w:lang w:val="hy-AM"/>
              </w:rPr>
              <w:t>պաշարների</w:t>
            </w:r>
            <w:r w:rsidRPr="0053423A">
              <w:rPr>
                <w:lang w:val="af-ZA"/>
              </w:rPr>
              <w:t xml:space="preserve"> </w:t>
            </w:r>
            <w:r w:rsidRPr="0053423A">
              <w:rPr>
                <w:lang w:val="hy-AM"/>
              </w:rPr>
              <w:t>օգտագործման</w:t>
            </w:r>
            <w:r w:rsidRPr="0053423A">
              <w:rPr>
                <w:lang w:val="af-ZA"/>
              </w:rPr>
              <w:t xml:space="preserve"> </w:t>
            </w:r>
            <w:r w:rsidRPr="0053423A">
              <w:rPr>
                <w:lang w:val="hy-AM"/>
              </w:rPr>
              <w:t>կրճատման</w:t>
            </w:r>
            <w:r w:rsidRPr="0053423A">
              <w:rPr>
                <w:lang w:val="af-ZA"/>
              </w:rPr>
              <w:t xml:space="preserve"> </w:t>
            </w:r>
            <w:r w:rsidRPr="0053423A">
              <w:rPr>
                <w:lang w:val="hy-AM"/>
              </w:rPr>
              <w:t>ճանապարհով</w:t>
            </w:r>
            <w:r w:rsidRPr="0053423A">
              <w:rPr>
                <w:lang w:val="af-ZA"/>
              </w:rPr>
              <w:t xml:space="preserve">, </w:t>
            </w:r>
            <w:r w:rsidRPr="0053423A">
              <w:rPr>
                <w:lang w:val="hy-AM"/>
              </w:rPr>
              <w:t>այնուամենայնիվ</w:t>
            </w:r>
            <w:r w:rsidRPr="0053423A">
              <w:rPr>
                <w:lang w:val="af-ZA"/>
              </w:rPr>
              <w:t xml:space="preserve"> </w:t>
            </w:r>
            <w:r w:rsidRPr="0053423A">
              <w:rPr>
                <w:lang w:val="hy-AM"/>
              </w:rPr>
              <w:t>դրանք</w:t>
            </w:r>
            <w:r w:rsidRPr="0053423A">
              <w:rPr>
                <w:lang w:val="af-ZA"/>
              </w:rPr>
              <w:t xml:space="preserve"> </w:t>
            </w:r>
            <w:r w:rsidRPr="0053423A">
              <w:rPr>
                <w:lang w:val="hy-AM"/>
              </w:rPr>
              <w:t>զգալի</w:t>
            </w:r>
            <w:r w:rsidRPr="0053423A">
              <w:rPr>
                <w:lang w:val="af-ZA"/>
              </w:rPr>
              <w:t xml:space="preserve"> </w:t>
            </w:r>
            <w:r w:rsidRPr="0053423A">
              <w:rPr>
                <w:lang w:val="hy-AM"/>
              </w:rPr>
              <w:t>ժամանակ</w:t>
            </w:r>
            <w:r w:rsidRPr="0053423A">
              <w:rPr>
                <w:lang w:val="af-ZA"/>
              </w:rPr>
              <w:t xml:space="preserve"> </w:t>
            </w:r>
            <w:r w:rsidRPr="0053423A">
              <w:rPr>
                <w:lang w:val="hy-AM"/>
              </w:rPr>
              <w:t>և</w:t>
            </w:r>
            <w:r w:rsidRPr="0053423A">
              <w:rPr>
                <w:lang w:val="af-ZA"/>
              </w:rPr>
              <w:t xml:space="preserve"> </w:t>
            </w:r>
            <w:r w:rsidRPr="0053423A">
              <w:rPr>
                <w:lang w:val="hy-AM"/>
              </w:rPr>
              <w:t>ֆինանսական</w:t>
            </w:r>
            <w:r w:rsidRPr="0053423A">
              <w:rPr>
                <w:lang w:val="af-ZA"/>
              </w:rPr>
              <w:t xml:space="preserve"> </w:t>
            </w:r>
            <w:r w:rsidRPr="0053423A">
              <w:rPr>
                <w:lang w:val="hy-AM"/>
              </w:rPr>
              <w:t>միջոցներ</w:t>
            </w:r>
            <w:r w:rsidRPr="0053423A">
              <w:rPr>
                <w:lang w:val="af-ZA"/>
              </w:rPr>
              <w:t xml:space="preserve"> </w:t>
            </w:r>
            <w:r w:rsidRPr="0053423A">
              <w:rPr>
                <w:lang w:val="hy-AM"/>
              </w:rPr>
              <w:t>են</w:t>
            </w:r>
            <w:r w:rsidRPr="0053423A">
              <w:rPr>
                <w:lang w:val="af-ZA"/>
              </w:rPr>
              <w:t xml:space="preserve"> </w:t>
            </w:r>
            <w:r w:rsidRPr="0053423A">
              <w:rPr>
                <w:lang w:val="hy-AM"/>
              </w:rPr>
              <w:t>պահանջում</w:t>
            </w:r>
            <w:r w:rsidRPr="0053423A">
              <w:rPr>
                <w:lang w:val="af-ZA"/>
              </w:rPr>
              <w:t xml:space="preserve">: </w:t>
            </w:r>
            <w:r w:rsidRPr="0053423A">
              <w:rPr>
                <w:lang w:val="hy-AM"/>
              </w:rPr>
              <w:t>Ջրային</w:t>
            </w:r>
            <w:r w:rsidRPr="0053423A">
              <w:rPr>
                <w:lang w:val="af-ZA"/>
              </w:rPr>
              <w:t xml:space="preserve"> </w:t>
            </w:r>
            <w:r w:rsidRPr="0053423A">
              <w:rPr>
                <w:lang w:val="hy-AM"/>
              </w:rPr>
              <w:t>պաշարների</w:t>
            </w:r>
            <w:r w:rsidRPr="0053423A">
              <w:rPr>
                <w:lang w:val="af-ZA"/>
              </w:rPr>
              <w:t xml:space="preserve"> </w:t>
            </w:r>
            <w:r w:rsidRPr="0053423A">
              <w:rPr>
                <w:lang w:val="hy-AM"/>
              </w:rPr>
              <w:t>դեֆիցիտի</w:t>
            </w:r>
            <w:r w:rsidRPr="0053423A">
              <w:rPr>
                <w:lang w:val="af-ZA"/>
              </w:rPr>
              <w:t xml:space="preserve"> </w:t>
            </w:r>
            <w:r w:rsidRPr="0053423A">
              <w:rPr>
                <w:lang w:val="hy-AM"/>
              </w:rPr>
              <w:t>լրացումը</w:t>
            </w:r>
            <w:r w:rsidRPr="0053423A">
              <w:rPr>
                <w:lang w:val="af-ZA"/>
              </w:rPr>
              <w:t xml:space="preserve"> </w:t>
            </w:r>
            <w:r w:rsidRPr="0053423A">
              <w:rPr>
                <w:lang w:val="hy-AM"/>
              </w:rPr>
              <w:t>Սևանա</w:t>
            </w:r>
            <w:r w:rsidRPr="0053423A">
              <w:rPr>
                <w:lang w:val="af-ZA"/>
              </w:rPr>
              <w:t xml:space="preserve"> </w:t>
            </w:r>
            <w:r w:rsidRPr="0053423A">
              <w:rPr>
                <w:lang w:val="hy-AM"/>
              </w:rPr>
              <w:t>լճի</w:t>
            </w:r>
            <w:r w:rsidRPr="0053423A">
              <w:rPr>
                <w:lang w:val="af-ZA"/>
              </w:rPr>
              <w:t xml:space="preserve"> </w:t>
            </w:r>
            <w:r w:rsidRPr="0053423A">
              <w:rPr>
                <w:lang w:val="hy-AM"/>
              </w:rPr>
              <w:t>ջրային</w:t>
            </w:r>
            <w:r w:rsidRPr="0053423A">
              <w:rPr>
                <w:lang w:val="af-ZA"/>
              </w:rPr>
              <w:t xml:space="preserve"> </w:t>
            </w:r>
            <w:r w:rsidRPr="0053423A">
              <w:rPr>
                <w:lang w:val="hy-AM"/>
              </w:rPr>
              <w:t>պաշարների</w:t>
            </w:r>
            <w:r w:rsidRPr="0053423A">
              <w:rPr>
                <w:lang w:val="af-ZA"/>
              </w:rPr>
              <w:t xml:space="preserve"> </w:t>
            </w:r>
            <w:r w:rsidRPr="0053423A">
              <w:rPr>
                <w:lang w:val="hy-AM"/>
              </w:rPr>
              <w:t>հաշվին</w:t>
            </w:r>
            <w:r w:rsidRPr="0053423A">
              <w:rPr>
                <w:lang w:val="af-ZA"/>
              </w:rPr>
              <w:t xml:space="preserve"> </w:t>
            </w:r>
            <w:r w:rsidRPr="0053423A">
              <w:rPr>
                <w:lang w:val="hy-AM"/>
              </w:rPr>
              <w:t>հանգեցնում</w:t>
            </w:r>
            <w:r w:rsidRPr="0053423A">
              <w:rPr>
                <w:lang w:val="af-ZA"/>
              </w:rPr>
              <w:t xml:space="preserve"> </w:t>
            </w:r>
            <w:r w:rsidRPr="0053423A">
              <w:rPr>
                <w:lang w:val="hy-AM"/>
              </w:rPr>
              <w:t>է</w:t>
            </w:r>
            <w:r w:rsidRPr="0053423A">
              <w:rPr>
                <w:lang w:val="af-ZA"/>
              </w:rPr>
              <w:t xml:space="preserve"> </w:t>
            </w:r>
            <w:r w:rsidRPr="0053423A">
              <w:rPr>
                <w:lang w:val="hy-AM"/>
              </w:rPr>
              <w:t>էկոլոգիական</w:t>
            </w:r>
            <w:r w:rsidRPr="0053423A">
              <w:rPr>
                <w:lang w:val="af-ZA"/>
              </w:rPr>
              <w:t xml:space="preserve"> </w:t>
            </w:r>
            <w:r w:rsidRPr="0053423A">
              <w:rPr>
                <w:lang w:val="hy-AM"/>
              </w:rPr>
              <w:t>խնդիրների</w:t>
            </w:r>
            <w:r w:rsidRPr="0053423A">
              <w:rPr>
                <w:lang w:val="af-ZA"/>
              </w:rPr>
              <w:t xml:space="preserve">, </w:t>
            </w:r>
            <w:r w:rsidRPr="0053423A">
              <w:rPr>
                <w:lang w:val="hy-AM"/>
              </w:rPr>
              <w:t>որը</w:t>
            </w:r>
            <w:r w:rsidRPr="0053423A">
              <w:rPr>
                <w:lang w:val="af-ZA"/>
              </w:rPr>
              <w:t xml:space="preserve"> </w:t>
            </w:r>
            <w:r w:rsidRPr="0053423A">
              <w:rPr>
                <w:lang w:val="hy-AM"/>
              </w:rPr>
              <w:t>լուրջ</w:t>
            </w:r>
            <w:r w:rsidRPr="0053423A">
              <w:rPr>
                <w:lang w:val="af-ZA"/>
              </w:rPr>
              <w:t xml:space="preserve"> </w:t>
            </w:r>
            <w:r w:rsidRPr="0053423A">
              <w:rPr>
                <w:lang w:val="hy-AM"/>
              </w:rPr>
              <w:t>մտահոգություն</w:t>
            </w:r>
            <w:r w:rsidRPr="0053423A">
              <w:rPr>
                <w:lang w:val="af-ZA"/>
              </w:rPr>
              <w:t xml:space="preserve"> </w:t>
            </w:r>
            <w:r w:rsidRPr="0053423A">
              <w:rPr>
                <w:lang w:val="hy-AM"/>
              </w:rPr>
              <w:t>է</w:t>
            </w:r>
            <w:r w:rsidRPr="0053423A">
              <w:rPr>
                <w:lang w:val="af-ZA"/>
              </w:rPr>
              <w:t xml:space="preserve"> </w:t>
            </w:r>
            <w:r w:rsidRPr="0053423A">
              <w:rPr>
                <w:lang w:val="hy-AM"/>
              </w:rPr>
              <w:t>առաջացնում</w:t>
            </w:r>
            <w:r w:rsidRPr="0053423A">
              <w:rPr>
                <w:lang w:val="af-ZA"/>
              </w:rPr>
              <w:t xml:space="preserve"> </w:t>
            </w:r>
            <w:r w:rsidRPr="0053423A">
              <w:rPr>
                <w:lang w:val="hy-AM"/>
              </w:rPr>
              <w:t>հասարակության</w:t>
            </w:r>
            <w:r w:rsidRPr="0053423A">
              <w:rPr>
                <w:lang w:val="af-ZA"/>
              </w:rPr>
              <w:t xml:space="preserve"> </w:t>
            </w:r>
            <w:r w:rsidRPr="0053423A">
              <w:rPr>
                <w:lang w:val="hy-AM"/>
              </w:rPr>
              <w:t>շրջանում</w:t>
            </w:r>
            <w:r w:rsidRPr="0053423A">
              <w:rPr>
                <w:lang w:val="af-ZA"/>
              </w:rPr>
              <w:t>:</w:t>
            </w:r>
          </w:p>
          <w:p w:rsidR="00530B14" w:rsidRPr="0053423A" w:rsidRDefault="00530B14" w:rsidP="00A67858">
            <w:pPr>
              <w:tabs>
                <w:tab w:val="left" w:pos="0"/>
              </w:tabs>
              <w:spacing w:line="276" w:lineRule="auto"/>
              <w:jc w:val="both"/>
              <w:rPr>
                <w:lang w:val="hy-AM"/>
              </w:rPr>
            </w:pPr>
            <w:r w:rsidRPr="0053423A">
              <w:rPr>
                <w:lang w:val="hy-AM"/>
              </w:rPr>
              <w:tab/>
              <w:t>Ստեղծված իրավիճակում ջրային պաշարների պահպանման և արդյունավետ օգտագործման գործում պետության դերը տարեց տարի առավել է կարևորվում: Այն ընդգրկում է ոռոգման քաղաքականության մշակում, այդ թվում` ոռոգման արդիական (ջրախնայողական) համակարգերի ներդրման խթանում՝ մակերեսային ոռոգման համե</w:t>
            </w:r>
            <w:r w:rsidRPr="0053423A">
              <w:rPr>
                <w:lang w:val="hy-AM"/>
              </w:rPr>
              <w:softHyphen/>
              <w:t>մատությամբ դրանց առավելություն</w:t>
            </w:r>
            <w:r w:rsidRPr="0053423A">
              <w:rPr>
                <w:lang w:val="hy-AM"/>
              </w:rPr>
              <w:softHyphen/>
              <w:t>ներին ծանոթացման միջոցով, ջրօգտագործողների իրազեկության մակարդակի բարձրացմամբ, ինչպես նաև  համակարգերի ներդրման համար անհրաժեշտ ֆինանսավորման պետական աջակցության իրականացմամբ:</w:t>
            </w:r>
          </w:p>
          <w:p w:rsidR="00530B14" w:rsidRPr="0053423A" w:rsidRDefault="00530B14" w:rsidP="00A67858">
            <w:pPr>
              <w:tabs>
                <w:tab w:val="left" w:pos="0"/>
              </w:tabs>
              <w:spacing w:line="276" w:lineRule="auto"/>
              <w:jc w:val="both"/>
              <w:rPr>
                <w:lang w:val="hy-AM"/>
              </w:rPr>
            </w:pPr>
            <w:r w:rsidRPr="0053423A">
              <w:rPr>
                <w:lang w:val="hy-AM"/>
              </w:rPr>
              <w:tab/>
              <w:t>ՀՀ կառավարության 2017 թվականի դեկտեմբերի 21-ի նիստում N 53 արձանա</w:t>
            </w:r>
            <w:r w:rsidRPr="0053423A">
              <w:rPr>
                <w:lang w:val="hy-AM"/>
              </w:rPr>
              <w:softHyphen/>
              <w:t>գրային որոշմամբ հավանության է արժանացել Կաթիլային ոռոգման համակարգերի ներդրման համար տրամադրվող վարկերի տոկոսադրույքների սուբսիդավորման ծրագիրը (այսուհետ՝ Ծրագիր)։</w:t>
            </w:r>
          </w:p>
          <w:p w:rsidR="00530B14" w:rsidRPr="0053423A" w:rsidRDefault="00530B14" w:rsidP="00A67858">
            <w:pPr>
              <w:tabs>
                <w:tab w:val="left" w:pos="0"/>
              </w:tabs>
              <w:spacing w:line="276" w:lineRule="auto"/>
              <w:jc w:val="both"/>
              <w:rPr>
                <w:rFonts w:eastAsia="Calibri"/>
                <w:lang w:val="hy-AM"/>
              </w:rPr>
            </w:pPr>
            <w:r w:rsidRPr="0053423A">
              <w:rPr>
                <w:rFonts w:eastAsia="Calibri"/>
                <w:lang w:val="hy-AM"/>
              </w:rPr>
              <w:tab/>
              <w:t>Մի կողմից՝ հաշվի առնելով կաթիլային ոռոգման համակարգի առավելու</w:t>
            </w:r>
            <w:r w:rsidRPr="0053423A">
              <w:rPr>
                <w:rFonts w:eastAsia="Calibri"/>
                <w:lang w:val="hy-AM"/>
              </w:rPr>
              <w:softHyphen/>
              <w:t>թյուն</w:t>
            </w:r>
            <w:r w:rsidRPr="0053423A">
              <w:rPr>
                <w:rFonts w:eastAsia="Calibri"/>
                <w:lang w:val="hy-AM"/>
              </w:rPr>
              <w:softHyphen/>
              <w:t>ները մակերեսային ոռոգման նկատմամբ, վերջին տարիներին ահագնացող տեմպե</w:t>
            </w:r>
            <w:r w:rsidRPr="0053423A">
              <w:rPr>
                <w:rFonts w:eastAsia="Calibri"/>
                <w:lang w:val="hy-AM"/>
              </w:rPr>
              <w:softHyphen/>
              <w:t>րի հասնող ոռոգման ջրի դեֆիցիտի գործոնը, պոտենցիալ շահառուների բավական մեծ շահագրգռվածությունը, մյուս կողմից էլ համակարգերի ներդրման համար հիմնական խոչնդոտ հանդիսացող անհրաժեշտ ֆինանսական միջոցների (նախնական կապի</w:t>
            </w:r>
            <w:r w:rsidRPr="0053423A">
              <w:rPr>
                <w:rFonts w:eastAsia="Calibri"/>
                <w:lang w:val="hy-AM"/>
              </w:rPr>
              <w:softHyphen/>
              <w:t>տալի) բացակայությունը, Ծրագրի մշակման փուլում ընդունվել էր միջին լավատե</w:t>
            </w:r>
            <w:r w:rsidRPr="0053423A">
              <w:rPr>
                <w:rFonts w:eastAsia="Calibri"/>
                <w:lang w:val="hy-AM"/>
              </w:rPr>
              <w:softHyphen/>
              <w:t xml:space="preserve">սական սցենար՝ թիրախային տարածք էր ընտրվել տարեկան 1600-1700 հա-ը։ Սակայն </w:t>
            </w:r>
            <w:r w:rsidRPr="0053423A">
              <w:rPr>
                <w:rFonts w:eastAsia="Calibri" w:cs="Sylfaen"/>
                <w:lang w:val="hy-AM"/>
              </w:rPr>
              <w:t xml:space="preserve">2018 թվականին </w:t>
            </w:r>
            <w:r w:rsidRPr="0053423A">
              <w:rPr>
                <w:rFonts w:eastAsia="Calibri"/>
                <w:lang w:val="hy-AM"/>
              </w:rPr>
              <w:t>կաթիլային ոռոգման համակարգերի ներդրման համար պայմանագիր է կնքել ութ շահառու՝ 146 հա ընդհանուր հողատարածքով։</w:t>
            </w:r>
          </w:p>
          <w:p w:rsidR="00530B14" w:rsidRPr="0053423A" w:rsidRDefault="00530B14" w:rsidP="00A67858">
            <w:pPr>
              <w:tabs>
                <w:tab w:val="left" w:pos="0"/>
              </w:tabs>
              <w:spacing w:line="276" w:lineRule="auto"/>
              <w:jc w:val="both"/>
              <w:rPr>
                <w:rFonts w:eastAsia="Calibri"/>
                <w:lang w:val="hy-AM"/>
              </w:rPr>
            </w:pPr>
            <w:r w:rsidRPr="0053423A">
              <w:rPr>
                <w:rFonts w:eastAsia="Calibri"/>
                <w:lang w:val="hy-AM"/>
              </w:rPr>
              <w:tab/>
              <w:t>Վերլուծելով Ծրագրի դանդաղ ընթացքը, կարելի է առանձ</w:t>
            </w:r>
            <w:r w:rsidRPr="0053423A">
              <w:rPr>
                <w:rFonts w:eastAsia="Calibri"/>
                <w:lang w:val="hy-AM"/>
              </w:rPr>
              <w:softHyphen/>
              <w:t>նացնել նախատեսված սահմանաքանակ</w:t>
            </w:r>
            <w:r w:rsidRPr="0053423A">
              <w:rPr>
                <w:rFonts w:eastAsia="Calibri"/>
                <w:lang w:val="hy-AM"/>
              </w:rPr>
              <w:softHyphen/>
              <w:t>ների (հողատարածքների) չիրացման հետևյալ պատճառները՝</w:t>
            </w:r>
          </w:p>
          <w:p w:rsidR="00530B14" w:rsidRPr="0053423A" w:rsidRDefault="00530B14" w:rsidP="00A67858">
            <w:pPr>
              <w:pStyle w:val="ListParagraph"/>
              <w:numPr>
                <w:ilvl w:val="0"/>
                <w:numId w:val="90"/>
              </w:numPr>
              <w:tabs>
                <w:tab w:val="left" w:pos="709"/>
                <w:tab w:val="left" w:pos="9923"/>
              </w:tabs>
              <w:spacing w:line="276" w:lineRule="auto"/>
              <w:ind w:left="0" w:firstLine="450"/>
              <w:jc w:val="both"/>
              <w:rPr>
                <w:lang w:val="hy-AM"/>
              </w:rPr>
            </w:pPr>
            <w:r w:rsidRPr="0053423A">
              <w:rPr>
                <w:rFonts w:cs="Sylfaen"/>
                <w:lang w:val="hy-AM"/>
              </w:rPr>
              <w:t>Ծրագրի</w:t>
            </w:r>
            <w:r w:rsidRPr="0053423A">
              <w:rPr>
                <w:lang w:val="hy-AM"/>
              </w:rPr>
              <w:t xml:space="preserve"> ուշ մեկնարկ՝ պայմանավորված </w:t>
            </w:r>
            <w:r w:rsidRPr="0053423A">
              <w:rPr>
                <w:rFonts w:cs="Sylfaen"/>
                <w:lang w:val="hy-AM"/>
              </w:rPr>
              <w:t>ՀՀ գյուղատնտեսության նախարա</w:t>
            </w:r>
            <w:r w:rsidRPr="0053423A">
              <w:rPr>
                <w:rFonts w:cs="Sylfaen"/>
                <w:lang w:val="hy-AM"/>
              </w:rPr>
              <w:softHyphen/>
              <w:t xml:space="preserve">րության, </w:t>
            </w:r>
            <w:r w:rsidRPr="0053423A">
              <w:rPr>
                <w:lang w:val="hy-AM"/>
              </w:rPr>
              <w:t xml:space="preserve">Գյուղատնտեսության ֆինանսավորման կառույցի (ԳՖԿ), </w:t>
            </w:r>
            <w:r w:rsidRPr="0053423A">
              <w:rPr>
                <w:rFonts w:cs="Sylfaen"/>
                <w:lang w:val="hy-AM"/>
              </w:rPr>
              <w:t>ֆինանսական կառույցների և կապալառուների միջև իրավահարաբերությունները կարգավորող փաստաթղթերի՝ հուշագրերի, պայմանա</w:t>
            </w:r>
            <w:r w:rsidRPr="0053423A">
              <w:rPr>
                <w:rFonts w:cs="Sylfaen"/>
                <w:lang w:val="hy-AM"/>
              </w:rPr>
              <w:softHyphen/>
              <w:t>գրերի մշակման ու կնքման ժամանակատար գործընթացներով,</w:t>
            </w:r>
          </w:p>
          <w:p w:rsidR="00530B14" w:rsidRPr="0053423A" w:rsidRDefault="00530B14" w:rsidP="00A67858">
            <w:pPr>
              <w:pStyle w:val="ListParagraph"/>
              <w:numPr>
                <w:ilvl w:val="0"/>
                <w:numId w:val="90"/>
              </w:numPr>
              <w:tabs>
                <w:tab w:val="left" w:pos="709"/>
                <w:tab w:val="left" w:pos="9923"/>
              </w:tabs>
              <w:spacing w:line="276" w:lineRule="auto"/>
              <w:ind w:left="0" w:firstLine="450"/>
              <w:jc w:val="both"/>
              <w:rPr>
                <w:lang w:val="hy-AM"/>
              </w:rPr>
            </w:pPr>
            <w:r w:rsidRPr="0053423A">
              <w:rPr>
                <w:rFonts w:cs="Sylfaen"/>
                <w:lang w:val="hy-AM"/>
              </w:rPr>
              <w:t>շահառուների իրազեկվածության դեռևս ցածր մակարդակ,</w:t>
            </w:r>
          </w:p>
          <w:p w:rsidR="00530B14" w:rsidRPr="0053423A" w:rsidRDefault="00530B14" w:rsidP="00A67858">
            <w:pPr>
              <w:pStyle w:val="ListParagraph"/>
              <w:numPr>
                <w:ilvl w:val="0"/>
                <w:numId w:val="90"/>
              </w:numPr>
              <w:tabs>
                <w:tab w:val="left" w:pos="709"/>
                <w:tab w:val="left" w:pos="9923"/>
              </w:tabs>
              <w:spacing w:line="276" w:lineRule="auto"/>
              <w:ind w:left="0" w:firstLine="450"/>
              <w:jc w:val="both"/>
              <w:rPr>
                <w:lang w:val="hy-AM"/>
              </w:rPr>
            </w:pPr>
            <w:r w:rsidRPr="0053423A">
              <w:rPr>
                <w:rFonts w:cs="Sylfaen"/>
                <w:lang w:val="hy-AM"/>
              </w:rPr>
              <w:t>շահառուների վարկունակության հիմնախնդիր,</w:t>
            </w:r>
          </w:p>
          <w:p w:rsidR="00530B14" w:rsidRPr="0053423A" w:rsidRDefault="00530B14" w:rsidP="00A67858">
            <w:pPr>
              <w:pStyle w:val="ListParagraph"/>
              <w:numPr>
                <w:ilvl w:val="0"/>
                <w:numId w:val="90"/>
              </w:numPr>
              <w:tabs>
                <w:tab w:val="left" w:pos="709"/>
                <w:tab w:val="left" w:pos="9923"/>
              </w:tabs>
              <w:spacing w:line="276" w:lineRule="auto"/>
              <w:ind w:left="0" w:firstLine="450"/>
              <w:jc w:val="both"/>
              <w:rPr>
                <w:lang w:val="hy-AM"/>
              </w:rPr>
            </w:pPr>
            <w:r w:rsidRPr="0053423A">
              <w:rPr>
                <w:lang w:val="hy-AM"/>
              </w:rPr>
              <w:t>կապալառուների ներգրավվածություն։</w:t>
            </w:r>
          </w:p>
          <w:p w:rsidR="00530B14" w:rsidRPr="0053423A" w:rsidRDefault="00530B14" w:rsidP="00A67858">
            <w:pPr>
              <w:tabs>
                <w:tab w:val="left" w:pos="0"/>
              </w:tabs>
              <w:spacing w:line="276" w:lineRule="auto"/>
              <w:jc w:val="both"/>
              <w:rPr>
                <w:rFonts w:eastAsia="Calibri"/>
                <w:lang w:val="hy-AM"/>
              </w:rPr>
            </w:pPr>
            <w:r w:rsidRPr="0053423A">
              <w:rPr>
                <w:rFonts w:eastAsia="Calibri"/>
                <w:lang w:val="hy-AM"/>
              </w:rPr>
              <w:tab/>
              <w:t>Հարկ է նշել նաև, որ Ծրագրի իրազեկման նպատակով մարզային այցելու</w:t>
            </w:r>
            <w:r w:rsidRPr="0053423A">
              <w:rPr>
                <w:rFonts w:eastAsia="Calibri"/>
                <w:lang w:val="hy-AM"/>
              </w:rPr>
              <w:softHyphen/>
              <w:t>թյուն</w:t>
            </w:r>
            <w:r w:rsidRPr="0053423A">
              <w:rPr>
                <w:rFonts w:eastAsia="Calibri"/>
                <w:lang w:val="hy-AM"/>
              </w:rPr>
              <w:softHyphen/>
              <w:t>ները ցույց են տալիս, որ ջրօգտագործողների մոտ հետարքրքվա</w:t>
            </w:r>
            <w:r w:rsidRPr="0053423A">
              <w:rPr>
                <w:rFonts w:eastAsia="Calibri"/>
                <w:lang w:val="hy-AM"/>
              </w:rPr>
              <w:softHyphen/>
              <w:t>ծու</w:t>
            </w:r>
            <w:r w:rsidRPr="0053423A">
              <w:rPr>
                <w:rFonts w:eastAsia="Calibri"/>
                <w:lang w:val="hy-AM"/>
              </w:rPr>
              <w:softHyphen/>
              <w:t>թյունը բավական մեծ է, արձագանքները՝ դրական, ինչն էլ հիմք է տալիս հավաստելու, որ աստիճա</w:t>
            </w:r>
            <w:r w:rsidRPr="0053423A">
              <w:rPr>
                <w:rFonts w:eastAsia="Calibri"/>
                <w:lang w:val="hy-AM"/>
              </w:rPr>
              <w:softHyphen/>
              <w:t>նաբար ավելի ու ավելի շատ շահառուներ են օգտվելու տրամադրվող վարկերից։</w:t>
            </w:r>
          </w:p>
          <w:p w:rsidR="00530B14" w:rsidRPr="0053423A" w:rsidRDefault="00530B14" w:rsidP="00A67858">
            <w:pPr>
              <w:tabs>
                <w:tab w:val="left" w:pos="567"/>
              </w:tabs>
              <w:spacing w:line="276" w:lineRule="auto"/>
              <w:jc w:val="both"/>
              <w:rPr>
                <w:rFonts w:eastAsia="Calibri"/>
                <w:b/>
                <w:lang w:val="hy-AM"/>
              </w:rPr>
            </w:pPr>
            <w:r w:rsidRPr="0053423A">
              <w:rPr>
                <w:rFonts w:eastAsia="Calibri"/>
                <w:b/>
                <w:lang w:val="hy-AM"/>
              </w:rPr>
              <w:tab/>
              <w:t>1.2. Առկա խնդիրների առաջարկվող լուծումները</w:t>
            </w:r>
          </w:p>
          <w:p w:rsidR="00530B14" w:rsidRPr="0053423A" w:rsidRDefault="00530B14" w:rsidP="00A67858">
            <w:pPr>
              <w:tabs>
                <w:tab w:val="left" w:pos="562"/>
                <w:tab w:val="left" w:pos="9923"/>
              </w:tabs>
              <w:spacing w:line="276" w:lineRule="auto"/>
              <w:jc w:val="both"/>
              <w:rPr>
                <w:rFonts w:cs="Sylfaen"/>
                <w:lang w:val="hy-AM"/>
              </w:rPr>
            </w:pPr>
            <w:r w:rsidRPr="0053423A">
              <w:rPr>
                <w:rFonts w:cs="Sylfaen"/>
                <w:lang w:val="hy-AM"/>
              </w:rPr>
              <w:tab/>
              <w:t>Հաշվի առնելով կատարված ուսումնասիրությունների և վերլուծությունների արդյունք</w:t>
            </w:r>
            <w:r w:rsidRPr="0053423A">
              <w:rPr>
                <w:rFonts w:cs="Sylfaen"/>
                <w:lang w:val="hy-AM"/>
              </w:rPr>
              <w:softHyphen/>
            </w:r>
            <w:r w:rsidRPr="0053423A">
              <w:rPr>
                <w:rFonts w:cs="Sylfaen"/>
                <w:lang w:val="hy-AM"/>
              </w:rPr>
              <w:softHyphen/>
              <w:t>ները, տնտեսավա</w:t>
            </w:r>
            <w:r w:rsidRPr="0053423A">
              <w:rPr>
                <w:rFonts w:cs="Sylfaen"/>
                <w:lang w:val="hy-AM"/>
              </w:rPr>
              <w:softHyphen/>
              <w:t>րող</w:t>
            </w:r>
            <w:r w:rsidRPr="0053423A">
              <w:rPr>
                <w:rFonts w:cs="Sylfaen"/>
                <w:lang w:val="hy-AM"/>
              </w:rPr>
              <w:softHyphen/>
              <w:t>ների ավելի լայն շրջանակի ծրագրից օգտվելու հնարա</w:t>
            </w:r>
            <w:r w:rsidRPr="0053423A">
              <w:rPr>
                <w:rFonts w:cs="Sylfaen"/>
                <w:lang w:val="hy-AM"/>
              </w:rPr>
              <w:softHyphen/>
              <w:t>վորություն ընձեռելու նպատակով՝ մշակվել է Ոռոգման արդիական համակարգերի ներդրման համաֆինանսավորման ծրագիրը, որում լրացվել են անձրևացման համա</w:t>
            </w:r>
            <w:r w:rsidRPr="0053423A">
              <w:rPr>
                <w:rFonts w:cs="Sylfaen"/>
                <w:lang w:val="hy-AM"/>
              </w:rPr>
              <w:softHyphen/>
              <w:t>կար</w:t>
            </w:r>
            <w:r w:rsidRPr="0053423A">
              <w:rPr>
                <w:rFonts w:cs="Sylfaen"/>
                <w:lang w:val="hy-AM"/>
              </w:rPr>
              <w:softHyphen/>
              <w:t>գերի վերաբերյալ</w:t>
            </w:r>
            <w:r w:rsidRPr="0053423A">
              <w:rPr>
                <w:rFonts w:cs="Sylfaen"/>
                <w:lang w:val="af-ZA"/>
              </w:rPr>
              <w:t xml:space="preserve"> </w:t>
            </w:r>
            <w:r w:rsidRPr="0053423A">
              <w:rPr>
                <w:rFonts w:cs="Sylfaen"/>
                <w:lang w:val="hy-AM"/>
              </w:rPr>
              <w:t>դրույթներ</w:t>
            </w:r>
            <w:r w:rsidRPr="0053423A">
              <w:rPr>
                <w:rFonts w:cs="Sylfaen"/>
                <w:lang w:val="af-ZA"/>
              </w:rPr>
              <w:t xml:space="preserve">, </w:t>
            </w:r>
            <w:r w:rsidRPr="0053423A">
              <w:rPr>
                <w:rFonts w:cs="Sylfaen"/>
                <w:lang w:val="hy-AM"/>
              </w:rPr>
              <w:t>հանվել</w:t>
            </w:r>
            <w:r w:rsidRPr="0053423A">
              <w:rPr>
                <w:rFonts w:cs="Sylfaen"/>
                <w:lang w:val="af-ZA"/>
              </w:rPr>
              <w:t xml:space="preserve"> </w:t>
            </w:r>
            <w:r w:rsidRPr="0053423A">
              <w:rPr>
                <w:rFonts w:cs="Sylfaen"/>
                <w:lang w:val="hy-AM"/>
              </w:rPr>
              <w:t>է</w:t>
            </w:r>
            <w:r w:rsidRPr="0053423A">
              <w:rPr>
                <w:rFonts w:cs="Sylfaen"/>
                <w:lang w:val="af-ZA"/>
              </w:rPr>
              <w:t xml:space="preserve"> </w:t>
            </w:r>
            <w:r w:rsidRPr="0053423A">
              <w:rPr>
                <w:rFonts w:cs="Sylfaen"/>
                <w:lang w:val="hy-AM"/>
              </w:rPr>
              <w:t>համակարգերի</w:t>
            </w:r>
            <w:r w:rsidRPr="0053423A">
              <w:rPr>
                <w:rFonts w:cs="Sylfaen"/>
                <w:lang w:val="af-ZA"/>
              </w:rPr>
              <w:t xml:space="preserve"> </w:t>
            </w:r>
            <w:r w:rsidRPr="0053423A">
              <w:rPr>
                <w:rFonts w:cs="Sylfaen"/>
                <w:lang w:val="hy-AM"/>
              </w:rPr>
              <w:t>ներդրման</w:t>
            </w:r>
            <w:r w:rsidRPr="0053423A">
              <w:rPr>
                <w:rFonts w:cs="Sylfaen"/>
                <w:lang w:val="af-ZA"/>
              </w:rPr>
              <w:t xml:space="preserve"> </w:t>
            </w:r>
            <w:r w:rsidRPr="0053423A">
              <w:rPr>
                <w:rFonts w:cs="Sylfaen"/>
                <w:lang w:val="hy-AM"/>
              </w:rPr>
              <w:t>աշխատանքները</w:t>
            </w:r>
            <w:r w:rsidRPr="0053423A">
              <w:rPr>
                <w:rFonts w:cs="Sylfaen"/>
                <w:lang w:val="af-ZA"/>
              </w:rPr>
              <w:t xml:space="preserve"> </w:t>
            </w:r>
            <w:r w:rsidRPr="0053423A">
              <w:rPr>
                <w:rFonts w:cs="Sylfaen"/>
                <w:lang w:val="hy-AM"/>
              </w:rPr>
              <w:t>կապալառուների</w:t>
            </w:r>
            <w:r w:rsidRPr="0053423A">
              <w:rPr>
                <w:rFonts w:cs="Sylfaen"/>
                <w:lang w:val="af-ZA"/>
              </w:rPr>
              <w:t xml:space="preserve"> </w:t>
            </w:r>
            <w:r w:rsidRPr="0053423A">
              <w:rPr>
                <w:rFonts w:cs="Sylfaen"/>
                <w:lang w:val="hy-AM"/>
              </w:rPr>
              <w:t>միջոցով</w:t>
            </w:r>
            <w:r w:rsidRPr="0053423A">
              <w:rPr>
                <w:rFonts w:cs="Sylfaen"/>
                <w:lang w:val="af-ZA"/>
              </w:rPr>
              <w:t xml:space="preserve"> </w:t>
            </w:r>
            <w:r w:rsidRPr="0053423A">
              <w:rPr>
                <w:rFonts w:cs="Sylfaen"/>
                <w:lang w:val="hy-AM"/>
              </w:rPr>
              <w:t>իրականացնելու</w:t>
            </w:r>
            <w:r w:rsidRPr="0053423A">
              <w:rPr>
                <w:rFonts w:cs="Sylfaen"/>
                <w:lang w:val="af-ZA"/>
              </w:rPr>
              <w:t xml:space="preserve"> </w:t>
            </w:r>
            <w:r w:rsidRPr="0053423A">
              <w:rPr>
                <w:rFonts w:cs="Sylfaen"/>
                <w:lang w:val="hy-AM"/>
              </w:rPr>
              <w:t>պարտադիր</w:t>
            </w:r>
            <w:r w:rsidRPr="0053423A">
              <w:rPr>
                <w:rFonts w:cs="Sylfaen"/>
                <w:lang w:val="af-ZA"/>
              </w:rPr>
              <w:t xml:space="preserve"> </w:t>
            </w:r>
            <w:r w:rsidRPr="0053423A">
              <w:rPr>
                <w:rFonts w:cs="Sylfaen"/>
                <w:lang w:val="hy-AM"/>
              </w:rPr>
              <w:t>դրույթը, ինչպես</w:t>
            </w:r>
            <w:r w:rsidRPr="0053423A">
              <w:rPr>
                <w:rFonts w:cs="Sylfaen"/>
                <w:lang w:val="af-ZA"/>
              </w:rPr>
              <w:t xml:space="preserve"> </w:t>
            </w:r>
            <w:r w:rsidRPr="0053423A">
              <w:rPr>
                <w:rFonts w:cs="Sylfaen"/>
                <w:lang w:val="hy-AM"/>
              </w:rPr>
              <w:t>նաև</w:t>
            </w:r>
            <w:r w:rsidRPr="0053423A">
              <w:rPr>
                <w:rFonts w:cs="Sylfaen"/>
                <w:lang w:val="af-ZA"/>
              </w:rPr>
              <w:t xml:space="preserve"> </w:t>
            </w:r>
            <w:r w:rsidRPr="0053423A">
              <w:rPr>
                <w:rFonts w:cs="Sylfaen"/>
                <w:lang w:val="hy-AM"/>
              </w:rPr>
              <w:t>նախատեսվել</w:t>
            </w:r>
            <w:r w:rsidRPr="0053423A">
              <w:rPr>
                <w:rFonts w:cs="Sylfaen"/>
                <w:lang w:val="af-ZA"/>
              </w:rPr>
              <w:t xml:space="preserve"> </w:t>
            </w:r>
            <w:r w:rsidRPr="0053423A">
              <w:rPr>
                <w:rFonts w:cs="Sylfaen"/>
                <w:lang w:val="hy-AM"/>
              </w:rPr>
              <w:t>են</w:t>
            </w:r>
            <w:r w:rsidRPr="0053423A">
              <w:rPr>
                <w:rFonts w:cs="Sylfaen"/>
                <w:lang w:val="af-ZA"/>
              </w:rPr>
              <w:t xml:space="preserve"> </w:t>
            </w:r>
            <w:r w:rsidRPr="0053423A">
              <w:rPr>
                <w:rFonts w:cs="Sylfaen"/>
                <w:lang w:val="hy-AM"/>
              </w:rPr>
              <w:t>համաֆինանսավորման</w:t>
            </w:r>
            <w:r w:rsidRPr="0053423A">
              <w:rPr>
                <w:rFonts w:cs="Sylfaen"/>
                <w:lang w:val="af-ZA"/>
              </w:rPr>
              <w:t xml:space="preserve"> </w:t>
            </w:r>
            <w:r w:rsidRPr="0053423A">
              <w:rPr>
                <w:rFonts w:cs="Sylfaen"/>
                <w:lang w:val="hy-AM"/>
              </w:rPr>
              <w:t>նոր</w:t>
            </w:r>
            <w:r w:rsidRPr="0053423A">
              <w:rPr>
                <w:rFonts w:cs="Sylfaen"/>
                <w:lang w:val="af-ZA"/>
              </w:rPr>
              <w:t xml:space="preserve"> </w:t>
            </w:r>
            <w:r w:rsidRPr="0053423A">
              <w:rPr>
                <w:rFonts w:cs="Sylfaen"/>
                <w:lang w:val="hy-AM"/>
              </w:rPr>
              <w:t>տարբերակներ՝</w:t>
            </w:r>
            <w:r w:rsidRPr="0053423A">
              <w:rPr>
                <w:rFonts w:cs="Sylfaen"/>
                <w:lang w:val="af-ZA"/>
              </w:rPr>
              <w:t xml:space="preserve"> սուբսիդավորում կամ փոխհատուցում</w:t>
            </w:r>
            <w:r w:rsidRPr="0053423A">
              <w:rPr>
                <w:rFonts w:cs="Sylfaen"/>
                <w:lang w:val="hy-AM"/>
              </w:rPr>
              <w:t>։</w:t>
            </w:r>
          </w:p>
          <w:p w:rsidR="00530B14" w:rsidRPr="0053423A" w:rsidRDefault="00530B14" w:rsidP="00A67858">
            <w:pPr>
              <w:tabs>
                <w:tab w:val="left" w:pos="562"/>
                <w:tab w:val="left" w:pos="9923"/>
              </w:tabs>
              <w:spacing w:line="276" w:lineRule="auto"/>
              <w:jc w:val="both"/>
              <w:rPr>
                <w:lang w:val="hy-AM"/>
              </w:rPr>
            </w:pPr>
            <w:r w:rsidRPr="0053423A">
              <w:rPr>
                <w:lang w:val="hy-AM"/>
              </w:rPr>
              <w:tab/>
              <w:t>Նախատեսվում</w:t>
            </w:r>
            <w:r w:rsidRPr="0053423A">
              <w:rPr>
                <w:lang w:val="af-ZA"/>
              </w:rPr>
              <w:t xml:space="preserve"> </w:t>
            </w:r>
            <w:r w:rsidRPr="0053423A">
              <w:rPr>
                <w:lang w:val="hy-AM"/>
              </w:rPr>
              <w:t>է</w:t>
            </w:r>
            <w:r w:rsidRPr="0053423A">
              <w:rPr>
                <w:lang w:val="af-ZA"/>
              </w:rPr>
              <w:t xml:space="preserve"> </w:t>
            </w:r>
            <w:r w:rsidRPr="0053423A">
              <w:rPr>
                <w:rFonts w:cs="Tahoma"/>
                <w:iCs/>
                <w:lang w:val="hy-AM"/>
              </w:rPr>
              <w:t>Հայաստանի</w:t>
            </w:r>
            <w:r w:rsidRPr="0053423A">
              <w:rPr>
                <w:iCs/>
                <w:lang w:val="af-ZA"/>
              </w:rPr>
              <w:t xml:space="preserve"> </w:t>
            </w:r>
            <w:r w:rsidRPr="0053423A">
              <w:rPr>
                <w:rFonts w:cs="Sylfaen"/>
                <w:iCs/>
                <w:lang w:val="hy-AM"/>
              </w:rPr>
              <w:t>Հանրապետության</w:t>
            </w:r>
            <w:r w:rsidRPr="0053423A">
              <w:rPr>
                <w:rFonts w:cs="Arial"/>
                <w:lang w:val="af-ZA"/>
              </w:rPr>
              <w:t xml:space="preserve"> </w:t>
            </w:r>
            <w:r w:rsidRPr="0053423A">
              <w:rPr>
                <w:rFonts w:cs="Arial"/>
                <w:lang w:val="hy-AM"/>
              </w:rPr>
              <w:t>պետական</w:t>
            </w:r>
            <w:r w:rsidRPr="0053423A">
              <w:rPr>
                <w:rFonts w:cs="Arial"/>
                <w:lang w:val="af-ZA"/>
              </w:rPr>
              <w:t xml:space="preserve"> </w:t>
            </w:r>
            <w:r w:rsidRPr="0053423A">
              <w:rPr>
                <w:rFonts w:cs="Arial"/>
                <w:lang w:val="hy-AM"/>
              </w:rPr>
              <w:t>բյուջեի</w:t>
            </w:r>
            <w:r w:rsidRPr="0053423A">
              <w:rPr>
                <w:rFonts w:cs="Arial"/>
                <w:lang w:val="af-ZA"/>
              </w:rPr>
              <w:t xml:space="preserve"> </w:t>
            </w:r>
            <w:r w:rsidRPr="0053423A">
              <w:rPr>
                <w:rFonts w:cs="Arial"/>
                <w:lang w:val="hy-AM"/>
              </w:rPr>
              <w:t>հաշվին</w:t>
            </w:r>
            <w:r w:rsidRPr="0053423A">
              <w:rPr>
                <w:rFonts w:cs="Arial"/>
                <w:lang w:val="af-ZA"/>
              </w:rPr>
              <w:t xml:space="preserve"> </w:t>
            </w:r>
            <w:r w:rsidRPr="0053423A">
              <w:rPr>
                <w:rFonts w:cs="Sylfaen"/>
                <w:lang w:val="af-ZA"/>
              </w:rPr>
              <w:t xml:space="preserve">աջակցություն ցուցաբերել </w:t>
            </w:r>
            <w:r w:rsidRPr="0053423A">
              <w:rPr>
                <w:rFonts w:cs="Arial"/>
                <w:lang w:val="hy-AM"/>
              </w:rPr>
              <w:t>ոռոգման</w:t>
            </w:r>
            <w:r w:rsidRPr="0053423A">
              <w:rPr>
                <w:rFonts w:cs="Arial"/>
                <w:lang w:val="af-ZA"/>
              </w:rPr>
              <w:t xml:space="preserve"> </w:t>
            </w:r>
            <w:r w:rsidRPr="0053423A">
              <w:rPr>
                <w:rFonts w:cs="Arial"/>
                <w:lang w:val="hy-AM"/>
              </w:rPr>
              <w:t>արդիական</w:t>
            </w:r>
            <w:r w:rsidRPr="0053423A">
              <w:rPr>
                <w:rFonts w:cs="Sylfaen"/>
                <w:lang w:val="af-ZA"/>
              </w:rPr>
              <w:t xml:space="preserve"> </w:t>
            </w:r>
            <w:r w:rsidRPr="0053423A">
              <w:rPr>
                <w:rFonts w:cs="Sylfaen"/>
                <w:lang w:val="hy-AM"/>
              </w:rPr>
              <w:t>համակարգերի</w:t>
            </w:r>
            <w:r w:rsidRPr="0053423A">
              <w:rPr>
                <w:rFonts w:cs="Sylfaen"/>
                <w:lang w:val="af-ZA"/>
              </w:rPr>
              <w:t xml:space="preserve"> </w:t>
            </w:r>
            <w:r w:rsidRPr="0053423A">
              <w:rPr>
                <w:rFonts w:cs="Sylfaen"/>
                <w:lang w:val="hy-AM"/>
              </w:rPr>
              <w:t>ներդրման</w:t>
            </w:r>
            <w:r w:rsidRPr="0053423A">
              <w:rPr>
                <w:rFonts w:cs="Sylfaen"/>
                <w:lang w:val="af-ZA"/>
              </w:rPr>
              <w:t xml:space="preserve"> </w:t>
            </w:r>
            <w:r w:rsidRPr="0053423A">
              <w:rPr>
                <w:rFonts w:cs="Sylfaen"/>
                <w:lang w:val="hy-AM"/>
              </w:rPr>
              <w:t>գործըն</w:t>
            </w:r>
            <w:r w:rsidRPr="0053423A">
              <w:rPr>
                <w:rFonts w:cs="Sylfaen"/>
                <w:lang w:val="hy-AM"/>
              </w:rPr>
              <w:softHyphen/>
              <w:t>թացին</w:t>
            </w:r>
            <w:r w:rsidRPr="0053423A">
              <w:rPr>
                <w:rFonts w:cs="Arial"/>
                <w:lang w:val="af-ZA"/>
              </w:rPr>
              <w:t>` կիրառելով (ըստ համակարգը ներդնող տնտեսավարողի հայեցողության) ներքոհիշյալ տարբերակներից որևէ մեկը`</w:t>
            </w:r>
            <w:r w:rsidRPr="0053423A">
              <w:rPr>
                <w:rFonts w:cs="Arial"/>
                <w:lang w:val="hy-AM"/>
              </w:rPr>
              <w:t xml:space="preserve"> </w:t>
            </w:r>
            <w:r w:rsidRPr="0053423A">
              <w:rPr>
                <w:lang w:val="hy-AM"/>
              </w:rPr>
              <w:t>ոռոգման արդիական համակարգերի ներդրման համար նպատակային վարկերի տոկոսադրույքի մասնակի սուբսիդա</w:t>
            </w:r>
            <w:r w:rsidRPr="0053423A">
              <w:rPr>
                <w:lang w:val="hy-AM"/>
              </w:rPr>
              <w:softHyphen/>
              <w:t>վորման միջոցով բար</w:t>
            </w:r>
            <w:r w:rsidRPr="0053423A">
              <w:rPr>
                <w:lang w:val="hy-AM"/>
              </w:rPr>
              <w:softHyphen/>
              <w:t>ձրացնել վարկավորման մատ</w:t>
            </w:r>
            <w:r w:rsidRPr="0053423A">
              <w:rPr>
                <w:lang w:val="hy-AM"/>
              </w:rPr>
              <w:softHyphen/>
              <w:t>չելիու</w:t>
            </w:r>
            <w:r w:rsidRPr="0053423A">
              <w:rPr>
                <w:lang w:val="hy-AM"/>
              </w:rPr>
              <w:softHyphen/>
              <w:t>թյան մակարդակը կամ մասնակի փոխհատուցել կատարված ծախսերը:</w:t>
            </w:r>
          </w:p>
          <w:p w:rsidR="00530B14" w:rsidRPr="0053423A" w:rsidRDefault="00530B14" w:rsidP="00A67858">
            <w:pPr>
              <w:tabs>
                <w:tab w:val="left" w:pos="562"/>
                <w:tab w:val="left" w:pos="9923"/>
              </w:tabs>
              <w:spacing w:line="276" w:lineRule="auto"/>
              <w:jc w:val="both"/>
              <w:rPr>
                <w:rFonts w:cs="Sylfaen"/>
                <w:lang w:val="hy-AM"/>
              </w:rPr>
            </w:pPr>
          </w:p>
          <w:p w:rsidR="00530B14" w:rsidRPr="0053423A" w:rsidRDefault="00530B14" w:rsidP="00A67858">
            <w:pPr>
              <w:tabs>
                <w:tab w:val="left" w:pos="567"/>
              </w:tabs>
              <w:spacing w:line="276" w:lineRule="auto"/>
              <w:jc w:val="both"/>
              <w:rPr>
                <w:rFonts w:eastAsia="Calibri"/>
                <w:b/>
                <w:lang w:val="hy-AM"/>
              </w:rPr>
            </w:pPr>
            <w:r w:rsidRPr="0053423A">
              <w:rPr>
                <w:rFonts w:eastAsia="Calibri"/>
                <w:b/>
                <w:lang w:val="hy-AM"/>
              </w:rPr>
              <w:tab/>
              <w:t xml:space="preserve">2. </w:t>
            </w:r>
            <w:r w:rsidRPr="0053423A">
              <w:rPr>
                <w:b/>
                <w:lang w:val="hy-AM"/>
              </w:rPr>
              <w:t>Միջոցառման իրականացումից ակնկալվող արդյունքը</w:t>
            </w:r>
          </w:p>
          <w:p w:rsidR="00530B14" w:rsidRPr="0053423A" w:rsidRDefault="00530B14" w:rsidP="00A67858">
            <w:pPr>
              <w:spacing w:line="276" w:lineRule="auto"/>
              <w:jc w:val="both"/>
              <w:rPr>
                <w:lang w:val="hy-AM"/>
              </w:rPr>
            </w:pPr>
            <w:r w:rsidRPr="0053423A">
              <w:rPr>
                <w:lang w:val="hy-AM"/>
              </w:rPr>
              <w:tab/>
              <w:t>Ծրագրով նախատեսված թիրախային քանակությունը՝ 9000 հա ապահովվելու դեպքում ներդրված տարածքներում 2019-2023թթ. ժամանակահատվածում ակնկալ</w:t>
            </w:r>
            <w:r w:rsidRPr="0053423A">
              <w:rPr>
                <w:lang w:val="hy-AM"/>
              </w:rPr>
              <w:softHyphen/>
              <w:t>վում է շուրջ 80 մլն խմ ջրի տնտեսում, շուրջ 10 մլրդ հավելյալ եկամուտ բերքա</w:t>
            </w:r>
            <w:r w:rsidRPr="0053423A">
              <w:rPr>
                <w:lang w:val="hy-AM"/>
              </w:rPr>
              <w:softHyphen/>
              <w:t>տվության աճի հաշվին, բերքի որակի բարելավում, արդյունավետ գյուղատնտեսություն, շրջակա միջավայրի պահպանում: Ակնկալվում է նաև ՀՀ պետական բյուջեի մուտքերի ավելացում` տարեկան ներդրվող գումարի առնվազն 17%-ի չափով` ավելացված արժեքի և շրջանառության հարկերի տեսքով, ինչպես նաև, լրացուցիչ աշխատատեղերի ստեղծման շնորհիվ` եկամտահարկի տեսքով:</w:t>
            </w:r>
          </w:p>
          <w:p w:rsidR="00530B14" w:rsidRPr="0053423A" w:rsidRDefault="00530B14" w:rsidP="00A67858">
            <w:pPr>
              <w:spacing w:line="276" w:lineRule="auto"/>
              <w:ind w:right="239"/>
              <w:jc w:val="center"/>
              <w:rPr>
                <w:rFonts w:cs="Sylfaen"/>
                <w:b/>
                <w:lang w:val="hy-AM"/>
              </w:rPr>
            </w:pPr>
          </w:p>
          <w:p w:rsidR="00530B14" w:rsidRPr="0053423A" w:rsidRDefault="00530B14" w:rsidP="00A67858">
            <w:pPr>
              <w:spacing w:line="276" w:lineRule="auto"/>
              <w:jc w:val="center"/>
              <w:rPr>
                <w:b/>
                <w:u w:val="single"/>
                <w:lang w:val="hy-AM"/>
              </w:rPr>
            </w:pPr>
            <w:r w:rsidRPr="0053423A">
              <w:rPr>
                <w:rFonts w:cs="Sylfaen"/>
                <w:b/>
                <w:u w:val="single"/>
                <w:lang w:val="hy-AM"/>
              </w:rPr>
              <w:t xml:space="preserve">2.2  </w:t>
            </w:r>
            <w:r w:rsidRPr="0053423A">
              <w:rPr>
                <w:b/>
                <w:u w:val="single"/>
                <w:lang w:val="hy-AM"/>
              </w:rPr>
              <w:t>Հայաստանի Հանրա</w:t>
            </w:r>
            <w:r w:rsidRPr="0053423A">
              <w:rPr>
                <w:b/>
                <w:u w:val="single"/>
                <w:lang w:val="hy-AM"/>
              </w:rPr>
              <w:softHyphen/>
              <w:t>պե</w:t>
            </w:r>
            <w:r w:rsidRPr="0053423A">
              <w:rPr>
                <w:b/>
                <w:u w:val="single"/>
                <w:lang w:val="hy-AM"/>
              </w:rPr>
              <w:softHyphen/>
              <w:t>տությունում խաղողի, ժամանակակից տեխնոլոգիաներով մշակվող ինտենսիվ պտղատու այգիների և հատապտղանոցների հիմնան համար պետական աջակցության ծրագրի իրականացում</w:t>
            </w:r>
          </w:p>
          <w:p w:rsidR="00530B14" w:rsidRPr="0053423A" w:rsidRDefault="00530B14" w:rsidP="00A67858">
            <w:pPr>
              <w:spacing w:line="276" w:lineRule="auto"/>
              <w:ind w:right="239"/>
              <w:jc w:val="center"/>
              <w:rPr>
                <w:b/>
                <w:lang w:val="hy-AM"/>
              </w:rPr>
            </w:pPr>
          </w:p>
          <w:p w:rsidR="00530B14" w:rsidRPr="0053423A" w:rsidRDefault="00530B14" w:rsidP="00A67858">
            <w:pPr>
              <w:tabs>
                <w:tab w:val="left" w:pos="1080"/>
              </w:tabs>
              <w:spacing w:line="276" w:lineRule="auto"/>
              <w:ind w:firstLine="720"/>
              <w:rPr>
                <w:rFonts w:cs="Sylfaen"/>
                <w:b/>
                <w:lang w:val="af-ZA"/>
              </w:rPr>
            </w:pPr>
            <w:r w:rsidRPr="0053423A">
              <w:rPr>
                <w:rFonts w:cs="Sylfaen"/>
                <w:b/>
                <w:lang w:val="hy-AM"/>
              </w:rPr>
              <w:t xml:space="preserve">1. </w:t>
            </w:r>
            <w:r w:rsidRPr="0053423A">
              <w:rPr>
                <w:b/>
                <w:lang w:val="hy-AM"/>
              </w:rPr>
              <w:t>Միջոցառման իրականացման անհրաժեշտությունը և նպատակը</w:t>
            </w:r>
            <w:r w:rsidRPr="0053423A">
              <w:rPr>
                <w:rFonts w:cs="Sylfaen"/>
                <w:b/>
                <w:lang w:val="af-ZA"/>
              </w:rPr>
              <w:t xml:space="preserve"> </w:t>
            </w:r>
          </w:p>
          <w:p w:rsidR="00530B14" w:rsidRPr="0053423A" w:rsidRDefault="00530B14" w:rsidP="00A67858">
            <w:pPr>
              <w:spacing w:line="276" w:lineRule="auto"/>
              <w:ind w:right="239"/>
              <w:jc w:val="both"/>
              <w:rPr>
                <w:lang w:val="af-ZA"/>
              </w:rPr>
            </w:pPr>
            <w:r w:rsidRPr="0053423A">
              <w:rPr>
                <w:rStyle w:val="Strong"/>
                <w:lang w:val="af-ZA"/>
              </w:rPr>
              <w:tab/>
              <w:t></w:t>
            </w:r>
            <w:r w:rsidRPr="0053423A">
              <w:rPr>
                <w:lang w:val="hy-AM"/>
              </w:rPr>
              <w:t>Հայաստանի Հանրա</w:t>
            </w:r>
            <w:r w:rsidRPr="0053423A">
              <w:rPr>
                <w:lang w:val="hy-AM"/>
              </w:rPr>
              <w:softHyphen/>
              <w:t>պե</w:t>
            </w:r>
            <w:r w:rsidRPr="0053423A">
              <w:rPr>
                <w:lang w:val="hy-AM"/>
              </w:rPr>
              <w:softHyphen/>
              <w:t>տությունում խաղողի, ժամանակակից տեխնոլո</w:t>
            </w:r>
            <w:r w:rsidRPr="0053423A">
              <w:rPr>
                <w:lang w:val="hy-AM"/>
              </w:rPr>
              <w:softHyphen/>
              <w:t>գիա</w:t>
            </w:r>
            <w:r w:rsidRPr="0053423A">
              <w:rPr>
                <w:lang w:val="af-ZA"/>
              </w:rPr>
              <w:softHyphen/>
            </w:r>
            <w:r w:rsidRPr="0053423A">
              <w:rPr>
                <w:lang w:val="hy-AM"/>
              </w:rPr>
              <w:t>նե</w:t>
            </w:r>
            <w:r w:rsidRPr="0053423A">
              <w:rPr>
                <w:lang w:val="af-ZA"/>
              </w:rPr>
              <w:softHyphen/>
            </w:r>
            <w:r w:rsidRPr="0053423A">
              <w:rPr>
                <w:lang w:val="hy-AM"/>
              </w:rPr>
              <w:t>րով մշակվող ինտենսիվ պտղատու այգիների և հատապտղանոցների հիման համար պետական աջակցություն</w:t>
            </w:r>
            <w:r w:rsidRPr="0053423A">
              <w:rPr>
                <w:rFonts w:cs="Sylfaen"/>
                <w:bCs/>
                <w:lang w:val="af-ZA"/>
              </w:rPr>
              <w:t></w:t>
            </w:r>
            <w:r w:rsidRPr="0053423A">
              <w:rPr>
                <w:lang w:val="af-ZA"/>
              </w:rPr>
              <w:t xml:space="preserve"> (</w:t>
            </w:r>
            <w:r w:rsidRPr="0053423A">
              <w:rPr>
                <w:lang w:val="hy-AM"/>
              </w:rPr>
              <w:t>այսուհետ՝</w:t>
            </w:r>
            <w:r w:rsidRPr="0053423A">
              <w:rPr>
                <w:lang w:val="af-ZA"/>
              </w:rPr>
              <w:t xml:space="preserve"> </w:t>
            </w:r>
            <w:r w:rsidRPr="0053423A">
              <w:rPr>
                <w:lang w:val="hy-AM"/>
              </w:rPr>
              <w:t>Ծրագիր</w:t>
            </w:r>
            <w:r w:rsidRPr="0053423A">
              <w:rPr>
                <w:lang w:val="af-ZA"/>
              </w:rPr>
              <w:t xml:space="preserve">) </w:t>
            </w:r>
            <w:r w:rsidRPr="0053423A">
              <w:rPr>
                <w:rFonts w:cs="Sylfaen"/>
                <w:bCs/>
                <w:lang w:val="hy-AM"/>
              </w:rPr>
              <w:t>իրականացման</w:t>
            </w:r>
            <w:r w:rsidRPr="0053423A">
              <w:rPr>
                <w:bCs/>
                <w:lang w:val="af-ZA"/>
              </w:rPr>
              <w:t xml:space="preserve"> </w:t>
            </w:r>
            <w:r w:rsidRPr="0053423A">
              <w:rPr>
                <w:bCs/>
                <w:lang w:val="hy-AM"/>
              </w:rPr>
              <w:t>անհրա</w:t>
            </w:r>
            <w:r w:rsidRPr="0053423A">
              <w:rPr>
                <w:bCs/>
                <w:lang w:val="af-ZA"/>
              </w:rPr>
              <w:softHyphen/>
            </w:r>
            <w:r w:rsidRPr="0053423A">
              <w:rPr>
                <w:bCs/>
                <w:lang w:val="hy-AM"/>
              </w:rPr>
              <w:t>ժեշտու</w:t>
            </w:r>
            <w:r w:rsidRPr="0053423A">
              <w:rPr>
                <w:bCs/>
                <w:lang w:val="af-ZA"/>
              </w:rPr>
              <w:softHyphen/>
            </w:r>
            <w:r w:rsidRPr="0053423A">
              <w:rPr>
                <w:bCs/>
                <w:lang w:val="hy-AM"/>
              </w:rPr>
              <w:t>թյունն</w:t>
            </w:r>
            <w:r w:rsidRPr="0053423A">
              <w:rPr>
                <w:bCs/>
                <w:lang w:val="af-ZA"/>
              </w:rPr>
              <w:t xml:space="preserve"> </w:t>
            </w:r>
            <w:r w:rsidRPr="0053423A">
              <w:rPr>
                <w:bCs/>
                <w:lang w:val="hy-AM"/>
              </w:rPr>
              <w:t>պայմանավորված</w:t>
            </w:r>
            <w:r w:rsidRPr="0053423A">
              <w:rPr>
                <w:bCs/>
                <w:lang w:val="af-ZA"/>
              </w:rPr>
              <w:t xml:space="preserve"> </w:t>
            </w:r>
            <w:r w:rsidRPr="0053423A">
              <w:rPr>
                <w:bCs/>
                <w:lang w:val="hy-AM"/>
              </w:rPr>
              <w:t>է</w:t>
            </w:r>
            <w:r w:rsidRPr="0053423A">
              <w:rPr>
                <w:bCs/>
                <w:lang w:val="af-ZA"/>
              </w:rPr>
              <w:t xml:space="preserve"> </w:t>
            </w:r>
            <w:r w:rsidRPr="0053423A">
              <w:rPr>
                <w:lang w:val="hy-AM"/>
              </w:rPr>
              <w:t>ՀՀ ԱԺ 2019 թվականի փետրվարի 14-ի ԱԺՈ-002-Ն որոշմամբ հավանության արժանացած ՀՀ կառավարության ծրագրից (5.10. Գյուղա</w:t>
            </w:r>
            <w:r w:rsidRPr="0053423A">
              <w:rPr>
                <w:lang w:val="hy-AM"/>
              </w:rPr>
              <w:softHyphen/>
              <w:t xml:space="preserve">տնտեսությունը բաժին, 4-րդ պարբերություն), </w:t>
            </w:r>
            <w:r w:rsidRPr="0053423A">
              <w:rPr>
                <w:bCs/>
                <w:lang w:val="af-ZA"/>
              </w:rPr>
              <w:t>«</w:t>
            </w:r>
            <w:r w:rsidRPr="0053423A">
              <w:rPr>
                <w:rFonts w:cs="Sylfaen"/>
                <w:bCs/>
                <w:lang w:val="hy-AM"/>
              </w:rPr>
              <w:t>Նորմատիվ</w:t>
            </w:r>
            <w:r w:rsidRPr="0053423A">
              <w:rPr>
                <w:bCs/>
                <w:lang w:val="af-ZA"/>
              </w:rPr>
              <w:t xml:space="preserve"> </w:t>
            </w:r>
            <w:r w:rsidRPr="0053423A">
              <w:rPr>
                <w:rFonts w:cs="Sylfaen"/>
                <w:bCs/>
                <w:lang w:val="hy-AM"/>
              </w:rPr>
              <w:t>իրավական</w:t>
            </w:r>
            <w:r w:rsidRPr="0053423A">
              <w:rPr>
                <w:bCs/>
                <w:lang w:val="af-ZA"/>
              </w:rPr>
              <w:t xml:space="preserve"> </w:t>
            </w:r>
            <w:r w:rsidRPr="0053423A">
              <w:rPr>
                <w:rFonts w:cs="Sylfaen"/>
                <w:bCs/>
                <w:lang w:val="hy-AM"/>
              </w:rPr>
              <w:t>ակտերի</w:t>
            </w:r>
            <w:r w:rsidRPr="0053423A">
              <w:rPr>
                <w:bCs/>
                <w:lang w:val="af-ZA"/>
              </w:rPr>
              <w:t xml:space="preserve"> </w:t>
            </w:r>
            <w:r w:rsidRPr="0053423A">
              <w:rPr>
                <w:rFonts w:cs="Sylfaen"/>
                <w:bCs/>
                <w:lang w:val="hy-AM"/>
              </w:rPr>
              <w:t>մասին</w:t>
            </w:r>
            <w:r w:rsidRPr="0053423A">
              <w:rPr>
                <w:bCs/>
                <w:lang w:val="af-ZA"/>
              </w:rPr>
              <w:t xml:space="preserve">» </w:t>
            </w:r>
            <w:r w:rsidRPr="0053423A">
              <w:rPr>
                <w:bCs/>
                <w:lang w:val="hy-AM"/>
              </w:rPr>
              <w:t>ՀՀ</w:t>
            </w:r>
            <w:r w:rsidRPr="0053423A">
              <w:rPr>
                <w:bCs/>
                <w:lang w:val="af-ZA"/>
              </w:rPr>
              <w:t xml:space="preserve"> </w:t>
            </w:r>
            <w:r w:rsidRPr="0053423A">
              <w:rPr>
                <w:bCs/>
                <w:lang w:val="hy-AM"/>
              </w:rPr>
              <w:t>օրենքի</w:t>
            </w:r>
            <w:r w:rsidRPr="0053423A">
              <w:rPr>
                <w:bCs/>
                <w:lang w:val="af-ZA"/>
              </w:rPr>
              <w:t xml:space="preserve"> </w:t>
            </w:r>
            <w:r w:rsidRPr="0053423A">
              <w:rPr>
                <w:bCs/>
                <w:lang w:val="hy-AM"/>
              </w:rPr>
              <w:t>ուժի</w:t>
            </w:r>
            <w:r w:rsidRPr="0053423A">
              <w:rPr>
                <w:bCs/>
                <w:lang w:val="af-ZA"/>
              </w:rPr>
              <w:t xml:space="preserve"> </w:t>
            </w:r>
            <w:r w:rsidRPr="0053423A">
              <w:rPr>
                <w:bCs/>
                <w:lang w:val="hy-AM"/>
              </w:rPr>
              <w:t>մեջ</w:t>
            </w:r>
            <w:r w:rsidRPr="0053423A">
              <w:rPr>
                <w:bCs/>
                <w:lang w:val="af-ZA"/>
              </w:rPr>
              <w:t xml:space="preserve"> </w:t>
            </w:r>
            <w:r w:rsidRPr="0053423A">
              <w:rPr>
                <w:bCs/>
                <w:lang w:val="hy-AM"/>
              </w:rPr>
              <w:t>մտնելու</w:t>
            </w:r>
            <w:r w:rsidRPr="0053423A">
              <w:rPr>
                <w:bCs/>
                <w:lang w:val="af-ZA"/>
              </w:rPr>
              <w:t xml:space="preserve"> </w:t>
            </w:r>
            <w:r w:rsidRPr="0053423A">
              <w:rPr>
                <w:bCs/>
                <w:lang w:val="hy-AM"/>
              </w:rPr>
              <w:t>հանգամանքով</w:t>
            </w:r>
            <w:r w:rsidRPr="0053423A">
              <w:rPr>
                <w:bCs/>
                <w:lang w:val="af-ZA"/>
              </w:rPr>
              <w:t xml:space="preserve"> </w:t>
            </w:r>
            <w:r w:rsidRPr="0053423A">
              <w:rPr>
                <w:bCs/>
                <w:lang w:val="hy-AM"/>
              </w:rPr>
              <w:t>և</w:t>
            </w:r>
            <w:r w:rsidRPr="0053423A">
              <w:rPr>
                <w:rStyle w:val="Strong"/>
                <w:lang w:val="af-ZA"/>
              </w:rPr>
              <w:t xml:space="preserve"> </w:t>
            </w:r>
            <w:r w:rsidRPr="0053423A">
              <w:rPr>
                <w:bCs/>
                <w:lang w:val="hy-AM"/>
              </w:rPr>
              <w:t>ՀՀ</w:t>
            </w:r>
            <w:r w:rsidRPr="0053423A">
              <w:rPr>
                <w:bCs/>
                <w:lang w:val="af-ZA"/>
              </w:rPr>
              <w:t xml:space="preserve"> </w:t>
            </w:r>
            <w:r w:rsidRPr="0053423A">
              <w:rPr>
                <w:bCs/>
                <w:lang w:val="hy-AM"/>
              </w:rPr>
              <w:t>սահմանա</w:t>
            </w:r>
            <w:r w:rsidRPr="0053423A">
              <w:rPr>
                <w:bCs/>
                <w:lang w:val="hy-AM"/>
              </w:rPr>
              <w:softHyphen/>
              <w:t>դրության</w:t>
            </w:r>
            <w:r w:rsidRPr="0053423A">
              <w:rPr>
                <w:bCs/>
                <w:lang w:val="af-ZA"/>
              </w:rPr>
              <w:t xml:space="preserve"> 146-</w:t>
            </w:r>
            <w:r w:rsidRPr="0053423A">
              <w:rPr>
                <w:bCs/>
                <w:lang w:val="hy-AM"/>
              </w:rPr>
              <w:t>րդ</w:t>
            </w:r>
            <w:r w:rsidRPr="0053423A">
              <w:rPr>
                <w:bCs/>
                <w:lang w:val="af-ZA"/>
              </w:rPr>
              <w:t xml:space="preserve"> </w:t>
            </w:r>
            <w:r w:rsidRPr="0053423A">
              <w:rPr>
                <w:bCs/>
                <w:lang w:val="hy-AM"/>
              </w:rPr>
              <w:t>հոդվածի</w:t>
            </w:r>
            <w:r w:rsidRPr="0053423A">
              <w:rPr>
                <w:bCs/>
                <w:lang w:val="af-ZA"/>
              </w:rPr>
              <w:t xml:space="preserve"> 2-</w:t>
            </w:r>
            <w:r w:rsidRPr="0053423A">
              <w:rPr>
                <w:bCs/>
                <w:lang w:val="hy-AM"/>
              </w:rPr>
              <w:t>րդ</w:t>
            </w:r>
            <w:r w:rsidRPr="0053423A">
              <w:rPr>
                <w:bCs/>
                <w:lang w:val="af-ZA"/>
              </w:rPr>
              <w:t xml:space="preserve"> </w:t>
            </w:r>
            <w:r w:rsidRPr="0053423A">
              <w:rPr>
                <w:bCs/>
                <w:lang w:val="hy-AM"/>
              </w:rPr>
              <w:t>կետին</w:t>
            </w:r>
            <w:r w:rsidRPr="0053423A">
              <w:rPr>
                <w:bCs/>
                <w:lang w:val="af-ZA"/>
              </w:rPr>
              <w:t xml:space="preserve"> </w:t>
            </w:r>
            <w:r w:rsidRPr="0053423A">
              <w:rPr>
                <w:bCs/>
                <w:lang w:val="hy-AM"/>
              </w:rPr>
              <w:t>համապատասխան</w:t>
            </w:r>
            <w:r w:rsidRPr="0053423A">
              <w:rPr>
                <w:bCs/>
                <w:lang w:val="af-ZA"/>
              </w:rPr>
              <w:t xml:space="preserve"> </w:t>
            </w:r>
            <w:r w:rsidRPr="0053423A">
              <w:rPr>
                <w:bCs/>
                <w:lang w:val="hy-AM"/>
              </w:rPr>
              <w:t>ՀՀ</w:t>
            </w:r>
            <w:r w:rsidRPr="0053423A">
              <w:rPr>
                <w:bCs/>
                <w:lang w:val="af-ZA"/>
              </w:rPr>
              <w:t xml:space="preserve"> </w:t>
            </w:r>
            <w:r w:rsidRPr="0053423A">
              <w:rPr>
                <w:bCs/>
                <w:lang w:val="hy-AM"/>
              </w:rPr>
              <w:t>վարչապետի</w:t>
            </w:r>
            <w:r w:rsidRPr="0053423A">
              <w:rPr>
                <w:bCs/>
                <w:lang w:val="af-ZA"/>
              </w:rPr>
              <w:t xml:space="preserve"> 2019 </w:t>
            </w:r>
            <w:r w:rsidRPr="0053423A">
              <w:rPr>
                <w:bCs/>
                <w:lang w:val="hy-AM"/>
              </w:rPr>
              <w:t>թվականի</w:t>
            </w:r>
            <w:r w:rsidRPr="0053423A">
              <w:rPr>
                <w:bCs/>
                <w:lang w:val="af-ZA"/>
              </w:rPr>
              <w:t xml:space="preserve"> </w:t>
            </w:r>
            <w:r w:rsidRPr="0053423A">
              <w:rPr>
                <w:bCs/>
                <w:lang w:val="hy-AM"/>
              </w:rPr>
              <w:t>փետրվարի</w:t>
            </w:r>
            <w:r w:rsidRPr="0053423A">
              <w:rPr>
                <w:bCs/>
                <w:lang w:val="af-ZA"/>
              </w:rPr>
              <w:t xml:space="preserve"> 13-</w:t>
            </w:r>
            <w:r w:rsidRPr="0053423A">
              <w:rPr>
                <w:bCs/>
                <w:lang w:val="hy-AM"/>
              </w:rPr>
              <w:t>ի</w:t>
            </w:r>
            <w:r w:rsidRPr="0053423A">
              <w:rPr>
                <w:bCs/>
                <w:lang w:val="af-ZA"/>
              </w:rPr>
              <w:t xml:space="preserve"> </w:t>
            </w:r>
            <w:r w:rsidRPr="0053423A">
              <w:rPr>
                <w:lang w:val="af-ZA"/>
              </w:rPr>
              <w:t xml:space="preserve">02/16.7/5578- 2019 </w:t>
            </w:r>
            <w:r w:rsidRPr="0053423A">
              <w:rPr>
                <w:lang w:val="hy-AM"/>
              </w:rPr>
              <w:t>թվականի</w:t>
            </w:r>
            <w:r w:rsidRPr="0053423A">
              <w:rPr>
                <w:lang w:val="af-ZA"/>
              </w:rPr>
              <w:t xml:space="preserve"> </w:t>
            </w:r>
            <w:r w:rsidRPr="0053423A">
              <w:rPr>
                <w:lang w:val="hy-AM"/>
              </w:rPr>
              <w:t>հանձնարարականով</w:t>
            </w:r>
            <w:r w:rsidRPr="0053423A">
              <w:rPr>
                <w:lang w:val="af-ZA"/>
              </w:rPr>
              <w:t>:</w:t>
            </w:r>
          </w:p>
          <w:p w:rsidR="00530B14" w:rsidRPr="0053423A" w:rsidRDefault="00530B14" w:rsidP="00A67858">
            <w:pPr>
              <w:spacing w:line="276" w:lineRule="auto"/>
              <w:ind w:right="239"/>
              <w:jc w:val="both"/>
              <w:rPr>
                <w:rFonts w:cs="Sylfaen"/>
                <w:lang w:val="af-ZA"/>
              </w:rPr>
            </w:pPr>
            <w:r w:rsidRPr="0053423A">
              <w:rPr>
                <w:rFonts w:cs="Sylfaen"/>
                <w:lang w:val="af-ZA"/>
              </w:rPr>
              <w:tab/>
            </w:r>
            <w:r w:rsidRPr="0053423A">
              <w:rPr>
                <w:rFonts w:cs="Sylfaen"/>
              </w:rPr>
              <w:t>Ծրագրի</w:t>
            </w:r>
            <w:r w:rsidRPr="0053423A">
              <w:rPr>
                <w:lang w:val="af-ZA"/>
              </w:rPr>
              <w:t xml:space="preserve"> նպատակն է խթանել ինտենսիվ այգեգործության զարգացումը, մ</w:t>
            </w:r>
            <w:r w:rsidRPr="0053423A">
              <w:rPr>
                <w:rFonts w:cs="Sylfaen"/>
              </w:rPr>
              <w:t>ասնավորապես՝</w:t>
            </w:r>
            <w:r w:rsidRPr="0053423A">
              <w:rPr>
                <w:rFonts w:cs="Sylfaen"/>
                <w:lang w:val="af-ZA"/>
              </w:rPr>
              <w:t xml:space="preserve"> </w:t>
            </w:r>
            <w:r w:rsidRPr="0053423A">
              <w:rPr>
                <w:rFonts w:cs="Sylfaen"/>
              </w:rPr>
              <w:t>նպատակային</w:t>
            </w:r>
            <w:r w:rsidRPr="0053423A">
              <w:rPr>
                <w:rFonts w:cs="Sylfaen"/>
                <w:lang w:val="af-ZA"/>
              </w:rPr>
              <w:t xml:space="preserve"> </w:t>
            </w:r>
            <w:r w:rsidRPr="0053423A">
              <w:rPr>
                <w:rFonts w:cs="Sylfaen"/>
              </w:rPr>
              <w:t>վարկերի</w:t>
            </w:r>
            <w:r w:rsidRPr="0053423A">
              <w:rPr>
                <w:rFonts w:cs="Sylfaen"/>
                <w:lang w:val="af-ZA"/>
              </w:rPr>
              <w:t xml:space="preserve"> </w:t>
            </w:r>
            <w:r w:rsidRPr="0053423A">
              <w:rPr>
                <w:rFonts w:cs="Sylfaen"/>
              </w:rPr>
              <w:t>տոկոսադրույքի</w:t>
            </w:r>
            <w:r w:rsidRPr="0053423A">
              <w:rPr>
                <w:rFonts w:cs="Sylfaen"/>
                <w:lang w:val="af-ZA"/>
              </w:rPr>
              <w:t xml:space="preserve"> </w:t>
            </w:r>
            <w:r w:rsidRPr="0053423A">
              <w:rPr>
                <w:rFonts w:cs="Sylfaen"/>
              </w:rPr>
              <w:t>կամ</w:t>
            </w:r>
            <w:r w:rsidRPr="0053423A">
              <w:rPr>
                <w:rFonts w:cs="Sylfaen"/>
                <w:lang w:val="af-ZA"/>
              </w:rPr>
              <w:t xml:space="preserve"> </w:t>
            </w:r>
            <w:r w:rsidRPr="0053423A">
              <w:rPr>
                <w:rFonts w:cs="Sylfaen"/>
              </w:rPr>
              <w:t>ներդրված</w:t>
            </w:r>
            <w:r w:rsidRPr="0053423A">
              <w:rPr>
                <w:rFonts w:cs="Sylfaen"/>
                <w:lang w:val="af-ZA"/>
              </w:rPr>
              <w:t xml:space="preserve"> </w:t>
            </w:r>
            <w:r w:rsidRPr="0053423A">
              <w:rPr>
                <w:rFonts w:cs="Sylfaen"/>
              </w:rPr>
              <w:t>կապի</w:t>
            </w:r>
            <w:r w:rsidRPr="0053423A">
              <w:rPr>
                <w:rFonts w:cs="Sylfaen"/>
                <w:lang w:val="af-ZA"/>
              </w:rPr>
              <w:softHyphen/>
            </w:r>
            <w:r w:rsidRPr="0053423A">
              <w:rPr>
                <w:rFonts w:cs="Sylfaen"/>
              </w:rPr>
              <w:t>տալի</w:t>
            </w:r>
            <w:r w:rsidRPr="0053423A">
              <w:rPr>
                <w:rFonts w:cs="Sylfaen"/>
                <w:lang w:val="af-ZA"/>
              </w:rPr>
              <w:t xml:space="preserve"> </w:t>
            </w:r>
            <w:r w:rsidRPr="0053423A">
              <w:rPr>
                <w:rFonts w:cs="Sylfaen"/>
              </w:rPr>
              <w:t>սուբսիդավորման</w:t>
            </w:r>
            <w:r w:rsidRPr="0053423A">
              <w:rPr>
                <w:rFonts w:cs="Sylfaen"/>
                <w:lang w:val="af-ZA"/>
              </w:rPr>
              <w:t xml:space="preserve"> </w:t>
            </w:r>
            <w:r w:rsidRPr="0053423A">
              <w:rPr>
                <w:rFonts w:cs="Sylfaen"/>
              </w:rPr>
              <w:t>մեխանիզմների</w:t>
            </w:r>
            <w:r w:rsidRPr="0053423A">
              <w:rPr>
                <w:rFonts w:cs="Sylfaen"/>
                <w:lang w:val="af-ZA"/>
              </w:rPr>
              <w:t xml:space="preserve"> </w:t>
            </w:r>
            <w:r w:rsidRPr="0053423A">
              <w:rPr>
                <w:rFonts w:cs="Sylfaen"/>
              </w:rPr>
              <w:t>կիրառմամբ</w:t>
            </w:r>
            <w:r w:rsidRPr="0053423A">
              <w:rPr>
                <w:rFonts w:cs="Sylfaen"/>
                <w:lang w:val="af-ZA"/>
              </w:rPr>
              <w:t xml:space="preserve"> </w:t>
            </w:r>
            <w:r w:rsidRPr="0053423A">
              <w:rPr>
                <w:rFonts w:cs="Sylfaen"/>
              </w:rPr>
              <w:t>գյուղատնտեսությունում</w:t>
            </w:r>
            <w:r w:rsidRPr="0053423A">
              <w:rPr>
                <w:rFonts w:cs="Sylfaen"/>
                <w:lang w:val="af-ZA"/>
              </w:rPr>
              <w:t xml:space="preserve"> </w:t>
            </w:r>
            <w:r w:rsidRPr="0053423A">
              <w:rPr>
                <w:rFonts w:cs="Sylfaen"/>
              </w:rPr>
              <w:t>տնտե</w:t>
            </w:r>
            <w:r w:rsidRPr="0053423A">
              <w:rPr>
                <w:rFonts w:cs="Sylfaen"/>
                <w:lang w:val="af-ZA"/>
              </w:rPr>
              <w:softHyphen/>
            </w:r>
            <w:r w:rsidRPr="0053423A">
              <w:rPr>
                <w:rFonts w:cs="Sylfaen"/>
              </w:rPr>
              <w:t>սավարողներին</w:t>
            </w:r>
            <w:r w:rsidRPr="0053423A">
              <w:rPr>
                <w:rFonts w:cs="Sylfaen"/>
                <w:lang w:val="af-ZA"/>
              </w:rPr>
              <w:t xml:space="preserve"> </w:t>
            </w:r>
            <w:r w:rsidRPr="0053423A">
              <w:rPr>
                <w:rFonts w:cs="Sylfaen"/>
              </w:rPr>
              <w:t>ինտենսիվ</w:t>
            </w:r>
            <w:r w:rsidRPr="0053423A">
              <w:rPr>
                <w:rFonts w:cs="Sylfaen"/>
                <w:lang w:val="af-ZA"/>
              </w:rPr>
              <w:t xml:space="preserve"> </w:t>
            </w:r>
            <w:r w:rsidRPr="0053423A">
              <w:rPr>
                <w:rFonts w:cs="Sylfaen"/>
              </w:rPr>
              <w:t>պտղատու</w:t>
            </w:r>
            <w:r w:rsidRPr="0053423A">
              <w:rPr>
                <w:rFonts w:cs="Sylfaen"/>
                <w:lang w:val="af-ZA"/>
              </w:rPr>
              <w:t xml:space="preserve"> </w:t>
            </w:r>
            <w:r w:rsidRPr="0053423A">
              <w:rPr>
                <w:rFonts w:cs="Sylfaen"/>
              </w:rPr>
              <w:t>այգիների</w:t>
            </w:r>
            <w:r w:rsidRPr="0053423A">
              <w:rPr>
                <w:rFonts w:cs="Sylfaen"/>
                <w:lang w:val="af-ZA"/>
              </w:rPr>
              <w:t xml:space="preserve"> </w:t>
            </w:r>
            <w:r w:rsidRPr="0053423A">
              <w:rPr>
                <w:rFonts w:cs="Sylfaen"/>
              </w:rPr>
              <w:t>հիմնման</w:t>
            </w:r>
            <w:r w:rsidRPr="0053423A">
              <w:rPr>
                <w:rFonts w:cs="Sylfaen"/>
                <w:lang w:val="af-ZA"/>
              </w:rPr>
              <w:t xml:space="preserve"> </w:t>
            </w:r>
            <w:r w:rsidRPr="0053423A">
              <w:rPr>
                <w:rFonts w:cs="Sylfaen"/>
              </w:rPr>
              <w:t>համար</w:t>
            </w:r>
            <w:r w:rsidRPr="0053423A">
              <w:rPr>
                <w:rFonts w:cs="Sylfaen"/>
                <w:lang w:val="af-ZA"/>
              </w:rPr>
              <w:t xml:space="preserve"> </w:t>
            </w:r>
            <w:r w:rsidRPr="0053423A">
              <w:rPr>
                <w:rFonts w:cs="Sylfaen"/>
              </w:rPr>
              <w:t>պետական</w:t>
            </w:r>
            <w:r w:rsidRPr="0053423A">
              <w:rPr>
                <w:rFonts w:cs="Sylfaen"/>
                <w:lang w:val="af-ZA"/>
              </w:rPr>
              <w:t xml:space="preserve"> </w:t>
            </w:r>
            <w:r w:rsidRPr="0053423A">
              <w:rPr>
                <w:rFonts w:cs="Sylfaen"/>
              </w:rPr>
              <w:t>աջակցություն</w:t>
            </w:r>
            <w:r w:rsidRPr="0053423A">
              <w:rPr>
                <w:rFonts w:cs="Sylfaen"/>
                <w:lang w:val="af-ZA"/>
              </w:rPr>
              <w:t xml:space="preserve"> </w:t>
            </w:r>
            <w:r w:rsidRPr="0053423A">
              <w:rPr>
                <w:rFonts w:cs="Sylfaen"/>
              </w:rPr>
              <w:t>տրամադրելու</w:t>
            </w:r>
            <w:r w:rsidRPr="0053423A">
              <w:rPr>
                <w:rFonts w:cs="Sylfaen"/>
                <w:lang w:val="af-ZA"/>
              </w:rPr>
              <w:t xml:space="preserve"> </w:t>
            </w:r>
            <w:r w:rsidRPr="0053423A">
              <w:rPr>
                <w:rFonts w:cs="Sylfaen"/>
              </w:rPr>
              <w:t>միջոցով</w:t>
            </w:r>
            <w:r w:rsidRPr="0053423A">
              <w:rPr>
                <w:rFonts w:cs="Sylfaen"/>
                <w:lang w:val="af-ZA"/>
              </w:rPr>
              <w:t>:</w:t>
            </w:r>
          </w:p>
          <w:p w:rsidR="00530B14" w:rsidRPr="0053423A" w:rsidRDefault="00530B14" w:rsidP="00A67858">
            <w:pPr>
              <w:pStyle w:val="ListParagraph"/>
              <w:numPr>
                <w:ilvl w:val="1"/>
                <w:numId w:val="91"/>
              </w:numPr>
              <w:spacing w:line="276" w:lineRule="auto"/>
              <w:ind w:left="0" w:right="239" w:hanging="360"/>
              <w:jc w:val="both"/>
              <w:rPr>
                <w:rFonts w:eastAsia="Calibri"/>
                <w:b/>
                <w:lang w:val="af-ZA"/>
              </w:rPr>
            </w:pPr>
            <w:r w:rsidRPr="0053423A">
              <w:rPr>
                <w:rFonts w:eastAsia="Calibri"/>
                <w:b/>
                <w:lang w:val="hy-AM"/>
              </w:rPr>
              <w:t>Կարգավորման հարաբերությունների ներկա վիճակը և առկա խնդիրները</w:t>
            </w:r>
          </w:p>
          <w:p w:rsidR="00530B14" w:rsidRPr="0053423A" w:rsidRDefault="00530B14" w:rsidP="00A67858">
            <w:pPr>
              <w:spacing w:line="276" w:lineRule="auto"/>
              <w:jc w:val="both"/>
              <w:rPr>
                <w:lang w:val="af-ZA"/>
              </w:rPr>
            </w:pPr>
            <w:r w:rsidRPr="0053423A">
              <w:rPr>
                <w:rFonts w:cs="Sylfaen"/>
                <w:lang w:val="af-ZA"/>
              </w:rPr>
              <w:tab/>
            </w:r>
            <w:r w:rsidRPr="0053423A">
              <w:rPr>
                <w:rFonts w:cs="Sylfaen"/>
              </w:rPr>
              <w:t>ՀՀ</w:t>
            </w:r>
            <w:r w:rsidRPr="0053423A">
              <w:rPr>
                <w:rFonts w:cs="Sylfaen"/>
                <w:lang w:val="af-ZA"/>
              </w:rPr>
              <w:t>-</w:t>
            </w:r>
            <w:r w:rsidRPr="0053423A">
              <w:rPr>
                <w:rFonts w:cs="Sylfaen"/>
              </w:rPr>
              <w:t>ում</w:t>
            </w:r>
            <w:r w:rsidRPr="0053423A">
              <w:rPr>
                <w:rFonts w:cs="Sylfaen"/>
                <w:lang w:val="af-ZA"/>
              </w:rPr>
              <w:t xml:space="preserve"> </w:t>
            </w:r>
            <w:r w:rsidRPr="0053423A">
              <w:rPr>
                <w:rFonts w:cs="Sylfaen"/>
              </w:rPr>
              <w:t>պտղաբուծությամբ</w:t>
            </w:r>
            <w:r w:rsidRPr="0053423A">
              <w:rPr>
                <w:rFonts w:cs="Arial Armenian"/>
                <w:lang w:val="af-ZA"/>
              </w:rPr>
              <w:t xml:space="preserve"> </w:t>
            </w:r>
            <w:r w:rsidRPr="0053423A">
              <w:rPr>
                <w:rFonts w:cs="Sylfaen"/>
              </w:rPr>
              <w:t>զբաղվող</w:t>
            </w:r>
            <w:r w:rsidRPr="0053423A">
              <w:rPr>
                <w:rFonts w:cs="Arial Armenian"/>
                <w:lang w:val="af-ZA"/>
              </w:rPr>
              <w:t xml:space="preserve"> </w:t>
            </w:r>
            <w:r w:rsidRPr="0053423A">
              <w:rPr>
                <w:rFonts w:cs="Sylfaen"/>
              </w:rPr>
              <w:t>գյուղացիական</w:t>
            </w:r>
            <w:r w:rsidRPr="0053423A">
              <w:rPr>
                <w:rFonts w:cs="Arial Armenian"/>
                <w:lang w:val="af-ZA"/>
              </w:rPr>
              <w:t xml:space="preserve"> </w:t>
            </w:r>
            <w:r w:rsidRPr="0053423A">
              <w:rPr>
                <w:rFonts w:cs="Sylfaen"/>
              </w:rPr>
              <w:t>տնտեսությունների</w:t>
            </w:r>
            <w:r w:rsidRPr="0053423A">
              <w:rPr>
                <w:rFonts w:cs="Arial Armenian"/>
                <w:lang w:val="af-ZA"/>
              </w:rPr>
              <w:t xml:space="preserve"> </w:t>
            </w:r>
            <w:r w:rsidRPr="0053423A">
              <w:rPr>
                <w:rFonts w:cs="Sylfaen"/>
              </w:rPr>
              <w:t>մեծ</w:t>
            </w:r>
            <w:r w:rsidRPr="0053423A">
              <w:rPr>
                <w:rFonts w:cs="Arial Armenian"/>
                <w:lang w:val="af-ZA"/>
              </w:rPr>
              <w:t xml:space="preserve"> </w:t>
            </w:r>
            <w:r w:rsidRPr="0053423A">
              <w:rPr>
                <w:rFonts w:cs="Sylfaen"/>
              </w:rPr>
              <w:t>մասն</w:t>
            </w:r>
            <w:r w:rsidRPr="0053423A">
              <w:rPr>
                <w:rFonts w:cs="Arial Armenian"/>
                <w:lang w:val="af-ZA"/>
              </w:rPr>
              <w:t xml:space="preserve"> </w:t>
            </w:r>
            <w:r w:rsidRPr="0053423A">
              <w:rPr>
                <w:rFonts w:cs="Sylfaen"/>
              </w:rPr>
              <w:t>իրենց</w:t>
            </w:r>
            <w:r w:rsidRPr="0053423A">
              <w:rPr>
                <w:rFonts w:cs="Arial Armenian"/>
                <w:lang w:val="af-ZA"/>
              </w:rPr>
              <w:t xml:space="preserve"> </w:t>
            </w:r>
            <w:r w:rsidRPr="0053423A">
              <w:rPr>
                <w:rFonts w:cs="Sylfaen"/>
              </w:rPr>
              <w:t>փոքր</w:t>
            </w:r>
            <w:r w:rsidRPr="0053423A">
              <w:rPr>
                <w:rFonts w:cs="Arial Armenian"/>
                <w:lang w:val="af-ZA"/>
              </w:rPr>
              <w:t xml:space="preserve"> </w:t>
            </w:r>
            <w:r w:rsidRPr="0053423A">
              <w:rPr>
                <w:rFonts w:cs="Sylfaen"/>
              </w:rPr>
              <w:t>չափերի</w:t>
            </w:r>
            <w:r w:rsidRPr="0053423A">
              <w:rPr>
                <w:rFonts w:cs="Arial Armenian"/>
                <w:lang w:val="af-ZA"/>
              </w:rPr>
              <w:t xml:space="preserve"> </w:t>
            </w:r>
            <w:r w:rsidRPr="0053423A">
              <w:rPr>
                <w:rFonts w:cs="Sylfaen"/>
              </w:rPr>
              <w:t>ու</w:t>
            </w:r>
            <w:r w:rsidRPr="0053423A">
              <w:rPr>
                <w:rFonts w:cs="Arial Armenian"/>
                <w:lang w:val="af-ZA"/>
              </w:rPr>
              <w:t xml:space="preserve"> </w:t>
            </w:r>
            <w:r w:rsidRPr="0053423A">
              <w:rPr>
                <w:rFonts w:cs="Sylfaen"/>
              </w:rPr>
              <w:t>արտադրանքի</w:t>
            </w:r>
            <w:r w:rsidRPr="0053423A">
              <w:rPr>
                <w:rFonts w:cs="Arial Armenian"/>
                <w:lang w:val="af-ZA"/>
              </w:rPr>
              <w:t xml:space="preserve"> </w:t>
            </w:r>
            <w:r w:rsidRPr="0053423A">
              <w:rPr>
                <w:rFonts w:cs="Sylfaen"/>
              </w:rPr>
              <w:t>իրացման</w:t>
            </w:r>
            <w:r w:rsidRPr="0053423A">
              <w:rPr>
                <w:rFonts w:cs="Arial Armenian"/>
                <w:lang w:val="af-ZA"/>
              </w:rPr>
              <w:t xml:space="preserve"> </w:t>
            </w:r>
            <w:r w:rsidRPr="0053423A">
              <w:rPr>
                <w:rFonts w:cs="Sylfaen"/>
              </w:rPr>
              <w:t>դժվարությունների</w:t>
            </w:r>
            <w:r w:rsidRPr="0053423A">
              <w:rPr>
                <w:rFonts w:cs="Arial Armenian"/>
                <w:lang w:val="af-ZA"/>
              </w:rPr>
              <w:t xml:space="preserve"> </w:t>
            </w:r>
            <w:r w:rsidRPr="0053423A">
              <w:rPr>
                <w:rFonts w:cs="Sylfaen"/>
              </w:rPr>
              <w:t>հետևանքով</w:t>
            </w:r>
            <w:r w:rsidRPr="0053423A">
              <w:rPr>
                <w:rFonts w:cs="Arial Armenian"/>
                <w:lang w:val="af-ZA"/>
              </w:rPr>
              <w:t xml:space="preserve"> </w:t>
            </w:r>
            <w:r w:rsidRPr="0053423A">
              <w:rPr>
                <w:rFonts w:cs="Sylfaen"/>
              </w:rPr>
              <w:t>վերածվել</w:t>
            </w:r>
            <w:r w:rsidRPr="0053423A">
              <w:rPr>
                <w:rFonts w:cs="Arial Armenian"/>
                <w:lang w:val="af-ZA"/>
              </w:rPr>
              <w:t xml:space="preserve"> </w:t>
            </w:r>
            <w:r w:rsidRPr="0053423A">
              <w:rPr>
                <w:rFonts w:cs="Sylfaen"/>
              </w:rPr>
              <w:t>են</w:t>
            </w:r>
            <w:r w:rsidRPr="0053423A">
              <w:rPr>
                <w:rFonts w:cs="Arial Armenian"/>
                <w:lang w:val="af-ZA"/>
              </w:rPr>
              <w:t xml:space="preserve"> </w:t>
            </w:r>
            <w:r w:rsidRPr="0053423A">
              <w:rPr>
                <w:rFonts w:cs="Sylfaen"/>
              </w:rPr>
              <w:t>բնամթերային</w:t>
            </w:r>
            <w:r w:rsidRPr="0053423A">
              <w:rPr>
                <w:rFonts w:cs="Arial Armenian"/>
                <w:lang w:val="af-ZA"/>
              </w:rPr>
              <w:t xml:space="preserve"> </w:t>
            </w:r>
            <w:r w:rsidRPr="0053423A">
              <w:rPr>
                <w:rFonts w:cs="Sylfaen"/>
              </w:rPr>
              <w:t>տնտեսություների</w:t>
            </w:r>
            <w:r w:rsidRPr="0053423A">
              <w:rPr>
                <w:rFonts w:cs="Arial Armenian"/>
                <w:lang w:val="af-ZA"/>
              </w:rPr>
              <w:t xml:space="preserve">, </w:t>
            </w:r>
            <w:r w:rsidRPr="0053423A">
              <w:rPr>
                <w:rFonts w:cs="Sylfaen"/>
              </w:rPr>
              <w:t>որտեղ</w:t>
            </w:r>
            <w:r w:rsidRPr="0053423A">
              <w:rPr>
                <w:rFonts w:cs="Arial Armenian"/>
                <w:lang w:val="af-ZA"/>
              </w:rPr>
              <w:t xml:space="preserve"> </w:t>
            </w:r>
            <w:r w:rsidRPr="0053423A">
              <w:rPr>
                <w:rFonts w:cs="Sylfaen"/>
              </w:rPr>
              <w:t>անհնարին</w:t>
            </w:r>
            <w:r w:rsidRPr="0053423A">
              <w:rPr>
                <w:rFonts w:cs="Arial Armenian"/>
                <w:lang w:val="af-ZA"/>
              </w:rPr>
              <w:t xml:space="preserve"> </w:t>
            </w:r>
            <w:r w:rsidRPr="0053423A">
              <w:rPr>
                <w:rFonts w:cs="Sylfaen"/>
              </w:rPr>
              <w:t>է</w:t>
            </w:r>
            <w:r w:rsidRPr="0053423A">
              <w:rPr>
                <w:rFonts w:cs="Arial Armenian"/>
                <w:lang w:val="af-ZA"/>
              </w:rPr>
              <w:t xml:space="preserve"> </w:t>
            </w:r>
            <w:r w:rsidRPr="0053423A">
              <w:rPr>
                <w:rFonts w:cs="Sylfaen"/>
              </w:rPr>
              <w:t>կազմակերպել</w:t>
            </w:r>
            <w:r w:rsidRPr="0053423A">
              <w:rPr>
                <w:rFonts w:cs="Arial Armenian"/>
                <w:lang w:val="af-ZA"/>
              </w:rPr>
              <w:t xml:space="preserve"> </w:t>
            </w:r>
            <w:r w:rsidRPr="0053423A">
              <w:rPr>
                <w:rFonts w:cs="Sylfaen"/>
              </w:rPr>
              <w:t>արդյունավետ</w:t>
            </w:r>
            <w:r w:rsidRPr="0053423A">
              <w:rPr>
                <w:rFonts w:cs="Arial Armenian"/>
                <w:lang w:val="af-ZA"/>
              </w:rPr>
              <w:t xml:space="preserve"> </w:t>
            </w:r>
            <w:r w:rsidRPr="0053423A">
              <w:rPr>
                <w:rFonts w:cs="Sylfaen"/>
              </w:rPr>
              <w:t>ապրանքային</w:t>
            </w:r>
            <w:r w:rsidRPr="0053423A">
              <w:rPr>
                <w:rFonts w:cs="Arial Armenian"/>
                <w:lang w:val="af-ZA"/>
              </w:rPr>
              <w:t xml:space="preserve"> </w:t>
            </w:r>
            <w:r w:rsidRPr="0053423A">
              <w:rPr>
                <w:rFonts w:cs="Sylfaen"/>
              </w:rPr>
              <w:t>արտադրություն</w:t>
            </w:r>
            <w:r w:rsidRPr="0053423A">
              <w:rPr>
                <w:rFonts w:cs="Arial Armenian"/>
                <w:lang w:val="af-ZA"/>
              </w:rPr>
              <w:t xml:space="preserve">: </w:t>
            </w:r>
            <w:r w:rsidRPr="0053423A">
              <w:rPr>
                <w:rFonts w:cs="Arial Armenian"/>
              </w:rPr>
              <w:t>Արդյունքում</w:t>
            </w:r>
            <w:r w:rsidRPr="0053423A">
              <w:rPr>
                <w:rFonts w:cs="Arial Armenian"/>
                <w:lang w:val="af-ZA"/>
              </w:rPr>
              <w:t xml:space="preserve"> </w:t>
            </w:r>
            <w:r w:rsidRPr="0053423A">
              <w:rPr>
                <w:rFonts w:cs="Arial Armenian"/>
              </w:rPr>
              <w:t>արտադրանքի</w:t>
            </w:r>
            <w:r w:rsidRPr="0053423A">
              <w:rPr>
                <w:rFonts w:cs="Arial Armenian"/>
                <w:lang w:val="af-ZA"/>
              </w:rPr>
              <w:t xml:space="preserve"> </w:t>
            </w:r>
            <w:r w:rsidRPr="0053423A">
              <w:rPr>
                <w:rFonts w:cs="Arial Armenian"/>
              </w:rPr>
              <w:t>ինքնարժեքը</w:t>
            </w:r>
            <w:r w:rsidRPr="0053423A">
              <w:rPr>
                <w:rFonts w:cs="Arial Armenian"/>
                <w:lang w:val="af-ZA"/>
              </w:rPr>
              <w:t xml:space="preserve"> </w:t>
            </w:r>
            <w:r w:rsidRPr="0053423A">
              <w:rPr>
                <w:rFonts w:cs="Arial Armenian"/>
              </w:rPr>
              <w:t>ստացվում</w:t>
            </w:r>
            <w:r w:rsidRPr="0053423A">
              <w:rPr>
                <w:rFonts w:cs="Arial Armenian"/>
                <w:lang w:val="af-ZA"/>
              </w:rPr>
              <w:t xml:space="preserve"> </w:t>
            </w:r>
            <w:r w:rsidRPr="0053423A">
              <w:rPr>
                <w:rFonts w:cs="Arial Armenian"/>
              </w:rPr>
              <w:t>է</w:t>
            </w:r>
            <w:r w:rsidRPr="0053423A">
              <w:rPr>
                <w:rFonts w:cs="Arial Armenian"/>
                <w:lang w:val="af-ZA"/>
              </w:rPr>
              <w:t xml:space="preserve"> </w:t>
            </w:r>
            <w:r w:rsidRPr="0053423A">
              <w:rPr>
                <w:rFonts w:cs="Arial Armenian"/>
              </w:rPr>
              <w:t>բարձր</w:t>
            </w:r>
            <w:r w:rsidRPr="0053423A">
              <w:rPr>
                <w:rFonts w:cs="Arial Armenian"/>
                <w:lang w:val="af-ZA"/>
              </w:rPr>
              <w:t xml:space="preserve"> </w:t>
            </w:r>
            <w:r w:rsidRPr="0053423A">
              <w:rPr>
                <w:rFonts w:cs="Arial Armenian"/>
              </w:rPr>
              <w:t>և</w:t>
            </w:r>
            <w:r w:rsidRPr="0053423A">
              <w:rPr>
                <w:rFonts w:cs="Arial Armenian"/>
                <w:lang w:val="af-ZA"/>
              </w:rPr>
              <w:t xml:space="preserve"> </w:t>
            </w:r>
            <w:r w:rsidRPr="0053423A">
              <w:rPr>
                <w:rFonts w:cs="Arial Armenian"/>
              </w:rPr>
              <w:t>անմրցունակ</w:t>
            </w:r>
            <w:r w:rsidRPr="0053423A">
              <w:rPr>
                <w:rFonts w:cs="Arial Armenian"/>
                <w:lang w:val="af-ZA"/>
              </w:rPr>
              <w:t xml:space="preserve">: </w:t>
            </w:r>
            <w:r w:rsidRPr="0053423A">
              <w:rPr>
                <w:rFonts w:cs="Sylfaen"/>
              </w:rPr>
              <w:t>Նման</w:t>
            </w:r>
            <w:r w:rsidRPr="0053423A">
              <w:rPr>
                <w:rFonts w:cs="Arial Armenian"/>
                <w:lang w:val="af-ZA"/>
              </w:rPr>
              <w:t xml:space="preserve">  </w:t>
            </w:r>
            <w:r w:rsidRPr="0053423A">
              <w:rPr>
                <w:rFonts w:cs="Sylfaen"/>
              </w:rPr>
              <w:t>պայմաններում</w:t>
            </w:r>
            <w:r w:rsidRPr="0053423A">
              <w:rPr>
                <w:rFonts w:cs="Arial Armenian"/>
                <w:lang w:val="af-ZA"/>
              </w:rPr>
              <w:t xml:space="preserve">  </w:t>
            </w:r>
            <w:r w:rsidRPr="0053423A">
              <w:rPr>
                <w:rFonts w:cs="Sylfaen"/>
              </w:rPr>
              <w:t>լուրջ</w:t>
            </w:r>
            <w:r w:rsidRPr="0053423A">
              <w:rPr>
                <w:rFonts w:cs="Arial Armenian"/>
                <w:lang w:val="af-ZA"/>
              </w:rPr>
              <w:t xml:space="preserve">  </w:t>
            </w:r>
            <w:r w:rsidRPr="0053423A">
              <w:rPr>
                <w:rFonts w:cs="Sylfaen"/>
              </w:rPr>
              <w:t>խնդիրներ</w:t>
            </w:r>
            <w:r w:rsidRPr="0053423A">
              <w:rPr>
                <w:rFonts w:cs="Arial Armenian"/>
                <w:lang w:val="af-ZA"/>
              </w:rPr>
              <w:t xml:space="preserve">  </w:t>
            </w:r>
            <w:r w:rsidRPr="0053423A">
              <w:rPr>
                <w:rFonts w:cs="Sylfaen"/>
              </w:rPr>
              <w:t>են</w:t>
            </w:r>
            <w:r w:rsidRPr="0053423A">
              <w:rPr>
                <w:rFonts w:cs="Arial Armenian"/>
                <w:lang w:val="af-ZA"/>
              </w:rPr>
              <w:t xml:space="preserve">  </w:t>
            </w:r>
            <w:r w:rsidRPr="0053423A">
              <w:rPr>
                <w:rFonts w:cs="Sylfaen"/>
              </w:rPr>
              <w:t>առա</w:t>
            </w:r>
            <w:r w:rsidRPr="0053423A">
              <w:rPr>
                <w:rFonts w:cs="Sylfaen"/>
                <w:lang w:val="af-ZA"/>
              </w:rPr>
              <w:softHyphen/>
            </w:r>
            <w:r w:rsidRPr="0053423A">
              <w:rPr>
                <w:rFonts w:cs="Sylfaen"/>
              </w:rPr>
              <w:t>ջանում</w:t>
            </w:r>
            <w:r w:rsidRPr="0053423A">
              <w:rPr>
                <w:rFonts w:cs="Arial Armenian"/>
                <w:lang w:val="af-ZA"/>
              </w:rPr>
              <w:t xml:space="preserve"> </w:t>
            </w:r>
            <w:r w:rsidRPr="0053423A">
              <w:rPr>
                <w:rFonts w:cs="Sylfaen"/>
              </w:rPr>
              <w:t>զանազան</w:t>
            </w:r>
            <w:r w:rsidRPr="0053423A">
              <w:rPr>
                <w:rFonts w:cs="Arial Armenian"/>
                <w:lang w:val="af-ZA"/>
              </w:rPr>
              <w:t xml:space="preserve"> </w:t>
            </w:r>
            <w:r w:rsidRPr="0053423A">
              <w:rPr>
                <w:rFonts w:cs="Sylfaen"/>
              </w:rPr>
              <w:t>տեսակների</w:t>
            </w:r>
            <w:r w:rsidRPr="0053423A">
              <w:rPr>
                <w:rFonts w:cs="Arial Armenian"/>
                <w:lang w:val="af-ZA"/>
              </w:rPr>
              <w:t xml:space="preserve"> </w:t>
            </w:r>
            <w:r w:rsidRPr="0053423A">
              <w:rPr>
                <w:rFonts w:cs="Sylfaen"/>
              </w:rPr>
              <w:t>պտուղների</w:t>
            </w:r>
            <w:r w:rsidRPr="0053423A">
              <w:rPr>
                <w:rFonts w:cs="Arial Armenian"/>
                <w:lang w:val="af-ZA"/>
              </w:rPr>
              <w:t xml:space="preserve"> </w:t>
            </w:r>
            <w:r w:rsidRPr="0053423A">
              <w:rPr>
                <w:rFonts w:cs="Sylfaen"/>
              </w:rPr>
              <w:t>իրացման</w:t>
            </w:r>
            <w:r w:rsidRPr="0053423A">
              <w:rPr>
                <w:rFonts w:cs="Arial Armenian"/>
                <w:lang w:val="af-ZA"/>
              </w:rPr>
              <w:t xml:space="preserve">, </w:t>
            </w:r>
            <w:r w:rsidRPr="0053423A">
              <w:rPr>
                <w:rFonts w:cs="Sylfaen"/>
              </w:rPr>
              <w:t>վերամշակող</w:t>
            </w:r>
            <w:r w:rsidRPr="0053423A">
              <w:rPr>
                <w:rFonts w:cs="Arial Armenian"/>
                <w:lang w:val="af-ZA"/>
              </w:rPr>
              <w:t xml:space="preserve"> </w:t>
            </w:r>
            <w:r w:rsidRPr="0053423A">
              <w:rPr>
                <w:rFonts w:cs="Sylfaen"/>
              </w:rPr>
              <w:t>ձեռնարկու</w:t>
            </w:r>
            <w:r w:rsidRPr="0053423A">
              <w:rPr>
                <w:rFonts w:cs="Sylfaen"/>
                <w:lang w:val="af-ZA"/>
              </w:rPr>
              <w:softHyphen/>
            </w:r>
            <w:r w:rsidRPr="0053423A">
              <w:rPr>
                <w:rFonts w:cs="Sylfaen"/>
              </w:rPr>
              <w:t>թյունների</w:t>
            </w:r>
            <w:r w:rsidRPr="0053423A">
              <w:rPr>
                <w:rFonts w:cs="Arial Armenian"/>
                <w:lang w:val="af-ZA"/>
              </w:rPr>
              <w:t xml:space="preserve"> </w:t>
            </w:r>
            <w:r w:rsidRPr="0053423A">
              <w:rPr>
                <w:rFonts w:cs="Sylfaen"/>
              </w:rPr>
              <w:t>հզորությունների</w:t>
            </w:r>
            <w:r w:rsidRPr="0053423A">
              <w:rPr>
                <w:rFonts w:cs="Arial Armenian"/>
                <w:lang w:val="af-ZA"/>
              </w:rPr>
              <w:t xml:space="preserve"> </w:t>
            </w:r>
            <w:r w:rsidRPr="0053423A">
              <w:rPr>
                <w:rFonts w:cs="Sylfaen"/>
              </w:rPr>
              <w:t>օգտագործման</w:t>
            </w:r>
            <w:r w:rsidRPr="0053423A">
              <w:rPr>
                <w:rFonts w:cs="Arial Armenian"/>
                <w:lang w:val="af-ZA"/>
              </w:rPr>
              <w:t xml:space="preserve">, </w:t>
            </w:r>
            <w:r w:rsidRPr="0053423A">
              <w:rPr>
                <w:rFonts w:cs="Sylfaen"/>
              </w:rPr>
              <w:t>մարքեթինգային</w:t>
            </w:r>
            <w:r w:rsidRPr="0053423A">
              <w:rPr>
                <w:rFonts w:cs="Arial Armenian"/>
                <w:lang w:val="af-ZA"/>
              </w:rPr>
              <w:t xml:space="preserve"> </w:t>
            </w:r>
            <w:r w:rsidRPr="0053423A">
              <w:rPr>
                <w:rFonts w:cs="Sylfaen"/>
              </w:rPr>
              <w:t>գործունեության</w:t>
            </w:r>
            <w:r w:rsidRPr="0053423A">
              <w:rPr>
                <w:rFonts w:cs="Arial Armenian"/>
                <w:lang w:val="af-ZA"/>
              </w:rPr>
              <w:t xml:space="preserve"> </w:t>
            </w:r>
            <w:r w:rsidRPr="0053423A">
              <w:rPr>
                <w:rFonts w:cs="Sylfaen"/>
              </w:rPr>
              <w:t>բավա</w:t>
            </w:r>
            <w:r w:rsidRPr="0053423A">
              <w:rPr>
                <w:rFonts w:cs="Sylfaen"/>
                <w:lang w:val="af-ZA"/>
              </w:rPr>
              <w:softHyphen/>
            </w:r>
            <w:r w:rsidRPr="0053423A">
              <w:rPr>
                <w:rFonts w:cs="Sylfaen"/>
              </w:rPr>
              <w:t>րար</w:t>
            </w:r>
            <w:r w:rsidRPr="0053423A">
              <w:rPr>
                <w:rFonts w:cs="Arial Armenian"/>
                <w:lang w:val="af-ZA"/>
              </w:rPr>
              <w:t xml:space="preserve"> </w:t>
            </w:r>
            <w:r w:rsidRPr="0053423A">
              <w:rPr>
                <w:rFonts w:cs="Sylfaen"/>
              </w:rPr>
              <w:t>կազմակերպման</w:t>
            </w:r>
            <w:r w:rsidRPr="0053423A">
              <w:rPr>
                <w:rFonts w:cs="Arial Armenian"/>
                <w:lang w:val="af-ZA"/>
              </w:rPr>
              <w:t xml:space="preserve"> </w:t>
            </w:r>
            <w:r w:rsidRPr="0053423A">
              <w:rPr>
                <w:rFonts w:cs="Arial Armenian"/>
              </w:rPr>
              <w:t>և</w:t>
            </w:r>
            <w:r w:rsidRPr="0053423A">
              <w:rPr>
                <w:rFonts w:cs="Arial Armenian"/>
                <w:lang w:val="af-ZA"/>
              </w:rPr>
              <w:t xml:space="preserve"> </w:t>
            </w:r>
            <w:r w:rsidRPr="0053423A">
              <w:rPr>
                <w:rFonts w:cs="Sylfaen"/>
              </w:rPr>
              <w:t>վերամշակվողների</w:t>
            </w:r>
            <w:r w:rsidRPr="0053423A">
              <w:rPr>
                <w:rFonts w:cs="Arial Armenian"/>
                <w:lang w:val="af-ZA"/>
              </w:rPr>
              <w:t xml:space="preserve"> </w:t>
            </w:r>
            <w:r w:rsidRPr="0053423A">
              <w:rPr>
                <w:rFonts w:cs="Sylfaen"/>
              </w:rPr>
              <w:t>կողմից</w:t>
            </w:r>
            <w:r w:rsidRPr="0053423A">
              <w:rPr>
                <w:rFonts w:cs="Sylfaen"/>
                <w:lang w:val="af-ZA"/>
              </w:rPr>
              <w:t xml:space="preserve"> </w:t>
            </w:r>
            <w:r w:rsidRPr="0053423A">
              <w:rPr>
                <w:rFonts w:cs="Sylfaen"/>
              </w:rPr>
              <w:t>հումքի</w:t>
            </w:r>
            <w:r w:rsidRPr="0053423A">
              <w:rPr>
                <w:rFonts w:cs="Arial Armenian"/>
                <w:lang w:val="af-ZA"/>
              </w:rPr>
              <w:t xml:space="preserve"> </w:t>
            </w:r>
            <w:r w:rsidRPr="0053423A">
              <w:rPr>
                <w:rFonts w:cs="Sylfaen"/>
              </w:rPr>
              <w:t>գնման</w:t>
            </w:r>
            <w:r w:rsidRPr="0053423A">
              <w:rPr>
                <w:rFonts w:cs="Arial Armenian"/>
                <w:lang w:val="af-ZA"/>
              </w:rPr>
              <w:t xml:space="preserve"> </w:t>
            </w:r>
            <w:r w:rsidRPr="0053423A">
              <w:rPr>
                <w:rFonts w:cs="Sylfaen"/>
              </w:rPr>
              <w:t>հարցերում</w:t>
            </w:r>
            <w:r w:rsidRPr="0053423A">
              <w:rPr>
                <w:rFonts w:cs="Arial Armenian"/>
                <w:lang w:val="af-ZA"/>
              </w:rPr>
              <w:t xml:space="preserve">:  </w:t>
            </w:r>
            <w:r w:rsidRPr="0053423A">
              <w:rPr>
                <w:rFonts w:cs="Arial Armenian"/>
              </w:rPr>
              <w:t>Հաճախ</w:t>
            </w:r>
            <w:r w:rsidRPr="0053423A">
              <w:rPr>
                <w:rFonts w:cs="Arial Armenian"/>
                <w:lang w:val="af-ZA"/>
              </w:rPr>
              <w:t xml:space="preserve"> </w:t>
            </w:r>
            <w:r w:rsidRPr="0053423A">
              <w:rPr>
                <w:rFonts w:cs="Sylfaen"/>
              </w:rPr>
              <w:t>արտադրվող</w:t>
            </w:r>
            <w:r w:rsidRPr="0053423A">
              <w:rPr>
                <w:rFonts w:cs="Sylfaen"/>
                <w:lang w:val="af-ZA"/>
              </w:rPr>
              <w:t xml:space="preserve"> </w:t>
            </w:r>
            <w:r w:rsidRPr="0053423A">
              <w:rPr>
                <w:rFonts w:cs="Sylfaen"/>
              </w:rPr>
              <w:t>տնկիները</w:t>
            </w:r>
            <w:r w:rsidRPr="0053423A">
              <w:rPr>
                <w:rFonts w:cs="Sylfaen"/>
                <w:lang w:val="af-ZA"/>
              </w:rPr>
              <w:t xml:space="preserve"> </w:t>
            </w:r>
            <w:r w:rsidRPr="0053423A">
              <w:rPr>
                <w:rFonts w:cs="Sylfaen"/>
              </w:rPr>
              <w:t>չեն</w:t>
            </w:r>
            <w:r w:rsidRPr="0053423A">
              <w:rPr>
                <w:rFonts w:cs="Sylfaen"/>
                <w:lang w:val="af-ZA"/>
              </w:rPr>
              <w:t xml:space="preserve"> </w:t>
            </w:r>
            <w:r w:rsidRPr="0053423A">
              <w:rPr>
                <w:rFonts w:cs="Sylfaen"/>
              </w:rPr>
              <w:t>համապատասխանում</w:t>
            </w:r>
            <w:r w:rsidRPr="0053423A">
              <w:rPr>
                <w:rFonts w:cs="Sylfaen"/>
                <w:lang w:val="af-ZA"/>
              </w:rPr>
              <w:t xml:space="preserve"> </w:t>
            </w:r>
            <w:r w:rsidRPr="0053423A">
              <w:rPr>
                <w:rFonts w:cs="Sylfaen"/>
              </w:rPr>
              <w:t>այգեհիմնում</w:t>
            </w:r>
            <w:r w:rsidRPr="0053423A">
              <w:rPr>
                <w:rFonts w:cs="Sylfaen"/>
                <w:lang w:val="af-ZA"/>
              </w:rPr>
              <w:t xml:space="preserve"> </w:t>
            </w:r>
            <w:r w:rsidRPr="0053423A">
              <w:rPr>
                <w:rFonts w:cs="Sylfaen"/>
              </w:rPr>
              <w:t>կատարող</w:t>
            </w:r>
            <w:r w:rsidRPr="0053423A">
              <w:rPr>
                <w:rFonts w:cs="Sylfaen"/>
                <w:lang w:val="af-ZA"/>
              </w:rPr>
              <w:t xml:space="preserve"> </w:t>
            </w:r>
            <w:r w:rsidRPr="0053423A">
              <w:rPr>
                <w:rFonts w:cs="Sylfaen"/>
              </w:rPr>
              <w:t>տնտե</w:t>
            </w:r>
            <w:r w:rsidRPr="0053423A">
              <w:rPr>
                <w:rFonts w:cs="Sylfaen"/>
                <w:lang w:val="af-ZA"/>
              </w:rPr>
              <w:softHyphen/>
            </w:r>
            <w:r w:rsidRPr="0053423A">
              <w:rPr>
                <w:rFonts w:cs="Sylfaen"/>
              </w:rPr>
              <w:t>սավարողների</w:t>
            </w:r>
            <w:r w:rsidRPr="0053423A">
              <w:rPr>
                <w:rFonts w:cs="Sylfaen"/>
                <w:lang w:val="af-ZA"/>
              </w:rPr>
              <w:t xml:space="preserve"> </w:t>
            </w:r>
            <w:r w:rsidRPr="0053423A">
              <w:rPr>
                <w:rFonts w:cs="Sylfaen"/>
              </w:rPr>
              <w:t>պահանջներին</w:t>
            </w:r>
            <w:r w:rsidRPr="0053423A">
              <w:rPr>
                <w:rFonts w:cs="Sylfaen"/>
                <w:lang w:val="af-ZA"/>
              </w:rPr>
              <w:t>:</w:t>
            </w:r>
            <w:r w:rsidRPr="0053423A">
              <w:rPr>
                <w:lang w:val="af-ZA"/>
              </w:rPr>
              <w:t xml:space="preserve"> </w:t>
            </w:r>
            <w:r w:rsidRPr="0053423A">
              <w:rPr>
                <w:rFonts w:cs="Times Armenian"/>
              </w:rPr>
              <w:t>Չնայած</w:t>
            </w:r>
            <w:r w:rsidRPr="0053423A">
              <w:rPr>
                <w:rFonts w:cs="Times Armenian"/>
                <w:lang w:val="af-ZA"/>
              </w:rPr>
              <w:t xml:space="preserve"> </w:t>
            </w:r>
            <w:r w:rsidRPr="0053423A">
              <w:rPr>
                <w:rFonts w:cs="Times Armenian"/>
              </w:rPr>
              <w:t>վերջին</w:t>
            </w:r>
            <w:r w:rsidRPr="0053423A">
              <w:rPr>
                <w:rFonts w:cs="Times Armenian"/>
                <w:lang w:val="af-ZA"/>
              </w:rPr>
              <w:t xml:space="preserve"> </w:t>
            </w:r>
            <w:r w:rsidRPr="0053423A">
              <w:rPr>
                <w:rFonts w:cs="Times Armenian"/>
              </w:rPr>
              <w:t>տարիներին</w:t>
            </w:r>
            <w:r w:rsidRPr="0053423A">
              <w:rPr>
                <w:rFonts w:cs="Times Armenian"/>
                <w:lang w:val="af-ZA"/>
              </w:rPr>
              <w:t xml:space="preserve"> </w:t>
            </w:r>
            <w:r w:rsidRPr="0053423A">
              <w:t>ավելացել</w:t>
            </w:r>
            <w:r w:rsidRPr="0053423A">
              <w:rPr>
                <w:lang w:val="af-ZA"/>
              </w:rPr>
              <w:t xml:space="preserve"> </w:t>
            </w:r>
            <w:r w:rsidRPr="0053423A">
              <w:t>են</w:t>
            </w:r>
            <w:r w:rsidRPr="0053423A">
              <w:rPr>
                <w:lang w:val="af-ZA"/>
              </w:rPr>
              <w:t xml:space="preserve"> </w:t>
            </w:r>
            <w:r w:rsidRPr="0053423A">
              <w:rPr>
                <w:rFonts w:cs="Times Armenian"/>
              </w:rPr>
              <w:t>ինտենսիվ</w:t>
            </w:r>
            <w:r w:rsidRPr="0053423A">
              <w:rPr>
                <w:rFonts w:cs="Times Armenian"/>
                <w:lang w:val="af-ZA"/>
              </w:rPr>
              <w:t xml:space="preserve"> </w:t>
            </w:r>
            <w:r w:rsidRPr="0053423A">
              <w:t>նորագույն</w:t>
            </w:r>
            <w:r w:rsidRPr="0053423A">
              <w:rPr>
                <w:lang w:val="af-ZA"/>
              </w:rPr>
              <w:t xml:space="preserve"> </w:t>
            </w:r>
            <w:r w:rsidRPr="0053423A">
              <w:t>տեխնոլոգիաների</w:t>
            </w:r>
            <w:r w:rsidRPr="0053423A">
              <w:rPr>
                <w:lang w:val="af-ZA"/>
              </w:rPr>
              <w:t xml:space="preserve"> </w:t>
            </w:r>
            <w:r w:rsidRPr="0053423A">
              <w:t>կիրառմամբ</w:t>
            </w:r>
            <w:r w:rsidRPr="0053423A">
              <w:rPr>
                <w:lang w:val="af-ZA"/>
              </w:rPr>
              <w:t xml:space="preserve"> </w:t>
            </w:r>
            <w:r w:rsidRPr="0053423A">
              <w:rPr>
                <w:rFonts w:cs="Times Armenian"/>
              </w:rPr>
              <w:t>պտղատու</w:t>
            </w:r>
            <w:r w:rsidRPr="0053423A">
              <w:rPr>
                <w:rFonts w:cs="Times Armenian"/>
                <w:lang w:val="af-ZA"/>
              </w:rPr>
              <w:t xml:space="preserve"> </w:t>
            </w:r>
            <w:r w:rsidRPr="0053423A">
              <w:rPr>
                <w:rFonts w:cs="Times Armenian"/>
              </w:rPr>
              <w:t>և</w:t>
            </w:r>
            <w:r w:rsidRPr="0053423A">
              <w:rPr>
                <w:rFonts w:cs="Times Armenian"/>
                <w:lang w:val="af-ZA"/>
              </w:rPr>
              <w:t xml:space="preserve"> </w:t>
            </w:r>
            <w:r w:rsidRPr="0053423A">
              <w:rPr>
                <w:rFonts w:cs="Times Armenian"/>
              </w:rPr>
              <w:t>հատապտղատու</w:t>
            </w:r>
            <w:r w:rsidRPr="0053423A">
              <w:rPr>
                <w:rFonts w:cs="Times Armenian"/>
                <w:lang w:val="af-ZA"/>
              </w:rPr>
              <w:t xml:space="preserve"> </w:t>
            </w:r>
            <w:r w:rsidRPr="0053423A">
              <w:rPr>
                <w:rFonts w:cs="Sylfaen"/>
              </w:rPr>
              <w:t>այգիների</w:t>
            </w:r>
            <w:r w:rsidRPr="0053423A">
              <w:rPr>
                <w:rFonts w:cs="Sylfaen"/>
                <w:lang w:val="af-ZA"/>
              </w:rPr>
              <w:t xml:space="preserve"> </w:t>
            </w:r>
            <w:r w:rsidRPr="0053423A">
              <w:rPr>
                <w:rFonts w:cs="Sylfaen"/>
              </w:rPr>
              <w:t>տարածությունները</w:t>
            </w:r>
            <w:r w:rsidRPr="0053423A">
              <w:rPr>
                <w:rFonts w:cs="Sylfaen"/>
                <w:lang w:val="af-ZA"/>
              </w:rPr>
              <w:t xml:space="preserve">, </w:t>
            </w:r>
            <w:r w:rsidRPr="0053423A">
              <w:rPr>
                <w:rFonts w:cs="Sylfaen"/>
              </w:rPr>
              <w:t>այնուամենայնիվ</w:t>
            </w:r>
            <w:r w:rsidRPr="0053423A">
              <w:rPr>
                <w:rFonts w:cs="Sylfaen"/>
                <w:lang w:val="af-ZA"/>
              </w:rPr>
              <w:t xml:space="preserve"> </w:t>
            </w:r>
            <w:r w:rsidRPr="0053423A">
              <w:rPr>
                <w:rFonts w:cs="Sylfaen"/>
              </w:rPr>
              <w:t>դեռևս</w:t>
            </w:r>
            <w:r w:rsidRPr="0053423A">
              <w:rPr>
                <w:rFonts w:cs="Sylfaen"/>
                <w:lang w:val="af-ZA"/>
              </w:rPr>
              <w:t xml:space="preserve"> </w:t>
            </w:r>
            <w:r w:rsidRPr="0053423A">
              <w:t>անհր</w:t>
            </w:r>
            <w:r w:rsidRPr="0053423A">
              <w:rPr>
                <w:lang w:val="hy-AM"/>
              </w:rPr>
              <w:t>ա</w:t>
            </w:r>
            <w:r w:rsidRPr="0053423A">
              <w:t>ժեշտություն</w:t>
            </w:r>
            <w:r w:rsidRPr="0053423A">
              <w:rPr>
                <w:lang w:val="af-ZA"/>
              </w:rPr>
              <w:t xml:space="preserve"> </w:t>
            </w:r>
            <w:r w:rsidRPr="0053423A">
              <w:t>կա</w:t>
            </w:r>
            <w:r w:rsidRPr="0053423A">
              <w:rPr>
                <w:lang w:val="af-ZA"/>
              </w:rPr>
              <w:t xml:space="preserve"> </w:t>
            </w:r>
            <w:r w:rsidRPr="0053423A">
              <w:t>խթանելու</w:t>
            </w:r>
            <w:r w:rsidRPr="0053423A">
              <w:rPr>
                <w:lang w:val="af-ZA"/>
              </w:rPr>
              <w:t xml:space="preserve"> </w:t>
            </w:r>
            <w:r w:rsidRPr="0053423A">
              <w:t>ինտենսիվ</w:t>
            </w:r>
            <w:r w:rsidRPr="0053423A">
              <w:rPr>
                <w:lang w:val="af-ZA"/>
              </w:rPr>
              <w:t xml:space="preserve"> </w:t>
            </w:r>
            <w:r w:rsidRPr="0053423A">
              <w:t>այգիների</w:t>
            </w:r>
            <w:r w:rsidRPr="0053423A">
              <w:rPr>
                <w:lang w:val="af-ZA"/>
              </w:rPr>
              <w:t xml:space="preserve"> </w:t>
            </w:r>
            <w:r w:rsidRPr="0053423A">
              <w:t>հիմնումը</w:t>
            </w:r>
            <w:r w:rsidRPr="0053423A">
              <w:rPr>
                <w:lang w:val="af-ZA"/>
              </w:rPr>
              <w:t>:</w:t>
            </w:r>
          </w:p>
          <w:p w:rsidR="00530B14" w:rsidRPr="0053423A" w:rsidRDefault="00530B14" w:rsidP="00A67858">
            <w:pPr>
              <w:pStyle w:val="BodyTextIndent"/>
              <w:tabs>
                <w:tab w:val="left" w:pos="851"/>
              </w:tabs>
              <w:spacing w:after="0" w:line="276" w:lineRule="auto"/>
              <w:ind w:left="0" w:right="239"/>
              <w:jc w:val="both"/>
              <w:rPr>
                <w:rFonts w:ascii="GHEA Grapalat" w:hAnsi="GHEA Grapalat"/>
                <w:sz w:val="20"/>
                <w:szCs w:val="20"/>
                <w:lang w:val="af-ZA"/>
              </w:rPr>
            </w:pPr>
            <w:r w:rsidRPr="0053423A">
              <w:rPr>
                <w:rFonts w:ascii="GHEA Grapalat" w:hAnsi="GHEA Grapalat" w:cs="Sylfaen"/>
                <w:sz w:val="20"/>
                <w:szCs w:val="20"/>
                <w:lang w:val="af-ZA"/>
              </w:rPr>
              <w:tab/>
            </w:r>
            <w:r w:rsidRPr="0053423A">
              <w:rPr>
                <w:rFonts w:ascii="GHEA Grapalat" w:hAnsi="GHEA Grapalat" w:cs="Sylfaen"/>
                <w:sz w:val="20"/>
                <w:szCs w:val="20"/>
              </w:rPr>
              <w:t>ՀՀ</w:t>
            </w:r>
            <w:r w:rsidRPr="0053423A">
              <w:rPr>
                <w:rFonts w:ascii="GHEA Grapalat" w:hAnsi="GHEA Grapalat" w:cs="Arial Armenian"/>
                <w:sz w:val="20"/>
                <w:szCs w:val="20"/>
                <w:lang w:val="af-ZA"/>
              </w:rPr>
              <w:t xml:space="preserve"> </w:t>
            </w:r>
            <w:r w:rsidRPr="0053423A">
              <w:rPr>
                <w:rFonts w:ascii="GHEA Grapalat" w:hAnsi="GHEA Grapalat" w:cs="Sylfaen"/>
                <w:sz w:val="20"/>
                <w:szCs w:val="20"/>
              </w:rPr>
              <w:t>կառավարության</w:t>
            </w:r>
            <w:r w:rsidRPr="0053423A">
              <w:rPr>
                <w:rFonts w:ascii="GHEA Grapalat" w:hAnsi="GHEA Grapalat"/>
                <w:sz w:val="20"/>
                <w:szCs w:val="20"/>
                <w:lang w:val="af-ZA"/>
              </w:rPr>
              <w:t xml:space="preserve"> 2017 թվականի  </w:t>
            </w:r>
            <w:r w:rsidRPr="0053423A">
              <w:rPr>
                <w:rFonts w:ascii="GHEA Grapalat" w:hAnsi="GHEA Grapalat" w:cs="IRTEK Courier"/>
                <w:spacing w:val="-4"/>
                <w:sz w:val="20"/>
                <w:szCs w:val="20"/>
                <w:lang w:val="pt-BR"/>
              </w:rPr>
              <w:t>դեկտեմբերի</w:t>
            </w:r>
            <w:r w:rsidRPr="0053423A">
              <w:rPr>
                <w:rFonts w:ascii="GHEA Grapalat" w:hAnsi="GHEA Grapalat"/>
                <w:spacing w:val="2"/>
                <w:sz w:val="20"/>
                <w:szCs w:val="20"/>
                <w:lang w:val="af-ZA"/>
              </w:rPr>
              <w:t xml:space="preserve"> 21</w:t>
            </w:r>
            <w:r w:rsidRPr="0053423A">
              <w:rPr>
                <w:rFonts w:ascii="GHEA Grapalat" w:hAnsi="GHEA Grapalat" w:cs="Arial Armenian"/>
                <w:spacing w:val="2"/>
                <w:sz w:val="20"/>
                <w:szCs w:val="20"/>
                <w:lang w:val="af-ZA"/>
              </w:rPr>
              <w:t>-</w:t>
            </w:r>
            <w:r w:rsidRPr="0053423A">
              <w:rPr>
                <w:rFonts w:ascii="GHEA Grapalat" w:hAnsi="GHEA Grapalat" w:cs="Sylfaen"/>
                <w:spacing w:val="2"/>
                <w:sz w:val="20"/>
                <w:szCs w:val="20"/>
              </w:rPr>
              <w:t>ի</w:t>
            </w:r>
            <w:r w:rsidRPr="0053423A">
              <w:rPr>
                <w:rFonts w:ascii="GHEA Grapalat" w:hAnsi="GHEA Grapalat" w:cs="Sylfaen"/>
                <w:spacing w:val="2"/>
                <w:sz w:val="20"/>
                <w:szCs w:val="20"/>
                <w:lang w:val="af-ZA"/>
              </w:rPr>
              <w:t xml:space="preserve"> </w:t>
            </w:r>
            <w:r w:rsidRPr="0053423A">
              <w:rPr>
                <w:rFonts w:ascii="GHEA Grapalat" w:hAnsi="GHEA Grapalat" w:cs="Arial Armenian"/>
                <w:spacing w:val="2"/>
                <w:sz w:val="20"/>
                <w:szCs w:val="20"/>
                <w:lang w:val="af-ZA"/>
              </w:rPr>
              <w:t xml:space="preserve"> </w:t>
            </w:r>
            <w:r w:rsidRPr="0053423A">
              <w:rPr>
                <w:rFonts w:ascii="GHEA Grapalat" w:hAnsi="GHEA Grapalat" w:cs="Sylfaen"/>
                <w:spacing w:val="2"/>
                <w:sz w:val="20"/>
                <w:szCs w:val="20"/>
              </w:rPr>
              <w:t>նիստի</w:t>
            </w:r>
            <w:r w:rsidRPr="0053423A">
              <w:rPr>
                <w:rFonts w:ascii="GHEA Grapalat" w:hAnsi="GHEA Grapalat" w:cs="Arial Armenian"/>
                <w:spacing w:val="2"/>
                <w:sz w:val="20"/>
                <w:szCs w:val="20"/>
                <w:lang w:val="af-ZA"/>
              </w:rPr>
              <w:t xml:space="preserve">  N 53</w:t>
            </w:r>
            <w:r w:rsidRPr="0053423A">
              <w:rPr>
                <w:rFonts w:ascii="GHEA Grapalat" w:hAnsi="GHEA Grapalat" w:cs="Sylfaen"/>
                <w:sz w:val="20"/>
                <w:szCs w:val="20"/>
                <w:lang w:val="af-ZA"/>
              </w:rPr>
              <w:t xml:space="preserve"> </w:t>
            </w:r>
            <w:r w:rsidRPr="0053423A">
              <w:rPr>
                <w:rFonts w:ascii="GHEA Grapalat" w:hAnsi="GHEA Grapalat" w:cs="Sylfaen"/>
                <w:sz w:val="20"/>
                <w:szCs w:val="20"/>
              </w:rPr>
              <w:t>արձա</w:t>
            </w:r>
            <w:r w:rsidRPr="0053423A">
              <w:rPr>
                <w:rFonts w:ascii="GHEA Grapalat" w:hAnsi="GHEA Grapalat" w:cs="Sylfaen"/>
                <w:sz w:val="20"/>
                <w:szCs w:val="20"/>
                <w:lang w:val="af-ZA"/>
              </w:rPr>
              <w:softHyphen/>
            </w:r>
            <w:r w:rsidRPr="0053423A">
              <w:rPr>
                <w:rFonts w:ascii="GHEA Grapalat" w:hAnsi="GHEA Grapalat" w:cs="Sylfaen"/>
                <w:sz w:val="20"/>
                <w:szCs w:val="20"/>
              </w:rPr>
              <w:t>նագ</w:t>
            </w:r>
            <w:r w:rsidRPr="0053423A">
              <w:rPr>
                <w:rFonts w:ascii="GHEA Grapalat" w:hAnsi="GHEA Grapalat" w:cs="Sylfaen"/>
                <w:sz w:val="20"/>
                <w:szCs w:val="20"/>
                <w:lang w:val="af-ZA"/>
              </w:rPr>
              <w:softHyphen/>
            </w:r>
            <w:r w:rsidRPr="0053423A">
              <w:rPr>
                <w:rFonts w:ascii="GHEA Grapalat" w:hAnsi="GHEA Grapalat" w:cs="Sylfaen"/>
                <w:sz w:val="20"/>
                <w:szCs w:val="20"/>
              </w:rPr>
              <w:t>րային</w:t>
            </w:r>
            <w:r w:rsidRPr="0053423A">
              <w:rPr>
                <w:rFonts w:ascii="GHEA Grapalat" w:hAnsi="GHEA Grapalat" w:cs="Arial Armenian"/>
                <w:sz w:val="20"/>
                <w:szCs w:val="20"/>
                <w:lang w:val="af-ZA"/>
              </w:rPr>
              <w:t xml:space="preserve"> </w:t>
            </w:r>
            <w:r w:rsidRPr="0053423A">
              <w:rPr>
                <w:rFonts w:ascii="GHEA Grapalat" w:hAnsi="GHEA Grapalat" w:cs="Sylfaen"/>
                <w:sz w:val="20"/>
                <w:szCs w:val="20"/>
              </w:rPr>
              <w:t>որոշմամբ</w:t>
            </w:r>
            <w:r w:rsidRPr="0053423A">
              <w:rPr>
                <w:rFonts w:ascii="GHEA Grapalat" w:hAnsi="GHEA Grapalat" w:cs="Sylfaen"/>
                <w:sz w:val="20"/>
                <w:szCs w:val="20"/>
                <w:lang w:val="af-ZA"/>
              </w:rPr>
              <w:t xml:space="preserve"> </w:t>
            </w:r>
            <w:r w:rsidRPr="0053423A">
              <w:rPr>
                <w:rFonts w:ascii="GHEA Grapalat" w:hAnsi="GHEA Grapalat" w:cs="Sylfaen"/>
                <w:sz w:val="20"/>
                <w:szCs w:val="20"/>
              </w:rPr>
              <w:t>հավանության</w:t>
            </w:r>
            <w:r w:rsidRPr="0053423A">
              <w:rPr>
                <w:rFonts w:ascii="GHEA Grapalat" w:hAnsi="GHEA Grapalat" w:cs="Sylfaen"/>
                <w:sz w:val="20"/>
                <w:szCs w:val="20"/>
                <w:lang w:val="af-ZA"/>
              </w:rPr>
              <w:t xml:space="preserve"> </w:t>
            </w:r>
            <w:r w:rsidRPr="0053423A">
              <w:rPr>
                <w:rFonts w:ascii="GHEA Grapalat" w:hAnsi="GHEA Grapalat" w:cs="Sylfaen"/>
                <w:sz w:val="20"/>
                <w:szCs w:val="20"/>
              </w:rPr>
              <w:t>էր</w:t>
            </w:r>
            <w:r w:rsidRPr="0053423A">
              <w:rPr>
                <w:rFonts w:ascii="GHEA Grapalat" w:hAnsi="GHEA Grapalat" w:cs="Sylfaen"/>
                <w:sz w:val="20"/>
                <w:szCs w:val="20"/>
                <w:lang w:val="af-ZA"/>
              </w:rPr>
              <w:t xml:space="preserve"> </w:t>
            </w:r>
            <w:r w:rsidRPr="0053423A">
              <w:rPr>
                <w:rFonts w:ascii="GHEA Grapalat" w:hAnsi="GHEA Grapalat" w:cs="Sylfaen"/>
                <w:sz w:val="20"/>
                <w:szCs w:val="20"/>
              </w:rPr>
              <w:t>արժանացել</w:t>
            </w:r>
            <w:r w:rsidRPr="0053423A">
              <w:rPr>
                <w:rFonts w:ascii="GHEA Grapalat" w:hAnsi="GHEA Grapalat" w:cs="Sylfaen"/>
                <w:sz w:val="20"/>
                <w:szCs w:val="20"/>
                <w:lang w:val="af-ZA"/>
              </w:rPr>
              <w:t xml:space="preserve"> </w:t>
            </w:r>
            <w:r w:rsidRPr="0053423A">
              <w:rPr>
                <w:rFonts w:ascii="GHEA Grapalat" w:hAnsi="GHEA Grapalat" w:cs="Times Armenian"/>
                <w:sz w:val="20"/>
                <w:szCs w:val="20"/>
                <w:lang w:val="fr-FR"/>
              </w:rPr>
              <w:t>«</w:t>
            </w:r>
            <w:r w:rsidRPr="0053423A">
              <w:rPr>
                <w:rFonts w:ascii="GHEA Grapalat" w:hAnsi="GHEA Grapalat" w:cs="Sylfaen"/>
                <w:sz w:val="20"/>
                <w:szCs w:val="20"/>
              </w:rPr>
              <w:t>Հայաստանի</w:t>
            </w:r>
            <w:r w:rsidRPr="0053423A">
              <w:rPr>
                <w:rFonts w:ascii="GHEA Grapalat" w:hAnsi="GHEA Grapalat" w:cs="Sylfaen"/>
                <w:sz w:val="20"/>
                <w:szCs w:val="20"/>
                <w:lang w:val="af-ZA"/>
              </w:rPr>
              <w:t xml:space="preserve"> </w:t>
            </w:r>
            <w:r w:rsidRPr="0053423A">
              <w:rPr>
                <w:rFonts w:ascii="GHEA Grapalat" w:hAnsi="GHEA Grapalat" w:cs="Sylfaen"/>
                <w:sz w:val="20"/>
                <w:szCs w:val="20"/>
              </w:rPr>
              <w:t>Հանրապետու</w:t>
            </w:r>
            <w:r w:rsidRPr="0053423A">
              <w:rPr>
                <w:rFonts w:ascii="GHEA Grapalat" w:hAnsi="GHEA Grapalat" w:cs="Sylfaen"/>
                <w:sz w:val="20"/>
                <w:szCs w:val="20"/>
                <w:lang w:val="af-ZA"/>
              </w:rPr>
              <w:softHyphen/>
            </w:r>
            <w:r w:rsidRPr="0053423A">
              <w:rPr>
                <w:rFonts w:ascii="GHEA Grapalat" w:hAnsi="GHEA Grapalat" w:cs="Sylfaen"/>
                <w:sz w:val="20"/>
                <w:szCs w:val="20"/>
              </w:rPr>
              <w:t>թյունում</w:t>
            </w:r>
            <w:r w:rsidRPr="0053423A">
              <w:rPr>
                <w:rFonts w:ascii="GHEA Grapalat" w:hAnsi="GHEA Grapalat" w:cs="Sylfaen"/>
                <w:sz w:val="20"/>
                <w:szCs w:val="20"/>
                <w:lang w:val="af-ZA"/>
              </w:rPr>
              <w:t xml:space="preserve"> </w:t>
            </w:r>
            <w:r w:rsidRPr="0053423A">
              <w:rPr>
                <w:rFonts w:ascii="GHEA Grapalat" w:hAnsi="GHEA Grapalat"/>
                <w:sz w:val="20"/>
                <w:szCs w:val="20"/>
              </w:rPr>
              <w:t>ժամանակակից</w:t>
            </w:r>
            <w:r w:rsidRPr="0053423A">
              <w:rPr>
                <w:rFonts w:ascii="GHEA Grapalat" w:hAnsi="GHEA Grapalat"/>
                <w:sz w:val="20"/>
                <w:szCs w:val="20"/>
                <w:lang w:val="af-ZA"/>
              </w:rPr>
              <w:t xml:space="preserve"> </w:t>
            </w:r>
            <w:r w:rsidRPr="0053423A">
              <w:rPr>
                <w:rFonts w:ascii="GHEA Grapalat" w:hAnsi="GHEA Grapalat"/>
                <w:sz w:val="20"/>
                <w:szCs w:val="20"/>
              </w:rPr>
              <w:t>տեխնոլոգիաներով</w:t>
            </w:r>
            <w:r w:rsidRPr="0053423A">
              <w:rPr>
                <w:rFonts w:ascii="GHEA Grapalat" w:hAnsi="GHEA Grapalat"/>
                <w:sz w:val="20"/>
                <w:szCs w:val="20"/>
                <w:lang w:val="af-ZA"/>
              </w:rPr>
              <w:t xml:space="preserve"> </w:t>
            </w:r>
            <w:r w:rsidRPr="0053423A">
              <w:rPr>
                <w:rFonts w:ascii="GHEA Grapalat" w:hAnsi="GHEA Grapalat"/>
                <w:sz w:val="20"/>
                <w:szCs w:val="20"/>
              </w:rPr>
              <w:t>մշակվող</w:t>
            </w:r>
            <w:r w:rsidRPr="0053423A">
              <w:rPr>
                <w:rFonts w:ascii="GHEA Grapalat" w:hAnsi="GHEA Grapalat"/>
                <w:sz w:val="20"/>
                <w:szCs w:val="20"/>
                <w:lang w:val="af-ZA"/>
              </w:rPr>
              <w:t xml:space="preserve"> </w:t>
            </w:r>
            <w:r w:rsidRPr="0053423A">
              <w:rPr>
                <w:rFonts w:ascii="GHEA Grapalat" w:hAnsi="GHEA Grapalat"/>
                <w:sz w:val="20"/>
                <w:szCs w:val="20"/>
              </w:rPr>
              <w:t>ինտենսիվ</w:t>
            </w:r>
            <w:r w:rsidRPr="0053423A">
              <w:rPr>
                <w:rFonts w:ascii="GHEA Grapalat" w:hAnsi="GHEA Grapalat"/>
                <w:sz w:val="20"/>
                <w:szCs w:val="20"/>
                <w:lang w:val="af-ZA"/>
              </w:rPr>
              <w:t xml:space="preserve"> </w:t>
            </w:r>
            <w:r w:rsidRPr="0053423A">
              <w:rPr>
                <w:rFonts w:ascii="GHEA Grapalat" w:hAnsi="GHEA Grapalat"/>
                <w:sz w:val="20"/>
                <w:szCs w:val="20"/>
              </w:rPr>
              <w:t>պտղատու</w:t>
            </w:r>
            <w:r w:rsidRPr="0053423A">
              <w:rPr>
                <w:rFonts w:ascii="GHEA Grapalat" w:hAnsi="GHEA Grapalat"/>
                <w:sz w:val="20"/>
                <w:szCs w:val="20"/>
                <w:lang w:val="af-ZA"/>
              </w:rPr>
              <w:t xml:space="preserve"> </w:t>
            </w:r>
            <w:r w:rsidRPr="0053423A">
              <w:rPr>
                <w:rFonts w:ascii="GHEA Grapalat" w:hAnsi="GHEA Grapalat"/>
                <w:sz w:val="20"/>
                <w:szCs w:val="20"/>
              </w:rPr>
              <w:t>այգիների</w:t>
            </w:r>
            <w:r w:rsidRPr="0053423A">
              <w:rPr>
                <w:rFonts w:ascii="GHEA Grapalat" w:hAnsi="GHEA Grapalat"/>
                <w:sz w:val="20"/>
                <w:szCs w:val="20"/>
                <w:lang w:val="af-ZA"/>
              </w:rPr>
              <w:t xml:space="preserve"> </w:t>
            </w:r>
            <w:r w:rsidRPr="0053423A">
              <w:rPr>
                <w:rFonts w:ascii="GHEA Grapalat" w:hAnsi="GHEA Grapalat"/>
                <w:sz w:val="20"/>
                <w:szCs w:val="20"/>
              </w:rPr>
              <w:t>հիմնման</w:t>
            </w:r>
            <w:r w:rsidRPr="0053423A">
              <w:rPr>
                <w:rFonts w:ascii="GHEA Grapalat" w:hAnsi="GHEA Grapalat"/>
                <w:sz w:val="20"/>
                <w:szCs w:val="20"/>
                <w:lang w:val="af-ZA"/>
              </w:rPr>
              <w:t xml:space="preserve"> </w:t>
            </w:r>
            <w:r w:rsidRPr="0053423A">
              <w:rPr>
                <w:rFonts w:ascii="GHEA Grapalat" w:hAnsi="GHEA Grapalat"/>
                <w:sz w:val="20"/>
                <w:szCs w:val="20"/>
              </w:rPr>
              <w:t>համար</w:t>
            </w:r>
            <w:r w:rsidRPr="0053423A">
              <w:rPr>
                <w:rFonts w:ascii="GHEA Grapalat" w:hAnsi="GHEA Grapalat"/>
                <w:sz w:val="20"/>
                <w:szCs w:val="20"/>
                <w:lang w:val="af-ZA"/>
              </w:rPr>
              <w:t xml:space="preserve"> </w:t>
            </w:r>
            <w:r w:rsidRPr="0053423A">
              <w:rPr>
                <w:rFonts w:ascii="GHEA Grapalat" w:hAnsi="GHEA Grapalat"/>
                <w:sz w:val="20"/>
                <w:szCs w:val="20"/>
                <w:lang w:val="it-IT"/>
              </w:rPr>
              <w:t xml:space="preserve">վարկային </w:t>
            </w:r>
            <w:r w:rsidRPr="0053423A">
              <w:rPr>
                <w:rFonts w:ascii="GHEA Grapalat" w:hAnsi="GHEA Grapalat"/>
                <w:sz w:val="20"/>
                <w:szCs w:val="20"/>
              </w:rPr>
              <w:t>տոկոսադրույքների</w:t>
            </w:r>
            <w:r w:rsidRPr="0053423A">
              <w:rPr>
                <w:rFonts w:ascii="GHEA Grapalat" w:hAnsi="GHEA Grapalat"/>
                <w:sz w:val="20"/>
                <w:szCs w:val="20"/>
                <w:lang w:val="af-ZA"/>
              </w:rPr>
              <w:t xml:space="preserve"> </w:t>
            </w:r>
            <w:r w:rsidRPr="0053423A">
              <w:rPr>
                <w:rFonts w:ascii="GHEA Grapalat" w:hAnsi="GHEA Grapalat"/>
                <w:sz w:val="20"/>
                <w:szCs w:val="20"/>
              </w:rPr>
              <w:t>սուբսիդավորում</w:t>
            </w:r>
            <w:r w:rsidRPr="0053423A">
              <w:rPr>
                <w:rFonts w:ascii="GHEA Grapalat" w:hAnsi="GHEA Grapalat" w:cs="Arial Armenian"/>
                <w:sz w:val="20"/>
                <w:szCs w:val="20"/>
                <w:lang w:val="fr-FR"/>
              </w:rPr>
              <w:t>»</w:t>
            </w:r>
            <w:r w:rsidRPr="0053423A">
              <w:rPr>
                <w:rFonts w:ascii="GHEA Grapalat" w:hAnsi="GHEA Grapalat"/>
                <w:sz w:val="20"/>
                <w:szCs w:val="20"/>
                <w:lang w:val="af-ZA"/>
              </w:rPr>
              <w:t xml:space="preserve"> </w:t>
            </w:r>
            <w:r w:rsidRPr="0053423A">
              <w:rPr>
                <w:rFonts w:ascii="GHEA Grapalat" w:hAnsi="GHEA Grapalat"/>
                <w:sz w:val="20"/>
                <w:szCs w:val="20"/>
              </w:rPr>
              <w:t>պիլոտային</w:t>
            </w:r>
            <w:r w:rsidRPr="0053423A">
              <w:rPr>
                <w:rFonts w:ascii="GHEA Grapalat" w:hAnsi="GHEA Grapalat"/>
                <w:sz w:val="20"/>
                <w:szCs w:val="20"/>
                <w:lang w:val="af-ZA"/>
              </w:rPr>
              <w:t xml:space="preserve"> </w:t>
            </w:r>
            <w:r w:rsidRPr="0053423A">
              <w:rPr>
                <w:rFonts w:ascii="GHEA Grapalat" w:hAnsi="GHEA Grapalat"/>
                <w:sz w:val="20"/>
                <w:szCs w:val="20"/>
              </w:rPr>
              <w:t>ծրագիրը</w:t>
            </w:r>
            <w:r w:rsidRPr="0053423A">
              <w:rPr>
                <w:rFonts w:ascii="GHEA Grapalat" w:hAnsi="GHEA Grapalat"/>
                <w:sz w:val="20"/>
                <w:szCs w:val="20"/>
                <w:lang w:val="af-ZA"/>
              </w:rPr>
              <w:t xml:space="preserve"> </w:t>
            </w:r>
            <w:r w:rsidRPr="0053423A">
              <w:rPr>
                <w:rFonts w:ascii="GHEA Grapalat" w:hAnsi="GHEA Grapalat"/>
                <w:sz w:val="20"/>
                <w:szCs w:val="20"/>
                <w:lang w:val="ru-RU"/>
              </w:rPr>
              <w:t>այսուհետ՝</w:t>
            </w:r>
            <w:r w:rsidRPr="0053423A">
              <w:rPr>
                <w:rFonts w:ascii="GHEA Grapalat" w:hAnsi="GHEA Grapalat"/>
                <w:sz w:val="20"/>
                <w:szCs w:val="20"/>
                <w:lang w:val="af-ZA"/>
              </w:rPr>
              <w:t xml:space="preserve"> </w:t>
            </w:r>
            <w:r w:rsidRPr="0053423A">
              <w:rPr>
                <w:rFonts w:ascii="GHEA Grapalat" w:hAnsi="GHEA Grapalat"/>
                <w:sz w:val="20"/>
                <w:szCs w:val="20"/>
                <w:lang w:val="hy-AM"/>
              </w:rPr>
              <w:t>(</w:t>
            </w:r>
            <w:r w:rsidRPr="0053423A">
              <w:rPr>
                <w:rFonts w:ascii="GHEA Grapalat" w:hAnsi="GHEA Grapalat"/>
                <w:sz w:val="20"/>
                <w:szCs w:val="20"/>
                <w:lang w:val="ru-RU"/>
              </w:rPr>
              <w:t>Պիլոտային</w:t>
            </w:r>
            <w:r w:rsidRPr="0053423A">
              <w:rPr>
                <w:rFonts w:ascii="GHEA Grapalat" w:hAnsi="GHEA Grapalat"/>
                <w:sz w:val="20"/>
                <w:szCs w:val="20"/>
                <w:lang w:val="af-ZA"/>
              </w:rPr>
              <w:t xml:space="preserve"> </w:t>
            </w:r>
            <w:r w:rsidRPr="0053423A">
              <w:rPr>
                <w:rFonts w:ascii="GHEA Grapalat" w:hAnsi="GHEA Grapalat"/>
                <w:sz w:val="20"/>
                <w:szCs w:val="20"/>
                <w:lang w:val="ru-RU"/>
              </w:rPr>
              <w:t>ծրագիր</w:t>
            </w:r>
            <w:r w:rsidRPr="0053423A">
              <w:rPr>
                <w:rFonts w:ascii="GHEA Grapalat" w:hAnsi="GHEA Grapalat"/>
                <w:sz w:val="20"/>
                <w:szCs w:val="20"/>
                <w:lang w:val="hy-AM"/>
              </w:rPr>
              <w:t>)</w:t>
            </w:r>
            <w:r w:rsidRPr="0053423A">
              <w:rPr>
                <w:rFonts w:ascii="GHEA Grapalat" w:hAnsi="GHEA Grapalat"/>
                <w:sz w:val="20"/>
                <w:szCs w:val="20"/>
                <w:lang w:val="af-ZA"/>
              </w:rPr>
              <w:t xml:space="preserve">, </w:t>
            </w:r>
            <w:r w:rsidRPr="0053423A">
              <w:rPr>
                <w:rFonts w:ascii="GHEA Grapalat" w:hAnsi="GHEA Grapalat"/>
                <w:sz w:val="20"/>
                <w:szCs w:val="20"/>
                <w:lang w:val="ru-RU"/>
              </w:rPr>
              <w:t>որի</w:t>
            </w:r>
            <w:r w:rsidRPr="0053423A">
              <w:rPr>
                <w:rFonts w:ascii="GHEA Grapalat" w:hAnsi="GHEA Grapalat"/>
                <w:sz w:val="20"/>
                <w:szCs w:val="20"/>
                <w:lang w:val="af-ZA"/>
              </w:rPr>
              <w:t xml:space="preserve"> </w:t>
            </w:r>
            <w:r w:rsidRPr="0053423A">
              <w:rPr>
                <w:rFonts w:ascii="GHEA Grapalat" w:hAnsi="GHEA Grapalat"/>
                <w:sz w:val="20"/>
                <w:szCs w:val="20"/>
                <w:lang w:val="ru-RU"/>
              </w:rPr>
              <w:t>շրջանակներում</w:t>
            </w:r>
            <w:r w:rsidRPr="0053423A">
              <w:rPr>
                <w:rFonts w:ascii="GHEA Grapalat" w:hAnsi="GHEA Grapalat"/>
                <w:sz w:val="20"/>
                <w:szCs w:val="20"/>
                <w:lang w:val="af-ZA"/>
              </w:rPr>
              <w:t xml:space="preserve"> </w:t>
            </w:r>
            <w:r w:rsidRPr="0053423A">
              <w:rPr>
                <w:rFonts w:ascii="GHEA Grapalat" w:hAnsi="GHEA Grapalat"/>
                <w:sz w:val="20"/>
                <w:szCs w:val="20"/>
                <w:lang w:val="ru-RU"/>
              </w:rPr>
              <w:t>նախորդ</w:t>
            </w:r>
            <w:r w:rsidRPr="0053423A">
              <w:rPr>
                <w:rFonts w:ascii="GHEA Grapalat" w:hAnsi="GHEA Grapalat"/>
                <w:sz w:val="20"/>
                <w:szCs w:val="20"/>
                <w:lang w:val="af-ZA"/>
              </w:rPr>
              <w:t xml:space="preserve"> </w:t>
            </w:r>
            <w:r w:rsidRPr="0053423A">
              <w:rPr>
                <w:rFonts w:ascii="GHEA Grapalat" w:hAnsi="GHEA Grapalat"/>
                <w:sz w:val="20"/>
                <w:szCs w:val="20"/>
                <w:lang w:val="ru-RU"/>
              </w:rPr>
              <w:t>տարվա</w:t>
            </w:r>
            <w:r w:rsidRPr="0053423A">
              <w:rPr>
                <w:rFonts w:ascii="GHEA Grapalat" w:hAnsi="GHEA Grapalat"/>
                <w:sz w:val="20"/>
                <w:szCs w:val="20"/>
                <w:lang w:val="af-ZA"/>
              </w:rPr>
              <w:t xml:space="preserve"> </w:t>
            </w:r>
            <w:r w:rsidRPr="0053423A">
              <w:rPr>
                <w:rFonts w:ascii="GHEA Grapalat" w:hAnsi="GHEA Grapalat"/>
                <w:sz w:val="20"/>
                <w:szCs w:val="20"/>
                <w:lang w:val="ru-RU"/>
              </w:rPr>
              <w:t>ընթացքում</w:t>
            </w:r>
            <w:r w:rsidRPr="0053423A">
              <w:rPr>
                <w:rFonts w:ascii="GHEA Grapalat" w:hAnsi="GHEA Grapalat"/>
                <w:sz w:val="20"/>
                <w:szCs w:val="20"/>
                <w:lang w:val="af-ZA"/>
              </w:rPr>
              <w:t xml:space="preserve"> </w:t>
            </w:r>
            <w:r w:rsidRPr="0053423A">
              <w:rPr>
                <w:rFonts w:ascii="GHEA Grapalat" w:hAnsi="GHEA Grapalat"/>
                <w:sz w:val="20"/>
                <w:szCs w:val="20"/>
                <w:lang w:val="ru-RU"/>
              </w:rPr>
              <w:t>գրանցվել</w:t>
            </w:r>
            <w:r w:rsidRPr="0053423A">
              <w:rPr>
                <w:rFonts w:ascii="GHEA Grapalat" w:hAnsi="GHEA Grapalat"/>
                <w:sz w:val="20"/>
                <w:szCs w:val="20"/>
                <w:lang w:val="af-ZA"/>
              </w:rPr>
              <w:t xml:space="preserve"> </w:t>
            </w:r>
            <w:r w:rsidRPr="0053423A">
              <w:rPr>
                <w:rFonts w:ascii="GHEA Grapalat" w:hAnsi="GHEA Grapalat"/>
                <w:sz w:val="20"/>
                <w:szCs w:val="20"/>
                <w:lang w:val="ru-RU"/>
              </w:rPr>
              <w:t>է</w:t>
            </w:r>
            <w:r w:rsidRPr="0053423A">
              <w:rPr>
                <w:rFonts w:ascii="GHEA Grapalat" w:hAnsi="GHEA Grapalat"/>
                <w:sz w:val="20"/>
                <w:szCs w:val="20"/>
                <w:lang w:val="af-ZA"/>
              </w:rPr>
              <w:t xml:space="preserve"> </w:t>
            </w:r>
            <w:r w:rsidRPr="0053423A">
              <w:rPr>
                <w:rFonts w:ascii="GHEA Grapalat" w:hAnsi="GHEA Grapalat"/>
                <w:sz w:val="20"/>
                <w:szCs w:val="20"/>
                <w:lang w:val="ru-RU"/>
              </w:rPr>
              <w:t>ընդամնեը</w:t>
            </w:r>
            <w:r w:rsidRPr="0053423A">
              <w:rPr>
                <w:rFonts w:ascii="GHEA Grapalat" w:hAnsi="GHEA Grapalat"/>
                <w:sz w:val="20"/>
                <w:szCs w:val="20"/>
                <w:lang w:val="af-ZA"/>
              </w:rPr>
              <w:t xml:space="preserve"> 2 </w:t>
            </w:r>
            <w:r w:rsidRPr="0053423A">
              <w:rPr>
                <w:rFonts w:ascii="GHEA Grapalat" w:hAnsi="GHEA Grapalat"/>
                <w:sz w:val="20"/>
                <w:szCs w:val="20"/>
                <w:lang w:val="ru-RU"/>
              </w:rPr>
              <w:t>հայտ</w:t>
            </w:r>
            <w:r w:rsidRPr="0053423A">
              <w:rPr>
                <w:rFonts w:ascii="GHEA Grapalat" w:hAnsi="GHEA Grapalat"/>
                <w:sz w:val="20"/>
                <w:szCs w:val="20"/>
                <w:lang w:val="af-ZA"/>
              </w:rPr>
              <w:t xml:space="preserve">: </w:t>
            </w:r>
          </w:p>
          <w:p w:rsidR="00530B14" w:rsidRPr="0053423A" w:rsidRDefault="00530B14" w:rsidP="00A67858">
            <w:pPr>
              <w:tabs>
                <w:tab w:val="left" w:pos="567"/>
              </w:tabs>
              <w:spacing w:line="276" w:lineRule="auto"/>
              <w:jc w:val="both"/>
              <w:rPr>
                <w:rFonts w:eastAsia="Calibri"/>
                <w:b/>
                <w:lang w:val="hy-AM"/>
              </w:rPr>
            </w:pPr>
            <w:r w:rsidRPr="0053423A">
              <w:rPr>
                <w:rFonts w:eastAsia="Calibri"/>
                <w:b/>
                <w:lang w:val="af-ZA"/>
              </w:rPr>
              <w:tab/>
            </w:r>
            <w:r w:rsidRPr="0053423A">
              <w:rPr>
                <w:rFonts w:eastAsia="Calibri"/>
                <w:b/>
                <w:lang w:val="af-ZA"/>
              </w:rPr>
              <w:tab/>
            </w:r>
            <w:r w:rsidRPr="0053423A">
              <w:rPr>
                <w:rFonts w:eastAsia="Calibri"/>
                <w:b/>
                <w:lang w:val="hy-AM"/>
              </w:rPr>
              <w:t>1.2. Առկա խնդիրների առաջարկվող լուծումները</w:t>
            </w:r>
          </w:p>
          <w:p w:rsidR="00530B14" w:rsidRPr="0053423A" w:rsidRDefault="00530B14" w:rsidP="00A67858">
            <w:pPr>
              <w:pStyle w:val="BodyTextIndent"/>
              <w:tabs>
                <w:tab w:val="left" w:pos="851"/>
              </w:tabs>
              <w:spacing w:after="0" w:line="276" w:lineRule="auto"/>
              <w:ind w:left="0" w:right="239"/>
              <w:jc w:val="both"/>
              <w:rPr>
                <w:rFonts w:ascii="GHEA Grapalat" w:hAnsi="GHEA Grapalat"/>
                <w:sz w:val="20"/>
                <w:szCs w:val="20"/>
                <w:lang w:val="hy-AM"/>
              </w:rPr>
            </w:pPr>
            <w:r w:rsidRPr="0053423A">
              <w:rPr>
                <w:rFonts w:ascii="GHEA Grapalat" w:hAnsi="GHEA Grapalat"/>
                <w:sz w:val="20"/>
                <w:szCs w:val="20"/>
                <w:lang w:val="af-ZA"/>
              </w:rPr>
              <w:tab/>
            </w:r>
            <w:r w:rsidRPr="0053423A">
              <w:rPr>
                <w:rFonts w:ascii="GHEA Grapalat" w:hAnsi="GHEA Grapalat"/>
                <w:sz w:val="20"/>
                <w:szCs w:val="20"/>
              </w:rPr>
              <w:t>Պիլոտային</w:t>
            </w:r>
            <w:r w:rsidRPr="0053423A">
              <w:rPr>
                <w:rFonts w:ascii="GHEA Grapalat" w:hAnsi="GHEA Grapalat"/>
                <w:sz w:val="20"/>
                <w:szCs w:val="20"/>
                <w:lang w:val="af-ZA"/>
              </w:rPr>
              <w:t xml:space="preserve"> </w:t>
            </w:r>
            <w:r w:rsidRPr="0053423A">
              <w:rPr>
                <w:rFonts w:ascii="GHEA Grapalat" w:hAnsi="GHEA Grapalat"/>
                <w:sz w:val="20"/>
                <w:szCs w:val="20"/>
              </w:rPr>
              <w:t>ծրագրում</w:t>
            </w:r>
            <w:r w:rsidRPr="0053423A">
              <w:rPr>
                <w:rFonts w:ascii="GHEA Grapalat" w:hAnsi="GHEA Grapalat"/>
                <w:sz w:val="20"/>
                <w:szCs w:val="20"/>
                <w:lang w:val="af-ZA"/>
              </w:rPr>
              <w:t xml:space="preserve"> </w:t>
            </w:r>
            <w:r w:rsidRPr="0053423A">
              <w:rPr>
                <w:rFonts w:ascii="GHEA Grapalat" w:hAnsi="GHEA Grapalat"/>
                <w:sz w:val="20"/>
                <w:szCs w:val="20"/>
                <w:lang w:val="hy-AM"/>
              </w:rPr>
              <w:t>առկա</w:t>
            </w:r>
            <w:r w:rsidRPr="0053423A">
              <w:rPr>
                <w:rFonts w:ascii="GHEA Grapalat" w:hAnsi="GHEA Grapalat"/>
                <w:sz w:val="20"/>
                <w:szCs w:val="20"/>
                <w:lang w:val="af-ZA"/>
              </w:rPr>
              <w:t xml:space="preserve"> </w:t>
            </w:r>
            <w:r w:rsidRPr="0053423A">
              <w:rPr>
                <w:rFonts w:ascii="GHEA Grapalat" w:hAnsi="GHEA Grapalat"/>
                <w:sz w:val="20"/>
                <w:szCs w:val="20"/>
                <w:lang w:val="hy-AM"/>
              </w:rPr>
              <w:t>խոչընդոտները</w:t>
            </w:r>
            <w:r w:rsidRPr="0053423A">
              <w:rPr>
                <w:rFonts w:ascii="GHEA Grapalat" w:hAnsi="GHEA Grapalat"/>
                <w:sz w:val="20"/>
                <w:szCs w:val="20"/>
                <w:lang w:val="af-ZA"/>
              </w:rPr>
              <w:t xml:space="preserve"> </w:t>
            </w:r>
            <w:r w:rsidRPr="0053423A">
              <w:rPr>
                <w:rFonts w:ascii="GHEA Grapalat" w:hAnsi="GHEA Grapalat"/>
                <w:sz w:val="20"/>
                <w:szCs w:val="20"/>
                <w:lang w:val="hy-AM"/>
              </w:rPr>
              <w:t>պարզելու</w:t>
            </w:r>
            <w:r w:rsidRPr="0053423A">
              <w:rPr>
                <w:rFonts w:ascii="GHEA Grapalat" w:hAnsi="GHEA Grapalat"/>
                <w:sz w:val="20"/>
                <w:szCs w:val="20"/>
                <w:lang w:val="af-ZA"/>
              </w:rPr>
              <w:t xml:space="preserve"> </w:t>
            </w:r>
            <w:r w:rsidRPr="0053423A">
              <w:rPr>
                <w:rFonts w:ascii="GHEA Grapalat" w:hAnsi="GHEA Grapalat"/>
                <w:sz w:val="20"/>
                <w:szCs w:val="20"/>
                <w:lang w:val="hy-AM"/>
              </w:rPr>
              <w:t>նպատակով</w:t>
            </w:r>
            <w:r w:rsidRPr="0053423A">
              <w:rPr>
                <w:rFonts w:ascii="GHEA Grapalat" w:hAnsi="GHEA Grapalat"/>
                <w:sz w:val="20"/>
                <w:szCs w:val="20"/>
                <w:lang w:val="af-ZA"/>
              </w:rPr>
              <w:t xml:space="preserve"> </w:t>
            </w:r>
            <w:r w:rsidRPr="0053423A">
              <w:rPr>
                <w:rFonts w:ascii="GHEA Grapalat" w:hAnsi="GHEA Grapalat"/>
                <w:sz w:val="20"/>
                <w:szCs w:val="20"/>
                <w:lang w:val="hy-AM"/>
              </w:rPr>
              <w:t>նախարարությունում</w:t>
            </w:r>
            <w:r w:rsidRPr="0053423A">
              <w:rPr>
                <w:rFonts w:ascii="GHEA Grapalat" w:hAnsi="GHEA Grapalat"/>
                <w:sz w:val="20"/>
                <w:szCs w:val="20"/>
                <w:lang w:val="af-ZA"/>
              </w:rPr>
              <w:t xml:space="preserve"> </w:t>
            </w:r>
            <w:r w:rsidRPr="0053423A">
              <w:rPr>
                <w:rFonts w:ascii="GHEA Grapalat" w:hAnsi="GHEA Grapalat"/>
                <w:sz w:val="20"/>
                <w:szCs w:val="20"/>
                <w:lang w:val="hy-AM"/>
              </w:rPr>
              <w:t>և</w:t>
            </w:r>
            <w:r w:rsidRPr="0053423A">
              <w:rPr>
                <w:rFonts w:ascii="GHEA Grapalat" w:hAnsi="GHEA Grapalat"/>
                <w:sz w:val="20"/>
                <w:szCs w:val="20"/>
                <w:lang w:val="af-ZA"/>
              </w:rPr>
              <w:t xml:space="preserve"> </w:t>
            </w:r>
            <w:r w:rsidRPr="0053423A">
              <w:rPr>
                <w:rFonts w:ascii="GHEA Grapalat" w:hAnsi="GHEA Grapalat"/>
                <w:sz w:val="20"/>
                <w:szCs w:val="20"/>
                <w:lang w:val="hy-AM"/>
              </w:rPr>
              <w:t>մարզերում</w:t>
            </w:r>
            <w:r w:rsidRPr="0053423A">
              <w:rPr>
                <w:rFonts w:ascii="GHEA Grapalat" w:hAnsi="GHEA Grapalat"/>
                <w:sz w:val="20"/>
                <w:szCs w:val="20"/>
                <w:lang w:val="af-ZA"/>
              </w:rPr>
              <w:t xml:space="preserve"> </w:t>
            </w:r>
            <w:r w:rsidRPr="0053423A">
              <w:rPr>
                <w:rFonts w:ascii="GHEA Grapalat" w:hAnsi="GHEA Grapalat"/>
                <w:sz w:val="20"/>
                <w:szCs w:val="20"/>
                <w:lang w:val="hy-AM"/>
              </w:rPr>
              <w:t>կազմակերպվել</w:t>
            </w:r>
            <w:r w:rsidRPr="0053423A">
              <w:rPr>
                <w:rFonts w:ascii="GHEA Grapalat" w:hAnsi="GHEA Grapalat"/>
                <w:sz w:val="20"/>
                <w:szCs w:val="20"/>
                <w:lang w:val="af-ZA"/>
              </w:rPr>
              <w:t xml:space="preserve"> </w:t>
            </w:r>
            <w:r w:rsidRPr="0053423A">
              <w:rPr>
                <w:rFonts w:ascii="GHEA Grapalat" w:hAnsi="GHEA Grapalat"/>
                <w:sz w:val="20"/>
                <w:szCs w:val="20"/>
                <w:lang w:val="hy-AM"/>
              </w:rPr>
              <w:t>են</w:t>
            </w:r>
            <w:r w:rsidRPr="0053423A">
              <w:rPr>
                <w:rFonts w:ascii="GHEA Grapalat" w:hAnsi="GHEA Grapalat"/>
                <w:sz w:val="20"/>
                <w:szCs w:val="20"/>
                <w:lang w:val="af-ZA"/>
              </w:rPr>
              <w:t xml:space="preserve"> </w:t>
            </w:r>
            <w:r w:rsidRPr="0053423A">
              <w:rPr>
                <w:rFonts w:ascii="GHEA Grapalat" w:hAnsi="GHEA Grapalat"/>
                <w:sz w:val="20"/>
                <w:szCs w:val="20"/>
                <w:lang w:val="hy-AM"/>
              </w:rPr>
              <w:t>քննարկումներ</w:t>
            </w:r>
            <w:r w:rsidRPr="0053423A">
              <w:rPr>
                <w:rFonts w:ascii="GHEA Grapalat" w:hAnsi="GHEA Grapalat"/>
                <w:sz w:val="20"/>
                <w:szCs w:val="20"/>
                <w:lang w:val="af-ZA"/>
              </w:rPr>
              <w:t xml:space="preserve"> </w:t>
            </w:r>
            <w:r w:rsidRPr="0053423A">
              <w:rPr>
                <w:rFonts w:ascii="GHEA Grapalat" w:hAnsi="GHEA Grapalat"/>
                <w:sz w:val="20"/>
                <w:szCs w:val="20"/>
                <w:lang w:val="hy-AM"/>
              </w:rPr>
              <w:t>բանկերի</w:t>
            </w:r>
            <w:r w:rsidRPr="0053423A">
              <w:rPr>
                <w:rFonts w:ascii="GHEA Grapalat" w:hAnsi="GHEA Grapalat"/>
                <w:sz w:val="20"/>
                <w:szCs w:val="20"/>
                <w:lang w:val="af-ZA"/>
              </w:rPr>
              <w:t xml:space="preserve">, </w:t>
            </w:r>
            <w:r w:rsidRPr="0053423A">
              <w:rPr>
                <w:rFonts w:ascii="GHEA Grapalat" w:hAnsi="GHEA Grapalat"/>
                <w:sz w:val="20"/>
                <w:szCs w:val="20"/>
                <w:lang w:val="hy-AM"/>
              </w:rPr>
              <w:t>կապալառու</w:t>
            </w:r>
            <w:r w:rsidRPr="0053423A">
              <w:rPr>
                <w:rFonts w:ascii="GHEA Grapalat" w:hAnsi="GHEA Grapalat"/>
                <w:sz w:val="20"/>
                <w:szCs w:val="20"/>
                <w:lang w:val="af-ZA"/>
              </w:rPr>
              <w:t xml:space="preserve"> </w:t>
            </w:r>
            <w:r w:rsidRPr="0053423A">
              <w:rPr>
                <w:rFonts w:ascii="GHEA Grapalat" w:hAnsi="GHEA Grapalat"/>
                <w:sz w:val="20"/>
                <w:szCs w:val="20"/>
                <w:lang w:val="hy-AM"/>
              </w:rPr>
              <w:t>կազմակերպությունների</w:t>
            </w:r>
            <w:r w:rsidRPr="0053423A">
              <w:rPr>
                <w:rFonts w:ascii="GHEA Grapalat" w:hAnsi="GHEA Grapalat"/>
                <w:sz w:val="20"/>
                <w:szCs w:val="20"/>
                <w:lang w:val="af-ZA"/>
              </w:rPr>
              <w:t xml:space="preserve">, </w:t>
            </w:r>
            <w:r w:rsidRPr="0053423A">
              <w:rPr>
                <w:rFonts w:ascii="GHEA Grapalat" w:hAnsi="GHEA Grapalat"/>
                <w:sz w:val="20"/>
                <w:szCs w:val="20"/>
                <w:lang w:val="hy-AM"/>
              </w:rPr>
              <w:t>այգեգործությամբ</w:t>
            </w:r>
            <w:r w:rsidRPr="0053423A">
              <w:rPr>
                <w:rFonts w:ascii="GHEA Grapalat" w:hAnsi="GHEA Grapalat"/>
                <w:sz w:val="20"/>
                <w:szCs w:val="20"/>
                <w:lang w:val="af-ZA"/>
              </w:rPr>
              <w:t xml:space="preserve"> </w:t>
            </w:r>
            <w:r w:rsidRPr="0053423A">
              <w:rPr>
                <w:rFonts w:ascii="GHEA Grapalat" w:hAnsi="GHEA Grapalat"/>
                <w:sz w:val="20"/>
                <w:szCs w:val="20"/>
                <w:lang w:val="hy-AM"/>
              </w:rPr>
              <w:t>զբաղվող</w:t>
            </w:r>
            <w:r w:rsidRPr="0053423A">
              <w:rPr>
                <w:rFonts w:ascii="GHEA Grapalat" w:hAnsi="GHEA Grapalat"/>
                <w:sz w:val="20"/>
                <w:szCs w:val="20"/>
                <w:lang w:val="af-ZA"/>
              </w:rPr>
              <w:t xml:space="preserve"> </w:t>
            </w:r>
            <w:r w:rsidRPr="0053423A">
              <w:rPr>
                <w:rFonts w:ascii="GHEA Grapalat" w:hAnsi="GHEA Grapalat"/>
                <w:sz w:val="20"/>
                <w:szCs w:val="20"/>
                <w:lang w:val="hy-AM"/>
              </w:rPr>
              <w:t>տնտեսավա</w:t>
            </w:r>
            <w:r w:rsidRPr="0053423A">
              <w:rPr>
                <w:rFonts w:ascii="GHEA Grapalat" w:hAnsi="GHEA Grapalat"/>
                <w:sz w:val="20"/>
                <w:szCs w:val="20"/>
                <w:lang w:val="af-ZA"/>
              </w:rPr>
              <w:softHyphen/>
            </w:r>
            <w:r w:rsidRPr="0053423A">
              <w:rPr>
                <w:rFonts w:ascii="GHEA Grapalat" w:hAnsi="GHEA Grapalat"/>
                <w:sz w:val="20"/>
                <w:szCs w:val="20"/>
                <w:lang w:val="hy-AM"/>
              </w:rPr>
              <w:t>րողների</w:t>
            </w:r>
            <w:r w:rsidRPr="0053423A">
              <w:rPr>
                <w:rFonts w:ascii="GHEA Grapalat" w:hAnsi="GHEA Grapalat"/>
                <w:sz w:val="20"/>
                <w:szCs w:val="20"/>
                <w:lang w:val="af-ZA"/>
              </w:rPr>
              <w:t xml:space="preserve"> </w:t>
            </w:r>
            <w:r w:rsidRPr="0053423A">
              <w:rPr>
                <w:rFonts w:ascii="GHEA Grapalat" w:hAnsi="GHEA Grapalat"/>
                <w:sz w:val="20"/>
                <w:szCs w:val="20"/>
                <w:lang w:val="hy-AM"/>
              </w:rPr>
              <w:t>ներկայացուցիչների</w:t>
            </w:r>
            <w:r w:rsidRPr="0053423A">
              <w:rPr>
                <w:rFonts w:ascii="GHEA Grapalat" w:hAnsi="GHEA Grapalat"/>
                <w:sz w:val="20"/>
                <w:szCs w:val="20"/>
                <w:lang w:val="af-ZA"/>
              </w:rPr>
              <w:t xml:space="preserve"> </w:t>
            </w:r>
            <w:r w:rsidRPr="0053423A">
              <w:rPr>
                <w:rFonts w:ascii="GHEA Grapalat" w:hAnsi="GHEA Grapalat"/>
                <w:sz w:val="20"/>
                <w:szCs w:val="20"/>
                <w:lang w:val="hy-AM"/>
              </w:rPr>
              <w:t>մասնակցությամբ</w:t>
            </w:r>
            <w:r w:rsidRPr="0053423A">
              <w:rPr>
                <w:rFonts w:ascii="GHEA Grapalat" w:hAnsi="GHEA Grapalat"/>
                <w:sz w:val="20"/>
                <w:szCs w:val="20"/>
                <w:lang w:val="af-ZA"/>
              </w:rPr>
              <w:t xml:space="preserve">: </w:t>
            </w:r>
            <w:r w:rsidRPr="0053423A">
              <w:rPr>
                <w:rFonts w:ascii="GHEA Grapalat" w:hAnsi="GHEA Grapalat"/>
                <w:sz w:val="20"/>
                <w:szCs w:val="20"/>
                <w:lang w:val="hy-AM"/>
              </w:rPr>
              <w:t>Քննարկումների</w:t>
            </w:r>
            <w:r w:rsidRPr="0053423A">
              <w:rPr>
                <w:rFonts w:ascii="GHEA Grapalat" w:hAnsi="GHEA Grapalat"/>
                <w:sz w:val="20"/>
                <w:szCs w:val="20"/>
                <w:lang w:val="af-ZA"/>
              </w:rPr>
              <w:t xml:space="preserve"> </w:t>
            </w:r>
            <w:r w:rsidRPr="0053423A">
              <w:rPr>
                <w:rFonts w:ascii="GHEA Grapalat" w:hAnsi="GHEA Grapalat"/>
                <w:sz w:val="20"/>
                <w:szCs w:val="20"/>
                <w:lang w:val="hy-AM"/>
              </w:rPr>
              <w:t>ընթացքում</w:t>
            </w:r>
            <w:r w:rsidRPr="0053423A">
              <w:rPr>
                <w:rFonts w:ascii="GHEA Grapalat" w:hAnsi="GHEA Grapalat"/>
                <w:sz w:val="20"/>
                <w:szCs w:val="20"/>
                <w:lang w:val="af-ZA"/>
              </w:rPr>
              <w:t xml:space="preserve"> </w:t>
            </w:r>
            <w:r w:rsidRPr="0053423A">
              <w:rPr>
                <w:rFonts w:ascii="GHEA Grapalat" w:hAnsi="GHEA Grapalat"/>
                <w:sz w:val="20"/>
                <w:szCs w:val="20"/>
                <w:lang w:val="hy-AM"/>
              </w:rPr>
              <w:t>ներկայացված</w:t>
            </w:r>
            <w:r w:rsidRPr="0053423A">
              <w:rPr>
                <w:rFonts w:ascii="GHEA Grapalat" w:hAnsi="GHEA Grapalat"/>
                <w:sz w:val="20"/>
                <w:szCs w:val="20"/>
                <w:lang w:val="af-ZA"/>
              </w:rPr>
              <w:t xml:space="preserve"> </w:t>
            </w:r>
            <w:r w:rsidRPr="0053423A">
              <w:rPr>
                <w:rFonts w:ascii="GHEA Grapalat" w:hAnsi="GHEA Grapalat"/>
                <w:sz w:val="20"/>
                <w:szCs w:val="20"/>
                <w:lang w:val="hy-AM"/>
              </w:rPr>
              <w:t>առաջարկների</w:t>
            </w:r>
            <w:r w:rsidRPr="0053423A">
              <w:rPr>
                <w:rFonts w:ascii="GHEA Grapalat" w:hAnsi="GHEA Grapalat"/>
                <w:sz w:val="20"/>
                <w:szCs w:val="20"/>
                <w:lang w:val="af-ZA"/>
              </w:rPr>
              <w:t xml:space="preserve"> </w:t>
            </w:r>
            <w:r w:rsidRPr="0053423A">
              <w:rPr>
                <w:rFonts w:ascii="GHEA Grapalat" w:hAnsi="GHEA Grapalat"/>
                <w:sz w:val="20"/>
                <w:szCs w:val="20"/>
                <w:lang w:val="hy-AM"/>
              </w:rPr>
              <w:t>հիման</w:t>
            </w:r>
            <w:r w:rsidRPr="0053423A">
              <w:rPr>
                <w:rFonts w:ascii="GHEA Grapalat" w:hAnsi="GHEA Grapalat"/>
                <w:sz w:val="20"/>
                <w:szCs w:val="20"/>
                <w:lang w:val="af-ZA"/>
              </w:rPr>
              <w:t xml:space="preserve"> </w:t>
            </w:r>
            <w:r w:rsidRPr="0053423A">
              <w:rPr>
                <w:rFonts w:ascii="GHEA Grapalat" w:hAnsi="GHEA Grapalat"/>
                <w:sz w:val="20"/>
                <w:szCs w:val="20"/>
                <w:lang w:val="hy-AM"/>
              </w:rPr>
              <w:t>վրա</w:t>
            </w:r>
            <w:r w:rsidRPr="0053423A">
              <w:rPr>
                <w:rFonts w:ascii="GHEA Grapalat" w:hAnsi="GHEA Grapalat"/>
                <w:sz w:val="20"/>
                <w:szCs w:val="20"/>
                <w:lang w:val="af-ZA"/>
              </w:rPr>
              <w:t xml:space="preserve"> </w:t>
            </w:r>
            <w:r w:rsidRPr="0053423A">
              <w:rPr>
                <w:rFonts w:ascii="GHEA Grapalat" w:hAnsi="GHEA Grapalat"/>
                <w:sz w:val="20"/>
                <w:szCs w:val="20"/>
                <w:lang w:val="hy-AM"/>
              </w:rPr>
              <w:t>պիլոտային</w:t>
            </w:r>
            <w:r w:rsidRPr="0053423A">
              <w:rPr>
                <w:rFonts w:ascii="GHEA Grapalat" w:hAnsi="GHEA Grapalat"/>
                <w:sz w:val="20"/>
                <w:szCs w:val="20"/>
                <w:lang w:val="af-ZA"/>
              </w:rPr>
              <w:t xml:space="preserve"> </w:t>
            </w:r>
            <w:r w:rsidRPr="0053423A">
              <w:rPr>
                <w:rFonts w:ascii="GHEA Grapalat" w:hAnsi="GHEA Grapalat"/>
                <w:sz w:val="20"/>
                <w:szCs w:val="20"/>
                <w:lang w:val="hy-AM"/>
              </w:rPr>
              <w:t>ծրագիրը</w:t>
            </w:r>
            <w:r w:rsidRPr="0053423A">
              <w:rPr>
                <w:rFonts w:ascii="GHEA Grapalat" w:hAnsi="GHEA Grapalat"/>
                <w:sz w:val="20"/>
                <w:szCs w:val="20"/>
                <w:lang w:val="af-ZA"/>
              </w:rPr>
              <w:t xml:space="preserve"> </w:t>
            </w:r>
            <w:r w:rsidRPr="0053423A">
              <w:rPr>
                <w:rFonts w:ascii="GHEA Grapalat" w:hAnsi="GHEA Grapalat"/>
                <w:sz w:val="20"/>
                <w:szCs w:val="20"/>
                <w:lang w:val="hy-AM"/>
              </w:rPr>
              <w:t>լրամշակվել</w:t>
            </w:r>
            <w:r w:rsidRPr="0053423A">
              <w:rPr>
                <w:rFonts w:ascii="GHEA Grapalat" w:hAnsi="GHEA Grapalat"/>
                <w:sz w:val="20"/>
                <w:szCs w:val="20"/>
                <w:lang w:val="af-ZA"/>
              </w:rPr>
              <w:t xml:space="preserve"> </w:t>
            </w:r>
            <w:r w:rsidRPr="0053423A">
              <w:rPr>
                <w:rFonts w:ascii="GHEA Grapalat" w:hAnsi="GHEA Grapalat"/>
                <w:sz w:val="20"/>
                <w:szCs w:val="20"/>
                <w:lang w:val="hy-AM"/>
              </w:rPr>
              <w:t>է</w:t>
            </w:r>
            <w:r w:rsidRPr="0053423A">
              <w:rPr>
                <w:rFonts w:ascii="GHEA Grapalat" w:hAnsi="GHEA Grapalat"/>
                <w:sz w:val="20"/>
                <w:szCs w:val="20"/>
                <w:lang w:val="af-ZA"/>
              </w:rPr>
              <w:t xml:space="preserve">: </w:t>
            </w:r>
          </w:p>
          <w:p w:rsidR="00530B14" w:rsidRPr="0053423A" w:rsidRDefault="00530B14" w:rsidP="00A67858">
            <w:pPr>
              <w:pStyle w:val="BodyTextIndent"/>
              <w:spacing w:after="0" w:line="276" w:lineRule="auto"/>
              <w:ind w:left="0" w:right="239" w:firstLine="900"/>
              <w:jc w:val="both"/>
              <w:rPr>
                <w:rFonts w:ascii="GHEA Grapalat" w:hAnsi="GHEA Grapalat"/>
                <w:sz w:val="20"/>
                <w:szCs w:val="20"/>
                <w:lang w:val="af-ZA"/>
              </w:rPr>
            </w:pPr>
            <w:r w:rsidRPr="0053423A">
              <w:rPr>
                <w:rFonts w:ascii="GHEA Grapalat" w:hAnsi="GHEA Grapalat"/>
                <w:sz w:val="20"/>
                <w:szCs w:val="20"/>
                <w:lang w:val="hy-AM"/>
              </w:rPr>
              <w:t>Ներկայացվող</w:t>
            </w:r>
            <w:r w:rsidRPr="0053423A">
              <w:rPr>
                <w:rFonts w:ascii="GHEA Grapalat" w:hAnsi="GHEA Grapalat"/>
                <w:sz w:val="20"/>
                <w:szCs w:val="20"/>
                <w:lang w:val="af-ZA"/>
              </w:rPr>
              <w:t xml:space="preserve"> </w:t>
            </w:r>
            <w:r w:rsidRPr="0053423A">
              <w:rPr>
                <w:rFonts w:ascii="GHEA Grapalat" w:hAnsi="GHEA Grapalat"/>
                <w:sz w:val="20"/>
                <w:szCs w:val="20"/>
                <w:lang w:val="hy-AM"/>
              </w:rPr>
              <w:t>ծրագրով</w:t>
            </w:r>
            <w:r w:rsidRPr="0053423A">
              <w:rPr>
                <w:rFonts w:ascii="GHEA Grapalat" w:hAnsi="GHEA Grapalat"/>
                <w:sz w:val="20"/>
                <w:szCs w:val="20"/>
                <w:lang w:val="af-ZA"/>
              </w:rPr>
              <w:t xml:space="preserve"> </w:t>
            </w:r>
            <w:r w:rsidRPr="0053423A">
              <w:rPr>
                <w:rFonts w:ascii="GHEA Grapalat" w:hAnsi="GHEA Grapalat"/>
                <w:sz w:val="20"/>
                <w:szCs w:val="20"/>
                <w:lang w:val="hy-AM"/>
              </w:rPr>
              <w:t>նախատեսվում</w:t>
            </w:r>
            <w:r w:rsidRPr="0053423A">
              <w:rPr>
                <w:rFonts w:ascii="GHEA Grapalat" w:hAnsi="GHEA Grapalat"/>
                <w:sz w:val="20"/>
                <w:szCs w:val="20"/>
                <w:lang w:val="af-ZA"/>
              </w:rPr>
              <w:t xml:space="preserve"> </w:t>
            </w:r>
            <w:r w:rsidRPr="0053423A">
              <w:rPr>
                <w:rFonts w:ascii="GHEA Grapalat" w:hAnsi="GHEA Grapalat"/>
                <w:sz w:val="20"/>
                <w:szCs w:val="20"/>
                <w:lang w:val="hy-AM"/>
              </w:rPr>
              <w:t>է</w:t>
            </w:r>
            <w:r w:rsidRPr="0053423A">
              <w:rPr>
                <w:rFonts w:ascii="GHEA Grapalat" w:hAnsi="GHEA Grapalat"/>
                <w:sz w:val="20"/>
                <w:szCs w:val="20"/>
                <w:lang w:val="af-ZA"/>
              </w:rPr>
              <w:t xml:space="preserve"> </w:t>
            </w:r>
            <w:r w:rsidRPr="0053423A">
              <w:rPr>
                <w:rFonts w:ascii="GHEA Grapalat" w:hAnsi="GHEA Grapalat"/>
                <w:sz w:val="20"/>
                <w:szCs w:val="20"/>
                <w:lang w:val="hy-AM"/>
              </w:rPr>
              <w:t>բացի</w:t>
            </w:r>
            <w:r w:rsidRPr="0053423A">
              <w:rPr>
                <w:rFonts w:ascii="GHEA Grapalat" w:hAnsi="GHEA Grapalat"/>
                <w:sz w:val="20"/>
                <w:szCs w:val="20"/>
                <w:lang w:val="af-ZA"/>
              </w:rPr>
              <w:t xml:space="preserve"> </w:t>
            </w:r>
            <w:r w:rsidRPr="0053423A">
              <w:rPr>
                <w:rFonts w:ascii="GHEA Grapalat" w:hAnsi="GHEA Grapalat"/>
                <w:sz w:val="20"/>
                <w:szCs w:val="20"/>
                <w:lang w:val="hy-AM"/>
              </w:rPr>
              <w:t>ինտենսիվ</w:t>
            </w:r>
            <w:r w:rsidRPr="0053423A">
              <w:rPr>
                <w:rFonts w:ascii="GHEA Grapalat" w:hAnsi="GHEA Grapalat"/>
                <w:sz w:val="20"/>
                <w:szCs w:val="20"/>
                <w:lang w:val="af-ZA"/>
              </w:rPr>
              <w:t xml:space="preserve"> </w:t>
            </w:r>
            <w:r w:rsidRPr="0053423A">
              <w:rPr>
                <w:rFonts w:ascii="GHEA Grapalat" w:hAnsi="GHEA Grapalat"/>
                <w:sz w:val="20"/>
                <w:szCs w:val="20"/>
                <w:lang w:val="hy-AM"/>
              </w:rPr>
              <w:t>այգու</w:t>
            </w:r>
            <w:r w:rsidRPr="0053423A">
              <w:rPr>
                <w:rFonts w:ascii="GHEA Grapalat" w:hAnsi="GHEA Grapalat"/>
                <w:sz w:val="20"/>
                <w:szCs w:val="20"/>
                <w:lang w:val="af-ZA"/>
              </w:rPr>
              <w:t xml:space="preserve"> </w:t>
            </w:r>
            <w:r w:rsidRPr="0053423A">
              <w:rPr>
                <w:rFonts w:ascii="GHEA Grapalat" w:hAnsi="GHEA Grapalat"/>
                <w:sz w:val="20"/>
                <w:szCs w:val="20"/>
                <w:lang w:val="hy-AM"/>
              </w:rPr>
              <w:t>հիմնման</w:t>
            </w:r>
            <w:r w:rsidRPr="0053423A">
              <w:rPr>
                <w:rFonts w:ascii="GHEA Grapalat" w:hAnsi="GHEA Grapalat"/>
                <w:sz w:val="20"/>
                <w:szCs w:val="20"/>
                <w:lang w:val="af-ZA"/>
              </w:rPr>
              <w:t xml:space="preserve"> </w:t>
            </w:r>
            <w:r w:rsidRPr="0053423A">
              <w:rPr>
                <w:rFonts w:ascii="GHEA Grapalat" w:hAnsi="GHEA Grapalat"/>
                <w:sz w:val="20"/>
                <w:szCs w:val="20"/>
                <w:lang w:val="hy-AM"/>
              </w:rPr>
              <w:t>համար</w:t>
            </w:r>
            <w:r w:rsidRPr="0053423A">
              <w:rPr>
                <w:rFonts w:ascii="GHEA Grapalat" w:hAnsi="GHEA Grapalat"/>
                <w:sz w:val="20"/>
                <w:szCs w:val="20"/>
                <w:lang w:val="af-ZA"/>
              </w:rPr>
              <w:t xml:space="preserve"> </w:t>
            </w:r>
            <w:r w:rsidRPr="0053423A">
              <w:rPr>
                <w:rFonts w:ascii="GHEA Grapalat" w:hAnsi="GHEA Grapalat"/>
                <w:sz w:val="20"/>
                <w:szCs w:val="20"/>
                <w:lang w:val="hy-AM"/>
              </w:rPr>
              <w:t>տրամադրված</w:t>
            </w:r>
            <w:r w:rsidRPr="0053423A">
              <w:rPr>
                <w:rFonts w:ascii="GHEA Grapalat" w:hAnsi="GHEA Grapalat"/>
                <w:sz w:val="20"/>
                <w:szCs w:val="20"/>
                <w:lang w:val="af-ZA"/>
              </w:rPr>
              <w:t xml:space="preserve"> </w:t>
            </w:r>
            <w:r w:rsidRPr="0053423A">
              <w:rPr>
                <w:rFonts w:ascii="GHEA Grapalat" w:hAnsi="GHEA Grapalat"/>
                <w:sz w:val="20"/>
                <w:szCs w:val="20"/>
                <w:lang w:val="hy-AM"/>
              </w:rPr>
              <w:t>վարկերի</w:t>
            </w:r>
            <w:r w:rsidRPr="0053423A">
              <w:rPr>
                <w:rFonts w:ascii="GHEA Grapalat" w:hAnsi="GHEA Grapalat"/>
                <w:sz w:val="20"/>
                <w:szCs w:val="20"/>
                <w:lang w:val="af-ZA"/>
              </w:rPr>
              <w:t xml:space="preserve"> </w:t>
            </w:r>
            <w:r w:rsidRPr="0053423A">
              <w:rPr>
                <w:rFonts w:ascii="GHEA Grapalat" w:hAnsi="GHEA Grapalat"/>
                <w:sz w:val="20"/>
                <w:szCs w:val="20"/>
                <w:lang w:val="hy-AM"/>
              </w:rPr>
              <w:t>տոկոսադրույքի</w:t>
            </w:r>
            <w:r w:rsidRPr="0053423A">
              <w:rPr>
                <w:rFonts w:ascii="GHEA Grapalat" w:hAnsi="GHEA Grapalat"/>
                <w:sz w:val="20"/>
                <w:szCs w:val="20"/>
                <w:lang w:val="af-ZA"/>
              </w:rPr>
              <w:t xml:space="preserve"> </w:t>
            </w:r>
            <w:r w:rsidRPr="0053423A">
              <w:rPr>
                <w:rFonts w:ascii="GHEA Grapalat" w:hAnsi="GHEA Grapalat"/>
                <w:sz w:val="20"/>
                <w:szCs w:val="20"/>
                <w:lang w:val="hy-AM"/>
              </w:rPr>
              <w:t>սուբսիդավորումից</w:t>
            </w:r>
            <w:r w:rsidRPr="0053423A">
              <w:rPr>
                <w:rFonts w:ascii="GHEA Grapalat" w:hAnsi="GHEA Grapalat"/>
                <w:sz w:val="20"/>
                <w:szCs w:val="20"/>
                <w:lang w:val="af-ZA"/>
              </w:rPr>
              <w:t xml:space="preserve">, </w:t>
            </w:r>
            <w:r w:rsidRPr="0053423A">
              <w:rPr>
                <w:rFonts w:ascii="GHEA Grapalat" w:hAnsi="GHEA Grapalat"/>
                <w:sz w:val="20"/>
                <w:szCs w:val="20"/>
                <w:lang w:val="hy-AM"/>
              </w:rPr>
              <w:t>տնտեսավա</w:t>
            </w:r>
            <w:r w:rsidRPr="0053423A">
              <w:rPr>
                <w:rFonts w:ascii="GHEA Grapalat" w:hAnsi="GHEA Grapalat"/>
                <w:sz w:val="20"/>
                <w:szCs w:val="20"/>
                <w:lang w:val="hy-AM"/>
              </w:rPr>
              <w:softHyphen/>
              <w:t>րող</w:t>
            </w:r>
            <w:r w:rsidRPr="0053423A">
              <w:rPr>
                <w:rFonts w:ascii="GHEA Grapalat" w:hAnsi="GHEA Grapalat"/>
                <w:sz w:val="20"/>
                <w:szCs w:val="20"/>
                <w:lang w:val="hy-AM"/>
              </w:rPr>
              <w:softHyphen/>
              <w:t>ներին</w:t>
            </w:r>
            <w:r w:rsidRPr="0053423A">
              <w:rPr>
                <w:rFonts w:ascii="GHEA Grapalat" w:hAnsi="GHEA Grapalat"/>
                <w:sz w:val="20"/>
                <w:szCs w:val="20"/>
                <w:lang w:val="af-ZA"/>
              </w:rPr>
              <w:t xml:space="preserve"> </w:t>
            </w:r>
            <w:r w:rsidRPr="0053423A">
              <w:rPr>
                <w:rFonts w:ascii="GHEA Grapalat" w:hAnsi="GHEA Grapalat"/>
                <w:sz w:val="20"/>
                <w:szCs w:val="20"/>
                <w:lang w:val="hy-AM"/>
              </w:rPr>
              <w:t>տրամադրել</w:t>
            </w:r>
            <w:r w:rsidRPr="0053423A">
              <w:rPr>
                <w:rFonts w:ascii="GHEA Grapalat" w:hAnsi="GHEA Grapalat"/>
                <w:sz w:val="20"/>
                <w:szCs w:val="20"/>
                <w:lang w:val="af-ZA"/>
              </w:rPr>
              <w:t xml:space="preserve"> </w:t>
            </w:r>
            <w:r w:rsidRPr="0053423A">
              <w:rPr>
                <w:rFonts w:ascii="GHEA Grapalat" w:hAnsi="GHEA Grapalat"/>
                <w:sz w:val="20"/>
                <w:szCs w:val="20"/>
                <w:lang w:val="hy-AM"/>
              </w:rPr>
              <w:t>փոխհատուցում</w:t>
            </w:r>
            <w:r w:rsidRPr="0053423A">
              <w:rPr>
                <w:rFonts w:ascii="GHEA Grapalat" w:hAnsi="GHEA Grapalat"/>
                <w:sz w:val="20"/>
                <w:szCs w:val="20"/>
                <w:lang w:val="af-ZA"/>
              </w:rPr>
              <w:t xml:space="preserve">: </w:t>
            </w:r>
            <w:r w:rsidRPr="0053423A">
              <w:rPr>
                <w:rFonts w:ascii="GHEA Grapalat" w:hAnsi="GHEA Grapalat"/>
                <w:sz w:val="20"/>
                <w:szCs w:val="20"/>
                <w:lang w:val="hy-AM"/>
              </w:rPr>
              <w:t>Ծրագրի</w:t>
            </w:r>
            <w:r w:rsidRPr="0053423A">
              <w:rPr>
                <w:rFonts w:ascii="GHEA Grapalat" w:hAnsi="GHEA Grapalat"/>
                <w:sz w:val="20"/>
                <w:szCs w:val="20"/>
                <w:lang w:val="af-ZA"/>
              </w:rPr>
              <w:t xml:space="preserve"> </w:t>
            </w:r>
            <w:r w:rsidRPr="0053423A">
              <w:rPr>
                <w:rFonts w:ascii="GHEA Grapalat" w:hAnsi="GHEA Grapalat"/>
                <w:sz w:val="20"/>
                <w:szCs w:val="20"/>
                <w:lang w:val="hy-AM"/>
              </w:rPr>
              <w:t>շահառուն</w:t>
            </w:r>
            <w:r w:rsidRPr="0053423A">
              <w:rPr>
                <w:rFonts w:ascii="GHEA Grapalat" w:hAnsi="GHEA Grapalat"/>
                <w:sz w:val="20"/>
                <w:szCs w:val="20"/>
                <w:lang w:val="af-ZA"/>
              </w:rPr>
              <w:t xml:space="preserve"> </w:t>
            </w:r>
            <w:r w:rsidRPr="0053423A">
              <w:rPr>
                <w:rFonts w:ascii="GHEA Grapalat" w:hAnsi="GHEA Grapalat"/>
                <w:sz w:val="20"/>
                <w:szCs w:val="20"/>
                <w:lang w:val="hy-AM"/>
              </w:rPr>
              <w:t>կարող</w:t>
            </w:r>
            <w:r w:rsidRPr="0053423A">
              <w:rPr>
                <w:rFonts w:ascii="GHEA Grapalat" w:hAnsi="GHEA Grapalat"/>
                <w:sz w:val="20"/>
                <w:szCs w:val="20"/>
                <w:lang w:val="af-ZA"/>
              </w:rPr>
              <w:t xml:space="preserve"> </w:t>
            </w:r>
            <w:r w:rsidRPr="0053423A">
              <w:rPr>
                <w:rFonts w:ascii="GHEA Grapalat" w:hAnsi="GHEA Grapalat"/>
                <w:sz w:val="20"/>
                <w:szCs w:val="20"/>
                <w:lang w:val="hy-AM"/>
              </w:rPr>
              <w:t>է</w:t>
            </w:r>
            <w:r w:rsidRPr="0053423A">
              <w:rPr>
                <w:rFonts w:ascii="GHEA Grapalat" w:hAnsi="GHEA Grapalat"/>
                <w:sz w:val="20"/>
                <w:szCs w:val="20"/>
                <w:lang w:val="af-ZA"/>
              </w:rPr>
              <w:t xml:space="preserve"> </w:t>
            </w:r>
            <w:r w:rsidRPr="0053423A">
              <w:rPr>
                <w:rFonts w:ascii="GHEA Grapalat" w:hAnsi="GHEA Grapalat"/>
                <w:sz w:val="20"/>
                <w:szCs w:val="20"/>
                <w:lang w:val="hy-AM"/>
              </w:rPr>
              <w:t>օգտվել</w:t>
            </w:r>
            <w:r w:rsidRPr="0053423A">
              <w:rPr>
                <w:rFonts w:ascii="GHEA Grapalat" w:hAnsi="GHEA Grapalat"/>
                <w:sz w:val="20"/>
                <w:szCs w:val="20"/>
                <w:lang w:val="af-ZA"/>
              </w:rPr>
              <w:t xml:space="preserve"> </w:t>
            </w:r>
            <w:r w:rsidRPr="0053423A">
              <w:rPr>
                <w:rFonts w:ascii="GHEA Grapalat" w:hAnsi="GHEA Grapalat"/>
                <w:sz w:val="20"/>
                <w:szCs w:val="20"/>
                <w:lang w:val="hy-AM"/>
              </w:rPr>
              <w:t>պետական</w:t>
            </w:r>
            <w:r w:rsidRPr="0053423A">
              <w:rPr>
                <w:rFonts w:ascii="GHEA Grapalat" w:hAnsi="GHEA Grapalat"/>
                <w:sz w:val="20"/>
                <w:szCs w:val="20"/>
                <w:lang w:val="af-ZA"/>
              </w:rPr>
              <w:t xml:space="preserve"> </w:t>
            </w:r>
            <w:r w:rsidRPr="0053423A">
              <w:rPr>
                <w:rFonts w:ascii="GHEA Grapalat" w:hAnsi="GHEA Grapalat"/>
                <w:sz w:val="20"/>
                <w:szCs w:val="20"/>
                <w:lang w:val="hy-AM"/>
              </w:rPr>
              <w:t>աջակցության</w:t>
            </w:r>
            <w:r w:rsidRPr="0053423A">
              <w:rPr>
                <w:rFonts w:ascii="GHEA Grapalat" w:hAnsi="GHEA Grapalat"/>
                <w:sz w:val="20"/>
                <w:szCs w:val="20"/>
                <w:lang w:val="af-ZA"/>
              </w:rPr>
              <w:t xml:space="preserve"> </w:t>
            </w:r>
            <w:r w:rsidRPr="0053423A">
              <w:rPr>
                <w:rFonts w:ascii="GHEA Grapalat" w:hAnsi="GHEA Grapalat"/>
                <w:sz w:val="20"/>
                <w:szCs w:val="20"/>
                <w:lang w:val="hy-AM"/>
              </w:rPr>
              <w:t>միայն</w:t>
            </w:r>
            <w:r w:rsidRPr="0053423A">
              <w:rPr>
                <w:rFonts w:ascii="GHEA Grapalat" w:hAnsi="GHEA Grapalat"/>
                <w:sz w:val="20"/>
                <w:szCs w:val="20"/>
                <w:lang w:val="af-ZA"/>
              </w:rPr>
              <w:t xml:space="preserve"> </w:t>
            </w:r>
            <w:r w:rsidRPr="0053423A">
              <w:rPr>
                <w:rFonts w:ascii="GHEA Grapalat" w:hAnsi="GHEA Grapalat"/>
                <w:sz w:val="20"/>
                <w:szCs w:val="20"/>
                <w:lang w:val="hy-AM"/>
              </w:rPr>
              <w:t>մեկ</w:t>
            </w:r>
            <w:r w:rsidRPr="0053423A">
              <w:rPr>
                <w:rFonts w:ascii="GHEA Grapalat" w:hAnsi="GHEA Grapalat"/>
                <w:sz w:val="20"/>
                <w:szCs w:val="20"/>
                <w:lang w:val="af-ZA"/>
              </w:rPr>
              <w:t xml:space="preserve"> </w:t>
            </w:r>
            <w:r w:rsidRPr="0053423A">
              <w:rPr>
                <w:rFonts w:ascii="GHEA Grapalat" w:hAnsi="GHEA Grapalat"/>
                <w:sz w:val="20"/>
                <w:szCs w:val="20"/>
                <w:lang w:val="hy-AM"/>
              </w:rPr>
              <w:t>տեսակից</w:t>
            </w:r>
            <w:r w:rsidRPr="0053423A">
              <w:rPr>
                <w:rFonts w:ascii="GHEA Grapalat" w:hAnsi="GHEA Grapalat"/>
                <w:sz w:val="20"/>
                <w:szCs w:val="20"/>
                <w:lang w:val="af-ZA"/>
              </w:rPr>
              <w:t xml:space="preserve">: </w:t>
            </w:r>
          </w:p>
          <w:p w:rsidR="00530B14" w:rsidRPr="0053423A" w:rsidRDefault="00530B14" w:rsidP="00A67858">
            <w:pPr>
              <w:pStyle w:val="BodyTextIndent"/>
              <w:spacing w:after="0" w:line="276" w:lineRule="auto"/>
              <w:ind w:left="0" w:right="239" w:firstLine="900"/>
              <w:jc w:val="both"/>
              <w:rPr>
                <w:rFonts w:ascii="GHEA Grapalat" w:hAnsi="GHEA Grapalat"/>
                <w:sz w:val="20"/>
                <w:szCs w:val="20"/>
                <w:lang w:val="af-ZA"/>
              </w:rPr>
            </w:pPr>
            <w:r w:rsidRPr="0053423A">
              <w:rPr>
                <w:rFonts w:ascii="GHEA Grapalat" w:hAnsi="GHEA Grapalat"/>
                <w:sz w:val="20"/>
                <w:szCs w:val="20"/>
              </w:rPr>
              <w:t>Միաժամանակ</w:t>
            </w:r>
            <w:r w:rsidRPr="0053423A">
              <w:rPr>
                <w:rFonts w:ascii="GHEA Grapalat" w:hAnsi="GHEA Grapalat"/>
                <w:sz w:val="20"/>
                <w:szCs w:val="20"/>
                <w:lang w:val="af-ZA"/>
              </w:rPr>
              <w:t xml:space="preserve"> </w:t>
            </w:r>
            <w:r w:rsidRPr="0053423A">
              <w:rPr>
                <w:rFonts w:ascii="GHEA Grapalat" w:hAnsi="GHEA Grapalat"/>
                <w:sz w:val="20"/>
                <w:szCs w:val="20"/>
              </w:rPr>
              <w:t>Պիլոտային</w:t>
            </w:r>
            <w:r w:rsidRPr="0053423A">
              <w:rPr>
                <w:rFonts w:ascii="GHEA Grapalat" w:hAnsi="GHEA Grapalat"/>
                <w:sz w:val="20"/>
                <w:szCs w:val="20"/>
                <w:lang w:val="af-ZA"/>
              </w:rPr>
              <w:t xml:space="preserve"> </w:t>
            </w:r>
            <w:r w:rsidRPr="0053423A">
              <w:rPr>
                <w:rFonts w:ascii="GHEA Grapalat" w:hAnsi="GHEA Grapalat"/>
                <w:sz w:val="20"/>
                <w:szCs w:val="20"/>
              </w:rPr>
              <w:t>ծրագր</w:t>
            </w:r>
            <w:r w:rsidRPr="0053423A">
              <w:rPr>
                <w:rFonts w:ascii="GHEA Grapalat" w:hAnsi="GHEA Grapalat"/>
                <w:sz w:val="20"/>
                <w:szCs w:val="20"/>
                <w:lang w:val="ru-RU"/>
              </w:rPr>
              <w:t>ի</w:t>
            </w:r>
            <w:r w:rsidRPr="0053423A">
              <w:rPr>
                <w:rFonts w:ascii="GHEA Grapalat" w:hAnsi="GHEA Grapalat"/>
                <w:sz w:val="20"/>
                <w:szCs w:val="20"/>
              </w:rPr>
              <w:t>ց</w:t>
            </w:r>
            <w:r w:rsidRPr="0053423A">
              <w:rPr>
                <w:rFonts w:ascii="GHEA Grapalat" w:hAnsi="GHEA Grapalat"/>
                <w:sz w:val="20"/>
                <w:szCs w:val="20"/>
                <w:lang w:val="af-ZA"/>
              </w:rPr>
              <w:t xml:space="preserve"> </w:t>
            </w:r>
            <w:r w:rsidRPr="0053423A">
              <w:rPr>
                <w:rFonts w:ascii="GHEA Grapalat" w:hAnsi="GHEA Grapalat"/>
                <w:sz w:val="20"/>
                <w:szCs w:val="20"/>
              </w:rPr>
              <w:t>հանվել</w:t>
            </w:r>
            <w:r w:rsidRPr="0053423A">
              <w:rPr>
                <w:rFonts w:ascii="GHEA Grapalat" w:hAnsi="GHEA Grapalat"/>
                <w:sz w:val="20"/>
                <w:szCs w:val="20"/>
                <w:lang w:val="af-ZA"/>
              </w:rPr>
              <w:t xml:space="preserve"> </w:t>
            </w:r>
            <w:r w:rsidRPr="0053423A">
              <w:rPr>
                <w:rFonts w:ascii="GHEA Grapalat" w:hAnsi="GHEA Grapalat"/>
                <w:sz w:val="20"/>
                <w:szCs w:val="20"/>
              </w:rPr>
              <w:t>է</w:t>
            </w:r>
            <w:r w:rsidRPr="0053423A">
              <w:rPr>
                <w:rFonts w:ascii="GHEA Grapalat" w:hAnsi="GHEA Grapalat"/>
                <w:sz w:val="20"/>
                <w:szCs w:val="20"/>
                <w:lang w:val="af-ZA"/>
              </w:rPr>
              <w:t xml:space="preserve"> </w:t>
            </w:r>
            <w:r w:rsidRPr="0053423A">
              <w:rPr>
                <w:rFonts w:ascii="GHEA Grapalat" w:hAnsi="GHEA Grapalat"/>
                <w:sz w:val="20"/>
                <w:szCs w:val="20"/>
              </w:rPr>
              <w:t>այգեհիմնումը</w:t>
            </w:r>
            <w:r w:rsidRPr="0053423A">
              <w:rPr>
                <w:rFonts w:ascii="GHEA Grapalat" w:hAnsi="GHEA Grapalat"/>
                <w:sz w:val="20"/>
                <w:szCs w:val="20"/>
                <w:lang w:val="af-ZA"/>
              </w:rPr>
              <w:t xml:space="preserve"> </w:t>
            </w:r>
            <w:r w:rsidRPr="0053423A">
              <w:rPr>
                <w:rFonts w:ascii="GHEA Grapalat" w:hAnsi="GHEA Grapalat"/>
                <w:sz w:val="20"/>
                <w:szCs w:val="20"/>
              </w:rPr>
              <w:t>պարտադիր</w:t>
            </w:r>
            <w:r w:rsidRPr="0053423A">
              <w:rPr>
                <w:rFonts w:ascii="GHEA Grapalat" w:hAnsi="GHEA Grapalat"/>
                <w:sz w:val="20"/>
                <w:szCs w:val="20"/>
                <w:lang w:val="af-ZA"/>
              </w:rPr>
              <w:t xml:space="preserve"> </w:t>
            </w:r>
            <w:r w:rsidRPr="0053423A">
              <w:rPr>
                <w:rFonts w:ascii="GHEA Grapalat" w:hAnsi="GHEA Grapalat"/>
                <w:sz w:val="20"/>
                <w:szCs w:val="20"/>
              </w:rPr>
              <w:t>կապալառուների</w:t>
            </w:r>
            <w:r w:rsidRPr="0053423A">
              <w:rPr>
                <w:rFonts w:ascii="GHEA Grapalat" w:hAnsi="GHEA Grapalat"/>
                <w:sz w:val="20"/>
                <w:szCs w:val="20"/>
                <w:lang w:val="af-ZA"/>
              </w:rPr>
              <w:t xml:space="preserve"> </w:t>
            </w:r>
            <w:r w:rsidRPr="0053423A">
              <w:rPr>
                <w:rFonts w:ascii="GHEA Grapalat" w:hAnsi="GHEA Grapalat"/>
                <w:sz w:val="20"/>
                <w:szCs w:val="20"/>
              </w:rPr>
              <w:t>միջոցով</w:t>
            </w:r>
            <w:r w:rsidRPr="0053423A">
              <w:rPr>
                <w:rFonts w:ascii="GHEA Grapalat" w:hAnsi="GHEA Grapalat"/>
                <w:sz w:val="20"/>
                <w:szCs w:val="20"/>
                <w:lang w:val="af-ZA"/>
              </w:rPr>
              <w:t xml:space="preserve"> </w:t>
            </w:r>
            <w:r w:rsidRPr="0053423A">
              <w:rPr>
                <w:rFonts w:ascii="GHEA Grapalat" w:hAnsi="GHEA Grapalat"/>
                <w:sz w:val="20"/>
                <w:szCs w:val="20"/>
              </w:rPr>
              <w:t>իրականացման</w:t>
            </w:r>
            <w:r w:rsidRPr="0053423A">
              <w:rPr>
                <w:rFonts w:ascii="GHEA Grapalat" w:hAnsi="GHEA Grapalat"/>
                <w:sz w:val="20"/>
                <w:szCs w:val="20"/>
                <w:lang w:val="af-ZA"/>
              </w:rPr>
              <w:t xml:space="preserve"> </w:t>
            </w:r>
            <w:r w:rsidRPr="0053423A">
              <w:rPr>
                <w:rFonts w:ascii="GHEA Grapalat" w:hAnsi="GHEA Grapalat"/>
                <w:sz w:val="20"/>
                <w:szCs w:val="20"/>
              </w:rPr>
              <w:t>պայմանը</w:t>
            </w:r>
            <w:r w:rsidRPr="0053423A">
              <w:rPr>
                <w:rFonts w:ascii="GHEA Grapalat" w:hAnsi="GHEA Grapalat"/>
                <w:sz w:val="20"/>
                <w:szCs w:val="20"/>
                <w:lang w:val="af-ZA"/>
              </w:rPr>
              <w:t xml:space="preserve">, </w:t>
            </w:r>
            <w:r w:rsidRPr="0053423A">
              <w:rPr>
                <w:rFonts w:ascii="GHEA Grapalat" w:hAnsi="GHEA Grapalat"/>
                <w:sz w:val="20"/>
                <w:szCs w:val="20"/>
              </w:rPr>
              <w:t>ինչպես</w:t>
            </w:r>
            <w:r w:rsidRPr="0053423A">
              <w:rPr>
                <w:rFonts w:ascii="GHEA Grapalat" w:hAnsi="GHEA Grapalat"/>
                <w:sz w:val="20"/>
                <w:szCs w:val="20"/>
                <w:lang w:val="af-ZA"/>
              </w:rPr>
              <w:t xml:space="preserve"> </w:t>
            </w:r>
            <w:r w:rsidRPr="0053423A">
              <w:rPr>
                <w:rFonts w:ascii="GHEA Grapalat" w:hAnsi="GHEA Grapalat"/>
                <w:sz w:val="20"/>
                <w:szCs w:val="20"/>
              </w:rPr>
              <w:t>ն</w:t>
            </w:r>
            <w:r w:rsidRPr="0053423A">
              <w:rPr>
                <w:rFonts w:ascii="GHEA Grapalat" w:hAnsi="GHEA Grapalat"/>
                <w:sz w:val="20"/>
                <w:szCs w:val="20"/>
                <w:lang w:val="ru-RU"/>
              </w:rPr>
              <w:t>ո</w:t>
            </w:r>
            <w:r w:rsidRPr="0053423A">
              <w:rPr>
                <w:rFonts w:ascii="GHEA Grapalat" w:hAnsi="GHEA Grapalat"/>
                <w:sz w:val="20"/>
                <w:szCs w:val="20"/>
              </w:rPr>
              <w:t>ր</w:t>
            </w:r>
            <w:r w:rsidRPr="0053423A">
              <w:rPr>
                <w:rFonts w:ascii="GHEA Grapalat" w:hAnsi="GHEA Grapalat"/>
                <w:sz w:val="20"/>
                <w:szCs w:val="20"/>
                <w:lang w:val="af-ZA"/>
              </w:rPr>
              <w:t xml:space="preserve"> </w:t>
            </w:r>
            <w:r w:rsidRPr="0053423A">
              <w:rPr>
                <w:rFonts w:ascii="GHEA Grapalat" w:hAnsi="GHEA Grapalat"/>
                <w:sz w:val="20"/>
                <w:szCs w:val="20"/>
              </w:rPr>
              <w:t>ինտենսիվ</w:t>
            </w:r>
            <w:r w:rsidRPr="0053423A">
              <w:rPr>
                <w:rFonts w:ascii="GHEA Grapalat" w:hAnsi="GHEA Grapalat"/>
                <w:sz w:val="20"/>
                <w:szCs w:val="20"/>
                <w:lang w:val="af-ZA"/>
              </w:rPr>
              <w:t xml:space="preserve"> </w:t>
            </w:r>
            <w:r w:rsidRPr="0053423A">
              <w:rPr>
                <w:rFonts w:ascii="GHEA Grapalat" w:hAnsi="GHEA Grapalat"/>
                <w:sz w:val="20"/>
                <w:szCs w:val="20"/>
              </w:rPr>
              <w:t>պտղատու</w:t>
            </w:r>
            <w:r w:rsidRPr="0053423A">
              <w:rPr>
                <w:rFonts w:ascii="GHEA Grapalat" w:hAnsi="GHEA Grapalat"/>
                <w:sz w:val="20"/>
                <w:szCs w:val="20"/>
                <w:lang w:val="af-ZA"/>
              </w:rPr>
              <w:t xml:space="preserve"> </w:t>
            </w:r>
            <w:r w:rsidRPr="0053423A">
              <w:rPr>
                <w:rFonts w:ascii="GHEA Grapalat" w:hAnsi="GHEA Grapalat"/>
                <w:sz w:val="20"/>
                <w:szCs w:val="20"/>
              </w:rPr>
              <w:t>այգիների</w:t>
            </w:r>
            <w:r w:rsidRPr="0053423A">
              <w:rPr>
                <w:rFonts w:ascii="GHEA Grapalat" w:hAnsi="GHEA Grapalat"/>
                <w:sz w:val="20"/>
                <w:szCs w:val="20"/>
                <w:lang w:val="af-ZA"/>
              </w:rPr>
              <w:t xml:space="preserve"> </w:t>
            </w:r>
            <w:r w:rsidRPr="0053423A">
              <w:rPr>
                <w:rFonts w:ascii="GHEA Grapalat" w:hAnsi="GHEA Grapalat"/>
                <w:sz w:val="20"/>
                <w:szCs w:val="20"/>
              </w:rPr>
              <w:t>հիմնման</w:t>
            </w:r>
            <w:r w:rsidRPr="0053423A">
              <w:rPr>
                <w:rFonts w:ascii="GHEA Grapalat" w:hAnsi="GHEA Grapalat"/>
                <w:sz w:val="20"/>
                <w:szCs w:val="20"/>
                <w:lang w:val="af-ZA"/>
              </w:rPr>
              <w:t xml:space="preserve"> </w:t>
            </w:r>
            <w:r w:rsidRPr="0053423A">
              <w:rPr>
                <w:rFonts w:ascii="GHEA Grapalat" w:hAnsi="GHEA Grapalat"/>
                <w:sz w:val="20"/>
                <w:szCs w:val="20"/>
              </w:rPr>
              <w:t>համար</w:t>
            </w:r>
            <w:r w:rsidRPr="0053423A">
              <w:rPr>
                <w:rFonts w:ascii="GHEA Grapalat" w:hAnsi="GHEA Grapalat"/>
                <w:sz w:val="20"/>
                <w:szCs w:val="20"/>
                <w:lang w:val="af-ZA"/>
              </w:rPr>
              <w:t xml:space="preserve"> </w:t>
            </w:r>
            <w:r w:rsidRPr="0053423A">
              <w:rPr>
                <w:rFonts w:ascii="GHEA Grapalat" w:hAnsi="GHEA Grapalat"/>
                <w:sz w:val="20"/>
                <w:szCs w:val="20"/>
                <w:lang w:val="it-IT"/>
              </w:rPr>
              <w:t xml:space="preserve">վարկային </w:t>
            </w:r>
            <w:r w:rsidRPr="0053423A">
              <w:rPr>
                <w:rFonts w:ascii="GHEA Grapalat" w:hAnsi="GHEA Grapalat"/>
                <w:sz w:val="20"/>
                <w:szCs w:val="20"/>
              </w:rPr>
              <w:t>տոկոսադրույքների</w:t>
            </w:r>
            <w:r w:rsidRPr="0053423A">
              <w:rPr>
                <w:rFonts w:ascii="GHEA Grapalat" w:hAnsi="GHEA Grapalat"/>
                <w:sz w:val="20"/>
                <w:szCs w:val="20"/>
                <w:lang w:val="af-ZA"/>
              </w:rPr>
              <w:t xml:space="preserve"> </w:t>
            </w:r>
            <w:r w:rsidRPr="0053423A">
              <w:rPr>
                <w:rFonts w:ascii="GHEA Grapalat" w:hAnsi="GHEA Grapalat"/>
                <w:sz w:val="20"/>
                <w:szCs w:val="20"/>
              </w:rPr>
              <w:t>սուբսիդա</w:t>
            </w:r>
            <w:r w:rsidRPr="0053423A">
              <w:rPr>
                <w:rFonts w:ascii="GHEA Grapalat" w:hAnsi="GHEA Grapalat"/>
                <w:sz w:val="20"/>
                <w:szCs w:val="20"/>
                <w:lang w:val="af-ZA"/>
              </w:rPr>
              <w:softHyphen/>
            </w:r>
            <w:r w:rsidRPr="0053423A">
              <w:rPr>
                <w:rFonts w:ascii="GHEA Grapalat" w:hAnsi="GHEA Grapalat"/>
                <w:sz w:val="20"/>
                <w:szCs w:val="20"/>
              </w:rPr>
              <w:t>վորում</w:t>
            </w:r>
            <w:r w:rsidRPr="0053423A">
              <w:rPr>
                <w:rFonts w:ascii="GHEA Grapalat" w:hAnsi="GHEA Grapalat"/>
                <w:sz w:val="20"/>
                <w:szCs w:val="20"/>
                <w:lang w:val="af-ZA"/>
              </w:rPr>
              <w:t xml:space="preserve"> </w:t>
            </w:r>
            <w:r w:rsidRPr="0053423A">
              <w:rPr>
                <w:rFonts w:ascii="GHEA Grapalat" w:hAnsi="GHEA Grapalat"/>
                <w:sz w:val="20"/>
                <w:szCs w:val="20"/>
              </w:rPr>
              <w:t>նախատեսվել</w:t>
            </w:r>
            <w:r w:rsidRPr="0053423A">
              <w:rPr>
                <w:rFonts w:ascii="GHEA Grapalat" w:hAnsi="GHEA Grapalat"/>
                <w:sz w:val="20"/>
                <w:szCs w:val="20"/>
                <w:lang w:val="af-ZA"/>
              </w:rPr>
              <w:t xml:space="preserve"> </w:t>
            </w:r>
            <w:r w:rsidRPr="0053423A">
              <w:rPr>
                <w:rFonts w:ascii="GHEA Grapalat" w:hAnsi="GHEA Grapalat"/>
                <w:sz w:val="20"/>
                <w:szCs w:val="20"/>
                <w:lang w:val="ru-RU"/>
              </w:rPr>
              <w:t>է</w:t>
            </w:r>
            <w:r w:rsidRPr="0053423A">
              <w:rPr>
                <w:rFonts w:ascii="GHEA Grapalat" w:hAnsi="GHEA Grapalat"/>
                <w:sz w:val="20"/>
                <w:szCs w:val="20"/>
                <w:lang w:val="af-ZA"/>
              </w:rPr>
              <w:t xml:space="preserve"> </w:t>
            </w:r>
            <w:r w:rsidRPr="0053423A">
              <w:rPr>
                <w:rFonts w:ascii="GHEA Grapalat" w:hAnsi="GHEA Grapalat"/>
                <w:sz w:val="20"/>
                <w:szCs w:val="20"/>
              </w:rPr>
              <w:t>իրականացնել</w:t>
            </w:r>
            <w:r w:rsidRPr="0053423A">
              <w:rPr>
                <w:rFonts w:ascii="GHEA Grapalat" w:hAnsi="GHEA Grapalat"/>
                <w:sz w:val="20"/>
                <w:szCs w:val="20"/>
                <w:lang w:val="af-ZA"/>
              </w:rPr>
              <w:t xml:space="preserve"> </w:t>
            </w:r>
            <w:r w:rsidRPr="0053423A">
              <w:rPr>
                <w:rFonts w:ascii="GHEA Grapalat" w:hAnsi="GHEA Grapalat"/>
                <w:sz w:val="20"/>
                <w:szCs w:val="20"/>
              </w:rPr>
              <w:t>այնպես</w:t>
            </w:r>
            <w:r w:rsidRPr="0053423A">
              <w:rPr>
                <w:rFonts w:ascii="GHEA Grapalat" w:hAnsi="GHEA Grapalat"/>
                <w:sz w:val="20"/>
                <w:szCs w:val="20"/>
                <w:lang w:val="af-ZA"/>
              </w:rPr>
              <w:t xml:space="preserve">, </w:t>
            </w:r>
            <w:r w:rsidRPr="0053423A">
              <w:rPr>
                <w:rFonts w:ascii="GHEA Grapalat" w:hAnsi="GHEA Grapalat"/>
                <w:sz w:val="20"/>
                <w:szCs w:val="20"/>
              </w:rPr>
              <w:t>որպեսզի</w:t>
            </w:r>
            <w:r w:rsidRPr="0053423A">
              <w:rPr>
                <w:rFonts w:ascii="GHEA Grapalat" w:hAnsi="GHEA Grapalat"/>
                <w:sz w:val="20"/>
                <w:szCs w:val="20"/>
                <w:lang w:val="af-ZA"/>
              </w:rPr>
              <w:t xml:space="preserve"> </w:t>
            </w:r>
            <w:r w:rsidRPr="0053423A">
              <w:rPr>
                <w:rFonts w:ascii="GHEA Grapalat" w:hAnsi="GHEA Grapalat"/>
                <w:sz w:val="20"/>
                <w:szCs w:val="20"/>
              </w:rPr>
              <w:t>տնտեսավարողին</w:t>
            </w:r>
            <w:r w:rsidRPr="0053423A">
              <w:rPr>
                <w:rFonts w:ascii="GHEA Grapalat" w:hAnsi="GHEA Grapalat"/>
                <w:sz w:val="20"/>
                <w:szCs w:val="20"/>
                <w:lang w:val="af-ZA"/>
              </w:rPr>
              <w:t xml:space="preserve"> </w:t>
            </w:r>
            <w:r w:rsidRPr="0053423A">
              <w:rPr>
                <w:rFonts w:ascii="GHEA Grapalat" w:hAnsi="GHEA Grapalat"/>
                <w:sz w:val="20"/>
                <w:szCs w:val="20"/>
              </w:rPr>
              <w:t>վարկը</w:t>
            </w:r>
            <w:r w:rsidRPr="0053423A">
              <w:rPr>
                <w:rFonts w:ascii="GHEA Grapalat" w:hAnsi="GHEA Grapalat"/>
                <w:sz w:val="20"/>
                <w:szCs w:val="20"/>
                <w:lang w:val="af-ZA"/>
              </w:rPr>
              <w:t xml:space="preserve"> 5 </w:t>
            </w:r>
            <w:r w:rsidRPr="0053423A">
              <w:rPr>
                <w:rFonts w:ascii="GHEA Grapalat" w:hAnsi="GHEA Grapalat"/>
                <w:sz w:val="20"/>
                <w:szCs w:val="20"/>
              </w:rPr>
              <w:t>տոկոսի</w:t>
            </w:r>
            <w:r w:rsidRPr="0053423A">
              <w:rPr>
                <w:rFonts w:ascii="GHEA Grapalat" w:hAnsi="GHEA Grapalat"/>
                <w:sz w:val="20"/>
                <w:szCs w:val="20"/>
                <w:lang w:val="af-ZA"/>
              </w:rPr>
              <w:t xml:space="preserve"> </w:t>
            </w:r>
            <w:r w:rsidRPr="0053423A">
              <w:rPr>
                <w:rFonts w:ascii="GHEA Grapalat" w:hAnsi="GHEA Grapalat"/>
                <w:sz w:val="20"/>
                <w:szCs w:val="20"/>
              </w:rPr>
              <w:t>փոխարեն</w:t>
            </w:r>
            <w:r w:rsidRPr="0053423A">
              <w:rPr>
                <w:rFonts w:ascii="GHEA Grapalat" w:hAnsi="GHEA Grapalat"/>
                <w:sz w:val="20"/>
                <w:szCs w:val="20"/>
                <w:lang w:val="af-ZA"/>
              </w:rPr>
              <w:t xml:space="preserve"> </w:t>
            </w:r>
            <w:r w:rsidRPr="0053423A">
              <w:rPr>
                <w:rFonts w:ascii="GHEA Grapalat" w:hAnsi="GHEA Grapalat"/>
                <w:sz w:val="20"/>
                <w:szCs w:val="20"/>
              </w:rPr>
              <w:t>տրամադրվի</w:t>
            </w:r>
            <w:r w:rsidRPr="0053423A">
              <w:rPr>
                <w:rFonts w:ascii="GHEA Grapalat" w:hAnsi="GHEA Grapalat"/>
                <w:sz w:val="20"/>
                <w:szCs w:val="20"/>
                <w:lang w:val="af-ZA"/>
              </w:rPr>
              <w:t xml:space="preserve"> 2 </w:t>
            </w:r>
            <w:r w:rsidRPr="0053423A">
              <w:rPr>
                <w:rFonts w:ascii="GHEA Grapalat" w:hAnsi="GHEA Grapalat"/>
                <w:sz w:val="20"/>
                <w:szCs w:val="20"/>
              </w:rPr>
              <w:t>տոկոսով</w:t>
            </w:r>
            <w:r w:rsidRPr="0053423A">
              <w:rPr>
                <w:rFonts w:ascii="GHEA Grapalat" w:hAnsi="GHEA Grapalat"/>
                <w:sz w:val="20"/>
                <w:szCs w:val="20"/>
                <w:lang w:val="af-ZA"/>
              </w:rPr>
              <w:t>:</w:t>
            </w:r>
          </w:p>
          <w:p w:rsidR="00530B14" w:rsidRPr="0053423A" w:rsidRDefault="00530B14" w:rsidP="00A67858">
            <w:pPr>
              <w:pStyle w:val="BodyTextIndent"/>
              <w:spacing w:after="0" w:line="276" w:lineRule="auto"/>
              <w:ind w:left="0" w:right="239" w:firstLine="709"/>
              <w:jc w:val="both"/>
              <w:rPr>
                <w:rFonts w:ascii="GHEA Grapalat" w:hAnsi="GHEA Grapalat" w:cs="Sylfaen"/>
                <w:sz w:val="20"/>
                <w:szCs w:val="20"/>
                <w:lang w:val="hy-AM"/>
              </w:rPr>
            </w:pPr>
            <w:r w:rsidRPr="0053423A">
              <w:rPr>
                <w:rFonts w:ascii="GHEA Grapalat" w:hAnsi="GHEA Grapalat" w:cs="Sylfaen"/>
                <w:sz w:val="20"/>
                <w:szCs w:val="20"/>
              </w:rPr>
              <w:t>Նախագծի</w:t>
            </w:r>
            <w:r w:rsidRPr="0053423A">
              <w:rPr>
                <w:rFonts w:ascii="GHEA Grapalat" w:hAnsi="GHEA Grapalat"/>
                <w:sz w:val="20"/>
                <w:szCs w:val="20"/>
                <w:lang w:val="af-ZA"/>
              </w:rPr>
              <w:t xml:space="preserve"> </w:t>
            </w:r>
            <w:r w:rsidRPr="0053423A">
              <w:rPr>
                <w:rFonts w:ascii="GHEA Grapalat" w:hAnsi="GHEA Grapalat"/>
                <w:sz w:val="20"/>
                <w:szCs w:val="20"/>
              </w:rPr>
              <w:t>ընդունման</w:t>
            </w:r>
            <w:r w:rsidRPr="0053423A">
              <w:rPr>
                <w:rFonts w:ascii="GHEA Grapalat" w:hAnsi="GHEA Grapalat"/>
                <w:sz w:val="20"/>
                <w:szCs w:val="20"/>
                <w:lang w:val="af-ZA"/>
              </w:rPr>
              <w:t xml:space="preserve"> </w:t>
            </w:r>
            <w:r w:rsidRPr="0053423A">
              <w:rPr>
                <w:rFonts w:ascii="GHEA Grapalat" w:hAnsi="GHEA Grapalat"/>
                <w:sz w:val="20"/>
                <w:szCs w:val="20"/>
              </w:rPr>
              <w:t>կապակցությամբ</w:t>
            </w:r>
            <w:r w:rsidRPr="0053423A">
              <w:rPr>
                <w:rFonts w:ascii="GHEA Grapalat" w:hAnsi="GHEA Grapalat"/>
                <w:sz w:val="20"/>
                <w:szCs w:val="20"/>
                <w:lang w:val="af-ZA"/>
              </w:rPr>
              <w:t xml:space="preserve"> </w:t>
            </w:r>
            <w:r w:rsidRPr="0053423A">
              <w:rPr>
                <w:rFonts w:ascii="GHEA Grapalat" w:hAnsi="GHEA Grapalat"/>
                <w:sz w:val="20"/>
                <w:szCs w:val="20"/>
              </w:rPr>
              <w:t>անհրաժեշտություն</w:t>
            </w:r>
            <w:r w:rsidRPr="0053423A">
              <w:rPr>
                <w:rFonts w:ascii="GHEA Grapalat" w:hAnsi="GHEA Grapalat"/>
                <w:sz w:val="20"/>
                <w:szCs w:val="20"/>
                <w:lang w:val="af-ZA"/>
              </w:rPr>
              <w:t xml:space="preserve"> </w:t>
            </w:r>
            <w:r w:rsidRPr="0053423A">
              <w:rPr>
                <w:rFonts w:ascii="GHEA Grapalat" w:hAnsi="GHEA Grapalat"/>
                <w:sz w:val="20"/>
                <w:szCs w:val="20"/>
              </w:rPr>
              <w:t>կառաջանա</w:t>
            </w:r>
            <w:r w:rsidRPr="0053423A">
              <w:rPr>
                <w:rFonts w:ascii="GHEA Grapalat" w:hAnsi="GHEA Grapalat"/>
                <w:sz w:val="20"/>
                <w:szCs w:val="20"/>
                <w:lang w:val="af-ZA"/>
              </w:rPr>
              <w:t xml:space="preserve"> </w:t>
            </w:r>
            <w:r w:rsidRPr="0053423A">
              <w:rPr>
                <w:rFonts w:ascii="GHEA Grapalat" w:hAnsi="GHEA Grapalat" w:cs="Sylfaen"/>
                <w:sz w:val="20"/>
                <w:szCs w:val="20"/>
                <w:lang w:val="af-ZA"/>
              </w:rPr>
              <w:t>համապատասխան փոփոխություններ և լրացումներ կատարել «Հայաստանի Հանրա</w:t>
            </w:r>
            <w:r w:rsidRPr="0053423A">
              <w:rPr>
                <w:rFonts w:ascii="GHEA Grapalat" w:hAnsi="GHEA Grapalat" w:cs="Sylfaen"/>
                <w:sz w:val="20"/>
                <w:szCs w:val="20"/>
                <w:lang w:val="af-ZA"/>
              </w:rPr>
              <w:softHyphen/>
              <w:t>պետության 2019 թվականի պետական բյուջեի մասին» Հայաստանի Հանրապետու</w:t>
            </w:r>
            <w:r w:rsidRPr="0053423A">
              <w:rPr>
                <w:rFonts w:ascii="GHEA Grapalat" w:hAnsi="GHEA Grapalat" w:cs="Sylfaen"/>
                <w:sz w:val="20"/>
                <w:szCs w:val="20"/>
                <w:lang w:val="af-ZA"/>
              </w:rPr>
              <w:softHyphen/>
              <w:t>թյան օրենքում վերաբաշխում և Հայաստանի Հանրապետության կառավարության 2018 թվականի դեկտեմբերի 27-ի «Հայաստանի Հանրապետության 2019 թվականի պետական բյուջեի կատարումն ապահովող միջոցառումների մասին» N 1515-Ն որոշման մեջ:</w:t>
            </w:r>
          </w:p>
          <w:p w:rsidR="00530B14" w:rsidRPr="0053423A" w:rsidRDefault="00530B14" w:rsidP="00A67858">
            <w:pPr>
              <w:pStyle w:val="BodyTextIndent"/>
              <w:spacing w:after="0" w:line="276" w:lineRule="auto"/>
              <w:ind w:left="0" w:right="239" w:firstLine="709"/>
              <w:jc w:val="both"/>
              <w:rPr>
                <w:rFonts w:ascii="GHEA Grapalat" w:hAnsi="GHEA Grapalat" w:cs="Sylfaen"/>
                <w:sz w:val="20"/>
                <w:szCs w:val="20"/>
                <w:lang w:val="hy-AM"/>
              </w:rPr>
            </w:pPr>
          </w:p>
          <w:p w:rsidR="00530B14" w:rsidRPr="0053423A" w:rsidRDefault="00530B14" w:rsidP="00A67858">
            <w:pPr>
              <w:pStyle w:val="ListParagraph"/>
              <w:numPr>
                <w:ilvl w:val="0"/>
                <w:numId w:val="91"/>
              </w:numPr>
              <w:spacing w:line="276" w:lineRule="auto"/>
              <w:ind w:left="0" w:right="239" w:firstLine="330"/>
              <w:jc w:val="both"/>
              <w:rPr>
                <w:b/>
              </w:rPr>
            </w:pPr>
            <w:r w:rsidRPr="0053423A">
              <w:rPr>
                <w:b/>
                <w:lang w:val="hy-AM"/>
              </w:rPr>
              <w:t>Միջոցառման իրականացումից ակնկալվող արդյունքը</w:t>
            </w:r>
          </w:p>
          <w:p w:rsidR="00530B14" w:rsidRPr="0053423A" w:rsidRDefault="00530B14" w:rsidP="00A67858">
            <w:pPr>
              <w:tabs>
                <w:tab w:val="left" w:pos="426"/>
                <w:tab w:val="left" w:pos="900"/>
                <w:tab w:val="left" w:pos="1276"/>
              </w:tabs>
              <w:spacing w:line="276" w:lineRule="auto"/>
              <w:ind w:right="239"/>
              <w:jc w:val="both"/>
              <w:rPr>
                <w:lang w:val="af-ZA"/>
              </w:rPr>
            </w:pPr>
            <w:r w:rsidRPr="0053423A">
              <w:rPr>
                <w:rFonts w:cs="Sylfaen"/>
                <w:bCs/>
              </w:rPr>
              <w:tab/>
              <w:t xml:space="preserve">Ծրագրի նախագծի ընդունմամբ հնարավորություն է ստեղծվում </w:t>
            </w:r>
            <w:r w:rsidRPr="0053423A">
              <w:rPr>
                <w:rFonts w:cs="Sylfaen"/>
                <w:bCs/>
                <w:lang w:val="hy-AM"/>
              </w:rPr>
              <w:t>ի</w:t>
            </w:r>
            <w:r w:rsidRPr="0053423A">
              <w:rPr>
                <w:lang w:val="af-ZA"/>
              </w:rPr>
              <w:t>նտենսիվ պտղատու այգետնկումների խթանման միջոցով հանրապետությունում պտղաբուծու-թյան զարգացման, պտղի արտադրության և արտահանման ծավալների ավելացման համար հնարավորությունների ստեղծում</w:t>
            </w:r>
            <w:r w:rsidRPr="0053423A">
              <w:rPr>
                <w:lang w:val="hy-AM"/>
              </w:rPr>
              <w:t xml:space="preserve">։ </w:t>
            </w:r>
            <w:r w:rsidRPr="0053423A">
              <w:rPr>
                <w:lang w:val="af-ZA"/>
              </w:rPr>
              <w:t>Կարկտապաշտպան ցան</w:t>
            </w:r>
            <w:r w:rsidRPr="0053423A">
              <w:rPr>
                <w:lang w:val="af-ZA"/>
              </w:rPr>
              <w:softHyphen/>
              <w:t>ցերով պատված պտղատու և խաղողի այգիների տա</w:t>
            </w:r>
            <w:r w:rsidRPr="0053423A">
              <w:rPr>
                <w:lang w:val="af-ZA"/>
              </w:rPr>
              <w:softHyphen/>
              <w:t>րածքը յուրաքանչյուր տարի կավելանա 250 հա-ով։</w:t>
            </w:r>
          </w:p>
          <w:p w:rsidR="00530B14" w:rsidRPr="0053423A" w:rsidRDefault="00530B14" w:rsidP="00A67858">
            <w:pPr>
              <w:tabs>
                <w:tab w:val="left" w:pos="9923"/>
              </w:tabs>
              <w:spacing w:line="276" w:lineRule="auto"/>
              <w:ind w:right="239"/>
              <w:jc w:val="center"/>
              <w:rPr>
                <w:rFonts w:eastAsia="Calibri"/>
                <w:b/>
                <w:bCs/>
                <w:spacing w:val="40"/>
                <w:lang w:val="hy-AM"/>
              </w:rPr>
            </w:pPr>
          </w:p>
          <w:p w:rsidR="00530B14" w:rsidRPr="0053423A" w:rsidRDefault="00530B14" w:rsidP="00A67858">
            <w:pPr>
              <w:spacing w:line="276" w:lineRule="auto"/>
              <w:ind w:right="239"/>
              <w:jc w:val="center"/>
              <w:rPr>
                <w:rFonts w:cs="Sylfaen"/>
                <w:b/>
                <w:u w:val="single"/>
                <w:lang w:val="hy-AM"/>
              </w:rPr>
            </w:pPr>
            <w:r w:rsidRPr="0053423A">
              <w:rPr>
                <w:rFonts w:cs="Sylfaen"/>
                <w:b/>
                <w:u w:val="single"/>
                <w:lang w:val="hy-AM"/>
              </w:rPr>
              <w:t xml:space="preserve">2.3. </w:t>
            </w:r>
            <w:r w:rsidRPr="0053423A">
              <w:rPr>
                <w:rStyle w:val="Strong"/>
                <w:u w:val="single"/>
                <w:lang w:val="hy-AM"/>
              </w:rPr>
              <w:t>Հայաստանի Հանրապետության գյուղատնտեսությունում կարկտապաշտպան ցանցերի ներդրման համար տրամադրվող վարկերի տոկոսավճարների սուբսիդավորման</w:t>
            </w:r>
            <w:r w:rsidRPr="0053423A">
              <w:rPr>
                <w:rFonts w:cs="Sylfaen"/>
                <w:b/>
                <w:u w:val="single"/>
                <w:lang w:val="hy-AM"/>
              </w:rPr>
              <w:t xml:space="preserve"> ծրագրի իրականացում</w:t>
            </w:r>
          </w:p>
          <w:p w:rsidR="00530B14" w:rsidRPr="0053423A" w:rsidRDefault="00530B14" w:rsidP="00A67858">
            <w:pPr>
              <w:spacing w:line="276" w:lineRule="auto"/>
              <w:ind w:right="239"/>
              <w:jc w:val="center"/>
              <w:rPr>
                <w:rStyle w:val="Strong"/>
                <w:bCs w:val="0"/>
                <w:u w:val="single"/>
                <w:lang w:val="hy-AM"/>
              </w:rPr>
            </w:pPr>
          </w:p>
          <w:p w:rsidR="00530B14" w:rsidRPr="0053423A" w:rsidRDefault="00530B14" w:rsidP="00A67858">
            <w:pPr>
              <w:pStyle w:val="ListParagraph"/>
              <w:numPr>
                <w:ilvl w:val="0"/>
                <w:numId w:val="92"/>
              </w:numPr>
              <w:tabs>
                <w:tab w:val="left" w:pos="1080"/>
              </w:tabs>
              <w:spacing w:line="276" w:lineRule="auto"/>
              <w:ind w:left="0"/>
              <w:rPr>
                <w:rFonts w:cs="Sylfaen"/>
                <w:b/>
                <w:lang w:val="hy-AM"/>
              </w:rPr>
            </w:pPr>
            <w:r w:rsidRPr="0053423A">
              <w:rPr>
                <w:b/>
                <w:lang w:val="hy-AM"/>
              </w:rPr>
              <w:t>Միջոցառման իրականացման անհրաժեշտությունը և նպատակը</w:t>
            </w:r>
          </w:p>
          <w:p w:rsidR="00530B14" w:rsidRPr="0053423A" w:rsidRDefault="00530B14" w:rsidP="00A67858">
            <w:pPr>
              <w:tabs>
                <w:tab w:val="left" w:pos="1080"/>
              </w:tabs>
              <w:spacing w:line="276" w:lineRule="auto"/>
              <w:jc w:val="both"/>
              <w:rPr>
                <w:rStyle w:val="Strong"/>
                <w:rFonts w:cs="Sylfaen"/>
                <w:bCs w:val="0"/>
                <w:lang w:val="hy-AM"/>
              </w:rPr>
            </w:pPr>
            <w:r w:rsidRPr="0053423A">
              <w:rPr>
                <w:rFonts w:cs="Sylfaen"/>
                <w:b/>
                <w:lang w:val="hy-AM"/>
              </w:rPr>
              <w:t xml:space="preserve">       </w:t>
            </w:r>
            <w:r w:rsidRPr="0053423A">
              <w:rPr>
                <w:rFonts w:cs="Sylfaen"/>
                <w:b/>
                <w:lang w:val="af-ZA"/>
              </w:rPr>
              <w:t>«</w:t>
            </w:r>
            <w:r w:rsidRPr="0053423A">
              <w:rPr>
                <w:rStyle w:val="Strong"/>
                <w:lang w:val="hy-AM"/>
              </w:rPr>
              <w:t>Հայաստանի</w:t>
            </w:r>
            <w:r w:rsidRPr="0053423A">
              <w:rPr>
                <w:rStyle w:val="Strong"/>
                <w:lang w:val="af-ZA"/>
              </w:rPr>
              <w:t xml:space="preserve"> </w:t>
            </w:r>
            <w:r w:rsidRPr="0053423A">
              <w:rPr>
                <w:rStyle w:val="Strong"/>
                <w:lang w:val="hy-AM"/>
              </w:rPr>
              <w:t>Հանրապետության</w:t>
            </w:r>
            <w:r w:rsidRPr="0053423A">
              <w:rPr>
                <w:rStyle w:val="Strong"/>
                <w:lang w:val="af-ZA"/>
              </w:rPr>
              <w:t xml:space="preserve"> </w:t>
            </w:r>
            <w:r w:rsidRPr="0053423A">
              <w:rPr>
                <w:rStyle w:val="Strong"/>
                <w:lang w:val="hy-AM"/>
              </w:rPr>
              <w:t>գյուղատնտեսությունում</w:t>
            </w:r>
            <w:r w:rsidRPr="0053423A">
              <w:rPr>
                <w:rStyle w:val="Strong"/>
                <w:lang w:val="af-ZA"/>
              </w:rPr>
              <w:t xml:space="preserve"> </w:t>
            </w:r>
            <w:r w:rsidRPr="0053423A">
              <w:rPr>
                <w:rStyle w:val="Strong"/>
                <w:lang w:val="hy-AM"/>
              </w:rPr>
              <w:t>կարկտապաշտպան</w:t>
            </w:r>
            <w:r w:rsidRPr="0053423A">
              <w:rPr>
                <w:rStyle w:val="Strong"/>
                <w:lang w:val="af-ZA"/>
              </w:rPr>
              <w:t xml:space="preserve"> </w:t>
            </w:r>
            <w:r w:rsidRPr="0053423A">
              <w:rPr>
                <w:rStyle w:val="Strong"/>
                <w:lang w:val="hy-AM"/>
              </w:rPr>
              <w:t>ցանցերի</w:t>
            </w:r>
            <w:r w:rsidRPr="0053423A">
              <w:rPr>
                <w:rStyle w:val="Strong"/>
                <w:lang w:val="af-ZA"/>
              </w:rPr>
              <w:t xml:space="preserve"> </w:t>
            </w:r>
            <w:r w:rsidRPr="0053423A">
              <w:rPr>
                <w:rStyle w:val="Strong"/>
                <w:lang w:val="hy-AM"/>
              </w:rPr>
              <w:t>ներդրման</w:t>
            </w:r>
            <w:r w:rsidRPr="0053423A">
              <w:rPr>
                <w:rStyle w:val="Strong"/>
                <w:lang w:val="af-ZA"/>
              </w:rPr>
              <w:t xml:space="preserve"> </w:t>
            </w:r>
            <w:r w:rsidRPr="0053423A">
              <w:rPr>
                <w:rStyle w:val="Strong"/>
                <w:lang w:val="hy-AM"/>
              </w:rPr>
              <w:t>համար</w:t>
            </w:r>
            <w:r w:rsidRPr="0053423A">
              <w:rPr>
                <w:rStyle w:val="Strong"/>
                <w:lang w:val="af-ZA"/>
              </w:rPr>
              <w:t xml:space="preserve"> </w:t>
            </w:r>
            <w:r w:rsidRPr="0053423A">
              <w:rPr>
                <w:rStyle w:val="Strong"/>
                <w:lang w:val="hy-AM"/>
              </w:rPr>
              <w:t>տրամադրվող</w:t>
            </w:r>
            <w:r w:rsidRPr="0053423A">
              <w:rPr>
                <w:rStyle w:val="Strong"/>
                <w:lang w:val="af-ZA"/>
              </w:rPr>
              <w:t xml:space="preserve"> </w:t>
            </w:r>
            <w:r w:rsidRPr="0053423A">
              <w:rPr>
                <w:rStyle w:val="Strong"/>
                <w:lang w:val="hy-AM"/>
              </w:rPr>
              <w:t>վարկերի</w:t>
            </w:r>
            <w:r w:rsidRPr="0053423A">
              <w:rPr>
                <w:rStyle w:val="Strong"/>
                <w:lang w:val="af-ZA"/>
              </w:rPr>
              <w:t xml:space="preserve"> </w:t>
            </w:r>
            <w:r w:rsidRPr="0053423A">
              <w:rPr>
                <w:rStyle w:val="Strong"/>
                <w:lang w:val="hy-AM"/>
              </w:rPr>
              <w:t>տոկոսավճարների</w:t>
            </w:r>
            <w:r w:rsidRPr="0053423A">
              <w:rPr>
                <w:rStyle w:val="Strong"/>
                <w:lang w:val="af-ZA"/>
              </w:rPr>
              <w:t xml:space="preserve"> </w:t>
            </w:r>
            <w:r w:rsidRPr="0053423A">
              <w:rPr>
                <w:rStyle w:val="Strong"/>
                <w:lang w:val="hy-AM"/>
              </w:rPr>
              <w:t>սուբսիդա</w:t>
            </w:r>
            <w:r w:rsidRPr="0053423A">
              <w:rPr>
                <w:rStyle w:val="Strong"/>
                <w:lang w:val="hy-AM"/>
              </w:rPr>
              <w:softHyphen/>
              <w:t>վորում</w:t>
            </w:r>
            <w:r w:rsidRPr="0053423A">
              <w:rPr>
                <w:rFonts w:cs="Sylfaen"/>
                <w:b/>
                <w:lang w:val="af-ZA"/>
              </w:rPr>
              <w:t xml:space="preserve">» </w:t>
            </w:r>
            <w:r w:rsidRPr="0053423A">
              <w:rPr>
                <w:rFonts w:cs="Sylfaen"/>
                <w:lang w:val="hy-AM"/>
              </w:rPr>
              <w:t>ծրագրի</w:t>
            </w:r>
            <w:r w:rsidRPr="0053423A">
              <w:rPr>
                <w:rFonts w:cs="Sylfaen"/>
                <w:lang w:val="af-ZA"/>
              </w:rPr>
              <w:t xml:space="preserve"> (</w:t>
            </w:r>
            <w:r w:rsidRPr="0053423A">
              <w:rPr>
                <w:rFonts w:cs="Sylfaen"/>
                <w:lang w:val="hy-AM"/>
              </w:rPr>
              <w:t>այսուհետ՝ Ծրագիր</w:t>
            </w:r>
            <w:r w:rsidRPr="0053423A">
              <w:rPr>
                <w:rFonts w:cs="Sylfaen"/>
                <w:lang w:val="af-ZA"/>
              </w:rPr>
              <w:t xml:space="preserve">) </w:t>
            </w:r>
            <w:r w:rsidRPr="0053423A">
              <w:rPr>
                <w:rFonts w:cs="Sylfaen"/>
                <w:lang w:val="hy-AM"/>
              </w:rPr>
              <w:t>իրականացման</w:t>
            </w:r>
            <w:r w:rsidRPr="0053423A">
              <w:rPr>
                <w:rFonts w:cs="Sylfaen"/>
                <w:lang w:val="af-ZA"/>
              </w:rPr>
              <w:t xml:space="preserve"> </w:t>
            </w:r>
            <w:r w:rsidRPr="0053423A">
              <w:rPr>
                <w:lang w:val="hy-AM"/>
              </w:rPr>
              <w:t>անհրաժեշտությունը բխում է ՀՀ ԱԺ 2019 թվականի փետրվարի 14-ի ԱԺՈ-002-Ն որոշմամբ հավանության արժանացած ՀՀ կառավարության ծրագրից (5.10. Գյուղատնտեսությունը բաժին, 4-րդ պարբե</w:t>
            </w:r>
            <w:r w:rsidRPr="0053423A">
              <w:rPr>
                <w:lang w:val="hy-AM"/>
              </w:rPr>
              <w:softHyphen/>
              <w:t>րություն):</w:t>
            </w:r>
          </w:p>
          <w:p w:rsidR="00530B14" w:rsidRPr="0053423A" w:rsidRDefault="00530B14" w:rsidP="00A67858">
            <w:pPr>
              <w:pStyle w:val="BodyTextIndent"/>
              <w:tabs>
                <w:tab w:val="left" w:pos="709"/>
              </w:tabs>
              <w:spacing w:after="0" w:line="276" w:lineRule="auto"/>
              <w:ind w:left="0" w:right="239"/>
              <w:jc w:val="both"/>
              <w:rPr>
                <w:rFonts w:ascii="GHEA Grapalat" w:hAnsi="GHEA Grapalat" w:cs="Sylfaen"/>
                <w:sz w:val="20"/>
                <w:szCs w:val="20"/>
                <w:lang w:val="hy-AM"/>
              </w:rPr>
            </w:pPr>
            <w:r w:rsidRPr="0053423A">
              <w:rPr>
                <w:rFonts w:ascii="GHEA Grapalat" w:hAnsi="GHEA Grapalat" w:cs="Sylfaen"/>
                <w:sz w:val="20"/>
                <w:szCs w:val="20"/>
                <w:lang w:val="hy-AM"/>
              </w:rPr>
              <w:tab/>
              <w:t>Ծրագրի հիմնական նպատակը` մատչելի պայմաններով, մասնավորապես՝ նպատակային վարկերի տոկոսադրույքի սուբսիդավորման մեխանիզմների կիրառ</w:t>
            </w:r>
            <w:r w:rsidRPr="0053423A">
              <w:rPr>
                <w:rFonts w:ascii="GHEA Grapalat" w:hAnsi="GHEA Grapalat" w:cs="Sylfaen"/>
                <w:sz w:val="20"/>
                <w:szCs w:val="20"/>
                <w:lang w:val="hy-AM"/>
              </w:rPr>
              <w:softHyphen/>
              <w:t>մամբ գյուղատնտեսությունում տնտեսավարողների կողմից կարկտապաշտպան ցան</w:t>
            </w:r>
            <w:r w:rsidRPr="0053423A">
              <w:rPr>
                <w:rFonts w:ascii="GHEA Grapalat" w:hAnsi="GHEA Grapalat" w:cs="Sylfaen"/>
                <w:sz w:val="20"/>
                <w:szCs w:val="20"/>
                <w:lang w:val="hy-AM"/>
              </w:rPr>
              <w:softHyphen/>
              <w:t>ցերի ներդրման խթանումն է, վերջնարդյունքում՝ պտղատու և խաղողի այգիների կարկուտից արդյունավետ պաշտպանությունը, տնտեսավարողների եկամուտների պահպանումն ու այգեգործության արդյունավետության բարձրացումը:</w:t>
            </w:r>
          </w:p>
          <w:p w:rsidR="00530B14" w:rsidRPr="0053423A" w:rsidRDefault="00530B14" w:rsidP="00A67858">
            <w:pPr>
              <w:tabs>
                <w:tab w:val="left" w:pos="567"/>
              </w:tabs>
              <w:spacing w:line="276" w:lineRule="auto"/>
              <w:jc w:val="both"/>
              <w:rPr>
                <w:rFonts w:eastAsia="Calibri"/>
                <w:b/>
                <w:lang w:val="hy-AM"/>
              </w:rPr>
            </w:pPr>
            <w:r w:rsidRPr="0053423A">
              <w:rPr>
                <w:rFonts w:eastAsia="Calibri"/>
                <w:b/>
                <w:lang w:val="hy-AM"/>
              </w:rPr>
              <w:tab/>
              <w:t>1.1. Կարգավորման հարաբերությունների ներկա վիճակը և առկա խնդիրները</w:t>
            </w:r>
          </w:p>
          <w:p w:rsidR="00530B14" w:rsidRPr="0053423A" w:rsidRDefault="00530B14" w:rsidP="00A67858">
            <w:pPr>
              <w:pStyle w:val="BodyTextIndent"/>
              <w:tabs>
                <w:tab w:val="left" w:pos="709"/>
              </w:tabs>
              <w:spacing w:after="0" w:line="276" w:lineRule="auto"/>
              <w:ind w:left="0" w:right="239"/>
              <w:jc w:val="both"/>
              <w:rPr>
                <w:rFonts w:ascii="GHEA Grapalat" w:hAnsi="GHEA Grapalat" w:cs="Sylfaen"/>
                <w:sz w:val="20"/>
                <w:szCs w:val="20"/>
                <w:lang w:val="hy-AM"/>
              </w:rPr>
            </w:pPr>
            <w:r w:rsidRPr="0053423A">
              <w:rPr>
                <w:rFonts w:ascii="GHEA Grapalat" w:hAnsi="GHEA Grapalat" w:cs="Sylfaen"/>
                <w:sz w:val="20"/>
                <w:szCs w:val="20"/>
                <w:lang w:val="hy-AM"/>
              </w:rPr>
              <w:tab/>
              <w:t xml:space="preserve">Գյուղատնտեսությունում տնտեսավարող սուբյեկտները տարբեր բնական աղետների, այդ թվում կարկտահարության հետևանքով զգալի կորուստներ են կրում: </w:t>
            </w:r>
          </w:p>
          <w:p w:rsidR="00530B14" w:rsidRPr="0053423A" w:rsidRDefault="00530B14" w:rsidP="00A67858">
            <w:pPr>
              <w:pStyle w:val="BodyTextIndent"/>
              <w:tabs>
                <w:tab w:val="left" w:pos="709"/>
              </w:tabs>
              <w:spacing w:after="0" w:line="276" w:lineRule="auto"/>
              <w:ind w:left="0" w:right="149"/>
              <w:jc w:val="both"/>
              <w:rPr>
                <w:rFonts w:ascii="GHEA Grapalat" w:hAnsi="GHEA Grapalat" w:cs="Sylfaen"/>
                <w:sz w:val="20"/>
                <w:szCs w:val="20"/>
                <w:lang w:val="hy-AM"/>
              </w:rPr>
            </w:pPr>
            <w:r w:rsidRPr="0053423A">
              <w:rPr>
                <w:rFonts w:ascii="GHEA Grapalat" w:hAnsi="GHEA Grapalat" w:cs="Sylfaen"/>
                <w:sz w:val="20"/>
                <w:szCs w:val="20"/>
                <w:lang w:val="hy-AM"/>
              </w:rPr>
              <w:tab/>
              <w:t>Յուրաքանչյուր տարի կարկուտի պատճառով վնասվում են հանրապետության այգե</w:t>
            </w:r>
            <w:r w:rsidRPr="0053423A">
              <w:rPr>
                <w:rFonts w:ascii="GHEA Grapalat" w:hAnsi="GHEA Grapalat" w:cs="Sylfaen"/>
                <w:sz w:val="20"/>
                <w:szCs w:val="20"/>
                <w:lang w:val="hy-AM"/>
              </w:rPr>
              <w:softHyphen/>
              <w:t>տարածքների 10-15 %, որոշ դեպքերում կարկտահարված տարածքներում բերքի կորուստը կազմում է 80-100 %: Կարկտահարությունից վնասված բերքը կորցնում է ապրանքային տեսքը, որի պատճառով դժվարանում է դրա իրացումը, զգալիորեն նվազում է տնտեսավարողների եկամուտները: Ուժեղ կարկտահարված այգիների վերականգնման համար պահանջվում է առնվազն մեկ տարի և լրացուցիչ ֆինան</w:t>
            </w:r>
            <w:r w:rsidRPr="0053423A">
              <w:rPr>
                <w:rFonts w:ascii="GHEA Grapalat" w:hAnsi="GHEA Grapalat" w:cs="Sylfaen"/>
                <w:sz w:val="20"/>
                <w:szCs w:val="20"/>
                <w:lang w:val="hy-AM"/>
              </w:rPr>
              <w:softHyphen/>
              <w:t>սական ներդրումներ` այգիներում լրացուցիչ էտի,  պարարտացման և ագրոտեխ</w:t>
            </w:r>
            <w:r w:rsidRPr="0053423A">
              <w:rPr>
                <w:rFonts w:ascii="GHEA Grapalat" w:hAnsi="GHEA Grapalat" w:cs="Sylfaen"/>
                <w:sz w:val="20"/>
                <w:szCs w:val="20"/>
                <w:lang w:val="hy-AM"/>
              </w:rPr>
              <w:softHyphen/>
              <w:t>նիկական այլ միջոցառումների իրականացման համար: Հակակակարկտային ակտիվ ներգործության մեթոդների հետ միասին կարևորվում է կարկտապաշտպան ցանցային համակարգերի (այսուհետ՝ կարկտապաշտպան ցանցեր) կիրառումը, որի համար պահանջվում է մատչելի մեխանիզմներով  դրանց ներդրում և օգտագործում: Կարկտա</w:t>
            </w:r>
            <w:r w:rsidRPr="0053423A">
              <w:rPr>
                <w:rFonts w:ascii="GHEA Grapalat" w:hAnsi="GHEA Grapalat" w:cs="Sylfaen"/>
                <w:sz w:val="20"/>
                <w:szCs w:val="20"/>
                <w:lang w:val="hy-AM"/>
              </w:rPr>
              <w:softHyphen/>
              <w:t>պաշտ</w:t>
            </w:r>
            <w:r w:rsidRPr="0053423A">
              <w:rPr>
                <w:rFonts w:ascii="GHEA Grapalat" w:hAnsi="GHEA Grapalat" w:cs="Sylfaen"/>
                <w:sz w:val="20"/>
                <w:szCs w:val="20"/>
                <w:lang w:val="hy-AM"/>
              </w:rPr>
              <w:softHyphen/>
              <w:t>պան ցանցերի ներդրմանը հիմնականում խոչընդոտում են վերջիններիս բարձր գինը, ֆինանսական միջոցների բացակայությունը, վարկերի դժվարամատչելիությունը (կարճաժամկետ և բարձր տոկոսադրույքներ), ինչպես նաև տնտեսավարող սուբյեկտների իրազեկվածության պակասը: Ուստի կարկտապաշտպան ցանցային միջոցների ներդրման համար անհրաժեշտություն է առաջանում մշակել նպատակային երկարաժամկետ, մատչելի (ցածր տոկոսադրույքներով և երկարաժամկետ) վարկա</w:t>
            </w:r>
            <w:r w:rsidRPr="0053423A">
              <w:rPr>
                <w:rFonts w:ascii="GHEA Grapalat" w:hAnsi="GHEA Grapalat" w:cs="Sylfaen"/>
                <w:sz w:val="20"/>
                <w:szCs w:val="20"/>
                <w:lang w:val="hy-AM"/>
              </w:rPr>
              <w:softHyphen/>
              <w:t>վորման մեխանիզմներ:</w:t>
            </w:r>
          </w:p>
          <w:p w:rsidR="00530B14" w:rsidRPr="0053423A" w:rsidRDefault="00530B14" w:rsidP="00A67858">
            <w:pPr>
              <w:pStyle w:val="BodyTextIndent"/>
              <w:tabs>
                <w:tab w:val="left" w:pos="709"/>
              </w:tabs>
              <w:spacing w:after="0" w:line="276" w:lineRule="auto"/>
              <w:ind w:left="0" w:right="239"/>
              <w:jc w:val="both"/>
              <w:rPr>
                <w:rFonts w:ascii="GHEA Grapalat" w:hAnsi="GHEA Grapalat" w:cs="Sylfaen"/>
                <w:sz w:val="20"/>
                <w:szCs w:val="20"/>
                <w:lang w:val="hy-AM"/>
              </w:rPr>
            </w:pPr>
            <w:r w:rsidRPr="0053423A">
              <w:rPr>
                <w:rFonts w:ascii="GHEA Grapalat" w:hAnsi="GHEA Grapalat" w:cs="Sylfaen"/>
                <w:sz w:val="20"/>
                <w:szCs w:val="20"/>
                <w:lang w:val="hy-AM"/>
              </w:rPr>
              <w:tab/>
              <w:t>ՀՀ</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hy-AM"/>
              </w:rPr>
              <w:t>կառավարության</w:t>
            </w:r>
            <w:r w:rsidRPr="0053423A">
              <w:rPr>
                <w:rFonts w:ascii="GHEA Grapalat" w:hAnsi="GHEA Grapalat"/>
                <w:sz w:val="20"/>
                <w:szCs w:val="20"/>
                <w:lang w:val="af-ZA"/>
              </w:rPr>
              <w:t xml:space="preserve"> 2017 թվականի  </w:t>
            </w:r>
            <w:r w:rsidRPr="0053423A">
              <w:rPr>
                <w:rFonts w:ascii="GHEA Grapalat" w:hAnsi="GHEA Grapalat" w:cs="Sylfaen"/>
                <w:sz w:val="20"/>
                <w:szCs w:val="20"/>
                <w:lang w:val="hy-AM"/>
              </w:rPr>
              <w:t>օգոստոսի</w:t>
            </w:r>
            <w:r w:rsidRPr="0053423A">
              <w:rPr>
                <w:rFonts w:ascii="GHEA Grapalat" w:hAnsi="GHEA Grapalat" w:cs="Sylfaen"/>
                <w:sz w:val="20"/>
                <w:szCs w:val="20"/>
                <w:lang w:val="af-ZA"/>
              </w:rPr>
              <w:t xml:space="preserve"> 31-</w:t>
            </w:r>
            <w:r w:rsidRPr="0053423A">
              <w:rPr>
                <w:rFonts w:ascii="GHEA Grapalat" w:hAnsi="GHEA Grapalat" w:cs="Sylfaen"/>
                <w:sz w:val="20"/>
                <w:szCs w:val="20"/>
                <w:lang w:val="hy-AM"/>
              </w:rPr>
              <w:t>ի</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նիստի</w:t>
            </w:r>
            <w:r w:rsidRPr="0053423A">
              <w:rPr>
                <w:rFonts w:ascii="GHEA Grapalat" w:hAnsi="GHEA Grapalat" w:cs="Sylfaen"/>
                <w:sz w:val="20"/>
                <w:szCs w:val="20"/>
                <w:lang w:val="af-ZA"/>
              </w:rPr>
              <w:t xml:space="preserve"> </w:t>
            </w:r>
            <w:r w:rsidRPr="0053423A">
              <w:rPr>
                <w:rFonts w:ascii="GHEA Grapalat" w:hAnsi="GHEA Grapalat" w:cs="Arial Armenian"/>
                <w:spacing w:val="2"/>
                <w:sz w:val="20"/>
                <w:szCs w:val="20"/>
                <w:lang w:val="af-ZA"/>
              </w:rPr>
              <w:t>N 37</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արձանագ</w:t>
            </w:r>
            <w:r w:rsidRPr="0053423A">
              <w:rPr>
                <w:rFonts w:ascii="GHEA Grapalat" w:hAnsi="GHEA Grapalat" w:cs="Sylfaen"/>
                <w:sz w:val="20"/>
                <w:szCs w:val="20"/>
                <w:lang w:val="hy-AM"/>
              </w:rPr>
              <w:softHyphen/>
              <w:t>րային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hy-AM"/>
              </w:rPr>
              <w:t>որոշմամբ</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հավանության</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էր</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արժանացել</w:t>
            </w:r>
            <w:r w:rsidRPr="0053423A">
              <w:rPr>
                <w:rFonts w:ascii="GHEA Grapalat" w:hAnsi="GHEA Grapalat" w:cs="Sylfaen"/>
                <w:sz w:val="20"/>
                <w:szCs w:val="20"/>
                <w:lang w:val="af-ZA"/>
              </w:rPr>
              <w:t xml:space="preserve"> </w:t>
            </w:r>
            <w:r w:rsidRPr="0053423A">
              <w:rPr>
                <w:rFonts w:ascii="GHEA Grapalat" w:hAnsi="GHEA Grapalat" w:cs="Times Armenian"/>
                <w:sz w:val="20"/>
                <w:szCs w:val="20"/>
                <w:lang w:val="fr-FR"/>
              </w:rPr>
              <w:t>«</w:t>
            </w:r>
            <w:r w:rsidRPr="0053423A">
              <w:rPr>
                <w:rFonts w:ascii="GHEA Grapalat" w:hAnsi="GHEA Grapalat" w:cs="Sylfaen"/>
                <w:sz w:val="20"/>
                <w:szCs w:val="20"/>
                <w:lang w:val="hy-AM"/>
              </w:rPr>
              <w:t>Հայաստանի</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Հանրապետության</w:t>
            </w:r>
            <w:r w:rsidRPr="0053423A">
              <w:rPr>
                <w:rFonts w:ascii="GHEA Grapalat" w:hAnsi="GHEA Grapalat"/>
                <w:sz w:val="20"/>
                <w:szCs w:val="20"/>
                <w:lang w:val="af-ZA"/>
              </w:rPr>
              <w:t xml:space="preserve"> </w:t>
            </w:r>
            <w:r w:rsidRPr="0053423A">
              <w:rPr>
                <w:rFonts w:ascii="GHEA Grapalat" w:hAnsi="GHEA Grapalat"/>
                <w:sz w:val="20"/>
                <w:szCs w:val="20"/>
                <w:lang w:val="hy-AM"/>
              </w:rPr>
              <w:t>գյուղատնտեսության</w:t>
            </w:r>
            <w:r w:rsidRPr="0053423A">
              <w:rPr>
                <w:rFonts w:ascii="GHEA Grapalat" w:hAnsi="GHEA Grapalat"/>
                <w:sz w:val="20"/>
                <w:szCs w:val="20"/>
                <w:lang w:val="pt-BR"/>
              </w:rPr>
              <w:t xml:space="preserve"> </w:t>
            </w:r>
            <w:r w:rsidRPr="0053423A">
              <w:rPr>
                <w:rFonts w:ascii="GHEA Grapalat" w:hAnsi="GHEA Grapalat"/>
                <w:sz w:val="20"/>
                <w:szCs w:val="20"/>
                <w:lang w:val="hy-AM"/>
              </w:rPr>
              <w:t>ոլորտում</w:t>
            </w:r>
            <w:r w:rsidRPr="0053423A">
              <w:rPr>
                <w:rFonts w:ascii="GHEA Grapalat" w:hAnsi="GHEA Grapalat"/>
                <w:sz w:val="20"/>
                <w:szCs w:val="20"/>
                <w:lang w:val="pt-BR"/>
              </w:rPr>
              <w:t xml:space="preserve"> </w:t>
            </w:r>
            <w:r w:rsidRPr="0053423A">
              <w:rPr>
                <w:rFonts w:ascii="GHEA Grapalat" w:hAnsi="GHEA Grapalat"/>
                <w:sz w:val="20"/>
                <w:szCs w:val="20"/>
                <w:lang w:val="hy-AM"/>
              </w:rPr>
              <w:t>հակակարկտային</w:t>
            </w:r>
            <w:r w:rsidRPr="0053423A">
              <w:rPr>
                <w:rFonts w:ascii="GHEA Grapalat" w:hAnsi="GHEA Grapalat"/>
                <w:sz w:val="20"/>
                <w:szCs w:val="20"/>
                <w:lang w:val="af-ZA"/>
              </w:rPr>
              <w:t xml:space="preserve"> </w:t>
            </w:r>
            <w:r w:rsidRPr="0053423A">
              <w:rPr>
                <w:rFonts w:ascii="GHEA Grapalat" w:hAnsi="GHEA Grapalat"/>
                <w:sz w:val="20"/>
                <w:szCs w:val="20"/>
                <w:lang w:val="hy-AM"/>
              </w:rPr>
              <w:t>ցանցերի</w:t>
            </w:r>
            <w:r w:rsidRPr="0053423A">
              <w:rPr>
                <w:rFonts w:ascii="GHEA Grapalat" w:hAnsi="GHEA Grapalat"/>
                <w:sz w:val="20"/>
                <w:szCs w:val="20"/>
                <w:lang w:val="af-ZA"/>
              </w:rPr>
              <w:t xml:space="preserve"> </w:t>
            </w:r>
            <w:r w:rsidRPr="0053423A">
              <w:rPr>
                <w:rFonts w:ascii="GHEA Grapalat" w:hAnsi="GHEA Grapalat"/>
                <w:sz w:val="20"/>
                <w:szCs w:val="20"/>
                <w:lang w:val="hy-AM"/>
              </w:rPr>
              <w:t>ներդրման</w:t>
            </w:r>
            <w:r w:rsidRPr="0053423A">
              <w:rPr>
                <w:rFonts w:ascii="GHEA Grapalat" w:hAnsi="GHEA Grapalat"/>
                <w:sz w:val="20"/>
                <w:szCs w:val="20"/>
                <w:lang w:val="af-ZA"/>
              </w:rPr>
              <w:t xml:space="preserve"> </w:t>
            </w:r>
            <w:r w:rsidRPr="0053423A">
              <w:rPr>
                <w:rFonts w:ascii="GHEA Grapalat" w:hAnsi="GHEA Grapalat"/>
                <w:sz w:val="20"/>
                <w:szCs w:val="20"/>
                <w:lang w:val="hy-AM"/>
              </w:rPr>
              <w:t>համար</w:t>
            </w:r>
            <w:r w:rsidRPr="0053423A">
              <w:rPr>
                <w:rFonts w:ascii="GHEA Grapalat" w:hAnsi="GHEA Grapalat"/>
                <w:sz w:val="20"/>
                <w:szCs w:val="20"/>
                <w:lang w:val="af-ZA"/>
              </w:rPr>
              <w:t xml:space="preserve"> </w:t>
            </w:r>
            <w:r w:rsidRPr="0053423A">
              <w:rPr>
                <w:rFonts w:ascii="GHEA Grapalat" w:hAnsi="GHEA Grapalat"/>
                <w:sz w:val="20"/>
                <w:szCs w:val="20"/>
                <w:lang w:val="hy-AM"/>
              </w:rPr>
              <w:t>տրամա</w:t>
            </w:r>
            <w:r w:rsidRPr="0053423A">
              <w:rPr>
                <w:rFonts w:ascii="GHEA Grapalat" w:hAnsi="GHEA Grapalat"/>
                <w:sz w:val="20"/>
                <w:szCs w:val="20"/>
                <w:lang w:val="hy-AM"/>
              </w:rPr>
              <w:softHyphen/>
              <w:t>դր</w:t>
            </w:r>
            <w:r w:rsidRPr="0053423A">
              <w:rPr>
                <w:rFonts w:ascii="GHEA Grapalat" w:hAnsi="GHEA Grapalat"/>
                <w:sz w:val="20"/>
                <w:szCs w:val="20"/>
                <w:lang w:val="hy-AM"/>
              </w:rPr>
              <w:softHyphen/>
              <w:t>վող</w:t>
            </w:r>
            <w:r w:rsidRPr="0053423A">
              <w:rPr>
                <w:rFonts w:ascii="GHEA Grapalat" w:hAnsi="GHEA Grapalat"/>
                <w:sz w:val="20"/>
                <w:szCs w:val="20"/>
                <w:lang w:val="af-ZA"/>
              </w:rPr>
              <w:t xml:space="preserve"> </w:t>
            </w:r>
            <w:r w:rsidRPr="0053423A">
              <w:rPr>
                <w:rFonts w:ascii="GHEA Grapalat" w:hAnsi="GHEA Grapalat"/>
                <w:sz w:val="20"/>
                <w:szCs w:val="20"/>
                <w:lang w:val="hy-AM"/>
              </w:rPr>
              <w:t>վարկերի</w:t>
            </w:r>
            <w:r w:rsidRPr="0053423A">
              <w:rPr>
                <w:rFonts w:ascii="GHEA Grapalat" w:hAnsi="GHEA Grapalat"/>
                <w:sz w:val="20"/>
                <w:szCs w:val="20"/>
                <w:lang w:val="af-ZA"/>
              </w:rPr>
              <w:t xml:space="preserve"> </w:t>
            </w:r>
            <w:r w:rsidRPr="0053423A">
              <w:rPr>
                <w:rFonts w:ascii="GHEA Grapalat" w:hAnsi="GHEA Grapalat"/>
                <w:sz w:val="20"/>
                <w:szCs w:val="20"/>
                <w:lang w:val="hy-AM"/>
              </w:rPr>
              <w:t>տոկոսադրույքների</w:t>
            </w:r>
            <w:r w:rsidRPr="0053423A">
              <w:rPr>
                <w:rFonts w:ascii="GHEA Grapalat" w:hAnsi="GHEA Grapalat"/>
                <w:sz w:val="20"/>
                <w:szCs w:val="20"/>
                <w:lang w:val="af-ZA"/>
              </w:rPr>
              <w:t xml:space="preserve"> </w:t>
            </w:r>
            <w:r w:rsidRPr="0053423A">
              <w:rPr>
                <w:rFonts w:ascii="GHEA Grapalat" w:hAnsi="GHEA Grapalat"/>
                <w:sz w:val="20"/>
                <w:szCs w:val="20"/>
                <w:lang w:val="hy-AM"/>
              </w:rPr>
              <w:t>սուբսիդավորման</w:t>
            </w:r>
            <w:r w:rsidRPr="0053423A">
              <w:rPr>
                <w:rFonts w:ascii="GHEA Grapalat" w:hAnsi="GHEA Grapalat" w:cs="Arial Armenian"/>
                <w:sz w:val="20"/>
                <w:szCs w:val="20"/>
                <w:lang w:val="fr-FR"/>
              </w:rPr>
              <w:t>»</w:t>
            </w:r>
            <w:r w:rsidRPr="0053423A">
              <w:rPr>
                <w:rFonts w:ascii="GHEA Grapalat" w:hAnsi="GHEA Grapalat"/>
                <w:sz w:val="20"/>
                <w:szCs w:val="20"/>
                <w:lang w:val="af-ZA"/>
              </w:rPr>
              <w:t xml:space="preserve"> </w:t>
            </w:r>
            <w:r w:rsidRPr="0053423A">
              <w:rPr>
                <w:rFonts w:ascii="GHEA Grapalat" w:hAnsi="GHEA Grapalat"/>
                <w:sz w:val="20"/>
                <w:szCs w:val="20"/>
                <w:lang w:val="hy-AM"/>
              </w:rPr>
              <w:t>ծրագիրը</w:t>
            </w:r>
            <w:r w:rsidRPr="0053423A">
              <w:rPr>
                <w:rFonts w:ascii="GHEA Grapalat" w:hAnsi="GHEA Grapalat"/>
                <w:sz w:val="20"/>
                <w:szCs w:val="20"/>
                <w:lang w:val="af-ZA"/>
              </w:rPr>
              <w:t xml:space="preserve"> (</w:t>
            </w:r>
            <w:r w:rsidRPr="0053423A">
              <w:rPr>
                <w:rFonts w:ascii="GHEA Grapalat" w:hAnsi="GHEA Grapalat"/>
                <w:sz w:val="20"/>
                <w:szCs w:val="20"/>
                <w:lang w:val="hy-AM"/>
              </w:rPr>
              <w:t>այսուհետ՝</w:t>
            </w:r>
            <w:r w:rsidRPr="0053423A">
              <w:rPr>
                <w:rFonts w:ascii="GHEA Grapalat" w:hAnsi="GHEA Grapalat"/>
                <w:sz w:val="20"/>
                <w:szCs w:val="20"/>
                <w:lang w:val="af-ZA"/>
              </w:rPr>
              <w:t xml:space="preserve"> </w:t>
            </w:r>
            <w:r w:rsidRPr="0053423A">
              <w:rPr>
                <w:rFonts w:ascii="GHEA Grapalat" w:hAnsi="GHEA Grapalat"/>
                <w:sz w:val="20"/>
                <w:szCs w:val="20"/>
                <w:lang w:val="hy-AM"/>
              </w:rPr>
              <w:t>ծրագիր</w:t>
            </w:r>
            <w:r w:rsidRPr="0053423A">
              <w:rPr>
                <w:rFonts w:ascii="GHEA Grapalat" w:hAnsi="GHEA Grapalat"/>
                <w:sz w:val="20"/>
                <w:szCs w:val="20"/>
                <w:lang w:val="af-ZA"/>
              </w:rPr>
              <w:t xml:space="preserve">), </w:t>
            </w:r>
            <w:r w:rsidRPr="0053423A">
              <w:rPr>
                <w:rFonts w:ascii="GHEA Grapalat" w:hAnsi="GHEA Grapalat"/>
                <w:sz w:val="20"/>
                <w:szCs w:val="20"/>
                <w:lang w:val="hy-AM"/>
              </w:rPr>
              <w:t>որով</w:t>
            </w:r>
            <w:r w:rsidRPr="0053423A">
              <w:rPr>
                <w:rFonts w:ascii="GHEA Grapalat" w:hAnsi="GHEA Grapalat"/>
                <w:sz w:val="20"/>
                <w:szCs w:val="20"/>
                <w:lang w:val="af-ZA"/>
              </w:rPr>
              <w:t xml:space="preserve"> </w:t>
            </w:r>
            <w:r w:rsidRPr="0053423A">
              <w:rPr>
                <w:rFonts w:ascii="GHEA Grapalat" w:hAnsi="GHEA Grapalat"/>
                <w:sz w:val="20"/>
                <w:szCs w:val="20"/>
                <w:lang w:val="hy-AM"/>
              </w:rPr>
              <w:t>նախատեսվում</w:t>
            </w:r>
            <w:r w:rsidRPr="0053423A">
              <w:rPr>
                <w:rFonts w:ascii="GHEA Grapalat" w:hAnsi="GHEA Grapalat"/>
                <w:sz w:val="20"/>
                <w:szCs w:val="20"/>
                <w:lang w:val="af-ZA"/>
              </w:rPr>
              <w:t xml:space="preserve"> </w:t>
            </w:r>
            <w:r w:rsidRPr="0053423A">
              <w:rPr>
                <w:rFonts w:ascii="GHEA Grapalat" w:hAnsi="GHEA Grapalat"/>
                <w:sz w:val="20"/>
                <w:szCs w:val="20"/>
                <w:lang w:val="hy-AM"/>
              </w:rPr>
              <w:t>էր</w:t>
            </w:r>
            <w:r w:rsidRPr="0053423A">
              <w:rPr>
                <w:rFonts w:ascii="GHEA Grapalat" w:hAnsi="GHEA Grapalat"/>
                <w:sz w:val="20"/>
                <w:szCs w:val="20"/>
                <w:lang w:val="af-ZA"/>
              </w:rPr>
              <w:t xml:space="preserve"> </w:t>
            </w:r>
            <w:r w:rsidRPr="0053423A">
              <w:rPr>
                <w:rFonts w:ascii="GHEA Grapalat" w:hAnsi="GHEA Grapalat" w:cs="Sylfaen"/>
                <w:sz w:val="20"/>
                <w:szCs w:val="20"/>
                <w:lang w:val="hy-AM"/>
              </w:rPr>
              <w:t>մատչելի պայմաններով, մասնավորապես՝ նպա</w:t>
            </w:r>
            <w:r w:rsidRPr="0053423A">
              <w:rPr>
                <w:rFonts w:ascii="GHEA Grapalat" w:hAnsi="GHEA Grapalat" w:cs="Sylfaen"/>
                <w:sz w:val="20"/>
                <w:szCs w:val="20"/>
                <w:lang w:val="hy-AM"/>
              </w:rPr>
              <w:softHyphen/>
              <w:t>տակային վարկերի տոկոսադրույքի սուբսիդավորման մեխանիզմների կիրառմամբ</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աջակցել գյուղատնտեսությունում տնտեսավարողների կողմից կարկտապաշտպան ցանցերի ներդրմանը</w:t>
            </w:r>
            <w:r w:rsidRPr="0053423A">
              <w:rPr>
                <w:rFonts w:ascii="GHEA Grapalat" w:hAnsi="GHEA Grapalat" w:cs="Sylfaen"/>
                <w:sz w:val="20"/>
                <w:szCs w:val="20"/>
                <w:lang w:val="af-ZA"/>
              </w:rPr>
              <w:t>:</w:t>
            </w:r>
            <w:r w:rsidRPr="0053423A">
              <w:rPr>
                <w:rFonts w:ascii="GHEA Grapalat" w:hAnsi="GHEA Grapalat" w:cs="Sylfaen"/>
                <w:sz w:val="20"/>
                <w:szCs w:val="20"/>
                <w:lang w:val="hy-AM"/>
              </w:rPr>
              <w:t xml:space="preserve"> Սակայն Ծրագրի ծրջանակներում նախորդ տարվա ընթացքում գրանցվել է ընդամենը 3 հայտ:</w:t>
            </w:r>
            <w:r w:rsidRPr="0053423A">
              <w:rPr>
                <w:rFonts w:ascii="GHEA Grapalat" w:hAnsi="GHEA Grapalat"/>
                <w:sz w:val="20"/>
                <w:szCs w:val="20"/>
                <w:lang w:val="hy-AM"/>
              </w:rPr>
              <w:t xml:space="preserve"> Ծրագրի</w:t>
            </w:r>
            <w:r w:rsidRPr="0053423A">
              <w:rPr>
                <w:rFonts w:ascii="GHEA Grapalat" w:hAnsi="GHEA Grapalat"/>
                <w:sz w:val="20"/>
                <w:szCs w:val="20"/>
                <w:lang w:val="af-ZA"/>
              </w:rPr>
              <w:t xml:space="preserve"> </w:t>
            </w:r>
            <w:r w:rsidRPr="0053423A">
              <w:rPr>
                <w:rFonts w:ascii="GHEA Grapalat" w:hAnsi="GHEA Grapalat"/>
                <w:sz w:val="20"/>
                <w:szCs w:val="20"/>
                <w:lang w:val="hy-AM"/>
              </w:rPr>
              <w:t>շրջանակներում</w:t>
            </w:r>
            <w:r w:rsidRPr="0053423A">
              <w:rPr>
                <w:rFonts w:ascii="GHEA Grapalat" w:hAnsi="GHEA Grapalat"/>
                <w:sz w:val="20"/>
                <w:szCs w:val="20"/>
                <w:lang w:val="af-ZA"/>
              </w:rPr>
              <w:t xml:space="preserve"> </w:t>
            </w:r>
            <w:r w:rsidRPr="0053423A">
              <w:rPr>
                <w:rFonts w:ascii="GHEA Grapalat" w:hAnsi="GHEA Grapalat"/>
                <w:sz w:val="20"/>
                <w:szCs w:val="20"/>
                <w:lang w:val="hy-AM"/>
              </w:rPr>
              <w:t>կարկտապաշտպան</w:t>
            </w:r>
            <w:r w:rsidRPr="0053423A">
              <w:rPr>
                <w:rFonts w:ascii="GHEA Grapalat" w:hAnsi="GHEA Grapalat"/>
                <w:sz w:val="20"/>
                <w:szCs w:val="20"/>
                <w:lang w:val="af-ZA"/>
              </w:rPr>
              <w:t xml:space="preserve"> </w:t>
            </w:r>
            <w:r w:rsidRPr="0053423A">
              <w:rPr>
                <w:rFonts w:ascii="GHEA Grapalat" w:hAnsi="GHEA Grapalat"/>
                <w:sz w:val="20"/>
                <w:szCs w:val="20"/>
                <w:lang w:val="hy-AM"/>
              </w:rPr>
              <w:t>ցան</w:t>
            </w:r>
            <w:r w:rsidRPr="0053423A">
              <w:rPr>
                <w:rFonts w:ascii="GHEA Grapalat" w:hAnsi="GHEA Grapalat"/>
                <w:sz w:val="20"/>
                <w:szCs w:val="20"/>
                <w:lang w:val="hy-AM"/>
              </w:rPr>
              <w:softHyphen/>
              <w:t>ցային</w:t>
            </w:r>
            <w:r w:rsidRPr="0053423A">
              <w:rPr>
                <w:rFonts w:ascii="GHEA Grapalat" w:hAnsi="GHEA Grapalat"/>
                <w:sz w:val="20"/>
                <w:szCs w:val="20"/>
                <w:lang w:val="af-ZA"/>
              </w:rPr>
              <w:t xml:space="preserve"> </w:t>
            </w:r>
            <w:r w:rsidRPr="0053423A">
              <w:rPr>
                <w:rFonts w:ascii="GHEA Grapalat" w:hAnsi="GHEA Grapalat"/>
                <w:sz w:val="20"/>
                <w:szCs w:val="20"/>
                <w:lang w:val="hy-AM"/>
              </w:rPr>
              <w:t>համակարգերը</w:t>
            </w:r>
            <w:r w:rsidRPr="0053423A">
              <w:rPr>
                <w:rFonts w:ascii="GHEA Grapalat" w:hAnsi="GHEA Grapalat"/>
                <w:sz w:val="20"/>
                <w:szCs w:val="20"/>
                <w:lang w:val="af-ZA"/>
              </w:rPr>
              <w:t xml:space="preserve"> պարտադիր պետք է տեղեկայվեր կապալառու կազմակերպության կողմից:</w:t>
            </w:r>
          </w:p>
          <w:p w:rsidR="00530B14" w:rsidRPr="0053423A" w:rsidRDefault="00530B14" w:rsidP="00A67858">
            <w:pPr>
              <w:pStyle w:val="BodyTextIndent"/>
              <w:numPr>
                <w:ilvl w:val="1"/>
                <w:numId w:val="92"/>
              </w:numPr>
              <w:tabs>
                <w:tab w:val="left" w:pos="709"/>
              </w:tabs>
              <w:spacing w:after="0" w:line="276" w:lineRule="auto"/>
              <w:ind w:right="239"/>
              <w:jc w:val="both"/>
              <w:rPr>
                <w:rFonts w:ascii="GHEA Grapalat" w:eastAsia="Calibri" w:hAnsi="GHEA Grapalat"/>
                <w:b/>
                <w:sz w:val="20"/>
                <w:szCs w:val="20"/>
                <w:lang w:val="hy-AM"/>
              </w:rPr>
            </w:pPr>
            <w:r w:rsidRPr="0053423A">
              <w:rPr>
                <w:rFonts w:ascii="GHEA Grapalat" w:eastAsia="Calibri" w:hAnsi="GHEA Grapalat"/>
                <w:b/>
                <w:sz w:val="20"/>
                <w:szCs w:val="20"/>
                <w:lang w:val="hy-AM"/>
              </w:rPr>
              <w:t>Առկա խնդիրների առաջարկվող լուծումները</w:t>
            </w:r>
          </w:p>
          <w:p w:rsidR="00530B14" w:rsidRPr="0053423A" w:rsidRDefault="00530B14" w:rsidP="00A67858">
            <w:pPr>
              <w:spacing w:line="276" w:lineRule="auto"/>
              <w:ind w:right="59" w:firstLine="540"/>
              <w:jc w:val="both"/>
              <w:rPr>
                <w:strike/>
                <w:lang w:val="hy-AM"/>
              </w:rPr>
            </w:pPr>
            <w:r w:rsidRPr="0053423A">
              <w:rPr>
                <w:lang w:val="hy-AM"/>
              </w:rPr>
              <w:tab/>
              <w:t>Առկա</w:t>
            </w:r>
            <w:r w:rsidRPr="0053423A">
              <w:rPr>
                <w:lang w:val="af-ZA"/>
              </w:rPr>
              <w:t xml:space="preserve"> </w:t>
            </w:r>
            <w:r w:rsidRPr="0053423A">
              <w:rPr>
                <w:lang w:val="hy-AM"/>
              </w:rPr>
              <w:t>խոչընդոտները</w:t>
            </w:r>
            <w:r w:rsidRPr="0053423A">
              <w:rPr>
                <w:lang w:val="af-ZA"/>
              </w:rPr>
              <w:t xml:space="preserve"> </w:t>
            </w:r>
            <w:r w:rsidRPr="0053423A">
              <w:rPr>
                <w:lang w:val="hy-AM"/>
              </w:rPr>
              <w:t>պարզելու</w:t>
            </w:r>
            <w:r w:rsidRPr="0053423A">
              <w:rPr>
                <w:lang w:val="af-ZA"/>
              </w:rPr>
              <w:t xml:space="preserve"> </w:t>
            </w:r>
            <w:r w:rsidRPr="0053423A">
              <w:rPr>
                <w:lang w:val="hy-AM"/>
              </w:rPr>
              <w:t>նպատակով</w:t>
            </w:r>
            <w:r w:rsidRPr="0053423A">
              <w:rPr>
                <w:lang w:val="af-ZA"/>
              </w:rPr>
              <w:t xml:space="preserve"> </w:t>
            </w:r>
            <w:r w:rsidRPr="0053423A">
              <w:rPr>
                <w:lang w:val="hy-AM"/>
              </w:rPr>
              <w:t>նախարարությունում</w:t>
            </w:r>
            <w:r w:rsidRPr="0053423A">
              <w:rPr>
                <w:lang w:val="af-ZA"/>
              </w:rPr>
              <w:t xml:space="preserve"> </w:t>
            </w:r>
            <w:r w:rsidRPr="0053423A">
              <w:rPr>
                <w:lang w:val="hy-AM"/>
              </w:rPr>
              <w:t>և</w:t>
            </w:r>
            <w:r w:rsidRPr="0053423A">
              <w:rPr>
                <w:lang w:val="af-ZA"/>
              </w:rPr>
              <w:t xml:space="preserve"> </w:t>
            </w:r>
            <w:r w:rsidRPr="0053423A">
              <w:rPr>
                <w:lang w:val="hy-AM"/>
              </w:rPr>
              <w:t>մարզերում</w:t>
            </w:r>
            <w:r w:rsidRPr="0053423A">
              <w:rPr>
                <w:lang w:val="af-ZA"/>
              </w:rPr>
              <w:t xml:space="preserve"> </w:t>
            </w:r>
            <w:r w:rsidRPr="0053423A">
              <w:rPr>
                <w:lang w:val="hy-AM"/>
              </w:rPr>
              <w:t>կազմակերպվել</w:t>
            </w:r>
            <w:r w:rsidRPr="0053423A">
              <w:rPr>
                <w:lang w:val="af-ZA"/>
              </w:rPr>
              <w:t xml:space="preserve"> </w:t>
            </w:r>
            <w:r w:rsidRPr="0053423A">
              <w:rPr>
                <w:lang w:val="hy-AM"/>
              </w:rPr>
              <w:t>են</w:t>
            </w:r>
            <w:r w:rsidRPr="0053423A">
              <w:rPr>
                <w:lang w:val="af-ZA"/>
              </w:rPr>
              <w:t xml:space="preserve"> </w:t>
            </w:r>
            <w:r w:rsidRPr="0053423A">
              <w:rPr>
                <w:lang w:val="hy-AM"/>
              </w:rPr>
              <w:t>քննարկումներ</w:t>
            </w:r>
            <w:r w:rsidRPr="0053423A">
              <w:rPr>
                <w:lang w:val="af-ZA"/>
              </w:rPr>
              <w:t xml:space="preserve"> </w:t>
            </w:r>
            <w:r w:rsidRPr="0053423A">
              <w:rPr>
                <w:lang w:val="hy-AM"/>
              </w:rPr>
              <w:t>բանկերի</w:t>
            </w:r>
            <w:r w:rsidRPr="0053423A">
              <w:rPr>
                <w:lang w:val="af-ZA"/>
              </w:rPr>
              <w:t xml:space="preserve">, </w:t>
            </w:r>
            <w:r w:rsidRPr="0053423A">
              <w:rPr>
                <w:lang w:val="hy-AM"/>
              </w:rPr>
              <w:t>կապալառու</w:t>
            </w:r>
            <w:r w:rsidRPr="0053423A">
              <w:rPr>
                <w:lang w:val="af-ZA"/>
              </w:rPr>
              <w:t xml:space="preserve"> </w:t>
            </w:r>
            <w:r w:rsidRPr="0053423A">
              <w:rPr>
                <w:lang w:val="hy-AM"/>
              </w:rPr>
              <w:t>կազմակերպությունների</w:t>
            </w:r>
            <w:r w:rsidRPr="0053423A">
              <w:rPr>
                <w:lang w:val="af-ZA"/>
              </w:rPr>
              <w:t xml:space="preserve">, </w:t>
            </w:r>
            <w:r w:rsidRPr="0053423A">
              <w:rPr>
                <w:lang w:val="hy-AM"/>
              </w:rPr>
              <w:t>այգեգործությամբ</w:t>
            </w:r>
            <w:r w:rsidRPr="0053423A">
              <w:rPr>
                <w:lang w:val="af-ZA"/>
              </w:rPr>
              <w:t xml:space="preserve"> </w:t>
            </w:r>
            <w:r w:rsidRPr="0053423A">
              <w:rPr>
                <w:lang w:val="hy-AM"/>
              </w:rPr>
              <w:t>զբաղվող</w:t>
            </w:r>
            <w:r w:rsidRPr="0053423A">
              <w:rPr>
                <w:lang w:val="af-ZA"/>
              </w:rPr>
              <w:t xml:space="preserve"> </w:t>
            </w:r>
            <w:r w:rsidRPr="0053423A">
              <w:rPr>
                <w:lang w:val="hy-AM"/>
              </w:rPr>
              <w:t>տնտեսավարողների</w:t>
            </w:r>
            <w:r w:rsidRPr="0053423A">
              <w:rPr>
                <w:lang w:val="af-ZA"/>
              </w:rPr>
              <w:t xml:space="preserve"> </w:t>
            </w:r>
            <w:r w:rsidRPr="0053423A">
              <w:rPr>
                <w:lang w:val="hy-AM"/>
              </w:rPr>
              <w:t>ներկայացուցիչների</w:t>
            </w:r>
            <w:r w:rsidRPr="0053423A">
              <w:rPr>
                <w:lang w:val="af-ZA"/>
              </w:rPr>
              <w:t xml:space="preserve"> </w:t>
            </w:r>
            <w:r w:rsidRPr="0053423A">
              <w:rPr>
                <w:lang w:val="hy-AM"/>
              </w:rPr>
              <w:t>մասնակցու</w:t>
            </w:r>
            <w:r w:rsidRPr="0053423A">
              <w:rPr>
                <w:lang w:val="hy-AM"/>
              </w:rPr>
              <w:softHyphen/>
              <w:t>թյամբ</w:t>
            </w:r>
            <w:r w:rsidRPr="0053423A">
              <w:rPr>
                <w:lang w:val="af-ZA"/>
              </w:rPr>
              <w:t xml:space="preserve">: </w:t>
            </w:r>
            <w:r w:rsidRPr="0053423A">
              <w:rPr>
                <w:lang w:val="hy-AM"/>
              </w:rPr>
              <w:t>Քննարկումների</w:t>
            </w:r>
            <w:r w:rsidRPr="0053423A">
              <w:rPr>
                <w:lang w:val="af-ZA"/>
              </w:rPr>
              <w:t xml:space="preserve"> </w:t>
            </w:r>
            <w:r w:rsidRPr="0053423A">
              <w:rPr>
                <w:lang w:val="hy-AM"/>
              </w:rPr>
              <w:t>ընթացքում</w:t>
            </w:r>
            <w:r w:rsidRPr="0053423A">
              <w:rPr>
                <w:lang w:val="af-ZA"/>
              </w:rPr>
              <w:t xml:space="preserve"> </w:t>
            </w:r>
            <w:r w:rsidRPr="0053423A">
              <w:rPr>
                <w:lang w:val="hy-AM"/>
              </w:rPr>
              <w:t>ներկայացված</w:t>
            </w:r>
            <w:r w:rsidRPr="0053423A">
              <w:rPr>
                <w:lang w:val="af-ZA"/>
              </w:rPr>
              <w:t xml:space="preserve"> </w:t>
            </w:r>
            <w:r w:rsidRPr="0053423A">
              <w:rPr>
                <w:lang w:val="hy-AM"/>
              </w:rPr>
              <w:t>առաջարկների</w:t>
            </w:r>
            <w:r w:rsidRPr="0053423A">
              <w:rPr>
                <w:lang w:val="af-ZA"/>
              </w:rPr>
              <w:t xml:space="preserve"> </w:t>
            </w:r>
            <w:r w:rsidRPr="0053423A">
              <w:rPr>
                <w:lang w:val="hy-AM"/>
              </w:rPr>
              <w:t>հիման</w:t>
            </w:r>
            <w:r w:rsidRPr="0053423A">
              <w:rPr>
                <w:lang w:val="af-ZA"/>
              </w:rPr>
              <w:t xml:space="preserve"> </w:t>
            </w:r>
            <w:r w:rsidRPr="0053423A">
              <w:rPr>
                <w:lang w:val="hy-AM"/>
              </w:rPr>
              <w:t>վրա</w:t>
            </w:r>
            <w:r w:rsidRPr="0053423A">
              <w:rPr>
                <w:lang w:val="af-ZA"/>
              </w:rPr>
              <w:t xml:space="preserve"> </w:t>
            </w:r>
            <w:r w:rsidRPr="0053423A">
              <w:rPr>
                <w:lang w:val="hy-AM"/>
              </w:rPr>
              <w:t>ծրա</w:t>
            </w:r>
            <w:r w:rsidRPr="0053423A">
              <w:rPr>
                <w:lang w:val="hy-AM"/>
              </w:rPr>
              <w:softHyphen/>
              <w:t>գիրը</w:t>
            </w:r>
            <w:r w:rsidRPr="0053423A">
              <w:rPr>
                <w:lang w:val="af-ZA"/>
              </w:rPr>
              <w:t xml:space="preserve"> </w:t>
            </w:r>
            <w:r w:rsidRPr="0053423A">
              <w:rPr>
                <w:lang w:val="hy-AM"/>
              </w:rPr>
              <w:t>լրամշակվել</w:t>
            </w:r>
            <w:r w:rsidRPr="0053423A">
              <w:rPr>
                <w:lang w:val="af-ZA"/>
              </w:rPr>
              <w:t xml:space="preserve"> </w:t>
            </w:r>
            <w:r w:rsidRPr="0053423A">
              <w:rPr>
                <w:lang w:val="hy-AM"/>
              </w:rPr>
              <w:t>է</w:t>
            </w:r>
            <w:r w:rsidRPr="0053423A">
              <w:rPr>
                <w:lang w:val="af-ZA"/>
              </w:rPr>
              <w:t xml:space="preserve">: </w:t>
            </w:r>
            <w:r w:rsidRPr="0053423A">
              <w:rPr>
                <w:lang w:val="hy-AM"/>
              </w:rPr>
              <w:t>Ներկայացվող</w:t>
            </w:r>
            <w:r w:rsidRPr="0053423A">
              <w:rPr>
                <w:lang w:val="af-ZA"/>
              </w:rPr>
              <w:t xml:space="preserve"> </w:t>
            </w:r>
            <w:r w:rsidRPr="0053423A">
              <w:rPr>
                <w:lang w:val="hy-AM"/>
              </w:rPr>
              <w:t>ծրագրով</w:t>
            </w:r>
            <w:r w:rsidRPr="0053423A">
              <w:rPr>
                <w:lang w:val="af-ZA"/>
              </w:rPr>
              <w:t xml:space="preserve"> </w:t>
            </w:r>
            <w:r w:rsidRPr="0053423A">
              <w:rPr>
                <w:lang w:val="hy-AM"/>
              </w:rPr>
              <w:t>նախատեսվում</w:t>
            </w:r>
            <w:r w:rsidRPr="0053423A">
              <w:rPr>
                <w:lang w:val="af-ZA"/>
              </w:rPr>
              <w:t xml:space="preserve"> </w:t>
            </w:r>
            <w:r w:rsidRPr="0053423A">
              <w:rPr>
                <w:lang w:val="hy-AM"/>
              </w:rPr>
              <w:t>է</w:t>
            </w:r>
            <w:r w:rsidRPr="0053423A">
              <w:rPr>
                <w:lang w:val="af-ZA"/>
              </w:rPr>
              <w:t xml:space="preserve">, </w:t>
            </w:r>
            <w:r w:rsidRPr="0053423A">
              <w:rPr>
                <w:lang w:val="hy-AM"/>
              </w:rPr>
              <w:t>որ</w:t>
            </w:r>
            <w:r w:rsidRPr="0053423A">
              <w:rPr>
                <w:lang w:val="af-ZA"/>
              </w:rPr>
              <w:t xml:space="preserve"> </w:t>
            </w:r>
            <w:r w:rsidRPr="0053423A">
              <w:rPr>
                <w:lang w:val="hy-AM"/>
              </w:rPr>
              <w:t>կարկտապաշտպան</w:t>
            </w:r>
            <w:r w:rsidRPr="0053423A">
              <w:rPr>
                <w:lang w:val="af-ZA"/>
              </w:rPr>
              <w:t xml:space="preserve"> </w:t>
            </w:r>
            <w:r w:rsidRPr="0053423A">
              <w:rPr>
                <w:lang w:val="hy-AM"/>
              </w:rPr>
              <w:t>ցանցային</w:t>
            </w:r>
            <w:r w:rsidRPr="0053423A">
              <w:rPr>
                <w:lang w:val="af-ZA"/>
              </w:rPr>
              <w:t xml:space="preserve"> </w:t>
            </w:r>
            <w:r w:rsidRPr="0053423A">
              <w:rPr>
                <w:lang w:val="hy-AM"/>
              </w:rPr>
              <w:t>համակարգերը</w:t>
            </w:r>
            <w:r w:rsidRPr="0053423A">
              <w:rPr>
                <w:lang w:val="af-ZA"/>
              </w:rPr>
              <w:t xml:space="preserve"> կարող են տեղեկայվել ինչպես կապալառու կազմա</w:t>
            </w:r>
            <w:r w:rsidRPr="0053423A">
              <w:rPr>
                <w:lang w:val="af-ZA"/>
              </w:rPr>
              <w:softHyphen/>
              <w:t>կեր</w:t>
            </w:r>
            <w:r w:rsidRPr="0053423A">
              <w:rPr>
                <w:lang w:val="af-ZA"/>
              </w:rPr>
              <w:softHyphen/>
              <w:t xml:space="preserve">պության, այնպես էլ տնտեսավարողի կողմից: </w:t>
            </w:r>
            <w:r w:rsidRPr="0053423A">
              <w:rPr>
                <w:rFonts w:cs="Sylfaen"/>
                <w:lang w:val="hy-AM"/>
              </w:rPr>
              <w:t>վարկի</w:t>
            </w:r>
            <w:r w:rsidRPr="0053423A">
              <w:rPr>
                <w:rFonts w:cs="Sylfaen"/>
                <w:lang w:val="af-ZA"/>
              </w:rPr>
              <w:t xml:space="preserve"> </w:t>
            </w:r>
            <w:r w:rsidRPr="0053423A">
              <w:rPr>
                <w:rFonts w:cs="Sylfaen"/>
                <w:lang w:val="hy-AM"/>
              </w:rPr>
              <w:t>տոկոսադրույքի</w:t>
            </w:r>
            <w:r w:rsidRPr="0053423A">
              <w:rPr>
                <w:rFonts w:cs="Sylfaen"/>
                <w:lang w:val="af-ZA"/>
              </w:rPr>
              <w:t xml:space="preserve"> </w:t>
            </w:r>
            <w:r w:rsidRPr="0053423A">
              <w:rPr>
                <w:rFonts w:cs="Sylfaen"/>
                <w:lang w:val="hy-AM"/>
              </w:rPr>
              <w:t>մասնակի</w:t>
            </w:r>
            <w:r w:rsidRPr="0053423A">
              <w:rPr>
                <w:rFonts w:cs="Sylfaen"/>
                <w:lang w:val="af-ZA"/>
              </w:rPr>
              <w:t xml:space="preserve"> </w:t>
            </w:r>
            <w:r w:rsidRPr="0053423A">
              <w:rPr>
                <w:rFonts w:cs="Sylfaen"/>
                <w:lang w:val="hy-AM"/>
              </w:rPr>
              <w:t>սուբ</w:t>
            </w:r>
            <w:r w:rsidRPr="0053423A">
              <w:rPr>
                <w:rFonts w:cs="Sylfaen"/>
                <w:lang w:val="hy-AM"/>
              </w:rPr>
              <w:softHyphen/>
              <w:t>սիդավորումը</w:t>
            </w:r>
            <w:r w:rsidRPr="0053423A">
              <w:rPr>
                <w:rFonts w:cs="Sylfaen"/>
                <w:lang w:val="af-ZA"/>
              </w:rPr>
              <w:t xml:space="preserve"> </w:t>
            </w:r>
            <w:r w:rsidRPr="0053423A">
              <w:rPr>
                <w:rFonts w:cs="Sylfaen"/>
                <w:lang w:val="hy-AM"/>
              </w:rPr>
              <w:t>կիրականացվի</w:t>
            </w:r>
            <w:r w:rsidRPr="0053423A">
              <w:rPr>
                <w:rFonts w:cs="Sylfaen"/>
                <w:lang w:val="af-ZA"/>
              </w:rPr>
              <w:t xml:space="preserve"> </w:t>
            </w:r>
            <w:r w:rsidRPr="0053423A">
              <w:rPr>
                <w:rFonts w:cs="Sylfaen"/>
                <w:lang w:val="hy-AM"/>
              </w:rPr>
              <w:t>այնպիսի</w:t>
            </w:r>
            <w:r w:rsidRPr="0053423A">
              <w:rPr>
                <w:rFonts w:cs="Sylfaen"/>
                <w:lang w:val="af-ZA"/>
              </w:rPr>
              <w:t xml:space="preserve"> </w:t>
            </w:r>
            <w:r w:rsidRPr="0053423A">
              <w:rPr>
                <w:rFonts w:cs="Sylfaen"/>
                <w:lang w:val="hy-AM"/>
              </w:rPr>
              <w:t>չափաքանակով</w:t>
            </w:r>
            <w:r w:rsidRPr="0053423A">
              <w:rPr>
                <w:rFonts w:cs="Sylfaen"/>
                <w:lang w:val="af-ZA"/>
              </w:rPr>
              <w:t xml:space="preserve">, </w:t>
            </w:r>
            <w:r w:rsidRPr="0053423A">
              <w:rPr>
                <w:rFonts w:cs="Sylfaen"/>
                <w:lang w:val="hy-AM"/>
              </w:rPr>
              <w:t>որպեսզի</w:t>
            </w:r>
            <w:r w:rsidRPr="0053423A">
              <w:rPr>
                <w:rFonts w:cs="Sylfaen"/>
                <w:lang w:val="af-ZA"/>
              </w:rPr>
              <w:t xml:space="preserve"> </w:t>
            </w:r>
            <w:r w:rsidRPr="0053423A">
              <w:rPr>
                <w:rFonts w:cs="Sylfaen"/>
                <w:lang w:val="hy-AM"/>
              </w:rPr>
              <w:t>վարկը</w:t>
            </w:r>
            <w:r w:rsidRPr="0053423A">
              <w:rPr>
                <w:rFonts w:cs="Sylfaen"/>
                <w:lang w:val="af-ZA"/>
              </w:rPr>
              <w:t xml:space="preserve"> </w:t>
            </w:r>
            <w:r w:rsidRPr="0053423A">
              <w:rPr>
                <w:rFonts w:cs="Sylfaen"/>
                <w:lang w:val="hy-AM"/>
              </w:rPr>
              <w:t>տնտե</w:t>
            </w:r>
            <w:r w:rsidRPr="0053423A">
              <w:rPr>
                <w:rFonts w:cs="Sylfaen"/>
                <w:lang w:val="hy-AM"/>
              </w:rPr>
              <w:softHyphen/>
              <w:t>սավարողին</w:t>
            </w:r>
            <w:r w:rsidRPr="0053423A">
              <w:rPr>
                <w:rFonts w:cs="Sylfaen"/>
                <w:lang w:val="af-ZA"/>
              </w:rPr>
              <w:t xml:space="preserve"> </w:t>
            </w:r>
            <w:r w:rsidRPr="0053423A">
              <w:rPr>
                <w:rFonts w:cs="Sylfaen"/>
                <w:lang w:val="hy-AM"/>
              </w:rPr>
              <w:t>տրամադրվի</w:t>
            </w:r>
            <w:r w:rsidRPr="0053423A">
              <w:rPr>
                <w:rFonts w:cs="Sylfaen"/>
                <w:lang w:val="af-ZA"/>
              </w:rPr>
              <w:t xml:space="preserve"> 2 % </w:t>
            </w:r>
            <w:r w:rsidRPr="0053423A">
              <w:rPr>
                <w:rFonts w:cs="Sylfaen"/>
                <w:lang w:val="hy-AM"/>
              </w:rPr>
              <w:t>տոկոսադրույքով</w:t>
            </w:r>
            <w:r w:rsidRPr="0053423A">
              <w:rPr>
                <w:rFonts w:cs="Sylfaen"/>
                <w:lang w:val="af-ZA"/>
              </w:rPr>
              <w:t xml:space="preserve">, </w:t>
            </w:r>
            <w:r w:rsidRPr="0053423A">
              <w:rPr>
                <w:rFonts w:cs="Sylfaen"/>
                <w:lang w:val="hy-AM"/>
              </w:rPr>
              <w:t>վարկի</w:t>
            </w:r>
            <w:r w:rsidRPr="0053423A">
              <w:rPr>
                <w:rFonts w:cs="Sylfaen"/>
                <w:lang w:val="af-ZA"/>
              </w:rPr>
              <w:t xml:space="preserve"> </w:t>
            </w:r>
            <w:r w:rsidRPr="0053423A">
              <w:rPr>
                <w:rFonts w:cs="Sylfaen"/>
                <w:lang w:val="hy-AM"/>
              </w:rPr>
              <w:t>մարման</w:t>
            </w:r>
            <w:r w:rsidRPr="0053423A">
              <w:rPr>
                <w:rFonts w:cs="Sylfaen"/>
                <w:lang w:val="af-ZA"/>
              </w:rPr>
              <w:t xml:space="preserve"> 6 </w:t>
            </w:r>
            <w:r w:rsidRPr="0053423A">
              <w:rPr>
                <w:rFonts w:cs="Sylfaen"/>
                <w:lang w:val="hy-AM"/>
              </w:rPr>
              <w:t>ամիս</w:t>
            </w:r>
            <w:r w:rsidRPr="0053423A">
              <w:rPr>
                <w:rFonts w:cs="Sylfaen"/>
                <w:lang w:val="af-ZA"/>
              </w:rPr>
              <w:t xml:space="preserve"> </w:t>
            </w:r>
            <w:r w:rsidRPr="0053423A">
              <w:rPr>
                <w:rFonts w:cs="Sylfaen"/>
                <w:lang w:val="hy-AM"/>
              </w:rPr>
              <w:t>պարբերա</w:t>
            </w:r>
            <w:r w:rsidRPr="0053423A">
              <w:rPr>
                <w:rFonts w:cs="Sylfaen"/>
                <w:lang w:val="hy-AM"/>
              </w:rPr>
              <w:softHyphen/>
              <w:t>կանությամբ</w:t>
            </w:r>
            <w:r w:rsidRPr="0053423A">
              <w:rPr>
                <w:rFonts w:cs="Sylfaen"/>
                <w:lang w:val="af-ZA"/>
              </w:rPr>
              <w:t xml:space="preserve">. </w:t>
            </w:r>
            <w:r w:rsidRPr="0053423A">
              <w:rPr>
                <w:rFonts w:cs="Sylfaen"/>
                <w:lang w:val="hy-AM"/>
              </w:rPr>
              <w:t>իսկ</w:t>
            </w:r>
            <w:r w:rsidRPr="0053423A">
              <w:rPr>
                <w:rFonts w:cs="Sylfaen"/>
                <w:lang w:val="af-ZA"/>
              </w:rPr>
              <w:t xml:space="preserve"> </w:t>
            </w:r>
            <w:r w:rsidRPr="0053423A">
              <w:rPr>
                <w:rFonts w:cs="Sylfaen"/>
                <w:lang w:val="hy-AM"/>
              </w:rPr>
              <w:t>առնվազն</w:t>
            </w:r>
            <w:r w:rsidRPr="0053423A">
              <w:rPr>
                <w:rFonts w:cs="Sylfaen"/>
                <w:lang w:val="af-ZA"/>
              </w:rPr>
              <w:t xml:space="preserve"> 3 </w:t>
            </w:r>
            <w:r w:rsidRPr="0053423A">
              <w:rPr>
                <w:rFonts w:cs="Sylfaen"/>
                <w:lang w:val="hy-AM"/>
              </w:rPr>
              <w:t>հա</w:t>
            </w:r>
            <w:r w:rsidRPr="0053423A">
              <w:rPr>
                <w:rFonts w:cs="Sylfaen"/>
                <w:lang w:val="af-ZA"/>
              </w:rPr>
              <w:t xml:space="preserve"> </w:t>
            </w:r>
            <w:r w:rsidRPr="0053423A">
              <w:rPr>
                <w:rFonts w:cs="Sylfaen"/>
                <w:lang w:val="hy-AM"/>
              </w:rPr>
              <w:t>հողատարածքում</w:t>
            </w:r>
            <w:r w:rsidRPr="0053423A">
              <w:rPr>
                <w:rFonts w:cs="Sylfaen"/>
                <w:lang w:val="af-ZA"/>
              </w:rPr>
              <w:t xml:space="preserve"> </w:t>
            </w:r>
            <w:r w:rsidRPr="0053423A">
              <w:rPr>
                <w:rFonts w:cs="Sylfaen"/>
                <w:lang w:val="hy-AM"/>
              </w:rPr>
              <w:t>ներդնող</w:t>
            </w:r>
            <w:r w:rsidRPr="0053423A">
              <w:rPr>
                <w:rFonts w:cs="Sylfaen"/>
                <w:lang w:val="af-ZA"/>
              </w:rPr>
              <w:t xml:space="preserve"> </w:t>
            </w:r>
            <w:r w:rsidRPr="0053423A">
              <w:rPr>
                <w:rFonts w:cs="Sylfaen"/>
                <w:lang w:val="hy-AM"/>
              </w:rPr>
              <w:t>կոոպերատիվներին</w:t>
            </w:r>
            <w:r w:rsidRPr="0053423A">
              <w:rPr>
                <w:rFonts w:cs="Sylfaen"/>
                <w:lang w:val="af-ZA"/>
              </w:rPr>
              <w:t xml:space="preserve">` 0 % </w:t>
            </w:r>
            <w:r w:rsidRPr="0053423A">
              <w:rPr>
                <w:rFonts w:cs="Sylfaen"/>
                <w:lang w:val="hy-AM"/>
              </w:rPr>
              <w:t>տոկոսա</w:t>
            </w:r>
            <w:r w:rsidRPr="0053423A">
              <w:rPr>
                <w:rFonts w:cs="Sylfaen"/>
                <w:lang w:val="af-ZA"/>
              </w:rPr>
              <w:softHyphen/>
            </w:r>
            <w:r w:rsidRPr="0053423A">
              <w:rPr>
                <w:rFonts w:cs="Sylfaen"/>
                <w:lang w:val="hy-AM"/>
              </w:rPr>
              <w:t>դրույքով</w:t>
            </w:r>
            <w:r w:rsidRPr="0053423A">
              <w:rPr>
                <w:rFonts w:cs="Sylfaen"/>
                <w:lang w:val="af-ZA"/>
              </w:rPr>
              <w:t xml:space="preserve">, </w:t>
            </w:r>
            <w:r w:rsidRPr="0053423A">
              <w:rPr>
                <w:rFonts w:cs="Sylfaen"/>
                <w:lang w:val="hy-AM"/>
              </w:rPr>
              <w:t>մարման ժամկետը մինչև 7 տարի:</w:t>
            </w:r>
            <w:r w:rsidRPr="0053423A">
              <w:rPr>
                <w:lang w:val="hy-AM"/>
              </w:rPr>
              <w:t xml:space="preserve"> Ծրագրի</w:t>
            </w:r>
            <w:r w:rsidRPr="0053423A">
              <w:rPr>
                <w:lang w:val="af-ZA"/>
              </w:rPr>
              <w:t xml:space="preserve"> </w:t>
            </w:r>
            <w:r w:rsidRPr="0053423A">
              <w:rPr>
                <w:lang w:val="hy-AM"/>
              </w:rPr>
              <w:t>շրջանակներում</w:t>
            </w:r>
            <w:r w:rsidRPr="0053423A">
              <w:rPr>
                <w:lang w:val="af-ZA"/>
              </w:rPr>
              <w:t xml:space="preserve"> </w:t>
            </w:r>
            <w:r w:rsidRPr="0053423A">
              <w:rPr>
                <w:lang w:val="hy-AM"/>
              </w:rPr>
              <w:t>նույն</w:t>
            </w:r>
            <w:r w:rsidRPr="0053423A">
              <w:rPr>
                <w:lang w:val="af-ZA"/>
              </w:rPr>
              <w:t xml:space="preserve"> </w:t>
            </w:r>
            <w:r w:rsidRPr="0053423A">
              <w:rPr>
                <w:lang w:val="hy-AM"/>
              </w:rPr>
              <w:t>վար</w:t>
            </w:r>
            <w:r w:rsidRPr="0053423A">
              <w:rPr>
                <w:lang w:val="hy-AM"/>
              </w:rPr>
              <w:softHyphen/>
              <w:t>կառուին</w:t>
            </w:r>
            <w:r w:rsidRPr="0053423A">
              <w:rPr>
                <w:lang w:val="af-ZA"/>
              </w:rPr>
              <w:t xml:space="preserve"> </w:t>
            </w:r>
            <w:r w:rsidRPr="0053423A">
              <w:rPr>
                <w:lang w:val="hy-AM"/>
              </w:rPr>
              <w:t>տրամադրվող</w:t>
            </w:r>
            <w:r w:rsidRPr="0053423A">
              <w:rPr>
                <w:lang w:val="af-ZA"/>
              </w:rPr>
              <w:t xml:space="preserve"> </w:t>
            </w:r>
            <w:r w:rsidRPr="0053423A">
              <w:rPr>
                <w:lang w:val="hy-AM"/>
              </w:rPr>
              <w:t>վարկի</w:t>
            </w:r>
            <w:r w:rsidRPr="0053423A">
              <w:rPr>
                <w:lang w:val="af-ZA"/>
              </w:rPr>
              <w:t xml:space="preserve"> </w:t>
            </w:r>
            <w:r w:rsidRPr="0053423A">
              <w:rPr>
                <w:lang w:val="hy-AM"/>
              </w:rPr>
              <w:t>ընդհանուր</w:t>
            </w:r>
            <w:r w:rsidRPr="0053423A">
              <w:rPr>
                <w:lang w:val="af-ZA"/>
              </w:rPr>
              <w:t xml:space="preserve"> </w:t>
            </w:r>
            <w:r w:rsidRPr="0053423A">
              <w:rPr>
                <w:lang w:val="hy-AM"/>
              </w:rPr>
              <w:t>գումարը</w:t>
            </w:r>
            <w:r w:rsidRPr="0053423A">
              <w:rPr>
                <w:lang w:val="af-ZA"/>
              </w:rPr>
              <w:t xml:space="preserve"> </w:t>
            </w:r>
            <w:r w:rsidRPr="0053423A">
              <w:rPr>
                <w:lang w:val="hy-AM"/>
              </w:rPr>
              <w:t>չպետք</w:t>
            </w:r>
            <w:r w:rsidRPr="0053423A">
              <w:rPr>
                <w:lang w:val="af-ZA"/>
              </w:rPr>
              <w:t xml:space="preserve"> </w:t>
            </w:r>
            <w:r w:rsidRPr="0053423A">
              <w:rPr>
                <w:lang w:val="hy-AM"/>
              </w:rPr>
              <w:t>է</w:t>
            </w:r>
            <w:r w:rsidRPr="0053423A">
              <w:rPr>
                <w:lang w:val="af-ZA"/>
              </w:rPr>
              <w:t xml:space="preserve"> </w:t>
            </w:r>
            <w:r w:rsidRPr="0053423A">
              <w:rPr>
                <w:lang w:val="hy-AM"/>
              </w:rPr>
              <w:t>գերազանցի</w:t>
            </w:r>
            <w:r w:rsidRPr="0053423A">
              <w:rPr>
                <w:lang w:val="af-ZA"/>
              </w:rPr>
              <w:t xml:space="preserve"> 100.0 </w:t>
            </w:r>
            <w:r w:rsidRPr="0053423A">
              <w:rPr>
                <w:lang w:val="hy-AM"/>
              </w:rPr>
              <w:t>մլն</w:t>
            </w:r>
            <w:r w:rsidRPr="0053423A">
              <w:rPr>
                <w:lang w:val="af-ZA"/>
              </w:rPr>
              <w:t xml:space="preserve"> </w:t>
            </w:r>
            <w:r w:rsidRPr="0053423A">
              <w:rPr>
                <w:lang w:val="hy-AM"/>
              </w:rPr>
              <w:t>դրամը:</w:t>
            </w:r>
          </w:p>
          <w:p w:rsidR="00530B14" w:rsidRPr="0053423A" w:rsidRDefault="00530B14" w:rsidP="00A67858">
            <w:pPr>
              <w:pStyle w:val="BodyTextIndent"/>
              <w:tabs>
                <w:tab w:val="left" w:pos="709"/>
              </w:tabs>
              <w:spacing w:after="0" w:line="276" w:lineRule="auto"/>
              <w:ind w:left="0" w:right="239" w:firstLine="540"/>
              <w:jc w:val="both"/>
              <w:rPr>
                <w:rFonts w:ascii="GHEA Grapalat" w:hAnsi="GHEA Grapalat" w:cs="Sylfaen"/>
                <w:bCs/>
                <w:sz w:val="20"/>
                <w:szCs w:val="20"/>
                <w:lang w:val="hy-AM"/>
              </w:rPr>
            </w:pPr>
            <w:r w:rsidRPr="0053423A">
              <w:rPr>
                <w:rFonts w:ascii="GHEA Grapalat" w:hAnsi="GHEA Grapalat"/>
                <w:sz w:val="20"/>
                <w:szCs w:val="20"/>
                <w:lang w:val="hy-AM"/>
              </w:rPr>
              <w:tab/>
              <w:t>Հիմք</w:t>
            </w:r>
            <w:r w:rsidRPr="0053423A">
              <w:rPr>
                <w:rFonts w:ascii="GHEA Grapalat" w:hAnsi="GHEA Grapalat"/>
                <w:sz w:val="20"/>
                <w:szCs w:val="20"/>
                <w:lang w:val="af-ZA"/>
              </w:rPr>
              <w:t xml:space="preserve"> </w:t>
            </w:r>
            <w:r w:rsidRPr="0053423A">
              <w:rPr>
                <w:rFonts w:ascii="GHEA Grapalat" w:hAnsi="GHEA Grapalat"/>
                <w:sz w:val="20"/>
                <w:szCs w:val="20"/>
                <w:lang w:val="hy-AM"/>
              </w:rPr>
              <w:t>ընդունելով</w:t>
            </w:r>
            <w:r w:rsidRPr="0053423A">
              <w:rPr>
                <w:rFonts w:ascii="GHEA Grapalat" w:hAnsi="GHEA Grapalat"/>
                <w:sz w:val="20"/>
                <w:szCs w:val="20"/>
                <w:lang w:val="af-ZA"/>
              </w:rPr>
              <w:t xml:space="preserve"> </w:t>
            </w:r>
            <w:r w:rsidRPr="0053423A">
              <w:rPr>
                <w:rFonts w:ascii="GHEA Grapalat" w:hAnsi="GHEA Grapalat"/>
                <w:sz w:val="20"/>
                <w:szCs w:val="20"/>
                <w:lang w:val="hy-AM"/>
              </w:rPr>
              <w:t>վերոգրյալը</w:t>
            </w:r>
            <w:r w:rsidRPr="0053423A">
              <w:rPr>
                <w:rFonts w:ascii="GHEA Grapalat" w:hAnsi="GHEA Grapalat"/>
                <w:sz w:val="20"/>
                <w:szCs w:val="20"/>
                <w:lang w:val="af-ZA"/>
              </w:rPr>
              <w:t xml:space="preserve"> </w:t>
            </w:r>
            <w:r w:rsidRPr="0053423A">
              <w:rPr>
                <w:rFonts w:ascii="GHEA Grapalat" w:hAnsi="GHEA Grapalat"/>
                <w:sz w:val="20"/>
                <w:szCs w:val="20"/>
                <w:lang w:val="hy-AM"/>
              </w:rPr>
              <w:t>և</w:t>
            </w:r>
            <w:r w:rsidRPr="0053423A">
              <w:rPr>
                <w:rFonts w:ascii="GHEA Grapalat" w:hAnsi="GHEA Grapalat"/>
                <w:sz w:val="20"/>
                <w:szCs w:val="20"/>
                <w:lang w:val="af-ZA"/>
              </w:rPr>
              <w:t xml:space="preserve"> </w:t>
            </w:r>
            <w:r w:rsidRPr="0053423A">
              <w:rPr>
                <w:rFonts w:ascii="GHEA Grapalat" w:hAnsi="GHEA Grapalat"/>
                <w:bCs/>
                <w:sz w:val="20"/>
                <w:szCs w:val="20"/>
                <w:lang w:val="af-ZA"/>
              </w:rPr>
              <w:t>«</w:t>
            </w:r>
            <w:r w:rsidRPr="0053423A">
              <w:rPr>
                <w:rFonts w:ascii="GHEA Grapalat" w:hAnsi="GHEA Grapalat" w:cs="Sylfaen"/>
                <w:bCs/>
                <w:sz w:val="20"/>
                <w:szCs w:val="20"/>
                <w:lang w:val="hy-AM"/>
              </w:rPr>
              <w:t>Նորմատիվ</w:t>
            </w:r>
            <w:r w:rsidRPr="0053423A">
              <w:rPr>
                <w:rFonts w:ascii="GHEA Grapalat" w:hAnsi="GHEA Grapalat"/>
                <w:bCs/>
                <w:sz w:val="20"/>
                <w:szCs w:val="20"/>
                <w:lang w:val="af-ZA"/>
              </w:rPr>
              <w:t xml:space="preserve"> </w:t>
            </w:r>
            <w:r w:rsidRPr="0053423A">
              <w:rPr>
                <w:rFonts w:ascii="GHEA Grapalat" w:hAnsi="GHEA Grapalat" w:cs="Sylfaen"/>
                <w:bCs/>
                <w:sz w:val="20"/>
                <w:szCs w:val="20"/>
                <w:lang w:val="hy-AM"/>
              </w:rPr>
              <w:t>իրավական</w:t>
            </w:r>
            <w:r w:rsidRPr="0053423A">
              <w:rPr>
                <w:rFonts w:ascii="GHEA Grapalat" w:hAnsi="GHEA Grapalat"/>
                <w:bCs/>
                <w:sz w:val="20"/>
                <w:szCs w:val="20"/>
                <w:lang w:val="af-ZA"/>
              </w:rPr>
              <w:t xml:space="preserve"> </w:t>
            </w:r>
            <w:r w:rsidRPr="0053423A">
              <w:rPr>
                <w:rFonts w:ascii="GHEA Grapalat" w:hAnsi="GHEA Grapalat" w:cs="Sylfaen"/>
                <w:bCs/>
                <w:sz w:val="20"/>
                <w:szCs w:val="20"/>
                <w:lang w:val="hy-AM"/>
              </w:rPr>
              <w:t>ակտերի</w:t>
            </w:r>
            <w:r w:rsidRPr="0053423A">
              <w:rPr>
                <w:rFonts w:ascii="GHEA Grapalat" w:hAnsi="GHEA Grapalat"/>
                <w:bCs/>
                <w:sz w:val="20"/>
                <w:szCs w:val="20"/>
                <w:lang w:val="af-ZA"/>
              </w:rPr>
              <w:t xml:space="preserve"> </w:t>
            </w:r>
            <w:r w:rsidRPr="0053423A">
              <w:rPr>
                <w:rFonts w:ascii="GHEA Grapalat" w:hAnsi="GHEA Grapalat" w:cs="Sylfaen"/>
                <w:bCs/>
                <w:sz w:val="20"/>
                <w:szCs w:val="20"/>
                <w:lang w:val="hy-AM"/>
              </w:rPr>
              <w:t>մասին</w:t>
            </w:r>
            <w:r w:rsidRPr="0053423A">
              <w:rPr>
                <w:rFonts w:ascii="GHEA Grapalat" w:hAnsi="GHEA Grapalat"/>
                <w:bCs/>
                <w:sz w:val="20"/>
                <w:szCs w:val="20"/>
                <w:lang w:val="af-ZA"/>
              </w:rPr>
              <w:t xml:space="preserve">» </w:t>
            </w:r>
            <w:r w:rsidRPr="0053423A">
              <w:rPr>
                <w:rFonts w:ascii="GHEA Grapalat" w:hAnsi="GHEA Grapalat"/>
                <w:bCs/>
                <w:sz w:val="20"/>
                <w:szCs w:val="20"/>
                <w:lang w:val="hy-AM"/>
              </w:rPr>
              <w:t>ՀՀ</w:t>
            </w:r>
            <w:r w:rsidRPr="0053423A">
              <w:rPr>
                <w:rFonts w:ascii="GHEA Grapalat" w:hAnsi="GHEA Grapalat"/>
                <w:bCs/>
                <w:sz w:val="20"/>
                <w:szCs w:val="20"/>
                <w:lang w:val="af-ZA"/>
              </w:rPr>
              <w:t xml:space="preserve"> </w:t>
            </w:r>
            <w:r w:rsidRPr="0053423A">
              <w:rPr>
                <w:rFonts w:ascii="GHEA Grapalat" w:hAnsi="GHEA Grapalat"/>
                <w:bCs/>
                <w:sz w:val="20"/>
                <w:szCs w:val="20"/>
                <w:lang w:val="hy-AM"/>
              </w:rPr>
              <w:t>օրենքի</w:t>
            </w:r>
            <w:r w:rsidRPr="0053423A">
              <w:rPr>
                <w:rFonts w:ascii="GHEA Grapalat" w:hAnsi="GHEA Grapalat"/>
                <w:bCs/>
                <w:sz w:val="20"/>
                <w:szCs w:val="20"/>
                <w:lang w:val="af-ZA"/>
              </w:rPr>
              <w:t xml:space="preserve"> </w:t>
            </w:r>
            <w:r w:rsidRPr="0053423A">
              <w:rPr>
                <w:rFonts w:ascii="GHEA Grapalat" w:hAnsi="GHEA Grapalat"/>
                <w:bCs/>
                <w:sz w:val="20"/>
                <w:szCs w:val="20"/>
                <w:lang w:val="hy-AM"/>
              </w:rPr>
              <w:t>ուժի</w:t>
            </w:r>
            <w:r w:rsidRPr="0053423A">
              <w:rPr>
                <w:rFonts w:ascii="GHEA Grapalat" w:hAnsi="GHEA Grapalat"/>
                <w:bCs/>
                <w:sz w:val="20"/>
                <w:szCs w:val="20"/>
                <w:lang w:val="af-ZA"/>
              </w:rPr>
              <w:t xml:space="preserve"> </w:t>
            </w:r>
            <w:r w:rsidRPr="0053423A">
              <w:rPr>
                <w:rFonts w:ascii="GHEA Grapalat" w:hAnsi="GHEA Grapalat"/>
                <w:bCs/>
                <w:sz w:val="20"/>
                <w:szCs w:val="20"/>
                <w:lang w:val="hy-AM"/>
              </w:rPr>
              <w:t>մեջ</w:t>
            </w:r>
            <w:r w:rsidRPr="0053423A">
              <w:rPr>
                <w:rFonts w:ascii="GHEA Grapalat" w:hAnsi="GHEA Grapalat"/>
                <w:bCs/>
                <w:sz w:val="20"/>
                <w:szCs w:val="20"/>
                <w:lang w:val="af-ZA"/>
              </w:rPr>
              <w:t xml:space="preserve"> </w:t>
            </w:r>
            <w:r w:rsidRPr="0053423A">
              <w:rPr>
                <w:rFonts w:ascii="GHEA Grapalat" w:hAnsi="GHEA Grapalat"/>
                <w:bCs/>
                <w:sz w:val="20"/>
                <w:szCs w:val="20"/>
                <w:lang w:val="hy-AM"/>
              </w:rPr>
              <w:t>մտնելու</w:t>
            </w:r>
            <w:r w:rsidRPr="0053423A">
              <w:rPr>
                <w:rFonts w:ascii="GHEA Grapalat" w:hAnsi="GHEA Grapalat"/>
                <w:bCs/>
                <w:sz w:val="20"/>
                <w:szCs w:val="20"/>
                <w:lang w:val="af-ZA"/>
              </w:rPr>
              <w:t xml:space="preserve"> </w:t>
            </w:r>
            <w:r w:rsidRPr="0053423A">
              <w:rPr>
                <w:rFonts w:ascii="GHEA Grapalat" w:hAnsi="GHEA Grapalat"/>
                <w:bCs/>
                <w:sz w:val="20"/>
                <w:szCs w:val="20"/>
                <w:lang w:val="hy-AM"/>
              </w:rPr>
              <w:t>հանգամանքը</w:t>
            </w:r>
            <w:r w:rsidRPr="0053423A">
              <w:rPr>
                <w:rStyle w:val="Strong"/>
                <w:rFonts w:ascii="GHEA Grapalat" w:hAnsi="GHEA Grapalat"/>
                <w:sz w:val="20"/>
                <w:szCs w:val="20"/>
                <w:lang w:val="af-ZA"/>
              </w:rPr>
              <w:t xml:space="preserve"> </w:t>
            </w:r>
            <w:r w:rsidRPr="0053423A">
              <w:rPr>
                <w:rFonts w:ascii="GHEA Grapalat" w:hAnsi="GHEA Grapalat"/>
                <w:bCs/>
                <w:sz w:val="20"/>
                <w:szCs w:val="20"/>
                <w:lang w:val="hy-AM"/>
              </w:rPr>
              <w:t>անհրաժեշտություն</w:t>
            </w:r>
            <w:r w:rsidRPr="0053423A">
              <w:rPr>
                <w:rFonts w:ascii="GHEA Grapalat" w:hAnsi="GHEA Grapalat"/>
                <w:bCs/>
                <w:sz w:val="20"/>
                <w:szCs w:val="20"/>
                <w:lang w:val="af-ZA"/>
              </w:rPr>
              <w:t xml:space="preserve"> </w:t>
            </w:r>
            <w:r w:rsidRPr="0053423A">
              <w:rPr>
                <w:rFonts w:ascii="GHEA Grapalat" w:hAnsi="GHEA Grapalat"/>
                <w:bCs/>
                <w:sz w:val="20"/>
                <w:szCs w:val="20"/>
                <w:lang w:val="hy-AM"/>
              </w:rPr>
              <w:t>է</w:t>
            </w:r>
            <w:r w:rsidRPr="0053423A">
              <w:rPr>
                <w:rFonts w:ascii="GHEA Grapalat" w:hAnsi="GHEA Grapalat"/>
                <w:bCs/>
                <w:sz w:val="20"/>
                <w:szCs w:val="20"/>
                <w:lang w:val="af-ZA"/>
              </w:rPr>
              <w:t xml:space="preserve"> </w:t>
            </w:r>
            <w:r w:rsidRPr="0053423A">
              <w:rPr>
                <w:rFonts w:ascii="GHEA Grapalat" w:hAnsi="GHEA Grapalat"/>
                <w:bCs/>
                <w:sz w:val="20"/>
                <w:szCs w:val="20"/>
                <w:lang w:val="hy-AM"/>
              </w:rPr>
              <w:t>առաջացել</w:t>
            </w:r>
            <w:r w:rsidRPr="0053423A">
              <w:rPr>
                <w:rFonts w:ascii="GHEA Grapalat" w:hAnsi="GHEA Grapalat"/>
                <w:bCs/>
                <w:sz w:val="20"/>
                <w:szCs w:val="20"/>
                <w:lang w:val="af-ZA"/>
              </w:rPr>
              <w:t xml:space="preserve"> </w:t>
            </w:r>
            <w:r w:rsidRPr="0053423A">
              <w:rPr>
                <w:rFonts w:ascii="GHEA Grapalat" w:hAnsi="GHEA Grapalat"/>
                <w:bCs/>
                <w:sz w:val="20"/>
                <w:szCs w:val="20"/>
                <w:lang w:val="hy-AM"/>
              </w:rPr>
              <w:t>ընդունել</w:t>
            </w:r>
            <w:r w:rsidRPr="0053423A">
              <w:rPr>
                <w:rFonts w:ascii="GHEA Grapalat" w:hAnsi="GHEA Grapalat" w:cs="Sylfaen"/>
                <w:sz w:val="20"/>
                <w:szCs w:val="20"/>
                <w:lang w:val="af-ZA"/>
              </w:rPr>
              <w:t xml:space="preserve"> </w:t>
            </w:r>
            <w:r w:rsidRPr="0053423A">
              <w:rPr>
                <w:rStyle w:val="Strong"/>
                <w:rFonts w:ascii="GHEA Grapalat" w:hAnsi="GHEA Grapalat"/>
                <w:sz w:val="20"/>
                <w:szCs w:val="20"/>
                <w:lang w:val="af-ZA"/>
              </w:rPr>
              <w:t></w:t>
            </w:r>
            <w:r w:rsidRPr="0053423A">
              <w:rPr>
                <w:rFonts w:ascii="GHEA Grapalat" w:hAnsi="GHEA Grapalat" w:cs="Sylfaen"/>
                <w:sz w:val="20"/>
                <w:szCs w:val="20"/>
                <w:lang w:val="hy-AM"/>
              </w:rPr>
              <w:t>Հայաստանի</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Հանրապետության</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գյուղատնտեսությունում</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կարկտապաշտպան</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ցան</w:t>
            </w:r>
            <w:r w:rsidRPr="0053423A">
              <w:rPr>
                <w:rFonts w:ascii="GHEA Grapalat" w:hAnsi="GHEA Grapalat" w:cs="Sylfaen"/>
                <w:sz w:val="20"/>
                <w:szCs w:val="20"/>
                <w:lang w:val="hy-AM"/>
              </w:rPr>
              <w:softHyphen/>
              <w:t>ցերի</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ներդրման</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համար</w:t>
            </w:r>
            <w:r w:rsidRPr="0053423A">
              <w:rPr>
                <w:rFonts w:ascii="GHEA Grapalat" w:hAnsi="GHEA Grapalat"/>
                <w:sz w:val="20"/>
                <w:szCs w:val="20"/>
                <w:lang w:val="af-ZA"/>
              </w:rPr>
              <w:t xml:space="preserve"> </w:t>
            </w:r>
            <w:r w:rsidRPr="0053423A">
              <w:rPr>
                <w:rFonts w:ascii="GHEA Grapalat" w:hAnsi="GHEA Grapalat"/>
                <w:sz w:val="20"/>
                <w:szCs w:val="20"/>
                <w:lang w:val="it-IT"/>
              </w:rPr>
              <w:t>տրամադրվող վարկերի տոկոսավճարների սուբսի</w:t>
            </w:r>
            <w:r w:rsidRPr="0053423A">
              <w:rPr>
                <w:rFonts w:ascii="GHEA Grapalat" w:hAnsi="GHEA Grapalat"/>
                <w:sz w:val="20"/>
                <w:szCs w:val="20"/>
                <w:lang w:val="hy-AM"/>
              </w:rPr>
              <w:softHyphen/>
            </w:r>
            <w:r w:rsidRPr="0053423A">
              <w:rPr>
                <w:rFonts w:ascii="GHEA Grapalat" w:hAnsi="GHEA Grapalat"/>
                <w:sz w:val="20"/>
                <w:szCs w:val="20"/>
                <w:lang w:val="it-IT"/>
              </w:rPr>
              <w:t>դա</w:t>
            </w:r>
            <w:r w:rsidRPr="0053423A">
              <w:rPr>
                <w:rFonts w:ascii="GHEA Grapalat" w:hAnsi="GHEA Grapalat"/>
                <w:sz w:val="20"/>
                <w:szCs w:val="20"/>
                <w:lang w:val="it-IT"/>
              </w:rPr>
              <w:softHyphen/>
              <w:t>վորում</w:t>
            </w:r>
            <w:r w:rsidRPr="0053423A">
              <w:rPr>
                <w:rFonts w:ascii="GHEA Grapalat" w:hAnsi="GHEA Grapalat"/>
                <w:sz w:val="20"/>
                <w:szCs w:val="20"/>
                <w:lang w:val="af-ZA"/>
              </w:rPr>
              <w:t xml:space="preserve"> </w:t>
            </w:r>
            <w:r w:rsidRPr="0053423A">
              <w:rPr>
                <w:rFonts w:ascii="GHEA Grapalat" w:hAnsi="GHEA Grapalat" w:cs="Sylfaen"/>
                <w:sz w:val="20"/>
                <w:szCs w:val="20"/>
                <w:lang w:val="hy-AM"/>
              </w:rPr>
              <w:t>ծրագիրը</w:t>
            </w:r>
            <w:r w:rsidRPr="0053423A">
              <w:rPr>
                <w:rFonts w:ascii="GHEA Grapalat" w:hAnsi="GHEA Grapalat"/>
                <w:sz w:val="20"/>
                <w:szCs w:val="20"/>
                <w:lang w:val="it-IT"/>
              </w:rPr>
              <w:t xml:space="preserve"> հաստատելու մասին</w:t>
            </w:r>
            <w:r w:rsidRPr="0053423A">
              <w:rPr>
                <w:rFonts w:ascii="GHEA Grapalat" w:hAnsi="GHEA Grapalat" w:cs="Sylfaen"/>
                <w:bCs/>
                <w:sz w:val="20"/>
                <w:szCs w:val="20"/>
                <w:lang w:val="af-ZA"/>
              </w:rPr>
              <w:t></w:t>
            </w:r>
            <w:r w:rsidRPr="0053423A">
              <w:rPr>
                <w:rFonts w:ascii="GHEA Grapalat" w:hAnsi="GHEA Grapalat"/>
                <w:sz w:val="20"/>
                <w:szCs w:val="20"/>
                <w:lang w:val="af-ZA"/>
              </w:rPr>
              <w:t xml:space="preserve"> </w:t>
            </w:r>
            <w:r w:rsidRPr="0053423A">
              <w:rPr>
                <w:rFonts w:ascii="GHEA Grapalat" w:hAnsi="GHEA Grapalat" w:cs="Sylfaen"/>
                <w:bCs/>
                <w:sz w:val="20"/>
                <w:szCs w:val="20"/>
                <w:lang w:val="af-ZA"/>
              </w:rPr>
              <w:t>Հայաստանի Հանրապետության կառավա</w:t>
            </w:r>
            <w:r w:rsidRPr="0053423A">
              <w:rPr>
                <w:rFonts w:ascii="GHEA Grapalat" w:hAnsi="GHEA Grapalat" w:cs="Sylfaen"/>
                <w:bCs/>
                <w:sz w:val="20"/>
                <w:szCs w:val="20"/>
                <w:lang w:val="af-ZA"/>
              </w:rPr>
              <w:softHyphen/>
              <w:t xml:space="preserve">րության որոշման նախագծի (այսուհետ՝ </w:t>
            </w:r>
            <w:r w:rsidRPr="0053423A">
              <w:rPr>
                <w:rFonts w:ascii="GHEA Grapalat" w:hAnsi="GHEA Grapalat" w:cs="Sylfaen"/>
                <w:bCs/>
                <w:sz w:val="20"/>
                <w:szCs w:val="20"/>
                <w:lang w:val="hy-AM"/>
              </w:rPr>
              <w:t>Ն</w:t>
            </w:r>
            <w:r w:rsidRPr="0053423A">
              <w:rPr>
                <w:rFonts w:ascii="GHEA Grapalat" w:hAnsi="GHEA Grapalat" w:cs="Sylfaen"/>
                <w:bCs/>
                <w:sz w:val="20"/>
                <w:szCs w:val="20"/>
                <w:lang w:val="af-ZA"/>
              </w:rPr>
              <w:t>ախագիծ):</w:t>
            </w:r>
          </w:p>
          <w:p w:rsidR="00530B14" w:rsidRPr="0053423A" w:rsidRDefault="00530B14" w:rsidP="00A67858">
            <w:pPr>
              <w:spacing w:line="276" w:lineRule="auto"/>
              <w:ind w:right="239" w:firstLine="540"/>
              <w:jc w:val="both"/>
              <w:rPr>
                <w:b/>
                <w:lang w:val="hy-AM"/>
              </w:rPr>
            </w:pPr>
            <w:r w:rsidRPr="0053423A">
              <w:rPr>
                <w:b/>
                <w:lang w:val="hy-AM"/>
              </w:rPr>
              <w:t>2. Միջոցառման իրականացումից ակնկալվող արդյունքը</w:t>
            </w:r>
          </w:p>
          <w:p w:rsidR="00530B14" w:rsidRPr="0053423A" w:rsidRDefault="00530B14" w:rsidP="00A67858">
            <w:pPr>
              <w:spacing w:line="276" w:lineRule="auto"/>
              <w:ind w:left="-180" w:right="239" w:firstLine="720"/>
              <w:jc w:val="both"/>
              <w:rPr>
                <w:rFonts w:cs="Sylfaen"/>
                <w:lang w:val="hy-AM"/>
              </w:rPr>
            </w:pPr>
            <w:r w:rsidRPr="0053423A">
              <w:rPr>
                <w:rFonts w:cs="Sylfaen"/>
                <w:lang w:val="hy-AM"/>
              </w:rPr>
              <w:t>Ծրագրի իրականացման արդյունքում՝</w:t>
            </w:r>
          </w:p>
          <w:p w:rsidR="00530B14" w:rsidRPr="0053423A" w:rsidRDefault="00530B14" w:rsidP="00A67858">
            <w:pPr>
              <w:pStyle w:val="ListParagraph"/>
              <w:numPr>
                <w:ilvl w:val="0"/>
                <w:numId w:val="93"/>
              </w:numPr>
              <w:shd w:val="clear" w:color="auto" w:fill="FFFFFF"/>
              <w:tabs>
                <w:tab w:val="left" w:pos="810"/>
              </w:tabs>
              <w:spacing w:line="276" w:lineRule="auto"/>
              <w:ind w:left="0" w:right="59" w:firstLine="450"/>
              <w:jc w:val="both"/>
              <w:rPr>
                <w:rFonts w:cs="Sylfaen"/>
                <w:lang w:val="hy-AM"/>
              </w:rPr>
            </w:pPr>
            <w:r w:rsidRPr="0053423A">
              <w:rPr>
                <w:rFonts w:cs="Sylfaen"/>
                <w:lang w:val="hy-AM"/>
              </w:rPr>
              <w:t xml:space="preserve">նախադրյալներ կստեղծվեն մատչելի մեխանիզմների կիրառմամբ </w:t>
            </w:r>
            <w:r w:rsidRPr="0053423A">
              <w:rPr>
                <w:rFonts w:cs="Sylfaen"/>
                <w:lang w:val="af-ZA"/>
              </w:rPr>
              <w:t xml:space="preserve">2019 </w:t>
            </w:r>
            <w:r w:rsidRPr="0053423A">
              <w:rPr>
                <w:rFonts w:cs="Sylfaen"/>
                <w:lang w:val="hy-AM"/>
              </w:rPr>
              <w:t>թվա</w:t>
            </w:r>
            <w:r w:rsidRPr="0053423A">
              <w:rPr>
                <w:rFonts w:cs="Sylfaen"/>
                <w:lang w:val="hy-AM"/>
              </w:rPr>
              <w:softHyphen/>
              <w:t>կանին</w:t>
            </w:r>
            <w:r w:rsidRPr="0053423A">
              <w:rPr>
                <w:rFonts w:cs="Sylfaen"/>
                <w:lang w:val="af-ZA"/>
              </w:rPr>
              <w:t xml:space="preserve"> </w:t>
            </w:r>
            <w:r w:rsidRPr="0053423A">
              <w:rPr>
                <w:rFonts w:cs="Sylfaen"/>
                <w:lang w:val="hy-AM"/>
              </w:rPr>
              <w:t xml:space="preserve">շուրջ </w:t>
            </w:r>
            <w:r w:rsidRPr="0053423A">
              <w:rPr>
                <w:rFonts w:cs="Sylfaen"/>
                <w:lang w:val="af-ZA"/>
              </w:rPr>
              <w:t>395</w:t>
            </w:r>
            <w:r w:rsidRPr="0053423A">
              <w:rPr>
                <w:rFonts w:cs="Sylfaen"/>
                <w:lang w:val="hy-AM"/>
              </w:rPr>
              <w:t xml:space="preserve"> հա խաղողի և պտղատու այգիների կարկտապաշտպան ցանցերի ներդրման համար,</w:t>
            </w:r>
          </w:p>
          <w:p w:rsidR="00530B14" w:rsidRPr="0053423A" w:rsidRDefault="00530B14" w:rsidP="00A67858">
            <w:pPr>
              <w:pStyle w:val="ListParagraph"/>
              <w:numPr>
                <w:ilvl w:val="0"/>
                <w:numId w:val="93"/>
              </w:numPr>
              <w:shd w:val="clear" w:color="auto" w:fill="FFFFFF"/>
              <w:tabs>
                <w:tab w:val="left" w:pos="810"/>
              </w:tabs>
              <w:spacing w:line="276" w:lineRule="auto"/>
              <w:ind w:left="0" w:right="59" w:firstLine="450"/>
              <w:jc w:val="both"/>
              <w:rPr>
                <w:rFonts w:cs="Sylfaen"/>
                <w:lang w:val="hy-AM"/>
              </w:rPr>
            </w:pPr>
            <w:r w:rsidRPr="0053423A">
              <w:rPr>
                <w:rFonts w:cs="Sylfaen"/>
                <w:lang w:val="hy-AM"/>
              </w:rPr>
              <w:t>կսուբսիդավորվի 224 հա պտղատու և 171 հա խաղողի այգիներում կարկտա</w:t>
            </w:r>
            <w:r w:rsidRPr="0053423A">
              <w:rPr>
                <w:rFonts w:cs="Sylfaen"/>
                <w:lang w:val="hy-AM"/>
              </w:rPr>
              <w:softHyphen/>
              <w:t>պաշտպան ցանցերի տեղակայման նպատակով տրամադրված վարկերի տոկոսա</w:t>
            </w:r>
            <w:r w:rsidRPr="0053423A">
              <w:rPr>
                <w:rFonts w:cs="Sylfaen"/>
                <w:lang w:val="hy-AM"/>
              </w:rPr>
              <w:softHyphen/>
              <w:t>դրույքը,</w:t>
            </w:r>
          </w:p>
          <w:p w:rsidR="00530B14" w:rsidRPr="0053423A" w:rsidRDefault="00530B14" w:rsidP="00A67858">
            <w:pPr>
              <w:pStyle w:val="ListParagraph"/>
              <w:numPr>
                <w:ilvl w:val="0"/>
                <w:numId w:val="93"/>
              </w:numPr>
              <w:shd w:val="clear" w:color="auto" w:fill="FFFFFF"/>
              <w:tabs>
                <w:tab w:val="left" w:pos="810"/>
              </w:tabs>
              <w:spacing w:line="276" w:lineRule="auto"/>
              <w:ind w:left="0" w:right="59" w:firstLine="450"/>
              <w:jc w:val="both"/>
              <w:rPr>
                <w:rFonts w:cs="Sylfaen"/>
                <w:lang w:val="hy-AM"/>
              </w:rPr>
            </w:pPr>
            <w:r w:rsidRPr="0053423A">
              <w:rPr>
                <w:rFonts w:cs="Sylfaen"/>
                <w:lang w:val="hy-AM"/>
              </w:rPr>
              <w:t>կարկտապաշտպան ցանցեր կիրառած տնտեսավարողների մոտ գրեթե կբա</w:t>
            </w:r>
            <w:r w:rsidRPr="0053423A">
              <w:rPr>
                <w:rFonts w:cs="Sylfaen"/>
                <w:lang w:val="hy-AM"/>
              </w:rPr>
              <w:softHyphen/>
              <w:t>ցառ</w:t>
            </w:r>
            <w:r w:rsidRPr="0053423A">
              <w:rPr>
                <w:rFonts w:cs="Sylfaen"/>
                <w:lang w:val="hy-AM"/>
              </w:rPr>
              <w:softHyphen/>
              <w:t>վի կարկուտի ռիսկը, կբարելավվի բերքի որակը, կավելանա տնտե</w:t>
            </w:r>
            <w:r w:rsidRPr="0053423A">
              <w:rPr>
                <w:rFonts w:cs="Sylfaen"/>
                <w:lang w:val="hy-AM"/>
              </w:rPr>
              <w:softHyphen/>
              <w:t>սավարողների եկամուտները,</w:t>
            </w:r>
          </w:p>
          <w:p w:rsidR="00530B14" w:rsidRPr="0053423A" w:rsidRDefault="00530B14" w:rsidP="00A67858">
            <w:pPr>
              <w:pStyle w:val="ListParagraph"/>
              <w:numPr>
                <w:ilvl w:val="0"/>
                <w:numId w:val="93"/>
              </w:numPr>
              <w:shd w:val="clear" w:color="auto" w:fill="FFFFFF"/>
              <w:tabs>
                <w:tab w:val="left" w:pos="810"/>
              </w:tabs>
              <w:spacing w:line="276" w:lineRule="auto"/>
              <w:ind w:left="0" w:right="59" w:firstLine="450"/>
              <w:jc w:val="both"/>
              <w:rPr>
                <w:rFonts w:cs="Sylfaen"/>
                <w:lang w:val="hy-AM"/>
              </w:rPr>
            </w:pPr>
            <w:r w:rsidRPr="0053423A">
              <w:rPr>
                <w:rFonts w:cs="Sylfaen"/>
                <w:lang w:val="hy-AM"/>
              </w:rPr>
              <w:t>նախադրյալ կհանդիսանա այլ տնտեսություններում տվյալ տեխնոլոգիայի ներդրման համար։</w:t>
            </w:r>
          </w:p>
          <w:p w:rsidR="00530B14" w:rsidRPr="0053423A" w:rsidRDefault="00530B14" w:rsidP="00A67858">
            <w:pPr>
              <w:pStyle w:val="mechtex"/>
              <w:spacing w:line="276" w:lineRule="auto"/>
              <w:ind w:right="59"/>
              <w:jc w:val="both"/>
              <w:rPr>
                <w:rFonts w:ascii="GHEA Grapalat" w:hAnsi="GHEA Grapalat" w:cs="Sylfaen"/>
                <w:lang w:val="hy-AM"/>
              </w:rPr>
            </w:pPr>
          </w:p>
          <w:p w:rsidR="00530B14" w:rsidRPr="0053423A" w:rsidRDefault="00530B14" w:rsidP="00A67858">
            <w:pPr>
              <w:spacing w:line="276" w:lineRule="auto"/>
              <w:ind w:right="239"/>
              <w:jc w:val="center"/>
              <w:rPr>
                <w:rFonts w:cs="Sylfaen"/>
                <w:b/>
                <w:u w:val="single"/>
                <w:lang w:val="hy-AM"/>
              </w:rPr>
            </w:pPr>
            <w:r w:rsidRPr="0053423A">
              <w:rPr>
                <w:rFonts w:cs="Sylfaen"/>
                <w:b/>
                <w:u w:val="single"/>
                <w:lang w:val="hy-AM"/>
              </w:rPr>
              <w:t xml:space="preserve">2.4. </w:t>
            </w:r>
            <w:r w:rsidRPr="0053423A">
              <w:rPr>
                <w:rStyle w:val="Strong"/>
                <w:u w:val="single"/>
                <w:lang w:val="hy-AM"/>
              </w:rPr>
              <w:t>Հողերի ագրոքիմիական հետազոտության և բերրիության բարձրացման միջոցառումների</w:t>
            </w:r>
            <w:r w:rsidRPr="0053423A">
              <w:rPr>
                <w:rFonts w:cs="Sylfaen"/>
                <w:b/>
                <w:u w:val="single"/>
                <w:lang w:val="hy-AM"/>
              </w:rPr>
              <w:t xml:space="preserve"> ծրագրի իրականացում</w:t>
            </w:r>
          </w:p>
          <w:p w:rsidR="00530B14" w:rsidRPr="0053423A" w:rsidRDefault="00530B14" w:rsidP="00A67858">
            <w:pPr>
              <w:spacing w:line="276" w:lineRule="auto"/>
              <w:ind w:right="239"/>
              <w:jc w:val="center"/>
              <w:rPr>
                <w:rStyle w:val="Strong"/>
                <w:bCs w:val="0"/>
                <w:u w:val="single"/>
                <w:lang w:val="hy-AM"/>
              </w:rPr>
            </w:pPr>
          </w:p>
          <w:p w:rsidR="00530B14" w:rsidRPr="0053423A" w:rsidRDefault="00530B14" w:rsidP="00A67858">
            <w:pPr>
              <w:pStyle w:val="ListParagraph"/>
              <w:numPr>
                <w:ilvl w:val="0"/>
                <w:numId w:val="94"/>
              </w:numPr>
              <w:tabs>
                <w:tab w:val="left" w:pos="1080"/>
              </w:tabs>
              <w:spacing w:line="276" w:lineRule="auto"/>
              <w:rPr>
                <w:rFonts w:cs="Sylfaen"/>
                <w:b/>
                <w:lang w:val="hy-AM"/>
              </w:rPr>
            </w:pPr>
            <w:r w:rsidRPr="0053423A">
              <w:rPr>
                <w:b/>
                <w:lang w:val="hy-AM"/>
              </w:rPr>
              <w:t>Միջոցառման իրականացման անհրաժեշտությունը և նպատակը</w:t>
            </w:r>
            <w:r w:rsidRPr="0053423A">
              <w:rPr>
                <w:rFonts w:cs="Sylfaen"/>
                <w:b/>
                <w:lang w:val="af-ZA"/>
              </w:rPr>
              <w:t xml:space="preserve"> </w:t>
            </w:r>
          </w:p>
          <w:p w:rsidR="00530B14" w:rsidRPr="0053423A" w:rsidRDefault="00530B14" w:rsidP="00A67858">
            <w:pPr>
              <w:spacing w:line="276" w:lineRule="auto"/>
              <w:jc w:val="both"/>
              <w:rPr>
                <w:lang w:val="hy-AM"/>
              </w:rPr>
            </w:pPr>
            <w:r w:rsidRPr="0053423A">
              <w:rPr>
                <w:rFonts w:cs="Sylfaen"/>
                <w:b/>
                <w:lang w:val="hy-AM"/>
              </w:rPr>
              <w:t xml:space="preserve">       </w:t>
            </w:r>
            <w:r w:rsidRPr="0053423A">
              <w:rPr>
                <w:rFonts w:cs="Sylfaen"/>
                <w:b/>
                <w:lang w:val="hy-AM"/>
              </w:rPr>
              <w:tab/>
            </w:r>
            <w:r w:rsidRPr="0053423A">
              <w:rPr>
                <w:rStyle w:val="Strong"/>
                <w:lang w:val="hy-AM"/>
              </w:rPr>
              <w:t xml:space="preserve">Հողերի ագրոքիմիական հետազոտության և բերրիության բարձրացման միջոցառումների </w:t>
            </w:r>
            <w:r w:rsidRPr="0053423A">
              <w:rPr>
                <w:rFonts w:cs="Sylfaen"/>
                <w:lang w:val="hy-AM"/>
              </w:rPr>
              <w:t>ծրագրի</w:t>
            </w:r>
            <w:r w:rsidRPr="0053423A">
              <w:rPr>
                <w:rFonts w:cs="Sylfaen"/>
                <w:lang w:val="af-ZA"/>
              </w:rPr>
              <w:t xml:space="preserve"> (</w:t>
            </w:r>
            <w:r w:rsidRPr="0053423A">
              <w:rPr>
                <w:rFonts w:cs="Sylfaen"/>
                <w:lang w:val="hy-AM"/>
              </w:rPr>
              <w:t>այսուհետ՝ Ծրագիր</w:t>
            </w:r>
            <w:r w:rsidRPr="0053423A">
              <w:rPr>
                <w:rFonts w:cs="Sylfaen"/>
                <w:lang w:val="af-ZA"/>
              </w:rPr>
              <w:t xml:space="preserve">) </w:t>
            </w:r>
            <w:r w:rsidRPr="0053423A">
              <w:rPr>
                <w:rFonts w:cs="Sylfaen"/>
                <w:lang w:val="hy-AM"/>
              </w:rPr>
              <w:t>իրականացման</w:t>
            </w:r>
            <w:r w:rsidRPr="0053423A">
              <w:rPr>
                <w:rFonts w:cs="Sylfaen"/>
                <w:lang w:val="af-ZA"/>
              </w:rPr>
              <w:t xml:space="preserve"> </w:t>
            </w:r>
            <w:r w:rsidRPr="0053423A">
              <w:rPr>
                <w:lang w:val="hy-AM"/>
              </w:rPr>
              <w:t>ան</w:t>
            </w:r>
            <w:r w:rsidRPr="0053423A">
              <w:rPr>
                <w:lang w:val="hy-AM"/>
              </w:rPr>
              <w:softHyphen/>
              <w:t>հրա</w:t>
            </w:r>
            <w:r w:rsidRPr="0053423A">
              <w:rPr>
                <w:lang w:val="hy-AM"/>
              </w:rPr>
              <w:softHyphen/>
              <w:t>ժեշ</w:t>
            </w:r>
            <w:r w:rsidRPr="0053423A">
              <w:rPr>
                <w:lang w:val="hy-AM"/>
              </w:rPr>
              <w:softHyphen/>
              <w:t>տու</w:t>
            </w:r>
            <w:r w:rsidRPr="0053423A">
              <w:rPr>
                <w:lang w:val="hy-AM"/>
              </w:rPr>
              <w:softHyphen/>
              <w:t>թյունը բխում է ՀՀ ԱԺ 2019 թվականի փետրվարի 14-ի ԱԺՈ-002-Ն որոշ</w:t>
            </w:r>
            <w:r w:rsidRPr="0053423A">
              <w:rPr>
                <w:lang w:val="hy-AM"/>
              </w:rPr>
              <w:softHyphen/>
              <w:t>մամբ հավանության արժանացած ՀՀ կառավարության ծրագրից (5.10. Գյուղա</w:t>
            </w:r>
            <w:r w:rsidRPr="0053423A">
              <w:rPr>
                <w:lang w:val="hy-AM"/>
              </w:rPr>
              <w:softHyphen/>
              <w:t>տն</w:t>
            </w:r>
            <w:r w:rsidRPr="0053423A">
              <w:rPr>
                <w:lang w:val="hy-AM"/>
              </w:rPr>
              <w:softHyphen/>
              <w:t>տեսությունը բաժին), ՀՀ հողային օրենսգրքի ընդհանուր մասի 1-ին գլխի 2-րդ հոդվածի 5-րդ կետից:</w:t>
            </w:r>
          </w:p>
          <w:p w:rsidR="00530B14" w:rsidRPr="0053423A" w:rsidRDefault="00530B14" w:rsidP="00A67858">
            <w:pPr>
              <w:spacing w:line="276" w:lineRule="auto"/>
              <w:jc w:val="both"/>
              <w:rPr>
                <w:lang w:val="hy-AM"/>
              </w:rPr>
            </w:pPr>
            <w:r w:rsidRPr="0053423A">
              <w:rPr>
                <w:lang w:val="hy-AM"/>
              </w:rPr>
              <w:t xml:space="preserve">      </w:t>
            </w:r>
            <w:r w:rsidRPr="0053423A">
              <w:rPr>
                <w:lang w:val="hy-AM"/>
              </w:rPr>
              <w:tab/>
              <w:t>Հողերի սեփականաշնորհումից հետո դրանք մշակվել են առանց ագրոքի</w:t>
            </w:r>
            <w:r w:rsidRPr="0053423A">
              <w:rPr>
                <w:lang w:val="hy-AM"/>
              </w:rPr>
              <w:softHyphen/>
              <w:t>միա</w:t>
            </w:r>
            <w:r w:rsidRPr="0053423A">
              <w:rPr>
                <w:lang w:val="hy-AM"/>
              </w:rPr>
              <w:softHyphen/>
              <w:t>կան կանոնների պահպանման, միակողմանի պարարտացման, ցանքաշրջանառության բացակայության, որը հանգեցրել է հողի որակական հատկանիշների բերրիության հետընթացի (դեգրադացիա): Արդյունքում իջել է մշակաբույսերի բերքատվությունը, ստացված բերքի որակը, բույսերի դիմացկունությունը ցրտերի, երաշտի, հիվանդու</w:t>
            </w:r>
            <w:r w:rsidRPr="0053423A">
              <w:rPr>
                <w:lang w:val="hy-AM"/>
              </w:rPr>
              <w:softHyphen/>
              <w:t>թյունների և վնասատուների նկատմամբ: Դրա հետ կապված նվազել է եկամտաբե</w:t>
            </w:r>
            <w:r w:rsidRPr="0053423A">
              <w:rPr>
                <w:lang w:val="hy-AM"/>
              </w:rPr>
              <w:softHyphen/>
              <w:t>րությունը և հետաքրքրությունը գյուղատնտեսության ոլորտում, որը հանգեցրել է ցանքատարածությունների կրճատման:</w:t>
            </w:r>
          </w:p>
          <w:p w:rsidR="00530B14" w:rsidRPr="0053423A" w:rsidRDefault="00530B14" w:rsidP="00A67858">
            <w:pPr>
              <w:spacing w:line="276" w:lineRule="auto"/>
              <w:jc w:val="both"/>
              <w:rPr>
                <w:lang w:val="hy-AM"/>
              </w:rPr>
            </w:pPr>
            <w:r w:rsidRPr="0053423A">
              <w:rPr>
                <w:lang w:val="hy-AM"/>
              </w:rPr>
              <w:t xml:space="preserve">      </w:t>
            </w:r>
            <w:r w:rsidRPr="0053423A">
              <w:rPr>
                <w:lang w:val="hy-AM"/>
              </w:rPr>
              <w:tab/>
              <w:t>Այդ ամենի հետ կապված անհրաժեշտություն է առաջացել իրականացնել Հողերի ագրոքիմիական հետազոտության և բերրիության բարձրացման միջոցա</w:t>
            </w:r>
            <w:r w:rsidRPr="0053423A">
              <w:rPr>
                <w:lang w:val="hy-AM"/>
              </w:rPr>
              <w:softHyphen/>
              <w:t>ռումները:</w:t>
            </w:r>
          </w:p>
          <w:p w:rsidR="00530B14" w:rsidRPr="0053423A" w:rsidRDefault="00530B14" w:rsidP="00A67858">
            <w:pPr>
              <w:spacing w:line="276" w:lineRule="auto"/>
              <w:jc w:val="both"/>
              <w:rPr>
                <w:lang w:val="hy-AM"/>
              </w:rPr>
            </w:pPr>
            <w:r w:rsidRPr="0053423A">
              <w:rPr>
                <w:lang w:val="hy-AM"/>
              </w:rPr>
              <w:t xml:space="preserve">      </w:t>
            </w:r>
            <w:r w:rsidRPr="0053423A">
              <w:rPr>
                <w:lang w:val="hy-AM"/>
              </w:rPr>
              <w:tab/>
              <w:t>Ծրագրի նպատակն է յուրաքանչյուր տարի Հայաստանի Հանրապե</w:t>
            </w:r>
            <w:r w:rsidRPr="0053423A">
              <w:rPr>
                <w:lang w:val="hy-AM"/>
              </w:rPr>
              <w:softHyphen/>
              <w:t>տության մոտ 170 համայնքներում իրականացնել գյուղատնտեսական նշանակության հողերի ագրո</w:t>
            </w:r>
            <w:r w:rsidRPr="0053423A">
              <w:rPr>
                <w:lang w:val="hy-AM"/>
              </w:rPr>
              <w:softHyphen/>
              <w:t>քիմիական հետազոտություն, որը հնարավորություն կտա ունենալ հետազոտված հողերի սննդատարրերով ապահովվածությունն արտացոլող տվյալներ, որոնց հիման վրա կազմված մշակաբույսերի պարարտացման գիտականորեն հիմնավորված երաշխավորագրերը հիմք կհանդիսանան հողօգտագործողներին գյուղատնտեսական կուլտուրաների մշակության ժամանակ:</w:t>
            </w:r>
          </w:p>
          <w:p w:rsidR="00530B14" w:rsidRPr="0053423A" w:rsidRDefault="00530B14" w:rsidP="00A67858">
            <w:pPr>
              <w:spacing w:line="276" w:lineRule="auto"/>
              <w:jc w:val="both"/>
              <w:rPr>
                <w:b/>
                <w:lang w:val="hy-AM"/>
              </w:rPr>
            </w:pPr>
            <w:r w:rsidRPr="0053423A">
              <w:rPr>
                <w:rFonts w:cs="Sylfaen"/>
                <w:b/>
                <w:lang w:val="hy-AM"/>
              </w:rPr>
              <w:tab/>
              <w:t>1.1 Կարգավորման</w:t>
            </w:r>
            <w:r w:rsidRPr="0053423A">
              <w:rPr>
                <w:b/>
                <w:lang w:val="hy-AM"/>
              </w:rPr>
              <w:t xml:space="preserve"> հարաբերությունների ներկա վիճակը և առկա խնդիրները</w:t>
            </w:r>
          </w:p>
          <w:p w:rsidR="00530B14" w:rsidRPr="0053423A" w:rsidRDefault="00530B14" w:rsidP="00A67858">
            <w:pPr>
              <w:spacing w:line="276" w:lineRule="auto"/>
              <w:jc w:val="both"/>
              <w:rPr>
                <w:lang w:val="hy-AM"/>
              </w:rPr>
            </w:pPr>
            <w:r w:rsidRPr="0053423A">
              <w:rPr>
                <w:b/>
                <w:lang w:val="hy-AM"/>
              </w:rPr>
              <w:tab/>
            </w:r>
            <w:r w:rsidRPr="0053423A">
              <w:rPr>
                <w:lang w:val="hy-AM"/>
              </w:rPr>
              <w:t>«Ագրոքիմիական Ծառայությունը» իր գործունեությունը և հարաբերությունները կարգավորում և իրականացնում է պայմանագրերի միջոցով՝ Հայաստանի Հանրա</w:t>
            </w:r>
            <w:r w:rsidRPr="0053423A">
              <w:rPr>
                <w:lang w:val="hy-AM"/>
              </w:rPr>
              <w:softHyphen/>
              <w:t>պե</w:t>
            </w:r>
            <w:r w:rsidRPr="0053423A">
              <w:rPr>
                <w:lang w:val="hy-AM"/>
              </w:rPr>
              <w:softHyphen/>
              <w:t>տության գյուղատնտեսության նախարարության և յուրաքանչյուր տարում ագրոքի</w:t>
            </w:r>
            <w:r w:rsidRPr="0053423A">
              <w:rPr>
                <w:lang w:val="hy-AM"/>
              </w:rPr>
              <w:softHyphen/>
              <w:t>միական հետազոտման ծրագրում ընդգրկված համայնքների հետ: Ներկա պահին կնքված է պայմանագիր Հայաստանի Հանրապետության գյուղատնտեսության նախա</w:t>
            </w:r>
            <w:r w:rsidRPr="0053423A">
              <w:rPr>
                <w:lang w:val="hy-AM"/>
              </w:rPr>
              <w:softHyphen/>
              <w:t>րա</w:t>
            </w:r>
            <w:r w:rsidRPr="0053423A">
              <w:rPr>
                <w:lang w:val="hy-AM"/>
              </w:rPr>
              <w:softHyphen/>
            </w:r>
            <w:r w:rsidRPr="0053423A">
              <w:rPr>
                <w:lang w:val="hy-AM"/>
              </w:rPr>
              <w:softHyphen/>
              <w:t>րության և «Ագրոքիմիական Ծառայության» ՊՈԱԿ-ի միջև՝ պայմանագիր № ԲԲՊՎ-16, միևնույն ժամանակ պատրաստված են 170 բնակավայրերի հետ ենթակա պայմա</w:t>
            </w:r>
            <w:r w:rsidRPr="0053423A">
              <w:rPr>
                <w:lang w:val="hy-AM"/>
              </w:rPr>
              <w:softHyphen/>
              <w:t>նագրերի նախագծերը, որոնք ընթացիք տարվա ապրիլի 1-ից կտրամադրվեն ծառա</w:t>
            </w:r>
            <w:r w:rsidRPr="0053423A">
              <w:rPr>
                <w:lang w:val="hy-AM"/>
              </w:rPr>
              <w:softHyphen/>
              <w:t>յության սեզոնային աշխատակիցներ հանդիսացող տարածքային մասնագետներին համայնքների հետ պայմանագրերի կնքման և դաշտային հետազոտման աշխատանք</w:t>
            </w:r>
            <w:r w:rsidRPr="0053423A">
              <w:rPr>
                <w:lang w:val="hy-AM"/>
              </w:rPr>
              <w:softHyphen/>
              <w:t>ները սկսելու նպատակով:</w:t>
            </w:r>
          </w:p>
          <w:p w:rsidR="00530B14" w:rsidRPr="0053423A" w:rsidRDefault="00530B14" w:rsidP="00A67858">
            <w:pPr>
              <w:spacing w:line="276" w:lineRule="auto"/>
              <w:jc w:val="both"/>
              <w:rPr>
                <w:b/>
                <w:lang w:val="hy-AM"/>
              </w:rPr>
            </w:pPr>
          </w:p>
          <w:p w:rsidR="00530B14" w:rsidRPr="0053423A" w:rsidRDefault="00530B14" w:rsidP="00A67858">
            <w:pPr>
              <w:pStyle w:val="ListParagraph"/>
              <w:numPr>
                <w:ilvl w:val="1"/>
                <w:numId w:val="95"/>
              </w:numPr>
              <w:spacing w:line="276" w:lineRule="auto"/>
              <w:ind w:firstLine="360"/>
              <w:jc w:val="both"/>
              <w:rPr>
                <w:b/>
              </w:rPr>
            </w:pPr>
            <w:r w:rsidRPr="0053423A">
              <w:rPr>
                <w:rFonts w:cs="Sylfaen"/>
                <w:b/>
              </w:rPr>
              <w:t>Առկա</w:t>
            </w:r>
            <w:r w:rsidRPr="0053423A">
              <w:rPr>
                <w:b/>
              </w:rPr>
              <w:t xml:space="preserve"> խնդիրների առաջարկվող լուծումները</w:t>
            </w:r>
          </w:p>
          <w:p w:rsidR="00530B14" w:rsidRPr="0053423A" w:rsidRDefault="00530B14" w:rsidP="00A67858">
            <w:pPr>
              <w:spacing w:line="276" w:lineRule="auto"/>
              <w:jc w:val="both"/>
              <w:rPr>
                <w:lang w:val="hy-AM"/>
              </w:rPr>
            </w:pPr>
            <w:r w:rsidRPr="0053423A">
              <w:rPr>
                <w:rFonts w:cs="Sylfaen"/>
                <w:lang w:val="hy-AM"/>
              </w:rPr>
              <w:tab/>
              <w:t>Ներկայումս</w:t>
            </w:r>
            <w:r w:rsidRPr="0053423A">
              <w:rPr>
                <w:lang w:val="hy-AM"/>
              </w:rPr>
              <w:t xml:space="preserve"> նախատեսված աշխատանքները ընդանում են ըստ սահմանված գրաֆիկի և խնդիրներ առկա չեն:</w:t>
            </w:r>
          </w:p>
          <w:p w:rsidR="00530B14" w:rsidRPr="0053423A" w:rsidRDefault="00530B14" w:rsidP="00A67858">
            <w:pPr>
              <w:pStyle w:val="ListParagraph"/>
              <w:numPr>
                <w:ilvl w:val="0"/>
                <w:numId w:val="94"/>
              </w:numPr>
              <w:spacing w:line="276" w:lineRule="auto"/>
              <w:jc w:val="both"/>
              <w:rPr>
                <w:b/>
                <w:lang w:val="hy-AM"/>
              </w:rPr>
            </w:pPr>
            <w:r w:rsidRPr="0053423A">
              <w:rPr>
                <w:b/>
                <w:lang w:val="hy-AM"/>
              </w:rPr>
              <w:t>Միջոցառման իրականացումից ակնկալվող արդյունքը</w:t>
            </w:r>
          </w:p>
          <w:p w:rsidR="00530B14" w:rsidRPr="0053423A" w:rsidRDefault="00530B14" w:rsidP="00A67858">
            <w:pPr>
              <w:spacing w:line="276" w:lineRule="auto"/>
              <w:jc w:val="both"/>
              <w:rPr>
                <w:lang w:val="hy-AM"/>
              </w:rPr>
            </w:pPr>
            <w:r w:rsidRPr="0053423A">
              <w:rPr>
                <w:lang w:val="hy-AM"/>
              </w:rPr>
              <w:t xml:space="preserve">      Ծառայության կողմից մշակված պարարտացման երաշխավորագրերի կիրառման արդյունքում պարարտանյութերը կօգտագործվեն խնայողաբար և նպատակային: Կբարձրանա հողերի բերրիությունը, մշակաբույսերի բերքատվությունը, բերքի որակը, բույսերի դիմացկունությունը, ցրտերի, երաշտի,  հիվանդությունների, վնասատուների նկատմամբ, բերքում կբացառվի պարարտանյութերի մնացորդային քանակությունը, կբարձրանա հողի մշակությունից ակնկալվող շահույթաբերությունը կավելանա ցանքա</w:t>
            </w:r>
            <w:r w:rsidRPr="0053423A">
              <w:rPr>
                <w:lang w:val="hy-AM"/>
              </w:rPr>
              <w:softHyphen/>
              <w:t>տարածությունները, համախառն արտադրանքը և պարենային ինքնաբավության մակարդակը:</w:t>
            </w:r>
          </w:p>
          <w:p w:rsidR="00530B14" w:rsidRPr="0053423A" w:rsidRDefault="00530B14" w:rsidP="00A67858">
            <w:pPr>
              <w:spacing w:line="276" w:lineRule="auto"/>
              <w:ind w:firstLine="450"/>
              <w:jc w:val="both"/>
              <w:rPr>
                <w:lang w:val="hy-AM"/>
              </w:rPr>
            </w:pPr>
            <w:r w:rsidRPr="0053423A">
              <w:rPr>
                <w:lang w:val="hy-AM"/>
              </w:rPr>
              <w:t>Յուրաքանչյուր տարի շուրջ 170 համայնքի համար ագրո</w:t>
            </w:r>
            <w:r w:rsidRPr="0053423A">
              <w:rPr>
                <w:lang w:val="hy-AM"/>
              </w:rPr>
              <w:softHyphen/>
              <w:t>քիմիական քարտեզ</w:t>
            </w:r>
            <w:r w:rsidRPr="0053423A">
              <w:rPr>
                <w:lang w:val="hy-AM"/>
              </w:rPr>
              <w:softHyphen/>
              <w:t>ների մշակում, որոնք հիմք կծառայեն գյուղատնտեսա</w:t>
            </w:r>
            <w:r w:rsidRPr="0053423A">
              <w:rPr>
                <w:lang w:val="hy-AM"/>
              </w:rPr>
              <w:softHyphen/>
              <w:t>կան մշակաբույսերի գիտա</w:t>
            </w:r>
            <w:r w:rsidRPr="0053423A">
              <w:rPr>
                <w:lang w:val="hy-AM"/>
              </w:rPr>
              <w:softHyphen/>
              <w:t>կանորեն հիմնավորված նորմաներով պարարտաց</w:t>
            </w:r>
            <w:r w:rsidRPr="0053423A">
              <w:rPr>
                <w:lang w:val="hy-AM"/>
              </w:rPr>
              <w:softHyphen/>
              <w:t>ման համար։</w:t>
            </w:r>
          </w:p>
          <w:p w:rsidR="00530B14" w:rsidRPr="0053423A" w:rsidRDefault="00530B14" w:rsidP="00A67858">
            <w:pPr>
              <w:spacing w:line="276" w:lineRule="auto"/>
              <w:jc w:val="both"/>
              <w:rPr>
                <w:lang w:val="hy-AM"/>
              </w:rPr>
            </w:pPr>
            <w:r w:rsidRPr="0053423A">
              <w:rPr>
                <w:lang w:val="hy-AM"/>
              </w:rPr>
              <w:t xml:space="preserve">       </w:t>
            </w:r>
          </w:p>
          <w:p w:rsidR="00530B14" w:rsidRPr="0053423A" w:rsidRDefault="00530B14" w:rsidP="00A67858">
            <w:pPr>
              <w:spacing w:line="276" w:lineRule="auto"/>
              <w:ind w:right="239"/>
              <w:jc w:val="center"/>
              <w:rPr>
                <w:b/>
                <w:u w:val="single"/>
                <w:lang w:val="hy-AM"/>
              </w:rPr>
            </w:pPr>
            <w:r w:rsidRPr="0053423A">
              <w:rPr>
                <w:b/>
                <w:u w:val="single"/>
                <w:lang w:val="hy-AM"/>
              </w:rPr>
              <w:t>2.5 Փոքր և միջին «Խելացի» անասնաշենքերի կառուցման կամ վերակառուցման և դրանց տեխնոլոգիական ապահովման պետական աջակցության ծրագրի իրականացում</w:t>
            </w:r>
          </w:p>
          <w:p w:rsidR="00530B14" w:rsidRPr="0053423A" w:rsidRDefault="00530B14" w:rsidP="00A67858">
            <w:pPr>
              <w:spacing w:line="276" w:lineRule="auto"/>
              <w:ind w:right="239"/>
              <w:jc w:val="center"/>
              <w:rPr>
                <w:b/>
                <w:lang w:val="hy-AM"/>
              </w:rPr>
            </w:pPr>
          </w:p>
          <w:p w:rsidR="00530B14" w:rsidRPr="0053423A" w:rsidRDefault="00530B14" w:rsidP="001F6D5D">
            <w:pPr>
              <w:pStyle w:val="ListParagraph"/>
              <w:numPr>
                <w:ilvl w:val="0"/>
                <w:numId w:val="105"/>
              </w:numPr>
              <w:tabs>
                <w:tab w:val="left" w:pos="1080"/>
              </w:tabs>
              <w:spacing w:line="276" w:lineRule="auto"/>
              <w:rPr>
                <w:rFonts w:cs="Sylfaen"/>
                <w:b/>
                <w:lang w:val="hy-AM"/>
              </w:rPr>
            </w:pPr>
            <w:r w:rsidRPr="0053423A">
              <w:rPr>
                <w:b/>
                <w:lang w:val="hy-AM"/>
              </w:rPr>
              <w:t>Միջոցառման իրականացման անհրաժեշտությունը և նպատակը</w:t>
            </w:r>
            <w:r w:rsidRPr="0053423A">
              <w:rPr>
                <w:rFonts w:cs="Sylfaen"/>
                <w:b/>
                <w:lang w:val="af-ZA"/>
              </w:rPr>
              <w:t xml:space="preserve"> </w:t>
            </w:r>
          </w:p>
          <w:p w:rsidR="00530B14" w:rsidRPr="0053423A" w:rsidRDefault="00530B14" w:rsidP="00A67858">
            <w:pPr>
              <w:spacing w:line="276" w:lineRule="auto"/>
              <w:jc w:val="both"/>
              <w:rPr>
                <w:lang w:val="hy-AM"/>
              </w:rPr>
            </w:pPr>
            <w:r w:rsidRPr="0053423A">
              <w:rPr>
                <w:lang w:val="hy-AM"/>
              </w:rPr>
              <w:tab/>
            </w:r>
            <w:r w:rsidRPr="0053423A">
              <w:rPr>
                <w:rFonts w:cs="Arial"/>
                <w:bCs/>
                <w:lang w:val="hy-AM"/>
              </w:rPr>
              <w:t>Փոքր</w:t>
            </w:r>
            <w:r w:rsidRPr="0053423A">
              <w:rPr>
                <w:bCs/>
                <w:lang w:val="hy-AM"/>
              </w:rPr>
              <w:t xml:space="preserve"> </w:t>
            </w:r>
            <w:r w:rsidRPr="0053423A">
              <w:rPr>
                <w:rFonts w:cs="Arial"/>
                <w:bCs/>
                <w:lang w:val="hy-AM"/>
              </w:rPr>
              <w:t>և</w:t>
            </w:r>
            <w:r w:rsidRPr="0053423A">
              <w:rPr>
                <w:bCs/>
                <w:lang w:val="hy-AM"/>
              </w:rPr>
              <w:t xml:space="preserve"> </w:t>
            </w:r>
            <w:r w:rsidRPr="0053423A">
              <w:rPr>
                <w:rFonts w:cs="Arial"/>
                <w:bCs/>
                <w:lang w:val="hy-AM"/>
              </w:rPr>
              <w:t>միջին</w:t>
            </w:r>
            <w:r w:rsidRPr="0053423A">
              <w:rPr>
                <w:bCs/>
                <w:lang w:val="hy-AM"/>
              </w:rPr>
              <w:t xml:space="preserve"> </w:t>
            </w:r>
            <w:r w:rsidRPr="0053423A">
              <w:rPr>
                <w:rFonts w:cs="Franklin Gothic Medium Cond"/>
                <w:bCs/>
                <w:lang w:val="hy-AM"/>
              </w:rPr>
              <w:t>«</w:t>
            </w:r>
            <w:r w:rsidRPr="0053423A">
              <w:rPr>
                <w:bCs/>
                <w:lang w:val="hy-AM"/>
              </w:rPr>
              <w:t>Խելացի</w:t>
            </w:r>
            <w:r w:rsidRPr="0053423A">
              <w:rPr>
                <w:rFonts w:cs="Franklin Gothic Medium Cond"/>
                <w:bCs/>
                <w:lang w:val="hy-AM"/>
              </w:rPr>
              <w:t>»</w:t>
            </w:r>
            <w:r w:rsidRPr="0053423A">
              <w:rPr>
                <w:bCs/>
                <w:lang w:val="hy-AM"/>
              </w:rPr>
              <w:t xml:space="preserve"> </w:t>
            </w:r>
            <w:r w:rsidRPr="0053423A">
              <w:rPr>
                <w:rFonts w:cs="Arial"/>
                <w:bCs/>
                <w:lang w:val="hy-AM"/>
              </w:rPr>
              <w:t>անասնաշենքերի</w:t>
            </w:r>
            <w:r w:rsidRPr="0053423A">
              <w:rPr>
                <w:bCs/>
                <w:lang w:val="hy-AM"/>
              </w:rPr>
              <w:t xml:space="preserve">  </w:t>
            </w:r>
            <w:r w:rsidRPr="0053423A">
              <w:rPr>
                <w:rFonts w:cs="Arial"/>
                <w:bCs/>
                <w:lang w:val="hy-AM"/>
              </w:rPr>
              <w:t>կառուց</w:t>
            </w:r>
            <w:r w:rsidRPr="0053423A">
              <w:rPr>
                <w:rFonts w:cs="Arial"/>
                <w:bCs/>
                <w:lang w:val="hy-AM"/>
              </w:rPr>
              <w:softHyphen/>
              <w:t xml:space="preserve">ման կամ վերակառուցման և </w:t>
            </w:r>
            <w:r w:rsidRPr="0053423A">
              <w:rPr>
                <w:rFonts w:cs="Sylfaen"/>
                <w:lang w:val="hy-AM"/>
              </w:rPr>
              <w:t>դրանց տեխնոլոգիական ապահովման</w:t>
            </w:r>
            <w:r w:rsidRPr="0053423A">
              <w:rPr>
                <w:rFonts w:cs="Arial"/>
                <w:bCs/>
                <w:lang w:val="hy-AM"/>
              </w:rPr>
              <w:t xml:space="preserve"> </w:t>
            </w:r>
            <w:r w:rsidRPr="0053423A">
              <w:rPr>
                <w:bCs/>
                <w:lang w:val="hy-AM"/>
              </w:rPr>
              <w:t xml:space="preserve">պետական </w:t>
            </w:r>
            <w:r w:rsidRPr="0053423A">
              <w:rPr>
                <w:lang w:val="hy-AM"/>
              </w:rPr>
              <w:t>աջակ</w:t>
            </w:r>
            <w:r w:rsidRPr="0053423A">
              <w:rPr>
                <w:lang w:val="hy-AM"/>
              </w:rPr>
              <w:softHyphen/>
              <w:t>ցության ծրագրի իրականացման անհրաժեշտությունը բխում է ՀՀ ԱԺ 2019 թվականի փետրվարի 14-ի ԱԺՈ-002-Ն որոշմամբ հավանության արժանացած ՀՀ կառավա</w:t>
            </w:r>
            <w:r w:rsidRPr="0053423A">
              <w:rPr>
                <w:lang w:val="hy-AM"/>
              </w:rPr>
              <w:softHyphen/>
              <w:t xml:space="preserve">րության ծրագրից (5.10. Գյուղատնտեսությունը, 7-րդ պարբերության 4-րդ դրույթ): </w:t>
            </w:r>
          </w:p>
          <w:p w:rsidR="00530B14" w:rsidRPr="0053423A" w:rsidRDefault="00530B14" w:rsidP="00A67858">
            <w:pPr>
              <w:tabs>
                <w:tab w:val="left" w:pos="990"/>
                <w:tab w:val="left" w:pos="1260"/>
              </w:tabs>
              <w:spacing w:line="276" w:lineRule="auto"/>
              <w:jc w:val="both"/>
              <w:rPr>
                <w:lang w:val="hy-AM"/>
              </w:rPr>
            </w:pPr>
            <w:r w:rsidRPr="0053423A">
              <w:rPr>
                <w:rFonts w:cs="Arial"/>
                <w:lang w:val="hy-AM"/>
              </w:rPr>
              <w:tab/>
              <w:t>Ծրագրի</w:t>
            </w:r>
            <w:r w:rsidRPr="0053423A">
              <w:rPr>
                <w:lang w:val="hy-AM"/>
              </w:rPr>
              <w:t xml:space="preserve"> </w:t>
            </w:r>
            <w:r w:rsidRPr="0053423A">
              <w:rPr>
                <w:rFonts w:cs="Arial"/>
                <w:lang w:val="hy-AM"/>
              </w:rPr>
              <w:t>հիմնական</w:t>
            </w:r>
            <w:r w:rsidRPr="0053423A">
              <w:rPr>
                <w:lang w:val="hy-AM"/>
              </w:rPr>
              <w:t xml:space="preserve"> </w:t>
            </w:r>
            <w:r w:rsidRPr="0053423A">
              <w:rPr>
                <w:rFonts w:cs="Arial"/>
                <w:lang w:val="hy-AM"/>
              </w:rPr>
              <w:t>նպատակն</w:t>
            </w:r>
            <w:r w:rsidRPr="0053423A">
              <w:rPr>
                <w:lang w:val="hy-AM"/>
              </w:rPr>
              <w:t xml:space="preserve"> </w:t>
            </w:r>
            <w:r w:rsidRPr="0053423A">
              <w:rPr>
                <w:rFonts w:cs="Arial"/>
                <w:lang w:val="hy-AM"/>
              </w:rPr>
              <w:t>է</w:t>
            </w:r>
            <w:r w:rsidRPr="0053423A">
              <w:rPr>
                <w:lang w:val="hy-AM"/>
              </w:rPr>
              <w:t xml:space="preserve"> </w:t>
            </w:r>
            <w:r w:rsidRPr="0053423A">
              <w:rPr>
                <w:rFonts w:cs="Arial"/>
                <w:lang w:val="hy-AM"/>
              </w:rPr>
              <w:t>փոքր</w:t>
            </w:r>
            <w:r w:rsidRPr="0053423A">
              <w:rPr>
                <w:rFonts w:cs="Sylfaen"/>
                <w:lang w:val="hy-AM"/>
              </w:rPr>
              <w:t xml:space="preserve"> </w:t>
            </w:r>
            <w:r w:rsidRPr="0053423A">
              <w:rPr>
                <w:rFonts w:cs="Arial"/>
                <w:lang w:val="hy-AM"/>
              </w:rPr>
              <w:t>և</w:t>
            </w:r>
            <w:r w:rsidRPr="0053423A">
              <w:rPr>
                <w:rFonts w:cs="Sylfaen"/>
                <w:lang w:val="hy-AM"/>
              </w:rPr>
              <w:t xml:space="preserve"> </w:t>
            </w:r>
            <w:r w:rsidRPr="0053423A">
              <w:rPr>
                <w:rFonts w:cs="Arial"/>
                <w:lang w:val="hy-AM"/>
              </w:rPr>
              <w:t>միջին</w:t>
            </w:r>
            <w:r w:rsidRPr="0053423A">
              <w:rPr>
                <w:rFonts w:cs="Sylfaen"/>
                <w:lang w:val="hy-AM"/>
              </w:rPr>
              <w:t xml:space="preserve"> «Խելացի</w:t>
            </w:r>
            <w:r w:rsidRPr="0053423A">
              <w:rPr>
                <w:rFonts w:cs="Arial Armenian"/>
                <w:lang w:val="hy-AM"/>
              </w:rPr>
              <w:t>»</w:t>
            </w:r>
            <w:r w:rsidRPr="0053423A">
              <w:rPr>
                <w:rFonts w:cs="Sylfaen"/>
                <w:lang w:val="hy-AM"/>
              </w:rPr>
              <w:t xml:space="preserve"> </w:t>
            </w:r>
            <w:r w:rsidRPr="0053423A">
              <w:rPr>
                <w:rFonts w:cs="Arial"/>
                <w:lang w:val="hy-AM"/>
              </w:rPr>
              <w:t>անասնաշենքերի</w:t>
            </w:r>
            <w:r w:rsidRPr="0053423A">
              <w:rPr>
                <w:rFonts w:cs="Sylfaen"/>
                <w:lang w:val="hy-AM"/>
              </w:rPr>
              <w:t xml:space="preserve"> </w:t>
            </w:r>
            <w:r w:rsidRPr="0053423A">
              <w:rPr>
                <w:rFonts w:cs="Arial"/>
                <w:lang w:val="hy-AM"/>
              </w:rPr>
              <w:t xml:space="preserve">կառուցման կամ վերակառուցման և </w:t>
            </w:r>
            <w:r w:rsidRPr="0053423A">
              <w:rPr>
                <w:rFonts w:cs="Sylfaen"/>
                <w:lang w:val="hy-AM"/>
              </w:rPr>
              <w:t>դրանց տեխնոլո</w:t>
            </w:r>
            <w:r w:rsidRPr="0053423A">
              <w:rPr>
                <w:rFonts w:cs="Sylfaen"/>
                <w:lang w:val="hy-AM"/>
              </w:rPr>
              <w:softHyphen/>
              <w:t>գիական ապա</w:t>
            </w:r>
            <w:r w:rsidRPr="0053423A">
              <w:rPr>
                <w:rFonts w:cs="Sylfaen"/>
                <w:lang w:val="hy-AM"/>
              </w:rPr>
              <w:softHyphen/>
              <w:t xml:space="preserve">հովման </w:t>
            </w:r>
            <w:r w:rsidRPr="0053423A">
              <w:rPr>
                <w:rFonts w:cs="Arial"/>
                <w:lang w:val="hy-AM"/>
              </w:rPr>
              <w:t>պետական</w:t>
            </w:r>
            <w:r w:rsidRPr="0053423A">
              <w:rPr>
                <w:rFonts w:cs="Sylfaen"/>
                <w:lang w:val="hy-AM"/>
              </w:rPr>
              <w:t xml:space="preserve"> </w:t>
            </w:r>
            <w:r w:rsidRPr="0053423A">
              <w:rPr>
                <w:rFonts w:cs="Arial"/>
                <w:lang w:val="hy-AM"/>
              </w:rPr>
              <w:t>աջակցութան</w:t>
            </w:r>
            <w:r w:rsidRPr="0053423A">
              <w:rPr>
                <w:rFonts w:cs="Sylfaen"/>
                <w:b/>
                <w:lang w:val="hy-AM"/>
              </w:rPr>
              <w:t xml:space="preserve"> </w:t>
            </w:r>
            <w:r w:rsidRPr="0053423A">
              <w:rPr>
                <w:rFonts w:cs="Arial"/>
                <w:lang w:val="hy-AM"/>
              </w:rPr>
              <w:t>միջոցով</w:t>
            </w:r>
            <w:r w:rsidRPr="0053423A">
              <w:rPr>
                <w:lang w:val="hy-AM"/>
              </w:rPr>
              <w:t xml:space="preserve"> </w:t>
            </w:r>
            <w:r w:rsidRPr="0053423A">
              <w:rPr>
                <w:rFonts w:cs="Arial"/>
                <w:lang w:val="hy-AM"/>
              </w:rPr>
              <w:t>բարելավել</w:t>
            </w:r>
            <w:r w:rsidRPr="0053423A">
              <w:rPr>
                <w:lang w:val="hy-AM"/>
              </w:rPr>
              <w:t xml:space="preserve"> </w:t>
            </w:r>
            <w:r w:rsidRPr="0053423A">
              <w:rPr>
                <w:rFonts w:cs="Arial"/>
                <w:lang w:val="hy-AM"/>
              </w:rPr>
              <w:t>կենդանիների</w:t>
            </w:r>
            <w:r w:rsidRPr="0053423A">
              <w:rPr>
                <w:lang w:val="hy-AM"/>
              </w:rPr>
              <w:t xml:space="preserve"> </w:t>
            </w:r>
            <w:r w:rsidRPr="0053423A">
              <w:rPr>
                <w:rFonts w:cs="Arial"/>
                <w:lang w:val="hy-AM"/>
              </w:rPr>
              <w:t>պահվածքի</w:t>
            </w:r>
            <w:r w:rsidRPr="0053423A">
              <w:rPr>
                <w:lang w:val="hy-AM"/>
              </w:rPr>
              <w:t xml:space="preserve"> </w:t>
            </w:r>
            <w:r w:rsidRPr="0053423A">
              <w:rPr>
                <w:rFonts w:cs="Arial"/>
                <w:lang w:val="hy-AM"/>
              </w:rPr>
              <w:t>պայման</w:t>
            </w:r>
            <w:r w:rsidRPr="0053423A">
              <w:rPr>
                <w:rFonts w:cs="Arial"/>
                <w:lang w:val="hy-AM"/>
              </w:rPr>
              <w:softHyphen/>
              <w:t>ները</w:t>
            </w:r>
            <w:r w:rsidRPr="0053423A">
              <w:rPr>
                <w:lang w:val="hy-AM"/>
              </w:rPr>
              <w:t xml:space="preserve">` արդյունքում </w:t>
            </w:r>
            <w:r w:rsidRPr="0053423A">
              <w:rPr>
                <w:rFonts w:cs="Arial"/>
                <w:lang w:val="hy-AM"/>
              </w:rPr>
              <w:t>բարձ</w:t>
            </w:r>
            <w:r w:rsidRPr="0053423A">
              <w:rPr>
                <w:rFonts w:cs="Arial"/>
                <w:lang w:val="hy-AM"/>
              </w:rPr>
              <w:softHyphen/>
              <w:t>րացնելով</w:t>
            </w:r>
            <w:r w:rsidRPr="0053423A">
              <w:rPr>
                <w:lang w:val="hy-AM"/>
              </w:rPr>
              <w:t xml:space="preserve"> կենդանիների մթերատվության ցուցանիշները։ </w:t>
            </w:r>
          </w:p>
          <w:p w:rsidR="00530B14" w:rsidRPr="0053423A" w:rsidRDefault="00530B14" w:rsidP="001F6D5D">
            <w:pPr>
              <w:pStyle w:val="ListParagraph"/>
              <w:numPr>
                <w:ilvl w:val="1"/>
                <w:numId w:val="106"/>
              </w:numPr>
              <w:spacing w:line="276" w:lineRule="auto"/>
              <w:jc w:val="both"/>
              <w:rPr>
                <w:b/>
                <w:lang w:val="hy-AM"/>
              </w:rPr>
            </w:pPr>
            <w:r w:rsidRPr="0053423A">
              <w:rPr>
                <w:rFonts w:cs="Sylfaen"/>
                <w:b/>
                <w:lang w:val="hy-AM"/>
              </w:rPr>
              <w:t>Կարգավորման</w:t>
            </w:r>
            <w:r w:rsidRPr="0053423A">
              <w:rPr>
                <w:b/>
                <w:lang w:val="hy-AM"/>
              </w:rPr>
              <w:t xml:space="preserve"> հարաբերությունների ներկա վիճակը և առկա խնդիրները</w:t>
            </w:r>
          </w:p>
          <w:p w:rsidR="00530B14" w:rsidRPr="0053423A" w:rsidRDefault="00530B14" w:rsidP="00A67858">
            <w:pPr>
              <w:tabs>
                <w:tab w:val="left" w:pos="990"/>
                <w:tab w:val="left" w:pos="1170"/>
              </w:tabs>
              <w:spacing w:line="276" w:lineRule="auto"/>
              <w:jc w:val="both"/>
              <w:rPr>
                <w:bCs/>
                <w:lang w:val="hy-AM"/>
              </w:rPr>
            </w:pPr>
            <w:r w:rsidRPr="0053423A">
              <w:rPr>
                <w:rFonts w:cs="Sylfaen"/>
                <w:lang w:val="hy-AM"/>
              </w:rPr>
              <w:tab/>
              <w:t>Կենդանիների</w:t>
            </w:r>
            <w:r w:rsidRPr="0053423A">
              <w:rPr>
                <w:lang w:val="hy-AM"/>
              </w:rPr>
              <w:t xml:space="preserve"> պահվածքի և խնամքի ոչ ճիշտ կազմակերպումը, նորմա</w:t>
            </w:r>
            <w:r w:rsidRPr="0053423A">
              <w:rPr>
                <w:lang w:val="hy-AM"/>
              </w:rPr>
              <w:softHyphen/>
              <w:t>վորված կերակրման բացակայությունը, ինչպես նաև սանիտարահիգիենիկ անբա</w:t>
            </w:r>
            <w:r w:rsidRPr="0053423A">
              <w:rPr>
                <w:lang w:val="hy-AM"/>
              </w:rPr>
              <w:softHyphen/>
              <w:t xml:space="preserve">վարար պայմաններն այսօր ստեղծել են մի իրավիճակ, որի պայմաններում հնարավոր չէ ապահովել կաթի պահանջարկը տեղական արտադրության հաշվին։ </w:t>
            </w:r>
            <w:r w:rsidRPr="0053423A">
              <w:rPr>
                <w:rFonts w:cs="Sylfaen"/>
                <w:lang w:val="hy-AM"/>
              </w:rPr>
              <w:t>Այսինքն, ցածր</w:t>
            </w:r>
            <w:r w:rsidRPr="0053423A">
              <w:rPr>
                <w:lang w:val="hy-AM"/>
              </w:rPr>
              <w:t xml:space="preserve"> </w:t>
            </w:r>
            <w:r w:rsidRPr="0053423A">
              <w:rPr>
                <w:rFonts w:cs="Sylfaen"/>
                <w:lang w:val="hy-AM"/>
              </w:rPr>
              <w:t>արտադրողա</w:t>
            </w:r>
            <w:r w:rsidRPr="0053423A">
              <w:rPr>
                <w:rFonts w:cs="Sylfaen"/>
                <w:lang w:val="hy-AM"/>
              </w:rPr>
              <w:softHyphen/>
              <w:t>կանության</w:t>
            </w:r>
            <w:r w:rsidRPr="0053423A">
              <w:rPr>
                <w:lang w:val="hy-AM"/>
              </w:rPr>
              <w:t xml:space="preserve"> </w:t>
            </w:r>
            <w:r w:rsidRPr="0053423A">
              <w:rPr>
                <w:rFonts w:cs="Sylfaen"/>
                <w:lang w:val="hy-AM"/>
              </w:rPr>
              <w:t>գլխավոր</w:t>
            </w:r>
            <w:r w:rsidRPr="0053423A">
              <w:rPr>
                <w:lang w:val="hy-AM"/>
              </w:rPr>
              <w:t xml:space="preserve"> </w:t>
            </w:r>
            <w:r w:rsidRPr="0053423A">
              <w:rPr>
                <w:rFonts w:cs="Sylfaen"/>
                <w:lang w:val="hy-AM"/>
              </w:rPr>
              <w:t>պատճառը</w:t>
            </w:r>
            <w:r w:rsidRPr="0053423A">
              <w:rPr>
                <w:lang w:val="hy-AM"/>
              </w:rPr>
              <w:t xml:space="preserve">, </w:t>
            </w:r>
            <w:r w:rsidRPr="0053423A">
              <w:rPr>
                <w:rFonts w:cs="Sylfaen"/>
                <w:lang w:val="hy-AM"/>
              </w:rPr>
              <w:t>հիմ</w:t>
            </w:r>
            <w:r w:rsidRPr="0053423A">
              <w:rPr>
                <w:rFonts w:cs="Sylfaen"/>
                <w:lang w:val="hy-AM"/>
              </w:rPr>
              <w:softHyphen/>
              <w:t>նա</w:t>
            </w:r>
            <w:r w:rsidRPr="0053423A">
              <w:rPr>
                <w:rFonts w:cs="Sylfaen"/>
                <w:lang w:val="hy-AM"/>
              </w:rPr>
              <w:softHyphen/>
              <w:t>կանում</w:t>
            </w:r>
            <w:r w:rsidRPr="0053423A">
              <w:rPr>
                <w:lang w:val="hy-AM"/>
              </w:rPr>
              <w:t xml:space="preserve">, </w:t>
            </w:r>
            <w:r w:rsidRPr="0053423A">
              <w:rPr>
                <w:rFonts w:cs="Sylfaen"/>
                <w:lang w:val="hy-AM"/>
              </w:rPr>
              <w:t>արտադ</w:t>
            </w:r>
            <w:r w:rsidRPr="0053423A">
              <w:rPr>
                <w:rFonts w:cs="Sylfaen"/>
                <w:lang w:val="hy-AM"/>
              </w:rPr>
              <w:softHyphen/>
              <w:t>րության</w:t>
            </w:r>
            <w:r w:rsidRPr="0053423A">
              <w:rPr>
                <w:lang w:val="hy-AM"/>
              </w:rPr>
              <w:t xml:space="preserve"> </w:t>
            </w:r>
            <w:r w:rsidRPr="0053423A">
              <w:rPr>
                <w:rFonts w:cs="Sylfaen"/>
                <w:lang w:val="hy-AM"/>
              </w:rPr>
              <w:t>հանդեպ</w:t>
            </w:r>
            <w:r w:rsidRPr="0053423A">
              <w:rPr>
                <w:lang w:val="hy-AM"/>
              </w:rPr>
              <w:t xml:space="preserve"> </w:t>
            </w:r>
            <w:r w:rsidRPr="0053423A">
              <w:rPr>
                <w:rFonts w:cs="Sylfaen"/>
                <w:lang w:val="hy-AM"/>
              </w:rPr>
              <w:t>էքստեն</w:t>
            </w:r>
            <w:r w:rsidRPr="0053423A">
              <w:rPr>
                <w:rFonts w:cs="Sylfaen"/>
                <w:lang w:val="hy-AM"/>
              </w:rPr>
              <w:softHyphen/>
              <w:t>սիվ</w:t>
            </w:r>
            <w:r w:rsidRPr="0053423A">
              <w:rPr>
                <w:lang w:val="hy-AM"/>
              </w:rPr>
              <w:t xml:space="preserve"> </w:t>
            </w:r>
            <w:r w:rsidRPr="0053423A">
              <w:rPr>
                <w:rFonts w:cs="Sylfaen"/>
                <w:lang w:val="hy-AM"/>
              </w:rPr>
              <w:t>մոտեցումն</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ինչպես</w:t>
            </w:r>
            <w:r w:rsidRPr="0053423A">
              <w:rPr>
                <w:lang w:val="hy-AM"/>
              </w:rPr>
              <w:t xml:space="preserve"> </w:t>
            </w:r>
            <w:r w:rsidRPr="0053423A">
              <w:rPr>
                <w:rFonts w:cs="Sylfaen"/>
                <w:lang w:val="hy-AM"/>
              </w:rPr>
              <w:t>նաև</w:t>
            </w:r>
            <w:r w:rsidRPr="0053423A">
              <w:rPr>
                <w:lang w:val="hy-AM"/>
              </w:rPr>
              <w:t xml:space="preserve"> </w:t>
            </w:r>
            <w:r w:rsidRPr="0053423A">
              <w:rPr>
                <w:rFonts w:cs="Sylfaen"/>
                <w:lang w:val="hy-AM"/>
              </w:rPr>
              <w:t>ժամա</w:t>
            </w:r>
            <w:r w:rsidRPr="0053423A">
              <w:rPr>
                <w:rFonts w:cs="Sylfaen"/>
                <w:lang w:val="hy-AM"/>
              </w:rPr>
              <w:softHyphen/>
              <w:t>նակակից</w:t>
            </w:r>
            <w:r w:rsidRPr="0053423A">
              <w:rPr>
                <w:lang w:val="hy-AM"/>
              </w:rPr>
              <w:t xml:space="preserve"> </w:t>
            </w:r>
            <w:r w:rsidRPr="0053423A">
              <w:rPr>
                <w:rFonts w:cs="Sylfaen"/>
                <w:lang w:val="hy-AM"/>
              </w:rPr>
              <w:t>տեխնոլոգիաների</w:t>
            </w:r>
            <w:r w:rsidRPr="0053423A">
              <w:rPr>
                <w:lang w:val="hy-AM"/>
              </w:rPr>
              <w:t xml:space="preserve">, </w:t>
            </w:r>
            <w:r w:rsidRPr="0053423A">
              <w:rPr>
                <w:rFonts w:cs="Sylfaen"/>
                <w:lang w:val="hy-AM"/>
              </w:rPr>
              <w:t>կառավար</w:t>
            </w:r>
            <w:r w:rsidRPr="0053423A">
              <w:rPr>
                <w:rFonts w:cs="Sylfaen"/>
                <w:lang w:val="hy-AM"/>
              </w:rPr>
              <w:softHyphen/>
              <w:t>ման</w:t>
            </w:r>
            <w:r w:rsidRPr="0053423A">
              <w:rPr>
                <w:lang w:val="hy-AM"/>
              </w:rPr>
              <w:t xml:space="preserve">, </w:t>
            </w:r>
            <w:r w:rsidRPr="0053423A">
              <w:rPr>
                <w:rFonts w:cs="Sylfaen"/>
                <w:lang w:val="hy-AM"/>
              </w:rPr>
              <w:t>տեղեկա</w:t>
            </w:r>
            <w:r w:rsidRPr="0053423A">
              <w:rPr>
                <w:rFonts w:cs="Sylfaen"/>
                <w:lang w:val="hy-AM"/>
              </w:rPr>
              <w:softHyphen/>
              <w:t>տվու</w:t>
            </w:r>
            <w:r w:rsidRPr="0053423A">
              <w:rPr>
                <w:rFonts w:cs="Sylfaen"/>
                <w:lang w:val="hy-AM"/>
              </w:rPr>
              <w:softHyphen/>
              <w:t>թյան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գիտելիքների</w:t>
            </w:r>
            <w:r w:rsidRPr="0053423A">
              <w:rPr>
                <w:lang w:val="hy-AM"/>
              </w:rPr>
              <w:t xml:space="preserve"> </w:t>
            </w:r>
            <w:r w:rsidRPr="0053423A">
              <w:rPr>
                <w:rFonts w:cs="Sylfaen"/>
                <w:lang w:val="hy-AM"/>
              </w:rPr>
              <w:t>պա</w:t>
            </w:r>
            <w:r w:rsidRPr="0053423A">
              <w:rPr>
                <w:rFonts w:cs="Sylfaen"/>
                <w:lang w:val="hy-AM"/>
              </w:rPr>
              <w:softHyphen/>
              <w:t>կասը</w:t>
            </w:r>
            <w:r w:rsidRPr="0053423A">
              <w:rPr>
                <w:lang w:val="hy-AM"/>
              </w:rPr>
              <w:t xml:space="preserve">: </w:t>
            </w:r>
            <w:r w:rsidRPr="0053423A">
              <w:rPr>
                <w:rFonts w:cs="Sylfaen"/>
                <w:lang w:val="hy-AM"/>
              </w:rPr>
              <w:t>Եվ,</w:t>
            </w:r>
            <w:r w:rsidRPr="0053423A">
              <w:rPr>
                <w:lang w:val="hy-AM"/>
              </w:rPr>
              <w:t xml:space="preserve"> </w:t>
            </w:r>
            <w:r w:rsidRPr="0053423A">
              <w:rPr>
                <w:rFonts w:cs="Sylfaen"/>
                <w:lang w:val="hy-AM"/>
              </w:rPr>
              <w:t>նույնիսկ,</w:t>
            </w:r>
            <w:r w:rsidRPr="0053423A">
              <w:rPr>
                <w:lang w:val="hy-AM"/>
              </w:rPr>
              <w:t xml:space="preserve"> </w:t>
            </w:r>
            <w:r w:rsidRPr="0053423A">
              <w:rPr>
                <w:rFonts w:cs="Sylfaen"/>
                <w:lang w:val="hy-AM"/>
              </w:rPr>
              <w:t>ինտենսիվ</w:t>
            </w:r>
            <w:r w:rsidRPr="0053423A">
              <w:rPr>
                <w:lang w:val="hy-AM"/>
              </w:rPr>
              <w:t xml:space="preserve"> </w:t>
            </w:r>
            <w:r w:rsidRPr="0053423A">
              <w:rPr>
                <w:rFonts w:cs="Sylfaen"/>
                <w:lang w:val="hy-AM"/>
              </w:rPr>
              <w:t>ֆերմաների</w:t>
            </w:r>
            <w:r w:rsidRPr="0053423A">
              <w:rPr>
                <w:lang w:val="hy-AM"/>
              </w:rPr>
              <w:t xml:space="preserve"> </w:t>
            </w:r>
            <w:r w:rsidRPr="0053423A">
              <w:rPr>
                <w:rFonts w:cs="Sylfaen"/>
                <w:lang w:val="hy-AM"/>
              </w:rPr>
              <w:t>համար</w:t>
            </w:r>
            <w:r w:rsidRPr="0053423A">
              <w:rPr>
                <w:lang w:val="hy-AM"/>
              </w:rPr>
              <w:t xml:space="preserve"> այսօր կենդա</w:t>
            </w:r>
            <w:r w:rsidRPr="0053423A">
              <w:rPr>
                <w:lang w:val="hy-AM"/>
              </w:rPr>
              <w:softHyphen/>
              <w:t xml:space="preserve">նիների պահվածքի </w:t>
            </w:r>
            <w:r w:rsidRPr="0053423A">
              <w:rPr>
                <w:rFonts w:cs="Sylfaen"/>
                <w:lang w:val="hy-AM"/>
              </w:rPr>
              <w:t>հետ</w:t>
            </w:r>
            <w:r w:rsidRPr="0053423A">
              <w:rPr>
                <w:lang w:val="hy-AM"/>
              </w:rPr>
              <w:t xml:space="preserve"> </w:t>
            </w:r>
            <w:r w:rsidRPr="0053423A">
              <w:rPr>
                <w:rFonts w:cs="Sylfaen"/>
                <w:lang w:val="hy-AM"/>
              </w:rPr>
              <w:t>կապված</w:t>
            </w:r>
            <w:r w:rsidRPr="0053423A">
              <w:rPr>
                <w:lang w:val="hy-AM"/>
              </w:rPr>
              <w:t xml:space="preserve"> վերը նշված </w:t>
            </w:r>
            <w:r w:rsidRPr="0053423A">
              <w:rPr>
                <w:rFonts w:cs="Sylfaen"/>
                <w:lang w:val="hy-AM"/>
              </w:rPr>
              <w:t>խնդիրների</w:t>
            </w:r>
            <w:r w:rsidRPr="0053423A">
              <w:rPr>
                <w:lang w:val="hy-AM"/>
              </w:rPr>
              <w:t xml:space="preserve"> </w:t>
            </w:r>
            <w:r w:rsidRPr="0053423A">
              <w:rPr>
                <w:rFonts w:cs="Sylfaen"/>
                <w:lang w:val="hy-AM"/>
              </w:rPr>
              <w:t>լուծումը</w:t>
            </w:r>
            <w:r w:rsidRPr="0053423A">
              <w:rPr>
                <w:lang w:val="hy-AM"/>
              </w:rPr>
              <w:t xml:space="preserve"> </w:t>
            </w:r>
            <w:r w:rsidRPr="0053423A">
              <w:rPr>
                <w:rFonts w:cs="Sylfaen"/>
                <w:lang w:val="hy-AM"/>
              </w:rPr>
              <w:t>մնում</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առաջնահերթ</w:t>
            </w:r>
            <w:r w:rsidRPr="0053423A">
              <w:rPr>
                <w:lang w:val="hy-AM"/>
              </w:rPr>
              <w:t xml:space="preserve"> </w:t>
            </w:r>
            <w:r w:rsidRPr="0053423A">
              <w:rPr>
                <w:rFonts w:cs="Sylfaen"/>
                <w:lang w:val="hy-AM"/>
              </w:rPr>
              <w:t>հարց</w:t>
            </w:r>
            <w:r w:rsidRPr="0053423A">
              <w:rPr>
                <w:lang w:val="hy-AM"/>
              </w:rPr>
              <w:t>:</w:t>
            </w:r>
            <w:r w:rsidRPr="0053423A">
              <w:rPr>
                <w:bCs/>
                <w:lang w:val="hy-AM"/>
              </w:rPr>
              <w:t xml:space="preserve"> </w:t>
            </w:r>
            <w:r w:rsidRPr="0053423A">
              <w:rPr>
                <w:lang w:val="hy-AM"/>
              </w:rPr>
              <w:t>Հանրա</w:t>
            </w:r>
            <w:r w:rsidRPr="0053423A">
              <w:rPr>
                <w:lang w:val="hy-AM"/>
              </w:rPr>
              <w:softHyphen/>
              <w:t>պետության տավա</w:t>
            </w:r>
            <w:r w:rsidRPr="0053423A">
              <w:rPr>
                <w:lang w:val="hy-AM"/>
              </w:rPr>
              <w:softHyphen/>
              <w:t>րաբուծական արտադ</w:t>
            </w:r>
            <w:r w:rsidRPr="0053423A">
              <w:rPr>
                <w:lang w:val="hy-AM"/>
              </w:rPr>
              <w:softHyphen/>
              <w:t>րանքի արժեշղթայի բոլոր փուլերում առկա խնդիրները խոչընդոտում են ճյուղի զար</w:t>
            </w:r>
            <w:r w:rsidRPr="0053423A">
              <w:rPr>
                <w:lang w:val="hy-AM"/>
              </w:rPr>
              <w:softHyphen/>
              <w:t xml:space="preserve">գացմանը: </w:t>
            </w:r>
          </w:p>
          <w:p w:rsidR="00530B14" w:rsidRPr="0053423A" w:rsidRDefault="00530B14" w:rsidP="00A67858">
            <w:pPr>
              <w:spacing w:line="276" w:lineRule="auto"/>
              <w:ind w:firstLine="720"/>
              <w:jc w:val="both"/>
              <w:rPr>
                <w:b/>
                <w:lang w:val="hy-AM"/>
              </w:rPr>
            </w:pPr>
            <w:r w:rsidRPr="0053423A">
              <w:rPr>
                <w:rFonts w:cs="Sylfaen"/>
                <w:b/>
                <w:lang w:val="hy-AM"/>
              </w:rPr>
              <w:t>1.2 Առկա</w:t>
            </w:r>
            <w:r w:rsidRPr="0053423A">
              <w:rPr>
                <w:b/>
                <w:lang w:val="hy-AM"/>
              </w:rPr>
              <w:t xml:space="preserve"> խնդիրների առաջարկվող լուծումները</w:t>
            </w:r>
          </w:p>
          <w:p w:rsidR="00530B14" w:rsidRPr="0053423A" w:rsidRDefault="00530B14" w:rsidP="00A67858">
            <w:pPr>
              <w:spacing w:line="276" w:lineRule="auto"/>
              <w:ind w:right="239"/>
              <w:jc w:val="both"/>
              <w:rPr>
                <w:lang w:val="hy-AM"/>
              </w:rPr>
            </w:pPr>
            <w:r w:rsidRPr="0053423A">
              <w:rPr>
                <w:lang w:val="hy-AM"/>
              </w:rPr>
              <w:tab/>
              <w:t>Անասնապահական տնտեսությունների արդիականացման համար, այդ թվում պահվածքի պայմանների բարելավման, կաթնա</w:t>
            </w:r>
            <w:r w:rsidRPr="0053423A">
              <w:rPr>
                <w:lang w:val="hy-AM"/>
              </w:rPr>
              <w:softHyphen/>
              <w:t>տվության մակարդակի բարձրաց</w:t>
            </w:r>
            <w:r w:rsidRPr="0053423A">
              <w:rPr>
                <w:lang w:val="hy-AM"/>
              </w:rPr>
              <w:softHyphen/>
              <w:t>ման, տնտեսավարող սուբյեկտների եկամուտների ավելացման և ճյուղի շահութա</w:t>
            </w:r>
            <w:r w:rsidRPr="0053423A">
              <w:rPr>
                <w:lang w:val="hy-AM"/>
              </w:rPr>
              <w:softHyphen/>
              <w:t>բերության մակարդակի բարձրացման նպատակով անհրաժեշտություն է առաջանում պետական աջակցությամբ իրա</w:t>
            </w:r>
            <w:r w:rsidRPr="0053423A">
              <w:rPr>
                <w:lang w:val="hy-AM"/>
              </w:rPr>
              <w:softHyphen/>
              <w:t xml:space="preserve">կանացնել </w:t>
            </w:r>
            <w:r w:rsidRPr="0053423A">
              <w:rPr>
                <w:rFonts w:cs="Arial"/>
                <w:bCs/>
                <w:lang w:val="hy-AM"/>
              </w:rPr>
              <w:t>Փոքր</w:t>
            </w:r>
            <w:r w:rsidRPr="0053423A">
              <w:rPr>
                <w:bCs/>
                <w:lang w:val="hy-AM"/>
              </w:rPr>
              <w:t xml:space="preserve"> </w:t>
            </w:r>
            <w:r w:rsidRPr="0053423A">
              <w:rPr>
                <w:rFonts w:cs="Arial"/>
                <w:bCs/>
                <w:lang w:val="hy-AM"/>
              </w:rPr>
              <w:t>և</w:t>
            </w:r>
            <w:r w:rsidRPr="0053423A">
              <w:rPr>
                <w:bCs/>
                <w:lang w:val="hy-AM"/>
              </w:rPr>
              <w:t xml:space="preserve"> </w:t>
            </w:r>
            <w:r w:rsidRPr="0053423A">
              <w:rPr>
                <w:rFonts w:cs="Arial"/>
                <w:bCs/>
                <w:lang w:val="hy-AM"/>
              </w:rPr>
              <w:t>միջին</w:t>
            </w:r>
            <w:r w:rsidRPr="0053423A">
              <w:rPr>
                <w:bCs/>
                <w:lang w:val="hy-AM"/>
              </w:rPr>
              <w:t xml:space="preserve"> </w:t>
            </w:r>
            <w:r w:rsidRPr="0053423A">
              <w:rPr>
                <w:rFonts w:cs="Franklin Gothic Medium Cond"/>
                <w:bCs/>
                <w:lang w:val="hy-AM"/>
              </w:rPr>
              <w:t>«</w:t>
            </w:r>
            <w:r w:rsidRPr="0053423A">
              <w:rPr>
                <w:bCs/>
                <w:lang w:val="hy-AM"/>
              </w:rPr>
              <w:t>Խելացի</w:t>
            </w:r>
            <w:r w:rsidRPr="0053423A">
              <w:rPr>
                <w:rFonts w:cs="Franklin Gothic Medium Cond"/>
                <w:bCs/>
                <w:lang w:val="hy-AM"/>
              </w:rPr>
              <w:t>»</w:t>
            </w:r>
            <w:r w:rsidRPr="0053423A">
              <w:rPr>
                <w:bCs/>
                <w:lang w:val="hy-AM"/>
              </w:rPr>
              <w:t xml:space="preserve"> </w:t>
            </w:r>
            <w:r w:rsidRPr="0053423A">
              <w:rPr>
                <w:rFonts w:cs="Arial"/>
                <w:bCs/>
                <w:lang w:val="hy-AM"/>
              </w:rPr>
              <w:t>անասնաշենքերի</w:t>
            </w:r>
            <w:r w:rsidRPr="0053423A">
              <w:rPr>
                <w:bCs/>
                <w:lang w:val="hy-AM"/>
              </w:rPr>
              <w:t xml:space="preserve"> </w:t>
            </w:r>
            <w:r w:rsidRPr="0053423A">
              <w:rPr>
                <w:rFonts w:cs="Arial"/>
                <w:bCs/>
                <w:lang w:val="hy-AM"/>
              </w:rPr>
              <w:t xml:space="preserve">կառուցման կամ վերակառուցման և </w:t>
            </w:r>
            <w:r w:rsidRPr="0053423A">
              <w:rPr>
                <w:rFonts w:cs="Sylfaen"/>
                <w:lang w:val="hy-AM"/>
              </w:rPr>
              <w:t>դրանց տեխնոլո</w:t>
            </w:r>
            <w:r w:rsidRPr="0053423A">
              <w:rPr>
                <w:rFonts w:cs="Sylfaen"/>
                <w:lang w:val="hy-AM"/>
              </w:rPr>
              <w:softHyphen/>
              <w:t>գիական ապահովման</w:t>
            </w:r>
            <w:r w:rsidRPr="0053423A">
              <w:rPr>
                <w:rFonts w:cs="Arial"/>
                <w:bCs/>
                <w:lang w:val="hy-AM"/>
              </w:rPr>
              <w:t xml:space="preserve"> </w:t>
            </w:r>
            <w:r w:rsidRPr="0053423A">
              <w:rPr>
                <w:bCs/>
                <w:lang w:val="hy-AM"/>
              </w:rPr>
              <w:t xml:space="preserve">պետական </w:t>
            </w:r>
            <w:r w:rsidRPr="0053423A">
              <w:rPr>
                <w:lang w:val="hy-AM"/>
              </w:rPr>
              <w:t>աջակցության ծրա</w:t>
            </w:r>
            <w:r w:rsidRPr="0053423A">
              <w:rPr>
                <w:lang w:val="hy-AM"/>
              </w:rPr>
              <w:softHyphen/>
              <w:t xml:space="preserve">գիրը: </w:t>
            </w:r>
          </w:p>
          <w:p w:rsidR="00530B14" w:rsidRPr="0053423A" w:rsidRDefault="00530B14" w:rsidP="001F6D5D">
            <w:pPr>
              <w:pStyle w:val="ListParagraph"/>
              <w:numPr>
                <w:ilvl w:val="0"/>
                <w:numId w:val="105"/>
              </w:numPr>
              <w:spacing w:line="276" w:lineRule="auto"/>
              <w:ind w:right="239"/>
              <w:jc w:val="both"/>
              <w:rPr>
                <w:b/>
              </w:rPr>
            </w:pPr>
            <w:r w:rsidRPr="0053423A">
              <w:rPr>
                <w:b/>
                <w:lang w:val="hy-AM"/>
              </w:rPr>
              <w:t>Միջոցառման իրականացումից ակնկալվող արդյունքը</w:t>
            </w:r>
          </w:p>
          <w:p w:rsidR="00530B14" w:rsidRPr="0053423A" w:rsidRDefault="00530B14" w:rsidP="00A67858">
            <w:pPr>
              <w:tabs>
                <w:tab w:val="left" w:pos="990"/>
                <w:tab w:val="left" w:pos="1260"/>
              </w:tabs>
              <w:spacing w:line="276" w:lineRule="auto"/>
              <w:jc w:val="both"/>
              <w:rPr>
                <w:bCs/>
              </w:rPr>
            </w:pPr>
            <w:r w:rsidRPr="0053423A">
              <w:rPr>
                <w:bCs/>
              </w:rPr>
              <w:tab/>
            </w:r>
            <w:r w:rsidRPr="0053423A">
              <w:rPr>
                <w:bCs/>
                <w:lang w:val="hy-AM"/>
              </w:rPr>
              <w:t>Ծրագրի իրականացումից ակնկալվ</w:t>
            </w:r>
            <w:r w:rsidRPr="0053423A">
              <w:rPr>
                <w:bCs/>
              </w:rPr>
              <w:t>ող արդյունքներն են՝</w:t>
            </w:r>
          </w:p>
          <w:p w:rsidR="00530B14" w:rsidRPr="0053423A" w:rsidRDefault="00530B14" w:rsidP="001F6D5D">
            <w:pPr>
              <w:pStyle w:val="ListParagraph"/>
              <w:numPr>
                <w:ilvl w:val="0"/>
                <w:numId w:val="107"/>
              </w:numPr>
              <w:spacing w:line="276" w:lineRule="auto"/>
              <w:ind w:left="0" w:firstLine="630"/>
              <w:jc w:val="both"/>
              <w:rPr>
                <w:bCs/>
                <w:lang w:val="hy-AM"/>
              </w:rPr>
            </w:pPr>
            <w:r w:rsidRPr="0053423A">
              <w:rPr>
                <w:bCs/>
              </w:rPr>
              <w:t xml:space="preserve"> </w:t>
            </w:r>
            <w:r w:rsidRPr="0053423A">
              <w:rPr>
                <w:bCs/>
                <w:lang w:val="hy-AM"/>
              </w:rPr>
              <w:t>հանրապետությունում փոքր և միջին տավարաբուծական տնտեսու</w:t>
            </w:r>
            <w:r w:rsidRPr="0053423A">
              <w:rPr>
                <w:bCs/>
                <w:lang w:val="hy-AM"/>
              </w:rPr>
              <w:softHyphen/>
              <w:t>թյունների զարգացում՝ շուրջ 230 անասնաշենքերի կառուցում կամ վերակառուցում,</w:t>
            </w:r>
          </w:p>
          <w:p w:rsidR="00530B14" w:rsidRPr="0053423A" w:rsidRDefault="00530B14" w:rsidP="001F6D5D">
            <w:pPr>
              <w:pStyle w:val="ListParagraph"/>
              <w:numPr>
                <w:ilvl w:val="0"/>
                <w:numId w:val="107"/>
              </w:numPr>
              <w:spacing w:line="276" w:lineRule="auto"/>
              <w:ind w:left="0" w:firstLine="630"/>
              <w:jc w:val="both"/>
              <w:rPr>
                <w:bCs/>
                <w:lang w:val="hy-AM"/>
              </w:rPr>
            </w:pPr>
            <w:r w:rsidRPr="0053423A">
              <w:rPr>
                <w:bCs/>
                <w:lang w:val="hy-AM"/>
              </w:rPr>
              <w:t xml:space="preserve"> տավարաբուծության վարման արդիական տեխնոլոգիաների ներդրում, ճյուղի ինտենսիվացում,</w:t>
            </w:r>
          </w:p>
          <w:p w:rsidR="00530B14" w:rsidRPr="0053423A" w:rsidRDefault="00530B14" w:rsidP="001F6D5D">
            <w:pPr>
              <w:pStyle w:val="ListParagraph"/>
              <w:numPr>
                <w:ilvl w:val="0"/>
                <w:numId w:val="107"/>
              </w:numPr>
              <w:spacing w:line="276" w:lineRule="auto"/>
              <w:ind w:left="0" w:firstLine="630"/>
              <w:jc w:val="both"/>
              <w:rPr>
                <w:bCs/>
                <w:lang w:val="hy-AM"/>
              </w:rPr>
            </w:pPr>
            <w:r w:rsidRPr="0053423A">
              <w:rPr>
                <w:bCs/>
                <w:lang w:val="hy-AM"/>
              </w:rPr>
              <w:t xml:space="preserve">  կենդանիների պահվածքի համար բարենպաստ պայմանների ստեղ</w:t>
            </w:r>
            <w:r w:rsidRPr="0053423A">
              <w:rPr>
                <w:bCs/>
                <w:lang w:val="hy-AM"/>
              </w:rPr>
              <w:softHyphen/>
              <w:t>ծում (զոոհիգիենիկ պայմանների ապահովում, գենետիկ ներուժի արդյունավետ օգտա</w:t>
            </w:r>
            <w:r w:rsidRPr="0053423A">
              <w:rPr>
                <w:bCs/>
                <w:lang w:val="hy-AM"/>
              </w:rPr>
              <w:softHyphen/>
              <w:t>գործում),</w:t>
            </w:r>
          </w:p>
          <w:p w:rsidR="00530B14" w:rsidRPr="0053423A" w:rsidRDefault="00530B14" w:rsidP="001F6D5D">
            <w:pPr>
              <w:pStyle w:val="ListParagraph"/>
              <w:numPr>
                <w:ilvl w:val="0"/>
                <w:numId w:val="107"/>
              </w:numPr>
              <w:spacing w:line="276" w:lineRule="auto"/>
              <w:ind w:left="0" w:firstLine="630"/>
              <w:jc w:val="both"/>
              <w:rPr>
                <w:bCs/>
                <w:lang w:val="hy-AM"/>
              </w:rPr>
            </w:pPr>
            <w:r w:rsidRPr="0053423A">
              <w:rPr>
                <w:bCs/>
                <w:lang w:val="hy-AM"/>
              </w:rPr>
              <w:t xml:space="preserve"> մեկ գլուխ կովի հաշվով կաթնատվության մակարդակի բարձրացում՝ մինչև 3500-4000 կգ,</w:t>
            </w:r>
          </w:p>
          <w:p w:rsidR="00530B14" w:rsidRPr="0053423A" w:rsidRDefault="00530B14" w:rsidP="001F6D5D">
            <w:pPr>
              <w:pStyle w:val="ListParagraph"/>
              <w:numPr>
                <w:ilvl w:val="0"/>
                <w:numId w:val="107"/>
              </w:numPr>
              <w:spacing w:line="276" w:lineRule="auto"/>
              <w:ind w:left="0" w:firstLine="630"/>
              <w:jc w:val="both"/>
              <w:rPr>
                <w:bCs/>
                <w:lang w:val="hy-AM"/>
              </w:rPr>
            </w:pPr>
            <w:r w:rsidRPr="0053423A">
              <w:rPr>
                <w:bCs/>
                <w:lang w:val="hy-AM"/>
              </w:rPr>
              <w:t xml:space="preserve">  անասնագլխաքանակի ավելացում,</w:t>
            </w:r>
          </w:p>
          <w:p w:rsidR="00530B14" w:rsidRPr="0053423A" w:rsidRDefault="00530B14" w:rsidP="001F6D5D">
            <w:pPr>
              <w:pStyle w:val="ListParagraph"/>
              <w:numPr>
                <w:ilvl w:val="0"/>
                <w:numId w:val="107"/>
              </w:numPr>
              <w:spacing w:line="276" w:lineRule="auto"/>
              <w:ind w:left="0" w:firstLine="630"/>
              <w:jc w:val="both"/>
              <w:rPr>
                <w:bCs/>
                <w:lang w:val="hy-AM"/>
              </w:rPr>
            </w:pPr>
            <w:r w:rsidRPr="0053423A">
              <w:rPr>
                <w:bCs/>
                <w:lang w:val="hy-AM"/>
              </w:rPr>
              <w:t xml:space="preserve">  կաթի ինքնարժեքի իջեցում, արտադրության ծավալների ավելացում, </w:t>
            </w:r>
          </w:p>
          <w:p w:rsidR="00530B14" w:rsidRPr="0053423A" w:rsidRDefault="00530B14" w:rsidP="001F6D5D">
            <w:pPr>
              <w:pStyle w:val="ListParagraph"/>
              <w:numPr>
                <w:ilvl w:val="0"/>
                <w:numId w:val="107"/>
              </w:numPr>
              <w:spacing w:line="276" w:lineRule="auto"/>
              <w:ind w:left="0" w:firstLine="630"/>
              <w:jc w:val="both"/>
              <w:rPr>
                <w:bCs/>
                <w:lang w:val="hy-AM"/>
              </w:rPr>
            </w:pPr>
            <w:r w:rsidRPr="0053423A">
              <w:rPr>
                <w:bCs/>
                <w:lang w:val="hy-AM"/>
              </w:rPr>
              <w:t xml:space="preserve">  կաթի որակական հատկանիշների բարելավում,</w:t>
            </w:r>
          </w:p>
          <w:p w:rsidR="00530B14" w:rsidRPr="0053423A" w:rsidRDefault="00530B14" w:rsidP="001F6D5D">
            <w:pPr>
              <w:pStyle w:val="ListParagraph"/>
              <w:numPr>
                <w:ilvl w:val="0"/>
                <w:numId w:val="107"/>
              </w:numPr>
              <w:spacing w:line="276" w:lineRule="auto"/>
              <w:ind w:left="0" w:firstLine="630"/>
              <w:jc w:val="both"/>
              <w:rPr>
                <w:bCs/>
                <w:lang w:val="hy-AM"/>
              </w:rPr>
            </w:pPr>
            <w:r w:rsidRPr="0053423A">
              <w:rPr>
                <w:bCs/>
                <w:lang w:val="hy-AM"/>
              </w:rPr>
              <w:t xml:space="preserve">  տնտեսավարող սուբյեկտների եկամուտների ավելացում, մրցունակու</w:t>
            </w:r>
            <w:r w:rsidRPr="0053423A">
              <w:rPr>
                <w:bCs/>
                <w:lang w:val="hy-AM"/>
              </w:rPr>
              <w:softHyphen/>
              <w:t>թյան մակարդակի բարձրացում,</w:t>
            </w:r>
          </w:p>
          <w:p w:rsidR="00530B14" w:rsidRPr="0053423A" w:rsidRDefault="00530B14" w:rsidP="001F6D5D">
            <w:pPr>
              <w:pStyle w:val="ListParagraph"/>
              <w:numPr>
                <w:ilvl w:val="0"/>
                <w:numId w:val="107"/>
              </w:numPr>
              <w:spacing w:line="276" w:lineRule="auto"/>
              <w:ind w:left="0" w:firstLine="630"/>
              <w:jc w:val="both"/>
              <w:rPr>
                <w:bCs/>
                <w:lang w:val="hy-AM"/>
              </w:rPr>
            </w:pPr>
            <w:r w:rsidRPr="0053423A">
              <w:rPr>
                <w:bCs/>
                <w:lang w:val="hy-AM"/>
              </w:rPr>
              <w:t xml:space="preserve">  տնտեսավարող սուբյեկտների մասնագիտական կարողությունների բարձրա</w:t>
            </w:r>
            <w:r w:rsidRPr="0053423A">
              <w:rPr>
                <w:bCs/>
                <w:lang w:val="hy-AM"/>
              </w:rPr>
              <w:softHyphen/>
              <w:t>ցում,</w:t>
            </w:r>
          </w:p>
          <w:p w:rsidR="00530B14" w:rsidRPr="0053423A" w:rsidRDefault="00530B14" w:rsidP="001F6D5D">
            <w:pPr>
              <w:pStyle w:val="ListParagraph"/>
              <w:numPr>
                <w:ilvl w:val="0"/>
                <w:numId w:val="107"/>
              </w:numPr>
              <w:spacing w:line="276" w:lineRule="auto"/>
              <w:ind w:left="0" w:firstLine="630"/>
              <w:jc w:val="both"/>
              <w:rPr>
                <w:b/>
                <w:bCs/>
                <w:i/>
                <w:iCs/>
                <w:u w:val="single"/>
                <w:lang w:val="hy-AM"/>
              </w:rPr>
            </w:pPr>
            <w:r w:rsidRPr="0053423A">
              <w:rPr>
                <w:bCs/>
                <w:lang w:val="hy-AM"/>
              </w:rPr>
              <w:t xml:space="preserve">  ստեղծվող տնտեսությունները կարող են օրինակ ծառայել</w:t>
            </w:r>
            <w:r w:rsidRPr="0053423A">
              <w:rPr>
                <w:rFonts w:cs="Sylfaen"/>
                <w:lang w:val="hy-AM"/>
              </w:rPr>
              <w:t xml:space="preserve"> </w:t>
            </w:r>
            <w:r w:rsidRPr="0053423A">
              <w:rPr>
                <w:bCs/>
                <w:lang w:val="hy-AM"/>
              </w:rPr>
              <w:t>ֆերմերների լայն շերտերի համար տավարաբուծության արդի մոտեցումներին ծանոթացնելու առումով, ինչպես նաև ուսումնական բազա՝ ուսանողների համար։</w:t>
            </w:r>
          </w:p>
        </w:tc>
      </w:tr>
      <w:tr w:rsidR="00530B14" w:rsidRPr="00DE2EFA" w:rsidTr="004440EB">
        <w:tc>
          <w:tcPr>
            <w:tcW w:w="480" w:type="dxa"/>
          </w:tcPr>
          <w:p w:rsidR="00530B14" w:rsidRPr="0053423A" w:rsidRDefault="00530B14" w:rsidP="00A67858">
            <w:pPr>
              <w:spacing w:line="276" w:lineRule="auto"/>
              <w:jc w:val="center"/>
              <w:rPr>
                <w:b/>
                <w:bCs/>
                <w:iCs/>
                <w:lang w:val="hy-AM"/>
              </w:rPr>
            </w:pPr>
            <w:r w:rsidRPr="0053423A">
              <w:rPr>
                <w:b/>
                <w:bCs/>
                <w:iCs/>
                <w:lang w:val="hy-AM"/>
              </w:rPr>
              <w:t>3</w:t>
            </w:r>
          </w:p>
        </w:tc>
        <w:tc>
          <w:tcPr>
            <w:tcW w:w="10879" w:type="dxa"/>
          </w:tcPr>
          <w:p w:rsidR="00530B14" w:rsidRPr="0053423A" w:rsidRDefault="00530B14" w:rsidP="00A67858">
            <w:pPr>
              <w:spacing w:line="276" w:lineRule="auto"/>
              <w:jc w:val="center"/>
              <w:rPr>
                <w:b/>
                <w:lang w:val="hy-AM"/>
              </w:rPr>
            </w:pPr>
            <w:r w:rsidRPr="0053423A">
              <w:rPr>
                <w:b/>
                <w:lang w:val="hy-AM"/>
              </w:rPr>
              <w:t>Մեքենատրակտորային համակազմի թարմաց</w:t>
            </w:r>
            <w:r w:rsidRPr="0053423A">
              <w:rPr>
                <w:b/>
                <w:lang w:val="hy-AM"/>
              </w:rPr>
              <w:softHyphen/>
              <w:t>ման և գյուղատնտե</w:t>
            </w:r>
            <w:r w:rsidRPr="0053423A">
              <w:rPr>
                <w:b/>
                <w:lang w:val="hy-AM"/>
              </w:rPr>
              <w:softHyphen/>
              <w:t>սական տեխնիկայի նկատմամբ գյուղատն</w:t>
            </w:r>
            <w:r w:rsidRPr="0053423A">
              <w:rPr>
                <w:b/>
                <w:lang w:val="hy-AM"/>
              </w:rPr>
              <w:softHyphen/>
              <w:t>տեսության կարիքների բարե</w:t>
            </w:r>
            <w:r w:rsidRPr="0053423A">
              <w:rPr>
                <w:b/>
                <w:lang w:val="hy-AM"/>
              </w:rPr>
              <w:softHyphen/>
              <w:t>լավում</w:t>
            </w:r>
          </w:p>
          <w:p w:rsidR="00530B14" w:rsidRPr="0053423A" w:rsidRDefault="00530B14" w:rsidP="00A67858">
            <w:pPr>
              <w:spacing w:line="276" w:lineRule="auto"/>
              <w:jc w:val="center"/>
              <w:rPr>
                <w:b/>
                <w:lang w:val="hy-AM"/>
              </w:rPr>
            </w:pPr>
          </w:p>
          <w:p w:rsidR="00530B14" w:rsidRPr="0053423A" w:rsidRDefault="00530B14" w:rsidP="00A67858">
            <w:pPr>
              <w:spacing w:line="276" w:lineRule="auto"/>
              <w:jc w:val="center"/>
              <w:rPr>
                <w:b/>
                <w:u w:val="single"/>
                <w:lang w:val="hy-AM"/>
              </w:rPr>
            </w:pPr>
            <w:r w:rsidRPr="0053423A">
              <w:rPr>
                <w:b/>
                <w:u w:val="single"/>
                <w:lang w:val="hy-AM"/>
              </w:rPr>
              <w:t xml:space="preserve">3.1 Հայաստանի Հանրապետությունում գյուղատնտեսական տեխնիկայի ֆինանսական վարձակալության` լիզինգի պետական աջակցության </w:t>
            </w:r>
            <w:r w:rsidRPr="0053423A">
              <w:rPr>
                <w:rFonts w:cs="Sylfaen"/>
                <w:b/>
                <w:u w:val="single"/>
                <w:lang w:val="af-ZA"/>
              </w:rPr>
              <w:t>ծրագրի իրակա</w:t>
            </w:r>
            <w:r w:rsidRPr="0053423A">
              <w:rPr>
                <w:rFonts w:cs="Sylfaen"/>
                <w:b/>
                <w:u w:val="single"/>
                <w:lang w:val="af-ZA"/>
              </w:rPr>
              <w:softHyphen/>
              <w:t>նացում</w:t>
            </w:r>
          </w:p>
          <w:p w:rsidR="00530B14" w:rsidRPr="0053423A" w:rsidRDefault="00530B14" w:rsidP="00A67858">
            <w:pPr>
              <w:spacing w:line="276" w:lineRule="auto"/>
              <w:jc w:val="center"/>
              <w:rPr>
                <w:lang w:val="hy-AM"/>
              </w:rPr>
            </w:pPr>
          </w:p>
          <w:p w:rsidR="00530B14" w:rsidRPr="0053423A" w:rsidRDefault="00530B14" w:rsidP="00A67858">
            <w:pPr>
              <w:tabs>
                <w:tab w:val="left" w:pos="1080"/>
              </w:tabs>
              <w:spacing w:line="276" w:lineRule="auto"/>
              <w:ind w:firstLine="720"/>
              <w:rPr>
                <w:rFonts w:cs="Sylfaen"/>
                <w:b/>
                <w:lang w:val="af-ZA"/>
              </w:rPr>
            </w:pPr>
            <w:r w:rsidRPr="0053423A">
              <w:rPr>
                <w:rFonts w:cs="Sylfaen"/>
                <w:b/>
                <w:lang w:val="hy-AM"/>
              </w:rPr>
              <w:t xml:space="preserve">1. </w:t>
            </w:r>
            <w:r w:rsidRPr="0053423A">
              <w:rPr>
                <w:b/>
                <w:lang w:val="hy-AM"/>
              </w:rPr>
              <w:t>Միջոցառման իրականացման անհրաժեշտությունը և նպատակը</w:t>
            </w:r>
            <w:r w:rsidRPr="0053423A">
              <w:rPr>
                <w:rFonts w:cs="Sylfaen"/>
                <w:b/>
                <w:lang w:val="af-ZA"/>
              </w:rPr>
              <w:t xml:space="preserve"> </w:t>
            </w:r>
          </w:p>
          <w:p w:rsidR="00530B14" w:rsidRPr="0053423A" w:rsidRDefault="00530B14" w:rsidP="00A67858">
            <w:pPr>
              <w:pStyle w:val="BodyTextIndent2"/>
              <w:spacing w:after="0" w:line="276" w:lineRule="auto"/>
              <w:ind w:left="0" w:firstLine="720"/>
              <w:jc w:val="both"/>
              <w:rPr>
                <w:rFonts w:ascii="GHEA Grapalat" w:hAnsi="GHEA Grapalat" w:cs="Sylfaen"/>
                <w:lang w:val="hy-AM"/>
              </w:rPr>
            </w:pPr>
            <w:r w:rsidRPr="0053423A">
              <w:rPr>
                <w:rFonts w:ascii="GHEA Grapalat" w:hAnsi="GHEA Grapalat"/>
                <w:lang w:val="hy-AM"/>
              </w:rPr>
              <w:t xml:space="preserve">ՀՀ-ում գյուղատնտեսական տեխնիկայի ֆինանսական վարձակալության` լիզինգի պետական աջակցության </w:t>
            </w:r>
            <w:r w:rsidRPr="0053423A">
              <w:rPr>
                <w:rFonts w:ascii="GHEA Grapalat" w:hAnsi="GHEA Grapalat" w:cs="Sylfaen"/>
                <w:lang w:val="af-ZA"/>
              </w:rPr>
              <w:t>ծրագրի</w:t>
            </w:r>
            <w:r w:rsidRPr="0053423A">
              <w:rPr>
                <w:rFonts w:ascii="GHEA Grapalat" w:hAnsi="GHEA Grapalat" w:cs="Sylfaen"/>
                <w:b/>
                <w:lang w:val="af-ZA"/>
              </w:rPr>
              <w:t xml:space="preserve"> </w:t>
            </w:r>
            <w:r w:rsidRPr="0053423A">
              <w:rPr>
                <w:rFonts w:ascii="GHEA Grapalat" w:hAnsi="GHEA Grapalat" w:cs="Sylfaen"/>
                <w:lang w:val="af-ZA"/>
              </w:rPr>
              <w:t>(</w:t>
            </w:r>
            <w:r w:rsidRPr="0053423A">
              <w:rPr>
                <w:rFonts w:ascii="GHEA Grapalat" w:hAnsi="GHEA Grapalat" w:cs="Sylfaen"/>
                <w:lang w:val="hy-AM"/>
              </w:rPr>
              <w:t>այսուհետ՝ Ծրագիր</w:t>
            </w:r>
            <w:r w:rsidRPr="0053423A">
              <w:rPr>
                <w:rFonts w:ascii="GHEA Grapalat" w:hAnsi="GHEA Grapalat" w:cs="Sylfaen"/>
                <w:lang w:val="af-ZA"/>
              </w:rPr>
              <w:t>)</w:t>
            </w:r>
            <w:r w:rsidRPr="0053423A">
              <w:rPr>
                <w:rFonts w:ascii="GHEA Grapalat" w:hAnsi="GHEA Grapalat" w:cs="Sylfaen"/>
                <w:lang w:val="hy-AM"/>
              </w:rPr>
              <w:t xml:space="preserve"> իրակա</w:t>
            </w:r>
            <w:r w:rsidRPr="0053423A">
              <w:rPr>
                <w:rFonts w:ascii="GHEA Grapalat" w:hAnsi="GHEA Grapalat" w:cs="Sylfaen"/>
                <w:lang w:val="hy-AM"/>
              </w:rPr>
              <w:softHyphen/>
              <w:t>նացման անհրա</w:t>
            </w:r>
            <w:r w:rsidRPr="0053423A">
              <w:rPr>
                <w:rFonts w:ascii="GHEA Grapalat" w:hAnsi="GHEA Grapalat" w:cs="Sylfaen"/>
                <w:lang w:val="af-ZA"/>
              </w:rPr>
              <w:softHyphen/>
            </w:r>
            <w:r w:rsidRPr="0053423A">
              <w:rPr>
                <w:rFonts w:ascii="GHEA Grapalat" w:hAnsi="GHEA Grapalat" w:cs="Sylfaen"/>
                <w:lang w:val="hy-AM"/>
              </w:rPr>
              <w:t xml:space="preserve">ժեշտությունը բխում է ՀՀ ԱԺ 2019 թվականի փետրվարի 14-ի ԱԺՈ-002-Ն որոշմամբ հավանության արժանացած ՀՀ կառավարության ծրագրից </w:t>
            </w:r>
            <w:r w:rsidRPr="0053423A">
              <w:rPr>
                <w:rFonts w:ascii="GHEA Grapalat" w:hAnsi="GHEA Grapalat" w:cs="Sylfaen"/>
                <w:lang w:val="af-ZA"/>
              </w:rPr>
              <w:t>(</w:t>
            </w:r>
            <w:r w:rsidRPr="0053423A">
              <w:rPr>
                <w:rFonts w:ascii="GHEA Grapalat" w:hAnsi="GHEA Grapalat" w:cs="Sylfaen"/>
                <w:lang w:val="hy-AM"/>
              </w:rPr>
              <w:t>5.10. Գյու</w:t>
            </w:r>
            <w:r w:rsidRPr="0053423A">
              <w:rPr>
                <w:rFonts w:ascii="GHEA Grapalat" w:hAnsi="GHEA Grapalat" w:cs="Sylfaen"/>
                <w:lang w:val="hy-AM"/>
              </w:rPr>
              <w:softHyphen/>
              <w:t xml:space="preserve">ղատնտեսությունը բաժին, 5-րդ պարբերություն): </w:t>
            </w:r>
          </w:p>
          <w:p w:rsidR="00530B14" w:rsidRPr="0053423A" w:rsidRDefault="00530B14" w:rsidP="00A67858">
            <w:pPr>
              <w:pStyle w:val="BodyTextIndent"/>
              <w:spacing w:after="0" w:line="276" w:lineRule="auto"/>
              <w:ind w:left="0"/>
              <w:jc w:val="both"/>
              <w:rPr>
                <w:rFonts w:ascii="GHEA Grapalat" w:hAnsi="GHEA Grapalat" w:cs="Sylfaen"/>
                <w:sz w:val="20"/>
                <w:szCs w:val="20"/>
                <w:lang w:val="hy-AM"/>
              </w:rPr>
            </w:pPr>
            <w:r w:rsidRPr="0053423A">
              <w:rPr>
                <w:rFonts w:ascii="GHEA Grapalat" w:hAnsi="GHEA Grapalat" w:cs="Sylfaen"/>
                <w:sz w:val="20"/>
                <w:szCs w:val="20"/>
                <w:lang w:val="hy-AM"/>
              </w:rPr>
              <w:tab/>
              <w:t>Ծրագրի հիմնական նպատակը գյուղատնտեսությունում տնտեսավարողներին մատչելի պայմաններով, մասնավորապես լիզինգային մեխանիզմների կիրառմամբ գյուղատնտեսական տեխնիկայի մատակարարումն է, արդյունքում՝ գյուղատնտեսական հողատեսքերի արդյունավետ օգտագործման և ապրանքային արտադրության կազմա</w:t>
            </w:r>
            <w:r w:rsidRPr="0053423A">
              <w:rPr>
                <w:rFonts w:ascii="GHEA Grapalat" w:hAnsi="GHEA Grapalat" w:cs="Sylfaen"/>
                <w:sz w:val="20"/>
                <w:szCs w:val="20"/>
                <w:lang w:val="hy-AM"/>
              </w:rPr>
              <w:softHyphen/>
              <w:t>կերպման համար նպաստավոր պայմանների ստեղծումը:</w:t>
            </w:r>
          </w:p>
          <w:p w:rsidR="00530B14" w:rsidRPr="0053423A" w:rsidRDefault="00530B14" w:rsidP="00A67858">
            <w:pPr>
              <w:tabs>
                <w:tab w:val="left" w:pos="1080"/>
              </w:tabs>
              <w:spacing w:line="276" w:lineRule="auto"/>
              <w:ind w:firstLine="720"/>
              <w:rPr>
                <w:rFonts w:cs="Sylfaen"/>
                <w:b/>
                <w:lang w:val="hy-AM"/>
              </w:rPr>
            </w:pPr>
            <w:r w:rsidRPr="0053423A">
              <w:rPr>
                <w:rFonts w:cs="Sylfaen"/>
                <w:b/>
                <w:lang w:val="hy-AM"/>
              </w:rPr>
              <w:t>1.1. Կարգավորման հարաբերությունների ներկա վիճակը և առկա խնդիրները</w:t>
            </w:r>
          </w:p>
          <w:p w:rsidR="00530B14" w:rsidRPr="0053423A" w:rsidRDefault="00530B14" w:rsidP="00A67858">
            <w:pPr>
              <w:tabs>
                <w:tab w:val="left" w:pos="900"/>
              </w:tabs>
              <w:spacing w:line="276" w:lineRule="auto"/>
              <w:ind w:firstLine="720"/>
              <w:jc w:val="both"/>
              <w:rPr>
                <w:lang w:val="hy-AM"/>
              </w:rPr>
            </w:pPr>
            <w:r w:rsidRPr="0053423A">
              <w:rPr>
                <w:rFonts w:cs="Sylfaen"/>
                <w:lang w:val="hy-AM"/>
              </w:rPr>
              <w:t>Գյուղատնտեսության</w:t>
            </w:r>
            <w:r w:rsidRPr="0053423A">
              <w:rPr>
                <w:rFonts w:cs="Sylfaen"/>
                <w:lang w:val="af-ZA"/>
              </w:rPr>
              <w:t xml:space="preserve"> </w:t>
            </w:r>
            <w:r w:rsidRPr="0053423A">
              <w:rPr>
                <w:rFonts w:cs="Sylfaen"/>
                <w:lang w:val="hy-AM"/>
              </w:rPr>
              <w:t>զարգացման</w:t>
            </w:r>
            <w:r w:rsidRPr="0053423A">
              <w:rPr>
                <w:rFonts w:cs="Sylfaen"/>
                <w:lang w:val="af-ZA"/>
              </w:rPr>
              <w:t xml:space="preserve"> </w:t>
            </w:r>
            <w:r w:rsidRPr="0053423A">
              <w:rPr>
                <w:rFonts w:cs="Sylfaen"/>
                <w:lang w:val="hy-AM"/>
              </w:rPr>
              <w:t>հիմնական</w:t>
            </w:r>
            <w:r w:rsidRPr="0053423A">
              <w:rPr>
                <w:rFonts w:cs="Sylfaen"/>
                <w:lang w:val="af-ZA"/>
              </w:rPr>
              <w:t xml:space="preserve"> </w:t>
            </w:r>
            <w:r w:rsidRPr="0053423A">
              <w:rPr>
                <w:rFonts w:cs="Sylfaen"/>
                <w:lang w:val="hy-AM"/>
              </w:rPr>
              <w:t>նախապայմաններից</w:t>
            </w:r>
            <w:r w:rsidRPr="0053423A">
              <w:rPr>
                <w:rFonts w:cs="Sylfaen"/>
                <w:lang w:val="af-ZA"/>
              </w:rPr>
              <w:t xml:space="preserve"> </w:t>
            </w:r>
            <w:r w:rsidRPr="0053423A">
              <w:rPr>
                <w:rFonts w:cs="Sylfaen"/>
                <w:lang w:val="hy-AM"/>
              </w:rPr>
              <w:t>է</w:t>
            </w:r>
            <w:r w:rsidRPr="0053423A">
              <w:rPr>
                <w:rFonts w:cs="Sylfaen"/>
                <w:lang w:val="af-ZA"/>
              </w:rPr>
              <w:t xml:space="preserve"> </w:t>
            </w:r>
            <w:r w:rsidRPr="0053423A">
              <w:rPr>
                <w:rFonts w:cs="Sylfaen"/>
                <w:lang w:val="hy-AM"/>
              </w:rPr>
              <w:t>գյուղատն</w:t>
            </w:r>
            <w:r w:rsidRPr="0053423A">
              <w:rPr>
                <w:rFonts w:cs="Sylfaen"/>
                <w:lang w:val="hy-AM"/>
              </w:rPr>
              <w:softHyphen/>
              <w:t>տեսական</w:t>
            </w:r>
            <w:r w:rsidRPr="0053423A">
              <w:rPr>
                <w:rFonts w:cs="Sylfaen"/>
                <w:lang w:val="af-ZA"/>
              </w:rPr>
              <w:t xml:space="preserve"> </w:t>
            </w:r>
            <w:r w:rsidRPr="0053423A">
              <w:rPr>
                <w:rFonts w:cs="Sylfaen"/>
                <w:lang w:val="hy-AM"/>
              </w:rPr>
              <w:t>աշխատանքների</w:t>
            </w:r>
            <w:r w:rsidRPr="0053423A">
              <w:rPr>
                <w:rFonts w:cs="Sylfaen"/>
                <w:lang w:val="af-ZA"/>
              </w:rPr>
              <w:t xml:space="preserve"> </w:t>
            </w:r>
            <w:r w:rsidRPr="0053423A">
              <w:rPr>
                <w:rFonts w:cs="Sylfaen"/>
                <w:lang w:val="hy-AM"/>
              </w:rPr>
              <w:t>մեքենայացման</w:t>
            </w:r>
            <w:r w:rsidRPr="0053423A">
              <w:rPr>
                <w:rFonts w:cs="Sylfaen"/>
                <w:lang w:val="af-ZA"/>
              </w:rPr>
              <w:t xml:space="preserve"> </w:t>
            </w:r>
            <w:r w:rsidRPr="0053423A">
              <w:rPr>
                <w:rFonts w:cs="Sylfaen"/>
                <w:lang w:val="hy-AM"/>
              </w:rPr>
              <w:t>մակարդակի</w:t>
            </w:r>
            <w:r w:rsidRPr="0053423A">
              <w:rPr>
                <w:rFonts w:cs="Sylfaen"/>
                <w:lang w:val="af-ZA"/>
              </w:rPr>
              <w:t xml:space="preserve"> </w:t>
            </w:r>
            <w:r w:rsidRPr="0053423A">
              <w:rPr>
                <w:rFonts w:cs="Sylfaen"/>
                <w:lang w:val="hy-AM"/>
              </w:rPr>
              <w:t>բարձրացումը</w:t>
            </w:r>
            <w:r w:rsidRPr="0053423A">
              <w:rPr>
                <w:rFonts w:cs="Sylfaen"/>
                <w:lang w:val="af-ZA"/>
              </w:rPr>
              <w:t xml:space="preserve">: </w:t>
            </w:r>
            <w:r w:rsidRPr="0053423A">
              <w:rPr>
                <w:rFonts w:cs="Sylfaen"/>
                <w:lang w:val="hy-AM"/>
              </w:rPr>
              <w:t>Վերջինս</w:t>
            </w:r>
            <w:r w:rsidRPr="0053423A">
              <w:rPr>
                <w:rFonts w:cs="Sylfaen"/>
                <w:lang w:val="af-ZA"/>
              </w:rPr>
              <w:t xml:space="preserve"> </w:t>
            </w:r>
            <w:r w:rsidRPr="0053423A">
              <w:rPr>
                <w:rFonts w:cs="Sylfaen"/>
                <w:lang w:val="hy-AM"/>
              </w:rPr>
              <w:t>ագրարային</w:t>
            </w:r>
            <w:r w:rsidRPr="0053423A">
              <w:rPr>
                <w:rFonts w:cs="Sylfaen"/>
                <w:lang w:val="af-ZA"/>
              </w:rPr>
              <w:t xml:space="preserve"> </w:t>
            </w:r>
            <w:r w:rsidRPr="0053423A">
              <w:rPr>
                <w:rFonts w:cs="Sylfaen"/>
                <w:lang w:val="hy-AM"/>
              </w:rPr>
              <w:t>ոլորտի</w:t>
            </w:r>
            <w:r w:rsidRPr="0053423A">
              <w:rPr>
                <w:rFonts w:cs="Sylfaen"/>
                <w:lang w:val="af-ZA"/>
              </w:rPr>
              <w:t xml:space="preserve"> </w:t>
            </w:r>
            <w:r w:rsidRPr="0053423A">
              <w:rPr>
                <w:rFonts w:cs="Sylfaen"/>
                <w:lang w:val="hy-AM"/>
              </w:rPr>
              <w:t>մրցունակության</w:t>
            </w:r>
            <w:r w:rsidRPr="0053423A">
              <w:rPr>
                <w:rFonts w:cs="Sylfaen"/>
                <w:lang w:val="af-ZA"/>
              </w:rPr>
              <w:t xml:space="preserve"> </w:t>
            </w:r>
            <w:r w:rsidRPr="0053423A">
              <w:rPr>
                <w:rFonts w:cs="Sylfaen"/>
                <w:lang w:val="hy-AM"/>
              </w:rPr>
              <w:t>և</w:t>
            </w:r>
            <w:r w:rsidRPr="0053423A">
              <w:rPr>
                <w:rFonts w:cs="Sylfaen"/>
                <w:lang w:val="af-ZA"/>
              </w:rPr>
              <w:t xml:space="preserve"> </w:t>
            </w:r>
            <w:r w:rsidRPr="0053423A">
              <w:rPr>
                <w:rFonts w:cs="Sylfaen"/>
                <w:lang w:val="hy-AM"/>
              </w:rPr>
              <w:t>արդյունավետության</w:t>
            </w:r>
            <w:r w:rsidRPr="0053423A">
              <w:rPr>
                <w:rFonts w:cs="Sylfaen"/>
                <w:lang w:val="af-ZA"/>
              </w:rPr>
              <w:t xml:space="preserve"> </w:t>
            </w:r>
            <w:r w:rsidRPr="0053423A">
              <w:rPr>
                <w:rFonts w:cs="Sylfaen"/>
                <w:lang w:val="hy-AM"/>
              </w:rPr>
              <w:t>բարձրացման</w:t>
            </w:r>
            <w:r w:rsidRPr="0053423A">
              <w:rPr>
                <w:rFonts w:cs="Sylfaen"/>
                <w:lang w:val="af-ZA"/>
              </w:rPr>
              <w:t xml:space="preserve">, </w:t>
            </w:r>
            <w:r w:rsidRPr="0053423A">
              <w:rPr>
                <w:rFonts w:cs="Sylfaen"/>
                <w:lang w:val="hy-AM"/>
              </w:rPr>
              <w:t>գյուղա</w:t>
            </w:r>
            <w:r w:rsidRPr="0053423A">
              <w:rPr>
                <w:rFonts w:cs="Sylfaen"/>
                <w:lang w:val="hy-AM"/>
              </w:rPr>
              <w:softHyphen/>
              <w:t>տնտեսական</w:t>
            </w:r>
            <w:r w:rsidRPr="0053423A">
              <w:rPr>
                <w:rFonts w:cs="Sylfaen"/>
                <w:lang w:val="af-ZA"/>
              </w:rPr>
              <w:t xml:space="preserve"> </w:t>
            </w:r>
            <w:r w:rsidRPr="0053423A">
              <w:rPr>
                <w:rFonts w:cs="Sylfaen"/>
                <w:lang w:val="hy-AM"/>
              </w:rPr>
              <w:t>արտադրանքի</w:t>
            </w:r>
            <w:r w:rsidRPr="0053423A">
              <w:rPr>
                <w:rFonts w:cs="Sylfaen"/>
                <w:lang w:val="af-ZA"/>
              </w:rPr>
              <w:t xml:space="preserve"> </w:t>
            </w:r>
            <w:r w:rsidRPr="0053423A">
              <w:rPr>
                <w:rFonts w:cs="Sylfaen"/>
                <w:lang w:val="hy-AM"/>
              </w:rPr>
              <w:t>արտադրության</w:t>
            </w:r>
            <w:r w:rsidRPr="0053423A">
              <w:rPr>
                <w:rFonts w:cs="Sylfaen"/>
                <w:lang w:val="af-ZA"/>
              </w:rPr>
              <w:t xml:space="preserve"> </w:t>
            </w:r>
            <w:r w:rsidRPr="0053423A">
              <w:rPr>
                <w:rFonts w:cs="Sylfaen"/>
                <w:lang w:val="hy-AM"/>
              </w:rPr>
              <w:t>ծավալների</w:t>
            </w:r>
            <w:r w:rsidRPr="0053423A">
              <w:rPr>
                <w:rFonts w:cs="Sylfaen"/>
                <w:lang w:val="af-ZA"/>
              </w:rPr>
              <w:t xml:space="preserve"> </w:t>
            </w:r>
            <w:r w:rsidRPr="0053423A">
              <w:rPr>
                <w:rFonts w:cs="Sylfaen"/>
                <w:lang w:val="hy-AM"/>
              </w:rPr>
              <w:t>աճի</w:t>
            </w:r>
            <w:r w:rsidRPr="0053423A">
              <w:rPr>
                <w:rFonts w:cs="Sylfaen"/>
                <w:lang w:val="af-ZA"/>
              </w:rPr>
              <w:t xml:space="preserve"> </w:t>
            </w:r>
            <w:r w:rsidRPr="0053423A">
              <w:rPr>
                <w:rFonts w:cs="Sylfaen"/>
                <w:lang w:val="hy-AM"/>
              </w:rPr>
              <w:t>և</w:t>
            </w:r>
            <w:r w:rsidRPr="0053423A">
              <w:rPr>
                <w:rFonts w:cs="Sylfaen"/>
                <w:lang w:val="af-ZA"/>
              </w:rPr>
              <w:t xml:space="preserve"> </w:t>
            </w:r>
            <w:r w:rsidRPr="0053423A">
              <w:rPr>
                <w:rFonts w:cs="Sylfaen"/>
                <w:lang w:val="hy-AM"/>
              </w:rPr>
              <w:t>ճյուղի</w:t>
            </w:r>
            <w:r w:rsidRPr="0053423A">
              <w:rPr>
                <w:rFonts w:cs="Sylfaen"/>
                <w:lang w:val="af-ZA"/>
              </w:rPr>
              <w:t xml:space="preserve"> </w:t>
            </w:r>
            <w:r w:rsidRPr="0053423A">
              <w:rPr>
                <w:rFonts w:cs="Sylfaen"/>
                <w:lang w:val="hy-AM"/>
              </w:rPr>
              <w:t>արտադրական</w:t>
            </w:r>
            <w:r w:rsidRPr="0053423A">
              <w:rPr>
                <w:rFonts w:cs="Sylfaen"/>
                <w:lang w:val="af-ZA"/>
              </w:rPr>
              <w:t xml:space="preserve"> </w:t>
            </w:r>
            <w:r w:rsidRPr="0053423A">
              <w:rPr>
                <w:rFonts w:cs="Sylfaen"/>
                <w:lang w:val="hy-AM"/>
              </w:rPr>
              <w:t>ներուժի</w:t>
            </w:r>
            <w:r w:rsidRPr="0053423A">
              <w:rPr>
                <w:rFonts w:cs="Sylfaen"/>
                <w:lang w:val="af-ZA"/>
              </w:rPr>
              <w:t xml:space="preserve"> </w:t>
            </w:r>
            <w:r w:rsidRPr="0053423A">
              <w:rPr>
                <w:rFonts w:cs="Sylfaen"/>
                <w:lang w:val="hy-AM"/>
              </w:rPr>
              <w:t>լիարժեք</w:t>
            </w:r>
            <w:r w:rsidRPr="0053423A">
              <w:rPr>
                <w:rFonts w:cs="Sylfaen"/>
                <w:lang w:val="af-ZA"/>
              </w:rPr>
              <w:t xml:space="preserve"> </w:t>
            </w:r>
            <w:r w:rsidRPr="0053423A">
              <w:rPr>
                <w:rFonts w:cs="Sylfaen"/>
                <w:lang w:val="hy-AM"/>
              </w:rPr>
              <w:t>օգտագործման</w:t>
            </w:r>
            <w:r w:rsidRPr="0053423A">
              <w:rPr>
                <w:rFonts w:cs="Sylfaen"/>
                <w:lang w:val="af-ZA"/>
              </w:rPr>
              <w:t xml:space="preserve"> </w:t>
            </w:r>
            <w:r w:rsidRPr="0053423A">
              <w:rPr>
                <w:rFonts w:cs="Sylfaen"/>
                <w:lang w:val="hy-AM"/>
              </w:rPr>
              <w:t>հիմնական</w:t>
            </w:r>
            <w:r w:rsidRPr="0053423A">
              <w:rPr>
                <w:rFonts w:cs="Sylfaen"/>
                <w:lang w:val="af-ZA"/>
              </w:rPr>
              <w:t xml:space="preserve"> </w:t>
            </w:r>
            <w:r w:rsidRPr="0053423A">
              <w:rPr>
                <w:rFonts w:cs="Sylfaen"/>
                <w:lang w:val="hy-AM"/>
              </w:rPr>
              <w:t>գործոններից</w:t>
            </w:r>
            <w:r w:rsidRPr="0053423A">
              <w:rPr>
                <w:rFonts w:cs="Sylfaen"/>
                <w:lang w:val="af-ZA"/>
              </w:rPr>
              <w:t xml:space="preserve"> </w:t>
            </w:r>
            <w:r w:rsidRPr="0053423A">
              <w:rPr>
                <w:rFonts w:cs="Sylfaen"/>
                <w:lang w:val="hy-AM"/>
              </w:rPr>
              <w:t>է: Սակայն,</w:t>
            </w:r>
            <w:r w:rsidRPr="0053423A">
              <w:rPr>
                <w:lang w:val="hy-AM"/>
              </w:rPr>
              <w:t xml:space="preserve"> ներկայումս գյուղատնտեսության ոլորտում առկա գյուղատնտեսական տեխնիկան բնութագրվում է ցածր արդյունավետությամբ, ծախսատարությամբ՝ կապված վերջիներիս բարձր մաշ</w:t>
            </w:r>
            <w:r w:rsidRPr="0053423A">
              <w:rPr>
                <w:lang w:val="hy-AM"/>
              </w:rPr>
              <w:softHyphen/>
              <w:t>վա</w:t>
            </w:r>
            <w:r w:rsidRPr="0053423A">
              <w:rPr>
                <w:lang w:val="hy-AM"/>
              </w:rPr>
              <w:softHyphen/>
              <w:t>ծության, սարքինության ցածր մակարդակի և պարտադրված պարբերական վերանորոգման հավելյալ ծախսերի հետ: Տնտեսավարող սուբյեկտների մի մասը փորձում են թարմացնել գյուղատնտեսական տեխնիկայի հավաքակազմը, սակայն ֆինանսական սուղ հնարավորությունների, ներմուծվող մեքենայացման միջոցների բարձր գների պատճառով դիմում են ֆինանսական կառույցների օգնությանը՝ լիզինգով գյուղատնտեսական տեխնիկա ձեռք բերելու համար: Լիզինգը տրամադրվում է հիմնականում ոչ նախընտրելի տոկոսադրույքով՝ 9-13%:</w:t>
            </w:r>
          </w:p>
          <w:p w:rsidR="00530B14" w:rsidRPr="0053423A" w:rsidRDefault="00530B14" w:rsidP="00A67858">
            <w:pPr>
              <w:tabs>
                <w:tab w:val="left" w:pos="900"/>
              </w:tabs>
              <w:spacing w:line="276" w:lineRule="auto"/>
              <w:ind w:firstLine="720"/>
              <w:rPr>
                <w:rFonts w:cs="Sylfaen"/>
                <w:b/>
                <w:bCs/>
                <w:lang w:val="hy-AM"/>
              </w:rPr>
            </w:pPr>
            <w:r w:rsidRPr="0053423A">
              <w:rPr>
                <w:rFonts w:cs="Sylfaen"/>
                <w:b/>
                <w:bCs/>
                <w:lang w:val="hy-AM"/>
              </w:rPr>
              <w:t>1.2 Առկա խնդիրների առաջարկվող լուծումները</w:t>
            </w:r>
          </w:p>
          <w:p w:rsidR="00530B14" w:rsidRPr="0053423A" w:rsidRDefault="00530B14" w:rsidP="00A67858">
            <w:pPr>
              <w:shd w:val="clear" w:color="auto" w:fill="FFFFFF"/>
              <w:spacing w:line="276" w:lineRule="auto"/>
              <w:jc w:val="both"/>
              <w:rPr>
                <w:rFonts w:cs="Sylfaen"/>
                <w:lang w:val="hy-AM"/>
              </w:rPr>
            </w:pPr>
            <w:r w:rsidRPr="0053423A">
              <w:rPr>
                <w:rFonts w:cs="Sylfaen"/>
                <w:lang w:val="hy-AM"/>
              </w:rPr>
              <w:tab/>
              <w:t>Գյուղատնտեսության մեքենայացման ներկա վիճակի գնահատումը ցույց է տալիս, որ ոլորտում առաջնահերթ խնդիր է գյուղատնտեսության տեխնիկական վերա</w:t>
            </w:r>
            <w:r w:rsidRPr="0053423A">
              <w:rPr>
                <w:rFonts w:cs="Sylfaen"/>
                <w:lang w:val="hy-AM"/>
              </w:rPr>
              <w:softHyphen/>
              <w:t>զինման նպատակային ծրագրերի մշակումը և դրանց իրականացումը, խնդրի վերա</w:t>
            </w:r>
            <w:r w:rsidRPr="0053423A">
              <w:rPr>
                <w:rFonts w:cs="Sylfaen"/>
                <w:lang w:val="hy-AM"/>
              </w:rPr>
              <w:softHyphen/>
              <w:t xml:space="preserve">բերյալ </w:t>
            </w:r>
            <w:r w:rsidRPr="0053423A">
              <w:rPr>
                <w:lang w:val="hy-AM"/>
              </w:rPr>
              <w:t>նոր մոտեցումների և մեխանիզմների կիրառմամբ</w:t>
            </w:r>
            <w:r w:rsidRPr="0053423A">
              <w:rPr>
                <w:rFonts w:cs="Sylfaen"/>
                <w:lang w:val="hy-AM"/>
              </w:rPr>
              <w:t xml:space="preserve"> պետական աջակցության քաղա</w:t>
            </w:r>
            <w:r w:rsidRPr="0053423A">
              <w:rPr>
                <w:rFonts w:cs="Sylfaen"/>
                <w:lang w:val="hy-AM"/>
              </w:rPr>
              <w:softHyphen/>
              <w:t xml:space="preserve">քականության իրականացումը: </w:t>
            </w:r>
          </w:p>
          <w:p w:rsidR="00530B14" w:rsidRPr="0053423A" w:rsidRDefault="00530B14" w:rsidP="00A67858">
            <w:pPr>
              <w:shd w:val="clear" w:color="auto" w:fill="FFFFFF"/>
              <w:spacing w:line="276" w:lineRule="auto"/>
              <w:jc w:val="both"/>
              <w:rPr>
                <w:lang w:val="hy-AM"/>
              </w:rPr>
            </w:pPr>
            <w:r w:rsidRPr="0053423A">
              <w:rPr>
                <w:rFonts w:cs="Sylfaen"/>
                <w:lang w:val="hy-AM"/>
              </w:rPr>
              <w:tab/>
              <w:t xml:space="preserve">Ծրագրով նախատեսվում է գյուղատնտեսությունում տնտեսավարողների համար առաջարկել գյուղատնտեսական տեխնիկայի ձեռքբերման հնարավորինս մատչելի  և արդյունավետ մոտեցումներ: </w:t>
            </w:r>
            <w:r w:rsidRPr="0053423A">
              <w:rPr>
                <w:lang w:val="hy-AM"/>
              </w:rPr>
              <w:t xml:space="preserve">Ծրագրի շրջանակներում գյուղատնտեսական տեխնիկան տնտեսավարողներին կտրամադրվի </w:t>
            </w:r>
            <w:r w:rsidRPr="0053423A">
              <w:rPr>
                <w:rFonts w:cs="Sylfaen"/>
                <w:lang w:val="hy-AM"/>
              </w:rPr>
              <w:t xml:space="preserve">լիզինգի պայմանագրով՝ 20% կանխավճարով: Մարման ժամկետը </w:t>
            </w:r>
            <w:r w:rsidRPr="0053423A">
              <w:rPr>
                <w:lang w:val="hy-AM"/>
              </w:rPr>
              <w:t>կոմբայնների համար`  10 տարի, տրակտորների համար`  6 տարի, հավաքիչ-մամլիչների, շարքացանների համար` 3-6 տարի, այլ գյուղատնտեսական գոր</w:t>
            </w:r>
            <w:r w:rsidRPr="0053423A">
              <w:rPr>
                <w:lang w:val="hy-AM"/>
              </w:rPr>
              <w:softHyphen/>
              <w:t>ծիքների համար` 3 տարի: Լիզինգի տարեկան մինչև 9 % տոկոսադրույքի 7 տոկո</w:t>
            </w:r>
            <w:r w:rsidRPr="0053423A">
              <w:rPr>
                <w:lang w:val="hy-AM"/>
              </w:rPr>
              <w:softHyphen/>
              <w:t>սային կետը սուբսիդավորում է: Սահմանվում է մինչև 6 ամիս արտոնյալ ժամկետ:</w:t>
            </w:r>
          </w:p>
          <w:p w:rsidR="00530B14" w:rsidRPr="0053423A" w:rsidRDefault="00530B14" w:rsidP="00A67858">
            <w:pPr>
              <w:shd w:val="clear" w:color="auto" w:fill="FFFFFF"/>
              <w:spacing w:line="276" w:lineRule="auto"/>
              <w:ind w:firstLine="720"/>
              <w:jc w:val="both"/>
              <w:rPr>
                <w:rFonts w:cs="Sylfaen"/>
                <w:lang w:val="af-ZA"/>
              </w:rPr>
            </w:pPr>
            <w:r w:rsidRPr="0053423A">
              <w:rPr>
                <w:rFonts w:cs="Sylfaen"/>
                <w:lang w:val="af-ZA"/>
              </w:rPr>
              <w:t xml:space="preserve">Ծրագիրը նախատեսվում է իրականացնել առևտրային բանկերի և վարկային կազմակերպությունների ռեսուրսների, իսկ սուբսիդավորման գումարը՝ ՀՀ պետական բյուջեի միջոցների հաշվին: </w:t>
            </w:r>
          </w:p>
          <w:p w:rsidR="00530B14" w:rsidRPr="0053423A" w:rsidRDefault="00530B14" w:rsidP="00A67858">
            <w:pPr>
              <w:tabs>
                <w:tab w:val="left" w:pos="900"/>
              </w:tabs>
              <w:spacing w:line="276" w:lineRule="auto"/>
              <w:ind w:firstLine="720"/>
              <w:rPr>
                <w:lang w:val="af-ZA"/>
              </w:rPr>
            </w:pPr>
            <w:r w:rsidRPr="0053423A">
              <w:rPr>
                <w:rFonts w:cs="Sylfaen"/>
                <w:b/>
                <w:bCs/>
                <w:lang w:val="hy-AM"/>
              </w:rPr>
              <w:t xml:space="preserve">2. </w:t>
            </w:r>
            <w:r w:rsidRPr="0053423A">
              <w:rPr>
                <w:b/>
                <w:lang w:val="hy-AM"/>
              </w:rPr>
              <w:t>Միջոցառման իրականացումից ակնկալվող արդյունքը</w:t>
            </w:r>
            <w:r w:rsidRPr="0053423A">
              <w:rPr>
                <w:lang w:val="af-ZA"/>
              </w:rPr>
              <w:t xml:space="preserve"> </w:t>
            </w:r>
          </w:p>
          <w:p w:rsidR="00530B14" w:rsidRPr="0053423A" w:rsidRDefault="00530B14" w:rsidP="00A67858">
            <w:pPr>
              <w:shd w:val="clear" w:color="auto" w:fill="FFFFFF"/>
              <w:spacing w:line="276" w:lineRule="auto"/>
              <w:ind w:firstLine="709"/>
              <w:jc w:val="both"/>
              <w:rPr>
                <w:rFonts w:cs="Sylfaen"/>
                <w:lang w:val="hy-AM"/>
              </w:rPr>
            </w:pPr>
            <w:r w:rsidRPr="0053423A">
              <w:rPr>
                <w:lang w:val="hy-AM"/>
              </w:rPr>
              <w:t xml:space="preserve">Ծրագրի իրականացման </w:t>
            </w:r>
            <w:r w:rsidRPr="0053423A">
              <w:rPr>
                <w:rFonts w:cs="Sylfaen"/>
                <w:lang w:val="hy-AM"/>
              </w:rPr>
              <w:t>արդյունքում՝</w:t>
            </w:r>
            <w:r w:rsidRPr="0053423A">
              <w:rPr>
                <w:lang w:val="hy-AM"/>
              </w:rPr>
              <w:t xml:space="preserve"> </w:t>
            </w:r>
          </w:p>
          <w:p w:rsidR="00530B14" w:rsidRPr="0053423A" w:rsidRDefault="00530B14" w:rsidP="00A67858">
            <w:pPr>
              <w:pStyle w:val="ListParagraph"/>
              <w:numPr>
                <w:ilvl w:val="0"/>
                <w:numId w:val="96"/>
              </w:numPr>
              <w:shd w:val="clear" w:color="auto" w:fill="FFFFFF"/>
              <w:spacing w:line="276" w:lineRule="auto"/>
              <w:ind w:left="0" w:firstLine="630"/>
              <w:jc w:val="both"/>
              <w:rPr>
                <w:lang w:val="hy-AM"/>
              </w:rPr>
            </w:pPr>
            <w:r w:rsidRPr="0053423A">
              <w:rPr>
                <w:rFonts w:cs="Sylfaen"/>
                <w:lang w:val="hy-AM"/>
              </w:rPr>
              <w:t xml:space="preserve"> նախադրյալներ</w:t>
            </w:r>
            <w:r w:rsidRPr="0053423A">
              <w:rPr>
                <w:lang w:val="hy-AM"/>
              </w:rPr>
              <w:t xml:space="preserve"> կստեղծվեն մատչելի մեխանիզմների կիրառմամբ գյուղատն-տեսությունում տնտեսավարողների վճարունակ պահանջարկի բավարարման`  գյուղա</w:t>
            </w:r>
            <w:r w:rsidRPr="0053423A">
              <w:rPr>
                <w:lang w:val="hy-AM"/>
              </w:rPr>
              <w:softHyphen/>
              <w:t>տնտեսական տեխնիկայի հավաքակազմի որոշակի նորացման համար,</w:t>
            </w:r>
          </w:p>
          <w:p w:rsidR="00530B14" w:rsidRPr="0053423A" w:rsidRDefault="00530B14" w:rsidP="00A67858">
            <w:pPr>
              <w:pStyle w:val="ListParagraph"/>
              <w:numPr>
                <w:ilvl w:val="0"/>
                <w:numId w:val="96"/>
              </w:numPr>
              <w:shd w:val="clear" w:color="auto" w:fill="FFFFFF"/>
              <w:spacing w:line="276" w:lineRule="auto"/>
              <w:ind w:left="0" w:firstLine="630"/>
              <w:jc w:val="both"/>
              <w:rPr>
                <w:lang w:val="hy-AM"/>
              </w:rPr>
            </w:pPr>
            <w:r w:rsidRPr="0053423A">
              <w:rPr>
                <w:rFonts w:cs="Sylfaen"/>
                <w:lang w:val="hy-AM"/>
              </w:rPr>
              <w:t xml:space="preserve"> ծրագրի</w:t>
            </w:r>
            <w:r w:rsidRPr="0053423A">
              <w:rPr>
                <w:lang w:val="hy-AM"/>
              </w:rPr>
              <w:t xml:space="preserve"> իրականացումը հնարավորություն կտա նորացնել </w:t>
            </w:r>
            <w:r w:rsidRPr="0053423A">
              <w:rPr>
                <w:rFonts w:cs="Sylfaen"/>
                <w:lang w:val="hy-AM"/>
              </w:rPr>
              <w:t>ՀՀ</w:t>
            </w:r>
            <w:r w:rsidRPr="0053423A">
              <w:rPr>
                <w:lang w:val="hy-AM"/>
              </w:rPr>
              <w:t xml:space="preserve"> գյուղատն</w:t>
            </w:r>
            <w:r w:rsidRPr="0053423A">
              <w:rPr>
                <w:lang w:val="hy-AM"/>
              </w:rPr>
              <w:softHyphen/>
              <w:t>տե</w:t>
            </w:r>
            <w:r w:rsidRPr="0053423A">
              <w:rPr>
                <w:lang w:val="hy-AM"/>
              </w:rPr>
              <w:softHyphen/>
              <w:t>սական տեխնիկայի հավաքակազմի տարեկան շուրջ 2.0 տոկոսը, սակայն այն նախադ</w:t>
            </w:r>
            <w:r w:rsidRPr="0053423A">
              <w:rPr>
                <w:lang w:val="hy-AM"/>
              </w:rPr>
              <w:softHyphen/>
              <w:t>րյալ</w:t>
            </w:r>
            <w:r w:rsidRPr="0053423A">
              <w:rPr>
                <w:lang w:val="hy-AM"/>
              </w:rPr>
              <w:softHyphen/>
              <w:t>ներ կստեղծի առաջիկա տարիներին մատչելի մեխանիզմների կիրառմամբ իրականացնել տեխնիկայի համալրման առավել ընդգրկուն ծրագրեր, որոնք զուգահեռ հնարավո</w:t>
            </w:r>
            <w:r w:rsidRPr="0053423A">
              <w:rPr>
                <w:lang w:val="hy-AM"/>
              </w:rPr>
              <w:softHyphen/>
              <w:t>րություններ կստեղծեն համայնքներին կից մեքենատրակտո</w:t>
            </w:r>
            <w:r w:rsidRPr="0053423A">
              <w:rPr>
                <w:lang w:val="hy-AM"/>
              </w:rPr>
              <w:softHyphen/>
              <w:t>րային կայանների ստեղծ</w:t>
            </w:r>
            <w:r w:rsidRPr="0053423A">
              <w:rPr>
                <w:lang w:val="hy-AM"/>
              </w:rPr>
              <w:softHyphen/>
              <w:t>ման համար,</w:t>
            </w:r>
          </w:p>
          <w:p w:rsidR="00530B14" w:rsidRPr="0053423A" w:rsidRDefault="00530B14" w:rsidP="00A67858">
            <w:pPr>
              <w:pStyle w:val="ListParagraph"/>
              <w:numPr>
                <w:ilvl w:val="0"/>
                <w:numId w:val="96"/>
              </w:numPr>
              <w:shd w:val="clear" w:color="auto" w:fill="FFFFFF"/>
              <w:spacing w:line="276" w:lineRule="auto"/>
              <w:ind w:left="0" w:firstLine="630"/>
              <w:jc w:val="both"/>
              <w:rPr>
                <w:lang w:val="hy-AM"/>
              </w:rPr>
            </w:pPr>
            <w:r w:rsidRPr="0053423A">
              <w:rPr>
                <w:rFonts w:cs="Sylfaen"/>
                <w:lang w:val="hy-AM"/>
              </w:rPr>
              <w:t xml:space="preserve"> որոշակիորեն</w:t>
            </w:r>
            <w:r w:rsidRPr="0053423A">
              <w:rPr>
                <w:lang w:val="hy-AM"/>
              </w:rPr>
              <w:t xml:space="preserve"> կբարձրանա գյուղատնտեսությունում մեքենայացման մակար</w:t>
            </w:r>
            <w:r w:rsidRPr="0053423A">
              <w:rPr>
                <w:lang w:val="hy-AM"/>
              </w:rPr>
              <w:softHyphen/>
              <w:t>դակը, տնտեսապես կամրապնդվեն շահառու գյուղացիական տնտեսությունները և պայմաններ կստեղծվեն վերջիններիս կողմից ապրանքային արտադրության կազմա</w:t>
            </w:r>
            <w:r w:rsidRPr="0053423A">
              <w:rPr>
                <w:lang w:val="hy-AM"/>
              </w:rPr>
              <w:softHyphen/>
              <w:t>կերպման և հետագա զարգացման համար:</w:t>
            </w:r>
          </w:p>
          <w:p w:rsidR="00530B14" w:rsidRPr="0053423A" w:rsidRDefault="00530B14" w:rsidP="00A67858">
            <w:pPr>
              <w:spacing w:line="276" w:lineRule="auto"/>
              <w:jc w:val="center"/>
              <w:rPr>
                <w:b/>
                <w:bCs/>
                <w:iCs/>
                <w:lang w:val="hy-AM"/>
              </w:rPr>
            </w:pPr>
          </w:p>
        </w:tc>
      </w:tr>
      <w:tr w:rsidR="00530B14" w:rsidRPr="00DE2EFA" w:rsidTr="004440EB">
        <w:tc>
          <w:tcPr>
            <w:tcW w:w="480" w:type="dxa"/>
          </w:tcPr>
          <w:p w:rsidR="00530B14" w:rsidRPr="0053423A" w:rsidRDefault="00530B14" w:rsidP="00A67858">
            <w:pPr>
              <w:spacing w:line="276" w:lineRule="auto"/>
              <w:jc w:val="right"/>
              <w:rPr>
                <w:bCs/>
                <w:iCs/>
                <w:lang w:val="hy-AM"/>
              </w:rPr>
            </w:pPr>
            <w:r w:rsidRPr="0053423A">
              <w:rPr>
                <w:bCs/>
                <w:iCs/>
                <w:lang w:val="hy-AM"/>
              </w:rPr>
              <w:t>4</w:t>
            </w:r>
          </w:p>
        </w:tc>
        <w:tc>
          <w:tcPr>
            <w:tcW w:w="10879" w:type="dxa"/>
          </w:tcPr>
          <w:p w:rsidR="00530B14" w:rsidRPr="0053423A" w:rsidRDefault="00530B14" w:rsidP="00A67858">
            <w:pPr>
              <w:spacing w:line="276" w:lineRule="auto"/>
              <w:jc w:val="center"/>
              <w:rPr>
                <w:b/>
                <w:lang w:val="hy-AM"/>
              </w:rPr>
            </w:pPr>
            <w:r w:rsidRPr="0053423A">
              <w:rPr>
                <w:b/>
                <w:lang w:val="hy-AM"/>
              </w:rPr>
              <w:t>Գյուղատնտեսական և գինե</w:t>
            </w:r>
            <w:r w:rsidRPr="0053423A">
              <w:rPr>
                <w:b/>
                <w:lang w:val="hy-AM"/>
              </w:rPr>
              <w:softHyphen/>
              <w:t>գոր</w:t>
            </w:r>
            <w:r w:rsidRPr="0053423A">
              <w:rPr>
                <w:b/>
                <w:lang w:val="hy-AM"/>
              </w:rPr>
              <w:softHyphen/>
              <w:t>ծա</w:t>
            </w:r>
            <w:r w:rsidRPr="0053423A">
              <w:rPr>
                <w:b/>
                <w:lang w:val="hy-AM"/>
              </w:rPr>
              <w:softHyphen/>
              <w:t>կան  արտադ</w:t>
            </w:r>
            <w:r w:rsidRPr="0053423A">
              <w:rPr>
                <w:b/>
                <w:lang w:val="hy-AM"/>
              </w:rPr>
              <w:softHyphen/>
              <w:t>րանքի արտահանման ծավալների ավելացմանն աջակցող մեխա</w:t>
            </w:r>
            <w:r w:rsidRPr="0053423A">
              <w:rPr>
                <w:b/>
                <w:lang w:val="hy-AM"/>
              </w:rPr>
              <w:softHyphen/>
              <w:t>նիզմների մշակում և ներդրում</w:t>
            </w:r>
          </w:p>
          <w:p w:rsidR="00530B14" w:rsidRPr="0053423A" w:rsidRDefault="00530B14" w:rsidP="00A67858">
            <w:pPr>
              <w:spacing w:line="276" w:lineRule="auto"/>
              <w:jc w:val="center"/>
              <w:rPr>
                <w:b/>
                <w:lang w:val="hy-AM"/>
              </w:rPr>
            </w:pPr>
          </w:p>
          <w:p w:rsidR="00530B14" w:rsidRPr="0053423A" w:rsidRDefault="00530B14" w:rsidP="00A67858">
            <w:pPr>
              <w:pStyle w:val="ListParagraph"/>
              <w:spacing w:line="276" w:lineRule="auto"/>
              <w:jc w:val="center"/>
              <w:rPr>
                <w:b/>
                <w:u w:val="single"/>
                <w:lang w:val="hy-AM"/>
              </w:rPr>
            </w:pPr>
            <w:r w:rsidRPr="0053423A">
              <w:rPr>
                <w:b/>
                <w:u w:val="single"/>
                <w:lang w:val="hy-AM"/>
              </w:rPr>
              <w:t xml:space="preserve">4.1 Պետական աջակցություն Հայաստանի Հանրապետության խաղողագործության և գինեգործության ոլորտներում վարվող պետական քաղաքականության ու զարգացման ծրագրերի </w:t>
            </w:r>
            <w:r w:rsidRPr="0053423A">
              <w:rPr>
                <w:rFonts w:cs="Sylfaen"/>
                <w:b/>
                <w:u w:val="single"/>
                <w:lang w:val="af-ZA"/>
              </w:rPr>
              <w:t>իրակա</w:t>
            </w:r>
            <w:r w:rsidRPr="0053423A">
              <w:rPr>
                <w:rFonts w:cs="Sylfaen"/>
                <w:b/>
                <w:u w:val="single"/>
                <w:lang w:val="af-ZA"/>
              </w:rPr>
              <w:softHyphen/>
              <w:t>նացմ</w:t>
            </w:r>
            <w:r w:rsidRPr="0053423A">
              <w:rPr>
                <w:rFonts w:cs="Sylfaen"/>
                <w:b/>
                <w:u w:val="single"/>
                <w:lang w:val="hy-AM"/>
              </w:rPr>
              <w:t>անը</w:t>
            </w:r>
          </w:p>
          <w:p w:rsidR="00530B14" w:rsidRPr="0053423A" w:rsidRDefault="00530B14" w:rsidP="00A67858">
            <w:pPr>
              <w:spacing w:line="276" w:lineRule="auto"/>
              <w:ind w:right="239"/>
              <w:jc w:val="center"/>
              <w:rPr>
                <w:b/>
                <w:lang w:val="hy-AM"/>
              </w:rPr>
            </w:pPr>
          </w:p>
          <w:p w:rsidR="00530B14" w:rsidRPr="0053423A" w:rsidRDefault="00530B14" w:rsidP="001F6D5D">
            <w:pPr>
              <w:pStyle w:val="ListParagraph"/>
              <w:numPr>
                <w:ilvl w:val="0"/>
                <w:numId w:val="108"/>
              </w:numPr>
              <w:spacing w:line="276" w:lineRule="auto"/>
              <w:jc w:val="both"/>
              <w:rPr>
                <w:lang w:val="hy-AM"/>
              </w:rPr>
            </w:pPr>
            <w:r w:rsidRPr="0053423A">
              <w:rPr>
                <w:b/>
                <w:lang w:val="hy-AM"/>
              </w:rPr>
              <w:t>Միջոցառման իրակացման անհրաժեշտությունը և նպատակը</w:t>
            </w:r>
          </w:p>
          <w:p w:rsidR="00530B14" w:rsidRPr="0053423A" w:rsidRDefault="00530B14" w:rsidP="00A67858">
            <w:pPr>
              <w:spacing w:line="276" w:lineRule="auto"/>
              <w:jc w:val="both"/>
              <w:rPr>
                <w:lang w:val="hy-AM"/>
              </w:rPr>
            </w:pPr>
            <w:r w:rsidRPr="0053423A">
              <w:rPr>
                <w:rFonts w:cs="Sylfaen"/>
                <w:lang w:val="hy-AM"/>
              </w:rPr>
              <w:tab/>
              <w:t>Պետական</w:t>
            </w:r>
            <w:r w:rsidRPr="0053423A">
              <w:rPr>
                <w:lang w:val="hy-AM"/>
              </w:rPr>
              <w:t xml:space="preserve"> աջակցություն Հայաստանի Հանրապետության խաղողագործության և գինեգործության ոլորտներում վարվող պետական քաղաքականության ու զար</w:t>
            </w:r>
            <w:r w:rsidRPr="0053423A">
              <w:rPr>
                <w:lang w:val="hy-AM"/>
              </w:rPr>
              <w:softHyphen/>
              <w:t>գաց</w:t>
            </w:r>
            <w:r w:rsidRPr="0053423A">
              <w:rPr>
                <w:lang w:val="hy-AM"/>
              </w:rPr>
              <w:softHyphen/>
              <w:t xml:space="preserve">ման ծրագրերի </w:t>
            </w:r>
            <w:r w:rsidRPr="0053423A">
              <w:rPr>
                <w:rFonts w:cs="Sylfaen"/>
                <w:lang w:val="hy-AM"/>
              </w:rPr>
              <w:t>իրակա</w:t>
            </w:r>
            <w:r w:rsidRPr="0053423A">
              <w:rPr>
                <w:rFonts w:cs="Sylfaen"/>
                <w:lang w:val="hy-AM"/>
              </w:rPr>
              <w:softHyphen/>
              <w:t>նացման անհրաժեշտությունը բխում է ՀՀ ԱԺ 2019 թվականի փետրվարի 14-ի ԱԺՈ-002-Ն որոշմամբ հավանության արժանացած ՀՀ կառավա</w:t>
            </w:r>
            <w:r w:rsidRPr="0053423A">
              <w:rPr>
                <w:rFonts w:cs="Sylfaen"/>
                <w:lang w:val="hy-AM"/>
              </w:rPr>
              <w:softHyphen/>
              <w:t xml:space="preserve">րության ծրագրից </w:t>
            </w:r>
            <w:r w:rsidRPr="0053423A">
              <w:rPr>
                <w:rFonts w:cs="Sylfaen"/>
                <w:lang w:val="af-ZA"/>
              </w:rPr>
              <w:t>(</w:t>
            </w:r>
            <w:r w:rsidRPr="0053423A">
              <w:rPr>
                <w:rFonts w:cs="Sylfaen"/>
                <w:lang w:val="hy-AM"/>
              </w:rPr>
              <w:t>5.10. Գյուղատնտեսությունը բաժին, 6-րդ պարբերություն):</w:t>
            </w:r>
          </w:p>
          <w:p w:rsidR="00530B14" w:rsidRPr="0053423A" w:rsidRDefault="00530B14" w:rsidP="00A67858">
            <w:pPr>
              <w:autoSpaceDE w:val="0"/>
              <w:autoSpaceDN w:val="0"/>
              <w:adjustRightInd w:val="0"/>
              <w:spacing w:line="276" w:lineRule="auto"/>
              <w:ind w:firstLine="375"/>
              <w:jc w:val="both"/>
              <w:rPr>
                <w:lang w:val="hy-AM"/>
              </w:rPr>
            </w:pPr>
            <w:r w:rsidRPr="0053423A">
              <w:rPr>
                <w:lang w:val="hy-AM"/>
              </w:rPr>
              <w:tab/>
              <w:t>Ներկայիս ազատ տնտեսական հարաբերությունների պայմաններում շուկայի պահանջարկը ուղղված է դեպի բարձրորակ գինիները: Բացի այդ շուկայական հարա</w:t>
            </w:r>
            <w:r w:rsidRPr="0053423A">
              <w:rPr>
                <w:lang w:val="hy-AM"/>
              </w:rPr>
              <w:softHyphen/>
              <w:t>բերությունների արդի պայմաններում խաղողի արժեքավոր սորտերից բարձրորակ գինիների արտադրության ընդլայնումը միանշանակ կխթանի արտադրանքի տեսա</w:t>
            </w:r>
            <w:r w:rsidRPr="0053423A">
              <w:rPr>
                <w:lang w:val="hy-AM"/>
              </w:rPr>
              <w:softHyphen/>
              <w:t xml:space="preserve">կանու համալրմանը և որակի բարձրացմանը: Մրցունակ գինիների արտադրությունը պահանջում է տարածքի մասնագիտացում և կայուն որակյալ հումքի առկայություն՝ կախված հատուկ խաղողի սորտերից և իրենց մշակման տեխնոլոգիաներից: Ուստի, խաղողագործության զարգացումը պետք է դիտարկվի գինեգործական արտադրանքի համընդհանուր զարգացման համատեքստում, որպես գինու արտադրության որակի գրավական: </w:t>
            </w:r>
          </w:p>
          <w:p w:rsidR="00530B14" w:rsidRPr="0053423A" w:rsidRDefault="00530B14" w:rsidP="00A67858">
            <w:pPr>
              <w:spacing w:line="276" w:lineRule="auto"/>
              <w:ind w:firstLine="375"/>
              <w:jc w:val="both"/>
              <w:rPr>
                <w:lang w:val="hy-AM"/>
              </w:rPr>
            </w:pPr>
            <w:r w:rsidRPr="0053423A">
              <w:rPr>
                <w:lang w:val="hy-AM"/>
              </w:rPr>
              <w:t>Հայաստանի Հանրապետության խողողագործության և գինեգործության ոլորտ</w:t>
            </w:r>
            <w:r w:rsidRPr="0053423A">
              <w:rPr>
                <w:lang w:val="hy-AM"/>
              </w:rPr>
              <w:softHyphen/>
              <w:t>նե</w:t>
            </w:r>
            <w:r w:rsidRPr="0053423A">
              <w:rPr>
                <w:lang w:val="hy-AM"/>
              </w:rPr>
              <w:softHyphen/>
              <w:t>րում վարվող պետական քաղաքականության և զարգացման ծրագրերի իրականացման նպատակներից են՝ խաղողի տնկարկների կադաստրի հիմնումը, պատշաճ մշակված և ֆիլոքսերադիմացկուն սորտպատվաստակալների այգիների հիմնումը,  աշխարհագրա</w:t>
            </w:r>
            <w:r w:rsidRPr="0053423A">
              <w:rPr>
                <w:lang w:val="hy-AM"/>
              </w:rPr>
              <w:softHyphen/>
              <w:t>կան նշումով գինիների արտադրության համակարգի ներդնումը, միջազգային շուկա</w:t>
            </w:r>
            <w:r w:rsidRPr="0053423A">
              <w:rPr>
                <w:lang w:val="hy-AM"/>
              </w:rPr>
              <w:softHyphen/>
              <w:t>ներում հայկական գինիների առաջմղումը և ճանաչելիության բարձրացումը, արտա</w:t>
            </w:r>
            <w:r w:rsidRPr="0053423A">
              <w:rPr>
                <w:lang w:val="hy-AM"/>
              </w:rPr>
              <w:softHyphen/>
              <w:t>հանման ծավալների աճը և այլն:</w:t>
            </w:r>
          </w:p>
          <w:p w:rsidR="00530B14" w:rsidRPr="0053423A" w:rsidRDefault="00530B14" w:rsidP="00A67858">
            <w:pPr>
              <w:spacing w:line="276" w:lineRule="auto"/>
              <w:jc w:val="both"/>
              <w:rPr>
                <w:lang w:val="hy-AM"/>
              </w:rPr>
            </w:pPr>
            <w:r w:rsidRPr="0053423A">
              <w:rPr>
                <w:rFonts w:cs="Arial"/>
                <w:b/>
                <w:lang w:val="hy-AM"/>
              </w:rPr>
              <w:tab/>
              <w:t>1.1.</w:t>
            </w:r>
            <w:r w:rsidRPr="0053423A">
              <w:rPr>
                <w:rFonts w:cs="Arial"/>
                <w:b/>
                <w:lang w:val="hy-AM"/>
              </w:rPr>
              <w:tab/>
              <w:t>Կարգավորման հարաբերությունների ներկա վիճակը և առկա խնդիրները</w:t>
            </w:r>
          </w:p>
          <w:p w:rsidR="00530B14" w:rsidRPr="0053423A" w:rsidRDefault="00530B14" w:rsidP="00A67858">
            <w:pPr>
              <w:autoSpaceDE w:val="0"/>
              <w:autoSpaceDN w:val="0"/>
              <w:adjustRightInd w:val="0"/>
              <w:spacing w:line="276" w:lineRule="auto"/>
              <w:ind w:firstLine="708"/>
              <w:jc w:val="both"/>
              <w:rPr>
                <w:lang w:val="hy-AM"/>
              </w:rPr>
            </w:pPr>
            <w:r w:rsidRPr="0053423A">
              <w:rPr>
                <w:lang w:val="hy-AM"/>
              </w:rPr>
              <w:t>Հայաստանում խաղողի գինի արտադրվում է մի քանի հազարամյակ շարունակ: Անցյալ դարում գինու արտադրության ծավալները կտրուկ աճ են ունեցել Հայաս</w:t>
            </w:r>
            <w:r w:rsidRPr="0053423A">
              <w:rPr>
                <w:lang w:val="hy-AM"/>
              </w:rPr>
              <w:softHyphen/>
              <w:t>տա</w:t>
            </w:r>
            <w:r w:rsidRPr="0053423A">
              <w:rPr>
                <w:lang w:val="hy-AM"/>
              </w:rPr>
              <w:softHyphen/>
              <w:t>նում: Վերջին տարիների տեղական և օտարերկրյա ներդրումների շնորհիվ գինու արտադրության ծավալի աճ գրանցվեց: Վերջին մի քանի տարիների ընթացքում մեծա</w:t>
            </w:r>
            <w:r w:rsidRPr="0053423A">
              <w:rPr>
                <w:lang w:val="hy-AM"/>
              </w:rPr>
              <w:softHyphen/>
              <w:t>ծավալ ներդրումներ են արվել գինեգործության ոլորտում, հատկապես` առաջա</w:t>
            </w:r>
            <w:r w:rsidRPr="0053423A">
              <w:rPr>
                <w:lang w:val="hy-AM"/>
              </w:rPr>
              <w:softHyphen/>
              <w:t>դիմա</w:t>
            </w:r>
            <w:r w:rsidRPr="0053423A">
              <w:rPr>
                <w:lang w:val="hy-AM"/>
              </w:rPr>
              <w:softHyphen/>
              <w:t>կան տեխնոլոգիաների ձեռք բերման և արտադրական գործընթացների արդիա</w:t>
            </w:r>
            <w:r w:rsidRPr="0053423A">
              <w:rPr>
                <w:lang w:val="hy-AM"/>
              </w:rPr>
              <w:softHyphen/>
              <w:t>կա</w:t>
            </w:r>
            <w:r w:rsidRPr="0053423A">
              <w:rPr>
                <w:lang w:val="hy-AM"/>
              </w:rPr>
              <w:softHyphen/>
              <w:t>նացման համար: Սակայն, ներկայումս ամբողջովին լուծված չէ գինու որակյալ հում</w:t>
            </w:r>
            <w:r w:rsidRPr="0053423A">
              <w:rPr>
                <w:lang w:val="hy-AM"/>
              </w:rPr>
              <w:softHyphen/>
              <w:t>քի մատակարարման խնդիրը արտադրողներին: Ներկայումս մեր հանրապետու</w:t>
            </w:r>
            <w:r w:rsidRPr="0053423A">
              <w:rPr>
                <w:lang w:val="hy-AM"/>
              </w:rPr>
              <w:softHyphen/>
              <w:t>թյունում խաղողը հիմնականում ստացվում է Խորհրդային միությունից ժառանգած այգիներից: Դրանք հիմնականում ոչ մաքրասորտ են, տնկվել են առանց հաշվի առնելու տարածքների մասնագիտացումը, սորտերի հասունացման ժամկետները, պտուղ</w:t>
            </w:r>
            <w:r w:rsidRPr="0053423A">
              <w:rPr>
                <w:lang w:val="hy-AM"/>
              </w:rPr>
              <w:softHyphen/>
              <w:t xml:space="preserve">ների գույնը, բերքի սպառողական և տեխնիկական արժեքները և այլն։ </w:t>
            </w:r>
          </w:p>
          <w:p w:rsidR="00530B14" w:rsidRPr="0053423A" w:rsidRDefault="00530B14" w:rsidP="00A67858">
            <w:pPr>
              <w:autoSpaceDE w:val="0"/>
              <w:autoSpaceDN w:val="0"/>
              <w:adjustRightInd w:val="0"/>
              <w:spacing w:line="276" w:lineRule="auto"/>
              <w:ind w:firstLine="708"/>
              <w:jc w:val="both"/>
              <w:rPr>
                <w:lang w:val="hy-AM"/>
              </w:rPr>
            </w:pPr>
            <w:r w:rsidRPr="0053423A">
              <w:rPr>
                <w:lang w:val="hy-AM"/>
              </w:rPr>
              <w:t>Խնդիրներ են ծագում որակյալ մասնագետների ներգրավվածության հարցում: Ֆերմերային տնտեսությունները մեծամասամբ լինելով ինքնուսույց կամ կիառելով հին՝ արդի պահանջներին չհամապատասխանող մշակության մոտեցումներ ունեն արդյու</w:t>
            </w:r>
            <w:r w:rsidRPr="0053423A">
              <w:rPr>
                <w:lang w:val="hy-AM"/>
              </w:rPr>
              <w:softHyphen/>
              <w:t xml:space="preserve">նավետության ցածր մակարդակ: Այն հանգեցնում է համակարգային խնդիրների, օրինակ՝ խաղողագործ-վերամշակող հարաբերությունների վատթարացմանը:   </w:t>
            </w:r>
          </w:p>
          <w:p w:rsidR="00530B14" w:rsidRPr="0053423A" w:rsidRDefault="00530B14" w:rsidP="00A67858">
            <w:pPr>
              <w:autoSpaceDE w:val="0"/>
              <w:autoSpaceDN w:val="0"/>
              <w:adjustRightInd w:val="0"/>
              <w:spacing w:line="276" w:lineRule="auto"/>
              <w:jc w:val="both"/>
              <w:rPr>
                <w:lang w:val="hy-AM"/>
              </w:rPr>
            </w:pPr>
            <w:r w:rsidRPr="0053423A">
              <w:rPr>
                <w:lang w:val="hy-AM"/>
              </w:rPr>
              <w:tab/>
              <w:t xml:space="preserve">Ի հավելումն, արդիական է արտահանման շուկաներում հայկական գինու պատվավոր տեղի զբաղեցման խնդիրը՝ բարձր մրցակցության պայմաններում և հայկական գինու ճանաչելության բարձրացումը: </w:t>
            </w:r>
          </w:p>
          <w:p w:rsidR="00530B14" w:rsidRPr="0053423A" w:rsidRDefault="00530B14" w:rsidP="00A67858">
            <w:pPr>
              <w:spacing w:line="276" w:lineRule="auto"/>
              <w:jc w:val="both"/>
              <w:rPr>
                <w:rFonts w:cs="Arial"/>
                <w:b/>
                <w:lang w:val="hy-AM"/>
              </w:rPr>
            </w:pPr>
            <w:r w:rsidRPr="0053423A">
              <w:rPr>
                <w:rFonts w:cs="Arial"/>
                <w:b/>
                <w:lang w:val="hy-AM"/>
              </w:rPr>
              <w:tab/>
              <w:t>1.2. Առկա խնդիրների առաջարկվող լուծումները</w:t>
            </w:r>
          </w:p>
          <w:p w:rsidR="00530B14" w:rsidRPr="0053423A" w:rsidRDefault="00530B14" w:rsidP="00A67858">
            <w:pPr>
              <w:autoSpaceDE w:val="0"/>
              <w:autoSpaceDN w:val="0"/>
              <w:adjustRightInd w:val="0"/>
              <w:spacing w:line="276" w:lineRule="auto"/>
              <w:ind w:firstLine="708"/>
              <w:jc w:val="both"/>
              <w:rPr>
                <w:lang w:val="hy-AM"/>
              </w:rPr>
            </w:pPr>
            <w:r w:rsidRPr="0053423A">
              <w:rPr>
                <w:lang w:val="hy-AM"/>
              </w:rPr>
              <w:t>ՀՀ-ի խաղողի տնկարկներիի կադաստրի համակարգի ստեղծում, որը թույլ կտա ոլորտում իրականացնել ավելի արդյունավետ քաղաքականություն։</w:t>
            </w:r>
          </w:p>
          <w:p w:rsidR="00530B14" w:rsidRPr="0053423A" w:rsidRDefault="00530B14" w:rsidP="00A67858">
            <w:pPr>
              <w:autoSpaceDE w:val="0"/>
              <w:autoSpaceDN w:val="0"/>
              <w:adjustRightInd w:val="0"/>
              <w:spacing w:line="276" w:lineRule="auto"/>
              <w:ind w:firstLine="708"/>
              <w:jc w:val="both"/>
              <w:rPr>
                <w:lang w:val="hy-AM"/>
              </w:rPr>
            </w:pPr>
            <w:r w:rsidRPr="0053423A">
              <w:rPr>
                <w:lang w:val="hy-AM"/>
              </w:rPr>
              <w:t>Հայկական տեղածին սորտերի գենոֆոնդի պահպանմանն ուղղաված աշխա</w:t>
            </w:r>
            <w:r w:rsidRPr="0053423A">
              <w:rPr>
                <w:lang w:val="hy-AM"/>
              </w:rPr>
              <w:softHyphen/>
              <w:t xml:space="preserve">տանքների իրականացում: </w:t>
            </w:r>
          </w:p>
          <w:p w:rsidR="00530B14" w:rsidRPr="0053423A" w:rsidRDefault="00530B14" w:rsidP="00A67858">
            <w:pPr>
              <w:autoSpaceDE w:val="0"/>
              <w:autoSpaceDN w:val="0"/>
              <w:adjustRightInd w:val="0"/>
              <w:spacing w:line="276" w:lineRule="auto"/>
              <w:ind w:firstLine="708"/>
              <w:jc w:val="both"/>
              <w:rPr>
                <w:lang w:val="hy-AM"/>
              </w:rPr>
            </w:pPr>
            <w:r w:rsidRPr="0053423A">
              <w:rPr>
                <w:lang w:val="hy-AM"/>
              </w:rPr>
              <w:t>Կոլլեկցիոն, ցուցադրական և ֆիլոքսերադիմացկուն սորտ-պատվաստակալների այգիների խնամքը և կառավարում,</w:t>
            </w:r>
          </w:p>
          <w:p w:rsidR="00530B14" w:rsidRPr="0053423A" w:rsidRDefault="00530B14" w:rsidP="00A67858">
            <w:pPr>
              <w:autoSpaceDE w:val="0"/>
              <w:autoSpaceDN w:val="0"/>
              <w:adjustRightInd w:val="0"/>
              <w:spacing w:line="276" w:lineRule="auto"/>
              <w:ind w:firstLine="708"/>
              <w:jc w:val="both"/>
              <w:rPr>
                <w:lang w:val="hy-AM"/>
              </w:rPr>
            </w:pPr>
            <w:r w:rsidRPr="0053423A">
              <w:rPr>
                <w:lang w:val="hy-AM"/>
              </w:rPr>
              <w:t xml:space="preserve"> ՀՀ մարզերում մոնիտորինգի իրականացում՝ նպատակ ունենալով վերհանել պետական ֆոնդին պատկանող չմշակվող հողերը, որոնք պիտանի կլինեն բարձրար</w:t>
            </w:r>
            <w:r w:rsidRPr="0053423A">
              <w:rPr>
                <w:lang w:val="hy-AM"/>
              </w:rPr>
              <w:softHyphen/>
              <w:t xml:space="preserve">ժեք գինեգործության տեսանկյունից։ Դա կստեղծի ներդրումային ավելի բարենպաստ միջավայր։ </w:t>
            </w:r>
          </w:p>
          <w:p w:rsidR="00530B14" w:rsidRPr="0053423A" w:rsidRDefault="00530B14" w:rsidP="00A67858">
            <w:pPr>
              <w:autoSpaceDE w:val="0"/>
              <w:autoSpaceDN w:val="0"/>
              <w:adjustRightInd w:val="0"/>
              <w:spacing w:line="276" w:lineRule="auto"/>
              <w:ind w:firstLine="708"/>
              <w:jc w:val="both"/>
              <w:rPr>
                <w:lang w:val="hy-AM"/>
              </w:rPr>
            </w:pPr>
            <w:r w:rsidRPr="0053423A">
              <w:rPr>
                <w:lang w:val="hy-AM"/>
              </w:rPr>
              <w:t>Խաղողի և գինու որակի բարձրացման նպատակով մասնագիտական խորհրդա</w:t>
            </w:r>
            <w:r w:rsidRPr="0053423A">
              <w:rPr>
                <w:lang w:val="hy-AM"/>
              </w:rPr>
              <w:softHyphen/>
              <w:t>տվություն իրականացում գինու արտադրությամբ զբաղվող ընկերություններին:</w:t>
            </w:r>
          </w:p>
          <w:p w:rsidR="00530B14" w:rsidRPr="0053423A" w:rsidRDefault="00530B14" w:rsidP="00A67858">
            <w:pPr>
              <w:autoSpaceDE w:val="0"/>
              <w:autoSpaceDN w:val="0"/>
              <w:adjustRightInd w:val="0"/>
              <w:spacing w:line="276" w:lineRule="auto"/>
              <w:ind w:firstLine="708"/>
              <w:jc w:val="both"/>
              <w:rPr>
                <w:lang w:val="hy-AM"/>
              </w:rPr>
            </w:pPr>
            <w:r w:rsidRPr="0053423A">
              <w:rPr>
                <w:lang w:val="hy-AM"/>
              </w:rPr>
              <w:t>Ֆերմերների և մասնագետների միջև հմտությունների և գիտելիքների փոխա</w:t>
            </w:r>
            <w:r w:rsidRPr="0053423A">
              <w:rPr>
                <w:lang w:val="hy-AM"/>
              </w:rPr>
              <w:softHyphen/>
              <w:t xml:space="preserve">նակման կազմակերպում: </w:t>
            </w:r>
          </w:p>
          <w:p w:rsidR="00530B14" w:rsidRPr="0053423A" w:rsidRDefault="00530B14" w:rsidP="00A67858">
            <w:pPr>
              <w:autoSpaceDE w:val="0"/>
              <w:autoSpaceDN w:val="0"/>
              <w:adjustRightInd w:val="0"/>
              <w:spacing w:line="276" w:lineRule="auto"/>
              <w:ind w:firstLine="708"/>
              <w:jc w:val="both"/>
              <w:rPr>
                <w:lang w:val="hy-AM"/>
              </w:rPr>
            </w:pPr>
            <w:r w:rsidRPr="0053423A">
              <w:rPr>
                <w:lang w:val="hy-AM"/>
              </w:rPr>
              <w:t>Հայակական գինիների մասնակցության ապահովում միջազգային բարձր վար</w:t>
            </w:r>
            <w:r w:rsidRPr="0053423A">
              <w:rPr>
                <w:lang w:val="hy-AM"/>
              </w:rPr>
              <w:softHyphen/>
              <w:t>կանիշ ունեցող գինու մրցույթներին և միջազգային գինեգործական ցուցահան</w:t>
            </w:r>
            <w:r w:rsidRPr="0053423A">
              <w:rPr>
                <w:lang w:val="hy-AM"/>
              </w:rPr>
              <w:softHyphen/>
              <w:t>դես</w:t>
            </w:r>
            <w:r w:rsidRPr="0053423A">
              <w:rPr>
                <w:lang w:val="hy-AM"/>
              </w:rPr>
              <w:softHyphen/>
              <w:t>ներին,  հայկական գինիների համտեսի կազմակերպում միջազգային ոլորտի մաս</w:t>
            </w:r>
            <w:r w:rsidRPr="0053423A">
              <w:rPr>
                <w:lang w:val="hy-AM"/>
              </w:rPr>
              <w:softHyphen/>
              <w:t>նա</w:t>
            </w:r>
            <w:r w:rsidRPr="0053423A">
              <w:rPr>
                <w:lang w:val="hy-AM"/>
              </w:rPr>
              <w:softHyphen/>
              <w:t>գետ</w:t>
            </w:r>
            <w:r w:rsidRPr="0053423A">
              <w:rPr>
                <w:lang w:val="hy-AM"/>
              </w:rPr>
              <w:softHyphen/>
              <w:t>ների համար, նպատակային շուկաներում գինու համտեսներին մասնակ</w:t>
            </w:r>
            <w:r w:rsidRPr="0053423A">
              <w:rPr>
                <w:lang w:val="hy-AM"/>
              </w:rPr>
              <w:softHyphen/>
              <w:t>ցություն:</w:t>
            </w:r>
          </w:p>
          <w:p w:rsidR="00530B14" w:rsidRPr="0053423A" w:rsidRDefault="00530B14" w:rsidP="00A67858">
            <w:pPr>
              <w:spacing w:line="276" w:lineRule="auto"/>
              <w:jc w:val="both"/>
              <w:rPr>
                <w:lang w:val="hy-AM"/>
              </w:rPr>
            </w:pPr>
            <w:r w:rsidRPr="0053423A">
              <w:rPr>
                <w:rFonts w:cs="Arial"/>
                <w:b/>
                <w:lang w:val="hy-AM"/>
              </w:rPr>
              <w:tab/>
              <w:t xml:space="preserve">2. Միջոցառման իրականացումից ակնկալվող արդյունքը </w:t>
            </w:r>
          </w:p>
          <w:p w:rsidR="00530B14" w:rsidRPr="0053423A" w:rsidRDefault="00530B14" w:rsidP="00A67858">
            <w:pPr>
              <w:autoSpaceDE w:val="0"/>
              <w:autoSpaceDN w:val="0"/>
              <w:adjustRightInd w:val="0"/>
              <w:spacing w:line="276" w:lineRule="auto"/>
              <w:ind w:firstLine="708"/>
              <w:jc w:val="both"/>
              <w:rPr>
                <w:lang w:val="hy-AM"/>
              </w:rPr>
            </w:pPr>
            <w:r w:rsidRPr="0053423A">
              <w:rPr>
                <w:lang w:val="hy-AM"/>
              </w:rPr>
              <w:t>Հանրապետության խաղողոագործության և գինեգործության կայուն զարգացում,  ըստ սորտային կազմի և այլ կարևոր բնութագրիչների մշակվող խաղողի տնկարկների մակերեսների պարզաբանում, ըստ սորտային կազմի խաղողի տարեկան արտադ</w:t>
            </w:r>
            <w:r w:rsidRPr="0053423A">
              <w:rPr>
                <w:lang w:val="hy-AM"/>
              </w:rPr>
              <w:softHyphen/>
              <w:t>րության միջին ծավալների աճ, արտադրվող գինեգործական արտադրանքի մասին ճշգրիտ տեղեկատվության տիրապետում, խաղողի յուրաքանչյուր տնկարկի ճշգրիտ տեղադրության և պատկանելիության բացահայտում, դրա անձնագրավորում:</w:t>
            </w:r>
          </w:p>
          <w:p w:rsidR="00530B14" w:rsidRPr="0053423A" w:rsidRDefault="00530B14" w:rsidP="00A67858">
            <w:pPr>
              <w:autoSpaceDE w:val="0"/>
              <w:autoSpaceDN w:val="0"/>
              <w:adjustRightInd w:val="0"/>
              <w:spacing w:line="276" w:lineRule="auto"/>
              <w:ind w:firstLine="708"/>
              <w:jc w:val="both"/>
              <w:rPr>
                <w:lang w:val="hy-AM"/>
              </w:rPr>
            </w:pPr>
            <w:r w:rsidRPr="0053423A">
              <w:rPr>
                <w:lang w:val="hy-AM"/>
              </w:rPr>
              <w:t>Կոլեկցիոն այգու համալրում նոր սորտերով, խաղողի գենոֆոնդի պահպանում, քիչ տարածված տեղածին սորտերի տեխնոլոգիական ներուժի բացահայտում, խաղողի հայկական սորտերի միասնական էլեկտրոնային տեղեկատվական բազայի առկայու</w:t>
            </w:r>
            <w:r w:rsidRPr="0053423A">
              <w:rPr>
                <w:lang w:val="hy-AM"/>
              </w:rPr>
              <w:softHyphen/>
              <w:t>թյուն և միջազգային հարթակներում հայկական սորտերի ճշգրիտ նկարագրության հասանելիություն:</w:t>
            </w:r>
          </w:p>
          <w:p w:rsidR="00530B14" w:rsidRPr="0053423A" w:rsidRDefault="00530B14" w:rsidP="00A67858">
            <w:pPr>
              <w:autoSpaceDE w:val="0"/>
              <w:autoSpaceDN w:val="0"/>
              <w:adjustRightInd w:val="0"/>
              <w:spacing w:line="276" w:lineRule="auto"/>
              <w:ind w:firstLine="708"/>
              <w:jc w:val="both"/>
              <w:rPr>
                <w:lang w:val="hy-AM"/>
              </w:rPr>
            </w:pPr>
            <w:r w:rsidRPr="0053423A">
              <w:rPr>
                <w:lang w:val="hy-AM"/>
              </w:rPr>
              <w:t>Աշխարհագրական նշումով գինիների արտադրության համակարգի լիիրավ կիրարկման ուղեցույց, որակական չափորոշիչների հետազոտման համար աշխար</w:t>
            </w:r>
            <w:r w:rsidRPr="0053423A">
              <w:rPr>
                <w:lang w:val="hy-AM"/>
              </w:rPr>
              <w:softHyphen/>
              <w:t>հագրական նշումով գինիների էտալոնների առկայություն, նոր ներդրումներ համայնք</w:t>
            </w:r>
            <w:r w:rsidRPr="0053423A">
              <w:rPr>
                <w:lang w:val="hy-AM"/>
              </w:rPr>
              <w:softHyphen/>
              <w:t>ներում, գինու տուրիզմի զարգացում:</w:t>
            </w:r>
          </w:p>
          <w:p w:rsidR="00530B14" w:rsidRPr="0053423A" w:rsidRDefault="00530B14" w:rsidP="00A67858">
            <w:pPr>
              <w:autoSpaceDE w:val="0"/>
              <w:autoSpaceDN w:val="0"/>
              <w:adjustRightInd w:val="0"/>
              <w:spacing w:line="276" w:lineRule="auto"/>
              <w:ind w:firstLine="708"/>
              <w:jc w:val="both"/>
              <w:rPr>
                <w:lang w:val="hy-AM"/>
              </w:rPr>
            </w:pPr>
            <w:r w:rsidRPr="0053423A">
              <w:rPr>
                <w:lang w:val="hy-AM"/>
              </w:rPr>
              <w:t>Բարձրորակ գինու արտադրության կազմակերպում, մրցունակ նոր տեսակի արտադրանքի թողարկում: Բացի այդ միջազգային փորձի փոխանակում մասնակից ընկերությունների մասնագետների մասնակցությամբ:</w:t>
            </w:r>
          </w:p>
          <w:p w:rsidR="00530B14" w:rsidRPr="0053423A" w:rsidRDefault="00530B14" w:rsidP="00A67858">
            <w:pPr>
              <w:autoSpaceDE w:val="0"/>
              <w:autoSpaceDN w:val="0"/>
              <w:adjustRightInd w:val="0"/>
              <w:spacing w:line="276" w:lineRule="auto"/>
              <w:ind w:firstLine="708"/>
              <w:jc w:val="both"/>
              <w:rPr>
                <w:lang w:val="hy-AM"/>
              </w:rPr>
            </w:pPr>
            <w:r w:rsidRPr="0053423A">
              <w:rPr>
                <w:lang w:val="hy-AM"/>
              </w:rPr>
              <w:t>Խաղող մշակող ֆերմերային տնտեսությունների կարողությունների զարգացում, ինչը կնպաստի որակյալ խաղողի արտադրությանը: Դա հատկապես կարևոր է հաշվի առնելով ներկայիս շուկայական խիստ մրացակցային պայմաններում օրեցօր ավելացող բարձրորակ խաղողի պահանջարկը:</w:t>
            </w:r>
          </w:p>
          <w:p w:rsidR="00530B14" w:rsidRPr="0053423A" w:rsidRDefault="00530B14" w:rsidP="00A67858">
            <w:pPr>
              <w:autoSpaceDE w:val="0"/>
              <w:autoSpaceDN w:val="0"/>
              <w:adjustRightInd w:val="0"/>
              <w:spacing w:line="276" w:lineRule="auto"/>
              <w:ind w:firstLine="708"/>
              <w:jc w:val="both"/>
              <w:rPr>
                <w:lang w:val="hy-AM"/>
              </w:rPr>
            </w:pPr>
            <w:r w:rsidRPr="0053423A">
              <w:rPr>
                <w:lang w:val="hy-AM"/>
              </w:rPr>
              <w:t>Հայկական գինիների ճանաչելիության բարձրացում և արտահանման աճ:</w:t>
            </w:r>
          </w:p>
          <w:p w:rsidR="00530B14" w:rsidRPr="0053423A" w:rsidRDefault="00530B14" w:rsidP="00A67858">
            <w:pPr>
              <w:autoSpaceDE w:val="0"/>
              <w:autoSpaceDN w:val="0"/>
              <w:adjustRightInd w:val="0"/>
              <w:spacing w:line="276" w:lineRule="auto"/>
              <w:jc w:val="both"/>
              <w:rPr>
                <w:lang w:val="hy-AM"/>
              </w:rPr>
            </w:pPr>
          </w:p>
          <w:p w:rsidR="00530B14" w:rsidRPr="0053423A" w:rsidRDefault="00530B14" w:rsidP="00A67858">
            <w:pPr>
              <w:autoSpaceDE w:val="0"/>
              <w:autoSpaceDN w:val="0"/>
              <w:adjustRightInd w:val="0"/>
              <w:spacing w:line="276" w:lineRule="auto"/>
              <w:jc w:val="center"/>
              <w:rPr>
                <w:u w:val="single"/>
                <w:lang w:val="hy-AM"/>
              </w:rPr>
            </w:pPr>
            <w:r w:rsidRPr="0053423A">
              <w:rPr>
                <w:b/>
                <w:u w:val="single"/>
                <w:lang w:val="hy-AM"/>
              </w:rPr>
              <w:t>4.2 Գյուղատնտեսական մթերքների մեծածախ շուկայի ստեղծման ներդրումային ծրագրի մշակման նպատակով հանրապետության մարզերի տարածաշրջաններում հետբերքահավաքային կարիքների (իրացման և մթերման կետեր, պահես</w:t>
            </w:r>
            <w:r w:rsidRPr="0053423A">
              <w:rPr>
                <w:b/>
                <w:u w:val="single"/>
                <w:lang w:val="hy-AM"/>
              </w:rPr>
              <w:softHyphen/>
              <w:t>տարան</w:t>
            </w:r>
            <w:r w:rsidRPr="0053423A">
              <w:rPr>
                <w:b/>
                <w:u w:val="single"/>
                <w:lang w:val="hy-AM"/>
              </w:rPr>
              <w:softHyphen/>
              <w:t>ներ, սառնարանային տնտեսություն և այլն) և մթերման կետերի ստեղծման համար անհրաժեշտ հողատարածքների և շինությունների գնահատում</w:t>
            </w:r>
          </w:p>
          <w:p w:rsidR="00530B14" w:rsidRPr="0053423A" w:rsidRDefault="00530B14" w:rsidP="00A67858">
            <w:pPr>
              <w:autoSpaceDE w:val="0"/>
              <w:autoSpaceDN w:val="0"/>
              <w:adjustRightInd w:val="0"/>
              <w:spacing w:line="276" w:lineRule="auto"/>
              <w:jc w:val="both"/>
              <w:rPr>
                <w:lang w:val="hy-AM"/>
              </w:rPr>
            </w:pPr>
          </w:p>
          <w:p w:rsidR="00530B14" w:rsidRPr="0053423A" w:rsidRDefault="00530B14" w:rsidP="00A67858">
            <w:pPr>
              <w:autoSpaceDE w:val="0"/>
              <w:autoSpaceDN w:val="0"/>
              <w:adjustRightInd w:val="0"/>
              <w:spacing w:line="276" w:lineRule="auto"/>
              <w:ind w:firstLine="630"/>
              <w:jc w:val="both"/>
              <w:rPr>
                <w:b/>
                <w:lang w:val="hy-AM"/>
              </w:rPr>
            </w:pPr>
            <w:r w:rsidRPr="0053423A">
              <w:rPr>
                <w:b/>
                <w:lang w:val="hy-AM"/>
              </w:rPr>
              <w:t xml:space="preserve">1. Միջոցառման իրականացման անհրաժեշտությունը և նպատակը </w:t>
            </w:r>
          </w:p>
          <w:p w:rsidR="00530B14" w:rsidRPr="0053423A" w:rsidRDefault="00530B14" w:rsidP="00A67858">
            <w:pPr>
              <w:autoSpaceDE w:val="0"/>
              <w:autoSpaceDN w:val="0"/>
              <w:adjustRightInd w:val="0"/>
              <w:spacing w:line="276" w:lineRule="auto"/>
              <w:jc w:val="both"/>
              <w:rPr>
                <w:lang w:val="hy-AM"/>
              </w:rPr>
            </w:pPr>
            <w:r w:rsidRPr="0053423A">
              <w:rPr>
                <w:lang w:val="hy-AM"/>
              </w:rPr>
              <w:tab/>
              <w:t xml:space="preserve">Միջոցառման իրականացման անհրաժեշտությունը բխում է ՀՀ ԱԺ 2019 թվականի փետրվարի 14-ի ԱԺՈ-002-Ն որոշմամբ հավանության արժանացած ՀՀ կառավարության ծրագրից (5.10. Գյուղատնտեսությունը բաժին, 6-րդ պարբերություն), </w:t>
            </w:r>
          </w:p>
          <w:p w:rsidR="00530B14" w:rsidRPr="0053423A" w:rsidRDefault="00530B14" w:rsidP="00A67858">
            <w:pPr>
              <w:autoSpaceDE w:val="0"/>
              <w:autoSpaceDN w:val="0"/>
              <w:adjustRightInd w:val="0"/>
              <w:spacing w:line="276" w:lineRule="auto"/>
              <w:jc w:val="both"/>
              <w:rPr>
                <w:lang w:val="hy-AM"/>
              </w:rPr>
            </w:pPr>
            <w:r w:rsidRPr="0053423A">
              <w:rPr>
                <w:lang w:val="hy-AM"/>
              </w:rPr>
              <w:t>Միջոցառման իրականացման հիմնական նպատակը գյուղատնտեսական մթերքների մեծածախ շուկայի ստեղծումն է, արդյունքում՝ գյուղատնտեսական մթերքների իրացման հիմնախնդիրների կարգավորումը:</w:t>
            </w:r>
          </w:p>
          <w:p w:rsidR="00530B14" w:rsidRPr="0053423A" w:rsidRDefault="00530B14" w:rsidP="00A67858">
            <w:pPr>
              <w:autoSpaceDE w:val="0"/>
              <w:autoSpaceDN w:val="0"/>
              <w:adjustRightInd w:val="0"/>
              <w:spacing w:line="276" w:lineRule="auto"/>
              <w:jc w:val="both"/>
              <w:rPr>
                <w:b/>
                <w:lang w:val="hy-AM"/>
              </w:rPr>
            </w:pPr>
            <w:r w:rsidRPr="0053423A">
              <w:rPr>
                <w:b/>
                <w:lang w:val="hy-AM"/>
              </w:rPr>
              <w:tab/>
              <w:t>1.1. Կարգավորման հարաբերությունների ներկա վիճակը և առկա խնդիրները</w:t>
            </w:r>
          </w:p>
          <w:p w:rsidR="00530B14" w:rsidRPr="0053423A" w:rsidRDefault="00530B14" w:rsidP="00A67858">
            <w:pPr>
              <w:autoSpaceDE w:val="0"/>
              <w:autoSpaceDN w:val="0"/>
              <w:adjustRightInd w:val="0"/>
              <w:spacing w:line="276" w:lineRule="auto"/>
              <w:jc w:val="both"/>
              <w:rPr>
                <w:lang w:val="hy-AM"/>
              </w:rPr>
            </w:pPr>
            <w:r w:rsidRPr="0053423A">
              <w:rPr>
                <w:lang w:val="hy-AM"/>
              </w:rPr>
              <w:tab/>
              <w:t>Գյուղացիական տնտեսությունները գյուղատնտեսական մթերքները հիմնա</w:t>
            </w:r>
            <w:r w:rsidRPr="0053423A">
              <w:rPr>
                <w:lang w:val="hy-AM"/>
              </w:rPr>
              <w:softHyphen/>
              <w:t>կանում իրացնում են գյուղատնտեսական մթերքների շուկաներում և առևտրի այլ ցանցերում միջնորդավորված անձանց միջոցով, առանց պատշաճ տեսակավորման և փաթեթավորման: Այս դեպքում գյուղացիական տնտեսությունների եկամուտները ցածր են և միջնորդները հաճախ ունենում են գյուղացիական տնտեսություններից ավելի մեծ շահույթներ, չվճարելով որևէ հարկ և պատճառ հանդիսանալով իրացման գների գրեթե կրկնակի աճին: Վերջինս հանգեցնում է գյուղացիական տնտեսությունների արդարացի դժգոհություններին և սպառողների ներկայումս ձևավորված գնողունակության մակարդակի պայմաններում դժվարանում է արտադրված բերքի իրացումը: Միաժամանակ արտադրողը չի կարողանում մշակել արտադրության և սպառման հստակ ռազմավարություն, պլանավորել իր արտադրության տեսականին ու ծավալ</w:t>
            </w:r>
            <w:r w:rsidRPr="0053423A">
              <w:rPr>
                <w:lang w:val="hy-AM"/>
              </w:rPr>
              <w:softHyphen/>
              <w:t>ները: Արդյունքում ամբողջությամբ չի օգտագործվում ոչ միայն ներքին սպառման ներուժը, այլև բացակայում է հայկական գյուղմթերքի շուկա արտասահմանյան գնորդների մուտքն ապահովող մեխանիզմը: Հայկական արտադրության գյուղմթերքի իրացման լոգիստիկ ծախսերի կրճատման, շուկայական ենթակառուցվածքների ձևավորման, արտադրանքի որակի և մրցունակության բարձրացման, արտահանող կազմակերպություններին և վերամշակման ոլորտին պահանջվող քանակությամբ և որակական ցուցանիշներով արտադրանքով ապահովման համար անհրաժեշտ է հանրապետական մասշտաբի մեծածախ շուկայի  ստեղծումը:</w:t>
            </w:r>
          </w:p>
          <w:p w:rsidR="00530B14" w:rsidRPr="0053423A" w:rsidRDefault="00530B14" w:rsidP="00A67858">
            <w:pPr>
              <w:autoSpaceDE w:val="0"/>
              <w:autoSpaceDN w:val="0"/>
              <w:adjustRightInd w:val="0"/>
              <w:spacing w:line="276" w:lineRule="auto"/>
              <w:jc w:val="both"/>
              <w:rPr>
                <w:b/>
                <w:lang w:val="hy-AM"/>
              </w:rPr>
            </w:pPr>
            <w:r w:rsidRPr="0053423A">
              <w:rPr>
                <w:b/>
                <w:lang w:val="hy-AM"/>
              </w:rPr>
              <w:tab/>
              <w:t>1.2. Առկա խնդիրների առաջարկվող լուծումները</w:t>
            </w:r>
          </w:p>
          <w:p w:rsidR="00530B14" w:rsidRPr="0053423A" w:rsidRDefault="00530B14" w:rsidP="00A67858">
            <w:pPr>
              <w:autoSpaceDE w:val="0"/>
              <w:autoSpaceDN w:val="0"/>
              <w:adjustRightInd w:val="0"/>
              <w:spacing w:line="276" w:lineRule="auto"/>
              <w:jc w:val="both"/>
              <w:rPr>
                <w:lang w:val="hy-AM"/>
              </w:rPr>
            </w:pPr>
            <w:r w:rsidRPr="0053423A">
              <w:rPr>
                <w:lang w:val="hy-AM"/>
              </w:rPr>
              <w:tab/>
              <w:t xml:space="preserve">Գյուղատնտեսական մթերքների իրացման խնդիրները մեղմելու համար առաջարկվում է ստեղծել նախադրյալներ՝ հետագայում մեծածախ շուկա հիմնելու նպատակով։ Այդ իմաստով նախնական փուլում անհրաժեշտ է ստեղծել հիմքեր ներդրումային ծրագրի իրականացման համար։ </w:t>
            </w:r>
          </w:p>
          <w:p w:rsidR="00530B14" w:rsidRPr="0053423A" w:rsidRDefault="00530B14" w:rsidP="00A67858">
            <w:pPr>
              <w:autoSpaceDE w:val="0"/>
              <w:autoSpaceDN w:val="0"/>
              <w:adjustRightInd w:val="0"/>
              <w:spacing w:line="276" w:lineRule="auto"/>
              <w:jc w:val="both"/>
              <w:rPr>
                <w:b/>
                <w:lang w:val="hy-AM"/>
              </w:rPr>
            </w:pPr>
            <w:r w:rsidRPr="0053423A">
              <w:rPr>
                <w:lang w:val="hy-AM"/>
              </w:rPr>
              <w:tab/>
            </w:r>
            <w:r w:rsidRPr="0053423A">
              <w:rPr>
                <w:b/>
                <w:lang w:val="hy-AM"/>
              </w:rPr>
              <w:t>2. Ակնկալվող արդյունքները</w:t>
            </w:r>
          </w:p>
          <w:p w:rsidR="00530B14" w:rsidRPr="0053423A" w:rsidRDefault="00530B14" w:rsidP="00A67858">
            <w:pPr>
              <w:autoSpaceDE w:val="0"/>
              <w:autoSpaceDN w:val="0"/>
              <w:adjustRightInd w:val="0"/>
              <w:spacing w:line="276" w:lineRule="auto"/>
              <w:jc w:val="both"/>
              <w:rPr>
                <w:lang w:val="hy-AM"/>
              </w:rPr>
            </w:pPr>
            <w:r w:rsidRPr="0053423A">
              <w:rPr>
                <w:lang w:val="hy-AM"/>
              </w:rPr>
              <w:tab/>
              <w:t>Միջոցառման իրականացման արդյունքում կստեղծվեն անհրաժեշտ հիմքեր գյուղատնտեսական մթերքների մեծածախ շուկայի ստեղծման ներդրումային ծրագրի մշակման համար։</w:t>
            </w:r>
          </w:p>
          <w:p w:rsidR="00530B14" w:rsidRPr="0053423A" w:rsidRDefault="00530B14" w:rsidP="00A67858">
            <w:pPr>
              <w:autoSpaceDE w:val="0"/>
              <w:autoSpaceDN w:val="0"/>
              <w:adjustRightInd w:val="0"/>
              <w:spacing w:line="276" w:lineRule="auto"/>
              <w:jc w:val="both"/>
            </w:pPr>
            <w:r w:rsidRPr="0053423A">
              <w:rPr>
                <w:lang w:val="hy-AM"/>
              </w:rPr>
              <w:tab/>
            </w:r>
            <w:r w:rsidRPr="0053423A">
              <w:t>Մեծածախ շուկայի ստեղծմամբ՝</w:t>
            </w:r>
          </w:p>
          <w:p w:rsidR="00530B14" w:rsidRPr="0053423A" w:rsidRDefault="00530B14" w:rsidP="001F6D5D">
            <w:pPr>
              <w:pStyle w:val="ListParagraph"/>
              <w:numPr>
                <w:ilvl w:val="0"/>
                <w:numId w:val="124"/>
              </w:numPr>
              <w:autoSpaceDE w:val="0"/>
              <w:autoSpaceDN w:val="0"/>
              <w:adjustRightInd w:val="0"/>
              <w:spacing w:line="276" w:lineRule="auto"/>
              <w:ind w:left="0" w:firstLine="360"/>
              <w:jc w:val="both"/>
            </w:pPr>
            <w:r w:rsidRPr="0053423A">
              <w:t>կիսով չափ կկրճատվեն պտուղբանջարեղենի, կարտոֆիլի և այլ ապրանքների պահման, փաթեթավորման, տեղափոխման և այլ անհարմարությունների պատճառ</w:t>
            </w:r>
            <w:r w:rsidRPr="0053423A">
              <w:softHyphen/>
              <w:t>ով արժեշղթայում առաջացող շուրջ 30-35 % կորուստները,</w:t>
            </w:r>
          </w:p>
          <w:p w:rsidR="00530B14" w:rsidRPr="0053423A" w:rsidRDefault="00530B14" w:rsidP="001F6D5D">
            <w:pPr>
              <w:pStyle w:val="ListParagraph"/>
              <w:numPr>
                <w:ilvl w:val="0"/>
                <w:numId w:val="124"/>
              </w:numPr>
              <w:autoSpaceDE w:val="0"/>
              <w:autoSpaceDN w:val="0"/>
              <w:adjustRightInd w:val="0"/>
              <w:spacing w:line="276" w:lineRule="auto"/>
              <w:ind w:left="0" w:firstLine="360"/>
              <w:jc w:val="both"/>
            </w:pPr>
            <w:r w:rsidRPr="0053423A">
              <w:t>մրցակցային պայմաններ կստեղծվեն գյուղատնտեսական արտադրությամբ զբաղվողների շրջանում, սեփական արտադրանքի արտադրության և վաճառքի ծավալ</w:t>
            </w:r>
            <w:r w:rsidRPr="0053423A">
              <w:softHyphen/>
              <w:t>ների ընդլայնման ու որակի բարելավման ուղղությամբ,</w:t>
            </w:r>
          </w:p>
          <w:p w:rsidR="00530B14" w:rsidRPr="0053423A" w:rsidRDefault="00530B14" w:rsidP="001F6D5D">
            <w:pPr>
              <w:pStyle w:val="ListParagraph"/>
              <w:numPr>
                <w:ilvl w:val="0"/>
                <w:numId w:val="124"/>
              </w:numPr>
              <w:autoSpaceDE w:val="0"/>
              <w:autoSpaceDN w:val="0"/>
              <w:adjustRightInd w:val="0"/>
              <w:spacing w:line="276" w:lineRule="auto"/>
              <w:ind w:left="0" w:firstLine="360"/>
              <w:jc w:val="both"/>
            </w:pPr>
            <w:r w:rsidRPr="0053423A">
              <w:t>անցում կկատարվի գյուղատնտեսական մթերքների իրացման քաղաքակիրթ համակարգի և առևտրի կազմակերպման սկզբունքների՝ ապահովելով սննդամթերքի անվտանգության պահանջները,</w:t>
            </w:r>
          </w:p>
          <w:p w:rsidR="00530B14" w:rsidRPr="0053423A" w:rsidRDefault="00530B14" w:rsidP="001F6D5D">
            <w:pPr>
              <w:pStyle w:val="ListParagraph"/>
              <w:numPr>
                <w:ilvl w:val="0"/>
                <w:numId w:val="124"/>
              </w:numPr>
              <w:autoSpaceDE w:val="0"/>
              <w:autoSpaceDN w:val="0"/>
              <w:adjustRightInd w:val="0"/>
              <w:spacing w:line="276" w:lineRule="auto"/>
              <w:ind w:left="0" w:firstLine="360"/>
              <w:jc w:val="center"/>
              <w:rPr>
                <w:b/>
                <w:bCs/>
                <w:i/>
                <w:iCs/>
                <w:u w:val="single"/>
                <w:lang w:val="af-ZA"/>
              </w:rPr>
            </w:pPr>
            <w:r w:rsidRPr="0053423A">
              <w:t>ապրանքային քանակների ձևավորման շնորհիվ զգալիորեն կավելանան գյուղմթերքի արտադրության և  արտահանման ծավալները։</w:t>
            </w:r>
          </w:p>
        </w:tc>
      </w:tr>
      <w:tr w:rsidR="00530B14" w:rsidRPr="00DE2EFA" w:rsidTr="004440EB">
        <w:tc>
          <w:tcPr>
            <w:tcW w:w="480" w:type="dxa"/>
          </w:tcPr>
          <w:p w:rsidR="00530B14" w:rsidRPr="0053423A" w:rsidRDefault="00530B14" w:rsidP="00A67858">
            <w:pPr>
              <w:spacing w:line="276" w:lineRule="auto"/>
              <w:jc w:val="right"/>
              <w:rPr>
                <w:b/>
                <w:bCs/>
                <w:iCs/>
                <w:lang w:val="hy-AM"/>
              </w:rPr>
            </w:pPr>
            <w:r w:rsidRPr="0053423A">
              <w:rPr>
                <w:b/>
                <w:bCs/>
                <w:iCs/>
                <w:lang w:val="hy-AM"/>
              </w:rPr>
              <w:t>5</w:t>
            </w:r>
          </w:p>
        </w:tc>
        <w:tc>
          <w:tcPr>
            <w:tcW w:w="10879" w:type="dxa"/>
          </w:tcPr>
          <w:p w:rsidR="00530B14" w:rsidRPr="0053423A" w:rsidRDefault="00530B14" w:rsidP="00A67858">
            <w:pPr>
              <w:spacing w:line="276" w:lineRule="auto"/>
              <w:jc w:val="center"/>
              <w:rPr>
                <w:b/>
                <w:lang w:val="hy-AM"/>
              </w:rPr>
            </w:pPr>
            <w:r w:rsidRPr="0053423A">
              <w:rPr>
                <w:b/>
                <w:lang w:val="hy-AM"/>
              </w:rPr>
              <w:t>Գյուղատնտեսությունում կոոպերացիայի զար</w:t>
            </w:r>
            <w:r w:rsidRPr="0053423A">
              <w:rPr>
                <w:b/>
                <w:lang w:val="hy-AM"/>
              </w:rPr>
              <w:softHyphen/>
              <w:t>գացմանն օժանդա</w:t>
            </w:r>
            <w:r w:rsidRPr="0053423A">
              <w:rPr>
                <w:b/>
                <w:lang w:val="hy-AM"/>
              </w:rPr>
              <w:softHyphen/>
              <w:t>կում, վերջիններիս կայացման համար անհրաժեշտ նվազա</w:t>
            </w:r>
            <w:r w:rsidRPr="0053423A">
              <w:rPr>
                <w:b/>
                <w:lang w:val="hy-AM"/>
              </w:rPr>
              <w:softHyphen/>
              <w:t>գույն նախադ</w:t>
            </w:r>
            <w:r w:rsidRPr="0053423A">
              <w:rPr>
                <w:b/>
                <w:lang w:val="hy-AM"/>
              </w:rPr>
              <w:softHyphen/>
              <w:t>րյալների սահմանում</w:t>
            </w:r>
          </w:p>
          <w:p w:rsidR="00530B14" w:rsidRPr="0053423A" w:rsidRDefault="00530B14" w:rsidP="00A67858">
            <w:pPr>
              <w:spacing w:line="276" w:lineRule="auto"/>
              <w:jc w:val="center"/>
              <w:rPr>
                <w:b/>
                <w:lang w:val="hy-AM"/>
              </w:rPr>
            </w:pPr>
          </w:p>
          <w:p w:rsidR="00530B14" w:rsidRPr="0053423A" w:rsidRDefault="00530B14" w:rsidP="00A67858">
            <w:pPr>
              <w:spacing w:line="276" w:lineRule="auto"/>
              <w:jc w:val="center"/>
              <w:rPr>
                <w:b/>
                <w:u w:val="single"/>
                <w:lang w:val="hy-AM"/>
              </w:rPr>
            </w:pPr>
            <w:r w:rsidRPr="0053423A">
              <w:rPr>
                <w:b/>
                <w:u w:val="single"/>
                <w:lang w:val="hy-AM"/>
              </w:rPr>
              <w:t>5.1 Արտոնյալ պայմաններով կոոպերատիվների մասնակցությունը պետական աջակցության ծրագրերին</w:t>
            </w:r>
          </w:p>
          <w:p w:rsidR="00530B14" w:rsidRPr="0053423A" w:rsidRDefault="00530B14" w:rsidP="00A67858">
            <w:pPr>
              <w:spacing w:line="276" w:lineRule="auto"/>
              <w:jc w:val="center"/>
              <w:rPr>
                <w:b/>
                <w:lang w:val="hy-AM"/>
              </w:rPr>
            </w:pPr>
          </w:p>
          <w:p w:rsidR="00530B14" w:rsidRPr="0053423A" w:rsidRDefault="00530B14" w:rsidP="001F6D5D">
            <w:pPr>
              <w:pStyle w:val="ListParagraph"/>
              <w:numPr>
                <w:ilvl w:val="0"/>
                <w:numId w:val="117"/>
              </w:numPr>
              <w:tabs>
                <w:tab w:val="left" w:pos="1170"/>
              </w:tabs>
              <w:spacing w:line="276" w:lineRule="auto"/>
              <w:ind w:hanging="15"/>
              <w:jc w:val="both"/>
              <w:rPr>
                <w:b/>
                <w:lang w:val="hy-AM"/>
              </w:rPr>
            </w:pPr>
            <w:r w:rsidRPr="0053423A">
              <w:rPr>
                <w:b/>
                <w:lang w:val="hy-AM"/>
              </w:rPr>
              <w:t xml:space="preserve">Միջոցառման իրականացման անհրաժեշտությունը և նպատակը </w:t>
            </w:r>
          </w:p>
          <w:p w:rsidR="00530B14" w:rsidRPr="0053423A" w:rsidRDefault="00530B14" w:rsidP="00A67858">
            <w:pPr>
              <w:spacing w:line="276" w:lineRule="auto"/>
              <w:jc w:val="both"/>
              <w:rPr>
                <w:rFonts w:cs="Sylfaen"/>
                <w:lang w:val="hy-AM"/>
              </w:rPr>
            </w:pPr>
            <w:r w:rsidRPr="0053423A">
              <w:rPr>
                <w:rFonts w:cs="Sylfaen"/>
                <w:lang w:val="hy-AM"/>
              </w:rPr>
              <w:tab/>
              <w:t>Գյուղատնտեսությունում կոոպերատիվների զարգացմանն ուղղված միջոցառում</w:t>
            </w:r>
            <w:r w:rsidRPr="0053423A">
              <w:rPr>
                <w:rFonts w:cs="Sylfaen"/>
                <w:lang w:val="hy-AM"/>
              </w:rPr>
              <w:softHyphen/>
              <w:t>ների անհրաժեշտությունը բխում է ՀՀ ԱԺ 2019 թվականի փետրվարի 14-ի ԱԺՈ-002-Ն որոշմամբ հավանության արժանացած ՀՀ կառավարության ծրագրից (5.10. Գյուղա</w:t>
            </w:r>
            <w:r w:rsidRPr="0053423A">
              <w:rPr>
                <w:rFonts w:cs="Sylfaen"/>
                <w:lang w:val="hy-AM"/>
              </w:rPr>
              <w:softHyphen/>
              <w:t>տնտեսություն բաժին,</w:t>
            </w:r>
            <w:r w:rsidRPr="0053423A">
              <w:rPr>
                <w:lang w:val="hy-AM"/>
              </w:rPr>
              <w:t xml:space="preserve"> </w:t>
            </w:r>
            <w:r w:rsidRPr="0053423A">
              <w:rPr>
                <w:rFonts w:cs="Sylfaen"/>
                <w:lang w:val="hy-AM"/>
              </w:rPr>
              <w:t>7-րդ պարբերության 1-ին դրույթ), 2010 թվականի նոյեմբերի 4-ի Հայաստանի Հանրապետության գյուղի և գյուղատնտեսության 2010-2020 թվական</w:t>
            </w:r>
            <w:r w:rsidRPr="0053423A">
              <w:rPr>
                <w:rFonts w:cs="Sylfaen"/>
                <w:lang w:val="hy-AM"/>
              </w:rPr>
              <w:softHyphen/>
              <w:t>ների կայուն զարգացման ռազմավարությունից և Հայաստանի Հանրապետության գյու</w:t>
            </w:r>
            <w:r w:rsidRPr="0053423A">
              <w:rPr>
                <w:rFonts w:cs="Sylfaen"/>
                <w:lang w:val="hy-AM"/>
              </w:rPr>
              <w:softHyphen/>
              <w:t>ղի և գյուղատնտեսության 2010-2020 թվականների կայուն զարգացման ռազմավարու</w:t>
            </w:r>
            <w:r w:rsidRPr="0053423A">
              <w:rPr>
                <w:rFonts w:cs="Sylfaen"/>
                <w:lang w:val="hy-AM"/>
              </w:rPr>
              <w:softHyphen/>
              <w:t>թյան կատարումն ապահովող միջոցառումների ցանկը հաստատելու մասին N 1476-Ն և 2014 թվականի մարտի 27-ի Հայաստանի Հանրապետության 2014-2025 թվական</w:t>
            </w:r>
            <w:r w:rsidRPr="0053423A">
              <w:rPr>
                <w:rFonts w:cs="Sylfaen"/>
                <w:lang w:val="hy-AM"/>
              </w:rPr>
              <w:softHyphen/>
              <w:t>նե</w:t>
            </w:r>
            <w:r w:rsidRPr="0053423A">
              <w:rPr>
                <w:rFonts w:cs="Sylfaen"/>
                <w:lang w:val="hy-AM"/>
              </w:rPr>
              <w:softHyphen/>
              <w:t>րի հեռանկարային զարգացման ռազմավարական ծրագիրը հաստատելու և Հայաս</w:t>
            </w:r>
            <w:r w:rsidRPr="0053423A">
              <w:rPr>
                <w:rFonts w:cs="Sylfaen"/>
                <w:lang w:val="hy-AM"/>
              </w:rPr>
              <w:softHyphen/>
              <w:t>տա</w:t>
            </w:r>
            <w:r w:rsidRPr="0053423A">
              <w:rPr>
                <w:rFonts w:cs="Sylfaen"/>
                <w:lang w:val="hy-AM"/>
              </w:rPr>
              <w:softHyphen/>
              <w:t xml:space="preserve">նի Հանրապետության կառավարության 2008 թվականի հոկտեմբերի 30-ի N 1207-Ն որոշումն ուժը կորցրած ճանաչելու մասին N 442-Ն  որոշումների դրույթներից: </w:t>
            </w:r>
          </w:p>
          <w:p w:rsidR="00530B14" w:rsidRPr="0053423A" w:rsidRDefault="00530B14" w:rsidP="00A67858">
            <w:pPr>
              <w:spacing w:line="276" w:lineRule="auto"/>
              <w:jc w:val="both"/>
              <w:rPr>
                <w:lang w:val="hy-AM"/>
              </w:rPr>
            </w:pPr>
            <w:r w:rsidRPr="0053423A">
              <w:rPr>
                <w:rFonts w:cs="Sylfaen"/>
                <w:lang w:val="hy-AM"/>
              </w:rPr>
              <w:tab/>
              <w:t>Միջոցառման նպատակն է պետական ուղղակի աջակցության մեխանիզմների կիրառմամբ գյուղատնտեսությունում կոոպերատիվների զարգացման խթանումը և կարողությունների հզորացումը:</w:t>
            </w:r>
            <w:r w:rsidRPr="0053423A">
              <w:rPr>
                <w:lang w:val="hy-AM"/>
              </w:rPr>
              <w:t xml:space="preserve"> </w:t>
            </w:r>
          </w:p>
          <w:p w:rsidR="00530B14" w:rsidRPr="0053423A" w:rsidRDefault="00530B14" w:rsidP="00A67858">
            <w:pPr>
              <w:spacing w:line="276" w:lineRule="auto"/>
              <w:jc w:val="both"/>
              <w:rPr>
                <w:b/>
                <w:lang w:val="hy-AM"/>
              </w:rPr>
            </w:pPr>
            <w:r w:rsidRPr="0053423A">
              <w:rPr>
                <w:rFonts w:cs="Sylfaen"/>
                <w:b/>
                <w:lang w:val="hy-AM"/>
              </w:rPr>
              <w:tab/>
              <w:t>1.1 Կարգավորման</w:t>
            </w:r>
            <w:r w:rsidRPr="0053423A">
              <w:rPr>
                <w:b/>
                <w:lang w:val="hy-AM"/>
              </w:rPr>
              <w:t xml:space="preserve"> </w:t>
            </w:r>
            <w:r w:rsidRPr="0053423A">
              <w:rPr>
                <w:rFonts w:cs="Sylfaen"/>
                <w:b/>
                <w:lang w:val="hy-AM"/>
              </w:rPr>
              <w:t>հարաբերությունների</w:t>
            </w:r>
            <w:r w:rsidRPr="0053423A">
              <w:rPr>
                <w:b/>
                <w:lang w:val="hy-AM"/>
              </w:rPr>
              <w:t xml:space="preserve"> </w:t>
            </w:r>
            <w:r w:rsidRPr="0053423A">
              <w:rPr>
                <w:rFonts w:cs="Sylfaen"/>
                <w:b/>
                <w:lang w:val="hy-AM"/>
              </w:rPr>
              <w:t>ներկա</w:t>
            </w:r>
            <w:r w:rsidRPr="0053423A">
              <w:rPr>
                <w:b/>
                <w:lang w:val="hy-AM"/>
              </w:rPr>
              <w:t xml:space="preserve"> </w:t>
            </w:r>
            <w:r w:rsidRPr="0053423A">
              <w:rPr>
                <w:rFonts w:cs="Sylfaen"/>
                <w:b/>
                <w:lang w:val="hy-AM"/>
              </w:rPr>
              <w:t>վիճակը</w:t>
            </w:r>
            <w:r w:rsidRPr="0053423A">
              <w:rPr>
                <w:b/>
                <w:lang w:val="hy-AM"/>
              </w:rPr>
              <w:t xml:space="preserve"> </w:t>
            </w:r>
            <w:r w:rsidRPr="0053423A">
              <w:rPr>
                <w:rFonts w:cs="Sylfaen"/>
                <w:b/>
                <w:lang w:val="hy-AM"/>
              </w:rPr>
              <w:t>և</w:t>
            </w:r>
            <w:r w:rsidRPr="0053423A">
              <w:rPr>
                <w:b/>
                <w:lang w:val="hy-AM"/>
              </w:rPr>
              <w:t xml:space="preserve"> </w:t>
            </w:r>
            <w:r w:rsidRPr="0053423A">
              <w:rPr>
                <w:rFonts w:cs="Sylfaen"/>
                <w:b/>
                <w:lang w:val="hy-AM"/>
              </w:rPr>
              <w:t>առկա</w:t>
            </w:r>
            <w:r w:rsidRPr="0053423A">
              <w:rPr>
                <w:b/>
                <w:lang w:val="hy-AM"/>
              </w:rPr>
              <w:t xml:space="preserve"> </w:t>
            </w:r>
            <w:r w:rsidRPr="0053423A">
              <w:rPr>
                <w:rFonts w:cs="Sylfaen"/>
                <w:b/>
                <w:lang w:val="hy-AM"/>
              </w:rPr>
              <w:t>խնդիրները</w:t>
            </w:r>
            <w:r w:rsidRPr="0053423A">
              <w:rPr>
                <w:b/>
                <w:lang w:val="hy-AM"/>
              </w:rPr>
              <w:t xml:space="preserve"> </w:t>
            </w:r>
          </w:p>
          <w:p w:rsidR="00530B14" w:rsidRPr="0053423A" w:rsidRDefault="00530B14" w:rsidP="00A67858">
            <w:pPr>
              <w:spacing w:line="276" w:lineRule="auto"/>
              <w:jc w:val="both"/>
              <w:rPr>
                <w:rFonts w:cs="Courier New"/>
                <w:bCs/>
                <w:lang w:val="af-ZA"/>
              </w:rPr>
            </w:pPr>
            <w:r w:rsidRPr="0053423A">
              <w:rPr>
                <w:rFonts w:cs="Sylfaen"/>
                <w:bCs/>
                <w:lang w:val="hy-AM"/>
              </w:rPr>
              <w:tab/>
            </w:r>
            <w:r w:rsidRPr="0053423A">
              <w:rPr>
                <w:rFonts w:cs="Sylfaen"/>
                <w:bCs/>
                <w:lang w:val="af-ZA"/>
              </w:rPr>
              <w:t>Ագրոպարենային համակարգում արդիական տեխնոլոգիաների, արտադրության կազմակերպման արդյունավետ ձևերի ներդրման համար անհրաժեշտ գիտելիքների ոչ բավարար լինելու, հողային, ջրային, աշխատանքային ռեսուրսների օգտագործման և կառավարման դեռևս ցածր արդյունավետության պայմաններում կարևորվում է պետական ակտիվ աջակցությունն ու պետական կարգավորման մեխանիզմների կիրառումը:</w:t>
            </w:r>
            <w:r w:rsidRPr="0053423A">
              <w:rPr>
                <w:rFonts w:cs="Courier New"/>
                <w:bCs/>
                <w:lang w:val="af-ZA"/>
              </w:rPr>
              <w:t xml:space="preserve"> </w:t>
            </w:r>
          </w:p>
          <w:p w:rsidR="00530B14" w:rsidRPr="0053423A" w:rsidRDefault="00530B14" w:rsidP="00A67858">
            <w:pPr>
              <w:spacing w:line="276" w:lineRule="auto"/>
              <w:jc w:val="both"/>
              <w:rPr>
                <w:b/>
                <w:lang w:val="hy-AM"/>
              </w:rPr>
            </w:pPr>
            <w:r w:rsidRPr="0053423A">
              <w:rPr>
                <w:rFonts w:cs="Sylfaen"/>
                <w:b/>
                <w:lang w:val="hy-AM"/>
              </w:rPr>
              <w:tab/>
              <w:t>1.2 Առկա</w:t>
            </w:r>
            <w:r w:rsidRPr="0053423A">
              <w:rPr>
                <w:b/>
                <w:lang w:val="hy-AM"/>
              </w:rPr>
              <w:t xml:space="preserve"> </w:t>
            </w:r>
            <w:r w:rsidRPr="0053423A">
              <w:rPr>
                <w:rFonts w:cs="Sylfaen"/>
                <w:b/>
                <w:lang w:val="hy-AM"/>
              </w:rPr>
              <w:t>խնդիրների</w:t>
            </w:r>
            <w:r w:rsidRPr="0053423A">
              <w:rPr>
                <w:b/>
                <w:lang w:val="hy-AM"/>
              </w:rPr>
              <w:t xml:space="preserve"> </w:t>
            </w:r>
            <w:r w:rsidRPr="0053423A">
              <w:rPr>
                <w:rFonts w:cs="Sylfaen"/>
                <w:b/>
                <w:lang w:val="hy-AM"/>
              </w:rPr>
              <w:t>առաջարկվող</w:t>
            </w:r>
            <w:r w:rsidRPr="0053423A">
              <w:rPr>
                <w:b/>
                <w:lang w:val="hy-AM"/>
              </w:rPr>
              <w:t xml:space="preserve"> </w:t>
            </w:r>
            <w:r w:rsidRPr="0053423A">
              <w:rPr>
                <w:rFonts w:cs="Sylfaen"/>
                <w:b/>
                <w:lang w:val="hy-AM"/>
              </w:rPr>
              <w:t>լուծումները</w:t>
            </w:r>
          </w:p>
          <w:p w:rsidR="00530B14" w:rsidRPr="0053423A" w:rsidRDefault="00530B14" w:rsidP="00A67858">
            <w:pPr>
              <w:spacing w:line="276" w:lineRule="auto"/>
              <w:jc w:val="both"/>
              <w:rPr>
                <w:rFonts w:eastAsia="Arial Unicode MS" w:cs="Arial Unicode MS"/>
                <w:lang w:val="hy-AM"/>
              </w:rPr>
            </w:pPr>
            <w:r w:rsidRPr="0053423A">
              <w:rPr>
                <w:rFonts w:eastAsia="Arial Unicode MS" w:cs="Sylfaen"/>
                <w:lang w:val="hy-AM"/>
              </w:rPr>
              <w:tab/>
              <w:t>Գյուղատնտեսությունում կոոպերատիվների տարբեր ձևերի խթանման, դրանց մրցունակության բարձրացման համար անհրաժեշտ է ապահովել պետական աջակ</w:t>
            </w:r>
            <w:r w:rsidRPr="0053423A">
              <w:rPr>
                <w:rFonts w:eastAsia="Arial Unicode MS" w:cs="Sylfaen"/>
                <w:lang w:val="hy-AM"/>
              </w:rPr>
              <w:softHyphen/>
              <w:t>ցության ծրագրերի շրջանակներում կոոպերատիվների արտոնյալ պայմաններով մաս</w:t>
            </w:r>
            <w:r w:rsidRPr="0053423A">
              <w:rPr>
                <w:rFonts w:eastAsia="Arial Unicode MS" w:cs="Sylfaen"/>
                <w:lang w:val="hy-AM"/>
              </w:rPr>
              <w:softHyphen/>
              <w:t>նակցությունը:</w:t>
            </w:r>
          </w:p>
          <w:p w:rsidR="00530B14" w:rsidRPr="0053423A" w:rsidRDefault="00530B14" w:rsidP="001F6D5D">
            <w:pPr>
              <w:pStyle w:val="ListParagraph"/>
              <w:numPr>
                <w:ilvl w:val="0"/>
                <w:numId w:val="117"/>
              </w:numPr>
              <w:tabs>
                <w:tab w:val="left" w:pos="1080"/>
              </w:tabs>
              <w:spacing w:line="276" w:lineRule="auto"/>
              <w:ind w:hanging="15"/>
              <w:jc w:val="both"/>
              <w:rPr>
                <w:b/>
              </w:rPr>
            </w:pPr>
            <w:r w:rsidRPr="0053423A">
              <w:rPr>
                <w:b/>
                <w:lang w:val="hy-AM"/>
              </w:rPr>
              <w:t>Միջոցառման իրականացումից ակնկալվող արդյունքը</w:t>
            </w:r>
          </w:p>
          <w:p w:rsidR="00530B14" w:rsidRPr="0053423A" w:rsidRDefault="00530B14" w:rsidP="00A67858">
            <w:pPr>
              <w:spacing w:line="276" w:lineRule="auto"/>
              <w:jc w:val="both"/>
              <w:rPr>
                <w:lang w:val="hy-AM"/>
              </w:rPr>
            </w:pPr>
            <w:r w:rsidRPr="0053423A">
              <w:rPr>
                <w:rFonts w:cs="Sylfaen"/>
                <w:lang w:val="hy-AM"/>
              </w:rPr>
              <w:tab/>
            </w:r>
            <w:r w:rsidRPr="0053423A">
              <w:rPr>
                <w:rFonts w:cs="Sylfaen"/>
                <w:lang w:val="af-ZA"/>
              </w:rPr>
              <w:t>Միջոցառման իրականացման արդյունքում նախադրյալներ կստեղծվեն պետա</w:t>
            </w:r>
            <w:r w:rsidRPr="0053423A">
              <w:rPr>
                <w:rFonts w:cs="Sylfaen"/>
                <w:lang w:val="af-ZA"/>
              </w:rPr>
              <w:softHyphen/>
              <w:t>կան ուղղակի աջակցության մեխանիզմների կիրառմամբ գյուղատնտեսական կոո</w:t>
            </w:r>
            <w:r w:rsidRPr="0053423A">
              <w:rPr>
                <w:rFonts w:cs="Sylfaen"/>
                <w:lang w:val="af-ZA"/>
              </w:rPr>
              <w:softHyphen/>
              <w:t>պերատիվների ձևավորումը խթանելու համար: Կբարձրանա գյուղացիական տնտեսա</w:t>
            </w:r>
            <w:r w:rsidRPr="0053423A">
              <w:rPr>
                <w:rFonts w:cs="Sylfaen"/>
                <w:lang w:val="af-ZA"/>
              </w:rPr>
              <w:softHyphen/>
              <w:t>վա</w:t>
            </w:r>
            <w:r w:rsidRPr="0053423A">
              <w:rPr>
                <w:rFonts w:cs="Sylfaen"/>
                <w:lang w:val="af-ZA"/>
              </w:rPr>
              <w:softHyphen/>
              <w:t>րողների իրազեկվածության մակարդակը, գյուղացիական տնտեսությունների արդյու</w:t>
            </w:r>
            <w:r w:rsidRPr="0053423A">
              <w:rPr>
                <w:rFonts w:cs="Sylfaen"/>
                <w:lang w:val="af-ZA"/>
              </w:rPr>
              <w:softHyphen/>
            </w:r>
            <w:r w:rsidRPr="0053423A">
              <w:rPr>
                <w:rFonts w:cs="Sylfaen"/>
                <w:lang w:val="af-ZA"/>
              </w:rPr>
              <w:softHyphen/>
              <w:t>նավետությունը, տնտեսավարողների մրցունակությունը, կբարելավվի արտադ</w:t>
            </w:r>
            <w:r w:rsidRPr="0053423A">
              <w:rPr>
                <w:rFonts w:cs="Sylfaen"/>
                <w:lang w:val="af-ZA"/>
              </w:rPr>
              <w:softHyphen/>
              <w:t>րան</w:t>
            </w:r>
            <w:r w:rsidRPr="0053423A">
              <w:rPr>
                <w:rFonts w:cs="Sylfaen"/>
                <w:lang w:val="af-ZA"/>
              </w:rPr>
              <w:softHyphen/>
              <w:t>քի որակը, կավելանան պետական բյուջե ուղղվող վճարները:</w:t>
            </w:r>
          </w:p>
          <w:p w:rsidR="00530B14" w:rsidRPr="0053423A" w:rsidRDefault="00530B14" w:rsidP="00A67858">
            <w:pPr>
              <w:spacing w:line="276" w:lineRule="auto"/>
              <w:jc w:val="center"/>
              <w:rPr>
                <w:bCs/>
                <w:iCs/>
                <w:lang w:val="hy-AM"/>
              </w:rPr>
            </w:pPr>
          </w:p>
        </w:tc>
      </w:tr>
      <w:tr w:rsidR="00530B14" w:rsidRPr="00DE2EFA" w:rsidTr="004440EB">
        <w:tc>
          <w:tcPr>
            <w:tcW w:w="480" w:type="dxa"/>
          </w:tcPr>
          <w:p w:rsidR="00530B14" w:rsidRPr="0053423A" w:rsidRDefault="00530B14" w:rsidP="00A67858">
            <w:pPr>
              <w:spacing w:line="276" w:lineRule="auto"/>
              <w:jc w:val="right"/>
              <w:rPr>
                <w:bCs/>
                <w:iCs/>
                <w:lang w:val="hy-AM"/>
              </w:rPr>
            </w:pPr>
            <w:r w:rsidRPr="0053423A">
              <w:rPr>
                <w:bCs/>
                <w:iCs/>
                <w:lang w:val="hy-AM"/>
              </w:rPr>
              <w:t>6</w:t>
            </w:r>
          </w:p>
        </w:tc>
        <w:tc>
          <w:tcPr>
            <w:tcW w:w="10879" w:type="dxa"/>
          </w:tcPr>
          <w:p w:rsidR="00530B14" w:rsidRPr="0053423A" w:rsidRDefault="00530B14" w:rsidP="00A67858">
            <w:pPr>
              <w:spacing w:line="276" w:lineRule="auto"/>
              <w:jc w:val="center"/>
              <w:rPr>
                <w:b/>
                <w:lang w:val="hy-AM"/>
              </w:rPr>
            </w:pPr>
            <w:r w:rsidRPr="0053423A">
              <w:rPr>
                <w:b/>
                <w:lang w:val="hy-AM"/>
              </w:rPr>
              <w:t>Գիտակրթական-արտադ</w:t>
            </w:r>
            <w:r w:rsidRPr="0053423A">
              <w:rPr>
                <w:b/>
                <w:lang w:val="hy-AM"/>
              </w:rPr>
              <w:softHyphen/>
              <w:t>րական կլաս</w:t>
            </w:r>
            <w:r w:rsidRPr="0053423A">
              <w:rPr>
                <w:b/>
                <w:lang w:val="hy-AM"/>
              </w:rPr>
              <w:softHyphen/>
              <w:t>տերների ստեղծում, գյուղատնտե</w:t>
            </w:r>
            <w:r w:rsidRPr="0053423A">
              <w:rPr>
                <w:b/>
                <w:lang w:val="hy-AM"/>
              </w:rPr>
              <w:softHyphen/>
              <w:t>սության և ագրարային ոլորտի կրթական, գիտական, գիտաար</w:t>
            </w:r>
            <w:r w:rsidRPr="0053423A">
              <w:rPr>
                <w:b/>
                <w:lang w:val="hy-AM"/>
              </w:rPr>
              <w:softHyphen/>
              <w:t>տադրական և խորհր</w:t>
            </w:r>
            <w:r w:rsidRPr="0053423A">
              <w:rPr>
                <w:b/>
                <w:lang w:val="hy-AM"/>
              </w:rPr>
              <w:softHyphen/>
              <w:t>դատվական կենտրոն</w:t>
            </w:r>
            <w:r w:rsidRPr="0053423A">
              <w:rPr>
                <w:b/>
                <w:lang w:val="hy-AM"/>
              </w:rPr>
              <w:softHyphen/>
              <w:t>ների համա</w:t>
            </w:r>
            <w:r w:rsidRPr="0053423A">
              <w:rPr>
                <w:b/>
                <w:lang w:val="hy-AM"/>
              </w:rPr>
              <w:softHyphen/>
              <w:t>գործակ</w:t>
            </w:r>
            <w:r w:rsidRPr="0053423A">
              <w:rPr>
                <w:b/>
                <w:lang w:val="hy-AM"/>
              </w:rPr>
              <w:softHyphen/>
              <w:t>ցության խորացում</w:t>
            </w:r>
          </w:p>
          <w:p w:rsidR="00530B14" w:rsidRPr="0053423A" w:rsidRDefault="00530B14" w:rsidP="00A67858">
            <w:pPr>
              <w:spacing w:line="276" w:lineRule="auto"/>
              <w:jc w:val="center"/>
              <w:rPr>
                <w:b/>
                <w:lang w:val="hy-AM"/>
              </w:rPr>
            </w:pPr>
          </w:p>
          <w:p w:rsidR="00530B14" w:rsidRPr="0053423A" w:rsidRDefault="00530B14" w:rsidP="00A67858">
            <w:pPr>
              <w:spacing w:line="276" w:lineRule="auto"/>
              <w:jc w:val="center"/>
              <w:rPr>
                <w:b/>
                <w:u w:val="single"/>
                <w:lang w:val="af-ZA"/>
              </w:rPr>
            </w:pPr>
            <w:r w:rsidRPr="0053423A">
              <w:rPr>
                <w:b/>
                <w:u w:val="single"/>
                <w:lang w:val="hy-AM"/>
              </w:rPr>
              <w:t>6.1 Գյուղատնտեսության ոլորտում գիտակրթական-արտադրական</w:t>
            </w:r>
            <w:r w:rsidRPr="0053423A">
              <w:rPr>
                <w:b/>
                <w:u w:val="single"/>
                <w:lang w:val="af-ZA"/>
              </w:rPr>
              <w:t xml:space="preserve"> </w:t>
            </w:r>
            <w:r w:rsidRPr="0053423A">
              <w:rPr>
                <w:b/>
                <w:u w:val="single"/>
                <w:lang w:val="hy-AM"/>
              </w:rPr>
              <w:t xml:space="preserve">կլաստերների ստեղծման միջազգային փորձի ուսումնասիրում, արդյունավետ գյուղատնտեսության վարման նպատակով տնտեսավարման տվյալ ձևի հեռանկարային ուղղությունների վերհանում, հանրապետությունում կլաստերների ստեղծման հնարավորությունների ուսումնասիրում </w:t>
            </w:r>
          </w:p>
          <w:p w:rsidR="00530B14" w:rsidRPr="0053423A" w:rsidRDefault="00530B14" w:rsidP="00A67858">
            <w:pPr>
              <w:spacing w:line="276" w:lineRule="auto"/>
              <w:jc w:val="center"/>
              <w:rPr>
                <w:lang w:val="af-ZA"/>
              </w:rPr>
            </w:pPr>
          </w:p>
          <w:p w:rsidR="00530B14" w:rsidRPr="0053423A" w:rsidRDefault="00530B14" w:rsidP="00A67858">
            <w:pPr>
              <w:spacing w:line="276" w:lineRule="auto"/>
              <w:jc w:val="both"/>
              <w:rPr>
                <w:rFonts w:cs="Sylfaen"/>
                <w:b/>
                <w:lang w:val="hy-AM"/>
              </w:rPr>
            </w:pPr>
            <w:r w:rsidRPr="0053423A">
              <w:rPr>
                <w:rFonts w:eastAsia="Calibri"/>
                <w:b/>
                <w:lang w:val="hy-AM"/>
              </w:rPr>
              <w:tab/>
              <w:t>1.Միջոցառման իրականացման ա</w:t>
            </w:r>
            <w:r w:rsidRPr="0053423A">
              <w:rPr>
                <w:rFonts w:cs="Sylfaen"/>
                <w:b/>
                <w:lang w:val="hy-AM"/>
              </w:rPr>
              <w:t>նհրաժեշտությունը և նպատակը</w:t>
            </w:r>
          </w:p>
          <w:p w:rsidR="00530B14" w:rsidRPr="0053423A" w:rsidRDefault="00530B14" w:rsidP="00A67858">
            <w:pPr>
              <w:pStyle w:val="ListParagraph"/>
              <w:spacing w:line="276" w:lineRule="auto"/>
              <w:ind w:left="0"/>
              <w:jc w:val="both"/>
              <w:rPr>
                <w:lang w:val="hy-AM"/>
              </w:rPr>
            </w:pPr>
            <w:r w:rsidRPr="0053423A">
              <w:rPr>
                <w:rFonts w:eastAsia="Calibri"/>
                <w:lang w:val="hy-AM"/>
              </w:rPr>
              <w:tab/>
            </w:r>
            <w:r w:rsidRPr="0053423A">
              <w:rPr>
                <w:rFonts w:cs="Sylfaen"/>
                <w:lang w:val="it-IT"/>
              </w:rPr>
              <w:t xml:space="preserve">Միջոցառման համար հիմք է հանդիսանում </w:t>
            </w:r>
            <w:r w:rsidRPr="0053423A">
              <w:rPr>
                <w:rFonts w:cs="Sylfaen"/>
                <w:lang w:val="hy-AM"/>
              </w:rPr>
              <w:t xml:space="preserve">ՀՀ ԱԺ 2019 թվականի փետրվարի 14-ի ԱԺՈ-002-Ն որոշմամբ հավանության արժանացած </w:t>
            </w:r>
            <w:r w:rsidRPr="0053423A">
              <w:rPr>
                <w:rFonts w:cs="Sylfaen"/>
                <w:lang w:val="it-IT"/>
              </w:rPr>
              <w:t xml:space="preserve">ՀՀ  կառավարության ծրագրի </w:t>
            </w:r>
            <w:r w:rsidRPr="0053423A">
              <w:rPr>
                <w:lang w:val="hy-AM"/>
              </w:rPr>
              <w:t>«</w:t>
            </w:r>
            <w:r w:rsidRPr="0053423A">
              <w:rPr>
                <w:rFonts w:cs="Sylfaen"/>
                <w:lang w:val="it-IT"/>
              </w:rPr>
              <w:t>5.10 Գյուղատնտեսություն</w:t>
            </w:r>
            <w:r w:rsidRPr="0053423A">
              <w:rPr>
                <w:lang w:val="hy-AM"/>
              </w:rPr>
              <w:t>»</w:t>
            </w:r>
            <w:r w:rsidRPr="0053423A">
              <w:rPr>
                <w:lang w:val="it-IT"/>
              </w:rPr>
              <w:t xml:space="preserve"> </w:t>
            </w:r>
            <w:r w:rsidRPr="0053423A">
              <w:rPr>
                <w:lang w:val="hy-AM"/>
              </w:rPr>
              <w:t>բաժնի</w:t>
            </w:r>
            <w:r w:rsidRPr="0053423A">
              <w:rPr>
                <w:lang w:val="it-IT"/>
              </w:rPr>
              <w:t xml:space="preserve"> 7-</w:t>
            </w:r>
            <w:r w:rsidRPr="0053423A">
              <w:rPr>
                <w:lang w:val="hy-AM"/>
              </w:rPr>
              <w:t>րդ</w:t>
            </w:r>
            <w:r w:rsidRPr="0053423A">
              <w:rPr>
                <w:lang w:val="it-IT"/>
              </w:rPr>
              <w:t xml:space="preserve"> </w:t>
            </w:r>
            <w:r w:rsidRPr="0053423A">
              <w:rPr>
                <w:lang w:val="hy-AM"/>
              </w:rPr>
              <w:t>պարբերության</w:t>
            </w:r>
            <w:r w:rsidRPr="0053423A">
              <w:rPr>
                <w:lang w:val="it-IT"/>
              </w:rPr>
              <w:t xml:space="preserve"> 2-</w:t>
            </w:r>
            <w:r w:rsidRPr="0053423A">
              <w:rPr>
                <w:lang w:val="hy-AM"/>
              </w:rPr>
              <w:t>րդ</w:t>
            </w:r>
            <w:r w:rsidRPr="0053423A">
              <w:rPr>
                <w:lang w:val="it-IT"/>
              </w:rPr>
              <w:t xml:space="preserve"> </w:t>
            </w:r>
            <w:r w:rsidRPr="0053423A">
              <w:rPr>
                <w:lang w:val="hy-AM"/>
              </w:rPr>
              <w:t>ենթապարբերությունը</w:t>
            </w:r>
            <w:r w:rsidRPr="0053423A">
              <w:rPr>
                <w:lang w:val="it-IT"/>
              </w:rPr>
              <w:t xml:space="preserve">: </w:t>
            </w:r>
          </w:p>
          <w:p w:rsidR="00530B14" w:rsidRPr="0053423A" w:rsidRDefault="00530B14" w:rsidP="00A67858">
            <w:pPr>
              <w:pStyle w:val="ListParagraph"/>
              <w:spacing w:line="276" w:lineRule="auto"/>
              <w:ind w:left="0"/>
              <w:jc w:val="both"/>
              <w:rPr>
                <w:rFonts w:cs="Sylfaen"/>
                <w:lang w:val="it-IT"/>
              </w:rPr>
            </w:pPr>
            <w:r w:rsidRPr="0053423A">
              <w:rPr>
                <w:rFonts w:eastAsia="Calibri"/>
                <w:lang w:val="hy-AM"/>
              </w:rPr>
              <w:tab/>
              <w:t xml:space="preserve">Միջոցառման իրականացման </w:t>
            </w:r>
            <w:r w:rsidRPr="0053423A">
              <w:rPr>
                <w:rFonts w:cs="Sylfaen"/>
                <w:lang w:val="hy-AM"/>
              </w:rPr>
              <w:t>նպատակն է՝</w:t>
            </w:r>
            <w:r w:rsidRPr="0053423A">
              <w:rPr>
                <w:rFonts w:cs="Calibri"/>
                <w:lang w:val="it-IT"/>
              </w:rPr>
              <w:t xml:space="preserve"> ուսումնասիրել ՀՀ գյուղատն</w:t>
            </w:r>
            <w:r w:rsidRPr="0053423A">
              <w:rPr>
                <w:rFonts w:cs="Calibri"/>
                <w:lang w:val="it-IT"/>
              </w:rPr>
              <w:softHyphen/>
              <w:t>տեսու</w:t>
            </w:r>
            <w:r w:rsidRPr="0053423A">
              <w:rPr>
                <w:rFonts w:cs="Calibri"/>
                <w:lang w:val="it-IT"/>
              </w:rPr>
              <w:softHyphen/>
              <w:t>թյան նախարարության և ագրարային ոլորտի կրթական, գիտաարտադրական և խորհր</w:t>
            </w:r>
            <w:r w:rsidRPr="0053423A">
              <w:rPr>
                <w:rFonts w:cs="Calibri"/>
                <w:lang w:val="it-IT"/>
              </w:rPr>
              <w:softHyphen/>
              <w:t>դատվական կառույցների համագործակցության բարելավման, գիտակրթական և արտադրական կազմակերպությունների ինտեգրման, գիտակրթական ներուժի օգտա</w:t>
            </w:r>
            <w:r w:rsidRPr="0053423A">
              <w:rPr>
                <w:rFonts w:cs="Calibri"/>
                <w:lang w:val="it-IT"/>
              </w:rPr>
              <w:softHyphen/>
              <w:t>գործման և արտադրությունում ներդրման, գիտելիքահենք տնտեսության զար</w:t>
            </w:r>
            <w:r w:rsidRPr="0053423A">
              <w:rPr>
                <w:rFonts w:cs="Calibri"/>
                <w:lang w:val="it-IT"/>
              </w:rPr>
              <w:softHyphen/>
              <w:t xml:space="preserve">գացման և </w:t>
            </w:r>
            <w:r w:rsidRPr="0053423A">
              <w:rPr>
                <w:rFonts w:cs="Sylfaen"/>
                <w:lang w:val="it-IT"/>
              </w:rPr>
              <w:t xml:space="preserve">մրցունակ արտադրանքի թողարկման գործում </w:t>
            </w:r>
            <w:r w:rsidRPr="0053423A">
              <w:rPr>
                <w:lang w:val="hy-AM"/>
              </w:rPr>
              <w:t>գիտակրթական-արտադրական</w:t>
            </w:r>
            <w:r w:rsidRPr="0053423A">
              <w:rPr>
                <w:rFonts w:cs="Sylfaen"/>
                <w:lang w:val="it-IT"/>
              </w:rPr>
              <w:t xml:space="preserve"> կլաստերների ստեղծման միջազգային փորձը, արդյու</w:t>
            </w:r>
            <w:r w:rsidRPr="0053423A">
              <w:rPr>
                <w:rFonts w:cs="Sylfaen"/>
                <w:lang w:val="it-IT"/>
              </w:rPr>
              <w:softHyphen/>
              <w:t xml:space="preserve">նավետությունը և Հայաստանի Հանրապետությունում ներդրման հեռանկարները: </w:t>
            </w:r>
          </w:p>
          <w:p w:rsidR="00530B14" w:rsidRPr="0053423A" w:rsidRDefault="00530B14" w:rsidP="00A67858">
            <w:pPr>
              <w:spacing w:line="276" w:lineRule="auto"/>
              <w:jc w:val="both"/>
              <w:rPr>
                <w:b/>
                <w:lang w:val="hy-AM" w:eastAsia="en-GB"/>
              </w:rPr>
            </w:pPr>
            <w:r w:rsidRPr="0053423A">
              <w:rPr>
                <w:rFonts w:cs="Sylfaen"/>
                <w:lang w:val="hy-AM" w:eastAsia="en-GB"/>
              </w:rPr>
              <w:tab/>
            </w:r>
            <w:r w:rsidRPr="0053423A">
              <w:rPr>
                <w:rFonts w:cs="Sylfaen"/>
                <w:lang w:val="it-IT" w:eastAsia="en-GB"/>
              </w:rPr>
              <w:t xml:space="preserve"> </w:t>
            </w:r>
            <w:r w:rsidRPr="0053423A">
              <w:rPr>
                <w:rFonts w:cs="Sylfaen"/>
                <w:b/>
                <w:lang w:val="it-IT" w:eastAsia="en-GB"/>
              </w:rPr>
              <w:t xml:space="preserve">1.1 </w:t>
            </w:r>
            <w:r w:rsidRPr="0053423A">
              <w:rPr>
                <w:rFonts w:cs="Sylfaen"/>
                <w:b/>
                <w:lang w:val="hy-AM" w:eastAsia="en-GB"/>
              </w:rPr>
              <w:t>Կարգավորման</w:t>
            </w:r>
            <w:r w:rsidRPr="0053423A">
              <w:rPr>
                <w:rFonts w:cs="Calibri"/>
                <w:b/>
                <w:lang w:val="hy-AM" w:eastAsia="en-GB"/>
              </w:rPr>
              <w:t xml:space="preserve"> </w:t>
            </w:r>
            <w:r w:rsidRPr="0053423A">
              <w:rPr>
                <w:rFonts w:cs="Sylfaen"/>
                <w:b/>
                <w:lang w:val="hy-AM" w:eastAsia="en-GB"/>
              </w:rPr>
              <w:t>հարաբերությունների</w:t>
            </w:r>
            <w:r w:rsidRPr="0053423A">
              <w:rPr>
                <w:rFonts w:cs="Calibri"/>
                <w:b/>
                <w:lang w:val="hy-AM" w:eastAsia="en-GB"/>
              </w:rPr>
              <w:t xml:space="preserve"> </w:t>
            </w:r>
            <w:r w:rsidRPr="0053423A">
              <w:rPr>
                <w:rFonts w:cs="Sylfaen"/>
                <w:b/>
                <w:lang w:val="hy-AM" w:eastAsia="en-GB"/>
              </w:rPr>
              <w:t>ներկա</w:t>
            </w:r>
            <w:r w:rsidRPr="0053423A">
              <w:rPr>
                <w:rFonts w:cs="Calibri"/>
                <w:b/>
                <w:lang w:val="hy-AM" w:eastAsia="en-GB"/>
              </w:rPr>
              <w:t xml:space="preserve"> </w:t>
            </w:r>
            <w:r w:rsidRPr="0053423A">
              <w:rPr>
                <w:rFonts w:cs="Sylfaen"/>
                <w:b/>
                <w:lang w:val="hy-AM" w:eastAsia="en-GB"/>
              </w:rPr>
              <w:t>վիճակը</w:t>
            </w:r>
            <w:r w:rsidRPr="0053423A">
              <w:rPr>
                <w:rFonts w:cs="Calibri"/>
                <w:b/>
                <w:lang w:val="hy-AM" w:eastAsia="en-GB"/>
              </w:rPr>
              <w:t xml:space="preserve"> </w:t>
            </w:r>
            <w:r w:rsidRPr="0053423A">
              <w:rPr>
                <w:rFonts w:cs="Sylfaen"/>
                <w:b/>
                <w:lang w:val="hy-AM" w:eastAsia="en-GB"/>
              </w:rPr>
              <w:t>և</w:t>
            </w:r>
            <w:r w:rsidRPr="0053423A">
              <w:rPr>
                <w:rFonts w:cs="Calibri"/>
                <w:b/>
                <w:lang w:val="hy-AM" w:eastAsia="en-GB"/>
              </w:rPr>
              <w:t xml:space="preserve"> </w:t>
            </w:r>
            <w:r w:rsidRPr="0053423A">
              <w:rPr>
                <w:rFonts w:cs="Sylfaen"/>
                <w:b/>
                <w:lang w:val="hy-AM" w:eastAsia="en-GB"/>
              </w:rPr>
              <w:t>առկա</w:t>
            </w:r>
            <w:r w:rsidRPr="0053423A">
              <w:rPr>
                <w:rFonts w:cs="Calibri"/>
                <w:b/>
                <w:lang w:val="hy-AM" w:eastAsia="en-GB"/>
              </w:rPr>
              <w:t xml:space="preserve"> </w:t>
            </w:r>
            <w:r w:rsidRPr="0053423A">
              <w:rPr>
                <w:rFonts w:cs="Sylfaen"/>
                <w:b/>
                <w:lang w:val="hy-AM" w:eastAsia="en-GB"/>
              </w:rPr>
              <w:t>խնդիրները</w:t>
            </w:r>
          </w:p>
          <w:p w:rsidR="00530B14" w:rsidRPr="0053423A" w:rsidRDefault="00530B14" w:rsidP="00A67858">
            <w:pPr>
              <w:pStyle w:val="ListParagraph"/>
              <w:spacing w:line="276" w:lineRule="auto"/>
              <w:ind w:left="0"/>
              <w:jc w:val="both"/>
              <w:rPr>
                <w:rFonts w:cs="Sylfaen"/>
                <w:lang w:val="it-IT"/>
              </w:rPr>
            </w:pPr>
            <w:r w:rsidRPr="0053423A">
              <w:rPr>
                <w:rFonts w:cs="Sylfaen"/>
                <w:lang w:val="it-IT"/>
              </w:rPr>
              <w:tab/>
              <w:t>Միջոցառման համար ելակետային տվյալներ առկա չեն, միջոցառումը գտնվում է նախնական ուսումնասիրման փուլում:</w:t>
            </w:r>
          </w:p>
          <w:p w:rsidR="00530B14" w:rsidRPr="0053423A" w:rsidRDefault="00530B14" w:rsidP="00A67858">
            <w:pPr>
              <w:pStyle w:val="ListParagraph"/>
              <w:spacing w:line="276" w:lineRule="auto"/>
              <w:ind w:left="0"/>
              <w:jc w:val="both"/>
              <w:rPr>
                <w:rFonts w:cs="Sylfaen"/>
                <w:b/>
                <w:lang w:val="it-IT"/>
              </w:rPr>
            </w:pPr>
            <w:r w:rsidRPr="0053423A">
              <w:rPr>
                <w:rFonts w:cs="Sylfaen"/>
                <w:lang w:val="it-IT"/>
              </w:rPr>
              <w:tab/>
              <w:t>Առկա խնդիրներն են՝ ոլորտի կարո</w:t>
            </w:r>
            <w:r w:rsidRPr="0053423A">
              <w:rPr>
                <w:rFonts w:cs="Sylfaen"/>
                <w:lang w:val="it-IT"/>
              </w:rPr>
              <w:softHyphen/>
              <w:t>ղությունների հզորացման նպատակով որակյալ և ժամանակակից տեխնոլոգիաներին տիրապետող մասնա</w:t>
            </w:r>
            <w:r w:rsidRPr="0053423A">
              <w:rPr>
                <w:rFonts w:cs="Sylfaen"/>
                <w:lang w:val="it-IT"/>
              </w:rPr>
              <w:softHyphen/>
              <w:t>գետների պատրաստումը և կադրերի պահանջարկի բավարարումը, գիտահետազոտական և նորարարական գոր</w:t>
            </w:r>
            <w:r w:rsidRPr="0053423A">
              <w:rPr>
                <w:rFonts w:cs="Sylfaen"/>
                <w:lang w:val="it-IT"/>
              </w:rPr>
              <w:softHyphen/>
              <w:t>ծու</w:t>
            </w:r>
            <w:r w:rsidRPr="0053423A">
              <w:rPr>
                <w:rFonts w:cs="Sylfaen"/>
                <w:lang w:val="it-IT"/>
              </w:rPr>
              <w:softHyphen/>
              <w:t>նեության զարգացումը, գիտական արդյունքների ներդրումը և տնտեսության զար</w:t>
            </w:r>
            <w:r w:rsidRPr="0053423A">
              <w:rPr>
                <w:rFonts w:cs="Sylfaen"/>
                <w:lang w:val="it-IT"/>
              </w:rPr>
              <w:softHyphen/>
              <w:t>գացումը, մրցունակ արտադրանքի թողարկումը, աշխատանքի արտադրողա</w:t>
            </w:r>
            <w:r w:rsidRPr="0053423A">
              <w:rPr>
                <w:rFonts w:cs="Sylfaen"/>
                <w:lang w:val="it-IT"/>
              </w:rPr>
              <w:softHyphen/>
              <w:t>կա</w:t>
            </w:r>
            <w:r w:rsidRPr="0053423A">
              <w:rPr>
                <w:rFonts w:cs="Sylfaen"/>
                <w:lang w:val="it-IT"/>
              </w:rPr>
              <w:softHyphen/>
              <w:t>նության բարձրացումը, նոր բիզնես-նախաձեռնությունների խթանումը:</w:t>
            </w:r>
          </w:p>
          <w:p w:rsidR="00530B14" w:rsidRPr="0053423A" w:rsidRDefault="00530B14" w:rsidP="00A67858">
            <w:pPr>
              <w:spacing w:line="276" w:lineRule="auto"/>
              <w:jc w:val="both"/>
              <w:rPr>
                <w:rFonts w:cs="Sylfaen"/>
                <w:b/>
                <w:lang w:val="it-IT" w:eastAsia="en-GB"/>
              </w:rPr>
            </w:pPr>
            <w:r w:rsidRPr="0053423A">
              <w:rPr>
                <w:rFonts w:cs="Sylfaen"/>
                <w:b/>
                <w:lang w:val="it-IT" w:eastAsia="en-GB"/>
              </w:rPr>
              <w:t xml:space="preserve">  </w:t>
            </w:r>
            <w:r w:rsidRPr="0053423A">
              <w:rPr>
                <w:rFonts w:cs="Sylfaen"/>
                <w:b/>
                <w:lang w:val="it-IT" w:eastAsia="en-GB"/>
              </w:rPr>
              <w:tab/>
              <w:t xml:space="preserve">1.2  </w:t>
            </w:r>
            <w:r w:rsidRPr="0053423A">
              <w:rPr>
                <w:rFonts w:cs="Sylfaen"/>
                <w:b/>
                <w:lang w:val="hy-AM" w:eastAsia="en-GB"/>
              </w:rPr>
              <w:t>Առկա</w:t>
            </w:r>
            <w:r w:rsidRPr="0053423A">
              <w:rPr>
                <w:rFonts w:cs="Calibri"/>
                <w:b/>
                <w:lang w:val="hy-AM" w:eastAsia="en-GB"/>
              </w:rPr>
              <w:t xml:space="preserve"> </w:t>
            </w:r>
            <w:r w:rsidRPr="0053423A">
              <w:rPr>
                <w:rFonts w:cs="Sylfaen"/>
                <w:b/>
                <w:lang w:val="hy-AM" w:eastAsia="en-GB"/>
              </w:rPr>
              <w:t>խնդիրների</w:t>
            </w:r>
            <w:r w:rsidRPr="0053423A">
              <w:rPr>
                <w:rFonts w:cs="Calibri"/>
                <w:b/>
                <w:lang w:val="hy-AM" w:eastAsia="en-GB"/>
              </w:rPr>
              <w:t xml:space="preserve"> </w:t>
            </w:r>
            <w:r w:rsidRPr="0053423A">
              <w:rPr>
                <w:rFonts w:cs="Sylfaen"/>
                <w:b/>
                <w:lang w:val="hy-AM" w:eastAsia="en-GB"/>
              </w:rPr>
              <w:t>առաջարկվող</w:t>
            </w:r>
            <w:r w:rsidRPr="0053423A">
              <w:rPr>
                <w:rFonts w:cs="Calibri"/>
                <w:b/>
                <w:lang w:val="hy-AM" w:eastAsia="en-GB"/>
              </w:rPr>
              <w:t xml:space="preserve"> </w:t>
            </w:r>
            <w:r w:rsidRPr="0053423A">
              <w:rPr>
                <w:rFonts w:cs="Sylfaen"/>
                <w:b/>
                <w:lang w:val="hy-AM" w:eastAsia="en-GB"/>
              </w:rPr>
              <w:t>լուծումները</w:t>
            </w:r>
          </w:p>
          <w:p w:rsidR="00530B14" w:rsidRPr="0053423A" w:rsidRDefault="00530B14" w:rsidP="00A67858">
            <w:pPr>
              <w:spacing w:line="276" w:lineRule="auto"/>
              <w:ind w:firstLine="284"/>
              <w:jc w:val="both"/>
              <w:rPr>
                <w:lang w:val="it-IT"/>
              </w:rPr>
            </w:pPr>
            <w:r w:rsidRPr="0053423A">
              <w:t>Գյուղատնտեսության</w:t>
            </w:r>
            <w:r w:rsidRPr="0053423A">
              <w:rPr>
                <w:lang w:val="it-IT"/>
              </w:rPr>
              <w:t xml:space="preserve"> </w:t>
            </w:r>
            <w:r w:rsidRPr="0053423A">
              <w:t>ոլորտում</w:t>
            </w:r>
            <w:r w:rsidRPr="0053423A">
              <w:rPr>
                <w:lang w:val="it-IT"/>
              </w:rPr>
              <w:t xml:space="preserve"> </w:t>
            </w:r>
            <w:r w:rsidRPr="0053423A">
              <w:t>գիտակրթական</w:t>
            </w:r>
            <w:r w:rsidRPr="0053423A">
              <w:rPr>
                <w:lang w:val="it-IT"/>
              </w:rPr>
              <w:t>-</w:t>
            </w:r>
            <w:r w:rsidRPr="0053423A">
              <w:t>արտադրական</w:t>
            </w:r>
            <w:r w:rsidRPr="0053423A">
              <w:rPr>
                <w:lang w:val="it-IT"/>
              </w:rPr>
              <w:t xml:space="preserve"> </w:t>
            </w:r>
            <w:r w:rsidRPr="0053423A">
              <w:t>կլաս</w:t>
            </w:r>
            <w:r w:rsidRPr="0053423A">
              <w:rPr>
                <w:lang w:val="it-IT"/>
              </w:rPr>
              <w:softHyphen/>
            </w:r>
            <w:r w:rsidRPr="0053423A">
              <w:t>տերների</w:t>
            </w:r>
            <w:r w:rsidRPr="0053423A">
              <w:rPr>
                <w:lang w:val="it-IT"/>
              </w:rPr>
              <w:t xml:space="preserve"> </w:t>
            </w:r>
            <w:r w:rsidRPr="0053423A">
              <w:t>ստեղծման</w:t>
            </w:r>
            <w:r w:rsidRPr="0053423A">
              <w:rPr>
                <w:lang w:val="it-IT"/>
              </w:rPr>
              <w:t xml:space="preserve"> </w:t>
            </w:r>
            <w:r w:rsidRPr="0053423A">
              <w:t>միջազգային</w:t>
            </w:r>
            <w:r w:rsidRPr="0053423A">
              <w:rPr>
                <w:lang w:val="it-IT"/>
              </w:rPr>
              <w:t xml:space="preserve"> </w:t>
            </w:r>
            <w:r w:rsidRPr="0053423A">
              <w:t>փորձի</w:t>
            </w:r>
            <w:r w:rsidRPr="0053423A">
              <w:rPr>
                <w:lang w:val="it-IT"/>
              </w:rPr>
              <w:t xml:space="preserve"> </w:t>
            </w:r>
            <w:r w:rsidRPr="0053423A">
              <w:t>ուսումնասիրում</w:t>
            </w:r>
            <w:r w:rsidRPr="0053423A">
              <w:rPr>
                <w:lang w:val="it-IT"/>
              </w:rPr>
              <w:t xml:space="preserve">, </w:t>
            </w:r>
            <w:r w:rsidRPr="0053423A">
              <w:t>արդյունավետ</w:t>
            </w:r>
            <w:r w:rsidRPr="0053423A">
              <w:rPr>
                <w:lang w:val="it-IT"/>
              </w:rPr>
              <w:t xml:space="preserve"> </w:t>
            </w:r>
            <w:r w:rsidRPr="0053423A">
              <w:t>գյու</w:t>
            </w:r>
            <w:r w:rsidRPr="0053423A">
              <w:rPr>
                <w:lang w:val="it-IT"/>
              </w:rPr>
              <w:softHyphen/>
            </w:r>
            <w:r w:rsidRPr="0053423A">
              <w:t>ղատն</w:t>
            </w:r>
            <w:r w:rsidRPr="0053423A">
              <w:rPr>
                <w:lang w:val="it-IT"/>
              </w:rPr>
              <w:softHyphen/>
            </w:r>
            <w:r w:rsidRPr="0053423A">
              <w:t>տե</w:t>
            </w:r>
            <w:r w:rsidRPr="0053423A">
              <w:rPr>
                <w:lang w:val="it-IT"/>
              </w:rPr>
              <w:softHyphen/>
            </w:r>
            <w:r w:rsidRPr="0053423A">
              <w:t>սության</w:t>
            </w:r>
            <w:r w:rsidRPr="0053423A">
              <w:rPr>
                <w:lang w:val="it-IT"/>
              </w:rPr>
              <w:t xml:space="preserve"> </w:t>
            </w:r>
            <w:r w:rsidRPr="0053423A">
              <w:t>վարման</w:t>
            </w:r>
            <w:r w:rsidRPr="0053423A">
              <w:rPr>
                <w:lang w:val="it-IT"/>
              </w:rPr>
              <w:t xml:space="preserve"> </w:t>
            </w:r>
            <w:r w:rsidRPr="0053423A">
              <w:t>նպատա</w:t>
            </w:r>
            <w:r w:rsidRPr="0053423A">
              <w:rPr>
                <w:lang w:val="it-IT"/>
              </w:rPr>
              <w:softHyphen/>
            </w:r>
            <w:r w:rsidRPr="0053423A">
              <w:t>կով</w:t>
            </w:r>
            <w:r w:rsidRPr="0053423A">
              <w:rPr>
                <w:lang w:val="it-IT"/>
              </w:rPr>
              <w:t xml:space="preserve"> </w:t>
            </w:r>
            <w:r w:rsidRPr="0053423A">
              <w:t>տնտեսավարման</w:t>
            </w:r>
            <w:r w:rsidRPr="0053423A">
              <w:rPr>
                <w:lang w:val="it-IT"/>
              </w:rPr>
              <w:t xml:space="preserve"> </w:t>
            </w:r>
            <w:r w:rsidRPr="0053423A">
              <w:t>տվյալ</w:t>
            </w:r>
            <w:r w:rsidRPr="0053423A">
              <w:rPr>
                <w:lang w:val="it-IT"/>
              </w:rPr>
              <w:t xml:space="preserve"> </w:t>
            </w:r>
            <w:r w:rsidRPr="0053423A">
              <w:t>ձևի</w:t>
            </w:r>
            <w:r w:rsidRPr="0053423A">
              <w:rPr>
                <w:lang w:val="it-IT"/>
              </w:rPr>
              <w:t xml:space="preserve"> </w:t>
            </w:r>
            <w:r w:rsidRPr="0053423A">
              <w:t>հեռա</w:t>
            </w:r>
            <w:r w:rsidRPr="0053423A">
              <w:rPr>
                <w:lang w:val="it-IT"/>
              </w:rPr>
              <w:softHyphen/>
            </w:r>
            <w:r w:rsidRPr="0053423A">
              <w:t>նկա</w:t>
            </w:r>
            <w:r w:rsidRPr="0053423A">
              <w:rPr>
                <w:lang w:val="it-IT"/>
              </w:rPr>
              <w:softHyphen/>
            </w:r>
            <w:r w:rsidRPr="0053423A">
              <w:t>րային</w:t>
            </w:r>
            <w:r w:rsidRPr="0053423A">
              <w:rPr>
                <w:lang w:val="it-IT"/>
              </w:rPr>
              <w:t xml:space="preserve"> </w:t>
            </w:r>
            <w:r w:rsidRPr="0053423A">
              <w:t>ուղղու</w:t>
            </w:r>
            <w:r w:rsidRPr="0053423A">
              <w:rPr>
                <w:lang w:val="it-IT"/>
              </w:rPr>
              <w:softHyphen/>
            </w:r>
            <w:r w:rsidRPr="0053423A">
              <w:t>թյունների</w:t>
            </w:r>
            <w:r w:rsidRPr="0053423A">
              <w:rPr>
                <w:lang w:val="it-IT"/>
              </w:rPr>
              <w:t xml:space="preserve"> </w:t>
            </w:r>
            <w:r w:rsidRPr="0053423A">
              <w:t>վերհանում</w:t>
            </w:r>
            <w:r w:rsidRPr="0053423A">
              <w:rPr>
                <w:lang w:val="it-IT"/>
              </w:rPr>
              <w:t xml:space="preserve">, </w:t>
            </w:r>
            <w:r w:rsidRPr="0053423A">
              <w:t>հան</w:t>
            </w:r>
            <w:r w:rsidRPr="0053423A">
              <w:rPr>
                <w:lang w:val="it-IT"/>
              </w:rPr>
              <w:softHyphen/>
            </w:r>
            <w:r w:rsidRPr="0053423A">
              <w:t>րապետությունում</w:t>
            </w:r>
            <w:r w:rsidRPr="0053423A">
              <w:rPr>
                <w:lang w:val="it-IT"/>
              </w:rPr>
              <w:t xml:space="preserve"> </w:t>
            </w:r>
            <w:r w:rsidRPr="0053423A">
              <w:t>կլաստեր</w:t>
            </w:r>
            <w:r w:rsidRPr="0053423A">
              <w:rPr>
                <w:lang w:val="it-IT"/>
              </w:rPr>
              <w:softHyphen/>
            </w:r>
            <w:r w:rsidRPr="0053423A">
              <w:t>ների</w:t>
            </w:r>
            <w:r w:rsidRPr="0053423A">
              <w:rPr>
                <w:lang w:val="it-IT"/>
              </w:rPr>
              <w:t xml:space="preserve"> </w:t>
            </w:r>
            <w:r w:rsidRPr="0053423A">
              <w:t>ստեղծման</w:t>
            </w:r>
            <w:r w:rsidRPr="0053423A">
              <w:rPr>
                <w:lang w:val="it-IT"/>
              </w:rPr>
              <w:t xml:space="preserve"> </w:t>
            </w:r>
            <w:r w:rsidRPr="0053423A">
              <w:t>գործոն</w:t>
            </w:r>
            <w:r w:rsidRPr="0053423A">
              <w:rPr>
                <w:lang w:val="it-IT"/>
              </w:rPr>
              <w:softHyphen/>
            </w:r>
            <w:r w:rsidRPr="0053423A">
              <w:t>ների</w:t>
            </w:r>
            <w:r w:rsidRPr="0053423A">
              <w:rPr>
                <w:lang w:val="it-IT"/>
              </w:rPr>
              <w:t xml:space="preserve"> </w:t>
            </w:r>
            <w:r w:rsidRPr="0053423A">
              <w:t>ուսումնասիրում</w:t>
            </w:r>
            <w:r w:rsidRPr="0053423A">
              <w:rPr>
                <w:lang w:val="it-IT"/>
              </w:rPr>
              <w:t>:</w:t>
            </w:r>
          </w:p>
          <w:p w:rsidR="00530B14" w:rsidRPr="0053423A" w:rsidRDefault="00530B14" w:rsidP="00A67858">
            <w:pPr>
              <w:spacing w:line="276" w:lineRule="auto"/>
              <w:jc w:val="both"/>
              <w:rPr>
                <w:rFonts w:eastAsia="Calibri"/>
                <w:b/>
                <w:lang w:val="hy-AM"/>
              </w:rPr>
            </w:pPr>
            <w:r w:rsidRPr="0053423A">
              <w:rPr>
                <w:rFonts w:eastAsia="Calibri"/>
                <w:b/>
                <w:lang w:val="it-IT"/>
              </w:rPr>
              <w:tab/>
            </w:r>
            <w:r w:rsidRPr="0053423A">
              <w:rPr>
                <w:rFonts w:eastAsia="Calibri"/>
                <w:b/>
                <w:lang w:val="hy-AM"/>
              </w:rPr>
              <w:t>2. Միջոցառման իրականացումից ակնկալվող արդյունքները</w:t>
            </w:r>
          </w:p>
          <w:p w:rsidR="00530B14" w:rsidRPr="0053423A" w:rsidRDefault="00530B14" w:rsidP="001F6D5D">
            <w:pPr>
              <w:pStyle w:val="ListParagraph"/>
              <w:numPr>
                <w:ilvl w:val="0"/>
                <w:numId w:val="119"/>
              </w:numPr>
              <w:spacing w:line="276" w:lineRule="auto"/>
              <w:ind w:left="0" w:firstLine="630"/>
              <w:jc w:val="both"/>
              <w:rPr>
                <w:lang w:val="hy-AM"/>
              </w:rPr>
            </w:pPr>
            <w:r w:rsidRPr="0053423A">
              <w:rPr>
                <w:lang w:val="hy-AM"/>
              </w:rPr>
              <w:t xml:space="preserve">  գիտակրթական-արտադրական կլաստերների ստեղծ</w:t>
            </w:r>
            <w:r w:rsidRPr="0053423A">
              <w:rPr>
                <w:lang w:val="hy-AM"/>
              </w:rPr>
              <w:softHyphen/>
              <w:t>ման հայեցակարգի մշակման համար անհրաժեշտ նախա</w:t>
            </w:r>
            <w:r w:rsidRPr="0053423A">
              <w:rPr>
                <w:lang w:val="hy-AM"/>
              </w:rPr>
              <w:softHyphen/>
              <w:t>պատրաստական աշխա</w:t>
            </w:r>
            <w:r w:rsidRPr="0053423A">
              <w:rPr>
                <w:lang w:val="hy-AM"/>
              </w:rPr>
              <w:softHyphen/>
              <w:t>տանքների արդյունքում ձեռքբերված նյութերի և տվյալների ամփոփում,</w:t>
            </w:r>
          </w:p>
          <w:p w:rsidR="00530B14" w:rsidRPr="0053423A" w:rsidRDefault="00530B14" w:rsidP="001F6D5D">
            <w:pPr>
              <w:pStyle w:val="ListParagraph"/>
              <w:numPr>
                <w:ilvl w:val="0"/>
                <w:numId w:val="119"/>
              </w:numPr>
              <w:spacing w:line="276" w:lineRule="auto"/>
              <w:ind w:left="0" w:firstLine="630"/>
              <w:jc w:val="both"/>
              <w:rPr>
                <w:lang w:val="hy-AM"/>
              </w:rPr>
            </w:pPr>
            <w:r w:rsidRPr="0053423A">
              <w:rPr>
                <w:lang w:val="hy-AM"/>
              </w:rPr>
              <w:t xml:space="preserve">  գիտակրթական-արտադրական կլաստերների ստեղծ</w:t>
            </w:r>
            <w:r w:rsidRPr="0053423A">
              <w:rPr>
                <w:lang w:val="hy-AM"/>
              </w:rPr>
              <w:softHyphen/>
              <w:t>ման հայեցակարգի մշակում:</w:t>
            </w:r>
          </w:p>
          <w:p w:rsidR="00530B14" w:rsidRPr="0053423A" w:rsidRDefault="00530B14" w:rsidP="00A67858">
            <w:pPr>
              <w:spacing w:line="276" w:lineRule="auto"/>
              <w:ind w:right="239"/>
              <w:rPr>
                <w:b/>
                <w:lang w:val="hy-AM"/>
              </w:rPr>
            </w:pPr>
          </w:p>
          <w:p w:rsidR="00530B14" w:rsidRPr="0053423A" w:rsidRDefault="00530B14" w:rsidP="00A67858">
            <w:pPr>
              <w:spacing w:line="276" w:lineRule="auto"/>
              <w:ind w:right="239"/>
              <w:jc w:val="center"/>
              <w:rPr>
                <w:b/>
                <w:u w:val="single"/>
                <w:lang w:val="hy-AM"/>
              </w:rPr>
            </w:pPr>
            <w:r w:rsidRPr="0053423A">
              <w:rPr>
                <w:b/>
                <w:u w:val="single"/>
                <w:lang w:val="hy-AM"/>
              </w:rPr>
              <w:t>6.2 «Գյուղատնտեսության ոլորտում գիտակրթական-արտադրական</w:t>
            </w:r>
            <w:r w:rsidRPr="0053423A">
              <w:rPr>
                <w:u w:val="single"/>
                <w:lang w:val="hy-AM"/>
              </w:rPr>
              <w:t xml:space="preserve"> </w:t>
            </w:r>
            <w:r w:rsidRPr="0053423A">
              <w:rPr>
                <w:b/>
                <w:u w:val="single"/>
                <w:lang w:val="hy-AM"/>
              </w:rPr>
              <w:t>կլաստերների ստեղծման հայեցակարգի և հայեցակարգի կատարումն ապահովող միջոցա</w:t>
            </w:r>
            <w:r w:rsidRPr="0053423A">
              <w:rPr>
                <w:b/>
                <w:u w:val="single"/>
                <w:lang w:val="hy-AM"/>
              </w:rPr>
              <w:softHyphen/>
              <w:t>ռումների իրականացման ժամանակացույցը հաստատելու մասին» ՀՀ կառավարության որոշման նախագծի մշակում և ընդունում, ժամանակա</w:t>
            </w:r>
            <w:r w:rsidRPr="0053423A">
              <w:rPr>
                <w:b/>
                <w:u w:val="single"/>
                <w:lang w:val="hy-AM"/>
              </w:rPr>
              <w:softHyphen/>
              <w:t>ցույցով նախատեսված միջոցառումների իրագործում</w:t>
            </w:r>
          </w:p>
          <w:p w:rsidR="00530B14" w:rsidRPr="0053423A" w:rsidRDefault="00530B14" w:rsidP="00A67858">
            <w:pPr>
              <w:spacing w:line="276" w:lineRule="auto"/>
              <w:ind w:right="239"/>
              <w:jc w:val="center"/>
              <w:rPr>
                <w:b/>
                <w:lang w:val="hy-AM"/>
              </w:rPr>
            </w:pPr>
          </w:p>
          <w:p w:rsidR="00530B14" w:rsidRPr="0053423A" w:rsidRDefault="00530B14" w:rsidP="00A67858">
            <w:pPr>
              <w:spacing w:line="276" w:lineRule="auto"/>
              <w:ind w:left="279"/>
              <w:jc w:val="both"/>
              <w:rPr>
                <w:rFonts w:cs="Sylfaen"/>
                <w:b/>
                <w:lang w:val="hy-AM"/>
              </w:rPr>
            </w:pPr>
            <w:r w:rsidRPr="0053423A">
              <w:rPr>
                <w:rFonts w:cs="Sylfaen"/>
                <w:b/>
                <w:lang w:val="it-IT" w:eastAsia="en-GB"/>
              </w:rPr>
              <w:t xml:space="preserve">   </w:t>
            </w:r>
            <w:r w:rsidRPr="0053423A">
              <w:rPr>
                <w:rFonts w:eastAsia="Calibri"/>
                <w:b/>
                <w:lang w:val="hy-AM"/>
              </w:rPr>
              <w:t>1.Միջոցառման իրականացման ա</w:t>
            </w:r>
            <w:r w:rsidRPr="0053423A">
              <w:rPr>
                <w:rFonts w:cs="Sylfaen"/>
                <w:b/>
                <w:lang w:val="hy-AM"/>
              </w:rPr>
              <w:t>նհրաժեշտությունը և նպատակը</w:t>
            </w:r>
          </w:p>
          <w:p w:rsidR="00530B14" w:rsidRPr="0053423A" w:rsidRDefault="00530B14" w:rsidP="00A67858">
            <w:pPr>
              <w:pStyle w:val="ListParagraph"/>
              <w:spacing w:line="276" w:lineRule="auto"/>
              <w:ind w:left="0"/>
              <w:jc w:val="both"/>
              <w:rPr>
                <w:lang w:val="it-IT"/>
              </w:rPr>
            </w:pPr>
            <w:r w:rsidRPr="0053423A">
              <w:rPr>
                <w:rFonts w:eastAsia="Calibri"/>
                <w:lang w:val="it-IT"/>
              </w:rPr>
              <w:tab/>
            </w:r>
            <w:r w:rsidRPr="0053423A">
              <w:rPr>
                <w:rFonts w:cs="Sylfaen"/>
                <w:lang w:val="it-IT"/>
              </w:rPr>
              <w:t xml:space="preserve">Միջոցառման համար հիմք է հանդիսանում </w:t>
            </w:r>
            <w:r w:rsidRPr="0053423A">
              <w:rPr>
                <w:rFonts w:cs="Sylfaen"/>
                <w:lang w:val="hy-AM"/>
              </w:rPr>
              <w:t xml:space="preserve">ՀՀ ԱԺ 2019 թվականի փետրվարի 14-ի ԱԺՈ-002-Ն որոշմամբ հավանության արժանացած </w:t>
            </w:r>
            <w:r w:rsidRPr="0053423A">
              <w:rPr>
                <w:rFonts w:cs="Sylfaen"/>
                <w:lang w:val="it-IT"/>
              </w:rPr>
              <w:t xml:space="preserve">ՀՀ  կառավարության ծրագրի </w:t>
            </w:r>
            <w:r w:rsidRPr="0053423A">
              <w:rPr>
                <w:lang w:val="hy-AM"/>
              </w:rPr>
              <w:t>«</w:t>
            </w:r>
            <w:r w:rsidRPr="0053423A">
              <w:rPr>
                <w:rFonts w:cs="Sylfaen"/>
                <w:lang w:val="it-IT"/>
              </w:rPr>
              <w:t>5.10 Գյուղատնտեսություն</w:t>
            </w:r>
            <w:r w:rsidRPr="0053423A">
              <w:rPr>
                <w:lang w:val="hy-AM"/>
              </w:rPr>
              <w:t>»</w:t>
            </w:r>
            <w:r w:rsidRPr="0053423A">
              <w:rPr>
                <w:lang w:val="it-IT"/>
              </w:rPr>
              <w:t xml:space="preserve"> </w:t>
            </w:r>
            <w:r w:rsidRPr="0053423A">
              <w:t>բաժնի</w:t>
            </w:r>
            <w:r w:rsidRPr="0053423A">
              <w:rPr>
                <w:lang w:val="it-IT"/>
              </w:rPr>
              <w:t xml:space="preserve"> 7-</w:t>
            </w:r>
            <w:r w:rsidRPr="0053423A">
              <w:t>րդ</w:t>
            </w:r>
            <w:r w:rsidRPr="0053423A">
              <w:rPr>
                <w:lang w:val="it-IT"/>
              </w:rPr>
              <w:t xml:space="preserve"> </w:t>
            </w:r>
            <w:r w:rsidRPr="0053423A">
              <w:t>պարբերության</w:t>
            </w:r>
            <w:r w:rsidRPr="0053423A">
              <w:rPr>
                <w:lang w:val="it-IT"/>
              </w:rPr>
              <w:t xml:space="preserve"> 2-</w:t>
            </w:r>
            <w:r w:rsidRPr="0053423A">
              <w:t>րդ</w:t>
            </w:r>
            <w:r w:rsidRPr="0053423A">
              <w:rPr>
                <w:lang w:val="it-IT"/>
              </w:rPr>
              <w:t xml:space="preserve"> </w:t>
            </w:r>
            <w:r w:rsidRPr="0053423A">
              <w:t>ենթապարբերությունը</w:t>
            </w:r>
            <w:r w:rsidRPr="0053423A">
              <w:rPr>
                <w:lang w:val="it-IT"/>
              </w:rPr>
              <w:t xml:space="preserve">: </w:t>
            </w:r>
          </w:p>
          <w:p w:rsidR="00530B14" w:rsidRPr="0053423A" w:rsidRDefault="00530B14" w:rsidP="00A67858">
            <w:pPr>
              <w:pStyle w:val="ListParagraph"/>
              <w:spacing w:line="276" w:lineRule="auto"/>
              <w:ind w:left="0"/>
              <w:jc w:val="both"/>
              <w:rPr>
                <w:rFonts w:cs="Sylfaen"/>
                <w:lang w:val="it-IT"/>
              </w:rPr>
            </w:pPr>
            <w:r w:rsidRPr="0053423A">
              <w:rPr>
                <w:rFonts w:eastAsia="Calibri"/>
                <w:lang w:val="it-IT"/>
              </w:rPr>
              <w:tab/>
            </w:r>
            <w:r w:rsidRPr="0053423A">
              <w:rPr>
                <w:rFonts w:eastAsia="Calibri"/>
                <w:lang w:val="hy-AM"/>
              </w:rPr>
              <w:t xml:space="preserve">Միջոցառման իրականացման </w:t>
            </w:r>
            <w:r w:rsidRPr="0053423A">
              <w:rPr>
                <w:rFonts w:cs="Sylfaen"/>
                <w:lang w:val="hy-AM"/>
              </w:rPr>
              <w:t>նպատակն է՝</w:t>
            </w:r>
            <w:r w:rsidRPr="0053423A">
              <w:rPr>
                <w:rFonts w:cs="Calibri"/>
                <w:lang w:val="it-IT"/>
              </w:rPr>
              <w:t xml:space="preserve"> ՀՀ գյուղատնտեսության նախա</w:t>
            </w:r>
            <w:r w:rsidRPr="0053423A">
              <w:rPr>
                <w:rFonts w:cs="Calibri"/>
                <w:lang w:val="it-IT"/>
              </w:rPr>
              <w:softHyphen/>
              <w:t>րա</w:t>
            </w:r>
            <w:r w:rsidRPr="0053423A">
              <w:rPr>
                <w:rFonts w:cs="Calibri"/>
                <w:lang w:val="it-IT"/>
              </w:rPr>
              <w:softHyphen/>
              <w:t>րության և ագրարային ոլորտի կրթական, գիտաարտադրական և խորհրդատվական կառույցների համագործակցության բարելավման, գիտակրթական և արտադրական կազ</w:t>
            </w:r>
            <w:r w:rsidRPr="0053423A">
              <w:rPr>
                <w:rFonts w:cs="Calibri"/>
                <w:lang w:val="it-IT"/>
              </w:rPr>
              <w:softHyphen/>
              <w:t xml:space="preserve">մակերպությունների ինտեգրման, գիտակրթական ներուժի օգտագործման և արտադրությունում ներդրման, գիտելիքահենք տնտեսության զարգացման և </w:t>
            </w:r>
            <w:r w:rsidRPr="0053423A">
              <w:rPr>
                <w:rFonts w:cs="Sylfaen"/>
                <w:lang w:val="it-IT"/>
              </w:rPr>
              <w:t xml:space="preserve">մրցունակ արտադրանքի թողարկման գործում </w:t>
            </w:r>
            <w:r w:rsidRPr="0053423A">
              <w:rPr>
                <w:rFonts w:cs="Sylfaen"/>
              </w:rPr>
              <w:t>գյուղատնտեսության</w:t>
            </w:r>
            <w:r w:rsidRPr="0053423A">
              <w:rPr>
                <w:rFonts w:cs="Sylfaen"/>
                <w:lang w:val="it-IT"/>
              </w:rPr>
              <w:t xml:space="preserve"> </w:t>
            </w:r>
            <w:r w:rsidRPr="0053423A">
              <w:rPr>
                <w:rFonts w:cs="Sylfaen"/>
              </w:rPr>
              <w:t>ոլորտում</w:t>
            </w:r>
            <w:r w:rsidRPr="0053423A">
              <w:rPr>
                <w:rFonts w:cs="Sylfaen"/>
                <w:lang w:val="it-IT"/>
              </w:rPr>
              <w:t xml:space="preserve"> </w:t>
            </w:r>
            <w:r w:rsidRPr="0053423A">
              <w:t>գիտակրթական</w:t>
            </w:r>
            <w:r w:rsidRPr="0053423A">
              <w:rPr>
                <w:lang w:val="it-IT"/>
              </w:rPr>
              <w:t>-</w:t>
            </w:r>
            <w:r w:rsidRPr="0053423A">
              <w:t>արտադրական</w:t>
            </w:r>
            <w:r w:rsidRPr="0053423A">
              <w:rPr>
                <w:rFonts w:cs="Sylfaen"/>
                <w:lang w:val="it-IT"/>
              </w:rPr>
              <w:t xml:space="preserve"> կլաստերների ստեղծման միջազգային փորձի, արդյունավետության և Հայաս</w:t>
            </w:r>
            <w:r w:rsidRPr="0053423A">
              <w:rPr>
                <w:rFonts w:cs="Sylfaen"/>
                <w:lang w:val="it-IT"/>
              </w:rPr>
              <w:softHyphen/>
              <w:t xml:space="preserve">տանի Հանրապետությունում ներդրման հեռանկարների </w:t>
            </w:r>
            <w:r w:rsidRPr="0053423A">
              <w:rPr>
                <w:rFonts w:cs="Calibri"/>
                <w:lang w:val="it-IT"/>
              </w:rPr>
              <w:t>ուսումնասիրության արդյունք</w:t>
            </w:r>
            <w:r w:rsidRPr="0053423A">
              <w:rPr>
                <w:rFonts w:cs="Calibri"/>
                <w:lang w:val="it-IT"/>
              </w:rPr>
              <w:softHyphen/>
              <w:t>ները կյանքի կոչելու համար անհրաժեշտ իրավական ակտ(եր)ի ընդունումը և հետագա միջոցառումների իրականացումը</w:t>
            </w:r>
            <w:r w:rsidRPr="0053423A">
              <w:rPr>
                <w:rFonts w:cs="Sylfaen"/>
                <w:lang w:val="it-IT"/>
              </w:rPr>
              <w:t>:</w:t>
            </w:r>
          </w:p>
          <w:p w:rsidR="00530B14" w:rsidRPr="0053423A" w:rsidRDefault="00530B14" w:rsidP="00A67858">
            <w:pPr>
              <w:spacing w:line="276" w:lineRule="auto"/>
              <w:jc w:val="both"/>
              <w:rPr>
                <w:b/>
                <w:lang w:val="hy-AM" w:eastAsia="en-GB"/>
              </w:rPr>
            </w:pPr>
            <w:r w:rsidRPr="0053423A">
              <w:rPr>
                <w:rFonts w:cs="Sylfaen"/>
                <w:b/>
                <w:lang w:val="it-IT" w:eastAsia="en-GB"/>
              </w:rPr>
              <w:tab/>
              <w:t xml:space="preserve">1.1  </w:t>
            </w:r>
            <w:r w:rsidRPr="0053423A">
              <w:rPr>
                <w:rFonts w:cs="Sylfaen"/>
                <w:b/>
                <w:lang w:val="hy-AM" w:eastAsia="en-GB"/>
              </w:rPr>
              <w:t>Կարգավորման</w:t>
            </w:r>
            <w:r w:rsidRPr="0053423A">
              <w:rPr>
                <w:rFonts w:cs="Calibri"/>
                <w:b/>
                <w:lang w:val="hy-AM" w:eastAsia="en-GB"/>
              </w:rPr>
              <w:t xml:space="preserve"> </w:t>
            </w:r>
            <w:r w:rsidRPr="0053423A">
              <w:rPr>
                <w:rFonts w:cs="Sylfaen"/>
                <w:b/>
                <w:lang w:val="hy-AM" w:eastAsia="en-GB"/>
              </w:rPr>
              <w:t>հարաբերությունների</w:t>
            </w:r>
            <w:r w:rsidRPr="0053423A">
              <w:rPr>
                <w:rFonts w:cs="Calibri"/>
                <w:b/>
                <w:lang w:val="hy-AM" w:eastAsia="en-GB"/>
              </w:rPr>
              <w:t xml:space="preserve"> </w:t>
            </w:r>
            <w:r w:rsidRPr="0053423A">
              <w:rPr>
                <w:rFonts w:cs="Sylfaen"/>
                <w:b/>
                <w:lang w:val="hy-AM" w:eastAsia="en-GB"/>
              </w:rPr>
              <w:t>ներկա</w:t>
            </w:r>
            <w:r w:rsidRPr="0053423A">
              <w:rPr>
                <w:rFonts w:cs="Calibri"/>
                <w:b/>
                <w:lang w:val="hy-AM" w:eastAsia="en-GB"/>
              </w:rPr>
              <w:t xml:space="preserve"> </w:t>
            </w:r>
            <w:r w:rsidRPr="0053423A">
              <w:rPr>
                <w:rFonts w:cs="Sylfaen"/>
                <w:b/>
                <w:lang w:val="hy-AM" w:eastAsia="en-GB"/>
              </w:rPr>
              <w:t>վիճակը</w:t>
            </w:r>
            <w:r w:rsidRPr="0053423A">
              <w:rPr>
                <w:rFonts w:cs="Calibri"/>
                <w:b/>
                <w:lang w:val="hy-AM" w:eastAsia="en-GB"/>
              </w:rPr>
              <w:t xml:space="preserve"> </w:t>
            </w:r>
            <w:r w:rsidRPr="0053423A">
              <w:rPr>
                <w:rFonts w:cs="Sylfaen"/>
                <w:b/>
                <w:lang w:val="hy-AM" w:eastAsia="en-GB"/>
              </w:rPr>
              <w:t>և</w:t>
            </w:r>
            <w:r w:rsidRPr="0053423A">
              <w:rPr>
                <w:rFonts w:cs="Calibri"/>
                <w:b/>
                <w:lang w:val="hy-AM" w:eastAsia="en-GB"/>
              </w:rPr>
              <w:t xml:space="preserve"> </w:t>
            </w:r>
            <w:r w:rsidRPr="0053423A">
              <w:rPr>
                <w:rFonts w:cs="Sylfaen"/>
                <w:b/>
                <w:lang w:val="hy-AM" w:eastAsia="en-GB"/>
              </w:rPr>
              <w:t>առկա</w:t>
            </w:r>
            <w:r w:rsidRPr="0053423A">
              <w:rPr>
                <w:rFonts w:cs="Calibri"/>
                <w:b/>
                <w:lang w:val="hy-AM" w:eastAsia="en-GB"/>
              </w:rPr>
              <w:t xml:space="preserve"> </w:t>
            </w:r>
            <w:r w:rsidRPr="0053423A">
              <w:rPr>
                <w:rFonts w:cs="Sylfaen"/>
                <w:b/>
                <w:lang w:val="hy-AM" w:eastAsia="en-GB"/>
              </w:rPr>
              <w:t>խնդիրները</w:t>
            </w:r>
          </w:p>
          <w:p w:rsidR="00530B14" w:rsidRPr="0053423A" w:rsidRDefault="00530B14" w:rsidP="00A67858">
            <w:pPr>
              <w:pStyle w:val="ListParagraph"/>
              <w:spacing w:line="276" w:lineRule="auto"/>
              <w:ind w:left="0"/>
              <w:jc w:val="both"/>
              <w:rPr>
                <w:rFonts w:cs="Sylfaen"/>
                <w:lang w:val="it-IT"/>
              </w:rPr>
            </w:pPr>
            <w:r w:rsidRPr="0053423A">
              <w:rPr>
                <w:rFonts w:cs="Sylfaen"/>
                <w:lang w:val="it-IT"/>
              </w:rPr>
              <w:tab/>
              <w:t>Միջոցառման համար ելակետային տվյալներ առկա չեն, միջոցառումը գտնվում է նախնական ուսումնասիրման փուլում:</w:t>
            </w:r>
          </w:p>
          <w:p w:rsidR="00530B14" w:rsidRPr="0053423A" w:rsidRDefault="00530B14" w:rsidP="00A67858">
            <w:pPr>
              <w:pStyle w:val="ListParagraph"/>
              <w:spacing w:line="276" w:lineRule="auto"/>
              <w:ind w:left="0"/>
              <w:jc w:val="both"/>
              <w:rPr>
                <w:rFonts w:cs="Sylfaen"/>
                <w:b/>
                <w:lang w:val="it-IT"/>
              </w:rPr>
            </w:pPr>
            <w:r w:rsidRPr="0053423A">
              <w:rPr>
                <w:rFonts w:cs="Sylfaen"/>
                <w:lang w:val="it-IT"/>
              </w:rPr>
              <w:tab/>
              <w:t>Առկա խնդիրներն են՝ ոլորտի կարո</w:t>
            </w:r>
            <w:r w:rsidRPr="0053423A">
              <w:rPr>
                <w:rFonts w:cs="Sylfaen"/>
                <w:lang w:val="it-IT"/>
              </w:rPr>
              <w:softHyphen/>
              <w:t>ղությունների հզորացման նպատակով որակյալ և ժամանակակից տեխնոլոգիաներին տիրապետող մասնա</w:t>
            </w:r>
            <w:r w:rsidRPr="0053423A">
              <w:rPr>
                <w:rFonts w:cs="Sylfaen"/>
                <w:lang w:val="it-IT"/>
              </w:rPr>
              <w:softHyphen/>
              <w:t>գետների պատ</w:t>
            </w:r>
            <w:r w:rsidRPr="0053423A">
              <w:rPr>
                <w:rFonts w:cs="Sylfaen"/>
                <w:lang w:val="it-IT"/>
              </w:rPr>
              <w:softHyphen/>
              <w:t>րաս</w:t>
            </w:r>
            <w:r w:rsidRPr="0053423A">
              <w:rPr>
                <w:rFonts w:cs="Sylfaen"/>
                <w:lang w:val="it-IT"/>
              </w:rPr>
              <w:softHyphen/>
              <w:t>տումը և կադրերի պահանջարկի բավարարումը, գիտահետազոտական և նորա</w:t>
            </w:r>
            <w:r w:rsidRPr="0053423A">
              <w:rPr>
                <w:rFonts w:cs="Sylfaen"/>
                <w:lang w:val="it-IT"/>
              </w:rPr>
              <w:softHyphen/>
              <w:t>րարական գործունեության զարգացումը, գիտական արդյունքների ներդրումը և տնտեսության զարգացումը, մրցունակ արտադրանքի թողարկումը, աշխատանքի արտադրողականության բարձրացումը, նոր բիզնես-նախաձեռնությունների խթանումը:</w:t>
            </w:r>
          </w:p>
          <w:p w:rsidR="00530B14" w:rsidRPr="0053423A" w:rsidRDefault="00530B14" w:rsidP="00A67858">
            <w:pPr>
              <w:spacing w:line="276" w:lineRule="auto"/>
              <w:jc w:val="both"/>
              <w:rPr>
                <w:rFonts w:cs="Sylfaen"/>
                <w:b/>
                <w:lang w:val="it-IT" w:eastAsia="en-GB"/>
              </w:rPr>
            </w:pPr>
            <w:r w:rsidRPr="0053423A">
              <w:rPr>
                <w:rFonts w:cs="Sylfaen"/>
                <w:b/>
                <w:lang w:val="it-IT" w:eastAsia="en-GB"/>
              </w:rPr>
              <w:t xml:space="preserve">  </w:t>
            </w:r>
            <w:r w:rsidRPr="0053423A">
              <w:rPr>
                <w:rFonts w:cs="Sylfaen"/>
                <w:b/>
                <w:lang w:val="it-IT" w:eastAsia="en-GB"/>
              </w:rPr>
              <w:tab/>
              <w:t xml:space="preserve">1.2  </w:t>
            </w:r>
            <w:r w:rsidRPr="0053423A">
              <w:rPr>
                <w:rFonts w:cs="Sylfaen"/>
                <w:b/>
                <w:lang w:val="hy-AM" w:eastAsia="en-GB"/>
              </w:rPr>
              <w:t>Առկա</w:t>
            </w:r>
            <w:r w:rsidRPr="0053423A">
              <w:rPr>
                <w:rFonts w:cs="Calibri"/>
                <w:b/>
                <w:lang w:val="hy-AM" w:eastAsia="en-GB"/>
              </w:rPr>
              <w:t xml:space="preserve"> </w:t>
            </w:r>
            <w:r w:rsidRPr="0053423A">
              <w:rPr>
                <w:rFonts w:cs="Sylfaen"/>
                <w:b/>
                <w:lang w:val="hy-AM" w:eastAsia="en-GB"/>
              </w:rPr>
              <w:t>խնդիրների</w:t>
            </w:r>
            <w:r w:rsidRPr="0053423A">
              <w:rPr>
                <w:rFonts w:cs="Calibri"/>
                <w:b/>
                <w:lang w:val="hy-AM" w:eastAsia="en-GB"/>
              </w:rPr>
              <w:t xml:space="preserve"> </w:t>
            </w:r>
            <w:r w:rsidRPr="0053423A">
              <w:rPr>
                <w:rFonts w:cs="Sylfaen"/>
                <w:b/>
                <w:lang w:val="hy-AM" w:eastAsia="en-GB"/>
              </w:rPr>
              <w:t>առաջարկվող</w:t>
            </w:r>
            <w:r w:rsidRPr="0053423A">
              <w:rPr>
                <w:rFonts w:cs="Calibri"/>
                <w:b/>
                <w:lang w:val="hy-AM" w:eastAsia="en-GB"/>
              </w:rPr>
              <w:t xml:space="preserve"> </w:t>
            </w:r>
            <w:r w:rsidRPr="0053423A">
              <w:rPr>
                <w:rFonts w:cs="Sylfaen"/>
                <w:b/>
                <w:lang w:val="hy-AM" w:eastAsia="en-GB"/>
              </w:rPr>
              <w:t>լուծումները</w:t>
            </w:r>
          </w:p>
          <w:p w:rsidR="00530B14" w:rsidRPr="0053423A" w:rsidRDefault="00530B14" w:rsidP="00A67858">
            <w:pPr>
              <w:spacing w:line="276" w:lineRule="auto"/>
              <w:ind w:firstLine="284"/>
              <w:jc w:val="both"/>
              <w:rPr>
                <w:lang w:val="it-IT"/>
              </w:rPr>
            </w:pPr>
            <w:r w:rsidRPr="0053423A">
              <w:rPr>
                <w:lang w:val="hy-AM"/>
              </w:rPr>
              <w:t xml:space="preserve"> «</w:t>
            </w:r>
            <w:r w:rsidRPr="0053423A">
              <w:t>Գյուղատնտեսության</w:t>
            </w:r>
            <w:r w:rsidRPr="0053423A">
              <w:rPr>
                <w:lang w:val="it-IT"/>
              </w:rPr>
              <w:t xml:space="preserve"> </w:t>
            </w:r>
            <w:r w:rsidRPr="0053423A">
              <w:t>ոլորտում</w:t>
            </w:r>
            <w:r w:rsidRPr="0053423A">
              <w:rPr>
                <w:lang w:val="it-IT"/>
              </w:rPr>
              <w:t xml:space="preserve"> </w:t>
            </w:r>
            <w:r w:rsidRPr="0053423A">
              <w:t>գիտակրթական</w:t>
            </w:r>
            <w:r w:rsidRPr="0053423A">
              <w:rPr>
                <w:lang w:val="it-IT"/>
              </w:rPr>
              <w:t>-</w:t>
            </w:r>
            <w:r w:rsidRPr="0053423A">
              <w:t>արտադրական</w:t>
            </w:r>
            <w:r w:rsidRPr="0053423A">
              <w:rPr>
                <w:lang w:val="hy-AM"/>
              </w:rPr>
              <w:t xml:space="preserve"> կլաստերների ստեղծման</w:t>
            </w:r>
            <w:r w:rsidRPr="0053423A">
              <w:rPr>
                <w:lang w:val="it-IT"/>
              </w:rPr>
              <w:t xml:space="preserve"> </w:t>
            </w:r>
            <w:r w:rsidRPr="0053423A">
              <w:rPr>
                <w:lang w:val="hy-AM"/>
              </w:rPr>
              <w:t>հայեցա</w:t>
            </w:r>
            <w:r w:rsidRPr="0053423A">
              <w:rPr>
                <w:lang w:val="it-IT"/>
              </w:rPr>
              <w:softHyphen/>
            </w:r>
            <w:r w:rsidRPr="0053423A">
              <w:rPr>
                <w:lang w:val="hy-AM"/>
              </w:rPr>
              <w:t xml:space="preserve">կարգի և </w:t>
            </w:r>
            <w:r w:rsidRPr="0053423A">
              <w:t>հ</w:t>
            </w:r>
            <w:r w:rsidRPr="0053423A">
              <w:rPr>
                <w:lang w:val="hy-AM"/>
              </w:rPr>
              <w:t>այեցակարգի կատարումն ապահովող միջո</w:t>
            </w:r>
            <w:r w:rsidRPr="0053423A">
              <w:rPr>
                <w:lang w:val="hy-AM"/>
              </w:rPr>
              <w:softHyphen/>
              <w:t>ցառումների իրականաց</w:t>
            </w:r>
            <w:r w:rsidRPr="0053423A">
              <w:rPr>
                <w:lang w:val="it-IT"/>
              </w:rPr>
              <w:softHyphen/>
            </w:r>
            <w:r w:rsidRPr="0053423A">
              <w:rPr>
                <w:lang w:val="hy-AM"/>
              </w:rPr>
              <w:t>ման ժամանա</w:t>
            </w:r>
            <w:r w:rsidRPr="0053423A">
              <w:rPr>
                <w:lang w:val="hy-AM"/>
              </w:rPr>
              <w:softHyphen/>
              <w:t>կա</w:t>
            </w:r>
            <w:r w:rsidRPr="0053423A">
              <w:rPr>
                <w:lang w:val="hy-AM"/>
              </w:rPr>
              <w:softHyphen/>
              <w:t>ցույցը հաս</w:t>
            </w:r>
            <w:r w:rsidRPr="0053423A">
              <w:rPr>
                <w:lang w:val="hy-AM"/>
              </w:rPr>
              <w:softHyphen/>
              <w:t>տատելու մասին» ՀՀ կառավարու</w:t>
            </w:r>
            <w:r w:rsidRPr="0053423A">
              <w:rPr>
                <w:lang w:val="hy-AM"/>
              </w:rPr>
              <w:softHyphen/>
              <w:t>թյան որոշման նախագծի մշակում</w:t>
            </w:r>
            <w:r w:rsidRPr="0053423A">
              <w:t>ը</w:t>
            </w:r>
            <w:r w:rsidRPr="0053423A">
              <w:rPr>
                <w:lang w:val="it-IT"/>
              </w:rPr>
              <w:t xml:space="preserve">, </w:t>
            </w:r>
            <w:r w:rsidRPr="0053423A">
              <w:rPr>
                <w:rFonts w:cs="Calibri"/>
                <w:lang w:val="it-IT"/>
              </w:rPr>
              <w:t>ընդունումը և հետագա միջոցառումների իրականացումը</w:t>
            </w:r>
          </w:p>
          <w:p w:rsidR="00530B14" w:rsidRPr="0053423A" w:rsidRDefault="00530B14" w:rsidP="00A67858">
            <w:pPr>
              <w:pStyle w:val="ListParagraph"/>
              <w:spacing w:line="276" w:lineRule="auto"/>
              <w:ind w:left="0" w:firstLine="720"/>
              <w:jc w:val="both"/>
              <w:rPr>
                <w:rFonts w:eastAsia="Calibri"/>
                <w:b/>
                <w:lang w:val="hy-AM"/>
              </w:rPr>
            </w:pPr>
            <w:r w:rsidRPr="0053423A">
              <w:rPr>
                <w:rFonts w:eastAsia="Calibri"/>
                <w:b/>
                <w:lang w:val="hy-AM"/>
              </w:rPr>
              <w:t>2. Միջոցառման իրականացումից ակնկալվող արդյունքները</w:t>
            </w:r>
          </w:p>
          <w:p w:rsidR="00530B14" w:rsidRPr="0053423A" w:rsidRDefault="00530B14" w:rsidP="00A67858">
            <w:pPr>
              <w:pStyle w:val="ListParagraph"/>
              <w:spacing w:line="276" w:lineRule="auto"/>
              <w:ind w:left="0"/>
              <w:jc w:val="both"/>
              <w:rPr>
                <w:lang w:val="hy-AM"/>
              </w:rPr>
            </w:pPr>
            <w:r w:rsidRPr="0053423A">
              <w:rPr>
                <w:lang w:val="it-IT"/>
              </w:rPr>
              <w:tab/>
            </w:r>
            <w:r w:rsidRPr="0053423A">
              <w:rPr>
                <w:lang w:val="hy-AM"/>
              </w:rPr>
              <w:t>Որակյալ մասնագետների ու ֆերմերների պատրաստման և վերապատ</w:t>
            </w:r>
            <w:r w:rsidRPr="0053423A">
              <w:rPr>
                <w:lang w:val="it-IT"/>
              </w:rPr>
              <w:softHyphen/>
            </w:r>
            <w:r w:rsidRPr="0053423A">
              <w:rPr>
                <w:lang w:val="hy-AM"/>
              </w:rPr>
              <w:t>րաստ</w:t>
            </w:r>
            <w:r w:rsidRPr="0053423A">
              <w:rPr>
                <w:lang w:val="it-IT"/>
              </w:rPr>
              <w:softHyphen/>
            </w:r>
            <w:r w:rsidRPr="0053423A">
              <w:rPr>
                <w:lang w:val="hy-AM"/>
              </w:rPr>
              <w:t>ման, գյուղատնտեսական ուղղվա</w:t>
            </w:r>
            <w:r w:rsidRPr="0053423A">
              <w:rPr>
                <w:lang w:val="hy-AM"/>
              </w:rPr>
              <w:softHyphen/>
              <w:t>ծությամբ կրթական ծրագ</w:t>
            </w:r>
            <w:r w:rsidRPr="0053423A">
              <w:rPr>
                <w:lang w:val="hy-AM"/>
              </w:rPr>
              <w:softHyphen/>
              <w:t>րերի նկատմամբ գրավ</w:t>
            </w:r>
            <w:r w:rsidRPr="0053423A">
              <w:rPr>
                <w:lang w:val="it-IT"/>
              </w:rPr>
              <w:softHyphen/>
            </w:r>
            <w:r w:rsidRPr="0053423A">
              <w:rPr>
                <w:lang w:val="hy-AM"/>
              </w:rPr>
              <w:t>չության բարձ</w:t>
            </w:r>
            <w:r w:rsidRPr="0053423A">
              <w:rPr>
                <w:lang w:val="hy-AM"/>
              </w:rPr>
              <w:softHyphen/>
              <w:t>րաց</w:t>
            </w:r>
            <w:r w:rsidRPr="0053423A">
              <w:rPr>
                <w:lang w:val="hy-AM"/>
              </w:rPr>
              <w:softHyphen/>
              <w:t>ման, գիտահետազոտա</w:t>
            </w:r>
            <w:r w:rsidRPr="0053423A">
              <w:rPr>
                <w:lang w:val="hy-AM"/>
              </w:rPr>
              <w:softHyphen/>
              <w:t>կան և փորձակոնստ</w:t>
            </w:r>
            <w:r w:rsidRPr="0053423A">
              <w:rPr>
                <w:lang w:val="hy-AM"/>
              </w:rPr>
              <w:softHyphen/>
              <w:t>րուկտորական աշխա</w:t>
            </w:r>
            <w:r w:rsidRPr="0053423A">
              <w:rPr>
                <w:lang w:val="it-IT"/>
              </w:rPr>
              <w:softHyphen/>
            </w:r>
            <w:r w:rsidRPr="0053423A">
              <w:rPr>
                <w:lang w:val="hy-AM"/>
              </w:rPr>
              <w:t>տանք</w:t>
            </w:r>
            <w:r w:rsidRPr="0053423A">
              <w:rPr>
                <w:lang w:val="hy-AM"/>
              </w:rPr>
              <w:softHyphen/>
              <w:t>ների ակտիվացման և տեխ</w:t>
            </w:r>
            <w:r w:rsidRPr="0053423A">
              <w:rPr>
                <w:lang w:val="hy-AM"/>
              </w:rPr>
              <w:softHyphen/>
              <w:t>նոլոգիաների փոխանցման, գյուղատնտեսական գիտե</w:t>
            </w:r>
            <w:r w:rsidRPr="0053423A">
              <w:rPr>
                <w:lang w:val="it-IT"/>
              </w:rPr>
              <w:softHyphen/>
            </w:r>
            <w:r w:rsidRPr="0053423A">
              <w:rPr>
                <w:lang w:val="hy-AM"/>
              </w:rPr>
              <w:softHyphen/>
              <w:t>լիքահենք արդյունքի ստեղծ</w:t>
            </w:r>
            <w:r w:rsidRPr="0053423A">
              <w:rPr>
                <w:lang w:val="hy-AM"/>
              </w:rPr>
              <w:softHyphen/>
              <w:t>մամբ անձնական և ազգա</w:t>
            </w:r>
            <w:r w:rsidRPr="0053423A">
              <w:rPr>
                <w:lang w:val="hy-AM"/>
              </w:rPr>
              <w:softHyphen/>
              <w:t>յին բարեկեցության բարե</w:t>
            </w:r>
            <w:r w:rsidRPr="0053423A">
              <w:rPr>
                <w:lang w:val="hy-AM"/>
              </w:rPr>
              <w:softHyphen/>
              <w:t>լավ</w:t>
            </w:r>
            <w:r w:rsidRPr="0053423A">
              <w:rPr>
                <w:lang w:val="hy-AM"/>
              </w:rPr>
              <w:softHyphen/>
              <w:t>ման համար անհրաժեշտ պայմանների ստեղծում:</w:t>
            </w:r>
          </w:p>
          <w:p w:rsidR="00530B14" w:rsidRPr="0053423A" w:rsidRDefault="00530B14" w:rsidP="00A67858">
            <w:pPr>
              <w:spacing w:line="276" w:lineRule="auto"/>
              <w:jc w:val="center"/>
              <w:rPr>
                <w:b/>
                <w:bCs/>
                <w:i/>
                <w:iCs/>
                <w:u w:val="single"/>
                <w:lang w:val="hy-AM"/>
              </w:rPr>
            </w:pPr>
          </w:p>
        </w:tc>
      </w:tr>
      <w:tr w:rsidR="00530B14" w:rsidRPr="00DE2EFA" w:rsidTr="004440EB">
        <w:tc>
          <w:tcPr>
            <w:tcW w:w="480" w:type="dxa"/>
          </w:tcPr>
          <w:p w:rsidR="00530B14" w:rsidRPr="0053423A" w:rsidRDefault="00530B14" w:rsidP="00A67858">
            <w:pPr>
              <w:spacing w:line="276" w:lineRule="auto"/>
              <w:jc w:val="right"/>
              <w:rPr>
                <w:bCs/>
                <w:iCs/>
                <w:lang w:val="hy-AM"/>
              </w:rPr>
            </w:pPr>
            <w:r w:rsidRPr="0053423A">
              <w:rPr>
                <w:bCs/>
                <w:iCs/>
                <w:lang w:val="hy-AM"/>
              </w:rPr>
              <w:t>7</w:t>
            </w:r>
          </w:p>
        </w:tc>
        <w:tc>
          <w:tcPr>
            <w:tcW w:w="10879" w:type="dxa"/>
          </w:tcPr>
          <w:p w:rsidR="00530B14" w:rsidRPr="0053423A" w:rsidRDefault="00530B14" w:rsidP="00A67858">
            <w:pPr>
              <w:spacing w:line="276" w:lineRule="auto"/>
              <w:jc w:val="center"/>
              <w:rPr>
                <w:b/>
                <w:lang w:val="hy-AM"/>
              </w:rPr>
            </w:pPr>
            <w:r w:rsidRPr="0053423A">
              <w:rPr>
                <w:b/>
                <w:lang w:val="hy-AM"/>
              </w:rPr>
              <w:t>Ագրոպարենային համա</w:t>
            </w:r>
            <w:r w:rsidRPr="0053423A">
              <w:rPr>
                <w:b/>
                <w:lang w:val="hy-AM"/>
              </w:rPr>
              <w:softHyphen/>
              <w:t>կարգի սարքավորում</w:t>
            </w:r>
            <w:r w:rsidRPr="0053423A">
              <w:rPr>
                <w:b/>
                <w:lang w:val="hy-AM"/>
              </w:rPr>
              <w:softHyphen/>
              <w:t>ների, նոր տեխնոլոգիա</w:t>
            </w:r>
            <w:r w:rsidRPr="0053423A">
              <w:rPr>
                <w:b/>
                <w:lang w:val="hy-AM"/>
              </w:rPr>
              <w:softHyphen/>
              <w:t>ների, սննդի անվտան-գության համակարգերի ներդրման աջակցու</w:t>
            </w:r>
            <w:r w:rsidRPr="0053423A">
              <w:rPr>
                <w:b/>
                <w:lang w:val="hy-AM"/>
              </w:rPr>
              <w:softHyphen/>
              <w:t>թյուն</w:t>
            </w:r>
          </w:p>
          <w:p w:rsidR="00530B14" w:rsidRPr="0053423A" w:rsidRDefault="00530B14" w:rsidP="00A67858">
            <w:pPr>
              <w:spacing w:line="276" w:lineRule="auto"/>
              <w:jc w:val="center"/>
              <w:rPr>
                <w:b/>
                <w:lang w:val="hy-AM"/>
              </w:rPr>
            </w:pPr>
          </w:p>
          <w:p w:rsidR="00530B14" w:rsidRPr="0053423A" w:rsidRDefault="00530B14" w:rsidP="00A67858">
            <w:pPr>
              <w:spacing w:line="276" w:lineRule="auto"/>
              <w:jc w:val="center"/>
              <w:rPr>
                <w:b/>
                <w:u w:val="single"/>
                <w:lang w:val="hy-AM"/>
              </w:rPr>
            </w:pPr>
            <w:r w:rsidRPr="0053423A">
              <w:rPr>
                <w:b/>
                <w:u w:val="single"/>
                <w:lang w:val="hy-AM"/>
              </w:rPr>
              <w:t>7.1 Հայաստանի Հանրապետությունում ագրոպարենային ոլորտի սարքավորումների ֆինանսական վարձակալության` լիզինգի պետական աջակցության ծրագրի իրականացում</w:t>
            </w:r>
          </w:p>
          <w:p w:rsidR="00530B14" w:rsidRPr="0053423A" w:rsidRDefault="00530B14" w:rsidP="00A67858">
            <w:pPr>
              <w:spacing w:line="276" w:lineRule="auto"/>
              <w:jc w:val="center"/>
              <w:rPr>
                <w:lang w:val="hy-AM"/>
              </w:rPr>
            </w:pPr>
          </w:p>
          <w:p w:rsidR="00530B14" w:rsidRPr="0053423A" w:rsidRDefault="00530B14" w:rsidP="00A67858">
            <w:pPr>
              <w:tabs>
                <w:tab w:val="left" w:pos="1080"/>
              </w:tabs>
              <w:spacing w:line="276" w:lineRule="auto"/>
              <w:ind w:firstLine="720"/>
              <w:rPr>
                <w:rFonts w:cs="Sylfaen"/>
                <w:b/>
                <w:lang w:val="af-ZA"/>
              </w:rPr>
            </w:pPr>
            <w:r w:rsidRPr="0053423A">
              <w:rPr>
                <w:rFonts w:cs="Sylfaen"/>
                <w:b/>
                <w:lang w:val="hy-AM"/>
              </w:rPr>
              <w:t xml:space="preserve">1. </w:t>
            </w:r>
            <w:r w:rsidRPr="0053423A">
              <w:rPr>
                <w:b/>
                <w:lang w:val="hy-AM"/>
              </w:rPr>
              <w:t>Միջոցառման իրականացման անհրաժեշտությունը և նպատակը</w:t>
            </w:r>
            <w:r w:rsidRPr="0053423A">
              <w:rPr>
                <w:rFonts w:cs="Sylfaen"/>
                <w:b/>
                <w:lang w:val="af-ZA"/>
              </w:rPr>
              <w:t xml:space="preserve"> </w:t>
            </w:r>
          </w:p>
          <w:p w:rsidR="00530B14" w:rsidRPr="0053423A" w:rsidRDefault="00530B14" w:rsidP="00A67858">
            <w:pPr>
              <w:shd w:val="clear" w:color="auto" w:fill="FFFFFF"/>
              <w:spacing w:line="276" w:lineRule="auto"/>
              <w:ind w:firstLine="720"/>
              <w:jc w:val="both"/>
              <w:rPr>
                <w:rFonts w:cs="Sylfaen"/>
                <w:lang w:val="af-ZA"/>
              </w:rPr>
            </w:pPr>
            <w:r w:rsidRPr="0053423A">
              <w:rPr>
                <w:rFonts w:cs="Sylfaen"/>
                <w:lang w:val="af-ZA"/>
              </w:rPr>
              <w:t>Հայաստանի Հանրապետությունում ագրոպարենային ոլորտի սարքավորումների ֆինանսական վարձակալության` լիզինգի պետական աջակցության ծրագրի (այսուհետ՝ ծրագիր) իրակա</w:t>
            </w:r>
            <w:r w:rsidRPr="0053423A">
              <w:rPr>
                <w:rFonts w:cs="Sylfaen"/>
                <w:lang w:val="af-ZA"/>
              </w:rPr>
              <w:softHyphen/>
              <w:t>նացման անհրաժեշտությունը բխում</w:t>
            </w:r>
            <w:r w:rsidRPr="0053423A">
              <w:rPr>
                <w:rFonts w:cs="Sylfaen"/>
                <w:lang w:val="hy-AM"/>
              </w:rPr>
              <w:t xml:space="preserve"> է</w:t>
            </w:r>
            <w:r w:rsidRPr="0053423A">
              <w:rPr>
                <w:rFonts w:cs="Sylfaen"/>
                <w:lang w:val="af-ZA"/>
              </w:rPr>
              <w:t xml:space="preserve"> </w:t>
            </w:r>
            <w:r w:rsidRPr="0053423A">
              <w:rPr>
                <w:rFonts w:cs="Sylfaen"/>
                <w:lang w:val="hy-AM"/>
              </w:rPr>
              <w:t>ՀՀ ԱԺ 2019 թվականի փետր</w:t>
            </w:r>
            <w:r w:rsidRPr="0053423A">
              <w:rPr>
                <w:rFonts w:cs="Sylfaen"/>
                <w:lang w:val="af-ZA"/>
              </w:rPr>
              <w:softHyphen/>
            </w:r>
            <w:r w:rsidRPr="0053423A">
              <w:rPr>
                <w:rFonts w:cs="Sylfaen"/>
                <w:lang w:val="hy-AM"/>
              </w:rPr>
              <w:t xml:space="preserve">վարի 14-ի ԱԺՈ-002-Ն որոշմամբ հավանության արժանացած ՀՀ կառավարության ծրագրից </w:t>
            </w:r>
            <w:r w:rsidRPr="0053423A">
              <w:rPr>
                <w:rFonts w:cs="Sylfaen"/>
                <w:lang w:val="af-ZA"/>
              </w:rPr>
              <w:t>(</w:t>
            </w:r>
            <w:r w:rsidRPr="0053423A">
              <w:rPr>
                <w:rFonts w:cs="Sylfaen"/>
                <w:lang w:val="hy-AM"/>
              </w:rPr>
              <w:t>5.9. Վերամշակող արդյունաբերությունը և 5.10. Գյուղատնտեսությունը բաժին, 7-րդ պարբերության 3-րդ դրույթ) և</w:t>
            </w:r>
            <w:r w:rsidRPr="0053423A">
              <w:rPr>
                <w:rFonts w:cs="Sylfaen"/>
                <w:lang w:val="af-ZA"/>
              </w:rPr>
              <w:t xml:space="preserve"> ՀՀ կառավա</w:t>
            </w:r>
            <w:r w:rsidRPr="0053423A">
              <w:rPr>
                <w:rFonts w:cs="Sylfaen"/>
                <w:lang w:val="af-ZA"/>
              </w:rPr>
              <w:softHyphen/>
              <w:t>րության 2010 թվականի նոյեմ</w:t>
            </w:r>
            <w:r w:rsidRPr="0053423A">
              <w:rPr>
                <w:rFonts w:cs="Sylfaen"/>
                <w:lang w:val="af-ZA"/>
              </w:rPr>
              <w:softHyphen/>
              <w:t>բերի 4-ի N 1476-Ն որոշ</w:t>
            </w:r>
            <w:r w:rsidRPr="0053423A">
              <w:rPr>
                <w:rFonts w:cs="Sylfaen"/>
                <w:lang w:val="af-ZA"/>
              </w:rPr>
              <w:softHyphen/>
            </w:r>
            <w:r w:rsidRPr="0053423A">
              <w:rPr>
                <w:rFonts w:cs="Sylfaen"/>
                <w:lang w:val="af-ZA"/>
              </w:rPr>
              <w:softHyphen/>
              <w:t>մամբ հաս</w:t>
            </w:r>
            <w:r w:rsidRPr="0053423A">
              <w:rPr>
                <w:rFonts w:cs="Sylfaen"/>
                <w:lang w:val="af-ZA"/>
              </w:rPr>
              <w:softHyphen/>
              <w:t>տատ</w:t>
            </w:r>
            <w:r w:rsidRPr="0053423A">
              <w:rPr>
                <w:rFonts w:cs="Sylfaen"/>
                <w:lang w:val="af-ZA"/>
              </w:rPr>
              <w:softHyphen/>
              <w:t>ված Հայաստանի Հան</w:t>
            </w:r>
            <w:r w:rsidRPr="0053423A">
              <w:rPr>
                <w:rFonts w:cs="Sylfaen"/>
                <w:lang w:val="af-ZA"/>
              </w:rPr>
              <w:softHyphen/>
              <w:t>րա</w:t>
            </w:r>
            <w:r w:rsidRPr="0053423A">
              <w:rPr>
                <w:rFonts w:cs="Sylfaen"/>
                <w:lang w:val="af-ZA"/>
              </w:rPr>
              <w:softHyphen/>
              <w:t>պե</w:t>
            </w:r>
            <w:r w:rsidRPr="0053423A">
              <w:rPr>
                <w:rFonts w:cs="Sylfaen"/>
                <w:lang w:val="af-ZA"/>
              </w:rPr>
              <w:softHyphen/>
              <w:t>տու</w:t>
            </w:r>
            <w:r w:rsidRPr="0053423A">
              <w:rPr>
                <w:rFonts w:cs="Sylfaen"/>
                <w:lang w:val="af-ZA"/>
              </w:rPr>
              <w:softHyphen/>
              <w:t>թյան գյուղի և գյուղա</w:t>
            </w:r>
            <w:r w:rsidRPr="0053423A">
              <w:rPr>
                <w:rFonts w:cs="Sylfaen"/>
                <w:lang w:val="af-ZA"/>
              </w:rPr>
              <w:softHyphen/>
              <w:t>տն</w:t>
            </w:r>
            <w:r w:rsidRPr="0053423A">
              <w:rPr>
                <w:rFonts w:cs="Sylfaen"/>
                <w:lang w:val="af-ZA"/>
              </w:rPr>
              <w:softHyphen/>
              <w:t>տե</w:t>
            </w:r>
            <w:r w:rsidRPr="0053423A">
              <w:rPr>
                <w:rFonts w:cs="Sylfaen"/>
                <w:lang w:val="af-ZA"/>
              </w:rPr>
              <w:softHyphen/>
              <w:t>սության 2010-2020 թվականների կայուն զար</w:t>
            </w:r>
            <w:r w:rsidRPr="0053423A">
              <w:rPr>
                <w:rFonts w:cs="Sylfaen"/>
                <w:lang w:val="af-ZA"/>
              </w:rPr>
              <w:softHyphen/>
              <w:t>գաց</w:t>
            </w:r>
            <w:r w:rsidRPr="0053423A">
              <w:rPr>
                <w:rFonts w:cs="Sylfaen"/>
                <w:lang w:val="af-ZA"/>
              </w:rPr>
              <w:softHyphen/>
              <w:t>ման ռազ</w:t>
            </w:r>
            <w:r w:rsidRPr="0053423A">
              <w:rPr>
                <w:rFonts w:cs="Sylfaen"/>
                <w:lang w:val="af-ZA"/>
              </w:rPr>
              <w:softHyphen/>
              <w:t>մավարու</w:t>
            </w:r>
            <w:r w:rsidRPr="0053423A">
              <w:rPr>
                <w:rFonts w:cs="Sylfaen"/>
                <w:lang w:val="af-ZA"/>
              </w:rPr>
              <w:softHyphen/>
              <w:t>թյու</w:t>
            </w:r>
            <w:r w:rsidRPr="0053423A">
              <w:rPr>
                <w:rFonts w:cs="Sylfaen"/>
                <w:lang w:val="af-ZA"/>
              </w:rPr>
              <w:softHyphen/>
              <w:t>նից (IV-րդ բա</w:t>
            </w:r>
            <w:r w:rsidRPr="0053423A">
              <w:rPr>
                <w:rFonts w:cs="Sylfaen"/>
                <w:lang w:val="af-ZA"/>
              </w:rPr>
              <w:softHyphen/>
              <w:t>ժին, 39-րդ կետ, 11-րդ ենթակետի բ) պարբերություն))։</w:t>
            </w:r>
          </w:p>
          <w:p w:rsidR="00530B14" w:rsidRPr="0053423A" w:rsidRDefault="00530B14" w:rsidP="00A67858">
            <w:pPr>
              <w:pStyle w:val="ListParagraph"/>
              <w:tabs>
                <w:tab w:val="left" w:pos="990"/>
              </w:tabs>
              <w:spacing w:line="276" w:lineRule="auto"/>
              <w:ind w:left="0" w:firstLine="720"/>
              <w:jc w:val="both"/>
              <w:rPr>
                <w:rFonts w:cs="Sylfaen"/>
                <w:lang w:val="af-ZA"/>
              </w:rPr>
            </w:pPr>
            <w:r w:rsidRPr="0053423A">
              <w:rPr>
                <w:rFonts w:cs="Sylfaen"/>
                <w:lang w:val="af-ZA"/>
              </w:rPr>
              <w:t>Ծրագրի իրականացման հիմնական նպատակը ագրոպարենային ոլորտի տնտե</w:t>
            </w:r>
            <w:r w:rsidRPr="0053423A">
              <w:rPr>
                <w:rFonts w:cs="Sylfaen"/>
                <w:lang w:val="af-ZA"/>
              </w:rPr>
              <w:softHyphen/>
              <w:t>սավարողներին մատչելի պայմաններով, մասնավորապես՝ ֆինանսական վարձակա</w:t>
            </w:r>
            <w:r w:rsidRPr="0053423A">
              <w:rPr>
                <w:rFonts w:cs="Sylfaen"/>
                <w:lang w:val="af-ZA"/>
              </w:rPr>
              <w:softHyphen/>
              <w:t>լության մեխանիզմների կիրառմամբ սարքավորումների մատակարարումն է:</w:t>
            </w:r>
          </w:p>
          <w:p w:rsidR="00530B14" w:rsidRPr="0053423A" w:rsidRDefault="00530B14" w:rsidP="00A67858">
            <w:pPr>
              <w:tabs>
                <w:tab w:val="left" w:pos="1080"/>
              </w:tabs>
              <w:spacing w:line="276" w:lineRule="auto"/>
              <w:ind w:firstLine="720"/>
              <w:rPr>
                <w:rFonts w:cs="Sylfaen"/>
                <w:b/>
                <w:lang w:val="hy-AM"/>
              </w:rPr>
            </w:pPr>
            <w:r w:rsidRPr="0053423A">
              <w:rPr>
                <w:rFonts w:cs="Sylfaen"/>
                <w:b/>
                <w:lang w:val="hy-AM"/>
              </w:rPr>
              <w:t>1.1. Կարգավորման հարաբերությունների ներկա վիճակը և առկա խնդիրները</w:t>
            </w:r>
          </w:p>
          <w:p w:rsidR="00530B14" w:rsidRPr="0053423A" w:rsidRDefault="00530B14" w:rsidP="00A67858">
            <w:pPr>
              <w:spacing w:line="276" w:lineRule="auto"/>
              <w:ind w:firstLine="720"/>
              <w:jc w:val="both"/>
              <w:rPr>
                <w:lang w:val="hy-AM"/>
              </w:rPr>
            </w:pPr>
            <w:r w:rsidRPr="0053423A">
              <w:rPr>
                <w:lang w:val="fr-FR"/>
              </w:rPr>
              <w:t xml:space="preserve">ՀՀ գյուղատնտեսության նախարարության կողմից հանրապետության </w:t>
            </w:r>
            <w:r w:rsidRPr="0053423A">
              <w:rPr>
                <w:lang w:val="hy-AM"/>
              </w:rPr>
              <w:t>ագրո</w:t>
            </w:r>
            <w:r w:rsidRPr="0053423A">
              <w:rPr>
                <w:lang w:val="hy-AM"/>
              </w:rPr>
              <w:softHyphen/>
              <w:t xml:space="preserve">պարենային ոլորտում իրականացված ուսումնասիրության </w:t>
            </w:r>
            <w:r w:rsidRPr="0053423A">
              <w:rPr>
                <w:lang w:val="fr-FR"/>
              </w:rPr>
              <w:t xml:space="preserve">արդյունքում պարզվել է, որ </w:t>
            </w:r>
            <w:r w:rsidRPr="0053423A">
              <w:rPr>
                <w:lang w:val="hy-AM"/>
              </w:rPr>
              <w:t xml:space="preserve">ագրոպարենային ոլորտի տնտեսավարողներն </w:t>
            </w:r>
            <w:r w:rsidRPr="0053423A">
              <w:rPr>
                <w:lang w:val="fr-FR"/>
              </w:rPr>
              <w:t>օգտագործում են 5-ից մինչև 70% մաշ</w:t>
            </w:r>
            <w:r w:rsidRPr="0053423A">
              <w:rPr>
                <w:lang w:val="fr-FR"/>
              </w:rPr>
              <w:softHyphen/>
              <w:t>վածության տարբեր տեխնոլոգիական սարքավորումներ, իսկ առանձին կազմա</w:t>
            </w:r>
            <w:r w:rsidRPr="0053423A">
              <w:rPr>
                <w:lang w:val="fr-FR"/>
              </w:rPr>
              <w:softHyphen/>
              <w:t>կեր</w:t>
            </w:r>
            <w:r w:rsidRPr="0053423A">
              <w:rPr>
                <w:lang w:val="fr-FR"/>
              </w:rPr>
              <w:softHyphen/>
              <w:t>պություններում դրանք դեռևս Խորհրդային Միության արտադրության են՝ բարոյապես և ֆիզիկապես մաշված</w:t>
            </w:r>
            <w:r w:rsidRPr="0053423A">
              <w:rPr>
                <w:lang w:val="hy-AM"/>
              </w:rPr>
              <w:t>։ Տ</w:t>
            </w:r>
            <w:r w:rsidRPr="0053423A">
              <w:rPr>
                <w:lang w:val="fr-FR"/>
              </w:rPr>
              <w:t>նտեսավարողների կողմից վերջին երեք տարիների ընթաց</w:t>
            </w:r>
            <w:r w:rsidRPr="0053423A">
              <w:rPr>
                <w:lang w:val="fr-FR"/>
              </w:rPr>
              <w:softHyphen/>
              <w:t xml:space="preserve">քում </w:t>
            </w:r>
            <w:r w:rsidRPr="0053423A">
              <w:rPr>
                <w:lang w:val="hy-AM"/>
              </w:rPr>
              <w:t xml:space="preserve">սարքավորումներ են ձեռք բերվել ինչպես սեփական և </w:t>
            </w:r>
            <w:r w:rsidRPr="0053423A">
              <w:rPr>
                <w:lang w:val="fr-FR"/>
              </w:rPr>
              <w:t>վարկային միջոցներ</w:t>
            </w:r>
            <w:r w:rsidRPr="0053423A">
              <w:rPr>
                <w:lang w:val="hy-AM"/>
              </w:rPr>
              <w:t xml:space="preserve">ի հաշվին, այնպես էլ </w:t>
            </w:r>
            <w:r w:rsidRPr="0053423A">
              <w:rPr>
                <w:lang w:val="fr-FR"/>
              </w:rPr>
              <w:t>լիզինգով</w:t>
            </w:r>
            <w:r w:rsidRPr="0053423A">
              <w:rPr>
                <w:lang w:val="hy-AM"/>
              </w:rPr>
              <w:t xml:space="preserve">: </w:t>
            </w:r>
            <w:r w:rsidRPr="0053423A">
              <w:rPr>
                <w:lang w:val="fr-FR"/>
              </w:rPr>
              <w:t>Սարքավորումների ձեռքբերման նպատակով վարկային միջոցները տրամադրվել են ԱՄՆ դոլարով սկսած 4,2%-ից և ՀՀ դրամով մինչև 20% տարեկան տոկոսադրույքներով 6 ամսից մինչև 7 տարի մարման տևողությամբ</w:t>
            </w:r>
            <w:r w:rsidRPr="0053423A">
              <w:rPr>
                <w:lang w:val="hy-AM"/>
              </w:rPr>
              <w:t xml:space="preserve">, իսկ </w:t>
            </w:r>
            <w:r w:rsidRPr="0053423A">
              <w:rPr>
                <w:lang w:val="fr-FR"/>
              </w:rPr>
              <w:t xml:space="preserve">հարցմանը մասնակցած </w:t>
            </w:r>
            <w:r w:rsidRPr="0053423A">
              <w:rPr>
                <w:lang w:val="hy-AM"/>
              </w:rPr>
              <w:t xml:space="preserve">33 </w:t>
            </w:r>
            <w:r w:rsidRPr="0053423A">
              <w:rPr>
                <w:lang w:val="fr-FR"/>
              </w:rPr>
              <w:t>տնտեսավարողների լիզինգով սարքավորումների ձեռքբեր</w:t>
            </w:r>
            <w:r w:rsidRPr="0053423A">
              <w:rPr>
                <w:lang w:val="fr-FR"/>
              </w:rPr>
              <w:softHyphen/>
              <w:t xml:space="preserve">ման պահանջարկը կազմում է ավելի քան </w:t>
            </w:r>
            <w:r w:rsidRPr="0053423A">
              <w:rPr>
                <w:lang w:val="hy-AM"/>
              </w:rPr>
              <w:t>3</w:t>
            </w:r>
            <w:r w:rsidRPr="0053423A">
              <w:rPr>
                <w:lang w:val="fr-FR"/>
              </w:rPr>
              <w:t xml:space="preserve">00 միավոր, իսկ արժեքը՝ շուրջ 10000.0 մլն դրամ: </w:t>
            </w:r>
          </w:p>
          <w:p w:rsidR="00530B14" w:rsidRPr="0053423A" w:rsidRDefault="00530B14" w:rsidP="00A67858">
            <w:pPr>
              <w:spacing w:line="276" w:lineRule="auto"/>
              <w:ind w:firstLine="720"/>
              <w:jc w:val="both"/>
              <w:rPr>
                <w:lang w:val="hy-AM"/>
              </w:rPr>
            </w:pPr>
            <w:r w:rsidRPr="0053423A">
              <w:rPr>
                <w:rFonts w:cs="Sylfaen"/>
                <w:lang w:val="hy-AM"/>
              </w:rPr>
              <w:t>Տնտեսությունների վերազինման գործընթացում առկա խնդիրները պայմա</w:t>
            </w:r>
            <w:r w:rsidRPr="0053423A">
              <w:rPr>
                <w:rFonts w:cs="Sylfaen"/>
                <w:lang w:val="hy-AM"/>
              </w:rPr>
              <w:softHyphen/>
              <w:t>նա</w:t>
            </w:r>
            <w:r w:rsidRPr="0053423A">
              <w:rPr>
                <w:rFonts w:cs="Sylfaen"/>
                <w:lang w:val="hy-AM"/>
              </w:rPr>
              <w:softHyphen/>
              <w:t>վոր</w:t>
            </w:r>
            <w:r w:rsidRPr="0053423A">
              <w:rPr>
                <w:rFonts w:cs="Sylfaen"/>
                <w:lang w:val="hy-AM"/>
              </w:rPr>
              <w:softHyphen/>
              <w:t>ված են տնտեսավարողների ֆինանսական սուղ հնարավորություններով, կուտակ</w:t>
            </w:r>
            <w:r w:rsidRPr="0053423A">
              <w:rPr>
                <w:rFonts w:cs="Sylfaen"/>
                <w:lang w:val="hy-AM"/>
              </w:rPr>
              <w:softHyphen/>
              <w:t>ված վարկային բեռով, տրամադրվող վարկային միջոցների ոչ նախընտրելի տոկոսա</w:t>
            </w:r>
            <w:r w:rsidRPr="0053423A">
              <w:rPr>
                <w:rFonts w:cs="Sylfaen"/>
                <w:lang w:val="hy-AM"/>
              </w:rPr>
              <w:softHyphen/>
              <w:t>դրույքներով և պայմաններով, ազատ գրավի առարկայի բացակայությամբ, ներմուծվող սարքավորումների բարձր գներով ու դրանց մատակարարման մատչելի մեխանիզմ</w:t>
            </w:r>
            <w:r w:rsidRPr="0053423A">
              <w:rPr>
                <w:rFonts w:cs="Sylfaen"/>
                <w:lang w:val="hy-AM"/>
              </w:rPr>
              <w:softHyphen/>
              <w:t xml:space="preserve">ների  </w:t>
            </w:r>
            <w:r w:rsidRPr="0053423A">
              <w:rPr>
                <w:lang w:val="fr-FR"/>
              </w:rPr>
              <w:t>բացակայությամբ կամ եղածների անկատարությամբ:</w:t>
            </w:r>
          </w:p>
          <w:p w:rsidR="00530B14" w:rsidRPr="0053423A" w:rsidRDefault="00530B14" w:rsidP="00A67858">
            <w:pPr>
              <w:spacing w:line="276" w:lineRule="auto"/>
              <w:ind w:firstLine="720"/>
              <w:jc w:val="both"/>
              <w:rPr>
                <w:rFonts w:cs="Sylfaen"/>
                <w:b/>
                <w:bCs/>
                <w:lang w:val="hy-AM"/>
              </w:rPr>
            </w:pPr>
            <w:r w:rsidRPr="0053423A">
              <w:rPr>
                <w:rFonts w:cs="Sylfaen"/>
                <w:b/>
                <w:bCs/>
                <w:lang w:val="hy-AM"/>
              </w:rPr>
              <w:t>1.2 Առկա խնդիրների առաջարկվող լուծումները</w:t>
            </w:r>
          </w:p>
          <w:p w:rsidR="00530B14" w:rsidRPr="0053423A" w:rsidRDefault="00530B14" w:rsidP="00A67858">
            <w:pPr>
              <w:spacing w:line="276" w:lineRule="auto"/>
              <w:ind w:firstLine="720"/>
              <w:jc w:val="both"/>
              <w:rPr>
                <w:lang w:val="hy-AM"/>
              </w:rPr>
            </w:pPr>
            <w:r w:rsidRPr="0053423A">
              <w:rPr>
                <w:rFonts w:cs="Sylfaen"/>
                <w:lang w:val="af-ZA"/>
              </w:rPr>
              <w:t>Ծրագրի շրջանակներում նախատեսվում է ագրոպարենային ոլորտում գործող տնտեսավարողներին սարքավորումների ձեռքբերման համար լիզինգով տրամադրել մինչև 2</w:t>
            </w:r>
            <w:r w:rsidRPr="0053423A">
              <w:rPr>
                <w:rFonts w:cs="Sylfaen"/>
                <w:lang w:val="hy-AM"/>
              </w:rPr>
              <w:t>3</w:t>
            </w:r>
            <w:r w:rsidRPr="0053423A">
              <w:rPr>
                <w:rFonts w:cs="Sylfaen"/>
                <w:lang w:val="af-ZA"/>
              </w:rPr>
              <w:t>0,0 մլն դրամ, 8 տարի ներառյալ մարման ժամկետով, տարեկան մինչև 11 % տոկոսադրույքով, որի մինչև 7 տոկոսային կետը սուբսիդավորվում է, որպեսզի լիզին</w:t>
            </w:r>
            <w:r w:rsidRPr="0053423A">
              <w:rPr>
                <w:rFonts w:cs="Sylfaen"/>
                <w:lang w:val="af-ZA"/>
              </w:rPr>
              <w:softHyphen/>
              <w:t>գառուի կողմից վճարվող լիզինգի տարեկան տոկոսադրույքը կազմի 4 տոկոս, լիզին</w:t>
            </w:r>
            <w:r w:rsidRPr="0053423A">
              <w:rPr>
                <w:rFonts w:cs="Sylfaen"/>
                <w:lang w:val="af-ZA"/>
              </w:rPr>
              <w:softHyphen/>
              <w:t>գառուն վճարում է լիզինգի առարկայի ձեռքբերման գնի 20 %-ի չափով կանխավճար, լիզինգի մայր գումարի մարման համար սահմանված արտոնյալ ժամկետը լիզինգը տրամադրելու պահից հաշվարկվում է առնվազն 3 ամիս, իսկ լիզինգի չսուբսիդա</w:t>
            </w:r>
            <w:r w:rsidRPr="0053423A">
              <w:rPr>
                <w:rFonts w:cs="Sylfaen"/>
                <w:lang w:val="af-ZA"/>
              </w:rPr>
              <w:softHyphen/>
              <w:t>վոր</w:t>
            </w:r>
            <w:r w:rsidRPr="0053423A">
              <w:rPr>
                <w:rFonts w:cs="Sylfaen"/>
                <w:lang w:val="af-ZA"/>
              </w:rPr>
              <w:softHyphen/>
              <w:t>վող տոկոսների վճարման պարտականությունը լիզինգառուի մոտ առաջանում է լիզինգի տրամադրման պահից սկսած։</w:t>
            </w:r>
          </w:p>
          <w:p w:rsidR="00530B14" w:rsidRPr="0053423A" w:rsidRDefault="00530B14" w:rsidP="00A67858">
            <w:pPr>
              <w:spacing w:line="276" w:lineRule="auto"/>
              <w:ind w:firstLine="720"/>
              <w:jc w:val="both"/>
              <w:rPr>
                <w:lang w:val="hy-AM"/>
              </w:rPr>
            </w:pPr>
            <w:r w:rsidRPr="0053423A">
              <w:rPr>
                <w:rFonts w:cs="Sylfaen"/>
                <w:lang w:val="af-ZA"/>
              </w:rPr>
              <w:t xml:space="preserve">Ծրագիրը նախատեսվում է իրականացնել առևտրային բանկերի և վարկային կազմակերպությունների ռեսուրսների, իսկ սուբսիդավորման գումարը՝ ՀՀ պետական բյուջեի միջոցների հաշվին: </w:t>
            </w:r>
          </w:p>
          <w:p w:rsidR="00530B14" w:rsidRPr="0053423A" w:rsidRDefault="00530B14" w:rsidP="00A67858">
            <w:pPr>
              <w:tabs>
                <w:tab w:val="left" w:pos="709"/>
                <w:tab w:val="left" w:pos="851"/>
              </w:tabs>
              <w:spacing w:line="276" w:lineRule="auto"/>
              <w:ind w:firstLine="567"/>
              <w:jc w:val="both"/>
              <w:rPr>
                <w:lang w:val="hy-AM"/>
              </w:rPr>
            </w:pPr>
            <w:r w:rsidRPr="0053423A">
              <w:rPr>
                <w:rFonts w:cs="Sylfaen"/>
                <w:lang w:val="af-ZA"/>
              </w:rPr>
              <w:t>Ծրագրի շրջանակներում նախատեսվում է ֆինանսական կառույցների կողմից ագրոպարենային ոլորտի տնտեսավարողներին լիզինգով սարքավորումների ձեռք բերման համար մինչև 11 տոկոս տոկոսադրույքով և մինչև 8 տարով տրամադրվող լիզինգի առարկան սուբսիդավորել մինչև 7 տոկոսային կետով, որպեսզի լիզինգառուի կողմից վճարվող վարկի տարեկան տոկոսադրույքը կազմի 4 տոկոս</w:t>
            </w:r>
            <w:r w:rsidRPr="0053423A">
              <w:rPr>
                <w:rFonts w:cs="Sylfaen"/>
                <w:lang w:val="hy-AM"/>
              </w:rPr>
              <w:t xml:space="preserve">, իսկ </w:t>
            </w:r>
            <w:r w:rsidRPr="0053423A">
              <w:rPr>
                <w:lang w:val="af-ZA"/>
              </w:rPr>
              <w:t>ՀՀ</w:t>
            </w:r>
            <w:r w:rsidRPr="0053423A">
              <w:rPr>
                <w:lang w:val="hy-AM"/>
              </w:rPr>
              <w:t xml:space="preserve"> </w:t>
            </w:r>
            <w:r w:rsidRPr="0053423A">
              <w:rPr>
                <w:lang w:val="af-ZA"/>
              </w:rPr>
              <w:t>կառա</w:t>
            </w:r>
            <w:r w:rsidRPr="0053423A">
              <w:rPr>
                <w:lang w:val="af-ZA"/>
              </w:rPr>
              <w:softHyphen/>
              <w:t>վարության 2014 թվականի դեկ</w:t>
            </w:r>
            <w:r w:rsidRPr="0053423A">
              <w:rPr>
                <w:lang w:val="hy-AM"/>
              </w:rPr>
              <w:softHyphen/>
            </w:r>
            <w:r w:rsidRPr="0053423A">
              <w:rPr>
                <w:lang w:val="af-ZA"/>
              </w:rPr>
              <w:t>տեմբերի 18-ի N 1444-</w:t>
            </w:r>
            <w:r w:rsidRPr="0053423A">
              <w:rPr>
                <w:lang w:val="hy-AM"/>
              </w:rPr>
              <w:t>Ն որոշմամբ հաստատված սոցիա</w:t>
            </w:r>
            <w:r w:rsidRPr="0053423A">
              <w:rPr>
                <w:lang w:val="hy-AM"/>
              </w:rPr>
              <w:softHyphen/>
              <w:t>լական աջակցություն ստա</w:t>
            </w:r>
            <w:r w:rsidRPr="0053423A">
              <w:rPr>
                <w:lang w:val="hy-AM"/>
              </w:rPr>
              <w:softHyphen/>
              <w:t>ցող սահմանամերձ բնակավայրերի տարածքներում գործունեություն իրականացնող տնտեսավարողների հա</w:t>
            </w:r>
            <w:r w:rsidRPr="0053423A">
              <w:rPr>
                <w:lang w:val="hy-AM"/>
              </w:rPr>
              <w:softHyphen/>
              <w:t>մար լիզինգի առարկան սուբսիդավորել 11 տոկոսային կետով</w:t>
            </w:r>
            <w:r w:rsidRPr="0053423A">
              <w:rPr>
                <w:lang w:val="af-ZA"/>
              </w:rPr>
              <w:t>,</w:t>
            </w:r>
            <w:r w:rsidRPr="0053423A">
              <w:rPr>
                <w:lang w:val="hy-AM"/>
              </w:rPr>
              <w:t xml:space="preserve"> որպեսզի լիզինգառուի կողմից վճարվող լիզինգի տարեկան տոկոսադրույքը կազմի 0 տոկոս։ </w:t>
            </w:r>
          </w:p>
          <w:p w:rsidR="00530B14" w:rsidRPr="0053423A" w:rsidRDefault="00530B14" w:rsidP="00A67858">
            <w:pPr>
              <w:spacing w:line="276" w:lineRule="auto"/>
              <w:ind w:firstLine="720"/>
              <w:jc w:val="both"/>
              <w:rPr>
                <w:lang w:val="hy-AM"/>
              </w:rPr>
            </w:pPr>
            <w:r w:rsidRPr="0053423A">
              <w:rPr>
                <w:rFonts w:cs="Sylfaen"/>
                <w:b/>
                <w:bCs/>
                <w:lang w:val="hy-AM"/>
              </w:rPr>
              <w:t xml:space="preserve">2. </w:t>
            </w:r>
            <w:r w:rsidRPr="0053423A">
              <w:rPr>
                <w:b/>
                <w:lang w:val="hy-AM"/>
              </w:rPr>
              <w:t>Միջոցառման իրականացումից ակնկալվող արդյունքը</w:t>
            </w:r>
            <w:r w:rsidRPr="0053423A">
              <w:rPr>
                <w:lang w:val="af-ZA"/>
              </w:rPr>
              <w:t xml:space="preserve"> </w:t>
            </w:r>
          </w:p>
          <w:p w:rsidR="00530B14" w:rsidRPr="0053423A" w:rsidRDefault="00530B14" w:rsidP="00A67858">
            <w:pPr>
              <w:spacing w:line="276" w:lineRule="auto"/>
              <w:ind w:firstLine="720"/>
              <w:jc w:val="both"/>
              <w:rPr>
                <w:rFonts w:cs="Sylfaen"/>
                <w:lang w:val="hy-AM"/>
              </w:rPr>
            </w:pPr>
            <w:r w:rsidRPr="0053423A">
              <w:rPr>
                <w:rFonts w:cs="Sylfaen"/>
                <w:lang w:val="af-ZA"/>
              </w:rPr>
              <w:t xml:space="preserve">Ծրագրի իրականացման արդյունքում՝ </w:t>
            </w:r>
          </w:p>
          <w:p w:rsidR="00530B14" w:rsidRPr="0053423A" w:rsidRDefault="00530B14" w:rsidP="00A67858">
            <w:pPr>
              <w:spacing w:line="276" w:lineRule="auto"/>
              <w:ind w:firstLine="720"/>
              <w:jc w:val="both"/>
              <w:rPr>
                <w:rFonts w:cs="Sylfaen"/>
                <w:lang w:val="hy-AM"/>
              </w:rPr>
            </w:pPr>
            <w:r w:rsidRPr="0053423A">
              <w:rPr>
                <w:rFonts w:cs="Sylfaen"/>
                <w:lang w:val="hy-AM"/>
              </w:rPr>
              <w:t xml:space="preserve">- </w:t>
            </w:r>
            <w:r w:rsidRPr="0053423A">
              <w:rPr>
                <w:rFonts w:cs="Sylfaen"/>
                <w:lang w:val="af-ZA"/>
              </w:rPr>
              <w:t>նախադրյալներ կստեղծվեն մատչելի մեխանիզմների կիրառմամբ  ագրո</w:t>
            </w:r>
            <w:r w:rsidRPr="0053423A">
              <w:rPr>
                <w:rFonts w:cs="Sylfaen"/>
                <w:lang w:val="af-ZA"/>
              </w:rPr>
              <w:softHyphen/>
              <w:t>պարենային ոլորտի տնտեսավարողների վճարունակ պահանջարկի բավարարման և տնտեսությունները նոր սարքավորումներով վերազինման համար.</w:t>
            </w:r>
          </w:p>
          <w:p w:rsidR="00530B14" w:rsidRPr="0053423A" w:rsidRDefault="00530B14" w:rsidP="00A67858">
            <w:pPr>
              <w:spacing w:line="276" w:lineRule="auto"/>
              <w:ind w:firstLine="720"/>
              <w:jc w:val="both"/>
              <w:rPr>
                <w:rFonts w:cs="Sylfaen"/>
                <w:lang w:val="hy-AM"/>
              </w:rPr>
            </w:pPr>
            <w:r w:rsidRPr="0053423A">
              <w:rPr>
                <w:rFonts w:cs="Sylfaen"/>
                <w:lang w:val="hy-AM"/>
              </w:rPr>
              <w:t xml:space="preserve">- </w:t>
            </w:r>
            <w:r w:rsidRPr="0053423A">
              <w:rPr>
                <w:rFonts w:cs="Sylfaen"/>
                <w:lang w:val="af-ZA"/>
              </w:rPr>
              <w:t>որոշակիորեն կբարձրանա ագրոպարենային ոլորտի նորագույն սարքա</w:t>
            </w:r>
            <w:r w:rsidRPr="0053423A">
              <w:rPr>
                <w:rFonts w:cs="Sylfaen"/>
                <w:lang w:val="af-ZA"/>
              </w:rPr>
              <w:softHyphen/>
              <w:t>վո</w:t>
            </w:r>
            <w:r w:rsidRPr="0053423A">
              <w:rPr>
                <w:rFonts w:cs="Sylfaen"/>
                <w:lang w:val="af-ZA"/>
              </w:rPr>
              <w:softHyphen/>
              <w:t>րումներով հագեցվածության մակարդակը, տնտեսապես կամրա</w:t>
            </w:r>
            <w:r w:rsidRPr="0053423A">
              <w:rPr>
                <w:rFonts w:cs="Sylfaen"/>
                <w:lang w:val="af-ZA"/>
              </w:rPr>
              <w:softHyphen/>
              <w:t>պնդվեն շահառու տնտեսավարողները և պայմաններ կստեղծվեն վերջիններիս կողմից ապրանքային արտադրության կազմակերպման և հետագա զարգացման համար.</w:t>
            </w:r>
          </w:p>
          <w:p w:rsidR="00530B14" w:rsidRPr="0053423A" w:rsidRDefault="00530B14" w:rsidP="00A67858">
            <w:pPr>
              <w:spacing w:line="276" w:lineRule="auto"/>
              <w:ind w:firstLine="720"/>
              <w:jc w:val="both"/>
              <w:rPr>
                <w:rFonts w:cs="Sylfaen"/>
                <w:lang w:val="hy-AM"/>
              </w:rPr>
            </w:pPr>
            <w:r w:rsidRPr="0053423A">
              <w:rPr>
                <w:rFonts w:cs="Sylfaen"/>
                <w:lang w:val="hy-AM"/>
              </w:rPr>
              <w:t xml:space="preserve">- </w:t>
            </w:r>
            <w:r w:rsidRPr="0053423A">
              <w:rPr>
                <w:rFonts w:cs="Sylfaen"/>
                <w:lang w:val="af-ZA"/>
              </w:rPr>
              <w:t>կավելանա ագրոպարենային ոլորտի մրցունակության մակարդակը և կաճի գյուղատնտեսական մթերքների և դրանց վերամշակումից ստացված արտադրանքների արտադրության ու արտահանման ծավալները.</w:t>
            </w:r>
          </w:p>
          <w:p w:rsidR="00530B14" w:rsidRPr="0053423A" w:rsidRDefault="00530B14" w:rsidP="00A67858">
            <w:pPr>
              <w:spacing w:line="276" w:lineRule="auto"/>
              <w:ind w:firstLine="720"/>
              <w:jc w:val="both"/>
              <w:rPr>
                <w:lang w:val="fr-FR"/>
              </w:rPr>
            </w:pPr>
            <w:r w:rsidRPr="0053423A">
              <w:rPr>
                <w:rFonts w:cs="Sylfaen"/>
                <w:lang w:val="hy-AM"/>
              </w:rPr>
              <w:t xml:space="preserve">- </w:t>
            </w:r>
            <w:r w:rsidRPr="0053423A">
              <w:rPr>
                <w:rFonts w:cs="Sylfaen"/>
                <w:lang w:val="af-ZA"/>
              </w:rPr>
              <w:t>հնարավորություն կստեղծվի ագրոպարենային ոլորտի որոշ արտադ</w:t>
            </w:r>
            <w:r w:rsidRPr="0053423A">
              <w:rPr>
                <w:rFonts w:cs="Sylfaen"/>
                <w:lang w:val="af-ZA"/>
              </w:rPr>
              <w:softHyphen/>
              <w:t>րատե</w:t>
            </w:r>
            <w:r w:rsidRPr="0053423A">
              <w:rPr>
                <w:rFonts w:cs="Sylfaen"/>
                <w:lang w:val="af-ZA"/>
              </w:rPr>
              <w:softHyphen/>
              <w:t>սակների ներկրումը փոխարինելու տեղական արտադրությամբ։</w:t>
            </w:r>
          </w:p>
          <w:p w:rsidR="00530B14" w:rsidRPr="0053423A" w:rsidRDefault="00530B14" w:rsidP="00A67858">
            <w:pPr>
              <w:pStyle w:val="ListParagraph"/>
              <w:tabs>
                <w:tab w:val="left" w:pos="990"/>
              </w:tabs>
              <w:spacing w:line="276" w:lineRule="auto"/>
              <w:ind w:left="0" w:firstLine="720"/>
              <w:jc w:val="both"/>
              <w:rPr>
                <w:rFonts w:cs="Sylfaen"/>
                <w:lang w:val="hy-AM"/>
              </w:rPr>
            </w:pPr>
          </w:p>
          <w:p w:rsidR="00530B14" w:rsidRPr="0053423A" w:rsidRDefault="00530B14" w:rsidP="00A67858">
            <w:pPr>
              <w:spacing w:line="276" w:lineRule="auto"/>
              <w:ind w:right="239" w:firstLine="720"/>
              <w:jc w:val="center"/>
              <w:rPr>
                <w:b/>
                <w:u w:val="single"/>
                <w:lang w:val="hy-AM"/>
              </w:rPr>
            </w:pPr>
            <w:r w:rsidRPr="0053423A">
              <w:rPr>
                <w:b/>
                <w:u w:val="single"/>
                <w:lang w:val="hy-AM"/>
              </w:rPr>
              <w:t>7</w:t>
            </w:r>
            <w:r w:rsidRPr="0053423A">
              <w:rPr>
                <w:b/>
                <w:u w:val="single"/>
                <w:lang w:val="af-ZA"/>
              </w:rPr>
              <w:t xml:space="preserve">.2. </w:t>
            </w:r>
            <w:r w:rsidRPr="0053423A">
              <w:rPr>
                <w:b/>
                <w:u w:val="single"/>
                <w:lang w:val="hy-AM"/>
              </w:rPr>
              <w:t>Հայաստանի Հանրապե-տության սննդամթերքի անվտանգության ոլորտի գործող օրենսդրության կատարելագործում</w:t>
            </w:r>
          </w:p>
          <w:p w:rsidR="00530B14" w:rsidRPr="0053423A" w:rsidRDefault="00530B14" w:rsidP="00A67858">
            <w:pPr>
              <w:spacing w:line="276" w:lineRule="auto"/>
              <w:ind w:right="239" w:firstLine="720"/>
              <w:jc w:val="center"/>
              <w:rPr>
                <w:b/>
                <w:u w:val="single"/>
                <w:lang w:val="hy-AM"/>
              </w:rPr>
            </w:pPr>
          </w:p>
          <w:p w:rsidR="00530B14" w:rsidRPr="0053423A" w:rsidRDefault="00530B14" w:rsidP="00A67858">
            <w:pPr>
              <w:numPr>
                <w:ilvl w:val="0"/>
                <w:numId w:val="102"/>
              </w:numPr>
              <w:tabs>
                <w:tab w:val="left" w:pos="1080"/>
              </w:tabs>
              <w:spacing w:line="276" w:lineRule="auto"/>
              <w:contextualSpacing/>
              <w:rPr>
                <w:rFonts w:eastAsia="Calibri" w:cs="Sylfaen"/>
                <w:b/>
                <w:lang w:val="hy-AM"/>
              </w:rPr>
            </w:pPr>
            <w:r w:rsidRPr="0053423A">
              <w:rPr>
                <w:b/>
                <w:lang w:val="hy-AM"/>
              </w:rPr>
              <w:t>Միջոցառման իրականացման անհրաժեշտությունը և նպատակը</w:t>
            </w:r>
            <w:r w:rsidRPr="0053423A">
              <w:rPr>
                <w:rFonts w:eastAsia="Calibri" w:cs="Sylfaen"/>
                <w:b/>
                <w:lang w:val="af-ZA"/>
              </w:rPr>
              <w:t xml:space="preserve"> </w:t>
            </w:r>
          </w:p>
          <w:p w:rsidR="00530B14" w:rsidRPr="0053423A" w:rsidRDefault="00530B14" w:rsidP="00A67858">
            <w:pPr>
              <w:spacing w:line="276" w:lineRule="auto"/>
              <w:ind w:firstLine="720"/>
              <w:jc w:val="both"/>
              <w:rPr>
                <w:rFonts w:eastAsia="Calibri" w:cs="Sylfaen"/>
                <w:lang w:val="hy-AM"/>
              </w:rPr>
            </w:pPr>
            <w:r w:rsidRPr="0053423A">
              <w:rPr>
                <w:rFonts w:eastAsia="Calibri" w:cs="Sylfaen"/>
                <w:lang w:val="hy-AM"/>
              </w:rPr>
              <w:t>Սննդամթերքի անվտանգության ոլորտի գործող օրենսդրության կատարե</w:t>
            </w:r>
            <w:r w:rsidRPr="0053423A">
              <w:rPr>
                <w:rFonts w:eastAsia="Calibri" w:cs="Sylfaen"/>
                <w:lang w:val="hy-AM"/>
              </w:rPr>
              <w:softHyphen/>
              <w:t xml:space="preserve">լագործման  անհրաժեշտությունը բխում է ՀՀ ԱԺ 2019 թվականի փետրվարի 14-ի ԱԺՈ-002-Ն որոշմամբ հավանության արժանացած ՀՀ կառավարության ծրագրից (5.10. Գյուղատնտեսությունը բաժին 7-րդ պարբերության 3-րդ դրույթ)։ </w:t>
            </w:r>
          </w:p>
          <w:p w:rsidR="00530B14" w:rsidRPr="0053423A" w:rsidRDefault="00530B14" w:rsidP="00A67858">
            <w:pPr>
              <w:spacing w:line="276" w:lineRule="auto"/>
              <w:ind w:firstLine="720"/>
              <w:jc w:val="both"/>
              <w:rPr>
                <w:rFonts w:cs="Calibri"/>
                <w:lang w:val="hy-AM"/>
              </w:rPr>
            </w:pPr>
            <w:r w:rsidRPr="0053423A">
              <w:rPr>
                <w:rFonts w:eastAsia="Calibri" w:cs="Sylfaen"/>
                <w:lang w:val="hy-AM"/>
              </w:rPr>
              <w:t>Միջոցառման իրականացման հիմնական նպատակը Հայաստանի Հանրապե</w:t>
            </w:r>
            <w:r w:rsidRPr="0053423A">
              <w:rPr>
                <w:rFonts w:eastAsia="Calibri" w:cs="Sylfaen"/>
                <w:lang w:val="hy-AM"/>
              </w:rPr>
              <w:softHyphen/>
              <w:t xml:space="preserve">տությունում </w:t>
            </w:r>
            <w:r w:rsidRPr="0053423A">
              <w:rPr>
                <w:rFonts w:cs="Calibri"/>
                <w:lang w:val="hy-AM"/>
              </w:rPr>
              <w:t>ս</w:t>
            </w:r>
            <w:r w:rsidRPr="0053423A">
              <w:rPr>
                <w:rFonts w:cs="Calibri"/>
                <w:lang w:val="it-IT"/>
              </w:rPr>
              <w:t xml:space="preserve">ննդամթերքի անվտանգության </w:t>
            </w:r>
            <w:r w:rsidRPr="0053423A">
              <w:rPr>
                <w:rFonts w:cs="Calibri"/>
                <w:lang w:val="hy-AM"/>
              </w:rPr>
              <w:t>ոլորտի</w:t>
            </w:r>
            <w:r w:rsidRPr="0053423A">
              <w:rPr>
                <w:rFonts w:cs="Calibri"/>
                <w:lang w:val="it-IT"/>
              </w:rPr>
              <w:t xml:space="preserve"> առկա խնդիրների</w:t>
            </w:r>
            <w:r w:rsidRPr="0053423A">
              <w:rPr>
                <w:rFonts w:cs="Calibri"/>
                <w:lang w:val="hy-AM"/>
              </w:rPr>
              <w:t xml:space="preserve"> </w:t>
            </w:r>
            <w:r w:rsidRPr="0053423A">
              <w:rPr>
                <w:rFonts w:cs="Calibri"/>
                <w:lang w:val="it-IT"/>
              </w:rPr>
              <w:t>և օրենս</w:t>
            </w:r>
            <w:r w:rsidRPr="0053423A">
              <w:rPr>
                <w:rFonts w:cs="Calibri"/>
                <w:lang w:val="it-IT"/>
              </w:rPr>
              <w:softHyphen/>
              <w:t>դրական բացերի վերհանում</w:t>
            </w:r>
            <w:r w:rsidRPr="0053423A">
              <w:rPr>
                <w:rFonts w:cs="Calibri"/>
                <w:lang w:val="hy-AM"/>
              </w:rPr>
              <w:t>ն է</w:t>
            </w:r>
            <w:r w:rsidRPr="0053423A">
              <w:rPr>
                <w:rFonts w:cs="Calibri"/>
                <w:lang w:val="it-IT"/>
              </w:rPr>
              <w:t xml:space="preserve"> և դրանց հիման վրա</w:t>
            </w:r>
            <w:r w:rsidRPr="0053423A">
              <w:rPr>
                <w:rFonts w:cs="Calibri"/>
                <w:lang w:val="hy-AM"/>
              </w:rPr>
              <w:t xml:space="preserve"> համապատասխան իրավական ակտերի մշակումը և ընդունումը։</w:t>
            </w:r>
          </w:p>
          <w:p w:rsidR="00530B14" w:rsidRPr="0053423A" w:rsidRDefault="00530B14" w:rsidP="00A67858">
            <w:pPr>
              <w:tabs>
                <w:tab w:val="left" w:pos="1080"/>
              </w:tabs>
              <w:spacing w:line="276" w:lineRule="auto"/>
              <w:ind w:firstLine="720"/>
              <w:rPr>
                <w:rFonts w:eastAsia="Calibri" w:cs="Sylfaen"/>
                <w:b/>
                <w:lang w:val="hy-AM"/>
              </w:rPr>
            </w:pPr>
            <w:r w:rsidRPr="0053423A">
              <w:rPr>
                <w:rFonts w:eastAsia="Calibri" w:cs="Sylfaen"/>
                <w:b/>
                <w:lang w:val="hy-AM"/>
              </w:rPr>
              <w:t>1.1. Կարգավորման հարաբերությունների ներկա վիճակը և առկա խնդիրները</w:t>
            </w:r>
          </w:p>
          <w:p w:rsidR="00530B14" w:rsidRPr="0053423A" w:rsidRDefault="00530B14" w:rsidP="00A67858">
            <w:pPr>
              <w:shd w:val="clear" w:color="auto" w:fill="FFFFFF"/>
              <w:spacing w:line="276" w:lineRule="auto"/>
              <w:ind w:right="141" w:firstLine="426"/>
              <w:jc w:val="both"/>
              <w:rPr>
                <w:lang w:val="hy-AM"/>
              </w:rPr>
            </w:pPr>
            <w:r w:rsidRPr="0053423A">
              <w:rPr>
                <w:rFonts w:cs="Sylfaen"/>
                <w:lang w:val="hy-AM"/>
              </w:rPr>
              <w:tab/>
              <w:t>Հայաստանի</w:t>
            </w:r>
            <w:r w:rsidRPr="0053423A">
              <w:rPr>
                <w:lang w:val="hy-AM"/>
              </w:rPr>
              <w:t xml:space="preserve"> Հանրապետությունում սննդամթերքի անվտանգությունը  կարևոր</w:t>
            </w:r>
            <w:r w:rsidRPr="0053423A">
              <w:rPr>
                <w:lang w:val="af-ZA"/>
              </w:rPr>
              <w:t xml:space="preserve"> </w:t>
            </w:r>
            <w:r w:rsidRPr="0053423A">
              <w:rPr>
                <w:lang w:val="hy-AM"/>
              </w:rPr>
              <w:t>և</w:t>
            </w:r>
            <w:r w:rsidRPr="0053423A">
              <w:rPr>
                <w:lang w:val="af-ZA"/>
              </w:rPr>
              <w:t xml:space="preserve"> </w:t>
            </w:r>
            <w:r w:rsidRPr="0053423A">
              <w:rPr>
                <w:lang w:val="hy-AM"/>
              </w:rPr>
              <w:t>հրատապ</w:t>
            </w:r>
            <w:r w:rsidRPr="0053423A">
              <w:rPr>
                <w:lang w:val="af-ZA"/>
              </w:rPr>
              <w:t xml:space="preserve"> </w:t>
            </w:r>
            <w:r w:rsidRPr="0053423A">
              <w:rPr>
                <w:lang w:val="hy-AM"/>
              </w:rPr>
              <w:t>հիմնախնդիրներից է, որը պահանջում է ժամանակակից պահանջներին և չափորոշիչներին համապատասխան լուծումներ</w:t>
            </w:r>
            <w:r w:rsidRPr="0053423A">
              <w:rPr>
                <w:lang w:val="af-ZA"/>
              </w:rPr>
              <w:t xml:space="preserve">: </w:t>
            </w:r>
            <w:r w:rsidRPr="0053423A">
              <w:rPr>
                <w:lang w:val="hy-AM"/>
              </w:rPr>
              <w:t>Հայաստանի</w:t>
            </w:r>
            <w:r w:rsidRPr="0053423A">
              <w:rPr>
                <w:lang w:val="af-ZA"/>
              </w:rPr>
              <w:t xml:space="preserve"> </w:t>
            </w:r>
            <w:r w:rsidRPr="0053423A">
              <w:rPr>
                <w:lang w:val="hy-AM"/>
              </w:rPr>
              <w:t>Հանրապետությունում</w:t>
            </w:r>
            <w:r w:rsidRPr="0053423A">
              <w:rPr>
                <w:lang w:val="af-ZA"/>
              </w:rPr>
              <w:t xml:space="preserve"> </w:t>
            </w:r>
            <w:r w:rsidRPr="0053423A">
              <w:rPr>
                <w:lang w:val="hy-AM"/>
              </w:rPr>
              <w:t>սննդամթերքի</w:t>
            </w:r>
            <w:r w:rsidRPr="0053423A">
              <w:rPr>
                <w:lang w:val="af-ZA"/>
              </w:rPr>
              <w:t xml:space="preserve"> </w:t>
            </w:r>
            <w:r w:rsidRPr="0053423A">
              <w:rPr>
                <w:lang w:val="hy-AM"/>
              </w:rPr>
              <w:t>անվտանգության</w:t>
            </w:r>
            <w:r w:rsidRPr="0053423A">
              <w:rPr>
                <w:lang w:val="af-ZA"/>
              </w:rPr>
              <w:t xml:space="preserve"> </w:t>
            </w:r>
            <w:r w:rsidRPr="0053423A">
              <w:rPr>
                <w:lang w:val="hy-AM"/>
              </w:rPr>
              <w:t>համա</w:t>
            </w:r>
            <w:r w:rsidRPr="0053423A">
              <w:rPr>
                <w:lang w:val="af-ZA"/>
              </w:rPr>
              <w:softHyphen/>
            </w:r>
            <w:r w:rsidRPr="0053423A">
              <w:rPr>
                <w:lang w:val="hy-AM"/>
              </w:rPr>
              <w:t>կարգը</w:t>
            </w:r>
            <w:r w:rsidRPr="0053423A">
              <w:rPr>
                <w:lang w:val="af-ZA"/>
              </w:rPr>
              <w:t xml:space="preserve"> </w:t>
            </w:r>
            <w:r w:rsidRPr="0053423A">
              <w:rPr>
                <w:lang w:val="hy-AM"/>
              </w:rPr>
              <w:t>դեռևս</w:t>
            </w:r>
            <w:r w:rsidRPr="0053423A">
              <w:rPr>
                <w:lang w:val="af-ZA"/>
              </w:rPr>
              <w:t xml:space="preserve"> </w:t>
            </w:r>
            <w:r w:rsidRPr="0053423A">
              <w:rPr>
                <w:lang w:val="hy-AM"/>
              </w:rPr>
              <w:t>լիարժեք</w:t>
            </w:r>
            <w:r w:rsidRPr="0053423A">
              <w:rPr>
                <w:lang w:val="af-ZA"/>
              </w:rPr>
              <w:t xml:space="preserve"> </w:t>
            </w:r>
            <w:r w:rsidRPr="0053423A">
              <w:rPr>
                <w:lang w:val="hy-AM"/>
              </w:rPr>
              <w:t>չի</w:t>
            </w:r>
            <w:r w:rsidRPr="0053423A">
              <w:rPr>
                <w:lang w:val="af-ZA"/>
              </w:rPr>
              <w:t xml:space="preserve"> </w:t>
            </w:r>
            <w:r w:rsidRPr="0053423A">
              <w:rPr>
                <w:lang w:val="hy-AM"/>
              </w:rPr>
              <w:t>երաշխավորում</w:t>
            </w:r>
            <w:r w:rsidRPr="0053423A">
              <w:rPr>
                <w:lang w:val="af-ZA"/>
              </w:rPr>
              <w:t xml:space="preserve"> </w:t>
            </w:r>
            <w:r w:rsidRPr="0053423A">
              <w:rPr>
                <w:lang w:val="hy-AM"/>
              </w:rPr>
              <w:t>սպառողներին</w:t>
            </w:r>
            <w:r w:rsidRPr="0053423A">
              <w:rPr>
                <w:lang w:val="af-ZA"/>
              </w:rPr>
              <w:t xml:space="preserve"> </w:t>
            </w:r>
            <w:r w:rsidRPr="0053423A">
              <w:rPr>
                <w:lang w:val="hy-AM"/>
              </w:rPr>
              <w:t>անվտանգ</w:t>
            </w:r>
            <w:r w:rsidRPr="0053423A">
              <w:rPr>
                <w:lang w:val="af-ZA"/>
              </w:rPr>
              <w:t xml:space="preserve"> </w:t>
            </w:r>
            <w:r w:rsidRPr="0053423A">
              <w:rPr>
                <w:lang w:val="hy-AM"/>
              </w:rPr>
              <w:t>և</w:t>
            </w:r>
            <w:r w:rsidRPr="0053423A">
              <w:rPr>
                <w:lang w:val="af-ZA"/>
              </w:rPr>
              <w:t xml:space="preserve"> </w:t>
            </w:r>
            <w:r w:rsidRPr="0053423A">
              <w:rPr>
                <w:lang w:val="hy-AM"/>
              </w:rPr>
              <w:t>որակյալ</w:t>
            </w:r>
            <w:r w:rsidRPr="0053423A">
              <w:rPr>
                <w:lang w:val="af-ZA"/>
              </w:rPr>
              <w:t xml:space="preserve"> </w:t>
            </w:r>
            <w:r w:rsidRPr="0053423A">
              <w:rPr>
                <w:lang w:val="hy-AM"/>
              </w:rPr>
              <w:t>սննդամթերքով</w:t>
            </w:r>
            <w:r w:rsidRPr="0053423A">
              <w:rPr>
                <w:lang w:val="af-ZA"/>
              </w:rPr>
              <w:t xml:space="preserve"> </w:t>
            </w:r>
            <w:r w:rsidRPr="0053423A">
              <w:rPr>
                <w:lang w:val="hy-AM"/>
              </w:rPr>
              <w:t>ապահովումը</w:t>
            </w:r>
            <w:r w:rsidRPr="0053423A">
              <w:rPr>
                <w:lang w:val="af-ZA"/>
              </w:rPr>
              <w:t xml:space="preserve">, </w:t>
            </w:r>
            <w:r w:rsidRPr="0053423A">
              <w:rPr>
                <w:lang w:val="hy-AM"/>
              </w:rPr>
              <w:t>ինչպես</w:t>
            </w:r>
            <w:r w:rsidRPr="0053423A">
              <w:rPr>
                <w:lang w:val="af-ZA"/>
              </w:rPr>
              <w:t xml:space="preserve"> </w:t>
            </w:r>
            <w:r w:rsidRPr="0053423A">
              <w:rPr>
                <w:lang w:val="hy-AM"/>
              </w:rPr>
              <w:t>նաև</w:t>
            </w:r>
            <w:r w:rsidRPr="0053423A">
              <w:rPr>
                <w:lang w:val="af-ZA"/>
              </w:rPr>
              <w:t xml:space="preserve"> </w:t>
            </w:r>
            <w:r w:rsidRPr="0053423A">
              <w:rPr>
                <w:lang w:val="hy-AM"/>
              </w:rPr>
              <w:t>տեղական</w:t>
            </w:r>
            <w:r w:rsidRPr="0053423A">
              <w:rPr>
                <w:lang w:val="af-ZA"/>
              </w:rPr>
              <w:t xml:space="preserve"> </w:t>
            </w:r>
            <w:r w:rsidRPr="0053423A">
              <w:rPr>
                <w:lang w:val="hy-AM"/>
              </w:rPr>
              <w:t>արտադրության</w:t>
            </w:r>
            <w:r w:rsidRPr="0053423A">
              <w:rPr>
                <w:lang w:val="af-ZA"/>
              </w:rPr>
              <w:t xml:space="preserve"> </w:t>
            </w:r>
            <w:r w:rsidRPr="0053423A">
              <w:rPr>
                <w:lang w:val="hy-AM"/>
              </w:rPr>
              <w:t>սննդամթերքի</w:t>
            </w:r>
            <w:r w:rsidRPr="0053423A">
              <w:rPr>
                <w:lang w:val="af-ZA"/>
              </w:rPr>
              <w:t xml:space="preserve"> </w:t>
            </w:r>
            <w:r w:rsidRPr="0053423A">
              <w:rPr>
                <w:lang w:val="hy-AM"/>
              </w:rPr>
              <w:t>մրցունակության</w:t>
            </w:r>
            <w:r w:rsidRPr="0053423A">
              <w:rPr>
                <w:lang w:val="af-ZA"/>
              </w:rPr>
              <w:t xml:space="preserve"> </w:t>
            </w:r>
            <w:r w:rsidRPr="0053423A">
              <w:rPr>
                <w:lang w:val="hy-AM"/>
              </w:rPr>
              <w:t>բարձրացումն</w:t>
            </w:r>
            <w:r w:rsidRPr="0053423A">
              <w:rPr>
                <w:lang w:val="af-ZA"/>
              </w:rPr>
              <w:t xml:space="preserve"> </w:t>
            </w:r>
            <w:r w:rsidRPr="0053423A">
              <w:rPr>
                <w:lang w:val="hy-AM"/>
              </w:rPr>
              <w:t>արտաքին</w:t>
            </w:r>
            <w:r w:rsidRPr="0053423A">
              <w:rPr>
                <w:lang w:val="af-ZA"/>
              </w:rPr>
              <w:t xml:space="preserve"> </w:t>
            </w:r>
            <w:r w:rsidRPr="0053423A">
              <w:rPr>
                <w:lang w:val="hy-AM"/>
              </w:rPr>
              <w:t>և</w:t>
            </w:r>
            <w:r w:rsidRPr="0053423A">
              <w:rPr>
                <w:lang w:val="af-ZA"/>
              </w:rPr>
              <w:t xml:space="preserve"> </w:t>
            </w:r>
            <w:r w:rsidRPr="0053423A">
              <w:rPr>
                <w:lang w:val="hy-AM"/>
              </w:rPr>
              <w:t>ներքին</w:t>
            </w:r>
            <w:r w:rsidRPr="0053423A">
              <w:rPr>
                <w:lang w:val="af-ZA"/>
              </w:rPr>
              <w:t xml:space="preserve"> </w:t>
            </w:r>
            <w:r w:rsidRPr="0053423A">
              <w:rPr>
                <w:lang w:val="hy-AM"/>
              </w:rPr>
              <w:t>շուկաներում</w:t>
            </w:r>
            <w:r w:rsidRPr="0053423A">
              <w:rPr>
                <w:lang w:val="af-ZA"/>
              </w:rPr>
              <w:t>:</w:t>
            </w:r>
          </w:p>
          <w:p w:rsidR="00530B14" w:rsidRPr="0053423A" w:rsidRDefault="00530B14" w:rsidP="00A67858">
            <w:pPr>
              <w:shd w:val="clear" w:color="auto" w:fill="FFFFFF"/>
              <w:spacing w:line="276" w:lineRule="auto"/>
              <w:ind w:right="141" w:firstLine="426"/>
              <w:jc w:val="both"/>
              <w:rPr>
                <w:lang w:val="hy-AM"/>
              </w:rPr>
            </w:pPr>
            <w:r w:rsidRPr="0053423A">
              <w:rPr>
                <w:lang w:val="hy-AM"/>
              </w:rPr>
              <w:tab/>
              <w:t xml:space="preserve">Ներկայումս </w:t>
            </w:r>
            <w:r w:rsidRPr="0053423A">
              <w:rPr>
                <w:rFonts w:cs="Sylfaen"/>
                <w:lang w:val="hy-AM"/>
              </w:rPr>
              <w:t>Հայաստանի</w:t>
            </w:r>
            <w:r w:rsidRPr="0053423A">
              <w:rPr>
                <w:lang w:val="hy-AM"/>
              </w:rPr>
              <w:t xml:space="preserve"> Հանրապետությունում սննդամթերքի անվտանգու</w:t>
            </w:r>
            <w:r w:rsidRPr="0053423A">
              <w:rPr>
                <w:lang w:val="hy-AM"/>
              </w:rPr>
              <w:softHyphen/>
              <w:t>թյան ոլորտի Եվրասիական տնտեսական միության (Մաքսային միության) հանձնա</w:t>
            </w:r>
            <w:r w:rsidRPr="0053423A">
              <w:rPr>
                <w:lang w:val="hy-AM"/>
              </w:rPr>
              <w:softHyphen/>
              <w:t>ժողովի</w:t>
            </w:r>
            <w:r w:rsidRPr="0053423A">
              <w:rPr>
                <w:rFonts w:ascii="Calibri" w:hAnsi="Calibri" w:cs="Calibri"/>
                <w:lang w:val="hy-AM"/>
              </w:rPr>
              <w:t> </w:t>
            </w:r>
            <w:r w:rsidRPr="0053423A">
              <w:rPr>
                <w:lang w:val="hy-AM"/>
              </w:rPr>
              <w:t xml:space="preserve"> </w:t>
            </w:r>
            <w:r w:rsidRPr="0053423A">
              <w:rPr>
                <w:rFonts w:cs="GHEA Grapalat"/>
                <w:lang w:val="hy-AM"/>
              </w:rPr>
              <w:t>իրավական</w:t>
            </w:r>
            <w:r w:rsidRPr="0053423A">
              <w:rPr>
                <w:lang w:val="hy-AM"/>
              </w:rPr>
              <w:t xml:space="preserve"> </w:t>
            </w:r>
            <w:r w:rsidRPr="0053423A">
              <w:rPr>
                <w:rFonts w:cs="GHEA Grapalat"/>
                <w:lang w:val="hy-AM"/>
              </w:rPr>
              <w:t>բնույթի</w:t>
            </w:r>
            <w:r w:rsidRPr="0053423A">
              <w:rPr>
                <w:lang w:val="hy-AM"/>
              </w:rPr>
              <w:t xml:space="preserve"> </w:t>
            </w:r>
            <w:r w:rsidRPr="0053423A">
              <w:rPr>
                <w:rFonts w:cs="GHEA Grapalat"/>
                <w:lang w:val="hy-AM"/>
              </w:rPr>
              <w:t>նորմատիվ</w:t>
            </w:r>
            <w:r w:rsidRPr="0053423A">
              <w:rPr>
                <w:lang w:val="hy-AM"/>
              </w:rPr>
              <w:t xml:space="preserve"> </w:t>
            </w:r>
            <w:r w:rsidRPr="0053423A">
              <w:rPr>
                <w:rFonts w:cs="GHEA Grapalat"/>
                <w:lang w:val="hy-AM"/>
              </w:rPr>
              <w:t>իրավական</w:t>
            </w:r>
            <w:r w:rsidRPr="0053423A">
              <w:rPr>
                <w:lang w:val="hy-AM"/>
              </w:rPr>
              <w:t xml:space="preserve"> </w:t>
            </w:r>
            <w:r w:rsidRPr="0053423A">
              <w:rPr>
                <w:rFonts w:cs="GHEA Grapalat"/>
                <w:lang w:val="hy-AM"/>
              </w:rPr>
              <w:t>ակտերը</w:t>
            </w:r>
            <w:r w:rsidRPr="0053423A">
              <w:rPr>
                <w:lang w:val="hy-AM"/>
              </w:rPr>
              <w:t xml:space="preserve"> </w:t>
            </w:r>
            <w:r w:rsidRPr="0053423A">
              <w:rPr>
                <w:rFonts w:cs="Sylfaen"/>
                <w:lang w:val="hy-AM"/>
              </w:rPr>
              <w:t>Հայաստանի Հանրա</w:t>
            </w:r>
            <w:r w:rsidRPr="0053423A">
              <w:rPr>
                <w:rFonts w:cs="Sylfaen"/>
                <w:lang w:val="hy-AM"/>
              </w:rPr>
              <w:softHyphen/>
              <w:t>պետությունում գործողության մեջ դնելու</w:t>
            </w:r>
            <w:r w:rsidRPr="0053423A">
              <w:rPr>
                <w:shd w:val="clear" w:color="auto" w:fill="FFFFFF"/>
                <w:lang w:val="hy-AM"/>
              </w:rPr>
              <w:t xml:space="preserve"> </w:t>
            </w:r>
            <w:r w:rsidRPr="0053423A">
              <w:rPr>
                <w:lang w:val="hy-AM"/>
              </w:rPr>
              <w:t>նպատակով, անհրաժեշտ է, որ ՀՀ կառա</w:t>
            </w:r>
            <w:r w:rsidRPr="0053423A">
              <w:rPr>
                <w:lang w:val="hy-AM"/>
              </w:rPr>
              <w:softHyphen/>
              <w:t>վարությունը նորմատիվ իրավական ակտերով գործողության մեջ դնի այդ ակտերը, միաժամանակ ուժը կորցրած ճանաչելով ՀՀ կառավարության համապատասխան իրավական ակտերը։</w:t>
            </w:r>
          </w:p>
          <w:p w:rsidR="00530B14" w:rsidRPr="0053423A" w:rsidRDefault="00530B14" w:rsidP="00A67858">
            <w:pPr>
              <w:numPr>
                <w:ilvl w:val="1"/>
                <w:numId w:val="102"/>
              </w:numPr>
              <w:tabs>
                <w:tab w:val="left" w:pos="900"/>
              </w:tabs>
              <w:spacing w:line="276" w:lineRule="auto"/>
              <w:contextualSpacing/>
              <w:rPr>
                <w:rFonts w:eastAsia="Calibri" w:cs="Sylfaen"/>
                <w:b/>
                <w:bCs/>
                <w:lang w:val="hy-AM"/>
              </w:rPr>
            </w:pPr>
            <w:r w:rsidRPr="0053423A">
              <w:rPr>
                <w:rFonts w:eastAsia="Calibri" w:cs="Sylfaen"/>
                <w:b/>
                <w:bCs/>
                <w:lang w:val="hy-AM"/>
              </w:rPr>
              <w:t xml:space="preserve"> Առկա խնդիրների առաջարկվող լուծումները</w:t>
            </w:r>
          </w:p>
          <w:p w:rsidR="00530B14" w:rsidRPr="0053423A" w:rsidRDefault="00530B14" w:rsidP="00A67858">
            <w:pPr>
              <w:tabs>
                <w:tab w:val="left" w:pos="900"/>
              </w:tabs>
              <w:spacing w:line="276" w:lineRule="auto"/>
              <w:ind w:firstLine="720"/>
              <w:jc w:val="both"/>
              <w:rPr>
                <w:rFonts w:eastAsia="Calibri" w:cs="Sylfaen"/>
                <w:bCs/>
                <w:lang w:val="hy-AM"/>
              </w:rPr>
            </w:pPr>
            <w:r w:rsidRPr="0053423A">
              <w:rPr>
                <w:rFonts w:eastAsia="Calibri" w:cs="Sylfaen"/>
                <w:bCs/>
                <w:lang w:val="hy-AM"/>
              </w:rPr>
              <w:t xml:space="preserve">Միջոցառման շրջանակներում նախատեսվում է </w:t>
            </w:r>
            <w:r w:rsidRPr="0053423A">
              <w:rPr>
                <w:rFonts w:eastAsia="Calibri" w:cs="Sylfaen"/>
                <w:lang w:val="hy-AM"/>
              </w:rPr>
              <w:t>ՀՀ կառավարություն ներ</w:t>
            </w:r>
            <w:r w:rsidRPr="0053423A">
              <w:rPr>
                <w:rFonts w:eastAsia="Calibri" w:cs="Sylfaen"/>
                <w:lang w:val="hy-AM"/>
              </w:rPr>
              <w:softHyphen/>
              <w:t>կայացնել</w:t>
            </w:r>
            <w:r w:rsidRPr="0053423A">
              <w:rPr>
                <w:rFonts w:eastAsia="Calibri" w:cs="Sylfaen"/>
                <w:b/>
                <w:lang w:val="hy-AM"/>
              </w:rPr>
              <w:t xml:space="preserve"> </w:t>
            </w:r>
            <w:r w:rsidRPr="0053423A">
              <w:rPr>
                <w:rFonts w:eastAsia="Calibri" w:cs="Sylfaen"/>
                <w:bCs/>
                <w:lang w:val="hy-AM"/>
              </w:rPr>
              <w:t>սանիտարական, անասնաբուժասանիտարական և բուսասանիտարական ոլորտների Եվրասիական տնտեսական միության (Մաքսային միության) հանձնաժո</w:t>
            </w:r>
            <w:r w:rsidRPr="0053423A">
              <w:rPr>
                <w:rFonts w:eastAsia="Calibri" w:cs="Sylfaen"/>
                <w:bCs/>
                <w:lang w:val="hy-AM"/>
              </w:rPr>
              <w:softHyphen/>
              <w:t>ղովի</w:t>
            </w:r>
            <w:r w:rsidRPr="0053423A">
              <w:rPr>
                <w:rFonts w:ascii="Calibri" w:eastAsia="Calibri" w:hAnsi="Calibri" w:cs="Calibri"/>
                <w:bCs/>
                <w:lang w:val="hy-AM"/>
              </w:rPr>
              <w:t> </w:t>
            </w:r>
            <w:r w:rsidRPr="0053423A">
              <w:rPr>
                <w:rFonts w:eastAsia="Calibri" w:cs="Sylfaen"/>
                <w:bCs/>
                <w:lang w:val="hy-AM"/>
              </w:rPr>
              <w:t xml:space="preserve"> իրավական բնույթի մի շարք նորմատիվ իրավական ակտեր՝ ՀՀ կառավա</w:t>
            </w:r>
            <w:r w:rsidRPr="0053423A">
              <w:rPr>
                <w:rFonts w:eastAsia="Calibri" w:cs="Sylfaen"/>
                <w:bCs/>
                <w:lang w:val="hy-AM"/>
              </w:rPr>
              <w:softHyphen/>
              <w:t>րության նորմատիվ իրավական ակտերով գործողության մեջ դնելու նպատակով, միաժամանակ առաջարկելով ուժը կորցրած ճանաչել ՀՀ կառավարության համա</w:t>
            </w:r>
            <w:r w:rsidRPr="0053423A">
              <w:rPr>
                <w:rFonts w:eastAsia="Calibri" w:cs="Sylfaen"/>
                <w:bCs/>
                <w:lang w:val="hy-AM"/>
              </w:rPr>
              <w:softHyphen/>
              <w:t>պատասխան իրավական ակտերը։</w:t>
            </w:r>
          </w:p>
          <w:p w:rsidR="00530B14" w:rsidRPr="0053423A" w:rsidRDefault="00530B14" w:rsidP="00A67858">
            <w:pPr>
              <w:tabs>
                <w:tab w:val="left" w:pos="900"/>
              </w:tabs>
              <w:spacing w:line="276" w:lineRule="auto"/>
              <w:ind w:firstLine="720"/>
              <w:jc w:val="both"/>
              <w:rPr>
                <w:rFonts w:eastAsia="Calibri"/>
                <w:lang w:val="af-ZA"/>
              </w:rPr>
            </w:pPr>
            <w:r w:rsidRPr="0053423A">
              <w:rPr>
                <w:rFonts w:eastAsia="Calibri" w:cs="Sylfaen"/>
                <w:b/>
                <w:bCs/>
                <w:lang w:val="hy-AM"/>
              </w:rPr>
              <w:t xml:space="preserve">2. </w:t>
            </w:r>
            <w:r w:rsidRPr="0053423A">
              <w:rPr>
                <w:b/>
                <w:lang w:val="hy-AM"/>
              </w:rPr>
              <w:t>Միջոցառման իրականացումից ակնկալվող արդյունքը</w:t>
            </w:r>
            <w:r w:rsidRPr="0053423A">
              <w:rPr>
                <w:rFonts w:eastAsia="Calibri"/>
                <w:lang w:val="af-ZA"/>
              </w:rPr>
              <w:t xml:space="preserve"> </w:t>
            </w:r>
          </w:p>
          <w:p w:rsidR="00530B14" w:rsidRPr="0053423A" w:rsidRDefault="00530B14" w:rsidP="00A67858">
            <w:pPr>
              <w:tabs>
                <w:tab w:val="left" w:pos="0"/>
                <w:tab w:val="left" w:pos="10490"/>
              </w:tabs>
              <w:spacing w:line="276" w:lineRule="auto"/>
              <w:ind w:right="91" w:firstLine="426"/>
              <w:jc w:val="both"/>
              <w:rPr>
                <w:lang w:val="hy-AM"/>
              </w:rPr>
            </w:pPr>
            <w:r w:rsidRPr="0053423A">
              <w:rPr>
                <w:lang w:val="hy-AM"/>
              </w:rPr>
              <w:t>Հայաստանի</w:t>
            </w:r>
            <w:r w:rsidRPr="0053423A">
              <w:rPr>
                <w:lang w:val="af-ZA"/>
              </w:rPr>
              <w:t xml:space="preserve"> </w:t>
            </w:r>
            <w:r w:rsidRPr="0053423A">
              <w:rPr>
                <w:lang w:val="hy-AM"/>
              </w:rPr>
              <w:t>Հանրապետությունում սննդամթերքի անվտանգությունն ապահովող կատարելագործված համակարգի ստեղծում</w:t>
            </w:r>
            <w:r w:rsidRPr="0053423A">
              <w:rPr>
                <w:lang w:val="af-ZA"/>
              </w:rPr>
              <w:t xml:space="preserve">, </w:t>
            </w:r>
            <w:r w:rsidRPr="0053423A">
              <w:rPr>
                <w:lang w:val="hy-AM"/>
              </w:rPr>
              <w:t>սպառողներին</w:t>
            </w:r>
            <w:r w:rsidRPr="0053423A">
              <w:rPr>
                <w:lang w:val="af-ZA"/>
              </w:rPr>
              <w:t xml:space="preserve"> </w:t>
            </w:r>
            <w:r w:rsidRPr="0053423A">
              <w:rPr>
                <w:lang w:val="hy-AM"/>
              </w:rPr>
              <w:t>անվտանգ</w:t>
            </w:r>
            <w:r w:rsidRPr="0053423A">
              <w:rPr>
                <w:lang w:val="af-ZA"/>
              </w:rPr>
              <w:t xml:space="preserve"> </w:t>
            </w:r>
            <w:r w:rsidRPr="0053423A">
              <w:rPr>
                <w:lang w:val="hy-AM"/>
              </w:rPr>
              <w:t>և</w:t>
            </w:r>
            <w:r w:rsidRPr="0053423A">
              <w:rPr>
                <w:lang w:val="af-ZA"/>
              </w:rPr>
              <w:t xml:space="preserve"> </w:t>
            </w:r>
            <w:r w:rsidRPr="0053423A">
              <w:rPr>
                <w:lang w:val="hy-AM"/>
              </w:rPr>
              <w:t>որակյալ</w:t>
            </w:r>
            <w:r w:rsidRPr="0053423A">
              <w:rPr>
                <w:lang w:val="af-ZA"/>
              </w:rPr>
              <w:t xml:space="preserve"> </w:t>
            </w:r>
            <w:r w:rsidRPr="0053423A">
              <w:rPr>
                <w:lang w:val="hy-AM"/>
              </w:rPr>
              <w:t>սննդամթերքի</w:t>
            </w:r>
            <w:r w:rsidRPr="0053423A">
              <w:rPr>
                <w:lang w:val="af-ZA"/>
              </w:rPr>
              <w:t xml:space="preserve"> </w:t>
            </w:r>
            <w:r w:rsidRPr="0053423A">
              <w:rPr>
                <w:lang w:val="hy-AM"/>
              </w:rPr>
              <w:t>ապահովում</w:t>
            </w:r>
            <w:r w:rsidRPr="0053423A">
              <w:rPr>
                <w:lang w:val="af-ZA"/>
              </w:rPr>
              <w:t xml:space="preserve">, </w:t>
            </w:r>
            <w:r w:rsidRPr="0053423A">
              <w:rPr>
                <w:lang w:val="hy-AM"/>
              </w:rPr>
              <w:t>ինչպես</w:t>
            </w:r>
            <w:r w:rsidRPr="0053423A">
              <w:rPr>
                <w:lang w:val="af-ZA"/>
              </w:rPr>
              <w:t xml:space="preserve"> </w:t>
            </w:r>
            <w:r w:rsidRPr="0053423A">
              <w:rPr>
                <w:lang w:val="hy-AM"/>
              </w:rPr>
              <w:t>նաև</w:t>
            </w:r>
            <w:r w:rsidRPr="0053423A">
              <w:rPr>
                <w:lang w:val="af-ZA"/>
              </w:rPr>
              <w:t xml:space="preserve"> </w:t>
            </w:r>
            <w:r w:rsidRPr="0053423A">
              <w:rPr>
                <w:lang w:val="hy-AM"/>
              </w:rPr>
              <w:t>տեղական</w:t>
            </w:r>
            <w:r w:rsidRPr="0053423A">
              <w:rPr>
                <w:lang w:val="af-ZA"/>
              </w:rPr>
              <w:t xml:space="preserve"> </w:t>
            </w:r>
            <w:r w:rsidRPr="0053423A">
              <w:rPr>
                <w:lang w:val="hy-AM"/>
              </w:rPr>
              <w:t>արտադրության</w:t>
            </w:r>
            <w:r w:rsidRPr="0053423A">
              <w:rPr>
                <w:lang w:val="af-ZA"/>
              </w:rPr>
              <w:t xml:space="preserve"> </w:t>
            </w:r>
            <w:r w:rsidRPr="0053423A">
              <w:rPr>
                <w:lang w:val="hy-AM"/>
              </w:rPr>
              <w:t>սննդամթերքի</w:t>
            </w:r>
            <w:r w:rsidRPr="0053423A">
              <w:rPr>
                <w:lang w:val="af-ZA"/>
              </w:rPr>
              <w:t xml:space="preserve"> </w:t>
            </w:r>
            <w:r w:rsidRPr="0053423A">
              <w:rPr>
                <w:lang w:val="hy-AM"/>
              </w:rPr>
              <w:t>մրցունակության</w:t>
            </w:r>
            <w:r w:rsidRPr="0053423A">
              <w:rPr>
                <w:lang w:val="af-ZA"/>
              </w:rPr>
              <w:t xml:space="preserve"> </w:t>
            </w:r>
            <w:r w:rsidRPr="0053423A">
              <w:rPr>
                <w:lang w:val="hy-AM"/>
              </w:rPr>
              <w:t>բարձրացում</w:t>
            </w:r>
            <w:r w:rsidRPr="0053423A">
              <w:rPr>
                <w:lang w:val="af-ZA"/>
              </w:rPr>
              <w:t xml:space="preserve"> </w:t>
            </w:r>
            <w:r w:rsidRPr="0053423A">
              <w:rPr>
                <w:lang w:val="hy-AM"/>
              </w:rPr>
              <w:t>արտաքին</w:t>
            </w:r>
            <w:r w:rsidRPr="0053423A">
              <w:rPr>
                <w:lang w:val="af-ZA"/>
              </w:rPr>
              <w:t xml:space="preserve"> </w:t>
            </w:r>
            <w:r w:rsidRPr="0053423A">
              <w:rPr>
                <w:lang w:val="hy-AM"/>
              </w:rPr>
              <w:t>և</w:t>
            </w:r>
            <w:r w:rsidRPr="0053423A">
              <w:rPr>
                <w:lang w:val="af-ZA"/>
              </w:rPr>
              <w:t xml:space="preserve"> </w:t>
            </w:r>
            <w:r w:rsidRPr="0053423A">
              <w:rPr>
                <w:lang w:val="hy-AM"/>
              </w:rPr>
              <w:t>ներքին</w:t>
            </w:r>
            <w:r w:rsidRPr="0053423A">
              <w:rPr>
                <w:lang w:val="af-ZA"/>
              </w:rPr>
              <w:t xml:space="preserve"> </w:t>
            </w:r>
            <w:r w:rsidRPr="0053423A">
              <w:rPr>
                <w:lang w:val="hy-AM"/>
              </w:rPr>
              <w:t>շուկաներում</w:t>
            </w:r>
            <w:r w:rsidRPr="0053423A">
              <w:rPr>
                <w:lang w:val="af-ZA"/>
              </w:rPr>
              <w:t xml:space="preserve">` </w:t>
            </w:r>
            <w:r w:rsidRPr="0053423A">
              <w:rPr>
                <w:lang w:val="hy-AM"/>
              </w:rPr>
              <w:t>Հայաստանի</w:t>
            </w:r>
            <w:r w:rsidRPr="0053423A">
              <w:rPr>
                <w:lang w:val="af-ZA"/>
              </w:rPr>
              <w:t xml:space="preserve"> </w:t>
            </w:r>
            <w:r w:rsidRPr="0053423A">
              <w:rPr>
                <w:lang w:val="hy-AM"/>
              </w:rPr>
              <w:t>Հան</w:t>
            </w:r>
            <w:r w:rsidRPr="0053423A">
              <w:rPr>
                <w:lang w:val="hy-AM"/>
              </w:rPr>
              <w:softHyphen/>
              <w:t>րապետությունում</w:t>
            </w:r>
            <w:r w:rsidRPr="0053423A">
              <w:rPr>
                <w:lang w:val="af-ZA"/>
              </w:rPr>
              <w:t xml:space="preserve"> </w:t>
            </w:r>
            <w:r w:rsidRPr="0053423A">
              <w:rPr>
                <w:lang w:val="hy-AM"/>
              </w:rPr>
              <w:t>սննդամթերքի</w:t>
            </w:r>
            <w:r w:rsidRPr="0053423A">
              <w:rPr>
                <w:lang w:val="af-ZA"/>
              </w:rPr>
              <w:t xml:space="preserve"> </w:t>
            </w:r>
            <w:r w:rsidRPr="0053423A">
              <w:rPr>
                <w:lang w:val="hy-AM"/>
              </w:rPr>
              <w:t>անվտանգության</w:t>
            </w:r>
            <w:r w:rsidRPr="0053423A">
              <w:rPr>
                <w:lang w:val="af-ZA"/>
              </w:rPr>
              <w:t xml:space="preserve"> </w:t>
            </w:r>
            <w:r w:rsidRPr="0053423A">
              <w:rPr>
                <w:lang w:val="hy-AM"/>
              </w:rPr>
              <w:t>բնագավառին</w:t>
            </w:r>
            <w:r w:rsidRPr="0053423A">
              <w:rPr>
                <w:lang w:val="af-ZA"/>
              </w:rPr>
              <w:t xml:space="preserve"> </w:t>
            </w:r>
            <w:r w:rsidRPr="0053423A">
              <w:rPr>
                <w:lang w:val="hy-AM"/>
              </w:rPr>
              <w:t>առնչվող</w:t>
            </w:r>
            <w:r w:rsidRPr="0053423A">
              <w:rPr>
                <w:lang w:val="af-ZA"/>
              </w:rPr>
              <w:t xml:space="preserve"> </w:t>
            </w:r>
            <w:r w:rsidRPr="0053423A">
              <w:rPr>
                <w:lang w:val="hy-AM"/>
              </w:rPr>
              <w:t>օրենսդ</w:t>
            </w:r>
            <w:r w:rsidRPr="0053423A">
              <w:rPr>
                <w:lang w:val="af-ZA"/>
              </w:rPr>
              <w:softHyphen/>
            </w:r>
            <w:r w:rsidRPr="0053423A">
              <w:rPr>
                <w:lang w:val="hy-AM"/>
              </w:rPr>
              <w:t>րական</w:t>
            </w:r>
            <w:r w:rsidRPr="0053423A">
              <w:rPr>
                <w:lang w:val="af-ZA"/>
              </w:rPr>
              <w:t xml:space="preserve"> </w:t>
            </w:r>
            <w:r w:rsidRPr="0053423A">
              <w:rPr>
                <w:lang w:val="hy-AM"/>
              </w:rPr>
              <w:t>դաշտի</w:t>
            </w:r>
            <w:r w:rsidRPr="0053423A">
              <w:rPr>
                <w:lang w:val="af-ZA"/>
              </w:rPr>
              <w:t xml:space="preserve"> </w:t>
            </w:r>
            <w:r w:rsidRPr="0053423A">
              <w:rPr>
                <w:lang w:val="hy-AM"/>
              </w:rPr>
              <w:t>կատարելագործմամբ</w:t>
            </w:r>
            <w:r w:rsidRPr="0053423A">
              <w:rPr>
                <w:lang w:val="af-ZA"/>
              </w:rPr>
              <w:t xml:space="preserve"> </w:t>
            </w:r>
            <w:r w:rsidRPr="0053423A">
              <w:rPr>
                <w:lang w:val="hy-AM"/>
              </w:rPr>
              <w:t>և</w:t>
            </w:r>
            <w:r w:rsidRPr="0053423A">
              <w:rPr>
                <w:lang w:val="af-ZA"/>
              </w:rPr>
              <w:t xml:space="preserve"> </w:t>
            </w:r>
            <w:r w:rsidRPr="0053423A">
              <w:rPr>
                <w:lang w:val="hy-AM"/>
              </w:rPr>
              <w:t>համապատասխանեցմամբ</w:t>
            </w:r>
            <w:r w:rsidRPr="0053423A">
              <w:rPr>
                <w:lang w:val="af-ZA"/>
              </w:rPr>
              <w:t xml:space="preserve"> </w:t>
            </w:r>
            <w:r w:rsidRPr="0053423A">
              <w:rPr>
                <w:lang w:val="hy-AM"/>
              </w:rPr>
              <w:t>ԵԱՏՄ</w:t>
            </w:r>
            <w:r w:rsidRPr="0053423A">
              <w:rPr>
                <w:lang w:val="af-ZA"/>
              </w:rPr>
              <w:t xml:space="preserve"> </w:t>
            </w:r>
            <w:r w:rsidRPr="0053423A">
              <w:rPr>
                <w:lang w:val="hy-AM"/>
              </w:rPr>
              <w:t>և</w:t>
            </w:r>
            <w:r w:rsidRPr="0053423A">
              <w:rPr>
                <w:lang w:val="af-ZA"/>
              </w:rPr>
              <w:t xml:space="preserve"> </w:t>
            </w:r>
            <w:r w:rsidRPr="0053423A">
              <w:rPr>
                <w:lang w:val="hy-AM"/>
              </w:rPr>
              <w:t>միջազ</w:t>
            </w:r>
            <w:r w:rsidRPr="0053423A">
              <w:rPr>
                <w:lang w:val="af-ZA"/>
              </w:rPr>
              <w:softHyphen/>
            </w:r>
            <w:r w:rsidRPr="0053423A">
              <w:rPr>
                <w:lang w:val="hy-AM"/>
              </w:rPr>
              <w:t>գային</w:t>
            </w:r>
            <w:r w:rsidRPr="0053423A">
              <w:rPr>
                <w:lang w:val="af-ZA"/>
              </w:rPr>
              <w:t xml:space="preserve"> </w:t>
            </w:r>
            <w:r w:rsidRPr="0053423A">
              <w:rPr>
                <w:lang w:val="hy-AM"/>
              </w:rPr>
              <w:t>պահանջներին</w:t>
            </w:r>
            <w:r w:rsidRPr="0053423A">
              <w:rPr>
                <w:rFonts w:cs="Sylfaen"/>
                <w:lang w:val="af-ZA"/>
              </w:rPr>
              <w:t>:</w:t>
            </w:r>
          </w:p>
          <w:p w:rsidR="00530B14" w:rsidRPr="0053423A" w:rsidRDefault="00530B14" w:rsidP="00A67858">
            <w:pPr>
              <w:spacing w:line="276" w:lineRule="auto"/>
              <w:jc w:val="center"/>
              <w:rPr>
                <w:b/>
                <w:lang w:val="hy-AM"/>
              </w:rPr>
            </w:pPr>
          </w:p>
        </w:tc>
      </w:tr>
      <w:tr w:rsidR="00530B14" w:rsidRPr="00DE2EFA" w:rsidTr="004440EB">
        <w:tc>
          <w:tcPr>
            <w:tcW w:w="480" w:type="dxa"/>
          </w:tcPr>
          <w:p w:rsidR="00530B14" w:rsidRPr="0053423A" w:rsidRDefault="00530B14" w:rsidP="00A67858">
            <w:pPr>
              <w:spacing w:line="276" w:lineRule="auto"/>
              <w:jc w:val="right"/>
              <w:rPr>
                <w:bCs/>
                <w:iCs/>
                <w:lang w:val="hy-AM"/>
              </w:rPr>
            </w:pPr>
            <w:r w:rsidRPr="0053423A">
              <w:rPr>
                <w:bCs/>
                <w:iCs/>
                <w:lang w:val="hy-AM"/>
              </w:rPr>
              <w:t>8</w:t>
            </w:r>
          </w:p>
        </w:tc>
        <w:tc>
          <w:tcPr>
            <w:tcW w:w="10879" w:type="dxa"/>
          </w:tcPr>
          <w:p w:rsidR="00530B14" w:rsidRPr="0053423A" w:rsidRDefault="00530B14" w:rsidP="00A67858">
            <w:pPr>
              <w:spacing w:line="276" w:lineRule="auto"/>
              <w:jc w:val="center"/>
              <w:rPr>
                <w:b/>
                <w:lang w:val="hy-AM"/>
              </w:rPr>
            </w:pPr>
            <w:r w:rsidRPr="0053423A">
              <w:rPr>
                <w:b/>
                <w:lang w:val="hy-AM"/>
              </w:rPr>
              <w:t>Տեղական սերմնաբու</w:t>
            </w:r>
            <w:r w:rsidRPr="0053423A">
              <w:rPr>
                <w:b/>
                <w:lang w:val="hy-AM"/>
              </w:rPr>
              <w:softHyphen/>
              <w:t>ծության և սերմարտադ</w:t>
            </w:r>
            <w:r w:rsidRPr="0053423A">
              <w:rPr>
                <w:b/>
                <w:lang w:val="hy-AM"/>
              </w:rPr>
              <w:softHyphen/>
              <w:t>րության, ինտենսիվ գյուղատնտեսության զարգացմանն ուղղված պետական աջակցու</w:t>
            </w:r>
            <w:r w:rsidRPr="0053423A">
              <w:rPr>
                <w:b/>
                <w:lang w:val="hy-AM"/>
              </w:rPr>
              <w:softHyphen/>
              <w:t>թյան ծրագրերի իրակա</w:t>
            </w:r>
            <w:r w:rsidRPr="0053423A">
              <w:rPr>
                <w:b/>
                <w:lang w:val="hy-AM"/>
              </w:rPr>
              <w:softHyphen/>
              <w:t>նացում</w:t>
            </w:r>
          </w:p>
          <w:p w:rsidR="00530B14" w:rsidRPr="0053423A" w:rsidRDefault="00530B14" w:rsidP="00A67858">
            <w:pPr>
              <w:spacing w:line="276" w:lineRule="auto"/>
              <w:jc w:val="center"/>
              <w:rPr>
                <w:b/>
                <w:lang w:val="hy-AM"/>
              </w:rPr>
            </w:pPr>
          </w:p>
          <w:p w:rsidR="00530B14" w:rsidRPr="0053423A" w:rsidRDefault="00530B14" w:rsidP="00A67858">
            <w:pPr>
              <w:spacing w:line="276" w:lineRule="auto"/>
              <w:jc w:val="center"/>
              <w:rPr>
                <w:rFonts w:cs="Sylfaen"/>
                <w:b/>
                <w:u w:val="single"/>
                <w:lang w:val="hy-AM"/>
              </w:rPr>
            </w:pPr>
            <w:r w:rsidRPr="0053423A">
              <w:rPr>
                <w:rFonts w:cs="Sylfaen"/>
                <w:b/>
                <w:u w:val="single"/>
                <w:lang w:val="hy-AM"/>
              </w:rPr>
              <w:t xml:space="preserve">8.1 </w:t>
            </w:r>
            <w:r w:rsidRPr="0053423A">
              <w:rPr>
                <w:b/>
                <w:u w:val="single"/>
                <w:lang w:val="hy-AM"/>
              </w:rPr>
              <w:t>«Հացահատիկային,</w:t>
            </w:r>
            <w:r w:rsidRPr="0053423A">
              <w:rPr>
                <w:b/>
                <w:u w:val="single"/>
                <w:lang w:val="af-ZA"/>
              </w:rPr>
              <w:t xml:space="preserve"> </w:t>
            </w:r>
            <w:r w:rsidRPr="0053423A">
              <w:rPr>
                <w:b/>
                <w:u w:val="single"/>
                <w:lang w:val="hy-AM"/>
              </w:rPr>
              <w:t>հատիկաընդեղեն</w:t>
            </w:r>
            <w:r w:rsidRPr="0053423A">
              <w:rPr>
                <w:b/>
                <w:u w:val="single"/>
                <w:lang w:val="af-ZA"/>
              </w:rPr>
              <w:t xml:space="preserve"> </w:t>
            </w:r>
            <w:r w:rsidRPr="0053423A">
              <w:rPr>
                <w:b/>
                <w:u w:val="single"/>
                <w:lang w:val="hy-AM"/>
              </w:rPr>
              <w:t>և կերային մշակաբույսերի</w:t>
            </w:r>
            <w:r w:rsidRPr="0053423A">
              <w:rPr>
                <w:b/>
                <w:u w:val="single"/>
                <w:lang w:val="af-ZA"/>
              </w:rPr>
              <w:t xml:space="preserve"> </w:t>
            </w:r>
            <w:r w:rsidRPr="0053423A">
              <w:rPr>
                <w:b/>
                <w:u w:val="single"/>
                <w:lang w:val="hy-AM"/>
              </w:rPr>
              <w:t>սերմնաբուծության</w:t>
            </w:r>
            <w:r w:rsidRPr="0053423A">
              <w:rPr>
                <w:b/>
                <w:u w:val="single"/>
                <w:lang w:val="af-ZA"/>
              </w:rPr>
              <w:t xml:space="preserve"> </w:t>
            </w:r>
            <w:r w:rsidRPr="0053423A">
              <w:rPr>
                <w:b/>
                <w:u w:val="single"/>
                <w:lang w:val="hy-AM"/>
              </w:rPr>
              <w:t xml:space="preserve">զարգացմանն աջակցություն» </w:t>
            </w:r>
            <w:r w:rsidRPr="0053423A">
              <w:rPr>
                <w:rFonts w:cs="Sylfaen"/>
                <w:b/>
                <w:u w:val="single"/>
                <w:lang w:val="hy-AM"/>
              </w:rPr>
              <w:t xml:space="preserve"> ծրագրի իրականացում</w:t>
            </w:r>
          </w:p>
          <w:p w:rsidR="00530B14" w:rsidRPr="0053423A" w:rsidRDefault="00530B14" w:rsidP="00A67858">
            <w:pPr>
              <w:spacing w:line="276" w:lineRule="auto"/>
              <w:jc w:val="center"/>
              <w:rPr>
                <w:b/>
                <w:u w:val="single"/>
                <w:lang w:val="hy-AM"/>
              </w:rPr>
            </w:pPr>
          </w:p>
          <w:p w:rsidR="00530B14" w:rsidRPr="0053423A" w:rsidRDefault="00530B14" w:rsidP="00A67858">
            <w:pPr>
              <w:spacing w:line="276" w:lineRule="auto"/>
              <w:jc w:val="center"/>
              <w:rPr>
                <w:rFonts w:cs="Tahoma"/>
                <w:b/>
                <w:lang w:val="hy-AM"/>
              </w:rPr>
            </w:pPr>
            <w:r w:rsidRPr="0053423A">
              <w:rPr>
                <w:b/>
                <w:lang w:val="hy-AM"/>
              </w:rPr>
              <w:t>1. Միջոցառման իրականացման անհրաժեշտությունը և նպատակը</w:t>
            </w:r>
          </w:p>
          <w:p w:rsidR="00530B14" w:rsidRPr="0053423A" w:rsidRDefault="00530B14" w:rsidP="00A67858">
            <w:pPr>
              <w:spacing w:line="276" w:lineRule="auto"/>
              <w:jc w:val="both"/>
              <w:rPr>
                <w:rFonts w:cs="Sylfaen"/>
                <w:lang w:val="hy-AM"/>
              </w:rPr>
            </w:pPr>
            <w:r w:rsidRPr="0053423A">
              <w:rPr>
                <w:rFonts w:cs="Sylfaen"/>
                <w:lang w:val="hy-AM"/>
              </w:rPr>
              <w:tab/>
              <w:t>«Հացահատիկային, հատիկաընդեղեն և կերային մշակաբույսերի սերմնաբուծու</w:t>
            </w:r>
            <w:r w:rsidRPr="0053423A">
              <w:rPr>
                <w:rFonts w:cs="Sylfaen"/>
                <w:lang w:val="hy-AM"/>
              </w:rPr>
              <w:softHyphen/>
              <w:t>թյան զարգացման աջակցություն» ծրագրի (այսուհետ՝ Ծրագիր) իրականացումը բխում է ՀՀ ԱԺ 2019 թվականի փետրվարի 14-ի ԱԺՈ-002-Ն որոշմամբ հավանության արժա</w:t>
            </w:r>
            <w:r w:rsidRPr="0053423A">
              <w:rPr>
                <w:rFonts w:cs="Sylfaen"/>
                <w:lang w:val="hy-AM"/>
              </w:rPr>
              <w:softHyphen/>
              <w:t xml:space="preserve">նացած ՀՀ կառավարության ծրագրից </w:t>
            </w:r>
            <w:r w:rsidRPr="0053423A">
              <w:rPr>
                <w:rFonts w:cs="Sylfaen"/>
                <w:lang w:val="af-ZA"/>
              </w:rPr>
              <w:t>(</w:t>
            </w:r>
            <w:r w:rsidRPr="0053423A">
              <w:rPr>
                <w:rFonts w:cs="Sylfaen"/>
                <w:lang w:val="hy-AM"/>
              </w:rPr>
              <w:t>5.10. Գյուղատնտեսությունը բաժին, 7-րդ պարբերու</w:t>
            </w:r>
            <w:r w:rsidRPr="0053423A">
              <w:rPr>
                <w:rFonts w:cs="Sylfaen"/>
                <w:lang w:val="hy-AM"/>
              </w:rPr>
              <w:softHyphen/>
              <w:t>թյան 4-րդ դրույթ):</w:t>
            </w:r>
          </w:p>
          <w:p w:rsidR="00530B14" w:rsidRPr="0053423A" w:rsidRDefault="00530B14" w:rsidP="00A67858">
            <w:pPr>
              <w:spacing w:line="276" w:lineRule="auto"/>
              <w:jc w:val="both"/>
              <w:rPr>
                <w:rFonts w:eastAsia="Calibri" w:cs="Tahoma"/>
                <w:spacing w:val="-2"/>
                <w:lang w:val="hy-AM"/>
              </w:rPr>
            </w:pPr>
            <w:r w:rsidRPr="0053423A">
              <w:rPr>
                <w:rFonts w:eastAsia="Calibri" w:cs="Tahoma"/>
                <w:spacing w:val="-2"/>
                <w:lang w:val="hy-AM"/>
              </w:rPr>
              <w:tab/>
              <w:t xml:space="preserve">Ծրագրի հիմնական  նպատակն է հացահատիկային, հատիկաընդեղեն և կերային որոշ մշակաբույսերի </w:t>
            </w:r>
            <w:r w:rsidRPr="0053423A">
              <w:rPr>
                <w:rFonts w:cs="Tahoma"/>
                <w:spacing w:val="-2"/>
                <w:lang w:val="hy-AM"/>
              </w:rPr>
              <w:t xml:space="preserve">տեղական արտադրության սերմացուների  ինքնաբավության մակարդակի ավելացումը ու բարձրորակ սերմացուի օգտագործմամբ մշակաբույսերի բերքատվության բարձրացումը, հետևաբար նաև գյուղատնտեսությամբ զբաղվող տնտեսավարող սուբյեկտների եկամուտների ավելացումը:   </w:t>
            </w:r>
          </w:p>
          <w:p w:rsidR="00530B14" w:rsidRPr="0053423A" w:rsidRDefault="00530B14" w:rsidP="00A67858">
            <w:pPr>
              <w:pStyle w:val="ListParagraph"/>
              <w:numPr>
                <w:ilvl w:val="1"/>
                <w:numId w:val="98"/>
              </w:numPr>
              <w:spacing w:line="276" w:lineRule="auto"/>
              <w:ind w:left="0"/>
              <w:jc w:val="both"/>
              <w:rPr>
                <w:lang w:val="hy-AM"/>
              </w:rPr>
            </w:pPr>
            <w:r w:rsidRPr="0053423A">
              <w:rPr>
                <w:rFonts w:cs="Sylfaen"/>
                <w:b/>
                <w:lang w:val="hy-AM"/>
              </w:rPr>
              <w:t>Կարգավորման</w:t>
            </w:r>
            <w:r w:rsidRPr="0053423A">
              <w:rPr>
                <w:b/>
                <w:lang w:val="hy-AM"/>
              </w:rPr>
              <w:t xml:space="preserve"> հարաբերությաւնների ներկա վիճակը և առկա խնդիրները </w:t>
            </w:r>
            <w:r w:rsidRPr="0053423A">
              <w:rPr>
                <w:rFonts w:cs="Sylfaen"/>
                <w:lang w:val="hy-AM"/>
              </w:rPr>
              <w:t xml:space="preserve"> </w:t>
            </w:r>
          </w:p>
          <w:p w:rsidR="00530B14" w:rsidRPr="0053423A" w:rsidRDefault="00530B14" w:rsidP="00A67858">
            <w:pPr>
              <w:widowControl w:val="0"/>
              <w:tabs>
                <w:tab w:val="left" w:pos="720"/>
              </w:tabs>
              <w:autoSpaceDE w:val="0"/>
              <w:autoSpaceDN w:val="0"/>
              <w:adjustRightInd w:val="0"/>
              <w:spacing w:line="276" w:lineRule="auto"/>
              <w:jc w:val="both"/>
              <w:rPr>
                <w:rFonts w:cs="Sylfaen"/>
                <w:lang w:val="hy-AM"/>
              </w:rPr>
            </w:pPr>
            <w:r w:rsidRPr="0053423A">
              <w:rPr>
                <w:rFonts w:cs="Sylfaen"/>
                <w:lang w:val="hy-AM"/>
              </w:rPr>
              <w:tab/>
              <w:t>Ներկայումս հանրապետության բուսաբուծության ոլորտի կարևորագույն հիմնա</w:t>
            </w:r>
            <w:r w:rsidRPr="0053423A">
              <w:rPr>
                <w:rFonts w:cs="Sylfaen"/>
                <w:lang w:val="hy-AM"/>
              </w:rPr>
              <w:softHyphen/>
              <w:t>հարցերից մեկը դարձել է սերմնաբուծության արդյունավետ միջոցառումների կազ</w:t>
            </w:r>
            <w:r w:rsidRPr="0053423A">
              <w:rPr>
                <w:rFonts w:cs="Sylfaen"/>
                <w:lang w:val="hy-AM"/>
              </w:rPr>
              <w:softHyphen/>
              <w:t>մա</w:t>
            </w:r>
            <w:r w:rsidRPr="0053423A">
              <w:rPr>
                <w:rFonts w:cs="Sylfaen"/>
                <w:lang w:val="hy-AM"/>
              </w:rPr>
              <w:softHyphen/>
              <w:t>կերպման անհրաժեշտությունը, որից էլ կախված է երկրում սերմնաբուծության բնագա</w:t>
            </w:r>
            <w:r w:rsidRPr="0053423A">
              <w:rPr>
                <w:rFonts w:cs="Sylfaen"/>
                <w:lang w:val="hy-AM"/>
              </w:rPr>
              <w:softHyphen/>
              <w:t xml:space="preserve">վառում  առկա առանցքային խնդիրների կարգավորումը: </w:t>
            </w:r>
          </w:p>
          <w:p w:rsidR="00530B14" w:rsidRPr="0053423A" w:rsidRDefault="00530B14" w:rsidP="00A67858">
            <w:pPr>
              <w:widowControl w:val="0"/>
              <w:shd w:val="clear" w:color="auto" w:fill="FFFFFF"/>
              <w:tabs>
                <w:tab w:val="left" w:pos="426"/>
                <w:tab w:val="left" w:pos="720"/>
              </w:tabs>
              <w:autoSpaceDE w:val="0"/>
              <w:autoSpaceDN w:val="0"/>
              <w:adjustRightInd w:val="0"/>
              <w:spacing w:line="276" w:lineRule="auto"/>
              <w:jc w:val="both"/>
              <w:rPr>
                <w:rFonts w:cs="Sylfaen"/>
                <w:lang w:val="hy-AM"/>
              </w:rPr>
            </w:pPr>
            <w:r w:rsidRPr="0053423A">
              <w:rPr>
                <w:rFonts w:cs="Sylfaen"/>
                <w:lang w:val="hy-AM"/>
              </w:rPr>
              <w:tab/>
            </w:r>
            <w:r w:rsidRPr="0053423A">
              <w:rPr>
                <w:rFonts w:cs="Sylfaen"/>
                <w:lang w:val="hy-AM"/>
              </w:rPr>
              <w:tab/>
              <w:t>Երաշխավորված բարձր բերքի ստացման հիմնական գրավականը բարձրորակ  սերմերով ցանքի կատարումն է: Հանրապետությունում բարձր վերարտադրության սերմացուների գները կարգավորելու, հողօգտագործողների համար այն մատչելի դարձնելու նպատակով Ծրագրի շրջանակներում որոշակիորեն կկարգավորվի սերմ</w:t>
            </w:r>
            <w:r w:rsidRPr="0053423A">
              <w:rPr>
                <w:rFonts w:cs="Sylfaen"/>
                <w:lang w:val="hy-AM"/>
              </w:rPr>
              <w:softHyphen/>
              <w:t xml:space="preserve">նաբուծական տնտեսությունների կողմից արտադրվող սերմացուների իրացման գինը՝ ի հաշիվ ծրագրով նախատեսված սուբսիդիաների: </w:t>
            </w:r>
          </w:p>
          <w:p w:rsidR="00530B14" w:rsidRPr="0053423A" w:rsidRDefault="00530B14" w:rsidP="00A67858">
            <w:pPr>
              <w:spacing w:line="276" w:lineRule="auto"/>
              <w:ind w:firstLine="284"/>
              <w:jc w:val="both"/>
              <w:rPr>
                <w:rFonts w:cs="Tahoma"/>
                <w:lang w:val="hy-AM"/>
              </w:rPr>
            </w:pPr>
            <w:r w:rsidRPr="0053423A">
              <w:rPr>
                <w:lang w:val="hy-AM"/>
              </w:rPr>
              <w:tab/>
              <w:t xml:space="preserve">Համաձայն ՀՀ կառավարության 2017 թվական դեկտեմբերի 21-ի նիստի N 53 արձանագրության 9-րդ կետով հավանության արժանացած </w:t>
            </w:r>
            <w:r w:rsidRPr="0053423A">
              <w:rPr>
                <w:rStyle w:val="Strong"/>
                <w:rFonts w:cs="Arial Armenian"/>
                <w:shd w:val="clear" w:color="auto" w:fill="FFFFFF"/>
                <w:lang w:val="hy-AM"/>
              </w:rPr>
              <w:t>«</w:t>
            </w:r>
            <w:r w:rsidRPr="0053423A">
              <w:rPr>
                <w:lang w:val="af-ZA"/>
              </w:rPr>
              <w:t>Հայաստանի Հանրապե</w:t>
            </w:r>
            <w:r w:rsidRPr="0053423A">
              <w:rPr>
                <w:lang w:val="af-ZA"/>
              </w:rPr>
              <w:softHyphen/>
              <w:t xml:space="preserve">տությունում </w:t>
            </w:r>
            <w:r w:rsidRPr="0053423A">
              <w:rPr>
                <w:lang w:val="hy-AM"/>
              </w:rPr>
              <w:t xml:space="preserve">հացահատիկային և հատիկաընդեղեն որոշ մշակաբույսերի տեղական սերմնաբուծության ու սերմնարտադրության զարգացում»  </w:t>
            </w:r>
            <w:r w:rsidRPr="0053423A">
              <w:rPr>
                <w:rFonts w:cs="Tahoma"/>
                <w:lang w:val="hy-AM"/>
              </w:rPr>
              <w:t>ծրագրի շրջանակներում հան</w:t>
            </w:r>
            <w:r w:rsidRPr="0053423A">
              <w:rPr>
                <w:rFonts w:cs="Tahoma"/>
                <w:lang w:val="hy-AM"/>
              </w:rPr>
              <w:softHyphen/>
              <w:t>րա</w:t>
            </w:r>
            <w:r w:rsidRPr="0053423A">
              <w:rPr>
                <w:rFonts w:cs="Tahoma"/>
                <w:lang w:val="hy-AM"/>
              </w:rPr>
              <w:softHyphen/>
              <w:t>պետություն ներկրած 5-ական տոննա ոլոռի, սիսեռի, հնդկացորեն և ոսպի  սեր</w:t>
            </w:r>
            <w:r w:rsidRPr="0053423A">
              <w:rPr>
                <w:rFonts w:cs="Tahoma"/>
                <w:lang w:val="hy-AM"/>
              </w:rPr>
              <w:softHyphen/>
              <w:t>մացունները պայմանագրային հիմունքներով տրամադրվել են 2 գիտական կենտրոնների (ՀՀ ԳՆ «Երկրագործության գիտական կենտրոն» ՊՈԱԿ և «Գյումրիի սելեկցիոն կայան» ՓԲԸ) ու սերմնաբուծությամբ զբաղվող թվով 12 տնտեսավարողների` բերքահավաքից հետո 1:2 փոխհարաբերությամբ սերմացուի կամ դրան համապատասխան դրամական արժեքի վերադարձման պայմանով: Սակայն բնակլիմայական ոչ բարենպաստ պայման</w:t>
            </w:r>
            <w:r w:rsidRPr="0053423A">
              <w:rPr>
                <w:rFonts w:cs="Tahoma"/>
                <w:lang w:val="hy-AM"/>
              </w:rPr>
              <w:softHyphen/>
              <w:t>ների պատճառած վնասի հետևանքով վերջիններիս կողմից հնարավոր չէ 1:2 փոխ</w:t>
            </w:r>
            <w:r w:rsidRPr="0053423A">
              <w:rPr>
                <w:rFonts w:cs="Tahoma"/>
                <w:lang w:val="hy-AM"/>
              </w:rPr>
              <w:softHyphen/>
              <w:t xml:space="preserve">հարաբերությամբ կամ դրան համապատասխան դրամական արժեքի վերադարձման պայմանի կատարումը:  </w:t>
            </w:r>
          </w:p>
          <w:p w:rsidR="00530B14" w:rsidRPr="0053423A" w:rsidRDefault="00530B14" w:rsidP="00A67858">
            <w:pPr>
              <w:pStyle w:val="ListParagraph"/>
              <w:numPr>
                <w:ilvl w:val="1"/>
                <w:numId w:val="98"/>
              </w:numPr>
              <w:spacing w:line="276" w:lineRule="auto"/>
              <w:ind w:left="0"/>
              <w:jc w:val="both"/>
              <w:rPr>
                <w:rFonts w:cs="Tahoma"/>
                <w:lang w:val="hy-AM"/>
              </w:rPr>
            </w:pPr>
            <w:r w:rsidRPr="0053423A">
              <w:rPr>
                <w:rFonts w:cs="Sylfaen"/>
                <w:b/>
                <w:lang w:val="hy-AM"/>
              </w:rPr>
              <w:t>Առկա</w:t>
            </w:r>
            <w:r w:rsidRPr="0053423A">
              <w:rPr>
                <w:b/>
                <w:lang w:val="hy-AM"/>
              </w:rPr>
              <w:t xml:space="preserve"> խնդիրների առաջարկվող լուծումները</w:t>
            </w:r>
            <w:r w:rsidRPr="0053423A">
              <w:rPr>
                <w:lang w:val="hy-AM"/>
              </w:rPr>
              <w:tab/>
            </w:r>
            <w:r w:rsidRPr="0053423A">
              <w:rPr>
                <w:rFonts w:cs="Tahoma"/>
                <w:lang w:val="hy-AM"/>
              </w:rPr>
              <w:t xml:space="preserve"> </w:t>
            </w:r>
          </w:p>
          <w:p w:rsidR="00530B14" w:rsidRPr="0053423A" w:rsidRDefault="00530B14" w:rsidP="00A67858">
            <w:pPr>
              <w:pStyle w:val="ListParagraph"/>
              <w:spacing w:line="276" w:lineRule="auto"/>
              <w:ind w:left="0"/>
              <w:jc w:val="both"/>
              <w:rPr>
                <w:lang w:val="hy-AM"/>
              </w:rPr>
            </w:pPr>
            <w:r w:rsidRPr="0053423A">
              <w:rPr>
                <w:lang w:val="hy-AM"/>
              </w:rPr>
              <w:t xml:space="preserve">       </w:t>
            </w:r>
            <w:r w:rsidRPr="0053423A">
              <w:rPr>
                <w:lang w:val="hy-AM"/>
              </w:rPr>
              <w:tab/>
              <w:t>Հաշվի առնելով վերոգրյալը` առաջարկվում է 1:2 փոխհարաբերությամբ դրամական արժեքի վերադարձման պայմանը փոխարինել 1:1 պայմանով, իսկ գիտական կենտ</w:t>
            </w:r>
            <w:r w:rsidRPr="0053423A">
              <w:rPr>
                <w:lang w:val="hy-AM"/>
              </w:rPr>
              <w:softHyphen/>
              <w:t>րոն</w:t>
            </w:r>
            <w:r w:rsidRPr="0053423A">
              <w:rPr>
                <w:lang w:val="hy-AM"/>
              </w:rPr>
              <w:softHyphen/>
              <w:t>ների ու ֆերմերային տնտեսությունների կողմից վերադարձման ենթակա սերմացուները հանձնել համապատասխան մարզպետարանների տնօրինությանը հետագա սորտափոր</w:t>
            </w:r>
            <w:r w:rsidRPr="0053423A">
              <w:rPr>
                <w:lang w:val="hy-AM"/>
              </w:rPr>
              <w:softHyphen/>
              <w:t>ձար</w:t>
            </w:r>
            <w:r w:rsidRPr="0053423A">
              <w:rPr>
                <w:lang w:val="hy-AM"/>
              </w:rPr>
              <w:softHyphen/>
              <w:t>կումների կամ 2019 թվականին տեղական սերմնաբուծական ծրագրերի իրակա</w:t>
            </w:r>
            <w:r w:rsidRPr="0053423A">
              <w:rPr>
                <w:lang w:val="hy-AM"/>
              </w:rPr>
              <w:softHyphen/>
              <w:t>նացման նպատակով` անվճար սկզբունքով:</w:t>
            </w:r>
          </w:p>
          <w:p w:rsidR="00530B14" w:rsidRPr="0053423A" w:rsidRDefault="00530B14" w:rsidP="00A67858">
            <w:pPr>
              <w:pStyle w:val="ListParagraph"/>
              <w:numPr>
                <w:ilvl w:val="0"/>
                <w:numId w:val="98"/>
              </w:numPr>
              <w:spacing w:line="276" w:lineRule="auto"/>
              <w:ind w:left="0" w:firstLine="568"/>
              <w:jc w:val="both"/>
              <w:rPr>
                <w:b/>
              </w:rPr>
            </w:pPr>
            <w:r w:rsidRPr="0053423A">
              <w:rPr>
                <w:b/>
              </w:rPr>
              <w:t>Միջոցառման իրականացումից ակնկալվող արդյունքը</w:t>
            </w:r>
          </w:p>
          <w:p w:rsidR="00530B14" w:rsidRPr="0053423A" w:rsidRDefault="00530B14" w:rsidP="00A67858">
            <w:pPr>
              <w:tabs>
                <w:tab w:val="left" w:pos="0"/>
                <w:tab w:val="left" w:pos="90"/>
              </w:tabs>
              <w:spacing w:line="276" w:lineRule="auto"/>
              <w:jc w:val="both"/>
              <w:rPr>
                <w:rFonts w:cs="Tahoma"/>
                <w:spacing w:val="-2"/>
                <w:lang w:val="hy-AM"/>
              </w:rPr>
            </w:pPr>
            <w:r w:rsidRPr="0053423A">
              <w:rPr>
                <w:rFonts w:cs="Tahoma"/>
                <w:spacing w:val="-2"/>
              </w:rPr>
              <w:tab/>
            </w:r>
            <w:r w:rsidRPr="0053423A">
              <w:rPr>
                <w:rFonts w:cs="Tahoma"/>
                <w:spacing w:val="-2"/>
              </w:rPr>
              <w:tab/>
            </w:r>
            <w:r w:rsidRPr="0053423A">
              <w:rPr>
                <w:rFonts w:cs="Tahoma"/>
                <w:spacing w:val="-2"/>
                <w:lang w:val="hy-AM"/>
              </w:rPr>
              <w:t>Ծրագրի իրականացումից ակնկալվող արդյունքներն են`</w:t>
            </w:r>
          </w:p>
          <w:p w:rsidR="00530B14" w:rsidRPr="0053423A" w:rsidRDefault="00530B14" w:rsidP="001F6D5D">
            <w:pPr>
              <w:pStyle w:val="ListParagraph"/>
              <w:numPr>
                <w:ilvl w:val="0"/>
                <w:numId w:val="109"/>
              </w:numPr>
              <w:tabs>
                <w:tab w:val="left" w:pos="90"/>
              </w:tabs>
              <w:spacing w:line="276" w:lineRule="auto"/>
              <w:ind w:left="0" w:firstLine="450"/>
              <w:jc w:val="both"/>
              <w:rPr>
                <w:rFonts w:cs="Tahoma"/>
                <w:spacing w:val="-2"/>
                <w:lang w:val="hy-AM"/>
              </w:rPr>
            </w:pPr>
            <w:r w:rsidRPr="0053423A">
              <w:rPr>
                <w:rFonts w:cs="Tahoma"/>
                <w:spacing w:val="-2"/>
                <w:lang w:val="hy-AM"/>
              </w:rPr>
              <w:t>հանրապետությունում առաջնային սերմնաբուծությամբ զբաղվող կազմակեր</w:t>
            </w:r>
            <w:r w:rsidRPr="0053423A">
              <w:rPr>
                <w:rFonts w:cs="Tahoma"/>
                <w:spacing w:val="-2"/>
                <w:lang w:val="hy-AM"/>
              </w:rPr>
              <w:softHyphen/>
              <w:t>պու</w:t>
            </w:r>
            <w:r w:rsidRPr="0053423A">
              <w:rPr>
                <w:rFonts w:cs="Tahoma"/>
                <w:spacing w:val="-2"/>
                <w:lang w:val="hy-AM"/>
              </w:rPr>
              <w:softHyphen/>
              <w:t xml:space="preserve">թյունների արտադրական կարողությունների հզորացումը, </w:t>
            </w:r>
          </w:p>
          <w:p w:rsidR="00530B14" w:rsidRPr="0053423A" w:rsidRDefault="00530B14" w:rsidP="001F6D5D">
            <w:pPr>
              <w:pStyle w:val="ListParagraph"/>
              <w:numPr>
                <w:ilvl w:val="0"/>
                <w:numId w:val="109"/>
              </w:numPr>
              <w:tabs>
                <w:tab w:val="left" w:pos="90"/>
              </w:tabs>
              <w:spacing w:line="276" w:lineRule="auto"/>
              <w:ind w:left="0" w:firstLine="450"/>
              <w:jc w:val="both"/>
              <w:rPr>
                <w:rFonts w:cs="Tahoma"/>
                <w:spacing w:val="-2"/>
                <w:lang w:val="hy-AM"/>
              </w:rPr>
            </w:pPr>
            <w:r w:rsidRPr="0053423A">
              <w:rPr>
                <w:rFonts w:eastAsia="Calibri" w:cs="Tahoma"/>
                <w:spacing w:val="-2"/>
                <w:lang w:val="hy-AM"/>
              </w:rPr>
              <w:t>հանրապետության տարածքում արտադրվող բարձր վերարտադրության հացա</w:t>
            </w:r>
            <w:r w:rsidRPr="0053423A">
              <w:rPr>
                <w:rFonts w:eastAsia="Calibri" w:cs="Tahoma"/>
                <w:spacing w:val="-2"/>
                <w:lang w:val="hy-AM"/>
              </w:rPr>
              <w:softHyphen/>
              <w:t>հատիկային, հատիկաընդեղեն և կերային մշակաբույսերի սերմացուի արտադ</w:t>
            </w:r>
            <w:r w:rsidRPr="0053423A">
              <w:rPr>
                <w:rFonts w:eastAsia="Calibri" w:cs="Tahoma"/>
                <w:spacing w:val="-2"/>
                <w:lang w:val="hy-AM"/>
              </w:rPr>
              <w:softHyphen/>
              <w:t xml:space="preserve">րական ծավալների ավելացումը և տեղական սերմացուով ինքնաբավության մակարդակի բարձրացումը, </w:t>
            </w:r>
          </w:p>
          <w:p w:rsidR="00530B14" w:rsidRPr="0053423A" w:rsidRDefault="00530B14" w:rsidP="001F6D5D">
            <w:pPr>
              <w:pStyle w:val="ListParagraph"/>
              <w:numPr>
                <w:ilvl w:val="0"/>
                <w:numId w:val="109"/>
              </w:numPr>
              <w:tabs>
                <w:tab w:val="left" w:pos="90"/>
              </w:tabs>
              <w:spacing w:line="276" w:lineRule="auto"/>
              <w:ind w:left="0" w:firstLine="450"/>
              <w:jc w:val="both"/>
              <w:rPr>
                <w:rFonts w:cs="Tahoma"/>
                <w:spacing w:val="-2"/>
                <w:lang w:val="hy-AM"/>
              </w:rPr>
            </w:pPr>
            <w:r w:rsidRPr="0053423A">
              <w:rPr>
                <w:rFonts w:cs="Tahoma"/>
                <w:spacing w:val="-2"/>
                <w:lang w:val="hy-AM"/>
              </w:rPr>
              <w:t>սերմերի արտադրության բոլոր օղակներում պետական վերահսկողության բարե</w:t>
            </w:r>
            <w:r w:rsidRPr="0053423A">
              <w:rPr>
                <w:rFonts w:cs="Tahoma"/>
                <w:spacing w:val="-2"/>
                <w:lang w:val="hy-AM"/>
              </w:rPr>
              <w:softHyphen/>
              <w:t>լավումը,</w:t>
            </w:r>
          </w:p>
          <w:p w:rsidR="00530B14" w:rsidRPr="0053423A" w:rsidRDefault="00530B14" w:rsidP="001F6D5D">
            <w:pPr>
              <w:pStyle w:val="ListParagraph"/>
              <w:numPr>
                <w:ilvl w:val="0"/>
                <w:numId w:val="109"/>
              </w:numPr>
              <w:tabs>
                <w:tab w:val="left" w:pos="90"/>
              </w:tabs>
              <w:spacing w:line="276" w:lineRule="auto"/>
              <w:ind w:left="0" w:firstLine="450"/>
              <w:jc w:val="both"/>
              <w:rPr>
                <w:rFonts w:cs="Tahoma"/>
                <w:spacing w:val="-2"/>
                <w:lang w:val="hy-AM"/>
              </w:rPr>
            </w:pPr>
            <w:r w:rsidRPr="0053423A">
              <w:rPr>
                <w:rFonts w:cs="Tahoma"/>
                <w:spacing w:val="-2"/>
                <w:lang w:val="hy-AM"/>
              </w:rPr>
              <w:t>երկրի ագրոպարենային համակարգի կայուն իրավիճակի ձևավորման համար նախադրյալ</w:t>
            </w:r>
            <w:r w:rsidRPr="0053423A">
              <w:rPr>
                <w:rFonts w:cs="Tahoma"/>
                <w:spacing w:val="-2"/>
                <w:lang w:val="hy-AM"/>
              </w:rPr>
              <w:softHyphen/>
              <w:t>ների ստեղծումը,</w:t>
            </w:r>
          </w:p>
          <w:p w:rsidR="00530B14" w:rsidRPr="0053423A" w:rsidRDefault="00530B14" w:rsidP="001F6D5D">
            <w:pPr>
              <w:pStyle w:val="ListParagraph"/>
              <w:numPr>
                <w:ilvl w:val="0"/>
                <w:numId w:val="109"/>
              </w:numPr>
              <w:tabs>
                <w:tab w:val="left" w:pos="90"/>
              </w:tabs>
              <w:spacing w:line="276" w:lineRule="auto"/>
              <w:ind w:left="0" w:firstLine="450"/>
              <w:jc w:val="both"/>
              <w:rPr>
                <w:rFonts w:cs="Tahoma"/>
                <w:spacing w:val="-2"/>
                <w:lang w:val="hy-AM"/>
              </w:rPr>
            </w:pPr>
            <w:r w:rsidRPr="0053423A">
              <w:rPr>
                <w:rFonts w:cs="Tahoma"/>
                <w:spacing w:val="-2"/>
                <w:lang w:val="hy-AM"/>
              </w:rPr>
              <w:t xml:space="preserve"> ցանքատարածությունների և համախառն բերքի ծավալների ավելացումը, գյու</w:t>
            </w:r>
            <w:r w:rsidRPr="0053423A">
              <w:rPr>
                <w:rFonts w:cs="Tahoma"/>
                <w:spacing w:val="-2"/>
                <w:lang w:val="hy-AM"/>
              </w:rPr>
              <w:softHyphen/>
              <w:t>ղա</w:t>
            </w:r>
            <w:r w:rsidRPr="0053423A">
              <w:rPr>
                <w:rFonts w:cs="Tahoma"/>
                <w:spacing w:val="-2"/>
                <w:lang w:val="hy-AM"/>
              </w:rPr>
              <w:softHyphen/>
              <w:t>ցիա</w:t>
            </w:r>
            <w:r w:rsidRPr="0053423A">
              <w:rPr>
                <w:rFonts w:cs="Tahoma"/>
                <w:spacing w:val="-2"/>
                <w:lang w:val="hy-AM"/>
              </w:rPr>
              <w:softHyphen/>
              <w:t>կան տնտեսությունների եկամուտների բարձրացումը և տնտեսական աճի ապա</w:t>
            </w:r>
            <w:r w:rsidRPr="0053423A">
              <w:rPr>
                <w:rFonts w:cs="Tahoma"/>
                <w:spacing w:val="-2"/>
                <w:lang w:val="hy-AM"/>
              </w:rPr>
              <w:softHyphen/>
              <w:t>հովումը:</w:t>
            </w:r>
          </w:p>
          <w:p w:rsidR="00530B14" w:rsidRPr="0053423A" w:rsidRDefault="00530B14" w:rsidP="00A67858">
            <w:pPr>
              <w:spacing w:line="276" w:lineRule="auto"/>
              <w:ind w:right="-31"/>
              <w:jc w:val="both"/>
              <w:rPr>
                <w:b/>
                <w:lang w:val="hy-AM"/>
              </w:rPr>
            </w:pPr>
          </w:p>
          <w:p w:rsidR="00530B14" w:rsidRPr="0053423A" w:rsidRDefault="00530B14" w:rsidP="00A67858">
            <w:pPr>
              <w:pStyle w:val="a0"/>
              <w:spacing w:line="276" w:lineRule="auto"/>
              <w:ind w:firstLine="709"/>
              <w:jc w:val="center"/>
              <w:rPr>
                <w:rFonts w:ascii="GHEA Grapalat" w:hAnsi="GHEA Grapalat"/>
                <w:b/>
                <w:sz w:val="20"/>
                <w:u w:val="single"/>
                <w:lang w:val="hy-AM" w:eastAsia="nl-NL"/>
              </w:rPr>
            </w:pPr>
            <w:r w:rsidRPr="0053423A">
              <w:rPr>
                <w:rFonts w:ascii="GHEA Grapalat" w:hAnsi="GHEA Grapalat"/>
                <w:b/>
                <w:sz w:val="20"/>
                <w:u w:val="single"/>
                <w:lang w:val="hy-AM" w:eastAsia="nl-NL"/>
              </w:rPr>
              <w:t>8.2  Սերմերի որակի ստուգման ու պետական սորտափորձարկման միջոցառումների իրականացում</w:t>
            </w:r>
          </w:p>
          <w:p w:rsidR="00530B14" w:rsidRPr="0053423A" w:rsidRDefault="00530B14" w:rsidP="00A67858">
            <w:pPr>
              <w:pStyle w:val="a0"/>
              <w:spacing w:line="276" w:lineRule="auto"/>
              <w:ind w:firstLine="709"/>
              <w:jc w:val="center"/>
              <w:rPr>
                <w:rFonts w:ascii="GHEA Grapalat" w:hAnsi="GHEA Grapalat"/>
                <w:b/>
                <w:sz w:val="20"/>
                <w:lang w:val="hy-AM" w:eastAsia="nl-NL"/>
              </w:rPr>
            </w:pPr>
          </w:p>
          <w:p w:rsidR="00530B14" w:rsidRPr="0053423A" w:rsidRDefault="00530B14" w:rsidP="00A67858">
            <w:pPr>
              <w:pStyle w:val="a0"/>
              <w:numPr>
                <w:ilvl w:val="0"/>
                <w:numId w:val="100"/>
              </w:numPr>
              <w:spacing w:line="276" w:lineRule="auto"/>
              <w:jc w:val="both"/>
              <w:rPr>
                <w:rFonts w:ascii="GHEA Grapalat" w:hAnsi="GHEA Grapalat"/>
                <w:sz w:val="20"/>
                <w:lang w:eastAsia="nl-NL"/>
              </w:rPr>
            </w:pPr>
            <w:r w:rsidRPr="0053423A">
              <w:rPr>
                <w:rFonts w:ascii="GHEA Grapalat" w:hAnsi="GHEA Grapalat"/>
                <w:b/>
                <w:sz w:val="20"/>
                <w:lang w:eastAsia="nl-NL"/>
              </w:rPr>
              <w:t>Միջոցառման իրականացման անհրաժեշտությունը և նպատակը</w:t>
            </w:r>
            <w:r w:rsidRPr="0053423A">
              <w:rPr>
                <w:rFonts w:ascii="GHEA Grapalat" w:hAnsi="GHEA Grapalat"/>
                <w:sz w:val="20"/>
                <w:lang w:eastAsia="nl-NL"/>
              </w:rPr>
              <w:t xml:space="preserve"> </w:t>
            </w:r>
          </w:p>
          <w:p w:rsidR="00530B14" w:rsidRPr="0053423A" w:rsidRDefault="00530B14" w:rsidP="00A67858">
            <w:pPr>
              <w:pStyle w:val="a0"/>
              <w:spacing w:line="276" w:lineRule="auto"/>
              <w:ind w:firstLine="709"/>
              <w:jc w:val="both"/>
              <w:rPr>
                <w:rFonts w:ascii="GHEA Grapalat" w:hAnsi="GHEA Grapalat"/>
                <w:sz w:val="20"/>
                <w:lang w:val="hy-AM" w:eastAsia="nl-NL"/>
              </w:rPr>
            </w:pPr>
            <w:r w:rsidRPr="0053423A">
              <w:rPr>
                <w:rFonts w:ascii="GHEA Grapalat" w:hAnsi="GHEA Grapalat"/>
                <w:sz w:val="20"/>
                <w:lang w:eastAsia="nl-NL"/>
              </w:rPr>
              <w:t xml:space="preserve">«Սերմերի որակի ստուգման ու պետական սորտափորձարկման միջոցառումների իրականացում» ծրագրի </w:t>
            </w:r>
            <w:r w:rsidRPr="0053423A">
              <w:rPr>
                <w:rFonts w:ascii="GHEA Grapalat" w:hAnsi="GHEA Grapalat"/>
                <w:sz w:val="20"/>
                <w:lang w:val="hy-AM" w:eastAsia="nl-NL"/>
              </w:rPr>
              <w:t>(</w:t>
            </w:r>
            <w:r w:rsidRPr="0053423A">
              <w:rPr>
                <w:rFonts w:ascii="GHEA Grapalat" w:hAnsi="GHEA Grapalat"/>
                <w:sz w:val="20"/>
                <w:lang w:eastAsia="nl-NL"/>
              </w:rPr>
              <w:t>այսուհետ՝ Ծրագիր</w:t>
            </w:r>
            <w:r w:rsidRPr="0053423A">
              <w:rPr>
                <w:rFonts w:ascii="GHEA Grapalat" w:hAnsi="GHEA Grapalat"/>
                <w:sz w:val="20"/>
                <w:lang w:val="hy-AM" w:eastAsia="nl-NL"/>
              </w:rPr>
              <w:t>)</w:t>
            </w:r>
            <w:r w:rsidRPr="0053423A">
              <w:rPr>
                <w:rFonts w:ascii="GHEA Grapalat" w:hAnsi="GHEA Grapalat"/>
                <w:sz w:val="20"/>
                <w:lang w:eastAsia="nl-NL"/>
              </w:rPr>
              <w:t xml:space="preserve"> անհրաժեշտությունը ծագում է </w:t>
            </w:r>
            <w:r w:rsidRPr="0053423A">
              <w:rPr>
                <w:rFonts w:ascii="GHEA Grapalat" w:hAnsi="GHEA Grapalat" w:cs="Sylfaen"/>
                <w:sz w:val="20"/>
                <w:lang w:val="hy-AM"/>
              </w:rPr>
              <w:t xml:space="preserve">ՀՀ ԱԺ 2019 թվականի փետրվարի 14-ի ԱԺՈ-002-Ն որոշմամբ հավանության արժանացած ՀՀ կառավարության ծրագրից </w:t>
            </w:r>
            <w:r w:rsidRPr="0053423A">
              <w:rPr>
                <w:rFonts w:ascii="GHEA Grapalat" w:hAnsi="GHEA Grapalat" w:cs="Sylfaen"/>
                <w:sz w:val="20"/>
                <w:lang w:val="af-ZA"/>
              </w:rPr>
              <w:t>(</w:t>
            </w:r>
            <w:r w:rsidRPr="0053423A">
              <w:rPr>
                <w:rFonts w:ascii="GHEA Grapalat" w:hAnsi="GHEA Grapalat" w:cs="Sylfaen"/>
                <w:sz w:val="20"/>
                <w:lang w:val="hy-AM"/>
              </w:rPr>
              <w:t>5.10. Գյուղատնտեսությունը բաժին, 7-րդ պարբերության 4-րդ դրույթ):</w:t>
            </w:r>
            <w:r w:rsidRPr="0053423A">
              <w:rPr>
                <w:rFonts w:ascii="GHEA Grapalat" w:hAnsi="GHEA Grapalat"/>
                <w:sz w:val="20"/>
                <w:lang w:val="hy-AM" w:eastAsia="nl-NL"/>
              </w:rPr>
              <w:t xml:space="preserve"> Ծրագրի ընդունման համար հիմք են հանդիսանում Հայաստանի Հանրա</w:t>
            </w:r>
            <w:r w:rsidRPr="0053423A">
              <w:rPr>
                <w:rFonts w:ascii="GHEA Grapalat" w:hAnsi="GHEA Grapalat"/>
                <w:sz w:val="20"/>
                <w:lang w:val="hy-AM" w:eastAsia="nl-NL"/>
              </w:rPr>
              <w:softHyphen/>
              <w:t>պետության «Բույսերի նոր սորտերի պահպանության մասին» և «Սերմերի մասին» օրենքները, դրանցից բխող ենթաօրենսդրական ակտերը:</w:t>
            </w:r>
          </w:p>
          <w:p w:rsidR="00530B14" w:rsidRPr="0053423A" w:rsidRDefault="00530B14" w:rsidP="00A67858">
            <w:pPr>
              <w:pStyle w:val="a0"/>
              <w:spacing w:line="276" w:lineRule="auto"/>
              <w:jc w:val="both"/>
              <w:rPr>
                <w:rFonts w:ascii="GHEA Grapalat" w:hAnsi="GHEA Grapalat"/>
                <w:sz w:val="20"/>
                <w:lang w:eastAsia="nl-NL"/>
              </w:rPr>
            </w:pPr>
            <w:r w:rsidRPr="0053423A">
              <w:rPr>
                <w:rFonts w:ascii="GHEA Grapalat" w:hAnsi="GHEA Grapalat"/>
                <w:sz w:val="20"/>
                <w:lang w:val="hy-AM" w:eastAsia="nl-NL"/>
              </w:rPr>
              <w:tab/>
            </w:r>
            <w:r w:rsidRPr="0053423A">
              <w:rPr>
                <w:rFonts w:ascii="GHEA Grapalat" w:hAnsi="GHEA Grapalat"/>
                <w:sz w:val="20"/>
                <w:lang w:eastAsia="nl-NL"/>
              </w:rPr>
              <w:t>Ծրագրի նպատակներն են՝</w:t>
            </w:r>
          </w:p>
          <w:p w:rsidR="00530B14" w:rsidRPr="0053423A" w:rsidRDefault="00530B14" w:rsidP="001F6D5D">
            <w:pPr>
              <w:pStyle w:val="a0"/>
              <w:numPr>
                <w:ilvl w:val="0"/>
                <w:numId w:val="110"/>
              </w:numPr>
              <w:spacing w:line="276" w:lineRule="auto"/>
              <w:ind w:left="0" w:firstLine="630"/>
              <w:jc w:val="both"/>
              <w:rPr>
                <w:rFonts w:ascii="GHEA Grapalat" w:hAnsi="GHEA Grapalat"/>
                <w:sz w:val="20"/>
                <w:lang w:val="hy-AM" w:eastAsia="nl-NL"/>
              </w:rPr>
            </w:pPr>
            <w:r w:rsidRPr="0053423A">
              <w:rPr>
                <w:rFonts w:ascii="GHEA Grapalat" w:hAnsi="GHEA Grapalat"/>
                <w:sz w:val="20"/>
                <w:lang w:eastAsia="nl-NL"/>
              </w:rPr>
              <w:t xml:space="preserve">  ՀՀ-ում</w:t>
            </w:r>
            <w:r w:rsidRPr="0053423A">
              <w:rPr>
                <w:rFonts w:ascii="GHEA Grapalat" w:hAnsi="GHEA Grapalat"/>
                <w:sz w:val="20"/>
                <w:lang w:val="hy-AM" w:eastAsia="nl-NL"/>
              </w:rPr>
              <w:t xml:space="preserve"> նոր սորտերի արտոնագրման և օգտագործման գործընթացի կանոնա</w:t>
            </w:r>
            <w:r w:rsidRPr="0053423A">
              <w:rPr>
                <w:rFonts w:ascii="GHEA Grapalat" w:hAnsi="GHEA Grapalat"/>
                <w:sz w:val="20"/>
                <w:lang w:eastAsia="nl-NL"/>
              </w:rPr>
              <w:softHyphen/>
            </w:r>
            <w:r w:rsidRPr="0053423A">
              <w:rPr>
                <w:rFonts w:ascii="GHEA Grapalat" w:hAnsi="GHEA Grapalat"/>
                <w:sz w:val="20"/>
                <w:lang w:val="hy-AM" w:eastAsia="nl-NL"/>
              </w:rPr>
              <w:t>կարգում, սելեկցիոն նվաճումների (բույսերի նոր սորտերի) իրավական պաշտ</w:t>
            </w:r>
            <w:r w:rsidRPr="0053423A">
              <w:rPr>
                <w:rFonts w:ascii="GHEA Grapalat" w:hAnsi="GHEA Grapalat"/>
                <w:sz w:val="20"/>
                <w:lang w:eastAsia="nl-NL"/>
              </w:rPr>
              <w:softHyphen/>
            </w:r>
            <w:r w:rsidRPr="0053423A">
              <w:rPr>
                <w:rFonts w:ascii="GHEA Grapalat" w:hAnsi="GHEA Grapalat"/>
                <w:sz w:val="20"/>
                <w:lang w:val="hy-AM" w:eastAsia="nl-NL"/>
              </w:rPr>
              <w:t>պա</w:t>
            </w:r>
            <w:r w:rsidRPr="0053423A">
              <w:rPr>
                <w:rFonts w:ascii="GHEA Grapalat" w:hAnsi="GHEA Grapalat"/>
                <w:sz w:val="20"/>
                <w:lang w:eastAsia="nl-NL"/>
              </w:rPr>
              <w:softHyphen/>
            </w:r>
            <w:r w:rsidRPr="0053423A">
              <w:rPr>
                <w:rFonts w:ascii="GHEA Grapalat" w:hAnsi="GHEA Grapalat"/>
                <w:sz w:val="20"/>
                <w:lang w:val="hy-AM" w:eastAsia="nl-NL"/>
              </w:rPr>
              <w:t>նության ապահովում,</w:t>
            </w:r>
          </w:p>
          <w:p w:rsidR="00530B14" w:rsidRPr="0053423A" w:rsidRDefault="00530B14" w:rsidP="001F6D5D">
            <w:pPr>
              <w:pStyle w:val="a0"/>
              <w:numPr>
                <w:ilvl w:val="0"/>
                <w:numId w:val="110"/>
              </w:numPr>
              <w:spacing w:line="276" w:lineRule="auto"/>
              <w:ind w:left="0" w:firstLine="630"/>
              <w:jc w:val="both"/>
              <w:rPr>
                <w:rFonts w:ascii="GHEA Grapalat" w:hAnsi="GHEA Grapalat"/>
                <w:sz w:val="20"/>
                <w:lang w:val="hy-AM" w:eastAsia="nl-NL"/>
              </w:rPr>
            </w:pPr>
            <w:r w:rsidRPr="0053423A">
              <w:rPr>
                <w:rFonts w:ascii="GHEA Grapalat" w:hAnsi="GHEA Grapalat"/>
                <w:sz w:val="20"/>
                <w:lang w:val="hy-AM" w:eastAsia="nl-NL"/>
              </w:rPr>
              <w:t xml:space="preserve">  հանրապետության բնակլիմայական տարբեր գոտիներում մշակության երաշ</w:t>
            </w:r>
            <w:r w:rsidRPr="0053423A">
              <w:rPr>
                <w:rFonts w:ascii="GHEA Grapalat" w:hAnsi="GHEA Grapalat"/>
                <w:sz w:val="20"/>
                <w:lang w:val="hy-AM" w:eastAsia="nl-NL"/>
              </w:rPr>
              <w:softHyphen/>
              <w:t>խա</w:t>
            </w:r>
            <w:r w:rsidRPr="0053423A">
              <w:rPr>
                <w:rFonts w:ascii="GHEA Grapalat" w:hAnsi="GHEA Grapalat"/>
                <w:sz w:val="20"/>
                <w:lang w:val="hy-AM" w:eastAsia="nl-NL"/>
              </w:rPr>
              <w:softHyphen/>
              <w:t>վորվող բույսերի սորտային կազմի ընդլայնում,</w:t>
            </w:r>
          </w:p>
          <w:p w:rsidR="00530B14" w:rsidRPr="0053423A" w:rsidRDefault="00530B14" w:rsidP="001F6D5D">
            <w:pPr>
              <w:pStyle w:val="a0"/>
              <w:numPr>
                <w:ilvl w:val="0"/>
                <w:numId w:val="110"/>
              </w:numPr>
              <w:spacing w:line="276" w:lineRule="auto"/>
              <w:ind w:left="0" w:firstLine="630"/>
              <w:jc w:val="both"/>
              <w:rPr>
                <w:rFonts w:ascii="GHEA Grapalat" w:hAnsi="GHEA Grapalat"/>
                <w:sz w:val="20"/>
                <w:lang w:val="hy-AM" w:eastAsia="nl-NL"/>
              </w:rPr>
            </w:pPr>
            <w:r w:rsidRPr="0053423A">
              <w:rPr>
                <w:rFonts w:ascii="GHEA Grapalat" w:hAnsi="GHEA Grapalat"/>
                <w:sz w:val="20"/>
                <w:lang w:val="hy-AM" w:eastAsia="nl-NL"/>
              </w:rPr>
              <w:t xml:space="preserve">  ցանքատարածությունների ֆիտոսանիտարական վիճակի վատթարացման, հիվան</w:t>
            </w:r>
            <w:r w:rsidRPr="0053423A">
              <w:rPr>
                <w:rFonts w:ascii="GHEA Grapalat" w:hAnsi="GHEA Grapalat"/>
                <w:sz w:val="20"/>
                <w:lang w:val="hy-AM" w:eastAsia="nl-NL"/>
              </w:rPr>
              <w:softHyphen/>
            </w:r>
            <w:r w:rsidRPr="0053423A">
              <w:rPr>
                <w:rFonts w:ascii="GHEA Grapalat" w:hAnsi="GHEA Grapalat"/>
                <w:sz w:val="20"/>
                <w:lang w:val="hy-AM" w:eastAsia="nl-NL"/>
              </w:rPr>
              <w:softHyphen/>
              <w:t>դությունների, վնասատուների և մոլախոտերի զանգվածային բազմացման կան</w:t>
            </w:r>
            <w:r w:rsidRPr="0053423A">
              <w:rPr>
                <w:rFonts w:ascii="GHEA Grapalat" w:hAnsi="GHEA Grapalat"/>
                <w:sz w:val="20"/>
                <w:lang w:val="hy-AM" w:eastAsia="nl-NL"/>
              </w:rPr>
              <w:softHyphen/>
              <w:t>խար</w:t>
            </w:r>
            <w:r w:rsidRPr="0053423A">
              <w:rPr>
                <w:rFonts w:ascii="GHEA Grapalat" w:hAnsi="GHEA Grapalat"/>
                <w:sz w:val="20"/>
                <w:lang w:val="hy-AM" w:eastAsia="nl-NL"/>
              </w:rPr>
              <w:softHyphen/>
              <w:t>գելում:</w:t>
            </w:r>
          </w:p>
          <w:p w:rsidR="00530B14" w:rsidRPr="0053423A" w:rsidRDefault="00530B14" w:rsidP="00A67858">
            <w:pPr>
              <w:pStyle w:val="a0"/>
              <w:spacing w:line="276" w:lineRule="auto"/>
              <w:ind w:firstLine="709"/>
              <w:jc w:val="both"/>
              <w:rPr>
                <w:rFonts w:ascii="GHEA Grapalat" w:hAnsi="GHEA Grapalat"/>
                <w:sz w:val="20"/>
                <w:lang w:val="hy-AM" w:eastAsia="nl-NL"/>
              </w:rPr>
            </w:pPr>
            <w:r w:rsidRPr="0053423A">
              <w:rPr>
                <w:rFonts w:ascii="GHEA Grapalat" w:hAnsi="GHEA Grapalat"/>
                <w:sz w:val="20"/>
                <w:lang w:val="hy-AM" w:eastAsia="nl-NL"/>
              </w:rPr>
              <w:t>Այս աշխատանքների կատարումը հիմնականում ենթադրում է բարձր վերար</w:t>
            </w:r>
            <w:r w:rsidRPr="0053423A">
              <w:rPr>
                <w:rFonts w:ascii="GHEA Grapalat" w:hAnsi="GHEA Grapalat"/>
                <w:sz w:val="20"/>
                <w:lang w:val="hy-AM" w:eastAsia="nl-NL"/>
              </w:rPr>
              <w:softHyphen/>
              <w:t>տադ</w:t>
            </w:r>
            <w:r w:rsidRPr="0053423A">
              <w:rPr>
                <w:rFonts w:ascii="GHEA Grapalat" w:hAnsi="GHEA Grapalat"/>
                <w:sz w:val="20"/>
                <w:lang w:val="hy-AM" w:eastAsia="nl-NL"/>
              </w:rPr>
              <w:softHyphen/>
              <w:t>րության սերմադաշտերի ուսումնասիրությունների և արտադրված սերմերի որակի ստուգման հաշվին կանխարգելել գյուղացիական տնտեսությունների բերքի կորուստ</w:t>
            </w:r>
            <w:r w:rsidRPr="0053423A">
              <w:rPr>
                <w:rFonts w:ascii="GHEA Grapalat" w:hAnsi="GHEA Grapalat"/>
                <w:sz w:val="20"/>
                <w:lang w:val="hy-AM" w:eastAsia="nl-NL"/>
              </w:rPr>
              <w:softHyphen/>
              <w:t>ները անորակ սերմերի օգտագործման պատճառով (վերջիններս նպաստում են մոլա</w:t>
            </w:r>
            <w:r w:rsidRPr="0053423A">
              <w:rPr>
                <w:rFonts w:ascii="GHEA Grapalat" w:hAnsi="GHEA Grapalat"/>
                <w:sz w:val="20"/>
                <w:lang w:val="hy-AM" w:eastAsia="nl-NL"/>
              </w:rPr>
              <w:softHyphen/>
              <w:t>խոտերի, հիվանդությունների և վնասատուների բազմացմանը):</w:t>
            </w:r>
          </w:p>
          <w:p w:rsidR="00530B14" w:rsidRPr="0053423A" w:rsidRDefault="00530B14" w:rsidP="00A67858">
            <w:pPr>
              <w:pStyle w:val="a0"/>
              <w:spacing w:line="276" w:lineRule="auto"/>
              <w:ind w:firstLine="709"/>
              <w:jc w:val="both"/>
              <w:rPr>
                <w:rFonts w:ascii="GHEA Grapalat" w:hAnsi="GHEA Grapalat"/>
                <w:sz w:val="20"/>
                <w:lang w:val="hy-AM" w:eastAsia="nl-NL"/>
              </w:rPr>
            </w:pPr>
            <w:r w:rsidRPr="0053423A">
              <w:rPr>
                <w:rFonts w:ascii="GHEA Grapalat" w:hAnsi="GHEA Grapalat"/>
                <w:sz w:val="20"/>
                <w:lang w:val="hy-AM" w:eastAsia="nl-NL"/>
              </w:rPr>
              <w:t xml:space="preserve">1.1. </w:t>
            </w:r>
            <w:r w:rsidRPr="0053423A">
              <w:rPr>
                <w:rFonts w:ascii="GHEA Grapalat" w:hAnsi="GHEA Grapalat"/>
                <w:b/>
                <w:sz w:val="20"/>
                <w:lang w:val="hy-AM" w:eastAsia="nl-NL"/>
              </w:rPr>
              <w:t>Կարգավորման հարաբերությունների ներկա վիճակը և առկա խնդիրները</w:t>
            </w:r>
            <w:r w:rsidRPr="0053423A">
              <w:rPr>
                <w:rFonts w:ascii="GHEA Grapalat" w:hAnsi="GHEA Grapalat"/>
                <w:sz w:val="20"/>
                <w:lang w:val="hy-AM" w:eastAsia="nl-NL"/>
              </w:rPr>
              <w:t xml:space="preserve"> </w:t>
            </w:r>
            <w:r w:rsidRPr="0053423A">
              <w:rPr>
                <w:rFonts w:ascii="GHEA Grapalat" w:hAnsi="GHEA Grapalat"/>
                <w:sz w:val="20"/>
                <w:lang w:val="hy-AM" w:eastAsia="nl-NL"/>
              </w:rPr>
              <w:tab/>
              <w:t>Բույսերի նոր սորտերի և հիբրիդների սորտափորձարկումների, դրանց արտոնա</w:t>
            </w:r>
            <w:r w:rsidRPr="0053423A">
              <w:rPr>
                <w:rFonts w:ascii="GHEA Grapalat" w:hAnsi="GHEA Grapalat"/>
                <w:sz w:val="20"/>
                <w:lang w:val="hy-AM" w:eastAsia="nl-NL"/>
              </w:rPr>
              <w:softHyphen/>
              <w:t>գրման ու տնտեսական օգտակարության թույլտվության ձևակերպումների արդյունքում ՀՀ բնատնտեսական բոլոր գոտիների համար ընտրվում և շրջանա</w:t>
            </w:r>
            <w:r w:rsidRPr="0053423A">
              <w:rPr>
                <w:rFonts w:ascii="GHEA Grapalat" w:hAnsi="GHEA Grapalat"/>
                <w:sz w:val="20"/>
                <w:lang w:val="hy-AM" w:eastAsia="nl-NL"/>
              </w:rPr>
              <w:softHyphen/>
              <w:t>ռու</w:t>
            </w:r>
            <w:r w:rsidRPr="0053423A">
              <w:rPr>
                <w:rFonts w:ascii="GHEA Grapalat" w:hAnsi="GHEA Grapalat"/>
                <w:sz w:val="20"/>
                <w:lang w:val="hy-AM" w:eastAsia="nl-NL"/>
              </w:rPr>
              <w:softHyphen/>
              <w:t xml:space="preserve">թյան մեջ են դրվում համապատասխան մշակաբույսերի տվյալ պայմաններին առավել հարմարված, բարձր բերքատու, որակական առավել մեծ արժեք ունեցող սորտեր և հիբրիդներ, որից շահում է հողօգտագործող սուբյեկտը, վերամշակող ձեռնարկությունը և սպառողը (ազգաբնակչությունը): </w:t>
            </w:r>
          </w:p>
          <w:p w:rsidR="00530B14" w:rsidRPr="0053423A" w:rsidRDefault="00530B14" w:rsidP="00A67858">
            <w:pPr>
              <w:pStyle w:val="a0"/>
              <w:spacing w:line="276" w:lineRule="auto"/>
              <w:ind w:firstLine="709"/>
              <w:jc w:val="both"/>
              <w:rPr>
                <w:rFonts w:ascii="GHEA Grapalat" w:hAnsi="GHEA Grapalat"/>
                <w:sz w:val="20"/>
                <w:lang w:val="hy-AM" w:eastAsia="nl-NL"/>
              </w:rPr>
            </w:pPr>
            <w:r w:rsidRPr="0053423A">
              <w:rPr>
                <w:rFonts w:ascii="GHEA Grapalat" w:hAnsi="GHEA Grapalat"/>
                <w:sz w:val="20"/>
                <w:lang w:val="hy-AM" w:eastAsia="nl-NL"/>
              </w:rPr>
              <w:t>Սերմերի որակի լաբորատոր հետազոտությունները հնարավորություն են ընձե</w:t>
            </w:r>
            <w:r w:rsidRPr="0053423A">
              <w:rPr>
                <w:rFonts w:ascii="GHEA Grapalat" w:hAnsi="GHEA Grapalat"/>
                <w:sz w:val="20"/>
                <w:lang w:val="hy-AM" w:eastAsia="nl-NL"/>
              </w:rPr>
              <w:softHyphen/>
              <w:t>ռում ցանքի համար օգտագործելու համապատասխան ծլունակությամբ, մաքրու</w:t>
            </w:r>
            <w:r w:rsidRPr="0053423A">
              <w:rPr>
                <w:rFonts w:ascii="GHEA Grapalat" w:hAnsi="GHEA Grapalat"/>
                <w:sz w:val="20"/>
                <w:lang w:val="hy-AM" w:eastAsia="nl-NL"/>
              </w:rPr>
              <w:softHyphen/>
              <w:t>թյամբ, հիվանդություններից ու վնասատուներից զերծ սերմացու և տնկանյութ, որի արդյուն</w:t>
            </w:r>
            <w:r w:rsidRPr="0053423A">
              <w:rPr>
                <w:rFonts w:ascii="GHEA Grapalat" w:hAnsi="GHEA Grapalat"/>
                <w:sz w:val="20"/>
                <w:lang w:val="hy-AM" w:eastAsia="nl-NL"/>
              </w:rPr>
              <w:softHyphen/>
              <w:t>քում կրճատվում են միավոր տարածքի վրա ներդրվող ծախսերը, կրճատվում են թունա</w:t>
            </w:r>
            <w:r w:rsidRPr="0053423A">
              <w:rPr>
                <w:rFonts w:ascii="GHEA Grapalat" w:hAnsi="GHEA Grapalat"/>
                <w:sz w:val="20"/>
                <w:lang w:val="hy-AM" w:eastAsia="nl-NL"/>
              </w:rPr>
              <w:softHyphen/>
              <w:t>քիմիկատների օգտագործման չափաբաժինները, ինչպես նաև ստացվող գյուղ</w:t>
            </w:r>
            <w:r w:rsidRPr="0053423A">
              <w:rPr>
                <w:rFonts w:ascii="GHEA Grapalat" w:hAnsi="GHEA Grapalat"/>
                <w:sz w:val="20"/>
                <w:lang w:val="hy-AM" w:eastAsia="nl-NL"/>
              </w:rPr>
              <w:softHyphen/>
              <w:t>մթերքում պարունակվող քիմիական նյութերի մնացորդային պարունակու</w:t>
            </w:r>
            <w:r w:rsidRPr="0053423A">
              <w:rPr>
                <w:rFonts w:ascii="GHEA Grapalat" w:hAnsi="GHEA Grapalat"/>
                <w:sz w:val="20"/>
                <w:lang w:val="hy-AM" w:eastAsia="nl-NL"/>
              </w:rPr>
              <w:softHyphen/>
              <w:t>թյուն</w:t>
            </w:r>
            <w:r w:rsidRPr="0053423A">
              <w:rPr>
                <w:rFonts w:ascii="GHEA Grapalat" w:hAnsi="GHEA Grapalat"/>
                <w:sz w:val="20"/>
                <w:lang w:val="hy-AM" w:eastAsia="nl-NL"/>
              </w:rPr>
              <w:softHyphen/>
              <w:t>ները:</w:t>
            </w:r>
          </w:p>
          <w:p w:rsidR="00530B14" w:rsidRPr="0053423A" w:rsidRDefault="00530B14" w:rsidP="00A67858">
            <w:pPr>
              <w:pStyle w:val="a0"/>
              <w:spacing w:line="276" w:lineRule="auto"/>
              <w:ind w:firstLine="709"/>
              <w:jc w:val="both"/>
              <w:rPr>
                <w:rFonts w:ascii="GHEA Grapalat" w:hAnsi="GHEA Grapalat"/>
                <w:sz w:val="20"/>
                <w:lang w:val="hy-AM" w:eastAsia="nl-NL"/>
              </w:rPr>
            </w:pPr>
            <w:r w:rsidRPr="0053423A">
              <w:rPr>
                <w:rFonts w:ascii="GHEA Grapalat" w:hAnsi="GHEA Grapalat"/>
                <w:sz w:val="20"/>
                <w:lang w:val="hy-AM" w:eastAsia="nl-NL"/>
              </w:rPr>
              <w:t>Ոլորտում ձեռնարկվող միջոցառումների վերաբերյալ տեղեկատվության հրապա</w:t>
            </w:r>
            <w:r w:rsidRPr="0053423A">
              <w:rPr>
                <w:rFonts w:ascii="GHEA Grapalat" w:hAnsi="GHEA Grapalat"/>
                <w:sz w:val="20"/>
                <w:lang w:val="hy-AM" w:eastAsia="nl-NL"/>
              </w:rPr>
              <w:softHyphen/>
              <w:t>րակման միջոցով (տեղեկագրեր, ՀՀ գրանցամատյան) ապահովվում է շահագրգիռ կազմակերպությունների, ֆերմերային տնտեսությունների, հողօտագործողների տեղե</w:t>
            </w:r>
            <w:r w:rsidRPr="0053423A">
              <w:rPr>
                <w:rFonts w:ascii="GHEA Grapalat" w:hAnsi="GHEA Grapalat"/>
                <w:sz w:val="20"/>
                <w:lang w:val="hy-AM" w:eastAsia="nl-NL"/>
              </w:rPr>
              <w:softHyphen/>
              <w:t>կաց</w:t>
            </w:r>
            <w:r w:rsidRPr="0053423A">
              <w:rPr>
                <w:rFonts w:ascii="GHEA Grapalat" w:hAnsi="GHEA Grapalat"/>
                <w:sz w:val="20"/>
                <w:lang w:val="hy-AM" w:eastAsia="nl-NL"/>
              </w:rPr>
              <w:softHyphen/>
              <w:t xml:space="preserve">ված լինելու իրավունքը: </w:t>
            </w:r>
          </w:p>
          <w:p w:rsidR="00530B14" w:rsidRPr="0053423A" w:rsidRDefault="00530B14" w:rsidP="00A67858">
            <w:pPr>
              <w:spacing w:line="276" w:lineRule="auto"/>
              <w:ind w:firstLine="648"/>
              <w:jc w:val="both"/>
              <w:rPr>
                <w:b/>
                <w:lang w:val="hy-AM" w:eastAsia="nl-NL"/>
              </w:rPr>
            </w:pPr>
            <w:r w:rsidRPr="0053423A">
              <w:rPr>
                <w:b/>
                <w:lang w:val="hy-AM" w:eastAsia="nl-NL"/>
              </w:rPr>
              <w:t xml:space="preserve">1.2. Առկա խնդիրների առաջարկվող լուծումները </w:t>
            </w:r>
          </w:p>
          <w:p w:rsidR="00530B14" w:rsidRPr="0053423A" w:rsidRDefault="00530B14" w:rsidP="00A67858">
            <w:pPr>
              <w:spacing w:line="276" w:lineRule="auto"/>
              <w:ind w:firstLine="648"/>
              <w:jc w:val="both"/>
              <w:rPr>
                <w:lang w:val="hy-AM" w:eastAsia="nl-NL"/>
              </w:rPr>
            </w:pPr>
            <w:r w:rsidRPr="0053423A">
              <w:rPr>
                <w:lang w:val="hy-AM" w:eastAsia="nl-NL"/>
              </w:rPr>
              <w:t>«Սերմերի գործակալություն» ՊՈԱԿ-ը կառուցվածքային ստորաբաժանումների միջոցով իր մասնակցությունն է բերում ՀՀ գյուղատնտեսության տարածքային զար</w:t>
            </w:r>
            <w:r w:rsidRPr="0053423A">
              <w:rPr>
                <w:lang w:val="hy-AM" w:eastAsia="nl-NL"/>
              </w:rPr>
              <w:softHyphen/>
              <w:t>գացման ընդհանուր նպատակների և գերակայությունների իրագործմանը:</w:t>
            </w:r>
          </w:p>
          <w:p w:rsidR="00530B14" w:rsidRPr="0053423A" w:rsidRDefault="00530B14" w:rsidP="00A67858">
            <w:pPr>
              <w:spacing w:line="276" w:lineRule="auto"/>
              <w:ind w:firstLine="644"/>
              <w:jc w:val="both"/>
              <w:rPr>
                <w:lang w:val="hy-AM" w:eastAsia="nl-NL"/>
              </w:rPr>
            </w:pPr>
            <w:r w:rsidRPr="0053423A">
              <w:rPr>
                <w:lang w:val="hy-AM" w:eastAsia="nl-NL"/>
              </w:rPr>
              <w:t>Սերմերի որակի հետազոտության լաբորատորիաները տեղաբաշխված են ՀՀ վեց մարզում և լիովին սպասարկում են հանրապետության բոլոր մարզերի ու Երևան քաղաքի գյուղատնտեսական արտադրությամբ զբաղվող ֆիզիկական և իրավաբա</w:t>
            </w:r>
            <w:r w:rsidRPr="0053423A">
              <w:rPr>
                <w:lang w:val="hy-AM" w:eastAsia="nl-NL"/>
              </w:rPr>
              <w:softHyphen/>
              <w:t>նական անձանց՝ լաբորատոր հետազոտության ենթարկելով օգտագործվող սերմի և տնկանյութի հիմնական խմբաքանակները, կանխարգելելով հիվանդու</w:t>
            </w:r>
            <w:r w:rsidRPr="0053423A">
              <w:rPr>
                <w:lang w:val="hy-AM" w:eastAsia="nl-NL"/>
              </w:rPr>
              <w:softHyphen/>
              <w:t>թյունների, վնասատուների զարգացումն ու տարածումը սերմերի միջոցով:</w:t>
            </w:r>
          </w:p>
          <w:p w:rsidR="00530B14" w:rsidRPr="0053423A" w:rsidRDefault="00530B14" w:rsidP="00A67858">
            <w:pPr>
              <w:spacing w:line="276" w:lineRule="auto"/>
              <w:ind w:firstLine="648"/>
              <w:jc w:val="both"/>
              <w:rPr>
                <w:lang w:val="hy-AM" w:eastAsia="nl-NL"/>
              </w:rPr>
            </w:pPr>
            <w:r w:rsidRPr="0053423A">
              <w:rPr>
                <w:lang w:val="hy-AM" w:eastAsia="nl-NL"/>
              </w:rPr>
              <w:t>Այս գործառույթի իրագործումն իր դրական ազդեցությունն է թողնում գյուղա</w:t>
            </w:r>
            <w:r w:rsidRPr="0053423A">
              <w:rPr>
                <w:lang w:val="hy-AM" w:eastAsia="nl-NL"/>
              </w:rPr>
              <w:softHyphen/>
              <w:t>տնտեսական արտադրանքի որակի վրա, ինչպես նաև կրճատում է ֆինանսական միջոցների ծախսը միավոր տարածքի վրա:</w:t>
            </w:r>
          </w:p>
          <w:p w:rsidR="00530B14" w:rsidRPr="0053423A" w:rsidRDefault="00530B14" w:rsidP="00A67858">
            <w:pPr>
              <w:spacing w:line="276" w:lineRule="auto"/>
              <w:ind w:firstLine="648"/>
              <w:jc w:val="both"/>
              <w:rPr>
                <w:lang w:val="hy-AM" w:eastAsia="nl-NL"/>
              </w:rPr>
            </w:pPr>
            <w:r w:rsidRPr="0053423A">
              <w:rPr>
                <w:lang w:val="hy-AM" w:eastAsia="nl-NL"/>
              </w:rPr>
              <w:t>Սորտափորձարկման 6 տեղամասերը տեղաբաշխված են հանրապետության չորս գյուղատնտեսական գոտիներում, որտեղ բույսերի նոր սորտերի փորձարկումների, դաշտային հետազոտությունների անցկացման միջոցով հայտնաբերվում և արտադ</w:t>
            </w:r>
            <w:r w:rsidRPr="0053423A">
              <w:rPr>
                <w:lang w:val="hy-AM" w:eastAsia="nl-NL"/>
              </w:rPr>
              <w:softHyphen/>
              <w:t>րության են երաշխավորվում տվյալ պայմաններին առավել հարմարվող, բարձր բերքատու, որակական առավել լավ հատկանիշներ դրսևորող սորտերն ու հիբրիդները, ինչը իր հերթին նպաստում է գյուղատնտեսական արտադրության արդյունաբերության զարգացմանը, ֆիզիկական և իրավաբանական անձանց մոտ ծախսերի կրճատմանն ու եկամուտների աճին:</w:t>
            </w:r>
          </w:p>
          <w:p w:rsidR="00530B14" w:rsidRPr="0053423A" w:rsidRDefault="00530B14" w:rsidP="00A67858">
            <w:pPr>
              <w:spacing w:line="276" w:lineRule="auto"/>
              <w:ind w:firstLine="648"/>
              <w:jc w:val="both"/>
              <w:rPr>
                <w:lang w:val="hy-AM" w:eastAsia="nl-NL"/>
              </w:rPr>
            </w:pPr>
            <w:r w:rsidRPr="0053423A">
              <w:rPr>
                <w:lang w:val="hy-AM" w:eastAsia="nl-NL"/>
              </w:rPr>
              <w:t>«Սերմերի գործակալություն» ՊՈԱԿ-ը հանդիսանում է «Սերմերի որակի ստուգ</w:t>
            </w:r>
            <w:r w:rsidRPr="0053423A">
              <w:rPr>
                <w:lang w:val="hy-AM" w:eastAsia="nl-NL"/>
              </w:rPr>
              <w:softHyphen/>
              <w:t>ման ու պետական սորտափորձարկման միջոցառումներ» ծրագիրն իրականացնող միակ կազմակերպությունը, չունի այլ համակատարող (կամ գոյություն չունի մեկ այլ կազմակերպություն, որը կարող է իրականացնել գործառույթներից որևէ մեկը):</w:t>
            </w:r>
          </w:p>
          <w:p w:rsidR="00530B14" w:rsidRPr="0053423A" w:rsidRDefault="00530B14" w:rsidP="00A67858">
            <w:pPr>
              <w:pStyle w:val="a0"/>
              <w:spacing w:line="276" w:lineRule="auto"/>
              <w:ind w:firstLine="709"/>
              <w:jc w:val="both"/>
              <w:rPr>
                <w:rFonts w:ascii="GHEA Grapalat" w:hAnsi="GHEA Grapalat"/>
                <w:sz w:val="20"/>
                <w:lang w:eastAsia="nl-NL"/>
              </w:rPr>
            </w:pPr>
            <w:r w:rsidRPr="0053423A">
              <w:rPr>
                <w:rFonts w:ascii="GHEA Grapalat" w:hAnsi="GHEA Grapalat"/>
                <w:sz w:val="20"/>
                <w:lang w:eastAsia="nl-NL"/>
              </w:rPr>
              <w:t>Միջոցառման ընթացքում նախատեսվում է՝</w:t>
            </w:r>
          </w:p>
          <w:p w:rsidR="00530B14" w:rsidRPr="0053423A" w:rsidRDefault="00530B14" w:rsidP="00A67858">
            <w:pPr>
              <w:pStyle w:val="a0"/>
              <w:numPr>
                <w:ilvl w:val="0"/>
                <w:numId w:val="99"/>
              </w:numPr>
              <w:spacing w:line="276" w:lineRule="auto"/>
              <w:ind w:left="0" w:firstLine="284"/>
              <w:jc w:val="both"/>
              <w:rPr>
                <w:rFonts w:ascii="GHEA Grapalat" w:hAnsi="GHEA Grapalat"/>
                <w:sz w:val="20"/>
                <w:lang w:eastAsia="nl-NL"/>
              </w:rPr>
            </w:pPr>
            <w:r w:rsidRPr="0053423A">
              <w:rPr>
                <w:rFonts w:ascii="GHEA Grapalat" w:hAnsi="GHEA Grapalat"/>
                <w:sz w:val="20"/>
                <w:lang w:eastAsia="nl-NL"/>
              </w:rPr>
              <w:t>սելեկցիոն նվաճումների հայտերի փորձաքննություններ, գրանցամատյանի վա</w:t>
            </w:r>
            <w:r w:rsidRPr="0053423A">
              <w:rPr>
                <w:rFonts w:ascii="GHEA Grapalat" w:hAnsi="GHEA Grapalat"/>
                <w:sz w:val="20"/>
                <w:lang w:eastAsia="nl-NL"/>
              </w:rPr>
              <w:softHyphen/>
              <w:t>րում, օրիգինատորի հաշվառում, բույսերի սորտերի նկարագրությունների և բնութա</w:t>
            </w:r>
            <w:r w:rsidRPr="0053423A">
              <w:rPr>
                <w:rFonts w:ascii="GHEA Grapalat" w:hAnsi="GHEA Grapalat"/>
                <w:sz w:val="20"/>
                <w:lang w:eastAsia="nl-NL"/>
              </w:rPr>
              <w:softHyphen/>
              <w:t>գրերի կազմում՝ տարեկան 15 հատ,</w:t>
            </w:r>
          </w:p>
          <w:p w:rsidR="00530B14" w:rsidRPr="0053423A" w:rsidRDefault="00530B14" w:rsidP="00A67858">
            <w:pPr>
              <w:pStyle w:val="a0"/>
              <w:numPr>
                <w:ilvl w:val="0"/>
                <w:numId w:val="99"/>
              </w:numPr>
              <w:spacing w:line="276" w:lineRule="auto"/>
              <w:ind w:left="0" w:firstLine="284"/>
              <w:jc w:val="both"/>
              <w:rPr>
                <w:rFonts w:ascii="GHEA Grapalat" w:hAnsi="GHEA Grapalat"/>
                <w:sz w:val="20"/>
                <w:lang w:eastAsia="nl-NL"/>
              </w:rPr>
            </w:pPr>
            <w:r w:rsidRPr="0053423A">
              <w:rPr>
                <w:rFonts w:ascii="GHEA Grapalat" w:hAnsi="GHEA Grapalat"/>
                <w:sz w:val="20"/>
                <w:lang w:eastAsia="nl-NL"/>
              </w:rPr>
              <w:t>բույսերի սերմերի որակի լաբորատոր հետազոտություններ և փաստաթղթա</w:t>
            </w:r>
            <w:r w:rsidRPr="0053423A">
              <w:rPr>
                <w:rFonts w:ascii="GHEA Grapalat" w:hAnsi="GHEA Grapalat"/>
                <w:sz w:val="20"/>
                <w:lang w:eastAsia="nl-NL"/>
              </w:rPr>
              <w:softHyphen/>
              <w:t>վորում՝ տարեկան 12.23 հազ. տոննա,</w:t>
            </w:r>
          </w:p>
          <w:p w:rsidR="00530B14" w:rsidRPr="0053423A" w:rsidRDefault="00530B14" w:rsidP="00A67858">
            <w:pPr>
              <w:pStyle w:val="a0"/>
              <w:numPr>
                <w:ilvl w:val="0"/>
                <w:numId w:val="99"/>
              </w:numPr>
              <w:spacing w:line="276" w:lineRule="auto"/>
              <w:ind w:left="0" w:firstLine="284"/>
              <w:jc w:val="both"/>
              <w:rPr>
                <w:rFonts w:ascii="GHEA Grapalat" w:hAnsi="GHEA Grapalat"/>
                <w:sz w:val="20"/>
                <w:lang w:eastAsia="nl-NL"/>
              </w:rPr>
            </w:pPr>
            <w:r w:rsidRPr="0053423A">
              <w:rPr>
                <w:rFonts w:ascii="GHEA Grapalat" w:hAnsi="GHEA Grapalat"/>
                <w:sz w:val="20"/>
                <w:lang w:eastAsia="nl-NL"/>
              </w:rPr>
              <w:t>բույսերի նոր սորտերի տեղեկագրի և գրանցամատյանի հրապարակում՝      4800  էջ,</w:t>
            </w:r>
          </w:p>
          <w:p w:rsidR="00530B14" w:rsidRPr="0053423A" w:rsidRDefault="00530B14" w:rsidP="00A67858">
            <w:pPr>
              <w:pStyle w:val="a0"/>
              <w:numPr>
                <w:ilvl w:val="0"/>
                <w:numId w:val="99"/>
              </w:numPr>
              <w:spacing w:line="276" w:lineRule="auto"/>
              <w:ind w:left="0" w:firstLine="284"/>
              <w:jc w:val="both"/>
              <w:rPr>
                <w:rFonts w:ascii="GHEA Grapalat" w:hAnsi="GHEA Grapalat"/>
                <w:sz w:val="20"/>
                <w:lang w:eastAsia="nl-NL"/>
              </w:rPr>
            </w:pPr>
            <w:r w:rsidRPr="0053423A">
              <w:rPr>
                <w:rFonts w:ascii="GHEA Grapalat" w:hAnsi="GHEA Grapalat"/>
                <w:sz w:val="20"/>
                <w:lang w:eastAsia="nl-NL"/>
              </w:rPr>
              <w:t>բույսերի նոր սորտերի ստուգիչ ցանքերի իրականացում և դաշտային փորձար</w:t>
            </w:r>
            <w:r w:rsidRPr="0053423A">
              <w:rPr>
                <w:rFonts w:ascii="GHEA Grapalat" w:hAnsi="GHEA Grapalat"/>
                <w:sz w:val="20"/>
                <w:lang w:eastAsia="nl-NL"/>
              </w:rPr>
              <w:softHyphen/>
              <w:t>կումներ՝ տարեկան 115 հատ:</w:t>
            </w:r>
          </w:p>
          <w:p w:rsidR="00530B14" w:rsidRPr="0053423A" w:rsidRDefault="00530B14" w:rsidP="00A67858">
            <w:pPr>
              <w:pStyle w:val="ListParagraph"/>
              <w:numPr>
                <w:ilvl w:val="0"/>
                <w:numId w:val="100"/>
              </w:numPr>
              <w:spacing w:line="276" w:lineRule="auto"/>
              <w:ind w:firstLine="13"/>
              <w:jc w:val="both"/>
              <w:rPr>
                <w:b/>
                <w:lang w:eastAsia="nl-NL"/>
              </w:rPr>
            </w:pPr>
            <w:r w:rsidRPr="0053423A">
              <w:rPr>
                <w:rFonts w:cs="Sylfaen"/>
                <w:b/>
                <w:lang w:eastAsia="nl-NL"/>
              </w:rPr>
              <w:t>Միջոցառման</w:t>
            </w:r>
            <w:r w:rsidRPr="0053423A">
              <w:rPr>
                <w:b/>
                <w:lang w:eastAsia="nl-NL"/>
              </w:rPr>
              <w:t xml:space="preserve"> իրականացումից ակնկալվող արդյունքը.</w:t>
            </w:r>
          </w:p>
          <w:p w:rsidR="00530B14" w:rsidRPr="0053423A" w:rsidRDefault="00530B14" w:rsidP="00A67858">
            <w:pPr>
              <w:numPr>
                <w:ilvl w:val="0"/>
                <w:numId w:val="99"/>
              </w:numPr>
              <w:tabs>
                <w:tab w:val="left" w:pos="540"/>
              </w:tabs>
              <w:spacing w:line="276" w:lineRule="auto"/>
              <w:ind w:left="0" w:firstLine="284"/>
              <w:jc w:val="both"/>
              <w:rPr>
                <w:lang w:eastAsia="nl-NL"/>
              </w:rPr>
            </w:pPr>
            <w:r w:rsidRPr="0053423A">
              <w:rPr>
                <w:lang w:eastAsia="nl-NL"/>
              </w:rPr>
              <w:t>մշակաբույսերի բերքատվության բարձրացում լավագույն սորտերի արտոնա</w:t>
            </w:r>
            <w:r w:rsidRPr="0053423A">
              <w:rPr>
                <w:lang w:eastAsia="nl-NL"/>
              </w:rPr>
              <w:softHyphen/>
              <w:t>գր</w:t>
            </w:r>
            <w:r w:rsidRPr="0053423A">
              <w:rPr>
                <w:lang w:eastAsia="nl-NL"/>
              </w:rPr>
              <w:softHyphen/>
              <w:t>ման, գրանցման և օգտագործման թույլտվության հատկացումների արդյունքում՝ 5-10 %,</w:t>
            </w:r>
          </w:p>
          <w:p w:rsidR="00530B14" w:rsidRPr="0053423A" w:rsidRDefault="00530B14" w:rsidP="00A67858">
            <w:pPr>
              <w:numPr>
                <w:ilvl w:val="0"/>
                <w:numId w:val="99"/>
              </w:numPr>
              <w:spacing w:line="276" w:lineRule="auto"/>
              <w:ind w:left="0" w:firstLine="284"/>
              <w:jc w:val="both"/>
              <w:rPr>
                <w:lang w:eastAsia="nl-NL"/>
              </w:rPr>
            </w:pPr>
            <w:r w:rsidRPr="0053423A">
              <w:rPr>
                <w:lang w:eastAsia="nl-NL"/>
              </w:rPr>
              <w:t>գյուղատնտեսական մշակաբույսերի ցանքատարածությունների ֆիտոսա</w:t>
            </w:r>
            <w:r w:rsidRPr="0053423A">
              <w:rPr>
                <w:lang w:eastAsia="nl-NL"/>
              </w:rPr>
              <w:softHyphen/>
              <w:t>նիտա</w:t>
            </w:r>
            <w:r w:rsidRPr="0053423A">
              <w:rPr>
                <w:lang w:eastAsia="nl-NL"/>
              </w:rPr>
              <w:softHyphen/>
              <w:t>րական վիճակի բարելավում լաբորատոր հետազոտություն անցած բարձրորակ սեր</w:t>
            </w:r>
            <w:r w:rsidRPr="0053423A">
              <w:rPr>
                <w:lang w:eastAsia="nl-NL"/>
              </w:rPr>
              <w:softHyphen/>
              <w:t>մերի օգտագործման արդյունքում՝ 5–10 %,</w:t>
            </w:r>
          </w:p>
          <w:p w:rsidR="00530B14" w:rsidRPr="0053423A" w:rsidRDefault="00530B14" w:rsidP="00A67858">
            <w:pPr>
              <w:numPr>
                <w:ilvl w:val="0"/>
                <w:numId w:val="99"/>
              </w:numPr>
              <w:spacing w:line="276" w:lineRule="auto"/>
              <w:ind w:left="0" w:firstLine="284"/>
              <w:jc w:val="both"/>
              <w:rPr>
                <w:lang w:eastAsia="nl-NL"/>
              </w:rPr>
            </w:pPr>
            <w:r w:rsidRPr="0053423A">
              <w:rPr>
                <w:lang w:eastAsia="nl-NL"/>
              </w:rPr>
              <w:t>հողօգտագործողների, ոլորտում գործող տնտեսվարող սուբյեկտների տեղեկաց</w:t>
            </w:r>
            <w:r w:rsidRPr="0053423A">
              <w:rPr>
                <w:lang w:eastAsia="nl-NL"/>
              </w:rPr>
              <w:softHyphen/>
              <w:t>վածության, իրազեկման բարձրացում:</w:t>
            </w:r>
          </w:p>
          <w:p w:rsidR="00530B14" w:rsidRPr="0053423A" w:rsidRDefault="00530B14" w:rsidP="00A67858">
            <w:pPr>
              <w:spacing w:line="276" w:lineRule="auto"/>
              <w:jc w:val="center"/>
              <w:rPr>
                <w:b/>
                <w:bCs/>
                <w:iCs/>
              </w:rPr>
            </w:pPr>
          </w:p>
        </w:tc>
      </w:tr>
      <w:tr w:rsidR="00530B14" w:rsidRPr="00DE2EFA" w:rsidTr="004440EB">
        <w:tc>
          <w:tcPr>
            <w:tcW w:w="480" w:type="dxa"/>
          </w:tcPr>
          <w:p w:rsidR="00530B14" w:rsidRPr="0053423A" w:rsidRDefault="00530B14" w:rsidP="00A67858">
            <w:pPr>
              <w:spacing w:line="276" w:lineRule="auto"/>
              <w:jc w:val="center"/>
              <w:rPr>
                <w:b/>
                <w:bCs/>
                <w:iCs/>
                <w:lang w:val="hy-AM"/>
              </w:rPr>
            </w:pPr>
            <w:r w:rsidRPr="0053423A">
              <w:rPr>
                <w:b/>
                <w:bCs/>
                <w:iCs/>
                <w:lang w:val="hy-AM"/>
              </w:rPr>
              <w:t>9</w:t>
            </w:r>
          </w:p>
        </w:tc>
        <w:tc>
          <w:tcPr>
            <w:tcW w:w="10879" w:type="dxa"/>
          </w:tcPr>
          <w:p w:rsidR="00530B14" w:rsidRPr="0053423A" w:rsidRDefault="00530B14" w:rsidP="00A67858">
            <w:pPr>
              <w:spacing w:line="276" w:lineRule="auto"/>
              <w:jc w:val="center"/>
              <w:rPr>
                <w:b/>
                <w:lang w:val="hy-AM"/>
              </w:rPr>
            </w:pPr>
            <w:r w:rsidRPr="0053423A">
              <w:rPr>
                <w:b/>
                <w:lang w:val="hy-AM"/>
              </w:rPr>
              <w:t>Անասնաբուծության զարգացմանն ուղղված պետական աջակցու</w:t>
            </w:r>
            <w:r w:rsidRPr="0053423A">
              <w:rPr>
                <w:b/>
                <w:lang w:val="hy-AM"/>
              </w:rPr>
              <w:softHyphen/>
              <w:t>թյան ծրագրերի իրա</w:t>
            </w:r>
            <w:r w:rsidRPr="0053423A">
              <w:rPr>
                <w:b/>
                <w:lang w:val="hy-AM"/>
              </w:rPr>
              <w:softHyphen/>
              <w:t>կա</w:t>
            </w:r>
            <w:r w:rsidRPr="0053423A">
              <w:rPr>
                <w:b/>
                <w:lang w:val="hy-AM"/>
              </w:rPr>
              <w:softHyphen/>
              <w:t>նացում, տոհմաբուծա</w:t>
            </w:r>
            <w:r w:rsidRPr="0053423A">
              <w:rPr>
                <w:b/>
                <w:lang w:val="hy-AM"/>
              </w:rPr>
              <w:softHyphen/>
              <w:t>րան</w:t>
            </w:r>
            <w:r w:rsidRPr="0053423A">
              <w:rPr>
                <w:b/>
                <w:lang w:val="hy-AM"/>
              </w:rPr>
              <w:softHyphen/>
              <w:t>ների ստեղծմանն աջակցություն</w:t>
            </w:r>
          </w:p>
          <w:p w:rsidR="00530B14" w:rsidRPr="0053423A" w:rsidRDefault="00530B14" w:rsidP="00A67858">
            <w:pPr>
              <w:spacing w:line="276" w:lineRule="auto"/>
              <w:jc w:val="center"/>
              <w:rPr>
                <w:b/>
                <w:lang w:val="hy-AM"/>
              </w:rPr>
            </w:pPr>
          </w:p>
          <w:p w:rsidR="00530B14" w:rsidRPr="0053423A" w:rsidRDefault="00530B14" w:rsidP="00A67858">
            <w:pPr>
              <w:spacing w:line="276" w:lineRule="auto"/>
              <w:ind w:firstLine="375"/>
              <w:jc w:val="center"/>
              <w:rPr>
                <w:b/>
                <w:u w:val="single"/>
                <w:lang w:val="hy-AM"/>
              </w:rPr>
            </w:pPr>
            <w:r w:rsidRPr="0053423A">
              <w:rPr>
                <w:b/>
                <w:u w:val="single"/>
                <w:lang w:val="hy-AM"/>
              </w:rPr>
              <w:t>9.1 Հայաստանի Հանրապետությունում 2019-2024 թվականների տավարաբուծության զարգացման ծրագրի իրականացում</w:t>
            </w:r>
          </w:p>
          <w:p w:rsidR="00530B14" w:rsidRPr="0053423A" w:rsidRDefault="00530B14" w:rsidP="00A67858">
            <w:pPr>
              <w:spacing w:line="276" w:lineRule="auto"/>
              <w:ind w:firstLine="375"/>
              <w:jc w:val="center"/>
              <w:rPr>
                <w:b/>
                <w:u w:val="single"/>
                <w:lang w:val="hy-AM"/>
              </w:rPr>
            </w:pPr>
          </w:p>
          <w:p w:rsidR="00530B14" w:rsidRPr="0053423A" w:rsidRDefault="00530B14" w:rsidP="00A67858">
            <w:pPr>
              <w:spacing w:line="276" w:lineRule="auto"/>
              <w:ind w:left="279"/>
              <w:jc w:val="both"/>
              <w:rPr>
                <w:rFonts w:cs="Sylfaen"/>
                <w:b/>
                <w:lang w:val="hy-AM"/>
              </w:rPr>
            </w:pPr>
            <w:r w:rsidRPr="0053423A">
              <w:rPr>
                <w:b/>
                <w:lang w:val="hy-AM"/>
              </w:rPr>
              <w:tab/>
              <w:t>1</w:t>
            </w:r>
            <w:r w:rsidRPr="0053423A">
              <w:rPr>
                <w:lang w:val="hy-AM"/>
              </w:rPr>
              <w:t>.</w:t>
            </w:r>
            <w:r w:rsidRPr="0053423A">
              <w:rPr>
                <w:i/>
                <w:lang w:val="hy-AM"/>
              </w:rPr>
              <w:t xml:space="preserve"> </w:t>
            </w:r>
            <w:r w:rsidRPr="0053423A">
              <w:rPr>
                <w:rFonts w:eastAsia="Calibri"/>
                <w:b/>
                <w:lang w:val="hy-AM"/>
              </w:rPr>
              <w:t>Միջոցառման իրականացման ա</w:t>
            </w:r>
            <w:r w:rsidRPr="0053423A">
              <w:rPr>
                <w:rFonts w:cs="Sylfaen"/>
                <w:b/>
                <w:lang w:val="hy-AM"/>
              </w:rPr>
              <w:t>նհրաժեշտությունը և նպատակը</w:t>
            </w:r>
          </w:p>
          <w:p w:rsidR="00530B14" w:rsidRPr="0053423A" w:rsidRDefault="00530B14" w:rsidP="00A67858">
            <w:pPr>
              <w:spacing w:line="276" w:lineRule="auto"/>
              <w:ind w:firstLine="375"/>
              <w:jc w:val="both"/>
              <w:rPr>
                <w:lang w:val="hy-AM"/>
              </w:rPr>
            </w:pPr>
            <w:r w:rsidRPr="0053423A">
              <w:rPr>
                <w:rFonts w:cs="Sylfaen"/>
                <w:lang w:val="hy-AM"/>
              </w:rPr>
              <w:tab/>
            </w:r>
            <w:r w:rsidRPr="0053423A">
              <w:rPr>
                <w:lang w:val="hy-AM"/>
              </w:rPr>
              <w:t>Հայաստանի</w:t>
            </w:r>
            <w:r w:rsidRPr="0053423A">
              <w:rPr>
                <w:lang w:val="it-IT"/>
              </w:rPr>
              <w:t xml:space="preserve"> </w:t>
            </w:r>
            <w:r w:rsidRPr="0053423A">
              <w:rPr>
                <w:lang w:val="hy-AM"/>
              </w:rPr>
              <w:t>Հանրապետությունում</w:t>
            </w:r>
            <w:r w:rsidRPr="0053423A">
              <w:rPr>
                <w:lang w:val="it-IT"/>
              </w:rPr>
              <w:t xml:space="preserve"> 201</w:t>
            </w:r>
            <w:r w:rsidRPr="0053423A">
              <w:rPr>
                <w:lang w:val="hy-AM"/>
              </w:rPr>
              <w:t>9</w:t>
            </w:r>
            <w:r w:rsidRPr="0053423A">
              <w:rPr>
                <w:lang w:val="it-IT"/>
              </w:rPr>
              <w:t xml:space="preserve">-2024 </w:t>
            </w:r>
            <w:r w:rsidRPr="0053423A">
              <w:rPr>
                <w:lang w:val="hy-AM"/>
              </w:rPr>
              <w:t>թվականների</w:t>
            </w:r>
            <w:r w:rsidRPr="0053423A">
              <w:rPr>
                <w:lang w:val="it-IT"/>
              </w:rPr>
              <w:t xml:space="preserve"> </w:t>
            </w:r>
            <w:r w:rsidRPr="0053423A">
              <w:rPr>
                <w:lang w:val="hy-AM"/>
              </w:rPr>
              <w:t>տավարաբուծու</w:t>
            </w:r>
            <w:r w:rsidRPr="0053423A">
              <w:rPr>
                <w:lang w:val="hy-AM"/>
              </w:rPr>
              <w:softHyphen/>
              <w:t>թյան</w:t>
            </w:r>
            <w:r w:rsidRPr="0053423A">
              <w:rPr>
                <w:lang w:val="it-IT"/>
              </w:rPr>
              <w:t xml:space="preserve"> </w:t>
            </w:r>
            <w:r w:rsidRPr="0053423A">
              <w:rPr>
                <w:lang w:val="hy-AM"/>
              </w:rPr>
              <w:t>զարգացման</w:t>
            </w:r>
            <w:r w:rsidRPr="0053423A">
              <w:rPr>
                <w:lang w:val="it-IT"/>
              </w:rPr>
              <w:t xml:space="preserve"> </w:t>
            </w:r>
            <w:r w:rsidRPr="0053423A">
              <w:rPr>
                <w:lang w:val="hy-AM"/>
              </w:rPr>
              <w:t xml:space="preserve">ծրագրի </w:t>
            </w:r>
            <w:r w:rsidRPr="0053423A">
              <w:rPr>
                <w:rFonts w:cs="Sylfaen"/>
                <w:lang w:val="hy-AM"/>
              </w:rPr>
              <w:t xml:space="preserve">(այսուհետ՝ Ծրագիր) իրականացումը բխում է ՀՀ ԱԺ 2019 թվականի փետրվարի 14-ի ԱԺՈ-002-Ն որոշմամբ հավանության արժանացած ՀՀ կառավարության ծրագրից </w:t>
            </w:r>
            <w:r w:rsidRPr="0053423A">
              <w:rPr>
                <w:rFonts w:cs="Sylfaen"/>
                <w:lang w:val="af-ZA"/>
              </w:rPr>
              <w:t>(</w:t>
            </w:r>
            <w:r w:rsidRPr="0053423A">
              <w:rPr>
                <w:rFonts w:cs="Sylfaen"/>
                <w:lang w:val="hy-AM"/>
              </w:rPr>
              <w:t>5.10. Գյուղատնտեսությունը բաժին, 7-րդ պարբերության 4-րդ դրույթ):</w:t>
            </w:r>
          </w:p>
          <w:p w:rsidR="00530B14" w:rsidRPr="0053423A" w:rsidRDefault="00530B14" w:rsidP="00A67858">
            <w:pPr>
              <w:spacing w:line="276" w:lineRule="auto"/>
              <w:ind w:firstLine="375"/>
              <w:jc w:val="both"/>
              <w:rPr>
                <w:lang w:val="hy-AM"/>
              </w:rPr>
            </w:pPr>
            <w:r w:rsidRPr="0053423A">
              <w:rPr>
                <w:rFonts w:cs="Sylfaen"/>
                <w:lang w:val="hy-AM"/>
              </w:rPr>
              <w:tab/>
              <w:t>Ծրագրի նպատակը</w:t>
            </w:r>
            <w:r w:rsidRPr="0053423A">
              <w:rPr>
                <w:rFonts w:cs="Sylfaen"/>
                <w:b/>
                <w:i/>
                <w:lang w:val="hy-AM"/>
              </w:rPr>
              <w:t xml:space="preserve"> </w:t>
            </w:r>
            <w:r w:rsidRPr="0053423A">
              <w:rPr>
                <w:rFonts w:cs="Sylfaen"/>
                <w:lang w:val="hy-AM"/>
              </w:rPr>
              <w:t>ՀՀ-ում տավարաբուծությամբ զբաղվող տնտեսավարող</w:t>
            </w:r>
            <w:r w:rsidRPr="0053423A">
              <w:rPr>
                <w:rFonts w:cs="Sylfaen"/>
                <w:lang w:val="hy-AM"/>
              </w:rPr>
              <w:softHyphen/>
              <w:t>նե</w:t>
            </w:r>
            <w:r w:rsidRPr="0053423A">
              <w:rPr>
                <w:rFonts w:cs="Sylfaen"/>
                <w:lang w:val="hy-AM"/>
              </w:rPr>
              <w:softHyphen/>
              <w:t>րին մատչելի պայմաններով, մասնավորապես՝ վարկերի տոկոսադրույքի մասնակի սուբսիդավորման միջոցով տոհմային խոշոր եղջերավոր կենդանինդերի մատակարա</w:t>
            </w:r>
            <w:r w:rsidRPr="0053423A">
              <w:rPr>
                <w:rFonts w:cs="Sylfaen"/>
                <w:lang w:val="hy-AM"/>
              </w:rPr>
              <w:softHyphen/>
              <w:t>րումն է, ինչը հնարավորություն կընձեռի անհայտ ծագումնաբանությամբ, վերարտադ</w:t>
            </w:r>
            <w:r w:rsidRPr="0053423A">
              <w:rPr>
                <w:rFonts w:cs="Sylfaen"/>
                <w:lang w:val="hy-AM"/>
              </w:rPr>
              <w:softHyphen/>
              <w:t>րության համար ոչ պիտանի, ցածր մթերատու կենդանիների փոխարեն նախիրները համալրել արտադրատնտեսական արժեքավոր հատկանիշներով օժտված Տոհմային ԽԵԿ-ով, զարգացնել տոհմային գործը, միջցեղային տրամախաչումների միջոցով բարելավել տեղական կենդանիների մթերատվությունը, ավելացնել կաթի և մսի արտադ</w:t>
            </w:r>
            <w:r w:rsidRPr="0053423A">
              <w:rPr>
                <w:rFonts w:cs="Sylfaen"/>
                <w:lang w:val="hy-AM"/>
              </w:rPr>
              <w:softHyphen/>
            </w:r>
            <w:r w:rsidRPr="0053423A">
              <w:rPr>
                <w:rFonts w:cs="Sylfaen"/>
                <w:lang w:val="hy-AM"/>
              </w:rPr>
              <w:softHyphen/>
              <w:t xml:space="preserve">րության ծավալները, նվազեցնել արտադրվող կաթի և մսի ինքնարժեքը՝ ներկրվող համանման արտադրանքի նկատմամբ այն դարձնելով առավել մրցունակ:  </w:t>
            </w:r>
          </w:p>
          <w:p w:rsidR="00530B14" w:rsidRPr="0053423A" w:rsidRDefault="00530B14" w:rsidP="00A67858">
            <w:pPr>
              <w:pStyle w:val="ListParagraph"/>
              <w:numPr>
                <w:ilvl w:val="1"/>
                <w:numId w:val="100"/>
              </w:numPr>
              <w:tabs>
                <w:tab w:val="left" w:pos="1170"/>
              </w:tabs>
              <w:spacing w:line="276" w:lineRule="auto"/>
              <w:ind w:left="0" w:firstLine="720"/>
              <w:jc w:val="both"/>
              <w:rPr>
                <w:i/>
                <w:lang w:val="hy-AM"/>
              </w:rPr>
            </w:pPr>
            <w:r w:rsidRPr="0053423A">
              <w:rPr>
                <w:b/>
                <w:lang w:val="hy-AM"/>
              </w:rPr>
              <w:tab/>
              <w:t>Կարգավորման հարաբերությունների ներկա վիճակը և առկա խնդիրները</w:t>
            </w:r>
          </w:p>
          <w:p w:rsidR="00530B14" w:rsidRPr="0053423A" w:rsidRDefault="00530B14" w:rsidP="00A67858">
            <w:pPr>
              <w:spacing w:line="276" w:lineRule="auto"/>
              <w:jc w:val="both"/>
              <w:rPr>
                <w:i/>
                <w:lang w:val="hy-AM"/>
              </w:rPr>
            </w:pPr>
            <w:r w:rsidRPr="0053423A">
              <w:rPr>
                <w:rFonts w:cs="Sylfaen"/>
                <w:lang w:val="hy-AM"/>
              </w:rPr>
              <w:tab/>
              <w:t>Հայաստանի Հանրապետությունում անասնագլխաքանակի մասնատման, ինչ</w:t>
            </w:r>
            <w:r w:rsidRPr="0053423A">
              <w:rPr>
                <w:rFonts w:cs="Sylfaen"/>
                <w:lang w:val="hy-AM"/>
              </w:rPr>
              <w:softHyphen/>
              <w:t>պես նաև նախիրներում տոհմային կենդանիների գլխաքանակի կրճատման արդյուն</w:t>
            </w:r>
            <w:r w:rsidRPr="0053423A">
              <w:rPr>
                <w:rFonts w:cs="Sylfaen"/>
                <w:lang w:val="hy-AM"/>
              </w:rPr>
              <w:softHyphen/>
              <w:t xml:space="preserve">քում լուրջ խոչընդոտներ են առաջացել լայնածավալ տոհմասելեկցիոն աշխատանքների իրականացման գործում: Դրա հետևանքով կովերի միջին կաթնատվությունը տարիներ շարունակ տատանվում է 2000 կգ-ի սահմաններում։ Մինչդեռ տավարաբուծության վարման ժամանակակից տեխնոլոգիաները և բարձր մթերատու ցեղերի գենոֆոնդի օգտագործումը հնարավորություն են ընձեռում կովերից ստանալ տարեկան առնվազն 4000 կգ կաթ, իսկ մսի համար բտված տավարն իրացնել 450 կգ և բարձր կենդանի զանգվածով: </w:t>
            </w:r>
            <w:r w:rsidRPr="0053423A">
              <w:rPr>
                <w:lang w:val="hy-AM"/>
              </w:rPr>
              <w:t>Ուստի անհրաժեշտ է պետական աջակցության միջոցով խթանել հանրա</w:t>
            </w:r>
            <w:r w:rsidRPr="0053423A">
              <w:rPr>
                <w:lang w:val="hy-AM"/>
              </w:rPr>
              <w:softHyphen/>
              <w:t>պետությունում տոհմային կենդանիների ձեռք բերումը (տեղի արտադրողներից կամ արտերկրից)՝ նպաստելով հանրապետությունում տավարի նախիրները բարձր գենո</w:t>
            </w:r>
            <w:r w:rsidRPr="0053423A">
              <w:rPr>
                <w:lang w:val="hy-AM"/>
              </w:rPr>
              <w:softHyphen/>
              <w:t>ֆոնդով օժտված կենդանիներով համալրմանը:</w:t>
            </w:r>
          </w:p>
          <w:p w:rsidR="00530B14" w:rsidRPr="0053423A" w:rsidRDefault="00530B14" w:rsidP="00A67858">
            <w:pPr>
              <w:pStyle w:val="ListParagraph"/>
              <w:numPr>
                <w:ilvl w:val="1"/>
                <w:numId w:val="100"/>
              </w:numPr>
              <w:spacing w:line="276" w:lineRule="auto"/>
              <w:ind w:firstLine="0"/>
              <w:jc w:val="both"/>
              <w:rPr>
                <w:b/>
                <w:lang w:val="hy-AM"/>
              </w:rPr>
            </w:pPr>
            <w:r w:rsidRPr="0053423A">
              <w:rPr>
                <w:b/>
                <w:lang w:val="hy-AM"/>
              </w:rPr>
              <w:t xml:space="preserve">առկա խնդիրների առաջարկվող լուծումները </w:t>
            </w:r>
          </w:p>
          <w:p w:rsidR="00530B14" w:rsidRPr="0053423A" w:rsidRDefault="00530B14" w:rsidP="00A67858">
            <w:pPr>
              <w:spacing w:line="276" w:lineRule="auto"/>
              <w:jc w:val="both"/>
              <w:rPr>
                <w:b/>
                <w:lang w:val="hy-AM"/>
              </w:rPr>
            </w:pPr>
            <w:r w:rsidRPr="0053423A">
              <w:rPr>
                <w:lang w:val="hy-AM"/>
              </w:rPr>
              <w:tab/>
              <w:t xml:space="preserve"> Ծրագիրը նախատեսում է Հայաստանի Հանրապետության պետական բյուջեի միջոցներով իրականացնել Տոհմային ԽԵԿ-ի ձեռք բերման պետական աջակցություն, ինչը հնարավորություն կընձեռի բարձրացնել նախիրների տոհմային արժեքը և տավա</w:t>
            </w:r>
            <w:r w:rsidRPr="0053423A">
              <w:rPr>
                <w:lang w:val="hy-AM"/>
              </w:rPr>
              <w:softHyphen/>
              <w:t>րաբուծությունում վերականգնել տոհմային գործընթացը</w:t>
            </w:r>
          </w:p>
          <w:p w:rsidR="00530B14" w:rsidRPr="0053423A" w:rsidRDefault="00530B14" w:rsidP="00A67858">
            <w:pPr>
              <w:spacing w:line="276" w:lineRule="auto"/>
              <w:ind w:firstLine="810"/>
              <w:jc w:val="both"/>
              <w:rPr>
                <w:b/>
                <w:lang w:val="hy-AM"/>
              </w:rPr>
            </w:pPr>
            <w:r w:rsidRPr="0053423A">
              <w:rPr>
                <w:b/>
                <w:lang w:val="hy-AM"/>
              </w:rPr>
              <w:t>2.</w:t>
            </w:r>
            <w:r w:rsidRPr="0053423A">
              <w:rPr>
                <w:i/>
                <w:lang w:val="hy-AM"/>
              </w:rPr>
              <w:t xml:space="preserve"> </w:t>
            </w:r>
            <w:r w:rsidRPr="0053423A">
              <w:rPr>
                <w:b/>
                <w:lang w:val="hy-AM"/>
              </w:rPr>
              <w:t>Միջոցառման իրականացումից ակնկալվող արդյունքը</w:t>
            </w:r>
          </w:p>
          <w:p w:rsidR="00530B14" w:rsidRPr="0053423A" w:rsidRDefault="00530B14" w:rsidP="00A67858">
            <w:pPr>
              <w:spacing w:line="276" w:lineRule="auto"/>
              <w:ind w:firstLine="375"/>
              <w:jc w:val="both"/>
              <w:rPr>
                <w:lang w:val="hy-AM"/>
              </w:rPr>
            </w:pPr>
            <w:r w:rsidRPr="0053423A">
              <w:rPr>
                <w:lang w:val="hy-AM"/>
              </w:rPr>
              <w:tab/>
              <w:t>Ծրագրի իրականացումը կնպաստի գենետիկական բարձր ներուժով օժտված խոշոր եղջերավոր տոհմային կենդանիների ձեռք բերման ակտիվացմանը, հանրա</w:t>
            </w:r>
            <w:r w:rsidRPr="0053423A">
              <w:rPr>
                <w:lang w:val="hy-AM"/>
              </w:rPr>
              <w:softHyphen/>
              <w:t>պետությունում տավարաբուծության ճյուղի աստիճանական ինտենսիվացմանը, տոհ</w:t>
            </w:r>
            <w:r w:rsidRPr="0053423A">
              <w:rPr>
                <w:lang w:val="hy-AM"/>
              </w:rPr>
              <w:softHyphen/>
              <w:t>մային կենդանիների տեսակարար կշռի ավելացմանը, հանրապետությունում բուծվող ցեղերի ցեղայնության բարելավմանը և կատարելագործմանը, կաթի ու մսի արտադ</w:t>
            </w:r>
            <w:r w:rsidRPr="0053423A">
              <w:rPr>
                <w:lang w:val="hy-AM"/>
              </w:rPr>
              <w:softHyphen/>
              <w:t>րության ծավալների ավելացմանը, տոհմասելեկցիոն աշխատանքների բարելավման միջոցով տոհմային մատղաշների աճեցմանը և այլն:</w:t>
            </w:r>
          </w:p>
          <w:p w:rsidR="00530B14" w:rsidRPr="0053423A" w:rsidRDefault="00530B14" w:rsidP="00A67858">
            <w:pPr>
              <w:spacing w:line="276" w:lineRule="auto"/>
              <w:ind w:firstLine="375"/>
              <w:jc w:val="both"/>
              <w:rPr>
                <w:lang w:val="hy-AM"/>
              </w:rPr>
            </w:pPr>
          </w:p>
          <w:p w:rsidR="00530B14" w:rsidRPr="0053423A" w:rsidRDefault="00530B14" w:rsidP="00A67858">
            <w:pPr>
              <w:spacing w:line="276" w:lineRule="auto"/>
              <w:ind w:firstLine="375"/>
              <w:jc w:val="center"/>
              <w:rPr>
                <w:b/>
                <w:u w:val="single"/>
                <w:lang w:val="it-IT"/>
              </w:rPr>
            </w:pPr>
            <w:r w:rsidRPr="0053423A">
              <w:rPr>
                <w:b/>
                <w:u w:val="single"/>
                <w:lang w:val="hy-AM"/>
              </w:rPr>
              <w:t>9.2</w:t>
            </w:r>
            <w:r w:rsidRPr="0053423A">
              <w:rPr>
                <w:rFonts w:ascii="Calibri" w:hAnsi="Calibri" w:cs="Calibri"/>
                <w:b/>
                <w:u w:val="single"/>
                <w:lang w:val="hy-AM"/>
              </w:rPr>
              <w:t> </w:t>
            </w:r>
            <w:r w:rsidRPr="0053423A">
              <w:rPr>
                <w:b/>
                <w:u w:val="single"/>
                <w:lang w:val="hy-AM"/>
              </w:rPr>
              <w:t xml:space="preserve"> </w:t>
            </w:r>
            <w:r w:rsidRPr="0053423A">
              <w:rPr>
                <w:rFonts w:cs="GHEA Grapalat"/>
                <w:b/>
                <w:u w:val="single"/>
                <w:lang w:val="hy-AM"/>
              </w:rPr>
              <w:t>Թռչնաբուծության</w:t>
            </w:r>
            <w:r w:rsidRPr="0053423A">
              <w:rPr>
                <w:b/>
                <w:u w:val="single"/>
                <w:lang w:val="hy-AM"/>
              </w:rPr>
              <w:t xml:space="preserve"> </w:t>
            </w:r>
            <w:r w:rsidRPr="0053423A">
              <w:rPr>
                <w:rFonts w:cs="GHEA Grapalat"/>
                <w:b/>
                <w:u w:val="single"/>
                <w:lang w:val="hy-AM"/>
              </w:rPr>
              <w:t>զարգացման</w:t>
            </w:r>
            <w:r w:rsidRPr="0053423A">
              <w:rPr>
                <w:b/>
                <w:u w:val="single"/>
                <w:lang w:val="hy-AM"/>
              </w:rPr>
              <w:t xml:space="preserve"> </w:t>
            </w:r>
            <w:r w:rsidRPr="0053423A">
              <w:rPr>
                <w:rFonts w:cs="GHEA Grapalat"/>
                <w:b/>
                <w:u w:val="single"/>
                <w:lang w:val="hy-AM"/>
              </w:rPr>
              <w:t>ծրագրի</w:t>
            </w:r>
            <w:r w:rsidRPr="0053423A">
              <w:rPr>
                <w:b/>
                <w:u w:val="single"/>
                <w:lang w:val="hy-AM"/>
              </w:rPr>
              <w:t xml:space="preserve"> </w:t>
            </w:r>
            <w:r w:rsidRPr="0053423A">
              <w:rPr>
                <w:rFonts w:cs="GHEA Grapalat"/>
                <w:b/>
                <w:u w:val="single"/>
                <w:lang w:val="hy-AM"/>
              </w:rPr>
              <w:t>մշակում</w:t>
            </w:r>
            <w:r w:rsidRPr="0053423A">
              <w:rPr>
                <w:b/>
                <w:u w:val="single"/>
                <w:lang w:val="hy-AM"/>
              </w:rPr>
              <w:t xml:space="preserve"> </w:t>
            </w:r>
            <w:r w:rsidRPr="0053423A">
              <w:rPr>
                <w:rFonts w:cs="GHEA Grapalat"/>
                <w:b/>
                <w:u w:val="single"/>
                <w:lang w:val="hy-AM"/>
              </w:rPr>
              <w:t>և</w:t>
            </w:r>
            <w:r w:rsidRPr="0053423A">
              <w:rPr>
                <w:b/>
                <w:u w:val="single"/>
                <w:lang w:val="hy-AM"/>
              </w:rPr>
              <w:t xml:space="preserve"> </w:t>
            </w:r>
            <w:r w:rsidRPr="0053423A">
              <w:rPr>
                <w:rFonts w:cs="GHEA Grapalat"/>
                <w:b/>
                <w:u w:val="single"/>
                <w:lang w:val="hy-AM"/>
              </w:rPr>
              <w:t>իրականաց</w:t>
            </w:r>
            <w:r w:rsidRPr="0053423A">
              <w:rPr>
                <w:b/>
                <w:u w:val="single"/>
                <w:lang w:val="hy-AM"/>
              </w:rPr>
              <w:t>ում</w:t>
            </w:r>
          </w:p>
          <w:p w:rsidR="00530B14" w:rsidRPr="0053423A" w:rsidRDefault="00530B14" w:rsidP="00A67858">
            <w:pPr>
              <w:spacing w:line="276" w:lineRule="auto"/>
              <w:ind w:firstLine="375"/>
              <w:jc w:val="center"/>
              <w:rPr>
                <w:b/>
                <w:lang w:val="hy-AM"/>
              </w:rPr>
            </w:pPr>
          </w:p>
          <w:p w:rsidR="00530B14" w:rsidRPr="0053423A" w:rsidRDefault="00530B14" w:rsidP="00A67858">
            <w:pPr>
              <w:spacing w:line="276" w:lineRule="auto"/>
              <w:ind w:left="279" w:firstLine="351"/>
              <w:jc w:val="both"/>
              <w:rPr>
                <w:rFonts w:cs="Sylfaen"/>
                <w:b/>
                <w:lang w:val="hy-AM"/>
              </w:rPr>
            </w:pPr>
            <w:r w:rsidRPr="0053423A">
              <w:rPr>
                <w:b/>
                <w:lang w:val="hy-AM"/>
              </w:rPr>
              <w:t>1</w:t>
            </w:r>
            <w:r w:rsidRPr="0053423A">
              <w:rPr>
                <w:lang w:val="hy-AM"/>
              </w:rPr>
              <w:t>.</w:t>
            </w:r>
            <w:r w:rsidRPr="0053423A">
              <w:rPr>
                <w:i/>
                <w:lang w:val="hy-AM"/>
              </w:rPr>
              <w:t xml:space="preserve"> </w:t>
            </w:r>
            <w:r w:rsidRPr="0053423A">
              <w:rPr>
                <w:rFonts w:eastAsia="Calibri"/>
                <w:b/>
                <w:lang w:val="hy-AM"/>
              </w:rPr>
              <w:t>Միջոցառման իրականացման ա</w:t>
            </w:r>
            <w:r w:rsidRPr="0053423A">
              <w:rPr>
                <w:rFonts w:cs="Sylfaen"/>
                <w:b/>
                <w:lang w:val="hy-AM"/>
              </w:rPr>
              <w:t>նհրաժեշտությունը և նպատակը</w:t>
            </w:r>
          </w:p>
          <w:p w:rsidR="00530B14" w:rsidRPr="0053423A" w:rsidRDefault="00530B14" w:rsidP="00A67858">
            <w:pPr>
              <w:spacing w:line="276" w:lineRule="auto"/>
              <w:ind w:firstLine="375"/>
              <w:jc w:val="both"/>
              <w:rPr>
                <w:lang w:val="hy-AM"/>
              </w:rPr>
            </w:pPr>
            <w:r w:rsidRPr="0053423A">
              <w:rPr>
                <w:lang w:val="hy-AM"/>
              </w:rPr>
              <w:tab/>
              <w:t>Թռչնաբուծության զարգացման ռազմավարական ծրագրի մշակումն ու   իրակա</w:t>
            </w:r>
            <w:r w:rsidRPr="0053423A">
              <w:rPr>
                <w:lang w:val="hy-AM"/>
              </w:rPr>
              <w:softHyphen/>
              <w:t>նացումը</w:t>
            </w:r>
            <w:r w:rsidRPr="0053423A">
              <w:rPr>
                <w:rFonts w:cs="Sylfaen"/>
                <w:lang w:val="hy-AM"/>
              </w:rPr>
              <w:t xml:space="preserve"> (այսուհետ՝ Ծրագիր) բխում է ՀՀ ԱԺ 2019 թվականի փետրվարի 14-ի ԱԺՈ-002-Ն որոշմամբ հավանության արժանացած ՀՀ կառավարության ծրագրից </w:t>
            </w:r>
            <w:r w:rsidRPr="0053423A">
              <w:rPr>
                <w:rFonts w:cs="Sylfaen"/>
                <w:lang w:val="af-ZA"/>
              </w:rPr>
              <w:t>(</w:t>
            </w:r>
            <w:r w:rsidRPr="0053423A">
              <w:rPr>
                <w:rFonts w:cs="Sylfaen"/>
                <w:lang w:val="hy-AM"/>
              </w:rPr>
              <w:t>5.10. Գյուղատնտեսությունըբաժին, 7-րդ պարբերության 4-րդ դրույթ):</w:t>
            </w:r>
          </w:p>
          <w:p w:rsidR="00530B14" w:rsidRPr="0053423A" w:rsidRDefault="00530B14" w:rsidP="00A67858">
            <w:pPr>
              <w:tabs>
                <w:tab w:val="left" w:pos="0"/>
                <w:tab w:val="left" w:pos="720"/>
              </w:tabs>
              <w:spacing w:line="276" w:lineRule="auto"/>
              <w:jc w:val="both"/>
              <w:rPr>
                <w:rFonts w:eastAsia="Calibri"/>
                <w:lang w:val="it-IT"/>
              </w:rPr>
            </w:pPr>
            <w:r w:rsidRPr="0053423A">
              <w:rPr>
                <w:rFonts w:eastAsia="Calibri"/>
                <w:lang w:val="hy-AM"/>
              </w:rPr>
              <w:t xml:space="preserve">      </w:t>
            </w:r>
            <w:r w:rsidRPr="0053423A">
              <w:rPr>
                <w:rFonts w:eastAsia="Calibri"/>
                <w:lang w:val="hy-AM"/>
              </w:rPr>
              <w:tab/>
              <w:t>Ծրագիրը նպատակ ունի բարձրացնել ճյուղի արդյունավետությունը, նվազեցնել թռչնամսի միավոր արտադրանքի ինքնարժեքը և ավելացնել թռչնամսի արտադ</w:t>
            </w:r>
            <w:r w:rsidRPr="0053423A">
              <w:rPr>
                <w:rFonts w:eastAsia="Calibri"/>
                <w:lang w:val="hy-AM"/>
              </w:rPr>
              <w:softHyphen/>
              <w:t>րության ծավալները՝ տարեկան 4.5-5.5 հազար տոննայով (սպանդային զանգված):</w:t>
            </w:r>
          </w:p>
          <w:p w:rsidR="00530B14" w:rsidRPr="0053423A" w:rsidRDefault="00530B14" w:rsidP="001F6D5D">
            <w:pPr>
              <w:pStyle w:val="ListParagraph"/>
              <w:numPr>
                <w:ilvl w:val="1"/>
                <w:numId w:val="111"/>
              </w:numPr>
              <w:tabs>
                <w:tab w:val="left" w:pos="1080"/>
              </w:tabs>
              <w:spacing w:line="276" w:lineRule="auto"/>
              <w:ind w:left="0" w:firstLine="630"/>
              <w:jc w:val="both"/>
              <w:rPr>
                <w:i/>
                <w:lang w:val="hy-AM"/>
              </w:rPr>
            </w:pPr>
            <w:r w:rsidRPr="0053423A">
              <w:rPr>
                <w:b/>
                <w:lang w:val="hy-AM"/>
              </w:rPr>
              <w:t>Կարգավորման հարաբերությունների ներկա վիճակը և առկա խնդիր</w:t>
            </w:r>
            <w:r w:rsidRPr="0053423A">
              <w:rPr>
                <w:b/>
                <w:lang w:val="it-IT"/>
              </w:rPr>
              <w:softHyphen/>
            </w:r>
            <w:r w:rsidRPr="0053423A">
              <w:rPr>
                <w:b/>
                <w:lang w:val="hy-AM"/>
              </w:rPr>
              <w:t>ները</w:t>
            </w:r>
          </w:p>
          <w:p w:rsidR="00530B14" w:rsidRPr="0053423A" w:rsidRDefault="00530B14" w:rsidP="00A67858">
            <w:pPr>
              <w:tabs>
                <w:tab w:val="left" w:pos="0"/>
                <w:tab w:val="left" w:pos="720"/>
              </w:tabs>
              <w:spacing w:line="276" w:lineRule="auto"/>
              <w:jc w:val="both"/>
              <w:rPr>
                <w:rFonts w:eastAsia="Calibri"/>
                <w:lang w:val="hy-AM"/>
              </w:rPr>
            </w:pPr>
            <w:r w:rsidRPr="0053423A">
              <w:rPr>
                <w:rFonts w:eastAsia="Calibri"/>
                <w:lang w:val="it-IT"/>
              </w:rPr>
              <w:tab/>
            </w:r>
            <w:r w:rsidRPr="0053423A">
              <w:rPr>
                <w:rFonts w:eastAsia="Calibri"/>
                <w:lang w:val="hy-AM"/>
              </w:rPr>
              <w:t>Թռչնաբուծությունը անասնաբուծության կարևոր ճյուղերից մեկն է:</w:t>
            </w:r>
            <w:r w:rsidRPr="0053423A">
              <w:rPr>
                <w:rFonts w:eastAsia="Calibri"/>
                <w:lang w:val="it-IT"/>
              </w:rPr>
              <w:t xml:space="preserve"> </w:t>
            </w:r>
            <w:r w:rsidRPr="0053423A">
              <w:rPr>
                <w:rFonts w:eastAsia="Calibri"/>
                <w:lang w:val="hy-AM"/>
              </w:rPr>
              <w:t>Թռչուններից ստանում են բնակչության կողմից մեծ պահանջարկ ունեցող բարձրարժեք սննդա</w:t>
            </w:r>
            <w:r w:rsidRPr="0053423A">
              <w:rPr>
                <w:rFonts w:eastAsia="Calibri"/>
                <w:lang w:val="it-IT"/>
              </w:rPr>
              <w:softHyphen/>
            </w:r>
            <w:r w:rsidRPr="0053423A">
              <w:rPr>
                <w:rFonts w:eastAsia="Calibri"/>
                <w:lang w:val="hy-AM"/>
              </w:rPr>
              <w:t xml:space="preserve">մթերք՝ ձու, թռչնամիս: </w:t>
            </w:r>
          </w:p>
          <w:p w:rsidR="00530B14" w:rsidRPr="0053423A" w:rsidRDefault="00530B14" w:rsidP="00A67858">
            <w:pPr>
              <w:spacing w:line="276" w:lineRule="auto"/>
              <w:ind w:firstLine="708"/>
              <w:jc w:val="both"/>
              <w:rPr>
                <w:rFonts w:cs="Sylfaen"/>
                <w:lang w:val="hy-AM"/>
              </w:rPr>
            </w:pPr>
            <w:r w:rsidRPr="0053423A">
              <w:rPr>
                <w:rFonts w:cs="Sylfaen"/>
                <w:lang w:val="hy-AM"/>
              </w:rPr>
              <w:t>Հանրապետությունում գործող թռչնաբուծարանները ներկայումս ապահովում են տեղական շուկայի ձվի պահանջարկի 100 և թռչնամսի՝ շուրջ 25%-ը, մինչդեռ թռչնամսի արտարդրությամբ զբաղվող խոշոր և միջին առևտրային ընկերությունների առկա կարողությունների լիարժեք օգտագործման դեպքում թռչնամսի արտադրության տարեկան ծավալներն առաջիկա 5 տարիների ընթացքում կարելի է ավելացնել ավելի քան 3 անգամ։ Նշված ցուցանիշին հասնելու համար անհրաժեշտ է իրականացնել համալիր միջոցառումներ, որոնք կուղղվեն թռչնաբուծության զարգացմանը, կերի բազայի ամրապնդմանը և թռչնամսի արտադրության ծավալների ավելացմանը:</w:t>
            </w:r>
          </w:p>
          <w:p w:rsidR="00530B14" w:rsidRPr="0053423A" w:rsidRDefault="00530B14" w:rsidP="001F6D5D">
            <w:pPr>
              <w:pStyle w:val="ListParagraph"/>
              <w:numPr>
                <w:ilvl w:val="1"/>
                <w:numId w:val="111"/>
              </w:numPr>
              <w:spacing w:line="276" w:lineRule="auto"/>
              <w:ind w:firstLine="13"/>
              <w:jc w:val="both"/>
              <w:rPr>
                <w:b/>
                <w:lang w:val="hy-AM"/>
              </w:rPr>
            </w:pPr>
            <w:r w:rsidRPr="0053423A">
              <w:rPr>
                <w:b/>
                <w:lang w:val="hy-AM"/>
              </w:rPr>
              <w:t xml:space="preserve">առկա խնդիրների առաջարկվող լուծումները </w:t>
            </w:r>
          </w:p>
          <w:p w:rsidR="00530B14" w:rsidRPr="0053423A" w:rsidRDefault="00530B14" w:rsidP="00A67858">
            <w:pPr>
              <w:tabs>
                <w:tab w:val="left" w:pos="0"/>
                <w:tab w:val="left" w:pos="720"/>
              </w:tabs>
              <w:spacing w:line="276" w:lineRule="auto"/>
              <w:jc w:val="both"/>
              <w:rPr>
                <w:rFonts w:eastAsia="Calibri"/>
                <w:lang w:val="hy-AM"/>
              </w:rPr>
            </w:pPr>
            <w:r w:rsidRPr="0053423A">
              <w:rPr>
                <w:rFonts w:cs="Sylfaen"/>
                <w:lang w:val="hy-AM"/>
              </w:rPr>
              <w:tab/>
              <w:t>Ծրագիրն</w:t>
            </w:r>
            <w:r w:rsidRPr="0053423A">
              <w:rPr>
                <w:lang w:val="hy-AM"/>
              </w:rPr>
              <w:t xml:space="preserve"> իրականացնելու համար նախատեսվում է իրականացնել </w:t>
            </w:r>
            <w:r w:rsidRPr="0053423A">
              <w:rPr>
                <w:rFonts w:eastAsia="Calibri"/>
                <w:lang w:val="hy-AM"/>
              </w:rPr>
              <w:t>թռչնա</w:t>
            </w:r>
            <w:r w:rsidRPr="0053423A">
              <w:rPr>
                <w:rFonts w:eastAsia="Calibri"/>
                <w:lang w:val="hy-AM"/>
              </w:rPr>
              <w:softHyphen/>
              <w:t>մսի ար</w:t>
            </w:r>
            <w:r w:rsidRPr="0053423A">
              <w:rPr>
                <w:rFonts w:eastAsia="Calibri"/>
                <w:lang w:val="hy-AM"/>
              </w:rPr>
              <w:softHyphen/>
              <w:t>տադ</w:t>
            </w:r>
            <w:r w:rsidRPr="0053423A">
              <w:rPr>
                <w:rFonts w:eastAsia="Calibri"/>
                <w:lang w:val="hy-AM"/>
              </w:rPr>
              <w:softHyphen/>
              <w:t>րության ծավալ</w:t>
            </w:r>
            <w:r w:rsidRPr="0053423A">
              <w:rPr>
                <w:rFonts w:eastAsia="Calibri"/>
                <w:lang w:val="hy-AM"/>
              </w:rPr>
              <w:softHyphen/>
              <w:t>ների ուսում</w:t>
            </w:r>
            <w:r w:rsidRPr="0053423A">
              <w:rPr>
                <w:rFonts w:eastAsia="Calibri"/>
                <w:lang w:val="hy-AM"/>
              </w:rPr>
              <w:softHyphen/>
              <w:t>նա</w:t>
            </w:r>
            <w:r w:rsidRPr="0053423A">
              <w:rPr>
                <w:rFonts w:eastAsia="Calibri"/>
                <w:lang w:val="hy-AM"/>
              </w:rPr>
              <w:softHyphen/>
              <w:t>սիրու</w:t>
            </w:r>
            <w:r w:rsidRPr="0053423A">
              <w:rPr>
                <w:rFonts w:eastAsia="Calibri"/>
                <w:lang w:val="hy-AM"/>
              </w:rPr>
              <w:softHyphen/>
              <w:t>թյուն և վերլու</w:t>
            </w:r>
            <w:r w:rsidRPr="0053423A">
              <w:rPr>
                <w:rFonts w:eastAsia="Calibri"/>
                <w:lang w:val="hy-AM"/>
              </w:rPr>
              <w:softHyphen/>
              <w:t>ծություն</w:t>
            </w:r>
            <w:r w:rsidRPr="0053423A">
              <w:rPr>
                <w:lang w:val="hy-AM"/>
              </w:rPr>
              <w:t xml:space="preserve">, </w:t>
            </w:r>
            <w:r w:rsidRPr="0053423A">
              <w:rPr>
                <w:rFonts w:eastAsia="Calibri"/>
                <w:lang w:val="hy-AM"/>
              </w:rPr>
              <w:t>թռչնաբուծա</w:t>
            </w:r>
            <w:r w:rsidRPr="0053423A">
              <w:rPr>
                <w:rFonts w:eastAsia="Calibri"/>
                <w:lang w:val="hy-AM"/>
              </w:rPr>
              <w:softHyphen/>
              <w:t>կան տնտեսու</w:t>
            </w:r>
            <w:r w:rsidRPr="0053423A">
              <w:rPr>
                <w:rFonts w:eastAsia="Calibri"/>
                <w:lang w:val="hy-AM"/>
              </w:rPr>
              <w:softHyphen/>
              <w:t>թյուն</w:t>
            </w:r>
            <w:r w:rsidRPr="0053423A">
              <w:rPr>
                <w:rFonts w:eastAsia="Calibri"/>
                <w:lang w:val="hy-AM"/>
              </w:rPr>
              <w:softHyphen/>
              <w:t>ների հզորու</w:t>
            </w:r>
            <w:r w:rsidRPr="0053423A">
              <w:rPr>
                <w:rFonts w:eastAsia="Calibri"/>
                <w:lang w:val="hy-AM"/>
              </w:rPr>
              <w:softHyphen/>
              <w:t>թյունների ուսում</w:t>
            </w:r>
            <w:r w:rsidRPr="0053423A">
              <w:rPr>
                <w:rFonts w:eastAsia="Calibri"/>
                <w:lang w:val="hy-AM"/>
              </w:rPr>
              <w:softHyphen/>
              <w:t>նասիրություն,</w:t>
            </w:r>
            <w:r w:rsidRPr="0053423A">
              <w:rPr>
                <w:lang w:val="hy-AM"/>
              </w:rPr>
              <w:t xml:space="preserve">ինչպես նաև </w:t>
            </w:r>
            <w:r w:rsidRPr="0053423A">
              <w:rPr>
                <w:rFonts w:eastAsia="Calibri"/>
                <w:lang w:val="hy-AM"/>
              </w:rPr>
              <w:t>հանրապետու</w:t>
            </w:r>
            <w:r w:rsidRPr="0053423A">
              <w:rPr>
                <w:rFonts w:eastAsia="Calibri"/>
                <w:lang w:val="hy-AM"/>
              </w:rPr>
              <w:softHyphen/>
              <w:t>թյու</w:t>
            </w:r>
            <w:r w:rsidRPr="0053423A">
              <w:rPr>
                <w:rFonts w:eastAsia="Calibri"/>
                <w:lang w:val="hy-AM"/>
              </w:rPr>
              <w:softHyphen/>
              <w:t>նում թռչուն</w:t>
            </w:r>
            <w:r w:rsidRPr="0053423A">
              <w:rPr>
                <w:rFonts w:eastAsia="Calibri"/>
                <w:lang w:val="hy-AM"/>
              </w:rPr>
              <w:softHyphen/>
              <w:t>ների ծնո</w:t>
            </w:r>
            <w:r w:rsidRPr="0053423A">
              <w:rPr>
                <w:rFonts w:eastAsia="Calibri"/>
                <w:lang w:val="hy-AM"/>
              </w:rPr>
              <w:softHyphen/>
              <w:t>ղա</w:t>
            </w:r>
            <w:r w:rsidRPr="0053423A">
              <w:rPr>
                <w:rFonts w:eastAsia="Calibri"/>
                <w:lang w:val="hy-AM"/>
              </w:rPr>
              <w:softHyphen/>
              <w:t>կան ձևերի արտադ</w:t>
            </w:r>
            <w:r w:rsidRPr="0053423A">
              <w:rPr>
                <w:rFonts w:eastAsia="Calibri"/>
                <w:lang w:val="hy-AM"/>
              </w:rPr>
              <w:softHyphen/>
              <w:t>րու</w:t>
            </w:r>
            <w:r w:rsidRPr="0053423A">
              <w:rPr>
                <w:rFonts w:eastAsia="Calibri"/>
                <w:lang w:val="hy-AM"/>
              </w:rPr>
              <w:softHyphen/>
              <w:t>թյան հնա</w:t>
            </w:r>
            <w:r w:rsidRPr="0053423A">
              <w:rPr>
                <w:rFonts w:eastAsia="Calibri"/>
                <w:lang w:val="hy-AM"/>
              </w:rPr>
              <w:softHyphen/>
              <w:t>րավորու</w:t>
            </w:r>
            <w:r w:rsidRPr="0053423A">
              <w:rPr>
                <w:rFonts w:eastAsia="Calibri"/>
                <w:lang w:val="hy-AM"/>
              </w:rPr>
              <w:softHyphen/>
              <w:t>թյուն</w:t>
            </w:r>
            <w:r w:rsidRPr="0053423A">
              <w:rPr>
                <w:rFonts w:eastAsia="Calibri"/>
                <w:lang w:val="hy-AM"/>
              </w:rPr>
              <w:softHyphen/>
              <w:t>ների և ֆինանսական ծա</w:t>
            </w:r>
            <w:r w:rsidRPr="0053423A">
              <w:rPr>
                <w:rFonts w:eastAsia="Calibri"/>
                <w:lang w:val="hy-AM"/>
              </w:rPr>
              <w:softHyphen/>
              <w:t>վալ</w:t>
            </w:r>
            <w:r w:rsidRPr="0053423A">
              <w:rPr>
                <w:rFonts w:eastAsia="Calibri"/>
                <w:lang w:val="hy-AM"/>
              </w:rPr>
              <w:softHyphen/>
              <w:t>ների գնահա</w:t>
            </w:r>
            <w:r w:rsidRPr="0053423A">
              <w:rPr>
                <w:rFonts w:eastAsia="Calibri"/>
                <w:lang w:val="hy-AM"/>
              </w:rPr>
              <w:softHyphen/>
              <w:t>տում</w:t>
            </w:r>
            <w:r w:rsidRPr="0053423A">
              <w:rPr>
                <w:lang w:val="hy-AM"/>
              </w:rPr>
              <w:t xml:space="preserve">: Վերոնշյալ քայլերն իրականացնելուց հետո կկատարվի </w:t>
            </w:r>
            <w:r w:rsidRPr="0053423A">
              <w:rPr>
                <w:rFonts w:eastAsia="Calibri"/>
                <w:lang w:val="hy-AM"/>
              </w:rPr>
              <w:t>ծրագրի մշա</w:t>
            </w:r>
            <w:r w:rsidRPr="0053423A">
              <w:rPr>
                <w:rFonts w:eastAsia="Calibri"/>
                <w:lang w:val="hy-AM"/>
              </w:rPr>
              <w:softHyphen/>
              <w:t>կում:</w:t>
            </w:r>
          </w:p>
          <w:p w:rsidR="00530B14" w:rsidRPr="0053423A" w:rsidRDefault="00530B14" w:rsidP="00A67858">
            <w:pPr>
              <w:spacing w:line="276" w:lineRule="auto"/>
              <w:ind w:firstLine="733"/>
              <w:jc w:val="both"/>
              <w:rPr>
                <w:b/>
                <w:lang w:val="hy-AM"/>
              </w:rPr>
            </w:pPr>
            <w:r w:rsidRPr="0053423A">
              <w:rPr>
                <w:b/>
                <w:lang w:val="hy-AM"/>
              </w:rPr>
              <w:t>2.</w:t>
            </w:r>
            <w:r w:rsidRPr="0053423A">
              <w:rPr>
                <w:i/>
                <w:lang w:val="hy-AM"/>
              </w:rPr>
              <w:t xml:space="preserve"> </w:t>
            </w:r>
            <w:r w:rsidRPr="0053423A">
              <w:rPr>
                <w:b/>
                <w:lang w:val="hy-AM"/>
              </w:rPr>
              <w:t>Միջոցառման իրականացումից ակնկալվող արդյունքը</w:t>
            </w:r>
          </w:p>
          <w:p w:rsidR="00530B14" w:rsidRPr="0053423A" w:rsidRDefault="00530B14" w:rsidP="00A67858">
            <w:pPr>
              <w:tabs>
                <w:tab w:val="left" w:pos="0"/>
                <w:tab w:val="left" w:pos="810"/>
              </w:tabs>
              <w:spacing w:line="276" w:lineRule="auto"/>
              <w:ind w:firstLine="90"/>
              <w:jc w:val="both"/>
              <w:rPr>
                <w:rFonts w:eastAsia="Calibri"/>
                <w:lang w:val="hy-AM"/>
              </w:rPr>
            </w:pPr>
            <w:r w:rsidRPr="0053423A">
              <w:rPr>
                <w:rFonts w:eastAsia="Calibri"/>
                <w:lang w:val="hy-AM"/>
              </w:rPr>
              <w:tab/>
              <w:t>Ծրագրի իրականացման արդյունքում՝</w:t>
            </w:r>
          </w:p>
          <w:p w:rsidR="00530B14" w:rsidRPr="0053423A" w:rsidRDefault="00530B14" w:rsidP="001F6D5D">
            <w:pPr>
              <w:pStyle w:val="ListParagraph"/>
              <w:numPr>
                <w:ilvl w:val="0"/>
                <w:numId w:val="114"/>
              </w:numPr>
              <w:tabs>
                <w:tab w:val="left" w:pos="0"/>
                <w:tab w:val="left" w:pos="1170"/>
              </w:tabs>
              <w:spacing w:line="276" w:lineRule="auto"/>
              <w:ind w:left="0" w:firstLine="810"/>
              <w:jc w:val="both"/>
              <w:rPr>
                <w:rFonts w:eastAsia="Calibri"/>
                <w:lang w:val="hy-AM"/>
              </w:rPr>
            </w:pPr>
            <w:r w:rsidRPr="0053423A">
              <w:rPr>
                <w:rFonts w:cs="Sylfaen"/>
                <w:lang w:val="hy-AM"/>
              </w:rPr>
              <w:t>հնարավորություն կընձեռնվի 3 անգամ ավելացնել թռչնամսի արտադ</w:t>
            </w:r>
            <w:r w:rsidRPr="0053423A">
              <w:rPr>
                <w:rFonts w:cs="Sylfaen"/>
                <w:lang w:val="hy-AM"/>
              </w:rPr>
              <w:softHyphen/>
              <w:t>րու</w:t>
            </w:r>
            <w:r w:rsidRPr="0053423A">
              <w:rPr>
                <w:rFonts w:cs="Sylfaen"/>
                <w:lang w:val="hy-AM"/>
              </w:rPr>
              <w:softHyphen/>
              <w:t xml:space="preserve">թյան տարեկան ծավալը, </w:t>
            </w:r>
          </w:p>
          <w:p w:rsidR="00530B14" w:rsidRPr="0053423A" w:rsidRDefault="00530B14" w:rsidP="001F6D5D">
            <w:pPr>
              <w:pStyle w:val="ListParagraph"/>
              <w:numPr>
                <w:ilvl w:val="0"/>
                <w:numId w:val="114"/>
              </w:numPr>
              <w:tabs>
                <w:tab w:val="left" w:pos="0"/>
                <w:tab w:val="left" w:pos="1170"/>
              </w:tabs>
              <w:spacing w:line="276" w:lineRule="auto"/>
              <w:ind w:left="0" w:firstLine="810"/>
              <w:jc w:val="both"/>
              <w:rPr>
                <w:rFonts w:eastAsia="Calibri"/>
                <w:lang w:val="hy-AM"/>
              </w:rPr>
            </w:pPr>
            <w:r w:rsidRPr="0053423A">
              <w:rPr>
                <w:rFonts w:cs="Sylfaen"/>
                <w:lang w:val="hy-AM"/>
              </w:rPr>
              <w:t xml:space="preserve">առավել արդյունավետ կօգտագործվեն առկա ենթակառուցվածքները և արտադրական կարողություններն ու  կամրապնդվի թռչնաբուծության կերի բազան, </w:t>
            </w:r>
          </w:p>
          <w:p w:rsidR="00530B14" w:rsidRPr="0053423A" w:rsidRDefault="00530B14" w:rsidP="001F6D5D">
            <w:pPr>
              <w:pStyle w:val="ListParagraph"/>
              <w:numPr>
                <w:ilvl w:val="0"/>
                <w:numId w:val="114"/>
              </w:numPr>
              <w:tabs>
                <w:tab w:val="left" w:pos="0"/>
                <w:tab w:val="left" w:pos="1170"/>
              </w:tabs>
              <w:spacing w:line="276" w:lineRule="auto"/>
              <w:ind w:left="0" w:firstLine="810"/>
              <w:jc w:val="both"/>
              <w:rPr>
                <w:rFonts w:eastAsia="Calibri"/>
                <w:lang w:val="hy-AM"/>
              </w:rPr>
            </w:pPr>
            <w:r w:rsidRPr="0053423A">
              <w:rPr>
                <w:rFonts w:cs="Sylfaen"/>
                <w:lang w:val="hy-AM"/>
              </w:rPr>
              <w:t>ձվի արտադրությամբ զբաղվող թռչնաբուծարանների միջև կսահմանվեն ապրանքային ձվի արտադրության համամասնական չափաքանակներ, իսկ ձվի ավել</w:t>
            </w:r>
            <w:r w:rsidRPr="0053423A">
              <w:rPr>
                <w:rFonts w:cs="Sylfaen"/>
                <w:lang w:val="hy-AM"/>
              </w:rPr>
              <w:softHyphen/>
              <w:t>ցուկը կօգտագործվի վերամշակման նպատակով:</w:t>
            </w:r>
          </w:p>
          <w:p w:rsidR="00530B14" w:rsidRPr="0053423A" w:rsidRDefault="00530B14" w:rsidP="00A67858">
            <w:pPr>
              <w:spacing w:line="276" w:lineRule="auto"/>
              <w:rPr>
                <w:lang w:val="hy-AM"/>
              </w:rPr>
            </w:pPr>
          </w:p>
          <w:p w:rsidR="00530B14" w:rsidRPr="0053423A" w:rsidRDefault="00530B14" w:rsidP="00A67858">
            <w:pPr>
              <w:spacing w:line="276" w:lineRule="auto"/>
              <w:jc w:val="center"/>
              <w:rPr>
                <w:rFonts w:cs="Sylfaen"/>
                <w:b/>
                <w:u w:val="single"/>
                <w:lang w:val="hy-AM"/>
              </w:rPr>
            </w:pPr>
            <w:r w:rsidRPr="0053423A">
              <w:rPr>
                <w:rFonts w:cs="Sylfaen"/>
                <w:b/>
                <w:u w:val="single"/>
                <w:lang w:val="hy-AM"/>
              </w:rPr>
              <w:t xml:space="preserve">9.3 Գյուղատնտեսական կենդանիների համարակալման և հաշվառման </w:t>
            </w:r>
          </w:p>
          <w:p w:rsidR="00530B14" w:rsidRPr="0053423A" w:rsidRDefault="00530B14" w:rsidP="00A67858">
            <w:pPr>
              <w:spacing w:line="276" w:lineRule="auto"/>
              <w:jc w:val="center"/>
              <w:rPr>
                <w:rFonts w:cs="Sylfaen"/>
                <w:b/>
                <w:u w:val="single"/>
                <w:lang w:val="hy-AM"/>
              </w:rPr>
            </w:pPr>
            <w:r w:rsidRPr="0053423A">
              <w:rPr>
                <w:rFonts w:cs="Sylfaen"/>
                <w:b/>
                <w:u w:val="single"/>
                <w:lang w:val="hy-AM"/>
              </w:rPr>
              <w:t>համակարգի ներդրում</w:t>
            </w:r>
          </w:p>
          <w:p w:rsidR="00530B14" w:rsidRPr="0053423A" w:rsidRDefault="00530B14" w:rsidP="00A67858">
            <w:pPr>
              <w:spacing w:line="276" w:lineRule="auto"/>
              <w:rPr>
                <w:lang w:val="hy-AM"/>
              </w:rPr>
            </w:pPr>
          </w:p>
          <w:p w:rsidR="00530B14" w:rsidRPr="0053423A" w:rsidRDefault="00530B14" w:rsidP="001F6D5D">
            <w:pPr>
              <w:pStyle w:val="BodyTextIndent"/>
              <w:numPr>
                <w:ilvl w:val="0"/>
                <w:numId w:val="125"/>
              </w:numPr>
              <w:tabs>
                <w:tab w:val="left" w:pos="709"/>
              </w:tabs>
              <w:spacing w:after="0" w:line="276" w:lineRule="auto"/>
              <w:ind w:right="-31" w:firstLine="13"/>
              <w:jc w:val="both"/>
              <w:rPr>
                <w:rFonts w:ascii="GHEA Grapalat" w:hAnsi="GHEA Grapalat"/>
                <w:b/>
                <w:sz w:val="20"/>
                <w:szCs w:val="20"/>
              </w:rPr>
            </w:pPr>
            <w:r w:rsidRPr="0053423A">
              <w:rPr>
                <w:rFonts w:ascii="GHEA Grapalat" w:hAnsi="GHEA Grapalat"/>
                <w:b/>
                <w:sz w:val="20"/>
                <w:szCs w:val="20"/>
              </w:rPr>
              <w:t>Միջոցառ</w:t>
            </w:r>
            <w:r w:rsidRPr="0053423A">
              <w:rPr>
                <w:rFonts w:ascii="GHEA Grapalat" w:hAnsi="GHEA Grapalat"/>
                <w:b/>
                <w:sz w:val="20"/>
                <w:szCs w:val="20"/>
                <w:lang w:val="ru-RU"/>
              </w:rPr>
              <w:t>ման</w:t>
            </w:r>
            <w:r w:rsidRPr="0053423A">
              <w:rPr>
                <w:rFonts w:ascii="GHEA Grapalat" w:hAnsi="GHEA Grapalat"/>
                <w:b/>
                <w:sz w:val="20"/>
                <w:szCs w:val="20"/>
              </w:rPr>
              <w:t xml:space="preserve"> իրականացման անհրաժեշտությունը և նպատակը </w:t>
            </w:r>
          </w:p>
          <w:p w:rsidR="00530B14" w:rsidRPr="0053423A" w:rsidRDefault="00530B14" w:rsidP="00A67858">
            <w:pPr>
              <w:spacing w:line="276" w:lineRule="auto"/>
              <w:ind w:right="-31" w:firstLine="708"/>
              <w:jc w:val="both"/>
              <w:rPr>
                <w:lang w:val="hy-AM"/>
              </w:rPr>
            </w:pPr>
            <w:r w:rsidRPr="0053423A">
              <w:rPr>
                <w:rFonts w:cs="Sylfaen"/>
              </w:rPr>
              <w:t>Գյուղատնտեսական կենդանիների համարակալման և հաշվառման համակարգի ներդր</w:t>
            </w:r>
            <w:r w:rsidRPr="0053423A">
              <w:rPr>
                <w:rFonts w:cs="Sylfaen"/>
                <w:lang w:val="hy-AM"/>
              </w:rPr>
              <w:t>ման անհրաժեշտու</w:t>
            </w:r>
            <w:r w:rsidRPr="0053423A">
              <w:rPr>
                <w:rFonts w:cs="Sylfaen"/>
              </w:rPr>
              <w:softHyphen/>
            </w:r>
            <w:r w:rsidRPr="0053423A">
              <w:rPr>
                <w:rFonts w:cs="Sylfaen"/>
                <w:lang w:val="hy-AM"/>
              </w:rPr>
              <w:t>թյունը բխում է  ՀՀ ԱԺ 2019 թվականի փետրվարի 14-ի ԱԺՈ-002-Ն որոշմամբ հավա</w:t>
            </w:r>
            <w:r w:rsidRPr="0053423A">
              <w:rPr>
                <w:rFonts w:cs="Sylfaen"/>
              </w:rPr>
              <w:softHyphen/>
            </w:r>
            <w:r w:rsidRPr="0053423A">
              <w:rPr>
                <w:rFonts w:cs="Sylfaen"/>
                <w:lang w:val="hy-AM"/>
              </w:rPr>
              <w:t>նու</w:t>
            </w:r>
            <w:r w:rsidRPr="0053423A">
              <w:rPr>
                <w:rFonts w:cs="Sylfaen"/>
              </w:rPr>
              <w:softHyphen/>
            </w:r>
            <w:r w:rsidRPr="0053423A">
              <w:rPr>
                <w:rFonts w:cs="Sylfaen"/>
                <w:lang w:val="hy-AM"/>
              </w:rPr>
              <w:t xml:space="preserve">թյան արժանացած ՀՀ կառավարության ծրագրից </w:t>
            </w:r>
            <w:r w:rsidRPr="0053423A">
              <w:rPr>
                <w:rFonts w:cs="Sylfaen"/>
                <w:lang w:val="af-ZA"/>
              </w:rPr>
              <w:t>(</w:t>
            </w:r>
            <w:r w:rsidRPr="0053423A">
              <w:rPr>
                <w:rFonts w:cs="Sylfaen"/>
                <w:lang w:val="hy-AM"/>
              </w:rPr>
              <w:t xml:space="preserve">5.10. Գյուղատնտեսությունը բաժին, 7-րդ պարբերության 4-րդ դրույթ), </w:t>
            </w:r>
            <w:r w:rsidRPr="0053423A">
              <w:rPr>
                <w:rFonts w:cs="Sylfaen"/>
                <w:lang w:val="af-ZA"/>
              </w:rPr>
              <w:t>ՀՀ կառավա</w:t>
            </w:r>
            <w:r w:rsidRPr="0053423A">
              <w:rPr>
                <w:rFonts w:cs="Sylfaen"/>
                <w:lang w:val="af-ZA"/>
              </w:rPr>
              <w:softHyphen/>
              <w:t>րության 2010 թվականի նոյեմ</w:t>
            </w:r>
            <w:r w:rsidRPr="0053423A">
              <w:rPr>
                <w:rFonts w:cs="Sylfaen"/>
                <w:lang w:val="af-ZA"/>
              </w:rPr>
              <w:softHyphen/>
              <w:t>բերի 4-ի N 1476-Ն որոշ</w:t>
            </w:r>
            <w:r w:rsidRPr="0053423A">
              <w:rPr>
                <w:rFonts w:cs="Sylfaen"/>
                <w:lang w:val="af-ZA"/>
              </w:rPr>
              <w:softHyphen/>
            </w:r>
            <w:r w:rsidRPr="0053423A">
              <w:rPr>
                <w:rFonts w:cs="Sylfaen"/>
                <w:lang w:val="af-ZA"/>
              </w:rPr>
              <w:softHyphen/>
              <w:t>մամբ հաս</w:t>
            </w:r>
            <w:r w:rsidRPr="0053423A">
              <w:rPr>
                <w:rFonts w:cs="Sylfaen"/>
                <w:lang w:val="af-ZA"/>
              </w:rPr>
              <w:softHyphen/>
              <w:t>տատ</w:t>
            </w:r>
            <w:r w:rsidRPr="0053423A">
              <w:rPr>
                <w:rFonts w:cs="Sylfaen"/>
                <w:lang w:val="af-ZA"/>
              </w:rPr>
              <w:softHyphen/>
              <w:t>ված Հայաստանի Հան</w:t>
            </w:r>
            <w:r w:rsidRPr="0053423A">
              <w:rPr>
                <w:rFonts w:cs="Sylfaen"/>
                <w:lang w:val="af-ZA"/>
              </w:rPr>
              <w:softHyphen/>
              <w:t>րա</w:t>
            </w:r>
            <w:r w:rsidRPr="0053423A">
              <w:rPr>
                <w:rFonts w:cs="Sylfaen"/>
                <w:lang w:val="af-ZA"/>
              </w:rPr>
              <w:softHyphen/>
              <w:t>պե</w:t>
            </w:r>
            <w:r w:rsidRPr="0053423A">
              <w:rPr>
                <w:rFonts w:cs="Sylfaen"/>
                <w:lang w:val="af-ZA"/>
              </w:rPr>
              <w:softHyphen/>
              <w:t>տու</w:t>
            </w:r>
            <w:r w:rsidRPr="0053423A">
              <w:rPr>
                <w:rFonts w:cs="Sylfaen"/>
                <w:lang w:val="af-ZA"/>
              </w:rPr>
              <w:softHyphen/>
              <w:t>թյան գյուղի և գյուղա</w:t>
            </w:r>
            <w:r w:rsidRPr="0053423A">
              <w:rPr>
                <w:rFonts w:cs="Sylfaen"/>
                <w:lang w:val="af-ZA"/>
              </w:rPr>
              <w:softHyphen/>
              <w:t>տն</w:t>
            </w:r>
            <w:r w:rsidRPr="0053423A">
              <w:rPr>
                <w:rFonts w:cs="Sylfaen"/>
                <w:lang w:val="af-ZA"/>
              </w:rPr>
              <w:softHyphen/>
              <w:t>տե</w:t>
            </w:r>
            <w:r w:rsidRPr="0053423A">
              <w:rPr>
                <w:rFonts w:cs="Sylfaen"/>
                <w:lang w:val="af-ZA"/>
              </w:rPr>
              <w:softHyphen/>
              <w:t>սության 2010-2020 թվականների կայուն զար</w:t>
            </w:r>
            <w:r w:rsidRPr="0053423A">
              <w:rPr>
                <w:rFonts w:cs="Sylfaen"/>
                <w:lang w:val="af-ZA"/>
              </w:rPr>
              <w:softHyphen/>
              <w:t>գաց</w:t>
            </w:r>
            <w:r w:rsidRPr="0053423A">
              <w:rPr>
                <w:rFonts w:cs="Sylfaen"/>
                <w:lang w:val="af-ZA"/>
              </w:rPr>
              <w:softHyphen/>
              <w:t>ման ռազ</w:t>
            </w:r>
            <w:r w:rsidRPr="0053423A">
              <w:rPr>
                <w:rFonts w:cs="Sylfaen"/>
                <w:lang w:val="af-ZA"/>
              </w:rPr>
              <w:softHyphen/>
              <w:t>մավարու</w:t>
            </w:r>
            <w:r w:rsidRPr="0053423A">
              <w:rPr>
                <w:rFonts w:cs="Sylfaen"/>
                <w:lang w:val="af-ZA"/>
              </w:rPr>
              <w:softHyphen/>
              <w:t>թյու</w:t>
            </w:r>
            <w:r w:rsidRPr="0053423A">
              <w:rPr>
                <w:rFonts w:cs="Sylfaen"/>
                <w:lang w:val="af-ZA"/>
              </w:rPr>
              <w:softHyphen/>
              <w:t>նից</w:t>
            </w:r>
            <w:r w:rsidRPr="0053423A">
              <w:rPr>
                <w:rFonts w:cs="Sylfaen"/>
                <w:lang w:val="hy-AM"/>
              </w:rPr>
              <w:t xml:space="preserve"> (գլուխ V, մաս 83)</w:t>
            </w:r>
            <w:r w:rsidRPr="0053423A">
              <w:rPr>
                <w:rFonts w:cs="Sylfaen"/>
                <w:lang w:val="af-ZA"/>
              </w:rPr>
              <w:t xml:space="preserve"> </w:t>
            </w:r>
            <w:r w:rsidRPr="0053423A">
              <w:rPr>
                <w:lang w:val="hy-AM"/>
              </w:rPr>
              <w:t>և ՀՀ կառավարության 2014 թվականի մարտի 27-ի N 442-</w:t>
            </w:r>
            <w:r w:rsidRPr="0053423A">
              <w:rPr>
                <w:rFonts w:cs="Sylfaen"/>
                <w:lang w:val="hy-AM"/>
              </w:rPr>
              <w:t>Ն</w:t>
            </w:r>
            <w:r w:rsidRPr="0053423A">
              <w:rPr>
                <w:lang w:val="hy-AM"/>
              </w:rPr>
              <w:t xml:space="preserve"> </w:t>
            </w:r>
            <w:r w:rsidRPr="0053423A">
              <w:rPr>
                <w:rFonts w:cs="Sylfaen"/>
                <w:lang w:val="hy-AM"/>
              </w:rPr>
              <w:t>որոշմամբ հաստատված՝ Հայաստանի Հանրապետության 2014-2025 թվականների հեռանկարային զարգացման ծրագրից</w:t>
            </w:r>
            <w:r w:rsidRPr="0053423A">
              <w:rPr>
                <w:lang w:val="hy-AM"/>
              </w:rPr>
              <w:t>:</w:t>
            </w:r>
          </w:p>
          <w:p w:rsidR="00530B14" w:rsidRPr="0053423A" w:rsidRDefault="00530B14" w:rsidP="00A67858">
            <w:pPr>
              <w:spacing w:line="276" w:lineRule="auto"/>
              <w:ind w:right="-31" w:firstLine="720"/>
              <w:jc w:val="both"/>
              <w:rPr>
                <w:lang w:val="hy-AM"/>
              </w:rPr>
            </w:pPr>
            <w:r w:rsidRPr="0053423A">
              <w:rPr>
                <w:rFonts w:cs="Sylfaen"/>
                <w:lang w:val="hy-AM"/>
              </w:rPr>
              <w:t>Միջոցառման</w:t>
            </w:r>
            <w:r w:rsidRPr="0053423A">
              <w:rPr>
                <w:lang w:val="hy-AM"/>
              </w:rPr>
              <w:t xml:space="preserve"> </w:t>
            </w:r>
            <w:r w:rsidRPr="0053423A">
              <w:rPr>
                <w:rFonts w:cs="Sylfaen"/>
                <w:lang w:val="hy-AM"/>
              </w:rPr>
              <w:t>նպատակն</w:t>
            </w:r>
            <w:r w:rsidRPr="0053423A">
              <w:rPr>
                <w:lang w:val="hy-AM"/>
              </w:rPr>
              <w:t xml:space="preserve"> </w:t>
            </w:r>
            <w:r w:rsidRPr="0053423A">
              <w:rPr>
                <w:rFonts w:cs="Sylfaen"/>
                <w:lang w:val="hy-AM"/>
              </w:rPr>
              <w:t>է</w:t>
            </w:r>
            <w:r w:rsidRPr="0053423A">
              <w:rPr>
                <w:lang w:val="hy-AM"/>
              </w:rPr>
              <w:t xml:space="preserve"> </w:t>
            </w:r>
            <w:r w:rsidRPr="0053423A">
              <w:rPr>
                <w:rFonts w:cs="Sylfaen"/>
                <w:lang w:val="hy-AM"/>
              </w:rPr>
              <w:t>Հայաստանի Հանրապետությունում առկա գլխաքանակի, դրանց սեռի, ցեղի և գտնվելու վայրի, տեղաշարժի մասին հավաստի տեղեկությունների ստացումն ու անասնաբուծական արտադրանքի ծավալների կանխատեսումը, վաճառվող մսի և մսամթերքի նկատմամբ սպառողների վստահության բարձրացումը, պետական պատվերի շրջանակներում հակահամաճարակային միջոցառումների լիարժեք իրականացումը և հիվանդությունների կանխարգելմանը և անասնաբուժական վերահսկմանը նպաստելը, անասնաբուծական մթերքի որակի փորձաքննությունը և երկրի ներսում կենդանիների տեղաշարժի վերահսկումը, ինչպես նաև միջազգային ստանդարտներով սահմանված պահանջների ապահովմամբ՝ միջազգային շուկա մուտք գործելը:</w:t>
            </w:r>
          </w:p>
          <w:p w:rsidR="00530B14" w:rsidRPr="0053423A" w:rsidRDefault="00530B14" w:rsidP="001F6D5D">
            <w:pPr>
              <w:pStyle w:val="ListParagraph"/>
              <w:numPr>
                <w:ilvl w:val="1"/>
                <w:numId w:val="125"/>
              </w:numPr>
              <w:tabs>
                <w:tab w:val="left" w:pos="1080"/>
              </w:tabs>
              <w:spacing w:line="276" w:lineRule="auto"/>
              <w:rPr>
                <w:rFonts w:cs="Sylfaen"/>
                <w:b/>
                <w:lang w:val="hy-AM"/>
              </w:rPr>
            </w:pPr>
            <w:r w:rsidRPr="0053423A">
              <w:rPr>
                <w:rFonts w:cs="Sylfaen"/>
                <w:b/>
                <w:lang w:val="hy-AM"/>
              </w:rPr>
              <w:t>Կարգավորման հարաբերությունների ներկա վիճակը և առկա խնդիրները</w:t>
            </w:r>
          </w:p>
          <w:p w:rsidR="00530B14" w:rsidRPr="0053423A" w:rsidRDefault="00530B14" w:rsidP="00A67858">
            <w:pPr>
              <w:tabs>
                <w:tab w:val="left" w:pos="1080"/>
              </w:tabs>
              <w:spacing w:line="276" w:lineRule="auto"/>
              <w:jc w:val="both"/>
              <w:rPr>
                <w:rFonts w:cs="Sylfaen"/>
                <w:lang w:val="hy-AM"/>
              </w:rPr>
            </w:pPr>
            <w:r w:rsidRPr="0053423A">
              <w:rPr>
                <w:rFonts w:cs="Sylfaen"/>
                <w:lang w:val="hy-AM"/>
              </w:rPr>
              <w:tab/>
              <w:t>Հայաստանի Հանրապետությունում մինչև այժմ կենդանիների համատարած հաշվառում տեղի չի ունեցել,  որը խնդիր է ստեղծում անասնաբուծության բնագավառում կենդանիների գլխաքանակի և սեռատարիքային կազմի վերաբերյալ հստակ տեղեկատվություն ստանալու համար</w:t>
            </w:r>
            <w:r w:rsidRPr="0053423A">
              <w:rPr>
                <w:rFonts w:cs="Sylfaen"/>
                <w:b/>
                <w:lang w:val="hy-AM"/>
              </w:rPr>
              <w:t xml:space="preserve">։ </w:t>
            </w:r>
          </w:p>
          <w:p w:rsidR="00530B14" w:rsidRPr="0053423A" w:rsidRDefault="00530B14" w:rsidP="001F6D5D">
            <w:pPr>
              <w:pStyle w:val="BodyTextIndent"/>
              <w:numPr>
                <w:ilvl w:val="1"/>
                <w:numId w:val="125"/>
              </w:numPr>
              <w:tabs>
                <w:tab w:val="left" w:pos="709"/>
                <w:tab w:val="left" w:pos="1350"/>
              </w:tabs>
              <w:spacing w:after="0" w:line="276" w:lineRule="auto"/>
              <w:ind w:right="-29"/>
              <w:jc w:val="both"/>
              <w:rPr>
                <w:rFonts w:ascii="GHEA Grapalat" w:hAnsi="GHEA Grapalat"/>
                <w:b/>
                <w:sz w:val="20"/>
                <w:szCs w:val="20"/>
                <w:lang w:val="hy-AM"/>
              </w:rPr>
            </w:pPr>
            <w:r w:rsidRPr="0053423A">
              <w:rPr>
                <w:rFonts w:ascii="GHEA Grapalat" w:hAnsi="GHEA Grapalat" w:cs="Sylfaen"/>
                <w:b/>
                <w:sz w:val="20"/>
                <w:szCs w:val="20"/>
                <w:lang w:val="hy-AM"/>
              </w:rPr>
              <w:t>Առկա</w:t>
            </w:r>
            <w:r w:rsidRPr="0053423A">
              <w:rPr>
                <w:rFonts w:ascii="GHEA Grapalat" w:hAnsi="GHEA Grapalat"/>
                <w:b/>
                <w:sz w:val="20"/>
                <w:szCs w:val="20"/>
                <w:lang w:val="hy-AM"/>
              </w:rPr>
              <w:t xml:space="preserve"> խնդիրների առաջարկվող լուծումները </w:t>
            </w:r>
          </w:p>
          <w:p w:rsidR="00530B14" w:rsidRPr="0053423A" w:rsidRDefault="00530B14" w:rsidP="00A67858">
            <w:pPr>
              <w:pStyle w:val="BodyTextIndent"/>
              <w:tabs>
                <w:tab w:val="left" w:pos="709"/>
                <w:tab w:val="left" w:pos="1350"/>
              </w:tabs>
              <w:spacing w:after="0" w:line="276" w:lineRule="auto"/>
              <w:ind w:left="0" w:right="-29"/>
              <w:jc w:val="both"/>
              <w:rPr>
                <w:rFonts w:ascii="GHEA Grapalat" w:hAnsi="GHEA Grapalat" w:cs="Sylfaen"/>
                <w:sz w:val="20"/>
                <w:szCs w:val="20"/>
                <w:lang w:val="hy-AM"/>
              </w:rPr>
            </w:pPr>
            <w:r w:rsidRPr="0053423A">
              <w:rPr>
                <w:rFonts w:ascii="GHEA Grapalat" w:hAnsi="GHEA Grapalat" w:cs="Sylfaen"/>
                <w:sz w:val="20"/>
                <w:szCs w:val="20"/>
                <w:lang w:val="hy-AM"/>
              </w:rPr>
              <w:t>Գյուղատնտեսական կենդանիների համարակալման և հաշվառման համակարգի ներդրման համար անհրաժեշտ է իրականացնել հետևյալ քայլերը՝</w:t>
            </w:r>
          </w:p>
          <w:p w:rsidR="00530B14" w:rsidRPr="0053423A" w:rsidRDefault="00530B14" w:rsidP="001F6D5D">
            <w:pPr>
              <w:pStyle w:val="ListParagraph"/>
              <w:numPr>
                <w:ilvl w:val="0"/>
                <w:numId w:val="114"/>
              </w:numPr>
              <w:spacing w:line="276" w:lineRule="auto"/>
              <w:ind w:right="-31"/>
              <w:jc w:val="both"/>
              <w:rPr>
                <w:rFonts w:eastAsia="Calibri"/>
                <w:lang w:val="hy-AM"/>
              </w:rPr>
            </w:pPr>
            <w:r w:rsidRPr="0053423A">
              <w:rPr>
                <w:rFonts w:eastAsia="Calibri"/>
                <w:lang w:val="hy-AM"/>
              </w:rPr>
              <w:t>Ստեղծել աշխատանքային խումբ</w:t>
            </w:r>
          </w:p>
          <w:p w:rsidR="00530B14" w:rsidRPr="0053423A" w:rsidRDefault="00530B14" w:rsidP="001F6D5D">
            <w:pPr>
              <w:pStyle w:val="ListParagraph"/>
              <w:numPr>
                <w:ilvl w:val="0"/>
                <w:numId w:val="114"/>
              </w:numPr>
              <w:spacing w:line="276" w:lineRule="auto"/>
              <w:ind w:right="-31"/>
              <w:jc w:val="both"/>
              <w:rPr>
                <w:rFonts w:eastAsia="Calibri"/>
                <w:lang w:val="hy-AM"/>
              </w:rPr>
            </w:pPr>
            <w:r w:rsidRPr="0053423A">
              <w:rPr>
                <w:rFonts w:cs="Sylfaen"/>
                <w:lang w:val="hy-AM"/>
              </w:rPr>
              <w:t>Մշակել գյուղատնտեսական կենդանիների համարակալման և հաշվառման իրականացման ծրագիր և ծրագրի իրականացմանն ուղղված միջոցառումներ</w:t>
            </w:r>
          </w:p>
          <w:p w:rsidR="00530B14" w:rsidRPr="0053423A" w:rsidRDefault="00530B14" w:rsidP="001F6D5D">
            <w:pPr>
              <w:pStyle w:val="ListParagraph"/>
              <w:numPr>
                <w:ilvl w:val="0"/>
                <w:numId w:val="114"/>
              </w:numPr>
              <w:spacing w:line="276" w:lineRule="auto"/>
              <w:ind w:right="-31"/>
              <w:jc w:val="both"/>
              <w:rPr>
                <w:rFonts w:eastAsia="Calibri"/>
                <w:lang w:val="hy-AM"/>
              </w:rPr>
            </w:pPr>
            <w:r w:rsidRPr="0053423A">
              <w:rPr>
                <w:rFonts w:cs="Sylfaen"/>
                <w:lang w:val="hy-AM"/>
              </w:rPr>
              <w:t>Ներդնել Գյուղատնտեսական կենդանիների համարակալման և հաշվառման համակարգը</w:t>
            </w:r>
          </w:p>
          <w:p w:rsidR="00530B14" w:rsidRPr="0053423A" w:rsidRDefault="00530B14" w:rsidP="00A67858">
            <w:pPr>
              <w:spacing w:line="276" w:lineRule="auto"/>
              <w:ind w:right="-31" w:firstLine="540"/>
              <w:jc w:val="both"/>
              <w:rPr>
                <w:b/>
                <w:lang w:val="hy-AM"/>
              </w:rPr>
            </w:pPr>
            <w:r w:rsidRPr="0053423A">
              <w:rPr>
                <w:b/>
                <w:lang w:val="hy-AM"/>
              </w:rPr>
              <w:t>2. Միջոցառման իրականացումից ակնկալվող արդյունքը</w:t>
            </w:r>
          </w:p>
          <w:p w:rsidR="00530B14" w:rsidRPr="0053423A" w:rsidRDefault="00530B14" w:rsidP="00A67858">
            <w:pPr>
              <w:spacing w:line="276" w:lineRule="auto"/>
              <w:jc w:val="both"/>
              <w:rPr>
                <w:lang w:val="hy-AM"/>
              </w:rPr>
            </w:pPr>
            <w:r w:rsidRPr="0053423A">
              <w:rPr>
                <w:rFonts w:cs="Sylfaen"/>
                <w:lang w:val="hy-AM"/>
              </w:rPr>
              <w:t>Միջոցառման իրականացումը կնպաստի Հայաստանի Հանրապետությունում խոշոր եղջերավոր կենդանիների (այսուհետ՝ Կենդանիներ) համարակալման, հաշվառման և գրանցման համակարգի ներդրմանը, որը հնարավորություններ կստեղծի անասնաբուծական արտադրանքի ծավալների կանխատեսման համար, կնպաստի վաճառվող մսի և մսամթերքի նկատմամբ սպառողների վստահության բարձրացմանը, պետական պատվերի շրջանակներում հակահամաճարակային միջոցառումների լիարժեք իրականացմանը, հիվանդությունների կանխարգելմանը և անասնաբուժական վերահսկմանը, ինչպես նաև անասնաբուծական մթերքի որակի փորձաքննությանը և երկրի ներսում Կենդանիների տեղաշարժի վերահսկմանը, միջազգային ստանդարտներով սահմանված պահանջների ապահովմամբ՝ միջազգային շուկա մուտք գործելուն:</w:t>
            </w:r>
          </w:p>
          <w:p w:rsidR="00530B14" w:rsidRPr="0053423A" w:rsidRDefault="00530B14" w:rsidP="00A67858">
            <w:pPr>
              <w:spacing w:line="276" w:lineRule="auto"/>
              <w:jc w:val="center"/>
              <w:rPr>
                <w:b/>
                <w:bCs/>
                <w:iCs/>
                <w:lang w:val="hy-AM"/>
              </w:rPr>
            </w:pPr>
          </w:p>
        </w:tc>
      </w:tr>
      <w:tr w:rsidR="00530B14" w:rsidRPr="00DE2EFA" w:rsidTr="004440EB">
        <w:tc>
          <w:tcPr>
            <w:tcW w:w="480" w:type="dxa"/>
          </w:tcPr>
          <w:p w:rsidR="00530B14" w:rsidRPr="0053423A" w:rsidRDefault="00530B14" w:rsidP="00A67858">
            <w:pPr>
              <w:spacing w:line="276" w:lineRule="auto"/>
              <w:jc w:val="center"/>
              <w:rPr>
                <w:b/>
                <w:bCs/>
                <w:iCs/>
                <w:lang w:val="hy-AM"/>
              </w:rPr>
            </w:pPr>
            <w:r w:rsidRPr="0053423A">
              <w:rPr>
                <w:b/>
                <w:bCs/>
                <w:iCs/>
                <w:lang w:val="hy-AM"/>
              </w:rPr>
              <w:t>10</w:t>
            </w:r>
          </w:p>
        </w:tc>
        <w:tc>
          <w:tcPr>
            <w:tcW w:w="10879" w:type="dxa"/>
          </w:tcPr>
          <w:p w:rsidR="00530B14" w:rsidRPr="0053423A" w:rsidRDefault="00530B14" w:rsidP="00A67858">
            <w:pPr>
              <w:spacing w:line="276" w:lineRule="auto"/>
              <w:jc w:val="center"/>
              <w:rPr>
                <w:b/>
                <w:lang w:val="hy-AM"/>
              </w:rPr>
            </w:pPr>
            <w:r w:rsidRPr="0053423A">
              <w:rPr>
                <w:b/>
                <w:lang w:val="hy-AM"/>
              </w:rPr>
              <w:t>Կենդանիների և բույ</w:t>
            </w:r>
            <w:r w:rsidRPr="0053423A">
              <w:rPr>
                <w:b/>
                <w:lang w:val="hy-AM"/>
              </w:rPr>
              <w:softHyphen/>
              <w:t>սերի հիվանդություն</w:t>
            </w:r>
            <w:r w:rsidRPr="0053423A">
              <w:rPr>
                <w:b/>
                <w:lang w:val="hy-AM"/>
              </w:rPr>
              <w:softHyphen/>
              <w:t>ների կանխարգելման արդյունավետ համա</w:t>
            </w:r>
            <w:r w:rsidRPr="0053423A">
              <w:rPr>
                <w:b/>
                <w:lang w:val="hy-AM"/>
              </w:rPr>
              <w:softHyphen/>
              <w:t>կարգի ներդրման ապահովում</w:t>
            </w:r>
          </w:p>
          <w:p w:rsidR="00530B14" w:rsidRPr="0053423A" w:rsidRDefault="00530B14" w:rsidP="00A67858">
            <w:pPr>
              <w:spacing w:line="276" w:lineRule="auto"/>
              <w:jc w:val="center"/>
              <w:rPr>
                <w:b/>
                <w:lang w:val="hy-AM"/>
              </w:rPr>
            </w:pPr>
          </w:p>
          <w:p w:rsidR="00530B14" w:rsidRPr="0053423A" w:rsidRDefault="00530B14" w:rsidP="001F6D5D">
            <w:pPr>
              <w:pStyle w:val="BodyTextIndent"/>
              <w:numPr>
                <w:ilvl w:val="1"/>
                <w:numId w:val="126"/>
              </w:numPr>
              <w:tabs>
                <w:tab w:val="left" w:pos="709"/>
              </w:tabs>
              <w:spacing w:after="0" w:line="276" w:lineRule="auto"/>
              <w:ind w:right="-613"/>
              <w:jc w:val="center"/>
              <w:rPr>
                <w:rFonts w:ascii="GHEA Grapalat" w:hAnsi="GHEA Grapalat" w:cs="Sylfaen"/>
                <w:b/>
                <w:bCs/>
                <w:iCs/>
                <w:sz w:val="20"/>
                <w:szCs w:val="20"/>
                <w:u w:val="single"/>
                <w:lang w:val="hy-AM"/>
              </w:rPr>
            </w:pPr>
            <w:r w:rsidRPr="0053423A">
              <w:rPr>
                <w:rFonts w:ascii="GHEA Grapalat" w:hAnsi="GHEA Grapalat" w:cs="Sylfaen"/>
                <w:b/>
                <w:sz w:val="20"/>
                <w:szCs w:val="20"/>
                <w:u w:val="single"/>
              </w:rPr>
              <w:t>Բույսերի</w:t>
            </w:r>
            <w:r w:rsidRPr="0053423A">
              <w:rPr>
                <w:rFonts w:ascii="GHEA Grapalat" w:hAnsi="GHEA Grapalat"/>
                <w:b/>
                <w:sz w:val="20"/>
                <w:szCs w:val="20"/>
                <w:u w:val="single"/>
                <w:lang w:val="ru-RU"/>
              </w:rPr>
              <w:t xml:space="preserve"> </w:t>
            </w:r>
            <w:r w:rsidRPr="0053423A">
              <w:rPr>
                <w:rFonts w:ascii="GHEA Grapalat" w:hAnsi="GHEA Grapalat" w:cs="Sylfaen"/>
                <w:b/>
                <w:sz w:val="20"/>
                <w:szCs w:val="20"/>
                <w:u w:val="single"/>
              </w:rPr>
              <w:t>պաշտպանության</w:t>
            </w:r>
            <w:r w:rsidRPr="0053423A">
              <w:rPr>
                <w:rFonts w:ascii="GHEA Grapalat" w:hAnsi="GHEA Grapalat"/>
                <w:b/>
                <w:sz w:val="20"/>
                <w:szCs w:val="20"/>
                <w:u w:val="single"/>
                <w:lang w:val="ru-RU"/>
              </w:rPr>
              <w:t xml:space="preserve"> </w:t>
            </w:r>
            <w:r w:rsidRPr="0053423A">
              <w:rPr>
                <w:rFonts w:ascii="GHEA Grapalat" w:hAnsi="GHEA Grapalat" w:cs="Sylfaen"/>
                <w:b/>
                <w:sz w:val="20"/>
                <w:szCs w:val="20"/>
                <w:u w:val="single"/>
              </w:rPr>
              <w:t>միջոցառումներ</w:t>
            </w:r>
            <w:r w:rsidRPr="0053423A">
              <w:rPr>
                <w:rFonts w:ascii="GHEA Grapalat" w:hAnsi="GHEA Grapalat" w:cs="Sylfaen"/>
                <w:b/>
                <w:sz w:val="20"/>
                <w:szCs w:val="20"/>
                <w:u w:val="single"/>
                <w:lang w:val="hy-AM"/>
              </w:rPr>
              <w:t>ի իրականացում</w:t>
            </w:r>
          </w:p>
          <w:p w:rsidR="00530B14" w:rsidRPr="0053423A" w:rsidRDefault="00530B14" w:rsidP="00A67858">
            <w:pPr>
              <w:pStyle w:val="BodyTextIndent"/>
              <w:tabs>
                <w:tab w:val="left" w:pos="709"/>
              </w:tabs>
              <w:spacing w:after="0" w:line="276" w:lineRule="auto"/>
              <w:ind w:left="0" w:right="-613"/>
              <w:jc w:val="center"/>
              <w:rPr>
                <w:rFonts w:ascii="GHEA Grapalat" w:hAnsi="GHEA Grapalat" w:cs="Sylfaen"/>
                <w:b/>
                <w:bCs/>
                <w:iCs/>
                <w:sz w:val="20"/>
                <w:szCs w:val="20"/>
                <w:lang w:val="ru-RU"/>
              </w:rPr>
            </w:pPr>
          </w:p>
          <w:p w:rsidR="00530B14" w:rsidRPr="0053423A" w:rsidRDefault="00530B14" w:rsidP="001F6D5D">
            <w:pPr>
              <w:pStyle w:val="BodyTextIndent"/>
              <w:numPr>
                <w:ilvl w:val="0"/>
                <w:numId w:val="127"/>
              </w:numPr>
              <w:tabs>
                <w:tab w:val="left" w:pos="709"/>
              </w:tabs>
              <w:spacing w:after="0" w:line="276" w:lineRule="auto"/>
              <w:ind w:right="-31" w:firstLine="13"/>
              <w:jc w:val="both"/>
              <w:rPr>
                <w:rFonts w:ascii="GHEA Grapalat" w:hAnsi="GHEA Grapalat"/>
                <w:b/>
                <w:sz w:val="20"/>
                <w:szCs w:val="20"/>
                <w:lang w:val="ru-RU"/>
              </w:rPr>
            </w:pPr>
            <w:r w:rsidRPr="0053423A">
              <w:rPr>
                <w:rFonts w:ascii="GHEA Grapalat" w:hAnsi="GHEA Grapalat"/>
                <w:b/>
                <w:sz w:val="20"/>
                <w:szCs w:val="20"/>
              </w:rPr>
              <w:t>Միջոցառ</w:t>
            </w:r>
            <w:r w:rsidRPr="0053423A">
              <w:rPr>
                <w:rFonts w:ascii="GHEA Grapalat" w:hAnsi="GHEA Grapalat"/>
                <w:b/>
                <w:sz w:val="20"/>
                <w:szCs w:val="20"/>
                <w:lang w:val="ru-RU"/>
              </w:rPr>
              <w:t xml:space="preserve">ման </w:t>
            </w:r>
            <w:r w:rsidRPr="0053423A">
              <w:rPr>
                <w:rFonts w:ascii="GHEA Grapalat" w:hAnsi="GHEA Grapalat"/>
                <w:b/>
                <w:sz w:val="20"/>
                <w:szCs w:val="20"/>
              </w:rPr>
              <w:t>իրականացման</w:t>
            </w:r>
            <w:r w:rsidRPr="0053423A">
              <w:rPr>
                <w:rFonts w:ascii="GHEA Grapalat" w:hAnsi="GHEA Grapalat"/>
                <w:b/>
                <w:sz w:val="20"/>
                <w:szCs w:val="20"/>
                <w:lang w:val="ru-RU"/>
              </w:rPr>
              <w:t xml:space="preserve"> </w:t>
            </w:r>
            <w:r w:rsidRPr="0053423A">
              <w:rPr>
                <w:rFonts w:ascii="GHEA Grapalat" w:hAnsi="GHEA Grapalat"/>
                <w:b/>
                <w:sz w:val="20"/>
                <w:szCs w:val="20"/>
              </w:rPr>
              <w:t>անհրաժեշտությունը</w:t>
            </w:r>
            <w:r w:rsidRPr="0053423A">
              <w:rPr>
                <w:rFonts w:ascii="GHEA Grapalat" w:hAnsi="GHEA Grapalat"/>
                <w:b/>
                <w:sz w:val="20"/>
                <w:szCs w:val="20"/>
                <w:lang w:val="ru-RU"/>
              </w:rPr>
              <w:t xml:space="preserve"> </w:t>
            </w:r>
            <w:r w:rsidRPr="0053423A">
              <w:rPr>
                <w:rFonts w:ascii="GHEA Grapalat" w:hAnsi="GHEA Grapalat"/>
                <w:b/>
                <w:sz w:val="20"/>
                <w:szCs w:val="20"/>
              </w:rPr>
              <w:t>և</w:t>
            </w:r>
            <w:r w:rsidRPr="0053423A">
              <w:rPr>
                <w:rFonts w:ascii="GHEA Grapalat" w:hAnsi="GHEA Grapalat"/>
                <w:b/>
                <w:sz w:val="20"/>
                <w:szCs w:val="20"/>
                <w:lang w:val="ru-RU"/>
              </w:rPr>
              <w:t xml:space="preserve"> </w:t>
            </w:r>
            <w:r w:rsidRPr="0053423A">
              <w:rPr>
                <w:rFonts w:ascii="GHEA Grapalat" w:hAnsi="GHEA Grapalat"/>
                <w:b/>
                <w:sz w:val="20"/>
                <w:szCs w:val="20"/>
              </w:rPr>
              <w:t>նպատակը</w:t>
            </w:r>
            <w:r w:rsidRPr="0053423A">
              <w:rPr>
                <w:rFonts w:ascii="GHEA Grapalat" w:hAnsi="GHEA Grapalat"/>
                <w:b/>
                <w:sz w:val="20"/>
                <w:szCs w:val="20"/>
                <w:lang w:val="ru-RU"/>
              </w:rPr>
              <w:t xml:space="preserve"> </w:t>
            </w:r>
          </w:p>
          <w:p w:rsidR="00530B14" w:rsidRPr="0053423A" w:rsidRDefault="00530B14" w:rsidP="00A67858">
            <w:pPr>
              <w:spacing w:line="276" w:lineRule="auto"/>
              <w:ind w:right="-31" w:firstLine="708"/>
              <w:jc w:val="both"/>
              <w:rPr>
                <w:lang w:val="hy-AM"/>
              </w:rPr>
            </w:pPr>
            <w:r w:rsidRPr="0053423A">
              <w:rPr>
                <w:rFonts w:cs="Sylfaen"/>
                <w:lang w:val="hy-AM"/>
              </w:rPr>
              <w:t>Բույսերի պաշտպանության միջոցառումների իրականացման անհրաժեշտու</w:t>
            </w:r>
            <w:r w:rsidRPr="0053423A">
              <w:rPr>
                <w:rFonts w:cs="Sylfaen"/>
              </w:rPr>
              <w:softHyphen/>
            </w:r>
            <w:r w:rsidRPr="0053423A">
              <w:rPr>
                <w:rFonts w:cs="Sylfaen"/>
                <w:lang w:val="hy-AM"/>
              </w:rPr>
              <w:t>թյունը բխում է  ՀՀ ԱԺ 2019 թվականի փետրվարի 14-ի ԱԺՈ-002-Ն որոշմամբ հավա</w:t>
            </w:r>
            <w:r w:rsidRPr="0053423A">
              <w:rPr>
                <w:rFonts w:cs="Sylfaen"/>
              </w:rPr>
              <w:softHyphen/>
            </w:r>
            <w:r w:rsidRPr="0053423A">
              <w:rPr>
                <w:rFonts w:cs="Sylfaen"/>
                <w:lang w:val="hy-AM"/>
              </w:rPr>
              <w:t>նու</w:t>
            </w:r>
            <w:r w:rsidRPr="0053423A">
              <w:rPr>
                <w:rFonts w:cs="Sylfaen"/>
              </w:rPr>
              <w:softHyphen/>
            </w:r>
            <w:r w:rsidRPr="0053423A">
              <w:rPr>
                <w:rFonts w:cs="Sylfaen"/>
                <w:lang w:val="hy-AM"/>
              </w:rPr>
              <w:t xml:space="preserve">թյան արժանացած ՀՀ կառավարության ծրագրից </w:t>
            </w:r>
            <w:r w:rsidRPr="0053423A">
              <w:rPr>
                <w:rFonts w:cs="Sylfaen"/>
                <w:lang w:val="af-ZA"/>
              </w:rPr>
              <w:t>(</w:t>
            </w:r>
            <w:r w:rsidRPr="0053423A">
              <w:rPr>
                <w:rFonts w:cs="Sylfaen"/>
                <w:lang w:val="hy-AM"/>
              </w:rPr>
              <w:t xml:space="preserve">5.10. Գյուղատնտեսությունը բաժին, 7-րդ պարբերության 6-րդ դրույթ), </w:t>
            </w:r>
            <w:r w:rsidRPr="0053423A">
              <w:rPr>
                <w:rFonts w:cs="Sylfaen"/>
                <w:lang w:val="af-ZA"/>
              </w:rPr>
              <w:t>ՀՀ կառավա</w:t>
            </w:r>
            <w:r w:rsidRPr="0053423A">
              <w:rPr>
                <w:rFonts w:cs="Sylfaen"/>
                <w:lang w:val="af-ZA"/>
              </w:rPr>
              <w:softHyphen/>
              <w:t>րության 2010 թվականի նոյեմ</w:t>
            </w:r>
            <w:r w:rsidRPr="0053423A">
              <w:rPr>
                <w:rFonts w:cs="Sylfaen"/>
                <w:lang w:val="af-ZA"/>
              </w:rPr>
              <w:softHyphen/>
              <w:t>բերի 4-ի N 1476-Ն որոշ</w:t>
            </w:r>
            <w:r w:rsidRPr="0053423A">
              <w:rPr>
                <w:rFonts w:cs="Sylfaen"/>
                <w:lang w:val="af-ZA"/>
              </w:rPr>
              <w:softHyphen/>
            </w:r>
            <w:r w:rsidRPr="0053423A">
              <w:rPr>
                <w:rFonts w:cs="Sylfaen"/>
                <w:lang w:val="af-ZA"/>
              </w:rPr>
              <w:softHyphen/>
              <w:t>մամբ հաս</w:t>
            </w:r>
            <w:r w:rsidRPr="0053423A">
              <w:rPr>
                <w:rFonts w:cs="Sylfaen"/>
                <w:lang w:val="af-ZA"/>
              </w:rPr>
              <w:softHyphen/>
              <w:t>տատ</w:t>
            </w:r>
            <w:r w:rsidRPr="0053423A">
              <w:rPr>
                <w:rFonts w:cs="Sylfaen"/>
                <w:lang w:val="af-ZA"/>
              </w:rPr>
              <w:softHyphen/>
              <w:t>ված Հայաստանի Հան</w:t>
            </w:r>
            <w:r w:rsidRPr="0053423A">
              <w:rPr>
                <w:rFonts w:cs="Sylfaen"/>
                <w:lang w:val="af-ZA"/>
              </w:rPr>
              <w:softHyphen/>
              <w:t>րա</w:t>
            </w:r>
            <w:r w:rsidRPr="0053423A">
              <w:rPr>
                <w:rFonts w:cs="Sylfaen"/>
                <w:lang w:val="af-ZA"/>
              </w:rPr>
              <w:softHyphen/>
              <w:t>պե</w:t>
            </w:r>
            <w:r w:rsidRPr="0053423A">
              <w:rPr>
                <w:rFonts w:cs="Sylfaen"/>
                <w:lang w:val="af-ZA"/>
              </w:rPr>
              <w:softHyphen/>
              <w:t>տու</w:t>
            </w:r>
            <w:r w:rsidRPr="0053423A">
              <w:rPr>
                <w:rFonts w:cs="Sylfaen"/>
                <w:lang w:val="af-ZA"/>
              </w:rPr>
              <w:softHyphen/>
              <w:t>թյան գյուղի և գյուղա</w:t>
            </w:r>
            <w:r w:rsidRPr="0053423A">
              <w:rPr>
                <w:rFonts w:cs="Sylfaen"/>
                <w:lang w:val="af-ZA"/>
              </w:rPr>
              <w:softHyphen/>
              <w:t>տն</w:t>
            </w:r>
            <w:r w:rsidRPr="0053423A">
              <w:rPr>
                <w:rFonts w:cs="Sylfaen"/>
                <w:lang w:val="af-ZA"/>
              </w:rPr>
              <w:softHyphen/>
              <w:t>տե</w:t>
            </w:r>
            <w:r w:rsidRPr="0053423A">
              <w:rPr>
                <w:rFonts w:cs="Sylfaen"/>
                <w:lang w:val="af-ZA"/>
              </w:rPr>
              <w:softHyphen/>
              <w:t>սության 2010-2020 թվականների կայուն զար</w:t>
            </w:r>
            <w:r w:rsidRPr="0053423A">
              <w:rPr>
                <w:rFonts w:cs="Sylfaen"/>
                <w:lang w:val="af-ZA"/>
              </w:rPr>
              <w:softHyphen/>
              <w:t>գաց</w:t>
            </w:r>
            <w:r w:rsidRPr="0053423A">
              <w:rPr>
                <w:rFonts w:cs="Sylfaen"/>
                <w:lang w:val="af-ZA"/>
              </w:rPr>
              <w:softHyphen/>
              <w:t>ման ռազ</w:t>
            </w:r>
            <w:r w:rsidRPr="0053423A">
              <w:rPr>
                <w:rFonts w:cs="Sylfaen"/>
                <w:lang w:val="af-ZA"/>
              </w:rPr>
              <w:softHyphen/>
              <w:t>մավարու</w:t>
            </w:r>
            <w:r w:rsidRPr="0053423A">
              <w:rPr>
                <w:rFonts w:cs="Sylfaen"/>
                <w:lang w:val="af-ZA"/>
              </w:rPr>
              <w:softHyphen/>
              <w:t>թյու</w:t>
            </w:r>
            <w:r w:rsidRPr="0053423A">
              <w:rPr>
                <w:rFonts w:cs="Sylfaen"/>
                <w:lang w:val="af-ZA"/>
              </w:rPr>
              <w:softHyphen/>
              <w:t>նից (</w:t>
            </w:r>
            <w:r w:rsidRPr="0053423A">
              <w:rPr>
                <w:rFonts w:cs="Sylfaen"/>
                <w:lang w:val="hy-AM"/>
              </w:rPr>
              <w:t>գլուխ</w:t>
            </w:r>
            <w:r w:rsidRPr="0053423A">
              <w:rPr>
                <w:lang w:val="hy-AM"/>
              </w:rPr>
              <w:t xml:space="preserve"> IV, </w:t>
            </w:r>
            <w:r w:rsidRPr="0053423A">
              <w:rPr>
                <w:rFonts w:cs="Sylfaen"/>
                <w:lang w:val="hy-AM"/>
              </w:rPr>
              <w:t>մաս</w:t>
            </w:r>
            <w:r w:rsidRPr="0053423A">
              <w:rPr>
                <w:lang w:val="hy-AM"/>
              </w:rPr>
              <w:t xml:space="preserve"> 39.9 </w:t>
            </w:r>
            <w:r w:rsidRPr="0053423A">
              <w:rPr>
                <w:rFonts w:cs="Sylfaen"/>
                <w:lang w:val="hy-AM"/>
              </w:rPr>
              <w:t>և</w:t>
            </w:r>
            <w:r w:rsidRPr="0053423A">
              <w:rPr>
                <w:lang w:val="hy-AM"/>
              </w:rPr>
              <w:t xml:space="preserve"> </w:t>
            </w:r>
            <w:r w:rsidRPr="0053423A">
              <w:rPr>
                <w:rFonts w:cs="Sylfaen"/>
                <w:lang w:val="hy-AM"/>
              </w:rPr>
              <w:t>գլուխ</w:t>
            </w:r>
            <w:r w:rsidRPr="0053423A">
              <w:rPr>
                <w:lang w:val="hy-AM"/>
              </w:rPr>
              <w:t xml:space="preserve"> V, </w:t>
            </w:r>
            <w:r w:rsidRPr="0053423A">
              <w:rPr>
                <w:rFonts w:cs="Sylfaen"/>
                <w:lang w:val="hy-AM"/>
              </w:rPr>
              <w:t>մաս</w:t>
            </w:r>
            <w:r w:rsidRPr="0053423A">
              <w:rPr>
                <w:lang w:val="hy-AM"/>
              </w:rPr>
              <w:t xml:space="preserve"> 70.16 ) և ՀՀ կառավարության 2014 թվականի մարտի 27-ի N 442-</w:t>
            </w:r>
            <w:r w:rsidRPr="0053423A">
              <w:rPr>
                <w:rFonts w:cs="Sylfaen"/>
                <w:lang w:val="hy-AM"/>
              </w:rPr>
              <w:t>Ն</w:t>
            </w:r>
            <w:r w:rsidRPr="0053423A">
              <w:rPr>
                <w:lang w:val="hy-AM"/>
              </w:rPr>
              <w:t xml:space="preserve"> </w:t>
            </w:r>
            <w:r w:rsidRPr="0053423A">
              <w:rPr>
                <w:rFonts w:cs="Sylfaen"/>
                <w:lang w:val="hy-AM"/>
              </w:rPr>
              <w:t xml:space="preserve">որոշմամբ հաստատված՝ Հայաստանի Հանրապետության 2014-2025 թվականների հեռանկարային զարգացման ծրագրից </w:t>
            </w:r>
            <w:r w:rsidRPr="0053423A">
              <w:rPr>
                <w:lang w:val="hy-AM"/>
              </w:rPr>
              <w:t>(</w:t>
            </w:r>
            <w:r w:rsidRPr="0053423A">
              <w:rPr>
                <w:rFonts w:cs="Sylfaen"/>
                <w:lang w:val="hy-AM"/>
              </w:rPr>
              <w:t>219-րդ կետ</w:t>
            </w:r>
            <w:r w:rsidRPr="0053423A">
              <w:rPr>
                <w:lang w:val="hy-AM"/>
              </w:rPr>
              <w:t>):</w:t>
            </w:r>
          </w:p>
          <w:p w:rsidR="00530B14" w:rsidRPr="0053423A" w:rsidRDefault="00530B14" w:rsidP="00A67858">
            <w:pPr>
              <w:spacing w:line="276" w:lineRule="auto"/>
              <w:ind w:right="-31" w:firstLine="720"/>
              <w:jc w:val="both"/>
              <w:rPr>
                <w:lang w:val="hy-AM"/>
              </w:rPr>
            </w:pPr>
            <w:r w:rsidRPr="0053423A">
              <w:rPr>
                <w:rFonts w:cs="Sylfaen"/>
                <w:lang w:val="hy-AM"/>
              </w:rPr>
              <w:t>Բույսերի</w:t>
            </w:r>
            <w:r w:rsidRPr="0053423A">
              <w:rPr>
                <w:lang w:val="hy-AM"/>
              </w:rPr>
              <w:t xml:space="preserve"> </w:t>
            </w:r>
            <w:r w:rsidRPr="0053423A">
              <w:rPr>
                <w:rFonts w:cs="Sylfaen"/>
                <w:lang w:val="hy-AM"/>
              </w:rPr>
              <w:t>պաշտպանության</w:t>
            </w:r>
            <w:r w:rsidRPr="0053423A">
              <w:rPr>
                <w:lang w:val="hy-AM"/>
              </w:rPr>
              <w:t xml:space="preserve"> </w:t>
            </w:r>
            <w:r w:rsidRPr="0053423A">
              <w:rPr>
                <w:rFonts w:cs="Sylfaen"/>
                <w:lang w:val="hy-AM"/>
              </w:rPr>
              <w:t>միջոցառումների</w:t>
            </w:r>
            <w:r w:rsidRPr="0053423A">
              <w:rPr>
                <w:lang w:val="hy-AM"/>
              </w:rPr>
              <w:t xml:space="preserve"> </w:t>
            </w:r>
            <w:r w:rsidRPr="0053423A">
              <w:rPr>
                <w:rFonts w:cs="Sylfaen"/>
                <w:lang w:val="hy-AM"/>
              </w:rPr>
              <w:t>նպատակն</w:t>
            </w:r>
            <w:r w:rsidRPr="0053423A">
              <w:rPr>
                <w:lang w:val="hy-AM"/>
              </w:rPr>
              <w:t xml:space="preserve"> </w:t>
            </w:r>
            <w:r w:rsidRPr="0053423A">
              <w:rPr>
                <w:rFonts w:cs="Sylfaen"/>
                <w:lang w:val="hy-AM"/>
              </w:rPr>
              <w:t>է</w:t>
            </w:r>
            <w:r w:rsidRPr="0053423A">
              <w:rPr>
                <w:lang w:val="hy-AM"/>
              </w:rPr>
              <w:t xml:space="preserve"> </w:t>
            </w:r>
            <w:r w:rsidRPr="0053423A">
              <w:rPr>
                <w:rFonts w:cs="Sylfaen"/>
                <w:bCs/>
                <w:iCs/>
                <w:lang w:val="hy-AM"/>
              </w:rPr>
              <w:t>հանրապետությունում</w:t>
            </w:r>
            <w:r w:rsidRPr="0053423A">
              <w:rPr>
                <w:bCs/>
                <w:iCs/>
                <w:lang w:val="hy-AM"/>
              </w:rPr>
              <w:t xml:space="preserve"> </w:t>
            </w:r>
            <w:r w:rsidRPr="0053423A">
              <w:rPr>
                <w:rFonts w:cs="Sylfaen"/>
                <w:bCs/>
                <w:iCs/>
                <w:lang w:val="hy-AM"/>
              </w:rPr>
              <w:t>իրականացնել</w:t>
            </w:r>
            <w:r w:rsidRPr="0053423A">
              <w:rPr>
                <w:bCs/>
                <w:iCs/>
                <w:lang w:val="hy-AM"/>
              </w:rPr>
              <w:t xml:space="preserve"> </w:t>
            </w:r>
            <w:r w:rsidRPr="0053423A">
              <w:rPr>
                <w:rFonts w:cs="Sylfaen"/>
                <w:lang w:val="hy-AM"/>
              </w:rPr>
              <w:t>առավել</w:t>
            </w:r>
            <w:r w:rsidRPr="0053423A">
              <w:rPr>
                <w:lang w:val="hy-AM"/>
              </w:rPr>
              <w:t xml:space="preserve"> </w:t>
            </w:r>
            <w:r w:rsidRPr="0053423A">
              <w:rPr>
                <w:rFonts w:cs="Sylfaen"/>
                <w:lang w:val="hy-AM"/>
              </w:rPr>
              <w:t>վնասակար</w:t>
            </w:r>
            <w:r w:rsidRPr="0053423A">
              <w:rPr>
                <w:lang w:val="hy-AM"/>
              </w:rPr>
              <w:t xml:space="preserve"> </w:t>
            </w:r>
            <w:r w:rsidRPr="0053423A">
              <w:rPr>
                <w:rFonts w:cs="Sylfaen"/>
                <w:lang w:val="hy-AM"/>
              </w:rPr>
              <w:t>օր</w:t>
            </w:r>
            <w:r w:rsidRPr="0053423A">
              <w:rPr>
                <w:rFonts w:cs="Arial Armenian"/>
                <w:lang w:val="hy-AM"/>
              </w:rPr>
              <w:t>գ</w:t>
            </w:r>
            <w:r w:rsidRPr="0053423A">
              <w:rPr>
                <w:rFonts w:cs="Sylfaen"/>
                <w:lang w:val="hy-AM"/>
              </w:rPr>
              <w:t>անիզմների</w:t>
            </w:r>
            <w:r w:rsidRPr="0053423A">
              <w:rPr>
                <w:lang w:val="hy-AM"/>
              </w:rPr>
              <w:t xml:space="preserve"> </w:t>
            </w:r>
            <w:r w:rsidRPr="0053423A">
              <w:rPr>
                <w:rFonts w:cs="Sylfaen"/>
                <w:lang w:val="hy-AM"/>
              </w:rPr>
              <w:t>մոնիտորին</w:t>
            </w:r>
            <w:r w:rsidRPr="0053423A">
              <w:rPr>
                <w:rFonts w:cs="Arial Armenian"/>
                <w:lang w:val="hy-AM"/>
              </w:rPr>
              <w:t>գ</w:t>
            </w:r>
            <w:r w:rsidRPr="0053423A">
              <w:rPr>
                <w:rFonts w:cs="Sylfaen"/>
                <w:lang w:val="hy-AM"/>
              </w:rPr>
              <w:t>ի</w:t>
            </w:r>
            <w:r w:rsidRPr="0053423A">
              <w:rPr>
                <w:lang w:val="hy-AM"/>
              </w:rPr>
              <w:t xml:space="preserve"> </w:t>
            </w:r>
            <w:r w:rsidRPr="0053423A">
              <w:rPr>
                <w:rFonts w:cs="Sylfaen"/>
                <w:lang w:val="hy-AM"/>
              </w:rPr>
              <w:t>արդյունքների</w:t>
            </w:r>
            <w:r w:rsidRPr="0053423A">
              <w:rPr>
                <w:lang w:val="hy-AM"/>
              </w:rPr>
              <w:t xml:space="preserve"> </w:t>
            </w:r>
            <w:r w:rsidRPr="0053423A">
              <w:rPr>
                <w:rFonts w:cs="Sylfaen"/>
                <w:lang w:val="hy-AM"/>
              </w:rPr>
              <w:t>հիման</w:t>
            </w:r>
            <w:r w:rsidRPr="0053423A">
              <w:rPr>
                <w:lang w:val="hy-AM"/>
              </w:rPr>
              <w:t xml:space="preserve"> </w:t>
            </w:r>
            <w:r w:rsidRPr="0053423A">
              <w:rPr>
                <w:rFonts w:cs="Sylfaen"/>
                <w:lang w:val="hy-AM"/>
              </w:rPr>
              <w:t>վրա կատարված</w:t>
            </w:r>
            <w:r w:rsidRPr="0053423A">
              <w:rPr>
                <w:lang w:val="hy-AM"/>
              </w:rPr>
              <w:t xml:space="preserve"> </w:t>
            </w:r>
            <w:r w:rsidRPr="0053423A">
              <w:rPr>
                <w:rFonts w:cs="Sylfaen"/>
                <w:lang w:val="hy-AM"/>
              </w:rPr>
              <w:t>վարակվածությամբ</w:t>
            </w:r>
            <w:r w:rsidRPr="0053423A">
              <w:rPr>
                <w:lang w:val="hy-AM"/>
              </w:rPr>
              <w:t xml:space="preserve"> </w:t>
            </w:r>
            <w:r w:rsidRPr="0053423A">
              <w:rPr>
                <w:rFonts w:cs="Sylfaen"/>
                <w:lang w:val="hy-AM"/>
              </w:rPr>
              <w:t>վնասակարության</w:t>
            </w:r>
            <w:r w:rsidRPr="0053423A">
              <w:rPr>
                <w:lang w:val="hy-AM"/>
              </w:rPr>
              <w:t xml:space="preserve"> </w:t>
            </w:r>
            <w:r w:rsidRPr="0053423A">
              <w:rPr>
                <w:rFonts w:cs="Sylfaen"/>
                <w:lang w:val="hy-AM"/>
              </w:rPr>
              <w:t>շեմը</w:t>
            </w:r>
            <w:r w:rsidRPr="0053423A">
              <w:rPr>
                <w:lang w:val="hy-AM"/>
              </w:rPr>
              <w:t xml:space="preserve"> </w:t>
            </w:r>
            <w:r w:rsidRPr="0053423A">
              <w:rPr>
                <w:rFonts w:cs="Arial Armenian"/>
                <w:lang w:val="hy-AM"/>
              </w:rPr>
              <w:t>գ</w:t>
            </w:r>
            <w:r w:rsidRPr="0053423A">
              <w:rPr>
                <w:rFonts w:cs="Sylfaen"/>
                <w:lang w:val="hy-AM"/>
              </w:rPr>
              <w:t>երազանցող</w:t>
            </w:r>
            <w:r w:rsidRPr="0053423A">
              <w:rPr>
                <w:lang w:val="hy-AM"/>
              </w:rPr>
              <w:t xml:space="preserve"> </w:t>
            </w:r>
            <w:r w:rsidRPr="0053423A">
              <w:rPr>
                <w:rFonts w:cs="Arial Armenian"/>
                <w:lang w:val="hy-AM"/>
              </w:rPr>
              <w:t>գ</w:t>
            </w:r>
            <w:r w:rsidRPr="0053423A">
              <w:rPr>
                <w:rFonts w:cs="Sylfaen"/>
                <w:lang w:val="hy-AM"/>
              </w:rPr>
              <w:t>յուղատն</w:t>
            </w:r>
            <w:r w:rsidRPr="0053423A">
              <w:rPr>
                <w:rFonts w:cs="Sylfaen"/>
                <w:lang w:val="hy-AM"/>
              </w:rPr>
              <w:softHyphen/>
              <w:t>տեսական</w:t>
            </w:r>
            <w:r w:rsidRPr="0053423A">
              <w:rPr>
                <w:lang w:val="hy-AM"/>
              </w:rPr>
              <w:t xml:space="preserve"> </w:t>
            </w:r>
            <w:r w:rsidRPr="0053423A">
              <w:rPr>
                <w:rFonts w:cs="Sylfaen"/>
                <w:lang w:val="hy-AM"/>
              </w:rPr>
              <w:t>նշանակության</w:t>
            </w:r>
            <w:r w:rsidRPr="0053423A">
              <w:rPr>
                <w:lang w:val="hy-AM"/>
              </w:rPr>
              <w:t xml:space="preserve"> </w:t>
            </w:r>
            <w:r w:rsidRPr="0053423A">
              <w:rPr>
                <w:rFonts w:cs="Sylfaen"/>
                <w:lang w:val="hy-AM"/>
              </w:rPr>
              <w:t>հողատեսքերում</w:t>
            </w:r>
            <w:r w:rsidRPr="0053423A">
              <w:rPr>
                <w:rFonts w:cs="Arial Armenian"/>
                <w:lang w:val="hy-AM"/>
              </w:rPr>
              <w:t xml:space="preserve"> </w:t>
            </w:r>
            <w:r w:rsidRPr="0053423A">
              <w:rPr>
                <w:rFonts w:cs="Sylfaen"/>
                <w:lang w:val="hy-AM"/>
              </w:rPr>
              <w:t>պայքարի</w:t>
            </w:r>
            <w:r w:rsidRPr="0053423A">
              <w:rPr>
                <w:lang w:val="hy-AM"/>
              </w:rPr>
              <w:t xml:space="preserve"> </w:t>
            </w:r>
            <w:r w:rsidRPr="0053423A">
              <w:rPr>
                <w:rFonts w:cs="Sylfaen"/>
                <w:lang w:val="hy-AM"/>
              </w:rPr>
              <w:t>միջոցառումներ</w:t>
            </w:r>
            <w:r w:rsidRPr="0053423A">
              <w:rPr>
                <w:lang w:val="hy-AM"/>
              </w:rPr>
              <w:t xml:space="preserve">, </w:t>
            </w:r>
            <w:r w:rsidRPr="0053423A">
              <w:rPr>
                <w:rFonts w:cs="Sylfaen"/>
                <w:lang w:val="hy-AM"/>
              </w:rPr>
              <w:t>կանխել</w:t>
            </w:r>
            <w:r w:rsidRPr="0053423A">
              <w:rPr>
                <w:lang w:val="hy-AM"/>
              </w:rPr>
              <w:t xml:space="preserve"> </w:t>
            </w:r>
            <w:r w:rsidRPr="0053423A">
              <w:rPr>
                <w:rFonts w:cs="Sylfaen"/>
                <w:lang w:val="hy-AM"/>
              </w:rPr>
              <w:t>դրանց</w:t>
            </w:r>
            <w:r w:rsidRPr="0053423A">
              <w:rPr>
                <w:lang w:val="hy-AM"/>
              </w:rPr>
              <w:t xml:space="preserve"> </w:t>
            </w:r>
            <w:r w:rsidRPr="0053423A">
              <w:rPr>
                <w:rFonts w:cs="Arial Armenian"/>
                <w:lang w:val="hy-AM"/>
              </w:rPr>
              <w:t>գ</w:t>
            </w:r>
            <w:r w:rsidRPr="0053423A">
              <w:rPr>
                <w:rFonts w:cs="Sylfaen"/>
                <w:lang w:val="hy-AM"/>
              </w:rPr>
              <w:t>ործունեությունը</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նվազա</w:t>
            </w:r>
            <w:r w:rsidRPr="0053423A">
              <w:rPr>
                <w:rFonts w:cs="Arial Armenian"/>
                <w:lang w:val="hy-AM"/>
              </w:rPr>
              <w:t>գ</w:t>
            </w:r>
            <w:r w:rsidRPr="0053423A">
              <w:rPr>
                <w:rFonts w:cs="Sylfaen"/>
                <w:lang w:val="hy-AM"/>
              </w:rPr>
              <w:t>ույնի</w:t>
            </w:r>
            <w:r w:rsidRPr="0053423A">
              <w:rPr>
                <w:lang w:val="hy-AM"/>
              </w:rPr>
              <w:t xml:space="preserve"> </w:t>
            </w:r>
            <w:r w:rsidRPr="0053423A">
              <w:rPr>
                <w:rFonts w:cs="Sylfaen"/>
                <w:lang w:val="hy-AM"/>
              </w:rPr>
              <w:t>հասցնել</w:t>
            </w:r>
            <w:r w:rsidRPr="0053423A">
              <w:rPr>
                <w:lang w:val="hy-AM"/>
              </w:rPr>
              <w:t xml:space="preserve"> </w:t>
            </w:r>
            <w:r w:rsidRPr="0053423A">
              <w:rPr>
                <w:rFonts w:cs="Sylfaen"/>
                <w:lang w:val="hy-AM"/>
              </w:rPr>
              <w:t>դրանց</w:t>
            </w:r>
            <w:r w:rsidRPr="0053423A">
              <w:rPr>
                <w:lang w:val="hy-AM"/>
              </w:rPr>
              <w:t xml:space="preserve"> </w:t>
            </w:r>
            <w:r w:rsidRPr="0053423A">
              <w:rPr>
                <w:rFonts w:cs="Sylfaen"/>
                <w:lang w:val="hy-AM"/>
              </w:rPr>
              <w:t>տարածման</w:t>
            </w:r>
            <w:r w:rsidRPr="0053423A">
              <w:rPr>
                <w:lang w:val="hy-AM"/>
              </w:rPr>
              <w:t xml:space="preserve"> </w:t>
            </w:r>
            <w:r w:rsidRPr="0053423A">
              <w:rPr>
                <w:rFonts w:cs="Sylfaen"/>
                <w:lang w:val="hy-AM"/>
              </w:rPr>
              <w:t>արեալը</w:t>
            </w:r>
            <w:r w:rsidRPr="0053423A">
              <w:rPr>
                <w:lang w:val="hy-AM"/>
              </w:rPr>
              <w:t xml:space="preserve">, </w:t>
            </w:r>
            <w:r w:rsidRPr="0053423A">
              <w:rPr>
                <w:rFonts w:cs="Sylfaen"/>
                <w:lang w:val="hy-AM"/>
              </w:rPr>
              <w:t>բարելավել՝</w:t>
            </w:r>
            <w:r w:rsidRPr="0053423A">
              <w:rPr>
                <w:lang w:val="hy-AM"/>
              </w:rPr>
              <w:t xml:space="preserve"> </w:t>
            </w:r>
            <w:r w:rsidRPr="0053423A">
              <w:rPr>
                <w:rFonts w:cs="Arial Armenian"/>
                <w:lang w:val="hy-AM"/>
              </w:rPr>
              <w:t>գ</w:t>
            </w:r>
            <w:r w:rsidRPr="0053423A">
              <w:rPr>
                <w:rFonts w:cs="Sylfaen"/>
                <w:lang w:val="hy-AM"/>
              </w:rPr>
              <w:t>յուղատնտեսական</w:t>
            </w:r>
            <w:r w:rsidRPr="0053423A">
              <w:rPr>
                <w:lang w:val="hy-AM"/>
              </w:rPr>
              <w:t xml:space="preserve"> </w:t>
            </w:r>
            <w:r w:rsidRPr="0053423A">
              <w:rPr>
                <w:rFonts w:cs="Sylfaen"/>
                <w:lang w:val="hy-AM"/>
              </w:rPr>
              <w:t>նշանակության</w:t>
            </w:r>
            <w:r w:rsidRPr="0053423A">
              <w:rPr>
                <w:lang w:val="hy-AM"/>
              </w:rPr>
              <w:t xml:space="preserve"> </w:t>
            </w:r>
            <w:r w:rsidRPr="0053423A">
              <w:rPr>
                <w:rFonts w:cs="Sylfaen"/>
                <w:lang w:val="hy-AM"/>
              </w:rPr>
              <w:t>հողատեսքերի</w:t>
            </w:r>
            <w:r w:rsidRPr="0053423A">
              <w:rPr>
                <w:lang w:val="hy-AM"/>
              </w:rPr>
              <w:t xml:space="preserve"> </w:t>
            </w:r>
            <w:r w:rsidRPr="0053423A">
              <w:rPr>
                <w:rFonts w:cs="Sylfaen"/>
                <w:lang w:val="hy-AM"/>
              </w:rPr>
              <w:t>բուսասանիտարական</w:t>
            </w:r>
            <w:r w:rsidRPr="0053423A">
              <w:rPr>
                <w:lang w:val="hy-AM"/>
              </w:rPr>
              <w:t xml:space="preserve"> </w:t>
            </w:r>
            <w:r w:rsidRPr="0053423A">
              <w:rPr>
                <w:rFonts w:cs="Sylfaen"/>
                <w:lang w:val="hy-AM"/>
              </w:rPr>
              <w:t>վիճակը</w:t>
            </w:r>
            <w:r w:rsidRPr="0053423A">
              <w:rPr>
                <w:lang w:val="hy-AM"/>
              </w:rPr>
              <w:t xml:space="preserve">: </w:t>
            </w:r>
          </w:p>
          <w:p w:rsidR="00530B14" w:rsidRPr="0053423A" w:rsidRDefault="00530B14" w:rsidP="001F6D5D">
            <w:pPr>
              <w:pStyle w:val="ListParagraph"/>
              <w:numPr>
                <w:ilvl w:val="1"/>
                <w:numId w:val="127"/>
              </w:numPr>
              <w:tabs>
                <w:tab w:val="left" w:pos="1080"/>
              </w:tabs>
              <w:spacing w:line="276" w:lineRule="auto"/>
              <w:rPr>
                <w:rFonts w:cs="Sylfaen"/>
                <w:b/>
                <w:lang w:val="hy-AM"/>
              </w:rPr>
            </w:pPr>
            <w:r w:rsidRPr="0053423A">
              <w:rPr>
                <w:rFonts w:cs="Sylfaen"/>
                <w:b/>
                <w:lang w:val="hy-AM"/>
              </w:rPr>
              <w:t>Կարգավորման հարաբերությունների ներկա վիճակը և առկա խնդիրները</w:t>
            </w:r>
          </w:p>
          <w:p w:rsidR="00530B14" w:rsidRPr="0053423A" w:rsidRDefault="00530B14" w:rsidP="00A67858">
            <w:pPr>
              <w:spacing w:line="276" w:lineRule="auto"/>
              <w:ind w:right="-29" w:firstLine="708"/>
              <w:jc w:val="both"/>
              <w:rPr>
                <w:rFonts w:cs="Sylfaen"/>
                <w:lang w:val="hy-AM"/>
              </w:rPr>
            </w:pPr>
            <w:r w:rsidRPr="0053423A">
              <w:rPr>
                <w:rFonts w:cs="Sylfaen"/>
                <w:lang w:val="hy-AM"/>
              </w:rPr>
              <w:t>ՀՀ-ում բուսաբուծության</w:t>
            </w:r>
            <w:r w:rsidRPr="0053423A">
              <w:rPr>
                <w:lang w:val="hy-AM"/>
              </w:rPr>
              <w:t xml:space="preserve"> </w:t>
            </w:r>
            <w:r w:rsidRPr="0053423A">
              <w:rPr>
                <w:rFonts w:cs="Sylfaen"/>
                <w:lang w:val="hy-AM"/>
              </w:rPr>
              <w:t>զարգացման</w:t>
            </w:r>
            <w:r w:rsidRPr="0053423A">
              <w:rPr>
                <w:lang w:val="hy-AM"/>
              </w:rPr>
              <w:t xml:space="preserve"> </w:t>
            </w:r>
            <w:r w:rsidRPr="0053423A">
              <w:rPr>
                <w:rFonts w:cs="Sylfaen"/>
                <w:lang w:val="hy-AM"/>
              </w:rPr>
              <w:t>հիմնական</w:t>
            </w:r>
            <w:r w:rsidRPr="0053423A">
              <w:rPr>
                <w:lang w:val="hy-AM"/>
              </w:rPr>
              <w:t xml:space="preserve"> </w:t>
            </w:r>
            <w:r w:rsidRPr="0053423A">
              <w:rPr>
                <w:rFonts w:cs="Sylfaen"/>
                <w:lang w:val="hy-AM"/>
              </w:rPr>
              <w:t>խնդիրներից</w:t>
            </w:r>
            <w:r w:rsidRPr="0053423A">
              <w:rPr>
                <w:lang w:val="hy-AM"/>
              </w:rPr>
              <w:t xml:space="preserve"> մեկն </w:t>
            </w:r>
            <w:r w:rsidRPr="0053423A">
              <w:rPr>
                <w:rFonts w:cs="Sylfaen"/>
                <w:lang w:val="hy-AM"/>
              </w:rPr>
              <w:t>է</w:t>
            </w:r>
            <w:r w:rsidRPr="0053423A">
              <w:rPr>
                <w:lang w:val="hy-AM"/>
              </w:rPr>
              <w:t xml:space="preserve">` </w:t>
            </w:r>
            <w:r w:rsidRPr="0053423A">
              <w:rPr>
                <w:rFonts w:cs="Sylfaen"/>
                <w:lang w:val="hy-AM"/>
              </w:rPr>
              <w:t>բույսերի</w:t>
            </w:r>
            <w:r w:rsidRPr="0053423A">
              <w:rPr>
                <w:lang w:val="hy-AM"/>
              </w:rPr>
              <w:t xml:space="preserve"> </w:t>
            </w:r>
            <w:r w:rsidRPr="0053423A">
              <w:rPr>
                <w:rFonts w:cs="Sylfaen"/>
                <w:lang w:val="hy-AM"/>
              </w:rPr>
              <w:t>պաշտպանության</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կարանտինի</w:t>
            </w:r>
            <w:r w:rsidRPr="0053423A">
              <w:rPr>
                <w:lang w:val="hy-AM"/>
              </w:rPr>
              <w:t xml:space="preserve"> </w:t>
            </w:r>
            <w:r w:rsidRPr="0053423A">
              <w:rPr>
                <w:rFonts w:cs="Sylfaen"/>
                <w:lang w:val="hy-AM"/>
              </w:rPr>
              <w:t>միջոցառումների</w:t>
            </w:r>
            <w:r w:rsidRPr="0053423A">
              <w:rPr>
                <w:lang w:val="hy-AM"/>
              </w:rPr>
              <w:t xml:space="preserve"> </w:t>
            </w:r>
            <w:r w:rsidRPr="0053423A">
              <w:rPr>
                <w:rFonts w:cs="Sylfaen"/>
                <w:lang w:val="hy-AM"/>
              </w:rPr>
              <w:t>իրականացումը</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հանրապետու</w:t>
            </w:r>
            <w:r w:rsidRPr="0053423A">
              <w:rPr>
                <w:rFonts w:cs="Sylfaen"/>
                <w:lang w:val="hy-AM"/>
              </w:rPr>
              <w:softHyphen/>
              <w:t>թյան</w:t>
            </w:r>
            <w:r w:rsidRPr="0053423A">
              <w:rPr>
                <w:lang w:val="hy-AM"/>
              </w:rPr>
              <w:t xml:space="preserve"> </w:t>
            </w:r>
            <w:r w:rsidRPr="0053423A">
              <w:rPr>
                <w:rFonts w:cs="Sylfaen"/>
                <w:lang w:val="hy-AM"/>
              </w:rPr>
              <w:t>տարածքի</w:t>
            </w:r>
            <w:r w:rsidRPr="0053423A">
              <w:rPr>
                <w:lang w:val="hy-AM"/>
              </w:rPr>
              <w:t xml:space="preserve"> </w:t>
            </w:r>
            <w:r w:rsidRPr="0053423A">
              <w:rPr>
                <w:rFonts w:cs="Sylfaen"/>
                <w:lang w:val="hy-AM"/>
              </w:rPr>
              <w:t>բուսասանիտարական</w:t>
            </w:r>
            <w:r w:rsidRPr="0053423A">
              <w:rPr>
                <w:lang w:val="hy-AM"/>
              </w:rPr>
              <w:t xml:space="preserve"> </w:t>
            </w:r>
            <w:r w:rsidRPr="0053423A">
              <w:rPr>
                <w:rFonts w:cs="Sylfaen"/>
                <w:lang w:val="hy-AM"/>
              </w:rPr>
              <w:t>անվտանգության</w:t>
            </w:r>
            <w:r w:rsidRPr="0053423A">
              <w:rPr>
                <w:lang w:val="hy-AM"/>
              </w:rPr>
              <w:t xml:space="preserve"> </w:t>
            </w:r>
            <w:r w:rsidRPr="0053423A">
              <w:rPr>
                <w:rFonts w:cs="Sylfaen"/>
                <w:lang w:val="hy-AM"/>
              </w:rPr>
              <w:t>ապահովումը: Վարակվածու</w:t>
            </w:r>
            <w:r w:rsidRPr="0053423A">
              <w:rPr>
                <w:rFonts w:cs="Sylfaen"/>
                <w:lang w:val="hy-AM"/>
              </w:rPr>
              <w:softHyphen/>
              <w:t>թյան վնասակարության շեմը գերազանցող գյուղատնտեսական նշանակության հողե</w:t>
            </w:r>
            <w:r w:rsidRPr="0053423A">
              <w:rPr>
                <w:rFonts w:cs="Sylfaen"/>
                <w:lang w:val="hy-AM"/>
              </w:rPr>
              <w:softHyphen/>
              <w:t>րում անհրաժեշտ է իրականացնել համալիր միջոցառումներ, քանի որ հաճախ գյուղա</w:t>
            </w:r>
            <w:r w:rsidRPr="0053423A">
              <w:rPr>
                <w:rFonts w:cs="Sylfaen"/>
                <w:lang w:val="hy-AM"/>
              </w:rPr>
              <w:softHyphen/>
              <w:t>ցիական տնտեսությունները միայնակ պայքարելով վնասատուների դեմ, անհրաժեշտ արդյունք չեն ապահովում, որի պատճառով կրճատվում են համախառն արտադրանքի ծավալները, ընկնում է գյուղատնտեսական արտադրանքի որակն ու ապրանքային տեսքը:Հաճախ էլ պայքարի միջոցառումները դուրս են տնտեսավարող սուբյեկտների հնարավորություններից և պայմանավորված չեն նրանց գործունեությամբ: Այդ իսկ պատճառով անհրաժեշտություն է առաջանում կենտրոնացված կարգով իրականացնել պայքարի միջոցառումներ, մասնավորապես՝ պայքար մկնանման կրծողների,  մորեխ</w:t>
            </w:r>
            <w:r w:rsidRPr="0053423A">
              <w:rPr>
                <w:rFonts w:cs="Sylfaen"/>
                <w:lang w:val="hy-AM"/>
              </w:rPr>
              <w:softHyphen/>
              <w:t>ների դեմ և անտառի վնասակար օրգանիզմների դեմ:</w:t>
            </w:r>
          </w:p>
          <w:p w:rsidR="00530B14" w:rsidRPr="0053423A" w:rsidRDefault="00530B14" w:rsidP="00A67858">
            <w:pPr>
              <w:pStyle w:val="BodyTextIndent"/>
              <w:tabs>
                <w:tab w:val="left" w:pos="709"/>
                <w:tab w:val="left" w:pos="1350"/>
              </w:tabs>
              <w:spacing w:after="0" w:line="276" w:lineRule="auto"/>
              <w:ind w:left="1350" w:right="-29" w:hanging="810"/>
              <w:jc w:val="both"/>
              <w:rPr>
                <w:rFonts w:ascii="GHEA Grapalat" w:hAnsi="GHEA Grapalat"/>
                <w:b/>
                <w:sz w:val="20"/>
                <w:szCs w:val="20"/>
                <w:lang w:val="hy-AM"/>
              </w:rPr>
            </w:pPr>
            <w:r w:rsidRPr="0053423A">
              <w:rPr>
                <w:rFonts w:ascii="GHEA Grapalat" w:hAnsi="GHEA Grapalat" w:cs="Sylfaen"/>
                <w:b/>
                <w:sz w:val="20"/>
                <w:szCs w:val="20"/>
                <w:lang w:val="hy-AM"/>
              </w:rPr>
              <w:t>1.2 Առկա</w:t>
            </w:r>
            <w:r w:rsidRPr="0053423A">
              <w:rPr>
                <w:rFonts w:ascii="GHEA Grapalat" w:hAnsi="GHEA Grapalat"/>
                <w:b/>
                <w:sz w:val="20"/>
                <w:szCs w:val="20"/>
                <w:lang w:val="hy-AM"/>
              </w:rPr>
              <w:t xml:space="preserve"> խնդիրների առաջարկվող լուծումները </w:t>
            </w:r>
          </w:p>
          <w:p w:rsidR="00530B14" w:rsidRPr="0053423A" w:rsidRDefault="00530B14" w:rsidP="00A67858">
            <w:pPr>
              <w:spacing w:line="276" w:lineRule="auto"/>
              <w:ind w:right="-31" w:firstLine="720"/>
              <w:jc w:val="both"/>
              <w:rPr>
                <w:lang w:val="hy-AM"/>
              </w:rPr>
            </w:pPr>
            <w:r w:rsidRPr="0053423A">
              <w:rPr>
                <w:rFonts w:eastAsia="Calibri"/>
                <w:lang w:val="hy-AM"/>
              </w:rPr>
              <w:t xml:space="preserve">2019 թվականին նախատեսվում է ձեռք բերել 4142.6 </w:t>
            </w:r>
            <w:r w:rsidRPr="0053423A">
              <w:rPr>
                <w:rFonts w:eastAsia="Calibri" w:cs="Sylfaen"/>
                <w:shd w:val="clear" w:color="auto" w:fill="FFFFFF"/>
                <w:lang w:val="hy-AM"/>
              </w:rPr>
              <w:t>լիտր (</w:t>
            </w:r>
            <w:r w:rsidRPr="0053423A">
              <w:rPr>
                <w:rFonts w:eastAsia="Calibri"/>
                <w:lang w:val="hy-AM"/>
              </w:rPr>
              <w:t>համարժեք կգ՝ ըստ տեսակարար կշռի</w:t>
            </w:r>
            <w:r w:rsidRPr="0053423A">
              <w:rPr>
                <w:rFonts w:eastAsia="Calibri" w:cs="Sylfaen"/>
                <w:shd w:val="clear" w:color="auto" w:fill="FFFFFF"/>
                <w:lang w:val="hy-AM"/>
              </w:rPr>
              <w:t>)</w:t>
            </w:r>
            <w:r w:rsidRPr="0053423A">
              <w:rPr>
                <w:rFonts w:eastAsia="Calibri"/>
                <w:lang w:val="hy-AM"/>
              </w:rPr>
              <w:t xml:space="preserve"> մկնասպան միջոց և 225 </w:t>
            </w:r>
            <w:r w:rsidRPr="0053423A">
              <w:rPr>
                <w:rFonts w:eastAsia="Calibri" w:cs="Sylfaen"/>
                <w:shd w:val="clear" w:color="auto" w:fill="FFFFFF"/>
                <w:lang w:val="hy-AM"/>
              </w:rPr>
              <w:t>լիտր (</w:t>
            </w:r>
            <w:r w:rsidRPr="0053423A">
              <w:rPr>
                <w:rFonts w:eastAsia="Calibri"/>
                <w:lang w:val="hy-AM"/>
              </w:rPr>
              <w:t>համարժեք կգ՝ ըստ տեսակարար կշռի</w:t>
            </w:r>
            <w:r w:rsidRPr="0053423A">
              <w:rPr>
                <w:rFonts w:eastAsia="Calibri" w:cs="Sylfaen"/>
                <w:shd w:val="clear" w:color="auto" w:fill="FFFFFF"/>
                <w:lang w:val="hy-AM"/>
              </w:rPr>
              <w:t xml:space="preserve">) միջատասպան միջոց, </w:t>
            </w:r>
            <w:r w:rsidRPr="0053423A">
              <w:rPr>
                <w:rFonts w:eastAsia="Calibri"/>
                <w:lang w:val="hy-AM"/>
              </w:rPr>
              <w:t>որոնցով «Անասնաբուժասանիտարիայի և բուսասանիտա</w:t>
            </w:r>
            <w:r w:rsidRPr="0053423A">
              <w:rPr>
                <w:rFonts w:eastAsia="Calibri"/>
                <w:lang w:val="hy-AM"/>
              </w:rPr>
              <w:softHyphen/>
              <w:t>րիայի ծառայություններ կենտրոն» ՊՈԱԿ-ի մասնագետների կողմից իրականացված մոնիթորինգի արդյունքների հիման վրա, գարնանը և աշնանը հողօգտագործողների միջոցով պայքարի միջոցառումներ կիրականացվեն, մկնանման կրծողներով ու մորեխներով առավել վարակված շուրջ՝ 58.7 հազ հեկտար վարելահողում և բազմամյա տնկարկներում: Ծրագրի բյուջեն կազմում է 41036.6 հազ. դրամ:</w:t>
            </w:r>
            <w:r w:rsidRPr="0053423A">
              <w:rPr>
                <w:rFonts w:cs="Sylfaen"/>
                <w:lang w:val="hy-AM"/>
              </w:rPr>
              <w:t xml:space="preserve"> </w:t>
            </w:r>
          </w:p>
          <w:p w:rsidR="00530B14" w:rsidRPr="0053423A" w:rsidRDefault="00530B14" w:rsidP="00A67858">
            <w:pPr>
              <w:spacing w:line="276" w:lineRule="auto"/>
              <w:ind w:right="-31" w:firstLine="540"/>
              <w:jc w:val="both"/>
              <w:rPr>
                <w:b/>
                <w:lang w:val="hy-AM"/>
              </w:rPr>
            </w:pPr>
            <w:r w:rsidRPr="0053423A">
              <w:rPr>
                <w:b/>
                <w:lang w:val="hy-AM"/>
              </w:rPr>
              <w:t>2. Միջոցառման իրականացումից ակնկալվող արդյունքը</w:t>
            </w:r>
          </w:p>
          <w:p w:rsidR="00530B14" w:rsidRPr="0053423A" w:rsidRDefault="00530B14" w:rsidP="00A67858">
            <w:pPr>
              <w:spacing w:line="276" w:lineRule="auto"/>
              <w:ind w:right="-31" w:firstLine="720"/>
              <w:jc w:val="both"/>
              <w:rPr>
                <w:lang w:val="hy-AM"/>
              </w:rPr>
            </w:pPr>
            <w:r w:rsidRPr="0053423A">
              <w:rPr>
                <w:rFonts w:cs="Sylfaen"/>
                <w:lang w:val="hy-AM"/>
              </w:rPr>
              <w:t>Նախատեսված միջոցառումների</w:t>
            </w:r>
            <w:r w:rsidRPr="0053423A">
              <w:rPr>
                <w:lang w:val="hy-AM"/>
              </w:rPr>
              <w:t xml:space="preserve"> իրականացման շնորհիվ </w:t>
            </w:r>
            <w:r w:rsidRPr="0053423A">
              <w:rPr>
                <w:rFonts w:cs="Sylfaen"/>
                <w:lang w:val="hy-AM"/>
              </w:rPr>
              <w:t>հնարավոր</w:t>
            </w:r>
            <w:r w:rsidRPr="0053423A">
              <w:rPr>
                <w:lang w:val="hy-AM"/>
              </w:rPr>
              <w:t xml:space="preserve"> </w:t>
            </w:r>
            <w:r w:rsidRPr="0053423A">
              <w:rPr>
                <w:rFonts w:cs="Sylfaen"/>
                <w:lang w:val="hy-AM"/>
              </w:rPr>
              <w:t>կլինի</w:t>
            </w:r>
            <w:r w:rsidRPr="0053423A">
              <w:rPr>
                <w:lang w:val="hy-AM"/>
              </w:rPr>
              <w:t xml:space="preserve"> </w:t>
            </w:r>
            <w:r w:rsidRPr="0053423A">
              <w:rPr>
                <w:rFonts w:cs="Sylfaen"/>
                <w:lang w:val="hy-AM"/>
              </w:rPr>
              <w:t>նվազա</w:t>
            </w:r>
            <w:r w:rsidRPr="0053423A">
              <w:rPr>
                <w:rFonts w:cs="Arial Armenian"/>
                <w:lang w:val="hy-AM"/>
              </w:rPr>
              <w:t>գ</w:t>
            </w:r>
            <w:r w:rsidRPr="0053423A">
              <w:rPr>
                <w:rFonts w:cs="Sylfaen"/>
                <w:lang w:val="hy-AM"/>
              </w:rPr>
              <w:t>ույնին</w:t>
            </w:r>
            <w:r w:rsidRPr="0053423A">
              <w:rPr>
                <w:lang w:val="hy-AM"/>
              </w:rPr>
              <w:t xml:space="preserve"> </w:t>
            </w:r>
            <w:r w:rsidRPr="0053423A">
              <w:rPr>
                <w:rFonts w:cs="Sylfaen"/>
                <w:lang w:val="hy-AM"/>
              </w:rPr>
              <w:t>հասցնել</w:t>
            </w:r>
            <w:r w:rsidRPr="0053423A">
              <w:rPr>
                <w:lang w:val="hy-AM"/>
              </w:rPr>
              <w:t xml:space="preserve"> </w:t>
            </w:r>
            <w:r w:rsidRPr="0053423A">
              <w:rPr>
                <w:rFonts w:cs="Sylfaen"/>
                <w:lang w:val="hy-AM"/>
              </w:rPr>
              <w:t>վնասակար</w:t>
            </w:r>
            <w:r w:rsidRPr="0053423A">
              <w:rPr>
                <w:lang w:val="hy-AM"/>
              </w:rPr>
              <w:t xml:space="preserve"> </w:t>
            </w:r>
            <w:r w:rsidRPr="0053423A">
              <w:rPr>
                <w:rFonts w:cs="Sylfaen"/>
                <w:lang w:val="hy-AM"/>
              </w:rPr>
              <w:t>օր</w:t>
            </w:r>
            <w:r w:rsidRPr="0053423A">
              <w:rPr>
                <w:rFonts w:cs="Arial Armenian"/>
                <w:lang w:val="hy-AM"/>
              </w:rPr>
              <w:t>գ</w:t>
            </w:r>
            <w:r w:rsidRPr="0053423A">
              <w:rPr>
                <w:rFonts w:cs="Sylfaen"/>
                <w:lang w:val="hy-AM"/>
              </w:rPr>
              <w:t>անիզմների</w:t>
            </w:r>
            <w:r w:rsidRPr="0053423A">
              <w:rPr>
                <w:lang w:val="hy-AM"/>
              </w:rPr>
              <w:t xml:space="preserve"> </w:t>
            </w:r>
            <w:r w:rsidRPr="0053423A">
              <w:rPr>
                <w:rFonts w:cs="Arial Armenian"/>
                <w:lang w:val="hy-AM"/>
              </w:rPr>
              <w:t>վնասակարությունը</w:t>
            </w:r>
            <w:r w:rsidRPr="0053423A">
              <w:rPr>
                <w:lang w:val="hy-AM"/>
              </w:rPr>
              <w:t xml:space="preserve"> </w:t>
            </w:r>
            <w:r w:rsidRPr="0053423A">
              <w:rPr>
                <w:rFonts w:cs="Sylfaen"/>
                <w:lang w:val="hy-AM"/>
              </w:rPr>
              <w:t>և</w:t>
            </w:r>
            <w:r w:rsidRPr="0053423A">
              <w:rPr>
                <w:lang w:val="hy-AM"/>
              </w:rPr>
              <w:t xml:space="preserve"> </w:t>
            </w:r>
            <w:r w:rsidRPr="0053423A">
              <w:rPr>
                <w:rFonts w:cs="Sylfaen"/>
                <w:lang w:val="hy-AM"/>
              </w:rPr>
              <w:t>դրանց</w:t>
            </w:r>
            <w:r w:rsidRPr="0053423A">
              <w:rPr>
                <w:lang w:val="hy-AM"/>
              </w:rPr>
              <w:t xml:space="preserve"> </w:t>
            </w:r>
            <w:r w:rsidRPr="0053423A">
              <w:rPr>
                <w:rFonts w:cs="Sylfaen"/>
                <w:lang w:val="hy-AM"/>
              </w:rPr>
              <w:t>տարած</w:t>
            </w:r>
            <w:r w:rsidRPr="0053423A">
              <w:rPr>
                <w:rFonts w:cs="Sylfaen"/>
                <w:lang w:val="hy-AM"/>
              </w:rPr>
              <w:softHyphen/>
              <w:t>ման</w:t>
            </w:r>
            <w:r w:rsidRPr="0053423A">
              <w:rPr>
                <w:lang w:val="hy-AM"/>
              </w:rPr>
              <w:t xml:space="preserve"> </w:t>
            </w:r>
            <w:r w:rsidRPr="0053423A">
              <w:rPr>
                <w:rFonts w:cs="Sylfaen"/>
                <w:lang w:val="hy-AM"/>
              </w:rPr>
              <w:t>արեալի նվազեցումը</w:t>
            </w:r>
            <w:r w:rsidRPr="0053423A">
              <w:rPr>
                <w:lang w:val="hy-AM"/>
              </w:rPr>
              <w:t xml:space="preserve">, </w:t>
            </w:r>
            <w:r w:rsidRPr="0053423A">
              <w:rPr>
                <w:rFonts w:cs="Sylfaen"/>
                <w:lang w:val="hy-AM"/>
              </w:rPr>
              <w:t>զ</w:t>
            </w:r>
            <w:r w:rsidRPr="0053423A">
              <w:rPr>
                <w:rFonts w:cs="Arial Armenian"/>
                <w:lang w:val="hy-AM"/>
              </w:rPr>
              <w:t>գ</w:t>
            </w:r>
            <w:r w:rsidRPr="0053423A">
              <w:rPr>
                <w:rFonts w:cs="Sylfaen"/>
                <w:lang w:val="hy-AM"/>
              </w:rPr>
              <w:t>ալիորեն</w:t>
            </w:r>
            <w:r w:rsidRPr="0053423A">
              <w:rPr>
                <w:lang w:val="hy-AM"/>
              </w:rPr>
              <w:t xml:space="preserve"> </w:t>
            </w:r>
            <w:r w:rsidRPr="0053423A">
              <w:rPr>
                <w:rFonts w:cs="Sylfaen"/>
                <w:lang w:val="hy-AM"/>
              </w:rPr>
              <w:t>կբարելավվի</w:t>
            </w:r>
            <w:r w:rsidRPr="0053423A">
              <w:rPr>
                <w:lang w:val="hy-AM"/>
              </w:rPr>
              <w:t xml:space="preserve"> </w:t>
            </w:r>
            <w:r w:rsidRPr="0053423A">
              <w:rPr>
                <w:rFonts w:cs="Arial Armenian"/>
                <w:lang w:val="hy-AM"/>
              </w:rPr>
              <w:t>գ</w:t>
            </w:r>
            <w:r w:rsidRPr="0053423A">
              <w:rPr>
                <w:rFonts w:cs="Sylfaen"/>
                <w:lang w:val="hy-AM"/>
              </w:rPr>
              <w:t>յուղատնտեսական</w:t>
            </w:r>
            <w:r w:rsidRPr="0053423A">
              <w:rPr>
                <w:lang w:val="hy-AM"/>
              </w:rPr>
              <w:t xml:space="preserve"> </w:t>
            </w:r>
            <w:r w:rsidRPr="0053423A">
              <w:rPr>
                <w:rFonts w:cs="Sylfaen"/>
                <w:lang w:val="hy-AM"/>
              </w:rPr>
              <w:t>նշանակության</w:t>
            </w:r>
            <w:r w:rsidRPr="0053423A">
              <w:rPr>
                <w:lang w:val="hy-AM"/>
              </w:rPr>
              <w:t xml:space="preserve"> </w:t>
            </w:r>
            <w:r w:rsidRPr="0053423A">
              <w:rPr>
                <w:rFonts w:cs="Sylfaen"/>
                <w:lang w:val="hy-AM"/>
              </w:rPr>
              <w:t>հողա</w:t>
            </w:r>
            <w:r w:rsidRPr="0053423A">
              <w:rPr>
                <w:rFonts w:cs="Sylfaen"/>
                <w:lang w:val="hy-AM"/>
              </w:rPr>
              <w:softHyphen/>
              <w:t>տեսքերի</w:t>
            </w:r>
            <w:r w:rsidRPr="0053423A">
              <w:rPr>
                <w:lang w:val="hy-AM"/>
              </w:rPr>
              <w:t xml:space="preserve"> </w:t>
            </w:r>
            <w:r w:rsidRPr="0053423A">
              <w:rPr>
                <w:rFonts w:cs="Sylfaen"/>
                <w:lang w:val="hy-AM"/>
              </w:rPr>
              <w:t>բուսասանիտարական</w:t>
            </w:r>
            <w:r w:rsidRPr="0053423A">
              <w:rPr>
                <w:lang w:val="hy-AM"/>
              </w:rPr>
              <w:t xml:space="preserve"> </w:t>
            </w:r>
            <w:r w:rsidRPr="0053423A">
              <w:rPr>
                <w:rFonts w:cs="Sylfaen"/>
                <w:lang w:val="hy-AM"/>
              </w:rPr>
              <w:t>վիճակը</w:t>
            </w:r>
            <w:r w:rsidRPr="0053423A">
              <w:rPr>
                <w:lang w:val="hy-AM"/>
              </w:rPr>
              <w:t>:</w:t>
            </w:r>
          </w:p>
          <w:p w:rsidR="00530B14" w:rsidRPr="0053423A" w:rsidRDefault="00530B14" w:rsidP="00A67858">
            <w:pPr>
              <w:spacing w:line="276" w:lineRule="auto"/>
              <w:ind w:right="-31" w:firstLine="720"/>
              <w:jc w:val="both"/>
              <w:rPr>
                <w:lang w:val="hy-AM"/>
              </w:rPr>
            </w:pPr>
          </w:p>
          <w:p w:rsidR="00530B14" w:rsidRPr="0053423A" w:rsidRDefault="00530B14" w:rsidP="001F6D5D">
            <w:pPr>
              <w:pStyle w:val="ListParagraph"/>
              <w:numPr>
                <w:ilvl w:val="1"/>
                <w:numId w:val="126"/>
              </w:numPr>
              <w:spacing w:line="276" w:lineRule="auto"/>
              <w:jc w:val="center"/>
              <w:rPr>
                <w:rFonts w:cs="Calibri"/>
                <w:b/>
                <w:u w:val="single"/>
                <w:lang w:val="hy-AM"/>
              </w:rPr>
            </w:pPr>
            <w:r w:rsidRPr="0053423A">
              <w:rPr>
                <w:rFonts w:cs="Calibri"/>
                <w:b/>
                <w:u w:val="single"/>
                <w:lang w:val="hy-AM"/>
              </w:rPr>
              <w:t xml:space="preserve"> Գ</w:t>
            </w:r>
            <w:r w:rsidRPr="0053423A">
              <w:rPr>
                <w:rFonts w:cs="Calibri"/>
                <w:b/>
                <w:u w:val="single"/>
                <w:lang w:val="it-IT"/>
              </w:rPr>
              <w:t>յուղատնտեսական կենդանիների պատվաստում</w:t>
            </w:r>
            <w:r w:rsidRPr="0053423A">
              <w:rPr>
                <w:rFonts w:cs="Calibri"/>
                <w:b/>
                <w:u w:val="single"/>
                <w:lang w:val="hy-AM"/>
              </w:rPr>
              <w:t xml:space="preserve"> ծրագրի իրականացում</w:t>
            </w:r>
          </w:p>
          <w:p w:rsidR="00530B14" w:rsidRPr="0053423A" w:rsidRDefault="00530B14" w:rsidP="00A67858">
            <w:pPr>
              <w:spacing w:line="276" w:lineRule="auto"/>
              <w:jc w:val="center"/>
              <w:rPr>
                <w:b/>
                <w:bCs/>
                <w:lang w:val="it-IT"/>
              </w:rPr>
            </w:pPr>
          </w:p>
          <w:p w:rsidR="00530B14" w:rsidRPr="0053423A" w:rsidRDefault="00530B14" w:rsidP="001F6D5D">
            <w:pPr>
              <w:pStyle w:val="BodyTextIndent"/>
              <w:numPr>
                <w:ilvl w:val="0"/>
                <w:numId w:val="122"/>
              </w:numPr>
              <w:tabs>
                <w:tab w:val="left" w:pos="709"/>
              </w:tabs>
              <w:spacing w:after="0" w:line="276" w:lineRule="auto"/>
              <w:ind w:right="-31" w:firstLine="103"/>
              <w:jc w:val="both"/>
              <w:rPr>
                <w:rFonts w:ascii="GHEA Grapalat" w:hAnsi="GHEA Grapalat"/>
                <w:b/>
                <w:sz w:val="20"/>
                <w:szCs w:val="20"/>
                <w:lang w:val="it-IT"/>
              </w:rPr>
            </w:pPr>
            <w:r w:rsidRPr="0053423A">
              <w:rPr>
                <w:rFonts w:ascii="GHEA Grapalat" w:hAnsi="GHEA Grapalat"/>
                <w:b/>
                <w:sz w:val="20"/>
                <w:szCs w:val="20"/>
                <w:lang w:val="hy-AM"/>
              </w:rPr>
              <w:t>Միջոցառման</w:t>
            </w:r>
            <w:r w:rsidRPr="0053423A">
              <w:rPr>
                <w:rFonts w:ascii="GHEA Grapalat" w:hAnsi="GHEA Grapalat"/>
                <w:b/>
                <w:sz w:val="20"/>
                <w:szCs w:val="20"/>
                <w:lang w:val="it-IT"/>
              </w:rPr>
              <w:t xml:space="preserve"> </w:t>
            </w:r>
            <w:r w:rsidRPr="0053423A">
              <w:rPr>
                <w:rFonts w:ascii="GHEA Grapalat" w:hAnsi="GHEA Grapalat"/>
                <w:b/>
                <w:sz w:val="20"/>
                <w:szCs w:val="20"/>
                <w:lang w:val="hy-AM"/>
              </w:rPr>
              <w:t>իրականացման</w:t>
            </w:r>
            <w:r w:rsidRPr="0053423A">
              <w:rPr>
                <w:rFonts w:ascii="GHEA Grapalat" w:hAnsi="GHEA Grapalat"/>
                <w:b/>
                <w:sz w:val="20"/>
                <w:szCs w:val="20"/>
                <w:lang w:val="it-IT"/>
              </w:rPr>
              <w:t xml:space="preserve"> </w:t>
            </w:r>
            <w:r w:rsidRPr="0053423A">
              <w:rPr>
                <w:rFonts w:ascii="GHEA Grapalat" w:hAnsi="GHEA Grapalat"/>
                <w:b/>
                <w:sz w:val="20"/>
                <w:szCs w:val="20"/>
                <w:lang w:val="hy-AM"/>
              </w:rPr>
              <w:t>անհրաժեշտությունը</w:t>
            </w:r>
            <w:r w:rsidRPr="0053423A">
              <w:rPr>
                <w:rFonts w:ascii="GHEA Grapalat" w:hAnsi="GHEA Grapalat"/>
                <w:b/>
                <w:sz w:val="20"/>
                <w:szCs w:val="20"/>
                <w:lang w:val="it-IT"/>
              </w:rPr>
              <w:t xml:space="preserve"> </w:t>
            </w:r>
            <w:r w:rsidRPr="0053423A">
              <w:rPr>
                <w:rFonts w:ascii="GHEA Grapalat" w:hAnsi="GHEA Grapalat"/>
                <w:b/>
                <w:sz w:val="20"/>
                <w:szCs w:val="20"/>
                <w:lang w:val="hy-AM"/>
              </w:rPr>
              <w:t>և</w:t>
            </w:r>
            <w:r w:rsidRPr="0053423A">
              <w:rPr>
                <w:rFonts w:ascii="GHEA Grapalat" w:hAnsi="GHEA Grapalat"/>
                <w:b/>
                <w:sz w:val="20"/>
                <w:szCs w:val="20"/>
                <w:lang w:val="it-IT"/>
              </w:rPr>
              <w:t xml:space="preserve"> </w:t>
            </w:r>
            <w:r w:rsidRPr="0053423A">
              <w:rPr>
                <w:rFonts w:ascii="GHEA Grapalat" w:hAnsi="GHEA Grapalat"/>
                <w:b/>
                <w:sz w:val="20"/>
                <w:szCs w:val="20"/>
                <w:lang w:val="hy-AM"/>
              </w:rPr>
              <w:t>նպատակը</w:t>
            </w:r>
            <w:r w:rsidRPr="0053423A">
              <w:rPr>
                <w:rFonts w:ascii="GHEA Grapalat" w:hAnsi="GHEA Grapalat"/>
                <w:b/>
                <w:sz w:val="20"/>
                <w:szCs w:val="20"/>
                <w:lang w:val="it-IT"/>
              </w:rPr>
              <w:t xml:space="preserve"> </w:t>
            </w:r>
          </w:p>
          <w:p w:rsidR="00530B14" w:rsidRPr="0053423A" w:rsidRDefault="00530B14" w:rsidP="00A67858">
            <w:pPr>
              <w:spacing w:line="276" w:lineRule="auto"/>
              <w:jc w:val="both"/>
              <w:rPr>
                <w:rFonts w:cs="Sylfaen"/>
                <w:lang w:val="hy-AM"/>
              </w:rPr>
            </w:pPr>
            <w:r w:rsidRPr="0053423A">
              <w:rPr>
                <w:rFonts w:cs="Sylfaen"/>
                <w:lang w:val="hy-AM"/>
              </w:rPr>
              <w:tab/>
              <w:t xml:space="preserve">Գյուղատնտեսական կենդանիների պատվաստում ծրագրի (այսուհետ՝ Ծրագիր) իրականացման անհրաժեշտությունը բխում է  ՀՀ ԱԺ 2019 թվականի փետրվարի 14-ի ԱԺՈ-002-Ն որոշմամբ հավանության արժանացած ՀՀ կառավարության ծրագրից </w:t>
            </w:r>
            <w:r w:rsidRPr="0053423A">
              <w:rPr>
                <w:rFonts w:cs="Sylfaen"/>
                <w:lang w:val="af-ZA"/>
              </w:rPr>
              <w:t>(</w:t>
            </w:r>
            <w:r w:rsidRPr="0053423A">
              <w:rPr>
                <w:rFonts w:cs="Sylfaen"/>
                <w:lang w:val="hy-AM"/>
              </w:rPr>
              <w:t>5.10. Գյուղատնտեսությունը բաժին, 7-րդ պարբերության 6-րդ դրույթ), ՀՀ</w:t>
            </w:r>
            <w:r w:rsidRPr="0053423A">
              <w:rPr>
                <w:rFonts w:cs="Sylfaen"/>
                <w:lang w:val="af-ZA"/>
              </w:rPr>
              <w:t xml:space="preserve"> </w:t>
            </w:r>
            <w:r w:rsidRPr="0053423A">
              <w:rPr>
                <w:rFonts w:cs="Sylfaen"/>
                <w:lang w:val="hy-AM"/>
              </w:rPr>
              <w:t>կառա</w:t>
            </w:r>
            <w:r w:rsidRPr="0053423A">
              <w:rPr>
                <w:rFonts w:cs="Sylfaen"/>
                <w:lang w:val="hy-AM"/>
              </w:rPr>
              <w:softHyphen/>
              <w:t>վա</w:t>
            </w:r>
            <w:r w:rsidRPr="0053423A">
              <w:rPr>
                <w:rFonts w:cs="Sylfaen"/>
                <w:lang w:val="hy-AM"/>
              </w:rPr>
              <w:softHyphen/>
              <w:t>րության</w:t>
            </w:r>
            <w:r w:rsidRPr="0053423A">
              <w:rPr>
                <w:rFonts w:cs="Sylfaen"/>
                <w:lang w:val="af-ZA"/>
              </w:rPr>
              <w:t xml:space="preserve"> 2017</w:t>
            </w:r>
            <w:r w:rsidRPr="0053423A">
              <w:rPr>
                <w:rFonts w:cs="Sylfaen"/>
                <w:lang w:val="hy-AM"/>
              </w:rPr>
              <w:t xml:space="preserve"> թվականի</w:t>
            </w:r>
            <w:r w:rsidRPr="0053423A">
              <w:rPr>
                <w:rFonts w:cs="Sylfaen"/>
                <w:lang w:val="af-ZA"/>
              </w:rPr>
              <w:t xml:space="preserve"> </w:t>
            </w:r>
            <w:r w:rsidRPr="0053423A">
              <w:rPr>
                <w:rFonts w:cs="Sylfaen"/>
                <w:lang w:val="hy-AM"/>
              </w:rPr>
              <w:t>հունիսի</w:t>
            </w:r>
            <w:r w:rsidRPr="0053423A">
              <w:rPr>
                <w:rFonts w:cs="Sylfaen"/>
                <w:lang w:val="af-ZA"/>
              </w:rPr>
              <w:t xml:space="preserve"> 19-</w:t>
            </w:r>
            <w:r w:rsidRPr="0053423A">
              <w:rPr>
                <w:rFonts w:cs="Sylfaen"/>
                <w:lang w:val="hy-AM"/>
              </w:rPr>
              <w:t xml:space="preserve">ի </w:t>
            </w:r>
            <w:r w:rsidRPr="0053423A">
              <w:rPr>
                <w:rFonts w:cs="Sylfaen"/>
                <w:lang w:val="af-ZA"/>
              </w:rPr>
              <w:t>N 646-</w:t>
            </w:r>
            <w:r w:rsidRPr="0053423A">
              <w:rPr>
                <w:rFonts w:cs="Sylfaen"/>
                <w:lang w:val="hy-AM"/>
              </w:rPr>
              <w:t>Ա</w:t>
            </w:r>
            <w:r w:rsidRPr="0053423A">
              <w:rPr>
                <w:rFonts w:cs="Sylfaen"/>
                <w:lang w:val="af-ZA"/>
              </w:rPr>
              <w:t xml:space="preserve"> </w:t>
            </w:r>
            <w:r w:rsidRPr="0053423A">
              <w:rPr>
                <w:rFonts w:cs="Sylfaen"/>
                <w:lang w:val="hy-AM"/>
              </w:rPr>
              <w:t>որոշումից (4</w:t>
            </w:r>
            <w:r w:rsidRPr="0053423A">
              <w:rPr>
                <w:rFonts w:cs="Sylfaen"/>
                <w:lang w:val="af-ZA"/>
              </w:rPr>
              <w:t>-</w:t>
            </w:r>
            <w:r w:rsidRPr="0053423A">
              <w:rPr>
                <w:rFonts w:cs="Sylfaen"/>
                <w:lang w:val="hy-AM"/>
              </w:rPr>
              <w:t>րդ</w:t>
            </w:r>
            <w:r w:rsidRPr="0053423A">
              <w:rPr>
                <w:rFonts w:cs="Sylfaen"/>
                <w:lang w:val="af-ZA"/>
              </w:rPr>
              <w:t xml:space="preserve"> </w:t>
            </w:r>
            <w:r w:rsidRPr="0053423A">
              <w:rPr>
                <w:rFonts w:cs="Sylfaen"/>
                <w:lang w:val="hy-AM"/>
              </w:rPr>
              <w:t>կետ, 1-ին ենթակետ):</w:t>
            </w:r>
          </w:p>
          <w:p w:rsidR="00530B14" w:rsidRPr="0053423A" w:rsidRDefault="00530B14" w:rsidP="00A67858">
            <w:pPr>
              <w:spacing w:line="276" w:lineRule="auto"/>
              <w:ind w:firstLine="720"/>
              <w:jc w:val="both"/>
              <w:rPr>
                <w:rFonts w:cs="Sylfaen"/>
                <w:lang w:val="hy-AM"/>
              </w:rPr>
            </w:pPr>
            <w:r w:rsidRPr="0053423A">
              <w:rPr>
                <w:rFonts w:cs="Sylfaen"/>
                <w:lang w:val="hy-AM"/>
              </w:rPr>
              <w:t>Հ</w:t>
            </w:r>
            <w:r w:rsidRPr="0053423A">
              <w:rPr>
                <w:rFonts w:cs="Sylfaen"/>
                <w:lang w:val="af-ZA"/>
              </w:rPr>
              <w:t>անրապետության</w:t>
            </w:r>
            <w:r w:rsidRPr="0053423A">
              <w:rPr>
                <w:rFonts w:cs="Sylfaen"/>
                <w:lang w:val="hy-AM"/>
              </w:rPr>
              <w:t xml:space="preserve"> համայնքային մակարդակով</w:t>
            </w:r>
            <w:r w:rsidRPr="0053423A">
              <w:rPr>
                <w:lang w:val="af-ZA"/>
              </w:rPr>
              <w:t xml:space="preserve"> </w:t>
            </w:r>
            <w:r w:rsidRPr="0053423A">
              <w:rPr>
                <w:lang w:val="hy-AM"/>
              </w:rPr>
              <w:t>միջոցառումների</w:t>
            </w:r>
            <w:r w:rsidRPr="0053423A">
              <w:rPr>
                <w:lang w:val="af-ZA"/>
              </w:rPr>
              <w:t xml:space="preserve"> </w:t>
            </w:r>
            <w:r w:rsidRPr="0053423A">
              <w:rPr>
                <w:rFonts w:cs="Sylfaen"/>
                <w:lang w:val="af-ZA"/>
              </w:rPr>
              <w:t>իրականաց</w:t>
            </w:r>
            <w:r w:rsidRPr="0053423A">
              <w:rPr>
                <w:rFonts w:cs="Sylfaen"/>
                <w:lang w:val="hy-AM"/>
              </w:rPr>
              <w:softHyphen/>
              <w:t xml:space="preserve">ման նպատակն է </w:t>
            </w:r>
            <w:r w:rsidRPr="0053423A">
              <w:rPr>
                <w:rFonts w:cs="Sylfaen"/>
                <w:lang w:val="af-ZA"/>
              </w:rPr>
              <w:t>կենդանիների</w:t>
            </w:r>
            <w:r w:rsidRPr="0053423A">
              <w:rPr>
                <w:lang w:val="af-ZA"/>
              </w:rPr>
              <w:t xml:space="preserve"> </w:t>
            </w:r>
            <w:r w:rsidRPr="0053423A">
              <w:rPr>
                <w:rFonts w:cs="Sylfaen"/>
                <w:lang w:val="af-ZA"/>
              </w:rPr>
              <w:t>վարակիչ</w:t>
            </w:r>
            <w:r w:rsidRPr="0053423A">
              <w:rPr>
                <w:lang w:val="af-ZA"/>
              </w:rPr>
              <w:t xml:space="preserve"> </w:t>
            </w:r>
            <w:r w:rsidRPr="0053423A">
              <w:rPr>
                <w:rFonts w:cs="Sylfaen"/>
                <w:lang w:val="af-ZA"/>
              </w:rPr>
              <w:t>հիվանդությունների</w:t>
            </w:r>
            <w:r w:rsidRPr="0053423A">
              <w:rPr>
                <w:lang w:val="af-ZA"/>
              </w:rPr>
              <w:t xml:space="preserve"> </w:t>
            </w:r>
            <w:r w:rsidRPr="0053423A">
              <w:rPr>
                <w:rFonts w:cs="Sylfaen"/>
                <w:lang w:val="af-ZA"/>
              </w:rPr>
              <w:t>նկատմամբ</w:t>
            </w:r>
            <w:r w:rsidRPr="0053423A">
              <w:rPr>
                <w:lang w:val="af-ZA"/>
              </w:rPr>
              <w:t xml:space="preserve"> ստեղծել և պահպանել </w:t>
            </w:r>
            <w:r w:rsidRPr="0053423A">
              <w:rPr>
                <w:lang w:val="hy-AM"/>
              </w:rPr>
              <w:t>պատվաստված</w:t>
            </w:r>
            <w:r w:rsidRPr="0053423A">
              <w:rPr>
                <w:lang w:val="af-ZA"/>
              </w:rPr>
              <w:t xml:space="preserve"> անասնագլխաքանակի </w:t>
            </w:r>
            <w:r w:rsidRPr="0053423A">
              <w:rPr>
                <w:rFonts w:cs="Sylfaen"/>
                <w:lang w:val="af-ZA"/>
              </w:rPr>
              <w:t>կայուն</w:t>
            </w:r>
            <w:r w:rsidRPr="0053423A">
              <w:rPr>
                <w:lang w:val="af-ZA"/>
              </w:rPr>
              <w:t xml:space="preserve"> </w:t>
            </w:r>
            <w:r w:rsidRPr="0053423A">
              <w:rPr>
                <w:rFonts w:cs="Sylfaen"/>
                <w:lang w:val="hy-AM"/>
              </w:rPr>
              <w:t>վարակամերժության ֆոն,</w:t>
            </w:r>
            <w:r w:rsidRPr="0053423A">
              <w:rPr>
                <w:lang w:val="hy-AM"/>
              </w:rPr>
              <w:t xml:space="preserve"> արդյունքում՝ </w:t>
            </w:r>
            <w:r w:rsidRPr="0053423A">
              <w:rPr>
                <w:rFonts w:cs="Sylfaen"/>
                <w:lang w:val="af-ZA"/>
              </w:rPr>
              <w:t>անասնաբուժասանիտարական</w:t>
            </w:r>
            <w:r w:rsidRPr="0053423A">
              <w:rPr>
                <w:lang w:val="af-ZA"/>
              </w:rPr>
              <w:t xml:space="preserve"> </w:t>
            </w:r>
            <w:r w:rsidRPr="0053423A">
              <w:rPr>
                <w:rFonts w:cs="Sylfaen"/>
                <w:lang w:val="af-ZA"/>
              </w:rPr>
              <w:t>տեսակետից</w:t>
            </w:r>
            <w:r w:rsidRPr="0053423A">
              <w:rPr>
                <w:lang w:val="af-ZA"/>
              </w:rPr>
              <w:t xml:space="preserve"> </w:t>
            </w:r>
            <w:r w:rsidRPr="0053423A">
              <w:rPr>
                <w:rFonts w:cs="Sylfaen"/>
                <w:lang w:val="af-ZA"/>
              </w:rPr>
              <w:t>բար</w:t>
            </w:r>
            <w:r w:rsidRPr="0053423A">
              <w:rPr>
                <w:rFonts w:cs="Sylfaen"/>
                <w:lang w:val="hy-AM"/>
              </w:rPr>
              <w:t>ձր</w:t>
            </w:r>
            <w:r w:rsidRPr="0053423A">
              <w:rPr>
                <w:rFonts w:cs="Sylfaen"/>
                <w:lang w:val="af-ZA"/>
              </w:rPr>
              <w:t>որակ</w:t>
            </w:r>
            <w:r w:rsidRPr="0053423A">
              <w:rPr>
                <w:lang w:val="af-ZA"/>
              </w:rPr>
              <w:t xml:space="preserve"> </w:t>
            </w:r>
            <w:r w:rsidRPr="0053423A">
              <w:rPr>
                <w:rFonts w:cs="Sylfaen"/>
                <w:lang w:val="af-ZA"/>
              </w:rPr>
              <w:t>անասնապա</w:t>
            </w:r>
            <w:r w:rsidRPr="0053423A">
              <w:rPr>
                <w:rFonts w:cs="Sylfaen"/>
                <w:lang w:val="af-ZA"/>
              </w:rPr>
              <w:softHyphen/>
              <w:t>հական</w:t>
            </w:r>
            <w:r w:rsidRPr="0053423A">
              <w:rPr>
                <w:lang w:val="af-ZA"/>
              </w:rPr>
              <w:t xml:space="preserve"> </w:t>
            </w:r>
            <w:r w:rsidRPr="0053423A">
              <w:rPr>
                <w:rFonts w:cs="Sylfaen"/>
                <w:lang w:val="af-ZA"/>
              </w:rPr>
              <w:t>մթերքի</w:t>
            </w:r>
            <w:r w:rsidRPr="0053423A">
              <w:rPr>
                <w:lang w:val="af-ZA"/>
              </w:rPr>
              <w:t xml:space="preserve"> </w:t>
            </w:r>
            <w:r w:rsidRPr="0053423A">
              <w:rPr>
                <w:rFonts w:cs="Sylfaen"/>
                <w:lang w:val="af-ZA"/>
              </w:rPr>
              <w:t>և</w:t>
            </w:r>
            <w:r w:rsidRPr="0053423A">
              <w:rPr>
                <w:lang w:val="af-ZA"/>
              </w:rPr>
              <w:t xml:space="preserve"> </w:t>
            </w:r>
            <w:r w:rsidRPr="0053423A">
              <w:rPr>
                <w:rFonts w:cs="Sylfaen"/>
                <w:lang w:val="af-ZA"/>
              </w:rPr>
              <w:t>հումքի</w:t>
            </w:r>
            <w:r w:rsidRPr="0053423A">
              <w:rPr>
                <w:lang w:val="af-ZA"/>
              </w:rPr>
              <w:t xml:space="preserve"> </w:t>
            </w:r>
            <w:r w:rsidRPr="0053423A">
              <w:rPr>
                <w:rFonts w:cs="Sylfaen"/>
                <w:lang w:val="af-ZA"/>
              </w:rPr>
              <w:t>արտադրության</w:t>
            </w:r>
            <w:r w:rsidRPr="0053423A">
              <w:rPr>
                <w:lang w:val="af-ZA"/>
              </w:rPr>
              <w:t xml:space="preserve"> </w:t>
            </w:r>
            <w:r w:rsidRPr="0053423A">
              <w:rPr>
                <w:rFonts w:cs="Sylfaen"/>
                <w:lang w:val="af-ZA"/>
              </w:rPr>
              <w:t>ապահով</w:t>
            </w:r>
            <w:r w:rsidRPr="0053423A">
              <w:rPr>
                <w:rFonts w:cs="Sylfaen"/>
                <w:lang w:val="hy-AM"/>
              </w:rPr>
              <w:t>ում</w:t>
            </w:r>
            <w:r w:rsidRPr="0053423A">
              <w:rPr>
                <w:lang w:val="af-ZA"/>
              </w:rPr>
              <w:t xml:space="preserve">, </w:t>
            </w:r>
            <w:r w:rsidRPr="0053423A">
              <w:rPr>
                <w:rFonts w:cs="Sylfaen"/>
                <w:lang w:val="hy-AM"/>
              </w:rPr>
              <w:t>արտահանման</w:t>
            </w:r>
            <w:r w:rsidRPr="0053423A">
              <w:rPr>
                <w:rFonts w:cs="Sylfaen"/>
                <w:lang w:val="af-ZA"/>
              </w:rPr>
              <w:t xml:space="preserve"> </w:t>
            </w:r>
            <w:r w:rsidRPr="0053423A">
              <w:rPr>
                <w:rFonts w:cs="Sylfaen"/>
                <w:lang w:val="hy-AM"/>
              </w:rPr>
              <w:t>և</w:t>
            </w:r>
            <w:r w:rsidRPr="0053423A">
              <w:rPr>
                <w:rFonts w:cs="Sylfaen"/>
                <w:lang w:val="af-ZA"/>
              </w:rPr>
              <w:t xml:space="preserve"> </w:t>
            </w:r>
            <w:r w:rsidRPr="0053423A">
              <w:rPr>
                <w:rFonts w:cs="Sylfaen"/>
                <w:lang w:val="hy-AM"/>
              </w:rPr>
              <w:t>ներկրման</w:t>
            </w:r>
            <w:r w:rsidRPr="0053423A">
              <w:rPr>
                <w:rFonts w:cs="Sylfaen"/>
                <w:lang w:val="af-ZA"/>
              </w:rPr>
              <w:t xml:space="preserve"> </w:t>
            </w:r>
            <w:r w:rsidRPr="0053423A">
              <w:rPr>
                <w:rFonts w:cs="Sylfaen"/>
                <w:lang w:val="hy-AM"/>
              </w:rPr>
              <w:t>գործընթացի խթանում</w:t>
            </w:r>
            <w:r w:rsidRPr="0053423A">
              <w:rPr>
                <w:rFonts w:cs="Sylfaen"/>
                <w:lang w:val="af-ZA"/>
              </w:rPr>
              <w:t>, ինչպես</w:t>
            </w:r>
            <w:r w:rsidRPr="0053423A">
              <w:rPr>
                <w:lang w:val="af-ZA"/>
              </w:rPr>
              <w:t xml:space="preserve"> </w:t>
            </w:r>
            <w:r w:rsidRPr="0053423A">
              <w:rPr>
                <w:rFonts w:cs="Sylfaen"/>
                <w:lang w:val="af-ZA"/>
              </w:rPr>
              <w:t>նաև</w:t>
            </w:r>
            <w:r w:rsidRPr="0053423A">
              <w:rPr>
                <w:lang w:val="af-ZA"/>
              </w:rPr>
              <w:t xml:space="preserve"> </w:t>
            </w:r>
            <w:r w:rsidRPr="0053423A">
              <w:rPr>
                <w:rFonts w:cs="Sylfaen"/>
                <w:lang w:val="af-ZA"/>
              </w:rPr>
              <w:t>կայուն</w:t>
            </w:r>
            <w:r w:rsidRPr="0053423A">
              <w:rPr>
                <w:lang w:val="af-ZA"/>
              </w:rPr>
              <w:t xml:space="preserve"> </w:t>
            </w:r>
            <w:r w:rsidRPr="0053423A">
              <w:rPr>
                <w:rFonts w:cs="Sylfaen"/>
                <w:lang w:val="af-ZA"/>
              </w:rPr>
              <w:t>միջպետական</w:t>
            </w:r>
            <w:r w:rsidRPr="0053423A">
              <w:rPr>
                <w:lang w:val="af-ZA"/>
              </w:rPr>
              <w:t xml:space="preserve"> </w:t>
            </w:r>
            <w:r w:rsidRPr="0053423A">
              <w:rPr>
                <w:rFonts w:cs="Sylfaen"/>
                <w:lang w:val="af-ZA"/>
              </w:rPr>
              <w:t>տնտեսական</w:t>
            </w:r>
            <w:r w:rsidRPr="0053423A">
              <w:rPr>
                <w:lang w:val="af-ZA"/>
              </w:rPr>
              <w:t xml:space="preserve"> </w:t>
            </w:r>
            <w:r w:rsidRPr="0053423A">
              <w:rPr>
                <w:rFonts w:cs="Sylfaen"/>
                <w:lang w:val="af-ZA"/>
              </w:rPr>
              <w:t>կապերի</w:t>
            </w:r>
            <w:r w:rsidRPr="0053423A">
              <w:rPr>
                <w:lang w:val="af-ZA"/>
              </w:rPr>
              <w:t xml:space="preserve"> </w:t>
            </w:r>
            <w:r w:rsidRPr="0053423A">
              <w:rPr>
                <w:rFonts w:cs="Sylfaen"/>
                <w:lang w:val="af-ZA"/>
              </w:rPr>
              <w:t>հաստատ</w:t>
            </w:r>
            <w:r w:rsidRPr="0053423A">
              <w:rPr>
                <w:rFonts w:cs="Sylfaen"/>
                <w:lang w:val="hy-AM"/>
              </w:rPr>
              <w:t>ում և բարելավում</w:t>
            </w:r>
            <w:r w:rsidRPr="0053423A">
              <w:rPr>
                <w:rFonts w:cs="Times Armenian"/>
                <w:lang w:val="af-ZA"/>
              </w:rPr>
              <w:t>։</w:t>
            </w:r>
            <w:r w:rsidRPr="0053423A">
              <w:rPr>
                <w:rFonts w:cs="Times Armenian"/>
                <w:lang w:val="hy-AM"/>
              </w:rPr>
              <w:t xml:space="preserve">  </w:t>
            </w:r>
          </w:p>
          <w:p w:rsidR="00530B14" w:rsidRPr="0053423A" w:rsidRDefault="00530B14" w:rsidP="00A67858">
            <w:pPr>
              <w:tabs>
                <w:tab w:val="left" w:pos="1080"/>
              </w:tabs>
              <w:spacing w:line="276" w:lineRule="auto"/>
              <w:ind w:firstLine="720"/>
              <w:rPr>
                <w:rFonts w:eastAsia="Calibri" w:cs="Sylfaen"/>
                <w:b/>
                <w:lang w:val="hy-AM"/>
              </w:rPr>
            </w:pPr>
            <w:r w:rsidRPr="0053423A">
              <w:rPr>
                <w:rFonts w:eastAsia="Calibri" w:cs="Sylfaen"/>
                <w:b/>
                <w:lang w:val="hy-AM"/>
              </w:rPr>
              <w:t>1.1. Կարգավորման հարաբերությունների ներկա վիճակը և առկա խնդիրները</w:t>
            </w:r>
          </w:p>
          <w:p w:rsidR="00530B14" w:rsidRPr="0053423A" w:rsidRDefault="00530B14" w:rsidP="00A67858">
            <w:pPr>
              <w:shd w:val="clear" w:color="auto" w:fill="FFFFFF"/>
              <w:spacing w:line="276" w:lineRule="auto"/>
              <w:ind w:firstLine="709"/>
              <w:jc w:val="both"/>
              <w:rPr>
                <w:rFonts w:eastAsia="Calibri" w:cs="Sylfaen"/>
                <w:lang w:val="fr-FR"/>
              </w:rPr>
            </w:pPr>
            <w:r w:rsidRPr="0053423A">
              <w:rPr>
                <w:lang w:val="hy-AM"/>
              </w:rPr>
              <w:t>ՀՀ պետական բյուջեից հատկացված գումարների հաշվին իրականացվում են համաձայն</w:t>
            </w:r>
            <w:r w:rsidRPr="0053423A">
              <w:rPr>
                <w:lang w:val="af-ZA"/>
              </w:rPr>
              <w:t xml:space="preserve"> </w:t>
            </w:r>
            <w:r w:rsidRPr="0053423A">
              <w:rPr>
                <w:lang w:val="hy-AM"/>
              </w:rPr>
              <w:t>ժամանակացույցի</w:t>
            </w:r>
            <w:r w:rsidRPr="0053423A">
              <w:rPr>
                <w:lang w:val="af-ZA"/>
              </w:rPr>
              <w:t xml:space="preserve"> </w:t>
            </w:r>
            <w:r w:rsidRPr="0053423A">
              <w:rPr>
                <w:lang w:val="hy-AM"/>
              </w:rPr>
              <w:t>անհրաժեշտ</w:t>
            </w:r>
            <w:r w:rsidRPr="0053423A">
              <w:rPr>
                <w:lang w:val="af-ZA"/>
              </w:rPr>
              <w:t xml:space="preserve"> </w:t>
            </w:r>
            <w:r w:rsidRPr="0053423A">
              <w:rPr>
                <w:lang w:val="hy-AM"/>
              </w:rPr>
              <w:t>չափաբաժիններով և համապատասխան քանակի պատվաստանյութերի, ախտորոշիչ նյութերի, ախտահանիչների և անաս</w:t>
            </w:r>
            <w:r w:rsidRPr="0053423A">
              <w:rPr>
                <w:lang w:val="hy-AM"/>
              </w:rPr>
              <w:softHyphen/>
              <w:t>նա</w:t>
            </w:r>
            <w:r w:rsidRPr="0053423A">
              <w:rPr>
                <w:lang w:val="hy-AM"/>
              </w:rPr>
              <w:softHyphen/>
              <w:t>բուժական պարագաների ձեռքբերում, կանխարգելիչ և ախտորոշիչ հակաանասնա</w:t>
            </w:r>
            <w:r w:rsidRPr="0053423A">
              <w:rPr>
                <w:lang w:val="hy-AM"/>
              </w:rPr>
              <w:softHyphen/>
              <w:t>համաճարակային միջոցառումներ:</w:t>
            </w:r>
          </w:p>
          <w:p w:rsidR="00530B14" w:rsidRPr="0053423A" w:rsidRDefault="00530B14" w:rsidP="001F6D5D">
            <w:pPr>
              <w:pStyle w:val="ListParagraph"/>
              <w:numPr>
                <w:ilvl w:val="1"/>
                <w:numId w:val="116"/>
              </w:numPr>
              <w:tabs>
                <w:tab w:val="left" w:pos="900"/>
              </w:tabs>
              <w:spacing w:line="276" w:lineRule="auto"/>
              <w:ind w:left="1260" w:hanging="540"/>
              <w:rPr>
                <w:rFonts w:eastAsia="Calibri" w:cs="Sylfaen"/>
                <w:b/>
                <w:bCs/>
                <w:lang w:val="hy-AM"/>
              </w:rPr>
            </w:pPr>
            <w:r w:rsidRPr="0053423A">
              <w:rPr>
                <w:rFonts w:eastAsia="Calibri" w:cs="Sylfaen"/>
                <w:b/>
                <w:bCs/>
                <w:lang w:val="hy-AM"/>
              </w:rPr>
              <w:t xml:space="preserve"> Առկա խնդիրների առաջարկվող լուծումները</w:t>
            </w:r>
          </w:p>
          <w:p w:rsidR="00530B14" w:rsidRPr="0053423A" w:rsidRDefault="00530B14" w:rsidP="00A67858">
            <w:pPr>
              <w:pStyle w:val="BlockText"/>
              <w:spacing w:line="276" w:lineRule="auto"/>
              <w:ind w:left="0" w:right="0" w:firstLine="720"/>
              <w:rPr>
                <w:rFonts w:ascii="GHEA Grapalat" w:hAnsi="GHEA Grapalat"/>
                <w:sz w:val="20"/>
                <w:szCs w:val="20"/>
                <w:lang w:val="hy-AM"/>
              </w:rPr>
            </w:pPr>
            <w:r w:rsidRPr="0053423A">
              <w:rPr>
                <w:rFonts w:ascii="GHEA Grapalat" w:hAnsi="GHEA Grapalat" w:cs="Sylfaen"/>
                <w:sz w:val="20"/>
                <w:szCs w:val="20"/>
                <w:lang w:val="hy-AM"/>
              </w:rPr>
              <w:t>Ծրագրով</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նախատեսվում</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է</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գյուղատնտեսական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կենդանիների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վարակիչ</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հիվան</w:t>
            </w:r>
            <w:r w:rsidRPr="0053423A">
              <w:rPr>
                <w:rFonts w:ascii="GHEA Grapalat" w:hAnsi="GHEA Grapalat" w:cs="Sylfaen"/>
                <w:sz w:val="20"/>
                <w:szCs w:val="20"/>
                <w:lang w:val="hy-AM"/>
              </w:rPr>
              <w:softHyphen/>
              <w:t>դությունների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բրուցելյոզ</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տուբերկուլյոզ</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լեյկոզ</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սիբիրախտ</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դաբաղ</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խշխշան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պալար</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վարրոատոզ</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խոշոր եղջերավոր կենդանիների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վարակիչ</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մաշկաբորբ</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դեմ</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պայքարի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հակաանասնահամաճարակային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կանխարգելիչ</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միջոցառումների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իրականացում</w:t>
            </w:r>
            <w:r w:rsidRPr="0053423A">
              <w:rPr>
                <w:rFonts w:ascii="GHEA Grapalat" w:hAnsi="GHEA Grapalat"/>
                <w:sz w:val="20"/>
                <w:szCs w:val="20"/>
                <w:lang w:val="hy-AM"/>
              </w:rPr>
              <w:t xml:space="preserve">: </w:t>
            </w:r>
          </w:p>
          <w:p w:rsidR="00530B14" w:rsidRPr="0053423A" w:rsidRDefault="00530B14" w:rsidP="00A67858">
            <w:pPr>
              <w:pStyle w:val="BlockText"/>
              <w:spacing w:line="276" w:lineRule="auto"/>
              <w:ind w:left="0" w:right="0" w:firstLine="720"/>
              <w:rPr>
                <w:rFonts w:ascii="GHEA Grapalat" w:hAnsi="GHEA Grapalat"/>
                <w:sz w:val="20"/>
                <w:szCs w:val="20"/>
                <w:lang w:val="hy-AM"/>
              </w:rPr>
            </w:pPr>
            <w:r w:rsidRPr="0053423A">
              <w:rPr>
                <w:rFonts w:ascii="GHEA Grapalat" w:hAnsi="GHEA Grapalat"/>
                <w:sz w:val="20"/>
                <w:szCs w:val="20"/>
                <w:lang w:val="hy-AM"/>
              </w:rPr>
              <w:t>2019 թվականի ընթացքում ծրագրի շրջանակներում անասնաբույժների կողմից նախատեսվում է համայնքային մակարդակով անասնագլխաքանակի նկատմամբ իրականացնել 9 կանխարգելիչ և 3 ախտորոշիչ անասնահակահամաճարակային 8547756 փաստացի միջոցառումներ՝ համաձայն պլան-ժամանակացույցի, անհրաժեշտ չափաբաժիններով անասնաբուժական պատվաստանյութերի, ախտորոշիչների, ախ</w:t>
            </w:r>
            <w:r w:rsidRPr="0053423A">
              <w:rPr>
                <w:rFonts w:ascii="GHEA Grapalat" w:hAnsi="GHEA Grapalat"/>
                <w:sz w:val="20"/>
                <w:szCs w:val="20"/>
                <w:lang w:val="hy-AM"/>
              </w:rPr>
              <w:softHyphen/>
              <w:t>տա</w:t>
            </w:r>
            <w:r w:rsidRPr="0053423A">
              <w:rPr>
                <w:rFonts w:ascii="GHEA Grapalat" w:hAnsi="GHEA Grapalat"/>
                <w:sz w:val="20"/>
                <w:szCs w:val="20"/>
                <w:lang w:val="hy-AM"/>
              </w:rPr>
              <w:softHyphen/>
              <w:t xml:space="preserve">հանիչ միջոցների և անասնաբուժական պարագաների բաշխման պարագայում: </w:t>
            </w:r>
          </w:p>
          <w:p w:rsidR="00530B14" w:rsidRPr="0053423A" w:rsidRDefault="00530B14" w:rsidP="001F6D5D">
            <w:pPr>
              <w:pStyle w:val="ListParagraph"/>
              <w:numPr>
                <w:ilvl w:val="0"/>
                <w:numId w:val="116"/>
              </w:numPr>
              <w:spacing w:line="276" w:lineRule="auto"/>
              <w:ind w:left="733" w:right="-31" w:firstLine="0"/>
              <w:jc w:val="both"/>
              <w:rPr>
                <w:b/>
                <w:lang w:val="hy-AM"/>
              </w:rPr>
            </w:pPr>
            <w:r w:rsidRPr="0053423A">
              <w:rPr>
                <w:rFonts w:cs="Sylfaen"/>
                <w:b/>
                <w:lang w:val="hy-AM"/>
              </w:rPr>
              <w:t>Միջոցառման</w:t>
            </w:r>
            <w:r w:rsidRPr="0053423A">
              <w:rPr>
                <w:b/>
                <w:lang w:val="hy-AM"/>
              </w:rPr>
              <w:t xml:space="preserve"> իրականացումից ակնկալվող արդյունքը</w:t>
            </w:r>
          </w:p>
          <w:p w:rsidR="00530B14" w:rsidRPr="0053423A" w:rsidRDefault="00530B14" w:rsidP="00A67858">
            <w:pPr>
              <w:pStyle w:val="ListParagraph"/>
              <w:tabs>
                <w:tab w:val="left" w:pos="900"/>
              </w:tabs>
              <w:spacing w:line="276" w:lineRule="auto"/>
              <w:ind w:left="0" w:firstLine="720"/>
              <w:jc w:val="both"/>
              <w:rPr>
                <w:rFonts w:eastAsia="Calibri"/>
                <w:lang w:val="af-ZA"/>
              </w:rPr>
            </w:pPr>
            <w:r w:rsidRPr="0053423A">
              <w:rPr>
                <w:rFonts w:cs="Sylfaen"/>
                <w:lang w:val="af-ZA"/>
              </w:rPr>
              <w:t xml:space="preserve">Ծրագրի իրականացումը հնարավորություն է ընձեռնում  հանրապետությունում յուրաքանչյուր տարի ունենալ շուրջ </w:t>
            </w:r>
            <w:r w:rsidRPr="0053423A">
              <w:rPr>
                <w:rFonts w:cs="Sylfaen"/>
                <w:lang w:val="hy-AM"/>
              </w:rPr>
              <w:t>596.5</w:t>
            </w:r>
            <w:r w:rsidRPr="0053423A">
              <w:rPr>
                <w:rFonts w:cs="Sylfaen"/>
                <w:lang w:val="af-ZA"/>
              </w:rPr>
              <w:t xml:space="preserve"> հազ. գլուխ խոշոր եղջերավոր, </w:t>
            </w:r>
            <w:r w:rsidRPr="0053423A">
              <w:rPr>
                <w:rFonts w:cs="Sylfaen"/>
                <w:lang w:val="hy-AM"/>
              </w:rPr>
              <w:t>660.1</w:t>
            </w:r>
            <w:r w:rsidRPr="0053423A">
              <w:rPr>
                <w:rFonts w:cs="Sylfaen"/>
                <w:lang w:val="af-ZA"/>
              </w:rPr>
              <w:t xml:space="preserve"> հազար գլուխ մանր եղջերավոր կենդանիների և գյուղատնտեսական այլ կենդանիների վարակիչ հիվանդությունների նկատմամբ կայուն անասնահամաճարակային վիճակ,  կեն</w:t>
            </w:r>
            <w:r w:rsidRPr="0053423A">
              <w:rPr>
                <w:rFonts w:cs="Sylfaen"/>
                <w:lang w:val="af-ZA"/>
              </w:rPr>
              <w:softHyphen/>
              <w:t>դանիների և մարդու համար ընդհանուր վարակիչ հիվանդություններից բնակ</w:t>
            </w:r>
            <w:r w:rsidRPr="0053423A">
              <w:rPr>
                <w:rFonts w:cs="Sylfaen"/>
                <w:lang w:val="af-ZA"/>
              </w:rPr>
              <w:softHyphen/>
              <w:t>չության պաշտպանության բարձր մակարդակ:</w:t>
            </w:r>
          </w:p>
          <w:p w:rsidR="00530B14" w:rsidRPr="0053423A" w:rsidRDefault="00530B14" w:rsidP="00A67858">
            <w:pPr>
              <w:tabs>
                <w:tab w:val="left" w:pos="720"/>
              </w:tabs>
              <w:spacing w:line="276" w:lineRule="auto"/>
              <w:ind w:firstLine="720"/>
              <w:jc w:val="center"/>
              <w:rPr>
                <w:bCs/>
                <w:iCs/>
                <w:lang w:val="hy-AM"/>
              </w:rPr>
            </w:pPr>
          </w:p>
          <w:p w:rsidR="00530B14" w:rsidRPr="0053423A" w:rsidRDefault="00530B14" w:rsidP="00A67858">
            <w:pPr>
              <w:spacing w:line="276" w:lineRule="auto"/>
              <w:jc w:val="center"/>
              <w:rPr>
                <w:rFonts w:cs="Sylfaen"/>
                <w:b/>
                <w:u w:val="single"/>
                <w:lang w:val="hy-AM"/>
              </w:rPr>
            </w:pPr>
            <w:r w:rsidRPr="0053423A">
              <w:rPr>
                <w:rFonts w:cs="Sylfaen"/>
                <w:b/>
                <w:u w:val="single"/>
                <w:lang w:val="af-ZA"/>
              </w:rPr>
              <w:t>1</w:t>
            </w:r>
            <w:r w:rsidRPr="0053423A">
              <w:rPr>
                <w:rFonts w:cs="Sylfaen"/>
                <w:b/>
                <w:u w:val="single"/>
                <w:lang w:val="hy-AM"/>
              </w:rPr>
              <w:t>0</w:t>
            </w:r>
            <w:r w:rsidRPr="0053423A">
              <w:rPr>
                <w:rFonts w:cs="Sylfaen"/>
                <w:b/>
                <w:u w:val="single"/>
                <w:lang w:val="af-ZA"/>
              </w:rPr>
              <w:t xml:space="preserve">.3 </w:t>
            </w:r>
            <w:r w:rsidRPr="0053423A">
              <w:rPr>
                <w:rFonts w:cs="Sylfaen"/>
                <w:b/>
                <w:u w:val="single"/>
                <w:lang w:val="hy-AM"/>
              </w:rPr>
              <w:t>Դաբաղ հիվանդության շճահետազոտության միջոցառումների իրականացում</w:t>
            </w:r>
          </w:p>
          <w:p w:rsidR="00530B14" w:rsidRPr="0053423A" w:rsidRDefault="00530B14" w:rsidP="00A67858">
            <w:pPr>
              <w:spacing w:line="276" w:lineRule="auto"/>
              <w:ind w:firstLine="720"/>
              <w:jc w:val="both"/>
              <w:rPr>
                <w:rFonts w:eastAsia="Calibri" w:cs="Sylfaen"/>
                <w:b/>
                <w:lang w:val="af-ZA"/>
              </w:rPr>
            </w:pPr>
            <w:r w:rsidRPr="0053423A">
              <w:rPr>
                <w:rFonts w:cs="Sylfaen"/>
                <w:b/>
                <w:lang w:val="hy-AM"/>
              </w:rPr>
              <w:t>1.</w:t>
            </w:r>
            <w:r w:rsidRPr="0053423A">
              <w:rPr>
                <w:b/>
                <w:lang w:val="af-ZA"/>
              </w:rPr>
              <w:t xml:space="preserve"> </w:t>
            </w:r>
            <w:r w:rsidRPr="0053423A">
              <w:rPr>
                <w:b/>
                <w:lang w:val="hy-AM"/>
              </w:rPr>
              <w:t>Միջոցառման</w:t>
            </w:r>
            <w:r w:rsidRPr="0053423A">
              <w:rPr>
                <w:b/>
                <w:lang w:val="it-IT"/>
              </w:rPr>
              <w:t xml:space="preserve"> </w:t>
            </w:r>
            <w:r w:rsidRPr="0053423A">
              <w:rPr>
                <w:b/>
                <w:lang w:val="hy-AM"/>
              </w:rPr>
              <w:t>իրականացման</w:t>
            </w:r>
            <w:r w:rsidRPr="0053423A">
              <w:rPr>
                <w:b/>
                <w:lang w:val="it-IT"/>
              </w:rPr>
              <w:t xml:space="preserve"> </w:t>
            </w:r>
            <w:r w:rsidRPr="0053423A">
              <w:rPr>
                <w:b/>
                <w:lang w:val="hy-AM"/>
              </w:rPr>
              <w:t>անհրաժեշտությունը</w:t>
            </w:r>
            <w:r w:rsidRPr="0053423A">
              <w:rPr>
                <w:b/>
                <w:lang w:val="it-IT"/>
              </w:rPr>
              <w:t xml:space="preserve"> </w:t>
            </w:r>
            <w:r w:rsidRPr="0053423A">
              <w:rPr>
                <w:b/>
                <w:lang w:val="hy-AM"/>
              </w:rPr>
              <w:t>և</w:t>
            </w:r>
            <w:r w:rsidRPr="0053423A">
              <w:rPr>
                <w:b/>
                <w:lang w:val="it-IT"/>
              </w:rPr>
              <w:t xml:space="preserve"> </w:t>
            </w:r>
            <w:r w:rsidRPr="0053423A">
              <w:rPr>
                <w:b/>
                <w:lang w:val="hy-AM"/>
              </w:rPr>
              <w:t>նպատակը</w:t>
            </w:r>
            <w:r w:rsidRPr="0053423A">
              <w:rPr>
                <w:rFonts w:eastAsia="Calibri" w:cs="Sylfaen"/>
                <w:b/>
                <w:lang w:val="af-ZA"/>
              </w:rPr>
              <w:t xml:space="preserve"> </w:t>
            </w:r>
          </w:p>
          <w:p w:rsidR="00530B14" w:rsidRPr="0053423A" w:rsidRDefault="00530B14" w:rsidP="00A67858">
            <w:pPr>
              <w:spacing w:line="276" w:lineRule="auto"/>
              <w:jc w:val="both"/>
              <w:rPr>
                <w:lang w:val="hy-AM"/>
              </w:rPr>
            </w:pPr>
            <w:r w:rsidRPr="0053423A">
              <w:rPr>
                <w:rFonts w:cs="Sylfaen"/>
                <w:lang w:val="af-ZA"/>
              </w:rPr>
              <w:tab/>
            </w:r>
            <w:r w:rsidRPr="0053423A">
              <w:rPr>
                <w:rFonts w:cs="Sylfaen"/>
              </w:rPr>
              <w:t>Դ</w:t>
            </w:r>
            <w:r w:rsidRPr="0053423A">
              <w:rPr>
                <w:rFonts w:cs="Sylfaen"/>
                <w:lang w:val="hy-AM"/>
              </w:rPr>
              <w:t>աբաղ հիվանդության շճահետազոտությ</w:t>
            </w:r>
            <w:r w:rsidRPr="0053423A">
              <w:rPr>
                <w:rFonts w:cs="Sylfaen"/>
              </w:rPr>
              <w:t>ու</w:t>
            </w:r>
            <w:r w:rsidRPr="0053423A">
              <w:rPr>
                <w:rFonts w:cs="Sylfaen"/>
                <w:lang w:val="hy-AM"/>
              </w:rPr>
              <w:t>ն</w:t>
            </w:r>
            <w:r w:rsidRPr="0053423A">
              <w:rPr>
                <w:rFonts w:cs="Sylfaen"/>
                <w:lang w:val="af-ZA"/>
              </w:rPr>
              <w:t xml:space="preserve"> միջոցառման </w:t>
            </w:r>
            <w:r w:rsidRPr="0053423A">
              <w:rPr>
                <w:rFonts w:cs="Sylfaen"/>
                <w:lang w:val="hy-AM"/>
              </w:rPr>
              <w:t>իրականացման</w:t>
            </w:r>
            <w:r w:rsidRPr="0053423A">
              <w:rPr>
                <w:rFonts w:cs="Sylfaen"/>
                <w:lang w:val="af-ZA"/>
              </w:rPr>
              <w:t xml:space="preserve"> </w:t>
            </w:r>
            <w:r w:rsidRPr="0053423A">
              <w:rPr>
                <w:rFonts w:cs="Sylfaen"/>
                <w:lang w:val="hy-AM"/>
              </w:rPr>
              <w:t>անհրա</w:t>
            </w:r>
            <w:r w:rsidRPr="0053423A">
              <w:rPr>
                <w:rFonts w:cs="Sylfaen"/>
                <w:lang w:val="af-ZA"/>
              </w:rPr>
              <w:softHyphen/>
            </w:r>
            <w:r w:rsidRPr="0053423A">
              <w:rPr>
                <w:rFonts w:cs="Sylfaen"/>
                <w:lang w:val="hy-AM"/>
              </w:rPr>
              <w:t>ժեշտությունը բխում է ՀՀ ԱԺ 2019 թվականի փետրվարի 14-ի ԱԺՈ-002-Ն որոշ</w:t>
            </w:r>
            <w:r w:rsidRPr="0053423A">
              <w:rPr>
                <w:rFonts w:cs="Sylfaen"/>
                <w:lang w:val="af-ZA"/>
              </w:rPr>
              <w:softHyphen/>
            </w:r>
            <w:r w:rsidRPr="0053423A">
              <w:rPr>
                <w:rFonts w:cs="Sylfaen"/>
                <w:lang w:val="hy-AM"/>
              </w:rPr>
              <w:t xml:space="preserve">մամբ հավանության արժանացած ՀՀ կառավարության ծրագրից </w:t>
            </w:r>
            <w:r w:rsidRPr="0053423A">
              <w:rPr>
                <w:rFonts w:cs="Sylfaen"/>
                <w:lang w:val="af-ZA"/>
              </w:rPr>
              <w:t>(</w:t>
            </w:r>
            <w:r w:rsidRPr="0053423A">
              <w:rPr>
                <w:rFonts w:cs="Sylfaen"/>
                <w:lang w:val="hy-AM"/>
              </w:rPr>
              <w:t>5.10. Գյուղատն</w:t>
            </w:r>
            <w:r w:rsidRPr="0053423A">
              <w:rPr>
                <w:rFonts w:cs="Sylfaen"/>
                <w:lang w:val="hy-AM"/>
              </w:rPr>
              <w:softHyphen/>
              <w:t>տե</w:t>
            </w:r>
            <w:r w:rsidRPr="0053423A">
              <w:rPr>
                <w:rFonts w:cs="Sylfaen"/>
                <w:lang w:val="hy-AM"/>
              </w:rPr>
              <w:softHyphen/>
              <w:t xml:space="preserve">սությունըբաժին, 7-րդ պարբերության 6-րդ դրույթ), </w:t>
            </w:r>
            <w:r w:rsidRPr="0053423A">
              <w:rPr>
                <w:lang w:val="hy-AM"/>
              </w:rPr>
              <w:t>ՀՀ կառավարության 2006 թվա</w:t>
            </w:r>
            <w:r w:rsidRPr="0053423A">
              <w:rPr>
                <w:lang w:val="hy-AM"/>
              </w:rPr>
              <w:softHyphen/>
              <w:t>կանի օգոստոսի 3-ի «Կենդանիների կարանտինային, հատուկ վտանգավոր և պար</w:t>
            </w:r>
            <w:r w:rsidRPr="0053423A">
              <w:rPr>
                <w:lang w:val="hy-AM"/>
              </w:rPr>
              <w:softHyphen/>
              <w:t>տա</w:t>
            </w:r>
            <w:r w:rsidRPr="0053423A">
              <w:rPr>
                <w:lang w:val="hy-AM"/>
              </w:rPr>
              <w:softHyphen/>
              <w:t>դիր ծանուցման ինֆեկցիոն հիվանդությունների ցանկը հաստատելու մասին»  N 1081-Ն որոշումից (ընգրկված</w:t>
            </w:r>
            <w:r w:rsidRPr="0053423A">
              <w:rPr>
                <w:lang w:val="af-ZA"/>
              </w:rPr>
              <w:t xml:space="preserve"> </w:t>
            </w:r>
            <w:r w:rsidRPr="0053423A">
              <w:rPr>
                <w:lang w:val="hy-AM"/>
              </w:rPr>
              <w:t>է</w:t>
            </w:r>
            <w:r w:rsidRPr="0053423A">
              <w:rPr>
                <w:lang w:val="af-ZA"/>
              </w:rPr>
              <w:t xml:space="preserve"> </w:t>
            </w:r>
            <w:r w:rsidRPr="0053423A">
              <w:rPr>
                <w:lang w:val="hy-AM"/>
              </w:rPr>
              <w:t>որոշման հավելվածի</w:t>
            </w:r>
            <w:r w:rsidRPr="0053423A">
              <w:rPr>
                <w:lang w:val="af-ZA"/>
              </w:rPr>
              <w:t xml:space="preserve">  </w:t>
            </w:r>
            <w:r w:rsidRPr="0053423A">
              <w:rPr>
                <w:lang w:val="hy-AM"/>
              </w:rPr>
              <w:t xml:space="preserve">ցանկում): </w:t>
            </w:r>
          </w:p>
          <w:p w:rsidR="00530B14" w:rsidRPr="0053423A" w:rsidRDefault="00530B14" w:rsidP="00A67858">
            <w:pPr>
              <w:spacing w:line="276" w:lineRule="auto"/>
              <w:jc w:val="both"/>
              <w:rPr>
                <w:rFonts w:cs="Sylfaen"/>
                <w:lang w:val="hy-AM"/>
              </w:rPr>
            </w:pPr>
            <w:r w:rsidRPr="0053423A">
              <w:rPr>
                <w:lang w:val="hy-AM"/>
              </w:rPr>
              <w:tab/>
              <w:t xml:space="preserve">Ծրագրի նպատակն է իրականացնել </w:t>
            </w:r>
            <w:r w:rsidRPr="0053423A">
              <w:rPr>
                <w:rFonts w:eastAsia="Calibri" w:cs="Sylfaen"/>
                <w:lang w:val="hy-AM"/>
              </w:rPr>
              <w:t>դաբաղ հիվանդության նկատմամբ պատ</w:t>
            </w:r>
            <w:r w:rsidRPr="0053423A">
              <w:rPr>
                <w:rFonts w:eastAsia="Calibri" w:cs="Sylfaen"/>
                <w:lang w:val="hy-AM"/>
              </w:rPr>
              <w:softHyphen/>
              <w:t>վաս</w:t>
            </w:r>
            <w:r w:rsidRPr="0053423A">
              <w:rPr>
                <w:rFonts w:eastAsia="Calibri" w:cs="Sylfaen"/>
                <w:lang w:val="hy-AM"/>
              </w:rPr>
              <w:softHyphen/>
              <w:t>տումների արդյունավետության և պատվաստված կենդանիների մոտ ձևավորված վարակամերժության լարվածությ</w:t>
            </w:r>
            <w:r w:rsidRPr="0053423A">
              <w:rPr>
                <w:rFonts w:cs="Sylfaen"/>
                <w:lang w:val="hy-AM"/>
              </w:rPr>
              <w:t>ան գնահատում:</w:t>
            </w:r>
          </w:p>
          <w:p w:rsidR="00530B14" w:rsidRPr="0053423A" w:rsidRDefault="00530B14" w:rsidP="00A67858">
            <w:pPr>
              <w:pStyle w:val="ListParagraph"/>
              <w:numPr>
                <w:ilvl w:val="1"/>
                <w:numId w:val="103"/>
              </w:numPr>
              <w:tabs>
                <w:tab w:val="left" w:pos="1080"/>
              </w:tabs>
              <w:spacing w:line="276" w:lineRule="auto"/>
              <w:rPr>
                <w:rFonts w:eastAsia="Calibri" w:cs="Sylfaen"/>
                <w:b/>
                <w:lang w:val="hy-AM"/>
              </w:rPr>
            </w:pPr>
            <w:r w:rsidRPr="0053423A">
              <w:rPr>
                <w:rFonts w:eastAsia="Calibri" w:cs="Sylfaen"/>
                <w:b/>
                <w:lang w:val="hy-AM"/>
              </w:rPr>
              <w:t>Կարգավորման հարաբերությունների ներկա վիճակը և առկա խնդիրները</w:t>
            </w:r>
          </w:p>
          <w:p w:rsidR="00530B14" w:rsidRPr="0053423A" w:rsidRDefault="00530B14" w:rsidP="00A67858">
            <w:pPr>
              <w:tabs>
                <w:tab w:val="left" w:pos="1080"/>
              </w:tabs>
              <w:spacing w:line="276" w:lineRule="auto"/>
              <w:ind w:firstLine="720"/>
              <w:jc w:val="both"/>
              <w:rPr>
                <w:lang w:val="hy-AM"/>
              </w:rPr>
            </w:pPr>
            <w:r w:rsidRPr="0053423A">
              <w:rPr>
                <w:lang w:val="hy-AM"/>
              </w:rPr>
              <w:t>Դաբաղը հանդիսանում է մշտական խնդիր տարածաշրջանային երկրների համար և չնայած վերջին տարիներին մեր հանրապետությունում ի հաշիվ հակա</w:t>
            </w:r>
            <w:r w:rsidRPr="0053423A">
              <w:rPr>
                <w:lang w:val="hy-AM"/>
              </w:rPr>
              <w:softHyphen/>
              <w:t>դա</w:t>
            </w:r>
            <w:r w:rsidRPr="0053423A">
              <w:rPr>
                <w:lang w:val="hy-AM"/>
              </w:rPr>
              <w:softHyphen/>
              <w:t>բաղային պատվաստումների առկա էր կայուն համաճարակային իրավիճակ, սակայն 2016 թվականին գրանցվել է հիվանդության բռնկման դեպք, որը պայմանավորված է եղել գենտիկորեն նոր A AGVII դաբաղի վիրուսի ենթատեսակով: Անհրաժեշտություն է առաջացել իրականացնել մշտական և շարունակակական պետական շճաբանական հետազոտություն՝ համաճարակային կայուն իրավիճակի ապահովման և գնահատման նպատակով:</w:t>
            </w:r>
          </w:p>
          <w:p w:rsidR="00530B14" w:rsidRPr="0053423A" w:rsidRDefault="00530B14" w:rsidP="00A67858">
            <w:pPr>
              <w:spacing w:line="276" w:lineRule="auto"/>
              <w:jc w:val="both"/>
              <w:rPr>
                <w:lang w:val="hy-AM"/>
              </w:rPr>
            </w:pPr>
            <w:r w:rsidRPr="0053423A">
              <w:rPr>
                <w:lang w:val="hy-AM"/>
              </w:rPr>
              <w:tab/>
              <w:t xml:space="preserve">Դաբաղ հիվանդության </w:t>
            </w:r>
            <w:r w:rsidRPr="0053423A">
              <w:rPr>
                <w:rFonts w:cs="Sylfaen"/>
                <w:shd w:val="clear" w:color="auto" w:fill="FFFFFF"/>
                <w:lang w:val="hy-AM"/>
              </w:rPr>
              <w:t xml:space="preserve">շճաբանական հետազոտությունն </w:t>
            </w:r>
            <w:r w:rsidRPr="0053423A">
              <w:rPr>
                <w:lang w:val="hy-AM"/>
              </w:rPr>
              <w:t xml:space="preserve">ունի </w:t>
            </w:r>
            <w:r w:rsidRPr="0053423A">
              <w:rPr>
                <w:rFonts w:cs="Sylfaen"/>
                <w:shd w:val="clear" w:color="auto" w:fill="FFFFFF"/>
                <w:lang w:val="hy-AM"/>
              </w:rPr>
              <w:t xml:space="preserve">ռազմավարական նշանակություն, իսկ </w:t>
            </w:r>
            <w:r w:rsidRPr="0053423A">
              <w:rPr>
                <w:lang w:val="hy-AM"/>
              </w:rPr>
              <w:t xml:space="preserve">վիրուսը </w:t>
            </w:r>
            <w:r w:rsidRPr="0053423A">
              <w:rPr>
                <w:rFonts w:cs="Sylfaen"/>
                <w:shd w:val="clear" w:color="auto" w:fill="FFFFFF"/>
                <w:lang w:val="hy-AM"/>
              </w:rPr>
              <w:t>համարվում է հատուկ վտանգավոր ախտածին</w:t>
            </w:r>
            <w:r w:rsidRPr="0053423A">
              <w:rPr>
                <w:lang w:val="hy-AM"/>
              </w:rPr>
              <w:t xml:space="preserve"> և դրա վերաբերյալ տեղեկատվությունը պահանջում է գաղտնիության պահպանում: </w:t>
            </w:r>
          </w:p>
          <w:p w:rsidR="00530B14" w:rsidRPr="0053423A" w:rsidRDefault="00530B14" w:rsidP="00A67858">
            <w:pPr>
              <w:pStyle w:val="ListParagraph"/>
              <w:numPr>
                <w:ilvl w:val="1"/>
                <w:numId w:val="104"/>
              </w:numPr>
              <w:tabs>
                <w:tab w:val="left" w:pos="900"/>
              </w:tabs>
              <w:spacing w:line="276" w:lineRule="auto"/>
              <w:rPr>
                <w:rFonts w:eastAsia="Calibri" w:cs="Sylfaen"/>
                <w:b/>
                <w:bCs/>
                <w:lang w:val="hy-AM"/>
              </w:rPr>
            </w:pPr>
            <w:r w:rsidRPr="0053423A">
              <w:rPr>
                <w:rFonts w:eastAsia="Calibri" w:cs="Sylfaen"/>
                <w:b/>
                <w:bCs/>
                <w:lang w:val="hy-AM"/>
              </w:rPr>
              <w:t>Առկա խնդիրների առաջարկվող լուծումները</w:t>
            </w:r>
          </w:p>
          <w:p w:rsidR="00530B14" w:rsidRPr="0053423A" w:rsidRDefault="00530B14" w:rsidP="00A67858">
            <w:pPr>
              <w:pStyle w:val="ListParagraph"/>
              <w:spacing w:line="276" w:lineRule="auto"/>
              <w:ind w:left="0" w:firstLine="720"/>
              <w:jc w:val="both"/>
              <w:rPr>
                <w:lang w:val="hy-AM"/>
              </w:rPr>
            </w:pPr>
            <w:r w:rsidRPr="0053423A">
              <w:rPr>
                <w:lang w:val="hy-AM"/>
              </w:rPr>
              <w:t xml:space="preserve">Միջոցառման շրջանակներում նմուշառման նպատակով ընդգրկված են ՀՀ բոլոր համայնքները, որոնք խմբավորվել են 2 գոտիների՝ բարձր ռիսկային գոտի (Թուրքիայի, Վրաստանի, Ադրբեջանի, Իրանի սահմանամերձ համայնքները), որոնք անմիջական սահմանակից են Թուրքիային, Վրաստանին, Ադրբեջանին, Իրանին և ԼՂՀ-ին կամ այդ տարածաշրջաններում առկա են սեզոնային արոտավայրեր և ցածր ռիսկային գոտի: </w:t>
            </w:r>
          </w:p>
          <w:p w:rsidR="00530B14" w:rsidRPr="0053423A" w:rsidRDefault="00530B14" w:rsidP="00A67858">
            <w:pPr>
              <w:pStyle w:val="ListParagraph"/>
              <w:numPr>
                <w:ilvl w:val="0"/>
                <w:numId w:val="103"/>
              </w:numPr>
              <w:spacing w:line="276" w:lineRule="auto"/>
              <w:ind w:right="-31" w:firstLine="390"/>
              <w:jc w:val="both"/>
              <w:rPr>
                <w:b/>
                <w:lang w:val="hy-AM"/>
              </w:rPr>
            </w:pPr>
            <w:r w:rsidRPr="0053423A">
              <w:rPr>
                <w:rFonts w:cs="Sylfaen"/>
                <w:b/>
                <w:lang w:val="hy-AM"/>
              </w:rPr>
              <w:t>Միջոցառման</w:t>
            </w:r>
            <w:r w:rsidRPr="0053423A">
              <w:rPr>
                <w:b/>
                <w:lang w:val="hy-AM"/>
              </w:rPr>
              <w:t xml:space="preserve"> իրականացումից ակնկալվող արդյունքը</w:t>
            </w:r>
          </w:p>
          <w:p w:rsidR="00530B14" w:rsidRPr="0053423A" w:rsidRDefault="00530B14" w:rsidP="00A67858">
            <w:pPr>
              <w:pStyle w:val="ListParagraph"/>
              <w:spacing w:line="276" w:lineRule="auto"/>
              <w:ind w:left="0"/>
              <w:jc w:val="both"/>
              <w:rPr>
                <w:b/>
                <w:bCs/>
                <w:iCs/>
                <w:lang w:val="hy-AM"/>
              </w:rPr>
            </w:pPr>
            <w:r w:rsidRPr="0053423A">
              <w:rPr>
                <w:lang w:val="hy-AM"/>
              </w:rPr>
              <w:tab/>
              <w:t xml:space="preserve">Ծրագրի իրականացման արդյունքում կապահովվի </w:t>
            </w:r>
            <w:r w:rsidRPr="0053423A">
              <w:rPr>
                <w:rFonts w:cs="Sylfaen"/>
                <w:shd w:val="clear" w:color="auto" w:fill="FFFFFF"/>
                <w:lang w:val="hy-AM"/>
              </w:rPr>
              <w:t>շճաբանական հետազո</w:t>
            </w:r>
            <w:r w:rsidRPr="0053423A">
              <w:rPr>
                <w:rFonts w:cs="Sylfaen"/>
                <w:shd w:val="clear" w:color="auto" w:fill="FFFFFF"/>
                <w:lang w:val="hy-AM"/>
              </w:rPr>
              <w:softHyphen/>
              <w:t xml:space="preserve">տությունների վրա հիմնված հիվանդության հնարավոր ներթափանցման ռիսկերի գնահատում, </w:t>
            </w:r>
            <w:r w:rsidRPr="0053423A">
              <w:rPr>
                <w:rFonts w:cs="Sylfaen"/>
                <w:lang w:val="hy-AM"/>
              </w:rPr>
              <w:t>ինչպես նաև</w:t>
            </w:r>
            <w:r w:rsidRPr="0053423A">
              <w:rPr>
                <w:lang w:val="hy-AM"/>
              </w:rPr>
              <w:t xml:space="preserve"> գիտականորեն հիմնավորելու </w:t>
            </w:r>
            <w:r w:rsidRPr="0053423A">
              <w:rPr>
                <w:rFonts w:cs="Sylfaen"/>
                <w:lang w:val="hy-AM"/>
              </w:rPr>
              <w:t>նպատակով</w:t>
            </w:r>
            <w:r w:rsidRPr="0053423A">
              <w:rPr>
                <w:rFonts w:cs="Sylfaen"/>
                <w:shd w:val="clear" w:color="auto" w:fill="FFFFFF"/>
                <w:lang w:val="hy-AM"/>
              </w:rPr>
              <w:t xml:space="preserve"> թիրախային համայնքներում </w:t>
            </w:r>
            <w:r w:rsidRPr="0053423A">
              <w:rPr>
                <w:lang w:val="hy-AM"/>
              </w:rPr>
              <w:t xml:space="preserve">դաբաղ հիվանդության վիրուսի շրջանառության </w:t>
            </w:r>
            <w:r w:rsidRPr="0053423A">
              <w:rPr>
                <w:rFonts w:cs="Sylfaen"/>
                <w:shd w:val="clear" w:color="auto" w:fill="FFFFFF"/>
                <w:lang w:val="hy-AM"/>
              </w:rPr>
              <w:t>հայտնաբերելում կամ բացառելում</w:t>
            </w:r>
            <w:r w:rsidRPr="0053423A">
              <w:rPr>
                <w:rFonts w:cs="Sylfaen"/>
                <w:lang w:val="hy-AM"/>
              </w:rPr>
              <w:t>:</w:t>
            </w:r>
            <w:r w:rsidRPr="0053423A">
              <w:rPr>
                <w:lang w:val="hy-AM"/>
              </w:rPr>
              <w:t xml:space="preserve"> Մշտական և շարունակակական կանխարգելիչ և մոնիտորինգային աշխա</w:t>
            </w:r>
            <w:r w:rsidRPr="0053423A">
              <w:rPr>
                <w:lang w:val="hy-AM"/>
              </w:rPr>
              <w:softHyphen/>
              <w:t>տանքների արդյունքում կպահպանվի կայուն համաճարակային իրավիճակ:</w:t>
            </w:r>
          </w:p>
        </w:tc>
      </w:tr>
      <w:tr w:rsidR="00530B14" w:rsidRPr="00DE2EFA" w:rsidTr="004440EB">
        <w:tc>
          <w:tcPr>
            <w:tcW w:w="480" w:type="dxa"/>
          </w:tcPr>
          <w:p w:rsidR="00530B14" w:rsidRPr="0053423A" w:rsidRDefault="00530B14" w:rsidP="00A67858">
            <w:pPr>
              <w:spacing w:line="276" w:lineRule="auto"/>
              <w:jc w:val="center"/>
              <w:rPr>
                <w:b/>
                <w:bCs/>
                <w:iCs/>
              </w:rPr>
            </w:pPr>
            <w:r w:rsidRPr="0053423A">
              <w:rPr>
                <w:b/>
                <w:bCs/>
                <w:iCs/>
              </w:rPr>
              <w:t>11</w:t>
            </w:r>
          </w:p>
        </w:tc>
        <w:tc>
          <w:tcPr>
            <w:tcW w:w="10879" w:type="dxa"/>
          </w:tcPr>
          <w:p w:rsidR="00530B14" w:rsidRPr="0053423A" w:rsidRDefault="00530B14" w:rsidP="00A67858">
            <w:pPr>
              <w:spacing w:line="276" w:lineRule="auto"/>
              <w:jc w:val="center"/>
              <w:rPr>
                <w:b/>
                <w:lang w:val="hy-AM"/>
              </w:rPr>
            </w:pPr>
            <w:r w:rsidRPr="0053423A">
              <w:rPr>
                <w:b/>
                <w:lang w:val="hy-AM"/>
              </w:rPr>
              <w:t>Գյուղական բնակավայրերում ոչ գյուղատնտեսա</w:t>
            </w:r>
            <w:r w:rsidRPr="0053423A">
              <w:rPr>
                <w:b/>
                <w:lang w:val="hy-AM"/>
              </w:rPr>
              <w:softHyphen/>
              <w:t>կան գործունեության ընդլայնում և ագրոտու</w:t>
            </w:r>
            <w:r w:rsidRPr="0053423A">
              <w:rPr>
                <w:b/>
                <w:lang w:val="hy-AM"/>
              </w:rPr>
              <w:softHyphen/>
              <w:t>րիզմի զարգացում</w:t>
            </w:r>
          </w:p>
          <w:p w:rsidR="00530B14" w:rsidRPr="0053423A" w:rsidRDefault="00530B14" w:rsidP="00A67858">
            <w:pPr>
              <w:spacing w:line="276" w:lineRule="auto"/>
              <w:jc w:val="center"/>
              <w:rPr>
                <w:b/>
                <w:lang w:val="hy-AM"/>
              </w:rPr>
            </w:pPr>
          </w:p>
          <w:p w:rsidR="00530B14" w:rsidRPr="0053423A" w:rsidRDefault="00530B14" w:rsidP="00A67858">
            <w:pPr>
              <w:spacing w:line="276" w:lineRule="auto"/>
              <w:jc w:val="center"/>
              <w:rPr>
                <w:b/>
                <w:u w:val="single"/>
                <w:lang w:val="hy-AM"/>
              </w:rPr>
            </w:pPr>
            <w:r w:rsidRPr="0053423A">
              <w:rPr>
                <w:b/>
                <w:u w:val="single"/>
                <w:lang w:val="hy-AM"/>
              </w:rPr>
              <w:t xml:space="preserve">11.1 Աջակցություն ոչ գյուղատնտեսական գործունեության զարգացմանն </w:t>
            </w:r>
          </w:p>
          <w:p w:rsidR="00530B14" w:rsidRPr="0053423A" w:rsidRDefault="00530B14" w:rsidP="00A67858">
            <w:pPr>
              <w:spacing w:line="276" w:lineRule="auto"/>
              <w:jc w:val="center"/>
              <w:rPr>
                <w:b/>
                <w:u w:val="single"/>
                <w:lang w:val="hy-AM"/>
              </w:rPr>
            </w:pPr>
            <w:r w:rsidRPr="0053423A">
              <w:rPr>
                <w:b/>
                <w:u w:val="single"/>
                <w:lang w:val="hy-AM"/>
              </w:rPr>
              <w:t xml:space="preserve">ուղղված միջոցառումների իրականացմանը </w:t>
            </w:r>
          </w:p>
          <w:p w:rsidR="00530B14" w:rsidRPr="0053423A" w:rsidRDefault="00530B14" w:rsidP="00A67858">
            <w:pPr>
              <w:spacing w:line="276" w:lineRule="auto"/>
              <w:jc w:val="both"/>
              <w:rPr>
                <w:b/>
                <w:lang w:val="hy-AM"/>
              </w:rPr>
            </w:pPr>
          </w:p>
          <w:p w:rsidR="00530B14" w:rsidRPr="0053423A" w:rsidRDefault="00530B14" w:rsidP="001F6D5D">
            <w:pPr>
              <w:pStyle w:val="ListParagraph"/>
              <w:numPr>
                <w:ilvl w:val="0"/>
                <w:numId w:val="128"/>
              </w:numPr>
              <w:spacing w:line="276" w:lineRule="auto"/>
              <w:ind w:firstLine="184"/>
              <w:jc w:val="both"/>
              <w:rPr>
                <w:rFonts w:cs="Sylfaen"/>
                <w:b/>
                <w:lang w:val="hy-AM"/>
              </w:rPr>
            </w:pPr>
            <w:r w:rsidRPr="0053423A">
              <w:rPr>
                <w:rFonts w:eastAsia="Calibri"/>
                <w:b/>
                <w:lang w:val="hy-AM"/>
              </w:rPr>
              <w:t>Միջոցառման իրականացման ա</w:t>
            </w:r>
            <w:r w:rsidRPr="0053423A">
              <w:rPr>
                <w:rFonts w:cs="Sylfaen"/>
                <w:b/>
                <w:lang w:val="hy-AM"/>
              </w:rPr>
              <w:t>նհրաժեշտությունը և նպատակը</w:t>
            </w:r>
          </w:p>
          <w:p w:rsidR="00530B14" w:rsidRPr="0053423A" w:rsidRDefault="00530B14" w:rsidP="00A67858">
            <w:pPr>
              <w:spacing w:line="276" w:lineRule="auto"/>
              <w:jc w:val="both"/>
              <w:rPr>
                <w:rFonts w:eastAsia="Calibri"/>
                <w:lang w:val="hy-AM"/>
              </w:rPr>
            </w:pPr>
            <w:r w:rsidRPr="0053423A">
              <w:rPr>
                <w:rFonts w:eastAsia="Calibri"/>
                <w:lang w:val="hy-AM"/>
              </w:rPr>
              <w:tab/>
              <w:t xml:space="preserve">Միջոցառման կատարման անհրաժեշտությունը բխում է </w:t>
            </w:r>
            <w:r w:rsidRPr="0053423A">
              <w:rPr>
                <w:rFonts w:cs="Sylfaen"/>
                <w:lang w:val="hy-AM"/>
              </w:rPr>
              <w:t>ՀՀ</w:t>
            </w:r>
            <w:r w:rsidRPr="0053423A">
              <w:rPr>
                <w:lang w:val="hy-AM"/>
              </w:rPr>
              <w:t xml:space="preserve"> </w:t>
            </w:r>
            <w:r w:rsidRPr="0053423A">
              <w:rPr>
                <w:rFonts w:cs="Sylfaen"/>
                <w:lang w:val="hy-AM"/>
              </w:rPr>
              <w:t>ԱԺ</w:t>
            </w:r>
            <w:r w:rsidRPr="0053423A">
              <w:rPr>
                <w:lang w:val="hy-AM"/>
              </w:rPr>
              <w:t xml:space="preserve"> 2019 </w:t>
            </w:r>
            <w:r w:rsidRPr="0053423A">
              <w:rPr>
                <w:rFonts w:cs="Sylfaen"/>
                <w:lang w:val="hy-AM"/>
              </w:rPr>
              <w:t>թվականի</w:t>
            </w:r>
            <w:r w:rsidRPr="0053423A">
              <w:rPr>
                <w:lang w:val="hy-AM"/>
              </w:rPr>
              <w:t xml:space="preserve"> </w:t>
            </w:r>
            <w:r w:rsidRPr="0053423A">
              <w:rPr>
                <w:rFonts w:cs="Sylfaen"/>
                <w:lang w:val="hy-AM"/>
              </w:rPr>
              <w:t>փետրվարի</w:t>
            </w:r>
            <w:r w:rsidRPr="0053423A">
              <w:rPr>
                <w:lang w:val="hy-AM"/>
              </w:rPr>
              <w:t xml:space="preserve"> 14-</w:t>
            </w:r>
            <w:r w:rsidRPr="0053423A">
              <w:rPr>
                <w:rFonts w:cs="Sylfaen"/>
                <w:lang w:val="hy-AM"/>
              </w:rPr>
              <w:t>ի</w:t>
            </w:r>
            <w:r w:rsidRPr="0053423A">
              <w:rPr>
                <w:lang w:val="hy-AM"/>
              </w:rPr>
              <w:t xml:space="preserve"> </w:t>
            </w:r>
            <w:r w:rsidRPr="0053423A">
              <w:rPr>
                <w:rFonts w:cs="Sylfaen"/>
                <w:lang w:val="hy-AM"/>
              </w:rPr>
              <w:t>ԱԺՈ</w:t>
            </w:r>
            <w:r w:rsidRPr="0053423A">
              <w:rPr>
                <w:lang w:val="hy-AM"/>
              </w:rPr>
              <w:t>-002-</w:t>
            </w:r>
            <w:r w:rsidRPr="0053423A">
              <w:rPr>
                <w:rFonts w:cs="Sylfaen"/>
                <w:lang w:val="hy-AM"/>
              </w:rPr>
              <w:t>Ն</w:t>
            </w:r>
            <w:r w:rsidRPr="0053423A">
              <w:rPr>
                <w:lang w:val="hy-AM"/>
              </w:rPr>
              <w:t xml:space="preserve"> </w:t>
            </w:r>
            <w:r w:rsidRPr="0053423A">
              <w:rPr>
                <w:rFonts w:cs="Sylfaen"/>
                <w:lang w:val="hy-AM"/>
              </w:rPr>
              <w:t>որոշմամբ</w:t>
            </w:r>
            <w:r w:rsidRPr="0053423A">
              <w:rPr>
                <w:lang w:val="hy-AM"/>
              </w:rPr>
              <w:t xml:space="preserve"> </w:t>
            </w:r>
            <w:r w:rsidRPr="0053423A">
              <w:rPr>
                <w:rFonts w:cs="Sylfaen"/>
                <w:lang w:val="hy-AM"/>
              </w:rPr>
              <w:t>հավանության</w:t>
            </w:r>
            <w:r w:rsidRPr="0053423A">
              <w:rPr>
                <w:lang w:val="hy-AM"/>
              </w:rPr>
              <w:t xml:space="preserve"> </w:t>
            </w:r>
            <w:r w:rsidRPr="0053423A">
              <w:rPr>
                <w:rFonts w:cs="Sylfaen"/>
                <w:lang w:val="hy-AM"/>
              </w:rPr>
              <w:t>արժանացած</w:t>
            </w:r>
            <w:r w:rsidRPr="0053423A">
              <w:rPr>
                <w:lang w:val="hy-AM"/>
              </w:rPr>
              <w:t xml:space="preserve"> </w:t>
            </w:r>
            <w:r w:rsidRPr="0053423A">
              <w:rPr>
                <w:rFonts w:cs="Sylfaen"/>
                <w:lang w:val="hy-AM"/>
              </w:rPr>
              <w:t>ՀՀ</w:t>
            </w:r>
            <w:r w:rsidRPr="0053423A">
              <w:rPr>
                <w:lang w:val="hy-AM"/>
              </w:rPr>
              <w:t xml:space="preserve"> </w:t>
            </w:r>
            <w:r w:rsidRPr="0053423A">
              <w:rPr>
                <w:rFonts w:cs="Sylfaen"/>
                <w:lang w:val="hy-AM"/>
              </w:rPr>
              <w:t>կառավա</w:t>
            </w:r>
            <w:r w:rsidRPr="0053423A">
              <w:rPr>
                <w:rFonts w:cs="Sylfaen"/>
                <w:lang w:val="hy-AM"/>
              </w:rPr>
              <w:softHyphen/>
              <w:t>րության</w:t>
            </w:r>
            <w:r w:rsidRPr="0053423A">
              <w:rPr>
                <w:lang w:val="hy-AM"/>
              </w:rPr>
              <w:t xml:space="preserve"> </w:t>
            </w:r>
            <w:r w:rsidRPr="0053423A">
              <w:rPr>
                <w:rFonts w:cs="Sylfaen"/>
                <w:lang w:val="hy-AM"/>
              </w:rPr>
              <w:t>ծրագրից</w:t>
            </w:r>
            <w:r w:rsidRPr="0053423A">
              <w:rPr>
                <w:lang w:val="hy-AM"/>
              </w:rPr>
              <w:t xml:space="preserve"> </w:t>
            </w:r>
            <w:r w:rsidRPr="0053423A">
              <w:rPr>
                <w:lang w:val="af-ZA"/>
              </w:rPr>
              <w:t>(</w:t>
            </w:r>
            <w:r w:rsidRPr="0053423A">
              <w:rPr>
                <w:lang w:val="hy-AM"/>
              </w:rPr>
              <w:t xml:space="preserve">5.10. </w:t>
            </w:r>
            <w:r w:rsidRPr="0053423A">
              <w:rPr>
                <w:rFonts w:cs="Sylfaen"/>
                <w:lang w:val="hy-AM"/>
              </w:rPr>
              <w:t xml:space="preserve">Գյուղատնտեսություն բաժին, </w:t>
            </w:r>
            <w:r w:rsidRPr="0053423A">
              <w:rPr>
                <w:lang w:val="it-IT"/>
              </w:rPr>
              <w:t>7-</w:t>
            </w:r>
            <w:r w:rsidRPr="0053423A">
              <w:rPr>
                <w:lang w:val="hy-AM"/>
              </w:rPr>
              <w:t>րդ</w:t>
            </w:r>
            <w:r w:rsidRPr="0053423A">
              <w:rPr>
                <w:lang w:val="it-IT"/>
              </w:rPr>
              <w:t xml:space="preserve"> </w:t>
            </w:r>
            <w:r w:rsidRPr="0053423A">
              <w:rPr>
                <w:lang w:val="hy-AM"/>
              </w:rPr>
              <w:t>պարբերության</w:t>
            </w:r>
            <w:r w:rsidRPr="0053423A">
              <w:rPr>
                <w:lang w:val="it-IT"/>
              </w:rPr>
              <w:t xml:space="preserve"> </w:t>
            </w:r>
            <w:r w:rsidRPr="0053423A">
              <w:rPr>
                <w:lang w:val="hy-AM"/>
              </w:rPr>
              <w:t>5</w:t>
            </w:r>
            <w:r w:rsidRPr="0053423A">
              <w:rPr>
                <w:lang w:val="it-IT"/>
              </w:rPr>
              <w:t>-</w:t>
            </w:r>
            <w:r w:rsidRPr="0053423A">
              <w:rPr>
                <w:lang w:val="hy-AM"/>
              </w:rPr>
              <w:t>րդ</w:t>
            </w:r>
            <w:r w:rsidRPr="0053423A">
              <w:rPr>
                <w:lang w:val="it-IT"/>
              </w:rPr>
              <w:t xml:space="preserve"> </w:t>
            </w:r>
            <w:r w:rsidRPr="0053423A">
              <w:rPr>
                <w:lang w:val="hy-AM"/>
              </w:rPr>
              <w:t xml:space="preserve">դրույթ): </w:t>
            </w:r>
          </w:p>
          <w:p w:rsidR="00530B14" w:rsidRPr="0053423A" w:rsidRDefault="00530B14" w:rsidP="00A67858">
            <w:pPr>
              <w:pStyle w:val="ListParagraph"/>
              <w:spacing w:line="276" w:lineRule="auto"/>
              <w:ind w:left="0"/>
              <w:jc w:val="both"/>
              <w:rPr>
                <w:rFonts w:cs="Sylfaen"/>
                <w:lang w:val="it-IT"/>
              </w:rPr>
            </w:pPr>
            <w:r w:rsidRPr="0053423A">
              <w:rPr>
                <w:rFonts w:eastAsia="Calibri"/>
                <w:lang w:val="hy-AM"/>
              </w:rPr>
              <w:tab/>
              <w:t xml:space="preserve">Միջոցառման իրականացման </w:t>
            </w:r>
            <w:r w:rsidRPr="0053423A">
              <w:rPr>
                <w:rFonts w:cs="Sylfaen"/>
                <w:lang w:val="hy-AM"/>
              </w:rPr>
              <w:t>նպատակն է՝</w:t>
            </w:r>
            <w:r w:rsidRPr="0053423A">
              <w:rPr>
                <w:rFonts w:cs="Calibri"/>
                <w:lang w:val="it-IT"/>
              </w:rPr>
              <w:t xml:space="preserve"> </w:t>
            </w:r>
            <w:r w:rsidRPr="0053423A">
              <w:rPr>
                <w:rFonts w:cs="Calibri"/>
                <w:lang w:val="hy-AM"/>
              </w:rPr>
              <w:t>գ</w:t>
            </w:r>
            <w:r w:rsidRPr="0053423A">
              <w:rPr>
                <w:rFonts w:cs="Calibri"/>
                <w:lang w:val="it-IT"/>
              </w:rPr>
              <w:t>յուղական բնակավայրեր</w:t>
            </w:r>
            <w:r w:rsidRPr="0053423A">
              <w:rPr>
                <w:rFonts w:cs="Calibri"/>
                <w:lang w:val="hy-AM"/>
              </w:rPr>
              <w:t>ում</w:t>
            </w:r>
            <w:r w:rsidRPr="0053423A">
              <w:rPr>
                <w:rFonts w:cs="Calibri"/>
                <w:lang w:val="it-IT"/>
              </w:rPr>
              <w:t xml:space="preserve"> աշխա</w:t>
            </w:r>
            <w:r w:rsidRPr="0053423A">
              <w:rPr>
                <w:rFonts w:cs="Calibri"/>
                <w:lang w:val="hy-AM"/>
              </w:rPr>
              <w:softHyphen/>
            </w:r>
            <w:r w:rsidRPr="0053423A">
              <w:rPr>
                <w:rFonts w:cs="Calibri"/>
                <w:lang w:val="it-IT"/>
              </w:rPr>
              <w:t xml:space="preserve">տուժի, հումքային ռեսուրսների արդյունավետ օգտագործումը, </w:t>
            </w:r>
            <w:r w:rsidRPr="0053423A">
              <w:rPr>
                <w:rFonts w:cs="Calibri"/>
                <w:lang w:val="hy-AM"/>
              </w:rPr>
              <w:t xml:space="preserve">բուն գյուղատնտեսական գործունեության մեջ չընդգրկված </w:t>
            </w:r>
            <w:r w:rsidRPr="0053423A">
              <w:rPr>
                <w:rFonts w:cs="Calibri"/>
                <w:lang w:val="it-IT"/>
              </w:rPr>
              <w:t xml:space="preserve">բնակչության </w:t>
            </w:r>
            <w:r w:rsidRPr="0053423A">
              <w:rPr>
                <w:rFonts w:cs="Calibri"/>
                <w:lang w:val="hy-AM"/>
              </w:rPr>
              <w:t>ներառումը արտադրական և սպա</w:t>
            </w:r>
            <w:r w:rsidRPr="0053423A">
              <w:rPr>
                <w:rFonts w:cs="Calibri"/>
                <w:lang w:val="hy-AM"/>
              </w:rPr>
              <w:softHyphen/>
              <w:t>սարկման ոլորտներում,</w:t>
            </w:r>
            <w:r w:rsidRPr="0053423A">
              <w:rPr>
                <w:rFonts w:cs="Calibri"/>
                <w:lang w:val="it-IT"/>
              </w:rPr>
              <w:t xml:space="preserve"> </w:t>
            </w:r>
            <w:r w:rsidRPr="0053423A">
              <w:rPr>
                <w:rFonts w:cs="Calibri"/>
                <w:lang w:val="hy-AM"/>
              </w:rPr>
              <w:t>փոքր և միջին ձեռնարկատիրական գործունեության զարգա</w:t>
            </w:r>
            <w:r w:rsidRPr="0053423A">
              <w:rPr>
                <w:rFonts w:cs="Calibri"/>
                <w:lang w:val="hy-AM"/>
              </w:rPr>
              <w:softHyphen/>
              <w:t xml:space="preserve">ցումը, </w:t>
            </w:r>
            <w:r w:rsidRPr="0053423A">
              <w:rPr>
                <w:rFonts w:cs="Calibri"/>
                <w:lang w:val="it-IT"/>
              </w:rPr>
              <w:t>աղքատության մակարդակի կրճատումը։</w:t>
            </w:r>
          </w:p>
          <w:p w:rsidR="00530B14" w:rsidRPr="0053423A" w:rsidRDefault="00530B14" w:rsidP="00A67858">
            <w:pPr>
              <w:spacing w:line="276" w:lineRule="auto"/>
              <w:ind w:firstLine="733"/>
              <w:jc w:val="both"/>
              <w:rPr>
                <w:b/>
                <w:lang w:val="hy-AM" w:eastAsia="en-GB"/>
              </w:rPr>
            </w:pPr>
            <w:r w:rsidRPr="0053423A">
              <w:rPr>
                <w:rFonts w:cs="Sylfaen"/>
                <w:b/>
                <w:lang w:val="it-IT" w:eastAsia="en-GB"/>
              </w:rPr>
              <w:t xml:space="preserve">1.1  </w:t>
            </w:r>
            <w:r w:rsidRPr="0053423A">
              <w:rPr>
                <w:rFonts w:cs="Sylfaen"/>
                <w:b/>
                <w:lang w:val="hy-AM" w:eastAsia="en-GB"/>
              </w:rPr>
              <w:t>Կարգավորման</w:t>
            </w:r>
            <w:r w:rsidRPr="0053423A">
              <w:rPr>
                <w:rFonts w:cs="Calibri"/>
                <w:b/>
                <w:lang w:val="hy-AM" w:eastAsia="en-GB"/>
              </w:rPr>
              <w:t xml:space="preserve"> </w:t>
            </w:r>
            <w:r w:rsidRPr="0053423A">
              <w:rPr>
                <w:rFonts w:cs="Sylfaen"/>
                <w:b/>
                <w:lang w:val="hy-AM" w:eastAsia="en-GB"/>
              </w:rPr>
              <w:t>հարաբերությունների</w:t>
            </w:r>
            <w:r w:rsidRPr="0053423A">
              <w:rPr>
                <w:rFonts w:cs="Calibri"/>
                <w:b/>
                <w:lang w:val="hy-AM" w:eastAsia="en-GB"/>
              </w:rPr>
              <w:t xml:space="preserve"> </w:t>
            </w:r>
            <w:r w:rsidRPr="0053423A">
              <w:rPr>
                <w:rFonts w:cs="Sylfaen"/>
                <w:b/>
                <w:lang w:val="hy-AM" w:eastAsia="en-GB"/>
              </w:rPr>
              <w:t>ներկա</w:t>
            </w:r>
            <w:r w:rsidRPr="0053423A">
              <w:rPr>
                <w:rFonts w:cs="Calibri"/>
                <w:b/>
                <w:lang w:val="hy-AM" w:eastAsia="en-GB"/>
              </w:rPr>
              <w:t xml:space="preserve"> </w:t>
            </w:r>
            <w:r w:rsidRPr="0053423A">
              <w:rPr>
                <w:rFonts w:cs="Sylfaen"/>
                <w:b/>
                <w:lang w:val="hy-AM" w:eastAsia="en-GB"/>
              </w:rPr>
              <w:t>վիճակը</w:t>
            </w:r>
            <w:r w:rsidRPr="0053423A">
              <w:rPr>
                <w:rFonts w:cs="Calibri"/>
                <w:b/>
                <w:lang w:val="hy-AM" w:eastAsia="en-GB"/>
              </w:rPr>
              <w:t xml:space="preserve"> </w:t>
            </w:r>
            <w:r w:rsidRPr="0053423A">
              <w:rPr>
                <w:rFonts w:cs="Sylfaen"/>
                <w:b/>
                <w:lang w:val="hy-AM" w:eastAsia="en-GB"/>
              </w:rPr>
              <w:t>և</w:t>
            </w:r>
            <w:r w:rsidRPr="0053423A">
              <w:rPr>
                <w:rFonts w:cs="Calibri"/>
                <w:b/>
                <w:lang w:val="hy-AM" w:eastAsia="en-GB"/>
              </w:rPr>
              <w:t xml:space="preserve"> </w:t>
            </w:r>
            <w:r w:rsidRPr="0053423A">
              <w:rPr>
                <w:rFonts w:cs="Sylfaen"/>
                <w:b/>
                <w:lang w:val="hy-AM" w:eastAsia="en-GB"/>
              </w:rPr>
              <w:t>առկա</w:t>
            </w:r>
            <w:r w:rsidRPr="0053423A">
              <w:rPr>
                <w:rFonts w:cs="Calibri"/>
                <w:b/>
                <w:lang w:val="hy-AM" w:eastAsia="en-GB"/>
              </w:rPr>
              <w:t xml:space="preserve"> </w:t>
            </w:r>
            <w:r w:rsidRPr="0053423A">
              <w:rPr>
                <w:rFonts w:cs="Sylfaen"/>
                <w:b/>
                <w:lang w:val="hy-AM" w:eastAsia="en-GB"/>
              </w:rPr>
              <w:t>խնդիրները</w:t>
            </w:r>
          </w:p>
          <w:p w:rsidR="00530B14" w:rsidRPr="0053423A" w:rsidRDefault="00530B14" w:rsidP="00A67858">
            <w:pPr>
              <w:pStyle w:val="BodyTextIndent"/>
              <w:spacing w:after="0" w:line="276" w:lineRule="auto"/>
              <w:ind w:left="0"/>
              <w:jc w:val="both"/>
              <w:rPr>
                <w:rFonts w:ascii="GHEA Grapalat" w:hAnsi="GHEA Grapalat" w:cs="Arial Armenian"/>
                <w:sz w:val="20"/>
                <w:szCs w:val="20"/>
                <w:lang w:val="hy-AM"/>
              </w:rPr>
            </w:pPr>
            <w:r w:rsidRPr="0053423A">
              <w:rPr>
                <w:rFonts w:ascii="GHEA Grapalat" w:hAnsi="GHEA Grapalat" w:cs="Sylfaen"/>
                <w:sz w:val="20"/>
                <w:szCs w:val="20"/>
                <w:lang w:val="hy-AM"/>
              </w:rPr>
              <w:tab/>
            </w:r>
            <w:r w:rsidRPr="0053423A">
              <w:rPr>
                <w:rFonts w:ascii="GHEA Grapalat" w:hAnsi="GHEA Grapalat" w:cs="Sylfaen"/>
                <w:sz w:val="20"/>
                <w:szCs w:val="20"/>
                <w:lang w:val="af-ZA"/>
              </w:rPr>
              <w:t>Գյուղական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բնակչության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կենսամակարդակի</w:t>
            </w:r>
            <w:r w:rsidRPr="0053423A">
              <w:rPr>
                <w:rFonts w:ascii="GHEA Grapalat" w:hAnsi="GHEA Grapalat" w:cs="Sylfaen"/>
                <w:sz w:val="20"/>
                <w:szCs w:val="20"/>
                <w:lang w:val="hy-AM"/>
              </w:rPr>
              <w:t xml:space="preserve"> բարելավման և աղքատության մակարդակի կրճատման </w:t>
            </w:r>
            <w:r w:rsidRPr="0053423A">
              <w:rPr>
                <w:rFonts w:ascii="GHEA Grapalat" w:hAnsi="GHEA Grapalat" w:cs="Sylfaen"/>
                <w:sz w:val="20"/>
                <w:szCs w:val="20"/>
                <w:lang w:val="af-ZA"/>
              </w:rPr>
              <w:t>առումով</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կարևոր</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նշանակություն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ունի</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գյուղի</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սոցիալական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ենթակառուցվածքների</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զարգացումը</w:t>
            </w:r>
            <w:r w:rsidRPr="0053423A">
              <w:rPr>
                <w:rFonts w:ascii="GHEA Grapalat" w:hAnsi="GHEA Grapalat" w:cs="Sylfaen"/>
                <w:sz w:val="20"/>
                <w:szCs w:val="20"/>
                <w:lang w:val="hy-AM"/>
              </w:rPr>
              <w:t xml:space="preserve"> և գյուղական բնակչության ներգրավումը ոչ գյուղատնտեսական գործունեության ոլորտում</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Շուկայական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հարաբերու</w:t>
            </w:r>
            <w:r w:rsidRPr="0053423A">
              <w:rPr>
                <w:rFonts w:ascii="GHEA Grapalat" w:hAnsi="GHEA Grapalat" w:cs="Arial Armenian"/>
                <w:sz w:val="20"/>
                <w:szCs w:val="20"/>
                <w:lang w:val="af-ZA"/>
              </w:rPr>
              <w:softHyphen/>
            </w:r>
            <w:r w:rsidRPr="0053423A">
              <w:rPr>
                <w:rFonts w:ascii="GHEA Grapalat" w:hAnsi="GHEA Grapalat" w:cs="Sylfaen"/>
                <w:sz w:val="20"/>
                <w:szCs w:val="20"/>
                <w:lang w:val="af-ZA"/>
              </w:rPr>
              <w:t>թյուն</w:t>
            </w:r>
            <w:r w:rsidRPr="0053423A">
              <w:rPr>
                <w:rFonts w:ascii="GHEA Grapalat" w:hAnsi="GHEA Grapalat" w:cs="Arial Armenian"/>
                <w:sz w:val="20"/>
                <w:szCs w:val="20"/>
                <w:lang w:val="af-ZA"/>
              </w:rPr>
              <w:softHyphen/>
            </w:r>
            <w:r w:rsidRPr="0053423A">
              <w:rPr>
                <w:rFonts w:ascii="GHEA Grapalat" w:hAnsi="GHEA Grapalat" w:cs="Sylfaen"/>
                <w:sz w:val="20"/>
                <w:szCs w:val="20"/>
                <w:lang w:val="af-ZA"/>
              </w:rPr>
              <w:t>ների</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hy-AM"/>
              </w:rPr>
              <w:t>պայմաններում</w:t>
            </w:r>
            <w:r w:rsidRPr="0053423A">
              <w:rPr>
                <w:rFonts w:ascii="GHEA Grapalat" w:hAnsi="GHEA Grapalat" w:cs="Arial Armenian"/>
                <w:sz w:val="20"/>
                <w:szCs w:val="20"/>
                <w:lang w:val="af-ZA"/>
              </w:rPr>
              <w:t xml:space="preserve"> </w:t>
            </w:r>
            <w:r w:rsidRPr="0053423A">
              <w:rPr>
                <w:rFonts w:ascii="GHEA Grapalat" w:hAnsi="GHEA Grapalat" w:cs="Arial Armenian"/>
                <w:sz w:val="20"/>
                <w:szCs w:val="20"/>
                <w:lang w:val="hy-AM"/>
              </w:rPr>
              <w:t xml:space="preserve">այս բնագավառում </w:t>
            </w:r>
            <w:r w:rsidRPr="0053423A">
              <w:rPr>
                <w:rFonts w:ascii="GHEA Grapalat" w:hAnsi="GHEA Grapalat" w:cs="Sylfaen"/>
                <w:sz w:val="20"/>
                <w:szCs w:val="20"/>
                <w:lang w:val="af-ZA"/>
              </w:rPr>
              <w:t>տեղական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ինքնակառավարման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մարմին</w:t>
            </w:r>
            <w:r w:rsidRPr="0053423A">
              <w:rPr>
                <w:rFonts w:ascii="GHEA Grapalat" w:hAnsi="GHEA Grapalat" w:cs="Arial Armenian"/>
                <w:sz w:val="20"/>
                <w:szCs w:val="20"/>
                <w:lang w:val="af-ZA"/>
              </w:rPr>
              <w:softHyphen/>
            </w:r>
            <w:r w:rsidRPr="0053423A">
              <w:rPr>
                <w:rFonts w:ascii="GHEA Grapalat" w:hAnsi="GHEA Grapalat" w:cs="Sylfaen"/>
                <w:sz w:val="20"/>
                <w:szCs w:val="20"/>
                <w:lang w:val="af-ZA"/>
              </w:rPr>
              <w:t>ների</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և</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մասնավոր</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հատվածի</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սոցիալական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ենթակառուց</w:t>
            </w:r>
            <w:r w:rsidRPr="0053423A">
              <w:rPr>
                <w:rFonts w:ascii="GHEA Grapalat" w:hAnsi="GHEA Grapalat" w:cs="Arial Armenian"/>
                <w:sz w:val="20"/>
                <w:szCs w:val="20"/>
                <w:lang w:val="af-ZA"/>
              </w:rPr>
              <w:softHyphen/>
            </w:r>
            <w:r w:rsidRPr="0053423A">
              <w:rPr>
                <w:rFonts w:ascii="GHEA Grapalat" w:hAnsi="GHEA Grapalat" w:cs="Sylfaen"/>
                <w:sz w:val="20"/>
                <w:szCs w:val="20"/>
                <w:lang w:val="af-ZA"/>
              </w:rPr>
              <w:t>վածքների</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զարգացմանն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hy-AM"/>
              </w:rPr>
              <w:t>և</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դրանց</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կառա</w:t>
            </w:r>
            <w:r w:rsidRPr="0053423A">
              <w:rPr>
                <w:rFonts w:ascii="GHEA Grapalat" w:hAnsi="GHEA Grapalat" w:cs="Arial Armenian"/>
                <w:sz w:val="20"/>
                <w:szCs w:val="20"/>
                <w:lang w:val="af-ZA"/>
              </w:rPr>
              <w:softHyphen/>
            </w:r>
            <w:r w:rsidRPr="0053423A">
              <w:rPr>
                <w:rFonts w:ascii="GHEA Grapalat" w:hAnsi="GHEA Grapalat" w:cs="Sylfaen"/>
                <w:sz w:val="20"/>
                <w:szCs w:val="20"/>
                <w:lang w:val="af-ZA"/>
              </w:rPr>
              <w:t>վարման</w:t>
            </w:r>
            <w:r w:rsidRPr="0053423A">
              <w:rPr>
                <w:rFonts w:ascii="GHEA Grapalat" w:hAnsi="GHEA Grapalat" w:cs="Sylfaen"/>
                <w:sz w:val="20"/>
                <w:szCs w:val="20"/>
                <w:lang w:val="hy-AM"/>
              </w:rPr>
              <w:t xml:space="preserve"> գործում գերակշռող դերակատարության հետ մեկտեղ</w:t>
            </w:r>
            <w:r w:rsidRPr="0053423A">
              <w:rPr>
                <w:rFonts w:ascii="GHEA Grapalat" w:hAnsi="GHEA Grapalat" w:cs="Arial Armenian"/>
                <w:sz w:val="20"/>
                <w:szCs w:val="20"/>
                <w:lang w:val="hy-AM"/>
              </w:rPr>
              <w:t xml:space="preserve"> </w:t>
            </w:r>
            <w:r w:rsidRPr="0053423A">
              <w:rPr>
                <w:rFonts w:ascii="GHEA Grapalat" w:hAnsi="GHEA Grapalat" w:cs="Sylfaen"/>
                <w:sz w:val="20"/>
                <w:szCs w:val="20"/>
                <w:lang w:val="af-ZA"/>
              </w:rPr>
              <w:t>պետության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կողմից</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աջակցության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hy-AM"/>
              </w:rPr>
              <w:t>կարիքը</w:t>
            </w:r>
            <w:r w:rsidRPr="0053423A">
              <w:rPr>
                <w:rFonts w:ascii="GHEA Grapalat" w:hAnsi="GHEA Grapalat" w:cs="Arial Armenian"/>
                <w:sz w:val="20"/>
                <w:szCs w:val="20"/>
                <w:lang w:val="hy-AM"/>
              </w:rPr>
              <w:t xml:space="preserve"> դեռևս </w:t>
            </w:r>
            <w:r w:rsidRPr="0053423A">
              <w:rPr>
                <w:rFonts w:ascii="GHEA Grapalat" w:hAnsi="GHEA Grapalat" w:cs="Sylfaen"/>
                <w:sz w:val="20"/>
                <w:szCs w:val="20"/>
                <w:lang w:val="af-ZA"/>
              </w:rPr>
              <w:t>պահպանվ</w:t>
            </w:r>
            <w:r w:rsidRPr="0053423A">
              <w:rPr>
                <w:rFonts w:ascii="GHEA Grapalat" w:hAnsi="GHEA Grapalat" w:cs="Sylfaen"/>
                <w:sz w:val="20"/>
                <w:szCs w:val="20"/>
                <w:lang w:val="hy-AM"/>
              </w:rPr>
              <w:t>ում է</w:t>
            </w:r>
            <w:r w:rsidRPr="0053423A">
              <w:rPr>
                <w:rFonts w:ascii="GHEA Grapalat" w:hAnsi="GHEA Grapalat" w:cs="Arial Armenian"/>
                <w:sz w:val="20"/>
                <w:szCs w:val="20"/>
                <w:lang w:val="af-ZA"/>
              </w:rPr>
              <w:t xml:space="preserve">: </w:t>
            </w:r>
          </w:p>
          <w:p w:rsidR="00530B14" w:rsidRPr="0053423A" w:rsidRDefault="00530B14" w:rsidP="00A67858">
            <w:pPr>
              <w:pStyle w:val="BodyTextIndent"/>
              <w:spacing w:after="0" w:line="276" w:lineRule="auto"/>
              <w:ind w:left="0"/>
              <w:jc w:val="both"/>
              <w:rPr>
                <w:rFonts w:ascii="GHEA Grapalat" w:hAnsi="GHEA Grapalat"/>
                <w:sz w:val="20"/>
                <w:szCs w:val="20"/>
                <w:lang w:val="hy-AM"/>
              </w:rPr>
            </w:pPr>
            <w:r w:rsidRPr="0053423A">
              <w:rPr>
                <w:rFonts w:ascii="GHEA Grapalat" w:hAnsi="GHEA Grapalat" w:cs="Arial Armenian"/>
                <w:sz w:val="20"/>
                <w:szCs w:val="20"/>
                <w:lang w:val="hy-AM"/>
              </w:rPr>
              <w:tab/>
              <w:t>Նշված ենթատեքստում կարևորվում է՝</w:t>
            </w:r>
          </w:p>
          <w:p w:rsidR="00530B14" w:rsidRPr="0053423A" w:rsidRDefault="00530B14" w:rsidP="001F6D5D">
            <w:pPr>
              <w:pStyle w:val="ListParagraph"/>
              <w:numPr>
                <w:ilvl w:val="0"/>
                <w:numId w:val="120"/>
              </w:numPr>
              <w:tabs>
                <w:tab w:val="left" w:pos="900"/>
                <w:tab w:val="left" w:pos="1080"/>
              </w:tabs>
              <w:spacing w:line="276" w:lineRule="auto"/>
              <w:ind w:left="0" w:firstLine="630"/>
              <w:jc w:val="both"/>
              <w:rPr>
                <w:lang w:val="hy-AM"/>
              </w:rPr>
            </w:pPr>
            <w:r w:rsidRPr="0053423A">
              <w:rPr>
                <w:rFonts w:cs="Sylfaen"/>
                <w:lang w:val="hy-AM"/>
              </w:rPr>
              <w:t>կրթամշակութային</w:t>
            </w:r>
            <w:r w:rsidRPr="0053423A">
              <w:rPr>
                <w:rFonts w:cs="Arial Armenian"/>
                <w:lang w:val="hy-AM"/>
              </w:rPr>
              <w:t xml:space="preserve"> </w:t>
            </w:r>
            <w:r w:rsidRPr="0053423A">
              <w:rPr>
                <w:rFonts w:cs="Sylfaen"/>
                <w:lang w:val="hy-AM"/>
              </w:rPr>
              <w:t>և</w:t>
            </w:r>
            <w:r w:rsidRPr="0053423A">
              <w:rPr>
                <w:rFonts w:cs="Arial Armenian"/>
                <w:lang w:val="hy-AM"/>
              </w:rPr>
              <w:t xml:space="preserve"> </w:t>
            </w:r>
            <w:r w:rsidRPr="0053423A">
              <w:rPr>
                <w:rFonts w:cs="Sylfaen"/>
                <w:lang w:val="hy-AM"/>
              </w:rPr>
              <w:t>մարզական</w:t>
            </w:r>
            <w:r w:rsidRPr="0053423A">
              <w:rPr>
                <w:rFonts w:cs="Arial Armenian"/>
                <w:lang w:val="hy-AM"/>
              </w:rPr>
              <w:t xml:space="preserve"> </w:t>
            </w:r>
            <w:r w:rsidRPr="0053423A">
              <w:rPr>
                <w:rFonts w:cs="Sylfaen"/>
                <w:lang w:val="hy-AM"/>
              </w:rPr>
              <w:t>օբյեկտների</w:t>
            </w:r>
            <w:r w:rsidRPr="0053423A">
              <w:rPr>
                <w:rFonts w:cs="Arial Armenian"/>
                <w:lang w:val="hy-AM"/>
              </w:rPr>
              <w:t xml:space="preserve"> </w:t>
            </w:r>
            <w:r w:rsidRPr="0053423A">
              <w:rPr>
                <w:rFonts w:cs="Sylfaen"/>
                <w:lang w:val="hy-AM"/>
              </w:rPr>
              <w:t>գործունեությունը,</w:t>
            </w:r>
          </w:p>
          <w:p w:rsidR="00530B14" w:rsidRPr="0053423A" w:rsidRDefault="00530B14" w:rsidP="001F6D5D">
            <w:pPr>
              <w:pStyle w:val="ListParagraph"/>
              <w:numPr>
                <w:ilvl w:val="0"/>
                <w:numId w:val="120"/>
              </w:numPr>
              <w:tabs>
                <w:tab w:val="left" w:pos="900"/>
                <w:tab w:val="left" w:pos="1080"/>
              </w:tabs>
              <w:spacing w:line="276" w:lineRule="auto"/>
              <w:ind w:left="0" w:firstLine="630"/>
              <w:jc w:val="both"/>
              <w:rPr>
                <w:lang w:val="hy-AM"/>
              </w:rPr>
            </w:pPr>
            <w:r w:rsidRPr="0053423A">
              <w:rPr>
                <w:rFonts w:cs="Sylfaen"/>
                <w:lang w:val="hy-AM"/>
              </w:rPr>
              <w:t>ագրոտուրիզմի</w:t>
            </w:r>
            <w:r w:rsidRPr="0053423A">
              <w:rPr>
                <w:rFonts w:cs="Arial Armenian"/>
                <w:lang w:val="hy-AM"/>
              </w:rPr>
              <w:t xml:space="preserve"> </w:t>
            </w:r>
            <w:r w:rsidRPr="0053423A">
              <w:rPr>
                <w:rFonts w:cs="Sylfaen"/>
                <w:lang w:val="hy-AM"/>
              </w:rPr>
              <w:t>զարգացման</w:t>
            </w:r>
            <w:r w:rsidRPr="0053423A">
              <w:rPr>
                <w:rFonts w:cs="Arial Armenian"/>
                <w:lang w:val="hy-AM"/>
              </w:rPr>
              <w:t xml:space="preserve"> </w:t>
            </w:r>
            <w:r w:rsidRPr="0053423A">
              <w:rPr>
                <w:rFonts w:cs="Sylfaen"/>
                <w:lang w:val="hy-AM"/>
              </w:rPr>
              <w:t>ծրագրերի</w:t>
            </w:r>
            <w:r w:rsidRPr="0053423A">
              <w:rPr>
                <w:rFonts w:cs="Arial Armenian"/>
                <w:lang w:val="hy-AM"/>
              </w:rPr>
              <w:t xml:space="preserve"> </w:t>
            </w:r>
            <w:r w:rsidRPr="0053423A">
              <w:rPr>
                <w:rFonts w:cs="Sylfaen"/>
                <w:lang w:val="hy-AM"/>
              </w:rPr>
              <w:t>մշակումը</w:t>
            </w:r>
            <w:r w:rsidRPr="0053423A">
              <w:rPr>
                <w:rFonts w:cs="Arial Armenian"/>
                <w:lang w:val="hy-AM"/>
              </w:rPr>
              <w:t xml:space="preserve"> </w:t>
            </w:r>
            <w:r w:rsidRPr="0053423A">
              <w:rPr>
                <w:rFonts w:cs="Sylfaen"/>
                <w:lang w:val="hy-AM"/>
              </w:rPr>
              <w:t>և</w:t>
            </w:r>
            <w:r w:rsidRPr="0053423A">
              <w:rPr>
                <w:rFonts w:cs="Arial Armenian"/>
                <w:lang w:val="hy-AM"/>
              </w:rPr>
              <w:t xml:space="preserve"> </w:t>
            </w:r>
            <w:r w:rsidRPr="0053423A">
              <w:rPr>
                <w:rFonts w:cs="Sylfaen"/>
                <w:lang w:val="hy-AM"/>
              </w:rPr>
              <w:t>իրականացման</w:t>
            </w:r>
            <w:r w:rsidRPr="0053423A">
              <w:rPr>
                <w:rFonts w:cs="Arial Armenian"/>
                <w:lang w:val="hy-AM"/>
              </w:rPr>
              <w:t xml:space="preserve"> </w:t>
            </w:r>
            <w:r w:rsidRPr="0053423A">
              <w:rPr>
                <w:rFonts w:cs="Sylfaen"/>
                <w:lang w:val="hy-AM"/>
              </w:rPr>
              <w:t>տեխ</w:t>
            </w:r>
            <w:r w:rsidRPr="0053423A">
              <w:rPr>
                <w:rFonts w:cs="Arial Armenian"/>
                <w:lang w:val="hy-AM"/>
              </w:rPr>
              <w:softHyphen/>
            </w:r>
            <w:r w:rsidRPr="0053423A">
              <w:rPr>
                <w:rFonts w:cs="Sylfaen"/>
                <w:lang w:val="hy-AM"/>
              </w:rPr>
              <w:t>նի</w:t>
            </w:r>
            <w:r w:rsidRPr="0053423A">
              <w:rPr>
                <w:rFonts w:cs="Arial Armenian"/>
                <w:lang w:val="hy-AM"/>
              </w:rPr>
              <w:softHyphen/>
            </w:r>
            <w:r w:rsidRPr="0053423A">
              <w:rPr>
                <w:rFonts w:cs="Sylfaen"/>
                <w:lang w:val="hy-AM"/>
              </w:rPr>
              <w:t>կական</w:t>
            </w:r>
            <w:r w:rsidRPr="0053423A">
              <w:rPr>
                <w:rFonts w:cs="Arial Armenian"/>
                <w:lang w:val="hy-AM"/>
              </w:rPr>
              <w:t xml:space="preserve"> </w:t>
            </w:r>
            <w:r w:rsidRPr="0053423A">
              <w:rPr>
                <w:rFonts w:cs="Sylfaen"/>
                <w:lang w:val="hy-AM"/>
              </w:rPr>
              <w:t>աջակցությունը,</w:t>
            </w:r>
          </w:p>
          <w:p w:rsidR="00530B14" w:rsidRPr="0053423A" w:rsidRDefault="00530B14" w:rsidP="001F6D5D">
            <w:pPr>
              <w:pStyle w:val="ListParagraph"/>
              <w:numPr>
                <w:ilvl w:val="0"/>
                <w:numId w:val="120"/>
              </w:numPr>
              <w:tabs>
                <w:tab w:val="left" w:pos="900"/>
                <w:tab w:val="left" w:pos="1080"/>
              </w:tabs>
              <w:spacing w:line="276" w:lineRule="auto"/>
              <w:ind w:left="0" w:firstLine="630"/>
              <w:jc w:val="both"/>
              <w:rPr>
                <w:lang w:val="hy-AM"/>
              </w:rPr>
            </w:pPr>
            <w:r w:rsidRPr="0053423A">
              <w:rPr>
                <w:rFonts w:cs="Sylfaen"/>
                <w:lang w:val="hy-AM"/>
              </w:rPr>
              <w:t>ոչ</w:t>
            </w:r>
            <w:r w:rsidRPr="0053423A">
              <w:rPr>
                <w:rFonts w:cs="Arial Armenian"/>
                <w:lang w:val="hy-AM"/>
              </w:rPr>
              <w:t xml:space="preserve"> </w:t>
            </w:r>
            <w:r w:rsidRPr="0053423A">
              <w:rPr>
                <w:rFonts w:cs="Sylfaen"/>
                <w:lang w:val="hy-AM"/>
              </w:rPr>
              <w:t>գյուղատնտեսական</w:t>
            </w:r>
            <w:r w:rsidRPr="0053423A">
              <w:rPr>
                <w:rFonts w:cs="Arial Armenian"/>
                <w:lang w:val="hy-AM"/>
              </w:rPr>
              <w:t xml:space="preserve"> </w:t>
            </w:r>
            <w:r w:rsidRPr="0053423A">
              <w:rPr>
                <w:rFonts w:cs="Sylfaen"/>
                <w:lang w:val="hy-AM"/>
              </w:rPr>
              <w:t>զբաղվածության</w:t>
            </w:r>
            <w:r w:rsidRPr="0053423A">
              <w:rPr>
                <w:rFonts w:cs="Arial Armenian"/>
                <w:lang w:val="hy-AM"/>
              </w:rPr>
              <w:t xml:space="preserve"> </w:t>
            </w:r>
            <w:r w:rsidRPr="0053423A">
              <w:rPr>
                <w:rFonts w:cs="Sylfaen"/>
                <w:lang w:val="hy-AM"/>
              </w:rPr>
              <w:t>նպատակով</w:t>
            </w:r>
            <w:r w:rsidRPr="0053423A">
              <w:rPr>
                <w:rFonts w:cs="Arial Armenian"/>
                <w:lang w:val="hy-AM"/>
              </w:rPr>
              <w:t xml:space="preserve"> </w:t>
            </w:r>
            <w:r w:rsidRPr="0053423A">
              <w:rPr>
                <w:rFonts w:cs="Sylfaen"/>
                <w:lang w:val="hy-AM"/>
              </w:rPr>
              <w:t>փոքր</w:t>
            </w:r>
            <w:r w:rsidRPr="0053423A">
              <w:rPr>
                <w:rFonts w:cs="Arial Armenian"/>
                <w:lang w:val="hy-AM"/>
              </w:rPr>
              <w:t xml:space="preserve"> </w:t>
            </w:r>
            <w:r w:rsidRPr="0053423A">
              <w:rPr>
                <w:rFonts w:cs="Sylfaen"/>
                <w:lang w:val="hy-AM"/>
              </w:rPr>
              <w:t>և</w:t>
            </w:r>
            <w:r w:rsidRPr="0053423A">
              <w:rPr>
                <w:rFonts w:cs="Arial Armenian"/>
                <w:lang w:val="hy-AM"/>
              </w:rPr>
              <w:t xml:space="preserve"> </w:t>
            </w:r>
            <w:r w:rsidRPr="0053423A">
              <w:rPr>
                <w:rFonts w:cs="Sylfaen"/>
                <w:lang w:val="hy-AM"/>
              </w:rPr>
              <w:t>միջին</w:t>
            </w:r>
            <w:r w:rsidRPr="0053423A">
              <w:rPr>
                <w:rFonts w:cs="Arial Armenian"/>
                <w:lang w:val="hy-AM"/>
              </w:rPr>
              <w:t xml:space="preserve"> </w:t>
            </w:r>
            <w:r w:rsidRPr="0053423A">
              <w:rPr>
                <w:rFonts w:cs="Sylfaen"/>
                <w:lang w:val="hy-AM"/>
              </w:rPr>
              <w:t>ձեռնար</w:t>
            </w:r>
            <w:r w:rsidRPr="0053423A">
              <w:rPr>
                <w:rFonts w:cs="Arial Armenian"/>
                <w:lang w:val="hy-AM"/>
              </w:rPr>
              <w:softHyphen/>
            </w:r>
            <w:r w:rsidRPr="0053423A">
              <w:rPr>
                <w:rFonts w:cs="Sylfaen"/>
                <w:lang w:val="hy-AM"/>
              </w:rPr>
              <w:t>կա</w:t>
            </w:r>
            <w:r w:rsidRPr="0053423A">
              <w:rPr>
                <w:rFonts w:cs="Arial Armenian"/>
                <w:lang w:val="hy-AM"/>
              </w:rPr>
              <w:softHyphen/>
            </w:r>
            <w:r w:rsidRPr="0053423A">
              <w:rPr>
                <w:rFonts w:cs="Sylfaen"/>
                <w:lang w:val="hy-AM"/>
              </w:rPr>
              <w:t>տի</w:t>
            </w:r>
            <w:r w:rsidRPr="0053423A">
              <w:rPr>
                <w:rFonts w:cs="Arial Armenian"/>
                <w:lang w:val="hy-AM"/>
              </w:rPr>
              <w:softHyphen/>
            </w:r>
            <w:r w:rsidRPr="0053423A">
              <w:rPr>
                <w:rFonts w:cs="Sylfaen"/>
                <w:lang w:val="hy-AM"/>
              </w:rPr>
              <w:t>րության</w:t>
            </w:r>
            <w:r w:rsidRPr="0053423A">
              <w:rPr>
                <w:rFonts w:cs="Arial Armenian"/>
                <w:lang w:val="hy-AM"/>
              </w:rPr>
              <w:t xml:space="preserve"> </w:t>
            </w:r>
            <w:r w:rsidRPr="0053423A">
              <w:rPr>
                <w:rFonts w:cs="Sylfaen"/>
                <w:lang w:val="hy-AM"/>
              </w:rPr>
              <w:t>զարգացումը,</w:t>
            </w:r>
          </w:p>
          <w:p w:rsidR="00530B14" w:rsidRPr="0053423A" w:rsidRDefault="00530B14" w:rsidP="001F6D5D">
            <w:pPr>
              <w:pStyle w:val="ListParagraph"/>
              <w:numPr>
                <w:ilvl w:val="0"/>
                <w:numId w:val="120"/>
              </w:numPr>
              <w:tabs>
                <w:tab w:val="left" w:pos="900"/>
                <w:tab w:val="left" w:pos="1080"/>
              </w:tabs>
              <w:spacing w:line="276" w:lineRule="auto"/>
              <w:ind w:left="0" w:firstLine="630"/>
              <w:jc w:val="both"/>
              <w:rPr>
                <w:lang w:val="hy-AM"/>
              </w:rPr>
            </w:pPr>
            <w:r w:rsidRPr="0053423A">
              <w:rPr>
                <w:rFonts w:cs="Sylfaen"/>
                <w:lang w:val="hy-AM"/>
              </w:rPr>
              <w:t>գյուղաբնակ</w:t>
            </w:r>
            <w:r w:rsidRPr="0053423A">
              <w:rPr>
                <w:rFonts w:cs="Arial Armenian"/>
                <w:lang w:val="hy-AM"/>
              </w:rPr>
              <w:t xml:space="preserve"> </w:t>
            </w:r>
            <w:r w:rsidRPr="0053423A">
              <w:rPr>
                <w:rFonts w:cs="Sylfaen"/>
                <w:lang w:val="hy-AM"/>
              </w:rPr>
              <w:t>կանանց</w:t>
            </w:r>
            <w:r w:rsidRPr="0053423A">
              <w:rPr>
                <w:rFonts w:cs="Arial Armenian"/>
                <w:lang w:val="hy-AM"/>
              </w:rPr>
              <w:t xml:space="preserve"> և երիտասարդության </w:t>
            </w:r>
            <w:r w:rsidRPr="0053423A">
              <w:rPr>
                <w:rFonts w:cs="Sylfaen"/>
                <w:lang w:val="hy-AM"/>
              </w:rPr>
              <w:t>գործարար</w:t>
            </w:r>
            <w:r w:rsidRPr="0053423A">
              <w:rPr>
                <w:rFonts w:cs="Arial Armenian"/>
                <w:lang w:val="hy-AM"/>
              </w:rPr>
              <w:t xml:space="preserve"> </w:t>
            </w:r>
            <w:r w:rsidRPr="0053423A">
              <w:rPr>
                <w:rFonts w:cs="Sylfaen"/>
                <w:lang w:val="hy-AM"/>
              </w:rPr>
              <w:t>ակտիվության</w:t>
            </w:r>
            <w:r w:rsidRPr="0053423A">
              <w:rPr>
                <w:rFonts w:cs="Arial Armenian"/>
                <w:lang w:val="hy-AM"/>
              </w:rPr>
              <w:t xml:space="preserve"> </w:t>
            </w:r>
            <w:r w:rsidRPr="0053423A">
              <w:rPr>
                <w:rFonts w:cs="Sylfaen"/>
                <w:lang w:val="hy-AM"/>
              </w:rPr>
              <w:t>բարձրաց</w:t>
            </w:r>
            <w:r w:rsidRPr="0053423A">
              <w:rPr>
                <w:rFonts w:cs="Sylfaen"/>
                <w:lang w:val="hy-AM"/>
              </w:rPr>
              <w:softHyphen/>
              <w:t>ման</w:t>
            </w:r>
            <w:r w:rsidRPr="0053423A">
              <w:rPr>
                <w:rFonts w:cs="Arial Armenian"/>
                <w:lang w:val="hy-AM"/>
              </w:rPr>
              <w:t xml:space="preserve"> </w:t>
            </w:r>
            <w:r w:rsidRPr="0053423A">
              <w:rPr>
                <w:rFonts w:cs="Sylfaen"/>
                <w:lang w:val="hy-AM"/>
              </w:rPr>
              <w:t>նպատակային և այլ</w:t>
            </w:r>
            <w:r w:rsidRPr="0053423A">
              <w:rPr>
                <w:rFonts w:cs="Arial Armenian"/>
                <w:lang w:val="hy-AM"/>
              </w:rPr>
              <w:t xml:space="preserve"> </w:t>
            </w:r>
            <w:r w:rsidRPr="0053423A">
              <w:rPr>
                <w:rFonts w:cs="Sylfaen"/>
                <w:lang w:val="hy-AM"/>
              </w:rPr>
              <w:t>ծրա</w:t>
            </w:r>
            <w:r w:rsidRPr="0053423A">
              <w:rPr>
                <w:rFonts w:cs="Arial Armenian"/>
                <w:lang w:val="hy-AM"/>
              </w:rPr>
              <w:softHyphen/>
            </w:r>
            <w:r w:rsidRPr="0053423A">
              <w:rPr>
                <w:rFonts w:cs="Sylfaen"/>
                <w:lang w:val="hy-AM"/>
              </w:rPr>
              <w:t>գրե</w:t>
            </w:r>
            <w:r w:rsidRPr="0053423A">
              <w:rPr>
                <w:rFonts w:cs="Arial Armenian"/>
                <w:lang w:val="hy-AM"/>
              </w:rPr>
              <w:softHyphen/>
            </w:r>
            <w:r w:rsidRPr="0053423A">
              <w:rPr>
                <w:rFonts w:cs="Sylfaen"/>
                <w:lang w:val="hy-AM"/>
              </w:rPr>
              <w:t>րի</w:t>
            </w:r>
            <w:r w:rsidRPr="0053423A">
              <w:rPr>
                <w:rFonts w:cs="Arial Armenian"/>
                <w:lang w:val="hy-AM"/>
              </w:rPr>
              <w:t xml:space="preserve"> </w:t>
            </w:r>
            <w:r w:rsidRPr="0053423A">
              <w:rPr>
                <w:rFonts w:cs="Sylfaen"/>
                <w:lang w:val="hy-AM"/>
              </w:rPr>
              <w:t>իրականացումը։</w:t>
            </w:r>
          </w:p>
          <w:p w:rsidR="00530B14" w:rsidRPr="0053423A" w:rsidRDefault="00530B14" w:rsidP="00A67858">
            <w:pPr>
              <w:spacing w:line="276" w:lineRule="auto"/>
              <w:ind w:firstLine="810"/>
              <w:jc w:val="both"/>
              <w:rPr>
                <w:rFonts w:cs="Sylfaen"/>
                <w:b/>
                <w:lang w:val="it-IT" w:eastAsia="en-GB"/>
              </w:rPr>
            </w:pPr>
            <w:r w:rsidRPr="0053423A">
              <w:rPr>
                <w:rFonts w:cs="Sylfaen"/>
                <w:b/>
                <w:lang w:val="it-IT" w:eastAsia="en-GB"/>
              </w:rPr>
              <w:t xml:space="preserve">1.2  </w:t>
            </w:r>
            <w:r w:rsidRPr="0053423A">
              <w:rPr>
                <w:rFonts w:cs="Sylfaen"/>
                <w:b/>
                <w:lang w:val="hy-AM" w:eastAsia="en-GB"/>
              </w:rPr>
              <w:t>Առկա</w:t>
            </w:r>
            <w:r w:rsidRPr="0053423A">
              <w:rPr>
                <w:rFonts w:cs="Calibri"/>
                <w:b/>
                <w:lang w:val="hy-AM" w:eastAsia="en-GB"/>
              </w:rPr>
              <w:t xml:space="preserve"> </w:t>
            </w:r>
            <w:r w:rsidRPr="0053423A">
              <w:rPr>
                <w:rFonts w:cs="Sylfaen"/>
                <w:b/>
                <w:lang w:val="hy-AM" w:eastAsia="en-GB"/>
              </w:rPr>
              <w:t>խնդիրների</w:t>
            </w:r>
            <w:r w:rsidRPr="0053423A">
              <w:rPr>
                <w:rFonts w:cs="Calibri"/>
                <w:b/>
                <w:lang w:val="hy-AM" w:eastAsia="en-GB"/>
              </w:rPr>
              <w:t xml:space="preserve"> </w:t>
            </w:r>
            <w:r w:rsidRPr="0053423A">
              <w:rPr>
                <w:rFonts w:cs="Sylfaen"/>
                <w:b/>
                <w:lang w:val="hy-AM" w:eastAsia="en-GB"/>
              </w:rPr>
              <w:t>առաջարկվող</w:t>
            </w:r>
            <w:r w:rsidRPr="0053423A">
              <w:rPr>
                <w:rFonts w:cs="Calibri"/>
                <w:b/>
                <w:lang w:val="hy-AM" w:eastAsia="en-GB"/>
              </w:rPr>
              <w:t xml:space="preserve"> </w:t>
            </w:r>
            <w:r w:rsidRPr="0053423A">
              <w:rPr>
                <w:rFonts w:cs="Sylfaen"/>
                <w:b/>
                <w:lang w:val="hy-AM" w:eastAsia="en-GB"/>
              </w:rPr>
              <w:t>լուծումները</w:t>
            </w:r>
          </w:p>
          <w:p w:rsidR="00530B14" w:rsidRPr="0053423A" w:rsidRDefault="00530B14" w:rsidP="00A67858">
            <w:pPr>
              <w:spacing w:line="276" w:lineRule="auto"/>
              <w:jc w:val="both"/>
              <w:rPr>
                <w:lang w:val="hy-AM"/>
              </w:rPr>
            </w:pPr>
            <w:r w:rsidRPr="0053423A">
              <w:rPr>
                <w:lang w:val="hy-AM"/>
              </w:rPr>
              <w:tab/>
              <w:t>Միջոցառման իրականացման ընթացքում հիմնական շեշտը դրվելու է տարա</w:t>
            </w:r>
            <w:r w:rsidRPr="0053423A">
              <w:rPr>
                <w:lang w:val="hy-AM"/>
              </w:rPr>
              <w:softHyphen/>
              <w:t>ծաշրջանային և տեղական մակարդակներով առկա հնարավորությունների ուսումնա</w:t>
            </w:r>
            <w:r w:rsidRPr="0053423A">
              <w:rPr>
                <w:lang w:val="hy-AM"/>
              </w:rPr>
              <w:softHyphen/>
              <w:t>սիրման, նոր նախաձեռնությունների բացահայտման, գյուղական բնակավայրերում ոչ գյուղատնտեսական գործունեու</w:t>
            </w:r>
            <w:r w:rsidRPr="0053423A">
              <w:rPr>
                <w:lang w:val="hy-AM"/>
              </w:rPr>
              <w:softHyphen/>
              <w:t>թյամբ զբաղվելու վերաբերյալ իրազեկվածության մակար</w:t>
            </w:r>
            <w:r w:rsidRPr="0053423A">
              <w:rPr>
                <w:lang w:val="hy-AM"/>
              </w:rPr>
              <w:softHyphen/>
              <w:t>դակի բարձրացման և անհրաժեշտ տեղեկատվության տարածման մեխանիզմ</w:t>
            </w:r>
            <w:r w:rsidRPr="0053423A">
              <w:rPr>
                <w:lang w:val="hy-AM"/>
              </w:rPr>
              <w:softHyphen/>
              <w:t>ների մշակման վրա։ Նախադրյալներ են ստեղծվելու ոչ գյուղատնտեսական գործու</w:t>
            </w:r>
            <w:r w:rsidRPr="0053423A">
              <w:rPr>
                <w:lang w:val="hy-AM"/>
              </w:rPr>
              <w:softHyphen/>
              <w:t>նեությամբ զբաղվելու վերաբերյալ հայեցակարգի մշակման համար։</w:t>
            </w:r>
          </w:p>
          <w:p w:rsidR="00530B14" w:rsidRPr="0053423A" w:rsidRDefault="00530B14" w:rsidP="00A67858">
            <w:pPr>
              <w:spacing w:line="276" w:lineRule="auto"/>
              <w:jc w:val="both"/>
              <w:rPr>
                <w:rFonts w:eastAsia="Calibri"/>
                <w:b/>
                <w:lang w:val="hy-AM"/>
              </w:rPr>
            </w:pPr>
            <w:r w:rsidRPr="0053423A">
              <w:rPr>
                <w:rFonts w:eastAsia="Calibri" w:cs="Sylfaen"/>
                <w:b/>
                <w:lang w:val="hy-AM"/>
              </w:rPr>
              <w:tab/>
              <w:t>2. Միջոցառման</w:t>
            </w:r>
            <w:r w:rsidRPr="0053423A">
              <w:rPr>
                <w:rFonts w:eastAsia="Calibri"/>
                <w:b/>
                <w:lang w:val="hy-AM"/>
              </w:rPr>
              <w:t xml:space="preserve"> իրականացումից ակնկալվող արդյունքը</w:t>
            </w:r>
          </w:p>
          <w:p w:rsidR="00530B14" w:rsidRPr="0053423A" w:rsidRDefault="00530B14" w:rsidP="00A67858">
            <w:pPr>
              <w:spacing w:line="276" w:lineRule="auto"/>
              <w:jc w:val="both"/>
              <w:rPr>
                <w:lang w:val="hy-AM"/>
              </w:rPr>
            </w:pPr>
            <w:r w:rsidRPr="0053423A">
              <w:rPr>
                <w:rFonts w:cs="Sylfaen"/>
                <w:lang w:val="hy-AM"/>
              </w:rPr>
              <w:tab/>
              <w:t>Գյուղական բնակչության կենսամակարդակի բարելավումը, գյուղական հա</w:t>
            </w:r>
            <w:r w:rsidRPr="0053423A">
              <w:rPr>
                <w:rFonts w:cs="Sylfaen"/>
                <w:lang w:val="hy-AM"/>
              </w:rPr>
              <w:softHyphen/>
              <w:t>մայնք</w:t>
            </w:r>
            <w:r w:rsidRPr="0053423A">
              <w:rPr>
                <w:rFonts w:cs="Sylfaen"/>
                <w:lang w:val="hy-AM"/>
              </w:rPr>
              <w:softHyphen/>
            </w:r>
            <w:r w:rsidRPr="0053423A">
              <w:rPr>
                <w:rFonts w:cs="Sylfaen"/>
                <w:lang w:val="hy-AM"/>
              </w:rPr>
              <w:softHyphen/>
              <w:t>ների ռեսուրսային ներուժի օգտագործման մակարդակի բարձրացումը,</w:t>
            </w:r>
            <w:r w:rsidRPr="0053423A">
              <w:rPr>
                <w:rFonts w:cs="Arial"/>
                <w:lang w:val="hy-AM"/>
              </w:rPr>
              <w:t xml:space="preserve"> </w:t>
            </w:r>
            <w:r w:rsidRPr="0053423A">
              <w:rPr>
                <w:rFonts w:cs="Sylfaen"/>
                <w:lang w:val="hy-AM"/>
              </w:rPr>
              <w:t>հա</w:t>
            </w:r>
            <w:r w:rsidRPr="0053423A">
              <w:rPr>
                <w:rFonts w:cs="Sylfaen"/>
                <w:lang w:val="hy-AM"/>
              </w:rPr>
              <w:softHyphen/>
              <w:t>մայնքներում աշխատունակ բնակչության զբաղվածության և 1 շնչին ընկնող եկամուտի մակարդակի փոփոխությունը,</w:t>
            </w:r>
            <w:r w:rsidRPr="0053423A">
              <w:rPr>
                <w:rFonts w:cs="Arial"/>
                <w:lang w:val="hy-AM"/>
              </w:rPr>
              <w:t xml:space="preserve"> </w:t>
            </w:r>
            <w:r w:rsidRPr="0053423A">
              <w:rPr>
                <w:rFonts w:cs="Sylfaen"/>
                <w:lang w:val="hy-AM"/>
              </w:rPr>
              <w:t>աղքատության մակարդակի կրճատումը։</w:t>
            </w:r>
          </w:p>
          <w:p w:rsidR="00530B14" w:rsidRPr="0053423A" w:rsidRDefault="00530B14" w:rsidP="00A67858">
            <w:pPr>
              <w:spacing w:line="276" w:lineRule="auto"/>
              <w:jc w:val="both"/>
              <w:rPr>
                <w:b/>
                <w:lang w:val="hy-AM"/>
              </w:rPr>
            </w:pPr>
          </w:p>
          <w:p w:rsidR="00530B14" w:rsidRPr="0053423A" w:rsidRDefault="00530B14" w:rsidP="00A67858">
            <w:pPr>
              <w:spacing w:line="276" w:lineRule="auto"/>
              <w:jc w:val="center"/>
              <w:rPr>
                <w:b/>
                <w:u w:val="single"/>
                <w:lang w:val="hy-AM"/>
              </w:rPr>
            </w:pPr>
            <w:r w:rsidRPr="0053423A">
              <w:rPr>
                <w:b/>
                <w:u w:val="single"/>
                <w:lang w:val="hy-AM"/>
              </w:rPr>
              <w:t>11.2 Գյուղական բնակավայրերում գինու զբոսաշրջության զարգացմանն ուղղված միջոցառումների իրականացում</w:t>
            </w:r>
          </w:p>
          <w:p w:rsidR="00530B14" w:rsidRPr="0053423A" w:rsidRDefault="00530B14" w:rsidP="00A67858">
            <w:pPr>
              <w:spacing w:line="276" w:lineRule="auto"/>
              <w:jc w:val="center"/>
              <w:rPr>
                <w:b/>
                <w:lang w:val="hy-AM"/>
              </w:rPr>
            </w:pPr>
          </w:p>
          <w:p w:rsidR="00530B14" w:rsidRPr="0053423A" w:rsidRDefault="00530B14" w:rsidP="001F6D5D">
            <w:pPr>
              <w:pStyle w:val="ListParagraph"/>
              <w:numPr>
                <w:ilvl w:val="0"/>
                <w:numId w:val="123"/>
              </w:numPr>
              <w:spacing w:line="276" w:lineRule="auto"/>
              <w:jc w:val="both"/>
              <w:rPr>
                <w:rFonts w:cs="Arial"/>
                <w:lang w:val="hy-AM" w:eastAsia="hy-AM"/>
              </w:rPr>
            </w:pPr>
            <w:r w:rsidRPr="0053423A">
              <w:rPr>
                <w:rFonts w:cs="Arial"/>
                <w:b/>
                <w:lang w:val="hy-AM" w:eastAsia="hy-AM"/>
              </w:rPr>
              <w:t>Միջոցառման իրակացման անհրաժեշտությունը և նպատակը</w:t>
            </w:r>
          </w:p>
          <w:p w:rsidR="00530B14" w:rsidRPr="0053423A" w:rsidRDefault="00530B14" w:rsidP="00A67858">
            <w:pPr>
              <w:spacing w:line="276" w:lineRule="auto"/>
              <w:jc w:val="both"/>
              <w:rPr>
                <w:rFonts w:eastAsia="Calibri"/>
                <w:lang w:val="hy-AM"/>
              </w:rPr>
            </w:pPr>
            <w:r w:rsidRPr="0053423A">
              <w:rPr>
                <w:rFonts w:cs="Arial"/>
                <w:lang w:val="hy-AM" w:eastAsia="hy-AM"/>
              </w:rPr>
              <w:tab/>
            </w:r>
            <w:r w:rsidRPr="0053423A">
              <w:rPr>
                <w:rFonts w:eastAsia="Calibri"/>
                <w:lang w:val="hy-AM"/>
              </w:rPr>
              <w:t xml:space="preserve">Միջոցառման կատարման անհրաժեշտությունը բխում է </w:t>
            </w:r>
            <w:r w:rsidRPr="0053423A">
              <w:rPr>
                <w:rFonts w:cs="Sylfaen"/>
                <w:lang w:val="hy-AM"/>
              </w:rPr>
              <w:t>ՀՀ</w:t>
            </w:r>
            <w:r w:rsidRPr="0053423A">
              <w:rPr>
                <w:lang w:val="hy-AM"/>
              </w:rPr>
              <w:t xml:space="preserve"> </w:t>
            </w:r>
            <w:r w:rsidRPr="0053423A">
              <w:rPr>
                <w:rFonts w:cs="Sylfaen"/>
                <w:lang w:val="hy-AM"/>
              </w:rPr>
              <w:t>ԱԺ</w:t>
            </w:r>
            <w:r w:rsidRPr="0053423A">
              <w:rPr>
                <w:lang w:val="hy-AM"/>
              </w:rPr>
              <w:t xml:space="preserve"> 2019 </w:t>
            </w:r>
            <w:r w:rsidRPr="0053423A">
              <w:rPr>
                <w:rFonts w:cs="Sylfaen"/>
                <w:lang w:val="hy-AM"/>
              </w:rPr>
              <w:t>թվականի</w:t>
            </w:r>
            <w:r w:rsidRPr="0053423A">
              <w:rPr>
                <w:lang w:val="hy-AM"/>
              </w:rPr>
              <w:t xml:space="preserve"> </w:t>
            </w:r>
            <w:r w:rsidRPr="0053423A">
              <w:rPr>
                <w:rFonts w:cs="Sylfaen"/>
                <w:lang w:val="hy-AM"/>
              </w:rPr>
              <w:t>փետրվարի</w:t>
            </w:r>
            <w:r w:rsidRPr="0053423A">
              <w:rPr>
                <w:lang w:val="hy-AM"/>
              </w:rPr>
              <w:t xml:space="preserve"> 14-</w:t>
            </w:r>
            <w:r w:rsidRPr="0053423A">
              <w:rPr>
                <w:rFonts w:cs="Sylfaen"/>
                <w:lang w:val="hy-AM"/>
              </w:rPr>
              <w:t>ի</w:t>
            </w:r>
            <w:r w:rsidRPr="0053423A">
              <w:rPr>
                <w:lang w:val="hy-AM"/>
              </w:rPr>
              <w:t xml:space="preserve"> </w:t>
            </w:r>
            <w:r w:rsidRPr="0053423A">
              <w:rPr>
                <w:rFonts w:cs="Sylfaen"/>
                <w:lang w:val="hy-AM"/>
              </w:rPr>
              <w:t>ԱԺՈ</w:t>
            </w:r>
            <w:r w:rsidRPr="0053423A">
              <w:rPr>
                <w:lang w:val="hy-AM"/>
              </w:rPr>
              <w:t>-002-</w:t>
            </w:r>
            <w:r w:rsidRPr="0053423A">
              <w:rPr>
                <w:rFonts w:cs="Sylfaen"/>
                <w:lang w:val="hy-AM"/>
              </w:rPr>
              <w:t>Ն</w:t>
            </w:r>
            <w:r w:rsidRPr="0053423A">
              <w:rPr>
                <w:lang w:val="hy-AM"/>
              </w:rPr>
              <w:t xml:space="preserve"> </w:t>
            </w:r>
            <w:r w:rsidRPr="0053423A">
              <w:rPr>
                <w:rFonts w:cs="Sylfaen"/>
                <w:lang w:val="hy-AM"/>
              </w:rPr>
              <w:t>որոշմամբ</w:t>
            </w:r>
            <w:r w:rsidRPr="0053423A">
              <w:rPr>
                <w:lang w:val="hy-AM"/>
              </w:rPr>
              <w:t xml:space="preserve"> </w:t>
            </w:r>
            <w:r w:rsidRPr="0053423A">
              <w:rPr>
                <w:rFonts w:cs="Sylfaen"/>
                <w:lang w:val="hy-AM"/>
              </w:rPr>
              <w:t>հավանության</w:t>
            </w:r>
            <w:r w:rsidRPr="0053423A">
              <w:rPr>
                <w:lang w:val="hy-AM"/>
              </w:rPr>
              <w:t xml:space="preserve"> </w:t>
            </w:r>
            <w:r w:rsidRPr="0053423A">
              <w:rPr>
                <w:rFonts w:cs="Sylfaen"/>
                <w:lang w:val="hy-AM"/>
              </w:rPr>
              <w:t>արժանացած</w:t>
            </w:r>
            <w:r w:rsidRPr="0053423A">
              <w:rPr>
                <w:lang w:val="hy-AM"/>
              </w:rPr>
              <w:t xml:space="preserve"> </w:t>
            </w:r>
            <w:r w:rsidRPr="0053423A">
              <w:rPr>
                <w:rFonts w:cs="Sylfaen"/>
                <w:lang w:val="hy-AM"/>
              </w:rPr>
              <w:t>ՀՀ</w:t>
            </w:r>
            <w:r w:rsidRPr="0053423A">
              <w:rPr>
                <w:lang w:val="hy-AM"/>
              </w:rPr>
              <w:t xml:space="preserve"> </w:t>
            </w:r>
            <w:r w:rsidRPr="0053423A">
              <w:rPr>
                <w:rFonts w:cs="Sylfaen"/>
                <w:lang w:val="hy-AM"/>
              </w:rPr>
              <w:t>կառավա</w:t>
            </w:r>
            <w:r w:rsidRPr="0053423A">
              <w:rPr>
                <w:rFonts w:cs="Sylfaen"/>
                <w:lang w:val="hy-AM"/>
              </w:rPr>
              <w:softHyphen/>
              <w:t>րության</w:t>
            </w:r>
            <w:r w:rsidRPr="0053423A">
              <w:rPr>
                <w:lang w:val="hy-AM"/>
              </w:rPr>
              <w:t xml:space="preserve"> </w:t>
            </w:r>
            <w:r w:rsidRPr="0053423A">
              <w:rPr>
                <w:rFonts w:cs="Sylfaen"/>
                <w:lang w:val="hy-AM"/>
              </w:rPr>
              <w:t>ծրագրից</w:t>
            </w:r>
            <w:r w:rsidRPr="0053423A">
              <w:rPr>
                <w:lang w:val="hy-AM"/>
              </w:rPr>
              <w:t xml:space="preserve"> </w:t>
            </w:r>
            <w:r w:rsidRPr="0053423A">
              <w:rPr>
                <w:lang w:val="af-ZA"/>
              </w:rPr>
              <w:t>(</w:t>
            </w:r>
            <w:r w:rsidRPr="0053423A">
              <w:rPr>
                <w:lang w:val="hy-AM"/>
              </w:rPr>
              <w:t xml:space="preserve">5.10. </w:t>
            </w:r>
            <w:r w:rsidRPr="0053423A">
              <w:rPr>
                <w:rFonts w:cs="Sylfaen"/>
                <w:lang w:val="hy-AM"/>
              </w:rPr>
              <w:t xml:space="preserve">Գյուղատնտեսություն բաժին, </w:t>
            </w:r>
            <w:r w:rsidRPr="0053423A">
              <w:rPr>
                <w:lang w:val="it-IT"/>
              </w:rPr>
              <w:t>7-</w:t>
            </w:r>
            <w:r w:rsidRPr="0053423A">
              <w:rPr>
                <w:lang w:val="hy-AM"/>
              </w:rPr>
              <w:t>րդ</w:t>
            </w:r>
            <w:r w:rsidRPr="0053423A">
              <w:rPr>
                <w:lang w:val="it-IT"/>
              </w:rPr>
              <w:t xml:space="preserve"> </w:t>
            </w:r>
            <w:r w:rsidRPr="0053423A">
              <w:rPr>
                <w:lang w:val="hy-AM"/>
              </w:rPr>
              <w:t>պարբերության</w:t>
            </w:r>
            <w:r w:rsidRPr="0053423A">
              <w:rPr>
                <w:lang w:val="it-IT"/>
              </w:rPr>
              <w:t xml:space="preserve"> </w:t>
            </w:r>
            <w:r w:rsidRPr="0053423A">
              <w:rPr>
                <w:lang w:val="hy-AM"/>
              </w:rPr>
              <w:t>5</w:t>
            </w:r>
            <w:r w:rsidRPr="0053423A">
              <w:rPr>
                <w:lang w:val="it-IT"/>
              </w:rPr>
              <w:t>-</w:t>
            </w:r>
            <w:r w:rsidRPr="0053423A">
              <w:rPr>
                <w:lang w:val="hy-AM"/>
              </w:rPr>
              <w:t>րդ</w:t>
            </w:r>
            <w:r w:rsidRPr="0053423A">
              <w:rPr>
                <w:lang w:val="it-IT"/>
              </w:rPr>
              <w:t xml:space="preserve"> </w:t>
            </w:r>
            <w:r w:rsidRPr="0053423A">
              <w:rPr>
                <w:lang w:val="hy-AM"/>
              </w:rPr>
              <w:t xml:space="preserve">դրույթ): </w:t>
            </w:r>
          </w:p>
          <w:p w:rsidR="00530B14" w:rsidRPr="0053423A" w:rsidRDefault="00530B14" w:rsidP="00A67858">
            <w:pPr>
              <w:shd w:val="clear" w:color="auto" w:fill="FFFFFF"/>
              <w:spacing w:line="276" w:lineRule="auto"/>
              <w:jc w:val="both"/>
              <w:rPr>
                <w:rFonts w:cs="Arial"/>
                <w:lang w:val="hy-AM" w:eastAsia="hy-AM"/>
              </w:rPr>
            </w:pPr>
            <w:r w:rsidRPr="0053423A">
              <w:rPr>
                <w:rFonts w:cs="Arial"/>
                <w:lang w:val="hy-AM" w:eastAsia="hy-AM"/>
              </w:rPr>
              <w:tab/>
              <w:t>Հայաստանի գինեգործության ոլորտի զարգացման ռազմավարության կարևոր բաղկացուցիչ մասն է կազմում Հայաստանի գինու տուրիզմի զարգացումը, հետևաբար, ոլորտի զարգացման գործողությունները հնարավոր չէ սահմանափակել միայն հայ</w:t>
            </w:r>
            <w:r w:rsidRPr="0053423A">
              <w:rPr>
                <w:rFonts w:cs="Arial"/>
                <w:lang w:val="hy-AM" w:eastAsia="hy-AM"/>
              </w:rPr>
              <w:softHyphen/>
              <w:t>կական գինու հումքի,  արտադրությամբ և իրացմամբ:</w:t>
            </w:r>
            <w:r w:rsidRPr="0053423A">
              <w:rPr>
                <w:rFonts w:ascii="Calibri" w:hAnsi="Calibri" w:cs="Calibri"/>
                <w:lang w:val="hy-AM" w:eastAsia="hy-AM"/>
              </w:rPr>
              <w:t> </w:t>
            </w:r>
          </w:p>
          <w:p w:rsidR="00530B14" w:rsidRPr="0053423A" w:rsidRDefault="00530B14" w:rsidP="00A67858">
            <w:pPr>
              <w:spacing w:line="276" w:lineRule="auto"/>
              <w:jc w:val="both"/>
              <w:rPr>
                <w:rFonts w:cs="Arial"/>
                <w:lang w:val="hy-AM" w:eastAsia="hy-AM"/>
              </w:rPr>
            </w:pPr>
            <w:r w:rsidRPr="0053423A">
              <w:rPr>
                <w:rFonts w:cs="Arial"/>
                <w:lang w:val="hy-AM" w:eastAsia="hy-AM"/>
              </w:rPr>
              <w:tab/>
              <w:t>Միջոցառման հիմնական նպատակն է աշխարհին Հայաստանը որպես գինեգործության երկիր ներկայացնելը:</w:t>
            </w:r>
          </w:p>
          <w:p w:rsidR="00530B14" w:rsidRPr="0053423A" w:rsidRDefault="00530B14" w:rsidP="00A67858">
            <w:pPr>
              <w:pStyle w:val="ListParagraph"/>
              <w:spacing w:line="276" w:lineRule="auto"/>
              <w:ind w:left="810" w:hanging="450"/>
              <w:jc w:val="both"/>
              <w:rPr>
                <w:rFonts w:cs="Arial"/>
                <w:b/>
                <w:lang w:val="hy-AM" w:eastAsia="hy-AM"/>
              </w:rPr>
            </w:pPr>
            <w:r w:rsidRPr="0053423A">
              <w:rPr>
                <w:rFonts w:cs="Arial"/>
                <w:b/>
                <w:lang w:val="hy-AM" w:eastAsia="hy-AM"/>
              </w:rPr>
              <w:t>1.1.</w:t>
            </w:r>
            <w:r w:rsidRPr="0053423A">
              <w:rPr>
                <w:rFonts w:cs="Arial"/>
                <w:b/>
                <w:lang w:val="hy-AM" w:eastAsia="hy-AM"/>
              </w:rPr>
              <w:tab/>
              <w:t>Կարգավորման հարաբերությունների ներկա վիճակը և առկա խնդիրները</w:t>
            </w:r>
          </w:p>
          <w:p w:rsidR="00530B14" w:rsidRPr="0053423A" w:rsidRDefault="00530B14" w:rsidP="00A67858">
            <w:pPr>
              <w:pStyle w:val="ListParagraph"/>
              <w:shd w:val="clear" w:color="auto" w:fill="FFFFFF"/>
              <w:spacing w:line="276" w:lineRule="auto"/>
              <w:ind w:left="0"/>
              <w:jc w:val="both"/>
              <w:rPr>
                <w:rFonts w:cs="Courier New"/>
                <w:lang w:val="hy-AM" w:eastAsia="hy-AM"/>
              </w:rPr>
            </w:pPr>
            <w:r w:rsidRPr="0053423A">
              <w:rPr>
                <w:rFonts w:cs="Arial"/>
                <w:lang w:val="hy-AM" w:eastAsia="hy-AM"/>
              </w:rPr>
              <w:tab/>
              <w:t>Հայաստանի գինու հարուստ պատմությունը և մշակույթը, ինչպես նաև  հյու</w:t>
            </w:r>
            <w:r w:rsidRPr="0053423A">
              <w:rPr>
                <w:rFonts w:cs="Arial"/>
                <w:lang w:val="hy-AM" w:eastAsia="hy-AM"/>
              </w:rPr>
              <w:softHyphen/>
              <w:t>րըն</w:t>
            </w:r>
            <w:r w:rsidRPr="0053423A">
              <w:rPr>
                <w:rFonts w:cs="Arial"/>
                <w:lang w:val="hy-AM" w:eastAsia="hy-AM"/>
              </w:rPr>
              <w:softHyphen/>
              <w:t>կալությունը, սնունդը եւ բնությունը նախադրյալ են ստեղծում</w:t>
            </w:r>
            <w:r w:rsidRPr="0053423A">
              <w:rPr>
                <w:rFonts w:ascii="Calibri" w:hAnsi="Calibri" w:cs="Calibri"/>
                <w:lang w:val="hy-AM" w:eastAsia="hy-AM"/>
              </w:rPr>
              <w:t> </w:t>
            </w:r>
            <w:r w:rsidRPr="0053423A">
              <w:rPr>
                <w:rFonts w:cs="Arial"/>
                <w:lang w:val="hy-AM" w:eastAsia="hy-AM"/>
              </w:rPr>
              <w:t>Հայաստանում գինու տուրիզմի զարգացման համար՝ միաժամանակ ստեղծե</w:t>
            </w:r>
            <w:r w:rsidRPr="0053423A">
              <w:rPr>
                <w:rFonts w:cs="Arial"/>
                <w:lang w:val="hy-AM" w:eastAsia="hy-AM"/>
              </w:rPr>
              <w:softHyphen/>
              <w:t xml:space="preserve">լով </w:t>
            </w:r>
            <w:r w:rsidRPr="0053423A">
              <w:rPr>
                <w:rFonts w:cs="GHEA Grapalat"/>
                <w:lang w:val="hy-AM" w:eastAsia="hy-AM"/>
              </w:rPr>
              <w:t>նախապայմաններ համա</w:t>
            </w:r>
            <w:r w:rsidRPr="0053423A">
              <w:rPr>
                <w:rFonts w:cs="GHEA Grapalat"/>
                <w:lang w:val="hy-AM" w:eastAsia="hy-AM"/>
              </w:rPr>
              <w:softHyphen/>
              <w:t>պա</w:t>
            </w:r>
            <w:r w:rsidRPr="0053423A">
              <w:rPr>
                <w:rFonts w:cs="GHEA Grapalat"/>
                <w:lang w:val="hy-AM" w:eastAsia="hy-AM"/>
              </w:rPr>
              <w:softHyphen/>
              <w:t>տասխան ավելացված</w:t>
            </w:r>
            <w:r w:rsidRPr="0053423A">
              <w:rPr>
                <w:rFonts w:cs="Arial"/>
                <w:lang w:val="hy-AM" w:eastAsia="hy-AM"/>
              </w:rPr>
              <w:t xml:space="preserve"> </w:t>
            </w:r>
            <w:r w:rsidRPr="0053423A">
              <w:rPr>
                <w:rFonts w:cs="GHEA Grapalat"/>
                <w:lang w:val="hy-AM" w:eastAsia="hy-AM"/>
              </w:rPr>
              <w:t>արժեքների</w:t>
            </w:r>
            <w:r w:rsidRPr="0053423A">
              <w:rPr>
                <w:rFonts w:cs="Arial"/>
                <w:lang w:val="hy-AM" w:eastAsia="hy-AM"/>
              </w:rPr>
              <w:t xml:space="preserve"> </w:t>
            </w:r>
            <w:r w:rsidRPr="0053423A">
              <w:rPr>
                <w:rFonts w:cs="GHEA Grapalat"/>
                <w:lang w:val="hy-AM" w:eastAsia="hy-AM"/>
              </w:rPr>
              <w:t>ստեղծման</w:t>
            </w:r>
            <w:r w:rsidRPr="0053423A">
              <w:rPr>
                <w:rFonts w:cs="Arial"/>
                <w:lang w:val="hy-AM" w:eastAsia="hy-AM"/>
              </w:rPr>
              <w:t xml:space="preserve"> </w:t>
            </w:r>
            <w:r w:rsidRPr="0053423A">
              <w:rPr>
                <w:rFonts w:cs="GHEA Grapalat"/>
                <w:lang w:val="hy-AM" w:eastAsia="hy-AM"/>
              </w:rPr>
              <w:t>համար</w:t>
            </w:r>
            <w:r w:rsidRPr="0053423A">
              <w:rPr>
                <w:rFonts w:cs="Arial"/>
                <w:lang w:val="hy-AM" w:eastAsia="hy-AM"/>
              </w:rPr>
              <w:t>:</w:t>
            </w:r>
          </w:p>
          <w:p w:rsidR="00530B14" w:rsidRPr="0053423A" w:rsidRDefault="00530B14" w:rsidP="00A67858">
            <w:pPr>
              <w:pStyle w:val="ListParagraph"/>
              <w:shd w:val="clear" w:color="auto" w:fill="FFFFFF"/>
              <w:spacing w:line="276" w:lineRule="auto"/>
              <w:ind w:left="0"/>
              <w:jc w:val="both"/>
              <w:rPr>
                <w:rFonts w:cs="Arial"/>
                <w:lang w:val="hy-AM" w:eastAsia="hy-AM"/>
              </w:rPr>
            </w:pPr>
            <w:r w:rsidRPr="0053423A">
              <w:rPr>
                <w:rFonts w:ascii="Calibri" w:hAnsi="Calibri" w:cs="Calibri"/>
                <w:lang w:val="hy-AM" w:eastAsia="hy-AM"/>
              </w:rPr>
              <w:t>  </w:t>
            </w:r>
            <w:r w:rsidRPr="0053423A">
              <w:rPr>
                <w:rFonts w:cs="Arial"/>
                <w:lang w:val="hy-AM" w:eastAsia="hy-AM"/>
              </w:rPr>
              <w:t xml:space="preserve"> </w:t>
            </w:r>
            <w:r w:rsidRPr="0053423A">
              <w:rPr>
                <w:rFonts w:cs="Arial"/>
                <w:lang w:val="hy-AM" w:eastAsia="hy-AM"/>
              </w:rPr>
              <w:tab/>
            </w:r>
            <w:r w:rsidRPr="0053423A">
              <w:rPr>
                <w:rFonts w:cs="GHEA Grapalat"/>
                <w:lang w:val="hy-AM" w:eastAsia="hy-AM"/>
              </w:rPr>
              <w:t>Սակայն</w:t>
            </w:r>
            <w:r w:rsidRPr="0053423A">
              <w:rPr>
                <w:rFonts w:cs="Arial"/>
                <w:lang w:val="hy-AM" w:eastAsia="hy-AM"/>
              </w:rPr>
              <w:t xml:space="preserve"> տուրիզմի տվյալ ուղղությունը զարգացնելու նպատակաով դեռևս առկա են որոշ խոչընդոտներ, որոնք ընդհանուր առմամբ հանդիսանում են տուրիզմի ոլորտի խնդիրներ՝ տեղեկատվության և դրա հասանելիության պակաս, տուրիստական հիմնա</w:t>
            </w:r>
            <w:r w:rsidRPr="0053423A">
              <w:rPr>
                <w:rFonts w:cs="Arial"/>
                <w:lang w:val="hy-AM" w:eastAsia="hy-AM"/>
              </w:rPr>
              <w:softHyphen/>
              <w:t xml:space="preserve">կան ուղղությունների վրա թերի զարգացած ենթակառուցվածքների առկայություն, Հայաստանի՝ որպես գինու տուրիզմի ուղղություն, միջազգային տուրիստների շրջանակում ցածր ճանաչելիություն և այլն: </w:t>
            </w:r>
          </w:p>
          <w:p w:rsidR="00530B14" w:rsidRPr="0053423A" w:rsidRDefault="00530B14" w:rsidP="00A67858">
            <w:pPr>
              <w:pStyle w:val="ListParagraph"/>
              <w:shd w:val="clear" w:color="auto" w:fill="FFFFFF"/>
              <w:spacing w:line="276" w:lineRule="auto"/>
              <w:ind w:left="0"/>
              <w:jc w:val="both"/>
              <w:rPr>
                <w:rFonts w:cs="Arial"/>
                <w:lang w:val="hy-AM" w:eastAsia="hy-AM"/>
              </w:rPr>
            </w:pPr>
          </w:p>
          <w:p w:rsidR="00530B14" w:rsidRPr="0053423A" w:rsidRDefault="00530B14" w:rsidP="001F6D5D">
            <w:pPr>
              <w:pStyle w:val="ListParagraph"/>
              <w:numPr>
                <w:ilvl w:val="1"/>
                <w:numId w:val="123"/>
              </w:numPr>
              <w:spacing w:line="276" w:lineRule="auto"/>
              <w:jc w:val="both"/>
              <w:rPr>
                <w:rFonts w:cs="Arial"/>
                <w:b/>
                <w:lang w:val="hy-AM" w:eastAsia="hy-AM"/>
              </w:rPr>
            </w:pPr>
            <w:r w:rsidRPr="0053423A">
              <w:rPr>
                <w:rFonts w:cs="Arial"/>
                <w:b/>
                <w:lang w:val="hy-AM" w:eastAsia="hy-AM"/>
              </w:rPr>
              <w:t>Առկա խնդիրների առաջարկվող լուծումները</w:t>
            </w:r>
          </w:p>
          <w:p w:rsidR="00530B14" w:rsidRPr="0053423A" w:rsidRDefault="00530B14" w:rsidP="00A67858">
            <w:pPr>
              <w:pStyle w:val="ListParagraph"/>
              <w:shd w:val="clear" w:color="auto" w:fill="FFFFFF"/>
              <w:spacing w:line="276" w:lineRule="auto"/>
              <w:ind w:left="0"/>
              <w:jc w:val="both"/>
              <w:rPr>
                <w:rFonts w:cs="Arial"/>
                <w:lang w:val="hy-AM" w:eastAsia="hy-AM"/>
              </w:rPr>
            </w:pPr>
            <w:r w:rsidRPr="0053423A">
              <w:rPr>
                <w:rFonts w:cs="Arial"/>
                <w:lang w:val="hy-AM" w:eastAsia="hy-AM"/>
              </w:rPr>
              <w:tab/>
              <w:t>Հայաստանի գինու</w:t>
            </w:r>
            <w:r w:rsidRPr="0053423A">
              <w:rPr>
                <w:rFonts w:ascii="Calibri" w:hAnsi="Calibri" w:cs="Calibri"/>
                <w:lang w:val="hy-AM" w:eastAsia="hy-AM"/>
              </w:rPr>
              <w:t> </w:t>
            </w:r>
            <w:r w:rsidRPr="0053423A">
              <w:rPr>
                <w:rFonts w:cs="Arial"/>
                <w:lang w:val="hy-AM" w:eastAsia="hy-AM"/>
              </w:rPr>
              <w:t xml:space="preserve"> </w:t>
            </w:r>
            <w:r w:rsidRPr="0053423A">
              <w:rPr>
                <w:rFonts w:cs="GHEA Grapalat"/>
                <w:lang w:val="hy-AM" w:eastAsia="hy-AM"/>
              </w:rPr>
              <w:t>զբոսաշրջության</w:t>
            </w:r>
            <w:r w:rsidRPr="0053423A">
              <w:rPr>
                <w:rFonts w:ascii="Calibri" w:hAnsi="Calibri" w:cs="Calibri"/>
                <w:lang w:val="hy-AM" w:eastAsia="hy-AM"/>
              </w:rPr>
              <w:t> </w:t>
            </w:r>
            <w:r w:rsidRPr="0053423A">
              <w:rPr>
                <w:rFonts w:cs="Arial"/>
                <w:lang w:val="hy-AM" w:eastAsia="hy-AM"/>
              </w:rPr>
              <w:t xml:space="preserve"> </w:t>
            </w:r>
            <w:r w:rsidRPr="0053423A">
              <w:rPr>
                <w:rFonts w:cs="GHEA Grapalat"/>
                <w:lang w:val="hy-AM" w:eastAsia="hy-AM"/>
              </w:rPr>
              <w:t>տարածաշրջաններում</w:t>
            </w:r>
            <w:r w:rsidRPr="0053423A">
              <w:rPr>
                <w:rFonts w:cs="Arial"/>
                <w:lang w:val="hy-AM" w:eastAsia="hy-AM"/>
              </w:rPr>
              <w:t xml:space="preserve"> </w:t>
            </w:r>
            <w:r w:rsidRPr="0053423A">
              <w:rPr>
                <w:rFonts w:cs="GHEA Grapalat"/>
                <w:lang w:val="hy-AM" w:eastAsia="hy-AM"/>
              </w:rPr>
              <w:t>ենթակառուց</w:t>
            </w:r>
            <w:r w:rsidRPr="0053423A">
              <w:rPr>
                <w:rFonts w:cs="GHEA Grapalat"/>
                <w:lang w:val="hy-AM" w:eastAsia="hy-AM"/>
              </w:rPr>
              <w:softHyphen/>
              <w:t>վածք</w:t>
            </w:r>
            <w:r w:rsidRPr="0053423A">
              <w:rPr>
                <w:rFonts w:cs="GHEA Grapalat"/>
                <w:lang w:val="hy-AM" w:eastAsia="hy-AM"/>
              </w:rPr>
              <w:softHyphen/>
              <w:t>ների</w:t>
            </w:r>
            <w:r w:rsidRPr="0053423A">
              <w:rPr>
                <w:rFonts w:cs="Arial"/>
                <w:lang w:val="hy-AM" w:eastAsia="hy-AM"/>
              </w:rPr>
              <w:t xml:space="preserve"> </w:t>
            </w:r>
            <w:r w:rsidRPr="0053423A">
              <w:rPr>
                <w:rFonts w:cs="GHEA Grapalat"/>
                <w:lang w:val="hy-AM" w:eastAsia="hy-AM"/>
              </w:rPr>
              <w:t>ստեղծում</w:t>
            </w:r>
            <w:r w:rsidRPr="0053423A">
              <w:rPr>
                <w:rFonts w:cs="Arial"/>
                <w:lang w:val="hy-AM" w:eastAsia="hy-AM"/>
              </w:rPr>
              <w:t xml:space="preserve"> </w:t>
            </w:r>
            <w:r w:rsidRPr="0053423A">
              <w:rPr>
                <w:rFonts w:cs="GHEA Grapalat"/>
                <w:lang w:val="hy-AM" w:eastAsia="hy-AM"/>
              </w:rPr>
              <w:t>և</w:t>
            </w:r>
            <w:r w:rsidRPr="0053423A">
              <w:rPr>
                <w:rFonts w:cs="Arial"/>
                <w:lang w:val="hy-AM" w:eastAsia="hy-AM"/>
              </w:rPr>
              <w:t xml:space="preserve"> </w:t>
            </w:r>
            <w:r w:rsidRPr="0053423A">
              <w:rPr>
                <w:rFonts w:cs="GHEA Grapalat"/>
                <w:lang w:val="hy-AM" w:eastAsia="hy-AM"/>
              </w:rPr>
              <w:t>բարելավում</w:t>
            </w:r>
            <w:r w:rsidRPr="0053423A">
              <w:rPr>
                <w:rFonts w:cs="Arial"/>
                <w:lang w:val="hy-AM" w:eastAsia="hy-AM"/>
              </w:rPr>
              <w:t xml:space="preserve">: </w:t>
            </w:r>
          </w:p>
          <w:p w:rsidR="00530B14" w:rsidRPr="0053423A" w:rsidRDefault="00530B14" w:rsidP="00A67858">
            <w:pPr>
              <w:pStyle w:val="ListParagraph"/>
              <w:shd w:val="clear" w:color="auto" w:fill="FFFFFF"/>
              <w:spacing w:line="276" w:lineRule="auto"/>
              <w:ind w:left="0"/>
              <w:jc w:val="both"/>
              <w:rPr>
                <w:rFonts w:cs="Arial"/>
                <w:lang w:val="hy-AM" w:eastAsia="hy-AM"/>
              </w:rPr>
            </w:pPr>
            <w:r w:rsidRPr="0053423A">
              <w:rPr>
                <w:rFonts w:cs="Arial"/>
                <w:lang w:val="hy-AM" w:eastAsia="hy-AM"/>
              </w:rPr>
              <w:tab/>
              <w:t>Փոքր և միջին արտադրողների որակյալ գինիների արտադրության աջակցում և նպաստում, ինչպես նաև հյուրընկալության ծառայությունների հմտությունների զար</w:t>
            </w:r>
            <w:r w:rsidRPr="0053423A">
              <w:rPr>
                <w:rFonts w:cs="Arial"/>
                <w:lang w:val="hy-AM" w:eastAsia="hy-AM"/>
              </w:rPr>
              <w:softHyphen/>
              <w:t>գացում: Հայաստանի «Գինու Ճանապարհի» /Wine Route/</w:t>
            </w:r>
            <w:r w:rsidRPr="0053423A">
              <w:rPr>
                <w:rFonts w:ascii="Calibri" w:hAnsi="Calibri" w:cs="Calibri"/>
                <w:lang w:val="hy-AM" w:eastAsia="hy-AM"/>
              </w:rPr>
              <w:t> </w:t>
            </w:r>
            <w:r w:rsidRPr="0053423A">
              <w:rPr>
                <w:rFonts w:cs="Arial"/>
                <w:lang w:val="hy-AM" w:eastAsia="hy-AM"/>
              </w:rPr>
              <w:t xml:space="preserve"> </w:t>
            </w:r>
            <w:r w:rsidRPr="0053423A">
              <w:rPr>
                <w:rFonts w:cs="GHEA Grapalat"/>
                <w:lang w:val="hy-AM" w:eastAsia="hy-AM"/>
              </w:rPr>
              <w:t>մշակում</w:t>
            </w:r>
            <w:r w:rsidRPr="0053423A">
              <w:rPr>
                <w:rFonts w:cs="Arial"/>
                <w:lang w:val="hy-AM" w:eastAsia="hy-AM"/>
              </w:rPr>
              <w:t>:</w:t>
            </w:r>
          </w:p>
          <w:p w:rsidR="00530B14" w:rsidRPr="0053423A" w:rsidRDefault="00530B14" w:rsidP="00A67858">
            <w:pPr>
              <w:pStyle w:val="ListParagraph"/>
              <w:shd w:val="clear" w:color="auto" w:fill="FFFFFF"/>
              <w:spacing w:line="276" w:lineRule="auto"/>
              <w:ind w:left="0"/>
              <w:jc w:val="both"/>
              <w:rPr>
                <w:rFonts w:cs="Arial"/>
                <w:lang w:val="hy-AM" w:eastAsia="hy-AM"/>
              </w:rPr>
            </w:pPr>
            <w:r w:rsidRPr="0053423A">
              <w:rPr>
                <w:rFonts w:cs="Arial"/>
                <w:lang w:val="hy-AM" w:eastAsia="hy-AM"/>
              </w:rPr>
              <w:tab/>
              <w:t>Ճանապարհային ցուցանակների մշակում և տեղադրում՝ «Գինու Զբոսաշր</w:t>
            </w:r>
            <w:r w:rsidRPr="0053423A">
              <w:rPr>
                <w:rFonts w:cs="Arial"/>
                <w:lang w:val="hy-AM" w:eastAsia="hy-AM"/>
              </w:rPr>
              <w:softHyphen/>
              <w:t>ջության» զարգացման և Հայաստանը որպես</w:t>
            </w:r>
            <w:r w:rsidRPr="0053423A">
              <w:rPr>
                <w:rFonts w:ascii="Calibri" w:hAnsi="Calibri" w:cs="Calibri"/>
                <w:lang w:val="hy-AM" w:eastAsia="hy-AM"/>
              </w:rPr>
              <w:t> </w:t>
            </w:r>
            <w:r w:rsidRPr="0053423A">
              <w:rPr>
                <w:rFonts w:cs="Arial"/>
                <w:lang w:val="hy-AM" w:eastAsia="hy-AM"/>
              </w:rPr>
              <w:t xml:space="preserve"> </w:t>
            </w:r>
            <w:r w:rsidRPr="0053423A">
              <w:rPr>
                <w:rFonts w:cs="GHEA Grapalat"/>
                <w:lang w:val="hy-AM" w:eastAsia="hy-AM"/>
              </w:rPr>
              <w:t>գինեգործության</w:t>
            </w:r>
            <w:r w:rsidRPr="0053423A">
              <w:rPr>
                <w:rFonts w:cs="Arial"/>
                <w:lang w:val="hy-AM" w:eastAsia="hy-AM"/>
              </w:rPr>
              <w:t xml:space="preserve"> </w:t>
            </w:r>
            <w:r w:rsidRPr="0053423A">
              <w:rPr>
                <w:rFonts w:cs="GHEA Grapalat"/>
                <w:lang w:val="hy-AM" w:eastAsia="hy-AM"/>
              </w:rPr>
              <w:t>երկիր</w:t>
            </w:r>
            <w:r w:rsidRPr="0053423A">
              <w:rPr>
                <w:rFonts w:cs="Arial"/>
                <w:lang w:val="hy-AM" w:eastAsia="hy-AM"/>
              </w:rPr>
              <w:t xml:space="preserve"> </w:t>
            </w:r>
            <w:r w:rsidRPr="0053423A">
              <w:rPr>
                <w:rFonts w:cs="GHEA Grapalat"/>
                <w:lang w:val="hy-AM" w:eastAsia="hy-AM"/>
              </w:rPr>
              <w:t>ներկայացնելու</w:t>
            </w:r>
            <w:r w:rsidRPr="0053423A">
              <w:rPr>
                <w:rFonts w:cs="Arial"/>
                <w:lang w:val="hy-AM" w:eastAsia="hy-AM"/>
              </w:rPr>
              <w:t xml:space="preserve"> </w:t>
            </w:r>
            <w:r w:rsidRPr="0053423A">
              <w:rPr>
                <w:rFonts w:cs="GHEA Grapalat"/>
                <w:lang w:val="hy-AM" w:eastAsia="hy-AM"/>
              </w:rPr>
              <w:t>նպատակով</w:t>
            </w:r>
            <w:r w:rsidRPr="0053423A">
              <w:rPr>
                <w:rFonts w:cs="Arial"/>
                <w:lang w:val="hy-AM" w:eastAsia="hy-AM"/>
              </w:rPr>
              <w:t xml:space="preserve">: </w:t>
            </w:r>
          </w:p>
          <w:p w:rsidR="00530B14" w:rsidRPr="0053423A" w:rsidRDefault="00530B14" w:rsidP="00A67858">
            <w:pPr>
              <w:pStyle w:val="ListParagraph"/>
              <w:shd w:val="clear" w:color="auto" w:fill="FFFFFF"/>
              <w:spacing w:line="276" w:lineRule="auto"/>
              <w:ind w:left="0"/>
              <w:jc w:val="both"/>
              <w:rPr>
                <w:rFonts w:cs="Arial"/>
                <w:lang w:val="hy-AM" w:eastAsia="hy-AM"/>
              </w:rPr>
            </w:pPr>
            <w:r w:rsidRPr="0053423A">
              <w:rPr>
                <w:rFonts w:cs="Arial"/>
                <w:lang w:val="hy-AM" w:eastAsia="hy-AM"/>
              </w:rPr>
              <w:tab/>
              <w:t>Փառատոնների կազմակերպում, գրքերի, տեղեկատվական նյութերի տպագրու</w:t>
            </w:r>
            <w:r w:rsidRPr="0053423A">
              <w:rPr>
                <w:rFonts w:cs="Arial"/>
                <w:lang w:val="hy-AM" w:eastAsia="hy-AM"/>
              </w:rPr>
              <w:softHyphen/>
              <w:t>թյուն և տարածում:</w:t>
            </w:r>
          </w:p>
          <w:p w:rsidR="00530B14" w:rsidRPr="0053423A" w:rsidRDefault="00530B14" w:rsidP="001F6D5D">
            <w:pPr>
              <w:pStyle w:val="ListParagraph"/>
              <w:numPr>
                <w:ilvl w:val="0"/>
                <w:numId w:val="123"/>
              </w:numPr>
              <w:spacing w:line="276" w:lineRule="auto"/>
              <w:jc w:val="both"/>
              <w:rPr>
                <w:rFonts w:cs="Arial"/>
                <w:b/>
                <w:lang w:val="hy-AM" w:eastAsia="hy-AM"/>
              </w:rPr>
            </w:pPr>
            <w:r w:rsidRPr="0053423A">
              <w:rPr>
                <w:rFonts w:cs="Arial"/>
                <w:b/>
                <w:lang w:val="hy-AM" w:eastAsia="hy-AM"/>
              </w:rPr>
              <w:t xml:space="preserve"> Միջոցառման իրականացումից ակնկալվող արդյունքը </w:t>
            </w:r>
          </w:p>
          <w:p w:rsidR="00530B14" w:rsidRPr="0053423A" w:rsidRDefault="00530B14" w:rsidP="00A67858">
            <w:pPr>
              <w:shd w:val="clear" w:color="auto" w:fill="FFFFFF"/>
              <w:spacing w:line="276" w:lineRule="auto"/>
              <w:jc w:val="both"/>
              <w:rPr>
                <w:rFonts w:cs="Arial"/>
                <w:lang w:val="hy-AM" w:eastAsia="hy-AM"/>
              </w:rPr>
            </w:pPr>
            <w:r w:rsidRPr="0053423A">
              <w:rPr>
                <w:rFonts w:cs="Arial"/>
                <w:lang w:val="hy-AM" w:eastAsia="hy-AM"/>
              </w:rPr>
              <w:tab/>
              <w:t xml:space="preserve">Գինու տուրիզմի զարգացումը Հայաստանում կնպաստի հայկական գինու ճանաչողության բարձրացմանը, ներգնա տուրիզմի զարգացմանը, որը իր հերթին կհանգեցնի համայնքների զարգացմանը, Հայաստանում խաղողագործությամբ և գինեգործությամբ զբաղվող փոքր, միջին և խոշոր արտադրողների կողմից մատուցվող ծառայությունների դիվերսիֆիկացմանը, ներդրումային հնարավորությունների ներուժի բարձրացմանը, որն էլ իր հերթին կհանգեցնի  </w:t>
            </w:r>
            <w:r w:rsidRPr="0053423A">
              <w:rPr>
                <w:rFonts w:cs="GHEA Grapalat"/>
                <w:lang w:val="hy-AM" w:eastAsia="hy-AM"/>
              </w:rPr>
              <w:t>ոլորտի</w:t>
            </w:r>
            <w:r w:rsidRPr="0053423A">
              <w:rPr>
                <w:rFonts w:cs="Arial"/>
                <w:lang w:val="hy-AM" w:eastAsia="hy-AM"/>
              </w:rPr>
              <w:t xml:space="preserve"> </w:t>
            </w:r>
            <w:r w:rsidRPr="0053423A">
              <w:rPr>
                <w:rFonts w:cs="GHEA Grapalat"/>
                <w:lang w:val="hy-AM" w:eastAsia="hy-AM"/>
              </w:rPr>
              <w:t>զարգացմանը</w:t>
            </w:r>
            <w:r w:rsidRPr="0053423A">
              <w:rPr>
                <w:rFonts w:cs="Arial"/>
                <w:lang w:val="hy-AM" w:eastAsia="hy-AM"/>
              </w:rPr>
              <w:t xml:space="preserve">: </w:t>
            </w:r>
            <w:r w:rsidRPr="0053423A">
              <w:rPr>
                <w:rFonts w:ascii="Calibri" w:hAnsi="Calibri" w:cs="Calibri"/>
                <w:lang w:val="hy-AM" w:eastAsia="hy-AM"/>
              </w:rPr>
              <w:t> </w:t>
            </w:r>
          </w:p>
          <w:p w:rsidR="00530B14" w:rsidRPr="0053423A" w:rsidRDefault="00530B14" w:rsidP="00A67858">
            <w:pPr>
              <w:spacing w:line="276" w:lineRule="auto"/>
              <w:jc w:val="center"/>
              <w:rPr>
                <w:b/>
                <w:bCs/>
                <w:iCs/>
                <w:lang w:val="hy-AM"/>
              </w:rPr>
            </w:pPr>
          </w:p>
        </w:tc>
      </w:tr>
      <w:tr w:rsidR="00530B14" w:rsidRPr="00DE2EFA" w:rsidTr="004440EB">
        <w:tc>
          <w:tcPr>
            <w:tcW w:w="480" w:type="dxa"/>
          </w:tcPr>
          <w:p w:rsidR="00530B14" w:rsidRPr="0053423A" w:rsidRDefault="00530B14" w:rsidP="00A67858">
            <w:pPr>
              <w:spacing w:line="276" w:lineRule="auto"/>
              <w:jc w:val="center"/>
              <w:rPr>
                <w:b/>
                <w:bCs/>
                <w:iCs/>
              </w:rPr>
            </w:pPr>
            <w:r w:rsidRPr="0053423A">
              <w:rPr>
                <w:b/>
                <w:bCs/>
                <w:iCs/>
              </w:rPr>
              <w:t>12</w:t>
            </w:r>
          </w:p>
        </w:tc>
        <w:tc>
          <w:tcPr>
            <w:tcW w:w="10879" w:type="dxa"/>
          </w:tcPr>
          <w:p w:rsidR="00530B14" w:rsidRPr="0053423A" w:rsidRDefault="00530B14" w:rsidP="00A67858">
            <w:pPr>
              <w:spacing w:line="276" w:lineRule="auto"/>
              <w:jc w:val="center"/>
              <w:rPr>
                <w:b/>
                <w:lang w:val="hy-AM"/>
              </w:rPr>
            </w:pPr>
            <w:r w:rsidRPr="0053423A">
              <w:rPr>
                <w:b/>
                <w:lang w:val="hy-AM"/>
              </w:rPr>
              <w:t>Գյուղատնտեսական գիտելիքների և փորձի տարածման ու տեղե</w:t>
            </w:r>
            <w:r w:rsidRPr="0053423A">
              <w:rPr>
                <w:b/>
                <w:lang w:val="hy-AM"/>
              </w:rPr>
              <w:softHyphen/>
              <w:t>կատվության հասանե</w:t>
            </w:r>
            <w:r w:rsidRPr="0053423A">
              <w:rPr>
                <w:b/>
                <w:lang w:val="hy-AM"/>
              </w:rPr>
              <w:softHyphen/>
              <w:t>լիության ապահովում</w:t>
            </w:r>
          </w:p>
          <w:p w:rsidR="00530B14" w:rsidRPr="0053423A" w:rsidRDefault="00530B14" w:rsidP="00A67858">
            <w:pPr>
              <w:spacing w:line="276" w:lineRule="auto"/>
              <w:jc w:val="center"/>
              <w:rPr>
                <w:b/>
                <w:lang w:val="hy-AM"/>
              </w:rPr>
            </w:pPr>
          </w:p>
          <w:p w:rsidR="00530B14" w:rsidRPr="0053423A" w:rsidRDefault="00530B14" w:rsidP="00A67858">
            <w:pPr>
              <w:spacing w:line="276" w:lineRule="auto"/>
              <w:ind w:right="-31"/>
              <w:jc w:val="center"/>
              <w:rPr>
                <w:b/>
                <w:lang w:val="hy-AM"/>
              </w:rPr>
            </w:pPr>
          </w:p>
          <w:p w:rsidR="00530B14" w:rsidRPr="0053423A" w:rsidRDefault="00AA3B20" w:rsidP="00A67858">
            <w:pPr>
              <w:spacing w:line="276" w:lineRule="auto"/>
              <w:ind w:right="-31"/>
              <w:jc w:val="center"/>
              <w:rPr>
                <w:b/>
                <w:u w:val="single"/>
                <w:lang w:val="hy-AM"/>
              </w:rPr>
            </w:pPr>
            <w:r w:rsidRPr="0053423A">
              <w:rPr>
                <w:b/>
                <w:u w:val="single"/>
                <w:lang w:val="hy-AM"/>
              </w:rPr>
              <w:t>12.1</w:t>
            </w:r>
            <w:r w:rsidR="00530B14" w:rsidRPr="0053423A">
              <w:rPr>
                <w:b/>
                <w:u w:val="single"/>
                <w:lang w:val="hy-AM"/>
              </w:rPr>
              <w:t xml:space="preserve"> Գյուղատնտեսությունում տնտեսավարողներին խորհրդատվական և տեղեկատվական ծառայությունների մատուցման արդյունավետ մեխանիզմների մշակում և ներդրում</w:t>
            </w:r>
          </w:p>
          <w:p w:rsidR="00530B14" w:rsidRPr="0053423A" w:rsidRDefault="00530B14" w:rsidP="00A67858">
            <w:pPr>
              <w:spacing w:line="276" w:lineRule="auto"/>
              <w:jc w:val="center"/>
              <w:rPr>
                <w:b/>
                <w:u w:val="single"/>
                <w:lang w:val="hy-AM" w:eastAsia="en-GB"/>
              </w:rPr>
            </w:pPr>
          </w:p>
          <w:p w:rsidR="00530B14" w:rsidRPr="0053423A" w:rsidRDefault="00530B14" w:rsidP="00A67858">
            <w:pPr>
              <w:spacing w:line="276" w:lineRule="auto"/>
              <w:ind w:firstLine="733"/>
              <w:rPr>
                <w:b/>
                <w:lang w:val="hy-AM" w:eastAsia="en-GB"/>
              </w:rPr>
            </w:pPr>
            <w:r w:rsidRPr="0053423A">
              <w:rPr>
                <w:b/>
                <w:lang w:val="hy-AM" w:eastAsia="en-GB"/>
              </w:rPr>
              <w:t>1. Միջոցառման</w:t>
            </w:r>
            <w:r w:rsidRPr="0053423A">
              <w:rPr>
                <w:b/>
                <w:lang w:val="it-IT" w:eastAsia="en-GB"/>
              </w:rPr>
              <w:t xml:space="preserve"> </w:t>
            </w:r>
            <w:r w:rsidRPr="0053423A">
              <w:rPr>
                <w:b/>
                <w:lang w:val="hy-AM" w:eastAsia="en-GB"/>
              </w:rPr>
              <w:t>իրականացման</w:t>
            </w:r>
            <w:r w:rsidRPr="0053423A">
              <w:rPr>
                <w:b/>
                <w:lang w:val="it-IT" w:eastAsia="en-GB"/>
              </w:rPr>
              <w:t xml:space="preserve"> </w:t>
            </w:r>
            <w:r w:rsidRPr="0053423A">
              <w:rPr>
                <w:b/>
                <w:lang w:val="hy-AM" w:eastAsia="en-GB"/>
              </w:rPr>
              <w:t>անհրաժեշտությունը</w:t>
            </w:r>
            <w:r w:rsidRPr="0053423A">
              <w:rPr>
                <w:b/>
                <w:lang w:val="it-IT" w:eastAsia="en-GB"/>
              </w:rPr>
              <w:t xml:space="preserve"> </w:t>
            </w:r>
            <w:r w:rsidRPr="0053423A">
              <w:rPr>
                <w:b/>
                <w:lang w:val="hy-AM" w:eastAsia="en-GB"/>
              </w:rPr>
              <w:t>և</w:t>
            </w:r>
            <w:r w:rsidRPr="0053423A">
              <w:rPr>
                <w:b/>
                <w:lang w:val="it-IT" w:eastAsia="en-GB"/>
              </w:rPr>
              <w:t xml:space="preserve"> </w:t>
            </w:r>
            <w:r w:rsidRPr="0053423A">
              <w:rPr>
                <w:b/>
                <w:lang w:val="hy-AM" w:eastAsia="en-GB"/>
              </w:rPr>
              <w:t>նպատակը</w:t>
            </w:r>
          </w:p>
          <w:p w:rsidR="00530B14" w:rsidRPr="0053423A" w:rsidRDefault="00530B14" w:rsidP="00A67858">
            <w:pPr>
              <w:pStyle w:val="ListParagraph"/>
              <w:spacing w:line="276" w:lineRule="auto"/>
              <w:ind w:left="0"/>
              <w:jc w:val="both"/>
              <w:rPr>
                <w:rFonts w:cs="Sylfaen"/>
                <w:lang w:val="hy-AM"/>
              </w:rPr>
            </w:pPr>
            <w:r w:rsidRPr="0053423A">
              <w:rPr>
                <w:rFonts w:cs="Sylfaen"/>
                <w:lang w:val="hy-AM"/>
              </w:rPr>
              <w:tab/>
              <w:t>Միջոցառման իրականացումը պայմանավորված է ՀՀ</w:t>
            </w:r>
            <w:r w:rsidRPr="0053423A">
              <w:rPr>
                <w:lang w:val="hy-AM"/>
              </w:rPr>
              <w:t xml:space="preserve"> </w:t>
            </w:r>
            <w:r w:rsidRPr="0053423A">
              <w:rPr>
                <w:rFonts w:cs="Sylfaen"/>
                <w:lang w:val="hy-AM"/>
              </w:rPr>
              <w:t>ԱԺ</w:t>
            </w:r>
            <w:r w:rsidRPr="0053423A">
              <w:rPr>
                <w:lang w:val="hy-AM"/>
              </w:rPr>
              <w:t xml:space="preserve"> 2019 </w:t>
            </w:r>
            <w:r w:rsidRPr="0053423A">
              <w:rPr>
                <w:rFonts w:cs="Sylfaen"/>
                <w:lang w:val="hy-AM"/>
              </w:rPr>
              <w:t>թվականի</w:t>
            </w:r>
            <w:r w:rsidRPr="0053423A">
              <w:rPr>
                <w:lang w:val="hy-AM"/>
              </w:rPr>
              <w:t xml:space="preserve"> </w:t>
            </w:r>
            <w:r w:rsidRPr="0053423A">
              <w:rPr>
                <w:rFonts w:cs="Sylfaen"/>
                <w:lang w:val="hy-AM"/>
              </w:rPr>
              <w:t>փետրվարի</w:t>
            </w:r>
            <w:r w:rsidRPr="0053423A">
              <w:rPr>
                <w:lang w:val="hy-AM"/>
              </w:rPr>
              <w:t xml:space="preserve"> 14-</w:t>
            </w:r>
            <w:r w:rsidRPr="0053423A">
              <w:rPr>
                <w:rFonts w:cs="Sylfaen"/>
                <w:lang w:val="hy-AM"/>
              </w:rPr>
              <w:t>ի</w:t>
            </w:r>
            <w:r w:rsidRPr="0053423A">
              <w:rPr>
                <w:lang w:val="hy-AM"/>
              </w:rPr>
              <w:t xml:space="preserve"> </w:t>
            </w:r>
            <w:r w:rsidRPr="0053423A">
              <w:rPr>
                <w:rFonts w:cs="Sylfaen"/>
                <w:lang w:val="hy-AM"/>
              </w:rPr>
              <w:t>ԱԺՈ</w:t>
            </w:r>
            <w:r w:rsidRPr="0053423A">
              <w:rPr>
                <w:lang w:val="hy-AM"/>
              </w:rPr>
              <w:t>-002-</w:t>
            </w:r>
            <w:r w:rsidRPr="0053423A">
              <w:rPr>
                <w:rFonts w:cs="Sylfaen"/>
                <w:lang w:val="hy-AM"/>
              </w:rPr>
              <w:t>Ն</w:t>
            </w:r>
            <w:r w:rsidRPr="0053423A">
              <w:rPr>
                <w:lang w:val="hy-AM"/>
              </w:rPr>
              <w:t xml:space="preserve"> </w:t>
            </w:r>
            <w:r w:rsidRPr="0053423A">
              <w:rPr>
                <w:rFonts w:cs="Sylfaen"/>
                <w:lang w:val="hy-AM"/>
              </w:rPr>
              <w:t>որոշմամբ</w:t>
            </w:r>
            <w:r w:rsidRPr="0053423A">
              <w:rPr>
                <w:lang w:val="hy-AM"/>
              </w:rPr>
              <w:t xml:space="preserve"> </w:t>
            </w:r>
            <w:r w:rsidRPr="0053423A">
              <w:rPr>
                <w:rFonts w:cs="Sylfaen"/>
                <w:lang w:val="hy-AM"/>
              </w:rPr>
              <w:t>հավանության</w:t>
            </w:r>
            <w:r w:rsidRPr="0053423A">
              <w:rPr>
                <w:lang w:val="hy-AM"/>
              </w:rPr>
              <w:t xml:space="preserve"> </w:t>
            </w:r>
            <w:r w:rsidRPr="0053423A">
              <w:rPr>
                <w:rFonts w:cs="Sylfaen"/>
                <w:lang w:val="hy-AM"/>
              </w:rPr>
              <w:t>արժանացած</w:t>
            </w:r>
            <w:r w:rsidRPr="0053423A">
              <w:rPr>
                <w:rFonts w:cs="Sylfaen"/>
                <w:lang w:val="it-IT"/>
              </w:rPr>
              <w:t xml:space="preserve"> ՀՀ  կառավարության ծրագրի </w:t>
            </w:r>
            <w:r w:rsidRPr="0053423A">
              <w:rPr>
                <w:lang w:val="hy-AM"/>
              </w:rPr>
              <w:t>«</w:t>
            </w:r>
            <w:r w:rsidRPr="0053423A">
              <w:rPr>
                <w:rFonts w:cs="Sylfaen"/>
                <w:lang w:val="it-IT"/>
              </w:rPr>
              <w:t>5.10 Գյուղատնտեսություն</w:t>
            </w:r>
            <w:r w:rsidRPr="0053423A">
              <w:rPr>
                <w:lang w:val="hy-AM"/>
              </w:rPr>
              <w:t>»</w:t>
            </w:r>
            <w:r w:rsidRPr="0053423A">
              <w:rPr>
                <w:lang w:val="it-IT"/>
              </w:rPr>
              <w:t xml:space="preserve"> </w:t>
            </w:r>
            <w:r w:rsidRPr="0053423A">
              <w:rPr>
                <w:lang w:val="hy-AM"/>
              </w:rPr>
              <w:t>բաժնի</w:t>
            </w:r>
            <w:r w:rsidRPr="0053423A">
              <w:rPr>
                <w:lang w:val="it-IT"/>
              </w:rPr>
              <w:t xml:space="preserve"> 7-</w:t>
            </w:r>
            <w:r w:rsidRPr="0053423A">
              <w:rPr>
                <w:lang w:val="hy-AM"/>
              </w:rPr>
              <w:t>րդ</w:t>
            </w:r>
            <w:r w:rsidRPr="0053423A">
              <w:rPr>
                <w:lang w:val="it-IT"/>
              </w:rPr>
              <w:t xml:space="preserve"> </w:t>
            </w:r>
            <w:r w:rsidRPr="0053423A">
              <w:rPr>
                <w:lang w:val="hy-AM"/>
              </w:rPr>
              <w:t>պարբերության</w:t>
            </w:r>
            <w:r w:rsidRPr="0053423A">
              <w:rPr>
                <w:lang w:val="it-IT"/>
              </w:rPr>
              <w:t xml:space="preserve"> 7-</w:t>
            </w:r>
            <w:r w:rsidRPr="0053423A">
              <w:rPr>
                <w:lang w:val="hy-AM"/>
              </w:rPr>
              <w:t>րդ</w:t>
            </w:r>
            <w:r w:rsidRPr="0053423A">
              <w:rPr>
                <w:lang w:val="it-IT"/>
              </w:rPr>
              <w:t xml:space="preserve"> </w:t>
            </w:r>
            <w:r w:rsidRPr="0053423A">
              <w:rPr>
                <w:lang w:val="hy-AM"/>
              </w:rPr>
              <w:t>ենթապարբերության</w:t>
            </w:r>
            <w:r w:rsidRPr="0053423A">
              <w:rPr>
                <w:rFonts w:cs="Sylfaen"/>
                <w:lang w:val="hy-AM"/>
              </w:rPr>
              <w:t xml:space="preserve"> դրույթների իրականացման անհրաժեշտությամբ։ </w:t>
            </w:r>
          </w:p>
          <w:p w:rsidR="00530B14" w:rsidRPr="0053423A" w:rsidRDefault="00530B14" w:rsidP="00A67858">
            <w:pPr>
              <w:pStyle w:val="ListParagraph"/>
              <w:spacing w:line="276" w:lineRule="auto"/>
              <w:ind w:left="0"/>
              <w:jc w:val="both"/>
              <w:rPr>
                <w:lang w:val="hy-AM"/>
              </w:rPr>
            </w:pPr>
            <w:r w:rsidRPr="0053423A">
              <w:rPr>
                <w:lang w:val="hy-AM"/>
              </w:rPr>
              <w:tab/>
              <w:t>Գյուղատնտեսության հետագա զարգացման ապահովման գործում մասնագի</w:t>
            </w:r>
            <w:r w:rsidRPr="0053423A">
              <w:rPr>
                <w:lang w:val="hy-AM"/>
              </w:rPr>
              <w:softHyphen/>
              <w:t>տա</w:t>
            </w:r>
            <w:r w:rsidRPr="0053423A">
              <w:rPr>
                <w:lang w:val="hy-AM"/>
              </w:rPr>
              <w:softHyphen/>
              <w:t>կան խորհրդատվության և տեղեկատվության համակարգված քաղաքականու</w:t>
            </w:r>
            <w:r w:rsidRPr="0053423A">
              <w:rPr>
                <w:lang w:val="hy-AM"/>
              </w:rPr>
              <w:softHyphen/>
              <w:t>թյան իրականացման անհրաժեշտությունն ամրագրված է Հայաստանի Հանրա</w:t>
            </w:r>
            <w:r w:rsidRPr="0053423A">
              <w:rPr>
                <w:lang w:val="hy-AM"/>
              </w:rPr>
              <w:softHyphen/>
              <w:t>պետության գյուղի և գյուղատնտեսության 2010-2020 թվականների կայուն զար</w:t>
            </w:r>
            <w:r w:rsidRPr="0053423A">
              <w:rPr>
                <w:lang w:val="hy-AM"/>
              </w:rPr>
              <w:softHyphen/>
              <w:t>գացման ռազ</w:t>
            </w:r>
            <w:r w:rsidRPr="0053423A">
              <w:rPr>
                <w:lang w:val="hy-AM"/>
              </w:rPr>
              <w:softHyphen/>
              <w:t>մավարության դրույթներում: Գյուղացիական տնտեսությունների հա</w:t>
            </w:r>
            <w:r w:rsidRPr="0053423A">
              <w:rPr>
                <w:lang w:val="hy-AM"/>
              </w:rPr>
              <w:softHyphen/>
              <w:t>մար մասնագի</w:t>
            </w:r>
            <w:r w:rsidRPr="0053423A">
              <w:rPr>
                <w:lang w:val="hy-AM"/>
              </w:rPr>
              <w:softHyphen/>
              <w:t>տական դասընթացների կազմակերպման կարևորությունը իր արտա</w:t>
            </w:r>
            <w:r w:rsidRPr="0053423A">
              <w:rPr>
                <w:lang w:val="hy-AM"/>
              </w:rPr>
              <w:softHyphen/>
              <w:t xml:space="preserve">ցոլումն է գտել  </w:t>
            </w:r>
            <w:r w:rsidRPr="0053423A">
              <w:rPr>
                <w:spacing w:val="4"/>
                <w:lang w:val="hy-AM"/>
              </w:rPr>
              <w:t>ՀՀ</w:t>
            </w:r>
            <w:r w:rsidRPr="0053423A">
              <w:rPr>
                <w:spacing w:val="4"/>
                <w:lang w:val="it-IT"/>
              </w:rPr>
              <w:t xml:space="preserve"> </w:t>
            </w:r>
            <w:r w:rsidRPr="0053423A">
              <w:rPr>
                <w:spacing w:val="4"/>
                <w:lang w:val="hy-AM"/>
              </w:rPr>
              <w:t>կառավարության</w:t>
            </w:r>
            <w:r w:rsidRPr="0053423A">
              <w:rPr>
                <w:spacing w:val="4"/>
                <w:lang w:val="it-IT"/>
              </w:rPr>
              <w:t xml:space="preserve"> 2018 </w:t>
            </w:r>
            <w:r w:rsidRPr="0053423A">
              <w:rPr>
                <w:spacing w:val="4"/>
                <w:lang w:val="hy-AM"/>
              </w:rPr>
              <w:t>թվականի</w:t>
            </w:r>
            <w:r w:rsidRPr="0053423A">
              <w:rPr>
                <w:spacing w:val="4"/>
                <w:lang w:val="it-IT"/>
              </w:rPr>
              <w:t xml:space="preserve"> </w:t>
            </w:r>
            <w:r w:rsidRPr="0053423A">
              <w:rPr>
                <w:spacing w:val="-2"/>
                <w:lang w:val="hy-AM"/>
              </w:rPr>
              <w:t>սեպտեմբեր</w:t>
            </w:r>
            <w:r w:rsidRPr="0053423A">
              <w:rPr>
                <w:rFonts w:cs="Sylfaen"/>
                <w:spacing w:val="-4"/>
                <w:lang w:val="fr-FR"/>
              </w:rPr>
              <w:t>ի</w:t>
            </w:r>
            <w:r w:rsidRPr="0053423A">
              <w:rPr>
                <w:spacing w:val="-2"/>
                <w:lang w:val="it-IT"/>
              </w:rPr>
              <w:t xml:space="preserve">  6-</w:t>
            </w:r>
            <w:r w:rsidRPr="0053423A">
              <w:rPr>
                <w:spacing w:val="-2"/>
                <w:lang w:val="hy-AM"/>
              </w:rPr>
              <w:t>ի</w:t>
            </w:r>
            <w:r w:rsidRPr="0053423A">
              <w:rPr>
                <w:spacing w:val="-2"/>
                <w:lang w:val="it-IT"/>
              </w:rPr>
              <w:t xml:space="preserve"> N 1030-</w:t>
            </w:r>
            <w:r w:rsidRPr="0053423A">
              <w:rPr>
                <w:spacing w:val="-2"/>
                <w:lang w:val="hy-AM"/>
              </w:rPr>
              <w:t>Լ</w:t>
            </w:r>
            <w:r w:rsidRPr="0053423A">
              <w:rPr>
                <w:spacing w:val="-2"/>
                <w:lang w:val="it-IT"/>
              </w:rPr>
              <w:t xml:space="preserve"> </w:t>
            </w:r>
            <w:r w:rsidRPr="0053423A">
              <w:rPr>
                <w:spacing w:val="-2"/>
                <w:lang w:val="hy-AM"/>
              </w:rPr>
              <w:t xml:space="preserve"> </w:t>
            </w:r>
            <w:r w:rsidRPr="0053423A">
              <w:rPr>
                <w:lang w:val="hy-AM"/>
              </w:rPr>
              <w:t>որոշմամբ հաստատ</w:t>
            </w:r>
            <w:r w:rsidRPr="0053423A">
              <w:rPr>
                <w:lang w:val="hy-AM"/>
              </w:rPr>
              <w:softHyphen/>
              <w:t xml:space="preserve">ված </w:t>
            </w:r>
            <w:r w:rsidRPr="0053423A">
              <w:rPr>
                <w:rFonts w:cs="Arial"/>
                <w:lang w:val="hy-AM"/>
              </w:rPr>
              <w:t>Հայաստանի</w:t>
            </w:r>
            <w:r w:rsidRPr="0053423A">
              <w:rPr>
                <w:rFonts w:cs="Arial Armenian"/>
                <w:lang w:val="hy-AM"/>
              </w:rPr>
              <w:t xml:space="preserve"> </w:t>
            </w:r>
            <w:r w:rsidRPr="0053423A">
              <w:rPr>
                <w:rFonts w:cs="Arial"/>
                <w:lang w:val="hy-AM"/>
              </w:rPr>
              <w:t>Հանրապետության</w:t>
            </w:r>
            <w:r w:rsidRPr="0053423A">
              <w:rPr>
                <w:lang w:val="hy-AM"/>
              </w:rPr>
              <w:t xml:space="preserve"> </w:t>
            </w:r>
            <w:r w:rsidRPr="0053423A">
              <w:rPr>
                <w:rFonts w:cs="Arial"/>
                <w:lang w:val="hy-AM"/>
              </w:rPr>
              <w:t>կառավարության</w:t>
            </w:r>
            <w:r w:rsidRPr="0053423A">
              <w:rPr>
                <w:rFonts w:cs="Arial Armenian"/>
                <w:lang w:val="hy-AM"/>
              </w:rPr>
              <w:t xml:space="preserve"> 2018-2022 </w:t>
            </w:r>
            <w:r w:rsidRPr="0053423A">
              <w:rPr>
                <w:rFonts w:cs="Arial"/>
                <w:lang w:val="hy-AM"/>
              </w:rPr>
              <w:t>թվականների</w:t>
            </w:r>
            <w:r w:rsidRPr="0053423A">
              <w:rPr>
                <w:rFonts w:cs="Arial Armenian"/>
                <w:lang w:val="hy-AM"/>
              </w:rPr>
              <w:t xml:space="preserve"> </w:t>
            </w:r>
            <w:r w:rsidRPr="0053423A">
              <w:rPr>
                <w:rFonts w:cs="Arial"/>
                <w:lang w:val="hy-AM"/>
              </w:rPr>
              <w:t>գոր</w:t>
            </w:r>
            <w:r w:rsidRPr="0053423A">
              <w:rPr>
                <w:rFonts w:cs="Arial"/>
                <w:lang w:val="hy-AM"/>
              </w:rPr>
              <w:softHyphen/>
              <w:t>ծու</w:t>
            </w:r>
            <w:r w:rsidRPr="0053423A">
              <w:rPr>
                <w:rFonts w:cs="Arial"/>
                <w:lang w:val="hy-AM"/>
              </w:rPr>
              <w:softHyphen/>
              <w:t>նեության</w:t>
            </w:r>
            <w:r w:rsidRPr="0053423A">
              <w:rPr>
                <w:rFonts w:cs="Arial Armenian"/>
                <w:lang w:val="hy-AM"/>
              </w:rPr>
              <w:t xml:space="preserve"> </w:t>
            </w:r>
            <w:r w:rsidRPr="0053423A">
              <w:rPr>
                <w:rFonts w:cs="Arial"/>
                <w:lang w:val="hy-AM"/>
              </w:rPr>
              <w:t>միջոցառումների</w:t>
            </w:r>
            <w:r w:rsidRPr="0053423A">
              <w:rPr>
                <w:rFonts w:cs="Arial Armenian"/>
                <w:lang w:val="hy-AM"/>
              </w:rPr>
              <w:t xml:space="preserve"> </w:t>
            </w:r>
            <w:r w:rsidRPr="0053423A">
              <w:rPr>
                <w:rFonts w:cs="Arial"/>
                <w:lang w:val="hy-AM"/>
              </w:rPr>
              <w:t>ծրագրի 117-րդ կետում:</w:t>
            </w:r>
            <w:r w:rsidRPr="0053423A">
              <w:rPr>
                <w:lang w:val="hy-AM"/>
              </w:rPr>
              <w:t xml:space="preserve"> </w:t>
            </w:r>
          </w:p>
          <w:p w:rsidR="00530B14" w:rsidRPr="0053423A" w:rsidRDefault="00530B14" w:rsidP="00A67858">
            <w:pPr>
              <w:pStyle w:val="ListParagraph"/>
              <w:spacing w:line="276" w:lineRule="auto"/>
              <w:ind w:left="0"/>
              <w:jc w:val="both"/>
              <w:rPr>
                <w:lang w:val="hy-AM"/>
              </w:rPr>
            </w:pPr>
            <w:r w:rsidRPr="0053423A">
              <w:rPr>
                <w:lang w:val="hy-AM"/>
              </w:rPr>
              <w:t xml:space="preserve"> </w:t>
            </w:r>
            <w:r w:rsidRPr="0053423A">
              <w:rPr>
                <w:lang w:val="hy-AM"/>
              </w:rPr>
              <w:tab/>
              <w:t>ՀՀ գյուղատնտեսության զարգացման ռազմավարությունը և ՀՀ գյուղա</w:t>
            </w:r>
            <w:r w:rsidRPr="0053423A">
              <w:rPr>
                <w:lang w:val="hy-AM"/>
              </w:rPr>
              <w:softHyphen/>
              <w:t>տնտե</w:t>
            </w:r>
            <w:r w:rsidRPr="0053423A">
              <w:rPr>
                <w:lang w:val="hy-AM"/>
              </w:rPr>
              <w:softHyphen/>
              <w:t>սության նախարարության ընթացիկ և նախատեսվող ծրագրերի իրակա</w:t>
            </w:r>
            <w:r w:rsidRPr="0053423A">
              <w:rPr>
                <w:lang w:val="hy-AM"/>
              </w:rPr>
              <w:softHyphen/>
              <w:t>նացումը պահանջում է գիտելիքների և հմտությունների հետևողական կատարե</w:t>
            </w:r>
            <w:r w:rsidRPr="0053423A">
              <w:rPr>
                <w:lang w:val="hy-AM"/>
              </w:rPr>
              <w:softHyphen/>
              <w:t>լագործում՝ ուսուցման և խորհրդատվությոն միջոցով:</w:t>
            </w:r>
            <w:r w:rsidRPr="0053423A">
              <w:rPr>
                <w:rFonts w:ascii="Calibri" w:hAnsi="Calibri" w:cs="Calibri"/>
                <w:lang w:val="hy-AM"/>
              </w:rPr>
              <w:t> </w:t>
            </w:r>
            <w:r w:rsidRPr="0053423A">
              <w:rPr>
                <w:lang w:val="hy-AM"/>
              </w:rPr>
              <w:t>Ծրագրի նպատակն է՝ գյուղատնտեսու</w:t>
            </w:r>
            <w:r w:rsidRPr="0053423A">
              <w:rPr>
                <w:lang w:val="hy-AM"/>
              </w:rPr>
              <w:softHyphen/>
              <w:t>թյու</w:t>
            </w:r>
            <w:r w:rsidRPr="0053423A">
              <w:rPr>
                <w:lang w:val="hy-AM"/>
              </w:rPr>
              <w:softHyphen/>
              <w:t>նում տնտեսավարողների համար գիտության նվաճումների, նոր տեխնոլոգիաների, գյուղատնտեսության արդյունավետ վարման և գյուղա</w:t>
            </w:r>
            <w:r w:rsidRPr="0053423A">
              <w:rPr>
                <w:lang w:val="hy-AM"/>
              </w:rPr>
              <w:softHyphen/>
              <w:t>տնտե</w:t>
            </w:r>
            <w:r w:rsidRPr="0053423A">
              <w:rPr>
                <w:lang w:val="hy-AM"/>
              </w:rPr>
              <w:softHyphen/>
              <w:t>սության վերաբերյալ արդյունավետ խորհրդատվության տրամադրումը:</w:t>
            </w:r>
          </w:p>
          <w:p w:rsidR="00530B14" w:rsidRPr="0053423A" w:rsidRDefault="00530B14" w:rsidP="00A67858">
            <w:pPr>
              <w:spacing w:line="276" w:lineRule="auto"/>
              <w:jc w:val="both"/>
              <w:rPr>
                <w:b/>
                <w:lang w:val="hy-AM" w:eastAsia="en-GB"/>
              </w:rPr>
            </w:pPr>
            <w:r w:rsidRPr="0053423A">
              <w:rPr>
                <w:b/>
                <w:lang w:val="hy-AM" w:eastAsia="en-GB"/>
              </w:rPr>
              <w:tab/>
              <w:t>1.1 Կարգավորման հարաբերությունների ներկա վիճակը և առկա խնդիրները</w:t>
            </w:r>
          </w:p>
          <w:p w:rsidR="00530B14" w:rsidRPr="0053423A" w:rsidRDefault="00530B14" w:rsidP="00A67858">
            <w:pPr>
              <w:pStyle w:val="ListParagraph"/>
              <w:spacing w:line="276" w:lineRule="auto"/>
              <w:ind w:left="0" w:firstLine="284"/>
              <w:jc w:val="both"/>
              <w:rPr>
                <w:shd w:val="clear" w:color="auto" w:fill="FFFFFF"/>
                <w:lang w:val="hy-AM"/>
              </w:rPr>
            </w:pPr>
            <w:r w:rsidRPr="0053423A">
              <w:rPr>
                <w:lang w:val="hy-AM"/>
              </w:rPr>
              <w:t>Ներկայումս շարունակում է հրատապ մնալ ժամանակակից ագրոտեխնիկական կանոնների և տեխնո</w:t>
            </w:r>
            <w:r w:rsidRPr="0053423A">
              <w:rPr>
                <w:lang w:val="hy-AM"/>
              </w:rPr>
              <w:softHyphen/>
              <w:t>լոգիա</w:t>
            </w:r>
            <w:r w:rsidRPr="0053423A">
              <w:rPr>
                <w:lang w:val="hy-AM"/>
              </w:rPr>
              <w:softHyphen/>
              <w:t>կան նորարարությունների կիրառման ցածր մակարդակը, գյուղացիական տնտե</w:t>
            </w:r>
            <w:r w:rsidRPr="0053423A">
              <w:rPr>
                <w:lang w:val="hy-AM"/>
              </w:rPr>
              <w:softHyphen/>
              <w:t>սությունների գործունեության արդյունավետության բարձրացման անհրաժեշտությունը:</w:t>
            </w:r>
            <w:r w:rsidRPr="0053423A">
              <w:rPr>
                <w:shd w:val="clear" w:color="auto" w:fill="FFFFFF"/>
                <w:lang w:val="hy-AM"/>
              </w:rPr>
              <w:t xml:space="preserve"> Հանրապետության գյուղատնտեսության ոլորտի լիարժեք գույքա</w:t>
            </w:r>
            <w:r w:rsidRPr="0053423A">
              <w:rPr>
                <w:shd w:val="clear" w:color="auto" w:fill="FFFFFF"/>
                <w:lang w:val="hy-AM"/>
              </w:rPr>
              <w:softHyphen/>
              <w:t>գրում, և որպես արդյունք ագրոպարենային համալիրի կառավարման արդյունա</w:t>
            </w:r>
            <w:r w:rsidRPr="0053423A">
              <w:rPr>
                <w:shd w:val="clear" w:color="auto" w:fill="FFFFFF"/>
                <w:lang w:val="hy-AM"/>
              </w:rPr>
              <w:softHyphen/>
              <w:t>վե</w:t>
            </w:r>
            <w:r w:rsidRPr="0053423A">
              <w:rPr>
                <w:shd w:val="clear" w:color="auto" w:fill="FFFFFF"/>
                <w:lang w:val="hy-AM"/>
              </w:rPr>
              <w:softHyphen/>
              <w:t>տության բարձրացում։ Հանրապետության գյուղատնտեսության ներկայիս վիճակի և դրա զարգացման վերաբերյալ օբյեկտիվ և հավաստի տեղեկատվության տրամադրում։ Գյուղատնտեսության կառավարման ոլորտում արդիական տեղեկատվական տեխնոլո</w:t>
            </w:r>
            <w:r w:rsidRPr="0053423A">
              <w:rPr>
                <w:shd w:val="clear" w:color="auto" w:fill="FFFFFF"/>
                <w:lang w:val="hy-AM"/>
              </w:rPr>
              <w:softHyphen/>
              <w:t>գիաների օգտագործմամբ հանրապետության գյուղատնտեսության ոլորտի մրցունա</w:t>
            </w:r>
            <w:r w:rsidRPr="0053423A">
              <w:rPr>
                <w:shd w:val="clear" w:color="auto" w:fill="FFFFFF"/>
                <w:lang w:val="hy-AM"/>
              </w:rPr>
              <w:softHyphen/>
              <w:t>կության բարձրացում:</w:t>
            </w:r>
          </w:p>
          <w:p w:rsidR="00530B14" w:rsidRPr="0053423A" w:rsidRDefault="00530B14" w:rsidP="00A67858">
            <w:pPr>
              <w:spacing w:line="276" w:lineRule="auto"/>
              <w:jc w:val="both"/>
              <w:rPr>
                <w:b/>
                <w:lang w:val="hy-AM" w:eastAsia="en-GB"/>
              </w:rPr>
            </w:pPr>
            <w:r w:rsidRPr="0053423A">
              <w:rPr>
                <w:b/>
                <w:lang w:val="hy-AM" w:eastAsia="en-GB"/>
              </w:rPr>
              <w:tab/>
              <w:t>1.2 Առկա խնդիրների առաջարկվող լուծումները</w:t>
            </w:r>
          </w:p>
          <w:p w:rsidR="00530B14" w:rsidRPr="0053423A" w:rsidRDefault="00530B14" w:rsidP="00A67858">
            <w:pPr>
              <w:spacing w:line="276" w:lineRule="auto"/>
              <w:ind w:firstLine="426"/>
              <w:jc w:val="both"/>
              <w:rPr>
                <w:lang w:val="hy-AM"/>
              </w:rPr>
            </w:pPr>
            <w:r w:rsidRPr="0053423A">
              <w:rPr>
                <w:lang w:val="hy-AM"/>
              </w:rPr>
              <w:t>Նախատեսվում է Հայաստանի Հանրապետությունում արդյունավետ գյուղա</w:t>
            </w:r>
            <w:r w:rsidRPr="0053423A">
              <w:rPr>
                <w:lang w:val="hy-AM"/>
              </w:rPr>
              <w:softHyphen/>
              <w:t>տն</w:t>
            </w:r>
            <w:r w:rsidRPr="0053423A">
              <w:rPr>
                <w:lang w:val="hy-AM"/>
              </w:rPr>
              <w:softHyphen/>
              <w:t>տեսության վարման ուղղությամբ մատուցվող խորհրդատվության տարածման վերա</w:t>
            </w:r>
            <w:r w:rsidRPr="0053423A">
              <w:rPr>
                <w:lang w:val="hy-AM"/>
              </w:rPr>
              <w:softHyphen/>
              <w:t>բերյալ ամբողջական տեղեկատվության հասանելիության և մատչելիության մակար</w:t>
            </w:r>
            <w:r w:rsidRPr="0053423A">
              <w:rPr>
                <w:lang w:val="hy-AM"/>
              </w:rPr>
              <w:softHyphen/>
              <w:t>դակի բարձրացում, գյուղացիական տնտե</w:t>
            </w:r>
            <w:r w:rsidRPr="0053423A">
              <w:rPr>
                <w:lang w:val="hy-AM"/>
              </w:rPr>
              <w:softHyphen/>
              <w:t>սություններին խորհրդա</w:t>
            </w:r>
            <w:r w:rsidRPr="0053423A">
              <w:rPr>
                <w:lang w:val="hy-AM"/>
              </w:rPr>
              <w:softHyphen/>
              <w:t>տվական և տեղե</w:t>
            </w:r>
            <w:r w:rsidRPr="0053423A">
              <w:rPr>
                <w:lang w:val="hy-AM"/>
              </w:rPr>
              <w:softHyphen/>
              <w:t>կատվա</w:t>
            </w:r>
            <w:r w:rsidRPr="0053423A">
              <w:rPr>
                <w:lang w:val="hy-AM"/>
              </w:rPr>
              <w:softHyphen/>
              <w:t>կան ծառայությունների մատուցման արդյունավետ մեխանիզմների մշակում, գյուղատնտեսությունում տնտեսվարող</w:t>
            </w:r>
            <w:r w:rsidRPr="0053423A">
              <w:rPr>
                <w:lang w:val="hy-AM"/>
              </w:rPr>
              <w:softHyphen/>
              <w:t>ների համար գիտության նվաճումների, նոր տեխնոլոգիաների և միջազգային փորձի հասանելիության բարձրացում, մասնագի</w:t>
            </w:r>
            <w:r w:rsidRPr="0053423A">
              <w:rPr>
                <w:lang w:val="hy-AM"/>
              </w:rPr>
              <w:softHyphen/>
              <w:t>տական խորհրդատվության և տեղե</w:t>
            </w:r>
            <w:r w:rsidRPr="0053423A">
              <w:rPr>
                <w:lang w:val="hy-AM"/>
              </w:rPr>
              <w:softHyphen/>
              <w:t>կա</w:t>
            </w:r>
            <w:r w:rsidRPr="0053423A">
              <w:rPr>
                <w:lang w:val="hy-AM"/>
              </w:rPr>
              <w:softHyphen/>
              <w:t>տվու</w:t>
            </w:r>
            <w:r w:rsidRPr="0053423A">
              <w:rPr>
                <w:lang w:val="hy-AM"/>
              </w:rPr>
              <w:softHyphen/>
              <w:t>թյան համակարգված քաղաքականության իրականացում:</w:t>
            </w:r>
          </w:p>
          <w:p w:rsidR="00530B14" w:rsidRPr="0053423A" w:rsidRDefault="00530B14" w:rsidP="00A67858">
            <w:pPr>
              <w:spacing w:line="276" w:lineRule="auto"/>
              <w:ind w:left="375" w:firstLine="358"/>
              <w:jc w:val="both"/>
              <w:rPr>
                <w:b/>
                <w:lang w:val="hy-AM" w:eastAsia="en-GB"/>
              </w:rPr>
            </w:pPr>
            <w:r w:rsidRPr="0053423A">
              <w:rPr>
                <w:b/>
                <w:lang w:val="hy-AM" w:eastAsia="en-GB"/>
              </w:rPr>
              <w:t>2. Միջոցառման իրակացումից ակնկալվող արդյունքը</w:t>
            </w:r>
          </w:p>
          <w:p w:rsidR="00530B14" w:rsidRPr="0053423A" w:rsidRDefault="00530B14" w:rsidP="00A67858">
            <w:pPr>
              <w:pStyle w:val="ListParagraph"/>
              <w:spacing w:line="276" w:lineRule="auto"/>
              <w:ind w:left="0" w:firstLine="426"/>
              <w:jc w:val="both"/>
              <w:rPr>
                <w:lang w:val="af-ZA"/>
              </w:rPr>
            </w:pPr>
            <w:r w:rsidRPr="0053423A">
              <w:rPr>
                <w:rFonts w:cs="Sylfaen"/>
                <w:lang w:val="hy-AM"/>
              </w:rPr>
              <w:t>Գյուղատնտեսությունում տ</w:t>
            </w:r>
            <w:r w:rsidRPr="0053423A">
              <w:rPr>
                <w:lang w:val="hy-AM"/>
              </w:rPr>
              <w:t>նտեսավարողների տեղե</w:t>
            </w:r>
            <w:r w:rsidRPr="0053423A">
              <w:rPr>
                <w:lang w:val="hy-AM"/>
              </w:rPr>
              <w:softHyphen/>
              <w:t>կացվածության մակար</w:t>
            </w:r>
            <w:r w:rsidRPr="0053423A">
              <w:rPr>
                <w:lang w:val="hy-AM"/>
              </w:rPr>
              <w:softHyphen/>
              <w:t>դա</w:t>
            </w:r>
            <w:r w:rsidRPr="0053423A">
              <w:rPr>
                <w:lang w:val="hy-AM"/>
              </w:rPr>
              <w:softHyphen/>
              <w:t>կի բարելավում, խորհրդա</w:t>
            </w:r>
            <w:r w:rsidRPr="0053423A">
              <w:rPr>
                <w:lang w:val="hy-AM"/>
              </w:rPr>
              <w:softHyphen/>
              <w:t>տվու</w:t>
            </w:r>
            <w:r w:rsidRPr="0053423A">
              <w:rPr>
                <w:lang w:val="hy-AM"/>
              </w:rPr>
              <w:softHyphen/>
              <w:t>թյան որակի բարձրա</w:t>
            </w:r>
            <w:r w:rsidRPr="0053423A">
              <w:rPr>
                <w:lang w:val="hy-AM"/>
              </w:rPr>
              <w:softHyphen/>
              <w:t>ցում, փորձացուցադրական տնտեսությունների ստեղ</w:t>
            </w:r>
            <w:r w:rsidRPr="0053423A">
              <w:rPr>
                <w:lang w:val="hy-AM"/>
              </w:rPr>
              <w:softHyphen/>
              <w:t>ծում, տնտեսավարողների կարողությունների հզորացում, տնտեսությունների վարման արդյունավետության բարձրացում, գյուղատնտե</w:t>
            </w:r>
            <w:r w:rsidRPr="0053423A">
              <w:rPr>
                <w:lang w:val="hy-AM"/>
              </w:rPr>
              <w:softHyphen/>
              <w:t>սության նորարարական տեխնոլո</w:t>
            </w:r>
            <w:r w:rsidRPr="0053423A">
              <w:rPr>
                <w:lang w:val="hy-AM"/>
              </w:rPr>
              <w:softHyphen/>
              <w:t>գիաների իրազեկվածության բարձրացում և կիրառություն, մասնագիտական գիտելիքների և տեղեկացվածության բարելավում, տնտեսավա</w:t>
            </w:r>
            <w:r w:rsidRPr="0053423A">
              <w:rPr>
                <w:lang w:val="hy-AM"/>
              </w:rPr>
              <w:softHyphen/>
              <w:t>րող</w:t>
            </w:r>
            <w:r w:rsidRPr="0053423A">
              <w:rPr>
                <w:lang w:val="hy-AM"/>
              </w:rPr>
              <w:softHyphen/>
              <w:t>ների մասնագի</w:t>
            </w:r>
            <w:r w:rsidRPr="0053423A">
              <w:rPr>
                <w:lang w:val="hy-AM"/>
              </w:rPr>
              <w:softHyphen/>
              <w:t>տական պատրաստվածու</w:t>
            </w:r>
            <w:r w:rsidRPr="0053423A">
              <w:rPr>
                <w:lang w:val="hy-AM"/>
              </w:rPr>
              <w:softHyphen/>
              <w:t>թյան բարձրացում և աջակցություն՝ տեղեկա</w:t>
            </w:r>
            <w:r w:rsidRPr="0053423A">
              <w:rPr>
                <w:lang w:val="hy-AM"/>
              </w:rPr>
              <w:softHyphen/>
              <w:t>տվություն, լրացուցիչ գիտելիք ու հմտություններ փոխանցելու և կարողություններ զարգացնելու  միջոցով, գյուղա</w:t>
            </w:r>
            <w:r w:rsidRPr="0053423A">
              <w:rPr>
                <w:lang w:val="hy-AM"/>
              </w:rPr>
              <w:softHyphen/>
              <w:t>տնտե</w:t>
            </w:r>
            <w:r w:rsidRPr="0053423A">
              <w:rPr>
                <w:lang w:val="hy-AM"/>
              </w:rPr>
              <w:softHyphen/>
              <w:t>սության ոլոր</w:t>
            </w:r>
            <w:r w:rsidRPr="0053423A">
              <w:rPr>
                <w:lang w:val="hy-AM"/>
              </w:rPr>
              <w:softHyphen/>
              <w:t>տում ներդրումների ավելացում:</w:t>
            </w:r>
          </w:p>
          <w:p w:rsidR="00530B14" w:rsidRPr="0053423A" w:rsidRDefault="00530B14" w:rsidP="00A67858">
            <w:pPr>
              <w:spacing w:line="276" w:lineRule="auto"/>
              <w:jc w:val="center"/>
              <w:rPr>
                <w:b/>
                <w:bCs/>
                <w:iCs/>
                <w:lang w:val="af-ZA"/>
              </w:rPr>
            </w:pPr>
          </w:p>
        </w:tc>
      </w:tr>
      <w:tr w:rsidR="00530B14" w:rsidRPr="0053423A" w:rsidTr="004440EB">
        <w:tc>
          <w:tcPr>
            <w:tcW w:w="480" w:type="dxa"/>
          </w:tcPr>
          <w:p w:rsidR="00530B14" w:rsidRPr="0053423A" w:rsidRDefault="00530B14" w:rsidP="00A67858">
            <w:pPr>
              <w:spacing w:line="276" w:lineRule="auto"/>
              <w:jc w:val="center"/>
              <w:rPr>
                <w:b/>
                <w:bCs/>
                <w:iCs/>
              </w:rPr>
            </w:pPr>
            <w:r w:rsidRPr="0053423A">
              <w:rPr>
                <w:b/>
                <w:bCs/>
                <w:iCs/>
              </w:rPr>
              <w:t>13</w:t>
            </w:r>
          </w:p>
        </w:tc>
        <w:tc>
          <w:tcPr>
            <w:tcW w:w="10879" w:type="dxa"/>
          </w:tcPr>
          <w:p w:rsidR="00530B14" w:rsidRPr="0053423A" w:rsidRDefault="00530B14" w:rsidP="00A67858">
            <w:pPr>
              <w:spacing w:line="276" w:lineRule="auto"/>
              <w:jc w:val="center"/>
              <w:rPr>
                <w:b/>
                <w:lang w:val="hy-AM"/>
              </w:rPr>
            </w:pPr>
            <w:r w:rsidRPr="0053423A">
              <w:rPr>
                <w:b/>
                <w:lang w:val="hy-AM"/>
              </w:rPr>
              <w:t>Գյուղատնտեսությունում ապահովագրա</w:t>
            </w:r>
            <w:r w:rsidRPr="0053423A">
              <w:rPr>
                <w:b/>
              </w:rPr>
              <w:softHyphen/>
            </w:r>
            <w:r w:rsidRPr="0053423A">
              <w:rPr>
                <w:b/>
                <w:lang w:val="hy-AM"/>
              </w:rPr>
              <w:t>կան համակարգի ներդր</w:t>
            </w:r>
            <w:r w:rsidRPr="0053423A">
              <w:rPr>
                <w:b/>
              </w:rPr>
              <w:softHyphen/>
            </w:r>
            <w:r w:rsidRPr="0053423A">
              <w:rPr>
                <w:b/>
                <w:lang w:val="hy-AM"/>
              </w:rPr>
              <w:t>ում</w:t>
            </w:r>
          </w:p>
          <w:p w:rsidR="00530B14" w:rsidRPr="0053423A" w:rsidRDefault="00530B14" w:rsidP="00A67858">
            <w:pPr>
              <w:spacing w:line="276" w:lineRule="auto"/>
              <w:jc w:val="center"/>
              <w:rPr>
                <w:b/>
                <w:lang w:val="hy-AM"/>
              </w:rPr>
            </w:pPr>
          </w:p>
          <w:p w:rsidR="00530B14" w:rsidRPr="0053423A" w:rsidRDefault="00530B14" w:rsidP="00A67858">
            <w:pPr>
              <w:spacing w:line="276" w:lineRule="auto"/>
              <w:ind w:right="-31"/>
              <w:jc w:val="center"/>
              <w:rPr>
                <w:b/>
                <w:u w:val="single"/>
                <w:lang w:val="hy-AM"/>
              </w:rPr>
            </w:pPr>
            <w:r w:rsidRPr="0053423A">
              <w:rPr>
                <w:b/>
                <w:u w:val="single"/>
                <w:lang w:val="hy-AM"/>
              </w:rPr>
              <w:t>13.1 Գյուղատնտեսության ոլորտում ապահովագրական համակարգի ներդրման փորձնական ծրագրի իրականացման համար պետական աջակցություն, հետագայում պիլոտային ծրագրի արդյունքների հիման վրա հիմնական ծրագրի իրականացում</w:t>
            </w:r>
          </w:p>
          <w:p w:rsidR="00530B14" w:rsidRPr="0053423A" w:rsidRDefault="00530B14" w:rsidP="00A67858">
            <w:pPr>
              <w:spacing w:line="276" w:lineRule="auto"/>
              <w:ind w:right="-31"/>
              <w:jc w:val="center"/>
              <w:rPr>
                <w:b/>
                <w:u w:val="single"/>
                <w:lang w:val="hy-AM"/>
              </w:rPr>
            </w:pPr>
          </w:p>
          <w:p w:rsidR="00530B14" w:rsidRPr="0053423A" w:rsidRDefault="00530B14" w:rsidP="00A67858">
            <w:pPr>
              <w:spacing w:line="276" w:lineRule="auto"/>
              <w:ind w:left="279" w:firstLine="261"/>
              <w:jc w:val="both"/>
              <w:rPr>
                <w:rFonts w:cs="Sylfaen"/>
                <w:b/>
                <w:lang w:val="hy-AM"/>
              </w:rPr>
            </w:pPr>
            <w:r w:rsidRPr="0053423A">
              <w:rPr>
                <w:b/>
                <w:lang w:val="hy-AM"/>
              </w:rPr>
              <w:t>1</w:t>
            </w:r>
            <w:r w:rsidRPr="0053423A">
              <w:rPr>
                <w:lang w:val="hy-AM"/>
              </w:rPr>
              <w:t>.</w:t>
            </w:r>
            <w:r w:rsidRPr="0053423A">
              <w:rPr>
                <w:i/>
                <w:lang w:val="hy-AM"/>
              </w:rPr>
              <w:t xml:space="preserve"> </w:t>
            </w:r>
            <w:r w:rsidRPr="0053423A">
              <w:rPr>
                <w:rFonts w:eastAsia="Calibri"/>
                <w:b/>
                <w:lang w:val="hy-AM"/>
              </w:rPr>
              <w:t>Միջոցառման իրականացման ա</w:t>
            </w:r>
            <w:r w:rsidRPr="0053423A">
              <w:rPr>
                <w:rFonts w:cs="Sylfaen"/>
                <w:b/>
                <w:lang w:val="hy-AM"/>
              </w:rPr>
              <w:t>նհրաժեշտությունը և նպատակը</w:t>
            </w:r>
          </w:p>
          <w:p w:rsidR="00530B14" w:rsidRPr="0053423A" w:rsidRDefault="00530B14" w:rsidP="00A67858">
            <w:pPr>
              <w:spacing w:line="276" w:lineRule="auto"/>
              <w:ind w:firstLine="375"/>
              <w:jc w:val="both"/>
              <w:rPr>
                <w:lang w:val="hy-AM"/>
              </w:rPr>
            </w:pPr>
            <w:r w:rsidRPr="0053423A">
              <w:rPr>
                <w:rFonts w:cs="Sylfaen"/>
                <w:lang w:val="hy-AM"/>
              </w:rPr>
              <w:tab/>
            </w:r>
            <w:r w:rsidRPr="0053423A">
              <w:rPr>
                <w:lang w:val="hy-AM"/>
              </w:rPr>
              <w:t>Գյուղատնտեսության ոլորտում ապահովագրական համակարգի ներդրման փորձ</w:t>
            </w:r>
            <w:r w:rsidRPr="0053423A">
              <w:rPr>
                <w:lang w:val="hy-AM"/>
              </w:rPr>
              <w:softHyphen/>
              <w:t xml:space="preserve">նական ծրագրի իրականացման համար պետական աջակցություն ծրագրի </w:t>
            </w:r>
            <w:r w:rsidRPr="0053423A">
              <w:rPr>
                <w:rFonts w:cs="Sylfaen"/>
                <w:lang w:val="hy-AM"/>
              </w:rPr>
              <w:t>(այսու</w:t>
            </w:r>
            <w:r w:rsidRPr="0053423A">
              <w:rPr>
                <w:rFonts w:cs="Sylfaen"/>
                <w:lang w:val="hy-AM"/>
              </w:rPr>
              <w:softHyphen/>
              <w:t xml:space="preserve">հետ՝ Ծրագիր) իրականացումը բխում է ՀՀ ԱԺ 2019 թվականի փետրվարի 14-ի ԱԺՈ-002-Ն որոշմամբ հավանության արժանացած ՀՀ կառավարության ծրագրից </w:t>
            </w:r>
            <w:r w:rsidRPr="0053423A">
              <w:rPr>
                <w:rFonts w:cs="Sylfaen"/>
                <w:lang w:val="af-ZA"/>
              </w:rPr>
              <w:t>(</w:t>
            </w:r>
            <w:r w:rsidRPr="0053423A">
              <w:rPr>
                <w:rFonts w:cs="Sylfaen"/>
                <w:lang w:val="hy-AM"/>
              </w:rPr>
              <w:t>5.10. Գյուղատնտեսությունը բաժին, 7-րդ պարբերության 8-րդ դրույթ):</w:t>
            </w:r>
          </w:p>
          <w:p w:rsidR="00530B14" w:rsidRPr="0053423A" w:rsidRDefault="00530B14" w:rsidP="00A67858">
            <w:pPr>
              <w:spacing w:line="276" w:lineRule="auto"/>
              <w:jc w:val="both"/>
              <w:rPr>
                <w:lang w:val="hy-AM"/>
              </w:rPr>
            </w:pPr>
            <w:r w:rsidRPr="0053423A">
              <w:rPr>
                <w:bCs/>
                <w:lang w:val="hy-AM"/>
              </w:rPr>
              <w:tab/>
              <w:t>Ծրագրի հիմնական նպատակը` գյուղատնտեսության ոլորտում ապահովա</w:t>
            </w:r>
            <w:r w:rsidRPr="0053423A">
              <w:rPr>
                <w:bCs/>
                <w:lang w:val="hy-AM"/>
              </w:rPr>
              <w:softHyphen/>
              <w:t>գրա</w:t>
            </w:r>
            <w:r w:rsidRPr="0053423A">
              <w:rPr>
                <w:bCs/>
                <w:lang w:val="hy-AM"/>
              </w:rPr>
              <w:softHyphen/>
              <w:t>կան համակարգի ներդրման փորձնա</w:t>
            </w:r>
            <w:r w:rsidRPr="0053423A">
              <w:rPr>
                <w:bCs/>
                <w:lang w:val="hy-AM"/>
              </w:rPr>
              <w:softHyphen/>
              <w:t>կան ծրագրի իրակա</w:t>
            </w:r>
            <w:r w:rsidRPr="0053423A">
              <w:rPr>
                <w:bCs/>
                <w:lang w:val="hy-AM"/>
              </w:rPr>
              <w:softHyphen/>
              <w:t>նացման միջոցով  համա</w:t>
            </w:r>
            <w:r w:rsidRPr="0053423A">
              <w:rPr>
                <w:bCs/>
                <w:lang w:val="hy-AM"/>
              </w:rPr>
              <w:softHyphen/>
              <w:t>կարգի աստիճանական ներդրման նախադրյալների ստեղծումն է` ապահովա</w:t>
            </w:r>
            <w:r w:rsidRPr="0053423A">
              <w:rPr>
                <w:bCs/>
                <w:lang w:val="hy-AM"/>
              </w:rPr>
              <w:softHyphen/>
              <w:t>գրական համակարգի ամբողջական ներդրման հիմնական մոտեցումների հստա</w:t>
            </w:r>
            <w:r w:rsidRPr="0053423A">
              <w:rPr>
                <w:bCs/>
                <w:lang w:val="hy-AM"/>
              </w:rPr>
              <w:softHyphen/>
              <w:t>կեցումը:</w:t>
            </w:r>
          </w:p>
          <w:p w:rsidR="00530B14" w:rsidRPr="0053423A" w:rsidRDefault="00530B14" w:rsidP="00A67858">
            <w:pPr>
              <w:spacing w:line="276" w:lineRule="auto"/>
              <w:ind w:firstLine="553"/>
              <w:jc w:val="both"/>
              <w:rPr>
                <w:b/>
                <w:lang w:val="hy-AM"/>
              </w:rPr>
            </w:pPr>
            <w:r w:rsidRPr="0053423A">
              <w:rPr>
                <w:b/>
                <w:lang w:val="hy-AM"/>
              </w:rPr>
              <w:t>1.1 Կարգավորման հարաբերությունների ներկա վիճակը և առկա խնդիրները</w:t>
            </w:r>
          </w:p>
          <w:p w:rsidR="00530B14" w:rsidRPr="0053423A" w:rsidRDefault="00530B14" w:rsidP="00A67858">
            <w:pPr>
              <w:pStyle w:val="BodyTextIndent"/>
              <w:spacing w:after="0" w:line="276" w:lineRule="auto"/>
              <w:ind w:left="0"/>
              <w:jc w:val="both"/>
              <w:rPr>
                <w:rFonts w:ascii="GHEA Grapalat" w:eastAsia="Calibri" w:hAnsi="GHEA Grapalat" w:cs="Sylfaen"/>
                <w:sz w:val="20"/>
                <w:szCs w:val="20"/>
                <w:lang w:val="hy-AM"/>
              </w:rPr>
            </w:pPr>
            <w:r w:rsidRPr="0053423A">
              <w:rPr>
                <w:rFonts w:ascii="GHEA Grapalat" w:eastAsia="Calibri" w:hAnsi="GHEA Grapalat" w:cs="Sylfaen"/>
                <w:sz w:val="20"/>
                <w:szCs w:val="20"/>
                <w:lang w:val="hy-AM"/>
              </w:rPr>
              <w:tab/>
              <w:t>Հայաստանի Հանրապետությունում բնական տարբեր աղետներից` գարնանային ցրտահարություններից, կարկտահարությունից տարեկան վնասվում են 30-35 հազ. հեկտար գյուղատնտեսական մշակաբույսերի և բազմամյա տնկարկների տարածքներ, որոնց վնասը հաշվարկվում է մինչև 18-23 մլրդ. դրամ, որը խիստ բացասաբար է անդրադառնում գյուղատնտեսությամբ զբաղվող տնտեսավարողների հետագա գոր</w:t>
            </w:r>
            <w:r w:rsidRPr="0053423A">
              <w:rPr>
                <w:rFonts w:ascii="GHEA Grapalat" w:eastAsia="Calibri" w:hAnsi="GHEA Grapalat" w:cs="Sylfaen"/>
                <w:sz w:val="20"/>
                <w:szCs w:val="20"/>
                <w:lang w:val="hy-AM"/>
              </w:rPr>
              <w:softHyphen/>
              <w:t xml:space="preserve">ծունեության ու սոցիալական  վիճակի վրա: </w:t>
            </w:r>
            <w:r w:rsidRPr="0053423A">
              <w:rPr>
                <w:rFonts w:ascii="GHEA Grapalat" w:hAnsi="GHEA Grapalat" w:cs="Sylfaen"/>
                <w:sz w:val="20"/>
                <w:szCs w:val="20"/>
                <w:lang w:val="hy-AM"/>
              </w:rPr>
              <w:t>Յուրաքանչյուր տարի կարկուտի պատ</w:t>
            </w:r>
            <w:r w:rsidRPr="0053423A">
              <w:rPr>
                <w:rFonts w:ascii="GHEA Grapalat" w:hAnsi="GHEA Grapalat" w:cs="Sylfaen"/>
                <w:sz w:val="20"/>
                <w:szCs w:val="20"/>
                <w:lang w:val="hy-AM"/>
              </w:rPr>
              <w:softHyphen/>
              <w:t>ճառով վնասվում են հանրապետության այգետարածքների 10-15 %, որոշ դեպքերում կարկտահարված տարածքներում բերքի կորուստը կազմում է 80-100 %:</w:t>
            </w:r>
          </w:p>
          <w:p w:rsidR="00530B14" w:rsidRPr="0053423A" w:rsidRDefault="00530B14" w:rsidP="00A67858">
            <w:pPr>
              <w:spacing w:line="276" w:lineRule="auto"/>
              <w:jc w:val="both"/>
              <w:rPr>
                <w:lang w:val="hy-AM"/>
              </w:rPr>
            </w:pPr>
            <w:r w:rsidRPr="0053423A">
              <w:rPr>
                <w:lang w:val="hy-AM"/>
              </w:rPr>
              <w:t xml:space="preserve">      </w:t>
            </w:r>
            <w:r w:rsidRPr="0053423A">
              <w:rPr>
                <w:lang w:val="hy-AM"/>
              </w:rPr>
              <w:tab/>
              <w:t>Հանրապետության գյուղատնտեսության բարձր ռիսկայնության պատճառով ոլորտը ապահովագրական ընկերությունների համար գրավիչ չի եղել: Դա բացատր</w:t>
            </w:r>
            <w:r w:rsidRPr="0053423A">
              <w:rPr>
                <w:lang w:val="hy-AM"/>
              </w:rPr>
              <w:softHyphen/>
              <w:t>վում է նաև այն հանգամանքով, որ գյուղատնտեսությունում արտադրությունը կազմա</w:t>
            </w:r>
            <w:r w:rsidRPr="0053423A">
              <w:rPr>
                <w:lang w:val="hy-AM"/>
              </w:rPr>
              <w:softHyphen/>
              <w:t>կերպվում է ընդարձակ տա</w:t>
            </w:r>
            <w:r w:rsidRPr="0053423A">
              <w:rPr>
                <w:lang w:val="hy-AM"/>
              </w:rPr>
              <w:softHyphen/>
              <w:t>րածքների վրա և բազմաբնույթ ուղղություններով, որը ապահովագրա</w:t>
            </w:r>
            <w:r w:rsidRPr="0053423A">
              <w:rPr>
                <w:lang w:val="hy-AM"/>
              </w:rPr>
              <w:softHyphen/>
              <w:t>կան ընկե</w:t>
            </w:r>
            <w:r w:rsidRPr="0053423A">
              <w:rPr>
                <w:lang w:val="hy-AM"/>
              </w:rPr>
              <w:softHyphen/>
              <w:t>րու</w:t>
            </w:r>
            <w:r w:rsidRPr="0053423A">
              <w:rPr>
                <w:lang w:val="hy-AM"/>
              </w:rPr>
              <w:softHyphen/>
              <w:t>թյունների համար լրացուցիչ ծախսեր և ջանքեր է պա</w:t>
            </w:r>
            <w:r w:rsidRPr="0053423A">
              <w:rPr>
                <w:lang w:val="hy-AM"/>
              </w:rPr>
              <w:softHyphen/>
              <w:t>հանջում ապահովագրական հիմնավորված սակագների սահմանման, ապա</w:t>
            </w:r>
            <w:r w:rsidRPr="0053423A">
              <w:rPr>
                <w:lang w:val="hy-AM"/>
              </w:rPr>
              <w:softHyphen/>
              <w:t>հովա</w:t>
            </w:r>
            <w:r w:rsidRPr="0053423A">
              <w:rPr>
                <w:lang w:val="hy-AM"/>
              </w:rPr>
              <w:softHyphen/>
              <w:t>գրական օբյեկտների կառավարման համար:</w:t>
            </w:r>
          </w:p>
          <w:p w:rsidR="00530B14" w:rsidRPr="0053423A" w:rsidRDefault="00530B14" w:rsidP="00A67858">
            <w:pPr>
              <w:spacing w:line="276" w:lineRule="auto"/>
              <w:jc w:val="both"/>
              <w:rPr>
                <w:lang w:val="hy-AM"/>
              </w:rPr>
            </w:pPr>
            <w:r w:rsidRPr="0053423A">
              <w:rPr>
                <w:lang w:val="hy-AM"/>
              </w:rPr>
              <w:t xml:space="preserve">     </w:t>
            </w:r>
            <w:r w:rsidRPr="0053423A">
              <w:rPr>
                <w:lang w:val="hy-AM"/>
              </w:rPr>
              <w:tab/>
              <w:t>Նշվածից ելնելով, գյուղատնտեսության ոլորտում ապահո</w:t>
            </w:r>
            <w:r w:rsidRPr="0053423A">
              <w:rPr>
                <w:lang w:val="hy-AM"/>
              </w:rPr>
              <w:softHyphen/>
              <w:t>վա</w:t>
            </w:r>
            <w:r w:rsidRPr="0053423A">
              <w:rPr>
                <w:lang w:val="hy-AM"/>
              </w:rPr>
              <w:softHyphen/>
              <w:t>գրական համա</w:t>
            </w:r>
            <w:r w:rsidRPr="0053423A">
              <w:rPr>
                <w:lang w:val="hy-AM"/>
              </w:rPr>
              <w:softHyphen/>
              <w:t>կարգի աստիճանական ներդրմանը կարևոր դեր է հատկացվել ոլորտում տարվող պետական քաղաքա</w:t>
            </w:r>
            <w:r w:rsidRPr="0053423A">
              <w:rPr>
                <w:lang w:val="hy-AM"/>
              </w:rPr>
              <w:softHyphen/>
              <w:t>կանության մեջ:</w:t>
            </w:r>
          </w:p>
          <w:p w:rsidR="00530B14" w:rsidRPr="0053423A" w:rsidRDefault="00530B14" w:rsidP="00A67858">
            <w:pPr>
              <w:pStyle w:val="ListParagraph"/>
              <w:numPr>
                <w:ilvl w:val="1"/>
                <w:numId w:val="101"/>
              </w:numPr>
              <w:spacing w:line="276" w:lineRule="auto"/>
              <w:jc w:val="both"/>
              <w:rPr>
                <w:b/>
              </w:rPr>
            </w:pPr>
            <w:r w:rsidRPr="0053423A">
              <w:rPr>
                <w:b/>
              </w:rPr>
              <w:t>Ա</w:t>
            </w:r>
            <w:r w:rsidRPr="0053423A">
              <w:rPr>
                <w:b/>
                <w:lang w:val="hy-AM"/>
              </w:rPr>
              <w:t xml:space="preserve">ռկա խնդիրների առաջարկվող լուծումները </w:t>
            </w:r>
          </w:p>
          <w:p w:rsidR="00530B14" w:rsidRPr="0053423A" w:rsidRDefault="00530B14" w:rsidP="00A67858">
            <w:pPr>
              <w:spacing w:line="276" w:lineRule="auto"/>
              <w:jc w:val="both"/>
              <w:rPr>
                <w:lang w:val="hy-AM"/>
              </w:rPr>
            </w:pPr>
            <w:r w:rsidRPr="0053423A">
              <w:tab/>
              <w:t xml:space="preserve">Ծրագրի իրականացման համար </w:t>
            </w:r>
            <w:r w:rsidRPr="0053423A">
              <w:rPr>
                <w:lang w:val="hy-AM"/>
              </w:rPr>
              <w:t>2018 թվականին միջազգային խորհրդա</w:t>
            </w:r>
            <w:r w:rsidRPr="0053423A">
              <w:softHyphen/>
            </w:r>
            <w:r w:rsidRPr="0053423A">
              <w:rPr>
                <w:lang w:val="hy-AM"/>
              </w:rPr>
              <w:t>տվա</w:t>
            </w:r>
            <w:r w:rsidRPr="0053423A">
              <w:softHyphen/>
            </w:r>
            <w:r w:rsidRPr="0053423A">
              <w:rPr>
                <w:lang w:val="hy-AM"/>
              </w:rPr>
              <w:t>կան կազմակերպությունը իրականացրել է ապահովագրության պիլոտային ծրագրի ներ</w:t>
            </w:r>
            <w:r w:rsidRPr="0053423A">
              <w:softHyphen/>
            </w:r>
            <w:r w:rsidRPr="0053423A">
              <w:rPr>
                <w:lang w:val="hy-AM"/>
              </w:rPr>
              <w:t>դրման նախապատրաստական աշխատանքներ։Նախատեսվում է, որ Ծրագիրը կընդգրկի 6 մարզ, նախկինում նախատեսված 2-3 մարզի փոխարեն: Ապահովագրվելու են ծիրանի և խաղողի այգիները՝ կարկուտի, ցրտահարության և հրդեհի ռիսկերից։ Ծրագրի նախապատրաստական աշխատանքների շրջանակներում 2019 փետրվարի 25-27 իրականացվել է գյուղատնտեսության ոլորտում վնասի գնահատողների վերապատ</w:t>
            </w:r>
            <w:r w:rsidRPr="0053423A">
              <w:rPr>
                <w:lang w:val="hy-AM"/>
              </w:rPr>
              <w:softHyphen/>
              <w:t>րաստ</w:t>
            </w:r>
            <w:r w:rsidRPr="0053423A">
              <w:rPr>
                <w:lang w:val="hy-AM"/>
              </w:rPr>
              <w:softHyphen/>
              <w:t>ման եռօյա դասընթացները։</w:t>
            </w:r>
          </w:p>
          <w:p w:rsidR="00530B14" w:rsidRPr="0053423A" w:rsidRDefault="00530B14" w:rsidP="00A67858">
            <w:pPr>
              <w:spacing w:line="276" w:lineRule="auto"/>
              <w:ind w:firstLine="733"/>
              <w:jc w:val="both"/>
              <w:rPr>
                <w:b/>
                <w:lang w:val="hy-AM"/>
              </w:rPr>
            </w:pPr>
            <w:r w:rsidRPr="0053423A">
              <w:rPr>
                <w:b/>
                <w:lang w:val="hy-AM"/>
              </w:rPr>
              <w:t>2.</w:t>
            </w:r>
            <w:r w:rsidRPr="0053423A">
              <w:rPr>
                <w:i/>
                <w:lang w:val="hy-AM"/>
              </w:rPr>
              <w:t xml:space="preserve"> </w:t>
            </w:r>
            <w:r w:rsidRPr="0053423A">
              <w:rPr>
                <w:b/>
                <w:lang w:val="hy-AM"/>
              </w:rPr>
              <w:t>Միջոցառման իրականացումից ակնկալվող արդյունքը</w:t>
            </w:r>
          </w:p>
          <w:p w:rsidR="00530B14" w:rsidRPr="0053423A" w:rsidRDefault="00530B14" w:rsidP="00A67858">
            <w:pPr>
              <w:spacing w:line="276" w:lineRule="auto"/>
              <w:ind w:right="-29"/>
              <w:jc w:val="both"/>
              <w:rPr>
                <w:lang w:val="hy-AM"/>
              </w:rPr>
            </w:pPr>
            <w:r w:rsidRPr="0053423A">
              <w:rPr>
                <w:lang w:val="hy-AM"/>
              </w:rPr>
              <w:tab/>
              <w:t>Ծրագրի իրականացումից ակնկալվող արդյունքներն են՝</w:t>
            </w:r>
          </w:p>
          <w:p w:rsidR="00530B14" w:rsidRPr="0053423A" w:rsidRDefault="00530B14" w:rsidP="001F6D5D">
            <w:pPr>
              <w:pStyle w:val="ListParagraph"/>
              <w:numPr>
                <w:ilvl w:val="0"/>
                <w:numId w:val="115"/>
              </w:numPr>
              <w:spacing w:line="276" w:lineRule="auto"/>
              <w:ind w:left="540" w:right="-29" w:hanging="270"/>
              <w:jc w:val="both"/>
            </w:pPr>
            <w:r w:rsidRPr="0053423A">
              <w:rPr>
                <w:lang w:val="hy-AM"/>
              </w:rPr>
              <w:t>ռ</w:t>
            </w:r>
            <w:r w:rsidRPr="0053423A">
              <w:t>իսկերի նվազեցում</w:t>
            </w:r>
            <w:r w:rsidRPr="0053423A">
              <w:rPr>
                <w:lang w:val="hy-AM"/>
              </w:rPr>
              <w:t>,</w:t>
            </w:r>
          </w:p>
          <w:p w:rsidR="00530B14" w:rsidRPr="0053423A" w:rsidRDefault="00530B14" w:rsidP="001F6D5D">
            <w:pPr>
              <w:pStyle w:val="ListParagraph"/>
              <w:numPr>
                <w:ilvl w:val="0"/>
                <w:numId w:val="115"/>
              </w:numPr>
              <w:spacing w:line="276" w:lineRule="auto"/>
              <w:ind w:left="540" w:right="-31" w:hanging="270"/>
              <w:jc w:val="both"/>
            </w:pPr>
            <w:r w:rsidRPr="0053423A">
              <w:t>վնասի փոխհատուցման գործուն մեխանիզմների կիրառում</w:t>
            </w:r>
            <w:r w:rsidRPr="0053423A">
              <w:rPr>
                <w:lang w:val="hy-AM"/>
              </w:rPr>
              <w:t>,</w:t>
            </w:r>
          </w:p>
          <w:p w:rsidR="00530B14" w:rsidRPr="0053423A" w:rsidRDefault="00530B14" w:rsidP="001F6D5D">
            <w:pPr>
              <w:pStyle w:val="ListParagraph"/>
              <w:numPr>
                <w:ilvl w:val="0"/>
                <w:numId w:val="115"/>
              </w:numPr>
              <w:tabs>
                <w:tab w:val="left" w:pos="540"/>
              </w:tabs>
              <w:spacing w:line="276" w:lineRule="auto"/>
              <w:ind w:left="0" w:right="-29" w:firstLine="270"/>
              <w:jc w:val="both"/>
            </w:pPr>
            <w:r w:rsidRPr="0053423A">
              <w:t>տնտեսավարող սուբյեկտների եկամուտների մակարդակի կայունության ապա</w:t>
            </w:r>
            <w:r w:rsidRPr="0053423A">
              <w:softHyphen/>
              <w:t>հովում,</w:t>
            </w:r>
          </w:p>
          <w:p w:rsidR="00530B14" w:rsidRPr="0053423A" w:rsidRDefault="00530B14" w:rsidP="001F6D5D">
            <w:pPr>
              <w:pStyle w:val="ListParagraph"/>
              <w:numPr>
                <w:ilvl w:val="0"/>
                <w:numId w:val="115"/>
              </w:numPr>
              <w:spacing w:line="276" w:lineRule="auto"/>
              <w:ind w:right="-31"/>
              <w:rPr>
                <w:b/>
                <w:lang w:val="hy-AM"/>
              </w:rPr>
            </w:pPr>
            <w:r w:rsidRPr="0053423A">
              <w:rPr>
                <w:b/>
                <w:lang w:val="hy-AM"/>
              </w:rPr>
              <w:t>հիմնական ծրագրի իրականացում</w:t>
            </w:r>
            <w:r w:rsidRPr="0053423A">
              <w:rPr>
                <w:b/>
              </w:rPr>
              <w:t>:</w:t>
            </w:r>
          </w:p>
          <w:p w:rsidR="00530B14" w:rsidRPr="0053423A" w:rsidRDefault="00530B14" w:rsidP="00A67858">
            <w:pPr>
              <w:spacing w:line="276" w:lineRule="auto"/>
              <w:jc w:val="center"/>
              <w:rPr>
                <w:b/>
                <w:bCs/>
                <w:iCs/>
                <w:lang w:val="hy-AM"/>
              </w:rPr>
            </w:pPr>
          </w:p>
        </w:tc>
      </w:tr>
      <w:tr w:rsidR="00530B14" w:rsidRPr="00DE2EFA" w:rsidTr="00E84AE9">
        <w:trPr>
          <w:trHeight w:val="4575"/>
        </w:trPr>
        <w:tc>
          <w:tcPr>
            <w:tcW w:w="480" w:type="dxa"/>
          </w:tcPr>
          <w:p w:rsidR="00530B14" w:rsidRPr="0053423A" w:rsidRDefault="00530B14" w:rsidP="00A67858">
            <w:pPr>
              <w:spacing w:line="276" w:lineRule="auto"/>
              <w:jc w:val="center"/>
              <w:rPr>
                <w:b/>
                <w:bCs/>
                <w:iCs/>
                <w:lang w:val="hy-AM"/>
              </w:rPr>
            </w:pPr>
            <w:r w:rsidRPr="0053423A">
              <w:rPr>
                <w:b/>
                <w:bCs/>
                <w:iCs/>
                <w:lang w:val="hy-AM"/>
              </w:rPr>
              <w:t>14</w:t>
            </w:r>
          </w:p>
        </w:tc>
        <w:tc>
          <w:tcPr>
            <w:tcW w:w="10879" w:type="dxa"/>
          </w:tcPr>
          <w:p w:rsidR="00530B14" w:rsidRPr="0053423A" w:rsidRDefault="00530B14" w:rsidP="00A67858">
            <w:pPr>
              <w:spacing w:line="276" w:lineRule="auto"/>
              <w:jc w:val="center"/>
              <w:rPr>
                <w:b/>
                <w:lang w:val="hy-AM"/>
              </w:rPr>
            </w:pPr>
            <w:r w:rsidRPr="0053423A">
              <w:rPr>
                <w:b/>
                <w:lang w:val="hy-AM"/>
              </w:rPr>
              <w:t>Գյուղատնտեսության աջակցության հիմնա</w:t>
            </w:r>
            <w:r w:rsidRPr="0053423A">
              <w:rPr>
                <w:b/>
                <w:lang w:val="hy-AM"/>
              </w:rPr>
              <w:softHyphen/>
              <w:t>կան սկզբունքների, մեթոդաբանության և ռազմավարության սահմանում</w:t>
            </w:r>
          </w:p>
          <w:p w:rsidR="00530B14" w:rsidRPr="0053423A" w:rsidRDefault="00530B14" w:rsidP="00A67858">
            <w:pPr>
              <w:spacing w:line="276" w:lineRule="auto"/>
              <w:jc w:val="center"/>
              <w:rPr>
                <w:b/>
                <w:lang w:val="hy-AM"/>
              </w:rPr>
            </w:pPr>
          </w:p>
          <w:p w:rsidR="00530B14" w:rsidRPr="0053423A" w:rsidRDefault="00530B14" w:rsidP="00A67858">
            <w:pPr>
              <w:spacing w:line="276" w:lineRule="auto"/>
              <w:ind w:right="-29"/>
              <w:jc w:val="center"/>
              <w:rPr>
                <w:b/>
                <w:u w:val="single"/>
                <w:lang w:val="hy-AM"/>
              </w:rPr>
            </w:pPr>
            <w:r w:rsidRPr="0053423A">
              <w:rPr>
                <w:b/>
                <w:u w:val="single"/>
                <w:lang w:val="hy-AM"/>
              </w:rPr>
              <w:t xml:space="preserve">14.1 Գյուղատնտեսության ոլորտի տրամադրվող վարկերի տոկոսադրույքների սուբսիդավորման ծրագրի իրականացում </w:t>
            </w:r>
          </w:p>
          <w:p w:rsidR="00530B14" w:rsidRPr="0053423A" w:rsidRDefault="00530B14" w:rsidP="00A67858">
            <w:pPr>
              <w:spacing w:line="276" w:lineRule="auto"/>
              <w:ind w:right="-29"/>
              <w:jc w:val="center"/>
              <w:rPr>
                <w:b/>
                <w:lang w:val="hy-AM"/>
              </w:rPr>
            </w:pPr>
          </w:p>
          <w:p w:rsidR="00530B14" w:rsidRPr="0053423A" w:rsidRDefault="00530B14" w:rsidP="00A67858">
            <w:pPr>
              <w:spacing w:line="276" w:lineRule="auto"/>
              <w:ind w:left="279" w:firstLine="364"/>
              <w:jc w:val="both"/>
              <w:rPr>
                <w:rFonts w:cs="Sylfaen"/>
                <w:b/>
                <w:lang w:val="hy-AM"/>
              </w:rPr>
            </w:pPr>
            <w:r w:rsidRPr="0053423A">
              <w:rPr>
                <w:b/>
                <w:lang w:val="hy-AM"/>
              </w:rPr>
              <w:t>1</w:t>
            </w:r>
            <w:r w:rsidRPr="0053423A">
              <w:rPr>
                <w:lang w:val="hy-AM"/>
              </w:rPr>
              <w:t>.</w:t>
            </w:r>
            <w:r w:rsidRPr="0053423A">
              <w:rPr>
                <w:i/>
                <w:lang w:val="hy-AM"/>
              </w:rPr>
              <w:t xml:space="preserve"> </w:t>
            </w:r>
            <w:r w:rsidRPr="0053423A">
              <w:rPr>
                <w:rFonts w:eastAsia="Calibri"/>
                <w:b/>
                <w:lang w:val="hy-AM"/>
              </w:rPr>
              <w:t>Միջոցառման իրականացման ա</w:t>
            </w:r>
            <w:r w:rsidRPr="0053423A">
              <w:rPr>
                <w:rFonts w:cs="Sylfaen"/>
                <w:b/>
                <w:lang w:val="hy-AM"/>
              </w:rPr>
              <w:t>նհրաժեշտությունը և նպատակը</w:t>
            </w:r>
          </w:p>
          <w:p w:rsidR="00530B14" w:rsidRPr="0053423A" w:rsidRDefault="00530B14" w:rsidP="00A67858">
            <w:pPr>
              <w:spacing w:line="276" w:lineRule="auto"/>
              <w:ind w:firstLine="375"/>
              <w:jc w:val="both"/>
              <w:rPr>
                <w:lang w:val="hy-AM"/>
              </w:rPr>
            </w:pPr>
            <w:r w:rsidRPr="0053423A">
              <w:rPr>
                <w:rFonts w:cs="Sylfaen"/>
                <w:lang w:val="hy-AM"/>
              </w:rPr>
              <w:tab/>
            </w:r>
            <w:r w:rsidRPr="0053423A">
              <w:rPr>
                <w:lang w:val="hy-AM"/>
              </w:rPr>
              <w:t>Գյուղատնտեսության ոլորտի տրամադրվող վարկերի տոկոսադրույքների սուբ</w:t>
            </w:r>
            <w:r w:rsidRPr="0053423A">
              <w:rPr>
                <w:lang w:val="hy-AM"/>
              </w:rPr>
              <w:softHyphen/>
              <w:t xml:space="preserve">սիդավորման ծրագրի </w:t>
            </w:r>
            <w:r w:rsidRPr="0053423A">
              <w:rPr>
                <w:rFonts w:cs="Sylfaen"/>
                <w:lang w:val="hy-AM"/>
              </w:rPr>
              <w:t>(այսուհետ՝ Ծրագիր) իրականացումը բխում է ՀՀ ԱԺ 2019 թվա</w:t>
            </w:r>
            <w:r w:rsidRPr="0053423A">
              <w:rPr>
                <w:rFonts w:cs="Sylfaen"/>
                <w:lang w:val="hy-AM"/>
              </w:rPr>
              <w:softHyphen/>
              <w:t>կանի փետրվարի 14-ի ԱԺՈ-002-Ն որոշմամբ հավանության արժանացած ՀՀ կառա</w:t>
            </w:r>
            <w:r w:rsidRPr="0053423A">
              <w:rPr>
                <w:rFonts w:cs="Sylfaen"/>
                <w:lang w:val="hy-AM"/>
              </w:rPr>
              <w:softHyphen/>
              <w:t xml:space="preserve">վարության ծրագրից </w:t>
            </w:r>
            <w:r w:rsidRPr="0053423A">
              <w:rPr>
                <w:rFonts w:cs="Sylfaen"/>
                <w:lang w:val="af-ZA"/>
              </w:rPr>
              <w:t>(</w:t>
            </w:r>
            <w:r w:rsidRPr="0053423A">
              <w:rPr>
                <w:rFonts w:cs="Sylfaen"/>
                <w:lang w:val="hy-AM"/>
              </w:rPr>
              <w:t>5.10. Գյուղատնտեսությունը բաժին, 7-րդ պարբերության 9-րդ դրույթ):</w:t>
            </w:r>
          </w:p>
          <w:p w:rsidR="00530B14" w:rsidRPr="0053423A" w:rsidRDefault="00530B14" w:rsidP="00A67858">
            <w:pPr>
              <w:tabs>
                <w:tab w:val="left" w:pos="720"/>
              </w:tabs>
              <w:spacing w:line="276" w:lineRule="auto"/>
              <w:jc w:val="both"/>
              <w:rPr>
                <w:lang w:val="af-ZA"/>
              </w:rPr>
            </w:pPr>
            <w:r w:rsidRPr="0053423A">
              <w:rPr>
                <w:lang w:val="hy-AM"/>
              </w:rPr>
              <w:tab/>
            </w:r>
            <w:r w:rsidRPr="0053423A">
              <w:rPr>
                <w:lang w:val="af-ZA"/>
              </w:rPr>
              <w:t>Ծրագրի հիմնական նպա</w:t>
            </w:r>
            <w:r w:rsidRPr="0053423A">
              <w:rPr>
                <w:lang w:val="af-ZA"/>
              </w:rPr>
              <w:softHyphen/>
              <w:t>տակ</w:t>
            </w:r>
            <w:r w:rsidRPr="0053423A">
              <w:rPr>
                <w:lang w:val="hy-AM"/>
              </w:rPr>
              <w:t>ն է</w:t>
            </w:r>
            <w:r w:rsidRPr="0053423A">
              <w:rPr>
                <w:lang w:val="af-ZA"/>
              </w:rPr>
              <w:t>` հանրապետության ագրոպարենային ոլորտում զբաղ</w:t>
            </w:r>
            <w:r w:rsidRPr="0053423A">
              <w:rPr>
                <w:lang w:val="af-ZA"/>
              </w:rPr>
              <w:softHyphen/>
              <w:t>ված ֆիզիկական և իրա</w:t>
            </w:r>
            <w:r w:rsidRPr="0053423A">
              <w:rPr>
                <w:lang w:val="af-ZA"/>
              </w:rPr>
              <w:softHyphen/>
              <w:t>վաբանական անձանց տրամադրվող վար</w:t>
            </w:r>
            <w:r w:rsidRPr="0053423A">
              <w:rPr>
                <w:lang w:val="hy-AM"/>
              </w:rPr>
              <w:softHyphen/>
            </w:r>
            <w:r w:rsidRPr="0053423A">
              <w:rPr>
                <w:lang w:val="af-ZA"/>
              </w:rPr>
              <w:t>կերի տոկոսա</w:t>
            </w:r>
            <w:r w:rsidRPr="0053423A">
              <w:rPr>
                <w:lang w:val="af-ZA"/>
              </w:rPr>
              <w:softHyphen/>
              <w:t>դրույքների մասնակի սուբսիդա</w:t>
            </w:r>
            <w:r w:rsidRPr="0053423A">
              <w:rPr>
                <w:lang w:val="af-ZA"/>
              </w:rPr>
              <w:softHyphen/>
              <w:t>վորման, վարկավորման պայմանների բարելավման միջո</w:t>
            </w:r>
            <w:r w:rsidRPr="0053423A">
              <w:rPr>
                <w:lang w:val="af-ZA"/>
              </w:rPr>
              <w:softHyphen/>
              <w:t>ցով նպաստել</w:t>
            </w:r>
            <w:r w:rsidRPr="0053423A">
              <w:rPr>
                <w:lang w:val="hy-AM"/>
              </w:rPr>
              <w:t xml:space="preserve"> կապիտալ ներդրումների ծավալների ավելացմանը, արտադրական հզորությունների ընդլայնմանը, տնտեսությունների խոշորաց</w:t>
            </w:r>
            <w:r w:rsidRPr="0053423A">
              <w:rPr>
                <w:lang w:val="hy-AM"/>
              </w:rPr>
              <w:softHyphen/>
              <w:t>մանն ու զարգացմանը, արդիական տեխնոլո</w:t>
            </w:r>
            <w:r w:rsidRPr="0053423A">
              <w:rPr>
                <w:lang w:val="hy-AM"/>
              </w:rPr>
              <w:softHyphen/>
              <w:t>գիա</w:t>
            </w:r>
            <w:r w:rsidRPr="0053423A">
              <w:rPr>
                <w:lang w:val="hy-AM"/>
              </w:rPr>
              <w:softHyphen/>
              <w:t>ների ներդրմանը, գյուղատն</w:t>
            </w:r>
            <w:r w:rsidRPr="0053423A">
              <w:rPr>
                <w:lang w:val="hy-AM"/>
              </w:rPr>
              <w:softHyphen/>
              <w:t>տե</w:t>
            </w:r>
            <w:r w:rsidRPr="0053423A">
              <w:rPr>
                <w:lang w:val="hy-AM"/>
              </w:rPr>
              <w:softHyphen/>
              <w:t>սության արտադրողակա</w:t>
            </w:r>
            <w:r w:rsidRPr="0053423A">
              <w:rPr>
                <w:lang w:val="hy-AM"/>
              </w:rPr>
              <w:softHyphen/>
              <w:t>նու</w:t>
            </w:r>
            <w:r w:rsidRPr="0053423A">
              <w:rPr>
                <w:lang w:val="hy-AM"/>
              </w:rPr>
              <w:softHyphen/>
              <w:t>թյան բարձ</w:t>
            </w:r>
            <w:r w:rsidRPr="0053423A">
              <w:rPr>
                <w:lang w:val="hy-AM"/>
              </w:rPr>
              <w:softHyphen/>
              <w:t>րացմանը և արտադրության ծավալների ավելացմանը</w:t>
            </w:r>
            <w:r w:rsidRPr="0053423A">
              <w:rPr>
                <w:lang w:val="af-ZA"/>
              </w:rPr>
              <w:t>:</w:t>
            </w:r>
          </w:p>
          <w:p w:rsidR="00530B14" w:rsidRPr="0053423A" w:rsidRDefault="00530B14" w:rsidP="001F6D5D">
            <w:pPr>
              <w:pStyle w:val="ListParagraph"/>
              <w:numPr>
                <w:ilvl w:val="1"/>
                <w:numId w:val="112"/>
              </w:numPr>
              <w:spacing w:line="276" w:lineRule="auto"/>
              <w:ind w:firstLine="193"/>
              <w:jc w:val="both"/>
              <w:rPr>
                <w:i/>
                <w:lang w:val="hy-AM"/>
              </w:rPr>
            </w:pPr>
            <w:r w:rsidRPr="0053423A">
              <w:rPr>
                <w:b/>
                <w:lang w:val="hy-AM"/>
              </w:rPr>
              <w:t>Կարգավորման հարաբերությունների ներկա վիճակը և առկա խնդիրները</w:t>
            </w:r>
          </w:p>
          <w:p w:rsidR="00530B14" w:rsidRPr="0053423A" w:rsidRDefault="00530B14" w:rsidP="00A67858">
            <w:pPr>
              <w:pStyle w:val="BodyText3"/>
              <w:tabs>
                <w:tab w:val="left" w:pos="-851"/>
                <w:tab w:val="left" w:pos="720"/>
              </w:tabs>
              <w:spacing w:after="0" w:line="276" w:lineRule="auto"/>
              <w:jc w:val="both"/>
              <w:rPr>
                <w:rFonts w:ascii="GHEA Grapalat" w:hAnsi="GHEA Grapalat" w:cs="Sylfaen"/>
                <w:bCs/>
                <w:sz w:val="20"/>
                <w:szCs w:val="20"/>
                <w:lang w:val="af-ZA"/>
              </w:rPr>
            </w:pPr>
            <w:r w:rsidRPr="0053423A">
              <w:rPr>
                <w:rFonts w:ascii="GHEA Grapalat" w:hAnsi="GHEA Grapalat"/>
                <w:sz w:val="20"/>
                <w:szCs w:val="20"/>
                <w:lang w:val="af-ZA"/>
              </w:rPr>
              <w:tab/>
            </w:r>
            <w:r w:rsidRPr="0053423A">
              <w:rPr>
                <w:rFonts w:ascii="GHEA Grapalat" w:hAnsi="GHEA Grapalat"/>
                <w:sz w:val="20"/>
                <w:szCs w:val="20"/>
                <w:lang w:val="hy-AM"/>
              </w:rPr>
              <w:t>Գ</w:t>
            </w:r>
            <w:r w:rsidRPr="0053423A">
              <w:rPr>
                <w:rFonts w:ascii="GHEA Grapalat" w:hAnsi="GHEA Grapalat"/>
                <w:sz w:val="20"/>
                <w:szCs w:val="20"/>
                <w:lang w:val="pt-BR"/>
              </w:rPr>
              <w:t xml:space="preserve">յուղատնտեսական </w:t>
            </w:r>
            <w:r w:rsidRPr="0053423A">
              <w:rPr>
                <w:rFonts w:ascii="GHEA Grapalat" w:hAnsi="GHEA Grapalat"/>
                <w:sz w:val="20"/>
                <w:szCs w:val="20"/>
                <w:lang w:val="hy-AM"/>
              </w:rPr>
              <w:t>մթերքների</w:t>
            </w:r>
            <w:r w:rsidRPr="0053423A">
              <w:rPr>
                <w:rFonts w:ascii="GHEA Grapalat" w:hAnsi="GHEA Grapalat"/>
                <w:sz w:val="20"/>
                <w:szCs w:val="20"/>
                <w:lang w:val="af-ZA"/>
              </w:rPr>
              <w:t xml:space="preserve"> </w:t>
            </w:r>
            <w:r w:rsidRPr="0053423A">
              <w:rPr>
                <w:rFonts w:ascii="GHEA Grapalat" w:hAnsi="GHEA Grapalat"/>
                <w:sz w:val="20"/>
                <w:szCs w:val="20"/>
                <w:lang w:val="hy-AM"/>
              </w:rPr>
              <w:t>արտադրության</w:t>
            </w:r>
            <w:r w:rsidRPr="0053423A">
              <w:rPr>
                <w:rFonts w:ascii="GHEA Grapalat" w:hAnsi="GHEA Grapalat"/>
                <w:sz w:val="20"/>
                <w:szCs w:val="20"/>
                <w:lang w:val="af-ZA"/>
              </w:rPr>
              <w:t xml:space="preserve">, </w:t>
            </w:r>
            <w:r w:rsidRPr="0053423A">
              <w:rPr>
                <w:rFonts w:ascii="GHEA Grapalat" w:hAnsi="GHEA Grapalat"/>
                <w:sz w:val="20"/>
                <w:szCs w:val="20"/>
                <w:lang w:val="hy-AM"/>
              </w:rPr>
              <w:t>մթերման</w:t>
            </w:r>
            <w:r w:rsidRPr="0053423A">
              <w:rPr>
                <w:rFonts w:ascii="GHEA Grapalat" w:hAnsi="GHEA Grapalat"/>
                <w:sz w:val="20"/>
                <w:szCs w:val="20"/>
                <w:lang w:val="af-ZA"/>
              </w:rPr>
              <w:t xml:space="preserve">, </w:t>
            </w:r>
            <w:r w:rsidRPr="0053423A">
              <w:rPr>
                <w:rFonts w:ascii="GHEA Grapalat" w:hAnsi="GHEA Grapalat"/>
                <w:sz w:val="20"/>
                <w:szCs w:val="20"/>
                <w:lang w:val="hy-AM"/>
              </w:rPr>
              <w:t>վերամշակ</w:t>
            </w:r>
            <w:r w:rsidRPr="0053423A">
              <w:rPr>
                <w:rFonts w:ascii="GHEA Grapalat" w:hAnsi="GHEA Grapalat"/>
                <w:sz w:val="20"/>
                <w:szCs w:val="20"/>
                <w:lang w:val="hy-AM"/>
              </w:rPr>
              <w:softHyphen/>
              <w:t>ման</w:t>
            </w:r>
            <w:r w:rsidRPr="0053423A">
              <w:rPr>
                <w:rFonts w:ascii="GHEA Grapalat" w:hAnsi="GHEA Grapalat"/>
                <w:sz w:val="20"/>
                <w:szCs w:val="20"/>
                <w:lang w:val="af-ZA"/>
              </w:rPr>
              <w:t xml:space="preserve"> </w:t>
            </w:r>
            <w:r w:rsidRPr="0053423A">
              <w:rPr>
                <w:rFonts w:ascii="GHEA Grapalat" w:hAnsi="GHEA Grapalat"/>
                <w:sz w:val="20"/>
                <w:szCs w:val="20"/>
                <w:lang w:val="hy-AM"/>
              </w:rPr>
              <w:t>և</w:t>
            </w:r>
            <w:r w:rsidRPr="0053423A">
              <w:rPr>
                <w:rFonts w:ascii="GHEA Grapalat" w:hAnsi="GHEA Grapalat"/>
                <w:sz w:val="20"/>
                <w:szCs w:val="20"/>
                <w:lang w:val="af-ZA"/>
              </w:rPr>
              <w:t xml:space="preserve"> </w:t>
            </w:r>
            <w:r w:rsidRPr="0053423A">
              <w:rPr>
                <w:rFonts w:ascii="GHEA Grapalat" w:hAnsi="GHEA Grapalat"/>
                <w:sz w:val="20"/>
                <w:szCs w:val="20"/>
                <w:lang w:val="pt-BR"/>
              </w:rPr>
              <w:t>հաջորդ տարվա գյուղատնտեսական աշխա</w:t>
            </w:r>
            <w:r w:rsidRPr="0053423A">
              <w:rPr>
                <w:rFonts w:ascii="GHEA Grapalat" w:hAnsi="GHEA Grapalat"/>
                <w:sz w:val="20"/>
                <w:szCs w:val="20"/>
                <w:lang w:val="pt-BR"/>
              </w:rPr>
              <w:softHyphen/>
              <w:t>տանքների նախապատ</w:t>
            </w:r>
            <w:r w:rsidRPr="0053423A">
              <w:rPr>
                <w:rFonts w:ascii="GHEA Grapalat" w:hAnsi="GHEA Grapalat"/>
                <w:sz w:val="20"/>
                <w:szCs w:val="20"/>
                <w:lang w:val="pt-BR"/>
              </w:rPr>
              <w:softHyphen/>
              <w:t>րաստման</w:t>
            </w:r>
            <w:r w:rsidRPr="0053423A">
              <w:rPr>
                <w:rFonts w:ascii="GHEA Grapalat" w:hAnsi="GHEA Grapalat"/>
                <w:sz w:val="20"/>
                <w:szCs w:val="20"/>
                <w:lang w:val="af-ZA"/>
              </w:rPr>
              <w:t xml:space="preserve">, </w:t>
            </w:r>
            <w:r w:rsidRPr="0053423A">
              <w:rPr>
                <w:rFonts w:ascii="GHEA Grapalat" w:hAnsi="GHEA Grapalat"/>
                <w:sz w:val="20"/>
                <w:szCs w:val="20"/>
                <w:lang w:val="hy-AM"/>
              </w:rPr>
              <w:t>արտադ</w:t>
            </w:r>
            <w:r w:rsidRPr="0053423A">
              <w:rPr>
                <w:rFonts w:ascii="GHEA Grapalat" w:hAnsi="GHEA Grapalat"/>
                <w:sz w:val="20"/>
                <w:szCs w:val="20"/>
                <w:lang w:val="af-ZA"/>
              </w:rPr>
              <w:softHyphen/>
            </w:r>
            <w:r w:rsidRPr="0053423A">
              <w:rPr>
                <w:rFonts w:ascii="GHEA Grapalat" w:hAnsi="GHEA Grapalat"/>
                <w:sz w:val="20"/>
                <w:szCs w:val="20"/>
                <w:lang w:val="hy-AM"/>
              </w:rPr>
              <w:t>րա</w:t>
            </w:r>
            <w:r w:rsidRPr="0053423A">
              <w:rPr>
                <w:rFonts w:ascii="GHEA Grapalat" w:hAnsi="GHEA Grapalat"/>
                <w:sz w:val="20"/>
                <w:szCs w:val="20"/>
                <w:lang w:val="af-ZA"/>
              </w:rPr>
              <w:softHyphen/>
            </w:r>
            <w:r w:rsidRPr="0053423A">
              <w:rPr>
                <w:rFonts w:ascii="GHEA Grapalat" w:hAnsi="GHEA Grapalat"/>
                <w:sz w:val="20"/>
                <w:szCs w:val="20"/>
                <w:lang w:val="hy-AM"/>
              </w:rPr>
              <w:t>կան</w:t>
            </w:r>
            <w:r w:rsidRPr="0053423A">
              <w:rPr>
                <w:rFonts w:ascii="GHEA Grapalat" w:hAnsi="GHEA Grapalat"/>
                <w:sz w:val="20"/>
                <w:szCs w:val="20"/>
                <w:lang w:val="af-ZA"/>
              </w:rPr>
              <w:t xml:space="preserve"> </w:t>
            </w:r>
            <w:r w:rsidRPr="0053423A">
              <w:rPr>
                <w:rFonts w:ascii="GHEA Grapalat" w:hAnsi="GHEA Grapalat"/>
                <w:sz w:val="20"/>
                <w:szCs w:val="20"/>
                <w:lang w:val="hy-AM"/>
              </w:rPr>
              <w:t>կարողությունների</w:t>
            </w:r>
            <w:r w:rsidRPr="0053423A">
              <w:rPr>
                <w:rFonts w:ascii="GHEA Grapalat" w:hAnsi="GHEA Grapalat"/>
                <w:sz w:val="20"/>
                <w:szCs w:val="20"/>
                <w:lang w:val="af-ZA"/>
              </w:rPr>
              <w:t xml:space="preserve"> </w:t>
            </w:r>
            <w:r w:rsidRPr="0053423A">
              <w:rPr>
                <w:rFonts w:ascii="GHEA Grapalat" w:hAnsi="GHEA Grapalat"/>
                <w:sz w:val="20"/>
                <w:szCs w:val="20"/>
                <w:lang w:val="hy-AM"/>
              </w:rPr>
              <w:t>ընդլայնման</w:t>
            </w:r>
            <w:r w:rsidRPr="0053423A">
              <w:rPr>
                <w:rFonts w:ascii="GHEA Grapalat" w:hAnsi="GHEA Grapalat"/>
                <w:sz w:val="20"/>
                <w:szCs w:val="20"/>
                <w:lang w:val="af-ZA"/>
              </w:rPr>
              <w:t xml:space="preserve">, նոր արդիական տեխնոլոգիաների կիրառման </w:t>
            </w:r>
            <w:r w:rsidRPr="0053423A">
              <w:rPr>
                <w:rFonts w:ascii="GHEA Grapalat" w:hAnsi="GHEA Grapalat"/>
                <w:sz w:val="20"/>
                <w:szCs w:val="20"/>
                <w:lang w:val="pt-BR"/>
              </w:rPr>
              <w:t>հա</w:t>
            </w:r>
            <w:r w:rsidRPr="0053423A">
              <w:rPr>
                <w:rFonts w:ascii="GHEA Grapalat" w:hAnsi="GHEA Grapalat"/>
                <w:sz w:val="20"/>
                <w:szCs w:val="20"/>
                <w:lang w:val="pt-BR"/>
              </w:rPr>
              <w:softHyphen/>
              <w:t>մար գյուղա</w:t>
            </w:r>
            <w:r w:rsidRPr="0053423A">
              <w:rPr>
                <w:rFonts w:ascii="GHEA Grapalat" w:hAnsi="GHEA Grapalat"/>
                <w:sz w:val="20"/>
                <w:szCs w:val="20"/>
                <w:lang w:val="pt-BR"/>
              </w:rPr>
              <w:softHyphen/>
              <w:t>տնտե</w:t>
            </w:r>
            <w:r w:rsidRPr="0053423A">
              <w:rPr>
                <w:rFonts w:ascii="GHEA Grapalat" w:hAnsi="GHEA Grapalat"/>
                <w:sz w:val="20"/>
                <w:szCs w:val="20"/>
                <w:lang w:val="pt-BR"/>
              </w:rPr>
              <w:softHyphen/>
              <w:t>սու</w:t>
            </w:r>
            <w:r w:rsidRPr="0053423A">
              <w:rPr>
                <w:rFonts w:ascii="GHEA Grapalat" w:hAnsi="GHEA Grapalat"/>
                <w:sz w:val="20"/>
                <w:szCs w:val="20"/>
                <w:lang w:val="pt-BR"/>
              </w:rPr>
              <w:softHyphen/>
              <w:t>թյունում տնտեսավարողնե</w:t>
            </w:r>
            <w:r w:rsidRPr="0053423A">
              <w:rPr>
                <w:rFonts w:ascii="GHEA Grapalat" w:hAnsi="GHEA Grapalat"/>
                <w:sz w:val="20"/>
                <w:szCs w:val="20"/>
                <w:lang w:val="pt-BR"/>
              </w:rPr>
              <w:softHyphen/>
              <w:t>րին խիստ անհրա</w:t>
            </w:r>
            <w:r w:rsidRPr="0053423A">
              <w:rPr>
                <w:rFonts w:ascii="GHEA Grapalat" w:hAnsi="GHEA Grapalat"/>
                <w:sz w:val="20"/>
                <w:szCs w:val="20"/>
                <w:lang w:val="hy-AM"/>
              </w:rPr>
              <w:softHyphen/>
            </w:r>
            <w:r w:rsidRPr="0053423A">
              <w:rPr>
                <w:rFonts w:ascii="GHEA Grapalat" w:hAnsi="GHEA Grapalat"/>
                <w:sz w:val="20"/>
                <w:szCs w:val="20"/>
                <w:lang w:val="pt-BR"/>
              </w:rPr>
              <w:t xml:space="preserve">ժեշտ է ունենալ բավարար </w:t>
            </w:r>
            <w:r w:rsidRPr="0053423A">
              <w:rPr>
                <w:rFonts w:ascii="GHEA Grapalat" w:hAnsi="GHEA Grapalat"/>
                <w:sz w:val="20"/>
                <w:szCs w:val="20"/>
                <w:lang w:val="hy-AM"/>
              </w:rPr>
              <w:t>հիմնական</w:t>
            </w:r>
            <w:r w:rsidRPr="0053423A">
              <w:rPr>
                <w:rFonts w:ascii="GHEA Grapalat" w:hAnsi="GHEA Grapalat"/>
                <w:sz w:val="20"/>
                <w:szCs w:val="20"/>
                <w:lang w:val="af-ZA"/>
              </w:rPr>
              <w:t xml:space="preserve"> </w:t>
            </w:r>
            <w:r w:rsidRPr="0053423A">
              <w:rPr>
                <w:rFonts w:ascii="GHEA Grapalat" w:hAnsi="GHEA Grapalat"/>
                <w:sz w:val="20"/>
                <w:szCs w:val="20"/>
                <w:lang w:val="hy-AM"/>
              </w:rPr>
              <w:t>և</w:t>
            </w:r>
            <w:r w:rsidRPr="0053423A">
              <w:rPr>
                <w:rFonts w:ascii="GHEA Grapalat" w:hAnsi="GHEA Grapalat"/>
                <w:sz w:val="20"/>
                <w:szCs w:val="20"/>
                <w:lang w:val="af-ZA"/>
              </w:rPr>
              <w:t xml:space="preserve"> </w:t>
            </w:r>
            <w:r w:rsidRPr="0053423A">
              <w:rPr>
                <w:rFonts w:ascii="GHEA Grapalat" w:hAnsi="GHEA Grapalat"/>
                <w:sz w:val="20"/>
                <w:szCs w:val="20"/>
                <w:lang w:val="pt-BR"/>
              </w:rPr>
              <w:t>շրջա</w:t>
            </w:r>
            <w:r w:rsidRPr="0053423A">
              <w:rPr>
                <w:rFonts w:ascii="GHEA Grapalat" w:hAnsi="GHEA Grapalat"/>
                <w:sz w:val="20"/>
                <w:szCs w:val="20"/>
                <w:lang w:val="af-ZA"/>
              </w:rPr>
              <w:softHyphen/>
            </w:r>
            <w:r w:rsidRPr="0053423A">
              <w:rPr>
                <w:rFonts w:ascii="GHEA Grapalat" w:hAnsi="GHEA Grapalat"/>
                <w:sz w:val="20"/>
                <w:szCs w:val="20"/>
                <w:lang w:val="pt-BR"/>
              </w:rPr>
              <w:t>նառու միջոցներ</w:t>
            </w:r>
            <w:r w:rsidRPr="0053423A">
              <w:rPr>
                <w:rFonts w:ascii="GHEA Grapalat" w:hAnsi="GHEA Grapalat"/>
                <w:sz w:val="20"/>
                <w:szCs w:val="20"/>
                <w:lang w:val="af-ZA"/>
              </w:rPr>
              <w:t xml:space="preserve">: </w:t>
            </w:r>
            <w:r w:rsidRPr="0053423A">
              <w:rPr>
                <w:rFonts w:ascii="GHEA Grapalat" w:hAnsi="GHEA Grapalat"/>
                <w:sz w:val="20"/>
                <w:szCs w:val="20"/>
              </w:rPr>
              <w:t>Սեփական</w:t>
            </w:r>
            <w:r w:rsidRPr="0053423A">
              <w:rPr>
                <w:rFonts w:ascii="GHEA Grapalat" w:hAnsi="GHEA Grapalat"/>
                <w:sz w:val="20"/>
                <w:szCs w:val="20"/>
                <w:lang w:val="af-ZA"/>
              </w:rPr>
              <w:t xml:space="preserve"> </w:t>
            </w:r>
            <w:r w:rsidRPr="0053423A">
              <w:rPr>
                <w:rFonts w:ascii="GHEA Grapalat" w:hAnsi="GHEA Grapalat"/>
                <w:sz w:val="20"/>
                <w:szCs w:val="20"/>
              </w:rPr>
              <w:t>միջոցների</w:t>
            </w:r>
            <w:r w:rsidRPr="0053423A">
              <w:rPr>
                <w:rFonts w:ascii="GHEA Grapalat" w:hAnsi="GHEA Grapalat"/>
                <w:sz w:val="20"/>
                <w:szCs w:val="20"/>
                <w:lang w:val="af-ZA"/>
              </w:rPr>
              <w:t xml:space="preserve"> </w:t>
            </w:r>
            <w:r w:rsidRPr="0053423A">
              <w:rPr>
                <w:rFonts w:ascii="GHEA Grapalat" w:hAnsi="GHEA Grapalat"/>
                <w:sz w:val="20"/>
                <w:szCs w:val="20"/>
              </w:rPr>
              <w:t>անբավավա</w:t>
            </w:r>
            <w:r w:rsidRPr="0053423A">
              <w:rPr>
                <w:rFonts w:ascii="GHEA Grapalat" w:hAnsi="GHEA Grapalat"/>
                <w:sz w:val="20"/>
                <w:szCs w:val="20"/>
                <w:lang w:val="af-ZA"/>
              </w:rPr>
              <w:softHyphen/>
            </w:r>
            <w:r w:rsidRPr="0053423A">
              <w:rPr>
                <w:rFonts w:ascii="GHEA Grapalat" w:hAnsi="GHEA Grapalat"/>
                <w:sz w:val="20"/>
                <w:szCs w:val="20"/>
              </w:rPr>
              <w:t>րությունը</w:t>
            </w:r>
            <w:r w:rsidRPr="0053423A">
              <w:rPr>
                <w:rFonts w:ascii="GHEA Grapalat" w:hAnsi="GHEA Grapalat"/>
                <w:sz w:val="20"/>
                <w:szCs w:val="20"/>
                <w:lang w:val="af-ZA"/>
              </w:rPr>
              <w:t xml:space="preserve"> </w:t>
            </w:r>
            <w:r w:rsidRPr="0053423A">
              <w:rPr>
                <w:rFonts w:ascii="GHEA Grapalat" w:hAnsi="GHEA Grapalat"/>
                <w:sz w:val="20"/>
                <w:szCs w:val="20"/>
              </w:rPr>
              <w:t>վերջիններս</w:t>
            </w:r>
            <w:r w:rsidRPr="0053423A">
              <w:rPr>
                <w:rFonts w:ascii="GHEA Grapalat" w:hAnsi="GHEA Grapalat"/>
                <w:sz w:val="20"/>
                <w:szCs w:val="20"/>
                <w:lang w:val="af-ZA"/>
              </w:rPr>
              <w:t xml:space="preserve"> </w:t>
            </w:r>
            <w:r w:rsidRPr="0053423A">
              <w:rPr>
                <w:rFonts w:ascii="GHEA Grapalat" w:hAnsi="GHEA Grapalat"/>
                <w:sz w:val="20"/>
                <w:szCs w:val="20"/>
              </w:rPr>
              <w:t>փորձում</w:t>
            </w:r>
            <w:r w:rsidRPr="0053423A">
              <w:rPr>
                <w:rFonts w:ascii="GHEA Grapalat" w:hAnsi="GHEA Grapalat"/>
                <w:sz w:val="20"/>
                <w:szCs w:val="20"/>
                <w:lang w:val="af-ZA"/>
              </w:rPr>
              <w:t xml:space="preserve"> </w:t>
            </w:r>
            <w:r w:rsidRPr="0053423A">
              <w:rPr>
                <w:rFonts w:ascii="GHEA Grapalat" w:hAnsi="GHEA Grapalat"/>
                <w:sz w:val="20"/>
                <w:szCs w:val="20"/>
              </w:rPr>
              <w:t>են</w:t>
            </w:r>
            <w:r w:rsidRPr="0053423A">
              <w:rPr>
                <w:rFonts w:ascii="GHEA Grapalat" w:hAnsi="GHEA Grapalat"/>
                <w:sz w:val="20"/>
                <w:szCs w:val="20"/>
                <w:lang w:val="af-ZA"/>
              </w:rPr>
              <w:t xml:space="preserve"> </w:t>
            </w:r>
            <w:r w:rsidRPr="0053423A">
              <w:rPr>
                <w:rFonts w:ascii="GHEA Grapalat" w:hAnsi="GHEA Grapalat"/>
                <w:sz w:val="20"/>
                <w:szCs w:val="20"/>
              </w:rPr>
              <w:t>լրացնել</w:t>
            </w:r>
            <w:r w:rsidRPr="0053423A">
              <w:rPr>
                <w:rFonts w:ascii="GHEA Grapalat" w:hAnsi="GHEA Grapalat"/>
                <w:sz w:val="20"/>
                <w:szCs w:val="20"/>
                <w:lang w:val="af-ZA"/>
              </w:rPr>
              <w:t xml:space="preserve"> </w:t>
            </w:r>
            <w:r w:rsidRPr="0053423A">
              <w:rPr>
                <w:rFonts w:ascii="GHEA Grapalat" w:hAnsi="GHEA Grapalat"/>
                <w:sz w:val="20"/>
                <w:szCs w:val="20"/>
              </w:rPr>
              <w:t>ֆինանսական</w:t>
            </w:r>
            <w:r w:rsidRPr="0053423A">
              <w:rPr>
                <w:rFonts w:ascii="GHEA Grapalat" w:hAnsi="GHEA Grapalat"/>
                <w:sz w:val="20"/>
                <w:szCs w:val="20"/>
                <w:lang w:val="af-ZA"/>
              </w:rPr>
              <w:t xml:space="preserve"> </w:t>
            </w:r>
            <w:r w:rsidRPr="0053423A">
              <w:rPr>
                <w:rFonts w:ascii="GHEA Grapalat" w:hAnsi="GHEA Grapalat"/>
                <w:sz w:val="20"/>
                <w:szCs w:val="20"/>
              </w:rPr>
              <w:t>տարբեր</w:t>
            </w:r>
            <w:r w:rsidRPr="0053423A">
              <w:rPr>
                <w:rFonts w:ascii="GHEA Grapalat" w:hAnsi="GHEA Grapalat"/>
                <w:sz w:val="20"/>
                <w:szCs w:val="20"/>
                <w:lang w:val="af-ZA"/>
              </w:rPr>
              <w:t xml:space="preserve"> </w:t>
            </w:r>
            <w:r w:rsidRPr="0053423A">
              <w:rPr>
                <w:rFonts w:ascii="GHEA Grapalat" w:hAnsi="GHEA Grapalat"/>
                <w:sz w:val="20"/>
                <w:szCs w:val="20"/>
              </w:rPr>
              <w:t>կառույցների</w:t>
            </w:r>
            <w:r w:rsidRPr="0053423A">
              <w:rPr>
                <w:rFonts w:ascii="GHEA Grapalat" w:hAnsi="GHEA Grapalat"/>
                <w:sz w:val="20"/>
                <w:szCs w:val="20"/>
                <w:lang w:val="af-ZA"/>
              </w:rPr>
              <w:t xml:space="preserve"> </w:t>
            </w:r>
            <w:r w:rsidRPr="0053423A">
              <w:rPr>
                <w:rFonts w:ascii="GHEA Grapalat" w:hAnsi="GHEA Grapalat"/>
                <w:sz w:val="20"/>
                <w:szCs w:val="20"/>
              </w:rPr>
              <w:t>կողմից</w:t>
            </w:r>
            <w:r w:rsidRPr="0053423A">
              <w:rPr>
                <w:rFonts w:ascii="GHEA Grapalat" w:hAnsi="GHEA Grapalat"/>
                <w:sz w:val="20"/>
                <w:szCs w:val="20"/>
                <w:lang w:val="af-ZA"/>
              </w:rPr>
              <w:t xml:space="preserve"> </w:t>
            </w:r>
            <w:r w:rsidRPr="0053423A">
              <w:rPr>
                <w:rFonts w:ascii="GHEA Grapalat" w:hAnsi="GHEA Grapalat"/>
                <w:sz w:val="20"/>
                <w:szCs w:val="20"/>
              </w:rPr>
              <w:t>տրամադրվող</w:t>
            </w:r>
            <w:r w:rsidRPr="0053423A">
              <w:rPr>
                <w:rFonts w:ascii="GHEA Grapalat" w:hAnsi="GHEA Grapalat"/>
                <w:sz w:val="20"/>
                <w:szCs w:val="20"/>
                <w:lang w:val="af-ZA"/>
              </w:rPr>
              <w:t xml:space="preserve"> </w:t>
            </w:r>
            <w:r w:rsidRPr="0053423A">
              <w:rPr>
                <w:rFonts w:ascii="GHEA Grapalat" w:hAnsi="GHEA Grapalat"/>
                <w:sz w:val="20"/>
                <w:szCs w:val="20"/>
              </w:rPr>
              <w:t>փոխառու</w:t>
            </w:r>
            <w:r w:rsidRPr="0053423A">
              <w:rPr>
                <w:rFonts w:ascii="GHEA Grapalat" w:hAnsi="GHEA Grapalat"/>
                <w:sz w:val="20"/>
                <w:szCs w:val="20"/>
                <w:lang w:val="af-ZA"/>
              </w:rPr>
              <w:t xml:space="preserve"> </w:t>
            </w:r>
            <w:r w:rsidRPr="0053423A">
              <w:rPr>
                <w:rFonts w:ascii="GHEA Grapalat" w:hAnsi="GHEA Grapalat"/>
                <w:sz w:val="20"/>
                <w:szCs w:val="20"/>
              </w:rPr>
              <w:t>միջոցների</w:t>
            </w:r>
            <w:r w:rsidRPr="0053423A">
              <w:rPr>
                <w:rFonts w:ascii="GHEA Grapalat" w:hAnsi="GHEA Grapalat"/>
                <w:sz w:val="20"/>
                <w:szCs w:val="20"/>
                <w:lang w:val="af-ZA"/>
              </w:rPr>
              <w:t xml:space="preserve"> </w:t>
            </w:r>
            <w:r w:rsidRPr="0053423A">
              <w:rPr>
                <w:rFonts w:ascii="GHEA Grapalat" w:hAnsi="GHEA Grapalat"/>
                <w:sz w:val="20"/>
                <w:szCs w:val="20"/>
              </w:rPr>
              <w:t>հաշվին</w:t>
            </w:r>
            <w:r w:rsidRPr="0053423A">
              <w:rPr>
                <w:rFonts w:ascii="GHEA Grapalat" w:hAnsi="GHEA Grapalat"/>
                <w:sz w:val="20"/>
                <w:szCs w:val="20"/>
                <w:lang w:val="af-ZA"/>
              </w:rPr>
              <w:t xml:space="preserve">: </w:t>
            </w:r>
            <w:r w:rsidRPr="0053423A">
              <w:rPr>
                <w:rFonts w:ascii="GHEA Grapalat" w:hAnsi="GHEA Grapalat"/>
                <w:sz w:val="20"/>
                <w:szCs w:val="20"/>
              </w:rPr>
              <w:t>Սակայն</w:t>
            </w:r>
            <w:r w:rsidRPr="0053423A">
              <w:rPr>
                <w:rFonts w:ascii="GHEA Grapalat" w:hAnsi="GHEA Grapalat" w:cs="Sylfaen"/>
                <w:bCs/>
                <w:sz w:val="20"/>
                <w:szCs w:val="20"/>
                <w:lang w:val="af-ZA"/>
              </w:rPr>
              <w:t xml:space="preserve"> </w:t>
            </w:r>
            <w:r w:rsidRPr="0053423A">
              <w:rPr>
                <w:rFonts w:ascii="GHEA Grapalat" w:hAnsi="GHEA Grapalat" w:cs="Sylfaen"/>
                <w:bCs/>
                <w:sz w:val="20"/>
                <w:szCs w:val="20"/>
              </w:rPr>
              <w:t>ա</w:t>
            </w:r>
            <w:r w:rsidRPr="0053423A">
              <w:rPr>
                <w:rFonts w:ascii="GHEA Grapalat" w:hAnsi="GHEA Grapalat" w:cs="Sylfaen"/>
                <w:bCs/>
                <w:sz w:val="20"/>
                <w:szCs w:val="20"/>
                <w:lang w:val="af-ZA"/>
              </w:rPr>
              <w:t>ռևտրային բանկերի կողմից հիմնականում տրամադրվող վարկերի բարձր տոկո</w:t>
            </w:r>
            <w:r w:rsidRPr="0053423A">
              <w:rPr>
                <w:rFonts w:ascii="GHEA Grapalat" w:hAnsi="GHEA Grapalat" w:cs="Sylfaen"/>
                <w:bCs/>
                <w:sz w:val="20"/>
                <w:szCs w:val="20"/>
                <w:lang w:val="af-ZA"/>
              </w:rPr>
              <w:softHyphen/>
              <w:t>սա</w:t>
            </w:r>
            <w:r w:rsidRPr="0053423A">
              <w:rPr>
                <w:rFonts w:ascii="GHEA Grapalat" w:hAnsi="GHEA Grapalat" w:cs="Sylfaen"/>
                <w:bCs/>
                <w:sz w:val="20"/>
                <w:szCs w:val="20"/>
                <w:lang w:val="af-ZA"/>
              </w:rPr>
              <w:softHyphen/>
              <w:t>դրույքների պատճառով դրանք գրեթե անմատչելի են արտադրա</w:t>
            </w:r>
            <w:r w:rsidRPr="0053423A">
              <w:rPr>
                <w:rFonts w:ascii="GHEA Grapalat" w:hAnsi="GHEA Grapalat" w:cs="Sylfaen"/>
                <w:bCs/>
                <w:sz w:val="20"/>
                <w:szCs w:val="20"/>
                <w:lang w:val="af-ZA"/>
              </w:rPr>
              <w:softHyphen/>
              <w:t>տեխ</w:t>
            </w:r>
            <w:r w:rsidRPr="0053423A">
              <w:rPr>
                <w:rFonts w:ascii="GHEA Grapalat" w:hAnsi="GHEA Grapalat" w:cs="Sylfaen"/>
                <w:bCs/>
                <w:sz w:val="20"/>
                <w:szCs w:val="20"/>
                <w:lang w:val="af-ZA"/>
              </w:rPr>
              <w:softHyphen/>
              <w:t>նի</w:t>
            </w:r>
            <w:r w:rsidRPr="0053423A">
              <w:rPr>
                <w:rFonts w:ascii="GHEA Grapalat" w:hAnsi="GHEA Grapalat" w:cs="Sylfaen"/>
                <w:bCs/>
                <w:sz w:val="20"/>
                <w:szCs w:val="20"/>
                <w:lang w:val="af-ZA"/>
              </w:rPr>
              <w:softHyphen/>
              <w:t>կա</w:t>
            </w:r>
            <w:r w:rsidRPr="0053423A">
              <w:rPr>
                <w:rFonts w:ascii="GHEA Grapalat" w:hAnsi="GHEA Grapalat" w:cs="Sylfaen"/>
                <w:bCs/>
                <w:sz w:val="20"/>
                <w:szCs w:val="20"/>
                <w:lang w:val="af-ZA"/>
              </w:rPr>
              <w:softHyphen/>
              <w:t>կան բարդ պայմաններ և իրացման դժվա</w:t>
            </w:r>
            <w:r w:rsidRPr="0053423A">
              <w:rPr>
                <w:rFonts w:ascii="GHEA Grapalat" w:hAnsi="GHEA Grapalat" w:cs="Sylfaen"/>
                <w:bCs/>
                <w:sz w:val="20"/>
                <w:szCs w:val="20"/>
                <w:lang w:val="af-ZA"/>
              </w:rPr>
              <w:softHyphen/>
              <w:t>րություններ ունեցող բազ</w:t>
            </w:r>
            <w:r w:rsidRPr="0053423A">
              <w:rPr>
                <w:rFonts w:ascii="GHEA Grapalat" w:hAnsi="GHEA Grapalat" w:cs="Sylfaen"/>
                <w:bCs/>
                <w:sz w:val="20"/>
                <w:szCs w:val="20"/>
                <w:lang w:val="af-ZA"/>
              </w:rPr>
              <w:softHyphen/>
              <w:t>մաթիվ տնտեսա</w:t>
            </w:r>
            <w:r w:rsidRPr="0053423A">
              <w:rPr>
                <w:rFonts w:ascii="GHEA Grapalat" w:hAnsi="GHEA Grapalat" w:cs="Sylfaen"/>
                <w:bCs/>
                <w:sz w:val="20"/>
                <w:szCs w:val="20"/>
                <w:lang w:val="af-ZA"/>
              </w:rPr>
              <w:softHyphen/>
              <w:t>վարող</w:t>
            </w:r>
            <w:r w:rsidRPr="0053423A">
              <w:rPr>
                <w:rFonts w:ascii="GHEA Grapalat" w:hAnsi="GHEA Grapalat" w:cs="Sylfaen"/>
                <w:bCs/>
                <w:sz w:val="20"/>
                <w:szCs w:val="20"/>
                <w:lang w:val="af-ZA"/>
              </w:rPr>
              <w:softHyphen/>
              <w:t>ների համար, ուստի պետական հովա</w:t>
            </w:r>
            <w:r w:rsidRPr="0053423A">
              <w:rPr>
                <w:rFonts w:ascii="GHEA Grapalat" w:hAnsi="GHEA Grapalat" w:cs="Sylfaen"/>
                <w:bCs/>
                <w:sz w:val="20"/>
                <w:szCs w:val="20"/>
                <w:lang w:val="af-ZA"/>
              </w:rPr>
              <w:softHyphen/>
              <w:t>նա</w:t>
            </w:r>
            <w:r w:rsidRPr="0053423A">
              <w:rPr>
                <w:rFonts w:ascii="GHEA Grapalat" w:hAnsi="GHEA Grapalat" w:cs="Sylfaen"/>
                <w:bCs/>
                <w:sz w:val="20"/>
                <w:szCs w:val="20"/>
                <w:lang w:val="af-ZA"/>
              </w:rPr>
              <w:softHyphen/>
              <w:t>վորչական քաղաքականության իրա</w:t>
            </w:r>
            <w:r w:rsidRPr="0053423A">
              <w:rPr>
                <w:rFonts w:ascii="GHEA Grapalat" w:hAnsi="GHEA Grapalat" w:cs="Sylfaen"/>
                <w:bCs/>
                <w:sz w:val="20"/>
                <w:szCs w:val="20"/>
                <w:lang w:val="hy-AM"/>
              </w:rPr>
              <w:softHyphen/>
            </w:r>
            <w:r w:rsidRPr="0053423A">
              <w:rPr>
                <w:rFonts w:ascii="GHEA Grapalat" w:hAnsi="GHEA Grapalat" w:cs="Sylfaen"/>
                <w:bCs/>
                <w:sz w:val="20"/>
                <w:szCs w:val="20"/>
                <w:lang w:val="af-ZA"/>
              </w:rPr>
              <w:t>կա</w:t>
            </w:r>
            <w:r w:rsidRPr="0053423A">
              <w:rPr>
                <w:rFonts w:ascii="GHEA Grapalat" w:hAnsi="GHEA Grapalat" w:cs="Sylfaen"/>
                <w:bCs/>
                <w:sz w:val="20"/>
                <w:szCs w:val="20"/>
                <w:lang w:val="hy-AM"/>
              </w:rPr>
              <w:softHyphen/>
            </w:r>
            <w:r w:rsidRPr="0053423A">
              <w:rPr>
                <w:rFonts w:ascii="GHEA Grapalat" w:hAnsi="GHEA Grapalat" w:cs="Sylfaen"/>
                <w:bCs/>
                <w:sz w:val="20"/>
                <w:szCs w:val="20"/>
                <w:lang w:val="af-ZA"/>
              </w:rPr>
              <w:softHyphen/>
              <w:t>նացումն անհրա</w:t>
            </w:r>
            <w:r w:rsidRPr="0053423A">
              <w:rPr>
                <w:rFonts w:ascii="GHEA Grapalat" w:hAnsi="GHEA Grapalat" w:cs="Sylfaen"/>
                <w:bCs/>
                <w:sz w:val="20"/>
                <w:szCs w:val="20"/>
                <w:lang w:val="af-ZA"/>
              </w:rPr>
              <w:softHyphen/>
              <w:t>ժեշ</w:t>
            </w:r>
            <w:r w:rsidRPr="0053423A">
              <w:rPr>
                <w:rFonts w:ascii="GHEA Grapalat" w:hAnsi="GHEA Grapalat" w:cs="Sylfaen"/>
                <w:bCs/>
                <w:sz w:val="20"/>
                <w:szCs w:val="20"/>
                <w:lang w:val="af-ZA"/>
              </w:rPr>
              <w:softHyphen/>
              <w:t>տ պայման է հանդի</w:t>
            </w:r>
            <w:r w:rsidRPr="0053423A">
              <w:rPr>
                <w:rFonts w:ascii="GHEA Grapalat" w:hAnsi="GHEA Grapalat" w:cs="Sylfaen"/>
                <w:bCs/>
                <w:sz w:val="20"/>
                <w:szCs w:val="20"/>
                <w:lang w:val="af-ZA"/>
              </w:rPr>
              <w:softHyphen/>
              <w:t>սանում գյու</w:t>
            </w:r>
            <w:r w:rsidRPr="0053423A">
              <w:rPr>
                <w:rFonts w:ascii="GHEA Grapalat" w:hAnsi="GHEA Grapalat" w:cs="Sylfaen"/>
                <w:bCs/>
                <w:sz w:val="20"/>
                <w:szCs w:val="20"/>
                <w:lang w:val="af-ZA"/>
              </w:rPr>
              <w:softHyphen/>
              <w:t>ղատնտեսությունում տնտեսա</w:t>
            </w:r>
            <w:r w:rsidRPr="0053423A">
              <w:rPr>
                <w:rFonts w:ascii="GHEA Grapalat" w:hAnsi="GHEA Grapalat" w:cs="Sylfaen"/>
                <w:bCs/>
                <w:sz w:val="20"/>
                <w:szCs w:val="20"/>
                <w:lang w:val="hy-AM"/>
              </w:rPr>
              <w:softHyphen/>
            </w:r>
            <w:r w:rsidRPr="0053423A">
              <w:rPr>
                <w:rFonts w:ascii="GHEA Grapalat" w:hAnsi="GHEA Grapalat" w:cs="Sylfaen"/>
                <w:bCs/>
                <w:sz w:val="20"/>
                <w:szCs w:val="20"/>
                <w:lang w:val="af-ZA"/>
              </w:rPr>
              <w:t>վարող</w:t>
            </w:r>
            <w:r w:rsidRPr="0053423A">
              <w:rPr>
                <w:rFonts w:ascii="GHEA Grapalat" w:hAnsi="GHEA Grapalat" w:cs="Sylfaen"/>
                <w:bCs/>
                <w:sz w:val="20"/>
                <w:szCs w:val="20"/>
                <w:lang w:val="af-ZA"/>
              </w:rPr>
              <w:softHyphen/>
              <w:t>ների կարո</w:t>
            </w:r>
            <w:r w:rsidRPr="0053423A">
              <w:rPr>
                <w:rFonts w:ascii="GHEA Grapalat" w:hAnsi="GHEA Grapalat" w:cs="Sylfaen"/>
                <w:bCs/>
                <w:sz w:val="20"/>
                <w:szCs w:val="20"/>
                <w:lang w:val="af-ZA"/>
              </w:rPr>
              <w:softHyphen/>
              <w:t>ղու</w:t>
            </w:r>
            <w:r w:rsidRPr="0053423A">
              <w:rPr>
                <w:rFonts w:ascii="GHEA Grapalat" w:hAnsi="GHEA Grapalat" w:cs="Sylfaen"/>
                <w:bCs/>
                <w:sz w:val="20"/>
                <w:szCs w:val="20"/>
                <w:lang w:val="af-ZA"/>
              </w:rPr>
              <w:softHyphen/>
              <w:t>թյունների հզորացման, արտադ</w:t>
            </w:r>
            <w:r w:rsidRPr="0053423A">
              <w:rPr>
                <w:rFonts w:ascii="GHEA Grapalat" w:hAnsi="GHEA Grapalat" w:cs="Sylfaen"/>
                <w:bCs/>
                <w:sz w:val="20"/>
                <w:szCs w:val="20"/>
                <w:lang w:val="af-ZA"/>
              </w:rPr>
              <w:softHyphen/>
              <w:t>րության ծավալների ընդլայնման և գյուղա</w:t>
            </w:r>
            <w:r w:rsidRPr="0053423A">
              <w:rPr>
                <w:rFonts w:ascii="GHEA Grapalat" w:hAnsi="GHEA Grapalat" w:cs="Sylfaen"/>
                <w:bCs/>
                <w:sz w:val="20"/>
                <w:szCs w:val="20"/>
                <w:lang w:val="af-ZA"/>
              </w:rPr>
              <w:softHyphen/>
              <w:t>տնտեսական արտադրության մրցու</w:t>
            </w:r>
            <w:r w:rsidRPr="0053423A">
              <w:rPr>
                <w:rFonts w:ascii="GHEA Grapalat" w:hAnsi="GHEA Grapalat" w:cs="Sylfaen"/>
                <w:bCs/>
                <w:sz w:val="20"/>
                <w:szCs w:val="20"/>
                <w:lang w:val="af-ZA"/>
              </w:rPr>
              <w:softHyphen/>
              <w:t>նակության բարձրացման համար։ Դրա հետ մեկտեղ կարևորագույն խնդիր է վարկերի նպատակայնության մակարդակի բարձրացումը, վարկերի գումարի և վարկա</w:t>
            </w:r>
            <w:r w:rsidRPr="0053423A">
              <w:rPr>
                <w:rFonts w:ascii="GHEA Grapalat" w:hAnsi="GHEA Grapalat" w:cs="Sylfaen"/>
                <w:bCs/>
                <w:sz w:val="20"/>
                <w:szCs w:val="20"/>
                <w:lang w:val="af-ZA"/>
              </w:rPr>
              <w:softHyphen/>
              <w:t>վորման ժամկետների ավելացման միջո</w:t>
            </w:r>
            <w:r w:rsidRPr="0053423A">
              <w:rPr>
                <w:rFonts w:ascii="GHEA Grapalat" w:hAnsi="GHEA Grapalat" w:cs="Sylfaen"/>
                <w:bCs/>
                <w:sz w:val="20"/>
                <w:szCs w:val="20"/>
                <w:lang w:val="hy-AM"/>
              </w:rPr>
              <w:softHyphen/>
            </w:r>
            <w:r w:rsidRPr="0053423A">
              <w:rPr>
                <w:rFonts w:ascii="GHEA Grapalat" w:hAnsi="GHEA Grapalat" w:cs="Sylfaen"/>
                <w:bCs/>
                <w:sz w:val="20"/>
                <w:szCs w:val="20"/>
                <w:lang w:val="af-ZA"/>
              </w:rPr>
              <w:t>ցով դրանց նպատակա</w:t>
            </w:r>
            <w:r w:rsidRPr="0053423A">
              <w:rPr>
                <w:rFonts w:ascii="GHEA Grapalat" w:hAnsi="GHEA Grapalat" w:cs="Sylfaen"/>
                <w:bCs/>
                <w:sz w:val="20"/>
                <w:szCs w:val="20"/>
                <w:lang w:val="af-ZA"/>
              </w:rPr>
              <w:softHyphen/>
              <w:t>ուղղումը տնտե</w:t>
            </w:r>
            <w:r w:rsidRPr="0053423A">
              <w:rPr>
                <w:rFonts w:ascii="GHEA Grapalat" w:hAnsi="GHEA Grapalat" w:cs="Sylfaen"/>
                <w:bCs/>
                <w:sz w:val="20"/>
                <w:szCs w:val="20"/>
                <w:lang w:val="af-ZA"/>
              </w:rPr>
              <w:softHyphen/>
              <w:t>սու</w:t>
            </w:r>
            <w:r w:rsidRPr="0053423A">
              <w:rPr>
                <w:rFonts w:ascii="GHEA Grapalat" w:hAnsi="GHEA Grapalat" w:cs="Sylfaen"/>
                <w:bCs/>
                <w:sz w:val="20"/>
                <w:szCs w:val="20"/>
                <w:lang w:val="af-ZA"/>
              </w:rPr>
              <w:softHyphen/>
              <w:t>թյունների խոշո</w:t>
            </w:r>
            <w:r w:rsidRPr="0053423A">
              <w:rPr>
                <w:rFonts w:ascii="GHEA Grapalat" w:hAnsi="GHEA Grapalat" w:cs="Sylfaen"/>
                <w:bCs/>
                <w:sz w:val="20"/>
                <w:szCs w:val="20"/>
                <w:lang w:val="af-ZA"/>
              </w:rPr>
              <w:softHyphen/>
              <w:t>րացմանը, արդիական տեխնոլոգիաների ներդր</w:t>
            </w:r>
            <w:r w:rsidRPr="0053423A">
              <w:rPr>
                <w:rFonts w:ascii="GHEA Grapalat" w:hAnsi="GHEA Grapalat" w:cs="Sylfaen"/>
                <w:bCs/>
                <w:sz w:val="20"/>
                <w:szCs w:val="20"/>
                <w:lang w:val="af-ZA"/>
              </w:rPr>
              <w:softHyphen/>
              <w:t>մանը և տնտեսա</w:t>
            </w:r>
            <w:r w:rsidRPr="0053423A">
              <w:rPr>
                <w:rFonts w:ascii="GHEA Grapalat" w:hAnsi="GHEA Grapalat" w:cs="Sylfaen"/>
                <w:bCs/>
                <w:sz w:val="20"/>
                <w:szCs w:val="20"/>
                <w:lang w:val="af-ZA"/>
              </w:rPr>
              <w:softHyphen/>
              <w:t>վարողների գիտելիքների մակարդակի բարձրացմանը:</w:t>
            </w:r>
          </w:p>
          <w:p w:rsidR="00530B14" w:rsidRPr="0053423A" w:rsidRDefault="00530B14" w:rsidP="001F6D5D">
            <w:pPr>
              <w:pStyle w:val="ListParagraph"/>
              <w:numPr>
                <w:ilvl w:val="1"/>
                <w:numId w:val="112"/>
              </w:numPr>
              <w:tabs>
                <w:tab w:val="left" w:pos="1080"/>
              </w:tabs>
              <w:spacing w:line="276" w:lineRule="auto"/>
              <w:ind w:firstLine="180"/>
              <w:jc w:val="both"/>
              <w:rPr>
                <w:b/>
                <w:lang w:val="hy-AM"/>
              </w:rPr>
            </w:pPr>
            <w:r w:rsidRPr="0053423A">
              <w:rPr>
                <w:b/>
              </w:rPr>
              <w:t>Ա</w:t>
            </w:r>
            <w:r w:rsidRPr="0053423A">
              <w:rPr>
                <w:b/>
                <w:lang w:val="hy-AM"/>
              </w:rPr>
              <w:t xml:space="preserve">ռկա խնդիրների առաջարկվող լուծումները </w:t>
            </w:r>
          </w:p>
          <w:p w:rsidR="00530B14" w:rsidRPr="0053423A" w:rsidRDefault="00530B14" w:rsidP="00A67858">
            <w:pPr>
              <w:pStyle w:val="BodyText3"/>
              <w:tabs>
                <w:tab w:val="left" w:pos="720"/>
                <w:tab w:val="left" w:pos="1134"/>
              </w:tabs>
              <w:spacing w:after="0" w:line="276" w:lineRule="auto"/>
              <w:jc w:val="both"/>
              <w:rPr>
                <w:rFonts w:ascii="GHEA Grapalat" w:hAnsi="GHEA Grapalat"/>
                <w:bCs/>
                <w:spacing w:val="-12"/>
                <w:sz w:val="20"/>
                <w:szCs w:val="20"/>
                <w:lang w:val="af-ZA"/>
              </w:rPr>
            </w:pPr>
            <w:r w:rsidRPr="0053423A">
              <w:rPr>
                <w:rFonts w:ascii="GHEA Grapalat" w:hAnsi="GHEA Grapalat" w:cs="Arial Armenian"/>
                <w:sz w:val="20"/>
                <w:szCs w:val="20"/>
                <w:lang w:val="hy-AM"/>
              </w:rPr>
              <w:tab/>
            </w:r>
            <w:r w:rsidRPr="0053423A">
              <w:rPr>
                <w:rFonts w:ascii="GHEA Grapalat" w:hAnsi="GHEA Grapalat" w:cs="Arial Armenian"/>
                <w:sz w:val="20"/>
                <w:szCs w:val="20"/>
                <w:lang w:val="af-ZA"/>
              </w:rPr>
              <w:t>Գյուղա</w:t>
            </w:r>
            <w:r w:rsidRPr="0053423A">
              <w:rPr>
                <w:rFonts w:ascii="GHEA Grapalat" w:hAnsi="GHEA Grapalat" w:cs="Arial Armenian"/>
                <w:sz w:val="20"/>
                <w:szCs w:val="20"/>
                <w:lang w:val="af-ZA"/>
              </w:rPr>
              <w:softHyphen/>
              <w:t xml:space="preserve">տնտեսության </w:t>
            </w:r>
            <w:r w:rsidRPr="0053423A">
              <w:rPr>
                <w:rFonts w:ascii="GHEA Grapalat" w:hAnsi="GHEA Grapalat" w:cs="Sylfaen"/>
                <w:sz w:val="20"/>
                <w:szCs w:val="20"/>
                <w:lang w:val="af-ZA"/>
              </w:rPr>
              <w:t>առջև</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ծառացած</w:t>
            </w:r>
            <w:r w:rsidRPr="0053423A">
              <w:rPr>
                <w:rFonts w:ascii="GHEA Grapalat" w:hAnsi="GHEA Grapalat" w:cs="Arial Armenian"/>
                <w:sz w:val="20"/>
                <w:szCs w:val="20"/>
                <w:lang w:val="af-ZA"/>
              </w:rPr>
              <w:t xml:space="preserve"> </w:t>
            </w:r>
            <w:r w:rsidRPr="0053423A">
              <w:rPr>
                <w:rFonts w:ascii="GHEA Grapalat" w:hAnsi="GHEA Grapalat" w:cs="Arial Armenian"/>
                <w:sz w:val="20"/>
                <w:szCs w:val="20"/>
                <w:lang w:val="hy-AM"/>
              </w:rPr>
              <w:t>վերը</w:t>
            </w:r>
            <w:r w:rsidRPr="0053423A">
              <w:rPr>
                <w:rFonts w:ascii="GHEA Grapalat" w:hAnsi="GHEA Grapalat" w:cs="Arial Armenian"/>
                <w:sz w:val="20"/>
                <w:szCs w:val="20"/>
                <w:lang w:val="af-ZA"/>
              </w:rPr>
              <w:t xml:space="preserve"> նշված և այլ </w:t>
            </w:r>
            <w:r w:rsidRPr="0053423A">
              <w:rPr>
                <w:rFonts w:ascii="GHEA Grapalat" w:hAnsi="GHEA Grapalat" w:cs="Sylfaen"/>
                <w:sz w:val="20"/>
                <w:szCs w:val="20"/>
                <w:lang w:val="af-ZA"/>
              </w:rPr>
              <w:t>խնդիր</w:t>
            </w:r>
            <w:r w:rsidRPr="0053423A">
              <w:rPr>
                <w:rFonts w:ascii="GHEA Grapalat" w:hAnsi="GHEA Grapalat" w:cs="Sylfaen"/>
                <w:sz w:val="20"/>
                <w:szCs w:val="20"/>
                <w:lang w:val="af-ZA"/>
              </w:rPr>
              <w:softHyphen/>
              <w:t>ների</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լուծ</w:t>
            </w:r>
            <w:r w:rsidRPr="0053423A">
              <w:rPr>
                <w:rFonts w:ascii="GHEA Grapalat" w:hAnsi="GHEA Grapalat" w:cs="Arial Armenian"/>
                <w:sz w:val="20"/>
                <w:szCs w:val="20"/>
                <w:lang w:val="af-ZA"/>
              </w:rPr>
              <w:softHyphen/>
            </w:r>
            <w:r w:rsidRPr="0053423A">
              <w:rPr>
                <w:rFonts w:ascii="GHEA Grapalat" w:hAnsi="GHEA Grapalat" w:cs="Sylfaen"/>
                <w:sz w:val="20"/>
                <w:szCs w:val="20"/>
                <w:lang w:val="af-ZA"/>
              </w:rPr>
              <w:t>ման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արդյունավետ</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միջոցներից է գյուղատնտեսությունում տնտեսավարողների վար</w:t>
            </w:r>
            <w:r w:rsidRPr="0053423A">
              <w:rPr>
                <w:rFonts w:ascii="GHEA Grapalat" w:hAnsi="GHEA Grapalat" w:cs="Sylfaen"/>
                <w:sz w:val="20"/>
                <w:szCs w:val="20"/>
                <w:lang w:val="hy-AM"/>
              </w:rPr>
              <w:softHyphen/>
            </w:r>
            <w:r w:rsidRPr="0053423A">
              <w:rPr>
                <w:rFonts w:ascii="GHEA Grapalat" w:hAnsi="GHEA Grapalat" w:cs="Sylfaen"/>
                <w:sz w:val="20"/>
                <w:szCs w:val="20"/>
                <w:lang w:val="af-ZA"/>
              </w:rPr>
              <w:t>կա</w:t>
            </w:r>
            <w:r w:rsidRPr="0053423A">
              <w:rPr>
                <w:rFonts w:ascii="GHEA Grapalat" w:hAnsi="GHEA Grapalat" w:cs="Sylfaen"/>
                <w:sz w:val="20"/>
                <w:szCs w:val="20"/>
                <w:lang w:val="hy-AM"/>
              </w:rPr>
              <w:softHyphen/>
            </w:r>
            <w:r w:rsidRPr="0053423A">
              <w:rPr>
                <w:rFonts w:ascii="GHEA Grapalat" w:hAnsi="GHEA Grapalat" w:cs="Sylfaen"/>
                <w:sz w:val="20"/>
                <w:szCs w:val="20"/>
                <w:lang w:val="af-ZA"/>
              </w:rPr>
              <w:t>վոր</w:t>
            </w:r>
            <w:r w:rsidRPr="0053423A">
              <w:rPr>
                <w:rFonts w:ascii="GHEA Grapalat" w:hAnsi="GHEA Grapalat" w:cs="Sylfaen"/>
                <w:sz w:val="20"/>
                <w:szCs w:val="20"/>
                <w:lang w:val="af-ZA"/>
              </w:rPr>
              <w:softHyphen/>
              <w:t>ման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մատչելիու</w:t>
            </w:r>
            <w:r w:rsidRPr="0053423A">
              <w:rPr>
                <w:rFonts w:ascii="GHEA Grapalat" w:hAnsi="GHEA Grapalat" w:cs="Arial Armenian"/>
                <w:sz w:val="20"/>
                <w:szCs w:val="20"/>
                <w:lang w:val="af-ZA"/>
              </w:rPr>
              <w:softHyphen/>
            </w:r>
            <w:r w:rsidRPr="0053423A">
              <w:rPr>
                <w:rFonts w:ascii="GHEA Grapalat" w:hAnsi="GHEA Grapalat" w:cs="Sylfaen"/>
                <w:sz w:val="20"/>
                <w:szCs w:val="20"/>
                <w:lang w:val="af-ZA"/>
              </w:rPr>
              <w:t>թյան բարձրացումը և վարկավորման պայմանների բարելա</w:t>
            </w:r>
            <w:r w:rsidRPr="0053423A">
              <w:rPr>
                <w:rFonts w:ascii="GHEA Grapalat" w:hAnsi="GHEA Grapalat" w:cs="Sylfaen"/>
                <w:sz w:val="20"/>
                <w:szCs w:val="20"/>
                <w:lang w:val="hy-AM"/>
              </w:rPr>
              <w:softHyphen/>
            </w:r>
            <w:r w:rsidRPr="0053423A">
              <w:rPr>
                <w:rFonts w:ascii="GHEA Grapalat" w:hAnsi="GHEA Grapalat" w:cs="Sylfaen"/>
                <w:sz w:val="20"/>
                <w:szCs w:val="20"/>
                <w:lang w:val="af-ZA"/>
              </w:rPr>
              <w:t>վումը</w:t>
            </w:r>
            <w:r w:rsidRPr="0053423A">
              <w:rPr>
                <w:rFonts w:ascii="GHEA Grapalat" w:hAnsi="GHEA Grapalat" w:cs="Arial Armenian"/>
                <w:sz w:val="20"/>
                <w:szCs w:val="20"/>
                <w:lang w:val="af-ZA"/>
              </w:rPr>
              <w:t>:</w:t>
            </w:r>
            <w:r w:rsidRPr="0053423A">
              <w:rPr>
                <w:rFonts w:ascii="GHEA Grapalat" w:hAnsi="GHEA Grapalat" w:cs="Sylfaen"/>
                <w:sz w:val="20"/>
                <w:szCs w:val="20"/>
                <w:lang w:val="af-ZA"/>
              </w:rPr>
              <w:t xml:space="preserve"> </w:t>
            </w:r>
            <w:r w:rsidRPr="0053423A">
              <w:rPr>
                <w:rFonts w:ascii="GHEA Grapalat" w:hAnsi="GHEA Grapalat"/>
                <w:spacing w:val="-12"/>
                <w:sz w:val="20"/>
                <w:szCs w:val="20"/>
                <w:lang w:val="af-ZA"/>
              </w:rPr>
              <w:t>Ծրագիր</w:t>
            </w:r>
            <w:r w:rsidRPr="0053423A">
              <w:rPr>
                <w:rFonts w:ascii="GHEA Grapalat" w:hAnsi="GHEA Grapalat"/>
                <w:spacing w:val="-12"/>
                <w:sz w:val="20"/>
                <w:szCs w:val="20"/>
                <w:lang w:val="hy-AM"/>
              </w:rPr>
              <w:t>ն</w:t>
            </w:r>
            <w:r w:rsidRPr="0053423A">
              <w:rPr>
                <w:rFonts w:ascii="GHEA Grapalat" w:hAnsi="GHEA Grapalat"/>
                <w:spacing w:val="-12"/>
                <w:sz w:val="20"/>
                <w:szCs w:val="20"/>
                <w:lang w:val="af-ZA"/>
              </w:rPr>
              <w:t xml:space="preserve"> ուղղվելու է ագրոպարենային </w:t>
            </w:r>
            <w:r w:rsidRPr="0053423A">
              <w:rPr>
                <w:rFonts w:ascii="GHEA Grapalat" w:hAnsi="GHEA Grapalat"/>
                <w:spacing w:val="-12"/>
                <w:sz w:val="20"/>
                <w:szCs w:val="20"/>
                <w:lang w:val="hy-AM"/>
              </w:rPr>
              <w:t>ոլորտի</w:t>
            </w:r>
            <w:r w:rsidRPr="0053423A">
              <w:rPr>
                <w:rFonts w:ascii="GHEA Grapalat" w:hAnsi="GHEA Grapalat"/>
                <w:spacing w:val="-12"/>
                <w:sz w:val="20"/>
                <w:szCs w:val="20"/>
                <w:lang w:val="af-ZA"/>
              </w:rPr>
              <w:t xml:space="preserve"> զարգացման ծրագրերի վարկա</w:t>
            </w:r>
            <w:r w:rsidRPr="0053423A">
              <w:rPr>
                <w:rFonts w:ascii="GHEA Grapalat" w:hAnsi="GHEA Grapalat"/>
                <w:spacing w:val="-12"/>
                <w:sz w:val="20"/>
                <w:szCs w:val="20"/>
                <w:lang w:val="af-ZA"/>
              </w:rPr>
              <w:softHyphen/>
              <w:t>վորմանը:</w:t>
            </w:r>
            <w:r w:rsidRPr="0053423A">
              <w:rPr>
                <w:rFonts w:ascii="GHEA Grapalat" w:hAnsi="GHEA Grapalat"/>
                <w:spacing w:val="-12"/>
                <w:sz w:val="20"/>
                <w:szCs w:val="20"/>
                <w:lang w:val="hy-AM"/>
              </w:rPr>
              <w:t xml:space="preserve"> Ծրագրի շրջանակներում տրամադրվելու է 3-15 մլն դրամ վարկ մինչև 5 տարի մարման ժամկետով, </w:t>
            </w:r>
            <w:r w:rsidRPr="0053423A">
              <w:rPr>
                <w:rFonts w:ascii="GHEA Grapalat" w:hAnsi="GHEA Grapalat" w:cs="Sylfaen"/>
                <w:sz w:val="20"/>
                <w:szCs w:val="20"/>
                <w:lang w:val="hy-AM"/>
              </w:rPr>
              <w:t>սոցիալական աջակցություն ստա</w:t>
            </w:r>
            <w:r w:rsidRPr="0053423A">
              <w:rPr>
                <w:rFonts w:ascii="GHEA Grapalat" w:hAnsi="GHEA Grapalat" w:cs="Sylfaen"/>
                <w:sz w:val="20"/>
                <w:szCs w:val="20"/>
                <w:lang w:val="hy-AM"/>
              </w:rPr>
              <w:softHyphen/>
              <w:t>ցող սա</w:t>
            </w:r>
            <w:r w:rsidR="00D67A7D" w:rsidRPr="0053423A">
              <w:rPr>
                <w:rFonts w:ascii="GHEA Grapalat" w:hAnsi="GHEA Grapalat" w:cs="Sylfaen"/>
                <w:sz w:val="20"/>
                <w:szCs w:val="20"/>
                <w:lang w:val="hy-AM"/>
              </w:rPr>
              <w:t>հմանամերձ բնակավայրերի հա</w:t>
            </w:r>
            <w:r w:rsidR="00D67A7D" w:rsidRPr="0053423A">
              <w:rPr>
                <w:rFonts w:ascii="GHEA Grapalat" w:hAnsi="GHEA Grapalat" w:cs="Sylfaen"/>
                <w:sz w:val="20"/>
                <w:szCs w:val="20"/>
                <w:lang w:val="hy-AM"/>
              </w:rPr>
              <w:softHyphen/>
              <w:t>մար 0</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տոկոսա</w:t>
            </w:r>
            <w:r w:rsidRPr="0053423A">
              <w:rPr>
                <w:rFonts w:ascii="GHEA Grapalat" w:hAnsi="GHEA Grapalat" w:cs="Sylfaen"/>
                <w:sz w:val="20"/>
                <w:szCs w:val="20"/>
                <w:lang w:val="hy-AM"/>
              </w:rPr>
              <w:softHyphen/>
              <w:t>դրույ</w:t>
            </w:r>
            <w:r w:rsidRPr="0053423A">
              <w:rPr>
                <w:rFonts w:ascii="GHEA Grapalat" w:hAnsi="GHEA Grapalat" w:cs="Sylfaen"/>
                <w:sz w:val="20"/>
                <w:szCs w:val="20"/>
                <w:lang w:val="hy-AM"/>
              </w:rPr>
              <w:softHyphen/>
              <w:t>քով</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հանրապետության</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մնա</w:t>
            </w:r>
            <w:r w:rsidRPr="0053423A">
              <w:rPr>
                <w:rFonts w:ascii="GHEA Grapalat" w:hAnsi="GHEA Grapalat" w:cs="Sylfaen"/>
                <w:sz w:val="20"/>
                <w:szCs w:val="20"/>
                <w:lang w:val="af-ZA"/>
              </w:rPr>
              <w:softHyphen/>
            </w:r>
            <w:r w:rsidRPr="0053423A">
              <w:rPr>
                <w:rFonts w:ascii="GHEA Grapalat" w:hAnsi="GHEA Grapalat" w:cs="Sylfaen"/>
                <w:sz w:val="20"/>
                <w:szCs w:val="20"/>
                <w:lang w:val="hy-AM"/>
              </w:rPr>
              <w:t>ցած</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հա</w:t>
            </w:r>
            <w:r w:rsidRPr="0053423A">
              <w:rPr>
                <w:rFonts w:ascii="GHEA Grapalat" w:hAnsi="GHEA Grapalat" w:cs="Sylfaen"/>
                <w:sz w:val="20"/>
                <w:szCs w:val="20"/>
                <w:lang w:val="af-ZA"/>
              </w:rPr>
              <w:softHyphen/>
            </w:r>
            <w:r w:rsidRPr="0053423A">
              <w:rPr>
                <w:rFonts w:ascii="GHEA Grapalat" w:hAnsi="GHEA Grapalat" w:cs="Sylfaen"/>
                <w:sz w:val="20"/>
                <w:szCs w:val="20"/>
                <w:lang w:val="af-ZA"/>
              </w:rPr>
              <w:softHyphen/>
            </w:r>
            <w:r w:rsidRPr="0053423A">
              <w:rPr>
                <w:rFonts w:ascii="GHEA Grapalat" w:hAnsi="GHEA Grapalat" w:cs="Sylfaen"/>
                <w:sz w:val="20"/>
                <w:szCs w:val="20"/>
                <w:lang w:val="hy-AM"/>
              </w:rPr>
              <w:t>մայնքների</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համար՝</w:t>
            </w:r>
            <w:r w:rsidRPr="0053423A">
              <w:rPr>
                <w:rFonts w:ascii="GHEA Grapalat" w:hAnsi="GHEA Grapalat" w:cs="Sylfaen"/>
                <w:sz w:val="20"/>
                <w:szCs w:val="20"/>
                <w:lang w:val="af-ZA"/>
              </w:rPr>
              <w:t xml:space="preserve"> 5 </w:t>
            </w:r>
            <w:r w:rsidRPr="0053423A">
              <w:rPr>
                <w:rFonts w:ascii="GHEA Grapalat" w:hAnsi="GHEA Grapalat" w:cs="Sylfaen"/>
                <w:sz w:val="20"/>
                <w:szCs w:val="20"/>
                <w:lang w:val="hy-AM"/>
              </w:rPr>
              <w:t>%</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իսկ գյուղա</w:t>
            </w:r>
            <w:r w:rsidRPr="0053423A">
              <w:rPr>
                <w:rFonts w:ascii="GHEA Grapalat" w:hAnsi="GHEA Grapalat" w:cs="Sylfaen"/>
                <w:sz w:val="20"/>
                <w:szCs w:val="20"/>
                <w:lang w:val="af-ZA"/>
              </w:rPr>
              <w:softHyphen/>
            </w:r>
            <w:r w:rsidR="00D67A7D" w:rsidRPr="0053423A">
              <w:rPr>
                <w:rFonts w:ascii="GHEA Grapalat" w:hAnsi="GHEA Grapalat" w:cs="Sylfaen"/>
                <w:sz w:val="20"/>
                <w:szCs w:val="20"/>
                <w:lang w:val="hy-AM"/>
              </w:rPr>
              <w:t>տնտեսական կոոպերատիվներին՝ 3</w:t>
            </w:r>
            <w:r w:rsidRPr="0053423A">
              <w:rPr>
                <w:rFonts w:ascii="GHEA Grapalat" w:hAnsi="GHEA Grapalat" w:cs="Sylfaen"/>
                <w:sz w:val="20"/>
                <w:szCs w:val="20"/>
                <w:lang w:val="af-ZA"/>
              </w:rPr>
              <w:t xml:space="preserve">% </w:t>
            </w:r>
            <w:r w:rsidRPr="0053423A">
              <w:rPr>
                <w:rFonts w:ascii="GHEA Grapalat" w:hAnsi="GHEA Grapalat" w:cs="Sylfaen"/>
                <w:sz w:val="20"/>
                <w:szCs w:val="20"/>
                <w:lang w:val="hy-AM"/>
              </w:rPr>
              <w:t>տոկոսադրույքով:</w:t>
            </w:r>
          </w:p>
          <w:p w:rsidR="00530B14" w:rsidRPr="0053423A" w:rsidRDefault="00530B14" w:rsidP="00A67858">
            <w:pPr>
              <w:pStyle w:val="BodyText"/>
              <w:tabs>
                <w:tab w:val="left" w:pos="-1134"/>
                <w:tab w:val="left" w:pos="540"/>
                <w:tab w:val="left" w:pos="1134"/>
              </w:tabs>
              <w:spacing w:after="0" w:line="276" w:lineRule="auto"/>
              <w:jc w:val="both"/>
              <w:rPr>
                <w:rFonts w:ascii="GHEA Grapalat" w:hAnsi="GHEA Grapalat"/>
                <w:b/>
                <w:sz w:val="20"/>
                <w:szCs w:val="20"/>
                <w:lang w:val="hy-AM"/>
              </w:rPr>
            </w:pPr>
            <w:r w:rsidRPr="0053423A">
              <w:rPr>
                <w:rFonts w:ascii="GHEA Grapalat" w:hAnsi="GHEA Grapalat"/>
                <w:b/>
                <w:sz w:val="20"/>
                <w:szCs w:val="20"/>
                <w:lang w:val="hy-AM"/>
              </w:rPr>
              <w:tab/>
              <w:t>2.</w:t>
            </w:r>
            <w:r w:rsidRPr="0053423A">
              <w:rPr>
                <w:rFonts w:ascii="GHEA Grapalat" w:hAnsi="GHEA Grapalat"/>
                <w:i/>
                <w:sz w:val="20"/>
                <w:szCs w:val="20"/>
                <w:lang w:val="hy-AM"/>
              </w:rPr>
              <w:t xml:space="preserve"> </w:t>
            </w:r>
            <w:r w:rsidRPr="0053423A">
              <w:rPr>
                <w:rFonts w:ascii="GHEA Grapalat" w:hAnsi="GHEA Grapalat"/>
                <w:b/>
                <w:sz w:val="20"/>
                <w:szCs w:val="20"/>
                <w:lang w:val="hy-AM"/>
              </w:rPr>
              <w:t>Միջոցառման իրականացումից ակնկալվող արդյունքը</w:t>
            </w:r>
          </w:p>
          <w:p w:rsidR="00530B14" w:rsidRPr="0053423A" w:rsidRDefault="00530B14" w:rsidP="00A67858">
            <w:pPr>
              <w:spacing w:line="276" w:lineRule="auto"/>
              <w:jc w:val="both"/>
              <w:rPr>
                <w:rFonts w:cs="Courier New"/>
                <w:lang w:val="hy-AM"/>
              </w:rPr>
            </w:pPr>
            <w:r w:rsidRPr="0053423A">
              <w:rPr>
                <w:rFonts w:cs="Courier New"/>
                <w:lang w:val="hy-AM"/>
              </w:rPr>
              <w:tab/>
              <w:t>Ծրագրի իրականացման արդյունքում՝</w:t>
            </w:r>
          </w:p>
          <w:p w:rsidR="00530B14" w:rsidRPr="0053423A" w:rsidRDefault="00530B14" w:rsidP="001F6D5D">
            <w:pPr>
              <w:pStyle w:val="ListParagraph"/>
              <w:numPr>
                <w:ilvl w:val="0"/>
                <w:numId w:val="113"/>
              </w:numPr>
              <w:tabs>
                <w:tab w:val="left" w:pos="0"/>
                <w:tab w:val="left" w:pos="630"/>
                <w:tab w:val="left" w:pos="993"/>
                <w:tab w:val="left" w:pos="1134"/>
              </w:tabs>
              <w:spacing w:line="276" w:lineRule="auto"/>
              <w:ind w:left="0" w:firstLine="450"/>
              <w:jc w:val="both"/>
              <w:rPr>
                <w:lang w:val="af-ZA"/>
              </w:rPr>
            </w:pPr>
            <w:r w:rsidRPr="0053423A">
              <w:rPr>
                <w:rFonts w:cs="Sylfaen"/>
                <w:lang w:val="af-ZA"/>
              </w:rPr>
              <w:t>կբարձրանա</w:t>
            </w:r>
            <w:r w:rsidRPr="0053423A">
              <w:rPr>
                <w:rFonts w:cs="Arial Armenian"/>
                <w:lang w:val="af-ZA"/>
              </w:rPr>
              <w:t xml:space="preserve">  </w:t>
            </w:r>
            <w:r w:rsidRPr="0053423A">
              <w:rPr>
                <w:rFonts w:cs="Sylfaen"/>
                <w:lang w:val="af-ZA"/>
              </w:rPr>
              <w:t>ոլորտում</w:t>
            </w:r>
            <w:r w:rsidRPr="0053423A">
              <w:rPr>
                <w:rFonts w:cs="Arial Armenian"/>
                <w:lang w:val="af-ZA"/>
              </w:rPr>
              <w:t xml:space="preserve"> </w:t>
            </w:r>
            <w:r w:rsidRPr="0053423A">
              <w:rPr>
                <w:rFonts w:cs="Sylfaen"/>
                <w:lang w:val="af-ZA"/>
              </w:rPr>
              <w:t>վարկունակ</w:t>
            </w:r>
            <w:r w:rsidRPr="0053423A">
              <w:rPr>
                <w:rFonts w:cs="Arial Armenian"/>
                <w:lang w:val="af-ZA"/>
              </w:rPr>
              <w:t xml:space="preserve"> </w:t>
            </w:r>
            <w:r w:rsidRPr="0053423A">
              <w:rPr>
                <w:rFonts w:cs="Sylfaen"/>
                <w:lang w:val="af-ZA"/>
              </w:rPr>
              <w:t>պահանջարկի</w:t>
            </w:r>
            <w:r w:rsidRPr="0053423A">
              <w:rPr>
                <w:rFonts w:cs="Arial Armenian"/>
                <w:lang w:val="af-ZA"/>
              </w:rPr>
              <w:t xml:space="preserve"> </w:t>
            </w:r>
            <w:r w:rsidRPr="0053423A">
              <w:rPr>
                <w:rFonts w:cs="Sylfaen"/>
                <w:lang w:val="af-ZA"/>
              </w:rPr>
              <w:t>մակարդակը</w:t>
            </w:r>
            <w:r w:rsidRPr="0053423A">
              <w:rPr>
                <w:rFonts w:cs="Arial Armenian"/>
                <w:lang w:val="af-ZA"/>
              </w:rPr>
              <w:t xml:space="preserve">, </w:t>
            </w:r>
            <w:r w:rsidRPr="0053423A">
              <w:rPr>
                <w:rFonts w:cs="Sylfaen"/>
                <w:lang w:val="af-ZA"/>
              </w:rPr>
              <w:t>ինչը</w:t>
            </w:r>
            <w:r w:rsidRPr="0053423A">
              <w:rPr>
                <w:rFonts w:cs="Arial Armenian"/>
                <w:lang w:val="af-ZA"/>
              </w:rPr>
              <w:t xml:space="preserve"> </w:t>
            </w:r>
            <w:r w:rsidRPr="0053423A">
              <w:rPr>
                <w:rFonts w:cs="Sylfaen"/>
                <w:lang w:val="af-ZA"/>
              </w:rPr>
              <w:t>կհան</w:t>
            </w:r>
            <w:r w:rsidRPr="0053423A">
              <w:rPr>
                <w:rFonts w:cs="Arial Armenian"/>
                <w:lang w:val="af-ZA"/>
              </w:rPr>
              <w:softHyphen/>
            </w:r>
            <w:r w:rsidRPr="0053423A">
              <w:rPr>
                <w:rFonts w:cs="Arial Armenian"/>
                <w:lang w:val="af-ZA"/>
              </w:rPr>
              <w:softHyphen/>
            </w:r>
            <w:r w:rsidRPr="0053423A">
              <w:rPr>
                <w:rFonts w:cs="Sylfaen"/>
                <w:lang w:val="af-ZA"/>
              </w:rPr>
              <w:t>գեց</w:t>
            </w:r>
            <w:r w:rsidRPr="0053423A">
              <w:rPr>
                <w:rFonts w:cs="Sylfaen"/>
                <w:lang w:val="af-ZA"/>
              </w:rPr>
              <w:softHyphen/>
              <w:t>նի</w:t>
            </w:r>
            <w:r w:rsidRPr="0053423A">
              <w:rPr>
                <w:rFonts w:cs="Arial Armenian"/>
                <w:lang w:val="af-ZA"/>
              </w:rPr>
              <w:t xml:space="preserve"> </w:t>
            </w:r>
            <w:r w:rsidRPr="0053423A">
              <w:rPr>
                <w:rFonts w:cs="Sylfaen"/>
                <w:lang w:val="af-ZA"/>
              </w:rPr>
              <w:t>համա</w:t>
            </w:r>
            <w:r w:rsidRPr="0053423A">
              <w:rPr>
                <w:rFonts w:cs="Arial Armenian"/>
                <w:lang w:val="af-ZA"/>
              </w:rPr>
              <w:softHyphen/>
            </w:r>
            <w:r w:rsidRPr="0053423A">
              <w:rPr>
                <w:rFonts w:cs="Sylfaen"/>
                <w:lang w:val="af-ZA"/>
              </w:rPr>
              <w:t>խառն</w:t>
            </w:r>
            <w:r w:rsidRPr="0053423A">
              <w:rPr>
                <w:rFonts w:cs="Arial Armenian"/>
                <w:lang w:val="af-ZA"/>
              </w:rPr>
              <w:t xml:space="preserve"> </w:t>
            </w:r>
            <w:r w:rsidRPr="0053423A">
              <w:rPr>
                <w:rFonts w:cs="Sylfaen"/>
                <w:lang w:val="af-ZA"/>
              </w:rPr>
              <w:t>արտադրանքի</w:t>
            </w:r>
            <w:r w:rsidRPr="0053423A">
              <w:rPr>
                <w:rFonts w:cs="Arial Armenian"/>
                <w:lang w:val="af-ZA"/>
              </w:rPr>
              <w:t xml:space="preserve"> </w:t>
            </w:r>
            <w:r w:rsidRPr="0053423A">
              <w:rPr>
                <w:rFonts w:cs="Sylfaen"/>
                <w:lang w:val="af-ZA"/>
              </w:rPr>
              <w:t>աճին</w:t>
            </w:r>
            <w:r w:rsidRPr="0053423A">
              <w:rPr>
                <w:rFonts w:cs="Sylfaen"/>
                <w:lang w:val="hy-AM"/>
              </w:rPr>
              <w:t>,</w:t>
            </w:r>
          </w:p>
          <w:p w:rsidR="00530B14" w:rsidRPr="0053423A" w:rsidRDefault="00530B14" w:rsidP="001F6D5D">
            <w:pPr>
              <w:pStyle w:val="ListParagraph"/>
              <w:numPr>
                <w:ilvl w:val="0"/>
                <w:numId w:val="113"/>
              </w:numPr>
              <w:tabs>
                <w:tab w:val="left" w:pos="0"/>
                <w:tab w:val="left" w:pos="630"/>
                <w:tab w:val="left" w:pos="993"/>
                <w:tab w:val="left" w:pos="1134"/>
              </w:tabs>
              <w:spacing w:line="276" w:lineRule="auto"/>
              <w:ind w:left="0" w:firstLine="450"/>
              <w:jc w:val="both"/>
              <w:rPr>
                <w:lang w:val="af-ZA"/>
              </w:rPr>
            </w:pPr>
            <w:r w:rsidRPr="0053423A">
              <w:rPr>
                <w:rFonts w:cs="Sylfaen"/>
                <w:lang w:val="af-ZA"/>
              </w:rPr>
              <w:t>էականորեն</w:t>
            </w:r>
            <w:r w:rsidRPr="0053423A">
              <w:rPr>
                <w:rFonts w:cs="Arial Armenian"/>
                <w:lang w:val="af-ZA"/>
              </w:rPr>
              <w:t xml:space="preserve"> </w:t>
            </w:r>
            <w:r w:rsidRPr="0053423A">
              <w:rPr>
                <w:rFonts w:cs="Sylfaen"/>
                <w:lang w:val="af-ZA"/>
              </w:rPr>
              <w:t>կնվազեն</w:t>
            </w:r>
            <w:r w:rsidRPr="0053423A">
              <w:rPr>
                <w:rFonts w:cs="Arial Armenian"/>
                <w:lang w:val="af-ZA"/>
              </w:rPr>
              <w:t xml:space="preserve"> </w:t>
            </w:r>
            <w:r w:rsidRPr="0053423A">
              <w:rPr>
                <w:rFonts w:cs="Sylfaen"/>
                <w:lang w:val="af-ZA"/>
              </w:rPr>
              <w:t>բանկերի</w:t>
            </w:r>
            <w:r w:rsidRPr="0053423A">
              <w:rPr>
                <w:rFonts w:cs="Arial Armenian"/>
                <w:lang w:val="af-ZA"/>
              </w:rPr>
              <w:t xml:space="preserve"> </w:t>
            </w:r>
            <w:r w:rsidRPr="0053423A">
              <w:rPr>
                <w:rFonts w:cs="Sylfaen"/>
                <w:lang w:val="af-ZA"/>
              </w:rPr>
              <w:t>և</w:t>
            </w:r>
            <w:r w:rsidRPr="0053423A">
              <w:rPr>
                <w:rFonts w:cs="Arial Armenian"/>
                <w:lang w:val="af-ZA"/>
              </w:rPr>
              <w:t xml:space="preserve"> </w:t>
            </w:r>
            <w:r w:rsidRPr="0053423A">
              <w:rPr>
                <w:rFonts w:cs="Sylfaen"/>
                <w:lang w:val="af-ZA"/>
              </w:rPr>
              <w:t>վարկային</w:t>
            </w:r>
            <w:r w:rsidRPr="0053423A">
              <w:rPr>
                <w:rFonts w:cs="Arial Armenian"/>
                <w:lang w:val="af-ZA"/>
              </w:rPr>
              <w:t xml:space="preserve"> </w:t>
            </w:r>
            <w:r w:rsidRPr="0053423A">
              <w:rPr>
                <w:rFonts w:cs="Sylfaen"/>
                <w:lang w:val="af-ZA"/>
              </w:rPr>
              <w:t>կազմակերպությունների</w:t>
            </w:r>
            <w:r w:rsidRPr="0053423A">
              <w:rPr>
                <w:rFonts w:cs="Arial Armenian"/>
                <w:lang w:val="af-ZA"/>
              </w:rPr>
              <w:t xml:space="preserve"> </w:t>
            </w:r>
            <w:r w:rsidRPr="0053423A">
              <w:rPr>
                <w:rFonts w:cs="Sylfaen"/>
                <w:lang w:val="af-ZA"/>
              </w:rPr>
              <w:t>ռիս</w:t>
            </w:r>
            <w:r w:rsidRPr="0053423A">
              <w:rPr>
                <w:rFonts w:cs="Sylfaen"/>
                <w:lang w:val="af-ZA"/>
              </w:rPr>
              <w:softHyphen/>
              <w:t>կերը</w:t>
            </w:r>
            <w:r w:rsidRPr="0053423A">
              <w:rPr>
                <w:lang w:val="af-ZA"/>
              </w:rPr>
              <w:t xml:space="preserve">, </w:t>
            </w:r>
          </w:p>
          <w:p w:rsidR="00530B14" w:rsidRPr="0053423A" w:rsidRDefault="00530B14" w:rsidP="001F6D5D">
            <w:pPr>
              <w:pStyle w:val="ListParagraph"/>
              <w:numPr>
                <w:ilvl w:val="0"/>
                <w:numId w:val="113"/>
              </w:numPr>
              <w:tabs>
                <w:tab w:val="left" w:pos="0"/>
                <w:tab w:val="left" w:pos="630"/>
                <w:tab w:val="left" w:pos="993"/>
                <w:tab w:val="left" w:pos="1134"/>
              </w:tabs>
              <w:spacing w:line="276" w:lineRule="auto"/>
              <w:ind w:left="0" w:firstLine="450"/>
              <w:jc w:val="both"/>
              <w:rPr>
                <w:lang w:val="af-ZA"/>
              </w:rPr>
            </w:pPr>
            <w:r w:rsidRPr="0053423A">
              <w:rPr>
                <w:rFonts w:cs="Sylfaen"/>
                <w:lang w:val="af-ZA"/>
              </w:rPr>
              <w:t>կբարձրանա</w:t>
            </w:r>
            <w:r w:rsidRPr="0053423A">
              <w:rPr>
                <w:rFonts w:cs="Arial Armenian"/>
                <w:lang w:val="af-ZA"/>
              </w:rPr>
              <w:t xml:space="preserve"> </w:t>
            </w:r>
            <w:r w:rsidRPr="0053423A">
              <w:rPr>
                <w:rFonts w:cs="Sylfaen"/>
                <w:lang w:val="af-ZA"/>
              </w:rPr>
              <w:t>գյուղատնտեսության ոլորտի</w:t>
            </w:r>
            <w:r w:rsidRPr="0053423A">
              <w:rPr>
                <w:rFonts w:cs="Arial Armenian"/>
                <w:lang w:val="af-ZA"/>
              </w:rPr>
              <w:t xml:space="preserve"> ներդրումային </w:t>
            </w:r>
            <w:r w:rsidRPr="0053423A">
              <w:rPr>
                <w:rFonts w:cs="Sylfaen"/>
                <w:lang w:val="af-ZA"/>
              </w:rPr>
              <w:t>գրավչու</w:t>
            </w:r>
            <w:r w:rsidRPr="0053423A">
              <w:rPr>
                <w:rFonts w:cs="Sylfaen"/>
                <w:lang w:val="af-ZA"/>
              </w:rPr>
              <w:softHyphen/>
              <w:t>թյունը,</w:t>
            </w:r>
          </w:p>
          <w:p w:rsidR="00530B14" w:rsidRPr="0053423A" w:rsidRDefault="00530B14" w:rsidP="001F6D5D">
            <w:pPr>
              <w:pStyle w:val="ListParagraph"/>
              <w:numPr>
                <w:ilvl w:val="0"/>
                <w:numId w:val="113"/>
              </w:numPr>
              <w:tabs>
                <w:tab w:val="left" w:pos="0"/>
                <w:tab w:val="left" w:pos="630"/>
                <w:tab w:val="left" w:pos="993"/>
                <w:tab w:val="left" w:pos="1134"/>
              </w:tabs>
              <w:spacing w:line="276" w:lineRule="auto"/>
              <w:ind w:left="0" w:firstLine="450"/>
              <w:jc w:val="both"/>
              <w:rPr>
                <w:lang w:val="af-ZA"/>
              </w:rPr>
            </w:pPr>
            <w:r w:rsidRPr="0053423A">
              <w:t>կընդլայնվեն</w:t>
            </w:r>
            <w:r w:rsidRPr="0053423A">
              <w:rPr>
                <w:lang w:val="af-ZA"/>
              </w:rPr>
              <w:t xml:space="preserve"> </w:t>
            </w:r>
            <w:r w:rsidRPr="0053423A">
              <w:t>գյուղատնտեսությունում</w:t>
            </w:r>
            <w:r w:rsidRPr="0053423A">
              <w:rPr>
                <w:lang w:val="af-ZA"/>
              </w:rPr>
              <w:t xml:space="preserve"> </w:t>
            </w:r>
            <w:r w:rsidRPr="0053423A">
              <w:t>տնտեսավարողների</w:t>
            </w:r>
            <w:r w:rsidRPr="0053423A">
              <w:rPr>
                <w:lang w:val="af-ZA"/>
              </w:rPr>
              <w:t xml:space="preserve"> </w:t>
            </w:r>
            <w:r w:rsidRPr="0053423A">
              <w:t>կարողություն</w:t>
            </w:r>
            <w:r w:rsidRPr="0053423A">
              <w:rPr>
                <w:lang w:val="hy-AM"/>
              </w:rPr>
              <w:softHyphen/>
            </w:r>
            <w:r w:rsidRPr="0053423A">
              <w:t>ները</w:t>
            </w:r>
            <w:r w:rsidRPr="0053423A">
              <w:rPr>
                <w:lang w:val="af-ZA"/>
              </w:rPr>
              <w:t xml:space="preserve">, </w:t>
            </w:r>
            <w:r w:rsidRPr="0053423A">
              <w:t>սահմանված</w:t>
            </w:r>
            <w:r w:rsidRPr="0053423A">
              <w:rPr>
                <w:lang w:val="af-ZA"/>
              </w:rPr>
              <w:t xml:space="preserve"> </w:t>
            </w:r>
            <w:r w:rsidRPr="0053423A">
              <w:t>ժամկետում</w:t>
            </w:r>
            <w:r w:rsidRPr="0053423A">
              <w:rPr>
                <w:lang w:val="af-ZA"/>
              </w:rPr>
              <w:t xml:space="preserve"> </w:t>
            </w:r>
            <w:r w:rsidRPr="0053423A">
              <w:t>և</w:t>
            </w:r>
            <w:r w:rsidRPr="0053423A">
              <w:rPr>
                <w:lang w:val="af-ZA"/>
              </w:rPr>
              <w:t xml:space="preserve"> </w:t>
            </w:r>
            <w:r w:rsidRPr="0053423A">
              <w:t>պահանջներին</w:t>
            </w:r>
            <w:r w:rsidRPr="0053423A">
              <w:rPr>
                <w:lang w:val="af-ZA"/>
              </w:rPr>
              <w:t xml:space="preserve"> </w:t>
            </w:r>
            <w:r w:rsidRPr="0053423A">
              <w:t>համապատասխան</w:t>
            </w:r>
            <w:r w:rsidRPr="0053423A">
              <w:rPr>
                <w:lang w:val="af-ZA"/>
              </w:rPr>
              <w:t xml:space="preserve"> </w:t>
            </w:r>
            <w:r w:rsidRPr="0053423A">
              <w:t>կիրականացվեն</w:t>
            </w:r>
            <w:r w:rsidRPr="0053423A">
              <w:rPr>
                <w:lang w:val="af-ZA"/>
              </w:rPr>
              <w:t xml:space="preserve"> </w:t>
            </w:r>
            <w:r w:rsidRPr="0053423A">
              <w:t>գյուղա</w:t>
            </w:r>
            <w:r w:rsidRPr="0053423A">
              <w:rPr>
                <w:lang w:val="af-ZA"/>
              </w:rPr>
              <w:softHyphen/>
            </w:r>
            <w:r w:rsidRPr="0053423A">
              <w:t>տն</w:t>
            </w:r>
            <w:r w:rsidRPr="0053423A">
              <w:rPr>
                <w:lang w:val="af-ZA"/>
              </w:rPr>
              <w:softHyphen/>
            </w:r>
            <w:r w:rsidRPr="0053423A">
              <w:t>տեսական</w:t>
            </w:r>
            <w:r w:rsidRPr="0053423A">
              <w:rPr>
                <w:lang w:val="af-ZA"/>
              </w:rPr>
              <w:t xml:space="preserve"> </w:t>
            </w:r>
            <w:r w:rsidRPr="0053423A">
              <w:t>մթերքների</w:t>
            </w:r>
            <w:r w:rsidRPr="0053423A">
              <w:rPr>
                <w:lang w:val="af-ZA"/>
              </w:rPr>
              <w:t xml:space="preserve"> </w:t>
            </w:r>
            <w:r w:rsidRPr="0053423A">
              <w:t>արտադրության</w:t>
            </w:r>
            <w:r w:rsidRPr="0053423A">
              <w:rPr>
                <w:lang w:val="af-ZA"/>
              </w:rPr>
              <w:t xml:space="preserve"> </w:t>
            </w:r>
            <w:r w:rsidRPr="0053423A">
              <w:t>կազմակերպման</w:t>
            </w:r>
            <w:r w:rsidRPr="0053423A">
              <w:rPr>
                <w:lang w:val="af-ZA"/>
              </w:rPr>
              <w:t xml:space="preserve"> </w:t>
            </w:r>
            <w:r w:rsidRPr="0053423A">
              <w:t>աշխատանք</w:t>
            </w:r>
            <w:r w:rsidRPr="0053423A">
              <w:rPr>
                <w:lang w:val="af-ZA"/>
              </w:rPr>
              <w:softHyphen/>
            </w:r>
            <w:r w:rsidRPr="0053423A">
              <w:t>ները</w:t>
            </w:r>
            <w:r w:rsidRPr="0053423A">
              <w:rPr>
                <w:lang w:val="af-ZA"/>
              </w:rPr>
              <w:t xml:space="preserve">, </w:t>
            </w:r>
            <w:r w:rsidRPr="0053423A">
              <w:t>հնա</w:t>
            </w:r>
            <w:r w:rsidRPr="0053423A">
              <w:rPr>
                <w:lang w:val="af-ZA"/>
              </w:rPr>
              <w:softHyphen/>
            </w:r>
            <w:r w:rsidRPr="0053423A">
              <w:t>րա</w:t>
            </w:r>
            <w:r w:rsidRPr="0053423A">
              <w:rPr>
                <w:lang w:val="af-ZA"/>
              </w:rPr>
              <w:softHyphen/>
            </w:r>
            <w:r w:rsidRPr="0053423A">
              <w:t>վորու</w:t>
            </w:r>
            <w:r w:rsidRPr="0053423A">
              <w:rPr>
                <w:lang w:val="af-ZA"/>
              </w:rPr>
              <w:softHyphen/>
            </w:r>
            <w:r w:rsidRPr="0053423A">
              <w:t>թյուններ</w:t>
            </w:r>
            <w:r w:rsidRPr="0053423A">
              <w:rPr>
                <w:lang w:val="af-ZA"/>
              </w:rPr>
              <w:t xml:space="preserve"> </w:t>
            </w:r>
            <w:r w:rsidRPr="0053423A">
              <w:t>կապահովվեն</w:t>
            </w:r>
            <w:r w:rsidRPr="0053423A">
              <w:rPr>
                <w:lang w:val="af-ZA"/>
              </w:rPr>
              <w:t xml:space="preserve"> </w:t>
            </w:r>
            <w:r w:rsidRPr="0053423A">
              <w:t>ագրոտեխնիկական</w:t>
            </w:r>
            <w:r w:rsidRPr="0053423A">
              <w:rPr>
                <w:lang w:val="af-ZA"/>
              </w:rPr>
              <w:t xml:space="preserve"> </w:t>
            </w:r>
            <w:r w:rsidRPr="0053423A">
              <w:t>պահանջների</w:t>
            </w:r>
            <w:r w:rsidRPr="0053423A">
              <w:rPr>
                <w:lang w:val="af-ZA"/>
              </w:rPr>
              <w:t xml:space="preserve"> </w:t>
            </w:r>
            <w:r w:rsidRPr="0053423A">
              <w:t>կատարման</w:t>
            </w:r>
            <w:r w:rsidRPr="0053423A">
              <w:rPr>
                <w:lang w:val="af-ZA"/>
              </w:rPr>
              <w:t xml:space="preserve">, </w:t>
            </w:r>
            <w:r w:rsidRPr="0053423A">
              <w:t>անաս</w:t>
            </w:r>
            <w:r w:rsidRPr="0053423A">
              <w:rPr>
                <w:lang w:val="af-ZA"/>
              </w:rPr>
              <w:softHyphen/>
            </w:r>
            <w:r w:rsidRPr="0053423A">
              <w:t>նապա</w:t>
            </w:r>
            <w:r w:rsidRPr="0053423A">
              <w:rPr>
                <w:lang w:val="af-ZA"/>
              </w:rPr>
              <w:softHyphen/>
            </w:r>
            <w:r w:rsidRPr="0053423A">
              <w:t>հու</w:t>
            </w:r>
            <w:r w:rsidRPr="0053423A">
              <w:rPr>
                <w:lang w:val="af-ZA"/>
              </w:rPr>
              <w:softHyphen/>
            </w:r>
            <w:r w:rsidRPr="0053423A">
              <w:t>թյունում</w:t>
            </w:r>
            <w:r w:rsidRPr="0053423A">
              <w:rPr>
                <w:lang w:val="af-ZA"/>
              </w:rPr>
              <w:t xml:space="preserve"> </w:t>
            </w:r>
            <w:r w:rsidRPr="0053423A">
              <w:t>գյուղատնտեսական</w:t>
            </w:r>
            <w:r w:rsidRPr="0053423A">
              <w:rPr>
                <w:lang w:val="af-ZA"/>
              </w:rPr>
              <w:t xml:space="preserve"> </w:t>
            </w:r>
            <w:r w:rsidRPr="0053423A">
              <w:t>կենդանիների</w:t>
            </w:r>
            <w:r w:rsidRPr="0053423A">
              <w:rPr>
                <w:lang w:val="af-ZA"/>
              </w:rPr>
              <w:t xml:space="preserve"> </w:t>
            </w:r>
            <w:r w:rsidRPr="0053423A">
              <w:t>տոհ</w:t>
            </w:r>
            <w:r w:rsidRPr="0053423A">
              <w:rPr>
                <w:lang w:val="af-ZA"/>
              </w:rPr>
              <w:softHyphen/>
            </w:r>
            <w:r w:rsidRPr="0053423A">
              <w:t>մային</w:t>
            </w:r>
            <w:r w:rsidRPr="0053423A">
              <w:rPr>
                <w:lang w:val="af-ZA"/>
              </w:rPr>
              <w:t xml:space="preserve"> </w:t>
            </w:r>
            <w:r w:rsidRPr="0053423A">
              <w:t>և</w:t>
            </w:r>
            <w:r w:rsidRPr="0053423A">
              <w:rPr>
                <w:lang w:val="af-ZA"/>
              </w:rPr>
              <w:t xml:space="preserve"> </w:t>
            </w:r>
            <w:r w:rsidRPr="0053423A">
              <w:t>մթերատու</w:t>
            </w:r>
            <w:r w:rsidRPr="0053423A">
              <w:rPr>
                <w:lang w:val="af-ZA"/>
              </w:rPr>
              <w:t xml:space="preserve"> </w:t>
            </w:r>
            <w:r w:rsidRPr="0053423A">
              <w:t>հատկա</w:t>
            </w:r>
            <w:r w:rsidRPr="0053423A">
              <w:rPr>
                <w:lang w:val="af-ZA"/>
              </w:rPr>
              <w:softHyphen/>
            </w:r>
            <w:r w:rsidRPr="0053423A">
              <w:t>նիշների</w:t>
            </w:r>
            <w:r w:rsidRPr="0053423A">
              <w:rPr>
                <w:lang w:val="af-ZA"/>
              </w:rPr>
              <w:t xml:space="preserve"> </w:t>
            </w:r>
            <w:r w:rsidRPr="0053423A">
              <w:t>բարելավման</w:t>
            </w:r>
            <w:r w:rsidRPr="0053423A">
              <w:rPr>
                <w:lang w:val="af-ZA"/>
              </w:rPr>
              <w:t xml:space="preserve">, </w:t>
            </w:r>
            <w:r w:rsidRPr="0053423A">
              <w:t>արտադրության</w:t>
            </w:r>
            <w:r w:rsidRPr="0053423A">
              <w:rPr>
                <w:lang w:val="af-ZA"/>
              </w:rPr>
              <w:t xml:space="preserve"> </w:t>
            </w:r>
            <w:r w:rsidRPr="0053423A">
              <w:t>արդյունավե</w:t>
            </w:r>
            <w:r w:rsidRPr="0053423A">
              <w:rPr>
                <w:lang w:val="af-ZA"/>
              </w:rPr>
              <w:softHyphen/>
            </w:r>
            <w:r w:rsidRPr="0053423A">
              <w:t>տության</w:t>
            </w:r>
            <w:r w:rsidRPr="0053423A">
              <w:rPr>
                <w:lang w:val="af-ZA"/>
              </w:rPr>
              <w:t xml:space="preserve"> </w:t>
            </w:r>
            <w:r w:rsidRPr="0053423A">
              <w:t>բարձրացման</w:t>
            </w:r>
            <w:r w:rsidRPr="0053423A">
              <w:rPr>
                <w:lang w:val="af-ZA"/>
              </w:rPr>
              <w:t xml:space="preserve"> </w:t>
            </w:r>
            <w:r w:rsidRPr="0053423A">
              <w:t>համար</w:t>
            </w:r>
            <w:r w:rsidRPr="0053423A">
              <w:rPr>
                <w:lang w:val="af-ZA"/>
              </w:rPr>
              <w:t>,</w:t>
            </w:r>
          </w:p>
          <w:p w:rsidR="00530B14" w:rsidRPr="0053423A" w:rsidRDefault="00530B14" w:rsidP="001F6D5D">
            <w:pPr>
              <w:pStyle w:val="ListParagraph"/>
              <w:numPr>
                <w:ilvl w:val="0"/>
                <w:numId w:val="113"/>
              </w:numPr>
              <w:tabs>
                <w:tab w:val="left" w:pos="0"/>
                <w:tab w:val="left" w:pos="630"/>
                <w:tab w:val="left" w:pos="993"/>
                <w:tab w:val="left" w:pos="1134"/>
              </w:tabs>
              <w:spacing w:line="276" w:lineRule="auto"/>
              <w:ind w:left="0" w:firstLine="450"/>
              <w:jc w:val="both"/>
              <w:rPr>
                <w:lang w:val="af-ZA"/>
              </w:rPr>
            </w:pPr>
            <w:r w:rsidRPr="0053423A">
              <w:t>կստեղծվեն</w:t>
            </w:r>
            <w:r w:rsidRPr="0053423A">
              <w:rPr>
                <w:lang w:val="af-ZA"/>
              </w:rPr>
              <w:t xml:space="preserve"> </w:t>
            </w:r>
            <w:r w:rsidRPr="0053423A">
              <w:t>հնարավորություններ</w:t>
            </w:r>
            <w:r w:rsidRPr="0053423A">
              <w:rPr>
                <w:lang w:val="af-ZA"/>
              </w:rPr>
              <w:t xml:space="preserve"> </w:t>
            </w:r>
            <w:r w:rsidRPr="0053423A">
              <w:t>գյուղատնտեսությունում</w:t>
            </w:r>
            <w:r w:rsidRPr="0053423A">
              <w:rPr>
                <w:lang w:val="af-ZA"/>
              </w:rPr>
              <w:t xml:space="preserve"> </w:t>
            </w:r>
            <w:r w:rsidRPr="0053423A">
              <w:t>արդիական</w:t>
            </w:r>
            <w:r w:rsidRPr="0053423A">
              <w:rPr>
                <w:lang w:val="af-ZA"/>
              </w:rPr>
              <w:t xml:space="preserve"> </w:t>
            </w:r>
            <w:r w:rsidRPr="0053423A">
              <w:t>տեխնո</w:t>
            </w:r>
            <w:r w:rsidRPr="0053423A">
              <w:rPr>
                <w:lang w:val="af-ZA"/>
              </w:rPr>
              <w:softHyphen/>
            </w:r>
            <w:r w:rsidRPr="0053423A">
              <w:t>լոգիաների</w:t>
            </w:r>
            <w:r w:rsidRPr="0053423A">
              <w:rPr>
                <w:lang w:val="af-ZA"/>
              </w:rPr>
              <w:t xml:space="preserve"> </w:t>
            </w:r>
            <w:r w:rsidRPr="0053423A">
              <w:t>ներդրման</w:t>
            </w:r>
            <w:r w:rsidRPr="0053423A">
              <w:rPr>
                <w:lang w:val="af-ZA"/>
              </w:rPr>
              <w:t xml:space="preserve">, </w:t>
            </w:r>
            <w:r w:rsidRPr="0053423A">
              <w:t>տնտեսությունների</w:t>
            </w:r>
            <w:r w:rsidRPr="0053423A">
              <w:rPr>
                <w:lang w:val="af-ZA"/>
              </w:rPr>
              <w:t xml:space="preserve"> </w:t>
            </w:r>
            <w:r w:rsidRPr="0053423A">
              <w:t>խոշորացման</w:t>
            </w:r>
            <w:r w:rsidRPr="0053423A">
              <w:rPr>
                <w:lang w:val="af-ZA"/>
              </w:rPr>
              <w:t xml:space="preserve">, </w:t>
            </w:r>
            <w:r w:rsidRPr="0053423A">
              <w:t>վարկառուների</w:t>
            </w:r>
            <w:r w:rsidRPr="0053423A">
              <w:rPr>
                <w:lang w:val="af-ZA"/>
              </w:rPr>
              <w:t xml:space="preserve"> </w:t>
            </w:r>
            <w:r w:rsidRPr="0053423A">
              <w:t>ռեեստրի</w:t>
            </w:r>
            <w:r w:rsidRPr="0053423A">
              <w:rPr>
                <w:lang w:val="af-ZA"/>
              </w:rPr>
              <w:t xml:space="preserve"> </w:t>
            </w:r>
            <w:r w:rsidRPr="0053423A">
              <w:t>վար</w:t>
            </w:r>
            <w:r w:rsidRPr="0053423A">
              <w:rPr>
                <w:lang w:val="af-ZA"/>
              </w:rPr>
              <w:softHyphen/>
            </w:r>
            <w:r w:rsidRPr="0053423A">
              <w:t>ման</w:t>
            </w:r>
            <w:r w:rsidRPr="0053423A">
              <w:rPr>
                <w:lang w:val="af-ZA"/>
              </w:rPr>
              <w:t xml:space="preserve"> </w:t>
            </w:r>
            <w:r w:rsidRPr="0053423A">
              <w:t>միջոցով</w:t>
            </w:r>
            <w:r w:rsidRPr="0053423A">
              <w:rPr>
                <w:lang w:val="af-ZA"/>
              </w:rPr>
              <w:t xml:space="preserve"> </w:t>
            </w:r>
            <w:r w:rsidRPr="0053423A">
              <w:t>վարկավորման</w:t>
            </w:r>
            <w:r w:rsidRPr="0053423A">
              <w:rPr>
                <w:lang w:val="af-ZA"/>
              </w:rPr>
              <w:t xml:space="preserve"> </w:t>
            </w:r>
            <w:r w:rsidRPr="0053423A">
              <w:t>առաջնահերթ</w:t>
            </w:r>
            <w:r w:rsidRPr="0053423A">
              <w:rPr>
                <w:lang w:val="af-ZA"/>
              </w:rPr>
              <w:t xml:space="preserve"> </w:t>
            </w:r>
            <w:r w:rsidRPr="0053423A">
              <w:t>խնդիրների</w:t>
            </w:r>
            <w:r w:rsidRPr="0053423A">
              <w:rPr>
                <w:lang w:val="af-ZA"/>
              </w:rPr>
              <w:t xml:space="preserve"> </w:t>
            </w:r>
            <w:r w:rsidRPr="0053423A">
              <w:t>բացա</w:t>
            </w:r>
            <w:r w:rsidRPr="0053423A">
              <w:rPr>
                <w:lang w:val="af-ZA"/>
              </w:rPr>
              <w:softHyphen/>
            </w:r>
            <w:r w:rsidRPr="0053423A">
              <w:t>հայտ</w:t>
            </w:r>
            <w:r w:rsidRPr="0053423A">
              <w:rPr>
                <w:lang w:val="hy-AM"/>
              </w:rPr>
              <w:softHyphen/>
            </w:r>
            <w:r w:rsidRPr="0053423A">
              <w:t>ման</w:t>
            </w:r>
            <w:r w:rsidRPr="0053423A">
              <w:rPr>
                <w:lang w:val="af-ZA"/>
              </w:rPr>
              <w:t xml:space="preserve"> </w:t>
            </w:r>
            <w:r w:rsidRPr="0053423A">
              <w:t>համար</w:t>
            </w:r>
            <w:r w:rsidRPr="0053423A">
              <w:rPr>
                <w:lang w:val="af-ZA"/>
              </w:rPr>
              <w:t>,</w:t>
            </w:r>
          </w:p>
          <w:p w:rsidR="00530B14" w:rsidRPr="0053423A" w:rsidRDefault="00530B14" w:rsidP="001F6D5D">
            <w:pPr>
              <w:pStyle w:val="ListParagraph"/>
              <w:numPr>
                <w:ilvl w:val="0"/>
                <w:numId w:val="113"/>
              </w:numPr>
              <w:tabs>
                <w:tab w:val="left" w:pos="0"/>
                <w:tab w:val="left" w:pos="630"/>
                <w:tab w:val="left" w:pos="993"/>
                <w:tab w:val="left" w:pos="1134"/>
              </w:tabs>
              <w:spacing w:line="276" w:lineRule="auto"/>
              <w:ind w:left="0" w:firstLine="450"/>
              <w:jc w:val="both"/>
              <w:rPr>
                <w:lang w:val="af-ZA"/>
              </w:rPr>
            </w:pPr>
            <w:r w:rsidRPr="0053423A">
              <w:rPr>
                <w:spacing w:val="2"/>
                <w:lang w:val="hy-AM"/>
              </w:rPr>
              <w:t>ոլոր</w:t>
            </w:r>
            <w:r w:rsidRPr="0053423A">
              <w:rPr>
                <w:spacing w:val="2"/>
                <w:lang w:val="hy-AM"/>
              </w:rPr>
              <w:softHyphen/>
              <w:t>տում</w:t>
            </w:r>
            <w:r w:rsidRPr="0053423A">
              <w:rPr>
                <w:spacing w:val="2"/>
                <w:lang w:val="af-ZA"/>
              </w:rPr>
              <w:t xml:space="preserve"> </w:t>
            </w:r>
            <w:r w:rsidRPr="0053423A">
              <w:rPr>
                <w:spacing w:val="2"/>
                <w:lang w:val="hy-AM"/>
              </w:rPr>
              <w:t>մասնավոր</w:t>
            </w:r>
            <w:r w:rsidRPr="0053423A">
              <w:rPr>
                <w:spacing w:val="2"/>
                <w:lang w:val="af-ZA"/>
              </w:rPr>
              <w:t xml:space="preserve"> </w:t>
            </w:r>
            <w:r w:rsidRPr="0053423A">
              <w:rPr>
                <w:spacing w:val="2"/>
                <w:lang w:val="hy-AM"/>
              </w:rPr>
              <w:t>ներդրումները</w:t>
            </w:r>
            <w:r w:rsidRPr="0053423A">
              <w:rPr>
                <w:spacing w:val="2"/>
                <w:lang w:val="af-ZA"/>
              </w:rPr>
              <w:t xml:space="preserve"> </w:t>
            </w:r>
            <w:r w:rsidRPr="0053423A">
              <w:rPr>
                <w:spacing w:val="2"/>
                <w:lang w:val="hy-AM"/>
              </w:rPr>
              <w:t>կավելանան տարեկան</w:t>
            </w:r>
            <w:r w:rsidRPr="0053423A">
              <w:rPr>
                <w:spacing w:val="2"/>
                <w:lang w:val="af-ZA"/>
              </w:rPr>
              <w:t xml:space="preserve"> </w:t>
            </w:r>
            <w:r w:rsidRPr="0053423A">
              <w:rPr>
                <w:spacing w:val="2"/>
                <w:lang w:val="hy-AM"/>
              </w:rPr>
              <w:t>միջին հաշվով 20.0</w:t>
            </w:r>
            <w:r w:rsidRPr="0053423A">
              <w:rPr>
                <w:spacing w:val="2"/>
                <w:lang w:val="af-ZA"/>
              </w:rPr>
              <w:t xml:space="preserve"> </w:t>
            </w:r>
            <w:r w:rsidRPr="0053423A">
              <w:rPr>
                <w:spacing w:val="2"/>
                <w:lang w:val="hy-AM"/>
              </w:rPr>
              <w:t>մլրդ</w:t>
            </w:r>
            <w:r w:rsidRPr="0053423A">
              <w:rPr>
                <w:spacing w:val="2"/>
                <w:lang w:val="af-ZA"/>
              </w:rPr>
              <w:t xml:space="preserve"> </w:t>
            </w:r>
            <w:r w:rsidRPr="0053423A">
              <w:rPr>
                <w:spacing w:val="4"/>
                <w:lang w:val="hy-AM"/>
              </w:rPr>
              <w:t>դրամով</w:t>
            </w:r>
            <w:r w:rsidRPr="0053423A">
              <w:rPr>
                <w:spacing w:val="4"/>
                <w:lang w:val="af-ZA"/>
              </w:rPr>
              <w:t xml:space="preserve">, </w:t>
            </w:r>
            <w:r w:rsidRPr="0053423A">
              <w:rPr>
                <w:spacing w:val="4"/>
                <w:lang w:val="hy-AM"/>
              </w:rPr>
              <w:t>որը</w:t>
            </w:r>
            <w:r w:rsidRPr="0053423A">
              <w:rPr>
                <w:spacing w:val="4"/>
                <w:lang w:val="af-ZA"/>
              </w:rPr>
              <w:t xml:space="preserve"> </w:t>
            </w:r>
            <w:r w:rsidRPr="0053423A">
              <w:rPr>
                <w:spacing w:val="4"/>
                <w:lang w:val="hy-AM"/>
              </w:rPr>
              <w:t>հնարավորություն</w:t>
            </w:r>
            <w:r w:rsidRPr="0053423A">
              <w:rPr>
                <w:spacing w:val="4"/>
                <w:lang w:val="af-ZA"/>
              </w:rPr>
              <w:t xml:space="preserve"> </w:t>
            </w:r>
            <w:r w:rsidRPr="0053423A">
              <w:rPr>
                <w:spacing w:val="4"/>
                <w:lang w:val="hy-AM"/>
              </w:rPr>
              <w:t>կստեղծի</w:t>
            </w:r>
            <w:r w:rsidRPr="0053423A">
              <w:rPr>
                <w:spacing w:val="4"/>
                <w:lang w:val="af-ZA"/>
              </w:rPr>
              <w:t xml:space="preserve"> </w:t>
            </w:r>
            <w:r w:rsidRPr="0053423A">
              <w:rPr>
                <w:spacing w:val="4"/>
                <w:lang w:val="hy-AM"/>
              </w:rPr>
              <w:t>շահառու</w:t>
            </w:r>
            <w:r w:rsidRPr="0053423A">
              <w:rPr>
                <w:spacing w:val="4"/>
                <w:lang w:val="af-ZA"/>
              </w:rPr>
              <w:t xml:space="preserve"> </w:t>
            </w:r>
            <w:r w:rsidRPr="0053423A">
              <w:rPr>
                <w:spacing w:val="4"/>
                <w:lang w:val="hy-AM"/>
              </w:rPr>
              <w:t>տնտեսավարողների</w:t>
            </w:r>
            <w:r w:rsidRPr="0053423A">
              <w:rPr>
                <w:spacing w:val="4"/>
                <w:lang w:val="af-ZA"/>
              </w:rPr>
              <w:t xml:space="preserve"> </w:t>
            </w:r>
            <w:r w:rsidRPr="0053423A">
              <w:rPr>
                <w:spacing w:val="4"/>
                <w:lang w:val="hy-AM"/>
              </w:rPr>
              <w:t>տնտե</w:t>
            </w:r>
            <w:r w:rsidRPr="0053423A">
              <w:rPr>
                <w:spacing w:val="4"/>
                <w:lang w:val="af-ZA"/>
              </w:rPr>
              <w:softHyphen/>
            </w:r>
            <w:r w:rsidRPr="0053423A">
              <w:rPr>
                <w:spacing w:val="4"/>
                <w:lang w:val="hy-AM"/>
              </w:rPr>
              <w:t>սու</w:t>
            </w:r>
            <w:r w:rsidRPr="0053423A">
              <w:rPr>
                <w:spacing w:val="4"/>
                <w:lang w:val="af-ZA"/>
              </w:rPr>
              <w:softHyphen/>
            </w:r>
            <w:r w:rsidRPr="0053423A">
              <w:rPr>
                <w:spacing w:val="4"/>
                <w:lang w:val="af-ZA"/>
              </w:rPr>
              <w:softHyphen/>
            </w:r>
            <w:r w:rsidRPr="0053423A">
              <w:rPr>
                <w:spacing w:val="4"/>
                <w:lang w:val="hy-AM"/>
              </w:rPr>
              <w:t>թյունների</w:t>
            </w:r>
            <w:r w:rsidRPr="0053423A">
              <w:rPr>
                <w:spacing w:val="4"/>
                <w:lang w:val="af-ZA"/>
              </w:rPr>
              <w:t xml:space="preserve"> </w:t>
            </w:r>
            <w:r w:rsidRPr="0053423A">
              <w:rPr>
                <w:spacing w:val="2"/>
                <w:lang w:val="hy-AM"/>
              </w:rPr>
              <w:t>կայունաց</w:t>
            </w:r>
            <w:r w:rsidRPr="0053423A">
              <w:rPr>
                <w:spacing w:val="2"/>
                <w:lang w:val="hy-AM"/>
              </w:rPr>
              <w:softHyphen/>
              <w:t>ման,</w:t>
            </w:r>
            <w:r w:rsidRPr="0053423A">
              <w:rPr>
                <w:lang w:val="af-ZA"/>
              </w:rPr>
              <w:t xml:space="preserve"> </w:t>
            </w:r>
            <w:r w:rsidRPr="0053423A">
              <w:rPr>
                <w:lang w:val="hy-AM"/>
              </w:rPr>
              <w:t>կապիտալ ներդրումների ավելացման, ընդլայն</w:t>
            </w:r>
            <w:r w:rsidRPr="0053423A">
              <w:rPr>
                <w:lang w:val="hy-AM"/>
              </w:rPr>
              <w:softHyphen/>
            </w:r>
            <w:r w:rsidRPr="0053423A">
              <w:rPr>
                <w:lang w:val="af-ZA"/>
              </w:rPr>
              <w:softHyphen/>
            </w:r>
            <w:r w:rsidRPr="0053423A">
              <w:rPr>
                <w:lang w:val="hy-AM"/>
              </w:rPr>
              <w:t>ված</w:t>
            </w:r>
            <w:r w:rsidRPr="0053423A">
              <w:rPr>
                <w:lang w:val="af-ZA"/>
              </w:rPr>
              <w:t xml:space="preserve"> </w:t>
            </w:r>
            <w:r w:rsidRPr="0053423A">
              <w:rPr>
                <w:lang w:val="hy-AM"/>
              </w:rPr>
              <w:t>ծավալ</w:t>
            </w:r>
            <w:r w:rsidRPr="0053423A">
              <w:rPr>
                <w:lang w:val="hy-AM"/>
              </w:rPr>
              <w:softHyphen/>
            </w:r>
            <w:r w:rsidRPr="0053423A">
              <w:rPr>
                <w:lang w:val="af-ZA"/>
              </w:rPr>
              <w:softHyphen/>
            </w:r>
            <w:r w:rsidRPr="0053423A">
              <w:rPr>
                <w:lang w:val="hy-AM"/>
              </w:rPr>
              <w:t>ներով</w:t>
            </w:r>
            <w:r w:rsidRPr="0053423A">
              <w:rPr>
                <w:lang w:val="af-ZA"/>
              </w:rPr>
              <w:t xml:space="preserve"> </w:t>
            </w:r>
            <w:r w:rsidRPr="0053423A">
              <w:rPr>
                <w:lang w:val="hy-AM"/>
              </w:rPr>
              <w:t>արտադ</w:t>
            </w:r>
            <w:r w:rsidRPr="0053423A">
              <w:rPr>
                <w:lang w:val="af-ZA"/>
              </w:rPr>
              <w:softHyphen/>
            </w:r>
            <w:r w:rsidRPr="0053423A">
              <w:rPr>
                <w:lang w:val="hy-AM"/>
              </w:rPr>
              <w:t>րության</w:t>
            </w:r>
            <w:r w:rsidRPr="0053423A">
              <w:rPr>
                <w:lang w:val="af-ZA"/>
              </w:rPr>
              <w:t xml:space="preserve"> </w:t>
            </w:r>
            <w:r w:rsidRPr="0053423A">
              <w:rPr>
                <w:lang w:val="hy-AM"/>
              </w:rPr>
              <w:t>շարունակման</w:t>
            </w:r>
            <w:r w:rsidRPr="0053423A">
              <w:rPr>
                <w:lang w:val="af-ZA"/>
              </w:rPr>
              <w:t xml:space="preserve"> </w:t>
            </w:r>
            <w:r w:rsidRPr="0053423A">
              <w:rPr>
                <w:lang w:val="hy-AM"/>
              </w:rPr>
              <w:t>և արդիական տեխնոլո</w:t>
            </w:r>
            <w:r w:rsidRPr="0053423A">
              <w:rPr>
                <w:lang w:val="hy-AM"/>
              </w:rPr>
              <w:softHyphen/>
              <w:t>գիաների ներ</w:t>
            </w:r>
            <w:r w:rsidRPr="0053423A">
              <w:rPr>
                <w:lang w:val="hy-AM"/>
              </w:rPr>
              <w:softHyphen/>
              <w:t>դրման համար:</w:t>
            </w:r>
          </w:p>
          <w:p w:rsidR="00530B14" w:rsidRPr="0053423A" w:rsidRDefault="00530B14" w:rsidP="00A67858">
            <w:pPr>
              <w:tabs>
                <w:tab w:val="left" w:pos="720"/>
                <w:tab w:val="left" w:pos="993"/>
                <w:tab w:val="left" w:pos="1134"/>
              </w:tabs>
              <w:spacing w:line="276" w:lineRule="auto"/>
              <w:ind w:left="360"/>
              <w:jc w:val="both"/>
              <w:rPr>
                <w:lang w:val="af-ZA"/>
              </w:rPr>
            </w:pPr>
          </w:p>
          <w:p w:rsidR="00530B14" w:rsidRPr="0053423A" w:rsidRDefault="00530B14" w:rsidP="00A67858">
            <w:pPr>
              <w:spacing w:line="276" w:lineRule="auto"/>
              <w:jc w:val="center"/>
              <w:rPr>
                <w:rFonts w:cs="Sylfaen"/>
                <w:b/>
                <w:u w:val="single"/>
                <w:lang w:val="af-ZA"/>
              </w:rPr>
            </w:pPr>
            <w:r w:rsidRPr="0053423A">
              <w:rPr>
                <w:rFonts w:cs="Sylfaen"/>
                <w:b/>
                <w:u w:val="single"/>
                <w:lang w:val="af-ZA"/>
              </w:rPr>
              <w:t>1</w:t>
            </w:r>
            <w:r w:rsidRPr="0053423A">
              <w:rPr>
                <w:rFonts w:cs="Sylfaen"/>
                <w:b/>
                <w:u w:val="single"/>
                <w:lang w:val="hy-AM"/>
              </w:rPr>
              <w:t>4</w:t>
            </w:r>
            <w:r w:rsidRPr="0053423A">
              <w:rPr>
                <w:rFonts w:cs="Sylfaen"/>
                <w:b/>
                <w:u w:val="single"/>
                <w:lang w:val="af-ZA"/>
              </w:rPr>
              <w:t>.2 Գյուղատնտեսական հումքի մթե</w:t>
            </w:r>
            <w:r w:rsidRPr="0053423A">
              <w:rPr>
                <w:rFonts w:cs="Sylfaen"/>
                <w:b/>
                <w:u w:val="single"/>
                <w:lang w:val="af-ZA"/>
              </w:rPr>
              <w:softHyphen/>
              <w:t>րում</w:t>
            </w:r>
            <w:r w:rsidRPr="0053423A">
              <w:rPr>
                <w:rFonts w:cs="Sylfaen"/>
                <w:b/>
                <w:u w:val="single"/>
                <w:lang w:val="af-ZA"/>
              </w:rPr>
              <w:softHyphen/>
              <w:t>ների (գնում</w:t>
            </w:r>
            <w:r w:rsidRPr="0053423A">
              <w:rPr>
                <w:rFonts w:cs="Sylfaen"/>
                <w:b/>
                <w:u w:val="single"/>
                <w:lang w:val="af-ZA"/>
              </w:rPr>
              <w:softHyphen/>
              <w:t>ների) նպատակով ագրովերամշակ</w:t>
            </w:r>
            <w:r w:rsidRPr="0053423A">
              <w:rPr>
                <w:rFonts w:cs="Sylfaen"/>
                <w:b/>
                <w:u w:val="single"/>
                <w:lang w:val="af-ZA"/>
              </w:rPr>
              <w:softHyphen/>
              <w:t>ման ոլորտին տրամա</w:t>
            </w:r>
            <w:r w:rsidRPr="0053423A">
              <w:rPr>
                <w:rFonts w:cs="Sylfaen"/>
                <w:b/>
                <w:u w:val="single"/>
                <w:lang w:val="af-ZA"/>
              </w:rPr>
              <w:softHyphen/>
              <w:t>դրվող վարկերի տոկոսադրույքների սուբսիդավորման ծրագրի իրակա</w:t>
            </w:r>
            <w:r w:rsidRPr="0053423A">
              <w:rPr>
                <w:rFonts w:cs="Sylfaen"/>
                <w:b/>
                <w:u w:val="single"/>
                <w:lang w:val="af-ZA"/>
              </w:rPr>
              <w:softHyphen/>
              <w:t>նացում</w:t>
            </w:r>
          </w:p>
          <w:p w:rsidR="00530B14" w:rsidRPr="0053423A" w:rsidRDefault="00530B14" w:rsidP="00A67858">
            <w:pPr>
              <w:spacing w:line="276" w:lineRule="auto"/>
              <w:jc w:val="center"/>
              <w:rPr>
                <w:u w:val="single"/>
                <w:lang w:val="hy-AM"/>
              </w:rPr>
            </w:pPr>
          </w:p>
          <w:p w:rsidR="00530B14" w:rsidRPr="0053423A" w:rsidRDefault="00530B14" w:rsidP="00A67858">
            <w:pPr>
              <w:tabs>
                <w:tab w:val="left" w:pos="1080"/>
              </w:tabs>
              <w:spacing w:line="276" w:lineRule="auto"/>
              <w:ind w:firstLine="720"/>
              <w:rPr>
                <w:rFonts w:cs="Sylfaen"/>
                <w:b/>
                <w:lang w:val="af-ZA"/>
              </w:rPr>
            </w:pPr>
            <w:r w:rsidRPr="0053423A">
              <w:rPr>
                <w:rFonts w:cs="Sylfaen"/>
                <w:b/>
                <w:lang w:val="hy-AM"/>
              </w:rPr>
              <w:t xml:space="preserve">1. </w:t>
            </w:r>
            <w:r w:rsidRPr="0053423A">
              <w:rPr>
                <w:rFonts w:eastAsia="Calibri"/>
                <w:b/>
                <w:lang w:val="hy-AM"/>
              </w:rPr>
              <w:t>Միջոցառման իրականացման ա</w:t>
            </w:r>
            <w:r w:rsidRPr="0053423A">
              <w:rPr>
                <w:rFonts w:cs="Sylfaen"/>
                <w:b/>
                <w:lang w:val="hy-AM"/>
              </w:rPr>
              <w:t>նհրաժեշտությունը և նպատակը</w:t>
            </w:r>
          </w:p>
          <w:p w:rsidR="00530B14" w:rsidRPr="0053423A" w:rsidRDefault="00530B14" w:rsidP="00A67858">
            <w:pPr>
              <w:pStyle w:val="BodyTextIndent2"/>
              <w:spacing w:after="0" w:line="276" w:lineRule="auto"/>
              <w:ind w:left="0" w:firstLine="720"/>
              <w:jc w:val="both"/>
              <w:rPr>
                <w:rFonts w:ascii="GHEA Grapalat" w:hAnsi="GHEA Grapalat" w:cs="Sylfaen"/>
                <w:lang w:val="hy-AM"/>
              </w:rPr>
            </w:pPr>
            <w:r w:rsidRPr="0053423A">
              <w:rPr>
                <w:rFonts w:ascii="GHEA Grapalat" w:hAnsi="GHEA Grapalat" w:cs="Sylfaen"/>
                <w:lang w:val="hy-AM"/>
              </w:rPr>
              <w:t>Գյուղատնտեսական հումքի մթե</w:t>
            </w:r>
            <w:r w:rsidRPr="0053423A">
              <w:rPr>
                <w:rFonts w:ascii="GHEA Grapalat" w:hAnsi="GHEA Grapalat" w:cs="Sylfaen"/>
                <w:lang w:val="hy-AM"/>
              </w:rPr>
              <w:softHyphen/>
              <w:t>րում</w:t>
            </w:r>
            <w:r w:rsidRPr="0053423A">
              <w:rPr>
                <w:rFonts w:ascii="GHEA Grapalat" w:hAnsi="GHEA Grapalat" w:cs="Sylfaen"/>
                <w:lang w:val="hy-AM"/>
              </w:rPr>
              <w:softHyphen/>
              <w:t>ների (գնում</w:t>
            </w:r>
            <w:r w:rsidRPr="0053423A">
              <w:rPr>
                <w:rFonts w:ascii="GHEA Grapalat" w:hAnsi="GHEA Grapalat" w:cs="Sylfaen"/>
                <w:lang w:val="hy-AM"/>
              </w:rPr>
              <w:softHyphen/>
              <w:t>ների) նպատակով ագրովերա</w:t>
            </w:r>
            <w:r w:rsidRPr="0053423A">
              <w:rPr>
                <w:rFonts w:ascii="GHEA Grapalat" w:hAnsi="GHEA Grapalat" w:cs="Sylfaen"/>
                <w:lang w:val="af-ZA"/>
              </w:rPr>
              <w:softHyphen/>
            </w:r>
            <w:r w:rsidRPr="0053423A">
              <w:rPr>
                <w:rFonts w:ascii="GHEA Grapalat" w:hAnsi="GHEA Grapalat" w:cs="Sylfaen"/>
                <w:lang w:val="hy-AM"/>
              </w:rPr>
              <w:t>մշակ</w:t>
            </w:r>
            <w:r w:rsidRPr="0053423A">
              <w:rPr>
                <w:rFonts w:ascii="GHEA Grapalat" w:hAnsi="GHEA Grapalat" w:cs="Sylfaen"/>
                <w:lang w:val="hy-AM"/>
              </w:rPr>
              <w:softHyphen/>
              <w:t>ման ոլորտին տրամա</w:t>
            </w:r>
            <w:r w:rsidRPr="0053423A">
              <w:rPr>
                <w:rFonts w:ascii="GHEA Grapalat" w:hAnsi="GHEA Grapalat" w:cs="Sylfaen"/>
                <w:lang w:val="hy-AM"/>
              </w:rPr>
              <w:softHyphen/>
              <w:t xml:space="preserve">դրվող վարկերի տոկոսադրույքների սուբսիդավորման ծրագրի </w:t>
            </w:r>
            <w:r w:rsidRPr="0053423A">
              <w:rPr>
                <w:rFonts w:ascii="GHEA Grapalat" w:hAnsi="GHEA Grapalat" w:cs="Sylfaen"/>
                <w:lang w:val="af-ZA"/>
              </w:rPr>
              <w:t>(</w:t>
            </w:r>
            <w:r w:rsidRPr="0053423A">
              <w:rPr>
                <w:rFonts w:ascii="GHEA Grapalat" w:hAnsi="GHEA Grapalat" w:cs="Sylfaen"/>
                <w:lang w:val="hy-AM"/>
              </w:rPr>
              <w:t>այսուհետ՝ ծրագիր</w:t>
            </w:r>
            <w:r w:rsidRPr="0053423A">
              <w:rPr>
                <w:rFonts w:ascii="GHEA Grapalat" w:hAnsi="GHEA Grapalat" w:cs="Sylfaen"/>
                <w:lang w:val="af-ZA"/>
              </w:rPr>
              <w:t>)</w:t>
            </w:r>
            <w:r w:rsidRPr="0053423A">
              <w:rPr>
                <w:rFonts w:ascii="GHEA Grapalat" w:hAnsi="GHEA Grapalat" w:cs="Sylfaen"/>
                <w:lang w:val="hy-AM"/>
              </w:rPr>
              <w:t xml:space="preserve"> իրակա</w:t>
            </w:r>
            <w:r w:rsidRPr="0053423A">
              <w:rPr>
                <w:rFonts w:ascii="GHEA Grapalat" w:hAnsi="GHEA Grapalat" w:cs="Sylfaen"/>
                <w:lang w:val="hy-AM"/>
              </w:rPr>
              <w:softHyphen/>
              <w:t xml:space="preserve">նացման անհրաժեշտությունը բխում է ՀՀ ԱԺ 2019 թվականի փետրվարի 14-ի ԱԺՈ-002-Ն որոշմամբ հավանության արժանացած ՀՀ կառավարության ծրագրից </w:t>
            </w:r>
            <w:r w:rsidRPr="0053423A">
              <w:rPr>
                <w:rFonts w:ascii="GHEA Grapalat" w:hAnsi="GHEA Grapalat" w:cs="Sylfaen"/>
                <w:lang w:val="af-ZA"/>
              </w:rPr>
              <w:t>(</w:t>
            </w:r>
            <w:r w:rsidRPr="0053423A">
              <w:rPr>
                <w:rFonts w:ascii="GHEA Grapalat" w:hAnsi="GHEA Grapalat" w:cs="Sylfaen"/>
                <w:lang w:val="hy-AM"/>
              </w:rPr>
              <w:t>5.9. Վերամշակող արդյունաբերությունը բաժին և 5.10. Գյուղատնտեսությունը բաժին, 7-րդ պարբերության 9-րդ դրույթ), ՀՀ կառավա</w:t>
            </w:r>
            <w:r w:rsidRPr="0053423A">
              <w:rPr>
                <w:rFonts w:ascii="GHEA Grapalat" w:hAnsi="GHEA Grapalat" w:cs="Sylfaen"/>
                <w:lang w:val="hy-AM"/>
              </w:rPr>
              <w:softHyphen/>
              <w:t>րության 2010 թվականի նոյեմ</w:t>
            </w:r>
            <w:r w:rsidRPr="0053423A">
              <w:rPr>
                <w:rFonts w:ascii="GHEA Grapalat" w:hAnsi="GHEA Grapalat" w:cs="Sylfaen"/>
                <w:lang w:val="hy-AM"/>
              </w:rPr>
              <w:softHyphen/>
              <w:t>բերի 4-ի N 1476-Ն որոշ</w:t>
            </w:r>
            <w:r w:rsidRPr="0053423A">
              <w:rPr>
                <w:rFonts w:ascii="GHEA Grapalat" w:hAnsi="GHEA Grapalat" w:cs="Sylfaen"/>
                <w:lang w:val="hy-AM"/>
              </w:rPr>
              <w:softHyphen/>
            </w:r>
            <w:r w:rsidRPr="0053423A">
              <w:rPr>
                <w:rFonts w:ascii="GHEA Grapalat" w:hAnsi="GHEA Grapalat" w:cs="Sylfaen"/>
                <w:lang w:val="hy-AM"/>
              </w:rPr>
              <w:softHyphen/>
              <w:t>մամբ հաս</w:t>
            </w:r>
            <w:r w:rsidRPr="0053423A">
              <w:rPr>
                <w:rFonts w:ascii="GHEA Grapalat" w:hAnsi="GHEA Grapalat" w:cs="Sylfaen"/>
                <w:lang w:val="hy-AM"/>
              </w:rPr>
              <w:softHyphen/>
              <w:t>տատ</w:t>
            </w:r>
            <w:r w:rsidRPr="0053423A">
              <w:rPr>
                <w:rFonts w:ascii="GHEA Grapalat" w:hAnsi="GHEA Grapalat" w:cs="Sylfaen"/>
                <w:lang w:val="hy-AM"/>
              </w:rPr>
              <w:softHyphen/>
              <w:t>ված «Հայաստանի Հան</w:t>
            </w:r>
            <w:r w:rsidRPr="0053423A">
              <w:rPr>
                <w:rFonts w:ascii="GHEA Grapalat" w:hAnsi="GHEA Grapalat" w:cs="Sylfaen"/>
                <w:lang w:val="hy-AM"/>
              </w:rPr>
              <w:softHyphen/>
              <w:t>րա</w:t>
            </w:r>
            <w:r w:rsidRPr="0053423A">
              <w:rPr>
                <w:rFonts w:ascii="GHEA Grapalat" w:hAnsi="GHEA Grapalat" w:cs="Sylfaen"/>
                <w:lang w:val="hy-AM"/>
              </w:rPr>
              <w:softHyphen/>
              <w:t>պե</w:t>
            </w:r>
            <w:r w:rsidRPr="0053423A">
              <w:rPr>
                <w:rFonts w:ascii="GHEA Grapalat" w:hAnsi="GHEA Grapalat" w:cs="Sylfaen"/>
                <w:lang w:val="hy-AM"/>
              </w:rPr>
              <w:softHyphen/>
              <w:t>տու</w:t>
            </w:r>
            <w:r w:rsidRPr="0053423A">
              <w:rPr>
                <w:rFonts w:ascii="GHEA Grapalat" w:hAnsi="GHEA Grapalat" w:cs="Sylfaen"/>
                <w:lang w:val="hy-AM"/>
              </w:rPr>
              <w:softHyphen/>
              <w:t>թյան գյուղի և գյուղա</w:t>
            </w:r>
            <w:r w:rsidRPr="0053423A">
              <w:rPr>
                <w:rFonts w:ascii="GHEA Grapalat" w:hAnsi="GHEA Grapalat" w:cs="Sylfaen"/>
                <w:lang w:val="hy-AM"/>
              </w:rPr>
              <w:softHyphen/>
              <w:t>տն</w:t>
            </w:r>
            <w:r w:rsidRPr="0053423A">
              <w:rPr>
                <w:rFonts w:ascii="GHEA Grapalat" w:hAnsi="GHEA Grapalat" w:cs="Sylfaen"/>
                <w:lang w:val="hy-AM"/>
              </w:rPr>
              <w:softHyphen/>
              <w:t>տե</w:t>
            </w:r>
            <w:r w:rsidRPr="0053423A">
              <w:rPr>
                <w:rFonts w:ascii="GHEA Grapalat" w:hAnsi="GHEA Grapalat" w:cs="Sylfaen"/>
                <w:lang w:val="hy-AM"/>
              </w:rPr>
              <w:softHyphen/>
              <w:t>սության 2010-2020 թվականների կայուն զար</w:t>
            </w:r>
            <w:r w:rsidRPr="0053423A">
              <w:rPr>
                <w:rFonts w:ascii="GHEA Grapalat" w:hAnsi="GHEA Grapalat" w:cs="Sylfaen"/>
                <w:lang w:val="hy-AM"/>
              </w:rPr>
              <w:softHyphen/>
              <w:t>գաց</w:t>
            </w:r>
            <w:r w:rsidRPr="0053423A">
              <w:rPr>
                <w:rFonts w:ascii="GHEA Grapalat" w:hAnsi="GHEA Grapalat" w:cs="Sylfaen"/>
                <w:lang w:val="hy-AM"/>
              </w:rPr>
              <w:softHyphen/>
              <w:t>ման ռազ</w:t>
            </w:r>
            <w:r w:rsidRPr="0053423A">
              <w:rPr>
                <w:rFonts w:ascii="GHEA Grapalat" w:hAnsi="GHEA Grapalat" w:cs="Sylfaen"/>
                <w:lang w:val="hy-AM"/>
              </w:rPr>
              <w:softHyphen/>
              <w:t>մավարու</w:t>
            </w:r>
            <w:r w:rsidRPr="0053423A">
              <w:rPr>
                <w:rFonts w:ascii="GHEA Grapalat" w:hAnsi="GHEA Grapalat" w:cs="Sylfaen"/>
                <w:lang w:val="hy-AM"/>
              </w:rPr>
              <w:softHyphen/>
              <w:t>թյու</w:t>
            </w:r>
            <w:r w:rsidRPr="0053423A">
              <w:rPr>
                <w:rFonts w:ascii="GHEA Grapalat" w:hAnsi="GHEA Grapalat" w:cs="Sylfaen"/>
                <w:lang w:val="hy-AM"/>
              </w:rPr>
              <w:softHyphen/>
              <w:t>նից» (V-րդ բա</w:t>
            </w:r>
            <w:r w:rsidRPr="0053423A">
              <w:rPr>
                <w:rFonts w:ascii="GHEA Grapalat" w:hAnsi="GHEA Grapalat" w:cs="Sylfaen"/>
                <w:lang w:val="hy-AM"/>
              </w:rPr>
              <w:softHyphen/>
              <w:t>ժին, 93 և 94-րդ կետեր) և ՀՀ կառավարության 2014 թվականի մարտի 27-ի N 442-Ն որոշմամբ հաստատված` «Հայաստանի Հան</w:t>
            </w:r>
            <w:r w:rsidRPr="0053423A">
              <w:rPr>
                <w:rFonts w:ascii="GHEA Grapalat" w:hAnsi="GHEA Grapalat" w:cs="Sylfaen"/>
                <w:lang w:val="hy-AM"/>
              </w:rPr>
              <w:softHyphen/>
              <w:t>րապետության 2014-2025 թվականների հեռանկարային զարգացման ծրագրից» (180 և 182-րդ կետեր)։</w:t>
            </w:r>
          </w:p>
          <w:p w:rsidR="00530B14" w:rsidRPr="0053423A" w:rsidRDefault="00530B14" w:rsidP="00A67858">
            <w:pPr>
              <w:shd w:val="clear" w:color="auto" w:fill="FFFFFF"/>
              <w:spacing w:line="276" w:lineRule="auto"/>
              <w:ind w:firstLine="720"/>
              <w:jc w:val="both"/>
              <w:rPr>
                <w:rFonts w:cs="Sylfaen"/>
                <w:lang w:val="hy-AM"/>
              </w:rPr>
            </w:pPr>
            <w:r w:rsidRPr="0053423A">
              <w:rPr>
                <w:rFonts w:cs="Sylfaen"/>
                <w:lang w:val="hy-AM"/>
              </w:rPr>
              <w:t>Ծրագրի իրականացման հիմնական նպատակը գյուղատնտեսական մթերքներ վերամշակող արդյունաբերության ոլորտում գործող իրա</w:t>
            </w:r>
            <w:r w:rsidRPr="0053423A">
              <w:rPr>
                <w:rFonts w:cs="Sylfaen"/>
                <w:lang w:val="hy-AM"/>
              </w:rPr>
              <w:softHyphen/>
              <w:t>վաբա</w:t>
            </w:r>
            <w:r w:rsidRPr="0053423A">
              <w:rPr>
                <w:rFonts w:cs="Sylfaen"/>
                <w:lang w:val="hy-AM"/>
              </w:rPr>
              <w:softHyphen/>
              <w:t>նական անձանց և ան</w:t>
            </w:r>
            <w:r w:rsidRPr="0053423A">
              <w:rPr>
                <w:rFonts w:cs="Sylfaen"/>
                <w:lang w:val="hy-AM"/>
              </w:rPr>
              <w:softHyphen/>
              <w:t>հատ ձեռնարկատերերին տրամադրվող նպատակային վարկերի տոկոսա</w:t>
            </w:r>
            <w:r w:rsidRPr="0053423A">
              <w:rPr>
                <w:rFonts w:cs="Sylfaen"/>
                <w:lang w:val="hy-AM"/>
              </w:rPr>
              <w:softHyphen/>
              <w:t>դրույքի սուբ</w:t>
            </w:r>
            <w:r w:rsidRPr="0053423A">
              <w:rPr>
                <w:rFonts w:cs="Sylfaen"/>
                <w:lang w:val="hy-AM"/>
              </w:rPr>
              <w:softHyphen/>
              <w:t>սիդա</w:t>
            </w:r>
            <w:r w:rsidRPr="0053423A">
              <w:rPr>
                <w:rFonts w:cs="Sylfaen"/>
                <w:lang w:val="hy-AM"/>
              </w:rPr>
              <w:softHyphen/>
              <w:t>վորման միջոցով վարկավորման մատ</w:t>
            </w:r>
            <w:r w:rsidRPr="0053423A">
              <w:rPr>
                <w:rFonts w:cs="Sylfaen"/>
                <w:lang w:val="hy-AM"/>
              </w:rPr>
              <w:softHyphen/>
              <w:t>չելիու</w:t>
            </w:r>
            <w:r w:rsidRPr="0053423A">
              <w:rPr>
                <w:rFonts w:cs="Sylfaen"/>
                <w:lang w:val="hy-AM"/>
              </w:rPr>
              <w:softHyphen/>
              <w:t>թյան մակար</w:t>
            </w:r>
            <w:r w:rsidRPr="0053423A">
              <w:rPr>
                <w:rFonts w:cs="Sylfaen"/>
                <w:lang w:val="hy-AM"/>
              </w:rPr>
              <w:softHyphen/>
            </w:r>
            <w:r w:rsidRPr="0053423A">
              <w:rPr>
                <w:rFonts w:cs="Sylfaen"/>
                <w:lang w:val="hy-AM"/>
              </w:rPr>
              <w:softHyphen/>
              <w:t>դակի բարձրա</w:t>
            </w:r>
            <w:r w:rsidRPr="0053423A">
              <w:rPr>
                <w:rFonts w:cs="Sylfaen"/>
                <w:lang w:val="hy-AM"/>
              </w:rPr>
              <w:softHyphen/>
              <w:t xml:space="preserve">ցումն է: </w:t>
            </w:r>
          </w:p>
          <w:p w:rsidR="00530B14" w:rsidRPr="0053423A" w:rsidRDefault="00530B14" w:rsidP="00A67858">
            <w:pPr>
              <w:tabs>
                <w:tab w:val="left" w:pos="1080"/>
              </w:tabs>
              <w:spacing w:line="276" w:lineRule="auto"/>
              <w:ind w:firstLine="720"/>
              <w:rPr>
                <w:rFonts w:cs="Sylfaen"/>
                <w:b/>
                <w:lang w:val="hy-AM"/>
              </w:rPr>
            </w:pPr>
            <w:r w:rsidRPr="0053423A">
              <w:rPr>
                <w:rFonts w:cs="Sylfaen"/>
                <w:b/>
                <w:lang w:val="hy-AM"/>
              </w:rPr>
              <w:t>1.1. Կարգավորման հարաբերությունների ներկա վիճակը և առկա խնդիրները</w:t>
            </w:r>
          </w:p>
          <w:p w:rsidR="00530B14" w:rsidRPr="0053423A" w:rsidRDefault="00530B14" w:rsidP="00A67858">
            <w:pPr>
              <w:shd w:val="clear" w:color="auto" w:fill="FFFFFF"/>
              <w:spacing w:line="276" w:lineRule="auto"/>
              <w:ind w:firstLine="709"/>
              <w:jc w:val="both"/>
              <w:rPr>
                <w:rFonts w:cs="Sylfaen"/>
                <w:lang w:val="fr-FR"/>
              </w:rPr>
            </w:pPr>
            <w:r w:rsidRPr="0053423A">
              <w:rPr>
                <w:rFonts w:cs="Sylfaen"/>
                <w:lang w:val="af-ZA"/>
              </w:rPr>
              <w:t>Գյուղատնտեսական մթերքներ վերամշակող արդյունաբերությունը հանդի</w:t>
            </w:r>
            <w:r w:rsidRPr="0053423A">
              <w:rPr>
                <w:rFonts w:cs="Sylfaen"/>
                <w:lang w:val="af-ZA"/>
              </w:rPr>
              <w:softHyphen/>
              <w:t>սա</w:t>
            </w:r>
            <w:r w:rsidRPr="0053423A">
              <w:rPr>
                <w:rFonts w:cs="Sylfaen"/>
                <w:lang w:val="af-ZA"/>
              </w:rPr>
              <w:softHyphen/>
            </w:r>
            <w:r w:rsidRPr="0053423A">
              <w:rPr>
                <w:rFonts w:cs="Sylfaen"/>
                <w:lang w:val="af-ZA"/>
              </w:rPr>
              <w:softHyphen/>
              <w:t>նում է գյուղա</w:t>
            </w:r>
            <w:r w:rsidRPr="0053423A">
              <w:rPr>
                <w:rFonts w:cs="Sylfaen"/>
                <w:lang w:val="af-ZA"/>
              </w:rPr>
              <w:softHyphen/>
              <w:t>տնտեսական մթերքների երաշխավորված իրացման և վերար</w:t>
            </w:r>
            <w:r w:rsidRPr="0053423A">
              <w:rPr>
                <w:rFonts w:cs="Sylfaen"/>
                <w:lang w:val="af-ZA"/>
              </w:rPr>
              <w:softHyphen/>
              <w:t>տադրության ապահովման կարևորագույն ոլորտներից մեկը և տնտեսության այդ ոլորտի զար</w:t>
            </w:r>
            <w:r w:rsidRPr="0053423A">
              <w:rPr>
                <w:rFonts w:cs="Sylfaen"/>
                <w:lang w:val="af-ZA"/>
              </w:rPr>
              <w:softHyphen/>
              <w:t>գաց</w:t>
            </w:r>
            <w:r w:rsidRPr="0053423A">
              <w:rPr>
                <w:rFonts w:cs="Sylfaen"/>
                <w:lang w:val="af-ZA"/>
              </w:rPr>
              <w:softHyphen/>
              <w:t>ման մակարդակը մեծապես պայմա</w:t>
            </w:r>
            <w:r w:rsidRPr="0053423A">
              <w:rPr>
                <w:rFonts w:cs="Sylfaen"/>
                <w:lang w:val="af-ZA"/>
              </w:rPr>
              <w:softHyphen/>
              <w:t>նա</w:t>
            </w:r>
            <w:r w:rsidRPr="0053423A">
              <w:rPr>
                <w:rFonts w:cs="Sylfaen"/>
                <w:lang w:val="af-ZA"/>
              </w:rPr>
              <w:softHyphen/>
              <w:t>վորում է գյուղատնտեսության զար</w:t>
            </w:r>
            <w:r w:rsidRPr="0053423A">
              <w:rPr>
                <w:rFonts w:cs="Sylfaen"/>
                <w:lang w:val="af-ZA"/>
              </w:rPr>
              <w:softHyphen/>
              <w:t xml:space="preserve">գացումը: </w:t>
            </w:r>
            <w:r w:rsidRPr="0053423A">
              <w:rPr>
                <w:rFonts w:cs="Sylfaen"/>
                <w:lang w:val="hy-AM"/>
              </w:rPr>
              <w:t>Գյուղատնտեսական մթերքներ վերամշակող արդյունաբերության ձեռնարկությունները վերազինման և շրջանառու միջոցների համալրման կարիքները սեփական ազատ միջոցների սղության կամ բացակայության պատճառով մշտապես ապահովում են վարկային միջոցների հաշվին, որոնք սովորաբար լինում են միջնաժամկետ (3-5 տարի), երբեմն` երկարաժամկետ, դրամով և արտարժույթով,</w:t>
            </w:r>
            <w:r w:rsidRPr="0053423A">
              <w:rPr>
                <w:rFonts w:cs="Sylfaen"/>
                <w:lang w:val="fr-FR"/>
              </w:rPr>
              <w:t xml:space="preserve"> </w:t>
            </w:r>
            <w:r w:rsidRPr="0053423A">
              <w:rPr>
                <w:rFonts w:cs="Sylfaen"/>
                <w:lang w:val="hy-AM"/>
              </w:rPr>
              <w:t>որոնց տոկոսա</w:t>
            </w:r>
            <w:r w:rsidRPr="0053423A">
              <w:rPr>
                <w:rFonts w:cs="Sylfaen"/>
                <w:lang w:val="hy-AM"/>
              </w:rPr>
              <w:softHyphen/>
              <w:t>դրույ</w:t>
            </w:r>
            <w:r w:rsidRPr="0053423A">
              <w:rPr>
                <w:rFonts w:cs="Sylfaen"/>
                <w:lang w:val="hy-AM"/>
              </w:rPr>
              <w:softHyphen/>
              <w:t>քը ՀՀ դրամով տա</w:t>
            </w:r>
            <w:r w:rsidRPr="0053423A">
              <w:rPr>
                <w:rFonts w:cs="Sylfaen"/>
                <w:lang w:val="hy-AM"/>
              </w:rPr>
              <w:softHyphen/>
              <w:t>տանվում է 12.3-ից 14.2, իսկ արտարժույթով՝ 8.8-ից 11.2%-ի սահ</w:t>
            </w:r>
            <w:r w:rsidRPr="0053423A">
              <w:rPr>
                <w:rFonts w:cs="Sylfaen"/>
                <w:lang w:val="hy-AM"/>
              </w:rPr>
              <w:softHyphen/>
              <w:t>մաններում:</w:t>
            </w:r>
            <w:r w:rsidRPr="0053423A">
              <w:rPr>
                <w:rFonts w:cs="Sylfaen"/>
                <w:lang w:val="fr-FR"/>
              </w:rPr>
              <w:t xml:space="preserve"> </w:t>
            </w:r>
          </w:p>
          <w:p w:rsidR="00530B14" w:rsidRPr="0053423A" w:rsidRDefault="00530B14" w:rsidP="00A67858">
            <w:pPr>
              <w:tabs>
                <w:tab w:val="left" w:pos="900"/>
              </w:tabs>
              <w:spacing w:line="276" w:lineRule="auto"/>
              <w:ind w:firstLine="720"/>
              <w:rPr>
                <w:rFonts w:cs="Sylfaen"/>
                <w:b/>
                <w:bCs/>
                <w:lang w:val="hy-AM"/>
              </w:rPr>
            </w:pPr>
            <w:r w:rsidRPr="0053423A">
              <w:rPr>
                <w:rFonts w:cs="Sylfaen"/>
                <w:b/>
                <w:bCs/>
                <w:lang w:val="hy-AM"/>
              </w:rPr>
              <w:t>1.2 Առկա խնդիրների առաջարկվող լուծումները</w:t>
            </w:r>
          </w:p>
          <w:p w:rsidR="00530B14" w:rsidRPr="0053423A" w:rsidRDefault="00530B14" w:rsidP="00A67858">
            <w:pPr>
              <w:tabs>
                <w:tab w:val="left" w:pos="1080"/>
              </w:tabs>
              <w:spacing w:line="276" w:lineRule="auto"/>
              <w:ind w:firstLine="720"/>
              <w:jc w:val="both"/>
              <w:rPr>
                <w:rFonts w:cs="Sylfaen"/>
                <w:lang w:val="af-ZA"/>
              </w:rPr>
            </w:pPr>
            <w:r w:rsidRPr="0053423A">
              <w:rPr>
                <w:rFonts w:cs="Sylfaen"/>
                <w:lang w:val="af-ZA"/>
              </w:rPr>
              <w:t>Ծրագրի շրջանակներում տրամադրվող սուբսիդավորման ենթակա վարկերը պետք է նպատակաուղղվեն բացառապես մթերվող խաղողի</w:t>
            </w:r>
            <w:r w:rsidRPr="0053423A">
              <w:rPr>
                <w:rFonts w:cs="Sylfaen"/>
                <w:lang w:val="hy-AM"/>
              </w:rPr>
              <w:t xml:space="preserve">, </w:t>
            </w:r>
            <w:r w:rsidRPr="0053423A">
              <w:rPr>
                <w:rFonts w:cs="Sylfaen"/>
                <w:lang w:val="af-ZA"/>
              </w:rPr>
              <w:t>պտուղբանջարեղենի</w:t>
            </w:r>
            <w:r w:rsidRPr="0053423A">
              <w:rPr>
                <w:rFonts w:cs="Sylfaen"/>
                <w:lang w:val="hy-AM"/>
              </w:rPr>
              <w:t xml:space="preserve"> և կաթի</w:t>
            </w:r>
            <w:r w:rsidRPr="0053423A">
              <w:rPr>
                <w:rFonts w:cs="Sylfaen"/>
                <w:lang w:val="af-ZA"/>
              </w:rPr>
              <w:t xml:space="preserve"> արժեքի վճարմանը, իսկ տրամադրվող վարկի չափը (գումարը) չպետք է գերազանցի վարկառուի գյուղացիական տնտեսությունների հետ կնքված պայմանա</w:t>
            </w:r>
            <w:r w:rsidRPr="0053423A">
              <w:rPr>
                <w:rFonts w:cs="Sylfaen"/>
                <w:lang w:val="af-ZA"/>
              </w:rPr>
              <w:softHyphen/>
              <w:t>գ</w:t>
            </w:r>
            <w:r w:rsidRPr="0053423A">
              <w:rPr>
                <w:rFonts w:cs="Sylfaen"/>
                <w:lang w:val="af-ZA"/>
              </w:rPr>
              <w:softHyphen/>
              <w:t xml:space="preserve">րերում նշված </w:t>
            </w:r>
            <w:r w:rsidRPr="0053423A">
              <w:rPr>
                <w:rFonts w:cs="Sylfaen"/>
                <w:lang w:val="hy-AM"/>
              </w:rPr>
              <w:t>հումքի</w:t>
            </w:r>
            <w:r w:rsidRPr="0053423A">
              <w:rPr>
                <w:rFonts w:cs="Sylfaen"/>
                <w:lang w:val="af-ZA"/>
              </w:rPr>
              <w:t xml:space="preserve"> գնման արժեքը, իսկ </w:t>
            </w:r>
            <w:r w:rsidRPr="0053423A">
              <w:rPr>
                <w:rFonts w:cs="Sylfaen"/>
                <w:lang w:val="hy-AM"/>
              </w:rPr>
              <w:t>հումք</w:t>
            </w:r>
            <w:r w:rsidRPr="0053423A">
              <w:rPr>
                <w:rFonts w:cs="Sylfaen"/>
                <w:lang w:val="af-ZA"/>
              </w:rPr>
              <w:t xml:space="preserve">ի գնման նվազագույն գներով հաշվարկված լինելու դեպքում՝ </w:t>
            </w:r>
            <w:r w:rsidRPr="0053423A">
              <w:rPr>
                <w:rFonts w:cs="Sylfaen"/>
                <w:lang w:val="hy-AM"/>
              </w:rPr>
              <w:t>հումքի</w:t>
            </w:r>
            <w:r w:rsidRPr="0053423A">
              <w:rPr>
                <w:rFonts w:cs="Sylfaen"/>
                <w:lang w:val="af-ZA"/>
              </w:rPr>
              <w:t xml:space="preserve"> գնման ակնկալվող արժեքի 120 տոկոսը:</w:t>
            </w:r>
          </w:p>
          <w:p w:rsidR="00530B14" w:rsidRPr="0053423A" w:rsidRDefault="00530B14" w:rsidP="00A67858">
            <w:pPr>
              <w:shd w:val="clear" w:color="auto" w:fill="FFFFFF"/>
              <w:spacing w:line="276" w:lineRule="auto"/>
              <w:ind w:firstLine="720"/>
              <w:jc w:val="both"/>
              <w:rPr>
                <w:rFonts w:cs="Sylfaen"/>
                <w:lang w:val="af-ZA"/>
              </w:rPr>
            </w:pPr>
            <w:r w:rsidRPr="0053423A">
              <w:rPr>
                <w:rFonts w:cs="Sylfaen"/>
                <w:lang w:val="af-ZA"/>
              </w:rPr>
              <w:t xml:space="preserve">Ծրագիրը նախատեսվում է իրականացնել առևտրային բանկերի և վարկային կազմակերպությունների ռեսուրսների, իսկ սուբսիդավորման գումարը՝ ՀՀ պետական բյուջեի միջոցների հաշվին: </w:t>
            </w:r>
          </w:p>
          <w:p w:rsidR="00530B14" w:rsidRPr="0053423A" w:rsidRDefault="00530B14" w:rsidP="00A67858">
            <w:pPr>
              <w:shd w:val="clear" w:color="auto" w:fill="FFFFFF"/>
              <w:spacing w:line="276" w:lineRule="auto"/>
              <w:jc w:val="both"/>
              <w:rPr>
                <w:rFonts w:cs="Sylfaen"/>
                <w:lang w:val="af-ZA"/>
              </w:rPr>
            </w:pPr>
            <w:r w:rsidRPr="0053423A">
              <w:rPr>
                <w:rFonts w:cs="Sylfaen"/>
                <w:b/>
                <w:bCs/>
                <w:lang w:val="af-ZA"/>
              </w:rPr>
              <w:tab/>
            </w:r>
            <w:r w:rsidRPr="0053423A">
              <w:rPr>
                <w:rFonts w:cs="Sylfaen"/>
                <w:bCs/>
              </w:rPr>
              <w:t>Ծրագրի</w:t>
            </w:r>
            <w:r w:rsidRPr="0053423A">
              <w:rPr>
                <w:rFonts w:cs="Sylfaen"/>
                <w:bCs/>
                <w:lang w:val="af-ZA"/>
              </w:rPr>
              <w:t xml:space="preserve"> </w:t>
            </w:r>
            <w:r w:rsidRPr="0053423A">
              <w:rPr>
                <w:rFonts w:cs="Sylfaen"/>
                <w:bCs/>
              </w:rPr>
              <w:t>շրջանակներում</w:t>
            </w:r>
            <w:r w:rsidRPr="0053423A">
              <w:rPr>
                <w:rFonts w:cs="Sylfaen"/>
                <w:bCs/>
                <w:lang w:val="af-ZA"/>
              </w:rPr>
              <w:t xml:space="preserve"> </w:t>
            </w:r>
            <w:r w:rsidRPr="0053423A">
              <w:rPr>
                <w:rFonts w:cs="Sylfaen"/>
              </w:rPr>
              <w:t>պ</w:t>
            </w:r>
            <w:r w:rsidRPr="0053423A">
              <w:rPr>
                <w:rFonts w:cs="Sylfaen"/>
                <w:lang w:val="af-ZA"/>
              </w:rPr>
              <w:t>տուղբանջա</w:t>
            </w:r>
            <w:r w:rsidRPr="0053423A">
              <w:rPr>
                <w:rFonts w:cs="Sylfaen"/>
                <w:lang w:val="af-ZA"/>
              </w:rPr>
              <w:softHyphen/>
              <w:t>րեղենի</w:t>
            </w:r>
            <w:r w:rsidRPr="0053423A">
              <w:rPr>
                <w:rFonts w:cs="Sylfaen"/>
                <w:lang w:val="hy-AM"/>
              </w:rPr>
              <w:t xml:space="preserve">, </w:t>
            </w:r>
            <w:r w:rsidRPr="0053423A">
              <w:rPr>
                <w:rFonts w:cs="Sylfaen"/>
                <w:lang w:val="af-ZA"/>
              </w:rPr>
              <w:t>խաղողի</w:t>
            </w:r>
            <w:r w:rsidRPr="0053423A">
              <w:rPr>
                <w:rFonts w:cs="Sylfaen"/>
                <w:lang w:val="hy-AM"/>
              </w:rPr>
              <w:t xml:space="preserve"> և կաթի</w:t>
            </w:r>
            <w:r w:rsidRPr="0053423A">
              <w:rPr>
                <w:rFonts w:cs="Sylfaen"/>
                <w:lang w:val="af-ZA"/>
              </w:rPr>
              <w:t xml:space="preserve"> մթերումներ</w:t>
            </w:r>
            <w:r w:rsidRPr="0053423A">
              <w:rPr>
                <w:rFonts w:cs="Sylfaen"/>
                <w:lang w:val="hy-AM"/>
              </w:rPr>
              <w:t>ի</w:t>
            </w:r>
            <w:r w:rsidRPr="0053423A">
              <w:rPr>
                <w:rFonts w:cs="Sylfaen"/>
                <w:lang w:val="af-ZA"/>
              </w:rPr>
              <w:t xml:space="preserve"> (գնու</w:t>
            </w:r>
            <w:r w:rsidRPr="0053423A">
              <w:rPr>
                <w:rFonts w:cs="Sylfaen"/>
                <w:lang w:val="af-ZA"/>
              </w:rPr>
              <w:softHyphen/>
              <w:t>մներ</w:t>
            </w:r>
            <w:r w:rsidRPr="0053423A">
              <w:rPr>
                <w:rFonts w:cs="Sylfaen"/>
                <w:lang w:val="hy-AM"/>
              </w:rPr>
              <w:t>ի</w:t>
            </w:r>
            <w:r w:rsidRPr="0053423A">
              <w:rPr>
                <w:rFonts w:cs="Sylfaen"/>
                <w:lang w:val="af-ZA"/>
              </w:rPr>
              <w:t xml:space="preserve">) </w:t>
            </w:r>
            <w:r w:rsidRPr="0053423A">
              <w:rPr>
                <w:rFonts w:cs="Sylfaen"/>
                <w:lang w:val="hy-AM"/>
              </w:rPr>
              <w:t xml:space="preserve">նպատակով ֆինանսական կառույցների կողմից տնտեսավարողներին </w:t>
            </w:r>
            <w:r w:rsidRPr="0053423A">
              <w:rPr>
                <w:rFonts w:cs="Sylfaen"/>
                <w:lang w:val="af-ZA"/>
              </w:rPr>
              <w:t>մինչև 12 տոկոս տոկոսադրույքով և 1 տարով տրամադրվող վարկերը սուբսիդավորել մինչև 9 տոկոսային կետով, որպեսզի վարկառուի կողմից վճարվող վարկի տարեկան տոկոսադրույքը կազմի 3 տոկոս:</w:t>
            </w:r>
          </w:p>
          <w:p w:rsidR="00530B14" w:rsidRPr="0053423A" w:rsidRDefault="00530B14" w:rsidP="00A67858">
            <w:pPr>
              <w:pStyle w:val="BodyText"/>
              <w:tabs>
                <w:tab w:val="left" w:pos="-1134"/>
                <w:tab w:val="left" w:pos="540"/>
                <w:tab w:val="left" w:pos="1134"/>
              </w:tabs>
              <w:spacing w:after="0" w:line="276" w:lineRule="auto"/>
              <w:jc w:val="both"/>
              <w:rPr>
                <w:rFonts w:ascii="GHEA Grapalat" w:hAnsi="GHEA Grapalat"/>
                <w:b/>
                <w:sz w:val="20"/>
                <w:szCs w:val="20"/>
                <w:lang w:val="af-ZA"/>
              </w:rPr>
            </w:pPr>
            <w:r w:rsidRPr="0053423A">
              <w:rPr>
                <w:rFonts w:ascii="GHEA Grapalat" w:hAnsi="GHEA Grapalat" w:cs="Sylfaen"/>
                <w:b/>
                <w:bCs/>
                <w:sz w:val="20"/>
                <w:szCs w:val="20"/>
                <w:lang w:val="af-ZA"/>
              </w:rPr>
              <w:tab/>
            </w:r>
            <w:r w:rsidRPr="0053423A">
              <w:rPr>
                <w:rFonts w:ascii="GHEA Grapalat" w:hAnsi="GHEA Grapalat" w:cs="Sylfaen"/>
                <w:b/>
                <w:bCs/>
                <w:sz w:val="20"/>
                <w:szCs w:val="20"/>
                <w:lang w:val="hy-AM"/>
              </w:rPr>
              <w:t xml:space="preserve">2. </w:t>
            </w:r>
            <w:r w:rsidRPr="0053423A">
              <w:rPr>
                <w:rFonts w:ascii="GHEA Grapalat" w:hAnsi="GHEA Grapalat"/>
                <w:b/>
                <w:sz w:val="20"/>
                <w:szCs w:val="20"/>
                <w:lang w:val="hy-AM"/>
              </w:rPr>
              <w:t>Միջոցառման իրականացումից ակնկալվող արդյունքը</w:t>
            </w:r>
          </w:p>
          <w:p w:rsidR="00530B14" w:rsidRPr="0053423A" w:rsidRDefault="00530B14" w:rsidP="00A67858">
            <w:pPr>
              <w:shd w:val="clear" w:color="auto" w:fill="FFFFFF"/>
              <w:spacing w:line="276" w:lineRule="auto"/>
              <w:ind w:firstLine="709"/>
              <w:jc w:val="both"/>
              <w:rPr>
                <w:rFonts w:cs="Sylfaen"/>
                <w:lang w:val="hy-AM"/>
              </w:rPr>
            </w:pPr>
            <w:r w:rsidRPr="0053423A">
              <w:rPr>
                <w:lang w:val="hy-AM"/>
              </w:rPr>
              <w:t xml:space="preserve">Ծրագրի իրականացման </w:t>
            </w:r>
            <w:r w:rsidRPr="0053423A">
              <w:rPr>
                <w:rFonts w:cs="Sylfaen"/>
                <w:lang w:val="hy-AM"/>
              </w:rPr>
              <w:t>արդյունքում՝</w:t>
            </w:r>
            <w:r w:rsidRPr="0053423A">
              <w:rPr>
                <w:lang w:val="hy-AM"/>
              </w:rPr>
              <w:t xml:space="preserve"> </w:t>
            </w:r>
          </w:p>
          <w:p w:rsidR="00530B14" w:rsidRPr="0053423A" w:rsidRDefault="00530B14" w:rsidP="00A67858">
            <w:pPr>
              <w:numPr>
                <w:ilvl w:val="0"/>
                <w:numId w:val="97"/>
              </w:numPr>
              <w:shd w:val="clear" w:color="auto" w:fill="FFFFFF"/>
              <w:tabs>
                <w:tab w:val="left" w:pos="993"/>
              </w:tabs>
              <w:spacing w:line="276" w:lineRule="auto"/>
              <w:ind w:left="0" w:firstLine="709"/>
              <w:jc w:val="both"/>
              <w:rPr>
                <w:rFonts w:cs="Arial Armenian"/>
                <w:lang w:val="af-ZA"/>
              </w:rPr>
            </w:pPr>
            <w:r w:rsidRPr="0053423A">
              <w:rPr>
                <w:lang w:val="hy-AM"/>
              </w:rPr>
              <w:t xml:space="preserve">նախադրյալներ կստեղծվեն </w:t>
            </w:r>
            <w:r w:rsidRPr="0053423A">
              <w:rPr>
                <w:rFonts w:cs="Sylfaen"/>
                <w:lang w:val="hy-AM"/>
              </w:rPr>
              <w:t>ոլորտում վարկունակ պահանջարկի մակարդակի բարձրացման համար, ինչը կհան</w:t>
            </w:r>
            <w:r w:rsidRPr="0053423A">
              <w:rPr>
                <w:rFonts w:cs="Sylfaen"/>
                <w:lang w:val="hy-AM"/>
              </w:rPr>
              <w:softHyphen/>
            </w:r>
            <w:r w:rsidRPr="0053423A">
              <w:rPr>
                <w:rFonts w:cs="Sylfaen"/>
                <w:lang w:val="hy-AM"/>
              </w:rPr>
              <w:softHyphen/>
              <w:t xml:space="preserve">գեցնի գյուղատնտեսական մթերքների գնման դիմաց գյուղատնտեսությունում տնտեսավարողներին կատարվող վճարումները կարճ ժամկետներում կատարելուն, </w:t>
            </w:r>
          </w:p>
          <w:p w:rsidR="00530B14" w:rsidRPr="0053423A" w:rsidRDefault="00530B14" w:rsidP="00A67858">
            <w:pPr>
              <w:numPr>
                <w:ilvl w:val="0"/>
                <w:numId w:val="97"/>
              </w:numPr>
              <w:shd w:val="clear" w:color="auto" w:fill="FFFFFF"/>
              <w:tabs>
                <w:tab w:val="left" w:pos="993"/>
              </w:tabs>
              <w:spacing w:line="276" w:lineRule="auto"/>
              <w:ind w:left="0" w:firstLine="709"/>
              <w:jc w:val="both"/>
              <w:rPr>
                <w:rFonts w:cs="Arial Armenian"/>
                <w:lang w:val="af-ZA"/>
              </w:rPr>
            </w:pPr>
            <w:r w:rsidRPr="0053423A">
              <w:rPr>
                <w:rFonts w:cs="Sylfaen"/>
              </w:rPr>
              <w:t>վերամշակողների</w:t>
            </w:r>
            <w:r w:rsidRPr="0053423A">
              <w:rPr>
                <w:rFonts w:cs="Sylfaen"/>
                <w:lang w:val="af-ZA"/>
              </w:rPr>
              <w:t xml:space="preserve"> </w:t>
            </w:r>
            <w:r w:rsidRPr="0053423A">
              <w:rPr>
                <w:rFonts w:cs="Sylfaen"/>
              </w:rPr>
              <w:t>և</w:t>
            </w:r>
            <w:r w:rsidRPr="0053423A">
              <w:rPr>
                <w:rFonts w:cs="Sylfaen"/>
                <w:lang w:val="af-ZA"/>
              </w:rPr>
              <w:t xml:space="preserve"> </w:t>
            </w:r>
            <w:r w:rsidRPr="0053423A">
              <w:rPr>
                <w:rFonts w:cs="Sylfaen"/>
                <w:lang w:val="hy-AM"/>
              </w:rPr>
              <w:t>գյուղացիական տնտեսությունների</w:t>
            </w:r>
            <w:r w:rsidRPr="0053423A">
              <w:rPr>
                <w:rFonts w:cs="Sylfaen"/>
                <w:lang w:val="af-ZA"/>
              </w:rPr>
              <w:t xml:space="preserve"> միջև </w:t>
            </w:r>
            <w:r w:rsidRPr="0053423A">
              <w:rPr>
                <w:rFonts w:cs="Calibri"/>
                <w:lang w:val="hy-AM"/>
              </w:rPr>
              <w:t>կ</w:t>
            </w:r>
            <w:r w:rsidRPr="0053423A">
              <w:rPr>
                <w:rFonts w:cs="Calibri"/>
              </w:rPr>
              <w:t>հաստատվեն</w:t>
            </w:r>
            <w:r w:rsidRPr="0053423A">
              <w:rPr>
                <w:rFonts w:cs="Calibri"/>
                <w:lang w:val="af-ZA"/>
              </w:rPr>
              <w:t xml:space="preserve"> </w:t>
            </w:r>
            <w:r w:rsidRPr="0053423A">
              <w:rPr>
                <w:rFonts w:cs="Sylfaen"/>
                <w:lang w:val="hy-AM"/>
              </w:rPr>
              <w:t>հումք</w:t>
            </w:r>
            <w:r w:rsidRPr="0053423A">
              <w:rPr>
                <w:rFonts w:cs="Sylfaen"/>
                <w:lang w:val="af-ZA"/>
              </w:rPr>
              <w:t xml:space="preserve">ի գնման պայմանագրային հարաբերություններ, որը </w:t>
            </w:r>
            <w:r w:rsidRPr="0053423A">
              <w:rPr>
                <w:rFonts w:cs="Sylfaen"/>
                <w:lang w:val="hy-AM"/>
              </w:rPr>
              <w:t>գյուղացիական տնտեսու</w:t>
            </w:r>
            <w:r w:rsidRPr="0053423A">
              <w:rPr>
                <w:rFonts w:cs="Sylfaen"/>
                <w:lang w:val="af-ZA"/>
              </w:rPr>
              <w:softHyphen/>
            </w:r>
            <w:r w:rsidRPr="0053423A">
              <w:rPr>
                <w:rFonts w:cs="Sylfaen"/>
                <w:lang w:val="hy-AM"/>
              </w:rPr>
              <w:t>թյուն</w:t>
            </w:r>
            <w:r w:rsidRPr="0053423A">
              <w:rPr>
                <w:rFonts w:cs="Sylfaen"/>
                <w:lang w:val="af-ZA"/>
              </w:rPr>
              <w:softHyphen/>
            </w:r>
            <w:r w:rsidRPr="0053423A">
              <w:rPr>
                <w:rFonts w:cs="Sylfaen"/>
                <w:lang w:val="hy-AM"/>
              </w:rPr>
              <w:t>ներին</w:t>
            </w:r>
            <w:r w:rsidRPr="0053423A">
              <w:rPr>
                <w:rFonts w:cs="Sylfaen"/>
                <w:lang w:val="af-ZA"/>
              </w:rPr>
              <w:t xml:space="preserve"> </w:t>
            </w:r>
            <w:r w:rsidRPr="0053423A">
              <w:rPr>
                <w:rFonts w:cs="Sylfaen"/>
              </w:rPr>
              <w:t>կտա</w:t>
            </w:r>
            <w:r w:rsidRPr="0053423A">
              <w:rPr>
                <w:rFonts w:cs="Sylfaen"/>
                <w:lang w:val="af-ZA"/>
              </w:rPr>
              <w:t xml:space="preserve"> </w:t>
            </w:r>
            <w:r w:rsidRPr="0053423A">
              <w:rPr>
                <w:rFonts w:cs="Sylfaen"/>
                <w:lang w:val="hy-AM"/>
              </w:rPr>
              <w:t>հումք</w:t>
            </w:r>
            <w:r w:rsidRPr="0053423A">
              <w:rPr>
                <w:rFonts w:cs="Sylfaen"/>
              </w:rPr>
              <w:t>ի</w:t>
            </w:r>
            <w:r w:rsidRPr="0053423A">
              <w:rPr>
                <w:rFonts w:cs="Sylfaen"/>
                <w:lang w:val="af-ZA"/>
              </w:rPr>
              <w:t xml:space="preserve"> </w:t>
            </w:r>
            <w:r w:rsidRPr="0053423A">
              <w:rPr>
                <w:rFonts w:cs="Sylfaen"/>
              </w:rPr>
              <w:t>իրացման</w:t>
            </w:r>
            <w:r w:rsidRPr="0053423A">
              <w:rPr>
                <w:rFonts w:cs="Sylfaen"/>
                <w:lang w:val="af-ZA"/>
              </w:rPr>
              <w:t xml:space="preserve"> </w:t>
            </w:r>
            <w:r w:rsidRPr="0053423A">
              <w:rPr>
                <w:rFonts w:cs="Sylfaen"/>
              </w:rPr>
              <w:t>կայուն</w:t>
            </w:r>
            <w:r w:rsidRPr="0053423A">
              <w:rPr>
                <w:rFonts w:cs="Sylfaen"/>
                <w:lang w:val="af-ZA"/>
              </w:rPr>
              <w:t xml:space="preserve"> </w:t>
            </w:r>
            <w:r w:rsidRPr="0053423A">
              <w:rPr>
                <w:rFonts w:cs="Sylfaen"/>
              </w:rPr>
              <w:t>երաշխիքներ</w:t>
            </w:r>
            <w:r w:rsidRPr="0053423A">
              <w:rPr>
                <w:rFonts w:cs="Sylfaen"/>
                <w:lang w:val="hy-AM"/>
              </w:rPr>
              <w:t xml:space="preserve">, </w:t>
            </w:r>
          </w:p>
          <w:p w:rsidR="00530B14" w:rsidRPr="0053423A" w:rsidRDefault="00530B14" w:rsidP="00A67858">
            <w:pPr>
              <w:numPr>
                <w:ilvl w:val="0"/>
                <w:numId w:val="97"/>
              </w:numPr>
              <w:shd w:val="clear" w:color="auto" w:fill="FFFFFF"/>
              <w:tabs>
                <w:tab w:val="left" w:pos="993"/>
              </w:tabs>
              <w:spacing w:line="276" w:lineRule="auto"/>
              <w:ind w:left="0" w:firstLine="709"/>
              <w:jc w:val="both"/>
              <w:rPr>
                <w:rFonts w:cs="Arial Armenian"/>
                <w:lang w:val="af-ZA"/>
              </w:rPr>
            </w:pPr>
            <w:r w:rsidRPr="0053423A">
              <w:rPr>
                <w:rFonts w:cs="Sylfaen"/>
                <w:lang w:val="hy-AM"/>
              </w:rPr>
              <w:t xml:space="preserve">5-ից 7 տոկոսով կբարձրանա </w:t>
            </w:r>
            <w:r w:rsidRPr="0053423A">
              <w:rPr>
                <w:rFonts w:cs="Sylfaen"/>
              </w:rPr>
              <w:t>պտուղբանջարեղենային</w:t>
            </w:r>
            <w:r w:rsidRPr="0053423A">
              <w:rPr>
                <w:rFonts w:cs="Sylfaen"/>
                <w:lang w:val="af-ZA"/>
              </w:rPr>
              <w:t xml:space="preserve"> </w:t>
            </w:r>
            <w:r w:rsidRPr="0053423A">
              <w:rPr>
                <w:rFonts w:cs="Sylfaen"/>
              </w:rPr>
              <w:t>պահածոների</w:t>
            </w:r>
            <w:r w:rsidRPr="0053423A">
              <w:rPr>
                <w:rFonts w:cs="Sylfaen"/>
                <w:lang w:val="hy-AM"/>
              </w:rPr>
              <w:t>,</w:t>
            </w:r>
            <w:r w:rsidRPr="0053423A">
              <w:rPr>
                <w:rFonts w:cs="Sylfaen"/>
                <w:lang w:val="af-ZA"/>
              </w:rPr>
              <w:t xml:space="preserve"> </w:t>
            </w:r>
            <w:r w:rsidRPr="0053423A">
              <w:rPr>
                <w:rFonts w:cs="Sylfaen"/>
              </w:rPr>
              <w:t>գինե</w:t>
            </w:r>
            <w:r w:rsidRPr="0053423A">
              <w:rPr>
                <w:rFonts w:cs="Sylfaen"/>
                <w:lang w:val="af-ZA"/>
              </w:rPr>
              <w:softHyphen/>
            </w:r>
            <w:r w:rsidRPr="0053423A">
              <w:rPr>
                <w:rFonts w:cs="Sylfaen"/>
              </w:rPr>
              <w:t>գոր</w:t>
            </w:r>
            <w:r w:rsidRPr="0053423A">
              <w:rPr>
                <w:rFonts w:cs="Sylfaen"/>
                <w:lang w:val="af-ZA"/>
              </w:rPr>
              <w:softHyphen/>
            </w:r>
            <w:r w:rsidRPr="0053423A">
              <w:rPr>
                <w:rFonts w:cs="Sylfaen"/>
              </w:rPr>
              <w:t>ծական</w:t>
            </w:r>
            <w:r w:rsidRPr="0053423A">
              <w:rPr>
                <w:rFonts w:cs="Sylfaen"/>
                <w:lang w:val="af-ZA"/>
              </w:rPr>
              <w:t xml:space="preserve"> </w:t>
            </w:r>
            <w:r w:rsidRPr="0053423A">
              <w:rPr>
                <w:rFonts w:cs="Sylfaen"/>
              </w:rPr>
              <w:t>արտադրանքի</w:t>
            </w:r>
            <w:r w:rsidRPr="0053423A">
              <w:rPr>
                <w:rFonts w:cs="Sylfaen"/>
                <w:lang w:val="af-ZA"/>
              </w:rPr>
              <w:t xml:space="preserve"> </w:t>
            </w:r>
            <w:r w:rsidRPr="0053423A">
              <w:rPr>
                <w:rFonts w:cs="Sylfaen"/>
                <w:lang w:val="hy-AM"/>
              </w:rPr>
              <w:t>և կաթնամթերքի մրցունակության մակարդակը, որի արդյունքում կավելանան արտադրության ու արտահանման ծավալները, ինչը դրականորեն կանդրադառնա</w:t>
            </w:r>
            <w:r w:rsidRPr="0053423A">
              <w:rPr>
                <w:rFonts w:cs="Arial Armenian"/>
                <w:lang w:val="af-ZA"/>
              </w:rPr>
              <w:t xml:space="preserve"> </w:t>
            </w:r>
            <w:r w:rsidRPr="0053423A">
              <w:rPr>
                <w:rFonts w:cs="Sylfaen"/>
                <w:lang w:val="hy-AM"/>
              </w:rPr>
              <w:t>նոր</w:t>
            </w:r>
            <w:r w:rsidRPr="0053423A">
              <w:rPr>
                <w:rFonts w:cs="Arial Armenian"/>
                <w:lang w:val="af-ZA"/>
              </w:rPr>
              <w:t xml:space="preserve"> </w:t>
            </w:r>
            <w:r w:rsidRPr="0053423A">
              <w:rPr>
                <w:rFonts w:cs="Sylfaen"/>
                <w:lang w:val="hy-AM"/>
              </w:rPr>
              <w:t>աշխատատեղերի</w:t>
            </w:r>
            <w:r w:rsidRPr="0053423A">
              <w:rPr>
                <w:rFonts w:cs="Arial Armenian"/>
                <w:lang w:val="af-ZA"/>
              </w:rPr>
              <w:t xml:space="preserve"> </w:t>
            </w:r>
            <w:r w:rsidRPr="0053423A">
              <w:rPr>
                <w:rFonts w:cs="Sylfaen"/>
                <w:lang w:val="hy-AM"/>
              </w:rPr>
              <w:t>ստեղծման,</w:t>
            </w:r>
            <w:r w:rsidRPr="0053423A">
              <w:rPr>
                <w:rFonts w:cs="Arial Armenian"/>
                <w:lang w:val="af-ZA"/>
              </w:rPr>
              <w:t xml:space="preserve"> </w:t>
            </w:r>
            <w:r w:rsidRPr="0053423A">
              <w:rPr>
                <w:rFonts w:cs="Sylfaen"/>
                <w:lang w:val="hy-AM"/>
              </w:rPr>
              <w:t>ոլորտում</w:t>
            </w:r>
            <w:r w:rsidRPr="0053423A">
              <w:rPr>
                <w:rFonts w:cs="Arial Armenian"/>
                <w:lang w:val="af-ZA"/>
              </w:rPr>
              <w:t xml:space="preserve"> </w:t>
            </w:r>
            <w:r w:rsidRPr="0053423A">
              <w:rPr>
                <w:rFonts w:cs="Sylfaen"/>
                <w:lang w:val="hy-AM"/>
              </w:rPr>
              <w:t>զբաղվածների</w:t>
            </w:r>
            <w:r w:rsidRPr="0053423A">
              <w:rPr>
                <w:rFonts w:cs="Arial Armenian"/>
                <w:lang w:val="af-ZA"/>
              </w:rPr>
              <w:t xml:space="preserve"> </w:t>
            </w:r>
            <w:r w:rsidRPr="0053423A">
              <w:rPr>
                <w:rFonts w:cs="Sylfaen"/>
                <w:lang w:val="hy-AM"/>
              </w:rPr>
              <w:t>եկամուտների</w:t>
            </w:r>
            <w:r w:rsidRPr="0053423A">
              <w:rPr>
                <w:rFonts w:cs="Arial Armenian"/>
                <w:lang w:val="af-ZA"/>
              </w:rPr>
              <w:t xml:space="preserve"> </w:t>
            </w:r>
            <w:r w:rsidRPr="0053423A">
              <w:rPr>
                <w:rFonts w:cs="Sylfaen"/>
                <w:lang w:val="hy-AM"/>
              </w:rPr>
              <w:t>ավելացման և արտաքին ապրանքաշրջանառության բարելավման վրա,</w:t>
            </w:r>
          </w:p>
          <w:p w:rsidR="00530B14" w:rsidRPr="0053423A" w:rsidRDefault="00530B14" w:rsidP="00A67858">
            <w:pPr>
              <w:numPr>
                <w:ilvl w:val="0"/>
                <w:numId w:val="97"/>
              </w:numPr>
              <w:shd w:val="clear" w:color="auto" w:fill="FFFFFF"/>
              <w:tabs>
                <w:tab w:val="left" w:pos="993"/>
              </w:tabs>
              <w:spacing w:line="276" w:lineRule="auto"/>
              <w:ind w:left="0" w:firstLine="709"/>
              <w:jc w:val="both"/>
              <w:rPr>
                <w:rFonts w:cs="Arial Armenian"/>
                <w:lang w:val="af-ZA"/>
              </w:rPr>
            </w:pPr>
            <w:r w:rsidRPr="0053423A">
              <w:rPr>
                <w:rFonts w:cs="Sylfaen"/>
                <w:lang w:val="hy-AM"/>
              </w:rPr>
              <w:t xml:space="preserve"> որոշակիորեն կբարձրանա գյուղատնտեսական մթերքներ վերա</w:t>
            </w:r>
            <w:r w:rsidRPr="0053423A">
              <w:rPr>
                <w:rFonts w:cs="Sylfaen"/>
                <w:lang w:val="hy-AM"/>
              </w:rPr>
              <w:softHyphen/>
              <w:t>մշակող արդյունա</w:t>
            </w:r>
            <w:r w:rsidRPr="0053423A">
              <w:rPr>
                <w:rFonts w:cs="Sylfaen"/>
                <w:lang w:val="hy-AM"/>
              </w:rPr>
              <w:softHyphen/>
              <w:t>բե</w:t>
            </w:r>
            <w:r w:rsidRPr="0053423A">
              <w:rPr>
                <w:rFonts w:cs="Sylfaen"/>
                <w:lang w:val="hy-AM"/>
              </w:rPr>
              <w:softHyphen/>
              <w:t>րու</w:t>
            </w:r>
            <w:r w:rsidRPr="0053423A">
              <w:rPr>
                <w:rFonts w:cs="Sylfaen"/>
                <w:lang w:val="hy-AM"/>
              </w:rPr>
              <w:softHyphen/>
              <w:t>թյան ոլորտի գրավչու</w:t>
            </w:r>
            <w:r w:rsidRPr="0053423A">
              <w:rPr>
                <w:rFonts w:cs="Sylfaen"/>
                <w:lang w:val="hy-AM"/>
              </w:rPr>
              <w:softHyphen/>
              <w:t xml:space="preserve">թյան մակարդակը, </w:t>
            </w:r>
            <w:r w:rsidRPr="0053423A">
              <w:rPr>
                <w:lang w:val="af-ZA"/>
              </w:rPr>
              <w:t>էականորեն կմեղմվի</w:t>
            </w:r>
            <w:r w:rsidRPr="0053423A">
              <w:rPr>
                <w:rFonts w:cs="Arial Armenian"/>
                <w:lang w:val="af-ZA"/>
              </w:rPr>
              <w:t xml:space="preserve"> </w:t>
            </w:r>
            <w:r w:rsidRPr="0053423A">
              <w:rPr>
                <w:rFonts w:cs="Sylfaen"/>
                <w:lang w:val="hy-AM"/>
              </w:rPr>
              <w:t>գյուղա</w:t>
            </w:r>
            <w:r w:rsidRPr="0053423A">
              <w:rPr>
                <w:rFonts w:cs="Sylfaen"/>
                <w:lang w:val="af-ZA"/>
              </w:rPr>
              <w:softHyphen/>
            </w:r>
            <w:r w:rsidRPr="0053423A">
              <w:rPr>
                <w:rFonts w:cs="Sylfaen"/>
                <w:lang w:val="hy-AM"/>
              </w:rPr>
              <w:t>տն</w:t>
            </w:r>
            <w:r w:rsidRPr="0053423A">
              <w:rPr>
                <w:rFonts w:cs="Sylfaen"/>
                <w:lang w:val="af-ZA"/>
              </w:rPr>
              <w:softHyphen/>
            </w:r>
            <w:r w:rsidRPr="0053423A">
              <w:rPr>
                <w:rFonts w:cs="Sylfaen"/>
                <w:lang w:val="af-ZA"/>
              </w:rPr>
              <w:softHyphen/>
            </w:r>
            <w:r w:rsidRPr="0053423A">
              <w:rPr>
                <w:rFonts w:cs="Sylfaen"/>
                <w:lang w:val="hy-AM"/>
              </w:rPr>
              <w:t>տեսական</w:t>
            </w:r>
            <w:r w:rsidRPr="0053423A">
              <w:rPr>
                <w:rFonts w:cs="Arial Armenian"/>
                <w:lang w:val="hy-AM"/>
              </w:rPr>
              <w:t xml:space="preserve"> </w:t>
            </w:r>
            <w:r w:rsidRPr="0053423A">
              <w:rPr>
                <w:rFonts w:cs="Sylfaen"/>
                <w:lang w:val="hy-AM"/>
              </w:rPr>
              <w:t>մթերքների</w:t>
            </w:r>
            <w:r w:rsidRPr="0053423A">
              <w:rPr>
                <w:rFonts w:cs="Arial Armenian"/>
                <w:lang w:val="hy-AM"/>
              </w:rPr>
              <w:t xml:space="preserve"> </w:t>
            </w:r>
            <w:r w:rsidRPr="0053423A">
              <w:rPr>
                <w:rFonts w:cs="Sylfaen"/>
                <w:lang w:val="hy-AM"/>
              </w:rPr>
              <w:t>իրացման</w:t>
            </w:r>
            <w:r w:rsidRPr="0053423A">
              <w:rPr>
                <w:rFonts w:cs="Arial Armenian"/>
                <w:lang w:val="hy-AM"/>
              </w:rPr>
              <w:t xml:space="preserve"> </w:t>
            </w:r>
            <w:r w:rsidRPr="0053423A">
              <w:rPr>
                <w:rFonts w:cs="Sylfaen"/>
                <w:lang w:val="hy-AM"/>
              </w:rPr>
              <w:t xml:space="preserve">հիմնախնդիրը, </w:t>
            </w:r>
            <w:r w:rsidRPr="0053423A">
              <w:rPr>
                <w:lang w:val="af-ZA"/>
              </w:rPr>
              <w:t xml:space="preserve">կմեծանա գյուղատնտեսական հումքի պահանջարկը, որը կնպաստի </w:t>
            </w:r>
            <w:r w:rsidRPr="0053423A">
              <w:rPr>
                <w:rFonts w:cs="Sylfaen"/>
                <w:lang w:val="hy-AM"/>
              </w:rPr>
              <w:t>գյուղատնտեսության</w:t>
            </w:r>
            <w:r w:rsidRPr="0053423A">
              <w:rPr>
                <w:rFonts w:cs="Arial Armenian"/>
                <w:lang w:val="hy-AM"/>
              </w:rPr>
              <w:t xml:space="preserve"> </w:t>
            </w:r>
            <w:r w:rsidRPr="0053423A">
              <w:rPr>
                <w:rFonts w:cs="Sylfaen"/>
                <w:lang w:val="hy-AM"/>
              </w:rPr>
              <w:t>ապրանքայնության</w:t>
            </w:r>
            <w:r w:rsidRPr="0053423A">
              <w:rPr>
                <w:rFonts w:cs="Arial Armenian"/>
                <w:lang w:val="hy-AM"/>
              </w:rPr>
              <w:t xml:space="preserve"> </w:t>
            </w:r>
            <w:r w:rsidRPr="0053423A">
              <w:rPr>
                <w:rFonts w:cs="Sylfaen"/>
                <w:lang w:val="hy-AM"/>
              </w:rPr>
              <w:t>մակարդակի բարձրացման:</w:t>
            </w:r>
          </w:p>
          <w:p w:rsidR="00530B14" w:rsidRPr="0053423A" w:rsidRDefault="00530B14" w:rsidP="00A67858">
            <w:pPr>
              <w:spacing w:line="276" w:lineRule="auto"/>
              <w:ind w:right="-31"/>
              <w:jc w:val="center"/>
              <w:rPr>
                <w:b/>
                <w:lang w:val="hy-AM"/>
              </w:rPr>
            </w:pPr>
          </w:p>
          <w:p w:rsidR="00530B14" w:rsidRPr="0053423A" w:rsidRDefault="00530B14" w:rsidP="00A67858">
            <w:pPr>
              <w:spacing w:line="276" w:lineRule="auto"/>
              <w:ind w:right="-31"/>
              <w:jc w:val="center"/>
              <w:rPr>
                <w:b/>
                <w:u w:val="single"/>
                <w:lang w:val="hy-AM"/>
              </w:rPr>
            </w:pPr>
            <w:r w:rsidRPr="0053423A">
              <w:rPr>
                <w:b/>
                <w:u w:val="single"/>
                <w:lang w:val="hy-AM"/>
              </w:rPr>
              <w:t xml:space="preserve">14.3 Հայաստանի Հանրապետության գյուղատնտեսության ոլորտի տնտեսական զարգացումն ապահովող հիմնական ուղղությունների 2020-2030 թվականների ռազմավարության մշակում </w:t>
            </w:r>
          </w:p>
          <w:p w:rsidR="00530B14" w:rsidRPr="0053423A" w:rsidRDefault="00530B14" w:rsidP="00A67858">
            <w:pPr>
              <w:spacing w:line="276" w:lineRule="auto"/>
              <w:ind w:right="-31"/>
              <w:jc w:val="center"/>
              <w:rPr>
                <w:b/>
                <w:lang w:val="hy-AM"/>
              </w:rPr>
            </w:pPr>
          </w:p>
          <w:p w:rsidR="00530B14" w:rsidRPr="0053423A" w:rsidRDefault="00530B14" w:rsidP="00A67858">
            <w:pPr>
              <w:tabs>
                <w:tab w:val="left" w:pos="1080"/>
              </w:tabs>
              <w:spacing w:line="276" w:lineRule="auto"/>
              <w:ind w:firstLine="720"/>
              <w:rPr>
                <w:rFonts w:cs="Sylfaen"/>
                <w:b/>
                <w:lang w:val="af-ZA"/>
              </w:rPr>
            </w:pPr>
            <w:r w:rsidRPr="0053423A">
              <w:rPr>
                <w:rFonts w:cs="Sylfaen"/>
                <w:b/>
                <w:lang w:val="hy-AM"/>
              </w:rPr>
              <w:t xml:space="preserve">1. </w:t>
            </w:r>
            <w:r w:rsidRPr="0053423A">
              <w:rPr>
                <w:rFonts w:eastAsia="Calibri"/>
                <w:b/>
                <w:lang w:val="hy-AM"/>
              </w:rPr>
              <w:t>Միջոցառման իրականացման ա</w:t>
            </w:r>
            <w:r w:rsidRPr="0053423A">
              <w:rPr>
                <w:rFonts w:cs="Sylfaen"/>
                <w:b/>
                <w:lang w:val="hy-AM"/>
              </w:rPr>
              <w:t>նհրաժեշտությունը և նպատակը</w:t>
            </w:r>
            <w:r w:rsidRPr="0053423A">
              <w:rPr>
                <w:rFonts w:cs="Sylfaen"/>
                <w:b/>
                <w:lang w:val="af-ZA"/>
              </w:rPr>
              <w:t xml:space="preserve"> </w:t>
            </w:r>
          </w:p>
          <w:p w:rsidR="00530B14" w:rsidRPr="0053423A" w:rsidRDefault="00530B14" w:rsidP="00A67858">
            <w:pPr>
              <w:pStyle w:val="BodyTextIndent2"/>
              <w:spacing w:after="0" w:line="276" w:lineRule="auto"/>
              <w:ind w:left="0" w:firstLine="720"/>
              <w:jc w:val="both"/>
              <w:rPr>
                <w:rFonts w:ascii="GHEA Grapalat" w:hAnsi="GHEA Grapalat" w:cs="Sylfaen"/>
                <w:lang w:val="hy-AM"/>
              </w:rPr>
            </w:pPr>
            <w:r w:rsidRPr="0053423A">
              <w:rPr>
                <w:rFonts w:ascii="GHEA Grapalat" w:hAnsi="GHEA Grapalat" w:cs="Sylfaen"/>
                <w:lang w:val="hy-AM"/>
              </w:rPr>
              <w:t>Հայաստանի Հանրապետության գյուղատնտեսության ոլորտի տնտեսական զարգացումն ապահովող հիմնական ուղղությունների 2020-2030 թվականների ռազմավարության մշակման անհրաժեշտությունը բխում է ՀՀ ԱԺ 2019 թվականի փետրվարի 14-ի ԱԺՈ-002-Ն որոշմամբ հավանության արժանացած ՀՀ կառավա</w:t>
            </w:r>
            <w:r w:rsidRPr="0053423A">
              <w:rPr>
                <w:rFonts w:ascii="GHEA Grapalat" w:hAnsi="GHEA Grapalat" w:cs="Sylfaen"/>
                <w:lang w:val="af-ZA"/>
              </w:rPr>
              <w:softHyphen/>
            </w:r>
            <w:r w:rsidRPr="0053423A">
              <w:rPr>
                <w:rFonts w:ascii="GHEA Grapalat" w:hAnsi="GHEA Grapalat" w:cs="Sylfaen"/>
                <w:lang w:val="hy-AM"/>
              </w:rPr>
              <w:t xml:space="preserve">րության ծրագրից </w:t>
            </w:r>
            <w:r w:rsidRPr="0053423A">
              <w:rPr>
                <w:rFonts w:ascii="GHEA Grapalat" w:hAnsi="GHEA Grapalat" w:cs="Sylfaen"/>
                <w:lang w:val="af-ZA"/>
              </w:rPr>
              <w:t>(</w:t>
            </w:r>
            <w:r w:rsidRPr="0053423A">
              <w:rPr>
                <w:rFonts w:ascii="GHEA Grapalat" w:hAnsi="GHEA Grapalat" w:cs="Sylfaen"/>
                <w:lang w:val="hy-AM"/>
              </w:rPr>
              <w:t>5.10. Գյուղատնտեսությունը բաժին, 7-րդ պարբերության 9-րդ դրույթ)։</w:t>
            </w:r>
          </w:p>
          <w:p w:rsidR="00530B14" w:rsidRPr="0053423A" w:rsidRDefault="00530B14" w:rsidP="00A67858">
            <w:pPr>
              <w:shd w:val="clear" w:color="auto" w:fill="FFFFFF"/>
              <w:spacing w:line="276" w:lineRule="auto"/>
              <w:ind w:firstLine="720"/>
              <w:jc w:val="both"/>
              <w:rPr>
                <w:rFonts w:cs="Sylfaen"/>
                <w:lang w:val="hy-AM"/>
              </w:rPr>
            </w:pPr>
            <w:r w:rsidRPr="0053423A">
              <w:rPr>
                <w:rFonts w:cs="Sylfaen"/>
                <w:lang w:val="hy-AM"/>
              </w:rPr>
              <w:t>Ռազմավարության հիմնական նպատակն է գյուղատնտեսության  կայուն զար</w:t>
            </w:r>
            <w:r w:rsidRPr="0053423A">
              <w:rPr>
                <w:rFonts w:cs="Sylfaen"/>
                <w:lang w:val="hy-AM"/>
              </w:rPr>
              <w:softHyphen/>
              <w:t>գաց</w:t>
            </w:r>
            <w:r w:rsidRPr="0053423A">
              <w:rPr>
                <w:rFonts w:cs="Sylfaen"/>
                <w:lang w:val="hy-AM"/>
              </w:rPr>
              <w:softHyphen/>
              <w:t>ման մեխանիզմների ձևավորման միջոցով՝ նպաստել ճյուղի արդիա</w:t>
            </w:r>
            <w:r w:rsidRPr="0053423A">
              <w:rPr>
                <w:rFonts w:cs="Sylfaen"/>
                <w:lang w:val="hy-AM"/>
              </w:rPr>
              <w:softHyphen/>
              <w:t>կանացմանը և մրցունակության բարձրացմանը, ոլորտի զարգացմանն ուղղված</w:t>
            </w:r>
            <w:r w:rsidRPr="0053423A">
              <w:rPr>
                <w:rFonts w:cs="Arial Armenian"/>
                <w:lang w:val="hy-AM"/>
              </w:rPr>
              <w:t xml:space="preserve"> 2020-2030 </w:t>
            </w:r>
            <w:r w:rsidRPr="0053423A">
              <w:rPr>
                <w:rFonts w:cs="Sylfaen"/>
                <w:lang w:val="hy-AM"/>
              </w:rPr>
              <w:t>թվական</w:t>
            </w:r>
            <w:r w:rsidRPr="0053423A">
              <w:rPr>
                <w:rFonts w:cs="Sylfaen"/>
                <w:lang w:val="hy-AM"/>
              </w:rPr>
              <w:softHyphen/>
              <w:t>ներին իրականացվելիք պետական</w:t>
            </w:r>
            <w:r w:rsidRPr="0053423A">
              <w:rPr>
                <w:rFonts w:cs="Arial Armenian"/>
                <w:lang w:val="hy-AM"/>
              </w:rPr>
              <w:t xml:space="preserve"> </w:t>
            </w:r>
            <w:r w:rsidRPr="0053423A">
              <w:rPr>
                <w:rFonts w:cs="Sylfaen"/>
                <w:lang w:val="hy-AM"/>
              </w:rPr>
              <w:t>քաղա</w:t>
            </w:r>
            <w:r w:rsidRPr="0053423A">
              <w:rPr>
                <w:rFonts w:cs="Sylfaen"/>
                <w:lang w:val="hy-AM"/>
              </w:rPr>
              <w:softHyphen/>
              <w:t>քականության</w:t>
            </w:r>
            <w:r w:rsidRPr="0053423A">
              <w:rPr>
                <w:rFonts w:cs="Arial Armenian"/>
                <w:lang w:val="hy-AM"/>
              </w:rPr>
              <w:t xml:space="preserve"> </w:t>
            </w:r>
            <w:r w:rsidRPr="0053423A">
              <w:rPr>
                <w:rFonts w:cs="Sylfaen"/>
                <w:lang w:val="hy-AM"/>
              </w:rPr>
              <w:t>հիմնական</w:t>
            </w:r>
            <w:r w:rsidRPr="0053423A">
              <w:rPr>
                <w:rFonts w:cs="Arial Armenian"/>
                <w:lang w:val="hy-AM"/>
              </w:rPr>
              <w:t xml:space="preserve"> </w:t>
            </w:r>
            <w:r w:rsidRPr="0053423A">
              <w:rPr>
                <w:rFonts w:cs="Sylfaen"/>
                <w:lang w:val="hy-AM"/>
              </w:rPr>
              <w:t>ուղղու</w:t>
            </w:r>
            <w:r w:rsidRPr="0053423A">
              <w:rPr>
                <w:rFonts w:cs="Sylfaen"/>
                <w:lang w:val="hy-AM"/>
              </w:rPr>
              <w:softHyphen/>
              <w:t>թյունների</w:t>
            </w:r>
            <w:r w:rsidRPr="0053423A">
              <w:rPr>
                <w:rFonts w:cs="Arial Armenian"/>
                <w:lang w:val="hy-AM"/>
              </w:rPr>
              <w:t xml:space="preserve"> նախանշմանը և</w:t>
            </w:r>
            <w:r w:rsidRPr="0053423A">
              <w:rPr>
                <w:rFonts w:cs="Arial"/>
                <w:lang w:val="hy-AM"/>
              </w:rPr>
              <w:t xml:space="preserve"> </w:t>
            </w:r>
            <w:r w:rsidRPr="0053423A">
              <w:rPr>
                <w:rFonts w:cs="Arial Armenian"/>
                <w:lang w:val="hy-AM"/>
              </w:rPr>
              <w:t>ռազմավարության կատարումն ապահովող միջոցառումների իրա</w:t>
            </w:r>
            <w:r w:rsidRPr="0053423A">
              <w:rPr>
                <w:rFonts w:cs="Arial Armenian"/>
                <w:lang w:val="hy-AM"/>
              </w:rPr>
              <w:softHyphen/>
              <w:t>կանացմանը</w:t>
            </w:r>
            <w:r w:rsidRPr="0053423A">
              <w:rPr>
                <w:lang w:val="hy-AM"/>
              </w:rPr>
              <w:t>:</w:t>
            </w:r>
            <w:r w:rsidRPr="0053423A">
              <w:rPr>
                <w:rFonts w:cs="Sylfaen"/>
                <w:lang w:val="hy-AM"/>
              </w:rPr>
              <w:t xml:space="preserve"> </w:t>
            </w:r>
          </w:p>
          <w:p w:rsidR="00530B14" w:rsidRPr="0053423A" w:rsidRDefault="00530B14" w:rsidP="001F6D5D">
            <w:pPr>
              <w:pStyle w:val="ListParagraph"/>
              <w:numPr>
                <w:ilvl w:val="1"/>
                <w:numId w:val="122"/>
              </w:numPr>
              <w:tabs>
                <w:tab w:val="left" w:pos="1080"/>
              </w:tabs>
              <w:spacing w:line="276" w:lineRule="auto"/>
              <w:rPr>
                <w:rFonts w:cs="Sylfaen"/>
                <w:b/>
                <w:lang w:val="hy-AM"/>
              </w:rPr>
            </w:pPr>
            <w:r w:rsidRPr="0053423A">
              <w:rPr>
                <w:rFonts w:cs="Sylfaen"/>
                <w:b/>
                <w:lang w:val="hy-AM"/>
              </w:rPr>
              <w:t>Կարգավորման հարաբերությունների ներկա վիճակը և առկա խնդիրները</w:t>
            </w:r>
          </w:p>
          <w:p w:rsidR="00530B14" w:rsidRPr="0053423A" w:rsidRDefault="00530B14" w:rsidP="00A67858">
            <w:pPr>
              <w:pStyle w:val="ListParagraph"/>
              <w:tabs>
                <w:tab w:val="left" w:pos="720"/>
              </w:tabs>
              <w:spacing w:line="276" w:lineRule="auto"/>
              <w:ind w:left="0"/>
              <w:jc w:val="both"/>
              <w:rPr>
                <w:rFonts w:cs="Sylfaen"/>
                <w:lang w:val="hy-AM"/>
              </w:rPr>
            </w:pPr>
            <w:r w:rsidRPr="0053423A">
              <w:rPr>
                <w:rFonts w:cs="Sylfaen"/>
                <w:lang w:val="hy-AM"/>
              </w:rPr>
              <w:tab/>
              <w:t>2020 թվականին ավարտին է մոտենում 2010-2020 թվականների գյուղի և գյու</w:t>
            </w:r>
            <w:r w:rsidRPr="0053423A">
              <w:rPr>
                <w:rFonts w:cs="Sylfaen"/>
                <w:lang w:val="hy-AM"/>
              </w:rPr>
              <w:softHyphen/>
              <w:t>ղատնտեսության կայուն զարգացման ռազմավարության իրականացման ժամանա</w:t>
            </w:r>
            <w:r w:rsidRPr="0053423A">
              <w:rPr>
                <w:rFonts w:cs="Sylfaen"/>
                <w:lang w:val="hy-AM"/>
              </w:rPr>
              <w:softHyphen/>
              <w:t>կահատվածը։ Ուստի ոլորտի զարգացմանն ուղղված քաղաքականության մշակման և իրականացման համար անհրաժեշտ է  նոր ռազմավարական փաստաթղթի ընդունում:</w:t>
            </w:r>
          </w:p>
          <w:p w:rsidR="00530B14" w:rsidRPr="0053423A" w:rsidRDefault="00530B14" w:rsidP="00A67858">
            <w:pPr>
              <w:pStyle w:val="ListParagraph"/>
              <w:tabs>
                <w:tab w:val="left" w:pos="720"/>
              </w:tabs>
              <w:spacing w:line="276" w:lineRule="auto"/>
              <w:ind w:left="0"/>
              <w:jc w:val="both"/>
              <w:rPr>
                <w:rFonts w:cs="Sylfaen"/>
                <w:lang w:val="hy-AM"/>
              </w:rPr>
            </w:pPr>
            <w:r w:rsidRPr="0053423A">
              <w:rPr>
                <w:rFonts w:cs="Sylfaen"/>
                <w:lang w:val="hy-AM"/>
              </w:rPr>
              <w:tab/>
              <w:t>Մշակվող ռազմավարության հիմնական խնդիրները նախանշված են Հայաս</w:t>
            </w:r>
            <w:r w:rsidRPr="0053423A">
              <w:rPr>
                <w:rFonts w:cs="Sylfaen"/>
                <w:lang w:val="hy-AM"/>
              </w:rPr>
              <w:softHyphen/>
              <w:t>տանի Հանրապետության Ազգային ժողովի կողմից հավանության արժանացած ՀՀ կառավարության ծրագրով։ Առաջիկա տաս տարիներին Կառավարության կողմից գյուղա</w:t>
            </w:r>
            <w:r w:rsidRPr="0053423A">
              <w:rPr>
                <w:rFonts w:cs="Sylfaen"/>
                <w:lang w:val="hy-AM"/>
              </w:rPr>
              <w:softHyphen/>
              <w:t>տնտեսության ոլորտում վարվող քաղաքականությունը միտված կլինի հետևյալ խնդիրների լուծմանը՝</w:t>
            </w:r>
          </w:p>
          <w:p w:rsidR="00530B14" w:rsidRPr="0053423A" w:rsidRDefault="00530B14" w:rsidP="001F6D5D">
            <w:pPr>
              <w:pStyle w:val="BodyTextIndent2"/>
              <w:numPr>
                <w:ilvl w:val="0"/>
                <w:numId w:val="118"/>
              </w:numPr>
              <w:spacing w:after="0" w:line="276" w:lineRule="auto"/>
              <w:ind w:left="0" w:firstLine="540"/>
              <w:jc w:val="both"/>
              <w:rPr>
                <w:rFonts w:ascii="GHEA Grapalat" w:hAnsi="GHEA Grapalat"/>
                <w:lang w:val="af-ZA"/>
              </w:rPr>
            </w:pPr>
            <w:r w:rsidRPr="0053423A">
              <w:rPr>
                <w:rFonts w:ascii="GHEA Grapalat" w:hAnsi="GHEA Grapalat" w:cs="Sylfaen"/>
                <w:lang w:val="hy-AM"/>
              </w:rPr>
              <w:t xml:space="preserve"> գյուղատնտեսության արդյունավետության բարձրաց</w:t>
            </w:r>
            <w:r w:rsidRPr="0053423A">
              <w:rPr>
                <w:rFonts w:ascii="GHEA Grapalat" w:hAnsi="GHEA Grapalat" w:cs="Sylfaen"/>
                <w:lang w:val="ru-RU"/>
              </w:rPr>
              <w:t>ում</w:t>
            </w:r>
            <w:r w:rsidRPr="0053423A">
              <w:rPr>
                <w:rFonts w:ascii="GHEA Grapalat" w:hAnsi="GHEA Grapalat" w:cs="Sylfaen"/>
                <w:lang w:val="hy-AM"/>
              </w:rPr>
              <w:t xml:space="preserve">, </w:t>
            </w:r>
          </w:p>
          <w:p w:rsidR="00530B14" w:rsidRPr="0053423A" w:rsidRDefault="00530B14" w:rsidP="001F6D5D">
            <w:pPr>
              <w:pStyle w:val="BodyTextIndent2"/>
              <w:numPr>
                <w:ilvl w:val="0"/>
                <w:numId w:val="118"/>
              </w:numPr>
              <w:spacing w:after="0" w:line="276" w:lineRule="auto"/>
              <w:ind w:left="0" w:firstLine="540"/>
              <w:jc w:val="both"/>
              <w:rPr>
                <w:rFonts w:ascii="GHEA Grapalat" w:hAnsi="GHEA Grapalat"/>
                <w:lang w:val="af-ZA"/>
              </w:rPr>
            </w:pPr>
            <w:r w:rsidRPr="0053423A">
              <w:rPr>
                <w:rFonts w:ascii="GHEA Grapalat" w:hAnsi="GHEA Grapalat" w:cs="Sylfaen"/>
                <w:lang w:val="hy-AM"/>
              </w:rPr>
              <w:t xml:space="preserve"> պ</w:t>
            </w:r>
            <w:r w:rsidRPr="0053423A">
              <w:rPr>
                <w:rFonts w:ascii="GHEA Grapalat" w:hAnsi="GHEA Grapalat" w:cs="Sylfaen"/>
                <w:lang w:val="af-ZA"/>
              </w:rPr>
              <w:t>արենային</w:t>
            </w:r>
            <w:r w:rsidRPr="0053423A">
              <w:rPr>
                <w:rFonts w:ascii="GHEA Grapalat" w:hAnsi="GHEA Grapalat" w:cs="Arial Armenian"/>
                <w:lang w:val="af-ZA"/>
              </w:rPr>
              <w:t xml:space="preserve"> </w:t>
            </w:r>
            <w:r w:rsidRPr="0053423A">
              <w:rPr>
                <w:rFonts w:ascii="GHEA Grapalat" w:hAnsi="GHEA Grapalat" w:cs="Sylfaen"/>
                <w:lang w:val="hy-AM"/>
              </w:rPr>
              <w:t xml:space="preserve">անվտանգության </w:t>
            </w:r>
            <w:r w:rsidRPr="0053423A">
              <w:rPr>
                <w:rFonts w:ascii="GHEA Grapalat" w:hAnsi="GHEA Grapalat" w:cs="Sylfaen"/>
                <w:lang w:val="af-ZA"/>
              </w:rPr>
              <w:t>մակարդակի</w:t>
            </w:r>
            <w:r w:rsidRPr="0053423A">
              <w:rPr>
                <w:rFonts w:ascii="GHEA Grapalat" w:hAnsi="GHEA Grapalat" w:cs="Arial Armenian"/>
                <w:lang w:val="af-ZA"/>
              </w:rPr>
              <w:t xml:space="preserve"> </w:t>
            </w:r>
            <w:r w:rsidRPr="0053423A">
              <w:rPr>
                <w:rFonts w:ascii="GHEA Grapalat" w:hAnsi="GHEA Grapalat" w:cs="Sylfaen"/>
                <w:lang w:val="af-ZA"/>
              </w:rPr>
              <w:t>բարձ</w:t>
            </w:r>
            <w:r w:rsidRPr="0053423A">
              <w:rPr>
                <w:rFonts w:ascii="GHEA Grapalat" w:hAnsi="GHEA Grapalat" w:cs="Arial Armenian"/>
                <w:lang w:val="af-ZA"/>
              </w:rPr>
              <w:softHyphen/>
            </w:r>
            <w:r w:rsidRPr="0053423A">
              <w:rPr>
                <w:rFonts w:ascii="GHEA Grapalat" w:hAnsi="GHEA Grapalat" w:cs="Sylfaen"/>
                <w:lang w:val="af-ZA"/>
              </w:rPr>
              <w:t>րաց</w:t>
            </w:r>
            <w:r w:rsidRPr="0053423A">
              <w:rPr>
                <w:rFonts w:ascii="GHEA Grapalat" w:hAnsi="GHEA Grapalat" w:cs="Arial Armenian"/>
                <w:lang w:val="af-ZA"/>
              </w:rPr>
              <w:softHyphen/>
            </w:r>
            <w:r w:rsidRPr="0053423A">
              <w:rPr>
                <w:rFonts w:ascii="GHEA Grapalat" w:hAnsi="GHEA Grapalat" w:cs="Arial Armenian"/>
                <w:lang w:val="ru-RU"/>
              </w:rPr>
              <w:t>ում</w:t>
            </w:r>
            <w:r w:rsidRPr="0053423A">
              <w:rPr>
                <w:rFonts w:ascii="GHEA Grapalat" w:hAnsi="GHEA Grapalat" w:cs="Arial Armenian"/>
                <w:lang w:val="af-ZA"/>
              </w:rPr>
              <w:t xml:space="preserve">, </w:t>
            </w:r>
            <w:r w:rsidRPr="0053423A">
              <w:rPr>
                <w:rFonts w:ascii="GHEA Grapalat" w:hAnsi="GHEA Grapalat" w:cs="Sylfaen"/>
                <w:lang w:val="af-ZA"/>
              </w:rPr>
              <w:t>սննդամթերքի</w:t>
            </w:r>
            <w:r w:rsidRPr="0053423A">
              <w:rPr>
                <w:rFonts w:ascii="GHEA Grapalat" w:hAnsi="GHEA Grapalat" w:cs="Arial Armenian"/>
                <w:lang w:val="af-ZA"/>
              </w:rPr>
              <w:t xml:space="preserve"> </w:t>
            </w:r>
            <w:r w:rsidRPr="0053423A">
              <w:rPr>
                <w:rFonts w:ascii="GHEA Grapalat" w:hAnsi="GHEA Grapalat" w:cs="Sylfaen"/>
                <w:lang w:val="af-ZA"/>
              </w:rPr>
              <w:t>ան</w:t>
            </w:r>
            <w:r w:rsidRPr="0053423A">
              <w:rPr>
                <w:rFonts w:ascii="GHEA Grapalat" w:hAnsi="GHEA Grapalat" w:cs="Arial Armenian"/>
                <w:lang w:val="af-ZA"/>
              </w:rPr>
              <w:softHyphen/>
            </w:r>
            <w:r w:rsidRPr="0053423A">
              <w:rPr>
                <w:rFonts w:ascii="GHEA Grapalat" w:hAnsi="GHEA Grapalat" w:cs="Sylfaen"/>
                <w:lang w:val="af-ZA"/>
              </w:rPr>
              <w:t>վտան</w:t>
            </w:r>
            <w:r w:rsidRPr="0053423A">
              <w:rPr>
                <w:rFonts w:ascii="GHEA Grapalat" w:hAnsi="GHEA Grapalat" w:cs="Arial Armenian"/>
                <w:lang w:val="af-ZA"/>
              </w:rPr>
              <w:softHyphen/>
            </w:r>
            <w:r w:rsidRPr="0053423A">
              <w:rPr>
                <w:rFonts w:ascii="GHEA Grapalat" w:hAnsi="GHEA Grapalat" w:cs="Sylfaen"/>
                <w:lang w:val="af-ZA"/>
              </w:rPr>
              <w:t>գության</w:t>
            </w:r>
            <w:r w:rsidRPr="0053423A">
              <w:rPr>
                <w:rFonts w:ascii="GHEA Grapalat" w:hAnsi="GHEA Grapalat" w:cs="Arial Armenian"/>
                <w:lang w:val="af-ZA"/>
              </w:rPr>
              <w:t xml:space="preserve"> </w:t>
            </w:r>
            <w:r w:rsidRPr="0053423A">
              <w:rPr>
                <w:rFonts w:ascii="GHEA Grapalat" w:hAnsi="GHEA Grapalat" w:cs="Sylfaen"/>
                <w:lang w:val="af-ZA"/>
              </w:rPr>
              <w:t>և</w:t>
            </w:r>
            <w:r w:rsidRPr="0053423A">
              <w:rPr>
                <w:rFonts w:ascii="GHEA Grapalat" w:hAnsi="GHEA Grapalat" w:cs="Arial Armenian"/>
                <w:lang w:val="af-ZA"/>
              </w:rPr>
              <w:t xml:space="preserve"> </w:t>
            </w:r>
            <w:r w:rsidRPr="0053423A">
              <w:rPr>
                <w:rFonts w:ascii="GHEA Grapalat" w:hAnsi="GHEA Grapalat" w:cs="Sylfaen"/>
                <w:lang w:val="af-ZA"/>
              </w:rPr>
              <w:t>հիմնական</w:t>
            </w:r>
            <w:r w:rsidRPr="0053423A">
              <w:rPr>
                <w:rFonts w:ascii="GHEA Grapalat" w:hAnsi="GHEA Grapalat" w:cs="Arial Armenian"/>
                <w:lang w:val="af-ZA"/>
              </w:rPr>
              <w:t xml:space="preserve"> </w:t>
            </w:r>
            <w:r w:rsidRPr="0053423A">
              <w:rPr>
                <w:rFonts w:ascii="GHEA Grapalat" w:hAnsi="GHEA Grapalat" w:cs="Sylfaen"/>
                <w:lang w:val="af-ZA"/>
              </w:rPr>
              <w:t>պարենային</w:t>
            </w:r>
            <w:r w:rsidRPr="0053423A">
              <w:rPr>
                <w:rFonts w:ascii="GHEA Grapalat" w:hAnsi="GHEA Grapalat" w:cs="Arial Armenian"/>
                <w:lang w:val="af-ZA"/>
              </w:rPr>
              <w:t xml:space="preserve"> </w:t>
            </w:r>
            <w:r w:rsidRPr="0053423A">
              <w:rPr>
                <w:rFonts w:ascii="GHEA Grapalat" w:hAnsi="GHEA Grapalat" w:cs="Sylfaen"/>
                <w:lang w:val="af-ZA"/>
              </w:rPr>
              <w:t>մթերքների</w:t>
            </w:r>
            <w:r w:rsidRPr="0053423A">
              <w:rPr>
                <w:rFonts w:ascii="GHEA Grapalat" w:hAnsi="GHEA Grapalat" w:cs="Arial Armenian"/>
                <w:lang w:val="af-ZA"/>
              </w:rPr>
              <w:t xml:space="preserve"> </w:t>
            </w:r>
            <w:r w:rsidRPr="0053423A">
              <w:rPr>
                <w:rFonts w:ascii="GHEA Grapalat" w:hAnsi="GHEA Grapalat" w:cs="Sylfaen"/>
                <w:lang w:val="af-ZA"/>
              </w:rPr>
              <w:t>ինքնաբա</w:t>
            </w:r>
            <w:r w:rsidRPr="0053423A">
              <w:rPr>
                <w:rFonts w:ascii="GHEA Grapalat" w:hAnsi="GHEA Grapalat" w:cs="Arial Armenian"/>
                <w:lang w:val="af-ZA"/>
              </w:rPr>
              <w:softHyphen/>
            </w:r>
            <w:r w:rsidRPr="0053423A">
              <w:rPr>
                <w:rFonts w:ascii="GHEA Grapalat" w:hAnsi="GHEA Grapalat" w:cs="Sylfaen"/>
                <w:lang w:val="af-ZA"/>
              </w:rPr>
              <w:t>վության</w:t>
            </w:r>
            <w:r w:rsidRPr="0053423A">
              <w:rPr>
                <w:rFonts w:ascii="GHEA Grapalat" w:hAnsi="GHEA Grapalat" w:cs="Arial Armenian"/>
                <w:lang w:val="af-ZA"/>
              </w:rPr>
              <w:t xml:space="preserve"> </w:t>
            </w:r>
            <w:r w:rsidRPr="0053423A">
              <w:rPr>
                <w:rFonts w:ascii="GHEA Grapalat" w:hAnsi="GHEA Grapalat" w:cs="Sylfaen"/>
                <w:lang w:val="af-ZA"/>
              </w:rPr>
              <w:t>ապահով</w:t>
            </w:r>
            <w:r w:rsidRPr="0053423A">
              <w:rPr>
                <w:rFonts w:ascii="GHEA Grapalat" w:hAnsi="GHEA Grapalat" w:cs="Sylfaen"/>
                <w:lang w:val="ru-RU"/>
              </w:rPr>
              <w:t>ում</w:t>
            </w:r>
            <w:r w:rsidRPr="0053423A">
              <w:rPr>
                <w:rFonts w:ascii="GHEA Grapalat" w:hAnsi="GHEA Grapalat" w:cs="Sylfaen"/>
                <w:lang w:val="hy-AM"/>
              </w:rPr>
              <w:t>,</w:t>
            </w:r>
          </w:p>
          <w:p w:rsidR="00530B14" w:rsidRPr="0053423A" w:rsidRDefault="00530B14" w:rsidP="001F6D5D">
            <w:pPr>
              <w:pStyle w:val="BodyTextIndent2"/>
              <w:numPr>
                <w:ilvl w:val="0"/>
                <w:numId w:val="118"/>
              </w:numPr>
              <w:spacing w:after="0" w:line="276" w:lineRule="auto"/>
              <w:ind w:left="0" w:firstLine="540"/>
              <w:jc w:val="both"/>
              <w:rPr>
                <w:rFonts w:ascii="GHEA Grapalat" w:hAnsi="GHEA Grapalat"/>
                <w:lang w:val="af-ZA"/>
              </w:rPr>
            </w:pPr>
            <w:r w:rsidRPr="0053423A">
              <w:rPr>
                <w:rFonts w:ascii="GHEA Grapalat" w:hAnsi="GHEA Grapalat" w:cs="Sylfaen"/>
                <w:lang w:val="hy-AM"/>
              </w:rPr>
              <w:t xml:space="preserve"> արդի տեխնոլոգիաների ներ</w:t>
            </w:r>
            <w:r w:rsidRPr="0053423A">
              <w:rPr>
                <w:rFonts w:ascii="GHEA Grapalat" w:hAnsi="GHEA Grapalat" w:cs="Sylfaen"/>
                <w:lang w:val="ru-RU"/>
              </w:rPr>
              <w:t>դրում</w:t>
            </w:r>
            <w:r w:rsidRPr="0053423A">
              <w:rPr>
                <w:rFonts w:ascii="GHEA Grapalat" w:hAnsi="GHEA Grapalat" w:cs="Sylfaen"/>
                <w:lang w:val="hy-AM"/>
              </w:rPr>
              <w:t>,</w:t>
            </w:r>
          </w:p>
          <w:p w:rsidR="00530B14" w:rsidRPr="0053423A" w:rsidRDefault="00530B14" w:rsidP="001F6D5D">
            <w:pPr>
              <w:pStyle w:val="BodyTextIndent2"/>
              <w:numPr>
                <w:ilvl w:val="0"/>
                <w:numId w:val="118"/>
              </w:numPr>
              <w:spacing w:after="0" w:line="276" w:lineRule="auto"/>
              <w:ind w:left="0" w:firstLine="540"/>
              <w:jc w:val="both"/>
              <w:rPr>
                <w:rFonts w:ascii="GHEA Grapalat" w:hAnsi="GHEA Grapalat"/>
                <w:lang w:val="af-ZA"/>
              </w:rPr>
            </w:pPr>
            <w:r w:rsidRPr="0053423A">
              <w:rPr>
                <w:rFonts w:ascii="GHEA Grapalat" w:hAnsi="GHEA Grapalat" w:cs="Sylfaen"/>
                <w:lang w:val="hy-AM"/>
              </w:rPr>
              <w:t xml:space="preserve"> արտահանման ծավալների ավելաց</w:t>
            </w:r>
            <w:r w:rsidRPr="0053423A">
              <w:rPr>
                <w:rFonts w:ascii="GHEA Grapalat" w:hAnsi="GHEA Grapalat" w:cs="Sylfaen"/>
                <w:lang w:val="ru-RU"/>
              </w:rPr>
              <w:t>ում</w:t>
            </w:r>
            <w:r w:rsidRPr="0053423A">
              <w:rPr>
                <w:rFonts w:ascii="GHEA Grapalat" w:hAnsi="GHEA Grapalat" w:cs="Sylfaen"/>
                <w:lang w:val="hy-AM"/>
              </w:rPr>
              <w:t>,</w:t>
            </w:r>
          </w:p>
          <w:p w:rsidR="00530B14" w:rsidRPr="0053423A" w:rsidRDefault="00530B14" w:rsidP="001F6D5D">
            <w:pPr>
              <w:pStyle w:val="BodyTextIndent2"/>
              <w:numPr>
                <w:ilvl w:val="0"/>
                <w:numId w:val="118"/>
              </w:numPr>
              <w:spacing w:after="0" w:line="276" w:lineRule="auto"/>
              <w:ind w:left="0" w:firstLine="540"/>
              <w:jc w:val="both"/>
              <w:rPr>
                <w:rFonts w:ascii="GHEA Grapalat" w:hAnsi="GHEA Grapalat"/>
                <w:lang w:val="af-ZA"/>
              </w:rPr>
            </w:pPr>
            <w:r w:rsidRPr="0053423A">
              <w:rPr>
                <w:rFonts w:ascii="GHEA Grapalat" w:hAnsi="GHEA Grapalat" w:cs="Sylfaen"/>
                <w:lang w:val="hy-AM"/>
              </w:rPr>
              <w:t xml:space="preserve"> գյուղատնտեսական ամբողջ արժեշղթայում ընդգրկված բոլոր սուբյեկտների՝ փոքր տնային տնտեսությունների, գյուղա</w:t>
            </w:r>
            <w:r w:rsidRPr="0053423A">
              <w:rPr>
                <w:rFonts w:ascii="GHEA Grapalat" w:hAnsi="GHEA Grapalat" w:cs="Sylfaen"/>
                <w:lang w:val="ru-RU"/>
              </w:rPr>
              <w:t>տնտեսական</w:t>
            </w:r>
            <w:r w:rsidRPr="0053423A">
              <w:rPr>
                <w:rFonts w:ascii="GHEA Grapalat" w:hAnsi="GHEA Grapalat" w:cs="Sylfaen"/>
                <w:lang w:val="hy-AM"/>
              </w:rPr>
              <w:t xml:space="preserve"> կոոպերատիվների, վերա</w:t>
            </w:r>
            <w:r w:rsidRPr="0053423A">
              <w:rPr>
                <w:rFonts w:ascii="GHEA Grapalat" w:hAnsi="GHEA Grapalat" w:cs="Sylfaen"/>
                <w:lang w:val="af-ZA"/>
              </w:rPr>
              <w:softHyphen/>
            </w:r>
            <w:r w:rsidRPr="0053423A">
              <w:rPr>
                <w:rFonts w:ascii="GHEA Grapalat" w:hAnsi="GHEA Grapalat" w:cs="Sylfaen"/>
                <w:lang w:val="hy-AM"/>
              </w:rPr>
              <w:t>մշա</w:t>
            </w:r>
            <w:r w:rsidRPr="0053423A">
              <w:rPr>
                <w:rFonts w:ascii="GHEA Grapalat" w:hAnsi="GHEA Grapalat" w:cs="Sylfaen"/>
                <w:lang w:val="af-ZA"/>
              </w:rPr>
              <w:softHyphen/>
            </w:r>
            <w:r w:rsidRPr="0053423A">
              <w:rPr>
                <w:rFonts w:ascii="GHEA Grapalat" w:hAnsi="GHEA Grapalat" w:cs="Sylfaen"/>
                <w:lang w:val="hy-AM"/>
              </w:rPr>
              <w:t xml:space="preserve">կող ընկերությունների և արտահանողների եկամտաբերության </w:t>
            </w:r>
            <w:r w:rsidRPr="0053423A">
              <w:rPr>
                <w:rFonts w:ascii="GHEA Grapalat" w:hAnsi="GHEA Grapalat" w:cs="Sylfaen"/>
                <w:lang w:val="ru-RU"/>
              </w:rPr>
              <w:t>մակարդակի</w:t>
            </w:r>
            <w:r w:rsidRPr="0053423A">
              <w:rPr>
                <w:rFonts w:ascii="GHEA Grapalat" w:hAnsi="GHEA Grapalat" w:cs="Sylfaen"/>
                <w:lang w:val="af-ZA"/>
              </w:rPr>
              <w:t xml:space="preserve"> </w:t>
            </w:r>
            <w:r w:rsidRPr="0053423A">
              <w:rPr>
                <w:rFonts w:ascii="GHEA Grapalat" w:hAnsi="GHEA Grapalat" w:cs="Sylfaen"/>
                <w:lang w:val="hy-AM"/>
              </w:rPr>
              <w:t>բարձ</w:t>
            </w:r>
            <w:r w:rsidRPr="0053423A">
              <w:rPr>
                <w:rFonts w:ascii="GHEA Grapalat" w:hAnsi="GHEA Grapalat" w:cs="Sylfaen"/>
                <w:lang w:val="af-ZA"/>
              </w:rPr>
              <w:softHyphen/>
            </w:r>
            <w:r w:rsidRPr="0053423A">
              <w:rPr>
                <w:rFonts w:ascii="GHEA Grapalat" w:hAnsi="GHEA Grapalat" w:cs="Sylfaen"/>
                <w:lang w:val="hy-AM"/>
              </w:rPr>
              <w:t>րաց</w:t>
            </w:r>
            <w:r w:rsidRPr="0053423A">
              <w:rPr>
                <w:rFonts w:ascii="GHEA Grapalat" w:hAnsi="GHEA Grapalat" w:cs="Sylfaen"/>
                <w:lang w:val="ru-RU"/>
              </w:rPr>
              <w:t>ում</w:t>
            </w:r>
            <w:r w:rsidRPr="0053423A">
              <w:rPr>
                <w:rFonts w:ascii="GHEA Grapalat" w:hAnsi="GHEA Grapalat" w:cs="Sylfaen"/>
                <w:lang w:val="hy-AM"/>
              </w:rPr>
              <w:t>,</w:t>
            </w:r>
            <w:r w:rsidRPr="0053423A">
              <w:rPr>
                <w:rFonts w:ascii="GHEA Grapalat" w:hAnsi="GHEA Grapalat"/>
                <w:lang w:val="af-ZA"/>
              </w:rPr>
              <w:t xml:space="preserve"> </w:t>
            </w:r>
          </w:p>
          <w:p w:rsidR="00530B14" w:rsidRPr="0053423A" w:rsidRDefault="00530B14" w:rsidP="001F6D5D">
            <w:pPr>
              <w:pStyle w:val="BodyTextIndent"/>
              <w:numPr>
                <w:ilvl w:val="0"/>
                <w:numId w:val="118"/>
              </w:numPr>
              <w:spacing w:after="0" w:line="276" w:lineRule="auto"/>
              <w:ind w:left="0" w:firstLine="540"/>
              <w:jc w:val="both"/>
              <w:rPr>
                <w:rFonts w:ascii="GHEA Grapalat" w:hAnsi="GHEA Grapalat"/>
                <w:sz w:val="20"/>
                <w:szCs w:val="20"/>
                <w:lang w:val="af-ZA"/>
              </w:rPr>
            </w:pPr>
            <w:r w:rsidRPr="0053423A">
              <w:rPr>
                <w:rFonts w:ascii="GHEA Grapalat" w:hAnsi="GHEA Grapalat" w:cs="Sylfaen"/>
                <w:sz w:val="20"/>
                <w:szCs w:val="20"/>
                <w:lang w:val="hy-AM"/>
              </w:rPr>
              <w:t xml:space="preserve"> հ</w:t>
            </w:r>
            <w:r w:rsidRPr="0053423A">
              <w:rPr>
                <w:rFonts w:ascii="GHEA Grapalat" w:hAnsi="GHEA Grapalat" w:cs="Sylfaen"/>
                <w:sz w:val="20"/>
                <w:szCs w:val="20"/>
                <w:lang w:val="af-ZA"/>
              </w:rPr>
              <w:t>ողօգտագործման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արդյունավետության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բարձրաց</w:t>
            </w:r>
            <w:r w:rsidRPr="0053423A">
              <w:rPr>
                <w:rFonts w:ascii="GHEA Grapalat" w:hAnsi="GHEA Grapalat" w:cs="Sylfaen"/>
                <w:sz w:val="20"/>
                <w:szCs w:val="20"/>
                <w:lang w:val="ru-RU"/>
              </w:rPr>
              <w:t>ում</w:t>
            </w:r>
            <w:r w:rsidRPr="0053423A">
              <w:rPr>
                <w:rFonts w:ascii="GHEA Grapalat" w:hAnsi="GHEA Grapalat" w:cs="Sylfaen"/>
                <w:sz w:val="20"/>
                <w:szCs w:val="20"/>
                <w:lang w:val="hy-AM"/>
              </w:rPr>
              <w:t>,</w:t>
            </w:r>
          </w:p>
          <w:p w:rsidR="00530B14" w:rsidRPr="0053423A" w:rsidRDefault="00530B14" w:rsidP="001F6D5D">
            <w:pPr>
              <w:pStyle w:val="BodyTextIndent2"/>
              <w:numPr>
                <w:ilvl w:val="0"/>
                <w:numId w:val="118"/>
              </w:numPr>
              <w:spacing w:after="0" w:line="276" w:lineRule="auto"/>
              <w:ind w:left="0" w:firstLine="540"/>
              <w:jc w:val="both"/>
              <w:rPr>
                <w:rFonts w:ascii="GHEA Grapalat" w:hAnsi="GHEA Grapalat"/>
                <w:lang w:val="af-ZA"/>
              </w:rPr>
            </w:pPr>
            <w:r w:rsidRPr="0053423A">
              <w:rPr>
                <w:rFonts w:ascii="GHEA Grapalat" w:hAnsi="GHEA Grapalat" w:cs="Sylfaen"/>
                <w:lang w:val="hy-AM"/>
              </w:rPr>
              <w:t xml:space="preserve"> օ</w:t>
            </w:r>
            <w:r w:rsidRPr="0053423A">
              <w:rPr>
                <w:rFonts w:ascii="GHEA Grapalat" w:hAnsi="GHEA Grapalat" w:cs="Sylfaen"/>
                <w:lang w:val="af-ZA"/>
              </w:rPr>
              <w:t>րգանական</w:t>
            </w:r>
            <w:r w:rsidRPr="0053423A">
              <w:rPr>
                <w:rFonts w:ascii="GHEA Grapalat" w:hAnsi="GHEA Grapalat" w:cs="Arial Armenian"/>
                <w:lang w:val="af-ZA"/>
              </w:rPr>
              <w:t xml:space="preserve"> </w:t>
            </w:r>
            <w:r w:rsidRPr="0053423A">
              <w:rPr>
                <w:rFonts w:ascii="GHEA Grapalat" w:hAnsi="GHEA Grapalat" w:cs="Sylfaen"/>
                <w:lang w:val="af-ZA"/>
              </w:rPr>
              <w:t>գյուղատնտեսության</w:t>
            </w:r>
            <w:r w:rsidRPr="0053423A">
              <w:rPr>
                <w:rFonts w:ascii="GHEA Grapalat" w:hAnsi="GHEA Grapalat" w:cs="Arial Armenian"/>
                <w:lang w:val="af-ZA"/>
              </w:rPr>
              <w:t xml:space="preserve"> </w:t>
            </w:r>
            <w:r w:rsidRPr="0053423A">
              <w:rPr>
                <w:rFonts w:ascii="GHEA Grapalat" w:hAnsi="GHEA Grapalat" w:cs="Sylfaen"/>
                <w:lang w:val="af-ZA"/>
              </w:rPr>
              <w:t>զարգաց</w:t>
            </w:r>
            <w:r w:rsidRPr="0053423A">
              <w:rPr>
                <w:rFonts w:ascii="GHEA Grapalat" w:hAnsi="GHEA Grapalat" w:cs="Sylfaen"/>
                <w:lang w:val="ru-RU"/>
              </w:rPr>
              <w:t>ում</w:t>
            </w:r>
            <w:r w:rsidRPr="0053423A">
              <w:rPr>
                <w:rFonts w:ascii="GHEA Grapalat" w:hAnsi="GHEA Grapalat" w:cs="Sylfaen"/>
                <w:lang w:val="hy-AM"/>
              </w:rPr>
              <w:t>,</w:t>
            </w:r>
            <w:r w:rsidRPr="0053423A">
              <w:rPr>
                <w:rFonts w:ascii="GHEA Grapalat" w:hAnsi="GHEA Grapalat" w:cs="Arial Armenian"/>
                <w:lang w:val="af-ZA"/>
              </w:rPr>
              <w:t xml:space="preserve"> </w:t>
            </w:r>
            <w:r w:rsidRPr="0053423A">
              <w:rPr>
                <w:rFonts w:ascii="GHEA Grapalat" w:hAnsi="GHEA Grapalat"/>
                <w:lang w:val="af-ZA"/>
              </w:rPr>
              <w:t xml:space="preserve"> </w:t>
            </w:r>
          </w:p>
          <w:p w:rsidR="00530B14" w:rsidRPr="0053423A" w:rsidRDefault="00530B14" w:rsidP="001F6D5D">
            <w:pPr>
              <w:pStyle w:val="BodyTextIndent2"/>
              <w:numPr>
                <w:ilvl w:val="0"/>
                <w:numId w:val="118"/>
              </w:numPr>
              <w:spacing w:after="0" w:line="276" w:lineRule="auto"/>
              <w:ind w:left="0" w:firstLine="540"/>
              <w:jc w:val="both"/>
              <w:rPr>
                <w:rFonts w:ascii="GHEA Grapalat" w:hAnsi="GHEA Grapalat"/>
                <w:lang w:val="af-ZA"/>
              </w:rPr>
            </w:pPr>
            <w:r w:rsidRPr="0053423A">
              <w:rPr>
                <w:rFonts w:ascii="GHEA Grapalat" w:hAnsi="GHEA Grapalat" w:cs="Sylfaen"/>
                <w:lang w:val="hy-AM"/>
              </w:rPr>
              <w:t xml:space="preserve"> բ</w:t>
            </w:r>
            <w:r w:rsidRPr="0053423A">
              <w:rPr>
                <w:rFonts w:ascii="GHEA Grapalat" w:hAnsi="GHEA Grapalat" w:cs="Sylfaen"/>
                <w:lang w:val="af-ZA"/>
              </w:rPr>
              <w:t>ուսաբուծության</w:t>
            </w:r>
            <w:r w:rsidRPr="0053423A">
              <w:rPr>
                <w:rFonts w:ascii="GHEA Grapalat" w:hAnsi="GHEA Grapalat" w:cs="Arial Armenian"/>
                <w:lang w:val="af-ZA"/>
              </w:rPr>
              <w:t xml:space="preserve"> </w:t>
            </w:r>
            <w:r w:rsidRPr="0053423A">
              <w:rPr>
                <w:rFonts w:ascii="GHEA Grapalat" w:hAnsi="GHEA Grapalat" w:cs="Arial Armenian"/>
                <w:lang w:val="hy-AM"/>
              </w:rPr>
              <w:t xml:space="preserve">և անասնաբուծության ճյուղերի </w:t>
            </w:r>
            <w:r w:rsidRPr="0053423A">
              <w:rPr>
                <w:rFonts w:ascii="GHEA Grapalat" w:hAnsi="GHEA Grapalat" w:cs="Sylfaen"/>
                <w:lang w:val="af-ZA"/>
              </w:rPr>
              <w:t>զարգաց</w:t>
            </w:r>
            <w:r w:rsidRPr="0053423A">
              <w:rPr>
                <w:rFonts w:ascii="GHEA Grapalat" w:hAnsi="GHEA Grapalat" w:cs="Sylfaen"/>
                <w:lang w:val="ru-RU"/>
              </w:rPr>
              <w:t>ում</w:t>
            </w:r>
            <w:r w:rsidRPr="0053423A">
              <w:rPr>
                <w:rFonts w:ascii="GHEA Grapalat" w:hAnsi="GHEA Grapalat" w:cs="Sylfaen"/>
                <w:lang w:val="hy-AM"/>
              </w:rPr>
              <w:t>,</w:t>
            </w:r>
          </w:p>
          <w:p w:rsidR="00530B14" w:rsidRPr="0053423A" w:rsidRDefault="00530B14" w:rsidP="001F6D5D">
            <w:pPr>
              <w:pStyle w:val="BodyText2"/>
              <w:numPr>
                <w:ilvl w:val="0"/>
                <w:numId w:val="118"/>
              </w:numPr>
              <w:spacing w:after="0" w:line="276" w:lineRule="auto"/>
              <w:ind w:left="0" w:firstLine="547"/>
              <w:rPr>
                <w:rFonts w:ascii="GHEA Grapalat" w:hAnsi="GHEA Grapalat"/>
                <w:sz w:val="20"/>
                <w:szCs w:val="20"/>
                <w:lang w:val="af-ZA"/>
              </w:rPr>
            </w:pPr>
            <w:r w:rsidRPr="0053423A">
              <w:rPr>
                <w:rFonts w:ascii="GHEA Grapalat" w:hAnsi="GHEA Grapalat"/>
                <w:sz w:val="20"/>
                <w:szCs w:val="20"/>
                <w:lang w:val="af-ZA"/>
              </w:rPr>
              <w:t xml:space="preserve"> </w:t>
            </w:r>
            <w:r w:rsidRPr="0053423A">
              <w:rPr>
                <w:rFonts w:ascii="GHEA Grapalat" w:hAnsi="GHEA Grapalat"/>
                <w:sz w:val="20"/>
                <w:szCs w:val="20"/>
                <w:lang w:val="hy-AM"/>
              </w:rPr>
              <w:t>գ</w:t>
            </w:r>
            <w:r w:rsidRPr="0053423A">
              <w:rPr>
                <w:rFonts w:ascii="GHEA Grapalat" w:hAnsi="GHEA Grapalat" w:cs="Sylfaen"/>
                <w:sz w:val="20"/>
                <w:szCs w:val="20"/>
                <w:lang w:val="af-ZA"/>
              </w:rPr>
              <w:t>յուղատնտեսական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ռիսկերի</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մեղմ</w:t>
            </w:r>
            <w:r w:rsidRPr="0053423A">
              <w:rPr>
                <w:rFonts w:ascii="GHEA Grapalat" w:hAnsi="GHEA Grapalat" w:cs="Sylfaen"/>
                <w:sz w:val="20"/>
                <w:szCs w:val="20"/>
                <w:lang w:val="ru-RU"/>
              </w:rPr>
              <w:t>մում</w:t>
            </w:r>
            <w:r w:rsidRPr="0053423A">
              <w:rPr>
                <w:rFonts w:ascii="GHEA Grapalat" w:hAnsi="GHEA Grapalat" w:cs="Sylfaen"/>
                <w:sz w:val="20"/>
                <w:szCs w:val="20"/>
                <w:lang w:val="hy-AM"/>
              </w:rPr>
              <w:t>,</w:t>
            </w:r>
          </w:p>
          <w:p w:rsidR="00530B14" w:rsidRPr="0053423A" w:rsidRDefault="00530B14" w:rsidP="001F6D5D">
            <w:pPr>
              <w:pStyle w:val="BodyText2"/>
              <w:numPr>
                <w:ilvl w:val="0"/>
                <w:numId w:val="118"/>
              </w:numPr>
              <w:spacing w:after="0" w:line="276" w:lineRule="auto"/>
              <w:ind w:left="0" w:firstLine="547"/>
              <w:rPr>
                <w:rFonts w:ascii="GHEA Grapalat" w:hAnsi="GHEA Grapalat"/>
                <w:sz w:val="20"/>
                <w:szCs w:val="20"/>
                <w:lang w:val="af-ZA"/>
              </w:rPr>
            </w:pPr>
            <w:r w:rsidRPr="0053423A">
              <w:rPr>
                <w:rFonts w:ascii="GHEA Grapalat" w:hAnsi="GHEA Grapalat" w:cs="Sylfaen"/>
                <w:sz w:val="20"/>
                <w:szCs w:val="20"/>
                <w:lang w:val="hy-AM"/>
              </w:rPr>
              <w:t xml:space="preserve"> ա</w:t>
            </w:r>
            <w:r w:rsidRPr="0053423A">
              <w:rPr>
                <w:rFonts w:ascii="GHEA Grapalat" w:hAnsi="GHEA Grapalat" w:cs="Sylfaen"/>
                <w:sz w:val="20"/>
                <w:szCs w:val="20"/>
                <w:lang w:val="af-ZA"/>
              </w:rPr>
              <w:t>գրարային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ոլորտի</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վարկավորման</w:t>
            </w:r>
            <w:r w:rsidRPr="0053423A">
              <w:rPr>
                <w:rFonts w:ascii="GHEA Grapalat" w:hAnsi="GHEA Grapalat" w:cs="Arial Armenian"/>
                <w:sz w:val="20"/>
                <w:szCs w:val="20"/>
                <w:lang w:val="af-ZA"/>
              </w:rPr>
              <w:t xml:space="preserve"> </w:t>
            </w:r>
            <w:r w:rsidRPr="0053423A">
              <w:rPr>
                <w:rFonts w:ascii="GHEA Grapalat" w:hAnsi="GHEA Grapalat" w:cs="Arial Armenian"/>
                <w:sz w:val="20"/>
                <w:szCs w:val="20"/>
                <w:lang w:val="hy-AM"/>
              </w:rPr>
              <w:t xml:space="preserve">մատչելիության </w:t>
            </w:r>
            <w:r w:rsidRPr="0053423A">
              <w:rPr>
                <w:rFonts w:ascii="GHEA Grapalat" w:hAnsi="GHEA Grapalat" w:cs="Sylfaen"/>
                <w:sz w:val="20"/>
                <w:szCs w:val="20"/>
                <w:lang w:val="hy-AM"/>
              </w:rPr>
              <w:t>բարձրաց</w:t>
            </w:r>
            <w:r w:rsidRPr="0053423A">
              <w:rPr>
                <w:rFonts w:ascii="GHEA Grapalat" w:hAnsi="GHEA Grapalat" w:cs="Sylfaen"/>
                <w:sz w:val="20"/>
                <w:szCs w:val="20"/>
                <w:lang w:val="ru-RU"/>
              </w:rPr>
              <w:t>ում</w:t>
            </w:r>
            <w:r w:rsidRPr="0053423A">
              <w:rPr>
                <w:rFonts w:ascii="GHEA Grapalat" w:hAnsi="GHEA Grapalat" w:cs="Sylfaen"/>
                <w:sz w:val="20"/>
                <w:szCs w:val="20"/>
                <w:lang w:val="hy-AM"/>
              </w:rPr>
              <w:t>,</w:t>
            </w:r>
          </w:p>
          <w:p w:rsidR="00530B14" w:rsidRPr="0053423A" w:rsidRDefault="00530B14" w:rsidP="001F6D5D">
            <w:pPr>
              <w:pStyle w:val="BodyText2"/>
              <w:numPr>
                <w:ilvl w:val="0"/>
                <w:numId w:val="118"/>
              </w:numPr>
              <w:spacing w:after="0" w:line="276" w:lineRule="auto"/>
              <w:ind w:left="0" w:firstLine="540"/>
              <w:rPr>
                <w:rFonts w:ascii="GHEA Grapalat" w:hAnsi="GHEA Grapalat"/>
                <w:sz w:val="20"/>
                <w:szCs w:val="20"/>
                <w:lang w:val="af-ZA"/>
              </w:rPr>
            </w:pPr>
            <w:r w:rsidRPr="0053423A">
              <w:rPr>
                <w:rFonts w:ascii="GHEA Grapalat" w:hAnsi="GHEA Grapalat"/>
                <w:sz w:val="20"/>
                <w:szCs w:val="20"/>
                <w:lang w:val="hy-AM"/>
              </w:rPr>
              <w:t xml:space="preserve"> </w:t>
            </w:r>
            <w:r w:rsidRPr="0053423A">
              <w:rPr>
                <w:rFonts w:ascii="GHEA Grapalat" w:hAnsi="GHEA Grapalat" w:cs="Sylfaen"/>
                <w:sz w:val="20"/>
                <w:szCs w:val="20"/>
                <w:lang w:val="af-ZA"/>
              </w:rPr>
              <w:t>ոլորտի</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գիտակրթական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խորհրդատվական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համակարգի</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բա</w:t>
            </w:r>
            <w:r w:rsidRPr="0053423A">
              <w:rPr>
                <w:rFonts w:ascii="GHEA Grapalat" w:hAnsi="GHEA Grapalat" w:cs="Arial Armenian"/>
                <w:sz w:val="20"/>
                <w:szCs w:val="20"/>
                <w:lang w:val="af-ZA"/>
              </w:rPr>
              <w:softHyphen/>
            </w:r>
            <w:r w:rsidRPr="0053423A">
              <w:rPr>
                <w:rFonts w:ascii="GHEA Grapalat" w:hAnsi="GHEA Grapalat" w:cs="Sylfaen"/>
                <w:sz w:val="20"/>
                <w:szCs w:val="20"/>
                <w:lang w:val="af-ZA"/>
              </w:rPr>
              <w:t>րելավ</w:t>
            </w:r>
            <w:r w:rsidRPr="0053423A">
              <w:rPr>
                <w:rFonts w:ascii="GHEA Grapalat" w:hAnsi="GHEA Grapalat" w:cs="Sylfaen"/>
                <w:sz w:val="20"/>
                <w:szCs w:val="20"/>
                <w:lang w:val="hy-AM"/>
              </w:rPr>
              <w:t>ում,</w:t>
            </w:r>
          </w:p>
          <w:p w:rsidR="00530B14" w:rsidRPr="0053423A" w:rsidRDefault="00530B14" w:rsidP="001F6D5D">
            <w:pPr>
              <w:pStyle w:val="BodyText2"/>
              <w:numPr>
                <w:ilvl w:val="0"/>
                <w:numId w:val="118"/>
              </w:numPr>
              <w:spacing w:after="0" w:line="276" w:lineRule="auto"/>
              <w:ind w:left="0" w:firstLine="540"/>
              <w:rPr>
                <w:rFonts w:ascii="GHEA Grapalat" w:hAnsi="GHEA Grapalat"/>
                <w:sz w:val="20"/>
                <w:szCs w:val="20"/>
                <w:lang w:val="af-ZA"/>
              </w:rPr>
            </w:pPr>
            <w:r w:rsidRPr="0053423A">
              <w:rPr>
                <w:rFonts w:ascii="GHEA Grapalat" w:hAnsi="GHEA Grapalat" w:cs="Sylfaen"/>
                <w:sz w:val="20"/>
                <w:szCs w:val="20"/>
                <w:lang w:val="hy-AM"/>
              </w:rPr>
              <w:t xml:space="preserve"> գ</w:t>
            </w:r>
            <w:r w:rsidRPr="0053423A">
              <w:rPr>
                <w:rFonts w:ascii="GHEA Grapalat" w:hAnsi="GHEA Grapalat" w:cs="Sylfaen"/>
                <w:sz w:val="20"/>
                <w:szCs w:val="20"/>
                <w:lang w:val="af-ZA"/>
              </w:rPr>
              <w:t>յուղատնտեսությ</w:t>
            </w:r>
            <w:r w:rsidRPr="0053423A">
              <w:rPr>
                <w:rFonts w:ascii="GHEA Grapalat" w:hAnsi="GHEA Grapalat" w:cs="Sylfaen"/>
                <w:sz w:val="20"/>
                <w:szCs w:val="20"/>
                <w:lang w:val="hy-AM"/>
              </w:rPr>
              <w:t>ունում</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հաշվառման</w:t>
            </w:r>
            <w:r w:rsidRPr="0053423A">
              <w:rPr>
                <w:rFonts w:ascii="GHEA Grapalat" w:hAnsi="GHEA Grapalat" w:cs="Arial Armenian"/>
                <w:sz w:val="20"/>
                <w:szCs w:val="20"/>
                <w:lang w:val="af-ZA"/>
              </w:rPr>
              <w:t xml:space="preserve"> </w:t>
            </w:r>
            <w:r w:rsidRPr="0053423A">
              <w:rPr>
                <w:rFonts w:ascii="GHEA Grapalat" w:hAnsi="GHEA Grapalat" w:cs="Sylfaen"/>
                <w:sz w:val="20"/>
                <w:szCs w:val="20"/>
                <w:lang w:val="af-ZA"/>
              </w:rPr>
              <w:t>համակարգի</w:t>
            </w:r>
            <w:r w:rsidRPr="0053423A">
              <w:rPr>
                <w:rFonts w:ascii="GHEA Grapalat" w:hAnsi="GHEA Grapalat" w:cs="Arial Armenian"/>
                <w:sz w:val="20"/>
                <w:szCs w:val="20"/>
                <w:lang w:val="af-ZA"/>
              </w:rPr>
              <w:t xml:space="preserve"> </w:t>
            </w:r>
            <w:r w:rsidRPr="0053423A">
              <w:rPr>
                <w:rFonts w:ascii="GHEA Grapalat" w:hAnsi="GHEA Grapalat" w:cs="Arial Armenian"/>
                <w:sz w:val="20"/>
                <w:szCs w:val="20"/>
                <w:lang w:val="hy-AM"/>
              </w:rPr>
              <w:t>արդիականաց</w:t>
            </w:r>
            <w:r w:rsidRPr="0053423A">
              <w:rPr>
                <w:rFonts w:ascii="GHEA Grapalat" w:hAnsi="GHEA Grapalat" w:cs="Arial Armenian"/>
                <w:sz w:val="20"/>
                <w:szCs w:val="20"/>
                <w:lang w:val="ru-RU"/>
              </w:rPr>
              <w:t>ում</w:t>
            </w:r>
            <w:r w:rsidRPr="0053423A">
              <w:rPr>
                <w:rFonts w:ascii="GHEA Grapalat" w:hAnsi="GHEA Grapalat" w:cs="Arial Armenian"/>
                <w:sz w:val="20"/>
                <w:szCs w:val="20"/>
                <w:lang w:val="af-ZA"/>
              </w:rPr>
              <w:t>։</w:t>
            </w:r>
          </w:p>
          <w:p w:rsidR="00530B14" w:rsidRPr="0053423A" w:rsidRDefault="00530B14" w:rsidP="00A67858">
            <w:pPr>
              <w:tabs>
                <w:tab w:val="left" w:pos="900"/>
              </w:tabs>
              <w:spacing w:line="276" w:lineRule="auto"/>
              <w:ind w:firstLine="720"/>
              <w:rPr>
                <w:rFonts w:cs="Sylfaen"/>
                <w:b/>
                <w:bCs/>
                <w:lang w:val="hy-AM"/>
              </w:rPr>
            </w:pPr>
            <w:r w:rsidRPr="0053423A">
              <w:rPr>
                <w:rFonts w:cs="Sylfaen"/>
                <w:b/>
                <w:bCs/>
                <w:lang w:val="hy-AM"/>
              </w:rPr>
              <w:t>1.2 Առկա խնդիրների առաջարկվող լուծումները</w:t>
            </w:r>
          </w:p>
          <w:p w:rsidR="00530B14" w:rsidRPr="0053423A" w:rsidRDefault="00530B14" w:rsidP="00A67858">
            <w:pPr>
              <w:spacing w:line="276" w:lineRule="auto"/>
              <w:ind w:right="-31"/>
              <w:jc w:val="both"/>
              <w:rPr>
                <w:lang w:val="hy-AM"/>
              </w:rPr>
            </w:pPr>
            <w:r w:rsidRPr="0053423A">
              <w:rPr>
                <w:rFonts w:cs="Sylfaen"/>
                <w:bCs/>
                <w:lang w:val="hy-AM"/>
              </w:rPr>
              <w:tab/>
              <w:t>Գյուղատնտեսության ոլորտի խնդիրների լուծմանը կնպաստի ոլորտում քաղա</w:t>
            </w:r>
            <w:r w:rsidRPr="0053423A">
              <w:rPr>
                <w:rFonts w:cs="Sylfaen"/>
                <w:bCs/>
                <w:lang w:val="hy-AM"/>
              </w:rPr>
              <w:softHyphen/>
              <w:t>քա</w:t>
            </w:r>
            <w:r w:rsidRPr="0053423A">
              <w:rPr>
                <w:rFonts w:cs="Sylfaen"/>
                <w:bCs/>
                <w:lang w:val="hy-AM"/>
              </w:rPr>
              <w:softHyphen/>
              <w:t xml:space="preserve">կանության մշակման հիմնական ուղենիշային փաստաթղթի՝ </w:t>
            </w:r>
            <w:r w:rsidRPr="0053423A">
              <w:rPr>
                <w:lang w:val="hy-AM"/>
              </w:rPr>
              <w:t>Հայաստանի Հանրա</w:t>
            </w:r>
            <w:r w:rsidRPr="0053423A">
              <w:rPr>
                <w:lang w:val="hy-AM"/>
              </w:rPr>
              <w:softHyphen/>
              <w:t>պետության գյուղատնտեսության ոլորտի տնտեսական զարգացումն ապահովող հիմ</w:t>
            </w:r>
            <w:r w:rsidRPr="0053423A">
              <w:rPr>
                <w:lang w:val="hy-AM"/>
              </w:rPr>
              <w:softHyphen/>
              <w:t>նական ուղղությունների 2020-2030 թվականների ռազմավարության մշակումը՝ ռազմա</w:t>
            </w:r>
            <w:r w:rsidRPr="0053423A">
              <w:rPr>
                <w:lang w:val="hy-AM"/>
              </w:rPr>
              <w:softHyphen/>
              <w:t>վարության հիմնական դրույթների գերակայությունների, առաջնահերթ նպատակների և խնդիրների սահմանում, իրականացվող քայլերի ժամկետների, կատարողների հստակեցում, արդյուն</w:t>
            </w:r>
            <w:r w:rsidRPr="0053423A">
              <w:rPr>
                <w:lang w:val="hy-AM"/>
              </w:rPr>
              <w:softHyphen/>
              <w:t>քային ցուցանիշների, անհրաժեշտ ֆինանսական միջոցների գնահատում, աղբյուրների նախանշում: Նախարարության կողմից մշակվել է ՀՀ գյուղա</w:t>
            </w:r>
            <w:r w:rsidRPr="0053423A">
              <w:rPr>
                <w:lang w:val="hy-AM"/>
              </w:rPr>
              <w:softHyphen/>
              <w:t>տնտեսության տնտեսական զարգացումն ապահովող 2019-2030 թթ. հիմնական ուղղությունների վերաբերյալ նախագիծը, որտեղ դրված են զարգացման 4 հիմնական ուղղություններ՝ նախարարության կարողությունների բարելավում, հողի շուկայի զար</w:t>
            </w:r>
            <w:r w:rsidRPr="0053423A">
              <w:rPr>
                <w:lang w:val="hy-AM"/>
              </w:rPr>
              <w:softHyphen/>
              <w:t>գացում, գյուղա</w:t>
            </w:r>
            <w:r w:rsidRPr="0053423A">
              <w:rPr>
                <w:lang w:val="hy-AM"/>
              </w:rPr>
              <w:softHyphen/>
              <w:t>կան ենթակառուցվածքների զարգացում, գյուղատնտեսության կայու</w:t>
            </w:r>
            <w:r w:rsidRPr="0053423A">
              <w:rPr>
                <w:lang w:val="hy-AM"/>
              </w:rPr>
              <w:softHyphen/>
              <w:t xml:space="preserve">նություն և ռիսկերի կառավարում։ </w:t>
            </w:r>
          </w:p>
          <w:p w:rsidR="00530B14" w:rsidRPr="0053423A" w:rsidRDefault="00530B14" w:rsidP="001F6D5D">
            <w:pPr>
              <w:pStyle w:val="BodyText"/>
              <w:numPr>
                <w:ilvl w:val="0"/>
                <w:numId w:val="122"/>
              </w:numPr>
              <w:tabs>
                <w:tab w:val="left" w:pos="-1134"/>
                <w:tab w:val="left" w:pos="540"/>
                <w:tab w:val="left" w:pos="1134"/>
              </w:tabs>
              <w:spacing w:after="0" w:line="276" w:lineRule="auto"/>
              <w:ind w:firstLine="0"/>
              <w:jc w:val="both"/>
              <w:rPr>
                <w:rFonts w:ascii="GHEA Grapalat" w:hAnsi="GHEA Grapalat"/>
                <w:b/>
                <w:sz w:val="20"/>
                <w:szCs w:val="20"/>
              </w:rPr>
            </w:pPr>
            <w:r w:rsidRPr="0053423A">
              <w:rPr>
                <w:rFonts w:ascii="GHEA Grapalat" w:hAnsi="GHEA Grapalat"/>
                <w:b/>
                <w:sz w:val="20"/>
                <w:szCs w:val="20"/>
                <w:lang w:val="hy-AM"/>
              </w:rPr>
              <w:t>Միջոցառման իրականացումից ակնկալվող արդյունքը</w:t>
            </w:r>
          </w:p>
          <w:p w:rsidR="00530B14" w:rsidRPr="0053423A" w:rsidRDefault="00530B14" w:rsidP="00A67858">
            <w:pPr>
              <w:pStyle w:val="BodyText"/>
              <w:tabs>
                <w:tab w:val="left" w:pos="-1134"/>
                <w:tab w:val="left" w:pos="540"/>
                <w:tab w:val="left" w:pos="1134"/>
              </w:tabs>
              <w:spacing w:after="0" w:line="276" w:lineRule="auto"/>
              <w:jc w:val="both"/>
              <w:rPr>
                <w:rFonts w:ascii="GHEA Grapalat" w:hAnsi="GHEA Grapalat"/>
                <w:sz w:val="20"/>
                <w:szCs w:val="20"/>
                <w:lang w:val="hy-AM"/>
              </w:rPr>
            </w:pPr>
            <w:r w:rsidRPr="0053423A">
              <w:rPr>
                <w:rFonts w:ascii="GHEA Grapalat" w:hAnsi="GHEA Grapalat"/>
                <w:sz w:val="20"/>
                <w:szCs w:val="20"/>
              </w:rPr>
              <w:tab/>
              <w:t>Փաստաթղթի մշակման և ընդունման արդյունքում</w:t>
            </w:r>
            <w:r w:rsidRPr="0053423A">
              <w:rPr>
                <w:rFonts w:ascii="GHEA Grapalat" w:hAnsi="GHEA Grapalat"/>
                <w:sz w:val="20"/>
                <w:szCs w:val="20"/>
                <w:lang w:val="hy-AM"/>
              </w:rPr>
              <w:t>՝</w:t>
            </w:r>
            <w:r w:rsidRPr="0053423A">
              <w:rPr>
                <w:rFonts w:ascii="GHEA Grapalat" w:hAnsi="GHEA Grapalat"/>
                <w:sz w:val="20"/>
                <w:szCs w:val="20"/>
              </w:rPr>
              <w:t xml:space="preserve"> </w:t>
            </w:r>
          </w:p>
          <w:p w:rsidR="00530B14" w:rsidRPr="0053423A" w:rsidRDefault="00530B14" w:rsidP="00A67858">
            <w:pPr>
              <w:pStyle w:val="BodyText"/>
              <w:tabs>
                <w:tab w:val="left" w:pos="-1134"/>
                <w:tab w:val="left" w:pos="540"/>
                <w:tab w:val="left" w:pos="1134"/>
              </w:tabs>
              <w:spacing w:after="0" w:line="276" w:lineRule="auto"/>
              <w:ind w:firstLine="540"/>
              <w:jc w:val="both"/>
              <w:rPr>
                <w:rFonts w:ascii="GHEA Grapalat" w:hAnsi="GHEA Grapalat"/>
                <w:sz w:val="20"/>
                <w:szCs w:val="20"/>
                <w:lang w:val="hy-AM"/>
              </w:rPr>
            </w:pPr>
            <w:r w:rsidRPr="0053423A">
              <w:rPr>
                <w:rFonts w:ascii="GHEA Grapalat" w:hAnsi="GHEA Grapalat"/>
                <w:sz w:val="20"/>
                <w:szCs w:val="20"/>
                <w:lang w:val="hy-AM"/>
              </w:rPr>
              <w:t>-</w:t>
            </w:r>
            <w:r w:rsidRPr="0053423A">
              <w:rPr>
                <w:rFonts w:ascii="GHEA Grapalat" w:hAnsi="GHEA Grapalat"/>
                <w:sz w:val="20"/>
                <w:szCs w:val="20"/>
                <w:lang w:val="hy-AM"/>
              </w:rPr>
              <w:tab/>
              <w:t>կբարելավվի նախարարության կարողությունները՝ քաղաքականությունը ստեղծելու, իրականացնելու և վերահսկելու վերաբերյալ,</w:t>
            </w:r>
          </w:p>
          <w:p w:rsidR="00530B14" w:rsidRPr="0053423A" w:rsidRDefault="00530B14" w:rsidP="00A67858">
            <w:pPr>
              <w:pStyle w:val="BodyText"/>
              <w:tabs>
                <w:tab w:val="left" w:pos="-1134"/>
                <w:tab w:val="left" w:pos="540"/>
                <w:tab w:val="left" w:pos="1134"/>
              </w:tabs>
              <w:spacing w:after="0" w:line="276" w:lineRule="auto"/>
              <w:ind w:firstLine="540"/>
              <w:jc w:val="both"/>
              <w:rPr>
                <w:rFonts w:ascii="GHEA Grapalat" w:hAnsi="GHEA Grapalat"/>
                <w:sz w:val="20"/>
                <w:szCs w:val="20"/>
                <w:lang w:val="hy-AM"/>
              </w:rPr>
            </w:pPr>
            <w:r w:rsidRPr="0053423A">
              <w:rPr>
                <w:rFonts w:ascii="GHEA Grapalat" w:hAnsi="GHEA Grapalat"/>
                <w:sz w:val="20"/>
                <w:szCs w:val="20"/>
                <w:lang w:val="hy-AM"/>
              </w:rPr>
              <w:t>-</w:t>
            </w:r>
            <w:r w:rsidRPr="0053423A">
              <w:rPr>
                <w:rFonts w:ascii="GHEA Grapalat" w:hAnsi="GHEA Grapalat"/>
                <w:sz w:val="20"/>
                <w:szCs w:val="20"/>
                <w:lang w:val="hy-AM"/>
              </w:rPr>
              <w:tab/>
              <w:t>կզարգանա հողային շուկան,</w:t>
            </w:r>
          </w:p>
          <w:p w:rsidR="00530B14" w:rsidRPr="0053423A" w:rsidRDefault="00530B14" w:rsidP="00A67858">
            <w:pPr>
              <w:pStyle w:val="BodyText"/>
              <w:tabs>
                <w:tab w:val="left" w:pos="-1134"/>
                <w:tab w:val="left" w:pos="540"/>
                <w:tab w:val="left" w:pos="1134"/>
              </w:tabs>
              <w:spacing w:after="0" w:line="276" w:lineRule="auto"/>
              <w:ind w:firstLine="540"/>
              <w:jc w:val="both"/>
              <w:rPr>
                <w:rFonts w:ascii="GHEA Grapalat" w:hAnsi="GHEA Grapalat"/>
                <w:sz w:val="20"/>
                <w:szCs w:val="20"/>
                <w:lang w:val="hy-AM"/>
              </w:rPr>
            </w:pPr>
            <w:r w:rsidRPr="0053423A">
              <w:rPr>
                <w:rFonts w:ascii="GHEA Grapalat" w:hAnsi="GHEA Grapalat"/>
                <w:sz w:val="20"/>
                <w:szCs w:val="20"/>
                <w:lang w:val="hy-AM"/>
              </w:rPr>
              <w:t>-</w:t>
            </w:r>
            <w:r w:rsidRPr="0053423A">
              <w:rPr>
                <w:rFonts w:ascii="GHEA Grapalat" w:hAnsi="GHEA Grapalat"/>
                <w:sz w:val="20"/>
                <w:szCs w:val="20"/>
                <w:lang w:val="hy-AM"/>
              </w:rPr>
              <w:tab/>
              <w:t>կզարգանան գյուղատնտեսական ենթակառուցվածքները,</w:t>
            </w:r>
          </w:p>
          <w:p w:rsidR="00530B14" w:rsidRPr="0053423A" w:rsidRDefault="00530B14" w:rsidP="00A67858">
            <w:pPr>
              <w:pStyle w:val="BodyText"/>
              <w:tabs>
                <w:tab w:val="left" w:pos="-1134"/>
                <w:tab w:val="left" w:pos="540"/>
                <w:tab w:val="left" w:pos="1134"/>
              </w:tabs>
              <w:spacing w:after="0" w:line="276" w:lineRule="auto"/>
              <w:ind w:firstLine="540"/>
              <w:jc w:val="both"/>
              <w:rPr>
                <w:rFonts w:ascii="GHEA Grapalat" w:hAnsi="GHEA Grapalat"/>
                <w:sz w:val="20"/>
                <w:szCs w:val="20"/>
                <w:lang w:val="hy-AM"/>
              </w:rPr>
            </w:pPr>
            <w:r w:rsidRPr="0053423A">
              <w:rPr>
                <w:rFonts w:ascii="GHEA Grapalat" w:hAnsi="GHEA Grapalat"/>
                <w:sz w:val="20"/>
                <w:szCs w:val="20"/>
                <w:lang w:val="hy-AM"/>
              </w:rPr>
              <w:t>-</w:t>
            </w:r>
            <w:r w:rsidRPr="0053423A">
              <w:rPr>
                <w:rFonts w:ascii="GHEA Grapalat" w:hAnsi="GHEA Grapalat"/>
                <w:sz w:val="20"/>
                <w:szCs w:val="20"/>
                <w:lang w:val="hy-AM"/>
              </w:rPr>
              <w:tab/>
              <w:t xml:space="preserve">կապահովվի գյուղատնտեսական կայունությունը և կնվազեն ռիսկերը։ </w:t>
            </w:r>
          </w:p>
          <w:p w:rsidR="00530B14" w:rsidRPr="0053423A" w:rsidRDefault="00530B14" w:rsidP="00A67858">
            <w:pPr>
              <w:pStyle w:val="BodyText"/>
              <w:tabs>
                <w:tab w:val="left" w:pos="-1134"/>
                <w:tab w:val="left" w:pos="540"/>
                <w:tab w:val="left" w:pos="1134"/>
              </w:tabs>
              <w:spacing w:after="0" w:line="276" w:lineRule="auto"/>
              <w:ind w:firstLine="540"/>
              <w:jc w:val="both"/>
              <w:rPr>
                <w:rFonts w:ascii="GHEA Grapalat" w:hAnsi="GHEA Grapalat"/>
                <w:b/>
                <w:bCs/>
                <w:iCs/>
                <w:sz w:val="20"/>
                <w:szCs w:val="20"/>
                <w:lang w:val="hy-AM"/>
              </w:rPr>
            </w:pPr>
            <w:r w:rsidRPr="0053423A">
              <w:rPr>
                <w:rFonts w:ascii="GHEA Grapalat" w:hAnsi="GHEA Grapalat"/>
                <w:sz w:val="20"/>
                <w:szCs w:val="20"/>
                <w:lang w:val="hy-AM"/>
              </w:rPr>
              <w:t>Մինչև 2030 թվականը ռազմավարության նախատեսված միջոցառումների իրականացումը կապահովի գյուղատնտեսական համախառն արտադրանքի կրկնակի աճ, տարեկան միջինը՝ 6.1 %-ի չափով, ինչպես նաև գյուղատնտեսության արտադ</w:t>
            </w:r>
            <w:r w:rsidRPr="0053423A">
              <w:rPr>
                <w:rFonts w:ascii="GHEA Grapalat" w:hAnsi="GHEA Grapalat"/>
                <w:sz w:val="20"/>
                <w:szCs w:val="20"/>
                <w:lang w:val="hy-AM"/>
              </w:rPr>
              <w:softHyphen/>
              <w:t>րողականության և բնակչության եկամուտների աճ:</w:t>
            </w:r>
          </w:p>
        </w:tc>
      </w:tr>
    </w:tbl>
    <w:p w:rsidR="004440EB" w:rsidRPr="0053423A" w:rsidRDefault="004440EB" w:rsidP="00A67858">
      <w:pPr>
        <w:spacing w:after="0" w:line="276" w:lineRule="auto"/>
        <w:ind w:firstLine="375"/>
        <w:jc w:val="center"/>
        <w:rPr>
          <w:rFonts w:eastAsia="Times New Roman"/>
          <w:b/>
          <w:bCs/>
          <w:sz w:val="20"/>
          <w:szCs w:val="20"/>
          <w:lang w:val="hy-AM"/>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0"/>
      </w:tblGrid>
      <w:tr w:rsidR="00A41113" w:rsidRPr="00DE2EFA" w:rsidTr="006D2AD6">
        <w:tc>
          <w:tcPr>
            <w:tcW w:w="11340" w:type="dxa"/>
            <w:shd w:val="clear" w:color="auto" w:fill="FFFF00"/>
          </w:tcPr>
          <w:p w:rsidR="00A41113" w:rsidRPr="0053423A" w:rsidRDefault="00A41113"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Էներգետիկ ենթակառուցվածքների և բնական պաշարների նախարարություն</w:t>
            </w:r>
          </w:p>
        </w:tc>
      </w:tr>
    </w:tbl>
    <w:p w:rsidR="00FD1D5C" w:rsidRPr="001F6D5D" w:rsidRDefault="00FD1D5C">
      <w:pPr>
        <w:rPr>
          <w:sz w:val="20"/>
          <w:szCs w:val="20"/>
          <w:lang w:val="hy-AM"/>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0879"/>
      </w:tblGrid>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1</w:t>
            </w:r>
          </w:p>
        </w:tc>
        <w:tc>
          <w:tcPr>
            <w:tcW w:w="10879" w:type="dxa"/>
            <w:shd w:val="clear" w:color="auto" w:fill="auto"/>
          </w:tcPr>
          <w:p w:rsidR="0084615D" w:rsidRPr="0053423A" w:rsidRDefault="0084615D" w:rsidP="00A67858">
            <w:pPr>
              <w:spacing w:after="0" w:line="276" w:lineRule="auto"/>
              <w:jc w:val="center"/>
              <w:rPr>
                <w:rFonts w:cs="Sylfaen"/>
                <w:b/>
                <w:sz w:val="20"/>
                <w:szCs w:val="20"/>
                <w:lang w:val="af-ZA"/>
              </w:rPr>
            </w:pPr>
            <w:r w:rsidRPr="0053423A">
              <w:rPr>
                <w:rFonts w:cs="Sylfaen"/>
                <w:b/>
                <w:sz w:val="20"/>
                <w:szCs w:val="20"/>
                <w:lang w:val="af-ZA"/>
              </w:rPr>
              <w:t>Էլեկտրաէներգետիկական շուկայի ազատականացում</w:t>
            </w:r>
          </w:p>
          <w:p w:rsidR="0084615D" w:rsidRPr="0053423A" w:rsidRDefault="0084615D" w:rsidP="00A67858">
            <w:pPr>
              <w:spacing w:after="0" w:line="276" w:lineRule="auto"/>
              <w:jc w:val="center"/>
              <w:rPr>
                <w:rFonts w:cs="Sylfaen"/>
                <w:b/>
                <w:sz w:val="20"/>
                <w:szCs w:val="20"/>
                <w:lang w:val="af-ZA"/>
              </w:rPr>
            </w:pPr>
          </w:p>
          <w:p w:rsidR="0084615D" w:rsidRPr="0053423A" w:rsidRDefault="0084615D" w:rsidP="001F6D5D">
            <w:pPr>
              <w:pStyle w:val="ListParagraph"/>
              <w:numPr>
                <w:ilvl w:val="1"/>
                <w:numId w:val="255"/>
              </w:numPr>
              <w:spacing w:after="0" w:line="276" w:lineRule="auto"/>
              <w:ind w:firstLine="630"/>
              <w:rPr>
                <w:b/>
                <w:sz w:val="20"/>
                <w:szCs w:val="20"/>
                <w:u w:val="single"/>
                <w:lang w:val="hy-AM"/>
              </w:rPr>
            </w:pPr>
            <w:r w:rsidRPr="0053423A">
              <w:rPr>
                <w:b/>
                <w:sz w:val="20"/>
                <w:szCs w:val="20"/>
                <w:u w:val="single"/>
                <w:lang w:val="hy-AM"/>
              </w:rPr>
              <w:t>Մշակել ՀՀ էներգետիկ համակարգի երկարաժամկետ զարգացման ուղիները</w:t>
            </w:r>
          </w:p>
          <w:p w:rsidR="0084615D" w:rsidRPr="0053423A" w:rsidRDefault="0084615D" w:rsidP="001F6D5D">
            <w:pPr>
              <w:pStyle w:val="ListParagraph"/>
              <w:numPr>
                <w:ilvl w:val="1"/>
                <w:numId w:val="255"/>
              </w:numPr>
              <w:spacing w:after="0" w:line="276" w:lineRule="auto"/>
              <w:ind w:firstLine="630"/>
              <w:rPr>
                <w:b/>
                <w:sz w:val="20"/>
                <w:szCs w:val="20"/>
                <w:u w:val="single"/>
                <w:lang w:val="hy-AM"/>
              </w:rPr>
            </w:pPr>
            <w:r w:rsidRPr="0053423A">
              <w:rPr>
                <w:b/>
                <w:sz w:val="20"/>
                <w:szCs w:val="20"/>
                <w:u w:val="single"/>
                <w:lang w:val="hy-AM"/>
              </w:rPr>
              <w:t>Մշակել Հայաստանի էլեկտրաէներգետիկական համակարգի նոր հեռանկարային զարգացման ծրագիր</w:t>
            </w:r>
          </w:p>
          <w:p w:rsidR="0084615D" w:rsidRPr="0053423A" w:rsidRDefault="0084615D" w:rsidP="00A67858">
            <w:pPr>
              <w:spacing w:after="0" w:line="276" w:lineRule="auto"/>
              <w:ind w:left="735" w:firstLine="255"/>
              <w:rPr>
                <w:b/>
                <w:sz w:val="20"/>
                <w:szCs w:val="20"/>
                <w:lang w:val="af-ZA"/>
              </w:rPr>
            </w:pPr>
            <w:r w:rsidRPr="0053423A">
              <w:rPr>
                <w:b/>
                <w:sz w:val="20"/>
                <w:szCs w:val="20"/>
                <w:lang w:val="af-ZA"/>
              </w:rPr>
              <w:t>1.</w:t>
            </w:r>
            <w:r w:rsidRPr="0053423A">
              <w:rPr>
                <w:rFonts w:ascii="Calibri" w:hAnsi="Calibri" w:cs="Calibri"/>
                <w:b/>
                <w:sz w:val="20"/>
                <w:szCs w:val="20"/>
                <w:lang w:val="af-ZA"/>
              </w:rPr>
              <w:t> </w:t>
            </w:r>
            <w:r w:rsidRPr="0053423A">
              <w:rPr>
                <w:b/>
                <w:sz w:val="20"/>
                <w:szCs w:val="20"/>
                <w:lang w:val="hy-AM"/>
              </w:rPr>
              <w:t>Միջոցառման</w:t>
            </w:r>
            <w:r w:rsidRPr="0053423A">
              <w:rPr>
                <w:b/>
                <w:sz w:val="20"/>
                <w:szCs w:val="20"/>
                <w:lang w:val="af-ZA"/>
              </w:rPr>
              <w:t xml:space="preserve"> </w:t>
            </w:r>
            <w:r w:rsidRPr="0053423A">
              <w:rPr>
                <w:b/>
                <w:sz w:val="20"/>
                <w:szCs w:val="20"/>
                <w:lang w:val="hy-AM"/>
              </w:rPr>
              <w:t>իրակացման</w:t>
            </w:r>
            <w:r w:rsidRPr="0053423A">
              <w:rPr>
                <w:b/>
                <w:sz w:val="20"/>
                <w:szCs w:val="20"/>
                <w:lang w:val="af-ZA"/>
              </w:rPr>
              <w:t xml:space="preserve"> </w:t>
            </w:r>
            <w:r w:rsidRPr="0053423A">
              <w:rPr>
                <w:b/>
                <w:sz w:val="20"/>
                <w:szCs w:val="20"/>
                <w:lang w:val="hy-AM"/>
              </w:rPr>
              <w:t>անհրաժեշտությունը</w:t>
            </w:r>
            <w:r w:rsidRPr="0053423A">
              <w:rPr>
                <w:b/>
                <w:sz w:val="20"/>
                <w:szCs w:val="20"/>
                <w:lang w:val="af-ZA"/>
              </w:rPr>
              <w:t xml:space="preserve"> </w:t>
            </w:r>
            <w:r w:rsidRPr="0053423A">
              <w:rPr>
                <w:b/>
                <w:sz w:val="20"/>
                <w:szCs w:val="20"/>
                <w:lang w:val="hy-AM"/>
              </w:rPr>
              <w:t>և</w:t>
            </w:r>
            <w:r w:rsidRPr="0053423A">
              <w:rPr>
                <w:b/>
                <w:sz w:val="20"/>
                <w:szCs w:val="20"/>
                <w:lang w:val="af-ZA"/>
              </w:rPr>
              <w:t xml:space="preserve"> </w:t>
            </w:r>
            <w:r w:rsidRPr="0053423A">
              <w:rPr>
                <w:b/>
                <w:sz w:val="20"/>
                <w:szCs w:val="20"/>
                <w:lang w:val="hy-AM"/>
              </w:rPr>
              <w:t>նպատակը</w:t>
            </w:r>
          </w:p>
          <w:p w:rsidR="0084615D" w:rsidRPr="0053423A" w:rsidRDefault="0084615D" w:rsidP="00A67858">
            <w:pPr>
              <w:pStyle w:val="ListParagraph"/>
              <w:tabs>
                <w:tab w:val="left" w:pos="0"/>
                <w:tab w:val="left" w:pos="90"/>
              </w:tabs>
              <w:spacing w:after="0" w:line="276" w:lineRule="auto"/>
              <w:ind w:left="0"/>
              <w:jc w:val="both"/>
              <w:rPr>
                <w:rFonts w:cs="GHEAGrapalat"/>
                <w:sz w:val="20"/>
                <w:szCs w:val="20"/>
                <w:lang w:val="hy-AM"/>
              </w:rPr>
            </w:pPr>
            <w:r w:rsidRPr="0053423A">
              <w:rPr>
                <w:spacing w:val="-2"/>
                <w:sz w:val="20"/>
                <w:szCs w:val="20"/>
                <w:lang w:val="hy-AM"/>
              </w:rPr>
              <w:t>Միջոցառումը</w:t>
            </w:r>
            <w:r w:rsidRPr="0053423A">
              <w:rPr>
                <w:spacing w:val="-2"/>
                <w:sz w:val="20"/>
                <w:szCs w:val="20"/>
                <w:lang w:val="af-ZA"/>
              </w:rPr>
              <w:t xml:space="preserve"> </w:t>
            </w:r>
            <w:r w:rsidRPr="0053423A">
              <w:rPr>
                <w:spacing w:val="-2"/>
                <w:sz w:val="20"/>
                <w:szCs w:val="20"/>
                <w:lang w:val="hy-AM"/>
              </w:rPr>
              <w:t>բխում</w:t>
            </w:r>
            <w:r w:rsidRPr="0053423A">
              <w:rPr>
                <w:spacing w:val="-2"/>
                <w:sz w:val="20"/>
                <w:szCs w:val="20"/>
                <w:lang w:val="af-ZA"/>
              </w:rPr>
              <w:t xml:space="preserve"> </w:t>
            </w:r>
            <w:r w:rsidRPr="0053423A">
              <w:rPr>
                <w:spacing w:val="-2"/>
                <w:sz w:val="20"/>
                <w:szCs w:val="20"/>
                <w:lang w:val="hy-AM"/>
              </w:rPr>
              <w:t>է</w:t>
            </w:r>
            <w:r w:rsidRPr="0053423A">
              <w:rPr>
                <w:spacing w:val="-2"/>
                <w:sz w:val="20"/>
                <w:szCs w:val="20"/>
                <w:lang w:val="af-ZA"/>
              </w:rPr>
              <w:t xml:space="preserve"> </w:t>
            </w:r>
            <w:r w:rsidRPr="0053423A">
              <w:rPr>
                <w:spacing w:val="-2"/>
                <w:sz w:val="20"/>
                <w:szCs w:val="20"/>
                <w:lang w:val="hy-AM"/>
              </w:rPr>
              <w:t xml:space="preserve">ՀՀ կառավարության 2019թ. փետրվարի 8-ի N 65-Ա որոշմամբ հաստատաված ՀՀ կառավարության ծրագրի </w:t>
            </w:r>
            <w:r w:rsidRPr="0053423A">
              <w:rPr>
                <w:rFonts w:cs="GHEAGrapalat"/>
                <w:sz w:val="20"/>
                <w:szCs w:val="20"/>
                <w:lang w:val="hy-AM"/>
              </w:rPr>
              <w:t>6.2. կետի՝ «Էներգետիկ բնագավառը» բաժնի դրույթից</w:t>
            </w:r>
            <w:r w:rsidRPr="0053423A">
              <w:rPr>
                <w:rFonts w:cs="GHEAGrapalat"/>
                <w:sz w:val="20"/>
                <w:szCs w:val="20"/>
                <w:lang w:val="af-ZA"/>
              </w:rPr>
              <w:t xml:space="preserve"> </w:t>
            </w:r>
            <w:r w:rsidRPr="0053423A">
              <w:rPr>
                <w:spacing w:val="-2"/>
                <w:sz w:val="20"/>
                <w:szCs w:val="20"/>
                <w:lang w:val="hy-AM"/>
              </w:rPr>
              <w:t>և ՀՀ վարչապետի 2017 թվականի ապրիլի 10-ի «</w:t>
            </w:r>
            <w:r w:rsidRPr="0053423A">
              <w:rPr>
                <w:rFonts w:cs="Arial"/>
                <w:sz w:val="20"/>
                <w:szCs w:val="20"/>
                <w:lang w:val="fr-FR"/>
              </w:rPr>
              <w:t>Հաստատել</w:t>
            </w:r>
            <w:r w:rsidRPr="0053423A">
              <w:rPr>
                <w:rFonts w:cs="Arial Armenian"/>
                <w:sz w:val="20"/>
                <w:szCs w:val="20"/>
                <w:lang w:val="fr-FR"/>
              </w:rPr>
              <w:t xml:space="preserve"> </w:t>
            </w:r>
            <w:r w:rsidRPr="0053423A">
              <w:rPr>
                <w:rFonts w:cs="Arial"/>
                <w:sz w:val="20"/>
                <w:szCs w:val="20"/>
                <w:lang w:val="fr-FR"/>
              </w:rPr>
              <w:t>Հայաստանի</w:t>
            </w:r>
            <w:r w:rsidRPr="0053423A">
              <w:rPr>
                <w:rFonts w:cs="Arial Armenian"/>
                <w:sz w:val="20"/>
                <w:szCs w:val="20"/>
                <w:lang w:val="fr-FR"/>
              </w:rPr>
              <w:t xml:space="preserve"> </w:t>
            </w:r>
            <w:r w:rsidRPr="0053423A">
              <w:rPr>
                <w:rFonts w:cs="Arial"/>
                <w:sz w:val="20"/>
                <w:szCs w:val="20"/>
                <w:lang w:val="fr-FR"/>
              </w:rPr>
              <w:t>Հանրապետության</w:t>
            </w:r>
            <w:r w:rsidRPr="0053423A">
              <w:rPr>
                <w:rFonts w:cs="Arial Armenian"/>
                <w:sz w:val="20"/>
                <w:szCs w:val="20"/>
                <w:lang w:val="fr-FR"/>
              </w:rPr>
              <w:t xml:space="preserve"> </w:t>
            </w:r>
            <w:r w:rsidRPr="0053423A">
              <w:rPr>
                <w:rFonts w:cs="Arial"/>
                <w:sz w:val="20"/>
                <w:szCs w:val="20"/>
                <w:lang w:val="fr-FR"/>
              </w:rPr>
              <w:t>և</w:t>
            </w:r>
            <w:r w:rsidRPr="0053423A">
              <w:rPr>
                <w:rFonts w:cs="Arial Armenian"/>
                <w:sz w:val="20"/>
                <w:szCs w:val="20"/>
                <w:lang w:val="fr-FR"/>
              </w:rPr>
              <w:t xml:space="preserve"> </w:t>
            </w:r>
            <w:r w:rsidRPr="0053423A">
              <w:rPr>
                <w:rFonts w:cs="Arial"/>
                <w:sz w:val="20"/>
                <w:szCs w:val="20"/>
                <w:lang w:val="fr-FR"/>
              </w:rPr>
              <w:t>Ասիական</w:t>
            </w:r>
            <w:r w:rsidRPr="0053423A">
              <w:rPr>
                <w:rFonts w:cs="Arial Armenian"/>
                <w:sz w:val="20"/>
                <w:szCs w:val="20"/>
                <w:lang w:val="fr-FR"/>
              </w:rPr>
              <w:t xml:space="preserve"> </w:t>
            </w:r>
            <w:r w:rsidRPr="0053423A">
              <w:rPr>
                <w:rFonts w:cs="Arial"/>
                <w:sz w:val="20"/>
                <w:szCs w:val="20"/>
                <w:lang w:val="fr-FR"/>
              </w:rPr>
              <w:t>զարգացման</w:t>
            </w:r>
            <w:r w:rsidRPr="0053423A">
              <w:rPr>
                <w:rFonts w:cs="Arial Armenian"/>
                <w:sz w:val="20"/>
                <w:szCs w:val="20"/>
                <w:lang w:val="fr-FR"/>
              </w:rPr>
              <w:t xml:space="preserve"> </w:t>
            </w:r>
            <w:r w:rsidRPr="0053423A">
              <w:rPr>
                <w:rFonts w:cs="Arial"/>
                <w:sz w:val="20"/>
                <w:szCs w:val="20"/>
                <w:lang w:val="fr-FR"/>
              </w:rPr>
              <w:t>բանկի</w:t>
            </w:r>
            <w:r w:rsidRPr="0053423A">
              <w:rPr>
                <w:rFonts w:cs="Arial Armenian"/>
                <w:sz w:val="20"/>
                <w:szCs w:val="20"/>
                <w:lang w:val="fr-FR"/>
              </w:rPr>
              <w:t xml:space="preserve"> </w:t>
            </w:r>
            <w:r w:rsidRPr="0053423A">
              <w:rPr>
                <w:rFonts w:cs="Arial"/>
                <w:spacing w:val="-8"/>
                <w:sz w:val="20"/>
                <w:szCs w:val="20"/>
                <w:lang w:val="fr-FR"/>
              </w:rPr>
              <w:t>միջև</w:t>
            </w:r>
            <w:r w:rsidRPr="0053423A">
              <w:rPr>
                <w:rFonts w:cs="Arial Armenian"/>
                <w:spacing w:val="-8"/>
                <w:sz w:val="20"/>
                <w:szCs w:val="20"/>
                <w:lang w:val="fr-FR"/>
              </w:rPr>
              <w:t xml:space="preserve"> </w:t>
            </w:r>
            <w:r w:rsidRPr="0053423A">
              <w:rPr>
                <w:rFonts w:cs="Arial"/>
                <w:spacing w:val="-8"/>
                <w:sz w:val="20"/>
                <w:szCs w:val="20"/>
                <w:lang w:val="fr-FR"/>
              </w:rPr>
              <w:t>ստորագրված</w:t>
            </w:r>
            <w:r w:rsidRPr="0053423A">
              <w:rPr>
                <w:rFonts w:cs="Arial Armenian"/>
                <w:spacing w:val="-8"/>
                <w:sz w:val="20"/>
                <w:szCs w:val="20"/>
                <w:lang w:val="fr-FR"/>
              </w:rPr>
              <w:t xml:space="preserve"> «</w:t>
            </w:r>
            <w:r w:rsidRPr="0053423A">
              <w:rPr>
                <w:rFonts w:cs="Arial"/>
                <w:spacing w:val="-8"/>
                <w:sz w:val="20"/>
                <w:szCs w:val="20"/>
                <w:lang w:val="fr-FR"/>
              </w:rPr>
              <w:t>Ենթակառուցվածքների</w:t>
            </w:r>
            <w:r w:rsidRPr="0053423A">
              <w:rPr>
                <w:rFonts w:cs="Arial Armenian"/>
                <w:sz w:val="20"/>
                <w:szCs w:val="20"/>
                <w:lang w:val="fr-FR"/>
              </w:rPr>
              <w:t xml:space="preserve"> </w:t>
            </w:r>
            <w:r w:rsidRPr="0053423A">
              <w:rPr>
                <w:rFonts w:cs="Arial"/>
                <w:sz w:val="20"/>
                <w:szCs w:val="20"/>
                <w:lang w:val="fr-FR"/>
              </w:rPr>
              <w:t>կայունության</w:t>
            </w:r>
            <w:r w:rsidRPr="0053423A">
              <w:rPr>
                <w:rFonts w:cs="Arial Armenian"/>
                <w:sz w:val="20"/>
                <w:szCs w:val="20"/>
                <w:lang w:val="fr-FR"/>
              </w:rPr>
              <w:t xml:space="preserve"> </w:t>
            </w:r>
            <w:r w:rsidRPr="0053423A">
              <w:rPr>
                <w:rFonts w:cs="Arial"/>
                <w:spacing w:val="-8"/>
                <w:sz w:val="20"/>
                <w:szCs w:val="20"/>
                <w:lang w:val="fr-FR"/>
              </w:rPr>
              <w:t>աջակցության</w:t>
            </w:r>
            <w:r w:rsidRPr="0053423A">
              <w:rPr>
                <w:rFonts w:cs="Arial Armenian"/>
                <w:spacing w:val="-8"/>
                <w:sz w:val="20"/>
                <w:szCs w:val="20"/>
                <w:lang w:val="fr-FR"/>
              </w:rPr>
              <w:t xml:space="preserve"> </w:t>
            </w:r>
            <w:r w:rsidRPr="0053423A">
              <w:rPr>
                <w:rFonts w:cs="Arial"/>
                <w:spacing w:val="-8"/>
                <w:sz w:val="20"/>
                <w:szCs w:val="20"/>
                <w:lang w:val="fr-FR"/>
              </w:rPr>
              <w:t>ծրագիր</w:t>
            </w:r>
            <w:r w:rsidRPr="0053423A">
              <w:rPr>
                <w:rFonts w:cs="Arial Armenian"/>
                <w:spacing w:val="-8"/>
                <w:sz w:val="20"/>
                <w:szCs w:val="20"/>
                <w:lang w:val="fr-FR"/>
              </w:rPr>
              <w:t xml:space="preserve">. </w:t>
            </w:r>
            <w:r w:rsidRPr="0053423A">
              <w:rPr>
                <w:rFonts w:cs="Arial"/>
                <w:spacing w:val="-8"/>
                <w:sz w:val="20"/>
                <w:szCs w:val="20"/>
                <w:lang w:val="fr-FR"/>
              </w:rPr>
              <w:t>երկրորդ</w:t>
            </w:r>
            <w:r w:rsidRPr="0053423A">
              <w:rPr>
                <w:rFonts w:cs="Arial Armenian"/>
                <w:spacing w:val="-8"/>
                <w:sz w:val="20"/>
                <w:szCs w:val="20"/>
                <w:lang w:val="fr-FR"/>
              </w:rPr>
              <w:t xml:space="preserve"> </w:t>
            </w:r>
            <w:r w:rsidRPr="0053423A">
              <w:rPr>
                <w:rFonts w:cs="Arial"/>
                <w:spacing w:val="-8"/>
                <w:sz w:val="20"/>
                <w:szCs w:val="20"/>
                <w:lang w:val="fr-FR"/>
              </w:rPr>
              <w:t>փուլ</w:t>
            </w:r>
            <w:r w:rsidRPr="0053423A">
              <w:rPr>
                <w:rFonts w:cs="Arial Armenian"/>
                <w:spacing w:val="-8"/>
                <w:sz w:val="20"/>
                <w:szCs w:val="20"/>
                <w:lang w:val="fr-FR"/>
              </w:rPr>
              <w:t xml:space="preserve"> (</w:t>
            </w:r>
            <w:r w:rsidRPr="0053423A">
              <w:rPr>
                <w:rFonts w:cs="Arial"/>
                <w:spacing w:val="-8"/>
                <w:sz w:val="20"/>
                <w:szCs w:val="20"/>
                <w:lang w:val="fr-FR"/>
              </w:rPr>
              <w:t>ընթացիկ</w:t>
            </w:r>
            <w:r w:rsidRPr="0053423A">
              <w:rPr>
                <w:rFonts w:cs="Arial Armenian"/>
                <w:spacing w:val="-8"/>
                <w:sz w:val="20"/>
                <w:szCs w:val="20"/>
                <w:lang w:val="fr-FR"/>
              </w:rPr>
              <w:t xml:space="preserve"> </w:t>
            </w:r>
            <w:r w:rsidRPr="0053423A">
              <w:rPr>
                <w:rFonts w:cs="Arial"/>
                <w:spacing w:val="-8"/>
                <w:sz w:val="20"/>
                <w:szCs w:val="20"/>
                <w:lang w:val="fr-FR"/>
              </w:rPr>
              <w:t>գործառնություններ</w:t>
            </w:r>
            <w:r w:rsidRPr="0053423A">
              <w:rPr>
                <w:rFonts w:cs="Arial Armenian"/>
                <w:spacing w:val="-8"/>
                <w:sz w:val="20"/>
                <w:szCs w:val="20"/>
                <w:lang w:val="fr-FR"/>
              </w:rPr>
              <w:t>)»</w:t>
            </w:r>
            <w:r w:rsidRPr="0053423A">
              <w:rPr>
                <w:rFonts w:cs="Arial Armenian"/>
                <w:spacing w:val="-8"/>
                <w:sz w:val="20"/>
                <w:szCs w:val="20"/>
                <w:lang w:val="hy-AM"/>
              </w:rPr>
              <w:t xml:space="preserve"> </w:t>
            </w:r>
            <w:r w:rsidRPr="0053423A">
              <w:rPr>
                <w:rFonts w:cs="Arial"/>
                <w:spacing w:val="-8"/>
                <w:sz w:val="20"/>
                <w:szCs w:val="20"/>
                <w:lang w:val="fr-FR"/>
              </w:rPr>
              <w:t>վարկային</w:t>
            </w:r>
            <w:r w:rsidRPr="0053423A">
              <w:rPr>
                <w:rFonts w:cs="Arial Armenian"/>
                <w:sz w:val="20"/>
                <w:szCs w:val="20"/>
                <w:lang w:val="fr-FR"/>
              </w:rPr>
              <w:t xml:space="preserve"> </w:t>
            </w:r>
            <w:r w:rsidRPr="0053423A">
              <w:rPr>
                <w:rFonts w:cs="Arial"/>
                <w:sz w:val="20"/>
                <w:szCs w:val="20"/>
                <w:lang w:val="fr-FR"/>
              </w:rPr>
              <w:t>համաձայնագրով</w:t>
            </w:r>
            <w:r w:rsidRPr="0053423A">
              <w:rPr>
                <w:rFonts w:cs="Arial Armenian"/>
                <w:sz w:val="20"/>
                <w:szCs w:val="20"/>
                <w:lang w:val="fr-FR"/>
              </w:rPr>
              <w:t xml:space="preserve"> </w:t>
            </w:r>
            <w:r w:rsidRPr="0053423A">
              <w:rPr>
                <w:rFonts w:cs="Arial"/>
                <w:sz w:val="20"/>
                <w:szCs w:val="20"/>
                <w:lang w:val="fr-FR"/>
              </w:rPr>
              <w:t>նախատեսված</w:t>
            </w:r>
            <w:r w:rsidRPr="0053423A">
              <w:rPr>
                <w:rFonts w:cs="Arial Armenian"/>
                <w:sz w:val="20"/>
                <w:szCs w:val="20"/>
                <w:lang w:val="fr-FR"/>
              </w:rPr>
              <w:t xml:space="preserve"> </w:t>
            </w:r>
            <w:r w:rsidRPr="0053423A">
              <w:rPr>
                <w:rFonts w:cs="Arial"/>
                <w:sz w:val="20"/>
                <w:szCs w:val="20"/>
                <w:lang w:val="fr-FR"/>
              </w:rPr>
              <w:t>երկրորդ</w:t>
            </w:r>
            <w:r w:rsidRPr="0053423A">
              <w:rPr>
                <w:rFonts w:cs="Arial Armenian"/>
                <w:sz w:val="20"/>
                <w:szCs w:val="20"/>
                <w:lang w:val="fr-FR"/>
              </w:rPr>
              <w:t xml:space="preserve"> </w:t>
            </w:r>
            <w:r w:rsidRPr="0053423A">
              <w:rPr>
                <w:rFonts w:cs="Arial"/>
                <w:sz w:val="20"/>
                <w:szCs w:val="20"/>
                <w:lang w:val="fr-FR"/>
              </w:rPr>
              <w:t>մասնաբաժնի</w:t>
            </w:r>
            <w:r w:rsidRPr="0053423A">
              <w:rPr>
                <w:rFonts w:cs="Arial Armenian"/>
                <w:sz w:val="20"/>
                <w:szCs w:val="20"/>
                <w:lang w:val="fr-FR"/>
              </w:rPr>
              <w:t xml:space="preserve"> </w:t>
            </w:r>
            <w:r w:rsidRPr="0053423A">
              <w:rPr>
                <w:rFonts w:cs="Arial"/>
                <w:sz w:val="20"/>
                <w:szCs w:val="20"/>
                <w:lang w:val="fr-FR"/>
              </w:rPr>
              <w:t>ստացման</w:t>
            </w:r>
            <w:r w:rsidRPr="0053423A">
              <w:rPr>
                <w:rFonts w:cs="Arial Armenian"/>
                <w:sz w:val="20"/>
                <w:szCs w:val="20"/>
                <w:lang w:val="fr-FR"/>
              </w:rPr>
              <w:t xml:space="preserve"> </w:t>
            </w:r>
            <w:r w:rsidRPr="0053423A">
              <w:rPr>
                <w:rFonts w:cs="Arial"/>
                <w:sz w:val="20"/>
                <w:szCs w:val="20"/>
                <w:lang w:val="fr-FR"/>
              </w:rPr>
              <w:t>համար</w:t>
            </w:r>
            <w:r w:rsidRPr="0053423A">
              <w:rPr>
                <w:rFonts w:cs="Arial Armenian"/>
                <w:sz w:val="20"/>
                <w:szCs w:val="20"/>
                <w:lang w:val="fr-FR"/>
              </w:rPr>
              <w:t xml:space="preserve"> </w:t>
            </w:r>
            <w:r w:rsidRPr="0053423A">
              <w:rPr>
                <w:rFonts w:cs="Arial"/>
                <w:sz w:val="20"/>
                <w:szCs w:val="20"/>
                <w:lang w:val="fr-FR"/>
              </w:rPr>
              <w:t>անհրաժեշտ</w:t>
            </w:r>
            <w:r w:rsidRPr="0053423A">
              <w:rPr>
                <w:rFonts w:cs="Arial Armenian"/>
                <w:sz w:val="20"/>
                <w:szCs w:val="20"/>
                <w:lang w:val="fr-FR"/>
              </w:rPr>
              <w:t xml:space="preserve"> </w:t>
            </w:r>
            <w:r w:rsidRPr="0053423A">
              <w:rPr>
                <w:rFonts w:cs="Arial"/>
                <w:sz w:val="20"/>
                <w:szCs w:val="20"/>
                <w:lang w:val="fr-FR"/>
              </w:rPr>
              <w:t>գործողությունների</w:t>
            </w:r>
            <w:r w:rsidRPr="0053423A">
              <w:rPr>
                <w:rFonts w:cs="Arial Armenian"/>
                <w:sz w:val="20"/>
                <w:szCs w:val="20"/>
                <w:lang w:val="fr-FR"/>
              </w:rPr>
              <w:t xml:space="preserve"> </w:t>
            </w:r>
            <w:r w:rsidRPr="0053423A">
              <w:rPr>
                <w:rFonts w:cs="Arial"/>
                <w:sz w:val="20"/>
                <w:szCs w:val="20"/>
                <w:lang w:val="fr-FR"/>
              </w:rPr>
              <w:t>կատարման</w:t>
            </w:r>
            <w:r w:rsidRPr="0053423A">
              <w:rPr>
                <w:rFonts w:cs="Arial Armenian"/>
                <w:sz w:val="20"/>
                <w:szCs w:val="20"/>
                <w:lang w:val="fr-FR"/>
              </w:rPr>
              <w:t xml:space="preserve"> </w:t>
            </w:r>
            <w:r w:rsidRPr="0053423A">
              <w:rPr>
                <w:rFonts w:cs="Arial"/>
                <w:sz w:val="20"/>
                <w:szCs w:val="20"/>
                <w:lang w:val="fr-FR"/>
              </w:rPr>
              <w:t>ժամանակացույցը</w:t>
            </w:r>
            <w:r w:rsidRPr="0053423A">
              <w:rPr>
                <w:rFonts w:cs="Arial"/>
                <w:sz w:val="20"/>
                <w:szCs w:val="20"/>
                <w:lang w:val="hy-AM"/>
              </w:rPr>
              <w:t xml:space="preserve"> հաստատելու մասին»</w:t>
            </w:r>
            <w:r w:rsidRPr="0053423A">
              <w:rPr>
                <w:rFonts w:cs="Arial Armenian"/>
                <w:spacing w:val="-8"/>
                <w:sz w:val="20"/>
                <w:szCs w:val="20"/>
                <w:lang w:val="fr-FR"/>
              </w:rPr>
              <w:t xml:space="preserve"> </w:t>
            </w:r>
            <w:r w:rsidRPr="0053423A">
              <w:rPr>
                <w:spacing w:val="-2"/>
                <w:sz w:val="20"/>
                <w:szCs w:val="20"/>
                <w:lang w:val="hy-AM"/>
              </w:rPr>
              <w:t>N353-Ա որոշման հավելվածի 4-րդ կետի 14-րդ ենթակետի</w:t>
            </w:r>
            <w:r w:rsidRPr="0053423A">
              <w:rPr>
                <w:bCs/>
                <w:sz w:val="20"/>
                <w:szCs w:val="20"/>
                <w:lang w:val="af-ZA"/>
              </w:rPr>
              <w:t xml:space="preserve"> </w:t>
            </w:r>
            <w:r w:rsidRPr="0053423A">
              <w:rPr>
                <w:bCs/>
                <w:sz w:val="20"/>
                <w:szCs w:val="20"/>
                <w:lang w:val="hy-AM"/>
              </w:rPr>
              <w:t>դրույթներից</w:t>
            </w:r>
            <w:r w:rsidRPr="0053423A">
              <w:rPr>
                <w:bCs/>
                <w:sz w:val="20"/>
                <w:szCs w:val="20"/>
                <w:lang w:val="af-ZA"/>
              </w:rPr>
              <w:t>:</w:t>
            </w:r>
            <w:r w:rsidRPr="0053423A">
              <w:rPr>
                <w:spacing w:val="-2"/>
                <w:sz w:val="20"/>
                <w:szCs w:val="20"/>
                <w:lang w:val="hy-AM"/>
              </w:rPr>
              <w:t xml:space="preserve"> Հայաստանում էլեկտրաէներգետիկական շուկայի ազատականացված մոդելի անցնելու անհրաժեշտությունը պայմանավորված է ներքին շուկայի կարիքներով, ինչպես նաև կարևորվում է միջսահմանային առևտրի հնարավորություններն օգտագործելու համար: Միջսահմանային առևտուրն կընձեռնի փոխշահավետ հնարավորություններ և կնպաստի Հայաստանի ներքին շուկայի արդյունավետության բարձրացմանը:</w:t>
            </w:r>
          </w:p>
          <w:p w:rsidR="0084615D" w:rsidRPr="0053423A" w:rsidRDefault="00795500" w:rsidP="001F6D5D">
            <w:pPr>
              <w:numPr>
                <w:ilvl w:val="1"/>
                <w:numId w:val="254"/>
              </w:numPr>
              <w:spacing w:after="0" w:line="276" w:lineRule="auto"/>
              <w:ind w:firstLine="198"/>
              <w:rPr>
                <w:b/>
                <w:sz w:val="20"/>
                <w:szCs w:val="20"/>
                <w:lang w:val="pt-BR"/>
              </w:rPr>
            </w:pPr>
            <w:r w:rsidRPr="0053423A">
              <w:rPr>
                <w:b/>
                <w:sz w:val="20"/>
                <w:szCs w:val="20"/>
                <w:lang w:val="hy-AM"/>
              </w:rPr>
              <w:t>Կ</w:t>
            </w:r>
            <w:r w:rsidR="0084615D" w:rsidRPr="0053423A">
              <w:rPr>
                <w:b/>
                <w:sz w:val="20"/>
                <w:szCs w:val="20"/>
                <w:lang w:val="hy-AM"/>
              </w:rPr>
              <w:t>արգավորման</w:t>
            </w:r>
            <w:r w:rsidR="0084615D" w:rsidRPr="0053423A">
              <w:rPr>
                <w:b/>
                <w:sz w:val="20"/>
                <w:szCs w:val="20"/>
                <w:lang w:val="pt-BR"/>
              </w:rPr>
              <w:t xml:space="preserve"> </w:t>
            </w:r>
            <w:r w:rsidR="0084615D" w:rsidRPr="0053423A">
              <w:rPr>
                <w:b/>
                <w:sz w:val="20"/>
                <w:szCs w:val="20"/>
                <w:lang w:val="hy-AM"/>
              </w:rPr>
              <w:t>հարաբերությունների</w:t>
            </w:r>
            <w:r w:rsidR="0084615D" w:rsidRPr="0053423A">
              <w:rPr>
                <w:b/>
                <w:sz w:val="20"/>
                <w:szCs w:val="20"/>
                <w:lang w:val="pt-BR"/>
              </w:rPr>
              <w:t xml:space="preserve"> </w:t>
            </w:r>
            <w:r w:rsidR="0084615D" w:rsidRPr="0053423A">
              <w:rPr>
                <w:b/>
                <w:sz w:val="20"/>
                <w:szCs w:val="20"/>
                <w:lang w:val="hy-AM"/>
              </w:rPr>
              <w:t>ներկա</w:t>
            </w:r>
            <w:r w:rsidR="0084615D" w:rsidRPr="0053423A">
              <w:rPr>
                <w:b/>
                <w:sz w:val="20"/>
                <w:szCs w:val="20"/>
                <w:lang w:val="pt-BR"/>
              </w:rPr>
              <w:t xml:space="preserve"> </w:t>
            </w:r>
            <w:r w:rsidR="0084615D" w:rsidRPr="0053423A">
              <w:rPr>
                <w:b/>
                <w:sz w:val="20"/>
                <w:szCs w:val="20"/>
                <w:lang w:val="hy-AM"/>
              </w:rPr>
              <w:t>վիճակը</w:t>
            </w:r>
            <w:r w:rsidR="0084615D" w:rsidRPr="0053423A">
              <w:rPr>
                <w:b/>
                <w:sz w:val="20"/>
                <w:szCs w:val="20"/>
                <w:lang w:val="pt-BR"/>
              </w:rPr>
              <w:t xml:space="preserve"> </w:t>
            </w:r>
            <w:r w:rsidR="0084615D" w:rsidRPr="0053423A">
              <w:rPr>
                <w:b/>
                <w:sz w:val="20"/>
                <w:szCs w:val="20"/>
                <w:lang w:val="hy-AM"/>
              </w:rPr>
              <w:t>և</w:t>
            </w:r>
            <w:r w:rsidR="0084615D" w:rsidRPr="0053423A">
              <w:rPr>
                <w:b/>
                <w:sz w:val="20"/>
                <w:szCs w:val="20"/>
                <w:lang w:val="pt-BR"/>
              </w:rPr>
              <w:t xml:space="preserve"> </w:t>
            </w:r>
            <w:r w:rsidR="0084615D" w:rsidRPr="0053423A">
              <w:rPr>
                <w:b/>
                <w:sz w:val="20"/>
                <w:szCs w:val="20"/>
                <w:lang w:val="hy-AM"/>
              </w:rPr>
              <w:t>առկա</w:t>
            </w:r>
            <w:r w:rsidR="0084615D" w:rsidRPr="0053423A">
              <w:rPr>
                <w:b/>
                <w:sz w:val="20"/>
                <w:szCs w:val="20"/>
                <w:lang w:val="pt-BR"/>
              </w:rPr>
              <w:t xml:space="preserve"> </w:t>
            </w:r>
            <w:r w:rsidR="0084615D" w:rsidRPr="0053423A">
              <w:rPr>
                <w:b/>
                <w:sz w:val="20"/>
                <w:szCs w:val="20"/>
                <w:lang w:val="hy-AM"/>
              </w:rPr>
              <w:t>խնդիրները</w:t>
            </w:r>
            <w:r w:rsidR="0084615D" w:rsidRPr="0053423A">
              <w:rPr>
                <w:b/>
                <w:sz w:val="20"/>
                <w:szCs w:val="20"/>
                <w:lang w:val="pt-BR"/>
              </w:rPr>
              <w:t>.</w:t>
            </w:r>
          </w:p>
          <w:p w:rsidR="0084615D" w:rsidRPr="0053423A" w:rsidRDefault="0084615D" w:rsidP="00A67858">
            <w:pPr>
              <w:spacing w:after="0" w:line="276" w:lineRule="auto"/>
              <w:jc w:val="both"/>
              <w:rPr>
                <w:sz w:val="20"/>
                <w:szCs w:val="20"/>
                <w:lang w:val="pt-BR"/>
              </w:rPr>
            </w:pPr>
            <w:r w:rsidRPr="0053423A">
              <w:rPr>
                <w:sz w:val="20"/>
                <w:szCs w:val="20"/>
                <w:lang w:val="pt-BR"/>
              </w:rPr>
              <w:t>Հայաստանի Հանրապետության էլեկտրաէներգետիկական շուկան մինչև վերջին տարիներն ամբողջությամբ կարգավորվում էր ինչպես մեծածախ, այնպես էլ մանրածախ հատվածներում:</w:t>
            </w:r>
            <w:r w:rsidRPr="0053423A">
              <w:rPr>
                <w:sz w:val="20"/>
                <w:szCs w:val="20"/>
                <w:lang w:val="hy-AM"/>
              </w:rPr>
              <w:t xml:space="preserve"> Հայաստանի էլեկտրաէներգետիկական շուկայի</w:t>
            </w:r>
            <w:r w:rsidRPr="0053423A">
              <w:rPr>
                <w:sz w:val="20"/>
                <w:szCs w:val="20"/>
                <w:lang w:val="pt-BR"/>
              </w:rPr>
              <w:t xml:space="preserve"> </w:t>
            </w:r>
            <w:r w:rsidRPr="0053423A">
              <w:rPr>
                <w:sz w:val="20"/>
                <w:szCs w:val="20"/>
                <w:lang w:val="hy-AM"/>
              </w:rPr>
              <w:t>«միակ գնորդ-վաճառող» մոդելը կիրառության մեջ է</w:t>
            </w:r>
            <w:r w:rsidRPr="0053423A">
              <w:rPr>
                <w:sz w:val="20"/>
                <w:szCs w:val="20"/>
              </w:rPr>
              <w:t>ր</w:t>
            </w:r>
            <w:r w:rsidRPr="0053423A">
              <w:rPr>
                <w:sz w:val="20"/>
                <w:szCs w:val="20"/>
                <w:lang w:val="hy-AM"/>
              </w:rPr>
              <w:t xml:space="preserve"> դրվել 2004 թվականին, որի դեպքում էլեկտրաէներգիայի բաշխման լիցենզիա ունեցող անձին է</w:t>
            </w:r>
            <w:r w:rsidRPr="0053423A">
              <w:rPr>
                <w:sz w:val="20"/>
                <w:szCs w:val="20"/>
              </w:rPr>
              <w:t>ր</w:t>
            </w:r>
            <w:r w:rsidRPr="0053423A">
              <w:rPr>
                <w:sz w:val="20"/>
                <w:szCs w:val="20"/>
                <w:lang w:val="hy-AM"/>
              </w:rPr>
              <w:t xml:space="preserve"> վերապահված էլեկտրաէներգետիկական մեծածախ շուկայում արտադրողներից էլեկտրաէներգիա գնելու և այն սպառողներին վաճառելու իրավունքը:</w:t>
            </w:r>
            <w:r w:rsidRPr="0053423A">
              <w:rPr>
                <w:sz w:val="20"/>
                <w:szCs w:val="20"/>
                <w:lang w:val="pt-BR"/>
              </w:rPr>
              <w:t xml:space="preserve"> Էլեկտրաէներգետիկական շուկայի աստիճանական ազատականացման և այլ երկրների հետ էլեկտրական էներգիայի առևտրի խթանման ուղղությամբ, 2016 թվականից սկսած, արդեն իսկ կատարվել են առաջին քայլերը։ Մասնավորապես, տարանջատվել են «Հայաստանի էլեկտրական ցանցեր» ՓԲԸ-ին (այսուհետև՝ ՀԷՑ) տրամադրված էլեկտրական էներգիայի (հզորության) բաշխման լիցենզիայով նախատեսված մատակարարման և բաշխման գործառույթները՝ վերանայելով ՀԷՑ-ի կողմից վերջնական սպառողներին էլեկտրական էներգիայի վաճառքի բացառիկ իրավունքը, սահմանվել են էլեկտրական էներգիայի բաշխման ծառայության մատուցման սակագները, հաստատվել են էլեկտրաէներգետիկական մեծածախ շուկայի ժամանակավոր առևտրային կանոնները, որոնցով Շուկայի օպերատորի կողմից կանոնների համաձայն որակավորված ճանաչված սպառողների (այսուհետ՝ Որակավորված սպառող) համար ստեղծվել է հնարավորություն՝ իրենց սպառման պահանջարկի բավարարման համար էլեկտրական էներգիան գնել էլեկտրական էներգիայի բաշխման լիցենզիա ունեցող անձից՝ կարգավորվող սակագներով կամ այլընտրանքային մատակարարից՝ պայմանագրային գնով, ինչպես նաև անձամբ ներկրել։ </w:t>
            </w:r>
            <w:r w:rsidRPr="0053423A">
              <w:rPr>
                <w:sz w:val="20"/>
                <w:szCs w:val="20"/>
              </w:rPr>
              <w:t>Անհրաժեշտություն</w:t>
            </w:r>
            <w:r w:rsidRPr="0053423A">
              <w:rPr>
                <w:sz w:val="20"/>
                <w:szCs w:val="20"/>
                <w:lang w:val="pt-BR"/>
              </w:rPr>
              <w:t xml:space="preserve"> </w:t>
            </w:r>
            <w:r w:rsidRPr="0053423A">
              <w:rPr>
                <w:sz w:val="20"/>
                <w:szCs w:val="20"/>
              </w:rPr>
              <w:t>է</w:t>
            </w:r>
            <w:r w:rsidRPr="0053423A">
              <w:rPr>
                <w:sz w:val="20"/>
                <w:szCs w:val="20"/>
                <w:lang w:val="pt-BR"/>
              </w:rPr>
              <w:t xml:space="preserve"> </w:t>
            </w:r>
            <w:r w:rsidRPr="0053423A">
              <w:rPr>
                <w:sz w:val="20"/>
                <w:szCs w:val="20"/>
              </w:rPr>
              <w:t>առաջացել</w:t>
            </w:r>
            <w:r w:rsidRPr="0053423A">
              <w:rPr>
                <w:sz w:val="20"/>
                <w:szCs w:val="20"/>
                <w:lang w:val="pt-BR"/>
              </w:rPr>
              <w:t xml:space="preserve"> </w:t>
            </w:r>
            <w:r w:rsidRPr="0053423A">
              <w:rPr>
                <w:sz w:val="20"/>
                <w:szCs w:val="20"/>
              </w:rPr>
              <w:t>վերանայել</w:t>
            </w:r>
            <w:r w:rsidRPr="0053423A">
              <w:rPr>
                <w:sz w:val="20"/>
                <w:szCs w:val="20"/>
                <w:lang w:val="pt-BR"/>
              </w:rPr>
              <w:t xml:space="preserve"> </w:t>
            </w:r>
            <w:r w:rsidRPr="0053423A">
              <w:rPr>
                <w:sz w:val="20"/>
                <w:szCs w:val="20"/>
              </w:rPr>
              <w:t>էներգետիկ</w:t>
            </w:r>
            <w:r w:rsidRPr="0053423A">
              <w:rPr>
                <w:sz w:val="20"/>
                <w:szCs w:val="20"/>
                <w:lang w:val="pt-BR"/>
              </w:rPr>
              <w:t xml:space="preserve"> </w:t>
            </w:r>
            <w:r w:rsidRPr="0053423A">
              <w:rPr>
                <w:sz w:val="20"/>
                <w:szCs w:val="20"/>
              </w:rPr>
              <w:t>բնագավառի</w:t>
            </w:r>
            <w:r w:rsidRPr="0053423A">
              <w:rPr>
                <w:sz w:val="20"/>
                <w:szCs w:val="20"/>
                <w:lang w:val="pt-BR"/>
              </w:rPr>
              <w:t xml:space="preserve"> </w:t>
            </w:r>
            <w:r w:rsidRPr="0053423A">
              <w:rPr>
                <w:sz w:val="20"/>
                <w:szCs w:val="20"/>
              </w:rPr>
              <w:t>երկարաժամկետ</w:t>
            </w:r>
            <w:r w:rsidRPr="0053423A">
              <w:rPr>
                <w:sz w:val="20"/>
                <w:szCs w:val="20"/>
                <w:lang w:val="pt-BR"/>
              </w:rPr>
              <w:t xml:space="preserve"> </w:t>
            </w:r>
            <w:r w:rsidRPr="0053423A">
              <w:rPr>
                <w:sz w:val="20"/>
                <w:szCs w:val="20"/>
              </w:rPr>
              <w:t>զարգացման</w:t>
            </w:r>
            <w:r w:rsidRPr="0053423A">
              <w:rPr>
                <w:sz w:val="20"/>
                <w:szCs w:val="20"/>
                <w:lang w:val="pt-BR"/>
              </w:rPr>
              <w:t xml:space="preserve"> </w:t>
            </w:r>
            <w:r w:rsidRPr="0053423A">
              <w:rPr>
                <w:sz w:val="20"/>
                <w:szCs w:val="20"/>
              </w:rPr>
              <w:t>ուղիները՝</w:t>
            </w:r>
            <w:r w:rsidRPr="0053423A">
              <w:rPr>
                <w:sz w:val="20"/>
                <w:szCs w:val="20"/>
                <w:lang w:val="pt-BR"/>
              </w:rPr>
              <w:t xml:space="preserve"> </w:t>
            </w:r>
            <w:r w:rsidRPr="0053423A">
              <w:rPr>
                <w:sz w:val="20"/>
                <w:szCs w:val="20"/>
              </w:rPr>
              <w:t>հաշվի</w:t>
            </w:r>
            <w:r w:rsidRPr="0053423A">
              <w:rPr>
                <w:sz w:val="20"/>
                <w:szCs w:val="20"/>
                <w:lang w:val="pt-BR"/>
              </w:rPr>
              <w:t xml:space="preserve"> </w:t>
            </w:r>
            <w:r w:rsidRPr="0053423A">
              <w:rPr>
                <w:sz w:val="20"/>
                <w:szCs w:val="20"/>
              </w:rPr>
              <w:t>առնելով</w:t>
            </w:r>
            <w:r w:rsidRPr="0053423A">
              <w:rPr>
                <w:sz w:val="20"/>
                <w:szCs w:val="20"/>
                <w:lang w:val="pt-BR"/>
              </w:rPr>
              <w:t xml:space="preserve"> </w:t>
            </w:r>
            <w:r w:rsidRPr="0053423A">
              <w:rPr>
                <w:sz w:val="20"/>
                <w:szCs w:val="20"/>
              </w:rPr>
              <w:t>նոր</w:t>
            </w:r>
            <w:r w:rsidRPr="0053423A">
              <w:rPr>
                <w:sz w:val="20"/>
                <w:szCs w:val="20"/>
                <w:lang w:val="pt-BR"/>
              </w:rPr>
              <w:t xml:space="preserve"> </w:t>
            </w:r>
            <w:r w:rsidRPr="0053423A">
              <w:rPr>
                <w:sz w:val="20"/>
                <w:szCs w:val="20"/>
              </w:rPr>
              <w:t>զարգացումները</w:t>
            </w:r>
            <w:r w:rsidRPr="0053423A">
              <w:rPr>
                <w:sz w:val="20"/>
                <w:szCs w:val="20"/>
                <w:lang w:val="pt-BR"/>
              </w:rPr>
              <w:t xml:space="preserve">, </w:t>
            </w:r>
            <w:r w:rsidRPr="0053423A">
              <w:rPr>
                <w:sz w:val="20"/>
                <w:szCs w:val="20"/>
              </w:rPr>
              <w:t>ինչպես</w:t>
            </w:r>
            <w:r w:rsidRPr="0053423A">
              <w:rPr>
                <w:sz w:val="20"/>
                <w:szCs w:val="20"/>
                <w:lang w:val="pt-BR"/>
              </w:rPr>
              <w:t xml:space="preserve"> </w:t>
            </w:r>
            <w:r w:rsidRPr="0053423A">
              <w:rPr>
                <w:sz w:val="20"/>
                <w:szCs w:val="20"/>
              </w:rPr>
              <w:t>նաև՝</w:t>
            </w:r>
            <w:r w:rsidRPr="0053423A">
              <w:rPr>
                <w:sz w:val="20"/>
                <w:szCs w:val="20"/>
                <w:lang w:val="pt-BR"/>
              </w:rPr>
              <w:t xml:space="preserve"> </w:t>
            </w:r>
            <w:r w:rsidRPr="0053423A">
              <w:rPr>
                <w:sz w:val="20"/>
                <w:szCs w:val="20"/>
              </w:rPr>
              <w:t>էլեկտրաէներգետիկական</w:t>
            </w:r>
            <w:r w:rsidRPr="0053423A">
              <w:rPr>
                <w:sz w:val="20"/>
                <w:szCs w:val="20"/>
                <w:lang w:val="pt-BR"/>
              </w:rPr>
              <w:t xml:space="preserve"> </w:t>
            </w:r>
            <w:r w:rsidRPr="0053423A">
              <w:rPr>
                <w:sz w:val="20"/>
                <w:szCs w:val="20"/>
              </w:rPr>
              <w:t>շուկայի</w:t>
            </w:r>
            <w:r w:rsidRPr="0053423A">
              <w:rPr>
                <w:sz w:val="20"/>
                <w:szCs w:val="20"/>
                <w:lang w:val="pt-BR"/>
              </w:rPr>
              <w:t xml:space="preserve"> </w:t>
            </w:r>
            <w:r w:rsidRPr="0053423A">
              <w:rPr>
                <w:sz w:val="20"/>
                <w:szCs w:val="20"/>
              </w:rPr>
              <w:t>մասնակիցերին</w:t>
            </w:r>
            <w:r w:rsidRPr="0053423A">
              <w:rPr>
                <w:sz w:val="20"/>
                <w:szCs w:val="20"/>
                <w:lang w:val="pt-BR"/>
              </w:rPr>
              <w:t xml:space="preserve"> </w:t>
            </w:r>
            <w:r w:rsidRPr="0053423A">
              <w:rPr>
                <w:sz w:val="20"/>
                <w:szCs w:val="20"/>
              </w:rPr>
              <w:t>արդյունավետ</w:t>
            </w:r>
            <w:r w:rsidRPr="0053423A">
              <w:rPr>
                <w:sz w:val="20"/>
                <w:szCs w:val="20"/>
                <w:lang w:val="pt-BR"/>
              </w:rPr>
              <w:t xml:space="preserve"> </w:t>
            </w:r>
            <w:r w:rsidRPr="0053423A">
              <w:rPr>
                <w:sz w:val="20"/>
                <w:szCs w:val="20"/>
              </w:rPr>
              <w:t>ներդրումների</w:t>
            </w:r>
            <w:r w:rsidRPr="0053423A">
              <w:rPr>
                <w:sz w:val="20"/>
                <w:szCs w:val="20"/>
                <w:lang w:val="pt-BR"/>
              </w:rPr>
              <w:t xml:space="preserve"> </w:t>
            </w:r>
            <w:r w:rsidRPr="0053423A">
              <w:rPr>
                <w:sz w:val="20"/>
                <w:szCs w:val="20"/>
              </w:rPr>
              <w:t>իրականացման</w:t>
            </w:r>
            <w:r w:rsidRPr="0053423A">
              <w:rPr>
                <w:sz w:val="20"/>
                <w:szCs w:val="20"/>
                <w:lang w:val="pt-BR"/>
              </w:rPr>
              <w:t xml:space="preserve"> </w:t>
            </w:r>
            <w:r w:rsidRPr="0053423A">
              <w:rPr>
                <w:sz w:val="20"/>
                <w:szCs w:val="20"/>
              </w:rPr>
              <w:t>նպատակով</w:t>
            </w:r>
            <w:r w:rsidRPr="0053423A">
              <w:rPr>
                <w:sz w:val="20"/>
                <w:szCs w:val="20"/>
                <w:lang w:val="pt-BR"/>
              </w:rPr>
              <w:t xml:space="preserve">, </w:t>
            </w:r>
            <w:r w:rsidRPr="0053423A">
              <w:rPr>
                <w:sz w:val="20"/>
                <w:szCs w:val="20"/>
              </w:rPr>
              <w:t>մշակել</w:t>
            </w:r>
            <w:r w:rsidRPr="0053423A">
              <w:rPr>
                <w:sz w:val="20"/>
                <w:szCs w:val="20"/>
                <w:lang w:val="pt-BR"/>
              </w:rPr>
              <w:t xml:space="preserve"> </w:t>
            </w:r>
            <w:r w:rsidRPr="0053423A">
              <w:rPr>
                <w:sz w:val="20"/>
                <w:szCs w:val="20"/>
              </w:rPr>
              <w:t>էլեկտրաէներգետիկական</w:t>
            </w:r>
            <w:r w:rsidRPr="0053423A">
              <w:rPr>
                <w:sz w:val="20"/>
                <w:szCs w:val="20"/>
                <w:lang w:val="pt-BR"/>
              </w:rPr>
              <w:t xml:space="preserve"> </w:t>
            </w:r>
            <w:r w:rsidRPr="0053423A">
              <w:rPr>
                <w:sz w:val="20"/>
                <w:szCs w:val="20"/>
              </w:rPr>
              <w:t>համակարգի</w:t>
            </w:r>
            <w:r w:rsidRPr="0053423A">
              <w:rPr>
                <w:sz w:val="20"/>
                <w:szCs w:val="20"/>
                <w:lang w:val="pt-BR"/>
              </w:rPr>
              <w:t xml:space="preserve"> </w:t>
            </w:r>
            <w:r w:rsidRPr="0053423A">
              <w:rPr>
                <w:sz w:val="20"/>
                <w:szCs w:val="20"/>
              </w:rPr>
              <w:t>նոր</w:t>
            </w:r>
            <w:r w:rsidRPr="0053423A">
              <w:rPr>
                <w:sz w:val="20"/>
                <w:szCs w:val="20"/>
                <w:lang w:val="pt-BR"/>
              </w:rPr>
              <w:t xml:space="preserve"> </w:t>
            </w:r>
            <w:r w:rsidRPr="0053423A">
              <w:rPr>
                <w:sz w:val="20"/>
                <w:szCs w:val="20"/>
              </w:rPr>
              <w:t>հեռանկարային</w:t>
            </w:r>
            <w:r w:rsidRPr="0053423A">
              <w:rPr>
                <w:sz w:val="20"/>
                <w:szCs w:val="20"/>
                <w:lang w:val="pt-BR"/>
              </w:rPr>
              <w:t xml:space="preserve"> </w:t>
            </w:r>
            <w:r w:rsidRPr="0053423A">
              <w:rPr>
                <w:sz w:val="20"/>
                <w:szCs w:val="20"/>
              </w:rPr>
              <w:t>զարգացման</w:t>
            </w:r>
            <w:r w:rsidRPr="0053423A">
              <w:rPr>
                <w:sz w:val="20"/>
                <w:szCs w:val="20"/>
                <w:lang w:val="pt-BR"/>
              </w:rPr>
              <w:t xml:space="preserve"> </w:t>
            </w:r>
            <w:r w:rsidRPr="0053423A">
              <w:rPr>
                <w:sz w:val="20"/>
                <w:szCs w:val="20"/>
              </w:rPr>
              <w:t>ծրագիր</w:t>
            </w:r>
            <w:r w:rsidRPr="0053423A">
              <w:rPr>
                <w:sz w:val="20"/>
                <w:szCs w:val="20"/>
                <w:lang w:val="pt-BR"/>
              </w:rPr>
              <w:t xml:space="preserve">: </w:t>
            </w:r>
          </w:p>
          <w:p w:rsidR="0084615D" w:rsidRPr="0053423A" w:rsidRDefault="00795500" w:rsidP="001F6D5D">
            <w:pPr>
              <w:numPr>
                <w:ilvl w:val="1"/>
                <w:numId w:val="254"/>
              </w:numPr>
              <w:spacing w:after="0" w:line="276" w:lineRule="auto"/>
              <w:ind w:firstLine="198"/>
              <w:rPr>
                <w:b/>
                <w:sz w:val="20"/>
                <w:szCs w:val="20"/>
              </w:rPr>
            </w:pPr>
            <w:r w:rsidRPr="0053423A">
              <w:rPr>
                <w:b/>
                <w:sz w:val="20"/>
                <w:szCs w:val="20"/>
              </w:rPr>
              <w:t>Ա</w:t>
            </w:r>
            <w:r w:rsidR="0084615D" w:rsidRPr="0053423A">
              <w:rPr>
                <w:b/>
                <w:sz w:val="20"/>
                <w:szCs w:val="20"/>
              </w:rPr>
              <w:t>ռկա խնդիրների առաջարկվող լուծումները.</w:t>
            </w:r>
          </w:p>
          <w:p w:rsidR="0084615D" w:rsidRPr="0053423A" w:rsidRDefault="0084615D" w:rsidP="00A67858">
            <w:pPr>
              <w:spacing w:after="0" w:line="276" w:lineRule="auto"/>
              <w:rPr>
                <w:sz w:val="20"/>
                <w:szCs w:val="20"/>
              </w:rPr>
            </w:pPr>
            <w:r w:rsidRPr="0053423A">
              <w:rPr>
                <w:sz w:val="20"/>
                <w:szCs w:val="20"/>
                <w:lang w:val="hy-AM"/>
              </w:rPr>
              <w:t>Հայաստանի էներգետիկ համակարգի նվազագույն արժեքով զարգացման հայեցակարգ</w:t>
            </w:r>
            <w:r w:rsidRPr="0053423A">
              <w:rPr>
                <w:sz w:val="20"/>
                <w:szCs w:val="20"/>
              </w:rPr>
              <w:t>ի</w:t>
            </w:r>
            <w:r w:rsidRPr="0053423A">
              <w:rPr>
                <w:sz w:val="20"/>
                <w:szCs w:val="20"/>
                <w:lang w:val="hy-AM"/>
              </w:rPr>
              <w:t xml:space="preserve"> </w:t>
            </w:r>
            <w:r w:rsidRPr="0053423A">
              <w:rPr>
                <w:sz w:val="20"/>
                <w:szCs w:val="20"/>
              </w:rPr>
              <w:t>մ</w:t>
            </w:r>
            <w:r w:rsidRPr="0053423A">
              <w:rPr>
                <w:sz w:val="20"/>
                <w:szCs w:val="20"/>
                <w:lang w:val="hy-AM"/>
              </w:rPr>
              <w:t>շակ</w:t>
            </w:r>
            <w:r w:rsidRPr="0053423A">
              <w:rPr>
                <w:sz w:val="20"/>
                <w:szCs w:val="20"/>
              </w:rPr>
              <w:t>ում:</w:t>
            </w:r>
          </w:p>
          <w:p w:rsidR="0084615D" w:rsidRPr="0053423A" w:rsidRDefault="0084615D" w:rsidP="00A67858">
            <w:pPr>
              <w:pStyle w:val="ListParagraph"/>
              <w:spacing w:after="0" w:line="276" w:lineRule="auto"/>
              <w:ind w:left="0"/>
              <w:rPr>
                <w:sz w:val="20"/>
                <w:szCs w:val="20"/>
              </w:rPr>
            </w:pPr>
            <w:r w:rsidRPr="0053423A">
              <w:rPr>
                <w:sz w:val="20"/>
                <w:szCs w:val="20"/>
                <w:lang w:val="hy-AM"/>
              </w:rPr>
              <w:t xml:space="preserve">Հայաստանի </w:t>
            </w:r>
            <w:r w:rsidRPr="0053423A">
              <w:rPr>
                <w:sz w:val="20"/>
                <w:szCs w:val="20"/>
              </w:rPr>
              <w:t>էլեկտրա</w:t>
            </w:r>
            <w:r w:rsidRPr="0053423A">
              <w:rPr>
                <w:sz w:val="20"/>
                <w:szCs w:val="20"/>
                <w:lang w:val="hy-AM"/>
              </w:rPr>
              <w:t>էներգետիկ</w:t>
            </w:r>
            <w:r w:rsidRPr="0053423A">
              <w:rPr>
                <w:sz w:val="20"/>
                <w:szCs w:val="20"/>
              </w:rPr>
              <w:t>ական</w:t>
            </w:r>
            <w:r w:rsidRPr="0053423A">
              <w:rPr>
                <w:sz w:val="20"/>
                <w:szCs w:val="20"/>
                <w:lang w:val="hy-AM"/>
              </w:rPr>
              <w:t xml:space="preserve"> համակարգի նոր հեռանկարային զարգացման ծրագր</w:t>
            </w:r>
            <w:r w:rsidRPr="0053423A">
              <w:rPr>
                <w:sz w:val="20"/>
                <w:szCs w:val="20"/>
              </w:rPr>
              <w:t>ի</w:t>
            </w:r>
            <w:r w:rsidRPr="0053423A">
              <w:rPr>
                <w:sz w:val="20"/>
                <w:szCs w:val="20"/>
                <w:lang w:val="hy-AM"/>
              </w:rPr>
              <w:t xml:space="preserve"> մշա</w:t>
            </w:r>
            <w:r w:rsidRPr="0053423A">
              <w:rPr>
                <w:sz w:val="20"/>
                <w:szCs w:val="20"/>
              </w:rPr>
              <w:t>կ</w:t>
            </w:r>
            <w:r w:rsidRPr="0053423A">
              <w:rPr>
                <w:sz w:val="20"/>
                <w:szCs w:val="20"/>
                <w:lang w:val="hy-AM"/>
              </w:rPr>
              <w:t>ում</w:t>
            </w:r>
            <w:r w:rsidRPr="0053423A">
              <w:rPr>
                <w:sz w:val="20"/>
                <w:szCs w:val="20"/>
              </w:rPr>
              <w:t>:</w:t>
            </w:r>
          </w:p>
          <w:p w:rsidR="0084615D" w:rsidRPr="0053423A" w:rsidRDefault="0084615D" w:rsidP="00A67858">
            <w:pPr>
              <w:pStyle w:val="ListParagraph"/>
              <w:spacing w:after="0" w:line="276" w:lineRule="auto"/>
              <w:ind w:left="0"/>
              <w:rPr>
                <w:sz w:val="20"/>
                <w:szCs w:val="20"/>
              </w:rPr>
            </w:pPr>
            <w:r w:rsidRPr="0053423A">
              <w:rPr>
                <w:sz w:val="20"/>
                <w:szCs w:val="20"/>
              </w:rPr>
              <w:t>Փաստաթղթերի մշակումը նախատեսվում է իրականացնել ՀՀ հանրային ծառայությունները կարգավորող հանձնաժողովի հետ համատեղ:</w:t>
            </w:r>
          </w:p>
          <w:p w:rsidR="0084615D" w:rsidRPr="0053423A" w:rsidRDefault="0084615D" w:rsidP="00A67858">
            <w:pPr>
              <w:spacing w:after="0" w:line="276" w:lineRule="auto"/>
              <w:jc w:val="both"/>
              <w:rPr>
                <w:sz w:val="20"/>
                <w:szCs w:val="20"/>
                <w:lang w:val="pt-BR"/>
              </w:rPr>
            </w:pPr>
            <w:r w:rsidRPr="0053423A">
              <w:rPr>
                <w:sz w:val="20"/>
                <w:szCs w:val="20"/>
                <w:lang w:val="pt-BR"/>
              </w:rPr>
              <w:t>Ներկայում ռազմավարական ծրագրերը մշակման փուլում են և կիրականացվեն կառավարության որոշմանը համահունչ:</w:t>
            </w:r>
          </w:p>
          <w:p w:rsidR="0084615D" w:rsidRPr="0053423A" w:rsidRDefault="0084615D" w:rsidP="001F6D5D">
            <w:pPr>
              <w:numPr>
                <w:ilvl w:val="0"/>
                <w:numId w:val="254"/>
              </w:numPr>
              <w:spacing w:after="0" w:line="276" w:lineRule="auto"/>
              <w:ind w:firstLine="630"/>
              <w:rPr>
                <w:b/>
                <w:sz w:val="20"/>
                <w:szCs w:val="20"/>
                <w:lang w:val="hy-AM"/>
              </w:rPr>
            </w:pPr>
            <w:r w:rsidRPr="0053423A">
              <w:rPr>
                <w:b/>
                <w:sz w:val="20"/>
                <w:szCs w:val="20"/>
              </w:rPr>
              <w:t>Միջոցառման իրակացումից ակնկալվող արդյունքը</w:t>
            </w:r>
          </w:p>
          <w:p w:rsidR="0084615D" w:rsidRPr="0053423A" w:rsidRDefault="0084615D" w:rsidP="00A67858">
            <w:pPr>
              <w:spacing w:after="0" w:line="276" w:lineRule="auto"/>
              <w:jc w:val="both"/>
              <w:rPr>
                <w:sz w:val="20"/>
                <w:szCs w:val="20"/>
                <w:lang w:val="hy-AM"/>
              </w:rPr>
            </w:pPr>
            <w:r w:rsidRPr="0053423A">
              <w:rPr>
                <w:sz w:val="20"/>
                <w:szCs w:val="20"/>
                <w:lang w:val="hy-AM"/>
              </w:rPr>
              <w:t>Հայաստանի էներգետիկ համակարգի նվազագույն արժեքով զարգացման հայեցակարգով կնախանշվեն էներգետիկական բնագավառի զարգացման ուղիները՝ 2020-2040թթ համար, ինչի  հիման վրա կմշակվի  նաև Հայաստանի էլեկտրաէներգետիկական համակարգի նոր հեռանկարային զարգացման ծրագիր, որով կնախանշվեն էլեկտրաէներգետիկական համակարգի զարգացմանն</w:t>
            </w:r>
            <w:r w:rsidRPr="0053423A">
              <w:rPr>
                <w:sz w:val="20"/>
                <w:szCs w:val="20"/>
                <w:lang w:val="af-ZA"/>
              </w:rPr>
              <w:t xml:space="preserve"> </w:t>
            </w:r>
            <w:r w:rsidRPr="0053423A">
              <w:rPr>
                <w:sz w:val="20"/>
                <w:szCs w:val="20"/>
                <w:lang w:val="hy-AM"/>
              </w:rPr>
              <w:t>ուղղված</w:t>
            </w:r>
            <w:r w:rsidRPr="0053423A">
              <w:rPr>
                <w:sz w:val="20"/>
                <w:szCs w:val="20"/>
                <w:lang w:val="af-ZA"/>
              </w:rPr>
              <w:t xml:space="preserve"> </w:t>
            </w:r>
            <w:r w:rsidRPr="0053423A">
              <w:rPr>
                <w:sz w:val="20"/>
                <w:szCs w:val="20"/>
                <w:lang w:val="hy-AM"/>
              </w:rPr>
              <w:t xml:space="preserve">միջոցառուներ՝ </w:t>
            </w:r>
            <w:r w:rsidRPr="0053423A">
              <w:rPr>
                <w:sz w:val="20"/>
                <w:szCs w:val="20"/>
                <w:lang w:val="hy-AM"/>
              </w:rPr>
              <w:br/>
              <w:t>տասնամյա</w:t>
            </w:r>
            <w:r w:rsidRPr="0053423A">
              <w:rPr>
                <w:sz w:val="20"/>
                <w:szCs w:val="20"/>
                <w:lang w:val="af-ZA"/>
              </w:rPr>
              <w:t xml:space="preserve"> </w:t>
            </w:r>
            <w:r w:rsidRPr="0053423A">
              <w:rPr>
                <w:sz w:val="20"/>
                <w:szCs w:val="20"/>
                <w:lang w:val="hy-AM"/>
              </w:rPr>
              <w:t>ժամանակաշրջանի համար: Արդյունքում կբարձրացվի էներգետիկ բնագավառում իրականացվող ներդրումների արդյունավետությունը, ինչպես նաև կհստակեցվեն ներդրումների կատարման ուղղությունները պոտենցիալ ներդրողների համար:</w:t>
            </w:r>
          </w:p>
          <w:p w:rsidR="0084615D" w:rsidRPr="0053423A" w:rsidRDefault="0084615D" w:rsidP="00A67858">
            <w:pPr>
              <w:spacing w:after="0" w:line="276" w:lineRule="auto"/>
              <w:ind w:left="360"/>
              <w:rPr>
                <w:b/>
                <w:sz w:val="20"/>
                <w:szCs w:val="20"/>
                <w:lang w:val="hy-AM"/>
              </w:rPr>
            </w:pPr>
          </w:p>
          <w:p w:rsidR="0084615D" w:rsidRPr="0053423A" w:rsidRDefault="0084615D" w:rsidP="00A67858">
            <w:pPr>
              <w:spacing w:after="0" w:line="276" w:lineRule="auto"/>
              <w:ind w:left="720" w:firstLine="360"/>
              <w:jc w:val="center"/>
              <w:rPr>
                <w:rFonts w:cs="Sylfaen"/>
                <w:b/>
                <w:color w:val="000000"/>
                <w:spacing w:val="-8"/>
                <w:sz w:val="20"/>
                <w:szCs w:val="20"/>
                <w:u w:val="single"/>
                <w:lang w:val="hy-AM"/>
              </w:rPr>
            </w:pPr>
            <w:r w:rsidRPr="0053423A">
              <w:rPr>
                <w:rFonts w:cs="Sylfaen"/>
                <w:b/>
                <w:color w:val="000000"/>
                <w:spacing w:val="-8"/>
                <w:sz w:val="20"/>
                <w:szCs w:val="20"/>
                <w:u w:val="single"/>
                <w:lang w:val="hy-AM"/>
              </w:rPr>
              <w:t>1.3 «Էներգետիկայի մասին» ՀՀ օրենքի նախագծին հավանություն տալու մասին» կառավարության որոշման նախագծի վերաբերյալ</w:t>
            </w:r>
          </w:p>
          <w:p w:rsidR="0084615D" w:rsidRPr="0053423A" w:rsidRDefault="0084615D" w:rsidP="001F6D5D">
            <w:pPr>
              <w:numPr>
                <w:ilvl w:val="0"/>
                <w:numId w:val="253"/>
              </w:numPr>
              <w:spacing w:after="0" w:line="276" w:lineRule="auto"/>
              <w:ind w:firstLine="255"/>
              <w:rPr>
                <w:b/>
                <w:sz w:val="20"/>
                <w:szCs w:val="20"/>
                <w:lang w:val="hy-AM"/>
              </w:rPr>
            </w:pPr>
            <w:r w:rsidRPr="0053423A">
              <w:rPr>
                <w:b/>
                <w:sz w:val="20"/>
                <w:szCs w:val="20"/>
                <w:lang w:val="hy-AM"/>
              </w:rPr>
              <w:t>Միջոցառման իրականացման անհրաժեշտությունը և նպատակը</w:t>
            </w:r>
          </w:p>
          <w:p w:rsidR="0084615D" w:rsidRPr="0053423A" w:rsidRDefault="0084615D" w:rsidP="00A67858">
            <w:pPr>
              <w:spacing w:after="0" w:line="276" w:lineRule="auto"/>
              <w:jc w:val="both"/>
              <w:rPr>
                <w:bCs/>
                <w:sz w:val="20"/>
                <w:szCs w:val="20"/>
                <w:lang w:val="hy-AM"/>
              </w:rPr>
            </w:pPr>
            <w:r w:rsidRPr="0053423A">
              <w:rPr>
                <w:spacing w:val="-2"/>
                <w:sz w:val="20"/>
                <w:szCs w:val="20"/>
                <w:lang w:val="hy-AM"/>
              </w:rPr>
              <w:t xml:space="preserve">Միջոցառումը բխում է ՀՀ կառավարության 2018 թվականի սեպտեմբերի 14-ի «Հայաստանի Հանրապետության էլեկտրաէներգետիկական համակարգի էլեկտրաէներգիայի շուկայի ազատականացման և միջպետական առևտրի զարգացման միջոցառումների ծրագիր-ժամանակացույցը հաստատելու մասին» /այսուհետ՝ Ծրագիր/ թիվ 1010-Լ որոշման հավելվածի 1-ին կետի </w:t>
            </w:r>
            <w:r w:rsidRPr="0053423A">
              <w:rPr>
                <w:bCs/>
                <w:sz w:val="20"/>
                <w:szCs w:val="20"/>
                <w:lang w:val="hy-AM"/>
              </w:rPr>
              <w:t>դրույթներից:</w:t>
            </w:r>
          </w:p>
          <w:p w:rsidR="0084615D" w:rsidRPr="0053423A" w:rsidRDefault="00795500" w:rsidP="001F6D5D">
            <w:pPr>
              <w:numPr>
                <w:ilvl w:val="1"/>
                <w:numId w:val="253"/>
              </w:numPr>
              <w:spacing w:after="0" w:line="276" w:lineRule="auto"/>
              <w:ind w:left="810" w:firstLine="90"/>
              <w:rPr>
                <w:b/>
                <w:sz w:val="20"/>
                <w:szCs w:val="20"/>
                <w:lang w:val="hy-AM"/>
              </w:rPr>
            </w:pPr>
            <w:r w:rsidRPr="0053423A">
              <w:rPr>
                <w:b/>
                <w:sz w:val="20"/>
                <w:szCs w:val="20"/>
                <w:lang w:val="hy-AM"/>
              </w:rPr>
              <w:t>Կ</w:t>
            </w:r>
            <w:r w:rsidR="0084615D" w:rsidRPr="0053423A">
              <w:rPr>
                <w:b/>
                <w:sz w:val="20"/>
                <w:szCs w:val="20"/>
                <w:lang w:val="hy-AM"/>
              </w:rPr>
              <w:t>արգավորման հարաբերությունների ներկա վիճակը և առկա խնդիրները</w:t>
            </w:r>
          </w:p>
          <w:p w:rsidR="0084615D" w:rsidRPr="0053423A" w:rsidRDefault="0084615D" w:rsidP="00A67858">
            <w:pPr>
              <w:spacing w:after="0" w:line="276" w:lineRule="auto"/>
              <w:jc w:val="both"/>
              <w:rPr>
                <w:spacing w:val="-2"/>
                <w:sz w:val="20"/>
                <w:szCs w:val="20"/>
                <w:lang w:val="hy-AM"/>
              </w:rPr>
            </w:pPr>
            <w:r w:rsidRPr="0053423A">
              <w:rPr>
                <w:spacing w:val="-2"/>
                <w:sz w:val="20"/>
                <w:szCs w:val="20"/>
                <w:lang w:val="hy-AM"/>
              </w:rPr>
              <w:t>Ներկայում էներգետիկայի բնագավառը կարգավորվում է «Էներգետիկայի մասին» ՀՀ ՀՕ-148 օրենքով: Օրենքի նոր լրացումներն ու փոփոխությունները ուժի մեջ մտան 2018 թվականի հուլիսի 1-ից, որի անցումային դրույթների համաձայն, կարգավորումներն ամբողջությամբ կսկսեն գործել 2020 թվականից: Դրանից հետո պարզ կլինեն օրենքում առկա խնդիրները և դրանց լուծմանն ուղղված կառաջարկվեն նոր կարգավորումներ:</w:t>
            </w:r>
          </w:p>
          <w:p w:rsidR="0084615D" w:rsidRPr="0053423A" w:rsidRDefault="00795500" w:rsidP="001F6D5D">
            <w:pPr>
              <w:numPr>
                <w:ilvl w:val="1"/>
                <w:numId w:val="253"/>
              </w:numPr>
              <w:spacing w:after="0" w:line="276" w:lineRule="auto"/>
              <w:ind w:left="900" w:firstLine="90"/>
              <w:rPr>
                <w:b/>
                <w:sz w:val="20"/>
                <w:szCs w:val="20"/>
              </w:rPr>
            </w:pPr>
            <w:r w:rsidRPr="0053423A">
              <w:rPr>
                <w:b/>
                <w:sz w:val="20"/>
                <w:szCs w:val="20"/>
              </w:rPr>
              <w:t>Ա</w:t>
            </w:r>
            <w:r w:rsidR="0084615D" w:rsidRPr="0053423A">
              <w:rPr>
                <w:b/>
                <w:sz w:val="20"/>
                <w:szCs w:val="20"/>
              </w:rPr>
              <w:t>ռկա խնդիրների առաջարկվող լուծումները</w:t>
            </w:r>
          </w:p>
          <w:p w:rsidR="0084615D" w:rsidRPr="0053423A" w:rsidRDefault="0084615D" w:rsidP="00A67858">
            <w:pPr>
              <w:spacing w:after="0" w:line="276" w:lineRule="auto"/>
              <w:jc w:val="both"/>
              <w:rPr>
                <w:sz w:val="20"/>
                <w:szCs w:val="20"/>
                <w:lang w:val="hy-AM"/>
              </w:rPr>
            </w:pPr>
            <w:r w:rsidRPr="0053423A">
              <w:rPr>
                <w:sz w:val="20"/>
                <w:szCs w:val="20"/>
              </w:rPr>
              <w:t>Մշակել «</w:t>
            </w:r>
            <w:r w:rsidRPr="0053423A">
              <w:rPr>
                <w:sz w:val="20"/>
                <w:szCs w:val="20"/>
                <w:lang w:val="hy-AM"/>
              </w:rPr>
              <w:t>Էներգետիկայի մասին» ՀՀ նոր օրենք՝ հաշվի առնելով միջազգային լավագույն փորձը, ինչպես նաև էլեկտրաէներգետիկական շուկայի մոդելի և էլեկտրաէներգիայի առևտրի մեխանիզմների ներդման ընթացքում առաջ եկած խնդիրները:</w:t>
            </w:r>
          </w:p>
          <w:p w:rsidR="0084615D" w:rsidRPr="0053423A" w:rsidRDefault="0084615D" w:rsidP="00A67858">
            <w:pPr>
              <w:spacing w:after="0" w:line="276" w:lineRule="auto"/>
              <w:jc w:val="both"/>
              <w:rPr>
                <w:sz w:val="20"/>
                <w:szCs w:val="20"/>
                <w:lang w:val="hy-AM"/>
              </w:rPr>
            </w:pPr>
            <w:r w:rsidRPr="0053423A">
              <w:rPr>
                <w:sz w:val="20"/>
                <w:szCs w:val="20"/>
                <w:lang w:val="hy-AM"/>
              </w:rPr>
              <w:t xml:space="preserve">Նոր օրենքով նախատեսվում է հստակեցել պետական քաղաքականության սկզբունքները, պետական տարբեր մարմինների և ոլորտում գործունեություն իրականացնող անձանց իրավասությունների շրջանակը, էլեկտրաէներգետիկական շուկայի հետագա կառուցվածքին ներկայացվող պահանջները, ինչպես նաև առաջադրել ազդակներ էլեկտրաէներգետիկական համակարգի հետագա կայուն զարգացման համար: </w:t>
            </w:r>
          </w:p>
          <w:p w:rsidR="0084615D" w:rsidRPr="0053423A" w:rsidRDefault="0084615D" w:rsidP="001F6D5D">
            <w:pPr>
              <w:numPr>
                <w:ilvl w:val="0"/>
                <w:numId w:val="253"/>
              </w:numPr>
              <w:spacing w:after="0" w:line="276" w:lineRule="auto"/>
              <w:ind w:firstLine="255"/>
              <w:rPr>
                <w:b/>
                <w:sz w:val="20"/>
                <w:szCs w:val="20"/>
              </w:rPr>
            </w:pPr>
            <w:r w:rsidRPr="0053423A">
              <w:rPr>
                <w:b/>
                <w:sz w:val="20"/>
                <w:szCs w:val="20"/>
              </w:rPr>
              <w:t>Միջոցառման իրակացումից ակնկալվող արդյունքը</w:t>
            </w:r>
          </w:p>
          <w:p w:rsidR="0084615D" w:rsidRPr="0053423A" w:rsidRDefault="0084615D" w:rsidP="00A67858">
            <w:pPr>
              <w:spacing w:after="0" w:line="276" w:lineRule="auto"/>
              <w:rPr>
                <w:rFonts w:eastAsia="Times New Roman"/>
                <w:b/>
                <w:bCs/>
                <w:sz w:val="20"/>
                <w:szCs w:val="20"/>
                <w:lang w:val="hy-AM"/>
              </w:rPr>
            </w:pPr>
            <w:r w:rsidRPr="0053423A">
              <w:rPr>
                <w:rFonts w:cs="Sylfaen"/>
                <w:sz w:val="20"/>
                <w:szCs w:val="20"/>
                <w:lang w:val="hy-AM"/>
              </w:rPr>
              <w:t>ՀՀ</w:t>
            </w:r>
            <w:r w:rsidRPr="0053423A">
              <w:rPr>
                <w:rFonts w:cs="Sylfaen"/>
                <w:sz w:val="20"/>
                <w:szCs w:val="20"/>
                <w:lang w:val="ro-RO"/>
              </w:rPr>
              <w:t xml:space="preserve"> </w:t>
            </w:r>
            <w:r w:rsidRPr="0053423A">
              <w:rPr>
                <w:rFonts w:cs="Sylfaen"/>
                <w:sz w:val="20"/>
                <w:szCs w:val="20"/>
                <w:lang w:val="hy-AM"/>
              </w:rPr>
              <w:t>էլեկտրաէներգետիկական</w:t>
            </w:r>
            <w:r w:rsidRPr="0053423A">
              <w:rPr>
                <w:rFonts w:cs="Sylfaen"/>
                <w:sz w:val="20"/>
                <w:szCs w:val="20"/>
                <w:lang w:val="af-ZA"/>
              </w:rPr>
              <w:t xml:space="preserve"> </w:t>
            </w:r>
            <w:r w:rsidRPr="0053423A">
              <w:rPr>
                <w:rFonts w:cs="Sylfaen"/>
                <w:sz w:val="20"/>
                <w:szCs w:val="20"/>
                <w:lang w:val="hy-AM"/>
              </w:rPr>
              <w:t xml:space="preserve">համակարգի իրավական դաշտի կատարելագործում։ </w:t>
            </w:r>
            <w:r w:rsidRPr="0053423A">
              <w:rPr>
                <w:sz w:val="20"/>
                <w:szCs w:val="20"/>
                <w:lang w:val="hy-AM"/>
              </w:rPr>
              <w:t>Օրենքի մշակումը նախատեսվում է իրականացնել ՀՀ հանրային ծառայությունները կարգավորող հանձնաժողովի հետ համատեղ:</w:t>
            </w:r>
          </w:p>
        </w:tc>
      </w:tr>
      <w:tr w:rsidR="0084615D" w:rsidRPr="0053423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2</w:t>
            </w:r>
          </w:p>
        </w:tc>
        <w:tc>
          <w:tcPr>
            <w:tcW w:w="10879" w:type="dxa"/>
            <w:shd w:val="clear" w:color="auto" w:fill="auto"/>
          </w:tcPr>
          <w:p w:rsidR="0084615D" w:rsidRPr="0053423A" w:rsidRDefault="0084615D" w:rsidP="00A67858">
            <w:pPr>
              <w:pStyle w:val="ListParagraph"/>
              <w:tabs>
                <w:tab w:val="left" w:pos="255"/>
              </w:tabs>
              <w:spacing w:after="0" w:line="276" w:lineRule="auto"/>
              <w:ind w:left="0"/>
              <w:jc w:val="center"/>
              <w:rPr>
                <w:b/>
                <w:sz w:val="20"/>
                <w:szCs w:val="20"/>
                <w:lang w:val="hy-AM"/>
              </w:rPr>
            </w:pPr>
            <w:r w:rsidRPr="0053423A">
              <w:rPr>
                <w:b/>
                <w:sz w:val="20"/>
                <w:szCs w:val="20"/>
                <w:lang w:val="hy-AM"/>
              </w:rPr>
              <w:t>Հայկական ԱԷԿ-ի երկրորդ էներգաբլոկի շահագործման նախագծային ժամկետի երկարաձգում և արդիականացում</w:t>
            </w:r>
          </w:p>
          <w:p w:rsidR="0084615D" w:rsidRPr="0053423A" w:rsidRDefault="0084615D" w:rsidP="00A67858">
            <w:pPr>
              <w:pStyle w:val="ListParagraph"/>
              <w:tabs>
                <w:tab w:val="left" w:pos="255"/>
              </w:tabs>
              <w:spacing w:after="0" w:line="276" w:lineRule="auto"/>
              <w:ind w:left="0"/>
              <w:jc w:val="center"/>
              <w:rPr>
                <w:b/>
                <w:sz w:val="20"/>
                <w:szCs w:val="20"/>
                <w:lang w:val="hy-AM"/>
              </w:rPr>
            </w:pPr>
          </w:p>
          <w:p w:rsidR="0084615D" w:rsidRPr="0053423A" w:rsidRDefault="0084615D" w:rsidP="00A67858">
            <w:pPr>
              <w:pStyle w:val="BodyText"/>
              <w:tabs>
                <w:tab w:val="left" w:pos="270"/>
              </w:tabs>
              <w:spacing w:after="0" w:line="276" w:lineRule="auto"/>
              <w:ind w:left="252" w:hanging="90"/>
              <w:jc w:val="center"/>
              <w:rPr>
                <w:rFonts w:ascii="GHEA Grapalat" w:eastAsia="Calibri" w:hAnsi="GHEA Grapalat"/>
                <w:b/>
                <w:sz w:val="20"/>
                <w:szCs w:val="20"/>
                <w:u w:val="single"/>
                <w:lang w:val="af-ZA"/>
              </w:rPr>
            </w:pPr>
            <w:r w:rsidRPr="0053423A">
              <w:rPr>
                <w:rFonts w:ascii="GHEA Grapalat" w:eastAsia="Calibri" w:hAnsi="GHEA Grapalat"/>
                <w:b/>
                <w:sz w:val="20"/>
                <w:szCs w:val="20"/>
                <w:u w:val="single"/>
                <w:lang w:val="af-ZA"/>
              </w:rPr>
              <w:t>2.1</w:t>
            </w:r>
            <w:r w:rsidRPr="0053423A">
              <w:rPr>
                <w:rFonts w:ascii="GHEA Grapalat" w:eastAsia="Calibri" w:hAnsi="GHEA Grapalat"/>
                <w:b/>
                <w:sz w:val="20"/>
                <w:szCs w:val="20"/>
                <w:u w:val="single"/>
                <w:lang w:val="af-ZA"/>
              </w:rPr>
              <w:tab/>
              <w:t>Իրականացնել Հայկական ԱԷԿ-ի երկրորդ էներգաբլոկի արդիականացման և շահագործման ժամկետի երկարաձգման ծրագրի ավարտական փուլի աշխատանքները</w:t>
            </w:r>
          </w:p>
          <w:p w:rsidR="0084615D" w:rsidRPr="0053423A" w:rsidRDefault="0084615D" w:rsidP="00A67858">
            <w:pPr>
              <w:pStyle w:val="BodyText"/>
              <w:tabs>
                <w:tab w:val="left" w:pos="270"/>
              </w:tabs>
              <w:spacing w:after="0" w:line="276" w:lineRule="auto"/>
              <w:ind w:left="252" w:hanging="90"/>
              <w:jc w:val="center"/>
              <w:rPr>
                <w:rFonts w:ascii="GHEA Grapalat" w:eastAsia="Calibri" w:hAnsi="GHEA Grapalat"/>
                <w:b/>
                <w:i/>
                <w:sz w:val="20"/>
                <w:szCs w:val="20"/>
                <w:u w:val="single"/>
                <w:lang w:val="af-ZA"/>
              </w:rPr>
            </w:pPr>
          </w:p>
          <w:p w:rsidR="0084615D" w:rsidRPr="0053423A" w:rsidRDefault="0084615D" w:rsidP="001F6D5D">
            <w:pPr>
              <w:pStyle w:val="ListParagraph"/>
              <w:numPr>
                <w:ilvl w:val="0"/>
                <w:numId w:val="260"/>
              </w:numPr>
              <w:spacing w:after="0" w:line="276" w:lineRule="auto"/>
              <w:ind w:firstLine="270"/>
              <w:rPr>
                <w:b/>
                <w:sz w:val="20"/>
                <w:szCs w:val="20"/>
                <w:lang w:val="hy-AM"/>
              </w:rPr>
            </w:pPr>
            <w:r w:rsidRPr="0053423A">
              <w:rPr>
                <w:rFonts w:cs="Sylfaen"/>
                <w:b/>
                <w:sz w:val="20"/>
                <w:szCs w:val="20"/>
                <w:lang w:val="hy-AM"/>
              </w:rPr>
              <w:t>Միջոցառման</w:t>
            </w:r>
            <w:r w:rsidRPr="0053423A">
              <w:rPr>
                <w:b/>
                <w:sz w:val="20"/>
                <w:szCs w:val="20"/>
                <w:lang w:val="hy-AM"/>
              </w:rPr>
              <w:t xml:space="preserve"> իրականացման անհրաժեշտությունը և նպատակը</w:t>
            </w:r>
          </w:p>
          <w:p w:rsidR="0084615D" w:rsidRPr="0053423A" w:rsidRDefault="0084615D" w:rsidP="00A67858">
            <w:pPr>
              <w:pStyle w:val="ListParagraph"/>
              <w:tabs>
                <w:tab w:val="left" w:pos="0"/>
                <w:tab w:val="left" w:pos="90"/>
              </w:tabs>
              <w:spacing w:after="0" w:line="276" w:lineRule="auto"/>
              <w:ind w:left="0"/>
              <w:jc w:val="both"/>
              <w:rPr>
                <w:rFonts w:cs="GHEAGrapalat"/>
                <w:sz w:val="20"/>
                <w:szCs w:val="20"/>
                <w:lang w:val="hy-AM"/>
              </w:rPr>
            </w:pPr>
            <w:r w:rsidRPr="0053423A">
              <w:rPr>
                <w:sz w:val="20"/>
                <w:szCs w:val="20"/>
                <w:lang w:val="hy-AM"/>
              </w:rPr>
              <w:t xml:space="preserve">Միջոցառման անհրաժեշտությունը բխում է </w:t>
            </w:r>
            <w:r w:rsidRPr="0053423A">
              <w:rPr>
                <w:sz w:val="20"/>
                <w:szCs w:val="20"/>
                <w:lang w:val="hy-AM" w:eastAsia="en-GB"/>
              </w:rPr>
              <w:t>ՀՀ</w:t>
            </w:r>
            <w:r w:rsidRPr="0053423A">
              <w:rPr>
                <w:sz w:val="20"/>
                <w:szCs w:val="20"/>
                <w:lang w:val="af-ZA" w:eastAsia="en-GB"/>
              </w:rPr>
              <w:t xml:space="preserve"> </w:t>
            </w:r>
            <w:r w:rsidRPr="0053423A">
              <w:rPr>
                <w:sz w:val="20"/>
                <w:szCs w:val="20"/>
                <w:lang w:val="hy-AM" w:eastAsia="en-GB"/>
              </w:rPr>
              <w:t>Նախագահի</w:t>
            </w:r>
            <w:r w:rsidRPr="0053423A">
              <w:rPr>
                <w:sz w:val="20"/>
                <w:szCs w:val="20"/>
                <w:lang w:val="af-ZA" w:eastAsia="en-GB"/>
              </w:rPr>
              <w:t xml:space="preserve"> 2013</w:t>
            </w:r>
            <w:r w:rsidRPr="0053423A">
              <w:rPr>
                <w:sz w:val="20"/>
                <w:szCs w:val="20"/>
                <w:lang w:val="hy-AM" w:eastAsia="en-GB"/>
              </w:rPr>
              <w:t>թ</w:t>
            </w:r>
            <w:r w:rsidRPr="0053423A">
              <w:rPr>
                <w:sz w:val="20"/>
                <w:szCs w:val="20"/>
                <w:lang w:val="af-ZA" w:eastAsia="en-GB"/>
              </w:rPr>
              <w:t xml:space="preserve">. </w:t>
            </w:r>
            <w:r w:rsidRPr="0053423A">
              <w:rPr>
                <w:sz w:val="20"/>
                <w:szCs w:val="20"/>
                <w:lang w:val="hy-AM" w:eastAsia="en-GB"/>
              </w:rPr>
              <w:t>հոկտեմբերի</w:t>
            </w:r>
            <w:r w:rsidRPr="0053423A">
              <w:rPr>
                <w:sz w:val="20"/>
                <w:szCs w:val="20"/>
                <w:lang w:val="af-ZA" w:eastAsia="en-GB"/>
              </w:rPr>
              <w:t xml:space="preserve"> 23-</w:t>
            </w:r>
            <w:r w:rsidRPr="0053423A">
              <w:rPr>
                <w:sz w:val="20"/>
                <w:szCs w:val="20"/>
                <w:lang w:val="hy-AM" w:eastAsia="en-GB"/>
              </w:rPr>
              <w:t>ի</w:t>
            </w:r>
            <w:r w:rsidRPr="0053423A">
              <w:rPr>
                <w:sz w:val="20"/>
                <w:szCs w:val="20"/>
                <w:lang w:val="af-ZA" w:eastAsia="en-GB"/>
              </w:rPr>
              <w:t xml:space="preserve"> </w:t>
            </w:r>
            <w:r w:rsidRPr="0053423A">
              <w:rPr>
                <w:sz w:val="20"/>
                <w:szCs w:val="20"/>
                <w:lang w:val="hy-AM" w:eastAsia="en-GB"/>
              </w:rPr>
              <w:t>ՆԿ</w:t>
            </w:r>
            <w:r w:rsidRPr="0053423A">
              <w:rPr>
                <w:sz w:val="20"/>
                <w:szCs w:val="20"/>
                <w:lang w:val="af-ZA" w:eastAsia="en-GB"/>
              </w:rPr>
              <w:t>-182-</w:t>
            </w:r>
            <w:r w:rsidRPr="0053423A">
              <w:rPr>
                <w:sz w:val="20"/>
                <w:szCs w:val="20"/>
                <w:lang w:val="hy-AM" w:eastAsia="en-GB"/>
              </w:rPr>
              <w:t>Ն</w:t>
            </w:r>
            <w:r w:rsidRPr="0053423A">
              <w:rPr>
                <w:sz w:val="20"/>
                <w:szCs w:val="20"/>
                <w:lang w:val="hy-AM"/>
              </w:rPr>
              <w:t xml:space="preserve"> հաստատված «Հ</w:t>
            </w:r>
            <w:r w:rsidRPr="0053423A">
              <w:rPr>
                <w:sz w:val="20"/>
                <w:szCs w:val="20"/>
                <w:lang w:val="fr-FR"/>
              </w:rPr>
              <w:t>այաստանի</w:t>
            </w:r>
            <w:r w:rsidRPr="0053423A">
              <w:rPr>
                <w:sz w:val="20"/>
                <w:szCs w:val="20"/>
                <w:lang w:val="hy-AM"/>
              </w:rPr>
              <w:t xml:space="preserve"> Հ</w:t>
            </w:r>
            <w:r w:rsidRPr="0053423A">
              <w:rPr>
                <w:sz w:val="20"/>
                <w:szCs w:val="20"/>
                <w:lang w:val="fr-FR"/>
              </w:rPr>
              <w:t>անրապետության</w:t>
            </w:r>
            <w:r w:rsidRPr="0053423A">
              <w:rPr>
                <w:sz w:val="20"/>
                <w:szCs w:val="20"/>
                <w:lang w:val="hy-AM"/>
              </w:rPr>
              <w:t xml:space="preserve"> էներգետիկ</w:t>
            </w:r>
            <w:r w:rsidRPr="0053423A">
              <w:rPr>
                <w:sz w:val="20"/>
                <w:szCs w:val="20"/>
                <w:lang w:val="af-ZA"/>
              </w:rPr>
              <w:t xml:space="preserve"> </w:t>
            </w:r>
            <w:r w:rsidRPr="0053423A">
              <w:rPr>
                <w:sz w:val="20"/>
                <w:szCs w:val="20"/>
                <w:lang w:val="hy-AM"/>
              </w:rPr>
              <w:t>անվտանգության</w:t>
            </w:r>
            <w:r w:rsidRPr="0053423A">
              <w:rPr>
                <w:sz w:val="20"/>
                <w:szCs w:val="20"/>
                <w:lang w:val="af-ZA"/>
              </w:rPr>
              <w:t xml:space="preserve"> </w:t>
            </w:r>
            <w:r w:rsidRPr="0053423A">
              <w:rPr>
                <w:sz w:val="20"/>
                <w:szCs w:val="20"/>
                <w:lang w:val="fr-FR"/>
              </w:rPr>
              <w:t>ապահովման</w:t>
            </w:r>
            <w:r w:rsidRPr="0053423A">
              <w:rPr>
                <w:sz w:val="20"/>
                <w:szCs w:val="20"/>
                <w:lang w:val="af-ZA"/>
              </w:rPr>
              <w:t xml:space="preserve"> </w:t>
            </w:r>
            <w:r w:rsidRPr="0053423A">
              <w:rPr>
                <w:sz w:val="20"/>
                <w:szCs w:val="20"/>
                <w:lang w:val="hy-AM"/>
              </w:rPr>
              <w:t>հայեցակարգը</w:t>
            </w:r>
            <w:r w:rsidRPr="0053423A">
              <w:rPr>
                <w:sz w:val="20"/>
                <w:szCs w:val="20"/>
                <w:lang w:val="af-ZA"/>
              </w:rPr>
              <w:t xml:space="preserve"> </w:t>
            </w:r>
            <w:r w:rsidRPr="0053423A">
              <w:rPr>
                <w:sz w:val="20"/>
                <w:szCs w:val="20"/>
                <w:lang w:val="hy-AM"/>
              </w:rPr>
              <w:t>հաստատելու</w:t>
            </w:r>
            <w:r w:rsidRPr="0053423A">
              <w:rPr>
                <w:sz w:val="20"/>
                <w:szCs w:val="20"/>
                <w:lang w:val="af-ZA"/>
              </w:rPr>
              <w:t xml:space="preserve"> </w:t>
            </w:r>
            <w:r w:rsidRPr="0053423A">
              <w:rPr>
                <w:sz w:val="20"/>
                <w:szCs w:val="20"/>
                <w:lang w:val="hy-AM"/>
              </w:rPr>
              <w:t>մասին</w:t>
            </w:r>
            <w:r w:rsidRPr="0053423A">
              <w:rPr>
                <w:bCs/>
                <w:sz w:val="20"/>
                <w:szCs w:val="20"/>
                <w:lang w:val="hy-AM"/>
              </w:rPr>
              <w:t xml:space="preserve">» </w:t>
            </w:r>
            <w:r w:rsidRPr="0053423A">
              <w:rPr>
                <w:sz w:val="20"/>
                <w:szCs w:val="20"/>
                <w:lang w:val="hy-AM"/>
              </w:rPr>
              <w:t xml:space="preserve">կարգադրության </w:t>
            </w:r>
            <w:r w:rsidRPr="0053423A">
              <w:rPr>
                <w:bCs/>
                <w:sz w:val="20"/>
                <w:szCs w:val="20"/>
                <w:lang w:val="hy-AM"/>
              </w:rPr>
              <w:t>8-րդ բաժնի 4-րդ մասի և 2014թ</w:t>
            </w:r>
            <w:r w:rsidRPr="0053423A">
              <w:rPr>
                <w:bCs/>
                <w:sz w:val="20"/>
                <w:szCs w:val="20"/>
                <w:lang w:val="af-ZA"/>
              </w:rPr>
              <w:t>.</w:t>
            </w:r>
            <w:r w:rsidRPr="0053423A">
              <w:rPr>
                <w:bCs/>
                <w:sz w:val="20"/>
                <w:szCs w:val="20"/>
                <w:lang w:val="hy-AM"/>
              </w:rPr>
              <w:t xml:space="preserve"> հուլիսի 31-ի «Հայաստանի Հանրապետության էներգետիկ անվտանգության ապահովման հայեցակարգի դրույթների իրականացումն ապահովող 2014-2020 թվականների միջոցառումների ծրագիր ժամանակացույցը հաստատելու մասին» ՀՀ կառավարության թիվ 836-Ն որոշմամբ հաստատված հավելվածի 1բ) կետի դրույթներից և</w:t>
            </w:r>
            <w:r w:rsidRPr="0053423A">
              <w:rPr>
                <w:bCs/>
                <w:sz w:val="20"/>
                <w:szCs w:val="20"/>
                <w:lang w:val="af-ZA"/>
              </w:rPr>
              <w:t xml:space="preserve"> </w:t>
            </w:r>
            <w:r w:rsidRPr="0053423A">
              <w:rPr>
                <w:spacing w:val="-2"/>
                <w:sz w:val="20"/>
                <w:szCs w:val="20"/>
                <w:lang w:val="hy-AM"/>
              </w:rPr>
              <w:t xml:space="preserve">ՀՀ կառավարության 2019թ. փետրվարի 8-ի N 65-Ա որոշմամբ հաստատաված ՀՀ կառավարության ծրագրի </w:t>
            </w:r>
            <w:r w:rsidRPr="0053423A">
              <w:rPr>
                <w:rFonts w:cs="GHEAGrapalat"/>
                <w:sz w:val="20"/>
                <w:szCs w:val="20"/>
                <w:lang w:val="hy-AM"/>
              </w:rPr>
              <w:t>6.2. կետի՝ «Էներգետիկ բնագավառը» բաժնի դրույթից:</w:t>
            </w:r>
          </w:p>
          <w:p w:rsidR="0084615D" w:rsidRPr="0053423A" w:rsidRDefault="0084615D" w:rsidP="00A67858">
            <w:pPr>
              <w:spacing w:after="0" w:line="276" w:lineRule="auto"/>
              <w:ind w:left="90"/>
              <w:jc w:val="both"/>
              <w:rPr>
                <w:bCs/>
                <w:spacing w:val="-4"/>
                <w:sz w:val="20"/>
                <w:szCs w:val="20"/>
                <w:lang w:val="af-ZA"/>
              </w:rPr>
            </w:pPr>
            <w:r w:rsidRPr="0053423A">
              <w:rPr>
                <w:rFonts w:cs="Sylfaen"/>
                <w:sz w:val="20"/>
                <w:szCs w:val="20"/>
                <w:lang w:val="hy-AM"/>
              </w:rPr>
              <w:t>Հաշվի</w:t>
            </w:r>
            <w:r w:rsidRPr="0053423A">
              <w:rPr>
                <w:sz w:val="20"/>
                <w:szCs w:val="20"/>
                <w:lang w:val="af-ZA"/>
              </w:rPr>
              <w:t xml:space="preserve"> </w:t>
            </w:r>
            <w:r w:rsidRPr="0053423A">
              <w:rPr>
                <w:sz w:val="20"/>
                <w:szCs w:val="20"/>
                <w:lang w:val="hy-AM"/>
              </w:rPr>
              <w:t>առնելով</w:t>
            </w:r>
            <w:r w:rsidRPr="0053423A">
              <w:rPr>
                <w:sz w:val="20"/>
                <w:szCs w:val="20"/>
                <w:lang w:val="af-ZA"/>
              </w:rPr>
              <w:t xml:space="preserve">, </w:t>
            </w:r>
            <w:r w:rsidRPr="0053423A">
              <w:rPr>
                <w:sz w:val="20"/>
                <w:szCs w:val="20"/>
                <w:lang w:val="hy-AM"/>
              </w:rPr>
              <w:t>որ</w:t>
            </w:r>
            <w:r w:rsidRPr="0053423A">
              <w:rPr>
                <w:sz w:val="20"/>
                <w:szCs w:val="20"/>
                <w:lang w:val="af-ZA"/>
              </w:rPr>
              <w:t xml:space="preserve"> </w:t>
            </w:r>
            <w:r w:rsidRPr="0053423A">
              <w:rPr>
                <w:sz w:val="20"/>
                <w:szCs w:val="20"/>
                <w:lang w:val="hy-AM"/>
              </w:rPr>
              <w:t>ՀՀ</w:t>
            </w:r>
            <w:r w:rsidRPr="0053423A">
              <w:rPr>
                <w:sz w:val="20"/>
                <w:szCs w:val="20"/>
                <w:lang w:val="af-ZA"/>
              </w:rPr>
              <w:t>-</w:t>
            </w:r>
            <w:r w:rsidRPr="0053423A">
              <w:rPr>
                <w:sz w:val="20"/>
                <w:szCs w:val="20"/>
                <w:lang w:val="hy-AM"/>
              </w:rPr>
              <w:t>ում</w:t>
            </w:r>
            <w:r w:rsidRPr="0053423A">
              <w:rPr>
                <w:sz w:val="20"/>
                <w:szCs w:val="20"/>
                <w:lang w:val="af-ZA"/>
              </w:rPr>
              <w:t xml:space="preserve"> </w:t>
            </w:r>
            <w:r w:rsidRPr="0053423A">
              <w:rPr>
                <w:sz w:val="20"/>
                <w:szCs w:val="20"/>
                <w:lang w:val="hy-AM"/>
              </w:rPr>
              <w:t>նոր</w:t>
            </w:r>
            <w:r w:rsidRPr="0053423A">
              <w:rPr>
                <w:sz w:val="20"/>
                <w:szCs w:val="20"/>
                <w:lang w:val="af-ZA"/>
              </w:rPr>
              <w:t xml:space="preserve"> </w:t>
            </w:r>
            <w:r w:rsidRPr="0053423A">
              <w:rPr>
                <w:sz w:val="20"/>
                <w:szCs w:val="20"/>
                <w:lang w:val="hy-AM"/>
              </w:rPr>
              <w:t>միջուկային</w:t>
            </w:r>
            <w:r w:rsidRPr="0053423A">
              <w:rPr>
                <w:sz w:val="20"/>
                <w:szCs w:val="20"/>
                <w:lang w:val="af-ZA"/>
              </w:rPr>
              <w:t xml:space="preserve"> </w:t>
            </w:r>
            <w:r w:rsidRPr="0053423A">
              <w:rPr>
                <w:sz w:val="20"/>
                <w:szCs w:val="20"/>
                <w:lang w:val="hy-AM"/>
              </w:rPr>
              <w:t>էներգաբլոկի</w:t>
            </w:r>
            <w:r w:rsidRPr="0053423A">
              <w:rPr>
                <w:sz w:val="20"/>
                <w:szCs w:val="20"/>
                <w:lang w:val="af-ZA"/>
              </w:rPr>
              <w:t xml:space="preserve"> </w:t>
            </w:r>
            <w:r w:rsidRPr="0053423A">
              <w:rPr>
                <w:sz w:val="20"/>
                <w:szCs w:val="20"/>
                <w:lang w:val="hy-AM"/>
              </w:rPr>
              <w:t>կառուցման</w:t>
            </w:r>
            <w:r w:rsidRPr="0053423A">
              <w:rPr>
                <w:sz w:val="20"/>
                <w:szCs w:val="20"/>
                <w:lang w:val="af-ZA"/>
              </w:rPr>
              <w:t xml:space="preserve"> </w:t>
            </w:r>
            <w:r w:rsidRPr="0053423A">
              <w:rPr>
                <w:sz w:val="20"/>
                <w:szCs w:val="20"/>
                <w:lang w:val="hy-AM"/>
              </w:rPr>
              <w:t>ծրագիրը</w:t>
            </w:r>
            <w:r w:rsidRPr="0053423A">
              <w:rPr>
                <w:sz w:val="20"/>
                <w:szCs w:val="20"/>
                <w:lang w:val="af-ZA"/>
              </w:rPr>
              <w:t xml:space="preserve"> </w:t>
            </w:r>
            <w:r w:rsidRPr="0053423A">
              <w:rPr>
                <w:sz w:val="20"/>
                <w:szCs w:val="20"/>
                <w:lang w:val="hy-AM"/>
              </w:rPr>
              <w:t>հետաձգվում</w:t>
            </w:r>
            <w:r w:rsidRPr="0053423A">
              <w:rPr>
                <w:sz w:val="20"/>
                <w:szCs w:val="20"/>
                <w:lang w:val="af-ZA"/>
              </w:rPr>
              <w:t xml:space="preserve"> </w:t>
            </w:r>
            <w:r w:rsidRPr="0053423A">
              <w:rPr>
                <w:sz w:val="20"/>
                <w:szCs w:val="20"/>
                <w:lang w:val="hy-AM"/>
              </w:rPr>
              <w:t>է</w:t>
            </w:r>
            <w:r w:rsidRPr="0053423A">
              <w:rPr>
                <w:sz w:val="20"/>
                <w:szCs w:val="20"/>
                <w:lang w:val="af-ZA"/>
              </w:rPr>
              <w:t xml:space="preserve"> (</w:t>
            </w:r>
            <w:r w:rsidRPr="0053423A">
              <w:rPr>
                <w:sz w:val="20"/>
                <w:szCs w:val="20"/>
                <w:lang w:val="hy-AM"/>
              </w:rPr>
              <w:t>նախատեսվում</w:t>
            </w:r>
            <w:r w:rsidRPr="0053423A">
              <w:rPr>
                <w:sz w:val="20"/>
                <w:szCs w:val="20"/>
                <w:lang w:val="af-ZA"/>
              </w:rPr>
              <w:t xml:space="preserve"> </w:t>
            </w:r>
            <w:r w:rsidRPr="0053423A">
              <w:rPr>
                <w:sz w:val="20"/>
                <w:szCs w:val="20"/>
                <w:lang w:val="hy-AM"/>
              </w:rPr>
              <w:t>էր</w:t>
            </w:r>
            <w:r w:rsidRPr="0053423A">
              <w:rPr>
                <w:sz w:val="20"/>
                <w:szCs w:val="20"/>
                <w:lang w:val="af-ZA"/>
              </w:rPr>
              <w:t xml:space="preserve"> </w:t>
            </w:r>
            <w:r w:rsidRPr="0053423A">
              <w:rPr>
                <w:sz w:val="20"/>
                <w:szCs w:val="20"/>
                <w:lang w:val="hy-AM"/>
              </w:rPr>
              <w:t>անցկացնել</w:t>
            </w:r>
            <w:r w:rsidRPr="0053423A">
              <w:rPr>
                <w:sz w:val="20"/>
                <w:szCs w:val="20"/>
                <w:lang w:val="af-ZA"/>
              </w:rPr>
              <w:t xml:space="preserve"> </w:t>
            </w:r>
            <w:r w:rsidRPr="0053423A">
              <w:rPr>
                <w:sz w:val="20"/>
                <w:szCs w:val="20"/>
                <w:lang w:val="hy-AM"/>
              </w:rPr>
              <w:t>ներդրողների</w:t>
            </w:r>
            <w:r w:rsidRPr="0053423A">
              <w:rPr>
                <w:sz w:val="20"/>
                <w:szCs w:val="20"/>
                <w:lang w:val="af-ZA"/>
              </w:rPr>
              <w:t xml:space="preserve"> </w:t>
            </w:r>
            <w:r w:rsidRPr="0053423A">
              <w:rPr>
                <w:sz w:val="20"/>
                <w:szCs w:val="20"/>
                <w:lang w:val="hy-AM"/>
              </w:rPr>
              <w:t>կոնֆերանս</w:t>
            </w:r>
            <w:r w:rsidRPr="0053423A">
              <w:rPr>
                <w:sz w:val="20"/>
                <w:szCs w:val="20"/>
                <w:lang w:val="af-ZA"/>
              </w:rPr>
              <w:t xml:space="preserve"> 2011 </w:t>
            </w:r>
            <w:r w:rsidRPr="0053423A">
              <w:rPr>
                <w:sz w:val="20"/>
                <w:szCs w:val="20"/>
                <w:lang w:val="hy-AM"/>
              </w:rPr>
              <w:t>թվականի</w:t>
            </w:r>
            <w:r w:rsidRPr="0053423A">
              <w:rPr>
                <w:sz w:val="20"/>
                <w:szCs w:val="20"/>
                <w:lang w:val="af-ZA"/>
              </w:rPr>
              <w:t xml:space="preserve"> </w:t>
            </w:r>
            <w:r w:rsidRPr="0053423A">
              <w:rPr>
                <w:sz w:val="20"/>
                <w:szCs w:val="20"/>
                <w:lang w:val="hy-AM"/>
              </w:rPr>
              <w:t>ապրիլին</w:t>
            </w:r>
            <w:r w:rsidRPr="0053423A">
              <w:rPr>
                <w:sz w:val="20"/>
                <w:szCs w:val="20"/>
                <w:lang w:val="af-ZA"/>
              </w:rPr>
              <w:t xml:space="preserve">, </w:t>
            </w:r>
            <w:r w:rsidRPr="0053423A">
              <w:rPr>
                <w:sz w:val="20"/>
                <w:szCs w:val="20"/>
                <w:lang w:val="hy-AM"/>
              </w:rPr>
              <w:t>սակայն</w:t>
            </w:r>
            <w:r w:rsidRPr="0053423A">
              <w:rPr>
                <w:sz w:val="20"/>
                <w:szCs w:val="20"/>
                <w:lang w:val="af-ZA"/>
              </w:rPr>
              <w:t xml:space="preserve"> 2011 </w:t>
            </w:r>
            <w:r w:rsidRPr="0053423A">
              <w:rPr>
                <w:sz w:val="20"/>
                <w:szCs w:val="20"/>
                <w:lang w:val="hy-AM"/>
              </w:rPr>
              <w:t>թվականի</w:t>
            </w:r>
            <w:r w:rsidRPr="0053423A">
              <w:rPr>
                <w:sz w:val="20"/>
                <w:szCs w:val="20"/>
                <w:lang w:val="af-ZA"/>
              </w:rPr>
              <w:t xml:space="preserve"> </w:t>
            </w:r>
            <w:r w:rsidRPr="0053423A">
              <w:rPr>
                <w:sz w:val="20"/>
                <w:szCs w:val="20"/>
                <w:lang w:val="hy-AM"/>
              </w:rPr>
              <w:t>մարտին</w:t>
            </w:r>
            <w:r w:rsidRPr="0053423A">
              <w:rPr>
                <w:sz w:val="20"/>
                <w:szCs w:val="20"/>
                <w:lang w:val="af-ZA"/>
              </w:rPr>
              <w:t xml:space="preserve"> </w:t>
            </w:r>
            <w:r w:rsidRPr="0053423A">
              <w:rPr>
                <w:sz w:val="20"/>
                <w:szCs w:val="20"/>
                <w:lang w:val="hy-AM"/>
              </w:rPr>
              <w:t>Ֆուկուսիմա</w:t>
            </w:r>
            <w:r w:rsidRPr="0053423A">
              <w:rPr>
                <w:sz w:val="20"/>
                <w:szCs w:val="20"/>
                <w:lang w:val="af-ZA"/>
              </w:rPr>
              <w:t xml:space="preserve"> </w:t>
            </w:r>
            <w:r w:rsidRPr="0053423A">
              <w:rPr>
                <w:sz w:val="20"/>
                <w:szCs w:val="20"/>
                <w:lang w:val="hy-AM"/>
              </w:rPr>
              <w:t>ԱԷԿ</w:t>
            </w:r>
            <w:r w:rsidRPr="0053423A">
              <w:rPr>
                <w:sz w:val="20"/>
                <w:szCs w:val="20"/>
                <w:lang w:val="af-ZA"/>
              </w:rPr>
              <w:t>-</w:t>
            </w:r>
            <w:r w:rsidRPr="0053423A">
              <w:rPr>
                <w:sz w:val="20"/>
                <w:szCs w:val="20"/>
                <w:lang w:val="hy-AM"/>
              </w:rPr>
              <w:t>ում</w:t>
            </w:r>
            <w:r w:rsidRPr="0053423A">
              <w:rPr>
                <w:sz w:val="20"/>
                <w:szCs w:val="20"/>
                <w:lang w:val="af-ZA"/>
              </w:rPr>
              <w:t xml:space="preserve"> </w:t>
            </w:r>
            <w:r w:rsidRPr="0053423A">
              <w:rPr>
                <w:sz w:val="20"/>
                <w:szCs w:val="20"/>
                <w:lang w:val="hy-AM"/>
              </w:rPr>
              <w:t>տեղի</w:t>
            </w:r>
            <w:r w:rsidRPr="0053423A">
              <w:rPr>
                <w:sz w:val="20"/>
                <w:szCs w:val="20"/>
                <w:lang w:val="af-ZA"/>
              </w:rPr>
              <w:t xml:space="preserve"> </w:t>
            </w:r>
            <w:r w:rsidRPr="0053423A">
              <w:rPr>
                <w:sz w:val="20"/>
                <w:szCs w:val="20"/>
                <w:lang w:val="hy-AM"/>
              </w:rPr>
              <w:t>ունեցած</w:t>
            </w:r>
            <w:r w:rsidRPr="0053423A">
              <w:rPr>
                <w:sz w:val="20"/>
                <w:szCs w:val="20"/>
                <w:lang w:val="af-ZA"/>
              </w:rPr>
              <w:t xml:space="preserve"> </w:t>
            </w:r>
            <w:r w:rsidRPr="0053423A">
              <w:rPr>
                <w:sz w:val="20"/>
                <w:szCs w:val="20"/>
                <w:lang w:val="hy-AM"/>
              </w:rPr>
              <w:t>վթարի</w:t>
            </w:r>
            <w:r w:rsidRPr="0053423A">
              <w:rPr>
                <w:sz w:val="20"/>
                <w:szCs w:val="20"/>
                <w:lang w:val="af-ZA"/>
              </w:rPr>
              <w:t xml:space="preserve"> </w:t>
            </w:r>
            <w:r w:rsidRPr="0053423A">
              <w:rPr>
                <w:sz w:val="20"/>
                <w:szCs w:val="20"/>
                <w:lang w:val="hy-AM"/>
              </w:rPr>
              <w:t>պատճառով</w:t>
            </w:r>
            <w:r w:rsidRPr="0053423A">
              <w:rPr>
                <w:sz w:val="20"/>
                <w:szCs w:val="20"/>
                <w:lang w:val="af-ZA"/>
              </w:rPr>
              <w:t xml:space="preserve"> </w:t>
            </w:r>
            <w:r w:rsidRPr="0053423A">
              <w:rPr>
                <w:sz w:val="20"/>
                <w:szCs w:val="20"/>
                <w:lang w:val="hy-AM"/>
              </w:rPr>
              <w:t>հետաձգվել</w:t>
            </w:r>
            <w:r w:rsidRPr="0053423A">
              <w:rPr>
                <w:sz w:val="20"/>
                <w:szCs w:val="20"/>
                <w:lang w:val="af-ZA"/>
              </w:rPr>
              <w:t xml:space="preserve"> </w:t>
            </w:r>
            <w:r w:rsidRPr="0053423A">
              <w:rPr>
                <w:sz w:val="20"/>
                <w:szCs w:val="20"/>
                <w:lang w:val="hy-AM"/>
              </w:rPr>
              <w:t>է</w:t>
            </w:r>
            <w:r w:rsidRPr="0053423A">
              <w:rPr>
                <w:sz w:val="20"/>
                <w:szCs w:val="20"/>
                <w:lang w:val="af-ZA"/>
              </w:rPr>
              <w:t xml:space="preserve"> </w:t>
            </w:r>
            <w:r w:rsidRPr="0053423A">
              <w:rPr>
                <w:sz w:val="20"/>
                <w:szCs w:val="20"/>
                <w:lang w:val="hy-AM"/>
              </w:rPr>
              <w:t>ներդրողների</w:t>
            </w:r>
            <w:r w:rsidRPr="0053423A">
              <w:rPr>
                <w:sz w:val="20"/>
                <w:szCs w:val="20"/>
                <w:lang w:val="af-ZA"/>
              </w:rPr>
              <w:t xml:space="preserve"> </w:t>
            </w:r>
            <w:r w:rsidRPr="0053423A">
              <w:rPr>
                <w:sz w:val="20"/>
                <w:szCs w:val="20"/>
                <w:lang w:val="hy-AM"/>
              </w:rPr>
              <w:t>կոնֆերանսի</w:t>
            </w:r>
            <w:r w:rsidRPr="0053423A">
              <w:rPr>
                <w:sz w:val="20"/>
                <w:szCs w:val="20"/>
                <w:lang w:val="af-ZA"/>
              </w:rPr>
              <w:t xml:space="preserve"> </w:t>
            </w:r>
            <w:r w:rsidRPr="0053423A">
              <w:rPr>
                <w:sz w:val="20"/>
                <w:szCs w:val="20"/>
                <w:lang w:val="hy-AM"/>
              </w:rPr>
              <w:t>անցկացումը</w:t>
            </w:r>
            <w:r w:rsidRPr="0053423A">
              <w:rPr>
                <w:sz w:val="20"/>
                <w:szCs w:val="20"/>
                <w:lang w:val="af-ZA"/>
              </w:rPr>
              <w:t xml:space="preserve">), </w:t>
            </w:r>
            <w:r w:rsidRPr="0053423A">
              <w:rPr>
                <w:sz w:val="20"/>
                <w:szCs w:val="20"/>
                <w:lang w:val="hy-AM"/>
              </w:rPr>
              <w:t>իսկ</w:t>
            </w:r>
            <w:r w:rsidRPr="0053423A">
              <w:rPr>
                <w:sz w:val="20"/>
                <w:szCs w:val="20"/>
                <w:lang w:val="af-ZA"/>
              </w:rPr>
              <w:t xml:space="preserve"> </w:t>
            </w:r>
            <w:r w:rsidRPr="0053423A">
              <w:rPr>
                <w:sz w:val="20"/>
                <w:szCs w:val="20"/>
                <w:lang w:val="hy-AM"/>
              </w:rPr>
              <w:t>գործող</w:t>
            </w:r>
            <w:r w:rsidRPr="0053423A">
              <w:rPr>
                <w:sz w:val="20"/>
                <w:szCs w:val="20"/>
                <w:lang w:val="af-ZA"/>
              </w:rPr>
              <w:t xml:space="preserve"> </w:t>
            </w:r>
            <w:r w:rsidRPr="0053423A">
              <w:rPr>
                <w:sz w:val="20"/>
                <w:szCs w:val="20"/>
                <w:lang w:val="hy-AM"/>
              </w:rPr>
              <w:t>Հայկական</w:t>
            </w:r>
            <w:r w:rsidRPr="0053423A">
              <w:rPr>
                <w:sz w:val="20"/>
                <w:szCs w:val="20"/>
                <w:lang w:val="af-ZA"/>
              </w:rPr>
              <w:t xml:space="preserve"> </w:t>
            </w:r>
            <w:r w:rsidRPr="0053423A">
              <w:rPr>
                <w:sz w:val="20"/>
                <w:szCs w:val="20"/>
                <w:lang w:val="hy-AM"/>
              </w:rPr>
              <w:t>ԱԷԿ</w:t>
            </w:r>
            <w:r w:rsidRPr="0053423A">
              <w:rPr>
                <w:sz w:val="20"/>
                <w:szCs w:val="20"/>
                <w:lang w:val="af-ZA"/>
              </w:rPr>
              <w:t>-</w:t>
            </w:r>
            <w:r w:rsidRPr="0053423A">
              <w:rPr>
                <w:sz w:val="20"/>
                <w:szCs w:val="20"/>
                <w:lang w:val="hy-AM"/>
              </w:rPr>
              <w:t>ի</w:t>
            </w:r>
            <w:r w:rsidRPr="0053423A">
              <w:rPr>
                <w:sz w:val="20"/>
                <w:szCs w:val="20"/>
                <w:lang w:val="af-ZA"/>
              </w:rPr>
              <w:t xml:space="preserve"> </w:t>
            </w:r>
            <w:r w:rsidRPr="0053423A">
              <w:rPr>
                <w:sz w:val="20"/>
                <w:szCs w:val="20"/>
                <w:lang w:val="hy-AM"/>
              </w:rPr>
              <w:t>երկրորդ</w:t>
            </w:r>
            <w:r w:rsidRPr="0053423A">
              <w:rPr>
                <w:sz w:val="20"/>
                <w:szCs w:val="20"/>
                <w:lang w:val="af-ZA"/>
              </w:rPr>
              <w:t xml:space="preserve"> </w:t>
            </w:r>
            <w:r w:rsidRPr="0053423A">
              <w:rPr>
                <w:sz w:val="20"/>
                <w:szCs w:val="20"/>
                <w:lang w:val="hy-AM"/>
              </w:rPr>
              <w:t>էներգաբլոկի</w:t>
            </w:r>
            <w:r w:rsidRPr="0053423A">
              <w:rPr>
                <w:sz w:val="20"/>
                <w:szCs w:val="20"/>
                <w:lang w:val="af-ZA"/>
              </w:rPr>
              <w:t xml:space="preserve"> </w:t>
            </w:r>
            <w:r w:rsidRPr="0053423A">
              <w:rPr>
                <w:sz w:val="20"/>
                <w:szCs w:val="20"/>
                <w:lang w:val="hy-AM"/>
              </w:rPr>
              <w:t>շահագործման</w:t>
            </w:r>
            <w:r w:rsidRPr="0053423A">
              <w:rPr>
                <w:sz w:val="20"/>
                <w:szCs w:val="20"/>
                <w:lang w:val="af-ZA"/>
              </w:rPr>
              <w:t xml:space="preserve"> </w:t>
            </w:r>
            <w:r w:rsidRPr="0053423A">
              <w:rPr>
                <w:sz w:val="20"/>
                <w:szCs w:val="20"/>
                <w:lang w:val="hy-AM"/>
              </w:rPr>
              <w:t>նախագծային</w:t>
            </w:r>
            <w:r w:rsidRPr="0053423A">
              <w:rPr>
                <w:sz w:val="20"/>
                <w:szCs w:val="20"/>
                <w:lang w:val="af-ZA"/>
              </w:rPr>
              <w:t xml:space="preserve"> </w:t>
            </w:r>
            <w:r w:rsidRPr="0053423A">
              <w:rPr>
                <w:sz w:val="20"/>
                <w:szCs w:val="20"/>
                <w:lang w:val="hy-AM"/>
              </w:rPr>
              <w:t>ժամկետն</w:t>
            </w:r>
            <w:r w:rsidRPr="0053423A">
              <w:rPr>
                <w:sz w:val="20"/>
                <w:szCs w:val="20"/>
                <w:lang w:val="af-ZA"/>
              </w:rPr>
              <w:t xml:space="preserve"> </w:t>
            </w:r>
            <w:r w:rsidRPr="0053423A">
              <w:rPr>
                <w:sz w:val="20"/>
                <w:szCs w:val="20"/>
                <w:lang w:val="hy-AM"/>
              </w:rPr>
              <w:t>ավարտվում</w:t>
            </w:r>
            <w:r w:rsidRPr="0053423A">
              <w:rPr>
                <w:sz w:val="20"/>
                <w:szCs w:val="20"/>
                <w:lang w:val="af-ZA"/>
              </w:rPr>
              <w:t xml:space="preserve"> 2016 </w:t>
            </w:r>
            <w:r w:rsidRPr="0053423A">
              <w:rPr>
                <w:sz w:val="20"/>
                <w:szCs w:val="20"/>
                <w:lang w:val="hy-AM"/>
              </w:rPr>
              <w:t>թվականի</w:t>
            </w:r>
            <w:r w:rsidRPr="0053423A">
              <w:rPr>
                <w:sz w:val="20"/>
                <w:szCs w:val="20"/>
                <w:lang w:val="af-ZA"/>
              </w:rPr>
              <w:t xml:space="preserve"> </w:t>
            </w:r>
            <w:r w:rsidRPr="0053423A">
              <w:rPr>
                <w:sz w:val="20"/>
                <w:szCs w:val="20"/>
                <w:lang w:val="hy-AM"/>
              </w:rPr>
              <w:t>սեպտեմբերին</w:t>
            </w:r>
            <w:r w:rsidRPr="0053423A">
              <w:rPr>
                <w:sz w:val="20"/>
                <w:szCs w:val="20"/>
                <w:lang w:val="af-ZA"/>
              </w:rPr>
              <w:t xml:space="preserve">, </w:t>
            </w:r>
            <w:r w:rsidRPr="0053423A">
              <w:rPr>
                <w:sz w:val="20"/>
                <w:szCs w:val="20"/>
                <w:lang w:val="hy-AM"/>
              </w:rPr>
              <w:t>ՀՀ</w:t>
            </w:r>
            <w:r w:rsidRPr="0053423A">
              <w:rPr>
                <w:sz w:val="20"/>
                <w:szCs w:val="20"/>
                <w:lang w:val="af-ZA"/>
              </w:rPr>
              <w:t xml:space="preserve"> </w:t>
            </w:r>
            <w:r w:rsidRPr="0053423A">
              <w:rPr>
                <w:sz w:val="20"/>
                <w:szCs w:val="20"/>
                <w:lang w:val="hy-AM"/>
              </w:rPr>
              <w:t>կառավարությունը</w:t>
            </w:r>
            <w:r w:rsidRPr="0053423A">
              <w:rPr>
                <w:sz w:val="20"/>
                <w:szCs w:val="20"/>
                <w:lang w:val="af-ZA"/>
              </w:rPr>
              <w:t xml:space="preserve"> </w:t>
            </w:r>
            <w:r w:rsidRPr="0053423A">
              <w:rPr>
                <w:sz w:val="20"/>
                <w:szCs w:val="20"/>
                <w:lang w:val="hy-AM"/>
              </w:rPr>
              <w:t>որոշել</w:t>
            </w:r>
            <w:r w:rsidRPr="0053423A">
              <w:rPr>
                <w:sz w:val="20"/>
                <w:szCs w:val="20"/>
                <w:lang w:val="af-ZA"/>
              </w:rPr>
              <w:t xml:space="preserve"> </w:t>
            </w:r>
            <w:r w:rsidRPr="0053423A">
              <w:rPr>
                <w:sz w:val="20"/>
                <w:szCs w:val="20"/>
                <w:lang w:val="hy-AM"/>
              </w:rPr>
              <w:t>է</w:t>
            </w:r>
            <w:r w:rsidRPr="0053423A">
              <w:rPr>
                <w:sz w:val="20"/>
                <w:szCs w:val="20"/>
                <w:lang w:val="af-ZA"/>
              </w:rPr>
              <w:t xml:space="preserve"> </w:t>
            </w:r>
            <w:r w:rsidRPr="0053423A">
              <w:rPr>
                <w:sz w:val="20"/>
                <w:szCs w:val="20"/>
                <w:lang w:val="hy-AM"/>
              </w:rPr>
              <w:t>երկարաձգել</w:t>
            </w:r>
            <w:r w:rsidRPr="0053423A">
              <w:rPr>
                <w:sz w:val="20"/>
                <w:szCs w:val="20"/>
                <w:lang w:val="af-ZA"/>
              </w:rPr>
              <w:t xml:space="preserve"> </w:t>
            </w:r>
            <w:r w:rsidRPr="0053423A">
              <w:rPr>
                <w:sz w:val="20"/>
                <w:szCs w:val="20"/>
                <w:lang w:val="hy-AM"/>
              </w:rPr>
              <w:t>Հայկական</w:t>
            </w:r>
            <w:r w:rsidRPr="0053423A">
              <w:rPr>
                <w:sz w:val="20"/>
                <w:szCs w:val="20"/>
                <w:lang w:val="af-ZA"/>
              </w:rPr>
              <w:t xml:space="preserve"> </w:t>
            </w:r>
            <w:r w:rsidRPr="0053423A">
              <w:rPr>
                <w:sz w:val="20"/>
                <w:szCs w:val="20"/>
                <w:lang w:val="hy-AM"/>
              </w:rPr>
              <w:t>ԱԷԿ</w:t>
            </w:r>
            <w:r w:rsidRPr="0053423A">
              <w:rPr>
                <w:sz w:val="20"/>
                <w:szCs w:val="20"/>
                <w:lang w:val="af-ZA"/>
              </w:rPr>
              <w:t>-</w:t>
            </w:r>
            <w:r w:rsidRPr="0053423A">
              <w:rPr>
                <w:sz w:val="20"/>
                <w:szCs w:val="20"/>
                <w:lang w:val="hy-AM"/>
              </w:rPr>
              <w:t>ի</w:t>
            </w:r>
            <w:r w:rsidRPr="0053423A">
              <w:rPr>
                <w:sz w:val="20"/>
                <w:szCs w:val="20"/>
                <w:lang w:val="af-ZA"/>
              </w:rPr>
              <w:t xml:space="preserve"> </w:t>
            </w:r>
            <w:r w:rsidRPr="0053423A">
              <w:rPr>
                <w:sz w:val="20"/>
                <w:szCs w:val="20"/>
                <w:lang w:val="hy-AM"/>
              </w:rPr>
              <w:t>երկրորդ</w:t>
            </w:r>
            <w:r w:rsidRPr="0053423A">
              <w:rPr>
                <w:sz w:val="20"/>
                <w:szCs w:val="20"/>
                <w:lang w:val="af-ZA"/>
              </w:rPr>
              <w:t xml:space="preserve"> </w:t>
            </w:r>
            <w:r w:rsidRPr="0053423A">
              <w:rPr>
                <w:sz w:val="20"/>
                <w:szCs w:val="20"/>
                <w:lang w:val="hy-AM"/>
              </w:rPr>
              <w:t>էներգաբլոկի</w:t>
            </w:r>
            <w:r w:rsidRPr="0053423A">
              <w:rPr>
                <w:sz w:val="20"/>
                <w:szCs w:val="20"/>
                <w:lang w:val="af-ZA"/>
              </w:rPr>
              <w:t xml:space="preserve"> </w:t>
            </w:r>
            <w:r w:rsidRPr="0053423A">
              <w:rPr>
                <w:sz w:val="20"/>
                <w:szCs w:val="20"/>
                <w:lang w:val="hy-AM"/>
              </w:rPr>
              <w:t>շահագործման</w:t>
            </w:r>
            <w:r w:rsidRPr="0053423A">
              <w:rPr>
                <w:sz w:val="20"/>
                <w:szCs w:val="20"/>
                <w:lang w:val="af-ZA"/>
              </w:rPr>
              <w:t xml:space="preserve"> </w:t>
            </w:r>
            <w:r w:rsidRPr="0053423A">
              <w:rPr>
                <w:sz w:val="20"/>
                <w:szCs w:val="20"/>
                <w:lang w:val="hy-AM"/>
              </w:rPr>
              <w:t>նախագծային</w:t>
            </w:r>
            <w:r w:rsidRPr="0053423A">
              <w:rPr>
                <w:sz w:val="20"/>
                <w:szCs w:val="20"/>
                <w:lang w:val="af-ZA"/>
              </w:rPr>
              <w:t xml:space="preserve"> </w:t>
            </w:r>
            <w:r w:rsidRPr="0053423A">
              <w:rPr>
                <w:sz w:val="20"/>
                <w:szCs w:val="20"/>
                <w:lang w:val="hy-AM"/>
              </w:rPr>
              <w:t>ժամկետը</w:t>
            </w:r>
            <w:r w:rsidRPr="0053423A">
              <w:rPr>
                <w:sz w:val="20"/>
                <w:szCs w:val="20"/>
                <w:lang w:val="af-ZA"/>
              </w:rPr>
              <w:t xml:space="preserve"> (2012 </w:t>
            </w:r>
            <w:r w:rsidRPr="0053423A">
              <w:rPr>
                <w:sz w:val="20"/>
                <w:szCs w:val="20"/>
                <w:lang w:val="hy-AM"/>
              </w:rPr>
              <w:t>թվականի</w:t>
            </w:r>
            <w:r w:rsidRPr="0053423A">
              <w:rPr>
                <w:sz w:val="20"/>
                <w:szCs w:val="20"/>
                <w:lang w:val="af-ZA"/>
              </w:rPr>
              <w:t xml:space="preserve"> </w:t>
            </w:r>
            <w:r w:rsidRPr="0053423A">
              <w:rPr>
                <w:sz w:val="20"/>
                <w:szCs w:val="20"/>
                <w:lang w:val="hy-AM"/>
              </w:rPr>
              <w:t>ապրիլի</w:t>
            </w:r>
            <w:r w:rsidRPr="0053423A">
              <w:rPr>
                <w:sz w:val="20"/>
                <w:szCs w:val="20"/>
                <w:lang w:val="af-ZA"/>
              </w:rPr>
              <w:t xml:space="preserve"> 19-</w:t>
            </w:r>
            <w:r w:rsidRPr="0053423A">
              <w:rPr>
                <w:sz w:val="20"/>
                <w:szCs w:val="20"/>
                <w:lang w:val="hy-AM"/>
              </w:rPr>
              <w:t>ի</w:t>
            </w:r>
            <w:r w:rsidRPr="0053423A">
              <w:rPr>
                <w:sz w:val="20"/>
                <w:szCs w:val="20"/>
                <w:lang w:val="af-ZA"/>
              </w:rPr>
              <w:t xml:space="preserve"> </w:t>
            </w:r>
            <w:r w:rsidRPr="0053423A">
              <w:rPr>
                <w:sz w:val="20"/>
                <w:szCs w:val="20"/>
                <w:lang w:val="hy-AM"/>
              </w:rPr>
              <w:t>թիվ</w:t>
            </w:r>
            <w:r w:rsidRPr="0053423A">
              <w:rPr>
                <w:sz w:val="20"/>
                <w:szCs w:val="20"/>
                <w:lang w:val="af-ZA"/>
              </w:rPr>
              <w:t xml:space="preserve"> 461-</w:t>
            </w:r>
            <w:r w:rsidRPr="0053423A">
              <w:rPr>
                <w:sz w:val="20"/>
                <w:szCs w:val="20"/>
                <w:lang w:val="hy-AM"/>
              </w:rPr>
              <w:t>Ն</w:t>
            </w:r>
            <w:r w:rsidRPr="0053423A">
              <w:rPr>
                <w:sz w:val="20"/>
                <w:szCs w:val="20"/>
                <w:lang w:val="af-ZA"/>
              </w:rPr>
              <w:t xml:space="preserve"> </w:t>
            </w:r>
            <w:r w:rsidRPr="0053423A">
              <w:rPr>
                <w:sz w:val="20"/>
                <w:szCs w:val="20"/>
                <w:lang w:val="hy-AM"/>
              </w:rPr>
              <w:t>ՀՀ</w:t>
            </w:r>
            <w:r w:rsidRPr="0053423A">
              <w:rPr>
                <w:sz w:val="20"/>
                <w:szCs w:val="20"/>
                <w:lang w:val="af-ZA"/>
              </w:rPr>
              <w:t xml:space="preserve"> </w:t>
            </w:r>
            <w:r w:rsidRPr="0053423A">
              <w:rPr>
                <w:sz w:val="20"/>
                <w:szCs w:val="20"/>
                <w:lang w:val="hy-AM"/>
              </w:rPr>
              <w:t>կառավարության</w:t>
            </w:r>
            <w:r w:rsidRPr="0053423A">
              <w:rPr>
                <w:sz w:val="20"/>
                <w:szCs w:val="20"/>
                <w:lang w:val="af-ZA"/>
              </w:rPr>
              <w:t xml:space="preserve"> </w:t>
            </w:r>
            <w:r w:rsidRPr="0053423A">
              <w:rPr>
                <w:sz w:val="20"/>
                <w:szCs w:val="20"/>
                <w:lang w:val="hy-AM"/>
              </w:rPr>
              <w:t>որոշում</w:t>
            </w:r>
            <w:r w:rsidRPr="0053423A">
              <w:rPr>
                <w:sz w:val="20"/>
                <w:szCs w:val="20"/>
                <w:lang w:val="af-ZA"/>
              </w:rPr>
              <w:t xml:space="preserve">): 2014 </w:t>
            </w:r>
            <w:r w:rsidRPr="0053423A">
              <w:rPr>
                <w:sz w:val="20"/>
                <w:szCs w:val="20"/>
                <w:lang w:val="hy-AM"/>
              </w:rPr>
              <w:t>թվականի</w:t>
            </w:r>
            <w:r w:rsidRPr="0053423A">
              <w:rPr>
                <w:sz w:val="20"/>
                <w:szCs w:val="20"/>
                <w:lang w:val="af-ZA"/>
              </w:rPr>
              <w:t xml:space="preserve"> </w:t>
            </w:r>
            <w:r w:rsidRPr="0053423A">
              <w:rPr>
                <w:sz w:val="20"/>
                <w:szCs w:val="20"/>
                <w:lang w:val="hy-AM"/>
              </w:rPr>
              <w:t>մարտի</w:t>
            </w:r>
            <w:r w:rsidRPr="0053423A">
              <w:rPr>
                <w:sz w:val="20"/>
                <w:szCs w:val="20"/>
                <w:lang w:val="af-ZA"/>
              </w:rPr>
              <w:t xml:space="preserve"> 27-</w:t>
            </w:r>
            <w:r w:rsidRPr="0053423A">
              <w:rPr>
                <w:sz w:val="20"/>
                <w:szCs w:val="20"/>
                <w:lang w:val="hy-AM"/>
              </w:rPr>
              <w:t>ին</w:t>
            </w:r>
            <w:r w:rsidRPr="0053423A">
              <w:rPr>
                <w:sz w:val="20"/>
                <w:szCs w:val="20"/>
                <w:lang w:val="af-ZA"/>
              </w:rPr>
              <w:t xml:space="preserve"> </w:t>
            </w:r>
            <w:r w:rsidRPr="0053423A">
              <w:rPr>
                <w:sz w:val="20"/>
                <w:szCs w:val="20"/>
                <w:lang w:val="hy-AM"/>
              </w:rPr>
              <w:t>ՀՀ</w:t>
            </w:r>
            <w:r w:rsidRPr="0053423A">
              <w:rPr>
                <w:sz w:val="20"/>
                <w:szCs w:val="20"/>
                <w:lang w:val="af-ZA"/>
              </w:rPr>
              <w:t xml:space="preserve"> </w:t>
            </w:r>
            <w:r w:rsidRPr="0053423A">
              <w:rPr>
                <w:sz w:val="20"/>
                <w:szCs w:val="20"/>
                <w:lang w:val="hy-AM"/>
              </w:rPr>
              <w:t>կառավարության</w:t>
            </w:r>
            <w:r w:rsidRPr="0053423A">
              <w:rPr>
                <w:sz w:val="20"/>
                <w:szCs w:val="20"/>
                <w:lang w:val="af-ZA"/>
              </w:rPr>
              <w:t xml:space="preserve"> 12-</w:t>
            </w:r>
            <w:r w:rsidRPr="0053423A">
              <w:rPr>
                <w:sz w:val="20"/>
                <w:szCs w:val="20"/>
                <w:lang w:val="hy-AM"/>
              </w:rPr>
              <w:t>րդ նիստի</w:t>
            </w:r>
            <w:r w:rsidRPr="0053423A">
              <w:rPr>
                <w:sz w:val="20"/>
                <w:szCs w:val="20"/>
                <w:lang w:val="af-ZA"/>
              </w:rPr>
              <w:t xml:space="preserve"> </w:t>
            </w:r>
            <w:r w:rsidRPr="0053423A">
              <w:rPr>
                <w:sz w:val="20"/>
                <w:szCs w:val="20"/>
                <w:lang w:val="hy-AM"/>
              </w:rPr>
              <w:t xml:space="preserve">11-րդ հարցով հավանության է արժանացրել Հայկական ԱԷԿ-ի շահագործման նախագծային ժամկետի երկարաձգման ծրագիրը: </w:t>
            </w:r>
            <w:r w:rsidRPr="0053423A">
              <w:rPr>
                <w:rFonts w:cs="Sylfaen"/>
                <w:bCs/>
                <w:spacing w:val="-4"/>
                <w:sz w:val="20"/>
                <w:szCs w:val="20"/>
                <w:lang w:val="af-ZA"/>
              </w:rPr>
              <w:t xml:space="preserve">2015 </w:t>
            </w:r>
            <w:r w:rsidRPr="0053423A">
              <w:rPr>
                <w:bCs/>
                <w:spacing w:val="-4"/>
                <w:sz w:val="20"/>
                <w:szCs w:val="20"/>
                <w:lang w:val="hy-AM"/>
              </w:rPr>
              <w:t>թվականի</w:t>
            </w:r>
            <w:r w:rsidRPr="0053423A">
              <w:rPr>
                <w:rFonts w:cs="Sylfaen"/>
                <w:bCs/>
                <w:spacing w:val="-4"/>
                <w:sz w:val="20"/>
                <w:szCs w:val="20"/>
                <w:lang w:val="af-ZA"/>
              </w:rPr>
              <w:t xml:space="preserve"> </w:t>
            </w:r>
            <w:r w:rsidRPr="0053423A">
              <w:rPr>
                <w:bCs/>
                <w:spacing w:val="-4"/>
                <w:sz w:val="20"/>
                <w:szCs w:val="20"/>
                <w:lang w:val="hy-AM"/>
              </w:rPr>
              <w:t>մայիսի</w:t>
            </w:r>
            <w:r w:rsidRPr="0053423A">
              <w:rPr>
                <w:rFonts w:cs="Sylfaen"/>
                <w:bCs/>
                <w:spacing w:val="-4"/>
                <w:sz w:val="20"/>
                <w:szCs w:val="20"/>
                <w:lang w:val="af-ZA"/>
              </w:rPr>
              <w:t xml:space="preserve"> 12-</w:t>
            </w:r>
            <w:r w:rsidRPr="0053423A">
              <w:rPr>
                <w:bCs/>
                <w:spacing w:val="-4"/>
                <w:sz w:val="20"/>
                <w:szCs w:val="20"/>
                <w:lang w:val="hy-AM"/>
              </w:rPr>
              <w:t>ին</w:t>
            </w:r>
            <w:r w:rsidRPr="0053423A">
              <w:rPr>
                <w:rFonts w:cs="Sylfaen"/>
                <w:bCs/>
                <w:spacing w:val="-4"/>
                <w:sz w:val="20"/>
                <w:szCs w:val="20"/>
                <w:lang w:val="af-ZA"/>
              </w:rPr>
              <w:t xml:space="preserve"> </w:t>
            </w:r>
            <w:r w:rsidRPr="0053423A">
              <w:rPr>
                <w:bCs/>
                <w:spacing w:val="-4"/>
                <w:sz w:val="20"/>
                <w:szCs w:val="20"/>
                <w:lang w:val="hy-AM"/>
              </w:rPr>
              <w:t>ուժի</w:t>
            </w:r>
            <w:r w:rsidRPr="0053423A">
              <w:rPr>
                <w:rFonts w:cs="Sylfaen"/>
                <w:bCs/>
                <w:spacing w:val="-4"/>
                <w:sz w:val="20"/>
                <w:szCs w:val="20"/>
                <w:lang w:val="af-ZA"/>
              </w:rPr>
              <w:t xml:space="preserve"> </w:t>
            </w:r>
            <w:r w:rsidRPr="0053423A">
              <w:rPr>
                <w:bCs/>
                <w:spacing w:val="-4"/>
                <w:sz w:val="20"/>
                <w:szCs w:val="20"/>
                <w:lang w:val="hy-AM"/>
              </w:rPr>
              <w:t>մեջ</w:t>
            </w:r>
            <w:r w:rsidRPr="0053423A">
              <w:rPr>
                <w:rFonts w:cs="Sylfaen"/>
                <w:bCs/>
                <w:spacing w:val="-4"/>
                <w:sz w:val="20"/>
                <w:szCs w:val="20"/>
                <w:lang w:val="af-ZA"/>
              </w:rPr>
              <w:t xml:space="preserve"> </w:t>
            </w:r>
            <w:r w:rsidRPr="0053423A">
              <w:rPr>
                <w:bCs/>
                <w:spacing w:val="-4"/>
                <w:sz w:val="20"/>
                <w:szCs w:val="20"/>
                <w:lang w:val="hy-AM"/>
              </w:rPr>
              <w:t>են</w:t>
            </w:r>
            <w:r w:rsidRPr="0053423A">
              <w:rPr>
                <w:rFonts w:cs="Sylfaen"/>
                <w:bCs/>
                <w:spacing w:val="-4"/>
                <w:sz w:val="20"/>
                <w:szCs w:val="20"/>
                <w:lang w:val="af-ZA"/>
              </w:rPr>
              <w:t xml:space="preserve"> </w:t>
            </w:r>
            <w:r w:rsidRPr="0053423A">
              <w:rPr>
                <w:bCs/>
                <w:spacing w:val="-4"/>
                <w:sz w:val="20"/>
                <w:szCs w:val="20"/>
                <w:lang w:val="hy-AM"/>
              </w:rPr>
              <w:t>մտել</w:t>
            </w:r>
            <w:r w:rsidRPr="0053423A">
              <w:rPr>
                <w:rFonts w:cs="Sylfaen"/>
                <w:bCs/>
                <w:spacing w:val="-4"/>
                <w:sz w:val="20"/>
                <w:szCs w:val="20"/>
                <w:lang w:val="af-ZA"/>
              </w:rPr>
              <w:t xml:space="preserve"> </w:t>
            </w:r>
            <w:r w:rsidRPr="0053423A">
              <w:rPr>
                <w:bCs/>
                <w:spacing w:val="-4"/>
                <w:sz w:val="20"/>
                <w:szCs w:val="20"/>
                <w:lang w:val="hy-AM"/>
              </w:rPr>
              <w:t>Հայաստանի</w:t>
            </w:r>
            <w:r w:rsidRPr="0053423A">
              <w:rPr>
                <w:rFonts w:cs="Sylfaen"/>
                <w:bCs/>
                <w:spacing w:val="-4"/>
                <w:sz w:val="20"/>
                <w:szCs w:val="20"/>
                <w:lang w:val="af-ZA"/>
              </w:rPr>
              <w:t xml:space="preserve"> </w:t>
            </w:r>
            <w:r w:rsidRPr="0053423A">
              <w:rPr>
                <w:bCs/>
                <w:spacing w:val="-4"/>
                <w:sz w:val="20"/>
                <w:szCs w:val="20"/>
                <w:lang w:val="hy-AM"/>
              </w:rPr>
              <w:t>Հանրապետության</w:t>
            </w:r>
            <w:r w:rsidRPr="0053423A">
              <w:rPr>
                <w:rFonts w:cs="Sylfaen"/>
                <w:bCs/>
                <w:spacing w:val="-4"/>
                <w:sz w:val="20"/>
                <w:szCs w:val="20"/>
                <w:lang w:val="af-ZA"/>
              </w:rPr>
              <w:t xml:space="preserve"> </w:t>
            </w:r>
            <w:r w:rsidRPr="0053423A">
              <w:rPr>
                <w:bCs/>
                <w:spacing w:val="-4"/>
                <w:sz w:val="20"/>
                <w:szCs w:val="20"/>
                <w:lang w:val="hy-AM"/>
              </w:rPr>
              <w:t>կառավարության</w:t>
            </w:r>
            <w:r w:rsidRPr="0053423A">
              <w:rPr>
                <w:rFonts w:cs="Sylfaen"/>
                <w:bCs/>
                <w:spacing w:val="-4"/>
                <w:sz w:val="20"/>
                <w:szCs w:val="20"/>
                <w:lang w:val="af-ZA"/>
              </w:rPr>
              <w:t xml:space="preserve"> </w:t>
            </w:r>
            <w:r w:rsidRPr="0053423A">
              <w:rPr>
                <w:bCs/>
                <w:spacing w:val="-4"/>
                <w:sz w:val="20"/>
                <w:szCs w:val="20"/>
                <w:lang w:val="hy-AM"/>
              </w:rPr>
              <w:t>և</w:t>
            </w:r>
            <w:r w:rsidRPr="0053423A">
              <w:rPr>
                <w:rFonts w:cs="Sylfaen"/>
                <w:bCs/>
                <w:spacing w:val="-4"/>
                <w:sz w:val="20"/>
                <w:szCs w:val="20"/>
                <w:lang w:val="af-ZA"/>
              </w:rPr>
              <w:t xml:space="preserve"> </w:t>
            </w:r>
            <w:r w:rsidRPr="0053423A">
              <w:rPr>
                <w:bCs/>
                <w:spacing w:val="-4"/>
                <w:sz w:val="20"/>
                <w:szCs w:val="20"/>
                <w:lang w:val="hy-AM"/>
              </w:rPr>
              <w:t>Ռուսաստանի</w:t>
            </w:r>
            <w:r w:rsidRPr="0053423A">
              <w:rPr>
                <w:rFonts w:cs="Sylfaen"/>
                <w:bCs/>
                <w:spacing w:val="-4"/>
                <w:sz w:val="20"/>
                <w:szCs w:val="20"/>
                <w:lang w:val="af-ZA"/>
              </w:rPr>
              <w:t xml:space="preserve"> </w:t>
            </w:r>
            <w:r w:rsidRPr="0053423A">
              <w:rPr>
                <w:bCs/>
                <w:spacing w:val="-4"/>
                <w:sz w:val="20"/>
                <w:szCs w:val="20"/>
                <w:lang w:val="hy-AM"/>
              </w:rPr>
              <w:t>Դաշնության</w:t>
            </w:r>
            <w:r w:rsidRPr="0053423A">
              <w:rPr>
                <w:rFonts w:cs="Sylfaen"/>
                <w:bCs/>
                <w:spacing w:val="-4"/>
                <w:sz w:val="20"/>
                <w:szCs w:val="20"/>
                <w:lang w:val="af-ZA"/>
              </w:rPr>
              <w:t xml:space="preserve"> </w:t>
            </w:r>
            <w:r w:rsidRPr="0053423A">
              <w:rPr>
                <w:bCs/>
                <w:spacing w:val="-4"/>
                <w:sz w:val="20"/>
                <w:szCs w:val="20"/>
                <w:lang w:val="hy-AM"/>
              </w:rPr>
              <w:t>կառավարության</w:t>
            </w:r>
            <w:r w:rsidRPr="0053423A">
              <w:rPr>
                <w:rFonts w:cs="Sylfaen"/>
                <w:bCs/>
                <w:spacing w:val="-4"/>
                <w:sz w:val="20"/>
                <w:szCs w:val="20"/>
                <w:lang w:val="af-ZA"/>
              </w:rPr>
              <w:t xml:space="preserve"> </w:t>
            </w:r>
            <w:r w:rsidRPr="0053423A">
              <w:rPr>
                <w:bCs/>
                <w:spacing w:val="-4"/>
                <w:sz w:val="20"/>
                <w:szCs w:val="20"/>
                <w:lang w:val="hy-AM"/>
              </w:rPr>
              <w:t>միջև</w:t>
            </w:r>
            <w:r w:rsidRPr="0053423A">
              <w:rPr>
                <w:rFonts w:cs="Sylfaen"/>
                <w:bCs/>
                <w:spacing w:val="-4"/>
                <w:sz w:val="20"/>
                <w:szCs w:val="20"/>
                <w:lang w:val="af-ZA"/>
              </w:rPr>
              <w:t xml:space="preserve"> </w:t>
            </w:r>
            <w:r w:rsidRPr="0053423A">
              <w:rPr>
                <w:bCs/>
                <w:spacing w:val="-4"/>
                <w:sz w:val="20"/>
                <w:szCs w:val="20"/>
                <w:lang w:val="hy-AM"/>
              </w:rPr>
              <w:t>ստորագրված</w:t>
            </w:r>
            <w:r w:rsidRPr="0053423A">
              <w:rPr>
                <w:rFonts w:cs="Sylfaen"/>
                <w:bCs/>
                <w:spacing w:val="-4"/>
                <w:sz w:val="20"/>
                <w:szCs w:val="20"/>
                <w:lang w:val="af-ZA"/>
              </w:rPr>
              <w:t xml:space="preserve"> </w:t>
            </w:r>
            <w:r w:rsidRPr="0053423A">
              <w:rPr>
                <w:bCs/>
                <w:spacing w:val="-4"/>
                <w:sz w:val="20"/>
                <w:szCs w:val="20"/>
                <w:lang w:val="hy-AM"/>
              </w:rPr>
              <w:t>Հայկական</w:t>
            </w:r>
            <w:r w:rsidRPr="0053423A">
              <w:rPr>
                <w:rFonts w:cs="Sylfaen"/>
                <w:bCs/>
                <w:spacing w:val="-4"/>
                <w:sz w:val="20"/>
                <w:szCs w:val="20"/>
                <w:lang w:val="af-ZA"/>
              </w:rPr>
              <w:t xml:space="preserve"> </w:t>
            </w:r>
            <w:r w:rsidRPr="0053423A">
              <w:rPr>
                <w:bCs/>
                <w:spacing w:val="-4"/>
                <w:sz w:val="20"/>
                <w:szCs w:val="20"/>
                <w:lang w:val="hy-AM"/>
              </w:rPr>
              <w:t>ատոմային</w:t>
            </w:r>
            <w:r w:rsidRPr="0053423A">
              <w:rPr>
                <w:rFonts w:cs="Sylfaen"/>
                <w:bCs/>
                <w:spacing w:val="-4"/>
                <w:sz w:val="20"/>
                <w:szCs w:val="20"/>
                <w:lang w:val="af-ZA"/>
              </w:rPr>
              <w:t xml:space="preserve"> </w:t>
            </w:r>
            <w:r w:rsidRPr="0053423A">
              <w:rPr>
                <w:bCs/>
                <w:spacing w:val="-4"/>
                <w:sz w:val="20"/>
                <w:szCs w:val="20"/>
                <w:lang w:val="hy-AM"/>
              </w:rPr>
              <w:t>էլեկտրակայանի</w:t>
            </w:r>
            <w:r w:rsidRPr="0053423A">
              <w:rPr>
                <w:rFonts w:cs="Sylfaen"/>
                <w:bCs/>
                <w:spacing w:val="-4"/>
                <w:sz w:val="20"/>
                <w:szCs w:val="20"/>
                <w:lang w:val="af-ZA"/>
              </w:rPr>
              <w:t xml:space="preserve"> N 2 </w:t>
            </w:r>
            <w:r w:rsidRPr="0053423A">
              <w:rPr>
                <w:bCs/>
                <w:spacing w:val="-4"/>
                <w:sz w:val="20"/>
                <w:szCs w:val="20"/>
                <w:lang w:val="hy-AM"/>
              </w:rPr>
              <w:t>էներգաբլոկի</w:t>
            </w:r>
            <w:r w:rsidRPr="0053423A">
              <w:rPr>
                <w:rFonts w:cs="Sylfaen"/>
                <w:bCs/>
                <w:spacing w:val="-4"/>
                <w:sz w:val="20"/>
                <w:szCs w:val="20"/>
                <w:lang w:val="af-ZA"/>
              </w:rPr>
              <w:t xml:space="preserve"> </w:t>
            </w:r>
            <w:r w:rsidRPr="0053423A">
              <w:rPr>
                <w:bCs/>
                <w:spacing w:val="-4"/>
                <w:sz w:val="20"/>
                <w:szCs w:val="20"/>
                <w:lang w:val="hy-AM"/>
              </w:rPr>
              <w:t>շահագործման</w:t>
            </w:r>
            <w:r w:rsidRPr="0053423A">
              <w:rPr>
                <w:rFonts w:cs="Sylfaen"/>
                <w:bCs/>
                <w:spacing w:val="-4"/>
                <w:sz w:val="20"/>
                <w:szCs w:val="20"/>
                <w:lang w:val="af-ZA"/>
              </w:rPr>
              <w:t xml:space="preserve"> </w:t>
            </w:r>
            <w:r w:rsidRPr="0053423A">
              <w:rPr>
                <w:bCs/>
                <w:spacing w:val="-4"/>
                <w:sz w:val="20"/>
                <w:szCs w:val="20"/>
                <w:lang w:val="hy-AM"/>
              </w:rPr>
              <w:t>ժամկետի</w:t>
            </w:r>
            <w:r w:rsidRPr="0053423A">
              <w:rPr>
                <w:rFonts w:cs="Sylfaen"/>
                <w:bCs/>
                <w:spacing w:val="-4"/>
                <w:sz w:val="20"/>
                <w:szCs w:val="20"/>
                <w:lang w:val="af-ZA"/>
              </w:rPr>
              <w:t xml:space="preserve"> </w:t>
            </w:r>
            <w:r w:rsidRPr="0053423A">
              <w:rPr>
                <w:bCs/>
                <w:spacing w:val="-4"/>
                <w:sz w:val="20"/>
                <w:szCs w:val="20"/>
                <w:lang w:val="hy-AM"/>
              </w:rPr>
              <w:t>երկարաձգման</w:t>
            </w:r>
            <w:r w:rsidRPr="0053423A">
              <w:rPr>
                <w:rFonts w:cs="Sylfaen"/>
                <w:bCs/>
                <w:spacing w:val="-4"/>
                <w:sz w:val="20"/>
                <w:szCs w:val="20"/>
                <w:lang w:val="af-ZA"/>
              </w:rPr>
              <w:t xml:space="preserve"> </w:t>
            </w:r>
            <w:r w:rsidRPr="0053423A">
              <w:rPr>
                <w:bCs/>
                <w:spacing w:val="-4"/>
                <w:sz w:val="20"/>
                <w:szCs w:val="20"/>
                <w:lang w:val="hy-AM"/>
              </w:rPr>
              <w:t>հարցում</w:t>
            </w:r>
            <w:r w:rsidRPr="0053423A">
              <w:rPr>
                <w:rFonts w:cs="Sylfaen"/>
                <w:bCs/>
                <w:spacing w:val="-4"/>
                <w:sz w:val="20"/>
                <w:szCs w:val="20"/>
                <w:lang w:val="af-ZA"/>
              </w:rPr>
              <w:t xml:space="preserve"> </w:t>
            </w:r>
            <w:r w:rsidRPr="0053423A">
              <w:rPr>
                <w:bCs/>
                <w:spacing w:val="-4"/>
                <w:sz w:val="20"/>
                <w:szCs w:val="20"/>
                <w:lang w:val="hy-AM"/>
              </w:rPr>
              <w:t>համագործակցության</w:t>
            </w:r>
            <w:r w:rsidRPr="0053423A">
              <w:rPr>
                <w:rFonts w:cs="Sylfaen"/>
                <w:bCs/>
                <w:spacing w:val="-4"/>
                <w:sz w:val="20"/>
                <w:szCs w:val="20"/>
                <w:lang w:val="af-ZA"/>
              </w:rPr>
              <w:t xml:space="preserve"> </w:t>
            </w:r>
            <w:r w:rsidRPr="0053423A">
              <w:rPr>
                <w:bCs/>
                <w:spacing w:val="-4"/>
                <w:sz w:val="20"/>
                <w:szCs w:val="20"/>
                <w:lang w:val="hy-AM"/>
              </w:rPr>
              <w:t>մասին</w:t>
            </w:r>
            <w:r w:rsidRPr="0053423A">
              <w:rPr>
                <w:rFonts w:cs="Sylfaen"/>
                <w:bCs/>
                <w:spacing w:val="-4"/>
                <w:sz w:val="20"/>
                <w:szCs w:val="20"/>
                <w:lang w:val="af-ZA"/>
              </w:rPr>
              <w:t xml:space="preserve"> </w:t>
            </w:r>
            <w:r w:rsidRPr="0053423A">
              <w:rPr>
                <w:bCs/>
                <w:spacing w:val="-4"/>
                <w:sz w:val="20"/>
                <w:szCs w:val="20"/>
                <w:lang w:val="hy-AM"/>
              </w:rPr>
              <w:t>և</w:t>
            </w:r>
            <w:r w:rsidRPr="0053423A">
              <w:rPr>
                <w:rFonts w:cs="Sylfaen"/>
                <w:bCs/>
                <w:spacing w:val="-4"/>
                <w:sz w:val="20"/>
                <w:szCs w:val="20"/>
                <w:lang w:val="af-ZA"/>
              </w:rPr>
              <w:t xml:space="preserve"> </w:t>
            </w:r>
            <w:r w:rsidRPr="0053423A">
              <w:rPr>
                <w:bCs/>
                <w:spacing w:val="-4"/>
                <w:sz w:val="20"/>
                <w:szCs w:val="20"/>
                <w:lang w:val="hy-AM"/>
              </w:rPr>
              <w:t>Հայաստանի</w:t>
            </w:r>
            <w:r w:rsidRPr="0053423A">
              <w:rPr>
                <w:rFonts w:cs="Sylfaen"/>
                <w:bCs/>
                <w:spacing w:val="-4"/>
                <w:sz w:val="20"/>
                <w:szCs w:val="20"/>
                <w:lang w:val="af-ZA"/>
              </w:rPr>
              <w:t xml:space="preserve"> </w:t>
            </w:r>
            <w:r w:rsidRPr="0053423A">
              <w:rPr>
                <w:bCs/>
                <w:spacing w:val="-4"/>
                <w:sz w:val="20"/>
                <w:szCs w:val="20"/>
                <w:lang w:val="hy-AM"/>
              </w:rPr>
              <w:t>Հանրապետության</w:t>
            </w:r>
            <w:r w:rsidRPr="0053423A">
              <w:rPr>
                <w:rFonts w:cs="Sylfaen"/>
                <w:bCs/>
                <w:spacing w:val="-4"/>
                <w:sz w:val="20"/>
                <w:szCs w:val="20"/>
                <w:lang w:val="af-ZA"/>
              </w:rPr>
              <w:t xml:space="preserve"> </w:t>
            </w:r>
            <w:r w:rsidRPr="0053423A">
              <w:rPr>
                <w:bCs/>
                <w:spacing w:val="-4"/>
                <w:sz w:val="20"/>
                <w:szCs w:val="20"/>
                <w:lang w:val="hy-AM"/>
              </w:rPr>
              <w:t>տարածքում</w:t>
            </w:r>
            <w:r w:rsidRPr="0053423A">
              <w:rPr>
                <w:rFonts w:cs="Sylfaen"/>
                <w:bCs/>
                <w:spacing w:val="-4"/>
                <w:sz w:val="20"/>
                <w:szCs w:val="20"/>
                <w:lang w:val="af-ZA"/>
              </w:rPr>
              <w:t xml:space="preserve"> </w:t>
            </w:r>
            <w:r w:rsidRPr="0053423A">
              <w:rPr>
                <w:bCs/>
                <w:spacing w:val="-4"/>
                <w:sz w:val="20"/>
                <w:szCs w:val="20"/>
                <w:lang w:val="hy-AM"/>
              </w:rPr>
              <w:t>ատոմային</w:t>
            </w:r>
            <w:r w:rsidRPr="0053423A">
              <w:rPr>
                <w:rFonts w:cs="Sylfaen"/>
                <w:bCs/>
                <w:spacing w:val="-4"/>
                <w:sz w:val="20"/>
                <w:szCs w:val="20"/>
                <w:lang w:val="af-ZA"/>
              </w:rPr>
              <w:t xml:space="preserve"> </w:t>
            </w:r>
            <w:r w:rsidRPr="0053423A">
              <w:rPr>
                <w:bCs/>
                <w:spacing w:val="-4"/>
                <w:sz w:val="20"/>
                <w:szCs w:val="20"/>
                <w:lang w:val="hy-AM"/>
              </w:rPr>
              <w:t>էլեկտրակայանի</w:t>
            </w:r>
            <w:r w:rsidRPr="0053423A">
              <w:rPr>
                <w:rFonts w:cs="Sylfaen"/>
                <w:bCs/>
                <w:spacing w:val="-4"/>
                <w:sz w:val="20"/>
                <w:szCs w:val="20"/>
                <w:lang w:val="af-ZA"/>
              </w:rPr>
              <w:t xml:space="preserve"> </w:t>
            </w:r>
            <w:r w:rsidRPr="0053423A">
              <w:rPr>
                <w:bCs/>
                <w:spacing w:val="-4"/>
                <w:sz w:val="20"/>
                <w:szCs w:val="20"/>
                <w:lang w:val="hy-AM"/>
              </w:rPr>
              <w:t>շահագործման</w:t>
            </w:r>
            <w:r w:rsidRPr="0053423A">
              <w:rPr>
                <w:rFonts w:cs="Sylfaen"/>
                <w:bCs/>
                <w:spacing w:val="-4"/>
                <w:sz w:val="20"/>
                <w:szCs w:val="20"/>
                <w:lang w:val="af-ZA"/>
              </w:rPr>
              <w:t xml:space="preserve"> </w:t>
            </w:r>
            <w:r w:rsidRPr="0053423A">
              <w:rPr>
                <w:bCs/>
                <w:spacing w:val="-4"/>
                <w:sz w:val="20"/>
                <w:szCs w:val="20"/>
                <w:lang w:val="hy-AM"/>
              </w:rPr>
              <w:t>ժամկետի</w:t>
            </w:r>
            <w:r w:rsidRPr="0053423A">
              <w:rPr>
                <w:rFonts w:cs="Sylfaen"/>
                <w:bCs/>
                <w:spacing w:val="-4"/>
                <w:sz w:val="20"/>
                <w:szCs w:val="20"/>
                <w:lang w:val="af-ZA"/>
              </w:rPr>
              <w:t xml:space="preserve"> </w:t>
            </w:r>
            <w:r w:rsidRPr="0053423A">
              <w:rPr>
                <w:bCs/>
                <w:spacing w:val="-4"/>
                <w:sz w:val="20"/>
                <w:szCs w:val="20"/>
                <w:lang w:val="hy-AM"/>
              </w:rPr>
              <w:t>երկարաձգման</w:t>
            </w:r>
            <w:r w:rsidRPr="0053423A">
              <w:rPr>
                <w:rFonts w:cs="Sylfaen"/>
                <w:bCs/>
                <w:spacing w:val="-4"/>
                <w:sz w:val="20"/>
                <w:szCs w:val="20"/>
                <w:lang w:val="af-ZA"/>
              </w:rPr>
              <w:t xml:space="preserve"> </w:t>
            </w:r>
            <w:r w:rsidRPr="0053423A">
              <w:rPr>
                <w:bCs/>
                <w:spacing w:val="-4"/>
                <w:sz w:val="20"/>
                <w:szCs w:val="20"/>
                <w:lang w:val="hy-AM"/>
              </w:rPr>
              <w:t>աշխատանքների</w:t>
            </w:r>
            <w:r w:rsidRPr="0053423A">
              <w:rPr>
                <w:rFonts w:cs="Sylfaen"/>
                <w:bCs/>
                <w:spacing w:val="-4"/>
                <w:sz w:val="20"/>
                <w:szCs w:val="20"/>
                <w:lang w:val="af-ZA"/>
              </w:rPr>
              <w:t xml:space="preserve"> </w:t>
            </w:r>
            <w:r w:rsidRPr="0053423A">
              <w:rPr>
                <w:bCs/>
                <w:spacing w:val="-4"/>
                <w:sz w:val="20"/>
                <w:szCs w:val="20"/>
                <w:lang w:val="hy-AM"/>
              </w:rPr>
              <w:t>ֆինանսավորման</w:t>
            </w:r>
            <w:r w:rsidRPr="0053423A">
              <w:rPr>
                <w:rFonts w:cs="Sylfaen"/>
                <w:bCs/>
                <w:spacing w:val="-4"/>
                <w:sz w:val="20"/>
                <w:szCs w:val="20"/>
                <w:lang w:val="af-ZA"/>
              </w:rPr>
              <w:t xml:space="preserve"> </w:t>
            </w:r>
            <w:r w:rsidRPr="0053423A">
              <w:rPr>
                <w:bCs/>
                <w:spacing w:val="-4"/>
                <w:sz w:val="20"/>
                <w:szCs w:val="20"/>
                <w:lang w:val="hy-AM"/>
              </w:rPr>
              <w:t>համար</w:t>
            </w:r>
            <w:r w:rsidRPr="0053423A">
              <w:rPr>
                <w:rFonts w:cs="Sylfaen"/>
                <w:bCs/>
                <w:spacing w:val="-4"/>
                <w:sz w:val="20"/>
                <w:szCs w:val="20"/>
                <w:lang w:val="af-ZA"/>
              </w:rPr>
              <w:t xml:space="preserve"> </w:t>
            </w:r>
            <w:r w:rsidRPr="0053423A">
              <w:rPr>
                <w:bCs/>
                <w:spacing w:val="-4"/>
                <w:sz w:val="20"/>
                <w:szCs w:val="20"/>
                <w:lang w:val="hy-AM"/>
              </w:rPr>
              <w:t>Հայաստանի</w:t>
            </w:r>
            <w:r w:rsidRPr="0053423A">
              <w:rPr>
                <w:rFonts w:cs="Sylfaen"/>
                <w:bCs/>
                <w:spacing w:val="-4"/>
                <w:sz w:val="20"/>
                <w:szCs w:val="20"/>
                <w:lang w:val="af-ZA"/>
              </w:rPr>
              <w:t xml:space="preserve"> </w:t>
            </w:r>
            <w:r w:rsidRPr="0053423A">
              <w:rPr>
                <w:bCs/>
                <w:spacing w:val="-4"/>
                <w:sz w:val="20"/>
                <w:szCs w:val="20"/>
                <w:lang w:val="hy-AM"/>
              </w:rPr>
              <w:t>Հանրապետության</w:t>
            </w:r>
            <w:r w:rsidRPr="0053423A">
              <w:rPr>
                <w:rFonts w:cs="Sylfaen"/>
                <w:bCs/>
                <w:spacing w:val="-4"/>
                <w:sz w:val="20"/>
                <w:szCs w:val="20"/>
                <w:lang w:val="af-ZA"/>
              </w:rPr>
              <w:t xml:space="preserve"> </w:t>
            </w:r>
            <w:r w:rsidRPr="0053423A">
              <w:rPr>
                <w:bCs/>
                <w:spacing w:val="-4"/>
                <w:sz w:val="20"/>
                <w:szCs w:val="20"/>
                <w:lang w:val="hy-AM"/>
              </w:rPr>
              <w:t>կառավարությանը</w:t>
            </w:r>
            <w:r w:rsidRPr="0053423A">
              <w:rPr>
                <w:rFonts w:cs="Sylfaen"/>
                <w:bCs/>
                <w:spacing w:val="-4"/>
                <w:sz w:val="20"/>
                <w:szCs w:val="20"/>
                <w:lang w:val="af-ZA"/>
              </w:rPr>
              <w:t xml:space="preserve"> </w:t>
            </w:r>
            <w:r w:rsidRPr="0053423A">
              <w:rPr>
                <w:bCs/>
                <w:spacing w:val="-4"/>
                <w:sz w:val="20"/>
                <w:szCs w:val="20"/>
                <w:lang w:val="hy-AM"/>
              </w:rPr>
              <w:t>պետական</w:t>
            </w:r>
            <w:r w:rsidRPr="0053423A">
              <w:rPr>
                <w:rFonts w:cs="Sylfaen"/>
                <w:bCs/>
                <w:spacing w:val="-4"/>
                <w:sz w:val="20"/>
                <w:szCs w:val="20"/>
                <w:lang w:val="af-ZA"/>
              </w:rPr>
              <w:t xml:space="preserve"> </w:t>
            </w:r>
            <w:r w:rsidRPr="0053423A">
              <w:rPr>
                <w:bCs/>
                <w:spacing w:val="-4"/>
                <w:sz w:val="20"/>
                <w:szCs w:val="20"/>
                <w:lang w:val="hy-AM"/>
              </w:rPr>
              <w:t>արտահանման</w:t>
            </w:r>
            <w:r w:rsidRPr="0053423A">
              <w:rPr>
                <w:rFonts w:cs="Sylfaen"/>
                <w:bCs/>
                <w:spacing w:val="-4"/>
                <w:sz w:val="20"/>
                <w:szCs w:val="20"/>
                <w:lang w:val="af-ZA"/>
              </w:rPr>
              <w:t xml:space="preserve"> </w:t>
            </w:r>
            <w:r w:rsidRPr="0053423A">
              <w:rPr>
                <w:bCs/>
                <w:spacing w:val="-4"/>
                <w:sz w:val="20"/>
                <w:szCs w:val="20"/>
                <w:lang w:val="hy-AM"/>
              </w:rPr>
              <w:t>վարկ</w:t>
            </w:r>
            <w:r w:rsidRPr="0053423A">
              <w:rPr>
                <w:rFonts w:cs="Sylfaen"/>
                <w:bCs/>
                <w:spacing w:val="-4"/>
                <w:sz w:val="20"/>
                <w:szCs w:val="20"/>
                <w:lang w:val="af-ZA"/>
              </w:rPr>
              <w:t xml:space="preserve"> </w:t>
            </w:r>
            <w:r w:rsidRPr="0053423A">
              <w:rPr>
                <w:bCs/>
                <w:spacing w:val="-4"/>
                <w:sz w:val="20"/>
                <w:szCs w:val="20"/>
                <w:lang w:val="hy-AM"/>
              </w:rPr>
              <w:t>տրամադրելու</w:t>
            </w:r>
            <w:r w:rsidRPr="0053423A">
              <w:rPr>
                <w:rFonts w:cs="Sylfaen"/>
                <w:bCs/>
                <w:spacing w:val="-4"/>
                <w:sz w:val="20"/>
                <w:szCs w:val="20"/>
                <w:lang w:val="af-ZA"/>
              </w:rPr>
              <w:t xml:space="preserve"> </w:t>
            </w:r>
            <w:r w:rsidRPr="0053423A">
              <w:rPr>
                <w:bCs/>
                <w:spacing w:val="-4"/>
                <w:sz w:val="20"/>
                <w:szCs w:val="20"/>
                <w:lang w:val="hy-AM"/>
              </w:rPr>
              <w:t>մասին</w:t>
            </w:r>
            <w:r w:rsidRPr="0053423A">
              <w:rPr>
                <w:rFonts w:cs="Sylfaen"/>
                <w:bCs/>
                <w:spacing w:val="-4"/>
                <w:sz w:val="20"/>
                <w:szCs w:val="20"/>
                <w:lang w:val="af-ZA"/>
              </w:rPr>
              <w:t xml:space="preserve"> </w:t>
            </w:r>
            <w:r w:rsidRPr="0053423A">
              <w:rPr>
                <w:bCs/>
                <w:spacing w:val="-4"/>
                <w:sz w:val="20"/>
                <w:szCs w:val="20"/>
                <w:lang w:val="hy-AM"/>
              </w:rPr>
              <w:t>համաձայնագրերը</w:t>
            </w:r>
            <w:r w:rsidRPr="0053423A">
              <w:rPr>
                <w:rFonts w:cs="Sylfaen"/>
                <w:bCs/>
                <w:spacing w:val="-4"/>
                <w:sz w:val="20"/>
                <w:szCs w:val="20"/>
                <w:lang w:val="af-ZA"/>
              </w:rPr>
              <w:t xml:space="preserve">: </w:t>
            </w:r>
            <w:r w:rsidRPr="0053423A">
              <w:rPr>
                <w:rFonts w:cs="Sylfaen"/>
                <w:bCs/>
                <w:spacing w:val="-4"/>
                <w:sz w:val="20"/>
                <w:szCs w:val="20"/>
                <w:lang w:val="hy-AM"/>
              </w:rPr>
              <w:t>Համաձայն</w:t>
            </w:r>
            <w:r w:rsidRPr="0053423A">
              <w:rPr>
                <w:rFonts w:cs="Sylfaen"/>
                <w:bCs/>
                <w:spacing w:val="-4"/>
                <w:sz w:val="20"/>
                <w:szCs w:val="20"/>
                <w:lang w:val="af-ZA"/>
              </w:rPr>
              <w:t xml:space="preserve"> </w:t>
            </w:r>
            <w:r w:rsidRPr="0053423A">
              <w:rPr>
                <w:rFonts w:cs="Sylfaen"/>
                <w:bCs/>
                <w:spacing w:val="-4"/>
                <w:sz w:val="20"/>
                <w:szCs w:val="20"/>
                <w:lang w:val="hy-AM"/>
              </w:rPr>
              <w:t>համաձայնագրի</w:t>
            </w:r>
            <w:r w:rsidRPr="0053423A">
              <w:rPr>
                <w:rFonts w:cs="Sylfaen"/>
                <w:bCs/>
                <w:spacing w:val="-4"/>
                <w:sz w:val="20"/>
                <w:szCs w:val="20"/>
                <w:lang w:val="af-ZA"/>
              </w:rPr>
              <w:t xml:space="preserve"> </w:t>
            </w:r>
            <w:r w:rsidRPr="0053423A">
              <w:rPr>
                <w:rFonts w:cs="Sylfaen"/>
                <w:bCs/>
                <w:spacing w:val="-4"/>
                <w:sz w:val="20"/>
                <w:szCs w:val="20"/>
                <w:lang w:val="hy-AM"/>
              </w:rPr>
              <w:t>իրականացվում</w:t>
            </w:r>
            <w:r w:rsidRPr="0053423A">
              <w:rPr>
                <w:rFonts w:cs="Sylfaen"/>
                <w:bCs/>
                <w:spacing w:val="-4"/>
                <w:sz w:val="20"/>
                <w:szCs w:val="20"/>
                <w:lang w:val="af-ZA"/>
              </w:rPr>
              <w:t xml:space="preserve"> </w:t>
            </w:r>
            <w:r w:rsidRPr="0053423A">
              <w:rPr>
                <w:rFonts w:cs="Sylfaen"/>
                <w:bCs/>
                <w:spacing w:val="-4"/>
                <w:sz w:val="20"/>
                <w:szCs w:val="20"/>
                <w:lang w:val="hy-AM"/>
              </w:rPr>
              <w:t>են</w:t>
            </w:r>
            <w:r w:rsidRPr="0053423A">
              <w:rPr>
                <w:rFonts w:cs="Sylfaen"/>
                <w:bCs/>
                <w:spacing w:val="-4"/>
                <w:sz w:val="20"/>
                <w:szCs w:val="20"/>
                <w:lang w:val="af-ZA"/>
              </w:rPr>
              <w:t xml:space="preserve"> </w:t>
            </w:r>
            <w:r w:rsidRPr="0053423A">
              <w:rPr>
                <w:bCs/>
                <w:spacing w:val="-4"/>
                <w:sz w:val="20"/>
                <w:szCs w:val="20"/>
                <w:lang w:val="hy-AM"/>
              </w:rPr>
              <w:t>Հայկական</w:t>
            </w:r>
            <w:r w:rsidRPr="0053423A">
              <w:rPr>
                <w:bCs/>
                <w:spacing w:val="-4"/>
                <w:sz w:val="20"/>
                <w:szCs w:val="20"/>
                <w:lang w:val="af-ZA"/>
              </w:rPr>
              <w:t xml:space="preserve"> </w:t>
            </w:r>
            <w:r w:rsidRPr="0053423A">
              <w:rPr>
                <w:bCs/>
                <w:spacing w:val="-4"/>
                <w:sz w:val="20"/>
                <w:szCs w:val="20"/>
                <w:lang w:val="hy-AM"/>
              </w:rPr>
              <w:t>ԱԷԿ</w:t>
            </w:r>
            <w:r w:rsidRPr="0053423A">
              <w:rPr>
                <w:bCs/>
                <w:spacing w:val="-4"/>
                <w:sz w:val="20"/>
                <w:szCs w:val="20"/>
                <w:lang w:val="af-ZA"/>
              </w:rPr>
              <w:t>-</w:t>
            </w:r>
            <w:r w:rsidRPr="0053423A">
              <w:rPr>
                <w:bCs/>
                <w:spacing w:val="-4"/>
                <w:sz w:val="20"/>
                <w:szCs w:val="20"/>
                <w:lang w:val="hy-AM"/>
              </w:rPr>
              <w:t>ի</w:t>
            </w:r>
            <w:r w:rsidRPr="0053423A">
              <w:rPr>
                <w:bCs/>
                <w:spacing w:val="-4"/>
                <w:sz w:val="20"/>
                <w:szCs w:val="20"/>
                <w:lang w:val="af-ZA"/>
              </w:rPr>
              <w:t xml:space="preserve"> </w:t>
            </w:r>
            <w:r w:rsidRPr="0053423A">
              <w:rPr>
                <w:bCs/>
                <w:spacing w:val="-4"/>
                <w:sz w:val="20"/>
                <w:szCs w:val="20"/>
                <w:lang w:val="hy-AM"/>
              </w:rPr>
              <w:t>երկրորդ</w:t>
            </w:r>
            <w:r w:rsidRPr="0053423A">
              <w:rPr>
                <w:bCs/>
                <w:spacing w:val="-4"/>
                <w:sz w:val="20"/>
                <w:szCs w:val="20"/>
                <w:lang w:val="af-ZA"/>
              </w:rPr>
              <w:t xml:space="preserve"> </w:t>
            </w:r>
            <w:r w:rsidRPr="0053423A">
              <w:rPr>
                <w:bCs/>
                <w:spacing w:val="-4"/>
                <w:sz w:val="20"/>
                <w:szCs w:val="20"/>
                <w:lang w:val="hy-AM"/>
              </w:rPr>
              <w:t>էներգաբլոկի</w:t>
            </w:r>
            <w:r w:rsidRPr="0053423A">
              <w:rPr>
                <w:bCs/>
                <w:spacing w:val="-4"/>
                <w:sz w:val="20"/>
                <w:szCs w:val="20"/>
                <w:lang w:val="af-ZA"/>
              </w:rPr>
              <w:t xml:space="preserve"> </w:t>
            </w:r>
            <w:r w:rsidRPr="0053423A">
              <w:rPr>
                <w:bCs/>
                <w:spacing w:val="-4"/>
                <w:sz w:val="20"/>
                <w:szCs w:val="20"/>
                <w:lang w:val="hy-AM"/>
              </w:rPr>
              <w:t>շահագործման</w:t>
            </w:r>
            <w:r w:rsidRPr="0053423A">
              <w:rPr>
                <w:bCs/>
                <w:spacing w:val="-4"/>
                <w:sz w:val="20"/>
                <w:szCs w:val="20"/>
                <w:lang w:val="af-ZA"/>
              </w:rPr>
              <w:t xml:space="preserve"> </w:t>
            </w:r>
            <w:r w:rsidRPr="0053423A">
              <w:rPr>
                <w:bCs/>
                <w:spacing w:val="-4"/>
                <w:sz w:val="20"/>
                <w:szCs w:val="20"/>
                <w:lang w:val="hy-AM"/>
              </w:rPr>
              <w:t>ժամկետի</w:t>
            </w:r>
            <w:r w:rsidRPr="0053423A">
              <w:rPr>
                <w:bCs/>
                <w:spacing w:val="-4"/>
                <w:sz w:val="20"/>
                <w:szCs w:val="20"/>
                <w:lang w:val="af-ZA"/>
              </w:rPr>
              <w:t xml:space="preserve"> </w:t>
            </w:r>
            <w:r w:rsidRPr="0053423A">
              <w:rPr>
                <w:bCs/>
                <w:spacing w:val="-4"/>
                <w:sz w:val="20"/>
                <w:szCs w:val="20"/>
                <w:lang w:val="hy-AM"/>
              </w:rPr>
              <w:t>երկարաձգման</w:t>
            </w:r>
            <w:r w:rsidRPr="0053423A">
              <w:rPr>
                <w:bCs/>
                <w:spacing w:val="-4"/>
                <w:sz w:val="20"/>
                <w:szCs w:val="20"/>
                <w:lang w:val="af-ZA"/>
              </w:rPr>
              <w:t xml:space="preserve"> </w:t>
            </w:r>
            <w:r w:rsidRPr="0053423A">
              <w:rPr>
                <w:bCs/>
                <w:spacing w:val="-4"/>
                <w:sz w:val="20"/>
                <w:szCs w:val="20"/>
                <w:lang w:val="hy-AM"/>
              </w:rPr>
              <w:t>ծրագրով</w:t>
            </w:r>
            <w:r w:rsidRPr="0053423A">
              <w:rPr>
                <w:bCs/>
                <w:spacing w:val="-4"/>
                <w:sz w:val="20"/>
                <w:szCs w:val="20"/>
                <w:lang w:val="af-ZA"/>
              </w:rPr>
              <w:t xml:space="preserve"> </w:t>
            </w:r>
            <w:r w:rsidRPr="0053423A">
              <w:rPr>
                <w:bCs/>
                <w:spacing w:val="-4"/>
                <w:sz w:val="20"/>
                <w:szCs w:val="20"/>
                <w:lang w:val="hy-AM"/>
              </w:rPr>
              <w:t>նախատեսված</w:t>
            </w:r>
            <w:r w:rsidRPr="0053423A">
              <w:rPr>
                <w:bCs/>
                <w:spacing w:val="-4"/>
                <w:sz w:val="20"/>
                <w:szCs w:val="20"/>
                <w:lang w:val="af-ZA"/>
              </w:rPr>
              <w:t xml:space="preserve"> </w:t>
            </w:r>
            <w:r w:rsidRPr="0053423A">
              <w:rPr>
                <w:bCs/>
                <w:spacing w:val="-4"/>
                <w:sz w:val="20"/>
                <w:szCs w:val="20"/>
                <w:lang w:val="hy-AM"/>
              </w:rPr>
              <w:t>աշխատանքները</w:t>
            </w:r>
            <w:r w:rsidRPr="0053423A">
              <w:rPr>
                <w:bCs/>
                <w:spacing w:val="-4"/>
                <w:sz w:val="20"/>
                <w:szCs w:val="20"/>
                <w:lang w:val="af-ZA"/>
              </w:rPr>
              <w:t xml:space="preserve">: </w:t>
            </w:r>
          </w:p>
          <w:p w:rsidR="0084615D" w:rsidRPr="0053423A" w:rsidRDefault="00795500" w:rsidP="001F6D5D">
            <w:pPr>
              <w:pStyle w:val="ListParagraph"/>
              <w:numPr>
                <w:ilvl w:val="1"/>
                <w:numId w:val="260"/>
              </w:numPr>
              <w:tabs>
                <w:tab w:val="left" w:pos="1440"/>
              </w:tabs>
              <w:spacing w:after="0" w:line="276" w:lineRule="auto"/>
              <w:ind w:hanging="1800"/>
              <w:rPr>
                <w:b/>
                <w:sz w:val="20"/>
                <w:szCs w:val="20"/>
                <w:lang w:val="hy-AM"/>
              </w:rPr>
            </w:pPr>
            <w:r w:rsidRPr="0053423A">
              <w:rPr>
                <w:rFonts w:cs="Sylfaen"/>
                <w:b/>
                <w:sz w:val="20"/>
                <w:szCs w:val="20"/>
                <w:lang w:val="hy-AM"/>
              </w:rPr>
              <w:t>Կ</w:t>
            </w:r>
            <w:r w:rsidR="0084615D" w:rsidRPr="0053423A">
              <w:rPr>
                <w:rFonts w:cs="Sylfaen"/>
                <w:b/>
                <w:sz w:val="20"/>
                <w:szCs w:val="20"/>
                <w:lang w:val="hy-AM"/>
              </w:rPr>
              <w:t>արգավորման</w:t>
            </w:r>
            <w:r w:rsidR="0084615D" w:rsidRPr="0053423A">
              <w:rPr>
                <w:b/>
                <w:sz w:val="20"/>
                <w:szCs w:val="20"/>
                <w:lang w:val="hy-AM"/>
              </w:rPr>
              <w:t xml:space="preserve"> հարաբերությունների ներկա վիճակը և առկա խնդիրները</w:t>
            </w:r>
          </w:p>
          <w:p w:rsidR="0084615D" w:rsidRPr="0053423A" w:rsidRDefault="0084615D" w:rsidP="00A67858">
            <w:pPr>
              <w:spacing w:after="0" w:line="276" w:lineRule="auto"/>
              <w:jc w:val="both"/>
              <w:outlineLvl w:val="0"/>
              <w:rPr>
                <w:sz w:val="20"/>
                <w:szCs w:val="20"/>
                <w:lang w:val="hy-AM"/>
              </w:rPr>
            </w:pPr>
            <w:r w:rsidRPr="0053423A">
              <w:rPr>
                <w:rStyle w:val="Strong"/>
                <w:rFonts w:cs="Arial"/>
                <w:b w:val="0"/>
                <w:bCs w:val="0"/>
                <w:color w:val="000000"/>
                <w:sz w:val="20"/>
                <w:szCs w:val="20"/>
                <w:lang w:val="hy-AM"/>
              </w:rPr>
              <w:t>ՌԴ-ի աջակցությամբ իրականացվող Հայկական ԱԷԿ-ի № 2 էներգաբլոկի շահագործման նախագծային ժամկետի երկարացման ծրագրի շրջանակներում ՀՀ և ՌԴ կառավարությունների միջև կնքվել են` 2014թ. դեկտեմբերի 20-ին համագործակցության մասին և 2015թ. փետրվարի 5-ին վարկի տրամադրման մասին համաձայնագրերը (300 մլն ԱՄՆ դոլար, որից 270 մլն ԱՄՆ դոլար վարկ և 30 մլն ԱՄՆ դոլար դրամաշնորհ): 2014թ. դեկտեմբերի 20-ին համագործակցության մասին կնքված համաձայնագրի 2-րդ հոդվածի 2-րդ կետի համաձայն կողմերը նշանակել են լիազորված կազմակերպություններ` հայկական կողմից` ՀՀ էներգետիկայի և բնական պաշարների նախարարի 2015թ. մարտի 13-ի № 01/20.2/1197-15 գրությամբ նշանակվել է «Հայկական ատոմային էլեկտրակայան» ՓԲԸ-ն, ռուսական կողմից` «Ռոսատոմ» պետական կորպորացիայի 2015թ. հունվարի 14-ի № 1-1/431 գրությամբ նշանակվել է «Ռուսատոմ Սերվիս» ԲԸ-ն: Ծրագրի իրականացման նպատակով «Հայկական ատոմային էլեկտրակայան» ՓԲԸ-ի (Պատվիրատու) և «Ռուսատոմ Սերվիս» ԲԸ-ի (Կապալառու) միջև 2015թ. հունիսի 1-ին ստորագրվել է «Հայկական ատոմային էլեկտրակայանի 2-րդ էներգաբլոկի շահագործման ժամկետի երկարաձգման աշխատանքների իրականացում, ծառայությունների մատուցում և ապրանքների մատակարարում» №</w:t>
            </w:r>
            <w:r w:rsidRPr="0053423A">
              <w:rPr>
                <w:rStyle w:val="Strong"/>
                <w:rFonts w:ascii="Calibri" w:hAnsi="Calibri" w:cs="Calibri"/>
                <w:b w:val="0"/>
                <w:bCs w:val="0"/>
                <w:color w:val="000000"/>
                <w:sz w:val="20"/>
                <w:szCs w:val="20"/>
                <w:lang w:val="hy-AM"/>
              </w:rPr>
              <w:t> </w:t>
            </w:r>
            <w:r w:rsidRPr="0053423A">
              <w:rPr>
                <w:rStyle w:val="Strong"/>
                <w:rFonts w:cs="GHEA Grapalat"/>
                <w:b w:val="0"/>
                <w:bCs w:val="0"/>
                <w:color w:val="000000"/>
                <w:sz w:val="20"/>
                <w:szCs w:val="20"/>
                <w:lang w:val="hy-AM"/>
              </w:rPr>
              <w:t xml:space="preserve">309/688-Д </w:t>
            </w:r>
            <w:r w:rsidRPr="0053423A">
              <w:rPr>
                <w:rStyle w:val="Strong"/>
                <w:rFonts w:cs="Arial"/>
                <w:b w:val="0"/>
                <w:bCs w:val="0"/>
                <w:color w:val="000000"/>
                <w:sz w:val="20"/>
                <w:szCs w:val="20"/>
                <w:lang w:val="hy-AM"/>
              </w:rPr>
              <w:t xml:space="preserve">պայմանագիր, որի շրջանակներում ստորագրվել են թվով 60 լրացուցիչ համաձայնագրեր (ԼՀ): </w:t>
            </w:r>
            <w:r w:rsidRPr="0053423A">
              <w:rPr>
                <w:rStyle w:val="Strong"/>
                <w:rFonts w:cs="Arial"/>
                <w:b w:val="0"/>
                <w:bCs w:val="0"/>
                <w:color w:val="000000"/>
                <w:sz w:val="20"/>
                <w:szCs w:val="20"/>
                <w:lang w:val="hy-AM"/>
              </w:rPr>
              <w:br/>
              <w:t>ՀՀ կառավարությանը 2018թ. փետրվարի 1-ի № 4-27 արձանագրային որոշմամբ հավանության է արժանացրել ծրագրի իրականացումն ապահովող ԼՀ-ն՝ 57</w:t>
            </w:r>
            <w:r w:rsidRPr="0053423A">
              <w:rPr>
                <w:rStyle w:val="Strong"/>
                <w:rFonts w:ascii="Calibri" w:hAnsi="Calibri" w:cs="Calibri"/>
                <w:b w:val="0"/>
                <w:bCs w:val="0"/>
                <w:color w:val="000000"/>
                <w:sz w:val="20"/>
                <w:szCs w:val="20"/>
                <w:lang w:val="hy-AM"/>
              </w:rPr>
              <w:t> </w:t>
            </w:r>
            <w:r w:rsidRPr="0053423A">
              <w:rPr>
                <w:rStyle w:val="Strong"/>
                <w:rFonts w:cs="GHEA Grapalat"/>
                <w:b w:val="0"/>
                <w:bCs w:val="0"/>
                <w:color w:val="000000"/>
                <w:sz w:val="20"/>
                <w:szCs w:val="20"/>
                <w:lang w:val="hy-AM"/>
              </w:rPr>
              <w:t>117</w:t>
            </w:r>
            <w:r w:rsidRPr="0053423A">
              <w:rPr>
                <w:rStyle w:val="Strong"/>
                <w:rFonts w:ascii="Calibri" w:hAnsi="Calibri" w:cs="Calibri"/>
                <w:b w:val="0"/>
                <w:bCs w:val="0"/>
                <w:color w:val="000000"/>
                <w:sz w:val="20"/>
                <w:szCs w:val="20"/>
                <w:lang w:val="hy-AM"/>
              </w:rPr>
              <w:t> </w:t>
            </w:r>
            <w:r w:rsidRPr="0053423A">
              <w:rPr>
                <w:rStyle w:val="Strong"/>
                <w:rFonts w:cs="GHEA Grapalat"/>
                <w:b w:val="0"/>
                <w:bCs w:val="0"/>
                <w:color w:val="000000"/>
                <w:sz w:val="20"/>
                <w:szCs w:val="20"/>
                <w:lang w:val="hy-AM"/>
              </w:rPr>
              <w:t xml:space="preserve">520 </w:t>
            </w:r>
            <w:r w:rsidRPr="0053423A">
              <w:rPr>
                <w:rStyle w:val="Strong"/>
                <w:rFonts w:cs="Arial"/>
                <w:b w:val="0"/>
                <w:bCs w:val="0"/>
                <w:color w:val="000000"/>
                <w:sz w:val="20"/>
                <w:szCs w:val="20"/>
                <w:lang w:val="hy-AM"/>
              </w:rPr>
              <w:t xml:space="preserve">ԱՄՆ դոլար արժողությամբ: Այնուհետև, պայմանավորված ծրագրի ավարտման ժամկետի երկարաձգմամբ՝ մինչև 2021թ. հուլիսի 1-ը և չփաստաթղթավորված մնացորդային միջոցների հաշվին նախատեսված աշխատանքների ծավալների մասով, լրացուցիչ համաձայնագիր կնքելու նպատակով ՀՀ կառավարությունը 2018թ. մայիսի 3-ին ընդունեց № 542-Ա որոշումը: </w:t>
            </w:r>
            <w:r w:rsidRPr="0053423A">
              <w:rPr>
                <w:rStyle w:val="Strong"/>
                <w:rFonts w:cs="Arial"/>
                <w:b w:val="0"/>
                <w:color w:val="000000"/>
                <w:sz w:val="20"/>
                <w:szCs w:val="20"/>
                <w:lang w:val="hy-AM"/>
              </w:rPr>
              <w:t>ՀՀ էներգետիկ ենթակառուցվածքների և բնական պաշարների նախարարության կողմից</w:t>
            </w:r>
            <w:r w:rsidRPr="0053423A">
              <w:rPr>
                <w:rStyle w:val="Strong"/>
                <w:rFonts w:cs="Arial"/>
                <w:b w:val="0"/>
                <w:bCs w:val="0"/>
                <w:color w:val="000000"/>
                <w:sz w:val="20"/>
                <w:szCs w:val="20"/>
                <w:lang w:val="hy-AM"/>
              </w:rPr>
              <w:t xml:space="preserve"> «Ռոսատոմ» ընկերությանը ներկայացվել է գրություն ՀԱԷԿ-ի շահագործման ժամկետի երկարաձգման աշխատանքների ֆինանսավորման նպատակով ՌԴ կողմից տրամադրված վարկի պայմանագրով նախատեսված օգտագործման ժամկետը 1 տարի 6 ամսով և վարկի մարման սկզբնաժամկետը երկարաձգելու առաջարկությամբ, ինչպես նաև ՀՀ ֆինանսների նախարարության կողմից 2018թ. հուլիսի 29-ին ՌԴ ֆինանսների նախարարությանը ներկայացվել է դիմում՝ համաձայնագրի ժամկետի երկարացման և համապատասխանաբար վարկի մարման սկզբնաժամկետի երկարացման վերաբերյալ:</w:t>
            </w:r>
          </w:p>
          <w:p w:rsidR="0084615D" w:rsidRPr="0053423A" w:rsidRDefault="00795500" w:rsidP="001F6D5D">
            <w:pPr>
              <w:pStyle w:val="ListParagraph"/>
              <w:numPr>
                <w:ilvl w:val="1"/>
                <w:numId w:val="260"/>
              </w:numPr>
              <w:tabs>
                <w:tab w:val="left" w:pos="1440"/>
              </w:tabs>
              <w:spacing w:after="0" w:line="276" w:lineRule="auto"/>
              <w:ind w:left="0" w:firstLine="900"/>
              <w:rPr>
                <w:b/>
                <w:sz w:val="20"/>
                <w:szCs w:val="20"/>
              </w:rPr>
            </w:pPr>
            <w:r w:rsidRPr="0053423A">
              <w:rPr>
                <w:rFonts w:cs="Sylfaen"/>
                <w:b/>
                <w:sz w:val="20"/>
                <w:szCs w:val="20"/>
              </w:rPr>
              <w:t>Ա</w:t>
            </w:r>
            <w:r w:rsidR="0084615D" w:rsidRPr="0053423A">
              <w:rPr>
                <w:rFonts w:cs="Sylfaen"/>
                <w:b/>
                <w:sz w:val="20"/>
                <w:szCs w:val="20"/>
              </w:rPr>
              <w:t>ռկ</w:t>
            </w:r>
            <w:r w:rsidR="0084615D" w:rsidRPr="0053423A">
              <w:rPr>
                <w:b/>
                <w:sz w:val="20"/>
                <w:szCs w:val="20"/>
              </w:rPr>
              <w:t>ա խնդիրների առաջարկվող լուծումները</w:t>
            </w:r>
          </w:p>
          <w:p w:rsidR="0084615D" w:rsidRPr="0053423A" w:rsidRDefault="0084615D" w:rsidP="00A67858">
            <w:pPr>
              <w:spacing w:after="0" w:line="276" w:lineRule="auto"/>
              <w:jc w:val="both"/>
              <w:rPr>
                <w:color w:val="000000"/>
                <w:sz w:val="20"/>
                <w:szCs w:val="20"/>
                <w:lang w:val="hy-AM"/>
              </w:rPr>
            </w:pPr>
            <w:r w:rsidRPr="0053423A">
              <w:rPr>
                <w:rFonts w:cs="Sylfaen"/>
                <w:color w:val="000000"/>
                <w:sz w:val="20"/>
                <w:szCs w:val="20"/>
                <w:lang w:val="hy-AM"/>
              </w:rPr>
              <w:t>ՀԱԷԿ</w:t>
            </w:r>
            <w:r w:rsidRPr="0053423A">
              <w:rPr>
                <w:color w:val="000000"/>
                <w:sz w:val="20"/>
                <w:szCs w:val="20"/>
                <w:lang w:val="hy-AM"/>
              </w:rPr>
              <w:t>-ի շահագործման ժամկետի երկարաձգման աշխատանքների ֆինանսավորման նպատակով ՌԴ կողմից տրամադրված վարկի պայմանագրով նախատեսված օգտագործման ժամկետը և վարկի մարման սկզբնաժամկետը երկարաձգելու</w:t>
            </w:r>
            <w:r w:rsidRPr="0053423A">
              <w:rPr>
                <w:sz w:val="20"/>
                <w:szCs w:val="20"/>
                <w:lang w:val="hy-AM"/>
              </w:rPr>
              <w:t xml:space="preserve"> հարցը քննարկվել է նաև </w:t>
            </w:r>
            <w:r w:rsidRPr="0053423A">
              <w:rPr>
                <w:color w:val="000000"/>
                <w:sz w:val="20"/>
                <w:szCs w:val="20"/>
                <w:lang w:val="hy-AM"/>
              </w:rPr>
              <w:t>2019թ. մարտի 12-ին տեղի ունեցած Հայ-ռուսական համատեղ համակարգող կոմիտեի նիստում, որի ընթացքում</w:t>
            </w:r>
            <w:r w:rsidRPr="0053423A">
              <w:rPr>
                <w:b/>
                <w:color w:val="000000"/>
                <w:sz w:val="20"/>
                <w:szCs w:val="20"/>
                <w:lang w:val="hy-AM"/>
              </w:rPr>
              <w:t xml:space="preserve"> </w:t>
            </w:r>
            <w:r w:rsidRPr="0053423A">
              <w:rPr>
                <w:color w:val="000000"/>
                <w:sz w:val="20"/>
                <w:szCs w:val="20"/>
                <w:lang w:val="hy-AM"/>
              </w:rPr>
              <w:t xml:space="preserve">ձեռք է բերվել պայմանավորվածություն այն մասին, որ մինչև 2019թ. ապրիլի 15-ը </w:t>
            </w:r>
            <w:r w:rsidRPr="0053423A">
              <w:rPr>
                <w:rStyle w:val="Strong"/>
                <w:rFonts w:cs="Arial"/>
                <w:b w:val="0"/>
                <w:bCs w:val="0"/>
                <w:color w:val="000000"/>
                <w:sz w:val="20"/>
                <w:szCs w:val="20"/>
                <w:lang w:val="hy-AM"/>
              </w:rPr>
              <w:t>«Հայկական ատոմային էլեկտրակայան»</w:t>
            </w:r>
            <w:r w:rsidRPr="0053423A">
              <w:rPr>
                <w:color w:val="000000"/>
                <w:sz w:val="20"/>
                <w:szCs w:val="20"/>
                <w:lang w:val="hy-AM"/>
              </w:rPr>
              <w:t xml:space="preserve"> ՓԲԸ-ն կներկայացնի շահագործման ժամկետի երկարացման աշխատանքների ընդհանրացնող պլան-ժամանակացույց՝ համաձայնեցնելով ՀՀ միջուկային անվտանգության կարգավորման կոմիտեի և </w:t>
            </w:r>
            <w:r w:rsidRPr="0053423A">
              <w:rPr>
                <w:rStyle w:val="Strong"/>
                <w:rFonts w:cs="Arial"/>
                <w:b w:val="0"/>
                <w:bCs w:val="0"/>
                <w:color w:val="000000"/>
                <w:sz w:val="20"/>
                <w:szCs w:val="20"/>
                <w:lang w:val="hy-AM"/>
              </w:rPr>
              <w:t>«Ռուսատոմ Սերվիս</w:t>
            </w:r>
            <w:r w:rsidRPr="0053423A">
              <w:rPr>
                <w:rStyle w:val="Strong"/>
                <w:rFonts w:cs="Arial"/>
                <w:bCs w:val="0"/>
                <w:color w:val="000000"/>
                <w:sz w:val="20"/>
                <w:szCs w:val="20"/>
                <w:lang w:val="hy-AM"/>
              </w:rPr>
              <w:t>»</w:t>
            </w:r>
            <w:r w:rsidRPr="0053423A">
              <w:rPr>
                <w:color w:val="000000"/>
                <w:sz w:val="20"/>
                <w:szCs w:val="20"/>
                <w:lang w:val="hy-AM"/>
              </w:rPr>
              <w:t xml:space="preserve"> ԲԸ-ի հետ, որով վերջնականապես կհստակեցվեն աշխատանքային ծավալները և ավարտման ժամկետը: Ձեռք է բերվել նաև պայմանավորվածություն, որի համաձայն ՀՀ կառավարությունը կդիմի ՌԴ կառավարությանը՝ միջպետական համաձայնագրի ժամկետների տեղափոխման հարցով՝ կցելով վերոնշյալ պլան-ժամանակացույցը: Ներկայումս իրականացվում է նշված պլան-ժամանակացույցի համաձայնեցման գործընթաց:</w:t>
            </w:r>
          </w:p>
          <w:p w:rsidR="0084615D" w:rsidRPr="0053423A" w:rsidRDefault="0084615D" w:rsidP="001F6D5D">
            <w:pPr>
              <w:pStyle w:val="ListParagraph"/>
              <w:numPr>
                <w:ilvl w:val="0"/>
                <w:numId w:val="260"/>
              </w:numPr>
              <w:spacing w:after="0" w:line="276" w:lineRule="auto"/>
              <w:ind w:firstLine="180"/>
              <w:rPr>
                <w:b/>
                <w:sz w:val="20"/>
                <w:szCs w:val="20"/>
              </w:rPr>
            </w:pPr>
            <w:r w:rsidRPr="0053423A">
              <w:rPr>
                <w:rFonts w:cs="Sylfaen"/>
                <w:b/>
                <w:sz w:val="20"/>
                <w:szCs w:val="20"/>
              </w:rPr>
              <w:t>Միջոցառման</w:t>
            </w:r>
            <w:r w:rsidRPr="0053423A">
              <w:rPr>
                <w:b/>
                <w:sz w:val="20"/>
                <w:szCs w:val="20"/>
              </w:rPr>
              <w:t xml:space="preserve"> իրակացումից ակնկալվող արդյունքը</w:t>
            </w:r>
          </w:p>
          <w:p w:rsidR="0084615D" w:rsidRPr="0053423A" w:rsidRDefault="0084615D" w:rsidP="00A67858">
            <w:pPr>
              <w:pStyle w:val="ListParagraph"/>
              <w:spacing w:after="0" w:line="276" w:lineRule="auto"/>
              <w:ind w:left="0"/>
              <w:jc w:val="both"/>
              <w:rPr>
                <w:rFonts w:eastAsia="Times New Roman"/>
                <w:b/>
                <w:bCs/>
                <w:sz w:val="20"/>
                <w:szCs w:val="20"/>
              </w:rPr>
            </w:pPr>
            <w:r w:rsidRPr="0053423A">
              <w:rPr>
                <w:rStyle w:val="Strong"/>
                <w:rFonts w:cs="Sylfaen"/>
                <w:b w:val="0"/>
                <w:bCs w:val="0"/>
                <w:color w:val="000000"/>
                <w:sz w:val="20"/>
                <w:szCs w:val="20"/>
                <w:lang w:val="hy-AM"/>
              </w:rPr>
              <w:t xml:space="preserve">Հայկական ԱԷԿ-ի երկրորդ էներգաբլոկի շահագործման ժամկետի երկարաձգման ծրագրով նախատեսված աշխատանքներն իրականացնելու դեպքում ակնկալվում է արդիականացնել Հայկական ԱԷԿ-ի երկրորդ էներգաբլոկի երրորդ տուրբոագրեգատի արդիականացման ավարտ և չորրորդ տուրբոագրեգատի երկու կոնդենսատորների փոխարինում: Կատարված արդիակացումները </w:t>
            </w:r>
            <w:r w:rsidRPr="0053423A">
              <w:rPr>
                <w:rStyle w:val="Strong"/>
                <w:rFonts w:cs="Sylfaen"/>
                <w:b w:val="0"/>
                <w:bCs w:val="0"/>
                <w:color w:val="000000"/>
                <w:sz w:val="20"/>
                <w:szCs w:val="20"/>
              </w:rPr>
              <w:t>շահագործման լրացուցիչ ժամանակահատվածում</w:t>
            </w:r>
            <w:r w:rsidRPr="0053423A">
              <w:rPr>
                <w:rStyle w:val="Strong"/>
                <w:rFonts w:cs="Sylfaen"/>
                <w:b w:val="0"/>
                <w:bCs w:val="0"/>
                <w:color w:val="000000"/>
                <w:sz w:val="20"/>
                <w:szCs w:val="20"/>
                <w:lang w:val="hy-AM"/>
              </w:rPr>
              <w:t xml:space="preserve"> հնարավորություն կընձեռեն մեծացնել Հայկական ԱԷԿ-ի տուրբինային արտադրամասի նախագծային հզորությունը</w:t>
            </w:r>
            <w:r w:rsidRPr="0053423A">
              <w:rPr>
                <w:rStyle w:val="Strong"/>
                <w:rFonts w:cs="Sylfaen"/>
                <w:bCs w:val="0"/>
                <w:color w:val="000000"/>
                <w:sz w:val="20"/>
                <w:szCs w:val="20"/>
              </w:rPr>
              <w:t xml:space="preserve"> </w:t>
            </w:r>
            <w:r w:rsidRPr="0053423A">
              <w:rPr>
                <w:rStyle w:val="Strong"/>
                <w:rFonts w:cs="Sylfaen"/>
                <w:b w:val="0"/>
                <w:bCs w:val="0"/>
                <w:color w:val="000000"/>
                <w:sz w:val="20"/>
                <w:szCs w:val="20"/>
              </w:rPr>
              <w:t>առնվազն 10%-ով:</w:t>
            </w:r>
          </w:p>
        </w:tc>
      </w:tr>
      <w:tr w:rsidR="0084615D" w:rsidRPr="0053423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3</w:t>
            </w:r>
          </w:p>
        </w:tc>
        <w:tc>
          <w:tcPr>
            <w:tcW w:w="10879" w:type="dxa"/>
            <w:shd w:val="clear" w:color="auto" w:fill="auto"/>
          </w:tcPr>
          <w:p w:rsidR="0084615D" w:rsidRPr="0053423A" w:rsidRDefault="0084615D" w:rsidP="00A67858">
            <w:pPr>
              <w:spacing w:after="0" w:line="276" w:lineRule="auto"/>
              <w:jc w:val="center"/>
              <w:rPr>
                <w:b/>
                <w:sz w:val="20"/>
                <w:szCs w:val="20"/>
                <w:lang w:val="hy-AM"/>
              </w:rPr>
            </w:pPr>
            <w:r w:rsidRPr="0053423A">
              <w:rPr>
                <w:b/>
                <w:sz w:val="20"/>
                <w:szCs w:val="20"/>
                <w:lang w:val="hy-AM"/>
              </w:rPr>
              <w:t>Հայաստանի Հանրապետությունում նոր միջուկային էներգաբլոկի կառուցման ծրագրի մշակում</w:t>
            </w:r>
          </w:p>
          <w:p w:rsidR="0084615D" w:rsidRPr="0053423A" w:rsidRDefault="0084615D" w:rsidP="00A67858">
            <w:pPr>
              <w:spacing w:after="0" w:line="276" w:lineRule="auto"/>
              <w:jc w:val="center"/>
              <w:rPr>
                <w:b/>
                <w:sz w:val="20"/>
                <w:szCs w:val="20"/>
                <w:lang w:val="hy-AM"/>
              </w:rPr>
            </w:pPr>
          </w:p>
          <w:p w:rsidR="0084615D" w:rsidRPr="0053423A" w:rsidRDefault="0084615D" w:rsidP="00A67858">
            <w:pPr>
              <w:pStyle w:val="BodyText"/>
              <w:tabs>
                <w:tab w:val="left" w:pos="900"/>
              </w:tabs>
              <w:spacing w:after="0" w:line="276" w:lineRule="auto"/>
              <w:ind w:left="900"/>
              <w:jc w:val="center"/>
              <w:rPr>
                <w:rFonts w:ascii="GHEA Grapalat" w:eastAsia="Calibri" w:hAnsi="GHEA Grapalat"/>
                <w:b/>
                <w:sz w:val="20"/>
                <w:szCs w:val="20"/>
                <w:u w:val="single"/>
                <w:lang w:val="af-ZA"/>
              </w:rPr>
            </w:pPr>
            <w:r w:rsidRPr="0053423A">
              <w:rPr>
                <w:rFonts w:ascii="GHEA Grapalat" w:eastAsia="Calibri" w:hAnsi="GHEA Grapalat"/>
                <w:b/>
                <w:sz w:val="20"/>
                <w:szCs w:val="20"/>
                <w:u w:val="single"/>
                <w:lang w:val="af-ZA"/>
              </w:rPr>
              <w:t>3.1 Միջուկային էներգետիկական միջազգային շուկայում առկա նոր միջուկային էներգաբլոկների առաջարկների և ՀՀ էներգահամակարգում դրանց կիրառելիության առավել արդյունավետ տարբերակի ընտրություն</w:t>
            </w:r>
          </w:p>
          <w:p w:rsidR="0084615D" w:rsidRPr="0053423A" w:rsidRDefault="0084615D" w:rsidP="00A67858">
            <w:pPr>
              <w:pStyle w:val="BodyText"/>
              <w:tabs>
                <w:tab w:val="left" w:pos="900"/>
              </w:tabs>
              <w:spacing w:after="0" w:line="276" w:lineRule="auto"/>
              <w:ind w:left="720" w:firstLine="180"/>
              <w:jc w:val="center"/>
              <w:rPr>
                <w:rFonts w:ascii="GHEA Grapalat" w:eastAsia="Calibri" w:hAnsi="GHEA Grapalat"/>
                <w:b/>
                <w:sz w:val="20"/>
                <w:szCs w:val="20"/>
                <w:u w:val="single"/>
                <w:lang w:val="af-ZA"/>
              </w:rPr>
            </w:pPr>
            <w:r w:rsidRPr="0053423A">
              <w:rPr>
                <w:rFonts w:ascii="GHEA Grapalat" w:eastAsia="Calibri" w:hAnsi="GHEA Grapalat"/>
                <w:b/>
                <w:sz w:val="20"/>
                <w:szCs w:val="20"/>
                <w:u w:val="single"/>
                <w:lang w:val="af-ZA"/>
              </w:rPr>
              <w:t>3.2</w:t>
            </w:r>
            <w:r w:rsidRPr="0053423A">
              <w:rPr>
                <w:rFonts w:ascii="GHEA Grapalat" w:eastAsia="Calibri" w:hAnsi="GHEA Grapalat"/>
                <w:b/>
                <w:sz w:val="20"/>
                <w:szCs w:val="20"/>
                <w:u w:val="single"/>
                <w:lang w:val="af-ZA"/>
              </w:rPr>
              <w:tab/>
              <w:t>Հնարավոր ներդրողների և մատակարարների հետ բանակցությունների վարում</w:t>
            </w:r>
          </w:p>
          <w:p w:rsidR="0084615D" w:rsidRPr="0053423A" w:rsidRDefault="0084615D" w:rsidP="00A67858">
            <w:pPr>
              <w:pStyle w:val="BodyText"/>
              <w:tabs>
                <w:tab w:val="left" w:pos="270"/>
                <w:tab w:val="left" w:pos="1440"/>
              </w:tabs>
              <w:spacing w:after="0" w:line="276" w:lineRule="auto"/>
              <w:ind w:left="1440" w:hanging="540"/>
              <w:jc w:val="center"/>
              <w:rPr>
                <w:rFonts w:ascii="GHEA Grapalat" w:eastAsia="Times New Roman" w:hAnsi="GHEA Grapalat"/>
                <w:b/>
                <w:sz w:val="20"/>
                <w:szCs w:val="20"/>
                <w:u w:val="single"/>
                <w:lang w:val="hy-AM"/>
              </w:rPr>
            </w:pPr>
            <w:r w:rsidRPr="0053423A">
              <w:rPr>
                <w:rFonts w:ascii="GHEA Grapalat" w:eastAsia="Calibri" w:hAnsi="GHEA Grapalat"/>
                <w:b/>
                <w:sz w:val="20"/>
                <w:szCs w:val="20"/>
                <w:u w:val="single"/>
                <w:lang w:val="af-ZA"/>
              </w:rPr>
              <w:t>3.3</w:t>
            </w:r>
            <w:r w:rsidRPr="0053423A">
              <w:rPr>
                <w:rFonts w:ascii="GHEA Grapalat" w:eastAsia="Calibri" w:hAnsi="GHEA Grapalat"/>
                <w:b/>
                <w:sz w:val="20"/>
                <w:szCs w:val="20"/>
                <w:u w:val="single"/>
                <w:lang w:val="af-ZA"/>
              </w:rPr>
              <w:tab/>
              <w:t>ՀՀ-ում նոր միջուկային էներգաբլոկի կառուցման ծրագրի մշակում</w:t>
            </w:r>
          </w:p>
          <w:p w:rsidR="0084615D" w:rsidRPr="0053423A" w:rsidRDefault="0084615D" w:rsidP="00A67858">
            <w:pPr>
              <w:pStyle w:val="BodyText"/>
              <w:tabs>
                <w:tab w:val="left" w:pos="270"/>
                <w:tab w:val="left" w:pos="1440"/>
              </w:tabs>
              <w:spacing w:after="0" w:line="276" w:lineRule="auto"/>
              <w:ind w:left="1440" w:hanging="540"/>
              <w:rPr>
                <w:rFonts w:ascii="GHEA Grapalat" w:eastAsia="Times New Roman" w:hAnsi="GHEA Grapalat"/>
                <w:i/>
                <w:sz w:val="20"/>
                <w:szCs w:val="20"/>
                <w:lang w:val="af-ZA"/>
              </w:rPr>
            </w:pPr>
          </w:p>
          <w:p w:rsidR="0084615D" w:rsidRPr="0053423A" w:rsidRDefault="0084615D" w:rsidP="001F6D5D">
            <w:pPr>
              <w:pStyle w:val="ListParagraph"/>
              <w:numPr>
                <w:ilvl w:val="0"/>
                <w:numId w:val="261"/>
              </w:numPr>
              <w:tabs>
                <w:tab w:val="left" w:pos="1440"/>
              </w:tabs>
              <w:spacing w:after="0" w:line="276" w:lineRule="auto"/>
              <w:ind w:firstLine="180"/>
              <w:rPr>
                <w:b/>
                <w:sz w:val="20"/>
                <w:szCs w:val="20"/>
                <w:lang w:val="hy-AM"/>
              </w:rPr>
            </w:pPr>
            <w:r w:rsidRPr="0053423A">
              <w:rPr>
                <w:rFonts w:cs="Sylfaen"/>
                <w:b/>
                <w:sz w:val="20"/>
                <w:szCs w:val="20"/>
                <w:lang w:val="hy-AM"/>
              </w:rPr>
              <w:t>Միջոցառման</w:t>
            </w:r>
            <w:r w:rsidRPr="0053423A">
              <w:rPr>
                <w:b/>
                <w:sz w:val="20"/>
                <w:szCs w:val="20"/>
                <w:lang w:val="hy-AM"/>
              </w:rPr>
              <w:t xml:space="preserve"> իրականացման անհրաժեշտությունը և նպատակը</w:t>
            </w:r>
          </w:p>
          <w:p w:rsidR="0084615D" w:rsidRPr="0053423A" w:rsidRDefault="0084615D" w:rsidP="00A67858">
            <w:pPr>
              <w:pStyle w:val="ListParagraph"/>
              <w:tabs>
                <w:tab w:val="left" w:pos="0"/>
                <w:tab w:val="left" w:pos="90"/>
              </w:tabs>
              <w:spacing w:after="0" w:line="276" w:lineRule="auto"/>
              <w:ind w:left="0" w:firstLine="871"/>
              <w:jc w:val="both"/>
              <w:rPr>
                <w:rFonts w:cs="GHEAGrapalat"/>
                <w:sz w:val="20"/>
                <w:szCs w:val="20"/>
                <w:lang w:val="hy-AM"/>
              </w:rPr>
            </w:pPr>
            <w:r w:rsidRPr="0053423A">
              <w:rPr>
                <w:sz w:val="20"/>
                <w:szCs w:val="20"/>
                <w:lang w:val="hy-AM"/>
              </w:rPr>
              <w:t>Միջոցառման անհրաժեշտությունը բխում է Հայաստանի Հանրապետության Նախագահի 2013 թվականի հոկտեմբերի 23-ի թիվ 182-ՆԿ կարգադրությամբ հաստատված «Հ</w:t>
            </w:r>
            <w:r w:rsidRPr="0053423A">
              <w:rPr>
                <w:sz w:val="20"/>
                <w:szCs w:val="20"/>
                <w:lang w:val="fr-FR"/>
              </w:rPr>
              <w:t>այաստանի</w:t>
            </w:r>
            <w:r w:rsidRPr="0053423A">
              <w:rPr>
                <w:sz w:val="20"/>
                <w:szCs w:val="20"/>
                <w:lang w:val="hy-AM"/>
              </w:rPr>
              <w:t xml:space="preserve">  Հ</w:t>
            </w:r>
            <w:r w:rsidRPr="0053423A">
              <w:rPr>
                <w:sz w:val="20"/>
                <w:szCs w:val="20"/>
                <w:lang w:val="fr-FR"/>
              </w:rPr>
              <w:t>անրապետության</w:t>
            </w:r>
            <w:r w:rsidRPr="0053423A">
              <w:rPr>
                <w:sz w:val="20"/>
                <w:szCs w:val="20"/>
                <w:lang w:val="hy-AM"/>
              </w:rPr>
              <w:t xml:space="preserve"> էներգետիկ</w:t>
            </w:r>
            <w:r w:rsidRPr="0053423A">
              <w:rPr>
                <w:sz w:val="20"/>
                <w:szCs w:val="20"/>
                <w:lang w:val="af-ZA"/>
              </w:rPr>
              <w:t xml:space="preserve"> </w:t>
            </w:r>
            <w:r w:rsidRPr="0053423A">
              <w:rPr>
                <w:sz w:val="20"/>
                <w:szCs w:val="20"/>
                <w:lang w:val="hy-AM"/>
              </w:rPr>
              <w:t>անվտանգության</w:t>
            </w:r>
            <w:r w:rsidRPr="0053423A">
              <w:rPr>
                <w:sz w:val="20"/>
                <w:szCs w:val="20"/>
                <w:lang w:val="af-ZA"/>
              </w:rPr>
              <w:t xml:space="preserve"> </w:t>
            </w:r>
            <w:r w:rsidRPr="0053423A">
              <w:rPr>
                <w:sz w:val="20"/>
                <w:szCs w:val="20"/>
                <w:lang w:val="fr-FR"/>
              </w:rPr>
              <w:t>ապահովման</w:t>
            </w:r>
            <w:r w:rsidRPr="0053423A">
              <w:rPr>
                <w:sz w:val="20"/>
                <w:szCs w:val="20"/>
                <w:lang w:val="af-ZA"/>
              </w:rPr>
              <w:t xml:space="preserve"> </w:t>
            </w:r>
            <w:r w:rsidRPr="0053423A">
              <w:rPr>
                <w:sz w:val="20"/>
                <w:szCs w:val="20"/>
                <w:lang w:val="hy-AM"/>
              </w:rPr>
              <w:t>հայեցակարգի</w:t>
            </w:r>
            <w:r w:rsidRPr="0053423A">
              <w:rPr>
                <w:bCs/>
                <w:sz w:val="20"/>
                <w:szCs w:val="20"/>
                <w:lang w:val="hy-AM"/>
              </w:rPr>
              <w:t>» 48-րդ կետի և 2014 թվականի հուլիսի 31-ի «Հայաստանի Հանրապետության էներգետիկ անվտանգության ապահովման հայեցակարգի դրույթների իրականացումն ապահովող 2014-2020 թվականների միջոցառումների ծրագիր ժամանակացույցը հաստատելու մասին» Հայաստանի Հանրապետության կառավարության թիվ 836-Ն որոշմամբ հաստատված հավելվածի 2-րդ կետի կատարումն ապահովելուց և</w:t>
            </w:r>
            <w:r w:rsidRPr="0053423A">
              <w:rPr>
                <w:bCs/>
                <w:sz w:val="20"/>
                <w:szCs w:val="20"/>
                <w:lang w:val="af-ZA"/>
              </w:rPr>
              <w:t xml:space="preserve"> </w:t>
            </w:r>
            <w:r w:rsidRPr="0053423A">
              <w:rPr>
                <w:spacing w:val="-2"/>
                <w:sz w:val="20"/>
                <w:szCs w:val="20"/>
                <w:lang w:val="hy-AM"/>
              </w:rPr>
              <w:t xml:space="preserve">ՀՀ կառավարության 2019թ. փետրվարի 8-ի N 65-Ա որոշմամբ հաստատաված ՀՀ կառավարության ծրագրի </w:t>
            </w:r>
            <w:r w:rsidRPr="0053423A">
              <w:rPr>
                <w:rFonts w:cs="GHEAGrapalat"/>
                <w:sz w:val="20"/>
                <w:szCs w:val="20"/>
                <w:lang w:val="hy-AM"/>
              </w:rPr>
              <w:t>6.2. կետի՝ «Էներգետիկ բնագավառը» բաժնի դրույթից:</w:t>
            </w:r>
          </w:p>
          <w:p w:rsidR="0084615D" w:rsidRPr="0053423A" w:rsidRDefault="00844C90" w:rsidP="00A67858">
            <w:pPr>
              <w:pStyle w:val="ListParagraph"/>
              <w:autoSpaceDE w:val="0"/>
              <w:autoSpaceDN w:val="0"/>
              <w:adjustRightInd w:val="0"/>
              <w:spacing w:after="0" w:line="276" w:lineRule="auto"/>
              <w:ind w:left="0"/>
              <w:jc w:val="both"/>
              <w:rPr>
                <w:sz w:val="20"/>
                <w:szCs w:val="20"/>
                <w:lang w:val="hy-AM"/>
              </w:rPr>
            </w:pPr>
            <w:r w:rsidRPr="0053423A">
              <w:rPr>
                <w:rFonts w:cs="Sylfaen"/>
                <w:bCs/>
                <w:sz w:val="20"/>
                <w:szCs w:val="20"/>
                <w:lang w:val="hy-AM"/>
              </w:rPr>
              <w:t xml:space="preserve">              </w:t>
            </w:r>
            <w:r w:rsidR="0084615D" w:rsidRPr="0053423A">
              <w:rPr>
                <w:rFonts w:cs="Sylfaen"/>
                <w:bCs/>
                <w:sz w:val="20"/>
                <w:szCs w:val="20"/>
                <w:lang w:val="hy-AM"/>
              </w:rPr>
              <w:t>Հաշվի</w:t>
            </w:r>
            <w:r w:rsidR="0084615D" w:rsidRPr="0053423A">
              <w:rPr>
                <w:bCs/>
                <w:sz w:val="20"/>
                <w:szCs w:val="20"/>
                <w:lang w:val="hy-AM"/>
              </w:rPr>
              <w:t xml:space="preserve"> առնելով, որ նոր միջուկային էներգաբլոկի կառուցման համար անհրաժեշտ է շուրջ 7 տարի ժամանակահատված՝ ներառյալ նախագծում, կառուցում և շահագործման հանձնում, անհրաժեշտ է հնարավորինս շուտ ձեռնարկել համապատասխան միջոցներ: Սույն միջոցառման նպատակն է միջուկային էներգաբլոկների միջազգային շուկայի ուսումնասիրության արդյունքների հիման վրա ՀՀ-ում նոր միջուկային էներգաբլոկի կառուցման ծրագրի մշակման մեկնարկումը: </w:t>
            </w:r>
          </w:p>
          <w:p w:rsidR="0084615D" w:rsidRPr="0053423A" w:rsidRDefault="0084615D" w:rsidP="00A67858">
            <w:pPr>
              <w:pStyle w:val="ListParagraph"/>
              <w:tabs>
                <w:tab w:val="left" w:pos="1440"/>
              </w:tabs>
              <w:spacing w:after="0" w:line="276" w:lineRule="auto"/>
              <w:ind w:left="900"/>
              <w:rPr>
                <w:rFonts w:cs="Sylfaen"/>
                <w:b/>
                <w:sz w:val="20"/>
                <w:szCs w:val="20"/>
                <w:lang w:val="hy-AM"/>
              </w:rPr>
            </w:pPr>
            <w:r w:rsidRPr="0053423A">
              <w:rPr>
                <w:rFonts w:cs="Sylfaen"/>
                <w:b/>
                <w:sz w:val="20"/>
                <w:szCs w:val="20"/>
                <w:lang w:val="hy-AM"/>
              </w:rPr>
              <w:t>1.1</w:t>
            </w:r>
            <w:r w:rsidRPr="0053423A">
              <w:rPr>
                <w:rFonts w:cs="Sylfaen"/>
                <w:b/>
                <w:sz w:val="20"/>
                <w:szCs w:val="20"/>
                <w:lang w:val="hy-AM"/>
              </w:rPr>
              <w:tab/>
              <w:t xml:space="preserve"> </w:t>
            </w:r>
            <w:r w:rsidR="00795500" w:rsidRPr="0053423A">
              <w:rPr>
                <w:rFonts w:cs="Sylfaen"/>
                <w:b/>
                <w:sz w:val="20"/>
                <w:szCs w:val="20"/>
                <w:lang w:val="hy-AM"/>
              </w:rPr>
              <w:t>Կ</w:t>
            </w:r>
            <w:r w:rsidRPr="0053423A">
              <w:rPr>
                <w:rFonts w:cs="Sylfaen"/>
                <w:b/>
                <w:sz w:val="20"/>
                <w:szCs w:val="20"/>
                <w:lang w:val="hy-AM"/>
              </w:rPr>
              <w:t>արգավորման հարաբերությունների ներկա վիճակը և առկա խնդիրները</w:t>
            </w:r>
          </w:p>
          <w:p w:rsidR="0084615D" w:rsidRPr="0053423A" w:rsidRDefault="0084615D" w:rsidP="00A67858">
            <w:pPr>
              <w:spacing w:after="0" w:line="276" w:lineRule="auto"/>
              <w:jc w:val="both"/>
              <w:rPr>
                <w:rFonts w:cs="Sylfaen"/>
                <w:sz w:val="20"/>
                <w:szCs w:val="20"/>
                <w:lang w:val="hy-AM"/>
              </w:rPr>
            </w:pPr>
            <w:r w:rsidRPr="0053423A">
              <w:rPr>
                <w:rFonts w:cs="Arial Armenian"/>
                <w:sz w:val="20"/>
                <w:szCs w:val="20"/>
                <w:lang w:val="fr-FR"/>
              </w:rPr>
              <w:t>Հայկական</w:t>
            </w:r>
            <w:r w:rsidRPr="0053423A">
              <w:rPr>
                <w:rFonts w:cs="Arial Armenian"/>
                <w:sz w:val="20"/>
                <w:szCs w:val="20"/>
                <w:lang w:val="hy-AM"/>
              </w:rPr>
              <w:t xml:space="preserve"> </w:t>
            </w:r>
            <w:r w:rsidRPr="0053423A">
              <w:rPr>
                <w:rFonts w:cs="Arial Armenian"/>
                <w:sz w:val="20"/>
                <w:szCs w:val="20"/>
                <w:lang w:val="fr-FR"/>
              </w:rPr>
              <w:t>ԱԷԿ-ի</w:t>
            </w:r>
            <w:r w:rsidRPr="0053423A">
              <w:rPr>
                <w:rFonts w:cs="Arial Armenian"/>
                <w:sz w:val="20"/>
                <w:szCs w:val="20"/>
                <w:lang w:val="hy-AM"/>
              </w:rPr>
              <w:t xml:space="preserve"> 2-</w:t>
            </w:r>
            <w:r w:rsidRPr="0053423A">
              <w:rPr>
                <w:rFonts w:cs="Arial Armenian"/>
                <w:sz w:val="20"/>
                <w:szCs w:val="20"/>
                <w:lang w:val="fr-FR"/>
              </w:rPr>
              <w:t>րդ</w:t>
            </w:r>
            <w:r w:rsidRPr="0053423A">
              <w:rPr>
                <w:rFonts w:cs="Arial Armenian"/>
                <w:sz w:val="20"/>
                <w:szCs w:val="20"/>
                <w:lang w:val="hy-AM"/>
              </w:rPr>
              <w:t xml:space="preserve"> </w:t>
            </w:r>
            <w:r w:rsidRPr="0053423A">
              <w:rPr>
                <w:rFonts w:cs="Arial Armenian"/>
                <w:sz w:val="20"/>
                <w:szCs w:val="20"/>
                <w:lang w:val="fr-FR"/>
              </w:rPr>
              <w:t>էներգաբլոկի</w:t>
            </w:r>
            <w:r w:rsidRPr="0053423A">
              <w:rPr>
                <w:sz w:val="20"/>
                <w:szCs w:val="20"/>
                <w:lang w:val="hy-AM"/>
              </w:rPr>
              <w:t xml:space="preserve"> </w:t>
            </w:r>
            <w:r w:rsidRPr="0053423A">
              <w:rPr>
                <w:sz w:val="20"/>
                <w:szCs w:val="20"/>
                <w:lang w:val="fr-FR"/>
              </w:rPr>
              <w:t>շահագործման</w:t>
            </w:r>
            <w:r w:rsidRPr="0053423A">
              <w:rPr>
                <w:sz w:val="20"/>
                <w:szCs w:val="20"/>
                <w:lang w:val="hy-AM"/>
              </w:rPr>
              <w:t xml:space="preserve"> </w:t>
            </w:r>
            <w:r w:rsidRPr="0053423A">
              <w:rPr>
                <w:sz w:val="20"/>
                <w:szCs w:val="20"/>
                <w:lang w:val="fr-FR"/>
              </w:rPr>
              <w:t>ժամկետի</w:t>
            </w:r>
            <w:r w:rsidRPr="0053423A">
              <w:rPr>
                <w:sz w:val="20"/>
                <w:szCs w:val="20"/>
                <w:lang w:val="hy-AM"/>
              </w:rPr>
              <w:t xml:space="preserve"> </w:t>
            </w:r>
            <w:r w:rsidRPr="0053423A">
              <w:rPr>
                <w:sz w:val="20"/>
                <w:szCs w:val="20"/>
                <w:lang w:val="fr-FR"/>
              </w:rPr>
              <w:t>երկարաձգման</w:t>
            </w:r>
            <w:r w:rsidRPr="0053423A">
              <w:rPr>
                <w:sz w:val="20"/>
                <w:szCs w:val="20"/>
                <w:lang w:val="hy-AM"/>
              </w:rPr>
              <w:t xml:space="preserve"> </w:t>
            </w:r>
            <w:r w:rsidRPr="0053423A">
              <w:rPr>
                <w:sz w:val="20"/>
                <w:szCs w:val="20"/>
                <w:lang w:val="fr-FR"/>
              </w:rPr>
              <w:t>աշխատանքներն</w:t>
            </w:r>
            <w:r w:rsidRPr="0053423A">
              <w:rPr>
                <w:sz w:val="20"/>
                <w:szCs w:val="20"/>
                <w:lang w:val="hy-AM"/>
              </w:rPr>
              <w:t xml:space="preserve"> արդեն մեկնարկել են: Այս հանգամանքը հնարավորություն է </w:t>
            </w:r>
            <w:r w:rsidRPr="0053423A">
              <w:rPr>
                <w:sz w:val="20"/>
                <w:szCs w:val="20"/>
                <w:lang w:val="fr-FR"/>
              </w:rPr>
              <w:t>ստեղծում</w:t>
            </w:r>
            <w:r w:rsidRPr="0053423A">
              <w:rPr>
                <w:sz w:val="20"/>
                <w:szCs w:val="20"/>
                <w:lang w:val="hy-AM"/>
              </w:rPr>
              <w:t xml:space="preserve"> ևս </w:t>
            </w:r>
            <w:r w:rsidRPr="0053423A">
              <w:rPr>
                <w:sz w:val="20"/>
                <w:szCs w:val="20"/>
                <w:lang w:val="fr-FR"/>
              </w:rPr>
              <w:t>մեկ</w:t>
            </w:r>
            <w:r w:rsidRPr="0053423A">
              <w:rPr>
                <w:sz w:val="20"/>
                <w:szCs w:val="20"/>
                <w:lang w:val="hy-AM"/>
              </w:rPr>
              <w:t xml:space="preserve"> </w:t>
            </w:r>
            <w:r w:rsidRPr="0053423A">
              <w:rPr>
                <w:sz w:val="20"/>
                <w:szCs w:val="20"/>
                <w:lang w:val="fr-FR"/>
              </w:rPr>
              <w:t>անգամ</w:t>
            </w:r>
            <w:r w:rsidRPr="0053423A">
              <w:rPr>
                <w:sz w:val="20"/>
                <w:szCs w:val="20"/>
                <w:lang w:val="hy-AM"/>
              </w:rPr>
              <w:t xml:space="preserve"> քննարկել ՀՀ-ում </w:t>
            </w:r>
            <w:r w:rsidRPr="0053423A">
              <w:rPr>
                <w:sz w:val="20"/>
                <w:szCs w:val="20"/>
                <w:lang w:val="fr-FR"/>
              </w:rPr>
              <w:t>նոր</w:t>
            </w:r>
            <w:r w:rsidRPr="0053423A">
              <w:rPr>
                <w:sz w:val="20"/>
                <w:szCs w:val="20"/>
                <w:lang w:val="hy-AM"/>
              </w:rPr>
              <w:t xml:space="preserve"> </w:t>
            </w:r>
            <w:r w:rsidRPr="0053423A">
              <w:rPr>
                <w:sz w:val="20"/>
                <w:szCs w:val="20"/>
                <w:lang w:val="fr-FR"/>
              </w:rPr>
              <w:t>ԱԷԿ</w:t>
            </w:r>
            <w:r w:rsidRPr="0053423A">
              <w:rPr>
                <w:sz w:val="20"/>
                <w:szCs w:val="20"/>
                <w:lang w:val="hy-AM"/>
              </w:rPr>
              <w:t>-</w:t>
            </w:r>
            <w:r w:rsidRPr="0053423A">
              <w:rPr>
                <w:sz w:val="20"/>
                <w:szCs w:val="20"/>
                <w:lang w:val="fr-FR"/>
              </w:rPr>
              <w:t>ի</w:t>
            </w:r>
            <w:r w:rsidRPr="0053423A">
              <w:rPr>
                <w:sz w:val="20"/>
                <w:szCs w:val="20"/>
                <w:lang w:val="hy-AM"/>
              </w:rPr>
              <w:t xml:space="preserve"> </w:t>
            </w:r>
            <w:r w:rsidRPr="0053423A">
              <w:rPr>
                <w:sz w:val="20"/>
                <w:szCs w:val="20"/>
                <w:lang w:val="fr-FR"/>
              </w:rPr>
              <w:t>կառուցման</w:t>
            </w:r>
            <w:r w:rsidRPr="0053423A">
              <w:rPr>
                <w:sz w:val="20"/>
                <w:szCs w:val="20"/>
                <w:lang w:val="hy-AM"/>
              </w:rPr>
              <w:t xml:space="preserve"> </w:t>
            </w:r>
            <w:r w:rsidRPr="0053423A">
              <w:rPr>
                <w:sz w:val="20"/>
                <w:szCs w:val="20"/>
                <w:lang w:val="fr-FR"/>
              </w:rPr>
              <w:t>ծրագիր</w:t>
            </w:r>
            <w:r w:rsidRPr="0053423A">
              <w:rPr>
                <w:sz w:val="20"/>
                <w:szCs w:val="20"/>
                <w:lang w:val="hy-AM"/>
              </w:rPr>
              <w:t xml:space="preserve">ը, հաշվի առնելով </w:t>
            </w:r>
            <w:r w:rsidRPr="0053423A">
              <w:rPr>
                <w:rFonts w:cs="Sylfaen"/>
                <w:sz w:val="20"/>
                <w:szCs w:val="20"/>
                <w:lang w:val="fr-FR"/>
              </w:rPr>
              <w:t>Հայաստանի</w:t>
            </w:r>
            <w:r w:rsidRPr="0053423A">
              <w:rPr>
                <w:rFonts w:cs="Sylfaen"/>
                <w:sz w:val="20"/>
                <w:szCs w:val="20"/>
                <w:lang w:val="hy-AM"/>
              </w:rPr>
              <w:t xml:space="preserve"> </w:t>
            </w:r>
            <w:r w:rsidRPr="0053423A">
              <w:rPr>
                <w:rFonts w:cs="Sylfaen"/>
                <w:sz w:val="20"/>
                <w:szCs w:val="20"/>
                <w:lang w:val="fr-FR"/>
              </w:rPr>
              <w:t>էներգահամակարգի</w:t>
            </w:r>
            <w:r w:rsidRPr="0053423A">
              <w:rPr>
                <w:rFonts w:cs="Sylfaen"/>
                <w:sz w:val="20"/>
                <w:szCs w:val="20"/>
                <w:lang w:val="hy-AM"/>
              </w:rPr>
              <w:t xml:space="preserve"> </w:t>
            </w:r>
            <w:r w:rsidRPr="0053423A">
              <w:rPr>
                <w:rFonts w:cs="Sylfaen"/>
                <w:sz w:val="20"/>
                <w:szCs w:val="20"/>
                <w:lang w:val="fr-FR"/>
              </w:rPr>
              <w:t>ռեժիմային</w:t>
            </w:r>
            <w:r w:rsidRPr="0053423A">
              <w:rPr>
                <w:rFonts w:cs="Sylfaen"/>
                <w:sz w:val="20"/>
                <w:szCs w:val="20"/>
                <w:lang w:val="hy-AM"/>
              </w:rPr>
              <w:t xml:space="preserve"> </w:t>
            </w:r>
            <w:r w:rsidRPr="0053423A">
              <w:rPr>
                <w:rFonts w:cs="Sylfaen"/>
                <w:sz w:val="20"/>
                <w:szCs w:val="20"/>
                <w:lang w:val="fr-FR"/>
              </w:rPr>
              <w:t>գործոններ</w:t>
            </w:r>
            <w:r w:rsidRPr="0053423A">
              <w:rPr>
                <w:rFonts w:cs="Sylfaen"/>
                <w:sz w:val="20"/>
                <w:szCs w:val="20"/>
                <w:lang w:val="hy-AM"/>
              </w:rPr>
              <w:t xml:space="preserve">ը </w:t>
            </w:r>
            <w:r w:rsidRPr="0053423A">
              <w:rPr>
                <w:rFonts w:cs="Sylfaen"/>
                <w:sz w:val="20"/>
                <w:szCs w:val="20"/>
                <w:lang w:val="fr-FR"/>
              </w:rPr>
              <w:t>և</w:t>
            </w:r>
            <w:r w:rsidRPr="0053423A">
              <w:rPr>
                <w:rFonts w:cs="Sylfaen"/>
                <w:sz w:val="20"/>
                <w:szCs w:val="20"/>
                <w:lang w:val="hy-AM"/>
              </w:rPr>
              <w:t xml:space="preserve"> հայկական էներգահամակարգում տնտեսական և տեխնիկական բնույթի հանգամանքները: Նկատի ունենալով, որ Հայաստանի Հանրապետությունում բացակայում են նավթի և գազի պաշարները, միջազգային շուկայում միջուկային վառելիքի համեմատաբար կայուն գները և Հայաստանի Հանրապետության տարածաշրջանային դիրքը (հարևան երկրների ոչ կառուցողական քաղաքականությունը` փակ սահմաններ՝ հետևաբար սահմանափակ հնարավորություններ) ՀՀ-ում էներգետիկ անվտանգության և անկախության անհրաժեշտ մակարդակի պահպանումը և ամրապնդումը հնարավոր է ապահովել միայն նոր միջուկային էներգաբլոկի կառուցմամբ: Հարկ է նշել, որ Հայկական ԱԷԿ-ի երկրորդ էներգաբլոկին կարող է փոխարինել միային համարժեք էներգաբլոկ (բազիսային ռեժիմում աշխատող, անկախ սեզոնային և օդերևութաբանական պայմաններից, ինչպես նաև ներկրվող ածխաջրածնային վառելիքից): </w:t>
            </w:r>
          </w:p>
          <w:p w:rsidR="0084615D" w:rsidRPr="0053423A" w:rsidRDefault="00795500" w:rsidP="001F6D5D">
            <w:pPr>
              <w:pStyle w:val="ListParagraph"/>
              <w:numPr>
                <w:ilvl w:val="1"/>
                <w:numId w:val="262"/>
              </w:numPr>
              <w:tabs>
                <w:tab w:val="left" w:pos="1440"/>
              </w:tabs>
              <w:spacing w:after="0" w:line="276" w:lineRule="auto"/>
              <w:ind w:left="1530" w:hanging="630"/>
              <w:rPr>
                <w:b/>
                <w:sz w:val="20"/>
                <w:szCs w:val="20"/>
              </w:rPr>
            </w:pPr>
            <w:r w:rsidRPr="0053423A">
              <w:rPr>
                <w:rFonts w:cs="Sylfaen"/>
                <w:b/>
                <w:sz w:val="20"/>
                <w:szCs w:val="20"/>
              </w:rPr>
              <w:t>Ա</w:t>
            </w:r>
            <w:r w:rsidR="0084615D" w:rsidRPr="0053423A">
              <w:rPr>
                <w:rFonts w:cs="Sylfaen"/>
                <w:b/>
                <w:sz w:val="20"/>
                <w:szCs w:val="20"/>
              </w:rPr>
              <w:t>ռկ</w:t>
            </w:r>
            <w:r w:rsidR="0084615D" w:rsidRPr="0053423A">
              <w:rPr>
                <w:b/>
                <w:sz w:val="20"/>
                <w:szCs w:val="20"/>
              </w:rPr>
              <w:t>ա խնդիրների առաջարկվող լուծումները</w:t>
            </w:r>
          </w:p>
          <w:p w:rsidR="0084615D" w:rsidRPr="0053423A" w:rsidRDefault="0084615D" w:rsidP="00A67858">
            <w:pPr>
              <w:spacing w:after="0" w:line="276" w:lineRule="auto"/>
              <w:jc w:val="both"/>
              <w:rPr>
                <w:bCs/>
                <w:sz w:val="20"/>
                <w:szCs w:val="20"/>
                <w:lang w:val="hy-AM"/>
              </w:rPr>
            </w:pPr>
            <w:r w:rsidRPr="0053423A">
              <w:rPr>
                <w:bCs/>
                <w:sz w:val="20"/>
                <w:szCs w:val="20"/>
                <w:lang w:val="hy-AM"/>
              </w:rPr>
              <w:t xml:space="preserve">2009թ. դեկտեմբերի 12-ի ընդունված «ՀՀ-ում նոր միջուկային էներգաբլոկ կառուցելու մասին» ՀՀ օրենք (ՀՕ-192-Ն), 2013թ. հոկտեմբերի 23-ի 182-ՆԿ ՀՀ Նախագահի կարգադրությամբ հաստատված «Հայաստանի Հանրապետության էներգետիկ անվտանգության ապահովման հայեցակարգը» </w:t>
            </w:r>
            <w:r w:rsidRPr="0053423A">
              <w:rPr>
                <w:bCs/>
                <w:sz w:val="20"/>
                <w:szCs w:val="20"/>
                <w:lang w:val="fr-FR"/>
              </w:rPr>
              <w:t>և</w:t>
            </w:r>
            <w:r w:rsidRPr="0053423A">
              <w:rPr>
                <w:bCs/>
                <w:sz w:val="20"/>
                <w:szCs w:val="20"/>
                <w:lang w:val="hy-AM"/>
              </w:rPr>
              <w:t xml:space="preserve"> 2014թ. հուլիսի 31-ի թիվ 836-Ն ՀՀ կառավարության որոշմամբ հաստատված «ՀՀ էներգետիկ անվտանգության ապահովման հայեցակարգի դրույթների իրականացումն ապահովող 2014-2020 թվականների միջոցառումների ծրագիր-ժամանակացույցը» փաստաթղթերով ռազմավարական խնդիր է դրված ՀՀ-ում շահագործման հանձնել նոր միջուկային էներգաբլոկ: </w:t>
            </w:r>
            <w:r w:rsidRPr="0053423A">
              <w:rPr>
                <w:rFonts w:cs="Sylfaen"/>
                <w:bCs/>
                <w:sz w:val="20"/>
                <w:szCs w:val="20"/>
                <w:lang w:val="hy-AM"/>
              </w:rPr>
              <w:t>Այն</w:t>
            </w:r>
            <w:r w:rsidRPr="0053423A">
              <w:rPr>
                <w:bCs/>
                <w:sz w:val="20"/>
                <w:szCs w:val="20"/>
                <w:lang w:val="hy-AM"/>
              </w:rPr>
              <w:t xml:space="preserve"> հնարավորություն կտա նախ և </w:t>
            </w:r>
            <w:r w:rsidRPr="0053423A">
              <w:rPr>
                <w:bCs/>
                <w:sz w:val="20"/>
                <w:szCs w:val="20"/>
                <w:lang w:val="fr-FR"/>
              </w:rPr>
              <w:t>առաջ</w:t>
            </w:r>
            <w:r w:rsidRPr="0053423A">
              <w:rPr>
                <w:bCs/>
                <w:sz w:val="20"/>
                <w:szCs w:val="20"/>
                <w:lang w:val="hy-AM"/>
              </w:rPr>
              <w:t xml:space="preserve"> </w:t>
            </w:r>
            <w:r w:rsidRPr="0053423A">
              <w:rPr>
                <w:bCs/>
                <w:sz w:val="20"/>
                <w:szCs w:val="20"/>
                <w:lang w:val="fr-FR"/>
              </w:rPr>
              <w:t>ապահովել</w:t>
            </w:r>
            <w:r w:rsidRPr="0053423A">
              <w:rPr>
                <w:bCs/>
                <w:sz w:val="20"/>
                <w:szCs w:val="20"/>
                <w:lang w:val="hy-AM"/>
              </w:rPr>
              <w:t xml:space="preserve"> </w:t>
            </w:r>
            <w:r w:rsidRPr="0053423A">
              <w:rPr>
                <w:bCs/>
                <w:sz w:val="20"/>
                <w:szCs w:val="20"/>
                <w:lang w:val="fr-FR"/>
              </w:rPr>
              <w:t>երկրի</w:t>
            </w:r>
            <w:r w:rsidRPr="0053423A">
              <w:rPr>
                <w:bCs/>
                <w:sz w:val="20"/>
                <w:szCs w:val="20"/>
                <w:lang w:val="hy-AM"/>
              </w:rPr>
              <w:t xml:space="preserve"> </w:t>
            </w:r>
            <w:r w:rsidRPr="0053423A">
              <w:rPr>
                <w:bCs/>
                <w:sz w:val="20"/>
                <w:szCs w:val="20"/>
                <w:lang w:val="fr-FR"/>
              </w:rPr>
              <w:t>անհրաժեշտ</w:t>
            </w:r>
            <w:r w:rsidRPr="0053423A">
              <w:rPr>
                <w:bCs/>
                <w:sz w:val="20"/>
                <w:szCs w:val="20"/>
                <w:lang w:val="hy-AM"/>
              </w:rPr>
              <w:t xml:space="preserve"> </w:t>
            </w:r>
            <w:r w:rsidRPr="0053423A">
              <w:rPr>
                <w:bCs/>
                <w:sz w:val="20"/>
                <w:szCs w:val="20"/>
                <w:lang w:val="fr-FR"/>
              </w:rPr>
              <w:t>էներգետիկ</w:t>
            </w:r>
            <w:r w:rsidRPr="0053423A">
              <w:rPr>
                <w:bCs/>
                <w:sz w:val="20"/>
                <w:szCs w:val="20"/>
                <w:lang w:val="hy-AM"/>
              </w:rPr>
              <w:t xml:space="preserve"> </w:t>
            </w:r>
            <w:r w:rsidRPr="0053423A">
              <w:rPr>
                <w:bCs/>
                <w:sz w:val="20"/>
                <w:szCs w:val="20"/>
                <w:lang w:val="fr-FR"/>
              </w:rPr>
              <w:t>անվտանգության</w:t>
            </w:r>
            <w:r w:rsidRPr="0053423A">
              <w:rPr>
                <w:bCs/>
                <w:sz w:val="20"/>
                <w:szCs w:val="20"/>
                <w:lang w:val="hy-AM"/>
              </w:rPr>
              <w:t xml:space="preserve"> </w:t>
            </w:r>
            <w:r w:rsidRPr="0053423A">
              <w:rPr>
                <w:bCs/>
                <w:sz w:val="20"/>
                <w:szCs w:val="20"/>
                <w:lang w:val="fr-FR"/>
              </w:rPr>
              <w:t>մակարդակը</w:t>
            </w:r>
            <w:r w:rsidRPr="0053423A">
              <w:rPr>
                <w:bCs/>
                <w:sz w:val="20"/>
                <w:szCs w:val="20"/>
                <w:lang w:val="hy-AM"/>
              </w:rPr>
              <w:t xml:space="preserve"> </w:t>
            </w:r>
            <w:r w:rsidRPr="0053423A">
              <w:rPr>
                <w:bCs/>
                <w:sz w:val="20"/>
                <w:szCs w:val="20"/>
                <w:lang w:val="fr-FR"/>
              </w:rPr>
              <w:t>և</w:t>
            </w:r>
            <w:r w:rsidRPr="0053423A">
              <w:rPr>
                <w:bCs/>
                <w:sz w:val="20"/>
                <w:szCs w:val="20"/>
                <w:lang w:val="hy-AM"/>
              </w:rPr>
              <w:t xml:space="preserve"> իրականացնել պետության կարիքների բավարարման համար մատչելի գներով, որակյալ և հուսալի էներգամատակարարում ամենօրյա պայմաններում, ինչպես նաև արտակարգ իրավիճակներում: </w:t>
            </w:r>
          </w:p>
          <w:p w:rsidR="0084615D" w:rsidRPr="0053423A" w:rsidRDefault="0084615D" w:rsidP="00A67858">
            <w:pPr>
              <w:spacing w:after="0" w:line="276" w:lineRule="auto"/>
              <w:jc w:val="both"/>
              <w:rPr>
                <w:rFonts w:cs="Sylfaen"/>
                <w:spacing w:val="-4"/>
                <w:sz w:val="20"/>
                <w:szCs w:val="20"/>
                <w:lang w:val="hy-AM" w:eastAsia="en-GB"/>
              </w:rPr>
            </w:pPr>
            <w:r w:rsidRPr="0053423A">
              <w:rPr>
                <w:rFonts w:cs="Sylfaen"/>
                <w:spacing w:val="-4"/>
                <w:sz w:val="20"/>
                <w:szCs w:val="20"/>
                <w:lang w:val="hy-AM" w:eastAsia="en-GB"/>
              </w:rPr>
              <w:t>Հաշվի</w:t>
            </w:r>
            <w:r w:rsidRPr="0053423A">
              <w:rPr>
                <w:rFonts w:cs="Sylfaen"/>
                <w:spacing w:val="-4"/>
                <w:sz w:val="20"/>
                <w:szCs w:val="20"/>
                <w:lang w:val="ro-RO" w:eastAsia="en-GB"/>
              </w:rPr>
              <w:t xml:space="preserve"> </w:t>
            </w:r>
            <w:r w:rsidRPr="0053423A">
              <w:rPr>
                <w:rFonts w:cs="Sylfaen"/>
                <w:spacing w:val="-4"/>
                <w:sz w:val="20"/>
                <w:szCs w:val="20"/>
                <w:lang w:val="hy-AM" w:eastAsia="en-GB"/>
              </w:rPr>
              <w:t>առնելով</w:t>
            </w:r>
            <w:r w:rsidRPr="0053423A">
              <w:rPr>
                <w:rFonts w:cs="Sylfaen"/>
                <w:spacing w:val="-4"/>
                <w:sz w:val="20"/>
                <w:szCs w:val="20"/>
                <w:lang w:val="ro-RO" w:eastAsia="en-GB"/>
              </w:rPr>
              <w:t xml:space="preserve"> </w:t>
            </w:r>
            <w:r w:rsidRPr="0053423A">
              <w:rPr>
                <w:rFonts w:cs="Sylfaen"/>
                <w:spacing w:val="-4"/>
                <w:sz w:val="20"/>
                <w:szCs w:val="20"/>
                <w:lang w:val="hy-AM" w:eastAsia="en-GB"/>
              </w:rPr>
              <w:t>միջազգային</w:t>
            </w:r>
            <w:r w:rsidRPr="0053423A">
              <w:rPr>
                <w:rFonts w:cs="Sylfaen"/>
                <w:spacing w:val="-4"/>
                <w:sz w:val="20"/>
                <w:szCs w:val="20"/>
                <w:lang w:val="ro-RO" w:eastAsia="en-GB"/>
              </w:rPr>
              <w:t xml:space="preserve"> </w:t>
            </w:r>
            <w:r w:rsidRPr="0053423A">
              <w:rPr>
                <w:rFonts w:cs="Sylfaen"/>
                <w:spacing w:val="-4"/>
                <w:sz w:val="20"/>
                <w:szCs w:val="20"/>
                <w:lang w:val="hy-AM" w:eastAsia="en-GB"/>
              </w:rPr>
              <w:t>փորձը՝</w:t>
            </w:r>
            <w:r w:rsidRPr="0053423A">
              <w:rPr>
                <w:rFonts w:cs="Sylfaen"/>
                <w:spacing w:val="-4"/>
                <w:sz w:val="20"/>
                <w:szCs w:val="20"/>
                <w:lang w:val="ro-RO" w:eastAsia="en-GB"/>
              </w:rPr>
              <w:t xml:space="preserve"> </w:t>
            </w:r>
            <w:r w:rsidRPr="0053423A">
              <w:rPr>
                <w:rFonts w:cs="Sylfaen"/>
                <w:spacing w:val="-4"/>
                <w:sz w:val="20"/>
                <w:szCs w:val="20"/>
                <w:lang w:val="hy-AM" w:eastAsia="en-GB"/>
              </w:rPr>
              <w:t>նոր</w:t>
            </w:r>
            <w:r w:rsidRPr="0053423A">
              <w:rPr>
                <w:rFonts w:cs="Sylfaen"/>
                <w:spacing w:val="-4"/>
                <w:sz w:val="20"/>
                <w:szCs w:val="20"/>
                <w:lang w:val="ro-RO" w:eastAsia="en-GB"/>
              </w:rPr>
              <w:t xml:space="preserve"> </w:t>
            </w:r>
            <w:r w:rsidRPr="0053423A">
              <w:rPr>
                <w:rFonts w:cs="Sylfaen"/>
                <w:spacing w:val="-4"/>
                <w:sz w:val="20"/>
                <w:szCs w:val="20"/>
                <w:lang w:val="hy-AM" w:eastAsia="en-GB"/>
              </w:rPr>
              <w:t>միջուկային</w:t>
            </w:r>
            <w:r w:rsidRPr="0053423A">
              <w:rPr>
                <w:rFonts w:cs="Sylfaen"/>
                <w:spacing w:val="-4"/>
                <w:sz w:val="20"/>
                <w:szCs w:val="20"/>
                <w:lang w:val="ro-RO" w:eastAsia="en-GB"/>
              </w:rPr>
              <w:t xml:space="preserve"> </w:t>
            </w:r>
            <w:r w:rsidRPr="0053423A">
              <w:rPr>
                <w:rFonts w:cs="Sylfaen"/>
                <w:spacing w:val="-4"/>
                <w:sz w:val="20"/>
                <w:szCs w:val="20"/>
                <w:lang w:val="hy-AM" w:eastAsia="en-GB"/>
              </w:rPr>
              <w:t>էներգաբլոկի</w:t>
            </w:r>
            <w:r w:rsidRPr="0053423A">
              <w:rPr>
                <w:rFonts w:cs="Sylfaen"/>
                <w:spacing w:val="-4"/>
                <w:sz w:val="20"/>
                <w:szCs w:val="20"/>
                <w:lang w:val="ro-RO" w:eastAsia="en-GB"/>
              </w:rPr>
              <w:t xml:space="preserve"> </w:t>
            </w:r>
            <w:r w:rsidRPr="0053423A">
              <w:rPr>
                <w:rFonts w:cs="Sylfaen"/>
                <w:spacing w:val="-4"/>
                <w:sz w:val="20"/>
                <w:szCs w:val="20"/>
                <w:lang w:val="hy-AM" w:eastAsia="en-GB"/>
              </w:rPr>
              <w:t>կառուցման</w:t>
            </w:r>
            <w:r w:rsidRPr="0053423A">
              <w:rPr>
                <w:rFonts w:cs="Sylfaen"/>
                <w:spacing w:val="-4"/>
                <w:sz w:val="20"/>
                <w:szCs w:val="20"/>
                <w:lang w:val="ro-RO" w:eastAsia="en-GB"/>
              </w:rPr>
              <w:t xml:space="preserve"> համար պահանջվում է շուրջ </w:t>
            </w:r>
            <w:r w:rsidRPr="0053423A">
              <w:rPr>
                <w:rFonts w:cs="Sylfaen"/>
                <w:spacing w:val="-4"/>
                <w:sz w:val="20"/>
                <w:szCs w:val="20"/>
                <w:lang w:val="hy-AM" w:eastAsia="en-GB"/>
              </w:rPr>
              <w:t>7 տարի</w:t>
            </w:r>
            <w:r w:rsidRPr="0053423A">
              <w:rPr>
                <w:rFonts w:cs="Sylfaen"/>
                <w:spacing w:val="-4"/>
                <w:sz w:val="20"/>
                <w:szCs w:val="20"/>
                <w:lang w:val="ro-RO" w:eastAsia="en-GB"/>
              </w:rPr>
              <w:t xml:space="preserve"> (</w:t>
            </w:r>
            <w:r w:rsidRPr="0053423A">
              <w:rPr>
                <w:rFonts w:cs="Sylfaen"/>
                <w:spacing w:val="-4"/>
                <w:sz w:val="20"/>
                <w:szCs w:val="20"/>
                <w:lang w:val="hy-AM" w:eastAsia="en-GB"/>
              </w:rPr>
              <w:t>ներառյալ նախագծման աշխատանքները</w:t>
            </w:r>
            <w:r w:rsidRPr="0053423A">
              <w:rPr>
                <w:rFonts w:cs="Sylfaen"/>
                <w:spacing w:val="-4"/>
                <w:sz w:val="20"/>
                <w:szCs w:val="20"/>
                <w:lang w:val="ro-RO" w:eastAsia="en-GB"/>
              </w:rPr>
              <w:t>)</w:t>
            </w:r>
            <w:r w:rsidRPr="0053423A">
              <w:rPr>
                <w:rFonts w:cs="Sylfaen"/>
                <w:spacing w:val="-4"/>
                <w:sz w:val="20"/>
                <w:szCs w:val="20"/>
                <w:lang w:val="hy-AM" w:eastAsia="en-GB"/>
              </w:rPr>
              <w:t xml:space="preserve">, սակայն դա այն պարագայում, երբ հայտնի է ինչ տիպի և ինչ հզորության էներգաբլոկ է կառուցվում՝ այսինքն երբ առկա է կոնցեպտուալ նախագիծը, որի մշակումը նույնպես ժամանակատար է: Նկատի ունենալով վերոգրյալը, ՀՀ էներգետիկ անվտնագության և անկախության  ներկայիս մակարդակի պահպանման և բարձրացման նպատակով անհրաժեշտ է մշակել ՀՀ-ում նոր միջուկային էներգաբլոկի կառուցման ծրագիր: </w:t>
            </w:r>
          </w:p>
          <w:p w:rsidR="0084615D" w:rsidRPr="0053423A" w:rsidRDefault="0084615D" w:rsidP="00A67858">
            <w:pPr>
              <w:spacing w:after="0" w:line="276" w:lineRule="auto"/>
              <w:ind w:firstLine="871"/>
              <w:jc w:val="both"/>
              <w:rPr>
                <w:bCs/>
                <w:sz w:val="20"/>
                <w:szCs w:val="20"/>
                <w:lang w:val="hy-AM"/>
              </w:rPr>
            </w:pPr>
            <w:r w:rsidRPr="0053423A">
              <w:rPr>
                <w:sz w:val="20"/>
                <w:szCs w:val="20"/>
                <w:lang w:val="hy-AM"/>
              </w:rPr>
              <w:t>ՀՀ-ում նոր միջուկային էներգաբլոկի կառուցման ծրագրով կկանոնակարգվի</w:t>
            </w:r>
            <w:r w:rsidRPr="0053423A">
              <w:rPr>
                <w:rFonts w:cs="Sylfaen"/>
                <w:color w:val="000000"/>
                <w:sz w:val="20"/>
                <w:szCs w:val="20"/>
                <w:lang w:val="hy-AM"/>
              </w:rPr>
              <w:t xml:space="preserve"> ծրագրում ներգրավված բոլոր շահագրգիռ կողմերի և կազմակերպությունների, ինչպես նաև ներդրողների համատեղ գործունեությունը: Ծրագիրը իրենից կներկայացնի գործողությունների և միջոցառումների ամբողջականություն և հիմնված կլինի Ատոմային էներգիայի միջազգային գործակալության առաջարկների և ստանդարտների վրա:</w:t>
            </w:r>
          </w:p>
          <w:p w:rsidR="0084615D" w:rsidRPr="0053423A" w:rsidRDefault="0084615D" w:rsidP="001F6D5D">
            <w:pPr>
              <w:pStyle w:val="ListParagraph"/>
              <w:numPr>
                <w:ilvl w:val="0"/>
                <w:numId w:val="261"/>
              </w:numPr>
              <w:spacing w:after="0" w:line="276" w:lineRule="auto"/>
              <w:ind w:left="990" w:hanging="180"/>
              <w:rPr>
                <w:b/>
                <w:sz w:val="20"/>
                <w:szCs w:val="20"/>
              </w:rPr>
            </w:pPr>
            <w:r w:rsidRPr="0053423A">
              <w:rPr>
                <w:rFonts w:cs="Sylfaen"/>
                <w:b/>
                <w:sz w:val="20"/>
                <w:szCs w:val="20"/>
              </w:rPr>
              <w:t>Միջոցառման</w:t>
            </w:r>
            <w:r w:rsidRPr="0053423A">
              <w:rPr>
                <w:b/>
                <w:sz w:val="20"/>
                <w:szCs w:val="20"/>
              </w:rPr>
              <w:t xml:space="preserve"> իրակացումից ակնկալվող արդյունքը</w:t>
            </w:r>
          </w:p>
          <w:p w:rsidR="0084615D" w:rsidRPr="0053423A" w:rsidRDefault="0084615D" w:rsidP="00A67858">
            <w:pPr>
              <w:spacing w:after="0" w:line="276" w:lineRule="auto"/>
              <w:jc w:val="both"/>
              <w:rPr>
                <w:rFonts w:eastAsia="Times New Roman"/>
                <w:b/>
                <w:bCs/>
                <w:sz w:val="20"/>
                <w:szCs w:val="20"/>
                <w:lang w:val="hy-AM"/>
              </w:rPr>
            </w:pPr>
            <w:r w:rsidRPr="0053423A">
              <w:rPr>
                <w:rFonts w:cs="Sylfaen"/>
                <w:sz w:val="20"/>
                <w:szCs w:val="20"/>
                <w:lang w:val="hy-AM"/>
              </w:rPr>
              <w:t>Միջոցառման իրականացմամբ կ</w:t>
            </w:r>
            <w:r w:rsidRPr="0053423A">
              <w:rPr>
                <w:rFonts w:cs="Sylfaen"/>
                <w:spacing w:val="-4"/>
                <w:sz w:val="20"/>
                <w:szCs w:val="20"/>
                <w:lang w:val="hy-AM" w:eastAsia="en-GB"/>
              </w:rPr>
              <w:t>հստակեց</w:t>
            </w:r>
            <w:r w:rsidRPr="0053423A">
              <w:rPr>
                <w:rFonts w:cs="Sylfaen"/>
                <w:spacing w:val="-4"/>
                <w:sz w:val="20"/>
                <w:szCs w:val="20"/>
                <w:lang w:eastAsia="en-GB"/>
              </w:rPr>
              <w:t>վ</w:t>
            </w:r>
            <w:r w:rsidRPr="0053423A">
              <w:rPr>
                <w:rFonts w:cs="Sylfaen"/>
                <w:spacing w:val="-4"/>
                <w:sz w:val="20"/>
                <w:szCs w:val="20"/>
                <w:lang w:val="hy-AM" w:eastAsia="en-GB"/>
              </w:rPr>
              <w:t>են նոր միջուկային էներգաբլոկի կառուցման համար անհրաժեշտ քայլերը</w:t>
            </w:r>
            <w:r w:rsidRPr="0053423A">
              <w:rPr>
                <w:rFonts w:cs="Sylfaen"/>
                <w:spacing w:val="-4"/>
                <w:sz w:val="20"/>
                <w:szCs w:val="20"/>
                <w:lang w:val="ro-RO" w:eastAsia="en-GB"/>
              </w:rPr>
              <w:t xml:space="preserve">՝ </w:t>
            </w:r>
            <w:r w:rsidRPr="0053423A">
              <w:rPr>
                <w:rFonts w:cs="Sylfaen"/>
                <w:spacing w:val="-4"/>
                <w:sz w:val="20"/>
                <w:szCs w:val="20"/>
                <w:lang w:val="hy-AM" w:eastAsia="en-GB"/>
              </w:rPr>
              <w:t>կոնցեպտուալ</w:t>
            </w:r>
            <w:r w:rsidRPr="0053423A">
              <w:rPr>
                <w:rFonts w:cs="Sylfaen"/>
                <w:spacing w:val="-4"/>
                <w:sz w:val="20"/>
                <w:szCs w:val="20"/>
                <w:lang w:val="ro-RO" w:eastAsia="en-GB"/>
              </w:rPr>
              <w:t xml:space="preserve"> </w:t>
            </w:r>
            <w:r w:rsidRPr="0053423A">
              <w:rPr>
                <w:rFonts w:cs="Sylfaen"/>
                <w:spacing w:val="-4"/>
                <w:sz w:val="20"/>
                <w:szCs w:val="20"/>
                <w:lang w:val="hy-AM" w:eastAsia="en-GB"/>
              </w:rPr>
              <w:t>նախագիծ</w:t>
            </w:r>
            <w:r w:rsidRPr="0053423A">
              <w:rPr>
                <w:rFonts w:cs="Sylfaen"/>
                <w:spacing w:val="-4"/>
                <w:sz w:val="20"/>
                <w:szCs w:val="20"/>
                <w:lang w:val="ro-RO" w:eastAsia="en-GB"/>
              </w:rPr>
              <w:t xml:space="preserve">, </w:t>
            </w:r>
            <w:r w:rsidRPr="0053423A">
              <w:rPr>
                <w:rFonts w:cs="Sylfaen"/>
                <w:spacing w:val="-4"/>
                <w:sz w:val="20"/>
                <w:szCs w:val="20"/>
                <w:lang w:val="hy-AM" w:eastAsia="en-GB"/>
              </w:rPr>
              <w:t>ֆինանսավորման</w:t>
            </w:r>
            <w:r w:rsidRPr="0053423A">
              <w:rPr>
                <w:rFonts w:cs="Sylfaen"/>
                <w:spacing w:val="-4"/>
                <w:sz w:val="20"/>
                <w:szCs w:val="20"/>
                <w:lang w:val="ro-RO" w:eastAsia="en-GB"/>
              </w:rPr>
              <w:t xml:space="preserve"> </w:t>
            </w:r>
            <w:r w:rsidRPr="0053423A">
              <w:rPr>
                <w:rFonts w:cs="Sylfaen"/>
                <w:spacing w:val="-4"/>
                <w:sz w:val="20"/>
                <w:szCs w:val="20"/>
                <w:lang w:val="hy-AM" w:eastAsia="en-GB"/>
              </w:rPr>
              <w:t>սխեմա</w:t>
            </w:r>
            <w:r w:rsidRPr="0053423A">
              <w:rPr>
                <w:rFonts w:cs="Sylfaen"/>
                <w:spacing w:val="-4"/>
                <w:sz w:val="20"/>
                <w:szCs w:val="20"/>
                <w:lang w:val="ro-RO" w:eastAsia="en-GB"/>
              </w:rPr>
              <w:t xml:space="preserve">, </w:t>
            </w:r>
            <w:r w:rsidRPr="0053423A">
              <w:rPr>
                <w:rFonts w:cs="Sylfaen"/>
                <w:spacing w:val="-4"/>
                <w:sz w:val="20"/>
                <w:szCs w:val="20"/>
                <w:lang w:val="hy-AM" w:eastAsia="en-GB"/>
              </w:rPr>
              <w:t>ֆինանսավորման</w:t>
            </w:r>
            <w:r w:rsidRPr="0053423A">
              <w:rPr>
                <w:rFonts w:cs="Sylfaen"/>
                <w:spacing w:val="-4"/>
                <w:sz w:val="20"/>
                <w:szCs w:val="20"/>
                <w:lang w:val="ro-RO" w:eastAsia="en-GB"/>
              </w:rPr>
              <w:t xml:space="preserve"> </w:t>
            </w:r>
            <w:r w:rsidRPr="0053423A">
              <w:rPr>
                <w:rFonts w:cs="Sylfaen"/>
                <w:spacing w:val="-4"/>
                <w:sz w:val="20"/>
                <w:szCs w:val="20"/>
                <w:lang w:val="hy-AM" w:eastAsia="en-GB"/>
              </w:rPr>
              <w:t>աղբյուրներ</w:t>
            </w:r>
            <w:r w:rsidRPr="0053423A">
              <w:rPr>
                <w:rFonts w:cs="Sylfaen"/>
                <w:spacing w:val="-4"/>
                <w:sz w:val="20"/>
                <w:szCs w:val="20"/>
                <w:lang w:val="ro-RO" w:eastAsia="en-GB"/>
              </w:rPr>
              <w:t xml:space="preserve">, </w:t>
            </w:r>
            <w:r w:rsidRPr="0053423A">
              <w:rPr>
                <w:rFonts w:cs="Sylfaen"/>
                <w:spacing w:val="-4"/>
                <w:sz w:val="20"/>
                <w:szCs w:val="20"/>
                <w:lang w:val="hy-AM" w:eastAsia="en-GB"/>
              </w:rPr>
              <w:t>ներդրողներին</w:t>
            </w:r>
            <w:r w:rsidRPr="0053423A">
              <w:rPr>
                <w:rFonts w:cs="Sylfaen"/>
                <w:spacing w:val="-4"/>
                <w:sz w:val="20"/>
                <w:szCs w:val="20"/>
                <w:lang w:val="ro-RO" w:eastAsia="en-GB"/>
              </w:rPr>
              <w:t xml:space="preserve"> </w:t>
            </w:r>
            <w:r w:rsidRPr="0053423A">
              <w:rPr>
                <w:rFonts w:cs="Sylfaen"/>
                <w:spacing w:val="-4"/>
                <w:sz w:val="20"/>
                <w:szCs w:val="20"/>
                <w:lang w:val="hy-AM" w:eastAsia="en-GB"/>
              </w:rPr>
              <w:t>ներգրավելու</w:t>
            </w:r>
            <w:r w:rsidRPr="0053423A">
              <w:rPr>
                <w:rFonts w:cs="Sylfaen"/>
                <w:spacing w:val="-4"/>
                <w:sz w:val="20"/>
                <w:szCs w:val="20"/>
                <w:lang w:val="ro-RO" w:eastAsia="en-GB"/>
              </w:rPr>
              <w:t xml:space="preserve"> </w:t>
            </w:r>
            <w:r w:rsidRPr="0053423A">
              <w:rPr>
                <w:rFonts w:cs="Sylfaen"/>
                <w:spacing w:val="-4"/>
                <w:sz w:val="20"/>
                <w:szCs w:val="20"/>
                <w:lang w:val="hy-AM" w:eastAsia="en-GB"/>
              </w:rPr>
              <w:t>համար</w:t>
            </w:r>
            <w:r w:rsidRPr="0053423A">
              <w:rPr>
                <w:rFonts w:cs="Sylfaen"/>
                <w:spacing w:val="-4"/>
                <w:sz w:val="20"/>
                <w:szCs w:val="20"/>
                <w:lang w:val="ro-RO" w:eastAsia="en-GB"/>
              </w:rPr>
              <w:t xml:space="preserve"> </w:t>
            </w:r>
            <w:r w:rsidRPr="0053423A">
              <w:rPr>
                <w:rFonts w:cs="Sylfaen"/>
                <w:spacing w:val="-4"/>
                <w:sz w:val="20"/>
                <w:szCs w:val="20"/>
                <w:lang w:val="hy-AM" w:eastAsia="en-GB"/>
              </w:rPr>
              <w:t>անհրաժեշտ</w:t>
            </w:r>
            <w:r w:rsidRPr="0053423A">
              <w:rPr>
                <w:rFonts w:cs="Sylfaen"/>
                <w:spacing w:val="-4"/>
                <w:sz w:val="20"/>
                <w:szCs w:val="20"/>
                <w:lang w:val="ro-RO" w:eastAsia="en-GB"/>
              </w:rPr>
              <w:t xml:space="preserve"> </w:t>
            </w:r>
            <w:r w:rsidRPr="0053423A">
              <w:rPr>
                <w:rFonts w:cs="Sylfaen"/>
                <w:spacing w:val="-4"/>
                <w:sz w:val="20"/>
                <w:szCs w:val="20"/>
                <w:lang w:val="hy-AM" w:eastAsia="en-GB"/>
              </w:rPr>
              <w:t>մոտեցումներ</w:t>
            </w:r>
            <w:r w:rsidRPr="0053423A">
              <w:rPr>
                <w:rFonts w:cs="Sylfaen"/>
                <w:spacing w:val="-4"/>
                <w:sz w:val="20"/>
                <w:szCs w:val="20"/>
                <w:lang w:eastAsia="en-GB"/>
              </w:rPr>
              <w:t xml:space="preserve">, </w:t>
            </w:r>
            <w:r w:rsidRPr="0053423A">
              <w:rPr>
                <w:rFonts w:cs="Sylfaen"/>
                <w:spacing w:val="-4"/>
                <w:sz w:val="20"/>
                <w:szCs w:val="20"/>
                <w:lang w:val="hy-AM" w:eastAsia="en-GB"/>
              </w:rPr>
              <w:t>ինչպես նաև կ</w:t>
            </w:r>
            <w:r w:rsidRPr="0053423A">
              <w:rPr>
                <w:rFonts w:cs="Sylfaen"/>
                <w:spacing w:val="-4"/>
                <w:sz w:val="20"/>
                <w:szCs w:val="20"/>
                <w:lang w:val="ru-RU" w:eastAsia="en-GB"/>
              </w:rPr>
              <w:t>հ</w:t>
            </w:r>
            <w:r w:rsidRPr="0053423A">
              <w:rPr>
                <w:rFonts w:cs="Sylfaen"/>
                <w:spacing w:val="-4"/>
                <w:sz w:val="20"/>
                <w:szCs w:val="20"/>
                <w:lang w:val="hy-AM" w:eastAsia="en-GB"/>
              </w:rPr>
              <w:t xml:space="preserve">ստակեցվեն նոր միջուկային էներգաբլոկի </w:t>
            </w:r>
            <w:r w:rsidRPr="0053423A">
              <w:rPr>
                <w:rFonts w:cs="Sylfaen"/>
                <w:spacing w:val="-4"/>
                <w:sz w:val="20"/>
                <w:szCs w:val="20"/>
                <w:lang w:eastAsia="en-GB"/>
              </w:rPr>
              <w:t>տիպ</w:t>
            </w:r>
            <w:r w:rsidRPr="0053423A">
              <w:rPr>
                <w:rFonts w:cs="Sylfaen"/>
                <w:spacing w:val="-4"/>
                <w:sz w:val="20"/>
                <w:szCs w:val="20"/>
                <w:lang w:val="hy-AM" w:eastAsia="en-GB"/>
              </w:rPr>
              <w:t>ը</w:t>
            </w:r>
            <w:r w:rsidRPr="0053423A">
              <w:rPr>
                <w:rFonts w:cs="Sylfaen"/>
                <w:spacing w:val="-4"/>
                <w:sz w:val="20"/>
                <w:szCs w:val="20"/>
                <w:lang w:eastAsia="en-GB"/>
              </w:rPr>
              <w:t xml:space="preserve"> և հզորություն</w:t>
            </w:r>
            <w:r w:rsidRPr="0053423A">
              <w:rPr>
                <w:rFonts w:cs="Sylfaen"/>
                <w:spacing w:val="-4"/>
                <w:sz w:val="20"/>
                <w:szCs w:val="20"/>
                <w:lang w:val="hy-AM" w:eastAsia="en-GB"/>
              </w:rPr>
              <w:t>ը:</w:t>
            </w:r>
            <w:r w:rsidRPr="0053423A">
              <w:rPr>
                <w:rFonts w:cs="Sylfaen"/>
                <w:spacing w:val="-4"/>
                <w:sz w:val="20"/>
                <w:szCs w:val="20"/>
                <w:lang w:val="ro-RO" w:eastAsia="en-GB"/>
              </w:rPr>
              <w:t xml:space="preserve"> </w:t>
            </w: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4</w:t>
            </w:r>
          </w:p>
        </w:tc>
        <w:tc>
          <w:tcPr>
            <w:tcW w:w="10879" w:type="dxa"/>
            <w:shd w:val="clear" w:color="auto" w:fill="auto"/>
          </w:tcPr>
          <w:p w:rsidR="0084615D" w:rsidRPr="0053423A" w:rsidRDefault="0084615D" w:rsidP="00A67858">
            <w:pPr>
              <w:spacing w:after="0" w:line="276" w:lineRule="auto"/>
              <w:jc w:val="center"/>
              <w:rPr>
                <w:rFonts w:cs="Arial"/>
                <w:b/>
                <w:sz w:val="20"/>
                <w:szCs w:val="20"/>
                <w:lang w:val="hy-AM"/>
              </w:rPr>
            </w:pPr>
            <w:r w:rsidRPr="0053423A">
              <w:rPr>
                <w:rFonts w:cs="Arial"/>
                <w:b/>
                <w:sz w:val="20"/>
                <w:szCs w:val="20"/>
                <w:lang w:val="hy-AM"/>
              </w:rPr>
              <w:t>Իրան</w:t>
            </w:r>
            <w:r w:rsidRPr="0053423A">
              <w:rPr>
                <w:b/>
                <w:sz w:val="20"/>
                <w:szCs w:val="20"/>
                <w:lang w:val="hy-AM"/>
              </w:rPr>
              <w:t>-</w:t>
            </w:r>
            <w:r w:rsidRPr="0053423A">
              <w:rPr>
                <w:rFonts w:cs="Arial"/>
                <w:b/>
                <w:sz w:val="20"/>
                <w:szCs w:val="20"/>
                <w:lang w:val="hy-AM"/>
              </w:rPr>
              <w:t>Հայաստան</w:t>
            </w:r>
            <w:r w:rsidRPr="0053423A">
              <w:rPr>
                <w:b/>
                <w:sz w:val="20"/>
                <w:szCs w:val="20"/>
                <w:lang w:val="hy-AM"/>
              </w:rPr>
              <w:t xml:space="preserve"> 400 </w:t>
            </w:r>
            <w:r w:rsidRPr="0053423A">
              <w:rPr>
                <w:rFonts w:cs="Arial"/>
                <w:b/>
                <w:sz w:val="20"/>
                <w:szCs w:val="20"/>
                <w:lang w:val="hy-AM"/>
              </w:rPr>
              <w:t>կՎ</w:t>
            </w:r>
            <w:r w:rsidRPr="0053423A">
              <w:rPr>
                <w:b/>
                <w:sz w:val="20"/>
                <w:szCs w:val="20"/>
                <w:lang w:val="hy-AM"/>
              </w:rPr>
              <w:t xml:space="preserve"> </w:t>
            </w:r>
            <w:r w:rsidRPr="0053423A">
              <w:rPr>
                <w:rFonts w:cs="Arial"/>
                <w:b/>
                <w:sz w:val="20"/>
                <w:szCs w:val="20"/>
                <w:lang w:val="hy-AM"/>
              </w:rPr>
              <w:t>լարման</w:t>
            </w:r>
            <w:r w:rsidRPr="0053423A">
              <w:rPr>
                <w:b/>
                <w:sz w:val="20"/>
                <w:szCs w:val="20"/>
                <w:lang w:val="hy-AM"/>
              </w:rPr>
              <w:t xml:space="preserve"> </w:t>
            </w:r>
            <w:r w:rsidRPr="0053423A">
              <w:rPr>
                <w:rFonts w:cs="Arial"/>
                <w:b/>
                <w:sz w:val="20"/>
                <w:szCs w:val="20"/>
                <w:lang w:val="hy-AM"/>
              </w:rPr>
              <w:t>էլեկտրահաղորդման</w:t>
            </w:r>
            <w:r w:rsidRPr="0053423A">
              <w:rPr>
                <w:b/>
                <w:sz w:val="20"/>
                <w:szCs w:val="20"/>
                <w:lang w:val="hy-AM"/>
              </w:rPr>
              <w:t xml:space="preserve"> </w:t>
            </w:r>
            <w:r w:rsidRPr="0053423A">
              <w:rPr>
                <w:rFonts w:cs="Arial"/>
                <w:b/>
                <w:sz w:val="20"/>
                <w:szCs w:val="20"/>
                <w:lang w:val="hy-AM"/>
              </w:rPr>
              <w:t>օդային</w:t>
            </w:r>
            <w:r w:rsidRPr="0053423A">
              <w:rPr>
                <w:b/>
                <w:sz w:val="20"/>
                <w:szCs w:val="20"/>
                <w:lang w:val="hy-AM"/>
              </w:rPr>
              <w:t xml:space="preserve"> </w:t>
            </w:r>
            <w:r w:rsidRPr="0053423A">
              <w:rPr>
                <w:rFonts w:cs="Arial"/>
                <w:b/>
                <w:sz w:val="20"/>
                <w:szCs w:val="20"/>
                <w:lang w:val="hy-AM"/>
              </w:rPr>
              <w:t>գծի</w:t>
            </w:r>
            <w:r w:rsidRPr="0053423A">
              <w:rPr>
                <w:b/>
                <w:sz w:val="20"/>
                <w:szCs w:val="20"/>
                <w:lang w:val="hy-AM"/>
              </w:rPr>
              <w:t xml:space="preserve"> </w:t>
            </w:r>
            <w:r w:rsidRPr="0053423A">
              <w:rPr>
                <w:rFonts w:cs="Arial"/>
                <w:b/>
                <w:sz w:val="20"/>
                <w:szCs w:val="20"/>
                <w:lang w:val="hy-AM"/>
              </w:rPr>
              <w:t>և</w:t>
            </w:r>
            <w:r w:rsidRPr="0053423A">
              <w:rPr>
                <w:b/>
                <w:sz w:val="20"/>
                <w:szCs w:val="20"/>
                <w:lang w:val="hy-AM"/>
              </w:rPr>
              <w:t xml:space="preserve"> </w:t>
            </w:r>
            <w:r w:rsidRPr="0053423A">
              <w:rPr>
                <w:rFonts w:cs="Arial"/>
                <w:b/>
                <w:sz w:val="20"/>
                <w:szCs w:val="20"/>
                <w:lang w:val="hy-AM"/>
              </w:rPr>
              <w:t>ենթակայանի</w:t>
            </w:r>
            <w:r w:rsidRPr="0053423A">
              <w:rPr>
                <w:b/>
                <w:sz w:val="20"/>
                <w:szCs w:val="20"/>
                <w:lang w:val="hy-AM"/>
              </w:rPr>
              <w:t xml:space="preserve"> </w:t>
            </w:r>
            <w:r w:rsidRPr="0053423A">
              <w:rPr>
                <w:rFonts w:cs="Arial"/>
                <w:b/>
                <w:sz w:val="20"/>
                <w:szCs w:val="20"/>
                <w:lang w:val="hy-AM"/>
              </w:rPr>
              <w:t>կառուցում</w:t>
            </w:r>
          </w:p>
          <w:p w:rsidR="0084615D" w:rsidRPr="0053423A" w:rsidRDefault="0084615D" w:rsidP="00A67858">
            <w:pPr>
              <w:spacing w:after="0" w:line="276" w:lineRule="auto"/>
              <w:jc w:val="center"/>
              <w:rPr>
                <w:rFonts w:cs="Arial"/>
                <w:b/>
                <w:sz w:val="20"/>
                <w:szCs w:val="20"/>
                <w:lang w:val="hy-AM"/>
              </w:rPr>
            </w:pP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4.1 Հենասյուների, սարքավորումների ներկրման և ենթակայանի կառուցման, հենասյուների հիմքերի փորման, բետոնավորման, ինչպես նաև հենասյուների և էլեկտրահաղորդման օդային գծերի մոնտաժման աշխատանքների իրականացում</w:t>
            </w: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4.2 Հենասյուների, սարքավորումների ներկրման և ենթակայանի կառուցման, հենասյուների հիմքերի փորման, բետոնավորման, ինչպես նաև հենասյուների և էլեկտրահաղորդման օդային գծերի մոնտաժման աշխատանքների իրականացման ավարտ</w:t>
            </w: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4.3 Շահագործման հանձնել էլեկտրահաղորդման օդային գիծը և ենթակայանը</w:t>
            </w:r>
          </w:p>
          <w:p w:rsidR="0084615D" w:rsidRPr="0053423A" w:rsidRDefault="0084615D" w:rsidP="00A67858">
            <w:pPr>
              <w:pStyle w:val="BodyText"/>
              <w:tabs>
                <w:tab w:val="left" w:pos="369"/>
                <w:tab w:val="left" w:pos="1800"/>
              </w:tabs>
              <w:spacing w:after="0" w:line="276" w:lineRule="auto"/>
              <w:ind w:left="1260"/>
              <w:jc w:val="center"/>
              <w:rPr>
                <w:rFonts w:ascii="GHEA Grapalat" w:eastAsia="Calibri" w:hAnsi="GHEA Grapalat" w:cs="GHEA Grapalat"/>
                <w:i/>
                <w:sz w:val="20"/>
                <w:szCs w:val="20"/>
                <w:lang w:val="hy-AM"/>
              </w:rPr>
            </w:pPr>
          </w:p>
          <w:p w:rsidR="0084615D" w:rsidRPr="0053423A" w:rsidRDefault="0084615D" w:rsidP="001F6D5D">
            <w:pPr>
              <w:pStyle w:val="ListParagraph"/>
              <w:numPr>
                <w:ilvl w:val="0"/>
                <w:numId w:val="270"/>
              </w:numPr>
              <w:spacing w:after="0" w:line="276" w:lineRule="auto"/>
              <w:ind w:firstLine="0"/>
              <w:rPr>
                <w:b/>
                <w:sz w:val="20"/>
                <w:szCs w:val="20"/>
                <w:lang w:val="af-ZA"/>
              </w:rPr>
            </w:pPr>
            <w:r w:rsidRPr="0053423A">
              <w:rPr>
                <w:rFonts w:ascii="Calibri" w:hAnsi="Calibri" w:cs="Calibri"/>
                <w:b/>
                <w:sz w:val="20"/>
                <w:szCs w:val="20"/>
                <w:lang w:val="af-ZA"/>
              </w:rPr>
              <w:t> </w:t>
            </w:r>
            <w:r w:rsidRPr="0053423A">
              <w:rPr>
                <w:b/>
                <w:sz w:val="20"/>
                <w:szCs w:val="20"/>
                <w:lang w:val="hy-AM"/>
              </w:rPr>
              <w:t>Միջոցառման</w:t>
            </w:r>
            <w:r w:rsidRPr="0053423A">
              <w:rPr>
                <w:b/>
                <w:sz w:val="20"/>
                <w:szCs w:val="20"/>
                <w:lang w:val="af-ZA"/>
              </w:rPr>
              <w:t xml:space="preserve"> </w:t>
            </w:r>
            <w:r w:rsidRPr="0053423A">
              <w:rPr>
                <w:b/>
                <w:sz w:val="20"/>
                <w:szCs w:val="20"/>
                <w:lang w:val="hy-AM"/>
              </w:rPr>
              <w:t>իրականացման</w:t>
            </w:r>
            <w:r w:rsidRPr="0053423A">
              <w:rPr>
                <w:b/>
                <w:sz w:val="20"/>
                <w:szCs w:val="20"/>
                <w:lang w:val="af-ZA"/>
              </w:rPr>
              <w:t xml:space="preserve"> </w:t>
            </w:r>
            <w:r w:rsidRPr="0053423A">
              <w:rPr>
                <w:b/>
                <w:sz w:val="20"/>
                <w:szCs w:val="20"/>
                <w:lang w:val="hy-AM"/>
              </w:rPr>
              <w:t>անհրաժեշտությունը</w:t>
            </w:r>
            <w:r w:rsidRPr="0053423A">
              <w:rPr>
                <w:b/>
                <w:sz w:val="20"/>
                <w:szCs w:val="20"/>
                <w:lang w:val="af-ZA"/>
              </w:rPr>
              <w:t xml:space="preserve"> </w:t>
            </w:r>
            <w:r w:rsidRPr="0053423A">
              <w:rPr>
                <w:b/>
                <w:sz w:val="20"/>
                <w:szCs w:val="20"/>
                <w:lang w:val="hy-AM"/>
              </w:rPr>
              <w:t>և</w:t>
            </w:r>
            <w:r w:rsidRPr="0053423A">
              <w:rPr>
                <w:b/>
                <w:sz w:val="20"/>
                <w:szCs w:val="20"/>
                <w:lang w:val="af-ZA"/>
              </w:rPr>
              <w:t xml:space="preserve"> </w:t>
            </w:r>
            <w:r w:rsidRPr="0053423A">
              <w:rPr>
                <w:b/>
                <w:sz w:val="20"/>
                <w:szCs w:val="20"/>
                <w:lang w:val="hy-AM"/>
              </w:rPr>
              <w:t>նպատակը</w:t>
            </w:r>
          </w:p>
          <w:p w:rsidR="0084615D" w:rsidRPr="0053423A" w:rsidRDefault="0084615D" w:rsidP="00A67858">
            <w:pPr>
              <w:pStyle w:val="ListParagraph"/>
              <w:tabs>
                <w:tab w:val="left" w:pos="0"/>
                <w:tab w:val="left" w:pos="90"/>
              </w:tabs>
              <w:spacing w:after="0" w:line="276" w:lineRule="auto"/>
              <w:ind w:left="0" w:firstLine="1051"/>
              <w:jc w:val="both"/>
              <w:rPr>
                <w:rFonts w:cs="GHEAGrapalat"/>
                <w:sz w:val="20"/>
                <w:szCs w:val="20"/>
                <w:highlight w:val="green"/>
                <w:lang w:val="hy-AM"/>
              </w:rPr>
            </w:pPr>
            <w:r w:rsidRPr="0053423A">
              <w:rPr>
                <w:rFonts w:cs="Sylfaen"/>
                <w:spacing w:val="-4"/>
                <w:sz w:val="20"/>
                <w:szCs w:val="20"/>
                <w:lang w:val="ro-RO" w:eastAsia="en-GB"/>
              </w:rPr>
              <w:t>Միջոցառումը բխում է</w:t>
            </w:r>
            <w:r w:rsidRPr="0053423A">
              <w:rPr>
                <w:bCs/>
                <w:sz w:val="20"/>
                <w:szCs w:val="20"/>
                <w:lang w:val="af-ZA"/>
              </w:rPr>
              <w:t xml:space="preserve"> </w:t>
            </w:r>
            <w:r w:rsidRPr="0053423A">
              <w:rPr>
                <w:spacing w:val="-2"/>
                <w:sz w:val="20"/>
                <w:szCs w:val="20"/>
                <w:lang w:val="hy-AM"/>
              </w:rPr>
              <w:t xml:space="preserve">ՀՀ կառավարության 2019թ. փետրվարի 8-ի N 65-Ա որոշմամբ հաստատաված ՀՀ կառավարության ծրագրի </w:t>
            </w:r>
            <w:r w:rsidRPr="0053423A">
              <w:rPr>
                <w:rFonts w:cs="GHEAGrapalat"/>
                <w:sz w:val="20"/>
                <w:szCs w:val="20"/>
                <w:lang w:val="hy-AM"/>
              </w:rPr>
              <w:t xml:space="preserve">6.2. կետի՝ «Էներգետիկ բնագավառը» բաժնի դրույթից </w:t>
            </w:r>
            <w:r w:rsidRPr="0053423A">
              <w:rPr>
                <w:rFonts w:cs="Sylfaen"/>
                <w:spacing w:val="-4"/>
                <w:sz w:val="20"/>
                <w:szCs w:val="20"/>
                <w:lang w:val="ro-RO" w:eastAsia="en-GB"/>
              </w:rPr>
              <w:t>և ՀՀ կառավարության 2014թ. հուլիսի 31-ի № 836-Ն որոշմամբ հաստատված հավելվածի 12 կետի, ինչպես նաև ՀՀ Նախագահի 2013թ. հոկտեմբերի 23-ի ՆԿ-182-Ն կարգադրությամբ հաստատված հավելվածի 14 կետի 1-ին ենթակետի դրույթներից:</w:t>
            </w:r>
          </w:p>
          <w:p w:rsidR="0084615D" w:rsidRPr="0053423A" w:rsidRDefault="0084615D" w:rsidP="00A67858">
            <w:pPr>
              <w:pStyle w:val="ListParagraph"/>
              <w:spacing w:after="0" w:line="276" w:lineRule="auto"/>
              <w:ind w:left="0"/>
              <w:jc w:val="both"/>
              <w:rPr>
                <w:rFonts w:cs="Sylfaen"/>
                <w:spacing w:val="-4"/>
                <w:sz w:val="20"/>
                <w:szCs w:val="20"/>
                <w:lang w:val="ro-RO" w:eastAsia="en-GB"/>
              </w:rPr>
            </w:pPr>
            <w:r w:rsidRPr="0053423A">
              <w:rPr>
                <w:rFonts w:cs="Sylfaen"/>
                <w:spacing w:val="-4"/>
                <w:sz w:val="20"/>
                <w:szCs w:val="20"/>
                <w:lang w:val="ro-RO" w:eastAsia="en-GB"/>
              </w:rPr>
              <w:t>Իրան-Հայաստան 400 կՎ լարման երկշղթա էլեկտրահաղորդման գծի կառուցումը նպատակաուղղված է գազ-էլեկտրաէներգիայի դիմաց ծրագրով հայկական կողմի ստանձնած պարտավորությունների կատարման ապահովմանը, ինչպես նաև էներգետիկայի բնագավառում տարածաշրջանային փոխշահավետ համագործակցության զարգացմանը:</w:t>
            </w:r>
          </w:p>
          <w:p w:rsidR="0084615D" w:rsidRPr="0053423A" w:rsidRDefault="0084615D" w:rsidP="00A67858">
            <w:pPr>
              <w:pStyle w:val="ListParagraph"/>
              <w:tabs>
                <w:tab w:val="left" w:pos="810"/>
                <w:tab w:val="left" w:pos="1350"/>
              </w:tabs>
              <w:spacing w:after="0" w:line="276" w:lineRule="auto"/>
              <w:ind w:firstLine="360"/>
              <w:jc w:val="both"/>
              <w:rPr>
                <w:b/>
                <w:sz w:val="20"/>
                <w:szCs w:val="20"/>
                <w:lang w:val="ro-RO" w:eastAsia="en-GB"/>
              </w:rPr>
            </w:pPr>
            <w:r w:rsidRPr="0053423A">
              <w:rPr>
                <w:rFonts w:cs="Calibri"/>
                <w:b/>
                <w:sz w:val="20"/>
                <w:szCs w:val="20"/>
                <w:lang w:val="af-ZA"/>
              </w:rPr>
              <w:t>1.</w:t>
            </w:r>
            <w:r w:rsidRPr="0053423A">
              <w:rPr>
                <w:rFonts w:cs="Calibri"/>
                <w:b/>
                <w:sz w:val="20"/>
                <w:szCs w:val="20"/>
                <w:lang w:val="ro-RO"/>
              </w:rPr>
              <w:t>1</w:t>
            </w:r>
            <w:r w:rsidRPr="0053423A">
              <w:rPr>
                <w:rFonts w:cs="Calibri"/>
                <w:b/>
                <w:sz w:val="20"/>
                <w:szCs w:val="20"/>
                <w:lang w:val="af-ZA"/>
              </w:rPr>
              <w:tab/>
            </w:r>
            <w:r w:rsidR="00795500" w:rsidRPr="0053423A">
              <w:rPr>
                <w:rFonts w:cs="Calibri"/>
                <w:b/>
                <w:sz w:val="20"/>
                <w:szCs w:val="20"/>
                <w:lang w:val="hy-AM"/>
              </w:rPr>
              <w:t>Կ</w:t>
            </w:r>
            <w:r w:rsidRPr="0053423A">
              <w:rPr>
                <w:rFonts w:cs="Calibri"/>
                <w:b/>
                <w:sz w:val="20"/>
                <w:szCs w:val="20"/>
                <w:lang w:val="af-ZA"/>
              </w:rPr>
              <w:t>արգավորման</w:t>
            </w:r>
            <w:r w:rsidRPr="0053423A">
              <w:rPr>
                <w:b/>
                <w:sz w:val="20"/>
                <w:szCs w:val="20"/>
                <w:lang w:val="af-ZA" w:eastAsia="en-GB"/>
              </w:rPr>
              <w:t xml:space="preserve"> </w:t>
            </w:r>
            <w:r w:rsidRPr="0053423A">
              <w:rPr>
                <w:rFonts w:cs="Calibri"/>
                <w:b/>
                <w:sz w:val="20"/>
                <w:szCs w:val="20"/>
                <w:lang w:val="af-ZA"/>
              </w:rPr>
              <w:t>հարաբերությունների ներկա վիճակը և առկա խնդիրները</w:t>
            </w:r>
          </w:p>
          <w:p w:rsidR="0084615D" w:rsidRPr="0053423A" w:rsidRDefault="0084615D" w:rsidP="00A67858">
            <w:pPr>
              <w:pStyle w:val="ListParagraph"/>
              <w:tabs>
                <w:tab w:val="left" w:pos="810"/>
              </w:tabs>
              <w:spacing w:after="0" w:line="276" w:lineRule="auto"/>
              <w:ind w:left="0"/>
              <w:jc w:val="both"/>
              <w:rPr>
                <w:rFonts w:cs="Sylfaen"/>
                <w:spacing w:val="-4"/>
                <w:sz w:val="20"/>
                <w:szCs w:val="20"/>
                <w:lang w:val="ro-RO" w:eastAsia="en-GB"/>
              </w:rPr>
            </w:pPr>
            <w:r w:rsidRPr="0053423A">
              <w:rPr>
                <w:rFonts w:cs="Sylfaen"/>
                <w:spacing w:val="-4"/>
                <w:sz w:val="20"/>
                <w:szCs w:val="20"/>
                <w:lang w:val="ro-RO" w:eastAsia="en-GB"/>
              </w:rPr>
              <w:t>Ներկայումս Իրան-Հայաստան էլեկտրաէներգիայի փոխանակման հզորությունը կազմում է 300 ՄՎտ: Խնդիրներ են առաջանում էլեկտրահաղորդման գծի կառուցման նպատկով ձեռք բերվող հողերի սեփականատերերի հետ:</w:t>
            </w:r>
          </w:p>
          <w:p w:rsidR="0084615D" w:rsidRPr="0053423A" w:rsidRDefault="00795500" w:rsidP="001F6D5D">
            <w:pPr>
              <w:pStyle w:val="ListParagraph"/>
              <w:numPr>
                <w:ilvl w:val="1"/>
                <w:numId w:val="270"/>
              </w:numPr>
              <w:tabs>
                <w:tab w:val="left" w:pos="1260"/>
                <w:tab w:val="left" w:pos="1350"/>
              </w:tabs>
              <w:spacing w:after="0" w:line="276" w:lineRule="auto"/>
              <w:rPr>
                <w:rFonts w:cs="Calibri"/>
                <w:b/>
                <w:sz w:val="20"/>
                <w:szCs w:val="20"/>
                <w:lang w:val="af-ZA"/>
              </w:rPr>
            </w:pPr>
            <w:r w:rsidRPr="0053423A">
              <w:rPr>
                <w:rFonts w:cs="Calibri"/>
                <w:b/>
                <w:sz w:val="20"/>
                <w:szCs w:val="20"/>
                <w:lang w:val="hy-AM"/>
              </w:rPr>
              <w:t xml:space="preserve"> Ա</w:t>
            </w:r>
            <w:r w:rsidR="0084615D" w:rsidRPr="0053423A">
              <w:rPr>
                <w:rFonts w:cs="Calibri"/>
                <w:b/>
                <w:sz w:val="20"/>
                <w:szCs w:val="20"/>
                <w:lang w:val="af-ZA"/>
              </w:rPr>
              <w:t>ռկա խնդիրների առաջարկվող լուծումները</w:t>
            </w:r>
          </w:p>
          <w:p w:rsidR="0084615D" w:rsidRPr="0053423A" w:rsidRDefault="0084615D" w:rsidP="00A67858">
            <w:pPr>
              <w:pStyle w:val="ListParagraph"/>
              <w:tabs>
                <w:tab w:val="left" w:pos="1260"/>
                <w:tab w:val="left" w:pos="1350"/>
              </w:tabs>
              <w:spacing w:after="0" w:line="276" w:lineRule="auto"/>
              <w:ind w:left="0"/>
              <w:jc w:val="both"/>
              <w:rPr>
                <w:rFonts w:cs="Sylfaen"/>
                <w:spacing w:val="-4"/>
                <w:sz w:val="20"/>
                <w:szCs w:val="20"/>
                <w:lang w:val="ro-RO" w:eastAsia="en-GB"/>
              </w:rPr>
            </w:pPr>
            <w:r w:rsidRPr="0053423A">
              <w:rPr>
                <w:rFonts w:cs="Sylfaen"/>
                <w:spacing w:val="-4"/>
                <w:sz w:val="20"/>
                <w:szCs w:val="20"/>
                <w:lang w:val="ro-RO" w:eastAsia="en-GB"/>
              </w:rPr>
              <w:t>Համապատասխան մարզպետարանների, համայնքների և շահագրգիռ այլ մարմինների հետ հողերի կատեգորիաները փոխելու և դրանց մի մասը սեփականության իրավունքով ձեռք բերելու ապահովումը:</w:t>
            </w:r>
          </w:p>
          <w:p w:rsidR="0084615D" w:rsidRPr="0053423A" w:rsidRDefault="0084615D" w:rsidP="001F6D5D">
            <w:pPr>
              <w:pStyle w:val="ListParagraph"/>
              <w:numPr>
                <w:ilvl w:val="0"/>
                <w:numId w:val="270"/>
              </w:numPr>
              <w:tabs>
                <w:tab w:val="left" w:pos="1260"/>
              </w:tabs>
              <w:spacing w:after="0" w:line="276" w:lineRule="auto"/>
              <w:ind w:firstLine="0"/>
              <w:rPr>
                <w:b/>
                <w:sz w:val="20"/>
                <w:szCs w:val="20"/>
                <w:lang w:val="af-ZA"/>
              </w:rPr>
            </w:pPr>
            <w:r w:rsidRPr="0053423A">
              <w:rPr>
                <w:b/>
                <w:sz w:val="20"/>
                <w:szCs w:val="20"/>
                <w:lang w:val="hy-AM"/>
              </w:rPr>
              <w:t xml:space="preserve"> Միջոցառման</w:t>
            </w:r>
            <w:r w:rsidRPr="0053423A">
              <w:rPr>
                <w:b/>
                <w:sz w:val="20"/>
                <w:szCs w:val="20"/>
                <w:lang w:val="af-ZA"/>
              </w:rPr>
              <w:t xml:space="preserve"> </w:t>
            </w:r>
            <w:r w:rsidRPr="0053423A">
              <w:rPr>
                <w:b/>
                <w:sz w:val="20"/>
                <w:szCs w:val="20"/>
                <w:lang w:val="hy-AM"/>
              </w:rPr>
              <w:t>իրակա</w:t>
            </w:r>
            <w:r w:rsidRPr="0053423A">
              <w:rPr>
                <w:b/>
                <w:sz w:val="20"/>
                <w:szCs w:val="20"/>
              </w:rPr>
              <w:t>նա</w:t>
            </w:r>
            <w:r w:rsidRPr="0053423A">
              <w:rPr>
                <w:b/>
                <w:sz w:val="20"/>
                <w:szCs w:val="20"/>
                <w:lang w:val="hy-AM"/>
              </w:rPr>
              <w:t>ցումից</w:t>
            </w:r>
            <w:r w:rsidRPr="0053423A">
              <w:rPr>
                <w:b/>
                <w:sz w:val="20"/>
                <w:szCs w:val="20"/>
                <w:lang w:val="af-ZA"/>
              </w:rPr>
              <w:t xml:space="preserve"> </w:t>
            </w:r>
            <w:r w:rsidRPr="0053423A">
              <w:rPr>
                <w:b/>
                <w:sz w:val="20"/>
                <w:szCs w:val="20"/>
                <w:lang w:val="hy-AM"/>
              </w:rPr>
              <w:t>ակնկալվող</w:t>
            </w:r>
            <w:r w:rsidRPr="0053423A">
              <w:rPr>
                <w:b/>
                <w:sz w:val="20"/>
                <w:szCs w:val="20"/>
                <w:lang w:val="af-ZA"/>
              </w:rPr>
              <w:t xml:space="preserve"> </w:t>
            </w:r>
            <w:r w:rsidRPr="0053423A">
              <w:rPr>
                <w:b/>
                <w:sz w:val="20"/>
                <w:szCs w:val="20"/>
                <w:lang w:val="hy-AM"/>
              </w:rPr>
              <w:t>արդյունքը</w:t>
            </w:r>
          </w:p>
          <w:p w:rsidR="0084615D" w:rsidRPr="0053423A" w:rsidRDefault="0084615D" w:rsidP="00A67858">
            <w:pPr>
              <w:pStyle w:val="ListParagraph"/>
              <w:tabs>
                <w:tab w:val="left" w:pos="180"/>
              </w:tabs>
              <w:spacing w:after="0" w:line="276" w:lineRule="auto"/>
              <w:ind w:left="0"/>
              <w:jc w:val="both"/>
              <w:rPr>
                <w:rFonts w:eastAsia="Times New Roman"/>
                <w:b/>
                <w:bCs/>
                <w:sz w:val="20"/>
                <w:szCs w:val="20"/>
                <w:lang w:val="af-ZA"/>
              </w:rPr>
            </w:pPr>
            <w:r w:rsidRPr="0053423A">
              <w:rPr>
                <w:sz w:val="20"/>
                <w:szCs w:val="20"/>
                <w:lang w:val="ro-RO"/>
              </w:rPr>
              <w:t>Նոր էլեկտրահաղորդման գծի կառուցմամբ նկատելիորեն կբարելավվի ծառայության որակը, զգալիորեն կխթանվի էներգետիկայի բնագավառում տարածաշրջանային փոխշահավետ համագործակցության զարգացումը, ինչպես նաև կստեղծվի նախապայման</w:t>
            </w:r>
            <w:r w:rsidRPr="0053423A">
              <w:rPr>
                <w:sz w:val="20"/>
                <w:szCs w:val="20"/>
                <w:lang w:val="af-ZA"/>
              </w:rPr>
              <w:t xml:space="preserve">` </w:t>
            </w:r>
            <w:r w:rsidRPr="0053423A">
              <w:rPr>
                <w:sz w:val="20"/>
                <w:szCs w:val="20"/>
                <w:lang w:val="hy-AM"/>
              </w:rPr>
              <w:t>ԱՊՀ</w:t>
            </w:r>
            <w:r w:rsidRPr="0053423A">
              <w:rPr>
                <w:sz w:val="20"/>
                <w:szCs w:val="20"/>
                <w:lang w:val="af-ZA"/>
              </w:rPr>
              <w:t xml:space="preserve"> </w:t>
            </w:r>
            <w:r w:rsidRPr="0053423A">
              <w:rPr>
                <w:sz w:val="20"/>
                <w:szCs w:val="20"/>
                <w:lang w:val="hy-AM"/>
              </w:rPr>
              <w:t>երկրների</w:t>
            </w:r>
            <w:r w:rsidRPr="0053423A">
              <w:rPr>
                <w:sz w:val="20"/>
                <w:szCs w:val="20"/>
                <w:lang w:val="af-ZA"/>
              </w:rPr>
              <w:t xml:space="preserve"> </w:t>
            </w:r>
            <w:r w:rsidRPr="0053423A">
              <w:rPr>
                <w:sz w:val="20"/>
                <w:szCs w:val="20"/>
                <w:lang w:val="hy-AM"/>
              </w:rPr>
              <w:t>էլեկտրաէներգետիկ</w:t>
            </w:r>
            <w:r w:rsidRPr="0053423A">
              <w:rPr>
                <w:sz w:val="20"/>
                <w:szCs w:val="20"/>
                <w:lang w:val="af-ZA"/>
              </w:rPr>
              <w:t xml:space="preserve"> </w:t>
            </w:r>
            <w:r w:rsidRPr="0053423A">
              <w:rPr>
                <w:sz w:val="20"/>
                <w:szCs w:val="20"/>
                <w:lang w:val="hy-AM"/>
              </w:rPr>
              <w:t>համակարգի</w:t>
            </w:r>
            <w:r w:rsidRPr="0053423A">
              <w:rPr>
                <w:sz w:val="20"/>
                <w:szCs w:val="20"/>
                <w:lang w:val="af-ZA"/>
              </w:rPr>
              <w:t xml:space="preserve"> </w:t>
            </w:r>
            <w:r w:rsidRPr="0053423A">
              <w:rPr>
                <w:sz w:val="20"/>
                <w:szCs w:val="20"/>
                <w:lang w:val="hy-AM"/>
              </w:rPr>
              <w:t>հետ</w:t>
            </w:r>
            <w:r w:rsidRPr="0053423A">
              <w:rPr>
                <w:sz w:val="20"/>
                <w:szCs w:val="20"/>
                <w:lang w:val="af-ZA"/>
              </w:rPr>
              <w:t xml:space="preserve"> </w:t>
            </w:r>
            <w:r w:rsidRPr="0053423A">
              <w:rPr>
                <w:sz w:val="20"/>
                <w:szCs w:val="20"/>
                <w:lang w:val="hy-AM"/>
              </w:rPr>
              <w:t>զուգահեռ</w:t>
            </w:r>
            <w:r w:rsidRPr="0053423A">
              <w:rPr>
                <w:sz w:val="20"/>
                <w:szCs w:val="20"/>
                <w:lang w:val="af-ZA"/>
              </w:rPr>
              <w:t xml:space="preserve"> </w:t>
            </w:r>
            <w:r w:rsidRPr="0053423A">
              <w:rPr>
                <w:sz w:val="20"/>
                <w:szCs w:val="20"/>
                <w:lang w:val="hy-AM"/>
              </w:rPr>
              <w:t>աշխատանք</w:t>
            </w:r>
            <w:r w:rsidRPr="0053423A">
              <w:rPr>
                <w:sz w:val="20"/>
                <w:szCs w:val="20"/>
                <w:lang w:val="af-ZA"/>
              </w:rPr>
              <w:t xml:space="preserve"> </w:t>
            </w:r>
            <w:r w:rsidRPr="0053423A">
              <w:rPr>
                <w:sz w:val="20"/>
                <w:szCs w:val="20"/>
                <w:lang w:val="hy-AM"/>
              </w:rPr>
              <w:t>կազմակերպելու</w:t>
            </w:r>
            <w:r w:rsidRPr="0053423A">
              <w:rPr>
                <w:sz w:val="20"/>
                <w:szCs w:val="20"/>
                <w:lang w:val="af-ZA"/>
              </w:rPr>
              <w:t xml:space="preserve"> </w:t>
            </w:r>
            <w:r w:rsidRPr="0053423A">
              <w:rPr>
                <w:sz w:val="20"/>
                <w:szCs w:val="20"/>
                <w:lang w:val="hy-AM"/>
              </w:rPr>
              <w:t>համար</w:t>
            </w:r>
            <w:r w:rsidRPr="0053423A">
              <w:rPr>
                <w:sz w:val="20"/>
                <w:szCs w:val="20"/>
                <w:lang w:val="af-ZA"/>
              </w:rPr>
              <w:t xml:space="preserve">: </w:t>
            </w:r>
            <w:r w:rsidRPr="0053423A">
              <w:rPr>
                <w:sz w:val="20"/>
                <w:szCs w:val="20"/>
                <w:lang w:val="hy-AM"/>
              </w:rPr>
              <w:t>Արդյունքում</w:t>
            </w:r>
            <w:r w:rsidRPr="0053423A">
              <w:rPr>
                <w:sz w:val="20"/>
                <w:szCs w:val="20"/>
                <w:lang w:val="af-ZA"/>
              </w:rPr>
              <w:t xml:space="preserve">` </w:t>
            </w:r>
            <w:r w:rsidRPr="0053423A">
              <w:rPr>
                <w:sz w:val="20"/>
                <w:szCs w:val="20"/>
                <w:lang w:val="hy-AM"/>
              </w:rPr>
              <w:t>Իրան</w:t>
            </w:r>
            <w:r w:rsidRPr="0053423A">
              <w:rPr>
                <w:sz w:val="20"/>
                <w:szCs w:val="20"/>
                <w:lang w:val="af-ZA"/>
              </w:rPr>
              <w:t>-</w:t>
            </w:r>
            <w:r w:rsidRPr="0053423A">
              <w:rPr>
                <w:sz w:val="20"/>
                <w:szCs w:val="20"/>
                <w:lang w:val="hy-AM"/>
              </w:rPr>
              <w:t>Հայաստան</w:t>
            </w:r>
            <w:r w:rsidRPr="0053423A">
              <w:rPr>
                <w:sz w:val="20"/>
                <w:szCs w:val="20"/>
                <w:lang w:val="af-ZA"/>
              </w:rPr>
              <w:t xml:space="preserve"> </w:t>
            </w:r>
            <w:r w:rsidRPr="0053423A">
              <w:rPr>
                <w:sz w:val="20"/>
                <w:szCs w:val="20"/>
                <w:lang w:val="hy-AM"/>
              </w:rPr>
              <w:t>էլեկտրաէներգիայի</w:t>
            </w:r>
            <w:r w:rsidRPr="0053423A">
              <w:rPr>
                <w:sz w:val="20"/>
                <w:szCs w:val="20"/>
                <w:lang w:val="af-ZA"/>
              </w:rPr>
              <w:t xml:space="preserve"> </w:t>
            </w:r>
            <w:r w:rsidRPr="0053423A">
              <w:rPr>
                <w:sz w:val="20"/>
                <w:szCs w:val="20"/>
                <w:lang w:val="hy-AM"/>
              </w:rPr>
              <w:t>փոխանակման</w:t>
            </w:r>
            <w:r w:rsidRPr="0053423A">
              <w:rPr>
                <w:sz w:val="20"/>
                <w:szCs w:val="20"/>
                <w:lang w:val="af-ZA"/>
              </w:rPr>
              <w:t xml:space="preserve"> </w:t>
            </w:r>
            <w:r w:rsidRPr="0053423A">
              <w:rPr>
                <w:sz w:val="20"/>
                <w:szCs w:val="20"/>
                <w:lang w:val="hy-AM"/>
              </w:rPr>
              <w:t>հզորությունը</w:t>
            </w:r>
            <w:r w:rsidRPr="0053423A">
              <w:rPr>
                <w:sz w:val="20"/>
                <w:szCs w:val="20"/>
                <w:lang w:val="af-ZA"/>
              </w:rPr>
              <w:t xml:space="preserve"> </w:t>
            </w:r>
            <w:r w:rsidRPr="0053423A">
              <w:rPr>
                <w:sz w:val="20"/>
                <w:szCs w:val="20"/>
                <w:lang w:val="hy-AM"/>
              </w:rPr>
              <w:t>ներկայիս</w:t>
            </w:r>
            <w:r w:rsidRPr="0053423A">
              <w:rPr>
                <w:sz w:val="20"/>
                <w:szCs w:val="20"/>
                <w:lang w:val="af-ZA"/>
              </w:rPr>
              <w:t xml:space="preserve"> 300 </w:t>
            </w:r>
            <w:r w:rsidRPr="0053423A">
              <w:rPr>
                <w:sz w:val="20"/>
                <w:szCs w:val="20"/>
                <w:lang w:val="hy-AM"/>
              </w:rPr>
              <w:t>ՄՎտ</w:t>
            </w:r>
            <w:r w:rsidRPr="0053423A">
              <w:rPr>
                <w:sz w:val="20"/>
                <w:szCs w:val="20"/>
                <w:lang w:val="af-ZA"/>
              </w:rPr>
              <w:t>-</w:t>
            </w:r>
            <w:r w:rsidRPr="0053423A">
              <w:rPr>
                <w:sz w:val="20"/>
                <w:szCs w:val="20"/>
                <w:lang w:val="hy-AM"/>
              </w:rPr>
              <w:t>ից</w:t>
            </w:r>
            <w:r w:rsidRPr="0053423A">
              <w:rPr>
                <w:sz w:val="20"/>
                <w:szCs w:val="20"/>
                <w:lang w:val="af-ZA"/>
              </w:rPr>
              <w:t xml:space="preserve"> </w:t>
            </w:r>
            <w:r w:rsidRPr="0053423A">
              <w:rPr>
                <w:sz w:val="20"/>
                <w:szCs w:val="20"/>
                <w:lang w:val="hy-AM"/>
              </w:rPr>
              <w:t>կհասցվի</w:t>
            </w:r>
            <w:r w:rsidRPr="0053423A">
              <w:rPr>
                <w:sz w:val="20"/>
                <w:szCs w:val="20"/>
                <w:lang w:val="af-ZA"/>
              </w:rPr>
              <w:t xml:space="preserve"> 1000-1200 </w:t>
            </w:r>
            <w:r w:rsidRPr="0053423A">
              <w:rPr>
                <w:sz w:val="20"/>
                <w:szCs w:val="20"/>
                <w:lang w:val="hy-AM"/>
              </w:rPr>
              <w:t>ՄՎտ</w:t>
            </w:r>
            <w:r w:rsidRPr="0053423A">
              <w:rPr>
                <w:sz w:val="20"/>
                <w:szCs w:val="20"/>
                <w:lang w:val="af-ZA"/>
              </w:rPr>
              <w:t>-</w:t>
            </w:r>
            <w:r w:rsidRPr="0053423A">
              <w:rPr>
                <w:sz w:val="20"/>
                <w:szCs w:val="20"/>
                <w:lang w:val="hy-AM"/>
              </w:rPr>
              <w:t>ի</w:t>
            </w:r>
            <w:r w:rsidRPr="0053423A">
              <w:rPr>
                <w:sz w:val="20"/>
                <w:szCs w:val="20"/>
                <w:lang w:val="af-ZA"/>
              </w:rPr>
              <w:t>:</w:t>
            </w: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5</w:t>
            </w:r>
          </w:p>
        </w:tc>
        <w:tc>
          <w:tcPr>
            <w:tcW w:w="10879" w:type="dxa"/>
            <w:shd w:val="clear" w:color="auto" w:fill="auto"/>
          </w:tcPr>
          <w:p w:rsidR="0084615D" w:rsidRPr="0053423A" w:rsidRDefault="0084615D" w:rsidP="00A67858">
            <w:pPr>
              <w:spacing w:after="0" w:line="276" w:lineRule="auto"/>
              <w:jc w:val="center"/>
              <w:rPr>
                <w:rFonts w:cs="GHEA Grapalat"/>
                <w:b/>
                <w:sz w:val="20"/>
                <w:szCs w:val="20"/>
                <w:lang w:val="hy-AM"/>
              </w:rPr>
            </w:pPr>
            <w:r w:rsidRPr="0053423A">
              <w:rPr>
                <w:rFonts w:cs="GHEA Grapalat"/>
                <w:b/>
                <w:sz w:val="20"/>
                <w:szCs w:val="20"/>
                <w:lang w:val="hy-AM"/>
              </w:rPr>
              <w:t>Հայաստան</w:t>
            </w:r>
            <w:r w:rsidRPr="0053423A">
              <w:rPr>
                <w:b/>
                <w:sz w:val="20"/>
                <w:szCs w:val="20"/>
                <w:lang w:val="hy-AM"/>
              </w:rPr>
              <w:t>-</w:t>
            </w:r>
            <w:r w:rsidRPr="0053423A">
              <w:rPr>
                <w:rFonts w:cs="GHEA Grapalat"/>
                <w:b/>
                <w:sz w:val="20"/>
                <w:szCs w:val="20"/>
                <w:lang w:val="hy-AM"/>
              </w:rPr>
              <w:t>Վրաստան</w:t>
            </w:r>
            <w:r w:rsidRPr="0053423A">
              <w:rPr>
                <w:b/>
                <w:sz w:val="20"/>
                <w:szCs w:val="20"/>
                <w:lang w:val="hy-AM"/>
              </w:rPr>
              <w:t xml:space="preserve"> 400 </w:t>
            </w:r>
            <w:r w:rsidRPr="0053423A">
              <w:rPr>
                <w:rFonts w:cs="GHEA Grapalat"/>
                <w:b/>
                <w:sz w:val="20"/>
                <w:szCs w:val="20"/>
                <w:lang w:val="hy-AM"/>
              </w:rPr>
              <w:t>կՎ</w:t>
            </w:r>
            <w:r w:rsidRPr="0053423A">
              <w:rPr>
                <w:b/>
                <w:sz w:val="20"/>
                <w:szCs w:val="20"/>
                <w:lang w:val="hy-AM"/>
              </w:rPr>
              <w:t xml:space="preserve"> </w:t>
            </w:r>
            <w:r w:rsidRPr="0053423A">
              <w:rPr>
                <w:rFonts w:cs="GHEA Grapalat"/>
                <w:b/>
                <w:sz w:val="20"/>
                <w:szCs w:val="20"/>
                <w:lang w:val="hy-AM"/>
              </w:rPr>
              <w:t>լարման</w:t>
            </w:r>
            <w:r w:rsidRPr="0053423A">
              <w:rPr>
                <w:b/>
                <w:sz w:val="20"/>
                <w:szCs w:val="20"/>
                <w:lang w:val="hy-AM"/>
              </w:rPr>
              <w:t xml:space="preserve"> </w:t>
            </w:r>
            <w:r w:rsidRPr="0053423A">
              <w:rPr>
                <w:rFonts w:cs="GHEA Grapalat"/>
                <w:b/>
                <w:sz w:val="20"/>
                <w:szCs w:val="20"/>
                <w:lang w:val="hy-AM"/>
              </w:rPr>
              <w:t>էլեկտրահաղորդման</w:t>
            </w:r>
            <w:r w:rsidRPr="0053423A">
              <w:rPr>
                <w:b/>
                <w:sz w:val="20"/>
                <w:szCs w:val="20"/>
                <w:lang w:val="hy-AM"/>
              </w:rPr>
              <w:t xml:space="preserve"> </w:t>
            </w:r>
            <w:r w:rsidRPr="0053423A">
              <w:rPr>
                <w:rFonts w:cs="GHEA Grapalat"/>
                <w:b/>
                <w:sz w:val="20"/>
                <w:szCs w:val="20"/>
                <w:lang w:val="hy-AM"/>
              </w:rPr>
              <w:t>օդային</w:t>
            </w:r>
            <w:r w:rsidRPr="0053423A">
              <w:rPr>
                <w:b/>
                <w:sz w:val="20"/>
                <w:szCs w:val="20"/>
                <w:lang w:val="hy-AM"/>
              </w:rPr>
              <w:t xml:space="preserve"> </w:t>
            </w:r>
            <w:r w:rsidRPr="0053423A">
              <w:rPr>
                <w:rFonts w:cs="GHEA Grapalat"/>
                <w:b/>
                <w:sz w:val="20"/>
                <w:szCs w:val="20"/>
                <w:lang w:val="hy-AM"/>
              </w:rPr>
              <w:t>գծի</w:t>
            </w:r>
            <w:r w:rsidRPr="0053423A">
              <w:rPr>
                <w:b/>
                <w:sz w:val="20"/>
                <w:szCs w:val="20"/>
                <w:lang w:val="hy-AM"/>
              </w:rPr>
              <w:t xml:space="preserve"> </w:t>
            </w:r>
            <w:r w:rsidRPr="0053423A">
              <w:rPr>
                <w:rFonts w:cs="GHEA Grapalat"/>
                <w:b/>
                <w:sz w:val="20"/>
                <w:szCs w:val="20"/>
                <w:lang w:val="hy-AM"/>
              </w:rPr>
              <w:t>կառուցման</w:t>
            </w:r>
            <w:r w:rsidRPr="0053423A">
              <w:rPr>
                <w:b/>
                <w:sz w:val="20"/>
                <w:szCs w:val="20"/>
                <w:lang w:val="hy-AM"/>
              </w:rPr>
              <w:t xml:space="preserve"> </w:t>
            </w:r>
            <w:r w:rsidRPr="0053423A">
              <w:rPr>
                <w:rFonts w:cs="GHEA Grapalat"/>
                <w:b/>
                <w:sz w:val="20"/>
                <w:szCs w:val="20"/>
                <w:lang w:val="hy-AM"/>
              </w:rPr>
              <w:t>մեկնարկ</w:t>
            </w:r>
          </w:p>
          <w:p w:rsidR="0084615D" w:rsidRPr="0053423A" w:rsidRDefault="0084615D" w:rsidP="00A67858">
            <w:pPr>
              <w:spacing w:after="0" w:line="276" w:lineRule="auto"/>
              <w:jc w:val="center"/>
              <w:rPr>
                <w:rFonts w:cs="GHEA Grapalat"/>
                <w:b/>
                <w:sz w:val="20"/>
                <w:szCs w:val="20"/>
                <w:lang w:val="hy-AM"/>
              </w:rPr>
            </w:pP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5.1  220 կՎ և 400 կՎ ենթակայանների և օդային գծի կառուցման մրցութային գործընթացի մեկնարկ</w:t>
            </w: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5.2  220 կՎ և 400 կՎ ենթակայանների և օդային գծի կառուցման մեկնարկ և ավարտ</w:t>
            </w:r>
          </w:p>
          <w:p w:rsidR="0084615D" w:rsidRPr="0053423A" w:rsidRDefault="0084615D" w:rsidP="00A67858">
            <w:pPr>
              <w:pStyle w:val="ListParagraph"/>
              <w:tabs>
                <w:tab w:val="left" w:pos="1080"/>
              </w:tabs>
              <w:spacing w:after="0" w:line="276" w:lineRule="auto"/>
              <w:jc w:val="both"/>
              <w:rPr>
                <w:b/>
                <w:sz w:val="20"/>
                <w:szCs w:val="20"/>
                <w:lang w:val="af-ZA" w:eastAsia="en-GB"/>
              </w:rPr>
            </w:pPr>
          </w:p>
          <w:p w:rsidR="0084615D" w:rsidRPr="0053423A" w:rsidRDefault="0084615D" w:rsidP="00A67858">
            <w:pPr>
              <w:pStyle w:val="ListParagraph"/>
              <w:tabs>
                <w:tab w:val="left" w:pos="1080"/>
              </w:tabs>
              <w:spacing w:after="0" w:line="276" w:lineRule="auto"/>
              <w:jc w:val="both"/>
              <w:rPr>
                <w:b/>
                <w:sz w:val="20"/>
                <w:szCs w:val="20"/>
                <w:lang w:val="af-ZA" w:eastAsia="en-GB"/>
              </w:rPr>
            </w:pPr>
            <w:r w:rsidRPr="0053423A">
              <w:rPr>
                <w:b/>
                <w:sz w:val="20"/>
                <w:szCs w:val="20"/>
                <w:lang w:val="af-ZA" w:eastAsia="en-GB"/>
              </w:rPr>
              <w:t>1</w:t>
            </w:r>
            <w:r w:rsidRPr="0053423A">
              <w:rPr>
                <w:b/>
                <w:sz w:val="20"/>
                <w:szCs w:val="20"/>
                <w:lang w:val="hy-AM"/>
              </w:rPr>
              <w:t xml:space="preserve"> Միջոցառման</w:t>
            </w:r>
            <w:r w:rsidRPr="0053423A">
              <w:rPr>
                <w:b/>
                <w:sz w:val="20"/>
                <w:szCs w:val="20"/>
                <w:lang w:val="af-ZA"/>
              </w:rPr>
              <w:t xml:space="preserve"> </w:t>
            </w:r>
            <w:r w:rsidRPr="0053423A">
              <w:rPr>
                <w:b/>
                <w:sz w:val="20"/>
                <w:szCs w:val="20"/>
                <w:lang w:val="hy-AM"/>
              </w:rPr>
              <w:t>իրականացման</w:t>
            </w:r>
            <w:r w:rsidRPr="0053423A">
              <w:rPr>
                <w:b/>
                <w:sz w:val="20"/>
                <w:szCs w:val="20"/>
                <w:lang w:val="af-ZA"/>
              </w:rPr>
              <w:t xml:space="preserve"> </w:t>
            </w:r>
            <w:r w:rsidRPr="0053423A">
              <w:rPr>
                <w:b/>
                <w:sz w:val="20"/>
                <w:szCs w:val="20"/>
                <w:lang w:val="hy-AM"/>
              </w:rPr>
              <w:t>անհրաժեշտությունը</w:t>
            </w:r>
            <w:r w:rsidRPr="0053423A">
              <w:rPr>
                <w:b/>
                <w:sz w:val="20"/>
                <w:szCs w:val="20"/>
                <w:lang w:val="af-ZA"/>
              </w:rPr>
              <w:t xml:space="preserve"> </w:t>
            </w:r>
            <w:r w:rsidRPr="0053423A">
              <w:rPr>
                <w:b/>
                <w:sz w:val="20"/>
                <w:szCs w:val="20"/>
                <w:lang w:val="hy-AM"/>
              </w:rPr>
              <w:t>և</w:t>
            </w:r>
            <w:r w:rsidRPr="0053423A">
              <w:rPr>
                <w:b/>
                <w:sz w:val="20"/>
                <w:szCs w:val="20"/>
                <w:lang w:val="af-ZA"/>
              </w:rPr>
              <w:t xml:space="preserve"> </w:t>
            </w:r>
            <w:r w:rsidRPr="0053423A">
              <w:rPr>
                <w:b/>
                <w:sz w:val="20"/>
                <w:szCs w:val="20"/>
                <w:lang w:val="hy-AM"/>
              </w:rPr>
              <w:t>նպատակը</w:t>
            </w:r>
          </w:p>
          <w:p w:rsidR="0084615D" w:rsidRPr="0053423A" w:rsidRDefault="0084615D" w:rsidP="00A67858">
            <w:pPr>
              <w:pStyle w:val="ListParagraph"/>
              <w:tabs>
                <w:tab w:val="left" w:pos="1080"/>
              </w:tabs>
              <w:spacing w:after="0" w:line="276" w:lineRule="auto"/>
              <w:ind w:left="0"/>
              <w:jc w:val="both"/>
              <w:rPr>
                <w:sz w:val="20"/>
                <w:szCs w:val="20"/>
                <w:lang w:val="af-ZA" w:eastAsia="en-GB"/>
              </w:rPr>
            </w:pPr>
            <w:r w:rsidRPr="0053423A">
              <w:rPr>
                <w:spacing w:val="-2"/>
                <w:sz w:val="20"/>
                <w:szCs w:val="20"/>
                <w:lang w:val="hy-AM"/>
              </w:rPr>
              <w:t xml:space="preserve">ՀՀ կառավարության 2019թ. փետրվարի 8-ի N 65-Ա որոշմամբ հաստատաված ՀՀ կառավարության ծրագրի </w:t>
            </w:r>
            <w:r w:rsidRPr="0053423A">
              <w:rPr>
                <w:rFonts w:cs="GHEAGrapalat"/>
                <w:sz w:val="20"/>
                <w:szCs w:val="20"/>
                <w:lang w:val="hy-AM"/>
              </w:rPr>
              <w:t xml:space="preserve">6.2. կետի՝ «Էներգետիկ բնագավառը» բաժնի </w:t>
            </w:r>
            <w:r w:rsidRPr="0053423A">
              <w:rPr>
                <w:sz w:val="20"/>
                <w:szCs w:val="20"/>
                <w:lang w:val="hy-AM" w:eastAsia="en-GB"/>
              </w:rPr>
              <w:t>և</w:t>
            </w:r>
            <w:r w:rsidRPr="0053423A">
              <w:rPr>
                <w:sz w:val="20"/>
                <w:szCs w:val="20"/>
                <w:lang w:val="af-ZA" w:eastAsia="en-GB"/>
              </w:rPr>
              <w:t xml:space="preserve"> </w:t>
            </w:r>
            <w:r w:rsidRPr="0053423A">
              <w:rPr>
                <w:sz w:val="20"/>
                <w:szCs w:val="20"/>
                <w:lang w:val="hy-AM" w:eastAsia="en-GB"/>
              </w:rPr>
              <w:t>ՀՀ</w:t>
            </w:r>
            <w:r w:rsidRPr="0053423A">
              <w:rPr>
                <w:sz w:val="20"/>
                <w:szCs w:val="20"/>
                <w:lang w:val="af-ZA" w:eastAsia="en-GB"/>
              </w:rPr>
              <w:t xml:space="preserve"> </w:t>
            </w:r>
            <w:r w:rsidRPr="0053423A">
              <w:rPr>
                <w:sz w:val="20"/>
                <w:szCs w:val="20"/>
                <w:lang w:val="hy-AM" w:eastAsia="en-GB"/>
              </w:rPr>
              <w:t>կառավարության</w:t>
            </w:r>
            <w:r w:rsidRPr="0053423A">
              <w:rPr>
                <w:sz w:val="20"/>
                <w:szCs w:val="20"/>
                <w:lang w:val="af-ZA" w:eastAsia="en-GB"/>
              </w:rPr>
              <w:t xml:space="preserve"> 2014</w:t>
            </w:r>
            <w:r w:rsidRPr="0053423A">
              <w:rPr>
                <w:sz w:val="20"/>
                <w:szCs w:val="20"/>
                <w:lang w:val="hy-AM" w:eastAsia="en-GB"/>
              </w:rPr>
              <w:t>թ</w:t>
            </w:r>
            <w:r w:rsidRPr="0053423A">
              <w:rPr>
                <w:sz w:val="20"/>
                <w:szCs w:val="20"/>
                <w:lang w:val="af-ZA" w:eastAsia="en-GB"/>
              </w:rPr>
              <w:t xml:space="preserve">. </w:t>
            </w:r>
            <w:r w:rsidRPr="0053423A">
              <w:rPr>
                <w:sz w:val="20"/>
                <w:szCs w:val="20"/>
                <w:lang w:val="hy-AM" w:eastAsia="en-GB"/>
              </w:rPr>
              <w:t>հուլիսի</w:t>
            </w:r>
            <w:r w:rsidRPr="0053423A">
              <w:rPr>
                <w:sz w:val="20"/>
                <w:szCs w:val="20"/>
                <w:lang w:val="af-ZA" w:eastAsia="en-GB"/>
              </w:rPr>
              <w:t xml:space="preserve"> 31-</w:t>
            </w:r>
            <w:r w:rsidRPr="0053423A">
              <w:rPr>
                <w:sz w:val="20"/>
                <w:szCs w:val="20"/>
                <w:lang w:val="hy-AM" w:eastAsia="en-GB"/>
              </w:rPr>
              <w:t>ի</w:t>
            </w:r>
            <w:r w:rsidRPr="0053423A">
              <w:rPr>
                <w:sz w:val="20"/>
                <w:szCs w:val="20"/>
                <w:lang w:val="af-ZA" w:eastAsia="en-GB"/>
              </w:rPr>
              <w:t xml:space="preserve"> № 836-</w:t>
            </w:r>
            <w:r w:rsidRPr="0053423A">
              <w:rPr>
                <w:sz w:val="20"/>
                <w:szCs w:val="20"/>
                <w:lang w:val="hy-AM" w:eastAsia="en-GB"/>
              </w:rPr>
              <w:t>Ն</w:t>
            </w:r>
            <w:r w:rsidRPr="0053423A">
              <w:rPr>
                <w:sz w:val="20"/>
                <w:szCs w:val="20"/>
                <w:lang w:val="af-ZA" w:eastAsia="en-GB"/>
              </w:rPr>
              <w:t xml:space="preserve"> </w:t>
            </w:r>
            <w:r w:rsidRPr="0053423A">
              <w:rPr>
                <w:sz w:val="20"/>
                <w:szCs w:val="20"/>
                <w:lang w:val="hy-AM" w:eastAsia="en-GB"/>
              </w:rPr>
              <w:t>որոշմամբ</w:t>
            </w:r>
            <w:r w:rsidRPr="0053423A">
              <w:rPr>
                <w:sz w:val="20"/>
                <w:szCs w:val="20"/>
                <w:lang w:val="af-ZA" w:eastAsia="en-GB"/>
              </w:rPr>
              <w:t xml:space="preserve"> </w:t>
            </w:r>
            <w:r w:rsidRPr="0053423A">
              <w:rPr>
                <w:sz w:val="20"/>
                <w:szCs w:val="20"/>
                <w:lang w:val="hy-AM" w:eastAsia="en-GB"/>
              </w:rPr>
              <w:t>հաստատված</w:t>
            </w:r>
            <w:r w:rsidRPr="0053423A">
              <w:rPr>
                <w:sz w:val="20"/>
                <w:szCs w:val="20"/>
                <w:lang w:val="af-ZA" w:eastAsia="en-GB"/>
              </w:rPr>
              <w:t xml:space="preserve"> </w:t>
            </w:r>
            <w:r w:rsidRPr="0053423A">
              <w:rPr>
                <w:sz w:val="20"/>
                <w:szCs w:val="20"/>
                <w:lang w:val="hy-AM" w:eastAsia="en-GB"/>
              </w:rPr>
              <w:t>հավելվածի</w:t>
            </w:r>
            <w:r w:rsidRPr="0053423A">
              <w:rPr>
                <w:sz w:val="20"/>
                <w:szCs w:val="20"/>
                <w:lang w:val="af-ZA" w:eastAsia="en-GB"/>
              </w:rPr>
              <w:t xml:space="preserve"> 13 </w:t>
            </w:r>
            <w:r w:rsidRPr="0053423A">
              <w:rPr>
                <w:sz w:val="20"/>
                <w:szCs w:val="20"/>
                <w:lang w:val="hy-AM" w:eastAsia="en-GB"/>
              </w:rPr>
              <w:t>կետի</w:t>
            </w:r>
            <w:r w:rsidRPr="0053423A">
              <w:rPr>
                <w:sz w:val="20"/>
                <w:szCs w:val="20"/>
                <w:lang w:val="af-ZA" w:eastAsia="en-GB"/>
              </w:rPr>
              <w:t xml:space="preserve">, </w:t>
            </w:r>
            <w:r w:rsidRPr="0053423A">
              <w:rPr>
                <w:sz w:val="20"/>
                <w:szCs w:val="20"/>
                <w:lang w:val="hy-AM" w:eastAsia="en-GB"/>
              </w:rPr>
              <w:t>ինչպես</w:t>
            </w:r>
            <w:r w:rsidRPr="0053423A">
              <w:rPr>
                <w:sz w:val="20"/>
                <w:szCs w:val="20"/>
                <w:lang w:val="af-ZA" w:eastAsia="en-GB"/>
              </w:rPr>
              <w:t xml:space="preserve"> </w:t>
            </w:r>
            <w:r w:rsidRPr="0053423A">
              <w:rPr>
                <w:sz w:val="20"/>
                <w:szCs w:val="20"/>
                <w:lang w:val="hy-AM" w:eastAsia="en-GB"/>
              </w:rPr>
              <w:t>նաև</w:t>
            </w:r>
            <w:r w:rsidRPr="0053423A">
              <w:rPr>
                <w:sz w:val="20"/>
                <w:szCs w:val="20"/>
                <w:lang w:val="af-ZA" w:eastAsia="en-GB"/>
              </w:rPr>
              <w:t xml:space="preserve"> </w:t>
            </w:r>
            <w:r w:rsidRPr="0053423A">
              <w:rPr>
                <w:sz w:val="20"/>
                <w:szCs w:val="20"/>
                <w:lang w:val="hy-AM" w:eastAsia="en-GB"/>
              </w:rPr>
              <w:t>ՀՀ</w:t>
            </w:r>
            <w:r w:rsidRPr="0053423A">
              <w:rPr>
                <w:sz w:val="20"/>
                <w:szCs w:val="20"/>
                <w:lang w:val="af-ZA" w:eastAsia="en-GB"/>
              </w:rPr>
              <w:t xml:space="preserve"> </w:t>
            </w:r>
            <w:r w:rsidRPr="0053423A">
              <w:rPr>
                <w:sz w:val="20"/>
                <w:szCs w:val="20"/>
                <w:lang w:val="hy-AM" w:eastAsia="en-GB"/>
              </w:rPr>
              <w:t>Նախագահի</w:t>
            </w:r>
            <w:r w:rsidRPr="0053423A">
              <w:rPr>
                <w:sz w:val="20"/>
                <w:szCs w:val="20"/>
                <w:lang w:val="af-ZA" w:eastAsia="en-GB"/>
              </w:rPr>
              <w:t xml:space="preserve"> 2013</w:t>
            </w:r>
            <w:r w:rsidRPr="0053423A">
              <w:rPr>
                <w:sz w:val="20"/>
                <w:szCs w:val="20"/>
                <w:lang w:val="hy-AM" w:eastAsia="en-GB"/>
              </w:rPr>
              <w:t>թ</w:t>
            </w:r>
            <w:r w:rsidRPr="0053423A">
              <w:rPr>
                <w:sz w:val="20"/>
                <w:szCs w:val="20"/>
                <w:lang w:val="af-ZA" w:eastAsia="en-GB"/>
              </w:rPr>
              <w:t xml:space="preserve">. </w:t>
            </w:r>
            <w:r w:rsidRPr="0053423A">
              <w:rPr>
                <w:sz w:val="20"/>
                <w:szCs w:val="20"/>
                <w:lang w:val="hy-AM" w:eastAsia="en-GB"/>
              </w:rPr>
              <w:t>հոկտեմբերի</w:t>
            </w:r>
            <w:r w:rsidRPr="0053423A">
              <w:rPr>
                <w:sz w:val="20"/>
                <w:szCs w:val="20"/>
                <w:lang w:val="af-ZA" w:eastAsia="en-GB"/>
              </w:rPr>
              <w:t xml:space="preserve"> 23-</w:t>
            </w:r>
            <w:r w:rsidRPr="0053423A">
              <w:rPr>
                <w:sz w:val="20"/>
                <w:szCs w:val="20"/>
                <w:lang w:val="hy-AM" w:eastAsia="en-GB"/>
              </w:rPr>
              <w:t>ի</w:t>
            </w:r>
            <w:r w:rsidRPr="0053423A">
              <w:rPr>
                <w:sz w:val="20"/>
                <w:szCs w:val="20"/>
                <w:lang w:val="af-ZA" w:eastAsia="en-GB"/>
              </w:rPr>
              <w:t xml:space="preserve"> </w:t>
            </w:r>
            <w:r w:rsidRPr="0053423A">
              <w:rPr>
                <w:sz w:val="20"/>
                <w:szCs w:val="20"/>
                <w:lang w:val="hy-AM" w:eastAsia="en-GB"/>
              </w:rPr>
              <w:t>ՆԿ</w:t>
            </w:r>
            <w:r w:rsidRPr="0053423A">
              <w:rPr>
                <w:sz w:val="20"/>
                <w:szCs w:val="20"/>
                <w:lang w:val="af-ZA" w:eastAsia="en-GB"/>
              </w:rPr>
              <w:t>-182-</w:t>
            </w:r>
            <w:r w:rsidRPr="0053423A">
              <w:rPr>
                <w:sz w:val="20"/>
                <w:szCs w:val="20"/>
                <w:lang w:val="hy-AM" w:eastAsia="en-GB"/>
              </w:rPr>
              <w:t>Ն</w:t>
            </w:r>
            <w:r w:rsidRPr="0053423A">
              <w:rPr>
                <w:sz w:val="20"/>
                <w:szCs w:val="20"/>
                <w:lang w:val="af-ZA" w:eastAsia="en-GB"/>
              </w:rPr>
              <w:t xml:space="preserve"> </w:t>
            </w:r>
            <w:r w:rsidRPr="0053423A">
              <w:rPr>
                <w:sz w:val="20"/>
                <w:szCs w:val="20"/>
                <w:lang w:val="hy-AM" w:eastAsia="en-GB"/>
              </w:rPr>
              <w:t>կարգադրությամբ</w:t>
            </w:r>
            <w:r w:rsidRPr="0053423A">
              <w:rPr>
                <w:sz w:val="20"/>
                <w:szCs w:val="20"/>
                <w:lang w:val="af-ZA" w:eastAsia="en-GB"/>
              </w:rPr>
              <w:t xml:space="preserve"> </w:t>
            </w:r>
            <w:r w:rsidRPr="0053423A">
              <w:rPr>
                <w:sz w:val="20"/>
                <w:szCs w:val="20"/>
                <w:lang w:val="hy-AM" w:eastAsia="en-GB"/>
              </w:rPr>
              <w:t>հաստատված</w:t>
            </w:r>
            <w:r w:rsidRPr="0053423A">
              <w:rPr>
                <w:sz w:val="20"/>
                <w:szCs w:val="20"/>
                <w:lang w:val="af-ZA" w:eastAsia="en-GB"/>
              </w:rPr>
              <w:t xml:space="preserve"> </w:t>
            </w:r>
            <w:r w:rsidRPr="0053423A">
              <w:rPr>
                <w:sz w:val="20"/>
                <w:szCs w:val="20"/>
                <w:lang w:val="hy-AM" w:eastAsia="en-GB"/>
              </w:rPr>
              <w:t>հավելվածի</w:t>
            </w:r>
            <w:r w:rsidRPr="0053423A">
              <w:rPr>
                <w:sz w:val="20"/>
                <w:szCs w:val="20"/>
                <w:lang w:val="af-ZA" w:eastAsia="en-GB"/>
              </w:rPr>
              <w:t xml:space="preserve"> 14 </w:t>
            </w:r>
            <w:r w:rsidRPr="0053423A">
              <w:rPr>
                <w:sz w:val="20"/>
                <w:szCs w:val="20"/>
                <w:lang w:val="hy-AM" w:eastAsia="en-GB"/>
              </w:rPr>
              <w:t>կետի</w:t>
            </w:r>
            <w:r w:rsidRPr="0053423A">
              <w:rPr>
                <w:sz w:val="20"/>
                <w:szCs w:val="20"/>
                <w:lang w:val="af-ZA" w:eastAsia="en-GB"/>
              </w:rPr>
              <w:t xml:space="preserve"> 1-</w:t>
            </w:r>
            <w:r w:rsidRPr="0053423A">
              <w:rPr>
                <w:sz w:val="20"/>
                <w:szCs w:val="20"/>
                <w:lang w:val="hy-AM" w:eastAsia="en-GB"/>
              </w:rPr>
              <w:t>ին</w:t>
            </w:r>
            <w:r w:rsidRPr="0053423A">
              <w:rPr>
                <w:sz w:val="20"/>
                <w:szCs w:val="20"/>
                <w:lang w:val="af-ZA" w:eastAsia="en-GB"/>
              </w:rPr>
              <w:t xml:space="preserve"> </w:t>
            </w:r>
            <w:r w:rsidRPr="0053423A">
              <w:rPr>
                <w:sz w:val="20"/>
                <w:szCs w:val="20"/>
                <w:lang w:val="hy-AM" w:eastAsia="en-GB"/>
              </w:rPr>
              <w:t>ենթակետի</w:t>
            </w:r>
            <w:r w:rsidRPr="0053423A">
              <w:rPr>
                <w:sz w:val="20"/>
                <w:szCs w:val="20"/>
                <w:lang w:val="af-ZA" w:eastAsia="en-GB"/>
              </w:rPr>
              <w:t xml:space="preserve"> </w:t>
            </w:r>
            <w:r w:rsidRPr="0053423A">
              <w:rPr>
                <w:sz w:val="20"/>
                <w:szCs w:val="20"/>
                <w:lang w:val="hy-AM" w:eastAsia="en-GB"/>
              </w:rPr>
              <w:t>դրույթներից</w:t>
            </w:r>
            <w:r w:rsidRPr="0053423A">
              <w:rPr>
                <w:sz w:val="20"/>
                <w:szCs w:val="20"/>
                <w:lang w:val="af-ZA" w:eastAsia="en-GB"/>
              </w:rPr>
              <w:t>: Հայաստան-Վրաստան 400 կՎ լարման էլեկտրահաղորդման օդային գծի կառուցման նպատակը Վրաստանի և Իրանի էներգահամակարգերի հետ կայուն աշխատանքի ապահովումն է` նպատակ ունենալով բոլոր երեք երկրների էներգահամակարգերի համատեղ աշխատանքը զուգահեռ ռեժիմում: Հայաստան-Վրաստան էլեկտրահաղորդման օդային գծի կառուցմամբ զգալիորեն կխթանվի էներգետիկայի բնագավառում տարածաշրջանային հյուսիս-հարավ /ՌԴ-Վրաստան-ՀՀ-ԻԻՀ/ փոխշահավետ համագործակցության զարգացումը:</w:t>
            </w:r>
          </w:p>
          <w:p w:rsidR="0084615D" w:rsidRPr="0053423A" w:rsidRDefault="00795500" w:rsidP="001F6D5D">
            <w:pPr>
              <w:pStyle w:val="ListParagraph"/>
              <w:numPr>
                <w:ilvl w:val="1"/>
                <w:numId w:val="272"/>
              </w:numPr>
              <w:tabs>
                <w:tab w:val="left" w:pos="810"/>
              </w:tabs>
              <w:spacing w:after="0" w:line="276" w:lineRule="auto"/>
              <w:jc w:val="both"/>
              <w:rPr>
                <w:b/>
                <w:sz w:val="20"/>
                <w:szCs w:val="20"/>
                <w:lang w:val="af-ZA" w:eastAsia="en-GB"/>
              </w:rPr>
            </w:pPr>
            <w:r w:rsidRPr="0053423A">
              <w:rPr>
                <w:rFonts w:cs="Sylfaen"/>
                <w:b/>
                <w:sz w:val="20"/>
                <w:szCs w:val="20"/>
                <w:lang w:val="en-GB" w:eastAsia="en-GB"/>
              </w:rPr>
              <w:t>Կ</w:t>
            </w:r>
            <w:r w:rsidR="0084615D" w:rsidRPr="0053423A">
              <w:rPr>
                <w:rFonts w:cs="Sylfaen"/>
                <w:b/>
                <w:sz w:val="20"/>
                <w:szCs w:val="20"/>
                <w:lang w:val="en-GB" w:eastAsia="en-GB"/>
              </w:rPr>
              <w:t>արգավորման</w:t>
            </w:r>
            <w:r w:rsidR="0084615D" w:rsidRPr="0053423A">
              <w:rPr>
                <w:b/>
                <w:sz w:val="20"/>
                <w:szCs w:val="20"/>
                <w:lang w:val="af-ZA" w:eastAsia="en-GB"/>
              </w:rPr>
              <w:t xml:space="preserve"> </w:t>
            </w:r>
            <w:r w:rsidR="0084615D" w:rsidRPr="0053423A">
              <w:rPr>
                <w:b/>
                <w:sz w:val="20"/>
                <w:szCs w:val="20"/>
                <w:lang w:val="en-GB" w:eastAsia="en-GB"/>
              </w:rPr>
              <w:t>հարաբերությունների</w:t>
            </w:r>
            <w:r w:rsidR="0084615D" w:rsidRPr="0053423A">
              <w:rPr>
                <w:b/>
                <w:sz w:val="20"/>
                <w:szCs w:val="20"/>
                <w:lang w:val="af-ZA" w:eastAsia="en-GB"/>
              </w:rPr>
              <w:t xml:space="preserve"> </w:t>
            </w:r>
            <w:r w:rsidR="0084615D" w:rsidRPr="0053423A">
              <w:rPr>
                <w:b/>
                <w:sz w:val="20"/>
                <w:szCs w:val="20"/>
                <w:lang w:val="en-GB" w:eastAsia="en-GB"/>
              </w:rPr>
              <w:t>ներկա</w:t>
            </w:r>
            <w:r w:rsidR="0084615D" w:rsidRPr="0053423A">
              <w:rPr>
                <w:b/>
                <w:sz w:val="20"/>
                <w:szCs w:val="20"/>
                <w:lang w:val="af-ZA" w:eastAsia="en-GB"/>
              </w:rPr>
              <w:t xml:space="preserve"> </w:t>
            </w:r>
            <w:r w:rsidR="0084615D" w:rsidRPr="0053423A">
              <w:rPr>
                <w:b/>
                <w:sz w:val="20"/>
                <w:szCs w:val="20"/>
                <w:lang w:val="en-GB" w:eastAsia="en-GB"/>
              </w:rPr>
              <w:t>վիճակը</w:t>
            </w:r>
            <w:r w:rsidR="0084615D" w:rsidRPr="0053423A">
              <w:rPr>
                <w:b/>
                <w:sz w:val="20"/>
                <w:szCs w:val="20"/>
                <w:lang w:val="af-ZA" w:eastAsia="en-GB"/>
              </w:rPr>
              <w:t xml:space="preserve"> </w:t>
            </w:r>
            <w:r w:rsidR="0084615D" w:rsidRPr="0053423A">
              <w:rPr>
                <w:b/>
                <w:sz w:val="20"/>
                <w:szCs w:val="20"/>
                <w:lang w:val="en-GB" w:eastAsia="en-GB"/>
              </w:rPr>
              <w:t>և</w:t>
            </w:r>
            <w:r w:rsidR="0084615D" w:rsidRPr="0053423A">
              <w:rPr>
                <w:b/>
                <w:sz w:val="20"/>
                <w:szCs w:val="20"/>
                <w:lang w:val="af-ZA" w:eastAsia="en-GB"/>
              </w:rPr>
              <w:t xml:space="preserve"> </w:t>
            </w:r>
            <w:r w:rsidR="0084615D" w:rsidRPr="0053423A">
              <w:rPr>
                <w:b/>
                <w:sz w:val="20"/>
                <w:szCs w:val="20"/>
                <w:lang w:val="en-GB" w:eastAsia="en-GB"/>
              </w:rPr>
              <w:t>առկա</w:t>
            </w:r>
            <w:r w:rsidR="0084615D" w:rsidRPr="0053423A">
              <w:rPr>
                <w:b/>
                <w:sz w:val="20"/>
                <w:szCs w:val="20"/>
                <w:lang w:val="af-ZA" w:eastAsia="en-GB"/>
              </w:rPr>
              <w:t xml:space="preserve"> </w:t>
            </w:r>
            <w:r w:rsidR="0084615D" w:rsidRPr="0053423A">
              <w:rPr>
                <w:b/>
                <w:sz w:val="20"/>
                <w:szCs w:val="20"/>
                <w:lang w:val="en-GB" w:eastAsia="en-GB"/>
              </w:rPr>
              <w:t>խնդիրները</w:t>
            </w:r>
          </w:p>
          <w:p w:rsidR="0084615D" w:rsidRPr="0053423A" w:rsidRDefault="0084615D" w:rsidP="00A67858">
            <w:pPr>
              <w:pStyle w:val="ListParagraph"/>
              <w:tabs>
                <w:tab w:val="left" w:pos="810"/>
              </w:tabs>
              <w:spacing w:after="0" w:line="276" w:lineRule="auto"/>
              <w:ind w:left="0"/>
              <w:jc w:val="both"/>
              <w:rPr>
                <w:b/>
                <w:sz w:val="20"/>
                <w:szCs w:val="20"/>
                <w:lang w:val="af-ZA" w:eastAsia="en-GB"/>
              </w:rPr>
            </w:pPr>
            <w:r w:rsidRPr="0053423A">
              <w:rPr>
                <w:rFonts w:cs="Sylfaen"/>
                <w:sz w:val="20"/>
                <w:szCs w:val="20"/>
                <w:lang w:val="en-GB" w:eastAsia="en-GB"/>
              </w:rPr>
              <w:t>Պետական</w:t>
            </w:r>
            <w:r w:rsidRPr="0053423A">
              <w:rPr>
                <w:rFonts w:cs="Arial Armenian"/>
                <w:sz w:val="20"/>
                <w:szCs w:val="20"/>
                <w:lang w:val="af-ZA" w:eastAsia="en-GB"/>
              </w:rPr>
              <w:t xml:space="preserve"> </w:t>
            </w:r>
            <w:r w:rsidRPr="0053423A">
              <w:rPr>
                <w:rFonts w:cs="Sylfaen"/>
                <w:sz w:val="20"/>
                <w:szCs w:val="20"/>
                <w:lang w:val="en-GB" w:eastAsia="en-GB"/>
              </w:rPr>
              <w:t>պարտքի</w:t>
            </w:r>
            <w:r w:rsidRPr="0053423A">
              <w:rPr>
                <w:rFonts w:cs="Arial Armenian"/>
                <w:sz w:val="20"/>
                <w:szCs w:val="20"/>
                <w:lang w:val="af-ZA" w:eastAsia="en-GB"/>
              </w:rPr>
              <w:t xml:space="preserve"> </w:t>
            </w:r>
            <w:r w:rsidRPr="0053423A">
              <w:rPr>
                <w:rFonts w:cs="Sylfaen"/>
                <w:sz w:val="20"/>
                <w:szCs w:val="20"/>
                <w:lang w:val="en-GB" w:eastAsia="en-GB"/>
              </w:rPr>
              <w:t>վրա</w:t>
            </w:r>
            <w:r w:rsidRPr="0053423A">
              <w:rPr>
                <w:rFonts w:cs="Arial Armenian"/>
                <w:sz w:val="20"/>
                <w:szCs w:val="20"/>
                <w:lang w:val="af-ZA" w:eastAsia="en-GB"/>
              </w:rPr>
              <w:t xml:space="preserve"> </w:t>
            </w:r>
            <w:r w:rsidRPr="0053423A">
              <w:rPr>
                <w:rFonts w:cs="Sylfaen"/>
                <w:sz w:val="20"/>
                <w:szCs w:val="20"/>
                <w:lang w:val="en-GB" w:eastAsia="en-GB"/>
              </w:rPr>
              <w:t>ծրագրի</w:t>
            </w:r>
            <w:r w:rsidRPr="0053423A">
              <w:rPr>
                <w:rFonts w:cs="Arial Armenian"/>
                <w:sz w:val="20"/>
                <w:szCs w:val="20"/>
                <w:lang w:val="af-ZA" w:eastAsia="en-GB"/>
              </w:rPr>
              <w:t xml:space="preserve"> </w:t>
            </w:r>
            <w:r w:rsidRPr="0053423A">
              <w:rPr>
                <w:rFonts w:cs="Sylfaen"/>
                <w:sz w:val="20"/>
                <w:szCs w:val="20"/>
                <w:lang w:val="en-GB" w:eastAsia="en-GB"/>
              </w:rPr>
              <w:t>ճնշումը</w:t>
            </w:r>
            <w:r w:rsidRPr="0053423A">
              <w:rPr>
                <w:rFonts w:cs="Arial Armenian"/>
                <w:sz w:val="20"/>
                <w:szCs w:val="20"/>
                <w:lang w:val="af-ZA" w:eastAsia="en-GB"/>
              </w:rPr>
              <w:t xml:space="preserve"> </w:t>
            </w:r>
            <w:r w:rsidRPr="0053423A">
              <w:rPr>
                <w:rFonts w:cs="Sylfaen"/>
                <w:sz w:val="20"/>
                <w:szCs w:val="20"/>
                <w:lang w:val="en-GB" w:eastAsia="en-GB"/>
              </w:rPr>
              <w:t>մեղմելու</w:t>
            </w:r>
            <w:r w:rsidRPr="0053423A">
              <w:rPr>
                <w:rFonts w:cs="Arial Armenian"/>
                <w:sz w:val="20"/>
                <w:szCs w:val="20"/>
                <w:lang w:val="af-ZA" w:eastAsia="en-GB"/>
              </w:rPr>
              <w:t xml:space="preserve"> </w:t>
            </w:r>
            <w:r w:rsidRPr="0053423A">
              <w:rPr>
                <w:rFonts w:cs="Sylfaen"/>
                <w:sz w:val="20"/>
                <w:szCs w:val="20"/>
                <w:lang w:val="en-GB" w:eastAsia="en-GB"/>
              </w:rPr>
              <w:t>և</w:t>
            </w:r>
            <w:r w:rsidRPr="0053423A">
              <w:rPr>
                <w:rFonts w:cs="Arial Armenian"/>
                <w:sz w:val="20"/>
                <w:szCs w:val="20"/>
                <w:lang w:val="af-ZA" w:eastAsia="en-GB"/>
              </w:rPr>
              <w:t xml:space="preserve"> </w:t>
            </w:r>
            <w:r w:rsidRPr="0053423A">
              <w:rPr>
                <w:rFonts w:cs="Sylfaen"/>
                <w:sz w:val="20"/>
                <w:szCs w:val="20"/>
                <w:lang w:val="en-GB" w:eastAsia="en-GB"/>
              </w:rPr>
              <w:t>ծրագրի</w:t>
            </w:r>
            <w:r w:rsidRPr="0053423A">
              <w:rPr>
                <w:rFonts w:cs="Arial Armenian"/>
                <w:sz w:val="20"/>
                <w:szCs w:val="20"/>
                <w:lang w:val="af-ZA" w:eastAsia="en-GB"/>
              </w:rPr>
              <w:t xml:space="preserve"> </w:t>
            </w:r>
            <w:r w:rsidRPr="0053423A">
              <w:rPr>
                <w:rFonts w:cs="Sylfaen"/>
                <w:sz w:val="20"/>
                <w:szCs w:val="20"/>
                <w:lang w:val="en-GB" w:eastAsia="en-GB"/>
              </w:rPr>
              <w:t>միջոցների</w:t>
            </w:r>
            <w:r w:rsidRPr="0053423A">
              <w:rPr>
                <w:rFonts w:cs="Arial Armenian"/>
                <w:sz w:val="20"/>
                <w:szCs w:val="20"/>
                <w:lang w:val="af-ZA" w:eastAsia="en-GB"/>
              </w:rPr>
              <w:t xml:space="preserve"> </w:t>
            </w:r>
            <w:r w:rsidRPr="0053423A">
              <w:rPr>
                <w:rFonts w:cs="Sylfaen"/>
                <w:sz w:val="20"/>
                <w:szCs w:val="20"/>
                <w:lang w:val="en-GB" w:eastAsia="en-GB"/>
              </w:rPr>
              <w:t>օգտագործման</w:t>
            </w:r>
            <w:r w:rsidRPr="0053423A">
              <w:rPr>
                <w:rFonts w:cs="Arial Armenian"/>
                <w:sz w:val="20"/>
                <w:szCs w:val="20"/>
                <w:lang w:val="af-ZA" w:eastAsia="en-GB"/>
              </w:rPr>
              <w:t xml:space="preserve"> </w:t>
            </w:r>
            <w:r w:rsidRPr="0053423A">
              <w:rPr>
                <w:rFonts w:cs="Sylfaen"/>
                <w:sz w:val="20"/>
                <w:szCs w:val="20"/>
                <w:lang w:val="en-GB" w:eastAsia="en-GB"/>
              </w:rPr>
              <w:t>արդյունավետությունը</w:t>
            </w:r>
            <w:r w:rsidRPr="0053423A">
              <w:rPr>
                <w:rFonts w:cs="Arial Armenian"/>
                <w:sz w:val="20"/>
                <w:szCs w:val="20"/>
                <w:lang w:val="af-ZA" w:eastAsia="en-GB"/>
              </w:rPr>
              <w:t xml:space="preserve"> </w:t>
            </w:r>
            <w:r w:rsidRPr="0053423A">
              <w:rPr>
                <w:rFonts w:cs="Sylfaen"/>
                <w:sz w:val="20"/>
                <w:szCs w:val="20"/>
                <w:lang w:val="en-GB" w:eastAsia="en-GB"/>
              </w:rPr>
              <w:t>բարձրացնելու</w:t>
            </w:r>
            <w:r w:rsidRPr="0053423A">
              <w:rPr>
                <w:rFonts w:cs="Arial Armenian"/>
                <w:sz w:val="20"/>
                <w:szCs w:val="20"/>
                <w:lang w:val="af-ZA" w:eastAsia="en-GB"/>
              </w:rPr>
              <w:t xml:space="preserve"> </w:t>
            </w:r>
            <w:r w:rsidRPr="0053423A">
              <w:rPr>
                <w:rFonts w:cs="Sylfaen"/>
                <w:sz w:val="20"/>
                <w:szCs w:val="20"/>
                <w:lang w:val="en-GB" w:eastAsia="en-GB"/>
              </w:rPr>
              <w:t>նպատակով</w:t>
            </w:r>
            <w:r w:rsidRPr="0053423A">
              <w:rPr>
                <w:rFonts w:cs="Arial Armenian"/>
                <w:sz w:val="20"/>
                <w:szCs w:val="20"/>
                <w:lang w:val="af-ZA" w:eastAsia="en-GB"/>
              </w:rPr>
              <w:t xml:space="preserve"> </w:t>
            </w:r>
            <w:r w:rsidRPr="0053423A">
              <w:rPr>
                <w:rFonts w:cs="Sylfaen"/>
                <w:sz w:val="20"/>
                <w:szCs w:val="20"/>
                <w:lang w:val="en-GB" w:eastAsia="en-GB"/>
              </w:rPr>
              <w:t>Գերմանիայի</w:t>
            </w:r>
            <w:r w:rsidRPr="0053423A">
              <w:rPr>
                <w:rFonts w:cs="Arial Armenian"/>
                <w:sz w:val="20"/>
                <w:szCs w:val="20"/>
                <w:lang w:val="af-ZA" w:eastAsia="en-GB"/>
              </w:rPr>
              <w:t xml:space="preserve"> </w:t>
            </w:r>
            <w:r w:rsidRPr="0053423A">
              <w:rPr>
                <w:rFonts w:cs="Sylfaen"/>
                <w:sz w:val="20"/>
                <w:szCs w:val="20"/>
                <w:lang w:val="en-GB" w:eastAsia="en-GB"/>
              </w:rPr>
              <w:t>զարգացման</w:t>
            </w:r>
            <w:r w:rsidRPr="0053423A">
              <w:rPr>
                <w:rFonts w:cs="Arial Armenian"/>
                <w:sz w:val="20"/>
                <w:szCs w:val="20"/>
                <w:lang w:val="af-ZA" w:eastAsia="en-GB"/>
              </w:rPr>
              <w:t xml:space="preserve"> </w:t>
            </w:r>
            <w:r w:rsidRPr="0053423A">
              <w:rPr>
                <w:rFonts w:cs="Sylfaen"/>
                <w:sz w:val="20"/>
                <w:szCs w:val="20"/>
                <w:lang w:val="en-GB" w:eastAsia="en-GB"/>
              </w:rPr>
              <w:t>վարկերի</w:t>
            </w:r>
            <w:r w:rsidRPr="0053423A">
              <w:rPr>
                <w:rFonts w:cs="Arial Armenian"/>
                <w:sz w:val="20"/>
                <w:szCs w:val="20"/>
                <w:lang w:val="af-ZA" w:eastAsia="en-GB"/>
              </w:rPr>
              <w:t xml:space="preserve"> </w:t>
            </w:r>
            <w:r w:rsidRPr="0053423A">
              <w:rPr>
                <w:rFonts w:cs="Sylfaen"/>
                <w:sz w:val="20"/>
                <w:szCs w:val="20"/>
                <w:lang w:val="en-GB" w:eastAsia="en-GB"/>
              </w:rPr>
              <w:t>բանկի</w:t>
            </w:r>
            <w:r w:rsidRPr="0053423A">
              <w:rPr>
                <w:rFonts w:cs="Arial Armenian"/>
                <w:sz w:val="20"/>
                <w:szCs w:val="20"/>
                <w:lang w:val="af-ZA" w:eastAsia="en-GB"/>
              </w:rPr>
              <w:t xml:space="preserve"> (KfW) </w:t>
            </w:r>
            <w:r w:rsidRPr="0053423A">
              <w:rPr>
                <w:rFonts w:cs="Sylfaen"/>
                <w:sz w:val="20"/>
                <w:szCs w:val="20"/>
                <w:lang w:val="en-GB" w:eastAsia="en-GB"/>
              </w:rPr>
              <w:t>հետ</w:t>
            </w:r>
            <w:r w:rsidRPr="0053423A">
              <w:rPr>
                <w:rFonts w:cs="Arial Armenian"/>
                <w:sz w:val="20"/>
                <w:szCs w:val="20"/>
                <w:lang w:val="af-ZA" w:eastAsia="en-GB"/>
              </w:rPr>
              <w:t xml:space="preserve"> </w:t>
            </w:r>
            <w:r w:rsidRPr="0053423A">
              <w:rPr>
                <w:sz w:val="20"/>
                <w:szCs w:val="20"/>
                <w:lang w:val="en-GB" w:eastAsia="en-GB"/>
              </w:rPr>
              <w:t>բանակցվել</w:t>
            </w:r>
            <w:r w:rsidRPr="0053423A">
              <w:rPr>
                <w:sz w:val="20"/>
                <w:szCs w:val="20"/>
                <w:lang w:val="af-ZA" w:eastAsia="en-GB"/>
              </w:rPr>
              <w:t xml:space="preserve"> </w:t>
            </w:r>
            <w:r w:rsidRPr="0053423A">
              <w:rPr>
                <w:sz w:val="20"/>
                <w:szCs w:val="20"/>
                <w:lang w:val="en-GB" w:eastAsia="en-GB"/>
              </w:rPr>
              <w:t>և</w:t>
            </w:r>
            <w:r w:rsidRPr="0053423A">
              <w:rPr>
                <w:sz w:val="20"/>
                <w:szCs w:val="20"/>
                <w:lang w:val="af-ZA" w:eastAsia="en-GB"/>
              </w:rPr>
              <w:t xml:space="preserve"> </w:t>
            </w:r>
            <w:r w:rsidRPr="0053423A">
              <w:rPr>
                <w:sz w:val="20"/>
                <w:szCs w:val="20"/>
                <w:lang w:val="en-GB" w:eastAsia="en-GB"/>
              </w:rPr>
              <w:t>համաձայնություն</w:t>
            </w:r>
            <w:r w:rsidRPr="0053423A">
              <w:rPr>
                <w:sz w:val="20"/>
                <w:szCs w:val="20"/>
                <w:lang w:val="af-ZA" w:eastAsia="en-GB"/>
              </w:rPr>
              <w:t xml:space="preserve"> </w:t>
            </w:r>
            <w:r w:rsidRPr="0053423A">
              <w:rPr>
                <w:sz w:val="20"/>
                <w:szCs w:val="20"/>
                <w:lang w:val="en-GB" w:eastAsia="en-GB"/>
              </w:rPr>
              <w:t>է</w:t>
            </w:r>
            <w:r w:rsidRPr="0053423A">
              <w:rPr>
                <w:sz w:val="20"/>
                <w:szCs w:val="20"/>
                <w:lang w:val="af-ZA" w:eastAsia="en-GB"/>
              </w:rPr>
              <w:t xml:space="preserve"> </w:t>
            </w:r>
            <w:r w:rsidRPr="0053423A">
              <w:rPr>
                <w:sz w:val="20"/>
                <w:szCs w:val="20"/>
                <w:lang w:val="en-GB" w:eastAsia="en-GB"/>
              </w:rPr>
              <w:t>ձեռք</w:t>
            </w:r>
            <w:r w:rsidRPr="0053423A">
              <w:rPr>
                <w:sz w:val="20"/>
                <w:szCs w:val="20"/>
                <w:lang w:val="af-ZA" w:eastAsia="en-GB"/>
              </w:rPr>
              <w:t xml:space="preserve"> </w:t>
            </w:r>
            <w:r w:rsidRPr="0053423A">
              <w:rPr>
                <w:sz w:val="20"/>
                <w:szCs w:val="20"/>
                <w:lang w:val="en-GB" w:eastAsia="en-GB"/>
              </w:rPr>
              <w:t>բերվել</w:t>
            </w:r>
            <w:r w:rsidRPr="0053423A">
              <w:rPr>
                <w:sz w:val="20"/>
                <w:szCs w:val="20"/>
                <w:lang w:val="af-ZA" w:eastAsia="en-GB"/>
              </w:rPr>
              <w:t xml:space="preserve"> </w:t>
            </w:r>
            <w:r w:rsidRPr="0053423A">
              <w:rPr>
                <w:sz w:val="20"/>
                <w:szCs w:val="20"/>
                <w:lang w:val="en-GB" w:eastAsia="en-GB"/>
              </w:rPr>
              <w:t>ծրագրի</w:t>
            </w:r>
            <w:r w:rsidRPr="0053423A">
              <w:rPr>
                <w:sz w:val="20"/>
                <w:szCs w:val="20"/>
                <w:lang w:val="af-ZA" w:eastAsia="en-GB"/>
              </w:rPr>
              <w:t xml:space="preserve"> </w:t>
            </w:r>
            <w:r w:rsidRPr="0053423A">
              <w:rPr>
                <w:sz w:val="20"/>
                <w:szCs w:val="20"/>
                <w:lang w:val="en-GB" w:eastAsia="en-GB"/>
              </w:rPr>
              <w:t>տեխնիկական</w:t>
            </w:r>
            <w:r w:rsidRPr="0053423A">
              <w:rPr>
                <w:sz w:val="20"/>
                <w:szCs w:val="20"/>
                <w:lang w:val="af-ZA" w:eastAsia="en-GB"/>
              </w:rPr>
              <w:t xml:space="preserve"> </w:t>
            </w:r>
            <w:r w:rsidRPr="0053423A">
              <w:rPr>
                <w:sz w:val="20"/>
                <w:szCs w:val="20"/>
                <w:lang w:val="en-GB" w:eastAsia="en-GB"/>
              </w:rPr>
              <w:t>լուծումների</w:t>
            </w:r>
            <w:r w:rsidRPr="0053423A">
              <w:rPr>
                <w:sz w:val="20"/>
                <w:szCs w:val="20"/>
                <w:lang w:val="af-ZA" w:eastAsia="en-GB"/>
              </w:rPr>
              <w:t xml:space="preserve"> </w:t>
            </w:r>
            <w:r w:rsidRPr="0053423A">
              <w:rPr>
                <w:sz w:val="20"/>
                <w:szCs w:val="20"/>
                <w:lang w:val="en-GB" w:eastAsia="en-GB"/>
              </w:rPr>
              <w:t>վերանայման</w:t>
            </w:r>
            <w:r w:rsidRPr="0053423A">
              <w:rPr>
                <w:sz w:val="20"/>
                <w:szCs w:val="20"/>
                <w:lang w:val="af-ZA" w:eastAsia="en-GB"/>
              </w:rPr>
              <w:t xml:space="preserve"> </w:t>
            </w:r>
            <w:r w:rsidRPr="0053423A">
              <w:rPr>
                <w:sz w:val="20"/>
                <w:szCs w:val="20"/>
                <w:lang w:val="en-GB" w:eastAsia="en-GB"/>
              </w:rPr>
              <w:t>և</w:t>
            </w:r>
            <w:r w:rsidRPr="0053423A">
              <w:rPr>
                <w:sz w:val="20"/>
                <w:szCs w:val="20"/>
                <w:lang w:val="af-ZA" w:eastAsia="en-GB"/>
              </w:rPr>
              <w:t xml:space="preserve"> </w:t>
            </w:r>
            <w:r w:rsidRPr="0053423A">
              <w:rPr>
                <w:sz w:val="20"/>
                <w:szCs w:val="20"/>
                <w:lang w:val="en-GB" w:eastAsia="en-GB"/>
              </w:rPr>
              <w:t>օպտիմիզացման</w:t>
            </w:r>
            <w:r w:rsidRPr="0053423A">
              <w:rPr>
                <w:sz w:val="20"/>
                <w:szCs w:val="20"/>
                <w:lang w:val="af-ZA" w:eastAsia="en-GB"/>
              </w:rPr>
              <w:t xml:space="preserve"> </w:t>
            </w:r>
            <w:r w:rsidRPr="0053423A">
              <w:rPr>
                <w:sz w:val="20"/>
                <w:szCs w:val="20"/>
                <w:lang w:val="en-GB" w:eastAsia="en-GB"/>
              </w:rPr>
              <w:t>վերաբերյալ</w:t>
            </w:r>
            <w:r w:rsidRPr="0053423A">
              <w:rPr>
                <w:sz w:val="20"/>
                <w:szCs w:val="20"/>
                <w:lang w:val="af-ZA" w:eastAsia="en-GB"/>
              </w:rPr>
              <w:t xml:space="preserve">: </w:t>
            </w:r>
            <w:r w:rsidRPr="0053423A">
              <w:rPr>
                <w:sz w:val="20"/>
                <w:szCs w:val="20"/>
                <w:lang w:val="en-GB" w:eastAsia="en-GB"/>
              </w:rPr>
              <w:t>Ծրագրի</w:t>
            </w:r>
            <w:r w:rsidRPr="0053423A">
              <w:rPr>
                <w:sz w:val="20"/>
                <w:szCs w:val="20"/>
                <w:lang w:val="af-ZA" w:eastAsia="en-GB"/>
              </w:rPr>
              <w:t xml:space="preserve"> </w:t>
            </w:r>
            <w:r w:rsidRPr="0053423A">
              <w:rPr>
                <w:sz w:val="20"/>
                <w:szCs w:val="20"/>
                <w:lang w:val="en-GB" w:eastAsia="en-GB"/>
              </w:rPr>
              <w:t>իրականացման</w:t>
            </w:r>
            <w:r w:rsidRPr="0053423A">
              <w:rPr>
                <w:sz w:val="20"/>
                <w:szCs w:val="20"/>
                <w:lang w:val="af-ZA" w:eastAsia="en-GB"/>
              </w:rPr>
              <w:t xml:space="preserve"> </w:t>
            </w:r>
            <w:r w:rsidRPr="0053423A">
              <w:rPr>
                <w:sz w:val="20"/>
                <w:szCs w:val="20"/>
                <w:lang w:val="en-GB" w:eastAsia="en-GB"/>
              </w:rPr>
              <w:t>ընթացքում</w:t>
            </w:r>
            <w:r w:rsidRPr="0053423A">
              <w:rPr>
                <w:sz w:val="20"/>
                <w:szCs w:val="20"/>
                <w:lang w:val="af-ZA" w:eastAsia="en-GB"/>
              </w:rPr>
              <w:t xml:space="preserve"> </w:t>
            </w:r>
            <w:r w:rsidRPr="0053423A">
              <w:rPr>
                <w:sz w:val="20"/>
                <w:szCs w:val="20"/>
                <w:lang w:val="en-GB" w:eastAsia="en-GB"/>
              </w:rPr>
              <w:t>փոփոխվել</w:t>
            </w:r>
            <w:r w:rsidRPr="0053423A">
              <w:rPr>
                <w:sz w:val="20"/>
                <w:szCs w:val="20"/>
                <w:lang w:val="af-ZA" w:eastAsia="en-GB"/>
              </w:rPr>
              <w:t xml:space="preserve"> </w:t>
            </w:r>
            <w:r w:rsidRPr="0053423A">
              <w:rPr>
                <w:sz w:val="20"/>
                <w:szCs w:val="20"/>
                <w:lang w:val="en-GB" w:eastAsia="en-GB"/>
              </w:rPr>
              <w:t>են</w:t>
            </w:r>
            <w:r w:rsidRPr="0053423A">
              <w:rPr>
                <w:sz w:val="20"/>
                <w:szCs w:val="20"/>
                <w:lang w:val="af-ZA" w:eastAsia="en-GB"/>
              </w:rPr>
              <w:t xml:space="preserve"> </w:t>
            </w:r>
            <w:r w:rsidRPr="0053423A">
              <w:rPr>
                <w:sz w:val="20"/>
                <w:szCs w:val="20"/>
                <w:lang w:val="en-GB" w:eastAsia="en-GB"/>
              </w:rPr>
              <w:t>վերոնշյալ</w:t>
            </w:r>
            <w:r w:rsidRPr="0053423A">
              <w:rPr>
                <w:sz w:val="20"/>
                <w:szCs w:val="20"/>
                <w:lang w:val="af-ZA" w:eastAsia="en-GB"/>
              </w:rPr>
              <w:t xml:space="preserve"> </w:t>
            </w:r>
            <w:r w:rsidRPr="0053423A">
              <w:rPr>
                <w:sz w:val="20"/>
                <w:szCs w:val="20"/>
                <w:lang w:val="en-GB" w:eastAsia="en-GB"/>
              </w:rPr>
              <w:t>ծրագրի</w:t>
            </w:r>
            <w:r w:rsidRPr="0053423A">
              <w:rPr>
                <w:sz w:val="20"/>
                <w:szCs w:val="20"/>
                <w:lang w:val="af-ZA" w:eastAsia="en-GB"/>
              </w:rPr>
              <w:t xml:space="preserve"> </w:t>
            </w:r>
            <w:r w:rsidRPr="0053423A">
              <w:rPr>
                <w:sz w:val="20"/>
                <w:szCs w:val="20"/>
                <w:lang w:val="en-GB" w:eastAsia="en-GB"/>
              </w:rPr>
              <w:t>տեխնիկական</w:t>
            </w:r>
            <w:r w:rsidRPr="0053423A">
              <w:rPr>
                <w:sz w:val="20"/>
                <w:szCs w:val="20"/>
                <w:lang w:val="af-ZA" w:eastAsia="en-GB"/>
              </w:rPr>
              <w:t xml:space="preserve"> </w:t>
            </w:r>
            <w:r w:rsidRPr="0053423A">
              <w:rPr>
                <w:sz w:val="20"/>
                <w:szCs w:val="20"/>
                <w:lang w:val="en-GB" w:eastAsia="en-GB"/>
              </w:rPr>
              <w:t>պայմանները</w:t>
            </w:r>
            <w:r w:rsidRPr="0053423A">
              <w:rPr>
                <w:sz w:val="20"/>
                <w:szCs w:val="20"/>
                <w:lang w:val="af-ZA" w:eastAsia="en-GB"/>
              </w:rPr>
              <w:t xml:space="preserve">, </w:t>
            </w:r>
            <w:r w:rsidRPr="0053423A">
              <w:rPr>
                <w:sz w:val="20"/>
                <w:szCs w:val="20"/>
                <w:lang w:val="en-GB" w:eastAsia="en-GB"/>
              </w:rPr>
              <w:t>մշակվել</w:t>
            </w:r>
            <w:r w:rsidRPr="0053423A">
              <w:rPr>
                <w:sz w:val="20"/>
                <w:szCs w:val="20"/>
                <w:lang w:val="af-ZA" w:eastAsia="en-GB"/>
              </w:rPr>
              <w:t xml:space="preserve"> </w:t>
            </w:r>
            <w:r w:rsidRPr="0053423A">
              <w:rPr>
                <w:sz w:val="20"/>
                <w:szCs w:val="20"/>
                <w:lang w:val="en-GB" w:eastAsia="en-GB"/>
              </w:rPr>
              <w:t>է</w:t>
            </w:r>
            <w:r w:rsidRPr="0053423A">
              <w:rPr>
                <w:sz w:val="20"/>
                <w:szCs w:val="20"/>
                <w:lang w:val="af-ZA" w:eastAsia="en-GB"/>
              </w:rPr>
              <w:t xml:space="preserve"> </w:t>
            </w:r>
            <w:r w:rsidRPr="0053423A">
              <w:rPr>
                <w:sz w:val="20"/>
                <w:szCs w:val="20"/>
                <w:lang w:val="en-GB" w:eastAsia="en-GB"/>
              </w:rPr>
              <w:t>նոր</w:t>
            </w:r>
            <w:r w:rsidRPr="0053423A">
              <w:rPr>
                <w:sz w:val="20"/>
                <w:szCs w:val="20"/>
                <w:lang w:val="af-ZA" w:eastAsia="en-GB"/>
              </w:rPr>
              <w:t xml:space="preserve"> </w:t>
            </w:r>
            <w:r w:rsidRPr="0053423A">
              <w:rPr>
                <w:sz w:val="20"/>
                <w:szCs w:val="20"/>
                <w:lang w:val="en-GB" w:eastAsia="en-GB"/>
              </w:rPr>
              <w:t>տեխնիկական</w:t>
            </w:r>
            <w:r w:rsidRPr="0053423A">
              <w:rPr>
                <w:sz w:val="20"/>
                <w:szCs w:val="20"/>
                <w:lang w:val="af-ZA" w:eastAsia="en-GB"/>
              </w:rPr>
              <w:t xml:space="preserve"> </w:t>
            </w:r>
            <w:r w:rsidRPr="0053423A">
              <w:rPr>
                <w:sz w:val="20"/>
                <w:szCs w:val="20"/>
                <w:lang w:val="en-GB" w:eastAsia="en-GB"/>
              </w:rPr>
              <w:t>առաջարկ</w:t>
            </w:r>
            <w:r w:rsidRPr="0053423A">
              <w:rPr>
                <w:sz w:val="20"/>
                <w:szCs w:val="20"/>
                <w:lang w:val="af-ZA" w:eastAsia="en-GB"/>
              </w:rPr>
              <w:t xml:space="preserve"> </w:t>
            </w:r>
            <w:r w:rsidRPr="0053423A">
              <w:rPr>
                <w:sz w:val="20"/>
                <w:szCs w:val="20"/>
                <w:lang w:val="en-GB" w:eastAsia="en-GB"/>
              </w:rPr>
              <w:t>և</w:t>
            </w:r>
            <w:r w:rsidRPr="0053423A">
              <w:rPr>
                <w:sz w:val="20"/>
                <w:szCs w:val="20"/>
                <w:lang w:val="af-ZA" w:eastAsia="en-GB"/>
              </w:rPr>
              <w:t xml:space="preserve"> </w:t>
            </w:r>
            <w:r w:rsidRPr="0053423A">
              <w:rPr>
                <w:sz w:val="20"/>
                <w:szCs w:val="20"/>
                <w:lang w:val="en-GB" w:eastAsia="en-GB"/>
              </w:rPr>
              <w:t>ծրագրի</w:t>
            </w:r>
            <w:r w:rsidRPr="0053423A">
              <w:rPr>
                <w:sz w:val="20"/>
                <w:szCs w:val="20"/>
                <w:lang w:val="af-ZA" w:eastAsia="en-GB"/>
              </w:rPr>
              <w:t xml:space="preserve"> </w:t>
            </w:r>
            <w:r w:rsidRPr="0053423A">
              <w:rPr>
                <w:sz w:val="20"/>
                <w:szCs w:val="20"/>
                <w:lang w:val="en-GB" w:eastAsia="en-GB"/>
              </w:rPr>
              <w:t>իրականացման</w:t>
            </w:r>
            <w:r w:rsidRPr="0053423A">
              <w:rPr>
                <w:sz w:val="20"/>
                <w:szCs w:val="20"/>
                <w:lang w:val="af-ZA" w:eastAsia="en-GB"/>
              </w:rPr>
              <w:t xml:space="preserve"> </w:t>
            </w:r>
            <w:r w:rsidRPr="0053423A">
              <w:rPr>
                <w:sz w:val="20"/>
                <w:szCs w:val="20"/>
                <w:lang w:val="en-GB" w:eastAsia="en-GB"/>
              </w:rPr>
              <w:t>հետ</w:t>
            </w:r>
            <w:r w:rsidRPr="0053423A">
              <w:rPr>
                <w:sz w:val="20"/>
                <w:szCs w:val="20"/>
                <w:lang w:val="af-ZA" w:eastAsia="en-GB"/>
              </w:rPr>
              <w:t xml:space="preserve"> </w:t>
            </w:r>
            <w:r w:rsidRPr="0053423A">
              <w:rPr>
                <w:sz w:val="20"/>
                <w:szCs w:val="20"/>
                <w:lang w:val="en-GB" w:eastAsia="en-GB"/>
              </w:rPr>
              <w:t>կապված</w:t>
            </w:r>
            <w:r w:rsidRPr="0053423A">
              <w:rPr>
                <w:sz w:val="20"/>
                <w:szCs w:val="20"/>
                <w:lang w:val="af-ZA" w:eastAsia="en-GB"/>
              </w:rPr>
              <w:t xml:space="preserve"> </w:t>
            </w:r>
            <w:r w:rsidRPr="0053423A">
              <w:rPr>
                <w:sz w:val="20"/>
                <w:szCs w:val="20"/>
                <w:lang w:val="en-GB" w:eastAsia="en-GB"/>
              </w:rPr>
              <w:t>խնդրի</w:t>
            </w:r>
            <w:r w:rsidRPr="0053423A">
              <w:rPr>
                <w:sz w:val="20"/>
                <w:szCs w:val="20"/>
                <w:lang w:val="af-ZA" w:eastAsia="en-GB"/>
              </w:rPr>
              <w:t xml:space="preserve"> </w:t>
            </w:r>
            <w:r w:rsidRPr="0053423A">
              <w:rPr>
                <w:sz w:val="20"/>
                <w:szCs w:val="20"/>
                <w:lang w:val="en-GB" w:eastAsia="en-GB"/>
              </w:rPr>
              <w:t>լուծման</w:t>
            </w:r>
            <w:r w:rsidRPr="0053423A">
              <w:rPr>
                <w:sz w:val="20"/>
                <w:szCs w:val="20"/>
                <w:lang w:val="af-ZA" w:eastAsia="en-GB"/>
              </w:rPr>
              <w:t xml:space="preserve"> </w:t>
            </w:r>
            <w:r w:rsidRPr="0053423A">
              <w:rPr>
                <w:sz w:val="20"/>
                <w:szCs w:val="20"/>
                <w:lang w:val="en-GB" w:eastAsia="en-GB"/>
              </w:rPr>
              <w:t>ճանապարհային</w:t>
            </w:r>
            <w:r w:rsidRPr="0053423A">
              <w:rPr>
                <w:sz w:val="20"/>
                <w:szCs w:val="20"/>
                <w:lang w:val="af-ZA" w:eastAsia="en-GB"/>
              </w:rPr>
              <w:t xml:space="preserve"> </w:t>
            </w:r>
            <w:r w:rsidRPr="0053423A">
              <w:rPr>
                <w:sz w:val="20"/>
                <w:szCs w:val="20"/>
                <w:lang w:val="en-GB" w:eastAsia="en-GB"/>
              </w:rPr>
              <w:t>քարտեզ</w:t>
            </w:r>
            <w:r w:rsidRPr="0053423A">
              <w:rPr>
                <w:sz w:val="20"/>
                <w:szCs w:val="20"/>
                <w:lang w:val="af-ZA" w:eastAsia="en-GB"/>
              </w:rPr>
              <w:t xml:space="preserve">: </w:t>
            </w:r>
            <w:r w:rsidRPr="0053423A">
              <w:rPr>
                <w:sz w:val="20"/>
                <w:szCs w:val="20"/>
                <w:lang w:val="en-GB" w:eastAsia="en-GB"/>
              </w:rPr>
              <w:t>Ծրագրի</w:t>
            </w:r>
            <w:r w:rsidRPr="0053423A">
              <w:rPr>
                <w:sz w:val="20"/>
                <w:szCs w:val="20"/>
                <w:lang w:val="af-ZA" w:eastAsia="en-GB"/>
              </w:rPr>
              <w:t xml:space="preserve"> </w:t>
            </w:r>
            <w:r w:rsidRPr="0053423A">
              <w:rPr>
                <w:sz w:val="20"/>
                <w:szCs w:val="20"/>
                <w:lang w:val="en-GB" w:eastAsia="en-GB"/>
              </w:rPr>
              <w:t>իրականացման</w:t>
            </w:r>
            <w:r w:rsidRPr="0053423A">
              <w:rPr>
                <w:sz w:val="20"/>
                <w:szCs w:val="20"/>
                <w:lang w:val="af-ZA" w:eastAsia="en-GB"/>
              </w:rPr>
              <w:t xml:space="preserve"> </w:t>
            </w:r>
            <w:r w:rsidRPr="0053423A">
              <w:rPr>
                <w:sz w:val="20"/>
                <w:szCs w:val="20"/>
                <w:lang w:val="en-GB" w:eastAsia="en-GB"/>
              </w:rPr>
              <w:t>հետ</w:t>
            </w:r>
            <w:r w:rsidRPr="0053423A">
              <w:rPr>
                <w:sz w:val="20"/>
                <w:szCs w:val="20"/>
                <w:lang w:val="af-ZA" w:eastAsia="en-GB"/>
              </w:rPr>
              <w:t xml:space="preserve"> </w:t>
            </w:r>
            <w:r w:rsidRPr="0053423A">
              <w:rPr>
                <w:sz w:val="20"/>
                <w:szCs w:val="20"/>
                <w:lang w:val="en-GB" w:eastAsia="en-GB"/>
              </w:rPr>
              <w:t>կապված</w:t>
            </w:r>
            <w:r w:rsidRPr="0053423A">
              <w:rPr>
                <w:sz w:val="20"/>
                <w:szCs w:val="20"/>
                <w:lang w:val="af-ZA" w:eastAsia="en-GB"/>
              </w:rPr>
              <w:t xml:space="preserve"> </w:t>
            </w:r>
            <w:r w:rsidRPr="0053423A">
              <w:rPr>
                <w:sz w:val="20"/>
                <w:szCs w:val="20"/>
                <w:lang w:val="en-GB" w:eastAsia="en-GB"/>
              </w:rPr>
              <w:t>խնդրի</w:t>
            </w:r>
            <w:r w:rsidRPr="0053423A">
              <w:rPr>
                <w:sz w:val="20"/>
                <w:szCs w:val="20"/>
                <w:lang w:val="af-ZA" w:eastAsia="en-GB"/>
              </w:rPr>
              <w:t xml:space="preserve"> </w:t>
            </w:r>
            <w:r w:rsidRPr="0053423A">
              <w:rPr>
                <w:sz w:val="20"/>
                <w:szCs w:val="20"/>
                <w:lang w:val="en-GB" w:eastAsia="en-GB"/>
              </w:rPr>
              <w:t>լուծման</w:t>
            </w:r>
            <w:r w:rsidRPr="0053423A">
              <w:rPr>
                <w:sz w:val="20"/>
                <w:szCs w:val="20"/>
                <w:lang w:val="af-ZA" w:eastAsia="en-GB"/>
              </w:rPr>
              <w:t xml:space="preserve"> </w:t>
            </w:r>
            <w:r w:rsidRPr="0053423A">
              <w:rPr>
                <w:sz w:val="20"/>
                <w:szCs w:val="20"/>
                <w:lang w:val="en-GB" w:eastAsia="en-GB"/>
              </w:rPr>
              <w:t>ճանապարհային</w:t>
            </w:r>
            <w:r w:rsidRPr="0053423A">
              <w:rPr>
                <w:sz w:val="20"/>
                <w:szCs w:val="20"/>
                <w:lang w:val="af-ZA" w:eastAsia="en-GB"/>
              </w:rPr>
              <w:t xml:space="preserve"> </w:t>
            </w:r>
            <w:r w:rsidRPr="0053423A">
              <w:rPr>
                <w:sz w:val="20"/>
                <w:szCs w:val="20"/>
                <w:lang w:val="en-GB" w:eastAsia="en-GB"/>
              </w:rPr>
              <w:t>քարտեզի</w:t>
            </w:r>
            <w:r w:rsidRPr="0053423A">
              <w:rPr>
                <w:sz w:val="20"/>
                <w:szCs w:val="20"/>
                <w:lang w:val="af-ZA" w:eastAsia="en-GB"/>
              </w:rPr>
              <w:t xml:space="preserve"> </w:t>
            </w:r>
            <w:r w:rsidRPr="0053423A">
              <w:rPr>
                <w:sz w:val="20"/>
                <w:szCs w:val="20"/>
                <w:lang w:val="en-GB" w:eastAsia="en-GB"/>
              </w:rPr>
              <w:t>վերաբերյալ</w:t>
            </w:r>
            <w:r w:rsidRPr="0053423A">
              <w:rPr>
                <w:sz w:val="20"/>
                <w:szCs w:val="20"/>
                <w:lang w:val="af-ZA" w:eastAsia="en-GB"/>
              </w:rPr>
              <w:t xml:space="preserve"> </w:t>
            </w:r>
            <w:r w:rsidRPr="0053423A">
              <w:rPr>
                <w:sz w:val="20"/>
                <w:szCs w:val="20"/>
                <w:lang w:val="en-GB" w:eastAsia="en-GB"/>
              </w:rPr>
              <w:t>ՀՀ</w:t>
            </w:r>
            <w:r w:rsidRPr="0053423A">
              <w:rPr>
                <w:sz w:val="20"/>
                <w:szCs w:val="20"/>
                <w:lang w:val="af-ZA" w:eastAsia="en-GB"/>
              </w:rPr>
              <w:t xml:space="preserve"> </w:t>
            </w:r>
            <w:r w:rsidRPr="0053423A">
              <w:rPr>
                <w:sz w:val="20"/>
                <w:szCs w:val="20"/>
                <w:lang w:val="en-GB" w:eastAsia="en-GB"/>
              </w:rPr>
              <w:t>ԷԵԲՊ</w:t>
            </w:r>
            <w:r w:rsidRPr="0053423A">
              <w:rPr>
                <w:sz w:val="20"/>
                <w:szCs w:val="20"/>
                <w:lang w:val="af-ZA" w:eastAsia="en-GB"/>
              </w:rPr>
              <w:t xml:space="preserve"> </w:t>
            </w:r>
            <w:r w:rsidRPr="0053423A">
              <w:rPr>
                <w:sz w:val="20"/>
                <w:szCs w:val="20"/>
                <w:lang w:val="en-GB" w:eastAsia="en-GB"/>
              </w:rPr>
              <w:t>նախարարությունում</w:t>
            </w:r>
            <w:r w:rsidRPr="0053423A">
              <w:rPr>
                <w:sz w:val="20"/>
                <w:szCs w:val="20"/>
                <w:lang w:val="af-ZA" w:eastAsia="en-GB"/>
              </w:rPr>
              <w:t xml:space="preserve"> </w:t>
            </w:r>
            <w:r w:rsidRPr="0053423A">
              <w:rPr>
                <w:sz w:val="20"/>
                <w:szCs w:val="20"/>
                <w:lang w:val="en-GB" w:eastAsia="en-GB"/>
              </w:rPr>
              <w:t>տեղի</w:t>
            </w:r>
            <w:r w:rsidRPr="0053423A">
              <w:rPr>
                <w:sz w:val="20"/>
                <w:szCs w:val="20"/>
                <w:lang w:val="af-ZA" w:eastAsia="en-GB"/>
              </w:rPr>
              <w:t xml:space="preserve"> </w:t>
            </w:r>
            <w:r w:rsidRPr="0053423A">
              <w:rPr>
                <w:sz w:val="20"/>
                <w:szCs w:val="20"/>
                <w:lang w:val="en-GB" w:eastAsia="en-GB"/>
              </w:rPr>
              <w:t>է</w:t>
            </w:r>
            <w:r w:rsidRPr="0053423A">
              <w:rPr>
                <w:sz w:val="20"/>
                <w:szCs w:val="20"/>
                <w:lang w:val="af-ZA" w:eastAsia="en-GB"/>
              </w:rPr>
              <w:t xml:space="preserve"> </w:t>
            </w:r>
            <w:r w:rsidRPr="0053423A">
              <w:rPr>
                <w:sz w:val="20"/>
                <w:szCs w:val="20"/>
                <w:lang w:val="en-GB" w:eastAsia="en-GB"/>
              </w:rPr>
              <w:t>ունեցել</w:t>
            </w:r>
            <w:r w:rsidRPr="0053423A">
              <w:rPr>
                <w:sz w:val="20"/>
                <w:szCs w:val="20"/>
                <w:lang w:val="af-ZA" w:eastAsia="en-GB"/>
              </w:rPr>
              <w:t xml:space="preserve"> </w:t>
            </w:r>
            <w:r w:rsidRPr="0053423A">
              <w:rPr>
                <w:sz w:val="20"/>
                <w:szCs w:val="20"/>
                <w:lang w:val="en-GB" w:eastAsia="en-GB"/>
              </w:rPr>
              <w:t>հանդիպում</w:t>
            </w:r>
            <w:r w:rsidRPr="0053423A">
              <w:rPr>
                <w:sz w:val="20"/>
                <w:szCs w:val="20"/>
                <w:lang w:val="af-ZA" w:eastAsia="en-GB"/>
              </w:rPr>
              <w:t xml:space="preserve"> </w:t>
            </w:r>
            <w:r w:rsidRPr="0053423A">
              <w:rPr>
                <w:sz w:val="20"/>
                <w:szCs w:val="20"/>
                <w:lang w:val="en-GB" w:eastAsia="en-GB"/>
              </w:rPr>
              <w:t>ստեղծված</w:t>
            </w:r>
            <w:r w:rsidRPr="0053423A">
              <w:rPr>
                <w:sz w:val="20"/>
                <w:szCs w:val="20"/>
                <w:lang w:val="af-ZA" w:eastAsia="en-GB"/>
              </w:rPr>
              <w:t xml:space="preserve"> </w:t>
            </w:r>
            <w:r w:rsidRPr="0053423A">
              <w:rPr>
                <w:sz w:val="20"/>
                <w:szCs w:val="20"/>
                <w:lang w:val="en-GB" w:eastAsia="en-GB"/>
              </w:rPr>
              <w:t>տեխնիկական</w:t>
            </w:r>
            <w:r w:rsidRPr="0053423A">
              <w:rPr>
                <w:sz w:val="20"/>
                <w:szCs w:val="20"/>
                <w:lang w:val="af-ZA" w:eastAsia="en-GB"/>
              </w:rPr>
              <w:t xml:space="preserve"> </w:t>
            </w:r>
            <w:r w:rsidRPr="0053423A">
              <w:rPr>
                <w:sz w:val="20"/>
                <w:szCs w:val="20"/>
                <w:lang w:val="en-GB" w:eastAsia="en-GB"/>
              </w:rPr>
              <w:t>խորհրդի</w:t>
            </w:r>
            <w:r w:rsidRPr="0053423A">
              <w:rPr>
                <w:sz w:val="20"/>
                <w:szCs w:val="20"/>
                <w:lang w:val="af-ZA" w:eastAsia="en-GB"/>
              </w:rPr>
              <w:t xml:space="preserve"> </w:t>
            </w:r>
            <w:r w:rsidRPr="0053423A">
              <w:rPr>
                <w:sz w:val="20"/>
                <w:szCs w:val="20"/>
                <w:lang w:val="en-GB" w:eastAsia="en-GB"/>
              </w:rPr>
              <w:t>անդամների</w:t>
            </w:r>
            <w:r w:rsidRPr="0053423A">
              <w:rPr>
                <w:sz w:val="20"/>
                <w:szCs w:val="20"/>
                <w:lang w:val="af-ZA" w:eastAsia="en-GB"/>
              </w:rPr>
              <w:t xml:space="preserve"> </w:t>
            </w:r>
            <w:r w:rsidRPr="0053423A">
              <w:rPr>
                <w:sz w:val="20"/>
                <w:szCs w:val="20"/>
                <w:lang w:val="en-GB" w:eastAsia="en-GB"/>
              </w:rPr>
              <w:t>և</w:t>
            </w:r>
            <w:r w:rsidRPr="0053423A">
              <w:rPr>
                <w:sz w:val="20"/>
                <w:szCs w:val="20"/>
                <w:lang w:val="af-ZA" w:eastAsia="en-GB"/>
              </w:rPr>
              <w:t xml:space="preserve"> </w:t>
            </w:r>
            <w:r w:rsidRPr="0053423A">
              <w:rPr>
                <w:sz w:val="20"/>
                <w:szCs w:val="20"/>
                <w:lang w:val="en-GB" w:eastAsia="en-GB"/>
              </w:rPr>
              <w:t>մասնագետների</w:t>
            </w:r>
            <w:r w:rsidRPr="0053423A">
              <w:rPr>
                <w:sz w:val="20"/>
                <w:szCs w:val="20"/>
                <w:lang w:val="af-ZA" w:eastAsia="en-GB"/>
              </w:rPr>
              <w:t xml:space="preserve"> </w:t>
            </w:r>
            <w:r w:rsidRPr="0053423A">
              <w:rPr>
                <w:sz w:val="20"/>
                <w:szCs w:val="20"/>
                <w:lang w:val="en-GB" w:eastAsia="en-GB"/>
              </w:rPr>
              <w:t>հետ</w:t>
            </w:r>
            <w:r w:rsidRPr="0053423A">
              <w:rPr>
                <w:sz w:val="20"/>
                <w:szCs w:val="20"/>
                <w:lang w:val="af-ZA" w:eastAsia="en-GB"/>
              </w:rPr>
              <w:t xml:space="preserve">, </w:t>
            </w:r>
            <w:r w:rsidRPr="0053423A">
              <w:rPr>
                <w:sz w:val="20"/>
                <w:szCs w:val="20"/>
                <w:lang w:val="en-GB" w:eastAsia="en-GB"/>
              </w:rPr>
              <w:t>որի</w:t>
            </w:r>
            <w:r w:rsidRPr="0053423A">
              <w:rPr>
                <w:sz w:val="20"/>
                <w:szCs w:val="20"/>
                <w:lang w:val="af-ZA" w:eastAsia="en-GB"/>
              </w:rPr>
              <w:t xml:space="preserve"> </w:t>
            </w:r>
            <w:r w:rsidRPr="0053423A">
              <w:rPr>
                <w:sz w:val="20"/>
                <w:szCs w:val="20"/>
                <w:lang w:val="en-GB" w:eastAsia="en-GB"/>
              </w:rPr>
              <w:t>արդյունքներով</w:t>
            </w:r>
            <w:r w:rsidRPr="0053423A">
              <w:rPr>
                <w:sz w:val="20"/>
                <w:szCs w:val="20"/>
                <w:lang w:val="af-ZA" w:eastAsia="en-GB"/>
              </w:rPr>
              <w:t xml:space="preserve"> </w:t>
            </w:r>
            <w:r w:rsidRPr="0053423A">
              <w:rPr>
                <w:sz w:val="20"/>
                <w:szCs w:val="20"/>
                <w:lang w:val="en-GB" w:eastAsia="en-GB"/>
              </w:rPr>
              <w:t>նպատակարհարմար</w:t>
            </w:r>
            <w:r w:rsidRPr="0053423A">
              <w:rPr>
                <w:sz w:val="20"/>
                <w:szCs w:val="20"/>
                <w:lang w:val="af-ZA" w:eastAsia="en-GB"/>
              </w:rPr>
              <w:t xml:space="preserve"> </w:t>
            </w:r>
            <w:r w:rsidRPr="0053423A">
              <w:rPr>
                <w:sz w:val="20"/>
                <w:szCs w:val="20"/>
                <w:lang w:val="en-GB" w:eastAsia="en-GB"/>
              </w:rPr>
              <w:t>է</w:t>
            </w:r>
            <w:r w:rsidRPr="0053423A">
              <w:rPr>
                <w:sz w:val="20"/>
                <w:szCs w:val="20"/>
                <w:lang w:val="af-ZA" w:eastAsia="en-GB"/>
              </w:rPr>
              <w:t xml:space="preserve"> </w:t>
            </w:r>
            <w:r w:rsidRPr="0053423A">
              <w:rPr>
                <w:sz w:val="20"/>
                <w:szCs w:val="20"/>
                <w:lang w:val="en-GB" w:eastAsia="en-GB"/>
              </w:rPr>
              <w:t>համարվել</w:t>
            </w:r>
            <w:r w:rsidRPr="0053423A">
              <w:rPr>
                <w:sz w:val="20"/>
                <w:szCs w:val="20"/>
                <w:lang w:val="af-ZA" w:eastAsia="en-GB"/>
              </w:rPr>
              <w:t xml:space="preserve"> </w:t>
            </w:r>
            <w:r w:rsidRPr="0053423A">
              <w:rPr>
                <w:sz w:val="20"/>
                <w:szCs w:val="20"/>
                <w:lang w:val="en-GB" w:eastAsia="en-GB"/>
              </w:rPr>
              <w:t>դիմել</w:t>
            </w:r>
            <w:r w:rsidRPr="0053423A">
              <w:rPr>
                <w:sz w:val="20"/>
                <w:szCs w:val="20"/>
                <w:lang w:val="af-ZA" w:eastAsia="en-GB"/>
              </w:rPr>
              <w:t xml:space="preserve"> KfW </w:t>
            </w:r>
            <w:r w:rsidRPr="0053423A">
              <w:rPr>
                <w:sz w:val="20"/>
                <w:szCs w:val="20"/>
                <w:lang w:val="en-GB" w:eastAsia="en-GB"/>
              </w:rPr>
              <w:t>բանկին</w:t>
            </w:r>
            <w:r w:rsidRPr="0053423A">
              <w:rPr>
                <w:sz w:val="20"/>
                <w:szCs w:val="20"/>
                <w:lang w:val="af-ZA" w:eastAsia="en-GB"/>
              </w:rPr>
              <w:t xml:space="preserve"> </w:t>
            </w:r>
            <w:r w:rsidRPr="0053423A">
              <w:rPr>
                <w:sz w:val="20"/>
                <w:szCs w:val="20"/>
                <w:lang w:val="en-GB" w:eastAsia="en-GB"/>
              </w:rPr>
              <w:t>Ծրագիրը</w:t>
            </w:r>
            <w:r w:rsidRPr="0053423A">
              <w:rPr>
                <w:sz w:val="20"/>
                <w:szCs w:val="20"/>
                <w:lang w:val="af-ZA" w:eastAsia="en-GB"/>
              </w:rPr>
              <w:t xml:space="preserve"> 3 </w:t>
            </w:r>
            <w:r w:rsidRPr="0053423A">
              <w:rPr>
                <w:sz w:val="20"/>
                <w:szCs w:val="20"/>
                <w:lang w:val="en-GB" w:eastAsia="en-GB"/>
              </w:rPr>
              <w:t>փուլով</w:t>
            </w:r>
            <w:r w:rsidRPr="0053423A">
              <w:rPr>
                <w:sz w:val="20"/>
                <w:szCs w:val="20"/>
                <w:lang w:val="af-ZA" w:eastAsia="en-GB"/>
              </w:rPr>
              <w:t xml:space="preserve"> </w:t>
            </w:r>
            <w:r w:rsidRPr="0053423A">
              <w:rPr>
                <w:sz w:val="20"/>
                <w:szCs w:val="20"/>
                <w:lang w:val="en-GB" w:eastAsia="en-GB"/>
              </w:rPr>
              <w:t>իրականացնելու</w:t>
            </w:r>
            <w:r w:rsidRPr="0053423A">
              <w:rPr>
                <w:sz w:val="20"/>
                <w:szCs w:val="20"/>
                <w:lang w:val="af-ZA" w:eastAsia="en-GB"/>
              </w:rPr>
              <w:t xml:space="preserve"> </w:t>
            </w:r>
            <w:r w:rsidRPr="0053423A">
              <w:rPr>
                <w:sz w:val="20"/>
                <w:szCs w:val="20"/>
                <w:lang w:val="en-GB" w:eastAsia="en-GB"/>
              </w:rPr>
              <w:t>համար</w:t>
            </w:r>
            <w:r w:rsidRPr="0053423A">
              <w:rPr>
                <w:sz w:val="20"/>
                <w:szCs w:val="20"/>
                <w:lang w:val="af-ZA" w:eastAsia="en-GB"/>
              </w:rPr>
              <w:t>:</w:t>
            </w:r>
          </w:p>
          <w:p w:rsidR="0084615D" w:rsidRPr="0053423A" w:rsidRDefault="00795500" w:rsidP="001F6D5D">
            <w:pPr>
              <w:pStyle w:val="ListParagraph"/>
              <w:numPr>
                <w:ilvl w:val="1"/>
                <w:numId w:val="271"/>
              </w:numPr>
              <w:tabs>
                <w:tab w:val="left" w:pos="1260"/>
                <w:tab w:val="left" w:pos="1350"/>
              </w:tabs>
              <w:spacing w:after="0" w:line="276" w:lineRule="auto"/>
              <w:rPr>
                <w:b/>
                <w:sz w:val="20"/>
                <w:szCs w:val="20"/>
                <w:lang w:val="en-GB" w:eastAsia="en-GB"/>
              </w:rPr>
            </w:pPr>
            <w:r w:rsidRPr="0053423A">
              <w:rPr>
                <w:b/>
                <w:sz w:val="20"/>
                <w:szCs w:val="20"/>
                <w:lang w:val="en-GB" w:eastAsia="en-GB"/>
              </w:rPr>
              <w:t>Ա</w:t>
            </w:r>
            <w:r w:rsidR="0084615D" w:rsidRPr="0053423A">
              <w:rPr>
                <w:b/>
                <w:sz w:val="20"/>
                <w:szCs w:val="20"/>
                <w:lang w:val="en-GB" w:eastAsia="en-GB"/>
              </w:rPr>
              <w:t>ռկա</w:t>
            </w:r>
            <w:r w:rsidR="0084615D" w:rsidRPr="0053423A">
              <w:rPr>
                <w:b/>
                <w:sz w:val="20"/>
                <w:szCs w:val="20"/>
                <w:lang w:val="af-ZA" w:eastAsia="en-GB"/>
              </w:rPr>
              <w:t xml:space="preserve"> </w:t>
            </w:r>
            <w:r w:rsidR="0084615D" w:rsidRPr="0053423A">
              <w:rPr>
                <w:b/>
                <w:sz w:val="20"/>
                <w:szCs w:val="20"/>
                <w:lang w:val="en-GB" w:eastAsia="en-GB"/>
              </w:rPr>
              <w:t>խնդիրների</w:t>
            </w:r>
            <w:r w:rsidR="0084615D" w:rsidRPr="0053423A">
              <w:rPr>
                <w:b/>
                <w:sz w:val="20"/>
                <w:szCs w:val="20"/>
                <w:lang w:val="af-ZA" w:eastAsia="en-GB"/>
              </w:rPr>
              <w:t xml:space="preserve"> </w:t>
            </w:r>
            <w:r w:rsidR="0084615D" w:rsidRPr="0053423A">
              <w:rPr>
                <w:b/>
                <w:sz w:val="20"/>
                <w:szCs w:val="20"/>
                <w:lang w:val="en-GB" w:eastAsia="en-GB"/>
              </w:rPr>
              <w:t>առաջարկվող</w:t>
            </w:r>
            <w:r w:rsidR="0084615D" w:rsidRPr="0053423A">
              <w:rPr>
                <w:b/>
                <w:sz w:val="20"/>
                <w:szCs w:val="20"/>
                <w:lang w:val="af-ZA" w:eastAsia="en-GB"/>
              </w:rPr>
              <w:t xml:space="preserve"> </w:t>
            </w:r>
            <w:r w:rsidR="0084615D" w:rsidRPr="0053423A">
              <w:rPr>
                <w:b/>
                <w:sz w:val="20"/>
                <w:szCs w:val="20"/>
                <w:lang w:val="en-GB" w:eastAsia="en-GB"/>
              </w:rPr>
              <w:t>լուծումները</w:t>
            </w:r>
          </w:p>
          <w:p w:rsidR="0084615D" w:rsidRPr="0053423A" w:rsidRDefault="0084615D" w:rsidP="00A67858">
            <w:pPr>
              <w:tabs>
                <w:tab w:val="left" w:pos="1260"/>
                <w:tab w:val="left" w:pos="1350"/>
              </w:tabs>
              <w:spacing w:after="0" w:line="276" w:lineRule="auto"/>
              <w:jc w:val="both"/>
              <w:rPr>
                <w:rFonts w:cs="Sylfaen"/>
                <w:sz w:val="20"/>
                <w:szCs w:val="20"/>
                <w:lang w:val="en-GB" w:eastAsia="en-GB"/>
              </w:rPr>
            </w:pPr>
            <w:r w:rsidRPr="0053423A">
              <w:rPr>
                <w:rFonts w:cs="Sylfaen"/>
                <w:sz w:val="20"/>
                <w:szCs w:val="20"/>
                <w:lang w:val="en-GB" w:eastAsia="en-GB"/>
              </w:rPr>
              <w:t>1-ին փուլով նախատեսված Դդմաշեն համայնքում կառուցվելիք 400/220 կՎ ենթակայանի փոխարեն նախատեսվում է վերակառուցել, վերազինել ՀրազՋԷԿ-ի 220 կՎ ենթակայանը: Արդյունքում չի կառուցվի 220 կՎ ԲԲՍ-ն և Ծրագրի արժեքը կնվազի: Այս փուլի մեկնարկի համար ՀՀ ԷԵԲՊ նախարարությունը բանակցում է ՀրազՋԷԿ» ԲԲԸ-ի սեփականատերերի հետ՝ նոր ենթակայանն իրենց տարածքում տեղակայելու վերաբերյալ: Բանակցությունների հաջող ավարտի դեպքում մրցութային փաթեթը կձևավորվի ՀրազՋԷԿ-ի ենթակայանի վերակառուցման համար, հակառակ դեպքում կհայտարարվի նոր մրցույթ Դդմաշեն համայնքում ենթակայան կառուցելու համար:</w:t>
            </w:r>
          </w:p>
          <w:p w:rsidR="0084615D" w:rsidRPr="0053423A" w:rsidRDefault="0084615D" w:rsidP="00A67858">
            <w:pPr>
              <w:tabs>
                <w:tab w:val="left" w:pos="1260"/>
                <w:tab w:val="left" w:pos="1350"/>
              </w:tabs>
              <w:spacing w:after="0" w:line="276" w:lineRule="auto"/>
              <w:jc w:val="both"/>
              <w:rPr>
                <w:rFonts w:cs="Sylfaen"/>
                <w:sz w:val="20"/>
                <w:szCs w:val="20"/>
                <w:lang w:val="en-GB" w:eastAsia="en-GB"/>
              </w:rPr>
            </w:pPr>
            <w:r w:rsidRPr="0053423A">
              <w:rPr>
                <w:rFonts w:cs="Sylfaen"/>
                <w:sz w:val="20"/>
                <w:szCs w:val="20"/>
                <w:lang w:val="en-GB" w:eastAsia="en-GB"/>
              </w:rPr>
              <w:t>2-րդ փուլով կնախապատրաստվի և կհայտարարվի մրցույթ ՀրազՋԷԿ-ի ենթակայանի և Այրում ենթակայանի միջև 400 կՎ երկշղթա օդային գծի կառուցման նպատակով, կամ հակառակ պարագայում Դդմաշենի և Այրումի ենթակայանների միջև 400 կՎ երկշղթա օդային գծի կառուցման նպատակով:</w:t>
            </w:r>
          </w:p>
          <w:p w:rsidR="0084615D" w:rsidRPr="0053423A" w:rsidRDefault="0084615D" w:rsidP="00A67858">
            <w:pPr>
              <w:tabs>
                <w:tab w:val="left" w:pos="1260"/>
                <w:tab w:val="left" w:pos="1350"/>
              </w:tabs>
              <w:spacing w:after="0" w:line="276" w:lineRule="auto"/>
              <w:jc w:val="both"/>
              <w:rPr>
                <w:rFonts w:cs="Sylfaen"/>
                <w:sz w:val="20"/>
                <w:szCs w:val="20"/>
                <w:lang w:val="en-GB" w:eastAsia="en-GB"/>
              </w:rPr>
            </w:pPr>
            <w:r w:rsidRPr="0053423A">
              <w:rPr>
                <w:rFonts w:cs="Sylfaen"/>
                <w:sz w:val="20"/>
                <w:szCs w:val="20"/>
                <w:lang w:val="en-GB" w:eastAsia="en-GB"/>
              </w:rPr>
              <w:t>3-րդ փուլով ավարտին հասցնել տեխնիկական հարցերի քննարկումը հաստատուն հոսանքի ներդիրի (HVDC) կառուցման անհրաժեշտության վերաբերյալ: Ըստ ձևավորված արդյունքների, եթե կհաստատվի դրա կառուցման նպատակահարմարությունը, ապա կնախապատրաստվի և կհայտարարվի մրցույթ:</w:t>
            </w:r>
          </w:p>
          <w:p w:rsidR="0084615D" w:rsidRPr="0053423A" w:rsidRDefault="0084615D" w:rsidP="001F6D5D">
            <w:pPr>
              <w:pStyle w:val="ListParagraph"/>
              <w:numPr>
                <w:ilvl w:val="0"/>
                <w:numId w:val="271"/>
              </w:numPr>
              <w:tabs>
                <w:tab w:val="left" w:pos="900"/>
              </w:tabs>
              <w:spacing w:after="0" w:line="276" w:lineRule="auto"/>
              <w:ind w:firstLine="360"/>
              <w:rPr>
                <w:b/>
                <w:sz w:val="20"/>
                <w:szCs w:val="20"/>
                <w:lang w:val="af-ZA" w:eastAsia="en-GB"/>
              </w:rPr>
            </w:pPr>
            <w:r w:rsidRPr="0053423A">
              <w:rPr>
                <w:rFonts w:cs="GHEA Grapalat"/>
                <w:b/>
                <w:sz w:val="20"/>
                <w:szCs w:val="20"/>
                <w:lang w:val="af-ZA" w:eastAsia="en-GB"/>
              </w:rPr>
              <w:t xml:space="preserve"> </w:t>
            </w:r>
            <w:r w:rsidRPr="0053423A">
              <w:rPr>
                <w:b/>
                <w:sz w:val="20"/>
                <w:szCs w:val="20"/>
                <w:lang w:val="en-GB" w:eastAsia="en-GB"/>
              </w:rPr>
              <w:t>Միջոցառման</w:t>
            </w:r>
            <w:r w:rsidRPr="0053423A">
              <w:rPr>
                <w:b/>
                <w:sz w:val="20"/>
                <w:szCs w:val="20"/>
                <w:lang w:val="af-ZA" w:eastAsia="en-GB"/>
              </w:rPr>
              <w:t xml:space="preserve"> </w:t>
            </w:r>
            <w:r w:rsidRPr="0053423A">
              <w:rPr>
                <w:b/>
                <w:sz w:val="20"/>
                <w:szCs w:val="20"/>
                <w:lang w:val="en-GB" w:eastAsia="en-GB"/>
              </w:rPr>
              <w:t>իրականացումից</w:t>
            </w:r>
            <w:r w:rsidRPr="0053423A">
              <w:rPr>
                <w:b/>
                <w:sz w:val="20"/>
                <w:szCs w:val="20"/>
                <w:lang w:val="af-ZA" w:eastAsia="en-GB"/>
              </w:rPr>
              <w:t xml:space="preserve"> </w:t>
            </w:r>
            <w:r w:rsidRPr="0053423A">
              <w:rPr>
                <w:b/>
                <w:sz w:val="20"/>
                <w:szCs w:val="20"/>
                <w:lang w:val="en-GB" w:eastAsia="en-GB"/>
              </w:rPr>
              <w:t>ակնկալվող</w:t>
            </w:r>
            <w:r w:rsidRPr="0053423A">
              <w:rPr>
                <w:b/>
                <w:sz w:val="20"/>
                <w:szCs w:val="20"/>
                <w:lang w:val="af-ZA" w:eastAsia="en-GB"/>
              </w:rPr>
              <w:t xml:space="preserve"> </w:t>
            </w:r>
            <w:r w:rsidRPr="0053423A">
              <w:rPr>
                <w:b/>
                <w:sz w:val="20"/>
                <w:szCs w:val="20"/>
                <w:lang w:val="en-GB" w:eastAsia="en-GB"/>
              </w:rPr>
              <w:t>արդյունքը</w:t>
            </w:r>
          </w:p>
          <w:p w:rsidR="0084615D" w:rsidRPr="0053423A" w:rsidRDefault="0084615D" w:rsidP="00A67858">
            <w:pPr>
              <w:pStyle w:val="ListParagraph"/>
              <w:tabs>
                <w:tab w:val="left" w:pos="180"/>
              </w:tabs>
              <w:spacing w:after="0" w:line="276" w:lineRule="auto"/>
              <w:ind w:left="0"/>
              <w:jc w:val="both"/>
              <w:rPr>
                <w:b/>
                <w:sz w:val="20"/>
                <w:szCs w:val="20"/>
                <w:lang w:val="af-ZA"/>
              </w:rPr>
            </w:pPr>
            <w:r w:rsidRPr="0053423A">
              <w:rPr>
                <w:sz w:val="20"/>
                <w:szCs w:val="20"/>
                <w:lang w:val="en-GB" w:eastAsia="en-GB"/>
              </w:rPr>
              <w:t>Նոր</w:t>
            </w:r>
            <w:r w:rsidRPr="0053423A">
              <w:rPr>
                <w:sz w:val="20"/>
                <w:szCs w:val="20"/>
                <w:lang w:val="af-ZA" w:eastAsia="en-GB"/>
              </w:rPr>
              <w:t xml:space="preserve"> </w:t>
            </w:r>
            <w:r w:rsidRPr="0053423A">
              <w:rPr>
                <w:sz w:val="20"/>
                <w:szCs w:val="20"/>
                <w:lang w:val="en-GB" w:eastAsia="en-GB"/>
              </w:rPr>
              <w:t>էլեկտրահաղորդման</w:t>
            </w:r>
            <w:r w:rsidRPr="0053423A">
              <w:rPr>
                <w:sz w:val="20"/>
                <w:szCs w:val="20"/>
                <w:lang w:val="af-ZA" w:eastAsia="en-GB"/>
              </w:rPr>
              <w:t xml:space="preserve"> </w:t>
            </w:r>
            <w:r w:rsidRPr="0053423A">
              <w:rPr>
                <w:sz w:val="20"/>
                <w:szCs w:val="20"/>
                <w:lang w:val="en-GB" w:eastAsia="en-GB"/>
              </w:rPr>
              <w:t>գծերի</w:t>
            </w:r>
            <w:r w:rsidRPr="0053423A">
              <w:rPr>
                <w:sz w:val="20"/>
                <w:szCs w:val="20"/>
                <w:lang w:val="af-ZA" w:eastAsia="en-GB"/>
              </w:rPr>
              <w:t xml:space="preserve"> </w:t>
            </w:r>
            <w:r w:rsidRPr="0053423A">
              <w:rPr>
                <w:sz w:val="20"/>
                <w:szCs w:val="20"/>
                <w:lang w:val="en-GB" w:eastAsia="en-GB"/>
              </w:rPr>
              <w:t>կառուցմամբ</w:t>
            </w:r>
            <w:r w:rsidRPr="0053423A">
              <w:rPr>
                <w:sz w:val="20"/>
                <w:szCs w:val="20"/>
                <w:lang w:val="af-ZA" w:eastAsia="en-GB"/>
              </w:rPr>
              <w:t xml:space="preserve"> </w:t>
            </w:r>
            <w:r w:rsidRPr="0053423A">
              <w:rPr>
                <w:sz w:val="20"/>
                <w:szCs w:val="20"/>
                <w:lang w:val="en-GB" w:eastAsia="en-GB"/>
              </w:rPr>
              <w:t>նկատելիորեն</w:t>
            </w:r>
            <w:r w:rsidRPr="0053423A">
              <w:rPr>
                <w:sz w:val="20"/>
                <w:szCs w:val="20"/>
                <w:lang w:val="af-ZA" w:eastAsia="en-GB"/>
              </w:rPr>
              <w:t xml:space="preserve"> </w:t>
            </w:r>
            <w:r w:rsidRPr="0053423A">
              <w:rPr>
                <w:sz w:val="20"/>
                <w:szCs w:val="20"/>
                <w:lang w:val="en-GB" w:eastAsia="en-GB"/>
              </w:rPr>
              <w:t>կբարելավվի</w:t>
            </w:r>
            <w:r w:rsidRPr="0053423A">
              <w:rPr>
                <w:sz w:val="20"/>
                <w:szCs w:val="20"/>
                <w:lang w:val="af-ZA" w:eastAsia="en-GB"/>
              </w:rPr>
              <w:t xml:space="preserve"> </w:t>
            </w:r>
            <w:r w:rsidRPr="0053423A">
              <w:rPr>
                <w:sz w:val="20"/>
                <w:szCs w:val="20"/>
                <w:lang w:val="en-GB" w:eastAsia="en-GB"/>
              </w:rPr>
              <w:t>ծառայության</w:t>
            </w:r>
            <w:r w:rsidRPr="0053423A">
              <w:rPr>
                <w:sz w:val="20"/>
                <w:szCs w:val="20"/>
                <w:lang w:val="af-ZA" w:eastAsia="en-GB"/>
              </w:rPr>
              <w:t xml:space="preserve"> </w:t>
            </w:r>
            <w:r w:rsidRPr="0053423A">
              <w:rPr>
                <w:sz w:val="20"/>
                <w:szCs w:val="20"/>
                <w:lang w:val="en-GB" w:eastAsia="en-GB"/>
              </w:rPr>
              <w:t>որակը</w:t>
            </w:r>
            <w:r w:rsidRPr="0053423A">
              <w:rPr>
                <w:sz w:val="20"/>
                <w:szCs w:val="20"/>
                <w:lang w:val="af-ZA" w:eastAsia="en-GB"/>
              </w:rPr>
              <w:t xml:space="preserve">, </w:t>
            </w:r>
            <w:r w:rsidRPr="0053423A">
              <w:rPr>
                <w:sz w:val="20"/>
                <w:szCs w:val="20"/>
                <w:lang w:val="en-GB" w:eastAsia="en-GB"/>
              </w:rPr>
              <w:t>զգալիորեն</w:t>
            </w:r>
            <w:r w:rsidRPr="0053423A">
              <w:rPr>
                <w:sz w:val="20"/>
                <w:szCs w:val="20"/>
                <w:lang w:val="af-ZA" w:eastAsia="en-GB"/>
              </w:rPr>
              <w:t xml:space="preserve"> </w:t>
            </w:r>
            <w:r w:rsidRPr="0053423A">
              <w:rPr>
                <w:sz w:val="20"/>
                <w:szCs w:val="20"/>
                <w:lang w:val="en-GB" w:eastAsia="en-GB"/>
              </w:rPr>
              <w:t>կխթանվի</w:t>
            </w:r>
            <w:r w:rsidRPr="0053423A">
              <w:rPr>
                <w:sz w:val="20"/>
                <w:szCs w:val="20"/>
                <w:lang w:val="af-ZA" w:eastAsia="en-GB"/>
              </w:rPr>
              <w:t xml:space="preserve"> </w:t>
            </w:r>
            <w:r w:rsidRPr="0053423A">
              <w:rPr>
                <w:sz w:val="20"/>
                <w:szCs w:val="20"/>
                <w:lang w:val="en-GB" w:eastAsia="en-GB"/>
              </w:rPr>
              <w:t>էներգետիկայի</w:t>
            </w:r>
            <w:r w:rsidRPr="0053423A">
              <w:rPr>
                <w:sz w:val="20"/>
                <w:szCs w:val="20"/>
                <w:lang w:val="af-ZA" w:eastAsia="en-GB"/>
              </w:rPr>
              <w:t xml:space="preserve"> </w:t>
            </w:r>
            <w:r w:rsidRPr="0053423A">
              <w:rPr>
                <w:sz w:val="20"/>
                <w:szCs w:val="20"/>
                <w:lang w:val="en-GB" w:eastAsia="en-GB"/>
              </w:rPr>
              <w:t>բնագավառում</w:t>
            </w:r>
            <w:r w:rsidRPr="0053423A">
              <w:rPr>
                <w:sz w:val="20"/>
                <w:szCs w:val="20"/>
                <w:lang w:val="af-ZA" w:eastAsia="en-GB"/>
              </w:rPr>
              <w:t xml:space="preserve"> </w:t>
            </w:r>
            <w:r w:rsidRPr="0053423A">
              <w:rPr>
                <w:sz w:val="20"/>
                <w:szCs w:val="20"/>
                <w:lang w:val="en-GB" w:eastAsia="en-GB"/>
              </w:rPr>
              <w:t>տարածաշրջանային</w:t>
            </w:r>
            <w:r w:rsidRPr="0053423A">
              <w:rPr>
                <w:sz w:val="20"/>
                <w:szCs w:val="20"/>
                <w:lang w:val="af-ZA" w:eastAsia="en-GB"/>
              </w:rPr>
              <w:t xml:space="preserve"> </w:t>
            </w:r>
            <w:r w:rsidRPr="0053423A">
              <w:rPr>
                <w:sz w:val="20"/>
                <w:szCs w:val="20"/>
                <w:lang w:val="en-GB" w:eastAsia="en-GB"/>
              </w:rPr>
              <w:t>փոխշահավետ</w:t>
            </w:r>
            <w:r w:rsidRPr="0053423A">
              <w:rPr>
                <w:sz w:val="20"/>
                <w:szCs w:val="20"/>
                <w:lang w:val="af-ZA" w:eastAsia="en-GB"/>
              </w:rPr>
              <w:t xml:space="preserve"> </w:t>
            </w:r>
            <w:r w:rsidRPr="0053423A">
              <w:rPr>
                <w:sz w:val="20"/>
                <w:szCs w:val="20"/>
                <w:lang w:val="en-GB" w:eastAsia="en-GB"/>
              </w:rPr>
              <w:t>համագործակցության</w:t>
            </w:r>
            <w:r w:rsidRPr="0053423A">
              <w:rPr>
                <w:sz w:val="20"/>
                <w:szCs w:val="20"/>
                <w:lang w:val="af-ZA" w:eastAsia="en-GB"/>
              </w:rPr>
              <w:t xml:space="preserve"> </w:t>
            </w:r>
            <w:r w:rsidRPr="0053423A">
              <w:rPr>
                <w:sz w:val="20"/>
                <w:szCs w:val="20"/>
                <w:lang w:val="en-GB" w:eastAsia="en-GB"/>
              </w:rPr>
              <w:t>զարգացումը</w:t>
            </w:r>
            <w:r w:rsidRPr="0053423A">
              <w:rPr>
                <w:sz w:val="20"/>
                <w:szCs w:val="20"/>
                <w:lang w:val="af-ZA" w:eastAsia="en-GB"/>
              </w:rPr>
              <w:t xml:space="preserve">, </w:t>
            </w:r>
            <w:r w:rsidRPr="0053423A">
              <w:rPr>
                <w:sz w:val="20"/>
                <w:szCs w:val="20"/>
                <w:lang w:val="en-GB" w:eastAsia="en-GB"/>
              </w:rPr>
              <w:t>ինչպես</w:t>
            </w:r>
            <w:r w:rsidRPr="0053423A">
              <w:rPr>
                <w:sz w:val="20"/>
                <w:szCs w:val="20"/>
                <w:lang w:val="af-ZA" w:eastAsia="en-GB"/>
              </w:rPr>
              <w:t xml:space="preserve"> </w:t>
            </w:r>
            <w:r w:rsidRPr="0053423A">
              <w:rPr>
                <w:sz w:val="20"/>
                <w:szCs w:val="20"/>
                <w:lang w:val="en-GB" w:eastAsia="en-GB"/>
              </w:rPr>
              <w:t>նաև</w:t>
            </w:r>
            <w:r w:rsidRPr="0053423A">
              <w:rPr>
                <w:sz w:val="20"/>
                <w:szCs w:val="20"/>
                <w:lang w:val="af-ZA" w:eastAsia="en-GB"/>
              </w:rPr>
              <w:t xml:space="preserve"> </w:t>
            </w:r>
            <w:r w:rsidRPr="0053423A">
              <w:rPr>
                <w:sz w:val="20"/>
                <w:szCs w:val="20"/>
                <w:lang w:val="en-GB" w:eastAsia="en-GB"/>
              </w:rPr>
              <w:t>կստեղծվի</w:t>
            </w:r>
            <w:r w:rsidRPr="0053423A">
              <w:rPr>
                <w:sz w:val="20"/>
                <w:szCs w:val="20"/>
                <w:lang w:val="af-ZA" w:eastAsia="en-GB"/>
              </w:rPr>
              <w:t xml:space="preserve"> </w:t>
            </w:r>
            <w:r w:rsidRPr="0053423A">
              <w:rPr>
                <w:sz w:val="20"/>
                <w:szCs w:val="20"/>
                <w:lang w:val="en-GB" w:eastAsia="en-GB"/>
              </w:rPr>
              <w:t>նախապայման</w:t>
            </w:r>
            <w:r w:rsidRPr="0053423A">
              <w:rPr>
                <w:sz w:val="20"/>
                <w:szCs w:val="20"/>
                <w:lang w:val="af-ZA" w:eastAsia="en-GB"/>
              </w:rPr>
              <w:t xml:space="preserve">` </w:t>
            </w:r>
            <w:r w:rsidRPr="0053423A">
              <w:rPr>
                <w:sz w:val="20"/>
                <w:szCs w:val="20"/>
                <w:lang w:val="en-GB" w:eastAsia="en-GB"/>
              </w:rPr>
              <w:t>ԱՊՀ</w:t>
            </w:r>
            <w:r w:rsidRPr="0053423A">
              <w:rPr>
                <w:sz w:val="20"/>
                <w:szCs w:val="20"/>
                <w:lang w:val="af-ZA" w:eastAsia="en-GB"/>
              </w:rPr>
              <w:t xml:space="preserve"> </w:t>
            </w:r>
            <w:r w:rsidRPr="0053423A">
              <w:rPr>
                <w:sz w:val="20"/>
                <w:szCs w:val="20"/>
                <w:lang w:val="en-GB" w:eastAsia="en-GB"/>
              </w:rPr>
              <w:t>երկրների</w:t>
            </w:r>
            <w:r w:rsidRPr="0053423A">
              <w:rPr>
                <w:sz w:val="20"/>
                <w:szCs w:val="20"/>
                <w:lang w:val="af-ZA" w:eastAsia="en-GB"/>
              </w:rPr>
              <w:t xml:space="preserve"> </w:t>
            </w:r>
            <w:r w:rsidRPr="0053423A">
              <w:rPr>
                <w:sz w:val="20"/>
                <w:szCs w:val="20"/>
                <w:lang w:val="en-GB" w:eastAsia="en-GB"/>
              </w:rPr>
              <w:t>էլեկտրաէներգետիկ</w:t>
            </w:r>
            <w:r w:rsidRPr="0053423A">
              <w:rPr>
                <w:sz w:val="20"/>
                <w:szCs w:val="20"/>
                <w:lang w:val="af-ZA" w:eastAsia="en-GB"/>
              </w:rPr>
              <w:t xml:space="preserve"> </w:t>
            </w:r>
            <w:r w:rsidRPr="0053423A">
              <w:rPr>
                <w:sz w:val="20"/>
                <w:szCs w:val="20"/>
                <w:lang w:val="en-GB" w:eastAsia="en-GB"/>
              </w:rPr>
              <w:t>համակարգի</w:t>
            </w:r>
            <w:r w:rsidRPr="0053423A">
              <w:rPr>
                <w:sz w:val="20"/>
                <w:szCs w:val="20"/>
                <w:lang w:val="af-ZA" w:eastAsia="en-GB"/>
              </w:rPr>
              <w:t xml:space="preserve"> </w:t>
            </w:r>
            <w:r w:rsidRPr="0053423A">
              <w:rPr>
                <w:sz w:val="20"/>
                <w:szCs w:val="20"/>
                <w:lang w:val="en-GB" w:eastAsia="en-GB"/>
              </w:rPr>
              <w:t>հետ</w:t>
            </w:r>
            <w:r w:rsidRPr="0053423A">
              <w:rPr>
                <w:sz w:val="20"/>
                <w:szCs w:val="20"/>
                <w:lang w:val="af-ZA" w:eastAsia="en-GB"/>
              </w:rPr>
              <w:t xml:space="preserve"> </w:t>
            </w:r>
            <w:r w:rsidRPr="0053423A">
              <w:rPr>
                <w:sz w:val="20"/>
                <w:szCs w:val="20"/>
                <w:lang w:val="en-GB" w:eastAsia="en-GB"/>
              </w:rPr>
              <w:t>զուգահեռ</w:t>
            </w:r>
            <w:r w:rsidRPr="0053423A">
              <w:rPr>
                <w:sz w:val="20"/>
                <w:szCs w:val="20"/>
                <w:lang w:val="af-ZA" w:eastAsia="en-GB"/>
              </w:rPr>
              <w:t xml:space="preserve"> </w:t>
            </w:r>
            <w:r w:rsidRPr="0053423A">
              <w:rPr>
                <w:sz w:val="20"/>
                <w:szCs w:val="20"/>
                <w:lang w:val="en-GB" w:eastAsia="en-GB"/>
              </w:rPr>
              <w:t>աշխատանք</w:t>
            </w:r>
            <w:r w:rsidRPr="0053423A">
              <w:rPr>
                <w:sz w:val="20"/>
                <w:szCs w:val="20"/>
                <w:lang w:val="af-ZA" w:eastAsia="en-GB"/>
              </w:rPr>
              <w:t xml:space="preserve"> </w:t>
            </w:r>
            <w:r w:rsidRPr="0053423A">
              <w:rPr>
                <w:sz w:val="20"/>
                <w:szCs w:val="20"/>
                <w:lang w:val="en-GB" w:eastAsia="en-GB"/>
              </w:rPr>
              <w:t>կազմակերպելու</w:t>
            </w:r>
            <w:r w:rsidRPr="0053423A">
              <w:rPr>
                <w:sz w:val="20"/>
                <w:szCs w:val="20"/>
                <w:lang w:val="af-ZA" w:eastAsia="en-GB"/>
              </w:rPr>
              <w:t xml:space="preserve"> </w:t>
            </w:r>
            <w:r w:rsidRPr="0053423A">
              <w:rPr>
                <w:sz w:val="20"/>
                <w:szCs w:val="20"/>
                <w:lang w:val="en-GB" w:eastAsia="en-GB"/>
              </w:rPr>
              <w:t>համար</w:t>
            </w:r>
            <w:r w:rsidRPr="0053423A">
              <w:rPr>
                <w:sz w:val="20"/>
                <w:szCs w:val="20"/>
                <w:lang w:val="af-ZA" w:eastAsia="en-GB"/>
              </w:rPr>
              <w:t xml:space="preserve">: </w:t>
            </w:r>
            <w:r w:rsidRPr="0053423A">
              <w:rPr>
                <w:sz w:val="20"/>
                <w:szCs w:val="20"/>
                <w:lang w:val="en-GB" w:eastAsia="en-GB"/>
              </w:rPr>
              <w:t>Առաջին</w:t>
            </w:r>
            <w:r w:rsidRPr="0053423A">
              <w:rPr>
                <w:sz w:val="20"/>
                <w:szCs w:val="20"/>
                <w:lang w:val="af-ZA" w:eastAsia="en-GB"/>
              </w:rPr>
              <w:t xml:space="preserve"> </w:t>
            </w:r>
            <w:r w:rsidRPr="0053423A">
              <w:rPr>
                <w:sz w:val="20"/>
                <w:szCs w:val="20"/>
                <w:lang w:val="en-GB" w:eastAsia="en-GB"/>
              </w:rPr>
              <w:t>փուլի</w:t>
            </w:r>
            <w:r w:rsidRPr="0053423A">
              <w:rPr>
                <w:sz w:val="20"/>
                <w:szCs w:val="20"/>
                <w:lang w:val="af-ZA" w:eastAsia="en-GB"/>
              </w:rPr>
              <w:t xml:space="preserve"> </w:t>
            </w:r>
            <w:r w:rsidRPr="0053423A">
              <w:rPr>
                <w:sz w:val="20"/>
                <w:szCs w:val="20"/>
                <w:lang w:val="en-GB" w:eastAsia="en-GB"/>
              </w:rPr>
              <w:t>արդյունքում</w:t>
            </w:r>
            <w:r w:rsidRPr="0053423A">
              <w:rPr>
                <w:sz w:val="20"/>
                <w:szCs w:val="20"/>
                <w:lang w:val="af-ZA" w:eastAsia="en-GB"/>
              </w:rPr>
              <w:t xml:space="preserve">` </w:t>
            </w:r>
            <w:r w:rsidRPr="0053423A">
              <w:rPr>
                <w:sz w:val="20"/>
                <w:szCs w:val="20"/>
                <w:lang w:val="en-GB" w:eastAsia="en-GB"/>
              </w:rPr>
              <w:t>Հայաստան</w:t>
            </w:r>
            <w:r w:rsidRPr="0053423A">
              <w:rPr>
                <w:sz w:val="20"/>
                <w:szCs w:val="20"/>
                <w:lang w:val="af-ZA" w:eastAsia="en-GB"/>
              </w:rPr>
              <w:t>-</w:t>
            </w:r>
            <w:r w:rsidRPr="0053423A">
              <w:rPr>
                <w:sz w:val="20"/>
                <w:szCs w:val="20"/>
                <w:lang w:val="en-GB" w:eastAsia="en-GB"/>
              </w:rPr>
              <w:t>Վրաստան</w:t>
            </w:r>
            <w:r w:rsidRPr="0053423A">
              <w:rPr>
                <w:sz w:val="20"/>
                <w:szCs w:val="20"/>
                <w:lang w:val="af-ZA" w:eastAsia="en-GB"/>
              </w:rPr>
              <w:t xml:space="preserve"> </w:t>
            </w:r>
            <w:r w:rsidRPr="0053423A">
              <w:rPr>
                <w:sz w:val="20"/>
                <w:szCs w:val="20"/>
                <w:lang w:val="en-GB" w:eastAsia="en-GB"/>
              </w:rPr>
              <w:t>էլեկտրաէներգիայի</w:t>
            </w:r>
            <w:r w:rsidRPr="0053423A">
              <w:rPr>
                <w:sz w:val="20"/>
                <w:szCs w:val="20"/>
                <w:lang w:val="af-ZA" w:eastAsia="en-GB"/>
              </w:rPr>
              <w:t xml:space="preserve"> </w:t>
            </w:r>
            <w:r w:rsidRPr="0053423A">
              <w:rPr>
                <w:sz w:val="20"/>
                <w:szCs w:val="20"/>
                <w:lang w:val="en-GB" w:eastAsia="en-GB"/>
              </w:rPr>
              <w:t>փոխանակման</w:t>
            </w:r>
            <w:r w:rsidRPr="0053423A">
              <w:rPr>
                <w:sz w:val="20"/>
                <w:szCs w:val="20"/>
                <w:lang w:val="af-ZA" w:eastAsia="en-GB"/>
              </w:rPr>
              <w:t xml:space="preserve"> </w:t>
            </w:r>
            <w:r w:rsidRPr="0053423A">
              <w:rPr>
                <w:sz w:val="20"/>
                <w:szCs w:val="20"/>
                <w:lang w:val="en-GB" w:eastAsia="en-GB"/>
              </w:rPr>
              <w:t>հզորությունը</w:t>
            </w:r>
            <w:r w:rsidRPr="0053423A">
              <w:rPr>
                <w:sz w:val="20"/>
                <w:szCs w:val="20"/>
                <w:lang w:val="af-ZA" w:eastAsia="en-GB"/>
              </w:rPr>
              <w:t xml:space="preserve"> </w:t>
            </w:r>
            <w:r w:rsidRPr="0053423A">
              <w:rPr>
                <w:sz w:val="20"/>
                <w:szCs w:val="20"/>
                <w:lang w:val="en-GB" w:eastAsia="en-GB"/>
              </w:rPr>
              <w:t>ներկայիս</w:t>
            </w:r>
            <w:r w:rsidRPr="0053423A">
              <w:rPr>
                <w:sz w:val="20"/>
                <w:szCs w:val="20"/>
                <w:lang w:val="af-ZA" w:eastAsia="en-GB"/>
              </w:rPr>
              <w:t xml:space="preserve"> 200 </w:t>
            </w:r>
            <w:r w:rsidRPr="0053423A">
              <w:rPr>
                <w:sz w:val="20"/>
                <w:szCs w:val="20"/>
                <w:lang w:val="en-GB" w:eastAsia="en-GB"/>
              </w:rPr>
              <w:t>ՄՎտ</w:t>
            </w:r>
            <w:r w:rsidRPr="0053423A">
              <w:rPr>
                <w:sz w:val="20"/>
                <w:szCs w:val="20"/>
                <w:lang w:val="af-ZA" w:eastAsia="en-GB"/>
              </w:rPr>
              <w:t>-</w:t>
            </w:r>
            <w:r w:rsidRPr="0053423A">
              <w:rPr>
                <w:sz w:val="20"/>
                <w:szCs w:val="20"/>
                <w:lang w:val="en-GB" w:eastAsia="en-GB"/>
              </w:rPr>
              <w:t>ից</w:t>
            </w:r>
            <w:r w:rsidRPr="0053423A">
              <w:rPr>
                <w:sz w:val="20"/>
                <w:szCs w:val="20"/>
                <w:lang w:val="af-ZA" w:eastAsia="en-GB"/>
              </w:rPr>
              <w:t xml:space="preserve"> </w:t>
            </w:r>
            <w:r w:rsidRPr="0053423A">
              <w:rPr>
                <w:sz w:val="20"/>
                <w:szCs w:val="20"/>
                <w:lang w:val="en-GB" w:eastAsia="en-GB"/>
              </w:rPr>
              <w:t>կհասցվի</w:t>
            </w:r>
            <w:r w:rsidRPr="0053423A">
              <w:rPr>
                <w:sz w:val="20"/>
                <w:szCs w:val="20"/>
                <w:lang w:val="af-ZA" w:eastAsia="en-GB"/>
              </w:rPr>
              <w:t xml:space="preserve"> 350 </w:t>
            </w:r>
            <w:r w:rsidRPr="0053423A">
              <w:rPr>
                <w:sz w:val="20"/>
                <w:szCs w:val="20"/>
                <w:lang w:val="en-GB" w:eastAsia="en-GB"/>
              </w:rPr>
              <w:t>ՄՎտ</w:t>
            </w:r>
            <w:r w:rsidRPr="0053423A">
              <w:rPr>
                <w:sz w:val="20"/>
                <w:szCs w:val="20"/>
                <w:lang w:val="af-ZA" w:eastAsia="en-GB"/>
              </w:rPr>
              <w:t>-</w:t>
            </w:r>
            <w:r w:rsidRPr="0053423A">
              <w:rPr>
                <w:sz w:val="20"/>
                <w:szCs w:val="20"/>
                <w:lang w:val="en-GB" w:eastAsia="en-GB"/>
              </w:rPr>
              <w:t>ի</w:t>
            </w:r>
            <w:r w:rsidRPr="0053423A">
              <w:rPr>
                <w:sz w:val="20"/>
                <w:szCs w:val="20"/>
                <w:lang w:val="af-ZA" w:eastAsia="en-GB"/>
              </w:rPr>
              <w:t>:</w:t>
            </w:r>
          </w:p>
          <w:p w:rsidR="0084615D" w:rsidRPr="0053423A" w:rsidRDefault="0084615D" w:rsidP="00A67858">
            <w:pPr>
              <w:spacing w:after="0" w:line="276" w:lineRule="auto"/>
              <w:jc w:val="center"/>
              <w:rPr>
                <w:rFonts w:eastAsia="Times New Roman"/>
                <w:b/>
                <w:bCs/>
                <w:sz w:val="20"/>
                <w:szCs w:val="20"/>
                <w:lang w:val="af-ZA"/>
              </w:rPr>
            </w:pP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6</w:t>
            </w:r>
          </w:p>
        </w:tc>
        <w:tc>
          <w:tcPr>
            <w:tcW w:w="10879" w:type="dxa"/>
            <w:shd w:val="clear" w:color="auto" w:fill="auto"/>
          </w:tcPr>
          <w:p w:rsidR="0084615D" w:rsidRPr="0053423A" w:rsidRDefault="0084615D" w:rsidP="00A67858">
            <w:pPr>
              <w:spacing w:after="0" w:line="276" w:lineRule="auto"/>
              <w:jc w:val="center"/>
              <w:rPr>
                <w:rFonts w:cs="GHEA Grapalat"/>
                <w:b/>
                <w:sz w:val="20"/>
                <w:szCs w:val="20"/>
                <w:lang w:val="hy-AM"/>
              </w:rPr>
            </w:pPr>
            <w:r w:rsidRPr="0053423A">
              <w:rPr>
                <w:rFonts w:cs="GHEA Grapalat"/>
                <w:b/>
                <w:sz w:val="20"/>
                <w:szCs w:val="20"/>
                <w:lang w:val="hy-AM"/>
              </w:rPr>
              <w:t>Վերականգնվող</w:t>
            </w:r>
            <w:r w:rsidRPr="0053423A">
              <w:rPr>
                <w:b/>
                <w:sz w:val="20"/>
                <w:szCs w:val="20"/>
                <w:lang w:val="hy-AM"/>
              </w:rPr>
              <w:t xml:space="preserve"> </w:t>
            </w:r>
            <w:r w:rsidRPr="0053423A">
              <w:rPr>
                <w:rFonts w:cs="GHEA Grapalat"/>
                <w:b/>
                <w:sz w:val="20"/>
                <w:szCs w:val="20"/>
                <w:lang w:val="hy-AM"/>
              </w:rPr>
              <w:t>էներգիայի աղբյուրների արդյունավետ օգտագործում և զարգացման խթանում</w:t>
            </w:r>
          </w:p>
          <w:p w:rsidR="0084615D" w:rsidRPr="0053423A" w:rsidRDefault="0084615D" w:rsidP="00A67858">
            <w:pPr>
              <w:tabs>
                <w:tab w:val="left" w:pos="1170"/>
              </w:tabs>
              <w:spacing w:after="0" w:line="276" w:lineRule="auto"/>
              <w:jc w:val="center"/>
              <w:rPr>
                <w:b/>
                <w:i/>
                <w:sz w:val="20"/>
                <w:szCs w:val="20"/>
                <w:u w:val="single"/>
                <w:lang w:val="af-ZA"/>
              </w:rPr>
            </w:pPr>
          </w:p>
          <w:p w:rsidR="0084615D" w:rsidRPr="0053423A" w:rsidRDefault="00795500" w:rsidP="00A67858">
            <w:pPr>
              <w:tabs>
                <w:tab w:val="left" w:pos="1170"/>
              </w:tabs>
              <w:spacing w:after="0" w:line="276" w:lineRule="auto"/>
              <w:jc w:val="center"/>
              <w:rPr>
                <w:b/>
                <w:sz w:val="20"/>
                <w:szCs w:val="20"/>
                <w:u w:val="single"/>
                <w:lang w:val="af-ZA"/>
              </w:rPr>
            </w:pPr>
            <w:r w:rsidRPr="0053423A">
              <w:rPr>
                <w:b/>
                <w:sz w:val="20"/>
                <w:szCs w:val="20"/>
                <w:u w:val="single"/>
                <w:lang w:val="af-ZA"/>
              </w:rPr>
              <w:t>6.1</w:t>
            </w:r>
            <w:r w:rsidR="0084615D" w:rsidRPr="0053423A">
              <w:rPr>
                <w:b/>
                <w:sz w:val="20"/>
                <w:szCs w:val="20"/>
                <w:u w:val="single"/>
                <w:lang w:val="af-ZA"/>
              </w:rPr>
              <w:t xml:space="preserve"> Արևային համակարգային կայանների կառուցման ծրագրի իրականացման նպատակով Մասրիկ տեղանքում 55 ՄՎտ պիկային հզորությամբ արևային ֆոտովոլտային էլեկտրակայանի կառուցման ապահովում</w:t>
            </w:r>
          </w:p>
          <w:p w:rsidR="0084615D" w:rsidRPr="0053423A" w:rsidRDefault="00795500" w:rsidP="00A67858">
            <w:pPr>
              <w:tabs>
                <w:tab w:val="left" w:pos="1170"/>
              </w:tabs>
              <w:spacing w:after="0" w:line="276" w:lineRule="auto"/>
              <w:jc w:val="center"/>
              <w:rPr>
                <w:b/>
                <w:sz w:val="20"/>
                <w:szCs w:val="20"/>
                <w:u w:val="single"/>
                <w:lang w:val="af-ZA"/>
              </w:rPr>
            </w:pPr>
            <w:r w:rsidRPr="0053423A">
              <w:rPr>
                <w:b/>
                <w:sz w:val="20"/>
                <w:szCs w:val="20"/>
                <w:u w:val="single"/>
                <w:lang w:val="af-ZA"/>
              </w:rPr>
              <w:t xml:space="preserve">6.2 </w:t>
            </w:r>
            <w:r w:rsidR="0084615D" w:rsidRPr="0053423A">
              <w:rPr>
                <w:b/>
                <w:sz w:val="20"/>
                <w:szCs w:val="20"/>
                <w:u w:val="single"/>
                <w:lang w:val="af-ZA"/>
              </w:rPr>
              <w:t>Տարբեր փուլերով գումարային մոտ 60 ՄՎտ հզորությամբ ևս 5 արևային ֆոտովոլտային էլեկտրական կայանների կառուցման ծրագրերի իրականացում</w:t>
            </w:r>
          </w:p>
          <w:p w:rsidR="0084615D" w:rsidRPr="0053423A" w:rsidRDefault="00795500" w:rsidP="00A67858">
            <w:pPr>
              <w:tabs>
                <w:tab w:val="left" w:pos="1170"/>
              </w:tabs>
              <w:spacing w:after="0" w:line="276" w:lineRule="auto"/>
              <w:jc w:val="center"/>
              <w:rPr>
                <w:b/>
                <w:sz w:val="20"/>
                <w:szCs w:val="20"/>
                <w:u w:val="single"/>
                <w:lang w:val="af-ZA"/>
              </w:rPr>
            </w:pPr>
            <w:r w:rsidRPr="0053423A">
              <w:rPr>
                <w:b/>
                <w:sz w:val="20"/>
                <w:szCs w:val="20"/>
                <w:u w:val="single"/>
                <w:lang w:val="af-ZA"/>
              </w:rPr>
              <w:t xml:space="preserve">6.3 </w:t>
            </w:r>
            <w:r w:rsidR="0084615D" w:rsidRPr="0053423A">
              <w:rPr>
                <w:b/>
                <w:sz w:val="20"/>
                <w:szCs w:val="20"/>
                <w:u w:val="single"/>
                <w:lang w:val="af-ZA"/>
              </w:rPr>
              <w:t>Աջակցել գումարային մոտ 300 ՄՎտ հզորությամբ հողմային էլեկտրական կայանների կառուցման մասնավոր ծրագրերի</w:t>
            </w:r>
          </w:p>
          <w:p w:rsidR="0084615D" w:rsidRPr="0053423A" w:rsidRDefault="0084615D" w:rsidP="00A67858">
            <w:pPr>
              <w:pStyle w:val="BodyText"/>
              <w:tabs>
                <w:tab w:val="left" w:pos="270"/>
                <w:tab w:val="left" w:pos="1530"/>
              </w:tabs>
              <w:spacing w:after="0" w:line="276" w:lineRule="auto"/>
              <w:ind w:firstLine="990"/>
              <w:rPr>
                <w:rFonts w:ascii="GHEA Grapalat" w:eastAsia="Times New Roman" w:hAnsi="GHEA Grapalat"/>
                <w:i/>
                <w:sz w:val="20"/>
                <w:szCs w:val="20"/>
                <w:lang w:val="hy-AM"/>
              </w:rPr>
            </w:pPr>
          </w:p>
          <w:p w:rsidR="0084615D" w:rsidRPr="0053423A" w:rsidRDefault="0084615D" w:rsidP="001F6D5D">
            <w:pPr>
              <w:numPr>
                <w:ilvl w:val="0"/>
                <w:numId w:val="258"/>
              </w:numPr>
              <w:tabs>
                <w:tab w:val="left" w:pos="1080"/>
                <w:tab w:val="left" w:pos="1170"/>
              </w:tabs>
              <w:spacing w:after="0" w:line="276" w:lineRule="auto"/>
              <w:ind w:left="0" w:firstLine="810"/>
              <w:rPr>
                <w:b/>
                <w:sz w:val="20"/>
                <w:szCs w:val="20"/>
                <w:lang w:val="hy-AM"/>
              </w:rPr>
            </w:pPr>
            <w:r w:rsidRPr="0053423A">
              <w:rPr>
                <w:b/>
                <w:sz w:val="20"/>
                <w:szCs w:val="20"/>
                <w:lang w:val="hy-AM"/>
              </w:rPr>
              <w:t>Միջոցառման իրականացման անհրաժեշտությունը և նպատակը</w:t>
            </w:r>
          </w:p>
          <w:p w:rsidR="0084615D" w:rsidRPr="0053423A" w:rsidRDefault="0084615D" w:rsidP="00A67858">
            <w:pPr>
              <w:tabs>
                <w:tab w:val="left" w:pos="90"/>
              </w:tabs>
              <w:spacing w:after="0" w:line="276" w:lineRule="auto"/>
              <w:jc w:val="both"/>
              <w:rPr>
                <w:rFonts w:cs="GHEAGrapalat"/>
                <w:sz w:val="20"/>
                <w:szCs w:val="20"/>
                <w:lang w:val="hy-AM"/>
              </w:rPr>
            </w:pPr>
            <w:r w:rsidRPr="0053423A">
              <w:rPr>
                <w:spacing w:val="-2"/>
                <w:sz w:val="20"/>
                <w:szCs w:val="20"/>
                <w:lang w:val="hy-AM"/>
              </w:rPr>
              <w:t xml:space="preserve">ՀՀ կառավարության 2019թ. փետրվարի 8-ի N 65-Ա որոշմամբ հաստատաված ՀՀ կառավարության ծրագրի </w:t>
            </w:r>
            <w:r w:rsidRPr="0053423A">
              <w:rPr>
                <w:rFonts w:cs="GHEAGrapalat"/>
                <w:sz w:val="20"/>
                <w:szCs w:val="20"/>
                <w:lang w:val="hy-AM"/>
              </w:rPr>
              <w:t>6.2. կետի՝ «Էներգետիկ բնագավառը» բաժնի դրույթից:</w:t>
            </w:r>
          </w:p>
          <w:p w:rsidR="0084615D" w:rsidRPr="0053423A" w:rsidRDefault="0084615D" w:rsidP="00A67858">
            <w:pPr>
              <w:tabs>
                <w:tab w:val="left" w:pos="90"/>
              </w:tabs>
              <w:spacing w:after="0" w:line="276" w:lineRule="auto"/>
              <w:jc w:val="both"/>
              <w:rPr>
                <w:rFonts w:cs="GHEAGrapalat"/>
                <w:sz w:val="20"/>
                <w:szCs w:val="20"/>
                <w:lang w:val="hy-AM"/>
              </w:rPr>
            </w:pPr>
            <w:r w:rsidRPr="0053423A">
              <w:rPr>
                <w:rFonts w:cs="Sylfaen"/>
                <w:sz w:val="20"/>
                <w:szCs w:val="20"/>
                <w:lang w:val="hy-AM"/>
              </w:rPr>
              <w:t>Միջոցառման իրականացումն ուղղված է ՀՀ-ում վերականգնվող էներգետիկայի զարգացման պետական քաղաքականության և դրա իրագործման մեխանիզմների ապահովմանը` ՀՀ տնտեսության դիվերսիֆիկացմանը, ՀՀ տնտեսական և էներգետիկ անկախության ամրապնդմանը, էներգետիկ համա</w:t>
            </w:r>
            <w:r w:rsidRPr="0053423A">
              <w:rPr>
                <w:rFonts w:cs="Sylfaen"/>
                <w:sz w:val="20"/>
                <w:szCs w:val="20"/>
                <w:lang w:val="hy-AM"/>
              </w:rPr>
              <w:softHyphen/>
              <w:t>կարգի հուսալիության աստիճանի բարձրացմանը, էներգախնայողությունը և վերականգնվող էներգետիկայի զարգացումը խթանող նոր արտադրությունների ստեղծմանը և ծառայությունների կազմակերպմանը, ինչպես նաև շրջակա միջավայրի, մարդու առողջու</w:t>
            </w:r>
            <w:r w:rsidRPr="0053423A">
              <w:rPr>
                <w:rFonts w:cs="Sylfaen"/>
                <w:sz w:val="20"/>
                <w:szCs w:val="20"/>
                <w:lang w:val="hy-AM"/>
              </w:rPr>
              <w:softHyphen/>
              <w:t>թյան վրա տեխնածին ազդեցությունների նվազեցմանը:</w:t>
            </w:r>
          </w:p>
          <w:p w:rsidR="0084615D" w:rsidRPr="0053423A" w:rsidRDefault="00795500" w:rsidP="001F6D5D">
            <w:pPr>
              <w:pStyle w:val="ListParagraph"/>
              <w:numPr>
                <w:ilvl w:val="1"/>
                <w:numId w:val="259"/>
              </w:numPr>
              <w:tabs>
                <w:tab w:val="left" w:pos="1170"/>
              </w:tabs>
              <w:spacing w:after="0" w:line="276" w:lineRule="auto"/>
              <w:ind w:left="0" w:firstLine="630"/>
              <w:rPr>
                <w:b/>
                <w:sz w:val="20"/>
                <w:szCs w:val="20"/>
                <w:lang w:val="hy-AM"/>
              </w:rPr>
            </w:pPr>
            <w:r w:rsidRPr="0053423A">
              <w:rPr>
                <w:b/>
                <w:sz w:val="20"/>
                <w:szCs w:val="20"/>
                <w:lang w:val="hy-AM"/>
              </w:rPr>
              <w:t>Կ</w:t>
            </w:r>
            <w:r w:rsidR="0084615D" w:rsidRPr="0053423A">
              <w:rPr>
                <w:b/>
                <w:sz w:val="20"/>
                <w:szCs w:val="20"/>
                <w:lang w:val="hy-AM"/>
              </w:rPr>
              <w:t>արգավորման հարաբերությունների ներկա վիճակը և առկա խնդիրները</w:t>
            </w:r>
          </w:p>
          <w:p w:rsidR="0084615D" w:rsidRPr="0053423A" w:rsidRDefault="0084615D" w:rsidP="00A67858">
            <w:pPr>
              <w:pStyle w:val="ListParagraph"/>
              <w:tabs>
                <w:tab w:val="left" w:pos="90"/>
              </w:tabs>
              <w:spacing w:after="0" w:line="276" w:lineRule="auto"/>
              <w:ind w:left="0"/>
              <w:jc w:val="both"/>
              <w:rPr>
                <w:sz w:val="20"/>
                <w:szCs w:val="20"/>
                <w:lang w:val="hy-AM" w:eastAsia="en-GB"/>
              </w:rPr>
            </w:pPr>
            <w:r w:rsidRPr="0053423A">
              <w:rPr>
                <w:sz w:val="20"/>
                <w:szCs w:val="20"/>
                <w:u w:val="single"/>
                <w:lang w:val="hy-AM" w:eastAsia="en-GB"/>
              </w:rPr>
              <w:t>Խնդիրները</w:t>
            </w:r>
            <w:r w:rsidRPr="0053423A">
              <w:rPr>
                <w:rFonts w:ascii="Cambria Math" w:eastAsia="Arial Unicode MS" w:hAnsi="Cambria Math" w:cs="Cambria Math"/>
                <w:sz w:val="20"/>
                <w:szCs w:val="20"/>
                <w:u w:val="single"/>
                <w:lang w:val="hy-AM" w:eastAsia="en-GB"/>
              </w:rPr>
              <w:t>․</w:t>
            </w:r>
            <w:r w:rsidRPr="0053423A">
              <w:rPr>
                <w:sz w:val="20"/>
                <w:szCs w:val="20"/>
                <w:lang w:val="hy-AM" w:eastAsia="en-GB"/>
              </w:rPr>
              <w:t xml:space="preserve"> </w:t>
            </w:r>
            <w:r w:rsidRPr="0053423A">
              <w:rPr>
                <w:sz w:val="20"/>
                <w:szCs w:val="20"/>
                <w:lang w:val="af-ZA" w:eastAsia="en-GB"/>
              </w:rPr>
              <w:t>2016 թվականին</w:t>
            </w:r>
            <w:r w:rsidRPr="0053423A">
              <w:rPr>
                <w:sz w:val="20"/>
                <w:szCs w:val="20"/>
                <w:lang w:val="hy-AM" w:eastAsia="en-GB"/>
              </w:rPr>
              <w:t xml:space="preserve"> վերականգնվող առաջնային էներգիան կազմել է սպառվող ողջ էներգիայի մոտ 16%: ՀՀ էներգետիկ համակարգի ներկայիս դիվերսիֆիկացման մակարդակը բավարար չի՝ էներգետիկ անկախության անհրաժեշտ աստիճանի ապահովման տեսանկյունից։ Վերոգրյալ նպատակներին հասնելու համար ՀՀ կառավարությունը որդեգրել է վերականգնվող էներգետիկայի առավելագույն և արդյունավետ կիրառման սկզբունքը։</w:t>
            </w:r>
          </w:p>
          <w:p w:rsidR="0084615D" w:rsidRPr="0053423A" w:rsidRDefault="0084615D" w:rsidP="00A67858">
            <w:pPr>
              <w:pStyle w:val="ListParagraph"/>
              <w:spacing w:after="0" w:line="276" w:lineRule="auto"/>
              <w:ind w:left="0"/>
              <w:jc w:val="both"/>
              <w:rPr>
                <w:sz w:val="20"/>
                <w:szCs w:val="20"/>
                <w:lang w:val="hy-AM"/>
              </w:rPr>
            </w:pPr>
            <w:r w:rsidRPr="0053423A">
              <w:rPr>
                <w:sz w:val="20"/>
                <w:szCs w:val="20"/>
                <w:u w:val="single"/>
                <w:lang w:val="hy-AM"/>
              </w:rPr>
              <w:t>Ներկա վիճակը</w:t>
            </w:r>
            <w:r w:rsidRPr="0053423A">
              <w:rPr>
                <w:rFonts w:ascii="Cambria Math" w:eastAsia="Arial Unicode MS" w:hAnsi="Cambria Math" w:cs="Cambria Math"/>
                <w:sz w:val="20"/>
                <w:szCs w:val="20"/>
                <w:u w:val="single"/>
                <w:lang w:val="hy-AM"/>
              </w:rPr>
              <w:t>․</w:t>
            </w:r>
            <w:r w:rsidRPr="0053423A">
              <w:rPr>
                <w:sz w:val="20"/>
                <w:szCs w:val="20"/>
                <w:lang w:val="hy-AM"/>
              </w:rPr>
              <w:t xml:space="preserve"> </w:t>
            </w:r>
            <w:r w:rsidRPr="0053423A">
              <w:rPr>
                <w:sz w:val="20"/>
                <w:szCs w:val="20"/>
                <w:lang w:val="af-ZA"/>
              </w:rPr>
              <w:t xml:space="preserve">2018 </w:t>
            </w:r>
            <w:r w:rsidRPr="0053423A">
              <w:rPr>
                <w:sz w:val="20"/>
                <w:szCs w:val="20"/>
                <w:lang w:val="hy-AM"/>
              </w:rPr>
              <w:t>թ</w:t>
            </w:r>
            <w:r w:rsidRPr="0053423A">
              <w:rPr>
                <w:sz w:val="20"/>
                <w:szCs w:val="20"/>
                <w:lang w:val="af-ZA"/>
              </w:rPr>
              <w:t xml:space="preserve">. </w:t>
            </w:r>
            <w:r w:rsidRPr="0053423A">
              <w:rPr>
                <w:sz w:val="20"/>
                <w:szCs w:val="20"/>
                <w:lang w:val="hy-AM"/>
              </w:rPr>
              <w:t>մարտի</w:t>
            </w:r>
            <w:r w:rsidRPr="0053423A">
              <w:rPr>
                <w:sz w:val="20"/>
                <w:szCs w:val="20"/>
                <w:lang w:val="af-ZA"/>
              </w:rPr>
              <w:t xml:space="preserve"> 21-</w:t>
            </w:r>
            <w:r w:rsidRPr="0053423A">
              <w:rPr>
                <w:sz w:val="20"/>
                <w:szCs w:val="20"/>
                <w:lang w:val="hy-AM"/>
              </w:rPr>
              <w:t>ին</w:t>
            </w:r>
            <w:r w:rsidRPr="0053423A">
              <w:rPr>
                <w:sz w:val="20"/>
                <w:szCs w:val="20"/>
                <w:lang w:val="af-ZA"/>
              </w:rPr>
              <w:t xml:space="preserve"> </w:t>
            </w:r>
            <w:r w:rsidRPr="0053423A">
              <w:rPr>
                <w:sz w:val="20"/>
                <w:szCs w:val="20"/>
                <w:lang w:val="hy-AM"/>
              </w:rPr>
              <w:t>կայացել</w:t>
            </w:r>
            <w:r w:rsidRPr="0053423A">
              <w:rPr>
                <w:sz w:val="20"/>
                <w:szCs w:val="20"/>
                <w:lang w:val="af-ZA"/>
              </w:rPr>
              <w:t xml:space="preserve"> </w:t>
            </w:r>
            <w:r w:rsidRPr="0053423A">
              <w:rPr>
                <w:sz w:val="20"/>
                <w:szCs w:val="20"/>
                <w:lang w:val="hy-AM"/>
              </w:rPr>
              <w:t>է</w:t>
            </w:r>
            <w:r w:rsidRPr="0053423A">
              <w:rPr>
                <w:sz w:val="20"/>
                <w:szCs w:val="20"/>
                <w:lang w:val="af-ZA"/>
              </w:rPr>
              <w:t xml:space="preserve"> </w:t>
            </w:r>
            <w:r w:rsidRPr="0053423A">
              <w:rPr>
                <w:sz w:val="20"/>
                <w:szCs w:val="20"/>
                <w:lang w:val="hy-AM"/>
              </w:rPr>
              <w:t>ՀՀ</w:t>
            </w:r>
            <w:r w:rsidRPr="0053423A">
              <w:rPr>
                <w:sz w:val="20"/>
                <w:szCs w:val="20"/>
                <w:lang w:val="af-ZA"/>
              </w:rPr>
              <w:t>-</w:t>
            </w:r>
            <w:r w:rsidRPr="0053423A">
              <w:rPr>
                <w:sz w:val="20"/>
                <w:szCs w:val="20"/>
                <w:lang w:val="hy-AM"/>
              </w:rPr>
              <w:t>ում</w:t>
            </w:r>
            <w:r w:rsidRPr="0053423A">
              <w:rPr>
                <w:sz w:val="20"/>
                <w:szCs w:val="20"/>
                <w:lang w:val="af-ZA"/>
              </w:rPr>
              <w:t xml:space="preserve"> </w:t>
            </w:r>
            <w:r w:rsidRPr="0053423A">
              <w:rPr>
                <w:sz w:val="20"/>
                <w:szCs w:val="20"/>
                <w:lang w:val="hy-AM"/>
              </w:rPr>
              <w:t>Մասրիկ</w:t>
            </w:r>
            <w:r w:rsidRPr="0053423A">
              <w:rPr>
                <w:sz w:val="20"/>
                <w:szCs w:val="20"/>
                <w:lang w:val="af-ZA"/>
              </w:rPr>
              <w:t xml:space="preserve">-1 55 </w:t>
            </w:r>
            <w:r w:rsidRPr="0053423A">
              <w:rPr>
                <w:sz w:val="20"/>
                <w:szCs w:val="20"/>
                <w:lang w:val="hy-AM"/>
              </w:rPr>
              <w:t>ՄՎտ</w:t>
            </w:r>
            <w:r w:rsidRPr="0053423A">
              <w:rPr>
                <w:sz w:val="20"/>
                <w:szCs w:val="20"/>
                <w:lang w:val="af-ZA"/>
              </w:rPr>
              <w:t xml:space="preserve"> </w:t>
            </w:r>
            <w:r w:rsidRPr="0053423A">
              <w:rPr>
                <w:sz w:val="20"/>
                <w:szCs w:val="20"/>
                <w:lang w:val="hy-AM"/>
              </w:rPr>
              <w:t>պիկային</w:t>
            </w:r>
            <w:r w:rsidRPr="0053423A">
              <w:rPr>
                <w:sz w:val="20"/>
                <w:szCs w:val="20"/>
                <w:lang w:val="af-ZA"/>
              </w:rPr>
              <w:t xml:space="preserve"> </w:t>
            </w:r>
            <w:r w:rsidRPr="0053423A">
              <w:rPr>
                <w:sz w:val="20"/>
                <w:szCs w:val="20"/>
                <w:lang w:val="hy-AM"/>
              </w:rPr>
              <w:t>հզորությամբ</w:t>
            </w:r>
            <w:r w:rsidRPr="0053423A">
              <w:rPr>
                <w:sz w:val="20"/>
                <w:szCs w:val="20"/>
                <w:lang w:val="af-ZA"/>
              </w:rPr>
              <w:t xml:space="preserve"> </w:t>
            </w:r>
            <w:r w:rsidRPr="0053423A">
              <w:rPr>
                <w:sz w:val="20"/>
                <w:szCs w:val="20"/>
                <w:lang w:val="hy-AM"/>
              </w:rPr>
              <w:t>արևային</w:t>
            </w:r>
            <w:r w:rsidRPr="0053423A">
              <w:rPr>
                <w:sz w:val="20"/>
                <w:szCs w:val="20"/>
                <w:lang w:val="af-ZA"/>
              </w:rPr>
              <w:t xml:space="preserve"> </w:t>
            </w:r>
            <w:r w:rsidRPr="0053423A">
              <w:rPr>
                <w:sz w:val="20"/>
                <w:szCs w:val="20"/>
                <w:lang w:val="hy-AM"/>
              </w:rPr>
              <w:t>ֆոտովոլտային</w:t>
            </w:r>
            <w:r w:rsidRPr="0053423A">
              <w:rPr>
                <w:sz w:val="20"/>
                <w:szCs w:val="20"/>
                <w:lang w:val="af-ZA"/>
              </w:rPr>
              <w:t xml:space="preserve"> </w:t>
            </w:r>
            <w:r w:rsidRPr="0053423A">
              <w:rPr>
                <w:sz w:val="20"/>
                <w:szCs w:val="20"/>
                <w:lang w:val="hy-AM"/>
              </w:rPr>
              <w:t>կայանի</w:t>
            </w:r>
            <w:r w:rsidRPr="0053423A">
              <w:rPr>
                <w:sz w:val="20"/>
                <w:szCs w:val="20"/>
                <w:lang w:val="af-ZA"/>
              </w:rPr>
              <w:t xml:space="preserve"> </w:t>
            </w:r>
            <w:r w:rsidRPr="0053423A">
              <w:rPr>
                <w:sz w:val="20"/>
                <w:szCs w:val="20"/>
                <w:lang w:val="hy-AM"/>
              </w:rPr>
              <w:t>կառուցման</w:t>
            </w:r>
            <w:r w:rsidRPr="0053423A">
              <w:rPr>
                <w:sz w:val="20"/>
                <w:szCs w:val="20"/>
                <w:lang w:val="af-ZA"/>
              </w:rPr>
              <w:t xml:space="preserve"> </w:t>
            </w:r>
            <w:r w:rsidRPr="0053423A">
              <w:rPr>
                <w:sz w:val="20"/>
                <w:szCs w:val="20"/>
                <w:lang w:val="hy-AM"/>
              </w:rPr>
              <w:t>ծրագրի</w:t>
            </w:r>
            <w:r w:rsidRPr="0053423A">
              <w:rPr>
                <w:sz w:val="20"/>
                <w:szCs w:val="20"/>
                <w:lang w:val="af-ZA"/>
              </w:rPr>
              <w:t xml:space="preserve"> </w:t>
            </w:r>
            <w:r w:rsidRPr="0053423A">
              <w:rPr>
                <w:sz w:val="20"/>
                <w:szCs w:val="20"/>
                <w:lang w:val="hy-AM"/>
              </w:rPr>
              <w:t>համար</w:t>
            </w:r>
            <w:r w:rsidRPr="0053423A">
              <w:rPr>
                <w:sz w:val="20"/>
                <w:szCs w:val="20"/>
                <w:lang w:val="af-ZA"/>
              </w:rPr>
              <w:t xml:space="preserve"> </w:t>
            </w:r>
            <w:r w:rsidRPr="0053423A">
              <w:rPr>
                <w:sz w:val="20"/>
                <w:szCs w:val="20"/>
                <w:lang w:val="hy-AM"/>
              </w:rPr>
              <w:t>հայտարարված</w:t>
            </w:r>
            <w:r w:rsidRPr="0053423A">
              <w:rPr>
                <w:sz w:val="20"/>
                <w:szCs w:val="20"/>
                <w:lang w:val="af-ZA"/>
              </w:rPr>
              <w:t xml:space="preserve"> </w:t>
            </w:r>
            <w:r w:rsidRPr="0053423A">
              <w:rPr>
                <w:sz w:val="20"/>
                <w:szCs w:val="20"/>
                <w:lang w:val="hy-AM"/>
              </w:rPr>
              <w:t>միջազգային</w:t>
            </w:r>
            <w:r w:rsidRPr="0053423A">
              <w:rPr>
                <w:sz w:val="20"/>
                <w:szCs w:val="20"/>
                <w:lang w:val="af-ZA"/>
              </w:rPr>
              <w:t xml:space="preserve"> </w:t>
            </w:r>
            <w:r w:rsidRPr="0053423A">
              <w:rPr>
                <w:sz w:val="20"/>
                <w:szCs w:val="20"/>
                <w:lang w:val="hy-AM"/>
              </w:rPr>
              <w:t>մրցույթի</w:t>
            </w:r>
            <w:r w:rsidRPr="0053423A">
              <w:rPr>
                <w:sz w:val="20"/>
                <w:szCs w:val="20"/>
                <w:lang w:val="af-ZA"/>
              </w:rPr>
              <w:t xml:space="preserve"> </w:t>
            </w:r>
            <w:r w:rsidRPr="0053423A">
              <w:rPr>
                <w:sz w:val="20"/>
                <w:szCs w:val="20"/>
                <w:lang w:val="af-ZA" w:eastAsia="en-NZ"/>
              </w:rPr>
              <w:t>երկրորդ փուլը</w:t>
            </w:r>
            <w:r w:rsidRPr="0053423A">
              <w:rPr>
                <w:sz w:val="20"/>
                <w:szCs w:val="20"/>
                <w:lang w:val="af-ZA"/>
              </w:rPr>
              <w:t xml:space="preserve">: </w:t>
            </w:r>
            <w:r w:rsidRPr="0053423A">
              <w:rPr>
                <w:sz w:val="20"/>
                <w:szCs w:val="20"/>
                <w:lang w:val="hy-AM"/>
              </w:rPr>
              <w:t>Մրցույթի</w:t>
            </w:r>
            <w:r w:rsidRPr="0053423A">
              <w:rPr>
                <w:sz w:val="20"/>
                <w:szCs w:val="20"/>
                <w:lang w:val="af-ZA"/>
              </w:rPr>
              <w:t xml:space="preserve"> </w:t>
            </w:r>
            <w:r w:rsidRPr="0053423A">
              <w:rPr>
                <w:sz w:val="20"/>
                <w:szCs w:val="20"/>
                <w:lang w:val="hy-AM"/>
              </w:rPr>
              <w:t>պայմանների</w:t>
            </w:r>
            <w:r w:rsidRPr="0053423A">
              <w:rPr>
                <w:sz w:val="20"/>
                <w:szCs w:val="20"/>
                <w:lang w:val="af-ZA"/>
              </w:rPr>
              <w:t xml:space="preserve"> </w:t>
            </w:r>
            <w:r w:rsidRPr="0053423A">
              <w:rPr>
                <w:sz w:val="20"/>
                <w:szCs w:val="20"/>
                <w:lang w:val="hy-AM"/>
              </w:rPr>
              <w:t>համաձայն</w:t>
            </w:r>
            <w:r w:rsidRPr="0053423A">
              <w:rPr>
                <w:sz w:val="20"/>
                <w:szCs w:val="20"/>
                <w:lang w:val="af-ZA"/>
              </w:rPr>
              <w:t xml:space="preserve"> </w:t>
            </w:r>
            <w:r w:rsidRPr="0053423A">
              <w:rPr>
                <w:sz w:val="20"/>
                <w:szCs w:val="20"/>
                <w:lang w:val="hy-AM"/>
              </w:rPr>
              <w:t>նվազագույն</w:t>
            </w:r>
            <w:r w:rsidRPr="0053423A">
              <w:rPr>
                <w:sz w:val="20"/>
                <w:szCs w:val="20"/>
                <w:lang w:val="af-ZA"/>
              </w:rPr>
              <w:t xml:space="preserve"> </w:t>
            </w:r>
            <w:r w:rsidRPr="0053423A">
              <w:rPr>
                <w:sz w:val="20"/>
                <w:szCs w:val="20"/>
                <w:lang w:val="hy-AM"/>
              </w:rPr>
              <w:t>սակագին</w:t>
            </w:r>
            <w:r w:rsidRPr="0053423A">
              <w:rPr>
                <w:sz w:val="20"/>
                <w:szCs w:val="20"/>
                <w:lang w:val="af-ZA"/>
              </w:rPr>
              <w:t xml:space="preserve"> </w:t>
            </w:r>
            <w:r w:rsidRPr="0053423A">
              <w:rPr>
                <w:sz w:val="20"/>
                <w:szCs w:val="20"/>
                <w:lang w:val="hy-AM"/>
              </w:rPr>
              <w:t>է</w:t>
            </w:r>
            <w:r w:rsidRPr="0053423A">
              <w:rPr>
                <w:sz w:val="20"/>
                <w:szCs w:val="20"/>
                <w:lang w:val="af-ZA"/>
              </w:rPr>
              <w:t xml:space="preserve"> </w:t>
            </w:r>
            <w:r w:rsidRPr="0053423A">
              <w:rPr>
                <w:sz w:val="20"/>
                <w:szCs w:val="20"/>
                <w:lang w:val="hy-AM"/>
              </w:rPr>
              <w:t>ներկայացրել</w:t>
            </w:r>
            <w:r w:rsidRPr="0053423A">
              <w:rPr>
                <w:sz w:val="20"/>
                <w:szCs w:val="20"/>
                <w:lang w:val="af-ZA"/>
              </w:rPr>
              <w:t xml:space="preserve"> </w:t>
            </w:r>
            <w:r w:rsidRPr="0053423A">
              <w:rPr>
                <w:sz w:val="20"/>
                <w:szCs w:val="20"/>
                <w:lang w:val="hy-AM"/>
              </w:rPr>
              <w:t>նիդեռլանդական</w:t>
            </w:r>
            <w:r w:rsidRPr="0053423A">
              <w:rPr>
                <w:sz w:val="20"/>
                <w:szCs w:val="20"/>
                <w:lang w:val="af-ZA"/>
              </w:rPr>
              <w:t xml:space="preserve"> «</w:t>
            </w:r>
            <w:r w:rsidRPr="0053423A">
              <w:rPr>
                <w:sz w:val="20"/>
                <w:szCs w:val="20"/>
                <w:lang w:val="hy-AM"/>
              </w:rPr>
              <w:t>Ֆոտովատիո</w:t>
            </w:r>
            <w:r w:rsidRPr="0053423A">
              <w:rPr>
                <w:sz w:val="20"/>
                <w:szCs w:val="20"/>
                <w:lang w:val="af-ZA"/>
              </w:rPr>
              <w:t xml:space="preserve"> </w:t>
            </w:r>
            <w:r w:rsidRPr="0053423A">
              <w:rPr>
                <w:sz w:val="20"/>
                <w:szCs w:val="20"/>
                <w:lang w:val="hy-AM"/>
              </w:rPr>
              <w:t>Ռենյուաբլ</w:t>
            </w:r>
            <w:r w:rsidRPr="0053423A">
              <w:rPr>
                <w:sz w:val="20"/>
                <w:szCs w:val="20"/>
                <w:lang w:val="af-ZA"/>
              </w:rPr>
              <w:t xml:space="preserve"> </w:t>
            </w:r>
            <w:r w:rsidRPr="0053423A">
              <w:rPr>
                <w:sz w:val="20"/>
                <w:szCs w:val="20"/>
                <w:lang w:val="hy-AM"/>
              </w:rPr>
              <w:t>Վենչըս</w:t>
            </w:r>
            <w:r w:rsidRPr="0053423A">
              <w:rPr>
                <w:sz w:val="20"/>
                <w:szCs w:val="20"/>
                <w:lang w:val="af-ZA"/>
              </w:rPr>
              <w:t xml:space="preserve">» </w:t>
            </w:r>
            <w:r w:rsidRPr="0053423A">
              <w:rPr>
                <w:sz w:val="20"/>
                <w:szCs w:val="20"/>
                <w:lang w:val="hy-AM"/>
              </w:rPr>
              <w:t>և</w:t>
            </w:r>
            <w:r w:rsidRPr="0053423A">
              <w:rPr>
                <w:sz w:val="20"/>
                <w:szCs w:val="20"/>
                <w:lang w:val="af-ZA"/>
              </w:rPr>
              <w:t xml:space="preserve"> </w:t>
            </w:r>
            <w:r w:rsidRPr="0053423A">
              <w:rPr>
                <w:sz w:val="20"/>
                <w:szCs w:val="20"/>
                <w:lang w:val="hy-AM"/>
              </w:rPr>
              <w:t>իսպանական</w:t>
            </w:r>
            <w:r w:rsidRPr="0053423A">
              <w:rPr>
                <w:sz w:val="20"/>
                <w:szCs w:val="20"/>
                <w:lang w:val="af-ZA"/>
              </w:rPr>
              <w:t xml:space="preserve"> «</w:t>
            </w:r>
            <w:r w:rsidRPr="0053423A">
              <w:rPr>
                <w:sz w:val="20"/>
                <w:szCs w:val="20"/>
                <w:lang w:val="hy-AM"/>
              </w:rPr>
              <w:t>ԷֆԷսԷլ</w:t>
            </w:r>
            <w:r w:rsidRPr="0053423A">
              <w:rPr>
                <w:sz w:val="20"/>
                <w:szCs w:val="20"/>
                <w:lang w:val="af-ZA"/>
              </w:rPr>
              <w:t xml:space="preserve"> </w:t>
            </w:r>
            <w:r w:rsidRPr="0053423A">
              <w:rPr>
                <w:sz w:val="20"/>
                <w:szCs w:val="20"/>
                <w:lang w:val="hy-AM"/>
              </w:rPr>
              <w:t>Սոլար</w:t>
            </w:r>
            <w:r w:rsidRPr="0053423A">
              <w:rPr>
                <w:sz w:val="20"/>
                <w:szCs w:val="20"/>
                <w:lang w:val="af-ZA"/>
              </w:rPr>
              <w:t xml:space="preserve">» </w:t>
            </w:r>
            <w:r w:rsidRPr="0053423A">
              <w:rPr>
                <w:sz w:val="20"/>
                <w:szCs w:val="20"/>
                <w:lang w:val="hy-AM"/>
              </w:rPr>
              <w:t>ընկերություններից</w:t>
            </w:r>
            <w:r w:rsidRPr="0053423A">
              <w:rPr>
                <w:sz w:val="20"/>
                <w:szCs w:val="20"/>
                <w:lang w:val="af-ZA"/>
              </w:rPr>
              <w:t xml:space="preserve"> </w:t>
            </w:r>
            <w:r w:rsidRPr="0053423A">
              <w:rPr>
                <w:sz w:val="20"/>
                <w:szCs w:val="20"/>
                <w:lang w:val="hy-AM"/>
              </w:rPr>
              <w:t>կազմված</w:t>
            </w:r>
            <w:r w:rsidRPr="0053423A">
              <w:rPr>
                <w:sz w:val="20"/>
                <w:szCs w:val="20"/>
                <w:lang w:val="af-ZA"/>
              </w:rPr>
              <w:t xml:space="preserve"> </w:t>
            </w:r>
            <w:r w:rsidRPr="0053423A">
              <w:rPr>
                <w:sz w:val="20"/>
                <w:szCs w:val="20"/>
                <w:lang w:val="hy-AM"/>
              </w:rPr>
              <w:t>կոնսորցիումը</w:t>
            </w:r>
            <w:r w:rsidRPr="0053423A">
              <w:rPr>
                <w:sz w:val="20"/>
                <w:szCs w:val="20"/>
                <w:lang w:val="af-ZA"/>
              </w:rPr>
              <w:t xml:space="preserve">: Այն կազմում է 4.19 դոլար ցենտ 1 կՎտxժ- ի համար (մոտավորապես՝ 20.11 ՀՀ դրամ) առանց ԱԱՀ-ի: </w:t>
            </w:r>
            <w:r w:rsidRPr="0053423A">
              <w:rPr>
                <w:rFonts w:cs="Times Armenian"/>
                <w:sz w:val="20"/>
                <w:szCs w:val="20"/>
                <w:lang w:val="af-ZA"/>
              </w:rPr>
              <w:t>2018թ. հուլիսի 18-ին՝ ՀՀ էներգետիկ ենթակառուցվածքների և բնական պաշարների նախարարությունում ստորագրվեց «Հայաստանում՝ Գեղարքունիքի մարզի Մեծ Մասրիկ համայնքում Մասրիկ-1 արևային ֆոտովոլտային (ՖՎ) էլեկտրակայանի նախագծման, ֆինանսավորման, կառուցման, սեփականության իրավունքով տիրապետման և շահագործման մասին» ՀՀ կառավարության աջակցության համաձայնագիրը:</w:t>
            </w:r>
            <w:r w:rsidRPr="0053423A">
              <w:rPr>
                <w:rFonts w:cs="Calibri"/>
                <w:sz w:val="20"/>
                <w:szCs w:val="20"/>
                <w:lang w:val="af-ZA"/>
              </w:rPr>
              <w:t xml:space="preserve"> </w:t>
            </w:r>
            <w:r w:rsidRPr="0053423A">
              <w:rPr>
                <w:rFonts w:ascii="Calibri" w:hAnsi="Calibri" w:cs="Calibri"/>
                <w:sz w:val="20"/>
                <w:szCs w:val="20"/>
                <w:lang w:val="hy-AM"/>
              </w:rPr>
              <w:t> </w:t>
            </w:r>
            <w:r w:rsidRPr="0053423A">
              <w:rPr>
                <w:sz w:val="20"/>
                <w:szCs w:val="20"/>
                <w:lang w:val="hy-AM"/>
              </w:rPr>
              <w:t>2018 թվականի հոկտեմբերի 25-ին «ԷՖԱՐՎԻ ՄԱՍՐԻԿ» ՓԲԸ-ն (կառուցապատող) ՀՀ հանրային ծառայությունները կարգավորող հանձնաժողովից ստացել է էլեկտրական էներգիայի արտադրության գործունեության լիցենզիա, իսկ ներդրումների ծավալը գնահատվել է մոտ 58 մլն ԱՄՆ դոլար:</w:t>
            </w:r>
          </w:p>
          <w:p w:rsidR="0084615D" w:rsidRPr="0053423A" w:rsidRDefault="0084615D" w:rsidP="00A67858">
            <w:pPr>
              <w:pStyle w:val="ListParagraph"/>
              <w:tabs>
                <w:tab w:val="left" w:pos="720"/>
              </w:tabs>
              <w:spacing w:after="0" w:line="276" w:lineRule="auto"/>
              <w:ind w:left="0"/>
              <w:jc w:val="both"/>
              <w:rPr>
                <w:rFonts w:cs="Times Armenian"/>
                <w:sz w:val="20"/>
                <w:szCs w:val="20"/>
                <w:lang w:val="af-ZA"/>
              </w:rPr>
            </w:pPr>
            <w:r w:rsidRPr="0053423A">
              <w:rPr>
                <w:rFonts w:cs="Times Armenian"/>
                <w:sz w:val="20"/>
                <w:szCs w:val="20"/>
                <w:lang w:val="af-ZA"/>
              </w:rPr>
              <w:t>Մասրիկ-1 55 ՄՎտ պիկային հզորությամբ արևային ֆոտովոլտային կայանի կառուցման ծրագրին հաջորդող գումարային մոտ 60 ՄՎտ հզորությամբ ևս 5 կայանների կառուցման ծրագրերի համար պատրաստ են նախնական տեխնիկա-տնտեսական հիմնավորումները: 2016 թվականի դեկտեմբերի 29-ի ՀՀ կառավարության նիստի 53-37 արձանագրային որոշման համաձայն այդ 5 կայանների կառուցման ծրագրերը նույնպես պետք է իրականացվեն մրցութային կարգով:</w:t>
            </w:r>
          </w:p>
          <w:p w:rsidR="0084615D" w:rsidRPr="0053423A" w:rsidRDefault="0084615D" w:rsidP="00A67858">
            <w:pPr>
              <w:pStyle w:val="NormalWeb"/>
              <w:shd w:val="clear" w:color="auto" w:fill="FFFFFF"/>
              <w:spacing w:before="0" w:beforeAutospacing="0" w:after="0" w:afterAutospacing="0" w:line="276" w:lineRule="auto"/>
              <w:jc w:val="both"/>
              <w:rPr>
                <w:rFonts w:ascii="GHEA Grapalat" w:hAnsi="GHEA Grapalat"/>
                <w:sz w:val="20"/>
                <w:szCs w:val="20"/>
                <w:lang w:val="hy-AM" w:eastAsia="en-NZ"/>
              </w:rPr>
            </w:pPr>
            <w:r w:rsidRPr="0053423A">
              <w:rPr>
                <w:rFonts w:ascii="GHEA Grapalat" w:hAnsi="GHEA Grapalat"/>
                <w:sz w:val="20"/>
                <w:szCs w:val="20"/>
                <w:lang w:val="hy-AM"/>
              </w:rPr>
              <w:t>2017թ. մարտի 31-ին ՀՀ էներգետիկ ենթակառուցվածքների և բնական պաշարների նախարարության և «Աքսիոնա Էներգիա Գլոբալ Էս. Էլ.» ընկերության միջև ստորագրվել</w:t>
            </w:r>
            <w:r w:rsidRPr="0053423A">
              <w:rPr>
                <w:rFonts w:ascii="GHEA Grapalat" w:hAnsi="GHEA Grapalat"/>
                <w:sz w:val="20"/>
                <w:szCs w:val="20"/>
                <w:lang w:val="af-ZA"/>
              </w:rPr>
              <w:t xml:space="preserve"> է </w:t>
            </w:r>
            <w:r w:rsidRPr="0053423A">
              <w:rPr>
                <w:rFonts w:ascii="GHEA Grapalat" w:hAnsi="GHEA Grapalat"/>
                <w:sz w:val="20"/>
                <w:szCs w:val="20"/>
                <w:lang w:val="hy-AM"/>
              </w:rPr>
              <w:t>փոխըմբռնման հուշագիր՝ Հայաստանում հողմային</w:t>
            </w:r>
            <w:r w:rsidRPr="0053423A">
              <w:rPr>
                <w:rFonts w:ascii="GHEA Grapalat" w:hAnsi="GHEA Grapalat"/>
                <w:sz w:val="20"/>
                <w:szCs w:val="20"/>
                <w:lang w:val="af-ZA"/>
              </w:rPr>
              <w:t xml:space="preserve"> </w:t>
            </w:r>
            <w:r w:rsidRPr="0053423A">
              <w:rPr>
                <w:rFonts w:ascii="GHEA Grapalat" w:hAnsi="GHEA Grapalat"/>
                <w:sz w:val="20"/>
                <w:szCs w:val="20"/>
                <w:lang w:val="hy-AM"/>
              </w:rPr>
              <w:t>էլեկտրակայանների կառուցման ծրագրի մասին</w:t>
            </w:r>
            <w:r w:rsidRPr="0053423A">
              <w:rPr>
                <w:rFonts w:ascii="GHEA Grapalat" w:hAnsi="GHEA Grapalat"/>
                <w:sz w:val="20"/>
                <w:szCs w:val="20"/>
                <w:lang w:val="af-ZA"/>
              </w:rPr>
              <w:t>:</w:t>
            </w:r>
            <w:r w:rsidRPr="0053423A">
              <w:rPr>
                <w:rFonts w:ascii="GHEA Grapalat" w:hAnsi="GHEA Grapalat"/>
                <w:sz w:val="20"/>
                <w:szCs w:val="20"/>
                <w:lang w:val="hy-AM"/>
              </w:rPr>
              <w:t xml:space="preserve"> Վերոհիշյալ</w:t>
            </w:r>
            <w:r w:rsidRPr="0053423A">
              <w:rPr>
                <w:rFonts w:ascii="GHEA Grapalat" w:hAnsi="GHEA Grapalat"/>
                <w:sz w:val="20"/>
                <w:szCs w:val="20"/>
                <w:lang w:val="af-ZA"/>
              </w:rPr>
              <w:t xml:space="preserve"> </w:t>
            </w:r>
            <w:r w:rsidRPr="0053423A">
              <w:rPr>
                <w:rFonts w:ascii="GHEA Grapalat" w:hAnsi="GHEA Grapalat"/>
                <w:sz w:val="20"/>
                <w:szCs w:val="20"/>
                <w:lang w:val="hy-AM"/>
              </w:rPr>
              <w:t>փոխըմբռնման</w:t>
            </w:r>
            <w:r w:rsidRPr="0053423A">
              <w:rPr>
                <w:rFonts w:ascii="GHEA Grapalat" w:hAnsi="GHEA Grapalat"/>
                <w:sz w:val="20"/>
                <w:szCs w:val="20"/>
                <w:lang w:val="af-ZA"/>
              </w:rPr>
              <w:t xml:space="preserve"> </w:t>
            </w:r>
            <w:r w:rsidRPr="0053423A">
              <w:rPr>
                <w:rFonts w:ascii="GHEA Grapalat" w:hAnsi="GHEA Grapalat"/>
                <w:sz w:val="20"/>
                <w:szCs w:val="20"/>
                <w:lang w:val="hy-AM"/>
              </w:rPr>
              <w:t>հուշագրով</w:t>
            </w:r>
            <w:r w:rsidRPr="0053423A">
              <w:rPr>
                <w:rFonts w:ascii="GHEA Grapalat" w:hAnsi="GHEA Grapalat"/>
                <w:sz w:val="20"/>
                <w:szCs w:val="20"/>
                <w:lang w:val="af-ZA"/>
              </w:rPr>
              <w:t xml:space="preserve"> </w:t>
            </w:r>
            <w:r w:rsidRPr="0053423A">
              <w:rPr>
                <w:rFonts w:ascii="GHEA Grapalat" w:hAnsi="GHEA Grapalat"/>
                <w:sz w:val="20"/>
                <w:szCs w:val="20"/>
                <w:lang w:val="hy-AM"/>
              </w:rPr>
              <w:t>նախատեսվում է ՀՀ-ում 100-150 ՄՎտ հզորությամբ էլեկտրակայանների կառուցում:</w:t>
            </w:r>
            <w:r w:rsidRPr="0053423A">
              <w:rPr>
                <w:rFonts w:ascii="GHEA Grapalat" w:hAnsi="GHEA Grapalat"/>
                <w:sz w:val="20"/>
                <w:szCs w:val="20"/>
                <w:lang w:val="hy-AM" w:eastAsia="en-NZ"/>
              </w:rPr>
              <w:t xml:space="preserve"> 2017 թվականի դեկտեմբեր ամսին ընկերությունը սկսել է քամու ներուժի գնահատման աշխատանքների իրականացումը:</w:t>
            </w:r>
            <w:r w:rsidRPr="0053423A">
              <w:rPr>
                <w:rFonts w:ascii="GHEA Grapalat" w:hAnsi="GHEA Grapalat"/>
                <w:sz w:val="20"/>
                <w:szCs w:val="20"/>
                <w:lang w:val="af-ZA" w:eastAsia="en-NZ"/>
              </w:rPr>
              <w:t xml:space="preserve"> </w:t>
            </w:r>
            <w:r w:rsidRPr="0053423A">
              <w:rPr>
                <w:rFonts w:ascii="GHEA Grapalat" w:hAnsi="GHEA Grapalat"/>
                <w:sz w:val="20"/>
                <w:szCs w:val="20"/>
                <w:lang w:val="hy-AM" w:eastAsia="en-NZ"/>
              </w:rPr>
              <w:t>«Աքսիոնա Էներգիա Գլոբալ Էս. Էլ.» ընկերությունը արդեն լիազոր մարմնին է ներկայացրել նախնական տեխնիկա-տնտեսական հիմնավորումը, որը գտնվում է քննարկման փուլում:</w:t>
            </w:r>
          </w:p>
          <w:p w:rsidR="0084615D" w:rsidRPr="0053423A" w:rsidRDefault="00795500" w:rsidP="001F6D5D">
            <w:pPr>
              <w:pStyle w:val="ListParagraph"/>
              <w:numPr>
                <w:ilvl w:val="1"/>
                <w:numId w:val="259"/>
              </w:numPr>
              <w:spacing w:after="0" w:line="276" w:lineRule="auto"/>
              <w:ind w:left="0" w:firstLine="270"/>
              <w:rPr>
                <w:b/>
                <w:sz w:val="20"/>
                <w:szCs w:val="20"/>
              </w:rPr>
            </w:pPr>
            <w:r w:rsidRPr="0053423A">
              <w:rPr>
                <w:b/>
                <w:sz w:val="20"/>
                <w:szCs w:val="20"/>
              </w:rPr>
              <w:t>Ա</w:t>
            </w:r>
            <w:r w:rsidR="0084615D" w:rsidRPr="0053423A">
              <w:rPr>
                <w:b/>
                <w:sz w:val="20"/>
                <w:szCs w:val="20"/>
              </w:rPr>
              <w:t>ռկա խնդիրների առաջարկվող լուծումները</w:t>
            </w:r>
          </w:p>
          <w:p w:rsidR="0084615D" w:rsidRPr="0053423A" w:rsidRDefault="0084615D" w:rsidP="00A67858">
            <w:pPr>
              <w:pStyle w:val="ListParagraph"/>
              <w:spacing w:after="0" w:line="276" w:lineRule="auto"/>
              <w:ind w:left="0"/>
              <w:jc w:val="both"/>
              <w:rPr>
                <w:sz w:val="20"/>
                <w:szCs w:val="20"/>
                <w:lang w:val="hy-AM"/>
              </w:rPr>
            </w:pPr>
            <w:r w:rsidRPr="0053423A">
              <w:rPr>
                <w:sz w:val="20"/>
                <w:szCs w:val="20"/>
                <w:lang w:val="hy-AM"/>
              </w:rPr>
              <w:t>Առաջարկվում է պետության կողմից աջակցություն ցուցաբերել մասնավոր ներդրողներին՝ գործընթացի ողջ ընթացքում ի հայտ եկած խնդիրների բացահայտման արդյունքում ծրագրերի պետական կառավարման լիազորությունների շրջանակներում՝ դրանց լուծում տալու միջոցով։</w:t>
            </w:r>
          </w:p>
          <w:p w:rsidR="0084615D" w:rsidRPr="0053423A" w:rsidRDefault="0084615D" w:rsidP="001F6D5D">
            <w:pPr>
              <w:pStyle w:val="ListParagraph"/>
              <w:numPr>
                <w:ilvl w:val="0"/>
                <w:numId w:val="258"/>
              </w:numPr>
              <w:spacing w:after="0" w:line="276" w:lineRule="auto"/>
              <w:rPr>
                <w:b/>
                <w:sz w:val="20"/>
                <w:szCs w:val="20"/>
              </w:rPr>
            </w:pPr>
            <w:r w:rsidRPr="0053423A">
              <w:rPr>
                <w:b/>
                <w:sz w:val="20"/>
                <w:szCs w:val="20"/>
              </w:rPr>
              <w:t>Միջոցառման իրակացումից ակնկալվող արդյունքը</w:t>
            </w:r>
          </w:p>
          <w:p w:rsidR="0084615D" w:rsidRPr="0053423A" w:rsidRDefault="0084615D" w:rsidP="00A67858">
            <w:pPr>
              <w:pStyle w:val="ListParagraph"/>
              <w:spacing w:after="0" w:line="276" w:lineRule="auto"/>
              <w:ind w:left="0"/>
              <w:jc w:val="both"/>
              <w:rPr>
                <w:sz w:val="20"/>
                <w:szCs w:val="20"/>
                <w:lang w:val="af-ZA"/>
              </w:rPr>
            </w:pPr>
            <w:r w:rsidRPr="0053423A">
              <w:rPr>
                <w:sz w:val="20"/>
                <w:szCs w:val="20"/>
                <w:lang w:val="hy-AM"/>
              </w:rPr>
              <w:t>Վերականգնվող էներգետիկ աղբյուրների կիրառմամբ արտադրական նոր հզորությունների ստեղծման արդյունքում` միջնաժամկետ հեռանկարում էներգետիկ համակարգում կստեղծվեն նորագույն և մաքուր («կանաչ») տեխնոլոգիաների կիրառմամբ արտադրական մոտ 415 ՄՎտ գումարային նոր հզորություններ, այդ թվում շուրջ 115 ՄՎտ գումարային հզորությամբ արևային էներգիայի կիրառմամբ, որոնք զգալիորեն կթեթևացնեն էներգետիկ համակարգում գործող արտադրական հզորությունների բեռը` նվազեցնելով կախվածությունը ներկրվող ածխաջրածնային վառելիքներից: Այդպիսով կդիվերսիֆիկացվի ՀՀ տնտեսությունը` էներգակիրների մատակարարման (ներկրման և(կամ) արտադրության) այլընտրանքային ուղիների ապահովման և նորագույն տեխնոլոգիաների կիրառման տեսակետից և կբարձրանա էներգետիկ անկախության աստիճանը:</w:t>
            </w:r>
            <w:r w:rsidRPr="0053423A">
              <w:rPr>
                <w:sz w:val="20"/>
                <w:szCs w:val="20"/>
                <w:lang w:val="af-ZA"/>
              </w:rPr>
              <w:t xml:space="preserve"> </w:t>
            </w:r>
          </w:p>
          <w:p w:rsidR="0084615D" w:rsidRPr="0053423A" w:rsidRDefault="0084615D" w:rsidP="00A67858">
            <w:pPr>
              <w:spacing w:after="0" w:line="276" w:lineRule="auto"/>
              <w:jc w:val="both"/>
              <w:rPr>
                <w:sz w:val="20"/>
                <w:szCs w:val="20"/>
                <w:lang w:val="hy-AM"/>
              </w:rPr>
            </w:pPr>
            <w:r w:rsidRPr="0053423A">
              <w:rPr>
                <w:sz w:val="20"/>
                <w:szCs w:val="20"/>
                <w:lang w:val="hy-AM"/>
              </w:rPr>
              <w:t>Ակնկալվում է, վերականգնվող առաջնային էներգիան մինչև 202</w:t>
            </w:r>
            <w:r w:rsidRPr="0053423A">
              <w:rPr>
                <w:sz w:val="20"/>
                <w:szCs w:val="20"/>
                <w:lang w:val="af-ZA"/>
              </w:rPr>
              <w:t>3</w:t>
            </w:r>
            <w:r w:rsidRPr="0053423A">
              <w:rPr>
                <w:sz w:val="20"/>
                <w:szCs w:val="20"/>
                <w:lang w:val="hy-AM"/>
              </w:rPr>
              <w:t xml:space="preserve"> թվականը հասցնել սպառվող ողջ էներգիայի մոտ 20 տոկոսին, որը բխում է նաև ՀՀ և ԵՄ 2017 թվականի համապարփակ և ընդլայնված գործընկերության համաձայնագրից:</w:t>
            </w:r>
          </w:p>
          <w:p w:rsidR="0084615D" w:rsidRPr="0053423A" w:rsidRDefault="0084615D" w:rsidP="00A67858">
            <w:pPr>
              <w:spacing w:after="0" w:line="276" w:lineRule="auto"/>
              <w:jc w:val="center"/>
              <w:rPr>
                <w:rFonts w:eastAsia="Times New Roman"/>
                <w:b/>
                <w:bCs/>
                <w:sz w:val="20"/>
                <w:szCs w:val="20"/>
                <w:lang w:val="hy-AM"/>
              </w:rPr>
            </w:pP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7</w:t>
            </w:r>
          </w:p>
        </w:tc>
        <w:tc>
          <w:tcPr>
            <w:tcW w:w="10879" w:type="dxa"/>
            <w:shd w:val="clear" w:color="auto" w:fill="auto"/>
          </w:tcPr>
          <w:p w:rsidR="0084615D" w:rsidRPr="0053423A" w:rsidRDefault="0084615D" w:rsidP="00A67858">
            <w:pPr>
              <w:pStyle w:val="mechtex"/>
              <w:tabs>
                <w:tab w:val="left" w:pos="345"/>
                <w:tab w:val="left" w:pos="2735"/>
              </w:tabs>
              <w:spacing w:line="276" w:lineRule="auto"/>
              <w:rPr>
                <w:rFonts w:ascii="GHEA Grapalat" w:hAnsi="GHEA Grapalat"/>
                <w:b/>
                <w:sz w:val="20"/>
                <w:lang w:val="hy-AM" w:eastAsia="en-US"/>
              </w:rPr>
            </w:pPr>
            <w:r w:rsidRPr="0053423A">
              <w:rPr>
                <w:rFonts w:ascii="GHEA Grapalat" w:hAnsi="GHEA Grapalat"/>
                <w:b/>
                <w:sz w:val="20"/>
                <w:lang w:val="hy-AM" w:eastAsia="en-US"/>
              </w:rPr>
              <w:t>Օրենսդրական դաշտի կատարելագործում և համապատասխանեցում ստանձնած միջազգային պարտավորություններին</w:t>
            </w:r>
          </w:p>
          <w:p w:rsidR="0084615D" w:rsidRPr="0053423A" w:rsidRDefault="0084615D" w:rsidP="00A67858">
            <w:pPr>
              <w:pStyle w:val="mechtex"/>
              <w:tabs>
                <w:tab w:val="left" w:pos="345"/>
                <w:tab w:val="left" w:pos="2735"/>
              </w:tabs>
              <w:spacing w:line="276" w:lineRule="auto"/>
              <w:rPr>
                <w:rFonts w:ascii="GHEA Grapalat" w:hAnsi="GHEA Grapalat"/>
                <w:b/>
                <w:sz w:val="20"/>
                <w:lang w:val="hy-AM" w:eastAsia="en-US"/>
              </w:rPr>
            </w:pP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7.1</w:t>
            </w:r>
            <w:r w:rsidRPr="0053423A">
              <w:rPr>
                <w:b/>
                <w:sz w:val="20"/>
                <w:szCs w:val="20"/>
                <w:u w:val="single"/>
                <w:lang w:val="af-ZA"/>
              </w:rPr>
              <w:tab/>
              <w:t>էներգետիկայի բնագավառի մի շարք տեխնիկական կանոնակարգերի ուժը կորցրած ճանաչելու և էներգետիկ օբյեկտների շահագործման և անվտանգության նոր կանոնների ու պահանջների մշակում</w:t>
            </w: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7.2 Վերականգնվող էներգետիկ ռեսուրսների առավելագույն և արդյունավետ օգտագործմանն ու էներգաարդյունավետության բարձրացմանն ուղղված նոր նորմատիվ իրավական ակտերի նախագծերի մշակում</w:t>
            </w:r>
          </w:p>
          <w:p w:rsidR="0084615D" w:rsidRPr="0053423A" w:rsidRDefault="0084615D" w:rsidP="00A67858">
            <w:pPr>
              <w:spacing w:after="0" w:line="276" w:lineRule="auto"/>
              <w:ind w:left="720"/>
              <w:jc w:val="center"/>
              <w:rPr>
                <w:i/>
                <w:sz w:val="20"/>
                <w:szCs w:val="20"/>
                <w:u w:val="single"/>
                <w:lang w:val="af-ZA"/>
              </w:rPr>
            </w:pPr>
          </w:p>
          <w:p w:rsidR="0084615D" w:rsidRPr="0053423A" w:rsidRDefault="0084615D" w:rsidP="00A67858">
            <w:pPr>
              <w:tabs>
                <w:tab w:val="left" w:pos="990"/>
              </w:tabs>
              <w:spacing w:after="0" w:line="276" w:lineRule="auto"/>
              <w:ind w:left="720"/>
              <w:rPr>
                <w:b/>
                <w:sz w:val="20"/>
                <w:szCs w:val="20"/>
                <w:lang w:val="hy-AM"/>
              </w:rPr>
            </w:pPr>
            <w:r w:rsidRPr="0053423A">
              <w:rPr>
                <w:b/>
                <w:sz w:val="20"/>
                <w:szCs w:val="20"/>
                <w:lang w:val="af-ZA"/>
              </w:rPr>
              <w:t>1.</w:t>
            </w:r>
            <w:r w:rsidRPr="0053423A">
              <w:rPr>
                <w:b/>
                <w:sz w:val="20"/>
                <w:szCs w:val="20"/>
                <w:lang w:val="af-ZA"/>
              </w:rPr>
              <w:tab/>
            </w:r>
            <w:r w:rsidRPr="0053423A">
              <w:rPr>
                <w:b/>
                <w:sz w:val="20"/>
                <w:szCs w:val="20"/>
                <w:lang w:val="hy-AM"/>
              </w:rPr>
              <w:t>Միջոցառման իրականացման անհրաժեշտությունը և նպատակը</w:t>
            </w:r>
          </w:p>
          <w:p w:rsidR="0084615D" w:rsidRPr="0053423A" w:rsidRDefault="0084615D" w:rsidP="00A67858">
            <w:pPr>
              <w:spacing w:after="0" w:line="276" w:lineRule="auto"/>
              <w:jc w:val="both"/>
              <w:rPr>
                <w:spacing w:val="-2"/>
                <w:sz w:val="20"/>
                <w:szCs w:val="20"/>
                <w:lang w:val="hy-AM"/>
              </w:rPr>
            </w:pPr>
            <w:r w:rsidRPr="0053423A">
              <w:rPr>
                <w:spacing w:val="-2"/>
                <w:sz w:val="20"/>
                <w:szCs w:val="20"/>
                <w:lang w:val="hy-AM"/>
              </w:rPr>
              <w:t xml:space="preserve">Միջոցառումը համահունչ է ՀՀ կառավարության 2019թ. փետրվարի 8-ի N 65-Ա որոշմամբ հաստատաված ՀՀ կառավարության ծրագրի 6.2. կետին, իսկ անհրաժեշտությունը բխում է «Էներգետիկայի մասին» ՀՀ օրենքի 5-րդ հոդվածի 1-ին մասի «ը» ենթակետի և 5.1-րդ հոդվածի 2-րդ մասի «բ» ենթակետի պահանջներից, որոնց համաձայն Էներգետիկայի բնագավառում պետական քաղաքականության հիմնական սկզբունքներից է էներգետիկայի բնագավառի անվտանգության ապահովումը և էներգետիկայի բնագավառում իրականացվող նորագույն և բարձր տեխնոլոգիաների ներդրման խթանման և զարգացմանն ուղղված շարունակական միջոցառումները: Հայաստանի Հանրապետությունում գործող էներգետիկայի բնագավառի տեխնիկական կանոնակարգերի թվում առկա են այնպիսիք, որոնք համաձայն նոր օրենսդրության պահանջների, չեն կարող հանդիսանալ որպես տեխնիկական կանոնակարգեր և հետևաբար, չեն կարող գրանցվել ոլորտի կանոնակարգումն իրականացնող համակարգող մարմնի կողմից վարվող տեխնիկական կանոնակարգերի գրանցամատյանում: Ելնելով վերոգրյալից, ՀՀ էներգետիկայի բնագավառում գործող տեխնիկական կանոնակարգերը Տեխնիկական կանոնակարգման մասին ՀՀ օրենքին համապատասխանեցնելու դեպքում անհրաժեշտ է մշակել </w:t>
            </w:r>
            <w:r w:rsidRPr="0053423A">
              <w:rPr>
                <w:spacing w:val="-2"/>
                <w:sz w:val="20"/>
                <w:szCs w:val="20"/>
                <w:lang w:val="hy-AM"/>
              </w:rPr>
              <w:br/>
              <w:t>ՀՀ կառավարության նորմատիվ որոշման նոր նախագծեր, նկատի ունենալով, որ էներգահամակարգի ընկերություններն ունեն սեփականության տարբեր ձևեր և դրանք աշխատում են ՀՀ օրենսդրության շրջանակներում, իսկ խնդրո առարկա նորմատիվ ակտերը պարունակում են նաև այնպիսի նորմեր, որոնք պարտադիր են կատարման բոլոր կազմակերպությունների համար, անկախ դրանց սեփականության ձևից:</w:t>
            </w:r>
          </w:p>
          <w:p w:rsidR="0084615D" w:rsidRPr="0053423A" w:rsidRDefault="0084615D" w:rsidP="00A67858">
            <w:pPr>
              <w:spacing w:after="0" w:line="276" w:lineRule="auto"/>
              <w:ind w:firstLine="630"/>
              <w:jc w:val="both"/>
              <w:rPr>
                <w:spacing w:val="-2"/>
                <w:sz w:val="20"/>
                <w:szCs w:val="20"/>
                <w:lang w:val="hy-AM"/>
              </w:rPr>
            </w:pPr>
            <w:r w:rsidRPr="0053423A">
              <w:rPr>
                <w:spacing w:val="-2"/>
                <w:sz w:val="20"/>
                <w:szCs w:val="20"/>
                <w:lang w:val="hy-AM"/>
              </w:rPr>
              <w:t>Հայաստանի Հանրապետության և Եվրոպական Միության և Ատոմային էներգիայի Եվրոպական համայնքի ու դրանց անդամ պետությունների միջև ստորագրված համապարփակ և ընդլայնված գործընկերության համաձայնագրով Հայաստանի Հանրապետությունը պարտավորվել է սահմանված ժամկետներում աստիճանաբար մոտարկել իր օրենսդրությունը Եվրոպական միության համաձայնագրով ֆիքսված օրենսդրությանը, ինչպես նաև անհրաժեշտ է հնարավորինս նվազեցնել կախվածությունը ներկրվող ածխաջրածնային էներգակիրներից՝ դրանց այլընտրանք հանդիսացող սեփական վերականգնվող էներգառեսուրսների առավելագույն և արդյունավետ կիրառման նպատակով։</w:t>
            </w:r>
            <w:r w:rsidRPr="0053423A">
              <w:rPr>
                <w:sz w:val="20"/>
                <w:szCs w:val="20"/>
                <w:lang w:val="hy-AM"/>
              </w:rPr>
              <w:t xml:space="preserve"> </w:t>
            </w:r>
          </w:p>
          <w:p w:rsidR="0084615D" w:rsidRPr="0053423A" w:rsidRDefault="00795500" w:rsidP="001F6D5D">
            <w:pPr>
              <w:pStyle w:val="ListParagraph"/>
              <w:numPr>
                <w:ilvl w:val="1"/>
                <w:numId w:val="287"/>
              </w:numPr>
              <w:tabs>
                <w:tab w:val="left" w:pos="720"/>
                <w:tab w:val="left" w:pos="1170"/>
              </w:tabs>
              <w:spacing w:after="0" w:line="276" w:lineRule="auto"/>
              <w:rPr>
                <w:b/>
                <w:sz w:val="20"/>
                <w:szCs w:val="20"/>
                <w:lang w:val="hy-AM"/>
              </w:rPr>
            </w:pPr>
            <w:r w:rsidRPr="0053423A">
              <w:rPr>
                <w:rFonts w:cs="Sylfaen"/>
                <w:b/>
                <w:sz w:val="20"/>
                <w:szCs w:val="20"/>
                <w:lang w:val="hy-AM"/>
              </w:rPr>
              <w:t>Կ</w:t>
            </w:r>
            <w:r w:rsidR="0084615D" w:rsidRPr="0053423A">
              <w:rPr>
                <w:rFonts w:cs="Sylfaen"/>
                <w:b/>
                <w:sz w:val="20"/>
                <w:szCs w:val="20"/>
                <w:lang w:val="hy-AM"/>
              </w:rPr>
              <w:t>արգավորման</w:t>
            </w:r>
            <w:r w:rsidR="0084615D" w:rsidRPr="0053423A">
              <w:rPr>
                <w:b/>
                <w:sz w:val="20"/>
                <w:szCs w:val="20"/>
                <w:lang w:val="hy-AM"/>
              </w:rPr>
              <w:t xml:space="preserve"> հարաբերությունների ներկա վիճակը և առկա խնդիրները</w:t>
            </w:r>
          </w:p>
          <w:p w:rsidR="0084615D" w:rsidRPr="0053423A" w:rsidRDefault="0084615D" w:rsidP="00A67858">
            <w:pPr>
              <w:tabs>
                <w:tab w:val="left" w:pos="90"/>
              </w:tabs>
              <w:spacing w:after="0" w:line="276" w:lineRule="auto"/>
              <w:jc w:val="both"/>
              <w:rPr>
                <w:spacing w:val="-2"/>
                <w:sz w:val="20"/>
                <w:szCs w:val="20"/>
                <w:lang w:val="hy-AM"/>
              </w:rPr>
            </w:pPr>
            <w:r w:rsidRPr="0053423A">
              <w:rPr>
                <w:spacing w:val="-2"/>
                <w:sz w:val="20"/>
                <w:szCs w:val="20"/>
                <w:lang w:val="hy-AM"/>
              </w:rPr>
              <w:t xml:space="preserve">Ներկայումս էներգետիկայի բնագավառում գործող մի շարք տեխնիկական կանոնակարգեր հաստատվել են Ստանդարտացման մասին ՀՀ օրենքի 8-րդ հոդվածի պահանջներին համապատասխան, որը ուժը կորցրել է պայմանավորված նոր օրենքի ընդունմամբ: Քանի որ համաձայն Տեխնիկական կանոնակարգման մասին ՀՀ օրենքի, սահմանազատվել են ծառայություններին և արտադրանքին ներկայացվող պահանջները, ապա նշված տեխնիկական կանոնակարգերը նոր օրենսդրությամբ չեն կարող հանդիսանալ որպես տեխնիկական կանոնակարգեր և հետևաբար չեն կարող գրանցվել ոլորտի կանոնակարգումն իրականացնող համակարգող մարմնի կողմից վարվող տեխնիկական կանոնակարգերի գրանցամատյանում, որի հետևանքով իրավական դաշտը բաց կմնա: Ուստի, անհրաժեշտ է մշակել նոր նորմատիվ իրավական ակտեր, որոնք կհամապատասխանեն «Էներգետիկայի մասին» ՀՀ օրենքի 5-րդ հոդվածի 1-ին մասի «ը» և 5.1-րդ հոդվածի 2-րդ մասի «բ» ենթակետերի պահանջներին, ինչպես նաև ԵԱՏՄ ստանձնած պարտավորություններին: </w:t>
            </w:r>
          </w:p>
          <w:p w:rsidR="0084615D" w:rsidRPr="0053423A" w:rsidRDefault="0084615D" w:rsidP="00A67858">
            <w:pPr>
              <w:spacing w:after="0" w:line="276" w:lineRule="auto"/>
              <w:jc w:val="both"/>
              <w:rPr>
                <w:spacing w:val="-2"/>
                <w:sz w:val="20"/>
                <w:szCs w:val="20"/>
                <w:lang w:val="hy-AM"/>
              </w:rPr>
            </w:pPr>
            <w:r w:rsidRPr="0053423A">
              <w:rPr>
                <w:spacing w:val="-2"/>
                <w:sz w:val="20"/>
                <w:szCs w:val="20"/>
                <w:lang w:val="hy-AM"/>
              </w:rPr>
              <w:t>ՀՀ օրենսդրությունը չի նախատեսում որոշակի թիրախներ վերականգնվող էներգետիկայի հեռանկարային զարգացման համար։ ՀՀ օրենսդրությամբ ամրագրված չեն նաև որոշ տերմինների սահմանումները, ինչպես նաև ածխաջրածնային վառելիքներին այլընտրանք հանդիսացող էներգակիրների շուկայահանումը և դրա համար համապատասխան ենթակառուցվածքների զարգացումը ապահովող համապատասխան դրույթները։</w:t>
            </w:r>
          </w:p>
          <w:p w:rsidR="0084615D" w:rsidRPr="0053423A" w:rsidRDefault="00795500" w:rsidP="001F6D5D">
            <w:pPr>
              <w:pStyle w:val="ListParagraph"/>
              <w:numPr>
                <w:ilvl w:val="1"/>
                <w:numId w:val="287"/>
              </w:numPr>
              <w:tabs>
                <w:tab w:val="left" w:pos="990"/>
                <w:tab w:val="left" w:pos="1170"/>
              </w:tabs>
              <w:spacing w:after="0" w:line="276" w:lineRule="auto"/>
              <w:rPr>
                <w:b/>
                <w:sz w:val="20"/>
                <w:szCs w:val="20"/>
              </w:rPr>
            </w:pPr>
            <w:r w:rsidRPr="0053423A">
              <w:rPr>
                <w:b/>
                <w:sz w:val="20"/>
                <w:szCs w:val="20"/>
                <w:lang w:val="hy-AM"/>
              </w:rPr>
              <w:t xml:space="preserve"> </w:t>
            </w:r>
            <w:r w:rsidRPr="0053423A">
              <w:rPr>
                <w:b/>
                <w:sz w:val="20"/>
                <w:szCs w:val="20"/>
              </w:rPr>
              <w:t>Ա</w:t>
            </w:r>
            <w:r w:rsidR="0084615D" w:rsidRPr="0053423A">
              <w:rPr>
                <w:b/>
                <w:sz w:val="20"/>
                <w:szCs w:val="20"/>
              </w:rPr>
              <w:t>ռկա խնդիրների առաջարկվող լուծումները</w:t>
            </w:r>
          </w:p>
          <w:p w:rsidR="0084615D" w:rsidRPr="0053423A" w:rsidRDefault="0084615D" w:rsidP="00A67858">
            <w:pPr>
              <w:spacing w:after="0" w:line="276" w:lineRule="auto"/>
              <w:jc w:val="both"/>
              <w:rPr>
                <w:spacing w:val="-2"/>
                <w:sz w:val="20"/>
                <w:szCs w:val="20"/>
              </w:rPr>
            </w:pPr>
            <w:r w:rsidRPr="0053423A">
              <w:rPr>
                <w:spacing w:val="-2"/>
                <w:sz w:val="20"/>
                <w:szCs w:val="20"/>
                <w:lang w:val="hy-AM"/>
              </w:rPr>
              <w:t>Ուժը կորցրած ճանաչել էներգետիկայի բնագավառի մի շարք տեխնիկական կանոնակարգեր, մշակել էներգետիկ օբյեկտների շահագործման և անվտանգության նոր կանոններ ու պահանջներ, ինչպես նաև փոփոխություններ և լրացումներ կատարել «Էներգախնայողության և վերականգնվող էներգետիկայի մասին» ՀՀ օրենքում։</w:t>
            </w:r>
            <w:r w:rsidRPr="0053423A">
              <w:rPr>
                <w:spacing w:val="-2"/>
                <w:sz w:val="20"/>
                <w:szCs w:val="20"/>
              </w:rPr>
              <w:t xml:space="preserve"> Միջոցառման մշակման աշխատանքներում համակատարող հանդիսանում է ՀՀ տնտեսական զարգացման և ներդրումների նախարարությունը՝  որպես ՀՀ-ում տեխնիկական կանոնակարգման պետական լիազոր մարմինն:</w:t>
            </w:r>
          </w:p>
          <w:p w:rsidR="0084615D" w:rsidRPr="0053423A" w:rsidRDefault="0084615D" w:rsidP="001F6D5D">
            <w:pPr>
              <w:pStyle w:val="ListParagraph"/>
              <w:numPr>
                <w:ilvl w:val="0"/>
                <w:numId w:val="287"/>
              </w:numPr>
              <w:tabs>
                <w:tab w:val="left" w:pos="1080"/>
              </w:tabs>
              <w:spacing w:after="0" w:line="276" w:lineRule="auto"/>
              <w:ind w:left="720" w:firstLine="0"/>
              <w:rPr>
                <w:b/>
                <w:sz w:val="20"/>
                <w:szCs w:val="20"/>
              </w:rPr>
            </w:pPr>
            <w:r w:rsidRPr="0053423A">
              <w:rPr>
                <w:rFonts w:cs="Sylfaen"/>
                <w:b/>
                <w:sz w:val="20"/>
                <w:szCs w:val="20"/>
              </w:rPr>
              <w:t>Միջոցառման</w:t>
            </w:r>
            <w:r w:rsidRPr="0053423A">
              <w:rPr>
                <w:b/>
                <w:sz w:val="20"/>
                <w:szCs w:val="20"/>
              </w:rPr>
              <w:t xml:space="preserve"> իրակացումից ակնկալվող արդյունքը</w:t>
            </w:r>
          </w:p>
          <w:p w:rsidR="0084615D" w:rsidRPr="0053423A" w:rsidRDefault="0084615D" w:rsidP="00A67858">
            <w:pPr>
              <w:tabs>
                <w:tab w:val="left" w:pos="1170"/>
              </w:tabs>
              <w:spacing w:after="0" w:line="276" w:lineRule="auto"/>
              <w:jc w:val="both"/>
              <w:rPr>
                <w:spacing w:val="-2"/>
                <w:sz w:val="20"/>
                <w:szCs w:val="20"/>
                <w:lang w:val="hy-AM"/>
              </w:rPr>
            </w:pPr>
            <w:r w:rsidRPr="0053423A">
              <w:rPr>
                <w:spacing w:val="-2"/>
                <w:sz w:val="20"/>
                <w:szCs w:val="20"/>
                <w:lang w:val="hy-AM"/>
              </w:rPr>
              <w:t>Կսահմանվեն անվտանգության նոր պահանջներ մատակարարների և բնակիչ սպառողների համար՝ անկախ սեփականության ձևից:</w:t>
            </w:r>
          </w:p>
          <w:p w:rsidR="0084615D" w:rsidRPr="0053423A" w:rsidRDefault="0084615D" w:rsidP="00A67858">
            <w:pPr>
              <w:tabs>
                <w:tab w:val="left" w:pos="1170"/>
              </w:tabs>
              <w:spacing w:after="0" w:line="276" w:lineRule="auto"/>
              <w:jc w:val="both"/>
              <w:rPr>
                <w:spacing w:val="-2"/>
                <w:sz w:val="20"/>
                <w:szCs w:val="20"/>
                <w:lang w:val="hy-AM"/>
              </w:rPr>
            </w:pPr>
            <w:r w:rsidRPr="0053423A">
              <w:rPr>
                <w:spacing w:val="-2"/>
                <w:sz w:val="20"/>
                <w:szCs w:val="20"/>
                <w:lang w:val="hy-AM"/>
              </w:rPr>
              <w:t>Կստեղծվեն օրենսդրական հիմքեր վերականգնվող էներգետիկայի հեռանկարային թիրախային զարգացման, ինչպես նաև ածխաջրածնային վառելիքներին այլընտրանք հանդիսացող էներգակիրների շուկայահանմամ և դրա համար համապատասխան ենթակառուցվածքների զարգացման համար։</w:t>
            </w:r>
          </w:p>
          <w:p w:rsidR="0084615D" w:rsidRPr="0053423A" w:rsidRDefault="0084615D" w:rsidP="00A67858">
            <w:pPr>
              <w:spacing w:after="0" w:line="276" w:lineRule="auto"/>
              <w:jc w:val="center"/>
              <w:rPr>
                <w:rFonts w:eastAsia="Times New Roman"/>
                <w:b/>
                <w:bCs/>
                <w:sz w:val="20"/>
                <w:szCs w:val="20"/>
                <w:lang w:val="hy-AM"/>
              </w:rPr>
            </w:pPr>
          </w:p>
        </w:tc>
      </w:tr>
      <w:tr w:rsidR="0084615D" w:rsidRPr="00DE2EFA" w:rsidTr="00844C90">
        <w:trPr>
          <w:trHeight w:val="525"/>
        </w:trPr>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8</w:t>
            </w:r>
          </w:p>
        </w:tc>
        <w:tc>
          <w:tcPr>
            <w:tcW w:w="10879" w:type="dxa"/>
            <w:shd w:val="clear" w:color="auto" w:fill="auto"/>
          </w:tcPr>
          <w:p w:rsidR="0084615D" w:rsidRPr="0053423A" w:rsidRDefault="0084615D" w:rsidP="00A67858">
            <w:pPr>
              <w:spacing w:after="0" w:line="276" w:lineRule="auto"/>
              <w:jc w:val="center"/>
              <w:rPr>
                <w:rFonts w:cs="Sylfaen"/>
                <w:b/>
                <w:sz w:val="20"/>
                <w:szCs w:val="20"/>
                <w:lang w:val="af-ZA"/>
              </w:rPr>
            </w:pPr>
            <w:r w:rsidRPr="0053423A">
              <w:rPr>
                <w:rFonts w:cs="Sylfaen"/>
                <w:b/>
                <w:sz w:val="20"/>
                <w:szCs w:val="20"/>
                <w:lang w:val="af-ZA"/>
              </w:rPr>
              <w:t>Հայաստանի Հանրապետության էներգախնայողության և վերականգնվող էներգետիկայի 2021-2030 թվականների ազգային ծրագրի մշակում</w:t>
            </w:r>
          </w:p>
          <w:p w:rsidR="0084615D" w:rsidRPr="0053423A" w:rsidRDefault="0084615D" w:rsidP="00A67858">
            <w:pPr>
              <w:spacing w:after="0" w:line="276" w:lineRule="auto"/>
              <w:jc w:val="center"/>
              <w:rPr>
                <w:rFonts w:cs="Sylfaen"/>
                <w:b/>
                <w:sz w:val="20"/>
                <w:szCs w:val="20"/>
                <w:lang w:val="af-ZA"/>
              </w:rPr>
            </w:pP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Ազգային նոր ծրագրի մշակման աշխատանքների իրականացում</w:t>
            </w:r>
          </w:p>
          <w:p w:rsidR="0084615D" w:rsidRPr="0053423A" w:rsidRDefault="0084615D" w:rsidP="00A67858">
            <w:pPr>
              <w:pStyle w:val="ListParagraph"/>
              <w:spacing w:after="0" w:line="276" w:lineRule="auto"/>
              <w:jc w:val="both"/>
              <w:rPr>
                <w:b/>
                <w:i/>
                <w:sz w:val="20"/>
                <w:szCs w:val="20"/>
                <w:u w:val="single"/>
                <w:lang w:val="ro-RO"/>
              </w:rPr>
            </w:pPr>
          </w:p>
          <w:p w:rsidR="0084615D" w:rsidRPr="0053423A" w:rsidRDefault="0084615D" w:rsidP="001F6D5D">
            <w:pPr>
              <w:numPr>
                <w:ilvl w:val="0"/>
                <w:numId w:val="256"/>
              </w:numPr>
              <w:tabs>
                <w:tab w:val="left" w:pos="1170"/>
              </w:tabs>
              <w:spacing w:after="0" w:line="276" w:lineRule="auto"/>
              <w:ind w:firstLine="360"/>
              <w:rPr>
                <w:b/>
                <w:sz w:val="20"/>
                <w:szCs w:val="20"/>
                <w:lang w:val="hy-AM"/>
              </w:rPr>
            </w:pPr>
            <w:r w:rsidRPr="0053423A">
              <w:rPr>
                <w:b/>
                <w:sz w:val="20"/>
                <w:szCs w:val="20"/>
                <w:lang w:val="hy-AM"/>
              </w:rPr>
              <w:t>Միջոցառման իրականացման անհրաժեշտությունը և նպատակը</w:t>
            </w:r>
          </w:p>
          <w:p w:rsidR="0084615D" w:rsidRPr="0053423A" w:rsidRDefault="0084615D" w:rsidP="00A67858">
            <w:pPr>
              <w:pStyle w:val="ListParagraph"/>
              <w:spacing w:after="0" w:line="276" w:lineRule="auto"/>
              <w:ind w:left="0"/>
              <w:jc w:val="both"/>
              <w:rPr>
                <w:spacing w:val="-2"/>
                <w:sz w:val="20"/>
                <w:szCs w:val="20"/>
                <w:lang w:val="hy-AM"/>
              </w:rPr>
            </w:pPr>
            <w:r w:rsidRPr="0053423A">
              <w:rPr>
                <w:rFonts w:cs="Sylfaen"/>
                <w:spacing w:val="-4"/>
                <w:sz w:val="20"/>
                <w:szCs w:val="20"/>
                <w:lang w:val="ro-RO" w:eastAsia="en-GB"/>
              </w:rPr>
              <w:t xml:space="preserve">Միջոցառման </w:t>
            </w:r>
            <w:r w:rsidRPr="0053423A">
              <w:rPr>
                <w:rFonts w:cs="Sylfaen"/>
                <w:spacing w:val="-4"/>
                <w:sz w:val="20"/>
                <w:szCs w:val="20"/>
                <w:lang w:val="hy-AM" w:eastAsia="en-GB"/>
              </w:rPr>
              <w:t>անհրաժեշտությունը</w:t>
            </w:r>
            <w:r w:rsidRPr="0053423A">
              <w:rPr>
                <w:rFonts w:cs="Sylfaen"/>
                <w:spacing w:val="-4"/>
                <w:sz w:val="20"/>
                <w:szCs w:val="20"/>
                <w:lang w:val="ro-RO" w:eastAsia="en-GB"/>
              </w:rPr>
              <w:t xml:space="preserve"> </w:t>
            </w:r>
            <w:r w:rsidRPr="0053423A">
              <w:rPr>
                <w:rFonts w:cs="Sylfaen"/>
                <w:spacing w:val="-4"/>
                <w:sz w:val="20"/>
                <w:szCs w:val="20"/>
                <w:lang w:val="hy-AM" w:eastAsia="en-GB"/>
              </w:rPr>
              <w:t>բխում</w:t>
            </w:r>
            <w:r w:rsidRPr="0053423A">
              <w:rPr>
                <w:rFonts w:cs="Sylfaen"/>
                <w:spacing w:val="-4"/>
                <w:sz w:val="20"/>
                <w:szCs w:val="20"/>
                <w:lang w:val="ro-RO" w:eastAsia="en-GB"/>
              </w:rPr>
              <w:t xml:space="preserve"> </w:t>
            </w:r>
            <w:r w:rsidRPr="0053423A">
              <w:rPr>
                <w:rFonts w:cs="Sylfaen"/>
                <w:spacing w:val="-4"/>
                <w:sz w:val="20"/>
                <w:szCs w:val="20"/>
                <w:lang w:val="hy-AM" w:eastAsia="en-GB"/>
              </w:rPr>
              <w:t xml:space="preserve">է </w:t>
            </w:r>
            <w:r w:rsidRPr="0053423A">
              <w:rPr>
                <w:spacing w:val="-2"/>
                <w:sz w:val="20"/>
                <w:szCs w:val="20"/>
                <w:lang w:val="hy-AM"/>
              </w:rPr>
              <w:t>ՀՀ կառավարության 2019թ. փետրվարի 8-ի N 65-Ա որոշմամբ հաստատաված ՀՀ կառավարության ծրագրի 6.2. կետի և</w:t>
            </w:r>
            <w:r w:rsidRPr="0053423A">
              <w:rPr>
                <w:rFonts w:cs="Sylfaen"/>
                <w:spacing w:val="-4"/>
                <w:sz w:val="20"/>
                <w:szCs w:val="20"/>
                <w:lang w:val="ro-RO" w:eastAsia="en-GB"/>
              </w:rPr>
              <w:t xml:space="preserve"> </w:t>
            </w:r>
            <w:r w:rsidRPr="0053423A">
              <w:rPr>
                <w:rFonts w:cs="Sylfaen"/>
                <w:spacing w:val="-4"/>
                <w:sz w:val="20"/>
                <w:szCs w:val="20"/>
                <w:lang w:val="hy-AM" w:eastAsia="en-GB"/>
              </w:rPr>
              <w:t xml:space="preserve">«Էներգախնայողության և վերականգնվող էներգետիկայի մասին» ՀՀ օրենքի 5-րդ հոդվածի 2-րդ մասի «ժ» ենթակետի </w:t>
            </w:r>
            <w:r w:rsidRPr="0053423A">
              <w:rPr>
                <w:rFonts w:cs="Sylfaen"/>
                <w:spacing w:val="-8"/>
                <w:sz w:val="20"/>
                <w:szCs w:val="20"/>
                <w:lang w:val="hy-AM" w:eastAsia="en-GB"/>
              </w:rPr>
              <w:t>պահանջների</w:t>
            </w:r>
            <w:r w:rsidRPr="0053423A">
              <w:rPr>
                <w:spacing w:val="-8"/>
                <w:sz w:val="20"/>
                <w:szCs w:val="20"/>
                <w:lang w:val="af-ZA" w:eastAsia="en-GB"/>
              </w:rPr>
              <w:t>ց</w:t>
            </w:r>
            <w:r w:rsidRPr="0053423A">
              <w:rPr>
                <w:sz w:val="20"/>
                <w:szCs w:val="20"/>
                <w:lang w:val="hy-AM" w:eastAsia="en-GB"/>
              </w:rPr>
              <w:t xml:space="preserve">: </w:t>
            </w:r>
            <w:r w:rsidRPr="0053423A">
              <w:rPr>
                <w:rFonts w:cs="Sylfaen"/>
                <w:spacing w:val="-4"/>
                <w:sz w:val="20"/>
                <w:szCs w:val="20"/>
                <w:lang w:val="hy-AM" w:eastAsia="en-GB"/>
              </w:rPr>
              <w:t>Հաշվի առնելով էներգետիկ անվտանգության կարևորությունը երկրի տնտեսության զարգացման և ազգային անվտանգության համար, ՀՀ-ը որդեգրել է այն ամրապնդելու և բարձրացնելու քաղաքականությունը և շարունակական քայլեր է ձեռնարկում այդ ուղղությամբ: ՀՀ կառավարության նոր ազգային ծրագրի մշակումը պայմանավորված է ՀՀ տնտեսական և էներգետիկ անվտանգության, էներգետիկ համակարգի հուսալիության աստիճանի բարձրացման, տնտեսական և էներգետիկ անկախության ամրապնդման, էներգախնայողությունը և վերականգնվող էներգետիկայի զարգացումը խթանող նոր արտադրությունների ստեղծման և ծառայությունների կազմակերպման, ինչպես նաև շրջակա միջավայրի, մարդու առողջության վրա տեխնածին ազդեցության նվազեցմանն առնչվող հանգամանքներով:</w:t>
            </w:r>
          </w:p>
          <w:p w:rsidR="0084615D" w:rsidRPr="0053423A" w:rsidRDefault="00795500" w:rsidP="001F6D5D">
            <w:pPr>
              <w:pStyle w:val="ListParagraph"/>
              <w:numPr>
                <w:ilvl w:val="1"/>
                <w:numId w:val="257"/>
              </w:numPr>
              <w:tabs>
                <w:tab w:val="left" w:pos="1260"/>
              </w:tabs>
              <w:spacing w:after="0" w:line="276" w:lineRule="auto"/>
              <w:ind w:firstLine="75"/>
              <w:jc w:val="both"/>
              <w:rPr>
                <w:rFonts w:eastAsia="Times New Roman"/>
                <w:b/>
                <w:sz w:val="20"/>
                <w:szCs w:val="20"/>
                <w:lang w:val="hy-AM"/>
              </w:rPr>
            </w:pPr>
            <w:r w:rsidRPr="0053423A">
              <w:rPr>
                <w:rFonts w:cs="Sylfaen"/>
                <w:b/>
                <w:sz w:val="20"/>
                <w:szCs w:val="20"/>
                <w:lang w:val="hy-AM"/>
              </w:rPr>
              <w:t>Կ</w:t>
            </w:r>
            <w:r w:rsidR="0084615D" w:rsidRPr="0053423A">
              <w:rPr>
                <w:rFonts w:cs="Sylfaen"/>
                <w:b/>
                <w:sz w:val="20"/>
                <w:szCs w:val="20"/>
                <w:lang w:val="hy-AM"/>
              </w:rPr>
              <w:t>արգավորման</w:t>
            </w:r>
            <w:r w:rsidR="0084615D" w:rsidRPr="0053423A">
              <w:rPr>
                <w:b/>
                <w:sz w:val="20"/>
                <w:szCs w:val="20"/>
                <w:lang w:val="pt-BR"/>
              </w:rPr>
              <w:t xml:space="preserve"> </w:t>
            </w:r>
            <w:r w:rsidR="0084615D" w:rsidRPr="0053423A">
              <w:rPr>
                <w:b/>
                <w:sz w:val="20"/>
                <w:szCs w:val="20"/>
                <w:lang w:val="hy-AM"/>
              </w:rPr>
              <w:t>հարաբերությունների</w:t>
            </w:r>
            <w:r w:rsidR="0084615D" w:rsidRPr="0053423A">
              <w:rPr>
                <w:b/>
                <w:sz w:val="20"/>
                <w:szCs w:val="20"/>
                <w:lang w:val="pt-BR"/>
              </w:rPr>
              <w:t xml:space="preserve"> </w:t>
            </w:r>
            <w:r w:rsidR="0084615D" w:rsidRPr="0053423A">
              <w:rPr>
                <w:b/>
                <w:sz w:val="20"/>
                <w:szCs w:val="20"/>
                <w:lang w:val="hy-AM"/>
              </w:rPr>
              <w:t>ներկա</w:t>
            </w:r>
            <w:r w:rsidR="0084615D" w:rsidRPr="0053423A">
              <w:rPr>
                <w:b/>
                <w:sz w:val="20"/>
                <w:szCs w:val="20"/>
                <w:lang w:val="pt-BR"/>
              </w:rPr>
              <w:t xml:space="preserve"> </w:t>
            </w:r>
            <w:r w:rsidR="0084615D" w:rsidRPr="0053423A">
              <w:rPr>
                <w:b/>
                <w:sz w:val="20"/>
                <w:szCs w:val="20"/>
                <w:lang w:val="hy-AM"/>
              </w:rPr>
              <w:t>վիճակը</w:t>
            </w:r>
            <w:r w:rsidR="0084615D" w:rsidRPr="0053423A">
              <w:rPr>
                <w:b/>
                <w:sz w:val="20"/>
                <w:szCs w:val="20"/>
                <w:lang w:val="pt-BR"/>
              </w:rPr>
              <w:t xml:space="preserve"> </w:t>
            </w:r>
            <w:r w:rsidR="0084615D" w:rsidRPr="0053423A">
              <w:rPr>
                <w:b/>
                <w:sz w:val="20"/>
                <w:szCs w:val="20"/>
                <w:lang w:val="hy-AM"/>
              </w:rPr>
              <w:t>և</w:t>
            </w:r>
            <w:r w:rsidR="0084615D" w:rsidRPr="0053423A">
              <w:rPr>
                <w:b/>
                <w:sz w:val="20"/>
                <w:szCs w:val="20"/>
                <w:lang w:val="pt-BR"/>
              </w:rPr>
              <w:t xml:space="preserve"> </w:t>
            </w:r>
            <w:r w:rsidR="0084615D" w:rsidRPr="0053423A">
              <w:rPr>
                <w:b/>
                <w:sz w:val="20"/>
                <w:szCs w:val="20"/>
                <w:lang w:val="hy-AM"/>
              </w:rPr>
              <w:t>առկա</w:t>
            </w:r>
            <w:r w:rsidR="0084615D" w:rsidRPr="0053423A">
              <w:rPr>
                <w:b/>
                <w:sz w:val="20"/>
                <w:szCs w:val="20"/>
                <w:lang w:val="pt-BR"/>
              </w:rPr>
              <w:t xml:space="preserve"> </w:t>
            </w:r>
            <w:r w:rsidR="0084615D" w:rsidRPr="0053423A">
              <w:rPr>
                <w:b/>
                <w:sz w:val="20"/>
                <w:szCs w:val="20"/>
                <w:lang w:val="hy-AM"/>
              </w:rPr>
              <w:t>խնդիրները</w:t>
            </w:r>
          </w:p>
          <w:p w:rsidR="0084615D" w:rsidRPr="0053423A" w:rsidRDefault="0084615D" w:rsidP="00A67858">
            <w:pPr>
              <w:pStyle w:val="ListParagraph"/>
              <w:spacing w:after="0" w:line="276" w:lineRule="auto"/>
              <w:ind w:left="0"/>
              <w:jc w:val="both"/>
              <w:rPr>
                <w:rFonts w:cs="Sylfaen"/>
                <w:spacing w:val="-4"/>
                <w:sz w:val="20"/>
                <w:szCs w:val="20"/>
                <w:lang w:val="ro-RO" w:eastAsia="en-GB"/>
              </w:rPr>
            </w:pPr>
            <w:r w:rsidRPr="0053423A">
              <w:rPr>
                <w:rFonts w:cs="Sylfaen"/>
                <w:spacing w:val="-4"/>
                <w:sz w:val="20"/>
                <w:szCs w:val="20"/>
                <w:lang w:val="ro-RO" w:eastAsia="en-GB"/>
              </w:rPr>
              <w:t>Էներգախնայողության խթանմանն ուղղված հիմնական փաստաթղթերից մեկը Հայաստանի Հանրապետության էներգախնայողության և վերականգնվող էներգետիկայի ազգային ծրագիրն է, որը հավանության է արժանացել ՀՀ կառավարության կողմից 2007թ. № 2 արձանագրային որոշմամբ: Այդ ծրագիրը բխում է «Էներգախնայողության և վերականգնվող էներգետիկայի մասին» ՀՀ օրենքի 5-րդ հոդվածի 2-րդ մասի «ժ» ենթակետի դրույթից և սահմանում է միջոցառումներ մինչև 2020թ. ընկած ժամանակահատվածի համար: Ըստ այդ ծրագրի էներգախնայողության խթանման համար սահմանված են գործողություններ տասնամյա հեռանկարում՝ 2011-2020թթ.: Միաժամանակ սահմանված են փուլային մոտեցում՝ այդ գործողությունների և համապատասխան թիրախների վերանայման, դրանց արդյունքների գնահատման, փոփոխված իրավիճակի գնահատման արդյունքում՝ նոր գործողությունների և թիրախների սահմանման նպատակով: Ըստ այդմ, նոր ազգային ծրագրի մշակումը հանդիսանալու է 2011-2020 թվականների Հայաստանի Հանրապետության էներգախնայողության գործողությունների ազգային ծրագրի տրամաբանական շարունակությունը՝ հաջորդ տասնամյակի համար:</w:t>
            </w:r>
          </w:p>
          <w:p w:rsidR="0084615D" w:rsidRPr="0053423A" w:rsidRDefault="0084615D" w:rsidP="00A67858">
            <w:pPr>
              <w:tabs>
                <w:tab w:val="left" w:pos="1170"/>
              </w:tabs>
              <w:spacing w:after="0" w:line="276" w:lineRule="auto"/>
              <w:ind w:left="750"/>
              <w:rPr>
                <w:b/>
                <w:i/>
                <w:sz w:val="20"/>
                <w:szCs w:val="20"/>
                <w:lang w:val="hy-AM"/>
              </w:rPr>
            </w:pPr>
            <w:r w:rsidRPr="0053423A">
              <w:rPr>
                <w:rFonts w:cs="Sylfaen"/>
                <w:b/>
                <w:sz w:val="20"/>
                <w:szCs w:val="20"/>
                <w:lang w:val="hy-AM"/>
              </w:rPr>
              <w:t>1.2</w:t>
            </w:r>
            <w:r w:rsidRPr="0053423A">
              <w:rPr>
                <w:rFonts w:cs="Sylfaen"/>
                <w:b/>
                <w:sz w:val="20"/>
                <w:szCs w:val="20"/>
                <w:lang w:val="hy-AM"/>
              </w:rPr>
              <w:tab/>
            </w:r>
            <w:r w:rsidR="00795500" w:rsidRPr="0053423A">
              <w:rPr>
                <w:rFonts w:cs="Sylfaen"/>
                <w:b/>
                <w:sz w:val="20"/>
                <w:szCs w:val="20"/>
                <w:lang w:val="hy-AM"/>
              </w:rPr>
              <w:t>Ա</w:t>
            </w:r>
            <w:r w:rsidRPr="0053423A">
              <w:rPr>
                <w:rFonts w:cs="Sylfaen"/>
                <w:b/>
                <w:sz w:val="20"/>
                <w:szCs w:val="20"/>
                <w:lang w:val="hy-AM"/>
              </w:rPr>
              <w:t>ռկա</w:t>
            </w:r>
            <w:r w:rsidRPr="0053423A">
              <w:rPr>
                <w:b/>
                <w:sz w:val="20"/>
                <w:szCs w:val="20"/>
                <w:lang w:val="hy-AM"/>
              </w:rPr>
              <w:t xml:space="preserve"> խնդիրների առաջարկվող լուծումները.</w:t>
            </w:r>
          </w:p>
          <w:p w:rsidR="0084615D" w:rsidRPr="0053423A" w:rsidRDefault="0084615D" w:rsidP="001F6D5D">
            <w:pPr>
              <w:pStyle w:val="ListParagraph"/>
              <w:numPr>
                <w:ilvl w:val="1"/>
                <w:numId w:val="267"/>
              </w:numPr>
              <w:spacing w:after="0" w:line="276" w:lineRule="auto"/>
              <w:ind w:right="106"/>
              <w:jc w:val="both"/>
              <w:rPr>
                <w:spacing w:val="-4"/>
                <w:sz w:val="20"/>
                <w:szCs w:val="20"/>
                <w:lang w:val="hy-AM" w:eastAsia="en-GB"/>
              </w:rPr>
            </w:pPr>
            <w:r w:rsidRPr="0053423A">
              <w:rPr>
                <w:spacing w:val="-4"/>
                <w:sz w:val="20"/>
                <w:szCs w:val="20"/>
                <w:lang w:val="ro-RO" w:eastAsia="en-GB"/>
              </w:rPr>
              <w:t>թվականների հարար ն</w:t>
            </w:r>
            <w:r w:rsidRPr="0053423A">
              <w:rPr>
                <w:spacing w:val="-4"/>
                <w:sz w:val="20"/>
                <w:szCs w:val="20"/>
                <w:lang w:val="hy-AM" w:eastAsia="en-GB"/>
              </w:rPr>
              <w:t>որ ազգային ծարագրի մշակում:</w:t>
            </w:r>
          </w:p>
          <w:p w:rsidR="0084615D" w:rsidRPr="0053423A" w:rsidRDefault="0084615D" w:rsidP="001F6D5D">
            <w:pPr>
              <w:pStyle w:val="ListParagraph"/>
              <w:numPr>
                <w:ilvl w:val="0"/>
                <w:numId w:val="256"/>
              </w:numPr>
              <w:tabs>
                <w:tab w:val="left" w:pos="1170"/>
              </w:tabs>
              <w:spacing w:after="0" w:line="276" w:lineRule="auto"/>
              <w:ind w:firstLine="450"/>
              <w:rPr>
                <w:b/>
                <w:sz w:val="20"/>
                <w:szCs w:val="20"/>
                <w:lang w:val="ro-RO"/>
              </w:rPr>
            </w:pPr>
            <w:r w:rsidRPr="0053423A">
              <w:rPr>
                <w:rFonts w:cs="Sylfaen"/>
                <w:b/>
                <w:sz w:val="20"/>
                <w:szCs w:val="20"/>
              </w:rPr>
              <w:t>Միջոցառման</w:t>
            </w:r>
            <w:r w:rsidRPr="0053423A">
              <w:rPr>
                <w:b/>
                <w:sz w:val="20"/>
                <w:szCs w:val="20"/>
                <w:lang w:val="ro-RO"/>
              </w:rPr>
              <w:t xml:space="preserve"> </w:t>
            </w:r>
            <w:r w:rsidRPr="0053423A">
              <w:rPr>
                <w:b/>
                <w:sz w:val="20"/>
                <w:szCs w:val="20"/>
              </w:rPr>
              <w:t>իրակացումից</w:t>
            </w:r>
            <w:r w:rsidRPr="0053423A">
              <w:rPr>
                <w:b/>
                <w:sz w:val="20"/>
                <w:szCs w:val="20"/>
                <w:lang w:val="ro-RO"/>
              </w:rPr>
              <w:t xml:space="preserve"> </w:t>
            </w:r>
            <w:r w:rsidRPr="0053423A">
              <w:rPr>
                <w:b/>
                <w:sz w:val="20"/>
                <w:szCs w:val="20"/>
              </w:rPr>
              <w:t>ակնկալվող</w:t>
            </w:r>
            <w:r w:rsidRPr="0053423A">
              <w:rPr>
                <w:b/>
                <w:sz w:val="20"/>
                <w:szCs w:val="20"/>
                <w:lang w:val="ro-RO"/>
              </w:rPr>
              <w:t xml:space="preserve"> </w:t>
            </w:r>
            <w:r w:rsidRPr="0053423A">
              <w:rPr>
                <w:b/>
                <w:sz w:val="20"/>
                <w:szCs w:val="20"/>
              </w:rPr>
              <w:t>արդյունքը</w:t>
            </w:r>
          </w:p>
          <w:p w:rsidR="0084615D" w:rsidRPr="0053423A" w:rsidRDefault="0084615D" w:rsidP="00A67858">
            <w:pPr>
              <w:spacing w:after="0" w:line="276" w:lineRule="auto"/>
              <w:jc w:val="both"/>
              <w:rPr>
                <w:rFonts w:cs="Sylfaen"/>
                <w:spacing w:val="-4"/>
                <w:sz w:val="20"/>
                <w:szCs w:val="20"/>
                <w:lang w:val="hy-AM"/>
              </w:rPr>
            </w:pPr>
            <w:r w:rsidRPr="0053423A">
              <w:rPr>
                <w:rFonts w:cs="Sylfaen"/>
                <w:spacing w:val="-4"/>
                <w:sz w:val="20"/>
                <w:szCs w:val="20"/>
                <w:lang w:val="hy-AM"/>
              </w:rPr>
              <w:t>Ազգային ծրագրով 2021-2030 թվականների համար կսահմանվեն նոր ճյուղային միջոցառումներ և թիրախներ, որոնք կօժանդակեն ՀՀ էներգախնայողության քաղաքականության հետագա ձևավորմանը և դրա իրականացման կոնկրետ քայլերի որոշակիացմանը:</w:t>
            </w:r>
          </w:p>
          <w:p w:rsidR="0084615D" w:rsidRPr="0053423A" w:rsidRDefault="0084615D" w:rsidP="00A67858">
            <w:pPr>
              <w:spacing w:after="0" w:line="276" w:lineRule="auto"/>
              <w:jc w:val="both"/>
              <w:rPr>
                <w:rFonts w:cs="Sylfaen"/>
                <w:spacing w:val="-4"/>
                <w:sz w:val="20"/>
                <w:szCs w:val="20"/>
                <w:lang w:val="hy-AM"/>
              </w:rPr>
            </w:pPr>
          </w:p>
          <w:p w:rsidR="0084615D" w:rsidRPr="0053423A" w:rsidRDefault="0084615D" w:rsidP="00A67858">
            <w:pPr>
              <w:spacing w:after="0" w:line="276" w:lineRule="auto"/>
              <w:jc w:val="center"/>
              <w:rPr>
                <w:rFonts w:eastAsia="Times New Roman"/>
                <w:b/>
                <w:bCs/>
                <w:sz w:val="20"/>
                <w:szCs w:val="20"/>
                <w:lang w:val="hy-AM"/>
              </w:rPr>
            </w:pP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9</w:t>
            </w:r>
          </w:p>
        </w:tc>
        <w:tc>
          <w:tcPr>
            <w:tcW w:w="10879" w:type="dxa"/>
            <w:shd w:val="clear" w:color="auto" w:fill="auto"/>
          </w:tcPr>
          <w:p w:rsidR="0084615D" w:rsidRPr="0053423A" w:rsidRDefault="0084615D" w:rsidP="00A67858">
            <w:pPr>
              <w:spacing w:after="0" w:line="276" w:lineRule="auto"/>
              <w:jc w:val="center"/>
              <w:rPr>
                <w:b/>
                <w:sz w:val="20"/>
                <w:szCs w:val="20"/>
                <w:lang w:val="hy-AM"/>
              </w:rPr>
            </w:pPr>
            <w:r w:rsidRPr="0053423A">
              <w:rPr>
                <w:b/>
                <w:sz w:val="20"/>
                <w:szCs w:val="20"/>
                <w:lang w:val="hy-AM"/>
              </w:rPr>
              <w:t>Էներգախնայողական պետական գնումների իրականացում</w:t>
            </w:r>
          </w:p>
          <w:p w:rsidR="0084615D" w:rsidRPr="0053423A" w:rsidRDefault="0084615D" w:rsidP="00A67858">
            <w:pPr>
              <w:spacing w:after="0" w:line="276" w:lineRule="auto"/>
              <w:jc w:val="center"/>
              <w:rPr>
                <w:b/>
                <w:sz w:val="20"/>
                <w:szCs w:val="20"/>
                <w:lang w:val="hy-AM"/>
              </w:rPr>
            </w:pP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9.1</w:t>
            </w:r>
            <w:r w:rsidRPr="0053423A">
              <w:rPr>
                <w:rFonts w:ascii="Calibri" w:hAnsi="Calibri" w:cs="Calibri"/>
                <w:b/>
                <w:sz w:val="20"/>
                <w:szCs w:val="20"/>
                <w:u w:val="single"/>
                <w:lang w:val="af-ZA"/>
              </w:rPr>
              <w:t> </w:t>
            </w:r>
            <w:r w:rsidRPr="0053423A">
              <w:rPr>
                <w:rFonts w:cs="GHEA Grapalat"/>
                <w:b/>
                <w:sz w:val="20"/>
                <w:szCs w:val="20"/>
                <w:u w:val="single"/>
                <w:lang w:val="af-ZA"/>
              </w:rPr>
              <w:t>«</w:t>
            </w:r>
            <w:r w:rsidRPr="0053423A">
              <w:rPr>
                <w:b/>
                <w:sz w:val="20"/>
                <w:szCs w:val="20"/>
                <w:u w:val="single"/>
                <w:lang w:val="af-ZA"/>
              </w:rPr>
              <w:t>Էներգախնայողության և վերականգնվող էներգետիկայի մասին» ՀՀ օրենքում փոփոխություններ և լրացումներ կատարելու մասին» ՀՀ կառավարության որոշման նախագիծը ՀՀ վարչապետի աշխատակազմ ներկայացնելը</w:t>
            </w: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9.2</w:t>
            </w:r>
            <w:r w:rsidRPr="0053423A">
              <w:rPr>
                <w:rFonts w:ascii="Calibri" w:hAnsi="Calibri" w:cs="Calibri"/>
                <w:b/>
                <w:sz w:val="20"/>
                <w:szCs w:val="20"/>
                <w:u w:val="single"/>
                <w:lang w:val="af-ZA"/>
              </w:rPr>
              <w:t> </w:t>
            </w:r>
            <w:r w:rsidRPr="0053423A">
              <w:rPr>
                <w:rFonts w:cs="GHEA Grapalat"/>
                <w:b/>
                <w:sz w:val="20"/>
                <w:szCs w:val="20"/>
                <w:u w:val="single"/>
                <w:lang w:val="af-ZA"/>
              </w:rPr>
              <w:t>«</w:t>
            </w:r>
            <w:r w:rsidRPr="0053423A">
              <w:rPr>
                <w:b/>
                <w:sz w:val="20"/>
                <w:szCs w:val="20"/>
                <w:u w:val="single"/>
                <w:lang w:val="af-ZA"/>
              </w:rPr>
              <w:t>Պետության կարիքների համար ձեռք բերվող էներգասպառող սարքերի և սարքվածքների էներգաարդյունավետության պահանջների սահմանման կարգը հաստատելու մասին» ՀՀ կառավարության որոշման նախագիծը ՀՀ վարչապետի աշխատակազմ ներկայացնելը</w:t>
            </w:r>
          </w:p>
          <w:p w:rsidR="0084615D" w:rsidRPr="0053423A" w:rsidRDefault="0084615D" w:rsidP="00A67858">
            <w:pPr>
              <w:tabs>
                <w:tab w:val="left" w:pos="1170"/>
              </w:tabs>
              <w:spacing w:after="0" w:line="276" w:lineRule="auto"/>
              <w:ind w:left="720"/>
              <w:jc w:val="center"/>
              <w:rPr>
                <w:b/>
                <w:i/>
                <w:sz w:val="20"/>
                <w:szCs w:val="20"/>
                <w:u w:val="single"/>
                <w:lang w:val="af-ZA"/>
              </w:rPr>
            </w:pPr>
          </w:p>
          <w:p w:rsidR="0084615D" w:rsidRPr="0053423A" w:rsidRDefault="0084615D" w:rsidP="00A67858">
            <w:pPr>
              <w:tabs>
                <w:tab w:val="left" w:pos="990"/>
              </w:tabs>
              <w:spacing w:after="0" w:line="276" w:lineRule="auto"/>
              <w:ind w:firstLine="720"/>
              <w:rPr>
                <w:b/>
                <w:sz w:val="20"/>
                <w:szCs w:val="20"/>
                <w:lang w:val="af-ZA"/>
              </w:rPr>
            </w:pPr>
            <w:r w:rsidRPr="0053423A">
              <w:rPr>
                <w:b/>
                <w:sz w:val="20"/>
                <w:szCs w:val="20"/>
                <w:lang w:val="af-ZA"/>
              </w:rPr>
              <w:t>1.</w:t>
            </w:r>
            <w:r w:rsidRPr="0053423A">
              <w:rPr>
                <w:b/>
                <w:sz w:val="20"/>
                <w:szCs w:val="20"/>
                <w:lang w:val="af-ZA"/>
              </w:rPr>
              <w:tab/>
              <w:t>Միջոցառման իրականացման անհրաժեշտությունը և նպատակը</w:t>
            </w:r>
          </w:p>
          <w:p w:rsidR="0084615D" w:rsidRPr="0053423A" w:rsidRDefault="0084615D" w:rsidP="00A67858">
            <w:pPr>
              <w:spacing w:after="0" w:line="276" w:lineRule="auto"/>
              <w:jc w:val="both"/>
              <w:rPr>
                <w:sz w:val="20"/>
                <w:szCs w:val="20"/>
                <w:lang w:val="af-ZA"/>
              </w:rPr>
            </w:pPr>
            <w:r w:rsidRPr="0053423A">
              <w:rPr>
                <w:sz w:val="20"/>
                <w:szCs w:val="20"/>
                <w:lang w:val="af-ZA"/>
              </w:rPr>
              <w:t xml:space="preserve">Միջոցառման անհրաժեշտությունը պայմանավորված է </w:t>
            </w:r>
            <w:r w:rsidRPr="0053423A">
              <w:rPr>
                <w:spacing w:val="-2"/>
                <w:sz w:val="20"/>
                <w:szCs w:val="20"/>
                <w:lang w:val="hy-AM"/>
              </w:rPr>
              <w:t>ՀՀ կառավարության 2019թ. փետրվարի 8-ի N 65-Ա որոշմամբ հաստատաված ՀՀ կառավարության ծրագրի 6.2. կետ</w:t>
            </w:r>
            <w:r w:rsidRPr="0053423A">
              <w:rPr>
                <w:spacing w:val="-2"/>
                <w:sz w:val="20"/>
                <w:szCs w:val="20"/>
              </w:rPr>
              <w:t>ի</w:t>
            </w:r>
            <w:r w:rsidRPr="0053423A">
              <w:rPr>
                <w:spacing w:val="-2"/>
                <w:sz w:val="20"/>
                <w:szCs w:val="20"/>
                <w:lang w:val="af-ZA"/>
              </w:rPr>
              <w:t xml:space="preserve"> </w:t>
            </w:r>
            <w:r w:rsidRPr="0053423A">
              <w:rPr>
                <w:spacing w:val="-2"/>
                <w:sz w:val="20"/>
                <w:szCs w:val="20"/>
              </w:rPr>
              <w:t>և</w:t>
            </w:r>
            <w:r w:rsidRPr="0053423A">
              <w:rPr>
                <w:sz w:val="20"/>
                <w:szCs w:val="20"/>
                <w:lang w:val="af-ZA"/>
              </w:rPr>
              <w:t xml:space="preserve"> ՀՀ կառավարության 2017թ. փետրվարի 2-ի նիստի N 4 արձանագրային որոշմամբ ընդունված էներգախնայողության գործողությունների ծրագրի երկրորդ փուլի 6-րդ կետի կատարմամբ, ինչպես նաև պետական միջոցների կառավարման արդյունավետության բարձրացման նպատակով անհրաժեշտություն է առաջացել պետության կարիքների համար ձեռք բերվող էներգասպառող ապրանքատեսակների որոշակի խմբերի սարքերի և սարքվածքների ցանկի համար սահմանել էներգաարդյունավետության պարտադիր չափորոշիչներ՝ հետագայում դրանց արդիականացման հնարավորությամբ, ինչպես նաև ակնկալվող արդյունքների վերստուգելի մեխանիզմների ստեղծմամբ ու չափանիշների սահմանմամբ:</w:t>
            </w:r>
          </w:p>
          <w:p w:rsidR="0084615D" w:rsidRPr="0053423A" w:rsidRDefault="00795500" w:rsidP="001F6D5D">
            <w:pPr>
              <w:pStyle w:val="ListParagraph"/>
              <w:numPr>
                <w:ilvl w:val="1"/>
                <w:numId w:val="263"/>
              </w:numPr>
              <w:spacing w:after="0" w:line="276" w:lineRule="auto"/>
              <w:jc w:val="both"/>
              <w:rPr>
                <w:b/>
                <w:sz w:val="20"/>
                <w:szCs w:val="20"/>
                <w:lang w:val="af-ZA"/>
              </w:rPr>
            </w:pPr>
            <w:r w:rsidRPr="0053423A">
              <w:rPr>
                <w:b/>
                <w:sz w:val="20"/>
                <w:szCs w:val="20"/>
                <w:lang w:val="af-ZA"/>
              </w:rPr>
              <w:t>Կ</w:t>
            </w:r>
            <w:r w:rsidR="0084615D" w:rsidRPr="0053423A">
              <w:rPr>
                <w:b/>
                <w:sz w:val="20"/>
                <w:szCs w:val="20"/>
                <w:lang w:val="af-ZA"/>
              </w:rPr>
              <w:t>արգավորման հարաբերությունների ներկա վիճակը և առկա խնդիրները</w:t>
            </w:r>
          </w:p>
          <w:p w:rsidR="0084615D" w:rsidRPr="0053423A" w:rsidRDefault="0084615D" w:rsidP="00A67858">
            <w:pPr>
              <w:pStyle w:val="ListParagraph"/>
              <w:spacing w:after="0" w:line="276" w:lineRule="auto"/>
              <w:ind w:left="0"/>
              <w:jc w:val="both"/>
              <w:rPr>
                <w:sz w:val="20"/>
                <w:szCs w:val="20"/>
                <w:lang w:val="af-ZA"/>
              </w:rPr>
            </w:pPr>
            <w:r w:rsidRPr="0053423A">
              <w:rPr>
                <w:sz w:val="20"/>
                <w:szCs w:val="20"/>
                <w:lang w:val="af-ZA"/>
              </w:rPr>
              <w:t>Պետության կարիքների ապահովման համար ապրանքատեսակների և ծառայությունների ձեռք բերման գործընթացն իրականացվում է պետական գնումների համակարգի միջոցով՝ Գնումների մասին ՀՀ օրենքի դրույթներին համապատասխան, իսկ գործընթացը կարգավորվում է ՀՀ կառավարության 2017թ. մայիսի 4-ի թիվ 526-Ն որոշմամբ: Որոշման Հոդված 21-ը սահմանում է, որ գնման առարկայի բնութագրերը հանդիսանում են գնման հայտի բաղկացուցիչ մաս, ընդ որում ապրանքների գնման դեպքում պարտադիր է որակի սերտիֆիկատի առկայությունը, եթե դա կիրառելի է տվյալ ապրանքի համար: Միևնույն ժամանակ «Էներգախնայողության և վերականգնվող էներգետիկայի մասին» ՀՀ օրենքի 8-րդ հոդվածը սահմանում է, մասնավորապես էներգասպառող սարքերի և սարքվածքների շրջանառությանը ներկայացվող ընդհանուր պահանջները, բայց էներգաարդյունավետության բնութագրերի մասով պահանջներ չի ներառում: Կարգավորման բացակայության հետևանքով պետական գնումների համակարգով ձեռք են բերվում էներգասպառող ապրանքատեսակներ, որոնք խիստ անարդյունավետ են և դրանց հետագա շահագործման ընթացքում ծախսած էներգիայի դիմաց վճարումները պետությանը հասցնում են զգալի վնասներ:</w:t>
            </w:r>
          </w:p>
          <w:p w:rsidR="0084615D" w:rsidRPr="0053423A" w:rsidRDefault="00795500" w:rsidP="001F6D5D">
            <w:pPr>
              <w:pStyle w:val="ListParagraph"/>
              <w:numPr>
                <w:ilvl w:val="1"/>
                <w:numId w:val="263"/>
              </w:numPr>
              <w:spacing w:after="0" w:line="276" w:lineRule="auto"/>
              <w:ind w:left="0" w:firstLine="720"/>
              <w:jc w:val="both"/>
              <w:rPr>
                <w:b/>
                <w:sz w:val="20"/>
                <w:szCs w:val="20"/>
                <w:lang w:val="af-ZA"/>
              </w:rPr>
            </w:pPr>
            <w:r w:rsidRPr="0053423A">
              <w:rPr>
                <w:b/>
                <w:sz w:val="20"/>
                <w:szCs w:val="20"/>
                <w:lang w:val="af-ZA"/>
              </w:rPr>
              <w:t>Ա</w:t>
            </w:r>
            <w:r w:rsidR="0084615D" w:rsidRPr="0053423A">
              <w:rPr>
                <w:b/>
                <w:sz w:val="20"/>
                <w:szCs w:val="20"/>
                <w:lang w:val="af-ZA"/>
              </w:rPr>
              <w:t>ռկա խնդիրների առաջարկվող լուծումները.</w:t>
            </w:r>
          </w:p>
          <w:p w:rsidR="0084615D" w:rsidRPr="0053423A" w:rsidRDefault="0084615D" w:rsidP="00A67858">
            <w:pPr>
              <w:spacing w:after="0" w:line="276" w:lineRule="auto"/>
              <w:jc w:val="both"/>
              <w:rPr>
                <w:spacing w:val="-2"/>
                <w:sz w:val="20"/>
                <w:szCs w:val="20"/>
                <w:lang w:val="af-ZA"/>
              </w:rPr>
            </w:pPr>
            <w:r w:rsidRPr="0053423A">
              <w:rPr>
                <w:sz w:val="20"/>
                <w:szCs w:val="20"/>
                <w:lang w:val="af-ZA"/>
              </w:rPr>
              <w:t xml:space="preserve">Սույն կարգավորման նպատակն է Հայաստանի Հանրապետության պետական գնումների շրջանակներում պետական կարիքների ապահովման նպատակով էներգասարքավորումների ձեռք բերմանը ներկայացվող նվազագույն էներգետիկ բնութագրերի պահանջները սահմանող կարգավորող շրջանակի ներդնումը: Էներգաարդյունավետության նվազագույն պարտադիր պահանջների սահմանումն ուղղված է պետական միջոցների արդյունավետ կառավարման բարձրացմանը, պետության կողմից էներգախնայողության և էներգաարդյունավետության խթանմանը, ինչպես նաև էլեկտրական էներգիայի` անընդհատ աճող պահանջարկի բավարարման համար անհրաժեշտ՝ էներգահամակարգի պահանջվող դրվածքային հզորության կրճատմանը: </w:t>
            </w:r>
            <w:r w:rsidRPr="0053423A">
              <w:rPr>
                <w:spacing w:val="-2"/>
                <w:sz w:val="20"/>
                <w:szCs w:val="20"/>
              </w:rPr>
              <w:t>Միջոցառման</w:t>
            </w:r>
            <w:r w:rsidRPr="0053423A">
              <w:rPr>
                <w:spacing w:val="-2"/>
                <w:sz w:val="20"/>
                <w:szCs w:val="20"/>
                <w:lang w:val="af-ZA"/>
              </w:rPr>
              <w:t xml:space="preserve"> </w:t>
            </w:r>
            <w:r w:rsidRPr="0053423A">
              <w:rPr>
                <w:spacing w:val="-2"/>
                <w:sz w:val="20"/>
                <w:szCs w:val="20"/>
              </w:rPr>
              <w:t>մշակման</w:t>
            </w:r>
            <w:r w:rsidRPr="0053423A">
              <w:rPr>
                <w:spacing w:val="-2"/>
                <w:sz w:val="20"/>
                <w:szCs w:val="20"/>
                <w:lang w:val="af-ZA"/>
              </w:rPr>
              <w:t xml:space="preserve"> </w:t>
            </w:r>
            <w:r w:rsidRPr="0053423A">
              <w:rPr>
                <w:spacing w:val="-2"/>
                <w:sz w:val="20"/>
                <w:szCs w:val="20"/>
              </w:rPr>
              <w:t>աշխատանքներում</w:t>
            </w:r>
            <w:r w:rsidRPr="0053423A">
              <w:rPr>
                <w:spacing w:val="-2"/>
                <w:sz w:val="20"/>
                <w:szCs w:val="20"/>
                <w:lang w:val="af-ZA"/>
              </w:rPr>
              <w:t xml:space="preserve"> </w:t>
            </w:r>
            <w:r w:rsidRPr="0053423A">
              <w:rPr>
                <w:spacing w:val="-2"/>
                <w:sz w:val="20"/>
                <w:szCs w:val="20"/>
              </w:rPr>
              <w:t>համակատարող</w:t>
            </w:r>
            <w:r w:rsidRPr="0053423A">
              <w:rPr>
                <w:spacing w:val="-2"/>
                <w:sz w:val="20"/>
                <w:szCs w:val="20"/>
                <w:lang w:val="af-ZA"/>
              </w:rPr>
              <w:t xml:space="preserve"> </w:t>
            </w:r>
            <w:r w:rsidRPr="0053423A">
              <w:rPr>
                <w:spacing w:val="-2"/>
                <w:sz w:val="20"/>
                <w:szCs w:val="20"/>
              </w:rPr>
              <w:t>հանդիսանում</w:t>
            </w:r>
            <w:r w:rsidRPr="0053423A">
              <w:rPr>
                <w:spacing w:val="-2"/>
                <w:sz w:val="20"/>
                <w:szCs w:val="20"/>
                <w:lang w:val="af-ZA"/>
              </w:rPr>
              <w:t xml:space="preserve"> </w:t>
            </w:r>
            <w:r w:rsidRPr="0053423A">
              <w:rPr>
                <w:spacing w:val="-2"/>
                <w:sz w:val="20"/>
                <w:szCs w:val="20"/>
              </w:rPr>
              <w:t>է</w:t>
            </w:r>
            <w:r w:rsidRPr="0053423A">
              <w:rPr>
                <w:spacing w:val="-2"/>
                <w:sz w:val="20"/>
                <w:szCs w:val="20"/>
                <w:lang w:val="af-ZA"/>
              </w:rPr>
              <w:t xml:space="preserve"> </w:t>
            </w:r>
            <w:r w:rsidRPr="0053423A">
              <w:rPr>
                <w:spacing w:val="-2"/>
                <w:sz w:val="20"/>
                <w:szCs w:val="20"/>
              </w:rPr>
              <w:t>ՀՀ</w:t>
            </w:r>
            <w:r w:rsidRPr="0053423A">
              <w:rPr>
                <w:spacing w:val="-2"/>
                <w:sz w:val="20"/>
                <w:szCs w:val="20"/>
                <w:lang w:val="af-ZA"/>
              </w:rPr>
              <w:t xml:space="preserve"> </w:t>
            </w:r>
            <w:r w:rsidRPr="0053423A">
              <w:rPr>
                <w:spacing w:val="-2"/>
                <w:sz w:val="20"/>
                <w:szCs w:val="20"/>
              </w:rPr>
              <w:t>ֆինասների</w:t>
            </w:r>
            <w:r w:rsidRPr="0053423A">
              <w:rPr>
                <w:spacing w:val="-2"/>
                <w:sz w:val="20"/>
                <w:szCs w:val="20"/>
                <w:lang w:val="af-ZA"/>
              </w:rPr>
              <w:t xml:space="preserve"> </w:t>
            </w:r>
            <w:r w:rsidRPr="0053423A">
              <w:rPr>
                <w:spacing w:val="-2"/>
                <w:sz w:val="20"/>
                <w:szCs w:val="20"/>
              </w:rPr>
              <w:t>նախարարությունը՝</w:t>
            </w:r>
            <w:r w:rsidRPr="0053423A">
              <w:rPr>
                <w:spacing w:val="-2"/>
                <w:sz w:val="20"/>
                <w:szCs w:val="20"/>
                <w:lang w:val="af-ZA"/>
              </w:rPr>
              <w:t xml:space="preserve">  </w:t>
            </w:r>
            <w:r w:rsidRPr="0053423A">
              <w:rPr>
                <w:spacing w:val="-2"/>
                <w:sz w:val="20"/>
                <w:szCs w:val="20"/>
              </w:rPr>
              <w:t>որպես</w:t>
            </w:r>
            <w:r w:rsidRPr="0053423A">
              <w:rPr>
                <w:spacing w:val="-2"/>
                <w:sz w:val="20"/>
                <w:szCs w:val="20"/>
                <w:lang w:val="af-ZA"/>
              </w:rPr>
              <w:t xml:space="preserve"> </w:t>
            </w:r>
            <w:r w:rsidRPr="0053423A">
              <w:rPr>
                <w:spacing w:val="-2"/>
                <w:sz w:val="20"/>
                <w:szCs w:val="20"/>
                <w:lang w:val="af-ZA"/>
              </w:rPr>
              <w:br/>
            </w:r>
            <w:r w:rsidRPr="0053423A">
              <w:rPr>
                <w:spacing w:val="-2"/>
                <w:sz w:val="20"/>
                <w:szCs w:val="20"/>
              </w:rPr>
              <w:t>ՀՀ</w:t>
            </w:r>
            <w:r w:rsidRPr="0053423A">
              <w:rPr>
                <w:spacing w:val="-2"/>
                <w:sz w:val="20"/>
                <w:szCs w:val="20"/>
                <w:lang w:val="af-ZA"/>
              </w:rPr>
              <w:t>-</w:t>
            </w:r>
            <w:r w:rsidRPr="0053423A">
              <w:rPr>
                <w:spacing w:val="-2"/>
                <w:sz w:val="20"/>
                <w:szCs w:val="20"/>
              </w:rPr>
              <w:t>ում</w:t>
            </w:r>
            <w:r w:rsidRPr="0053423A">
              <w:rPr>
                <w:spacing w:val="-2"/>
                <w:sz w:val="20"/>
                <w:szCs w:val="20"/>
                <w:lang w:val="af-ZA"/>
              </w:rPr>
              <w:t xml:space="preserve"> </w:t>
            </w:r>
            <w:r w:rsidRPr="0053423A">
              <w:rPr>
                <w:spacing w:val="-2"/>
                <w:sz w:val="20"/>
                <w:szCs w:val="20"/>
              </w:rPr>
              <w:t>գնումների</w:t>
            </w:r>
            <w:r w:rsidRPr="0053423A">
              <w:rPr>
                <w:spacing w:val="-2"/>
                <w:sz w:val="20"/>
                <w:szCs w:val="20"/>
                <w:lang w:val="af-ZA"/>
              </w:rPr>
              <w:t xml:space="preserve"> </w:t>
            </w:r>
            <w:r w:rsidRPr="0053423A">
              <w:rPr>
                <w:spacing w:val="-2"/>
                <w:sz w:val="20"/>
                <w:szCs w:val="20"/>
              </w:rPr>
              <w:t>գործընթացը</w:t>
            </w:r>
            <w:r w:rsidRPr="0053423A">
              <w:rPr>
                <w:spacing w:val="-2"/>
                <w:sz w:val="20"/>
                <w:szCs w:val="20"/>
                <w:lang w:val="af-ZA"/>
              </w:rPr>
              <w:t xml:space="preserve"> </w:t>
            </w:r>
            <w:r w:rsidRPr="0053423A">
              <w:rPr>
                <w:spacing w:val="-2"/>
                <w:sz w:val="20"/>
                <w:szCs w:val="20"/>
              </w:rPr>
              <w:t>համակարգող</w:t>
            </w:r>
            <w:r w:rsidRPr="0053423A">
              <w:rPr>
                <w:spacing w:val="-2"/>
                <w:sz w:val="20"/>
                <w:szCs w:val="20"/>
                <w:lang w:val="af-ZA"/>
              </w:rPr>
              <w:t xml:space="preserve"> </w:t>
            </w:r>
            <w:r w:rsidRPr="0053423A">
              <w:rPr>
                <w:spacing w:val="-2"/>
                <w:sz w:val="20"/>
                <w:szCs w:val="20"/>
              </w:rPr>
              <w:t>պետական</w:t>
            </w:r>
            <w:r w:rsidRPr="0053423A">
              <w:rPr>
                <w:spacing w:val="-2"/>
                <w:sz w:val="20"/>
                <w:szCs w:val="20"/>
                <w:lang w:val="af-ZA"/>
              </w:rPr>
              <w:t xml:space="preserve"> </w:t>
            </w:r>
            <w:r w:rsidRPr="0053423A">
              <w:rPr>
                <w:spacing w:val="-2"/>
                <w:sz w:val="20"/>
                <w:szCs w:val="20"/>
              </w:rPr>
              <w:t>լիազոր</w:t>
            </w:r>
            <w:r w:rsidRPr="0053423A">
              <w:rPr>
                <w:spacing w:val="-2"/>
                <w:sz w:val="20"/>
                <w:szCs w:val="20"/>
                <w:lang w:val="af-ZA"/>
              </w:rPr>
              <w:t xml:space="preserve"> </w:t>
            </w:r>
            <w:r w:rsidRPr="0053423A">
              <w:rPr>
                <w:spacing w:val="-2"/>
                <w:sz w:val="20"/>
                <w:szCs w:val="20"/>
              </w:rPr>
              <w:t>մարմինն</w:t>
            </w:r>
            <w:r w:rsidRPr="0053423A">
              <w:rPr>
                <w:spacing w:val="-2"/>
                <w:sz w:val="20"/>
                <w:szCs w:val="20"/>
                <w:lang w:val="af-ZA"/>
              </w:rPr>
              <w:t>:</w:t>
            </w:r>
          </w:p>
          <w:p w:rsidR="0084615D" w:rsidRPr="0053423A" w:rsidRDefault="0084615D" w:rsidP="00A67858">
            <w:pPr>
              <w:spacing w:after="0" w:line="276" w:lineRule="auto"/>
              <w:ind w:firstLine="720"/>
              <w:jc w:val="both"/>
              <w:rPr>
                <w:b/>
                <w:sz w:val="20"/>
                <w:szCs w:val="20"/>
                <w:lang w:val="af-ZA"/>
              </w:rPr>
            </w:pPr>
            <w:r w:rsidRPr="0053423A">
              <w:rPr>
                <w:b/>
                <w:sz w:val="20"/>
                <w:szCs w:val="20"/>
                <w:lang w:val="af-ZA"/>
              </w:rPr>
              <w:t>2. Միջոցառման իրակացումից ակնկալվող արդյունքը</w:t>
            </w:r>
          </w:p>
          <w:p w:rsidR="0084615D" w:rsidRPr="0053423A" w:rsidRDefault="0084615D" w:rsidP="00A67858">
            <w:pPr>
              <w:spacing w:after="0" w:line="276" w:lineRule="auto"/>
              <w:jc w:val="both"/>
              <w:rPr>
                <w:sz w:val="20"/>
                <w:szCs w:val="20"/>
                <w:lang w:val="af-ZA"/>
              </w:rPr>
            </w:pPr>
            <w:r w:rsidRPr="0053423A">
              <w:rPr>
                <w:sz w:val="20"/>
                <w:szCs w:val="20"/>
                <w:lang w:val="af-ZA"/>
              </w:rPr>
              <w:t>Նախագծի ընդունման և կիրարկման արդյունքում ակնկալվում են հետևյալ արդյունքները.</w:t>
            </w:r>
          </w:p>
          <w:p w:rsidR="0084615D" w:rsidRPr="0053423A" w:rsidRDefault="0084615D" w:rsidP="001F6D5D">
            <w:pPr>
              <w:pStyle w:val="ListParagraph"/>
              <w:numPr>
                <w:ilvl w:val="0"/>
                <w:numId w:val="286"/>
              </w:numPr>
              <w:spacing w:after="0" w:line="276" w:lineRule="auto"/>
              <w:ind w:left="90" w:firstLine="270"/>
              <w:jc w:val="both"/>
              <w:rPr>
                <w:sz w:val="20"/>
                <w:szCs w:val="20"/>
                <w:lang w:val="af-ZA"/>
              </w:rPr>
            </w:pPr>
            <w:r w:rsidRPr="0053423A">
              <w:rPr>
                <w:sz w:val="20"/>
                <w:szCs w:val="20"/>
                <w:lang w:val="af-ZA"/>
              </w:rPr>
              <w:t>Պետական գնումների շրջանակներում ձեռք բերվող միայն լուսավորման սարքերի նկատմամբ վերոնշյալ կարգավորումների կիրառման արդյունքում 10 տարվա կտրվածքով պետությունը կտնտեսի գումարային ավելի քան 27,6 մլրդ դրամ, ծախսերի ետգնման ընդհանուր ժամկետը կկազմի երեք տարի,</w:t>
            </w:r>
          </w:p>
          <w:p w:rsidR="0084615D" w:rsidRPr="0053423A" w:rsidRDefault="0084615D" w:rsidP="001F6D5D">
            <w:pPr>
              <w:pStyle w:val="ListParagraph"/>
              <w:numPr>
                <w:ilvl w:val="0"/>
                <w:numId w:val="286"/>
              </w:numPr>
              <w:spacing w:after="0" w:line="276" w:lineRule="auto"/>
              <w:ind w:left="90" w:firstLine="270"/>
              <w:jc w:val="both"/>
              <w:rPr>
                <w:sz w:val="20"/>
                <w:szCs w:val="20"/>
                <w:lang w:val="af-ZA"/>
              </w:rPr>
            </w:pPr>
            <w:r w:rsidRPr="0053423A">
              <w:rPr>
                <w:sz w:val="20"/>
                <w:szCs w:val="20"/>
                <w:lang w:val="af-ZA"/>
              </w:rPr>
              <w:t>Օդորակիչների էներգաարդյունավետության պահանջների ներդրմամբ պայմանավորված վերոգրյալ ցուցանիշները կկազմեն համապատասխանաբար մոտ 2,76 մլրդ դրամ և չորս տարի,</w:t>
            </w:r>
          </w:p>
          <w:p w:rsidR="0084615D" w:rsidRPr="0053423A" w:rsidRDefault="0084615D" w:rsidP="001F6D5D">
            <w:pPr>
              <w:pStyle w:val="ListParagraph"/>
              <w:numPr>
                <w:ilvl w:val="0"/>
                <w:numId w:val="286"/>
              </w:numPr>
              <w:spacing w:after="0" w:line="276" w:lineRule="auto"/>
              <w:jc w:val="both"/>
              <w:rPr>
                <w:sz w:val="20"/>
                <w:szCs w:val="20"/>
                <w:lang w:val="af-ZA"/>
              </w:rPr>
            </w:pPr>
            <w:r w:rsidRPr="0053423A">
              <w:rPr>
                <w:sz w:val="20"/>
                <w:szCs w:val="20"/>
                <w:lang w:val="af-ZA"/>
              </w:rPr>
              <w:t>Պետության կողմից սեփական օրինակով էներգաարդյունավետ տեխնոլոգիաների տարածման խրախուսում ու սպառողների լայն զանգվածներին դեպի էներգաարդյունավետ ապրանքատեսակների ձեռք բերման ուղղորդում,</w:t>
            </w:r>
          </w:p>
          <w:p w:rsidR="0084615D" w:rsidRPr="0053423A" w:rsidRDefault="0084615D" w:rsidP="001F6D5D">
            <w:pPr>
              <w:pStyle w:val="ListParagraph"/>
              <w:numPr>
                <w:ilvl w:val="0"/>
                <w:numId w:val="286"/>
              </w:numPr>
              <w:spacing w:after="0" w:line="276" w:lineRule="auto"/>
              <w:jc w:val="both"/>
              <w:rPr>
                <w:sz w:val="20"/>
                <w:szCs w:val="20"/>
                <w:lang w:val="af-ZA"/>
              </w:rPr>
            </w:pPr>
            <w:r w:rsidRPr="0053423A">
              <w:rPr>
                <w:sz w:val="20"/>
                <w:szCs w:val="20"/>
                <w:lang w:val="af-ZA"/>
              </w:rPr>
              <w:t>էներգահամակարգի զարգացման ռազմավարական հայեցակարգի որոշ կետերի կատարման նպաստում,</w:t>
            </w:r>
          </w:p>
          <w:p w:rsidR="0084615D" w:rsidRPr="0053423A" w:rsidRDefault="0084615D" w:rsidP="001F6D5D">
            <w:pPr>
              <w:pStyle w:val="ListParagraph"/>
              <w:numPr>
                <w:ilvl w:val="0"/>
                <w:numId w:val="286"/>
              </w:numPr>
              <w:spacing w:after="0" w:line="276" w:lineRule="auto"/>
              <w:jc w:val="both"/>
              <w:rPr>
                <w:sz w:val="20"/>
                <w:szCs w:val="20"/>
                <w:lang w:val="af-ZA"/>
              </w:rPr>
            </w:pPr>
            <w:r w:rsidRPr="0053423A">
              <w:rPr>
                <w:sz w:val="20"/>
                <w:szCs w:val="20"/>
                <w:lang w:val="af-ZA"/>
              </w:rPr>
              <w:t>ԷԳԾ-ի երկրորդ փուլի միջոցառումների 6-րդ կետով սահմանված գործողությունների կատարում,</w:t>
            </w:r>
          </w:p>
          <w:p w:rsidR="0084615D" w:rsidRPr="0053423A" w:rsidRDefault="0084615D" w:rsidP="001F6D5D">
            <w:pPr>
              <w:pStyle w:val="ListParagraph"/>
              <w:numPr>
                <w:ilvl w:val="0"/>
                <w:numId w:val="286"/>
              </w:numPr>
              <w:spacing w:after="0" w:line="276" w:lineRule="auto"/>
              <w:jc w:val="both"/>
              <w:rPr>
                <w:sz w:val="20"/>
                <w:szCs w:val="20"/>
                <w:lang w:val="af-ZA"/>
              </w:rPr>
            </w:pPr>
            <w:r w:rsidRPr="0053423A">
              <w:rPr>
                <w:sz w:val="20"/>
                <w:szCs w:val="20"/>
                <w:lang w:val="af-ZA"/>
              </w:rPr>
              <w:t>ԵԱՏՄ համապատասխան տեխնիկական կանոնակարգի ներդրման հետ կապված մարտահրավերներին դիմակայելու պատրաստականություն,</w:t>
            </w:r>
          </w:p>
          <w:p w:rsidR="0084615D" w:rsidRPr="0053423A" w:rsidRDefault="0084615D" w:rsidP="001F6D5D">
            <w:pPr>
              <w:pStyle w:val="ListParagraph"/>
              <w:numPr>
                <w:ilvl w:val="0"/>
                <w:numId w:val="286"/>
              </w:numPr>
              <w:spacing w:after="0" w:line="276" w:lineRule="auto"/>
              <w:ind w:left="90" w:firstLine="270"/>
              <w:jc w:val="both"/>
              <w:rPr>
                <w:sz w:val="20"/>
                <w:szCs w:val="20"/>
                <w:lang w:val="af-ZA"/>
              </w:rPr>
            </w:pPr>
            <w:r w:rsidRPr="0053423A">
              <w:rPr>
                <w:sz w:val="20"/>
                <w:szCs w:val="20"/>
                <w:lang w:val="af-ZA"/>
              </w:rPr>
              <w:t>ՀՀ-ԵՄ համապարփակ և ընդլայնված գործընկերության համաձայնագրով (24.11.2017) ստանձնած պարտավորությունների մի մասի՝ կարգավորումների ներդաշնակեցման վերաբերյալ դիրքորոշման հստակեցում:</w:t>
            </w:r>
          </w:p>
          <w:p w:rsidR="0084615D" w:rsidRPr="0053423A" w:rsidRDefault="0084615D" w:rsidP="00A67858">
            <w:pPr>
              <w:tabs>
                <w:tab w:val="left" w:pos="90"/>
                <w:tab w:val="left" w:pos="1530"/>
              </w:tabs>
              <w:spacing w:after="0" w:line="276" w:lineRule="auto"/>
              <w:ind w:right="140"/>
              <w:jc w:val="both"/>
              <w:rPr>
                <w:b/>
                <w:sz w:val="20"/>
                <w:szCs w:val="20"/>
                <w:lang w:val="af-ZA"/>
              </w:rPr>
            </w:pPr>
          </w:p>
          <w:p w:rsidR="0084615D" w:rsidRPr="0053423A" w:rsidRDefault="0084615D" w:rsidP="00A67858">
            <w:pPr>
              <w:spacing w:after="0" w:line="276" w:lineRule="auto"/>
              <w:jc w:val="center"/>
              <w:rPr>
                <w:rFonts w:eastAsia="Times New Roman"/>
                <w:b/>
                <w:bCs/>
                <w:sz w:val="20"/>
                <w:szCs w:val="20"/>
                <w:lang w:val="af-ZA"/>
              </w:rPr>
            </w:pP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10</w:t>
            </w:r>
          </w:p>
        </w:tc>
        <w:tc>
          <w:tcPr>
            <w:tcW w:w="10879" w:type="dxa"/>
            <w:shd w:val="clear" w:color="auto" w:fill="auto"/>
          </w:tcPr>
          <w:p w:rsidR="0084615D" w:rsidRDefault="0084615D" w:rsidP="00A67858">
            <w:pPr>
              <w:spacing w:after="0" w:line="276" w:lineRule="auto"/>
              <w:jc w:val="center"/>
              <w:rPr>
                <w:b/>
                <w:sz w:val="20"/>
                <w:szCs w:val="20"/>
                <w:lang w:val="af-ZA"/>
              </w:rPr>
            </w:pPr>
            <w:r w:rsidRPr="0026110E">
              <w:rPr>
                <w:b/>
                <w:sz w:val="20"/>
                <w:szCs w:val="20"/>
                <w:lang w:val="af-ZA"/>
              </w:rPr>
              <w:t>Հանքարդյունաբերու</w:t>
            </w:r>
            <w:r w:rsidRPr="0026110E">
              <w:rPr>
                <w:b/>
                <w:sz w:val="20"/>
                <w:szCs w:val="20"/>
                <w:lang w:val="af-ZA"/>
              </w:rPr>
              <w:softHyphen/>
              <w:t>թյան ոլորտի զարգաց</w:t>
            </w:r>
            <w:r w:rsidRPr="0026110E">
              <w:rPr>
                <w:b/>
                <w:sz w:val="20"/>
                <w:szCs w:val="20"/>
                <w:lang w:val="hy-AM"/>
              </w:rPr>
              <w:t>ու</w:t>
            </w:r>
            <w:r w:rsidRPr="0026110E">
              <w:rPr>
                <w:b/>
                <w:sz w:val="20"/>
                <w:szCs w:val="20"/>
                <w:lang w:val="af-ZA"/>
              </w:rPr>
              <w:t>մ</w:t>
            </w:r>
          </w:p>
          <w:p w:rsidR="008A3C69" w:rsidRPr="0053423A" w:rsidRDefault="008A3C69" w:rsidP="00A67858">
            <w:pPr>
              <w:spacing w:after="0" w:line="276" w:lineRule="auto"/>
              <w:jc w:val="center"/>
              <w:rPr>
                <w:b/>
                <w:sz w:val="20"/>
                <w:szCs w:val="20"/>
                <w:lang w:val="af-ZA"/>
              </w:rPr>
            </w:pPr>
          </w:p>
          <w:p w:rsidR="008A3C69" w:rsidRPr="008A3C69" w:rsidRDefault="0084615D" w:rsidP="008A3C69">
            <w:pPr>
              <w:pStyle w:val="BodyText"/>
              <w:tabs>
                <w:tab w:val="left" w:pos="369"/>
              </w:tabs>
              <w:spacing w:after="0"/>
              <w:jc w:val="center"/>
              <w:rPr>
                <w:rFonts w:ascii="GHEA Grapalat" w:hAnsi="GHEA Grapalat"/>
                <w:b/>
                <w:sz w:val="20"/>
                <w:szCs w:val="20"/>
                <w:u w:val="single"/>
                <w:lang w:val="hy-AM"/>
              </w:rPr>
            </w:pPr>
            <w:r w:rsidRPr="008A3C69">
              <w:rPr>
                <w:rFonts w:ascii="GHEA Grapalat" w:hAnsi="GHEA Grapalat"/>
                <w:b/>
                <w:sz w:val="20"/>
                <w:szCs w:val="20"/>
                <w:u w:val="single"/>
                <w:lang w:val="af-ZA"/>
              </w:rPr>
              <w:t>10.1 Հանքարդյունաբերության ոլորտի զարգացման ռազմավարության մշակման նպատակով «Հայաստանի ընդերքի ոլորտի տնտեսական վերլուծությունը և դրա ազդեցությունը կայուն զարգացման վրա» ախտորոշիչ ուսումնասիրությունների իրականացում</w:t>
            </w:r>
            <w:r w:rsidR="008A3C69" w:rsidRPr="008A3C69">
              <w:rPr>
                <w:rFonts w:ascii="GHEA Grapalat" w:hAnsi="GHEA Grapalat"/>
                <w:b/>
                <w:sz w:val="20"/>
                <w:szCs w:val="20"/>
                <w:u w:val="single"/>
                <w:lang w:val="hy-AM"/>
              </w:rPr>
              <w:t xml:space="preserve"> </w:t>
            </w:r>
            <w:r w:rsidR="008A3C69" w:rsidRPr="008A3C69">
              <w:rPr>
                <w:rFonts w:ascii="GHEA Grapalat" w:hAnsi="GHEA Grapalat"/>
                <w:b/>
                <w:sz w:val="20"/>
                <w:szCs w:val="20"/>
                <w:u w:val="single"/>
                <w:lang w:val="af-ZA"/>
              </w:rPr>
              <w:t>իրականացում</w:t>
            </w:r>
            <w:r w:rsidR="008A3C69" w:rsidRPr="008A3C69">
              <w:rPr>
                <w:rFonts w:ascii="GHEA Grapalat" w:hAnsi="GHEA Grapalat"/>
                <w:b/>
                <w:sz w:val="20"/>
                <w:szCs w:val="20"/>
                <w:u w:val="single"/>
                <w:lang w:val="hy-AM"/>
              </w:rPr>
              <w:t xml:space="preserve"> և տեսլականի ներկայացում</w:t>
            </w:r>
          </w:p>
          <w:p w:rsidR="0084615D" w:rsidRPr="008A3C69" w:rsidRDefault="0084615D" w:rsidP="008A3C69">
            <w:pPr>
              <w:tabs>
                <w:tab w:val="left" w:pos="1170"/>
              </w:tabs>
              <w:spacing w:after="0" w:line="276" w:lineRule="auto"/>
              <w:ind w:left="720"/>
              <w:jc w:val="center"/>
              <w:rPr>
                <w:rFonts w:cs="Sylfaen"/>
                <w:b/>
                <w:sz w:val="20"/>
                <w:szCs w:val="20"/>
                <w:u w:val="single"/>
                <w:lang w:val="hy-AM"/>
              </w:rPr>
            </w:pPr>
          </w:p>
          <w:p w:rsidR="0084615D" w:rsidRPr="0053423A" w:rsidRDefault="0084615D" w:rsidP="00A67858">
            <w:pPr>
              <w:pStyle w:val="ListParagraph"/>
              <w:tabs>
                <w:tab w:val="left" w:pos="810"/>
              </w:tabs>
              <w:spacing w:after="0" w:line="276" w:lineRule="auto"/>
              <w:ind w:left="1095"/>
              <w:rPr>
                <w:rFonts w:eastAsia="Times New Roman"/>
                <w:b/>
                <w:sz w:val="20"/>
                <w:szCs w:val="20"/>
                <w:lang w:val="af-ZA"/>
              </w:rPr>
            </w:pPr>
            <w:r w:rsidRPr="0053423A">
              <w:rPr>
                <w:rFonts w:eastAsia="Times New Roman" w:cs="Courier New"/>
                <w:b/>
                <w:sz w:val="20"/>
                <w:szCs w:val="20"/>
                <w:lang w:val="af-ZA"/>
              </w:rPr>
              <w:t>1.</w:t>
            </w:r>
            <w:r w:rsidRPr="0053423A">
              <w:rPr>
                <w:rFonts w:ascii="Calibri" w:eastAsia="Times New Roman" w:hAnsi="Calibri" w:cs="Calibri"/>
                <w:b/>
                <w:sz w:val="20"/>
                <w:szCs w:val="20"/>
                <w:lang w:val="af-ZA"/>
              </w:rPr>
              <w:t> </w:t>
            </w:r>
            <w:r w:rsidRPr="0053423A">
              <w:rPr>
                <w:rFonts w:eastAsia="Times New Roman"/>
                <w:b/>
                <w:sz w:val="20"/>
                <w:szCs w:val="20"/>
                <w:lang w:val="hy-AM"/>
              </w:rPr>
              <w:t>Միջոցառման</w:t>
            </w:r>
            <w:r w:rsidRPr="0053423A">
              <w:rPr>
                <w:rFonts w:eastAsia="Times New Roman"/>
                <w:b/>
                <w:sz w:val="20"/>
                <w:szCs w:val="20"/>
                <w:lang w:val="af-ZA"/>
              </w:rPr>
              <w:t xml:space="preserve"> </w:t>
            </w:r>
            <w:r w:rsidRPr="0053423A">
              <w:rPr>
                <w:rFonts w:eastAsia="Times New Roman"/>
                <w:b/>
                <w:sz w:val="20"/>
                <w:szCs w:val="20"/>
                <w:lang w:val="hy-AM"/>
              </w:rPr>
              <w:t>իրակացման</w:t>
            </w:r>
            <w:r w:rsidRPr="0053423A">
              <w:rPr>
                <w:rFonts w:eastAsia="Times New Roman"/>
                <w:b/>
                <w:sz w:val="20"/>
                <w:szCs w:val="20"/>
                <w:lang w:val="af-ZA"/>
              </w:rPr>
              <w:t xml:space="preserve"> </w:t>
            </w:r>
            <w:r w:rsidRPr="0053423A">
              <w:rPr>
                <w:rFonts w:eastAsia="Times New Roma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նպատակը</w:t>
            </w:r>
          </w:p>
          <w:p w:rsidR="0084615D" w:rsidRPr="0053423A" w:rsidRDefault="0084615D" w:rsidP="00A67858">
            <w:pPr>
              <w:pStyle w:val="ListParagraph"/>
              <w:spacing w:after="0" w:line="276" w:lineRule="auto"/>
              <w:ind w:left="90"/>
              <w:jc w:val="both"/>
              <w:rPr>
                <w:rFonts w:eastAsia="Times New Roman"/>
                <w:sz w:val="20"/>
                <w:szCs w:val="20"/>
                <w:lang w:val="af-ZA"/>
              </w:rPr>
            </w:pPr>
            <w:r w:rsidRPr="0053423A">
              <w:rPr>
                <w:rFonts w:eastAsia="Times New Roman"/>
                <w:sz w:val="20"/>
                <w:szCs w:val="20"/>
                <w:lang w:val="hy-AM"/>
              </w:rPr>
              <w:t>Հանաքարդյունաբերության</w:t>
            </w:r>
            <w:r w:rsidRPr="0053423A">
              <w:rPr>
                <w:rFonts w:eastAsia="Times New Roman"/>
                <w:sz w:val="20"/>
                <w:szCs w:val="20"/>
                <w:lang w:val="af-ZA"/>
              </w:rPr>
              <w:t xml:space="preserve"> </w:t>
            </w:r>
            <w:r w:rsidRPr="0053423A">
              <w:rPr>
                <w:rFonts w:eastAsia="Times New Roman"/>
                <w:sz w:val="20"/>
                <w:szCs w:val="20"/>
                <w:lang w:val="hy-AM"/>
              </w:rPr>
              <w:t>ոլորտի</w:t>
            </w:r>
            <w:r w:rsidRPr="0053423A">
              <w:rPr>
                <w:rFonts w:eastAsia="Times New Roman"/>
                <w:sz w:val="20"/>
                <w:szCs w:val="20"/>
                <w:lang w:val="af-ZA"/>
              </w:rPr>
              <w:t xml:space="preserve"> </w:t>
            </w:r>
            <w:r w:rsidRPr="0053423A">
              <w:rPr>
                <w:rFonts w:eastAsia="Times New Roman"/>
                <w:sz w:val="20"/>
                <w:szCs w:val="20"/>
                <w:lang w:val="hy-AM"/>
              </w:rPr>
              <w:t>զարգացումն</w:t>
            </w:r>
            <w:r w:rsidRPr="0053423A">
              <w:rPr>
                <w:rFonts w:eastAsia="Times New Roman"/>
                <w:sz w:val="20"/>
                <w:szCs w:val="20"/>
                <w:lang w:val="af-ZA"/>
              </w:rPr>
              <w:t xml:space="preserve"> </w:t>
            </w:r>
            <w:r w:rsidRPr="0053423A">
              <w:rPr>
                <w:rFonts w:eastAsia="Times New Roman"/>
                <w:sz w:val="20"/>
                <w:szCs w:val="20"/>
                <w:lang w:val="hy-AM"/>
              </w:rPr>
              <w:t>ապահովելու</w:t>
            </w:r>
            <w:r w:rsidRPr="0053423A">
              <w:rPr>
                <w:rFonts w:eastAsia="Times New Roman"/>
                <w:sz w:val="20"/>
                <w:szCs w:val="20"/>
                <w:lang w:val="af-ZA"/>
              </w:rPr>
              <w:t xml:space="preserve"> </w:t>
            </w:r>
            <w:r w:rsidRPr="0053423A">
              <w:rPr>
                <w:rFonts w:eastAsia="Times New Roman"/>
                <w:sz w:val="20"/>
                <w:szCs w:val="20"/>
                <w:lang w:val="hy-AM"/>
              </w:rPr>
              <w:t>նպատակով</w:t>
            </w:r>
            <w:r w:rsidRPr="0053423A">
              <w:rPr>
                <w:rFonts w:eastAsia="Times New Roman"/>
                <w:sz w:val="20"/>
                <w:szCs w:val="20"/>
                <w:lang w:val="af-ZA"/>
              </w:rPr>
              <w:t xml:space="preserve"> </w:t>
            </w:r>
            <w:r w:rsidRPr="0053423A">
              <w:rPr>
                <w:rFonts w:eastAsia="Times New Roman"/>
                <w:sz w:val="20"/>
                <w:szCs w:val="20"/>
                <w:lang w:val="hy-AM"/>
              </w:rPr>
              <w:t>ռազմավարության</w:t>
            </w:r>
            <w:r w:rsidRPr="0053423A">
              <w:rPr>
                <w:rFonts w:eastAsia="Times New Roman"/>
                <w:sz w:val="20"/>
                <w:szCs w:val="20"/>
                <w:lang w:val="af-ZA"/>
              </w:rPr>
              <w:t xml:space="preserve"> </w:t>
            </w:r>
            <w:r w:rsidRPr="0053423A">
              <w:rPr>
                <w:rFonts w:eastAsia="Times New Roman"/>
                <w:sz w:val="20"/>
                <w:szCs w:val="20"/>
                <w:lang w:val="hy-AM"/>
              </w:rPr>
              <w:t>մշակման</w:t>
            </w:r>
            <w:r w:rsidRPr="0053423A">
              <w:rPr>
                <w:rFonts w:eastAsia="Times New Roman"/>
                <w:sz w:val="20"/>
                <w:szCs w:val="20"/>
                <w:lang w:val="af-ZA"/>
              </w:rPr>
              <w:t xml:space="preserve"> </w:t>
            </w:r>
            <w:r w:rsidRPr="0053423A">
              <w:rPr>
                <w:rFonts w:eastAsia="Times New Roman"/>
                <w:sz w:val="20"/>
                <w:szCs w:val="20"/>
                <w:lang w:val="hy-AM"/>
              </w:rPr>
              <w:t>հիմքի</w:t>
            </w:r>
            <w:r w:rsidRPr="0053423A">
              <w:rPr>
                <w:rFonts w:eastAsia="Times New Roman"/>
                <w:sz w:val="20"/>
                <w:szCs w:val="20"/>
                <w:lang w:val="af-ZA"/>
              </w:rPr>
              <w:t xml:space="preserve"> </w:t>
            </w:r>
            <w:r w:rsidRPr="0053423A">
              <w:rPr>
                <w:rFonts w:eastAsia="Times New Roman"/>
                <w:sz w:val="20"/>
                <w:szCs w:val="20"/>
                <w:lang w:val="hy-AM"/>
              </w:rPr>
              <w:t>նախապատրաստում՝</w:t>
            </w:r>
            <w:r w:rsidRPr="0053423A">
              <w:rPr>
                <w:rFonts w:eastAsia="Times New Roman"/>
                <w:sz w:val="20"/>
                <w:szCs w:val="20"/>
                <w:lang w:val="af-ZA"/>
              </w:rPr>
              <w:t xml:space="preserve"> </w:t>
            </w:r>
            <w:r w:rsidRPr="0053423A">
              <w:rPr>
                <w:rFonts w:cs="Arial"/>
                <w:sz w:val="20"/>
                <w:szCs w:val="20"/>
                <w:lang w:val="af-ZA"/>
              </w:rPr>
              <w:t>hենվելով արդեն կատարված վերլուծական աշխատանքի վրա,  տիրող իրավիճակ</w:t>
            </w:r>
            <w:r w:rsidRPr="0053423A">
              <w:rPr>
                <w:rFonts w:cs="Arial"/>
                <w:sz w:val="20"/>
                <w:szCs w:val="20"/>
                <w:lang w:val="hy-AM"/>
              </w:rPr>
              <w:t>ի</w:t>
            </w:r>
            <w:r w:rsidRPr="0053423A">
              <w:rPr>
                <w:rFonts w:cs="Arial"/>
                <w:sz w:val="20"/>
                <w:szCs w:val="20"/>
                <w:lang w:val="af-ZA"/>
              </w:rPr>
              <w:t xml:space="preserve"> </w:t>
            </w:r>
            <w:r w:rsidRPr="0053423A">
              <w:rPr>
                <w:rFonts w:cs="Arial"/>
                <w:sz w:val="20"/>
                <w:szCs w:val="20"/>
                <w:lang w:val="hy-AM"/>
              </w:rPr>
              <w:t>գնահատում</w:t>
            </w:r>
            <w:r w:rsidRPr="0053423A">
              <w:rPr>
                <w:rFonts w:cs="Arial"/>
                <w:sz w:val="20"/>
                <w:szCs w:val="20"/>
                <w:lang w:val="af-ZA"/>
              </w:rPr>
              <w:t xml:space="preserve"> և առաջարկությ</w:t>
            </w:r>
            <w:r w:rsidRPr="0053423A">
              <w:rPr>
                <w:rFonts w:cs="Arial"/>
                <w:sz w:val="20"/>
                <w:szCs w:val="20"/>
                <w:lang w:val="hy-AM"/>
              </w:rPr>
              <w:t>ա</w:t>
            </w:r>
            <w:r w:rsidRPr="0053423A">
              <w:rPr>
                <w:rFonts w:cs="Arial"/>
                <w:sz w:val="20"/>
                <w:szCs w:val="20"/>
                <w:lang w:val="af-ZA"/>
              </w:rPr>
              <w:t xml:space="preserve">ն </w:t>
            </w:r>
            <w:r w:rsidRPr="0053423A">
              <w:rPr>
                <w:rFonts w:cs="Arial"/>
                <w:sz w:val="20"/>
                <w:szCs w:val="20"/>
                <w:lang w:val="hy-AM"/>
              </w:rPr>
              <w:t>ներկայացում</w:t>
            </w:r>
            <w:r w:rsidRPr="0053423A">
              <w:rPr>
                <w:rFonts w:cs="Arial"/>
                <w:sz w:val="20"/>
                <w:szCs w:val="20"/>
                <w:lang w:val="af-ZA"/>
              </w:rPr>
              <w:t xml:space="preserve">: </w:t>
            </w:r>
          </w:p>
          <w:p w:rsidR="0084615D" w:rsidRPr="0053423A" w:rsidRDefault="0084615D" w:rsidP="001F6D5D">
            <w:pPr>
              <w:pStyle w:val="ListParagraph"/>
              <w:numPr>
                <w:ilvl w:val="1"/>
                <w:numId w:val="264"/>
              </w:numPr>
              <w:tabs>
                <w:tab w:val="left" w:pos="900"/>
                <w:tab w:val="left" w:pos="1620"/>
              </w:tabs>
              <w:spacing w:after="0" w:line="276" w:lineRule="auto"/>
              <w:rPr>
                <w:rFonts w:eastAsia="Times New Roman"/>
                <w:b/>
                <w:sz w:val="20"/>
                <w:szCs w:val="20"/>
                <w:lang w:val="af-ZA"/>
              </w:rPr>
            </w:pPr>
            <w:r w:rsidRPr="0053423A">
              <w:rPr>
                <w:rFonts w:eastAsia="Times New Roman"/>
                <w:b/>
                <w:sz w:val="20"/>
                <w:szCs w:val="20"/>
                <w:lang w:val="ru-RU"/>
              </w:rPr>
              <w:t>Կ</w:t>
            </w:r>
            <w:r w:rsidRPr="0053423A">
              <w:rPr>
                <w:rFonts w:eastAsia="Times New Roman"/>
                <w:b/>
                <w:sz w:val="20"/>
                <w:szCs w:val="20"/>
              </w:rPr>
              <w:t>արգավորման</w:t>
            </w:r>
            <w:r w:rsidRPr="0053423A">
              <w:rPr>
                <w:rFonts w:eastAsia="Times New Roman"/>
                <w:b/>
                <w:sz w:val="20"/>
                <w:szCs w:val="20"/>
                <w:lang w:val="af-ZA"/>
              </w:rPr>
              <w:t xml:space="preserve"> </w:t>
            </w:r>
            <w:r w:rsidRPr="0053423A">
              <w:rPr>
                <w:rFonts w:eastAsia="Times New Roman"/>
                <w:b/>
                <w:sz w:val="20"/>
                <w:szCs w:val="20"/>
              </w:rPr>
              <w:t>հարաբերությունների</w:t>
            </w:r>
            <w:r w:rsidRPr="0053423A">
              <w:rPr>
                <w:rFonts w:eastAsia="Times New Roman"/>
                <w:b/>
                <w:sz w:val="20"/>
                <w:szCs w:val="20"/>
                <w:lang w:val="af-ZA"/>
              </w:rPr>
              <w:t xml:space="preserve"> </w:t>
            </w:r>
            <w:r w:rsidRPr="0053423A">
              <w:rPr>
                <w:rFonts w:eastAsia="Times New Roman"/>
                <w:b/>
                <w:sz w:val="20"/>
                <w:szCs w:val="20"/>
              </w:rPr>
              <w:t>ներկա</w:t>
            </w:r>
            <w:r w:rsidRPr="0053423A">
              <w:rPr>
                <w:rFonts w:eastAsia="Times New Roman"/>
                <w:b/>
                <w:sz w:val="20"/>
                <w:szCs w:val="20"/>
                <w:lang w:val="af-ZA"/>
              </w:rPr>
              <w:t xml:space="preserve"> </w:t>
            </w:r>
            <w:r w:rsidRPr="0053423A">
              <w:rPr>
                <w:rFonts w:eastAsia="Times New Roman"/>
                <w:b/>
                <w:sz w:val="20"/>
                <w:szCs w:val="20"/>
              </w:rPr>
              <w:t>վիճակը</w:t>
            </w:r>
            <w:r w:rsidRPr="0053423A">
              <w:rPr>
                <w:rFonts w:eastAsia="Times New Roman"/>
                <w:b/>
                <w:sz w:val="20"/>
                <w:szCs w:val="20"/>
                <w:lang w:val="af-ZA"/>
              </w:rPr>
              <w:t xml:space="preserve"> </w:t>
            </w:r>
            <w:r w:rsidRPr="0053423A">
              <w:rPr>
                <w:rFonts w:eastAsia="Times New Roman"/>
                <w:b/>
                <w:sz w:val="20"/>
                <w:szCs w:val="20"/>
              </w:rPr>
              <w:t>և</w:t>
            </w:r>
            <w:r w:rsidRPr="0053423A">
              <w:rPr>
                <w:rFonts w:eastAsia="Times New Roman"/>
                <w:b/>
                <w:sz w:val="20"/>
                <w:szCs w:val="20"/>
                <w:lang w:val="af-ZA"/>
              </w:rPr>
              <w:t xml:space="preserve"> </w:t>
            </w:r>
            <w:r w:rsidRPr="0053423A">
              <w:rPr>
                <w:rFonts w:eastAsia="Times New Roman"/>
                <w:b/>
                <w:sz w:val="20"/>
                <w:szCs w:val="20"/>
              </w:rPr>
              <w:t>առկա</w:t>
            </w:r>
            <w:r w:rsidRPr="0053423A">
              <w:rPr>
                <w:rFonts w:eastAsia="Times New Roman"/>
                <w:b/>
                <w:sz w:val="20"/>
                <w:szCs w:val="20"/>
                <w:lang w:val="af-ZA"/>
              </w:rPr>
              <w:t xml:space="preserve"> </w:t>
            </w:r>
            <w:r w:rsidRPr="0053423A">
              <w:rPr>
                <w:rFonts w:eastAsia="Times New Roman"/>
                <w:b/>
                <w:sz w:val="20"/>
                <w:szCs w:val="20"/>
              </w:rPr>
              <w:t>խնդիրները</w:t>
            </w:r>
          </w:p>
          <w:p w:rsidR="0084615D" w:rsidRPr="0053423A" w:rsidRDefault="0084615D" w:rsidP="00A67858">
            <w:pPr>
              <w:pStyle w:val="ListParagraph"/>
              <w:spacing w:after="0" w:line="276" w:lineRule="auto"/>
              <w:ind w:left="90"/>
              <w:jc w:val="both"/>
              <w:rPr>
                <w:rFonts w:eastAsia="Times New Roman"/>
                <w:sz w:val="20"/>
                <w:szCs w:val="20"/>
                <w:lang w:val="af-ZA"/>
              </w:rPr>
            </w:pPr>
            <w:r w:rsidRPr="0053423A">
              <w:rPr>
                <w:rFonts w:cs="Arial"/>
                <w:spacing w:val="-8"/>
                <w:sz w:val="20"/>
                <w:szCs w:val="20"/>
                <w:lang w:val="af-ZA"/>
              </w:rPr>
              <w:t>ՀՀ կառավարության 2017</w:t>
            </w:r>
            <w:r w:rsidRPr="0053423A">
              <w:rPr>
                <w:rFonts w:cs="Arial"/>
                <w:spacing w:val="-8"/>
                <w:sz w:val="20"/>
                <w:szCs w:val="20"/>
              </w:rPr>
              <w:t>թ</w:t>
            </w:r>
            <w:r w:rsidRPr="0053423A">
              <w:rPr>
                <w:rFonts w:cs="Arial"/>
                <w:spacing w:val="-8"/>
                <w:sz w:val="20"/>
                <w:szCs w:val="20"/>
                <w:lang w:val="af-ZA"/>
              </w:rPr>
              <w:t xml:space="preserve">. օգոստոսի 24-ի </w:t>
            </w:r>
            <w:r w:rsidRPr="0053423A">
              <w:rPr>
                <w:rFonts w:cs="Arial"/>
                <w:spacing w:val="-8"/>
                <w:sz w:val="20"/>
                <w:szCs w:val="20"/>
                <w:lang w:val="af-ZA"/>
              </w:rPr>
              <w:sym w:font="Symbol" w:char="F04E"/>
            </w:r>
            <w:r w:rsidRPr="0053423A">
              <w:rPr>
                <w:rFonts w:cs="Arial"/>
                <w:spacing w:val="-8"/>
                <w:sz w:val="20"/>
                <w:szCs w:val="20"/>
                <w:lang w:val="af-ZA"/>
              </w:rPr>
              <w:t>36-21 արձանագրային որոշմամբ հավանության արժանացած Հ</w:t>
            </w:r>
            <w:r w:rsidRPr="0053423A">
              <w:rPr>
                <w:rFonts w:cs="Arial"/>
                <w:spacing w:val="-8"/>
                <w:sz w:val="20"/>
                <w:szCs w:val="20"/>
              </w:rPr>
              <w:t>անքարդյունաբերության</w:t>
            </w:r>
            <w:r w:rsidRPr="0053423A">
              <w:rPr>
                <w:rFonts w:cs="Arial"/>
                <w:spacing w:val="-8"/>
                <w:sz w:val="20"/>
                <w:szCs w:val="20"/>
                <w:lang w:val="af-ZA"/>
              </w:rPr>
              <w:t xml:space="preserve"> </w:t>
            </w:r>
            <w:r w:rsidRPr="0053423A">
              <w:rPr>
                <w:rFonts w:cs="Arial"/>
                <w:spacing w:val="-8"/>
                <w:sz w:val="20"/>
                <w:szCs w:val="20"/>
              </w:rPr>
              <w:t>ոլորտի</w:t>
            </w:r>
            <w:r w:rsidRPr="0053423A">
              <w:rPr>
                <w:rFonts w:cs="Arial"/>
                <w:spacing w:val="-8"/>
                <w:sz w:val="20"/>
                <w:szCs w:val="20"/>
                <w:lang w:val="af-ZA"/>
              </w:rPr>
              <w:t xml:space="preserve"> </w:t>
            </w:r>
            <w:r w:rsidRPr="0053423A">
              <w:rPr>
                <w:rFonts w:cs="Arial"/>
                <w:spacing w:val="-8"/>
                <w:sz w:val="20"/>
                <w:szCs w:val="20"/>
              </w:rPr>
              <w:t>զարգացման</w:t>
            </w:r>
            <w:r w:rsidRPr="0053423A">
              <w:rPr>
                <w:spacing w:val="-8"/>
                <w:sz w:val="20"/>
                <w:szCs w:val="20"/>
                <w:lang w:val="af-ZA"/>
              </w:rPr>
              <w:t xml:space="preserve"> </w:t>
            </w:r>
            <w:r w:rsidRPr="0053423A">
              <w:rPr>
                <w:rFonts w:cs="Arial"/>
                <w:spacing w:val="-8"/>
                <w:sz w:val="20"/>
                <w:szCs w:val="20"/>
              </w:rPr>
              <w:t>հայեցակարգի</w:t>
            </w:r>
            <w:r w:rsidRPr="0053423A">
              <w:rPr>
                <w:rFonts w:cs="Arial"/>
                <w:spacing w:val="-8"/>
                <w:sz w:val="20"/>
                <w:szCs w:val="20"/>
                <w:lang w:val="af-ZA"/>
              </w:rPr>
              <w:t xml:space="preserve"> </w:t>
            </w:r>
            <w:r w:rsidRPr="0053423A">
              <w:rPr>
                <w:rFonts w:cs="Arial"/>
                <w:spacing w:val="-8"/>
                <w:sz w:val="20"/>
                <w:szCs w:val="20"/>
              </w:rPr>
              <w:t>պահանջների</w:t>
            </w:r>
            <w:r w:rsidRPr="0053423A">
              <w:rPr>
                <w:rFonts w:cs="Arial"/>
                <w:spacing w:val="-8"/>
                <w:sz w:val="20"/>
                <w:szCs w:val="20"/>
                <w:lang w:val="af-ZA"/>
              </w:rPr>
              <w:t xml:space="preserve"> </w:t>
            </w:r>
            <w:r w:rsidRPr="0053423A">
              <w:rPr>
                <w:rFonts w:cs="Arial"/>
                <w:spacing w:val="-8"/>
                <w:sz w:val="20"/>
                <w:szCs w:val="20"/>
              </w:rPr>
              <w:t>կատար</w:t>
            </w:r>
            <w:r w:rsidRPr="0053423A">
              <w:rPr>
                <w:rFonts w:cs="Arial"/>
                <w:spacing w:val="-8"/>
                <w:sz w:val="20"/>
                <w:szCs w:val="20"/>
                <w:lang w:val="ru-RU"/>
              </w:rPr>
              <w:t>ման</w:t>
            </w:r>
            <w:r w:rsidRPr="0053423A">
              <w:rPr>
                <w:rFonts w:cs="Arial"/>
                <w:spacing w:val="-8"/>
                <w:sz w:val="20"/>
                <w:szCs w:val="20"/>
                <w:lang w:val="af-ZA"/>
              </w:rPr>
              <w:t xml:space="preserve"> </w:t>
            </w:r>
            <w:r w:rsidRPr="0053423A">
              <w:rPr>
                <w:rFonts w:cs="Arial"/>
                <w:spacing w:val="-8"/>
                <w:sz w:val="20"/>
                <w:szCs w:val="20"/>
              </w:rPr>
              <w:t>ապահովում</w:t>
            </w:r>
            <w:r w:rsidRPr="0053423A">
              <w:rPr>
                <w:rFonts w:cs="Arial"/>
                <w:spacing w:val="-8"/>
                <w:sz w:val="20"/>
                <w:szCs w:val="20"/>
                <w:lang w:val="af-ZA"/>
              </w:rPr>
              <w:t>:</w:t>
            </w:r>
          </w:p>
          <w:p w:rsidR="0084615D" w:rsidRPr="0053423A" w:rsidRDefault="0084615D" w:rsidP="00A67858">
            <w:pPr>
              <w:pStyle w:val="ListParagraph"/>
              <w:tabs>
                <w:tab w:val="left" w:pos="900"/>
              </w:tabs>
              <w:spacing w:after="0" w:line="276" w:lineRule="auto"/>
              <w:ind w:left="375" w:firstLine="705"/>
              <w:rPr>
                <w:rFonts w:eastAsia="Times New Roman"/>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w:t>
            </w:r>
            <w:r w:rsidRPr="0053423A">
              <w:rPr>
                <w:rFonts w:eastAsia="Times New Roman"/>
                <w:b/>
                <w:sz w:val="20"/>
                <w:szCs w:val="20"/>
                <w:lang w:val="ru-RU"/>
              </w:rPr>
              <w:t>Ա</w:t>
            </w:r>
            <w:r w:rsidRPr="0053423A">
              <w:rPr>
                <w:rFonts w:eastAsia="Times New Roman"/>
                <w:b/>
                <w:sz w:val="20"/>
                <w:szCs w:val="20"/>
              </w:rPr>
              <w:t>ռկա</w:t>
            </w:r>
            <w:r w:rsidRPr="0053423A">
              <w:rPr>
                <w:rFonts w:eastAsia="Times New Roman"/>
                <w:b/>
                <w:sz w:val="20"/>
                <w:szCs w:val="20"/>
                <w:lang w:val="af-ZA"/>
              </w:rPr>
              <w:t xml:space="preserve"> </w:t>
            </w:r>
            <w:r w:rsidRPr="0053423A">
              <w:rPr>
                <w:rFonts w:eastAsia="Times New Roman"/>
                <w:b/>
                <w:sz w:val="20"/>
                <w:szCs w:val="20"/>
              </w:rPr>
              <w:t>խնդիրների</w:t>
            </w:r>
            <w:r w:rsidRPr="0053423A">
              <w:rPr>
                <w:rFonts w:eastAsia="Times New Roman"/>
                <w:b/>
                <w:sz w:val="20"/>
                <w:szCs w:val="20"/>
                <w:lang w:val="af-ZA"/>
              </w:rPr>
              <w:t xml:space="preserve"> </w:t>
            </w:r>
            <w:r w:rsidRPr="0053423A">
              <w:rPr>
                <w:rFonts w:eastAsia="Times New Roman"/>
                <w:b/>
                <w:sz w:val="20"/>
                <w:szCs w:val="20"/>
              </w:rPr>
              <w:t>առաջարկվող</w:t>
            </w:r>
            <w:r w:rsidRPr="0053423A">
              <w:rPr>
                <w:rFonts w:eastAsia="Times New Roman"/>
                <w:b/>
                <w:sz w:val="20"/>
                <w:szCs w:val="20"/>
                <w:lang w:val="af-ZA"/>
              </w:rPr>
              <w:t xml:space="preserve"> </w:t>
            </w:r>
            <w:r w:rsidRPr="0053423A">
              <w:rPr>
                <w:rFonts w:eastAsia="Times New Roman"/>
                <w:b/>
                <w:sz w:val="20"/>
                <w:szCs w:val="20"/>
              </w:rPr>
              <w:t>լուծումները</w:t>
            </w:r>
          </w:p>
          <w:p w:rsidR="0084615D" w:rsidRPr="0053423A" w:rsidRDefault="0084615D" w:rsidP="00A67858">
            <w:pPr>
              <w:pStyle w:val="ListParagraph"/>
              <w:spacing w:after="0" w:line="276" w:lineRule="auto"/>
              <w:ind w:left="0"/>
              <w:jc w:val="both"/>
              <w:rPr>
                <w:rFonts w:cs="Arial"/>
                <w:sz w:val="20"/>
                <w:szCs w:val="20"/>
                <w:lang w:val="af-ZA"/>
              </w:rPr>
            </w:pPr>
            <w:r w:rsidRPr="0053423A">
              <w:rPr>
                <w:rFonts w:cs="Arial"/>
                <w:sz w:val="20"/>
                <w:szCs w:val="20"/>
              </w:rPr>
              <w:t>Հայաստանի</w:t>
            </w:r>
            <w:r w:rsidRPr="0053423A">
              <w:rPr>
                <w:rFonts w:cs="Arial"/>
                <w:sz w:val="20"/>
                <w:szCs w:val="20"/>
                <w:lang w:val="af-ZA"/>
              </w:rPr>
              <w:t xml:space="preserve"> </w:t>
            </w:r>
            <w:r w:rsidRPr="0053423A">
              <w:rPr>
                <w:rFonts w:cs="Arial"/>
                <w:sz w:val="20"/>
                <w:szCs w:val="20"/>
              </w:rPr>
              <w:t>ընդերքի</w:t>
            </w:r>
            <w:r w:rsidRPr="0053423A">
              <w:rPr>
                <w:rFonts w:cs="Arial"/>
                <w:sz w:val="20"/>
                <w:szCs w:val="20"/>
                <w:lang w:val="af-ZA"/>
              </w:rPr>
              <w:t xml:space="preserve"> </w:t>
            </w:r>
            <w:r w:rsidRPr="0053423A">
              <w:rPr>
                <w:rFonts w:cs="Arial"/>
                <w:sz w:val="20"/>
                <w:szCs w:val="20"/>
              </w:rPr>
              <w:t>ոլորտի</w:t>
            </w:r>
            <w:r w:rsidRPr="0053423A">
              <w:rPr>
                <w:rFonts w:cs="Arial"/>
                <w:sz w:val="20"/>
                <w:szCs w:val="20"/>
                <w:lang w:val="af-ZA"/>
              </w:rPr>
              <w:t xml:space="preserve"> </w:t>
            </w:r>
            <w:r w:rsidRPr="0053423A">
              <w:rPr>
                <w:rFonts w:cs="Arial"/>
                <w:sz w:val="20"/>
                <w:szCs w:val="20"/>
              </w:rPr>
              <w:t>տնտեսական</w:t>
            </w:r>
            <w:r w:rsidRPr="0053423A">
              <w:rPr>
                <w:rFonts w:cs="Arial"/>
                <w:sz w:val="20"/>
                <w:szCs w:val="20"/>
                <w:lang w:val="af-ZA"/>
              </w:rPr>
              <w:t xml:space="preserve"> </w:t>
            </w:r>
            <w:r w:rsidRPr="0053423A">
              <w:rPr>
                <w:rFonts w:cs="Arial"/>
                <w:sz w:val="20"/>
                <w:szCs w:val="20"/>
              </w:rPr>
              <w:t>վերլուծության</w:t>
            </w:r>
            <w:r w:rsidRPr="0053423A">
              <w:rPr>
                <w:rFonts w:cs="Arial"/>
                <w:sz w:val="20"/>
                <w:szCs w:val="20"/>
                <w:lang w:val="af-ZA"/>
              </w:rPr>
              <w:t xml:space="preserve"> </w:t>
            </w:r>
            <w:r w:rsidRPr="0053423A">
              <w:rPr>
                <w:rFonts w:cs="Arial"/>
                <w:sz w:val="20"/>
                <w:szCs w:val="20"/>
              </w:rPr>
              <w:t>իրականացում</w:t>
            </w:r>
            <w:r w:rsidRPr="0053423A">
              <w:rPr>
                <w:rFonts w:cs="Arial"/>
                <w:sz w:val="20"/>
                <w:szCs w:val="20"/>
                <w:lang w:val="af-ZA"/>
              </w:rPr>
              <w:t xml:space="preserve"> </w:t>
            </w:r>
            <w:r w:rsidRPr="0053423A">
              <w:rPr>
                <w:rFonts w:cs="Arial"/>
                <w:sz w:val="20"/>
                <w:szCs w:val="20"/>
              </w:rPr>
              <w:t>և</w:t>
            </w:r>
            <w:r w:rsidRPr="0053423A">
              <w:rPr>
                <w:rFonts w:cs="Arial"/>
                <w:sz w:val="20"/>
                <w:szCs w:val="20"/>
                <w:lang w:val="af-ZA"/>
              </w:rPr>
              <w:t xml:space="preserve"> առաջարկության ներկայացում հանքարդյունաբերության ոլորտի </w:t>
            </w:r>
            <w:r w:rsidRPr="0053423A">
              <w:rPr>
                <w:rFonts w:cs="Arial"/>
                <w:sz w:val="20"/>
                <w:szCs w:val="20"/>
              </w:rPr>
              <w:t>կայուն</w:t>
            </w:r>
            <w:r w:rsidRPr="0053423A">
              <w:rPr>
                <w:rFonts w:cs="Arial"/>
                <w:sz w:val="20"/>
                <w:szCs w:val="20"/>
                <w:lang w:val="af-ZA"/>
              </w:rPr>
              <w:t xml:space="preserve"> </w:t>
            </w:r>
            <w:r w:rsidRPr="0053423A">
              <w:rPr>
                <w:rFonts w:cs="Arial"/>
                <w:sz w:val="20"/>
                <w:szCs w:val="20"/>
              </w:rPr>
              <w:t>զարգացման</w:t>
            </w:r>
            <w:r w:rsidRPr="0053423A">
              <w:rPr>
                <w:rFonts w:cs="Arial"/>
                <w:sz w:val="20"/>
                <w:szCs w:val="20"/>
                <w:lang w:val="af-ZA"/>
              </w:rPr>
              <w:t xml:space="preserve"> </w:t>
            </w:r>
            <w:r w:rsidRPr="0053423A">
              <w:rPr>
                <w:rFonts w:cs="Arial"/>
                <w:sz w:val="20"/>
                <w:szCs w:val="20"/>
              </w:rPr>
              <w:t>վերաբերյալ</w:t>
            </w:r>
            <w:r w:rsidRPr="0053423A">
              <w:rPr>
                <w:rFonts w:cs="Arial"/>
                <w:sz w:val="20"/>
                <w:szCs w:val="20"/>
                <w:lang w:val="af-ZA"/>
              </w:rPr>
              <w:t>:</w:t>
            </w:r>
          </w:p>
          <w:p w:rsidR="0084615D" w:rsidRPr="0053423A" w:rsidRDefault="0084615D" w:rsidP="00A67858">
            <w:pPr>
              <w:spacing w:after="0" w:line="276" w:lineRule="auto"/>
              <w:ind w:left="1440" w:hanging="360"/>
              <w:rPr>
                <w:rFonts w:eastAsia="Times New Roman"/>
                <w:b/>
                <w:sz w:val="20"/>
                <w:szCs w:val="20"/>
                <w:lang w:val="af-ZA"/>
              </w:rPr>
            </w:pPr>
            <w:r w:rsidRPr="0053423A">
              <w:rPr>
                <w:rFonts w:eastAsia="Times New Roman"/>
                <w:b/>
                <w:sz w:val="20"/>
                <w:szCs w:val="20"/>
                <w:lang w:val="af-ZA"/>
              </w:rPr>
              <w:t>2.</w:t>
            </w:r>
            <w:r w:rsidRPr="0053423A">
              <w:rPr>
                <w:rFonts w:ascii="Calibri" w:eastAsia="Times New Roman" w:hAnsi="Calibri" w:cs="Calibri"/>
                <w:sz w:val="20"/>
                <w:szCs w:val="20"/>
                <w:lang w:val="af-ZA"/>
              </w:rPr>
              <w:t> </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w:t>
            </w:r>
            <w:r w:rsidRPr="0053423A">
              <w:rPr>
                <w:rFonts w:eastAsia="Times New Roman"/>
                <w:b/>
                <w:sz w:val="20"/>
                <w:szCs w:val="20"/>
                <w:lang w:val="ru-RU"/>
              </w:rPr>
              <w:t>նա</w:t>
            </w:r>
            <w:r w:rsidRPr="0053423A">
              <w:rPr>
                <w:rFonts w:eastAsia="Times New Roman"/>
                <w:b/>
                <w:sz w:val="20"/>
                <w:szCs w:val="20"/>
              </w:rPr>
              <w:t>ցումից</w:t>
            </w:r>
            <w:r w:rsidRPr="0053423A">
              <w:rPr>
                <w:rFonts w:eastAsia="Times New Roman"/>
                <w:b/>
                <w:sz w:val="20"/>
                <w:szCs w:val="20"/>
                <w:lang w:val="af-ZA"/>
              </w:rPr>
              <w:t xml:space="preserve"> </w:t>
            </w:r>
            <w:r w:rsidRPr="0053423A">
              <w:rPr>
                <w:rFonts w:eastAsia="Times New Roman"/>
                <w:b/>
                <w:sz w:val="20"/>
                <w:szCs w:val="20"/>
              </w:rPr>
              <w:t>ակնկալվող</w:t>
            </w:r>
            <w:r w:rsidRPr="0053423A">
              <w:rPr>
                <w:rFonts w:eastAsia="Times New Roman"/>
                <w:b/>
                <w:sz w:val="20"/>
                <w:szCs w:val="20"/>
                <w:lang w:val="af-ZA"/>
              </w:rPr>
              <w:t xml:space="preserve"> </w:t>
            </w:r>
            <w:r w:rsidRPr="0053423A">
              <w:rPr>
                <w:rFonts w:eastAsia="Times New Roman"/>
                <w:b/>
                <w:sz w:val="20"/>
                <w:szCs w:val="20"/>
              </w:rPr>
              <w:t>արդյունքը</w:t>
            </w:r>
          </w:p>
          <w:p w:rsidR="0084615D" w:rsidRPr="0053423A" w:rsidRDefault="0084615D" w:rsidP="00A67858">
            <w:pPr>
              <w:spacing w:after="0" w:line="276" w:lineRule="auto"/>
              <w:jc w:val="both"/>
              <w:rPr>
                <w:rFonts w:cs="Sylfaen"/>
                <w:sz w:val="20"/>
                <w:szCs w:val="20"/>
                <w:lang w:val="af-ZA"/>
              </w:rPr>
            </w:pPr>
            <w:r w:rsidRPr="0053423A">
              <w:rPr>
                <w:rFonts w:cs="Sylfaen"/>
                <w:sz w:val="20"/>
                <w:szCs w:val="20"/>
                <w:lang w:val="hy-AM"/>
              </w:rPr>
              <w:t>Հանքարդյունաբերության</w:t>
            </w:r>
            <w:r w:rsidRPr="0053423A">
              <w:rPr>
                <w:sz w:val="20"/>
                <w:szCs w:val="20"/>
                <w:lang w:val="hy-AM"/>
              </w:rPr>
              <w:t xml:space="preserve"> </w:t>
            </w:r>
            <w:r w:rsidRPr="0053423A">
              <w:rPr>
                <w:rFonts w:cs="Sylfaen"/>
                <w:sz w:val="20"/>
                <w:szCs w:val="20"/>
                <w:lang w:val="hy-AM"/>
              </w:rPr>
              <w:t>ոլորտի</w:t>
            </w:r>
            <w:r w:rsidRPr="0053423A">
              <w:rPr>
                <w:sz w:val="20"/>
                <w:szCs w:val="20"/>
                <w:lang w:val="fr-FR"/>
              </w:rPr>
              <w:t xml:space="preserve"> </w:t>
            </w:r>
            <w:r w:rsidRPr="0053423A">
              <w:rPr>
                <w:rFonts w:cs="Sylfaen"/>
                <w:sz w:val="20"/>
                <w:szCs w:val="20"/>
                <w:lang w:val="fr-FR"/>
              </w:rPr>
              <w:t>տնտեսական</w:t>
            </w:r>
            <w:r w:rsidRPr="0053423A">
              <w:rPr>
                <w:sz w:val="20"/>
                <w:szCs w:val="20"/>
                <w:lang w:val="fr-FR"/>
              </w:rPr>
              <w:t xml:space="preserve"> </w:t>
            </w:r>
            <w:r w:rsidRPr="0053423A">
              <w:rPr>
                <w:rFonts w:cs="Sylfaen"/>
                <w:sz w:val="20"/>
                <w:szCs w:val="20"/>
                <w:lang w:val="fr-FR"/>
              </w:rPr>
              <w:t>գնահատում</w:t>
            </w:r>
            <w:r w:rsidRPr="0053423A">
              <w:rPr>
                <w:sz w:val="20"/>
                <w:szCs w:val="20"/>
                <w:lang w:val="fr-FR"/>
              </w:rPr>
              <w:t xml:space="preserve">, </w:t>
            </w:r>
            <w:r w:rsidRPr="0053423A">
              <w:rPr>
                <w:rFonts w:cs="Sylfaen"/>
                <w:sz w:val="20"/>
                <w:szCs w:val="20"/>
                <w:lang w:val="fr-FR"/>
              </w:rPr>
              <w:t>որը</w:t>
            </w:r>
            <w:r w:rsidRPr="0053423A">
              <w:rPr>
                <w:sz w:val="20"/>
                <w:szCs w:val="20"/>
                <w:lang w:val="fr-FR"/>
              </w:rPr>
              <w:t xml:space="preserve"> </w:t>
            </w:r>
            <w:r w:rsidRPr="0053423A">
              <w:rPr>
                <w:rFonts w:cs="Sylfaen"/>
                <w:sz w:val="20"/>
                <w:szCs w:val="20"/>
                <w:lang w:val="fr-FR"/>
              </w:rPr>
              <w:t>կկանխորոշի</w:t>
            </w:r>
            <w:r w:rsidRPr="0053423A">
              <w:rPr>
                <w:sz w:val="20"/>
                <w:szCs w:val="20"/>
                <w:lang w:val="fr-FR"/>
              </w:rPr>
              <w:t xml:space="preserve"> </w:t>
            </w:r>
            <w:r w:rsidRPr="0053423A">
              <w:rPr>
                <w:rFonts w:cs="Sylfaen"/>
                <w:sz w:val="20"/>
                <w:szCs w:val="20"/>
                <w:lang w:val="fr-FR"/>
              </w:rPr>
              <w:t>մշակվող</w:t>
            </w:r>
            <w:r w:rsidRPr="0053423A">
              <w:rPr>
                <w:sz w:val="20"/>
                <w:szCs w:val="20"/>
                <w:lang w:val="fr-FR"/>
              </w:rPr>
              <w:t xml:space="preserve">  </w:t>
            </w:r>
            <w:r w:rsidRPr="0053423A">
              <w:rPr>
                <w:rFonts w:cs="Sylfaen"/>
                <w:sz w:val="20"/>
                <w:szCs w:val="20"/>
                <w:lang w:val="hy-AM"/>
              </w:rPr>
              <w:t>ռազմավարությունում</w:t>
            </w:r>
            <w:r w:rsidRPr="0053423A">
              <w:rPr>
                <w:sz w:val="20"/>
                <w:szCs w:val="20"/>
                <w:lang w:val="hy-AM"/>
              </w:rPr>
              <w:t xml:space="preserve"> </w:t>
            </w:r>
            <w:r w:rsidRPr="0053423A">
              <w:rPr>
                <w:rFonts w:cs="Sylfaen"/>
                <w:sz w:val="20"/>
                <w:szCs w:val="20"/>
                <w:lang w:val="hy-AM"/>
              </w:rPr>
              <w:t>տրվող</w:t>
            </w:r>
            <w:r w:rsidRPr="0053423A">
              <w:rPr>
                <w:sz w:val="20"/>
                <w:szCs w:val="20"/>
                <w:lang w:val="hy-AM"/>
              </w:rPr>
              <w:t xml:space="preserve"> </w:t>
            </w:r>
            <w:r w:rsidRPr="0053423A">
              <w:rPr>
                <w:rFonts w:cs="Sylfaen"/>
                <w:sz w:val="20"/>
                <w:szCs w:val="20"/>
                <w:lang w:val="hy-AM"/>
              </w:rPr>
              <w:t>ոլորտի</w:t>
            </w:r>
            <w:r w:rsidRPr="0053423A">
              <w:rPr>
                <w:sz w:val="20"/>
                <w:szCs w:val="20"/>
                <w:lang w:val="hy-AM"/>
              </w:rPr>
              <w:t xml:space="preserve"> </w:t>
            </w:r>
            <w:r w:rsidRPr="0053423A">
              <w:rPr>
                <w:rFonts w:cs="Sylfaen"/>
                <w:sz w:val="20"/>
                <w:szCs w:val="20"/>
                <w:lang w:val="hy-AM"/>
              </w:rPr>
              <w:t>զարգացման</w:t>
            </w:r>
            <w:r w:rsidRPr="0053423A">
              <w:rPr>
                <w:sz w:val="20"/>
                <w:szCs w:val="20"/>
                <w:lang w:val="hy-AM"/>
              </w:rPr>
              <w:t xml:space="preserve"> </w:t>
            </w:r>
            <w:r w:rsidRPr="0053423A">
              <w:rPr>
                <w:rFonts w:cs="Sylfaen"/>
                <w:sz w:val="20"/>
                <w:szCs w:val="20"/>
                <w:lang w:val="hy-AM"/>
              </w:rPr>
              <w:t>հիմնական</w:t>
            </w:r>
            <w:r w:rsidRPr="0053423A">
              <w:rPr>
                <w:sz w:val="20"/>
                <w:szCs w:val="20"/>
                <w:lang w:val="hy-AM"/>
              </w:rPr>
              <w:t xml:space="preserve"> </w:t>
            </w:r>
            <w:r w:rsidRPr="0053423A">
              <w:rPr>
                <w:rFonts w:cs="Sylfaen"/>
                <w:sz w:val="20"/>
                <w:szCs w:val="20"/>
                <w:lang w:val="hy-AM"/>
              </w:rPr>
              <w:t>ուղղությունները</w:t>
            </w:r>
            <w:r w:rsidRPr="0053423A">
              <w:rPr>
                <w:rFonts w:cs="Sylfaen"/>
                <w:sz w:val="20"/>
                <w:szCs w:val="20"/>
                <w:lang w:val="af-ZA"/>
              </w:rPr>
              <w:t>:</w:t>
            </w:r>
          </w:p>
          <w:p w:rsidR="0084615D" w:rsidRPr="0053423A" w:rsidRDefault="0084615D" w:rsidP="00A67858">
            <w:pPr>
              <w:spacing w:after="0" w:line="276" w:lineRule="auto"/>
              <w:jc w:val="both"/>
              <w:rPr>
                <w:rFonts w:cs="Sylfaen"/>
                <w:sz w:val="20"/>
                <w:szCs w:val="20"/>
                <w:lang w:val="af-ZA"/>
              </w:rPr>
            </w:pP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 xml:space="preserve">10.2 </w:t>
            </w:r>
            <w:r w:rsidRPr="0053423A">
              <w:rPr>
                <w:rFonts w:ascii="Calibri" w:hAnsi="Calibri" w:cs="Calibri"/>
                <w:b/>
                <w:sz w:val="20"/>
                <w:szCs w:val="20"/>
                <w:u w:val="single"/>
                <w:lang w:val="af-ZA"/>
              </w:rPr>
              <w:t> </w:t>
            </w:r>
            <w:r w:rsidRPr="0053423A">
              <w:rPr>
                <w:b/>
                <w:sz w:val="20"/>
                <w:szCs w:val="20"/>
                <w:u w:val="single"/>
                <w:lang w:val="af-ZA"/>
              </w:rPr>
              <w:t>Հանքարդյունաբերության ոլորտի ռազմավարության մշակում</w:t>
            </w:r>
          </w:p>
          <w:p w:rsidR="0084615D" w:rsidRPr="0053423A" w:rsidRDefault="0084615D" w:rsidP="00A67858">
            <w:pPr>
              <w:pStyle w:val="ListParagraph"/>
              <w:tabs>
                <w:tab w:val="left" w:pos="90"/>
                <w:tab w:val="left" w:pos="1350"/>
                <w:tab w:val="left" w:pos="1530"/>
              </w:tabs>
              <w:spacing w:after="0" w:line="276" w:lineRule="auto"/>
              <w:ind w:left="1650" w:right="140"/>
              <w:jc w:val="both"/>
              <w:rPr>
                <w:b/>
                <w:i/>
                <w:sz w:val="20"/>
                <w:szCs w:val="20"/>
                <w:u w:val="single"/>
                <w:lang w:val="hy-AM"/>
              </w:rPr>
            </w:pPr>
          </w:p>
          <w:p w:rsidR="0084615D" w:rsidRPr="0053423A" w:rsidRDefault="0084615D" w:rsidP="00A67858">
            <w:pPr>
              <w:pStyle w:val="ListParagraph"/>
              <w:tabs>
                <w:tab w:val="left" w:pos="810"/>
              </w:tabs>
              <w:spacing w:after="0" w:line="276" w:lineRule="auto"/>
              <w:ind w:left="1095"/>
              <w:rPr>
                <w:rFonts w:eastAsia="Times New Roman"/>
                <w:b/>
                <w:sz w:val="20"/>
                <w:szCs w:val="20"/>
                <w:lang w:val="af-ZA"/>
              </w:rPr>
            </w:pPr>
            <w:r w:rsidRPr="0053423A">
              <w:rPr>
                <w:rFonts w:eastAsia="Times New Roman" w:cs="Courier New"/>
                <w:b/>
                <w:sz w:val="20"/>
                <w:szCs w:val="20"/>
                <w:lang w:val="af-ZA"/>
              </w:rPr>
              <w:t>1.</w:t>
            </w:r>
            <w:r w:rsidRPr="0053423A">
              <w:rPr>
                <w:rFonts w:ascii="Calibri" w:eastAsia="Times New Roman" w:hAnsi="Calibri" w:cs="Calibri"/>
                <w:b/>
                <w:sz w:val="20"/>
                <w:szCs w:val="20"/>
                <w:lang w:val="af-ZA"/>
              </w:rPr>
              <w:t> </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w:t>
            </w:r>
            <w:r w:rsidRPr="0053423A">
              <w:rPr>
                <w:rFonts w:eastAsia="Times New Roman"/>
                <w:b/>
                <w:sz w:val="20"/>
                <w:szCs w:val="20"/>
                <w:lang w:val="ru-RU"/>
              </w:rPr>
              <w:t>նա</w:t>
            </w:r>
            <w:r w:rsidRPr="0053423A">
              <w:rPr>
                <w:rFonts w:eastAsia="Times New Roman"/>
                <w:b/>
                <w:sz w:val="20"/>
                <w:szCs w:val="20"/>
              </w:rPr>
              <w:t>ցման</w:t>
            </w:r>
            <w:r w:rsidRPr="0053423A">
              <w:rPr>
                <w:rFonts w:eastAsia="Times New Roman"/>
                <w:b/>
                <w:sz w:val="20"/>
                <w:szCs w:val="20"/>
                <w:lang w:val="af-ZA"/>
              </w:rPr>
              <w:t xml:space="preserve"> </w:t>
            </w:r>
            <w:r w:rsidRPr="0053423A">
              <w:rPr>
                <w:rFonts w:eastAsia="Times New Roman"/>
                <w:b/>
                <w:sz w:val="20"/>
                <w:szCs w:val="20"/>
              </w:rPr>
              <w:t>անհրաժեշտությունը</w:t>
            </w:r>
            <w:r w:rsidRPr="0053423A">
              <w:rPr>
                <w:rFonts w:eastAsia="Times New Roman"/>
                <w:b/>
                <w:sz w:val="20"/>
                <w:szCs w:val="20"/>
                <w:lang w:val="af-ZA"/>
              </w:rPr>
              <w:t xml:space="preserve"> </w:t>
            </w:r>
            <w:r w:rsidRPr="0053423A">
              <w:rPr>
                <w:rFonts w:eastAsia="Times New Roman"/>
                <w:b/>
                <w:sz w:val="20"/>
                <w:szCs w:val="20"/>
              </w:rPr>
              <w:t>և</w:t>
            </w:r>
            <w:r w:rsidRPr="0053423A">
              <w:rPr>
                <w:rFonts w:eastAsia="Times New Roman"/>
                <w:b/>
                <w:sz w:val="20"/>
                <w:szCs w:val="20"/>
                <w:lang w:val="af-ZA"/>
              </w:rPr>
              <w:t xml:space="preserve"> </w:t>
            </w:r>
            <w:r w:rsidRPr="0053423A">
              <w:rPr>
                <w:rFonts w:eastAsia="Times New Roman"/>
                <w:b/>
                <w:sz w:val="20"/>
                <w:szCs w:val="20"/>
              </w:rPr>
              <w:t>նպատակը</w:t>
            </w:r>
          </w:p>
          <w:p w:rsidR="0084615D" w:rsidRPr="0053423A" w:rsidRDefault="0084615D" w:rsidP="00A67858">
            <w:pPr>
              <w:pStyle w:val="ListParagraph"/>
              <w:spacing w:after="0" w:line="276" w:lineRule="auto"/>
              <w:ind w:left="90" w:firstLine="450"/>
              <w:jc w:val="both"/>
              <w:rPr>
                <w:rFonts w:cs="Arial"/>
                <w:sz w:val="20"/>
                <w:szCs w:val="20"/>
                <w:lang w:val="af-ZA"/>
              </w:rPr>
            </w:pPr>
            <w:r w:rsidRPr="0053423A">
              <w:rPr>
                <w:rFonts w:cs="Arial"/>
                <w:sz w:val="20"/>
                <w:szCs w:val="20"/>
                <w:lang w:val="hy-AM"/>
              </w:rPr>
              <w:t xml:space="preserve">Հանքարդյունաբերության ոլորտը հանդիսանալով Հայաստանի Հանրապետության արդյունաբերության կարևոր ոլորտներից մեկը դեռևս չունի հստակ քաղաքականություն և ռազմավարություն, որը թույլ կտա ունենալ տեսլական և իրականացնել կոնկրետ գործողություններ </w:t>
            </w:r>
            <w:r w:rsidRPr="0053423A">
              <w:rPr>
                <w:rFonts w:cs="Arial"/>
                <w:sz w:val="20"/>
                <w:szCs w:val="20"/>
              </w:rPr>
              <w:t>առկա</w:t>
            </w:r>
            <w:r w:rsidRPr="0053423A">
              <w:rPr>
                <w:rFonts w:cs="Arial"/>
                <w:sz w:val="20"/>
                <w:szCs w:val="20"/>
                <w:lang w:val="hy-AM"/>
              </w:rPr>
              <w:t xml:space="preserve"> խնդիրների լուծման և ոլորտի կայուն զարգացում</w:t>
            </w:r>
            <w:r w:rsidRPr="0053423A">
              <w:rPr>
                <w:rFonts w:cs="Arial"/>
                <w:sz w:val="20"/>
                <w:szCs w:val="20"/>
                <w:lang w:val="ru-RU"/>
              </w:rPr>
              <w:t>ն</w:t>
            </w:r>
            <w:r w:rsidRPr="0053423A">
              <w:rPr>
                <w:rFonts w:cs="Arial"/>
                <w:sz w:val="20"/>
                <w:szCs w:val="20"/>
                <w:lang w:val="hy-AM"/>
              </w:rPr>
              <w:t xml:space="preserve"> ապահովելու համար</w:t>
            </w:r>
            <w:r w:rsidRPr="0053423A">
              <w:rPr>
                <w:rFonts w:cs="Arial"/>
                <w:sz w:val="20"/>
                <w:szCs w:val="20"/>
                <w:lang w:val="af-ZA"/>
              </w:rPr>
              <w:t xml:space="preserve">: </w:t>
            </w:r>
            <w:r w:rsidRPr="0053423A">
              <w:rPr>
                <w:rFonts w:cs="Sylfaen"/>
                <w:sz w:val="20"/>
                <w:szCs w:val="20"/>
                <w:lang w:val="hy-AM"/>
              </w:rPr>
              <w:t>Հանքարդյունաբերության ոլորտ</w:t>
            </w:r>
            <w:r w:rsidRPr="0053423A">
              <w:rPr>
                <w:rFonts w:cs="Sylfaen"/>
                <w:sz w:val="20"/>
                <w:szCs w:val="20"/>
              </w:rPr>
              <w:t>ում</w:t>
            </w:r>
            <w:r w:rsidRPr="0053423A">
              <w:rPr>
                <w:rFonts w:cs="Sylfaen"/>
                <w:sz w:val="20"/>
                <w:szCs w:val="20"/>
                <w:lang w:val="hy-AM"/>
              </w:rPr>
              <w:t xml:space="preserve"> </w:t>
            </w:r>
            <w:r w:rsidRPr="0053423A">
              <w:rPr>
                <w:rFonts w:cs="Arial"/>
                <w:sz w:val="20"/>
                <w:szCs w:val="20"/>
                <w:lang w:val="ru-RU"/>
              </w:rPr>
              <w:t>իրականացված</w:t>
            </w:r>
            <w:r w:rsidRPr="0053423A">
              <w:rPr>
                <w:rFonts w:cs="Arial"/>
                <w:sz w:val="20"/>
                <w:szCs w:val="20"/>
                <w:lang w:val="af-ZA"/>
              </w:rPr>
              <w:t xml:space="preserve"> </w:t>
            </w:r>
            <w:r w:rsidRPr="0053423A">
              <w:rPr>
                <w:rFonts w:cs="Sylfaen"/>
                <w:sz w:val="20"/>
                <w:szCs w:val="20"/>
                <w:lang w:val="hy-AM"/>
              </w:rPr>
              <w:t>ախտորոշիչ ուսումնասիրություններ</w:t>
            </w:r>
            <w:r w:rsidRPr="0053423A">
              <w:rPr>
                <w:rFonts w:cs="Sylfaen"/>
                <w:sz w:val="20"/>
                <w:szCs w:val="20"/>
              </w:rPr>
              <w:t>ի</w:t>
            </w:r>
            <w:r w:rsidRPr="0053423A">
              <w:rPr>
                <w:rFonts w:cs="Sylfaen"/>
                <w:sz w:val="20"/>
                <w:szCs w:val="20"/>
                <w:lang w:val="af-ZA"/>
              </w:rPr>
              <w:t xml:space="preserve"> </w:t>
            </w:r>
            <w:r w:rsidRPr="0053423A">
              <w:rPr>
                <w:rFonts w:cs="Sylfaen"/>
                <w:sz w:val="20"/>
                <w:szCs w:val="20"/>
              </w:rPr>
              <w:t>հիման</w:t>
            </w:r>
            <w:r w:rsidRPr="0053423A">
              <w:rPr>
                <w:rFonts w:cs="Sylfaen"/>
                <w:sz w:val="20"/>
                <w:szCs w:val="20"/>
                <w:lang w:val="af-ZA"/>
              </w:rPr>
              <w:t xml:space="preserve"> </w:t>
            </w:r>
            <w:r w:rsidRPr="0053423A">
              <w:rPr>
                <w:rFonts w:cs="Sylfaen"/>
                <w:sz w:val="20"/>
                <w:szCs w:val="20"/>
              </w:rPr>
              <w:t>վրա</w:t>
            </w:r>
            <w:r w:rsidRPr="0053423A">
              <w:rPr>
                <w:rFonts w:cs="Sylfaen"/>
                <w:sz w:val="20"/>
                <w:szCs w:val="20"/>
                <w:lang w:val="af-ZA"/>
              </w:rPr>
              <w:t xml:space="preserve"> անհրաժեշտ է </w:t>
            </w:r>
            <w:r w:rsidRPr="0053423A">
              <w:rPr>
                <w:rFonts w:cs="Sylfaen"/>
                <w:spacing w:val="-4"/>
                <w:sz w:val="20"/>
                <w:szCs w:val="20"/>
                <w:lang w:val="ru-RU"/>
              </w:rPr>
              <w:t>մշակել</w:t>
            </w:r>
            <w:r w:rsidRPr="0053423A">
              <w:rPr>
                <w:rFonts w:cs="Sylfaen"/>
                <w:spacing w:val="-4"/>
                <w:sz w:val="20"/>
                <w:szCs w:val="20"/>
                <w:lang w:val="af-ZA"/>
              </w:rPr>
              <w:t xml:space="preserve"> </w:t>
            </w:r>
            <w:r w:rsidRPr="0053423A">
              <w:rPr>
                <w:rFonts w:cs="Arial"/>
                <w:sz w:val="20"/>
                <w:szCs w:val="20"/>
              </w:rPr>
              <w:t>Հանքարդյունաբերության</w:t>
            </w:r>
            <w:r w:rsidRPr="0053423A">
              <w:rPr>
                <w:rFonts w:cs="Arial"/>
                <w:sz w:val="20"/>
                <w:szCs w:val="20"/>
                <w:lang w:val="af-ZA"/>
              </w:rPr>
              <w:t xml:space="preserve"> </w:t>
            </w:r>
            <w:r w:rsidRPr="0053423A">
              <w:rPr>
                <w:rFonts w:cs="Arial"/>
                <w:sz w:val="20"/>
                <w:szCs w:val="20"/>
              </w:rPr>
              <w:t>ոլորտի</w:t>
            </w:r>
            <w:r w:rsidRPr="0053423A">
              <w:rPr>
                <w:rFonts w:cs="Arial"/>
                <w:sz w:val="20"/>
                <w:szCs w:val="20"/>
                <w:lang w:val="af-ZA"/>
              </w:rPr>
              <w:t xml:space="preserve"> </w:t>
            </w:r>
            <w:r w:rsidRPr="0053423A">
              <w:rPr>
                <w:rFonts w:cs="Arial"/>
                <w:sz w:val="20"/>
                <w:szCs w:val="20"/>
              </w:rPr>
              <w:t>զարգացման</w:t>
            </w:r>
            <w:r w:rsidRPr="0053423A">
              <w:rPr>
                <w:rFonts w:cs="Arial"/>
                <w:sz w:val="20"/>
                <w:szCs w:val="20"/>
                <w:lang w:val="af-ZA"/>
              </w:rPr>
              <w:t xml:space="preserve"> </w:t>
            </w:r>
            <w:r w:rsidRPr="0053423A">
              <w:rPr>
                <w:rFonts w:cs="Arial"/>
                <w:sz w:val="20"/>
                <w:szCs w:val="20"/>
                <w:lang w:val="ru-RU"/>
              </w:rPr>
              <w:t>ռազմավարությունը</w:t>
            </w:r>
            <w:r w:rsidRPr="0053423A">
              <w:rPr>
                <w:rFonts w:cs="Arial"/>
                <w:sz w:val="20"/>
                <w:szCs w:val="20"/>
                <w:lang w:val="af-ZA"/>
              </w:rPr>
              <w:t>:</w:t>
            </w:r>
          </w:p>
          <w:p w:rsidR="0084615D" w:rsidRPr="0053423A" w:rsidRDefault="0084615D" w:rsidP="001F6D5D">
            <w:pPr>
              <w:pStyle w:val="ListParagraph"/>
              <w:numPr>
                <w:ilvl w:val="1"/>
                <w:numId w:val="265"/>
              </w:numPr>
              <w:tabs>
                <w:tab w:val="left" w:pos="900"/>
                <w:tab w:val="left" w:pos="1620"/>
              </w:tabs>
              <w:spacing w:after="0" w:line="276" w:lineRule="auto"/>
              <w:rPr>
                <w:rFonts w:eastAsia="Times New Roman"/>
                <w:b/>
                <w:sz w:val="20"/>
                <w:szCs w:val="20"/>
                <w:lang w:val="af-ZA"/>
              </w:rPr>
            </w:pPr>
            <w:r w:rsidRPr="0053423A">
              <w:rPr>
                <w:rFonts w:eastAsia="Times New Roman"/>
                <w:b/>
                <w:sz w:val="20"/>
                <w:szCs w:val="20"/>
                <w:lang w:val="ru-RU"/>
              </w:rPr>
              <w:t>Կ</w:t>
            </w:r>
            <w:r w:rsidRPr="0053423A">
              <w:rPr>
                <w:rFonts w:eastAsia="Times New Roman"/>
                <w:b/>
                <w:sz w:val="20"/>
                <w:szCs w:val="20"/>
              </w:rPr>
              <w:t>արգավորման</w:t>
            </w:r>
            <w:r w:rsidRPr="0053423A">
              <w:rPr>
                <w:rFonts w:eastAsia="Times New Roman"/>
                <w:b/>
                <w:sz w:val="20"/>
                <w:szCs w:val="20"/>
                <w:lang w:val="af-ZA"/>
              </w:rPr>
              <w:t xml:space="preserve"> </w:t>
            </w:r>
            <w:r w:rsidRPr="0053423A">
              <w:rPr>
                <w:rFonts w:eastAsia="Times New Roman"/>
                <w:b/>
                <w:sz w:val="20"/>
                <w:szCs w:val="20"/>
              </w:rPr>
              <w:t>հարաբերությունների</w:t>
            </w:r>
            <w:r w:rsidRPr="0053423A">
              <w:rPr>
                <w:rFonts w:eastAsia="Times New Roman"/>
                <w:b/>
                <w:sz w:val="20"/>
                <w:szCs w:val="20"/>
                <w:lang w:val="af-ZA"/>
              </w:rPr>
              <w:t xml:space="preserve"> </w:t>
            </w:r>
            <w:r w:rsidRPr="0053423A">
              <w:rPr>
                <w:rFonts w:eastAsia="Times New Roman"/>
                <w:b/>
                <w:sz w:val="20"/>
                <w:szCs w:val="20"/>
              </w:rPr>
              <w:t>ներկա</w:t>
            </w:r>
            <w:r w:rsidRPr="0053423A">
              <w:rPr>
                <w:rFonts w:eastAsia="Times New Roman"/>
                <w:b/>
                <w:sz w:val="20"/>
                <w:szCs w:val="20"/>
                <w:lang w:val="af-ZA"/>
              </w:rPr>
              <w:t xml:space="preserve"> </w:t>
            </w:r>
            <w:r w:rsidRPr="0053423A">
              <w:rPr>
                <w:rFonts w:eastAsia="Times New Roman"/>
                <w:b/>
                <w:sz w:val="20"/>
                <w:szCs w:val="20"/>
              </w:rPr>
              <w:t>վիճակը</w:t>
            </w:r>
            <w:r w:rsidRPr="0053423A">
              <w:rPr>
                <w:rFonts w:eastAsia="Times New Roman"/>
                <w:b/>
                <w:sz w:val="20"/>
                <w:szCs w:val="20"/>
                <w:lang w:val="af-ZA"/>
              </w:rPr>
              <w:t xml:space="preserve"> </w:t>
            </w:r>
            <w:r w:rsidRPr="0053423A">
              <w:rPr>
                <w:rFonts w:eastAsia="Times New Roman"/>
                <w:b/>
                <w:sz w:val="20"/>
                <w:szCs w:val="20"/>
              </w:rPr>
              <w:t>և</w:t>
            </w:r>
            <w:r w:rsidRPr="0053423A">
              <w:rPr>
                <w:rFonts w:eastAsia="Times New Roman"/>
                <w:b/>
                <w:sz w:val="20"/>
                <w:szCs w:val="20"/>
                <w:lang w:val="af-ZA"/>
              </w:rPr>
              <w:t xml:space="preserve"> </w:t>
            </w:r>
            <w:r w:rsidRPr="0053423A">
              <w:rPr>
                <w:rFonts w:eastAsia="Times New Roman"/>
                <w:b/>
                <w:sz w:val="20"/>
                <w:szCs w:val="20"/>
              </w:rPr>
              <w:t>առկա</w:t>
            </w:r>
            <w:r w:rsidRPr="0053423A">
              <w:rPr>
                <w:rFonts w:eastAsia="Times New Roman"/>
                <w:b/>
                <w:sz w:val="20"/>
                <w:szCs w:val="20"/>
                <w:lang w:val="af-ZA"/>
              </w:rPr>
              <w:t xml:space="preserve"> </w:t>
            </w:r>
            <w:r w:rsidRPr="0053423A">
              <w:rPr>
                <w:rFonts w:eastAsia="Times New Roman"/>
                <w:b/>
                <w:sz w:val="20"/>
                <w:szCs w:val="20"/>
              </w:rPr>
              <w:t>խնդիրները</w:t>
            </w:r>
          </w:p>
          <w:p w:rsidR="0084615D" w:rsidRPr="0053423A" w:rsidRDefault="0084615D" w:rsidP="00A67858">
            <w:pPr>
              <w:pStyle w:val="ListParagraph"/>
              <w:spacing w:after="0" w:line="276" w:lineRule="auto"/>
              <w:ind w:left="90" w:firstLine="450"/>
              <w:jc w:val="both"/>
              <w:rPr>
                <w:rFonts w:eastAsia="Times New Roman"/>
                <w:sz w:val="20"/>
                <w:szCs w:val="20"/>
                <w:lang w:val="af-ZA"/>
              </w:rPr>
            </w:pPr>
            <w:r w:rsidRPr="0053423A">
              <w:rPr>
                <w:rFonts w:cs="Arial"/>
                <w:spacing w:val="-8"/>
                <w:sz w:val="20"/>
                <w:szCs w:val="20"/>
                <w:lang w:val="af-ZA"/>
              </w:rPr>
              <w:t>ՀՀ կառավարության 2017</w:t>
            </w:r>
            <w:r w:rsidRPr="0053423A">
              <w:rPr>
                <w:rFonts w:cs="Arial"/>
                <w:spacing w:val="-8"/>
                <w:sz w:val="20"/>
                <w:szCs w:val="20"/>
              </w:rPr>
              <w:t>թ</w:t>
            </w:r>
            <w:r w:rsidRPr="0053423A">
              <w:rPr>
                <w:rFonts w:cs="Arial"/>
                <w:spacing w:val="-8"/>
                <w:sz w:val="20"/>
                <w:szCs w:val="20"/>
                <w:lang w:val="af-ZA"/>
              </w:rPr>
              <w:t xml:space="preserve">. օգոստոսի 24-ի </w:t>
            </w:r>
            <w:r w:rsidRPr="0053423A">
              <w:rPr>
                <w:rFonts w:cs="Arial"/>
                <w:spacing w:val="-8"/>
                <w:sz w:val="20"/>
                <w:szCs w:val="20"/>
                <w:lang w:val="af-ZA"/>
              </w:rPr>
              <w:sym w:font="Symbol" w:char="F04E"/>
            </w:r>
            <w:r w:rsidRPr="0053423A">
              <w:rPr>
                <w:rFonts w:cs="Arial"/>
                <w:spacing w:val="-8"/>
                <w:sz w:val="20"/>
                <w:szCs w:val="20"/>
                <w:lang w:val="af-ZA"/>
              </w:rPr>
              <w:t>36-21 արձանագրային որոշմամբ հավանության արժանացած Հ</w:t>
            </w:r>
            <w:r w:rsidRPr="0053423A">
              <w:rPr>
                <w:rFonts w:cs="Arial"/>
                <w:spacing w:val="-8"/>
                <w:sz w:val="20"/>
                <w:szCs w:val="20"/>
              </w:rPr>
              <w:t>անքարդյունաբերության</w:t>
            </w:r>
            <w:r w:rsidRPr="0053423A">
              <w:rPr>
                <w:rFonts w:cs="Arial"/>
                <w:spacing w:val="-8"/>
                <w:sz w:val="20"/>
                <w:szCs w:val="20"/>
                <w:lang w:val="af-ZA"/>
              </w:rPr>
              <w:t xml:space="preserve"> </w:t>
            </w:r>
            <w:r w:rsidRPr="0053423A">
              <w:rPr>
                <w:rFonts w:cs="Arial"/>
                <w:spacing w:val="-8"/>
                <w:sz w:val="20"/>
                <w:szCs w:val="20"/>
              </w:rPr>
              <w:t>ոլորտի</w:t>
            </w:r>
            <w:r w:rsidRPr="0053423A">
              <w:rPr>
                <w:rFonts w:cs="Arial"/>
                <w:spacing w:val="-8"/>
                <w:sz w:val="20"/>
                <w:szCs w:val="20"/>
                <w:lang w:val="af-ZA"/>
              </w:rPr>
              <w:t xml:space="preserve"> </w:t>
            </w:r>
            <w:r w:rsidRPr="0053423A">
              <w:rPr>
                <w:rFonts w:cs="Arial"/>
                <w:spacing w:val="-8"/>
                <w:sz w:val="20"/>
                <w:szCs w:val="20"/>
              </w:rPr>
              <w:t>զարգացման</w:t>
            </w:r>
            <w:r w:rsidRPr="0053423A">
              <w:rPr>
                <w:spacing w:val="-8"/>
                <w:sz w:val="20"/>
                <w:szCs w:val="20"/>
                <w:lang w:val="af-ZA"/>
              </w:rPr>
              <w:t xml:space="preserve"> </w:t>
            </w:r>
            <w:r w:rsidRPr="0053423A">
              <w:rPr>
                <w:rFonts w:cs="Arial"/>
                <w:spacing w:val="-8"/>
                <w:sz w:val="20"/>
                <w:szCs w:val="20"/>
              </w:rPr>
              <w:t>հայեցակարգի</w:t>
            </w:r>
            <w:r w:rsidRPr="0053423A">
              <w:rPr>
                <w:rFonts w:cs="Arial"/>
                <w:spacing w:val="-8"/>
                <w:sz w:val="20"/>
                <w:szCs w:val="20"/>
                <w:lang w:val="af-ZA"/>
              </w:rPr>
              <w:t xml:space="preserve"> </w:t>
            </w:r>
            <w:r w:rsidRPr="0053423A">
              <w:rPr>
                <w:rFonts w:cs="Arial"/>
                <w:spacing w:val="-8"/>
                <w:sz w:val="20"/>
                <w:szCs w:val="20"/>
              </w:rPr>
              <w:t>պահանջների</w:t>
            </w:r>
            <w:r w:rsidRPr="0053423A">
              <w:rPr>
                <w:rFonts w:cs="Arial"/>
                <w:spacing w:val="-8"/>
                <w:sz w:val="20"/>
                <w:szCs w:val="20"/>
                <w:lang w:val="af-ZA"/>
              </w:rPr>
              <w:t xml:space="preserve"> </w:t>
            </w:r>
            <w:r w:rsidRPr="0053423A">
              <w:rPr>
                <w:rFonts w:cs="Arial"/>
                <w:spacing w:val="-8"/>
                <w:sz w:val="20"/>
                <w:szCs w:val="20"/>
              </w:rPr>
              <w:t>կատար</w:t>
            </w:r>
            <w:r w:rsidRPr="0053423A">
              <w:rPr>
                <w:rFonts w:cs="Arial"/>
                <w:spacing w:val="-8"/>
                <w:sz w:val="20"/>
                <w:szCs w:val="20"/>
                <w:lang w:val="ru-RU"/>
              </w:rPr>
              <w:t>ման</w:t>
            </w:r>
            <w:r w:rsidRPr="0053423A">
              <w:rPr>
                <w:rFonts w:cs="Arial"/>
                <w:spacing w:val="-8"/>
                <w:sz w:val="20"/>
                <w:szCs w:val="20"/>
                <w:lang w:val="af-ZA"/>
              </w:rPr>
              <w:t xml:space="preserve"> </w:t>
            </w:r>
            <w:r w:rsidRPr="0053423A">
              <w:rPr>
                <w:rFonts w:cs="Arial"/>
                <w:spacing w:val="-8"/>
                <w:sz w:val="20"/>
                <w:szCs w:val="20"/>
                <w:lang w:val="ru-RU"/>
              </w:rPr>
              <w:t>ապահովում</w:t>
            </w:r>
          </w:p>
          <w:p w:rsidR="0084615D" w:rsidRPr="0053423A" w:rsidRDefault="0084615D" w:rsidP="00A67858">
            <w:pPr>
              <w:pStyle w:val="ListParagraph"/>
              <w:tabs>
                <w:tab w:val="left" w:pos="900"/>
              </w:tabs>
              <w:spacing w:after="0" w:line="276" w:lineRule="auto"/>
              <w:ind w:left="375" w:firstLine="705"/>
              <w:rPr>
                <w:rFonts w:eastAsia="Times New Roman"/>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w:t>
            </w:r>
            <w:r w:rsidRPr="0053423A">
              <w:rPr>
                <w:rFonts w:eastAsia="Times New Roman"/>
                <w:b/>
                <w:sz w:val="20"/>
                <w:szCs w:val="20"/>
                <w:lang w:val="ru-RU"/>
              </w:rPr>
              <w:t>Ա</w:t>
            </w:r>
            <w:r w:rsidRPr="0053423A">
              <w:rPr>
                <w:rFonts w:eastAsia="Times New Roman"/>
                <w:b/>
                <w:sz w:val="20"/>
                <w:szCs w:val="20"/>
              </w:rPr>
              <w:t>ռկա</w:t>
            </w:r>
            <w:r w:rsidRPr="0053423A">
              <w:rPr>
                <w:rFonts w:eastAsia="Times New Roman"/>
                <w:b/>
                <w:sz w:val="20"/>
                <w:szCs w:val="20"/>
                <w:lang w:val="af-ZA"/>
              </w:rPr>
              <w:t xml:space="preserve"> </w:t>
            </w:r>
            <w:r w:rsidRPr="0053423A">
              <w:rPr>
                <w:rFonts w:eastAsia="Times New Roman"/>
                <w:b/>
                <w:sz w:val="20"/>
                <w:szCs w:val="20"/>
              </w:rPr>
              <w:t>խնդիրների</w:t>
            </w:r>
            <w:r w:rsidRPr="0053423A">
              <w:rPr>
                <w:rFonts w:eastAsia="Times New Roman"/>
                <w:b/>
                <w:sz w:val="20"/>
                <w:szCs w:val="20"/>
                <w:lang w:val="af-ZA"/>
              </w:rPr>
              <w:t xml:space="preserve"> </w:t>
            </w:r>
            <w:r w:rsidRPr="0053423A">
              <w:rPr>
                <w:rFonts w:eastAsia="Times New Roman"/>
                <w:b/>
                <w:sz w:val="20"/>
                <w:szCs w:val="20"/>
              </w:rPr>
              <w:t>առաջարկվող</w:t>
            </w:r>
            <w:r w:rsidRPr="0053423A">
              <w:rPr>
                <w:rFonts w:eastAsia="Times New Roman"/>
                <w:b/>
                <w:sz w:val="20"/>
                <w:szCs w:val="20"/>
                <w:lang w:val="af-ZA"/>
              </w:rPr>
              <w:t xml:space="preserve"> </w:t>
            </w:r>
            <w:r w:rsidRPr="0053423A">
              <w:rPr>
                <w:rFonts w:eastAsia="Times New Roman"/>
                <w:b/>
                <w:sz w:val="20"/>
                <w:szCs w:val="20"/>
              </w:rPr>
              <w:t>լուծումները</w:t>
            </w:r>
          </w:p>
          <w:p w:rsidR="0084615D" w:rsidRPr="0053423A" w:rsidRDefault="0084615D" w:rsidP="00A67858">
            <w:pPr>
              <w:spacing w:after="0" w:line="276" w:lineRule="auto"/>
              <w:jc w:val="both"/>
              <w:rPr>
                <w:rFonts w:cs="Sylfaen"/>
                <w:sz w:val="20"/>
                <w:szCs w:val="20"/>
                <w:lang w:val="af-ZA"/>
              </w:rPr>
            </w:pPr>
            <w:r w:rsidRPr="0053423A">
              <w:rPr>
                <w:rFonts w:cs="Arial"/>
                <w:sz w:val="20"/>
                <w:szCs w:val="20"/>
                <w:lang w:val="ru-RU"/>
              </w:rPr>
              <w:t>Մշակվելիք</w:t>
            </w:r>
            <w:r w:rsidRPr="0053423A">
              <w:rPr>
                <w:rFonts w:cs="Arial"/>
                <w:sz w:val="20"/>
                <w:szCs w:val="20"/>
                <w:lang w:val="af-ZA"/>
              </w:rPr>
              <w:t xml:space="preserve"> </w:t>
            </w:r>
            <w:r w:rsidRPr="0053423A">
              <w:rPr>
                <w:rFonts w:cs="Arial"/>
                <w:sz w:val="20"/>
                <w:szCs w:val="20"/>
                <w:lang w:val="hy-AM"/>
              </w:rPr>
              <w:t xml:space="preserve">ռազմավարական փաստաթղթում կտրվեն ոլորտի կայուն զարգացման համար խոչընդոտ հանդիսացող՝ բացահայտված խնդիրների լուծման ուղղությունները և հանքարդյունաբերության ոլորտում բարեփոխումներ ապահովելու համար </w:t>
            </w:r>
            <w:r w:rsidRPr="0053423A">
              <w:rPr>
                <w:rFonts w:cs="Arial"/>
                <w:sz w:val="20"/>
                <w:szCs w:val="20"/>
                <w:lang w:val="ru-RU"/>
              </w:rPr>
              <w:t>իրականացվելիք</w:t>
            </w:r>
            <w:r w:rsidRPr="0053423A">
              <w:rPr>
                <w:rFonts w:cs="Arial"/>
                <w:sz w:val="20"/>
                <w:szCs w:val="20"/>
                <w:lang w:val="af-ZA"/>
              </w:rPr>
              <w:t xml:space="preserve"> </w:t>
            </w:r>
            <w:r w:rsidRPr="0053423A">
              <w:rPr>
                <w:rFonts w:cs="Arial"/>
                <w:sz w:val="20"/>
                <w:szCs w:val="20"/>
                <w:lang w:val="hy-AM"/>
              </w:rPr>
              <w:t>միջոցառումները</w:t>
            </w:r>
            <w:r w:rsidRPr="0053423A">
              <w:rPr>
                <w:rFonts w:cs="Arial"/>
                <w:sz w:val="20"/>
                <w:szCs w:val="20"/>
                <w:lang w:val="af-ZA"/>
              </w:rPr>
              <w:t>:</w:t>
            </w:r>
          </w:p>
          <w:p w:rsidR="0084615D" w:rsidRPr="0053423A" w:rsidRDefault="0084615D" w:rsidP="00A67858">
            <w:pPr>
              <w:spacing w:after="0" w:line="276" w:lineRule="auto"/>
              <w:ind w:left="1440" w:hanging="360"/>
              <w:rPr>
                <w:rFonts w:eastAsia="Times New Roman"/>
                <w:b/>
                <w:sz w:val="20"/>
                <w:szCs w:val="20"/>
                <w:lang w:val="af-ZA"/>
              </w:rPr>
            </w:pPr>
            <w:r w:rsidRPr="0053423A">
              <w:rPr>
                <w:rFonts w:eastAsia="Times New Roman"/>
                <w:b/>
                <w:sz w:val="20"/>
                <w:szCs w:val="20"/>
                <w:lang w:val="af-ZA"/>
              </w:rPr>
              <w:t>2.</w:t>
            </w:r>
            <w:r w:rsidRPr="0053423A">
              <w:rPr>
                <w:rFonts w:ascii="Calibri" w:eastAsia="Times New Roman" w:hAnsi="Calibri" w:cs="Calibri"/>
                <w:sz w:val="20"/>
                <w:szCs w:val="20"/>
                <w:lang w:val="af-ZA"/>
              </w:rPr>
              <w:t> </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w:t>
            </w:r>
            <w:r w:rsidRPr="0053423A">
              <w:rPr>
                <w:rFonts w:eastAsia="Times New Roman"/>
                <w:b/>
                <w:sz w:val="20"/>
                <w:szCs w:val="20"/>
                <w:lang w:val="ru-RU"/>
              </w:rPr>
              <w:t>նա</w:t>
            </w:r>
            <w:r w:rsidRPr="0053423A">
              <w:rPr>
                <w:rFonts w:eastAsia="Times New Roman"/>
                <w:b/>
                <w:sz w:val="20"/>
                <w:szCs w:val="20"/>
              </w:rPr>
              <w:t>ցումից</w:t>
            </w:r>
            <w:r w:rsidRPr="0053423A">
              <w:rPr>
                <w:rFonts w:eastAsia="Times New Roman"/>
                <w:b/>
                <w:sz w:val="20"/>
                <w:szCs w:val="20"/>
                <w:lang w:val="af-ZA"/>
              </w:rPr>
              <w:t xml:space="preserve"> </w:t>
            </w:r>
            <w:r w:rsidRPr="0053423A">
              <w:rPr>
                <w:rFonts w:eastAsia="Times New Roman"/>
                <w:b/>
                <w:sz w:val="20"/>
                <w:szCs w:val="20"/>
              </w:rPr>
              <w:t>ակնկալվող</w:t>
            </w:r>
            <w:r w:rsidRPr="0053423A">
              <w:rPr>
                <w:rFonts w:eastAsia="Times New Roman"/>
                <w:b/>
                <w:sz w:val="20"/>
                <w:szCs w:val="20"/>
                <w:lang w:val="af-ZA"/>
              </w:rPr>
              <w:t xml:space="preserve"> </w:t>
            </w:r>
            <w:r w:rsidRPr="0053423A">
              <w:rPr>
                <w:rFonts w:eastAsia="Times New Roman"/>
                <w:b/>
                <w:sz w:val="20"/>
                <w:szCs w:val="20"/>
              </w:rPr>
              <w:t>արդյունքը</w:t>
            </w:r>
          </w:p>
          <w:p w:rsidR="0084615D" w:rsidRPr="0053423A" w:rsidRDefault="0084615D" w:rsidP="00A67858">
            <w:pPr>
              <w:spacing w:after="0" w:line="276" w:lineRule="auto"/>
              <w:jc w:val="both"/>
              <w:rPr>
                <w:rFonts w:cs="Arial"/>
                <w:sz w:val="20"/>
                <w:szCs w:val="20"/>
                <w:lang w:val="af-ZA"/>
              </w:rPr>
            </w:pPr>
            <w:r w:rsidRPr="0053423A">
              <w:rPr>
                <w:rFonts w:cs="Sylfaen"/>
                <w:sz w:val="20"/>
                <w:szCs w:val="20"/>
                <w:lang w:val="hy-AM"/>
              </w:rPr>
              <w:t>Հ</w:t>
            </w:r>
            <w:r w:rsidRPr="0053423A">
              <w:rPr>
                <w:rFonts w:cs="Sylfaen"/>
                <w:sz w:val="20"/>
                <w:szCs w:val="20"/>
                <w:lang w:val="af-ZA"/>
              </w:rPr>
              <w:t>անքարդյունաբերության</w:t>
            </w:r>
            <w:r w:rsidRPr="0053423A">
              <w:rPr>
                <w:rFonts w:cs="Arial"/>
                <w:sz w:val="20"/>
                <w:szCs w:val="20"/>
                <w:lang w:val="af-ZA"/>
              </w:rPr>
              <w:t xml:space="preserve"> </w:t>
            </w:r>
            <w:r w:rsidRPr="0053423A">
              <w:rPr>
                <w:rFonts w:cs="Sylfaen"/>
                <w:sz w:val="20"/>
                <w:szCs w:val="20"/>
                <w:lang w:val="af-ZA"/>
              </w:rPr>
              <w:t>ոլորտի</w:t>
            </w:r>
            <w:r w:rsidRPr="0053423A">
              <w:rPr>
                <w:rFonts w:cs="Arial"/>
                <w:sz w:val="20"/>
                <w:szCs w:val="20"/>
                <w:lang w:val="af-ZA"/>
              </w:rPr>
              <w:t xml:space="preserve"> </w:t>
            </w:r>
            <w:r w:rsidRPr="0053423A">
              <w:rPr>
                <w:rFonts w:cs="Sylfaen"/>
                <w:sz w:val="20"/>
                <w:szCs w:val="20"/>
                <w:lang w:val="af-ZA"/>
              </w:rPr>
              <w:t>քաղաքականության</w:t>
            </w:r>
            <w:r w:rsidRPr="0053423A">
              <w:rPr>
                <w:rFonts w:cs="Arial"/>
                <w:sz w:val="20"/>
                <w:szCs w:val="20"/>
                <w:lang w:val="af-ZA"/>
              </w:rPr>
              <w:t xml:space="preserve"> </w:t>
            </w:r>
            <w:r w:rsidRPr="0053423A">
              <w:rPr>
                <w:rFonts w:cs="Sylfaen"/>
                <w:sz w:val="20"/>
                <w:szCs w:val="20"/>
                <w:lang w:val="af-ZA"/>
              </w:rPr>
              <w:t>մեջ</w:t>
            </w:r>
            <w:r w:rsidRPr="0053423A">
              <w:rPr>
                <w:rFonts w:cs="Arial"/>
                <w:sz w:val="20"/>
                <w:szCs w:val="20"/>
                <w:lang w:val="af-ZA"/>
              </w:rPr>
              <w:t xml:space="preserve"> </w:t>
            </w:r>
            <w:r w:rsidRPr="0053423A">
              <w:rPr>
                <w:rFonts w:cs="Sylfaen"/>
                <w:sz w:val="20"/>
                <w:szCs w:val="20"/>
                <w:lang w:val="af-ZA"/>
              </w:rPr>
              <w:t>առկա</w:t>
            </w:r>
            <w:r w:rsidRPr="0053423A">
              <w:rPr>
                <w:rFonts w:cs="Arial"/>
                <w:sz w:val="20"/>
                <w:szCs w:val="20"/>
                <w:lang w:val="af-ZA"/>
              </w:rPr>
              <w:t xml:space="preserve"> </w:t>
            </w:r>
            <w:r w:rsidRPr="0053423A">
              <w:rPr>
                <w:rFonts w:cs="Sylfaen"/>
                <w:sz w:val="20"/>
                <w:szCs w:val="20"/>
                <w:lang w:val="af-ZA"/>
              </w:rPr>
              <w:t>բացթողումների</w:t>
            </w:r>
            <w:r w:rsidRPr="0053423A">
              <w:rPr>
                <w:rFonts w:cs="Arial"/>
                <w:sz w:val="20"/>
                <w:szCs w:val="20"/>
                <w:lang w:val="af-ZA"/>
              </w:rPr>
              <w:t xml:space="preserve"> </w:t>
            </w:r>
            <w:r w:rsidRPr="0053423A">
              <w:rPr>
                <w:rFonts w:cs="Sylfaen"/>
                <w:sz w:val="20"/>
                <w:szCs w:val="20"/>
                <w:lang w:val="af-ZA"/>
              </w:rPr>
              <w:t>հայտնաբերում</w:t>
            </w:r>
            <w:r w:rsidRPr="0053423A">
              <w:rPr>
                <w:rFonts w:cs="Arial"/>
                <w:sz w:val="20"/>
                <w:szCs w:val="20"/>
                <w:lang w:val="af-ZA"/>
              </w:rPr>
              <w:t xml:space="preserve">, </w:t>
            </w:r>
            <w:r w:rsidRPr="0053423A">
              <w:rPr>
                <w:rFonts w:cs="Sylfaen"/>
                <w:sz w:val="20"/>
                <w:szCs w:val="20"/>
                <w:lang w:val="af-ZA"/>
              </w:rPr>
              <w:t>ազգային</w:t>
            </w:r>
            <w:r w:rsidRPr="0053423A">
              <w:rPr>
                <w:rFonts w:cs="Arial"/>
                <w:sz w:val="20"/>
                <w:szCs w:val="20"/>
                <w:lang w:val="af-ZA"/>
              </w:rPr>
              <w:t xml:space="preserve"> </w:t>
            </w:r>
            <w:r w:rsidRPr="0053423A">
              <w:rPr>
                <w:rFonts w:cs="Sylfaen"/>
                <w:sz w:val="20"/>
                <w:szCs w:val="20"/>
                <w:lang w:val="af-ZA"/>
              </w:rPr>
              <w:t>և</w:t>
            </w:r>
            <w:r w:rsidRPr="0053423A">
              <w:rPr>
                <w:rFonts w:cs="Arial"/>
                <w:sz w:val="20"/>
                <w:szCs w:val="20"/>
                <w:lang w:val="af-ZA"/>
              </w:rPr>
              <w:t xml:space="preserve"> </w:t>
            </w:r>
            <w:r w:rsidRPr="0053423A">
              <w:rPr>
                <w:rFonts w:cs="Sylfaen"/>
                <w:sz w:val="20"/>
                <w:szCs w:val="20"/>
                <w:lang w:val="af-ZA"/>
              </w:rPr>
              <w:t>տեղական</w:t>
            </w:r>
            <w:r w:rsidRPr="0053423A">
              <w:rPr>
                <w:rFonts w:cs="Arial"/>
                <w:sz w:val="20"/>
                <w:szCs w:val="20"/>
                <w:lang w:val="af-ZA"/>
              </w:rPr>
              <w:t xml:space="preserve"> </w:t>
            </w:r>
            <w:r w:rsidRPr="0053423A">
              <w:rPr>
                <w:rFonts w:cs="Sylfaen"/>
                <w:sz w:val="20"/>
                <w:szCs w:val="20"/>
                <w:lang w:val="af-ZA"/>
              </w:rPr>
              <w:t>մակարդակներում</w:t>
            </w:r>
            <w:r w:rsidRPr="0053423A">
              <w:rPr>
                <w:rFonts w:cs="Arial"/>
                <w:sz w:val="20"/>
                <w:szCs w:val="20"/>
                <w:lang w:val="af-ZA"/>
              </w:rPr>
              <w:t xml:space="preserve"> </w:t>
            </w:r>
            <w:r w:rsidRPr="0053423A">
              <w:rPr>
                <w:rFonts w:cs="Sylfaen"/>
                <w:sz w:val="20"/>
                <w:szCs w:val="20"/>
                <w:lang w:val="af-ZA"/>
              </w:rPr>
              <w:t>ֆիսկալային</w:t>
            </w:r>
            <w:r w:rsidRPr="0053423A">
              <w:rPr>
                <w:rFonts w:cs="Arial"/>
                <w:sz w:val="20"/>
                <w:szCs w:val="20"/>
                <w:lang w:val="af-ZA"/>
              </w:rPr>
              <w:t xml:space="preserve"> </w:t>
            </w:r>
            <w:r w:rsidRPr="0053423A">
              <w:rPr>
                <w:rFonts w:cs="Sylfaen"/>
                <w:sz w:val="20"/>
                <w:szCs w:val="20"/>
                <w:lang w:val="af-ZA"/>
              </w:rPr>
              <w:t>և</w:t>
            </w:r>
            <w:r w:rsidRPr="0053423A">
              <w:rPr>
                <w:rFonts w:cs="Arial"/>
                <w:sz w:val="20"/>
                <w:szCs w:val="20"/>
                <w:lang w:val="af-ZA"/>
              </w:rPr>
              <w:t xml:space="preserve"> </w:t>
            </w:r>
            <w:r w:rsidRPr="0053423A">
              <w:rPr>
                <w:rFonts w:cs="Sylfaen"/>
                <w:sz w:val="20"/>
                <w:szCs w:val="20"/>
                <w:lang w:val="af-ZA"/>
              </w:rPr>
              <w:t>ոչ</w:t>
            </w:r>
            <w:r w:rsidRPr="0053423A">
              <w:rPr>
                <w:rFonts w:cs="Arial"/>
                <w:sz w:val="20"/>
                <w:szCs w:val="20"/>
                <w:lang w:val="af-ZA"/>
              </w:rPr>
              <w:t xml:space="preserve"> </w:t>
            </w:r>
            <w:r w:rsidRPr="0053423A">
              <w:rPr>
                <w:rFonts w:cs="Sylfaen"/>
                <w:sz w:val="20"/>
                <w:szCs w:val="20"/>
                <w:lang w:val="af-ZA"/>
              </w:rPr>
              <w:t>ֆիսկալային</w:t>
            </w:r>
            <w:r w:rsidRPr="0053423A">
              <w:rPr>
                <w:rFonts w:cs="Arial"/>
                <w:sz w:val="20"/>
                <w:szCs w:val="20"/>
                <w:lang w:val="af-ZA"/>
              </w:rPr>
              <w:t xml:space="preserve"> </w:t>
            </w:r>
            <w:r w:rsidRPr="0053423A">
              <w:rPr>
                <w:rFonts w:cs="Sylfaen"/>
                <w:sz w:val="20"/>
                <w:szCs w:val="20"/>
                <w:lang w:val="af-ZA"/>
              </w:rPr>
              <w:t>օգուտները</w:t>
            </w:r>
            <w:r w:rsidRPr="0053423A">
              <w:rPr>
                <w:rFonts w:cs="Arial"/>
                <w:sz w:val="20"/>
                <w:szCs w:val="20"/>
                <w:lang w:val="af-ZA"/>
              </w:rPr>
              <w:t xml:space="preserve"> </w:t>
            </w:r>
            <w:r w:rsidRPr="0053423A">
              <w:rPr>
                <w:rFonts w:cs="Sylfaen"/>
                <w:sz w:val="20"/>
                <w:szCs w:val="20"/>
                <w:lang w:val="af-ZA"/>
              </w:rPr>
              <w:t>ավելացնելու</w:t>
            </w:r>
            <w:r w:rsidRPr="0053423A">
              <w:rPr>
                <w:rFonts w:cs="Arial"/>
                <w:sz w:val="20"/>
                <w:szCs w:val="20"/>
                <w:lang w:val="af-ZA"/>
              </w:rPr>
              <w:t xml:space="preserve"> </w:t>
            </w:r>
            <w:r w:rsidRPr="0053423A">
              <w:rPr>
                <w:rFonts w:cs="Sylfaen"/>
                <w:sz w:val="20"/>
                <w:szCs w:val="20"/>
                <w:lang w:val="af-ZA"/>
              </w:rPr>
              <w:t>և</w:t>
            </w:r>
            <w:r w:rsidRPr="0053423A">
              <w:rPr>
                <w:rFonts w:cs="Arial"/>
                <w:sz w:val="20"/>
                <w:szCs w:val="20"/>
                <w:lang w:val="af-ZA"/>
              </w:rPr>
              <w:t xml:space="preserve"> </w:t>
            </w:r>
            <w:r w:rsidRPr="0053423A">
              <w:rPr>
                <w:rFonts w:cs="Sylfaen"/>
                <w:sz w:val="20"/>
                <w:szCs w:val="20"/>
                <w:lang w:val="af-ZA"/>
              </w:rPr>
              <w:t>բաշխելու</w:t>
            </w:r>
            <w:r w:rsidRPr="0053423A">
              <w:rPr>
                <w:rFonts w:cs="Arial"/>
                <w:sz w:val="20"/>
                <w:szCs w:val="20"/>
                <w:lang w:val="af-ZA"/>
              </w:rPr>
              <w:t xml:space="preserve"> </w:t>
            </w:r>
            <w:r w:rsidRPr="0053423A">
              <w:rPr>
                <w:rFonts w:cs="Sylfaen"/>
                <w:sz w:val="20"/>
                <w:szCs w:val="20"/>
                <w:lang w:val="af-ZA"/>
              </w:rPr>
              <w:t>համար</w:t>
            </w:r>
            <w:r w:rsidRPr="0053423A">
              <w:rPr>
                <w:rFonts w:cs="Arial"/>
                <w:sz w:val="20"/>
                <w:szCs w:val="20"/>
                <w:lang w:val="af-ZA"/>
              </w:rPr>
              <w:t xml:space="preserve"> </w:t>
            </w:r>
            <w:r w:rsidRPr="0053423A">
              <w:rPr>
                <w:rFonts w:cs="Sylfaen"/>
                <w:sz w:val="20"/>
                <w:szCs w:val="20"/>
                <w:lang w:val="af-ZA"/>
              </w:rPr>
              <w:t>ինստիտուցիոնալ</w:t>
            </w:r>
            <w:r w:rsidRPr="0053423A">
              <w:rPr>
                <w:rFonts w:cs="Arial"/>
                <w:sz w:val="20"/>
                <w:szCs w:val="20"/>
                <w:lang w:val="af-ZA"/>
              </w:rPr>
              <w:t xml:space="preserve"> </w:t>
            </w:r>
            <w:r w:rsidRPr="0053423A">
              <w:rPr>
                <w:rFonts w:cs="Sylfaen"/>
                <w:sz w:val="20"/>
                <w:szCs w:val="20"/>
                <w:lang w:val="af-ZA"/>
              </w:rPr>
              <w:t>շրջանակի</w:t>
            </w:r>
            <w:r w:rsidRPr="0053423A">
              <w:rPr>
                <w:rFonts w:cs="Arial"/>
                <w:sz w:val="20"/>
                <w:szCs w:val="20"/>
                <w:lang w:val="af-ZA"/>
              </w:rPr>
              <w:t xml:space="preserve"> </w:t>
            </w:r>
            <w:r w:rsidRPr="0053423A">
              <w:rPr>
                <w:rFonts w:cs="Sylfaen"/>
                <w:sz w:val="20"/>
                <w:szCs w:val="20"/>
                <w:lang w:val="af-ZA"/>
              </w:rPr>
              <w:t>ստեղծում</w:t>
            </w:r>
            <w:r w:rsidRPr="0053423A">
              <w:rPr>
                <w:rFonts w:cs="Arial"/>
                <w:sz w:val="20"/>
                <w:szCs w:val="20"/>
                <w:lang w:val="af-ZA"/>
              </w:rPr>
              <w:t xml:space="preserve">, </w:t>
            </w:r>
            <w:r w:rsidRPr="0053423A">
              <w:rPr>
                <w:rFonts w:cs="Sylfaen"/>
                <w:sz w:val="20"/>
                <w:szCs w:val="20"/>
                <w:lang w:val="af-ZA"/>
              </w:rPr>
              <w:t>բնապահպանական</w:t>
            </w:r>
            <w:r w:rsidRPr="0053423A">
              <w:rPr>
                <w:rFonts w:cs="Arial"/>
                <w:sz w:val="20"/>
                <w:szCs w:val="20"/>
                <w:lang w:val="af-ZA"/>
              </w:rPr>
              <w:t xml:space="preserve"> </w:t>
            </w:r>
            <w:r w:rsidRPr="0053423A">
              <w:rPr>
                <w:rFonts w:cs="Sylfaen"/>
                <w:sz w:val="20"/>
                <w:szCs w:val="20"/>
                <w:lang w:val="af-ZA"/>
              </w:rPr>
              <w:t>և</w:t>
            </w:r>
            <w:r w:rsidRPr="0053423A">
              <w:rPr>
                <w:rFonts w:cs="Arial"/>
                <w:sz w:val="20"/>
                <w:szCs w:val="20"/>
                <w:lang w:val="af-ZA"/>
              </w:rPr>
              <w:t xml:space="preserve"> </w:t>
            </w:r>
            <w:r w:rsidRPr="0053423A">
              <w:rPr>
                <w:rFonts w:cs="Sylfaen"/>
                <w:sz w:val="20"/>
                <w:szCs w:val="20"/>
                <w:lang w:val="af-ZA"/>
              </w:rPr>
              <w:t>սոցիալական</w:t>
            </w:r>
            <w:r w:rsidRPr="0053423A">
              <w:rPr>
                <w:rFonts w:cs="Arial"/>
                <w:sz w:val="20"/>
                <w:szCs w:val="20"/>
                <w:lang w:val="af-ZA"/>
              </w:rPr>
              <w:t xml:space="preserve"> </w:t>
            </w:r>
            <w:r w:rsidRPr="0053423A">
              <w:rPr>
                <w:rFonts w:cs="Sylfaen"/>
                <w:sz w:val="20"/>
                <w:szCs w:val="20"/>
                <w:lang w:val="af-ZA"/>
              </w:rPr>
              <w:t>խնդիրների</w:t>
            </w:r>
            <w:r w:rsidRPr="0053423A">
              <w:rPr>
                <w:rFonts w:cs="Arial"/>
                <w:sz w:val="20"/>
                <w:szCs w:val="20"/>
                <w:lang w:val="af-ZA"/>
              </w:rPr>
              <w:t xml:space="preserve"> </w:t>
            </w:r>
            <w:r w:rsidRPr="0053423A">
              <w:rPr>
                <w:rFonts w:cs="Sylfaen"/>
                <w:sz w:val="20"/>
                <w:szCs w:val="20"/>
                <w:lang w:val="af-ZA"/>
              </w:rPr>
              <w:t>վերհանում</w:t>
            </w:r>
            <w:r w:rsidRPr="0053423A">
              <w:rPr>
                <w:rFonts w:cs="Arial"/>
                <w:sz w:val="20"/>
                <w:szCs w:val="20"/>
                <w:lang w:val="af-ZA"/>
              </w:rPr>
              <w:t xml:space="preserve"> </w:t>
            </w:r>
            <w:r w:rsidRPr="0053423A">
              <w:rPr>
                <w:rFonts w:cs="Sylfaen"/>
                <w:sz w:val="20"/>
                <w:szCs w:val="20"/>
                <w:lang w:val="af-ZA"/>
              </w:rPr>
              <w:t>և</w:t>
            </w:r>
            <w:r w:rsidRPr="0053423A">
              <w:rPr>
                <w:rFonts w:cs="Arial"/>
                <w:sz w:val="20"/>
                <w:szCs w:val="20"/>
                <w:lang w:val="af-ZA"/>
              </w:rPr>
              <w:t xml:space="preserve"> </w:t>
            </w:r>
            <w:r w:rsidRPr="0053423A">
              <w:rPr>
                <w:rFonts w:cs="Sylfaen"/>
                <w:sz w:val="20"/>
                <w:szCs w:val="20"/>
                <w:lang w:val="af-ZA"/>
              </w:rPr>
              <w:t>օգուտ</w:t>
            </w:r>
            <w:r w:rsidRPr="0053423A">
              <w:rPr>
                <w:rFonts w:cs="Arial"/>
                <w:sz w:val="20"/>
                <w:szCs w:val="20"/>
                <w:lang w:val="af-ZA"/>
              </w:rPr>
              <w:t>-</w:t>
            </w:r>
            <w:r w:rsidRPr="0053423A">
              <w:rPr>
                <w:rFonts w:cs="Sylfaen"/>
                <w:sz w:val="20"/>
                <w:szCs w:val="20"/>
                <w:lang w:val="af-ZA"/>
              </w:rPr>
              <w:t>ծախսերի</w:t>
            </w:r>
            <w:r w:rsidRPr="0053423A">
              <w:rPr>
                <w:rFonts w:cs="Arial"/>
                <w:sz w:val="20"/>
                <w:szCs w:val="20"/>
                <w:lang w:val="af-ZA"/>
              </w:rPr>
              <w:t xml:space="preserve"> </w:t>
            </w:r>
            <w:r w:rsidRPr="0053423A">
              <w:rPr>
                <w:rFonts w:cs="Sylfaen"/>
                <w:sz w:val="20"/>
                <w:szCs w:val="20"/>
                <w:lang w:val="af-ZA"/>
              </w:rPr>
              <w:t>գնահատում</w:t>
            </w:r>
            <w:r w:rsidRPr="0053423A">
              <w:rPr>
                <w:rFonts w:cs="Arial"/>
                <w:sz w:val="20"/>
                <w:szCs w:val="20"/>
                <w:lang w:val="af-ZA"/>
              </w:rPr>
              <w:t>:</w:t>
            </w:r>
          </w:p>
          <w:p w:rsidR="0084615D" w:rsidRPr="0053423A" w:rsidRDefault="0084615D" w:rsidP="00A67858">
            <w:pPr>
              <w:spacing w:after="0" w:line="276" w:lineRule="auto"/>
              <w:jc w:val="both"/>
              <w:rPr>
                <w:rFonts w:cs="Arial"/>
                <w:sz w:val="20"/>
                <w:szCs w:val="20"/>
                <w:lang w:val="af-ZA"/>
              </w:rPr>
            </w:pPr>
          </w:p>
          <w:p w:rsidR="0084615D" w:rsidRPr="0053423A" w:rsidRDefault="0084615D" w:rsidP="00A67858">
            <w:pPr>
              <w:pStyle w:val="BodyText"/>
              <w:tabs>
                <w:tab w:val="left" w:pos="369"/>
              </w:tabs>
              <w:spacing w:after="0" w:line="276" w:lineRule="auto"/>
              <w:jc w:val="center"/>
              <w:rPr>
                <w:rFonts w:ascii="GHEA Grapalat" w:hAnsi="GHEA Grapalat"/>
                <w:b/>
                <w:sz w:val="20"/>
                <w:szCs w:val="20"/>
                <w:u w:val="single"/>
                <w:lang w:val="af-ZA"/>
              </w:rPr>
            </w:pPr>
            <w:r w:rsidRPr="0053423A">
              <w:rPr>
                <w:rFonts w:ascii="GHEA Grapalat" w:hAnsi="GHEA Grapalat"/>
                <w:b/>
                <w:sz w:val="20"/>
                <w:szCs w:val="20"/>
                <w:u w:val="single"/>
                <w:lang w:val="af-ZA"/>
              </w:rPr>
              <w:t>10.3</w:t>
            </w:r>
            <w:r w:rsidRPr="0053423A">
              <w:rPr>
                <w:rFonts w:ascii="Calibri" w:hAnsi="Calibri" w:cs="Calibri"/>
                <w:b/>
                <w:sz w:val="20"/>
                <w:szCs w:val="20"/>
                <w:u w:val="single"/>
                <w:lang w:val="af-ZA"/>
              </w:rPr>
              <w:t> </w:t>
            </w:r>
            <w:r w:rsidRPr="0053423A">
              <w:rPr>
                <w:rFonts w:ascii="GHEA Grapalat" w:hAnsi="GHEA Grapalat"/>
                <w:b/>
                <w:sz w:val="20"/>
                <w:szCs w:val="20"/>
                <w:u w:val="single"/>
                <w:lang w:val="af-ZA"/>
              </w:rPr>
              <w:t>Հանքարդյունաբերության ոլորտի զարգացման ռազմավարությանը համահունչ ոլորտը կարգավորող օրենքների, ինչպես նաև դրանցից բխող իրավական այլ ակտերի մշակում   և ինստիտուցիոնալ կարգավորումների իրականացում</w:t>
            </w:r>
          </w:p>
          <w:p w:rsidR="0084615D" w:rsidRPr="0053423A" w:rsidRDefault="0084615D" w:rsidP="00A67858">
            <w:pPr>
              <w:tabs>
                <w:tab w:val="left" w:pos="1170"/>
              </w:tabs>
              <w:spacing w:after="0" w:line="276" w:lineRule="auto"/>
              <w:ind w:left="720"/>
              <w:jc w:val="both"/>
              <w:rPr>
                <w:rFonts w:cs="Sylfaen"/>
                <w:b/>
                <w:i/>
                <w:sz w:val="20"/>
                <w:szCs w:val="20"/>
                <w:u w:val="single"/>
                <w:lang w:val="af-ZA"/>
              </w:rPr>
            </w:pPr>
          </w:p>
          <w:p w:rsidR="0084615D" w:rsidRPr="0053423A" w:rsidRDefault="0084615D" w:rsidP="00A67858">
            <w:pPr>
              <w:spacing w:after="0" w:line="276" w:lineRule="auto"/>
              <w:ind w:firstLine="720"/>
              <w:rPr>
                <w:rFonts w:eastAsia="Times New Roman"/>
                <w:b/>
                <w:sz w:val="20"/>
                <w:szCs w:val="20"/>
                <w:lang w:val="af-ZA"/>
              </w:rPr>
            </w:pPr>
            <w:r w:rsidRPr="0053423A">
              <w:rPr>
                <w:rFonts w:eastAsia="Times New Roman" w:cs="Courier New"/>
                <w:b/>
                <w:sz w:val="20"/>
                <w:szCs w:val="20"/>
                <w:lang w:val="af-ZA"/>
              </w:rPr>
              <w:t>1.</w:t>
            </w:r>
            <w:r w:rsidRPr="0053423A">
              <w:rPr>
                <w:rFonts w:ascii="Calibri" w:eastAsia="Times New Roman" w:hAnsi="Calibri" w:cs="Calibri"/>
                <w:b/>
                <w:sz w:val="20"/>
                <w:szCs w:val="20"/>
                <w:lang w:val="af-ZA"/>
              </w:rPr>
              <w:t> </w:t>
            </w:r>
            <w:r w:rsidRPr="0053423A">
              <w:rPr>
                <w:rFonts w:eastAsia="Times New Roman" w:cs="Sylfaen"/>
                <w:b/>
                <w:sz w:val="20"/>
                <w:szCs w:val="20"/>
                <w:lang w:val="hy-AM"/>
              </w:rPr>
              <w:t>Միջոցառման</w:t>
            </w:r>
            <w:r w:rsidRPr="0053423A">
              <w:rPr>
                <w:rFonts w:eastAsia="Times New Roman"/>
                <w:b/>
                <w:sz w:val="20"/>
                <w:szCs w:val="20"/>
                <w:lang w:val="af-ZA"/>
              </w:rPr>
              <w:t xml:space="preserve"> </w:t>
            </w:r>
            <w:r w:rsidRPr="0053423A">
              <w:rPr>
                <w:rFonts w:eastAsia="Times New Roman" w:cs="Sylfaen"/>
                <w:b/>
                <w:sz w:val="20"/>
                <w:szCs w:val="20"/>
                <w:lang w:val="hy-AM"/>
              </w:rPr>
              <w:t>իրականացման</w:t>
            </w:r>
            <w:r w:rsidRPr="0053423A">
              <w:rPr>
                <w:rFonts w:eastAsia="Times New Roman"/>
                <w:b/>
                <w:sz w:val="20"/>
                <w:szCs w:val="20"/>
                <w:lang w:val="af-ZA"/>
              </w:rPr>
              <w:t xml:space="preserve"> </w:t>
            </w:r>
            <w:r w:rsidRPr="0053423A">
              <w:rPr>
                <w:rFonts w:eastAsia="Times New Roman" w:cs="Sylfae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նպատակը</w:t>
            </w:r>
          </w:p>
          <w:p w:rsidR="0084615D" w:rsidRPr="0053423A" w:rsidRDefault="0084615D" w:rsidP="00A67858">
            <w:pPr>
              <w:pStyle w:val="ListParagraph"/>
              <w:spacing w:after="0" w:line="276" w:lineRule="auto"/>
              <w:ind w:left="90" w:firstLine="450"/>
              <w:jc w:val="both"/>
              <w:rPr>
                <w:sz w:val="20"/>
                <w:szCs w:val="20"/>
                <w:lang w:val="af-ZA"/>
              </w:rPr>
            </w:pPr>
            <w:r w:rsidRPr="0053423A">
              <w:rPr>
                <w:rFonts w:cs="Sylfaen"/>
                <w:sz w:val="20"/>
                <w:szCs w:val="20"/>
                <w:lang w:val="hy-AM"/>
              </w:rPr>
              <w:t>Անհրաժեշտություն</w:t>
            </w:r>
            <w:r w:rsidRPr="0053423A">
              <w:rPr>
                <w:rFonts w:cs="Arial"/>
                <w:sz w:val="20"/>
                <w:szCs w:val="20"/>
                <w:lang w:val="hy-AM"/>
              </w:rPr>
              <w:t xml:space="preserve"> </w:t>
            </w:r>
            <w:r w:rsidRPr="0053423A">
              <w:rPr>
                <w:rFonts w:cs="Sylfaen"/>
                <w:sz w:val="20"/>
                <w:szCs w:val="20"/>
                <w:lang w:val="hy-AM"/>
              </w:rPr>
              <w:t>կա</w:t>
            </w:r>
            <w:r w:rsidRPr="0053423A">
              <w:rPr>
                <w:rFonts w:cs="Arial"/>
                <w:sz w:val="20"/>
                <w:szCs w:val="20"/>
                <w:lang w:val="hy-AM"/>
              </w:rPr>
              <w:t xml:space="preserve"> </w:t>
            </w:r>
            <w:r w:rsidRPr="0053423A">
              <w:rPr>
                <w:rFonts w:cs="Sylfaen"/>
                <w:sz w:val="20"/>
                <w:szCs w:val="20"/>
                <w:lang w:val="hy-AM"/>
              </w:rPr>
              <w:t>վերանայելու</w:t>
            </w:r>
            <w:r w:rsidRPr="0053423A">
              <w:rPr>
                <w:rFonts w:cs="Arial"/>
                <w:sz w:val="20"/>
                <w:szCs w:val="20"/>
                <w:lang w:val="hy-AM"/>
              </w:rPr>
              <w:t xml:space="preserve"> </w:t>
            </w:r>
            <w:r w:rsidRPr="0053423A">
              <w:rPr>
                <w:rFonts w:cs="Sylfaen"/>
                <w:sz w:val="20"/>
                <w:szCs w:val="20"/>
                <w:lang w:val="hy-AM"/>
              </w:rPr>
              <w:t>և</w:t>
            </w:r>
            <w:r w:rsidRPr="0053423A">
              <w:rPr>
                <w:rFonts w:cs="Arial"/>
                <w:sz w:val="20"/>
                <w:szCs w:val="20"/>
                <w:lang w:val="hy-AM"/>
              </w:rPr>
              <w:t xml:space="preserve"> </w:t>
            </w:r>
            <w:r w:rsidRPr="0053423A">
              <w:rPr>
                <w:rFonts w:cs="Sylfaen"/>
                <w:sz w:val="20"/>
                <w:szCs w:val="20"/>
                <w:lang w:val="hy-AM"/>
              </w:rPr>
              <w:t>ամբողջականացնելու</w:t>
            </w:r>
            <w:r w:rsidRPr="0053423A">
              <w:rPr>
                <w:rFonts w:cs="Arial"/>
                <w:sz w:val="20"/>
                <w:szCs w:val="20"/>
                <w:lang w:val="hy-AM"/>
              </w:rPr>
              <w:t xml:space="preserve">  </w:t>
            </w:r>
            <w:r w:rsidRPr="0053423A">
              <w:rPr>
                <w:rFonts w:cs="Sylfaen"/>
                <w:sz w:val="20"/>
                <w:szCs w:val="20"/>
                <w:lang w:val="hy-AM"/>
              </w:rPr>
              <w:t>ոլորտին</w:t>
            </w:r>
            <w:r w:rsidRPr="0053423A">
              <w:rPr>
                <w:rFonts w:cs="Arial"/>
                <w:sz w:val="20"/>
                <w:szCs w:val="20"/>
                <w:lang w:val="hy-AM"/>
              </w:rPr>
              <w:t xml:space="preserve"> </w:t>
            </w:r>
            <w:r w:rsidRPr="0053423A">
              <w:rPr>
                <w:rFonts w:cs="Sylfaen"/>
                <w:sz w:val="20"/>
                <w:szCs w:val="20"/>
                <w:lang w:val="hy-AM"/>
              </w:rPr>
              <w:t>առնչվող</w:t>
            </w:r>
            <w:r w:rsidRPr="0053423A">
              <w:rPr>
                <w:rFonts w:cs="Arial"/>
                <w:sz w:val="20"/>
                <w:szCs w:val="20"/>
                <w:lang w:val="hy-AM"/>
              </w:rPr>
              <w:t xml:space="preserve"> </w:t>
            </w:r>
            <w:r w:rsidRPr="0053423A">
              <w:rPr>
                <w:rFonts w:cs="Sylfaen"/>
                <w:sz w:val="20"/>
                <w:szCs w:val="20"/>
                <w:lang w:val="hy-AM"/>
              </w:rPr>
              <w:t>գործառույթներ</w:t>
            </w:r>
            <w:r w:rsidRPr="0053423A">
              <w:rPr>
                <w:rFonts w:cs="Arial"/>
                <w:sz w:val="20"/>
                <w:szCs w:val="20"/>
                <w:lang w:val="hy-AM"/>
              </w:rPr>
              <w:t xml:space="preserve"> </w:t>
            </w:r>
            <w:r w:rsidRPr="0053423A">
              <w:rPr>
                <w:rFonts w:cs="Sylfaen"/>
                <w:sz w:val="20"/>
                <w:szCs w:val="20"/>
                <w:lang w:val="hy-AM"/>
              </w:rPr>
              <w:t>ունեցող</w:t>
            </w:r>
            <w:r w:rsidRPr="0053423A">
              <w:rPr>
                <w:rFonts w:cs="Arial"/>
                <w:sz w:val="20"/>
                <w:szCs w:val="20"/>
                <w:lang w:val="hy-AM"/>
              </w:rPr>
              <w:t xml:space="preserve"> </w:t>
            </w:r>
            <w:r w:rsidRPr="0053423A">
              <w:rPr>
                <w:rFonts w:cs="Sylfaen"/>
                <w:sz w:val="20"/>
                <w:szCs w:val="20"/>
                <w:lang w:val="hy-AM"/>
              </w:rPr>
              <w:t>պետական</w:t>
            </w:r>
            <w:r w:rsidRPr="0053423A">
              <w:rPr>
                <w:rFonts w:cs="Arial"/>
                <w:sz w:val="20"/>
                <w:szCs w:val="20"/>
                <w:lang w:val="hy-AM"/>
              </w:rPr>
              <w:t xml:space="preserve"> </w:t>
            </w:r>
            <w:r w:rsidRPr="0053423A">
              <w:rPr>
                <w:rFonts w:cs="Sylfaen"/>
                <w:sz w:val="20"/>
                <w:szCs w:val="20"/>
                <w:lang w:val="hy-AM"/>
              </w:rPr>
              <w:t>կառավարման</w:t>
            </w:r>
            <w:r w:rsidRPr="0053423A">
              <w:rPr>
                <w:rFonts w:cs="Arial"/>
                <w:sz w:val="20"/>
                <w:szCs w:val="20"/>
                <w:lang w:val="hy-AM"/>
              </w:rPr>
              <w:t xml:space="preserve">, </w:t>
            </w:r>
            <w:r w:rsidRPr="0053423A">
              <w:rPr>
                <w:rFonts w:cs="Sylfaen"/>
                <w:sz w:val="20"/>
                <w:szCs w:val="20"/>
                <w:lang w:val="hy-AM"/>
              </w:rPr>
              <w:t>տեղական</w:t>
            </w:r>
            <w:r w:rsidRPr="0053423A">
              <w:rPr>
                <w:sz w:val="20"/>
                <w:szCs w:val="20"/>
                <w:lang w:val="hy-AM"/>
              </w:rPr>
              <w:t xml:space="preserve"> </w:t>
            </w:r>
            <w:r w:rsidRPr="0053423A">
              <w:rPr>
                <w:rFonts w:cs="Sylfaen"/>
                <w:sz w:val="20"/>
                <w:szCs w:val="20"/>
                <w:lang w:val="hy-AM"/>
              </w:rPr>
              <w:t>ինքնակառավարման</w:t>
            </w:r>
            <w:r w:rsidRPr="0053423A">
              <w:rPr>
                <w:sz w:val="20"/>
                <w:szCs w:val="20"/>
                <w:lang w:val="hy-AM"/>
              </w:rPr>
              <w:t xml:space="preserve"> </w:t>
            </w:r>
            <w:r w:rsidRPr="0053423A">
              <w:rPr>
                <w:rFonts w:cs="Sylfaen"/>
                <w:sz w:val="20"/>
                <w:szCs w:val="20"/>
                <w:lang w:val="hy-AM"/>
              </w:rPr>
              <w:t>մարմինների</w:t>
            </w:r>
            <w:r w:rsidRPr="0053423A">
              <w:rPr>
                <w:rFonts w:cs="Arial"/>
                <w:sz w:val="20"/>
                <w:szCs w:val="20"/>
                <w:lang w:val="hy-AM"/>
              </w:rPr>
              <w:t xml:space="preserve"> </w:t>
            </w:r>
            <w:r w:rsidRPr="0053423A">
              <w:rPr>
                <w:rFonts w:cs="Sylfaen"/>
                <w:sz w:val="20"/>
                <w:szCs w:val="20"/>
                <w:lang w:val="hy-AM"/>
              </w:rPr>
              <w:t>լիազորությունների</w:t>
            </w:r>
            <w:r w:rsidRPr="0053423A">
              <w:rPr>
                <w:rFonts w:cs="Arial"/>
                <w:sz w:val="20"/>
                <w:szCs w:val="20"/>
                <w:lang w:val="hy-AM"/>
              </w:rPr>
              <w:t xml:space="preserve"> </w:t>
            </w:r>
            <w:r w:rsidRPr="0053423A">
              <w:rPr>
                <w:rFonts w:cs="Sylfaen"/>
                <w:sz w:val="20"/>
                <w:szCs w:val="20"/>
                <w:lang w:val="hy-AM"/>
              </w:rPr>
              <w:t>շրջանակները</w:t>
            </w:r>
            <w:r w:rsidRPr="0053423A">
              <w:rPr>
                <w:rFonts w:cs="Arial"/>
                <w:sz w:val="20"/>
                <w:szCs w:val="20"/>
                <w:lang w:val="hy-AM"/>
              </w:rPr>
              <w:t xml:space="preserve">, </w:t>
            </w:r>
            <w:r w:rsidRPr="0053423A">
              <w:rPr>
                <w:rFonts w:cs="Sylfaen"/>
                <w:sz w:val="20"/>
                <w:szCs w:val="20"/>
                <w:lang w:val="hy-AM"/>
              </w:rPr>
              <w:t>ստեղծել</w:t>
            </w:r>
            <w:r w:rsidRPr="0053423A">
              <w:rPr>
                <w:rFonts w:cs="Arial"/>
                <w:sz w:val="20"/>
                <w:szCs w:val="20"/>
                <w:lang w:val="hy-AM"/>
              </w:rPr>
              <w:t xml:space="preserve"> </w:t>
            </w:r>
            <w:r w:rsidRPr="0053423A">
              <w:rPr>
                <w:rFonts w:cs="Sylfaen"/>
                <w:sz w:val="20"/>
                <w:szCs w:val="20"/>
                <w:lang w:val="hy-AM"/>
              </w:rPr>
              <w:t>օրենսդրական</w:t>
            </w:r>
            <w:r w:rsidRPr="0053423A">
              <w:rPr>
                <w:rFonts w:cs="Arial"/>
                <w:sz w:val="20"/>
                <w:szCs w:val="20"/>
                <w:lang w:val="hy-AM"/>
              </w:rPr>
              <w:t xml:space="preserve"> </w:t>
            </w:r>
            <w:r w:rsidRPr="0053423A">
              <w:rPr>
                <w:rFonts w:cs="Sylfaen"/>
                <w:sz w:val="20"/>
                <w:szCs w:val="20"/>
                <w:lang w:val="hy-AM"/>
              </w:rPr>
              <w:t>հիմքեր</w:t>
            </w:r>
            <w:r w:rsidRPr="0053423A">
              <w:rPr>
                <w:rFonts w:cs="Arial"/>
                <w:sz w:val="20"/>
                <w:szCs w:val="20"/>
                <w:lang w:val="hy-AM"/>
              </w:rPr>
              <w:t xml:space="preserve"> </w:t>
            </w:r>
            <w:r w:rsidRPr="0053423A">
              <w:rPr>
                <w:rFonts w:cs="Sylfaen"/>
                <w:sz w:val="20"/>
                <w:szCs w:val="20"/>
                <w:lang w:val="hy-AM"/>
              </w:rPr>
              <w:t>համաձայնեցված</w:t>
            </w:r>
            <w:r w:rsidRPr="0053423A">
              <w:rPr>
                <w:rFonts w:cs="Arial"/>
                <w:sz w:val="20"/>
                <w:szCs w:val="20"/>
                <w:lang w:val="hy-AM"/>
              </w:rPr>
              <w:t xml:space="preserve"> </w:t>
            </w:r>
            <w:r w:rsidRPr="0053423A">
              <w:rPr>
                <w:rFonts w:cs="Sylfaen"/>
                <w:sz w:val="20"/>
                <w:szCs w:val="20"/>
                <w:lang w:val="hy-AM"/>
              </w:rPr>
              <w:t>և</w:t>
            </w:r>
            <w:r w:rsidRPr="0053423A">
              <w:rPr>
                <w:rFonts w:cs="Arial"/>
                <w:sz w:val="20"/>
                <w:szCs w:val="20"/>
                <w:lang w:val="hy-AM"/>
              </w:rPr>
              <w:t xml:space="preserve"> </w:t>
            </w:r>
            <w:r w:rsidRPr="0053423A">
              <w:rPr>
                <w:rFonts w:cs="Sylfaen"/>
                <w:sz w:val="20"/>
                <w:szCs w:val="20"/>
                <w:lang w:val="hy-AM"/>
              </w:rPr>
              <w:t>փոխլրացնող</w:t>
            </w:r>
            <w:r w:rsidRPr="0053423A">
              <w:rPr>
                <w:rFonts w:cs="Arial"/>
                <w:sz w:val="20"/>
                <w:szCs w:val="20"/>
                <w:lang w:val="hy-AM"/>
              </w:rPr>
              <w:t xml:space="preserve"> </w:t>
            </w:r>
            <w:r w:rsidRPr="0053423A">
              <w:rPr>
                <w:rFonts w:cs="Sylfaen"/>
                <w:sz w:val="20"/>
                <w:szCs w:val="20"/>
                <w:lang w:val="hy-AM"/>
              </w:rPr>
              <w:t>գործառույթների</w:t>
            </w:r>
            <w:r w:rsidRPr="0053423A">
              <w:rPr>
                <w:rFonts w:cs="Arial"/>
                <w:sz w:val="20"/>
                <w:szCs w:val="20"/>
                <w:lang w:val="hy-AM"/>
              </w:rPr>
              <w:t xml:space="preserve"> </w:t>
            </w:r>
            <w:r w:rsidRPr="0053423A">
              <w:rPr>
                <w:rFonts w:cs="Sylfaen"/>
                <w:sz w:val="20"/>
                <w:szCs w:val="20"/>
                <w:lang w:val="hy-AM"/>
              </w:rPr>
              <w:t>համար</w:t>
            </w:r>
            <w:r w:rsidRPr="0053423A">
              <w:rPr>
                <w:rFonts w:cs="Arial"/>
                <w:sz w:val="20"/>
                <w:szCs w:val="20"/>
                <w:lang w:val="hy-AM"/>
              </w:rPr>
              <w:t xml:space="preserve">, </w:t>
            </w:r>
            <w:r w:rsidRPr="0053423A">
              <w:rPr>
                <w:rFonts w:cs="Sylfaen"/>
                <w:sz w:val="20"/>
                <w:szCs w:val="20"/>
                <w:lang w:val="hy-AM"/>
              </w:rPr>
              <w:t>ապահովել</w:t>
            </w:r>
            <w:r w:rsidRPr="0053423A">
              <w:rPr>
                <w:rFonts w:cs="Arial"/>
                <w:sz w:val="20"/>
                <w:szCs w:val="20"/>
                <w:lang w:val="hy-AM"/>
              </w:rPr>
              <w:t xml:space="preserve"> </w:t>
            </w:r>
            <w:r w:rsidRPr="0053423A">
              <w:rPr>
                <w:rFonts w:cs="Sylfaen"/>
                <w:sz w:val="20"/>
                <w:szCs w:val="20"/>
                <w:lang w:val="hy-AM"/>
              </w:rPr>
              <w:t>կարողությունների</w:t>
            </w:r>
            <w:r w:rsidRPr="0053423A">
              <w:rPr>
                <w:rFonts w:cs="Arial"/>
                <w:sz w:val="20"/>
                <w:szCs w:val="20"/>
                <w:lang w:val="hy-AM"/>
              </w:rPr>
              <w:t xml:space="preserve"> </w:t>
            </w:r>
            <w:r w:rsidRPr="0053423A">
              <w:rPr>
                <w:rFonts w:cs="Sylfaen"/>
                <w:sz w:val="20"/>
                <w:szCs w:val="20"/>
                <w:lang w:val="hy-AM"/>
              </w:rPr>
              <w:t>զարգացում</w:t>
            </w:r>
            <w:r w:rsidRPr="0053423A">
              <w:rPr>
                <w:rFonts w:cs="Arial"/>
                <w:sz w:val="20"/>
                <w:szCs w:val="20"/>
                <w:lang w:val="hy-AM"/>
              </w:rPr>
              <w:t xml:space="preserve">, </w:t>
            </w:r>
            <w:r w:rsidRPr="0053423A">
              <w:rPr>
                <w:rFonts w:cs="Sylfaen"/>
                <w:sz w:val="20"/>
                <w:szCs w:val="20"/>
                <w:lang w:val="hy-AM"/>
              </w:rPr>
              <w:t>որը</w:t>
            </w:r>
            <w:r w:rsidRPr="0053423A">
              <w:rPr>
                <w:rFonts w:cs="Arial"/>
                <w:sz w:val="20"/>
                <w:szCs w:val="20"/>
                <w:lang w:val="hy-AM"/>
              </w:rPr>
              <w:t xml:space="preserve"> </w:t>
            </w:r>
            <w:r w:rsidRPr="0053423A">
              <w:rPr>
                <w:rFonts w:cs="Sylfaen"/>
                <w:sz w:val="20"/>
                <w:szCs w:val="20"/>
                <w:lang w:val="hy-AM"/>
              </w:rPr>
              <w:t>վերաբերում</w:t>
            </w:r>
            <w:r w:rsidRPr="0053423A">
              <w:rPr>
                <w:rFonts w:cs="Arial"/>
                <w:sz w:val="20"/>
                <w:szCs w:val="20"/>
                <w:lang w:val="hy-AM"/>
              </w:rPr>
              <w:t xml:space="preserve"> </w:t>
            </w:r>
            <w:r w:rsidRPr="0053423A">
              <w:rPr>
                <w:rFonts w:cs="Sylfaen"/>
                <w:sz w:val="20"/>
                <w:szCs w:val="20"/>
                <w:lang w:val="hy-AM"/>
              </w:rPr>
              <w:t>է</w:t>
            </w:r>
            <w:r w:rsidRPr="0053423A">
              <w:rPr>
                <w:rFonts w:cs="Arial"/>
                <w:sz w:val="20"/>
                <w:szCs w:val="20"/>
                <w:lang w:val="hy-AM"/>
              </w:rPr>
              <w:t xml:space="preserve"> </w:t>
            </w:r>
            <w:r w:rsidRPr="0053423A">
              <w:rPr>
                <w:rFonts w:cs="Sylfaen"/>
                <w:sz w:val="20"/>
                <w:szCs w:val="20"/>
                <w:lang w:val="hy-AM"/>
              </w:rPr>
              <w:t>ինչպես</w:t>
            </w:r>
            <w:r w:rsidRPr="0053423A">
              <w:rPr>
                <w:rFonts w:cs="Arial"/>
                <w:sz w:val="20"/>
                <w:szCs w:val="20"/>
                <w:lang w:val="hy-AM"/>
              </w:rPr>
              <w:t xml:space="preserve"> </w:t>
            </w:r>
            <w:r w:rsidRPr="0053423A">
              <w:rPr>
                <w:rFonts w:cs="Sylfaen"/>
                <w:sz w:val="20"/>
                <w:szCs w:val="20"/>
                <w:lang w:val="hy-AM"/>
              </w:rPr>
              <w:t>տեխնիկական</w:t>
            </w:r>
            <w:r w:rsidRPr="0053423A">
              <w:rPr>
                <w:rFonts w:cs="Arial"/>
                <w:sz w:val="20"/>
                <w:szCs w:val="20"/>
                <w:lang w:val="hy-AM"/>
              </w:rPr>
              <w:t xml:space="preserve">, </w:t>
            </w:r>
            <w:r w:rsidRPr="0053423A">
              <w:rPr>
                <w:rFonts w:cs="Sylfaen"/>
                <w:sz w:val="20"/>
                <w:szCs w:val="20"/>
                <w:lang w:val="hy-AM"/>
              </w:rPr>
              <w:t>այնպես</w:t>
            </w:r>
            <w:r w:rsidRPr="0053423A">
              <w:rPr>
                <w:rFonts w:cs="Arial"/>
                <w:sz w:val="20"/>
                <w:szCs w:val="20"/>
                <w:lang w:val="hy-AM"/>
              </w:rPr>
              <w:t xml:space="preserve"> </w:t>
            </w:r>
            <w:r w:rsidRPr="0053423A">
              <w:rPr>
                <w:rFonts w:cs="Sylfaen"/>
                <w:sz w:val="20"/>
                <w:szCs w:val="20"/>
                <w:lang w:val="hy-AM"/>
              </w:rPr>
              <w:t>էլ</w:t>
            </w:r>
            <w:r w:rsidRPr="0053423A">
              <w:rPr>
                <w:rFonts w:cs="Arial"/>
                <w:sz w:val="20"/>
                <w:szCs w:val="20"/>
                <w:lang w:val="hy-AM"/>
              </w:rPr>
              <w:t xml:space="preserve"> </w:t>
            </w:r>
            <w:r w:rsidRPr="0053423A">
              <w:rPr>
                <w:rFonts w:cs="Sylfaen"/>
                <w:sz w:val="20"/>
                <w:szCs w:val="20"/>
                <w:lang w:val="hy-AM"/>
              </w:rPr>
              <w:t>մարդկային</w:t>
            </w:r>
            <w:r w:rsidRPr="0053423A">
              <w:rPr>
                <w:rFonts w:cs="Arial"/>
                <w:sz w:val="20"/>
                <w:szCs w:val="20"/>
                <w:lang w:val="hy-AM"/>
              </w:rPr>
              <w:t xml:space="preserve"> </w:t>
            </w:r>
            <w:r w:rsidRPr="0053423A">
              <w:rPr>
                <w:rFonts w:cs="Sylfaen"/>
                <w:sz w:val="20"/>
                <w:szCs w:val="20"/>
                <w:lang w:val="hy-AM"/>
              </w:rPr>
              <w:t>կարողություններին</w:t>
            </w:r>
            <w:r w:rsidRPr="0053423A">
              <w:rPr>
                <w:rFonts w:cs="Arial"/>
                <w:sz w:val="20"/>
                <w:szCs w:val="20"/>
                <w:lang w:val="af-ZA"/>
              </w:rPr>
              <w:t xml:space="preserve">: </w:t>
            </w:r>
            <w:r w:rsidRPr="0053423A">
              <w:rPr>
                <w:rFonts w:cs="Sylfaen"/>
                <w:sz w:val="20"/>
                <w:szCs w:val="20"/>
                <w:lang w:val="hy-AM"/>
              </w:rPr>
              <w:t>Նշված</w:t>
            </w:r>
            <w:r w:rsidRPr="0053423A">
              <w:rPr>
                <w:rFonts w:cs="Arial"/>
                <w:sz w:val="20"/>
                <w:szCs w:val="20"/>
                <w:lang w:val="af-ZA"/>
              </w:rPr>
              <w:t xml:space="preserve"> </w:t>
            </w:r>
            <w:r w:rsidRPr="0053423A">
              <w:rPr>
                <w:rFonts w:cs="Sylfaen"/>
                <w:sz w:val="20"/>
                <w:szCs w:val="20"/>
                <w:lang w:val="hy-AM"/>
              </w:rPr>
              <w:t>խնդիրների</w:t>
            </w:r>
            <w:r w:rsidRPr="0053423A">
              <w:rPr>
                <w:rFonts w:cs="Arial"/>
                <w:sz w:val="20"/>
                <w:szCs w:val="20"/>
                <w:lang w:val="af-ZA"/>
              </w:rPr>
              <w:t xml:space="preserve"> </w:t>
            </w:r>
            <w:r w:rsidRPr="0053423A">
              <w:rPr>
                <w:rFonts w:cs="Sylfaen"/>
                <w:sz w:val="20"/>
                <w:szCs w:val="20"/>
                <w:lang w:val="hy-AM"/>
              </w:rPr>
              <w:t>լուծման</w:t>
            </w:r>
            <w:r w:rsidRPr="0053423A">
              <w:rPr>
                <w:rFonts w:cs="Arial"/>
                <w:sz w:val="20"/>
                <w:szCs w:val="20"/>
                <w:lang w:val="af-ZA"/>
              </w:rPr>
              <w:t xml:space="preserve"> </w:t>
            </w:r>
            <w:r w:rsidRPr="0053423A">
              <w:rPr>
                <w:rFonts w:cs="Sylfaen"/>
                <w:sz w:val="20"/>
                <w:szCs w:val="20"/>
                <w:lang w:val="hy-AM"/>
              </w:rPr>
              <w:t>նպատակով</w:t>
            </w:r>
            <w:r w:rsidRPr="0053423A">
              <w:rPr>
                <w:rFonts w:cs="Arial"/>
                <w:sz w:val="20"/>
                <w:szCs w:val="20"/>
                <w:lang w:val="af-ZA"/>
              </w:rPr>
              <w:t xml:space="preserve"> </w:t>
            </w:r>
            <w:r w:rsidRPr="0053423A">
              <w:rPr>
                <w:rFonts w:cs="Sylfaen"/>
                <w:sz w:val="20"/>
                <w:szCs w:val="20"/>
                <w:lang w:val="hy-AM"/>
              </w:rPr>
              <w:t>Հանքարդյունաբերության</w:t>
            </w:r>
            <w:r w:rsidRPr="0053423A">
              <w:rPr>
                <w:rFonts w:cs="Arial"/>
                <w:sz w:val="20"/>
                <w:szCs w:val="20"/>
                <w:lang w:val="af-ZA"/>
              </w:rPr>
              <w:t xml:space="preserve"> </w:t>
            </w:r>
            <w:r w:rsidRPr="0053423A">
              <w:rPr>
                <w:rFonts w:cs="Sylfaen"/>
                <w:sz w:val="20"/>
                <w:szCs w:val="20"/>
                <w:lang w:val="hy-AM"/>
              </w:rPr>
              <w:t>ոլորտի</w:t>
            </w:r>
            <w:r w:rsidRPr="0053423A">
              <w:rPr>
                <w:rFonts w:cs="Arial"/>
                <w:sz w:val="20"/>
                <w:szCs w:val="20"/>
                <w:lang w:val="af-ZA"/>
              </w:rPr>
              <w:t xml:space="preserve"> </w:t>
            </w:r>
            <w:r w:rsidRPr="0053423A">
              <w:rPr>
                <w:rFonts w:cs="Sylfaen"/>
                <w:sz w:val="20"/>
                <w:szCs w:val="20"/>
                <w:lang w:val="hy-AM"/>
              </w:rPr>
              <w:t>զարգացման</w:t>
            </w:r>
            <w:r w:rsidRPr="0053423A">
              <w:rPr>
                <w:rFonts w:cs="Arial"/>
                <w:sz w:val="20"/>
                <w:szCs w:val="20"/>
                <w:lang w:val="af-ZA"/>
              </w:rPr>
              <w:t xml:space="preserve"> </w:t>
            </w:r>
            <w:r w:rsidRPr="0053423A">
              <w:rPr>
                <w:rFonts w:cs="Sylfaen"/>
                <w:sz w:val="20"/>
                <w:szCs w:val="20"/>
                <w:lang w:val="hy-AM"/>
              </w:rPr>
              <w:t>ռազմավարությանը</w:t>
            </w:r>
            <w:r w:rsidRPr="0053423A">
              <w:rPr>
                <w:rFonts w:cs="Arial"/>
                <w:sz w:val="20"/>
                <w:szCs w:val="20"/>
                <w:lang w:val="af-ZA"/>
              </w:rPr>
              <w:t xml:space="preserve"> </w:t>
            </w:r>
            <w:r w:rsidRPr="0053423A">
              <w:rPr>
                <w:rFonts w:cs="Sylfaen"/>
                <w:sz w:val="20"/>
                <w:szCs w:val="20"/>
                <w:lang w:val="hy-AM"/>
              </w:rPr>
              <w:t>համահունչ</w:t>
            </w:r>
            <w:r w:rsidRPr="0053423A">
              <w:rPr>
                <w:rFonts w:cs="Arial"/>
                <w:sz w:val="20"/>
                <w:szCs w:val="20"/>
                <w:lang w:val="af-ZA"/>
              </w:rPr>
              <w:t xml:space="preserve"> </w:t>
            </w:r>
            <w:r w:rsidRPr="0053423A">
              <w:rPr>
                <w:rFonts w:cs="Sylfaen"/>
                <w:sz w:val="20"/>
                <w:szCs w:val="20"/>
                <w:lang w:val="hy-AM"/>
              </w:rPr>
              <w:t>կիրականացվեն</w:t>
            </w:r>
            <w:r w:rsidRPr="0053423A">
              <w:rPr>
                <w:rFonts w:cs="Arial"/>
                <w:sz w:val="20"/>
                <w:szCs w:val="20"/>
                <w:lang w:val="af-ZA"/>
              </w:rPr>
              <w:t xml:space="preserve"> </w:t>
            </w:r>
            <w:r w:rsidRPr="0053423A">
              <w:rPr>
                <w:rFonts w:cs="Sylfaen"/>
                <w:sz w:val="20"/>
                <w:szCs w:val="20"/>
                <w:lang w:val="hy-AM"/>
              </w:rPr>
              <w:t>օրենսդրական</w:t>
            </w:r>
            <w:r w:rsidRPr="0053423A">
              <w:rPr>
                <w:sz w:val="20"/>
                <w:szCs w:val="20"/>
                <w:lang w:val="hy-AM"/>
              </w:rPr>
              <w:t xml:space="preserve"> </w:t>
            </w:r>
            <w:r w:rsidRPr="0053423A">
              <w:rPr>
                <w:rFonts w:cs="Sylfaen"/>
                <w:sz w:val="20"/>
                <w:szCs w:val="20"/>
                <w:lang w:val="hy-AM"/>
              </w:rPr>
              <w:t>և</w:t>
            </w:r>
            <w:r w:rsidRPr="0053423A">
              <w:rPr>
                <w:sz w:val="20"/>
                <w:szCs w:val="20"/>
                <w:lang w:val="hy-AM"/>
              </w:rPr>
              <w:t xml:space="preserve"> </w:t>
            </w:r>
            <w:r w:rsidRPr="0053423A">
              <w:rPr>
                <w:rFonts w:cs="Sylfaen"/>
                <w:sz w:val="20"/>
                <w:szCs w:val="20"/>
                <w:lang w:val="hy-AM"/>
              </w:rPr>
              <w:t>ինստիտուցիոնալ</w:t>
            </w:r>
            <w:r w:rsidRPr="0053423A">
              <w:rPr>
                <w:sz w:val="20"/>
                <w:szCs w:val="20"/>
                <w:lang w:val="hy-AM"/>
              </w:rPr>
              <w:t xml:space="preserve"> </w:t>
            </w:r>
            <w:r w:rsidRPr="0053423A">
              <w:rPr>
                <w:rFonts w:cs="Sylfaen"/>
                <w:sz w:val="20"/>
                <w:szCs w:val="20"/>
                <w:lang w:val="hy-AM"/>
              </w:rPr>
              <w:t>կարգավորումներ</w:t>
            </w:r>
            <w:r w:rsidRPr="0053423A">
              <w:rPr>
                <w:sz w:val="20"/>
                <w:szCs w:val="20"/>
                <w:lang w:val="af-ZA"/>
              </w:rPr>
              <w:t>:</w:t>
            </w:r>
          </w:p>
          <w:p w:rsidR="0084615D" w:rsidRPr="0053423A" w:rsidRDefault="0084615D" w:rsidP="001F6D5D">
            <w:pPr>
              <w:pStyle w:val="ListParagraph"/>
              <w:numPr>
                <w:ilvl w:val="1"/>
                <w:numId w:val="266"/>
              </w:numPr>
              <w:tabs>
                <w:tab w:val="left" w:pos="900"/>
                <w:tab w:val="left" w:pos="1620"/>
              </w:tabs>
              <w:spacing w:after="0" w:line="276" w:lineRule="auto"/>
              <w:rPr>
                <w:rFonts w:eastAsia="Times New Roman"/>
                <w:b/>
                <w:sz w:val="20"/>
                <w:szCs w:val="20"/>
                <w:lang w:val="af-ZA"/>
              </w:rPr>
            </w:pPr>
            <w:r w:rsidRPr="0053423A">
              <w:rPr>
                <w:rFonts w:eastAsia="Times New Roman" w:cs="Sylfaen"/>
                <w:b/>
                <w:sz w:val="20"/>
                <w:szCs w:val="20"/>
                <w:lang w:val="ru-RU"/>
              </w:rPr>
              <w:t>Կ</w:t>
            </w:r>
            <w:r w:rsidRPr="0053423A">
              <w:rPr>
                <w:rFonts w:eastAsia="Times New Roman" w:cs="Sylfaen"/>
                <w:b/>
                <w:sz w:val="20"/>
                <w:szCs w:val="20"/>
              </w:rPr>
              <w:t>արգավորման</w:t>
            </w:r>
            <w:r w:rsidRPr="0053423A">
              <w:rPr>
                <w:rFonts w:eastAsia="Times New Roman"/>
                <w:b/>
                <w:sz w:val="20"/>
                <w:szCs w:val="20"/>
                <w:lang w:val="af-ZA"/>
              </w:rPr>
              <w:t xml:space="preserve"> </w:t>
            </w:r>
            <w:r w:rsidRPr="0053423A">
              <w:rPr>
                <w:rFonts w:eastAsia="Times New Roman" w:cs="Sylfaen"/>
                <w:b/>
                <w:sz w:val="20"/>
                <w:szCs w:val="20"/>
              </w:rPr>
              <w:t>հարաբերությունների</w:t>
            </w:r>
            <w:r w:rsidRPr="0053423A">
              <w:rPr>
                <w:rFonts w:eastAsia="Times New Roman"/>
                <w:b/>
                <w:sz w:val="20"/>
                <w:szCs w:val="20"/>
                <w:lang w:val="af-ZA"/>
              </w:rPr>
              <w:t xml:space="preserve"> </w:t>
            </w:r>
            <w:r w:rsidRPr="0053423A">
              <w:rPr>
                <w:rFonts w:eastAsia="Times New Roman" w:cs="Sylfaen"/>
                <w:b/>
                <w:sz w:val="20"/>
                <w:szCs w:val="20"/>
              </w:rPr>
              <w:t>ներկա</w:t>
            </w:r>
            <w:r w:rsidRPr="0053423A">
              <w:rPr>
                <w:rFonts w:eastAsia="Times New Roman"/>
                <w:b/>
                <w:sz w:val="20"/>
                <w:szCs w:val="20"/>
                <w:lang w:val="af-ZA"/>
              </w:rPr>
              <w:t xml:space="preserve"> </w:t>
            </w:r>
            <w:r w:rsidRPr="0053423A">
              <w:rPr>
                <w:rFonts w:eastAsia="Times New Roman" w:cs="Sylfaen"/>
                <w:b/>
                <w:sz w:val="20"/>
                <w:szCs w:val="20"/>
              </w:rPr>
              <w:t>վիճակը</w:t>
            </w:r>
            <w:r w:rsidRPr="0053423A">
              <w:rPr>
                <w:rFonts w:eastAsia="Times New Roman"/>
                <w:b/>
                <w:sz w:val="20"/>
                <w:szCs w:val="20"/>
                <w:lang w:val="af-ZA"/>
              </w:rPr>
              <w:t xml:space="preserve"> </w:t>
            </w:r>
            <w:r w:rsidRPr="0053423A">
              <w:rPr>
                <w:rFonts w:eastAsia="Times New Roman" w:cs="Sylfaen"/>
                <w:b/>
                <w:sz w:val="20"/>
                <w:szCs w:val="20"/>
              </w:rPr>
              <w:t>և</w:t>
            </w:r>
            <w:r w:rsidRPr="0053423A">
              <w:rPr>
                <w:rFonts w:eastAsia="Times New Roman"/>
                <w:b/>
                <w:sz w:val="20"/>
                <w:szCs w:val="20"/>
                <w:lang w:val="af-ZA"/>
              </w:rPr>
              <w:t xml:space="preserve"> </w:t>
            </w:r>
            <w:r w:rsidRPr="0053423A">
              <w:rPr>
                <w:rFonts w:eastAsia="Times New Roman" w:cs="Sylfaen"/>
                <w:b/>
                <w:sz w:val="20"/>
                <w:szCs w:val="20"/>
              </w:rPr>
              <w:t>առկա</w:t>
            </w:r>
            <w:r w:rsidRPr="0053423A">
              <w:rPr>
                <w:rFonts w:eastAsia="Times New Roman"/>
                <w:b/>
                <w:sz w:val="20"/>
                <w:szCs w:val="20"/>
                <w:lang w:val="af-ZA"/>
              </w:rPr>
              <w:t xml:space="preserve"> </w:t>
            </w:r>
            <w:r w:rsidRPr="0053423A">
              <w:rPr>
                <w:rFonts w:eastAsia="Times New Roman" w:cs="Sylfaen"/>
                <w:b/>
                <w:sz w:val="20"/>
                <w:szCs w:val="20"/>
              </w:rPr>
              <w:t>խնդիրները</w:t>
            </w:r>
          </w:p>
          <w:p w:rsidR="0084615D" w:rsidRPr="0053423A" w:rsidRDefault="0084615D" w:rsidP="00A67858">
            <w:pPr>
              <w:pStyle w:val="ListParagraph"/>
              <w:spacing w:after="0" w:line="276" w:lineRule="auto"/>
              <w:ind w:left="90" w:firstLine="450"/>
              <w:jc w:val="both"/>
              <w:rPr>
                <w:rFonts w:eastAsia="Times New Roman"/>
                <w:sz w:val="20"/>
                <w:szCs w:val="20"/>
                <w:lang w:val="af-ZA"/>
              </w:rPr>
            </w:pPr>
            <w:r w:rsidRPr="0053423A">
              <w:rPr>
                <w:rFonts w:cs="Sylfaen"/>
                <w:sz w:val="20"/>
                <w:szCs w:val="20"/>
                <w:lang w:val="hy-AM"/>
              </w:rPr>
              <w:t>Հանքարդյունաբերության</w:t>
            </w:r>
            <w:r w:rsidRPr="0053423A">
              <w:rPr>
                <w:sz w:val="20"/>
                <w:szCs w:val="20"/>
                <w:lang w:val="hy-AM"/>
              </w:rPr>
              <w:t xml:space="preserve"> </w:t>
            </w:r>
            <w:r w:rsidRPr="0053423A">
              <w:rPr>
                <w:rFonts w:cs="Sylfaen"/>
                <w:sz w:val="20"/>
                <w:szCs w:val="20"/>
                <w:lang w:val="hy-AM"/>
              </w:rPr>
              <w:t>ոլորտի</w:t>
            </w:r>
            <w:r w:rsidRPr="0053423A">
              <w:rPr>
                <w:sz w:val="20"/>
                <w:szCs w:val="20"/>
                <w:lang w:val="hy-AM"/>
              </w:rPr>
              <w:t xml:space="preserve"> </w:t>
            </w:r>
            <w:r w:rsidRPr="0053423A">
              <w:rPr>
                <w:rFonts w:cs="Sylfaen"/>
                <w:sz w:val="20"/>
                <w:szCs w:val="20"/>
                <w:lang w:val="hy-AM"/>
              </w:rPr>
              <w:t>զարգացման</w:t>
            </w:r>
            <w:r w:rsidRPr="0053423A">
              <w:rPr>
                <w:sz w:val="20"/>
                <w:szCs w:val="20"/>
                <w:lang w:val="hy-AM"/>
              </w:rPr>
              <w:t xml:space="preserve"> </w:t>
            </w:r>
            <w:r w:rsidRPr="0053423A">
              <w:rPr>
                <w:rFonts w:cs="Sylfaen"/>
                <w:sz w:val="20"/>
                <w:szCs w:val="20"/>
                <w:lang w:val="hy-AM"/>
              </w:rPr>
              <w:t>ռազմավարությ</w:t>
            </w:r>
            <w:r w:rsidRPr="0053423A">
              <w:rPr>
                <w:rFonts w:cs="Sylfaen"/>
                <w:sz w:val="20"/>
                <w:szCs w:val="20"/>
                <w:lang w:val="ru-RU"/>
              </w:rPr>
              <w:t>ան</w:t>
            </w:r>
            <w:r w:rsidRPr="0053423A">
              <w:rPr>
                <w:sz w:val="20"/>
                <w:szCs w:val="20"/>
                <w:lang w:val="hy-AM"/>
              </w:rPr>
              <w:t xml:space="preserve"> </w:t>
            </w:r>
            <w:r w:rsidRPr="0053423A">
              <w:rPr>
                <w:rFonts w:cs="Sylfaen"/>
                <w:spacing w:val="-8"/>
                <w:sz w:val="20"/>
                <w:szCs w:val="20"/>
              </w:rPr>
              <w:t>պահանջների</w:t>
            </w:r>
            <w:r w:rsidRPr="0053423A">
              <w:rPr>
                <w:rFonts w:cs="Arial"/>
                <w:spacing w:val="-8"/>
                <w:sz w:val="20"/>
                <w:szCs w:val="20"/>
                <w:lang w:val="af-ZA"/>
              </w:rPr>
              <w:t xml:space="preserve"> </w:t>
            </w:r>
            <w:r w:rsidRPr="0053423A">
              <w:rPr>
                <w:rFonts w:cs="Sylfaen"/>
                <w:spacing w:val="-8"/>
                <w:sz w:val="20"/>
                <w:szCs w:val="20"/>
              </w:rPr>
              <w:t>կատար</w:t>
            </w:r>
            <w:r w:rsidRPr="0053423A">
              <w:rPr>
                <w:rFonts w:cs="Sylfaen"/>
                <w:spacing w:val="-8"/>
                <w:sz w:val="20"/>
                <w:szCs w:val="20"/>
                <w:lang w:val="ru-RU"/>
              </w:rPr>
              <w:t>ման</w:t>
            </w:r>
            <w:r w:rsidRPr="0053423A">
              <w:rPr>
                <w:rFonts w:cs="Arial"/>
                <w:spacing w:val="-8"/>
                <w:sz w:val="20"/>
                <w:szCs w:val="20"/>
                <w:lang w:val="af-ZA"/>
              </w:rPr>
              <w:t xml:space="preserve"> </w:t>
            </w:r>
            <w:r w:rsidRPr="0053423A">
              <w:rPr>
                <w:rFonts w:cs="Sylfaen"/>
                <w:spacing w:val="-8"/>
                <w:sz w:val="20"/>
                <w:szCs w:val="20"/>
                <w:lang w:val="ru-RU"/>
              </w:rPr>
              <w:t>ապահովում</w:t>
            </w:r>
          </w:p>
          <w:p w:rsidR="0084615D" w:rsidRPr="0053423A" w:rsidRDefault="0084615D" w:rsidP="00A67858">
            <w:pPr>
              <w:pStyle w:val="ListParagraph"/>
              <w:tabs>
                <w:tab w:val="left" w:pos="900"/>
              </w:tabs>
              <w:spacing w:after="0" w:line="276" w:lineRule="auto"/>
              <w:ind w:left="375" w:firstLine="705"/>
              <w:rPr>
                <w:rFonts w:eastAsia="Times New Roman"/>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w:t>
            </w:r>
            <w:r w:rsidRPr="0053423A">
              <w:rPr>
                <w:rFonts w:eastAsia="Times New Roman" w:cs="Sylfaen"/>
                <w:b/>
                <w:sz w:val="20"/>
                <w:szCs w:val="20"/>
                <w:lang w:val="ru-RU"/>
              </w:rPr>
              <w:t>Ա</w:t>
            </w:r>
            <w:r w:rsidRPr="0053423A">
              <w:rPr>
                <w:rFonts w:eastAsia="Times New Roman" w:cs="Sylfaen"/>
                <w:b/>
                <w:sz w:val="20"/>
                <w:szCs w:val="20"/>
              </w:rPr>
              <w:t>ռկա</w:t>
            </w:r>
            <w:r w:rsidRPr="0053423A">
              <w:rPr>
                <w:rFonts w:eastAsia="Times New Roman"/>
                <w:b/>
                <w:sz w:val="20"/>
                <w:szCs w:val="20"/>
                <w:lang w:val="af-ZA"/>
              </w:rPr>
              <w:t xml:space="preserve"> </w:t>
            </w:r>
            <w:r w:rsidRPr="0053423A">
              <w:rPr>
                <w:rFonts w:eastAsia="Times New Roman" w:cs="Sylfaen"/>
                <w:b/>
                <w:sz w:val="20"/>
                <w:szCs w:val="20"/>
              </w:rPr>
              <w:t>խնդիրների</w:t>
            </w:r>
            <w:r w:rsidRPr="0053423A">
              <w:rPr>
                <w:rFonts w:eastAsia="Times New Roman"/>
                <w:b/>
                <w:sz w:val="20"/>
                <w:szCs w:val="20"/>
                <w:lang w:val="af-ZA"/>
              </w:rPr>
              <w:t xml:space="preserve"> </w:t>
            </w:r>
            <w:r w:rsidRPr="0053423A">
              <w:rPr>
                <w:rFonts w:eastAsia="Times New Roman" w:cs="Sylfaen"/>
                <w:b/>
                <w:sz w:val="20"/>
                <w:szCs w:val="20"/>
              </w:rPr>
              <w:t>առաջարկվող</w:t>
            </w:r>
            <w:r w:rsidRPr="0053423A">
              <w:rPr>
                <w:rFonts w:eastAsia="Times New Roman"/>
                <w:b/>
                <w:sz w:val="20"/>
                <w:szCs w:val="20"/>
                <w:lang w:val="af-ZA"/>
              </w:rPr>
              <w:t xml:space="preserve"> </w:t>
            </w:r>
            <w:r w:rsidRPr="0053423A">
              <w:rPr>
                <w:rFonts w:eastAsia="Times New Roman" w:cs="Sylfaen"/>
                <w:b/>
                <w:sz w:val="20"/>
                <w:szCs w:val="20"/>
              </w:rPr>
              <w:t>լուծումները</w:t>
            </w:r>
          </w:p>
          <w:p w:rsidR="0084615D" w:rsidRPr="0053423A" w:rsidRDefault="0084615D" w:rsidP="00A67858">
            <w:pPr>
              <w:spacing w:after="0" w:line="276" w:lineRule="auto"/>
              <w:jc w:val="both"/>
              <w:rPr>
                <w:rFonts w:cs="Sylfaen"/>
                <w:sz w:val="20"/>
                <w:szCs w:val="20"/>
                <w:lang w:val="af-ZA"/>
              </w:rPr>
            </w:pPr>
            <w:r w:rsidRPr="0053423A">
              <w:rPr>
                <w:rFonts w:cs="Sylfaen"/>
                <w:sz w:val="20"/>
                <w:szCs w:val="20"/>
                <w:lang w:val="hy-AM"/>
              </w:rPr>
              <w:t>Հանքարդյունաբերության</w:t>
            </w:r>
            <w:r w:rsidRPr="0053423A">
              <w:rPr>
                <w:rFonts w:cs="Arial"/>
                <w:sz w:val="20"/>
                <w:szCs w:val="20"/>
                <w:lang w:val="af-ZA"/>
              </w:rPr>
              <w:t xml:space="preserve"> </w:t>
            </w:r>
            <w:r w:rsidRPr="0053423A">
              <w:rPr>
                <w:rFonts w:cs="Sylfaen"/>
                <w:sz w:val="20"/>
                <w:szCs w:val="20"/>
                <w:lang w:val="hy-AM"/>
              </w:rPr>
              <w:t>ոլորտի</w:t>
            </w:r>
            <w:r w:rsidRPr="0053423A">
              <w:rPr>
                <w:rFonts w:cs="Arial"/>
                <w:sz w:val="20"/>
                <w:szCs w:val="20"/>
                <w:lang w:val="af-ZA"/>
              </w:rPr>
              <w:t xml:space="preserve"> </w:t>
            </w:r>
            <w:r w:rsidRPr="0053423A">
              <w:rPr>
                <w:rFonts w:cs="Sylfaen"/>
                <w:sz w:val="20"/>
                <w:szCs w:val="20"/>
                <w:lang w:val="hy-AM"/>
              </w:rPr>
              <w:t>զարգացման</w:t>
            </w:r>
            <w:r w:rsidRPr="0053423A">
              <w:rPr>
                <w:rFonts w:cs="Arial"/>
                <w:sz w:val="20"/>
                <w:szCs w:val="20"/>
                <w:lang w:val="af-ZA"/>
              </w:rPr>
              <w:t xml:space="preserve"> </w:t>
            </w:r>
            <w:r w:rsidRPr="0053423A">
              <w:rPr>
                <w:rFonts w:cs="Sylfaen"/>
                <w:sz w:val="20"/>
                <w:szCs w:val="20"/>
                <w:lang w:val="hy-AM"/>
              </w:rPr>
              <w:t>ռազմավարության</w:t>
            </w:r>
            <w:r w:rsidRPr="0053423A">
              <w:rPr>
                <w:rFonts w:cs="Sylfaen"/>
                <w:sz w:val="20"/>
                <w:szCs w:val="20"/>
                <w:lang w:val="ru-RU"/>
              </w:rPr>
              <w:t>ը</w:t>
            </w:r>
            <w:r w:rsidRPr="0053423A">
              <w:rPr>
                <w:rFonts w:cs="Arial"/>
                <w:sz w:val="20"/>
                <w:szCs w:val="20"/>
                <w:lang w:val="af-ZA"/>
              </w:rPr>
              <w:t xml:space="preserve"> </w:t>
            </w:r>
            <w:r w:rsidRPr="0053423A">
              <w:rPr>
                <w:rFonts w:cs="Sylfaen"/>
                <w:sz w:val="20"/>
                <w:szCs w:val="20"/>
                <w:lang w:val="ru-RU"/>
              </w:rPr>
              <w:t>համահունչ</w:t>
            </w:r>
            <w:r w:rsidRPr="0053423A">
              <w:rPr>
                <w:rFonts w:cs="Arial"/>
                <w:sz w:val="20"/>
                <w:szCs w:val="20"/>
                <w:lang w:val="af-ZA"/>
              </w:rPr>
              <w:t xml:space="preserve"> </w:t>
            </w:r>
            <w:r w:rsidRPr="0053423A">
              <w:rPr>
                <w:rFonts w:cs="Sylfaen"/>
                <w:sz w:val="20"/>
                <w:szCs w:val="20"/>
                <w:lang w:val="hy-AM"/>
              </w:rPr>
              <w:t>օրենսդրական</w:t>
            </w:r>
            <w:r w:rsidRPr="0053423A">
              <w:rPr>
                <w:sz w:val="20"/>
                <w:szCs w:val="20"/>
                <w:lang w:val="hy-AM"/>
              </w:rPr>
              <w:t xml:space="preserve"> </w:t>
            </w:r>
            <w:r w:rsidRPr="0053423A">
              <w:rPr>
                <w:rFonts w:cs="Sylfaen"/>
                <w:sz w:val="20"/>
                <w:szCs w:val="20"/>
                <w:lang w:val="hy-AM"/>
              </w:rPr>
              <w:t>և</w:t>
            </w:r>
            <w:r w:rsidRPr="0053423A">
              <w:rPr>
                <w:sz w:val="20"/>
                <w:szCs w:val="20"/>
                <w:lang w:val="hy-AM"/>
              </w:rPr>
              <w:t xml:space="preserve"> </w:t>
            </w:r>
            <w:r w:rsidRPr="0053423A">
              <w:rPr>
                <w:rFonts w:cs="Sylfaen"/>
                <w:sz w:val="20"/>
                <w:szCs w:val="20"/>
                <w:lang w:val="hy-AM"/>
              </w:rPr>
              <w:t>ինստիտուցիոնալ</w:t>
            </w:r>
            <w:r w:rsidRPr="0053423A">
              <w:rPr>
                <w:sz w:val="20"/>
                <w:szCs w:val="20"/>
                <w:lang w:val="hy-AM"/>
              </w:rPr>
              <w:t xml:space="preserve"> </w:t>
            </w:r>
            <w:r w:rsidRPr="0053423A">
              <w:rPr>
                <w:rFonts w:cs="Sylfaen"/>
                <w:sz w:val="20"/>
                <w:szCs w:val="20"/>
                <w:lang w:val="hy-AM"/>
              </w:rPr>
              <w:t>կարգավորումներ</w:t>
            </w:r>
            <w:r w:rsidRPr="0053423A">
              <w:rPr>
                <w:rFonts w:cs="Sylfaen"/>
                <w:sz w:val="20"/>
                <w:szCs w:val="20"/>
                <w:lang w:val="ru-RU"/>
              </w:rPr>
              <w:t>ի</w:t>
            </w:r>
            <w:r w:rsidRPr="0053423A">
              <w:rPr>
                <w:sz w:val="20"/>
                <w:szCs w:val="20"/>
                <w:lang w:val="af-ZA"/>
              </w:rPr>
              <w:t xml:space="preserve"> </w:t>
            </w:r>
            <w:r w:rsidRPr="0053423A">
              <w:rPr>
                <w:rFonts w:cs="Sylfaen"/>
                <w:sz w:val="20"/>
                <w:szCs w:val="20"/>
                <w:lang w:val="ru-RU"/>
              </w:rPr>
              <w:t>իրականացում</w:t>
            </w:r>
          </w:p>
          <w:p w:rsidR="0084615D" w:rsidRPr="0053423A" w:rsidRDefault="0084615D" w:rsidP="00A67858">
            <w:pPr>
              <w:tabs>
                <w:tab w:val="left" w:pos="7515"/>
              </w:tabs>
              <w:spacing w:after="0" w:line="276" w:lineRule="auto"/>
              <w:ind w:left="1440" w:hanging="360"/>
              <w:rPr>
                <w:rFonts w:eastAsia="Times New Roman"/>
                <w:b/>
                <w:sz w:val="20"/>
                <w:szCs w:val="20"/>
                <w:lang w:val="af-ZA"/>
              </w:rPr>
            </w:pPr>
            <w:r w:rsidRPr="0053423A">
              <w:rPr>
                <w:rFonts w:eastAsia="Times New Roman"/>
                <w:b/>
                <w:sz w:val="20"/>
                <w:szCs w:val="20"/>
                <w:lang w:val="af-ZA"/>
              </w:rPr>
              <w:t>2.</w:t>
            </w:r>
            <w:r w:rsidRPr="0053423A">
              <w:rPr>
                <w:rFonts w:ascii="Calibri" w:eastAsia="Times New Roman" w:hAnsi="Calibri" w:cs="Calibri"/>
                <w:sz w:val="20"/>
                <w:szCs w:val="20"/>
                <w:lang w:val="af-ZA"/>
              </w:rPr>
              <w:t> </w:t>
            </w:r>
            <w:r w:rsidRPr="0053423A">
              <w:rPr>
                <w:rFonts w:eastAsia="Times New Roman" w:cs="Sylfaen"/>
                <w:b/>
                <w:sz w:val="20"/>
                <w:szCs w:val="20"/>
              </w:rPr>
              <w:t>Միջոցառման</w:t>
            </w:r>
            <w:r w:rsidRPr="0053423A">
              <w:rPr>
                <w:rFonts w:eastAsia="Times New Roman"/>
                <w:b/>
                <w:sz w:val="20"/>
                <w:szCs w:val="20"/>
                <w:lang w:val="af-ZA"/>
              </w:rPr>
              <w:t xml:space="preserve"> </w:t>
            </w:r>
            <w:r w:rsidRPr="0053423A">
              <w:rPr>
                <w:rFonts w:eastAsia="Times New Roman" w:cs="Sylfaen"/>
                <w:b/>
                <w:sz w:val="20"/>
                <w:szCs w:val="20"/>
              </w:rPr>
              <w:t>իրակա</w:t>
            </w:r>
            <w:r w:rsidRPr="0053423A">
              <w:rPr>
                <w:rFonts w:eastAsia="Times New Roman" w:cs="Sylfaen"/>
                <w:b/>
                <w:sz w:val="20"/>
                <w:szCs w:val="20"/>
                <w:lang w:val="ru-RU"/>
              </w:rPr>
              <w:t>նա</w:t>
            </w:r>
            <w:r w:rsidRPr="0053423A">
              <w:rPr>
                <w:rFonts w:eastAsia="Times New Roman" w:cs="Sylfaen"/>
                <w:b/>
                <w:sz w:val="20"/>
                <w:szCs w:val="20"/>
              </w:rPr>
              <w:t>ցումից</w:t>
            </w:r>
            <w:r w:rsidRPr="0053423A">
              <w:rPr>
                <w:rFonts w:eastAsia="Times New Roman"/>
                <w:b/>
                <w:sz w:val="20"/>
                <w:szCs w:val="20"/>
                <w:lang w:val="af-ZA"/>
              </w:rPr>
              <w:t xml:space="preserve"> </w:t>
            </w:r>
            <w:r w:rsidRPr="0053423A">
              <w:rPr>
                <w:rFonts w:eastAsia="Times New Roman" w:cs="Sylfaen"/>
                <w:b/>
                <w:sz w:val="20"/>
                <w:szCs w:val="20"/>
              </w:rPr>
              <w:t>ակնկալվող</w:t>
            </w:r>
            <w:r w:rsidRPr="0053423A">
              <w:rPr>
                <w:rFonts w:eastAsia="Times New Roman"/>
                <w:b/>
                <w:sz w:val="20"/>
                <w:szCs w:val="20"/>
                <w:lang w:val="af-ZA"/>
              </w:rPr>
              <w:t xml:space="preserve"> </w:t>
            </w:r>
            <w:r w:rsidRPr="0053423A">
              <w:rPr>
                <w:rFonts w:eastAsia="Times New Roman" w:cs="Sylfaen"/>
                <w:b/>
                <w:sz w:val="20"/>
                <w:szCs w:val="20"/>
              </w:rPr>
              <w:t>արդյունքը</w:t>
            </w:r>
            <w:r w:rsidRPr="0053423A">
              <w:rPr>
                <w:rFonts w:eastAsia="Times New Roman" w:cs="Sylfaen"/>
                <w:b/>
                <w:sz w:val="20"/>
                <w:szCs w:val="20"/>
                <w:lang w:val="af-ZA"/>
              </w:rPr>
              <w:tab/>
            </w:r>
          </w:p>
          <w:p w:rsidR="0084615D" w:rsidRPr="0053423A" w:rsidRDefault="0084615D" w:rsidP="00A67858">
            <w:pPr>
              <w:pStyle w:val="ListParagraph"/>
              <w:spacing w:after="0" w:line="276" w:lineRule="auto"/>
              <w:ind w:left="0" w:firstLine="540"/>
              <w:jc w:val="both"/>
              <w:rPr>
                <w:rFonts w:cs="Sylfaen"/>
                <w:sz w:val="20"/>
                <w:szCs w:val="20"/>
                <w:lang w:val="af-ZA"/>
              </w:rPr>
            </w:pPr>
            <w:r w:rsidRPr="0053423A">
              <w:rPr>
                <w:rFonts w:cs="Sylfaen"/>
                <w:noProof/>
                <w:spacing w:val="-8"/>
                <w:sz w:val="20"/>
                <w:szCs w:val="20"/>
                <w:lang w:val="ru-RU"/>
              </w:rPr>
              <w:t>Հ</w:t>
            </w:r>
            <w:r w:rsidRPr="0053423A">
              <w:rPr>
                <w:rFonts w:cs="Sylfaen"/>
                <w:noProof/>
                <w:spacing w:val="-8"/>
                <w:sz w:val="20"/>
                <w:szCs w:val="20"/>
                <w:lang w:val="hy-AM"/>
              </w:rPr>
              <w:t xml:space="preserve">անքարդյունաբերության </w:t>
            </w:r>
            <w:r w:rsidRPr="0053423A">
              <w:rPr>
                <w:rFonts w:cs="Sylfaen"/>
                <w:noProof/>
                <w:spacing w:val="-8"/>
                <w:sz w:val="20"/>
                <w:szCs w:val="20"/>
                <w:lang w:val="ru-RU"/>
              </w:rPr>
              <w:t>ո</w:t>
            </w:r>
            <w:r w:rsidRPr="0053423A">
              <w:rPr>
                <w:rFonts w:cs="Sylfaen"/>
                <w:sz w:val="20"/>
                <w:szCs w:val="20"/>
                <w:lang w:val="hy-AM"/>
              </w:rPr>
              <w:t>լորտի</w:t>
            </w:r>
            <w:r w:rsidRPr="0053423A">
              <w:rPr>
                <w:rFonts w:cs="Arial"/>
                <w:sz w:val="20"/>
                <w:szCs w:val="20"/>
                <w:lang w:val="hy-AM"/>
              </w:rPr>
              <w:t xml:space="preserve"> </w:t>
            </w:r>
            <w:r w:rsidRPr="0053423A">
              <w:rPr>
                <w:rFonts w:cs="Sylfaen"/>
                <w:sz w:val="20"/>
                <w:szCs w:val="20"/>
                <w:lang w:val="hy-AM"/>
              </w:rPr>
              <w:t>կայուն</w:t>
            </w:r>
            <w:r w:rsidRPr="0053423A">
              <w:rPr>
                <w:rFonts w:cs="Arial"/>
                <w:sz w:val="20"/>
                <w:szCs w:val="20"/>
                <w:lang w:val="hy-AM"/>
              </w:rPr>
              <w:t xml:space="preserve"> </w:t>
            </w:r>
            <w:r w:rsidRPr="0053423A">
              <w:rPr>
                <w:rFonts w:cs="Sylfaen"/>
                <w:sz w:val="20"/>
                <w:szCs w:val="20"/>
                <w:lang w:val="hy-AM"/>
              </w:rPr>
              <w:t>զարգացման</w:t>
            </w:r>
            <w:r w:rsidRPr="0053423A">
              <w:rPr>
                <w:rFonts w:cs="Arial"/>
                <w:sz w:val="20"/>
                <w:szCs w:val="20"/>
                <w:lang w:val="hy-AM"/>
              </w:rPr>
              <w:t xml:space="preserve"> </w:t>
            </w:r>
            <w:r w:rsidRPr="0053423A">
              <w:rPr>
                <w:rFonts w:cs="Sylfaen"/>
                <w:sz w:val="20"/>
                <w:szCs w:val="20"/>
                <w:lang w:val="hy-AM"/>
              </w:rPr>
              <w:t>համար</w:t>
            </w:r>
            <w:r w:rsidRPr="0053423A">
              <w:rPr>
                <w:rFonts w:cs="Arial"/>
                <w:sz w:val="20"/>
                <w:szCs w:val="20"/>
                <w:lang w:val="hy-AM"/>
              </w:rPr>
              <w:t xml:space="preserve"> </w:t>
            </w:r>
            <w:r w:rsidRPr="0053423A">
              <w:rPr>
                <w:rFonts w:cs="Sylfaen"/>
                <w:sz w:val="20"/>
                <w:szCs w:val="20"/>
                <w:lang w:val="hy-AM"/>
              </w:rPr>
              <w:t>բարենպաստ</w:t>
            </w:r>
            <w:r w:rsidRPr="0053423A">
              <w:rPr>
                <w:rFonts w:cs="Arial"/>
                <w:sz w:val="20"/>
                <w:szCs w:val="20"/>
                <w:lang w:val="hy-AM"/>
              </w:rPr>
              <w:t xml:space="preserve"> </w:t>
            </w:r>
            <w:r w:rsidRPr="0053423A">
              <w:rPr>
                <w:rFonts w:cs="Sylfaen"/>
                <w:sz w:val="20"/>
                <w:szCs w:val="20"/>
                <w:lang w:val="hy-AM"/>
              </w:rPr>
              <w:t>միջավայրի</w:t>
            </w:r>
            <w:r w:rsidRPr="0053423A">
              <w:rPr>
                <w:rFonts w:cs="Arial"/>
                <w:sz w:val="20"/>
                <w:szCs w:val="20"/>
                <w:lang w:val="hy-AM"/>
              </w:rPr>
              <w:t xml:space="preserve"> </w:t>
            </w:r>
            <w:r w:rsidRPr="0053423A">
              <w:rPr>
                <w:rFonts w:cs="Sylfaen"/>
                <w:sz w:val="20"/>
                <w:szCs w:val="20"/>
                <w:lang w:val="hy-AM"/>
              </w:rPr>
              <w:t>ձևավոր</w:t>
            </w:r>
            <w:r w:rsidRPr="0053423A">
              <w:rPr>
                <w:rFonts w:cs="Sylfaen"/>
                <w:sz w:val="20"/>
                <w:szCs w:val="20"/>
                <w:lang w:val="ru-RU"/>
              </w:rPr>
              <w:t>ման</w:t>
            </w:r>
            <w:r w:rsidRPr="0053423A">
              <w:rPr>
                <w:rFonts w:cs="Arial"/>
                <w:sz w:val="20"/>
                <w:szCs w:val="20"/>
                <w:lang w:val="af-ZA"/>
              </w:rPr>
              <w:t xml:space="preserve"> </w:t>
            </w:r>
            <w:r w:rsidRPr="0053423A">
              <w:rPr>
                <w:rFonts w:cs="Sylfaen"/>
                <w:sz w:val="20"/>
                <w:szCs w:val="20"/>
                <w:lang w:val="ru-RU"/>
              </w:rPr>
              <w:t>ապահովում</w:t>
            </w:r>
          </w:p>
          <w:p w:rsidR="0084615D" w:rsidRPr="0053423A" w:rsidRDefault="0084615D" w:rsidP="00A67858">
            <w:pPr>
              <w:spacing w:after="0" w:line="276" w:lineRule="auto"/>
              <w:jc w:val="center"/>
              <w:rPr>
                <w:rFonts w:eastAsia="Times New Roman"/>
                <w:b/>
                <w:bCs/>
                <w:sz w:val="20"/>
                <w:szCs w:val="20"/>
                <w:lang w:val="af-ZA"/>
              </w:rPr>
            </w:pP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11</w:t>
            </w:r>
          </w:p>
        </w:tc>
        <w:tc>
          <w:tcPr>
            <w:tcW w:w="10879" w:type="dxa"/>
            <w:shd w:val="clear" w:color="auto" w:fill="auto"/>
          </w:tcPr>
          <w:p w:rsidR="0084615D" w:rsidRPr="0053423A" w:rsidRDefault="0084615D" w:rsidP="00A67858">
            <w:pPr>
              <w:spacing w:after="0" w:line="276" w:lineRule="auto"/>
              <w:jc w:val="center"/>
              <w:rPr>
                <w:b/>
                <w:sz w:val="20"/>
                <w:szCs w:val="20"/>
                <w:lang w:val="af-ZA"/>
              </w:rPr>
            </w:pPr>
            <w:r w:rsidRPr="0053423A">
              <w:rPr>
                <w:b/>
                <w:sz w:val="20"/>
                <w:szCs w:val="20"/>
                <w:lang w:val="af-ZA"/>
              </w:rPr>
              <w:t>ԱՃԹՆ/EITI-ի (Արդյունահանող ճյուղերի թափանցիկության նախաձեռնություն) շրջանակներում՝ հանքարդյունաբերության ոլորտում իրականացվող միջոցառումների վերաբերյալ տարեկան ազգային զեկույցի կազմում և հրապարակում (շարունակական)</w:t>
            </w:r>
          </w:p>
          <w:p w:rsidR="0084615D" w:rsidRPr="0053423A" w:rsidRDefault="0084615D" w:rsidP="00A67858">
            <w:pPr>
              <w:spacing w:after="0" w:line="276" w:lineRule="auto"/>
              <w:jc w:val="center"/>
              <w:rPr>
                <w:b/>
                <w:sz w:val="20"/>
                <w:szCs w:val="20"/>
                <w:lang w:val="af-ZA"/>
              </w:rPr>
            </w:pP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11.1</w:t>
            </w:r>
            <w:r w:rsidRPr="0053423A">
              <w:rPr>
                <w:rFonts w:ascii="Calibri" w:hAnsi="Calibri" w:cs="Calibri"/>
                <w:b/>
                <w:sz w:val="20"/>
                <w:szCs w:val="20"/>
                <w:u w:val="single"/>
                <w:lang w:val="af-ZA"/>
              </w:rPr>
              <w:t> </w:t>
            </w:r>
            <w:r w:rsidRPr="0053423A">
              <w:rPr>
                <w:b/>
                <w:sz w:val="20"/>
                <w:szCs w:val="20"/>
                <w:u w:val="single"/>
                <w:lang w:val="af-ZA"/>
              </w:rPr>
              <w:t>ՀՀ-ի կողմից ԱՃԹՆ/EITI-ի (Արդյունահանող ճյուղերի թափանցիկության նախաձեռնություն) շրջանակներում՝ հանքարդյունաբերության ոլորտում իրականացվող միջոցառումների վերաբերյալ տարեկան ազգային զեկույցի նախագծի կազմում</w:t>
            </w: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11.2</w:t>
            </w:r>
            <w:r w:rsidRPr="0053423A">
              <w:rPr>
                <w:rFonts w:ascii="Calibri" w:hAnsi="Calibri" w:cs="Calibri"/>
                <w:b/>
                <w:sz w:val="20"/>
                <w:szCs w:val="20"/>
                <w:u w:val="single"/>
                <w:lang w:val="af-ZA"/>
              </w:rPr>
              <w:t> </w:t>
            </w:r>
            <w:r w:rsidRPr="0053423A">
              <w:rPr>
                <w:b/>
                <w:sz w:val="20"/>
                <w:szCs w:val="20"/>
                <w:u w:val="single"/>
                <w:lang w:val="af-ZA"/>
              </w:rPr>
              <w:t xml:space="preserve">ՀՀ-ի կողմից ԱՃԹՆ/EITI-ի (Արդյունահանող ճյուղերի թափանցիկության նախաձեռնություն) շրջանակներում՝ հանքարդյունաբերության ոլորտում իրականացվող միջոցառումների վերաբերյալ տարեկան ազգային զեկույցի նախագծի ներկայացում </w:t>
            </w:r>
            <w:r w:rsidRPr="0053423A">
              <w:rPr>
                <w:b/>
                <w:sz w:val="20"/>
                <w:szCs w:val="20"/>
                <w:u w:val="single"/>
                <w:lang w:val="af-ZA"/>
              </w:rPr>
              <w:br/>
              <w:t>ՀՀ կառավարություն և հրապարակում</w:t>
            </w:r>
          </w:p>
          <w:p w:rsidR="0084615D" w:rsidRPr="0053423A" w:rsidRDefault="0084615D" w:rsidP="00A67858">
            <w:pPr>
              <w:pStyle w:val="NormalWeb"/>
              <w:tabs>
                <w:tab w:val="left" w:pos="450"/>
                <w:tab w:val="left" w:pos="630"/>
                <w:tab w:val="left" w:pos="720"/>
                <w:tab w:val="left" w:pos="1800"/>
              </w:tabs>
              <w:spacing w:before="0" w:beforeAutospacing="0" w:after="0" w:afterAutospacing="0" w:line="276" w:lineRule="auto"/>
              <w:ind w:left="1080" w:right="113"/>
              <w:jc w:val="both"/>
              <w:rPr>
                <w:rFonts w:ascii="GHEA Grapalat" w:hAnsi="GHEA Grapalat" w:cs="Sylfaen"/>
                <w:b/>
                <w:i/>
                <w:sz w:val="20"/>
                <w:szCs w:val="20"/>
                <w:u w:val="single"/>
                <w:lang w:val="hy-AM"/>
              </w:rPr>
            </w:pPr>
          </w:p>
          <w:p w:rsidR="0084615D" w:rsidRPr="0053423A" w:rsidRDefault="0084615D" w:rsidP="001F6D5D">
            <w:pPr>
              <w:pStyle w:val="ListParagraph"/>
              <w:numPr>
                <w:ilvl w:val="0"/>
                <w:numId w:val="268"/>
              </w:numPr>
              <w:spacing w:after="0" w:line="276" w:lineRule="auto"/>
              <w:ind w:firstLine="90"/>
              <w:jc w:val="both"/>
              <w:rPr>
                <w:sz w:val="20"/>
                <w:szCs w:val="20"/>
                <w:lang w:val="af-ZA"/>
              </w:rPr>
            </w:pPr>
            <w:r w:rsidRPr="0053423A">
              <w:rPr>
                <w:rFonts w:eastAsia="Times New Roman" w:cs="Sylfaen"/>
                <w:b/>
                <w:sz w:val="20"/>
                <w:szCs w:val="20"/>
                <w:lang w:val="hy-AM"/>
              </w:rPr>
              <w:t>Միջոցառման</w:t>
            </w:r>
            <w:r w:rsidRPr="0053423A">
              <w:rPr>
                <w:rFonts w:eastAsia="Times New Roman"/>
                <w:b/>
                <w:sz w:val="20"/>
                <w:szCs w:val="20"/>
                <w:lang w:val="af-ZA"/>
              </w:rPr>
              <w:t xml:space="preserve"> </w:t>
            </w:r>
            <w:r w:rsidRPr="0053423A">
              <w:rPr>
                <w:rFonts w:eastAsia="Times New Roman" w:cs="Sylfaen"/>
                <w:b/>
                <w:sz w:val="20"/>
                <w:szCs w:val="20"/>
                <w:lang w:val="hy-AM"/>
              </w:rPr>
              <w:t>իրականացման</w:t>
            </w:r>
            <w:r w:rsidRPr="0053423A">
              <w:rPr>
                <w:rFonts w:eastAsia="Times New Roman"/>
                <w:b/>
                <w:sz w:val="20"/>
                <w:szCs w:val="20"/>
                <w:lang w:val="af-ZA"/>
              </w:rPr>
              <w:t xml:space="preserve"> </w:t>
            </w:r>
            <w:r w:rsidRPr="0053423A">
              <w:rPr>
                <w:rFonts w:eastAsia="Times New Roman" w:cs="Sylfae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նպատակը</w:t>
            </w:r>
          </w:p>
          <w:p w:rsidR="0084615D" w:rsidRPr="0053423A" w:rsidRDefault="0084615D" w:rsidP="00A67858">
            <w:pPr>
              <w:tabs>
                <w:tab w:val="left" w:pos="90"/>
              </w:tabs>
              <w:spacing w:after="0" w:line="276" w:lineRule="auto"/>
              <w:ind w:right="113"/>
              <w:jc w:val="both"/>
              <w:outlineLvl w:val="0"/>
              <w:rPr>
                <w:rFonts w:cs="Sylfaen"/>
                <w:sz w:val="20"/>
                <w:szCs w:val="20"/>
                <w:lang w:val="hy-AM"/>
              </w:rPr>
            </w:pPr>
            <w:r w:rsidRPr="0053423A">
              <w:rPr>
                <w:rFonts w:cs="Sylfaen"/>
                <w:sz w:val="20"/>
                <w:szCs w:val="20"/>
                <w:lang w:val="hy-AM"/>
              </w:rPr>
              <w:t xml:space="preserve">Հայաստանի Հանրապետությունը 2016 թվականից հանդիսանալով ԱՃԹՆ-ն թեկնածու անդամ, պարտավորություն է ստանձնել կատարել ԱՃԹՆ–ի 2016թ. Ստանդարտի պահանջները, որի 4.8 կետի պահանջի համաձայն ԱՃԹՆ իրականացնող երկրները  տարեկան կտրվածքով պետք է հրապարակեն ազգայն զեկույց՝ հասանելի դարձնելով հանքարդյունաբերության ոլորտի վերաբերյալ համապարփակ տեղեկատվությունը: </w:t>
            </w:r>
          </w:p>
          <w:p w:rsidR="0084615D" w:rsidRPr="0053423A" w:rsidRDefault="00795500" w:rsidP="001F6D5D">
            <w:pPr>
              <w:pStyle w:val="ListParagraph"/>
              <w:numPr>
                <w:ilvl w:val="1"/>
                <w:numId w:val="269"/>
              </w:numPr>
              <w:tabs>
                <w:tab w:val="left" w:pos="900"/>
                <w:tab w:val="left" w:pos="1620"/>
              </w:tabs>
              <w:spacing w:after="0" w:line="276" w:lineRule="auto"/>
              <w:jc w:val="both"/>
              <w:rPr>
                <w:rFonts w:eastAsia="Times New Roman"/>
                <w:b/>
                <w:sz w:val="20"/>
                <w:szCs w:val="20"/>
                <w:lang w:val="af-ZA"/>
              </w:rPr>
            </w:pPr>
            <w:r w:rsidRPr="0053423A">
              <w:rPr>
                <w:rFonts w:eastAsia="Times New Roman" w:cs="Sylfaen"/>
                <w:b/>
                <w:sz w:val="20"/>
                <w:szCs w:val="20"/>
                <w:lang w:val="hy-AM"/>
              </w:rPr>
              <w:t>Կ</w:t>
            </w:r>
            <w:r w:rsidR="0084615D" w:rsidRPr="0053423A">
              <w:rPr>
                <w:rFonts w:eastAsia="Times New Roman" w:cs="Sylfaen"/>
                <w:b/>
                <w:sz w:val="20"/>
                <w:szCs w:val="20"/>
                <w:lang w:val="hy-AM"/>
              </w:rPr>
              <w:t>արգավորման</w:t>
            </w:r>
            <w:r w:rsidR="0084615D" w:rsidRPr="0053423A">
              <w:rPr>
                <w:rFonts w:eastAsia="Times New Roman"/>
                <w:b/>
                <w:sz w:val="20"/>
                <w:szCs w:val="20"/>
                <w:lang w:val="af-ZA"/>
              </w:rPr>
              <w:t xml:space="preserve"> </w:t>
            </w:r>
            <w:r w:rsidR="0084615D" w:rsidRPr="0053423A">
              <w:rPr>
                <w:rFonts w:eastAsia="Times New Roman" w:cs="Sylfaen"/>
                <w:b/>
                <w:sz w:val="20"/>
                <w:szCs w:val="20"/>
                <w:lang w:val="hy-AM"/>
              </w:rPr>
              <w:t>հարաբերությունների</w:t>
            </w:r>
            <w:r w:rsidR="0084615D" w:rsidRPr="0053423A">
              <w:rPr>
                <w:rFonts w:eastAsia="Times New Roman"/>
                <w:b/>
                <w:sz w:val="20"/>
                <w:szCs w:val="20"/>
                <w:lang w:val="af-ZA"/>
              </w:rPr>
              <w:t xml:space="preserve"> </w:t>
            </w:r>
            <w:r w:rsidR="0084615D" w:rsidRPr="0053423A">
              <w:rPr>
                <w:rFonts w:eastAsia="Times New Roman" w:cs="Sylfaen"/>
                <w:b/>
                <w:sz w:val="20"/>
                <w:szCs w:val="20"/>
                <w:lang w:val="hy-AM"/>
              </w:rPr>
              <w:t>ներկա</w:t>
            </w:r>
            <w:r w:rsidR="0084615D" w:rsidRPr="0053423A">
              <w:rPr>
                <w:rFonts w:eastAsia="Times New Roman"/>
                <w:b/>
                <w:sz w:val="20"/>
                <w:szCs w:val="20"/>
                <w:lang w:val="af-ZA"/>
              </w:rPr>
              <w:t xml:space="preserve"> </w:t>
            </w:r>
            <w:r w:rsidR="0084615D" w:rsidRPr="0053423A">
              <w:rPr>
                <w:rFonts w:eastAsia="Times New Roman" w:cs="Sylfaen"/>
                <w:b/>
                <w:sz w:val="20"/>
                <w:szCs w:val="20"/>
                <w:lang w:val="hy-AM"/>
              </w:rPr>
              <w:t>վիճակը</w:t>
            </w:r>
            <w:r w:rsidR="0084615D" w:rsidRPr="0053423A">
              <w:rPr>
                <w:rFonts w:eastAsia="Times New Roman"/>
                <w:b/>
                <w:sz w:val="20"/>
                <w:szCs w:val="20"/>
                <w:lang w:val="af-ZA"/>
              </w:rPr>
              <w:t xml:space="preserve"> </w:t>
            </w:r>
            <w:r w:rsidR="0084615D" w:rsidRPr="0053423A">
              <w:rPr>
                <w:rFonts w:eastAsia="Times New Roman" w:cs="Sylfaen"/>
                <w:b/>
                <w:sz w:val="20"/>
                <w:szCs w:val="20"/>
                <w:lang w:val="hy-AM"/>
              </w:rPr>
              <w:t>և</w:t>
            </w:r>
            <w:r w:rsidR="0084615D" w:rsidRPr="0053423A">
              <w:rPr>
                <w:rFonts w:eastAsia="Times New Roman"/>
                <w:b/>
                <w:sz w:val="20"/>
                <w:szCs w:val="20"/>
                <w:lang w:val="af-ZA"/>
              </w:rPr>
              <w:t xml:space="preserve"> </w:t>
            </w:r>
            <w:r w:rsidR="0084615D" w:rsidRPr="0053423A">
              <w:rPr>
                <w:rFonts w:eastAsia="Times New Roman" w:cs="Sylfaen"/>
                <w:b/>
                <w:sz w:val="20"/>
                <w:szCs w:val="20"/>
                <w:lang w:val="hy-AM"/>
              </w:rPr>
              <w:t>առկա</w:t>
            </w:r>
            <w:r w:rsidR="0084615D" w:rsidRPr="0053423A">
              <w:rPr>
                <w:rFonts w:eastAsia="Times New Roman"/>
                <w:b/>
                <w:sz w:val="20"/>
                <w:szCs w:val="20"/>
                <w:lang w:val="af-ZA"/>
              </w:rPr>
              <w:t xml:space="preserve"> </w:t>
            </w:r>
            <w:r w:rsidR="0084615D" w:rsidRPr="0053423A">
              <w:rPr>
                <w:rFonts w:eastAsia="Times New Roman" w:cs="Sylfaen"/>
                <w:b/>
                <w:sz w:val="20"/>
                <w:szCs w:val="20"/>
                <w:lang w:val="hy-AM"/>
              </w:rPr>
              <w:t>խնդիրները</w:t>
            </w:r>
          </w:p>
          <w:p w:rsidR="0084615D" w:rsidRPr="0053423A" w:rsidRDefault="0084615D" w:rsidP="00A67858">
            <w:pPr>
              <w:tabs>
                <w:tab w:val="left" w:pos="90"/>
              </w:tabs>
              <w:spacing w:after="0" w:line="276" w:lineRule="auto"/>
              <w:jc w:val="both"/>
              <w:rPr>
                <w:rFonts w:eastAsia="Times New Roman"/>
                <w:sz w:val="20"/>
                <w:szCs w:val="20"/>
                <w:lang w:val="af-ZA"/>
              </w:rPr>
            </w:pPr>
            <w:r w:rsidRPr="0053423A">
              <w:rPr>
                <w:rFonts w:cs="Sylfaen"/>
                <w:noProof/>
                <w:sz w:val="20"/>
                <w:szCs w:val="20"/>
                <w:lang w:val="hy-AM"/>
              </w:rPr>
              <w:t>Ա</w:t>
            </w:r>
            <w:r w:rsidRPr="0053423A">
              <w:rPr>
                <w:rFonts w:cs="Sylfaen"/>
                <w:noProof/>
                <w:sz w:val="20"/>
                <w:szCs w:val="20"/>
                <w:lang w:val="af-ZA"/>
              </w:rPr>
              <w:t>ՃԹՆ</w:t>
            </w:r>
            <w:r w:rsidRPr="0053423A">
              <w:rPr>
                <w:rFonts w:cs="Sylfaen"/>
                <w:noProof/>
                <w:sz w:val="20"/>
                <w:szCs w:val="20"/>
                <w:lang w:val="hy-AM"/>
              </w:rPr>
              <w:t xml:space="preserve">–ի </w:t>
            </w:r>
            <w:r w:rsidRPr="0053423A">
              <w:rPr>
                <w:rFonts w:cs="Sylfaen"/>
                <w:noProof/>
                <w:sz w:val="20"/>
                <w:szCs w:val="20"/>
                <w:lang w:val="af-ZA"/>
              </w:rPr>
              <w:t>2016թ. Ստանդարտի պահանջներ</w:t>
            </w:r>
            <w:r w:rsidRPr="0053423A">
              <w:rPr>
                <w:rFonts w:cs="Sylfaen"/>
                <w:noProof/>
                <w:sz w:val="20"/>
                <w:szCs w:val="20"/>
              </w:rPr>
              <w:t>ի</w:t>
            </w:r>
            <w:r w:rsidRPr="0053423A">
              <w:rPr>
                <w:rFonts w:cs="Sylfaen"/>
                <w:noProof/>
                <w:sz w:val="20"/>
                <w:szCs w:val="20"/>
                <w:lang w:val="af-ZA"/>
              </w:rPr>
              <w:t xml:space="preserve"> </w:t>
            </w:r>
            <w:r w:rsidRPr="0053423A">
              <w:rPr>
                <w:rFonts w:cs="Sylfaen"/>
                <w:noProof/>
                <w:sz w:val="20"/>
                <w:szCs w:val="20"/>
              </w:rPr>
              <w:t>կատարում</w:t>
            </w:r>
            <w:r w:rsidRPr="0053423A">
              <w:rPr>
                <w:rFonts w:cs="Sylfaen"/>
                <w:noProof/>
                <w:sz w:val="20"/>
                <w:szCs w:val="20"/>
                <w:lang w:val="af-ZA"/>
              </w:rPr>
              <w:t xml:space="preserve">, </w:t>
            </w:r>
            <w:r w:rsidRPr="0053423A">
              <w:rPr>
                <w:rFonts w:cs="Sylfaen"/>
                <w:noProof/>
                <w:sz w:val="20"/>
                <w:szCs w:val="20"/>
              </w:rPr>
              <w:t>որը</w:t>
            </w:r>
            <w:r w:rsidRPr="0053423A">
              <w:rPr>
                <w:rFonts w:cs="Sylfaen"/>
                <w:noProof/>
                <w:sz w:val="20"/>
                <w:szCs w:val="20"/>
                <w:lang w:val="af-ZA"/>
              </w:rPr>
              <w:t xml:space="preserve"> </w:t>
            </w:r>
            <w:r w:rsidRPr="0053423A">
              <w:rPr>
                <w:rFonts w:cs="Sylfaen"/>
                <w:noProof/>
                <w:sz w:val="20"/>
                <w:szCs w:val="20"/>
              </w:rPr>
              <w:t>հնարավորություն</w:t>
            </w:r>
            <w:r w:rsidRPr="0053423A">
              <w:rPr>
                <w:rFonts w:cs="Sylfaen"/>
                <w:noProof/>
                <w:sz w:val="20"/>
                <w:szCs w:val="20"/>
                <w:lang w:val="af-ZA"/>
              </w:rPr>
              <w:t xml:space="preserve"> </w:t>
            </w:r>
            <w:r w:rsidRPr="0053423A">
              <w:rPr>
                <w:rFonts w:cs="Sylfaen"/>
                <w:noProof/>
                <w:sz w:val="20"/>
                <w:szCs w:val="20"/>
              </w:rPr>
              <w:t>կտա</w:t>
            </w:r>
            <w:r w:rsidRPr="0053423A">
              <w:rPr>
                <w:rFonts w:cs="Sylfaen"/>
                <w:noProof/>
                <w:sz w:val="20"/>
                <w:szCs w:val="20"/>
                <w:lang w:val="af-ZA"/>
              </w:rPr>
              <w:t xml:space="preserve"> </w:t>
            </w:r>
            <w:r w:rsidRPr="0053423A">
              <w:rPr>
                <w:rFonts w:cs="Sylfaen"/>
                <w:noProof/>
                <w:sz w:val="20"/>
                <w:szCs w:val="20"/>
                <w:lang w:val="hy-AM"/>
              </w:rPr>
              <w:t>ստան</w:t>
            </w:r>
            <w:r w:rsidRPr="0053423A">
              <w:rPr>
                <w:rFonts w:cs="Sylfaen"/>
                <w:noProof/>
                <w:sz w:val="20"/>
                <w:szCs w:val="20"/>
                <w:lang w:val="af-ZA"/>
              </w:rPr>
              <w:t>ալու</w:t>
            </w:r>
            <w:r w:rsidRPr="0053423A">
              <w:rPr>
                <w:rFonts w:cs="Arian AMU"/>
                <w:color w:val="4A4A4A"/>
                <w:sz w:val="20"/>
                <w:szCs w:val="20"/>
                <w:lang w:val="af-ZA"/>
              </w:rPr>
              <w:t xml:space="preserve"> </w:t>
            </w:r>
            <w:r w:rsidRPr="0053423A">
              <w:rPr>
                <w:rFonts w:cs="Sylfaen"/>
                <w:noProof/>
                <w:sz w:val="20"/>
                <w:szCs w:val="20"/>
              </w:rPr>
              <w:t>համապատասխանող</w:t>
            </w:r>
            <w:r w:rsidRPr="0053423A">
              <w:rPr>
                <w:rFonts w:cs="Sylfaen"/>
                <w:noProof/>
                <w:sz w:val="20"/>
                <w:szCs w:val="20"/>
                <w:lang w:val="af-ZA"/>
              </w:rPr>
              <w:t xml:space="preserve"> </w:t>
            </w:r>
            <w:r w:rsidRPr="0053423A">
              <w:rPr>
                <w:rFonts w:cs="Sylfaen"/>
                <w:noProof/>
                <w:sz w:val="20"/>
                <w:szCs w:val="20"/>
              </w:rPr>
              <w:t>երկրի</w:t>
            </w:r>
            <w:r w:rsidRPr="0053423A">
              <w:rPr>
                <w:rFonts w:cs="Sylfaen"/>
                <w:noProof/>
                <w:sz w:val="20"/>
                <w:szCs w:val="20"/>
                <w:lang w:val="af-ZA"/>
              </w:rPr>
              <w:t xml:space="preserve"> </w:t>
            </w:r>
            <w:r w:rsidRPr="0053423A">
              <w:rPr>
                <w:rFonts w:cs="Sylfaen"/>
                <w:noProof/>
                <w:sz w:val="20"/>
                <w:szCs w:val="20"/>
              </w:rPr>
              <w:t>կարգավիճակ</w:t>
            </w:r>
            <w:r w:rsidRPr="0053423A">
              <w:rPr>
                <w:rFonts w:cs="Sylfaen"/>
                <w:noProof/>
                <w:sz w:val="20"/>
                <w:szCs w:val="20"/>
                <w:lang w:val="af-ZA"/>
              </w:rPr>
              <w:t xml:space="preserve">: </w:t>
            </w:r>
          </w:p>
          <w:p w:rsidR="0084615D" w:rsidRPr="0053423A" w:rsidRDefault="00795500" w:rsidP="001F6D5D">
            <w:pPr>
              <w:pStyle w:val="ListParagraph"/>
              <w:numPr>
                <w:ilvl w:val="1"/>
                <w:numId w:val="269"/>
              </w:numPr>
              <w:tabs>
                <w:tab w:val="left" w:pos="900"/>
              </w:tabs>
              <w:spacing w:after="0" w:line="276" w:lineRule="auto"/>
              <w:jc w:val="both"/>
              <w:rPr>
                <w:rFonts w:eastAsia="Times New Roman" w:cs="Sylfaen"/>
                <w:b/>
                <w:sz w:val="20"/>
                <w:szCs w:val="20"/>
              </w:rPr>
            </w:pPr>
            <w:r w:rsidRPr="0053423A">
              <w:rPr>
                <w:rFonts w:eastAsia="Times New Roman" w:cs="Sylfaen"/>
                <w:b/>
                <w:sz w:val="20"/>
                <w:szCs w:val="20"/>
              </w:rPr>
              <w:t>Ա</w:t>
            </w:r>
            <w:r w:rsidR="0084615D" w:rsidRPr="0053423A">
              <w:rPr>
                <w:rFonts w:eastAsia="Times New Roman" w:cs="Sylfaen"/>
                <w:b/>
                <w:sz w:val="20"/>
                <w:szCs w:val="20"/>
              </w:rPr>
              <w:t>ռկա</w:t>
            </w:r>
            <w:r w:rsidR="0084615D" w:rsidRPr="0053423A">
              <w:rPr>
                <w:rFonts w:eastAsia="Times New Roman"/>
                <w:b/>
                <w:sz w:val="20"/>
                <w:szCs w:val="20"/>
                <w:lang w:val="af-ZA"/>
              </w:rPr>
              <w:t xml:space="preserve"> </w:t>
            </w:r>
            <w:r w:rsidR="0084615D" w:rsidRPr="0053423A">
              <w:rPr>
                <w:rFonts w:eastAsia="Times New Roman" w:cs="Sylfaen"/>
                <w:b/>
                <w:sz w:val="20"/>
                <w:szCs w:val="20"/>
              </w:rPr>
              <w:t>խնդիրների</w:t>
            </w:r>
            <w:r w:rsidR="0084615D" w:rsidRPr="0053423A">
              <w:rPr>
                <w:rFonts w:eastAsia="Times New Roman"/>
                <w:b/>
                <w:sz w:val="20"/>
                <w:szCs w:val="20"/>
                <w:lang w:val="af-ZA"/>
              </w:rPr>
              <w:t xml:space="preserve"> </w:t>
            </w:r>
            <w:r w:rsidR="0084615D" w:rsidRPr="0053423A">
              <w:rPr>
                <w:rFonts w:eastAsia="Times New Roman" w:cs="Sylfaen"/>
                <w:b/>
                <w:sz w:val="20"/>
                <w:szCs w:val="20"/>
              </w:rPr>
              <w:t>առաջարկվող</w:t>
            </w:r>
            <w:r w:rsidR="0084615D" w:rsidRPr="0053423A">
              <w:rPr>
                <w:rFonts w:eastAsia="Times New Roman"/>
                <w:b/>
                <w:sz w:val="20"/>
                <w:szCs w:val="20"/>
                <w:lang w:val="af-ZA"/>
              </w:rPr>
              <w:t xml:space="preserve"> </w:t>
            </w:r>
            <w:r w:rsidR="0084615D" w:rsidRPr="0053423A">
              <w:rPr>
                <w:rFonts w:eastAsia="Times New Roman" w:cs="Sylfaen"/>
                <w:b/>
                <w:sz w:val="20"/>
                <w:szCs w:val="20"/>
              </w:rPr>
              <w:t>լուծումները</w:t>
            </w:r>
          </w:p>
          <w:p w:rsidR="0084615D" w:rsidRPr="0053423A" w:rsidRDefault="0084615D" w:rsidP="00A67858">
            <w:pPr>
              <w:spacing w:after="0" w:line="276" w:lineRule="auto"/>
              <w:jc w:val="both"/>
              <w:rPr>
                <w:rFonts w:cs="Sylfaen"/>
                <w:noProof/>
                <w:sz w:val="20"/>
                <w:szCs w:val="20"/>
                <w:lang w:val="af-ZA"/>
              </w:rPr>
            </w:pPr>
            <w:r w:rsidRPr="0053423A">
              <w:rPr>
                <w:rFonts w:cs="Sylfaen"/>
                <w:noProof/>
                <w:sz w:val="20"/>
                <w:szCs w:val="20"/>
                <w:lang w:val="hy-AM"/>
              </w:rPr>
              <w:t>Ա</w:t>
            </w:r>
            <w:r w:rsidRPr="0053423A">
              <w:rPr>
                <w:rFonts w:cs="Sylfaen"/>
                <w:noProof/>
                <w:sz w:val="20"/>
                <w:szCs w:val="20"/>
                <w:lang w:val="af-ZA"/>
              </w:rPr>
              <w:t>ՃԹՆ</w:t>
            </w:r>
            <w:r w:rsidRPr="0053423A">
              <w:rPr>
                <w:rFonts w:cs="Sylfaen"/>
                <w:noProof/>
                <w:sz w:val="20"/>
                <w:szCs w:val="20"/>
                <w:lang w:val="hy-AM"/>
              </w:rPr>
              <w:t xml:space="preserve">–ի </w:t>
            </w:r>
            <w:r w:rsidRPr="0053423A">
              <w:rPr>
                <w:rFonts w:cs="Sylfaen"/>
                <w:noProof/>
                <w:sz w:val="20"/>
                <w:szCs w:val="20"/>
                <w:lang w:val="af-ZA"/>
              </w:rPr>
              <w:t>2016թ. Ստանդարտի պահանջներ</w:t>
            </w:r>
            <w:r w:rsidRPr="0053423A">
              <w:rPr>
                <w:rFonts w:cs="Sylfaen"/>
                <w:noProof/>
                <w:sz w:val="20"/>
                <w:szCs w:val="20"/>
              </w:rPr>
              <w:t>ի</w:t>
            </w:r>
            <w:r w:rsidRPr="0053423A">
              <w:rPr>
                <w:rFonts w:cs="Sylfaen"/>
                <w:noProof/>
                <w:sz w:val="20"/>
                <w:szCs w:val="20"/>
                <w:lang w:val="af-ZA"/>
              </w:rPr>
              <w:t xml:space="preserve"> </w:t>
            </w:r>
            <w:r w:rsidRPr="0053423A">
              <w:rPr>
                <w:rFonts w:cs="Sylfaen"/>
                <w:noProof/>
                <w:sz w:val="20"/>
                <w:szCs w:val="20"/>
              </w:rPr>
              <w:t>կատարման</w:t>
            </w:r>
            <w:r w:rsidRPr="0053423A">
              <w:rPr>
                <w:rFonts w:cs="Sylfaen"/>
                <w:noProof/>
                <w:sz w:val="20"/>
                <w:szCs w:val="20"/>
                <w:lang w:val="af-ZA"/>
              </w:rPr>
              <w:t xml:space="preserve"> </w:t>
            </w:r>
            <w:r w:rsidRPr="0053423A">
              <w:rPr>
                <w:rFonts w:cs="Sylfaen"/>
                <w:noProof/>
                <w:sz w:val="20"/>
                <w:szCs w:val="20"/>
              </w:rPr>
              <w:t>ապահովում:</w:t>
            </w:r>
            <w:r w:rsidRPr="0053423A">
              <w:rPr>
                <w:rFonts w:cs="Sylfaen"/>
                <w:noProof/>
                <w:sz w:val="20"/>
                <w:szCs w:val="20"/>
                <w:lang w:val="af-ZA"/>
              </w:rPr>
              <w:t xml:space="preserve"> </w:t>
            </w:r>
          </w:p>
          <w:p w:rsidR="0084615D" w:rsidRPr="0053423A" w:rsidRDefault="0084615D" w:rsidP="00A67858">
            <w:pPr>
              <w:spacing w:after="0" w:line="276" w:lineRule="auto"/>
              <w:ind w:left="1440" w:hanging="360"/>
              <w:jc w:val="both"/>
              <w:rPr>
                <w:rFonts w:eastAsia="Times New Roman"/>
                <w:b/>
                <w:sz w:val="20"/>
                <w:szCs w:val="20"/>
                <w:lang w:val="af-ZA"/>
              </w:rPr>
            </w:pPr>
            <w:r w:rsidRPr="0053423A">
              <w:rPr>
                <w:rFonts w:eastAsia="Times New Roman"/>
                <w:b/>
                <w:sz w:val="20"/>
                <w:szCs w:val="20"/>
                <w:lang w:val="af-ZA"/>
              </w:rPr>
              <w:t>2.</w:t>
            </w:r>
            <w:r w:rsidRPr="0053423A">
              <w:rPr>
                <w:rFonts w:ascii="Calibri" w:eastAsia="Times New Roman" w:hAnsi="Calibri" w:cs="Calibri"/>
                <w:sz w:val="20"/>
                <w:szCs w:val="20"/>
                <w:lang w:val="af-ZA"/>
              </w:rPr>
              <w:t> </w:t>
            </w:r>
            <w:r w:rsidRPr="0053423A">
              <w:rPr>
                <w:rFonts w:eastAsia="Times New Roman" w:cs="Sylfaen"/>
                <w:b/>
                <w:sz w:val="20"/>
                <w:szCs w:val="20"/>
              </w:rPr>
              <w:t>Միջոցառման</w:t>
            </w:r>
            <w:r w:rsidRPr="0053423A">
              <w:rPr>
                <w:rFonts w:eastAsia="Times New Roman"/>
                <w:b/>
                <w:sz w:val="20"/>
                <w:szCs w:val="20"/>
                <w:lang w:val="af-ZA"/>
              </w:rPr>
              <w:t xml:space="preserve"> </w:t>
            </w:r>
            <w:r w:rsidRPr="0053423A">
              <w:rPr>
                <w:rFonts w:eastAsia="Times New Roman" w:cs="Sylfaen"/>
                <w:b/>
                <w:sz w:val="20"/>
                <w:szCs w:val="20"/>
              </w:rPr>
              <w:t>իրակա</w:t>
            </w:r>
            <w:r w:rsidRPr="0053423A">
              <w:rPr>
                <w:rFonts w:eastAsia="Times New Roman" w:cs="Sylfaen"/>
                <w:b/>
                <w:sz w:val="20"/>
                <w:szCs w:val="20"/>
                <w:lang w:val="ru-RU"/>
              </w:rPr>
              <w:t>նա</w:t>
            </w:r>
            <w:r w:rsidRPr="0053423A">
              <w:rPr>
                <w:rFonts w:eastAsia="Times New Roman" w:cs="Sylfaen"/>
                <w:b/>
                <w:sz w:val="20"/>
                <w:szCs w:val="20"/>
              </w:rPr>
              <w:t>ցումից</w:t>
            </w:r>
            <w:r w:rsidRPr="0053423A">
              <w:rPr>
                <w:rFonts w:eastAsia="Times New Roman"/>
                <w:b/>
                <w:sz w:val="20"/>
                <w:szCs w:val="20"/>
                <w:lang w:val="af-ZA"/>
              </w:rPr>
              <w:t xml:space="preserve"> </w:t>
            </w:r>
            <w:r w:rsidRPr="0053423A">
              <w:rPr>
                <w:rFonts w:eastAsia="Times New Roman" w:cs="Sylfaen"/>
                <w:b/>
                <w:sz w:val="20"/>
                <w:szCs w:val="20"/>
              </w:rPr>
              <w:t>ակնկալվող</w:t>
            </w:r>
            <w:r w:rsidRPr="0053423A">
              <w:rPr>
                <w:rFonts w:eastAsia="Times New Roman"/>
                <w:b/>
                <w:sz w:val="20"/>
                <w:szCs w:val="20"/>
                <w:lang w:val="af-ZA"/>
              </w:rPr>
              <w:t xml:space="preserve"> </w:t>
            </w:r>
            <w:r w:rsidRPr="0053423A">
              <w:rPr>
                <w:rFonts w:eastAsia="Times New Roman" w:cs="Sylfaen"/>
                <w:b/>
                <w:sz w:val="20"/>
                <w:szCs w:val="20"/>
              </w:rPr>
              <w:t>արդյունքը</w:t>
            </w:r>
          </w:p>
          <w:p w:rsidR="0084615D" w:rsidRPr="0053423A" w:rsidRDefault="0084615D" w:rsidP="00A67858">
            <w:pPr>
              <w:tabs>
                <w:tab w:val="left" w:pos="360"/>
                <w:tab w:val="left" w:pos="900"/>
              </w:tabs>
              <w:spacing w:after="0" w:line="276" w:lineRule="auto"/>
              <w:jc w:val="both"/>
              <w:rPr>
                <w:rFonts w:cs="Arial"/>
                <w:sz w:val="20"/>
                <w:szCs w:val="20"/>
                <w:lang w:val="af-ZA"/>
              </w:rPr>
            </w:pPr>
            <w:r w:rsidRPr="0053423A">
              <w:rPr>
                <w:rFonts w:cs="Sylfaen"/>
                <w:sz w:val="20"/>
                <w:szCs w:val="20"/>
                <w:lang w:val="hy-AM"/>
              </w:rPr>
              <w:t>Հիմք</w:t>
            </w:r>
            <w:r w:rsidRPr="0053423A">
              <w:rPr>
                <w:sz w:val="20"/>
                <w:szCs w:val="20"/>
                <w:lang w:val="hy-AM"/>
              </w:rPr>
              <w:t xml:space="preserve"> </w:t>
            </w:r>
            <w:r w:rsidRPr="0053423A">
              <w:rPr>
                <w:rFonts w:cs="Sylfaen"/>
                <w:sz w:val="20"/>
                <w:szCs w:val="20"/>
                <w:lang w:val="hy-AM"/>
              </w:rPr>
              <w:t>կդրվի</w:t>
            </w:r>
            <w:r w:rsidRPr="0053423A">
              <w:rPr>
                <w:sz w:val="20"/>
                <w:szCs w:val="20"/>
                <w:lang w:val="hy-AM"/>
              </w:rPr>
              <w:t xml:space="preserve"> </w:t>
            </w:r>
            <w:r w:rsidRPr="0053423A">
              <w:rPr>
                <w:rFonts w:cs="Sylfaen"/>
                <w:sz w:val="20"/>
                <w:szCs w:val="20"/>
                <w:lang w:val="hy-AM"/>
              </w:rPr>
              <w:t>առավել</w:t>
            </w:r>
            <w:r w:rsidRPr="0053423A">
              <w:rPr>
                <w:sz w:val="20"/>
                <w:szCs w:val="20"/>
                <w:lang w:val="hy-AM"/>
              </w:rPr>
              <w:t xml:space="preserve"> </w:t>
            </w:r>
            <w:r w:rsidRPr="0053423A">
              <w:rPr>
                <w:rFonts w:cs="Sylfaen"/>
                <w:sz w:val="20"/>
                <w:szCs w:val="20"/>
                <w:lang w:val="hy-AM"/>
              </w:rPr>
              <w:t>թափանցիկ</w:t>
            </w:r>
            <w:r w:rsidRPr="0053423A">
              <w:rPr>
                <w:sz w:val="20"/>
                <w:szCs w:val="20"/>
                <w:lang w:val="hy-AM"/>
              </w:rPr>
              <w:t xml:space="preserve">, </w:t>
            </w:r>
            <w:r w:rsidRPr="0053423A">
              <w:rPr>
                <w:rFonts w:cs="Sylfaen"/>
                <w:sz w:val="20"/>
                <w:szCs w:val="20"/>
                <w:lang w:val="hy-AM"/>
              </w:rPr>
              <w:t>հաշվետ</w:t>
            </w:r>
            <w:r w:rsidRPr="0053423A">
              <w:rPr>
                <w:sz w:val="20"/>
                <w:szCs w:val="20"/>
                <w:lang w:val="hy-AM"/>
              </w:rPr>
              <w:softHyphen/>
            </w:r>
            <w:r w:rsidRPr="0053423A">
              <w:rPr>
                <w:rFonts w:cs="Sylfaen"/>
                <w:sz w:val="20"/>
                <w:szCs w:val="20"/>
                <w:lang w:val="hy-AM"/>
              </w:rPr>
              <w:t>վողա</w:t>
            </w:r>
            <w:r w:rsidRPr="0053423A">
              <w:rPr>
                <w:sz w:val="20"/>
                <w:szCs w:val="20"/>
                <w:lang w:val="hy-AM"/>
              </w:rPr>
              <w:softHyphen/>
            </w:r>
            <w:r w:rsidRPr="0053423A">
              <w:rPr>
                <w:rFonts w:cs="Sylfaen"/>
                <w:sz w:val="20"/>
                <w:szCs w:val="20"/>
                <w:lang w:val="hy-AM"/>
              </w:rPr>
              <w:t>կան</w:t>
            </w:r>
            <w:r w:rsidRPr="0053423A">
              <w:rPr>
                <w:sz w:val="20"/>
                <w:szCs w:val="20"/>
                <w:lang w:val="hy-AM"/>
              </w:rPr>
              <w:t xml:space="preserve"> </w:t>
            </w:r>
            <w:r w:rsidRPr="0053423A">
              <w:rPr>
                <w:rFonts w:cs="Sylfaen"/>
                <w:sz w:val="20"/>
                <w:szCs w:val="20"/>
                <w:lang w:val="hy-AM"/>
              </w:rPr>
              <w:t>պետական</w:t>
            </w:r>
            <w:r w:rsidRPr="0053423A">
              <w:rPr>
                <w:sz w:val="20"/>
                <w:szCs w:val="20"/>
                <w:lang w:val="hy-AM"/>
              </w:rPr>
              <w:t xml:space="preserve"> </w:t>
            </w:r>
            <w:r w:rsidRPr="0053423A">
              <w:rPr>
                <w:rFonts w:cs="Sylfaen"/>
                <w:sz w:val="20"/>
                <w:szCs w:val="20"/>
                <w:lang w:val="hy-AM"/>
              </w:rPr>
              <w:t>և</w:t>
            </w:r>
            <w:r w:rsidRPr="0053423A">
              <w:rPr>
                <w:sz w:val="20"/>
                <w:szCs w:val="20"/>
                <w:lang w:val="hy-AM"/>
              </w:rPr>
              <w:t xml:space="preserve"> </w:t>
            </w:r>
            <w:r w:rsidRPr="0053423A">
              <w:rPr>
                <w:rFonts w:cs="Sylfaen"/>
                <w:sz w:val="20"/>
                <w:szCs w:val="20"/>
                <w:lang w:val="hy-AM"/>
              </w:rPr>
              <w:t>գործարար</w:t>
            </w:r>
            <w:r w:rsidRPr="0053423A">
              <w:rPr>
                <w:sz w:val="20"/>
                <w:szCs w:val="20"/>
                <w:lang w:val="hy-AM"/>
              </w:rPr>
              <w:t xml:space="preserve"> </w:t>
            </w:r>
            <w:r w:rsidRPr="0053423A">
              <w:rPr>
                <w:rFonts w:cs="Sylfaen"/>
                <w:sz w:val="20"/>
                <w:szCs w:val="20"/>
                <w:lang w:val="hy-AM"/>
              </w:rPr>
              <w:t>համակարգերի</w:t>
            </w:r>
            <w:r w:rsidRPr="0053423A">
              <w:rPr>
                <w:sz w:val="20"/>
                <w:szCs w:val="20"/>
                <w:lang w:val="hy-AM"/>
              </w:rPr>
              <w:t xml:space="preserve"> </w:t>
            </w:r>
            <w:r w:rsidRPr="0053423A">
              <w:rPr>
                <w:rFonts w:cs="Sylfaen"/>
                <w:sz w:val="20"/>
                <w:szCs w:val="20"/>
                <w:lang w:val="hy-AM"/>
              </w:rPr>
              <w:t>ստեղծմանը</w:t>
            </w:r>
            <w:r w:rsidRPr="0053423A">
              <w:rPr>
                <w:sz w:val="20"/>
                <w:szCs w:val="20"/>
                <w:lang w:val="hy-AM"/>
              </w:rPr>
              <w:t xml:space="preserve">, </w:t>
            </w:r>
            <w:r w:rsidRPr="0053423A">
              <w:rPr>
                <w:rFonts w:cs="Sylfaen"/>
                <w:sz w:val="20"/>
                <w:szCs w:val="20"/>
                <w:lang w:val="hy-AM"/>
              </w:rPr>
              <w:t>ինչը</w:t>
            </w:r>
            <w:r w:rsidRPr="0053423A">
              <w:rPr>
                <w:sz w:val="20"/>
                <w:szCs w:val="20"/>
                <w:lang w:val="hy-AM"/>
              </w:rPr>
              <w:t xml:space="preserve"> </w:t>
            </w:r>
            <w:r w:rsidRPr="0053423A">
              <w:rPr>
                <w:rFonts w:cs="Sylfaen"/>
                <w:sz w:val="20"/>
                <w:szCs w:val="20"/>
                <w:lang w:val="hy-AM"/>
              </w:rPr>
              <w:t>խթան</w:t>
            </w:r>
            <w:r w:rsidRPr="0053423A">
              <w:rPr>
                <w:sz w:val="20"/>
                <w:szCs w:val="20"/>
                <w:lang w:val="hy-AM"/>
              </w:rPr>
              <w:t xml:space="preserve"> </w:t>
            </w:r>
            <w:r w:rsidRPr="0053423A">
              <w:rPr>
                <w:rFonts w:cs="Sylfaen"/>
                <w:sz w:val="20"/>
                <w:szCs w:val="20"/>
                <w:lang w:val="hy-AM"/>
              </w:rPr>
              <w:t>կհանդիսանա</w:t>
            </w:r>
            <w:r w:rsidRPr="0053423A">
              <w:rPr>
                <w:sz w:val="20"/>
                <w:szCs w:val="20"/>
                <w:lang w:val="hy-AM"/>
              </w:rPr>
              <w:t xml:space="preserve"> </w:t>
            </w:r>
            <w:r w:rsidRPr="0053423A">
              <w:rPr>
                <w:rFonts w:cs="Sylfaen"/>
                <w:sz w:val="20"/>
                <w:szCs w:val="20"/>
                <w:lang w:val="hy-AM"/>
              </w:rPr>
              <w:t>կառավարության</w:t>
            </w:r>
            <w:r w:rsidRPr="0053423A">
              <w:rPr>
                <w:sz w:val="20"/>
                <w:szCs w:val="20"/>
                <w:lang w:val="hy-AM"/>
              </w:rPr>
              <w:t xml:space="preserve">, </w:t>
            </w:r>
            <w:r w:rsidRPr="0053423A">
              <w:rPr>
                <w:rFonts w:cs="Sylfaen"/>
                <w:sz w:val="20"/>
                <w:szCs w:val="20"/>
                <w:lang w:val="hy-AM"/>
              </w:rPr>
              <w:t>տնտեսության</w:t>
            </w:r>
            <w:r w:rsidRPr="0053423A">
              <w:rPr>
                <w:sz w:val="20"/>
                <w:szCs w:val="20"/>
                <w:lang w:val="hy-AM"/>
              </w:rPr>
              <w:t xml:space="preserve"> </w:t>
            </w:r>
            <w:r w:rsidRPr="0053423A">
              <w:rPr>
                <w:rFonts w:cs="Sylfaen"/>
                <w:sz w:val="20"/>
                <w:szCs w:val="20"/>
                <w:lang w:val="hy-AM"/>
              </w:rPr>
              <w:t>մասնավոր</w:t>
            </w:r>
            <w:r w:rsidRPr="0053423A">
              <w:rPr>
                <w:sz w:val="20"/>
                <w:szCs w:val="20"/>
                <w:lang w:val="hy-AM"/>
              </w:rPr>
              <w:t xml:space="preserve"> </w:t>
            </w:r>
            <w:r w:rsidRPr="0053423A">
              <w:rPr>
                <w:rFonts w:cs="Sylfaen"/>
                <w:sz w:val="20"/>
                <w:szCs w:val="20"/>
                <w:lang w:val="hy-AM"/>
              </w:rPr>
              <w:t>հատվածի</w:t>
            </w:r>
            <w:r w:rsidRPr="0053423A">
              <w:rPr>
                <w:sz w:val="20"/>
                <w:szCs w:val="20"/>
                <w:lang w:val="hy-AM"/>
              </w:rPr>
              <w:t xml:space="preserve"> </w:t>
            </w:r>
            <w:r w:rsidRPr="0053423A">
              <w:rPr>
                <w:rFonts w:cs="Sylfaen"/>
                <w:sz w:val="20"/>
                <w:szCs w:val="20"/>
                <w:lang w:val="hy-AM"/>
              </w:rPr>
              <w:t>և</w:t>
            </w:r>
            <w:r w:rsidRPr="0053423A">
              <w:rPr>
                <w:sz w:val="20"/>
                <w:szCs w:val="20"/>
                <w:lang w:val="hy-AM"/>
              </w:rPr>
              <w:t xml:space="preserve"> </w:t>
            </w:r>
            <w:r w:rsidRPr="0053423A">
              <w:rPr>
                <w:rFonts w:cs="Sylfaen"/>
                <w:sz w:val="20"/>
                <w:szCs w:val="20"/>
                <w:lang w:val="hy-AM"/>
              </w:rPr>
              <w:t>քաղաքա</w:t>
            </w:r>
            <w:r w:rsidRPr="0053423A">
              <w:rPr>
                <w:sz w:val="20"/>
                <w:szCs w:val="20"/>
                <w:lang w:val="hy-AM"/>
              </w:rPr>
              <w:softHyphen/>
            </w:r>
            <w:r w:rsidRPr="0053423A">
              <w:rPr>
                <w:rFonts w:cs="Sylfaen"/>
                <w:sz w:val="20"/>
                <w:szCs w:val="20"/>
                <w:lang w:val="hy-AM"/>
              </w:rPr>
              <w:t>ցիական</w:t>
            </w:r>
            <w:r w:rsidRPr="0053423A">
              <w:rPr>
                <w:sz w:val="20"/>
                <w:szCs w:val="20"/>
                <w:lang w:val="hy-AM"/>
              </w:rPr>
              <w:t xml:space="preserve"> </w:t>
            </w:r>
            <w:r w:rsidRPr="0053423A">
              <w:rPr>
                <w:rFonts w:cs="Sylfaen"/>
                <w:sz w:val="20"/>
                <w:szCs w:val="20"/>
                <w:lang w:val="hy-AM"/>
              </w:rPr>
              <w:t>հասարակության</w:t>
            </w:r>
            <w:r w:rsidRPr="0053423A">
              <w:rPr>
                <w:sz w:val="20"/>
                <w:szCs w:val="20"/>
                <w:lang w:val="hy-AM"/>
              </w:rPr>
              <w:t xml:space="preserve"> </w:t>
            </w:r>
            <w:r w:rsidRPr="0053423A">
              <w:rPr>
                <w:rFonts w:cs="Sylfaen"/>
                <w:sz w:val="20"/>
                <w:szCs w:val="20"/>
                <w:lang w:val="hy-AM"/>
              </w:rPr>
              <w:t>միջև</w:t>
            </w:r>
            <w:r w:rsidRPr="0053423A">
              <w:rPr>
                <w:sz w:val="20"/>
                <w:szCs w:val="20"/>
                <w:lang w:val="hy-AM"/>
              </w:rPr>
              <w:t xml:space="preserve"> </w:t>
            </w:r>
            <w:r w:rsidRPr="0053423A">
              <w:rPr>
                <w:rFonts w:cs="Sylfaen"/>
                <w:sz w:val="20"/>
                <w:szCs w:val="20"/>
                <w:lang w:val="hy-AM"/>
              </w:rPr>
              <w:t>երկխոսության</w:t>
            </w:r>
            <w:r w:rsidRPr="0053423A">
              <w:rPr>
                <w:sz w:val="20"/>
                <w:szCs w:val="20"/>
                <w:lang w:val="hy-AM"/>
              </w:rPr>
              <w:t xml:space="preserve"> </w:t>
            </w:r>
            <w:r w:rsidRPr="0053423A">
              <w:rPr>
                <w:rFonts w:cs="Sylfaen"/>
                <w:sz w:val="20"/>
                <w:szCs w:val="20"/>
                <w:lang w:val="hy-AM"/>
              </w:rPr>
              <w:t>կայացմանը</w:t>
            </w:r>
            <w:r w:rsidRPr="0053423A">
              <w:rPr>
                <w:sz w:val="20"/>
                <w:szCs w:val="20"/>
                <w:lang w:val="hy-AM"/>
              </w:rPr>
              <w:t>:</w:t>
            </w:r>
          </w:p>
          <w:p w:rsidR="0084615D" w:rsidRPr="0053423A" w:rsidRDefault="0084615D" w:rsidP="00A67858">
            <w:pPr>
              <w:spacing w:after="0" w:line="276" w:lineRule="auto"/>
              <w:jc w:val="center"/>
              <w:rPr>
                <w:rFonts w:eastAsia="Times New Roman"/>
                <w:b/>
                <w:bCs/>
                <w:sz w:val="20"/>
                <w:szCs w:val="20"/>
                <w:lang w:val="hy-AM"/>
              </w:rPr>
            </w:pP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12</w:t>
            </w:r>
          </w:p>
        </w:tc>
        <w:tc>
          <w:tcPr>
            <w:tcW w:w="10879" w:type="dxa"/>
            <w:shd w:val="clear" w:color="auto" w:fill="auto"/>
          </w:tcPr>
          <w:p w:rsidR="0084615D" w:rsidRPr="0053423A" w:rsidRDefault="0084615D" w:rsidP="00A67858">
            <w:pPr>
              <w:spacing w:after="0" w:line="276" w:lineRule="auto"/>
              <w:jc w:val="center"/>
              <w:rPr>
                <w:b/>
                <w:sz w:val="20"/>
                <w:szCs w:val="20"/>
                <w:lang w:val="hy-AM"/>
              </w:rPr>
            </w:pPr>
            <w:r w:rsidRPr="0053423A">
              <w:rPr>
                <w:b/>
                <w:sz w:val="20"/>
                <w:szCs w:val="20"/>
                <w:lang w:val="hy-AM"/>
              </w:rPr>
              <w:t>Ընդերքօգտագործման իրավունքով տրամադրված տեղամասերի կոորդինատների ճշգրտում</w:t>
            </w:r>
          </w:p>
          <w:p w:rsidR="0084615D" w:rsidRPr="0053423A" w:rsidRDefault="0084615D" w:rsidP="00A67858">
            <w:pPr>
              <w:spacing w:after="0" w:line="276" w:lineRule="auto"/>
              <w:jc w:val="center"/>
              <w:rPr>
                <w:b/>
                <w:sz w:val="20"/>
                <w:szCs w:val="20"/>
                <w:lang w:val="hy-AM"/>
              </w:rPr>
            </w:pPr>
          </w:p>
          <w:p w:rsidR="0084615D" w:rsidRPr="0053423A" w:rsidRDefault="0084615D" w:rsidP="00A67858">
            <w:pPr>
              <w:pStyle w:val="NormalWeb"/>
              <w:tabs>
                <w:tab w:val="left" w:pos="450"/>
                <w:tab w:val="left" w:pos="630"/>
                <w:tab w:val="left" w:pos="720"/>
              </w:tabs>
              <w:spacing w:before="0" w:beforeAutospacing="0" w:after="0" w:afterAutospacing="0" w:line="276" w:lineRule="auto"/>
              <w:ind w:right="113" w:firstLine="735"/>
              <w:jc w:val="center"/>
              <w:rPr>
                <w:rFonts w:ascii="GHEA Grapalat" w:hAnsi="GHEA Grapalat" w:cs="Sylfaen"/>
                <w:b/>
                <w:noProof/>
                <w:spacing w:val="-8"/>
                <w:sz w:val="20"/>
                <w:szCs w:val="20"/>
                <w:u w:val="single"/>
                <w:lang w:val="hy-AM"/>
              </w:rPr>
            </w:pPr>
            <w:r w:rsidRPr="0053423A">
              <w:rPr>
                <w:rFonts w:ascii="GHEA Grapalat" w:hAnsi="GHEA Grapalat" w:cs="Sylfaen"/>
                <w:b/>
                <w:noProof/>
                <w:spacing w:val="-8"/>
                <w:sz w:val="20"/>
                <w:szCs w:val="20"/>
                <w:u w:val="single"/>
                <w:lang w:val="hy-AM"/>
              </w:rPr>
              <w:t>ՀՀ տարածքում  գործող WGS-84 համաշխարհային գեոդեզիական կոորդիանատային համակարգին համահունչ ընդերքի տեղամասերի կոորդինատների փոփոխության իրականացում</w:t>
            </w:r>
          </w:p>
          <w:p w:rsidR="0084615D" w:rsidRPr="0053423A" w:rsidRDefault="0084615D" w:rsidP="00A67858">
            <w:pPr>
              <w:spacing w:after="0" w:line="276" w:lineRule="auto"/>
              <w:ind w:firstLine="735"/>
              <w:rPr>
                <w:rFonts w:eastAsia="Times New Roman"/>
                <w:b/>
                <w:sz w:val="20"/>
                <w:szCs w:val="20"/>
                <w:lang w:val="af-ZA"/>
              </w:rPr>
            </w:pPr>
            <w:r w:rsidRPr="0053423A">
              <w:rPr>
                <w:rFonts w:eastAsia="Times New Roman" w:cs="Courier New"/>
                <w:b/>
                <w:sz w:val="20"/>
                <w:szCs w:val="20"/>
                <w:lang w:val="af-ZA"/>
              </w:rPr>
              <w:t>1.</w:t>
            </w:r>
            <w:r w:rsidRPr="0053423A">
              <w:rPr>
                <w:rFonts w:ascii="Calibri" w:eastAsia="Times New Roman" w:hAnsi="Calibri" w:cs="Calibri"/>
                <w:b/>
                <w:sz w:val="20"/>
                <w:szCs w:val="20"/>
                <w:lang w:val="af-ZA"/>
              </w:rPr>
              <w:t> </w:t>
            </w:r>
            <w:r w:rsidRPr="0053423A">
              <w:rPr>
                <w:rFonts w:eastAsia="Times New Roman" w:cs="Sylfaen"/>
                <w:b/>
                <w:sz w:val="20"/>
                <w:szCs w:val="20"/>
                <w:lang w:val="hy-AM"/>
              </w:rPr>
              <w:t>Միջոցառման</w:t>
            </w:r>
            <w:r w:rsidRPr="0053423A">
              <w:rPr>
                <w:rFonts w:eastAsia="Times New Roman"/>
                <w:b/>
                <w:sz w:val="20"/>
                <w:szCs w:val="20"/>
                <w:lang w:val="af-ZA"/>
              </w:rPr>
              <w:t xml:space="preserve"> </w:t>
            </w:r>
            <w:r w:rsidRPr="0053423A">
              <w:rPr>
                <w:rFonts w:eastAsia="Times New Roman" w:cs="Sylfaen"/>
                <w:b/>
                <w:sz w:val="20"/>
                <w:szCs w:val="20"/>
                <w:lang w:val="hy-AM"/>
              </w:rPr>
              <w:t>իրականացման</w:t>
            </w:r>
            <w:r w:rsidRPr="0053423A">
              <w:rPr>
                <w:rFonts w:eastAsia="Times New Roman"/>
                <w:b/>
                <w:sz w:val="20"/>
                <w:szCs w:val="20"/>
                <w:lang w:val="af-ZA"/>
              </w:rPr>
              <w:t xml:space="preserve"> </w:t>
            </w:r>
            <w:r w:rsidRPr="0053423A">
              <w:rPr>
                <w:rFonts w:eastAsia="Times New Roman" w:cs="Sylfae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նպատակը</w:t>
            </w:r>
          </w:p>
          <w:p w:rsidR="0084615D" w:rsidRPr="0053423A" w:rsidRDefault="0084615D" w:rsidP="00A67858">
            <w:pPr>
              <w:spacing w:after="0" w:line="276" w:lineRule="auto"/>
              <w:ind w:firstLine="735"/>
              <w:jc w:val="both"/>
              <w:rPr>
                <w:rFonts w:cs="Arial Armenian"/>
                <w:spacing w:val="-8"/>
                <w:sz w:val="20"/>
                <w:szCs w:val="20"/>
                <w:lang w:val="hy-AM"/>
              </w:rPr>
            </w:pPr>
            <w:r w:rsidRPr="0053423A">
              <w:rPr>
                <w:rFonts w:cs="Sylfaen"/>
                <w:spacing w:val="-8"/>
                <w:sz w:val="20"/>
                <w:szCs w:val="20"/>
                <w:lang w:val="hy-AM"/>
              </w:rPr>
              <w:t>ՀՀ կառավարության 2002 թվականի մարտի 11-ի N 225 որոշման 1-ին կետի</w:t>
            </w:r>
            <w:r w:rsidRPr="0053423A">
              <w:rPr>
                <w:color w:val="000000"/>
                <w:sz w:val="20"/>
                <w:szCs w:val="20"/>
                <w:shd w:val="clear" w:color="auto" w:fill="FFFFFF"/>
                <w:lang w:val="hy-AM"/>
              </w:rPr>
              <w:t xml:space="preserve"> </w:t>
            </w:r>
            <w:r w:rsidRPr="0053423A">
              <w:rPr>
                <w:rFonts w:cs="Arial Armenian"/>
                <w:spacing w:val="-8"/>
                <w:sz w:val="20"/>
                <w:szCs w:val="20"/>
                <w:lang w:val="hy-AM"/>
              </w:rPr>
              <w:t xml:space="preserve">համաձայն՝ </w:t>
            </w:r>
            <w:r w:rsidRPr="0053423A">
              <w:rPr>
                <w:rFonts w:cs="Sylfaen"/>
                <w:spacing w:val="-8"/>
                <w:sz w:val="20"/>
                <w:szCs w:val="20"/>
                <w:lang w:val="hy-AM"/>
              </w:rPr>
              <w:t>մ</w:t>
            </w:r>
            <w:r w:rsidRPr="0053423A">
              <w:rPr>
                <w:color w:val="000000"/>
                <w:sz w:val="20"/>
                <w:szCs w:val="20"/>
                <w:lang w:val="hy-AM"/>
              </w:rPr>
              <w:t>իջազգային գեոդեզիական և քարտեզագրական ստանդարտներին համապատասխանեցնելու նպատակով`</w:t>
            </w:r>
            <w:r w:rsidRPr="0053423A">
              <w:rPr>
                <w:rFonts w:cs="Arial Armenian"/>
                <w:spacing w:val="-8"/>
                <w:sz w:val="20"/>
                <w:szCs w:val="20"/>
                <w:lang w:val="hy-AM"/>
              </w:rPr>
              <w:t xml:space="preserve"> Հայաստանի Հանրապետության տարածքում 2002 թվականից ներդրվել է WGS-84 համաշխարհային գեոդեզիական կոորդինատային համակարգը:</w:t>
            </w:r>
          </w:p>
          <w:p w:rsidR="0084615D" w:rsidRPr="0053423A" w:rsidRDefault="0084615D" w:rsidP="00A67858">
            <w:pPr>
              <w:spacing w:after="0" w:line="276" w:lineRule="auto"/>
              <w:ind w:firstLine="735"/>
              <w:jc w:val="both"/>
              <w:rPr>
                <w:sz w:val="20"/>
                <w:szCs w:val="20"/>
                <w:lang w:val="hy-AM"/>
              </w:rPr>
            </w:pPr>
            <w:r w:rsidRPr="0053423A">
              <w:rPr>
                <w:rFonts w:cs="Arial Armenian"/>
                <w:spacing w:val="-8"/>
                <w:sz w:val="20"/>
                <w:szCs w:val="20"/>
                <w:lang w:val="hy-AM"/>
              </w:rPr>
              <w:t xml:space="preserve">Ներկայումս անհրաժեշտություն է առաջացել </w:t>
            </w:r>
            <w:r w:rsidRPr="0053423A">
              <w:rPr>
                <w:rFonts w:cs="Arial"/>
                <w:spacing w:val="-8"/>
                <w:sz w:val="20"/>
                <w:szCs w:val="20"/>
                <w:lang w:val="hy-AM"/>
              </w:rPr>
              <w:t>ընդերքօգտագործման</w:t>
            </w:r>
            <w:r w:rsidRPr="0053423A">
              <w:rPr>
                <w:rFonts w:cs="Arial Armenian"/>
                <w:spacing w:val="-8"/>
                <w:sz w:val="20"/>
                <w:szCs w:val="20"/>
                <w:lang w:val="hy-AM"/>
              </w:rPr>
              <w:t xml:space="preserve"> </w:t>
            </w:r>
            <w:r w:rsidRPr="0053423A">
              <w:rPr>
                <w:rFonts w:cs="Arial"/>
                <w:spacing w:val="-8"/>
                <w:sz w:val="20"/>
                <w:szCs w:val="20"/>
                <w:lang w:val="hy-AM"/>
              </w:rPr>
              <w:t>իրավունքը հավաստող</w:t>
            </w:r>
            <w:r w:rsidRPr="0053423A">
              <w:rPr>
                <w:rFonts w:cs="Arial Armenian"/>
                <w:spacing w:val="-8"/>
                <w:sz w:val="20"/>
                <w:szCs w:val="20"/>
                <w:lang w:val="hy-AM"/>
              </w:rPr>
              <w:t xml:space="preserve"> </w:t>
            </w:r>
            <w:r w:rsidRPr="0053423A">
              <w:rPr>
                <w:color w:val="000000"/>
                <w:sz w:val="20"/>
                <w:szCs w:val="20"/>
                <w:lang w:val="hy-AM"/>
              </w:rPr>
              <w:t>փաստաթղթերում</w:t>
            </w:r>
            <w:r w:rsidRPr="0053423A">
              <w:rPr>
                <w:color w:val="000000"/>
                <w:sz w:val="20"/>
                <w:szCs w:val="20"/>
                <w:lang w:val="pt-BR"/>
              </w:rPr>
              <w:t xml:space="preserve"> ընդերքի </w:t>
            </w:r>
            <w:r w:rsidRPr="0053423A">
              <w:rPr>
                <w:color w:val="000000"/>
                <w:sz w:val="20"/>
                <w:szCs w:val="20"/>
                <w:lang w:val="hy-AM"/>
              </w:rPr>
              <w:t>տեղամասերի ծայրակետերի</w:t>
            </w:r>
            <w:r w:rsidRPr="0053423A">
              <w:rPr>
                <w:color w:val="000000"/>
                <w:sz w:val="20"/>
                <w:szCs w:val="20"/>
                <w:lang w:val="pt-BR"/>
              </w:rPr>
              <w:t xml:space="preserve"> </w:t>
            </w:r>
            <w:r w:rsidRPr="0053423A">
              <w:rPr>
                <w:color w:val="000000"/>
                <w:sz w:val="20"/>
                <w:szCs w:val="20"/>
                <w:lang w:val="hy-AM"/>
              </w:rPr>
              <w:t>և</w:t>
            </w:r>
            <w:r w:rsidRPr="0053423A">
              <w:rPr>
                <w:color w:val="000000"/>
                <w:sz w:val="20"/>
                <w:szCs w:val="20"/>
                <w:lang w:val="pt-BR"/>
              </w:rPr>
              <w:t xml:space="preserve"> ը</w:t>
            </w:r>
            <w:r w:rsidRPr="0053423A">
              <w:rPr>
                <w:rFonts w:cs="Sylfaen"/>
                <w:spacing w:val="-8"/>
                <w:sz w:val="20"/>
                <w:szCs w:val="20"/>
                <w:lang w:val="hy-AM"/>
              </w:rPr>
              <w:t>նդերքօգտագործման</w:t>
            </w:r>
            <w:r w:rsidRPr="0053423A">
              <w:rPr>
                <w:rFonts w:cs="Arial Armenian"/>
                <w:spacing w:val="-8"/>
                <w:sz w:val="20"/>
                <w:szCs w:val="20"/>
                <w:lang w:val="hy-AM"/>
              </w:rPr>
              <w:t xml:space="preserve"> </w:t>
            </w:r>
            <w:r w:rsidRPr="0053423A">
              <w:rPr>
                <w:rFonts w:cs="Sylfaen"/>
                <w:spacing w:val="-8"/>
                <w:sz w:val="20"/>
                <w:szCs w:val="20"/>
                <w:lang w:val="hy-AM"/>
              </w:rPr>
              <w:t xml:space="preserve">իրավունքի անբաժանելի մաս հանդիսացող՝ </w:t>
            </w:r>
            <w:r w:rsidRPr="0053423A">
              <w:rPr>
                <w:rFonts w:cs="Sylfaen"/>
                <w:sz w:val="20"/>
                <w:szCs w:val="20"/>
                <w:lang w:val="hy-AM"/>
              </w:rPr>
              <w:t xml:space="preserve">լեռնահատկացման ակտով ամրագրված կոորդինատների </w:t>
            </w:r>
            <w:r w:rsidRPr="0053423A">
              <w:rPr>
                <w:sz w:val="20"/>
                <w:szCs w:val="20"/>
                <w:lang w:val="hy-AM"/>
              </w:rPr>
              <w:t>չափագրման</w:t>
            </w:r>
            <w:r w:rsidRPr="0053423A">
              <w:rPr>
                <w:sz w:val="20"/>
                <w:szCs w:val="20"/>
                <w:lang w:val="fr-FR"/>
              </w:rPr>
              <w:t xml:space="preserve">, </w:t>
            </w:r>
            <w:r w:rsidRPr="0053423A">
              <w:rPr>
                <w:sz w:val="20"/>
                <w:szCs w:val="20"/>
                <w:lang w:val="hy-AM"/>
              </w:rPr>
              <w:t>ճշգրտման</w:t>
            </w:r>
            <w:r w:rsidRPr="0053423A">
              <w:rPr>
                <w:rFonts w:cs="Arial"/>
                <w:spacing w:val="-8"/>
                <w:sz w:val="20"/>
                <w:szCs w:val="20"/>
                <w:lang w:val="hy-AM"/>
              </w:rPr>
              <w:t xml:space="preserve">  աշխատանքների</w:t>
            </w:r>
            <w:r w:rsidRPr="0053423A">
              <w:rPr>
                <w:rFonts w:cs="Arial Armenian"/>
                <w:spacing w:val="-8"/>
                <w:sz w:val="20"/>
                <w:szCs w:val="20"/>
                <w:lang w:val="hy-AM"/>
              </w:rPr>
              <w:t xml:space="preserve"> (</w:t>
            </w:r>
            <w:r w:rsidRPr="0053423A">
              <w:rPr>
                <w:rFonts w:cs="Sylfaen"/>
                <w:sz w:val="20"/>
                <w:szCs w:val="20"/>
                <w:lang w:val="hy-AM"/>
              </w:rPr>
              <w:t xml:space="preserve">WGS-84 (ARMREF02) ազգային գեոդեզիական կոորդինատային համակարգին համապատասխան) </w:t>
            </w:r>
            <w:r w:rsidRPr="0053423A">
              <w:rPr>
                <w:rFonts w:cs="Arial"/>
                <w:spacing w:val="-8"/>
                <w:sz w:val="20"/>
                <w:szCs w:val="20"/>
                <w:lang w:val="hy-AM"/>
              </w:rPr>
              <w:t xml:space="preserve">իրականացման և </w:t>
            </w:r>
            <w:r w:rsidRPr="0053423A">
              <w:rPr>
                <w:sz w:val="20"/>
                <w:szCs w:val="20"/>
                <w:lang w:val="hy-AM"/>
              </w:rPr>
              <w:t>ճշգրտված</w:t>
            </w:r>
            <w:r w:rsidRPr="0053423A">
              <w:rPr>
                <w:sz w:val="20"/>
                <w:szCs w:val="20"/>
                <w:lang w:val="fr-FR"/>
              </w:rPr>
              <w:t xml:space="preserve"> </w:t>
            </w:r>
            <w:r w:rsidRPr="0053423A">
              <w:rPr>
                <w:sz w:val="20"/>
                <w:szCs w:val="20"/>
                <w:lang w:val="hy-AM"/>
              </w:rPr>
              <w:t>տվյալների</w:t>
            </w:r>
            <w:r w:rsidRPr="0053423A">
              <w:rPr>
                <w:rFonts w:cs="Arial"/>
                <w:spacing w:val="-8"/>
                <w:sz w:val="20"/>
                <w:szCs w:val="20"/>
                <w:lang w:val="hy-AM"/>
              </w:rPr>
              <w:t xml:space="preserve"> </w:t>
            </w:r>
            <w:r w:rsidRPr="0053423A">
              <w:rPr>
                <w:color w:val="000000"/>
                <w:sz w:val="20"/>
                <w:szCs w:val="20"/>
                <w:lang w:val="hy-AM"/>
              </w:rPr>
              <w:t xml:space="preserve">հիման վրա </w:t>
            </w:r>
            <w:r w:rsidRPr="0053423A">
              <w:rPr>
                <w:sz w:val="20"/>
                <w:szCs w:val="20"/>
                <w:lang w:val="hy-AM"/>
              </w:rPr>
              <w:t>ընդերքօգտագործման</w:t>
            </w:r>
            <w:r w:rsidRPr="0053423A">
              <w:rPr>
                <w:sz w:val="20"/>
                <w:szCs w:val="20"/>
                <w:lang w:val="fr-FR"/>
              </w:rPr>
              <w:t xml:space="preserve"> </w:t>
            </w:r>
            <w:r w:rsidRPr="0053423A">
              <w:rPr>
                <w:sz w:val="20"/>
                <w:szCs w:val="20"/>
                <w:lang w:val="hy-AM"/>
              </w:rPr>
              <w:t>իրավունքը հավաստող փաստաթղթերում</w:t>
            </w:r>
            <w:r w:rsidRPr="0053423A">
              <w:rPr>
                <w:rFonts w:cs="Arial Armenian"/>
                <w:spacing w:val="-8"/>
                <w:sz w:val="20"/>
                <w:szCs w:val="20"/>
                <w:lang w:val="hy-AM"/>
              </w:rPr>
              <w:t xml:space="preserve"> </w:t>
            </w:r>
            <w:r w:rsidRPr="0053423A">
              <w:rPr>
                <w:rFonts w:cs="Sylfaen"/>
                <w:sz w:val="20"/>
                <w:szCs w:val="20"/>
                <w:lang w:val="hy-AM"/>
              </w:rPr>
              <w:t>համապատասխան</w:t>
            </w:r>
            <w:r w:rsidRPr="0053423A">
              <w:rPr>
                <w:sz w:val="20"/>
                <w:szCs w:val="20"/>
                <w:lang w:val="hy-AM"/>
              </w:rPr>
              <w:t xml:space="preserve"> փոփոխություն կատարելու:</w:t>
            </w:r>
          </w:p>
          <w:p w:rsidR="0084615D" w:rsidRPr="0053423A" w:rsidRDefault="0084615D" w:rsidP="00A67858">
            <w:pPr>
              <w:spacing w:after="0" w:line="276" w:lineRule="auto"/>
              <w:ind w:firstLine="735"/>
              <w:jc w:val="both"/>
              <w:rPr>
                <w:sz w:val="20"/>
                <w:szCs w:val="20"/>
                <w:lang w:val="hy-AM"/>
              </w:rPr>
            </w:pPr>
          </w:p>
          <w:p w:rsidR="0084615D" w:rsidRPr="0053423A" w:rsidRDefault="0084615D" w:rsidP="001F6D5D">
            <w:pPr>
              <w:pStyle w:val="ListParagraph"/>
              <w:numPr>
                <w:ilvl w:val="1"/>
                <w:numId w:val="288"/>
              </w:numPr>
              <w:tabs>
                <w:tab w:val="left" w:pos="900"/>
                <w:tab w:val="left" w:pos="1620"/>
              </w:tabs>
              <w:spacing w:after="0" w:line="276" w:lineRule="auto"/>
              <w:ind w:left="0" w:firstLine="735"/>
              <w:rPr>
                <w:rFonts w:eastAsia="Times New Roman"/>
                <w:b/>
                <w:sz w:val="20"/>
                <w:szCs w:val="20"/>
                <w:lang w:val="af-ZA"/>
              </w:rPr>
            </w:pPr>
            <w:r w:rsidRPr="0053423A">
              <w:rPr>
                <w:rFonts w:eastAsia="Times New Roman" w:cs="Sylfaen"/>
                <w:b/>
                <w:sz w:val="20"/>
                <w:szCs w:val="20"/>
                <w:lang w:val="hy-AM"/>
              </w:rPr>
              <w:t>Կարգավորման</w:t>
            </w:r>
            <w:r w:rsidRPr="0053423A">
              <w:rPr>
                <w:rFonts w:eastAsia="Times New Roman"/>
                <w:b/>
                <w:sz w:val="20"/>
                <w:szCs w:val="20"/>
                <w:lang w:val="af-ZA"/>
              </w:rPr>
              <w:t xml:space="preserve"> </w:t>
            </w:r>
            <w:r w:rsidRPr="0053423A">
              <w:rPr>
                <w:rFonts w:eastAsia="Times New Roman" w:cs="Sylfaen"/>
                <w:b/>
                <w:sz w:val="20"/>
                <w:szCs w:val="20"/>
                <w:lang w:val="hy-AM"/>
              </w:rPr>
              <w:t>հարաբերությունների</w:t>
            </w:r>
            <w:r w:rsidRPr="0053423A">
              <w:rPr>
                <w:rFonts w:eastAsia="Times New Roman"/>
                <w:b/>
                <w:sz w:val="20"/>
                <w:szCs w:val="20"/>
                <w:lang w:val="af-ZA"/>
              </w:rPr>
              <w:t xml:space="preserve"> </w:t>
            </w:r>
            <w:r w:rsidRPr="0053423A">
              <w:rPr>
                <w:rFonts w:eastAsia="Times New Roman" w:cs="Sylfaen"/>
                <w:b/>
                <w:sz w:val="20"/>
                <w:szCs w:val="20"/>
                <w:lang w:val="hy-AM"/>
              </w:rPr>
              <w:t>ներկա</w:t>
            </w:r>
            <w:r w:rsidRPr="0053423A">
              <w:rPr>
                <w:rFonts w:eastAsia="Times New Roman"/>
                <w:b/>
                <w:sz w:val="20"/>
                <w:szCs w:val="20"/>
                <w:lang w:val="af-ZA"/>
              </w:rPr>
              <w:t xml:space="preserve"> </w:t>
            </w:r>
            <w:r w:rsidRPr="0053423A">
              <w:rPr>
                <w:rFonts w:eastAsia="Times New Roman" w:cs="Sylfaen"/>
                <w:b/>
                <w:sz w:val="20"/>
                <w:szCs w:val="20"/>
                <w:lang w:val="hy-AM"/>
              </w:rPr>
              <w:t>վիճակը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առկա</w:t>
            </w:r>
            <w:r w:rsidRPr="0053423A">
              <w:rPr>
                <w:rFonts w:eastAsia="Times New Roman"/>
                <w:b/>
                <w:sz w:val="20"/>
                <w:szCs w:val="20"/>
                <w:lang w:val="af-ZA"/>
              </w:rPr>
              <w:t xml:space="preserve"> </w:t>
            </w:r>
            <w:r w:rsidRPr="0053423A">
              <w:rPr>
                <w:rFonts w:eastAsia="Times New Roman" w:cs="Sylfaen"/>
                <w:b/>
                <w:sz w:val="20"/>
                <w:szCs w:val="20"/>
                <w:lang w:val="hy-AM"/>
              </w:rPr>
              <w:t>խնդիրները</w:t>
            </w:r>
          </w:p>
          <w:p w:rsidR="0084615D" w:rsidRPr="0053423A" w:rsidRDefault="0084615D" w:rsidP="00A67858">
            <w:pPr>
              <w:spacing w:after="0" w:line="276" w:lineRule="auto"/>
              <w:ind w:firstLine="735"/>
              <w:jc w:val="both"/>
              <w:rPr>
                <w:rFonts w:cs="Sylfaen"/>
                <w:sz w:val="20"/>
                <w:szCs w:val="20"/>
                <w:lang w:val="af-ZA"/>
              </w:rPr>
            </w:pPr>
            <w:r w:rsidRPr="0053423A">
              <w:rPr>
                <w:rFonts w:cs="Sylfaen"/>
                <w:bCs/>
                <w:iCs/>
                <w:sz w:val="20"/>
                <w:szCs w:val="20"/>
                <w:lang w:val="hy-AM"/>
              </w:rPr>
              <w:t xml:space="preserve">Ներկայումս ընդերքօգտագործման ոլորտի հիմնախնդիրներից է համարվում նաև </w:t>
            </w:r>
            <w:r w:rsidRPr="0053423A">
              <w:rPr>
                <w:rFonts w:cs="Sylfaen"/>
                <w:sz w:val="20"/>
                <w:szCs w:val="20"/>
                <w:lang w:val="hy-AM"/>
              </w:rPr>
              <w:t xml:space="preserve">ընդերքօգտագործող կազմակերպություններին տրամադրված ընդերքի տեղամասի և </w:t>
            </w:r>
            <w:r w:rsidRPr="0053423A">
              <w:rPr>
                <w:rFonts w:cs="Sylfaen"/>
                <w:bCs/>
                <w:iCs/>
                <w:sz w:val="20"/>
                <w:szCs w:val="20"/>
                <w:lang w:val="hy-AM"/>
              </w:rPr>
              <w:t>ը</w:t>
            </w:r>
            <w:r w:rsidRPr="0053423A">
              <w:rPr>
                <w:rFonts w:cs="Sylfaen"/>
                <w:spacing w:val="-8"/>
                <w:sz w:val="20"/>
                <w:szCs w:val="20"/>
                <w:lang w:val="hy-AM"/>
              </w:rPr>
              <w:t>նդերքօգտագործման</w:t>
            </w:r>
            <w:r w:rsidRPr="0053423A">
              <w:rPr>
                <w:rFonts w:cs="Arial Armenian"/>
                <w:spacing w:val="-8"/>
                <w:sz w:val="20"/>
                <w:szCs w:val="20"/>
                <w:lang w:val="hy-AM"/>
              </w:rPr>
              <w:t xml:space="preserve"> </w:t>
            </w:r>
            <w:r w:rsidRPr="0053423A">
              <w:rPr>
                <w:rFonts w:cs="Sylfaen"/>
                <w:spacing w:val="-8"/>
                <w:sz w:val="20"/>
                <w:szCs w:val="20"/>
                <w:lang w:val="hy-AM"/>
              </w:rPr>
              <w:t xml:space="preserve">իրավունքի անբաժանելի մաս հանդիսացող՝ </w:t>
            </w:r>
            <w:r w:rsidRPr="0053423A">
              <w:rPr>
                <w:rFonts w:cs="Sylfaen"/>
                <w:sz w:val="20"/>
                <w:szCs w:val="20"/>
                <w:lang w:val="hy-AM"/>
              </w:rPr>
              <w:t>լեռնահատկացման ակտի կոորդինատների անճշտության  հարցը</w:t>
            </w:r>
            <w:r w:rsidRPr="0053423A">
              <w:rPr>
                <w:rFonts w:cs="Sylfaen"/>
                <w:sz w:val="20"/>
                <w:szCs w:val="20"/>
                <w:lang w:val="af-ZA"/>
              </w:rPr>
              <w:t xml:space="preserve">: </w:t>
            </w:r>
            <w:r w:rsidRPr="0053423A">
              <w:rPr>
                <w:rFonts w:cs="Sylfaen"/>
                <w:sz w:val="20"/>
                <w:szCs w:val="20"/>
                <w:lang w:val="ru-RU"/>
              </w:rPr>
              <w:t>Վերջինս</w:t>
            </w:r>
            <w:r w:rsidRPr="0053423A">
              <w:rPr>
                <w:rFonts w:cs="Sylfaen"/>
                <w:sz w:val="20"/>
                <w:szCs w:val="20"/>
                <w:lang w:val="hy-AM"/>
              </w:rPr>
              <w:t xml:space="preserve"> խոչընդոտ է հանդիսանում ընդերքօգտագործման աշխատանքների լիարժեք իրականացմանը</w:t>
            </w:r>
            <w:r w:rsidRPr="0053423A">
              <w:rPr>
                <w:rFonts w:cs="Sylfaen"/>
                <w:sz w:val="20"/>
                <w:szCs w:val="20"/>
                <w:lang w:val="af-ZA"/>
              </w:rPr>
              <w:t>,</w:t>
            </w:r>
            <w:r w:rsidRPr="0053423A">
              <w:rPr>
                <w:rFonts w:cs="Sylfaen"/>
                <w:sz w:val="20"/>
                <w:szCs w:val="20"/>
                <w:lang w:val="hy-AM"/>
              </w:rPr>
              <w:t xml:space="preserve"> </w:t>
            </w:r>
            <w:r w:rsidRPr="0053423A">
              <w:rPr>
                <w:rFonts w:cs="Sylfaen"/>
                <w:bCs/>
                <w:iCs/>
                <w:sz w:val="20"/>
                <w:szCs w:val="20"/>
                <w:lang w:val="hy-AM"/>
              </w:rPr>
              <w:t>այդ թվում՝ սեփականության իրավունքի իրացման, ինչպես նաև՝ ընդերքօգտագործման նկատմամբ համապատասխան պետական վերահսկողական գործառույթների իրականացման տեսանկյունից</w:t>
            </w:r>
            <w:r w:rsidRPr="0053423A">
              <w:rPr>
                <w:rFonts w:cs="Sylfaen"/>
                <w:bCs/>
                <w:iCs/>
                <w:sz w:val="20"/>
                <w:szCs w:val="20"/>
                <w:lang w:val="af-ZA"/>
              </w:rPr>
              <w:t>:</w:t>
            </w:r>
          </w:p>
          <w:p w:rsidR="0084615D" w:rsidRPr="0053423A" w:rsidRDefault="0084615D" w:rsidP="00A67858">
            <w:pPr>
              <w:pStyle w:val="ListParagraph"/>
              <w:tabs>
                <w:tab w:val="left" w:pos="900"/>
              </w:tabs>
              <w:spacing w:after="0" w:line="276" w:lineRule="auto"/>
              <w:ind w:left="0" w:firstLine="735"/>
              <w:rPr>
                <w:rFonts w:eastAsia="Times New Roman"/>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w:t>
            </w:r>
            <w:r w:rsidRPr="0053423A">
              <w:rPr>
                <w:rFonts w:eastAsia="Times New Roman" w:cs="Sylfaen"/>
                <w:b/>
                <w:sz w:val="20"/>
                <w:szCs w:val="20"/>
                <w:lang w:val="hy-AM"/>
              </w:rPr>
              <w:t>Առկա</w:t>
            </w:r>
            <w:r w:rsidRPr="0053423A">
              <w:rPr>
                <w:rFonts w:eastAsia="Times New Roman"/>
                <w:b/>
                <w:sz w:val="20"/>
                <w:szCs w:val="20"/>
                <w:lang w:val="af-ZA"/>
              </w:rPr>
              <w:t xml:space="preserve"> </w:t>
            </w:r>
            <w:r w:rsidRPr="0053423A">
              <w:rPr>
                <w:rFonts w:eastAsia="Times New Roman" w:cs="Sylfaen"/>
                <w:b/>
                <w:sz w:val="20"/>
                <w:szCs w:val="20"/>
                <w:lang w:val="hy-AM"/>
              </w:rPr>
              <w:t>խնդիրների</w:t>
            </w:r>
            <w:r w:rsidRPr="0053423A">
              <w:rPr>
                <w:rFonts w:eastAsia="Times New Roman"/>
                <w:b/>
                <w:sz w:val="20"/>
                <w:szCs w:val="20"/>
                <w:lang w:val="af-ZA"/>
              </w:rPr>
              <w:t xml:space="preserve"> </w:t>
            </w:r>
            <w:r w:rsidRPr="0053423A">
              <w:rPr>
                <w:rFonts w:eastAsia="Times New Roman" w:cs="Sylfaen"/>
                <w:b/>
                <w:sz w:val="20"/>
                <w:szCs w:val="20"/>
                <w:lang w:val="hy-AM"/>
              </w:rPr>
              <w:t>առաջարկվող</w:t>
            </w:r>
            <w:r w:rsidRPr="0053423A">
              <w:rPr>
                <w:rFonts w:eastAsia="Times New Roman"/>
                <w:b/>
                <w:sz w:val="20"/>
                <w:szCs w:val="20"/>
                <w:lang w:val="af-ZA"/>
              </w:rPr>
              <w:t xml:space="preserve"> </w:t>
            </w:r>
            <w:r w:rsidRPr="0053423A">
              <w:rPr>
                <w:rFonts w:eastAsia="Times New Roman" w:cs="Sylfaen"/>
                <w:b/>
                <w:sz w:val="20"/>
                <w:szCs w:val="20"/>
                <w:lang w:val="hy-AM"/>
              </w:rPr>
              <w:t>լուծումները</w:t>
            </w:r>
          </w:p>
          <w:p w:rsidR="0084615D" w:rsidRPr="0053423A" w:rsidRDefault="0084615D" w:rsidP="00A67858">
            <w:pPr>
              <w:pStyle w:val="ListParagraph"/>
              <w:tabs>
                <w:tab w:val="left" w:pos="-2410"/>
              </w:tabs>
              <w:spacing w:after="0" w:line="276" w:lineRule="auto"/>
              <w:ind w:left="0" w:firstLine="735"/>
              <w:jc w:val="both"/>
              <w:rPr>
                <w:color w:val="000000"/>
                <w:sz w:val="20"/>
                <w:szCs w:val="20"/>
                <w:lang w:val="af-ZA"/>
              </w:rPr>
            </w:pPr>
            <w:r w:rsidRPr="0053423A">
              <w:rPr>
                <w:color w:val="000000"/>
                <w:sz w:val="20"/>
                <w:szCs w:val="20"/>
                <w:lang w:val="ru-RU"/>
              </w:rPr>
              <w:t>Ը</w:t>
            </w:r>
            <w:r w:rsidRPr="0053423A">
              <w:rPr>
                <w:color w:val="000000"/>
                <w:sz w:val="20"/>
                <w:szCs w:val="20"/>
                <w:lang w:val="hy-AM"/>
              </w:rPr>
              <w:t>նդերքօգտագործող</w:t>
            </w:r>
            <w:r w:rsidRPr="0053423A">
              <w:rPr>
                <w:color w:val="000000"/>
                <w:sz w:val="20"/>
                <w:szCs w:val="20"/>
                <w:lang w:val="pt-BR"/>
              </w:rPr>
              <w:t xml:space="preserve"> </w:t>
            </w:r>
            <w:r w:rsidRPr="0053423A">
              <w:rPr>
                <w:color w:val="000000"/>
                <w:sz w:val="20"/>
                <w:szCs w:val="20"/>
                <w:lang w:val="hy-AM"/>
              </w:rPr>
              <w:t>կազմակերպություններին</w:t>
            </w:r>
            <w:r w:rsidRPr="0053423A">
              <w:rPr>
                <w:color w:val="000000"/>
                <w:sz w:val="20"/>
                <w:szCs w:val="20"/>
                <w:lang w:val="pt-BR"/>
              </w:rPr>
              <w:t xml:space="preserve">  </w:t>
            </w:r>
            <w:r w:rsidRPr="0053423A">
              <w:rPr>
                <w:color w:val="000000"/>
                <w:sz w:val="20"/>
                <w:szCs w:val="20"/>
                <w:lang w:val="hy-AM"/>
              </w:rPr>
              <w:t>տրամադրված</w:t>
            </w:r>
            <w:r w:rsidRPr="0053423A">
              <w:rPr>
                <w:color w:val="000000"/>
                <w:sz w:val="20"/>
                <w:szCs w:val="20"/>
                <w:lang w:val="pt-BR"/>
              </w:rPr>
              <w:t xml:space="preserve"> </w:t>
            </w:r>
            <w:r w:rsidRPr="0053423A">
              <w:rPr>
                <w:color w:val="000000"/>
                <w:sz w:val="20"/>
                <w:szCs w:val="20"/>
                <w:lang w:val="hy-AM"/>
              </w:rPr>
              <w:t>փաստաթղթերում</w:t>
            </w:r>
            <w:r w:rsidRPr="0053423A">
              <w:rPr>
                <w:color w:val="000000"/>
                <w:sz w:val="20"/>
                <w:szCs w:val="20"/>
                <w:lang w:val="pt-BR"/>
              </w:rPr>
              <w:t xml:space="preserve"> </w:t>
            </w:r>
            <w:r w:rsidRPr="0053423A">
              <w:rPr>
                <w:color w:val="000000"/>
                <w:sz w:val="20"/>
                <w:szCs w:val="20"/>
                <w:lang w:val="hy-AM"/>
              </w:rPr>
              <w:t>առկա</w:t>
            </w:r>
            <w:r w:rsidRPr="0053423A">
              <w:rPr>
                <w:color w:val="000000"/>
                <w:sz w:val="20"/>
                <w:szCs w:val="20"/>
                <w:lang w:val="pt-BR"/>
              </w:rPr>
              <w:t xml:space="preserve"> </w:t>
            </w:r>
            <w:r w:rsidRPr="0053423A">
              <w:rPr>
                <w:color w:val="000000"/>
                <w:sz w:val="20"/>
                <w:szCs w:val="20"/>
                <w:lang w:val="hy-AM"/>
              </w:rPr>
              <w:t>տեղամասերի</w:t>
            </w:r>
            <w:r w:rsidRPr="0053423A">
              <w:rPr>
                <w:color w:val="000000"/>
                <w:sz w:val="20"/>
                <w:szCs w:val="20"/>
                <w:lang w:val="pt-BR"/>
              </w:rPr>
              <w:t xml:space="preserve"> </w:t>
            </w:r>
            <w:r w:rsidRPr="0053423A">
              <w:rPr>
                <w:color w:val="000000"/>
                <w:sz w:val="20"/>
                <w:szCs w:val="20"/>
                <w:lang w:val="hy-AM"/>
              </w:rPr>
              <w:t>և</w:t>
            </w:r>
            <w:r w:rsidRPr="0053423A">
              <w:rPr>
                <w:color w:val="000000"/>
                <w:sz w:val="20"/>
                <w:szCs w:val="20"/>
                <w:lang w:val="pt-BR"/>
              </w:rPr>
              <w:t xml:space="preserve"> </w:t>
            </w:r>
            <w:r w:rsidRPr="0053423A">
              <w:rPr>
                <w:color w:val="000000"/>
                <w:sz w:val="20"/>
                <w:szCs w:val="20"/>
                <w:lang w:val="hy-AM"/>
              </w:rPr>
              <w:t>հողամասերի</w:t>
            </w:r>
            <w:r w:rsidRPr="0053423A">
              <w:rPr>
                <w:color w:val="000000"/>
                <w:sz w:val="20"/>
                <w:szCs w:val="20"/>
                <w:lang w:val="pt-BR"/>
              </w:rPr>
              <w:t xml:space="preserve"> </w:t>
            </w:r>
            <w:r w:rsidRPr="0053423A">
              <w:rPr>
                <w:color w:val="000000"/>
                <w:sz w:val="20"/>
                <w:szCs w:val="20"/>
                <w:lang w:val="hy-AM"/>
              </w:rPr>
              <w:t>համապատասխան</w:t>
            </w:r>
            <w:r w:rsidRPr="0053423A">
              <w:rPr>
                <w:color w:val="000000"/>
                <w:sz w:val="20"/>
                <w:szCs w:val="20"/>
                <w:lang w:val="pt-BR"/>
              </w:rPr>
              <w:t xml:space="preserve"> </w:t>
            </w:r>
            <w:r w:rsidRPr="0053423A">
              <w:rPr>
                <w:color w:val="000000"/>
                <w:sz w:val="20"/>
                <w:szCs w:val="20"/>
                <w:lang w:val="hy-AM"/>
              </w:rPr>
              <w:t>կոորդինատների</w:t>
            </w:r>
            <w:r w:rsidRPr="0053423A">
              <w:rPr>
                <w:color w:val="000000"/>
                <w:sz w:val="20"/>
                <w:szCs w:val="20"/>
                <w:lang w:val="pt-BR"/>
              </w:rPr>
              <w:t xml:space="preserve"> </w:t>
            </w:r>
            <w:r w:rsidRPr="0053423A">
              <w:rPr>
                <w:color w:val="000000"/>
                <w:sz w:val="20"/>
                <w:szCs w:val="20"/>
                <w:lang w:val="hy-AM"/>
              </w:rPr>
              <w:t>անճշտությունները</w:t>
            </w:r>
            <w:r w:rsidRPr="0053423A">
              <w:rPr>
                <w:color w:val="000000"/>
                <w:sz w:val="20"/>
                <w:szCs w:val="20"/>
                <w:lang w:val="pt-BR"/>
              </w:rPr>
              <w:t xml:space="preserve">, </w:t>
            </w:r>
            <w:r w:rsidRPr="0053423A">
              <w:rPr>
                <w:color w:val="000000"/>
                <w:sz w:val="20"/>
                <w:szCs w:val="20"/>
                <w:lang w:val="hy-AM"/>
              </w:rPr>
              <w:t>փաստացի</w:t>
            </w:r>
            <w:r w:rsidRPr="0053423A">
              <w:rPr>
                <w:color w:val="000000"/>
                <w:sz w:val="20"/>
                <w:szCs w:val="20"/>
                <w:lang w:val="pt-BR"/>
              </w:rPr>
              <w:t xml:space="preserve"> </w:t>
            </w:r>
            <w:r w:rsidRPr="0053423A">
              <w:rPr>
                <w:color w:val="000000"/>
                <w:sz w:val="20"/>
                <w:szCs w:val="20"/>
                <w:lang w:val="hy-AM"/>
              </w:rPr>
              <w:t>առկա</w:t>
            </w:r>
            <w:r w:rsidRPr="0053423A">
              <w:rPr>
                <w:color w:val="000000"/>
                <w:sz w:val="20"/>
                <w:szCs w:val="20"/>
                <w:lang w:val="pt-BR"/>
              </w:rPr>
              <w:t xml:space="preserve"> </w:t>
            </w:r>
            <w:r w:rsidRPr="0053423A">
              <w:rPr>
                <w:color w:val="000000"/>
                <w:sz w:val="20"/>
                <w:szCs w:val="20"/>
                <w:lang w:val="hy-AM"/>
              </w:rPr>
              <w:t>անհամապատասխանությունները</w:t>
            </w:r>
            <w:r w:rsidRPr="0053423A">
              <w:rPr>
                <w:color w:val="000000"/>
                <w:sz w:val="20"/>
                <w:szCs w:val="20"/>
                <w:lang w:val="af-ZA"/>
              </w:rPr>
              <w:t xml:space="preserve"> </w:t>
            </w:r>
            <w:r w:rsidRPr="0053423A">
              <w:rPr>
                <w:color w:val="000000"/>
                <w:sz w:val="20"/>
                <w:szCs w:val="20"/>
                <w:lang w:val="hy-AM"/>
              </w:rPr>
              <w:t>վերացնելու</w:t>
            </w:r>
            <w:r w:rsidRPr="0053423A">
              <w:rPr>
                <w:color w:val="000000"/>
                <w:sz w:val="20"/>
                <w:szCs w:val="20"/>
                <w:lang w:val="af-ZA"/>
              </w:rPr>
              <w:t xml:space="preserve"> </w:t>
            </w:r>
            <w:r w:rsidRPr="0053423A">
              <w:rPr>
                <w:color w:val="000000"/>
                <w:sz w:val="20"/>
                <w:szCs w:val="20"/>
                <w:lang w:val="hy-AM"/>
              </w:rPr>
              <w:t>նպատակով</w:t>
            </w:r>
            <w:r w:rsidRPr="0053423A">
              <w:rPr>
                <w:color w:val="000000"/>
                <w:sz w:val="20"/>
                <w:szCs w:val="20"/>
                <w:lang w:val="af-ZA"/>
              </w:rPr>
              <w:t xml:space="preserve"> </w:t>
            </w:r>
            <w:r w:rsidRPr="0053423A">
              <w:rPr>
                <w:color w:val="000000"/>
                <w:sz w:val="20"/>
                <w:szCs w:val="20"/>
                <w:lang w:val="hy-AM"/>
              </w:rPr>
              <w:t>անհրաժեշտ</w:t>
            </w:r>
            <w:r w:rsidRPr="0053423A">
              <w:rPr>
                <w:color w:val="000000"/>
                <w:sz w:val="20"/>
                <w:szCs w:val="20"/>
                <w:lang w:val="af-ZA"/>
              </w:rPr>
              <w:t xml:space="preserve"> </w:t>
            </w:r>
            <w:r w:rsidRPr="0053423A">
              <w:rPr>
                <w:color w:val="000000"/>
                <w:sz w:val="20"/>
                <w:szCs w:val="20"/>
                <w:lang w:val="hy-AM"/>
              </w:rPr>
              <w:t>է</w:t>
            </w:r>
            <w:r w:rsidRPr="0053423A">
              <w:rPr>
                <w:color w:val="000000"/>
                <w:sz w:val="20"/>
                <w:szCs w:val="20"/>
                <w:lang w:val="af-ZA"/>
              </w:rPr>
              <w:t xml:space="preserve"> </w:t>
            </w:r>
            <w:r w:rsidRPr="0053423A">
              <w:rPr>
                <w:color w:val="000000"/>
                <w:sz w:val="20"/>
                <w:szCs w:val="20"/>
                <w:lang w:val="hy-AM"/>
              </w:rPr>
              <w:t>յ</w:t>
            </w:r>
            <w:r w:rsidRPr="0053423A">
              <w:rPr>
                <w:color w:val="000000"/>
                <w:sz w:val="20"/>
                <w:szCs w:val="20"/>
                <w:lang w:val="pt-BR"/>
              </w:rPr>
              <w:t xml:space="preserve">ուրաքանչյուր տեղամասում </w:t>
            </w:r>
            <w:r w:rsidRPr="0053423A">
              <w:rPr>
                <w:rFonts w:cs="Sylfaen"/>
                <w:sz w:val="20"/>
                <w:szCs w:val="20"/>
                <w:lang w:val="hy-AM"/>
              </w:rPr>
              <w:t>իրականացնել</w:t>
            </w:r>
            <w:r w:rsidRPr="0053423A">
              <w:rPr>
                <w:rFonts w:cs="Sylfaen"/>
                <w:sz w:val="20"/>
                <w:szCs w:val="20"/>
                <w:lang w:val="af-ZA"/>
              </w:rPr>
              <w:t xml:space="preserve"> </w:t>
            </w:r>
            <w:r w:rsidRPr="0053423A">
              <w:rPr>
                <w:color w:val="000000"/>
                <w:sz w:val="20"/>
                <w:szCs w:val="20"/>
                <w:lang w:val="pt-BR"/>
              </w:rPr>
              <w:t>կոորդինատների  չափագրում, իրականի հետ համադրում և ներկայաց</w:t>
            </w:r>
            <w:r w:rsidRPr="0053423A">
              <w:rPr>
                <w:color w:val="000000"/>
                <w:sz w:val="20"/>
                <w:szCs w:val="20"/>
                <w:lang w:val="hy-AM"/>
              </w:rPr>
              <w:t>նել</w:t>
            </w:r>
            <w:r w:rsidRPr="0053423A">
              <w:rPr>
                <w:color w:val="000000"/>
                <w:sz w:val="20"/>
                <w:szCs w:val="20"/>
                <w:lang w:val="af-ZA"/>
              </w:rPr>
              <w:t xml:space="preserve"> </w:t>
            </w:r>
            <w:r w:rsidRPr="0053423A">
              <w:rPr>
                <w:color w:val="000000"/>
                <w:sz w:val="20"/>
                <w:szCs w:val="20"/>
                <w:lang w:val="pt-BR"/>
              </w:rPr>
              <w:t>առաջարկությ</w:t>
            </w:r>
            <w:r w:rsidRPr="0053423A">
              <w:rPr>
                <w:color w:val="000000"/>
                <w:sz w:val="20"/>
                <w:szCs w:val="20"/>
                <w:lang w:val="hy-AM"/>
              </w:rPr>
              <w:t>ուն՝</w:t>
            </w:r>
            <w:r w:rsidRPr="0053423A">
              <w:rPr>
                <w:color w:val="000000"/>
                <w:sz w:val="20"/>
                <w:szCs w:val="20"/>
                <w:lang w:val="af-ZA"/>
              </w:rPr>
              <w:t xml:space="preserve"> </w:t>
            </w:r>
            <w:r w:rsidRPr="0053423A">
              <w:rPr>
                <w:color w:val="000000"/>
                <w:sz w:val="20"/>
                <w:szCs w:val="20"/>
                <w:lang w:val="pt-BR"/>
              </w:rPr>
              <w:t>Ընդերքօգտագործման իրավունքը հավաստող փաստաթղթերում փոփոխություն կատարելու նպատակով</w:t>
            </w:r>
            <w:r w:rsidRPr="0053423A">
              <w:rPr>
                <w:color w:val="000000"/>
                <w:sz w:val="20"/>
                <w:szCs w:val="20"/>
                <w:lang w:val="af-ZA"/>
              </w:rPr>
              <w:t>:</w:t>
            </w:r>
          </w:p>
          <w:p w:rsidR="0084615D" w:rsidRPr="0053423A" w:rsidRDefault="0084615D" w:rsidP="00A67858">
            <w:pPr>
              <w:pStyle w:val="ListParagraph"/>
              <w:tabs>
                <w:tab w:val="left" w:pos="-2410"/>
              </w:tabs>
              <w:spacing w:after="0" w:line="276" w:lineRule="auto"/>
              <w:ind w:left="0" w:firstLine="735"/>
              <w:jc w:val="both"/>
              <w:rPr>
                <w:color w:val="000000"/>
                <w:sz w:val="20"/>
                <w:szCs w:val="20"/>
                <w:lang w:val="af-ZA"/>
              </w:rPr>
            </w:pPr>
          </w:p>
          <w:p w:rsidR="0084615D" w:rsidRPr="0053423A" w:rsidRDefault="0084615D" w:rsidP="00A67858">
            <w:pPr>
              <w:spacing w:after="0" w:line="276" w:lineRule="auto"/>
              <w:ind w:firstLine="735"/>
              <w:rPr>
                <w:rFonts w:eastAsia="Times New Roman"/>
                <w:b/>
                <w:sz w:val="20"/>
                <w:szCs w:val="20"/>
                <w:lang w:val="af-ZA"/>
              </w:rPr>
            </w:pPr>
            <w:r w:rsidRPr="0053423A">
              <w:rPr>
                <w:rFonts w:eastAsia="Times New Roman"/>
                <w:b/>
                <w:sz w:val="20"/>
                <w:szCs w:val="20"/>
                <w:lang w:val="af-ZA"/>
              </w:rPr>
              <w:t>2.</w:t>
            </w:r>
            <w:r w:rsidRPr="0053423A">
              <w:rPr>
                <w:rFonts w:ascii="Calibri" w:eastAsia="Times New Roman" w:hAnsi="Calibri" w:cs="Calibri"/>
                <w:sz w:val="20"/>
                <w:szCs w:val="20"/>
                <w:lang w:val="af-ZA"/>
              </w:rPr>
              <w:t> </w:t>
            </w:r>
            <w:r w:rsidRPr="0053423A">
              <w:rPr>
                <w:rFonts w:eastAsia="Times New Roman" w:cs="Sylfaen"/>
                <w:b/>
                <w:sz w:val="20"/>
                <w:szCs w:val="20"/>
              </w:rPr>
              <w:t>Միջոցառման</w:t>
            </w:r>
            <w:r w:rsidRPr="0053423A">
              <w:rPr>
                <w:rFonts w:eastAsia="Times New Roman"/>
                <w:b/>
                <w:sz w:val="20"/>
                <w:szCs w:val="20"/>
                <w:lang w:val="af-ZA"/>
              </w:rPr>
              <w:t xml:space="preserve"> </w:t>
            </w:r>
            <w:r w:rsidRPr="0053423A">
              <w:rPr>
                <w:rFonts w:eastAsia="Times New Roman" w:cs="Sylfaen"/>
                <w:b/>
                <w:sz w:val="20"/>
                <w:szCs w:val="20"/>
              </w:rPr>
              <w:t>իրակա</w:t>
            </w:r>
            <w:r w:rsidRPr="0053423A">
              <w:rPr>
                <w:rFonts w:eastAsia="Times New Roman" w:cs="Sylfaen"/>
                <w:b/>
                <w:sz w:val="20"/>
                <w:szCs w:val="20"/>
                <w:lang w:val="ru-RU"/>
              </w:rPr>
              <w:t>նա</w:t>
            </w:r>
            <w:r w:rsidRPr="0053423A">
              <w:rPr>
                <w:rFonts w:eastAsia="Times New Roman" w:cs="Sylfaen"/>
                <w:b/>
                <w:sz w:val="20"/>
                <w:szCs w:val="20"/>
              </w:rPr>
              <w:t>ցումից</w:t>
            </w:r>
            <w:r w:rsidRPr="0053423A">
              <w:rPr>
                <w:rFonts w:eastAsia="Times New Roman"/>
                <w:b/>
                <w:sz w:val="20"/>
                <w:szCs w:val="20"/>
                <w:lang w:val="af-ZA"/>
              </w:rPr>
              <w:t xml:space="preserve"> </w:t>
            </w:r>
            <w:r w:rsidRPr="0053423A">
              <w:rPr>
                <w:rFonts w:eastAsia="Times New Roman" w:cs="Sylfaen"/>
                <w:b/>
                <w:sz w:val="20"/>
                <w:szCs w:val="20"/>
              </w:rPr>
              <w:t>ակնկալվող</w:t>
            </w:r>
            <w:r w:rsidRPr="0053423A">
              <w:rPr>
                <w:rFonts w:eastAsia="Times New Roman"/>
                <w:b/>
                <w:sz w:val="20"/>
                <w:szCs w:val="20"/>
                <w:lang w:val="af-ZA"/>
              </w:rPr>
              <w:t xml:space="preserve"> </w:t>
            </w:r>
            <w:r w:rsidRPr="0053423A">
              <w:rPr>
                <w:rFonts w:eastAsia="Times New Roman" w:cs="Sylfaen"/>
                <w:b/>
                <w:sz w:val="20"/>
                <w:szCs w:val="20"/>
              </w:rPr>
              <w:t>արդյունքը</w:t>
            </w:r>
          </w:p>
          <w:p w:rsidR="0084615D" w:rsidRPr="0053423A" w:rsidRDefault="0084615D" w:rsidP="00A67858">
            <w:pPr>
              <w:pStyle w:val="ListParagraph"/>
              <w:spacing w:after="0" w:line="276" w:lineRule="auto"/>
              <w:ind w:left="0" w:firstLine="735"/>
              <w:jc w:val="both"/>
              <w:rPr>
                <w:rFonts w:cs="Sylfaen"/>
                <w:noProof/>
                <w:spacing w:val="-8"/>
                <w:sz w:val="20"/>
                <w:szCs w:val="20"/>
                <w:lang w:val="af-ZA"/>
              </w:rPr>
            </w:pPr>
            <w:r w:rsidRPr="0053423A">
              <w:rPr>
                <w:rFonts w:cs="Sylfaen"/>
                <w:noProof/>
                <w:spacing w:val="-8"/>
                <w:sz w:val="20"/>
                <w:szCs w:val="20"/>
                <w:lang w:val="ru-RU"/>
              </w:rPr>
              <w:t>Ընդերքօգտագործող</w:t>
            </w:r>
            <w:r w:rsidRPr="0053423A">
              <w:rPr>
                <w:rFonts w:cs="Sylfaen"/>
                <w:noProof/>
                <w:spacing w:val="-8"/>
                <w:sz w:val="20"/>
                <w:szCs w:val="20"/>
                <w:lang w:val="af-ZA"/>
              </w:rPr>
              <w:t xml:space="preserve"> </w:t>
            </w:r>
            <w:r w:rsidRPr="0053423A">
              <w:rPr>
                <w:rFonts w:cs="Sylfaen"/>
                <w:noProof/>
                <w:spacing w:val="-8"/>
                <w:sz w:val="20"/>
                <w:szCs w:val="20"/>
                <w:lang w:val="ru-RU"/>
              </w:rPr>
              <w:t>կազմակերպությունների</w:t>
            </w:r>
            <w:r w:rsidRPr="0053423A">
              <w:rPr>
                <w:rFonts w:cs="Sylfaen"/>
                <w:noProof/>
                <w:spacing w:val="-8"/>
                <w:sz w:val="20"/>
                <w:szCs w:val="20"/>
                <w:lang w:val="af-ZA"/>
              </w:rPr>
              <w:t xml:space="preserve"> </w:t>
            </w:r>
            <w:r w:rsidRPr="0053423A">
              <w:rPr>
                <w:rFonts w:cs="Sylfaen"/>
                <w:noProof/>
                <w:spacing w:val="-8"/>
                <w:sz w:val="20"/>
                <w:szCs w:val="20"/>
                <w:lang w:val="ru-RU"/>
              </w:rPr>
              <w:t>բնականոն</w:t>
            </w:r>
            <w:r w:rsidRPr="0053423A">
              <w:rPr>
                <w:rFonts w:cs="Sylfaen"/>
                <w:noProof/>
                <w:spacing w:val="-8"/>
                <w:sz w:val="20"/>
                <w:szCs w:val="20"/>
                <w:lang w:val="af-ZA"/>
              </w:rPr>
              <w:t xml:space="preserve"> </w:t>
            </w:r>
            <w:r w:rsidRPr="0053423A">
              <w:rPr>
                <w:rFonts w:cs="Sylfaen"/>
                <w:noProof/>
                <w:spacing w:val="-8"/>
                <w:sz w:val="20"/>
                <w:szCs w:val="20"/>
                <w:lang w:val="ru-RU"/>
              </w:rPr>
              <w:t>գործունեության</w:t>
            </w:r>
            <w:r w:rsidRPr="0053423A">
              <w:rPr>
                <w:rFonts w:cs="Sylfaen"/>
                <w:noProof/>
                <w:spacing w:val="-8"/>
                <w:sz w:val="20"/>
                <w:szCs w:val="20"/>
                <w:lang w:val="af-ZA"/>
              </w:rPr>
              <w:t xml:space="preserve"> </w:t>
            </w:r>
            <w:r w:rsidRPr="0053423A">
              <w:rPr>
                <w:rFonts w:cs="Sylfaen"/>
                <w:noProof/>
                <w:spacing w:val="-8"/>
                <w:sz w:val="20"/>
                <w:szCs w:val="20"/>
                <w:lang w:val="ru-RU"/>
              </w:rPr>
              <w:t>ապահովում</w:t>
            </w:r>
            <w:r w:rsidRPr="0053423A">
              <w:rPr>
                <w:rFonts w:cs="Sylfaen"/>
                <w:noProof/>
                <w:spacing w:val="-8"/>
                <w:sz w:val="20"/>
                <w:szCs w:val="20"/>
                <w:lang w:val="af-ZA"/>
              </w:rPr>
              <w:t xml:space="preserve">, </w:t>
            </w:r>
            <w:r w:rsidRPr="0053423A">
              <w:rPr>
                <w:rFonts w:cs="Sylfaen"/>
                <w:noProof/>
                <w:spacing w:val="-8"/>
                <w:sz w:val="20"/>
                <w:szCs w:val="20"/>
                <w:lang w:val="ru-RU"/>
              </w:rPr>
              <w:t>այդ</w:t>
            </w:r>
            <w:r w:rsidRPr="0053423A">
              <w:rPr>
                <w:rFonts w:cs="Sylfaen"/>
                <w:noProof/>
                <w:spacing w:val="-8"/>
                <w:sz w:val="20"/>
                <w:szCs w:val="20"/>
                <w:lang w:val="af-ZA"/>
              </w:rPr>
              <w:t xml:space="preserve"> </w:t>
            </w:r>
            <w:r w:rsidRPr="0053423A">
              <w:rPr>
                <w:rFonts w:cs="Sylfaen"/>
                <w:noProof/>
                <w:spacing w:val="-8"/>
                <w:sz w:val="20"/>
                <w:szCs w:val="20"/>
                <w:lang w:val="ru-RU"/>
              </w:rPr>
              <w:t>թվում՝</w:t>
            </w:r>
            <w:r w:rsidRPr="0053423A">
              <w:rPr>
                <w:rFonts w:cs="Sylfaen"/>
                <w:noProof/>
                <w:spacing w:val="-8"/>
                <w:sz w:val="20"/>
                <w:szCs w:val="20"/>
                <w:lang w:val="af-ZA"/>
              </w:rPr>
              <w:t xml:space="preserve"> </w:t>
            </w:r>
            <w:r w:rsidRPr="0053423A">
              <w:rPr>
                <w:rFonts w:cs="Sylfaen"/>
                <w:noProof/>
                <w:spacing w:val="-8"/>
                <w:sz w:val="20"/>
                <w:szCs w:val="20"/>
                <w:lang w:val="ru-RU"/>
              </w:rPr>
              <w:t>սեփականության</w:t>
            </w:r>
            <w:r w:rsidRPr="0053423A">
              <w:rPr>
                <w:rFonts w:cs="Sylfaen"/>
                <w:noProof/>
                <w:spacing w:val="-8"/>
                <w:sz w:val="20"/>
                <w:szCs w:val="20"/>
                <w:lang w:val="af-ZA"/>
              </w:rPr>
              <w:t xml:space="preserve"> </w:t>
            </w:r>
            <w:r w:rsidRPr="0053423A">
              <w:rPr>
                <w:rFonts w:cs="Sylfaen"/>
                <w:noProof/>
                <w:spacing w:val="-8"/>
                <w:sz w:val="20"/>
                <w:szCs w:val="20"/>
                <w:lang w:val="ru-RU"/>
              </w:rPr>
              <w:t>իրավունքի</w:t>
            </w:r>
            <w:r w:rsidRPr="0053423A">
              <w:rPr>
                <w:rFonts w:cs="Sylfaen"/>
                <w:noProof/>
                <w:spacing w:val="-8"/>
                <w:sz w:val="20"/>
                <w:szCs w:val="20"/>
                <w:lang w:val="af-ZA"/>
              </w:rPr>
              <w:t xml:space="preserve"> </w:t>
            </w:r>
            <w:r w:rsidRPr="0053423A">
              <w:rPr>
                <w:rFonts w:cs="Sylfaen"/>
                <w:noProof/>
                <w:spacing w:val="-8"/>
                <w:sz w:val="20"/>
                <w:szCs w:val="20"/>
                <w:lang w:val="ru-RU"/>
              </w:rPr>
              <w:t>իրացման</w:t>
            </w:r>
            <w:r w:rsidRPr="0053423A">
              <w:rPr>
                <w:rFonts w:cs="Sylfaen"/>
                <w:noProof/>
                <w:spacing w:val="-8"/>
                <w:sz w:val="20"/>
                <w:szCs w:val="20"/>
                <w:lang w:val="af-ZA"/>
              </w:rPr>
              <w:t xml:space="preserve">, </w:t>
            </w:r>
            <w:r w:rsidRPr="0053423A">
              <w:rPr>
                <w:rFonts w:cs="Sylfaen"/>
                <w:noProof/>
                <w:spacing w:val="-8"/>
                <w:sz w:val="20"/>
                <w:szCs w:val="20"/>
                <w:lang w:val="ru-RU"/>
              </w:rPr>
              <w:t>ինչպես</w:t>
            </w:r>
            <w:r w:rsidRPr="0053423A">
              <w:rPr>
                <w:rFonts w:cs="Sylfaen"/>
                <w:noProof/>
                <w:spacing w:val="-8"/>
                <w:sz w:val="20"/>
                <w:szCs w:val="20"/>
                <w:lang w:val="af-ZA"/>
              </w:rPr>
              <w:t xml:space="preserve"> </w:t>
            </w:r>
            <w:r w:rsidRPr="0053423A">
              <w:rPr>
                <w:rFonts w:cs="Sylfaen"/>
                <w:noProof/>
                <w:spacing w:val="-8"/>
                <w:sz w:val="20"/>
                <w:szCs w:val="20"/>
                <w:lang w:val="ru-RU"/>
              </w:rPr>
              <w:t>նաև՝</w:t>
            </w:r>
            <w:r w:rsidRPr="0053423A">
              <w:rPr>
                <w:rFonts w:cs="Sylfaen"/>
                <w:noProof/>
                <w:spacing w:val="-8"/>
                <w:sz w:val="20"/>
                <w:szCs w:val="20"/>
                <w:lang w:val="af-ZA"/>
              </w:rPr>
              <w:t xml:space="preserve"> </w:t>
            </w:r>
            <w:r w:rsidRPr="0053423A">
              <w:rPr>
                <w:rFonts w:cs="Sylfaen"/>
                <w:noProof/>
                <w:spacing w:val="-8"/>
                <w:sz w:val="20"/>
                <w:szCs w:val="20"/>
                <w:lang w:val="ru-RU"/>
              </w:rPr>
              <w:t>ընդերքօգտագործման</w:t>
            </w:r>
            <w:r w:rsidRPr="0053423A">
              <w:rPr>
                <w:rFonts w:cs="Sylfaen"/>
                <w:noProof/>
                <w:spacing w:val="-8"/>
                <w:sz w:val="20"/>
                <w:szCs w:val="20"/>
                <w:lang w:val="af-ZA"/>
              </w:rPr>
              <w:t xml:space="preserve"> </w:t>
            </w:r>
            <w:r w:rsidRPr="0053423A">
              <w:rPr>
                <w:rFonts w:cs="Sylfaen"/>
                <w:noProof/>
                <w:spacing w:val="-8"/>
                <w:sz w:val="20"/>
                <w:szCs w:val="20"/>
                <w:lang w:val="ru-RU"/>
              </w:rPr>
              <w:t>նկատմամբ</w:t>
            </w:r>
            <w:r w:rsidRPr="0053423A">
              <w:rPr>
                <w:rFonts w:cs="Sylfaen"/>
                <w:noProof/>
                <w:spacing w:val="-8"/>
                <w:sz w:val="20"/>
                <w:szCs w:val="20"/>
                <w:lang w:val="af-ZA"/>
              </w:rPr>
              <w:t xml:space="preserve"> </w:t>
            </w:r>
            <w:r w:rsidRPr="0053423A">
              <w:rPr>
                <w:rFonts w:cs="Sylfaen"/>
                <w:noProof/>
                <w:spacing w:val="-8"/>
                <w:sz w:val="20"/>
                <w:szCs w:val="20"/>
                <w:lang w:val="ru-RU"/>
              </w:rPr>
              <w:t>համապատասխան</w:t>
            </w:r>
            <w:r w:rsidRPr="0053423A">
              <w:rPr>
                <w:rFonts w:cs="Sylfaen"/>
                <w:noProof/>
                <w:spacing w:val="-8"/>
                <w:sz w:val="20"/>
                <w:szCs w:val="20"/>
                <w:lang w:val="af-ZA"/>
              </w:rPr>
              <w:t xml:space="preserve"> </w:t>
            </w:r>
            <w:r w:rsidRPr="0053423A">
              <w:rPr>
                <w:rFonts w:cs="Sylfaen"/>
                <w:noProof/>
                <w:spacing w:val="-8"/>
                <w:sz w:val="20"/>
                <w:szCs w:val="20"/>
                <w:lang w:val="ru-RU"/>
              </w:rPr>
              <w:t>պետական</w:t>
            </w:r>
            <w:r w:rsidRPr="0053423A">
              <w:rPr>
                <w:rFonts w:cs="Sylfaen"/>
                <w:noProof/>
                <w:spacing w:val="-8"/>
                <w:sz w:val="20"/>
                <w:szCs w:val="20"/>
                <w:lang w:val="af-ZA"/>
              </w:rPr>
              <w:t xml:space="preserve"> </w:t>
            </w:r>
            <w:r w:rsidRPr="0053423A">
              <w:rPr>
                <w:rFonts w:cs="Sylfaen"/>
                <w:noProof/>
                <w:spacing w:val="-8"/>
                <w:sz w:val="20"/>
                <w:szCs w:val="20"/>
                <w:lang w:val="ru-RU"/>
              </w:rPr>
              <w:t>վերահսկողական</w:t>
            </w:r>
            <w:r w:rsidRPr="0053423A">
              <w:rPr>
                <w:rFonts w:cs="Sylfaen"/>
                <w:noProof/>
                <w:spacing w:val="-8"/>
                <w:sz w:val="20"/>
                <w:szCs w:val="20"/>
                <w:lang w:val="af-ZA"/>
              </w:rPr>
              <w:t xml:space="preserve"> </w:t>
            </w:r>
            <w:r w:rsidRPr="0053423A">
              <w:rPr>
                <w:rFonts w:cs="Sylfaen"/>
                <w:noProof/>
                <w:spacing w:val="-8"/>
                <w:sz w:val="20"/>
                <w:szCs w:val="20"/>
                <w:lang w:val="ru-RU"/>
              </w:rPr>
              <w:t>գործառույթների</w:t>
            </w:r>
            <w:r w:rsidRPr="0053423A">
              <w:rPr>
                <w:rFonts w:cs="Sylfaen"/>
                <w:noProof/>
                <w:spacing w:val="-8"/>
                <w:sz w:val="20"/>
                <w:szCs w:val="20"/>
                <w:lang w:val="af-ZA"/>
              </w:rPr>
              <w:t xml:space="preserve"> </w:t>
            </w:r>
            <w:r w:rsidRPr="0053423A">
              <w:rPr>
                <w:rFonts w:cs="Sylfaen"/>
                <w:noProof/>
                <w:spacing w:val="-8"/>
                <w:sz w:val="20"/>
                <w:szCs w:val="20"/>
                <w:lang w:val="ru-RU"/>
              </w:rPr>
              <w:t>իրականացման</w:t>
            </w:r>
            <w:r w:rsidRPr="0053423A">
              <w:rPr>
                <w:rFonts w:cs="Sylfaen"/>
                <w:noProof/>
                <w:spacing w:val="-8"/>
                <w:sz w:val="20"/>
                <w:szCs w:val="20"/>
                <w:lang w:val="af-ZA"/>
              </w:rPr>
              <w:t xml:space="preserve"> </w:t>
            </w:r>
            <w:r w:rsidRPr="0053423A">
              <w:rPr>
                <w:rFonts w:cs="Sylfaen"/>
                <w:noProof/>
                <w:spacing w:val="-8"/>
                <w:sz w:val="20"/>
                <w:szCs w:val="20"/>
                <w:lang w:val="ru-RU"/>
              </w:rPr>
              <w:t>տեսանկյունից</w:t>
            </w:r>
            <w:r w:rsidRPr="0053423A">
              <w:rPr>
                <w:rFonts w:cs="Sylfaen"/>
                <w:noProof/>
                <w:spacing w:val="-8"/>
                <w:sz w:val="20"/>
                <w:szCs w:val="20"/>
                <w:lang w:val="af-ZA"/>
              </w:rPr>
              <w:t xml:space="preserve">: </w:t>
            </w:r>
          </w:p>
          <w:p w:rsidR="0084615D" w:rsidRPr="0053423A" w:rsidRDefault="0084615D" w:rsidP="00A67858">
            <w:pPr>
              <w:spacing w:after="0" w:line="276" w:lineRule="auto"/>
              <w:jc w:val="center"/>
              <w:rPr>
                <w:rFonts w:eastAsia="Times New Roman"/>
                <w:b/>
                <w:bCs/>
                <w:sz w:val="20"/>
                <w:szCs w:val="20"/>
                <w:lang w:val="hy-AM"/>
              </w:rPr>
            </w:pP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13</w:t>
            </w:r>
          </w:p>
        </w:tc>
        <w:tc>
          <w:tcPr>
            <w:tcW w:w="10879" w:type="dxa"/>
            <w:shd w:val="clear" w:color="auto" w:fill="auto"/>
          </w:tcPr>
          <w:p w:rsidR="0084615D" w:rsidRPr="0053423A" w:rsidRDefault="0084615D" w:rsidP="00A67858">
            <w:pPr>
              <w:spacing w:after="0" w:line="276" w:lineRule="auto"/>
              <w:jc w:val="center"/>
              <w:rPr>
                <w:rFonts w:cs="GHEA Grapalat"/>
                <w:b/>
                <w:sz w:val="20"/>
                <w:szCs w:val="20"/>
                <w:lang w:val="af-ZA"/>
              </w:rPr>
            </w:pPr>
            <w:r w:rsidRPr="0053423A">
              <w:rPr>
                <w:rFonts w:cs="GHEA Grapalat"/>
                <w:b/>
                <w:sz w:val="20"/>
                <w:szCs w:val="20"/>
                <w:lang w:val="af-ZA"/>
              </w:rPr>
              <w:t>Ընդերքօգտագործման համար անհրաժեշտ  հողատարածքների տրամադրման իրավական կարգավորում</w:t>
            </w:r>
          </w:p>
          <w:p w:rsidR="0084615D" w:rsidRPr="0053423A" w:rsidRDefault="0084615D" w:rsidP="00A67858">
            <w:pPr>
              <w:spacing w:after="0" w:line="276" w:lineRule="auto"/>
              <w:jc w:val="center"/>
              <w:rPr>
                <w:rFonts w:cs="GHEA Grapalat"/>
                <w:b/>
                <w:sz w:val="20"/>
                <w:szCs w:val="20"/>
                <w:lang w:val="af-ZA"/>
              </w:rPr>
            </w:pPr>
          </w:p>
          <w:p w:rsidR="0084615D" w:rsidRPr="0053423A" w:rsidRDefault="0084615D" w:rsidP="00A67858">
            <w:pPr>
              <w:spacing w:after="0" w:line="276" w:lineRule="auto"/>
              <w:ind w:right="-195" w:firstLine="567"/>
              <w:jc w:val="center"/>
              <w:rPr>
                <w:rFonts w:eastAsia="Times New Roman" w:cs="Sylfaen"/>
                <w:b/>
                <w:noProof/>
                <w:spacing w:val="-8"/>
                <w:sz w:val="20"/>
                <w:szCs w:val="20"/>
                <w:u w:val="single"/>
                <w:lang w:val="hy-AM"/>
              </w:rPr>
            </w:pPr>
            <w:r w:rsidRPr="0053423A">
              <w:rPr>
                <w:rFonts w:eastAsia="Times New Roman" w:cs="Sylfaen"/>
                <w:b/>
                <w:noProof/>
                <w:spacing w:val="-8"/>
                <w:sz w:val="20"/>
                <w:szCs w:val="20"/>
                <w:u w:val="single"/>
                <w:lang w:val="hy-AM" w:eastAsia="x-none"/>
              </w:rPr>
              <w:t>«ՀՀ ընդերքի մասին օրենսգրքում և ՀՀ հողային օրենսգրքում փոփոխություններ և լրացումներ կատարելու մասին» ՀՀ օրենքների նախագծերի փաթեթ</w:t>
            </w:r>
            <w:r w:rsidR="0026110E">
              <w:rPr>
                <w:rFonts w:eastAsia="Times New Roman" w:cs="Sylfaen"/>
                <w:b/>
                <w:noProof/>
                <w:spacing w:val="-8"/>
                <w:sz w:val="20"/>
                <w:szCs w:val="20"/>
                <w:u w:val="single"/>
                <w:lang w:val="hy-AM" w:eastAsia="x-none"/>
              </w:rPr>
              <w:t>ի մշակում</w:t>
            </w:r>
          </w:p>
          <w:p w:rsidR="0084615D" w:rsidRPr="0053423A" w:rsidRDefault="0084615D" w:rsidP="00A67858">
            <w:pPr>
              <w:spacing w:after="0" w:line="276" w:lineRule="auto"/>
              <w:ind w:firstLine="735"/>
              <w:rPr>
                <w:rFonts w:eastAsia="Times New Roman"/>
                <w:b/>
                <w:sz w:val="20"/>
                <w:szCs w:val="20"/>
                <w:lang w:val="af-ZA"/>
              </w:rPr>
            </w:pPr>
            <w:r w:rsidRPr="0053423A">
              <w:rPr>
                <w:rFonts w:eastAsia="Times New Roman" w:cs="Courier New"/>
                <w:b/>
                <w:sz w:val="20"/>
                <w:szCs w:val="20"/>
                <w:lang w:val="af-ZA"/>
              </w:rPr>
              <w:t>1.</w:t>
            </w:r>
            <w:r w:rsidRPr="0053423A">
              <w:rPr>
                <w:rFonts w:ascii="Calibri" w:eastAsia="Times New Roman" w:hAnsi="Calibri" w:cs="Calibri"/>
                <w:b/>
                <w:sz w:val="20"/>
                <w:szCs w:val="20"/>
                <w:lang w:val="af-ZA"/>
              </w:rPr>
              <w:t> </w:t>
            </w:r>
            <w:r w:rsidRPr="0053423A">
              <w:rPr>
                <w:rFonts w:eastAsia="Times New Roman" w:cs="Sylfaen"/>
                <w:b/>
                <w:sz w:val="20"/>
                <w:szCs w:val="20"/>
                <w:lang w:val="hy-AM"/>
              </w:rPr>
              <w:t>Միջոցառման</w:t>
            </w:r>
            <w:r w:rsidRPr="0053423A">
              <w:rPr>
                <w:rFonts w:eastAsia="Times New Roman"/>
                <w:b/>
                <w:sz w:val="20"/>
                <w:szCs w:val="20"/>
                <w:lang w:val="af-ZA"/>
              </w:rPr>
              <w:t xml:space="preserve"> </w:t>
            </w:r>
            <w:r w:rsidRPr="0053423A">
              <w:rPr>
                <w:rFonts w:eastAsia="Times New Roman" w:cs="Sylfaen"/>
                <w:b/>
                <w:sz w:val="20"/>
                <w:szCs w:val="20"/>
                <w:lang w:val="hy-AM"/>
              </w:rPr>
              <w:t>իրականացման</w:t>
            </w:r>
            <w:r w:rsidRPr="0053423A">
              <w:rPr>
                <w:rFonts w:eastAsia="Times New Roman"/>
                <w:b/>
                <w:sz w:val="20"/>
                <w:szCs w:val="20"/>
                <w:lang w:val="af-ZA"/>
              </w:rPr>
              <w:t xml:space="preserve"> </w:t>
            </w:r>
            <w:r w:rsidRPr="0053423A">
              <w:rPr>
                <w:rFonts w:eastAsia="Times New Roman" w:cs="Sylfae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նպատակը</w:t>
            </w:r>
          </w:p>
          <w:p w:rsidR="0084615D" w:rsidRPr="0053423A" w:rsidRDefault="0084615D" w:rsidP="00A67858">
            <w:pPr>
              <w:spacing w:after="0" w:line="276" w:lineRule="auto"/>
              <w:ind w:firstLine="735"/>
              <w:jc w:val="both"/>
              <w:rPr>
                <w:rFonts w:cs="GHEA Grapalat"/>
                <w:sz w:val="20"/>
                <w:szCs w:val="20"/>
                <w:lang w:val="hy-AM"/>
              </w:rPr>
            </w:pPr>
            <w:r w:rsidRPr="0053423A">
              <w:rPr>
                <w:rFonts w:cs="GHEA Grapalat"/>
                <w:sz w:val="20"/>
                <w:szCs w:val="20"/>
                <w:lang w:val="hy-AM"/>
              </w:rPr>
              <w:t>Ընդերքօգտագործման համար անհրաժեշտ հողհատկացման խնդրի իրավակարգավորման նպատակով անհրաժեշտություն է առաջացել իրականացնելու միջազգային փորձի ուսումնասիրություն և վերջինիս արդյունքում ընդերքօգտագործման իրավունքների տրամադրման գործընթացի փոխկապակցված մեխանիզմի ներդրում:</w:t>
            </w:r>
          </w:p>
          <w:p w:rsidR="0084615D" w:rsidRPr="0053423A" w:rsidRDefault="0084615D" w:rsidP="001F6D5D">
            <w:pPr>
              <w:pStyle w:val="ListParagraph"/>
              <w:numPr>
                <w:ilvl w:val="1"/>
                <w:numId w:val="289"/>
              </w:numPr>
              <w:tabs>
                <w:tab w:val="left" w:pos="900"/>
                <w:tab w:val="left" w:pos="1620"/>
              </w:tabs>
              <w:spacing w:after="0" w:line="276" w:lineRule="auto"/>
              <w:ind w:left="0" w:firstLine="735"/>
              <w:rPr>
                <w:rFonts w:eastAsia="Times New Roman"/>
                <w:b/>
                <w:sz w:val="20"/>
                <w:szCs w:val="20"/>
                <w:lang w:val="af-ZA"/>
              </w:rPr>
            </w:pPr>
            <w:r w:rsidRPr="0053423A">
              <w:rPr>
                <w:rFonts w:eastAsia="Times New Roman" w:cs="Sylfaen"/>
                <w:b/>
                <w:sz w:val="20"/>
                <w:szCs w:val="20"/>
                <w:lang w:val="hy-AM"/>
              </w:rPr>
              <w:t>Կարգավորման</w:t>
            </w:r>
            <w:r w:rsidRPr="0053423A">
              <w:rPr>
                <w:rFonts w:eastAsia="Times New Roman"/>
                <w:b/>
                <w:sz w:val="20"/>
                <w:szCs w:val="20"/>
                <w:lang w:val="af-ZA"/>
              </w:rPr>
              <w:t xml:space="preserve"> </w:t>
            </w:r>
            <w:r w:rsidRPr="0053423A">
              <w:rPr>
                <w:rFonts w:eastAsia="Times New Roman" w:cs="Sylfaen"/>
                <w:b/>
                <w:sz w:val="20"/>
                <w:szCs w:val="20"/>
                <w:lang w:val="hy-AM"/>
              </w:rPr>
              <w:t>հարաբերությունների</w:t>
            </w:r>
            <w:r w:rsidRPr="0053423A">
              <w:rPr>
                <w:rFonts w:eastAsia="Times New Roman"/>
                <w:b/>
                <w:sz w:val="20"/>
                <w:szCs w:val="20"/>
                <w:lang w:val="af-ZA"/>
              </w:rPr>
              <w:t xml:space="preserve"> </w:t>
            </w:r>
            <w:r w:rsidRPr="0053423A">
              <w:rPr>
                <w:rFonts w:eastAsia="Times New Roman" w:cs="Sylfaen"/>
                <w:b/>
                <w:sz w:val="20"/>
                <w:szCs w:val="20"/>
                <w:lang w:val="hy-AM"/>
              </w:rPr>
              <w:t>ներկա</w:t>
            </w:r>
            <w:r w:rsidRPr="0053423A">
              <w:rPr>
                <w:rFonts w:eastAsia="Times New Roman"/>
                <w:b/>
                <w:sz w:val="20"/>
                <w:szCs w:val="20"/>
                <w:lang w:val="af-ZA"/>
              </w:rPr>
              <w:t xml:space="preserve"> </w:t>
            </w:r>
            <w:r w:rsidRPr="0053423A">
              <w:rPr>
                <w:rFonts w:eastAsia="Times New Roman" w:cs="Sylfaen"/>
                <w:b/>
                <w:sz w:val="20"/>
                <w:szCs w:val="20"/>
                <w:lang w:val="hy-AM"/>
              </w:rPr>
              <w:t>վիճակը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առկա</w:t>
            </w:r>
            <w:r w:rsidRPr="0053423A">
              <w:rPr>
                <w:rFonts w:eastAsia="Times New Roman"/>
                <w:b/>
                <w:sz w:val="20"/>
                <w:szCs w:val="20"/>
                <w:lang w:val="af-ZA"/>
              </w:rPr>
              <w:t xml:space="preserve"> </w:t>
            </w:r>
            <w:r w:rsidRPr="0053423A">
              <w:rPr>
                <w:rFonts w:eastAsia="Times New Roman" w:cs="Sylfaen"/>
                <w:b/>
                <w:sz w:val="20"/>
                <w:szCs w:val="20"/>
                <w:lang w:val="hy-AM"/>
              </w:rPr>
              <w:t>խնդիրները</w:t>
            </w:r>
          </w:p>
          <w:p w:rsidR="0084615D" w:rsidRPr="0053423A" w:rsidRDefault="0084615D" w:rsidP="00A67858">
            <w:pPr>
              <w:spacing w:after="0" w:line="276" w:lineRule="auto"/>
              <w:ind w:firstLine="735"/>
              <w:jc w:val="both"/>
              <w:rPr>
                <w:rFonts w:cs="Sylfaen"/>
                <w:bCs/>
                <w:iCs/>
                <w:sz w:val="20"/>
                <w:szCs w:val="20"/>
                <w:lang w:val="af-ZA"/>
              </w:rPr>
            </w:pPr>
            <w:r w:rsidRPr="0053423A">
              <w:rPr>
                <w:rFonts w:cs="Sylfaen"/>
                <w:bCs/>
                <w:iCs/>
                <w:sz w:val="20"/>
                <w:szCs w:val="20"/>
                <w:lang w:val="hy-AM"/>
              </w:rPr>
              <w:t xml:space="preserve">Ներկայումս </w:t>
            </w:r>
            <w:r w:rsidRPr="0053423A">
              <w:rPr>
                <w:rFonts w:cs="Sylfaen"/>
                <w:bCs/>
                <w:iCs/>
                <w:sz w:val="20"/>
                <w:szCs w:val="20"/>
                <w:lang w:val="ru-RU"/>
              </w:rPr>
              <w:t>Հայաստանի</w:t>
            </w:r>
            <w:r w:rsidRPr="0053423A">
              <w:rPr>
                <w:rFonts w:cs="Sylfaen"/>
                <w:bCs/>
                <w:iCs/>
                <w:sz w:val="20"/>
                <w:szCs w:val="20"/>
                <w:lang w:val="af-ZA"/>
              </w:rPr>
              <w:t xml:space="preserve"> </w:t>
            </w:r>
            <w:r w:rsidRPr="0053423A">
              <w:rPr>
                <w:rFonts w:cs="Sylfaen"/>
                <w:bCs/>
                <w:iCs/>
                <w:sz w:val="20"/>
                <w:szCs w:val="20"/>
                <w:lang w:val="ru-RU"/>
              </w:rPr>
              <w:t>Հանրապետությունում</w:t>
            </w:r>
            <w:r w:rsidRPr="0053423A">
              <w:rPr>
                <w:rFonts w:cs="Sylfaen"/>
                <w:bCs/>
                <w:iCs/>
                <w:sz w:val="20"/>
                <w:szCs w:val="20"/>
                <w:lang w:val="af-ZA"/>
              </w:rPr>
              <w:t xml:space="preserve"> </w:t>
            </w:r>
            <w:r w:rsidRPr="0053423A">
              <w:rPr>
                <w:rFonts w:cs="GHEA Grapalat"/>
                <w:sz w:val="20"/>
                <w:szCs w:val="20"/>
                <w:lang w:val="ru-RU"/>
              </w:rPr>
              <w:t>հողամասերը</w:t>
            </w:r>
            <w:r w:rsidRPr="0053423A">
              <w:rPr>
                <w:rFonts w:cs="GHEA Grapalat"/>
                <w:sz w:val="20"/>
                <w:szCs w:val="20"/>
                <w:lang w:val="af-ZA"/>
              </w:rPr>
              <w:t xml:space="preserve"> </w:t>
            </w:r>
            <w:r w:rsidRPr="0053423A">
              <w:rPr>
                <w:rFonts w:cs="GHEA Grapalat"/>
                <w:sz w:val="20"/>
                <w:szCs w:val="20"/>
                <w:lang w:val="ru-RU"/>
              </w:rPr>
              <w:t>սեփականության</w:t>
            </w:r>
            <w:r w:rsidRPr="0053423A">
              <w:rPr>
                <w:rFonts w:cs="GHEA Grapalat"/>
                <w:sz w:val="20"/>
                <w:szCs w:val="20"/>
                <w:lang w:val="af-ZA"/>
              </w:rPr>
              <w:t xml:space="preserve"> </w:t>
            </w:r>
            <w:r w:rsidRPr="0053423A">
              <w:rPr>
                <w:rFonts w:cs="GHEA Grapalat"/>
                <w:sz w:val="20"/>
                <w:szCs w:val="20"/>
                <w:lang w:val="ru-RU"/>
              </w:rPr>
              <w:t>իրավունքով</w:t>
            </w:r>
            <w:r w:rsidRPr="0053423A">
              <w:rPr>
                <w:rFonts w:cs="GHEA Grapalat"/>
                <w:sz w:val="20"/>
                <w:szCs w:val="20"/>
                <w:lang w:val="af-ZA"/>
              </w:rPr>
              <w:t xml:space="preserve"> </w:t>
            </w:r>
            <w:r w:rsidRPr="0053423A">
              <w:rPr>
                <w:rFonts w:cs="GHEA Grapalat"/>
                <w:sz w:val="20"/>
                <w:szCs w:val="20"/>
                <w:lang w:val="ru-RU"/>
              </w:rPr>
              <w:t>պատկանում</w:t>
            </w:r>
            <w:r w:rsidRPr="0053423A">
              <w:rPr>
                <w:rFonts w:cs="GHEA Grapalat"/>
                <w:sz w:val="20"/>
                <w:szCs w:val="20"/>
                <w:lang w:val="af-ZA"/>
              </w:rPr>
              <w:t xml:space="preserve"> </w:t>
            </w:r>
            <w:r w:rsidRPr="0053423A">
              <w:rPr>
                <w:rFonts w:cs="GHEA Grapalat"/>
                <w:sz w:val="20"/>
                <w:szCs w:val="20"/>
                <w:lang w:val="ru-RU"/>
              </w:rPr>
              <w:t>են</w:t>
            </w:r>
            <w:r w:rsidRPr="0053423A">
              <w:rPr>
                <w:rFonts w:cs="GHEA Grapalat"/>
                <w:sz w:val="20"/>
                <w:szCs w:val="20"/>
                <w:lang w:val="af-ZA"/>
              </w:rPr>
              <w:t xml:space="preserve"> </w:t>
            </w:r>
            <w:r w:rsidRPr="0053423A">
              <w:rPr>
                <w:rFonts w:cs="GHEA Grapalat"/>
                <w:sz w:val="20"/>
                <w:szCs w:val="20"/>
                <w:lang w:val="ru-RU"/>
              </w:rPr>
              <w:t>տարբեր</w:t>
            </w:r>
            <w:r w:rsidRPr="0053423A">
              <w:rPr>
                <w:rFonts w:cs="GHEA Grapalat"/>
                <w:sz w:val="20"/>
                <w:szCs w:val="20"/>
                <w:lang w:val="af-ZA"/>
              </w:rPr>
              <w:t xml:space="preserve"> </w:t>
            </w:r>
            <w:r w:rsidRPr="0053423A">
              <w:rPr>
                <w:rFonts w:cs="GHEA Grapalat"/>
                <w:sz w:val="20"/>
                <w:szCs w:val="20"/>
                <w:lang w:val="ru-RU"/>
              </w:rPr>
              <w:t>սույեկտների՝</w:t>
            </w:r>
            <w:r w:rsidRPr="0053423A">
              <w:rPr>
                <w:rFonts w:cs="GHEA Grapalat"/>
                <w:sz w:val="20"/>
                <w:szCs w:val="20"/>
                <w:lang w:val="af-ZA"/>
              </w:rPr>
              <w:t xml:space="preserve"> </w:t>
            </w:r>
            <w:r w:rsidRPr="0053423A">
              <w:rPr>
                <w:rFonts w:cs="GHEA Grapalat"/>
                <w:sz w:val="20"/>
                <w:szCs w:val="20"/>
                <w:lang w:val="ru-RU"/>
              </w:rPr>
              <w:t>համայնքներ</w:t>
            </w:r>
            <w:r w:rsidRPr="0053423A">
              <w:rPr>
                <w:rFonts w:cs="GHEA Grapalat"/>
                <w:sz w:val="20"/>
                <w:szCs w:val="20"/>
                <w:lang w:val="af-ZA"/>
              </w:rPr>
              <w:t xml:space="preserve">, </w:t>
            </w:r>
            <w:r w:rsidRPr="0053423A">
              <w:rPr>
                <w:rFonts w:cs="GHEA Grapalat"/>
                <w:sz w:val="20"/>
                <w:szCs w:val="20"/>
                <w:lang w:val="ru-RU"/>
              </w:rPr>
              <w:t>ֆիզիկական</w:t>
            </w:r>
            <w:r w:rsidRPr="0053423A">
              <w:rPr>
                <w:rFonts w:cs="GHEA Grapalat"/>
                <w:sz w:val="20"/>
                <w:szCs w:val="20"/>
                <w:lang w:val="af-ZA"/>
              </w:rPr>
              <w:t xml:space="preserve"> </w:t>
            </w:r>
            <w:r w:rsidRPr="0053423A">
              <w:rPr>
                <w:rFonts w:cs="GHEA Grapalat"/>
                <w:sz w:val="20"/>
                <w:szCs w:val="20"/>
                <w:lang w:val="ru-RU"/>
              </w:rPr>
              <w:t>և</w:t>
            </w:r>
            <w:r w:rsidRPr="0053423A">
              <w:rPr>
                <w:rFonts w:cs="GHEA Grapalat"/>
                <w:sz w:val="20"/>
                <w:szCs w:val="20"/>
                <w:lang w:val="af-ZA"/>
              </w:rPr>
              <w:t xml:space="preserve"> </w:t>
            </w:r>
            <w:r w:rsidRPr="0053423A">
              <w:rPr>
                <w:rFonts w:cs="GHEA Grapalat"/>
                <w:sz w:val="20"/>
                <w:szCs w:val="20"/>
                <w:lang w:val="ru-RU"/>
              </w:rPr>
              <w:t>իրավաբանական</w:t>
            </w:r>
            <w:r w:rsidRPr="0053423A">
              <w:rPr>
                <w:rFonts w:cs="GHEA Grapalat"/>
                <w:sz w:val="20"/>
                <w:szCs w:val="20"/>
                <w:lang w:val="af-ZA"/>
              </w:rPr>
              <w:t xml:space="preserve"> </w:t>
            </w:r>
            <w:r w:rsidRPr="0053423A">
              <w:rPr>
                <w:rFonts w:cs="GHEA Grapalat"/>
                <w:sz w:val="20"/>
                <w:szCs w:val="20"/>
                <w:lang w:val="ru-RU"/>
              </w:rPr>
              <w:t>անձինք</w:t>
            </w:r>
            <w:r w:rsidRPr="0053423A">
              <w:rPr>
                <w:rFonts w:cs="GHEA Grapalat"/>
                <w:sz w:val="20"/>
                <w:szCs w:val="20"/>
                <w:lang w:val="af-ZA"/>
              </w:rPr>
              <w:t xml:space="preserve">, </w:t>
            </w:r>
            <w:r w:rsidRPr="0053423A">
              <w:rPr>
                <w:rFonts w:cs="GHEA Grapalat"/>
                <w:sz w:val="20"/>
                <w:szCs w:val="20"/>
                <w:lang w:val="ru-RU"/>
              </w:rPr>
              <w:t>որոնք</w:t>
            </w:r>
            <w:r w:rsidRPr="0053423A">
              <w:rPr>
                <w:rFonts w:cs="GHEA Grapalat"/>
                <w:sz w:val="20"/>
                <w:szCs w:val="20"/>
                <w:lang w:val="af-ZA"/>
              </w:rPr>
              <w:t xml:space="preserve"> </w:t>
            </w:r>
            <w:r w:rsidRPr="0053423A">
              <w:rPr>
                <w:rFonts w:cs="GHEA Grapalat"/>
                <w:sz w:val="20"/>
                <w:szCs w:val="20"/>
                <w:lang w:val="ru-RU"/>
              </w:rPr>
              <w:t>իրենք</w:t>
            </w:r>
            <w:r w:rsidRPr="0053423A">
              <w:rPr>
                <w:rFonts w:cs="GHEA Grapalat"/>
                <w:sz w:val="20"/>
                <w:szCs w:val="20"/>
                <w:lang w:val="af-ZA"/>
              </w:rPr>
              <w:t xml:space="preserve"> </w:t>
            </w:r>
            <w:r w:rsidRPr="0053423A">
              <w:rPr>
                <w:rFonts w:cs="GHEA Grapalat"/>
                <w:sz w:val="20"/>
                <w:szCs w:val="20"/>
                <w:lang w:val="ru-RU"/>
              </w:rPr>
              <w:t>են</w:t>
            </w:r>
            <w:r w:rsidRPr="0053423A">
              <w:rPr>
                <w:rFonts w:cs="GHEA Grapalat"/>
                <w:sz w:val="20"/>
                <w:szCs w:val="20"/>
                <w:lang w:val="af-ZA"/>
              </w:rPr>
              <w:t xml:space="preserve"> </w:t>
            </w:r>
            <w:r w:rsidRPr="0053423A">
              <w:rPr>
                <w:rFonts w:cs="GHEA Grapalat"/>
                <w:sz w:val="20"/>
                <w:szCs w:val="20"/>
                <w:lang w:val="ru-RU"/>
              </w:rPr>
              <w:t>տնօրինում</w:t>
            </w:r>
            <w:r w:rsidRPr="0053423A">
              <w:rPr>
                <w:rFonts w:cs="GHEA Grapalat"/>
                <w:sz w:val="20"/>
                <w:szCs w:val="20"/>
                <w:lang w:val="af-ZA"/>
              </w:rPr>
              <w:t xml:space="preserve"> </w:t>
            </w:r>
            <w:r w:rsidRPr="0053423A">
              <w:rPr>
                <w:rFonts w:cs="GHEA Grapalat"/>
                <w:sz w:val="20"/>
                <w:szCs w:val="20"/>
                <w:lang w:val="ru-RU"/>
              </w:rPr>
              <w:t>իրենց</w:t>
            </w:r>
            <w:r w:rsidRPr="0053423A">
              <w:rPr>
                <w:rFonts w:cs="GHEA Grapalat"/>
                <w:sz w:val="20"/>
                <w:szCs w:val="20"/>
                <w:lang w:val="af-ZA"/>
              </w:rPr>
              <w:t xml:space="preserve"> </w:t>
            </w:r>
            <w:r w:rsidRPr="0053423A">
              <w:rPr>
                <w:rFonts w:cs="GHEA Grapalat"/>
                <w:sz w:val="20"/>
                <w:szCs w:val="20"/>
                <w:lang w:val="ru-RU"/>
              </w:rPr>
              <w:t>գույքը</w:t>
            </w:r>
            <w:r w:rsidRPr="0053423A">
              <w:rPr>
                <w:rFonts w:cs="GHEA Grapalat"/>
                <w:sz w:val="20"/>
                <w:szCs w:val="20"/>
                <w:lang w:val="af-ZA"/>
              </w:rPr>
              <w:t xml:space="preserve"> </w:t>
            </w:r>
            <w:r w:rsidRPr="0053423A">
              <w:rPr>
                <w:rFonts w:cs="GHEA Grapalat"/>
                <w:sz w:val="20"/>
                <w:szCs w:val="20"/>
                <w:lang w:val="ru-RU"/>
              </w:rPr>
              <w:t>և</w:t>
            </w:r>
            <w:r w:rsidRPr="0053423A">
              <w:rPr>
                <w:rFonts w:cs="GHEA Grapalat"/>
                <w:sz w:val="20"/>
                <w:szCs w:val="20"/>
                <w:lang w:val="af-ZA"/>
              </w:rPr>
              <w:t xml:space="preserve"> </w:t>
            </w:r>
            <w:r w:rsidRPr="0053423A">
              <w:rPr>
                <w:rFonts w:cs="GHEA Grapalat"/>
                <w:sz w:val="20"/>
                <w:szCs w:val="20"/>
                <w:lang w:val="ru-RU"/>
              </w:rPr>
              <w:t>այդ</w:t>
            </w:r>
            <w:r w:rsidRPr="0053423A">
              <w:rPr>
                <w:rFonts w:cs="GHEA Grapalat"/>
                <w:sz w:val="20"/>
                <w:szCs w:val="20"/>
                <w:lang w:val="af-ZA"/>
              </w:rPr>
              <w:t xml:space="preserve"> </w:t>
            </w:r>
            <w:r w:rsidRPr="0053423A">
              <w:rPr>
                <w:rFonts w:cs="GHEA Grapalat"/>
                <w:sz w:val="20"/>
                <w:szCs w:val="20"/>
                <w:lang w:val="ru-RU"/>
              </w:rPr>
              <w:t>իրավազորությունը</w:t>
            </w:r>
            <w:r w:rsidRPr="0053423A">
              <w:rPr>
                <w:rFonts w:cs="GHEA Grapalat"/>
                <w:sz w:val="20"/>
                <w:szCs w:val="20"/>
                <w:lang w:val="af-ZA"/>
              </w:rPr>
              <w:t xml:space="preserve"> </w:t>
            </w:r>
            <w:r w:rsidRPr="0053423A">
              <w:rPr>
                <w:rFonts w:cs="GHEA Grapalat"/>
                <w:sz w:val="20"/>
                <w:szCs w:val="20"/>
                <w:lang w:val="ru-RU"/>
              </w:rPr>
              <w:t>պահպանված</w:t>
            </w:r>
            <w:r w:rsidRPr="0053423A">
              <w:rPr>
                <w:rFonts w:cs="GHEA Grapalat"/>
                <w:sz w:val="20"/>
                <w:szCs w:val="20"/>
                <w:lang w:val="af-ZA"/>
              </w:rPr>
              <w:t xml:space="preserve"> </w:t>
            </w:r>
            <w:r w:rsidRPr="0053423A">
              <w:rPr>
                <w:rFonts w:cs="GHEA Grapalat"/>
                <w:sz w:val="20"/>
                <w:szCs w:val="20"/>
                <w:lang w:val="ru-RU"/>
              </w:rPr>
              <w:t>է</w:t>
            </w:r>
            <w:r w:rsidRPr="0053423A">
              <w:rPr>
                <w:rFonts w:cs="GHEA Grapalat"/>
                <w:sz w:val="20"/>
                <w:szCs w:val="20"/>
                <w:lang w:val="af-ZA"/>
              </w:rPr>
              <w:t xml:space="preserve"> </w:t>
            </w:r>
            <w:r w:rsidRPr="0053423A">
              <w:rPr>
                <w:rFonts w:cs="GHEA Grapalat"/>
                <w:sz w:val="20"/>
                <w:szCs w:val="20"/>
                <w:lang w:val="ru-RU"/>
              </w:rPr>
              <w:t>ՀՀ</w:t>
            </w:r>
            <w:r w:rsidRPr="0053423A">
              <w:rPr>
                <w:rFonts w:cs="GHEA Grapalat"/>
                <w:sz w:val="20"/>
                <w:szCs w:val="20"/>
                <w:lang w:val="af-ZA"/>
              </w:rPr>
              <w:t xml:space="preserve"> </w:t>
            </w:r>
            <w:r w:rsidRPr="0053423A">
              <w:rPr>
                <w:rFonts w:cs="GHEA Grapalat"/>
                <w:sz w:val="20"/>
                <w:szCs w:val="20"/>
                <w:lang w:val="ru-RU"/>
              </w:rPr>
              <w:t>սահմանադրությամբ</w:t>
            </w:r>
            <w:r w:rsidRPr="0053423A">
              <w:rPr>
                <w:rFonts w:cs="GHEA Grapalat"/>
                <w:sz w:val="20"/>
                <w:szCs w:val="20"/>
                <w:lang w:val="af-ZA"/>
              </w:rPr>
              <w:t xml:space="preserve">: </w:t>
            </w:r>
            <w:r w:rsidRPr="0053423A">
              <w:rPr>
                <w:rFonts w:cs="Sylfaen"/>
                <w:bCs/>
                <w:iCs/>
                <w:sz w:val="20"/>
                <w:szCs w:val="20"/>
                <w:lang w:val="ru-RU"/>
              </w:rPr>
              <w:t>Հայաստանի</w:t>
            </w:r>
            <w:r w:rsidRPr="0053423A">
              <w:rPr>
                <w:rFonts w:cs="Sylfaen"/>
                <w:bCs/>
                <w:iCs/>
                <w:sz w:val="20"/>
                <w:szCs w:val="20"/>
                <w:lang w:val="af-ZA"/>
              </w:rPr>
              <w:t xml:space="preserve"> </w:t>
            </w:r>
            <w:r w:rsidRPr="0053423A">
              <w:rPr>
                <w:rFonts w:cs="Sylfaen"/>
                <w:bCs/>
                <w:iCs/>
                <w:sz w:val="20"/>
                <w:szCs w:val="20"/>
                <w:lang w:val="ru-RU"/>
              </w:rPr>
              <w:t>Հանրապետության</w:t>
            </w:r>
            <w:r w:rsidRPr="0053423A">
              <w:rPr>
                <w:rFonts w:cs="Sylfaen"/>
                <w:bCs/>
                <w:iCs/>
                <w:sz w:val="20"/>
                <w:szCs w:val="20"/>
                <w:lang w:val="af-ZA"/>
              </w:rPr>
              <w:t xml:space="preserve"> </w:t>
            </w:r>
            <w:r w:rsidRPr="0053423A">
              <w:rPr>
                <w:rFonts w:cs="Sylfaen"/>
                <w:bCs/>
                <w:iCs/>
                <w:sz w:val="20"/>
                <w:szCs w:val="20"/>
                <w:lang w:val="ru-RU"/>
              </w:rPr>
              <w:t>Հողային</w:t>
            </w:r>
            <w:r w:rsidRPr="0053423A">
              <w:rPr>
                <w:rFonts w:cs="Sylfaen"/>
                <w:bCs/>
                <w:iCs/>
                <w:sz w:val="20"/>
                <w:szCs w:val="20"/>
                <w:lang w:val="af-ZA"/>
              </w:rPr>
              <w:t xml:space="preserve"> </w:t>
            </w:r>
            <w:r w:rsidRPr="0053423A">
              <w:rPr>
                <w:rFonts w:cs="Sylfaen"/>
                <w:bCs/>
                <w:iCs/>
                <w:sz w:val="20"/>
                <w:szCs w:val="20"/>
                <w:lang w:val="ru-RU"/>
              </w:rPr>
              <w:t>օրենսգրքի</w:t>
            </w:r>
            <w:r w:rsidRPr="0053423A">
              <w:rPr>
                <w:rFonts w:cs="Sylfaen"/>
                <w:bCs/>
                <w:iCs/>
                <w:sz w:val="20"/>
                <w:szCs w:val="20"/>
                <w:lang w:val="af-ZA"/>
              </w:rPr>
              <w:t xml:space="preserve"> 13-</w:t>
            </w:r>
            <w:r w:rsidRPr="0053423A">
              <w:rPr>
                <w:rFonts w:cs="Sylfaen"/>
                <w:bCs/>
                <w:iCs/>
                <w:sz w:val="20"/>
                <w:szCs w:val="20"/>
                <w:lang w:val="ru-RU"/>
              </w:rPr>
              <w:t>րդ</w:t>
            </w:r>
            <w:r w:rsidRPr="0053423A">
              <w:rPr>
                <w:rFonts w:cs="Sylfaen"/>
                <w:bCs/>
                <w:iCs/>
                <w:sz w:val="20"/>
                <w:szCs w:val="20"/>
                <w:lang w:val="af-ZA"/>
              </w:rPr>
              <w:t xml:space="preserve"> </w:t>
            </w:r>
            <w:r w:rsidRPr="0053423A">
              <w:rPr>
                <w:rFonts w:cs="Sylfaen"/>
                <w:bCs/>
                <w:iCs/>
                <w:sz w:val="20"/>
                <w:szCs w:val="20"/>
                <w:lang w:val="ru-RU"/>
              </w:rPr>
              <w:t>հոդվածի</w:t>
            </w:r>
            <w:r w:rsidRPr="0053423A">
              <w:rPr>
                <w:rFonts w:cs="Sylfaen"/>
                <w:bCs/>
                <w:iCs/>
                <w:sz w:val="20"/>
                <w:szCs w:val="20"/>
                <w:lang w:val="af-ZA"/>
              </w:rPr>
              <w:t xml:space="preserve"> 6-</w:t>
            </w:r>
            <w:r w:rsidRPr="0053423A">
              <w:rPr>
                <w:rFonts w:cs="Sylfaen"/>
                <w:bCs/>
                <w:iCs/>
                <w:sz w:val="20"/>
                <w:szCs w:val="20"/>
                <w:lang w:val="ru-RU"/>
              </w:rPr>
              <w:t>րդ</w:t>
            </w:r>
            <w:r w:rsidRPr="0053423A">
              <w:rPr>
                <w:rFonts w:cs="Sylfaen"/>
                <w:bCs/>
                <w:iCs/>
                <w:sz w:val="20"/>
                <w:szCs w:val="20"/>
                <w:lang w:val="af-ZA"/>
              </w:rPr>
              <w:t xml:space="preserve"> </w:t>
            </w:r>
            <w:r w:rsidRPr="0053423A">
              <w:rPr>
                <w:rFonts w:cs="Sylfaen"/>
                <w:bCs/>
                <w:iCs/>
                <w:sz w:val="20"/>
                <w:szCs w:val="20"/>
                <w:lang w:val="ru-RU"/>
              </w:rPr>
              <w:t>մասի</w:t>
            </w:r>
            <w:r w:rsidRPr="0053423A">
              <w:rPr>
                <w:rFonts w:cs="Sylfaen"/>
                <w:bCs/>
                <w:iCs/>
                <w:sz w:val="20"/>
                <w:szCs w:val="20"/>
                <w:lang w:val="af-ZA"/>
              </w:rPr>
              <w:t xml:space="preserve"> </w:t>
            </w:r>
            <w:r w:rsidRPr="0053423A">
              <w:rPr>
                <w:rFonts w:cs="Sylfaen"/>
                <w:bCs/>
                <w:iCs/>
                <w:sz w:val="20"/>
                <w:szCs w:val="20"/>
                <w:lang w:val="ru-RU"/>
              </w:rPr>
              <w:t>համաձայն՝</w:t>
            </w:r>
            <w:r w:rsidRPr="0053423A">
              <w:rPr>
                <w:rFonts w:cs="Sylfaen"/>
                <w:bCs/>
                <w:iCs/>
                <w:sz w:val="20"/>
                <w:szCs w:val="20"/>
                <w:lang w:val="af-ZA"/>
              </w:rPr>
              <w:t xml:space="preserve"> </w:t>
            </w:r>
            <w:r w:rsidRPr="0053423A">
              <w:rPr>
                <w:rFonts w:cs="Sylfaen"/>
                <w:bCs/>
                <w:iCs/>
                <w:sz w:val="20"/>
                <w:szCs w:val="20"/>
                <w:lang w:val="ru-RU"/>
              </w:rPr>
              <w:t>օգտակար</w:t>
            </w:r>
            <w:r w:rsidRPr="0053423A">
              <w:rPr>
                <w:rFonts w:cs="Sylfaen"/>
                <w:bCs/>
                <w:iCs/>
                <w:sz w:val="20"/>
                <w:szCs w:val="20"/>
                <w:lang w:val="af-ZA"/>
              </w:rPr>
              <w:t xml:space="preserve"> </w:t>
            </w:r>
            <w:r w:rsidRPr="0053423A">
              <w:rPr>
                <w:rFonts w:cs="Sylfaen"/>
                <w:bCs/>
                <w:iCs/>
                <w:sz w:val="20"/>
                <w:szCs w:val="20"/>
                <w:lang w:val="ru-RU"/>
              </w:rPr>
              <w:t>հանածոների</w:t>
            </w:r>
            <w:r w:rsidRPr="0053423A">
              <w:rPr>
                <w:rFonts w:cs="Sylfaen"/>
                <w:bCs/>
                <w:iCs/>
                <w:sz w:val="20"/>
                <w:szCs w:val="20"/>
                <w:lang w:val="af-ZA"/>
              </w:rPr>
              <w:t xml:space="preserve"> </w:t>
            </w:r>
            <w:r w:rsidRPr="0053423A">
              <w:rPr>
                <w:rFonts w:cs="Sylfaen"/>
                <w:bCs/>
                <w:iCs/>
                <w:sz w:val="20"/>
                <w:szCs w:val="20"/>
                <w:lang w:val="ru-RU"/>
              </w:rPr>
              <w:t>արդյունահանման</w:t>
            </w:r>
            <w:r w:rsidRPr="0053423A">
              <w:rPr>
                <w:rFonts w:cs="Sylfaen"/>
                <w:bCs/>
                <w:iCs/>
                <w:sz w:val="20"/>
                <w:szCs w:val="20"/>
                <w:lang w:val="af-ZA"/>
              </w:rPr>
              <w:t xml:space="preserve"> </w:t>
            </w:r>
            <w:r w:rsidRPr="0053423A">
              <w:rPr>
                <w:rFonts w:cs="Sylfaen"/>
                <w:bCs/>
                <w:iCs/>
                <w:sz w:val="20"/>
                <w:szCs w:val="20"/>
                <w:lang w:val="ru-RU"/>
              </w:rPr>
              <w:t>համար</w:t>
            </w:r>
            <w:r w:rsidRPr="0053423A">
              <w:rPr>
                <w:rFonts w:cs="Sylfaen"/>
                <w:bCs/>
                <w:iCs/>
                <w:sz w:val="20"/>
                <w:szCs w:val="20"/>
                <w:lang w:val="af-ZA"/>
              </w:rPr>
              <w:t xml:space="preserve"> </w:t>
            </w:r>
            <w:r w:rsidRPr="0053423A">
              <w:rPr>
                <w:rFonts w:cs="Sylfaen"/>
                <w:bCs/>
                <w:iCs/>
                <w:sz w:val="20"/>
                <w:szCs w:val="20"/>
                <w:lang w:val="ru-RU"/>
              </w:rPr>
              <w:t>հողամասերը</w:t>
            </w:r>
            <w:r w:rsidRPr="0053423A">
              <w:rPr>
                <w:rFonts w:cs="Sylfaen"/>
                <w:bCs/>
                <w:iCs/>
                <w:sz w:val="20"/>
                <w:szCs w:val="20"/>
                <w:lang w:val="af-ZA"/>
              </w:rPr>
              <w:t xml:space="preserve"> </w:t>
            </w:r>
            <w:r w:rsidRPr="0053423A">
              <w:rPr>
                <w:rFonts w:cs="Sylfaen"/>
                <w:bCs/>
                <w:iCs/>
                <w:sz w:val="20"/>
                <w:szCs w:val="20"/>
                <w:lang w:val="ru-RU"/>
              </w:rPr>
              <w:t>տրամադրվում</w:t>
            </w:r>
            <w:r w:rsidRPr="0053423A">
              <w:rPr>
                <w:rFonts w:cs="Sylfaen"/>
                <w:bCs/>
                <w:iCs/>
                <w:sz w:val="20"/>
                <w:szCs w:val="20"/>
                <w:lang w:val="af-ZA"/>
              </w:rPr>
              <w:t xml:space="preserve"> </w:t>
            </w:r>
            <w:r w:rsidRPr="0053423A">
              <w:rPr>
                <w:rFonts w:cs="Sylfaen"/>
                <w:bCs/>
                <w:iCs/>
                <w:sz w:val="20"/>
                <w:szCs w:val="20"/>
                <w:lang w:val="ru-RU"/>
              </w:rPr>
              <w:t>են</w:t>
            </w:r>
            <w:r w:rsidRPr="0053423A">
              <w:rPr>
                <w:rFonts w:cs="Sylfaen"/>
                <w:bCs/>
                <w:iCs/>
                <w:sz w:val="20"/>
                <w:szCs w:val="20"/>
                <w:lang w:val="af-ZA"/>
              </w:rPr>
              <w:t xml:space="preserve"> </w:t>
            </w:r>
            <w:r w:rsidRPr="0053423A">
              <w:rPr>
                <w:rFonts w:cs="Sylfaen"/>
                <w:bCs/>
                <w:iCs/>
                <w:sz w:val="20"/>
                <w:szCs w:val="20"/>
                <w:lang w:val="ru-RU"/>
              </w:rPr>
              <w:t>ընդերքի</w:t>
            </w:r>
            <w:r w:rsidRPr="0053423A">
              <w:rPr>
                <w:rFonts w:cs="Sylfaen"/>
                <w:bCs/>
                <w:iCs/>
                <w:sz w:val="20"/>
                <w:szCs w:val="20"/>
                <w:lang w:val="af-ZA"/>
              </w:rPr>
              <w:t xml:space="preserve"> </w:t>
            </w:r>
            <w:r w:rsidRPr="0053423A">
              <w:rPr>
                <w:rFonts w:cs="Sylfaen"/>
                <w:bCs/>
                <w:iCs/>
                <w:sz w:val="20"/>
                <w:szCs w:val="20"/>
                <w:lang w:val="ru-RU"/>
              </w:rPr>
              <w:t>օգտագործման</w:t>
            </w:r>
            <w:r w:rsidRPr="0053423A">
              <w:rPr>
                <w:rFonts w:cs="Sylfaen"/>
                <w:bCs/>
                <w:iCs/>
                <w:sz w:val="20"/>
                <w:szCs w:val="20"/>
                <w:lang w:val="af-ZA"/>
              </w:rPr>
              <w:t xml:space="preserve"> </w:t>
            </w:r>
            <w:r w:rsidRPr="0053423A">
              <w:rPr>
                <w:rFonts w:cs="Sylfaen"/>
                <w:bCs/>
                <w:iCs/>
                <w:sz w:val="20"/>
                <w:szCs w:val="20"/>
                <w:lang w:val="ru-RU"/>
              </w:rPr>
              <w:t>իրավունք</w:t>
            </w:r>
            <w:r w:rsidRPr="0053423A">
              <w:rPr>
                <w:rFonts w:cs="Sylfaen"/>
                <w:bCs/>
                <w:iCs/>
                <w:sz w:val="20"/>
                <w:szCs w:val="20"/>
                <w:lang w:val="af-ZA"/>
              </w:rPr>
              <w:t xml:space="preserve"> </w:t>
            </w:r>
            <w:r w:rsidRPr="0053423A">
              <w:rPr>
                <w:rFonts w:cs="Sylfaen"/>
                <w:bCs/>
                <w:iCs/>
                <w:sz w:val="20"/>
                <w:szCs w:val="20"/>
                <w:lang w:val="ru-RU"/>
              </w:rPr>
              <w:t>հաստատող</w:t>
            </w:r>
            <w:r w:rsidRPr="0053423A">
              <w:rPr>
                <w:rFonts w:cs="Sylfaen"/>
                <w:bCs/>
                <w:iCs/>
                <w:sz w:val="20"/>
                <w:szCs w:val="20"/>
                <w:lang w:val="af-ZA"/>
              </w:rPr>
              <w:t xml:space="preserve"> </w:t>
            </w:r>
            <w:r w:rsidRPr="0053423A">
              <w:rPr>
                <w:rFonts w:cs="Sylfaen"/>
                <w:bCs/>
                <w:iCs/>
                <w:sz w:val="20"/>
                <w:szCs w:val="20"/>
                <w:lang w:val="ru-RU"/>
              </w:rPr>
              <w:t>փաստաթղթերին</w:t>
            </w:r>
            <w:r w:rsidRPr="0053423A">
              <w:rPr>
                <w:rFonts w:cs="Sylfaen"/>
                <w:bCs/>
                <w:iCs/>
                <w:sz w:val="20"/>
                <w:szCs w:val="20"/>
                <w:lang w:val="af-ZA"/>
              </w:rPr>
              <w:t xml:space="preserve"> </w:t>
            </w:r>
            <w:r w:rsidRPr="0053423A">
              <w:rPr>
                <w:rFonts w:cs="Sylfaen"/>
                <w:bCs/>
                <w:iCs/>
                <w:sz w:val="20"/>
                <w:szCs w:val="20"/>
                <w:lang w:val="ru-RU"/>
              </w:rPr>
              <w:t>համապատասխան</w:t>
            </w:r>
            <w:r w:rsidRPr="0053423A">
              <w:rPr>
                <w:rFonts w:cs="Sylfaen"/>
                <w:bCs/>
                <w:iCs/>
                <w:sz w:val="20"/>
                <w:szCs w:val="20"/>
                <w:lang w:val="af-ZA"/>
              </w:rPr>
              <w:t xml:space="preserve">: </w:t>
            </w:r>
            <w:r w:rsidRPr="0053423A">
              <w:rPr>
                <w:rFonts w:cs="Sylfaen"/>
                <w:bCs/>
                <w:iCs/>
                <w:sz w:val="20"/>
                <w:szCs w:val="20"/>
                <w:lang w:val="ru-RU"/>
              </w:rPr>
              <w:t>Ընդերքօգտագործման</w:t>
            </w:r>
            <w:r w:rsidRPr="0053423A">
              <w:rPr>
                <w:rFonts w:cs="Sylfaen"/>
                <w:bCs/>
                <w:iCs/>
                <w:sz w:val="20"/>
                <w:szCs w:val="20"/>
                <w:lang w:val="af-ZA"/>
              </w:rPr>
              <w:t xml:space="preserve"> </w:t>
            </w:r>
            <w:r w:rsidRPr="0053423A">
              <w:rPr>
                <w:rFonts w:cs="Sylfaen"/>
                <w:bCs/>
                <w:iCs/>
                <w:sz w:val="20"/>
                <w:szCs w:val="20"/>
                <w:lang w:val="ru-RU"/>
              </w:rPr>
              <w:t>համար</w:t>
            </w:r>
            <w:r w:rsidRPr="0053423A">
              <w:rPr>
                <w:rFonts w:cs="Sylfaen"/>
                <w:bCs/>
                <w:iCs/>
                <w:sz w:val="20"/>
                <w:szCs w:val="20"/>
                <w:lang w:val="af-ZA"/>
              </w:rPr>
              <w:t xml:space="preserve"> </w:t>
            </w:r>
            <w:r w:rsidRPr="0053423A">
              <w:rPr>
                <w:rFonts w:cs="Sylfaen"/>
                <w:bCs/>
                <w:iCs/>
                <w:sz w:val="20"/>
                <w:szCs w:val="20"/>
                <w:lang w:val="ru-RU"/>
              </w:rPr>
              <w:t>պահանջվող</w:t>
            </w:r>
            <w:r w:rsidRPr="0053423A">
              <w:rPr>
                <w:rFonts w:cs="Sylfaen"/>
                <w:bCs/>
                <w:iCs/>
                <w:sz w:val="20"/>
                <w:szCs w:val="20"/>
                <w:lang w:val="af-ZA"/>
              </w:rPr>
              <w:t xml:space="preserve"> </w:t>
            </w:r>
            <w:r w:rsidRPr="0053423A">
              <w:rPr>
                <w:rFonts w:cs="Sylfaen"/>
                <w:bCs/>
                <w:iCs/>
                <w:sz w:val="20"/>
                <w:szCs w:val="20"/>
                <w:lang w:val="ru-RU"/>
              </w:rPr>
              <w:t>հողերի՝</w:t>
            </w:r>
            <w:r w:rsidRPr="0053423A">
              <w:rPr>
                <w:rFonts w:cs="Sylfaen"/>
                <w:bCs/>
                <w:iCs/>
                <w:sz w:val="20"/>
                <w:szCs w:val="20"/>
                <w:lang w:val="af-ZA"/>
              </w:rPr>
              <w:t xml:space="preserve"> </w:t>
            </w:r>
            <w:r w:rsidRPr="0053423A">
              <w:rPr>
                <w:rFonts w:cs="Sylfaen"/>
                <w:bCs/>
                <w:iCs/>
                <w:sz w:val="20"/>
                <w:szCs w:val="20"/>
                <w:lang w:val="ru-RU"/>
              </w:rPr>
              <w:t>իրավաբանական</w:t>
            </w:r>
            <w:r w:rsidRPr="0053423A">
              <w:rPr>
                <w:rFonts w:cs="Sylfaen"/>
                <w:bCs/>
                <w:iCs/>
                <w:sz w:val="20"/>
                <w:szCs w:val="20"/>
                <w:lang w:val="af-ZA"/>
              </w:rPr>
              <w:t xml:space="preserve"> </w:t>
            </w:r>
            <w:r w:rsidRPr="0053423A">
              <w:rPr>
                <w:rFonts w:cs="Sylfaen"/>
                <w:bCs/>
                <w:iCs/>
                <w:sz w:val="20"/>
                <w:szCs w:val="20"/>
                <w:lang w:val="ru-RU"/>
              </w:rPr>
              <w:t>և</w:t>
            </w:r>
            <w:r w:rsidRPr="0053423A">
              <w:rPr>
                <w:rFonts w:cs="Sylfaen"/>
                <w:bCs/>
                <w:iCs/>
                <w:sz w:val="20"/>
                <w:szCs w:val="20"/>
                <w:lang w:val="af-ZA"/>
              </w:rPr>
              <w:t xml:space="preserve"> </w:t>
            </w:r>
            <w:r w:rsidRPr="0053423A">
              <w:rPr>
                <w:rFonts w:cs="Sylfaen"/>
                <w:bCs/>
                <w:iCs/>
                <w:sz w:val="20"/>
                <w:szCs w:val="20"/>
                <w:lang w:val="ru-RU"/>
              </w:rPr>
              <w:t>ֆիզիկական</w:t>
            </w:r>
            <w:r w:rsidRPr="0053423A">
              <w:rPr>
                <w:rFonts w:cs="Sylfaen"/>
                <w:bCs/>
                <w:iCs/>
                <w:sz w:val="20"/>
                <w:szCs w:val="20"/>
                <w:lang w:val="af-ZA"/>
              </w:rPr>
              <w:t xml:space="preserve"> </w:t>
            </w:r>
            <w:r w:rsidRPr="0053423A">
              <w:rPr>
                <w:rFonts w:cs="Sylfaen"/>
                <w:bCs/>
                <w:iCs/>
                <w:sz w:val="20"/>
                <w:szCs w:val="20"/>
                <w:lang w:val="ru-RU"/>
              </w:rPr>
              <w:t>անձանց</w:t>
            </w:r>
            <w:r w:rsidRPr="0053423A">
              <w:rPr>
                <w:rFonts w:cs="Sylfaen"/>
                <w:bCs/>
                <w:iCs/>
                <w:sz w:val="20"/>
                <w:szCs w:val="20"/>
                <w:lang w:val="af-ZA"/>
              </w:rPr>
              <w:t xml:space="preserve"> </w:t>
            </w:r>
            <w:r w:rsidRPr="0053423A">
              <w:rPr>
                <w:rFonts w:cs="Sylfaen"/>
                <w:bCs/>
                <w:iCs/>
                <w:sz w:val="20"/>
                <w:szCs w:val="20"/>
                <w:lang w:val="ru-RU"/>
              </w:rPr>
              <w:t>կողմից</w:t>
            </w:r>
            <w:r w:rsidRPr="0053423A">
              <w:rPr>
                <w:rFonts w:cs="Sylfaen"/>
                <w:bCs/>
                <w:iCs/>
                <w:sz w:val="20"/>
                <w:szCs w:val="20"/>
                <w:lang w:val="af-ZA"/>
              </w:rPr>
              <w:t xml:space="preserve"> </w:t>
            </w:r>
            <w:r w:rsidRPr="0053423A">
              <w:rPr>
                <w:rFonts w:cs="Sylfaen"/>
                <w:bCs/>
                <w:iCs/>
                <w:sz w:val="20"/>
                <w:szCs w:val="20"/>
                <w:lang w:val="ru-RU"/>
              </w:rPr>
              <w:t>սեփականաշնորված</w:t>
            </w:r>
            <w:r w:rsidRPr="0053423A">
              <w:rPr>
                <w:rFonts w:cs="Sylfaen"/>
                <w:bCs/>
                <w:iCs/>
                <w:sz w:val="20"/>
                <w:szCs w:val="20"/>
                <w:lang w:val="af-ZA"/>
              </w:rPr>
              <w:t xml:space="preserve"> </w:t>
            </w:r>
            <w:r w:rsidRPr="0053423A">
              <w:rPr>
                <w:rFonts w:cs="Sylfaen"/>
                <w:bCs/>
                <w:iCs/>
                <w:sz w:val="20"/>
                <w:szCs w:val="20"/>
                <w:lang w:val="ru-RU"/>
              </w:rPr>
              <w:t>կամ</w:t>
            </w:r>
            <w:r w:rsidRPr="0053423A">
              <w:rPr>
                <w:rFonts w:cs="Sylfaen"/>
                <w:bCs/>
                <w:iCs/>
                <w:sz w:val="20"/>
                <w:szCs w:val="20"/>
                <w:lang w:val="af-ZA"/>
              </w:rPr>
              <w:t xml:space="preserve"> </w:t>
            </w:r>
            <w:r w:rsidRPr="0053423A">
              <w:rPr>
                <w:rFonts w:cs="Sylfaen"/>
                <w:bCs/>
                <w:iCs/>
                <w:sz w:val="20"/>
                <w:szCs w:val="20"/>
                <w:lang w:val="ru-RU"/>
              </w:rPr>
              <w:t>համայնքային</w:t>
            </w:r>
            <w:r w:rsidRPr="0053423A">
              <w:rPr>
                <w:rFonts w:cs="Sylfaen"/>
                <w:bCs/>
                <w:iCs/>
                <w:sz w:val="20"/>
                <w:szCs w:val="20"/>
                <w:lang w:val="af-ZA"/>
              </w:rPr>
              <w:t xml:space="preserve"> </w:t>
            </w:r>
            <w:r w:rsidRPr="0053423A">
              <w:rPr>
                <w:rFonts w:cs="Sylfaen"/>
                <w:bCs/>
                <w:iCs/>
                <w:sz w:val="20"/>
                <w:szCs w:val="20"/>
                <w:lang w:val="ru-RU"/>
              </w:rPr>
              <w:t>հողերը</w:t>
            </w:r>
            <w:r w:rsidRPr="0053423A">
              <w:rPr>
                <w:rFonts w:cs="Sylfaen"/>
                <w:bCs/>
                <w:iCs/>
                <w:sz w:val="20"/>
                <w:szCs w:val="20"/>
                <w:lang w:val="af-ZA"/>
              </w:rPr>
              <w:t xml:space="preserve"> </w:t>
            </w:r>
            <w:r w:rsidRPr="0053423A">
              <w:rPr>
                <w:rFonts w:cs="Sylfaen"/>
                <w:bCs/>
                <w:iCs/>
                <w:sz w:val="20"/>
                <w:szCs w:val="20"/>
                <w:lang w:val="ru-RU"/>
              </w:rPr>
              <w:t>վարձակալությամբ</w:t>
            </w:r>
            <w:r w:rsidRPr="0053423A">
              <w:rPr>
                <w:rFonts w:cs="Sylfaen"/>
                <w:bCs/>
                <w:iCs/>
                <w:sz w:val="20"/>
                <w:szCs w:val="20"/>
                <w:lang w:val="af-ZA"/>
              </w:rPr>
              <w:t xml:space="preserve"> </w:t>
            </w:r>
            <w:r w:rsidRPr="0053423A">
              <w:rPr>
                <w:rFonts w:cs="Sylfaen"/>
                <w:bCs/>
                <w:iCs/>
                <w:sz w:val="20"/>
                <w:szCs w:val="20"/>
                <w:lang w:val="ru-RU"/>
              </w:rPr>
              <w:t>տրամադրված</w:t>
            </w:r>
            <w:r w:rsidRPr="0053423A">
              <w:rPr>
                <w:rFonts w:cs="Sylfaen"/>
                <w:bCs/>
                <w:iCs/>
                <w:sz w:val="20"/>
                <w:szCs w:val="20"/>
                <w:lang w:val="af-ZA"/>
              </w:rPr>
              <w:t xml:space="preserve">, </w:t>
            </w:r>
            <w:r w:rsidRPr="0053423A">
              <w:rPr>
                <w:rFonts w:cs="Sylfaen"/>
                <w:bCs/>
                <w:iCs/>
                <w:sz w:val="20"/>
                <w:szCs w:val="20"/>
                <w:lang w:val="ru-RU"/>
              </w:rPr>
              <w:t>օգտագործման</w:t>
            </w:r>
            <w:r w:rsidRPr="0053423A">
              <w:rPr>
                <w:rFonts w:cs="Sylfaen"/>
                <w:bCs/>
                <w:iCs/>
                <w:sz w:val="20"/>
                <w:szCs w:val="20"/>
                <w:lang w:val="af-ZA"/>
              </w:rPr>
              <w:t xml:space="preserve"> </w:t>
            </w:r>
            <w:r w:rsidRPr="0053423A">
              <w:rPr>
                <w:rFonts w:cs="Sylfaen"/>
                <w:bCs/>
                <w:iCs/>
                <w:sz w:val="20"/>
                <w:szCs w:val="20"/>
                <w:lang w:val="ru-RU"/>
              </w:rPr>
              <w:t>իրավունքը</w:t>
            </w:r>
            <w:r w:rsidRPr="0053423A">
              <w:rPr>
                <w:rFonts w:cs="Sylfaen"/>
                <w:bCs/>
                <w:iCs/>
                <w:sz w:val="20"/>
                <w:szCs w:val="20"/>
                <w:lang w:val="af-ZA"/>
              </w:rPr>
              <w:t xml:space="preserve"> </w:t>
            </w:r>
            <w:r w:rsidRPr="0053423A">
              <w:rPr>
                <w:rFonts w:cs="Sylfaen"/>
                <w:bCs/>
                <w:iCs/>
                <w:sz w:val="20"/>
                <w:szCs w:val="20"/>
                <w:lang w:val="ru-RU"/>
              </w:rPr>
              <w:t>ընդերքօգտագործողները</w:t>
            </w:r>
            <w:r w:rsidRPr="0053423A">
              <w:rPr>
                <w:rFonts w:cs="Sylfaen"/>
                <w:bCs/>
                <w:iCs/>
                <w:sz w:val="20"/>
                <w:szCs w:val="20"/>
                <w:lang w:val="af-ZA"/>
              </w:rPr>
              <w:t xml:space="preserve"> </w:t>
            </w:r>
            <w:r w:rsidRPr="0053423A">
              <w:rPr>
                <w:rFonts w:cs="Sylfaen"/>
                <w:bCs/>
                <w:iCs/>
                <w:sz w:val="20"/>
                <w:szCs w:val="20"/>
                <w:lang w:val="ru-RU"/>
              </w:rPr>
              <w:t>կարող</w:t>
            </w:r>
            <w:r w:rsidRPr="0053423A">
              <w:rPr>
                <w:rFonts w:cs="Sylfaen"/>
                <w:bCs/>
                <w:iCs/>
                <w:sz w:val="20"/>
                <w:szCs w:val="20"/>
                <w:lang w:val="af-ZA"/>
              </w:rPr>
              <w:t xml:space="preserve"> </w:t>
            </w:r>
            <w:r w:rsidRPr="0053423A">
              <w:rPr>
                <w:rFonts w:cs="Sylfaen"/>
                <w:bCs/>
                <w:iCs/>
                <w:sz w:val="20"/>
                <w:szCs w:val="20"/>
                <w:lang w:val="ru-RU"/>
              </w:rPr>
              <w:t>են</w:t>
            </w:r>
            <w:r w:rsidRPr="0053423A">
              <w:rPr>
                <w:rFonts w:cs="Sylfaen"/>
                <w:bCs/>
                <w:iCs/>
                <w:sz w:val="20"/>
                <w:szCs w:val="20"/>
                <w:lang w:val="af-ZA"/>
              </w:rPr>
              <w:t xml:space="preserve"> </w:t>
            </w:r>
            <w:r w:rsidRPr="0053423A">
              <w:rPr>
                <w:rFonts w:cs="Sylfaen"/>
                <w:bCs/>
                <w:iCs/>
                <w:sz w:val="20"/>
                <w:szCs w:val="20"/>
                <w:lang w:val="ru-RU"/>
              </w:rPr>
              <w:t>ձեռք</w:t>
            </w:r>
            <w:r w:rsidRPr="0053423A">
              <w:rPr>
                <w:rFonts w:cs="Sylfaen"/>
                <w:bCs/>
                <w:iCs/>
                <w:sz w:val="20"/>
                <w:szCs w:val="20"/>
                <w:lang w:val="af-ZA"/>
              </w:rPr>
              <w:t xml:space="preserve"> </w:t>
            </w:r>
            <w:r w:rsidRPr="0053423A">
              <w:rPr>
                <w:rFonts w:cs="Sylfaen"/>
                <w:bCs/>
                <w:iCs/>
                <w:sz w:val="20"/>
                <w:szCs w:val="20"/>
                <w:lang w:val="ru-RU"/>
              </w:rPr>
              <w:t>բերվել</w:t>
            </w:r>
            <w:r w:rsidRPr="0053423A">
              <w:rPr>
                <w:rFonts w:cs="Sylfaen"/>
                <w:bCs/>
                <w:iCs/>
                <w:sz w:val="20"/>
                <w:szCs w:val="20"/>
                <w:lang w:val="af-ZA"/>
              </w:rPr>
              <w:t xml:space="preserve"> </w:t>
            </w:r>
            <w:r w:rsidRPr="0053423A">
              <w:rPr>
                <w:rFonts w:cs="Sylfaen"/>
                <w:bCs/>
                <w:iCs/>
                <w:sz w:val="20"/>
                <w:szCs w:val="20"/>
                <w:lang w:val="ru-RU"/>
              </w:rPr>
              <w:t>միայն</w:t>
            </w:r>
            <w:r w:rsidRPr="0053423A">
              <w:rPr>
                <w:rFonts w:cs="Sylfaen"/>
                <w:bCs/>
                <w:iCs/>
                <w:sz w:val="20"/>
                <w:szCs w:val="20"/>
                <w:lang w:val="af-ZA"/>
              </w:rPr>
              <w:t xml:space="preserve"> </w:t>
            </w:r>
            <w:r w:rsidRPr="0053423A">
              <w:rPr>
                <w:rFonts w:cs="Sylfaen"/>
                <w:bCs/>
                <w:iCs/>
                <w:sz w:val="20"/>
                <w:szCs w:val="20"/>
                <w:lang w:val="ru-RU"/>
              </w:rPr>
              <w:t>բանակցային</w:t>
            </w:r>
            <w:r w:rsidRPr="0053423A">
              <w:rPr>
                <w:rFonts w:cs="Sylfaen"/>
                <w:bCs/>
                <w:iCs/>
                <w:sz w:val="20"/>
                <w:szCs w:val="20"/>
                <w:lang w:val="af-ZA"/>
              </w:rPr>
              <w:t xml:space="preserve"> </w:t>
            </w:r>
            <w:r w:rsidRPr="0053423A">
              <w:rPr>
                <w:rFonts w:cs="Sylfaen"/>
                <w:bCs/>
                <w:iCs/>
                <w:sz w:val="20"/>
                <w:szCs w:val="20"/>
                <w:lang w:val="ru-RU"/>
              </w:rPr>
              <w:t>կամ</w:t>
            </w:r>
            <w:r w:rsidRPr="0053423A">
              <w:rPr>
                <w:rFonts w:cs="Sylfaen"/>
                <w:bCs/>
                <w:iCs/>
                <w:sz w:val="20"/>
                <w:szCs w:val="20"/>
                <w:lang w:val="af-ZA"/>
              </w:rPr>
              <w:t xml:space="preserve"> </w:t>
            </w:r>
            <w:r w:rsidRPr="0053423A">
              <w:rPr>
                <w:rFonts w:cs="Sylfaen"/>
                <w:bCs/>
                <w:iCs/>
                <w:sz w:val="20"/>
                <w:szCs w:val="20"/>
                <w:lang w:val="ru-RU"/>
              </w:rPr>
              <w:t>խորհրդակցային</w:t>
            </w:r>
            <w:r w:rsidRPr="0053423A">
              <w:rPr>
                <w:rFonts w:cs="Sylfaen"/>
                <w:bCs/>
                <w:iCs/>
                <w:sz w:val="20"/>
                <w:szCs w:val="20"/>
                <w:lang w:val="af-ZA"/>
              </w:rPr>
              <w:t xml:space="preserve"> </w:t>
            </w:r>
            <w:r w:rsidRPr="0053423A">
              <w:rPr>
                <w:rFonts w:cs="Sylfaen"/>
                <w:bCs/>
                <w:iCs/>
                <w:sz w:val="20"/>
                <w:szCs w:val="20"/>
                <w:lang w:val="ru-RU"/>
              </w:rPr>
              <w:t>գործընթացների</w:t>
            </w:r>
            <w:r w:rsidRPr="0053423A">
              <w:rPr>
                <w:rFonts w:cs="Sylfaen"/>
                <w:bCs/>
                <w:iCs/>
                <w:sz w:val="20"/>
                <w:szCs w:val="20"/>
                <w:lang w:val="af-ZA"/>
              </w:rPr>
              <w:t xml:space="preserve"> </w:t>
            </w:r>
            <w:r w:rsidRPr="0053423A">
              <w:rPr>
                <w:rFonts w:cs="Sylfaen"/>
                <w:bCs/>
                <w:iCs/>
                <w:sz w:val="20"/>
                <w:szCs w:val="20"/>
                <w:lang w:val="ru-RU"/>
              </w:rPr>
              <w:t>միջոցով</w:t>
            </w:r>
            <w:r w:rsidRPr="0053423A">
              <w:rPr>
                <w:rFonts w:cs="Sylfaen"/>
                <w:bCs/>
                <w:iCs/>
                <w:sz w:val="20"/>
                <w:szCs w:val="20"/>
                <w:lang w:val="af-ZA"/>
              </w:rPr>
              <w:t>,</w:t>
            </w:r>
            <w:r w:rsidRPr="0053423A">
              <w:rPr>
                <w:rFonts w:cs="Sylfaen"/>
                <w:bCs/>
                <w:iCs/>
                <w:sz w:val="20"/>
                <w:szCs w:val="20"/>
                <w:lang w:val="ru-RU"/>
              </w:rPr>
              <w:t>որի</w:t>
            </w:r>
            <w:r w:rsidRPr="0053423A">
              <w:rPr>
                <w:rFonts w:cs="Sylfaen"/>
                <w:bCs/>
                <w:iCs/>
                <w:sz w:val="20"/>
                <w:szCs w:val="20"/>
                <w:lang w:val="af-ZA"/>
              </w:rPr>
              <w:t xml:space="preserve"> </w:t>
            </w:r>
            <w:r w:rsidRPr="0053423A">
              <w:rPr>
                <w:rFonts w:cs="Sylfaen"/>
                <w:bCs/>
                <w:iCs/>
                <w:sz w:val="20"/>
                <w:szCs w:val="20"/>
                <w:lang w:val="ru-RU"/>
              </w:rPr>
              <w:t>ժամանակ</w:t>
            </w:r>
            <w:r w:rsidRPr="0053423A">
              <w:rPr>
                <w:rFonts w:cs="Sylfaen"/>
                <w:bCs/>
                <w:iCs/>
                <w:sz w:val="20"/>
                <w:szCs w:val="20"/>
                <w:lang w:val="af-ZA"/>
              </w:rPr>
              <w:t xml:space="preserve"> </w:t>
            </w:r>
            <w:r w:rsidRPr="0053423A">
              <w:rPr>
                <w:rFonts w:cs="Sylfaen"/>
                <w:bCs/>
                <w:iCs/>
                <w:sz w:val="20"/>
                <w:szCs w:val="20"/>
                <w:lang w:val="ru-RU"/>
              </w:rPr>
              <w:t>էլ</w:t>
            </w:r>
            <w:r w:rsidRPr="0053423A">
              <w:rPr>
                <w:rFonts w:cs="Sylfaen"/>
                <w:bCs/>
                <w:iCs/>
                <w:sz w:val="20"/>
                <w:szCs w:val="20"/>
                <w:lang w:val="af-ZA"/>
              </w:rPr>
              <w:t xml:space="preserve"> </w:t>
            </w:r>
            <w:r w:rsidRPr="0053423A">
              <w:rPr>
                <w:rFonts w:cs="Sylfaen"/>
                <w:bCs/>
                <w:iCs/>
                <w:sz w:val="20"/>
                <w:szCs w:val="20"/>
                <w:lang w:val="ru-RU"/>
              </w:rPr>
              <w:t>առաջանում</w:t>
            </w:r>
            <w:r w:rsidRPr="0053423A">
              <w:rPr>
                <w:rFonts w:cs="Sylfaen"/>
                <w:bCs/>
                <w:iCs/>
                <w:sz w:val="20"/>
                <w:szCs w:val="20"/>
                <w:lang w:val="af-ZA"/>
              </w:rPr>
              <w:t xml:space="preserve"> </w:t>
            </w:r>
            <w:r w:rsidRPr="0053423A">
              <w:rPr>
                <w:rFonts w:cs="Sylfaen"/>
                <w:bCs/>
                <w:iCs/>
                <w:sz w:val="20"/>
                <w:szCs w:val="20"/>
                <w:lang w:val="ru-RU"/>
              </w:rPr>
              <w:t>են</w:t>
            </w:r>
            <w:r w:rsidRPr="0053423A">
              <w:rPr>
                <w:rFonts w:cs="Sylfaen"/>
                <w:bCs/>
                <w:iCs/>
                <w:sz w:val="20"/>
                <w:szCs w:val="20"/>
                <w:lang w:val="af-ZA"/>
              </w:rPr>
              <w:t xml:space="preserve"> </w:t>
            </w:r>
            <w:r w:rsidRPr="0053423A">
              <w:rPr>
                <w:rFonts w:cs="Sylfaen"/>
                <w:bCs/>
                <w:iCs/>
                <w:sz w:val="20"/>
                <w:szCs w:val="20"/>
                <w:lang w:val="ru-RU"/>
              </w:rPr>
              <w:t>բավականին</w:t>
            </w:r>
            <w:r w:rsidRPr="0053423A">
              <w:rPr>
                <w:rFonts w:cs="Sylfaen"/>
                <w:bCs/>
                <w:iCs/>
                <w:sz w:val="20"/>
                <w:szCs w:val="20"/>
                <w:lang w:val="af-ZA"/>
              </w:rPr>
              <w:t xml:space="preserve"> </w:t>
            </w:r>
            <w:r w:rsidRPr="0053423A">
              <w:rPr>
                <w:rFonts w:cs="Sylfaen"/>
                <w:bCs/>
                <w:iCs/>
                <w:sz w:val="20"/>
                <w:szCs w:val="20"/>
                <w:lang w:val="ru-RU"/>
              </w:rPr>
              <w:t>շատ</w:t>
            </w:r>
            <w:r w:rsidRPr="0053423A">
              <w:rPr>
                <w:rFonts w:cs="Sylfaen"/>
                <w:bCs/>
                <w:iCs/>
                <w:sz w:val="20"/>
                <w:szCs w:val="20"/>
                <w:lang w:val="af-ZA"/>
              </w:rPr>
              <w:t xml:space="preserve"> </w:t>
            </w:r>
            <w:r w:rsidRPr="0053423A">
              <w:rPr>
                <w:rFonts w:cs="Sylfaen"/>
                <w:bCs/>
                <w:iCs/>
                <w:sz w:val="20"/>
                <w:szCs w:val="20"/>
                <w:lang w:val="ru-RU"/>
              </w:rPr>
              <w:t>խնդիրնե</w:t>
            </w:r>
            <w:r w:rsidRPr="0053423A">
              <w:rPr>
                <w:rFonts w:cs="Sylfaen"/>
                <w:bCs/>
                <w:iCs/>
                <w:sz w:val="20"/>
                <w:szCs w:val="20"/>
              </w:rPr>
              <w:t>ր</w:t>
            </w:r>
            <w:r w:rsidRPr="0053423A">
              <w:rPr>
                <w:rFonts w:cs="Sylfaen"/>
                <w:bCs/>
                <w:iCs/>
                <w:sz w:val="20"/>
                <w:szCs w:val="20"/>
                <w:lang w:val="af-ZA"/>
              </w:rPr>
              <w:t>:</w:t>
            </w:r>
          </w:p>
          <w:p w:rsidR="0084615D" w:rsidRPr="0053423A" w:rsidRDefault="0084615D" w:rsidP="00A67858">
            <w:pPr>
              <w:pStyle w:val="ListParagraph"/>
              <w:tabs>
                <w:tab w:val="left" w:pos="900"/>
              </w:tabs>
              <w:spacing w:after="0" w:line="276" w:lineRule="auto"/>
              <w:ind w:left="0" w:firstLine="735"/>
              <w:rPr>
                <w:rFonts w:eastAsia="Times New Roman"/>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w:t>
            </w:r>
            <w:r w:rsidRPr="0053423A">
              <w:rPr>
                <w:rFonts w:eastAsia="Times New Roman" w:cs="Sylfaen"/>
                <w:b/>
                <w:sz w:val="20"/>
                <w:szCs w:val="20"/>
                <w:lang w:val="hy-AM"/>
              </w:rPr>
              <w:t>Առկա</w:t>
            </w:r>
            <w:r w:rsidRPr="0053423A">
              <w:rPr>
                <w:rFonts w:eastAsia="Times New Roman"/>
                <w:b/>
                <w:sz w:val="20"/>
                <w:szCs w:val="20"/>
                <w:lang w:val="af-ZA"/>
              </w:rPr>
              <w:t xml:space="preserve"> </w:t>
            </w:r>
            <w:r w:rsidRPr="0053423A">
              <w:rPr>
                <w:rFonts w:eastAsia="Times New Roman" w:cs="Sylfaen"/>
                <w:b/>
                <w:sz w:val="20"/>
                <w:szCs w:val="20"/>
                <w:lang w:val="hy-AM"/>
              </w:rPr>
              <w:t>խնդիրների</w:t>
            </w:r>
            <w:r w:rsidRPr="0053423A">
              <w:rPr>
                <w:rFonts w:eastAsia="Times New Roman"/>
                <w:b/>
                <w:sz w:val="20"/>
                <w:szCs w:val="20"/>
                <w:lang w:val="af-ZA"/>
              </w:rPr>
              <w:t xml:space="preserve"> </w:t>
            </w:r>
            <w:r w:rsidRPr="0053423A">
              <w:rPr>
                <w:rFonts w:eastAsia="Times New Roman" w:cs="Sylfaen"/>
                <w:b/>
                <w:sz w:val="20"/>
                <w:szCs w:val="20"/>
                <w:lang w:val="hy-AM"/>
              </w:rPr>
              <w:t>առաջարկվող</w:t>
            </w:r>
            <w:r w:rsidRPr="0053423A">
              <w:rPr>
                <w:rFonts w:eastAsia="Times New Roman"/>
                <w:b/>
                <w:sz w:val="20"/>
                <w:szCs w:val="20"/>
                <w:lang w:val="af-ZA"/>
              </w:rPr>
              <w:t xml:space="preserve"> </w:t>
            </w:r>
            <w:r w:rsidRPr="0053423A">
              <w:rPr>
                <w:rFonts w:eastAsia="Times New Roman" w:cs="Sylfaen"/>
                <w:b/>
                <w:sz w:val="20"/>
                <w:szCs w:val="20"/>
                <w:lang w:val="hy-AM"/>
              </w:rPr>
              <w:t>լուծումները</w:t>
            </w:r>
          </w:p>
          <w:p w:rsidR="0084615D" w:rsidRPr="0053423A" w:rsidRDefault="0084615D" w:rsidP="00A67858">
            <w:pPr>
              <w:pStyle w:val="ListParagraph"/>
              <w:tabs>
                <w:tab w:val="left" w:pos="-2410"/>
              </w:tabs>
              <w:spacing w:after="0" w:line="276" w:lineRule="auto"/>
              <w:ind w:left="0" w:firstLine="735"/>
              <w:jc w:val="both"/>
              <w:rPr>
                <w:color w:val="000000"/>
                <w:sz w:val="20"/>
                <w:szCs w:val="20"/>
                <w:lang w:val="af-ZA"/>
              </w:rPr>
            </w:pPr>
            <w:r w:rsidRPr="0053423A">
              <w:rPr>
                <w:color w:val="000000"/>
                <w:sz w:val="20"/>
                <w:szCs w:val="20"/>
                <w:lang w:val="ru-RU"/>
              </w:rPr>
              <w:t>Առաջարկվում</w:t>
            </w:r>
            <w:r w:rsidRPr="0053423A">
              <w:rPr>
                <w:color w:val="000000"/>
                <w:sz w:val="20"/>
                <w:szCs w:val="20"/>
                <w:lang w:val="af-ZA"/>
              </w:rPr>
              <w:t xml:space="preserve"> </w:t>
            </w:r>
            <w:r w:rsidRPr="0053423A">
              <w:rPr>
                <w:color w:val="000000"/>
                <w:sz w:val="20"/>
                <w:szCs w:val="20"/>
                <w:lang w:val="ru-RU"/>
              </w:rPr>
              <w:t>է</w:t>
            </w:r>
            <w:r w:rsidRPr="0053423A">
              <w:rPr>
                <w:color w:val="000000"/>
                <w:sz w:val="20"/>
                <w:szCs w:val="20"/>
                <w:lang w:val="af-ZA"/>
              </w:rPr>
              <w:t xml:space="preserve"> </w:t>
            </w:r>
            <w:r w:rsidRPr="0053423A">
              <w:rPr>
                <w:color w:val="000000"/>
                <w:sz w:val="20"/>
                <w:szCs w:val="20"/>
                <w:lang w:val="ru-RU"/>
              </w:rPr>
              <w:t>մշակել</w:t>
            </w:r>
            <w:r w:rsidRPr="0053423A">
              <w:rPr>
                <w:color w:val="000000"/>
                <w:sz w:val="20"/>
                <w:szCs w:val="20"/>
                <w:lang w:val="af-ZA"/>
              </w:rPr>
              <w:t xml:space="preserve"> </w:t>
            </w:r>
            <w:r w:rsidR="00EA04A5">
              <w:rPr>
                <w:color w:val="000000"/>
                <w:sz w:val="20"/>
                <w:szCs w:val="20"/>
                <w:lang w:val="hy-AM"/>
              </w:rPr>
              <w:t>«</w:t>
            </w:r>
            <w:r w:rsidRPr="0053423A">
              <w:rPr>
                <w:color w:val="000000"/>
                <w:sz w:val="20"/>
                <w:szCs w:val="20"/>
                <w:lang w:val="ru-RU"/>
              </w:rPr>
              <w:t>Հայաստանի</w:t>
            </w:r>
            <w:r w:rsidRPr="0053423A">
              <w:rPr>
                <w:color w:val="000000"/>
                <w:sz w:val="20"/>
                <w:szCs w:val="20"/>
                <w:lang w:val="af-ZA"/>
              </w:rPr>
              <w:t xml:space="preserve"> </w:t>
            </w:r>
            <w:r w:rsidRPr="0053423A">
              <w:rPr>
                <w:color w:val="000000"/>
                <w:sz w:val="20"/>
                <w:szCs w:val="20"/>
                <w:lang w:val="ru-RU"/>
              </w:rPr>
              <w:t>Հանրապետության</w:t>
            </w:r>
            <w:r w:rsidRPr="0053423A">
              <w:rPr>
                <w:color w:val="000000"/>
                <w:sz w:val="20"/>
                <w:szCs w:val="20"/>
                <w:lang w:val="af-ZA"/>
              </w:rPr>
              <w:t xml:space="preserve"> </w:t>
            </w:r>
            <w:r w:rsidRPr="0053423A">
              <w:rPr>
                <w:color w:val="000000"/>
                <w:sz w:val="20"/>
                <w:szCs w:val="20"/>
                <w:lang w:val="ru-RU"/>
              </w:rPr>
              <w:t>ընդերքի</w:t>
            </w:r>
            <w:r w:rsidRPr="0053423A">
              <w:rPr>
                <w:color w:val="000000"/>
                <w:sz w:val="20"/>
                <w:szCs w:val="20"/>
                <w:lang w:val="af-ZA"/>
              </w:rPr>
              <w:t xml:space="preserve"> </w:t>
            </w:r>
            <w:r w:rsidRPr="0053423A">
              <w:rPr>
                <w:color w:val="000000"/>
                <w:sz w:val="20"/>
                <w:szCs w:val="20"/>
                <w:lang w:val="ru-RU"/>
              </w:rPr>
              <w:t>մասին</w:t>
            </w:r>
            <w:r w:rsidRPr="0053423A">
              <w:rPr>
                <w:color w:val="000000"/>
                <w:sz w:val="20"/>
                <w:szCs w:val="20"/>
                <w:lang w:val="af-ZA"/>
              </w:rPr>
              <w:t xml:space="preserve"> </w:t>
            </w:r>
            <w:r w:rsidRPr="0053423A">
              <w:rPr>
                <w:color w:val="000000"/>
                <w:sz w:val="20"/>
                <w:szCs w:val="20"/>
                <w:lang w:val="ru-RU"/>
              </w:rPr>
              <w:t>օրենսգրքում</w:t>
            </w:r>
            <w:r w:rsidRPr="0053423A">
              <w:rPr>
                <w:color w:val="000000"/>
                <w:sz w:val="20"/>
                <w:szCs w:val="20"/>
                <w:lang w:val="af-ZA"/>
              </w:rPr>
              <w:t xml:space="preserve"> </w:t>
            </w:r>
            <w:r w:rsidRPr="0053423A">
              <w:rPr>
                <w:color w:val="000000"/>
                <w:sz w:val="20"/>
                <w:szCs w:val="20"/>
                <w:lang w:val="ru-RU"/>
              </w:rPr>
              <w:t>և</w:t>
            </w:r>
            <w:r w:rsidRPr="0053423A">
              <w:rPr>
                <w:color w:val="000000"/>
                <w:sz w:val="20"/>
                <w:szCs w:val="20"/>
                <w:lang w:val="af-ZA"/>
              </w:rPr>
              <w:t xml:space="preserve"> </w:t>
            </w:r>
            <w:r w:rsidRPr="0053423A">
              <w:rPr>
                <w:color w:val="000000"/>
                <w:sz w:val="20"/>
                <w:szCs w:val="20"/>
                <w:lang w:val="ru-RU"/>
              </w:rPr>
              <w:t>Հայաստանի</w:t>
            </w:r>
            <w:r w:rsidRPr="0053423A">
              <w:rPr>
                <w:color w:val="000000"/>
                <w:sz w:val="20"/>
                <w:szCs w:val="20"/>
                <w:lang w:val="af-ZA"/>
              </w:rPr>
              <w:t xml:space="preserve"> </w:t>
            </w:r>
            <w:r w:rsidRPr="0053423A">
              <w:rPr>
                <w:color w:val="000000"/>
                <w:sz w:val="20"/>
                <w:szCs w:val="20"/>
                <w:lang w:val="ru-RU"/>
              </w:rPr>
              <w:t>Հանրապետության</w:t>
            </w:r>
            <w:r w:rsidRPr="0053423A">
              <w:rPr>
                <w:color w:val="000000"/>
                <w:sz w:val="20"/>
                <w:szCs w:val="20"/>
                <w:lang w:val="af-ZA"/>
              </w:rPr>
              <w:t xml:space="preserve"> </w:t>
            </w:r>
            <w:r w:rsidRPr="0053423A">
              <w:rPr>
                <w:color w:val="000000"/>
                <w:sz w:val="20"/>
                <w:szCs w:val="20"/>
                <w:lang w:val="ru-RU"/>
              </w:rPr>
              <w:t>հողային</w:t>
            </w:r>
            <w:r w:rsidRPr="0053423A">
              <w:rPr>
                <w:color w:val="000000"/>
                <w:sz w:val="20"/>
                <w:szCs w:val="20"/>
                <w:lang w:val="af-ZA"/>
              </w:rPr>
              <w:t xml:space="preserve"> </w:t>
            </w:r>
            <w:r w:rsidRPr="0053423A">
              <w:rPr>
                <w:color w:val="000000"/>
                <w:sz w:val="20"/>
                <w:szCs w:val="20"/>
                <w:lang w:val="ru-RU"/>
              </w:rPr>
              <w:t>օրենսգրքում</w:t>
            </w:r>
            <w:r w:rsidRPr="0053423A">
              <w:rPr>
                <w:color w:val="000000"/>
                <w:sz w:val="20"/>
                <w:szCs w:val="20"/>
                <w:lang w:val="af-ZA"/>
              </w:rPr>
              <w:t xml:space="preserve">  </w:t>
            </w:r>
            <w:r w:rsidRPr="0053423A">
              <w:rPr>
                <w:color w:val="000000"/>
                <w:sz w:val="20"/>
                <w:szCs w:val="20"/>
                <w:lang w:val="ru-RU"/>
              </w:rPr>
              <w:t>փոփոխություններ</w:t>
            </w:r>
            <w:r w:rsidRPr="0053423A">
              <w:rPr>
                <w:color w:val="000000"/>
                <w:sz w:val="20"/>
                <w:szCs w:val="20"/>
                <w:lang w:val="af-ZA"/>
              </w:rPr>
              <w:t xml:space="preserve"> </w:t>
            </w:r>
            <w:r w:rsidRPr="0053423A">
              <w:rPr>
                <w:color w:val="000000"/>
                <w:sz w:val="20"/>
                <w:szCs w:val="20"/>
                <w:lang w:val="ru-RU"/>
              </w:rPr>
              <w:t>և</w:t>
            </w:r>
            <w:r w:rsidRPr="0053423A">
              <w:rPr>
                <w:color w:val="000000"/>
                <w:sz w:val="20"/>
                <w:szCs w:val="20"/>
                <w:lang w:val="af-ZA"/>
              </w:rPr>
              <w:t xml:space="preserve"> </w:t>
            </w:r>
            <w:r w:rsidRPr="0053423A">
              <w:rPr>
                <w:color w:val="000000"/>
                <w:sz w:val="20"/>
                <w:szCs w:val="20"/>
                <w:lang w:val="ru-RU"/>
              </w:rPr>
              <w:t>լրացումների</w:t>
            </w:r>
            <w:r w:rsidRPr="0053423A">
              <w:rPr>
                <w:color w:val="000000"/>
                <w:sz w:val="20"/>
                <w:szCs w:val="20"/>
                <w:lang w:val="af-ZA"/>
              </w:rPr>
              <w:t xml:space="preserve"> </w:t>
            </w:r>
            <w:r w:rsidRPr="0053423A">
              <w:rPr>
                <w:color w:val="000000"/>
                <w:sz w:val="20"/>
                <w:szCs w:val="20"/>
                <w:lang w:val="ru-RU"/>
              </w:rPr>
              <w:t>կատարելու</w:t>
            </w:r>
            <w:r w:rsidRPr="0053423A">
              <w:rPr>
                <w:color w:val="000000"/>
                <w:sz w:val="20"/>
                <w:szCs w:val="20"/>
                <w:lang w:val="af-ZA"/>
              </w:rPr>
              <w:t xml:space="preserve"> </w:t>
            </w:r>
            <w:r w:rsidRPr="0053423A">
              <w:rPr>
                <w:color w:val="000000"/>
                <w:sz w:val="20"/>
                <w:szCs w:val="20"/>
                <w:lang w:val="ru-RU"/>
              </w:rPr>
              <w:t>մասին</w:t>
            </w:r>
            <w:r w:rsidR="00EA04A5">
              <w:rPr>
                <w:color w:val="000000"/>
                <w:sz w:val="20"/>
                <w:szCs w:val="20"/>
                <w:lang w:val="hy-AM"/>
              </w:rPr>
              <w:t>»</w:t>
            </w:r>
            <w:r w:rsidRPr="0053423A">
              <w:rPr>
                <w:color w:val="000000"/>
                <w:sz w:val="20"/>
                <w:szCs w:val="20"/>
                <w:lang w:val="af-ZA"/>
              </w:rPr>
              <w:t xml:space="preserve"> </w:t>
            </w:r>
            <w:r w:rsidRPr="0053423A">
              <w:rPr>
                <w:color w:val="000000"/>
                <w:sz w:val="20"/>
                <w:szCs w:val="20"/>
                <w:lang w:val="ru-RU"/>
              </w:rPr>
              <w:t>ՀՀ</w:t>
            </w:r>
            <w:r w:rsidRPr="0053423A">
              <w:rPr>
                <w:color w:val="000000"/>
                <w:sz w:val="20"/>
                <w:szCs w:val="20"/>
                <w:lang w:val="af-ZA"/>
              </w:rPr>
              <w:t xml:space="preserve"> </w:t>
            </w:r>
            <w:r w:rsidRPr="0053423A">
              <w:rPr>
                <w:color w:val="000000"/>
                <w:sz w:val="20"/>
                <w:szCs w:val="20"/>
                <w:lang w:val="ru-RU"/>
              </w:rPr>
              <w:t>օրենքների</w:t>
            </w:r>
            <w:r w:rsidRPr="0053423A">
              <w:rPr>
                <w:color w:val="000000"/>
                <w:sz w:val="20"/>
                <w:szCs w:val="20"/>
                <w:lang w:val="af-ZA"/>
              </w:rPr>
              <w:t xml:space="preserve"> </w:t>
            </w:r>
            <w:r w:rsidRPr="0053423A">
              <w:rPr>
                <w:color w:val="000000"/>
                <w:sz w:val="20"/>
                <w:szCs w:val="20"/>
                <w:lang w:val="ru-RU"/>
              </w:rPr>
              <w:t>նախագծերի</w:t>
            </w:r>
            <w:r w:rsidRPr="0053423A">
              <w:rPr>
                <w:color w:val="000000"/>
                <w:sz w:val="20"/>
                <w:szCs w:val="20"/>
                <w:lang w:val="af-ZA"/>
              </w:rPr>
              <w:t xml:space="preserve"> </w:t>
            </w:r>
            <w:r w:rsidRPr="0053423A">
              <w:rPr>
                <w:color w:val="000000"/>
                <w:sz w:val="20"/>
                <w:szCs w:val="20"/>
                <w:lang w:val="ru-RU"/>
              </w:rPr>
              <w:t>փաթեթ</w:t>
            </w:r>
            <w:r w:rsidRPr="0053423A">
              <w:rPr>
                <w:color w:val="000000"/>
                <w:sz w:val="20"/>
                <w:szCs w:val="20"/>
                <w:lang w:val="af-ZA"/>
              </w:rPr>
              <w:t xml:space="preserve">, </w:t>
            </w:r>
            <w:r w:rsidRPr="0053423A">
              <w:rPr>
                <w:color w:val="000000"/>
                <w:sz w:val="20"/>
                <w:szCs w:val="20"/>
                <w:lang w:val="ru-RU"/>
              </w:rPr>
              <w:t>որում</w:t>
            </w:r>
            <w:r w:rsidRPr="0053423A">
              <w:rPr>
                <w:color w:val="000000"/>
                <w:sz w:val="20"/>
                <w:szCs w:val="20"/>
                <w:lang w:val="af-ZA"/>
              </w:rPr>
              <w:t xml:space="preserve"> </w:t>
            </w:r>
            <w:r w:rsidRPr="0053423A">
              <w:rPr>
                <w:color w:val="000000"/>
                <w:sz w:val="20"/>
                <w:szCs w:val="20"/>
                <w:lang w:val="ru-RU"/>
              </w:rPr>
              <w:t>կտրվի</w:t>
            </w:r>
            <w:r w:rsidRPr="0053423A">
              <w:rPr>
                <w:color w:val="000000"/>
                <w:sz w:val="20"/>
                <w:szCs w:val="20"/>
                <w:lang w:val="af-ZA"/>
              </w:rPr>
              <w:t xml:space="preserve">  </w:t>
            </w:r>
            <w:r w:rsidR="00EA04A5">
              <w:rPr>
                <w:color w:val="000000"/>
                <w:sz w:val="20"/>
                <w:szCs w:val="20"/>
                <w:lang w:val="ru-RU"/>
              </w:rPr>
              <w:t>ը</w:t>
            </w:r>
            <w:r w:rsidRPr="0053423A">
              <w:rPr>
                <w:color w:val="000000"/>
                <w:sz w:val="20"/>
                <w:szCs w:val="20"/>
                <w:lang w:val="ru-RU"/>
              </w:rPr>
              <w:t>նդերքօգտագործման</w:t>
            </w:r>
            <w:r w:rsidRPr="0053423A">
              <w:rPr>
                <w:color w:val="000000"/>
                <w:sz w:val="20"/>
                <w:szCs w:val="20"/>
                <w:lang w:val="af-ZA"/>
              </w:rPr>
              <w:t xml:space="preserve"> </w:t>
            </w:r>
            <w:r w:rsidRPr="0053423A">
              <w:rPr>
                <w:color w:val="000000"/>
                <w:sz w:val="20"/>
                <w:szCs w:val="20"/>
                <w:lang w:val="ru-RU"/>
              </w:rPr>
              <w:t>համար</w:t>
            </w:r>
            <w:r w:rsidRPr="0053423A">
              <w:rPr>
                <w:color w:val="000000"/>
                <w:sz w:val="20"/>
                <w:szCs w:val="20"/>
                <w:lang w:val="af-ZA"/>
              </w:rPr>
              <w:t xml:space="preserve"> </w:t>
            </w:r>
            <w:r w:rsidRPr="0053423A">
              <w:rPr>
                <w:color w:val="000000"/>
                <w:sz w:val="20"/>
                <w:szCs w:val="20"/>
                <w:lang w:val="ru-RU"/>
              </w:rPr>
              <w:t>անհրաժեշտ</w:t>
            </w:r>
            <w:r w:rsidRPr="0053423A">
              <w:rPr>
                <w:color w:val="000000"/>
                <w:sz w:val="20"/>
                <w:szCs w:val="20"/>
                <w:lang w:val="af-ZA"/>
              </w:rPr>
              <w:t xml:space="preserve">  </w:t>
            </w:r>
            <w:r w:rsidRPr="0053423A">
              <w:rPr>
                <w:color w:val="000000"/>
                <w:sz w:val="20"/>
                <w:szCs w:val="20"/>
                <w:lang w:val="ru-RU"/>
              </w:rPr>
              <w:t>հողատարածքների</w:t>
            </w:r>
            <w:r w:rsidRPr="0053423A">
              <w:rPr>
                <w:color w:val="000000"/>
                <w:sz w:val="20"/>
                <w:szCs w:val="20"/>
                <w:lang w:val="af-ZA"/>
              </w:rPr>
              <w:t xml:space="preserve"> </w:t>
            </w:r>
            <w:r w:rsidRPr="0053423A">
              <w:rPr>
                <w:color w:val="000000"/>
                <w:sz w:val="20"/>
                <w:szCs w:val="20"/>
                <w:lang w:val="ru-RU"/>
              </w:rPr>
              <w:t>տրամադրման</w:t>
            </w:r>
            <w:r w:rsidRPr="0053423A">
              <w:rPr>
                <w:color w:val="000000"/>
                <w:sz w:val="20"/>
                <w:szCs w:val="20"/>
                <w:lang w:val="af-ZA"/>
              </w:rPr>
              <w:t xml:space="preserve"> </w:t>
            </w:r>
            <w:r w:rsidRPr="0053423A">
              <w:rPr>
                <w:color w:val="000000"/>
                <w:sz w:val="20"/>
                <w:szCs w:val="20"/>
                <w:lang w:val="ru-RU"/>
              </w:rPr>
              <w:t>իրավական</w:t>
            </w:r>
            <w:r w:rsidRPr="0053423A">
              <w:rPr>
                <w:color w:val="000000"/>
                <w:sz w:val="20"/>
                <w:szCs w:val="20"/>
                <w:lang w:val="af-ZA"/>
              </w:rPr>
              <w:t xml:space="preserve"> </w:t>
            </w:r>
            <w:r w:rsidRPr="0053423A">
              <w:rPr>
                <w:color w:val="000000"/>
                <w:sz w:val="20"/>
                <w:szCs w:val="20"/>
                <w:lang w:val="ru-RU"/>
              </w:rPr>
              <w:t>կարգավորումը</w:t>
            </w:r>
            <w:r w:rsidRPr="0053423A">
              <w:rPr>
                <w:color w:val="000000"/>
                <w:sz w:val="20"/>
                <w:szCs w:val="20"/>
                <w:lang w:val="af-ZA"/>
              </w:rPr>
              <w:t>:</w:t>
            </w:r>
          </w:p>
          <w:p w:rsidR="0084615D" w:rsidRPr="0053423A" w:rsidRDefault="0084615D" w:rsidP="00A67858">
            <w:pPr>
              <w:pStyle w:val="ListParagraph"/>
              <w:tabs>
                <w:tab w:val="left" w:pos="-2410"/>
              </w:tabs>
              <w:spacing w:after="0" w:line="276" w:lineRule="auto"/>
              <w:ind w:left="0" w:firstLine="735"/>
              <w:jc w:val="both"/>
              <w:rPr>
                <w:color w:val="000000"/>
                <w:sz w:val="20"/>
                <w:szCs w:val="20"/>
                <w:lang w:val="af-ZA"/>
              </w:rPr>
            </w:pPr>
          </w:p>
          <w:p w:rsidR="0084615D" w:rsidRPr="0053423A" w:rsidRDefault="0084615D" w:rsidP="00A67858">
            <w:pPr>
              <w:spacing w:after="0" w:line="276" w:lineRule="auto"/>
              <w:ind w:firstLine="735"/>
              <w:rPr>
                <w:rFonts w:eastAsia="Times New Roman"/>
                <w:b/>
                <w:sz w:val="20"/>
                <w:szCs w:val="20"/>
                <w:lang w:val="af-ZA"/>
              </w:rPr>
            </w:pPr>
            <w:r w:rsidRPr="0053423A">
              <w:rPr>
                <w:rFonts w:eastAsia="Times New Roman"/>
                <w:b/>
                <w:sz w:val="20"/>
                <w:szCs w:val="20"/>
                <w:lang w:val="af-ZA"/>
              </w:rPr>
              <w:t>2.</w:t>
            </w:r>
            <w:r w:rsidRPr="0053423A">
              <w:rPr>
                <w:rFonts w:ascii="Calibri" w:eastAsia="Times New Roman" w:hAnsi="Calibri" w:cs="Calibri"/>
                <w:sz w:val="20"/>
                <w:szCs w:val="20"/>
                <w:lang w:val="af-ZA"/>
              </w:rPr>
              <w:t> </w:t>
            </w:r>
            <w:r w:rsidRPr="0053423A">
              <w:rPr>
                <w:rFonts w:eastAsia="Times New Roman" w:cs="Sylfaen"/>
                <w:b/>
                <w:sz w:val="20"/>
                <w:szCs w:val="20"/>
              </w:rPr>
              <w:t>Միջոցառման</w:t>
            </w:r>
            <w:r w:rsidRPr="0053423A">
              <w:rPr>
                <w:rFonts w:eastAsia="Times New Roman"/>
                <w:b/>
                <w:sz w:val="20"/>
                <w:szCs w:val="20"/>
                <w:lang w:val="af-ZA"/>
              </w:rPr>
              <w:t xml:space="preserve"> </w:t>
            </w:r>
            <w:r w:rsidRPr="0053423A">
              <w:rPr>
                <w:rFonts w:eastAsia="Times New Roman" w:cs="Sylfaen"/>
                <w:b/>
                <w:sz w:val="20"/>
                <w:szCs w:val="20"/>
              </w:rPr>
              <w:t>իրակա</w:t>
            </w:r>
            <w:r w:rsidRPr="0053423A">
              <w:rPr>
                <w:rFonts w:eastAsia="Times New Roman" w:cs="Sylfaen"/>
                <w:b/>
                <w:sz w:val="20"/>
                <w:szCs w:val="20"/>
                <w:lang w:val="ru-RU"/>
              </w:rPr>
              <w:t>նա</w:t>
            </w:r>
            <w:r w:rsidRPr="0053423A">
              <w:rPr>
                <w:rFonts w:eastAsia="Times New Roman" w:cs="Sylfaen"/>
                <w:b/>
                <w:sz w:val="20"/>
                <w:szCs w:val="20"/>
              </w:rPr>
              <w:t>ցումից</w:t>
            </w:r>
            <w:r w:rsidRPr="0053423A">
              <w:rPr>
                <w:rFonts w:eastAsia="Times New Roman"/>
                <w:b/>
                <w:sz w:val="20"/>
                <w:szCs w:val="20"/>
                <w:lang w:val="af-ZA"/>
              </w:rPr>
              <w:t xml:space="preserve"> </w:t>
            </w:r>
            <w:r w:rsidRPr="0053423A">
              <w:rPr>
                <w:rFonts w:eastAsia="Times New Roman" w:cs="Sylfaen"/>
                <w:b/>
                <w:sz w:val="20"/>
                <w:szCs w:val="20"/>
              </w:rPr>
              <w:t>ակնկալվող</w:t>
            </w:r>
            <w:r w:rsidRPr="0053423A">
              <w:rPr>
                <w:rFonts w:eastAsia="Times New Roman"/>
                <w:b/>
                <w:sz w:val="20"/>
                <w:szCs w:val="20"/>
                <w:lang w:val="af-ZA"/>
              </w:rPr>
              <w:t xml:space="preserve"> </w:t>
            </w:r>
            <w:r w:rsidRPr="0053423A">
              <w:rPr>
                <w:rFonts w:eastAsia="Times New Roman" w:cs="Sylfaen"/>
                <w:b/>
                <w:sz w:val="20"/>
                <w:szCs w:val="20"/>
              </w:rPr>
              <w:t>արդյունքը</w:t>
            </w:r>
          </w:p>
          <w:p w:rsidR="0084615D" w:rsidRPr="0053423A" w:rsidRDefault="0084615D" w:rsidP="00A67858">
            <w:pPr>
              <w:pStyle w:val="ListParagraph"/>
              <w:tabs>
                <w:tab w:val="left" w:pos="-2410"/>
              </w:tabs>
              <w:spacing w:after="0" w:line="276" w:lineRule="auto"/>
              <w:ind w:left="0" w:firstLine="735"/>
              <w:jc w:val="both"/>
              <w:rPr>
                <w:color w:val="000000"/>
                <w:sz w:val="20"/>
                <w:szCs w:val="20"/>
                <w:lang w:val="af-ZA"/>
              </w:rPr>
            </w:pPr>
            <w:r w:rsidRPr="0053423A">
              <w:rPr>
                <w:color w:val="000000"/>
                <w:sz w:val="20"/>
                <w:szCs w:val="20"/>
                <w:lang w:val="ru-RU"/>
              </w:rPr>
              <w:t>Ընդերքօգտագործման</w:t>
            </w:r>
            <w:r w:rsidRPr="0053423A">
              <w:rPr>
                <w:color w:val="000000"/>
                <w:sz w:val="20"/>
                <w:szCs w:val="20"/>
                <w:lang w:val="af-ZA"/>
              </w:rPr>
              <w:t xml:space="preserve"> </w:t>
            </w:r>
            <w:r w:rsidRPr="0053423A">
              <w:rPr>
                <w:color w:val="000000"/>
                <w:sz w:val="20"/>
                <w:szCs w:val="20"/>
                <w:lang w:val="ru-RU"/>
              </w:rPr>
              <w:t>իրավունքների</w:t>
            </w:r>
            <w:r w:rsidRPr="0053423A">
              <w:rPr>
                <w:color w:val="000000"/>
                <w:sz w:val="20"/>
                <w:szCs w:val="20"/>
                <w:lang w:val="af-ZA"/>
              </w:rPr>
              <w:t xml:space="preserve"> </w:t>
            </w:r>
            <w:r w:rsidRPr="0053423A">
              <w:rPr>
                <w:color w:val="000000"/>
                <w:sz w:val="20"/>
                <w:szCs w:val="20"/>
                <w:lang w:val="ru-RU"/>
              </w:rPr>
              <w:t>տրամադրման</w:t>
            </w:r>
            <w:r w:rsidRPr="0053423A">
              <w:rPr>
                <w:color w:val="000000"/>
                <w:sz w:val="20"/>
                <w:szCs w:val="20"/>
                <w:lang w:val="af-ZA"/>
              </w:rPr>
              <w:t xml:space="preserve"> </w:t>
            </w:r>
            <w:r w:rsidRPr="0053423A">
              <w:rPr>
                <w:color w:val="000000"/>
                <w:sz w:val="20"/>
                <w:szCs w:val="20"/>
                <w:lang w:val="ru-RU"/>
              </w:rPr>
              <w:t>գործընթացի</w:t>
            </w:r>
            <w:r w:rsidRPr="0053423A">
              <w:rPr>
                <w:color w:val="000000"/>
                <w:sz w:val="20"/>
                <w:szCs w:val="20"/>
                <w:lang w:val="af-ZA"/>
              </w:rPr>
              <w:t xml:space="preserve"> </w:t>
            </w:r>
            <w:r w:rsidRPr="0053423A">
              <w:rPr>
                <w:color w:val="000000"/>
                <w:sz w:val="20"/>
                <w:szCs w:val="20"/>
                <w:lang w:val="ru-RU"/>
              </w:rPr>
              <w:t>փոխկապակցված</w:t>
            </w:r>
            <w:r w:rsidRPr="0053423A">
              <w:rPr>
                <w:color w:val="000000"/>
                <w:sz w:val="20"/>
                <w:szCs w:val="20"/>
                <w:lang w:val="af-ZA"/>
              </w:rPr>
              <w:t xml:space="preserve"> </w:t>
            </w:r>
            <w:r w:rsidRPr="0053423A">
              <w:rPr>
                <w:color w:val="000000"/>
                <w:sz w:val="20"/>
                <w:szCs w:val="20"/>
                <w:lang w:val="ru-RU"/>
              </w:rPr>
              <w:t>մեխանիզմի</w:t>
            </w:r>
            <w:r w:rsidRPr="0053423A">
              <w:rPr>
                <w:color w:val="000000"/>
                <w:sz w:val="20"/>
                <w:szCs w:val="20"/>
                <w:lang w:val="af-ZA"/>
              </w:rPr>
              <w:t xml:space="preserve"> </w:t>
            </w:r>
            <w:r w:rsidRPr="0053423A">
              <w:rPr>
                <w:color w:val="000000"/>
                <w:sz w:val="20"/>
                <w:szCs w:val="20"/>
                <w:lang w:val="ru-RU"/>
              </w:rPr>
              <w:t>ներդրում</w:t>
            </w:r>
            <w:r w:rsidRPr="0053423A">
              <w:rPr>
                <w:color w:val="000000"/>
                <w:sz w:val="20"/>
                <w:szCs w:val="20"/>
                <w:lang w:val="af-ZA"/>
              </w:rPr>
              <w:t xml:space="preserve">: </w:t>
            </w:r>
          </w:p>
          <w:p w:rsidR="0084615D" w:rsidRPr="0053423A" w:rsidRDefault="0084615D" w:rsidP="00A67858">
            <w:pPr>
              <w:spacing w:after="0" w:line="276" w:lineRule="auto"/>
              <w:jc w:val="center"/>
              <w:rPr>
                <w:b/>
                <w:sz w:val="20"/>
                <w:szCs w:val="20"/>
                <w:lang w:val="af-ZA"/>
              </w:rPr>
            </w:pP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14</w:t>
            </w:r>
          </w:p>
        </w:tc>
        <w:tc>
          <w:tcPr>
            <w:tcW w:w="10879" w:type="dxa"/>
            <w:shd w:val="clear" w:color="auto" w:fill="auto"/>
          </w:tcPr>
          <w:p w:rsidR="0084615D" w:rsidRPr="0053423A" w:rsidRDefault="0084615D" w:rsidP="00A67858">
            <w:pPr>
              <w:spacing w:after="0" w:line="276" w:lineRule="auto"/>
              <w:jc w:val="center"/>
              <w:rPr>
                <w:rFonts w:cs="GHEA Grapalat"/>
                <w:b/>
                <w:sz w:val="20"/>
                <w:szCs w:val="20"/>
                <w:lang w:val="hy-AM"/>
              </w:rPr>
            </w:pPr>
            <w:r w:rsidRPr="0053423A">
              <w:rPr>
                <w:rFonts w:cs="GHEA Grapalat"/>
                <w:b/>
                <w:sz w:val="20"/>
                <w:szCs w:val="20"/>
                <w:lang w:val="af-ZA"/>
              </w:rPr>
              <w:t xml:space="preserve">Իրական սեփականատերերի ռեգիստրի </w:t>
            </w:r>
            <w:r w:rsidRPr="0053423A">
              <w:rPr>
                <w:rFonts w:cs="GHEA Grapalat"/>
                <w:b/>
                <w:sz w:val="20"/>
                <w:szCs w:val="20"/>
                <w:lang w:val="hy-AM"/>
              </w:rPr>
              <w:t>ներդրում</w:t>
            </w:r>
          </w:p>
          <w:p w:rsidR="0084615D" w:rsidRPr="0053423A" w:rsidRDefault="0084615D" w:rsidP="00A67858">
            <w:pPr>
              <w:spacing w:after="0" w:line="276" w:lineRule="auto"/>
              <w:jc w:val="center"/>
              <w:rPr>
                <w:rFonts w:cs="GHEA Grapalat"/>
                <w:b/>
                <w:sz w:val="20"/>
                <w:szCs w:val="20"/>
                <w:lang w:val="hy-AM"/>
              </w:rPr>
            </w:pP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14.1 ՀՀ ընդերքի մասին օրենսգրքից և հարակից օրենքներից բխող ենթաօրենսդրական ակտերի նախագծեր</w:t>
            </w: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14.2 Իրական սեփականատերերի Էլեկտրոնային ռեգիստրի ստեղծման տեխնիկական առաջադրանքի մշակում</w:t>
            </w:r>
          </w:p>
          <w:p w:rsidR="0084615D" w:rsidRPr="0053423A" w:rsidRDefault="0084615D" w:rsidP="00A67858">
            <w:pPr>
              <w:tabs>
                <w:tab w:val="left" w:pos="1170"/>
              </w:tabs>
              <w:spacing w:after="0" w:line="276" w:lineRule="auto"/>
              <w:ind w:left="720"/>
              <w:jc w:val="center"/>
              <w:rPr>
                <w:rFonts w:eastAsia="Times New Roman" w:cs="Courier New"/>
                <w:b/>
                <w:sz w:val="20"/>
                <w:szCs w:val="20"/>
                <w:lang w:val="af-ZA"/>
              </w:rPr>
            </w:pPr>
          </w:p>
          <w:p w:rsidR="0084615D" w:rsidRPr="0053423A" w:rsidRDefault="0084615D" w:rsidP="00A67858">
            <w:pPr>
              <w:tabs>
                <w:tab w:val="left" w:pos="1170"/>
              </w:tabs>
              <w:spacing w:after="0" w:line="276" w:lineRule="auto"/>
              <w:ind w:left="720"/>
              <w:jc w:val="both"/>
              <w:rPr>
                <w:rFonts w:eastAsia="Times New Roman"/>
                <w:b/>
                <w:sz w:val="20"/>
                <w:szCs w:val="20"/>
                <w:lang w:val="af-ZA"/>
              </w:rPr>
            </w:pPr>
            <w:r w:rsidRPr="0053423A">
              <w:rPr>
                <w:rFonts w:eastAsia="Times New Roman" w:cs="Courier New"/>
                <w:b/>
                <w:sz w:val="20"/>
                <w:szCs w:val="20"/>
                <w:lang w:val="af-ZA"/>
              </w:rPr>
              <w:t>1.</w:t>
            </w:r>
            <w:r w:rsidRPr="0053423A">
              <w:rPr>
                <w:rFonts w:ascii="Calibri" w:eastAsia="Times New Roman" w:hAnsi="Calibri" w:cs="Calibri"/>
                <w:b/>
                <w:sz w:val="20"/>
                <w:szCs w:val="20"/>
                <w:lang w:val="af-ZA"/>
              </w:rPr>
              <w:t> </w:t>
            </w:r>
            <w:r w:rsidRPr="0053423A">
              <w:rPr>
                <w:rFonts w:eastAsia="Times New Roman" w:cs="Sylfaen"/>
                <w:b/>
                <w:sz w:val="20"/>
                <w:szCs w:val="20"/>
                <w:lang w:val="hy-AM"/>
              </w:rPr>
              <w:t>Միջոցառման</w:t>
            </w:r>
            <w:r w:rsidRPr="0053423A">
              <w:rPr>
                <w:rFonts w:eastAsia="Times New Roman"/>
                <w:b/>
                <w:sz w:val="20"/>
                <w:szCs w:val="20"/>
                <w:lang w:val="af-ZA"/>
              </w:rPr>
              <w:t xml:space="preserve"> </w:t>
            </w:r>
            <w:r w:rsidRPr="0053423A">
              <w:rPr>
                <w:rFonts w:eastAsia="Times New Roman" w:cs="Sylfaen"/>
                <w:b/>
                <w:sz w:val="20"/>
                <w:szCs w:val="20"/>
                <w:lang w:val="hy-AM"/>
              </w:rPr>
              <w:t>իրականացման</w:t>
            </w:r>
            <w:r w:rsidRPr="0053423A">
              <w:rPr>
                <w:rFonts w:eastAsia="Times New Roman"/>
                <w:b/>
                <w:sz w:val="20"/>
                <w:szCs w:val="20"/>
                <w:lang w:val="af-ZA"/>
              </w:rPr>
              <w:t xml:space="preserve"> </w:t>
            </w:r>
            <w:r w:rsidRPr="0053423A">
              <w:rPr>
                <w:rFonts w:eastAsia="Times New Roman" w:cs="Sylfae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նպատակը</w:t>
            </w:r>
          </w:p>
          <w:p w:rsidR="0084615D" w:rsidRPr="0053423A" w:rsidRDefault="0084615D" w:rsidP="00A67858">
            <w:pPr>
              <w:spacing w:after="0" w:line="276" w:lineRule="auto"/>
              <w:ind w:firstLine="735"/>
              <w:jc w:val="both"/>
              <w:rPr>
                <w:rFonts w:cs="GHEA Grapalat"/>
                <w:sz w:val="20"/>
                <w:szCs w:val="20"/>
                <w:lang w:val="af-ZA"/>
              </w:rPr>
            </w:pPr>
            <w:r w:rsidRPr="0053423A">
              <w:rPr>
                <w:sz w:val="20"/>
                <w:szCs w:val="20"/>
                <w:lang w:val="ru-RU"/>
              </w:rPr>
              <w:t>Հանքարդյունաբերության</w:t>
            </w:r>
            <w:r w:rsidRPr="0053423A">
              <w:rPr>
                <w:sz w:val="20"/>
                <w:szCs w:val="20"/>
                <w:lang w:val="af-ZA"/>
              </w:rPr>
              <w:t xml:space="preserve"> </w:t>
            </w:r>
            <w:r w:rsidRPr="0053423A">
              <w:rPr>
                <w:sz w:val="20"/>
                <w:szCs w:val="20"/>
                <w:lang w:val="ru-RU"/>
              </w:rPr>
              <w:t>ոլորտի</w:t>
            </w:r>
            <w:r w:rsidRPr="0053423A">
              <w:rPr>
                <w:sz w:val="20"/>
                <w:szCs w:val="20"/>
                <w:lang w:val="af-ZA"/>
              </w:rPr>
              <w:t xml:space="preserve"> </w:t>
            </w:r>
            <w:r w:rsidRPr="0053423A">
              <w:rPr>
                <w:sz w:val="20"/>
                <w:szCs w:val="20"/>
                <w:lang w:val="ru-RU"/>
              </w:rPr>
              <w:t>գործունեության</w:t>
            </w:r>
            <w:r w:rsidRPr="0053423A">
              <w:rPr>
                <w:sz w:val="20"/>
                <w:szCs w:val="20"/>
                <w:lang w:val="af-ZA"/>
              </w:rPr>
              <w:t xml:space="preserve"> </w:t>
            </w:r>
            <w:r w:rsidRPr="0053423A">
              <w:rPr>
                <w:sz w:val="20"/>
                <w:szCs w:val="20"/>
                <w:lang w:val="ru-RU"/>
              </w:rPr>
              <w:t>թափանցիկության</w:t>
            </w:r>
            <w:r w:rsidRPr="0053423A">
              <w:rPr>
                <w:sz w:val="20"/>
                <w:szCs w:val="20"/>
                <w:lang w:val="af-ZA"/>
              </w:rPr>
              <w:t xml:space="preserve"> </w:t>
            </w:r>
            <w:r w:rsidRPr="0053423A">
              <w:rPr>
                <w:sz w:val="20"/>
                <w:szCs w:val="20"/>
                <w:lang w:val="ru-RU"/>
              </w:rPr>
              <w:t>ապահովման</w:t>
            </w:r>
            <w:r w:rsidRPr="0053423A">
              <w:rPr>
                <w:sz w:val="20"/>
                <w:szCs w:val="20"/>
                <w:lang w:val="af-ZA"/>
              </w:rPr>
              <w:t xml:space="preserve"> </w:t>
            </w:r>
            <w:r w:rsidRPr="0053423A">
              <w:rPr>
                <w:sz w:val="20"/>
                <w:szCs w:val="20"/>
                <w:lang w:val="ru-RU"/>
              </w:rPr>
              <w:t>նպատակով</w:t>
            </w:r>
            <w:r w:rsidRPr="0053423A">
              <w:rPr>
                <w:sz w:val="20"/>
                <w:szCs w:val="20"/>
                <w:lang w:val="af-ZA"/>
              </w:rPr>
              <w:t xml:space="preserve"> </w:t>
            </w:r>
            <w:r w:rsidRPr="0053423A">
              <w:rPr>
                <w:sz w:val="20"/>
                <w:szCs w:val="20"/>
                <w:lang w:val="ru-RU"/>
              </w:rPr>
              <w:t>իրականացված</w:t>
            </w:r>
            <w:r w:rsidRPr="0053423A">
              <w:rPr>
                <w:sz w:val="20"/>
                <w:szCs w:val="20"/>
                <w:lang w:val="af-ZA"/>
              </w:rPr>
              <w:t xml:space="preserve"> </w:t>
            </w:r>
            <w:r w:rsidRPr="0053423A">
              <w:rPr>
                <w:sz w:val="20"/>
                <w:szCs w:val="20"/>
                <w:lang w:val="ru-RU"/>
              </w:rPr>
              <w:t>քայլերից</w:t>
            </w:r>
            <w:r w:rsidRPr="0053423A">
              <w:rPr>
                <w:sz w:val="20"/>
                <w:szCs w:val="20"/>
                <w:lang w:val="af-ZA"/>
              </w:rPr>
              <w:t xml:space="preserve"> </w:t>
            </w:r>
            <w:r w:rsidRPr="0053423A">
              <w:rPr>
                <w:sz w:val="20"/>
                <w:szCs w:val="20"/>
                <w:lang w:val="ru-RU"/>
              </w:rPr>
              <w:t>մեկն</w:t>
            </w:r>
            <w:r w:rsidRPr="0053423A">
              <w:rPr>
                <w:sz w:val="20"/>
                <w:szCs w:val="20"/>
                <w:lang w:val="af-ZA"/>
              </w:rPr>
              <w:t xml:space="preserve"> </w:t>
            </w:r>
            <w:r w:rsidRPr="0053423A">
              <w:rPr>
                <w:sz w:val="20"/>
                <w:szCs w:val="20"/>
                <w:lang w:val="ru-RU"/>
              </w:rPr>
              <w:t>է</w:t>
            </w:r>
            <w:r w:rsidRPr="0053423A">
              <w:rPr>
                <w:sz w:val="20"/>
                <w:szCs w:val="20"/>
                <w:lang w:val="af-ZA"/>
              </w:rPr>
              <w:t xml:space="preserve"> </w:t>
            </w:r>
            <w:r w:rsidRPr="0053423A">
              <w:rPr>
                <w:sz w:val="20"/>
                <w:szCs w:val="20"/>
                <w:lang w:val="ru-RU"/>
              </w:rPr>
              <w:t>իրական</w:t>
            </w:r>
            <w:r w:rsidRPr="0053423A">
              <w:rPr>
                <w:sz w:val="20"/>
                <w:szCs w:val="20"/>
                <w:lang w:val="af-ZA"/>
              </w:rPr>
              <w:t xml:space="preserve"> </w:t>
            </w:r>
            <w:r w:rsidRPr="0053423A">
              <w:rPr>
                <w:sz w:val="20"/>
                <w:szCs w:val="20"/>
                <w:lang w:val="ru-RU"/>
              </w:rPr>
              <w:t>սեփականատերերի</w:t>
            </w:r>
            <w:r w:rsidRPr="0053423A">
              <w:rPr>
                <w:sz w:val="20"/>
                <w:szCs w:val="20"/>
                <w:lang w:val="af-ZA"/>
              </w:rPr>
              <w:t xml:space="preserve"> </w:t>
            </w:r>
            <w:r w:rsidRPr="0053423A">
              <w:rPr>
                <w:sz w:val="20"/>
                <w:szCs w:val="20"/>
                <w:lang w:val="ru-RU"/>
              </w:rPr>
              <w:t>բացահայտումը</w:t>
            </w:r>
            <w:r w:rsidRPr="0053423A">
              <w:rPr>
                <w:sz w:val="20"/>
                <w:szCs w:val="20"/>
                <w:lang w:val="af-ZA"/>
              </w:rPr>
              <w:t xml:space="preserve">, </w:t>
            </w:r>
            <w:r w:rsidRPr="0053423A">
              <w:rPr>
                <w:sz w:val="20"/>
                <w:szCs w:val="20"/>
                <w:lang w:val="ru-RU"/>
              </w:rPr>
              <w:t>որի</w:t>
            </w:r>
            <w:r w:rsidRPr="0053423A">
              <w:rPr>
                <w:sz w:val="20"/>
                <w:szCs w:val="20"/>
                <w:lang w:val="af-ZA"/>
              </w:rPr>
              <w:t xml:space="preserve"> </w:t>
            </w:r>
            <w:r w:rsidRPr="0053423A">
              <w:rPr>
                <w:sz w:val="20"/>
                <w:szCs w:val="20"/>
                <w:lang w:val="ru-RU"/>
              </w:rPr>
              <w:t>իրականացման</w:t>
            </w:r>
            <w:r w:rsidRPr="0053423A">
              <w:rPr>
                <w:sz w:val="20"/>
                <w:szCs w:val="20"/>
                <w:lang w:val="af-ZA"/>
              </w:rPr>
              <w:t xml:space="preserve"> </w:t>
            </w:r>
            <w:r w:rsidRPr="0053423A">
              <w:rPr>
                <w:sz w:val="20"/>
                <w:szCs w:val="20"/>
                <w:lang w:val="ru-RU"/>
              </w:rPr>
              <w:t>համար</w:t>
            </w:r>
            <w:r w:rsidRPr="0053423A">
              <w:rPr>
                <w:sz w:val="20"/>
                <w:szCs w:val="20"/>
                <w:lang w:val="af-ZA"/>
              </w:rPr>
              <w:t xml:space="preserve"> </w:t>
            </w:r>
            <w:r w:rsidRPr="0053423A">
              <w:rPr>
                <w:sz w:val="20"/>
                <w:szCs w:val="20"/>
                <w:lang w:val="ru-RU"/>
              </w:rPr>
              <w:t>անհրաժեշտ</w:t>
            </w:r>
            <w:r w:rsidRPr="0053423A">
              <w:rPr>
                <w:sz w:val="20"/>
                <w:szCs w:val="20"/>
                <w:lang w:val="af-ZA"/>
              </w:rPr>
              <w:t xml:space="preserve"> </w:t>
            </w:r>
            <w:r w:rsidRPr="0053423A">
              <w:rPr>
                <w:sz w:val="20"/>
                <w:szCs w:val="20"/>
                <w:lang w:val="ru-RU"/>
              </w:rPr>
              <w:t>է</w:t>
            </w:r>
            <w:r w:rsidRPr="0053423A">
              <w:rPr>
                <w:sz w:val="20"/>
                <w:szCs w:val="20"/>
                <w:lang w:val="af-ZA"/>
              </w:rPr>
              <w:t xml:space="preserve"> </w:t>
            </w:r>
            <w:r w:rsidRPr="0053423A">
              <w:rPr>
                <w:sz w:val="20"/>
                <w:szCs w:val="20"/>
                <w:lang w:val="ru-RU"/>
              </w:rPr>
              <w:t>ներդնել</w:t>
            </w:r>
            <w:r w:rsidRPr="0053423A">
              <w:rPr>
                <w:sz w:val="20"/>
                <w:szCs w:val="20"/>
                <w:lang w:val="af-ZA"/>
              </w:rPr>
              <w:t xml:space="preserve"> </w:t>
            </w:r>
            <w:r w:rsidRPr="0053423A">
              <w:rPr>
                <w:sz w:val="20"/>
                <w:szCs w:val="20"/>
                <w:lang w:val="ru-RU"/>
              </w:rPr>
              <w:t>և</w:t>
            </w:r>
            <w:r w:rsidRPr="0053423A">
              <w:rPr>
                <w:sz w:val="20"/>
                <w:szCs w:val="20"/>
                <w:lang w:val="af-ZA"/>
              </w:rPr>
              <w:t xml:space="preserve"> </w:t>
            </w:r>
            <w:r w:rsidRPr="0053423A">
              <w:rPr>
                <w:sz w:val="20"/>
                <w:szCs w:val="20"/>
                <w:lang w:val="ru-RU"/>
              </w:rPr>
              <w:t>վարել</w:t>
            </w:r>
            <w:r w:rsidRPr="0053423A">
              <w:rPr>
                <w:sz w:val="20"/>
                <w:szCs w:val="20"/>
                <w:lang w:val="af-ZA"/>
              </w:rPr>
              <w:t xml:space="preserve"> </w:t>
            </w:r>
            <w:r w:rsidRPr="0053423A">
              <w:rPr>
                <w:sz w:val="20"/>
                <w:szCs w:val="20"/>
                <w:lang w:val="ru-RU"/>
              </w:rPr>
              <w:t>իրական</w:t>
            </w:r>
            <w:r w:rsidRPr="0053423A">
              <w:rPr>
                <w:sz w:val="20"/>
                <w:szCs w:val="20"/>
                <w:lang w:val="af-ZA"/>
              </w:rPr>
              <w:t xml:space="preserve"> </w:t>
            </w:r>
            <w:r w:rsidRPr="0053423A">
              <w:rPr>
                <w:sz w:val="20"/>
                <w:szCs w:val="20"/>
                <w:lang w:val="ru-RU"/>
              </w:rPr>
              <w:t>սեփականատերերի</w:t>
            </w:r>
            <w:r w:rsidRPr="0053423A">
              <w:rPr>
                <w:sz w:val="20"/>
                <w:szCs w:val="20"/>
                <w:lang w:val="af-ZA"/>
              </w:rPr>
              <w:t xml:space="preserve"> </w:t>
            </w:r>
            <w:r w:rsidRPr="0053423A">
              <w:rPr>
                <w:sz w:val="20"/>
                <w:szCs w:val="20"/>
                <w:lang w:val="ru-RU"/>
              </w:rPr>
              <w:t>ռեգիստր</w:t>
            </w:r>
            <w:r w:rsidRPr="0053423A">
              <w:rPr>
                <w:sz w:val="20"/>
                <w:szCs w:val="20"/>
                <w:lang w:val="af-ZA"/>
              </w:rPr>
              <w:t xml:space="preserve">: </w:t>
            </w:r>
            <w:r w:rsidRPr="0053423A">
              <w:rPr>
                <w:sz w:val="20"/>
                <w:szCs w:val="20"/>
                <w:lang w:val="ru-RU"/>
              </w:rPr>
              <w:t>Նշյալ</w:t>
            </w:r>
            <w:r w:rsidRPr="0053423A">
              <w:rPr>
                <w:sz w:val="20"/>
                <w:szCs w:val="20"/>
                <w:lang w:val="af-ZA"/>
              </w:rPr>
              <w:t xml:space="preserve"> </w:t>
            </w:r>
            <w:r w:rsidRPr="0053423A">
              <w:rPr>
                <w:sz w:val="20"/>
                <w:szCs w:val="20"/>
                <w:lang w:val="ru-RU"/>
              </w:rPr>
              <w:t>ռեգիստրի</w:t>
            </w:r>
            <w:r w:rsidRPr="0053423A">
              <w:rPr>
                <w:sz w:val="20"/>
                <w:szCs w:val="20"/>
                <w:lang w:val="af-ZA"/>
              </w:rPr>
              <w:t xml:space="preserve">  </w:t>
            </w:r>
            <w:r w:rsidRPr="0053423A">
              <w:rPr>
                <w:sz w:val="20"/>
                <w:szCs w:val="20"/>
                <w:lang w:val="ru-RU"/>
              </w:rPr>
              <w:t>վարման</w:t>
            </w:r>
            <w:r w:rsidRPr="0053423A">
              <w:rPr>
                <w:sz w:val="20"/>
                <w:szCs w:val="20"/>
                <w:lang w:val="af-ZA"/>
              </w:rPr>
              <w:t xml:space="preserve"> </w:t>
            </w:r>
            <w:r w:rsidRPr="0053423A">
              <w:rPr>
                <w:sz w:val="20"/>
                <w:szCs w:val="20"/>
                <w:lang w:val="ru-RU"/>
              </w:rPr>
              <w:t>համար</w:t>
            </w:r>
            <w:r w:rsidRPr="0053423A">
              <w:rPr>
                <w:sz w:val="20"/>
                <w:szCs w:val="20"/>
                <w:lang w:val="af-ZA"/>
              </w:rPr>
              <w:t xml:space="preserve"> </w:t>
            </w:r>
            <w:r w:rsidRPr="0053423A">
              <w:rPr>
                <w:sz w:val="20"/>
                <w:szCs w:val="20"/>
                <w:lang w:val="ru-RU"/>
              </w:rPr>
              <w:t>անհրաժեշտ</w:t>
            </w:r>
            <w:r w:rsidRPr="0053423A">
              <w:rPr>
                <w:sz w:val="20"/>
                <w:szCs w:val="20"/>
                <w:lang w:val="af-ZA"/>
              </w:rPr>
              <w:t xml:space="preserve"> </w:t>
            </w:r>
            <w:r w:rsidRPr="0053423A">
              <w:rPr>
                <w:sz w:val="20"/>
                <w:szCs w:val="20"/>
                <w:lang w:val="ru-RU"/>
              </w:rPr>
              <w:t>է</w:t>
            </w:r>
            <w:r w:rsidRPr="0053423A">
              <w:rPr>
                <w:sz w:val="20"/>
                <w:szCs w:val="20"/>
                <w:lang w:val="af-ZA"/>
              </w:rPr>
              <w:t xml:space="preserve"> </w:t>
            </w:r>
            <w:r w:rsidRPr="0053423A">
              <w:rPr>
                <w:sz w:val="20"/>
                <w:szCs w:val="20"/>
                <w:lang w:val="ru-RU"/>
              </w:rPr>
              <w:t>ենթաօրենսդրական</w:t>
            </w:r>
            <w:r w:rsidRPr="0053423A">
              <w:rPr>
                <w:sz w:val="20"/>
                <w:szCs w:val="20"/>
                <w:lang w:val="af-ZA"/>
              </w:rPr>
              <w:t xml:space="preserve"> ակտերի միջոցով ամրագրել </w:t>
            </w:r>
            <w:r w:rsidRPr="0053423A">
              <w:rPr>
                <w:rFonts w:cs="GHEA Grapalat"/>
                <w:sz w:val="20"/>
                <w:szCs w:val="20"/>
                <w:lang w:val="af-ZA"/>
              </w:rPr>
              <w:t xml:space="preserve">ռեգիստրի </w:t>
            </w:r>
            <w:r w:rsidRPr="0053423A">
              <w:rPr>
                <w:sz w:val="20"/>
                <w:szCs w:val="20"/>
                <w:lang w:val="af-ZA"/>
              </w:rPr>
              <w:t xml:space="preserve"> </w:t>
            </w:r>
            <w:r w:rsidRPr="0053423A">
              <w:rPr>
                <w:sz w:val="20"/>
                <w:szCs w:val="20"/>
                <w:lang w:val="ru-RU"/>
              </w:rPr>
              <w:t>վարման</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վերջինիս</w:t>
            </w:r>
            <w:r w:rsidRPr="0053423A">
              <w:rPr>
                <w:sz w:val="20"/>
                <w:szCs w:val="20"/>
                <w:lang w:val="af-ZA"/>
              </w:rPr>
              <w:t xml:space="preserve"> </w:t>
            </w:r>
            <w:r w:rsidRPr="0053423A">
              <w:rPr>
                <w:sz w:val="20"/>
                <w:szCs w:val="20"/>
              </w:rPr>
              <w:t>հրապարակայնության</w:t>
            </w:r>
            <w:r w:rsidRPr="0053423A">
              <w:rPr>
                <w:sz w:val="20"/>
                <w:szCs w:val="20"/>
                <w:lang w:val="af-ZA"/>
              </w:rPr>
              <w:t xml:space="preserve"> </w:t>
            </w:r>
            <w:r w:rsidRPr="0053423A">
              <w:rPr>
                <w:sz w:val="20"/>
                <w:szCs w:val="20"/>
              </w:rPr>
              <w:t>ապահովման</w:t>
            </w:r>
            <w:r w:rsidRPr="0053423A">
              <w:rPr>
                <w:sz w:val="20"/>
                <w:szCs w:val="20"/>
                <w:lang w:val="af-ZA"/>
              </w:rPr>
              <w:t xml:space="preserve"> ընթացակարգ:  </w:t>
            </w:r>
          </w:p>
          <w:p w:rsidR="0084615D" w:rsidRPr="0053423A" w:rsidRDefault="0084615D" w:rsidP="001F6D5D">
            <w:pPr>
              <w:pStyle w:val="ListParagraph"/>
              <w:numPr>
                <w:ilvl w:val="1"/>
                <w:numId w:val="290"/>
              </w:numPr>
              <w:tabs>
                <w:tab w:val="left" w:pos="900"/>
                <w:tab w:val="left" w:pos="1620"/>
              </w:tabs>
              <w:spacing w:after="0" w:line="276" w:lineRule="auto"/>
              <w:ind w:left="0" w:firstLine="735"/>
              <w:rPr>
                <w:rFonts w:eastAsia="Times New Roman"/>
                <w:b/>
                <w:sz w:val="20"/>
                <w:szCs w:val="20"/>
                <w:lang w:val="af-ZA"/>
              </w:rPr>
            </w:pPr>
            <w:r w:rsidRPr="0053423A">
              <w:rPr>
                <w:rFonts w:eastAsia="Times New Roman" w:cs="Sylfaen"/>
                <w:b/>
                <w:sz w:val="20"/>
                <w:szCs w:val="20"/>
                <w:lang w:val="hy-AM"/>
              </w:rPr>
              <w:t>Կարգավորման</w:t>
            </w:r>
            <w:r w:rsidRPr="0053423A">
              <w:rPr>
                <w:rFonts w:eastAsia="Times New Roman"/>
                <w:b/>
                <w:sz w:val="20"/>
                <w:szCs w:val="20"/>
                <w:lang w:val="af-ZA"/>
              </w:rPr>
              <w:t xml:space="preserve"> </w:t>
            </w:r>
            <w:r w:rsidRPr="0053423A">
              <w:rPr>
                <w:rFonts w:eastAsia="Times New Roman" w:cs="Sylfaen"/>
                <w:b/>
                <w:sz w:val="20"/>
                <w:szCs w:val="20"/>
                <w:lang w:val="hy-AM"/>
              </w:rPr>
              <w:t>հարաբերությունների</w:t>
            </w:r>
            <w:r w:rsidRPr="0053423A">
              <w:rPr>
                <w:rFonts w:eastAsia="Times New Roman"/>
                <w:b/>
                <w:sz w:val="20"/>
                <w:szCs w:val="20"/>
                <w:lang w:val="af-ZA"/>
              </w:rPr>
              <w:t xml:space="preserve"> </w:t>
            </w:r>
            <w:r w:rsidRPr="0053423A">
              <w:rPr>
                <w:rFonts w:eastAsia="Times New Roman" w:cs="Sylfaen"/>
                <w:b/>
                <w:sz w:val="20"/>
                <w:szCs w:val="20"/>
                <w:lang w:val="hy-AM"/>
              </w:rPr>
              <w:t>ներկա</w:t>
            </w:r>
            <w:r w:rsidRPr="0053423A">
              <w:rPr>
                <w:rFonts w:eastAsia="Times New Roman"/>
                <w:b/>
                <w:sz w:val="20"/>
                <w:szCs w:val="20"/>
                <w:lang w:val="af-ZA"/>
              </w:rPr>
              <w:t xml:space="preserve"> </w:t>
            </w:r>
            <w:r w:rsidRPr="0053423A">
              <w:rPr>
                <w:rFonts w:eastAsia="Times New Roman" w:cs="Sylfaen"/>
                <w:b/>
                <w:sz w:val="20"/>
                <w:szCs w:val="20"/>
                <w:lang w:val="hy-AM"/>
              </w:rPr>
              <w:t>վիճակը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առկա</w:t>
            </w:r>
            <w:r w:rsidRPr="0053423A">
              <w:rPr>
                <w:rFonts w:eastAsia="Times New Roman"/>
                <w:b/>
                <w:sz w:val="20"/>
                <w:szCs w:val="20"/>
                <w:lang w:val="af-ZA"/>
              </w:rPr>
              <w:t xml:space="preserve"> </w:t>
            </w:r>
            <w:r w:rsidRPr="0053423A">
              <w:rPr>
                <w:rFonts w:eastAsia="Times New Roman" w:cs="Sylfaen"/>
                <w:b/>
                <w:sz w:val="20"/>
                <w:szCs w:val="20"/>
                <w:lang w:val="hy-AM"/>
              </w:rPr>
              <w:t>խնդիրները</w:t>
            </w:r>
          </w:p>
          <w:p w:rsidR="0084615D" w:rsidRPr="0053423A" w:rsidRDefault="0084615D" w:rsidP="00A67858">
            <w:pPr>
              <w:spacing w:after="0" w:line="276" w:lineRule="auto"/>
              <w:ind w:firstLine="735"/>
              <w:jc w:val="both"/>
              <w:rPr>
                <w:rFonts w:cs="GHEA Grapalat"/>
                <w:sz w:val="20"/>
                <w:szCs w:val="20"/>
                <w:lang w:val="af-ZA"/>
              </w:rPr>
            </w:pPr>
            <w:r w:rsidRPr="0053423A">
              <w:rPr>
                <w:rFonts w:cs="Sylfaen"/>
                <w:bCs/>
                <w:iCs/>
                <w:sz w:val="20"/>
                <w:szCs w:val="20"/>
                <w:lang w:val="hy-AM"/>
              </w:rPr>
              <w:t xml:space="preserve">Ներկայումս </w:t>
            </w:r>
            <w:r w:rsidRPr="0053423A">
              <w:rPr>
                <w:rFonts w:cs="Sylfaen"/>
                <w:bCs/>
                <w:iCs/>
                <w:sz w:val="20"/>
                <w:szCs w:val="20"/>
                <w:lang w:val="ru-RU"/>
              </w:rPr>
              <w:t>Հայաստանի</w:t>
            </w:r>
            <w:r w:rsidRPr="0053423A">
              <w:rPr>
                <w:rFonts w:cs="Sylfaen"/>
                <w:bCs/>
                <w:iCs/>
                <w:sz w:val="20"/>
                <w:szCs w:val="20"/>
                <w:lang w:val="af-ZA"/>
              </w:rPr>
              <w:t xml:space="preserve"> </w:t>
            </w:r>
            <w:r w:rsidRPr="0053423A">
              <w:rPr>
                <w:rFonts w:cs="Sylfaen"/>
                <w:bCs/>
                <w:iCs/>
                <w:sz w:val="20"/>
                <w:szCs w:val="20"/>
                <w:lang w:val="ru-RU"/>
              </w:rPr>
              <w:t>Հանրապետությունում</w:t>
            </w:r>
            <w:r w:rsidRPr="0053423A">
              <w:rPr>
                <w:rFonts w:cs="Sylfaen"/>
                <w:bCs/>
                <w:iCs/>
                <w:sz w:val="20"/>
                <w:szCs w:val="20"/>
                <w:lang w:val="af-ZA"/>
              </w:rPr>
              <w:t xml:space="preserve"> </w:t>
            </w:r>
            <w:r w:rsidRPr="0053423A">
              <w:rPr>
                <w:rFonts w:cs="GHEA Grapalat"/>
                <w:sz w:val="20"/>
                <w:szCs w:val="20"/>
                <w:lang w:val="ru-RU"/>
              </w:rPr>
              <w:t>Ընդերքօգտագործման</w:t>
            </w:r>
            <w:r w:rsidRPr="0053423A">
              <w:rPr>
                <w:rFonts w:cs="GHEA Grapalat"/>
                <w:sz w:val="20"/>
                <w:szCs w:val="20"/>
                <w:lang w:val="af-ZA"/>
              </w:rPr>
              <w:t xml:space="preserve"> </w:t>
            </w:r>
            <w:r w:rsidRPr="0053423A">
              <w:rPr>
                <w:rFonts w:cs="GHEA Grapalat"/>
                <w:sz w:val="20"/>
                <w:szCs w:val="20"/>
                <w:lang w:val="ru-RU"/>
              </w:rPr>
              <w:t>իրավունքի</w:t>
            </w:r>
            <w:r w:rsidRPr="0053423A">
              <w:rPr>
                <w:rFonts w:cs="GHEA Grapalat"/>
                <w:sz w:val="20"/>
                <w:szCs w:val="20"/>
                <w:lang w:val="af-ZA"/>
              </w:rPr>
              <w:t xml:space="preserve"> ստացած </w:t>
            </w:r>
            <w:r w:rsidRPr="0053423A">
              <w:rPr>
                <w:rFonts w:cs="Arial"/>
                <w:sz w:val="20"/>
                <w:szCs w:val="20"/>
                <w:lang w:val="hy-AM" w:eastAsia="en-GB"/>
              </w:rPr>
              <w:t>մետաղական</w:t>
            </w:r>
            <w:r w:rsidRPr="0053423A">
              <w:rPr>
                <w:rFonts w:cs="Arial Armenian"/>
                <w:sz w:val="20"/>
                <w:szCs w:val="20"/>
                <w:lang w:val="hy-AM" w:eastAsia="en-GB"/>
              </w:rPr>
              <w:t xml:space="preserve"> </w:t>
            </w:r>
            <w:r w:rsidRPr="0053423A">
              <w:rPr>
                <w:rFonts w:cs="Arial"/>
                <w:sz w:val="20"/>
                <w:szCs w:val="20"/>
                <w:lang w:val="hy-AM" w:eastAsia="en-GB"/>
              </w:rPr>
              <w:t>հանքաքար</w:t>
            </w:r>
            <w:r w:rsidRPr="0053423A">
              <w:rPr>
                <w:rFonts w:cs="Arial Armenian"/>
                <w:sz w:val="20"/>
                <w:szCs w:val="20"/>
                <w:lang w:val="hy-AM" w:eastAsia="en-GB"/>
              </w:rPr>
              <w:t xml:space="preserve"> </w:t>
            </w:r>
            <w:r w:rsidRPr="0053423A">
              <w:rPr>
                <w:rFonts w:cs="Arial"/>
                <w:sz w:val="20"/>
                <w:szCs w:val="20"/>
                <w:lang w:val="hy-AM" w:eastAsia="en-GB"/>
              </w:rPr>
              <w:t>արդյունահանող</w:t>
            </w:r>
            <w:r w:rsidRPr="0053423A">
              <w:rPr>
                <w:rFonts w:cs="Arial"/>
                <w:sz w:val="20"/>
                <w:szCs w:val="20"/>
                <w:lang w:val="af-ZA" w:eastAsia="en-GB"/>
              </w:rPr>
              <w:t xml:space="preserve"> </w:t>
            </w:r>
            <w:r w:rsidRPr="0053423A">
              <w:rPr>
                <w:rFonts w:cs="Arial"/>
                <w:sz w:val="20"/>
                <w:szCs w:val="20"/>
                <w:lang w:val="hy-AM" w:eastAsia="en-GB"/>
              </w:rPr>
              <w:t>կազմակերպությունների</w:t>
            </w:r>
            <w:r w:rsidRPr="0053423A">
              <w:rPr>
                <w:rFonts w:cs="Arial"/>
                <w:sz w:val="20"/>
                <w:szCs w:val="20"/>
                <w:lang w:val="af-ZA" w:eastAsia="en-GB"/>
              </w:rPr>
              <w:t xml:space="preserve"> </w:t>
            </w:r>
            <w:r w:rsidRPr="0053423A">
              <w:rPr>
                <w:rFonts w:cs="Arial"/>
                <w:sz w:val="20"/>
                <w:szCs w:val="20"/>
                <w:lang w:val="hy-AM" w:eastAsia="en-GB"/>
              </w:rPr>
              <w:t>իրական</w:t>
            </w:r>
            <w:r w:rsidRPr="0053423A">
              <w:rPr>
                <w:rFonts w:cs="Arial Armenian"/>
                <w:sz w:val="20"/>
                <w:szCs w:val="20"/>
                <w:lang w:val="hy-AM" w:eastAsia="en-GB"/>
              </w:rPr>
              <w:t xml:space="preserve"> </w:t>
            </w:r>
            <w:r w:rsidRPr="0053423A">
              <w:rPr>
                <w:rFonts w:cs="Arial"/>
                <w:sz w:val="20"/>
                <w:szCs w:val="20"/>
                <w:lang w:val="hy-AM" w:eastAsia="en-GB"/>
              </w:rPr>
              <w:t>սեփականատերերի</w:t>
            </w:r>
            <w:r w:rsidRPr="0053423A">
              <w:rPr>
                <w:rFonts w:cs="Arial"/>
                <w:sz w:val="20"/>
                <w:szCs w:val="20"/>
                <w:lang w:val="af-ZA" w:eastAsia="en-GB"/>
              </w:rPr>
              <w:t xml:space="preserve"> </w:t>
            </w:r>
            <w:r w:rsidRPr="0053423A">
              <w:rPr>
                <w:rFonts w:cs="Arial"/>
                <w:sz w:val="20"/>
                <w:szCs w:val="20"/>
                <w:lang w:eastAsia="en-GB"/>
              </w:rPr>
              <w:t>բացահայտման</w:t>
            </w:r>
            <w:r w:rsidRPr="0053423A">
              <w:rPr>
                <w:rFonts w:cs="Arial"/>
                <w:sz w:val="20"/>
                <w:szCs w:val="20"/>
                <w:lang w:val="af-ZA" w:eastAsia="en-GB"/>
              </w:rPr>
              <w:t xml:space="preserve"> </w:t>
            </w:r>
            <w:r w:rsidRPr="0053423A">
              <w:rPr>
                <w:rFonts w:cs="Arial"/>
                <w:sz w:val="20"/>
                <w:szCs w:val="20"/>
                <w:lang w:eastAsia="en-GB"/>
              </w:rPr>
              <w:t>նպատակով</w:t>
            </w:r>
            <w:r w:rsidRPr="0053423A">
              <w:rPr>
                <w:rFonts w:cs="Arial"/>
                <w:sz w:val="20"/>
                <w:szCs w:val="20"/>
                <w:lang w:val="af-ZA" w:eastAsia="en-GB"/>
              </w:rPr>
              <w:t xml:space="preserve"> </w:t>
            </w:r>
            <w:r w:rsidRPr="0053423A">
              <w:rPr>
                <w:rFonts w:cs="Arial"/>
                <w:sz w:val="20"/>
                <w:szCs w:val="20"/>
                <w:lang w:eastAsia="en-GB"/>
              </w:rPr>
              <w:t>ստեղծվելիք</w:t>
            </w:r>
            <w:r w:rsidRPr="0053423A">
              <w:rPr>
                <w:rFonts w:cs="Arial"/>
                <w:sz w:val="20"/>
                <w:szCs w:val="20"/>
                <w:lang w:val="af-ZA" w:eastAsia="en-GB"/>
              </w:rPr>
              <w:t xml:space="preserve"> </w:t>
            </w:r>
            <w:r w:rsidRPr="0053423A">
              <w:rPr>
                <w:rFonts w:cs="Arial"/>
                <w:sz w:val="20"/>
                <w:szCs w:val="20"/>
                <w:lang w:eastAsia="en-GB"/>
              </w:rPr>
              <w:t>ռեգիստրը</w:t>
            </w:r>
            <w:r w:rsidRPr="0053423A">
              <w:rPr>
                <w:rFonts w:cs="Arial"/>
                <w:sz w:val="20"/>
                <w:szCs w:val="20"/>
                <w:lang w:val="af-ZA" w:eastAsia="en-GB"/>
              </w:rPr>
              <w:t xml:space="preserve"> </w:t>
            </w:r>
            <w:r w:rsidRPr="0053423A">
              <w:rPr>
                <w:rFonts w:cs="Arial"/>
                <w:sz w:val="20"/>
                <w:szCs w:val="20"/>
                <w:lang w:eastAsia="en-GB"/>
              </w:rPr>
              <w:t>վարելու</w:t>
            </w:r>
            <w:r w:rsidRPr="0053423A">
              <w:rPr>
                <w:rFonts w:cs="Arial"/>
                <w:sz w:val="20"/>
                <w:szCs w:val="20"/>
                <w:lang w:val="af-ZA" w:eastAsia="en-GB"/>
              </w:rPr>
              <w:t xml:space="preserve"> </w:t>
            </w:r>
            <w:r w:rsidRPr="0053423A">
              <w:rPr>
                <w:rFonts w:cs="Arial"/>
                <w:sz w:val="20"/>
                <w:szCs w:val="20"/>
                <w:lang w:eastAsia="en-GB"/>
              </w:rPr>
              <w:t>համար</w:t>
            </w:r>
            <w:r w:rsidRPr="0053423A">
              <w:rPr>
                <w:rFonts w:cs="Arial"/>
                <w:sz w:val="20"/>
                <w:szCs w:val="20"/>
                <w:lang w:val="af-ZA" w:eastAsia="en-GB"/>
              </w:rPr>
              <w:t xml:space="preserve"> </w:t>
            </w:r>
            <w:r w:rsidRPr="0053423A">
              <w:rPr>
                <w:rFonts w:cs="Arial"/>
                <w:sz w:val="20"/>
                <w:szCs w:val="20"/>
                <w:lang w:eastAsia="en-GB"/>
              </w:rPr>
              <w:t>չկա</w:t>
            </w:r>
            <w:r w:rsidR="00192301">
              <w:rPr>
                <w:rFonts w:cs="Arial"/>
                <w:sz w:val="20"/>
                <w:szCs w:val="20"/>
                <w:lang w:val="hy-AM" w:eastAsia="en-GB"/>
              </w:rPr>
              <w:t>ն</w:t>
            </w:r>
            <w:r w:rsidRPr="0053423A">
              <w:rPr>
                <w:rFonts w:cs="Arial"/>
                <w:sz w:val="20"/>
                <w:szCs w:val="20"/>
                <w:lang w:val="af-ZA" w:eastAsia="en-GB"/>
              </w:rPr>
              <w:t xml:space="preserve"> </w:t>
            </w:r>
            <w:r w:rsidRPr="0053423A">
              <w:rPr>
                <w:rFonts w:cs="Arial"/>
                <w:sz w:val="20"/>
                <w:szCs w:val="20"/>
                <w:lang w:eastAsia="en-GB"/>
              </w:rPr>
              <w:t>համապատասխան</w:t>
            </w:r>
            <w:r w:rsidRPr="0053423A">
              <w:rPr>
                <w:rFonts w:cs="Arial"/>
                <w:sz w:val="20"/>
                <w:szCs w:val="20"/>
                <w:lang w:val="af-ZA" w:eastAsia="en-GB"/>
              </w:rPr>
              <w:t xml:space="preserve"> </w:t>
            </w:r>
            <w:r w:rsidRPr="0053423A">
              <w:rPr>
                <w:rFonts w:cs="Arial"/>
                <w:sz w:val="20"/>
                <w:szCs w:val="20"/>
                <w:lang w:eastAsia="en-GB"/>
              </w:rPr>
              <w:t>վարման</w:t>
            </w:r>
            <w:r w:rsidRPr="0053423A">
              <w:rPr>
                <w:rFonts w:cs="Arial"/>
                <w:sz w:val="20"/>
                <w:szCs w:val="20"/>
                <w:lang w:val="af-ZA" w:eastAsia="en-GB"/>
              </w:rPr>
              <w:t xml:space="preserve"> </w:t>
            </w:r>
            <w:r w:rsidRPr="0053423A">
              <w:rPr>
                <w:rFonts w:cs="Arial"/>
                <w:sz w:val="20"/>
                <w:szCs w:val="20"/>
                <w:lang w:eastAsia="en-GB"/>
              </w:rPr>
              <w:t>ընթացակարգը</w:t>
            </w:r>
            <w:r w:rsidRPr="0053423A">
              <w:rPr>
                <w:rFonts w:cs="Arial"/>
                <w:sz w:val="20"/>
                <w:szCs w:val="20"/>
                <w:lang w:val="af-ZA" w:eastAsia="en-GB"/>
              </w:rPr>
              <w:t xml:space="preserve"> </w:t>
            </w:r>
            <w:r w:rsidRPr="0053423A">
              <w:rPr>
                <w:rFonts w:cs="Arial"/>
                <w:sz w:val="20"/>
                <w:szCs w:val="20"/>
                <w:lang w:eastAsia="en-GB"/>
              </w:rPr>
              <w:t>կարգավորող</w:t>
            </w:r>
            <w:r w:rsidRPr="0053423A">
              <w:rPr>
                <w:rFonts w:cs="Arial"/>
                <w:sz w:val="20"/>
                <w:szCs w:val="20"/>
                <w:lang w:val="af-ZA" w:eastAsia="en-GB"/>
              </w:rPr>
              <w:t xml:space="preserve"> </w:t>
            </w:r>
            <w:r w:rsidRPr="0053423A">
              <w:rPr>
                <w:rFonts w:cs="Arial"/>
                <w:sz w:val="20"/>
                <w:szCs w:val="20"/>
                <w:lang w:eastAsia="en-GB"/>
              </w:rPr>
              <w:t>ենթաօրենսդրական</w:t>
            </w:r>
            <w:r w:rsidRPr="0053423A">
              <w:rPr>
                <w:rFonts w:cs="Arial"/>
                <w:sz w:val="20"/>
                <w:szCs w:val="20"/>
                <w:lang w:val="af-ZA" w:eastAsia="en-GB"/>
              </w:rPr>
              <w:t xml:space="preserve"> </w:t>
            </w:r>
            <w:r w:rsidRPr="0053423A">
              <w:rPr>
                <w:rFonts w:cs="Arial"/>
                <w:sz w:val="20"/>
                <w:szCs w:val="20"/>
                <w:lang w:eastAsia="en-GB"/>
              </w:rPr>
              <w:t>ակտեր</w:t>
            </w:r>
            <w:r w:rsidRPr="0053423A">
              <w:rPr>
                <w:rFonts w:cs="Arial"/>
                <w:sz w:val="20"/>
                <w:szCs w:val="20"/>
                <w:lang w:val="af-ZA" w:eastAsia="en-GB"/>
              </w:rPr>
              <w:t xml:space="preserve">: </w:t>
            </w:r>
          </w:p>
          <w:p w:rsidR="0084615D" w:rsidRPr="0053423A" w:rsidRDefault="0084615D" w:rsidP="00A67858">
            <w:pPr>
              <w:pStyle w:val="ListParagraph"/>
              <w:tabs>
                <w:tab w:val="left" w:pos="900"/>
              </w:tabs>
              <w:spacing w:after="0" w:line="276" w:lineRule="auto"/>
              <w:ind w:left="0" w:firstLine="735"/>
              <w:rPr>
                <w:rFonts w:eastAsia="Times New Roman"/>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w:t>
            </w:r>
            <w:r w:rsidRPr="0053423A">
              <w:rPr>
                <w:rFonts w:eastAsia="Times New Roman" w:cs="Sylfaen"/>
                <w:b/>
                <w:sz w:val="20"/>
                <w:szCs w:val="20"/>
                <w:lang w:val="hy-AM"/>
              </w:rPr>
              <w:t>Առկա</w:t>
            </w:r>
            <w:r w:rsidRPr="0053423A">
              <w:rPr>
                <w:rFonts w:eastAsia="Times New Roman"/>
                <w:b/>
                <w:sz w:val="20"/>
                <w:szCs w:val="20"/>
                <w:lang w:val="af-ZA"/>
              </w:rPr>
              <w:t xml:space="preserve"> </w:t>
            </w:r>
            <w:r w:rsidRPr="0053423A">
              <w:rPr>
                <w:rFonts w:eastAsia="Times New Roman" w:cs="Sylfaen"/>
                <w:b/>
                <w:sz w:val="20"/>
                <w:szCs w:val="20"/>
                <w:lang w:val="hy-AM"/>
              </w:rPr>
              <w:t>խնդիրների</w:t>
            </w:r>
            <w:r w:rsidRPr="0053423A">
              <w:rPr>
                <w:rFonts w:eastAsia="Times New Roman"/>
                <w:b/>
                <w:sz w:val="20"/>
                <w:szCs w:val="20"/>
                <w:lang w:val="af-ZA"/>
              </w:rPr>
              <w:t xml:space="preserve"> </w:t>
            </w:r>
            <w:r w:rsidRPr="0053423A">
              <w:rPr>
                <w:rFonts w:eastAsia="Times New Roman" w:cs="Sylfaen"/>
                <w:b/>
                <w:sz w:val="20"/>
                <w:szCs w:val="20"/>
                <w:lang w:val="hy-AM"/>
              </w:rPr>
              <w:t>առաջարկվող</w:t>
            </w:r>
            <w:r w:rsidRPr="0053423A">
              <w:rPr>
                <w:rFonts w:eastAsia="Times New Roman"/>
                <w:b/>
                <w:sz w:val="20"/>
                <w:szCs w:val="20"/>
                <w:lang w:val="af-ZA"/>
              </w:rPr>
              <w:t xml:space="preserve"> </w:t>
            </w:r>
            <w:r w:rsidRPr="0053423A">
              <w:rPr>
                <w:rFonts w:eastAsia="Times New Roman" w:cs="Sylfaen"/>
                <w:b/>
                <w:sz w:val="20"/>
                <w:szCs w:val="20"/>
                <w:lang w:val="hy-AM"/>
              </w:rPr>
              <w:t>լուծումները</w:t>
            </w:r>
          </w:p>
          <w:p w:rsidR="0084615D" w:rsidRPr="0053423A" w:rsidRDefault="0084615D" w:rsidP="00A67858">
            <w:pPr>
              <w:spacing w:after="0" w:line="276" w:lineRule="auto"/>
              <w:ind w:firstLine="735"/>
              <w:jc w:val="both"/>
              <w:rPr>
                <w:rFonts w:cs="GHEA Grapalat"/>
                <w:sz w:val="20"/>
                <w:szCs w:val="20"/>
                <w:lang w:val="af-ZA"/>
              </w:rPr>
            </w:pPr>
            <w:r w:rsidRPr="0053423A">
              <w:rPr>
                <w:rFonts w:cs="GHEA Grapalat"/>
                <w:sz w:val="20"/>
                <w:szCs w:val="20"/>
                <w:lang w:val="ru-RU"/>
              </w:rPr>
              <w:t>Առաջարկվում</w:t>
            </w:r>
            <w:r w:rsidRPr="0053423A">
              <w:rPr>
                <w:rFonts w:cs="GHEA Grapalat"/>
                <w:sz w:val="20"/>
                <w:szCs w:val="20"/>
                <w:lang w:val="af-ZA"/>
              </w:rPr>
              <w:t xml:space="preserve"> </w:t>
            </w:r>
            <w:r w:rsidRPr="0053423A">
              <w:rPr>
                <w:rFonts w:cs="GHEA Grapalat"/>
                <w:sz w:val="20"/>
                <w:szCs w:val="20"/>
                <w:lang w:val="ru-RU"/>
              </w:rPr>
              <w:t>է</w:t>
            </w:r>
            <w:r w:rsidRPr="0053423A">
              <w:rPr>
                <w:rFonts w:cs="GHEA Grapalat"/>
                <w:sz w:val="20"/>
                <w:szCs w:val="20"/>
                <w:lang w:val="af-ZA"/>
              </w:rPr>
              <w:t xml:space="preserve"> </w:t>
            </w:r>
            <w:r w:rsidRPr="0053423A">
              <w:rPr>
                <w:rFonts w:cs="GHEA Grapalat"/>
                <w:sz w:val="20"/>
                <w:szCs w:val="20"/>
                <w:lang w:val="ru-RU"/>
              </w:rPr>
              <w:t>մշակել</w:t>
            </w:r>
            <w:r w:rsidRPr="0053423A">
              <w:rPr>
                <w:rFonts w:cs="GHEA Grapalat"/>
                <w:sz w:val="20"/>
                <w:szCs w:val="20"/>
                <w:lang w:val="af-ZA"/>
              </w:rPr>
              <w:t xml:space="preserve"> ենթա</w:t>
            </w:r>
            <w:r w:rsidRPr="0053423A">
              <w:rPr>
                <w:rFonts w:cs="GHEA Grapalat"/>
                <w:sz w:val="20"/>
                <w:szCs w:val="20"/>
                <w:lang w:val="ru-RU"/>
              </w:rPr>
              <w:t>օրենսդրական</w:t>
            </w:r>
            <w:r w:rsidRPr="0053423A">
              <w:rPr>
                <w:rFonts w:cs="GHEA Grapalat"/>
                <w:sz w:val="20"/>
                <w:szCs w:val="20"/>
                <w:lang w:val="af-ZA"/>
              </w:rPr>
              <w:t xml:space="preserve"> </w:t>
            </w:r>
            <w:r w:rsidRPr="0053423A">
              <w:rPr>
                <w:rFonts w:cs="GHEA Grapalat"/>
                <w:sz w:val="20"/>
                <w:szCs w:val="20"/>
              </w:rPr>
              <w:t>ակտեր</w:t>
            </w:r>
            <w:r w:rsidRPr="0053423A">
              <w:rPr>
                <w:rFonts w:cs="GHEA Grapalat"/>
                <w:sz w:val="20"/>
                <w:szCs w:val="20"/>
                <w:lang w:val="af-ZA"/>
              </w:rPr>
              <w:t xml:space="preserve">, </w:t>
            </w:r>
            <w:r w:rsidRPr="0053423A">
              <w:rPr>
                <w:rFonts w:cs="GHEA Grapalat"/>
                <w:sz w:val="20"/>
                <w:szCs w:val="20"/>
                <w:lang w:val="ru-RU"/>
              </w:rPr>
              <w:t>որո</w:t>
            </w:r>
            <w:r w:rsidRPr="0053423A">
              <w:rPr>
                <w:rFonts w:cs="GHEA Grapalat"/>
                <w:sz w:val="20"/>
                <w:szCs w:val="20"/>
              </w:rPr>
              <w:t>նցով</w:t>
            </w:r>
            <w:r w:rsidRPr="0053423A">
              <w:rPr>
                <w:rFonts w:cs="GHEA Grapalat"/>
                <w:sz w:val="20"/>
                <w:szCs w:val="20"/>
                <w:lang w:val="af-ZA"/>
              </w:rPr>
              <w:t xml:space="preserve"> </w:t>
            </w:r>
            <w:r w:rsidRPr="0053423A">
              <w:rPr>
                <w:rFonts w:cs="GHEA Grapalat"/>
                <w:sz w:val="20"/>
                <w:szCs w:val="20"/>
                <w:lang w:val="ru-RU"/>
              </w:rPr>
              <w:t>կ</w:t>
            </w:r>
            <w:r w:rsidRPr="0053423A">
              <w:rPr>
                <w:rFonts w:cs="GHEA Grapalat"/>
                <w:sz w:val="20"/>
                <w:szCs w:val="20"/>
              </w:rPr>
              <w:t>սահմանվի</w:t>
            </w:r>
            <w:r w:rsidRPr="0053423A">
              <w:rPr>
                <w:rFonts w:cs="GHEA Grapalat"/>
                <w:sz w:val="20"/>
                <w:szCs w:val="20"/>
                <w:lang w:val="af-ZA"/>
              </w:rPr>
              <w:t xml:space="preserve">  ռեգիստրի </w:t>
            </w:r>
            <w:r w:rsidRPr="0053423A">
              <w:rPr>
                <w:rFonts w:cs="Arial"/>
                <w:sz w:val="20"/>
                <w:szCs w:val="20"/>
                <w:lang w:eastAsia="en-GB"/>
              </w:rPr>
              <w:t>վարման</w:t>
            </w:r>
            <w:r w:rsidRPr="0053423A">
              <w:rPr>
                <w:rFonts w:cs="Arial"/>
                <w:sz w:val="20"/>
                <w:szCs w:val="20"/>
                <w:lang w:val="af-ZA" w:eastAsia="en-GB"/>
              </w:rPr>
              <w:t xml:space="preserve"> </w:t>
            </w:r>
            <w:r w:rsidRPr="0053423A">
              <w:rPr>
                <w:rFonts w:cs="Arial"/>
                <w:sz w:val="20"/>
                <w:szCs w:val="20"/>
                <w:lang w:eastAsia="en-GB"/>
              </w:rPr>
              <w:t>ընթացակարգը</w:t>
            </w:r>
            <w:r w:rsidRPr="0053423A">
              <w:rPr>
                <w:rFonts w:cs="GHEA Grapalat"/>
                <w:sz w:val="20"/>
                <w:szCs w:val="20"/>
                <w:lang w:val="af-ZA"/>
              </w:rPr>
              <w:t>:</w:t>
            </w:r>
          </w:p>
          <w:p w:rsidR="0084615D" w:rsidRPr="0053423A" w:rsidRDefault="0084615D" w:rsidP="00A67858">
            <w:pPr>
              <w:spacing w:after="0" w:line="276" w:lineRule="auto"/>
              <w:ind w:firstLine="735"/>
              <w:rPr>
                <w:rFonts w:eastAsia="Times New Roman"/>
                <w:b/>
                <w:sz w:val="20"/>
                <w:szCs w:val="20"/>
                <w:lang w:val="af-ZA"/>
              </w:rPr>
            </w:pPr>
            <w:r w:rsidRPr="0053423A">
              <w:rPr>
                <w:rFonts w:eastAsia="Times New Roman"/>
                <w:b/>
                <w:sz w:val="20"/>
                <w:szCs w:val="20"/>
                <w:lang w:val="af-ZA"/>
              </w:rPr>
              <w:t>2.</w:t>
            </w:r>
            <w:r w:rsidRPr="0053423A">
              <w:rPr>
                <w:rFonts w:ascii="Calibri" w:eastAsia="Times New Roman" w:hAnsi="Calibri" w:cs="Calibri"/>
                <w:sz w:val="20"/>
                <w:szCs w:val="20"/>
                <w:lang w:val="af-ZA"/>
              </w:rPr>
              <w:t> </w:t>
            </w:r>
            <w:r w:rsidRPr="0053423A">
              <w:rPr>
                <w:rFonts w:eastAsia="Times New Roman" w:cs="Sylfaen"/>
                <w:b/>
                <w:sz w:val="20"/>
                <w:szCs w:val="20"/>
              </w:rPr>
              <w:t>Միջոցառման</w:t>
            </w:r>
            <w:r w:rsidRPr="0053423A">
              <w:rPr>
                <w:rFonts w:eastAsia="Times New Roman"/>
                <w:b/>
                <w:sz w:val="20"/>
                <w:szCs w:val="20"/>
                <w:lang w:val="af-ZA"/>
              </w:rPr>
              <w:t xml:space="preserve"> </w:t>
            </w:r>
            <w:r w:rsidRPr="0053423A">
              <w:rPr>
                <w:rFonts w:eastAsia="Times New Roman" w:cs="Sylfaen"/>
                <w:b/>
                <w:sz w:val="20"/>
                <w:szCs w:val="20"/>
              </w:rPr>
              <w:t>իրակա</w:t>
            </w:r>
            <w:r w:rsidRPr="0053423A">
              <w:rPr>
                <w:rFonts w:eastAsia="Times New Roman" w:cs="Sylfaen"/>
                <w:b/>
                <w:sz w:val="20"/>
                <w:szCs w:val="20"/>
                <w:lang w:val="ru-RU"/>
              </w:rPr>
              <w:t>նա</w:t>
            </w:r>
            <w:r w:rsidRPr="0053423A">
              <w:rPr>
                <w:rFonts w:eastAsia="Times New Roman" w:cs="Sylfaen"/>
                <w:b/>
                <w:sz w:val="20"/>
                <w:szCs w:val="20"/>
              </w:rPr>
              <w:t>ցումից</w:t>
            </w:r>
            <w:r w:rsidRPr="0053423A">
              <w:rPr>
                <w:rFonts w:eastAsia="Times New Roman"/>
                <w:b/>
                <w:sz w:val="20"/>
                <w:szCs w:val="20"/>
                <w:lang w:val="af-ZA"/>
              </w:rPr>
              <w:t xml:space="preserve"> </w:t>
            </w:r>
            <w:r w:rsidRPr="0053423A">
              <w:rPr>
                <w:rFonts w:eastAsia="Times New Roman" w:cs="Sylfaen"/>
                <w:b/>
                <w:sz w:val="20"/>
                <w:szCs w:val="20"/>
              </w:rPr>
              <w:t>ակնկալվող</w:t>
            </w:r>
            <w:r w:rsidRPr="0053423A">
              <w:rPr>
                <w:rFonts w:eastAsia="Times New Roman"/>
                <w:b/>
                <w:sz w:val="20"/>
                <w:szCs w:val="20"/>
                <w:lang w:val="af-ZA"/>
              </w:rPr>
              <w:t xml:space="preserve"> </w:t>
            </w:r>
            <w:r w:rsidRPr="0053423A">
              <w:rPr>
                <w:rFonts w:eastAsia="Times New Roman" w:cs="Sylfaen"/>
                <w:b/>
                <w:sz w:val="20"/>
                <w:szCs w:val="20"/>
              </w:rPr>
              <w:t>արդյունքը</w:t>
            </w:r>
          </w:p>
          <w:p w:rsidR="0084615D" w:rsidRPr="0053423A" w:rsidRDefault="0084615D" w:rsidP="00A67858">
            <w:pPr>
              <w:pStyle w:val="ListParagraph"/>
              <w:tabs>
                <w:tab w:val="left" w:pos="-2410"/>
              </w:tabs>
              <w:spacing w:after="0" w:line="276" w:lineRule="auto"/>
              <w:ind w:left="0" w:firstLine="735"/>
              <w:jc w:val="both"/>
              <w:rPr>
                <w:color w:val="000000"/>
                <w:sz w:val="20"/>
                <w:szCs w:val="20"/>
                <w:lang w:val="af-ZA"/>
              </w:rPr>
            </w:pPr>
            <w:r w:rsidRPr="0053423A">
              <w:rPr>
                <w:color w:val="000000"/>
                <w:sz w:val="20"/>
                <w:szCs w:val="20"/>
                <w:lang w:val="ru-RU"/>
              </w:rPr>
              <w:t>Ընդերքօգտագործման</w:t>
            </w:r>
            <w:r w:rsidRPr="0053423A">
              <w:rPr>
                <w:color w:val="000000"/>
                <w:sz w:val="20"/>
                <w:szCs w:val="20"/>
                <w:lang w:val="af-ZA"/>
              </w:rPr>
              <w:t xml:space="preserve"> </w:t>
            </w:r>
            <w:r w:rsidRPr="0053423A">
              <w:rPr>
                <w:color w:val="000000"/>
                <w:sz w:val="20"/>
                <w:szCs w:val="20"/>
              </w:rPr>
              <w:t>ոլորտի</w:t>
            </w:r>
            <w:r w:rsidRPr="0053423A">
              <w:rPr>
                <w:color w:val="000000"/>
                <w:sz w:val="20"/>
                <w:szCs w:val="20"/>
                <w:lang w:val="af-ZA"/>
              </w:rPr>
              <w:t xml:space="preserve"> </w:t>
            </w:r>
            <w:r w:rsidRPr="0053423A">
              <w:rPr>
                <w:color w:val="000000"/>
                <w:sz w:val="20"/>
                <w:szCs w:val="20"/>
              </w:rPr>
              <w:t>թափանցիկության</w:t>
            </w:r>
            <w:r w:rsidRPr="0053423A">
              <w:rPr>
                <w:color w:val="000000"/>
                <w:sz w:val="20"/>
                <w:szCs w:val="20"/>
                <w:lang w:val="af-ZA"/>
              </w:rPr>
              <w:t xml:space="preserve"> </w:t>
            </w:r>
            <w:r w:rsidRPr="0053423A">
              <w:rPr>
                <w:color w:val="000000"/>
                <w:sz w:val="20"/>
                <w:szCs w:val="20"/>
              </w:rPr>
              <w:t>և</w:t>
            </w:r>
            <w:r w:rsidRPr="0053423A">
              <w:rPr>
                <w:color w:val="000000"/>
                <w:sz w:val="20"/>
                <w:szCs w:val="20"/>
                <w:lang w:val="af-ZA"/>
              </w:rPr>
              <w:t xml:space="preserve"> </w:t>
            </w:r>
            <w:r w:rsidRPr="0053423A">
              <w:rPr>
                <w:color w:val="000000"/>
                <w:sz w:val="20"/>
                <w:szCs w:val="20"/>
              </w:rPr>
              <w:t>հաշվետվողականության</w:t>
            </w:r>
            <w:r w:rsidRPr="0053423A">
              <w:rPr>
                <w:color w:val="000000"/>
                <w:sz w:val="20"/>
                <w:szCs w:val="20"/>
                <w:lang w:val="af-ZA"/>
              </w:rPr>
              <w:t xml:space="preserve"> </w:t>
            </w:r>
            <w:r w:rsidRPr="0053423A">
              <w:rPr>
                <w:color w:val="000000"/>
                <w:sz w:val="20"/>
                <w:szCs w:val="20"/>
              </w:rPr>
              <w:t>ապահովում</w:t>
            </w:r>
            <w:r w:rsidRPr="0053423A">
              <w:rPr>
                <w:color w:val="000000"/>
                <w:sz w:val="20"/>
                <w:szCs w:val="20"/>
                <w:lang w:val="af-ZA"/>
              </w:rPr>
              <w:t>:</w:t>
            </w:r>
          </w:p>
          <w:p w:rsidR="0084615D" w:rsidRPr="0053423A" w:rsidRDefault="0084615D" w:rsidP="00A67858">
            <w:pPr>
              <w:spacing w:after="0" w:line="276" w:lineRule="auto"/>
              <w:jc w:val="center"/>
              <w:rPr>
                <w:b/>
                <w:sz w:val="20"/>
                <w:szCs w:val="20"/>
                <w:lang w:val="af-ZA"/>
              </w:rPr>
            </w:pP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15</w:t>
            </w:r>
          </w:p>
        </w:tc>
        <w:tc>
          <w:tcPr>
            <w:tcW w:w="10879" w:type="dxa"/>
            <w:shd w:val="clear" w:color="auto" w:fill="auto"/>
          </w:tcPr>
          <w:p w:rsidR="0084615D" w:rsidRPr="0017146B" w:rsidRDefault="0017146B" w:rsidP="00A67858">
            <w:pPr>
              <w:spacing w:after="0" w:line="276" w:lineRule="auto"/>
              <w:jc w:val="center"/>
              <w:rPr>
                <w:rFonts w:cs="GHEA Grapalat"/>
                <w:b/>
                <w:sz w:val="20"/>
                <w:szCs w:val="20"/>
                <w:lang w:val="hy-AM"/>
              </w:rPr>
            </w:pPr>
            <w:r>
              <w:rPr>
                <w:rFonts w:cs="GHEA Grapalat"/>
                <w:b/>
                <w:sz w:val="20"/>
                <w:szCs w:val="20"/>
                <w:lang w:val="hy-AM"/>
              </w:rPr>
              <w:t>Ընդերքօգտագործման համար անհրաժեշտ հողատարածքների տրամադրման իրավական կարգավորում</w:t>
            </w:r>
          </w:p>
          <w:p w:rsidR="0084615D" w:rsidRPr="0053423A" w:rsidRDefault="0084615D" w:rsidP="00A67858">
            <w:pPr>
              <w:spacing w:after="0" w:line="276" w:lineRule="auto"/>
              <w:jc w:val="center"/>
              <w:rPr>
                <w:rFonts w:cs="GHEA Grapalat"/>
                <w:b/>
                <w:sz w:val="20"/>
                <w:szCs w:val="20"/>
                <w:lang w:val="af-ZA"/>
              </w:rPr>
            </w:pPr>
          </w:p>
          <w:p w:rsidR="0084615D" w:rsidRPr="0017146B" w:rsidRDefault="0084615D" w:rsidP="00A67858">
            <w:pPr>
              <w:pStyle w:val="ListParagraph"/>
              <w:tabs>
                <w:tab w:val="left" w:pos="-2410"/>
              </w:tabs>
              <w:spacing w:after="0" w:line="276" w:lineRule="auto"/>
              <w:ind w:left="0" w:firstLine="735"/>
              <w:jc w:val="center"/>
              <w:rPr>
                <w:b/>
                <w:color w:val="000000"/>
                <w:sz w:val="20"/>
                <w:szCs w:val="20"/>
                <w:u w:val="single"/>
                <w:lang w:val="hy-AM"/>
              </w:rPr>
            </w:pPr>
            <w:r w:rsidRPr="0053423A">
              <w:rPr>
                <w:b/>
                <w:color w:val="000000"/>
                <w:sz w:val="20"/>
                <w:szCs w:val="20"/>
                <w:u w:val="single"/>
                <w:lang w:val="af-ZA"/>
              </w:rPr>
              <w:t xml:space="preserve">«ՀՀ Ընդերքի մասին օրենսգրքում և </w:t>
            </w:r>
            <w:r w:rsidRPr="0053423A">
              <w:rPr>
                <w:b/>
                <w:sz w:val="20"/>
                <w:szCs w:val="20"/>
                <w:u w:val="single"/>
                <w:lang w:val="af-ZA"/>
              </w:rPr>
              <w:t>Շրջակա միջավայրի վրա ազդեցության գնահատման և փորձաքննության մասին ՀՀ օրենքում</w:t>
            </w:r>
            <w:r w:rsidRPr="0053423A">
              <w:rPr>
                <w:b/>
                <w:color w:val="000000"/>
                <w:sz w:val="20"/>
                <w:szCs w:val="20"/>
                <w:u w:val="single"/>
                <w:lang w:val="af-ZA"/>
              </w:rPr>
              <w:t xml:space="preserve"> փոփոխություններ և լրացումներ կատարելու մասին» ՀՀ օրենքների նախագծերի փաթեթ</w:t>
            </w:r>
            <w:r w:rsidR="0017146B">
              <w:rPr>
                <w:b/>
                <w:color w:val="000000"/>
                <w:sz w:val="20"/>
                <w:szCs w:val="20"/>
                <w:u w:val="single"/>
                <w:lang w:val="hy-AM"/>
              </w:rPr>
              <w:t>ի մշակում</w:t>
            </w:r>
          </w:p>
          <w:p w:rsidR="0084615D" w:rsidRPr="0053423A" w:rsidRDefault="0084615D" w:rsidP="00A67858">
            <w:pPr>
              <w:spacing w:after="0" w:line="276" w:lineRule="auto"/>
              <w:ind w:firstLine="735"/>
              <w:rPr>
                <w:rFonts w:eastAsia="Times New Roman"/>
                <w:b/>
                <w:sz w:val="20"/>
                <w:szCs w:val="20"/>
                <w:lang w:val="af-ZA"/>
              </w:rPr>
            </w:pPr>
            <w:r w:rsidRPr="0053423A">
              <w:rPr>
                <w:rFonts w:eastAsia="Times New Roman" w:cs="Courier New"/>
                <w:b/>
                <w:sz w:val="20"/>
                <w:szCs w:val="20"/>
                <w:lang w:val="af-ZA"/>
              </w:rPr>
              <w:t>1.</w:t>
            </w:r>
            <w:r w:rsidRPr="0053423A">
              <w:rPr>
                <w:rFonts w:ascii="Calibri" w:eastAsia="Times New Roman" w:hAnsi="Calibri" w:cs="Calibri"/>
                <w:b/>
                <w:sz w:val="20"/>
                <w:szCs w:val="20"/>
                <w:lang w:val="af-ZA"/>
              </w:rPr>
              <w:t> </w:t>
            </w:r>
            <w:r w:rsidRPr="0053423A">
              <w:rPr>
                <w:rFonts w:eastAsia="Times New Roman" w:cs="Sylfaen"/>
                <w:b/>
                <w:sz w:val="20"/>
                <w:szCs w:val="20"/>
                <w:lang w:val="hy-AM"/>
              </w:rPr>
              <w:t>Միջոցառման</w:t>
            </w:r>
            <w:r w:rsidRPr="0053423A">
              <w:rPr>
                <w:rFonts w:eastAsia="Times New Roman"/>
                <w:b/>
                <w:sz w:val="20"/>
                <w:szCs w:val="20"/>
                <w:lang w:val="af-ZA"/>
              </w:rPr>
              <w:t xml:space="preserve"> </w:t>
            </w:r>
            <w:r w:rsidRPr="0053423A">
              <w:rPr>
                <w:rFonts w:eastAsia="Times New Roman" w:cs="Sylfaen"/>
                <w:b/>
                <w:sz w:val="20"/>
                <w:szCs w:val="20"/>
                <w:lang w:val="hy-AM"/>
              </w:rPr>
              <w:t>իրականացման</w:t>
            </w:r>
            <w:r w:rsidRPr="0053423A">
              <w:rPr>
                <w:rFonts w:eastAsia="Times New Roman"/>
                <w:b/>
                <w:sz w:val="20"/>
                <w:szCs w:val="20"/>
                <w:lang w:val="af-ZA"/>
              </w:rPr>
              <w:t xml:space="preserve"> </w:t>
            </w:r>
            <w:r w:rsidRPr="0053423A">
              <w:rPr>
                <w:rFonts w:eastAsia="Times New Roman" w:cs="Sylfae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նպատակը</w:t>
            </w:r>
          </w:p>
          <w:p w:rsidR="0084615D" w:rsidRPr="0053423A" w:rsidRDefault="0084615D" w:rsidP="00A67858">
            <w:pPr>
              <w:spacing w:after="0" w:line="276" w:lineRule="auto"/>
              <w:ind w:firstLine="735"/>
              <w:jc w:val="both"/>
              <w:rPr>
                <w:rFonts w:cs="GHEA Grapalat"/>
                <w:sz w:val="20"/>
                <w:szCs w:val="20"/>
                <w:lang w:val="af-ZA"/>
              </w:rPr>
            </w:pPr>
            <w:r w:rsidRPr="0068680D">
              <w:rPr>
                <w:rFonts w:cs="GHEA Grapalat"/>
                <w:sz w:val="20"/>
                <w:szCs w:val="20"/>
                <w:lang w:val="hy-AM"/>
              </w:rPr>
              <w:t>Ընդերքօգտագործման</w:t>
            </w:r>
            <w:r w:rsidRPr="0053423A">
              <w:rPr>
                <w:rFonts w:cs="GHEA Grapalat"/>
                <w:sz w:val="20"/>
                <w:szCs w:val="20"/>
                <w:lang w:val="af-ZA"/>
              </w:rPr>
              <w:t xml:space="preserve"> </w:t>
            </w:r>
            <w:r w:rsidRPr="0068680D">
              <w:rPr>
                <w:rFonts w:cs="GHEA Grapalat"/>
                <w:sz w:val="20"/>
                <w:szCs w:val="20"/>
                <w:lang w:val="hy-AM"/>
              </w:rPr>
              <w:t>իրավունքի</w:t>
            </w:r>
            <w:r w:rsidRPr="0053423A">
              <w:rPr>
                <w:rFonts w:cs="GHEA Grapalat"/>
                <w:sz w:val="20"/>
                <w:szCs w:val="20"/>
                <w:lang w:val="af-ZA"/>
              </w:rPr>
              <w:t xml:space="preserve"> </w:t>
            </w:r>
            <w:r w:rsidRPr="0068680D">
              <w:rPr>
                <w:rFonts w:cs="GHEA Grapalat"/>
                <w:sz w:val="20"/>
                <w:szCs w:val="20"/>
                <w:lang w:val="hy-AM"/>
              </w:rPr>
              <w:t>տրամադրման</w:t>
            </w:r>
            <w:r w:rsidRPr="0053423A">
              <w:rPr>
                <w:rFonts w:cs="GHEA Grapalat"/>
                <w:sz w:val="20"/>
                <w:szCs w:val="20"/>
                <w:lang w:val="af-ZA"/>
              </w:rPr>
              <w:t xml:space="preserve"> </w:t>
            </w:r>
            <w:r w:rsidRPr="0068680D">
              <w:rPr>
                <w:rFonts w:cs="GHEA Grapalat"/>
                <w:sz w:val="20"/>
                <w:szCs w:val="20"/>
                <w:lang w:val="hy-AM"/>
              </w:rPr>
              <w:t>պարզեցված</w:t>
            </w:r>
            <w:r w:rsidRPr="0053423A">
              <w:rPr>
                <w:rFonts w:cs="GHEA Grapalat"/>
                <w:sz w:val="20"/>
                <w:szCs w:val="20"/>
                <w:lang w:val="af-ZA"/>
              </w:rPr>
              <w:t xml:space="preserve"> </w:t>
            </w:r>
            <w:r w:rsidRPr="0068680D">
              <w:rPr>
                <w:rFonts w:cs="GHEA Grapalat"/>
                <w:sz w:val="20"/>
                <w:szCs w:val="20"/>
                <w:lang w:val="hy-AM"/>
              </w:rPr>
              <w:t>համակարգի</w:t>
            </w:r>
            <w:r w:rsidRPr="0053423A">
              <w:rPr>
                <w:rFonts w:cs="GHEA Grapalat"/>
                <w:sz w:val="20"/>
                <w:szCs w:val="20"/>
                <w:lang w:val="af-ZA"/>
              </w:rPr>
              <w:t xml:space="preserve"> </w:t>
            </w:r>
            <w:r w:rsidRPr="0068680D">
              <w:rPr>
                <w:rFonts w:cs="GHEA Grapalat"/>
                <w:sz w:val="20"/>
                <w:szCs w:val="20"/>
                <w:lang w:val="hy-AM"/>
              </w:rPr>
              <w:t>ներդրման</w:t>
            </w:r>
            <w:r w:rsidRPr="0053423A">
              <w:rPr>
                <w:rFonts w:cs="GHEA Grapalat"/>
                <w:sz w:val="20"/>
                <w:szCs w:val="20"/>
                <w:lang w:val="af-ZA"/>
              </w:rPr>
              <w:t xml:space="preserve"> (</w:t>
            </w:r>
            <w:r w:rsidRPr="0068680D">
              <w:rPr>
                <w:rFonts w:cs="GHEA Grapalat"/>
                <w:sz w:val="20"/>
                <w:szCs w:val="20"/>
                <w:lang w:val="hy-AM"/>
              </w:rPr>
              <w:t>հատկապես</w:t>
            </w:r>
            <w:r w:rsidRPr="0053423A">
              <w:rPr>
                <w:rFonts w:cs="GHEA Grapalat"/>
                <w:sz w:val="20"/>
                <w:szCs w:val="20"/>
                <w:lang w:val="af-ZA"/>
              </w:rPr>
              <w:t xml:space="preserve"> </w:t>
            </w:r>
            <w:r w:rsidRPr="0068680D">
              <w:rPr>
                <w:rFonts w:cs="GHEA Grapalat"/>
                <w:sz w:val="20"/>
                <w:szCs w:val="20"/>
                <w:lang w:val="hy-AM"/>
              </w:rPr>
              <w:t>պետական</w:t>
            </w:r>
            <w:r w:rsidRPr="0053423A">
              <w:rPr>
                <w:rFonts w:cs="GHEA Grapalat"/>
                <w:sz w:val="20"/>
                <w:szCs w:val="20"/>
                <w:lang w:val="af-ZA"/>
              </w:rPr>
              <w:t xml:space="preserve"> </w:t>
            </w:r>
            <w:r w:rsidRPr="0068680D">
              <w:rPr>
                <w:rFonts w:cs="GHEA Grapalat"/>
                <w:sz w:val="20"/>
                <w:szCs w:val="20"/>
                <w:lang w:val="hy-AM"/>
              </w:rPr>
              <w:t>նշանակության</w:t>
            </w:r>
            <w:r w:rsidRPr="0053423A">
              <w:rPr>
                <w:rFonts w:cs="GHEA Grapalat"/>
                <w:sz w:val="20"/>
                <w:szCs w:val="20"/>
                <w:lang w:val="af-ZA"/>
              </w:rPr>
              <w:t xml:space="preserve"> </w:t>
            </w:r>
            <w:r w:rsidRPr="0068680D">
              <w:rPr>
                <w:rFonts w:cs="GHEA Grapalat"/>
                <w:sz w:val="20"/>
                <w:szCs w:val="20"/>
                <w:lang w:val="hy-AM"/>
              </w:rPr>
              <w:t>ծրագրերի</w:t>
            </w:r>
            <w:r w:rsidRPr="0053423A">
              <w:rPr>
                <w:rFonts w:cs="GHEA Grapalat"/>
                <w:sz w:val="20"/>
                <w:szCs w:val="20"/>
                <w:lang w:val="af-ZA"/>
              </w:rPr>
              <w:t xml:space="preserve"> </w:t>
            </w:r>
            <w:r w:rsidRPr="0068680D">
              <w:rPr>
                <w:rFonts w:cs="GHEA Grapalat"/>
                <w:sz w:val="20"/>
                <w:szCs w:val="20"/>
                <w:lang w:val="hy-AM"/>
              </w:rPr>
              <w:t>իրականացման</w:t>
            </w:r>
            <w:r w:rsidRPr="0053423A">
              <w:rPr>
                <w:rFonts w:cs="GHEA Grapalat"/>
                <w:sz w:val="20"/>
                <w:szCs w:val="20"/>
                <w:lang w:val="af-ZA"/>
              </w:rPr>
              <w:t xml:space="preserve"> </w:t>
            </w:r>
            <w:r w:rsidRPr="0068680D">
              <w:rPr>
                <w:rFonts w:cs="GHEA Grapalat"/>
                <w:sz w:val="20"/>
                <w:szCs w:val="20"/>
                <w:lang w:val="hy-AM"/>
              </w:rPr>
              <w:t>դեպքում</w:t>
            </w:r>
            <w:r w:rsidRPr="0053423A">
              <w:rPr>
                <w:rFonts w:cs="GHEA Grapalat"/>
                <w:sz w:val="20"/>
                <w:szCs w:val="20"/>
                <w:lang w:val="af-ZA"/>
              </w:rPr>
              <w:t xml:space="preserve">)  </w:t>
            </w:r>
            <w:r w:rsidRPr="0068680D">
              <w:rPr>
                <w:rFonts w:cs="GHEA Grapalat"/>
                <w:sz w:val="20"/>
                <w:szCs w:val="20"/>
                <w:lang w:val="hy-AM"/>
              </w:rPr>
              <w:t>համար</w:t>
            </w:r>
            <w:r w:rsidRPr="0053423A">
              <w:rPr>
                <w:rFonts w:cs="GHEA Grapalat"/>
                <w:sz w:val="20"/>
                <w:szCs w:val="20"/>
                <w:lang w:val="af-ZA"/>
              </w:rPr>
              <w:t xml:space="preserve"> </w:t>
            </w:r>
            <w:r w:rsidRPr="0068680D">
              <w:rPr>
                <w:rFonts w:cs="GHEA Grapalat"/>
                <w:sz w:val="20"/>
                <w:szCs w:val="20"/>
                <w:lang w:val="hy-AM"/>
              </w:rPr>
              <w:t>անհրաժեշտ</w:t>
            </w:r>
            <w:r w:rsidRPr="0053423A">
              <w:rPr>
                <w:rFonts w:cs="GHEA Grapalat"/>
                <w:sz w:val="20"/>
                <w:szCs w:val="20"/>
                <w:lang w:val="af-ZA"/>
              </w:rPr>
              <w:t xml:space="preserve"> </w:t>
            </w:r>
            <w:r w:rsidRPr="0068680D">
              <w:rPr>
                <w:rFonts w:cs="GHEA Grapalat"/>
                <w:sz w:val="20"/>
                <w:szCs w:val="20"/>
                <w:lang w:val="hy-AM"/>
              </w:rPr>
              <w:t>է</w:t>
            </w:r>
            <w:r w:rsidRPr="0053423A">
              <w:rPr>
                <w:rFonts w:cs="GHEA Grapalat"/>
                <w:sz w:val="20"/>
                <w:szCs w:val="20"/>
                <w:lang w:val="af-ZA"/>
              </w:rPr>
              <w:t xml:space="preserve"> </w:t>
            </w:r>
            <w:r w:rsidRPr="0068680D">
              <w:rPr>
                <w:rFonts w:cs="GHEA Grapalat"/>
                <w:sz w:val="20"/>
                <w:szCs w:val="20"/>
                <w:lang w:val="hy-AM"/>
              </w:rPr>
              <w:t>մշակել</w:t>
            </w:r>
            <w:r w:rsidRPr="0053423A">
              <w:rPr>
                <w:rFonts w:cs="GHEA Grapalat"/>
                <w:sz w:val="20"/>
                <w:szCs w:val="20"/>
                <w:lang w:val="af-ZA"/>
              </w:rPr>
              <w:t xml:space="preserve">  </w:t>
            </w:r>
            <w:r w:rsidRPr="0068680D">
              <w:rPr>
                <w:rFonts w:cs="GHEA Grapalat"/>
                <w:sz w:val="20"/>
                <w:szCs w:val="20"/>
                <w:lang w:val="hy-AM"/>
              </w:rPr>
              <w:t>օրենսդրական</w:t>
            </w:r>
            <w:r w:rsidRPr="0053423A">
              <w:rPr>
                <w:rFonts w:cs="GHEA Grapalat"/>
                <w:sz w:val="20"/>
                <w:szCs w:val="20"/>
                <w:lang w:val="af-ZA"/>
              </w:rPr>
              <w:t xml:space="preserve"> </w:t>
            </w:r>
            <w:r w:rsidRPr="0068680D">
              <w:rPr>
                <w:rFonts w:cs="GHEA Grapalat"/>
                <w:sz w:val="20"/>
                <w:szCs w:val="20"/>
                <w:lang w:val="hy-AM"/>
              </w:rPr>
              <w:t>նախագծերի</w:t>
            </w:r>
            <w:r w:rsidRPr="0053423A">
              <w:rPr>
                <w:rFonts w:cs="GHEA Grapalat"/>
                <w:sz w:val="20"/>
                <w:szCs w:val="20"/>
                <w:lang w:val="af-ZA"/>
              </w:rPr>
              <w:t xml:space="preserve"> </w:t>
            </w:r>
            <w:r w:rsidRPr="0068680D">
              <w:rPr>
                <w:rFonts w:cs="GHEA Grapalat"/>
                <w:sz w:val="20"/>
                <w:szCs w:val="20"/>
                <w:lang w:val="hy-AM"/>
              </w:rPr>
              <w:t>փաթեթ</w:t>
            </w:r>
            <w:r w:rsidRPr="0053423A">
              <w:rPr>
                <w:rFonts w:cs="GHEA Grapalat"/>
                <w:sz w:val="20"/>
                <w:szCs w:val="20"/>
                <w:lang w:val="af-ZA"/>
              </w:rPr>
              <w:t xml:space="preserve"> :</w:t>
            </w:r>
          </w:p>
          <w:p w:rsidR="0084615D" w:rsidRPr="0053423A" w:rsidRDefault="0084615D" w:rsidP="001F6D5D">
            <w:pPr>
              <w:pStyle w:val="ListParagraph"/>
              <w:numPr>
                <w:ilvl w:val="1"/>
                <w:numId w:val="294"/>
              </w:numPr>
              <w:tabs>
                <w:tab w:val="left" w:pos="900"/>
                <w:tab w:val="left" w:pos="1620"/>
              </w:tabs>
              <w:spacing w:after="0" w:line="276" w:lineRule="auto"/>
              <w:ind w:left="0" w:firstLine="735"/>
              <w:rPr>
                <w:rFonts w:eastAsia="Times New Roman"/>
                <w:b/>
                <w:sz w:val="20"/>
                <w:szCs w:val="20"/>
                <w:lang w:val="af-ZA"/>
              </w:rPr>
            </w:pPr>
            <w:r w:rsidRPr="0053423A">
              <w:rPr>
                <w:rFonts w:eastAsia="Times New Roman" w:cs="Sylfaen"/>
                <w:b/>
                <w:sz w:val="20"/>
                <w:szCs w:val="20"/>
                <w:lang w:val="hy-AM"/>
              </w:rPr>
              <w:t>Կարգավորման</w:t>
            </w:r>
            <w:r w:rsidRPr="0053423A">
              <w:rPr>
                <w:rFonts w:eastAsia="Times New Roman"/>
                <w:b/>
                <w:sz w:val="20"/>
                <w:szCs w:val="20"/>
                <w:lang w:val="af-ZA"/>
              </w:rPr>
              <w:t xml:space="preserve"> </w:t>
            </w:r>
            <w:r w:rsidRPr="0053423A">
              <w:rPr>
                <w:rFonts w:eastAsia="Times New Roman" w:cs="Sylfaen"/>
                <w:b/>
                <w:sz w:val="20"/>
                <w:szCs w:val="20"/>
                <w:lang w:val="hy-AM"/>
              </w:rPr>
              <w:t>հարաբերությունների</w:t>
            </w:r>
            <w:r w:rsidRPr="0053423A">
              <w:rPr>
                <w:rFonts w:eastAsia="Times New Roman"/>
                <w:b/>
                <w:sz w:val="20"/>
                <w:szCs w:val="20"/>
                <w:lang w:val="af-ZA"/>
              </w:rPr>
              <w:t xml:space="preserve"> </w:t>
            </w:r>
            <w:r w:rsidRPr="0053423A">
              <w:rPr>
                <w:rFonts w:eastAsia="Times New Roman" w:cs="Sylfaen"/>
                <w:b/>
                <w:sz w:val="20"/>
                <w:szCs w:val="20"/>
                <w:lang w:val="hy-AM"/>
              </w:rPr>
              <w:t>ներկա</w:t>
            </w:r>
            <w:r w:rsidRPr="0053423A">
              <w:rPr>
                <w:rFonts w:eastAsia="Times New Roman"/>
                <w:b/>
                <w:sz w:val="20"/>
                <w:szCs w:val="20"/>
                <w:lang w:val="af-ZA"/>
              </w:rPr>
              <w:t xml:space="preserve"> </w:t>
            </w:r>
            <w:r w:rsidRPr="0053423A">
              <w:rPr>
                <w:rFonts w:eastAsia="Times New Roman" w:cs="Sylfaen"/>
                <w:b/>
                <w:sz w:val="20"/>
                <w:szCs w:val="20"/>
                <w:lang w:val="hy-AM"/>
              </w:rPr>
              <w:t>վիճակը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առկա</w:t>
            </w:r>
            <w:r w:rsidRPr="0053423A">
              <w:rPr>
                <w:rFonts w:eastAsia="Times New Roman"/>
                <w:b/>
                <w:sz w:val="20"/>
                <w:szCs w:val="20"/>
                <w:lang w:val="af-ZA"/>
              </w:rPr>
              <w:t xml:space="preserve"> </w:t>
            </w:r>
            <w:r w:rsidRPr="0053423A">
              <w:rPr>
                <w:rFonts w:eastAsia="Times New Roman" w:cs="Sylfaen"/>
                <w:b/>
                <w:sz w:val="20"/>
                <w:szCs w:val="20"/>
                <w:lang w:val="hy-AM"/>
              </w:rPr>
              <w:t>խնդիրները</w:t>
            </w:r>
          </w:p>
          <w:p w:rsidR="0084615D" w:rsidRPr="0053423A" w:rsidRDefault="0084615D" w:rsidP="00A67858">
            <w:pPr>
              <w:spacing w:after="0" w:line="276" w:lineRule="auto"/>
              <w:ind w:firstLine="735"/>
              <w:jc w:val="both"/>
              <w:rPr>
                <w:rFonts w:cs="GHEA Grapalat"/>
                <w:sz w:val="20"/>
                <w:szCs w:val="20"/>
                <w:lang w:val="af-ZA"/>
              </w:rPr>
            </w:pPr>
            <w:r w:rsidRPr="0053423A">
              <w:rPr>
                <w:rFonts w:cs="Sylfaen"/>
                <w:bCs/>
                <w:iCs/>
                <w:sz w:val="20"/>
                <w:szCs w:val="20"/>
                <w:lang w:val="hy-AM"/>
              </w:rPr>
              <w:t xml:space="preserve">Ներկայումս </w:t>
            </w:r>
            <w:r w:rsidRPr="0053423A">
              <w:rPr>
                <w:rFonts w:cs="Sylfaen"/>
                <w:bCs/>
                <w:iCs/>
                <w:sz w:val="20"/>
                <w:szCs w:val="20"/>
                <w:lang w:val="ru-RU"/>
              </w:rPr>
              <w:t>Հայաստանի</w:t>
            </w:r>
            <w:r w:rsidRPr="0053423A">
              <w:rPr>
                <w:rFonts w:cs="Sylfaen"/>
                <w:bCs/>
                <w:iCs/>
                <w:sz w:val="20"/>
                <w:szCs w:val="20"/>
                <w:lang w:val="af-ZA"/>
              </w:rPr>
              <w:t xml:space="preserve"> </w:t>
            </w:r>
            <w:r w:rsidRPr="0053423A">
              <w:rPr>
                <w:rFonts w:cs="Sylfaen"/>
                <w:bCs/>
                <w:iCs/>
                <w:sz w:val="20"/>
                <w:szCs w:val="20"/>
                <w:lang w:val="ru-RU"/>
              </w:rPr>
              <w:t>Հանրապետությունում</w:t>
            </w:r>
            <w:r w:rsidRPr="0053423A">
              <w:rPr>
                <w:rFonts w:cs="Sylfaen"/>
                <w:bCs/>
                <w:iCs/>
                <w:sz w:val="20"/>
                <w:szCs w:val="20"/>
                <w:lang w:val="af-ZA"/>
              </w:rPr>
              <w:t xml:space="preserve"> </w:t>
            </w:r>
            <w:r w:rsidRPr="0053423A">
              <w:rPr>
                <w:rFonts w:cs="GHEA Grapalat"/>
                <w:sz w:val="20"/>
                <w:szCs w:val="20"/>
                <w:lang w:val="ru-RU"/>
              </w:rPr>
              <w:t>Ընդերքօգտագործման</w:t>
            </w:r>
            <w:r w:rsidRPr="0053423A">
              <w:rPr>
                <w:rFonts w:cs="GHEA Grapalat"/>
                <w:sz w:val="20"/>
                <w:szCs w:val="20"/>
                <w:lang w:val="af-ZA"/>
              </w:rPr>
              <w:t xml:space="preserve"> </w:t>
            </w:r>
            <w:r w:rsidRPr="0053423A">
              <w:rPr>
                <w:rFonts w:cs="GHEA Grapalat"/>
                <w:sz w:val="20"/>
                <w:szCs w:val="20"/>
                <w:lang w:val="ru-RU"/>
              </w:rPr>
              <w:t>իրավունքի</w:t>
            </w:r>
            <w:r w:rsidRPr="0053423A">
              <w:rPr>
                <w:rFonts w:cs="GHEA Grapalat"/>
                <w:sz w:val="20"/>
                <w:szCs w:val="20"/>
                <w:lang w:val="af-ZA"/>
              </w:rPr>
              <w:t xml:space="preserve"> </w:t>
            </w:r>
            <w:r w:rsidRPr="0053423A">
              <w:rPr>
                <w:rFonts w:cs="GHEA Grapalat"/>
                <w:sz w:val="20"/>
                <w:szCs w:val="20"/>
                <w:lang w:val="ru-RU"/>
              </w:rPr>
              <w:t>տրամադրման</w:t>
            </w:r>
            <w:r w:rsidRPr="0053423A">
              <w:rPr>
                <w:rFonts w:cs="GHEA Grapalat"/>
                <w:sz w:val="20"/>
                <w:szCs w:val="20"/>
                <w:lang w:val="af-ZA"/>
              </w:rPr>
              <w:t xml:space="preserve"> </w:t>
            </w:r>
            <w:r w:rsidRPr="0053423A">
              <w:rPr>
                <w:rFonts w:cs="GHEA Grapalat"/>
                <w:sz w:val="20"/>
                <w:szCs w:val="20"/>
                <w:lang w:val="ru-RU"/>
              </w:rPr>
              <w:t>ընթացակարգը</w:t>
            </w:r>
            <w:r w:rsidRPr="0053423A">
              <w:rPr>
                <w:rFonts w:cs="GHEA Grapalat"/>
                <w:sz w:val="20"/>
                <w:szCs w:val="20"/>
                <w:lang w:val="af-ZA"/>
              </w:rPr>
              <w:t xml:space="preserve"> </w:t>
            </w:r>
            <w:r w:rsidRPr="0053423A">
              <w:rPr>
                <w:rFonts w:cs="GHEA Grapalat"/>
                <w:sz w:val="20"/>
                <w:szCs w:val="20"/>
                <w:lang w:val="ru-RU"/>
              </w:rPr>
              <w:t>նույնն</w:t>
            </w:r>
            <w:r w:rsidRPr="0053423A">
              <w:rPr>
                <w:rFonts w:cs="GHEA Grapalat"/>
                <w:sz w:val="20"/>
                <w:szCs w:val="20"/>
                <w:lang w:val="af-ZA"/>
              </w:rPr>
              <w:t xml:space="preserve"> </w:t>
            </w:r>
            <w:r w:rsidRPr="0053423A">
              <w:rPr>
                <w:rFonts w:cs="GHEA Grapalat"/>
                <w:sz w:val="20"/>
                <w:szCs w:val="20"/>
                <w:lang w:val="ru-RU"/>
              </w:rPr>
              <w:t>է</w:t>
            </w:r>
            <w:r w:rsidRPr="0053423A">
              <w:rPr>
                <w:rFonts w:cs="GHEA Grapalat"/>
                <w:sz w:val="20"/>
                <w:szCs w:val="20"/>
                <w:lang w:val="af-ZA"/>
              </w:rPr>
              <w:t xml:space="preserve"> </w:t>
            </w:r>
            <w:r w:rsidRPr="0053423A">
              <w:rPr>
                <w:rFonts w:cs="GHEA Grapalat"/>
                <w:sz w:val="20"/>
                <w:szCs w:val="20"/>
                <w:lang w:val="ru-RU"/>
              </w:rPr>
              <w:t>բոլոր</w:t>
            </w:r>
            <w:r w:rsidRPr="0053423A">
              <w:rPr>
                <w:rFonts w:cs="GHEA Grapalat"/>
                <w:sz w:val="20"/>
                <w:szCs w:val="20"/>
                <w:lang w:val="af-ZA"/>
              </w:rPr>
              <w:t xml:space="preserve"> </w:t>
            </w:r>
            <w:r w:rsidRPr="0053423A">
              <w:rPr>
                <w:rFonts w:cs="GHEA Grapalat"/>
                <w:sz w:val="20"/>
                <w:szCs w:val="20"/>
                <w:lang w:val="ru-RU"/>
              </w:rPr>
              <w:t>տեսակի</w:t>
            </w:r>
            <w:r w:rsidRPr="0053423A">
              <w:rPr>
                <w:rFonts w:cs="GHEA Grapalat"/>
                <w:sz w:val="20"/>
                <w:szCs w:val="20"/>
                <w:lang w:val="af-ZA"/>
              </w:rPr>
              <w:t xml:space="preserve"> </w:t>
            </w:r>
            <w:r w:rsidRPr="0053423A">
              <w:rPr>
                <w:rFonts w:cs="GHEA Grapalat"/>
                <w:sz w:val="20"/>
                <w:szCs w:val="20"/>
                <w:lang w:val="ru-RU"/>
              </w:rPr>
              <w:t>օգտակար</w:t>
            </w:r>
            <w:r w:rsidRPr="0053423A">
              <w:rPr>
                <w:rFonts w:cs="GHEA Grapalat"/>
                <w:sz w:val="20"/>
                <w:szCs w:val="20"/>
                <w:lang w:val="af-ZA"/>
              </w:rPr>
              <w:t xml:space="preserve"> </w:t>
            </w:r>
            <w:r w:rsidRPr="0053423A">
              <w:rPr>
                <w:rFonts w:cs="GHEA Grapalat"/>
                <w:sz w:val="20"/>
                <w:szCs w:val="20"/>
                <w:lang w:val="ru-RU"/>
              </w:rPr>
              <w:t>հանածոների</w:t>
            </w:r>
            <w:r w:rsidRPr="0053423A">
              <w:rPr>
                <w:rFonts w:cs="GHEA Grapalat"/>
                <w:sz w:val="20"/>
                <w:szCs w:val="20"/>
                <w:lang w:val="af-ZA"/>
              </w:rPr>
              <w:t xml:space="preserve"> </w:t>
            </w:r>
            <w:r w:rsidRPr="0053423A">
              <w:rPr>
                <w:rFonts w:cs="GHEA Grapalat"/>
                <w:sz w:val="20"/>
                <w:szCs w:val="20"/>
                <w:lang w:val="ru-RU"/>
              </w:rPr>
              <w:t>համար</w:t>
            </w:r>
            <w:r w:rsidRPr="0053423A">
              <w:rPr>
                <w:rFonts w:cs="GHEA Grapalat"/>
                <w:sz w:val="20"/>
                <w:szCs w:val="20"/>
                <w:lang w:val="af-ZA"/>
              </w:rPr>
              <w:t>:</w:t>
            </w:r>
          </w:p>
          <w:p w:rsidR="0084615D" w:rsidRPr="0053423A" w:rsidRDefault="0084615D" w:rsidP="00A67858">
            <w:pPr>
              <w:pStyle w:val="ListParagraph"/>
              <w:tabs>
                <w:tab w:val="left" w:pos="900"/>
              </w:tabs>
              <w:spacing w:after="0" w:line="276" w:lineRule="auto"/>
              <w:ind w:left="0" w:firstLine="735"/>
              <w:rPr>
                <w:rFonts w:eastAsia="Times New Roman"/>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w:t>
            </w:r>
            <w:r w:rsidRPr="0053423A">
              <w:rPr>
                <w:rFonts w:eastAsia="Times New Roman" w:cs="Sylfaen"/>
                <w:b/>
                <w:sz w:val="20"/>
                <w:szCs w:val="20"/>
                <w:lang w:val="hy-AM"/>
              </w:rPr>
              <w:t>Առկա</w:t>
            </w:r>
            <w:r w:rsidRPr="0053423A">
              <w:rPr>
                <w:rFonts w:eastAsia="Times New Roman"/>
                <w:b/>
                <w:sz w:val="20"/>
                <w:szCs w:val="20"/>
                <w:lang w:val="af-ZA"/>
              </w:rPr>
              <w:t xml:space="preserve"> </w:t>
            </w:r>
            <w:r w:rsidRPr="0053423A">
              <w:rPr>
                <w:rFonts w:eastAsia="Times New Roman" w:cs="Sylfaen"/>
                <w:b/>
                <w:sz w:val="20"/>
                <w:szCs w:val="20"/>
                <w:lang w:val="hy-AM"/>
              </w:rPr>
              <w:t>խնդիրների</w:t>
            </w:r>
            <w:r w:rsidRPr="0053423A">
              <w:rPr>
                <w:rFonts w:eastAsia="Times New Roman"/>
                <w:b/>
                <w:sz w:val="20"/>
                <w:szCs w:val="20"/>
                <w:lang w:val="af-ZA"/>
              </w:rPr>
              <w:t xml:space="preserve"> </w:t>
            </w:r>
            <w:r w:rsidRPr="0053423A">
              <w:rPr>
                <w:rFonts w:eastAsia="Times New Roman" w:cs="Sylfaen"/>
                <w:b/>
                <w:sz w:val="20"/>
                <w:szCs w:val="20"/>
                <w:lang w:val="hy-AM"/>
              </w:rPr>
              <w:t>առաջարկվող</w:t>
            </w:r>
            <w:r w:rsidRPr="0053423A">
              <w:rPr>
                <w:rFonts w:eastAsia="Times New Roman"/>
                <w:b/>
                <w:sz w:val="20"/>
                <w:szCs w:val="20"/>
                <w:lang w:val="af-ZA"/>
              </w:rPr>
              <w:t xml:space="preserve"> </w:t>
            </w:r>
            <w:r w:rsidRPr="0053423A">
              <w:rPr>
                <w:rFonts w:eastAsia="Times New Roman" w:cs="Sylfaen"/>
                <w:b/>
                <w:sz w:val="20"/>
                <w:szCs w:val="20"/>
                <w:lang w:val="hy-AM"/>
              </w:rPr>
              <w:t>լուծումները</w:t>
            </w:r>
          </w:p>
          <w:p w:rsidR="0084615D" w:rsidRPr="0053423A" w:rsidRDefault="0084615D" w:rsidP="00A67858">
            <w:pPr>
              <w:spacing w:after="0" w:line="276" w:lineRule="auto"/>
              <w:ind w:firstLine="735"/>
              <w:jc w:val="both"/>
              <w:rPr>
                <w:rFonts w:cs="GHEA Grapalat"/>
                <w:sz w:val="20"/>
                <w:szCs w:val="20"/>
                <w:lang w:val="af-ZA"/>
              </w:rPr>
            </w:pPr>
            <w:r w:rsidRPr="0053423A">
              <w:rPr>
                <w:rFonts w:cs="GHEA Grapalat"/>
                <w:sz w:val="20"/>
                <w:szCs w:val="20"/>
                <w:lang w:val="ru-RU"/>
              </w:rPr>
              <w:t>Առաջարկվում</w:t>
            </w:r>
            <w:r w:rsidRPr="0053423A">
              <w:rPr>
                <w:rFonts w:cs="GHEA Grapalat"/>
                <w:sz w:val="20"/>
                <w:szCs w:val="20"/>
                <w:lang w:val="af-ZA"/>
              </w:rPr>
              <w:t xml:space="preserve"> </w:t>
            </w:r>
            <w:r w:rsidRPr="0053423A">
              <w:rPr>
                <w:rFonts w:cs="GHEA Grapalat"/>
                <w:sz w:val="20"/>
                <w:szCs w:val="20"/>
                <w:lang w:val="ru-RU"/>
              </w:rPr>
              <w:t>է</w:t>
            </w:r>
            <w:r w:rsidRPr="0053423A">
              <w:rPr>
                <w:rFonts w:cs="GHEA Grapalat"/>
                <w:sz w:val="20"/>
                <w:szCs w:val="20"/>
                <w:lang w:val="af-ZA"/>
              </w:rPr>
              <w:t xml:space="preserve"> </w:t>
            </w:r>
            <w:r w:rsidRPr="0053423A">
              <w:rPr>
                <w:rFonts w:cs="GHEA Grapalat"/>
                <w:sz w:val="20"/>
                <w:szCs w:val="20"/>
                <w:lang w:val="ru-RU"/>
              </w:rPr>
              <w:t>մշակել</w:t>
            </w:r>
            <w:r w:rsidRPr="0053423A">
              <w:rPr>
                <w:rFonts w:cs="GHEA Grapalat"/>
                <w:sz w:val="20"/>
                <w:szCs w:val="20"/>
                <w:lang w:val="af-ZA"/>
              </w:rPr>
              <w:t xml:space="preserve"> </w:t>
            </w:r>
            <w:r w:rsidRPr="0053423A">
              <w:rPr>
                <w:rFonts w:cs="GHEA Grapalat"/>
                <w:sz w:val="20"/>
                <w:szCs w:val="20"/>
                <w:lang w:val="ru-RU"/>
              </w:rPr>
              <w:t>օրենսդրական</w:t>
            </w:r>
            <w:r w:rsidRPr="0053423A">
              <w:rPr>
                <w:rFonts w:cs="GHEA Grapalat"/>
                <w:sz w:val="20"/>
                <w:szCs w:val="20"/>
                <w:lang w:val="af-ZA"/>
              </w:rPr>
              <w:t xml:space="preserve"> </w:t>
            </w:r>
            <w:r w:rsidRPr="0053423A">
              <w:rPr>
                <w:rFonts w:cs="GHEA Grapalat"/>
                <w:sz w:val="20"/>
                <w:szCs w:val="20"/>
                <w:lang w:val="ru-RU"/>
              </w:rPr>
              <w:t>փաթեթ</w:t>
            </w:r>
            <w:r w:rsidRPr="0053423A">
              <w:rPr>
                <w:rFonts w:cs="GHEA Grapalat"/>
                <w:sz w:val="20"/>
                <w:szCs w:val="20"/>
                <w:lang w:val="af-ZA"/>
              </w:rPr>
              <w:t xml:space="preserve">, </w:t>
            </w:r>
            <w:r w:rsidRPr="0053423A">
              <w:rPr>
                <w:rFonts w:cs="GHEA Grapalat"/>
                <w:sz w:val="20"/>
                <w:szCs w:val="20"/>
                <w:lang w:val="ru-RU"/>
              </w:rPr>
              <w:t>որով</w:t>
            </w:r>
            <w:r w:rsidRPr="0053423A">
              <w:rPr>
                <w:rFonts w:cs="GHEA Grapalat"/>
                <w:sz w:val="20"/>
                <w:szCs w:val="20"/>
                <w:lang w:val="af-ZA"/>
              </w:rPr>
              <w:t xml:space="preserve"> </w:t>
            </w:r>
            <w:r w:rsidRPr="0053423A">
              <w:rPr>
                <w:rFonts w:cs="GHEA Grapalat"/>
                <w:sz w:val="20"/>
                <w:szCs w:val="20"/>
                <w:lang w:val="ru-RU"/>
              </w:rPr>
              <w:t>կպարզեցվի</w:t>
            </w:r>
            <w:r w:rsidRPr="0053423A">
              <w:rPr>
                <w:rFonts w:cs="GHEA Grapalat"/>
                <w:sz w:val="20"/>
                <w:szCs w:val="20"/>
                <w:lang w:val="af-ZA"/>
              </w:rPr>
              <w:t xml:space="preserve"> </w:t>
            </w:r>
            <w:r w:rsidRPr="0053423A">
              <w:rPr>
                <w:rFonts w:cs="GHEA Grapalat"/>
                <w:sz w:val="20"/>
                <w:szCs w:val="20"/>
                <w:lang w:val="ru-RU"/>
              </w:rPr>
              <w:t>ընդերքօգտագործման</w:t>
            </w:r>
            <w:r w:rsidRPr="0053423A">
              <w:rPr>
                <w:rFonts w:cs="GHEA Grapalat"/>
                <w:sz w:val="20"/>
                <w:szCs w:val="20"/>
                <w:lang w:val="af-ZA"/>
              </w:rPr>
              <w:t xml:space="preserve"> </w:t>
            </w:r>
            <w:r w:rsidRPr="0053423A">
              <w:rPr>
                <w:rFonts w:cs="GHEA Grapalat"/>
                <w:sz w:val="20"/>
                <w:szCs w:val="20"/>
                <w:lang w:val="ru-RU"/>
              </w:rPr>
              <w:t>իրավունքի</w:t>
            </w:r>
            <w:r w:rsidRPr="0053423A">
              <w:rPr>
                <w:rFonts w:cs="GHEA Grapalat"/>
                <w:sz w:val="20"/>
                <w:szCs w:val="20"/>
                <w:lang w:val="af-ZA"/>
              </w:rPr>
              <w:t xml:space="preserve"> </w:t>
            </w:r>
            <w:r w:rsidRPr="0053423A">
              <w:rPr>
                <w:rFonts w:cs="GHEA Grapalat"/>
                <w:sz w:val="20"/>
                <w:szCs w:val="20"/>
                <w:lang w:val="ru-RU"/>
              </w:rPr>
              <w:t>տրամադրման</w:t>
            </w:r>
            <w:r w:rsidRPr="0053423A">
              <w:rPr>
                <w:rFonts w:cs="GHEA Grapalat"/>
                <w:sz w:val="20"/>
                <w:szCs w:val="20"/>
                <w:lang w:val="af-ZA"/>
              </w:rPr>
              <w:t xml:space="preserve"> </w:t>
            </w:r>
            <w:r w:rsidRPr="0053423A">
              <w:rPr>
                <w:rFonts w:cs="GHEA Grapalat"/>
                <w:sz w:val="20"/>
                <w:szCs w:val="20"/>
                <w:lang w:val="ru-RU"/>
              </w:rPr>
              <w:t>գործընթացը՝</w:t>
            </w:r>
            <w:r w:rsidRPr="0053423A">
              <w:rPr>
                <w:rFonts w:cs="GHEA Grapalat"/>
                <w:sz w:val="20"/>
                <w:szCs w:val="20"/>
                <w:lang w:val="af-ZA"/>
              </w:rPr>
              <w:t xml:space="preserve"> </w:t>
            </w:r>
            <w:r w:rsidRPr="0053423A">
              <w:rPr>
                <w:rFonts w:cs="GHEA Grapalat"/>
                <w:sz w:val="20"/>
                <w:szCs w:val="20"/>
                <w:lang w:val="ru-RU"/>
              </w:rPr>
              <w:t>հատկապես</w:t>
            </w:r>
            <w:r w:rsidRPr="0053423A">
              <w:rPr>
                <w:rFonts w:cs="GHEA Grapalat"/>
                <w:sz w:val="20"/>
                <w:szCs w:val="20"/>
                <w:lang w:val="af-ZA"/>
              </w:rPr>
              <w:t xml:space="preserve"> </w:t>
            </w:r>
            <w:r w:rsidRPr="0053423A">
              <w:rPr>
                <w:rFonts w:cs="GHEA Grapalat"/>
                <w:sz w:val="20"/>
                <w:szCs w:val="20"/>
                <w:lang w:val="ru-RU"/>
              </w:rPr>
              <w:t>պետական</w:t>
            </w:r>
            <w:r w:rsidRPr="0053423A">
              <w:rPr>
                <w:rFonts w:cs="GHEA Grapalat"/>
                <w:sz w:val="20"/>
                <w:szCs w:val="20"/>
                <w:lang w:val="af-ZA"/>
              </w:rPr>
              <w:t xml:space="preserve"> </w:t>
            </w:r>
            <w:r w:rsidRPr="0053423A">
              <w:rPr>
                <w:rFonts w:cs="GHEA Grapalat"/>
                <w:sz w:val="20"/>
                <w:szCs w:val="20"/>
                <w:lang w:val="ru-RU"/>
              </w:rPr>
              <w:t>նշանակության</w:t>
            </w:r>
            <w:r w:rsidRPr="0053423A">
              <w:rPr>
                <w:rFonts w:cs="GHEA Grapalat"/>
                <w:sz w:val="20"/>
                <w:szCs w:val="20"/>
                <w:lang w:val="af-ZA"/>
              </w:rPr>
              <w:t xml:space="preserve"> </w:t>
            </w:r>
            <w:r w:rsidRPr="0053423A">
              <w:rPr>
                <w:rFonts w:cs="GHEA Grapalat"/>
                <w:sz w:val="20"/>
                <w:szCs w:val="20"/>
                <w:lang w:val="ru-RU"/>
              </w:rPr>
              <w:t>ծրագրերի</w:t>
            </w:r>
            <w:r w:rsidRPr="0053423A">
              <w:rPr>
                <w:rFonts w:cs="GHEA Grapalat"/>
                <w:sz w:val="20"/>
                <w:szCs w:val="20"/>
                <w:lang w:val="af-ZA"/>
              </w:rPr>
              <w:t xml:space="preserve"> </w:t>
            </w:r>
            <w:r w:rsidRPr="0053423A">
              <w:rPr>
                <w:rFonts w:cs="GHEA Grapalat"/>
                <w:sz w:val="20"/>
                <w:szCs w:val="20"/>
                <w:lang w:val="ru-RU"/>
              </w:rPr>
              <w:t>իրականացման</w:t>
            </w:r>
            <w:r w:rsidRPr="0053423A">
              <w:rPr>
                <w:rFonts w:cs="GHEA Grapalat"/>
                <w:sz w:val="20"/>
                <w:szCs w:val="20"/>
                <w:lang w:val="af-ZA"/>
              </w:rPr>
              <w:t xml:space="preserve"> </w:t>
            </w:r>
            <w:r w:rsidRPr="0053423A">
              <w:rPr>
                <w:rFonts w:cs="GHEA Grapalat"/>
                <w:sz w:val="20"/>
                <w:szCs w:val="20"/>
                <w:lang w:val="ru-RU"/>
              </w:rPr>
              <w:t>դեպքում</w:t>
            </w:r>
            <w:r w:rsidRPr="0053423A">
              <w:rPr>
                <w:rFonts w:cs="GHEA Grapalat"/>
                <w:sz w:val="20"/>
                <w:szCs w:val="20"/>
                <w:lang w:val="af-ZA"/>
              </w:rPr>
              <w:t>:</w:t>
            </w:r>
          </w:p>
          <w:p w:rsidR="0084615D" w:rsidRPr="0053423A" w:rsidRDefault="0084615D" w:rsidP="00A67858">
            <w:pPr>
              <w:spacing w:after="0" w:line="276" w:lineRule="auto"/>
              <w:ind w:firstLine="735"/>
              <w:rPr>
                <w:rFonts w:eastAsia="Times New Roman"/>
                <w:b/>
                <w:sz w:val="20"/>
                <w:szCs w:val="20"/>
                <w:lang w:val="af-ZA"/>
              </w:rPr>
            </w:pPr>
            <w:r w:rsidRPr="0053423A">
              <w:rPr>
                <w:rFonts w:eastAsia="Times New Roman"/>
                <w:b/>
                <w:sz w:val="20"/>
                <w:szCs w:val="20"/>
                <w:lang w:val="af-ZA"/>
              </w:rPr>
              <w:t>2.</w:t>
            </w:r>
            <w:r w:rsidRPr="0053423A">
              <w:rPr>
                <w:rFonts w:ascii="Calibri" w:eastAsia="Times New Roman" w:hAnsi="Calibri" w:cs="Calibri"/>
                <w:sz w:val="20"/>
                <w:szCs w:val="20"/>
                <w:lang w:val="af-ZA"/>
              </w:rPr>
              <w:t> </w:t>
            </w:r>
            <w:r w:rsidRPr="0053423A">
              <w:rPr>
                <w:rFonts w:eastAsia="Times New Roman" w:cs="Sylfaen"/>
                <w:b/>
                <w:sz w:val="20"/>
                <w:szCs w:val="20"/>
              </w:rPr>
              <w:t>Միջոցառման</w:t>
            </w:r>
            <w:r w:rsidRPr="0053423A">
              <w:rPr>
                <w:rFonts w:eastAsia="Times New Roman"/>
                <w:b/>
                <w:sz w:val="20"/>
                <w:szCs w:val="20"/>
                <w:lang w:val="af-ZA"/>
              </w:rPr>
              <w:t xml:space="preserve"> </w:t>
            </w:r>
            <w:r w:rsidRPr="0053423A">
              <w:rPr>
                <w:rFonts w:eastAsia="Times New Roman" w:cs="Sylfaen"/>
                <w:b/>
                <w:sz w:val="20"/>
                <w:szCs w:val="20"/>
              </w:rPr>
              <w:t>իրակա</w:t>
            </w:r>
            <w:r w:rsidRPr="0053423A">
              <w:rPr>
                <w:rFonts w:eastAsia="Times New Roman" w:cs="Sylfaen"/>
                <w:b/>
                <w:sz w:val="20"/>
                <w:szCs w:val="20"/>
                <w:lang w:val="ru-RU"/>
              </w:rPr>
              <w:t>նա</w:t>
            </w:r>
            <w:r w:rsidRPr="0053423A">
              <w:rPr>
                <w:rFonts w:eastAsia="Times New Roman" w:cs="Sylfaen"/>
                <w:b/>
                <w:sz w:val="20"/>
                <w:szCs w:val="20"/>
              </w:rPr>
              <w:t>ցումից</w:t>
            </w:r>
            <w:r w:rsidRPr="0053423A">
              <w:rPr>
                <w:rFonts w:eastAsia="Times New Roman"/>
                <w:b/>
                <w:sz w:val="20"/>
                <w:szCs w:val="20"/>
                <w:lang w:val="af-ZA"/>
              </w:rPr>
              <w:t xml:space="preserve"> </w:t>
            </w:r>
            <w:r w:rsidRPr="0053423A">
              <w:rPr>
                <w:rFonts w:eastAsia="Times New Roman" w:cs="Sylfaen"/>
                <w:b/>
                <w:sz w:val="20"/>
                <w:szCs w:val="20"/>
              </w:rPr>
              <w:t>ակնկալվող</w:t>
            </w:r>
            <w:r w:rsidRPr="0053423A">
              <w:rPr>
                <w:rFonts w:eastAsia="Times New Roman"/>
                <w:b/>
                <w:sz w:val="20"/>
                <w:szCs w:val="20"/>
                <w:lang w:val="af-ZA"/>
              </w:rPr>
              <w:t xml:space="preserve"> </w:t>
            </w:r>
            <w:r w:rsidRPr="0053423A">
              <w:rPr>
                <w:rFonts w:eastAsia="Times New Roman" w:cs="Sylfaen"/>
                <w:b/>
                <w:sz w:val="20"/>
                <w:szCs w:val="20"/>
              </w:rPr>
              <w:t>արդյունքը</w:t>
            </w:r>
          </w:p>
          <w:p w:rsidR="0084615D" w:rsidRPr="0053423A" w:rsidRDefault="0084615D" w:rsidP="00A67858">
            <w:pPr>
              <w:pStyle w:val="ListParagraph"/>
              <w:tabs>
                <w:tab w:val="left" w:pos="-2410"/>
              </w:tabs>
              <w:spacing w:after="0" w:line="276" w:lineRule="auto"/>
              <w:ind w:left="0" w:firstLine="735"/>
              <w:jc w:val="both"/>
              <w:rPr>
                <w:color w:val="000000"/>
                <w:sz w:val="20"/>
                <w:szCs w:val="20"/>
                <w:lang w:val="af-ZA"/>
              </w:rPr>
            </w:pPr>
            <w:r w:rsidRPr="0053423A">
              <w:rPr>
                <w:color w:val="000000"/>
                <w:sz w:val="20"/>
                <w:szCs w:val="20"/>
                <w:lang w:val="ru-RU"/>
              </w:rPr>
              <w:t>Ընդերքօգտագործման</w:t>
            </w:r>
            <w:r w:rsidRPr="0053423A">
              <w:rPr>
                <w:color w:val="000000"/>
                <w:sz w:val="20"/>
                <w:szCs w:val="20"/>
                <w:lang w:val="af-ZA"/>
              </w:rPr>
              <w:t xml:space="preserve"> </w:t>
            </w:r>
            <w:r w:rsidRPr="0053423A">
              <w:rPr>
                <w:color w:val="000000"/>
                <w:sz w:val="20"/>
                <w:szCs w:val="20"/>
                <w:lang w:val="ru-RU"/>
              </w:rPr>
              <w:t>իրավունքների</w:t>
            </w:r>
            <w:r w:rsidRPr="0053423A">
              <w:rPr>
                <w:color w:val="000000"/>
                <w:sz w:val="20"/>
                <w:szCs w:val="20"/>
                <w:lang w:val="af-ZA"/>
              </w:rPr>
              <w:t xml:space="preserve"> </w:t>
            </w:r>
            <w:r w:rsidRPr="0053423A">
              <w:rPr>
                <w:color w:val="000000"/>
                <w:sz w:val="20"/>
                <w:szCs w:val="20"/>
                <w:lang w:val="ru-RU"/>
              </w:rPr>
              <w:t>տրամադրման</w:t>
            </w:r>
            <w:r w:rsidRPr="0053423A">
              <w:rPr>
                <w:color w:val="000000"/>
                <w:sz w:val="20"/>
                <w:szCs w:val="20"/>
                <w:lang w:val="af-ZA"/>
              </w:rPr>
              <w:t xml:space="preserve"> </w:t>
            </w:r>
            <w:r w:rsidRPr="0053423A">
              <w:rPr>
                <w:color w:val="000000"/>
                <w:sz w:val="20"/>
                <w:szCs w:val="20"/>
                <w:lang w:val="ru-RU"/>
              </w:rPr>
              <w:t>գործընթացի</w:t>
            </w:r>
            <w:r w:rsidRPr="0053423A">
              <w:rPr>
                <w:color w:val="000000"/>
                <w:sz w:val="20"/>
                <w:szCs w:val="20"/>
                <w:lang w:val="af-ZA"/>
              </w:rPr>
              <w:t xml:space="preserve"> </w:t>
            </w:r>
            <w:r w:rsidRPr="0053423A">
              <w:rPr>
                <w:color w:val="000000"/>
                <w:sz w:val="20"/>
                <w:szCs w:val="20"/>
                <w:lang w:val="ru-RU"/>
              </w:rPr>
              <w:t>պարզեցում</w:t>
            </w:r>
            <w:r w:rsidRPr="0053423A">
              <w:rPr>
                <w:color w:val="000000"/>
                <w:sz w:val="20"/>
                <w:szCs w:val="20"/>
                <w:lang w:val="af-ZA"/>
              </w:rPr>
              <w:t>:</w:t>
            </w:r>
          </w:p>
          <w:p w:rsidR="0084615D" w:rsidRPr="0053423A" w:rsidRDefault="0084615D" w:rsidP="00A67858">
            <w:pPr>
              <w:spacing w:after="0" w:line="276" w:lineRule="auto"/>
              <w:jc w:val="center"/>
              <w:rPr>
                <w:rFonts w:cs="GHEA Grapalat"/>
                <w:b/>
                <w:sz w:val="20"/>
                <w:szCs w:val="20"/>
                <w:lang w:val="af-ZA"/>
              </w:rPr>
            </w:pP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16</w:t>
            </w:r>
          </w:p>
        </w:tc>
        <w:tc>
          <w:tcPr>
            <w:tcW w:w="10879" w:type="dxa"/>
            <w:shd w:val="clear" w:color="auto" w:fill="auto"/>
          </w:tcPr>
          <w:p w:rsidR="0084615D" w:rsidRPr="0053423A" w:rsidRDefault="0084615D" w:rsidP="00A67858">
            <w:pPr>
              <w:spacing w:after="0" w:line="276" w:lineRule="auto"/>
              <w:jc w:val="center"/>
              <w:rPr>
                <w:rFonts w:cs="GHEA Grapalat"/>
                <w:b/>
                <w:sz w:val="20"/>
                <w:szCs w:val="20"/>
                <w:lang w:val="af-ZA"/>
              </w:rPr>
            </w:pPr>
            <w:r w:rsidRPr="0053423A">
              <w:rPr>
                <w:rFonts w:cs="GHEA Grapalat"/>
                <w:b/>
                <w:sz w:val="20"/>
                <w:szCs w:val="20"/>
                <w:lang w:val="af-ZA"/>
              </w:rPr>
              <w:t>Ոչ մետաղական օգտակար հանածոների արդյունահանման նպատակով կնքված ընդերքօգտագործման պայմանագրերի հրապարակում</w:t>
            </w:r>
          </w:p>
          <w:p w:rsidR="0084615D" w:rsidRPr="0053423A" w:rsidRDefault="0084615D" w:rsidP="00A67858">
            <w:pPr>
              <w:spacing w:after="0" w:line="276" w:lineRule="auto"/>
              <w:jc w:val="center"/>
              <w:rPr>
                <w:rFonts w:cs="GHEA Grapalat"/>
                <w:b/>
                <w:sz w:val="20"/>
                <w:szCs w:val="20"/>
                <w:lang w:val="af-ZA"/>
              </w:rPr>
            </w:pPr>
          </w:p>
          <w:p w:rsidR="007B71C6" w:rsidRPr="0053423A" w:rsidRDefault="0084615D" w:rsidP="00A67858">
            <w:pPr>
              <w:spacing w:after="0" w:line="276" w:lineRule="auto"/>
              <w:ind w:left="-89" w:right="-195"/>
              <w:jc w:val="center"/>
              <w:rPr>
                <w:rFonts w:cs="GHEA Grapalat"/>
                <w:b/>
                <w:sz w:val="20"/>
                <w:szCs w:val="20"/>
                <w:u w:val="single"/>
                <w:lang w:val="af-ZA"/>
              </w:rPr>
            </w:pPr>
            <w:r w:rsidRPr="0053423A">
              <w:rPr>
                <w:rFonts w:cs="GHEA Grapalat"/>
                <w:b/>
                <w:sz w:val="20"/>
                <w:szCs w:val="20"/>
                <w:u w:val="single"/>
                <w:lang w:val="af-ZA"/>
              </w:rPr>
              <w:t>«</w:t>
            </w:r>
            <w:r w:rsidRPr="0053423A">
              <w:rPr>
                <w:rFonts w:cs="GHEA Grapalat"/>
                <w:b/>
                <w:sz w:val="20"/>
                <w:szCs w:val="20"/>
                <w:u w:val="single"/>
                <w:lang w:val="hy-AM"/>
              </w:rPr>
              <w:t>ՀՀ</w:t>
            </w:r>
            <w:r w:rsidRPr="0053423A">
              <w:rPr>
                <w:rFonts w:cs="GHEA Grapalat"/>
                <w:b/>
                <w:sz w:val="20"/>
                <w:szCs w:val="20"/>
                <w:u w:val="single"/>
                <w:lang w:val="af-ZA"/>
              </w:rPr>
              <w:t xml:space="preserve"> </w:t>
            </w:r>
            <w:r w:rsidRPr="0053423A">
              <w:rPr>
                <w:rFonts w:cs="GHEA Grapalat"/>
                <w:b/>
                <w:sz w:val="20"/>
                <w:szCs w:val="20"/>
                <w:u w:val="single"/>
                <w:lang w:val="hy-AM"/>
              </w:rPr>
              <w:t>Ընդերքի</w:t>
            </w:r>
            <w:r w:rsidRPr="0053423A">
              <w:rPr>
                <w:rFonts w:cs="GHEA Grapalat"/>
                <w:b/>
                <w:sz w:val="20"/>
                <w:szCs w:val="20"/>
                <w:u w:val="single"/>
                <w:lang w:val="af-ZA"/>
              </w:rPr>
              <w:t xml:space="preserve"> </w:t>
            </w:r>
            <w:r w:rsidRPr="0053423A">
              <w:rPr>
                <w:rFonts w:cs="GHEA Grapalat"/>
                <w:b/>
                <w:sz w:val="20"/>
                <w:szCs w:val="20"/>
                <w:u w:val="single"/>
                <w:lang w:val="hy-AM"/>
              </w:rPr>
              <w:t>մասին</w:t>
            </w:r>
            <w:r w:rsidRPr="0053423A">
              <w:rPr>
                <w:rFonts w:cs="GHEA Grapalat"/>
                <w:b/>
                <w:sz w:val="20"/>
                <w:szCs w:val="20"/>
                <w:u w:val="single"/>
                <w:lang w:val="af-ZA"/>
              </w:rPr>
              <w:t xml:space="preserve"> </w:t>
            </w:r>
            <w:r w:rsidRPr="0053423A">
              <w:rPr>
                <w:rFonts w:cs="GHEA Grapalat"/>
                <w:b/>
                <w:sz w:val="20"/>
                <w:szCs w:val="20"/>
                <w:u w:val="single"/>
                <w:lang w:val="hy-AM"/>
              </w:rPr>
              <w:t>օրենսգրքում</w:t>
            </w:r>
            <w:r w:rsidRPr="0053423A">
              <w:rPr>
                <w:rFonts w:cs="GHEA Grapalat"/>
                <w:b/>
                <w:sz w:val="20"/>
                <w:szCs w:val="20"/>
                <w:u w:val="single"/>
                <w:lang w:val="af-ZA"/>
              </w:rPr>
              <w:t xml:space="preserve"> </w:t>
            </w:r>
            <w:r w:rsidRPr="0053423A">
              <w:rPr>
                <w:rFonts w:cs="GHEA Grapalat"/>
                <w:b/>
                <w:sz w:val="20"/>
                <w:szCs w:val="20"/>
                <w:u w:val="single"/>
                <w:lang w:val="hy-AM"/>
              </w:rPr>
              <w:t>փոփոխություններ</w:t>
            </w:r>
            <w:r w:rsidRPr="0053423A">
              <w:rPr>
                <w:rFonts w:cs="GHEA Grapalat"/>
                <w:b/>
                <w:sz w:val="20"/>
                <w:szCs w:val="20"/>
                <w:u w:val="single"/>
                <w:lang w:val="af-ZA"/>
              </w:rPr>
              <w:t xml:space="preserve"> </w:t>
            </w:r>
            <w:r w:rsidRPr="0053423A">
              <w:rPr>
                <w:rFonts w:cs="GHEA Grapalat"/>
                <w:b/>
                <w:sz w:val="20"/>
                <w:szCs w:val="20"/>
                <w:u w:val="single"/>
                <w:lang w:val="hy-AM"/>
              </w:rPr>
              <w:t>և</w:t>
            </w:r>
            <w:r w:rsidRPr="0053423A">
              <w:rPr>
                <w:rFonts w:cs="GHEA Grapalat"/>
                <w:b/>
                <w:sz w:val="20"/>
                <w:szCs w:val="20"/>
                <w:u w:val="single"/>
                <w:lang w:val="af-ZA"/>
              </w:rPr>
              <w:t xml:space="preserve"> </w:t>
            </w:r>
            <w:r w:rsidRPr="0053423A">
              <w:rPr>
                <w:rFonts w:cs="GHEA Grapalat"/>
                <w:b/>
                <w:sz w:val="20"/>
                <w:szCs w:val="20"/>
                <w:u w:val="single"/>
                <w:lang w:val="hy-AM"/>
              </w:rPr>
              <w:t>լրացումներ</w:t>
            </w:r>
            <w:r w:rsidRPr="0053423A">
              <w:rPr>
                <w:rFonts w:cs="GHEA Grapalat"/>
                <w:b/>
                <w:sz w:val="20"/>
                <w:szCs w:val="20"/>
                <w:u w:val="single"/>
                <w:lang w:val="af-ZA"/>
              </w:rPr>
              <w:t xml:space="preserve"> </w:t>
            </w:r>
            <w:r w:rsidRPr="0053423A">
              <w:rPr>
                <w:rFonts w:cs="GHEA Grapalat"/>
                <w:b/>
                <w:sz w:val="20"/>
                <w:szCs w:val="20"/>
                <w:u w:val="single"/>
                <w:lang w:val="hy-AM"/>
              </w:rPr>
              <w:t>կատարելու</w:t>
            </w:r>
            <w:r w:rsidRPr="0053423A">
              <w:rPr>
                <w:rFonts w:cs="GHEA Grapalat"/>
                <w:b/>
                <w:sz w:val="20"/>
                <w:szCs w:val="20"/>
                <w:u w:val="single"/>
                <w:lang w:val="af-ZA"/>
              </w:rPr>
              <w:t xml:space="preserve"> </w:t>
            </w:r>
            <w:r w:rsidRPr="0053423A">
              <w:rPr>
                <w:rFonts w:cs="GHEA Grapalat"/>
                <w:b/>
                <w:sz w:val="20"/>
                <w:szCs w:val="20"/>
                <w:u w:val="single"/>
                <w:lang w:val="hy-AM"/>
              </w:rPr>
              <w:t>մասին</w:t>
            </w:r>
            <w:r w:rsidRPr="0053423A">
              <w:rPr>
                <w:rFonts w:cs="GHEA Grapalat"/>
                <w:b/>
                <w:sz w:val="20"/>
                <w:szCs w:val="20"/>
                <w:u w:val="single"/>
                <w:lang w:val="af-ZA"/>
              </w:rPr>
              <w:t xml:space="preserve">» </w:t>
            </w:r>
          </w:p>
          <w:p w:rsidR="0084615D" w:rsidRPr="0053423A" w:rsidRDefault="0084615D" w:rsidP="00A67858">
            <w:pPr>
              <w:spacing w:after="0" w:line="276" w:lineRule="auto"/>
              <w:ind w:left="-89" w:right="-195"/>
              <w:jc w:val="center"/>
              <w:rPr>
                <w:rFonts w:cs="GHEA Grapalat"/>
                <w:b/>
                <w:sz w:val="20"/>
                <w:szCs w:val="20"/>
                <w:u w:val="single"/>
                <w:lang w:val="af-ZA"/>
              </w:rPr>
            </w:pPr>
            <w:r w:rsidRPr="0053423A">
              <w:rPr>
                <w:rFonts w:cs="GHEA Grapalat"/>
                <w:b/>
                <w:sz w:val="20"/>
                <w:szCs w:val="20"/>
                <w:u w:val="single"/>
                <w:lang w:val="hy-AM"/>
              </w:rPr>
              <w:t>ՀՀ</w:t>
            </w:r>
            <w:r w:rsidRPr="0053423A">
              <w:rPr>
                <w:rFonts w:cs="GHEA Grapalat"/>
                <w:b/>
                <w:sz w:val="20"/>
                <w:szCs w:val="20"/>
                <w:u w:val="single"/>
                <w:lang w:val="af-ZA"/>
              </w:rPr>
              <w:t xml:space="preserve"> </w:t>
            </w:r>
            <w:r w:rsidRPr="0053423A">
              <w:rPr>
                <w:rFonts w:cs="GHEA Grapalat"/>
                <w:b/>
                <w:sz w:val="20"/>
                <w:szCs w:val="20"/>
                <w:u w:val="single"/>
                <w:lang w:val="hy-AM"/>
              </w:rPr>
              <w:t>օրենքի</w:t>
            </w:r>
            <w:r w:rsidRPr="0053423A">
              <w:rPr>
                <w:rFonts w:cs="GHEA Grapalat"/>
                <w:b/>
                <w:sz w:val="20"/>
                <w:szCs w:val="20"/>
                <w:u w:val="single"/>
                <w:lang w:val="af-ZA"/>
              </w:rPr>
              <w:t xml:space="preserve"> </w:t>
            </w:r>
            <w:r w:rsidR="006B390D">
              <w:rPr>
                <w:rFonts w:cs="GHEA Grapalat"/>
                <w:b/>
                <w:sz w:val="20"/>
                <w:szCs w:val="20"/>
                <w:u w:val="single"/>
                <w:lang w:val="hy-AM"/>
              </w:rPr>
              <w:t>նախագ</w:t>
            </w:r>
            <w:r w:rsidRPr="0053423A">
              <w:rPr>
                <w:rFonts w:cs="GHEA Grapalat"/>
                <w:b/>
                <w:sz w:val="20"/>
                <w:szCs w:val="20"/>
                <w:u w:val="single"/>
                <w:lang w:val="hy-AM"/>
              </w:rPr>
              <w:t>ծ</w:t>
            </w:r>
            <w:r w:rsidR="006B390D">
              <w:rPr>
                <w:rFonts w:cs="GHEA Grapalat"/>
                <w:b/>
                <w:sz w:val="20"/>
                <w:szCs w:val="20"/>
                <w:u w:val="single"/>
                <w:lang w:val="hy-AM"/>
              </w:rPr>
              <w:t>ի մշակում և ընդերքօգտագործման պայմանագրերի թվայնացում</w:t>
            </w:r>
          </w:p>
          <w:p w:rsidR="0084615D" w:rsidRPr="0053423A" w:rsidRDefault="0084615D" w:rsidP="00A67858">
            <w:pPr>
              <w:spacing w:after="0" w:line="276" w:lineRule="auto"/>
              <w:ind w:left="-89" w:right="-195"/>
              <w:rPr>
                <w:rFonts w:cs="GHEA Grapalat"/>
                <w:b/>
                <w:sz w:val="20"/>
                <w:szCs w:val="20"/>
                <w:u w:val="single"/>
                <w:lang w:val="af-ZA"/>
              </w:rPr>
            </w:pPr>
          </w:p>
          <w:p w:rsidR="0084615D" w:rsidRPr="0053423A" w:rsidRDefault="0084615D" w:rsidP="00A67858">
            <w:pPr>
              <w:pStyle w:val="ListParagraph"/>
              <w:tabs>
                <w:tab w:val="left" w:pos="-2410"/>
              </w:tabs>
              <w:spacing w:after="0" w:line="276" w:lineRule="auto"/>
              <w:ind w:left="0" w:firstLine="735"/>
              <w:jc w:val="both"/>
              <w:rPr>
                <w:rFonts w:eastAsia="Times New Roman"/>
                <w:b/>
                <w:sz w:val="20"/>
                <w:szCs w:val="20"/>
                <w:lang w:val="af-ZA"/>
              </w:rPr>
            </w:pPr>
            <w:r w:rsidRPr="0053423A">
              <w:rPr>
                <w:rFonts w:eastAsia="Times New Roman" w:cs="Courier New"/>
                <w:b/>
                <w:sz w:val="20"/>
                <w:szCs w:val="20"/>
                <w:lang w:val="af-ZA"/>
              </w:rPr>
              <w:t>1.</w:t>
            </w:r>
            <w:r w:rsidRPr="0053423A">
              <w:rPr>
                <w:rFonts w:ascii="Calibri" w:eastAsia="Times New Roman" w:hAnsi="Calibri" w:cs="Calibri"/>
                <w:b/>
                <w:sz w:val="20"/>
                <w:szCs w:val="20"/>
                <w:lang w:val="af-ZA"/>
              </w:rPr>
              <w:t> </w:t>
            </w:r>
            <w:r w:rsidRPr="0053423A">
              <w:rPr>
                <w:rFonts w:eastAsia="Times New Roman" w:cs="Sylfaen"/>
                <w:b/>
                <w:sz w:val="20"/>
                <w:szCs w:val="20"/>
                <w:lang w:val="hy-AM"/>
              </w:rPr>
              <w:t>Միջոցառման</w:t>
            </w:r>
            <w:r w:rsidRPr="0053423A">
              <w:rPr>
                <w:rFonts w:eastAsia="Times New Roman"/>
                <w:b/>
                <w:sz w:val="20"/>
                <w:szCs w:val="20"/>
                <w:lang w:val="af-ZA"/>
              </w:rPr>
              <w:t xml:space="preserve"> </w:t>
            </w:r>
            <w:r w:rsidRPr="0053423A">
              <w:rPr>
                <w:rFonts w:eastAsia="Times New Roman" w:cs="Sylfaen"/>
                <w:b/>
                <w:sz w:val="20"/>
                <w:szCs w:val="20"/>
                <w:lang w:val="hy-AM"/>
              </w:rPr>
              <w:t>իրականացման</w:t>
            </w:r>
            <w:r w:rsidRPr="0053423A">
              <w:rPr>
                <w:rFonts w:eastAsia="Times New Roman"/>
                <w:b/>
                <w:sz w:val="20"/>
                <w:szCs w:val="20"/>
                <w:lang w:val="af-ZA"/>
              </w:rPr>
              <w:t xml:space="preserve"> </w:t>
            </w:r>
            <w:r w:rsidRPr="0053423A">
              <w:rPr>
                <w:rFonts w:eastAsia="Times New Roman" w:cs="Sylfae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նպատակը</w:t>
            </w:r>
          </w:p>
          <w:p w:rsidR="0084615D" w:rsidRPr="0053423A" w:rsidRDefault="0084615D" w:rsidP="00A67858">
            <w:pPr>
              <w:pStyle w:val="NormalWeb"/>
              <w:spacing w:before="0" w:beforeAutospacing="0" w:after="0" w:afterAutospacing="0" w:line="276" w:lineRule="auto"/>
              <w:ind w:firstLine="735"/>
              <w:jc w:val="both"/>
              <w:rPr>
                <w:rStyle w:val="Emphasis"/>
                <w:rFonts w:ascii="GHEA Grapalat" w:hAnsi="GHEA Grapalat"/>
                <w:bCs/>
                <w:color w:val="000000"/>
                <w:sz w:val="20"/>
                <w:szCs w:val="20"/>
                <w:shd w:val="clear" w:color="auto" w:fill="FFFFFF"/>
                <w:lang w:val="af-ZA"/>
              </w:rPr>
            </w:pPr>
            <w:r w:rsidRPr="0053423A">
              <w:rPr>
                <w:rStyle w:val="Emphasis"/>
                <w:rFonts w:ascii="GHEA Grapalat" w:hAnsi="GHEA Grapalat"/>
                <w:bCs/>
                <w:color w:val="000000"/>
                <w:sz w:val="20"/>
                <w:szCs w:val="20"/>
                <w:shd w:val="clear" w:color="auto" w:fill="FFFFFF"/>
                <w:lang w:val="hy-AM"/>
              </w:rPr>
              <w:t>ՀՀ</w:t>
            </w:r>
            <w:r w:rsidRPr="0053423A">
              <w:rPr>
                <w:rStyle w:val="Emphasis"/>
                <w:rFonts w:ascii="GHEA Grapalat" w:hAnsi="GHEA Grapalat"/>
                <w:bCs/>
                <w:color w:val="000000"/>
                <w:sz w:val="20"/>
                <w:szCs w:val="20"/>
                <w:shd w:val="clear" w:color="auto" w:fill="FFFFFF"/>
                <w:lang w:val="af-ZA"/>
              </w:rPr>
              <w:t xml:space="preserve"> </w:t>
            </w:r>
            <w:r w:rsidRPr="0053423A">
              <w:rPr>
                <w:rStyle w:val="Emphasis"/>
                <w:rFonts w:ascii="GHEA Grapalat" w:hAnsi="GHEA Grapalat"/>
                <w:bCs/>
                <w:color w:val="000000"/>
                <w:sz w:val="20"/>
                <w:szCs w:val="20"/>
                <w:shd w:val="clear" w:color="auto" w:fill="FFFFFF"/>
                <w:lang w:val="hy-AM"/>
              </w:rPr>
              <w:t>ընդերքի</w:t>
            </w:r>
            <w:r w:rsidRPr="0053423A">
              <w:rPr>
                <w:rStyle w:val="Emphasis"/>
                <w:rFonts w:ascii="GHEA Grapalat" w:hAnsi="GHEA Grapalat"/>
                <w:bCs/>
                <w:color w:val="000000"/>
                <w:sz w:val="20"/>
                <w:szCs w:val="20"/>
                <w:shd w:val="clear" w:color="auto" w:fill="FFFFFF"/>
                <w:lang w:val="af-ZA"/>
              </w:rPr>
              <w:t xml:space="preserve"> </w:t>
            </w:r>
            <w:r w:rsidRPr="0053423A">
              <w:rPr>
                <w:rStyle w:val="Emphasis"/>
                <w:rFonts w:ascii="GHEA Grapalat" w:hAnsi="GHEA Grapalat"/>
                <w:bCs/>
                <w:color w:val="000000"/>
                <w:sz w:val="20"/>
                <w:szCs w:val="20"/>
                <w:shd w:val="clear" w:color="auto" w:fill="FFFFFF"/>
                <w:lang w:val="hy-AM"/>
              </w:rPr>
              <w:t>մասին</w:t>
            </w:r>
            <w:r w:rsidRPr="0053423A">
              <w:rPr>
                <w:rStyle w:val="Emphasis"/>
                <w:rFonts w:ascii="GHEA Grapalat" w:hAnsi="GHEA Grapalat"/>
                <w:bCs/>
                <w:color w:val="000000"/>
                <w:sz w:val="20"/>
                <w:szCs w:val="20"/>
                <w:shd w:val="clear" w:color="auto" w:fill="FFFFFF"/>
                <w:lang w:val="af-ZA"/>
              </w:rPr>
              <w:t xml:space="preserve"> </w:t>
            </w:r>
            <w:r w:rsidRPr="0053423A">
              <w:rPr>
                <w:rStyle w:val="Emphasis"/>
                <w:rFonts w:ascii="GHEA Grapalat" w:hAnsi="GHEA Grapalat"/>
                <w:bCs/>
                <w:color w:val="000000"/>
                <w:sz w:val="20"/>
                <w:szCs w:val="20"/>
                <w:shd w:val="clear" w:color="auto" w:fill="FFFFFF"/>
                <w:lang w:val="hy-AM"/>
              </w:rPr>
              <w:t>օրենսգրքի</w:t>
            </w:r>
            <w:r w:rsidRPr="0053423A">
              <w:rPr>
                <w:rStyle w:val="Emphasis"/>
                <w:rFonts w:ascii="GHEA Grapalat" w:hAnsi="GHEA Grapalat"/>
                <w:bCs/>
                <w:color w:val="000000"/>
                <w:sz w:val="20"/>
                <w:szCs w:val="20"/>
                <w:shd w:val="clear" w:color="auto" w:fill="FFFFFF"/>
                <w:lang w:val="af-ZA"/>
              </w:rPr>
              <w:t xml:space="preserve"> 9-</w:t>
            </w:r>
            <w:r w:rsidRPr="0053423A">
              <w:rPr>
                <w:rStyle w:val="Emphasis"/>
                <w:rFonts w:ascii="GHEA Grapalat" w:hAnsi="GHEA Grapalat"/>
                <w:bCs/>
                <w:color w:val="000000"/>
                <w:sz w:val="20"/>
                <w:szCs w:val="20"/>
                <w:shd w:val="clear" w:color="auto" w:fill="FFFFFF"/>
                <w:lang w:val="hy-AM"/>
              </w:rPr>
              <w:t>րդ</w:t>
            </w:r>
            <w:r w:rsidRPr="0053423A">
              <w:rPr>
                <w:rStyle w:val="Emphasis"/>
                <w:rFonts w:ascii="GHEA Grapalat" w:hAnsi="GHEA Grapalat"/>
                <w:bCs/>
                <w:color w:val="000000"/>
                <w:sz w:val="20"/>
                <w:szCs w:val="20"/>
                <w:shd w:val="clear" w:color="auto" w:fill="FFFFFF"/>
                <w:lang w:val="af-ZA"/>
              </w:rPr>
              <w:t xml:space="preserve"> </w:t>
            </w:r>
            <w:r w:rsidRPr="0053423A">
              <w:rPr>
                <w:rStyle w:val="Emphasis"/>
                <w:rFonts w:ascii="GHEA Grapalat" w:hAnsi="GHEA Grapalat"/>
                <w:bCs/>
                <w:color w:val="000000"/>
                <w:sz w:val="20"/>
                <w:szCs w:val="20"/>
                <w:shd w:val="clear" w:color="auto" w:fill="FFFFFF"/>
                <w:lang w:val="hy-AM"/>
              </w:rPr>
              <w:t>հոդվածի</w:t>
            </w:r>
            <w:r w:rsidRPr="0053423A">
              <w:rPr>
                <w:rStyle w:val="Emphasis"/>
                <w:rFonts w:ascii="GHEA Grapalat" w:hAnsi="GHEA Grapalat"/>
                <w:bCs/>
                <w:color w:val="000000"/>
                <w:sz w:val="20"/>
                <w:szCs w:val="20"/>
                <w:shd w:val="clear" w:color="auto" w:fill="FFFFFF"/>
                <w:lang w:val="af-ZA"/>
              </w:rPr>
              <w:t xml:space="preserve"> 2-</w:t>
            </w:r>
            <w:r w:rsidRPr="0053423A">
              <w:rPr>
                <w:rStyle w:val="Emphasis"/>
                <w:rFonts w:ascii="GHEA Grapalat" w:hAnsi="GHEA Grapalat"/>
                <w:bCs/>
                <w:color w:val="000000"/>
                <w:sz w:val="20"/>
                <w:szCs w:val="20"/>
                <w:shd w:val="clear" w:color="auto" w:fill="FFFFFF"/>
                <w:lang w:val="hy-AM"/>
              </w:rPr>
              <w:t>րդ</w:t>
            </w:r>
            <w:r w:rsidRPr="0053423A">
              <w:rPr>
                <w:rStyle w:val="Emphasis"/>
                <w:rFonts w:ascii="GHEA Grapalat" w:hAnsi="GHEA Grapalat"/>
                <w:bCs/>
                <w:color w:val="000000"/>
                <w:sz w:val="20"/>
                <w:szCs w:val="20"/>
                <w:shd w:val="clear" w:color="auto" w:fill="FFFFFF"/>
                <w:lang w:val="af-ZA"/>
              </w:rPr>
              <w:t xml:space="preserve"> </w:t>
            </w:r>
            <w:r w:rsidRPr="0053423A">
              <w:rPr>
                <w:rStyle w:val="Emphasis"/>
                <w:rFonts w:ascii="GHEA Grapalat" w:hAnsi="GHEA Grapalat"/>
                <w:bCs/>
                <w:color w:val="000000"/>
                <w:sz w:val="20"/>
                <w:szCs w:val="20"/>
                <w:shd w:val="clear" w:color="auto" w:fill="FFFFFF"/>
                <w:lang w:val="hy-AM"/>
              </w:rPr>
              <w:t>մասի</w:t>
            </w:r>
            <w:r w:rsidRPr="0053423A">
              <w:rPr>
                <w:rStyle w:val="Emphasis"/>
                <w:rFonts w:ascii="GHEA Grapalat" w:hAnsi="GHEA Grapalat"/>
                <w:bCs/>
                <w:color w:val="000000"/>
                <w:sz w:val="20"/>
                <w:szCs w:val="20"/>
                <w:shd w:val="clear" w:color="auto" w:fill="FFFFFF"/>
                <w:lang w:val="af-ZA"/>
              </w:rPr>
              <w:t xml:space="preserve"> </w:t>
            </w:r>
            <w:r w:rsidRPr="0053423A">
              <w:rPr>
                <w:rStyle w:val="Emphasis"/>
                <w:rFonts w:ascii="GHEA Grapalat" w:hAnsi="GHEA Grapalat"/>
                <w:bCs/>
                <w:color w:val="000000"/>
                <w:sz w:val="20"/>
                <w:szCs w:val="20"/>
                <w:shd w:val="clear" w:color="auto" w:fill="FFFFFF"/>
                <w:lang w:val="hy-AM"/>
              </w:rPr>
              <w:t>համաձայն</w:t>
            </w:r>
            <w:r w:rsidRPr="0053423A">
              <w:rPr>
                <w:rStyle w:val="Emphasis"/>
                <w:rFonts w:ascii="GHEA Grapalat" w:hAnsi="GHEA Grapalat"/>
                <w:bCs/>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Լիազոր</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մարմինն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իր</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պաշտոնական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ինտերնետային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կայքում</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հրապարակում</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է</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մետաղական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օգտակար</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հանածո</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արդյունահանող</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ընդերքօգտագործողների</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հետ</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կնքված</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ընդերքօգտագործման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պայմանագրերը</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և</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դրանցում</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կատարվող</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փոփոխությունները՝</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բացառելով</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Տեղեկատվության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ազատության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մասին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Հայաստանի</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Հանրապետության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օրենքով</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սահմանված</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հրապարակման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ոչ</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ենթակա</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տեղեկատվության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տվյալների</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հրապարակումը</w:t>
            </w:r>
            <w:r w:rsidRPr="0053423A">
              <w:rPr>
                <w:rFonts w:ascii="GHEA Grapalat" w:hAnsi="GHEA Grapalat"/>
                <w:color w:val="000000"/>
                <w:sz w:val="20"/>
                <w:szCs w:val="20"/>
                <w:shd w:val="clear" w:color="auto" w:fill="FFFFFF"/>
                <w:lang w:val="af-ZA"/>
              </w:rPr>
              <w:t>:</w:t>
            </w:r>
          </w:p>
          <w:p w:rsidR="0084615D" w:rsidRPr="0053423A" w:rsidRDefault="0084615D" w:rsidP="00A67858">
            <w:pPr>
              <w:spacing w:after="0" w:line="276" w:lineRule="auto"/>
              <w:ind w:firstLine="735"/>
              <w:jc w:val="both"/>
              <w:rPr>
                <w:color w:val="000000"/>
                <w:sz w:val="20"/>
                <w:szCs w:val="20"/>
                <w:shd w:val="clear" w:color="auto" w:fill="FFFFFF"/>
                <w:lang w:val="af-ZA"/>
              </w:rPr>
            </w:pPr>
            <w:r w:rsidRPr="0053423A">
              <w:rPr>
                <w:rFonts w:eastAsia="Times New Roman"/>
                <w:color w:val="000000"/>
                <w:sz w:val="20"/>
                <w:szCs w:val="20"/>
                <w:shd w:val="clear" w:color="auto" w:fill="FFFFFF"/>
              </w:rPr>
              <w:t>Ավելի</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rPr>
              <w:t>թափանցիկ</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rPr>
              <w:t>և</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rPr>
              <w:t>հաշվետվողական</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rPr>
              <w:t>պետական</w:t>
            </w:r>
            <w:r w:rsidRPr="0053423A">
              <w:rPr>
                <w:rFonts w:ascii="Calibri" w:eastAsia="Times New Roman" w:hAnsi="Calibri" w:cs="Calibri"/>
                <w:color w:val="000000"/>
                <w:sz w:val="20"/>
                <w:szCs w:val="20"/>
                <w:lang w:val="af-ZA"/>
              </w:rPr>
              <w:t> </w:t>
            </w:r>
            <w:r w:rsidRPr="0053423A">
              <w:rPr>
                <w:rFonts w:eastAsia="Times New Roman" w:cs="GHEA Grapalat"/>
                <w:color w:val="000000"/>
                <w:sz w:val="20"/>
                <w:szCs w:val="20"/>
                <w:lang w:val="af-ZA"/>
              </w:rPr>
              <w:t xml:space="preserve"> </w:t>
            </w:r>
            <w:r w:rsidRPr="0053423A">
              <w:rPr>
                <w:rFonts w:eastAsia="Times New Roman"/>
                <w:color w:val="000000"/>
                <w:sz w:val="20"/>
                <w:szCs w:val="20"/>
              </w:rPr>
              <w:t>համակարգի</w:t>
            </w:r>
            <w:r w:rsidRPr="0053423A">
              <w:rPr>
                <w:rFonts w:eastAsia="Times New Roman"/>
                <w:color w:val="000000"/>
                <w:sz w:val="20"/>
                <w:szCs w:val="20"/>
                <w:lang w:val="af-ZA"/>
              </w:rPr>
              <w:t xml:space="preserve"> </w:t>
            </w:r>
            <w:r w:rsidRPr="0053423A">
              <w:rPr>
                <w:rFonts w:eastAsia="Times New Roman"/>
                <w:color w:val="000000"/>
                <w:sz w:val="20"/>
                <w:szCs w:val="20"/>
              </w:rPr>
              <w:t>ներդրման</w:t>
            </w:r>
            <w:r w:rsidRPr="0053423A">
              <w:rPr>
                <w:rFonts w:eastAsia="Times New Roman"/>
                <w:color w:val="000000"/>
                <w:sz w:val="20"/>
                <w:szCs w:val="20"/>
                <w:lang w:val="af-ZA"/>
              </w:rPr>
              <w:t xml:space="preserve"> </w:t>
            </w:r>
            <w:r w:rsidRPr="0053423A">
              <w:rPr>
                <w:rFonts w:eastAsia="Times New Roman"/>
                <w:color w:val="000000"/>
                <w:sz w:val="20"/>
                <w:szCs w:val="20"/>
              </w:rPr>
              <w:t>նպատակով</w:t>
            </w:r>
            <w:r w:rsidRPr="0053423A">
              <w:rPr>
                <w:rFonts w:eastAsia="Times New Roman"/>
                <w:color w:val="000000"/>
                <w:sz w:val="20"/>
                <w:szCs w:val="20"/>
                <w:lang w:val="af-ZA"/>
              </w:rPr>
              <w:t xml:space="preserve"> </w:t>
            </w:r>
            <w:r w:rsidRPr="0053423A">
              <w:rPr>
                <w:rFonts w:eastAsia="Times New Roman"/>
                <w:color w:val="000000"/>
                <w:sz w:val="20"/>
                <w:szCs w:val="20"/>
              </w:rPr>
              <w:t>անհրաժեշտ</w:t>
            </w:r>
            <w:r w:rsidRPr="0053423A">
              <w:rPr>
                <w:rFonts w:eastAsia="Times New Roman"/>
                <w:color w:val="000000"/>
                <w:sz w:val="20"/>
                <w:szCs w:val="20"/>
                <w:lang w:val="af-ZA"/>
              </w:rPr>
              <w:t xml:space="preserve"> </w:t>
            </w:r>
            <w:r w:rsidRPr="0053423A">
              <w:rPr>
                <w:rFonts w:eastAsia="Times New Roman"/>
                <w:color w:val="000000"/>
                <w:sz w:val="20"/>
                <w:szCs w:val="20"/>
              </w:rPr>
              <w:t>է</w:t>
            </w:r>
            <w:r w:rsidRPr="0053423A">
              <w:rPr>
                <w:rFonts w:eastAsia="Times New Roman"/>
                <w:color w:val="000000"/>
                <w:sz w:val="20"/>
                <w:szCs w:val="20"/>
                <w:lang w:val="af-ZA"/>
              </w:rPr>
              <w:t xml:space="preserve"> </w:t>
            </w:r>
            <w:r w:rsidRPr="0053423A">
              <w:rPr>
                <w:rFonts w:eastAsia="Times New Roman"/>
                <w:color w:val="000000"/>
                <w:sz w:val="20"/>
                <w:szCs w:val="20"/>
                <w:shd w:val="clear" w:color="auto" w:fill="FFFFFF"/>
              </w:rPr>
              <w:t>ամրագրել</w:t>
            </w:r>
            <w:r w:rsidRPr="0053423A">
              <w:rPr>
                <w:rFonts w:eastAsia="Times New Roman"/>
                <w:color w:val="000000"/>
                <w:sz w:val="20"/>
                <w:szCs w:val="20"/>
                <w:lang w:val="af-ZA"/>
              </w:rPr>
              <w:t xml:space="preserve"> </w:t>
            </w:r>
            <w:r w:rsidRPr="0053423A">
              <w:rPr>
                <w:rFonts w:eastAsia="Times New Roman"/>
                <w:color w:val="000000"/>
                <w:sz w:val="20"/>
                <w:szCs w:val="20"/>
                <w:shd w:val="clear" w:color="auto" w:fill="FFFFFF"/>
              </w:rPr>
              <w:t>ոլորտային</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rPr>
              <w:t>օրենսդրական</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rPr>
              <w:t>համապարփակ</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rPr>
              <w:t>կարգավորումներ</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rPr>
              <w:t>համաձայն</w:t>
            </w:r>
            <w:r w:rsidRPr="0053423A">
              <w:rPr>
                <w:rFonts w:eastAsia="Times New Roman"/>
                <w:color w:val="000000"/>
                <w:sz w:val="20"/>
                <w:szCs w:val="20"/>
                <w:shd w:val="clear" w:color="auto" w:fill="FFFFFF"/>
                <w:lang w:val="af-ZA"/>
              </w:rPr>
              <w:t xml:space="preserve"> </w:t>
            </w:r>
            <w:r w:rsidRPr="0053423A">
              <w:rPr>
                <w:color w:val="000000"/>
                <w:sz w:val="20"/>
                <w:szCs w:val="20"/>
                <w:shd w:val="clear" w:color="auto" w:fill="FFFFFF"/>
              </w:rPr>
              <w:t>որ</w:t>
            </w:r>
            <w:r w:rsidRPr="0053423A">
              <w:rPr>
                <w:color w:val="000000"/>
                <w:sz w:val="20"/>
                <w:szCs w:val="20"/>
                <w:shd w:val="clear" w:color="auto" w:fill="FFFFFF"/>
                <w:lang w:val="ru-RU"/>
              </w:rPr>
              <w:t>ոնց</w:t>
            </w:r>
            <w:r w:rsidRPr="0053423A">
              <w:rPr>
                <w:color w:val="000000"/>
                <w:sz w:val="20"/>
                <w:szCs w:val="20"/>
                <w:shd w:val="clear" w:color="auto" w:fill="FFFFFF"/>
                <w:lang w:val="af-ZA"/>
              </w:rPr>
              <w:t xml:space="preserve"> </w:t>
            </w:r>
            <w:r w:rsidRPr="0053423A">
              <w:rPr>
                <w:color w:val="000000"/>
                <w:sz w:val="20"/>
                <w:szCs w:val="20"/>
                <w:shd w:val="clear" w:color="auto" w:fill="FFFFFF"/>
              </w:rPr>
              <w:t>ոչ</w:t>
            </w:r>
            <w:r w:rsidRPr="0053423A">
              <w:rPr>
                <w:color w:val="000000"/>
                <w:sz w:val="20"/>
                <w:szCs w:val="20"/>
                <w:shd w:val="clear" w:color="auto" w:fill="FFFFFF"/>
                <w:lang w:val="af-ZA"/>
              </w:rPr>
              <w:t xml:space="preserve"> </w:t>
            </w:r>
            <w:r w:rsidRPr="0053423A">
              <w:rPr>
                <w:color w:val="000000"/>
                <w:sz w:val="20"/>
                <w:szCs w:val="20"/>
                <w:shd w:val="clear" w:color="auto" w:fill="FFFFFF"/>
              </w:rPr>
              <w:t>մետաղական</w:t>
            </w:r>
            <w:r w:rsidRPr="0053423A">
              <w:rPr>
                <w:color w:val="000000"/>
                <w:sz w:val="20"/>
                <w:szCs w:val="20"/>
                <w:shd w:val="clear" w:color="auto" w:fill="FFFFFF"/>
                <w:lang w:val="af-ZA"/>
              </w:rPr>
              <w:t xml:space="preserve"> </w:t>
            </w:r>
            <w:r w:rsidRPr="0053423A">
              <w:rPr>
                <w:color w:val="000000"/>
                <w:sz w:val="20"/>
                <w:szCs w:val="20"/>
                <w:shd w:val="clear" w:color="auto" w:fill="FFFFFF"/>
              </w:rPr>
              <w:t>օգտակար</w:t>
            </w:r>
            <w:r w:rsidRPr="0053423A">
              <w:rPr>
                <w:color w:val="000000"/>
                <w:sz w:val="20"/>
                <w:szCs w:val="20"/>
                <w:shd w:val="clear" w:color="auto" w:fill="FFFFFF"/>
                <w:lang w:val="af-ZA"/>
              </w:rPr>
              <w:t xml:space="preserve"> </w:t>
            </w:r>
            <w:r w:rsidRPr="0053423A">
              <w:rPr>
                <w:color w:val="000000"/>
                <w:sz w:val="20"/>
                <w:szCs w:val="20"/>
                <w:shd w:val="clear" w:color="auto" w:fill="FFFFFF"/>
              </w:rPr>
              <w:t>հանածո</w:t>
            </w:r>
            <w:r w:rsidRPr="0053423A">
              <w:rPr>
                <w:color w:val="000000"/>
                <w:sz w:val="20"/>
                <w:szCs w:val="20"/>
                <w:shd w:val="clear" w:color="auto" w:fill="FFFFFF"/>
                <w:lang w:val="af-ZA"/>
              </w:rPr>
              <w:t xml:space="preserve"> </w:t>
            </w:r>
            <w:r w:rsidRPr="0053423A">
              <w:rPr>
                <w:color w:val="000000"/>
                <w:sz w:val="20"/>
                <w:szCs w:val="20"/>
                <w:shd w:val="clear" w:color="auto" w:fill="FFFFFF"/>
              </w:rPr>
              <w:t>արդյունահանող</w:t>
            </w:r>
            <w:r w:rsidRPr="0053423A">
              <w:rPr>
                <w:color w:val="000000"/>
                <w:sz w:val="20"/>
                <w:szCs w:val="20"/>
                <w:shd w:val="clear" w:color="auto" w:fill="FFFFFF"/>
                <w:lang w:val="af-ZA"/>
              </w:rPr>
              <w:t xml:space="preserve"> </w:t>
            </w:r>
            <w:r w:rsidRPr="0053423A">
              <w:rPr>
                <w:color w:val="000000"/>
                <w:sz w:val="20"/>
                <w:szCs w:val="20"/>
                <w:shd w:val="clear" w:color="auto" w:fill="FFFFFF"/>
              </w:rPr>
              <w:t>ընդերքօգտագործողների</w:t>
            </w:r>
            <w:r w:rsidRPr="0053423A">
              <w:rPr>
                <w:color w:val="000000"/>
                <w:sz w:val="20"/>
                <w:szCs w:val="20"/>
                <w:shd w:val="clear" w:color="auto" w:fill="FFFFFF"/>
                <w:lang w:val="af-ZA"/>
              </w:rPr>
              <w:t xml:space="preserve"> </w:t>
            </w:r>
            <w:r w:rsidRPr="0053423A">
              <w:rPr>
                <w:color w:val="000000"/>
                <w:sz w:val="20"/>
                <w:szCs w:val="20"/>
                <w:shd w:val="clear" w:color="auto" w:fill="FFFFFF"/>
              </w:rPr>
              <w:t>հետ</w:t>
            </w:r>
            <w:r w:rsidRPr="0053423A">
              <w:rPr>
                <w:color w:val="000000"/>
                <w:sz w:val="20"/>
                <w:szCs w:val="20"/>
                <w:shd w:val="clear" w:color="auto" w:fill="FFFFFF"/>
                <w:lang w:val="af-ZA"/>
              </w:rPr>
              <w:t xml:space="preserve"> </w:t>
            </w:r>
            <w:r w:rsidRPr="0053423A">
              <w:rPr>
                <w:color w:val="000000"/>
                <w:sz w:val="20"/>
                <w:szCs w:val="20"/>
                <w:shd w:val="clear" w:color="auto" w:fill="FFFFFF"/>
              </w:rPr>
              <w:t>կնքված</w:t>
            </w:r>
            <w:r w:rsidRPr="0053423A">
              <w:rPr>
                <w:color w:val="000000"/>
                <w:sz w:val="20"/>
                <w:szCs w:val="20"/>
                <w:shd w:val="clear" w:color="auto" w:fill="FFFFFF"/>
                <w:lang w:val="af-ZA"/>
              </w:rPr>
              <w:t xml:space="preserve"> </w:t>
            </w:r>
            <w:r w:rsidRPr="0053423A">
              <w:rPr>
                <w:color w:val="000000"/>
                <w:sz w:val="20"/>
                <w:szCs w:val="20"/>
                <w:shd w:val="clear" w:color="auto" w:fill="FFFFFF"/>
              </w:rPr>
              <w:t>ընդերքօգտագործման</w:t>
            </w:r>
            <w:r w:rsidRPr="0053423A">
              <w:rPr>
                <w:color w:val="000000"/>
                <w:sz w:val="20"/>
                <w:szCs w:val="20"/>
                <w:shd w:val="clear" w:color="auto" w:fill="FFFFFF"/>
                <w:lang w:val="af-ZA"/>
              </w:rPr>
              <w:t xml:space="preserve"> </w:t>
            </w:r>
            <w:r w:rsidRPr="0053423A">
              <w:rPr>
                <w:color w:val="000000"/>
                <w:sz w:val="20"/>
                <w:szCs w:val="20"/>
                <w:shd w:val="clear" w:color="auto" w:fill="FFFFFF"/>
              </w:rPr>
              <w:t>պայմանագրերը</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ևս</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կհրապարակվեն</w:t>
            </w:r>
            <w:r w:rsidRPr="0053423A">
              <w:rPr>
                <w:color w:val="000000"/>
                <w:sz w:val="20"/>
                <w:szCs w:val="20"/>
                <w:shd w:val="clear" w:color="auto" w:fill="FFFFFF"/>
                <w:lang w:val="af-ZA"/>
              </w:rPr>
              <w:t xml:space="preserve"> </w:t>
            </w:r>
            <w:r w:rsidRPr="0053423A">
              <w:rPr>
                <w:color w:val="000000"/>
                <w:sz w:val="20"/>
                <w:szCs w:val="20"/>
                <w:shd w:val="clear" w:color="auto" w:fill="FFFFFF"/>
              </w:rPr>
              <w:t>Լիազոր</w:t>
            </w:r>
            <w:r w:rsidRPr="0053423A">
              <w:rPr>
                <w:color w:val="000000"/>
                <w:sz w:val="20"/>
                <w:szCs w:val="20"/>
                <w:shd w:val="clear" w:color="auto" w:fill="FFFFFF"/>
                <w:lang w:val="af-ZA"/>
              </w:rPr>
              <w:t xml:space="preserve"> </w:t>
            </w:r>
            <w:r w:rsidRPr="0053423A">
              <w:rPr>
                <w:color w:val="000000"/>
                <w:sz w:val="20"/>
                <w:szCs w:val="20"/>
                <w:shd w:val="clear" w:color="auto" w:fill="FFFFFF"/>
              </w:rPr>
              <w:t>մարմ</w:t>
            </w:r>
            <w:r w:rsidRPr="0053423A">
              <w:rPr>
                <w:color w:val="000000"/>
                <w:sz w:val="20"/>
                <w:szCs w:val="20"/>
                <w:shd w:val="clear" w:color="auto" w:fill="FFFFFF"/>
                <w:lang w:val="ru-RU"/>
              </w:rPr>
              <w:t>ն</w:t>
            </w:r>
            <w:r w:rsidRPr="0053423A">
              <w:rPr>
                <w:color w:val="000000"/>
                <w:sz w:val="20"/>
                <w:szCs w:val="20"/>
                <w:shd w:val="clear" w:color="auto" w:fill="FFFFFF"/>
              </w:rPr>
              <w:t>ի</w:t>
            </w:r>
            <w:r w:rsidRPr="0053423A">
              <w:rPr>
                <w:color w:val="000000"/>
                <w:sz w:val="20"/>
                <w:szCs w:val="20"/>
                <w:shd w:val="clear" w:color="auto" w:fill="FFFFFF"/>
                <w:lang w:val="af-ZA"/>
              </w:rPr>
              <w:t xml:space="preserve"> </w:t>
            </w:r>
            <w:r w:rsidRPr="0053423A">
              <w:rPr>
                <w:color w:val="000000"/>
                <w:sz w:val="20"/>
                <w:szCs w:val="20"/>
                <w:shd w:val="clear" w:color="auto" w:fill="FFFFFF"/>
              </w:rPr>
              <w:t>պաշտոնական</w:t>
            </w:r>
            <w:r w:rsidRPr="0053423A">
              <w:rPr>
                <w:color w:val="000000"/>
                <w:sz w:val="20"/>
                <w:szCs w:val="20"/>
                <w:shd w:val="clear" w:color="auto" w:fill="FFFFFF"/>
                <w:lang w:val="af-ZA"/>
              </w:rPr>
              <w:t xml:space="preserve"> </w:t>
            </w:r>
            <w:r w:rsidRPr="0053423A">
              <w:rPr>
                <w:color w:val="000000"/>
                <w:sz w:val="20"/>
                <w:szCs w:val="20"/>
                <w:shd w:val="clear" w:color="auto" w:fill="FFFFFF"/>
              </w:rPr>
              <w:t>ինտերնետային</w:t>
            </w:r>
            <w:r w:rsidRPr="0053423A">
              <w:rPr>
                <w:color w:val="000000"/>
                <w:sz w:val="20"/>
                <w:szCs w:val="20"/>
                <w:shd w:val="clear" w:color="auto" w:fill="FFFFFF"/>
                <w:lang w:val="af-ZA"/>
              </w:rPr>
              <w:t xml:space="preserve"> </w:t>
            </w:r>
            <w:r w:rsidRPr="0053423A">
              <w:rPr>
                <w:color w:val="000000"/>
                <w:sz w:val="20"/>
                <w:szCs w:val="20"/>
                <w:shd w:val="clear" w:color="auto" w:fill="FFFFFF"/>
              </w:rPr>
              <w:t>կայքում</w:t>
            </w:r>
            <w:r w:rsidRPr="0053423A">
              <w:rPr>
                <w:color w:val="000000"/>
                <w:sz w:val="20"/>
                <w:szCs w:val="20"/>
                <w:shd w:val="clear" w:color="auto" w:fill="FFFFFF"/>
                <w:lang w:val="af-ZA"/>
              </w:rPr>
              <w:t>:</w:t>
            </w:r>
          </w:p>
          <w:p w:rsidR="0084615D" w:rsidRPr="0053423A" w:rsidRDefault="0084615D" w:rsidP="001F6D5D">
            <w:pPr>
              <w:pStyle w:val="ListParagraph"/>
              <w:numPr>
                <w:ilvl w:val="1"/>
                <w:numId w:val="291"/>
              </w:numPr>
              <w:tabs>
                <w:tab w:val="left" w:pos="900"/>
                <w:tab w:val="left" w:pos="1620"/>
              </w:tabs>
              <w:spacing w:after="0" w:line="276" w:lineRule="auto"/>
              <w:ind w:left="0" w:firstLine="735"/>
              <w:rPr>
                <w:rFonts w:eastAsia="Times New Roman"/>
                <w:b/>
                <w:sz w:val="20"/>
                <w:szCs w:val="20"/>
                <w:lang w:val="af-ZA"/>
              </w:rPr>
            </w:pPr>
            <w:r w:rsidRPr="0053423A">
              <w:rPr>
                <w:rFonts w:eastAsia="Times New Roman" w:cs="Sylfaen"/>
                <w:b/>
                <w:sz w:val="20"/>
                <w:szCs w:val="20"/>
                <w:lang w:val="hy-AM"/>
              </w:rPr>
              <w:t>Կարգավորման</w:t>
            </w:r>
            <w:r w:rsidRPr="0053423A">
              <w:rPr>
                <w:rFonts w:eastAsia="Times New Roman"/>
                <w:b/>
                <w:sz w:val="20"/>
                <w:szCs w:val="20"/>
                <w:lang w:val="af-ZA"/>
              </w:rPr>
              <w:t xml:space="preserve"> </w:t>
            </w:r>
            <w:r w:rsidRPr="0053423A">
              <w:rPr>
                <w:rFonts w:eastAsia="Times New Roman" w:cs="Sylfaen"/>
                <w:b/>
                <w:sz w:val="20"/>
                <w:szCs w:val="20"/>
                <w:lang w:val="hy-AM"/>
              </w:rPr>
              <w:t>հարաբերությունների</w:t>
            </w:r>
            <w:r w:rsidRPr="0053423A">
              <w:rPr>
                <w:rFonts w:eastAsia="Times New Roman"/>
                <w:b/>
                <w:sz w:val="20"/>
                <w:szCs w:val="20"/>
                <w:lang w:val="af-ZA"/>
              </w:rPr>
              <w:t xml:space="preserve"> </w:t>
            </w:r>
            <w:r w:rsidRPr="0053423A">
              <w:rPr>
                <w:rFonts w:eastAsia="Times New Roman" w:cs="Sylfaen"/>
                <w:b/>
                <w:sz w:val="20"/>
                <w:szCs w:val="20"/>
                <w:lang w:val="hy-AM"/>
              </w:rPr>
              <w:t>ներկա</w:t>
            </w:r>
            <w:r w:rsidRPr="0053423A">
              <w:rPr>
                <w:rFonts w:eastAsia="Times New Roman"/>
                <w:b/>
                <w:sz w:val="20"/>
                <w:szCs w:val="20"/>
                <w:lang w:val="af-ZA"/>
              </w:rPr>
              <w:t xml:space="preserve"> </w:t>
            </w:r>
            <w:r w:rsidRPr="0053423A">
              <w:rPr>
                <w:rFonts w:eastAsia="Times New Roman" w:cs="Sylfaen"/>
                <w:b/>
                <w:sz w:val="20"/>
                <w:szCs w:val="20"/>
                <w:lang w:val="hy-AM"/>
              </w:rPr>
              <w:t>վիճակը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առկա</w:t>
            </w:r>
            <w:r w:rsidRPr="0053423A">
              <w:rPr>
                <w:rFonts w:eastAsia="Times New Roman"/>
                <w:b/>
                <w:sz w:val="20"/>
                <w:szCs w:val="20"/>
                <w:lang w:val="af-ZA"/>
              </w:rPr>
              <w:t xml:space="preserve"> </w:t>
            </w:r>
            <w:r w:rsidRPr="0053423A">
              <w:rPr>
                <w:rFonts w:eastAsia="Times New Roman" w:cs="Sylfaen"/>
                <w:b/>
                <w:sz w:val="20"/>
                <w:szCs w:val="20"/>
                <w:lang w:val="hy-AM"/>
              </w:rPr>
              <w:t>խնդիրները</w:t>
            </w:r>
          </w:p>
          <w:p w:rsidR="0084615D" w:rsidRPr="0053423A" w:rsidRDefault="0084615D" w:rsidP="00A67858">
            <w:pPr>
              <w:spacing w:after="0" w:line="276" w:lineRule="auto"/>
              <w:ind w:firstLine="735"/>
              <w:jc w:val="both"/>
              <w:rPr>
                <w:color w:val="000000"/>
                <w:sz w:val="20"/>
                <w:szCs w:val="20"/>
                <w:shd w:val="clear" w:color="auto" w:fill="FFFFFF"/>
                <w:lang w:val="af-ZA"/>
              </w:rPr>
            </w:pPr>
            <w:r w:rsidRPr="0053423A">
              <w:rPr>
                <w:rFonts w:cs="Sylfaen"/>
                <w:bCs/>
                <w:iCs/>
                <w:sz w:val="20"/>
                <w:szCs w:val="20"/>
                <w:lang w:val="hy-AM"/>
              </w:rPr>
              <w:t xml:space="preserve">Ներկայումս </w:t>
            </w:r>
            <w:r w:rsidRPr="0053423A">
              <w:rPr>
                <w:color w:val="000000"/>
                <w:sz w:val="20"/>
                <w:szCs w:val="20"/>
                <w:shd w:val="clear" w:color="auto" w:fill="FFFFFF"/>
              </w:rPr>
              <w:t>Լիազոր</w:t>
            </w:r>
            <w:r w:rsidRPr="0053423A">
              <w:rPr>
                <w:color w:val="000000"/>
                <w:sz w:val="20"/>
                <w:szCs w:val="20"/>
                <w:shd w:val="clear" w:color="auto" w:fill="FFFFFF"/>
                <w:lang w:val="af-ZA"/>
              </w:rPr>
              <w:t xml:space="preserve"> </w:t>
            </w:r>
            <w:r w:rsidRPr="0053423A">
              <w:rPr>
                <w:color w:val="000000"/>
                <w:sz w:val="20"/>
                <w:szCs w:val="20"/>
                <w:shd w:val="clear" w:color="auto" w:fill="FFFFFF"/>
              </w:rPr>
              <w:t>մարմ</w:t>
            </w:r>
            <w:r w:rsidRPr="0053423A">
              <w:rPr>
                <w:color w:val="000000"/>
                <w:sz w:val="20"/>
                <w:szCs w:val="20"/>
                <w:shd w:val="clear" w:color="auto" w:fill="FFFFFF"/>
                <w:lang w:val="ru-RU"/>
              </w:rPr>
              <w:t>ն</w:t>
            </w:r>
            <w:r w:rsidRPr="0053423A">
              <w:rPr>
                <w:color w:val="000000"/>
                <w:sz w:val="20"/>
                <w:szCs w:val="20"/>
                <w:shd w:val="clear" w:color="auto" w:fill="FFFFFF"/>
              </w:rPr>
              <w:t>ի</w:t>
            </w:r>
            <w:r w:rsidRPr="0053423A">
              <w:rPr>
                <w:color w:val="000000"/>
                <w:sz w:val="20"/>
                <w:szCs w:val="20"/>
                <w:shd w:val="clear" w:color="auto" w:fill="FFFFFF"/>
                <w:lang w:val="af-ZA"/>
              </w:rPr>
              <w:t xml:space="preserve"> </w:t>
            </w:r>
            <w:r w:rsidRPr="0053423A">
              <w:rPr>
                <w:color w:val="000000"/>
                <w:sz w:val="20"/>
                <w:szCs w:val="20"/>
                <w:shd w:val="clear" w:color="auto" w:fill="FFFFFF"/>
              </w:rPr>
              <w:t>պաշտոնական</w:t>
            </w:r>
            <w:r w:rsidRPr="0053423A">
              <w:rPr>
                <w:color w:val="000000"/>
                <w:sz w:val="20"/>
                <w:szCs w:val="20"/>
                <w:shd w:val="clear" w:color="auto" w:fill="FFFFFF"/>
                <w:lang w:val="af-ZA"/>
              </w:rPr>
              <w:t xml:space="preserve"> </w:t>
            </w:r>
            <w:r w:rsidRPr="0053423A">
              <w:rPr>
                <w:color w:val="000000"/>
                <w:sz w:val="20"/>
                <w:szCs w:val="20"/>
                <w:shd w:val="clear" w:color="auto" w:fill="FFFFFF"/>
              </w:rPr>
              <w:t>ինտերնետային</w:t>
            </w:r>
            <w:r w:rsidRPr="0053423A">
              <w:rPr>
                <w:color w:val="000000"/>
                <w:sz w:val="20"/>
                <w:szCs w:val="20"/>
                <w:shd w:val="clear" w:color="auto" w:fill="FFFFFF"/>
                <w:lang w:val="af-ZA"/>
              </w:rPr>
              <w:t xml:space="preserve"> </w:t>
            </w:r>
            <w:r w:rsidRPr="0053423A">
              <w:rPr>
                <w:color w:val="000000"/>
                <w:sz w:val="20"/>
                <w:szCs w:val="20"/>
                <w:shd w:val="clear" w:color="auto" w:fill="FFFFFF"/>
              </w:rPr>
              <w:t>կայքում</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հրապարակված</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են</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միայն</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ոչ</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մետաղական</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օգտակար</w:t>
            </w:r>
            <w:r w:rsidRPr="0053423A">
              <w:rPr>
                <w:color w:val="000000"/>
                <w:sz w:val="20"/>
                <w:szCs w:val="20"/>
                <w:shd w:val="clear" w:color="auto" w:fill="FFFFFF"/>
                <w:lang w:val="af-ZA"/>
              </w:rPr>
              <w:t xml:space="preserve">  </w:t>
            </w:r>
            <w:r w:rsidRPr="0053423A">
              <w:rPr>
                <w:color w:val="000000"/>
                <w:sz w:val="20"/>
                <w:szCs w:val="20"/>
                <w:shd w:val="clear" w:color="auto" w:fill="FFFFFF"/>
              </w:rPr>
              <w:t>հանածո</w:t>
            </w:r>
            <w:r w:rsidRPr="0053423A">
              <w:rPr>
                <w:color w:val="000000"/>
                <w:sz w:val="20"/>
                <w:szCs w:val="20"/>
                <w:shd w:val="clear" w:color="auto" w:fill="FFFFFF"/>
                <w:lang w:val="af-ZA"/>
              </w:rPr>
              <w:t xml:space="preserve"> </w:t>
            </w:r>
            <w:r w:rsidRPr="0053423A">
              <w:rPr>
                <w:color w:val="000000"/>
                <w:sz w:val="20"/>
                <w:szCs w:val="20"/>
                <w:shd w:val="clear" w:color="auto" w:fill="FFFFFF"/>
              </w:rPr>
              <w:t>արդյունահանող</w:t>
            </w:r>
            <w:r w:rsidRPr="0053423A">
              <w:rPr>
                <w:color w:val="000000"/>
                <w:sz w:val="20"/>
                <w:szCs w:val="20"/>
                <w:shd w:val="clear" w:color="auto" w:fill="FFFFFF"/>
                <w:lang w:val="af-ZA"/>
              </w:rPr>
              <w:t xml:space="preserve"> </w:t>
            </w:r>
            <w:r w:rsidRPr="0053423A">
              <w:rPr>
                <w:color w:val="000000"/>
                <w:sz w:val="20"/>
                <w:szCs w:val="20"/>
                <w:shd w:val="clear" w:color="auto" w:fill="FFFFFF"/>
              </w:rPr>
              <w:t>ընդերքօգտագործողների</w:t>
            </w:r>
            <w:r w:rsidRPr="0053423A">
              <w:rPr>
                <w:color w:val="000000"/>
                <w:sz w:val="20"/>
                <w:szCs w:val="20"/>
                <w:shd w:val="clear" w:color="auto" w:fill="FFFFFF"/>
                <w:lang w:val="af-ZA"/>
              </w:rPr>
              <w:t xml:space="preserve"> </w:t>
            </w:r>
            <w:r w:rsidRPr="0053423A">
              <w:rPr>
                <w:color w:val="000000"/>
                <w:sz w:val="20"/>
                <w:szCs w:val="20"/>
                <w:shd w:val="clear" w:color="auto" w:fill="FFFFFF"/>
              </w:rPr>
              <w:t>հետ</w:t>
            </w:r>
            <w:r w:rsidRPr="0053423A">
              <w:rPr>
                <w:color w:val="000000"/>
                <w:sz w:val="20"/>
                <w:szCs w:val="20"/>
                <w:shd w:val="clear" w:color="auto" w:fill="FFFFFF"/>
                <w:lang w:val="af-ZA"/>
              </w:rPr>
              <w:t xml:space="preserve"> </w:t>
            </w:r>
            <w:r w:rsidRPr="0053423A">
              <w:rPr>
                <w:color w:val="000000"/>
                <w:sz w:val="20"/>
                <w:szCs w:val="20"/>
                <w:shd w:val="clear" w:color="auto" w:fill="FFFFFF"/>
              </w:rPr>
              <w:t>կնքված</w:t>
            </w:r>
            <w:r w:rsidRPr="0053423A">
              <w:rPr>
                <w:color w:val="000000"/>
                <w:sz w:val="20"/>
                <w:szCs w:val="20"/>
                <w:shd w:val="clear" w:color="auto" w:fill="FFFFFF"/>
                <w:lang w:val="af-ZA"/>
              </w:rPr>
              <w:t xml:space="preserve"> </w:t>
            </w:r>
            <w:r w:rsidRPr="0053423A">
              <w:rPr>
                <w:color w:val="000000"/>
                <w:sz w:val="20"/>
                <w:szCs w:val="20"/>
                <w:shd w:val="clear" w:color="auto" w:fill="FFFFFF"/>
              </w:rPr>
              <w:t>ընդերքօգտագործման</w:t>
            </w:r>
            <w:r w:rsidRPr="0053423A">
              <w:rPr>
                <w:color w:val="000000"/>
                <w:sz w:val="20"/>
                <w:szCs w:val="20"/>
                <w:shd w:val="clear" w:color="auto" w:fill="FFFFFF"/>
                <w:lang w:val="af-ZA"/>
              </w:rPr>
              <w:t xml:space="preserve"> </w:t>
            </w:r>
            <w:r w:rsidRPr="0053423A">
              <w:rPr>
                <w:color w:val="000000"/>
                <w:sz w:val="20"/>
                <w:szCs w:val="20"/>
                <w:shd w:val="clear" w:color="auto" w:fill="FFFFFF"/>
              </w:rPr>
              <w:t>պայմանագրերը</w:t>
            </w:r>
            <w:r w:rsidRPr="0053423A">
              <w:rPr>
                <w:color w:val="000000"/>
                <w:sz w:val="20"/>
                <w:szCs w:val="20"/>
                <w:shd w:val="clear" w:color="auto" w:fill="FFFFFF"/>
                <w:lang w:val="af-ZA"/>
              </w:rPr>
              <w:t xml:space="preserve">: </w:t>
            </w:r>
          </w:p>
          <w:p w:rsidR="0084615D" w:rsidRPr="0053423A" w:rsidRDefault="0084615D" w:rsidP="00A67858">
            <w:pPr>
              <w:pStyle w:val="ListParagraph"/>
              <w:tabs>
                <w:tab w:val="left" w:pos="900"/>
              </w:tabs>
              <w:spacing w:after="0" w:line="276" w:lineRule="auto"/>
              <w:ind w:left="0" w:firstLine="735"/>
              <w:rPr>
                <w:rFonts w:eastAsia="Times New Roman"/>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w:t>
            </w:r>
            <w:r w:rsidRPr="0053423A">
              <w:rPr>
                <w:rFonts w:eastAsia="Times New Roman" w:cs="Sylfaen"/>
                <w:b/>
                <w:sz w:val="20"/>
                <w:szCs w:val="20"/>
                <w:lang w:val="hy-AM"/>
              </w:rPr>
              <w:t>Առկա</w:t>
            </w:r>
            <w:r w:rsidRPr="0053423A">
              <w:rPr>
                <w:rFonts w:eastAsia="Times New Roman"/>
                <w:b/>
                <w:sz w:val="20"/>
                <w:szCs w:val="20"/>
                <w:lang w:val="af-ZA"/>
              </w:rPr>
              <w:t xml:space="preserve"> </w:t>
            </w:r>
            <w:r w:rsidRPr="0053423A">
              <w:rPr>
                <w:rFonts w:eastAsia="Times New Roman" w:cs="Sylfaen"/>
                <w:b/>
                <w:sz w:val="20"/>
                <w:szCs w:val="20"/>
                <w:lang w:val="hy-AM"/>
              </w:rPr>
              <w:t>խնդիրների</w:t>
            </w:r>
            <w:r w:rsidRPr="0053423A">
              <w:rPr>
                <w:rFonts w:eastAsia="Times New Roman"/>
                <w:b/>
                <w:sz w:val="20"/>
                <w:szCs w:val="20"/>
                <w:lang w:val="af-ZA"/>
              </w:rPr>
              <w:t xml:space="preserve"> </w:t>
            </w:r>
            <w:r w:rsidRPr="0053423A">
              <w:rPr>
                <w:rFonts w:eastAsia="Times New Roman" w:cs="Sylfaen"/>
                <w:b/>
                <w:sz w:val="20"/>
                <w:szCs w:val="20"/>
                <w:lang w:val="hy-AM"/>
              </w:rPr>
              <w:t>առաջարկվող</w:t>
            </w:r>
            <w:r w:rsidRPr="0053423A">
              <w:rPr>
                <w:rFonts w:eastAsia="Times New Roman"/>
                <w:b/>
                <w:sz w:val="20"/>
                <w:szCs w:val="20"/>
                <w:lang w:val="af-ZA"/>
              </w:rPr>
              <w:t xml:space="preserve"> </w:t>
            </w:r>
            <w:r w:rsidRPr="0053423A">
              <w:rPr>
                <w:rFonts w:eastAsia="Times New Roman" w:cs="Sylfaen"/>
                <w:b/>
                <w:sz w:val="20"/>
                <w:szCs w:val="20"/>
                <w:lang w:val="hy-AM"/>
              </w:rPr>
              <w:t>լուծումները</w:t>
            </w:r>
          </w:p>
          <w:p w:rsidR="0084615D" w:rsidRPr="0053423A" w:rsidRDefault="0084615D" w:rsidP="00A67858">
            <w:pPr>
              <w:spacing w:after="0" w:line="276" w:lineRule="auto"/>
              <w:ind w:firstLine="735"/>
              <w:jc w:val="both"/>
              <w:rPr>
                <w:color w:val="000000"/>
                <w:sz w:val="20"/>
                <w:szCs w:val="20"/>
                <w:shd w:val="clear" w:color="auto" w:fill="FFFFFF"/>
                <w:lang w:val="af-ZA"/>
              </w:rPr>
            </w:pPr>
            <w:r w:rsidRPr="0053423A">
              <w:rPr>
                <w:rFonts w:cs="GHEA Grapalat"/>
                <w:sz w:val="20"/>
                <w:szCs w:val="20"/>
                <w:lang w:val="ru-RU"/>
              </w:rPr>
              <w:t>Առաջարկվում</w:t>
            </w:r>
            <w:r w:rsidRPr="0053423A">
              <w:rPr>
                <w:rFonts w:cs="GHEA Grapalat"/>
                <w:sz w:val="20"/>
                <w:szCs w:val="20"/>
                <w:lang w:val="af-ZA"/>
              </w:rPr>
              <w:t xml:space="preserve"> </w:t>
            </w:r>
            <w:r w:rsidRPr="0053423A">
              <w:rPr>
                <w:rFonts w:cs="GHEA Grapalat"/>
                <w:sz w:val="20"/>
                <w:szCs w:val="20"/>
                <w:lang w:val="ru-RU"/>
              </w:rPr>
              <w:t>է</w:t>
            </w:r>
            <w:r w:rsidRPr="0053423A">
              <w:rPr>
                <w:rFonts w:cs="GHEA Grapalat"/>
                <w:sz w:val="20"/>
                <w:szCs w:val="20"/>
                <w:lang w:val="af-ZA"/>
              </w:rPr>
              <w:t xml:space="preserve"> </w:t>
            </w:r>
            <w:r w:rsidRPr="0053423A">
              <w:rPr>
                <w:rFonts w:cs="GHEA Grapalat"/>
                <w:sz w:val="20"/>
                <w:szCs w:val="20"/>
                <w:lang w:val="ru-RU"/>
              </w:rPr>
              <w:t>մշակել</w:t>
            </w:r>
            <w:r w:rsidRPr="0053423A">
              <w:rPr>
                <w:rFonts w:cs="GHEA Grapalat"/>
                <w:sz w:val="20"/>
                <w:szCs w:val="20"/>
                <w:lang w:val="af-ZA"/>
              </w:rPr>
              <w:t xml:space="preserve"> </w:t>
            </w:r>
            <w:r w:rsidRPr="0053423A">
              <w:rPr>
                <w:rFonts w:cs="GHEA Grapalat"/>
                <w:sz w:val="20"/>
                <w:szCs w:val="20"/>
                <w:lang w:val="ru-RU"/>
              </w:rPr>
              <w:t>օրենսդրական</w:t>
            </w:r>
            <w:r w:rsidRPr="0053423A">
              <w:rPr>
                <w:rFonts w:cs="GHEA Grapalat"/>
                <w:sz w:val="20"/>
                <w:szCs w:val="20"/>
                <w:lang w:val="af-ZA"/>
              </w:rPr>
              <w:t xml:space="preserve"> </w:t>
            </w:r>
            <w:r w:rsidRPr="0053423A">
              <w:rPr>
                <w:rFonts w:cs="GHEA Grapalat"/>
                <w:sz w:val="20"/>
                <w:szCs w:val="20"/>
                <w:lang w:val="ru-RU"/>
              </w:rPr>
              <w:t>փաթեթ</w:t>
            </w:r>
            <w:r w:rsidRPr="0053423A">
              <w:rPr>
                <w:rFonts w:cs="GHEA Grapalat"/>
                <w:sz w:val="20"/>
                <w:szCs w:val="20"/>
                <w:lang w:val="af-ZA"/>
              </w:rPr>
              <w:t xml:space="preserve">, </w:t>
            </w:r>
            <w:r w:rsidRPr="0053423A">
              <w:rPr>
                <w:rFonts w:cs="GHEA Grapalat"/>
                <w:sz w:val="20"/>
                <w:szCs w:val="20"/>
                <w:lang w:val="ru-RU"/>
              </w:rPr>
              <w:t>որի</w:t>
            </w:r>
            <w:r w:rsidRPr="0053423A">
              <w:rPr>
                <w:rFonts w:cs="GHEA Grapalat"/>
                <w:sz w:val="20"/>
                <w:szCs w:val="20"/>
                <w:lang w:val="af-ZA"/>
              </w:rPr>
              <w:t xml:space="preserve"> </w:t>
            </w:r>
            <w:r w:rsidRPr="0053423A">
              <w:rPr>
                <w:rFonts w:cs="GHEA Grapalat"/>
                <w:sz w:val="20"/>
                <w:szCs w:val="20"/>
                <w:lang w:val="ru-RU"/>
              </w:rPr>
              <w:t>ընդունումից</w:t>
            </w:r>
            <w:r w:rsidRPr="0053423A">
              <w:rPr>
                <w:rFonts w:cs="GHEA Grapalat"/>
                <w:sz w:val="20"/>
                <w:szCs w:val="20"/>
                <w:lang w:val="af-ZA"/>
              </w:rPr>
              <w:t xml:space="preserve"> </w:t>
            </w:r>
            <w:r w:rsidRPr="0053423A">
              <w:rPr>
                <w:rFonts w:cs="GHEA Grapalat"/>
                <w:sz w:val="20"/>
                <w:szCs w:val="20"/>
                <w:lang w:val="ru-RU"/>
              </w:rPr>
              <w:t>հետո</w:t>
            </w:r>
            <w:r w:rsidRPr="0053423A">
              <w:rPr>
                <w:rFonts w:cs="GHEA Grapalat"/>
                <w:sz w:val="20"/>
                <w:szCs w:val="20"/>
                <w:lang w:val="af-ZA"/>
              </w:rPr>
              <w:t xml:space="preserve"> </w:t>
            </w:r>
            <w:r w:rsidRPr="0053423A">
              <w:rPr>
                <w:rFonts w:cs="GHEA Grapalat"/>
                <w:sz w:val="20"/>
                <w:szCs w:val="20"/>
                <w:lang w:val="ru-RU"/>
              </w:rPr>
              <w:t>ո</w:t>
            </w:r>
            <w:r w:rsidRPr="0053423A">
              <w:rPr>
                <w:color w:val="000000"/>
                <w:sz w:val="20"/>
                <w:szCs w:val="20"/>
                <w:shd w:val="clear" w:color="auto" w:fill="FFFFFF"/>
                <w:lang w:val="ru-RU"/>
              </w:rPr>
              <w:t>լորտի</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թափանցիկությունն</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և</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հաշվետվողականության</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բարձրացումը</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ապահովելու</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նպատակով</w:t>
            </w:r>
            <w:r w:rsidRPr="0053423A">
              <w:rPr>
                <w:color w:val="000000"/>
                <w:sz w:val="20"/>
                <w:szCs w:val="20"/>
                <w:shd w:val="clear" w:color="auto" w:fill="FFFFFF"/>
                <w:lang w:val="af-ZA"/>
              </w:rPr>
              <w:t xml:space="preserve"> </w:t>
            </w:r>
            <w:r w:rsidRPr="0053423A">
              <w:rPr>
                <w:color w:val="000000"/>
                <w:sz w:val="20"/>
                <w:szCs w:val="20"/>
                <w:shd w:val="clear" w:color="auto" w:fill="FFFFFF"/>
              </w:rPr>
              <w:t>Լիազոր</w:t>
            </w:r>
            <w:r w:rsidRPr="0053423A">
              <w:rPr>
                <w:color w:val="000000"/>
                <w:sz w:val="20"/>
                <w:szCs w:val="20"/>
                <w:shd w:val="clear" w:color="auto" w:fill="FFFFFF"/>
                <w:lang w:val="af-ZA"/>
              </w:rPr>
              <w:t xml:space="preserve"> </w:t>
            </w:r>
            <w:r w:rsidRPr="0053423A">
              <w:rPr>
                <w:color w:val="000000"/>
                <w:sz w:val="20"/>
                <w:szCs w:val="20"/>
                <w:shd w:val="clear" w:color="auto" w:fill="FFFFFF"/>
              </w:rPr>
              <w:t>մարմ</w:t>
            </w:r>
            <w:r w:rsidRPr="0053423A">
              <w:rPr>
                <w:color w:val="000000"/>
                <w:sz w:val="20"/>
                <w:szCs w:val="20"/>
                <w:shd w:val="clear" w:color="auto" w:fill="FFFFFF"/>
                <w:lang w:val="ru-RU"/>
              </w:rPr>
              <w:t>ն</w:t>
            </w:r>
            <w:r w:rsidRPr="0053423A">
              <w:rPr>
                <w:color w:val="000000"/>
                <w:sz w:val="20"/>
                <w:szCs w:val="20"/>
                <w:shd w:val="clear" w:color="auto" w:fill="FFFFFF"/>
              </w:rPr>
              <w:t>ի</w:t>
            </w:r>
            <w:r w:rsidRPr="0053423A">
              <w:rPr>
                <w:color w:val="000000"/>
                <w:sz w:val="20"/>
                <w:szCs w:val="20"/>
                <w:shd w:val="clear" w:color="auto" w:fill="FFFFFF"/>
                <w:lang w:val="af-ZA"/>
              </w:rPr>
              <w:t xml:space="preserve"> </w:t>
            </w:r>
            <w:r w:rsidRPr="0053423A">
              <w:rPr>
                <w:color w:val="000000"/>
                <w:sz w:val="20"/>
                <w:szCs w:val="20"/>
                <w:shd w:val="clear" w:color="auto" w:fill="FFFFFF"/>
              </w:rPr>
              <w:t>պաշտոնական</w:t>
            </w:r>
            <w:r w:rsidRPr="0053423A">
              <w:rPr>
                <w:color w:val="000000"/>
                <w:sz w:val="20"/>
                <w:szCs w:val="20"/>
                <w:shd w:val="clear" w:color="auto" w:fill="FFFFFF"/>
                <w:lang w:val="af-ZA"/>
              </w:rPr>
              <w:t xml:space="preserve"> </w:t>
            </w:r>
            <w:r w:rsidRPr="0053423A">
              <w:rPr>
                <w:color w:val="000000"/>
                <w:sz w:val="20"/>
                <w:szCs w:val="20"/>
                <w:shd w:val="clear" w:color="auto" w:fill="FFFFFF"/>
              </w:rPr>
              <w:t>ինտերնետային</w:t>
            </w:r>
            <w:r w:rsidRPr="0053423A">
              <w:rPr>
                <w:color w:val="000000"/>
                <w:sz w:val="20"/>
                <w:szCs w:val="20"/>
                <w:shd w:val="clear" w:color="auto" w:fill="FFFFFF"/>
                <w:lang w:val="af-ZA"/>
              </w:rPr>
              <w:t xml:space="preserve"> </w:t>
            </w:r>
            <w:r w:rsidRPr="0053423A">
              <w:rPr>
                <w:color w:val="000000"/>
                <w:sz w:val="20"/>
                <w:szCs w:val="20"/>
                <w:shd w:val="clear" w:color="auto" w:fill="FFFFFF"/>
              </w:rPr>
              <w:t>կայքում</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կհրապարակվեն</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նաև</w:t>
            </w:r>
            <w:r w:rsidRPr="0053423A">
              <w:rPr>
                <w:color w:val="000000"/>
                <w:sz w:val="20"/>
                <w:szCs w:val="20"/>
                <w:shd w:val="clear" w:color="auto" w:fill="FFFFFF"/>
                <w:lang w:val="af-ZA"/>
              </w:rPr>
              <w:t xml:space="preserve"> </w:t>
            </w:r>
            <w:r w:rsidRPr="0053423A">
              <w:rPr>
                <w:color w:val="000000"/>
                <w:sz w:val="20"/>
                <w:szCs w:val="20"/>
                <w:shd w:val="clear" w:color="auto" w:fill="FFFFFF"/>
              </w:rPr>
              <w:t>ոչ</w:t>
            </w:r>
            <w:r w:rsidRPr="0053423A">
              <w:rPr>
                <w:color w:val="000000"/>
                <w:sz w:val="20"/>
                <w:szCs w:val="20"/>
                <w:shd w:val="clear" w:color="auto" w:fill="FFFFFF"/>
                <w:lang w:val="af-ZA"/>
              </w:rPr>
              <w:t xml:space="preserve"> </w:t>
            </w:r>
            <w:r w:rsidRPr="0053423A">
              <w:rPr>
                <w:color w:val="000000"/>
                <w:sz w:val="20"/>
                <w:szCs w:val="20"/>
                <w:shd w:val="clear" w:color="auto" w:fill="FFFFFF"/>
              </w:rPr>
              <w:t>մետաղական</w:t>
            </w:r>
            <w:r w:rsidRPr="0053423A">
              <w:rPr>
                <w:color w:val="000000"/>
                <w:sz w:val="20"/>
                <w:szCs w:val="20"/>
                <w:shd w:val="clear" w:color="auto" w:fill="FFFFFF"/>
                <w:lang w:val="af-ZA"/>
              </w:rPr>
              <w:t xml:space="preserve"> </w:t>
            </w:r>
            <w:r w:rsidRPr="0053423A">
              <w:rPr>
                <w:color w:val="000000"/>
                <w:sz w:val="20"/>
                <w:szCs w:val="20"/>
                <w:shd w:val="clear" w:color="auto" w:fill="FFFFFF"/>
              </w:rPr>
              <w:t>օգտակար</w:t>
            </w:r>
            <w:r w:rsidRPr="0053423A">
              <w:rPr>
                <w:color w:val="000000"/>
                <w:sz w:val="20"/>
                <w:szCs w:val="20"/>
                <w:shd w:val="clear" w:color="auto" w:fill="FFFFFF"/>
                <w:lang w:val="af-ZA"/>
              </w:rPr>
              <w:t xml:space="preserve"> </w:t>
            </w:r>
            <w:r w:rsidRPr="0053423A">
              <w:rPr>
                <w:color w:val="000000"/>
                <w:sz w:val="20"/>
                <w:szCs w:val="20"/>
                <w:shd w:val="clear" w:color="auto" w:fill="FFFFFF"/>
              </w:rPr>
              <w:t>հանածո</w:t>
            </w:r>
            <w:r w:rsidRPr="0053423A">
              <w:rPr>
                <w:color w:val="000000"/>
                <w:sz w:val="20"/>
                <w:szCs w:val="20"/>
                <w:shd w:val="clear" w:color="auto" w:fill="FFFFFF"/>
                <w:lang w:val="af-ZA"/>
              </w:rPr>
              <w:t xml:space="preserve"> </w:t>
            </w:r>
            <w:r w:rsidRPr="0053423A">
              <w:rPr>
                <w:color w:val="000000"/>
                <w:sz w:val="20"/>
                <w:szCs w:val="20"/>
                <w:shd w:val="clear" w:color="auto" w:fill="FFFFFF"/>
              </w:rPr>
              <w:t>արդյունահանող</w:t>
            </w:r>
            <w:r w:rsidRPr="0053423A">
              <w:rPr>
                <w:color w:val="000000"/>
                <w:sz w:val="20"/>
                <w:szCs w:val="20"/>
                <w:shd w:val="clear" w:color="auto" w:fill="FFFFFF"/>
                <w:lang w:val="af-ZA"/>
              </w:rPr>
              <w:t xml:space="preserve"> </w:t>
            </w:r>
            <w:r w:rsidRPr="0053423A">
              <w:rPr>
                <w:color w:val="000000"/>
                <w:sz w:val="20"/>
                <w:szCs w:val="20"/>
                <w:shd w:val="clear" w:color="auto" w:fill="FFFFFF"/>
              </w:rPr>
              <w:t>ընդերքօգտագործողների</w:t>
            </w:r>
            <w:r w:rsidRPr="0053423A">
              <w:rPr>
                <w:color w:val="000000"/>
                <w:sz w:val="20"/>
                <w:szCs w:val="20"/>
                <w:shd w:val="clear" w:color="auto" w:fill="FFFFFF"/>
                <w:lang w:val="af-ZA"/>
              </w:rPr>
              <w:t xml:space="preserve"> </w:t>
            </w:r>
            <w:r w:rsidRPr="0053423A">
              <w:rPr>
                <w:color w:val="000000"/>
                <w:sz w:val="20"/>
                <w:szCs w:val="20"/>
                <w:shd w:val="clear" w:color="auto" w:fill="FFFFFF"/>
              </w:rPr>
              <w:t>հետ</w:t>
            </w:r>
            <w:r w:rsidRPr="0053423A">
              <w:rPr>
                <w:color w:val="000000"/>
                <w:sz w:val="20"/>
                <w:szCs w:val="20"/>
                <w:shd w:val="clear" w:color="auto" w:fill="FFFFFF"/>
                <w:lang w:val="af-ZA"/>
              </w:rPr>
              <w:t xml:space="preserve"> </w:t>
            </w:r>
            <w:r w:rsidRPr="0053423A">
              <w:rPr>
                <w:color w:val="000000"/>
                <w:sz w:val="20"/>
                <w:szCs w:val="20"/>
                <w:shd w:val="clear" w:color="auto" w:fill="FFFFFF"/>
              </w:rPr>
              <w:t>կնքված</w:t>
            </w:r>
            <w:r w:rsidRPr="0053423A">
              <w:rPr>
                <w:color w:val="000000"/>
                <w:sz w:val="20"/>
                <w:szCs w:val="20"/>
                <w:shd w:val="clear" w:color="auto" w:fill="FFFFFF"/>
                <w:lang w:val="af-ZA"/>
              </w:rPr>
              <w:t xml:space="preserve"> </w:t>
            </w:r>
            <w:r w:rsidRPr="0053423A">
              <w:rPr>
                <w:color w:val="000000"/>
                <w:sz w:val="20"/>
                <w:szCs w:val="20"/>
                <w:shd w:val="clear" w:color="auto" w:fill="FFFFFF"/>
              </w:rPr>
              <w:t>ընդերքօգտագործման</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թվայնացված</w:t>
            </w:r>
            <w:r w:rsidRPr="0053423A">
              <w:rPr>
                <w:color w:val="000000"/>
                <w:sz w:val="20"/>
                <w:szCs w:val="20"/>
                <w:shd w:val="clear" w:color="auto" w:fill="FFFFFF"/>
                <w:lang w:val="af-ZA"/>
              </w:rPr>
              <w:t xml:space="preserve"> </w:t>
            </w:r>
            <w:r w:rsidRPr="0053423A">
              <w:rPr>
                <w:color w:val="000000"/>
                <w:sz w:val="20"/>
                <w:szCs w:val="20"/>
                <w:shd w:val="clear" w:color="auto" w:fill="FFFFFF"/>
              </w:rPr>
              <w:t>պայմանագրերը</w:t>
            </w:r>
            <w:r w:rsidRPr="0053423A">
              <w:rPr>
                <w:color w:val="000000"/>
                <w:sz w:val="20"/>
                <w:szCs w:val="20"/>
                <w:shd w:val="clear" w:color="auto" w:fill="FFFFFF"/>
                <w:lang w:val="af-ZA"/>
              </w:rPr>
              <w:t>:</w:t>
            </w:r>
          </w:p>
          <w:p w:rsidR="0084615D" w:rsidRPr="0053423A" w:rsidRDefault="0084615D" w:rsidP="00A67858">
            <w:pPr>
              <w:spacing w:after="0" w:line="276" w:lineRule="auto"/>
              <w:ind w:firstLine="735"/>
              <w:jc w:val="both"/>
              <w:rPr>
                <w:rFonts w:eastAsia="Times New Roman" w:cs="Sylfaen"/>
                <w:b/>
                <w:sz w:val="20"/>
                <w:szCs w:val="20"/>
                <w:lang w:val="af-ZA"/>
              </w:rPr>
            </w:pPr>
            <w:r w:rsidRPr="0053423A">
              <w:rPr>
                <w:rFonts w:eastAsia="Times New Roman" w:cs="Courier New"/>
                <w:b/>
                <w:sz w:val="20"/>
                <w:szCs w:val="20"/>
                <w:lang w:val="af-ZA"/>
              </w:rPr>
              <w:t>2.</w:t>
            </w:r>
            <w:r w:rsidRPr="0053423A">
              <w:rPr>
                <w:rFonts w:ascii="Calibri" w:eastAsia="Times New Roman" w:hAnsi="Calibri" w:cs="Calibri"/>
                <w:b/>
                <w:sz w:val="20"/>
                <w:szCs w:val="20"/>
                <w:lang w:val="af-ZA"/>
              </w:rPr>
              <w:t> </w:t>
            </w:r>
            <w:r w:rsidRPr="0053423A">
              <w:rPr>
                <w:rFonts w:eastAsia="Times New Roman" w:cs="Sylfaen"/>
                <w:b/>
                <w:sz w:val="20"/>
                <w:szCs w:val="20"/>
              </w:rPr>
              <w:t>Միջոցառման</w:t>
            </w:r>
            <w:r w:rsidRPr="0053423A">
              <w:rPr>
                <w:rFonts w:eastAsia="Times New Roman" w:cs="Sylfaen"/>
                <w:b/>
                <w:sz w:val="20"/>
                <w:szCs w:val="20"/>
                <w:lang w:val="af-ZA"/>
              </w:rPr>
              <w:t xml:space="preserve"> </w:t>
            </w:r>
            <w:r w:rsidRPr="0053423A">
              <w:rPr>
                <w:rFonts w:eastAsia="Times New Roman" w:cs="Sylfaen"/>
                <w:b/>
                <w:sz w:val="20"/>
                <w:szCs w:val="20"/>
              </w:rPr>
              <w:t>իրակացումից</w:t>
            </w:r>
            <w:r w:rsidRPr="0053423A">
              <w:rPr>
                <w:rFonts w:eastAsia="Times New Roman" w:cs="Sylfaen"/>
                <w:b/>
                <w:sz w:val="20"/>
                <w:szCs w:val="20"/>
                <w:lang w:val="af-ZA"/>
              </w:rPr>
              <w:t xml:space="preserve"> </w:t>
            </w:r>
            <w:r w:rsidRPr="0053423A">
              <w:rPr>
                <w:rFonts w:eastAsia="Times New Roman" w:cs="Sylfaen"/>
                <w:b/>
                <w:sz w:val="20"/>
                <w:szCs w:val="20"/>
              </w:rPr>
              <w:t>ակնկալվող</w:t>
            </w:r>
            <w:r w:rsidRPr="0053423A">
              <w:rPr>
                <w:rFonts w:eastAsia="Times New Roman" w:cs="Sylfaen"/>
                <w:b/>
                <w:sz w:val="20"/>
                <w:szCs w:val="20"/>
                <w:lang w:val="af-ZA"/>
              </w:rPr>
              <w:t xml:space="preserve"> </w:t>
            </w:r>
            <w:r w:rsidRPr="0053423A">
              <w:rPr>
                <w:rFonts w:eastAsia="Times New Roman" w:cs="Sylfaen"/>
                <w:b/>
                <w:sz w:val="20"/>
                <w:szCs w:val="20"/>
              </w:rPr>
              <w:t>արդյունքը</w:t>
            </w:r>
          </w:p>
          <w:p w:rsidR="0084615D" w:rsidRPr="0053423A" w:rsidRDefault="0084615D" w:rsidP="00A67858">
            <w:pPr>
              <w:pStyle w:val="ListParagraph"/>
              <w:tabs>
                <w:tab w:val="left" w:pos="-2410"/>
              </w:tabs>
              <w:spacing w:after="0" w:line="276" w:lineRule="auto"/>
              <w:ind w:left="0" w:firstLine="735"/>
              <w:jc w:val="both"/>
              <w:rPr>
                <w:color w:val="000000"/>
                <w:sz w:val="20"/>
                <w:szCs w:val="20"/>
                <w:shd w:val="clear" w:color="auto" w:fill="FFFFFF"/>
                <w:lang w:val="af-ZA"/>
              </w:rPr>
            </w:pPr>
            <w:r w:rsidRPr="0053423A">
              <w:rPr>
                <w:color w:val="000000"/>
                <w:sz w:val="20"/>
                <w:szCs w:val="20"/>
                <w:shd w:val="clear" w:color="auto" w:fill="FFFFFF"/>
                <w:lang w:val="ru-RU"/>
              </w:rPr>
              <w:t>Հանքարդյունաբերության</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ոլորտի</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թափանցիկության</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և</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հաշվետվողականության</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բարձրացում</w:t>
            </w:r>
            <w:r w:rsidRPr="0053423A">
              <w:rPr>
                <w:color w:val="000000"/>
                <w:sz w:val="20"/>
                <w:szCs w:val="20"/>
                <w:shd w:val="clear" w:color="auto" w:fill="FFFFFF"/>
                <w:lang w:val="af-ZA"/>
              </w:rPr>
              <w:t>:</w:t>
            </w:r>
          </w:p>
          <w:p w:rsidR="0084615D" w:rsidRPr="0053423A" w:rsidRDefault="0084615D" w:rsidP="00A67858">
            <w:pPr>
              <w:spacing w:after="0" w:line="276" w:lineRule="auto"/>
              <w:jc w:val="center"/>
              <w:rPr>
                <w:rFonts w:cs="GHEA Grapalat"/>
                <w:b/>
                <w:sz w:val="20"/>
                <w:szCs w:val="20"/>
                <w:lang w:val="af-ZA"/>
              </w:rPr>
            </w:pP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17</w:t>
            </w:r>
          </w:p>
        </w:tc>
        <w:tc>
          <w:tcPr>
            <w:tcW w:w="10879" w:type="dxa"/>
            <w:shd w:val="clear" w:color="auto" w:fill="auto"/>
          </w:tcPr>
          <w:p w:rsidR="0084615D" w:rsidRPr="0053423A" w:rsidRDefault="0084615D" w:rsidP="00A67858">
            <w:pPr>
              <w:spacing w:after="0" w:line="276" w:lineRule="auto"/>
              <w:jc w:val="center"/>
              <w:rPr>
                <w:rFonts w:cs="GHEA Grapalat"/>
                <w:b/>
                <w:sz w:val="20"/>
                <w:szCs w:val="20"/>
                <w:lang w:val="hy-AM"/>
              </w:rPr>
            </w:pPr>
            <w:r w:rsidRPr="0053423A">
              <w:rPr>
                <w:rFonts w:cs="GHEA Grapalat"/>
                <w:b/>
                <w:sz w:val="20"/>
                <w:szCs w:val="20"/>
                <w:lang w:val="hy-AM"/>
              </w:rPr>
              <w:t>Ոլորտի ֆինանսական եկամուտներից համապատասխան համայնքներին հատկացումների ապահովում</w:t>
            </w:r>
          </w:p>
          <w:p w:rsidR="0084615D" w:rsidRPr="0053423A" w:rsidRDefault="0084615D" w:rsidP="00A67858">
            <w:pPr>
              <w:spacing w:after="0" w:line="276" w:lineRule="auto"/>
              <w:jc w:val="center"/>
              <w:rPr>
                <w:rFonts w:cs="GHEA Grapalat"/>
                <w:b/>
                <w:sz w:val="20"/>
                <w:szCs w:val="20"/>
                <w:lang w:val="hy-AM"/>
              </w:rPr>
            </w:pPr>
          </w:p>
          <w:p w:rsidR="0084615D" w:rsidRDefault="0084615D" w:rsidP="00A67858">
            <w:pPr>
              <w:pStyle w:val="ListParagraph"/>
              <w:tabs>
                <w:tab w:val="left" w:pos="-2410"/>
              </w:tabs>
              <w:spacing w:after="0" w:line="276" w:lineRule="auto"/>
              <w:ind w:left="0" w:firstLine="735"/>
              <w:jc w:val="center"/>
              <w:rPr>
                <w:rFonts w:cs="GHEA Grapalat"/>
                <w:b/>
                <w:sz w:val="20"/>
                <w:szCs w:val="20"/>
                <w:u w:val="single"/>
                <w:lang w:val="hy-AM"/>
              </w:rPr>
            </w:pPr>
            <w:r w:rsidRPr="0053423A">
              <w:rPr>
                <w:rFonts w:cs="GHEA Grapalat"/>
                <w:b/>
                <w:sz w:val="20"/>
                <w:szCs w:val="20"/>
                <w:u w:val="single"/>
                <w:lang w:val="hy-AM"/>
              </w:rPr>
              <w:t>Հանքարդյունաբերության</w:t>
            </w:r>
            <w:r w:rsidRPr="0053423A">
              <w:rPr>
                <w:rFonts w:cs="GHEA Grapalat"/>
                <w:b/>
                <w:sz w:val="20"/>
                <w:szCs w:val="20"/>
                <w:u w:val="single"/>
                <w:lang w:val="af-ZA"/>
              </w:rPr>
              <w:t xml:space="preserve"> </w:t>
            </w:r>
            <w:r w:rsidRPr="0053423A">
              <w:rPr>
                <w:rFonts w:cs="GHEA Grapalat"/>
                <w:b/>
                <w:sz w:val="20"/>
                <w:szCs w:val="20"/>
                <w:u w:val="single"/>
                <w:lang w:val="hy-AM"/>
              </w:rPr>
              <w:t>ոլորտի</w:t>
            </w:r>
            <w:r w:rsidRPr="0053423A">
              <w:rPr>
                <w:rFonts w:cs="GHEA Grapalat"/>
                <w:b/>
                <w:sz w:val="20"/>
                <w:szCs w:val="20"/>
                <w:u w:val="single"/>
                <w:lang w:val="af-ZA"/>
              </w:rPr>
              <w:t xml:space="preserve"> </w:t>
            </w:r>
            <w:r w:rsidRPr="0053423A">
              <w:rPr>
                <w:rFonts w:cs="GHEA Grapalat"/>
                <w:b/>
                <w:sz w:val="20"/>
                <w:szCs w:val="20"/>
                <w:u w:val="single"/>
                <w:lang w:val="hy-AM"/>
              </w:rPr>
              <w:t>ֆինանսական</w:t>
            </w:r>
            <w:r w:rsidRPr="0053423A">
              <w:rPr>
                <w:rFonts w:cs="GHEA Grapalat"/>
                <w:b/>
                <w:sz w:val="20"/>
                <w:szCs w:val="20"/>
                <w:u w:val="single"/>
                <w:lang w:val="af-ZA"/>
              </w:rPr>
              <w:t xml:space="preserve"> </w:t>
            </w:r>
            <w:r w:rsidRPr="0053423A">
              <w:rPr>
                <w:rFonts w:cs="GHEA Grapalat"/>
                <w:b/>
                <w:sz w:val="20"/>
                <w:szCs w:val="20"/>
                <w:u w:val="single"/>
                <w:lang w:val="hy-AM"/>
              </w:rPr>
              <w:t>եկամուտներից</w:t>
            </w:r>
            <w:r w:rsidRPr="0053423A">
              <w:rPr>
                <w:rFonts w:cs="GHEA Grapalat"/>
                <w:b/>
                <w:sz w:val="20"/>
                <w:szCs w:val="20"/>
                <w:u w:val="single"/>
                <w:lang w:val="af-ZA"/>
              </w:rPr>
              <w:t xml:space="preserve"> </w:t>
            </w:r>
            <w:r w:rsidRPr="0053423A">
              <w:rPr>
                <w:rFonts w:cs="GHEA Grapalat"/>
                <w:b/>
                <w:sz w:val="20"/>
                <w:szCs w:val="20"/>
                <w:u w:val="single"/>
                <w:lang w:val="hy-AM"/>
              </w:rPr>
              <w:t>համապատասխան</w:t>
            </w:r>
            <w:r w:rsidRPr="0053423A">
              <w:rPr>
                <w:rFonts w:cs="GHEA Grapalat"/>
                <w:b/>
                <w:sz w:val="20"/>
                <w:szCs w:val="20"/>
                <w:u w:val="single"/>
                <w:lang w:val="af-ZA"/>
              </w:rPr>
              <w:t xml:space="preserve"> </w:t>
            </w:r>
            <w:r w:rsidRPr="0053423A">
              <w:rPr>
                <w:rFonts w:cs="GHEA Grapalat"/>
                <w:b/>
                <w:sz w:val="20"/>
                <w:szCs w:val="20"/>
                <w:u w:val="single"/>
                <w:lang w:val="hy-AM"/>
              </w:rPr>
              <w:t>համայնքներին</w:t>
            </w:r>
            <w:r w:rsidRPr="0053423A">
              <w:rPr>
                <w:rFonts w:cs="GHEA Grapalat"/>
                <w:b/>
                <w:sz w:val="20"/>
                <w:szCs w:val="20"/>
                <w:u w:val="single"/>
                <w:lang w:val="af-ZA"/>
              </w:rPr>
              <w:t xml:space="preserve"> </w:t>
            </w:r>
            <w:r w:rsidRPr="0053423A">
              <w:rPr>
                <w:rFonts w:cs="GHEA Grapalat"/>
                <w:b/>
                <w:sz w:val="20"/>
                <w:szCs w:val="20"/>
                <w:u w:val="single"/>
                <w:lang w:val="hy-AM"/>
              </w:rPr>
              <w:t>հատկացումների</w:t>
            </w:r>
            <w:r w:rsidRPr="0053423A">
              <w:rPr>
                <w:rFonts w:cs="GHEA Grapalat"/>
                <w:b/>
                <w:sz w:val="20"/>
                <w:szCs w:val="20"/>
                <w:u w:val="single"/>
                <w:lang w:val="af-ZA"/>
              </w:rPr>
              <w:t xml:space="preserve"> </w:t>
            </w:r>
            <w:r w:rsidRPr="0053423A">
              <w:rPr>
                <w:rFonts w:cs="GHEA Grapalat"/>
                <w:b/>
                <w:sz w:val="20"/>
                <w:szCs w:val="20"/>
                <w:u w:val="single"/>
                <w:lang w:val="hy-AM"/>
              </w:rPr>
              <w:t>ապահովման</w:t>
            </w:r>
            <w:r w:rsidRPr="0053423A">
              <w:rPr>
                <w:rFonts w:cs="GHEA Grapalat"/>
                <w:b/>
                <w:sz w:val="20"/>
                <w:szCs w:val="20"/>
                <w:u w:val="single"/>
                <w:lang w:val="af-ZA"/>
              </w:rPr>
              <w:t xml:space="preserve"> </w:t>
            </w:r>
            <w:r w:rsidRPr="0053423A">
              <w:rPr>
                <w:rFonts w:cs="GHEA Grapalat"/>
                <w:b/>
                <w:sz w:val="20"/>
                <w:szCs w:val="20"/>
                <w:u w:val="single"/>
                <w:lang w:val="hy-AM"/>
              </w:rPr>
              <w:t>նպատակով</w:t>
            </w:r>
            <w:r w:rsidRPr="0053423A">
              <w:rPr>
                <w:rFonts w:cs="GHEA Grapalat"/>
                <w:b/>
                <w:sz w:val="20"/>
                <w:szCs w:val="20"/>
                <w:u w:val="single"/>
                <w:lang w:val="af-ZA"/>
              </w:rPr>
              <w:t xml:space="preserve"> </w:t>
            </w:r>
            <w:r w:rsidRPr="0053423A">
              <w:rPr>
                <w:rFonts w:cs="GHEA Grapalat"/>
                <w:b/>
                <w:sz w:val="20"/>
                <w:szCs w:val="20"/>
                <w:u w:val="single"/>
                <w:lang w:val="hy-AM"/>
              </w:rPr>
              <w:t>օրենսդրական</w:t>
            </w:r>
            <w:r w:rsidRPr="0053423A">
              <w:rPr>
                <w:rFonts w:cs="GHEA Grapalat"/>
                <w:b/>
                <w:sz w:val="20"/>
                <w:szCs w:val="20"/>
                <w:u w:val="single"/>
                <w:lang w:val="af-ZA"/>
              </w:rPr>
              <w:t xml:space="preserve"> </w:t>
            </w:r>
            <w:r w:rsidRPr="0053423A">
              <w:rPr>
                <w:rFonts w:cs="GHEA Grapalat"/>
                <w:b/>
                <w:sz w:val="20"/>
                <w:szCs w:val="20"/>
                <w:u w:val="single"/>
                <w:lang w:val="hy-AM"/>
              </w:rPr>
              <w:t>նախագծի մշակում</w:t>
            </w:r>
          </w:p>
          <w:p w:rsidR="00D127B2" w:rsidRPr="0053423A" w:rsidRDefault="00D127B2" w:rsidP="00A67858">
            <w:pPr>
              <w:pStyle w:val="ListParagraph"/>
              <w:tabs>
                <w:tab w:val="left" w:pos="-2410"/>
              </w:tabs>
              <w:spacing w:after="0" w:line="276" w:lineRule="auto"/>
              <w:ind w:left="0" w:firstLine="735"/>
              <w:jc w:val="center"/>
              <w:rPr>
                <w:rFonts w:eastAsia="Times New Roman" w:cs="Sylfaen"/>
                <w:b/>
                <w:i/>
                <w:noProof/>
                <w:spacing w:val="-8"/>
                <w:sz w:val="20"/>
                <w:szCs w:val="20"/>
                <w:u w:val="single"/>
                <w:lang w:val="af-ZA"/>
              </w:rPr>
            </w:pPr>
          </w:p>
          <w:p w:rsidR="0084615D" w:rsidRPr="0053423A" w:rsidRDefault="0084615D" w:rsidP="00A67858">
            <w:pPr>
              <w:spacing w:after="0" w:line="276" w:lineRule="auto"/>
              <w:ind w:firstLine="735"/>
              <w:rPr>
                <w:rFonts w:eastAsia="Times New Roman" w:cs="Sylfaen"/>
                <w:b/>
                <w:i/>
                <w:noProof/>
                <w:spacing w:val="-8"/>
                <w:sz w:val="20"/>
                <w:szCs w:val="20"/>
                <w:lang w:val="af-ZA"/>
              </w:rPr>
            </w:pPr>
            <w:r w:rsidRPr="0053423A">
              <w:rPr>
                <w:rFonts w:eastAsia="Times New Roman" w:cs="Courier New"/>
                <w:b/>
                <w:sz w:val="20"/>
                <w:szCs w:val="20"/>
                <w:lang w:val="af-ZA"/>
              </w:rPr>
              <w:t>1.</w:t>
            </w:r>
            <w:r w:rsidRPr="0053423A">
              <w:rPr>
                <w:rFonts w:ascii="Calibri" w:eastAsia="Times New Roman" w:hAnsi="Calibri" w:cs="Calibri"/>
                <w:b/>
                <w:sz w:val="20"/>
                <w:szCs w:val="20"/>
                <w:lang w:val="af-ZA"/>
              </w:rPr>
              <w:t> </w:t>
            </w:r>
            <w:r w:rsidRPr="0053423A">
              <w:rPr>
                <w:rFonts w:eastAsia="Times New Roman" w:cs="Sylfaen"/>
                <w:b/>
                <w:sz w:val="20"/>
                <w:szCs w:val="20"/>
                <w:lang w:val="hy-AM"/>
              </w:rPr>
              <w:t>Միջոցառման</w:t>
            </w:r>
            <w:r w:rsidRPr="0053423A">
              <w:rPr>
                <w:rFonts w:eastAsia="Times New Roman"/>
                <w:b/>
                <w:sz w:val="20"/>
                <w:szCs w:val="20"/>
                <w:lang w:val="af-ZA"/>
              </w:rPr>
              <w:t xml:space="preserve"> </w:t>
            </w:r>
            <w:r w:rsidRPr="0053423A">
              <w:rPr>
                <w:rFonts w:eastAsia="Times New Roman" w:cs="Sylfaen"/>
                <w:b/>
                <w:sz w:val="20"/>
                <w:szCs w:val="20"/>
                <w:lang w:val="hy-AM"/>
              </w:rPr>
              <w:t>իրականացման</w:t>
            </w:r>
            <w:r w:rsidRPr="0053423A">
              <w:rPr>
                <w:rFonts w:eastAsia="Times New Roman"/>
                <w:b/>
                <w:sz w:val="20"/>
                <w:szCs w:val="20"/>
                <w:lang w:val="af-ZA"/>
              </w:rPr>
              <w:t xml:space="preserve"> </w:t>
            </w:r>
            <w:r w:rsidRPr="0053423A">
              <w:rPr>
                <w:rFonts w:eastAsia="Times New Roman" w:cs="Sylfae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նպատակը</w:t>
            </w:r>
          </w:p>
          <w:p w:rsidR="0084615D" w:rsidRPr="0053423A" w:rsidRDefault="0084615D" w:rsidP="00A67858">
            <w:pPr>
              <w:pStyle w:val="NormalWeb"/>
              <w:spacing w:before="0" w:beforeAutospacing="0" w:after="0" w:afterAutospacing="0" w:line="276" w:lineRule="auto"/>
              <w:ind w:firstLine="735"/>
              <w:jc w:val="both"/>
              <w:rPr>
                <w:rFonts w:ascii="GHEA Grapalat" w:hAnsi="GHEA Grapalat"/>
                <w:color w:val="000000"/>
                <w:sz w:val="20"/>
                <w:szCs w:val="20"/>
                <w:shd w:val="clear" w:color="auto" w:fill="FFFFFF"/>
                <w:lang w:val="af-ZA"/>
              </w:rPr>
            </w:pPr>
            <w:r w:rsidRPr="0053423A">
              <w:rPr>
                <w:rFonts w:ascii="GHEA Grapalat" w:hAnsi="GHEA Grapalat"/>
                <w:color w:val="000000"/>
                <w:sz w:val="20"/>
                <w:szCs w:val="20"/>
                <w:shd w:val="clear" w:color="auto" w:fill="FFFFFF"/>
              </w:rPr>
              <w:t>Անհրաժեշտություն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է</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առաջացել</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մշակել</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օրենսդրական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փոփոխությունների</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փաթեթ</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որի</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համաձայն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մետաղական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օգտակար</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հանածո</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արդյունահանող</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ընկերությունների</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կողմից</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վճարվող</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ռոյալթիներից</w:t>
            </w:r>
            <w:r w:rsidRPr="0053423A">
              <w:rPr>
                <w:rFonts w:ascii="GHEA Grapalat" w:hAnsi="GHEA Grapalat"/>
                <w:color w:val="000000"/>
                <w:sz w:val="20"/>
                <w:szCs w:val="20"/>
                <w:shd w:val="clear" w:color="auto" w:fill="FFFFFF"/>
                <w:lang w:val="af-ZA"/>
              </w:rPr>
              <w:t xml:space="preserve"> </w:t>
            </w:r>
            <w:r w:rsidRPr="0053423A">
              <w:rPr>
                <w:rFonts w:ascii="GHEA Grapalat" w:eastAsia="Calibri" w:hAnsi="GHEA Grapalat"/>
                <w:color w:val="000000"/>
                <w:sz w:val="20"/>
                <w:szCs w:val="20"/>
                <w:shd w:val="clear" w:color="auto" w:fill="FFFFFF"/>
              </w:rPr>
              <w:t>համապատասխան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համայնքներին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տարեկան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հատկացման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մեխանիզմ</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կներդրվի</w:t>
            </w:r>
            <w:r w:rsidRPr="0053423A">
              <w:rPr>
                <w:rFonts w:ascii="GHEA Grapalat" w:hAnsi="GHEA Grapalat"/>
                <w:color w:val="000000"/>
                <w:sz w:val="20"/>
                <w:szCs w:val="20"/>
                <w:shd w:val="clear" w:color="auto" w:fill="FFFFFF"/>
                <w:lang w:val="af-ZA"/>
              </w:rPr>
              <w:t xml:space="preserve">: </w:t>
            </w:r>
          </w:p>
          <w:p w:rsidR="0084615D" w:rsidRPr="0053423A" w:rsidRDefault="0084615D" w:rsidP="00A67858">
            <w:pPr>
              <w:pStyle w:val="NormalWeb"/>
              <w:spacing w:before="0" w:beforeAutospacing="0" w:after="0" w:afterAutospacing="0" w:line="276" w:lineRule="auto"/>
              <w:ind w:firstLine="735"/>
              <w:jc w:val="both"/>
              <w:rPr>
                <w:rFonts w:ascii="GHEA Grapalat" w:hAnsi="GHEA Grapalat"/>
                <w:color w:val="333333"/>
                <w:sz w:val="20"/>
                <w:szCs w:val="20"/>
                <w:lang w:val="af-ZA"/>
              </w:rPr>
            </w:pPr>
            <w:r w:rsidRPr="0053423A">
              <w:rPr>
                <w:rFonts w:ascii="Calibri" w:hAnsi="Calibri" w:cs="Calibri"/>
                <w:color w:val="333333"/>
                <w:sz w:val="20"/>
                <w:szCs w:val="20"/>
              </w:rPr>
              <w:t> </w:t>
            </w:r>
          </w:p>
          <w:p w:rsidR="0084615D" w:rsidRPr="0053423A" w:rsidRDefault="0084615D" w:rsidP="001F6D5D">
            <w:pPr>
              <w:pStyle w:val="ListParagraph"/>
              <w:numPr>
                <w:ilvl w:val="1"/>
                <w:numId w:val="292"/>
              </w:numPr>
              <w:tabs>
                <w:tab w:val="left" w:pos="900"/>
                <w:tab w:val="left" w:pos="1620"/>
              </w:tabs>
              <w:spacing w:after="0" w:line="276" w:lineRule="auto"/>
              <w:ind w:left="0" w:firstLine="735"/>
              <w:rPr>
                <w:rFonts w:eastAsia="Times New Roman"/>
                <w:b/>
                <w:sz w:val="20"/>
                <w:szCs w:val="20"/>
                <w:lang w:val="af-ZA"/>
              </w:rPr>
            </w:pPr>
            <w:r w:rsidRPr="0053423A">
              <w:rPr>
                <w:rFonts w:eastAsia="Times New Roman" w:cs="Sylfaen"/>
                <w:b/>
                <w:sz w:val="20"/>
                <w:szCs w:val="20"/>
                <w:lang w:val="hy-AM"/>
              </w:rPr>
              <w:t>Կարգավորման</w:t>
            </w:r>
            <w:r w:rsidRPr="0053423A">
              <w:rPr>
                <w:rFonts w:eastAsia="Times New Roman"/>
                <w:b/>
                <w:sz w:val="20"/>
                <w:szCs w:val="20"/>
                <w:lang w:val="af-ZA"/>
              </w:rPr>
              <w:t xml:space="preserve"> </w:t>
            </w:r>
            <w:r w:rsidRPr="0053423A">
              <w:rPr>
                <w:rFonts w:eastAsia="Times New Roman" w:cs="Sylfaen"/>
                <w:b/>
                <w:sz w:val="20"/>
                <w:szCs w:val="20"/>
                <w:lang w:val="hy-AM"/>
              </w:rPr>
              <w:t>հարաբերությունների</w:t>
            </w:r>
            <w:r w:rsidRPr="0053423A">
              <w:rPr>
                <w:rFonts w:eastAsia="Times New Roman"/>
                <w:b/>
                <w:sz w:val="20"/>
                <w:szCs w:val="20"/>
                <w:lang w:val="af-ZA"/>
              </w:rPr>
              <w:t xml:space="preserve"> </w:t>
            </w:r>
            <w:r w:rsidRPr="0053423A">
              <w:rPr>
                <w:rFonts w:eastAsia="Times New Roman" w:cs="Sylfaen"/>
                <w:b/>
                <w:sz w:val="20"/>
                <w:szCs w:val="20"/>
                <w:lang w:val="hy-AM"/>
              </w:rPr>
              <w:t>ներկա</w:t>
            </w:r>
            <w:r w:rsidRPr="0053423A">
              <w:rPr>
                <w:rFonts w:eastAsia="Times New Roman"/>
                <w:b/>
                <w:sz w:val="20"/>
                <w:szCs w:val="20"/>
                <w:lang w:val="af-ZA"/>
              </w:rPr>
              <w:t xml:space="preserve"> </w:t>
            </w:r>
            <w:r w:rsidRPr="0053423A">
              <w:rPr>
                <w:rFonts w:eastAsia="Times New Roman" w:cs="Sylfaen"/>
                <w:b/>
                <w:sz w:val="20"/>
                <w:szCs w:val="20"/>
                <w:lang w:val="hy-AM"/>
              </w:rPr>
              <w:t>վիճակը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առկա</w:t>
            </w:r>
            <w:r w:rsidRPr="0053423A">
              <w:rPr>
                <w:rFonts w:eastAsia="Times New Roman"/>
                <w:b/>
                <w:sz w:val="20"/>
                <w:szCs w:val="20"/>
                <w:lang w:val="af-ZA"/>
              </w:rPr>
              <w:t xml:space="preserve"> </w:t>
            </w:r>
            <w:r w:rsidRPr="0053423A">
              <w:rPr>
                <w:rFonts w:eastAsia="Times New Roman" w:cs="Sylfaen"/>
                <w:b/>
                <w:sz w:val="20"/>
                <w:szCs w:val="20"/>
                <w:lang w:val="hy-AM"/>
              </w:rPr>
              <w:t>խնդիրները</w:t>
            </w:r>
          </w:p>
          <w:p w:rsidR="0084615D" w:rsidRPr="0053423A" w:rsidRDefault="0084615D" w:rsidP="00A67858">
            <w:pPr>
              <w:spacing w:after="0" w:line="276" w:lineRule="auto"/>
              <w:ind w:firstLine="735"/>
              <w:jc w:val="both"/>
              <w:rPr>
                <w:color w:val="000000"/>
                <w:sz w:val="20"/>
                <w:szCs w:val="20"/>
                <w:shd w:val="clear" w:color="auto" w:fill="FFFFFF"/>
                <w:lang w:val="af-ZA"/>
              </w:rPr>
            </w:pPr>
            <w:r w:rsidRPr="0053423A">
              <w:rPr>
                <w:rFonts w:cs="Sylfaen"/>
                <w:bCs/>
                <w:iCs/>
                <w:sz w:val="20"/>
                <w:szCs w:val="20"/>
                <w:lang w:val="hy-AM"/>
              </w:rPr>
              <w:t xml:space="preserve">Ներկայումս </w:t>
            </w:r>
            <w:r w:rsidRPr="0053423A">
              <w:rPr>
                <w:color w:val="000000"/>
                <w:sz w:val="20"/>
                <w:szCs w:val="20"/>
                <w:shd w:val="clear" w:color="auto" w:fill="FFFFFF"/>
              </w:rPr>
              <w:t>մետաղական</w:t>
            </w:r>
            <w:r w:rsidRPr="0053423A">
              <w:rPr>
                <w:color w:val="000000"/>
                <w:sz w:val="20"/>
                <w:szCs w:val="20"/>
                <w:shd w:val="clear" w:color="auto" w:fill="FFFFFF"/>
                <w:lang w:val="af-ZA"/>
              </w:rPr>
              <w:t xml:space="preserve"> </w:t>
            </w:r>
            <w:r w:rsidRPr="0053423A">
              <w:rPr>
                <w:color w:val="000000"/>
                <w:sz w:val="20"/>
                <w:szCs w:val="20"/>
                <w:shd w:val="clear" w:color="auto" w:fill="FFFFFF"/>
              </w:rPr>
              <w:t>օգտակար</w:t>
            </w:r>
            <w:r w:rsidRPr="0053423A">
              <w:rPr>
                <w:color w:val="000000"/>
                <w:sz w:val="20"/>
                <w:szCs w:val="20"/>
                <w:shd w:val="clear" w:color="auto" w:fill="FFFFFF"/>
                <w:lang w:val="af-ZA"/>
              </w:rPr>
              <w:t xml:space="preserve"> </w:t>
            </w:r>
            <w:r w:rsidRPr="0053423A">
              <w:rPr>
                <w:color w:val="000000"/>
                <w:sz w:val="20"/>
                <w:szCs w:val="20"/>
                <w:shd w:val="clear" w:color="auto" w:fill="FFFFFF"/>
              </w:rPr>
              <w:t>հանածո</w:t>
            </w:r>
            <w:r w:rsidRPr="0053423A">
              <w:rPr>
                <w:color w:val="000000"/>
                <w:sz w:val="20"/>
                <w:szCs w:val="20"/>
                <w:shd w:val="clear" w:color="auto" w:fill="FFFFFF"/>
                <w:lang w:val="af-ZA"/>
              </w:rPr>
              <w:t xml:space="preserve"> </w:t>
            </w:r>
            <w:r w:rsidRPr="0053423A">
              <w:rPr>
                <w:color w:val="000000"/>
                <w:sz w:val="20"/>
                <w:szCs w:val="20"/>
                <w:shd w:val="clear" w:color="auto" w:fill="FFFFFF"/>
              </w:rPr>
              <w:t>արդյունահանող</w:t>
            </w:r>
            <w:r w:rsidRPr="0053423A">
              <w:rPr>
                <w:color w:val="000000"/>
                <w:sz w:val="20"/>
                <w:szCs w:val="20"/>
                <w:shd w:val="clear" w:color="auto" w:fill="FFFFFF"/>
                <w:lang w:val="af-ZA"/>
              </w:rPr>
              <w:t xml:space="preserve"> </w:t>
            </w:r>
            <w:r w:rsidRPr="0053423A">
              <w:rPr>
                <w:color w:val="000000"/>
                <w:sz w:val="20"/>
                <w:szCs w:val="20"/>
                <w:shd w:val="clear" w:color="auto" w:fill="FFFFFF"/>
              </w:rPr>
              <w:t>ընկերությունների</w:t>
            </w:r>
            <w:r w:rsidRPr="0053423A">
              <w:rPr>
                <w:color w:val="000000"/>
                <w:sz w:val="20"/>
                <w:szCs w:val="20"/>
                <w:shd w:val="clear" w:color="auto" w:fill="FFFFFF"/>
                <w:lang w:val="af-ZA"/>
              </w:rPr>
              <w:t xml:space="preserve"> </w:t>
            </w:r>
            <w:r w:rsidRPr="0053423A">
              <w:rPr>
                <w:color w:val="000000"/>
                <w:sz w:val="20"/>
                <w:szCs w:val="20"/>
                <w:shd w:val="clear" w:color="auto" w:fill="FFFFFF"/>
              </w:rPr>
              <w:t>կողմից</w:t>
            </w:r>
            <w:r w:rsidRPr="0053423A">
              <w:rPr>
                <w:color w:val="000000"/>
                <w:sz w:val="20"/>
                <w:szCs w:val="20"/>
                <w:shd w:val="clear" w:color="auto" w:fill="FFFFFF"/>
                <w:lang w:val="af-ZA"/>
              </w:rPr>
              <w:t xml:space="preserve"> </w:t>
            </w:r>
            <w:r w:rsidRPr="0053423A">
              <w:rPr>
                <w:color w:val="000000"/>
                <w:sz w:val="20"/>
                <w:szCs w:val="20"/>
                <w:shd w:val="clear" w:color="auto" w:fill="FFFFFF"/>
              </w:rPr>
              <w:t>ռոյալթիներ</w:t>
            </w:r>
            <w:r w:rsidRPr="0053423A">
              <w:rPr>
                <w:color w:val="000000"/>
                <w:sz w:val="20"/>
                <w:szCs w:val="20"/>
                <w:shd w:val="clear" w:color="auto" w:fill="FFFFFF"/>
                <w:lang w:val="ru-RU"/>
              </w:rPr>
              <w:t>ը</w:t>
            </w:r>
            <w:r w:rsidRPr="0053423A">
              <w:rPr>
                <w:color w:val="000000"/>
                <w:sz w:val="20"/>
                <w:szCs w:val="20"/>
                <w:shd w:val="clear" w:color="auto" w:fill="FFFFFF"/>
                <w:lang w:val="af-ZA"/>
              </w:rPr>
              <w:t xml:space="preserve"> </w:t>
            </w:r>
            <w:r w:rsidRPr="0053423A">
              <w:rPr>
                <w:color w:val="000000"/>
                <w:sz w:val="20"/>
                <w:szCs w:val="20"/>
                <w:shd w:val="clear" w:color="auto" w:fill="FFFFFF"/>
              </w:rPr>
              <w:t>վճարվ</w:t>
            </w:r>
            <w:r w:rsidRPr="0053423A">
              <w:rPr>
                <w:color w:val="000000"/>
                <w:sz w:val="20"/>
                <w:szCs w:val="20"/>
                <w:shd w:val="clear" w:color="auto" w:fill="FFFFFF"/>
                <w:lang w:val="ru-RU"/>
              </w:rPr>
              <w:t>ում</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են</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պետական</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բյուջե</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որից</w:t>
            </w:r>
            <w:r w:rsidRPr="0053423A">
              <w:rPr>
                <w:color w:val="000000"/>
                <w:sz w:val="20"/>
                <w:szCs w:val="20"/>
                <w:shd w:val="clear" w:color="auto" w:fill="FFFFFF"/>
                <w:lang w:val="af-ZA"/>
              </w:rPr>
              <w:t xml:space="preserve"> </w:t>
            </w:r>
            <w:r w:rsidRPr="0053423A">
              <w:rPr>
                <w:color w:val="000000"/>
                <w:sz w:val="20"/>
                <w:szCs w:val="20"/>
                <w:shd w:val="clear" w:color="auto" w:fill="FFFFFF"/>
              </w:rPr>
              <w:t>համապատասխան</w:t>
            </w:r>
            <w:r w:rsidRPr="0053423A">
              <w:rPr>
                <w:color w:val="000000"/>
                <w:sz w:val="20"/>
                <w:szCs w:val="20"/>
                <w:shd w:val="clear" w:color="auto" w:fill="FFFFFF"/>
                <w:lang w:val="af-ZA"/>
              </w:rPr>
              <w:t xml:space="preserve"> </w:t>
            </w:r>
            <w:r w:rsidRPr="0053423A">
              <w:rPr>
                <w:color w:val="000000"/>
                <w:sz w:val="20"/>
                <w:szCs w:val="20"/>
                <w:shd w:val="clear" w:color="auto" w:fill="FFFFFF"/>
              </w:rPr>
              <w:t>համայնքներին</w:t>
            </w:r>
            <w:r w:rsidRPr="0053423A">
              <w:rPr>
                <w:color w:val="000000"/>
                <w:sz w:val="20"/>
                <w:szCs w:val="20"/>
                <w:shd w:val="clear" w:color="auto" w:fill="FFFFFF"/>
                <w:lang w:val="af-ZA"/>
              </w:rPr>
              <w:t xml:space="preserve"> </w:t>
            </w:r>
            <w:r w:rsidRPr="0053423A">
              <w:rPr>
                <w:color w:val="000000"/>
                <w:sz w:val="20"/>
                <w:szCs w:val="20"/>
                <w:shd w:val="clear" w:color="auto" w:fill="FFFFFF"/>
              </w:rPr>
              <w:t>հատկացումներ</w:t>
            </w:r>
            <w:r w:rsidRPr="0053423A">
              <w:rPr>
                <w:color w:val="000000"/>
                <w:sz w:val="20"/>
                <w:szCs w:val="20"/>
                <w:shd w:val="clear" w:color="auto" w:fill="FFFFFF"/>
                <w:lang w:val="af-ZA"/>
              </w:rPr>
              <w:t xml:space="preserve"> </w:t>
            </w:r>
            <w:r w:rsidRPr="0053423A">
              <w:rPr>
                <w:color w:val="000000"/>
                <w:sz w:val="20"/>
                <w:szCs w:val="20"/>
                <w:shd w:val="clear" w:color="auto" w:fill="FFFFFF"/>
              </w:rPr>
              <w:t>չեն</w:t>
            </w:r>
            <w:r w:rsidRPr="0053423A">
              <w:rPr>
                <w:color w:val="000000"/>
                <w:sz w:val="20"/>
                <w:szCs w:val="20"/>
                <w:shd w:val="clear" w:color="auto" w:fill="FFFFFF"/>
                <w:lang w:val="af-ZA"/>
              </w:rPr>
              <w:t xml:space="preserve"> </w:t>
            </w:r>
            <w:r w:rsidRPr="0053423A">
              <w:rPr>
                <w:color w:val="000000"/>
                <w:sz w:val="20"/>
                <w:szCs w:val="20"/>
                <w:shd w:val="clear" w:color="auto" w:fill="FFFFFF"/>
              </w:rPr>
              <w:t>կատարվում</w:t>
            </w:r>
            <w:r w:rsidRPr="0053423A">
              <w:rPr>
                <w:color w:val="000000"/>
                <w:sz w:val="20"/>
                <w:szCs w:val="20"/>
                <w:shd w:val="clear" w:color="auto" w:fill="FFFFFF"/>
                <w:lang w:val="af-ZA"/>
              </w:rPr>
              <w:t>:</w:t>
            </w:r>
          </w:p>
          <w:p w:rsidR="0084615D" w:rsidRPr="0053423A" w:rsidRDefault="0084615D" w:rsidP="00A67858">
            <w:pPr>
              <w:pStyle w:val="ListParagraph"/>
              <w:tabs>
                <w:tab w:val="left" w:pos="900"/>
              </w:tabs>
              <w:spacing w:after="0" w:line="276" w:lineRule="auto"/>
              <w:ind w:left="0" w:firstLine="735"/>
              <w:rPr>
                <w:rFonts w:eastAsia="Times New Roman"/>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w:t>
            </w:r>
            <w:r w:rsidRPr="0053423A">
              <w:rPr>
                <w:rFonts w:eastAsia="Times New Roman" w:cs="Sylfaen"/>
                <w:b/>
                <w:sz w:val="20"/>
                <w:szCs w:val="20"/>
                <w:lang w:val="hy-AM"/>
              </w:rPr>
              <w:t>Առկա</w:t>
            </w:r>
            <w:r w:rsidRPr="0053423A">
              <w:rPr>
                <w:rFonts w:eastAsia="Times New Roman"/>
                <w:b/>
                <w:sz w:val="20"/>
                <w:szCs w:val="20"/>
                <w:lang w:val="af-ZA"/>
              </w:rPr>
              <w:t xml:space="preserve"> </w:t>
            </w:r>
            <w:r w:rsidRPr="0053423A">
              <w:rPr>
                <w:rFonts w:eastAsia="Times New Roman" w:cs="Sylfaen"/>
                <w:b/>
                <w:sz w:val="20"/>
                <w:szCs w:val="20"/>
                <w:lang w:val="hy-AM"/>
              </w:rPr>
              <w:t>խնդիրների</w:t>
            </w:r>
            <w:r w:rsidRPr="0053423A">
              <w:rPr>
                <w:rFonts w:eastAsia="Times New Roman"/>
                <w:b/>
                <w:sz w:val="20"/>
                <w:szCs w:val="20"/>
                <w:lang w:val="af-ZA"/>
              </w:rPr>
              <w:t xml:space="preserve"> </w:t>
            </w:r>
            <w:r w:rsidRPr="0053423A">
              <w:rPr>
                <w:rFonts w:eastAsia="Times New Roman" w:cs="Sylfaen"/>
                <w:b/>
                <w:sz w:val="20"/>
                <w:szCs w:val="20"/>
                <w:lang w:val="hy-AM"/>
              </w:rPr>
              <w:t>առաջարկվող</w:t>
            </w:r>
            <w:r w:rsidRPr="0053423A">
              <w:rPr>
                <w:rFonts w:eastAsia="Times New Roman"/>
                <w:b/>
                <w:sz w:val="20"/>
                <w:szCs w:val="20"/>
                <w:lang w:val="af-ZA"/>
              </w:rPr>
              <w:t xml:space="preserve"> </w:t>
            </w:r>
            <w:r w:rsidRPr="0053423A">
              <w:rPr>
                <w:rFonts w:eastAsia="Times New Roman" w:cs="Sylfaen"/>
                <w:b/>
                <w:sz w:val="20"/>
                <w:szCs w:val="20"/>
                <w:lang w:val="hy-AM"/>
              </w:rPr>
              <w:t>լուծումները</w:t>
            </w:r>
          </w:p>
          <w:p w:rsidR="0084615D" w:rsidRPr="0053423A" w:rsidRDefault="0084615D" w:rsidP="00A67858">
            <w:pPr>
              <w:spacing w:after="0" w:line="276" w:lineRule="auto"/>
              <w:ind w:firstLine="735"/>
              <w:jc w:val="both"/>
              <w:rPr>
                <w:color w:val="000000"/>
                <w:sz w:val="20"/>
                <w:szCs w:val="20"/>
                <w:shd w:val="clear" w:color="auto" w:fill="FFFFFF"/>
                <w:lang w:val="af-ZA"/>
              </w:rPr>
            </w:pPr>
            <w:r w:rsidRPr="0053423A">
              <w:rPr>
                <w:rFonts w:cs="GHEA Grapalat"/>
                <w:sz w:val="20"/>
                <w:szCs w:val="20"/>
                <w:lang w:val="ru-RU"/>
              </w:rPr>
              <w:t>Առաջարկվում</w:t>
            </w:r>
            <w:r w:rsidRPr="0053423A">
              <w:rPr>
                <w:rFonts w:cs="GHEA Grapalat"/>
                <w:sz w:val="20"/>
                <w:szCs w:val="20"/>
                <w:lang w:val="af-ZA"/>
              </w:rPr>
              <w:t xml:space="preserve"> </w:t>
            </w:r>
            <w:r w:rsidRPr="0053423A">
              <w:rPr>
                <w:rFonts w:cs="GHEA Grapalat"/>
                <w:sz w:val="20"/>
                <w:szCs w:val="20"/>
                <w:lang w:val="ru-RU"/>
              </w:rPr>
              <w:t>է</w:t>
            </w:r>
            <w:r w:rsidRPr="0053423A">
              <w:rPr>
                <w:rFonts w:cs="GHEA Grapalat"/>
                <w:sz w:val="20"/>
                <w:szCs w:val="20"/>
                <w:lang w:val="af-ZA"/>
              </w:rPr>
              <w:t xml:space="preserve"> </w:t>
            </w:r>
            <w:r w:rsidRPr="0053423A">
              <w:rPr>
                <w:rFonts w:cs="GHEA Grapalat"/>
                <w:sz w:val="20"/>
                <w:szCs w:val="20"/>
                <w:lang w:val="ru-RU"/>
              </w:rPr>
              <w:t>մշակել</w:t>
            </w:r>
            <w:r w:rsidRPr="0053423A">
              <w:rPr>
                <w:rFonts w:cs="GHEA Grapalat"/>
                <w:sz w:val="20"/>
                <w:szCs w:val="20"/>
                <w:lang w:val="af-ZA"/>
              </w:rPr>
              <w:t xml:space="preserve"> </w:t>
            </w:r>
            <w:r w:rsidRPr="0053423A">
              <w:rPr>
                <w:rFonts w:cs="GHEA Grapalat"/>
                <w:sz w:val="20"/>
                <w:szCs w:val="20"/>
                <w:lang w:val="ru-RU"/>
              </w:rPr>
              <w:t>օրենսդրական</w:t>
            </w:r>
            <w:r w:rsidRPr="0053423A">
              <w:rPr>
                <w:rFonts w:cs="GHEA Grapalat"/>
                <w:sz w:val="20"/>
                <w:szCs w:val="20"/>
                <w:lang w:val="af-ZA"/>
              </w:rPr>
              <w:t xml:space="preserve"> </w:t>
            </w:r>
            <w:r w:rsidRPr="0053423A">
              <w:rPr>
                <w:rFonts w:cs="GHEA Grapalat"/>
                <w:sz w:val="20"/>
                <w:szCs w:val="20"/>
                <w:lang w:val="ru-RU"/>
              </w:rPr>
              <w:t>փաթեթ</w:t>
            </w:r>
            <w:r w:rsidRPr="0053423A">
              <w:rPr>
                <w:rFonts w:cs="GHEA Grapalat"/>
                <w:sz w:val="20"/>
                <w:szCs w:val="20"/>
                <w:lang w:val="af-ZA"/>
              </w:rPr>
              <w:t xml:space="preserve">, </w:t>
            </w:r>
            <w:r w:rsidRPr="0053423A">
              <w:rPr>
                <w:rFonts w:cs="GHEA Grapalat"/>
                <w:sz w:val="20"/>
                <w:szCs w:val="20"/>
                <w:lang w:val="ru-RU"/>
              </w:rPr>
              <w:t>որի</w:t>
            </w:r>
            <w:r w:rsidRPr="0053423A">
              <w:rPr>
                <w:rFonts w:cs="GHEA Grapalat"/>
                <w:sz w:val="20"/>
                <w:szCs w:val="20"/>
                <w:lang w:val="af-ZA"/>
              </w:rPr>
              <w:t xml:space="preserve"> </w:t>
            </w:r>
            <w:r w:rsidRPr="0053423A">
              <w:rPr>
                <w:rFonts w:cs="GHEA Grapalat"/>
                <w:sz w:val="20"/>
                <w:szCs w:val="20"/>
                <w:lang w:val="ru-RU"/>
              </w:rPr>
              <w:t>ընդունումից</w:t>
            </w:r>
            <w:r w:rsidRPr="0053423A">
              <w:rPr>
                <w:rFonts w:cs="GHEA Grapalat"/>
                <w:sz w:val="20"/>
                <w:szCs w:val="20"/>
                <w:lang w:val="af-ZA"/>
              </w:rPr>
              <w:t xml:space="preserve"> </w:t>
            </w:r>
            <w:r w:rsidRPr="0053423A">
              <w:rPr>
                <w:rFonts w:cs="GHEA Grapalat"/>
                <w:sz w:val="20"/>
                <w:szCs w:val="20"/>
                <w:lang w:val="ru-RU"/>
              </w:rPr>
              <w:t>հետո</w:t>
            </w:r>
            <w:r w:rsidRPr="0053423A">
              <w:rPr>
                <w:rFonts w:cs="GHEA Grapalat"/>
                <w:sz w:val="20"/>
                <w:szCs w:val="20"/>
                <w:lang w:val="af-ZA"/>
              </w:rPr>
              <w:t xml:space="preserve"> </w:t>
            </w:r>
            <w:r w:rsidRPr="0053423A">
              <w:rPr>
                <w:color w:val="000000"/>
                <w:sz w:val="20"/>
                <w:szCs w:val="20"/>
                <w:shd w:val="clear" w:color="auto" w:fill="FFFFFF"/>
              </w:rPr>
              <w:t>մետաղական</w:t>
            </w:r>
            <w:r w:rsidRPr="0053423A">
              <w:rPr>
                <w:color w:val="000000"/>
                <w:sz w:val="20"/>
                <w:szCs w:val="20"/>
                <w:shd w:val="clear" w:color="auto" w:fill="FFFFFF"/>
                <w:lang w:val="af-ZA"/>
              </w:rPr>
              <w:t xml:space="preserve"> </w:t>
            </w:r>
            <w:r w:rsidRPr="0053423A">
              <w:rPr>
                <w:color w:val="000000"/>
                <w:sz w:val="20"/>
                <w:szCs w:val="20"/>
                <w:shd w:val="clear" w:color="auto" w:fill="FFFFFF"/>
              </w:rPr>
              <w:t>օգտակար</w:t>
            </w:r>
            <w:r w:rsidRPr="0053423A">
              <w:rPr>
                <w:color w:val="000000"/>
                <w:sz w:val="20"/>
                <w:szCs w:val="20"/>
                <w:shd w:val="clear" w:color="auto" w:fill="FFFFFF"/>
                <w:lang w:val="af-ZA"/>
              </w:rPr>
              <w:t xml:space="preserve"> </w:t>
            </w:r>
            <w:r w:rsidRPr="0053423A">
              <w:rPr>
                <w:color w:val="000000"/>
                <w:sz w:val="20"/>
                <w:szCs w:val="20"/>
                <w:shd w:val="clear" w:color="auto" w:fill="FFFFFF"/>
              </w:rPr>
              <w:t>հանածո</w:t>
            </w:r>
            <w:r w:rsidRPr="0053423A">
              <w:rPr>
                <w:color w:val="000000"/>
                <w:sz w:val="20"/>
                <w:szCs w:val="20"/>
                <w:shd w:val="clear" w:color="auto" w:fill="FFFFFF"/>
                <w:lang w:val="af-ZA"/>
              </w:rPr>
              <w:t xml:space="preserve"> </w:t>
            </w:r>
            <w:r w:rsidRPr="0053423A">
              <w:rPr>
                <w:color w:val="000000"/>
                <w:sz w:val="20"/>
                <w:szCs w:val="20"/>
                <w:shd w:val="clear" w:color="auto" w:fill="FFFFFF"/>
              </w:rPr>
              <w:t>արդյունահանող</w:t>
            </w:r>
            <w:r w:rsidRPr="0053423A">
              <w:rPr>
                <w:color w:val="000000"/>
                <w:sz w:val="20"/>
                <w:szCs w:val="20"/>
                <w:shd w:val="clear" w:color="auto" w:fill="FFFFFF"/>
                <w:lang w:val="af-ZA"/>
              </w:rPr>
              <w:t xml:space="preserve"> </w:t>
            </w:r>
            <w:r w:rsidRPr="0053423A">
              <w:rPr>
                <w:color w:val="000000"/>
                <w:sz w:val="20"/>
                <w:szCs w:val="20"/>
                <w:shd w:val="clear" w:color="auto" w:fill="FFFFFF"/>
              </w:rPr>
              <w:t>ընկերությունների</w:t>
            </w:r>
            <w:r w:rsidRPr="0053423A">
              <w:rPr>
                <w:color w:val="000000"/>
                <w:sz w:val="20"/>
                <w:szCs w:val="20"/>
                <w:shd w:val="clear" w:color="auto" w:fill="FFFFFF"/>
                <w:lang w:val="af-ZA"/>
              </w:rPr>
              <w:t xml:space="preserve"> </w:t>
            </w:r>
            <w:r w:rsidRPr="0053423A">
              <w:rPr>
                <w:color w:val="000000"/>
                <w:sz w:val="20"/>
                <w:szCs w:val="20"/>
                <w:shd w:val="clear" w:color="auto" w:fill="FFFFFF"/>
              </w:rPr>
              <w:t>կողմից</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պետական</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բյուջե</w:t>
            </w:r>
            <w:r w:rsidRPr="0053423A">
              <w:rPr>
                <w:color w:val="000000"/>
                <w:sz w:val="20"/>
                <w:szCs w:val="20"/>
                <w:shd w:val="clear" w:color="auto" w:fill="FFFFFF"/>
                <w:lang w:val="af-ZA"/>
              </w:rPr>
              <w:t xml:space="preserve"> </w:t>
            </w:r>
            <w:r w:rsidRPr="0053423A">
              <w:rPr>
                <w:color w:val="000000"/>
                <w:sz w:val="20"/>
                <w:szCs w:val="20"/>
                <w:shd w:val="clear" w:color="auto" w:fill="FFFFFF"/>
              </w:rPr>
              <w:t>վճարվող</w:t>
            </w:r>
            <w:r w:rsidRPr="0053423A">
              <w:rPr>
                <w:color w:val="000000"/>
                <w:sz w:val="20"/>
                <w:szCs w:val="20"/>
                <w:shd w:val="clear" w:color="auto" w:fill="FFFFFF"/>
                <w:lang w:val="af-ZA"/>
              </w:rPr>
              <w:t xml:space="preserve"> </w:t>
            </w:r>
            <w:r w:rsidRPr="0053423A">
              <w:rPr>
                <w:color w:val="000000"/>
                <w:sz w:val="20"/>
                <w:szCs w:val="20"/>
                <w:shd w:val="clear" w:color="auto" w:fill="FFFFFF"/>
              </w:rPr>
              <w:t>ռոյալթիների</w:t>
            </w:r>
            <w:r w:rsidRPr="0053423A">
              <w:rPr>
                <w:color w:val="000000"/>
                <w:sz w:val="20"/>
                <w:szCs w:val="20"/>
                <w:shd w:val="clear" w:color="auto" w:fill="FFFFFF"/>
                <w:lang w:val="ru-RU"/>
              </w:rPr>
              <w:t>ց</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որոշ</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մաս</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կհատկացվի</w:t>
            </w:r>
            <w:r w:rsidRPr="0053423A">
              <w:rPr>
                <w:color w:val="000000"/>
                <w:sz w:val="20"/>
                <w:szCs w:val="20"/>
                <w:shd w:val="clear" w:color="auto" w:fill="FFFFFF"/>
                <w:lang w:val="af-ZA"/>
              </w:rPr>
              <w:t xml:space="preserve"> </w:t>
            </w:r>
            <w:r w:rsidRPr="0053423A">
              <w:rPr>
                <w:color w:val="000000"/>
                <w:sz w:val="20"/>
                <w:szCs w:val="20"/>
                <w:shd w:val="clear" w:color="auto" w:fill="FFFFFF"/>
              </w:rPr>
              <w:t>համապատասխան</w:t>
            </w:r>
            <w:r w:rsidRPr="0053423A">
              <w:rPr>
                <w:color w:val="000000"/>
                <w:sz w:val="20"/>
                <w:szCs w:val="20"/>
                <w:shd w:val="clear" w:color="auto" w:fill="FFFFFF"/>
                <w:lang w:val="af-ZA"/>
              </w:rPr>
              <w:t xml:space="preserve"> </w:t>
            </w:r>
            <w:r w:rsidRPr="0053423A">
              <w:rPr>
                <w:color w:val="000000"/>
                <w:sz w:val="20"/>
                <w:szCs w:val="20"/>
                <w:shd w:val="clear" w:color="auto" w:fill="FFFFFF"/>
              </w:rPr>
              <w:t>համայնքներին</w:t>
            </w:r>
            <w:r w:rsidRPr="0053423A">
              <w:rPr>
                <w:color w:val="000000"/>
                <w:sz w:val="20"/>
                <w:szCs w:val="20"/>
                <w:shd w:val="clear" w:color="auto" w:fill="FFFFFF"/>
                <w:lang w:val="af-ZA"/>
              </w:rPr>
              <w:t>:</w:t>
            </w:r>
          </w:p>
          <w:p w:rsidR="0084615D" w:rsidRPr="0053423A" w:rsidRDefault="0084615D" w:rsidP="00A67858">
            <w:pPr>
              <w:spacing w:after="0" w:line="276" w:lineRule="auto"/>
              <w:ind w:firstLine="735"/>
              <w:jc w:val="both"/>
              <w:rPr>
                <w:rFonts w:eastAsia="Times New Roman" w:cs="Sylfaen"/>
                <w:b/>
                <w:sz w:val="20"/>
                <w:szCs w:val="20"/>
                <w:lang w:val="af-ZA"/>
              </w:rPr>
            </w:pPr>
            <w:r w:rsidRPr="0053423A">
              <w:rPr>
                <w:rFonts w:eastAsia="Times New Roman" w:cs="Courier New"/>
                <w:b/>
                <w:sz w:val="20"/>
                <w:szCs w:val="20"/>
                <w:lang w:val="af-ZA"/>
              </w:rPr>
              <w:t>2</w:t>
            </w:r>
            <w:r w:rsidRPr="0053423A">
              <w:rPr>
                <w:rFonts w:eastAsia="Times New Roman" w:cs="Sylfaen"/>
                <w:b/>
                <w:sz w:val="20"/>
                <w:szCs w:val="20"/>
                <w:lang w:val="af-ZA"/>
              </w:rPr>
              <w:t>.</w:t>
            </w:r>
            <w:r w:rsidRPr="0053423A">
              <w:rPr>
                <w:rFonts w:ascii="Calibri" w:eastAsia="Times New Roman" w:hAnsi="Calibri" w:cs="Calibri"/>
                <w:b/>
                <w:sz w:val="20"/>
                <w:szCs w:val="20"/>
                <w:lang w:val="af-ZA"/>
              </w:rPr>
              <w:t> </w:t>
            </w:r>
            <w:r w:rsidRPr="0053423A">
              <w:rPr>
                <w:rFonts w:eastAsia="Times New Roman" w:cs="Sylfaen"/>
                <w:b/>
                <w:sz w:val="20"/>
                <w:szCs w:val="20"/>
              </w:rPr>
              <w:t>Միջոցառման</w:t>
            </w:r>
            <w:r w:rsidRPr="0053423A">
              <w:rPr>
                <w:rFonts w:eastAsia="Times New Roman" w:cs="Sylfaen"/>
                <w:b/>
                <w:sz w:val="20"/>
                <w:szCs w:val="20"/>
                <w:lang w:val="af-ZA"/>
              </w:rPr>
              <w:t xml:space="preserve"> </w:t>
            </w:r>
            <w:r w:rsidRPr="0053423A">
              <w:rPr>
                <w:rFonts w:eastAsia="Times New Roman" w:cs="Sylfaen"/>
                <w:b/>
                <w:sz w:val="20"/>
                <w:szCs w:val="20"/>
              </w:rPr>
              <w:t>իրակա</w:t>
            </w:r>
            <w:r w:rsidRPr="0053423A">
              <w:rPr>
                <w:rFonts w:eastAsia="Times New Roman" w:cs="Sylfaen"/>
                <w:b/>
                <w:sz w:val="20"/>
                <w:szCs w:val="20"/>
                <w:lang w:val="ru-RU"/>
              </w:rPr>
              <w:t>նա</w:t>
            </w:r>
            <w:r w:rsidRPr="0053423A">
              <w:rPr>
                <w:rFonts w:eastAsia="Times New Roman" w:cs="Sylfaen"/>
                <w:b/>
                <w:sz w:val="20"/>
                <w:szCs w:val="20"/>
              </w:rPr>
              <w:t>ցումից</w:t>
            </w:r>
            <w:r w:rsidRPr="0053423A">
              <w:rPr>
                <w:rFonts w:eastAsia="Times New Roman" w:cs="Sylfaen"/>
                <w:b/>
                <w:sz w:val="20"/>
                <w:szCs w:val="20"/>
                <w:lang w:val="af-ZA"/>
              </w:rPr>
              <w:t xml:space="preserve"> </w:t>
            </w:r>
            <w:r w:rsidRPr="0053423A">
              <w:rPr>
                <w:rFonts w:eastAsia="Times New Roman" w:cs="Sylfaen"/>
                <w:b/>
                <w:sz w:val="20"/>
                <w:szCs w:val="20"/>
              </w:rPr>
              <w:t>ակնկալվող</w:t>
            </w:r>
            <w:r w:rsidRPr="0053423A">
              <w:rPr>
                <w:rFonts w:eastAsia="Times New Roman" w:cs="Sylfaen"/>
                <w:b/>
                <w:sz w:val="20"/>
                <w:szCs w:val="20"/>
                <w:lang w:val="af-ZA"/>
              </w:rPr>
              <w:t xml:space="preserve"> </w:t>
            </w:r>
            <w:r w:rsidRPr="0053423A">
              <w:rPr>
                <w:rFonts w:eastAsia="Times New Roman" w:cs="Sylfaen"/>
                <w:b/>
                <w:sz w:val="20"/>
                <w:szCs w:val="20"/>
              </w:rPr>
              <w:t>արդյունքը</w:t>
            </w:r>
          </w:p>
          <w:p w:rsidR="0084615D" w:rsidRPr="0053423A" w:rsidRDefault="0084615D" w:rsidP="00A67858">
            <w:pPr>
              <w:pStyle w:val="ListParagraph"/>
              <w:tabs>
                <w:tab w:val="left" w:pos="-2410"/>
              </w:tabs>
              <w:spacing w:after="0" w:line="276" w:lineRule="auto"/>
              <w:ind w:left="0" w:firstLine="735"/>
              <w:jc w:val="both"/>
              <w:rPr>
                <w:color w:val="000000"/>
                <w:sz w:val="20"/>
                <w:szCs w:val="20"/>
                <w:shd w:val="clear" w:color="auto" w:fill="FFFFFF"/>
                <w:lang w:val="af-ZA"/>
              </w:rPr>
            </w:pPr>
            <w:r w:rsidRPr="0053423A">
              <w:rPr>
                <w:rFonts w:cs="Sylfaen"/>
                <w:sz w:val="20"/>
                <w:szCs w:val="20"/>
              </w:rPr>
              <w:t>Տեղական</w:t>
            </w:r>
            <w:r w:rsidRPr="0053423A">
              <w:rPr>
                <w:sz w:val="20"/>
                <w:szCs w:val="20"/>
                <w:lang w:val="af-ZA"/>
              </w:rPr>
              <w:t xml:space="preserve"> </w:t>
            </w:r>
            <w:r w:rsidRPr="0053423A">
              <w:rPr>
                <w:rFonts w:cs="Sylfaen"/>
                <w:sz w:val="20"/>
                <w:szCs w:val="20"/>
              </w:rPr>
              <w:t>համայնքների</w:t>
            </w:r>
            <w:r w:rsidRPr="0053423A">
              <w:rPr>
                <w:sz w:val="20"/>
                <w:szCs w:val="20"/>
                <w:lang w:val="af-ZA"/>
              </w:rPr>
              <w:t xml:space="preserve"> </w:t>
            </w:r>
            <w:r w:rsidRPr="0053423A">
              <w:rPr>
                <w:color w:val="000000"/>
                <w:sz w:val="20"/>
                <w:szCs w:val="20"/>
                <w:shd w:val="clear" w:color="auto" w:fill="FFFFFF"/>
                <w:lang w:val="ru-RU"/>
              </w:rPr>
              <w:t>զարգացմանը</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նպաստում</w:t>
            </w:r>
            <w:r w:rsidRPr="0053423A">
              <w:rPr>
                <w:sz w:val="20"/>
                <w:szCs w:val="20"/>
                <w:lang w:val="af-ZA"/>
              </w:rPr>
              <w:t xml:space="preserve"> </w:t>
            </w:r>
            <w:r w:rsidRPr="0053423A">
              <w:rPr>
                <w:rFonts w:cs="Sylfaen"/>
                <w:sz w:val="20"/>
                <w:szCs w:val="20"/>
              </w:rPr>
              <w:t>և</w:t>
            </w:r>
            <w:r w:rsidRPr="0053423A">
              <w:rPr>
                <w:sz w:val="20"/>
                <w:szCs w:val="20"/>
                <w:lang w:val="af-ZA"/>
              </w:rPr>
              <w:t xml:space="preserve"> </w:t>
            </w:r>
            <w:r w:rsidRPr="0053423A">
              <w:rPr>
                <w:rFonts w:cs="Sylfaen"/>
                <w:sz w:val="20"/>
                <w:szCs w:val="20"/>
              </w:rPr>
              <w:t>վերջինիս</w:t>
            </w:r>
            <w:r w:rsidRPr="0053423A">
              <w:rPr>
                <w:sz w:val="20"/>
                <w:szCs w:val="20"/>
                <w:lang w:val="af-ZA"/>
              </w:rPr>
              <w:t xml:space="preserve"> </w:t>
            </w:r>
            <w:r w:rsidRPr="0053423A">
              <w:rPr>
                <w:rFonts w:cs="Sylfaen"/>
                <w:sz w:val="20"/>
                <w:szCs w:val="20"/>
              </w:rPr>
              <w:t>համար</w:t>
            </w:r>
            <w:r w:rsidRPr="0053423A">
              <w:rPr>
                <w:sz w:val="20"/>
                <w:szCs w:val="20"/>
                <w:lang w:val="af-ZA"/>
              </w:rPr>
              <w:t xml:space="preserve"> </w:t>
            </w:r>
            <w:r w:rsidRPr="0053423A">
              <w:rPr>
                <w:rFonts w:cs="Sylfaen"/>
                <w:sz w:val="20"/>
                <w:szCs w:val="20"/>
              </w:rPr>
              <w:t>օգուտների</w:t>
            </w:r>
            <w:r w:rsidRPr="0053423A">
              <w:rPr>
                <w:sz w:val="20"/>
                <w:szCs w:val="20"/>
                <w:lang w:val="af-ZA"/>
              </w:rPr>
              <w:t xml:space="preserve"> </w:t>
            </w:r>
            <w:r w:rsidRPr="0053423A">
              <w:rPr>
                <w:rFonts w:cs="Sylfaen"/>
                <w:sz w:val="20"/>
                <w:szCs w:val="20"/>
              </w:rPr>
              <w:t>ապահովման</w:t>
            </w:r>
            <w:r w:rsidRPr="0053423A">
              <w:rPr>
                <w:sz w:val="20"/>
                <w:szCs w:val="20"/>
                <w:lang w:val="af-ZA"/>
              </w:rPr>
              <w:t xml:space="preserve"> </w:t>
            </w:r>
            <w:r w:rsidRPr="0053423A">
              <w:rPr>
                <w:rFonts w:cs="Sylfaen"/>
                <w:sz w:val="20"/>
                <w:szCs w:val="20"/>
              </w:rPr>
              <w:t>մեխանիզմներ</w:t>
            </w:r>
            <w:r w:rsidRPr="0053423A">
              <w:rPr>
                <w:rFonts w:cs="Sylfaen"/>
                <w:sz w:val="20"/>
                <w:szCs w:val="20"/>
                <w:lang w:val="ru-RU"/>
              </w:rPr>
              <w:t>ի</w:t>
            </w:r>
            <w:r w:rsidRPr="0053423A">
              <w:rPr>
                <w:rFonts w:cs="Sylfaen"/>
                <w:sz w:val="20"/>
                <w:szCs w:val="20"/>
                <w:lang w:val="af-ZA"/>
              </w:rPr>
              <w:t xml:space="preserve"> </w:t>
            </w:r>
            <w:r w:rsidRPr="0053423A">
              <w:rPr>
                <w:rFonts w:cs="Sylfaen"/>
                <w:sz w:val="20"/>
                <w:szCs w:val="20"/>
                <w:lang w:val="ru-RU"/>
              </w:rPr>
              <w:t>ներդրում</w:t>
            </w:r>
            <w:r w:rsidRPr="0053423A">
              <w:rPr>
                <w:rFonts w:cs="Sylfaen"/>
                <w:sz w:val="20"/>
                <w:szCs w:val="20"/>
                <w:lang w:val="af-ZA"/>
              </w:rPr>
              <w:t xml:space="preserve"> </w:t>
            </w:r>
          </w:p>
          <w:p w:rsidR="0084615D" w:rsidRPr="0053423A" w:rsidRDefault="0084615D" w:rsidP="00A67858">
            <w:pPr>
              <w:spacing w:after="0" w:line="276" w:lineRule="auto"/>
              <w:jc w:val="center"/>
              <w:rPr>
                <w:rFonts w:cs="GHEA Grapalat"/>
                <w:b/>
                <w:sz w:val="20"/>
                <w:szCs w:val="20"/>
                <w:lang w:val="af-ZA"/>
              </w:rPr>
            </w:pP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 xml:space="preserve">18 </w:t>
            </w:r>
          </w:p>
        </w:tc>
        <w:tc>
          <w:tcPr>
            <w:tcW w:w="10879" w:type="dxa"/>
            <w:shd w:val="clear" w:color="auto" w:fill="auto"/>
          </w:tcPr>
          <w:p w:rsidR="0084615D" w:rsidRPr="0053423A" w:rsidRDefault="0084615D" w:rsidP="00A67858">
            <w:pPr>
              <w:spacing w:after="0" w:line="276" w:lineRule="auto"/>
              <w:jc w:val="center"/>
              <w:rPr>
                <w:rFonts w:cs="GHEA Grapalat"/>
                <w:b/>
                <w:sz w:val="20"/>
                <w:szCs w:val="20"/>
                <w:lang w:val="hy-AM"/>
              </w:rPr>
            </w:pPr>
            <w:r w:rsidRPr="0053423A">
              <w:rPr>
                <w:rFonts w:cs="GHEA Grapalat"/>
                <w:b/>
                <w:sz w:val="20"/>
                <w:szCs w:val="20"/>
                <w:lang w:val="hy-AM"/>
              </w:rPr>
              <w:t>Բնապահպանական հարկերից համայնքների մասհանման մեխանիզմի հստակեցում</w:t>
            </w:r>
          </w:p>
          <w:p w:rsidR="0084615D" w:rsidRPr="0053423A" w:rsidRDefault="0084615D" w:rsidP="00A67858">
            <w:pPr>
              <w:spacing w:after="0" w:line="276" w:lineRule="auto"/>
              <w:jc w:val="center"/>
              <w:rPr>
                <w:rFonts w:cs="GHEA Grapalat"/>
                <w:b/>
                <w:sz w:val="20"/>
                <w:szCs w:val="20"/>
                <w:lang w:val="hy-AM"/>
              </w:rPr>
            </w:pPr>
          </w:p>
          <w:p w:rsidR="0084615D" w:rsidRDefault="0084615D" w:rsidP="00A67858">
            <w:pPr>
              <w:pStyle w:val="ListParagraph"/>
              <w:tabs>
                <w:tab w:val="left" w:pos="-2410"/>
              </w:tabs>
              <w:spacing w:after="0" w:line="276" w:lineRule="auto"/>
              <w:ind w:left="0" w:firstLine="735"/>
              <w:jc w:val="center"/>
              <w:rPr>
                <w:rFonts w:eastAsia="Times New Roman" w:cs="Sylfaen"/>
                <w:b/>
                <w:noProof/>
                <w:spacing w:val="-8"/>
                <w:sz w:val="20"/>
                <w:szCs w:val="20"/>
                <w:u w:val="single"/>
                <w:lang w:val="hy-AM"/>
              </w:rPr>
            </w:pPr>
            <w:r w:rsidRPr="0053423A">
              <w:rPr>
                <w:rFonts w:eastAsia="Times New Roman" w:cs="Sylfaen"/>
                <w:b/>
                <w:noProof/>
                <w:spacing w:val="-8"/>
                <w:sz w:val="20"/>
                <w:szCs w:val="20"/>
                <w:u w:val="single"/>
                <w:lang w:val="hy-AM"/>
              </w:rPr>
              <w:t>«Ընկերությունների կողմից վճարվող</w:t>
            </w:r>
            <w:r w:rsidRPr="0053423A">
              <w:rPr>
                <w:rFonts w:ascii="Calibri" w:eastAsia="Times New Roman" w:hAnsi="Calibri" w:cs="Calibri"/>
                <w:b/>
                <w:noProof/>
                <w:spacing w:val="-8"/>
                <w:sz w:val="20"/>
                <w:szCs w:val="20"/>
                <w:u w:val="single"/>
                <w:lang w:val="hy-AM"/>
              </w:rPr>
              <w:t> </w:t>
            </w:r>
            <w:r w:rsidRPr="0053423A">
              <w:rPr>
                <w:rFonts w:eastAsia="Times New Roman" w:cs="Sylfaen"/>
                <w:b/>
                <w:noProof/>
                <w:spacing w:val="-8"/>
                <w:sz w:val="20"/>
                <w:szCs w:val="20"/>
                <w:u w:val="single"/>
                <w:lang w:val="hy-AM"/>
              </w:rPr>
              <w:t xml:space="preserve"> բնապահպանական</w:t>
            </w:r>
            <w:r w:rsidRPr="0053423A">
              <w:rPr>
                <w:rFonts w:ascii="Calibri" w:eastAsia="Times New Roman" w:hAnsi="Calibri" w:cs="Calibri"/>
                <w:b/>
                <w:noProof/>
                <w:spacing w:val="-8"/>
                <w:sz w:val="20"/>
                <w:szCs w:val="20"/>
                <w:u w:val="single"/>
                <w:lang w:val="hy-AM"/>
              </w:rPr>
              <w:t> </w:t>
            </w:r>
            <w:r w:rsidRPr="0053423A">
              <w:rPr>
                <w:rFonts w:eastAsia="Times New Roman" w:cs="Sylfaen"/>
                <w:b/>
                <w:noProof/>
                <w:spacing w:val="-8"/>
                <w:sz w:val="20"/>
                <w:szCs w:val="20"/>
                <w:u w:val="single"/>
                <w:lang w:val="hy-AM"/>
              </w:rPr>
              <w:t xml:space="preserve">հարկի </w:t>
            </w:r>
            <w:r w:rsidRPr="0053423A">
              <w:rPr>
                <w:rFonts w:ascii="Calibri" w:eastAsia="Times New Roman" w:hAnsi="Calibri" w:cs="Calibri"/>
                <w:b/>
                <w:noProof/>
                <w:spacing w:val="-8"/>
                <w:sz w:val="20"/>
                <w:szCs w:val="20"/>
                <w:u w:val="single"/>
                <w:lang w:val="hy-AM"/>
              </w:rPr>
              <w:t> </w:t>
            </w:r>
            <w:r w:rsidRPr="0053423A">
              <w:rPr>
                <w:rFonts w:eastAsia="Times New Roman" w:cs="Sylfaen"/>
                <w:b/>
                <w:noProof/>
                <w:spacing w:val="-8"/>
                <w:sz w:val="20"/>
                <w:szCs w:val="20"/>
                <w:u w:val="single"/>
                <w:lang w:val="hy-AM"/>
              </w:rPr>
              <w:t>նպատակային օգտագործման մասին  Հայաստանի Հանրապետության օրենքում փոփոխություններ և լրացումներ կատարելու մասին» ՀՀ օրենքի նախագծի մշակում</w:t>
            </w:r>
          </w:p>
          <w:p w:rsidR="00B770E8" w:rsidRPr="0053423A" w:rsidRDefault="00B770E8" w:rsidP="00A67858">
            <w:pPr>
              <w:pStyle w:val="ListParagraph"/>
              <w:tabs>
                <w:tab w:val="left" w:pos="-2410"/>
              </w:tabs>
              <w:spacing w:after="0" w:line="276" w:lineRule="auto"/>
              <w:ind w:left="0" w:firstLine="735"/>
              <w:jc w:val="center"/>
              <w:rPr>
                <w:rFonts w:eastAsia="Times New Roman" w:cs="Sylfaen"/>
                <w:b/>
                <w:noProof/>
                <w:spacing w:val="-8"/>
                <w:sz w:val="20"/>
                <w:szCs w:val="20"/>
                <w:u w:val="single"/>
                <w:lang w:val="af-ZA"/>
              </w:rPr>
            </w:pPr>
          </w:p>
          <w:p w:rsidR="0084615D" w:rsidRPr="0053423A" w:rsidRDefault="0084615D" w:rsidP="00A67858">
            <w:pPr>
              <w:spacing w:after="0" w:line="276" w:lineRule="auto"/>
              <w:ind w:firstLine="735"/>
              <w:rPr>
                <w:rFonts w:eastAsia="Times New Roman" w:cs="Sylfaen"/>
                <w:b/>
                <w:i/>
                <w:noProof/>
                <w:spacing w:val="-8"/>
                <w:sz w:val="20"/>
                <w:szCs w:val="20"/>
                <w:lang w:val="af-ZA"/>
              </w:rPr>
            </w:pPr>
            <w:r w:rsidRPr="0053423A">
              <w:rPr>
                <w:rFonts w:eastAsia="Times New Roman" w:cs="Courier New"/>
                <w:b/>
                <w:sz w:val="20"/>
                <w:szCs w:val="20"/>
                <w:lang w:val="af-ZA"/>
              </w:rPr>
              <w:t>1.</w:t>
            </w:r>
            <w:r w:rsidRPr="0053423A">
              <w:rPr>
                <w:rFonts w:ascii="Calibri" w:eastAsia="Times New Roman" w:hAnsi="Calibri" w:cs="Calibri"/>
                <w:b/>
                <w:sz w:val="20"/>
                <w:szCs w:val="20"/>
                <w:lang w:val="af-ZA"/>
              </w:rPr>
              <w:t> </w:t>
            </w:r>
            <w:r w:rsidRPr="0053423A">
              <w:rPr>
                <w:rFonts w:eastAsia="Times New Roman" w:cs="Sylfaen"/>
                <w:b/>
                <w:sz w:val="20"/>
                <w:szCs w:val="20"/>
                <w:lang w:val="hy-AM"/>
              </w:rPr>
              <w:t>Միջոցառման</w:t>
            </w:r>
            <w:r w:rsidRPr="0053423A">
              <w:rPr>
                <w:rFonts w:eastAsia="Times New Roman"/>
                <w:b/>
                <w:sz w:val="20"/>
                <w:szCs w:val="20"/>
                <w:lang w:val="af-ZA"/>
              </w:rPr>
              <w:t xml:space="preserve"> </w:t>
            </w:r>
            <w:r w:rsidRPr="0053423A">
              <w:rPr>
                <w:rFonts w:eastAsia="Times New Roman" w:cs="Sylfaen"/>
                <w:b/>
                <w:sz w:val="20"/>
                <w:szCs w:val="20"/>
                <w:lang w:val="hy-AM"/>
              </w:rPr>
              <w:t>իրականացման</w:t>
            </w:r>
            <w:r w:rsidRPr="0053423A">
              <w:rPr>
                <w:rFonts w:eastAsia="Times New Roman"/>
                <w:b/>
                <w:sz w:val="20"/>
                <w:szCs w:val="20"/>
                <w:lang w:val="af-ZA"/>
              </w:rPr>
              <w:t xml:space="preserve"> </w:t>
            </w:r>
            <w:r w:rsidRPr="0053423A">
              <w:rPr>
                <w:rFonts w:eastAsia="Times New Roman" w:cs="Sylfae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նպատակը</w:t>
            </w:r>
          </w:p>
          <w:p w:rsidR="0084615D" w:rsidRPr="0053423A" w:rsidRDefault="0084615D" w:rsidP="00A67858">
            <w:pPr>
              <w:pStyle w:val="NormalWeb"/>
              <w:spacing w:before="0" w:beforeAutospacing="0" w:after="0" w:afterAutospacing="0" w:line="276" w:lineRule="auto"/>
              <w:ind w:firstLine="735"/>
              <w:jc w:val="both"/>
              <w:rPr>
                <w:rFonts w:ascii="GHEA Grapalat" w:hAnsi="GHEA Grapalat"/>
                <w:color w:val="000000"/>
                <w:sz w:val="20"/>
                <w:szCs w:val="20"/>
                <w:shd w:val="clear" w:color="auto" w:fill="FFFFFF"/>
                <w:lang w:val="af-ZA"/>
              </w:rPr>
            </w:pPr>
            <w:r w:rsidRPr="0053423A">
              <w:rPr>
                <w:rFonts w:ascii="GHEA Grapalat" w:hAnsi="GHEA Grapalat"/>
                <w:color w:val="000000"/>
                <w:sz w:val="20"/>
                <w:szCs w:val="20"/>
                <w:shd w:val="clear" w:color="auto" w:fill="FFFFFF"/>
              </w:rPr>
              <w:t>Անհրաժեշտություն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է</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առաջացել</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փոփոխություններ</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և</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լրացումներ</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կատարել</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Ընկերությունների</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կողմից</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վճարվող</w:t>
            </w:r>
            <w:r w:rsidRPr="0053423A">
              <w:rPr>
                <w:rFonts w:ascii="Calibri" w:hAnsi="Calibri" w:cs="Calibri"/>
                <w:color w:val="000000"/>
                <w:sz w:val="20"/>
                <w:szCs w:val="20"/>
                <w:shd w:val="clear" w:color="auto" w:fill="FFFFFF"/>
                <w:lang w:val="af-ZA"/>
              </w:rPr>
              <w:t> </w:t>
            </w:r>
            <w:r w:rsidRPr="0053423A">
              <w:rPr>
                <w:rFonts w:ascii="GHEA Grapalat" w:hAnsi="GHEA Grapalat" w:cs="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բնապահպանական</w:t>
            </w:r>
            <w:r w:rsidRPr="0053423A">
              <w:rPr>
                <w:rFonts w:ascii="Calibri" w:hAnsi="Calibri" w:cs="Calibri"/>
                <w:color w:val="000000"/>
                <w:sz w:val="20"/>
                <w:szCs w:val="20"/>
                <w:shd w:val="clear" w:color="auto" w:fill="FFFFFF"/>
                <w:lang w:val="af-ZA"/>
              </w:rPr>
              <w:t> </w:t>
            </w:r>
            <w:r w:rsidRPr="0053423A">
              <w:rPr>
                <w:rFonts w:ascii="GHEA Grapalat" w:hAnsi="GHEA Grapalat"/>
                <w:color w:val="000000"/>
                <w:sz w:val="20"/>
                <w:szCs w:val="20"/>
                <w:shd w:val="clear" w:color="auto" w:fill="FFFFFF"/>
              </w:rPr>
              <w:t>հարկի</w:t>
            </w:r>
            <w:r w:rsidRPr="0053423A">
              <w:rPr>
                <w:rFonts w:ascii="GHEA Grapalat" w:hAnsi="GHEA Grapalat"/>
                <w:color w:val="000000"/>
                <w:sz w:val="20"/>
                <w:szCs w:val="20"/>
                <w:shd w:val="clear" w:color="auto" w:fill="FFFFFF"/>
                <w:lang w:val="af-ZA"/>
              </w:rPr>
              <w:t xml:space="preserve"> </w:t>
            </w:r>
            <w:r w:rsidRPr="0053423A">
              <w:rPr>
                <w:rFonts w:ascii="Calibri" w:hAnsi="Calibri" w:cs="Calibri"/>
                <w:color w:val="000000"/>
                <w:sz w:val="20"/>
                <w:szCs w:val="20"/>
                <w:shd w:val="clear" w:color="auto" w:fill="FFFFFF"/>
                <w:lang w:val="af-ZA"/>
              </w:rPr>
              <w:t> </w:t>
            </w:r>
            <w:r w:rsidRPr="0053423A">
              <w:rPr>
                <w:rFonts w:ascii="GHEA Grapalat" w:hAnsi="GHEA Grapalat"/>
                <w:color w:val="000000"/>
                <w:sz w:val="20"/>
                <w:szCs w:val="20"/>
                <w:shd w:val="clear" w:color="auto" w:fill="FFFFFF"/>
              </w:rPr>
              <w:t>նպատակային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օգտագործման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մասին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Հայաստանի</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Հանրապետության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օրենքում</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lang w:val="ru-RU"/>
              </w:rPr>
              <w:t>որով</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lang w:val="ru-RU"/>
              </w:rPr>
              <w:t>կ</w:t>
            </w:r>
            <w:r w:rsidRPr="0053423A">
              <w:rPr>
                <w:rFonts w:ascii="GHEA Grapalat" w:hAnsi="GHEA Grapalat"/>
                <w:color w:val="000000"/>
                <w:sz w:val="20"/>
                <w:szCs w:val="20"/>
                <w:shd w:val="clear" w:color="auto" w:fill="FFFFFF"/>
              </w:rPr>
              <w:t>որոշակիաց</w:t>
            </w:r>
            <w:r w:rsidRPr="0053423A">
              <w:rPr>
                <w:rFonts w:ascii="GHEA Grapalat" w:hAnsi="GHEA Grapalat"/>
                <w:color w:val="000000"/>
                <w:sz w:val="20"/>
                <w:szCs w:val="20"/>
                <w:shd w:val="clear" w:color="auto" w:fill="FFFFFF"/>
                <w:lang w:val="ru-RU"/>
              </w:rPr>
              <w:t>վի</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բնապահպանական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վճարներից</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համայնքների</w:t>
            </w:r>
            <w:r w:rsidR="00B770E8">
              <w:rPr>
                <w:rFonts w:ascii="GHEA Grapalat" w:hAnsi="GHEA Grapalat"/>
                <w:color w:val="000000"/>
                <w:sz w:val="20"/>
                <w:szCs w:val="20"/>
                <w:shd w:val="clear" w:color="auto" w:fill="FFFFFF"/>
                <w:lang w:val="hy-AM"/>
              </w:rPr>
              <w:t>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մասհանման</w:t>
            </w:r>
            <w:r w:rsidRPr="0053423A">
              <w:rPr>
                <w:rFonts w:ascii="GHEA Grapalat" w:hAnsi="GHEA Grapalat"/>
                <w:color w:val="000000"/>
                <w:sz w:val="20"/>
                <w:szCs w:val="20"/>
                <w:shd w:val="clear" w:color="auto" w:fill="FFFFFF"/>
                <w:lang w:val="af-ZA"/>
              </w:rPr>
              <w:t xml:space="preserve"> </w:t>
            </w:r>
            <w:r w:rsidRPr="0053423A">
              <w:rPr>
                <w:rFonts w:ascii="GHEA Grapalat" w:hAnsi="GHEA Grapalat"/>
                <w:color w:val="000000"/>
                <w:sz w:val="20"/>
                <w:szCs w:val="20"/>
                <w:shd w:val="clear" w:color="auto" w:fill="FFFFFF"/>
              </w:rPr>
              <w:t>մեխանիզմը</w:t>
            </w:r>
            <w:r w:rsidRPr="0053423A">
              <w:rPr>
                <w:rFonts w:ascii="GHEA Grapalat" w:hAnsi="GHEA Grapalat"/>
                <w:color w:val="000000"/>
                <w:sz w:val="20"/>
                <w:szCs w:val="20"/>
                <w:shd w:val="clear" w:color="auto" w:fill="FFFFFF"/>
                <w:lang w:val="af-ZA"/>
              </w:rPr>
              <w:t>:</w:t>
            </w:r>
          </w:p>
          <w:p w:rsidR="0084615D" w:rsidRPr="0053423A" w:rsidRDefault="0084615D" w:rsidP="00A67858">
            <w:pPr>
              <w:pStyle w:val="NormalWeb"/>
              <w:spacing w:before="0" w:beforeAutospacing="0" w:after="0" w:afterAutospacing="0" w:line="276" w:lineRule="auto"/>
              <w:ind w:firstLine="735"/>
              <w:jc w:val="both"/>
              <w:rPr>
                <w:rFonts w:ascii="GHEA Grapalat" w:hAnsi="GHEA Grapalat"/>
                <w:color w:val="333333"/>
                <w:sz w:val="20"/>
                <w:szCs w:val="20"/>
                <w:lang w:val="af-ZA"/>
              </w:rPr>
            </w:pPr>
            <w:r w:rsidRPr="0053423A">
              <w:rPr>
                <w:rFonts w:ascii="Calibri" w:hAnsi="Calibri" w:cs="Calibri"/>
                <w:color w:val="333333"/>
                <w:sz w:val="20"/>
                <w:szCs w:val="20"/>
                <w:lang w:val="af-ZA"/>
              </w:rPr>
              <w:t> </w:t>
            </w:r>
          </w:p>
          <w:p w:rsidR="0084615D" w:rsidRPr="0053423A" w:rsidRDefault="0084615D" w:rsidP="001F6D5D">
            <w:pPr>
              <w:pStyle w:val="ListParagraph"/>
              <w:numPr>
                <w:ilvl w:val="1"/>
                <w:numId w:val="293"/>
              </w:numPr>
              <w:tabs>
                <w:tab w:val="left" w:pos="900"/>
                <w:tab w:val="left" w:pos="1620"/>
              </w:tabs>
              <w:spacing w:after="0" w:line="276" w:lineRule="auto"/>
              <w:ind w:left="0" w:firstLine="735"/>
              <w:rPr>
                <w:rFonts w:eastAsia="Times New Roman"/>
                <w:b/>
                <w:sz w:val="20"/>
                <w:szCs w:val="20"/>
                <w:lang w:val="af-ZA"/>
              </w:rPr>
            </w:pPr>
            <w:r w:rsidRPr="0053423A">
              <w:rPr>
                <w:rFonts w:eastAsia="Times New Roman" w:cs="Sylfaen"/>
                <w:b/>
                <w:sz w:val="20"/>
                <w:szCs w:val="20"/>
                <w:lang w:val="hy-AM"/>
              </w:rPr>
              <w:t>Կարգավորման</w:t>
            </w:r>
            <w:r w:rsidRPr="0053423A">
              <w:rPr>
                <w:rFonts w:eastAsia="Times New Roman"/>
                <w:b/>
                <w:sz w:val="20"/>
                <w:szCs w:val="20"/>
                <w:lang w:val="af-ZA"/>
              </w:rPr>
              <w:t xml:space="preserve"> </w:t>
            </w:r>
            <w:r w:rsidRPr="0053423A">
              <w:rPr>
                <w:rFonts w:eastAsia="Times New Roman" w:cs="Sylfaen"/>
                <w:b/>
                <w:sz w:val="20"/>
                <w:szCs w:val="20"/>
                <w:lang w:val="hy-AM"/>
              </w:rPr>
              <w:t>հարաբերությունների</w:t>
            </w:r>
            <w:r w:rsidRPr="0053423A">
              <w:rPr>
                <w:rFonts w:eastAsia="Times New Roman"/>
                <w:b/>
                <w:sz w:val="20"/>
                <w:szCs w:val="20"/>
                <w:lang w:val="af-ZA"/>
              </w:rPr>
              <w:t xml:space="preserve"> </w:t>
            </w:r>
            <w:r w:rsidRPr="0053423A">
              <w:rPr>
                <w:rFonts w:eastAsia="Times New Roman" w:cs="Sylfaen"/>
                <w:b/>
                <w:sz w:val="20"/>
                <w:szCs w:val="20"/>
                <w:lang w:val="hy-AM"/>
              </w:rPr>
              <w:t>ներկա</w:t>
            </w:r>
            <w:r w:rsidRPr="0053423A">
              <w:rPr>
                <w:rFonts w:eastAsia="Times New Roman"/>
                <w:b/>
                <w:sz w:val="20"/>
                <w:szCs w:val="20"/>
                <w:lang w:val="af-ZA"/>
              </w:rPr>
              <w:t xml:space="preserve"> </w:t>
            </w:r>
            <w:r w:rsidRPr="0053423A">
              <w:rPr>
                <w:rFonts w:eastAsia="Times New Roman" w:cs="Sylfaen"/>
                <w:b/>
                <w:sz w:val="20"/>
                <w:szCs w:val="20"/>
                <w:lang w:val="hy-AM"/>
              </w:rPr>
              <w:t>վիճակը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առկա</w:t>
            </w:r>
            <w:r w:rsidRPr="0053423A">
              <w:rPr>
                <w:rFonts w:eastAsia="Times New Roman"/>
                <w:b/>
                <w:sz w:val="20"/>
                <w:szCs w:val="20"/>
                <w:lang w:val="af-ZA"/>
              </w:rPr>
              <w:t xml:space="preserve"> </w:t>
            </w:r>
            <w:r w:rsidRPr="0053423A">
              <w:rPr>
                <w:rFonts w:eastAsia="Times New Roman" w:cs="Sylfaen"/>
                <w:b/>
                <w:sz w:val="20"/>
                <w:szCs w:val="20"/>
                <w:lang w:val="hy-AM"/>
              </w:rPr>
              <w:t>խնդիրները</w:t>
            </w:r>
          </w:p>
          <w:p w:rsidR="0084615D" w:rsidRPr="0053423A" w:rsidRDefault="0084615D" w:rsidP="00A67858">
            <w:pPr>
              <w:spacing w:after="0" w:line="276" w:lineRule="auto"/>
              <w:ind w:firstLine="735"/>
              <w:jc w:val="both"/>
              <w:rPr>
                <w:color w:val="000000"/>
                <w:sz w:val="20"/>
                <w:szCs w:val="20"/>
                <w:shd w:val="clear" w:color="auto" w:fill="FFFFFF"/>
                <w:lang w:val="af-ZA"/>
              </w:rPr>
            </w:pPr>
            <w:r w:rsidRPr="0053423A">
              <w:rPr>
                <w:color w:val="000000"/>
                <w:sz w:val="20"/>
                <w:szCs w:val="20"/>
                <w:shd w:val="clear" w:color="auto" w:fill="FFFFFF"/>
                <w:lang w:val="af-ZA"/>
              </w:rPr>
              <w:t>«</w:t>
            </w:r>
            <w:r w:rsidRPr="0053423A">
              <w:rPr>
                <w:rFonts w:eastAsia="Times New Roman"/>
                <w:color w:val="000000"/>
                <w:sz w:val="20"/>
                <w:szCs w:val="20"/>
                <w:shd w:val="clear" w:color="auto" w:fill="FFFFFF"/>
              </w:rPr>
              <w:t>Ընկերությունների</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rPr>
              <w:t>կողմից</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rPr>
              <w:t>վճարվող</w:t>
            </w:r>
            <w:r w:rsidRPr="0053423A">
              <w:rPr>
                <w:rFonts w:ascii="Calibri" w:eastAsia="Times New Roman" w:hAnsi="Calibri" w:cs="Calibri"/>
                <w:color w:val="000000"/>
                <w:sz w:val="20"/>
                <w:szCs w:val="20"/>
                <w:shd w:val="clear" w:color="auto" w:fill="FFFFFF"/>
                <w:lang w:val="af-ZA"/>
              </w:rPr>
              <w:t> </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rPr>
              <w:t>բնապահպանական</w:t>
            </w:r>
            <w:r w:rsidRPr="0053423A">
              <w:rPr>
                <w:rFonts w:ascii="Calibri" w:eastAsia="Times New Roman" w:hAnsi="Calibri" w:cs="Calibri"/>
                <w:color w:val="000000"/>
                <w:sz w:val="20"/>
                <w:szCs w:val="20"/>
                <w:shd w:val="clear" w:color="auto" w:fill="FFFFFF"/>
                <w:lang w:val="af-ZA"/>
              </w:rPr>
              <w:t> </w:t>
            </w:r>
            <w:r w:rsidRPr="0053423A">
              <w:rPr>
                <w:rFonts w:eastAsia="Times New Roman"/>
                <w:color w:val="000000"/>
                <w:sz w:val="20"/>
                <w:szCs w:val="20"/>
                <w:shd w:val="clear" w:color="auto" w:fill="FFFFFF"/>
              </w:rPr>
              <w:t>հարկի</w:t>
            </w:r>
            <w:r w:rsidRPr="0053423A">
              <w:rPr>
                <w:rFonts w:eastAsia="Times New Roman"/>
                <w:color w:val="000000"/>
                <w:sz w:val="20"/>
                <w:szCs w:val="20"/>
                <w:shd w:val="clear" w:color="auto" w:fill="FFFFFF"/>
                <w:lang w:val="af-ZA"/>
              </w:rPr>
              <w:t xml:space="preserve"> </w:t>
            </w:r>
            <w:r w:rsidRPr="0053423A">
              <w:rPr>
                <w:rFonts w:ascii="Calibri" w:eastAsia="Times New Roman" w:hAnsi="Calibri" w:cs="Calibri"/>
                <w:color w:val="000000"/>
                <w:sz w:val="20"/>
                <w:szCs w:val="20"/>
                <w:shd w:val="clear" w:color="auto" w:fill="FFFFFF"/>
                <w:lang w:val="af-ZA"/>
              </w:rPr>
              <w:t> </w:t>
            </w:r>
            <w:r w:rsidRPr="0053423A">
              <w:rPr>
                <w:rFonts w:eastAsia="Times New Roman"/>
                <w:color w:val="000000"/>
                <w:sz w:val="20"/>
                <w:szCs w:val="20"/>
                <w:shd w:val="clear" w:color="auto" w:fill="FFFFFF"/>
              </w:rPr>
              <w:t>նպատակային</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rPr>
              <w:t>օգտագործման</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rPr>
              <w:t>մասին</w:t>
            </w:r>
            <w:r w:rsidRPr="0053423A">
              <w:rPr>
                <w:color w:val="000000"/>
                <w:sz w:val="20"/>
                <w:szCs w:val="20"/>
                <w:shd w:val="clear" w:color="auto" w:fill="FFFFFF"/>
                <w:lang w:val="af-ZA"/>
              </w:rPr>
              <w:t>»</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rPr>
              <w:t>Հայաստանի</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rPr>
              <w:t>Հանրապետության</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lang w:val="ru-RU"/>
              </w:rPr>
              <w:t>գործող</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rPr>
              <w:t>օրենք</w:t>
            </w:r>
            <w:r w:rsidRPr="0053423A">
              <w:rPr>
                <w:rFonts w:eastAsia="Times New Roman"/>
                <w:color w:val="000000"/>
                <w:sz w:val="20"/>
                <w:szCs w:val="20"/>
                <w:shd w:val="clear" w:color="auto" w:fill="FFFFFF"/>
                <w:lang w:val="ru-RU"/>
              </w:rPr>
              <w:t>ի</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lang w:val="ru-RU"/>
              </w:rPr>
              <w:t>համաձայն</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lang w:val="ru-RU"/>
              </w:rPr>
              <w:t>ընդամենը</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lang w:val="ru-RU"/>
              </w:rPr>
              <w:t>մի</w:t>
            </w:r>
            <w:r w:rsidRPr="0053423A">
              <w:rPr>
                <w:rFonts w:eastAsia="Times New Roman"/>
                <w:color w:val="000000"/>
                <w:sz w:val="20"/>
                <w:szCs w:val="20"/>
                <w:shd w:val="clear" w:color="auto" w:fill="FFFFFF"/>
                <w:lang w:val="af-ZA"/>
              </w:rPr>
              <w:t xml:space="preserve"> </w:t>
            </w:r>
            <w:r w:rsidRPr="0053423A">
              <w:rPr>
                <w:rFonts w:eastAsia="Times New Roman"/>
                <w:color w:val="000000"/>
                <w:sz w:val="20"/>
                <w:szCs w:val="20"/>
                <w:shd w:val="clear" w:color="auto" w:fill="FFFFFF"/>
                <w:lang w:val="ru-RU"/>
              </w:rPr>
              <w:t>քանի</w:t>
            </w:r>
            <w:r w:rsidRPr="0053423A">
              <w:rPr>
                <w:rFonts w:eastAsia="Times New Roman"/>
                <w:color w:val="000000"/>
                <w:sz w:val="20"/>
                <w:szCs w:val="20"/>
                <w:shd w:val="clear" w:color="auto" w:fill="FFFFFF"/>
                <w:lang w:val="af-ZA"/>
              </w:rPr>
              <w:t xml:space="preserve"> </w:t>
            </w:r>
            <w:r w:rsidRPr="0053423A">
              <w:rPr>
                <w:rFonts w:cs="Sylfaen"/>
                <w:bCs/>
                <w:iCs/>
                <w:sz w:val="20"/>
                <w:szCs w:val="20"/>
                <w:lang w:val="hy-AM"/>
              </w:rPr>
              <w:t xml:space="preserve"> </w:t>
            </w:r>
            <w:r w:rsidRPr="0053423A">
              <w:rPr>
                <w:color w:val="000000"/>
                <w:sz w:val="20"/>
                <w:szCs w:val="20"/>
                <w:shd w:val="clear" w:color="auto" w:fill="FFFFFF"/>
              </w:rPr>
              <w:t>մետաղական</w:t>
            </w:r>
            <w:r w:rsidRPr="0053423A">
              <w:rPr>
                <w:color w:val="000000"/>
                <w:sz w:val="20"/>
                <w:szCs w:val="20"/>
                <w:shd w:val="clear" w:color="auto" w:fill="FFFFFF"/>
                <w:lang w:val="af-ZA"/>
              </w:rPr>
              <w:t xml:space="preserve"> </w:t>
            </w:r>
            <w:r w:rsidRPr="0053423A">
              <w:rPr>
                <w:color w:val="000000"/>
                <w:sz w:val="20"/>
                <w:szCs w:val="20"/>
                <w:shd w:val="clear" w:color="auto" w:fill="FFFFFF"/>
              </w:rPr>
              <w:t>օգտակար</w:t>
            </w:r>
            <w:r w:rsidRPr="0053423A">
              <w:rPr>
                <w:color w:val="000000"/>
                <w:sz w:val="20"/>
                <w:szCs w:val="20"/>
                <w:shd w:val="clear" w:color="auto" w:fill="FFFFFF"/>
                <w:lang w:val="af-ZA"/>
              </w:rPr>
              <w:t xml:space="preserve"> </w:t>
            </w:r>
            <w:r w:rsidRPr="0053423A">
              <w:rPr>
                <w:color w:val="000000"/>
                <w:sz w:val="20"/>
                <w:szCs w:val="20"/>
                <w:shd w:val="clear" w:color="auto" w:fill="FFFFFF"/>
              </w:rPr>
              <w:t>հանածո</w:t>
            </w:r>
            <w:r w:rsidRPr="0053423A">
              <w:rPr>
                <w:color w:val="000000"/>
                <w:sz w:val="20"/>
                <w:szCs w:val="20"/>
                <w:shd w:val="clear" w:color="auto" w:fill="FFFFFF"/>
                <w:lang w:val="af-ZA"/>
              </w:rPr>
              <w:t xml:space="preserve"> </w:t>
            </w:r>
            <w:r w:rsidRPr="0053423A">
              <w:rPr>
                <w:color w:val="000000"/>
                <w:sz w:val="20"/>
                <w:szCs w:val="20"/>
                <w:shd w:val="clear" w:color="auto" w:fill="FFFFFF"/>
              </w:rPr>
              <w:t>արդյունահանող</w:t>
            </w:r>
            <w:r w:rsidRPr="0053423A">
              <w:rPr>
                <w:color w:val="000000"/>
                <w:sz w:val="20"/>
                <w:szCs w:val="20"/>
                <w:shd w:val="clear" w:color="auto" w:fill="FFFFFF"/>
                <w:lang w:val="af-ZA"/>
              </w:rPr>
              <w:t xml:space="preserve"> </w:t>
            </w:r>
            <w:r w:rsidRPr="0053423A">
              <w:rPr>
                <w:color w:val="000000"/>
                <w:sz w:val="20"/>
                <w:szCs w:val="20"/>
                <w:shd w:val="clear" w:color="auto" w:fill="FFFFFF"/>
              </w:rPr>
              <w:t>ընկերություններ</w:t>
            </w:r>
            <w:r w:rsidRPr="0053423A">
              <w:rPr>
                <w:color w:val="000000"/>
                <w:sz w:val="20"/>
                <w:szCs w:val="20"/>
                <w:shd w:val="clear" w:color="auto" w:fill="FFFFFF"/>
                <w:lang w:val="ru-RU"/>
              </w:rPr>
              <w:t>ի</w:t>
            </w:r>
            <w:r w:rsidRPr="0053423A">
              <w:rPr>
                <w:color w:val="000000"/>
                <w:sz w:val="20"/>
                <w:szCs w:val="20"/>
                <w:shd w:val="clear" w:color="auto" w:fill="FFFFFF"/>
                <w:lang w:val="af-ZA"/>
              </w:rPr>
              <w:t xml:space="preserve"> </w:t>
            </w:r>
            <w:r w:rsidRPr="0053423A">
              <w:rPr>
                <w:rFonts w:eastAsia="Times New Roman" w:cs="Sylfaen"/>
                <w:sz w:val="20"/>
                <w:szCs w:val="20"/>
              </w:rPr>
              <w:t>կողմից</w:t>
            </w:r>
            <w:r w:rsidRPr="0053423A">
              <w:rPr>
                <w:rFonts w:eastAsia="Times New Roman"/>
                <w:sz w:val="20"/>
                <w:szCs w:val="20"/>
                <w:lang w:val="af-ZA"/>
              </w:rPr>
              <w:t xml:space="preserve"> </w:t>
            </w:r>
            <w:r w:rsidRPr="0053423A">
              <w:rPr>
                <w:rFonts w:eastAsia="Times New Roman" w:cs="Sylfaen"/>
                <w:sz w:val="20"/>
                <w:szCs w:val="20"/>
              </w:rPr>
              <w:t>վճարվող</w:t>
            </w:r>
            <w:r w:rsidRPr="0053423A">
              <w:rPr>
                <w:rFonts w:ascii="Calibri" w:eastAsia="Times New Roman" w:hAnsi="Calibri" w:cs="Calibri"/>
                <w:sz w:val="20"/>
                <w:szCs w:val="20"/>
                <w:lang w:val="af-ZA"/>
              </w:rPr>
              <w:t> </w:t>
            </w:r>
            <w:r w:rsidRPr="0053423A">
              <w:rPr>
                <w:rFonts w:eastAsia="Times New Roman" w:cs="Sylfaen"/>
                <w:sz w:val="20"/>
                <w:szCs w:val="20"/>
              </w:rPr>
              <w:t>բնապահպանական</w:t>
            </w:r>
            <w:r w:rsidRPr="0053423A">
              <w:rPr>
                <w:rFonts w:ascii="Calibri" w:eastAsia="Times New Roman" w:hAnsi="Calibri" w:cs="Calibri"/>
                <w:sz w:val="20"/>
                <w:szCs w:val="20"/>
                <w:lang w:val="af-ZA"/>
              </w:rPr>
              <w:t> </w:t>
            </w:r>
            <w:r w:rsidRPr="0053423A">
              <w:rPr>
                <w:rFonts w:eastAsia="Times New Roman" w:cs="Sylfaen"/>
                <w:sz w:val="20"/>
                <w:szCs w:val="20"/>
              </w:rPr>
              <w:t>հարկից</w:t>
            </w:r>
            <w:r w:rsidRPr="0053423A">
              <w:rPr>
                <w:rFonts w:eastAsia="Times New Roman"/>
                <w:sz w:val="20"/>
                <w:szCs w:val="20"/>
                <w:lang w:val="af-ZA"/>
              </w:rPr>
              <w:t xml:space="preserve"> </w:t>
            </w:r>
            <w:r w:rsidRPr="0053423A">
              <w:rPr>
                <w:rFonts w:eastAsia="Times New Roman"/>
                <w:sz w:val="20"/>
                <w:szCs w:val="20"/>
                <w:lang w:val="ru-RU"/>
              </w:rPr>
              <w:t>է</w:t>
            </w:r>
            <w:r w:rsidRPr="0053423A">
              <w:rPr>
                <w:rFonts w:eastAsia="Times New Roman"/>
                <w:sz w:val="20"/>
                <w:szCs w:val="20"/>
                <w:lang w:val="af-ZA"/>
              </w:rPr>
              <w:t xml:space="preserve"> </w:t>
            </w:r>
            <w:r w:rsidRPr="0053423A">
              <w:rPr>
                <w:rFonts w:eastAsia="Times New Roman" w:cs="Sylfaen"/>
                <w:sz w:val="20"/>
                <w:szCs w:val="20"/>
              </w:rPr>
              <w:t>մասհանումներ</w:t>
            </w:r>
            <w:r w:rsidRPr="0053423A">
              <w:rPr>
                <w:rFonts w:eastAsia="Times New Roman"/>
                <w:sz w:val="20"/>
                <w:szCs w:val="20"/>
                <w:lang w:val="af-ZA"/>
              </w:rPr>
              <w:t xml:space="preserve"> </w:t>
            </w:r>
            <w:r w:rsidRPr="0053423A">
              <w:rPr>
                <w:rFonts w:eastAsia="Times New Roman" w:cs="Sylfaen"/>
                <w:sz w:val="20"/>
                <w:szCs w:val="20"/>
              </w:rPr>
              <w:t>կատարվում</w:t>
            </w:r>
            <w:r w:rsidRPr="0053423A">
              <w:rPr>
                <w:rFonts w:eastAsia="Times New Roman" w:cs="Sylfaen"/>
                <w:sz w:val="20"/>
                <w:szCs w:val="20"/>
                <w:lang w:val="af-ZA"/>
              </w:rPr>
              <w:t>:</w:t>
            </w:r>
          </w:p>
          <w:p w:rsidR="0084615D" w:rsidRPr="0053423A" w:rsidRDefault="0084615D" w:rsidP="00A67858">
            <w:pPr>
              <w:pStyle w:val="ListParagraph"/>
              <w:tabs>
                <w:tab w:val="left" w:pos="900"/>
              </w:tabs>
              <w:spacing w:after="0" w:line="276" w:lineRule="auto"/>
              <w:ind w:left="0" w:firstLine="735"/>
              <w:rPr>
                <w:rFonts w:eastAsia="Times New Roman"/>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w:t>
            </w:r>
            <w:r w:rsidRPr="0053423A">
              <w:rPr>
                <w:rFonts w:eastAsia="Times New Roman" w:cs="Sylfaen"/>
                <w:b/>
                <w:sz w:val="20"/>
                <w:szCs w:val="20"/>
                <w:lang w:val="hy-AM"/>
              </w:rPr>
              <w:t>Առկա</w:t>
            </w:r>
            <w:r w:rsidRPr="0053423A">
              <w:rPr>
                <w:rFonts w:eastAsia="Times New Roman"/>
                <w:b/>
                <w:sz w:val="20"/>
                <w:szCs w:val="20"/>
                <w:lang w:val="af-ZA"/>
              </w:rPr>
              <w:t xml:space="preserve"> </w:t>
            </w:r>
            <w:r w:rsidRPr="0053423A">
              <w:rPr>
                <w:rFonts w:eastAsia="Times New Roman" w:cs="Sylfaen"/>
                <w:b/>
                <w:sz w:val="20"/>
                <w:szCs w:val="20"/>
                <w:lang w:val="hy-AM"/>
              </w:rPr>
              <w:t>խնդիրների</w:t>
            </w:r>
            <w:r w:rsidRPr="0053423A">
              <w:rPr>
                <w:rFonts w:eastAsia="Times New Roman"/>
                <w:b/>
                <w:sz w:val="20"/>
                <w:szCs w:val="20"/>
                <w:lang w:val="af-ZA"/>
              </w:rPr>
              <w:t xml:space="preserve"> </w:t>
            </w:r>
            <w:r w:rsidRPr="0053423A">
              <w:rPr>
                <w:rFonts w:eastAsia="Times New Roman" w:cs="Sylfaen"/>
                <w:b/>
                <w:sz w:val="20"/>
                <w:szCs w:val="20"/>
                <w:lang w:val="hy-AM"/>
              </w:rPr>
              <w:t>առաջարկվող</w:t>
            </w:r>
            <w:r w:rsidRPr="0053423A">
              <w:rPr>
                <w:rFonts w:eastAsia="Times New Roman"/>
                <w:b/>
                <w:sz w:val="20"/>
                <w:szCs w:val="20"/>
                <w:lang w:val="af-ZA"/>
              </w:rPr>
              <w:t xml:space="preserve"> </w:t>
            </w:r>
            <w:r w:rsidRPr="0053423A">
              <w:rPr>
                <w:rFonts w:eastAsia="Times New Roman" w:cs="Sylfaen"/>
                <w:b/>
                <w:sz w:val="20"/>
                <w:szCs w:val="20"/>
                <w:lang w:val="hy-AM"/>
              </w:rPr>
              <w:t>լուծումները</w:t>
            </w:r>
          </w:p>
          <w:p w:rsidR="0084615D" w:rsidRPr="0053423A" w:rsidRDefault="0084615D" w:rsidP="00A67858">
            <w:pPr>
              <w:spacing w:after="0" w:line="276" w:lineRule="auto"/>
              <w:ind w:firstLine="735"/>
              <w:jc w:val="both"/>
              <w:rPr>
                <w:color w:val="000000"/>
                <w:sz w:val="20"/>
                <w:szCs w:val="20"/>
                <w:shd w:val="clear" w:color="auto" w:fill="FFFFFF"/>
                <w:lang w:val="af-ZA"/>
              </w:rPr>
            </w:pPr>
            <w:r w:rsidRPr="0053423A">
              <w:rPr>
                <w:rFonts w:cs="GHEA Grapalat"/>
                <w:sz w:val="20"/>
                <w:szCs w:val="20"/>
                <w:lang w:val="ru-RU"/>
              </w:rPr>
              <w:t>Առաջարկվող</w:t>
            </w:r>
            <w:r w:rsidRPr="0053423A">
              <w:rPr>
                <w:rFonts w:cs="GHEA Grapalat"/>
                <w:sz w:val="20"/>
                <w:szCs w:val="20"/>
                <w:lang w:val="af-ZA"/>
              </w:rPr>
              <w:t xml:space="preserve"> </w:t>
            </w:r>
            <w:r w:rsidRPr="0053423A">
              <w:rPr>
                <w:rFonts w:cs="GHEA Grapalat"/>
                <w:sz w:val="20"/>
                <w:szCs w:val="20"/>
                <w:lang w:val="ru-RU"/>
              </w:rPr>
              <w:t>նախագծի</w:t>
            </w:r>
            <w:r w:rsidRPr="0053423A">
              <w:rPr>
                <w:rFonts w:cs="GHEA Grapalat"/>
                <w:sz w:val="20"/>
                <w:szCs w:val="20"/>
                <w:lang w:val="af-ZA"/>
              </w:rPr>
              <w:t xml:space="preserve"> </w:t>
            </w:r>
            <w:r w:rsidRPr="0053423A">
              <w:rPr>
                <w:rFonts w:cs="GHEA Grapalat"/>
                <w:sz w:val="20"/>
                <w:szCs w:val="20"/>
                <w:lang w:val="ru-RU"/>
              </w:rPr>
              <w:t>ընդունումից</w:t>
            </w:r>
            <w:r w:rsidRPr="0053423A">
              <w:rPr>
                <w:rFonts w:cs="GHEA Grapalat"/>
                <w:sz w:val="20"/>
                <w:szCs w:val="20"/>
                <w:lang w:val="af-ZA"/>
              </w:rPr>
              <w:t xml:space="preserve"> </w:t>
            </w:r>
            <w:r w:rsidRPr="0053423A">
              <w:rPr>
                <w:rFonts w:cs="GHEA Grapalat"/>
                <w:sz w:val="20"/>
                <w:szCs w:val="20"/>
                <w:lang w:val="ru-RU"/>
              </w:rPr>
              <w:t>հետո</w:t>
            </w:r>
            <w:r w:rsidRPr="0053423A">
              <w:rPr>
                <w:rFonts w:cs="GHEA Grapalat"/>
                <w:sz w:val="20"/>
                <w:szCs w:val="20"/>
                <w:lang w:val="af-ZA"/>
              </w:rPr>
              <w:t xml:space="preserve">  </w:t>
            </w:r>
            <w:r w:rsidRPr="0053423A">
              <w:rPr>
                <w:rFonts w:cs="GHEA Grapalat"/>
                <w:sz w:val="20"/>
                <w:szCs w:val="20"/>
                <w:lang w:val="ru-RU"/>
              </w:rPr>
              <w:t>բոլոր</w:t>
            </w:r>
            <w:r w:rsidRPr="0053423A">
              <w:rPr>
                <w:rFonts w:cs="GHEA Grapalat"/>
                <w:sz w:val="20"/>
                <w:szCs w:val="20"/>
                <w:lang w:val="af-ZA"/>
              </w:rPr>
              <w:t xml:space="preserve"> </w:t>
            </w:r>
            <w:r w:rsidRPr="0053423A">
              <w:rPr>
                <w:color w:val="000000"/>
                <w:sz w:val="20"/>
                <w:szCs w:val="20"/>
                <w:shd w:val="clear" w:color="auto" w:fill="FFFFFF"/>
              </w:rPr>
              <w:t>մետաղական</w:t>
            </w:r>
            <w:r w:rsidRPr="0053423A">
              <w:rPr>
                <w:color w:val="000000"/>
                <w:sz w:val="20"/>
                <w:szCs w:val="20"/>
                <w:shd w:val="clear" w:color="auto" w:fill="FFFFFF"/>
                <w:lang w:val="af-ZA"/>
              </w:rPr>
              <w:t xml:space="preserve"> </w:t>
            </w:r>
            <w:r w:rsidRPr="0053423A">
              <w:rPr>
                <w:color w:val="000000"/>
                <w:sz w:val="20"/>
                <w:szCs w:val="20"/>
                <w:shd w:val="clear" w:color="auto" w:fill="FFFFFF"/>
              </w:rPr>
              <w:t>օգտակար</w:t>
            </w:r>
            <w:r w:rsidRPr="0053423A">
              <w:rPr>
                <w:color w:val="000000"/>
                <w:sz w:val="20"/>
                <w:szCs w:val="20"/>
                <w:shd w:val="clear" w:color="auto" w:fill="FFFFFF"/>
                <w:lang w:val="af-ZA"/>
              </w:rPr>
              <w:t xml:space="preserve"> </w:t>
            </w:r>
            <w:r w:rsidRPr="0053423A">
              <w:rPr>
                <w:color w:val="000000"/>
                <w:sz w:val="20"/>
                <w:szCs w:val="20"/>
                <w:shd w:val="clear" w:color="auto" w:fill="FFFFFF"/>
              </w:rPr>
              <w:t>հանածո</w:t>
            </w:r>
            <w:r w:rsidRPr="0053423A">
              <w:rPr>
                <w:color w:val="000000"/>
                <w:sz w:val="20"/>
                <w:szCs w:val="20"/>
                <w:shd w:val="clear" w:color="auto" w:fill="FFFFFF"/>
                <w:lang w:val="af-ZA"/>
              </w:rPr>
              <w:t xml:space="preserve"> </w:t>
            </w:r>
            <w:r w:rsidRPr="0053423A">
              <w:rPr>
                <w:color w:val="000000"/>
                <w:sz w:val="20"/>
                <w:szCs w:val="20"/>
                <w:shd w:val="clear" w:color="auto" w:fill="FFFFFF"/>
              </w:rPr>
              <w:t>արդյունահանող</w:t>
            </w:r>
            <w:r w:rsidRPr="0053423A">
              <w:rPr>
                <w:color w:val="000000"/>
                <w:sz w:val="20"/>
                <w:szCs w:val="20"/>
                <w:shd w:val="clear" w:color="auto" w:fill="FFFFFF"/>
                <w:lang w:val="af-ZA"/>
              </w:rPr>
              <w:t xml:space="preserve"> </w:t>
            </w:r>
            <w:r w:rsidRPr="0053423A">
              <w:rPr>
                <w:color w:val="000000"/>
                <w:sz w:val="20"/>
                <w:szCs w:val="20"/>
                <w:shd w:val="clear" w:color="auto" w:fill="FFFFFF"/>
              </w:rPr>
              <w:t>ընկերությունների</w:t>
            </w:r>
            <w:r w:rsidRPr="0053423A">
              <w:rPr>
                <w:color w:val="000000"/>
                <w:sz w:val="20"/>
                <w:szCs w:val="20"/>
                <w:shd w:val="clear" w:color="auto" w:fill="FFFFFF"/>
                <w:lang w:val="af-ZA"/>
              </w:rPr>
              <w:t xml:space="preserve"> </w:t>
            </w:r>
            <w:r w:rsidRPr="0053423A">
              <w:rPr>
                <w:color w:val="000000"/>
                <w:sz w:val="20"/>
                <w:szCs w:val="20"/>
                <w:shd w:val="clear" w:color="auto" w:fill="FFFFFF"/>
              </w:rPr>
              <w:t>կողմից</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պետական</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բյուջե</w:t>
            </w:r>
            <w:r w:rsidRPr="0053423A">
              <w:rPr>
                <w:color w:val="000000"/>
                <w:sz w:val="20"/>
                <w:szCs w:val="20"/>
                <w:shd w:val="clear" w:color="auto" w:fill="FFFFFF"/>
                <w:lang w:val="af-ZA"/>
              </w:rPr>
              <w:t xml:space="preserve"> </w:t>
            </w:r>
            <w:r w:rsidRPr="0053423A">
              <w:rPr>
                <w:color w:val="000000"/>
                <w:sz w:val="20"/>
                <w:szCs w:val="20"/>
                <w:shd w:val="clear" w:color="auto" w:fill="FFFFFF"/>
              </w:rPr>
              <w:t>վճարվող</w:t>
            </w:r>
            <w:r w:rsidRPr="0053423A">
              <w:rPr>
                <w:color w:val="000000"/>
                <w:sz w:val="20"/>
                <w:szCs w:val="20"/>
                <w:shd w:val="clear" w:color="auto" w:fill="FFFFFF"/>
                <w:lang w:val="af-ZA"/>
              </w:rPr>
              <w:t xml:space="preserve"> </w:t>
            </w:r>
            <w:r w:rsidRPr="0053423A">
              <w:rPr>
                <w:rFonts w:eastAsia="Times New Roman" w:cs="Sylfaen"/>
                <w:sz w:val="20"/>
                <w:szCs w:val="20"/>
              </w:rPr>
              <w:t>բնապահպանական</w:t>
            </w:r>
            <w:r w:rsidRPr="0053423A">
              <w:rPr>
                <w:rFonts w:ascii="Calibri" w:eastAsia="Times New Roman" w:hAnsi="Calibri" w:cs="Calibri"/>
                <w:sz w:val="20"/>
                <w:szCs w:val="20"/>
                <w:lang w:val="af-ZA"/>
              </w:rPr>
              <w:t> </w:t>
            </w:r>
            <w:r w:rsidRPr="0053423A">
              <w:rPr>
                <w:rFonts w:eastAsia="Times New Roman" w:cs="Sylfaen"/>
                <w:sz w:val="20"/>
                <w:szCs w:val="20"/>
              </w:rPr>
              <w:t>հարկից</w:t>
            </w:r>
            <w:r w:rsidRPr="0053423A">
              <w:rPr>
                <w:rFonts w:eastAsia="Times New Roman"/>
                <w:sz w:val="20"/>
                <w:szCs w:val="20"/>
                <w:lang w:val="af-ZA"/>
              </w:rPr>
              <w:t xml:space="preserve"> </w:t>
            </w:r>
            <w:r w:rsidRPr="0053423A">
              <w:rPr>
                <w:rFonts w:eastAsia="Times New Roman" w:cs="Sylfaen"/>
                <w:sz w:val="20"/>
                <w:szCs w:val="20"/>
              </w:rPr>
              <w:t>մասհանումներ</w:t>
            </w:r>
            <w:r w:rsidRPr="0053423A">
              <w:rPr>
                <w:rFonts w:eastAsia="Times New Roman"/>
                <w:sz w:val="20"/>
                <w:szCs w:val="20"/>
                <w:lang w:val="af-ZA"/>
              </w:rPr>
              <w:t xml:space="preserve"> </w:t>
            </w:r>
            <w:r w:rsidRPr="0053423A">
              <w:rPr>
                <w:rFonts w:eastAsia="Times New Roman"/>
                <w:sz w:val="20"/>
                <w:szCs w:val="20"/>
                <w:lang w:val="ru-RU"/>
              </w:rPr>
              <w:t>կ</w:t>
            </w:r>
            <w:r w:rsidRPr="0053423A">
              <w:rPr>
                <w:rFonts w:eastAsia="Times New Roman" w:cs="Sylfaen"/>
                <w:sz w:val="20"/>
                <w:szCs w:val="20"/>
              </w:rPr>
              <w:t>կատարվ</w:t>
            </w:r>
            <w:r w:rsidRPr="0053423A">
              <w:rPr>
                <w:rFonts w:eastAsia="Times New Roman" w:cs="Sylfaen"/>
                <w:sz w:val="20"/>
                <w:szCs w:val="20"/>
                <w:lang w:val="ru-RU"/>
              </w:rPr>
              <w:t>են</w:t>
            </w:r>
            <w:r w:rsidRPr="0053423A">
              <w:rPr>
                <w:color w:val="000000"/>
                <w:sz w:val="20"/>
                <w:szCs w:val="20"/>
                <w:shd w:val="clear" w:color="auto" w:fill="FFFFFF"/>
                <w:lang w:val="af-ZA"/>
              </w:rPr>
              <w:t xml:space="preserve"> </w:t>
            </w:r>
            <w:r w:rsidRPr="0053423A">
              <w:rPr>
                <w:rFonts w:cs="Sylfaen"/>
                <w:sz w:val="20"/>
                <w:szCs w:val="20"/>
              </w:rPr>
              <w:t>և</w:t>
            </w:r>
            <w:r w:rsidRPr="0053423A">
              <w:rPr>
                <w:sz w:val="20"/>
                <w:szCs w:val="20"/>
                <w:lang w:val="af-ZA"/>
              </w:rPr>
              <w:t xml:space="preserve"> </w:t>
            </w:r>
            <w:r w:rsidRPr="0053423A">
              <w:rPr>
                <w:sz w:val="20"/>
                <w:szCs w:val="20"/>
                <w:lang w:val="ru-RU"/>
              </w:rPr>
              <w:t>կ</w:t>
            </w:r>
            <w:r w:rsidRPr="0053423A">
              <w:rPr>
                <w:rFonts w:cs="Sylfaen"/>
                <w:sz w:val="20"/>
                <w:szCs w:val="20"/>
              </w:rPr>
              <w:t>փոխանց</w:t>
            </w:r>
            <w:r w:rsidRPr="0053423A">
              <w:rPr>
                <w:rFonts w:cs="Sylfaen"/>
                <w:sz w:val="20"/>
                <w:szCs w:val="20"/>
                <w:lang w:val="ru-RU"/>
              </w:rPr>
              <w:t>վ</w:t>
            </w:r>
            <w:r w:rsidRPr="0053423A">
              <w:rPr>
                <w:rFonts w:cs="Sylfaen"/>
                <w:sz w:val="20"/>
                <w:szCs w:val="20"/>
              </w:rPr>
              <w:t>ե</w:t>
            </w:r>
            <w:r w:rsidRPr="0053423A">
              <w:rPr>
                <w:rFonts w:cs="Sylfaen"/>
                <w:sz w:val="20"/>
                <w:szCs w:val="20"/>
                <w:lang w:val="ru-RU"/>
              </w:rPr>
              <w:t>ն</w:t>
            </w:r>
            <w:r w:rsidRPr="0053423A">
              <w:rPr>
                <w:sz w:val="20"/>
                <w:szCs w:val="20"/>
                <w:lang w:val="af-ZA"/>
              </w:rPr>
              <w:t xml:space="preserve"> </w:t>
            </w:r>
            <w:r w:rsidRPr="0053423A">
              <w:rPr>
                <w:rFonts w:cs="Sylfaen"/>
                <w:sz w:val="20"/>
                <w:szCs w:val="20"/>
              </w:rPr>
              <w:t>պետական</w:t>
            </w:r>
            <w:r w:rsidRPr="0053423A">
              <w:rPr>
                <w:sz w:val="20"/>
                <w:szCs w:val="20"/>
                <w:lang w:val="af-ZA"/>
              </w:rPr>
              <w:t xml:space="preserve"> </w:t>
            </w:r>
            <w:r w:rsidRPr="0053423A">
              <w:rPr>
                <w:rFonts w:cs="Sylfaen"/>
                <w:sz w:val="20"/>
                <w:szCs w:val="20"/>
              </w:rPr>
              <w:t>բյուջեից</w:t>
            </w:r>
            <w:r w:rsidRPr="0053423A">
              <w:rPr>
                <w:sz w:val="20"/>
                <w:szCs w:val="20"/>
                <w:lang w:val="af-ZA"/>
              </w:rPr>
              <w:t xml:space="preserve"> </w:t>
            </w:r>
            <w:r w:rsidRPr="0053423A">
              <w:rPr>
                <w:rFonts w:cs="Sylfaen"/>
                <w:sz w:val="20"/>
                <w:szCs w:val="20"/>
              </w:rPr>
              <w:t>այն</w:t>
            </w:r>
            <w:r w:rsidRPr="0053423A">
              <w:rPr>
                <w:sz w:val="20"/>
                <w:szCs w:val="20"/>
                <w:lang w:val="af-ZA"/>
              </w:rPr>
              <w:t xml:space="preserve"> </w:t>
            </w:r>
            <w:r w:rsidRPr="0053423A">
              <w:rPr>
                <w:rFonts w:cs="Sylfaen"/>
                <w:sz w:val="20"/>
                <w:szCs w:val="20"/>
              </w:rPr>
              <w:t>ազդակիր</w:t>
            </w:r>
            <w:r w:rsidRPr="0053423A">
              <w:rPr>
                <w:sz w:val="20"/>
                <w:szCs w:val="20"/>
                <w:lang w:val="af-ZA"/>
              </w:rPr>
              <w:t xml:space="preserve"> </w:t>
            </w:r>
            <w:r w:rsidRPr="0053423A">
              <w:rPr>
                <w:rFonts w:cs="Sylfaen"/>
                <w:sz w:val="20"/>
                <w:szCs w:val="20"/>
              </w:rPr>
              <w:t>համայնքների</w:t>
            </w:r>
            <w:r w:rsidRPr="0053423A">
              <w:rPr>
                <w:sz w:val="20"/>
                <w:szCs w:val="20"/>
                <w:lang w:val="af-ZA"/>
              </w:rPr>
              <w:t xml:space="preserve"> </w:t>
            </w:r>
            <w:r w:rsidRPr="0053423A">
              <w:rPr>
                <w:rFonts w:cs="Sylfaen"/>
                <w:sz w:val="20"/>
                <w:szCs w:val="20"/>
              </w:rPr>
              <w:t>բյուջեներ</w:t>
            </w:r>
            <w:r w:rsidRPr="0053423A">
              <w:rPr>
                <w:sz w:val="20"/>
                <w:szCs w:val="20"/>
                <w:lang w:val="af-ZA"/>
              </w:rPr>
              <w:t xml:space="preserve">, </w:t>
            </w:r>
            <w:r w:rsidRPr="0053423A">
              <w:rPr>
                <w:rFonts w:cs="Sylfaen"/>
                <w:sz w:val="20"/>
                <w:szCs w:val="20"/>
              </w:rPr>
              <w:t>որտեղ</w:t>
            </w:r>
            <w:r w:rsidRPr="0053423A">
              <w:rPr>
                <w:sz w:val="20"/>
                <w:szCs w:val="20"/>
                <w:lang w:val="af-ZA"/>
              </w:rPr>
              <w:t xml:space="preserve"> </w:t>
            </w:r>
            <w:r w:rsidRPr="0053423A">
              <w:rPr>
                <w:rFonts w:cs="Sylfaen"/>
                <w:sz w:val="20"/>
                <w:szCs w:val="20"/>
              </w:rPr>
              <w:t>գործում</w:t>
            </w:r>
            <w:r w:rsidRPr="0053423A">
              <w:rPr>
                <w:sz w:val="20"/>
                <w:szCs w:val="20"/>
                <w:lang w:val="af-ZA"/>
              </w:rPr>
              <w:t xml:space="preserve"> </w:t>
            </w:r>
            <w:r w:rsidRPr="0053423A">
              <w:rPr>
                <w:rFonts w:cs="Sylfaen"/>
                <w:sz w:val="20"/>
                <w:szCs w:val="20"/>
              </w:rPr>
              <w:t>են</w:t>
            </w:r>
            <w:r w:rsidRPr="0053423A">
              <w:rPr>
                <w:sz w:val="20"/>
                <w:szCs w:val="20"/>
                <w:lang w:val="af-ZA"/>
              </w:rPr>
              <w:t xml:space="preserve"> </w:t>
            </w:r>
            <w:r w:rsidRPr="0053423A">
              <w:rPr>
                <w:rFonts w:cs="Sylfaen"/>
                <w:sz w:val="20"/>
                <w:szCs w:val="20"/>
              </w:rPr>
              <w:t>այդ</w:t>
            </w:r>
            <w:r w:rsidRPr="0053423A">
              <w:rPr>
                <w:sz w:val="20"/>
                <w:szCs w:val="20"/>
                <w:lang w:val="af-ZA"/>
              </w:rPr>
              <w:t xml:space="preserve"> </w:t>
            </w:r>
            <w:r w:rsidRPr="0053423A">
              <w:rPr>
                <w:rFonts w:cs="Sylfaen"/>
                <w:sz w:val="20"/>
                <w:szCs w:val="20"/>
              </w:rPr>
              <w:t>ընկերությունները</w:t>
            </w:r>
            <w:r w:rsidRPr="0053423A">
              <w:rPr>
                <w:sz w:val="20"/>
                <w:szCs w:val="20"/>
                <w:lang w:val="af-ZA"/>
              </w:rPr>
              <w:t xml:space="preserve">: </w:t>
            </w:r>
          </w:p>
          <w:p w:rsidR="0084615D" w:rsidRPr="0053423A" w:rsidRDefault="0084615D" w:rsidP="00A67858">
            <w:pPr>
              <w:spacing w:after="0" w:line="276" w:lineRule="auto"/>
              <w:ind w:firstLine="735"/>
              <w:jc w:val="both"/>
              <w:rPr>
                <w:rFonts w:eastAsia="Times New Roman" w:cs="Sylfaen"/>
                <w:b/>
                <w:sz w:val="20"/>
                <w:szCs w:val="20"/>
                <w:lang w:val="af-ZA"/>
              </w:rPr>
            </w:pPr>
            <w:r w:rsidRPr="0053423A">
              <w:rPr>
                <w:rFonts w:eastAsia="Times New Roman" w:cs="Courier New"/>
                <w:b/>
                <w:sz w:val="20"/>
                <w:szCs w:val="20"/>
                <w:lang w:val="af-ZA"/>
              </w:rPr>
              <w:t>2</w:t>
            </w:r>
            <w:r w:rsidRPr="0053423A">
              <w:rPr>
                <w:rFonts w:eastAsia="Times New Roman" w:cs="Sylfaen"/>
                <w:b/>
                <w:sz w:val="20"/>
                <w:szCs w:val="20"/>
                <w:lang w:val="af-ZA"/>
              </w:rPr>
              <w:t>.</w:t>
            </w:r>
            <w:r w:rsidRPr="0053423A">
              <w:rPr>
                <w:rFonts w:ascii="Calibri" w:eastAsia="Times New Roman" w:hAnsi="Calibri" w:cs="Calibri"/>
                <w:b/>
                <w:sz w:val="20"/>
                <w:szCs w:val="20"/>
                <w:lang w:val="af-ZA"/>
              </w:rPr>
              <w:t> </w:t>
            </w:r>
            <w:r w:rsidRPr="0053423A">
              <w:rPr>
                <w:rFonts w:eastAsia="Times New Roman" w:cs="Sylfaen"/>
                <w:b/>
                <w:sz w:val="20"/>
                <w:szCs w:val="20"/>
              </w:rPr>
              <w:t>Միջոցառման</w:t>
            </w:r>
            <w:r w:rsidRPr="0053423A">
              <w:rPr>
                <w:rFonts w:eastAsia="Times New Roman" w:cs="Sylfaen"/>
                <w:b/>
                <w:sz w:val="20"/>
                <w:szCs w:val="20"/>
                <w:lang w:val="af-ZA"/>
              </w:rPr>
              <w:t xml:space="preserve"> </w:t>
            </w:r>
            <w:r w:rsidRPr="0053423A">
              <w:rPr>
                <w:rFonts w:eastAsia="Times New Roman" w:cs="Sylfaen"/>
                <w:b/>
                <w:sz w:val="20"/>
                <w:szCs w:val="20"/>
              </w:rPr>
              <w:t>իրակա</w:t>
            </w:r>
            <w:r w:rsidRPr="0053423A">
              <w:rPr>
                <w:rFonts w:eastAsia="Times New Roman" w:cs="Sylfaen"/>
                <w:b/>
                <w:sz w:val="20"/>
                <w:szCs w:val="20"/>
                <w:lang w:val="ru-RU"/>
              </w:rPr>
              <w:t>նա</w:t>
            </w:r>
            <w:r w:rsidRPr="0053423A">
              <w:rPr>
                <w:rFonts w:eastAsia="Times New Roman" w:cs="Sylfaen"/>
                <w:b/>
                <w:sz w:val="20"/>
                <w:szCs w:val="20"/>
              </w:rPr>
              <w:t>ցումից</w:t>
            </w:r>
            <w:r w:rsidRPr="0053423A">
              <w:rPr>
                <w:rFonts w:eastAsia="Times New Roman" w:cs="Sylfaen"/>
                <w:b/>
                <w:sz w:val="20"/>
                <w:szCs w:val="20"/>
                <w:lang w:val="af-ZA"/>
              </w:rPr>
              <w:t xml:space="preserve"> </w:t>
            </w:r>
            <w:r w:rsidRPr="0053423A">
              <w:rPr>
                <w:rFonts w:eastAsia="Times New Roman" w:cs="Sylfaen"/>
                <w:b/>
                <w:sz w:val="20"/>
                <w:szCs w:val="20"/>
              </w:rPr>
              <w:t>ակնկալվող</w:t>
            </w:r>
            <w:r w:rsidRPr="0053423A">
              <w:rPr>
                <w:rFonts w:eastAsia="Times New Roman" w:cs="Sylfaen"/>
                <w:b/>
                <w:sz w:val="20"/>
                <w:szCs w:val="20"/>
                <w:lang w:val="af-ZA"/>
              </w:rPr>
              <w:t xml:space="preserve"> </w:t>
            </w:r>
            <w:r w:rsidRPr="0053423A">
              <w:rPr>
                <w:rFonts w:eastAsia="Times New Roman" w:cs="Sylfaen"/>
                <w:b/>
                <w:sz w:val="20"/>
                <w:szCs w:val="20"/>
              </w:rPr>
              <w:t>արդյունքը</w:t>
            </w:r>
          </w:p>
          <w:p w:rsidR="0084615D" w:rsidRPr="0053423A" w:rsidRDefault="0084615D" w:rsidP="00A67858">
            <w:pPr>
              <w:pStyle w:val="ListParagraph"/>
              <w:tabs>
                <w:tab w:val="left" w:pos="-2410"/>
              </w:tabs>
              <w:spacing w:after="0" w:line="276" w:lineRule="auto"/>
              <w:ind w:left="0" w:firstLine="735"/>
              <w:jc w:val="both"/>
              <w:rPr>
                <w:color w:val="000000"/>
                <w:sz w:val="20"/>
                <w:szCs w:val="20"/>
                <w:shd w:val="clear" w:color="auto" w:fill="FFFFFF"/>
                <w:lang w:val="af-ZA"/>
              </w:rPr>
            </w:pPr>
            <w:r w:rsidRPr="0053423A">
              <w:rPr>
                <w:rFonts w:cs="Sylfaen"/>
                <w:sz w:val="20"/>
                <w:szCs w:val="20"/>
              </w:rPr>
              <w:t>Տեղական</w:t>
            </w:r>
            <w:r w:rsidRPr="0053423A">
              <w:rPr>
                <w:sz w:val="20"/>
                <w:szCs w:val="20"/>
                <w:lang w:val="af-ZA"/>
              </w:rPr>
              <w:t xml:space="preserve"> </w:t>
            </w:r>
            <w:r w:rsidRPr="0053423A">
              <w:rPr>
                <w:rFonts w:cs="Sylfaen"/>
                <w:sz w:val="20"/>
                <w:szCs w:val="20"/>
              </w:rPr>
              <w:t>համայնքների</w:t>
            </w:r>
            <w:r w:rsidRPr="0053423A">
              <w:rPr>
                <w:sz w:val="20"/>
                <w:szCs w:val="20"/>
                <w:lang w:val="af-ZA"/>
              </w:rPr>
              <w:t xml:space="preserve"> </w:t>
            </w:r>
            <w:r w:rsidRPr="0053423A">
              <w:rPr>
                <w:color w:val="000000"/>
                <w:sz w:val="20"/>
                <w:szCs w:val="20"/>
                <w:shd w:val="clear" w:color="auto" w:fill="FFFFFF"/>
                <w:lang w:val="ru-RU"/>
              </w:rPr>
              <w:t>զարգացմանը</w:t>
            </w:r>
            <w:r w:rsidRPr="0053423A">
              <w:rPr>
                <w:color w:val="000000"/>
                <w:sz w:val="20"/>
                <w:szCs w:val="20"/>
                <w:shd w:val="clear" w:color="auto" w:fill="FFFFFF"/>
                <w:lang w:val="af-ZA"/>
              </w:rPr>
              <w:t xml:space="preserve"> </w:t>
            </w:r>
            <w:r w:rsidRPr="0053423A">
              <w:rPr>
                <w:color w:val="000000"/>
                <w:sz w:val="20"/>
                <w:szCs w:val="20"/>
                <w:shd w:val="clear" w:color="auto" w:fill="FFFFFF"/>
                <w:lang w:val="ru-RU"/>
              </w:rPr>
              <w:t>նպաստում</w:t>
            </w:r>
            <w:r w:rsidRPr="0053423A">
              <w:rPr>
                <w:sz w:val="20"/>
                <w:szCs w:val="20"/>
                <w:lang w:val="af-ZA"/>
              </w:rPr>
              <w:t xml:space="preserve"> </w:t>
            </w:r>
            <w:r w:rsidRPr="0053423A">
              <w:rPr>
                <w:rFonts w:cs="Sylfaen"/>
                <w:sz w:val="20"/>
                <w:szCs w:val="20"/>
              </w:rPr>
              <w:t>և</w:t>
            </w:r>
            <w:r w:rsidRPr="0053423A">
              <w:rPr>
                <w:sz w:val="20"/>
                <w:szCs w:val="20"/>
                <w:lang w:val="af-ZA"/>
              </w:rPr>
              <w:t xml:space="preserve"> </w:t>
            </w:r>
            <w:r w:rsidRPr="0053423A">
              <w:rPr>
                <w:rFonts w:cs="Sylfaen"/>
                <w:sz w:val="20"/>
                <w:szCs w:val="20"/>
              </w:rPr>
              <w:t>վերջինիս</w:t>
            </w:r>
            <w:r w:rsidRPr="0053423A">
              <w:rPr>
                <w:sz w:val="20"/>
                <w:szCs w:val="20"/>
                <w:lang w:val="af-ZA"/>
              </w:rPr>
              <w:t xml:space="preserve"> </w:t>
            </w:r>
            <w:r w:rsidRPr="0053423A">
              <w:rPr>
                <w:rFonts w:cs="Sylfaen"/>
                <w:sz w:val="20"/>
                <w:szCs w:val="20"/>
              </w:rPr>
              <w:t>համար</w:t>
            </w:r>
            <w:r w:rsidRPr="0053423A">
              <w:rPr>
                <w:sz w:val="20"/>
                <w:szCs w:val="20"/>
                <w:lang w:val="af-ZA"/>
              </w:rPr>
              <w:t xml:space="preserve"> </w:t>
            </w:r>
            <w:r w:rsidRPr="0053423A">
              <w:rPr>
                <w:rFonts w:cs="Sylfaen"/>
                <w:sz w:val="20"/>
                <w:szCs w:val="20"/>
              </w:rPr>
              <w:t>օգուտների</w:t>
            </w:r>
            <w:r w:rsidRPr="0053423A">
              <w:rPr>
                <w:sz w:val="20"/>
                <w:szCs w:val="20"/>
                <w:lang w:val="af-ZA"/>
              </w:rPr>
              <w:t xml:space="preserve"> </w:t>
            </w:r>
            <w:r w:rsidRPr="0053423A">
              <w:rPr>
                <w:rFonts w:cs="Sylfaen"/>
                <w:sz w:val="20"/>
                <w:szCs w:val="20"/>
              </w:rPr>
              <w:t>ապահովման</w:t>
            </w:r>
            <w:r w:rsidRPr="0053423A">
              <w:rPr>
                <w:sz w:val="20"/>
                <w:szCs w:val="20"/>
                <w:lang w:val="af-ZA"/>
              </w:rPr>
              <w:t xml:space="preserve"> </w:t>
            </w:r>
            <w:r w:rsidRPr="0053423A">
              <w:rPr>
                <w:rFonts w:cs="Sylfaen"/>
                <w:sz w:val="20"/>
                <w:szCs w:val="20"/>
              </w:rPr>
              <w:t>մեխանիզմներ</w:t>
            </w:r>
            <w:r w:rsidRPr="0053423A">
              <w:rPr>
                <w:rFonts w:cs="Sylfaen"/>
                <w:sz w:val="20"/>
                <w:szCs w:val="20"/>
                <w:lang w:val="ru-RU"/>
              </w:rPr>
              <w:t>ի</w:t>
            </w:r>
            <w:r w:rsidRPr="0053423A">
              <w:rPr>
                <w:rFonts w:cs="Sylfaen"/>
                <w:sz w:val="20"/>
                <w:szCs w:val="20"/>
                <w:lang w:val="af-ZA"/>
              </w:rPr>
              <w:t xml:space="preserve"> </w:t>
            </w:r>
            <w:r w:rsidRPr="0053423A">
              <w:rPr>
                <w:rFonts w:cs="Sylfaen"/>
                <w:sz w:val="20"/>
                <w:szCs w:val="20"/>
                <w:lang w:val="ru-RU"/>
              </w:rPr>
              <w:t>ներդրում</w:t>
            </w:r>
            <w:r w:rsidRPr="0053423A">
              <w:rPr>
                <w:rFonts w:cs="Sylfaen"/>
                <w:sz w:val="20"/>
                <w:szCs w:val="20"/>
                <w:lang w:val="af-ZA"/>
              </w:rPr>
              <w:t xml:space="preserve"> :</w:t>
            </w:r>
          </w:p>
          <w:p w:rsidR="0084615D" w:rsidRPr="0053423A" w:rsidRDefault="0084615D" w:rsidP="00A67858">
            <w:pPr>
              <w:spacing w:after="0" w:line="276" w:lineRule="auto"/>
              <w:jc w:val="center"/>
              <w:rPr>
                <w:rFonts w:cs="GHEA Grapalat"/>
                <w:b/>
                <w:sz w:val="20"/>
                <w:szCs w:val="20"/>
                <w:lang w:val="af-ZA"/>
              </w:rPr>
            </w:pP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19</w:t>
            </w:r>
          </w:p>
        </w:tc>
        <w:tc>
          <w:tcPr>
            <w:tcW w:w="10879" w:type="dxa"/>
            <w:shd w:val="clear" w:color="auto" w:fill="auto"/>
          </w:tcPr>
          <w:p w:rsidR="0084615D" w:rsidRDefault="0084615D" w:rsidP="00A67858">
            <w:pPr>
              <w:spacing w:after="0" w:line="276" w:lineRule="auto"/>
              <w:jc w:val="center"/>
              <w:rPr>
                <w:rFonts w:cs="GHEA Grapalat"/>
                <w:b/>
                <w:sz w:val="20"/>
                <w:szCs w:val="20"/>
                <w:lang w:val="hy-AM"/>
              </w:rPr>
            </w:pPr>
            <w:r w:rsidRPr="0053423A">
              <w:rPr>
                <w:rFonts w:cs="GHEA Grapalat"/>
                <w:b/>
                <w:sz w:val="20"/>
                <w:szCs w:val="20"/>
                <w:lang w:val="af-ZA"/>
              </w:rPr>
              <w:t xml:space="preserve">Պետության կողմից երկրաբանական տեղեկատվության </w:t>
            </w:r>
            <w:r w:rsidRPr="0053423A">
              <w:rPr>
                <w:rFonts w:cs="GHEA Grapalat"/>
                <w:b/>
                <w:sz w:val="20"/>
                <w:szCs w:val="20"/>
                <w:lang w:val="hy-AM"/>
              </w:rPr>
              <w:t>համակարգված վարման և վերլուծության իրականացում</w:t>
            </w:r>
          </w:p>
          <w:p w:rsidR="000326CA" w:rsidRPr="0053423A" w:rsidRDefault="000326CA" w:rsidP="00A67858">
            <w:pPr>
              <w:spacing w:after="0" w:line="276" w:lineRule="auto"/>
              <w:jc w:val="center"/>
              <w:rPr>
                <w:rFonts w:cs="GHEA Grapalat"/>
                <w:b/>
                <w:sz w:val="20"/>
                <w:szCs w:val="20"/>
                <w:lang w:val="hy-AM"/>
              </w:rPr>
            </w:pPr>
          </w:p>
          <w:p w:rsidR="0084615D" w:rsidRDefault="0084615D" w:rsidP="00A67858">
            <w:pPr>
              <w:spacing w:after="0" w:line="276" w:lineRule="auto"/>
              <w:ind w:firstLine="735"/>
              <w:jc w:val="center"/>
              <w:rPr>
                <w:rFonts w:cs="GHEA Grapalat"/>
                <w:b/>
                <w:sz w:val="20"/>
                <w:szCs w:val="20"/>
                <w:u w:val="single"/>
                <w:lang w:val="hy-AM"/>
              </w:rPr>
            </w:pPr>
            <w:r w:rsidRPr="0053423A">
              <w:rPr>
                <w:b/>
                <w:color w:val="000000"/>
                <w:sz w:val="20"/>
                <w:szCs w:val="20"/>
                <w:u w:val="single"/>
                <w:lang w:val="af-ZA"/>
              </w:rPr>
              <w:t xml:space="preserve">«2002 </w:t>
            </w:r>
            <w:r w:rsidRPr="0053423A">
              <w:rPr>
                <w:b/>
                <w:color w:val="000000"/>
                <w:sz w:val="20"/>
                <w:szCs w:val="20"/>
                <w:u w:val="single"/>
                <w:lang w:val="hy-AM"/>
              </w:rPr>
              <w:t>թվականի</w:t>
            </w:r>
            <w:r w:rsidRPr="0053423A">
              <w:rPr>
                <w:b/>
                <w:color w:val="000000"/>
                <w:sz w:val="20"/>
                <w:szCs w:val="20"/>
                <w:u w:val="single"/>
                <w:lang w:val="af-ZA"/>
              </w:rPr>
              <w:t xml:space="preserve">  </w:t>
            </w:r>
            <w:r w:rsidRPr="0053423A">
              <w:rPr>
                <w:b/>
                <w:color w:val="000000"/>
                <w:sz w:val="20"/>
                <w:szCs w:val="20"/>
                <w:u w:val="single"/>
                <w:lang w:val="hy-AM"/>
              </w:rPr>
              <w:t>հոկտեմբերի</w:t>
            </w:r>
            <w:r w:rsidRPr="0053423A">
              <w:rPr>
                <w:b/>
                <w:color w:val="000000"/>
                <w:sz w:val="20"/>
                <w:szCs w:val="20"/>
                <w:u w:val="single"/>
                <w:lang w:val="af-ZA"/>
              </w:rPr>
              <w:t xml:space="preserve"> 31-</w:t>
            </w:r>
            <w:r w:rsidRPr="0053423A">
              <w:rPr>
                <w:b/>
                <w:color w:val="000000"/>
                <w:sz w:val="20"/>
                <w:szCs w:val="20"/>
                <w:u w:val="single"/>
                <w:lang w:val="hy-AM"/>
              </w:rPr>
              <w:t>ի</w:t>
            </w:r>
            <w:r w:rsidRPr="0053423A">
              <w:rPr>
                <w:b/>
                <w:color w:val="000000"/>
                <w:sz w:val="20"/>
                <w:szCs w:val="20"/>
                <w:u w:val="single"/>
                <w:lang w:val="af-ZA"/>
              </w:rPr>
              <w:t xml:space="preserve"> </w:t>
            </w:r>
            <w:r w:rsidRPr="0053423A">
              <w:rPr>
                <w:rFonts w:cs="GHEA Grapalat"/>
                <w:b/>
                <w:sz w:val="20"/>
                <w:szCs w:val="20"/>
                <w:u w:val="single"/>
                <w:lang w:val="af-ZA"/>
              </w:rPr>
              <w:t>ՀՀ կառավարության  Ν</w:t>
            </w:r>
            <w:r w:rsidRPr="0053423A">
              <w:rPr>
                <w:b/>
                <w:color w:val="000000"/>
                <w:sz w:val="20"/>
                <w:szCs w:val="20"/>
                <w:u w:val="single"/>
                <w:lang w:val="af-ZA"/>
              </w:rPr>
              <w:t xml:space="preserve"> 1758-</w:t>
            </w:r>
            <w:r w:rsidRPr="0053423A">
              <w:rPr>
                <w:b/>
                <w:color w:val="000000"/>
                <w:sz w:val="20"/>
                <w:szCs w:val="20"/>
                <w:u w:val="single"/>
                <w:lang w:val="hy-AM"/>
              </w:rPr>
              <w:t>Ն</w:t>
            </w:r>
            <w:r w:rsidRPr="0053423A">
              <w:rPr>
                <w:b/>
                <w:color w:val="000000"/>
                <w:sz w:val="20"/>
                <w:szCs w:val="20"/>
                <w:u w:val="single"/>
                <w:lang w:val="af-ZA"/>
              </w:rPr>
              <w:t xml:space="preserve"> </w:t>
            </w:r>
            <w:r w:rsidRPr="0053423A">
              <w:rPr>
                <w:b/>
                <w:color w:val="000000"/>
                <w:sz w:val="20"/>
                <w:szCs w:val="20"/>
                <w:u w:val="single"/>
                <w:lang w:val="hy-AM"/>
              </w:rPr>
              <w:t>որոշման</w:t>
            </w:r>
            <w:r w:rsidRPr="0053423A">
              <w:rPr>
                <w:b/>
                <w:color w:val="000000"/>
                <w:sz w:val="20"/>
                <w:szCs w:val="20"/>
                <w:u w:val="single"/>
                <w:lang w:val="af-ZA"/>
              </w:rPr>
              <w:t xml:space="preserve"> </w:t>
            </w:r>
            <w:r w:rsidRPr="0053423A">
              <w:rPr>
                <w:b/>
                <w:color w:val="000000"/>
                <w:sz w:val="20"/>
                <w:szCs w:val="20"/>
                <w:u w:val="single"/>
                <w:lang w:val="hy-AM"/>
              </w:rPr>
              <w:t>մեջ</w:t>
            </w:r>
            <w:r w:rsidRPr="0053423A">
              <w:rPr>
                <w:b/>
                <w:color w:val="000000"/>
                <w:sz w:val="20"/>
                <w:szCs w:val="20"/>
                <w:u w:val="single"/>
                <w:lang w:val="af-ZA"/>
              </w:rPr>
              <w:t xml:space="preserve"> </w:t>
            </w:r>
            <w:r w:rsidRPr="0053423A">
              <w:rPr>
                <w:b/>
                <w:color w:val="000000"/>
                <w:sz w:val="20"/>
                <w:szCs w:val="20"/>
                <w:u w:val="single"/>
                <w:lang w:val="hy-AM"/>
              </w:rPr>
              <w:t>փոփոխություններ</w:t>
            </w:r>
            <w:r w:rsidRPr="0053423A">
              <w:rPr>
                <w:rFonts w:cs="GHEA Grapalat"/>
                <w:b/>
                <w:sz w:val="20"/>
                <w:szCs w:val="20"/>
                <w:u w:val="single"/>
                <w:lang w:val="af-ZA"/>
              </w:rPr>
              <w:t xml:space="preserve"> </w:t>
            </w:r>
            <w:r w:rsidRPr="0053423A">
              <w:rPr>
                <w:rFonts w:cs="GHEA Grapalat"/>
                <w:b/>
                <w:sz w:val="20"/>
                <w:szCs w:val="20"/>
                <w:u w:val="single"/>
                <w:lang w:val="hy-AM"/>
              </w:rPr>
              <w:t>և</w:t>
            </w:r>
            <w:r w:rsidRPr="0053423A">
              <w:rPr>
                <w:rFonts w:cs="GHEA Grapalat"/>
                <w:b/>
                <w:sz w:val="20"/>
                <w:szCs w:val="20"/>
                <w:u w:val="single"/>
                <w:lang w:val="af-ZA"/>
              </w:rPr>
              <w:t xml:space="preserve"> </w:t>
            </w:r>
            <w:r w:rsidRPr="0053423A">
              <w:rPr>
                <w:rFonts w:cs="GHEA Grapalat"/>
                <w:b/>
                <w:sz w:val="20"/>
                <w:szCs w:val="20"/>
                <w:u w:val="single"/>
                <w:lang w:val="hy-AM"/>
              </w:rPr>
              <w:t>լրացումներ</w:t>
            </w:r>
            <w:r w:rsidRPr="0053423A">
              <w:rPr>
                <w:rFonts w:cs="GHEA Grapalat"/>
                <w:b/>
                <w:sz w:val="20"/>
                <w:szCs w:val="20"/>
                <w:u w:val="single"/>
                <w:lang w:val="af-ZA"/>
              </w:rPr>
              <w:t xml:space="preserve"> </w:t>
            </w:r>
            <w:r w:rsidRPr="0053423A">
              <w:rPr>
                <w:rFonts w:cs="GHEA Grapalat"/>
                <w:b/>
                <w:sz w:val="20"/>
                <w:szCs w:val="20"/>
                <w:u w:val="single"/>
                <w:lang w:val="hy-AM"/>
              </w:rPr>
              <w:t>կատար</w:t>
            </w:r>
            <w:r w:rsidRPr="0053423A">
              <w:rPr>
                <w:rFonts w:cs="GHEA Grapalat"/>
                <w:b/>
                <w:sz w:val="20"/>
                <w:szCs w:val="20"/>
                <w:u w:val="single"/>
                <w:lang w:val="af-ZA"/>
              </w:rPr>
              <w:t xml:space="preserve">ելու </w:t>
            </w:r>
            <w:r w:rsidRPr="0053423A">
              <w:rPr>
                <w:rFonts w:cs="GHEA Grapalat"/>
                <w:b/>
                <w:sz w:val="20"/>
                <w:szCs w:val="20"/>
                <w:u w:val="single"/>
                <w:lang w:val="hy-AM"/>
              </w:rPr>
              <w:t>մասին</w:t>
            </w:r>
            <w:r w:rsidRPr="0053423A">
              <w:rPr>
                <w:rFonts w:cs="GHEA Grapalat"/>
                <w:b/>
                <w:sz w:val="20"/>
                <w:szCs w:val="20"/>
                <w:u w:val="single"/>
                <w:lang w:val="af-ZA"/>
              </w:rPr>
              <w:t xml:space="preserve">» </w:t>
            </w:r>
            <w:r w:rsidRPr="0053423A">
              <w:rPr>
                <w:rFonts w:cs="GHEA Grapalat"/>
                <w:b/>
                <w:sz w:val="20"/>
                <w:szCs w:val="20"/>
                <w:u w:val="single"/>
                <w:lang w:val="hy-AM"/>
              </w:rPr>
              <w:t>ՀՀ</w:t>
            </w:r>
            <w:r w:rsidRPr="0053423A">
              <w:rPr>
                <w:rFonts w:cs="GHEA Grapalat"/>
                <w:b/>
                <w:sz w:val="20"/>
                <w:szCs w:val="20"/>
                <w:u w:val="single"/>
                <w:lang w:val="af-ZA"/>
              </w:rPr>
              <w:t xml:space="preserve"> </w:t>
            </w:r>
            <w:r w:rsidRPr="0053423A">
              <w:rPr>
                <w:rFonts w:cs="GHEA Grapalat"/>
                <w:b/>
                <w:sz w:val="20"/>
                <w:szCs w:val="20"/>
                <w:u w:val="single"/>
                <w:lang w:val="hy-AM"/>
              </w:rPr>
              <w:t>կառավարության</w:t>
            </w:r>
            <w:r w:rsidRPr="0053423A">
              <w:rPr>
                <w:rFonts w:cs="GHEA Grapalat"/>
                <w:b/>
                <w:sz w:val="20"/>
                <w:szCs w:val="20"/>
                <w:u w:val="single"/>
                <w:lang w:val="af-ZA"/>
              </w:rPr>
              <w:t xml:space="preserve"> </w:t>
            </w:r>
            <w:r w:rsidRPr="0053423A">
              <w:rPr>
                <w:rFonts w:cs="GHEA Grapalat"/>
                <w:b/>
                <w:sz w:val="20"/>
                <w:szCs w:val="20"/>
                <w:u w:val="single"/>
                <w:lang w:val="hy-AM"/>
              </w:rPr>
              <w:t>որոշման</w:t>
            </w:r>
            <w:r w:rsidRPr="0053423A">
              <w:rPr>
                <w:rFonts w:cs="GHEA Grapalat"/>
                <w:b/>
                <w:sz w:val="20"/>
                <w:szCs w:val="20"/>
                <w:u w:val="single"/>
                <w:lang w:val="af-ZA"/>
              </w:rPr>
              <w:t xml:space="preserve"> </w:t>
            </w:r>
            <w:r w:rsidR="000326CA">
              <w:rPr>
                <w:rFonts w:cs="GHEA Grapalat"/>
                <w:b/>
                <w:sz w:val="20"/>
                <w:szCs w:val="20"/>
                <w:u w:val="single"/>
                <w:lang w:val="hy-AM"/>
              </w:rPr>
              <w:t>նախագ</w:t>
            </w:r>
            <w:r w:rsidRPr="0053423A">
              <w:rPr>
                <w:rFonts w:cs="GHEA Grapalat"/>
                <w:b/>
                <w:sz w:val="20"/>
                <w:szCs w:val="20"/>
                <w:u w:val="single"/>
                <w:lang w:val="hy-AM"/>
              </w:rPr>
              <w:t>ծ</w:t>
            </w:r>
            <w:r w:rsidR="000326CA">
              <w:rPr>
                <w:rFonts w:cs="GHEA Grapalat"/>
                <w:b/>
                <w:sz w:val="20"/>
                <w:szCs w:val="20"/>
                <w:u w:val="single"/>
                <w:lang w:val="hy-AM"/>
              </w:rPr>
              <w:t>ի մշակում</w:t>
            </w:r>
          </w:p>
          <w:p w:rsidR="000326CA" w:rsidRPr="0053423A" w:rsidRDefault="000326CA" w:rsidP="00A67858">
            <w:pPr>
              <w:spacing w:after="0" w:line="276" w:lineRule="auto"/>
              <w:ind w:firstLine="735"/>
              <w:jc w:val="center"/>
              <w:rPr>
                <w:rFonts w:eastAsia="Times New Roman" w:cs="Courier New"/>
                <w:b/>
                <w:i/>
                <w:sz w:val="20"/>
                <w:szCs w:val="20"/>
                <w:u w:val="single"/>
                <w:lang w:val="af-ZA"/>
              </w:rPr>
            </w:pPr>
          </w:p>
          <w:p w:rsidR="0084615D" w:rsidRPr="0053423A" w:rsidRDefault="0084615D" w:rsidP="00A67858">
            <w:pPr>
              <w:spacing w:after="0" w:line="276" w:lineRule="auto"/>
              <w:ind w:firstLine="735"/>
              <w:rPr>
                <w:rFonts w:eastAsia="Times New Roman" w:cs="Sylfaen"/>
                <w:b/>
                <w:i/>
                <w:noProof/>
                <w:spacing w:val="-8"/>
                <w:sz w:val="20"/>
                <w:szCs w:val="20"/>
                <w:lang w:val="af-ZA"/>
              </w:rPr>
            </w:pPr>
            <w:r w:rsidRPr="0053423A">
              <w:rPr>
                <w:rFonts w:eastAsia="Times New Roman" w:cs="Sylfaen"/>
                <w:b/>
                <w:sz w:val="20"/>
                <w:szCs w:val="20"/>
                <w:lang w:val="af-ZA"/>
              </w:rPr>
              <w:t xml:space="preserve">1. </w:t>
            </w:r>
            <w:r w:rsidRPr="0053423A">
              <w:rPr>
                <w:rFonts w:eastAsia="Times New Roman" w:cs="Sylfaen"/>
                <w:b/>
                <w:sz w:val="20"/>
                <w:szCs w:val="20"/>
                <w:lang w:val="hy-AM"/>
              </w:rPr>
              <w:t>Միջոցառման</w:t>
            </w:r>
            <w:r w:rsidRPr="0053423A">
              <w:rPr>
                <w:rFonts w:eastAsia="Times New Roman"/>
                <w:b/>
                <w:sz w:val="20"/>
                <w:szCs w:val="20"/>
                <w:lang w:val="af-ZA"/>
              </w:rPr>
              <w:t xml:space="preserve"> </w:t>
            </w:r>
            <w:r w:rsidRPr="0053423A">
              <w:rPr>
                <w:rFonts w:eastAsia="Times New Roman" w:cs="Sylfaen"/>
                <w:b/>
                <w:sz w:val="20"/>
                <w:szCs w:val="20"/>
                <w:lang w:val="hy-AM"/>
              </w:rPr>
              <w:t>իրականացման</w:t>
            </w:r>
            <w:r w:rsidRPr="0053423A">
              <w:rPr>
                <w:rFonts w:eastAsia="Times New Roman"/>
                <w:b/>
                <w:sz w:val="20"/>
                <w:szCs w:val="20"/>
                <w:lang w:val="af-ZA"/>
              </w:rPr>
              <w:t xml:space="preserve"> </w:t>
            </w:r>
            <w:r w:rsidRPr="0053423A">
              <w:rPr>
                <w:rFonts w:eastAsia="Times New Roman" w:cs="Sylfae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նպատակը</w:t>
            </w:r>
          </w:p>
          <w:p w:rsidR="0084615D" w:rsidRPr="0053423A" w:rsidRDefault="0084615D" w:rsidP="00A67858">
            <w:pPr>
              <w:spacing w:after="0" w:line="276" w:lineRule="auto"/>
              <w:ind w:right="-1" w:firstLine="735"/>
              <w:jc w:val="both"/>
              <w:rPr>
                <w:sz w:val="20"/>
                <w:szCs w:val="20"/>
                <w:lang w:val="af-ZA"/>
              </w:rPr>
            </w:pPr>
            <w:r w:rsidRPr="0053423A">
              <w:rPr>
                <w:rFonts w:cs="GHEA Grapalat"/>
                <w:sz w:val="20"/>
                <w:szCs w:val="20"/>
                <w:lang w:val="af-ZA"/>
              </w:rPr>
              <w:t xml:space="preserve">Անհրաժեշտություն է առաջացել </w:t>
            </w:r>
            <w:r w:rsidRPr="0053423A">
              <w:rPr>
                <w:sz w:val="20"/>
                <w:szCs w:val="20"/>
                <w:lang w:val="ru-RU"/>
              </w:rPr>
              <w:t>պարբերաբար</w:t>
            </w:r>
            <w:r w:rsidRPr="0053423A">
              <w:rPr>
                <w:sz w:val="20"/>
                <w:szCs w:val="20"/>
                <w:lang w:val="af-ZA"/>
              </w:rPr>
              <w:t xml:space="preserve">  և մասնագիտորոն </w:t>
            </w:r>
            <w:r w:rsidRPr="0053423A">
              <w:rPr>
                <w:sz w:val="20"/>
                <w:szCs w:val="20"/>
                <w:lang w:val="ru-RU"/>
              </w:rPr>
              <w:t>վերլուծ</w:t>
            </w:r>
            <w:r w:rsidRPr="0053423A">
              <w:rPr>
                <w:sz w:val="20"/>
                <w:szCs w:val="20"/>
              </w:rPr>
              <w:t>ել</w:t>
            </w:r>
            <w:r w:rsidRPr="0053423A">
              <w:rPr>
                <w:sz w:val="20"/>
                <w:szCs w:val="20"/>
                <w:lang w:val="af-ZA"/>
              </w:rPr>
              <w:t xml:space="preserve"> </w:t>
            </w:r>
            <w:r w:rsidRPr="0053423A">
              <w:rPr>
                <w:sz w:val="20"/>
                <w:szCs w:val="20"/>
                <w:lang w:val="ru-RU"/>
              </w:rPr>
              <w:t>և</w:t>
            </w:r>
            <w:r w:rsidRPr="0053423A">
              <w:rPr>
                <w:sz w:val="20"/>
                <w:szCs w:val="20"/>
                <w:lang w:val="af-ZA"/>
              </w:rPr>
              <w:t xml:space="preserve"> </w:t>
            </w:r>
            <w:r w:rsidRPr="0053423A">
              <w:rPr>
                <w:sz w:val="20"/>
                <w:szCs w:val="20"/>
                <w:lang w:val="hy-AM"/>
              </w:rPr>
              <w:t>կազմ</w:t>
            </w:r>
            <w:r w:rsidRPr="0053423A">
              <w:rPr>
                <w:sz w:val="20"/>
                <w:szCs w:val="20"/>
              </w:rPr>
              <w:t>ել</w:t>
            </w:r>
            <w:r w:rsidRPr="0053423A">
              <w:rPr>
                <w:sz w:val="20"/>
                <w:szCs w:val="20"/>
                <w:lang w:val="af-ZA"/>
              </w:rPr>
              <w:t xml:space="preserve"> </w:t>
            </w:r>
            <w:r w:rsidRPr="0053423A">
              <w:rPr>
                <w:sz w:val="20"/>
                <w:szCs w:val="20"/>
                <w:lang w:val="ru-RU"/>
              </w:rPr>
              <w:t>երկրաբանական</w:t>
            </w:r>
            <w:r w:rsidRPr="0053423A">
              <w:rPr>
                <w:sz w:val="20"/>
                <w:szCs w:val="20"/>
                <w:lang w:val="af-ZA"/>
              </w:rPr>
              <w:t xml:space="preserve"> </w:t>
            </w:r>
            <w:r w:rsidRPr="0053423A">
              <w:rPr>
                <w:sz w:val="20"/>
                <w:szCs w:val="20"/>
                <w:lang w:val="ru-RU"/>
              </w:rPr>
              <w:t>համակարգված</w:t>
            </w:r>
            <w:r w:rsidRPr="0053423A">
              <w:rPr>
                <w:sz w:val="20"/>
                <w:szCs w:val="20"/>
                <w:lang w:val="af-ZA"/>
              </w:rPr>
              <w:t xml:space="preserve"> </w:t>
            </w:r>
            <w:r w:rsidRPr="0053423A">
              <w:rPr>
                <w:sz w:val="20"/>
                <w:szCs w:val="20"/>
                <w:lang w:val="ru-RU"/>
              </w:rPr>
              <w:t>տվյալներ</w:t>
            </w:r>
            <w:r w:rsidRPr="0053423A">
              <w:rPr>
                <w:sz w:val="20"/>
                <w:szCs w:val="20"/>
                <w:lang w:val="hy-AM"/>
              </w:rPr>
              <w:t>/հաշվետվություններ</w:t>
            </w:r>
            <w:r w:rsidRPr="0053423A">
              <w:rPr>
                <w:sz w:val="20"/>
                <w:szCs w:val="20"/>
                <w:lang w:val="ru-RU"/>
              </w:rPr>
              <w:t>՝</w:t>
            </w:r>
            <w:r w:rsidRPr="0053423A">
              <w:rPr>
                <w:sz w:val="20"/>
                <w:szCs w:val="20"/>
                <w:lang w:val="af-ZA"/>
              </w:rPr>
              <w:t xml:space="preserve"> </w:t>
            </w:r>
            <w:r w:rsidRPr="0053423A">
              <w:rPr>
                <w:sz w:val="20"/>
                <w:szCs w:val="20"/>
                <w:lang w:val="ru-RU"/>
              </w:rPr>
              <w:t>ըստ</w:t>
            </w:r>
            <w:r w:rsidRPr="0053423A">
              <w:rPr>
                <w:sz w:val="20"/>
                <w:szCs w:val="20"/>
                <w:lang w:val="af-ZA"/>
              </w:rPr>
              <w:t xml:space="preserve"> </w:t>
            </w:r>
            <w:r w:rsidRPr="0053423A">
              <w:rPr>
                <w:sz w:val="20"/>
                <w:szCs w:val="20"/>
                <w:lang w:val="ru-RU"/>
              </w:rPr>
              <w:t>սահմանված</w:t>
            </w:r>
            <w:r w:rsidRPr="0053423A">
              <w:rPr>
                <w:sz w:val="20"/>
                <w:szCs w:val="20"/>
                <w:lang w:val="af-ZA"/>
              </w:rPr>
              <w:t xml:space="preserve"> </w:t>
            </w:r>
            <w:r w:rsidRPr="0053423A">
              <w:rPr>
                <w:sz w:val="20"/>
                <w:szCs w:val="20"/>
                <w:lang w:val="ru-RU"/>
              </w:rPr>
              <w:t>գործոնների</w:t>
            </w:r>
            <w:r w:rsidRPr="0053423A">
              <w:rPr>
                <w:sz w:val="20"/>
                <w:szCs w:val="20"/>
                <w:lang w:val="hy-AM"/>
              </w:rPr>
              <w:t xml:space="preserve"> </w:t>
            </w:r>
            <w:r w:rsidRPr="0053423A">
              <w:rPr>
                <w:sz w:val="20"/>
                <w:szCs w:val="20"/>
                <w:lang w:val="af-ZA"/>
              </w:rPr>
              <w:t>(</w:t>
            </w:r>
            <w:r w:rsidRPr="0053423A">
              <w:rPr>
                <w:sz w:val="20"/>
                <w:szCs w:val="20"/>
                <w:lang w:val="hy-AM"/>
              </w:rPr>
              <w:t>իրավունքով ծանրաբեռնվածությունը ըստ տարածաշրջանների, օգտակար հանածոների, նրանց փոփոխությունն ըստ տարիների, պաշարների քանակական շարժն ըստ  տարիների, հանքավայրերի համակարգումն ըստ մարզերի և այլն</w:t>
            </w:r>
            <w:r w:rsidRPr="0053423A">
              <w:rPr>
                <w:sz w:val="20"/>
                <w:szCs w:val="20"/>
                <w:lang w:val="af-ZA"/>
              </w:rPr>
              <w:t>)</w:t>
            </w:r>
            <w:r w:rsidRPr="0053423A">
              <w:rPr>
                <w:sz w:val="20"/>
                <w:szCs w:val="20"/>
                <w:lang w:val="hy-AM"/>
              </w:rPr>
              <w:t>, ինչպես նաև ձևավորել պաշարների հետագա տրամադրման, տարածաշրջանների ներուժի ոլորտի կառավարման և այլ հարցերի հետ կապված առաջարկություններ</w:t>
            </w:r>
            <w:r w:rsidRPr="0053423A">
              <w:rPr>
                <w:sz w:val="20"/>
                <w:szCs w:val="20"/>
                <w:lang w:val="af-ZA"/>
              </w:rPr>
              <w:t>:</w:t>
            </w:r>
          </w:p>
          <w:p w:rsidR="0084615D" w:rsidRPr="0053423A" w:rsidRDefault="0084615D" w:rsidP="00A67858">
            <w:pPr>
              <w:pStyle w:val="NormalWeb"/>
              <w:spacing w:before="0" w:beforeAutospacing="0" w:after="0" w:afterAutospacing="0" w:line="276" w:lineRule="auto"/>
              <w:ind w:right="-1" w:firstLine="735"/>
              <w:jc w:val="both"/>
              <w:rPr>
                <w:rFonts w:ascii="GHEA Grapalat" w:hAnsi="GHEA Grapalat"/>
                <w:color w:val="333333"/>
                <w:sz w:val="20"/>
                <w:szCs w:val="20"/>
              </w:rPr>
            </w:pPr>
          </w:p>
          <w:p w:rsidR="0084615D" w:rsidRPr="0053423A" w:rsidRDefault="0084615D" w:rsidP="001F6D5D">
            <w:pPr>
              <w:pStyle w:val="ListParagraph"/>
              <w:numPr>
                <w:ilvl w:val="1"/>
                <w:numId w:val="295"/>
              </w:numPr>
              <w:tabs>
                <w:tab w:val="left" w:pos="900"/>
                <w:tab w:val="left" w:pos="1620"/>
              </w:tabs>
              <w:spacing w:after="0" w:line="276" w:lineRule="auto"/>
              <w:ind w:left="0" w:firstLine="735"/>
              <w:rPr>
                <w:rFonts w:eastAsia="Times New Roman"/>
                <w:b/>
                <w:sz w:val="20"/>
                <w:szCs w:val="20"/>
                <w:lang w:val="af-ZA"/>
              </w:rPr>
            </w:pPr>
            <w:r w:rsidRPr="0053423A">
              <w:rPr>
                <w:rFonts w:eastAsia="Times New Roman" w:cs="Sylfaen"/>
                <w:b/>
                <w:sz w:val="20"/>
                <w:szCs w:val="20"/>
                <w:lang w:val="hy-AM"/>
              </w:rPr>
              <w:t>Կարգավորման</w:t>
            </w:r>
            <w:r w:rsidRPr="0053423A">
              <w:rPr>
                <w:rFonts w:eastAsia="Times New Roman"/>
                <w:b/>
                <w:sz w:val="20"/>
                <w:szCs w:val="20"/>
                <w:lang w:val="af-ZA"/>
              </w:rPr>
              <w:t xml:space="preserve"> </w:t>
            </w:r>
            <w:r w:rsidRPr="0053423A">
              <w:rPr>
                <w:rFonts w:eastAsia="Times New Roman" w:cs="Sylfaen"/>
                <w:b/>
                <w:sz w:val="20"/>
                <w:szCs w:val="20"/>
                <w:lang w:val="hy-AM"/>
              </w:rPr>
              <w:t>հարաբերությունների</w:t>
            </w:r>
            <w:r w:rsidRPr="0053423A">
              <w:rPr>
                <w:rFonts w:eastAsia="Times New Roman"/>
                <w:b/>
                <w:sz w:val="20"/>
                <w:szCs w:val="20"/>
                <w:lang w:val="af-ZA"/>
              </w:rPr>
              <w:t xml:space="preserve"> </w:t>
            </w:r>
            <w:r w:rsidRPr="0053423A">
              <w:rPr>
                <w:rFonts w:eastAsia="Times New Roman" w:cs="Sylfaen"/>
                <w:b/>
                <w:sz w:val="20"/>
                <w:szCs w:val="20"/>
                <w:lang w:val="hy-AM"/>
              </w:rPr>
              <w:t>ներկա</w:t>
            </w:r>
            <w:r w:rsidRPr="0053423A">
              <w:rPr>
                <w:rFonts w:eastAsia="Times New Roman"/>
                <w:b/>
                <w:sz w:val="20"/>
                <w:szCs w:val="20"/>
                <w:lang w:val="af-ZA"/>
              </w:rPr>
              <w:t xml:space="preserve"> </w:t>
            </w:r>
            <w:r w:rsidRPr="0053423A">
              <w:rPr>
                <w:rFonts w:eastAsia="Times New Roman" w:cs="Sylfaen"/>
                <w:b/>
                <w:sz w:val="20"/>
                <w:szCs w:val="20"/>
                <w:lang w:val="hy-AM"/>
              </w:rPr>
              <w:t>վիճակը</w:t>
            </w:r>
            <w:r w:rsidRPr="0053423A">
              <w:rPr>
                <w:rFonts w:eastAsia="Times New Roman"/>
                <w:b/>
                <w:sz w:val="20"/>
                <w:szCs w:val="20"/>
                <w:lang w:val="af-ZA"/>
              </w:rPr>
              <w:t xml:space="preserve"> </w:t>
            </w:r>
            <w:r w:rsidRPr="0053423A">
              <w:rPr>
                <w:rFonts w:eastAsia="Times New Roman" w:cs="Sylfaen"/>
                <w:b/>
                <w:sz w:val="20"/>
                <w:szCs w:val="20"/>
                <w:lang w:val="hy-AM"/>
              </w:rPr>
              <w:t>և</w:t>
            </w:r>
            <w:r w:rsidRPr="0053423A">
              <w:rPr>
                <w:rFonts w:eastAsia="Times New Roman"/>
                <w:b/>
                <w:sz w:val="20"/>
                <w:szCs w:val="20"/>
                <w:lang w:val="af-ZA"/>
              </w:rPr>
              <w:t xml:space="preserve"> </w:t>
            </w:r>
            <w:r w:rsidRPr="0053423A">
              <w:rPr>
                <w:rFonts w:eastAsia="Times New Roman" w:cs="Sylfaen"/>
                <w:b/>
                <w:sz w:val="20"/>
                <w:szCs w:val="20"/>
                <w:lang w:val="hy-AM"/>
              </w:rPr>
              <w:t>առկա</w:t>
            </w:r>
            <w:r w:rsidRPr="0053423A">
              <w:rPr>
                <w:rFonts w:eastAsia="Times New Roman"/>
                <w:b/>
                <w:sz w:val="20"/>
                <w:szCs w:val="20"/>
                <w:lang w:val="af-ZA"/>
              </w:rPr>
              <w:t xml:space="preserve"> </w:t>
            </w:r>
            <w:r w:rsidRPr="0053423A">
              <w:rPr>
                <w:rFonts w:eastAsia="Times New Roman" w:cs="Sylfaen"/>
                <w:b/>
                <w:sz w:val="20"/>
                <w:szCs w:val="20"/>
                <w:lang w:val="hy-AM"/>
              </w:rPr>
              <w:t>խնդիրները</w:t>
            </w:r>
          </w:p>
          <w:p w:rsidR="0084615D" w:rsidRPr="0053423A" w:rsidRDefault="0084615D" w:rsidP="00A67858">
            <w:pPr>
              <w:spacing w:after="0" w:line="276" w:lineRule="auto"/>
              <w:ind w:firstLine="735"/>
              <w:jc w:val="both"/>
              <w:rPr>
                <w:color w:val="000000"/>
                <w:sz w:val="20"/>
                <w:szCs w:val="20"/>
                <w:shd w:val="clear" w:color="auto" w:fill="FFFFFF"/>
                <w:lang w:val="af-ZA"/>
              </w:rPr>
            </w:pPr>
            <w:r w:rsidRPr="0053423A">
              <w:rPr>
                <w:sz w:val="20"/>
                <w:szCs w:val="20"/>
              </w:rPr>
              <w:t>Ե</w:t>
            </w:r>
            <w:r w:rsidRPr="0053423A">
              <w:rPr>
                <w:sz w:val="20"/>
                <w:szCs w:val="20"/>
                <w:lang w:val="ru-RU"/>
              </w:rPr>
              <w:t>րկրաբանական</w:t>
            </w:r>
            <w:r w:rsidRPr="0053423A">
              <w:rPr>
                <w:sz w:val="20"/>
                <w:szCs w:val="20"/>
                <w:lang w:val="af-ZA"/>
              </w:rPr>
              <w:t xml:space="preserve"> </w:t>
            </w:r>
            <w:r w:rsidRPr="0053423A">
              <w:rPr>
                <w:sz w:val="20"/>
                <w:szCs w:val="20"/>
                <w:lang w:val="ru-RU"/>
              </w:rPr>
              <w:t>համակարգված</w:t>
            </w:r>
            <w:r w:rsidRPr="0053423A">
              <w:rPr>
                <w:sz w:val="20"/>
                <w:szCs w:val="20"/>
                <w:lang w:val="af-ZA"/>
              </w:rPr>
              <w:t xml:space="preserve"> </w:t>
            </w:r>
            <w:r w:rsidRPr="0053423A">
              <w:rPr>
                <w:sz w:val="20"/>
                <w:szCs w:val="20"/>
                <w:lang w:val="ru-RU"/>
              </w:rPr>
              <w:t>տվյալներ</w:t>
            </w:r>
            <w:r w:rsidRPr="0053423A">
              <w:rPr>
                <w:sz w:val="20"/>
                <w:szCs w:val="20"/>
                <w:lang w:val="hy-AM"/>
              </w:rPr>
              <w:t>/հաշվետվություններ</w:t>
            </w:r>
            <w:r w:rsidRPr="0053423A">
              <w:rPr>
                <w:sz w:val="20"/>
                <w:szCs w:val="20"/>
                <w:lang w:val="ru-RU"/>
              </w:rPr>
              <w:t>՝</w:t>
            </w:r>
            <w:r w:rsidRPr="0053423A">
              <w:rPr>
                <w:sz w:val="20"/>
                <w:szCs w:val="20"/>
                <w:lang w:val="af-ZA"/>
              </w:rPr>
              <w:t xml:space="preserve"> </w:t>
            </w:r>
            <w:r w:rsidRPr="0053423A">
              <w:rPr>
                <w:sz w:val="20"/>
                <w:szCs w:val="20"/>
                <w:lang w:val="ru-RU"/>
              </w:rPr>
              <w:t>ըստ</w:t>
            </w:r>
            <w:r w:rsidRPr="0053423A">
              <w:rPr>
                <w:sz w:val="20"/>
                <w:szCs w:val="20"/>
                <w:lang w:val="af-ZA"/>
              </w:rPr>
              <w:t xml:space="preserve"> </w:t>
            </w:r>
            <w:r w:rsidRPr="0053423A">
              <w:rPr>
                <w:sz w:val="20"/>
                <w:szCs w:val="20"/>
                <w:lang w:val="ru-RU"/>
              </w:rPr>
              <w:t>սահմանված</w:t>
            </w:r>
            <w:r w:rsidRPr="0053423A">
              <w:rPr>
                <w:sz w:val="20"/>
                <w:szCs w:val="20"/>
                <w:lang w:val="af-ZA"/>
              </w:rPr>
              <w:t xml:space="preserve"> </w:t>
            </w:r>
            <w:r w:rsidRPr="0053423A">
              <w:rPr>
                <w:sz w:val="20"/>
                <w:szCs w:val="20"/>
                <w:lang w:val="ru-RU"/>
              </w:rPr>
              <w:t>գործոնների</w:t>
            </w:r>
            <w:r w:rsidRPr="0053423A">
              <w:rPr>
                <w:sz w:val="20"/>
                <w:szCs w:val="20"/>
                <w:lang w:val="hy-AM"/>
              </w:rPr>
              <w:t xml:space="preserve"> </w:t>
            </w:r>
            <w:r w:rsidRPr="0053423A">
              <w:rPr>
                <w:sz w:val="20"/>
                <w:szCs w:val="20"/>
                <w:lang w:val="af-ZA"/>
              </w:rPr>
              <w:t>(</w:t>
            </w:r>
            <w:r w:rsidRPr="0053423A">
              <w:rPr>
                <w:sz w:val="20"/>
                <w:szCs w:val="20"/>
                <w:lang w:val="hy-AM"/>
              </w:rPr>
              <w:t>իրավունքով ծանրաբեռնվածությունը ըստ տարածաշրջանների, օգտակար հանածոների, նրանց փոփոխությունն ըստ տարիների, պաշարների քանակական շարժն ըստ  տարիների, հանքավայրերի համակարգումն ըստ մարզերի և այլն</w:t>
            </w:r>
            <w:r w:rsidRPr="0053423A">
              <w:rPr>
                <w:sz w:val="20"/>
                <w:szCs w:val="20"/>
                <w:lang w:val="af-ZA"/>
              </w:rPr>
              <w:t>)</w:t>
            </w:r>
            <w:r w:rsidRPr="0053423A">
              <w:rPr>
                <w:sz w:val="20"/>
                <w:szCs w:val="20"/>
                <w:lang w:val="hy-AM"/>
              </w:rPr>
              <w:t xml:space="preserve">, ինչպես նաև ձևավորել պաշարների հետագա տրամադրման, տարածաշրջանների ներուժի ոլորտի կառավարման և այլ հարցերի հետ </w:t>
            </w:r>
            <w:r w:rsidR="00626D24">
              <w:rPr>
                <w:sz w:val="20"/>
                <w:szCs w:val="20"/>
                <w:lang w:val="hy-AM"/>
              </w:rPr>
              <w:t xml:space="preserve">կապված </w:t>
            </w:r>
            <w:r w:rsidRPr="0053423A">
              <w:rPr>
                <w:sz w:val="20"/>
                <w:szCs w:val="20"/>
              </w:rPr>
              <w:t>վերլուծություններ</w:t>
            </w:r>
            <w:r w:rsidRPr="0053423A">
              <w:rPr>
                <w:sz w:val="20"/>
                <w:szCs w:val="20"/>
                <w:lang w:val="af-ZA"/>
              </w:rPr>
              <w:t xml:space="preserve"> </w:t>
            </w:r>
            <w:r w:rsidRPr="0053423A">
              <w:rPr>
                <w:sz w:val="20"/>
                <w:szCs w:val="20"/>
              </w:rPr>
              <w:t>իրականացվում</w:t>
            </w:r>
            <w:r w:rsidRPr="0053423A">
              <w:rPr>
                <w:sz w:val="20"/>
                <w:szCs w:val="20"/>
                <w:lang w:val="af-ZA"/>
              </w:rPr>
              <w:t xml:space="preserve"> </w:t>
            </w:r>
            <w:r w:rsidRPr="0053423A">
              <w:rPr>
                <w:sz w:val="20"/>
                <w:szCs w:val="20"/>
              </w:rPr>
              <w:t>է</w:t>
            </w:r>
            <w:r w:rsidRPr="0053423A">
              <w:rPr>
                <w:sz w:val="20"/>
                <w:szCs w:val="20"/>
                <w:lang w:val="af-ZA"/>
              </w:rPr>
              <w:t xml:space="preserve"> </w:t>
            </w:r>
            <w:r w:rsidRPr="0053423A">
              <w:rPr>
                <w:sz w:val="20"/>
                <w:szCs w:val="20"/>
              </w:rPr>
              <w:t>տարերայնորոն</w:t>
            </w:r>
            <w:r w:rsidRPr="0053423A">
              <w:rPr>
                <w:sz w:val="20"/>
                <w:szCs w:val="20"/>
                <w:lang w:val="af-ZA"/>
              </w:rPr>
              <w:t xml:space="preserve">, </w:t>
            </w:r>
            <w:r w:rsidRPr="0053423A">
              <w:rPr>
                <w:sz w:val="20"/>
                <w:szCs w:val="20"/>
              </w:rPr>
              <w:t>իսկ</w:t>
            </w:r>
            <w:r w:rsidRPr="0053423A">
              <w:rPr>
                <w:sz w:val="20"/>
                <w:szCs w:val="20"/>
                <w:lang w:val="af-ZA"/>
              </w:rPr>
              <w:t xml:space="preserve"> </w:t>
            </w:r>
            <w:r w:rsidRPr="0053423A">
              <w:rPr>
                <w:sz w:val="20"/>
                <w:szCs w:val="20"/>
              </w:rPr>
              <w:t>դրանց</w:t>
            </w:r>
            <w:r w:rsidRPr="0053423A">
              <w:rPr>
                <w:sz w:val="20"/>
                <w:szCs w:val="20"/>
                <w:lang w:val="af-ZA"/>
              </w:rPr>
              <w:t xml:space="preserve"> </w:t>
            </w:r>
            <w:r w:rsidRPr="0053423A">
              <w:rPr>
                <w:sz w:val="20"/>
                <w:szCs w:val="20"/>
              </w:rPr>
              <w:t>մասնագիտական</w:t>
            </w:r>
            <w:r w:rsidRPr="0053423A">
              <w:rPr>
                <w:sz w:val="20"/>
                <w:szCs w:val="20"/>
                <w:lang w:val="af-ZA"/>
              </w:rPr>
              <w:t xml:space="preserve"> </w:t>
            </w:r>
            <w:r w:rsidRPr="0053423A">
              <w:rPr>
                <w:sz w:val="20"/>
                <w:szCs w:val="20"/>
              </w:rPr>
              <w:t>վերլուծության</w:t>
            </w:r>
            <w:r w:rsidRPr="0053423A">
              <w:rPr>
                <w:sz w:val="20"/>
                <w:szCs w:val="20"/>
                <w:lang w:val="af-ZA"/>
              </w:rPr>
              <w:t xml:space="preserve"> </w:t>
            </w:r>
            <w:r w:rsidRPr="0053423A">
              <w:rPr>
                <w:sz w:val="20"/>
                <w:szCs w:val="20"/>
              </w:rPr>
              <w:t>համար</w:t>
            </w:r>
            <w:r w:rsidRPr="0053423A">
              <w:rPr>
                <w:sz w:val="20"/>
                <w:szCs w:val="20"/>
                <w:lang w:val="af-ZA"/>
              </w:rPr>
              <w:t xml:space="preserve"> </w:t>
            </w:r>
            <w:r w:rsidRPr="0053423A">
              <w:rPr>
                <w:sz w:val="20"/>
                <w:szCs w:val="20"/>
              </w:rPr>
              <w:t>հստակ</w:t>
            </w:r>
            <w:r w:rsidRPr="0053423A">
              <w:rPr>
                <w:sz w:val="20"/>
                <w:szCs w:val="20"/>
                <w:lang w:val="af-ZA"/>
              </w:rPr>
              <w:t xml:space="preserve"> </w:t>
            </w:r>
            <w:r w:rsidRPr="0053423A">
              <w:rPr>
                <w:sz w:val="20"/>
                <w:szCs w:val="20"/>
              </w:rPr>
              <w:t>գործառույթներ</w:t>
            </w:r>
            <w:r w:rsidRPr="0053423A">
              <w:rPr>
                <w:sz w:val="20"/>
                <w:szCs w:val="20"/>
                <w:lang w:val="af-ZA"/>
              </w:rPr>
              <w:t xml:space="preserve"> </w:t>
            </w:r>
            <w:r w:rsidRPr="0053423A">
              <w:rPr>
                <w:sz w:val="20"/>
                <w:szCs w:val="20"/>
              </w:rPr>
              <w:t>սահմանված</w:t>
            </w:r>
            <w:r w:rsidRPr="0053423A">
              <w:rPr>
                <w:sz w:val="20"/>
                <w:szCs w:val="20"/>
                <w:lang w:val="af-ZA"/>
              </w:rPr>
              <w:t xml:space="preserve"> </w:t>
            </w:r>
            <w:r w:rsidRPr="0053423A">
              <w:rPr>
                <w:sz w:val="20"/>
                <w:szCs w:val="20"/>
              </w:rPr>
              <w:t>չեն</w:t>
            </w:r>
            <w:r w:rsidRPr="0053423A">
              <w:rPr>
                <w:sz w:val="20"/>
                <w:szCs w:val="20"/>
                <w:lang w:val="af-ZA"/>
              </w:rPr>
              <w:t xml:space="preserve">: </w:t>
            </w:r>
          </w:p>
          <w:p w:rsidR="0084615D" w:rsidRPr="0053423A" w:rsidRDefault="0084615D" w:rsidP="00A67858">
            <w:pPr>
              <w:pStyle w:val="ListParagraph"/>
              <w:tabs>
                <w:tab w:val="left" w:pos="900"/>
              </w:tabs>
              <w:spacing w:after="0" w:line="276" w:lineRule="auto"/>
              <w:ind w:left="0" w:firstLine="735"/>
              <w:rPr>
                <w:rFonts w:eastAsia="Times New Roman"/>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w:t>
            </w:r>
            <w:r w:rsidRPr="0053423A">
              <w:rPr>
                <w:rFonts w:eastAsia="Times New Roman" w:cs="Sylfaen"/>
                <w:b/>
                <w:sz w:val="20"/>
                <w:szCs w:val="20"/>
                <w:lang w:val="hy-AM"/>
              </w:rPr>
              <w:t>Առկա</w:t>
            </w:r>
            <w:r w:rsidRPr="0053423A">
              <w:rPr>
                <w:rFonts w:eastAsia="Times New Roman"/>
                <w:b/>
                <w:sz w:val="20"/>
                <w:szCs w:val="20"/>
                <w:lang w:val="af-ZA"/>
              </w:rPr>
              <w:t xml:space="preserve"> </w:t>
            </w:r>
            <w:r w:rsidRPr="0053423A">
              <w:rPr>
                <w:rFonts w:eastAsia="Times New Roman" w:cs="Sylfaen"/>
                <w:b/>
                <w:sz w:val="20"/>
                <w:szCs w:val="20"/>
                <w:lang w:val="hy-AM"/>
              </w:rPr>
              <w:t>խնդիրների</w:t>
            </w:r>
            <w:r w:rsidRPr="0053423A">
              <w:rPr>
                <w:rFonts w:eastAsia="Times New Roman"/>
                <w:b/>
                <w:sz w:val="20"/>
                <w:szCs w:val="20"/>
                <w:lang w:val="af-ZA"/>
              </w:rPr>
              <w:t xml:space="preserve"> </w:t>
            </w:r>
            <w:r w:rsidRPr="0053423A">
              <w:rPr>
                <w:rFonts w:eastAsia="Times New Roman" w:cs="Sylfaen"/>
                <w:b/>
                <w:sz w:val="20"/>
                <w:szCs w:val="20"/>
                <w:lang w:val="hy-AM"/>
              </w:rPr>
              <w:t>առաջարկվող</w:t>
            </w:r>
            <w:r w:rsidRPr="0053423A">
              <w:rPr>
                <w:rFonts w:eastAsia="Times New Roman"/>
                <w:b/>
                <w:sz w:val="20"/>
                <w:szCs w:val="20"/>
                <w:lang w:val="af-ZA"/>
              </w:rPr>
              <w:t xml:space="preserve"> </w:t>
            </w:r>
            <w:r w:rsidRPr="0053423A">
              <w:rPr>
                <w:rFonts w:eastAsia="Times New Roman" w:cs="Sylfaen"/>
                <w:b/>
                <w:sz w:val="20"/>
                <w:szCs w:val="20"/>
                <w:lang w:val="hy-AM"/>
              </w:rPr>
              <w:t>լուծումները</w:t>
            </w:r>
          </w:p>
          <w:p w:rsidR="0084615D" w:rsidRPr="0053423A" w:rsidRDefault="0084615D" w:rsidP="00A67858">
            <w:pPr>
              <w:pStyle w:val="NormalWeb"/>
              <w:spacing w:before="0" w:beforeAutospacing="0" w:after="0" w:afterAutospacing="0" w:line="276" w:lineRule="auto"/>
              <w:ind w:right="-1" w:firstLine="735"/>
              <w:jc w:val="both"/>
              <w:rPr>
                <w:rFonts w:ascii="GHEA Grapalat" w:hAnsi="GHEA Grapalat" w:cs="Sylfaen"/>
                <w:sz w:val="20"/>
                <w:szCs w:val="20"/>
              </w:rPr>
            </w:pPr>
            <w:r w:rsidRPr="0053423A">
              <w:rPr>
                <w:rFonts w:ascii="GHEA Grapalat" w:eastAsia="Calibri" w:hAnsi="GHEA Grapalat" w:cs="GHEA Grapalat"/>
                <w:sz w:val="20"/>
                <w:szCs w:val="20"/>
                <w:lang w:val="ru-RU"/>
              </w:rPr>
              <w:t>Առաջարկվող</w:t>
            </w:r>
            <w:r w:rsidRPr="0053423A">
              <w:rPr>
                <w:rFonts w:ascii="GHEA Grapalat" w:eastAsia="Calibri" w:hAnsi="GHEA Grapalat" w:cs="GHEA Grapalat"/>
                <w:sz w:val="20"/>
                <w:szCs w:val="20"/>
                <w:lang w:val="af-ZA"/>
              </w:rPr>
              <w:t xml:space="preserve"> </w:t>
            </w:r>
            <w:r w:rsidRPr="0053423A">
              <w:rPr>
                <w:rFonts w:ascii="GHEA Grapalat" w:eastAsia="Calibri" w:hAnsi="GHEA Grapalat" w:cs="GHEA Grapalat"/>
                <w:sz w:val="20"/>
                <w:szCs w:val="20"/>
                <w:lang w:val="ru-RU"/>
              </w:rPr>
              <w:t>նախագծի</w:t>
            </w:r>
            <w:r w:rsidRPr="0053423A">
              <w:rPr>
                <w:rFonts w:ascii="GHEA Grapalat" w:eastAsia="Calibri" w:hAnsi="GHEA Grapalat" w:cs="GHEA Grapalat"/>
                <w:sz w:val="20"/>
                <w:szCs w:val="20"/>
                <w:lang w:val="af-ZA"/>
              </w:rPr>
              <w:t xml:space="preserve"> </w:t>
            </w:r>
            <w:r w:rsidRPr="0053423A">
              <w:rPr>
                <w:rFonts w:ascii="GHEA Grapalat" w:eastAsia="Calibri" w:hAnsi="GHEA Grapalat" w:cs="GHEA Grapalat"/>
                <w:sz w:val="20"/>
                <w:szCs w:val="20"/>
                <w:lang w:val="ru-RU"/>
              </w:rPr>
              <w:t>ընդունումից</w:t>
            </w:r>
            <w:r w:rsidRPr="0053423A">
              <w:rPr>
                <w:rFonts w:ascii="GHEA Grapalat" w:eastAsia="Calibri" w:hAnsi="GHEA Grapalat" w:cs="GHEA Grapalat"/>
                <w:sz w:val="20"/>
                <w:szCs w:val="20"/>
                <w:lang w:val="af-ZA"/>
              </w:rPr>
              <w:t xml:space="preserve"> </w:t>
            </w:r>
            <w:r w:rsidRPr="0053423A">
              <w:rPr>
                <w:rFonts w:ascii="GHEA Grapalat" w:eastAsia="Calibri" w:hAnsi="GHEA Grapalat" w:cs="GHEA Grapalat"/>
                <w:sz w:val="20"/>
                <w:szCs w:val="20"/>
                <w:lang w:val="ru-RU"/>
              </w:rPr>
              <w:t>հետո</w:t>
            </w:r>
            <w:r w:rsidRPr="0053423A">
              <w:rPr>
                <w:rFonts w:ascii="GHEA Grapalat" w:eastAsia="Calibri" w:hAnsi="GHEA Grapalat" w:cs="GHEA Grapalat"/>
                <w:sz w:val="20"/>
                <w:szCs w:val="20"/>
                <w:lang w:val="af-ZA"/>
              </w:rPr>
              <w:t xml:space="preserve"> </w:t>
            </w:r>
            <w:r w:rsidRPr="0053423A">
              <w:rPr>
                <w:rFonts w:ascii="Calibri" w:hAnsi="Calibri" w:cs="Calibri"/>
                <w:color w:val="333333"/>
                <w:sz w:val="20"/>
                <w:szCs w:val="20"/>
                <w:lang w:val="af-ZA"/>
              </w:rPr>
              <w:t> </w:t>
            </w:r>
            <w:r w:rsidR="00626D24">
              <w:rPr>
                <w:rFonts w:ascii="Calibri" w:hAnsi="Calibri" w:cs="Calibri"/>
                <w:color w:val="333333"/>
                <w:sz w:val="20"/>
                <w:szCs w:val="20"/>
                <w:lang w:val="hy-AM"/>
              </w:rPr>
              <w:t>«</w:t>
            </w:r>
            <w:r w:rsidRPr="0053423A">
              <w:rPr>
                <w:rFonts w:ascii="GHEA Grapalat" w:hAnsi="GHEA Grapalat" w:cs="GHEA Grapalat"/>
                <w:sz w:val="20"/>
                <w:szCs w:val="20"/>
                <w:lang w:val="af-ZA"/>
              </w:rPr>
              <w:t>Հանրապետական երկրաբանական ֆոնդ» պետական ոչ առևտրային կազմակերպությանը կտրվ</w:t>
            </w:r>
            <w:r w:rsidR="00626D24">
              <w:rPr>
                <w:rFonts w:ascii="GHEA Grapalat" w:hAnsi="GHEA Grapalat" w:cs="GHEA Grapalat"/>
                <w:sz w:val="20"/>
                <w:szCs w:val="20"/>
                <w:lang w:val="hy-AM"/>
              </w:rPr>
              <w:t>են</w:t>
            </w:r>
            <w:r w:rsidRPr="0053423A">
              <w:rPr>
                <w:rFonts w:ascii="GHEA Grapalat" w:hAnsi="GHEA Grapalat" w:cs="GHEA Grapalat"/>
                <w:sz w:val="20"/>
                <w:szCs w:val="20"/>
                <w:lang w:val="af-ZA"/>
              </w:rPr>
              <w:t xml:space="preserve"> </w:t>
            </w:r>
            <w:r w:rsidRPr="0053423A">
              <w:rPr>
                <w:rFonts w:ascii="GHEA Grapalat" w:hAnsi="GHEA Grapalat"/>
                <w:sz w:val="20"/>
                <w:szCs w:val="20"/>
                <w:lang w:val="hy-AM"/>
              </w:rPr>
              <w:t>լրացուցիչ գործառույթներ</w:t>
            </w:r>
            <w:r w:rsidRPr="0053423A">
              <w:rPr>
                <w:rFonts w:ascii="GHEA Grapalat" w:hAnsi="GHEA Grapalat"/>
                <w:sz w:val="20"/>
                <w:szCs w:val="20"/>
              </w:rPr>
              <w:t>՝</w:t>
            </w:r>
            <w:r w:rsidRPr="0053423A">
              <w:rPr>
                <w:rFonts w:ascii="GHEA Grapalat" w:hAnsi="GHEA Grapalat"/>
                <w:sz w:val="20"/>
                <w:szCs w:val="20"/>
                <w:lang w:val="af-ZA"/>
              </w:rPr>
              <w:t xml:space="preserve"> </w:t>
            </w:r>
            <w:r w:rsidRPr="0053423A">
              <w:rPr>
                <w:rFonts w:ascii="GHEA Grapalat" w:hAnsi="GHEA Grapalat"/>
                <w:sz w:val="20"/>
                <w:szCs w:val="20"/>
              </w:rPr>
              <w:t>Ե</w:t>
            </w:r>
            <w:r w:rsidRPr="0053423A">
              <w:rPr>
                <w:rFonts w:ascii="GHEA Grapalat" w:hAnsi="GHEA Grapalat"/>
                <w:sz w:val="20"/>
                <w:szCs w:val="20"/>
                <w:lang w:val="ru-RU"/>
              </w:rPr>
              <w:t>րկրաբանական</w:t>
            </w:r>
            <w:r w:rsidRPr="0053423A">
              <w:rPr>
                <w:rFonts w:ascii="GHEA Grapalat" w:hAnsi="GHEA Grapalat"/>
                <w:sz w:val="20"/>
                <w:szCs w:val="20"/>
                <w:lang w:val="af-ZA"/>
              </w:rPr>
              <w:t xml:space="preserve"> </w:t>
            </w:r>
            <w:r w:rsidRPr="0053423A">
              <w:rPr>
                <w:rFonts w:ascii="GHEA Grapalat" w:hAnsi="GHEA Grapalat"/>
                <w:sz w:val="20"/>
                <w:szCs w:val="20"/>
                <w:lang w:val="ru-RU"/>
              </w:rPr>
              <w:t>համակարգված</w:t>
            </w:r>
            <w:r w:rsidRPr="0053423A">
              <w:rPr>
                <w:rFonts w:ascii="GHEA Grapalat" w:hAnsi="GHEA Grapalat"/>
                <w:sz w:val="20"/>
                <w:szCs w:val="20"/>
                <w:lang w:val="af-ZA"/>
              </w:rPr>
              <w:t xml:space="preserve"> </w:t>
            </w:r>
            <w:r w:rsidRPr="0053423A">
              <w:rPr>
                <w:rFonts w:ascii="GHEA Grapalat" w:hAnsi="GHEA Grapalat"/>
                <w:sz w:val="20"/>
                <w:szCs w:val="20"/>
                <w:lang w:val="ru-RU"/>
              </w:rPr>
              <w:t>տվյալներ</w:t>
            </w:r>
            <w:r w:rsidRPr="0053423A">
              <w:rPr>
                <w:rFonts w:ascii="GHEA Grapalat" w:hAnsi="GHEA Grapalat"/>
                <w:sz w:val="20"/>
                <w:szCs w:val="20"/>
              </w:rPr>
              <w:t>ի</w:t>
            </w:r>
            <w:r w:rsidRPr="0053423A">
              <w:rPr>
                <w:rFonts w:ascii="GHEA Grapalat" w:hAnsi="GHEA Grapalat"/>
                <w:sz w:val="20"/>
                <w:szCs w:val="20"/>
                <w:lang w:val="hy-AM"/>
              </w:rPr>
              <w:t>/հաշվետվություններ</w:t>
            </w:r>
            <w:r w:rsidRPr="0053423A">
              <w:rPr>
                <w:rFonts w:ascii="GHEA Grapalat" w:hAnsi="GHEA Grapalat"/>
                <w:sz w:val="20"/>
                <w:szCs w:val="20"/>
              </w:rPr>
              <w:t>ի վերլուծության համար:</w:t>
            </w:r>
            <w:r w:rsidRPr="0053423A">
              <w:rPr>
                <w:rFonts w:ascii="GHEA Grapalat" w:hAnsi="GHEA Grapalat"/>
                <w:sz w:val="20"/>
                <w:szCs w:val="20"/>
                <w:lang w:val="af-ZA"/>
              </w:rPr>
              <w:t xml:space="preserve"> </w:t>
            </w:r>
          </w:p>
          <w:p w:rsidR="0084615D" w:rsidRPr="0053423A" w:rsidRDefault="0084615D" w:rsidP="00A67858">
            <w:pPr>
              <w:spacing w:after="0" w:line="276" w:lineRule="auto"/>
              <w:ind w:firstLine="735"/>
              <w:jc w:val="both"/>
              <w:rPr>
                <w:rFonts w:eastAsia="Times New Roman" w:cs="Courier New"/>
                <w:b/>
                <w:sz w:val="20"/>
                <w:szCs w:val="20"/>
                <w:lang w:val="af-ZA"/>
              </w:rPr>
            </w:pPr>
          </w:p>
          <w:p w:rsidR="0084615D" w:rsidRPr="0053423A" w:rsidRDefault="0084615D" w:rsidP="00A67858">
            <w:pPr>
              <w:spacing w:after="0" w:line="276" w:lineRule="auto"/>
              <w:ind w:firstLine="735"/>
              <w:jc w:val="both"/>
              <w:rPr>
                <w:rFonts w:eastAsia="Times New Roman" w:cs="Sylfaen"/>
                <w:b/>
                <w:sz w:val="20"/>
                <w:szCs w:val="20"/>
                <w:lang w:val="af-ZA"/>
              </w:rPr>
            </w:pPr>
            <w:r w:rsidRPr="0053423A">
              <w:rPr>
                <w:rFonts w:eastAsia="Times New Roman" w:cs="Courier New"/>
                <w:b/>
                <w:sz w:val="20"/>
                <w:szCs w:val="20"/>
                <w:lang w:val="af-ZA"/>
              </w:rPr>
              <w:t>2</w:t>
            </w:r>
            <w:r w:rsidRPr="0053423A">
              <w:rPr>
                <w:rFonts w:eastAsia="Times New Roman" w:cs="Sylfaen"/>
                <w:b/>
                <w:sz w:val="20"/>
                <w:szCs w:val="20"/>
                <w:lang w:val="af-ZA"/>
              </w:rPr>
              <w:t>.</w:t>
            </w:r>
            <w:r w:rsidRPr="0053423A">
              <w:rPr>
                <w:rFonts w:ascii="Calibri" w:eastAsia="Times New Roman" w:hAnsi="Calibri" w:cs="Calibri"/>
                <w:b/>
                <w:sz w:val="20"/>
                <w:szCs w:val="20"/>
                <w:lang w:val="af-ZA"/>
              </w:rPr>
              <w:t> </w:t>
            </w:r>
            <w:r w:rsidRPr="0053423A">
              <w:rPr>
                <w:rFonts w:eastAsia="Times New Roman" w:cs="Sylfaen"/>
                <w:b/>
                <w:sz w:val="20"/>
                <w:szCs w:val="20"/>
              </w:rPr>
              <w:t>Միջոցառման</w:t>
            </w:r>
            <w:r w:rsidRPr="0053423A">
              <w:rPr>
                <w:rFonts w:eastAsia="Times New Roman" w:cs="Sylfaen"/>
                <w:b/>
                <w:sz w:val="20"/>
                <w:szCs w:val="20"/>
                <w:lang w:val="af-ZA"/>
              </w:rPr>
              <w:t xml:space="preserve"> </w:t>
            </w:r>
            <w:r w:rsidRPr="0053423A">
              <w:rPr>
                <w:rFonts w:eastAsia="Times New Roman" w:cs="Sylfaen"/>
                <w:b/>
                <w:sz w:val="20"/>
                <w:szCs w:val="20"/>
              </w:rPr>
              <w:t>իրակա</w:t>
            </w:r>
            <w:r w:rsidRPr="0053423A">
              <w:rPr>
                <w:rFonts w:eastAsia="Times New Roman" w:cs="Sylfaen"/>
                <w:b/>
                <w:sz w:val="20"/>
                <w:szCs w:val="20"/>
                <w:lang w:val="ru-RU"/>
              </w:rPr>
              <w:t>նա</w:t>
            </w:r>
            <w:r w:rsidRPr="0053423A">
              <w:rPr>
                <w:rFonts w:eastAsia="Times New Roman" w:cs="Sylfaen"/>
                <w:b/>
                <w:sz w:val="20"/>
                <w:szCs w:val="20"/>
              </w:rPr>
              <w:t>ցումից</w:t>
            </w:r>
            <w:r w:rsidRPr="0053423A">
              <w:rPr>
                <w:rFonts w:eastAsia="Times New Roman" w:cs="Sylfaen"/>
                <w:b/>
                <w:sz w:val="20"/>
                <w:szCs w:val="20"/>
                <w:lang w:val="af-ZA"/>
              </w:rPr>
              <w:t xml:space="preserve"> </w:t>
            </w:r>
            <w:r w:rsidRPr="0053423A">
              <w:rPr>
                <w:rFonts w:eastAsia="Times New Roman" w:cs="Sylfaen"/>
                <w:b/>
                <w:sz w:val="20"/>
                <w:szCs w:val="20"/>
              </w:rPr>
              <w:t>ակնկալվող</w:t>
            </w:r>
            <w:r w:rsidRPr="0053423A">
              <w:rPr>
                <w:rFonts w:eastAsia="Times New Roman" w:cs="Sylfaen"/>
                <w:b/>
                <w:sz w:val="20"/>
                <w:szCs w:val="20"/>
                <w:lang w:val="af-ZA"/>
              </w:rPr>
              <w:t xml:space="preserve"> </w:t>
            </w:r>
            <w:r w:rsidRPr="0053423A">
              <w:rPr>
                <w:rFonts w:eastAsia="Times New Roman" w:cs="Sylfaen"/>
                <w:b/>
                <w:sz w:val="20"/>
                <w:szCs w:val="20"/>
              </w:rPr>
              <w:t>արդյունքը</w:t>
            </w:r>
          </w:p>
          <w:p w:rsidR="0084615D" w:rsidRPr="0053423A" w:rsidRDefault="0084615D" w:rsidP="00A67858">
            <w:pPr>
              <w:spacing w:after="0" w:line="276" w:lineRule="auto"/>
              <w:ind w:firstLine="735"/>
              <w:jc w:val="both"/>
              <w:rPr>
                <w:rFonts w:cs="GHEA Grapalat"/>
                <w:b/>
                <w:sz w:val="20"/>
                <w:szCs w:val="20"/>
                <w:lang w:val="af-ZA"/>
              </w:rPr>
            </w:pPr>
            <w:r w:rsidRPr="0053423A">
              <w:rPr>
                <w:rFonts w:cs="Sylfaen"/>
                <w:sz w:val="20"/>
                <w:szCs w:val="20"/>
              </w:rPr>
              <w:t>Իրավական</w:t>
            </w:r>
            <w:r w:rsidRPr="0053423A">
              <w:rPr>
                <w:rFonts w:cs="Sylfaen"/>
                <w:sz w:val="20"/>
                <w:szCs w:val="20"/>
                <w:lang w:val="af-ZA"/>
              </w:rPr>
              <w:t xml:space="preserve"> </w:t>
            </w:r>
            <w:r w:rsidRPr="0053423A">
              <w:rPr>
                <w:rFonts w:cs="Sylfaen"/>
                <w:sz w:val="20"/>
                <w:szCs w:val="20"/>
              </w:rPr>
              <w:t>ատի</w:t>
            </w:r>
            <w:r w:rsidRPr="0053423A">
              <w:rPr>
                <w:rFonts w:cs="Sylfaen"/>
                <w:sz w:val="20"/>
                <w:szCs w:val="20"/>
                <w:lang w:val="af-ZA"/>
              </w:rPr>
              <w:t xml:space="preserve"> </w:t>
            </w:r>
            <w:r w:rsidRPr="0053423A">
              <w:rPr>
                <w:rFonts w:cs="Sylfaen"/>
                <w:sz w:val="20"/>
                <w:szCs w:val="20"/>
              </w:rPr>
              <w:t>ընդունմամբ</w:t>
            </w:r>
            <w:r w:rsidRPr="0053423A">
              <w:rPr>
                <w:rFonts w:cs="Sylfaen"/>
                <w:sz w:val="20"/>
                <w:szCs w:val="20"/>
                <w:lang w:val="af-ZA"/>
              </w:rPr>
              <w:t xml:space="preserve"> </w:t>
            </w:r>
            <w:r w:rsidRPr="0053423A">
              <w:rPr>
                <w:rFonts w:cs="Sylfaen"/>
                <w:sz w:val="20"/>
                <w:szCs w:val="20"/>
              </w:rPr>
              <w:t>հնարավարություն</w:t>
            </w:r>
            <w:r w:rsidRPr="0053423A">
              <w:rPr>
                <w:rFonts w:cs="Sylfaen"/>
                <w:sz w:val="20"/>
                <w:szCs w:val="20"/>
                <w:lang w:val="af-ZA"/>
              </w:rPr>
              <w:t xml:space="preserve"> </w:t>
            </w:r>
            <w:r w:rsidRPr="0053423A">
              <w:rPr>
                <w:rFonts w:cs="Sylfaen"/>
                <w:sz w:val="20"/>
                <w:szCs w:val="20"/>
              </w:rPr>
              <w:t>կստեղծվի</w:t>
            </w:r>
            <w:r w:rsidRPr="0053423A">
              <w:rPr>
                <w:rFonts w:cs="Sylfaen"/>
                <w:sz w:val="20"/>
                <w:szCs w:val="20"/>
                <w:lang w:val="af-ZA"/>
              </w:rPr>
              <w:t xml:space="preserve"> </w:t>
            </w:r>
            <w:r w:rsidRPr="0053423A">
              <w:rPr>
                <w:rFonts w:cs="Sylfaen"/>
                <w:sz w:val="20"/>
                <w:szCs w:val="20"/>
              </w:rPr>
              <w:t>բազմակողմանիորեն</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մասնագիտորեն</w:t>
            </w:r>
            <w:r w:rsidRPr="0053423A">
              <w:rPr>
                <w:rFonts w:cs="Sylfaen"/>
                <w:sz w:val="20"/>
                <w:szCs w:val="20"/>
                <w:lang w:val="af-ZA"/>
              </w:rPr>
              <w:t xml:space="preserve"> </w:t>
            </w:r>
            <w:r w:rsidRPr="0053423A">
              <w:rPr>
                <w:rFonts w:cs="Sylfaen"/>
                <w:sz w:val="20"/>
                <w:szCs w:val="20"/>
              </w:rPr>
              <w:t>վերլուծել</w:t>
            </w:r>
            <w:r w:rsidRPr="0053423A">
              <w:rPr>
                <w:rFonts w:cs="Sylfaen"/>
                <w:sz w:val="20"/>
                <w:szCs w:val="20"/>
                <w:lang w:val="af-ZA"/>
              </w:rPr>
              <w:t xml:space="preserve"> </w:t>
            </w:r>
            <w:r w:rsidRPr="0053423A">
              <w:rPr>
                <w:rFonts w:cs="Sylfaen"/>
                <w:sz w:val="20"/>
                <w:szCs w:val="20"/>
              </w:rPr>
              <w:t>երկրաբանական</w:t>
            </w:r>
            <w:r w:rsidRPr="0053423A">
              <w:rPr>
                <w:rFonts w:cs="Sylfaen"/>
                <w:sz w:val="20"/>
                <w:szCs w:val="20"/>
                <w:lang w:val="af-ZA"/>
              </w:rPr>
              <w:t xml:space="preserve"> </w:t>
            </w:r>
            <w:r w:rsidRPr="0053423A">
              <w:rPr>
                <w:rFonts w:cs="Sylfaen"/>
                <w:sz w:val="20"/>
                <w:szCs w:val="20"/>
              </w:rPr>
              <w:t>տեղեկությունները</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կնպաստի</w:t>
            </w:r>
            <w:r w:rsidRPr="0053423A">
              <w:rPr>
                <w:rFonts w:cs="Sylfaen"/>
                <w:sz w:val="20"/>
                <w:szCs w:val="20"/>
                <w:lang w:val="af-ZA"/>
              </w:rPr>
              <w:t xml:space="preserve"> </w:t>
            </w:r>
            <w:r w:rsidRPr="0053423A">
              <w:rPr>
                <w:rFonts w:cs="Sylfaen"/>
                <w:sz w:val="20"/>
                <w:szCs w:val="20"/>
              </w:rPr>
              <w:t>հ</w:t>
            </w:r>
            <w:r w:rsidRPr="0053423A">
              <w:rPr>
                <w:rFonts w:cs="Sylfaen"/>
                <w:noProof/>
                <w:spacing w:val="-8"/>
                <w:sz w:val="20"/>
                <w:szCs w:val="20"/>
                <w:lang w:val="hy-AM"/>
              </w:rPr>
              <w:t xml:space="preserve">անքարդյունաբերության ոլորտում </w:t>
            </w:r>
            <w:r w:rsidRPr="0053423A">
              <w:rPr>
                <w:rFonts w:cs="Sylfaen"/>
                <w:sz w:val="20"/>
                <w:szCs w:val="20"/>
                <w:lang w:val="hy-AM"/>
              </w:rPr>
              <w:t>բարեփոխումներ</w:t>
            </w:r>
            <w:r w:rsidRPr="0053423A">
              <w:rPr>
                <w:rFonts w:cs="Sylfaen"/>
                <w:sz w:val="20"/>
                <w:szCs w:val="20"/>
              </w:rPr>
              <w:t>ի</w:t>
            </w:r>
            <w:r w:rsidRPr="0053423A">
              <w:rPr>
                <w:rFonts w:cs="Sylfaen"/>
                <w:sz w:val="20"/>
                <w:szCs w:val="20"/>
                <w:lang w:val="af-ZA"/>
              </w:rPr>
              <w:t xml:space="preserve"> </w:t>
            </w:r>
            <w:r w:rsidRPr="0053423A">
              <w:rPr>
                <w:rFonts w:cs="Sylfaen"/>
                <w:sz w:val="20"/>
                <w:szCs w:val="20"/>
              </w:rPr>
              <w:t>իրակացմանը</w:t>
            </w:r>
            <w:r w:rsidRPr="0053423A">
              <w:rPr>
                <w:rFonts w:cs="Sylfaen"/>
                <w:sz w:val="20"/>
                <w:szCs w:val="20"/>
                <w:lang w:val="af-ZA"/>
              </w:rPr>
              <w:t>:</w:t>
            </w: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20</w:t>
            </w:r>
          </w:p>
        </w:tc>
        <w:tc>
          <w:tcPr>
            <w:tcW w:w="10879" w:type="dxa"/>
            <w:shd w:val="clear" w:color="auto" w:fill="auto"/>
          </w:tcPr>
          <w:p w:rsidR="0084615D" w:rsidRPr="0053423A" w:rsidRDefault="0084615D" w:rsidP="00A67858">
            <w:pPr>
              <w:spacing w:after="0" w:line="276" w:lineRule="auto"/>
              <w:jc w:val="center"/>
              <w:rPr>
                <w:b/>
                <w:color w:val="000000"/>
                <w:sz w:val="20"/>
                <w:szCs w:val="20"/>
                <w:lang w:val="hy-AM"/>
              </w:rPr>
            </w:pPr>
            <w:r w:rsidRPr="0053423A">
              <w:rPr>
                <w:b/>
                <w:color w:val="000000"/>
                <w:sz w:val="20"/>
                <w:szCs w:val="20"/>
                <w:lang w:val="hy-AM"/>
              </w:rPr>
              <w:t>Խմելու</w:t>
            </w:r>
            <w:r w:rsidRPr="0053423A">
              <w:rPr>
                <w:b/>
                <w:color w:val="000000"/>
                <w:sz w:val="20"/>
                <w:szCs w:val="20"/>
                <w:lang w:val="af-ZA"/>
              </w:rPr>
              <w:t xml:space="preserve"> </w:t>
            </w:r>
            <w:r w:rsidRPr="0053423A">
              <w:rPr>
                <w:b/>
                <w:color w:val="000000"/>
                <w:sz w:val="20"/>
                <w:szCs w:val="20"/>
                <w:lang w:val="hy-AM"/>
              </w:rPr>
              <w:t>ջրի</w:t>
            </w:r>
            <w:r w:rsidRPr="0053423A">
              <w:rPr>
                <w:b/>
                <w:color w:val="000000"/>
                <w:sz w:val="20"/>
                <w:szCs w:val="20"/>
                <w:lang w:val="af-ZA"/>
              </w:rPr>
              <w:t xml:space="preserve"> </w:t>
            </w:r>
            <w:r w:rsidRPr="0053423A">
              <w:rPr>
                <w:b/>
                <w:color w:val="000000"/>
                <w:sz w:val="20"/>
                <w:szCs w:val="20"/>
                <w:lang w:val="hy-AM"/>
              </w:rPr>
              <w:t>մատակարարման</w:t>
            </w:r>
            <w:r w:rsidRPr="0053423A">
              <w:rPr>
                <w:b/>
                <w:color w:val="000000"/>
                <w:sz w:val="20"/>
                <w:szCs w:val="20"/>
                <w:lang w:val="af-ZA"/>
              </w:rPr>
              <w:t xml:space="preserve"> </w:t>
            </w:r>
            <w:r w:rsidRPr="0053423A">
              <w:rPr>
                <w:b/>
                <w:color w:val="000000"/>
                <w:sz w:val="20"/>
                <w:szCs w:val="20"/>
                <w:lang w:val="hy-AM"/>
              </w:rPr>
              <w:t>և</w:t>
            </w:r>
            <w:r w:rsidRPr="0053423A">
              <w:rPr>
                <w:b/>
                <w:color w:val="000000"/>
                <w:sz w:val="20"/>
                <w:szCs w:val="20"/>
                <w:lang w:val="af-ZA"/>
              </w:rPr>
              <w:t xml:space="preserve"> </w:t>
            </w:r>
            <w:r w:rsidRPr="0053423A">
              <w:rPr>
                <w:b/>
                <w:color w:val="000000"/>
                <w:sz w:val="20"/>
                <w:szCs w:val="20"/>
                <w:lang w:val="hy-AM"/>
              </w:rPr>
              <w:t>ջրահեռացման</w:t>
            </w:r>
            <w:r w:rsidRPr="0053423A">
              <w:rPr>
                <w:b/>
                <w:color w:val="000000"/>
                <w:sz w:val="20"/>
                <w:szCs w:val="20"/>
                <w:lang w:val="af-ZA"/>
              </w:rPr>
              <w:t xml:space="preserve"> (</w:t>
            </w:r>
            <w:r w:rsidRPr="0053423A">
              <w:rPr>
                <w:b/>
                <w:color w:val="000000"/>
                <w:sz w:val="20"/>
                <w:szCs w:val="20"/>
                <w:lang w:val="hy-AM"/>
              </w:rPr>
              <w:t>կեղտաջրերի</w:t>
            </w:r>
            <w:r w:rsidRPr="0053423A">
              <w:rPr>
                <w:b/>
                <w:color w:val="000000"/>
                <w:sz w:val="20"/>
                <w:szCs w:val="20"/>
                <w:lang w:val="af-ZA"/>
              </w:rPr>
              <w:t xml:space="preserve"> </w:t>
            </w:r>
            <w:r w:rsidRPr="0053423A">
              <w:rPr>
                <w:b/>
                <w:color w:val="000000"/>
                <w:sz w:val="20"/>
                <w:szCs w:val="20"/>
                <w:lang w:val="hy-AM"/>
              </w:rPr>
              <w:t>մաքրման</w:t>
            </w:r>
            <w:r w:rsidRPr="0053423A">
              <w:rPr>
                <w:b/>
                <w:color w:val="000000"/>
                <w:sz w:val="20"/>
                <w:szCs w:val="20"/>
                <w:lang w:val="af-ZA"/>
              </w:rPr>
              <w:t xml:space="preserve">) </w:t>
            </w:r>
            <w:r w:rsidRPr="0053423A">
              <w:rPr>
                <w:b/>
                <w:color w:val="000000"/>
                <w:sz w:val="20"/>
                <w:szCs w:val="20"/>
                <w:lang w:val="hy-AM"/>
              </w:rPr>
              <w:t>ոլորտում</w:t>
            </w:r>
            <w:r w:rsidRPr="0053423A">
              <w:rPr>
                <w:b/>
                <w:color w:val="000000"/>
                <w:sz w:val="20"/>
                <w:szCs w:val="20"/>
                <w:lang w:val="af-ZA"/>
              </w:rPr>
              <w:t xml:space="preserve"> </w:t>
            </w:r>
            <w:r w:rsidRPr="0053423A">
              <w:rPr>
                <w:b/>
                <w:color w:val="000000"/>
                <w:sz w:val="20"/>
                <w:szCs w:val="20"/>
                <w:lang w:val="hy-AM"/>
              </w:rPr>
              <w:t>առկա</w:t>
            </w:r>
            <w:r w:rsidRPr="0053423A">
              <w:rPr>
                <w:b/>
                <w:color w:val="000000"/>
                <w:sz w:val="20"/>
                <w:szCs w:val="20"/>
                <w:lang w:val="af-ZA"/>
              </w:rPr>
              <w:t xml:space="preserve"> </w:t>
            </w:r>
            <w:r w:rsidRPr="0053423A">
              <w:rPr>
                <w:b/>
                <w:color w:val="000000"/>
                <w:sz w:val="20"/>
                <w:szCs w:val="20"/>
                <w:lang w:val="hy-AM"/>
              </w:rPr>
              <w:t>խնդիրները</w:t>
            </w:r>
            <w:r w:rsidRPr="0053423A">
              <w:rPr>
                <w:b/>
                <w:color w:val="000000"/>
                <w:sz w:val="20"/>
                <w:szCs w:val="20"/>
                <w:lang w:val="af-ZA"/>
              </w:rPr>
              <w:t xml:space="preserve"> </w:t>
            </w:r>
            <w:r w:rsidRPr="0053423A">
              <w:rPr>
                <w:b/>
                <w:color w:val="000000"/>
                <w:sz w:val="20"/>
                <w:szCs w:val="20"/>
                <w:lang w:val="hy-AM"/>
              </w:rPr>
              <w:t>լուծելու</w:t>
            </w:r>
            <w:r w:rsidRPr="0053423A">
              <w:rPr>
                <w:b/>
                <w:color w:val="000000"/>
                <w:sz w:val="20"/>
                <w:szCs w:val="20"/>
                <w:lang w:val="af-ZA"/>
              </w:rPr>
              <w:t xml:space="preserve">, </w:t>
            </w:r>
            <w:r w:rsidRPr="0053423A">
              <w:rPr>
                <w:b/>
                <w:color w:val="000000"/>
                <w:sz w:val="20"/>
                <w:szCs w:val="20"/>
                <w:lang w:val="hy-AM"/>
              </w:rPr>
              <w:t>ոլորտում</w:t>
            </w:r>
            <w:r w:rsidRPr="0053423A">
              <w:rPr>
                <w:b/>
                <w:color w:val="000000"/>
                <w:sz w:val="20"/>
                <w:szCs w:val="20"/>
                <w:lang w:val="af-ZA"/>
              </w:rPr>
              <w:t xml:space="preserve"> </w:t>
            </w:r>
            <w:r w:rsidRPr="0053423A">
              <w:rPr>
                <w:b/>
                <w:color w:val="000000"/>
                <w:sz w:val="20"/>
                <w:szCs w:val="20"/>
                <w:lang w:val="hy-AM"/>
              </w:rPr>
              <w:t>իրականացվող</w:t>
            </w:r>
            <w:r w:rsidRPr="0053423A">
              <w:rPr>
                <w:b/>
                <w:color w:val="000000"/>
                <w:sz w:val="20"/>
                <w:szCs w:val="20"/>
                <w:lang w:val="af-ZA"/>
              </w:rPr>
              <w:t xml:space="preserve"> </w:t>
            </w:r>
            <w:r w:rsidRPr="0053423A">
              <w:rPr>
                <w:b/>
                <w:color w:val="000000"/>
                <w:sz w:val="20"/>
                <w:szCs w:val="20"/>
                <w:lang w:val="hy-AM"/>
              </w:rPr>
              <w:t>բարեփոխումների</w:t>
            </w:r>
            <w:r w:rsidRPr="0053423A">
              <w:rPr>
                <w:b/>
                <w:color w:val="000000"/>
                <w:sz w:val="20"/>
                <w:szCs w:val="20"/>
                <w:lang w:val="af-ZA"/>
              </w:rPr>
              <w:t xml:space="preserve"> </w:t>
            </w:r>
            <w:r w:rsidRPr="0053423A">
              <w:rPr>
                <w:b/>
                <w:color w:val="000000"/>
                <w:sz w:val="20"/>
                <w:szCs w:val="20"/>
                <w:lang w:val="hy-AM"/>
              </w:rPr>
              <w:t>շարունակականության</w:t>
            </w:r>
            <w:r w:rsidRPr="0053423A">
              <w:rPr>
                <w:b/>
                <w:color w:val="000000"/>
                <w:sz w:val="20"/>
                <w:szCs w:val="20"/>
                <w:lang w:val="af-ZA"/>
              </w:rPr>
              <w:t xml:space="preserve"> </w:t>
            </w:r>
            <w:r w:rsidRPr="0053423A">
              <w:rPr>
                <w:b/>
                <w:color w:val="000000"/>
                <w:sz w:val="20"/>
                <w:szCs w:val="20"/>
                <w:lang w:val="hy-AM"/>
              </w:rPr>
              <w:t>ապահովում</w:t>
            </w:r>
            <w:r w:rsidRPr="0053423A">
              <w:rPr>
                <w:b/>
                <w:color w:val="000000"/>
                <w:sz w:val="20"/>
                <w:szCs w:val="20"/>
                <w:lang w:val="af-ZA"/>
              </w:rPr>
              <w:t xml:space="preserve">, </w:t>
            </w:r>
            <w:r w:rsidRPr="0053423A">
              <w:rPr>
                <w:b/>
                <w:color w:val="000000"/>
                <w:sz w:val="20"/>
                <w:szCs w:val="20"/>
                <w:lang w:val="hy-AM"/>
              </w:rPr>
              <w:t>պետություն</w:t>
            </w:r>
            <w:r w:rsidRPr="0053423A">
              <w:rPr>
                <w:b/>
                <w:color w:val="000000"/>
                <w:sz w:val="20"/>
                <w:szCs w:val="20"/>
                <w:lang w:val="af-ZA"/>
              </w:rPr>
              <w:t>-</w:t>
            </w:r>
            <w:r w:rsidRPr="0053423A">
              <w:rPr>
                <w:b/>
                <w:color w:val="000000"/>
                <w:sz w:val="20"/>
                <w:szCs w:val="20"/>
                <w:lang w:val="hy-AM"/>
              </w:rPr>
              <w:t>մասնավոր</w:t>
            </w:r>
            <w:r w:rsidRPr="0053423A">
              <w:rPr>
                <w:b/>
                <w:color w:val="000000"/>
                <w:sz w:val="20"/>
                <w:szCs w:val="20"/>
                <w:lang w:val="af-ZA"/>
              </w:rPr>
              <w:t xml:space="preserve"> </w:t>
            </w:r>
            <w:r w:rsidRPr="0053423A">
              <w:rPr>
                <w:b/>
                <w:color w:val="000000"/>
                <w:sz w:val="20"/>
                <w:szCs w:val="20"/>
                <w:lang w:val="hy-AM"/>
              </w:rPr>
              <w:t>գործընկերության</w:t>
            </w:r>
            <w:r w:rsidRPr="0053423A">
              <w:rPr>
                <w:b/>
                <w:color w:val="000000"/>
                <w:sz w:val="20"/>
                <w:szCs w:val="20"/>
                <w:lang w:val="af-ZA"/>
              </w:rPr>
              <w:t xml:space="preserve"> </w:t>
            </w:r>
            <w:r w:rsidRPr="0053423A">
              <w:rPr>
                <w:b/>
                <w:color w:val="000000"/>
                <w:sz w:val="20"/>
                <w:szCs w:val="20"/>
                <w:lang w:val="hy-AM"/>
              </w:rPr>
              <w:t>սկզբունքով</w:t>
            </w:r>
            <w:r w:rsidRPr="0053423A">
              <w:rPr>
                <w:b/>
                <w:color w:val="000000"/>
                <w:sz w:val="20"/>
                <w:szCs w:val="20"/>
                <w:lang w:val="af-ZA"/>
              </w:rPr>
              <w:t xml:space="preserve"> </w:t>
            </w:r>
            <w:r w:rsidRPr="0053423A">
              <w:rPr>
                <w:b/>
                <w:color w:val="000000"/>
                <w:sz w:val="20"/>
                <w:szCs w:val="20"/>
                <w:lang w:val="hy-AM"/>
              </w:rPr>
              <w:t>առաջնորդվելով</w:t>
            </w:r>
            <w:r w:rsidRPr="0053423A">
              <w:rPr>
                <w:b/>
                <w:color w:val="000000"/>
                <w:sz w:val="20"/>
                <w:szCs w:val="20"/>
                <w:lang w:val="af-ZA"/>
              </w:rPr>
              <w:t xml:space="preserve"> </w:t>
            </w:r>
            <w:r w:rsidRPr="0053423A">
              <w:rPr>
                <w:b/>
                <w:color w:val="000000"/>
                <w:sz w:val="20"/>
                <w:szCs w:val="20"/>
                <w:lang w:val="hy-AM"/>
              </w:rPr>
              <w:t>ոլորտի</w:t>
            </w:r>
            <w:r w:rsidRPr="0053423A">
              <w:rPr>
                <w:b/>
                <w:color w:val="000000"/>
                <w:sz w:val="20"/>
                <w:szCs w:val="20"/>
                <w:lang w:val="af-ZA"/>
              </w:rPr>
              <w:t xml:space="preserve"> </w:t>
            </w:r>
            <w:r w:rsidRPr="0053423A">
              <w:rPr>
                <w:b/>
                <w:color w:val="000000"/>
                <w:sz w:val="20"/>
                <w:szCs w:val="20"/>
                <w:lang w:val="hy-AM"/>
              </w:rPr>
              <w:t>զարգացմանն</w:t>
            </w:r>
            <w:r w:rsidRPr="0053423A">
              <w:rPr>
                <w:b/>
                <w:color w:val="000000"/>
                <w:sz w:val="20"/>
                <w:szCs w:val="20"/>
                <w:lang w:val="af-ZA"/>
              </w:rPr>
              <w:t xml:space="preserve"> </w:t>
            </w:r>
            <w:r w:rsidRPr="0053423A">
              <w:rPr>
                <w:b/>
                <w:color w:val="000000"/>
                <w:sz w:val="20"/>
                <w:szCs w:val="20"/>
                <w:lang w:val="hy-AM"/>
              </w:rPr>
              <w:t>ուղղված</w:t>
            </w:r>
            <w:r w:rsidRPr="0053423A">
              <w:rPr>
                <w:b/>
                <w:color w:val="000000"/>
                <w:sz w:val="20"/>
                <w:szCs w:val="20"/>
                <w:lang w:val="af-ZA"/>
              </w:rPr>
              <w:t xml:space="preserve"> </w:t>
            </w:r>
            <w:r w:rsidRPr="0053423A">
              <w:rPr>
                <w:b/>
                <w:color w:val="000000"/>
                <w:sz w:val="20"/>
                <w:szCs w:val="20"/>
                <w:lang w:val="hy-AM"/>
              </w:rPr>
              <w:t>հետևողական</w:t>
            </w:r>
            <w:r w:rsidRPr="0053423A">
              <w:rPr>
                <w:b/>
                <w:color w:val="000000"/>
                <w:sz w:val="20"/>
                <w:szCs w:val="20"/>
                <w:lang w:val="af-ZA"/>
              </w:rPr>
              <w:t xml:space="preserve"> </w:t>
            </w:r>
            <w:r w:rsidRPr="0053423A">
              <w:rPr>
                <w:b/>
                <w:color w:val="000000"/>
                <w:sz w:val="20"/>
                <w:szCs w:val="20"/>
                <w:lang w:val="hy-AM"/>
              </w:rPr>
              <w:t>աշխատանքների</w:t>
            </w:r>
            <w:r w:rsidRPr="0053423A">
              <w:rPr>
                <w:b/>
                <w:color w:val="000000"/>
                <w:sz w:val="20"/>
                <w:szCs w:val="20"/>
                <w:lang w:val="af-ZA"/>
              </w:rPr>
              <w:t xml:space="preserve"> </w:t>
            </w:r>
            <w:r w:rsidRPr="0053423A">
              <w:rPr>
                <w:b/>
                <w:color w:val="000000"/>
                <w:sz w:val="20"/>
                <w:szCs w:val="20"/>
                <w:lang w:val="hy-AM"/>
              </w:rPr>
              <w:t>իրականացում</w:t>
            </w:r>
            <w:r w:rsidRPr="0053423A">
              <w:rPr>
                <w:b/>
                <w:color w:val="000000"/>
                <w:sz w:val="20"/>
                <w:szCs w:val="20"/>
                <w:lang w:val="af-ZA"/>
              </w:rPr>
              <w:t xml:space="preserve">, </w:t>
            </w:r>
            <w:r w:rsidRPr="0053423A">
              <w:rPr>
                <w:b/>
                <w:color w:val="000000"/>
                <w:sz w:val="20"/>
                <w:szCs w:val="20"/>
                <w:lang w:val="hy-AM"/>
              </w:rPr>
              <w:t>մասնավորապես</w:t>
            </w:r>
            <w:r w:rsidRPr="0053423A">
              <w:rPr>
                <w:b/>
                <w:color w:val="000000"/>
                <w:sz w:val="20"/>
                <w:szCs w:val="20"/>
                <w:lang w:val="af-ZA"/>
              </w:rPr>
              <w:t xml:space="preserve"> </w:t>
            </w:r>
            <w:r w:rsidRPr="0053423A">
              <w:rPr>
                <w:b/>
                <w:color w:val="000000"/>
                <w:sz w:val="20"/>
                <w:szCs w:val="20"/>
                <w:lang w:val="hy-AM"/>
              </w:rPr>
              <w:t>նաև</w:t>
            </w:r>
            <w:r w:rsidRPr="0053423A">
              <w:rPr>
                <w:b/>
                <w:color w:val="000000"/>
                <w:sz w:val="20"/>
                <w:szCs w:val="20"/>
                <w:lang w:val="af-ZA"/>
              </w:rPr>
              <w:t xml:space="preserve"> </w:t>
            </w:r>
            <w:r w:rsidRPr="0053423A">
              <w:rPr>
                <w:b/>
                <w:color w:val="000000"/>
                <w:sz w:val="20"/>
                <w:szCs w:val="20"/>
                <w:lang w:val="hy-AM"/>
              </w:rPr>
              <w:t>վարձակալության</w:t>
            </w:r>
            <w:r w:rsidRPr="0053423A">
              <w:rPr>
                <w:b/>
                <w:color w:val="000000"/>
                <w:sz w:val="20"/>
                <w:szCs w:val="20"/>
                <w:lang w:val="af-ZA"/>
              </w:rPr>
              <w:t xml:space="preserve"> </w:t>
            </w:r>
            <w:r w:rsidRPr="0053423A">
              <w:rPr>
                <w:b/>
                <w:color w:val="000000"/>
                <w:sz w:val="20"/>
                <w:szCs w:val="20"/>
                <w:lang w:val="hy-AM"/>
              </w:rPr>
              <w:t>գործող</w:t>
            </w:r>
            <w:r w:rsidRPr="0053423A">
              <w:rPr>
                <w:b/>
                <w:color w:val="000000"/>
                <w:sz w:val="20"/>
                <w:szCs w:val="20"/>
                <w:lang w:val="af-ZA"/>
              </w:rPr>
              <w:t xml:space="preserve"> </w:t>
            </w:r>
            <w:r w:rsidRPr="0053423A">
              <w:rPr>
                <w:b/>
                <w:color w:val="000000"/>
                <w:sz w:val="20"/>
                <w:szCs w:val="20"/>
                <w:lang w:val="hy-AM"/>
              </w:rPr>
              <w:t>պայմանագրով</w:t>
            </w:r>
            <w:r w:rsidRPr="0053423A">
              <w:rPr>
                <w:b/>
                <w:color w:val="000000"/>
                <w:sz w:val="20"/>
                <w:szCs w:val="20"/>
                <w:lang w:val="af-ZA"/>
              </w:rPr>
              <w:t xml:space="preserve"> </w:t>
            </w:r>
            <w:r w:rsidRPr="0053423A">
              <w:rPr>
                <w:b/>
                <w:color w:val="000000"/>
                <w:sz w:val="20"/>
                <w:szCs w:val="20"/>
                <w:lang w:val="hy-AM"/>
              </w:rPr>
              <w:t>նախատեսված</w:t>
            </w:r>
            <w:r w:rsidRPr="0053423A">
              <w:rPr>
                <w:b/>
                <w:color w:val="000000"/>
                <w:sz w:val="20"/>
                <w:szCs w:val="20"/>
                <w:lang w:val="af-ZA"/>
              </w:rPr>
              <w:t xml:space="preserve"> </w:t>
            </w:r>
            <w:r w:rsidRPr="0053423A">
              <w:rPr>
                <w:b/>
                <w:color w:val="000000"/>
                <w:sz w:val="20"/>
                <w:szCs w:val="20"/>
                <w:lang w:val="hy-AM"/>
              </w:rPr>
              <w:t>միջոցառումների</w:t>
            </w:r>
            <w:r w:rsidRPr="0053423A">
              <w:rPr>
                <w:b/>
                <w:color w:val="000000"/>
                <w:sz w:val="20"/>
                <w:szCs w:val="20"/>
                <w:lang w:val="af-ZA"/>
              </w:rPr>
              <w:t xml:space="preserve"> </w:t>
            </w:r>
            <w:r w:rsidRPr="0053423A">
              <w:rPr>
                <w:b/>
                <w:color w:val="000000"/>
                <w:sz w:val="20"/>
                <w:szCs w:val="20"/>
                <w:lang w:val="hy-AM"/>
              </w:rPr>
              <w:t>և</w:t>
            </w:r>
            <w:r w:rsidRPr="0053423A">
              <w:rPr>
                <w:b/>
                <w:color w:val="000000"/>
                <w:sz w:val="20"/>
                <w:szCs w:val="20"/>
                <w:lang w:val="af-ZA"/>
              </w:rPr>
              <w:t xml:space="preserve"> </w:t>
            </w:r>
            <w:r w:rsidRPr="0053423A">
              <w:rPr>
                <w:b/>
                <w:color w:val="000000"/>
                <w:sz w:val="20"/>
                <w:szCs w:val="20"/>
                <w:lang w:val="hy-AM"/>
              </w:rPr>
              <w:t>թիրախային</w:t>
            </w:r>
            <w:r w:rsidRPr="0053423A">
              <w:rPr>
                <w:b/>
                <w:color w:val="000000"/>
                <w:sz w:val="20"/>
                <w:szCs w:val="20"/>
                <w:lang w:val="af-ZA"/>
              </w:rPr>
              <w:t xml:space="preserve"> </w:t>
            </w:r>
            <w:r w:rsidRPr="0053423A">
              <w:rPr>
                <w:b/>
                <w:color w:val="000000"/>
                <w:sz w:val="20"/>
                <w:szCs w:val="20"/>
                <w:lang w:val="hy-AM"/>
              </w:rPr>
              <w:t>ցուցանիշների</w:t>
            </w:r>
            <w:r w:rsidRPr="0053423A">
              <w:rPr>
                <w:b/>
                <w:color w:val="000000"/>
                <w:sz w:val="20"/>
                <w:szCs w:val="20"/>
                <w:lang w:val="af-ZA"/>
              </w:rPr>
              <w:t xml:space="preserve"> </w:t>
            </w:r>
            <w:r w:rsidRPr="0053423A">
              <w:rPr>
                <w:b/>
                <w:color w:val="000000"/>
                <w:sz w:val="20"/>
                <w:szCs w:val="20"/>
                <w:lang w:val="hy-AM"/>
              </w:rPr>
              <w:t>ապահովում</w:t>
            </w:r>
          </w:p>
          <w:p w:rsidR="0084615D" w:rsidRPr="0053423A" w:rsidRDefault="0084615D" w:rsidP="00A67858">
            <w:pPr>
              <w:spacing w:after="0" w:line="276" w:lineRule="auto"/>
              <w:jc w:val="center"/>
              <w:rPr>
                <w:b/>
                <w:color w:val="000000"/>
                <w:sz w:val="20"/>
                <w:szCs w:val="20"/>
                <w:lang w:val="hy-AM"/>
              </w:rPr>
            </w:pP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hy-AM"/>
              </w:rPr>
              <w:t>20.</w:t>
            </w:r>
            <w:r w:rsidRPr="0053423A">
              <w:rPr>
                <w:b/>
                <w:sz w:val="20"/>
                <w:szCs w:val="20"/>
                <w:u w:val="single"/>
                <w:lang w:val="af-ZA"/>
              </w:rPr>
              <w:t>1</w:t>
            </w:r>
            <w:r w:rsidRPr="0053423A">
              <w:rPr>
                <w:rFonts w:ascii="Calibri" w:hAnsi="Calibri" w:cs="Calibri"/>
                <w:b/>
                <w:sz w:val="20"/>
                <w:szCs w:val="20"/>
                <w:u w:val="single"/>
                <w:lang w:val="af-ZA"/>
              </w:rPr>
              <w:t> </w:t>
            </w:r>
            <w:r w:rsidRPr="0053423A">
              <w:rPr>
                <w:b/>
                <w:sz w:val="20"/>
                <w:szCs w:val="20"/>
                <w:u w:val="single"/>
                <w:lang w:val="af-ZA"/>
              </w:rPr>
              <w:t xml:space="preserve"> Վարձակալի կողմից չսպասարկվող բնակավայրերում ջրամատակարարման և ջրահեռացման ծառայությունների բարելավում: Կատարված ուսումնասիրություններից ելնելով, ըստ առաջնահերթության չսպասարկվող բնակավայրերի ջրամատակարարման և ջրահեռացման համակարգերի բարելավում:</w:t>
            </w:r>
          </w:p>
          <w:p w:rsidR="0084615D" w:rsidRPr="0053423A" w:rsidRDefault="0084615D" w:rsidP="00A67858">
            <w:pPr>
              <w:spacing w:after="0" w:line="276" w:lineRule="auto"/>
              <w:ind w:firstLine="349"/>
              <w:jc w:val="center"/>
              <w:rPr>
                <w:rFonts w:cs="Sylfaen"/>
                <w:b/>
                <w:sz w:val="20"/>
                <w:szCs w:val="20"/>
                <w:u w:val="single"/>
                <w:lang w:val="af-ZA"/>
              </w:rPr>
            </w:pPr>
          </w:p>
          <w:p w:rsidR="0084615D" w:rsidRPr="0053423A" w:rsidRDefault="0084615D" w:rsidP="00A67858">
            <w:pPr>
              <w:pStyle w:val="ListParagraph"/>
              <w:tabs>
                <w:tab w:val="left" w:pos="810"/>
              </w:tabs>
              <w:spacing w:after="0" w:line="276" w:lineRule="auto"/>
              <w:rPr>
                <w:rFonts w:eastAsia="Times New Roman"/>
                <w:b/>
                <w:sz w:val="20"/>
                <w:szCs w:val="20"/>
                <w:lang w:val="af-ZA"/>
              </w:rPr>
            </w:pPr>
            <w:r w:rsidRPr="0053423A">
              <w:rPr>
                <w:rFonts w:cs="Courier New"/>
                <w:b/>
                <w:sz w:val="20"/>
                <w:szCs w:val="20"/>
                <w:lang w:val="af-ZA"/>
              </w:rPr>
              <w:t>1</w:t>
            </w:r>
            <w:r w:rsidRPr="0053423A">
              <w:rPr>
                <w:rFonts w:eastAsia="Times New Roman" w:cs="Courier New"/>
                <w:b/>
                <w:sz w:val="20"/>
                <w:szCs w:val="20"/>
                <w:lang w:val="af-ZA"/>
              </w:rPr>
              <w:t>.</w:t>
            </w:r>
            <w:r w:rsidRPr="0053423A">
              <w:rPr>
                <w:rFonts w:ascii="Calibri" w:eastAsia="Times New Roman" w:hAnsi="Calibri" w:cs="Calibri"/>
                <w:b/>
                <w:sz w:val="20"/>
                <w:szCs w:val="20"/>
                <w:lang w:val="af-ZA"/>
              </w:rPr>
              <w:t> </w:t>
            </w:r>
            <w:r w:rsidRPr="0053423A">
              <w:rPr>
                <w:rFonts w:eastAsia="Times New Roman"/>
                <w:b/>
                <w:sz w:val="20"/>
                <w:szCs w:val="20"/>
                <w:lang w:val="hy-AM"/>
              </w:rPr>
              <w:t>Միջոցառման</w:t>
            </w:r>
            <w:r w:rsidRPr="0053423A">
              <w:rPr>
                <w:rFonts w:eastAsia="Times New Roman"/>
                <w:b/>
                <w:sz w:val="20"/>
                <w:szCs w:val="20"/>
                <w:lang w:val="af-ZA"/>
              </w:rPr>
              <w:t xml:space="preserve"> </w:t>
            </w:r>
            <w:r w:rsidRPr="0053423A">
              <w:rPr>
                <w:rFonts w:eastAsia="Times New Roman"/>
                <w:b/>
                <w:sz w:val="20"/>
                <w:szCs w:val="20"/>
                <w:lang w:val="hy-AM"/>
              </w:rPr>
              <w:t>իրականացման</w:t>
            </w:r>
            <w:r w:rsidRPr="0053423A">
              <w:rPr>
                <w:rFonts w:eastAsia="Times New Roman"/>
                <w:b/>
                <w:sz w:val="20"/>
                <w:szCs w:val="20"/>
                <w:lang w:val="af-ZA"/>
              </w:rPr>
              <w:t xml:space="preserve"> </w:t>
            </w:r>
            <w:r w:rsidRPr="0053423A">
              <w:rPr>
                <w:rFonts w:eastAsia="Times New Roma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նպատակը</w:t>
            </w:r>
          </w:p>
          <w:p w:rsidR="0084615D" w:rsidRPr="0053423A" w:rsidRDefault="0084615D" w:rsidP="00A67858">
            <w:pPr>
              <w:tabs>
                <w:tab w:val="num" w:pos="720"/>
              </w:tabs>
              <w:spacing w:after="0" w:line="276" w:lineRule="auto"/>
              <w:jc w:val="both"/>
              <w:rPr>
                <w:rFonts w:cs="Sylfaen"/>
                <w:sz w:val="20"/>
                <w:szCs w:val="20"/>
                <w:lang w:val="af-ZA"/>
              </w:rPr>
            </w:pPr>
            <w:r w:rsidRPr="0053423A">
              <w:rPr>
                <w:rFonts w:cs="Sylfaen"/>
                <w:sz w:val="20"/>
                <w:szCs w:val="20"/>
                <w:lang w:val="af-ZA"/>
              </w:rPr>
              <w:t>Հ</w:t>
            </w:r>
            <w:r w:rsidRPr="0053423A">
              <w:rPr>
                <w:rFonts w:cs="Sylfaen"/>
                <w:sz w:val="20"/>
                <w:szCs w:val="20"/>
              </w:rPr>
              <w:t>իմք</w:t>
            </w:r>
            <w:r w:rsidRPr="0053423A">
              <w:rPr>
                <w:rFonts w:cs="Sylfaen"/>
                <w:sz w:val="20"/>
                <w:szCs w:val="20"/>
                <w:lang w:val="af-ZA"/>
              </w:rPr>
              <w:t xml:space="preserve"> </w:t>
            </w:r>
            <w:r w:rsidRPr="0053423A">
              <w:rPr>
                <w:rFonts w:cs="Sylfaen"/>
                <w:sz w:val="20"/>
                <w:szCs w:val="20"/>
              </w:rPr>
              <w:t>ընդունելով</w:t>
            </w:r>
            <w:r w:rsidRPr="0053423A">
              <w:rPr>
                <w:rFonts w:cs="Sylfaen"/>
                <w:sz w:val="20"/>
                <w:szCs w:val="20"/>
                <w:lang w:val="af-ZA"/>
              </w:rPr>
              <w:t xml:space="preserve"> </w:t>
            </w:r>
            <w:r w:rsidRPr="0053423A">
              <w:rPr>
                <w:rFonts w:cs="GHEA Grapalat"/>
                <w:sz w:val="20"/>
                <w:szCs w:val="20"/>
                <w:lang w:val="af-ZA"/>
              </w:rPr>
              <w:t>ՀՀ ազգային ժողովի 2019 թվականի փետրվարի 14-ի «Հայաստանի Հանրապետության կառավարության ծրագրին հավանություն տալու մասին» ԱԺՈ-002-Ն որոշմամբ հավանության արժանացած ՀՀ կառավարության 2019 թվականի փետրվարի 8</w:t>
            </w:r>
            <w:r w:rsidRPr="0053423A">
              <w:rPr>
                <w:spacing w:val="-2"/>
                <w:sz w:val="20"/>
                <w:szCs w:val="20"/>
                <w:lang w:val="af-ZA"/>
              </w:rPr>
              <w:t>-</w:t>
            </w:r>
            <w:r w:rsidRPr="0053423A">
              <w:rPr>
                <w:spacing w:val="-2"/>
                <w:sz w:val="20"/>
                <w:szCs w:val="20"/>
              </w:rPr>
              <w:t>ի</w:t>
            </w:r>
            <w:r w:rsidRPr="0053423A">
              <w:rPr>
                <w:spacing w:val="-2"/>
                <w:sz w:val="20"/>
                <w:szCs w:val="20"/>
                <w:lang w:val="af-ZA"/>
              </w:rPr>
              <w:t xml:space="preserve"> N 65-Ա որոշման </w:t>
            </w:r>
            <w:r w:rsidRPr="0053423A">
              <w:rPr>
                <w:spacing w:val="-2"/>
                <w:sz w:val="20"/>
                <w:szCs w:val="20"/>
                <w:lang w:val="hy-AM"/>
              </w:rPr>
              <w:t>6</w:t>
            </w:r>
            <w:r w:rsidRPr="0053423A">
              <w:rPr>
                <w:spacing w:val="-2"/>
                <w:sz w:val="20"/>
                <w:szCs w:val="20"/>
                <w:lang w:val="pt-BR"/>
              </w:rPr>
              <w:t>.4</w:t>
            </w:r>
            <w:r w:rsidRPr="0053423A">
              <w:rPr>
                <w:spacing w:val="-2"/>
                <w:sz w:val="20"/>
                <w:szCs w:val="20"/>
                <w:lang w:val="hy-AM"/>
              </w:rPr>
              <w:t xml:space="preserve"> «</w:t>
            </w:r>
            <w:r w:rsidRPr="0053423A">
              <w:rPr>
                <w:spacing w:val="-2"/>
                <w:sz w:val="20"/>
                <w:szCs w:val="20"/>
              </w:rPr>
              <w:t>Ջրային</w:t>
            </w:r>
            <w:r w:rsidRPr="0053423A">
              <w:rPr>
                <w:spacing w:val="-2"/>
                <w:sz w:val="20"/>
                <w:szCs w:val="20"/>
                <w:lang w:val="af-ZA"/>
              </w:rPr>
              <w:t xml:space="preserve"> </w:t>
            </w:r>
            <w:r w:rsidRPr="0053423A">
              <w:rPr>
                <w:spacing w:val="-2"/>
                <w:sz w:val="20"/>
                <w:szCs w:val="20"/>
              </w:rPr>
              <w:t>տ</w:t>
            </w:r>
            <w:r w:rsidRPr="0053423A">
              <w:rPr>
                <w:spacing w:val="-2"/>
                <w:sz w:val="20"/>
                <w:szCs w:val="20"/>
                <w:lang w:val="hy-AM"/>
              </w:rPr>
              <w:t>նտեսություն</w:t>
            </w:r>
            <w:r w:rsidRPr="0053423A">
              <w:rPr>
                <w:spacing w:val="-2"/>
                <w:sz w:val="20"/>
                <w:szCs w:val="20"/>
              </w:rPr>
              <w:t>ը</w:t>
            </w:r>
            <w:r w:rsidRPr="0053423A">
              <w:rPr>
                <w:spacing w:val="-2"/>
                <w:sz w:val="20"/>
                <w:szCs w:val="20"/>
                <w:lang w:val="hy-AM"/>
              </w:rPr>
              <w:t>» բաժի</w:t>
            </w:r>
            <w:r w:rsidRPr="0053423A">
              <w:rPr>
                <w:spacing w:val="-2"/>
                <w:sz w:val="20"/>
                <w:szCs w:val="20"/>
              </w:rPr>
              <w:t>նը</w:t>
            </w:r>
            <w:r w:rsidRPr="0053423A">
              <w:rPr>
                <w:spacing w:val="-2"/>
                <w:sz w:val="20"/>
                <w:szCs w:val="20"/>
                <w:lang w:val="hy-AM"/>
              </w:rPr>
              <w:t xml:space="preserve"> </w:t>
            </w:r>
            <w:r w:rsidRPr="0053423A">
              <w:rPr>
                <w:spacing w:val="-2"/>
                <w:sz w:val="20"/>
                <w:szCs w:val="20"/>
              </w:rPr>
              <w:t>և</w:t>
            </w:r>
            <w:r w:rsidRPr="0053423A">
              <w:rPr>
                <w:spacing w:val="-2"/>
                <w:sz w:val="20"/>
                <w:szCs w:val="20"/>
                <w:lang w:val="af-ZA"/>
              </w:rPr>
              <w:t xml:space="preserve"> </w:t>
            </w:r>
            <w:r w:rsidRPr="0053423A">
              <w:rPr>
                <w:rFonts w:cs="GHEA Grapalat"/>
                <w:sz w:val="20"/>
                <w:szCs w:val="20"/>
                <w:lang w:val="af-ZA"/>
              </w:rPr>
              <w:t>2006 թվականի նոյեմբերի 27-ի ՀՀ ջրի ազգային ծրագրի մասին</w:t>
            </w:r>
            <w:r w:rsidRPr="0053423A">
              <w:rPr>
                <w:rFonts w:cs="Sylfaen"/>
                <w:sz w:val="20"/>
                <w:szCs w:val="20"/>
                <w:lang w:val="af-ZA"/>
              </w:rPr>
              <w:t xml:space="preserve"> ՀՀ օրենքի 5-րդ գլխի 16-րդ հոդվածը և «Ջրամատակարարման և ջրահեռացման ոլորտի 2018-2030 թթ. ռազմավարություն և ֆինանսավորման ծրագիրը»՝ իրականացնել </w:t>
            </w:r>
            <w:r w:rsidRPr="0053423A">
              <w:rPr>
                <w:sz w:val="20"/>
                <w:szCs w:val="20"/>
                <w:lang w:val="af-ZA"/>
              </w:rPr>
              <w:t></w:t>
            </w:r>
            <w:r w:rsidRPr="0053423A">
              <w:rPr>
                <w:sz w:val="20"/>
                <w:szCs w:val="20"/>
              </w:rPr>
              <w:t>Վեոլիա</w:t>
            </w:r>
            <w:r w:rsidRPr="0053423A">
              <w:rPr>
                <w:sz w:val="20"/>
                <w:szCs w:val="20"/>
                <w:lang w:val="af-ZA"/>
              </w:rPr>
              <w:t xml:space="preserve"> </w:t>
            </w:r>
            <w:r w:rsidRPr="0053423A">
              <w:rPr>
                <w:sz w:val="20"/>
                <w:szCs w:val="20"/>
              </w:rPr>
              <w:t>Ջուր</w:t>
            </w:r>
            <w:r w:rsidRPr="0053423A">
              <w:rPr>
                <w:sz w:val="20"/>
                <w:szCs w:val="20"/>
                <w:lang w:val="af-ZA"/>
              </w:rPr>
              <w:t xml:space="preserve"> </w:t>
            </w:r>
            <w:r w:rsidRPr="0053423A">
              <w:rPr>
                <w:sz w:val="20"/>
                <w:szCs w:val="20"/>
              </w:rPr>
              <w:t>ՓԲԸ</w:t>
            </w:r>
            <w:r w:rsidRPr="0053423A">
              <w:rPr>
                <w:rFonts w:cs="Sylfaen"/>
                <w:sz w:val="20"/>
                <w:szCs w:val="20"/>
                <w:lang w:val="af-ZA"/>
              </w:rPr>
              <w:t>-</w:t>
            </w:r>
            <w:r w:rsidRPr="0053423A">
              <w:rPr>
                <w:rFonts w:cs="Sylfaen"/>
                <w:sz w:val="20"/>
                <w:szCs w:val="20"/>
              </w:rPr>
              <w:t>ի</w:t>
            </w:r>
            <w:r w:rsidRPr="0053423A">
              <w:rPr>
                <w:rFonts w:cs="Sylfaen"/>
                <w:sz w:val="20"/>
                <w:szCs w:val="20"/>
                <w:lang w:val="af-ZA"/>
              </w:rPr>
              <w:t xml:space="preserve"> </w:t>
            </w:r>
            <w:r w:rsidRPr="0053423A">
              <w:rPr>
                <w:rFonts w:cs="Sylfaen"/>
                <w:sz w:val="20"/>
                <w:szCs w:val="20"/>
              </w:rPr>
              <w:t>կողմից</w:t>
            </w:r>
            <w:r w:rsidRPr="0053423A">
              <w:rPr>
                <w:rFonts w:cs="Sylfaen"/>
                <w:sz w:val="20"/>
                <w:szCs w:val="20"/>
                <w:lang w:val="af-ZA"/>
              </w:rPr>
              <w:t xml:space="preserve"> </w:t>
            </w:r>
            <w:r w:rsidRPr="0053423A">
              <w:rPr>
                <w:rFonts w:cs="Times Armenian"/>
                <w:color w:val="000000"/>
                <w:sz w:val="20"/>
                <w:szCs w:val="20"/>
                <w:lang w:val="fr-FR"/>
              </w:rPr>
              <w:t>չսպասարկվող բնակավայրերում</w:t>
            </w:r>
            <w:r w:rsidRPr="0053423A">
              <w:rPr>
                <w:rFonts w:cs="Sylfaen"/>
                <w:sz w:val="20"/>
                <w:szCs w:val="20"/>
                <w:lang w:val="af-ZA"/>
              </w:rPr>
              <w:t xml:space="preserve"> </w:t>
            </w:r>
            <w:r w:rsidRPr="0053423A">
              <w:rPr>
                <w:rFonts w:cs="Sylfaen"/>
                <w:sz w:val="20"/>
                <w:szCs w:val="20"/>
              </w:rPr>
              <w:t>ըստ</w:t>
            </w:r>
            <w:r w:rsidRPr="0053423A">
              <w:rPr>
                <w:rFonts w:cs="Sylfaen"/>
                <w:sz w:val="20"/>
                <w:szCs w:val="20"/>
                <w:lang w:val="af-ZA"/>
              </w:rPr>
              <w:t xml:space="preserve"> </w:t>
            </w:r>
            <w:r w:rsidRPr="0053423A">
              <w:rPr>
                <w:rFonts w:cs="Sylfaen"/>
                <w:sz w:val="20"/>
                <w:szCs w:val="20"/>
              </w:rPr>
              <w:t>առաջնահերթության</w:t>
            </w:r>
            <w:r w:rsidRPr="0053423A">
              <w:rPr>
                <w:rFonts w:cs="Sylfaen"/>
                <w:sz w:val="20"/>
                <w:szCs w:val="20"/>
                <w:lang w:val="af-ZA"/>
              </w:rPr>
              <w:t xml:space="preserve"> (փուլային) </w:t>
            </w:r>
            <w:r w:rsidRPr="0053423A">
              <w:rPr>
                <w:rFonts w:cs="Sylfaen"/>
                <w:sz w:val="20"/>
                <w:szCs w:val="20"/>
              </w:rPr>
              <w:t>ջրամատակարարման</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ջրահեռացման</w:t>
            </w:r>
            <w:r w:rsidRPr="0053423A">
              <w:rPr>
                <w:rFonts w:cs="Sylfaen"/>
                <w:sz w:val="20"/>
                <w:szCs w:val="20"/>
                <w:lang w:val="af-ZA"/>
              </w:rPr>
              <w:t xml:space="preserve"> (կեղտաջրերի մաքրման) ծառայությունների որակի բարելավման համար համապատասխան աշխատանքներ:</w:t>
            </w:r>
          </w:p>
          <w:p w:rsidR="0084615D" w:rsidRPr="0053423A" w:rsidRDefault="0084615D" w:rsidP="001F6D5D">
            <w:pPr>
              <w:pStyle w:val="ListParagraph"/>
              <w:numPr>
                <w:ilvl w:val="1"/>
                <w:numId w:val="282"/>
              </w:numPr>
              <w:spacing w:after="0" w:line="276" w:lineRule="auto"/>
              <w:jc w:val="both"/>
              <w:rPr>
                <w:rFonts w:cs="Courier New"/>
                <w:b/>
                <w:sz w:val="20"/>
                <w:szCs w:val="20"/>
                <w:lang w:val="af-ZA"/>
              </w:rPr>
            </w:pPr>
            <w:r w:rsidRPr="0053423A">
              <w:rPr>
                <w:rFonts w:eastAsia="Times New Roman"/>
                <w:b/>
                <w:sz w:val="20"/>
                <w:szCs w:val="20"/>
                <w:lang w:val="hy-AM"/>
              </w:rPr>
              <w:t>Կարգավորման հարաբերությունների ներկա վիճակը և առկա խնդիրները</w:t>
            </w:r>
          </w:p>
          <w:p w:rsidR="0084615D" w:rsidRPr="0053423A" w:rsidRDefault="0084615D" w:rsidP="00A67858">
            <w:pPr>
              <w:pStyle w:val="ListParagraph"/>
              <w:spacing w:after="0" w:line="276" w:lineRule="auto"/>
              <w:ind w:left="0"/>
              <w:jc w:val="both"/>
              <w:rPr>
                <w:rFonts w:cs="Sylfaen"/>
                <w:sz w:val="20"/>
                <w:szCs w:val="20"/>
                <w:lang w:val="af-ZA"/>
              </w:rPr>
            </w:pPr>
            <w:r w:rsidRPr="0053423A">
              <w:rPr>
                <w:rFonts w:cs="Sylfaen"/>
                <w:sz w:val="20"/>
                <w:szCs w:val="20"/>
                <w:lang w:val="af-ZA"/>
              </w:rPr>
              <w:t>Ներկայումս Վեոլիա Ջուր ՓԲԸ-ի կողմից չսպասարկվող բնակավայրերի մեծ մասում ջրամատակարարման և ջրահեռացման համակարգերը գտնվում են տեխնիկապես անբավարար վիճակում կամ բացակայում են:</w:t>
            </w:r>
          </w:p>
          <w:p w:rsidR="0084615D" w:rsidRPr="0053423A" w:rsidRDefault="0084615D" w:rsidP="001F6D5D">
            <w:pPr>
              <w:pStyle w:val="ListParagraph"/>
              <w:numPr>
                <w:ilvl w:val="1"/>
                <w:numId w:val="277"/>
              </w:numPr>
              <w:tabs>
                <w:tab w:val="clear" w:pos="1455"/>
                <w:tab w:val="left" w:pos="993"/>
                <w:tab w:val="left" w:pos="1134"/>
              </w:tabs>
              <w:spacing w:after="0" w:line="276" w:lineRule="auto"/>
              <w:ind w:left="1134" w:hanging="425"/>
              <w:rPr>
                <w:rFonts w:eastAsia="Times New Roman"/>
                <w:b/>
                <w:sz w:val="20"/>
                <w:szCs w:val="20"/>
                <w:lang w:val="af-ZA"/>
              </w:rPr>
            </w:pPr>
            <w:r w:rsidRPr="0053423A">
              <w:rPr>
                <w:rFonts w:eastAsia="Times New Roman"/>
                <w:b/>
                <w:sz w:val="20"/>
                <w:szCs w:val="20"/>
                <w:lang w:val="af-ZA"/>
              </w:rPr>
              <w:t xml:space="preserve">Առկա խնդիրների առաջարկվող լուծումները </w:t>
            </w:r>
          </w:p>
          <w:p w:rsidR="0084615D" w:rsidRPr="0053423A" w:rsidRDefault="0084615D" w:rsidP="00A67858">
            <w:pPr>
              <w:tabs>
                <w:tab w:val="left" w:pos="709"/>
              </w:tabs>
              <w:spacing w:after="0" w:line="276" w:lineRule="auto"/>
              <w:jc w:val="both"/>
              <w:rPr>
                <w:rFonts w:eastAsia="Times New Roman"/>
                <w:b/>
                <w:sz w:val="20"/>
                <w:szCs w:val="20"/>
                <w:lang w:val="af-ZA"/>
              </w:rPr>
            </w:pPr>
            <w:r w:rsidRPr="0053423A">
              <w:rPr>
                <w:sz w:val="20"/>
                <w:szCs w:val="20"/>
                <w:lang w:val="af-ZA"/>
              </w:rPr>
              <w:t xml:space="preserve">Համապատասխան </w:t>
            </w:r>
            <w:r w:rsidRPr="0053423A">
              <w:rPr>
                <w:rFonts w:cs="Sylfaen"/>
                <w:sz w:val="20"/>
                <w:szCs w:val="20"/>
              </w:rPr>
              <w:t>ներդրումների</w:t>
            </w:r>
            <w:r w:rsidRPr="0053423A">
              <w:rPr>
                <w:rFonts w:cs="Sylfaen"/>
                <w:sz w:val="20"/>
                <w:szCs w:val="20"/>
                <w:lang w:val="af-ZA"/>
              </w:rPr>
              <w:t xml:space="preserve"> առկայության դեպքում </w:t>
            </w:r>
            <w:r w:rsidRPr="0053423A">
              <w:rPr>
                <w:rFonts w:cs="Sylfaen"/>
                <w:sz w:val="20"/>
                <w:szCs w:val="20"/>
              </w:rPr>
              <w:t>կապահովվի</w:t>
            </w:r>
            <w:r w:rsidRPr="0053423A">
              <w:rPr>
                <w:rFonts w:cs="Sylfaen"/>
                <w:sz w:val="20"/>
                <w:szCs w:val="20"/>
                <w:lang w:val="af-ZA"/>
              </w:rPr>
              <w:t xml:space="preserve"> </w:t>
            </w:r>
            <w:r w:rsidRPr="0053423A">
              <w:rPr>
                <w:rFonts w:cs="Sylfaen"/>
                <w:sz w:val="20"/>
                <w:szCs w:val="20"/>
              </w:rPr>
              <w:t>համակարգերի</w:t>
            </w:r>
            <w:r w:rsidRPr="0053423A">
              <w:rPr>
                <w:rFonts w:cs="Sylfaen"/>
                <w:sz w:val="20"/>
                <w:szCs w:val="20"/>
                <w:lang w:val="af-ZA"/>
              </w:rPr>
              <w:t xml:space="preserve"> </w:t>
            </w:r>
            <w:r w:rsidRPr="0053423A">
              <w:rPr>
                <w:rFonts w:cs="Sylfaen"/>
                <w:sz w:val="20"/>
                <w:szCs w:val="20"/>
              </w:rPr>
              <w:t>արդիականացումը</w:t>
            </w:r>
            <w:r w:rsidRPr="0053423A">
              <w:rPr>
                <w:rFonts w:cs="Sylfaen"/>
                <w:sz w:val="20"/>
                <w:szCs w:val="20"/>
                <w:lang w:val="af-ZA"/>
              </w:rPr>
              <w:t>, արդյունավետ կառավարումը, ծառայությունների մատուցումը մասնագիտացված կազմակերպությունների կողմից</w:t>
            </w:r>
            <w:r w:rsidRPr="0053423A">
              <w:rPr>
                <w:rFonts w:eastAsia="Times New Roman"/>
                <w:b/>
                <w:sz w:val="20"/>
                <w:szCs w:val="20"/>
                <w:lang w:val="af-ZA"/>
              </w:rPr>
              <w:t xml:space="preserve"> </w:t>
            </w:r>
          </w:p>
          <w:p w:rsidR="0084615D" w:rsidRPr="0053423A" w:rsidRDefault="0084615D" w:rsidP="00A67858">
            <w:pPr>
              <w:spacing w:after="0" w:line="276" w:lineRule="auto"/>
              <w:ind w:firstLine="709"/>
              <w:jc w:val="both"/>
              <w:rPr>
                <w:rFonts w:eastAsia="Times New Roman"/>
                <w:b/>
                <w:sz w:val="20"/>
                <w:szCs w:val="20"/>
                <w:lang w:val="af-ZA"/>
              </w:rPr>
            </w:pPr>
            <w:r w:rsidRPr="0053423A">
              <w:rPr>
                <w:rFonts w:eastAsia="Times New Roman"/>
                <w:b/>
                <w:sz w:val="20"/>
                <w:szCs w:val="20"/>
                <w:lang w:val="af-ZA"/>
              </w:rPr>
              <w:t>2.</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իրականացումից</w:t>
            </w:r>
            <w:r w:rsidRPr="0053423A">
              <w:rPr>
                <w:rFonts w:eastAsia="Times New Roman"/>
                <w:b/>
                <w:sz w:val="20"/>
                <w:szCs w:val="20"/>
                <w:lang w:val="af-ZA"/>
              </w:rPr>
              <w:t xml:space="preserve"> </w:t>
            </w:r>
            <w:r w:rsidRPr="0053423A">
              <w:rPr>
                <w:rFonts w:eastAsia="Times New Roman"/>
                <w:b/>
                <w:sz w:val="20"/>
                <w:szCs w:val="20"/>
              </w:rPr>
              <w:t>ակնկալվող</w:t>
            </w:r>
            <w:r w:rsidRPr="0053423A">
              <w:rPr>
                <w:rFonts w:eastAsia="Times New Roman"/>
                <w:b/>
                <w:sz w:val="20"/>
                <w:szCs w:val="20"/>
                <w:lang w:val="af-ZA"/>
              </w:rPr>
              <w:t xml:space="preserve"> </w:t>
            </w:r>
            <w:r w:rsidRPr="0053423A">
              <w:rPr>
                <w:rFonts w:eastAsia="Times New Roman"/>
                <w:b/>
                <w:sz w:val="20"/>
                <w:szCs w:val="20"/>
              </w:rPr>
              <w:t>արդյունքը</w:t>
            </w:r>
          </w:p>
          <w:p w:rsidR="0084615D" w:rsidRPr="0053423A" w:rsidRDefault="0084615D" w:rsidP="00A67858">
            <w:pPr>
              <w:tabs>
                <w:tab w:val="num" w:pos="720"/>
              </w:tabs>
              <w:spacing w:after="0" w:line="276" w:lineRule="auto"/>
              <w:jc w:val="both"/>
              <w:rPr>
                <w:rFonts w:cs="Sylfaen"/>
                <w:sz w:val="20"/>
                <w:szCs w:val="20"/>
                <w:lang w:val="af-ZA"/>
              </w:rPr>
            </w:pPr>
            <w:r w:rsidRPr="0053423A">
              <w:rPr>
                <w:sz w:val="20"/>
                <w:szCs w:val="20"/>
                <w:lang w:val="af-ZA"/>
              </w:rPr>
              <w:t></w:t>
            </w:r>
            <w:r w:rsidRPr="0053423A">
              <w:rPr>
                <w:sz w:val="20"/>
                <w:szCs w:val="20"/>
              </w:rPr>
              <w:t>Վեոլիա</w:t>
            </w:r>
            <w:r w:rsidRPr="0053423A">
              <w:rPr>
                <w:sz w:val="20"/>
                <w:szCs w:val="20"/>
                <w:lang w:val="af-ZA"/>
              </w:rPr>
              <w:t xml:space="preserve"> </w:t>
            </w:r>
            <w:r w:rsidRPr="0053423A">
              <w:rPr>
                <w:sz w:val="20"/>
                <w:szCs w:val="20"/>
              </w:rPr>
              <w:t>Ջուր</w:t>
            </w:r>
            <w:r w:rsidRPr="0053423A">
              <w:rPr>
                <w:sz w:val="20"/>
                <w:szCs w:val="20"/>
                <w:lang w:val="af-ZA"/>
              </w:rPr>
              <w:t xml:space="preserve"> </w:t>
            </w:r>
            <w:r w:rsidRPr="0053423A">
              <w:rPr>
                <w:sz w:val="20"/>
                <w:szCs w:val="20"/>
              </w:rPr>
              <w:t>ՓԲԸ</w:t>
            </w:r>
            <w:r w:rsidRPr="0053423A">
              <w:rPr>
                <w:rFonts w:cs="Sylfaen"/>
                <w:sz w:val="20"/>
                <w:szCs w:val="20"/>
                <w:lang w:val="af-ZA"/>
              </w:rPr>
              <w:t>-</w:t>
            </w:r>
            <w:r w:rsidRPr="0053423A">
              <w:rPr>
                <w:rFonts w:cs="Sylfaen"/>
                <w:sz w:val="20"/>
                <w:szCs w:val="20"/>
              </w:rPr>
              <w:t>ի</w:t>
            </w:r>
            <w:r w:rsidRPr="0053423A">
              <w:rPr>
                <w:rFonts w:cs="Sylfaen"/>
                <w:sz w:val="20"/>
                <w:szCs w:val="20"/>
                <w:lang w:val="af-ZA"/>
              </w:rPr>
              <w:t xml:space="preserve"> </w:t>
            </w:r>
            <w:r w:rsidRPr="0053423A">
              <w:rPr>
                <w:rFonts w:cs="Sylfaen"/>
                <w:sz w:val="20"/>
                <w:szCs w:val="20"/>
              </w:rPr>
              <w:t>կողմից</w:t>
            </w:r>
            <w:r w:rsidRPr="0053423A">
              <w:rPr>
                <w:rFonts w:cs="Sylfaen"/>
                <w:sz w:val="20"/>
                <w:szCs w:val="20"/>
                <w:lang w:val="af-ZA"/>
              </w:rPr>
              <w:t xml:space="preserve"> </w:t>
            </w:r>
            <w:r w:rsidRPr="0053423A">
              <w:rPr>
                <w:rFonts w:cs="Times Armenian"/>
                <w:color w:val="000000"/>
                <w:sz w:val="20"/>
                <w:szCs w:val="20"/>
                <w:lang w:val="fr-FR"/>
              </w:rPr>
              <w:t xml:space="preserve">չսպասարկվող </w:t>
            </w:r>
            <w:r w:rsidRPr="0053423A">
              <w:rPr>
                <w:sz w:val="20"/>
                <w:szCs w:val="20"/>
                <w:lang w:val="af-ZA"/>
              </w:rPr>
              <w:t>բնակավայրերում</w:t>
            </w:r>
            <w:r w:rsidRPr="0053423A">
              <w:rPr>
                <w:rFonts w:cs="Sylfaen"/>
                <w:sz w:val="20"/>
                <w:szCs w:val="20"/>
                <w:lang w:val="af-ZA"/>
              </w:rPr>
              <w:t xml:space="preserve"> հուսալի, կայուն և անվտանգ </w:t>
            </w:r>
            <w:r w:rsidRPr="0053423A">
              <w:rPr>
                <w:rFonts w:cs="Sylfaen"/>
                <w:sz w:val="20"/>
                <w:szCs w:val="20"/>
              </w:rPr>
              <w:t>ջրամատակարարման</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ջրահեռացման</w:t>
            </w:r>
            <w:r w:rsidRPr="0053423A">
              <w:rPr>
                <w:rFonts w:cs="Sylfaen"/>
                <w:sz w:val="20"/>
                <w:szCs w:val="20"/>
                <w:lang w:val="af-ZA"/>
              </w:rPr>
              <w:t xml:space="preserve"> (կեղտաջրերի մաքրման) ծառայությունների ապահովումը:</w:t>
            </w:r>
          </w:p>
          <w:p w:rsidR="0084615D" w:rsidRPr="0053423A" w:rsidRDefault="0084615D" w:rsidP="00A67858">
            <w:pPr>
              <w:tabs>
                <w:tab w:val="num" w:pos="720"/>
              </w:tabs>
              <w:spacing w:after="0" w:line="276" w:lineRule="auto"/>
              <w:jc w:val="both"/>
              <w:rPr>
                <w:rFonts w:cs="Sylfaen"/>
                <w:sz w:val="20"/>
                <w:szCs w:val="20"/>
                <w:lang w:val="af-ZA"/>
              </w:rPr>
            </w:pPr>
          </w:p>
          <w:p w:rsidR="0084615D" w:rsidRPr="0053423A" w:rsidRDefault="0084615D" w:rsidP="00A67858">
            <w:pPr>
              <w:pStyle w:val="ListParagraph"/>
              <w:spacing w:after="0" w:line="276" w:lineRule="auto"/>
              <w:ind w:left="709"/>
              <w:jc w:val="center"/>
              <w:rPr>
                <w:b/>
                <w:sz w:val="20"/>
                <w:szCs w:val="20"/>
                <w:u w:val="single"/>
                <w:lang w:val="af-ZA"/>
              </w:rPr>
            </w:pPr>
            <w:r w:rsidRPr="0053423A">
              <w:rPr>
                <w:b/>
                <w:sz w:val="20"/>
                <w:szCs w:val="20"/>
                <w:u w:val="single"/>
                <w:lang w:val="de-AT"/>
              </w:rPr>
              <w:t>20</w:t>
            </w:r>
            <w:r w:rsidRPr="0053423A">
              <w:rPr>
                <w:b/>
                <w:sz w:val="20"/>
                <w:szCs w:val="20"/>
                <w:u w:val="single"/>
                <w:lang w:val="af-ZA"/>
              </w:rPr>
              <w:t>.2 ՀՀ հինգ մարզերում խմելու ջրի ռեսուրսների անհա</w:t>
            </w:r>
            <w:r w:rsidRPr="0053423A">
              <w:rPr>
                <w:b/>
                <w:sz w:val="20"/>
                <w:szCs w:val="20"/>
                <w:u w:val="single"/>
                <w:lang w:val="af-ZA"/>
              </w:rPr>
              <w:softHyphen/>
              <w:t>մաչափ բաշխվածության և հասանելիության խնդիրների լուծման նպատակով ջրամատակարարման և ջրահեռացման համակարգերի վերակառուցման ծրագրով նախատեսված աշխատանքների իրականացում:</w:t>
            </w:r>
          </w:p>
          <w:p w:rsidR="0084615D" w:rsidRPr="0053423A" w:rsidRDefault="0084615D" w:rsidP="00A67858">
            <w:pPr>
              <w:tabs>
                <w:tab w:val="left" w:pos="1170"/>
              </w:tabs>
              <w:spacing w:after="0" w:line="276" w:lineRule="auto"/>
              <w:ind w:left="709"/>
              <w:jc w:val="center"/>
              <w:rPr>
                <w:b/>
                <w:sz w:val="20"/>
                <w:szCs w:val="20"/>
                <w:u w:val="single"/>
                <w:lang w:val="af-ZA"/>
              </w:rPr>
            </w:pPr>
            <w:r w:rsidRPr="0053423A">
              <w:rPr>
                <w:b/>
                <w:sz w:val="20"/>
                <w:szCs w:val="20"/>
                <w:u w:val="single"/>
                <w:lang w:val="af-ZA"/>
              </w:rPr>
              <w:t>Սևանի և Մեծամորի կեղտաջրերի մաքրման կայանների շինարարությունների իրականացում</w:t>
            </w:r>
          </w:p>
          <w:p w:rsidR="0084615D" w:rsidRPr="0053423A" w:rsidRDefault="0084615D" w:rsidP="00A67858">
            <w:pPr>
              <w:tabs>
                <w:tab w:val="left" w:pos="1170"/>
              </w:tabs>
              <w:spacing w:after="0" w:line="276" w:lineRule="auto"/>
              <w:ind w:left="709"/>
              <w:jc w:val="center"/>
              <w:rPr>
                <w:b/>
                <w:sz w:val="20"/>
                <w:szCs w:val="20"/>
                <w:u w:val="single"/>
                <w:lang w:val="af-ZA"/>
              </w:rPr>
            </w:pPr>
            <w:r w:rsidRPr="0053423A">
              <w:rPr>
                <w:b/>
                <w:sz w:val="20"/>
                <w:szCs w:val="20"/>
                <w:u w:val="single"/>
                <w:lang w:val="af-ZA"/>
              </w:rPr>
              <w:t>20.3 Վարձակալի կողմից չսպասարկվող 4 գյուղերի ջրամատակարարման և ջրահեռացման համակարգերի բարելավման աշխատանքների իրականացում և շահագործում</w:t>
            </w:r>
          </w:p>
          <w:p w:rsidR="0084615D" w:rsidRPr="0053423A" w:rsidRDefault="0084615D" w:rsidP="00A67858">
            <w:pPr>
              <w:spacing w:after="0" w:line="276" w:lineRule="auto"/>
              <w:rPr>
                <w:rFonts w:cs="Sylfaen"/>
                <w:b/>
                <w:i/>
                <w:sz w:val="20"/>
                <w:szCs w:val="20"/>
                <w:u w:val="single"/>
                <w:lang w:val="af-ZA"/>
              </w:rPr>
            </w:pPr>
          </w:p>
          <w:p w:rsidR="0084615D" w:rsidRPr="0053423A" w:rsidRDefault="0084615D" w:rsidP="00A67858">
            <w:pPr>
              <w:tabs>
                <w:tab w:val="num" w:pos="851"/>
              </w:tabs>
              <w:spacing w:after="0" w:line="276" w:lineRule="auto"/>
              <w:ind w:firstLine="871"/>
              <w:jc w:val="both"/>
              <w:rPr>
                <w:rFonts w:cs="Sylfaen"/>
                <w:sz w:val="20"/>
                <w:szCs w:val="20"/>
                <w:lang w:val="af-ZA"/>
              </w:rPr>
            </w:pPr>
            <w:r w:rsidRPr="0053423A">
              <w:rPr>
                <w:rFonts w:eastAsia="Times New Roman" w:cs="Courier New"/>
                <w:b/>
                <w:sz w:val="20"/>
                <w:szCs w:val="20"/>
                <w:lang w:val="af-ZA"/>
              </w:rPr>
              <w:t>1.</w:t>
            </w:r>
            <w:r w:rsidRPr="0053423A">
              <w:rPr>
                <w:rFonts w:ascii="Calibri" w:eastAsia="Times New Roman" w:hAnsi="Calibri" w:cs="Calibri"/>
                <w:b/>
                <w:sz w:val="20"/>
                <w:szCs w:val="20"/>
                <w:lang w:val="af-ZA"/>
              </w:rPr>
              <w:t> </w:t>
            </w:r>
            <w:r w:rsidRPr="0053423A">
              <w:rPr>
                <w:rFonts w:eastAsia="Times New Roman"/>
                <w:b/>
                <w:sz w:val="20"/>
                <w:szCs w:val="20"/>
                <w:lang w:val="hy-AM"/>
              </w:rPr>
              <w:t>Միջոցառման</w:t>
            </w:r>
            <w:r w:rsidRPr="0053423A">
              <w:rPr>
                <w:rFonts w:eastAsia="Times New Roman"/>
                <w:b/>
                <w:sz w:val="20"/>
                <w:szCs w:val="20"/>
                <w:lang w:val="af-ZA"/>
              </w:rPr>
              <w:t xml:space="preserve"> </w:t>
            </w:r>
            <w:r w:rsidRPr="0053423A">
              <w:rPr>
                <w:rFonts w:eastAsia="Times New Roman"/>
                <w:b/>
                <w:sz w:val="20"/>
                <w:szCs w:val="20"/>
                <w:lang w:val="hy-AM"/>
              </w:rPr>
              <w:t>իրականացման</w:t>
            </w:r>
            <w:r w:rsidRPr="0053423A">
              <w:rPr>
                <w:rFonts w:eastAsia="Times New Roman"/>
                <w:b/>
                <w:sz w:val="20"/>
                <w:szCs w:val="20"/>
                <w:lang w:val="af-ZA"/>
              </w:rPr>
              <w:t xml:space="preserve"> </w:t>
            </w:r>
            <w:r w:rsidRPr="0053423A">
              <w:rPr>
                <w:rFonts w:eastAsia="Times New Roma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նպատակը</w:t>
            </w:r>
            <w:r w:rsidRPr="0053423A">
              <w:rPr>
                <w:rFonts w:cs="Sylfaen"/>
                <w:sz w:val="20"/>
                <w:szCs w:val="20"/>
                <w:lang w:val="af-ZA"/>
              </w:rPr>
              <w:t xml:space="preserve"> </w:t>
            </w:r>
          </w:p>
          <w:p w:rsidR="0084615D" w:rsidRPr="0053423A" w:rsidRDefault="0084615D" w:rsidP="00A67858">
            <w:pPr>
              <w:pStyle w:val="ListParagraph"/>
              <w:spacing w:after="0" w:line="276" w:lineRule="auto"/>
              <w:ind w:left="0"/>
              <w:jc w:val="both"/>
              <w:rPr>
                <w:spacing w:val="-2"/>
                <w:sz w:val="20"/>
                <w:szCs w:val="20"/>
                <w:lang w:val="hy-AM"/>
              </w:rPr>
            </w:pPr>
            <w:r w:rsidRPr="0053423A">
              <w:rPr>
                <w:rFonts w:cs="Sylfaen"/>
                <w:sz w:val="20"/>
                <w:szCs w:val="20"/>
              </w:rPr>
              <w:t>Հիմք</w:t>
            </w:r>
            <w:r w:rsidRPr="0053423A">
              <w:rPr>
                <w:rFonts w:cs="Sylfaen"/>
                <w:sz w:val="20"/>
                <w:szCs w:val="20"/>
                <w:lang w:val="af-ZA"/>
              </w:rPr>
              <w:t xml:space="preserve"> </w:t>
            </w:r>
            <w:r w:rsidRPr="0053423A">
              <w:rPr>
                <w:rFonts w:cs="Sylfaen"/>
                <w:sz w:val="20"/>
                <w:szCs w:val="20"/>
              </w:rPr>
              <w:t>ընդունելով</w:t>
            </w:r>
            <w:r w:rsidRPr="0053423A">
              <w:rPr>
                <w:rFonts w:cs="Sylfaen"/>
                <w:sz w:val="20"/>
                <w:szCs w:val="20"/>
                <w:lang w:val="af-ZA"/>
              </w:rPr>
              <w:t xml:space="preserve"> </w:t>
            </w:r>
            <w:r w:rsidRPr="0053423A">
              <w:rPr>
                <w:rFonts w:cs="GHEA Grapalat"/>
                <w:sz w:val="20"/>
                <w:szCs w:val="20"/>
                <w:lang w:val="af-ZA"/>
              </w:rPr>
              <w:t>2006 թվականի նոյեմբերի 27-ի ՀՀ ջրի ազգային ծրագրի մասին</w:t>
            </w:r>
            <w:r w:rsidRPr="0053423A">
              <w:rPr>
                <w:rFonts w:cs="Sylfaen"/>
                <w:sz w:val="20"/>
                <w:szCs w:val="20"/>
                <w:lang w:val="af-ZA"/>
              </w:rPr>
              <w:t xml:space="preserve"> ՀՀ օրենքի </w:t>
            </w:r>
            <w:r w:rsidRPr="0053423A">
              <w:rPr>
                <w:rFonts w:cs="Sylfaen"/>
                <w:sz w:val="20"/>
                <w:szCs w:val="20"/>
                <w:lang w:val="af-ZA"/>
              </w:rPr>
              <w:br/>
              <w:t xml:space="preserve">5-րդ գլխի 16-րդ հոդվածի 4-րդ մաս և «Ջրամատակարարման և ջրահեռացման ոլորտի 2018-2030 թթ. ռազմավարություն և ֆինանսավորման ծրագիրը»՝ անհրաժեշտ է իրականացնել </w:t>
            </w:r>
            <w:r w:rsidRPr="0053423A">
              <w:rPr>
                <w:spacing w:val="-2"/>
                <w:sz w:val="20"/>
                <w:szCs w:val="20"/>
                <w:lang w:val="hy-AM"/>
              </w:rPr>
              <w:t xml:space="preserve"> ՀՀ Լոռու, ՀՀ Շիրակի, ՀՀ Վայոց ձորի, ՀՀ Սյունիքի և ՀՀ Գեղարքունիքի մարզերում խմելու ջրի ռեսուրսների անհամաչափ բաշխվածության և հասանելիության ապահովում: Սևանի և Մեծամորի կեղտաջրերի մաքրման կայանների շինարարությունների իրականացում:</w:t>
            </w:r>
          </w:p>
          <w:p w:rsidR="0084615D" w:rsidRPr="0053423A" w:rsidRDefault="0084615D" w:rsidP="001F6D5D">
            <w:pPr>
              <w:pStyle w:val="ListParagraph"/>
              <w:numPr>
                <w:ilvl w:val="1"/>
                <w:numId w:val="280"/>
              </w:numPr>
              <w:tabs>
                <w:tab w:val="left" w:pos="993"/>
              </w:tabs>
              <w:spacing w:after="0" w:line="276" w:lineRule="auto"/>
              <w:ind w:left="0" w:firstLine="810"/>
              <w:rPr>
                <w:rFonts w:eastAsia="Times New Roman"/>
                <w:b/>
                <w:sz w:val="20"/>
                <w:szCs w:val="20"/>
                <w:lang w:val="af-ZA"/>
              </w:rPr>
            </w:pPr>
            <w:r w:rsidRPr="0053423A">
              <w:rPr>
                <w:rFonts w:eastAsia="Times New Roman"/>
                <w:b/>
                <w:sz w:val="20"/>
                <w:szCs w:val="20"/>
                <w:lang w:val="hy-AM"/>
              </w:rPr>
              <w:t>Կարգավորման</w:t>
            </w:r>
            <w:r w:rsidRPr="0053423A">
              <w:rPr>
                <w:rFonts w:eastAsia="Times New Roman"/>
                <w:b/>
                <w:sz w:val="20"/>
                <w:szCs w:val="20"/>
                <w:lang w:val="af-ZA"/>
              </w:rPr>
              <w:t xml:space="preserve"> </w:t>
            </w:r>
            <w:r w:rsidRPr="0053423A">
              <w:rPr>
                <w:rFonts w:eastAsia="Times New Roman"/>
                <w:b/>
                <w:sz w:val="20"/>
                <w:szCs w:val="20"/>
                <w:lang w:val="hy-AM"/>
              </w:rPr>
              <w:t>հարաբերությունների</w:t>
            </w:r>
            <w:r w:rsidRPr="0053423A">
              <w:rPr>
                <w:rFonts w:eastAsia="Times New Roman"/>
                <w:b/>
                <w:sz w:val="20"/>
                <w:szCs w:val="20"/>
                <w:lang w:val="af-ZA"/>
              </w:rPr>
              <w:t xml:space="preserve"> </w:t>
            </w:r>
            <w:r w:rsidRPr="0053423A">
              <w:rPr>
                <w:rFonts w:eastAsia="Times New Roman"/>
                <w:b/>
                <w:sz w:val="20"/>
                <w:szCs w:val="20"/>
                <w:lang w:val="hy-AM"/>
              </w:rPr>
              <w:t>ներկա</w:t>
            </w:r>
            <w:r w:rsidRPr="0053423A">
              <w:rPr>
                <w:rFonts w:eastAsia="Times New Roman"/>
                <w:b/>
                <w:sz w:val="20"/>
                <w:szCs w:val="20"/>
                <w:lang w:val="af-ZA"/>
              </w:rPr>
              <w:t xml:space="preserve"> </w:t>
            </w:r>
            <w:r w:rsidRPr="0053423A">
              <w:rPr>
                <w:rFonts w:eastAsia="Times New Roman"/>
                <w:b/>
                <w:sz w:val="20"/>
                <w:szCs w:val="20"/>
                <w:lang w:val="hy-AM"/>
              </w:rPr>
              <w:t>վիճակը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առկա</w:t>
            </w:r>
            <w:r w:rsidRPr="0053423A">
              <w:rPr>
                <w:rFonts w:eastAsia="Times New Roman"/>
                <w:b/>
                <w:sz w:val="20"/>
                <w:szCs w:val="20"/>
                <w:lang w:val="af-ZA"/>
              </w:rPr>
              <w:t xml:space="preserve"> </w:t>
            </w:r>
            <w:r w:rsidRPr="0053423A">
              <w:rPr>
                <w:rFonts w:eastAsia="Times New Roman"/>
                <w:b/>
                <w:sz w:val="20"/>
                <w:szCs w:val="20"/>
                <w:lang w:val="hy-AM"/>
              </w:rPr>
              <w:t>խնդիրները</w:t>
            </w:r>
            <w:r w:rsidRPr="0053423A">
              <w:rPr>
                <w:rFonts w:eastAsia="Times New Roman"/>
                <w:b/>
                <w:sz w:val="20"/>
                <w:szCs w:val="20"/>
                <w:lang w:val="af-ZA"/>
              </w:rPr>
              <w:t xml:space="preserve"> </w:t>
            </w:r>
          </w:p>
          <w:p w:rsidR="0084615D" w:rsidRPr="0053423A" w:rsidRDefault="0084615D" w:rsidP="00A67858">
            <w:pPr>
              <w:spacing w:after="0" w:line="276" w:lineRule="auto"/>
              <w:jc w:val="both"/>
              <w:rPr>
                <w:sz w:val="20"/>
                <w:szCs w:val="20"/>
                <w:lang w:val="af-ZA"/>
              </w:rPr>
            </w:pPr>
            <w:r w:rsidRPr="0053423A">
              <w:rPr>
                <w:sz w:val="20"/>
                <w:szCs w:val="20"/>
                <w:lang w:val="af-ZA"/>
              </w:rPr>
              <w:t xml:space="preserve">Ներկայումս ՀՀ բնակավայրերի որոշ մասի </w:t>
            </w:r>
            <w:r w:rsidRPr="0053423A">
              <w:rPr>
                <w:rFonts w:cs="Sylfaen"/>
                <w:sz w:val="20"/>
                <w:szCs w:val="20"/>
              </w:rPr>
              <w:t>ջրամատակարարման</w:t>
            </w:r>
            <w:r w:rsidRPr="0053423A">
              <w:rPr>
                <w:rFonts w:cs="Sylfaen"/>
                <w:sz w:val="20"/>
                <w:szCs w:val="20"/>
                <w:lang w:val="af-ZA"/>
              </w:rPr>
              <w:t xml:space="preserve">, </w:t>
            </w:r>
            <w:r w:rsidRPr="0053423A">
              <w:rPr>
                <w:rFonts w:cs="Sylfaen"/>
                <w:sz w:val="20"/>
                <w:szCs w:val="20"/>
              </w:rPr>
              <w:t>ջրահեռացման</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eastAsia="GHEAMariam" w:cs="Sylfaen"/>
                <w:sz w:val="20"/>
                <w:szCs w:val="20"/>
                <w:lang w:val="hy-AM" w:eastAsia="en-GB"/>
              </w:rPr>
              <w:t>կեղտաջրերի մաքրման</w:t>
            </w:r>
            <w:r w:rsidRPr="0053423A">
              <w:rPr>
                <w:rFonts w:cs="Sylfaen"/>
                <w:sz w:val="20"/>
                <w:szCs w:val="20"/>
                <w:lang w:val="af-ZA"/>
              </w:rPr>
              <w:t xml:space="preserve"> </w:t>
            </w:r>
            <w:r w:rsidRPr="0053423A">
              <w:rPr>
                <w:rFonts w:cs="Sylfaen"/>
                <w:sz w:val="20"/>
                <w:szCs w:val="20"/>
              </w:rPr>
              <w:t>համակարգերը</w:t>
            </w:r>
            <w:r w:rsidRPr="0053423A">
              <w:rPr>
                <w:rFonts w:cs="Sylfaen"/>
                <w:sz w:val="20"/>
                <w:szCs w:val="20"/>
                <w:lang w:val="af-ZA"/>
              </w:rPr>
              <w:t xml:space="preserve"> գտնվում են </w:t>
            </w:r>
            <w:r w:rsidRPr="0053423A">
              <w:rPr>
                <w:rFonts w:cs="Sylfaen"/>
                <w:sz w:val="20"/>
                <w:szCs w:val="20"/>
              </w:rPr>
              <w:t>տեխնիկապես</w:t>
            </w:r>
            <w:r w:rsidRPr="0053423A">
              <w:rPr>
                <w:rFonts w:cs="Sylfaen"/>
                <w:sz w:val="20"/>
                <w:szCs w:val="20"/>
                <w:lang w:val="af-ZA"/>
              </w:rPr>
              <w:t xml:space="preserve"> անբավարար վիճակում կամ բացակայում են:</w:t>
            </w:r>
          </w:p>
          <w:p w:rsidR="0084615D" w:rsidRPr="0053423A" w:rsidRDefault="0084615D" w:rsidP="001F6D5D">
            <w:pPr>
              <w:pStyle w:val="ListParagraph"/>
              <w:numPr>
                <w:ilvl w:val="1"/>
                <w:numId w:val="280"/>
              </w:numPr>
              <w:tabs>
                <w:tab w:val="clear" w:pos="1495"/>
                <w:tab w:val="left" w:pos="900"/>
                <w:tab w:val="num" w:pos="1134"/>
              </w:tabs>
              <w:spacing w:after="0" w:line="276" w:lineRule="auto"/>
              <w:ind w:left="0" w:firstLine="781"/>
              <w:rPr>
                <w:rFonts w:eastAsia="Times New Roman"/>
                <w:b/>
                <w:sz w:val="20"/>
                <w:szCs w:val="20"/>
              </w:rPr>
            </w:pPr>
            <w:r w:rsidRPr="0053423A">
              <w:rPr>
                <w:rFonts w:eastAsia="Times New Roman"/>
                <w:b/>
                <w:sz w:val="20"/>
                <w:szCs w:val="20"/>
                <w:lang w:val="ru-RU"/>
              </w:rPr>
              <w:t>Ա</w:t>
            </w:r>
            <w:r w:rsidRPr="0053423A">
              <w:rPr>
                <w:rFonts w:eastAsia="Times New Roman"/>
                <w:b/>
                <w:sz w:val="20"/>
                <w:szCs w:val="20"/>
              </w:rPr>
              <w:t>ռկա</w:t>
            </w:r>
            <w:r w:rsidRPr="0053423A">
              <w:rPr>
                <w:rFonts w:eastAsia="Times New Roman"/>
                <w:b/>
                <w:sz w:val="20"/>
                <w:szCs w:val="20"/>
                <w:lang w:val="af-ZA"/>
              </w:rPr>
              <w:t xml:space="preserve"> </w:t>
            </w:r>
            <w:r w:rsidRPr="0053423A">
              <w:rPr>
                <w:rFonts w:eastAsia="Times New Roman"/>
                <w:b/>
                <w:sz w:val="20"/>
                <w:szCs w:val="20"/>
              </w:rPr>
              <w:t>խնդիրների</w:t>
            </w:r>
            <w:r w:rsidRPr="0053423A">
              <w:rPr>
                <w:rFonts w:eastAsia="Times New Roman"/>
                <w:b/>
                <w:sz w:val="20"/>
                <w:szCs w:val="20"/>
                <w:lang w:val="af-ZA"/>
              </w:rPr>
              <w:t xml:space="preserve"> </w:t>
            </w:r>
            <w:r w:rsidRPr="0053423A">
              <w:rPr>
                <w:rFonts w:eastAsia="Times New Roman"/>
                <w:b/>
                <w:sz w:val="20"/>
                <w:szCs w:val="20"/>
              </w:rPr>
              <w:t>առաջարկվող</w:t>
            </w:r>
            <w:r w:rsidRPr="0053423A">
              <w:rPr>
                <w:rFonts w:eastAsia="Times New Roman"/>
                <w:b/>
                <w:sz w:val="20"/>
                <w:szCs w:val="20"/>
                <w:lang w:val="af-ZA"/>
              </w:rPr>
              <w:t xml:space="preserve"> </w:t>
            </w:r>
            <w:r w:rsidRPr="0053423A">
              <w:rPr>
                <w:rFonts w:eastAsia="Times New Roman"/>
                <w:b/>
                <w:sz w:val="20"/>
                <w:szCs w:val="20"/>
              </w:rPr>
              <w:t>լուծումները</w:t>
            </w:r>
          </w:p>
          <w:p w:rsidR="0084615D" w:rsidRPr="0053423A" w:rsidRDefault="0084615D" w:rsidP="00A67858">
            <w:pPr>
              <w:spacing w:after="0" w:line="276" w:lineRule="auto"/>
              <w:jc w:val="both"/>
              <w:rPr>
                <w:rFonts w:cs="Sylfaen"/>
                <w:sz w:val="20"/>
                <w:szCs w:val="20"/>
                <w:lang w:val="af-ZA"/>
              </w:rPr>
            </w:pPr>
            <w:r w:rsidRPr="0053423A">
              <w:rPr>
                <w:sz w:val="20"/>
                <w:szCs w:val="20"/>
                <w:lang w:val="af-ZA"/>
              </w:rPr>
              <w:t xml:space="preserve">Համապատասխան </w:t>
            </w:r>
            <w:r w:rsidRPr="0053423A">
              <w:rPr>
                <w:rFonts w:cs="Sylfaen"/>
                <w:sz w:val="20"/>
                <w:szCs w:val="20"/>
              </w:rPr>
              <w:t>ներդրումների</w:t>
            </w:r>
            <w:r w:rsidRPr="0053423A">
              <w:rPr>
                <w:rFonts w:cs="Sylfaen"/>
                <w:sz w:val="20"/>
                <w:szCs w:val="20"/>
                <w:lang w:val="af-ZA"/>
              </w:rPr>
              <w:t xml:space="preserve"> առկայությամբ </w:t>
            </w:r>
            <w:r w:rsidRPr="0053423A">
              <w:rPr>
                <w:rFonts w:cs="Sylfaen"/>
                <w:sz w:val="20"/>
                <w:szCs w:val="20"/>
              </w:rPr>
              <w:t>կապահովվի</w:t>
            </w:r>
            <w:r w:rsidRPr="0053423A">
              <w:rPr>
                <w:rFonts w:cs="Sylfaen"/>
                <w:sz w:val="20"/>
                <w:szCs w:val="20"/>
                <w:lang w:val="af-ZA"/>
              </w:rPr>
              <w:t xml:space="preserve"> </w:t>
            </w:r>
            <w:r w:rsidRPr="0053423A">
              <w:rPr>
                <w:sz w:val="20"/>
                <w:szCs w:val="20"/>
                <w:lang w:val="af-ZA"/>
              </w:rPr>
              <w:t xml:space="preserve">ՀՀ Լոռու, ՀՀ Շիրակի, ՀՀ Վայոց ձորի, ՀՀ Սյունիքի և ՀՀ Գեղարքունիքի մարզերում </w:t>
            </w:r>
            <w:r w:rsidRPr="0053423A">
              <w:rPr>
                <w:rFonts w:cs="Sylfaen"/>
                <w:sz w:val="20"/>
                <w:szCs w:val="20"/>
              </w:rPr>
              <w:t>ջրամատակարարման</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ջրահեռացման</w:t>
            </w:r>
            <w:r w:rsidRPr="0053423A">
              <w:rPr>
                <w:rFonts w:cs="Sylfaen"/>
                <w:sz w:val="20"/>
                <w:szCs w:val="20"/>
                <w:lang w:val="af-ZA"/>
              </w:rPr>
              <w:t xml:space="preserve"> և </w:t>
            </w:r>
            <w:r w:rsidRPr="0053423A">
              <w:rPr>
                <w:rFonts w:eastAsia="GHEAMariam" w:cs="Sylfaen"/>
                <w:sz w:val="20"/>
                <w:szCs w:val="20"/>
                <w:lang w:val="hy-AM" w:eastAsia="en-GB"/>
              </w:rPr>
              <w:t>կեղտաջրերի մաքրման</w:t>
            </w:r>
            <w:r w:rsidRPr="0053423A">
              <w:rPr>
                <w:rFonts w:eastAsia="GHEAMariam" w:cs="Sylfaen"/>
                <w:b/>
                <w:sz w:val="20"/>
                <w:szCs w:val="20"/>
                <w:lang w:val="hy-AM" w:eastAsia="en-GB"/>
              </w:rPr>
              <w:t xml:space="preserve"> </w:t>
            </w:r>
            <w:r w:rsidRPr="0053423A">
              <w:rPr>
                <w:rFonts w:cs="Sylfaen"/>
                <w:sz w:val="20"/>
                <w:szCs w:val="20"/>
              </w:rPr>
              <w:t>համակարգերի</w:t>
            </w:r>
            <w:r w:rsidRPr="0053423A">
              <w:rPr>
                <w:rFonts w:cs="Sylfaen"/>
                <w:sz w:val="20"/>
                <w:szCs w:val="20"/>
                <w:lang w:val="af-ZA"/>
              </w:rPr>
              <w:t xml:space="preserve"> </w:t>
            </w:r>
            <w:r w:rsidRPr="0053423A">
              <w:rPr>
                <w:rFonts w:cs="Sylfaen"/>
                <w:sz w:val="20"/>
                <w:szCs w:val="20"/>
              </w:rPr>
              <w:t>արդիականացումը</w:t>
            </w:r>
            <w:r w:rsidRPr="0053423A">
              <w:rPr>
                <w:rFonts w:cs="Sylfaen"/>
                <w:sz w:val="20"/>
                <w:szCs w:val="20"/>
                <w:lang w:val="af-ZA"/>
              </w:rPr>
              <w:t>, արդյունավետ կառավարման ապահովումը:</w:t>
            </w:r>
          </w:p>
          <w:p w:rsidR="0084615D" w:rsidRPr="0053423A" w:rsidRDefault="0084615D" w:rsidP="00A67858">
            <w:pPr>
              <w:pStyle w:val="ListParagraph"/>
              <w:tabs>
                <w:tab w:val="left" w:pos="1620"/>
              </w:tabs>
              <w:spacing w:after="0" w:line="276" w:lineRule="auto"/>
              <w:ind w:left="0" w:firstLine="781"/>
              <w:rPr>
                <w:rFonts w:eastAsia="Times New Roman"/>
                <w:b/>
                <w:sz w:val="20"/>
                <w:szCs w:val="20"/>
                <w:lang w:val="af-ZA"/>
              </w:rPr>
            </w:pPr>
            <w:r w:rsidRPr="0053423A">
              <w:rPr>
                <w:rFonts w:eastAsia="Times New Roman" w:cs="Courier New"/>
                <w:b/>
                <w:sz w:val="20"/>
                <w:szCs w:val="20"/>
                <w:lang w:val="af-ZA"/>
              </w:rPr>
              <w:t>2.</w:t>
            </w:r>
            <w:r w:rsidRPr="0053423A">
              <w:rPr>
                <w:rFonts w:ascii="Calibri" w:eastAsia="Times New Roman" w:hAnsi="Calibri" w:cs="Calibri"/>
                <w:b/>
                <w:sz w:val="20"/>
                <w:szCs w:val="20"/>
                <w:lang w:val="af-ZA"/>
              </w:rPr>
              <w:t> </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իրականացումից</w:t>
            </w:r>
            <w:r w:rsidRPr="0053423A">
              <w:rPr>
                <w:rFonts w:eastAsia="Times New Roman"/>
                <w:b/>
                <w:sz w:val="20"/>
                <w:szCs w:val="20"/>
                <w:lang w:val="af-ZA"/>
              </w:rPr>
              <w:t xml:space="preserve"> </w:t>
            </w:r>
            <w:r w:rsidRPr="0053423A">
              <w:rPr>
                <w:rFonts w:eastAsia="Times New Roman"/>
                <w:b/>
                <w:sz w:val="20"/>
                <w:szCs w:val="20"/>
              </w:rPr>
              <w:t>ակնկալվող</w:t>
            </w:r>
            <w:r w:rsidRPr="0053423A">
              <w:rPr>
                <w:rFonts w:eastAsia="Times New Roman"/>
                <w:b/>
                <w:sz w:val="20"/>
                <w:szCs w:val="20"/>
                <w:lang w:val="af-ZA"/>
              </w:rPr>
              <w:t xml:space="preserve"> </w:t>
            </w:r>
            <w:r w:rsidRPr="0053423A">
              <w:rPr>
                <w:rFonts w:eastAsia="Times New Roman"/>
                <w:b/>
                <w:sz w:val="20"/>
                <w:szCs w:val="20"/>
              </w:rPr>
              <w:t>արդյունքը</w:t>
            </w:r>
          </w:p>
          <w:p w:rsidR="0084615D" w:rsidRPr="0053423A" w:rsidRDefault="0084615D" w:rsidP="00A67858">
            <w:pPr>
              <w:tabs>
                <w:tab w:val="left" w:pos="567"/>
                <w:tab w:val="left" w:pos="1620"/>
              </w:tabs>
              <w:spacing w:after="0" w:line="276" w:lineRule="auto"/>
              <w:ind w:right="-40"/>
              <w:jc w:val="both"/>
              <w:rPr>
                <w:sz w:val="20"/>
                <w:szCs w:val="20"/>
                <w:lang w:val="af-ZA"/>
              </w:rPr>
            </w:pPr>
            <w:r w:rsidRPr="0053423A">
              <w:rPr>
                <w:sz w:val="20"/>
                <w:szCs w:val="20"/>
                <w:lang w:val="af-ZA"/>
              </w:rPr>
              <w:tab/>
              <w:t>Ջրագծերի վերանորոգման ու կառուցման աշխատանքների իրականացմամբ ջրամատակարարման և ջրահեռացման (կեղտաջրերի մաքրման) ծառայությունների շարունակական բարելավում, ջրամատակարարման տևողության աստիճանական ավելացում, կորուստների նվազեցում, անխափան ջրամատակարարում:</w:t>
            </w:r>
          </w:p>
          <w:p w:rsidR="0084615D" w:rsidRPr="0053423A" w:rsidRDefault="0084615D" w:rsidP="00A67858">
            <w:pPr>
              <w:spacing w:after="0" w:line="276" w:lineRule="auto"/>
              <w:ind w:firstLine="720"/>
              <w:jc w:val="both"/>
              <w:rPr>
                <w:sz w:val="20"/>
                <w:szCs w:val="20"/>
                <w:lang w:val="af-ZA"/>
              </w:rPr>
            </w:pPr>
            <w:r w:rsidRPr="0053423A">
              <w:rPr>
                <w:sz w:val="20"/>
                <w:szCs w:val="20"/>
                <w:lang w:val="af-ZA"/>
              </w:rPr>
              <w:t>Կեղտաջրերի մաքրման կայանների կառուցման նախապատրաստական աշխատանքների իրականացում և կառուցում:</w:t>
            </w:r>
          </w:p>
          <w:p w:rsidR="0084615D" w:rsidRPr="0053423A" w:rsidRDefault="0084615D" w:rsidP="00A67858">
            <w:pPr>
              <w:spacing w:after="0" w:line="276" w:lineRule="auto"/>
              <w:ind w:firstLine="709"/>
              <w:jc w:val="both"/>
              <w:rPr>
                <w:sz w:val="20"/>
                <w:szCs w:val="20"/>
                <w:lang w:val="af-ZA"/>
              </w:rPr>
            </w:pP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20.4 Երևան քաղաքի մի շարք վարչական շրջանների ջրամատակարարման բաշխիչ ցանցերի տեխնիկական բարելավման աշխատանքների իրականացում</w:t>
            </w:r>
          </w:p>
          <w:p w:rsidR="0084615D" w:rsidRPr="0053423A" w:rsidRDefault="0084615D" w:rsidP="00A67858">
            <w:pPr>
              <w:spacing w:after="0" w:line="276" w:lineRule="auto"/>
              <w:jc w:val="center"/>
              <w:rPr>
                <w:rFonts w:cs="Sylfaen"/>
                <w:b/>
                <w:sz w:val="20"/>
                <w:szCs w:val="20"/>
                <w:u w:val="single"/>
                <w:lang w:val="af-ZA"/>
              </w:rPr>
            </w:pPr>
          </w:p>
          <w:p w:rsidR="0084615D" w:rsidRPr="0053423A" w:rsidRDefault="0084615D" w:rsidP="00A67858">
            <w:pPr>
              <w:spacing w:after="0" w:line="276" w:lineRule="auto"/>
              <w:ind w:firstLine="720"/>
              <w:jc w:val="both"/>
              <w:rPr>
                <w:rFonts w:cs="Sylfaen"/>
                <w:sz w:val="20"/>
                <w:szCs w:val="20"/>
                <w:lang w:val="af-ZA"/>
              </w:rPr>
            </w:pPr>
            <w:r w:rsidRPr="0053423A">
              <w:rPr>
                <w:rFonts w:eastAsia="Times New Roman" w:cs="Courier New"/>
                <w:b/>
                <w:sz w:val="20"/>
                <w:szCs w:val="20"/>
                <w:lang w:val="af-ZA"/>
              </w:rPr>
              <w:t>1.</w:t>
            </w:r>
            <w:r w:rsidRPr="0053423A">
              <w:rPr>
                <w:rFonts w:ascii="Calibri" w:eastAsia="Times New Roman" w:hAnsi="Calibri" w:cs="Calibri"/>
                <w:b/>
                <w:sz w:val="20"/>
                <w:szCs w:val="20"/>
                <w:lang w:val="af-ZA"/>
              </w:rPr>
              <w:t> </w:t>
            </w:r>
            <w:r w:rsidRPr="0053423A">
              <w:rPr>
                <w:rFonts w:eastAsia="Times New Roman"/>
                <w:b/>
                <w:sz w:val="20"/>
                <w:szCs w:val="20"/>
                <w:lang w:val="hy-AM"/>
              </w:rPr>
              <w:t>Միջոցառման</w:t>
            </w:r>
            <w:r w:rsidRPr="0053423A">
              <w:rPr>
                <w:rFonts w:eastAsia="Times New Roman"/>
                <w:b/>
                <w:sz w:val="20"/>
                <w:szCs w:val="20"/>
                <w:lang w:val="af-ZA"/>
              </w:rPr>
              <w:t xml:space="preserve"> </w:t>
            </w:r>
            <w:r w:rsidRPr="0053423A">
              <w:rPr>
                <w:rFonts w:eastAsia="Times New Roman"/>
                <w:b/>
                <w:sz w:val="20"/>
                <w:szCs w:val="20"/>
                <w:lang w:val="hy-AM"/>
              </w:rPr>
              <w:t>իրականացման</w:t>
            </w:r>
            <w:r w:rsidRPr="0053423A">
              <w:rPr>
                <w:rFonts w:eastAsia="Times New Roman"/>
                <w:b/>
                <w:sz w:val="20"/>
                <w:szCs w:val="20"/>
                <w:lang w:val="af-ZA"/>
              </w:rPr>
              <w:t xml:space="preserve"> </w:t>
            </w:r>
            <w:r w:rsidRPr="0053423A">
              <w:rPr>
                <w:rFonts w:eastAsia="Times New Roma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նպատակը</w:t>
            </w:r>
            <w:r w:rsidRPr="0053423A">
              <w:rPr>
                <w:rFonts w:cs="Sylfaen"/>
                <w:sz w:val="20"/>
                <w:szCs w:val="20"/>
                <w:lang w:val="af-ZA"/>
              </w:rPr>
              <w:t xml:space="preserve"> </w:t>
            </w:r>
          </w:p>
          <w:p w:rsidR="0084615D" w:rsidRPr="0053423A" w:rsidRDefault="0084615D" w:rsidP="00A67858">
            <w:pPr>
              <w:tabs>
                <w:tab w:val="num" w:pos="720"/>
              </w:tabs>
              <w:spacing w:after="0" w:line="276" w:lineRule="auto"/>
              <w:jc w:val="both"/>
              <w:rPr>
                <w:rFonts w:cs="Sylfaen"/>
                <w:sz w:val="20"/>
                <w:szCs w:val="20"/>
                <w:lang w:val="af-ZA"/>
              </w:rPr>
            </w:pPr>
            <w:r w:rsidRPr="0053423A">
              <w:rPr>
                <w:rFonts w:cs="Sylfaen"/>
                <w:sz w:val="20"/>
                <w:szCs w:val="20"/>
                <w:lang w:val="af-ZA"/>
              </w:rPr>
              <w:t xml:space="preserve">Հիմք ընդունելով </w:t>
            </w:r>
            <w:r w:rsidRPr="0053423A">
              <w:rPr>
                <w:rFonts w:cs="GHEA Grapalat"/>
                <w:sz w:val="20"/>
                <w:szCs w:val="20"/>
                <w:lang w:val="af-ZA"/>
              </w:rPr>
              <w:t>2006 թվականի նոյեմբերի 27-ի ՀՀ ջրի ազգային ծրագրի մասին</w:t>
            </w:r>
            <w:r w:rsidRPr="0053423A">
              <w:rPr>
                <w:rFonts w:cs="Sylfaen"/>
                <w:sz w:val="20"/>
                <w:szCs w:val="20"/>
                <w:lang w:val="af-ZA"/>
              </w:rPr>
              <w:t> ՀՀ օրենքի 5-րդ գլխի 16-րդ հոդվածի 15-րդ կետ և «Ջրամատակարարման և ջրահեռացման ոլորտի 2018-2030 թթ. ռազմավարությունը և ֆինանսավորման ծրագիրը»՝</w:t>
            </w:r>
            <w:r w:rsidRPr="0053423A">
              <w:rPr>
                <w:rFonts w:eastAsia="Times New Roman"/>
                <w:sz w:val="20"/>
                <w:szCs w:val="20"/>
                <w:lang w:val="af-ZA"/>
              </w:rPr>
              <w:t xml:space="preserve"> </w:t>
            </w:r>
            <w:r w:rsidRPr="0053423A">
              <w:rPr>
                <w:rFonts w:cs="Sylfaen"/>
                <w:sz w:val="20"/>
                <w:szCs w:val="20"/>
                <w:lang w:val="af-ZA"/>
              </w:rPr>
              <w:t>անհրաժեշտ է բարձրացնել Վեոլիա Ջուր ՓԲԸ-ի սպասարկման տարածքում ընդգրկված Երևան քաղաքի խմելու ջրի մա</w:t>
            </w:r>
            <w:r w:rsidRPr="0053423A">
              <w:rPr>
                <w:rFonts w:cs="Sylfaen"/>
                <w:sz w:val="20"/>
                <w:szCs w:val="20"/>
              </w:rPr>
              <w:t>տակարարման</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ջրահեռացման</w:t>
            </w:r>
            <w:r w:rsidRPr="0053423A">
              <w:rPr>
                <w:rFonts w:cs="Sylfaen"/>
                <w:sz w:val="20"/>
                <w:szCs w:val="20"/>
                <w:lang w:val="af-ZA"/>
              </w:rPr>
              <w:t xml:space="preserve"> ծառայությունների հուսալիությունը, նվազեցնել ոչ արդյունավետ ջրօգտագործման մակարդակը:</w:t>
            </w:r>
          </w:p>
          <w:p w:rsidR="0084615D" w:rsidRPr="0053423A" w:rsidRDefault="0084615D" w:rsidP="001F6D5D">
            <w:pPr>
              <w:pStyle w:val="ListParagraph"/>
              <w:numPr>
                <w:ilvl w:val="1"/>
                <w:numId w:val="281"/>
              </w:numPr>
              <w:tabs>
                <w:tab w:val="left" w:pos="993"/>
              </w:tabs>
              <w:spacing w:after="0" w:line="276" w:lineRule="auto"/>
              <w:ind w:left="0" w:firstLine="781"/>
              <w:rPr>
                <w:rFonts w:eastAsia="Times New Roman"/>
                <w:b/>
                <w:sz w:val="20"/>
                <w:szCs w:val="20"/>
                <w:lang w:val="af-ZA"/>
              </w:rPr>
            </w:pPr>
            <w:r w:rsidRPr="0053423A">
              <w:rPr>
                <w:rFonts w:eastAsia="Times New Roman"/>
                <w:b/>
                <w:sz w:val="20"/>
                <w:szCs w:val="20"/>
                <w:lang w:val="hy-AM"/>
              </w:rPr>
              <w:t>Կարգավորման</w:t>
            </w:r>
            <w:r w:rsidRPr="0053423A">
              <w:rPr>
                <w:rFonts w:eastAsia="Times New Roman"/>
                <w:b/>
                <w:sz w:val="20"/>
                <w:szCs w:val="20"/>
                <w:lang w:val="af-ZA"/>
              </w:rPr>
              <w:t xml:space="preserve"> </w:t>
            </w:r>
            <w:r w:rsidRPr="0053423A">
              <w:rPr>
                <w:rFonts w:eastAsia="Times New Roman"/>
                <w:b/>
                <w:sz w:val="20"/>
                <w:szCs w:val="20"/>
                <w:lang w:val="hy-AM"/>
              </w:rPr>
              <w:t>հարաբերությունների</w:t>
            </w:r>
            <w:r w:rsidRPr="0053423A">
              <w:rPr>
                <w:rFonts w:eastAsia="Times New Roman"/>
                <w:b/>
                <w:sz w:val="20"/>
                <w:szCs w:val="20"/>
                <w:lang w:val="af-ZA"/>
              </w:rPr>
              <w:t xml:space="preserve"> </w:t>
            </w:r>
            <w:r w:rsidRPr="0053423A">
              <w:rPr>
                <w:rFonts w:eastAsia="Times New Roman"/>
                <w:b/>
                <w:sz w:val="20"/>
                <w:szCs w:val="20"/>
                <w:lang w:val="hy-AM"/>
              </w:rPr>
              <w:t>ներկա</w:t>
            </w:r>
            <w:r w:rsidRPr="0053423A">
              <w:rPr>
                <w:rFonts w:eastAsia="Times New Roman"/>
                <w:b/>
                <w:sz w:val="20"/>
                <w:szCs w:val="20"/>
                <w:lang w:val="af-ZA"/>
              </w:rPr>
              <w:t xml:space="preserve"> </w:t>
            </w:r>
            <w:r w:rsidRPr="0053423A">
              <w:rPr>
                <w:rFonts w:eastAsia="Times New Roman"/>
                <w:b/>
                <w:sz w:val="20"/>
                <w:szCs w:val="20"/>
                <w:lang w:val="hy-AM"/>
              </w:rPr>
              <w:t>վիճակը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առկա</w:t>
            </w:r>
            <w:r w:rsidRPr="0053423A">
              <w:rPr>
                <w:rFonts w:eastAsia="Times New Roman"/>
                <w:b/>
                <w:sz w:val="20"/>
                <w:szCs w:val="20"/>
                <w:lang w:val="af-ZA"/>
              </w:rPr>
              <w:t xml:space="preserve"> </w:t>
            </w:r>
            <w:r w:rsidRPr="0053423A">
              <w:rPr>
                <w:rFonts w:eastAsia="Times New Roman"/>
                <w:b/>
                <w:sz w:val="20"/>
                <w:szCs w:val="20"/>
                <w:lang w:val="hy-AM"/>
              </w:rPr>
              <w:t>խնդիրները</w:t>
            </w:r>
            <w:r w:rsidRPr="0053423A">
              <w:rPr>
                <w:rFonts w:eastAsia="Times New Roman"/>
                <w:b/>
                <w:sz w:val="20"/>
                <w:szCs w:val="20"/>
                <w:lang w:val="af-ZA"/>
              </w:rPr>
              <w:t xml:space="preserve"> </w:t>
            </w:r>
          </w:p>
          <w:p w:rsidR="0084615D" w:rsidRPr="0053423A" w:rsidRDefault="0084615D" w:rsidP="00A67858">
            <w:pPr>
              <w:spacing w:after="0" w:line="276" w:lineRule="auto"/>
              <w:jc w:val="both"/>
              <w:rPr>
                <w:sz w:val="20"/>
                <w:szCs w:val="20"/>
                <w:lang w:val="af-ZA"/>
              </w:rPr>
            </w:pPr>
            <w:r w:rsidRPr="0053423A">
              <w:rPr>
                <w:sz w:val="20"/>
                <w:szCs w:val="20"/>
                <w:lang w:val="af-ZA"/>
              </w:rPr>
              <w:t xml:space="preserve">Ներկայումս Երևան քաղաքի մի շարք վարչական շրջանների </w:t>
            </w:r>
            <w:r w:rsidRPr="0053423A">
              <w:rPr>
                <w:rFonts w:cs="Sylfaen"/>
                <w:sz w:val="20"/>
                <w:szCs w:val="20"/>
              </w:rPr>
              <w:t>ջրամատակարարման</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ջրահեռացման</w:t>
            </w:r>
            <w:r w:rsidRPr="0053423A">
              <w:rPr>
                <w:rFonts w:cs="Sylfaen"/>
                <w:sz w:val="20"/>
                <w:szCs w:val="20"/>
                <w:lang w:val="af-ZA"/>
              </w:rPr>
              <w:t xml:space="preserve"> բաշխիչ ցանցերը </w:t>
            </w:r>
            <w:r w:rsidRPr="0053423A">
              <w:rPr>
                <w:rFonts w:cs="Sylfaen"/>
                <w:sz w:val="20"/>
                <w:szCs w:val="20"/>
              </w:rPr>
              <w:t>տեխնիկապես</w:t>
            </w:r>
            <w:r w:rsidRPr="0053423A">
              <w:rPr>
                <w:rFonts w:cs="Sylfaen"/>
                <w:sz w:val="20"/>
                <w:szCs w:val="20"/>
                <w:lang w:val="af-ZA"/>
              </w:rPr>
              <w:t xml:space="preserve"> </w:t>
            </w:r>
            <w:r w:rsidRPr="0053423A">
              <w:rPr>
                <w:rFonts w:cs="Sylfaen"/>
                <w:sz w:val="20"/>
                <w:szCs w:val="20"/>
              </w:rPr>
              <w:t>մաշված</w:t>
            </w:r>
            <w:r w:rsidRPr="0053423A">
              <w:rPr>
                <w:rFonts w:cs="Sylfaen"/>
                <w:sz w:val="20"/>
                <w:szCs w:val="20"/>
                <w:lang w:val="af-ZA"/>
              </w:rPr>
              <w:t xml:space="preserve"> </w:t>
            </w:r>
            <w:r w:rsidRPr="0053423A">
              <w:rPr>
                <w:rFonts w:cs="Sylfaen"/>
                <w:sz w:val="20"/>
                <w:szCs w:val="20"/>
              </w:rPr>
              <w:t>վիճակում</w:t>
            </w:r>
            <w:r w:rsidRPr="0053423A">
              <w:rPr>
                <w:rFonts w:cs="Sylfaen"/>
                <w:sz w:val="20"/>
                <w:szCs w:val="20"/>
                <w:lang w:val="af-ZA"/>
              </w:rPr>
              <w:t xml:space="preserve"> </w:t>
            </w:r>
            <w:r w:rsidRPr="0053423A">
              <w:rPr>
                <w:rFonts w:cs="Sylfaen"/>
                <w:sz w:val="20"/>
                <w:szCs w:val="20"/>
              </w:rPr>
              <w:t>են</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ունեն</w:t>
            </w:r>
            <w:r w:rsidRPr="0053423A">
              <w:rPr>
                <w:rFonts w:cs="Sylfaen"/>
                <w:sz w:val="20"/>
                <w:szCs w:val="20"/>
                <w:lang w:val="af-ZA"/>
              </w:rPr>
              <w:t xml:space="preserve"> </w:t>
            </w:r>
            <w:r w:rsidRPr="0053423A">
              <w:rPr>
                <w:rFonts w:cs="Sylfaen"/>
                <w:sz w:val="20"/>
                <w:szCs w:val="20"/>
              </w:rPr>
              <w:t>ներդրումների</w:t>
            </w:r>
            <w:r w:rsidRPr="0053423A">
              <w:rPr>
                <w:rFonts w:cs="Sylfaen"/>
                <w:sz w:val="20"/>
                <w:szCs w:val="20"/>
                <w:lang w:val="af-ZA"/>
              </w:rPr>
              <w:t xml:space="preserve"> </w:t>
            </w:r>
            <w:r w:rsidRPr="0053423A">
              <w:rPr>
                <w:rFonts w:cs="Sylfaen"/>
                <w:sz w:val="20"/>
                <w:szCs w:val="20"/>
              </w:rPr>
              <w:t>իրականացման</w:t>
            </w:r>
            <w:r w:rsidRPr="0053423A">
              <w:rPr>
                <w:rFonts w:cs="Sylfaen"/>
                <w:sz w:val="20"/>
                <w:szCs w:val="20"/>
                <w:lang w:val="af-ZA"/>
              </w:rPr>
              <w:t xml:space="preserve"> </w:t>
            </w:r>
            <w:r w:rsidRPr="0053423A">
              <w:rPr>
                <w:rFonts w:cs="Sylfaen"/>
                <w:sz w:val="20"/>
                <w:szCs w:val="20"/>
              </w:rPr>
              <w:t>կարիք</w:t>
            </w:r>
            <w:r w:rsidRPr="0053423A">
              <w:rPr>
                <w:rFonts w:cs="Sylfaen"/>
                <w:sz w:val="20"/>
                <w:szCs w:val="20"/>
                <w:lang w:val="af-ZA"/>
              </w:rPr>
              <w:t>:</w:t>
            </w:r>
          </w:p>
          <w:p w:rsidR="0084615D" w:rsidRPr="0053423A" w:rsidRDefault="0084615D" w:rsidP="001F6D5D">
            <w:pPr>
              <w:pStyle w:val="ListParagraph"/>
              <w:numPr>
                <w:ilvl w:val="1"/>
                <w:numId w:val="281"/>
              </w:numPr>
              <w:tabs>
                <w:tab w:val="clear" w:pos="1495"/>
                <w:tab w:val="left" w:pos="900"/>
                <w:tab w:val="num" w:pos="1134"/>
              </w:tabs>
              <w:spacing w:after="0" w:line="276" w:lineRule="auto"/>
              <w:ind w:left="0" w:firstLine="720"/>
              <w:rPr>
                <w:rFonts w:eastAsia="Times New Roman"/>
                <w:b/>
                <w:sz w:val="20"/>
                <w:szCs w:val="20"/>
              </w:rPr>
            </w:pPr>
            <w:r w:rsidRPr="0053423A">
              <w:rPr>
                <w:rFonts w:eastAsia="Times New Roman"/>
                <w:b/>
                <w:sz w:val="20"/>
                <w:szCs w:val="20"/>
                <w:lang w:val="ru-RU"/>
              </w:rPr>
              <w:t>Ա</w:t>
            </w:r>
            <w:r w:rsidRPr="0053423A">
              <w:rPr>
                <w:rFonts w:eastAsia="Times New Roman"/>
                <w:b/>
                <w:sz w:val="20"/>
                <w:szCs w:val="20"/>
              </w:rPr>
              <w:t>ռկա</w:t>
            </w:r>
            <w:r w:rsidRPr="0053423A">
              <w:rPr>
                <w:rFonts w:eastAsia="Times New Roman"/>
                <w:b/>
                <w:sz w:val="20"/>
                <w:szCs w:val="20"/>
                <w:lang w:val="af-ZA"/>
              </w:rPr>
              <w:t xml:space="preserve"> </w:t>
            </w:r>
            <w:r w:rsidRPr="0053423A">
              <w:rPr>
                <w:rFonts w:eastAsia="Times New Roman"/>
                <w:b/>
                <w:sz w:val="20"/>
                <w:szCs w:val="20"/>
              </w:rPr>
              <w:t>խնդիրների</w:t>
            </w:r>
            <w:r w:rsidRPr="0053423A">
              <w:rPr>
                <w:rFonts w:eastAsia="Times New Roman"/>
                <w:b/>
                <w:sz w:val="20"/>
                <w:szCs w:val="20"/>
                <w:lang w:val="af-ZA"/>
              </w:rPr>
              <w:t xml:space="preserve"> </w:t>
            </w:r>
            <w:r w:rsidRPr="0053423A">
              <w:rPr>
                <w:rFonts w:eastAsia="Times New Roman"/>
                <w:b/>
                <w:sz w:val="20"/>
                <w:szCs w:val="20"/>
              </w:rPr>
              <w:t>առաջարկվող</w:t>
            </w:r>
            <w:r w:rsidRPr="0053423A">
              <w:rPr>
                <w:rFonts w:eastAsia="Times New Roman"/>
                <w:b/>
                <w:sz w:val="20"/>
                <w:szCs w:val="20"/>
                <w:lang w:val="af-ZA"/>
              </w:rPr>
              <w:t xml:space="preserve"> </w:t>
            </w:r>
            <w:r w:rsidRPr="0053423A">
              <w:rPr>
                <w:rFonts w:eastAsia="Times New Roman"/>
                <w:b/>
                <w:sz w:val="20"/>
                <w:szCs w:val="20"/>
              </w:rPr>
              <w:t>լուծումները</w:t>
            </w:r>
          </w:p>
          <w:p w:rsidR="0084615D" w:rsidRPr="0053423A" w:rsidRDefault="0084615D" w:rsidP="00A67858">
            <w:pPr>
              <w:spacing w:after="0" w:line="276" w:lineRule="auto"/>
              <w:jc w:val="both"/>
              <w:rPr>
                <w:rFonts w:cs="Sylfaen"/>
                <w:sz w:val="20"/>
                <w:szCs w:val="20"/>
                <w:lang w:val="af-ZA"/>
              </w:rPr>
            </w:pPr>
            <w:r w:rsidRPr="0053423A">
              <w:rPr>
                <w:sz w:val="20"/>
                <w:szCs w:val="20"/>
                <w:lang w:val="af-ZA"/>
              </w:rPr>
              <w:t>Համապատասխան ներդրումային ծրագրերի իրականացմամբ կապահովվի Երևան քաղաքի մի շարք թաղամասերի սպառողների անխափան և հուսալի ջրամատակարարումը</w:t>
            </w:r>
            <w:r w:rsidRPr="0053423A">
              <w:rPr>
                <w:rFonts w:cs="Sylfaen"/>
                <w:sz w:val="20"/>
                <w:szCs w:val="20"/>
                <w:lang w:val="af-ZA"/>
              </w:rPr>
              <w:t>:</w:t>
            </w:r>
          </w:p>
          <w:p w:rsidR="0084615D" w:rsidRPr="0053423A" w:rsidRDefault="0084615D" w:rsidP="00A67858">
            <w:pPr>
              <w:pStyle w:val="ListParagraph"/>
              <w:tabs>
                <w:tab w:val="left" w:pos="1620"/>
              </w:tabs>
              <w:spacing w:after="0" w:line="276" w:lineRule="auto"/>
              <w:ind w:left="0" w:firstLine="720"/>
              <w:rPr>
                <w:rFonts w:eastAsia="Times New Roman"/>
                <w:b/>
                <w:sz w:val="20"/>
                <w:szCs w:val="20"/>
                <w:lang w:val="af-ZA"/>
              </w:rPr>
            </w:pPr>
            <w:r w:rsidRPr="0053423A">
              <w:rPr>
                <w:rFonts w:eastAsia="Times New Roman" w:cs="Courier New"/>
                <w:b/>
                <w:sz w:val="20"/>
                <w:szCs w:val="20"/>
                <w:lang w:val="af-ZA"/>
              </w:rPr>
              <w:t>2.</w:t>
            </w:r>
            <w:r w:rsidRPr="0053423A">
              <w:rPr>
                <w:rFonts w:ascii="Calibri" w:eastAsia="Times New Roman" w:hAnsi="Calibri" w:cs="Calibri"/>
                <w:b/>
                <w:sz w:val="20"/>
                <w:szCs w:val="20"/>
                <w:lang w:val="af-ZA"/>
              </w:rPr>
              <w:t> </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իրականացումից</w:t>
            </w:r>
            <w:r w:rsidRPr="0053423A">
              <w:rPr>
                <w:rFonts w:eastAsia="Times New Roman"/>
                <w:b/>
                <w:sz w:val="20"/>
                <w:szCs w:val="20"/>
                <w:lang w:val="af-ZA"/>
              </w:rPr>
              <w:t xml:space="preserve"> </w:t>
            </w:r>
            <w:r w:rsidRPr="0053423A">
              <w:rPr>
                <w:rFonts w:eastAsia="Times New Roman"/>
                <w:b/>
                <w:sz w:val="20"/>
                <w:szCs w:val="20"/>
              </w:rPr>
              <w:t>ակնկալվող</w:t>
            </w:r>
            <w:r w:rsidRPr="0053423A">
              <w:rPr>
                <w:rFonts w:eastAsia="Times New Roman"/>
                <w:b/>
                <w:sz w:val="20"/>
                <w:szCs w:val="20"/>
                <w:lang w:val="af-ZA"/>
              </w:rPr>
              <w:t xml:space="preserve"> </w:t>
            </w:r>
            <w:r w:rsidRPr="0053423A">
              <w:rPr>
                <w:rFonts w:eastAsia="Times New Roman"/>
                <w:b/>
                <w:sz w:val="20"/>
                <w:szCs w:val="20"/>
              </w:rPr>
              <w:t>արդյունքը</w:t>
            </w:r>
          </w:p>
          <w:p w:rsidR="0084615D" w:rsidRPr="0053423A" w:rsidRDefault="0084615D" w:rsidP="00A67858">
            <w:pPr>
              <w:spacing w:after="0" w:line="276" w:lineRule="auto"/>
              <w:jc w:val="both"/>
              <w:rPr>
                <w:rFonts w:cs="GHEA Grapalat"/>
                <w:b/>
                <w:sz w:val="20"/>
                <w:szCs w:val="20"/>
                <w:lang w:val="hy-AM"/>
              </w:rPr>
            </w:pPr>
            <w:r w:rsidRPr="0053423A">
              <w:rPr>
                <w:rFonts w:cs="Sylfaen"/>
                <w:sz w:val="20"/>
                <w:szCs w:val="20"/>
                <w:lang w:val="af-ZA"/>
              </w:rPr>
              <w:t xml:space="preserve">Երևան քաղաքում </w:t>
            </w:r>
            <w:r w:rsidRPr="0053423A">
              <w:rPr>
                <w:rFonts w:cs="Sylfaen"/>
                <w:sz w:val="20"/>
                <w:szCs w:val="20"/>
              </w:rPr>
              <w:t>ջրամատակարարման</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ջրահեռացման</w:t>
            </w:r>
            <w:r w:rsidRPr="0053423A">
              <w:rPr>
                <w:rFonts w:cs="Sylfaen"/>
                <w:sz w:val="20"/>
                <w:szCs w:val="20"/>
                <w:lang w:val="af-ZA"/>
              </w:rPr>
              <w:t xml:space="preserve"> ծառայությունների որակի բարձրացումը և հուսալիության ապահովումը:</w:t>
            </w: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21</w:t>
            </w:r>
          </w:p>
        </w:tc>
        <w:tc>
          <w:tcPr>
            <w:tcW w:w="10879" w:type="dxa"/>
            <w:shd w:val="clear" w:color="auto" w:fill="auto"/>
          </w:tcPr>
          <w:p w:rsidR="0084615D" w:rsidRPr="0053423A" w:rsidRDefault="0084615D" w:rsidP="00A67858">
            <w:pPr>
              <w:spacing w:after="0" w:line="276" w:lineRule="auto"/>
              <w:jc w:val="center"/>
              <w:rPr>
                <w:b/>
                <w:sz w:val="20"/>
                <w:szCs w:val="20"/>
                <w:lang w:val="hy-AM"/>
              </w:rPr>
            </w:pPr>
            <w:r w:rsidRPr="0053423A">
              <w:rPr>
                <w:b/>
                <w:sz w:val="20"/>
                <w:szCs w:val="20"/>
                <w:lang w:val="hy-AM"/>
              </w:rPr>
              <w:t>Քաղաքային</w:t>
            </w:r>
            <w:r w:rsidRPr="0053423A">
              <w:rPr>
                <w:b/>
                <w:sz w:val="20"/>
                <w:szCs w:val="20"/>
                <w:lang w:val="af-ZA"/>
              </w:rPr>
              <w:t xml:space="preserve"> </w:t>
            </w:r>
            <w:r w:rsidRPr="0053423A">
              <w:rPr>
                <w:b/>
                <w:sz w:val="20"/>
                <w:szCs w:val="20"/>
                <w:lang w:val="hy-AM"/>
              </w:rPr>
              <w:t>կեղտաջրերի</w:t>
            </w:r>
            <w:r w:rsidRPr="0053423A">
              <w:rPr>
                <w:b/>
                <w:sz w:val="20"/>
                <w:szCs w:val="20"/>
                <w:lang w:val="af-ZA"/>
              </w:rPr>
              <w:t xml:space="preserve"> </w:t>
            </w:r>
            <w:r w:rsidRPr="0053423A">
              <w:rPr>
                <w:b/>
                <w:sz w:val="20"/>
                <w:szCs w:val="20"/>
                <w:lang w:val="hy-AM"/>
              </w:rPr>
              <w:t>հավաքման</w:t>
            </w:r>
            <w:r w:rsidRPr="0053423A">
              <w:rPr>
                <w:b/>
                <w:sz w:val="20"/>
                <w:szCs w:val="20"/>
                <w:lang w:val="af-ZA"/>
              </w:rPr>
              <w:t xml:space="preserve"> </w:t>
            </w:r>
            <w:r w:rsidRPr="0053423A">
              <w:rPr>
                <w:b/>
                <w:sz w:val="20"/>
                <w:szCs w:val="20"/>
                <w:lang w:val="hy-AM"/>
              </w:rPr>
              <w:t>և</w:t>
            </w:r>
            <w:r w:rsidRPr="0053423A">
              <w:rPr>
                <w:b/>
                <w:sz w:val="20"/>
                <w:szCs w:val="20"/>
                <w:lang w:val="af-ZA"/>
              </w:rPr>
              <w:t xml:space="preserve"> </w:t>
            </w:r>
            <w:r w:rsidRPr="0053423A">
              <w:rPr>
                <w:b/>
                <w:sz w:val="20"/>
                <w:szCs w:val="20"/>
                <w:lang w:val="hy-AM"/>
              </w:rPr>
              <w:t>մաքրման</w:t>
            </w:r>
            <w:r w:rsidRPr="0053423A">
              <w:rPr>
                <w:b/>
                <w:sz w:val="20"/>
                <w:szCs w:val="20"/>
                <w:lang w:val="af-ZA"/>
              </w:rPr>
              <w:t xml:space="preserve"> </w:t>
            </w:r>
            <w:r w:rsidRPr="0053423A">
              <w:rPr>
                <w:b/>
                <w:sz w:val="20"/>
                <w:szCs w:val="20"/>
                <w:lang w:val="hy-AM"/>
              </w:rPr>
              <w:t>իրավիճակի</w:t>
            </w:r>
            <w:r w:rsidRPr="0053423A">
              <w:rPr>
                <w:b/>
                <w:sz w:val="20"/>
                <w:szCs w:val="20"/>
                <w:lang w:val="af-ZA"/>
              </w:rPr>
              <w:t xml:space="preserve"> </w:t>
            </w:r>
            <w:r w:rsidRPr="0053423A">
              <w:rPr>
                <w:b/>
                <w:sz w:val="20"/>
                <w:szCs w:val="20"/>
                <w:lang w:val="hy-AM"/>
              </w:rPr>
              <w:t>գնահատում</w:t>
            </w:r>
          </w:p>
          <w:p w:rsidR="0084615D" w:rsidRPr="0053423A" w:rsidRDefault="0084615D" w:rsidP="00A67858">
            <w:pPr>
              <w:spacing w:after="0" w:line="276" w:lineRule="auto"/>
              <w:jc w:val="center"/>
              <w:rPr>
                <w:b/>
                <w:sz w:val="20"/>
                <w:szCs w:val="20"/>
                <w:lang w:val="hy-AM"/>
              </w:rPr>
            </w:pP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21.1 Կոմունալ կենցաղային կեղտաջրերը մաքրումից հետո դրանց համապատասխանությունը ջրերի ստանդարտներին</w:t>
            </w:r>
          </w:p>
          <w:p w:rsidR="0084615D" w:rsidRPr="0053423A" w:rsidRDefault="0084615D" w:rsidP="00A67858">
            <w:pPr>
              <w:pStyle w:val="mechtex"/>
              <w:spacing w:line="276" w:lineRule="auto"/>
              <w:rPr>
                <w:rFonts w:ascii="GHEA Grapalat" w:eastAsia="Calibri" w:hAnsi="GHEA Grapalat" w:cs="Sylfaen"/>
                <w:b/>
                <w:i/>
                <w:sz w:val="20"/>
                <w:u w:val="single"/>
                <w:lang w:val="af-ZA" w:eastAsia="en-US"/>
              </w:rPr>
            </w:pPr>
          </w:p>
          <w:p w:rsidR="0084615D" w:rsidRPr="0053423A" w:rsidRDefault="0084615D" w:rsidP="00A67858">
            <w:pPr>
              <w:tabs>
                <w:tab w:val="num" w:pos="851"/>
              </w:tabs>
              <w:spacing w:after="0" w:line="276" w:lineRule="auto"/>
              <w:ind w:firstLine="709"/>
              <w:jc w:val="both"/>
              <w:rPr>
                <w:rFonts w:cs="Sylfaen"/>
                <w:sz w:val="20"/>
                <w:szCs w:val="20"/>
                <w:lang w:val="af-ZA"/>
              </w:rPr>
            </w:pPr>
            <w:r w:rsidRPr="0053423A">
              <w:rPr>
                <w:rFonts w:eastAsia="Times New Roman" w:cs="Courier New"/>
                <w:b/>
                <w:sz w:val="20"/>
                <w:szCs w:val="20"/>
                <w:lang w:val="af-ZA"/>
              </w:rPr>
              <w:t>1.</w:t>
            </w:r>
            <w:r w:rsidRPr="0053423A">
              <w:rPr>
                <w:rFonts w:ascii="Calibri" w:eastAsia="Times New Roman" w:hAnsi="Calibri" w:cs="Calibri"/>
                <w:b/>
                <w:sz w:val="20"/>
                <w:szCs w:val="20"/>
                <w:lang w:val="af-ZA"/>
              </w:rPr>
              <w:t> </w:t>
            </w:r>
            <w:r w:rsidRPr="0053423A">
              <w:rPr>
                <w:rFonts w:eastAsia="Times New Roman"/>
                <w:b/>
                <w:sz w:val="20"/>
                <w:szCs w:val="20"/>
                <w:lang w:val="hy-AM"/>
              </w:rPr>
              <w:t>Միջոցառման</w:t>
            </w:r>
            <w:r w:rsidRPr="0053423A">
              <w:rPr>
                <w:rFonts w:eastAsia="Times New Roman"/>
                <w:b/>
                <w:sz w:val="20"/>
                <w:szCs w:val="20"/>
                <w:lang w:val="af-ZA"/>
              </w:rPr>
              <w:t xml:space="preserve"> </w:t>
            </w:r>
            <w:r w:rsidRPr="0053423A">
              <w:rPr>
                <w:rFonts w:eastAsia="Times New Roman"/>
                <w:b/>
                <w:sz w:val="20"/>
                <w:szCs w:val="20"/>
                <w:lang w:val="hy-AM"/>
              </w:rPr>
              <w:t>իրականացման</w:t>
            </w:r>
            <w:r w:rsidRPr="0053423A">
              <w:rPr>
                <w:rFonts w:eastAsia="Times New Roman"/>
                <w:b/>
                <w:sz w:val="20"/>
                <w:szCs w:val="20"/>
                <w:lang w:val="af-ZA"/>
              </w:rPr>
              <w:t xml:space="preserve"> </w:t>
            </w:r>
            <w:r w:rsidRPr="0053423A">
              <w:rPr>
                <w:rFonts w:eastAsia="Times New Roma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նպատակը</w:t>
            </w:r>
            <w:r w:rsidRPr="0053423A">
              <w:rPr>
                <w:rFonts w:cs="Sylfaen"/>
                <w:sz w:val="20"/>
                <w:szCs w:val="20"/>
                <w:lang w:val="af-ZA"/>
              </w:rPr>
              <w:t xml:space="preserve"> </w:t>
            </w:r>
          </w:p>
          <w:p w:rsidR="0084615D" w:rsidRPr="0053423A" w:rsidRDefault="0084615D" w:rsidP="00A67858">
            <w:pPr>
              <w:autoSpaceDE w:val="0"/>
              <w:autoSpaceDN w:val="0"/>
              <w:adjustRightInd w:val="0"/>
              <w:spacing w:after="0" w:line="276" w:lineRule="auto"/>
              <w:jc w:val="both"/>
              <w:rPr>
                <w:rFonts w:cs="Sylfaen"/>
                <w:sz w:val="20"/>
                <w:szCs w:val="20"/>
                <w:lang w:val="af-ZA"/>
              </w:rPr>
            </w:pPr>
            <w:r w:rsidRPr="0053423A">
              <w:rPr>
                <w:rFonts w:cs="Sylfaen"/>
                <w:sz w:val="20"/>
                <w:szCs w:val="20"/>
              </w:rPr>
              <w:t>Հիմք</w:t>
            </w:r>
            <w:r w:rsidRPr="0053423A">
              <w:rPr>
                <w:rFonts w:cs="Sylfaen"/>
                <w:sz w:val="20"/>
                <w:szCs w:val="20"/>
                <w:lang w:val="af-ZA"/>
              </w:rPr>
              <w:t xml:space="preserve"> </w:t>
            </w:r>
            <w:r w:rsidRPr="0053423A">
              <w:rPr>
                <w:rFonts w:cs="Sylfaen"/>
                <w:sz w:val="20"/>
                <w:szCs w:val="20"/>
              </w:rPr>
              <w:t>ընդունելով</w:t>
            </w:r>
            <w:r w:rsidRPr="0053423A">
              <w:rPr>
                <w:rFonts w:cs="Sylfaen"/>
                <w:sz w:val="20"/>
                <w:szCs w:val="20"/>
                <w:lang w:val="af-ZA"/>
              </w:rPr>
              <w:t xml:space="preserve"> </w:t>
            </w:r>
            <w:r w:rsidRPr="0053423A">
              <w:rPr>
                <w:rFonts w:cs="Sylfaen"/>
                <w:sz w:val="20"/>
                <w:szCs w:val="20"/>
              </w:rPr>
              <w:t>Եվրոպական</w:t>
            </w:r>
            <w:r w:rsidRPr="0053423A">
              <w:rPr>
                <w:rFonts w:cs="Sylfaen"/>
                <w:sz w:val="20"/>
                <w:szCs w:val="20"/>
                <w:lang w:val="af-ZA"/>
              </w:rPr>
              <w:t xml:space="preserve"> </w:t>
            </w:r>
            <w:r w:rsidRPr="0053423A">
              <w:rPr>
                <w:rFonts w:cs="Sylfaen"/>
                <w:sz w:val="20"/>
                <w:szCs w:val="20"/>
              </w:rPr>
              <w:t>միության</w:t>
            </w:r>
            <w:r w:rsidRPr="0053423A">
              <w:rPr>
                <w:rFonts w:cs="Sylfaen"/>
                <w:sz w:val="20"/>
                <w:szCs w:val="20"/>
                <w:lang w:val="af-ZA"/>
              </w:rPr>
              <w:t xml:space="preserve"> </w:t>
            </w:r>
            <w:r w:rsidRPr="0053423A">
              <w:rPr>
                <w:rFonts w:cs="Sylfaen"/>
                <w:sz w:val="20"/>
                <w:szCs w:val="20"/>
              </w:rPr>
              <w:t>համապարփակ</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ընդլայնված</w:t>
            </w:r>
            <w:r w:rsidRPr="0053423A">
              <w:rPr>
                <w:rFonts w:cs="Sylfaen"/>
                <w:sz w:val="20"/>
                <w:szCs w:val="20"/>
                <w:lang w:val="af-ZA"/>
              </w:rPr>
              <w:t xml:space="preserve"> </w:t>
            </w:r>
            <w:r w:rsidRPr="0053423A">
              <w:rPr>
                <w:rFonts w:cs="Sylfaen"/>
                <w:sz w:val="20"/>
                <w:szCs w:val="20"/>
              </w:rPr>
              <w:t>գործընկերության</w:t>
            </w:r>
            <w:r w:rsidRPr="0053423A">
              <w:rPr>
                <w:rFonts w:cs="Sylfaen"/>
                <w:sz w:val="20"/>
                <w:szCs w:val="20"/>
                <w:lang w:val="af-ZA"/>
              </w:rPr>
              <w:t xml:space="preserve"> </w:t>
            </w:r>
            <w:r w:rsidRPr="0053423A">
              <w:rPr>
                <w:rFonts w:cs="Sylfaen"/>
                <w:sz w:val="20"/>
                <w:szCs w:val="20"/>
              </w:rPr>
              <w:t>համաձայնագրի</w:t>
            </w:r>
            <w:r w:rsidRPr="0053423A">
              <w:rPr>
                <w:rFonts w:cs="Sylfaen"/>
                <w:sz w:val="20"/>
                <w:szCs w:val="20"/>
                <w:lang w:val="af-ZA"/>
              </w:rPr>
              <w:t xml:space="preserve"> 91/271/</w:t>
            </w:r>
            <w:r w:rsidRPr="0053423A">
              <w:rPr>
                <w:rFonts w:cs="Sylfaen"/>
                <w:sz w:val="20"/>
                <w:szCs w:val="20"/>
              </w:rPr>
              <w:t>ԵՀ</w:t>
            </w:r>
            <w:r w:rsidRPr="0053423A">
              <w:rPr>
                <w:rFonts w:cs="Sylfaen"/>
                <w:sz w:val="20"/>
                <w:szCs w:val="20"/>
                <w:lang w:val="af-ZA"/>
              </w:rPr>
              <w:t xml:space="preserve"> </w:t>
            </w:r>
            <w:r w:rsidRPr="0053423A">
              <w:rPr>
                <w:rFonts w:cs="Sylfaen"/>
                <w:sz w:val="20"/>
                <w:szCs w:val="20"/>
              </w:rPr>
              <w:t>հրահանգը</w:t>
            </w:r>
            <w:r w:rsidRPr="0053423A">
              <w:rPr>
                <w:rFonts w:cs="Sylfaen"/>
                <w:sz w:val="20"/>
                <w:szCs w:val="20"/>
                <w:lang w:val="af-ZA"/>
              </w:rPr>
              <w:t xml:space="preserve"> և </w:t>
            </w:r>
            <w:r w:rsidRPr="0053423A">
              <w:rPr>
                <w:rFonts w:cs="GHEA Grapalat"/>
                <w:sz w:val="20"/>
                <w:szCs w:val="20"/>
                <w:lang w:val="af-ZA"/>
              </w:rPr>
              <w:t>2006 թվականի նոյեմբերի 27-ի ՀՀ ջրի ազգային ծրագրի մասին</w:t>
            </w:r>
            <w:r w:rsidRPr="0053423A">
              <w:rPr>
                <w:rFonts w:cs="Sylfaen"/>
                <w:sz w:val="20"/>
                <w:szCs w:val="20"/>
                <w:lang w:val="af-ZA"/>
              </w:rPr>
              <w:t xml:space="preserve"> ՀՀ օրենքի 5-րդ գլխի 16-րդ հոդվածը 10-րդ կետը </w:t>
            </w:r>
            <w:r w:rsidRPr="0053423A">
              <w:rPr>
                <w:rFonts w:cs="Sylfaen"/>
                <w:sz w:val="20"/>
                <w:szCs w:val="20"/>
              </w:rPr>
              <w:t>անհրաժեշտ</w:t>
            </w:r>
            <w:r w:rsidRPr="0053423A">
              <w:rPr>
                <w:rFonts w:cs="Sylfaen"/>
                <w:sz w:val="20"/>
                <w:szCs w:val="20"/>
                <w:lang w:val="af-ZA"/>
              </w:rPr>
              <w:t xml:space="preserve"> </w:t>
            </w:r>
            <w:r w:rsidRPr="0053423A">
              <w:rPr>
                <w:rFonts w:cs="Sylfaen"/>
                <w:sz w:val="20"/>
                <w:szCs w:val="20"/>
              </w:rPr>
              <w:t>է</w:t>
            </w:r>
            <w:r w:rsidRPr="0053423A">
              <w:rPr>
                <w:rFonts w:cs="Sylfaen"/>
                <w:sz w:val="20"/>
                <w:szCs w:val="20"/>
                <w:lang w:val="af-ZA"/>
              </w:rPr>
              <w:t xml:space="preserve"> </w:t>
            </w:r>
            <w:r w:rsidRPr="0053423A">
              <w:rPr>
                <w:rFonts w:cs="Sylfaen"/>
                <w:sz w:val="20"/>
                <w:szCs w:val="20"/>
              </w:rPr>
              <w:t>իրականացնել</w:t>
            </w:r>
            <w:r w:rsidRPr="0053423A">
              <w:rPr>
                <w:rFonts w:cs="Sylfaen"/>
                <w:sz w:val="20"/>
                <w:szCs w:val="20"/>
                <w:lang w:val="af-ZA"/>
              </w:rPr>
              <w:t xml:space="preserve"> </w:t>
            </w:r>
            <w:r w:rsidRPr="0053423A">
              <w:rPr>
                <w:rFonts w:cs="Sylfaen"/>
                <w:sz w:val="20"/>
                <w:szCs w:val="20"/>
              </w:rPr>
              <w:t>քաղաքային</w:t>
            </w:r>
            <w:r w:rsidRPr="0053423A">
              <w:rPr>
                <w:rFonts w:cs="Sylfaen"/>
                <w:sz w:val="20"/>
                <w:szCs w:val="20"/>
                <w:lang w:val="af-ZA"/>
              </w:rPr>
              <w:t xml:space="preserve"> </w:t>
            </w:r>
            <w:r w:rsidRPr="0053423A">
              <w:rPr>
                <w:rFonts w:cs="Sylfaen"/>
                <w:sz w:val="20"/>
                <w:szCs w:val="20"/>
              </w:rPr>
              <w:t>կեղտաջրերի</w:t>
            </w:r>
            <w:r w:rsidRPr="0053423A">
              <w:rPr>
                <w:rFonts w:cs="Sylfaen"/>
                <w:sz w:val="20"/>
                <w:szCs w:val="20"/>
                <w:lang w:val="af-ZA"/>
              </w:rPr>
              <w:t xml:space="preserve"> </w:t>
            </w:r>
            <w:r w:rsidRPr="0053423A">
              <w:rPr>
                <w:rFonts w:cs="Sylfaen"/>
                <w:sz w:val="20"/>
                <w:szCs w:val="20"/>
              </w:rPr>
              <w:t>հավաքման</w:t>
            </w:r>
            <w:r w:rsidRPr="0053423A">
              <w:rPr>
                <w:rFonts w:cs="Sylfaen"/>
                <w:sz w:val="20"/>
                <w:szCs w:val="20"/>
                <w:lang w:val="af-ZA"/>
              </w:rPr>
              <w:t xml:space="preserve"> </w:t>
            </w:r>
            <w:r w:rsidRPr="0053423A">
              <w:rPr>
                <w:rFonts w:cs="Sylfaen"/>
                <w:sz w:val="20"/>
                <w:szCs w:val="20"/>
              </w:rPr>
              <w:t>եւ</w:t>
            </w:r>
            <w:r w:rsidRPr="0053423A">
              <w:rPr>
                <w:rFonts w:cs="Sylfaen"/>
                <w:sz w:val="20"/>
                <w:szCs w:val="20"/>
                <w:lang w:val="af-ZA"/>
              </w:rPr>
              <w:t xml:space="preserve"> </w:t>
            </w:r>
            <w:r w:rsidRPr="0053423A">
              <w:rPr>
                <w:rFonts w:cs="Sylfaen"/>
                <w:sz w:val="20"/>
                <w:szCs w:val="20"/>
              </w:rPr>
              <w:t>մաքրման</w:t>
            </w:r>
            <w:r w:rsidRPr="0053423A">
              <w:rPr>
                <w:rFonts w:cs="Sylfaen"/>
                <w:sz w:val="20"/>
                <w:szCs w:val="20"/>
                <w:lang w:val="af-ZA"/>
              </w:rPr>
              <w:t xml:space="preserve"> </w:t>
            </w:r>
            <w:r w:rsidRPr="0053423A">
              <w:rPr>
                <w:rFonts w:cs="Sylfaen"/>
                <w:sz w:val="20"/>
                <w:szCs w:val="20"/>
              </w:rPr>
              <w:t>իրավիճակի</w:t>
            </w:r>
            <w:r w:rsidRPr="0053423A">
              <w:rPr>
                <w:rFonts w:cs="Sylfaen"/>
                <w:sz w:val="20"/>
                <w:szCs w:val="20"/>
                <w:lang w:val="af-ZA"/>
              </w:rPr>
              <w:t xml:space="preserve"> </w:t>
            </w:r>
            <w:r w:rsidRPr="0053423A">
              <w:rPr>
                <w:rFonts w:cs="Sylfaen"/>
                <w:sz w:val="20"/>
                <w:szCs w:val="20"/>
              </w:rPr>
              <w:t>գնահատում</w:t>
            </w:r>
            <w:r w:rsidRPr="0053423A">
              <w:rPr>
                <w:rFonts w:cs="Sylfaen"/>
                <w:sz w:val="20"/>
                <w:szCs w:val="20"/>
                <w:lang w:val="af-ZA"/>
              </w:rPr>
              <w:t>:</w:t>
            </w:r>
          </w:p>
          <w:p w:rsidR="0084615D" w:rsidRPr="0053423A" w:rsidRDefault="0084615D" w:rsidP="001F6D5D">
            <w:pPr>
              <w:pStyle w:val="ListParagraph"/>
              <w:numPr>
                <w:ilvl w:val="1"/>
                <w:numId w:val="284"/>
              </w:numPr>
              <w:tabs>
                <w:tab w:val="left" w:pos="993"/>
              </w:tabs>
              <w:spacing w:after="0" w:line="276" w:lineRule="auto"/>
              <w:ind w:hanging="775"/>
              <w:rPr>
                <w:rFonts w:eastAsia="Times New Roman"/>
                <w:b/>
                <w:sz w:val="20"/>
                <w:szCs w:val="20"/>
                <w:lang w:val="af-ZA"/>
              </w:rPr>
            </w:pPr>
            <w:r w:rsidRPr="0053423A">
              <w:rPr>
                <w:rFonts w:eastAsia="Times New Roman"/>
                <w:b/>
                <w:sz w:val="20"/>
                <w:szCs w:val="20"/>
                <w:lang w:val="af-ZA"/>
              </w:rPr>
              <w:t xml:space="preserve"> </w:t>
            </w:r>
            <w:r w:rsidR="00795500" w:rsidRPr="0053423A">
              <w:rPr>
                <w:rFonts w:eastAsia="Times New Roman"/>
                <w:b/>
                <w:sz w:val="20"/>
                <w:szCs w:val="20"/>
                <w:lang w:val="hy-AM"/>
              </w:rPr>
              <w:t>Կ</w:t>
            </w:r>
            <w:r w:rsidRPr="0053423A">
              <w:rPr>
                <w:rFonts w:eastAsia="Times New Roman"/>
                <w:b/>
                <w:sz w:val="20"/>
                <w:szCs w:val="20"/>
                <w:lang w:val="hy-AM"/>
              </w:rPr>
              <w:t>արգավորման</w:t>
            </w:r>
            <w:r w:rsidRPr="0053423A">
              <w:rPr>
                <w:rFonts w:eastAsia="Times New Roman"/>
                <w:b/>
                <w:sz w:val="20"/>
                <w:szCs w:val="20"/>
                <w:lang w:val="af-ZA"/>
              </w:rPr>
              <w:t xml:space="preserve"> </w:t>
            </w:r>
            <w:r w:rsidRPr="0053423A">
              <w:rPr>
                <w:rFonts w:eastAsia="Times New Roman"/>
                <w:b/>
                <w:sz w:val="20"/>
                <w:szCs w:val="20"/>
                <w:lang w:val="hy-AM"/>
              </w:rPr>
              <w:t>հարաբերությունների</w:t>
            </w:r>
            <w:r w:rsidRPr="0053423A">
              <w:rPr>
                <w:rFonts w:eastAsia="Times New Roman"/>
                <w:b/>
                <w:sz w:val="20"/>
                <w:szCs w:val="20"/>
                <w:lang w:val="af-ZA"/>
              </w:rPr>
              <w:t xml:space="preserve"> </w:t>
            </w:r>
            <w:r w:rsidRPr="0053423A">
              <w:rPr>
                <w:rFonts w:eastAsia="Times New Roman"/>
                <w:b/>
                <w:sz w:val="20"/>
                <w:szCs w:val="20"/>
                <w:lang w:val="hy-AM"/>
              </w:rPr>
              <w:t>ներկա</w:t>
            </w:r>
            <w:r w:rsidRPr="0053423A">
              <w:rPr>
                <w:rFonts w:eastAsia="Times New Roman"/>
                <w:b/>
                <w:sz w:val="20"/>
                <w:szCs w:val="20"/>
                <w:lang w:val="af-ZA"/>
              </w:rPr>
              <w:t xml:space="preserve"> </w:t>
            </w:r>
            <w:r w:rsidRPr="0053423A">
              <w:rPr>
                <w:rFonts w:eastAsia="Times New Roman"/>
                <w:b/>
                <w:sz w:val="20"/>
                <w:szCs w:val="20"/>
                <w:lang w:val="hy-AM"/>
              </w:rPr>
              <w:t>վիճակը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առկա</w:t>
            </w:r>
            <w:r w:rsidRPr="0053423A">
              <w:rPr>
                <w:rFonts w:eastAsia="Times New Roman"/>
                <w:b/>
                <w:sz w:val="20"/>
                <w:szCs w:val="20"/>
                <w:lang w:val="af-ZA"/>
              </w:rPr>
              <w:t xml:space="preserve"> </w:t>
            </w:r>
            <w:r w:rsidRPr="0053423A">
              <w:rPr>
                <w:rFonts w:eastAsia="Times New Roman"/>
                <w:b/>
                <w:sz w:val="20"/>
                <w:szCs w:val="20"/>
                <w:lang w:val="hy-AM"/>
              </w:rPr>
              <w:t>խնդիրները</w:t>
            </w:r>
            <w:r w:rsidRPr="0053423A">
              <w:rPr>
                <w:rFonts w:eastAsia="Times New Roman"/>
                <w:b/>
                <w:sz w:val="20"/>
                <w:szCs w:val="20"/>
                <w:lang w:val="af-ZA"/>
              </w:rPr>
              <w:t xml:space="preserve"> </w:t>
            </w:r>
          </w:p>
          <w:p w:rsidR="0084615D" w:rsidRPr="0053423A" w:rsidRDefault="0084615D" w:rsidP="00A67858">
            <w:pPr>
              <w:spacing w:after="0" w:line="276" w:lineRule="auto"/>
              <w:jc w:val="both"/>
              <w:rPr>
                <w:rFonts w:cs="Sylfaen"/>
                <w:sz w:val="20"/>
                <w:szCs w:val="20"/>
                <w:lang w:val="af-ZA"/>
              </w:rPr>
            </w:pPr>
            <w:r w:rsidRPr="0053423A">
              <w:rPr>
                <w:rFonts w:cs="Sylfaen"/>
                <w:sz w:val="20"/>
                <w:szCs w:val="20"/>
                <w:lang w:val="af-ZA"/>
              </w:rPr>
              <w:t>ՀՀ բնակավայրերում կեղտաջրերի հավաքման և մաքրման ծառայությունների հասանելիությունը, ինչպես նաև կեղտաջրերի հեռացման ծառայությունները բավարար մակարդակի չեն գտնվում: Քաղաքային կեղտաջրերի մաքրման պահանջների իրականացման համար անհրաժեշտ են տեխնիկական և ֆինանսական ռեսուրսներ:</w:t>
            </w:r>
          </w:p>
          <w:p w:rsidR="0084615D" w:rsidRPr="0053423A" w:rsidRDefault="00795500" w:rsidP="001F6D5D">
            <w:pPr>
              <w:pStyle w:val="ListParagraph"/>
              <w:numPr>
                <w:ilvl w:val="1"/>
                <w:numId w:val="284"/>
              </w:numPr>
              <w:tabs>
                <w:tab w:val="clear" w:pos="1495"/>
                <w:tab w:val="left" w:pos="900"/>
                <w:tab w:val="num" w:pos="1260"/>
              </w:tabs>
              <w:spacing w:after="0" w:line="276" w:lineRule="auto"/>
              <w:ind w:left="0" w:firstLine="720"/>
              <w:rPr>
                <w:rFonts w:eastAsia="Times New Roman"/>
                <w:b/>
                <w:sz w:val="20"/>
                <w:szCs w:val="20"/>
              </w:rPr>
            </w:pPr>
            <w:r w:rsidRPr="0053423A">
              <w:rPr>
                <w:rFonts w:eastAsia="Times New Roman"/>
                <w:b/>
                <w:sz w:val="20"/>
                <w:szCs w:val="20"/>
                <w:lang w:val="hy-AM"/>
              </w:rPr>
              <w:t>Ա</w:t>
            </w:r>
            <w:r w:rsidR="0084615D" w:rsidRPr="0053423A">
              <w:rPr>
                <w:rFonts w:eastAsia="Times New Roman"/>
                <w:b/>
                <w:sz w:val="20"/>
                <w:szCs w:val="20"/>
              </w:rPr>
              <w:t>ռկա</w:t>
            </w:r>
            <w:r w:rsidR="0084615D" w:rsidRPr="0053423A">
              <w:rPr>
                <w:rFonts w:eastAsia="Times New Roman"/>
                <w:b/>
                <w:sz w:val="20"/>
                <w:szCs w:val="20"/>
                <w:lang w:val="af-ZA"/>
              </w:rPr>
              <w:t xml:space="preserve"> </w:t>
            </w:r>
            <w:r w:rsidR="0084615D" w:rsidRPr="0053423A">
              <w:rPr>
                <w:rFonts w:eastAsia="Times New Roman"/>
                <w:b/>
                <w:sz w:val="20"/>
                <w:szCs w:val="20"/>
              </w:rPr>
              <w:t>խնդիրների</w:t>
            </w:r>
            <w:r w:rsidR="0084615D" w:rsidRPr="0053423A">
              <w:rPr>
                <w:rFonts w:eastAsia="Times New Roman"/>
                <w:b/>
                <w:sz w:val="20"/>
                <w:szCs w:val="20"/>
                <w:lang w:val="af-ZA"/>
              </w:rPr>
              <w:t xml:space="preserve"> </w:t>
            </w:r>
            <w:r w:rsidR="0084615D" w:rsidRPr="0053423A">
              <w:rPr>
                <w:rFonts w:eastAsia="Times New Roman"/>
                <w:b/>
                <w:sz w:val="20"/>
                <w:szCs w:val="20"/>
              </w:rPr>
              <w:t>առաջարկվող</w:t>
            </w:r>
            <w:r w:rsidR="0084615D" w:rsidRPr="0053423A">
              <w:rPr>
                <w:rFonts w:eastAsia="Times New Roman"/>
                <w:b/>
                <w:sz w:val="20"/>
                <w:szCs w:val="20"/>
                <w:lang w:val="af-ZA"/>
              </w:rPr>
              <w:t xml:space="preserve"> </w:t>
            </w:r>
            <w:r w:rsidR="0084615D" w:rsidRPr="0053423A">
              <w:rPr>
                <w:rFonts w:eastAsia="Times New Roman"/>
                <w:b/>
                <w:sz w:val="20"/>
                <w:szCs w:val="20"/>
              </w:rPr>
              <w:t>լուծումները</w:t>
            </w:r>
          </w:p>
          <w:p w:rsidR="0084615D" w:rsidRPr="0053423A" w:rsidRDefault="0084615D" w:rsidP="00A67858">
            <w:pPr>
              <w:spacing w:after="0" w:line="276" w:lineRule="auto"/>
              <w:jc w:val="both"/>
              <w:rPr>
                <w:rFonts w:cs="Sylfaen"/>
                <w:sz w:val="20"/>
                <w:szCs w:val="20"/>
                <w:lang w:val="af-ZA"/>
              </w:rPr>
            </w:pPr>
            <w:r w:rsidRPr="0053423A">
              <w:rPr>
                <w:rFonts w:cs="Sylfaen"/>
                <w:sz w:val="20"/>
                <w:szCs w:val="20"/>
                <w:lang w:val="af-ZA"/>
              </w:rPr>
              <w:t>Կեղտաջրերի մաքրման կայանների կառուցման աշխատանքների նախապատրաստում և իրականացում, ինչպես նաև կեղտաջրերի հեռացման բնագավառի հայեցակարգային մոտեցումների մշակում:</w:t>
            </w:r>
          </w:p>
          <w:p w:rsidR="0084615D" w:rsidRPr="0053423A" w:rsidRDefault="0084615D" w:rsidP="00A67858">
            <w:pPr>
              <w:pStyle w:val="ListParagraph"/>
              <w:tabs>
                <w:tab w:val="left" w:pos="1620"/>
              </w:tabs>
              <w:spacing w:after="0" w:line="276" w:lineRule="auto"/>
              <w:ind w:left="0" w:firstLine="720"/>
              <w:rPr>
                <w:rFonts w:eastAsia="Times New Roman"/>
                <w:b/>
                <w:sz w:val="20"/>
                <w:szCs w:val="20"/>
                <w:lang w:val="af-ZA"/>
              </w:rPr>
            </w:pPr>
            <w:r w:rsidRPr="0053423A">
              <w:rPr>
                <w:rFonts w:eastAsia="Times New Roman" w:cs="Courier New"/>
                <w:b/>
                <w:sz w:val="20"/>
                <w:szCs w:val="20"/>
                <w:lang w:val="af-ZA"/>
              </w:rPr>
              <w:t>2.</w:t>
            </w:r>
            <w:r w:rsidRPr="0053423A">
              <w:rPr>
                <w:rFonts w:ascii="Calibri" w:eastAsia="Times New Roman" w:hAnsi="Calibri" w:cs="Calibri"/>
                <w:b/>
                <w:sz w:val="20"/>
                <w:szCs w:val="20"/>
                <w:lang w:val="af-ZA"/>
              </w:rPr>
              <w:t> </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իրականացումից</w:t>
            </w:r>
            <w:r w:rsidRPr="0053423A">
              <w:rPr>
                <w:rFonts w:eastAsia="Times New Roman"/>
                <w:b/>
                <w:sz w:val="20"/>
                <w:szCs w:val="20"/>
                <w:lang w:val="af-ZA"/>
              </w:rPr>
              <w:t xml:space="preserve"> </w:t>
            </w:r>
            <w:r w:rsidRPr="0053423A">
              <w:rPr>
                <w:rFonts w:eastAsia="Times New Roman"/>
                <w:b/>
                <w:sz w:val="20"/>
                <w:szCs w:val="20"/>
              </w:rPr>
              <w:t>ակնկալվող</w:t>
            </w:r>
            <w:r w:rsidRPr="0053423A">
              <w:rPr>
                <w:rFonts w:eastAsia="Times New Roman"/>
                <w:b/>
                <w:sz w:val="20"/>
                <w:szCs w:val="20"/>
                <w:lang w:val="af-ZA"/>
              </w:rPr>
              <w:t xml:space="preserve"> </w:t>
            </w:r>
            <w:r w:rsidRPr="0053423A">
              <w:rPr>
                <w:rFonts w:eastAsia="Times New Roman"/>
                <w:b/>
                <w:sz w:val="20"/>
                <w:szCs w:val="20"/>
              </w:rPr>
              <w:t>արդյունքը</w:t>
            </w:r>
          </w:p>
          <w:p w:rsidR="0084615D" w:rsidRPr="0053423A" w:rsidRDefault="0084615D" w:rsidP="00A67858">
            <w:pPr>
              <w:spacing w:after="0" w:line="276" w:lineRule="auto"/>
              <w:jc w:val="both"/>
              <w:rPr>
                <w:rFonts w:cs="Sylfaen"/>
                <w:sz w:val="20"/>
                <w:szCs w:val="20"/>
                <w:lang w:val="af-ZA"/>
              </w:rPr>
            </w:pPr>
            <w:r w:rsidRPr="0053423A">
              <w:rPr>
                <w:rFonts w:cs="Sylfaen"/>
                <w:sz w:val="20"/>
                <w:szCs w:val="20"/>
                <w:lang w:val="af-ZA"/>
              </w:rPr>
              <w:t>Բաց գետավազան թափվող կոյուղաջրերի լիարժեք մաքրության ապահովում և համապատասխանեցում տվյալ գետի ջրի ստանդարտներին:</w:t>
            </w:r>
          </w:p>
          <w:p w:rsidR="0084615D" w:rsidRPr="0053423A" w:rsidRDefault="0084615D" w:rsidP="00A67858">
            <w:pPr>
              <w:spacing w:after="0" w:line="276" w:lineRule="auto"/>
              <w:jc w:val="both"/>
              <w:rPr>
                <w:rFonts w:cs="Sylfaen"/>
                <w:sz w:val="20"/>
                <w:szCs w:val="20"/>
                <w:lang w:val="af-ZA"/>
              </w:rPr>
            </w:pP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21.2 Երևանի «Աերացիա» կեղտաջրերի մաքրման կայանի վերականգնման առաջին փուլի կառուցվածքների շահագործման ապահովում, կայանի վերակառուցման ծրագրի երկրորդ փուլի՝ տիղմի օգտահանման կառուցվածքների շինարարության նախապատրաստական աշխատանքների մեկնարկ</w:t>
            </w: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21.3</w:t>
            </w:r>
            <w:r w:rsidRPr="0053423A">
              <w:rPr>
                <w:rFonts w:ascii="Calibri" w:hAnsi="Calibri" w:cs="Calibri"/>
                <w:b/>
                <w:sz w:val="20"/>
                <w:szCs w:val="20"/>
                <w:u w:val="single"/>
                <w:lang w:val="af-ZA"/>
              </w:rPr>
              <w:t> </w:t>
            </w:r>
            <w:r w:rsidRPr="0053423A">
              <w:rPr>
                <w:b/>
                <w:sz w:val="20"/>
                <w:szCs w:val="20"/>
                <w:u w:val="single"/>
                <w:lang w:val="af-ZA"/>
              </w:rPr>
              <w:t>Կեղտաջրերի հեռացման բնագավառի հայեցակարգային մոտեցումների մշակում և առաջարկությունների ներկայացում</w:t>
            </w:r>
          </w:p>
          <w:p w:rsidR="0084615D" w:rsidRPr="0053423A" w:rsidRDefault="0084615D" w:rsidP="00A67858">
            <w:pPr>
              <w:spacing w:after="0" w:line="276" w:lineRule="auto"/>
              <w:ind w:firstLine="349"/>
              <w:jc w:val="center"/>
              <w:rPr>
                <w:rFonts w:cs="Sylfaen"/>
                <w:b/>
                <w:sz w:val="20"/>
                <w:szCs w:val="20"/>
                <w:u w:val="single"/>
                <w:lang w:val="af-ZA"/>
              </w:rPr>
            </w:pPr>
          </w:p>
          <w:p w:rsidR="0084615D" w:rsidRPr="0053423A" w:rsidRDefault="0084615D" w:rsidP="00A67858">
            <w:pPr>
              <w:tabs>
                <w:tab w:val="num" w:pos="851"/>
              </w:tabs>
              <w:spacing w:after="0" w:line="276" w:lineRule="auto"/>
              <w:ind w:firstLine="709"/>
              <w:jc w:val="both"/>
              <w:rPr>
                <w:rFonts w:cs="Sylfaen"/>
                <w:sz w:val="20"/>
                <w:szCs w:val="20"/>
                <w:lang w:val="af-ZA"/>
              </w:rPr>
            </w:pPr>
            <w:r w:rsidRPr="0053423A">
              <w:rPr>
                <w:rFonts w:eastAsia="Times New Roman" w:cs="Courier New"/>
                <w:b/>
                <w:sz w:val="20"/>
                <w:szCs w:val="20"/>
                <w:lang w:val="af-ZA"/>
              </w:rPr>
              <w:t>1.</w:t>
            </w:r>
            <w:r w:rsidRPr="0053423A">
              <w:rPr>
                <w:rFonts w:ascii="Calibri" w:eastAsia="Times New Roman" w:hAnsi="Calibri" w:cs="Calibri"/>
                <w:b/>
                <w:sz w:val="20"/>
                <w:szCs w:val="20"/>
                <w:lang w:val="af-ZA"/>
              </w:rPr>
              <w:t> </w:t>
            </w:r>
            <w:r w:rsidRPr="0053423A">
              <w:rPr>
                <w:rFonts w:eastAsia="Times New Roman"/>
                <w:b/>
                <w:sz w:val="20"/>
                <w:szCs w:val="20"/>
                <w:lang w:val="hy-AM"/>
              </w:rPr>
              <w:t>Միջոցառման</w:t>
            </w:r>
            <w:r w:rsidRPr="0053423A">
              <w:rPr>
                <w:rFonts w:eastAsia="Times New Roman"/>
                <w:b/>
                <w:sz w:val="20"/>
                <w:szCs w:val="20"/>
                <w:lang w:val="af-ZA"/>
              </w:rPr>
              <w:t xml:space="preserve"> </w:t>
            </w:r>
            <w:r w:rsidRPr="0053423A">
              <w:rPr>
                <w:rFonts w:eastAsia="Times New Roman"/>
                <w:b/>
                <w:sz w:val="20"/>
                <w:szCs w:val="20"/>
                <w:lang w:val="hy-AM"/>
              </w:rPr>
              <w:t>իրականացման</w:t>
            </w:r>
            <w:r w:rsidRPr="0053423A">
              <w:rPr>
                <w:rFonts w:eastAsia="Times New Roman"/>
                <w:b/>
                <w:sz w:val="20"/>
                <w:szCs w:val="20"/>
                <w:lang w:val="af-ZA"/>
              </w:rPr>
              <w:t xml:space="preserve"> </w:t>
            </w:r>
            <w:r w:rsidRPr="0053423A">
              <w:rPr>
                <w:rFonts w:eastAsia="Times New Roma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նպատակը</w:t>
            </w:r>
            <w:r w:rsidRPr="0053423A">
              <w:rPr>
                <w:rFonts w:cs="Sylfaen"/>
                <w:sz w:val="20"/>
                <w:szCs w:val="20"/>
                <w:lang w:val="af-ZA"/>
              </w:rPr>
              <w:t xml:space="preserve"> </w:t>
            </w:r>
          </w:p>
          <w:p w:rsidR="0084615D" w:rsidRPr="0053423A" w:rsidRDefault="0084615D" w:rsidP="00A67858">
            <w:pPr>
              <w:tabs>
                <w:tab w:val="num" w:pos="720"/>
              </w:tabs>
              <w:spacing w:after="0" w:line="276" w:lineRule="auto"/>
              <w:jc w:val="both"/>
              <w:rPr>
                <w:rFonts w:cs="Sylfaen"/>
                <w:sz w:val="20"/>
                <w:szCs w:val="20"/>
                <w:lang w:val="af-ZA"/>
              </w:rPr>
            </w:pPr>
            <w:r w:rsidRPr="0053423A">
              <w:rPr>
                <w:rFonts w:cs="Sylfaen"/>
                <w:sz w:val="20"/>
                <w:szCs w:val="20"/>
                <w:lang w:val="af-ZA"/>
              </w:rPr>
              <w:t>Հ</w:t>
            </w:r>
            <w:r w:rsidRPr="0053423A">
              <w:rPr>
                <w:rFonts w:cs="Sylfaen"/>
                <w:sz w:val="20"/>
                <w:szCs w:val="20"/>
              </w:rPr>
              <w:t>իմք</w:t>
            </w:r>
            <w:r w:rsidRPr="0053423A">
              <w:rPr>
                <w:rFonts w:cs="Sylfaen"/>
                <w:sz w:val="20"/>
                <w:szCs w:val="20"/>
                <w:lang w:val="af-ZA"/>
              </w:rPr>
              <w:t xml:space="preserve"> </w:t>
            </w:r>
            <w:r w:rsidRPr="0053423A">
              <w:rPr>
                <w:rFonts w:cs="Sylfaen"/>
                <w:sz w:val="20"/>
                <w:szCs w:val="20"/>
              </w:rPr>
              <w:t>ընդունելով</w:t>
            </w:r>
            <w:r w:rsidRPr="0053423A">
              <w:rPr>
                <w:rFonts w:cs="Sylfaen"/>
                <w:sz w:val="20"/>
                <w:szCs w:val="20"/>
                <w:lang w:val="af-ZA"/>
              </w:rPr>
              <w:t xml:space="preserve"> </w:t>
            </w:r>
            <w:r w:rsidRPr="0053423A">
              <w:rPr>
                <w:rFonts w:cs="GHEA Grapalat"/>
                <w:sz w:val="20"/>
                <w:szCs w:val="20"/>
                <w:lang w:val="af-ZA"/>
              </w:rPr>
              <w:t>ՀՀ ազգային ժողովի 2019 թվականի փետրվարի 14-ի «Հայաստանի Հանրապետության կառավարության ծրագրին հավանություն տալու մասին» ԱԺՈ-002-Ն որոշմամբ հավանության արժանացած ՀՀ կառավարության 2019 թվականի փետրվարի 8</w:t>
            </w:r>
            <w:r w:rsidRPr="0053423A">
              <w:rPr>
                <w:spacing w:val="-2"/>
                <w:sz w:val="20"/>
                <w:szCs w:val="20"/>
                <w:lang w:val="af-ZA"/>
              </w:rPr>
              <w:t>-</w:t>
            </w:r>
            <w:r w:rsidRPr="0053423A">
              <w:rPr>
                <w:spacing w:val="-2"/>
                <w:sz w:val="20"/>
                <w:szCs w:val="20"/>
              </w:rPr>
              <w:t>ի</w:t>
            </w:r>
            <w:r w:rsidRPr="0053423A">
              <w:rPr>
                <w:spacing w:val="-2"/>
                <w:sz w:val="20"/>
                <w:szCs w:val="20"/>
                <w:lang w:val="af-ZA"/>
              </w:rPr>
              <w:t xml:space="preserve"> N 65-Ա որոշման </w:t>
            </w:r>
            <w:r w:rsidRPr="0053423A">
              <w:rPr>
                <w:spacing w:val="-2"/>
                <w:sz w:val="20"/>
                <w:szCs w:val="20"/>
                <w:lang w:val="hy-AM"/>
              </w:rPr>
              <w:t>6</w:t>
            </w:r>
            <w:r w:rsidRPr="0053423A">
              <w:rPr>
                <w:spacing w:val="-2"/>
                <w:sz w:val="20"/>
                <w:szCs w:val="20"/>
                <w:lang w:val="pt-BR"/>
              </w:rPr>
              <w:t>.4</w:t>
            </w:r>
            <w:r w:rsidRPr="0053423A">
              <w:rPr>
                <w:spacing w:val="-2"/>
                <w:sz w:val="20"/>
                <w:szCs w:val="20"/>
                <w:lang w:val="hy-AM"/>
              </w:rPr>
              <w:t xml:space="preserve"> «</w:t>
            </w:r>
            <w:r w:rsidRPr="0053423A">
              <w:rPr>
                <w:spacing w:val="-2"/>
                <w:sz w:val="20"/>
                <w:szCs w:val="20"/>
              </w:rPr>
              <w:t>Ջրային</w:t>
            </w:r>
            <w:r w:rsidRPr="0053423A">
              <w:rPr>
                <w:spacing w:val="-2"/>
                <w:sz w:val="20"/>
                <w:szCs w:val="20"/>
                <w:lang w:val="af-ZA"/>
              </w:rPr>
              <w:t xml:space="preserve"> </w:t>
            </w:r>
            <w:r w:rsidRPr="0053423A">
              <w:rPr>
                <w:spacing w:val="-2"/>
                <w:sz w:val="20"/>
                <w:szCs w:val="20"/>
              </w:rPr>
              <w:t>տ</w:t>
            </w:r>
            <w:r w:rsidRPr="0053423A">
              <w:rPr>
                <w:spacing w:val="-2"/>
                <w:sz w:val="20"/>
                <w:szCs w:val="20"/>
                <w:lang w:val="hy-AM"/>
              </w:rPr>
              <w:t>նտեսություն</w:t>
            </w:r>
            <w:r w:rsidRPr="0053423A">
              <w:rPr>
                <w:spacing w:val="-2"/>
                <w:sz w:val="20"/>
                <w:szCs w:val="20"/>
              </w:rPr>
              <w:t>ը</w:t>
            </w:r>
            <w:r w:rsidRPr="0053423A">
              <w:rPr>
                <w:spacing w:val="-2"/>
                <w:sz w:val="20"/>
                <w:szCs w:val="20"/>
                <w:lang w:val="hy-AM"/>
              </w:rPr>
              <w:t>» բաժի</w:t>
            </w:r>
            <w:r w:rsidRPr="0053423A">
              <w:rPr>
                <w:spacing w:val="-2"/>
                <w:sz w:val="20"/>
                <w:szCs w:val="20"/>
              </w:rPr>
              <w:t>նը</w:t>
            </w:r>
            <w:r w:rsidRPr="0053423A">
              <w:rPr>
                <w:spacing w:val="-2"/>
                <w:sz w:val="20"/>
                <w:szCs w:val="20"/>
                <w:lang w:val="hy-AM"/>
              </w:rPr>
              <w:t xml:space="preserve"> </w:t>
            </w:r>
            <w:r w:rsidRPr="0053423A">
              <w:rPr>
                <w:spacing w:val="-2"/>
                <w:sz w:val="20"/>
                <w:szCs w:val="20"/>
              </w:rPr>
              <w:t>և</w:t>
            </w:r>
            <w:r w:rsidRPr="0053423A">
              <w:rPr>
                <w:spacing w:val="-2"/>
                <w:sz w:val="20"/>
                <w:szCs w:val="20"/>
                <w:lang w:val="af-ZA"/>
              </w:rPr>
              <w:t xml:space="preserve"> </w:t>
            </w:r>
            <w:r w:rsidRPr="0053423A">
              <w:rPr>
                <w:rFonts w:cs="GHEA Grapalat"/>
                <w:sz w:val="20"/>
                <w:szCs w:val="20"/>
                <w:lang w:val="af-ZA"/>
              </w:rPr>
              <w:t>2006 թվականի նոյեմբերի 27-ի ՀՀ ջրի ազգային ծրագրի մասին</w:t>
            </w:r>
            <w:r w:rsidRPr="0053423A">
              <w:rPr>
                <w:rFonts w:cs="Sylfaen"/>
                <w:sz w:val="20"/>
                <w:szCs w:val="20"/>
                <w:lang w:val="af-ZA"/>
              </w:rPr>
              <w:t> ՀՀ օրենքի 16-րդ հոդվածի 1-ին մասի 11-րդ և 12-րդ կետերը՝ անհրաժեշտ է ա</w:t>
            </w:r>
            <w:r w:rsidRPr="0053423A">
              <w:rPr>
                <w:rFonts w:cs="Sylfaen"/>
                <w:sz w:val="20"/>
                <w:szCs w:val="20"/>
              </w:rPr>
              <w:t>պահովել</w:t>
            </w:r>
            <w:r w:rsidRPr="0053423A">
              <w:rPr>
                <w:rFonts w:cs="Sylfaen"/>
                <w:sz w:val="20"/>
                <w:szCs w:val="20"/>
                <w:lang w:val="af-ZA"/>
              </w:rPr>
              <w:t xml:space="preserve"> Երևան քաղաքի </w:t>
            </w:r>
            <w:r w:rsidRPr="0053423A">
              <w:rPr>
                <w:sz w:val="20"/>
                <w:szCs w:val="20"/>
                <w:lang w:val="hy-AM"/>
              </w:rPr>
              <w:t>Աերացիայի</w:t>
            </w:r>
            <w:r w:rsidRPr="0053423A">
              <w:rPr>
                <w:sz w:val="20"/>
                <w:szCs w:val="20"/>
                <w:lang w:val="de-AT"/>
              </w:rPr>
              <w:t xml:space="preserve"> մաքրման կայան ներհոսող </w:t>
            </w:r>
            <w:r w:rsidRPr="0053423A">
              <w:rPr>
                <w:rFonts w:cs="Sylfaen"/>
                <w:sz w:val="20"/>
                <w:szCs w:val="20"/>
                <w:lang w:val="af-ZA"/>
              </w:rPr>
              <w:t>կեղտաջրերի ամբողջական մաքրումը և անջատված տիղմի օգտահանումը:</w:t>
            </w:r>
          </w:p>
          <w:p w:rsidR="0084615D" w:rsidRPr="0053423A" w:rsidRDefault="0084615D" w:rsidP="001F6D5D">
            <w:pPr>
              <w:pStyle w:val="ListParagraph"/>
              <w:numPr>
                <w:ilvl w:val="1"/>
                <w:numId w:val="279"/>
              </w:numPr>
              <w:tabs>
                <w:tab w:val="clear" w:pos="1495"/>
                <w:tab w:val="left" w:pos="900"/>
                <w:tab w:val="left" w:pos="1134"/>
              </w:tabs>
              <w:spacing w:after="0" w:line="276" w:lineRule="auto"/>
              <w:ind w:left="0" w:firstLine="630"/>
              <w:rPr>
                <w:rFonts w:eastAsia="Times New Roman"/>
                <w:b/>
                <w:sz w:val="20"/>
                <w:szCs w:val="20"/>
                <w:lang w:val="af-ZA"/>
              </w:rPr>
            </w:pPr>
            <w:r w:rsidRPr="0053423A">
              <w:rPr>
                <w:rFonts w:eastAsia="Times New Roman"/>
                <w:b/>
                <w:sz w:val="20"/>
                <w:szCs w:val="20"/>
                <w:lang w:val="af-ZA"/>
              </w:rPr>
              <w:t xml:space="preserve"> </w:t>
            </w:r>
            <w:r w:rsidR="00795500" w:rsidRPr="0053423A">
              <w:rPr>
                <w:rFonts w:eastAsia="Times New Roman"/>
                <w:b/>
                <w:sz w:val="20"/>
                <w:szCs w:val="20"/>
              </w:rPr>
              <w:t>Կ</w:t>
            </w:r>
            <w:r w:rsidRPr="0053423A">
              <w:rPr>
                <w:rFonts w:eastAsia="Times New Roman"/>
                <w:b/>
                <w:sz w:val="20"/>
                <w:szCs w:val="20"/>
              </w:rPr>
              <w:t>արգավորման</w:t>
            </w:r>
            <w:r w:rsidRPr="0053423A">
              <w:rPr>
                <w:rFonts w:eastAsia="Times New Roman"/>
                <w:b/>
                <w:sz w:val="20"/>
                <w:szCs w:val="20"/>
                <w:lang w:val="af-ZA"/>
              </w:rPr>
              <w:t xml:space="preserve"> </w:t>
            </w:r>
            <w:r w:rsidRPr="0053423A">
              <w:rPr>
                <w:rFonts w:eastAsia="Times New Roman"/>
                <w:b/>
                <w:sz w:val="20"/>
                <w:szCs w:val="20"/>
              </w:rPr>
              <w:t>հարաբերությունների</w:t>
            </w:r>
            <w:r w:rsidRPr="0053423A">
              <w:rPr>
                <w:rFonts w:eastAsia="Times New Roman"/>
                <w:b/>
                <w:sz w:val="20"/>
                <w:szCs w:val="20"/>
                <w:lang w:val="af-ZA"/>
              </w:rPr>
              <w:t xml:space="preserve"> </w:t>
            </w:r>
            <w:r w:rsidRPr="0053423A">
              <w:rPr>
                <w:rFonts w:eastAsia="Times New Roman"/>
                <w:b/>
                <w:sz w:val="20"/>
                <w:szCs w:val="20"/>
              </w:rPr>
              <w:t>ներկա</w:t>
            </w:r>
            <w:r w:rsidRPr="0053423A">
              <w:rPr>
                <w:rFonts w:eastAsia="Times New Roman"/>
                <w:b/>
                <w:sz w:val="20"/>
                <w:szCs w:val="20"/>
                <w:lang w:val="af-ZA"/>
              </w:rPr>
              <w:t xml:space="preserve"> </w:t>
            </w:r>
            <w:r w:rsidRPr="0053423A">
              <w:rPr>
                <w:rFonts w:eastAsia="Times New Roman"/>
                <w:b/>
                <w:sz w:val="20"/>
                <w:szCs w:val="20"/>
              </w:rPr>
              <w:t>վիճակը</w:t>
            </w:r>
            <w:r w:rsidRPr="0053423A">
              <w:rPr>
                <w:rFonts w:eastAsia="Times New Roman"/>
                <w:b/>
                <w:sz w:val="20"/>
                <w:szCs w:val="20"/>
                <w:lang w:val="af-ZA"/>
              </w:rPr>
              <w:t xml:space="preserve"> </w:t>
            </w:r>
            <w:r w:rsidRPr="0053423A">
              <w:rPr>
                <w:rFonts w:eastAsia="Times New Roman"/>
                <w:b/>
                <w:sz w:val="20"/>
                <w:szCs w:val="20"/>
              </w:rPr>
              <w:t>և</w:t>
            </w:r>
            <w:r w:rsidRPr="0053423A">
              <w:rPr>
                <w:rFonts w:eastAsia="Times New Roman"/>
                <w:b/>
                <w:sz w:val="20"/>
                <w:szCs w:val="20"/>
                <w:lang w:val="af-ZA"/>
              </w:rPr>
              <w:t xml:space="preserve"> </w:t>
            </w:r>
            <w:r w:rsidRPr="0053423A">
              <w:rPr>
                <w:rFonts w:eastAsia="Times New Roman"/>
                <w:b/>
                <w:sz w:val="20"/>
                <w:szCs w:val="20"/>
              </w:rPr>
              <w:t>առկա</w:t>
            </w:r>
            <w:r w:rsidRPr="0053423A">
              <w:rPr>
                <w:rFonts w:eastAsia="Times New Roman"/>
                <w:b/>
                <w:sz w:val="20"/>
                <w:szCs w:val="20"/>
                <w:lang w:val="af-ZA"/>
              </w:rPr>
              <w:t xml:space="preserve"> </w:t>
            </w:r>
            <w:r w:rsidRPr="0053423A">
              <w:rPr>
                <w:rFonts w:eastAsia="Times New Roman"/>
                <w:b/>
                <w:sz w:val="20"/>
                <w:szCs w:val="20"/>
              </w:rPr>
              <w:t>խնդիրները</w:t>
            </w:r>
            <w:r w:rsidRPr="0053423A">
              <w:rPr>
                <w:rFonts w:eastAsia="Times New Roman"/>
                <w:b/>
                <w:sz w:val="20"/>
                <w:szCs w:val="20"/>
                <w:lang w:val="af-ZA"/>
              </w:rPr>
              <w:t xml:space="preserve"> </w:t>
            </w:r>
          </w:p>
          <w:p w:rsidR="0084615D" w:rsidRPr="0053423A" w:rsidRDefault="0084615D" w:rsidP="00A67858">
            <w:pPr>
              <w:spacing w:after="0" w:line="276" w:lineRule="auto"/>
              <w:jc w:val="both"/>
              <w:rPr>
                <w:sz w:val="20"/>
                <w:szCs w:val="20"/>
                <w:lang w:val="af-ZA"/>
              </w:rPr>
            </w:pPr>
            <w:r w:rsidRPr="0053423A">
              <w:rPr>
                <w:sz w:val="20"/>
                <w:szCs w:val="20"/>
                <w:lang w:val="af-ZA"/>
              </w:rPr>
              <w:t>Ներկայումս ավարտվել է</w:t>
            </w:r>
            <w:r w:rsidRPr="0053423A">
              <w:rPr>
                <w:sz w:val="20"/>
                <w:szCs w:val="20"/>
                <w:lang w:val="hy-AM"/>
              </w:rPr>
              <w:t xml:space="preserve"> Երևանի</w:t>
            </w:r>
            <w:r w:rsidRPr="0053423A">
              <w:rPr>
                <w:sz w:val="20"/>
                <w:szCs w:val="20"/>
                <w:lang w:val="de-AT"/>
              </w:rPr>
              <w:t xml:space="preserve"> </w:t>
            </w:r>
            <w:r w:rsidRPr="0053423A">
              <w:rPr>
                <w:sz w:val="20"/>
                <w:szCs w:val="20"/>
                <w:lang w:val="hy-AM"/>
              </w:rPr>
              <w:t>Աերացիայի</w:t>
            </w:r>
            <w:r w:rsidRPr="0053423A">
              <w:rPr>
                <w:sz w:val="20"/>
                <w:szCs w:val="20"/>
                <w:lang w:val="de-AT"/>
              </w:rPr>
              <w:t xml:space="preserve"> մաքրման մեխանիկական կայանի</w:t>
            </w:r>
            <w:r w:rsidRPr="0053423A">
              <w:rPr>
                <w:sz w:val="20"/>
                <w:szCs w:val="20"/>
                <w:lang w:val="hy-AM"/>
              </w:rPr>
              <w:t xml:space="preserve"> շինարարությունը:</w:t>
            </w:r>
            <w:r w:rsidRPr="0053423A">
              <w:rPr>
                <w:sz w:val="20"/>
                <w:szCs w:val="20"/>
                <w:lang w:val="af-ZA"/>
              </w:rPr>
              <w:t xml:space="preserve"> </w:t>
            </w:r>
            <w:r w:rsidRPr="0053423A">
              <w:rPr>
                <w:sz w:val="20"/>
                <w:szCs w:val="20"/>
              </w:rPr>
              <w:t>Անհրաժեշտ</w:t>
            </w:r>
            <w:r w:rsidRPr="0053423A">
              <w:rPr>
                <w:sz w:val="20"/>
                <w:szCs w:val="20"/>
                <w:lang w:val="af-ZA"/>
              </w:rPr>
              <w:t xml:space="preserve"> </w:t>
            </w:r>
            <w:r w:rsidRPr="0053423A">
              <w:rPr>
                <w:sz w:val="20"/>
                <w:szCs w:val="20"/>
              </w:rPr>
              <w:t>է</w:t>
            </w:r>
            <w:r w:rsidRPr="0053423A">
              <w:rPr>
                <w:sz w:val="20"/>
                <w:szCs w:val="20"/>
                <w:lang w:val="af-ZA"/>
              </w:rPr>
              <w:t xml:space="preserve"> </w:t>
            </w:r>
            <w:r w:rsidRPr="0053423A">
              <w:rPr>
                <w:sz w:val="20"/>
                <w:szCs w:val="20"/>
              </w:rPr>
              <w:t>ապահովել</w:t>
            </w:r>
            <w:r w:rsidRPr="0053423A">
              <w:rPr>
                <w:sz w:val="20"/>
                <w:szCs w:val="20"/>
                <w:lang w:val="hy-AM"/>
              </w:rPr>
              <w:t xml:space="preserve"> </w:t>
            </w:r>
            <w:r w:rsidRPr="0053423A">
              <w:rPr>
                <w:sz w:val="20"/>
                <w:szCs w:val="20"/>
                <w:lang w:val="af-ZA"/>
              </w:rPr>
              <w:t xml:space="preserve"> </w:t>
            </w:r>
            <w:r w:rsidRPr="0053423A">
              <w:rPr>
                <w:sz w:val="20"/>
                <w:szCs w:val="20"/>
                <w:lang w:val="de-AT"/>
              </w:rPr>
              <w:t>մաքրման կայանի վերականգնման առաջին փուլի կառուցվածքների շահագործումը և տալ տիղմի օգտահանման կառուցվածքների շինարարության նախապատրաստական աշխատանքների մեկնարկը:</w:t>
            </w:r>
          </w:p>
          <w:p w:rsidR="0084615D" w:rsidRPr="0053423A" w:rsidRDefault="00795500" w:rsidP="001F6D5D">
            <w:pPr>
              <w:pStyle w:val="ListParagraph"/>
              <w:numPr>
                <w:ilvl w:val="1"/>
                <w:numId w:val="279"/>
              </w:numPr>
              <w:tabs>
                <w:tab w:val="clear" w:pos="1495"/>
                <w:tab w:val="left" w:pos="900"/>
                <w:tab w:val="num" w:pos="1134"/>
              </w:tabs>
              <w:spacing w:after="0" w:line="276" w:lineRule="auto"/>
              <w:ind w:left="0" w:firstLine="630"/>
              <w:rPr>
                <w:rFonts w:eastAsia="Times New Roman"/>
                <w:b/>
                <w:sz w:val="20"/>
                <w:szCs w:val="20"/>
              </w:rPr>
            </w:pPr>
            <w:r w:rsidRPr="0053423A">
              <w:rPr>
                <w:rFonts w:eastAsia="Times New Roman"/>
                <w:b/>
                <w:sz w:val="20"/>
                <w:szCs w:val="20"/>
                <w:lang w:val="hy-AM"/>
              </w:rPr>
              <w:t xml:space="preserve"> Ա</w:t>
            </w:r>
            <w:r w:rsidR="0084615D" w:rsidRPr="0053423A">
              <w:rPr>
                <w:rFonts w:eastAsia="Times New Roman"/>
                <w:b/>
                <w:sz w:val="20"/>
                <w:szCs w:val="20"/>
              </w:rPr>
              <w:t>ռկա</w:t>
            </w:r>
            <w:r w:rsidR="0084615D" w:rsidRPr="0053423A">
              <w:rPr>
                <w:rFonts w:eastAsia="Times New Roman"/>
                <w:b/>
                <w:sz w:val="20"/>
                <w:szCs w:val="20"/>
                <w:lang w:val="af-ZA"/>
              </w:rPr>
              <w:t xml:space="preserve"> </w:t>
            </w:r>
            <w:r w:rsidR="0084615D" w:rsidRPr="0053423A">
              <w:rPr>
                <w:rFonts w:eastAsia="Times New Roman"/>
                <w:b/>
                <w:sz w:val="20"/>
                <w:szCs w:val="20"/>
              </w:rPr>
              <w:t>խնդիրների</w:t>
            </w:r>
            <w:r w:rsidR="0084615D" w:rsidRPr="0053423A">
              <w:rPr>
                <w:rFonts w:eastAsia="Times New Roman"/>
                <w:b/>
                <w:sz w:val="20"/>
                <w:szCs w:val="20"/>
                <w:lang w:val="af-ZA"/>
              </w:rPr>
              <w:t xml:space="preserve"> </w:t>
            </w:r>
            <w:r w:rsidR="0084615D" w:rsidRPr="0053423A">
              <w:rPr>
                <w:rFonts w:eastAsia="Times New Roman"/>
                <w:b/>
                <w:sz w:val="20"/>
                <w:szCs w:val="20"/>
              </w:rPr>
              <w:t>առաջարկվող</w:t>
            </w:r>
            <w:r w:rsidR="0084615D" w:rsidRPr="0053423A">
              <w:rPr>
                <w:rFonts w:eastAsia="Times New Roman"/>
                <w:b/>
                <w:sz w:val="20"/>
                <w:szCs w:val="20"/>
                <w:lang w:val="af-ZA"/>
              </w:rPr>
              <w:t xml:space="preserve"> </w:t>
            </w:r>
            <w:r w:rsidR="0084615D" w:rsidRPr="0053423A">
              <w:rPr>
                <w:rFonts w:eastAsia="Times New Roman"/>
                <w:b/>
                <w:sz w:val="20"/>
                <w:szCs w:val="20"/>
              </w:rPr>
              <w:t>լուծումները</w:t>
            </w:r>
          </w:p>
          <w:p w:rsidR="0084615D" w:rsidRPr="0053423A" w:rsidRDefault="0084615D" w:rsidP="00A67858">
            <w:pPr>
              <w:spacing w:after="0" w:line="276" w:lineRule="auto"/>
              <w:jc w:val="both"/>
              <w:rPr>
                <w:sz w:val="20"/>
                <w:szCs w:val="20"/>
                <w:lang w:val="de-AT"/>
              </w:rPr>
            </w:pPr>
            <w:r w:rsidRPr="0053423A">
              <w:rPr>
                <w:sz w:val="20"/>
                <w:szCs w:val="20"/>
                <w:lang w:val="af-ZA"/>
              </w:rPr>
              <w:t xml:space="preserve">Ապահովել </w:t>
            </w:r>
            <w:r w:rsidRPr="0053423A">
              <w:rPr>
                <w:sz w:val="20"/>
                <w:szCs w:val="20"/>
                <w:lang w:val="hy-AM"/>
              </w:rPr>
              <w:t>Աերացիայի</w:t>
            </w:r>
            <w:r w:rsidRPr="0053423A">
              <w:rPr>
                <w:sz w:val="20"/>
                <w:szCs w:val="20"/>
                <w:lang w:val="de-AT"/>
              </w:rPr>
              <w:t xml:space="preserve"> մաքրման մեխանիկական կայանի</w:t>
            </w:r>
            <w:r w:rsidRPr="0053423A">
              <w:rPr>
                <w:sz w:val="20"/>
                <w:szCs w:val="20"/>
                <w:lang w:val="hy-AM"/>
              </w:rPr>
              <w:t xml:space="preserve"> </w:t>
            </w:r>
            <w:r w:rsidRPr="0053423A">
              <w:rPr>
                <w:sz w:val="20"/>
                <w:szCs w:val="20"/>
                <w:lang w:val="de-AT"/>
              </w:rPr>
              <w:t xml:space="preserve">շահագործման հանձնելու գործընթացը: </w:t>
            </w:r>
            <w:r w:rsidRPr="0053423A">
              <w:rPr>
                <w:sz w:val="20"/>
                <w:szCs w:val="20"/>
                <w:lang w:val="af-ZA"/>
              </w:rPr>
              <w:t xml:space="preserve">Համապատասխան </w:t>
            </w:r>
            <w:r w:rsidRPr="0053423A">
              <w:rPr>
                <w:rFonts w:cs="Sylfaen"/>
                <w:sz w:val="20"/>
                <w:szCs w:val="20"/>
              </w:rPr>
              <w:t>ներդրումների</w:t>
            </w:r>
            <w:r w:rsidRPr="0053423A">
              <w:rPr>
                <w:rFonts w:cs="Sylfaen"/>
                <w:sz w:val="20"/>
                <w:szCs w:val="20"/>
                <w:lang w:val="af-ZA"/>
              </w:rPr>
              <w:t xml:space="preserve"> առկայության դեպքում </w:t>
            </w:r>
            <w:r w:rsidRPr="0053423A">
              <w:rPr>
                <w:sz w:val="20"/>
                <w:szCs w:val="20"/>
                <w:lang w:val="de-AT"/>
              </w:rPr>
              <w:t>Ապահովել </w:t>
            </w:r>
            <w:r w:rsidRPr="0053423A">
              <w:rPr>
                <w:sz w:val="20"/>
                <w:szCs w:val="20"/>
                <w:lang w:val="hy-AM"/>
              </w:rPr>
              <w:t>Աերացիա</w:t>
            </w:r>
            <w:r w:rsidRPr="0053423A">
              <w:rPr>
                <w:sz w:val="20"/>
                <w:szCs w:val="20"/>
                <w:lang w:val="de-AT"/>
              </w:rPr>
              <w:t> կեղտաջրերի մաքրման կայանի շինարարության երկրորդ փուլի մեկնարկը:</w:t>
            </w:r>
          </w:p>
          <w:p w:rsidR="0084615D" w:rsidRPr="0053423A" w:rsidRDefault="0084615D" w:rsidP="00A67858">
            <w:pPr>
              <w:pStyle w:val="ListParagraph"/>
              <w:tabs>
                <w:tab w:val="left" w:pos="1620"/>
              </w:tabs>
              <w:spacing w:after="0" w:line="276" w:lineRule="auto"/>
              <w:ind w:left="0" w:firstLine="630"/>
              <w:rPr>
                <w:rFonts w:eastAsia="Times New Roman"/>
                <w:b/>
                <w:sz w:val="20"/>
                <w:szCs w:val="20"/>
                <w:lang w:val="af-ZA"/>
              </w:rPr>
            </w:pPr>
            <w:r w:rsidRPr="0053423A">
              <w:rPr>
                <w:rFonts w:eastAsia="Times New Roman" w:cs="Courier New"/>
                <w:b/>
                <w:sz w:val="20"/>
                <w:szCs w:val="20"/>
                <w:lang w:val="af-ZA"/>
              </w:rPr>
              <w:t>2.</w:t>
            </w:r>
            <w:r w:rsidRPr="0053423A">
              <w:rPr>
                <w:rFonts w:ascii="Calibri" w:eastAsia="Times New Roman" w:hAnsi="Calibri" w:cs="Calibri"/>
                <w:b/>
                <w:sz w:val="20"/>
                <w:szCs w:val="20"/>
                <w:lang w:val="af-ZA"/>
              </w:rPr>
              <w:t> </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իրականացումից</w:t>
            </w:r>
            <w:r w:rsidRPr="0053423A">
              <w:rPr>
                <w:rFonts w:eastAsia="Times New Roman"/>
                <w:b/>
                <w:sz w:val="20"/>
                <w:szCs w:val="20"/>
                <w:lang w:val="af-ZA"/>
              </w:rPr>
              <w:t xml:space="preserve"> </w:t>
            </w:r>
            <w:r w:rsidRPr="0053423A">
              <w:rPr>
                <w:rFonts w:eastAsia="Times New Roman"/>
                <w:b/>
                <w:sz w:val="20"/>
                <w:szCs w:val="20"/>
              </w:rPr>
              <w:t>ակնկալվող</w:t>
            </w:r>
            <w:r w:rsidRPr="0053423A">
              <w:rPr>
                <w:rFonts w:eastAsia="Times New Roman"/>
                <w:b/>
                <w:sz w:val="20"/>
                <w:szCs w:val="20"/>
                <w:lang w:val="af-ZA"/>
              </w:rPr>
              <w:t xml:space="preserve"> </w:t>
            </w:r>
            <w:r w:rsidRPr="0053423A">
              <w:rPr>
                <w:rFonts w:eastAsia="Times New Roman"/>
                <w:b/>
                <w:sz w:val="20"/>
                <w:szCs w:val="20"/>
              </w:rPr>
              <w:t>արդյունքը</w:t>
            </w:r>
          </w:p>
          <w:p w:rsidR="0084615D" w:rsidRPr="0053423A" w:rsidRDefault="0084615D" w:rsidP="00A67858">
            <w:pPr>
              <w:spacing w:after="0" w:line="276" w:lineRule="auto"/>
              <w:jc w:val="both"/>
              <w:rPr>
                <w:rFonts w:cs="Sylfaen"/>
                <w:sz w:val="20"/>
                <w:szCs w:val="20"/>
                <w:lang w:val="af-ZA"/>
              </w:rPr>
            </w:pPr>
            <w:r w:rsidRPr="0053423A">
              <w:rPr>
                <w:rFonts w:cs="Sylfaen"/>
                <w:sz w:val="20"/>
                <w:szCs w:val="20"/>
                <w:lang w:val="af-ZA"/>
              </w:rPr>
              <w:t>Բնապահպանական մի շարք խնդիրների լուծում:</w:t>
            </w:r>
          </w:p>
          <w:p w:rsidR="0084615D" w:rsidRPr="0053423A" w:rsidRDefault="0084615D" w:rsidP="00A67858">
            <w:pPr>
              <w:spacing w:after="0" w:line="276" w:lineRule="auto"/>
              <w:jc w:val="center"/>
              <w:rPr>
                <w:rFonts w:cs="GHEA Grapalat"/>
                <w:b/>
                <w:sz w:val="20"/>
                <w:szCs w:val="20"/>
                <w:lang w:val="af-ZA"/>
              </w:rPr>
            </w:pP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22</w:t>
            </w:r>
          </w:p>
        </w:tc>
        <w:tc>
          <w:tcPr>
            <w:tcW w:w="10879" w:type="dxa"/>
            <w:shd w:val="clear" w:color="auto" w:fill="auto"/>
          </w:tcPr>
          <w:p w:rsidR="0084615D" w:rsidRPr="0053423A" w:rsidRDefault="0084615D" w:rsidP="00A67858">
            <w:pPr>
              <w:spacing w:after="0" w:line="276" w:lineRule="auto"/>
              <w:jc w:val="center"/>
              <w:rPr>
                <w:b/>
                <w:sz w:val="20"/>
                <w:szCs w:val="20"/>
                <w:lang w:val="de-AT"/>
              </w:rPr>
            </w:pPr>
            <w:r w:rsidRPr="0053423A">
              <w:rPr>
                <w:b/>
                <w:sz w:val="20"/>
                <w:szCs w:val="20"/>
                <w:lang w:val="de-AT"/>
              </w:rPr>
              <w:t>Ոռոգման ոլորտում իրականացնել անհրաժեշտ կառուցվածքային բարեփոխումներ՝ նպատակ ունենալով շարունակաբար նվազեցնել ջրի կորստի ցուցանիշները և ավելացնել համակարգում հավաքվող եկամուտները</w:t>
            </w:r>
          </w:p>
          <w:p w:rsidR="0084615D" w:rsidRPr="0053423A" w:rsidRDefault="0084615D" w:rsidP="00A67858">
            <w:pPr>
              <w:spacing w:after="0" w:line="276" w:lineRule="auto"/>
              <w:jc w:val="center"/>
              <w:rPr>
                <w:b/>
                <w:sz w:val="20"/>
                <w:szCs w:val="20"/>
                <w:lang w:val="de-AT"/>
              </w:rPr>
            </w:pP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22.1 Ոռոգման համակարգի զարգացման հայեցակարգի մշակում և առաջարկությունների ներկայացում</w:t>
            </w: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22.2 Ջրօգտագործողների ընկերությունների և ջրօգտագործողների ընկերությունների միությունների մասին» ՀՀ օրենքում փոփոխությունների և լրացումների իրականացում</w:t>
            </w:r>
          </w:p>
          <w:p w:rsidR="0084615D" w:rsidRPr="0053423A" w:rsidRDefault="0084615D" w:rsidP="00A67858">
            <w:pPr>
              <w:tabs>
                <w:tab w:val="left" w:pos="1170"/>
              </w:tabs>
              <w:spacing w:after="0" w:line="276" w:lineRule="auto"/>
              <w:ind w:left="720"/>
              <w:jc w:val="center"/>
              <w:rPr>
                <w:b/>
                <w:sz w:val="20"/>
                <w:szCs w:val="20"/>
                <w:u w:val="single"/>
                <w:lang w:val="af-ZA"/>
              </w:rPr>
            </w:pPr>
            <w:r w:rsidRPr="0053423A">
              <w:rPr>
                <w:b/>
                <w:sz w:val="20"/>
                <w:szCs w:val="20"/>
                <w:u w:val="single"/>
                <w:lang w:val="af-ZA"/>
              </w:rPr>
              <w:t>22.3 ՋՕԸ-երի ինստիտուցիոնալ հզորացման նպատակով կառավարման բարելավման պլանների կազմում, կոնկրետ գործողությունների պլանների մշակում և իրականացում միջոցառումների</w:t>
            </w:r>
          </w:p>
          <w:p w:rsidR="0084615D" w:rsidRPr="0053423A" w:rsidRDefault="0084615D" w:rsidP="00A67858">
            <w:pPr>
              <w:tabs>
                <w:tab w:val="num" w:pos="720"/>
              </w:tabs>
              <w:spacing w:after="0" w:line="276" w:lineRule="auto"/>
              <w:ind w:left="144" w:firstLine="486"/>
              <w:jc w:val="both"/>
              <w:rPr>
                <w:b/>
                <w:i/>
                <w:sz w:val="20"/>
                <w:szCs w:val="20"/>
                <w:u w:val="single"/>
                <w:lang w:val="af-ZA"/>
              </w:rPr>
            </w:pPr>
          </w:p>
          <w:p w:rsidR="0084615D" w:rsidRPr="0053423A" w:rsidRDefault="0084615D" w:rsidP="00A67858">
            <w:pPr>
              <w:pStyle w:val="ListParagraph"/>
              <w:tabs>
                <w:tab w:val="left" w:pos="810"/>
              </w:tabs>
              <w:spacing w:after="0" w:line="276" w:lineRule="auto"/>
              <w:ind w:left="0" w:firstLine="1080"/>
              <w:rPr>
                <w:b/>
                <w:sz w:val="20"/>
                <w:szCs w:val="20"/>
                <w:lang w:val="af-ZA"/>
              </w:rPr>
            </w:pPr>
            <w:r w:rsidRPr="0053423A">
              <w:rPr>
                <w:rFonts w:cs="Courier New"/>
                <w:b/>
                <w:sz w:val="20"/>
                <w:szCs w:val="20"/>
                <w:lang w:val="af-ZA"/>
              </w:rPr>
              <w:t>1</w:t>
            </w:r>
            <w:r w:rsidRPr="0053423A">
              <w:rPr>
                <w:rFonts w:eastAsia="Times New Roman" w:cs="Courier New"/>
                <w:b/>
                <w:sz w:val="20"/>
                <w:szCs w:val="20"/>
                <w:lang w:val="af-ZA"/>
              </w:rPr>
              <w:t>.</w:t>
            </w:r>
            <w:r w:rsidRPr="0053423A">
              <w:rPr>
                <w:rFonts w:ascii="Calibri" w:eastAsia="Times New Roman" w:hAnsi="Calibri" w:cs="Calibri"/>
                <w:b/>
                <w:sz w:val="20"/>
                <w:szCs w:val="20"/>
                <w:lang w:val="af-ZA"/>
              </w:rPr>
              <w:t> </w:t>
            </w:r>
            <w:r w:rsidRPr="0053423A">
              <w:rPr>
                <w:rFonts w:eastAsia="Times New Roman"/>
                <w:b/>
                <w:sz w:val="20"/>
                <w:szCs w:val="20"/>
                <w:lang w:val="hy-AM"/>
              </w:rPr>
              <w:t>Միջոցառման</w:t>
            </w:r>
            <w:r w:rsidRPr="0053423A">
              <w:rPr>
                <w:rFonts w:eastAsia="Times New Roman"/>
                <w:b/>
                <w:sz w:val="20"/>
                <w:szCs w:val="20"/>
                <w:lang w:val="af-ZA"/>
              </w:rPr>
              <w:t xml:space="preserve"> </w:t>
            </w:r>
            <w:r w:rsidRPr="0053423A">
              <w:rPr>
                <w:rFonts w:eastAsia="Times New Roman"/>
                <w:b/>
                <w:sz w:val="20"/>
                <w:szCs w:val="20"/>
                <w:lang w:val="hy-AM"/>
              </w:rPr>
              <w:t>իրականացման</w:t>
            </w:r>
            <w:r w:rsidRPr="0053423A">
              <w:rPr>
                <w:rFonts w:eastAsia="Times New Roman"/>
                <w:b/>
                <w:sz w:val="20"/>
                <w:szCs w:val="20"/>
                <w:lang w:val="af-ZA"/>
              </w:rPr>
              <w:t xml:space="preserve"> </w:t>
            </w:r>
            <w:r w:rsidRPr="0053423A">
              <w:rPr>
                <w:rFonts w:eastAsia="Times New Roma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նպատակը</w:t>
            </w:r>
          </w:p>
          <w:p w:rsidR="0084615D" w:rsidRPr="0053423A" w:rsidRDefault="0084615D" w:rsidP="00A67858">
            <w:pPr>
              <w:tabs>
                <w:tab w:val="num" w:pos="720"/>
              </w:tabs>
              <w:spacing w:after="0" w:line="276" w:lineRule="auto"/>
              <w:jc w:val="both"/>
              <w:rPr>
                <w:rFonts w:cs="GHEA Grapalat"/>
                <w:sz w:val="20"/>
                <w:szCs w:val="20"/>
                <w:lang w:val="af-ZA"/>
              </w:rPr>
            </w:pPr>
            <w:r w:rsidRPr="0053423A">
              <w:rPr>
                <w:rFonts w:cs="Sylfaen"/>
                <w:sz w:val="20"/>
                <w:szCs w:val="20"/>
                <w:lang w:val="af-ZA"/>
              </w:rPr>
              <w:t>Հ</w:t>
            </w:r>
            <w:r w:rsidRPr="0053423A">
              <w:rPr>
                <w:rFonts w:cs="Sylfaen"/>
                <w:sz w:val="20"/>
                <w:szCs w:val="20"/>
              </w:rPr>
              <w:t>իմք</w:t>
            </w:r>
            <w:r w:rsidRPr="0053423A">
              <w:rPr>
                <w:rFonts w:cs="Sylfaen"/>
                <w:sz w:val="20"/>
                <w:szCs w:val="20"/>
                <w:lang w:val="af-ZA"/>
              </w:rPr>
              <w:t xml:space="preserve"> </w:t>
            </w:r>
            <w:r w:rsidRPr="0053423A">
              <w:rPr>
                <w:rFonts w:cs="Sylfaen"/>
                <w:sz w:val="20"/>
                <w:szCs w:val="20"/>
              </w:rPr>
              <w:t>ընդունելով</w:t>
            </w:r>
            <w:r w:rsidRPr="0053423A">
              <w:rPr>
                <w:rFonts w:cs="Sylfaen"/>
                <w:sz w:val="20"/>
                <w:szCs w:val="20"/>
                <w:lang w:val="af-ZA"/>
              </w:rPr>
              <w:t xml:space="preserve"> </w:t>
            </w:r>
            <w:r w:rsidRPr="0053423A">
              <w:rPr>
                <w:rFonts w:cs="GHEA Grapalat"/>
                <w:sz w:val="20"/>
                <w:szCs w:val="20"/>
                <w:lang w:val="af-ZA"/>
              </w:rPr>
              <w:t>ՀՀ ազգային ժողովի 2019 թվականի փետրվարի 14-ի «Հայաստանի Հանրապետության կառավարության ծրագրին հավանություն տալու մասին» ԱԺՈ-002-Ն որոշմամբ հավանության արժանացած ՀՀ կառավարության 2019 թվականի փետրվարի 8</w:t>
            </w:r>
            <w:r w:rsidRPr="0053423A">
              <w:rPr>
                <w:spacing w:val="-2"/>
                <w:sz w:val="20"/>
                <w:szCs w:val="20"/>
                <w:lang w:val="af-ZA"/>
              </w:rPr>
              <w:t>-</w:t>
            </w:r>
            <w:r w:rsidRPr="0053423A">
              <w:rPr>
                <w:spacing w:val="-2"/>
                <w:sz w:val="20"/>
                <w:szCs w:val="20"/>
              </w:rPr>
              <w:t>ի</w:t>
            </w:r>
            <w:r w:rsidRPr="0053423A">
              <w:rPr>
                <w:spacing w:val="-2"/>
                <w:sz w:val="20"/>
                <w:szCs w:val="20"/>
                <w:lang w:val="af-ZA"/>
              </w:rPr>
              <w:t xml:space="preserve"> N 65-Ա որոշման </w:t>
            </w:r>
            <w:r w:rsidRPr="0053423A">
              <w:rPr>
                <w:spacing w:val="-2"/>
                <w:sz w:val="20"/>
                <w:szCs w:val="20"/>
                <w:lang w:val="hy-AM"/>
              </w:rPr>
              <w:t>6</w:t>
            </w:r>
            <w:r w:rsidRPr="0053423A">
              <w:rPr>
                <w:spacing w:val="-2"/>
                <w:sz w:val="20"/>
                <w:szCs w:val="20"/>
                <w:lang w:val="pt-BR"/>
              </w:rPr>
              <w:t>.4</w:t>
            </w:r>
            <w:r w:rsidRPr="0053423A">
              <w:rPr>
                <w:spacing w:val="-2"/>
                <w:sz w:val="20"/>
                <w:szCs w:val="20"/>
                <w:lang w:val="hy-AM"/>
              </w:rPr>
              <w:t xml:space="preserve"> «</w:t>
            </w:r>
            <w:r w:rsidRPr="0053423A">
              <w:rPr>
                <w:spacing w:val="-2"/>
                <w:sz w:val="20"/>
                <w:szCs w:val="20"/>
              </w:rPr>
              <w:t>Ջրային</w:t>
            </w:r>
            <w:r w:rsidRPr="0053423A">
              <w:rPr>
                <w:spacing w:val="-2"/>
                <w:sz w:val="20"/>
                <w:szCs w:val="20"/>
                <w:lang w:val="af-ZA"/>
              </w:rPr>
              <w:t xml:space="preserve"> </w:t>
            </w:r>
            <w:r w:rsidRPr="0053423A">
              <w:rPr>
                <w:rFonts w:cs="GHEA Grapalat"/>
                <w:sz w:val="20"/>
                <w:szCs w:val="20"/>
                <w:lang w:val="af-ZA"/>
              </w:rPr>
              <w:t>տնտեսությունը» բաժինը անհրաժեշտ է ոռոգման ոլորտում իրականացնել օրենսդրական և ինստիտուցիոնալ բարեփոխումներ:</w:t>
            </w:r>
          </w:p>
          <w:p w:rsidR="0084615D" w:rsidRPr="0053423A" w:rsidRDefault="00795500" w:rsidP="001F6D5D">
            <w:pPr>
              <w:pStyle w:val="ListParagraph"/>
              <w:numPr>
                <w:ilvl w:val="1"/>
                <w:numId w:val="274"/>
              </w:numPr>
              <w:tabs>
                <w:tab w:val="left" w:pos="900"/>
                <w:tab w:val="left" w:pos="1620"/>
              </w:tabs>
              <w:spacing w:after="0" w:line="276" w:lineRule="auto"/>
              <w:ind w:left="0" w:firstLine="1080"/>
              <w:rPr>
                <w:rFonts w:eastAsia="Times New Roman"/>
                <w:b/>
                <w:sz w:val="20"/>
                <w:szCs w:val="20"/>
                <w:lang w:val="af-ZA"/>
              </w:rPr>
            </w:pPr>
            <w:r w:rsidRPr="0053423A">
              <w:rPr>
                <w:rFonts w:eastAsia="Times New Roman"/>
                <w:b/>
                <w:sz w:val="20"/>
                <w:szCs w:val="20"/>
                <w:lang w:val="ru-RU"/>
              </w:rPr>
              <w:t>Կ</w:t>
            </w:r>
            <w:r w:rsidR="0084615D" w:rsidRPr="0053423A">
              <w:rPr>
                <w:rFonts w:eastAsia="Times New Roman"/>
                <w:b/>
                <w:sz w:val="20"/>
                <w:szCs w:val="20"/>
              </w:rPr>
              <w:t>արգավորման</w:t>
            </w:r>
            <w:r w:rsidR="0084615D" w:rsidRPr="0053423A">
              <w:rPr>
                <w:rFonts w:eastAsia="Times New Roman"/>
                <w:b/>
                <w:sz w:val="20"/>
                <w:szCs w:val="20"/>
                <w:lang w:val="af-ZA"/>
              </w:rPr>
              <w:t xml:space="preserve"> </w:t>
            </w:r>
            <w:r w:rsidR="0084615D" w:rsidRPr="0053423A">
              <w:rPr>
                <w:rFonts w:eastAsia="Times New Roman"/>
                <w:b/>
                <w:sz w:val="20"/>
                <w:szCs w:val="20"/>
              </w:rPr>
              <w:t>հարաբերությունների</w:t>
            </w:r>
            <w:r w:rsidR="0084615D" w:rsidRPr="0053423A">
              <w:rPr>
                <w:rFonts w:eastAsia="Times New Roman"/>
                <w:b/>
                <w:sz w:val="20"/>
                <w:szCs w:val="20"/>
                <w:lang w:val="af-ZA"/>
              </w:rPr>
              <w:t xml:space="preserve"> </w:t>
            </w:r>
            <w:r w:rsidR="0084615D" w:rsidRPr="0053423A">
              <w:rPr>
                <w:rFonts w:eastAsia="Times New Roman"/>
                <w:b/>
                <w:sz w:val="20"/>
                <w:szCs w:val="20"/>
              </w:rPr>
              <w:t>ներկա</w:t>
            </w:r>
            <w:r w:rsidR="0084615D" w:rsidRPr="0053423A">
              <w:rPr>
                <w:rFonts w:eastAsia="Times New Roman"/>
                <w:b/>
                <w:sz w:val="20"/>
                <w:szCs w:val="20"/>
                <w:lang w:val="af-ZA"/>
              </w:rPr>
              <w:t xml:space="preserve"> </w:t>
            </w:r>
            <w:r w:rsidR="0084615D" w:rsidRPr="0053423A">
              <w:rPr>
                <w:rFonts w:eastAsia="Times New Roman"/>
                <w:b/>
                <w:sz w:val="20"/>
                <w:szCs w:val="20"/>
              </w:rPr>
              <w:t>վիճակը</w:t>
            </w:r>
            <w:r w:rsidR="0084615D" w:rsidRPr="0053423A">
              <w:rPr>
                <w:rFonts w:eastAsia="Times New Roman"/>
                <w:b/>
                <w:sz w:val="20"/>
                <w:szCs w:val="20"/>
                <w:lang w:val="af-ZA"/>
              </w:rPr>
              <w:t xml:space="preserve"> </w:t>
            </w:r>
            <w:r w:rsidR="0084615D" w:rsidRPr="0053423A">
              <w:rPr>
                <w:rFonts w:eastAsia="Times New Roman"/>
                <w:b/>
                <w:sz w:val="20"/>
                <w:szCs w:val="20"/>
              </w:rPr>
              <w:t>և</w:t>
            </w:r>
            <w:r w:rsidR="0084615D" w:rsidRPr="0053423A">
              <w:rPr>
                <w:rFonts w:eastAsia="Times New Roman"/>
                <w:b/>
                <w:sz w:val="20"/>
                <w:szCs w:val="20"/>
                <w:lang w:val="af-ZA"/>
              </w:rPr>
              <w:t xml:space="preserve"> </w:t>
            </w:r>
            <w:r w:rsidR="0084615D" w:rsidRPr="0053423A">
              <w:rPr>
                <w:rFonts w:eastAsia="Times New Roman"/>
                <w:b/>
                <w:sz w:val="20"/>
                <w:szCs w:val="20"/>
              </w:rPr>
              <w:t>առկա</w:t>
            </w:r>
            <w:r w:rsidR="0084615D" w:rsidRPr="0053423A">
              <w:rPr>
                <w:rFonts w:eastAsia="Times New Roman"/>
                <w:b/>
                <w:sz w:val="20"/>
                <w:szCs w:val="20"/>
                <w:lang w:val="af-ZA"/>
              </w:rPr>
              <w:t xml:space="preserve"> </w:t>
            </w:r>
            <w:r w:rsidR="0084615D" w:rsidRPr="0053423A">
              <w:rPr>
                <w:rFonts w:eastAsia="Times New Roman"/>
                <w:b/>
                <w:sz w:val="20"/>
                <w:szCs w:val="20"/>
              </w:rPr>
              <w:t>խնդիրները</w:t>
            </w:r>
          </w:p>
          <w:p w:rsidR="0084615D" w:rsidRPr="0053423A" w:rsidRDefault="0084615D" w:rsidP="00A67858">
            <w:pPr>
              <w:spacing w:after="0" w:line="276" w:lineRule="auto"/>
              <w:jc w:val="both"/>
              <w:rPr>
                <w:rFonts w:cs="Sylfaen"/>
                <w:sz w:val="20"/>
                <w:szCs w:val="20"/>
                <w:lang w:val="af-ZA"/>
              </w:rPr>
            </w:pPr>
            <w:r w:rsidRPr="0053423A">
              <w:rPr>
                <w:rFonts w:cs="Sylfaen"/>
                <w:sz w:val="20"/>
                <w:szCs w:val="20"/>
                <w:lang w:val="af-ZA"/>
              </w:rPr>
              <w:t xml:space="preserve">Ներկայումս անհրաժեշտություն է առաջացել կանոնակարգել «Ջրառ» ՓԲԸ- ՋՕԸ-ջրօգտագործող իրավահարաբերությունները, կատարելագործել ոռոգման համակարգի կառավարումը, ՋՕԸ-երի գործադիր մարմնի ընտրության փոփոխություն իրականացնել, ուստի անհրաժեշտություն է առաջացել </w:t>
            </w:r>
            <w:r w:rsidRPr="0053423A">
              <w:rPr>
                <w:spacing w:val="-2"/>
                <w:sz w:val="20"/>
                <w:szCs w:val="20"/>
                <w:lang w:val="hy-AM"/>
              </w:rPr>
              <w:t>«</w:t>
            </w:r>
            <w:r w:rsidRPr="0053423A">
              <w:rPr>
                <w:rFonts w:cs="Sylfaen"/>
                <w:sz w:val="20"/>
                <w:szCs w:val="20"/>
                <w:lang w:val="af-ZA"/>
              </w:rPr>
              <w:t xml:space="preserve">Ջրօգտագործողների ընկերությունների և ջրօգտագործողների ընկերությունների միությունների մասին» ՀՀ օրենքում կատարել համապատասխան փոփոխություններ և լրացումներ: </w:t>
            </w:r>
          </w:p>
          <w:p w:rsidR="0084615D" w:rsidRPr="0053423A" w:rsidRDefault="0084615D" w:rsidP="00A67858">
            <w:pPr>
              <w:pStyle w:val="ListParagraph"/>
              <w:tabs>
                <w:tab w:val="left" w:pos="900"/>
              </w:tabs>
              <w:spacing w:after="0" w:line="276" w:lineRule="auto"/>
              <w:ind w:left="0" w:firstLine="1080"/>
              <w:rPr>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w:t>
            </w:r>
            <w:r w:rsidR="00795500" w:rsidRPr="0053423A">
              <w:rPr>
                <w:rFonts w:eastAsia="Times New Roman"/>
                <w:b/>
                <w:sz w:val="20"/>
                <w:szCs w:val="20"/>
                <w:lang w:val="ru-RU"/>
              </w:rPr>
              <w:t>Ա</w:t>
            </w:r>
            <w:r w:rsidRPr="0053423A">
              <w:rPr>
                <w:rFonts w:eastAsia="Times New Roman"/>
                <w:b/>
                <w:sz w:val="20"/>
                <w:szCs w:val="20"/>
              </w:rPr>
              <w:t>ռկա</w:t>
            </w:r>
            <w:r w:rsidRPr="0053423A">
              <w:rPr>
                <w:rFonts w:eastAsia="Times New Roman"/>
                <w:b/>
                <w:sz w:val="20"/>
                <w:szCs w:val="20"/>
                <w:lang w:val="af-ZA"/>
              </w:rPr>
              <w:t xml:space="preserve"> </w:t>
            </w:r>
            <w:r w:rsidRPr="0053423A">
              <w:rPr>
                <w:rFonts w:eastAsia="Times New Roman"/>
                <w:b/>
                <w:sz w:val="20"/>
                <w:szCs w:val="20"/>
              </w:rPr>
              <w:t>խնդիրների</w:t>
            </w:r>
            <w:r w:rsidRPr="0053423A">
              <w:rPr>
                <w:rFonts w:eastAsia="Times New Roman"/>
                <w:b/>
                <w:sz w:val="20"/>
                <w:szCs w:val="20"/>
                <w:lang w:val="af-ZA"/>
              </w:rPr>
              <w:t xml:space="preserve"> </w:t>
            </w:r>
            <w:r w:rsidRPr="0053423A">
              <w:rPr>
                <w:rFonts w:eastAsia="Times New Roman"/>
                <w:b/>
                <w:sz w:val="20"/>
                <w:szCs w:val="20"/>
              </w:rPr>
              <w:t>առաջարկվող</w:t>
            </w:r>
            <w:r w:rsidRPr="0053423A">
              <w:rPr>
                <w:rFonts w:eastAsia="Times New Roman"/>
                <w:b/>
                <w:sz w:val="20"/>
                <w:szCs w:val="20"/>
                <w:lang w:val="af-ZA"/>
              </w:rPr>
              <w:t xml:space="preserve"> </w:t>
            </w:r>
            <w:r w:rsidRPr="0053423A">
              <w:rPr>
                <w:rFonts w:eastAsia="Times New Roman"/>
                <w:b/>
                <w:sz w:val="20"/>
                <w:szCs w:val="20"/>
              </w:rPr>
              <w:t>լուծումները</w:t>
            </w:r>
          </w:p>
          <w:p w:rsidR="0084615D" w:rsidRPr="0053423A" w:rsidRDefault="0084615D" w:rsidP="00A67858">
            <w:pPr>
              <w:spacing w:after="0" w:line="276" w:lineRule="auto"/>
              <w:jc w:val="both"/>
              <w:rPr>
                <w:rFonts w:cs="Sylfaen"/>
                <w:sz w:val="20"/>
                <w:szCs w:val="20"/>
                <w:lang w:val="af-ZA"/>
              </w:rPr>
            </w:pPr>
            <w:r w:rsidRPr="0053423A">
              <w:rPr>
                <w:rFonts w:cs="Sylfaen"/>
                <w:sz w:val="20"/>
                <w:szCs w:val="20"/>
                <w:lang w:val="af-ZA"/>
              </w:rPr>
              <w:t>ՋՕԸ-երի ինստիտուցիոնալ հզորացման նպատակով անհրաժեշտ է ոռոգման ոլորտում մշակել զարգացման հայեցակարգ, կատարել կառուցվածքային բարեփոխումներ, կազմել կառավարման բարելավման պլաններ, մշակել և իրականացնել կոնկրետ գործողությունների պլաններ:</w:t>
            </w:r>
          </w:p>
          <w:p w:rsidR="0084615D" w:rsidRPr="0053423A" w:rsidRDefault="0084615D" w:rsidP="00A67858">
            <w:pPr>
              <w:pStyle w:val="ListParagraph"/>
              <w:tabs>
                <w:tab w:val="left" w:pos="1620"/>
              </w:tabs>
              <w:spacing w:after="0" w:line="276" w:lineRule="auto"/>
              <w:ind w:left="0" w:firstLine="1080"/>
              <w:rPr>
                <w:rFonts w:eastAsia="Times New Roman"/>
                <w:b/>
                <w:sz w:val="20"/>
                <w:szCs w:val="20"/>
                <w:lang w:val="af-ZA"/>
              </w:rPr>
            </w:pPr>
            <w:r w:rsidRPr="0053423A">
              <w:rPr>
                <w:rFonts w:eastAsia="Times New Roman" w:cs="Courier New"/>
                <w:b/>
                <w:sz w:val="20"/>
                <w:szCs w:val="20"/>
                <w:lang w:val="af-ZA"/>
              </w:rPr>
              <w:t>2.</w:t>
            </w:r>
            <w:r w:rsidRPr="0053423A">
              <w:rPr>
                <w:rFonts w:ascii="Calibri" w:eastAsia="Times New Roman" w:hAnsi="Calibri" w:cs="Calibri"/>
                <w:b/>
                <w:sz w:val="20"/>
                <w:szCs w:val="20"/>
                <w:lang w:val="af-ZA"/>
              </w:rPr>
              <w:t> </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իրակացումից</w:t>
            </w:r>
            <w:r w:rsidRPr="0053423A">
              <w:rPr>
                <w:rFonts w:eastAsia="Times New Roman"/>
                <w:b/>
                <w:sz w:val="20"/>
                <w:szCs w:val="20"/>
                <w:lang w:val="af-ZA"/>
              </w:rPr>
              <w:t xml:space="preserve"> </w:t>
            </w:r>
            <w:r w:rsidRPr="0053423A">
              <w:rPr>
                <w:rFonts w:eastAsia="Times New Roman"/>
                <w:b/>
                <w:sz w:val="20"/>
                <w:szCs w:val="20"/>
              </w:rPr>
              <w:t>ակնկալվող</w:t>
            </w:r>
            <w:r w:rsidRPr="0053423A">
              <w:rPr>
                <w:rFonts w:eastAsia="Times New Roman"/>
                <w:b/>
                <w:sz w:val="20"/>
                <w:szCs w:val="20"/>
                <w:lang w:val="af-ZA"/>
              </w:rPr>
              <w:t xml:space="preserve"> </w:t>
            </w:r>
            <w:r w:rsidRPr="0053423A">
              <w:rPr>
                <w:rFonts w:eastAsia="Times New Roman"/>
                <w:b/>
                <w:sz w:val="20"/>
                <w:szCs w:val="20"/>
              </w:rPr>
              <w:t>արդյունքը</w:t>
            </w:r>
          </w:p>
          <w:p w:rsidR="0084615D" w:rsidRPr="0053423A" w:rsidRDefault="0084615D" w:rsidP="00A67858">
            <w:pPr>
              <w:tabs>
                <w:tab w:val="left" w:pos="709"/>
              </w:tabs>
              <w:spacing w:after="0" w:line="276" w:lineRule="auto"/>
              <w:jc w:val="both"/>
              <w:rPr>
                <w:rFonts w:cs="Sylfaen"/>
                <w:sz w:val="20"/>
                <w:szCs w:val="20"/>
                <w:lang w:val="af-ZA"/>
              </w:rPr>
            </w:pPr>
            <w:r w:rsidRPr="0053423A">
              <w:rPr>
                <w:rFonts w:cs="Sylfaen"/>
                <w:sz w:val="20"/>
                <w:szCs w:val="20"/>
                <w:lang w:val="af-ZA"/>
              </w:rPr>
              <w:t>Մատուցվող ծառայությունների որակի բարելավում և գործունեության արդյունավետության, հաշվետվողականության  և թափանցիկության բարձրացում:</w:t>
            </w:r>
          </w:p>
          <w:p w:rsidR="0084615D" w:rsidRPr="0053423A" w:rsidRDefault="0084615D" w:rsidP="00A67858">
            <w:pPr>
              <w:spacing w:after="0" w:line="276" w:lineRule="auto"/>
              <w:jc w:val="center"/>
              <w:rPr>
                <w:rFonts w:cs="Sylfaen"/>
                <w:b/>
                <w:sz w:val="20"/>
                <w:szCs w:val="20"/>
                <w:lang w:val="af-ZA"/>
              </w:rPr>
            </w:pPr>
          </w:p>
        </w:tc>
      </w:tr>
      <w:tr w:rsidR="0084615D" w:rsidRPr="00DE2EFA" w:rsidTr="00844C90">
        <w:tc>
          <w:tcPr>
            <w:tcW w:w="461" w:type="dxa"/>
            <w:shd w:val="clear" w:color="auto" w:fill="auto"/>
          </w:tcPr>
          <w:p w:rsidR="0084615D" w:rsidRPr="0053423A" w:rsidRDefault="0084615D" w:rsidP="00A67858">
            <w:pPr>
              <w:spacing w:after="0" w:line="276" w:lineRule="auto"/>
              <w:jc w:val="center"/>
              <w:rPr>
                <w:rFonts w:eastAsia="Times New Roman"/>
                <w:b/>
                <w:bCs/>
                <w:sz w:val="20"/>
                <w:szCs w:val="20"/>
                <w:lang w:val="hy-AM"/>
              </w:rPr>
            </w:pPr>
            <w:r w:rsidRPr="0053423A">
              <w:rPr>
                <w:rFonts w:eastAsia="Times New Roman"/>
                <w:b/>
                <w:bCs/>
                <w:sz w:val="20"/>
                <w:szCs w:val="20"/>
                <w:lang w:val="hy-AM"/>
              </w:rPr>
              <w:t>23</w:t>
            </w:r>
          </w:p>
        </w:tc>
        <w:tc>
          <w:tcPr>
            <w:tcW w:w="10879" w:type="dxa"/>
            <w:shd w:val="clear" w:color="auto" w:fill="auto"/>
          </w:tcPr>
          <w:p w:rsidR="0084615D" w:rsidRPr="0053423A" w:rsidRDefault="0084615D" w:rsidP="00A67858">
            <w:pPr>
              <w:spacing w:after="0" w:line="276" w:lineRule="auto"/>
              <w:jc w:val="center"/>
              <w:rPr>
                <w:b/>
                <w:color w:val="000000"/>
                <w:sz w:val="20"/>
                <w:szCs w:val="20"/>
                <w:lang w:val="hy-AM"/>
              </w:rPr>
            </w:pPr>
            <w:r w:rsidRPr="0053423A">
              <w:rPr>
                <w:b/>
                <w:color w:val="000000"/>
                <w:sz w:val="20"/>
                <w:szCs w:val="20"/>
                <w:lang w:val="hy-AM"/>
              </w:rPr>
              <w:t>Իրականացնել</w:t>
            </w:r>
            <w:r w:rsidRPr="0053423A">
              <w:rPr>
                <w:b/>
                <w:color w:val="000000"/>
                <w:sz w:val="20"/>
                <w:szCs w:val="20"/>
                <w:lang w:val="af-ZA"/>
              </w:rPr>
              <w:t xml:space="preserve"> </w:t>
            </w:r>
            <w:r w:rsidRPr="0053423A">
              <w:rPr>
                <w:b/>
                <w:color w:val="000000"/>
                <w:sz w:val="20"/>
                <w:szCs w:val="20"/>
                <w:lang w:val="hy-AM"/>
              </w:rPr>
              <w:t>ոռոգման</w:t>
            </w:r>
            <w:r w:rsidRPr="0053423A">
              <w:rPr>
                <w:b/>
                <w:color w:val="000000"/>
                <w:sz w:val="20"/>
                <w:szCs w:val="20"/>
                <w:lang w:val="af-ZA"/>
              </w:rPr>
              <w:t xml:space="preserve"> </w:t>
            </w:r>
            <w:r w:rsidRPr="0053423A">
              <w:rPr>
                <w:b/>
                <w:color w:val="000000"/>
                <w:sz w:val="20"/>
                <w:szCs w:val="20"/>
                <w:lang w:val="hy-AM"/>
              </w:rPr>
              <w:t>մեխանիկական</w:t>
            </w:r>
            <w:r w:rsidRPr="0053423A">
              <w:rPr>
                <w:b/>
                <w:color w:val="000000"/>
                <w:sz w:val="20"/>
                <w:szCs w:val="20"/>
                <w:lang w:val="af-ZA"/>
              </w:rPr>
              <w:t xml:space="preserve"> </w:t>
            </w:r>
            <w:r w:rsidRPr="0053423A">
              <w:rPr>
                <w:b/>
                <w:color w:val="000000"/>
                <w:sz w:val="20"/>
                <w:szCs w:val="20"/>
                <w:lang w:val="hy-AM"/>
              </w:rPr>
              <w:t>համակարգերը</w:t>
            </w:r>
            <w:r w:rsidRPr="0053423A">
              <w:rPr>
                <w:b/>
                <w:color w:val="000000"/>
                <w:sz w:val="20"/>
                <w:szCs w:val="20"/>
                <w:lang w:val="af-ZA"/>
              </w:rPr>
              <w:t xml:space="preserve"> </w:t>
            </w:r>
            <w:r w:rsidRPr="0053423A">
              <w:rPr>
                <w:b/>
                <w:color w:val="000000"/>
                <w:sz w:val="20"/>
                <w:szCs w:val="20"/>
                <w:lang w:val="hy-AM"/>
              </w:rPr>
              <w:t>ոռոգման</w:t>
            </w:r>
            <w:r w:rsidRPr="0053423A">
              <w:rPr>
                <w:b/>
                <w:color w:val="000000"/>
                <w:sz w:val="20"/>
                <w:szCs w:val="20"/>
                <w:lang w:val="af-ZA"/>
              </w:rPr>
              <w:t xml:space="preserve"> </w:t>
            </w:r>
            <w:r w:rsidRPr="0053423A">
              <w:rPr>
                <w:b/>
                <w:color w:val="000000"/>
                <w:sz w:val="20"/>
                <w:szCs w:val="20"/>
                <w:lang w:val="hy-AM"/>
              </w:rPr>
              <w:t>ինքնահոս</w:t>
            </w:r>
            <w:r w:rsidRPr="0053423A">
              <w:rPr>
                <w:b/>
                <w:color w:val="000000"/>
                <w:sz w:val="20"/>
                <w:szCs w:val="20"/>
                <w:lang w:val="af-ZA"/>
              </w:rPr>
              <w:t xml:space="preserve"> </w:t>
            </w:r>
            <w:r w:rsidRPr="0053423A">
              <w:rPr>
                <w:b/>
                <w:color w:val="000000"/>
                <w:sz w:val="20"/>
                <w:szCs w:val="20"/>
                <w:lang w:val="hy-AM"/>
              </w:rPr>
              <w:t>համակարգերով</w:t>
            </w:r>
            <w:r w:rsidRPr="0053423A">
              <w:rPr>
                <w:b/>
                <w:color w:val="000000"/>
                <w:sz w:val="20"/>
                <w:szCs w:val="20"/>
                <w:lang w:val="af-ZA"/>
              </w:rPr>
              <w:t xml:space="preserve"> </w:t>
            </w:r>
            <w:r w:rsidRPr="0053423A">
              <w:rPr>
                <w:b/>
                <w:color w:val="000000"/>
                <w:sz w:val="20"/>
                <w:szCs w:val="20"/>
                <w:lang w:val="hy-AM"/>
              </w:rPr>
              <w:t>փոխարինելու</w:t>
            </w:r>
            <w:r w:rsidRPr="0053423A">
              <w:rPr>
                <w:b/>
                <w:color w:val="000000"/>
                <w:sz w:val="20"/>
                <w:szCs w:val="20"/>
                <w:lang w:val="af-ZA"/>
              </w:rPr>
              <w:t xml:space="preserve"> </w:t>
            </w:r>
            <w:r w:rsidRPr="0053423A">
              <w:rPr>
                <w:b/>
                <w:color w:val="000000"/>
                <w:sz w:val="20"/>
                <w:szCs w:val="20"/>
                <w:lang w:val="hy-AM"/>
              </w:rPr>
              <w:t>քաղաքականություն</w:t>
            </w:r>
          </w:p>
          <w:p w:rsidR="0084615D" w:rsidRPr="0053423A" w:rsidRDefault="0084615D" w:rsidP="00A67858">
            <w:pPr>
              <w:spacing w:after="0" w:line="276" w:lineRule="auto"/>
              <w:jc w:val="center"/>
              <w:rPr>
                <w:b/>
                <w:color w:val="000000"/>
                <w:sz w:val="20"/>
                <w:szCs w:val="20"/>
                <w:lang w:val="hy-AM"/>
              </w:rPr>
            </w:pPr>
          </w:p>
          <w:p w:rsidR="0084615D" w:rsidRPr="0053423A" w:rsidRDefault="0084615D" w:rsidP="00A67858">
            <w:pPr>
              <w:tabs>
                <w:tab w:val="left" w:pos="1170"/>
              </w:tabs>
              <w:spacing w:after="0" w:line="276" w:lineRule="auto"/>
              <w:ind w:left="720"/>
              <w:jc w:val="both"/>
              <w:rPr>
                <w:b/>
                <w:sz w:val="20"/>
                <w:szCs w:val="20"/>
                <w:u w:val="single"/>
                <w:lang w:val="af-ZA"/>
              </w:rPr>
            </w:pPr>
            <w:r w:rsidRPr="0053423A">
              <w:rPr>
                <w:b/>
                <w:sz w:val="20"/>
                <w:szCs w:val="20"/>
                <w:u w:val="single"/>
                <w:lang w:val="af-ZA"/>
              </w:rPr>
              <w:t>23.1 «Ոռոգման համակարգերի զարգացման» ծրագրի իրականացում</w:t>
            </w:r>
          </w:p>
          <w:p w:rsidR="0084615D" w:rsidRPr="0053423A" w:rsidRDefault="0084615D" w:rsidP="00A67858">
            <w:pPr>
              <w:tabs>
                <w:tab w:val="left" w:pos="1170"/>
              </w:tabs>
              <w:spacing w:after="0" w:line="276" w:lineRule="auto"/>
              <w:ind w:left="720"/>
              <w:jc w:val="both"/>
              <w:rPr>
                <w:b/>
                <w:sz w:val="20"/>
                <w:szCs w:val="20"/>
                <w:u w:val="single"/>
                <w:lang w:val="af-ZA"/>
              </w:rPr>
            </w:pPr>
            <w:r w:rsidRPr="0053423A">
              <w:rPr>
                <w:b/>
                <w:sz w:val="20"/>
                <w:szCs w:val="20"/>
                <w:u w:val="single"/>
                <w:lang w:val="af-ZA"/>
              </w:rPr>
              <w:t>23.2 «Ոռոգման համակարգերի արդիականացում» ծրագրի իրականացում</w:t>
            </w:r>
          </w:p>
          <w:p w:rsidR="0084615D" w:rsidRPr="0053423A" w:rsidRDefault="0084615D" w:rsidP="00A67858">
            <w:pPr>
              <w:spacing w:after="0" w:line="276" w:lineRule="auto"/>
              <w:ind w:firstLine="810"/>
              <w:jc w:val="both"/>
              <w:rPr>
                <w:b/>
                <w:i/>
                <w:sz w:val="20"/>
                <w:szCs w:val="20"/>
                <w:u w:val="single"/>
                <w:lang w:val="hy-AM"/>
              </w:rPr>
            </w:pPr>
          </w:p>
          <w:p w:rsidR="0084615D" w:rsidRPr="0053423A" w:rsidRDefault="0084615D" w:rsidP="00A67858">
            <w:pPr>
              <w:pStyle w:val="ListParagraph"/>
              <w:tabs>
                <w:tab w:val="left" w:pos="810"/>
              </w:tabs>
              <w:spacing w:after="0" w:line="276" w:lineRule="auto"/>
              <w:ind w:left="0" w:firstLine="1080"/>
              <w:rPr>
                <w:b/>
                <w:sz w:val="20"/>
                <w:szCs w:val="20"/>
                <w:lang w:val="af-ZA"/>
              </w:rPr>
            </w:pPr>
            <w:r w:rsidRPr="0053423A">
              <w:rPr>
                <w:rFonts w:cs="Courier New"/>
                <w:b/>
                <w:sz w:val="20"/>
                <w:szCs w:val="20"/>
                <w:lang w:val="af-ZA"/>
              </w:rPr>
              <w:t>1</w:t>
            </w:r>
            <w:r w:rsidRPr="0053423A">
              <w:rPr>
                <w:rFonts w:eastAsia="Times New Roman" w:cs="Courier New"/>
                <w:b/>
                <w:sz w:val="20"/>
                <w:szCs w:val="20"/>
                <w:lang w:val="af-ZA"/>
              </w:rPr>
              <w:t>.</w:t>
            </w:r>
            <w:r w:rsidRPr="0053423A">
              <w:rPr>
                <w:rFonts w:ascii="Calibri" w:eastAsia="Times New Roman" w:hAnsi="Calibri" w:cs="Calibri"/>
                <w:b/>
                <w:sz w:val="20"/>
                <w:szCs w:val="20"/>
                <w:lang w:val="af-ZA"/>
              </w:rPr>
              <w:t> </w:t>
            </w:r>
            <w:r w:rsidRPr="0053423A">
              <w:rPr>
                <w:rFonts w:eastAsia="Times New Roman"/>
                <w:b/>
                <w:sz w:val="20"/>
                <w:szCs w:val="20"/>
                <w:lang w:val="hy-AM"/>
              </w:rPr>
              <w:t>Միջոցառման</w:t>
            </w:r>
            <w:r w:rsidRPr="0053423A">
              <w:rPr>
                <w:rFonts w:eastAsia="Times New Roman"/>
                <w:b/>
                <w:sz w:val="20"/>
                <w:szCs w:val="20"/>
                <w:lang w:val="af-ZA"/>
              </w:rPr>
              <w:t xml:space="preserve"> </w:t>
            </w:r>
            <w:r w:rsidRPr="0053423A">
              <w:rPr>
                <w:rFonts w:eastAsia="Times New Roman"/>
                <w:b/>
                <w:sz w:val="20"/>
                <w:szCs w:val="20"/>
                <w:lang w:val="hy-AM"/>
              </w:rPr>
              <w:t>իրականացման</w:t>
            </w:r>
            <w:r w:rsidRPr="0053423A">
              <w:rPr>
                <w:rFonts w:eastAsia="Times New Roman"/>
                <w:b/>
                <w:sz w:val="20"/>
                <w:szCs w:val="20"/>
                <w:lang w:val="af-ZA"/>
              </w:rPr>
              <w:t xml:space="preserve"> </w:t>
            </w:r>
            <w:r w:rsidRPr="0053423A">
              <w:rPr>
                <w:rFonts w:eastAsia="Times New Roma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նպատակը</w:t>
            </w:r>
          </w:p>
          <w:p w:rsidR="0084615D" w:rsidRPr="0053423A" w:rsidRDefault="0084615D" w:rsidP="00A67858">
            <w:pPr>
              <w:tabs>
                <w:tab w:val="num" w:pos="720"/>
              </w:tabs>
              <w:spacing w:after="0" w:line="276" w:lineRule="auto"/>
              <w:jc w:val="both"/>
              <w:rPr>
                <w:rFonts w:cs="Sylfaen"/>
                <w:sz w:val="20"/>
                <w:szCs w:val="20"/>
                <w:lang w:val="af-ZA"/>
              </w:rPr>
            </w:pPr>
            <w:r w:rsidRPr="0053423A">
              <w:rPr>
                <w:rFonts w:cs="Sylfaen"/>
                <w:sz w:val="20"/>
                <w:szCs w:val="20"/>
                <w:lang w:val="af-ZA"/>
              </w:rPr>
              <w:t>Միջոցառման իրականացման անհրաժեշտությունը պայմանավորված է ոռոգման ջրամատակարարման համակարգերի շահագործման հուսալիությամբ ու արդյունավետության բարձրացմամբ: Միջոցառման իրականացման հիմք է հանդիսանում «</w:t>
            </w:r>
            <w:r w:rsidRPr="0053423A">
              <w:rPr>
                <w:rFonts w:cs="Sylfaen"/>
                <w:sz w:val="20"/>
                <w:szCs w:val="20"/>
                <w:lang w:val="hy-AM"/>
              </w:rPr>
              <w:t>ՀՀ</w:t>
            </w:r>
            <w:r w:rsidRPr="0053423A">
              <w:rPr>
                <w:rFonts w:cs="Sylfaen"/>
                <w:sz w:val="20"/>
                <w:szCs w:val="20"/>
                <w:lang w:val="af-ZA"/>
              </w:rPr>
              <w:t xml:space="preserve"> </w:t>
            </w:r>
            <w:r w:rsidRPr="0053423A">
              <w:rPr>
                <w:rFonts w:cs="Sylfaen"/>
                <w:sz w:val="20"/>
                <w:szCs w:val="20"/>
                <w:lang w:val="hy-AM"/>
              </w:rPr>
              <w:t>ջրի</w:t>
            </w:r>
            <w:r w:rsidRPr="0053423A">
              <w:rPr>
                <w:rFonts w:cs="Sylfaen"/>
                <w:sz w:val="20"/>
                <w:szCs w:val="20"/>
                <w:lang w:val="af-ZA"/>
              </w:rPr>
              <w:t xml:space="preserve"> </w:t>
            </w:r>
            <w:r w:rsidRPr="0053423A">
              <w:rPr>
                <w:rFonts w:cs="Sylfaen"/>
                <w:sz w:val="20"/>
                <w:szCs w:val="20"/>
                <w:lang w:val="hy-AM"/>
              </w:rPr>
              <w:t>ազգային</w:t>
            </w:r>
            <w:r w:rsidRPr="0053423A">
              <w:rPr>
                <w:rFonts w:cs="Sylfaen"/>
                <w:sz w:val="20"/>
                <w:szCs w:val="20"/>
                <w:lang w:val="af-ZA"/>
              </w:rPr>
              <w:t xml:space="preserve"> </w:t>
            </w:r>
            <w:r w:rsidRPr="0053423A">
              <w:rPr>
                <w:rFonts w:cs="Sylfaen"/>
                <w:sz w:val="20"/>
                <w:szCs w:val="20"/>
                <w:lang w:val="hy-AM"/>
              </w:rPr>
              <w:t>ծրագրի</w:t>
            </w:r>
            <w:r w:rsidRPr="0053423A">
              <w:rPr>
                <w:rFonts w:cs="Sylfaen"/>
                <w:sz w:val="20"/>
                <w:szCs w:val="20"/>
                <w:lang w:val="af-ZA"/>
              </w:rPr>
              <w:t xml:space="preserve"> </w:t>
            </w:r>
            <w:r w:rsidRPr="0053423A">
              <w:rPr>
                <w:rFonts w:cs="Sylfaen"/>
                <w:sz w:val="20"/>
                <w:szCs w:val="20"/>
                <w:lang w:val="hy-AM"/>
              </w:rPr>
              <w:t>մասին</w:t>
            </w:r>
            <w:r w:rsidRPr="0053423A">
              <w:rPr>
                <w:rFonts w:cs="Sylfaen"/>
                <w:sz w:val="20"/>
                <w:szCs w:val="20"/>
                <w:lang w:val="af-ZA"/>
              </w:rPr>
              <w:t xml:space="preserve">» </w:t>
            </w:r>
            <w:r w:rsidRPr="0053423A">
              <w:rPr>
                <w:rFonts w:cs="Sylfaen"/>
                <w:sz w:val="20"/>
                <w:szCs w:val="20"/>
                <w:lang w:val="af-ZA"/>
              </w:rPr>
              <w:br/>
            </w:r>
            <w:r w:rsidRPr="0053423A">
              <w:rPr>
                <w:rFonts w:cs="Sylfaen"/>
                <w:sz w:val="20"/>
                <w:szCs w:val="20"/>
                <w:lang w:val="hy-AM"/>
              </w:rPr>
              <w:t>ՀՀ</w:t>
            </w:r>
            <w:r w:rsidRPr="0053423A">
              <w:rPr>
                <w:rFonts w:cs="Sylfaen"/>
                <w:sz w:val="20"/>
                <w:szCs w:val="20"/>
                <w:lang w:val="af-ZA"/>
              </w:rPr>
              <w:t xml:space="preserve"> </w:t>
            </w:r>
            <w:r w:rsidRPr="0053423A">
              <w:rPr>
                <w:rFonts w:cs="Sylfaen"/>
                <w:sz w:val="20"/>
                <w:szCs w:val="20"/>
                <w:lang w:val="hy-AM"/>
              </w:rPr>
              <w:t>օրենքի</w:t>
            </w:r>
            <w:r w:rsidRPr="0053423A">
              <w:rPr>
                <w:rFonts w:cs="Sylfaen"/>
                <w:sz w:val="20"/>
                <w:szCs w:val="20"/>
                <w:lang w:val="af-ZA"/>
              </w:rPr>
              <w:t xml:space="preserve"> 29-</w:t>
            </w:r>
            <w:r w:rsidRPr="0053423A">
              <w:rPr>
                <w:rFonts w:cs="Sylfaen"/>
                <w:sz w:val="20"/>
                <w:szCs w:val="20"/>
                <w:lang w:val="hy-AM"/>
              </w:rPr>
              <w:t>րդ</w:t>
            </w:r>
            <w:r w:rsidRPr="0053423A">
              <w:rPr>
                <w:rFonts w:cs="Sylfaen"/>
                <w:sz w:val="20"/>
                <w:szCs w:val="20"/>
                <w:lang w:val="af-ZA"/>
              </w:rPr>
              <w:t xml:space="preserve"> </w:t>
            </w:r>
            <w:r w:rsidRPr="0053423A">
              <w:rPr>
                <w:rFonts w:cs="Sylfaen"/>
                <w:sz w:val="20"/>
                <w:szCs w:val="20"/>
                <w:lang w:val="hy-AM"/>
              </w:rPr>
              <w:t>հոդվածը</w:t>
            </w:r>
            <w:r w:rsidRPr="0053423A">
              <w:rPr>
                <w:rFonts w:cs="Sylfaen"/>
                <w:sz w:val="20"/>
                <w:szCs w:val="20"/>
                <w:lang w:val="af-ZA"/>
              </w:rPr>
              <w:t xml:space="preserve">, </w:t>
            </w:r>
            <w:r w:rsidRPr="0053423A">
              <w:rPr>
                <w:rFonts w:cs="Sylfaen"/>
                <w:sz w:val="20"/>
                <w:szCs w:val="20"/>
                <w:lang w:val="hy-AM"/>
              </w:rPr>
              <w:t>որով</w:t>
            </w:r>
            <w:r w:rsidRPr="0053423A">
              <w:rPr>
                <w:rFonts w:cs="Sylfaen"/>
                <w:sz w:val="20"/>
                <w:szCs w:val="20"/>
                <w:lang w:val="af-ZA"/>
              </w:rPr>
              <w:t xml:space="preserve"> </w:t>
            </w:r>
            <w:r w:rsidRPr="0053423A">
              <w:rPr>
                <w:rFonts w:cs="Sylfaen"/>
                <w:sz w:val="20"/>
                <w:szCs w:val="20"/>
                <w:lang w:val="hy-AM"/>
              </w:rPr>
              <w:t>սահմանված</w:t>
            </w:r>
            <w:r w:rsidRPr="0053423A">
              <w:rPr>
                <w:rFonts w:cs="Sylfaen"/>
                <w:sz w:val="20"/>
                <w:szCs w:val="20"/>
                <w:lang w:val="af-ZA"/>
              </w:rPr>
              <w:t xml:space="preserve"> </w:t>
            </w:r>
            <w:r w:rsidRPr="0053423A">
              <w:rPr>
                <w:rFonts w:cs="Sylfaen"/>
                <w:sz w:val="20"/>
                <w:szCs w:val="20"/>
                <w:lang w:val="hy-AM"/>
              </w:rPr>
              <w:t>է</w:t>
            </w:r>
            <w:r w:rsidRPr="0053423A">
              <w:rPr>
                <w:rFonts w:cs="Sylfaen"/>
                <w:sz w:val="20"/>
                <w:szCs w:val="20"/>
                <w:lang w:val="af-ZA"/>
              </w:rPr>
              <w:t xml:space="preserve"> </w:t>
            </w:r>
            <w:r w:rsidRPr="0053423A">
              <w:rPr>
                <w:rFonts w:cs="Sylfaen"/>
                <w:sz w:val="20"/>
                <w:szCs w:val="20"/>
                <w:lang w:val="hy-AM"/>
              </w:rPr>
              <w:t>ջրային</w:t>
            </w:r>
            <w:r w:rsidRPr="0053423A">
              <w:rPr>
                <w:rFonts w:cs="Sylfaen"/>
                <w:sz w:val="20"/>
                <w:szCs w:val="20"/>
                <w:lang w:val="af-ZA"/>
              </w:rPr>
              <w:t xml:space="preserve"> </w:t>
            </w:r>
            <w:r w:rsidRPr="0053423A">
              <w:rPr>
                <w:rFonts w:cs="Sylfaen"/>
                <w:sz w:val="20"/>
                <w:szCs w:val="20"/>
                <w:lang w:val="hy-AM"/>
              </w:rPr>
              <w:t>ռեսուրսների</w:t>
            </w:r>
            <w:r w:rsidRPr="0053423A">
              <w:rPr>
                <w:rFonts w:cs="Sylfaen"/>
                <w:sz w:val="20"/>
                <w:szCs w:val="20"/>
                <w:lang w:val="af-ZA"/>
              </w:rPr>
              <w:t xml:space="preserve"> </w:t>
            </w:r>
            <w:r w:rsidRPr="0053423A">
              <w:rPr>
                <w:rFonts w:cs="Sylfaen"/>
                <w:sz w:val="20"/>
                <w:szCs w:val="20"/>
                <w:lang w:val="hy-AM"/>
              </w:rPr>
              <w:t>մատչելիության</w:t>
            </w:r>
            <w:r w:rsidRPr="0053423A">
              <w:rPr>
                <w:rFonts w:cs="Sylfaen"/>
                <w:sz w:val="20"/>
                <w:szCs w:val="20"/>
                <w:lang w:val="af-ZA"/>
              </w:rPr>
              <w:t xml:space="preserve"> </w:t>
            </w:r>
            <w:r w:rsidRPr="0053423A">
              <w:rPr>
                <w:rFonts w:cs="Sylfaen"/>
                <w:sz w:val="20"/>
                <w:szCs w:val="20"/>
                <w:lang w:val="hy-AM"/>
              </w:rPr>
              <w:t>ապահովման</w:t>
            </w:r>
            <w:r w:rsidRPr="0053423A">
              <w:rPr>
                <w:rFonts w:cs="Sylfaen"/>
                <w:sz w:val="20"/>
                <w:szCs w:val="20"/>
                <w:lang w:val="af-ZA"/>
              </w:rPr>
              <w:t xml:space="preserve"> </w:t>
            </w:r>
            <w:r w:rsidRPr="0053423A">
              <w:rPr>
                <w:rFonts w:cs="Sylfaen"/>
                <w:sz w:val="20"/>
                <w:szCs w:val="20"/>
                <w:lang w:val="hy-AM"/>
              </w:rPr>
              <w:t>ուղղությունները</w:t>
            </w:r>
            <w:r w:rsidRPr="0053423A">
              <w:rPr>
                <w:rFonts w:cs="Sylfaen"/>
                <w:sz w:val="20"/>
                <w:szCs w:val="20"/>
                <w:lang w:val="af-ZA"/>
              </w:rPr>
              <w:t>:</w:t>
            </w:r>
          </w:p>
          <w:p w:rsidR="0084615D" w:rsidRPr="0053423A" w:rsidRDefault="00795500" w:rsidP="001F6D5D">
            <w:pPr>
              <w:pStyle w:val="ListParagraph"/>
              <w:numPr>
                <w:ilvl w:val="1"/>
                <w:numId w:val="296"/>
              </w:numPr>
              <w:tabs>
                <w:tab w:val="left" w:pos="900"/>
                <w:tab w:val="left" w:pos="1620"/>
              </w:tabs>
              <w:spacing w:after="0" w:line="276" w:lineRule="auto"/>
              <w:rPr>
                <w:rFonts w:eastAsia="Times New Roman"/>
                <w:b/>
                <w:sz w:val="20"/>
                <w:szCs w:val="20"/>
                <w:lang w:val="af-ZA"/>
              </w:rPr>
            </w:pPr>
            <w:r w:rsidRPr="0053423A">
              <w:rPr>
                <w:rFonts w:eastAsia="Times New Roman"/>
                <w:b/>
                <w:sz w:val="20"/>
                <w:szCs w:val="20"/>
                <w:lang w:val="ru-RU"/>
              </w:rPr>
              <w:t>Կ</w:t>
            </w:r>
            <w:r w:rsidR="0084615D" w:rsidRPr="0053423A">
              <w:rPr>
                <w:rFonts w:eastAsia="Times New Roman"/>
                <w:b/>
                <w:sz w:val="20"/>
                <w:szCs w:val="20"/>
              </w:rPr>
              <w:t>արգավորման</w:t>
            </w:r>
            <w:r w:rsidR="0084615D" w:rsidRPr="0053423A">
              <w:rPr>
                <w:rFonts w:eastAsia="Times New Roman"/>
                <w:b/>
                <w:sz w:val="20"/>
                <w:szCs w:val="20"/>
                <w:lang w:val="af-ZA"/>
              </w:rPr>
              <w:t xml:space="preserve"> </w:t>
            </w:r>
            <w:r w:rsidR="0084615D" w:rsidRPr="0053423A">
              <w:rPr>
                <w:rFonts w:eastAsia="Times New Roman"/>
                <w:b/>
                <w:sz w:val="20"/>
                <w:szCs w:val="20"/>
              </w:rPr>
              <w:t>հարաբերությունների</w:t>
            </w:r>
            <w:r w:rsidR="0084615D" w:rsidRPr="0053423A">
              <w:rPr>
                <w:rFonts w:eastAsia="Times New Roman"/>
                <w:b/>
                <w:sz w:val="20"/>
                <w:szCs w:val="20"/>
                <w:lang w:val="af-ZA"/>
              </w:rPr>
              <w:t xml:space="preserve"> </w:t>
            </w:r>
            <w:r w:rsidR="0084615D" w:rsidRPr="0053423A">
              <w:rPr>
                <w:rFonts w:eastAsia="Times New Roman"/>
                <w:b/>
                <w:sz w:val="20"/>
                <w:szCs w:val="20"/>
              </w:rPr>
              <w:t>ներկա</w:t>
            </w:r>
            <w:r w:rsidR="0084615D" w:rsidRPr="0053423A">
              <w:rPr>
                <w:rFonts w:eastAsia="Times New Roman"/>
                <w:b/>
                <w:sz w:val="20"/>
                <w:szCs w:val="20"/>
                <w:lang w:val="af-ZA"/>
              </w:rPr>
              <w:t xml:space="preserve"> </w:t>
            </w:r>
            <w:r w:rsidR="0084615D" w:rsidRPr="0053423A">
              <w:rPr>
                <w:rFonts w:eastAsia="Times New Roman"/>
                <w:b/>
                <w:sz w:val="20"/>
                <w:szCs w:val="20"/>
              </w:rPr>
              <w:t>վիճակը</w:t>
            </w:r>
            <w:r w:rsidR="0084615D" w:rsidRPr="0053423A">
              <w:rPr>
                <w:rFonts w:eastAsia="Times New Roman"/>
                <w:b/>
                <w:sz w:val="20"/>
                <w:szCs w:val="20"/>
                <w:lang w:val="af-ZA"/>
              </w:rPr>
              <w:t xml:space="preserve"> </w:t>
            </w:r>
            <w:r w:rsidR="0084615D" w:rsidRPr="0053423A">
              <w:rPr>
                <w:rFonts w:eastAsia="Times New Roman"/>
                <w:b/>
                <w:sz w:val="20"/>
                <w:szCs w:val="20"/>
              </w:rPr>
              <w:t>և</w:t>
            </w:r>
            <w:r w:rsidR="0084615D" w:rsidRPr="0053423A">
              <w:rPr>
                <w:rFonts w:eastAsia="Times New Roman"/>
                <w:b/>
                <w:sz w:val="20"/>
                <w:szCs w:val="20"/>
                <w:lang w:val="af-ZA"/>
              </w:rPr>
              <w:t xml:space="preserve"> </w:t>
            </w:r>
            <w:r w:rsidR="0084615D" w:rsidRPr="0053423A">
              <w:rPr>
                <w:rFonts w:eastAsia="Times New Roman"/>
                <w:b/>
                <w:sz w:val="20"/>
                <w:szCs w:val="20"/>
              </w:rPr>
              <w:t>առկա</w:t>
            </w:r>
            <w:r w:rsidR="0084615D" w:rsidRPr="0053423A">
              <w:rPr>
                <w:rFonts w:eastAsia="Times New Roman"/>
                <w:b/>
                <w:sz w:val="20"/>
                <w:szCs w:val="20"/>
                <w:lang w:val="af-ZA"/>
              </w:rPr>
              <w:t xml:space="preserve"> </w:t>
            </w:r>
            <w:r w:rsidR="0084615D" w:rsidRPr="0053423A">
              <w:rPr>
                <w:rFonts w:eastAsia="Times New Roman"/>
                <w:b/>
                <w:sz w:val="20"/>
                <w:szCs w:val="20"/>
              </w:rPr>
              <w:t>խնդիրները</w:t>
            </w:r>
          </w:p>
          <w:p w:rsidR="0084615D" w:rsidRPr="0053423A" w:rsidRDefault="0084615D" w:rsidP="00A67858">
            <w:pPr>
              <w:spacing w:after="0" w:line="276" w:lineRule="auto"/>
              <w:jc w:val="both"/>
              <w:rPr>
                <w:rFonts w:cs="Sylfaen"/>
                <w:sz w:val="20"/>
                <w:szCs w:val="20"/>
                <w:lang w:val="af-ZA"/>
              </w:rPr>
            </w:pPr>
            <w:r w:rsidRPr="0053423A">
              <w:rPr>
                <w:rFonts w:cs="Sylfaen"/>
                <w:sz w:val="20"/>
                <w:szCs w:val="20"/>
                <w:lang w:val="af-ZA"/>
              </w:rPr>
              <w:t>Ներկայումս ոռոգման համակարգերի մայր, միջտնտեսային և ներտնտեսային ջրանցքներում առկա են վթարային հատվածներ: Համակարգում առկա են նաև ջրամատակարարման մեխանիկական ենթահամակարգեր, որոնք նպատակահարմար է արդիականացնել կամ հնարավորության դեպքում փոխարինել ինքնահոսով:</w:t>
            </w:r>
          </w:p>
          <w:p w:rsidR="0084615D" w:rsidRPr="0053423A" w:rsidRDefault="0084615D" w:rsidP="00A67858">
            <w:pPr>
              <w:pStyle w:val="ListParagraph"/>
              <w:tabs>
                <w:tab w:val="left" w:pos="900"/>
              </w:tabs>
              <w:spacing w:after="0" w:line="276" w:lineRule="auto"/>
              <w:ind w:left="0" w:firstLine="1080"/>
              <w:rPr>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w:t>
            </w:r>
            <w:r w:rsidR="00795500" w:rsidRPr="0053423A">
              <w:rPr>
                <w:rFonts w:eastAsia="Times New Roman"/>
                <w:b/>
                <w:sz w:val="20"/>
                <w:szCs w:val="20"/>
                <w:lang w:val="ru-RU"/>
              </w:rPr>
              <w:t>Ա</w:t>
            </w:r>
            <w:r w:rsidRPr="0053423A">
              <w:rPr>
                <w:rFonts w:eastAsia="Times New Roman"/>
                <w:b/>
                <w:sz w:val="20"/>
                <w:szCs w:val="20"/>
              </w:rPr>
              <w:t>ռկա</w:t>
            </w:r>
            <w:r w:rsidRPr="0053423A">
              <w:rPr>
                <w:rFonts w:eastAsia="Times New Roman"/>
                <w:b/>
                <w:sz w:val="20"/>
                <w:szCs w:val="20"/>
                <w:lang w:val="af-ZA"/>
              </w:rPr>
              <w:t xml:space="preserve"> </w:t>
            </w:r>
            <w:r w:rsidRPr="0053423A">
              <w:rPr>
                <w:rFonts w:eastAsia="Times New Roman"/>
                <w:b/>
                <w:sz w:val="20"/>
                <w:szCs w:val="20"/>
              </w:rPr>
              <w:t>խնդիրների</w:t>
            </w:r>
            <w:r w:rsidRPr="0053423A">
              <w:rPr>
                <w:rFonts w:eastAsia="Times New Roman"/>
                <w:b/>
                <w:sz w:val="20"/>
                <w:szCs w:val="20"/>
                <w:lang w:val="af-ZA"/>
              </w:rPr>
              <w:t xml:space="preserve"> </w:t>
            </w:r>
            <w:r w:rsidRPr="0053423A">
              <w:rPr>
                <w:rFonts w:eastAsia="Times New Roman"/>
                <w:b/>
                <w:sz w:val="20"/>
                <w:szCs w:val="20"/>
              </w:rPr>
              <w:t>առաջարկվող</w:t>
            </w:r>
            <w:r w:rsidRPr="0053423A">
              <w:rPr>
                <w:rFonts w:eastAsia="Times New Roman"/>
                <w:b/>
                <w:sz w:val="20"/>
                <w:szCs w:val="20"/>
                <w:lang w:val="af-ZA"/>
              </w:rPr>
              <w:t xml:space="preserve"> </w:t>
            </w:r>
            <w:r w:rsidRPr="0053423A">
              <w:rPr>
                <w:rFonts w:eastAsia="Times New Roman"/>
                <w:b/>
                <w:sz w:val="20"/>
                <w:szCs w:val="20"/>
              </w:rPr>
              <w:t>լուծումները</w:t>
            </w:r>
          </w:p>
          <w:p w:rsidR="0084615D" w:rsidRPr="0053423A" w:rsidRDefault="0084615D" w:rsidP="00A67858">
            <w:pPr>
              <w:spacing w:after="0" w:line="276" w:lineRule="auto"/>
              <w:jc w:val="both"/>
              <w:rPr>
                <w:rFonts w:cs="Sylfaen"/>
                <w:sz w:val="20"/>
                <w:szCs w:val="20"/>
                <w:lang w:val="af-ZA"/>
              </w:rPr>
            </w:pPr>
            <w:r w:rsidRPr="0053423A">
              <w:rPr>
                <w:rFonts w:cs="Sylfaen"/>
                <w:sz w:val="20"/>
                <w:szCs w:val="20"/>
                <w:lang w:val="af-ZA"/>
              </w:rPr>
              <w:t>Անհրաժեշտ է կատարել վերանորոգման և վերականգնման աշխատանքներ, համակարգը դարձնելով անխափան և հուսալի:</w:t>
            </w:r>
          </w:p>
          <w:p w:rsidR="0084615D" w:rsidRPr="0053423A" w:rsidRDefault="0084615D" w:rsidP="00A67858">
            <w:pPr>
              <w:pStyle w:val="ListParagraph"/>
              <w:tabs>
                <w:tab w:val="left" w:pos="1620"/>
              </w:tabs>
              <w:spacing w:after="0" w:line="276" w:lineRule="auto"/>
              <w:ind w:left="0" w:firstLine="1080"/>
              <w:rPr>
                <w:b/>
                <w:sz w:val="20"/>
                <w:szCs w:val="20"/>
                <w:lang w:val="af-ZA"/>
              </w:rPr>
            </w:pPr>
            <w:r w:rsidRPr="0053423A">
              <w:rPr>
                <w:rFonts w:eastAsia="Times New Roman" w:cs="Courier New"/>
                <w:b/>
                <w:sz w:val="20"/>
                <w:szCs w:val="20"/>
                <w:lang w:val="af-ZA"/>
              </w:rPr>
              <w:t>2.</w:t>
            </w:r>
            <w:r w:rsidRPr="0053423A">
              <w:rPr>
                <w:rFonts w:ascii="Calibri" w:eastAsia="Times New Roman" w:hAnsi="Calibri" w:cs="Calibri"/>
                <w:b/>
                <w:sz w:val="20"/>
                <w:szCs w:val="20"/>
                <w:lang w:val="af-ZA"/>
              </w:rPr>
              <w:t> </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իրակացումից</w:t>
            </w:r>
            <w:r w:rsidRPr="0053423A">
              <w:rPr>
                <w:rFonts w:eastAsia="Times New Roman"/>
                <w:b/>
                <w:sz w:val="20"/>
                <w:szCs w:val="20"/>
                <w:lang w:val="af-ZA"/>
              </w:rPr>
              <w:t xml:space="preserve"> </w:t>
            </w:r>
            <w:r w:rsidRPr="0053423A">
              <w:rPr>
                <w:rFonts w:eastAsia="Times New Roman"/>
                <w:b/>
                <w:sz w:val="20"/>
                <w:szCs w:val="20"/>
              </w:rPr>
              <w:t>ակնկալվող</w:t>
            </w:r>
            <w:r w:rsidRPr="0053423A">
              <w:rPr>
                <w:rFonts w:eastAsia="Times New Roman"/>
                <w:b/>
                <w:sz w:val="20"/>
                <w:szCs w:val="20"/>
                <w:lang w:val="af-ZA"/>
              </w:rPr>
              <w:t xml:space="preserve"> </w:t>
            </w:r>
            <w:r w:rsidRPr="0053423A">
              <w:rPr>
                <w:rFonts w:eastAsia="Times New Roman"/>
                <w:b/>
                <w:sz w:val="20"/>
                <w:szCs w:val="20"/>
              </w:rPr>
              <w:t>արդյունքը</w:t>
            </w:r>
          </w:p>
          <w:p w:rsidR="0084615D" w:rsidRPr="0053423A" w:rsidRDefault="0084615D" w:rsidP="00A67858">
            <w:pPr>
              <w:tabs>
                <w:tab w:val="left" w:pos="709"/>
              </w:tabs>
              <w:spacing w:after="0" w:line="276" w:lineRule="auto"/>
              <w:jc w:val="both"/>
              <w:rPr>
                <w:b/>
                <w:i/>
                <w:sz w:val="20"/>
                <w:szCs w:val="20"/>
                <w:u w:val="single"/>
                <w:lang w:val="af-ZA"/>
              </w:rPr>
            </w:pPr>
            <w:r w:rsidRPr="0053423A">
              <w:rPr>
                <w:rFonts w:cs="Sylfaen"/>
                <w:sz w:val="20"/>
                <w:szCs w:val="20"/>
                <w:lang w:val="af-ZA"/>
              </w:rPr>
              <w:t>Ոռոգման համակարգերի շահագործման հուսալիության և արդյունավետության բարձրացմանն ուղղված միջոցառումները կապահովեն ոռոգման համակարգերի վերականգնումը և հետագա պահպանումը: Միաժամանակ՝ ինքնահոս համակարգերի, հեռացնող ջրանցքների և ջրատարների կառուցմամբ ու նորոգմամբ հնարավորություն կստեղծվի իրականացնելու ինքնարժեքի նվազեցման քաղաքականություն:</w:t>
            </w:r>
          </w:p>
          <w:p w:rsidR="0084615D" w:rsidRPr="0053423A" w:rsidRDefault="0084615D" w:rsidP="00A67858">
            <w:pPr>
              <w:spacing w:after="0" w:line="276" w:lineRule="auto"/>
              <w:jc w:val="center"/>
              <w:rPr>
                <w:rFonts w:cs="GHEA Grapalat"/>
                <w:b/>
                <w:sz w:val="20"/>
                <w:szCs w:val="20"/>
                <w:lang w:val="af-ZA"/>
              </w:rPr>
            </w:pPr>
          </w:p>
        </w:tc>
      </w:tr>
      <w:tr w:rsidR="00626D24" w:rsidRPr="00DE2EFA" w:rsidTr="00844C90">
        <w:tc>
          <w:tcPr>
            <w:tcW w:w="461" w:type="dxa"/>
            <w:shd w:val="clear" w:color="auto" w:fill="auto"/>
          </w:tcPr>
          <w:p w:rsidR="00626D24" w:rsidRPr="0053423A" w:rsidRDefault="00626D24" w:rsidP="00A67858">
            <w:pPr>
              <w:spacing w:after="0" w:line="276" w:lineRule="auto"/>
              <w:jc w:val="center"/>
              <w:rPr>
                <w:rFonts w:eastAsia="Times New Roman"/>
                <w:b/>
                <w:bCs/>
                <w:sz w:val="20"/>
                <w:szCs w:val="20"/>
                <w:lang w:val="hy-AM"/>
              </w:rPr>
            </w:pPr>
            <w:r>
              <w:rPr>
                <w:rFonts w:eastAsia="Times New Roman"/>
                <w:b/>
                <w:bCs/>
                <w:sz w:val="20"/>
                <w:szCs w:val="20"/>
                <w:lang w:val="hy-AM"/>
              </w:rPr>
              <w:t>24</w:t>
            </w:r>
          </w:p>
        </w:tc>
        <w:tc>
          <w:tcPr>
            <w:tcW w:w="10879" w:type="dxa"/>
            <w:shd w:val="clear" w:color="auto" w:fill="auto"/>
          </w:tcPr>
          <w:p w:rsidR="00626D24" w:rsidRPr="00626D24" w:rsidRDefault="00626D24" w:rsidP="00626D24">
            <w:pPr>
              <w:tabs>
                <w:tab w:val="left" w:pos="500"/>
              </w:tabs>
              <w:spacing w:after="0" w:line="240" w:lineRule="auto"/>
              <w:ind w:right="59"/>
              <w:jc w:val="center"/>
              <w:rPr>
                <w:rFonts w:cs="Sylfaen"/>
                <w:b/>
                <w:sz w:val="20"/>
                <w:szCs w:val="20"/>
                <w:lang w:val="af-ZA"/>
              </w:rPr>
            </w:pPr>
            <w:r w:rsidRPr="00626D24">
              <w:rPr>
                <w:rFonts w:cs="Sylfaen"/>
                <w:b/>
                <w:sz w:val="20"/>
                <w:szCs w:val="20"/>
                <w:lang w:val="hy-AM"/>
              </w:rPr>
              <w:t>Ջրամբարաշինության ծրագրերի հեռանկարային</w:t>
            </w:r>
            <w:r w:rsidRPr="00626D24">
              <w:rPr>
                <w:rFonts w:cs="Sylfaen"/>
                <w:b/>
                <w:sz w:val="20"/>
                <w:szCs w:val="20"/>
                <w:lang w:val="af-ZA"/>
              </w:rPr>
              <w:t xml:space="preserve"> </w:t>
            </w:r>
            <w:r w:rsidRPr="00626D24">
              <w:rPr>
                <w:rFonts w:cs="Sylfaen"/>
                <w:b/>
                <w:sz w:val="20"/>
                <w:szCs w:val="20"/>
                <w:lang w:val="hy-AM"/>
              </w:rPr>
              <w:t>զարգացման</w:t>
            </w:r>
            <w:r w:rsidRPr="00626D24">
              <w:rPr>
                <w:rFonts w:cs="Sylfaen"/>
                <w:b/>
                <w:sz w:val="20"/>
                <w:szCs w:val="20"/>
                <w:lang w:val="af-ZA"/>
              </w:rPr>
              <w:t xml:space="preserve"> </w:t>
            </w:r>
            <w:r w:rsidRPr="00626D24">
              <w:rPr>
                <w:rFonts w:cs="Sylfaen"/>
                <w:b/>
                <w:sz w:val="20"/>
                <w:szCs w:val="20"/>
                <w:lang w:val="hy-AM"/>
              </w:rPr>
              <w:t>քաղաքականության</w:t>
            </w:r>
            <w:r w:rsidRPr="00626D24">
              <w:rPr>
                <w:rFonts w:cs="Sylfaen"/>
                <w:b/>
                <w:sz w:val="20"/>
                <w:szCs w:val="20"/>
                <w:lang w:val="af-ZA"/>
              </w:rPr>
              <w:t xml:space="preserve"> </w:t>
            </w:r>
            <w:r w:rsidRPr="00626D24">
              <w:rPr>
                <w:rFonts w:cs="Sylfaen"/>
                <w:b/>
                <w:sz w:val="20"/>
                <w:szCs w:val="20"/>
                <w:lang w:val="hy-AM"/>
              </w:rPr>
              <w:t>մշակում</w:t>
            </w:r>
          </w:p>
          <w:p w:rsidR="00626D24" w:rsidRDefault="00626D24" w:rsidP="00626D24">
            <w:pPr>
              <w:tabs>
                <w:tab w:val="left" w:pos="1170"/>
              </w:tabs>
              <w:spacing w:after="0"/>
              <w:ind w:left="720"/>
              <w:jc w:val="both"/>
              <w:rPr>
                <w:b/>
                <w:i/>
                <w:highlight w:val="yellow"/>
                <w:u w:val="single"/>
                <w:lang w:val="af-ZA"/>
              </w:rPr>
            </w:pPr>
          </w:p>
          <w:p w:rsidR="00626D24" w:rsidRPr="00626D24" w:rsidRDefault="00626D24" w:rsidP="00626D24">
            <w:pPr>
              <w:tabs>
                <w:tab w:val="left" w:pos="1170"/>
              </w:tabs>
              <w:spacing w:after="0"/>
              <w:ind w:left="720"/>
              <w:jc w:val="both"/>
              <w:rPr>
                <w:b/>
                <w:i/>
                <w:sz w:val="20"/>
                <w:u w:val="single"/>
                <w:lang w:val="af-ZA"/>
              </w:rPr>
            </w:pPr>
            <w:r w:rsidRPr="00626D24">
              <w:rPr>
                <w:b/>
                <w:i/>
                <w:sz w:val="20"/>
                <w:u w:val="single"/>
                <w:lang w:val="af-ZA"/>
              </w:rPr>
              <w:t xml:space="preserve">24.1 «Ջրամբարաշինության և պաշարների կառավարման հայեցակարգային մոտեցումների մշակում և առաջարկությունների ներկայացում» </w:t>
            </w:r>
          </w:p>
          <w:p w:rsidR="00626D24" w:rsidRPr="00626D24" w:rsidRDefault="00626D24" w:rsidP="00626D24">
            <w:pPr>
              <w:tabs>
                <w:tab w:val="left" w:pos="1170"/>
              </w:tabs>
              <w:spacing w:after="0"/>
              <w:ind w:left="720"/>
              <w:jc w:val="both"/>
              <w:rPr>
                <w:b/>
                <w:i/>
                <w:sz w:val="20"/>
                <w:u w:val="single"/>
                <w:lang w:val="af-ZA"/>
              </w:rPr>
            </w:pPr>
          </w:p>
          <w:p w:rsidR="00626D24" w:rsidRPr="00626D24" w:rsidRDefault="00626D24" w:rsidP="00626D24">
            <w:pPr>
              <w:pStyle w:val="ListParagraph"/>
              <w:tabs>
                <w:tab w:val="left" w:pos="810"/>
              </w:tabs>
              <w:spacing w:after="0" w:line="240" w:lineRule="auto"/>
              <w:ind w:left="0" w:firstLine="1170"/>
              <w:rPr>
                <w:b/>
                <w:sz w:val="20"/>
                <w:lang w:val="af-ZA"/>
              </w:rPr>
            </w:pPr>
            <w:r w:rsidRPr="00626D24">
              <w:rPr>
                <w:rFonts w:eastAsia="Times New Roman" w:cs="Courier New"/>
                <w:b/>
                <w:sz w:val="20"/>
                <w:lang w:val="af-ZA"/>
              </w:rPr>
              <w:t>1.</w:t>
            </w:r>
            <w:r w:rsidRPr="00626D24">
              <w:rPr>
                <w:rFonts w:eastAsia="Times New Roman" w:cs="Calibri"/>
                <w:b/>
                <w:sz w:val="20"/>
                <w:lang w:val="af-ZA"/>
              </w:rPr>
              <w:t> </w:t>
            </w:r>
            <w:r w:rsidRPr="00626D24">
              <w:rPr>
                <w:rFonts w:eastAsia="Times New Roman"/>
                <w:b/>
                <w:sz w:val="20"/>
                <w:lang w:val="hy-AM"/>
              </w:rPr>
              <w:t>Միջոցառման</w:t>
            </w:r>
            <w:r w:rsidRPr="00626D24">
              <w:rPr>
                <w:rFonts w:eastAsia="Times New Roman"/>
                <w:b/>
                <w:sz w:val="20"/>
                <w:lang w:val="af-ZA"/>
              </w:rPr>
              <w:t xml:space="preserve"> </w:t>
            </w:r>
            <w:r w:rsidRPr="00626D24">
              <w:rPr>
                <w:rFonts w:eastAsia="Times New Roman"/>
                <w:b/>
                <w:sz w:val="20"/>
                <w:lang w:val="hy-AM"/>
              </w:rPr>
              <w:t>իրականացման</w:t>
            </w:r>
            <w:r w:rsidRPr="00626D24">
              <w:rPr>
                <w:rFonts w:eastAsia="Times New Roman"/>
                <w:b/>
                <w:sz w:val="20"/>
                <w:lang w:val="af-ZA"/>
              </w:rPr>
              <w:t xml:space="preserve"> </w:t>
            </w:r>
            <w:r w:rsidRPr="00626D24">
              <w:rPr>
                <w:rFonts w:eastAsia="Times New Roman"/>
                <w:b/>
                <w:sz w:val="20"/>
                <w:lang w:val="hy-AM"/>
              </w:rPr>
              <w:t>անհրաժեշտությունը</w:t>
            </w:r>
            <w:r w:rsidRPr="00626D24">
              <w:rPr>
                <w:rFonts w:eastAsia="Times New Roman"/>
                <w:b/>
                <w:sz w:val="20"/>
                <w:lang w:val="af-ZA"/>
              </w:rPr>
              <w:t xml:space="preserve"> </w:t>
            </w:r>
            <w:r w:rsidRPr="00626D24">
              <w:rPr>
                <w:rFonts w:eastAsia="Times New Roman"/>
                <w:b/>
                <w:sz w:val="20"/>
                <w:lang w:val="hy-AM"/>
              </w:rPr>
              <w:t>և</w:t>
            </w:r>
            <w:r w:rsidRPr="00626D24">
              <w:rPr>
                <w:rFonts w:eastAsia="Times New Roman"/>
                <w:b/>
                <w:sz w:val="20"/>
                <w:lang w:val="af-ZA"/>
              </w:rPr>
              <w:t xml:space="preserve"> </w:t>
            </w:r>
            <w:r w:rsidRPr="00626D24">
              <w:rPr>
                <w:rFonts w:eastAsia="Times New Roman"/>
                <w:b/>
                <w:sz w:val="20"/>
                <w:lang w:val="hy-AM"/>
              </w:rPr>
              <w:t>նպատակը</w:t>
            </w:r>
          </w:p>
          <w:p w:rsidR="00626D24" w:rsidRDefault="00626D24" w:rsidP="00626D24">
            <w:pPr>
              <w:tabs>
                <w:tab w:val="num" w:pos="720"/>
              </w:tabs>
              <w:spacing w:after="0"/>
              <w:jc w:val="both"/>
              <w:rPr>
                <w:rFonts w:cs="Sylfaen"/>
                <w:sz w:val="20"/>
                <w:lang w:val="af-ZA"/>
              </w:rPr>
            </w:pPr>
            <w:r w:rsidRPr="00626D24">
              <w:rPr>
                <w:rFonts w:cs="Sylfaen"/>
                <w:sz w:val="20"/>
                <w:lang w:val="af-ZA"/>
              </w:rPr>
              <w:t>Միջոցառման իրականացման անհրաժեշտությունը պայմանավորված է 2016 թվականի օգոստոսի 25-ին հավանության արժանացած ՀՀ կառավարության N33-18 արձանագրային որոշմամբ, որի բաղադրիչներն ուղղված են նաև նոր ջրամբարների կառուցմանը, գոյություն ունեցող ենթակառուցվածքների արդիականացմանը, ինստիտուցիոնալ բարեփոխումների խորացմանը, ինչպես նաև ջրօգտագործողների հետ թափանցիկ հարաբերությունների նոր մակարդակի ներդրմանը:</w:t>
            </w:r>
          </w:p>
          <w:p w:rsidR="00626D24" w:rsidRPr="00626D24" w:rsidRDefault="00626D24" w:rsidP="00626D24">
            <w:pPr>
              <w:tabs>
                <w:tab w:val="num" w:pos="720"/>
              </w:tabs>
              <w:spacing w:after="0"/>
              <w:jc w:val="both"/>
              <w:rPr>
                <w:rFonts w:cs="Sylfaen"/>
                <w:sz w:val="20"/>
                <w:lang w:val="af-ZA"/>
              </w:rPr>
            </w:pPr>
            <w:r w:rsidRPr="00626D24">
              <w:rPr>
                <w:rFonts w:cs="Sylfaen"/>
                <w:sz w:val="20"/>
                <w:lang w:val="af-ZA"/>
              </w:rPr>
              <w:t xml:space="preserve"> Միջոցառման իրականացման հիմք է հանդիսանում «</w:t>
            </w:r>
            <w:r w:rsidRPr="00626D24">
              <w:rPr>
                <w:rFonts w:cs="Sylfaen"/>
                <w:sz w:val="20"/>
                <w:lang w:val="hy-AM"/>
              </w:rPr>
              <w:t>ՀՀ</w:t>
            </w:r>
            <w:r w:rsidRPr="00626D24">
              <w:rPr>
                <w:rFonts w:cs="Sylfaen"/>
                <w:sz w:val="20"/>
                <w:lang w:val="af-ZA"/>
              </w:rPr>
              <w:t xml:space="preserve"> </w:t>
            </w:r>
            <w:r w:rsidRPr="00626D24">
              <w:rPr>
                <w:rFonts w:cs="Sylfaen"/>
                <w:sz w:val="20"/>
                <w:lang w:val="hy-AM"/>
              </w:rPr>
              <w:t>ջրի</w:t>
            </w:r>
            <w:r w:rsidRPr="00626D24">
              <w:rPr>
                <w:rFonts w:cs="Sylfaen"/>
                <w:sz w:val="20"/>
                <w:lang w:val="af-ZA"/>
              </w:rPr>
              <w:t xml:space="preserve"> </w:t>
            </w:r>
            <w:r w:rsidRPr="00626D24">
              <w:rPr>
                <w:rFonts w:cs="Sylfaen"/>
                <w:sz w:val="20"/>
                <w:lang w:val="hy-AM"/>
              </w:rPr>
              <w:t>ազգային</w:t>
            </w:r>
            <w:r w:rsidRPr="00626D24">
              <w:rPr>
                <w:rFonts w:cs="Sylfaen"/>
                <w:sz w:val="20"/>
                <w:lang w:val="af-ZA"/>
              </w:rPr>
              <w:t xml:space="preserve"> </w:t>
            </w:r>
            <w:r w:rsidRPr="00626D24">
              <w:rPr>
                <w:rFonts w:cs="Sylfaen"/>
                <w:sz w:val="20"/>
                <w:lang w:val="hy-AM"/>
              </w:rPr>
              <w:t>ծրագրի</w:t>
            </w:r>
            <w:r w:rsidRPr="00626D24">
              <w:rPr>
                <w:rFonts w:cs="Sylfaen"/>
                <w:sz w:val="20"/>
                <w:lang w:val="af-ZA"/>
              </w:rPr>
              <w:t xml:space="preserve"> </w:t>
            </w:r>
            <w:r w:rsidRPr="00626D24">
              <w:rPr>
                <w:rFonts w:cs="Sylfaen"/>
                <w:sz w:val="20"/>
                <w:lang w:val="hy-AM"/>
              </w:rPr>
              <w:t>մասին</w:t>
            </w:r>
            <w:r w:rsidRPr="00626D24">
              <w:rPr>
                <w:rFonts w:cs="Sylfaen"/>
                <w:sz w:val="20"/>
                <w:lang w:val="af-ZA"/>
              </w:rPr>
              <w:t xml:space="preserve">» </w:t>
            </w:r>
            <w:r w:rsidRPr="00626D24">
              <w:rPr>
                <w:rFonts w:cs="Sylfaen"/>
                <w:sz w:val="20"/>
                <w:lang w:val="af-ZA"/>
              </w:rPr>
              <w:br/>
            </w:r>
            <w:r w:rsidRPr="00626D24">
              <w:rPr>
                <w:rFonts w:cs="Sylfaen"/>
                <w:sz w:val="20"/>
                <w:lang w:val="hy-AM"/>
              </w:rPr>
              <w:t>ՀՀ</w:t>
            </w:r>
            <w:r w:rsidRPr="00626D24">
              <w:rPr>
                <w:rFonts w:cs="Sylfaen"/>
                <w:sz w:val="20"/>
                <w:lang w:val="af-ZA"/>
              </w:rPr>
              <w:t xml:space="preserve"> </w:t>
            </w:r>
            <w:r w:rsidRPr="00626D24">
              <w:rPr>
                <w:rFonts w:cs="Sylfaen"/>
                <w:sz w:val="20"/>
                <w:lang w:val="hy-AM"/>
              </w:rPr>
              <w:t>օրենքի</w:t>
            </w:r>
            <w:r w:rsidRPr="00626D24">
              <w:rPr>
                <w:rFonts w:cs="Sylfaen"/>
                <w:sz w:val="20"/>
                <w:lang w:val="af-ZA"/>
              </w:rPr>
              <w:t xml:space="preserve"> 29-</w:t>
            </w:r>
            <w:r w:rsidRPr="00626D24">
              <w:rPr>
                <w:rFonts w:cs="Sylfaen"/>
                <w:sz w:val="20"/>
                <w:lang w:val="hy-AM"/>
              </w:rPr>
              <w:t>րդ</w:t>
            </w:r>
            <w:r w:rsidRPr="00626D24">
              <w:rPr>
                <w:rFonts w:cs="Sylfaen"/>
                <w:sz w:val="20"/>
                <w:lang w:val="af-ZA"/>
              </w:rPr>
              <w:t xml:space="preserve"> </w:t>
            </w:r>
            <w:r w:rsidRPr="00626D24">
              <w:rPr>
                <w:rFonts w:cs="Sylfaen"/>
                <w:sz w:val="20"/>
                <w:lang w:val="hy-AM"/>
              </w:rPr>
              <w:t>հոդվածը</w:t>
            </w:r>
            <w:r w:rsidRPr="00626D24">
              <w:rPr>
                <w:rFonts w:cs="Sylfaen"/>
                <w:sz w:val="20"/>
                <w:lang w:val="af-ZA"/>
              </w:rPr>
              <w:t xml:space="preserve">, </w:t>
            </w:r>
            <w:r w:rsidRPr="00626D24">
              <w:rPr>
                <w:rFonts w:cs="Sylfaen"/>
                <w:sz w:val="20"/>
                <w:lang w:val="hy-AM"/>
              </w:rPr>
              <w:t>որով</w:t>
            </w:r>
            <w:r w:rsidRPr="00626D24">
              <w:rPr>
                <w:rFonts w:cs="Sylfaen"/>
                <w:sz w:val="20"/>
                <w:lang w:val="af-ZA"/>
              </w:rPr>
              <w:t xml:space="preserve"> </w:t>
            </w:r>
            <w:r w:rsidRPr="00626D24">
              <w:rPr>
                <w:rFonts w:cs="Sylfaen"/>
                <w:sz w:val="20"/>
                <w:lang w:val="hy-AM"/>
              </w:rPr>
              <w:t>սահմանված</w:t>
            </w:r>
            <w:r w:rsidRPr="00626D24">
              <w:rPr>
                <w:rFonts w:cs="Sylfaen"/>
                <w:sz w:val="20"/>
                <w:lang w:val="af-ZA"/>
              </w:rPr>
              <w:t xml:space="preserve"> </w:t>
            </w:r>
            <w:r w:rsidRPr="00626D24">
              <w:rPr>
                <w:rFonts w:cs="Sylfaen"/>
                <w:sz w:val="20"/>
                <w:lang w:val="hy-AM"/>
              </w:rPr>
              <w:t>է</w:t>
            </w:r>
            <w:r w:rsidRPr="00626D24">
              <w:rPr>
                <w:rFonts w:cs="Sylfaen"/>
                <w:sz w:val="20"/>
                <w:lang w:val="af-ZA"/>
              </w:rPr>
              <w:t xml:space="preserve"> </w:t>
            </w:r>
            <w:r w:rsidRPr="00626D24">
              <w:rPr>
                <w:rFonts w:cs="Sylfaen"/>
                <w:sz w:val="20"/>
                <w:lang w:val="hy-AM"/>
              </w:rPr>
              <w:t>ջրային</w:t>
            </w:r>
            <w:r w:rsidRPr="00626D24">
              <w:rPr>
                <w:rFonts w:cs="Sylfaen"/>
                <w:sz w:val="20"/>
                <w:lang w:val="af-ZA"/>
              </w:rPr>
              <w:t xml:space="preserve"> </w:t>
            </w:r>
            <w:r w:rsidRPr="00626D24">
              <w:rPr>
                <w:rFonts w:cs="Sylfaen"/>
                <w:sz w:val="20"/>
                <w:lang w:val="hy-AM"/>
              </w:rPr>
              <w:t>ռեսուրսների</w:t>
            </w:r>
            <w:r w:rsidRPr="00626D24">
              <w:rPr>
                <w:rFonts w:cs="Sylfaen"/>
                <w:sz w:val="20"/>
                <w:lang w:val="af-ZA"/>
              </w:rPr>
              <w:t xml:space="preserve"> </w:t>
            </w:r>
            <w:r w:rsidRPr="00626D24">
              <w:rPr>
                <w:rFonts w:cs="Sylfaen"/>
                <w:sz w:val="20"/>
                <w:lang w:val="hy-AM"/>
              </w:rPr>
              <w:t>մատչելիության</w:t>
            </w:r>
            <w:r w:rsidRPr="00626D24">
              <w:rPr>
                <w:rFonts w:cs="Sylfaen"/>
                <w:sz w:val="20"/>
                <w:lang w:val="af-ZA"/>
              </w:rPr>
              <w:t xml:space="preserve"> </w:t>
            </w:r>
            <w:r w:rsidRPr="00626D24">
              <w:rPr>
                <w:rFonts w:cs="Sylfaen"/>
                <w:sz w:val="20"/>
                <w:lang w:val="hy-AM"/>
              </w:rPr>
              <w:t>ապահովման</w:t>
            </w:r>
            <w:r w:rsidRPr="00626D24">
              <w:rPr>
                <w:rFonts w:cs="Sylfaen"/>
                <w:sz w:val="20"/>
                <w:lang w:val="af-ZA"/>
              </w:rPr>
              <w:t xml:space="preserve"> </w:t>
            </w:r>
            <w:r w:rsidRPr="00626D24">
              <w:rPr>
                <w:rFonts w:cs="Sylfaen"/>
                <w:sz w:val="20"/>
                <w:lang w:val="hy-AM"/>
              </w:rPr>
              <w:t>ուղղությունները</w:t>
            </w:r>
            <w:r w:rsidRPr="00626D24">
              <w:rPr>
                <w:rFonts w:cs="Sylfaen"/>
                <w:sz w:val="20"/>
                <w:lang w:val="af-ZA"/>
              </w:rPr>
              <w:t>:</w:t>
            </w:r>
          </w:p>
          <w:p w:rsidR="00626D24" w:rsidRPr="00626D24" w:rsidRDefault="00626D24" w:rsidP="00626D24">
            <w:pPr>
              <w:pStyle w:val="ListParagraph"/>
              <w:numPr>
                <w:ilvl w:val="1"/>
                <w:numId w:val="273"/>
              </w:numPr>
              <w:tabs>
                <w:tab w:val="left" w:pos="900"/>
                <w:tab w:val="left" w:pos="1620"/>
              </w:tabs>
              <w:spacing w:after="0" w:line="240" w:lineRule="auto"/>
              <w:ind w:left="0" w:firstLine="1170"/>
              <w:rPr>
                <w:rFonts w:eastAsia="Times New Roman"/>
                <w:b/>
                <w:sz w:val="20"/>
                <w:lang w:val="af-ZA"/>
              </w:rPr>
            </w:pPr>
            <w:r w:rsidRPr="00626D24">
              <w:rPr>
                <w:rFonts w:eastAsia="Times New Roman"/>
                <w:b/>
                <w:sz w:val="20"/>
                <w:lang w:val="ru-RU"/>
              </w:rPr>
              <w:t>կ</w:t>
            </w:r>
            <w:r w:rsidRPr="00626D24">
              <w:rPr>
                <w:rFonts w:eastAsia="Times New Roman"/>
                <w:b/>
                <w:sz w:val="20"/>
              </w:rPr>
              <w:t>արգավորման</w:t>
            </w:r>
            <w:r w:rsidRPr="00626D24">
              <w:rPr>
                <w:rFonts w:eastAsia="Times New Roman"/>
                <w:b/>
                <w:sz w:val="20"/>
                <w:lang w:val="af-ZA"/>
              </w:rPr>
              <w:t xml:space="preserve"> </w:t>
            </w:r>
            <w:r w:rsidRPr="00626D24">
              <w:rPr>
                <w:rFonts w:eastAsia="Times New Roman"/>
                <w:b/>
                <w:sz w:val="20"/>
              </w:rPr>
              <w:t>հարաբերությունների</w:t>
            </w:r>
            <w:r w:rsidRPr="00626D24">
              <w:rPr>
                <w:rFonts w:eastAsia="Times New Roman"/>
                <w:b/>
                <w:sz w:val="20"/>
                <w:lang w:val="af-ZA"/>
              </w:rPr>
              <w:t xml:space="preserve"> </w:t>
            </w:r>
            <w:r w:rsidRPr="00626D24">
              <w:rPr>
                <w:rFonts w:eastAsia="Times New Roman"/>
                <w:b/>
                <w:sz w:val="20"/>
              </w:rPr>
              <w:t>ներկա</w:t>
            </w:r>
            <w:r w:rsidRPr="00626D24">
              <w:rPr>
                <w:rFonts w:eastAsia="Times New Roman"/>
                <w:b/>
                <w:sz w:val="20"/>
                <w:lang w:val="af-ZA"/>
              </w:rPr>
              <w:t xml:space="preserve"> </w:t>
            </w:r>
            <w:r w:rsidRPr="00626D24">
              <w:rPr>
                <w:rFonts w:eastAsia="Times New Roman"/>
                <w:b/>
                <w:sz w:val="20"/>
              </w:rPr>
              <w:t>վիճակը</w:t>
            </w:r>
            <w:r w:rsidRPr="00626D24">
              <w:rPr>
                <w:rFonts w:eastAsia="Times New Roman"/>
                <w:b/>
                <w:sz w:val="20"/>
                <w:lang w:val="af-ZA"/>
              </w:rPr>
              <w:t xml:space="preserve"> </w:t>
            </w:r>
            <w:r w:rsidRPr="00626D24">
              <w:rPr>
                <w:rFonts w:eastAsia="Times New Roman"/>
                <w:b/>
                <w:sz w:val="20"/>
              </w:rPr>
              <w:t>և</w:t>
            </w:r>
            <w:r w:rsidRPr="00626D24">
              <w:rPr>
                <w:rFonts w:eastAsia="Times New Roman"/>
                <w:b/>
                <w:sz w:val="20"/>
                <w:lang w:val="af-ZA"/>
              </w:rPr>
              <w:t xml:space="preserve"> </w:t>
            </w:r>
            <w:r w:rsidRPr="00626D24">
              <w:rPr>
                <w:rFonts w:eastAsia="Times New Roman"/>
                <w:b/>
                <w:sz w:val="20"/>
              </w:rPr>
              <w:t>առկա</w:t>
            </w:r>
            <w:r w:rsidRPr="00626D24">
              <w:rPr>
                <w:rFonts w:eastAsia="Times New Roman"/>
                <w:b/>
                <w:sz w:val="20"/>
                <w:lang w:val="af-ZA"/>
              </w:rPr>
              <w:t xml:space="preserve"> </w:t>
            </w:r>
            <w:r w:rsidRPr="00626D24">
              <w:rPr>
                <w:rFonts w:eastAsia="Times New Roman"/>
                <w:b/>
                <w:sz w:val="20"/>
              </w:rPr>
              <w:t>խնդիրները</w:t>
            </w:r>
          </w:p>
          <w:p w:rsidR="00626D24" w:rsidRPr="00626D24" w:rsidRDefault="00626D24" w:rsidP="00626D24">
            <w:pPr>
              <w:spacing w:after="0"/>
              <w:jc w:val="both"/>
              <w:rPr>
                <w:b/>
                <w:i/>
                <w:sz w:val="20"/>
                <w:lang w:val="af-ZA"/>
              </w:rPr>
            </w:pPr>
            <w:r w:rsidRPr="00626D24">
              <w:rPr>
                <w:sz w:val="20"/>
                <w:lang w:val="af-ZA"/>
              </w:rPr>
              <w:t>Հայաստանի Հանրապետությունում առաջացած մակերևութային ջրերի հոսքի կառավարման համար ներկայումս կառավարության կողմից սահմանված չէ ջրամբարաշինության հեռանկարային ծրագրի հայեցակարգ, որի հիմքում պետք է դրվեն ջրամբարներում ջրի կարգավորման ծրագրի մշակման անհրաժեշտությունը, դրա հոսքերի կարգավորման հնարավորությունները և դրանց հետագա օգտագործման ռազմավարությունը</w:t>
            </w:r>
            <w:r w:rsidRPr="00626D24">
              <w:rPr>
                <w:sz w:val="20"/>
                <w:lang w:val="hy-AM"/>
              </w:rPr>
              <w:t>:</w:t>
            </w:r>
          </w:p>
          <w:p w:rsidR="00626D24" w:rsidRPr="00626D24" w:rsidRDefault="00626D24" w:rsidP="00626D24">
            <w:pPr>
              <w:pStyle w:val="ListParagraph"/>
              <w:tabs>
                <w:tab w:val="left" w:pos="900"/>
              </w:tabs>
              <w:spacing w:after="0" w:line="240" w:lineRule="auto"/>
              <w:ind w:left="0" w:firstLine="1080"/>
              <w:rPr>
                <w:b/>
                <w:sz w:val="20"/>
                <w:lang w:val="af-ZA"/>
              </w:rPr>
            </w:pPr>
            <w:r w:rsidRPr="00626D24">
              <w:rPr>
                <w:b/>
                <w:sz w:val="20"/>
                <w:lang w:val="af-ZA"/>
              </w:rPr>
              <w:t>1.</w:t>
            </w:r>
            <w:r w:rsidRPr="00626D24">
              <w:rPr>
                <w:rFonts w:eastAsia="Times New Roman"/>
                <w:b/>
                <w:sz w:val="20"/>
                <w:lang w:val="af-ZA"/>
              </w:rPr>
              <w:t>2</w:t>
            </w:r>
            <w:r w:rsidRPr="00626D24">
              <w:rPr>
                <w:rFonts w:eastAsia="Times New Roman" w:cs="Calibri"/>
                <w:b/>
                <w:sz w:val="20"/>
                <w:lang w:val="af-ZA"/>
              </w:rPr>
              <w:t> </w:t>
            </w:r>
            <w:r w:rsidRPr="00626D24">
              <w:rPr>
                <w:rFonts w:eastAsia="Times New Roman"/>
                <w:b/>
                <w:sz w:val="20"/>
                <w:lang w:val="af-ZA"/>
              </w:rPr>
              <w:t xml:space="preserve"> </w:t>
            </w:r>
            <w:r w:rsidRPr="00626D24">
              <w:rPr>
                <w:rFonts w:eastAsia="Times New Roman"/>
                <w:b/>
                <w:sz w:val="20"/>
                <w:lang w:val="ru-RU"/>
              </w:rPr>
              <w:t>ա</w:t>
            </w:r>
            <w:r w:rsidRPr="00626D24">
              <w:rPr>
                <w:rFonts w:eastAsia="Times New Roman"/>
                <w:b/>
                <w:sz w:val="20"/>
              </w:rPr>
              <w:t>ռկա</w:t>
            </w:r>
            <w:r w:rsidRPr="00626D24">
              <w:rPr>
                <w:rFonts w:eastAsia="Times New Roman"/>
                <w:b/>
                <w:sz w:val="20"/>
                <w:lang w:val="af-ZA"/>
              </w:rPr>
              <w:t xml:space="preserve"> </w:t>
            </w:r>
            <w:r w:rsidRPr="00626D24">
              <w:rPr>
                <w:rFonts w:eastAsia="Times New Roman"/>
                <w:b/>
                <w:sz w:val="20"/>
              </w:rPr>
              <w:t>խնդիրների</w:t>
            </w:r>
            <w:r w:rsidRPr="00626D24">
              <w:rPr>
                <w:rFonts w:eastAsia="Times New Roman"/>
                <w:b/>
                <w:sz w:val="20"/>
                <w:lang w:val="af-ZA"/>
              </w:rPr>
              <w:t xml:space="preserve"> </w:t>
            </w:r>
            <w:r w:rsidRPr="00626D24">
              <w:rPr>
                <w:rFonts w:eastAsia="Times New Roman"/>
                <w:b/>
                <w:sz w:val="20"/>
              </w:rPr>
              <w:t>առաջարկվող</w:t>
            </w:r>
            <w:r w:rsidRPr="00626D24">
              <w:rPr>
                <w:rFonts w:eastAsia="Times New Roman"/>
                <w:b/>
                <w:sz w:val="20"/>
                <w:lang w:val="af-ZA"/>
              </w:rPr>
              <w:t xml:space="preserve"> </w:t>
            </w:r>
            <w:r w:rsidRPr="00626D24">
              <w:rPr>
                <w:rFonts w:eastAsia="Times New Roman"/>
                <w:b/>
                <w:sz w:val="20"/>
              </w:rPr>
              <w:t>լուծումները</w:t>
            </w:r>
          </w:p>
          <w:p w:rsidR="00626D24" w:rsidRPr="00626D24" w:rsidRDefault="00626D24" w:rsidP="00626D24">
            <w:pPr>
              <w:spacing w:after="0"/>
              <w:jc w:val="both"/>
              <w:rPr>
                <w:sz w:val="20"/>
                <w:lang w:val="af-ZA"/>
              </w:rPr>
            </w:pPr>
            <w:r w:rsidRPr="00626D24">
              <w:rPr>
                <w:rFonts w:cs="Sylfaen"/>
                <w:sz w:val="20"/>
                <w:lang w:val="af-ZA"/>
              </w:rPr>
              <w:t>Նախատեսվում է հայեցակարգով ներառել ջրային ռեսուրսների հնարավոր բացասական հաշվեկշռի պայմաններում ոռոգման ջրի պահանջարկի բավարարման հեռանկարային խնդիրների լուծման ուղիները, օգտագործման արդյունավետության բարձրացման ուղիները, ոռոգելի հողատարածքների ավելացումը, միջնաժամկետ և երկարաժամկետ միջոցառումների իրականացման փուլային ծրագրերի իրականացումը և այլն</w:t>
            </w:r>
            <w:r w:rsidRPr="00626D24">
              <w:rPr>
                <w:sz w:val="20"/>
                <w:lang w:val="af-ZA"/>
              </w:rPr>
              <w:t xml:space="preserve">: </w:t>
            </w:r>
          </w:p>
          <w:p w:rsidR="00626D24" w:rsidRPr="00626D24" w:rsidRDefault="00626D24" w:rsidP="00626D24">
            <w:pPr>
              <w:pStyle w:val="ListParagraph"/>
              <w:tabs>
                <w:tab w:val="left" w:pos="1620"/>
              </w:tabs>
              <w:spacing w:after="0" w:line="240" w:lineRule="auto"/>
              <w:ind w:left="0" w:firstLine="1080"/>
              <w:rPr>
                <w:b/>
                <w:sz w:val="20"/>
                <w:lang w:val="af-ZA"/>
              </w:rPr>
            </w:pPr>
            <w:r w:rsidRPr="00626D24">
              <w:rPr>
                <w:b/>
                <w:sz w:val="20"/>
                <w:lang w:val="af-ZA"/>
              </w:rPr>
              <w:t>2.</w:t>
            </w:r>
            <w:r w:rsidRPr="00626D24">
              <w:rPr>
                <w:rFonts w:cs="Calibri"/>
                <w:b/>
                <w:sz w:val="20"/>
                <w:lang w:val="af-ZA"/>
              </w:rPr>
              <w:t> </w:t>
            </w:r>
            <w:r w:rsidRPr="00626D24">
              <w:rPr>
                <w:rFonts w:eastAsia="Times New Roman"/>
                <w:b/>
                <w:sz w:val="20"/>
              </w:rPr>
              <w:t>Միջոցառման</w:t>
            </w:r>
            <w:r w:rsidRPr="00626D24">
              <w:rPr>
                <w:rFonts w:eastAsia="Times New Roman"/>
                <w:b/>
                <w:sz w:val="20"/>
                <w:lang w:val="af-ZA"/>
              </w:rPr>
              <w:t xml:space="preserve"> </w:t>
            </w:r>
            <w:r w:rsidRPr="00626D24">
              <w:rPr>
                <w:rFonts w:eastAsia="Times New Roman"/>
                <w:b/>
                <w:sz w:val="20"/>
              </w:rPr>
              <w:t>իրակացումից</w:t>
            </w:r>
            <w:r w:rsidRPr="00626D24">
              <w:rPr>
                <w:rFonts w:eastAsia="Times New Roman"/>
                <w:b/>
                <w:sz w:val="20"/>
                <w:lang w:val="af-ZA"/>
              </w:rPr>
              <w:t xml:space="preserve"> </w:t>
            </w:r>
            <w:r w:rsidRPr="00626D24">
              <w:rPr>
                <w:rFonts w:eastAsia="Times New Roman"/>
                <w:b/>
                <w:sz w:val="20"/>
              </w:rPr>
              <w:t>ակնկալվող</w:t>
            </w:r>
            <w:r w:rsidRPr="00626D24">
              <w:rPr>
                <w:rFonts w:eastAsia="Times New Roman"/>
                <w:b/>
                <w:sz w:val="20"/>
                <w:lang w:val="af-ZA"/>
              </w:rPr>
              <w:t xml:space="preserve"> </w:t>
            </w:r>
            <w:r w:rsidRPr="00626D24">
              <w:rPr>
                <w:rFonts w:eastAsia="Times New Roman"/>
                <w:b/>
                <w:sz w:val="20"/>
              </w:rPr>
              <w:t>արդյունքը</w:t>
            </w:r>
          </w:p>
          <w:p w:rsidR="00626D24" w:rsidRPr="00626D24" w:rsidRDefault="00626D24" w:rsidP="00626D24">
            <w:pPr>
              <w:tabs>
                <w:tab w:val="num" w:pos="720"/>
              </w:tabs>
              <w:spacing w:after="0"/>
              <w:jc w:val="both"/>
              <w:rPr>
                <w:rFonts w:cs="Sylfaen"/>
                <w:spacing w:val="-8"/>
                <w:sz w:val="20"/>
                <w:lang w:val="af-ZA"/>
              </w:rPr>
            </w:pPr>
            <w:r w:rsidRPr="00626D24">
              <w:rPr>
                <w:rFonts w:cs="Sylfaen"/>
                <w:spacing w:val="-8"/>
                <w:sz w:val="20"/>
                <w:lang w:val="af-ZA"/>
              </w:rPr>
              <w:t>Ջրամբարաշինության հայեցակարգի միջոցով հնարավորություն կստեղծվի ապահովելու ոռոգման համակարգերի սպասարկման տարածքում ընդգրկված և լրացուցիչ ոռոգելի հողերի ջրամատակարարման համար անհրաժեշտ ջրի քանակի կառավարումը: Միաժամանակ՝ նշված խնդրի լուծումն անհրաժեշտ նախադրյալներ կստեղծի ջրային պաշարների արդյունավետության բարձրացման և կայուն զարգացման համար:</w:t>
            </w:r>
          </w:p>
          <w:p w:rsidR="00626D24" w:rsidRPr="00212D2F" w:rsidRDefault="00626D24" w:rsidP="00626D24">
            <w:pPr>
              <w:tabs>
                <w:tab w:val="left" w:pos="1170"/>
              </w:tabs>
              <w:spacing w:after="0"/>
              <w:ind w:firstLine="1170"/>
              <w:jc w:val="center"/>
              <w:rPr>
                <w:b/>
                <w:i/>
                <w:u w:val="single"/>
                <w:lang w:val="af-ZA"/>
              </w:rPr>
            </w:pPr>
          </w:p>
          <w:p w:rsidR="00626D24" w:rsidRPr="00626D24" w:rsidRDefault="00626D24" w:rsidP="00A67858">
            <w:pPr>
              <w:spacing w:after="0" w:line="276" w:lineRule="auto"/>
              <w:jc w:val="center"/>
              <w:rPr>
                <w:b/>
                <w:color w:val="000000"/>
                <w:sz w:val="20"/>
                <w:szCs w:val="20"/>
                <w:lang w:val="af-ZA"/>
              </w:rPr>
            </w:pPr>
          </w:p>
        </w:tc>
      </w:tr>
      <w:tr w:rsidR="0084615D" w:rsidRPr="00DE2EFA" w:rsidTr="00844C90">
        <w:tc>
          <w:tcPr>
            <w:tcW w:w="461" w:type="dxa"/>
            <w:shd w:val="clear" w:color="auto" w:fill="auto"/>
          </w:tcPr>
          <w:p w:rsidR="0084615D" w:rsidRPr="0053423A" w:rsidRDefault="00626D24" w:rsidP="00A67858">
            <w:pPr>
              <w:spacing w:after="0" w:line="276" w:lineRule="auto"/>
              <w:jc w:val="center"/>
              <w:rPr>
                <w:rFonts w:eastAsia="Times New Roman"/>
                <w:b/>
                <w:bCs/>
                <w:sz w:val="20"/>
                <w:szCs w:val="20"/>
                <w:lang w:val="hy-AM"/>
              </w:rPr>
            </w:pPr>
            <w:r>
              <w:rPr>
                <w:rFonts w:eastAsia="Times New Roman"/>
                <w:b/>
                <w:bCs/>
                <w:sz w:val="20"/>
                <w:szCs w:val="20"/>
                <w:lang w:val="hy-AM"/>
              </w:rPr>
              <w:t>25</w:t>
            </w:r>
          </w:p>
        </w:tc>
        <w:tc>
          <w:tcPr>
            <w:tcW w:w="10879" w:type="dxa"/>
            <w:shd w:val="clear" w:color="auto" w:fill="auto"/>
          </w:tcPr>
          <w:p w:rsidR="0084615D" w:rsidRPr="0053423A" w:rsidRDefault="0084615D" w:rsidP="00A67858">
            <w:pPr>
              <w:tabs>
                <w:tab w:val="left" w:pos="500"/>
              </w:tabs>
              <w:spacing w:after="0" w:line="276" w:lineRule="auto"/>
              <w:ind w:right="59"/>
              <w:jc w:val="center"/>
              <w:rPr>
                <w:rFonts w:cs="Sylfaen"/>
                <w:b/>
                <w:sz w:val="20"/>
                <w:szCs w:val="20"/>
                <w:lang w:val="hy-AM"/>
              </w:rPr>
            </w:pPr>
            <w:r w:rsidRPr="0053423A">
              <w:rPr>
                <w:b/>
                <w:color w:val="000000"/>
                <w:sz w:val="20"/>
                <w:szCs w:val="20"/>
                <w:lang w:val="hy-AM"/>
              </w:rPr>
              <w:t xml:space="preserve">2019-2023 թվականների ընթացքում </w:t>
            </w:r>
            <w:r w:rsidRPr="0053423A">
              <w:rPr>
                <w:rFonts w:cs="Sylfaen"/>
                <w:b/>
                <w:sz w:val="20"/>
                <w:szCs w:val="20"/>
                <w:lang w:val="hy-AM"/>
              </w:rPr>
              <w:t>Ջրամբարաշինության (Կապսի</w:t>
            </w:r>
            <w:r w:rsidRPr="0053423A">
              <w:rPr>
                <w:rFonts w:cs="Sylfaen"/>
                <w:b/>
                <w:sz w:val="20"/>
                <w:szCs w:val="20"/>
                <w:lang w:val="af-ZA"/>
              </w:rPr>
              <w:t xml:space="preserve"> </w:t>
            </w:r>
            <w:r w:rsidRPr="0053423A">
              <w:rPr>
                <w:rFonts w:cs="Sylfaen"/>
                <w:b/>
                <w:sz w:val="20"/>
                <w:szCs w:val="20"/>
                <w:lang w:val="hy-AM"/>
              </w:rPr>
              <w:t>և Վեդու ջրամբարներ) ծրագրերի նախապատրաստում և իրականացում</w:t>
            </w:r>
          </w:p>
          <w:p w:rsidR="0084615D" w:rsidRPr="0053423A" w:rsidRDefault="0084615D" w:rsidP="00A67858">
            <w:pPr>
              <w:tabs>
                <w:tab w:val="left" w:pos="500"/>
              </w:tabs>
              <w:spacing w:after="0" w:line="276" w:lineRule="auto"/>
              <w:ind w:right="59"/>
              <w:jc w:val="center"/>
              <w:rPr>
                <w:rFonts w:cs="Sylfaen"/>
                <w:b/>
                <w:sz w:val="20"/>
                <w:szCs w:val="20"/>
                <w:lang w:val="hy-AM"/>
              </w:rPr>
            </w:pPr>
          </w:p>
          <w:p w:rsidR="0084615D" w:rsidRPr="0053423A" w:rsidRDefault="00626D24" w:rsidP="00A67858">
            <w:pPr>
              <w:tabs>
                <w:tab w:val="left" w:pos="1170"/>
              </w:tabs>
              <w:spacing w:after="0" w:line="276" w:lineRule="auto"/>
              <w:ind w:left="720"/>
              <w:jc w:val="center"/>
              <w:rPr>
                <w:b/>
                <w:sz w:val="20"/>
                <w:szCs w:val="20"/>
                <w:u w:val="single"/>
                <w:lang w:val="af-ZA"/>
              </w:rPr>
            </w:pPr>
            <w:r>
              <w:rPr>
                <w:b/>
                <w:sz w:val="20"/>
                <w:szCs w:val="20"/>
                <w:u w:val="single"/>
                <w:lang w:val="af-ZA"/>
              </w:rPr>
              <w:t>25</w:t>
            </w:r>
            <w:r w:rsidR="0084615D" w:rsidRPr="0053423A">
              <w:rPr>
                <w:b/>
                <w:sz w:val="20"/>
                <w:szCs w:val="20"/>
                <w:u w:val="single"/>
                <w:lang w:val="af-ZA"/>
              </w:rPr>
              <w:t>.1 «Ախուրյան գետի ջրային ռեսուրսների ինտեգրված կառավարման ծրագրի» Փուլ 1; Կապսի ջրամբարի կառուցում</w:t>
            </w:r>
          </w:p>
          <w:p w:rsidR="0084615D" w:rsidRPr="0053423A" w:rsidRDefault="00626D24" w:rsidP="00A67858">
            <w:pPr>
              <w:tabs>
                <w:tab w:val="left" w:pos="1170"/>
              </w:tabs>
              <w:spacing w:after="0" w:line="276" w:lineRule="auto"/>
              <w:ind w:left="720"/>
              <w:jc w:val="center"/>
              <w:rPr>
                <w:b/>
                <w:sz w:val="20"/>
                <w:szCs w:val="20"/>
                <w:u w:val="single"/>
                <w:lang w:val="af-ZA"/>
              </w:rPr>
            </w:pPr>
            <w:r>
              <w:rPr>
                <w:b/>
                <w:sz w:val="20"/>
                <w:szCs w:val="20"/>
                <w:u w:val="single"/>
                <w:lang w:val="af-ZA"/>
              </w:rPr>
              <w:t>25</w:t>
            </w:r>
            <w:r w:rsidR="0084615D" w:rsidRPr="0053423A">
              <w:rPr>
                <w:b/>
                <w:sz w:val="20"/>
                <w:szCs w:val="20"/>
                <w:u w:val="single"/>
                <w:lang w:val="af-ZA"/>
              </w:rPr>
              <w:t>.2 «Ախուրյան գետի ջրային ռեսուրսների ինտեգրված կառավարման ծրագրի» Փուլ 2;  ինքնահոս ոռոգման համակարգի կառուցում</w:t>
            </w:r>
          </w:p>
          <w:p w:rsidR="0084615D" w:rsidRPr="0053423A" w:rsidRDefault="00626D24" w:rsidP="00A67858">
            <w:pPr>
              <w:tabs>
                <w:tab w:val="left" w:pos="1170"/>
              </w:tabs>
              <w:spacing w:after="0" w:line="276" w:lineRule="auto"/>
              <w:ind w:left="720"/>
              <w:jc w:val="center"/>
              <w:rPr>
                <w:b/>
                <w:sz w:val="20"/>
                <w:szCs w:val="20"/>
                <w:u w:val="single"/>
                <w:lang w:val="af-ZA"/>
              </w:rPr>
            </w:pPr>
            <w:r>
              <w:rPr>
                <w:b/>
                <w:sz w:val="20"/>
                <w:szCs w:val="20"/>
                <w:u w:val="single"/>
                <w:lang w:val="af-ZA"/>
              </w:rPr>
              <w:t>25</w:t>
            </w:r>
            <w:r w:rsidR="0084615D" w:rsidRPr="0053423A">
              <w:rPr>
                <w:b/>
                <w:sz w:val="20"/>
                <w:szCs w:val="20"/>
                <w:u w:val="single"/>
                <w:lang w:val="af-ZA"/>
              </w:rPr>
              <w:t>.3 Վեդու ջրամբարի պատվարի և օժանդակ կառուցվածքների, ջրի փոխադրող և ոռոգման համակարգի շինարարական աշխատանքների իրականացում: Վեդու ջրամբարի իշխման տակ գտնվող ներտնտեսային ոռոգման ցանցի մանրամասն նախագծային աշխատանքների ավարտ</w:t>
            </w:r>
          </w:p>
          <w:p w:rsidR="0084615D" w:rsidRPr="0053423A" w:rsidRDefault="0084615D" w:rsidP="00A67858">
            <w:pPr>
              <w:spacing w:after="0" w:line="276" w:lineRule="auto"/>
              <w:ind w:firstLine="526"/>
              <w:jc w:val="center"/>
              <w:rPr>
                <w:b/>
                <w:i/>
                <w:sz w:val="20"/>
                <w:szCs w:val="20"/>
                <w:u w:val="single"/>
                <w:lang w:val="hy-AM"/>
              </w:rPr>
            </w:pPr>
          </w:p>
          <w:p w:rsidR="0084615D" w:rsidRPr="0053423A" w:rsidRDefault="0084615D" w:rsidP="00A67858">
            <w:pPr>
              <w:pStyle w:val="ListParagraph"/>
              <w:tabs>
                <w:tab w:val="left" w:pos="810"/>
              </w:tabs>
              <w:spacing w:after="0" w:line="276" w:lineRule="auto"/>
              <w:ind w:left="0" w:firstLine="1170"/>
              <w:rPr>
                <w:b/>
                <w:sz w:val="20"/>
                <w:szCs w:val="20"/>
                <w:lang w:val="af-ZA"/>
              </w:rPr>
            </w:pPr>
            <w:r w:rsidRPr="0053423A">
              <w:rPr>
                <w:rFonts w:eastAsia="Times New Roman" w:cs="Courier New"/>
                <w:b/>
                <w:sz w:val="20"/>
                <w:szCs w:val="20"/>
                <w:lang w:val="af-ZA"/>
              </w:rPr>
              <w:t>1.</w:t>
            </w:r>
            <w:r w:rsidRPr="0053423A">
              <w:rPr>
                <w:rFonts w:ascii="Calibri" w:eastAsia="Times New Roman" w:hAnsi="Calibri" w:cs="Calibri"/>
                <w:b/>
                <w:sz w:val="20"/>
                <w:szCs w:val="20"/>
                <w:lang w:val="af-ZA"/>
              </w:rPr>
              <w:t> </w:t>
            </w:r>
            <w:r w:rsidRPr="0053423A">
              <w:rPr>
                <w:rFonts w:eastAsia="Times New Roman"/>
                <w:b/>
                <w:sz w:val="20"/>
                <w:szCs w:val="20"/>
                <w:lang w:val="hy-AM"/>
              </w:rPr>
              <w:t>Միջոցառման</w:t>
            </w:r>
            <w:r w:rsidRPr="0053423A">
              <w:rPr>
                <w:rFonts w:eastAsia="Times New Roman"/>
                <w:b/>
                <w:sz w:val="20"/>
                <w:szCs w:val="20"/>
                <w:lang w:val="af-ZA"/>
              </w:rPr>
              <w:t xml:space="preserve"> </w:t>
            </w:r>
            <w:r w:rsidRPr="0053423A">
              <w:rPr>
                <w:rFonts w:eastAsia="Times New Roman"/>
                <w:b/>
                <w:sz w:val="20"/>
                <w:szCs w:val="20"/>
                <w:lang w:val="hy-AM"/>
              </w:rPr>
              <w:t>իրականացման</w:t>
            </w:r>
            <w:r w:rsidRPr="0053423A">
              <w:rPr>
                <w:rFonts w:eastAsia="Times New Roman"/>
                <w:b/>
                <w:sz w:val="20"/>
                <w:szCs w:val="20"/>
                <w:lang w:val="af-ZA"/>
              </w:rPr>
              <w:t xml:space="preserve"> </w:t>
            </w:r>
            <w:r w:rsidRPr="0053423A">
              <w:rPr>
                <w:rFonts w:eastAsia="Times New Roma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նպատակը</w:t>
            </w:r>
          </w:p>
          <w:p w:rsidR="00626D24" w:rsidRDefault="0084615D" w:rsidP="00A67858">
            <w:pPr>
              <w:tabs>
                <w:tab w:val="num" w:pos="720"/>
              </w:tabs>
              <w:spacing w:after="0" w:line="276" w:lineRule="auto"/>
              <w:jc w:val="both"/>
              <w:rPr>
                <w:rFonts w:cs="Sylfaen"/>
                <w:sz w:val="20"/>
                <w:szCs w:val="20"/>
                <w:lang w:val="af-ZA"/>
              </w:rPr>
            </w:pPr>
            <w:r w:rsidRPr="0053423A">
              <w:rPr>
                <w:rFonts w:cs="Sylfaen"/>
                <w:sz w:val="20"/>
                <w:szCs w:val="20"/>
                <w:lang w:val="af-ZA"/>
              </w:rPr>
              <w:t xml:space="preserve">Միջոցառման իրականացման անհրաժեշտությունը պայմանավորված է 2016 թվականի օգոստոսի 25-ին հավանության արժանացած ՀՀ կառավարության N33-18 արձանագրային որոշմամբ, որի բաղադրիչներն ուղղված են նաև նոր ջրամբարների կառուցմանը, գոյություն ունեցող ենթակառուցվածքների արդիականացմանը, ինստիտուցիոնալ բարեփոխումների խորացմանը, ինչպես նաև ջրօգտագործողների հետ թափանցիկ հարաբերությունների նոր մակարդակի ներդրմանը: </w:t>
            </w:r>
          </w:p>
          <w:p w:rsidR="0084615D" w:rsidRPr="0053423A" w:rsidRDefault="0084615D" w:rsidP="00A67858">
            <w:pPr>
              <w:tabs>
                <w:tab w:val="num" w:pos="720"/>
              </w:tabs>
              <w:spacing w:after="0" w:line="276" w:lineRule="auto"/>
              <w:jc w:val="both"/>
              <w:rPr>
                <w:rFonts w:cs="Sylfaen"/>
                <w:sz w:val="20"/>
                <w:szCs w:val="20"/>
                <w:lang w:val="af-ZA"/>
              </w:rPr>
            </w:pPr>
            <w:r w:rsidRPr="0053423A">
              <w:rPr>
                <w:rFonts w:cs="Sylfaen"/>
                <w:sz w:val="20"/>
                <w:szCs w:val="20"/>
                <w:lang w:val="af-ZA"/>
              </w:rPr>
              <w:t>Միջոցառման իրականացման հիմք է հանդիսանում «</w:t>
            </w:r>
            <w:r w:rsidRPr="0053423A">
              <w:rPr>
                <w:rFonts w:cs="Sylfaen"/>
                <w:sz w:val="20"/>
                <w:szCs w:val="20"/>
                <w:lang w:val="hy-AM"/>
              </w:rPr>
              <w:t>ՀՀ</w:t>
            </w:r>
            <w:r w:rsidRPr="0053423A">
              <w:rPr>
                <w:rFonts w:cs="Sylfaen"/>
                <w:sz w:val="20"/>
                <w:szCs w:val="20"/>
                <w:lang w:val="af-ZA"/>
              </w:rPr>
              <w:t xml:space="preserve"> </w:t>
            </w:r>
            <w:r w:rsidRPr="0053423A">
              <w:rPr>
                <w:rFonts w:cs="Sylfaen"/>
                <w:sz w:val="20"/>
                <w:szCs w:val="20"/>
                <w:lang w:val="hy-AM"/>
              </w:rPr>
              <w:t>ջրի</w:t>
            </w:r>
            <w:r w:rsidRPr="0053423A">
              <w:rPr>
                <w:rFonts w:cs="Sylfaen"/>
                <w:sz w:val="20"/>
                <w:szCs w:val="20"/>
                <w:lang w:val="af-ZA"/>
              </w:rPr>
              <w:t xml:space="preserve"> </w:t>
            </w:r>
            <w:r w:rsidRPr="0053423A">
              <w:rPr>
                <w:rFonts w:cs="Sylfaen"/>
                <w:sz w:val="20"/>
                <w:szCs w:val="20"/>
                <w:lang w:val="hy-AM"/>
              </w:rPr>
              <w:t>ազգային</w:t>
            </w:r>
            <w:r w:rsidRPr="0053423A">
              <w:rPr>
                <w:rFonts w:cs="Sylfaen"/>
                <w:sz w:val="20"/>
                <w:szCs w:val="20"/>
                <w:lang w:val="af-ZA"/>
              </w:rPr>
              <w:t xml:space="preserve"> </w:t>
            </w:r>
            <w:r w:rsidRPr="0053423A">
              <w:rPr>
                <w:rFonts w:cs="Sylfaen"/>
                <w:sz w:val="20"/>
                <w:szCs w:val="20"/>
                <w:lang w:val="hy-AM"/>
              </w:rPr>
              <w:t>ծրագրի</w:t>
            </w:r>
            <w:r w:rsidRPr="0053423A">
              <w:rPr>
                <w:rFonts w:cs="Sylfaen"/>
                <w:sz w:val="20"/>
                <w:szCs w:val="20"/>
                <w:lang w:val="af-ZA"/>
              </w:rPr>
              <w:t xml:space="preserve"> </w:t>
            </w:r>
            <w:r w:rsidRPr="0053423A">
              <w:rPr>
                <w:rFonts w:cs="Sylfaen"/>
                <w:sz w:val="20"/>
                <w:szCs w:val="20"/>
                <w:lang w:val="hy-AM"/>
              </w:rPr>
              <w:t>մասին</w:t>
            </w:r>
            <w:r w:rsidRPr="0053423A">
              <w:rPr>
                <w:rFonts w:cs="Sylfaen"/>
                <w:sz w:val="20"/>
                <w:szCs w:val="20"/>
                <w:lang w:val="af-ZA"/>
              </w:rPr>
              <w:t xml:space="preserve">» </w:t>
            </w:r>
            <w:r w:rsidRPr="0053423A">
              <w:rPr>
                <w:rFonts w:cs="Sylfaen"/>
                <w:sz w:val="20"/>
                <w:szCs w:val="20"/>
                <w:lang w:val="af-ZA"/>
              </w:rPr>
              <w:br/>
            </w:r>
            <w:r w:rsidRPr="0053423A">
              <w:rPr>
                <w:rFonts w:cs="Sylfaen"/>
                <w:sz w:val="20"/>
                <w:szCs w:val="20"/>
                <w:lang w:val="hy-AM"/>
              </w:rPr>
              <w:t>ՀՀ</w:t>
            </w:r>
            <w:r w:rsidRPr="0053423A">
              <w:rPr>
                <w:rFonts w:cs="Sylfaen"/>
                <w:sz w:val="20"/>
                <w:szCs w:val="20"/>
                <w:lang w:val="af-ZA"/>
              </w:rPr>
              <w:t xml:space="preserve"> </w:t>
            </w:r>
            <w:r w:rsidRPr="0053423A">
              <w:rPr>
                <w:rFonts w:cs="Sylfaen"/>
                <w:sz w:val="20"/>
                <w:szCs w:val="20"/>
                <w:lang w:val="hy-AM"/>
              </w:rPr>
              <w:t>օրենքի</w:t>
            </w:r>
            <w:r w:rsidRPr="0053423A">
              <w:rPr>
                <w:rFonts w:cs="Sylfaen"/>
                <w:sz w:val="20"/>
                <w:szCs w:val="20"/>
                <w:lang w:val="af-ZA"/>
              </w:rPr>
              <w:t xml:space="preserve"> 29-</w:t>
            </w:r>
            <w:r w:rsidRPr="0053423A">
              <w:rPr>
                <w:rFonts w:cs="Sylfaen"/>
                <w:sz w:val="20"/>
                <w:szCs w:val="20"/>
                <w:lang w:val="hy-AM"/>
              </w:rPr>
              <w:t>րդ</w:t>
            </w:r>
            <w:r w:rsidRPr="0053423A">
              <w:rPr>
                <w:rFonts w:cs="Sylfaen"/>
                <w:sz w:val="20"/>
                <w:szCs w:val="20"/>
                <w:lang w:val="af-ZA"/>
              </w:rPr>
              <w:t xml:space="preserve"> </w:t>
            </w:r>
            <w:r w:rsidRPr="0053423A">
              <w:rPr>
                <w:rFonts w:cs="Sylfaen"/>
                <w:sz w:val="20"/>
                <w:szCs w:val="20"/>
                <w:lang w:val="hy-AM"/>
              </w:rPr>
              <w:t>հոդվածը</w:t>
            </w:r>
            <w:r w:rsidRPr="0053423A">
              <w:rPr>
                <w:rFonts w:cs="Sylfaen"/>
                <w:sz w:val="20"/>
                <w:szCs w:val="20"/>
                <w:lang w:val="af-ZA"/>
              </w:rPr>
              <w:t xml:space="preserve">, </w:t>
            </w:r>
            <w:r w:rsidRPr="0053423A">
              <w:rPr>
                <w:rFonts w:cs="Sylfaen"/>
                <w:sz w:val="20"/>
                <w:szCs w:val="20"/>
                <w:lang w:val="hy-AM"/>
              </w:rPr>
              <w:t>որով</w:t>
            </w:r>
            <w:r w:rsidRPr="0053423A">
              <w:rPr>
                <w:rFonts w:cs="Sylfaen"/>
                <w:sz w:val="20"/>
                <w:szCs w:val="20"/>
                <w:lang w:val="af-ZA"/>
              </w:rPr>
              <w:t xml:space="preserve"> </w:t>
            </w:r>
            <w:r w:rsidRPr="0053423A">
              <w:rPr>
                <w:rFonts w:cs="Sylfaen"/>
                <w:sz w:val="20"/>
                <w:szCs w:val="20"/>
                <w:lang w:val="hy-AM"/>
              </w:rPr>
              <w:t>սահմանված</w:t>
            </w:r>
            <w:r w:rsidRPr="0053423A">
              <w:rPr>
                <w:rFonts w:cs="Sylfaen"/>
                <w:sz w:val="20"/>
                <w:szCs w:val="20"/>
                <w:lang w:val="af-ZA"/>
              </w:rPr>
              <w:t xml:space="preserve"> </w:t>
            </w:r>
            <w:r w:rsidRPr="0053423A">
              <w:rPr>
                <w:rFonts w:cs="Sylfaen"/>
                <w:sz w:val="20"/>
                <w:szCs w:val="20"/>
                <w:lang w:val="hy-AM"/>
              </w:rPr>
              <w:t>է</w:t>
            </w:r>
            <w:r w:rsidRPr="0053423A">
              <w:rPr>
                <w:rFonts w:cs="Sylfaen"/>
                <w:sz w:val="20"/>
                <w:szCs w:val="20"/>
                <w:lang w:val="af-ZA"/>
              </w:rPr>
              <w:t xml:space="preserve"> </w:t>
            </w:r>
            <w:r w:rsidRPr="0053423A">
              <w:rPr>
                <w:rFonts w:cs="Sylfaen"/>
                <w:sz w:val="20"/>
                <w:szCs w:val="20"/>
                <w:lang w:val="hy-AM"/>
              </w:rPr>
              <w:t>ջրային</w:t>
            </w:r>
            <w:r w:rsidRPr="0053423A">
              <w:rPr>
                <w:rFonts w:cs="Sylfaen"/>
                <w:sz w:val="20"/>
                <w:szCs w:val="20"/>
                <w:lang w:val="af-ZA"/>
              </w:rPr>
              <w:t xml:space="preserve"> </w:t>
            </w:r>
            <w:r w:rsidRPr="0053423A">
              <w:rPr>
                <w:rFonts w:cs="Sylfaen"/>
                <w:sz w:val="20"/>
                <w:szCs w:val="20"/>
                <w:lang w:val="hy-AM"/>
              </w:rPr>
              <w:t>ռեսուրսների</w:t>
            </w:r>
            <w:r w:rsidRPr="0053423A">
              <w:rPr>
                <w:rFonts w:cs="Sylfaen"/>
                <w:sz w:val="20"/>
                <w:szCs w:val="20"/>
                <w:lang w:val="af-ZA"/>
              </w:rPr>
              <w:t xml:space="preserve"> </w:t>
            </w:r>
            <w:r w:rsidRPr="0053423A">
              <w:rPr>
                <w:rFonts w:cs="Sylfaen"/>
                <w:sz w:val="20"/>
                <w:szCs w:val="20"/>
                <w:lang w:val="hy-AM"/>
              </w:rPr>
              <w:t>մատչելիության</w:t>
            </w:r>
            <w:r w:rsidRPr="0053423A">
              <w:rPr>
                <w:rFonts w:cs="Sylfaen"/>
                <w:sz w:val="20"/>
                <w:szCs w:val="20"/>
                <w:lang w:val="af-ZA"/>
              </w:rPr>
              <w:t xml:space="preserve"> </w:t>
            </w:r>
            <w:r w:rsidRPr="0053423A">
              <w:rPr>
                <w:rFonts w:cs="Sylfaen"/>
                <w:sz w:val="20"/>
                <w:szCs w:val="20"/>
                <w:lang w:val="hy-AM"/>
              </w:rPr>
              <w:t>ապահովման</w:t>
            </w:r>
            <w:r w:rsidRPr="0053423A">
              <w:rPr>
                <w:rFonts w:cs="Sylfaen"/>
                <w:sz w:val="20"/>
                <w:szCs w:val="20"/>
                <w:lang w:val="af-ZA"/>
              </w:rPr>
              <w:t xml:space="preserve"> </w:t>
            </w:r>
            <w:r w:rsidRPr="0053423A">
              <w:rPr>
                <w:rFonts w:cs="Sylfaen"/>
                <w:sz w:val="20"/>
                <w:szCs w:val="20"/>
                <w:lang w:val="hy-AM"/>
              </w:rPr>
              <w:t>ուղղությունները</w:t>
            </w:r>
            <w:r w:rsidRPr="0053423A">
              <w:rPr>
                <w:rFonts w:cs="Sylfaen"/>
                <w:sz w:val="20"/>
                <w:szCs w:val="20"/>
                <w:lang w:val="af-ZA"/>
              </w:rPr>
              <w:t>:</w:t>
            </w:r>
          </w:p>
          <w:p w:rsidR="0084615D" w:rsidRPr="0053423A" w:rsidRDefault="00795500" w:rsidP="001F6D5D">
            <w:pPr>
              <w:pStyle w:val="ListParagraph"/>
              <w:numPr>
                <w:ilvl w:val="1"/>
                <w:numId w:val="273"/>
              </w:numPr>
              <w:tabs>
                <w:tab w:val="left" w:pos="900"/>
                <w:tab w:val="left" w:pos="1620"/>
              </w:tabs>
              <w:spacing w:after="0" w:line="276" w:lineRule="auto"/>
              <w:ind w:left="0" w:firstLine="1170"/>
              <w:rPr>
                <w:rFonts w:eastAsia="Times New Roman"/>
                <w:b/>
                <w:sz w:val="20"/>
                <w:szCs w:val="20"/>
                <w:lang w:val="af-ZA"/>
              </w:rPr>
            </w:pPr>
            <w:r w:rsidRPr="0053423A">
              <w:rPr>
                <w:rFonts w:eastAsia="Times New Roman"/>
                <w:b/>
                <w:sz w:val="20"/>
                <w:szCs w:val="20"/>
                <w:lang w:val="ru-RU"/>
              </w:rPr>
              <w:t>Կ</w:t>
            </w:r>
            <w:r w:rsidR="0084615D" w:rsidRPr="0053423A">
              <w:rPr>
                <w:rFonts w:eastAsia="Times New Roman"/>
                <w:b/>
                <w:sz w:val="20"/>
                <w:szCs w:val="20"/>
              </w:rPr>
              <w:t>արգավորման</w:t>
            </w:r>
            <w:r w:rsidR="0084615D" w:rsidRPr="0053423A">
              <w:rPr>
                <w:rFonts w:eastAsia="Times New Roman"/>
                <w:b/>
                <w:sz w:val="20"/>
                <w:szCs w:val="20"/>
                <w:lang w:val="af-ZA"/>
              </w:rPr>
              <w:t xml:space="preserve"> </w:t>
            </w:r>
            <w:r w:rsidR="0084615D" w:rsidRPr="0053423A">
              <w:rPr>
                <w:rFonts w:eastAsia="Times New Roman"/>
                <w:b/>
                <w:sz w:val="20"/>
                <w:szCs w:val="20"/>
              </w:rPr>
              <w:t>հարաբերությունների</w:t>
            </w:r>
            <w:r w:rsidR="0084615D" w:rsidRPr="0053423A">
              <w:rPr>
                <w:rFonts w:eastAsia="Times New Roman"/>
                <w:b/>
                <w:sz w:val="20"/>
                <w:szCs w:val="20"/>
                <w:lang w:val="af-ZA"/>
              </w:rPr>
              <w:t xml:space="preserve"> </w:t>
            </w:r>
            <w:r w:rsidR="0084615D" w:rsidRPr="0053423A">
              <w:rPr>
                <w:rFonts w:eastAsia="Times New Roman"/>
                <w:b/>
                <w:sz w:val="20"/>
                <w:szCs w:val="20"/>
              </w:rPr>
              <w:t>ներկա</w:t>
            </w:r>
            <w:r w:rsidR="0084615D" w:rsidRPr="0053423A">
              <w:rPr>
                <w:rFonts w:eastAsia="Times New Roman"/>
                <w:b/>
                <w:sz w:val="20"/>
                <w:szCs w:val="20"/>
                <w:lang w:val="af-ZA"/>
              </w:rPr>
              <w:t xml:space="preserve"> </w:t>
            </w:r>
            <w:r w:rsidR="0084615D" w:rsidRPr="0053423A">
              <w:rPr>
                <w:rFonts w:eastAsia="Times New Roman"/>
                <w:b/>
                <w:sz w:val="20"/>
                <w:szCs w:val="20"/>
              </w:rPr>
              <w:t>վիճակը</w:t>
            </w:r>
            <w:r w:rsidR="0084615D" w:rsidRPr="0053423A">
              <w:rPr>
                <w:rFonts w:eastAsia="Times New Roman"/>
                <w:b/>
                <w:sz w:val="20"/>
                <w:szCs w:val="20"/>
                <w:lang w:val="af-ZA"/>
              </w:rPr>
              <w:t xml:space="preserve"> </w:t>
            </w:r>
            <w:r w:rsidR="0084615D" w:rsidRPr="0053423A">
              <w:rPr>
                <w:rFonts w:eastAsia="Times New Roman"/>
                <w:b/>
                <w:sz w:val="20"/>
                <w:szCs w:val="20"/>
              </w:rPr>
              <w:t>և</w:t>
            </w:r>
            <w:r w:rsidR="0084615D" w:rsidRPr="0053423A">
              <w:rPr>
                <w:rFonts w:eastAsia="Times New Roman"/>
                <w:b/>
                <w:sz w:val="20"/>
                <w:szCs w:val="20"/>
                <w:lang w:val="af-ZA"/>
              </w:rPr>
              <w:t xml:space="preserve"> </w:t>
            </w:r>
            <w:r w:rsidR="0084615D" w:rsidRPr="0053423A">
              <w:rPr>
                <w:rFonts w:eastAsia="Times New Roman"/>
                <w:b/>
                <w:sz w:val="20"/>
                <w:szCs w:val="20"/>
              </w:rPr>
              <w:t>առկա</w:t>
            </w:r>
            <w:r w:rsidR="0084615D" w:rsidRPr="0053423A">
              <w:rPr>
                <w:rFonts w:eastAsia="Times New Roman"/>
                <w:b/>
                <w:sz w:val="20"/>
                <w:szCs w:val="20"/>
                <w:lang w:val="af-ZA"/>
              </w:rPr>
              <w:t xml:space="preserve"> </w:t>
            </w:r>
            <w:r w:rsidR="0084615D" w:rsidRPr="0053423A">
              <w:rPr>
                <w:rFonts w:eastAsia="Times New Roman"/>
                <w:b/>
                <w:sz w:val="20"/>
                <w:szCs w:val="20"/>
              </w:rPr>
              <w:t>խնդիրները</w:t>
            </w:r>
          </w:p>
          <w:p w:rsidR="0084615D" w:rsidRPr="0053423A" w:rsidRDefault="0084615D" w:rsidP="00A67858">
            <w:pPr>
              <w:spacing w:after="0" w:line="276" w:lineRule="auto"/>
              <w:jc w:val="both"/>
              <w:rPr>
                <w:b/>
                <w:i/>
                <w:sz w:val="20"/>
                <w:szCs w:val="20"/>
                <w:lang w:val="af-ZA"/>
              </w:rPr>
            </w:pPr>
            <w:r w:rsidRPr="0053423A">
              <w:rPr>
                <w:sz w:val="20"/>
                <w:szCs w:val="20"/>
                <w:lang w:val="hy-AM"/>
              </w:rPr>
              <w:t>Կապսի</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lang w:val="hy-AM"/>
              </w:rPr>
              <w:t>Վեդու ջրամբարների իշխման տակ ընկած տարածաշրջաններում ձևավորվող մակերևութային ջրահոսքերի ռեժիմի կառավարման բացակայության պատճառով տարեկան շուրջ</w:t>
            </w:r>
            <w:r w:rsidRPr="0053423A">
              <w:rPr>
                <w:sz w:val="20"/>
                <w:szCs w:val="20"/>
                <w:lang w:val="af-ZA"/>
              </w:rPr>
              <w:t xml:space="preserve"> 6</w:t>
            </w:r>
            <w:r w:rsidRPr="0053423A">
              <w:rPr>
                <w:sz w:val="20"/>
                <w:szCs w:val="20"/>
                <w:lang w:val="hy-AM"/>
              </w:rPr>
              <w:t>0-</w:t>
            </w:r>
            <w:r w:rsidRPr="0053423A">
              <w:rPr>
                <w:sz w:val="20"/>
                <w:szCs w:val="20"/>
                <w:lang w:val="af-ZA"/>
              </w:rPr>
              <w:t>70</w:t>
            </w:r>
            <w:r w:rsidRPr="0053423A">
              <w:rPr>
                <w:sz w:val="20"/>
                <w:szCs w:val="20"/>
                <w:lang w:val="hy-AM"/>
              </w:rPr>
              <w:t xml:space="preserve"> մլն.խոր.մ ջուր չի օգտագործվում հանրապետության տնտեսությունում, մասնավորապես, ոռոգման ոլորտում:</w:t>
            </w:r>
          </w:p>
          <w:p w:rsidR="0084615D" w:rsidRPr="0053423A" w:rsidRDefault="0084615D" w:rsidP="00A67858">
            <w:pPr>
              <w:pStyle w:val="ListParagraph"/>
              <w:tabs>
                <w:tab w:val="left" w:pos="900"/>
              </w:tabs>
              <w:spacing w:after="0" w:line="276" w:lineRule="auto"/>
              <w:ind w:left="0" w:firstLine="1080"/>
              <w:rPr>
                <w:b/>
                <w:sz w:val="20"/>
                <w:szCs w:val="20"/>
                <w:lang w:val="af-ZA"/>
              </w:rPr>
            </w:pPr>
            <w:r w:rsidRPr="0053423A">
              <w:rPr>
                <w:b/>
                <w:sz w:val="20"/>
                <w:szCs w:val="20"/>
                <w:lang w:val="af-ZA"/>
              </w:rPr>
              <w:t>1.</w:t>
            </w:r>
            <w:r w:rsidRPr="0053423A">
              <w:rPr>
                <w:rFonts w:eastAsia="Times New Roman"/>
                <w:b/>
                <w:sz w:val="20"/>
                <w:szCs w:val="20"/>
                <w:lang w:val="af-ZA"/>
              </w:rPr>
              <w:t>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w:t>
            </w:r>
            <w:r w:rsidR="00795500" w:rsidRPr="0053423A">
              <w:rPr>
                <w:rFonts w:eastAsia="Times New Roman"/>
                <w:b/>
                <w:sz w:val="20"/>
                <w:szCs w:val="20"/>
                <w:lang w:val="ru-RU"/>
              </w:rPr>
              <w:t>Ա</w:t>
            </w:r>
            <w:r w:rsidRPr="0053423A">
              <w:rPr>
                <w:rFonts w:eastAsia="Times New Roman"/>
                <w:b/>
                <w:sz w:val="20"/>
                <w:szCs w:val="20"/>
              </w:rPr>
              <w:t>ռկա</w:t>
            </w:r>
            <w:r w:rsidRPr="0053423A">
              <w:rPr>
                <w:rFonts w:eastAsia="Times New Roman"/>
                <w:b/>
                <w:sz w:val="20"/>
                <w:szCs w:val="20"/>
                <w:lang w:val="af-ZA"/>
              </w:rPr>
              <w:t xml:space="preserve"> </w:t>
            </w:r>
            <w:r w:rsidRPr="0053423A">
              <w:rPr>
                <w:rFonts w:eastAsia="Times New Roman"/>
                <w:b/>
                <w:sz w:val="20"/>
                <w:szCs w:val="20"/>
              </w:rPr>
              <w:t>խնդիրների</w:t>
            </w:r>
            <w:r w:rsidRPr="0053423A">
              <w:rPr>
                <w:rFonts w:eastAsia="Times New Roman"/>
                <w:b/>
                <w:sz w:val="20"/>
                <w:szCs w:val="20"/>
                <w:lang w:val="af-ZA"/>
              </w:rPr>
              <w:t xml:space="preserve"> </w:t>
            </w:r>
            <w:r w:rsidRPr="0053423A">
              <w:rPr>
                <w:rFonts w:eastAsia="Times New Roman"/>
                <w:b/>
                <w:sz w:val="20"/>
                <w:szCs w:val="20"/>
              </w:rPr>
              <w:t>առաջարկվող</w:t>
            </w:r>
            <w:r w:rsidRPr="0053423A">
              <w:rPr>
                <w:rFonts w:eastAsia="Times New Roman"/>
                <w:b/>
                <w:sz w:val="20"/>
                <w:szCs w:val="20"/>
                <w:lang w:val="af-ZA"/>
              </w:rPr>
              <w:t xml:space="preserve"> </w:t>
            </w:r>
            <w:r w:rsidRPr="0053423A">
              <w:rPr>
                <w:rFonts w:eastAsia="Times New Roman"/>
                <w:b/>
                <w:sz w:val="20"/>
                <w:szCs w:val="20"/>
              </w:rPr>
              <w:t>լուծումները</w:t>
            </w:r>
          </w:p>
          <w:p w:rsidR="0084615D" w:rsidRPr="0053423A" w:rsidRDefault="0084615D" w:rsidP="00A67858">
            <w:pPr>
              <w:spacing w:after="0" w:line="276" w:lineRule="auto"/>
              <w:jc w:val="both"/>
              <w:rPr>
                <w:sz w:val="20"/>
                <w:szCs w:val="20"/>
                <w:lang w:val="af-ZA"/>
              </w:rPr>
            </w:pPr>
            <w:r w:rsidRPr="0053423A">
              <w:rPr>
                <w:rFonts w:cs="Sylfaen"/>
                <w:sz w:val="20"/>
                <w:szCs w:val="20"/>
                <w:lang w:val="af-ZA"/>
              </w:rPr>
              <w:t xml:space="preserve">Նախատեսվում է </w:t>
            </w:r>
            <w:r w:rsidRPr="0053423A">
              <w:rPr>
                <w:sz w:val="20"/>
                <w:szCs w:val="20"/>
                <w:lang w:val="hy-AM"/>
              </w:rPr>
              <w:t>Կապսի,</w:t>
            </w:r>
            <w:r w:rsidRPr="0053423A">
              <w:rPr>
                <w:sz w:val="20"/>
                <w:szCs w:val="20"/>
                <w:lang w:val="af-ZA"/>
              </w:rPr>
              <w:t xml:space="preserve"> </w:t>
            </w:r>
            <w:r w:rsidRPr="0053423A">
              <w:rPr>
                <w:sz w:val="20"/>
                <w:szCs w:val="20"/>
                <w:lang w:val="hy-AM"/>
              </w:rPr>
              <w:t>Վեդու, ջրամբարների</w:t>
            </w:r>
            <w:r w:rsidRPr="0053423A">
              <w:rPr>
                <w:sz w:val="20"/>
                <w:szCs w:val="20"/>
                <w:lang w:val="af-ZA"/>
              </w:rPr>
              <w:t xml:space="preserve"> </w:t>
            </w:r>
            <w:r w:rsidRPr="0053423A">
              <w:rPr>
                <w:sz w:val="20"/>
                <w:szCs w:val="20"/>
              </w:rPr>
              <w:t>կառուցմամբ</w:t>
            </w:r>
            <w:r w:rsidRPr="0053423A">
              <w:rPr>
                <w:sz w:val="20"/>
                <w:szCs w:val="20"/>
                <w:lang w:val="af-ZA"/>
              </w:rPr>
              <w:t xml:space="preserve"> </w:t>
            </w:r>
            <w:r w:rsidRPr="0053423A">
              <w:rPr>
                <w:sz w:val="20"/>
                <w:szCs w:val="20"/>
              </w:rPr>
              <w:t>բարելավել</w:t>
            </w:r>
            <w:r w:rsidRPr="0053423A">
              <w:rPr>
                <w:sz w:val="20"/>
                <w:szCs w:val="20"/>
                <w:lang w:val="af-ZA"/>
              </w:rPr>
              <w:t xml:space="preserve"> </w:t>
            </w:r>
            <w:r w:rsidRPr="0053423A">
              <w:rPr>
                <w:sz w:val="20"/>
                <w:szCs w:val="20"/>
                <w:lang w:val="hy-AM"/>
              </w:rPr>
              <w:t xml:space="preserve">ջրամբարների իշխման տակ ընկած </w:t>
            </w:r>
            <w:r w:rsidRPr="0053423A">
              <w:rPr>
                <w:sz w:val="20"/>
                <w:szCs w:val="20"/>
              </w:rPr>
              <w:t>հողատարածքների</w:t>
            </w:r>
            <w:r w:rsidRPr="0053423A">
              <w:rPr>
                <w:sz w:val="20"/>
                <w:szCs w:val="20"/>
                <w:lang w:val="af-ZA"/>
              </w:rPr>
              <w:t xml:space="preserve"> </w:t>
            </w:r>
            <w:r w:rsidRPr="0053423A">
              <w:rPr>
                <w:sz w:val="20"/>
                <w:szCs w:val="20"/>
              </w:rPr>
              <w:t>ջրամատակարարումը</w:t>
            </w:r>
            <w:r w:rsidRPr="0053423A">
              <w:rPr>
                <w:sz w:val="20"/>
                <w:szCs w:val="20"/>
                <w:lang w:val="af-ZA"/>
              </w:rPr>
              <w:t xml:space="preserve">, </w:t>
            </w:r>
            <w:r w:rsidRPr="0053423A">
              <w:rPr>
                <w:sz w:val="20"/>
                <w:szCs w:val="20"/>
              </w:rPr>
              <w:t>ավելացնել</w:t>
            </w:r>
            <w:r w:rsidRPr="0053423A">
              <w:rPr>
                <w:sz w:val="20"/>
                <w:szCs w:val="20"/>
                <w:lang w:val="af-ZA"/>
              </w:rPr>
              <w:t xml:space="preserve"> նոր </w:t>
            </w:r>
            <w:r w:rsidRPr="0053423A">
              <w:rPr>
                <w:sz w:val="20"/>
                <w:szCs w:val="20"/>
              </w:rPr>
              <w:t>հողատարածքներ</w:t>
            </w:r>
            <w:r w:rsidRPr="0053423A">
              <w:rPr>
                <w:sz w:val="20"/>
                <w:szCs w:val="20"/>
                <w:lang w:val="af-ZA"/>
              </w:rPr>
              <w:t xml:space="preserve">, </w:t>
            </w:r>
            <w:r w:rsidRPr="0053423A">
              <w:rPr>
                <w:sz w:val="20"/>
                <w:szCs w:val="20"/>
              </w:rPr>
              <w:t>մեխանիկական</w:t>
            </w:r>
            <w:r w:rsidRPr="0053423A">
              <w:rPr>
                <w:sz w:val="20"/>
                <w:szCs w:val="20"/>
                <w:lang w:val="af-ZA"/>
              </w:rPr>
              <w:t xml:space="preserve"> </w:t>
            </w:r>
            <w:r w:rsidRPr="0053423A">
              <w:rPr>
                <w:sz w:val="20"/>
                <w:szCs w:val="20"/>
              </w:rPr>
              <w:t>ջրարտադրության</w:t>
            </w:r>
            <w:r w:rsidRPr="0053423A">
              <w:rPr>
                <w:sz w:val="20"/>
                <w:szCs w:val="20"/>
                <w:lang w:val="af-ZA"/>
              </w:rPr>
              <w:t xml:space="preserve"> </w:t>
            </w:r>
            <w:r w:rsidRPr="0053423A">
              <w:rPr>
                <w:sz w:val="20"/>
                <w:szCs w:val="20"/>
              </w:rPr>
              <w:t>ինքնահոսով</w:t>
            </w:r>
            <w:r w:rsidRPr="0053423A">
              <w:rPr>
                <w:sz w:val="20"/>
                <w:szCs w:val="20"/>
                <w:lang w:val="af-ZA"/>
              </w:rPr>
              <w:t xml:space="preserve"> </w:t>
            </w:r>
            <w:r w:rsidRPr="0053423A">
              <w:rPr>
                <w:sz w:val="20"/>
                <w:szCs w:val="20"/>
              </w:rPr>
              <w:t>փոխարինելու</w:t>
            </w:r>
            <w:r w:rsidRPr="0053423A">
              <w:rPr>
                <w:sz w:val="20"/>
                <w:szCs w:val="20"/>
                <w:lang w:val="af-ZA"/>
              </w:rPr>
              <w:t xml:space="preserve"> </w:t>
            </w:r>
            <w:r w:rsidRPr="0053423A">
              <w:rPr>
                <w:sz w:val="20"/>
                <w:szCs w:val="20"/>
              </w:rPr>
              <w:t>արդյունքում</w:t>
            </w:r>
            <w:r w:rsidRPr="0053423A">
              <w:rPr>
                <w:sz w:val="20"/>
                <w:szCs w:val="20"/>
                <w:lang w:val="af-ZA"/>
              </w:rPr>
              <w:t xml:space="preserve"> </w:t>
            </w:r>
            <w:r w:rsidRPr="0053423A">
              <w:rPr>
                <w:sz w:val="20"/>
                <w:szCs w:val="20"/>
              </w:rPr>
              <w:t>համակարգի</w:t>
            </w:r>
            <w:r w:rsidRPr="0053423A">
              <w:rPr>
                <w:sz w:val="20"/>
                <w:szCs w:val="20"/>
                <w:lang w:val="af-ZA"/>
              </w:rPr>
              <w:t xml:space="preserve"> </w:t>
            </w:r>
            <w:r w:rsidRPr="0053423A">
              <w:rPr>
                <w:sz w:val="20"/>
                <w:szCs w:val="20"/>
              </w:rPr>
              <w:t>համար</w:t>
            </w:r>
            <w:r w:rsidRPr="0053423A">
              <w:rPr>
                <w:sz w:val="20"/>
                <w:szCs w:val="20"/>
                <w:lang w:val="af-ZA"/>
              </w:rPr>
              <w:t xml:space="preserve"> </w:t>
            </w:r>
            <w:r w:rsidRPr="0053423A">
              <w:rPr>
                <w:sz w:val="20"/>
                <w:szCs w:val="20"/>
              </w:rPr>
              <w:t>կտնտեսվի</w:t>
            </w:r>
            <w:r w:rsidRPr="0053423A">
              <w:rPr>
                <w:sz w:val="20"/>
                <w:szCs w:val="20"/>
                <w:lang w:val="af-ZA"/>
              </w:rPr>
              <w:t xml:space="preserve"> շուրջ 20-25 մլն,կՎտ ժամ էլ.էներգիա: </w:t>
            </w:r>
          </w:p>
          <w:p w:rsidR="0084615D" w:rsidRPr="0053423A" w:rsidRDefault="0084615D" w:rsidP="00A67858">
            <w:pPr>
              <w:pStyle w:val="ListParagraph"/>
              <w:tabs>
                <w:tab w:val="left" w:pos="1620"/>
              </w:tabs>
              <w:spacing w:after="0" w:line="276" w:lineRule="auto"/>
              <w:ind w:left="0" w:firstLine="1080"/>
              <w:rPr>
                <w:b/>
                <w:sz w:val="20"/>
                <w:szCs w:val="20"/>
                <w:lang w:val="af-ZA"/>
              </w:rPr>
            </w:pPr>
            <w:r w:rsidRPr="0053423A">
              <w:rPr>
                <w:b/>
                <w:sz w:val="20"/>
                <w:szCs w:val="20"/>
                <w:lang w:val="af-ZA"/>
              </w:rPr>
              <w:t>2.</w:t>
            </w:r>
            <w:r w:rsidRPr="0053423A">
              <w:rPr>
                <w:rFonts w:ascii="Calibri" w:hAnsi="Calibri" w:cs="Calibri"/>
                <w:b/>
                <w:sz w:val="20"/>
                <w:szCs w:val="20"/>
                <w:lang w:val="af-ZA"/>
              </w:rPr>
              <w:t> </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իրակացումից</w:t>
            </w:r>
            <w:r w:rsidRPr="0053423A">
              <w:rPr>
                <w:rFonts w:eastAsia="Times New Roman"/>
                <w:b/>
                <w:sz w:val="20"/>
                <w:szCs w:val="20"/>
                <w:lang w:val="af-ZA"/>
              </w:rPr>
              <w:t xml:space="preserve"> </w:t>
            </w:r>
            <w:r w:rsidRPr="0053423A">
              <w:rPr>
                <w:rFonts w:eastAsia="Times New Roman"/>
                <w:b/>
                <w:sz w:val="20"/>
                <w:szCs w:val="20"/>
              </w:rPr>
              <w:t>ակնկալվող</w:t>
            </w:r>
            <w:r w:rsidRPr="0053423A">
              <w:rPr>
                <w:rFonts w:eastAsia="Times New Roman"/>
                <w:b/>
                <w:sz w:val="20"/>
                <w:szCs w:val="20"/>
                <w:lang w:val="af-ZA"/>
              </w:rPr>
              <w:t xml:space="preserve"> </w:t>
            </w:r>
            <w:r w:rsidRPr="0053423A">
              <w:rPr>
                <w:rFonts w:eastAsia="Times New Roman"/>
                <w:b/>
                <w:sz w:val="20"/>
                <w:szCs w:val="20"/>
              </w:rPr>
              <w:t>արդյունքը</w:t>
            </w:r>
          </w:p>
          <w:p w:rsidR="0084615D" w:rsidRPr="0053423A" w:rsidRDefault="0084615D" w:rsidP="00A67858">
            <w:pPr>
              <w:tabs>
                <w:tab w:val="num" w:pos="720"/>
              </w:tabs>
              <w:spacing w:after="0" w:line="276" w:lineRule="auto"/>
              <w:jc w:val="both"/>
              <w:rPr>
                <w:rFonts w:cs="GHEA Grapalat"/>
                <w:b/>
                <w:sz w:val="20"/>
                <w:szCs w:val="20"/>
                <w:lang w:val="af-ZA"/>
              </w:rPr>
            </w:pPr>
            <w:r w:rsidRPr="0053423A">
              <w:rPr>
                <w:rFonts w:cs="Sylfaen"/>
                <w:spacing w:val="-8"/>
                <w:sz w:val="20"/>
                <w:szCs w:val="20"/>
                <w:lang w:val="af-ZA"/>
              </w:rPr>
              <w:t>Ջրամբարաշինության միջոցով հնարավորություն կստեղծվի ապահովելու ոռոգման համակարգերի սպասարկման տարածքում ընդգրկված և լրացուցիչ ոռոգելի հողերի ջրամատակարարման համար անհրաժեշտ ջրի քանակը: Միաժամանակ՝ նշված խնդրի լուծումն անհրաժեշտ նախադրյալներ կստեղծի ջրային համակարգերի օգտագործման արդյունավետության բարձրացման և կայուն զարգացման համար:</w:t>
            </w:r>
          </w:p>
        </w:tc>
      </w:tr>
      <w:tr w:rsidR="0084615D" w:rsidRPr="00DE2EFA" w:rsidTr="00844C90">
        <w:tc>
          <w:tcPr>
            <w:tcW w:w="461" w:type="dxa"/>
            <w:shd w:val="clear" w:color="auto" w:fill="auto"/>
          </w:tcPr>
          <w:p w:rsidR="0084615D" w:rsidRPr="0053423A" w:rsidRDefault="00626D24" w:rsidP="00A67858">
            <w:pPr>
              <w:spacing w:after="0" w:line="276" w:lineRule="auto"/>
              <w:jc w:val="center"/>
              <w:rPr>
                <w:rFonts w:eastAsia="Times New Roman"/>
                <w:b/>
                <w:bCs/>
                <w:sz w:val="20"/>
                <w:szCs w:val="20"/>
                <w:lang w:val="hy-AM"/>
              </w:rPr>
            </w:pPr>
            <w:r>
              <w:rPr>
                <w:rFonts w:eastAsia="Times New Roman"/>
                <w:b/>
                <w:bCs/>
                <w:sz w:val="20"/>
                <w:szCs w:val="20"/>
                <w:lang w:val="hy-AM"/>
              </w:rPr>
              <w:t>26</w:t>
            </w:r>
          </w:p>
        </w:tc>
        <w:tc>
          <w:tcPr>
            <w:tcW w:w="10879" w:type="dxa"/>
            <w:shd w:val="clear" w:color="auto" w:fill="auto"/>
          </w:tcPr>
          <w:p w:rsidR="0084615D" w:rsidRPr="0053423A" w:rsidRDefault="0084615D" w:rsidP="00A67858">
            <w:pPr>
              <w:spacing w:after="0" w:line="276" w:lineRule="auto"/>
              <w:jc w:val="center"/>
              <w:rPr>
                <w:b/>
                <w:color w:val="000000"/>
                <w:sz w:val="20"/>
                <w:szCs w:val="20"/>
                <w:lang w:val="hy-AM"/>
              </w:rPr>
            </w:pPr>
            <w:r w:rsidRPr="0053423A">
              <w:rPr>
                <w:b/>
                <w:color w:val="000000"/>
                <w:sz w:val="20"/>
                <w:szCs w:val="20"/>
                <w:lang w:val="af-ZA"/>
              </w:rPr>
              <w:t xml:space="preserve">2019 </w:t>
            </w:r>
            <w:r w:rsidRPr="0053423A">
              <w:rPr>
                <w:b/>
                <w:color w:val="000000"/>
                <w:sz w:val="20"/>
                <w:szCs w:val="20"/>
                <w:lang w:val="hy-AM"/>
              </w:rPr>
              <w:t>թվականին</w:t>
            </w:r>
            <w:r w:rsidRPr="0053423A">
              <w:rPr>
                <w:b/>
                <w:color w:val="000000"/>
                <w:sz w:val="20"/>
                <w:szCs w:val="20"/>
                <w:lang w:val="af-ZA"/>
              </w:rPr>
              <w:t xml:space="preserve"> «</w:t>
            </w:r>
            <w:r w:rsidRPr="0053423A">
              <w:rPr>
                <w:b/>
                <w:color w:val="000000"/>
                <w:sz w:val="20"/>
                <w:szCs w:val="20"/>
                <w:lang w:val="hy-AM"/>
              </w:rPr>
              <w:t>Արփա</w:t>
            </w:r>
            <w:r w:rsidRPr="0053423A">
              <w:rPr>
                <w:b/>
                <w:color w:val="000000"/>
                <w:sz w:val="20"/>
                <w:szCs w:val="20"/>
                <w:lang w:val="af-ZA"/>
              </w:rPr>
              <w:t>-</w:t>
            </w:r>
            <w:r w:rsidRPr="0053423A">
              <w:rPr>
                <w:b/>
                <w:color w:val="000000"/>
                <w:sz w:val="20"/>
                <w:szCs w:val="20"/>
                <w:lang w:val="hy-AM"/>
              </w:rPr>
              <w:t>Սևան</w:t>
            </w:r>
            <w:r w:rsidRPr="0053423A">
              <w:rPr>
                <w:b/>
                <w:color w:val="000000"/>
                <w:sz w:val="20"/>
                <w:szCs w:val="20"/>
                <w:lang w:val="af-ZA"/>
              </w:rPr>
              <w:t xml:space="preserve">» N 2 </w:t>
            </w:r>
            <w:r w:rsidRPr="0053423A">
              <w:rPr>
                <w:b/>
                <w:color w:val="000000"/>
                <w:sz w:val="20"/>
                <w:szCs w:val="20"/>
                <w:lang w:val="hy-AM"/>
              </w:rPr>
              <w:t>թունելի</w:t>
            </w:r>
            <w:r w:rsidRPr="0053423A">
              <w:rPr>
                <w:b/>
                <w:color w:val="000000"/>
                <w:sz w:val="20"/>
                <w:szCs w:val="20"/>
                <w:lang w:val="af-ZA"/>
              </w:rPr>
              <w:t xml:space="preserve"> </w:t>
            </w:r>
            <w:r w:rsidRPr="0053423A">
              <w:rPr>
                <w:b/>
                <w:color w:val="000000"/>
                <w:sz w:val="20"/>
                <w:szCs w:val="20"/>
                <w:lang w:val="hy-AM"/>
              </w:rPr>
              <w:t>առանձին</w:t>
            </w:r>
            <w:r w:rsidRPr="0053423A">
              <w:rPr>
                <w:b/>
                <w:color w:val="000000"/>
                <w:sz w:val="20"/>
                <w:szCs w:val="20"/>
                <w:lang w:val="af-ZA"/>
              </w:rPr>
              <w:t xml:space="preserve"> </w:t>
            </w:r>
            <w:r w:rsidRPr="0053423A">
              <w:rPr>
                <w:b/>
                <w:color w:val="000000"/>
                <w:sz w:val="20"/>
                <w:szCs w:val="20"/>
                <w:lang w:val="hy-AM"/>
              </w:rPr>
              <w:t>վթարային</w:t>
            </w:r>
            <w:r w:rsidRPr="0053423A">
              <w:rPr>
                <w:b/>
                <w:color w:val="000000"/>
                <w:sz w:val="20"/>
                <w:szCs w:val="20"/>
                <w:lang w:val="af-ZA"/>
              </w:rPr>
              <w:t xml:space="preserve"> </w:t>
            </w:r>
            <w:r w:rsidRPr="0053423A">
              <w:rPr>
                <w:b/>
                <w:color w:val="000000"/>
                <w:sz w:val="20"/>
                <w:szCs w:val="20"/>
                <w:lang w:val="hy-AM"/>
              </w:rPr>
              <w:t>հատվածների</w:t>
            </w:r>
            <w:r w:rsidRPr="0053423A">
              <w:rPr>
                <w:b/>
                <w:color w:val="000000"/>
                <w:sz w:val="20"/>
                <w:szCs w:val="20"/>
                <w:lang w:val="af-ZA"/>
              </w:rPr>
              <w:t xml:space="preserve"> </w:t>
            </w:r>
            <w:r w:rsidRPr="0053423A">
              <w:rPr>
                <w:b/>
                <w:color w:val="000000"/>
                <w:sz w:val="20"/>
                <w:szCs w:val="20"/>
                <w:lang w:val="hy-AM"/>
              </w:rPr>
              <w:t>հիմնանորոգման</w:t>
            </w:r>
            <w:r w:rsidRPr="0053423A">
              <w:rPr>
                <w:b/>
                <w:color w:val="000000"/>
                <w:sz w:val="20"/>
                <w:szCs w:val="20"/>
                <w:lang w:val="af-ZA"/>
              </w:rPr>
              <w:t xml:space="preserve"> </w:t>
            </w:r>
            <w:r w:rsidRPr="0053423A">
              <w:rPr>
                <w:b/>
                <w:color w:val="000000"/>
                <w:sz w:val="20"/>
                <w:szCs w:val="20"/>
                <w:lang w:val="hy-AM"/>
              </w:rPr>
              <w:t>աշխատանքների</w:t>
            </w:r>
            <w:r w:rsidRPr="0053423A">
              <w:rPr>
                <w:b/>
                <w:color w:val="000000"/>
                <w:sz w:val="20"/>
                <w:szCs w:val="20"/>
                <w:lang w:val="af-ZA"/>
              </w:rPr>
              <w:t xml:space="preserve"> </w:t>
            </w:r>
            <w:r w:rsidRPr="0053423A">
              <w:rPr>
                <w:b/>
                <w:color w:val="000000"/>
                <w:sz w:val="20"/>
                <w:szCs w:val="20"/>
                <w:lang w:val="hy-AM"/>
              </w:rPr>
              <w:t>ավարտ</w:t>
            </w:r>
          </w:p>
          <w:p w:rsidR="0084615D" w:rsidRPr="0053423A" w:rsidRDefault="0084615D" w:rsidP="00A67858">
            <w:pPr>
              <w:spacing w:after="0" w:line="276" w:lineRule="auto"/>
              <w:jc w:val="center"/>
              <w:rPr>
                <w:b/>
                <w:color w:val="000000"/>
                <w:sz w:val="20"/>
                <w:szCs w:val="20"/>
                <w:lang w:val="hy-AM"/>
              </w:rPr>
            </w:pPr>
          </w:p>
          <w:p w:rsidR="0084615D" w:rsidRPr="0053423A" w:rsidRDefault="00626D24" w:rsidP="00A67858">
            <w:pPr>
              <w:tabs>
                <w:tab w:val="left" w:pos="1170"/>
              </w:tabs>
              <w:spacing w:after="0" w:line="276" w:lineRule="auto"/>
              <w:ind w:left="720"/>
              <w:jc w:val="center"/>
              <w:rPr>
                <w:b/>
                <w:sz w:val="20"/>
                <w:szCs w:val="20"/>
                <w:u w:val="single"/>
                <w:lang w:val="af-ZA"/>
              </w:rPr>
            </w:pPr>
            <w:r>
              <w:rPr>
                <w:b/>
                <w:sz w:val="20"/>
                <w:szCs w:val="20"/>
                <w:u w:val="single"/>
                <w:lang w:val="af-ZA"/>
              </w:rPr>
              <w:t>26</w:t>
            </w:r>
            <w:r w:rsidR="0084615D" w:rsidRPr="0053423A">
              <w:rPr>
                <w:b/>
                <w:sz w:val="20"/>
                <w:szCs w:val="20"/>
                <w:u w:val="single"/>
                <w:lang w:val="af-ZA"/>
              </w:rPr>
              <w:t>.1 «Արփա-Սևան» հիդրոտեխնիկական կառույցի վթարային հատվածների վերականգնում</w:t>
            </w:r>
          </w:p>
          <w:p w:rsidR="0084615D" w:rsidRPr="0053423A" w:rsidRDefault="0084615D" w:rsidP="00A67858">
            <w:pPr>
              <w:pStyle w:val="ListParagraph"/>
              <w:tabs>
                <w:tab w:val="left" w:pos="810"/>
              </w:tabs>
              <w:spacing w:after="0" w:line="276" w:lineRule="auto"/>
              <w:ind w:left="0" w:firstLine="1080"/>
              <w:jc w:val="center"/>
              <w:rPr>
                <w:rFonts w:cs="Courier New"/>
                <w:b/>
                <w:sz w:val="20"/>
                <w:szCs w:val="20"/>
                <w:lang w:val="af-ZA"/>
              </w:rPr>
            </w:pPr>
          </w:p>
          <w:p w:rsidR="0084615D" w:rsidRPr="0053423A" w:rsidRDefault="0084615D" w:rsidP="00A67858">
            <w:pPr>
              <w:pStyle w:val="ListParagraph"/>
              <w:tabs>
                <w:tab w:val="left" w:pos="810"/>
              </w:tabs>
              <w:spacing w:after="0" w:line="276" w:lineRule="auto"/>
              <w:ind w:left="0" w:firstLine="1080"/>
              <w:rPr>
                <w:b/>
                <w:sz w:val="20"/>
                <w:szCs w:val="20"/>
                <w:lang w:val="af-ZA"/>
              </w:rPr>
            </w:pPr>
            <w:r w:rsidRPr="0053423A">
              <w:rPr>
                <w:rFonts w:cs="Courier New"/>
                <w:b/>
                <w:sz w:val="20"/>
                <w:szCs w:val="20"/>
                <w:lang w:val="af-ZA"/>
              </w:rPr>
              <w:t>1</w:t>
            </w:r>
            <w:r w:rsidRPr="0053423A">
              <w:rPr>
                <w:rFonts w:eastAsia="Times New Roman" w:cs="Courier New"/>
                <w:b/>
                <w:sz w:val="20"/>
                <w:szCs w:val="20"/>
                <w:lang w:val="af-ZA"/>
              </w:rPr>
              <w:t>.</w:t>
            </w:r>
            <w:r w:rsidRPr="0053423A">
              <w:rPr>
                <w:rFonts w:ascii="Calibri" w:eastAsia="Times New Roman" w:hAnsi="Calibri" w:cs="Calibri"/>
                <w:b/>
                <w:sz w:val="20"/>
                <w:szCs w:val="20"/>
                <w:lang w:val="af-ZA"/>
              </w:rPr>
              <w:t> </w:t>
            </w:r>
            <w:r w:rsidRPr="0053423A">
              <w:rPr>
                <w:rFonts w:eastAsia="Times New Roman"/>
                <w:b/>
                <w:sz w:val="20"/>
                <w:szCs w:val="20"/>
                <w:lang w:val="hy-AM"/>
              </w:rPr>
              <w:t>Միջոցառման</w:t>
            </w:r>
            <w:r w:rsidRPr="0053423A">
              <w:rPr>
                <w:rFonts w:eastAsia="Times New Roman"/>
                <w:b/>
                <w:sz w:val="20"/>
                <w:szCs w:val="20"/>
                <w:lang w:val="af-ZA"/>
              </w:rPr>
              <w:t xml:space="preserve"> </w:t>
            </w:r>
            <w:r w:rsidRPr="0053423A">
              <w:rPr>
                <w:rFonts w:eastAsia="Times New Roman"/>
                <w:b/>
                <w:sz w:val="20"/>
                <w:szCs w:val="20"/>
                <w:lang w:val="hy-AM"/>
              </w:rPr>
              <w:t>իրականացման</w:t>
            </w:r>
            <w:r w:rsidRPr="0053423A">
              <w:rPr>
                <w:rFonts w:eastAsia="Times New Roman"/>
                <w:b/>
                <w:sz w:val="20"/>
                <w:szCs w:val="20"/>
                <w:lang w:val="af-ZA"/>
              </w:rPr>
              <w:t xml:space="preserve"> </w:t>
            </w:r>
            <w:r w:rsidRPr="0053423A">
              <w:rPr>
                <w:rFonts w:eastAsia="Times New Roma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նպատակը</w:t>
            </w:r>
          </w:p>
          <w:p w:rsidR="0084615D" w:rsidRPr="0053423A" w:rsidRDefault="0084615D" w:rsidP="00A67858">
            <w:pPr>
              <w:tabs>
                <w:tab w:val="num" w:pos="720"/>
              </w:tabs>
              <w:spacing w:after="0" w:line="276" w:lineRule="auto"/>
              <w:jc w:val="both"/>
              <w:rPr>
                <w:sz w:val="20"/>
                <w:szCs w:val="20"/>
                <w:lang w:val="af-ZA"/>
              </w:rPr>
            </w:pPr>
            <w:r w:rsidRPr="0053423A">
              <w:rPr>
                <w:sz w:val="20"/>
                <w:szCs w:val="20"/>
                <w:lang w:val="af-ZA"/>
              </w:rPr>
              <w:t xml:space="preserve">Հիմք ընդունելով </w:t>
            </w:r>
            <w:r w:rsidRPr="0053423A">
              <w:rPr>
                <w:rFonts w:cs="GHEA Grapalat"/>
                <w:sz w:val="20"/>
                <w:szCs w:val="20"/>
                <w:lang w:val="af-ZA"/>
              </w:rPr>
              <w:t>ՀՀ ազգային ժողովի 2019 թվականի փետրվարի 14-ի «Հայաստանի Հանրապետության կառավարության ծրագրին հավանություն տալու մասին» ԱԺՈ-002-Ն որոշմամբ հավանության արժանացած ՀՀ կառավարության 2019 թվականի փետրվարի 8</w:t>
            </w:r>
            <w:r w:rsidRPr="0053423A">
              <w:rPr>
                <w:spacing w:val="-2"/>
                <w:sz w:val="20"/>
                <w:szCs w:val="20"/>
                <w:lang w:val="af-ZA"/>
              </w:rPr>
              <w:t>-</w:t>
            </w:r>
            <w:r w:rsidRPr="0053423A">
              <w:rPr>
                <w:spacing w:val="-2"/>
                <w:sz w:val="20"/>
                <w:szCs w:val="20"/>
              </w:rPr>
              <w:t>ի</w:t>
            </w:r>
            <w:r w:rsidRPr="0053423A">
              <w:rPr>
                <w:spacing w:val="-2"/>
                <w:sz w:val="20"/>
                <w:szCs w:val="20"/>
                <w:lang w:val="af-ZA"/>
              </w:rPr>
              <w:t xml:space="preserve"> N 65-Ա որոշման </w:t>
            </w:r>
            <w:r w:rsidRPr="0053423A">
              <w:rPr>
                <w:spacing w:val="-2"/>
                <w:sz w:val="20"/>
                <w:szCs w:val="20"/>
                <w:lang w:val="hy-AM"/>
              </w:rPr>
              <w:t>6</w:t>
            </w:r>
            <w:r w:rsidRPr="0053423A">
              <w:rPr>
                <w:spacing w:val="-2"/>
                <w:sz w:val="20"/>
                <w:szCs w:val="20"/>
                <w:lang w:val="pt-BR"/>
              </w:rPr>
              <w:t>.4</w:t>
            </w:r>
            <w:r w:rsidRPr="0053423A">
              <w:rPr>
                <w:spacing w:val="-2"/>
                <w:sz w:val="20"/>
                <w:szCs w:val="20"/>
                <w:lang w:val="hy-AM"/>
              </w:rPr>
              <w:t xml:space="preserve"> «</w:t>
            </w:r>
            <w:r w:rsidRPr="0053423A">
              <w:rPr>
                <w:spacing w:val="-2"/>
                <w:sz w:val="20"/>
                <w:szCs w:val="20"/>
              </w:rPr>
              <w:t>Ջրային</w:t>
            </w:r>
            <w:r w:rsidRPr="0053423A">
              <w:rPr>
                <w:spacing w:val="-2"/>
                <w:sz w:val="20"/>
                <w:szCs w:val="20"/>
                <w:lang w:val="af-ZA"/>
              </w:rPr>
              <w:t xml:space="preserve"> </w:t>
            </w:r>
            <w:r w:rsidRPr="0053423A">
              <w:rPr>
                <w:rFonts w:cs="GHEA Grapalat"/>
                <w:sz w:val="20"/>
                <w:szCs w:val="20"/>
                <w:lang w:val="af-ZA"/>
              </w:rPr>
              <w:t>տնտեսությունը» բաժինը, 2006 թվականի նոյեմբերի 27-ի ՀՀ ջրի ազգային ծրագրի մասին</w:t>
            </w:r>
            <w:r w:rsidRPr="0053423A">
              <w:rPr>
                <w:rFonts w:cs="Sylfaen"/>
                <w:sz w:val="20"/>
                <w:szCs w:val="20"/>
                <w:lang w:val="af-ZA"/>
              </w:rPr>
              <w:t xml:space="preserve"> ՀՀ օրենքի 4-րդ գլխի 15-րդ հոդվածը, ինչպես նաև </w:t>
            </w:r>
            <w:r w:rsidRPr="0053423A">
              <w:rPr>
                <w:rFonts w:cs="Sylfaen"/>
                <w:sz w:val="20"/>
                <w:szCs w:val="20"/>
                <w:lang w:val="af-ZA"/>
              </w:rPr>
              <w:br/>
            </w:r>
            <w:r w:rsidRPr="0053423A">
              <w:rPr>
                <w:sz w:val="20"/>
                <w:szCs w:val="20"/>
                <w:lang w:val="af-ZA"/>
              </w:rPr>
              <w:t>ՀՀ կառավարության 2003թ. հունվարի 16-ի N 133-Ն որոշումը՝ անհրաժեշտություն է առաջացել ավարտել Արփա-Սևան թունելի վթարային հատվածների վերականգնման աշխատանքները:</w:t>
            </w:r>
          </w:p>
          <w:p w:rsidR="0084615D" w:rsidRPr="0053423A" w:rsidRDefault="00795500" w:rsidP="001F6D5D">
            <w:pPr>
              <w:pStyle w:val="ListParagraph"/>
              <w:numPr>
                <w:ilvl w:val="1"/>
                <w:numId w:val="276"/>
              </w:numPr>
              <w:tabs>
                <w:tab w:val="left" w:pos="900"/>
                <w:tab w:val="left" w:pos="1620"/>
              </w:tabs>
              <w:spacing w:after="0" w:line="276" w:lineRule="auto"/>
              <w:ind w:left="0" w:firstLine="1170"/>
              <w:rPr>
                <w:rFonts w:eastAsia="Times New Roman"/>
                <w:b/>
                <w:sz w:val="20"/>
                <w:szCs w:val="20"/>
                <w:lang w:val="af-ZA"/>
              </w:rPr>
            </w:pPr>
            <w:r w:rsidRPr="0053423A">
              <w:rPr>
                <w:rFonts w:eastAsia="Times New Roman"/>
                <w:b/>
                <w:sz w:val="20"/>
                <w:szCs w:val="20"/>
                <w:lang w:val="ru-RU"/>
              </w:rPr>
              <w:t>Կ</w:t>
            </w:r>
            <w:r w:rsidR="0084615D" w:rsidRPr="0053423A">
              <w:rPr>
                <w:rFonts w:eastAsia="Times New Roman"/>
                <w:b/>
                <w:sz w:val="20"/>
                <w:szCs w:val="20"/>
              </w:rPr>
              <w:t>արգավորման</w:t>
            </w:r>
            <w:r w:rsidR="0084615D" w:rsidRPr="0053423A">
              <w:rPr>
                <w:rFonts w:eastAsia="Times New Roman"/>
                <w:b/>
                <w:sz w:val="20"/>
                <w:szCs w:val="20"/>
                <w:lang w:val="af-ZA"/>
              </w:rPr>
              <w:t xml:space="preserve"> </w:t>
            </w:r>
            <w:r w:rsidR="0084615D" w:rsidRPr="0053423A">
              <w:rPr>
                <w:rFonts w:eastAsia="Times New Roman"/>
                <w:b/>
                <w:sz w:val="20"/>
                <w:szCs w:val="20"/>
              </w:rPr>
              <w:t>հարաբերությունների</w:t>
            </w:r>
            <w:r w:rsidR="0084615D" w:rsidRPr="0053423A">
              <w:rPr>
                <w:rFonts w:eastAsia="Times New Roman"/>
                <w:b/>
                <w:sz w:val="20"/>
                <w:szCs w:val="20"/>
                <w:lang w:val="af-ZA"/>
              </w:rPr>
              <w:t xml:space="preserve"> </w:t>
            </w:r>
            <w:r w:rsidR="0084615D" w:rsidRPr="0053423A">
              <w:rPr>
                <w:rFonts w:eastAsia="Times New Roman"/>
                <w:b/>
                <w:sz w:val="20"/>
                <w:szCs w:val="20"/>
              </w:rPr>
              <w:t>ներկա</w:t>
            </w:r>
            <w:r w:rsidR="0084615D" w:rsidRPr="0053423A">
              <w:rPr>
                <w:rFonts w:eastAsia="Times New Roman"/>
                <w:b/>
                <w:sz w:val="20"/>
                <w:szCs w:val="20"/>
                <w:lang w:val="af-ZA"/>
              </w:rPr>
              <w:t xml:space="preserve"> </w:t>
            </w:r>
            <w:r w:rsidR="0084615D" w:rsidRPr="0053423A">
              <w:rPr>
                <w:rFonts w:eastAsia="Times New Roman"/>
                <w:b/>
                <w:sz w:val="20"/>
                <w:szCs w:val="20"/>
              </w:rPr>
              <w:t>վիճակը</w:t>
            </w:r>
            <w:r w:rsidR="0084615D" w:rsidRPr="0053423A">
              <w:rPr>
                <w:rFonts w:eastAsia="Times New Roman"/>
                <w:b/>
                <w:sz w:val="20"/>
                <w:szCs w:val="20"/>
                <w:lang w:val="af-ZA"/>
              </w:rPr>
              <w:t xml:space="preserve"> </w:t>
            </w:r>
            <w:r w:rsidR="0084615D" w:rsidRPr="0053423A">
              <w:rPr>
                <w:rFonts w:eastAsia="Times New Roman"/>
                <w:b/>
                <w:sz w:val="20"/>
                <w:szCs w:val="20"/>
              </w:rPr>
              <w:t>և</w:t>
            </w:r>
            <w:r w:rsidR="0084615D" w:rsidRPr="0053423A">
              <w:rPr>
                <w:rFonts w:eastAsia="Times New Roman"/>
                <w:b/>
                <w:sz w:val="20"/>
                <w:szCs w:val="20"/>
                <w:lang w:val="af-ZA"/>
              </w:rPr>
              <w:t xml:space="preserve"> </w:t>
            </w:r>
            <w:r w:rsidR="0084615D" w:rsidRPr="0053423A">
              <w:rPr>
                <w:rFonts w:eastAsia="Times New Roman"/>
                <w:b/>
                <w:sz w:val="20"/>
                <w:szCs w:val="20"/>
              </w:rPr>
              <w:t>առկա</w:t>
            </w:r>
            <w:r w:rsidR="0084615D" w:rsidRPr="0053423A">
              <w:rPr>
                <w:rFonts w:eastAsia="Times New Roman"/>
                <w:b/>
                <w:sz w:val="20"/>
                <w:szCs w:val="20"/>
                <w:lang w:val="af-ZA"/>
              </w:rPr>
              <w:t xml:space="preserve"> </w:t>
            </w:r>
            <w:r w:rsidR="0084615D" w:rsidRPr="0053423A">
              <w:rPr>
                <w:rFonts w:eastAsia="Times New Roman"/>
                <w:b/>
                <w:sz w:val="20"/>
                <w:szCs w:val="20"/>
              </w:rPr>
              <w:t>խնդիրները</w:t>
            </w:r>
          </w:p>
          <w:p w:rsidR="0084615D" w:rsidRPr="0053423A" w:rsidRDefault="0084615D" w:rsidP="00A67858">
            <w:pPr>
              <w:spacing w:after="0" w:line="276" w:lineRule="auto"/>
              <w:jc w:val="both"/>
              <w:rPr>
                <w:sz w:val="20"/>
                <w:szCs w:val="20"/>
                <w:lang w:val="af-ZA"/>
              </w:rPr>
            </w:pPr>
            <w:r w:rsidRPr="0053423A">
              <w:rPr>
                <w:sz w:val="20"/>
                <w:szCs w:val="20"/>
                <w:lang w:val="af-ZA"/>
              </w:rPr>
              <w:t>Արփա-Սևան ջրատարը բաղկացած է 2 թունելներից: Կեչուտի ջրամբարից N1 թունելով ջուրը տեղափոխվում է Եղեգիս ջրանցույց և Եղեգիս գետի ջրառ կառույցը ընդունում է Եղեգիս գետի հոսքը: N1 թունելով բերված ջուրը ուղղորդվում է N2 թունել, որը ջուրը հասցնում է Սևանա լիճ: Նախատեսված է թունելով տեղափոխել 250մլն/մ</w:t>
            </w:r>
            <w:r w:rsidRPr="0053423A">
              <w:rPr>
                <w:sz w:val="20"/>
                <w:szCs w:val="20"/>
                <w:vertAlign w:val="superscript"/>
                <w:lang w:val="af-ZA"/>
              </w:rPr>
              <w:t>3</w:t>
            </w:r>
            <w:r w:rsidRPr="0053423A">
              <w:rPr>
                <w:sz w:val="20"/>
                <w:szCs w:val="20"/>
                <w:lang w:val="af-ZA"/>
              </w:rPr>
              <w:t xml:space="preserve"> ջուր, սակայն «Արփա-Սևան» թունելի տեխնիկական վիճակով պայմանավորված ներկայումս Սևանա լիճ է տեղափոխվում 110-130մլն/մ</w:t>
            </w:r>
            <w:r w:rsidRPr="0053423A">
              <w:rPr>
                <w:sz w:val="20"/>
                <w:szCs w:val="20"/>
                <w:vertAlign w:val="superscript"/>
                <w:lang w:val="af-ZA"/>
              </w:rPr>
              <w:t>3</w:t>
            </w:r>
            <w:r w:rsidRPr="0053423A">
              <w:rPr>
                <w:sz w:val="20"/>
                <w:szCs w:val="20"/>
                <w:lang w:val="af-ZA"/>
              </w:rPr>
              <w:t xml:space="preserve"> ջուր:</w:t>
            </w:r>
          </w:p>
          <w:p w:rsidR="0084615D" w:rsidRPr="0053423A" w:rsidRDefault="0084615D" w:rsidP="00A67858">
            <w:pPr>
              <w:pStyle w:val="ListParagraph"/>
              <w:tabs>
                <w:tab w:val="left" w:pos="900"/>
              </w:tabs>
              <w:spacing w:after="0" w:line="276" w:lineRule="auto"/>
              <w:ind w:left="0" w:firstLine="1080"/>
              <w:rPr>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w:t>
            </w:r>
            <w:r w:rsidR="00795500" w:rsidRPr="0053423A">
              <w:rPr>
                <w:rFonts w:eastAsia="Times New Roman"/>
                <w:b/>
                <w:sz w:val="20"/>
                <w:szCs w:val="20"/>
                <w:lang w:val="ru-RU"/>
              </w:rPr>
              <w:t>Ա</w:t>
            </w:r>
            <w:r w:rsidRPr="0053423A">
              <w:rPr>
                <w:rFonts w:eastAsia="Times New Roman"/>
                <w:b/>
                <w:sz w:val="20"/>
                <w:szCs w:val="20"/>
              </w:rPr>
              <w:t>ռկա</w:t>
            </w:r>
            <w:r w:rsidRPr="0053423A">
              <w:rPr>
                <w:rFonts w:eastAsia="Times New Roman"/>
                <w:b/>
                <w:sz w:val="20"/>
                <w:szCs w:val="20"/>
                <w:lang w:val="af-ZA"/>
              </w:rPr>
              <w:t xml:space="preserve"> </w:t>
            </w:r>
            <w:r w:rsidRPr="0053423A">
              <w:rPr>
                <w:rFonts w:eastAsia="Times New Roman"/>
                <w:b/>
                <w:sz w:val="20"/>
                <w:szCs w:val="20"/>
              </w:rPr>
              <w:t>խնդիրների</w:t>
            </w:r>
            <w:r w:rsidRPr="0053423A">
              <w:rPr>
                <w:rFonts w:eastAsia="Times New Roman"/>
                <w:b/>
                <w:sz w:val="20"/>
                <w:szCs w:val="20"/>
                <w:lang w:val="af-ZA"/>
              </w:rPr>
              <w:t xml:space="preserve"> </w:t>
            </w:r>
            <w:r w:rsidRPr="0053423A">
              <w:rPr>
                <w:rFonts w:eastAsia="Times New Roman"/>
                <w:b/>
                <w:sz w:val="20"/>
                <w:szCs w:val="20"/>
              </w:rPr>
              <w:t>առաջարկվող</w:t>
            </w:r>
            <w:r w:rsidRPr="0053423A">
              <w:rPr>
                <w:rFonts w:eastAsia="Times New Roman"/>
                <w:b/>
                <w:sz w:val="20"/>
                <w:szCs w:val="20"/>
                <w:lang w:val="af-ZA"/>
              </w:rPr>
              <w:t xml:space="preserve"> </w:t>
            </w:r>
            <w:r w:rsidRPr="0053423A">
              <w:rPr>
                <w:rFonts w:eastAsia="Times New Roman"/>
                <w:b/>
                <w:sz w:val="20"/>
                <w:szCs w:val="20"/>
              </w:rPr>
              <w:t>լուծումները</w:t>
            </w:r>
          </w:p>
          <w:p w:rsidR="0084615D" w:rsidRPr="0053423A" w:rsidRDefault="0084615D" w:rsidP="00A67858">
            <w:pPr>
              <w:spacing w:after="0" w:line="276" w:lineRule="auto"/>
              <w:jc w:val="both"/>
              <w:rPr>
                <w:rFonts w:cs="GHEA Grapalat"/>
                <w:sz w:val="20"/>
                <w:szCs w:val="20"/>
                <w:lang w:val="af-ZA"/>
              </w:rPr>
            </w:pPr>
            <w:r w:rsidRPr="0053423A">
              <w:rPr>
                <w:rFonts w:cs="GHEA Grapalat"/>
                <w:sz w:val="20"/>
                <w:szCs w:val="20"/>
                <w:lang w:val="af-ZA"/>
              </w:rPr>
              <w:t>Արփա-Սևան թունելի վթարային հատվածների վերականգնման աշխատանքների ավարտում:</w:t>
            </w:r>
          </w:p>
          <w:p w:rsidR="0084615D" w:rsidRPr="0053423A" w:rsidRDefault="0084615D" w:rsidP="00A67858">
            <w:pPr>
              <w:pStyle w:val="ListParagraph"/>
              <w:tabs>
                <w:tab w:val="left" w:pos="1620"/>
              </w:tabs>
              <w:spacing w:after="0" w:line="276" w:lineRule="auto"/>
              <w:ind w:left="0" w:firstLine="1080"/>
              <w:rPr>
                <w:b/>
                <w:sz w:val="20"/>
                <w:szCs w:val="20"/>
                <w:lang w:val="af-ZA"/>
              </w:rPr>
            </w:pPr>
            <w:r w:rsidRPr="0053423A">
              <w:rPr>
                <w:rFonts w:eastAsia="Times New Roman" w:cs="Courier New"/>
                <w:b/>
                <w:sz w:val="20"/>
                <w:szCs w:val="20"/>
                <w:lang w:val="af-ZA"/>
              </w:rPr>
              <w:t>2.</w:t>
            </w:r>
            <w:r w:rsidRPr="0053423A">
              <w:rPr>
                <w:rFonts w:ascii="Calibri" w:eastAsia="Times New Roman" w:hAnsi="Calibri" w:cs="Calibri"/>
                <w:b/>
                <w:sz w:val="20"/>
                <w:szCs w:val="20"/>
                <w:lang w:val="af-ZA"/>
              </w:rPr>
              <w:t> </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իրակացումից</w:t>
            </w:r>
            <w:r w:rsidRPr="0053423A">
              <w:rPr>
                <w:rFonts w:eastAsia="Times New Roman"/>
                <w:b/>
                <w:sz w:val="20"/>
                <w:szCs w:val="20"/>
                <w:lang w:val="af-ZA"/>
              </w:rPr>
              <w:t xml:space="preserve"> </w:t>
            </w:r>
            <w:r w:rsidRPr="0053423A">
              <w:rPr>
                <w:rFonts w:eastAsia="Times New Roman"/>
                <w:b/>
                <w:sz w:val="20"/>
                <w:szCs w:val="20"/>
              </w:rPr>
              <w:t>ակնկալվող</w:t>
            </w:r>
            <w:r w:rsidRPr="0053423A">
              <w:rPr>
                <w:rFonts w:eastAsia="Times New Roman"/>
                <w:b/>
                <w:sz w:val="20"/>
                <w:szCs w:val="20"/>
                <w:lang w:val="af-ZA"/>
              </w:rPr>
              <w:t xml:space="preserve"> </w:t>
            </w:r>
            <w:r w:rsidRPr="0053423A">
              <w:rPr>
                <w:rFonts w:eastAsia="Times New Roman"/>
                <w:b/>
                <w:sz w:val="20"/>
                <w:szCs w:val="20"/>
              </w:rPr>
              <w:t>արդյունքը</w:t>
            </w:r>
          </w:p>
          <w:p w:rsidR="0084615D" w:rsidRPr="0053423A" w:rsidRDefault="0084615D" w:rsidP="00A67858">
            <w:pPr>
              <w:tabs>
                <w:tab w:val="num" w:pos="720"/>
              </w:tabs>
              <w:spacing w:after="0" w:line="276" w:lineRule="auto"/>
              <w:jc w:val="both"/>
              <w:rPr>
                <w:i/>
                <w:sz w:val="20"/>
                <w:szCs w:val="20"/>
                <w:u w:val="single"/>
                <w:lang w:val="fr-FR"/>
              </w:rPr>
            </w:pPr>
            <w:r w:rsidRPr="0053423A">
              <w:rPr>
                <w:rFonts w:cs="GHEA Grapalat"/>
                <w:sz w:val="20"/>
                <w:szCs w:val="20"/>
                <w:lang w:val="af-ZA"/>
              </w:rPr>
              <w:t>Սևանա լճի մակարդակի բարձրացում, թունելի անխափան աշխատանքի ապահովում:</w:t>
            </w:r>
          </w:p>
          <w:p w:rsidR="0084615D" w:rsidRPr="0053423A" w:rsidRDefault="0084615D" w:rsidP="00A67858">
            <w:pPr>
              <w:spacing w:after="0" w:line="276" w:lineRule="auto"/>
              <w:jc w:val="center"/>
              <w:rPr>
                <w:rFonts w:cs="GHEA Grapalat"/>
                <w:b/>
                <w:sz w:val="20"/>
                <w:szCs w:val="20"/>
                <w:lang w:val="fr-FR"/>
              </w:rPr>
            </w:pPr>
          </w:p>
        </w:tc>
      </w:tr>
      <w:tr w:rsidR="0084615D" w:rsidRPr="00DE2EFA" w:rsidTr="00844C90">
        <w:tc>
          <w:tcPr>
            <w:tcW w:w="461" w:type="dxa"/>
            <w:shd w:val="clear" w:color="auto" w:fill="auto"/>
          </w:tcPr>
          <w:p w:rsidR="0084615D" w:rsidRPr="0053423A" w:rsidRDefault="00626D24" w:rsidP="00A67858">
            <w:pPr>
              <w:spacing w:after="0" w:line="276" w:lineRule="auto"/>
              <w:jc w:val="center"/>
              <w:rPr>
                <w:rFonts w:eastAsia="Times New Roman"/>
                <w:b/>
                <w:bCs/>
                <w:sz w:val="20"/>
                <w:szCs w:val="20"/>
                <w:lang w:val="hy-AM"/>
              </w:rPr>
            </w:pPr>
            <w:r>
              <w:rPr>
                <w:rFonts w:eastAsia="Times New Roman"/>
                <w:b/>
                <w:bCs/>
                <w:sz w:val="20"/>
                <w:szCs w:val="20"/>
                <w:lang w:val="hy-AM"/>
              </w:rPr>
              <w:t>27</w:t>
            </w:r>
          </w:p>
        </w:tc>
        <w:tc>
          <w:tcPr>
            <w:tcW w:w="10879" w:type="dxa"/>
            <w:shd w:val="clear" w:color="auto" w:fill="auto"/>
          </w:tcPr>
          <w:p w:rsidR="0084615D" w:rsidRPr="0053423A" w:rsidRDefault="0084615D" w:rsidP="00A67858">
            <w:pPr>
              <w:spacing w:after="0" w:line="276" w:lineRule="auto"/>
              <w:jc w:val="center"/>
              <w:rPr>
                <w:b/>
                <w:color w:val="000000"/>
                <w:sz w:val="20"/>
                <w:szCs w:val="20"/>
                <w:lang w:val="hy-AM"/>
              </w:rPr>
            </w:pPr>
            <w:r w:rsidRPr="0053423A">
              <w:rPr>
                <w:b/>
                <w:color w:val="000000"/>
                <w:sz w:val="20"/>
                <w:szCs w:val="20"/>
                <w:lang w:val="hy-AM"/>
              </w:rPr>
              <w:t>Խոնավ</w:t>
            </w:r>
            <w:r w:rsidRPr="0053423A">
              <w:rPr>
                <w:b/>
                <w:color w:val="000000"/>
                <w:sz w:val="20"/>
                <w:szCs w:val="20"/>
                <w:lang w:val="af-ZA"/>
              </w:rPr>
              <w:t xml:space="preserve"> (</w:t>
            </w:r>
            <w:r w:rsidRPr="0053423A">
              <w:rPr>
                <w:b/>
                <w:color w:val="000000"/>
                <w:sz w:val="20"/>
                <w:szCs w:val="20"/>
                <w:lang w:val="hy-AM"/>
              </w:rPr>
              <w:t>գերխոնավ</w:t>
            </w:r>
            <w:r w:rsidRPr="0053423A">
              <w:rPr>
                <w:b/>
                <w:color w:val="000000"/>
                <w:sz w:val="20"/>
                <w:szCs w:val="20"/>
                <w:lang w:val="af-ZA"/>
              </w:rPr>
              <w:t xml:space="preserve">) </w:t>
            </w:r>
            <w:r w:rsidRPr="0053423A">
              <w:rPr>
                <w:b/>
                <w:color w:val="000000"/>
                <w:sz w:val="20"/>
                <w:szCs w:val="20"/>
                <w:lang w:val="hy-AM"/>
              </w:rPr>
              <w:t>գյուղատնտեսական</w:t>
            </w:r>
            <w:r w:rsidRPr="0053423A">
              <w:rPr>
                <w:b/>
                <w:color w:val="000000"/>
                <w:sz w:val="20"/>
                <w:szCs w:val="20"/>
                <w:lang w:val="af-ZA"/>
              </w:rPr>
              <w:t xml:space="preserve"> </w:t>
            </w:r>
            <w:r w:rsidRPr="0053423A">
              <w:rPr>
                <w:b/>
                <w:color w:val="000000"/>
                <w:sz w:val="20"/>
                <w:szCs w:val="20"/>
                <w:lang w:val="hy-AM"/>
              </w:rPr>
              <w:t>հողատարածքների</w:t>
            </w:r>
            <w:r w:rsidRPr="0053423A">
              <w:rPr>
                <w:b/>
                <w:color w:val="000000"/>
                <w:sz w:val="20"/>
                <w:szCs w:val="20"/>
                <w:lang w:val="af-ZA"/>
              </w:rPr>
              <w:t xml:space="preserve"> </w:t>
            </w:r>
            <w:r w:rsidRPr="0053423A">
              <w:rPr>
                <w:b/>
                <w:color w:val="000000"/>
                <w:sz w:val="20"/>
                <w:szCs w:val="20"/>
                <w:lang w:val="hy-AM"/>
              </w:rPr>
              <w:t>մելիորատիվ</w:t>
            </w:r>
            <w:r w:rsidRPr="0053423A">
              <w:rPr>
                <w:b/>
                <w:color w:val="000000"/>
                <w:sz w:val="20"/>
                <w:szCs w:val="20"/>
                <w:lang w:val="af-ZA"/>
              </w:rPr>
              <w:t xml:space="preserve"> </w:t>
            </w:r>
            <w:r w:rsidRPr="0053423A">
              <w:rPr>
                <w:b/>
                <w:color w:val="000000"/>
                <w:sz w:val="20"/>
                <w:szCs w:val="20"/>
                <w:lang w:val="hy-AM"/>
              </w:rPr>
              <w:t>վիճակի</w:t>
            </w:r>
            <w:r w:rsidRPr="0053423A">
              <w:rPr>
                <w:b/>
                <w:color w:val="000000"/>
                <w:sz w:val="20"/>
                <w:szCs w:val="20"/>
                <w:lang w:val="af-ZA"/>
              </w:rPr>
              <w:t xml:space="preserve"> </w:t>
            </w:r>
            <w:r w:rsidRPr="0053423A">
              <w:rPr>
                <w:b/>
                <w:color w:val="000000"/>
                <w:sz w:val="20"/>
                <w:szCs w:val="20"/>
                <w:lang w:val="hy-AM"/>
              </w:rPr>
              <w:t>բարելավման</w:t>
            </w:r>
            <w:r w:rsidRPr="0053423A">
              <w:rPr>
                <w:b/>
                <w:color w:val="000000"/>
                <w:sz w:val="20"/>
                <w:szCs w:val="20"/>
                <w:lang w:val="af-ZA"/>
              </w:rPr>
              <w:t xml:space="preserve"> </w:t>
            </w:r>
            <w:r w:rsidRPr="0053423A">
              <w:rPr>
                <w:b/>
                <w:color w:val="000000"/>
                <w:sz w:val="20"/>
                <w:szCs w:val="20"/>
                <w:lang w:val="hy-AM"/>
              </w:rPr>
              <w:t>աշխատանքների</w:t>
            </w:r>
            <w:r w:rsidRPr="0053423A">
              <w:rPr>
                <w:b/>
                <w:color w:val="000000"/>
                <w:sz w:val="20"/>
                <w:szCs w:val="20"/>
                <w:lang w:val="af-ZA"/>
              </w:rPr>
              <w:t xml:space="preserve"> </w:t>
            </w:r>
            <w:r w:rsidRPr="0053423A">
              <w:rPr>
                <w:b/>
                <w:color w:val="000000"/>
                <w:sz w:val="20"/>
                <w:szCs w:val="20"/>
                <w:lang w:val="hy-AM"/>
              </w:rPr>
              <w:t>իրականացում</w:t>
            </w:r>
          </w:p>
          <w:p w:rsidR="0084615D" w:rsidRPr="0053423A" w:rsidRDefault="0084615D" w:rsidP="00A67858">
            <w:pPr>
              <w:spacing w:after="0" w:line="276" w:lineRule="auto"/>
              <w:jc w:val="center"/>
              <w:rPr>
                <w:b/>
                <w:color w:val="000000"/>
                <w:sz w:val="20"/>
                <w:szCs w:val="20"/>
                <w:lang w:val="hy-AM"/>
              </w:rPr>
            </w:pPr>
          </w:p>
          <w:p w:rsidR="0084615D" w:rsidRPr="0053423A" w:rsidRDefault="00626D24" w:rsidP="00A67858">
            <w:pPr>
              <w:tabs>
                <w:tab w:val="left" w:pos="1170"/>
              </w:tabs>
              <w:spacing w:after="0" w:line="276" w:lineRule="auto"/>
              <w:ind w:left="720"/>
              <w:jc w:val="center"/>
              <w:rPr>
                <w:b/>
                <w:sz w:val="20"/>
                <w:szCs w:val="20"/>
                <w:u w:val="single"/>
                <w:lang w:val="af-ZA"/>
              </w:rPr>
            </w:pPr>
            <w:r>
              <w:rPr>
                <w:b/>
                <w:sz w:val="20"/>
                <w:szCs w:val="20"/>
                <w:u w:val="single"/>
                <w:lang w:val="af-ZA"/>
              </w:rPr>
              <w:t>27</w:t>
            </w:r>
            <w:r w:rsidR="0084615D" w:rsidRPr="0053423A">
              <w:rPr>
                <w:b/>
                <w:sz w:val="20"/>
                <w:szCs w:val="20"/>
                <w:u w:val="single"/>
                <w:lang w:val="af-ZA"/>
              </w:rPr>
              <w:t>.1 Կոլեկտորադրենաժային ցանցի պահպանում և շահագործում: Գրունտային ջրերի մակարդակների և որակի որոշման աշխատանքների իրականացում</w:t>
            </w:r>
          </w:p>
          <w:p w:rsidR="0084615D" w:rsidRPr="0053423A" w:rsidRDefault="0084615D" w:rsidP="00A67858">
            <w:pPr>
              <w:spacing w:after="0" w:line="276" w:lineRule="auto"/>
              <w:jc w:val="center"/>
              <w:rPr>
                <w:b/>
                <w:i/>
                <w:sz w:val="20"/>
                <w:szCs w:val="20"/>
                <w:u w:val="single"/>
                <w:lang w:val="hy-AM"/>
              </w:rPr>
            </w:pPr>
          </w:p>
          <w:p w:rsidR="0084615D" w:rsidRPr="0053423A" w:rsidRDefault="0084615D" w:rsidP="00A67858">
            <w:pPr>
              <w:pStyle w:val="ListParagraph"/>
              <w:tabs>
                <w:tab w:val="left" w:pos="810"/>
              </w:tabs>
              <w:spacing w:after="0" w:line="276" w:lineRule="auto"/>
              <w:ind w:left="0" w:firstLine="1080"/>
              <w:rPr>
                <w:b/>
                <w:sz w:val="20"/>
                <w:szCs w:val="20"/>
                <w:lang w:val="af-ZA"/>
              </w:rPr>
            </w:pPr>
            <w:r w:rsidRPr="0053423A">
              <w:rPr>
                <w:rFonts w:cs="Courier New"/>
                <w:b/>
                <w:sz w:val="20"/>
                <w:szCs w:val="20"/>
                <w:lang w:val="af-ZA"/>
              </w:rPr>
              <w:t>1</w:t>
            </w:r>
            <w:r w:rsidRPr="0053423A">
              <w:rPr>
                <w:rFonts w:eastAsia="Times New Roman" w:cs="Courier New"/>
                <w:b/>
                <w:sz w:val="20"/>
                <w:szCs w:val="20"/>
                <w:lang w:val="af-ZA"/>
              </w:rPr>
              <w:t>.</w:t>
            </w:r>
            <w:r w:rsidRPr="0053423A">
              <w:rPr>
                <w:rFonts w:ascii="Calibri" w:eastAsia="Times New Roman" w:hAnsi="Calibri" w:cs="Calibri"/>
                <w:b/>
                <w:sz w:val="20"/>
                <w:szCs w:val="20"/>
                <w:lang w:val="af-ZA"/>
              </w:rPr>
              <w:t> </w:t>
            </w:r>
            <w:r w:rsidRPr="0053423A">
              <w:rPr>
                <w:rFonts w:eastAsia="Times New Roman"/>
                <w:b/>
                <w:sz w:val="20"/>
                <w:szCs w:val="20"/>
                <w:lang w:val="hy-AM"/>
              </w:rPr>
              <w:t>Միջոցառման</w:t>
            </w:r>
            <w:r w:rsidRPr="0053423A">
              <w:rPr>
                <w:rFonts w:eastAsia="Times New Roman"/>
                <w:b/>
                <w:sz w:val="20"/>
                <w:szCs w:val="20"/>
                <w:lang w:val="af-ZA"/>
              </w:rPr>
              <w:t xml:space="preserve"> </w:t>
            </w:r>
            <w:r w:rsidRPr="0053423A">
              <w:rPr>
                <w:rFonts w:eastAsia="Times New Roman"/>
                <w:b/>
                <w:sz w:val="20"/>
                <w:szCs w:val="20"/>
                <w:lang w:val="hy-AM"/>
              </w:rPr>
              <w:t>իրականացման</w:t>
            </w:r>
            <w:r w:rsidRPr="0053423A">
              <w:rPr>
                <w:rFonts w:eastAsia="Times New Roman"/>
                <w:b/>
                <w:sz w:val="20"/>
                <w:szCs w:val="20"/>
                <w:lang w:val="af-ZA"/>
              </w:rPr>
              <w:t xml:space="preserve"> </w:t>
            </w:r>
            <w:r w:rsidRPr="0053423A">
              <w:rPr>
                <w:rFonts w:eastAsia="Times New Roma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նպատակը</w:t>
            </w:r>
          </w:p>
          <w:p w:rsidR="0084615D" w:rsidRPr="0053423A" w:rsidRDefault="0084615D" w:rsidP="00A67858">
            <w:pPr>
              <w:tabs>
                <w:tab w:val="num" w:pos="720"/>
              </w:tabs>
              <w:spacing w:after="0" w:line="276" w:lineRule="auto"/>
              <w:jc w:val="both"/>
              <w:rPr>
                <w:rFonts w:cs="Sylfaen"/>
                <w:sz w:val="20"/>
                <w:szCs w:val="20"/>
                <w:lang w:val="af-ZA"/>
              </w:rPr>
            </w:pPr>
            <w:r w:rsidRPr="0053423A">
              <w:rPr>
                <w:rFonts w:cs="Sylfaen"/>
                <w:sz w:val="20"/>
                <w:szCs w:val="20"/>
                <w:lang w:val="hy-AM"/>
              </w:rPr>
              <w:t xml:space="preserve">Հիմք ընդունելով </w:t>
            </w:r>
            <w:r w:rsidRPr="0053423A">
              <w:rPr>
                <w:rFonts w:cs="GHEA Grapalat"/>
                <w:sz w:val="20"/>
                <w:szCs w:val="20"/>
                <w:lang w:val="af-ZA"/>
              </w:rPr>
              <w:t>ՀՀ ազգային ժողովի 2019 թվականի փետրվարի 14-ի «Հայաստանի Հանրապետության կառավարության ծրագրին հավանություն տալու մասին» ԱԺՈ-002-Ն որոշմամբ հավանության արժանացած ՀՀ կառավարության 2019 թվականի փետրվարի 8</w:t>
            </w:r>
            <w:r w:rsidRPr="0053423A">
              <w:rPr>
                <w:spacing w:val="-2"/>
                <w:sz w:val="20"/>
                <w:szCs w:val="20"/>
                <w:lang w:val="af-ZA"/>
              </w:rPr>
              <w:t>-</w:t>
            </w:r>
            <w:r w:rsidRPr="0053423A">
              <w:rPr>
                <w:spacing w:val="-2"/>
                <w:sz w:val="20"/>
                <w:szCs w:val="20"/>
                <w:lang w:val="hy-AM"/>
              </w:rPr>
              <w:t>ի</w:t>
            </w:r>
            <w:r w:rsidRPr="0053423A">
              <w:rPr>
                <w:spacing w:val="-2"/>
                <w:sz w:val="20"/>
                <w:szCs w:val="20"/>
                <w:lang w:val="af-ZA"/>
              </w:rPr>
              <w:t xml:space="preserve"> N 65-Ա որոշման </w:t>
            </w:r>
            <w:r w:rsidRPr="0053423A">
              <w:rPr>
                <w:spacing w:val="-2"/>
                <w:sz w:val="20"/>
                <w:szCs w:val="20"/>
                <w:lang w:val="hy-AM"/>
              </w:rPr>
              <w:t>6</w:t>
            </w:r>
            <w:r w:rsidRPr="0053423A">
              <w:rPr>
                <w:spacing w:val="-2"/>
                <w:sz w:val="20"/>
                <w:szCs w:val="20"/>
                <w:lang w:val="pt-BR"/>
              </w:rPr>
              <w:t>.4</w:t>
            </w:r>
            <w:r w:rsidRPr="0053423A">
              <w:rPr>
                <w:spacing w:val="-2"/>
                <w:sz w:val="20"/>
                <w:szCs w:val="20"/>
                <w:lang w:val="hy-AM"/>
              </w:rPr>
              <w:t xml:space="preserve"> «Ջրային</w:t>
            </w:r>
            <w:r w:rsidRPr="0053423A">
              <w:rPr>
                <w:spacing w:val="-2"/>
                <w:sz w:val="20"/>
                <w:szCs w:val="20"/>
                <w:lang w:val="af-ZA"/>
              </w:rPr>
              <w:t xml:space="preserve"> </w:t>
            </w:r>
            <w:r w:rsidRPr="0053423A">
              <w:rPr>
                <w:rFonts w:cs="GHEA Grapalat"/>
                <w:sz w:val="20"/>
                <w:szCs w:val="20"/>
                <w:lang w:val="af-ZA"/>
              </w:rPr>
              <w:t>տնտեսությունը» բաժինը, 2006 թվականի նոյեմբերի 27-ի ՀՀ ջրի ազգային ծրագրի մասին</w:t>
            </w:r>
            <w:r w:rsidRPr="0053423A">
              <w:rPr>
                <w:rFonts w:cs="Sylfaen"/>
                <w:sz w:val="20"/>
                <w:szCs w:val="20"/>
                <w:lang w:val="af-ZA"/>
              </w:rPr>
              <w:t> ՀՀ օրենքի 5-րդ գլխի 16-րդ հոդվածը</w:t>
            </w:r>
            <w:r w:rsidRPr="0053423A">
              <w:rPr>
                <w:rFonts w:cs="Sylfaen"/>
                <w:sz w:val="20"/>
                <w:szCs w:val="20"/>
                <w:lang w:val="hy-AM"/>
              </w:rPr>
              <w:t xml:space="preserve"> և 2005թ. մայիսի 20-ի &lt;&lt;Գյուղատնտեսական հողերի մելիորացիայի մասին&gt;&gt; ՀՀ օրենքի 6-րդ հոդվածը՝ հանրապետության</w:t>
            </w:r>
            <w:r w:rsidRPr="0053423A">
              <w:rPr>
                <w:rFonts w:cs="Sylfaen"/>
                <w:sz w:val="20"/>
                <w:szCs w:val="20"/>
                <w:lang w:val="af-ZA"/>
              </w:rPr>
              <w:t xml:space="preserve"> </w:t>
            </w:r>
            <w:r w:rsidRPr="0053423A">
              <w:rPr>
                <w:rFonts w:cs="Sylfaen"/>
                <w:sz w:val="20"/>
                <w:szCs w:val="20"/>
                <w:lang w:val="hy-AM"/>
              </w:rPr>
              <w:t>ոռոգելի</w:t>
            </w:r>
            <w:r w:rsidRPr="0053423A">
              <w:rPr>
                <w:rFonts w:cs="Sylfaen"/>
                <w:sz w:val="20"/>
                <w:szCs w:val="20"/>
                <w:lang w:val="af-ZA"/>
              </w:rPr>
              <w:t xml:space="preserve"> </w:t>
            </w:r>
            <w:r w:rsidRPr="0053423A">
              <w:rPr>
                <w:rFonts w:cs="Sylfaen"/>
                <w:sz w:val="20"/>
                <w:szCs w:val="20"/>
                <w:lang w:val="hy-AM"/>
              </w:rPr>
              <w:t>հողերի</w:t>
            </w:r>
            <w:r w:rsidRPr="0053423A">
              <w:rPr>
                <w:rFonts w:cs="Sylfaen"/>
                <w:sz w:val="20"/>
                <w:szCs w:val="20"/>
                <w:lang w:val="af-ZA"/>
              </w:rPr>
              <w:t xml:space="preserve"> </w:t>
            </w:r>
            <w:r w:rsidRPr="0053423A">
              <w:rPr>
                <w:rFonts w:cs="Sylfaen"/>
                <w:sz w:val="20"/>
                <w:szCs w:val="20"/>
                <w:lang w:val="hy-AM"/>
              </w:rPr>
              <w:t>մելիորատիվ</w:t>
            </w:r>
            <w:r w:rsidRPr="0053423A">
              <w:rPr>
                <w:rFonts w:cs="Sylfaen"/>
                <w:sz w:val="20"/>
                <w:szCs w:val="20"/>
                <w:lang w:val="af-ZA"/>
              </w:rPr>
              <w:t xml:space="preserve"> </w:t>
            </w:r>
            <w:r w:rsidRPr="0053423A">
              <w:rPr>
                <w:rFonts w:cs="Sylfaen"/>
                <w:sz w:val="20"/>
                <w:szCs w:val="20"/>
                <w:lang w:val="hy-AM"/>
              </w:rPr>
              <w:t>վիճակի</w:t>
            </w:r>
            <w:r w:rsidRPr="0053423A">
              <w:rPr>
                <w:rFonts w:cs="Sylfaen"/>
                <w:sz w:val="20"/>
                <w:szCs w:val="20"/>
                <w:lang w:val="af-ZA"/>
              </w:rPr>
              <w:t xml:space="preserve"> </w:t>
            </w:r>
            <w:r w:rsidRPr="0053423A">
              <w:rPr>
                <w:rFonts w:cs="Sylfaen"/>
                <w:sz w:val="20"/>
                <w:szCs w:val="20"/>
                <w:lang w:val="hy-AM"/>
              </w:rPr>
              <w:t>բարելավման</w:t>
            </w:r>
            <w:r w:rsidRPr="0053423A">
              <w:rPr>
                <w:rFonts w:cs="Sylfaen"/>
                <w:sz w:val="20"/>
                <w:szCs w:val="20"/>
                <w:lang w:val="af-ZA"/>
              </w:rPr>
              <w:t xml:space="preserve">, </w:t>
            </w:r>
            <w:r w:rsidRPr="0053423A">
              <w:rPr>
                <w:rFonts w:cs="Sylfaen"/>
                <w:sz w:val="20"/>
                <w:szCs w:val="20"/>
                <w:lang w:val="hy-AM"/>
              </w:rPr>
              <w:t>գրունտային</w:t>
            </w:r>
            <w:r w:rsidRPr="0053423A">
              <w:rPr>
                <w:rFonts w:cs="Sylfaen"/>
                <w:sz w:val="20"/>
                <w:szCs w:val="20"/>
                <w:lang w:val="af-ZA"/>
              </w:rPr>
              <w:t xml:space="preserve"> </w:t>
            </w:r>
            <w:r w:rsidRPr="0053423A">
              <w:rPr>
                <w:rFonts w:cs="Sylfaen"/>
                <w:sz w:val="20"/>
                <w:szCs w:val="20"/>
                <w:lang w:val="hy-AM"/>
              </w:rPr>
              <w:t>ջրերի</w:t>
            </w:r>
            <w:r w:rsidRPr="0053423A">
              <w:rPr>
                <w:rFonts w:cs="Sylfaen"/>
                <w:sz w:val="20"/>
                <w:szCs w:val="20"/>
                <w:lang w:val="af-ZA"/>
              </w:rPr>
              <w:t xml:space="preserve"> </w:t>
            </w:r>
            <w:r w:rsidRPr="0053423A">
              <w:rPr>
                <w:rFonts w:cs="Sylfaen"/>
                <w:sz w:val="20"/>
                <w:szCs w:val="20"/>
                <w:lang w:val="hy-AM"/>
              </w:rPr>
              <w:t>մակարդակների</w:t>
            </w:r>
            <w:r w:rsidRPr="0053423A">
              <w:rPr>
                <w:rFonts w:cs="Sylfaen"/>
                <w:sz w:val="20"/>
                <w:szCs w:val="20"/>
                <w:lang w:val="af-ZA"/>
              </w:rPr>
              <w:t xml:space="preserve"> </w:t>
            </w:r>
            <w:r w:rsidRPr="0053423A">
              <w:rPr>
                <w:rFonts w:cs="Sylfaen"/>
                <w:sz w:val="20"/>
                <w:szCs w:val="20"/>
                <w:lang w:val="hy-AM"/>
              </w:rPr>
              <w:t>կարգավորման</w:t>
            </w:r>
            <w:r w:rsidRPr="0053423A">
              <w:rPr>
                <w:rFonts w:cs="Sylfaen"/>
                <w:sz w:val="20"/>
                <w:szCs w:val="20"/>
                <w:lang w:val="af-ZA"/>
              </w:rPr>
              <w:t xml:space="preserve">, </w:t>
            </w:r>
            <w:r w:rsidRPr="0053423A">
              <w:rPr>
                <w:rFonts w:cs="Sylfaen"/>
                <w:sz w:val="20"/>
                <w:szCs w:val="20"/>
                <w:lang w:val="hy-AM"/>
              </w:rPr>
              <w:t>հողատեսքերի</w:t>
            </w:r>
            <w:r w:rsidRPr="0053423A">
              <w:rPr>
                <w:rFonts w:cs="Sylfaen"/>
                <w:sz w:val="20"/>
                <w:szCs w:val="20"/>
                <w:lang w:val="af-ZA"/>
              </w:rPr>
              <w:t xml:space="preserve"> </w:t>
            </w:r>
            <w:r w:rsidRPr="0053423A">
              <w:rPr>
                <w:rFonts w:cs="Sylfaen"/>
                <w:sz w:val="20"/>
                <w:szCs w:val="20"/>
                <w:lang w:val="hy-AM"/>
              </w:rPr>
              <w:t>աղակալման</w:t>
            </w:r>
            <w:r w:rsidRPr="0053423A">
              <w:rPr>
                <w:rFonts w:cs="Sylfaen"/>
                <w:sz w:val="20"/>
                <w:szCs w:val="20"/>
                <w:lang w:val="af-ZA"/>
              </w:rPr>
              <w:t xml:space="preserve">, </w:t>
            </w:r>
            <w:r w:rsidRPr="0053423A">
              <w:rPr>
                <w:rFonts w:cs="Sylfaen"/>
                <w:sz w:val="20"/>
                <w:szCs w:val="20"/>
                <w:lang w:val="hy-AM"/>
              </w:rPr>
              <w:t>բնակավայրերի</w:t>
            </w:r>
            <w:r w:rsidRPr="0053423A">
              <w:rPr>
                <w:rFonts w:cs="Sylfaen"/>
                <w:sz w:val="20"/>
                <w:szCs w:val="20"/>
                <w:lang w:val="af-ZA"/>
              </w:rPr>
              <w:t xml:space="preserve"> </w:t>
            </w:r>
            <w:r w:rsidRPr="0053423A">
              <w:rPr>
                <w:rFonts w:cs="Sylfaen"/>
                <w:sz w:val="20"/>
                <w:szCs w:val="20"/>
                <w:lang w:val="hy-AM"/>
              </w:rPr>
              <w:t>ջրակալման</w:t>
            </w:r>
            <w:r w:rsidRPr="0053423A">
              <w:rPr>
                <w:rFonts w:cs="Sylfaen"/>
                <w:sz w:val="20"/>
                <w:szCs w:val="20"/>
                <w:lang w:val="af-ZA"/>
              </w:rPr>
              <w:t xml:space="preserve"> </w:t>
            </w:r>
            <w:r w:rsidRPr="0053423A">
              <w:rPr>
                <w:rFonts w:cs="Sylfaen"/>
                <w:sz w:val="20"/>
                <w:szCs w:val="20"/>
                <w:lang w:val="hy-AM"/>
              </w:rPr>
              <w:t>և</w:t>
            </w:r>
            <w:r w:rsidRPr="0053423A">
              <w:rPr>
                <w:rFonts w:cs="Sylfaen"/>
                <w:sz w:val="20"/>
                <w:szCs w:val="20"/>
                <w:lang w:val="af-ZA"/>
              </w:rPr>
              <w:t xml:space="preserve"> </w:t>
            </w:r>
            <w:r w:rsidRPr="0053423A">
              <w:rPr>
                <w:rFonts w:cs="Sylfaen"/>
                <w:sz w:val="20"/>
                <w:szCs w:val="20"/>
                <w:lang w:val="hy-AM"/>
              </w:rPr>
              <w:t>տարափոխիկ</w:t>
            </w:r>
            <w:r w:rsidRPr="0053423A">
              <w:rPr>
                <w:rFonts w:cs="Sylfaen"/>
                <w:sz w:val="20"/>
                <w:szCs w:val="20"/>
                <w:lang w:val="af-ZA"/>
              </w:rPr>
              <w:t xml:space="preserve"> </w:t>
            </w:r>
            <w:r w:rsidRPr="0053423A">
              <w:rPr>
                <w:rFonts w:cs="Sylfaen"/>
                <w:sz w:val="20"/>
                <w:szCs w:val="20"/>
                <w:lang w:val="hy-AM"/>
              </w:rPr>
              <w:t>հիվանդությունների</w:t>
            </w:r>
            <w:r w:rsidRPr="0053423A">
              <w:rPr>
                <w:rFonts w:cs="Sylfaen"/>
                <w:sz w:val="20"/>
                <w:szCs w:val="20"/>
                <w:lang w:val="af-ZA"/>
              </w:rPr>
              <w:t xml:space="preserve"> </w:t>
            </w:r>
            <w:r w:rsidRPr="0053423A">
              <w:rPr>
                <w:rFonts w:cs="Sylfaen"/>
                <w:sz w:val="20"/>
                <w:szCs w:val="20"/>
                <w:lang w:val="hy-AM"/>
              </w:rPr>
              <w:t>կանխման</w:t>
            </w:r>
            <w:r w:rsidRPr="0053423A">
              <w:rPr>
                <w:rFonts w:cs="Sylfaen"/>
                <w:sz w:val="20"/>
                <w:szCs w:val="20"/>
                <w:lang w:val="af-ZA"/>
              </w:rPr>
              <w:t xml:space="preserve">, </w:t>
            </w:r>
            <w:r w:rsidRPr="0053423A">
              <w:rPr>
                <w:rFonts w:cs="Sylfaen"/>
                <w:sz w:val="20"/>
                <w:szCs w:val="20"/>
                <w:lang w:val="hy-AM"/>
              </w:rPr>
              <w:t>մշակաբույսերի</w:t>
            </w:r>
            <w:r w:rsidRPr="0053423A">
              <w:rPr>
                <w:rFonts w:cs="Sylfaen"/>
                <w:sz w:val="20"/>
                <w:szCs w:val="20"/>
                <w:lang w:val="af-ZA"/>
              </w:rPr>
              <w:t xml:space="preserve"> </w:t>
            </w:r>
            <w:r w:rsidRPr="0053423A">
              <w:rPr>
                <w:rFonts w:cs="Sylfaen"/>
                <w:sz w:val="20"/>
                <w:szCs w:val="20"/>
                <w:lang w:val="hy-AM"/>
              </w:rPr>
              <w:t>բնականոն</w:t>
            </w:r>
            <w:r w:rsidRPr="0053423A">
              <w:rPr>
                <w:rFonts w:cs="Sylfaen"/>
                <w:sz w:val="20"/>
                <w:szCs w:val="20"/>
                <w:lang w:val="af-ZA"/>
              </w:rPr>
              <w:t xml:space="preserve"> </w:t>
            </w:r>
            <w:r w:rsidRPr="0053423A">
              <w:rPr>
                <w:rFonts w:cs="Sylfaen"/>
                <w:sz w:val="20"/>
                <w:szCs w:val="20"/>
                <w:lang w:val="hy-AM"/>
              </w:rPr>
              <w:t>աճի</w:t>
            </w:r>
            <w:r w:rsidRPr="0053423A">
              <w:rPr>
                <w:rFonts w:cs="Sylfaen"/>
                <w:sz w:val="20"/>
                <w:szCs w:val="20"/>
                <w:lang w:val="af-ZA"/>
              </w:rPr>
              <w:t xml:space="preserve"> </w:t>
            </w:r>
            <w:r w:rsidRPr="0053423A">
              <w:rPr>
                <w:rFonts w:cs="Sylfaen"/>
                <w:sz w:val="20"/>
                <w:szCs w:val="20"/>
                <w:lang w:val="hy-AM"/>
              </w:rPr>
              <w:t>ապահովման</w:t>
            </w:r>
            <w:r w:rsidRPr="0053423A">
              <w:rPr>
                <w:rFonts w:cs="Sylfaen"/>
                <w:sz w:val="20"/>
                <w:szCs w:val="20"/>
                <w:lang w:val="af-ZA"/>
              </w:rPr>
              <w:t xml:space="preserve"> </w:t>
            </w:r>
            <w:r w:rsidRPr="0053423A">
              <w:rPr>
                <w:rFonts w:cs="Sylfaen"/>
                <w:sz w:val="20"/>
                <w:szCs w:val="20"/>
                <w:lang w:val="hy-AM"/>
              </w:rPr>
              <w:t>նպատակներով</w:t>
            </w:r>
            <w:r w:rsidRPr="0053423A">
              <w:rPr>
                <w:rFonts w:cs="Sylfaen"/>
                <w:sz w:val="20"/>
                <w:szCs w:val="20"/>
                <w:lang w:val="af-ZA"/>
              </w:rPr>
              <w:t xml:space="preserve">, </w:t>
            </w:r>
            <w:r w:rsidRPr="0053423A">
              <w:rPr>
                <w:rFonts w:cs="Sylfaen"/>
                <w:sz w:val="20"/>
                <w:szCs w:val="20"/>
                <w:lang w:val="hy-AM"/>
              </w:rPr>
              <w:t>հանրապետության</w:t>
            </w:r>
            <w:r w:rsidRPr="0053423A">
              <w:rPr>
                <w:rFonts w:cs="Sylfaen"/>
                <w:sz w:val="20"/>
                <w:szCs w:val="20"/>
                <w:lang w:val="af-ZA"/>
              </w:rPr>
              <w:t xml:space="preserve"> </w:t>
            </w:r>
            <w:r w:rsidRPr="0053423A">
              <w:rPr>
                <w:rFonts w:cs="Sylfaen"/>
                <w:sz w:val="20"/>
                <w:szCs w:val="20"/>
                <w:lang w:val="hy-AM"/>
              </w:rPr>
              <w:t>գերխոնավ</w:t>
            </w:r>
            <w:r w:rsidRPr="0053423A">
              <w:rPr>
                <w:rFonts w:cs="Sylfaen"/>
                <w:sz w:val="20"/>
                <w:szCs w:val="20"/>
                <w:lang w:val="af-ZA"/>
              </w:rPr>
              <w:t xml:space="preserve"> </w:t>
            </w:r>
            <w:r w:rsidRPr="0053423A">
              <w:rPr>
                <w:rFonts w:cs="Sylfaen"/>
                <w:sz w:val="20"/>
                <w:szCs w:val="20"/>
                <w:lang w:val="hy-AM"/>
              </w:rPr>
              <w:t>հողերի</w:t>
            </w:r>
            <w:r w:rsidRPr="0053423A">
              <w:rPr>
                <w:rFonts w:cs="Sylfaen"/>
                <w:sz w:val="20"/>
                <w:szCs w:val="20"/>
                <w:lang w:val="af-ZA"/>
              </w:rPr>
              <w:t xml:space="preserve"> </w:t>
            </w:r>
            <w:r w:rsidRPr="0053423A">
              <w:rPr>
                <w:rFonts w:cs="Sylfaen"/>
                <w:sz w:val="20"/>
                <w:szCs w:val="20"/>
                <w:lang w:val="hy-AM"/>
              </w:rPr>
              <w:t>տարածքներում</w:t>
            </w:r>
            <w:r w:rsidRPr="0053423A">
              <w:rPr>
                <w:rFonts w:cs="Sylfaen"/>
                <w:sz w:val="20"/>
                <w:szCs w:val="20"/>
                <w:lang w:val="af-ZA"/>
              </w:rPr>
              <w:t xml:space="preserve"> </w:t>
            </w:r>
            <w:r w:rsidRPr="0053423A">
              <w:rPr>
                <w:rFonts w:cs="Sylfaen"/>
                <w:sz w:val="20"/>
                <w:szCs w:val="20"/>
                <w:lang w:val="hy-AM"/>
              </w:rPr>
              <w:t>սկսած</w:t>
            </w:r>
            <w:r w:rsidRPr="0053423A">
              <w:rPr>
                <w:rFonts w:cs="Sylfaen"/>
                <w:sz w:val="20"/>
                <w:szCs w:val="20"/>
                <w:lang w:val="af-ZA"/>
              </w:rPr>
              <w:t xml:space="preserve"> 1950-</w:t>
            </w:r>
            <w:r w:rsidRPr="0053423A">
              <w:rPr>
                <w:rFonts w:cs="Sylfaen"/>
                <w:sz w:val="20"/>
                <w:szCs w:val="20"/>
                <w:lang w:val="hy-AM"/>
              </w:rPr>
              <w:t>ական</w:t>
            </w:r>
            <w:r w:rsidRPr="0053423A">
              <w:rPr>
                <w:rFonts w:cs="Sylfaen"/>
                <w:sz w:val="20"/>
                <w:szCs w:val="20"/>
                <w:lang w:val="af-ZA"/>
              </w:rPr>
              <w:t xml:space="preserve"> </w:t>
            </w:r>
            <w:r w:rsidRPr="0053423A">
              <w:rPr>
                <w:rFonts w:cs="Sylfaen"/>
                <w:sz w:val="20"/>
                <w:szCs w:val="20"/>
                <w:lang w:val="hy-AM"/>
              </w:rPr>
              <w:t>թվականներից</w:t>
            </w:r>
            <w:r w:rsidRPr="0053423A">
              <w:rPr>
                <w:rFonts w:cs="Sylfaen"/>
                <w:sz w:val="20"/>
                <w:szCs w:val="20"/>
                <w:lang w:val="af-ZA"/>
              </w:rPr>
              <w:t xml:space="preserve"> </w:t>
            </w:r>
            <w:r w:rsidRPr="0053423A">
              <w:rPr>
                <w:rFonts w:cs="Sylfaen"/>
                <w:sz w:val="20"/>
                <w:szCs w:val="20"/>
                <w:lang w:val="hy-AM"/>
              </w:rPr>
              <w:t>առ</w:t>
            </w:r>
            <w:r w:rsidRPr="0053423A">
              <w:rPr>
                <w:rFonts w:cs="Sylfaen"/>
                <w:sz w:val="20"/>
                <w:szCs w:val="20"/>
                <w:lang w:val="af-ZA"/>
              </w:rPr>
              <w:t xml:space="preserve"> </w:t>
            </w:r>
            <w:r w:rsidRPr="0053423A">
              <w:rPr>
                <w:rFonts w:cs="Sylfaen"/>
                <w:sz w:val="20"/>
                <w:szCs w:val="20"/>
                <w:lang w:val="hy-AM"/>
              </w:rPr>
              <w:t>այսօր</w:t>
            </w:r>
            <w:r w:rsidRPr="0053423A">
              <w:rPr>
                <w:rFonts w:cs="Sylfaen"/>
                <w:sz w:val="20"/>
                <w:szCs w:val="20"/>
                <w:lang w:val="af-ZA"/>
              </w:rPr>
              <w:t xml:space="preserve"> </w:t>
            </w:r>
            <w:r w:rsidRPr="0053423A">
              <w:rPr>
                <w:rFonts w:cs="Sylfaen"/>
                <w:sz w:val="20"/>
                <w:szCs w:val="20"/>
                <w:lang w:val="hy-AM"/>
              </w:rPr>
              <w:t>կառուցվել</w:t>
            </w:r>
            <w:r w:rsidRPr="0053423A">
              <w:rPr>
                <w:rFonts w:cs="Sylfaen"/>
                <w:sz w:val="20"/>
                <w:szCs w:val="20"/>
                <w:lang w:val="af-ZA"/>
              </w:rPr>
              <w:t xml:space="preserve"> </w:t>
            </w:r>
            <w:r w:rsidRPr="0053423A">
              <w:rPr>
                <w:rFonts w:cs="Sylfaen"/>
                <w:sz w:val="20"/>
                <w:szCs w:val="20"/>
                <w:lang w:val="hy-AM"/>
              </w:rPr>
              <w:t>է</w:t>
            </w:r>
            <w:r w:rsidRPr="0053423A">
              <w:rPr>
                <w:rFonts w:cs="Sylfaen"/>
                <w:sz w:val="20"/>
                <w:szCs w:val="20"/>
                <w:lang w:val="af-ZA"/>
              </w:rPr>
              <w:t xml:space="preserve"> </w:t>
            </w:r>
            <w:r w:rsidRPr="0053423A">
              <w:rPr>
                <w:rFonts w:cs="Sylfaen"/>
                <w:sz w:val="20"/>
                <w:szCs w:val="20"/>
                <w:lang w:val="hy-AM"/>
              </w:rPr>
              <w:t>շուրջ</w:t>
            </w:r>
            <w:r w:rsidRPr="0053423A">
              <w:rPr>
                <w:rFonts w:cs="Sylfaen"/>
                <w:sz w:val="20"/>
                <w:szCs w:val="20"/>
                <w:lang w:val="af-ZA"/>
              </w:rPr>
              <w:t xml:space="preserve"> 1696.612 </w:t>
            </w:r>
            <w:r w:rsidRPr="0053423A">
              <w:rPr>
                <w:rFonts w:cs="Sylfaen"/>
                <w:sz w:val="20"/>
                <w:szCs w:val="20"/>
                <w:lang w:val="hy-AM"/>
              </w:rPr>
              <w:t>կմ</w:t>
            </w:r>
            <w:r w:rsidRPr="0053423A">
              <w:rPr>
                <w:rFonts w:cs="Sylfaen"/>
                <w:sz w:val="20"/>
                <w:szCs w:val="20"/>
                <w:lang w:val="af-ZA"/>
              </w:rPr>
              <w:t xml:space="preserve"> </w:t>
            </w:r>
            <w:r w:rsidRPr="0053423A">
              <w:rPr>
                <w:rFonts w:cs="Sylfaen"/>
                <w:sz w:val="20"/>
                <w:szCs w:val="20"/>
                <w:lang w:val="hy-AM"/>
              </w:rPr>
              <w:t>դրենաժային</w:t>
            </w:r>
            <w:r w:rsidRPr="0053423A">
              <w:rPr>
                <w:rFonts w:cs="Sylfaen"/>
                <w:sz w:val="20"/>
                <w:szCs w:val="20"/>
                <w:lang w:val="af-ZA"/>
              </w:rPr>
              <w:t xml:space="preserve"> </w:t>
            </w:r>
            <w:r w:rsidRPr="0053423A">
              <w:rPr>
                <w:rFonts w:cs="Sylfaen"/>
                <w:sz w:val="20"/>
                <w:szCs w:val="20"/>
                <w:lang w:val="hy-AM"/>
              </w:rPr>
              <w:t>ցանց</w:t>
            </w:r>
            <w:r w:rsidRPr="0053423A">
              <w:rPr>
                <w:rFonts w:cs="Sylfaen"/>
                <w:sz w:val="20"/>
                <w:szCs w:val="20"/>
                <w:lang w:val="af-ZA"/>
              </w:rPr>
              <w:t xml:space="preserve">, </w:t>
            </w:r>
            <w:r w:rsidRPr="0053423A">
              <w:rPr>
                <w:rFonts w:cs="Sylfaen"/>
                <w:sz w:val="20"/>
                <w:szCs w:val="20"/>
                <w:lang w:val="hy-AM"/>
              </w:rPr>
              <w:t>այդ</w:t>
            </w:r>
            <w:r w:rsidRPr="0053423A">
              <w:rPr>
                <w:rFonts w:cs="Sylfaen"/>
                <w:sz w:val="20"/>
                <w:szCs w:val="20"/>
                <w:lang w:val="af-ZA"/>
              </w:rPr>
              <w:t xml:space="preserve"> </w:t>
            </w:r>
            <w:r w:rsidRPr="0053423A">
              <w:rPr>
                <w:rFonts w:cs="Sylfaen"/>
                <w:sz w:val="20"/>
                <w:szCs w:val="20"/>
                <w:lang w:val="hy-AM"/>
              </w:rPr>
              <w:t>թվում</w:t>
            </w:r>
            <w:r w:rsidRPr="0053423A">
              <w:rPr>
                <w:rFonts w:cs="Sylfaen"/>
                <w:sz w:val="20"/>
                <w:szCs w:val="20"/>
                <w:lang w:val="af-ZA"/>
              </w:rPr>
              <w:t xml:space="preserve">` </w:t>
            </w:r>
            <w:r w:rsidRPr="0053423A">
              <w:rPr>
                <w:rFonts w:cs="Sylfaen"/>
                <w:sz w:val="20"/>
                <w:szCs w:val="20"/>
                <w:lang w:val="hy-AM"/>
              </w:rPr>
              <w:t>բաց</w:t>
            </w:r>
            <w:r w:rsidRPr="0053423A">
              <w:rPr>
                <w:rFonts w:cs="Sylfaen"/>
                <w:sz w:val="20"/>
                <w:szCs w:val="20"/>
                <w:lang w:val="af-ZA"/>
              </w:rPr>
              <w:t xml:space="preserve">` 1065.662 </w:t>
            </w:r>
            <w:r w:rsidRPr="0053423A">
              <w:rPr>
                <w:rFonts w:cs="Sylfaen"/>
                <w:sz w:val="20"/>
                <w:szCs w:val="20"/>
                <w:lang w:val="hy-AM"/>
              </w:rPr>
              <w:t>կմ</w:t>
            </w:r>
            <w:r w:rsidRPr="0053423A">
              <w:rPr>
                <w:rFonts w:cs="Sylfaen"/>
                <w:sz w:val="20"/>
                <w:szCs w:val="20"/>
                <w:lang w:val="af-ZA"/>
              </w:rPr>
              <w:t xml:space="preserve"> </w:t>
            </w:r>
            <w:r w:rsidRPr="0053423A">
              <w:rPr>
                <w:rFonts w:cs="Sylfaen"/>
                <w:sz w:val="20"/>
                <w:szCs w:val="20"/>
                <w:lang w:val="hy-AM"/>
              </w:rPr>
              <w:t>և</w:t>
            </w:r>
            <w:r w:rsidRPr="0053423A">
              <w:rPr>
                <w:rFonts w:cs="Sylfaen"/>
                <w:sz w:val="20"/>
                <w:szCs w:val="20"/>
                <w:lang w:val="af-ZA"/>
              </w:rPr>
              <w:t xml:space="preserve"> </w:t>
            </w:r>
            <w:r w:rsidRPr="0053423A">
              <w:rPr>
                <w:rFonts w:cs="Sylfaen"/>
                <w:sz w:val="20"/>
                <w:szCs w:val="20"/>
                <w:lang w:val="hy-AM"/>
              </w:rPr>
              <w:t>փակ</w:t>
            </w:r>
            <w:r w:rsidRPr="0053423A">
              <w:rPr>
                <w:rFonts w:cs="Sylfaen"/>
                <w:sz w:val="20"/>
                <w:szCs w:val="20"/>
                <w:lang w:val="af-ZA"/>
              </w:rPr>
              <w:t xml:space="preserve">` 630.95 </w:t>
            </w:r>
            <w:r w:rsidRPr="0053423A">
              <w:rPr>
                <w:rFonts w:cs="Sylfaen"/>
                <w:sz w:val="20"/>
                <w:szCs w:val="20"/>
                <w:lang w:val="hy-AM"/>
              </w:rPr>
              <w:t>կմ</w:t>
            </w:r>
            <w:r w:rsidRPr="0053423A">
              <w:rPr>
                <w:rFonts w:cs="Sylfaen"/>
                <w:sz w:val="20"/>
                <w:szCs w:val="20"/>
                <w:lang w:val="af-ZA"/>
              </w:rPr>
              <w:t xml:space="preserve">, </w:t>
            </w:r>
            <w:r w:rsidRPr="0053423A">
              <w:rPr>
                <w:rFonts w:cs="Sylfaen"/>
                <w:sz w:val="20"/>
                <w:szCs w:val="20"/>
                <w:lang w:val="hy-AM"/>
              </w:rPr>
              <w:t>որի</w:t>
            </w:r>
            <w:r w:rsidRPr="0053423A">
              <w:rPr>
                <w:rFonts w:cs="Sylfaen"/>
                <w:sz w:val="20"/>
                <w:szCs w:val="20"/>
                <w:lang w:val="af-ZA"/>
              </w:rPr>
              <w:t xml:space="preserve"> </w:t>
            </w:r>
            <w:r w:rsidRPr="0053423A">
              <w:rPr>
                <w:rFonts w:cs="Sylfaen"/>
                <w:sz w:val="20"/>
                <w:szCs w:val="20"/>
                <w:lang w:val="hy-AM"/>
              </w:rPr>
              <w:t>պահպանման</w:t>
            </w:r>
            <w:r w:rsidRPr="0053423A">
              <w:rPr>
                <w:rFonts w:cs="Sylfaen"/>
                <w:sz w:val="20"/>
                <w:szCs w:val="20"/>
                <w:lang w:val="af-ZA"/>
              </w:rPr>
              <w:t xml:space="preserve">, </w:t>
            </w:r>
            <w:r w:rsidRPr="0053423A">
              <w:rPr>
                <w:rFonts w:cs="Sylfaen"/>
                <w:sz w:val="20"/>
                <w:szCs w:val="20"/>
                <w:lang w:val="hy-AM"/>
              </w:rPr>
              <w:t>շահագործման</w:t>
            </w:r>
            <w:r w:rsidRPr="0053423A">
              <w:rPr>
                <w:rFonts w:cs="Sylfaen"/>
                <w:sz w:val="20"/>
                <w:szCs w:val="20"/>
                <w:lang w:val="af-ZA"/>
              </w:rPr>
              <w:t xml:space="preserve"> նպատակով էլ պայմանավորված է միջոցառման իրականացումը:</w:t>
            </w:r>
          </w:p>
          <w:p w:rsidR="0084615D" w:rsidRPr="0053423A" w:rsidRDefault="00795500" w:rsidP="001F6D5D">
            <w:pPr>
              <w:pStyle w:val="ListParagraph"/>
              <w:numPr>
                <w:ilvl w:val="1"/>
                <w:numId w:val="275"/>
              </w:numPr>
              <w:tabs>
                <w:tab w:val="left" w:pos="900"/>
                <w:tab w:val="left" w:pos="1620"/>
              </w:tabs>
              <w:spacing w:after="0" w:line="276" w:lineRule="auto"/>
              <w:ind w:left="0" w:firstLine="1080"/>
              <w:rPr>
                <w:rFonts w:eastAsia="Times New Roman"/>
                <w:b/>
                <w:sz w:val="20"/>
                <w:szCs w:val="20"/>
                <w:lang w:val="af-ZA"/>
              </w:rPr>
            </w:pPr>
            <w:r w:rsidRPr="0053423A">
              <w:rPr>
                <w:rFonts w:eastAsia="Times New Roman"/>
                <w:b/>
                <w:sz w:val="20"/>
                <w:szCs w:val="20"/>
              </w:rPr>
              <w:t>Կ</w:t>
            </w:r>
            <w:r w:rsidR="0084615D" w:rsidRPr="0053423A">
              <w:rPr>
                <w:rFonts w:eastAsia="Times New Roman"/>
                <w:b/>
                <w:sz w:val="20"/>
                <w:szCs w:val="20"/>
              </w:rPr>
              <w:t>արգավորման</w:t>
            </w:r>
            <w:r w:rsidR="0084615D" w:rsidRPr="0053423A">
              <w:rPr>
                <w:rFonts w:eastAsia="Times New Roman"/>
                <w:b/>
                <w:sz w:val="20"/>
                <w:szCs w:val="20"/>
                <w:lang w:val="af-ZA"/>
              </w:rPr>
              <w:t xml:space="preserve"> </w:t>
            </w:r>
            <w:r w:rsidR="0084615D" w:rsidRPr="0053423A">
              <w:rPr>
                <w:rFonts w:eastAsia="Times New Roman"/>
                <w:b/>
                <w:sz w:val="20"/>
                <w:szCs w:val="20"/>
              </w:rPr>
              <w:t>հարաբերությունների</w:t>
            </w:r>
            <w:r w:rsidR="0084615D" w:rsidRPr="0053423A">
              <w:rPr>
                <w:rFonts w:eastAsia="Times New Roman"/>
                <w:b/>
                <w:sz w:val="20"/>
                <w:szCs w:val="20"/>
                <w:lang w:val="af-ZA"/>
              </w:rPr>
              <w:t xml:space="preserve"> </w:t>
            </w:r>
            <w:r w:rsidR="0084615D" w:rsidRPr="0053423A">
              <w:rPr>
                <w:rFonts w:eastAsia="Times New Roman"/>
                <w:b/>
                <w:sz w:val="20"/>
                <w:szCs w:val="20"/>
              </w:rPr>
              <w:t>ներկա</w:t>
            </w:r>
            <w:r w:rsidR="0084615D" w:rsidRPr="0053423A">
              <w:rPr>
                <w:rFonts w:eastAsia="Times New Roman"/>
                <w:b/>
                <w:sz w:val="20"/>
                <w:szCs w:val="20"/>
                <w:lang w:val="af-ZA"/>
              </w:rPr>
              <w:t xml:space="preserve"> </w:t>
            </w:r>
            <w:r w:rsidR="0084615D" w:rsidRPr="0053423A">
              <w:rPr>
                <w:rFonts w:eastAsia="Times New Roman"/>
                <w:b/>
                <w:sz w:val="20"/>
                <w:szCs w:val="20"/>
              </w:rPr>
              <w:t>վիճակը</w:t>
            </w:r>
            <w:r w:rsidR="0084615D" w:rsidRPr="0053423A">
              <w:rPr>
                <w:rFonts w:eastAsia="Times New Roman"/>
                <w:b/>
                <w:sz w:val="20"/>
                <w:szCs w:val="20"/>
                <w:lang w:val="af-ZA"/>
              </w:rPr>
              <w:t xml:space="preserve"> </w:t>
            </w:r>
            <w:r w:rsidR="0084615D" w:rsidRPr="0053423A">
              <w:rPr>
                <w:rFonts w:eastAsia="Times New Roman"/>
                <w:b/>
                <w:sz w:val="20"/>
                <w:szCs w:val="20"/>
              </w:rPr>
              <w:t>և</w:t>
            </w:r>
            <w:r w:rsidR="0084615D" w:rsidRPr="0053423A">
              <w:rPr>
                <w:rFonts w:eastAsia="Times New Roman"/>
                <w:b/>
                <w:sz w:val="20"/>
                <w:szCs w:val="20"/>
                <w:lang w:val="af-ZA"/>
              </w:rPr>
              <w:t xml:space="preserve"> </w:t>
            </w:r>
            <w:r w:rsidR="0084615D" w:rsidRPr="0053423A">
              <w:rPr>
                <w:rFonts w:eastAsia="Times New Roman"/>
                <w:b/>
                <w:sz w:val="20"/>
                <w:szCs w:val="20"/>
              </w:rPr>
              <w:t>առկա</w:t>
            </w:r>
            <w:r w:rsidR="0084615D" w:rsidRPr="0053423A">
              <w:rPr>
                <w:rFonts w:eastAsia="Times New Roman"/>
                <w:b/>
                <w:sz w:val="20"/>
                <w:szCs w:val="20"/>
                <w:lang w:val="af-ZA"/>
              </w:rPr>
              <w:t xml:space="preserve"> </w:t>
            </w:r>
            <w:r w:rsidR="0084615D" w:rsidRPr="0053423A">
              <w:rPr>
                <w:rFonts w:eastAsia="Times New Roman"/>
                <w:b/>
                <w:sz w:val="20"/>
                <w:szCs w:val="20"/>
              </w:rPr>
              <w:t>խնդիրները</w:t>
            </w:r>
          </w:p>
          <w:p w:rsidR="0084615D" w:rsidRPr="0053423A" w:rsidRDefault="0084615D" w:rsidP="00A67858">
            <w:pPr>
              <w:spacing w:after="0" w:line="276" w:lineRule="auto"/>
              <w:ind w:firstLine="720"/>
              <w:jc w:val="both"/>
              <w:rPr>
                <w:sz w:val="20"/>
                <w:szCs w:val="20"/>
                <w:lang w:val="af-ZA"/>
              </w:rPr>
            </w:pPr>
            <w:r w:rsidRPr="0053423A">
              <w:rPr>
                <w:sz w:val="20"/>
                <w:szCs w:val="20"/>
                <w:lang w:val="af-ZA"/>
              </w:rPr>
              <w:t>Ներկայումս ՀՀ-ում գործում է շուրջ 950</w:t>
            </w:r>
            <w:r w:rsidRPr="0053423A">
              <w:rPr>
                <w:rFonts w:cs="Sylfaen"/>
                <w:sz w:val="20"/>
                <w:szCs w:val="20"/>
                <w:lang w:val="af-ZA"/>
              </w:rPr>
              <w:t xml:space="preserve"> </w:t>
            </w:r>
            <w:r w:rsidRPr="0053423A">
              <w:rPr>
                <w:rFonts w:cs="Sylfaen"/>
                <w:sz w:val="20"/>
                <w:szCs w:val="20"/>
              </w:rPr>
              <w:t>կմ</w:t>
            </w:r>
            <w:r w:rsidRPr="0053423A">
              <w:rPr>
                <w:sz w:val="20"/>
                <w:szCs w:val="20"/>
                <w:lang w:val="af-ZA"/>
              </w:rPr>
              <w:t xml:space="preserve"> կոլեկտորադրենաժային բաց համակարգեր, որոնց պահպանման և շահագործման համար ըստ նորմատիվի անհրաժեշտ է նվազագույնը 3 տարին մեկ պարբերականությամբ իրականացնել մաքրման և նորոգման աշխատանքներ: </w:t>
            </w:r>
          </w:p>
          <w:p w:rsidR="0084615D" w:rsidRPr="0053423A" w:rsidRDefault="0084615D" w:rsidP="00A67858">
            <w:pPr>
              <w:pStyle w:val="ListParagraph"/>
              <w:tabs>
                <w:tab w:val="left" w:pos="900"/>
              </w:tabs>
              <w:spacing w:after="0" w:line="276" w:lineRule="auto"/>
              <w:ind w:left="0" w:firstLine="1080"/>
              <w:rPr>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00795500" w:rsidRPr="0053423A">
              <w:rPr>
                <w:rFonts w:eastAsia="Times New Roman"/>
                <w:b/>
                <w:sz w:val="20"/>
                <w:szCs w:val="20"/>
                <w:lang w:val="af-ZA"/>
              </w:rPr>
              <w:t xml:space="preserve"> Ա</w:t>
            </w:r>
            <w:r w:rsidRPr="0053423A">
              <w:rPr>
                <w:rFonts w:eastAsia="Times New Roman"/>
                <w:b/>
                <w:sz w:val="20"/>
                <w:szCs w:val="20"/>
              </w:rPr>
              <w:t>ռկա</w:t>
            </w:r>
            <w:r w:rsidRPr="0053423A">
              <w:rPr>
                <w:rFonts w:eastAsia="Times New Roman"/>
                <w:b/>
                <w:sz w:val="20"/>
                <w:szCs w:val="20"/>
                <w:lang w:val="af-ZA"/>
              </w:rPr>
              <w:t xml:space="preserve"> </w:t>
            </w:r>
            <w:r w:rsidRPr="0053423A">
              <w:rPr>
                <w:rFonts w:eastAsia="Times New Roman"/>
                <w:b/>
                <w:sz w:val="20"/>
                <w:szCs w:val="20"/>
              </w:rPr>
              <w:t>խնդիրների</w:t>
            </w:r>
            <w:r w:rsidRPr="0053423A">
              <w:rPr>
                <w:rFonts w:eastAsia="Times New Roman"/>
                <w:b/>
                <w:sz w:val="20"/>
                <w:szCs w:val="20"/>
                <w:lang w:val="af-ZA"/>
              </w:rPr>
              <w:t xml:space="preserve"> </w:t>
            </w:r>
            <w:r w:rsidRPr="0053423A">
              <w:rPr>
                <w:rFonts w:eastAsia="Times New Roman"/>
                <w:b/>
                <w:sz w:val="20"/>
                <w:szCs w:val="20"/>
              </w:rPr>
              <w:t>առաջարկվող</w:t>
            </w:r>
            <w:r w:rsidRPr="0053423A">
              <w:rPr>
                <w:rFonts w:eastAsia="Times New Roman"/>
                <w:b/>
                <w:sz w:val="20"/>
                <w:szCs w:val="20"/>
                <w:lang w:val="af-ZA"/>
              </w:rPr>
              <w:t xml:space="preserve"> </w:t>
            </w:r>
            <w:r w:rsidRPr="0053423A">
              <w:rPr>
                <w:rFonts w:eastAsia="Times New Roman"/>
                <w:b/>
                <w:sz w:val="20"/>
                <w:szCs w:val="20"/>
              </w:rPr>
              <w:t>լուծումները</w:t>
            </w:r>
          </w:p>
          <w:p w:rsidR="0084615D" w:rsidRPr="0053423A" w:rsidRDefault="0084615D" w:rsidP="00A67858">
            <w:pPr>
              <w:spacing w:after="0" w:line="276" w:lineRule="auto"/>
              <w:jc w:val="both"/>
              <w:rPr>
                <w:sz w:val="20"/>
                <w:szCs w:val="20"/>
                <w:lang w:val="af-ZA"/>
              </w:rPr>
            </w:pPr>
            <w:r w:rsidRPr="0053423A">
              <w:rPr>
                <w:sz w:val="20"/>
                <w:szCs w:val="20"/>
                <w:lang w:val="af-ZA"/>
              </w:rPr>
              <w:t xml:space="preserve">ՀՀ պետական բյուջեի հատկացումներով հնարավորություն է ընձեռվում յուրաքանչյուր տարի մաքրել և նորոգել շուրջ 182կմ դրենաժային համակարգ: </w:t>
            </w:r>
          </w:p>
          <w:p w:rsidR="0084615D" w:rsidRPr="0053423A" w:rsidRDefault="0084615D" w:rsidP="00A67858">
            <w:pPr>
              <w:pStyle w:val="ListParagraph"/>
              <w:tabs>
                <w:tab w:val="left" w:pos="1620"/>
              </w:tabs>
              <w:spacing w:after="0" w:line="276" w:lineRule="auto"/>
              <w:ind w:left="0" w:firstLine="1080"/>
              <w:rPr>
                <w:b/>
                <w:sz w:val="20"/>
                <w:szCs w:val="20"/>
                <w:lang w:val="af-ZA"/>
              </w:rPr>
            </w:pPr>
            <w:r w:rsidRPr="0053423A">
              <w:rPr>
                <w:rFonts w:eastAsia="Times New Roman" w:cs="Courier New"/>
                <w:b/>
                <w:sz w:val="20"/>
                <w:szCs w:val="20"/>
                <w:lang w:val="af-ZA"/>
              </w:rPr>
              <w:t>2.</w:t>
            </w:r>
            <w:r w:rsidRPr="0053423A">
              <w:rPr>
                <w:rFonts w:ascii="Calibri" w:eastAsia="Times New Roman" w:hAnsi="Calibri" w:cs="Calibri"/>
                <w:b/>
                <w:sz w:val="20"/>
                <w:szCs w:val="20"/>
                <w:lang w:val="af-ZA"/>
              </w:rPr>
              <w:t> </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իրակացումից</w:t>
            </w:r>
            <w:r w:rsidRPr="0053423A">
              <w:rPr>
                <w:rFonts w:eastAsia="Times New Roman"/>
                <w:b/>
                <w:sz w:val="20"/>
                <w:szCs w:val="20"/>
                <w:lang w:val="af-ZA"/>
              </w:rPr>
              <w:t xml:space="preserve"> </w:t>
            </w:r>
            <w:r w:rsidRPr="0053423A">
              <w:rPr>
                <w:rFonts w:eastAsia="Times New Roman"/>
                <w:b/>
                <w:sz w:val="20"/>
                <w:szCs w:val="20"/>
              </w:rPr>
              <w:t>ակնկալվող</w:t>
            </w:r>
            <w:r w:rsidRPr="0053423A">
              <w:rPr>
                <w:rFonts w:eastAsia="Times New Roman"/>
                <w:b/>
                <w:sz w:val="20"/>
                <w:szCs w:val="20"/>
                <w:lang w:val="af-ZA"/>
              </w:rPr>
              <w:t xml:space="preserve"> </w:t>
            </w:r>
            <w:r w:rsidRPr="0053423A">
              <w:rPr>
                <w:rFonts w:eastAsia="Times New Roman"/>
                <w:b/>
                <w:sz w:val="20"/>
                <w:szCs w:val="20"/>
              </w:rPr>
              <w:t>արդյունքը</w:t>
            </w:r>
          </w:p>
          <w:p w:rsidR="0084615D" w:rsidRPr="0053423A" w:rsidRDefault="0084615D" w:rsidP="00A67858">
            <w:pPr>
              <w:tabs>
                <w:tab w:val="num" w:pos="720"/>
              </w:tabs>
              <w:spacing w:after="0" w:line="276" w:lineRule="auto"/>
              <w:jc w:val="both"/>
              <w:rPr>
                <w:i/>
                <w:sz w:val="20"/>
                <w:szCs w:val="20"/>
                <w:u w:val="single"/>
                <w:lang w:val="fr-FR"/>
              </w:rPr>
            </w:pPr>
            <w:r w:rsidRPr="0053423A">
              <w:rPr>
                <w:rFonts w:cs="Sylfaen"/>
                <w:sz w:val="20"/>
                <w:szCs w:val="20"/>
                <w:lang w:val="af-ZA"/>
              </w:rPr>
              <w:t>Ակնկալվում է բարելավել ոռոգելի հողերի մելիորատիվ վիճակը, պահպանել գրունտային ջրերի մակարդակը թույլատրելի խորություններում, կանխարգելել հողատեսքերի երկրորդային աղակալումն ու ալկալիացումը, տարափոխիկ հիվանդությունների տարածումը և նպաստել գյուղատնտեսական մշակաբույսերի բերքատվության բարձրացմանը:</w:t>
            </w:r>
          </w:p>
          <w:p w:rsidR="0084615D" w:rsidRPr="0053423A" w:rsidRDefault="0084615D" w:rsidP="00A67858">
            <w:pPr>
              <w:spacing w:after="0" w:line="276" w:lineRule="auto"/>
              <w:jc w:val="center"/>
              <w:rPr>
                <w:rFonts w:cs="GHEA Grapalat"/>
                <w:b/>
                <w:sz w:val="20"/>
                <w:szCs w:val="20"/>
                <w:lang w:val="fr-FR"/>
              </w:rPr>
            </w:pPr>
          </w:p>
        </w:tc>
      </w:tr>
      <w:tr w:rsidR="0084615D" w:rsidRPr="00DE2EFA" w:rsidTr="00844C90">
        <w:tc>
          <w:tcPr>
            <w:tcW w:w="461" w:type="dxa"/>
            <w:shd w:val="clear" w:color="auto" w:fill="auto"/>
          </w:tcPr>
          <w:p w:rsidR="0084615D" w:rsidRPr="0053423A" w:rsidRDefault="00626D24" w:rsidP="00A67858">
            <w:pPr>
              <w:spacing w:after="0" w:line="276" w:lineRule="auto"/>
              <w:jc w:val="center"/>
              <w:rPr>
                <w:rFonts w:eastAsia="Times New Roman"/>
                <w:b/>
                <w:bCs/>
                <w:sz w:val="20"/>
                <w:szCs w:val="20"/>
                <w:lang w:val="hy-AM"/>
              </w:rPr>
            </w:pPr>
            <w:r>
              <w:rPr>
                <w:rFonts w:eastAsia="Times New Roman"/>
                <w:b/>
                <w:bCs/>
                <w:sz w:val="20"/>
                <w:szCs w:val="20"/>
                <w:lang w:val="hy-AM"/>
              </w:rPr>
              <w:t>28</w:t>
            </w:r>
          </w:p>
        </w:tc>
        <w:tc>
          <w:tcPr>
            <w:tcW w:w="10879" w:type="dxa"/>
            <w:shd w:val="clear" w:color="auto" w:fill="auto"/>
          </w:tcPr>
          <w:p w:rsidR="0084615D" w:rsidRPr="0053423A" w:rsidRDefault="0084615D" w:rsidP="00A67858">
            <w:pPr>
              <w:spacing w:after="0" w:line="276" w:lineRule="auto"/>
              <w:jc w:val="center"/>
              <w:rPr>
                <w:b/>
                <w:sz w:val="20"/>
                <w:szCs w:val="20"/>
                <w:lang w:val="hy-AM"/>
              </w:rPr>
            </w:pPr>
            <w:r w:rsidRPr="0053423A">
              <w:rPr>
                <w:b/>
                <w:sz w:val="20"/>
                <w:szCs w:val="20"/>
                <w:lang w:val="hy-AM"/>
              </w:rPr>
              <w:t>Հեղեղման ռիսկի նախնական գնահատման իրականացում, հեղեղումների վտանգի և ռիսկի քարտեզների կազմում, հեղեղումների ռիսկի կառավարման պլանների կազմում</w:t>
            </w:r>
          </w:p>
          <w:p w:rsidR="0084615D" w:rsidRPr="0053423A" w:rsidRDefault="0084615D" w:rsidP="00A67858">
            <w:pPr>
              <w:spacing w:after="0" w:line="276" w:lineRule="auto"/>
              <w:jc w:val="center"/>
              <w:rPr>
                <w:b/>
                <w:sz w:val="20"/>
                <w:szCs w:val="20"/>
                <w:lang w:val="hy-AM"/>
              </w:rPr>
            </w:pPr>
          </w:p>
          <w:p w:rsidR="0084615D" w:rsidRPr="0053423A" w:rsidRDefault="00626D24" w:rsidP="00A67858">
            <w:pPr>
              <w:tabs>
                <w:tab w:val="left" w:pos="1170"/>
              </w:tabs>
              <w:spacing w:after="0" w:line="276" w:lineRule="auto"/>
              <w:ind w:left="720"/>
              <w:jc w:val="center"/>
              <w:rPr>
                <w:b/>
                <w:sz w:val="20"/>
                <w:szCs w:val="20"/>
                <w:u w:val="single"/>
                <w:lang w:val="af-ZA"/>
              </w:rPr>
            </w:pPr>
            <w:r>
              <w:rPr>
                <w:b/>
                <w:sz w:val="20"/>
                <w:szCs w:val="20"/>
                <w:u w:val="single"/>
                <w:lang w:val="fr-FR"/>
              </w:rPr>
              <w:t>28</w:t>
            </w:r>
            <w:r w:rsidR="0084615D" w:rsidRPr="0053423A">
              <w:rPr>
                <w:b/>
                <w:sz w:val="20"/>
                <w:szCs w:val="20"/>
                <w:u w:val="single"/>
                <w:lang w:val="af-ZA"/>
              </w:rPr>
              <w:t>.1</w:t>
            </w:r>
            <w:r w:rsidR="0084615D" w:rsidRPr="0053423A">
              <w:rPr>
                <w:rFonts w:ascii="Calibri" w:hAnsi="Calibri" w:cs="Calibri"/>
                <w:b/>
                <w:sz w:val="20"/>
                <w:szCs w:val="20"/>
                <w:u w:val="single"/>
                <w:lang w:val="af-ZA"/>
              </w:rPr>
              <w:t> </w:t>
            </w:r>
            <w:r w:rsidR="0084615D" w:rsidRPr="0053423A">
              <w:rPr>
                <w:rFonts w:cs="GHEA Grapalat"/>
                <w:b/>
                <w:sz w:val="20"/>
                <w:szCs w:val="20"/>
                <w:u w:val="single"/>
                <w:lang w:val="af-ZA"/>
              </w:rPr>
              <w:t>«</w:t>
            </w:r>
            <w:r w:rsidR="0084615D" w:rsidRPr="0053423A">
              <w:rPr>
                <w:b/>
                <w:sz w:val="20"/>
                <w:szCs w:val="20"/>
                <w:u w:val="single"/>
                <w:lang w:val="af-ZA"/>
              </w:rPr>
              <w:t>Հանրապետության բնակավայրերի, տնտեսական արժեք ներկայացնող տարածքների ու բնակչության գույքը վարարումների և սելավների ռիսկից պաշտպանելու տվյալների բազայի ստեղծման, հակահեղեղային առաջնահերթ միջոցառումների իրականացման կանոնակարգման, կառավարման համակարգչային ծրագրի միջոցով ոլորտի կենտրոնացված կառավարման իրականացում</w:t>
            </w:r>
          </w:p>
          <w:p w:rsidR="0084615D" w:rsidRPr="0053423A" w:rsidRDefault="0084615D" w:rsidP="00A67858">
            <w:pPr>
              <w:tabs>
                <w:tab w:val="left" w:pos="630"/>
              </w:tabs>
              <w:spacing w:after="0" w:line="276" w:lineRule="auto"/>
              <w:ind w:firstLine="720"/>
              <w:jc w:val="center"/>
              <w:rPr>
                <w:b/>
                <w:sz w:val="20"/>
                <w:szCs w:val="20"/>
                <w:u w:val="single"/>
                <w:lang w:val="af-ZA"/>
              </w:rPr>
            </w:pPr>
          </w:p>
          <w:p w:rsidR="0084615D" w:rsidRPr="0053423A" w:rsidRDefault="0084615D" w:rsidP="001F6D5D">
            <w:pPr>
              <w:pStyle w:val="ListParagraph"/>
              <w:numPr>
                <w:ilvl w:val="0"/>
                <w:numId w:val="285"/>
              </w:numPr>
              <w:tabs>
                <w:tab w:val="left" w:pos="810"/>
              </w:tabs>
              <w:spacing w:after="0" w:line="276" w:lineRule="auto"/>
              <w:rPr>
                <w:rFonts w:eastAsia="Times New Roman"/>
                <w:b/>
                <w:sz w:val="20"/>
                <w:szCs w:val="20"/>
              </w:rPr>
            </w:pPr>
            <w:r w:rsidRPr="0053423A">
              <w:rPr>
                <w:rFonts w:eastAsia="Times New Roman"/>
                <w:b/>
                <w:sz w:val="20"/>
                <w:szCs w:val="20"/>
                <w:lang w:val="hy-AM"/>
              </w:rPr>
              <w:t>Միջոցառման</w:t>
            </w:r>
            <w:r w:rsidRPr="0053423A">
              <w:rPr>
                <w:rFonts w:eastAsia="Times New Roman"/>
                <w:b/>
                <w:sz w:val="20"/>
                <w:szCs w:val="20"/>
                <w:lang w:val="af-ZA"/>
              </w:rPr>
              <w:t xml:space="preserve"> </w:t>
            </w:r>
            <w:r w:rsidRPr="0053423A">
              <w:rPr>
                <w:rFonts w:eastAsia="Times New Roman"/>
                <w:b/>
                <w:sz w:val="20"/>
                <w:szCs w:val="20"/>
                <w:lang w:val="hy-AM"/>
              </w:rPr>
              <w:t>իրականացման</w:t>
            </w:r>
            <w:r w:rsidRPr="0053423A">
              <w:rPr>
                <w:rFonts w:eastAsia="Times New Roman"/>
                <w:b/>
                <w:sz w:val="20"/>
                <w:szCs w:val="20"/>
                <w:lang w:val="af-ZA"/>
              </w:rPr>
              <w:t xml:space="preserve"> </w:t>
            </w:r>
            <w:r w:rsidRPr="0053423A">
              <w:rPr>
                <w:rFonts w:eastAsia="Times New Roma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նպատակը</w:t>
            </w:r>
          </w:p>
          <w:p w:rsidR="0084615D" w:rsidRPr="0053423A" w:rsidRDefault="0084615D" w:rsidP="00A67858">
            <w:pPr>
              <w:spacing w:after="0" w:line="276" w:lineRule="auto"/>
              <w:jc w:val="both"/>
              <w:rPr>
                <w:sz w:val="20"/>
                <w:szCs w:val="20"/>
                <w:lang w:val="af-ZA"/>
              </w:rPr>
            </w:pPr>
            <w:r w:rsidRPr="0053423A">
              <w:rPr>
                <w:rFonts w:cs="Sylfaen"/>
                <w:sz w:val="20"/>
                <w:szCs w:val="20"/>
              </w:rPr>
              <w:t>Հիմք ընդունելով Եվրոպական</w:t>
            </w:r>
            <w:r w:rsidRPr="0053423A">
              <w:rPr>
                <w:rFonts w:cs="Sylfaen"/>
                <w:sz w:val="20"/>
                <w:szCs w:val="20"/>
                <w:lang w:val="af-ZA"/>
              </w:rPr>
              <w:t xml:space="preserve"> </w:t>
            </w:r>
            <w:r w:rsidRPr="0053423A">
              <w:rPr>
                <w:rFonts w:cs="Sylfaen"/>
                <w:sz w:val="20"/>
                <w:szCs w:val="20"/>
              </w:rPr>
              <w:t>միության</w:t>
            </w:r>
            <w:r w:rsidRPr="0053423A">
              <w:rPr>
                <w:rFonts w:cs="Sylfaen"/>
                <w:sz w:val="20"/>
                <w:szCs w:val="20"/>
                <w:lang w:val="af-ZA"/>
              </w:rPr>
              <w:t xml:space="preserve"> </w:t>
            </w:r>
            <w:r w:rsidRPr="0053423A">
              <w:rPr>
                <w:rFonts w:cs="Sylfaen"/>
                <w:sz w:val="20"/>
                <w:szCs w:val="20"/>
              </w:rPr>
              <w:t>համապարփակ</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ընդլայնված</w:t>
            </w:r>
            <w:r w:rsidRPr="0053423A">
              <w:rPr>
                <w:rFonts w:cs="Sylfaen"/>
                <w:sz w:val="20"/>
                <w:szCs w:val="20"/>
                <w:lang w:val="af-ZA"/>
              </w:rPr>
              <w:t xml:space="preserve"> </w:t>
            </w:r>
            <w:r w:rsidRPr="0053423A">
              <w:rPr>
                <w:rFonts w:cs="Sylfaen"/>
                <w:sz w:val="20"/>
                <w:szCs w:val="20"/>
              </w:rPr>
              <w:t>գործընկերության</w:t>
            </w:r>
            <w:r w:rsidRPr="0053423A">
              <w:rPr>
                <w:rFonts w:cs="Sylfaen"/>
                <w:sz w:val="20"/>
                <w:szCs w:val="20"/>
                <w:lang w:val="af-ZA"/>
              </w:rPr>
              <w:t xml:space="preserve"> </w:t>
            </w:r>
            <w:r w:rsidRPr="0053423A">
              <w:rPr>
                <w:rFonts w:cs="Sylfaen"/>
                <w:sz w:val="20"/>
                <w:szCs w:val="20"/>
              </w:rPr>
              <w:t>համաձայնագրի</w:t>
            </w:r>
            <w:r w:rsidRPr="0053423A">
              <w:rPr>
                <w:rFonts w:cs="Sylfaen"/>
                <w:sz w:val="20"/>
                <w:szCs w:val="20"/>
                <w:lang w:val="af-ZA"/>
              </w:rPr>
              <w:t xml:space="preserve"> 91/271/</w:t>
            </w:r>
            <w:r w:rsidRPr="0053423A">
              <w:rPr>
                <w:rFonts w:cs="Sylfaen"/>
                <w:sz w:val="20"/>
                <w:szCs w:val="20"/>
              </w:rPr>
              <w:t>ԵՀ</w:t>
            </w:r>
            <w:r w:rsidRPr="0053423A">
              <w:rPr>
                <w:rFonts w:cs="Sylfaen"/>
                <w:sz w:val="20"/>
                <w:szCs w:val="20"/>
                <w:lang w:val="af-ZA"/>
              </w:rPr>
              <w:t xml:space="preserve"> </w:t>
            </w:r>
            <w:r w:rsidRPr="0053423A">
              <w:rPr>
                <w:rFonts w:cs="Sylfaen"/>
                <w:sz w:val="20"/>
                <w:szCs w:val="20"/>
              </w:rPr>
              <w:t>հրահանգը,</w:t>
            </w:r>
            <w:r w:rsidRPr="0053423A">
              <w:rPr>
                <w:rFonts w:cs="Sylfaen"/>
                <w:sz w:val="20"/>
                <w:szCs w:val="20"/>
                <w:lang w:val="af-ZA"/>
              </w:rPr>
              <w:t xml:space="preserve"> </w:t>
            </w:r>
            <w:r w:rsidRPr="0053423A">
              <w:rPr>
                <w:rFonts w:cs="Sylfaen"/>
                <w:sz w:val="20"/>
                <w:szCs w:val="20"/>
              </w:rPr>
              <w:t>ջրային ոլորտների ռազմավարությունների մշակման միջոցառումները և ՀՀ ջրային օրենսգրքի 91-րդ հոդվածը և 2006 թվականի նոյեմբերի 27-ի ՀՀ ջրի ազգային ծրագրի մասին ՀՀ օրենքի 27-րդ հոդվածի 3-րդ մասը՝ Հանրապետության տարածքի կեսից ավելին ենթակա է սելավային երևույթների ազդեցությանը, որոնք յուրաքանչյուր տարի ունենում են տարբեր ուժգնություն։ Վերջիններս</w:t>
            </w:r>
            <w:r w:rsidRPr="0053423A">
              <w:rPr>
                <w:sz w:val="20"/>
                <w:szCs w:val="20"/>
                <w:lang w:val="af-ZA"/>
              </w:rPr>
              <w:t xml:space="preserve"> պարբերաբար զգալի վնաս են հասցնում հանրապետության տնտեսության տարբեր ճյուղերին և նույնիսկ պատճառ են դառնում բնակավայրերի ավերման։</w:t>
            </w:r>
          </w:p>
          <w:p w:rsidR="0084615D" w:rsidRPr="0053423A" w:rsidRDefault="0084615D" w:rsidP="00A67858">
            <w:pPr>
              <w:spacing w:after="0" w:line="276" w:lineRule="auto"/>
              <w:jc w:val="both"/>
              <w:rPr>
                <w:sz w:val="20"/>
                <w:szCs w:val="20"/>
                <w:lang w:val="af-ZA"/>
              </w:rPr>
            </w:pPr>
            <w:r w:rsidRPr="0053423A">
              <w:rPr>
                <w:sz w:val="20"/>
                <w:szCs w:val="20"/>
                <w:lang w:val="af-ZA"/>
              </w:rPr>
              <w:t>Հեղեղների հետևանքների վերացումը, պահանջում է առավել մեծ կապիտալ ներդրումներ, քան դրանց ծնող պատճառների վերացումը և արդյունքում, անբարենպաստ հետևանքների կանխումը։ Հետևաբար առաջնահերթ անհրաժեշտ է հակահեղեղային կանխարգելիչ միջոցառումների իրականացումը, որոնցից առանցքային է համարվում հանրապետության բնակավայրերի, տնտեսական արժեք ներկայացնող տարածքների և բնակչության գույքը վարարումներից, սելավներից պաշտպանելու տվյալների բազայի ստեղծումը, կառավարման համակարգչային ծրագրի մշակումը:</w:t>
            </w:r>
          </w:p>
          <w:p w:rsidR="0084615D" w:rsidRPr="0053423A" w:rsidRDefault="0084615D" w:rsidP="00A67858">
            <w:pPr>
              <w:spacing w:after="0" w:line="276" w:lineRule="auto"/>
              <w:jc w:val="both"/>
              <w:rPr>
                <w:sz w:val="20"/>
                <w:szCs w:val="20"/>
                <w:lang w:val="af-ZA"/>
              </w:rPr>
            </w:pPr>
            <w:r w:rsidRPr="0053423A">
              <w:rPr>
                <w:sz w:val="20"/>
                <w:szCs w:val="20"/>
                <w:lang w:val="af-ZA"/>
              </w:rPr>
              <w:t>Հեղեղաջրերը, դուրս գալով հուներից կամ փոխելով բնական հունը, ջրածածկում են առափնյա գյուղատնտեսական և այլ նշանակության հողատարածքները։ Բացի այդ, հեղեղները մեծ չափի վնասներ են հասցնում առափնյա շենք-շինություններին, ինժեներական կառուցվածքներին, այդ թվում՝ կամուրջներին, ճանապարհներին, ոռոգման և չորացման ցանցերին, պոմպակայաններին, գազամուղներին, ջրմուղ-կոյուղու ցանցերին։ Միաժամանակ տեղի են ունենում խոշոր չափերի հասնող հողատարման երևույթներ։ Ընդհանուր առմամբ սակավահող Հայաստանի համար հիշատակված երևույթը չարիք է հանդիսանում։</w:t>
            </w:r>
          </w:p>
          <w:p w:rsidR="0084615D" w:rsidRPr="0053423A" w:rsidRDefault="0084615D" w:rsidP="00A67858">
            <w:pPr>
              <w:tabs>
                <w:tab w:val="left" w:pos="540"/>
              </w:tabs>
              <w:spacing w:after="0" w:line="276" w:lineRule="auto"/>
              <w:jc w:val="both"/>
              <w:rPr>
                <w:sz w:val="20"/>
                <w:szCs w:val="20"/>
                <w:lang w:val="af-ZA"/>
              </w:rPr>
            </w:pPr>
            <w:r w:rsidRPr="0053423A">
              <w:rPr>
                <w:sz w:val="20"/>
                <w:szCs w:val="20"/>
                <w:lang w:val="af-ZA"/>
              </w:rPr>
              <w:t>Հակահեղեղային միջոցառումներն անհրաժեշտ է իրականացնել յուրաքանչյուր տարի՝ ընտրելով գետերի և սելավատարների առավել վտանգավոր հատվածները։</w:t>
            </w:r>
          </w:p>
          <w:p w:rsidR="0084615D" w:rsidRPr="0053423A" w:rsidRDefault="00795500" w:rsidP="001F6D5D">
            <w:pPr>
              <w:pStyle w:val="ListParagraph"/>
              <w:numPr>
                <w:ilvl w:val="1"/>
                <w:numId w:val="277"/>
              </w:numPr>
              <w:tabs>
                <w:tab w:val="clear" w:pos="1455"/>
                <w:tab w:val="left" w:pos="900"/>
                <w:tab w:val="num" w:pos="1170"/>
                <w:tab w:val="left" w:pos="1620"/>
              </w:tabs>
              <w:spacing w:after="0" w:line="276" w:lineRule="auto"/>
              <w:ind w:left="0" w:firstLine="810"/>
              <w:rPr>
                <w:rFonts w:eastAsia="Times New Roman"/>
                <w:b/>
                <w:sz w:val="20"/>
                <w:szCs w:val="20"/>
                <w:lang w:val="af-ZA"/>
              </w:rPr>
            </w:pPr>
            <w:r w:rsidRPr="0053423A">
              <w:rPr>
                <w:rFonts w:eastAsia="Times New Roman"/>
                <w:b/>
                <w:sz w:val="20"/>
                <w:szCs w:val="20"/>
                <w:lang w:val="ru-RU"/>
              </w:rPr>
              <w:t>Կ</w:t>
            </w:r>
            <w:r w:rsidR="0084615D" w:rsidRPr="0053423A">
              <w:rPr>
                <w:rFonts w:eastAsia="Times New Roman"/>
                <w:b/>
                <w:sz w:val="20"/>
                <w:szCs w:val="20"/>
              </w:rPr>
              <w:t>արգավորման</w:t>
            </w:r>
            <w:r w:rsidR="0084615D" w:rsidRPr="0053423A">
              <w:rPr>
                <w:rFonts w:eastAsia="Times New Roman"/>
                <w:b/>
                <w:sz w:val="20"/>
                <w:szCs w:val="20"/>
                <w:lang w:val="af-ZA"/>
              </w:rPr>
              <w:t xml:space="preserve"> </w:t>
            </w:r>
            <w:r w:rsidR="0084615D" w:rsidRPr="0053423A">
              <w:rPr>
                <w:rFonts w:eastAsia="Times New Roman"/>
                <w:b/>
                <w:sz w:val="20"/>
                <w:szCs w:val="20"/>
              </w:rPr>
              <w:t>հարաբերությունների</w:t>
            </w:r>
            <w:r w:rsidR="0084615D" w:rsidRPr="0053423A">
              <w:rPr>
                <w:rFonts w:eastAsia="Times New Roman"/>
                <w:b/>
                <w:sz w:val="20"/>
                <w:szCs w:val="20"/>
                <w:lang w:val="af-ZA"/>
              </w:rPr>
              <w:t xml:space="preserve"> </w:t>
            </w:r>
            <w:r w:rsidR="0084615D" w:rsidRPr="0053423A">
              <w:rPr>
                <w:rFonts w:eastAsia="Times New Roman"/>
                <w:b/>
                <w:sz w:val="20"/>
                <w:szCs w:val="20"/>
              </w:rPr>
              <w:t>ներկա</w:t>
            </w:r>
            <w:r w:rsidR="0084615D" w:rsidRPr="0053423A">
              <w:rPr>
                <w:rFonts w:eastAsia="Times New Roman"/>
                <w:b/>
                <w:sz w:val="20"/>
                <w:szCs w:val="20"/>
                <w:lang w:val="af-ZA"/>
              </w:rPr>
              <w:t xml:space="preserve"> </w:t>
            </w:r>
            <w:r w:rsidR="0084615D" w:rsidRPr="0053423A">
              <w:rPr>
                <w:rFonts w:eastAsia="Times New Roman"/>
                <w:b/>
                <w:sz w:val="20"/>
                <w:szCs w:val="20"/>
              </w:rPr>
              <w:t>վիճակը</w:t>
            </w:r>
            <w:r w:rsidR="0084615D" w:rsidRPr="0053423A">
              <w:rPr>
                <w:rFonts w:eastAsia="Times New Roman"/>
                <w:b/>
                <w:sz w:val="20"/>
                <w:szCs w:val="20"/>
                <w:lang w:val="af-ZA"/>
              </w:rPr>
              <w:t xml:space="preserve"> </w:t>
            </w:r>
            <w:r w:rsidR="0084615D" w:rsidRPr="0053423A">
              <w:rPr>
                <w:rFonts w:eastAsia="Times New Roman"/>
                <w:b/>
                <w:sz w:val="20"/>
                <w:szCs w:val="20"/>
              </w:rPr>
              <w:t>և</w:t>
            </w:r>
            <w:r w:rsidR="0084615D" w:rsidRPr="0053423A">
              <w:rPr>
                <w:rFonts w:eastAsia="Times New Roman"/>
                <w:b/>
                <w:sz w:val="20"/>
                <w:szCs w:val="20"/>
                <w:lang w:val="af-ZA"/>
              </w:rPr>
              <w:t xml:space="preserve"> </w:t>
            </w:r>
            <w:r w:rsidR="0084615D" w:rsidRPr="0053423A">
              <w:rPr>
                <w:rFonts w:eastAsia="Times New Roman"/>
                <w:b/>
                <w:sz w:val="20"/>
                <w:szCs w:val="20"/>
              </w:rPr>
              <w:t>առկա</w:t>
            </w:r>
            <w:r w:rsidR="0084615D" w:rsidRPr="0053423A">
              <w:rPr>
                <w:rFonts w:eastAsia="Times New Roman"/>
                <w:b/>
                <w:sz w:val="20"/>
                <w:szCs w:val="20"/>
                <w:lang w:val="af-ZA"/>
              </w:rPr>
              <w:t xml:space="preserve"> </w:t>
            </w:r>
            <w:r w:rsidR="0084615D" w:rsidRPr="0053423A">
              <w:rPr>
                <w:rFonts w:eastAsia="Times New Roman"/>
                <w:b/>
                <w:sz w:val="20"/>
                <w:szCs w:val="20"/>
              </w:rPr>
              <w:t>խնդիրները</w:t>
            </w:r>
          </w:p>
          <w:p w:rsidR="0084615D" w:rsidRPr="0053423A" w:rsidRDefault="0084615D" w:rsidP="00A67858">
            <w:pPr>
              <w:spacing w:after="0" w:line="276" w:lineRule="auto"/>
              <w:jc w:val="both"/>
              <w:rPr>
                <w:rFonts w:cs="Sylfaen"/>
                <w:sz w:val="20"/>
                <w:szCs w:val="20"/>
                <w:lang w:val="af-ZA"/>
              </w:rPr>
            </w:pPr>
            <w:r w:rsidRPr="0053423A">
              <w:rPr>
                <w:rFonts w:cs="Sylfaen"/>
                <w:sz w:val="20"/>
                <w:szCs w:val="20"/>
                <w:lang w:val="af-ZA"/>
              </w:rPr>
              <w:t xml:space="preserve">2003-2013 </w:t>
            </w:r>
            <w:r w:rsidRPr="0053423A">
              <w:rPr>
                <w:rFonts w:cs="Sylfaen"/>
                <w:sz w:val="20"/>
                <w:szCs w:val="20"/>
              </w:rPr>
              <w:t>թվականներին</w:t>
            </w:r>
            <w:r w:rsidRPr="0053423A">
              <w:rPr>
                <w:rFonts w:cs="Sylfaen"/>
                <w:sz w:val="20"/>
                <w:szCs w:val="20"/>
                <w:lang w:val="af-ZA"/>
              </w:rPr>
              <w:t xml:space="preserve"> </w:t>
            </w:r>
            <w:r w:rsidRPr="0053423A">
              <w:rPr>
                <w:rFonts w:cs="Sylfaen"/>
                <w:sz w:val="20"/>
                <w:szCs w:val="20"/>
              </w:rPr>
              <w:t>իրականացվել</w:t>
            </w:r>
            <w:r w:rsidRPr="0053423A">
              <w:rPr>
                <w:rFonts w:cs="Sylfaen"/>
                <w:sz w:val="20"/>
                <w:szCs w:val="20"/>
                <w:lang w:val="af-ZA"/>
              </w:rPr>
              <w:t xml:space="preserve"> </w:t>
            </w:r>
            <w:r w:rsidRPr="0053423A">
              <w:rPr>
                <w:rFonts w:cs="Sylfaen"/>
                <w:sz w:val="20"/>
                <w:szCs w:val="20"/>
              </w:rPr>
              <w:t>են</w:t>
            </w:r>
            <w:r w:rsidRPr="0053423A">
              <w:rPr>
                <w:rFonts w:cs="Sylfaen"/>
                <w:sz w:val="20"/>
                <w:szCs w:val="20"/>
                <w:lang w:val="af-ZA"/>
              </w:rPr>
              <w:t xml:space="preserve"> </w:t>
            </w:r>
            <w:r w:rsidRPr="0053423A">
              <w:rPr>
                <w:rFonts w:cs="Sylfaen"/>
                <w:sz w:val="20"/>
                <w:szCs w:val="20"/>
              </w:rPr>
              <w:t>ավելի</w:t>
            </w:r>
            <w:r w:rsidRPr="0053423A">
              <w:rPr>
                <w:rFonts w:cs="Sylfaen"/>
                <w:sz w:val="20"/>
                <w:szCs w:val="20"/>
                <w:lang w:val="af-ZA"/>
              </w:rPr>
              <w:t xml:space="preserve"> </w:t>
            </w:r>
            <w:r w:rsidRPr="0053423A">
              <w:rPr>
                <w:rFonts w:cs="Sylfaen"/>
                <w:sz w:val="20"/>
                <w:szCs w:val="20"/>
              </w:rPr>
              <w:t>քան</w:t>
            </w:r>
            <w:r w:rsidRPr="0053423A">
              <w:rPr>
                <w:rFonts w:cs="Sylfaen"/>
                <w:sz w:val="20"/>
                <w:szCs w:val="20"/>
                <w:lang w:val="af-ZA"/>
              </w:rPr>
              <w:t xml:space="preserve"> 6,6 </w:t>
            </w:r>
            <w:r w:rsidRPr="0053423A">
              <w:rPr>
                <w:rFonts w:cs="Sylfaen"/>
                <w:sz w:val="20"/>
                <w:szCs w:val="20"/>
              </w:rPr>
              <w:t>մլրդ</w:t>
            </w:r>
            <w:r w:rsidRPr="0053423A">
              <w:rPr>
                <w:rFonts w:cs="Sylfaen"/>
                <w:sz w:val="20"/>
                <w:szCs w:val="20"/>
                <w:lang w:val="af-ZA"/>
              </w:rPr>
              <w:t xml:space="preserve"> </w:t>
            </w:r>
            <w:r w:rsidRPr="0053423A">
              <w:rPr>
                <w:rFonts w:cs="Sylfaen"/>
                <w:sz w:val="20"/>
                <w:szCs w:val="20"/>
              </w:rPr>
              <w:t>դրամ</w:t>
            </w:r>
            <w:r w:rsidRPr="0053423A">
              <w:rPr>
                <w:rFonts w:cs="Sylfaen"/>
                <w:sz w:val="20"/>
                <w:szCs w:val="20"/>
                <w:lang w:val="af-ZA"/>
              </w:rPr>
              <w:t xml:space="preserve"> </w:t>
            </w:r>
            <w:r w:rsidRPr="0053423A">
              <w:rPr>
                <w:rFonts w:cs="Sylfaen"/>
                <w:sz w:val="20"/>
                <w:szCs w:val="20"/>
              </w:rPr>
              <w:t>արժեքով</w:t>
            </w:r>
            <w:r w:rsidRPr="0053423A">
              <w:rPr>
                <w:rFonts w:cs="Sylfaen"/>
                <w:sz w:val="20"/>
                <w:szCs w:val="20"/>
                <w:lang w:val="af-ZA"/>
              </w:rPr>
              <w:t xml:space="preserve"> </w:t>
            </w:r>
            <w:r w:rsidRPr="0053423A">
              <w:rPr>
                <w:rFonts w:cs="Sylfaen"/>
                <w:sz w:val="20"/>
                <w:szCs w:val="20"/>
              </w:rPr>
              <w:t>հակահեղեղային</w:t>
            </w:r>
            <w:r w:rsidRPr="0053423A">
              <w:rPr>
                <w:rFonts w:cs="Sylfaen"/>
                <w:sz w:val="20"/>
                <w:szCs w:val="20"/>
                <w:lang w:val="af-ZA"/>
              </w:rPr>
              <w:t xml:space="preserve"> </w:t>
            </w:r>
            <w:r w:rsidRPr="0053423A">
              <w:rPr>
                <w:rFonts w:cs="Sylfaen"/>
                <w:sz w:val="20"/>
                <w:szCs w:val="20"/>
              </w:rPr>
              <w:t>միջոցառումներ</w:t>
            </w:r>
            <w:r w:rsidRPr="0053423A">
              <w:rPr>
                <w:rFonts w:cs="Sylfaen"/>
                <w:sz w:val="20"/>
                <w:szCs w:val="20"/>
                <w:lang w:val="af-ZA"/>
              </w:rPr>
              <w:t xml:space="preserve">, </w:t>
            </w:r>
            <w:r w:rsidRPr="0053423A">
              <w:rPr>
                <w:rFonts w:cs="Sylfaen"/>
                <w:sz w:val="20"/>
                <w:szCs w:val="20"/>
              </w:rPr>
              <w:t>սակայն</w:t>
            </w:r>
            <w:r w:rsidRPr="0053423A">
              <w:rPr>
                <w:rFonts w:cs="Sylfaen"/>
                <w:sz w:val="20"/>
                <w:szCs w:val="20"/>
                <w:lang w:val="af-ZA"/>
              </w:rPr>
              <w:t xml:space="preserve"> </w:t>
            </w:r>
            <w:r w:rsidRPr="0053423A">
              <w:rPr>
                <w:rFonts w:cs="Sylfaen"/>
                <w:sz w:val="20"/>
                <w:szCs w:val="20"/>
              </w:rPr>
              <w:t>դրանց</w:t>
            </w:r>
            <w:r w:rsidRPr="0053423A">
              <w:rPr>
                <w:rFonts w:cs="Sylfaen"/>
                <w:sz w:val="20"/>
                <w:szCs w:val="20"/>
                <w:lang w:val="af-ZA"/>
              </w:rPr>
              <w:t xml:space="preserve"> </w:t>
            </w:r>
            <w:r w:rsidRPr="0053423A">
              <w:rPr>
                <w:rFonts w:cs="Sylfaen"/>
                <w:sz w:val="20"/>
                <w:szCs w:val="20"/>
              </w:rPr>
              <w:t>պահպանման</w:t>
            </w:r>
            <w:r w:rsidRPr="0053423A">
              <w:rPr>
                <w:rFonts w:cs="Sylfaen"/>
                <w:sz w:val="20"/>
                <w:szCs w:val="20"/>
                <w:lang w:val="af-ZA"/>
              </w:rPr>
              <w:t xml:space="preserve"> </w:t>
            </w:r>
            <w:r w:rsidRPr="0053423A">
              <w:rPr>
                <w:rFonts w:cs="Sylfaen"/>
                <w:sz w:val="20"/>
                <w:szCs w:val="20"/>
              </w:rPr>
              <w:t>ու</w:t>
            </w:r>
            <w:r w:rsidRPr="0053423A">
              <w:rPr>
                <w:rFonts w:cs="Sylfaen"/>
                <w:sz w:val="20"/>
                <w:szCs w:val="20"/>
                <w:lang w:val="af-ZA"/>
              </w:rPr>
              <w:t xml:space="preserve"> </w:t>
            </w:r>
            <w:r w:rsidRPr="0053423A">
              <w:rPr>
                <w:rFonts w:cs="Sylfaen"/>
                <w:sz w:val="20"/>
                <w:szCs w:val="20"/>
              </w:rPr>
              <w:t>շահագործման</w:t>
            </w:r>
            <w:r w:rsidRPr="0053423A">
              <w:rPr>
                <w:rFonts w:cs="Sylfaen"/>
                <w:sz w:val="20"/>
                <w:szCs w:val="20"/>
                <w:lang w:val="af-ZA"/>
              </w:rPr>
              <w:t xml:space="preserve"> </w:t>
            </w:r>
            <w:r w:rsidRPr="0053423A">
              <w:rPr>
                <w:rFonts w:cs="Sylfaen"/>
                <w:sz w:val="20"/>
                <w:szCs w:val="20"/>
              </w:rPr>
              <w:t>գործառույթներ</w:t>
            </w:r>
            <w:r w:rsidRPr="0053423A">
              <w:rPr>
                <w:rFonts w:cs="Sylfaen"/>
                <w:sz w:val="20"/>
                <w:szCs w:val="20"/>
                <w:lang w:val="af-ZA"/>
              </w:rPr>
              <w:t xml:space="preserve"> </w:t>
            </w:r>
            <w:r w:rsidRPr="0053423A">
              <w:rPr>
                <w:rFonts w:cs="Sylfaen"/>
                <w:sz w:val="20"/>
                <w:szCs w:val="20"/>
              </w:rPr>
              <w:t>չեն</w:t>
            </w:r>
            <w:r w:rsidRPr="0053423A">
              <w:rPr>
                <w:rFonts w:cs="Sylfaen"/>
                <w:sz w:val="20"/>
                <w:szCs w:val="20"/>
                <w:lang w:val="af-ZA"/>
              </w:rPr>
              <w:t xml:space="preserve"> </w:t>
            </w:r>
            <w:r w:rsidRPr="0053423A">
              <w:rPr>
                <w:rFonts w:cs="Sylfaen"/>
                <w:sz w:val="20"/>
                <w:szCs w:val="20"/>
              </w:rPr>
              <w:t>իրականացվում</w:t>
            </w:r>
            <w:r w:rsidRPr="0053423A">
              <w:rPr>
                <w:rFonts w:cs="Sylfaen"/>
                <w:sz w:val="20"/>
                <w:szCs w:val="20"/>
                <w:lang w:val="af-ZA"/>
              </w:rPr>
              <w:t>:</w:t>
            </w:r>
          </w:p>
          <w:p w:rsidR="0084615D" w:rsidRPr="0053423A" w:rsidRDefault="0084615D" w:rsidP="00A67858">
            <w:pPr>
              <w:spacing w:after="0" w:line="276" w:lineRule="auto"/>
              <w:ind w:firstLine="720"/>
              <w:jc w:val="both"/>
              <w:rPr>
                <w:rFonts w:cs="Sylfaen"/>
                <w:sz w:val="20"/>
                <w:szCs w:val="20"/>
                <w:lang w:val="af-ZA"/>
              </w:rPr>
            </w:pPr>
            <w:r w:rsidRPr="0053423A">
              <w:rPr>
                <w:rFonts w:cs="Sylfaen"/>
                <w:sz w:val="20"/>
                <w:szCs w:val="20"/>
              </w:rPr>
              <w:t>Համայնքները</w:t>
            </w:r>
            <w:r w:rsidRPr="0053423A">
              <w:rPr>
                <w:rFonts w:cs="Sylfaen"/>
                <w:sz w:val="20"/>
                <w:szCs w:val="20"/>
                <w:lang w:val="af-ZA"/>
              </w:rPr>
              <w:t xml:space="preserve">, </w:t>
            </w:r>
            <w:r w:rsidRPr="0053423A">
              <w:rPr>
                <w:rFonts w:cs="Sylfaen"/>
                <w:sz w:val="20"/>
                <w:szCs w:val="20"/>
              </w:rPr>
              <w:t>սուղ</w:t>
            </w:r>
            <w:r w:rsidRPr="0053423A">
              <w:rPr>
                <w:rFonts w:cs="Sylfaen"/>
                <w:sz w:val="20"/>
                <w:szCs w:val="20"/>
                <w:lang w:val="af-ZA"/>
              </w:rPr>
              <w:t xml:space="preserve"> </w:t>
            </w:r>
            <w:r w:rsidRPr="0053423A">
              <w:rPr>
                <w:rFonts w:cs="Sylfaen"/>
                <w:sz w:val="20"/>
                <w:szCs w:val="20"/>
              </w:rPr>
              <w:t>բյուջեների</w:t>
            </w:r>
            <w:r w:rsidRPr="0053423A">
              <w:rPr>
                <w:rFonts w:cs="Sylfaen"/>
                <w:sz w:val="20"/>
                <w:szCs w:val="20"/>
                <w:lang w:val="af-ZA"/>
              </w:rPr>
              <w:t xml:space="preserve"> </w:t>
            </w:r>
            <w:r w:rsidRPr="0053423A">
              <w:rPr>
                <w:rFonts w:cs="Sylfaen"/>
                <w:sz w:val="20"/>
                <w:szCs w:val="20"/>
              </w:rPr>
              <w:t>պատճառով</w:t>
            </w:r>
            <w:r w:rsidRPr="0053423A">
              <w:rPr>
                <w:rFonts w:cs="Sylfaen"/>
                <w:sz w:val="20"/>
                <w:szCs w:val="20"/>
                <w:lang w:val="af-ZA"/>
              </w:rPr>
              <w:t xml:space="preserve">, </w:t>
            </w:r>
            <w:r w:rsidRPr="0053423A">
              <w:rPr>
                <w:rFonts w:cs="Sylfaen"/>
                <w:sz w:val="20"/>
                <w:szCs w:val="20"/>
              </w:rPr>
              <w:t>չեն</w:t>
            </w:r>
            <w:r w:rsidRPr="0053423A">
              <w:rPr>
                <w:rFonts w:cs="Sylfaen"/>
                <w:sz w:val="20"/>
                <w:szCs w:val="20"/>
                <w:lang w:val="af-ZA"/>
              </w:rPr>
              <w:t xml:space="preserve"> </w:t>
            </w:r>
            <w:r w:rsidRPr="0053423A">
              <w:rPr>
                <w:rFonts w:cs="Sylfaen"/>
                <w:sz w:val="20"/>
                <w:szCs w:val="20"/>
              </w:rPr>
              <w:t>կարողանում</w:t>
            </w:r>
            <w:r w:rsidRPr="0053423A">
              <w:rPr>
                <w:rFonts w:cs="Sylfaen"/>
                <w:sz w:val="20"/>
                <w:szCs w:val="20"/>
                <w:lang w:val="af-ZA"/>
              </w:rPr>
              <w:t xml:space="preserve"> </w:t>
            </w:r>
            <w:r w:rsidRPr="0053423A">
              <w:rPr>
                <w:rFonts w:cs="Sylfaen"/>
                <w:sz w:val="20"/>
                <w:szCs w:val="20"/>
              </w:rPr>
              <w:t>իրականացնել</w:t>
            </w:r>
            <w:r w:rsidRPr="0053423A">
              <w:rPr>
                <w:rFonts w:cs="Sylfaen"/>
                <w:sz w:val="20"/>
                <w:szCs w:val="20"/>
                <w:lang w:val="af-ZA"/>
              </w:rPr>
              <w:t xml:space="preserve"> </w:t>
            </w:r>
            <w:r w:rsidRPr="0053423A">
              <w:rPr>
                <w:rFonts w:cs="Sylfaen"/>
                <w:sz w:val="20"/>
                <w:szCs w:val="20"/>
              </w:rPr>
              <w:t>վերոհիշյալ</w:t>
            </w:r>
            <w:r w:rsidRPr="0053423A">
              <w:rPr>
                <w:rFonts w:cs="Sylfaen"/>
                <w:sz w:val="20"/>
                <w:szCs w:val="20"/>
                <w:lang w:val="af-ZA"/>
              </w:rPr>
              <w:t xml:space="preserve"> </w:t>
            </w:r>
            <w:r w:rsidRPr="0053423A">
              <w:rPr>
                <w:rFonts w:cs="Sylfaen"/>
                <w:sz w:val="20"/>
                <w:szCs w:val="20"/>
              </w:rPr>
              <w:t>գործառույթները</w:t>
            </w:r>
            <w:r w:rsidRPr="0053423A">
              <w:rPr>
                <w:rFonts w:cs="Sylfaen"/>
                <w:sz w:val="20"/>
                <w:szCs w:val="20"/>
                <w:lang w:val="af-ZA"/>
              </w:rPr>
              <w:t xml:space="preserve">, </w:t>
            </w:r>
            <w:r w:rsidRPr="0053423A">
              <w:rPr>
                <w:rFonts w:cs="Sylfaen"/>
                <w:sz w:val="20"/>
                <w:szCs w:val="20"/>
              </w:rPr>
              <w:t>առավել</w:t>
            </w:r>
            <w:r w:rsidRPr="0053423A">
              <w:rPr>
                <w:rFonts w:cs="Sylfaen"/>
                <w:sz w:val="20"/>
                <w:szCs w:val="20"/>
                <w:lang w:val="af-ZA"/>
              </w:rPr>
              <w:t xml:space="preserve"> </w:t>
            </w:r>
            <w:r w:rsidRPr="0053423A">
              <w:rPr>
                <w:rFonts w:cs="Sylfaen"/>
                <w:sz w:val="20"/>
                <w:szCs w:val="20"/>
              </w:rPr>
              <w:t>ևս</w:t>
            </w:r>
            <w:r w:rsidRPr="0053423A">
              <w:rPr>
                <w:rFonts w:cs="Sylfaen"/>
                <w:sz w:val="20"/>
                <w:szCs w:val="20"/>
                <w:lang w:val="af-ZA"/>
              </w:rPr>
              <w:t xml:space="preserve">, </w:t>
            </w:r>
            <w:r w:rsidRPr="0053423A">
              <w:rPr>
                <w:rFonts w:cs="Sylfaen"/>
                <w:sz w:val="20"/>
                <w:szCs w:val="20"/>
              </w:rPr>
              <w:t>որ</w:t>
            </w:r>
            <w:r w:rsidRPr="0053423A">
              <w:rPr>
                <w:rFonts w:cs="Sylfaen"/>
                <w:sz w:val="20"/>
                <w:szCs w:val="20"/>
                <w:lang w:val="af-ZA"/>
              </w:rPr>
              <w:t xml:space="preserve"> </w:t>
            </w:r>
            <w:r w:rsidRPr="0053423A">
              <w:rPr>
                <w:rFonts w:cs="Sylfaen"/>
                <w:sz w:val="20"/>
                <w:szCs w:val="20"/>
              </w:rPr>
              <w:t>ափապաշտպան</w:t>
            </w:r>
            <w:r w:rsidRPr="0053423A">
              <w:rPr>
                <w:rFonts w:cs="Sylfaen"/>
                <w:sz w:val="20"/>
                <w:szCs w:val="20"/>
                <w:lang w:val="af-ZA"/>
              </w:rPr>
              <w:t xml:space="preserve"> </w:t>
            </w:r>
            <w:r w:rsidRPr="0053423A">
              <w:rPr>
                <w:rFonts w:cs="Sylfaen"/>
                <w:sz w:val="20"/>
                <w:szCs w:val="20"/>
              </w:rPr>
              <w:t>կառույցներն</w:t>
            </w:r>
            <w:r w:rsidRPr="0053423A">
              <w:rPr>
                <w:rFonts w:cs="Sylfaen"/>
                <w:sz w:val="20"/>
                <w:szCs w:val="20"/>
                <w:lang w:val="af-ZA"/>
              </w:rPr>
              <w:t xml:space="preserve"> </w:t>
            </w:r>
            <w:r w:rsidRPr="0053423A">
              <w:rPr>
                <w:rFonts w:cs="Sylfaen"/>
                <w:sz w:val="20"/>
                <w:szCs w:val="20"/>
              </w:rPr>
              <w:t>արտացոլված</w:t>
            </w:r>
            <w:r w:rsidRPr="0053423A">
              <w:rPr>
                <w:rFonts w:cs="Sylfaen"/>
                <w:sz w:val="20"/>
                <w:szCs w:val="20"/>
                <w:lang w:val="af-ZA"/>
              </w:rPr>
              <w:t xml:space="preserve"> </w:t>
            </w:r>
            <w:r w:rsidRPr="0053423A">
              <w:rPr>
                <w:rFonts w:cs="Sylfaen"/>
                <w:sz w:val="20"/>
                <w:szCs w:val="20"/>
              </w:rPr>
              <w:t>չեն</w:t>
            </w:r>
            <w:r w:rsidRPr="0053423A">
              <w:rPr>
                <w:rFonts w:cs="Sylfaen"/>
                <w:sz w:val="20"/>
                <w:szCs w:val="20"/>
                <w:lang w:val="af-ZA"/>
              </w:rPr>
              <w:t xml:space="preserve"> </w:t>
            </w:r>
            <w:r w:rsidRPr="0053423A">
              <w:rPr>
                <w:rFonts w:cs="Sylfaen"/>
                <w:sz w:val="20"/>
                <w:szCs w:val="20"/>
              </w:rPr>
              <w:t>իրենց</w:t>
            </w:r>
            <w:r w:rsidRPr="0053423A">
              <w:rPr>
                <w:rFonts w:cs="Sylfaen"/>
                <w:sz w:val="20"/>
                <w:szCs w:val="20"/>
                <w:lang w:val="af-ZA"/>
              </w:rPr>
              <w:t xml:space="preserve"> </w:t>
            </w:r>
            <w:r w:rsidRPr="0053423A">
              <w:rPr>
                <w:rFonts w:cs="Sylfaen"/>
                <w:sz w:val="20"/>
                <w:szCs w:val="20"/>
              </w:rPr>
              <w:t>հաշվեկշիռներում</w:t>
            </w:r>
            <w:r w:rsidRPr="0053423A">
              <w:rPr>
                <w:rFonts w:cs="Sylfaen"/>
                <w:sz w:val="20"/>
                <w:szCs w:val="20"/>
                <w:lang w:val="af-ZA"/>
              </w:rPr>
              <w:t>:</w:t>
            </w:r>
          </w:p>
          <w:p w:rsidR="0084615D" w:rsidRPr="0053423A" w:rsidRDefault="0084615D" w:rsidP="00A67858">
            <w:pPr>
              <w:pStyle w:val="ListParagraph"/>
              <w:tabs>
                <w:tab w:val="left" w:pos="900"/>
              </w:tabs>
              <w:spacing w:after="0" w:line="276" w:lineRule="auto"/>
              <w:ind w:left="0" w:firstLine="720"/>
              <w:rPr>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w:t>
            </w:r>
            <w:r w:rsidR="00795500" w:rsidRPr="0053423A">
              <w:rPr>
                <w:rFonts w:eastAsia="Times New Roman"/>
                <w:b/>
                <w:sz w:val="20"/>
                <w:szCs w:val="20"/>
                <w:lang w:val="ru-RU"/>
              </w:rPr>
              <w:t>Ա</w:t>
            </w:r>
            <w:r w:rsidRPr="0053423A">
              <w:rPr>
                <w:rFonts w:eastAsia="Times New Roman"/>
                <w:b/>
                <w:sz w:val="20"/>
                <w:szCs w:val="20"/>
              </w:rPr>
              <w:t>ռկա</w:t>
            </w:r>
            <w:r w:rsidRPr="0053423A">
              <w:rPr>
                <w:rFonts w:eastAsia="Times New Roman"/>
                <w:b/>
                <w:sz w:val="20"/>
                <w:szCs w:val="20"/>
                <w:lang w:val="af-ZA"/>
              </w:rPr>
              <w:t xml:space="preserve"> </w:t>
            </w:r>
            <w:r w:rsidRPr="0053423A">
              <w:rPr>
                <w:rFonts w:eastAsia="Times New Roman"/>
                <w:b/>
                <w:sz w:val="20"/>
                <w:szCs w:val="20"/>
              </w:rPr>
              <w:t>խնդիրների</w:t>
            </w:r>
            <w:r w:rsidRPr="0053423A">
              <w:rPr>
                <w:rFonts w:eastAsia="Times New Roman"/>
                <w:b/>
                <w:sz w:val="20"/>
                <w:szCs w:val="20"/>
                <w:lang w:val="af-ZA"/>
              </w:rPr>
              <w:t xml:space="preserve"> </w:t>
            </w:r>
            <w:r w:rsidRPr="0053423A">
              <w:rPr>
                <w:rFonts w:eastAsia="Times New Roman"/>
                <w:b/>
                <w:sz w:val="20"/>
                <w:szCs w:val="20"/>
              </w:rPr>
              <w:t>առաջարկվող</w:t>
            </w:r>
            <w:r w:rsidRPr="0053423A">
              <w:rPr>
                <w:rFonts w:eastAsia="Times New Roman"/>
                <w:b/>
                <w:sz w:val="20"/>
                <w:szCs w:val="20"/>
                <w:lang w:val="af-ZA"/>
              </w:rPr>
              <w:t xml:space="preserve"> </w:t>
            </w:r>
            <w:r w:rsidRPr="0053423A">
              <w:rPr>
                <w:rFonts w:eastAsia="Times New Roman"/>
                <w:b/>
                <w:sz w:val="20"/>
                <w:szCs w:val="20"/>
              </w:rPr>
              <w:t>լուծումները</w:t>
            </w:r>
          </w:p>
          <w:p w:rsidR="0084615D" w:rsidRPr="0053423A" w:rsidRDefault="0084615D" w:rsidP="00A67858">
            <w:pPr>
              <w:spacing w:after="0" w:line="276" w:lineRule="auto"/>
              <w:jc w:val="both"/>
              <w:rPr>
                <w:rFonts w:cs="Sylfaen"/>
                <w:sz w:val="20"/>
                <w:szCs w:val="20"/>
                <w:lang w:val="af-ZA"/>
              </w:rPr>
            </w:pPr>
            <w:r w:rsidRPr="0053423A">
              <w:rPr>
                <w:rFonts w:cs="Sylfaen"/>
                <w:sz w:val="20"/>
                <w:szCs w:val="20"/>
                <w:lang w:val="af-ZA"/>
              </w:rPr>
              <w:t xml:space="preserve">Անհրաժեշտ է գույքագրել </w:t>
            </w:r>
            <w:r w:rsidRPr="0053423A">
              <w:rPr>
                <w:rFonts w:cs="Sylfaen"/>
                <w:sz w:val="20"/>
                <w:szCs w:val="20"/>
              </w:rPr>
              <w:t>գետերի</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հեղեղատարների</w:t>
            </w:r>
            <w:r w:rsidRPr="0053423A">
              <w:rPr>
                <w:rFonts w:cs="Sylfaen"/>
                <w:sz w:val="20"/>
                <w:szCs w:val="20"/>
                <w:lang w:val="af-ZA"/>
              </w:rPr>
              <w:t xml:space="preserve"> </w:t>
            </w:r>
            <w:r w:rsidRPr="0053423A">
              <w:rPr>
                <w:rFonts w:cs="Sylfaen"/>
                <w:sz w:val="20"/>
                <w:szCs w:val="20"/>
              </w:rPr>
              <w:t>ափապաշտպան</w:t>
            </w:r>
            <w:r w:rsidRPr="0053423A">
              <w:rPr>
                <w:rFonts w:cs="Sylfaen"/>
                <w:sz w:val="20"/>
                <w:szCs w:val="20"/>
                <w:lang w:val="af-ZA"/>
              </w:rPr>
              <w:t xml:space="preserve"> </w:t>
            </w:r>
            <w:r w:rsidRPr="0053423A">
              <w:rPr>
                <w:rFonts w:cs="Sylfaen"/>
                <w:sz w:val="20"/>
                <w:szCs w:val="20"/>
              </w:rPr>
              <w:t>կառույցները՝</w:t>
            </w:r>
            <w:r w:rsidRPr="0053423A">
              <w:rPr>
                <w:rFonts w:cs="Sylfaen"/>
                <w:sz w:val="20"/>
                <w:szCs w:val="20"/>
                <w:lang w:val="af-ZA"/>
              </w:rPr>
              <w:t xml:space="preserve"> </w:t>
            </w:r>
            <w:r w:rsidRPr="0053423A">
              <w:rPr>
                <w:rFonts w:cs="Sylfaen"/>
                <w:sz w:val="20"/>
                <w:szCs w:val="20"/>
              </w:rPr>
              <w:t>դրանք</w:t>
            </w:r>
            <w:r w:rsidRPr="0053423A">
              <w:rPr>
                <w:rFonts w:cs="Sylfaen"/>
                <w:sz w:val="20"/>
                <w:szCs w:val="20"/>
                <w:lang w:val="af-ZA"/>
              </w:rPr>
              <w:t xml:space="preserve"> </w:t>
            </w:r>
            <w:r w:rsidRPr="0053423A">
              <w:rPr>
                <w:rFonts w:cs="Sylfaen"/>
                <w:sz w:val="20"/>
                <w:szCs w:val="20"/>
              </w:rPr>
              <w:t>ջրային</w:t>
            </w:r>
            <w:r w:rsidRPr="0053423A">
              <w:rPr>
                <w:rFonts w:cs="Sylfaen"/>
                <w:sz w:val="20"/>
                <w:szCs w:val="20"/>
                <w:lang w:val="af-ZA"/>
              </w:rPr>
              <w:t xml:space="preserve"> </w:t>
            </w:r>
            <w:r w:rsidRPr="0053423A">
              <w:rPr>
                <w:rFonts w:cs="Sylfaen"/>
                <w:sz w:val="20"/>
                <w:szCs w:val="20"/>
              </w:rPr>
              <w:t>կոմիտեի</w:t>
            </w:r>
            <w:r w:rsidRPr="0053423A">
              <w:rPr>
                <w:rFonts w:cs="Sylfaen"/>
                <w:sz w:val="20"/>
                <w:szCs w:val="20"/>
                <w:lang w:val="af-ZA"/>
              </w:rPr>
              <w:t xml:space="preserve"> </w:t>
            </w:r>
            <w:r w:rsidRPr="0053423A">
              <w:rPr>
                <w:rFonts w:cs="Sylfaen"/>
                <w:sz w:val="20"/>
                <w:szCs w:val="20"/>
              </w:rPr>
              <w:t>հաշվեկշռում</w:t>
            </w:r>
            <w:r w:rsidRPr="0053423A">
              <w:rPr>
                <w:rFonts w:cs="Sylfaen"/>
                <w:sz w:val="20"/>
                <w:szCs w:val="20"/>
                <w:lang w:val="af-ZA"/>
              </w:rPr>
              <w:t xml:space="preserve"> </w:t>
            </w:r>
            <w:r w:rsidRPr="0053423A">
              <w:rPr>
                <w:rFonts w:cs="Sylfaen"/>
                <w:sz w:val="20"/>
                <w:szCs w:val="20"/>
              </w:rPr>
              <w:t>արտացոլելու</w:t>
            </w:r>
            <w:r w:rsidRPr="0053423A">
              <w:rPr>
                <w:rFonts w:cs="Sylfaen"/>
                <w:sz w:val="20"/>
                <w:szCs w:val="20"/>
                <w:lang w:val="af-ZA"/>
              </w:rPr>
              <w:t xml:space="preserve"> </w:t>
            </w:r>
            <w:r w:rsidRPr="0053423A">
              <w:rPr>
                <w:rFonts w:cs="Sylfaen"/>
                <w:sz w:val="20"/>
                <w:szCs w:val="20"/>
              </w:rPr>
              <w:t>նպատակով</w:t>
            </w:r>
            <w:r w:rsidRPr="0053423A">
              <w:rPr>
                <w:rFonts w:cs="Sylfaen"/>
                <w:sz w:val="20"/>
                <w:szCs w:val="20"/>
                <w:lang w:val="af-ZA"/>
              </w:rPr>
              <w:t>:</w:t>
            </w:r>
          </w:p>
          <w:p w:rsidR="0084615D" w:rsidRPr="0053423A" w:rsidRDefault="0084615D" w:rsidP="00A67858">
            <w:pPr>
              <w:pStyle w:val="ListParagraph"/>
              <w:tabs>
                <w:tab w:val="left" w:pos="1620"/>
              </w:tabs>
              <w:spacing w:after="0" w:line="276" w:lineRule="auto"/>
              <w:ind w:left="0" w:firstLine="720"/>
              <w:rPr>
                <w:b/>
                <w:sz w:val="20"/>
                <w:szCs w:val="20"/>
                <w:lang w:val="af-ZA"/>
              </w:rPr>
            </w:pPr>
            <w:r w:rsidRPr="0053423A">
              <w:rPr>
                <w:rFonts w:eastAsia="Times New Roman" w:cs="Courier New"/>
                <w:b/>
                <w:sz w:val="20"/>
                <w:szCs w:val="20"/>
                <w:lang w:val="af-ZA"/>
              </w:rPr>
              <w:t>2.</w:t>
            </w:r>
            <w:r w:rsidRPr="0053423A">
              <w:rPr>
                <w:rFonts w:ascii="Calibri" w:eastAsia="Times New Roman" w:hAnsi="Calibri" w:cs="Calibri"/>
                <w:b/>
                <w:sz w:val="20"/>
                <w:szCs w:val="20"/>
                <w:lang w:val="af-ZA"/>
              </w:rPr>
              <w:t> </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իրակացումից</w:t>
            </w:r>
            <w:r w:rsidRPr="0053423A">
              <w:rPr>
                <w:rFonts w:eastAsia="Times New Roman"/>
                <w:b/>
                <w:sz w:val="20"/>
                <w:szCs w:val="20"/>
                <w:lang w:val="af-ZA"/>
              </w:rPr>
              <w:t xml:space="preserve"> </w:t>
            </w:r>
            <w:r w:rsidRPr="0053423A">
              <w:rPr>
                <w:rFonts w:eastAsia="Times New Roman"/>
                <w:b/>
                <w:sz w:val="20"/>
                <w:szCs w:val="20"/>
              </w:rPr>
              <w:t>ակնկալվող</w:t>
            </w:r>
            <w:r w:rsidRPr="0053423A">
              <w:rPr>
                <w:rFonts w:eastAsia="Times New Roman"/>
                <w:b/>
                <w:sz w:val="20"/>
                <w:szCs w:val="20"/>
                <w:lang w:val="af-ZA"/>
              </w:rPr>
              <w:t xml:space="preserve"> </w:t>
            </w:r>
            <w:r w:rsidRPr="0053423A">
              <w:rPr>
                <w:rFonts w:eastAsia="Times New Roman"/>
                <w:b/>
                <w:sz w:val="20"/>
                <w:szCs w:val="20"/>
              </w:rPr>
              <w:t>արդյունքը</w:t>
            </w:r>
          </w:p>
          <w:p w:rsidR="0084615D" w:rsidRPr="0053423A" w:rsidRDefault="0084615D" w:rsidP="00A67858">
            <w:pPr>
              <w:spacing w:after="0" w:line="276" w:lineRule="auto"/>
              <w:jc w:val="both"/>
              <w:rPr>
                <w:b/>
                <w:color w:val="000000"/>
                <w:sz w:val="20"/>
                <w:szCs w:val="20"/>
                <w:lang w:val="af-ZA"/>
              </w:rPr>
            </w:pPr>
            <w:r w:rsidRPr="0053423A">
              <w:rPr>
                <w:rFonts w:cs="Sylfaen"/>
                <w:sz w:val="20"/>
                <w:szCs w:val="20"/>
              </w:rPr>
              <w:t>Ափապաշտպան</w:t>
            </w:r>
            <w:r w:rsidRPr="0053423A">
              <w:rPr>
                <w:rFonts w:cs="Sylfaen"/>
                <w:sz w:val="20"/>
                <w:szCs w:val="20"/>
                <w:lang w:val="af-ZA"/>
              </w:rPr>
              <w:t xml:space="preserve"> </w:t>
            </w:r>
            <w:r w:rsidRPr="0053423A">
              <w:rPr>
                <w:rFonts w:cs="Sylfaen"/>
                <w:sz w:val="20"/>
                <w:szCs w:val="20"/>
              </w:rPr>
              <w:t>կառույցների</w:t>
            </w:r>
            <w:r w:rsidRPr="0053423A">
              <w:rPr>
                <w:rFonts w:cs="Sylfaen"/>
                <w:sz w:val="20"/>
                <w:szCs w:val="20"/>
                <w:lang w:val="af-ZA"/>
              </w:rPr>
              <w:t xml:space="preserve"> </w:t>
            </w:r>
            <w:r w:rsidRPr="0053423A">
              <w:rPr>
                <w:rFonts w:cs="Sylfaen"/>
                <w:sz w:val="20"/>
                <w:szCs w:val="20"/>
              </w:rPr>
              <w:t>վիճակի</w:t>
            </w:r>
            <w:r w:rsidRPr="0053423A">
              <w:rPr>
                <w:rFonts w:cs="Sylfaen"/>
                <w:sz w:val="20"/>
                <w:szCs w:val="20"/>
                <w:lang w:val="af-ZA"/>
              </w:rPr>
              <w:t xml:space="preserve"> </w:t>
            </w:r>
            <w:r w:rsidRPr="0053423A">
              <w:rPr>
                <w:rFonts w:cs="Sylfaen"/>
                <w:sz w:val="20"/>
                <w:szCs w:val="20"/>
              </w:rPr>
              <w:t>վերաբերյալ</w:t>
            </w:r>
            <w:r w:rsidRPr="0053423A">
              <w:rPr>
                <w:rFonts w:cs="Sylfaen"/>
                <w:sz w:val="20"/>
                <w:szCs w:val="20"/>
                <w:lang w:val="af-ZA"/>
              </w:rPr>
              <w:t xml:space="preserve"> </w:t>
            </w:r>
            <w:r w:rsidRPr="0053423A">
              <w:rPr>
                <w:rFonts w:cs="Sylfaen"/>
                <w:sz w:val="20"/>
                <w:szCs w:val="20"/>
              </w:rPr>
              <w:t>տեղեկատվական</w:t>
            </w:r>
            <w:r w:rsidRPr="0053423A">
              <w:rPr>
                <w:rFonts w:cs="Sylfaen"/>
                <w:sz w:val="20"/>
                <w:szCs w:val="20"/>
                <w:lang w:val="af-ZA"/>
              </w:rPr>
              <w:t xml:space="preserve"> </w:t>
            </w:r>
            <w:r w:rsidRPr="0053423A">
              <w:rPr>
                <w:rFonts w:cs="Sylfaen"/>
                <w:sz w:val="20"/>
                <w:szCs w:val="20"/>
              </w:rPr>
              <w:t>բազան</w:t>
            </w:r>
            <w:r w:rsidRPr="0053423A">
              <w:rPr>
                <w:rFonts w:cs="Sylfaen"/>
                <w:sz w:val="20"/>
                <w:szCs w:val="20"/>
                <w:lang w:val="af-ZA"/>
              </w:rPr>
              <w:t xml:space="preserve">, </w:t>
            </w:r>
            <w:r w:rsidRPr="0053423A">
              <w:rPr>
                <w:rFonts w:cs="Sylfaen"/>
                <w:sz w:val="20"/>
                <w:szCs w:val="20"/>
              </w:rPr>
              <w:t>կենտրոնացնելով</w:t>
            </w:r>
            <w:r w:rsidRPr="0053423A">
              <w:rPr>
                <w:rFonts w:cs="Sylfaen"/>
                <w:sz w:val="20"/>
                <w:szCs w:val="20"/>
                <w:lang w:val="af-ZA"/>
              </w:rPr>
              <w:t xml:space="preserve"> </w:t>
            </w:r>
            <w:r w:rsidRPr="0053423A">
              <w:rPr>
                <w:rFonts w:cs="Sylfaen"/>
                <w:sz w:val="20"/>
                <w:szCs w:val="20"/>
              </w:rPr>
              <w:t>մեկ</w:t>
            </w:r>
            <w:r w:rsidRPr="0053423A">
              <w:rPr>
                <w:rFonts w:cs="Sylfaen"/>
                <w:sz w:val="20"/>
                <w:szCs w:val="20"/>
                <w:lang w:val="af-ZA"/>
              </w:rPr>
              <w:t xml:space="preserve"> </w:t>
            </w:r>
            <w:r w:rsidRPr="0053423A">
              <w:rPr>
                <w:rFonts w:cs="Sylfaen"/>
                <w:sz w:val="20"/>
                <w:szCs w:val="20"/>
              </w:rPr>
              <w:t>մասնագիտական</w:t>
            </w:r>
            <w:r w:rsidRPr="0053423A">
              <w:rPr>
                <w:rFonts w:cs="Sylfaen"/>
                <w:sz w:val="20"/>
                <w:szCs w:val="20"/>
                <w:lang w:val="af-ZA"/>
              </w:rPr>
              <w:t xml:space="preserve"> </w:t>
            </w:r>
            <w:r w:rsidRPr="0053423A">
              <w:rPr>
                <w:rFonts w:cs="Sylfaen"/>
                <w:sz w:val="20"/>
                <w:szCs w:val="20"/>
              </w:rPr>
              <w:t>կառույցում</w:t>
            </w:r>
            <w:r w:rsidRPr="0053423A">
              <w:rPr>
                <w:rFonts w:cs="Sylfaen"/>
                <w:sz w:val="20"/>
                <w:szCs w:val="20"/>
                <w:lang w:val="af-ZA"/>
              </w:rPr>
              <w:t xml:space="preserve">, </w:t>
            </w:r>
            <w:r w:rsidRPr="0053423A">
              <w:rPr>
                <w:rFonts w:cs="Sylfaen"/>
                <w:sz w:val="20"/>
                <w:szCs w:val="20"/>
              </w:rPr>
              <w:t>հնարավորություն</w:t>
            </w:r>
            <w:r w:rsidRPr="0053423A">
              <w:rPr>
                <w:rFonts w:cs="Sylfaen"/>
                <w:sz w:val="20"/>
                <w:szCs w:val="20"/>
                <w:lang w:val="af-ZA"/>
              </w:rPr>
              <w:t xml:space="preserve"> </w:t>
            </w:r>
            <w:r w:rsidRPr="0053423A">
              <w:rPr>
                <w:rFonts w:cs="Sylfaen"/>
                <w:sz w:val="20"/>
                <w:szCs w:val="20"/>
              </w:rPr>
              <w:t>կստեղծվի</w:t>
            </w:r>
            <w:r w:rsidRPr="0053423A">
              <w:rPr>
                <w:rFonts w:cs="Sylfaen"/>
                <w:sz w:val="20"/>
                <w:szCs w:val="20"/>
                <w:lang w:val="af-ZA"/>
              </w:rPr>
              <w:t xml:space="preserve"> </w:t>
            </w:r>
            <w:r w:rsidRPr="0053423A">
              <w:rPr>
                <w:rFonts w:cs="Sylfaen"/>
                <w:sz w:val="20"/>
                <w:szCs w:val="20"/>
              </w:rPr>
              <w:t>պատշաճ</w:t>
            </w:r>
            <w:r w:rsidRPr="0053423A">
              <w:rPr>
                <w:rFonts w:cs="Sylfaen"/>
                <w:sz w:val="20"/>
                <w:szCs w:val="20"/>
                <w:lang w:val="af-ZA"/>
              </w:rPr>
              <w:t xml:space="preserve"> </w:t>
            </w:r>
            <w:r w:rsidRPr="0053423A">
              <w:rPr>
                <w:rFonts w:cs="Sylfaen"/>
                <w:sz w:val="20"/>
                <w:szCs w:val="20"/>
              </w:rPr>
              <w:t>կազմակերպել</w:t>
            </w:r>
            <w:r w:rsidRPr="0053423A">
              <w:rPr>
                <w:rFonts w:cs="Sylfaen"/>
                <w:sz w:val="20"/>
                <w:szCs w:val="20"/>
                <w:lang w:val="af-ZA"/>
              </w:rPr>
              <w:t xml:space="preserve"> </w:t>
            </w:r>
            <w:r w:rsidRPr="0053423A">
              <w:rPr>
                <w:rFonts w:cs="Sylfaen"/>
                <w:sz w:val="20"/>
                <w:szCs w:val="20"/>
              </w:rPr>
              <w:t>դրանց</w:t>
            </w:r>
            <w:r w:rsidRPr="0053423A">
              <w:rPr>
                <w:rFonts w:cs="Sylfaen"/>
                <w:sz w:val="20"/>
                <w:szCs w:val="20"/>
                <w:lang w:val="af-ZA"/>
              </w:rPr>
              <w:t xml:space="preserve"> </w:t>
            </w:r>
            <w:r w:rsidRPr="0053423A">
              <w:rPr>
                <w:rFonts w:cs="Sylfaen"/>
                <w:sz w:val="20"/>
                <w:szCs w:val="20"/>
              </w:rPr>
              <w:t>շահագործումն</w:t>
            </w:r>
            <w:r w:rsidRPr="0053423A">
              <w:rPr>
                <w:rFonts w:cs="Sylfaen"/>
                <w:sz w:val="20"/>
                <w:szCs w:val="20"/>
                <w:lang w:val="af-ZA"/>
              </w:rPr>
              <w:t xml:space="preserve"> </w:t>
            </w:r>
            <w:r w:rsidRPr="0053423A">
              <w:rPr>
                <w:rFonts w:cs="Sylfaen"/>
                <w:sz w:val="20"/>
                <w:szCs w:val="20"/>
              </w:rPr>
              <w:t>ու</w:t>
            </w:r>
            <w:r w:rsidRPr="0053423A">
              <w:rPr>
                <w:rFonts w:cs="Sylfaen"/>
                <w:sz w:val="20"/>
                <w:szCs w:val="20"/>
                <w:lang w:val="af-ZA"/>
              </w:rPr>
              <w:t xml:space="preserve"> </w:t>
            </w:r>
            <w:r w:rsidRPr="0053423A">
              <w:rPr>
                <w:rFonts w:cs="Sylfaen"/>
                <w:sz w:val="20"/>
                <w:szCs w:val="20"/>
              </w:rPr>
              <w:t>պահպանումը</w:t>
            </w:r>
            <w:r w:rsidRPr="0053423A">
              <w:rPr>
                <w:rFonts w:cs="Sylfaen"/>
                <w:sz w:val="20"/>
                <w:szCs w:val="20"/>
                <w:lang w:val="af-ZA"/>
              </w:rPr>
              <w:t xml:space="preserve">, </w:t>
            </w:r>
            <w:r w:rsidRPr="0053423A">
              <w:rPr>
                <w:rFonts w:cs="Sylfaen"/>
                <w:sz w:val="20"/>
                <w:szCs w:val="20"/>
              </w:rPr>
              <w:t>ոչ</w:t>
            </w:r>
            <w:r w:rsidRPr="0053423A">
              <w:rPr>
                <w:rFonts w:cs="Sylfaen"/>
                <w:sz w:val="20"/>
                <w:szCs w:val="20"/>
                <w:lang w:val="af-ZA"/>
              </w:rPr>
              <w:t xml:space="preserve"> </w:t>
            </w:r>
            <w:r w:rsidRPr="0053423A">
              <w:rPr>
                <w:rFonts w:cs="Sylfaen"/>
                <w:sz w:val="20"/>
                <w:szCs w:val="20"/>
              </w:rPr>
              <w:t>մեծ</w:t>
            </w:r>
            <w:r w:rsidRPr="0053423A">
              <w:rPr>
                <w:rFonts w:cs="Sylfaen"/>
                <w:sz w:val="20"/>
                <w:szCs w:val="20"/>
                <w:lang w:val="af-ZA"/>
              </w:rPr>
              <w:t xml:space="preserve"> </w:t>
            </w:r>
            <w:r w:rsidRPr="0053423A">
              <w:rPr>
                <w:rFonts w:cs="Sylfaen"/>
                <w:sz w:val="20"/>
                <w:szCs w:val="20"/>
              </w:rPr>
              <w:t>ֆինանսական</w:t>
            </w:r>
            <w:r w:rsidRPr="0053423A">
              <w:rPr>
                <w:rFonts w:cs="Sylfaen"/>
                <w:sz w:val="20"/>
                <w:szCs w:val="20"/>
                <w:lang w:val="af-ZA"/>
              </w:rPr>
              <w:t xml:space="preserve"> </w:t>
            </w:r>
            <w:r w:rsidRPr="0053423A">
              <w:rPr>
                <w:rFonts w:cs="Sylfaen"/>
                <w:sz w:val="20"/>
                <w:szCs w:val="20"/>
              </w:rPr>
              <w:t>ներդրումներ</w:t>
            </w:r>
            <w:r w:rsidRPr="0053423A">
              <w:rPr>
                <w:rFonts w:cs="Sylfaen"/>
                <w:sz w:val="20"/>
                <w:szCs w:val="20"/>
                <w:lang w:val="af-ZA"/>
              </w:rPr>
              <w:t xml:space="preserve"> </w:t>
            </w:r>
            <w:r w:rsidRPr="0053423A">
              <w:rPr>
                <w:rFonts w:cs="Sylfaen"/>
                <w:sz w:val="20"/>
                <w:szCs w:val="20"/>
              </w:rPr>
              <w:t>կատարելով</w:t>
            </w:r>
            <w:r w:rsidRPr="0053423A">
              <w:rPr>
                <w:rFonts w:cs="Sylfaen"/>
                <w:sz w:val="20"/>
                <w:szCs w:val="20"/>
                <w:lang w:val="af-ZA"/>
              </w:rPr>
              <w:t xml:space="preserve"> </w:t>
            </w:r>
            <w:r w:rsidRPr="0053423A">
              <w:rPr>
                <w:rFonts w:cs="Sylfaen"/>
                <w:sz w:val="20"/>
                <w:szCs w:val="20"/>
              </w:rPr>
              <w:t>ապահովել</w:t>
            </w:r>
            <w:r w:rsidRPr="0053423A">
              <w:rPr>
                <w:rFonts w:cs="Sylfaen"/>
                <w:sz w:val="20"/>
                <w:szCs w:val="20"/>
                <w:lang w:val="af-ZA"/>
              </w:rPr>
              <w:t xml:space="preserve"> </w:t>
            </w:r>
            <w:r w:rsidRPr="0053423A">
              <w:rPr>
                <w:rFonts w:cs="Sylfaen"/>
                <w:sz w:val="20"/>
                <w:szCs w:val="20"/>
              </w:rPr>
              <w:t>ափապաշտպան</w:t>
            </w:r>
            <w:r w:rsidRPr="0053423A">
              <w:rPr>
                <w:rFonts w:cs="Sylfaen"/>
                <w:sz w:val="20"/>
                <w:szCs w:val="20"/>
                <w:lang w:val="af-ZA"/>
              </w:rPr>
              <w:t xml:space="preserve"> </w:t>
            </w:r>
            <w:r w:rsidRPr="0053423A">
              <w:rPr>
                <w:rFonts w:cs="Sylfaen"/>
                <w:sz w:val="20"/>
                <w:szCs w:val="20"/>
              </w:rPr>
              <w:t>ու</w:t>
            </w:r>
            <w:r w:rsidRPr="0053423A">
              <w:rPr>
                <w:rFonts w:cs="Sylfaen"/>
                <w:sz w:val="20"/>
                <w:szCs w:val="20"/>
                <w:lang w:val="af-ZA"/>
              </w:rPr>
              <w:t xml:space="preserve"> </w:t>
            </w:r>
            <w:r w:rsidRPr="0053423A">
              <w:rPr>
                <w:rFonts w:cs="Sylfaen"/>
                <w:sz w:val="20"/>
                <w:szCs w:val="20"/>
              </w:rPr>
              <w:t>հիդրոտեխնիկական</w:t>
            </w:r>
            <w:r w:rsidRPr="0053423A">
              <w:rPr>
                <w:rFonts w:cs="Sylfaen"/>
                <w:sz w:val="20"/>
                <w:szCs w:val="20"/>
                <w:lang w:val="af-ZA"/>
              </w:rPr>
              <w:t xml:space="preserve"> </w:t>
            </w:r>
            <w:r w:rsidRPr="0053423A">
              <w:rPr>
                <w:rFonts w:cs="Sylfaen"/>
                <w:sz w:val="20"/>
                <w:szCs w:val="20"/>
              </w:rPr>
              <w:t>այլ</w:t>
            </w:r>
            <w:r w:rsidRPr="0053423A">
              <w:rPr>
                <w:rFonts w:cs="Sylfaen"/>
                <w:sz w:val="20"/>
                <w:szCs w:val="20"/>
                <w:lang w:val="af-ZA"/>
              </w:rPr>
              <w:t xml:space="preserve"> </w:t>
            </w:r>
            <w:r w:rsidRPr="0053423A">
              <w:rPr>
                <w:rFonts w:cs="Sylfaen"/>
                <w:sz w:val="20"/>
                <w:szCs w:val="20"/>
              </w:rPr>
              <w:t>կառուցվածքների</w:t>
            </w:r>
            <w:r w:rsidRPr="0053423A">
              <w:rPr>
                <w:rFonts w:cs="Sylfaen"/>
                <w:sz w:val="20"/>
                <w:szCs w:val="20"/>
                <w:lang w:val="af-ZA"/>
              </w:rPr>
              <w:t xml:space="preserve"> </w:t>
            </w:r>
            <w:r w:rsidRPr="0053423A">
              <w:rPr>
                <w:rFonts w:cs="Sylfaen"/>
                <w:sz w:val="20"/>
                <w:szCs w:val="20"/>
              </w:rPr>
              <w:t>երկարակեցությունը</w:t>
            </w:r>
            <w:r w:rsidRPr="0053423A">
              <w:rPr>
                <w:rFonts w:cs="Sylfaen"/>
                <w:sz w:val="20"/>
                <w:szCs w:val="20"/>
                <w:lang w:val="af-ZA"/>
              </w:rPr>
              <w:t>:</w:t>
            </w:r>
          </w:p>
        </w:tc>
      </w:tr>
      <w:tr w:rsidR="0084615D" w:rsidRPr="00DE2EFA" w:rsidTr="00844C90">
        <w:tc>
          <w:tcPr>
            <w:tcW w:w="461" w:type="dxa"/>
            <w:shd w:val="clear" w:color="auto" w:fill="auto"/>
          </w:tcPr>
          <w:p w:rsidR="0084615D" w:rsidRPr="0053423A" w:rsidRDefault="00626D24" w:rsidP="00A67858">
            <w:pPr>
              <w:spacing w:after="0" w:line="276" w:lineRule="auto"/>
              <w:jc w:val="center"/>
              <w:rPr>
                <w:rFonts w:eastAsia="Times New Roman"/>
                <w:b/>
                <w:bCs/>
                <w:sz w:val="20"/>
                <w:szCs w:val="20"/>
                <w:lang w:val="hy-AM"/>
              </w:rPr>
            </w:pPr>
            <w:r>
              <w:rPr>
                <w:rFonts w:eastAsia="Times New Roman"/>
                <w:b/>
                <w:bCs/>
                <w:sz w:val="20"/>
                <w:szCs w:val="20"/>
                <w:lang w:val="hy-AM"/>
              </w:rPr>
              <w:t>29</w:t>
            </w:r>
          </w:p>
        </w:tc>
        <w:tc>
          <w:tcPr>
            <w:tcW w:w="10879" w:type="dxa"/>
            <w:shd w:val="clear" w:color="auto" w:fill="auto"/>
          </w:tcPr>
          <w:p w:rsidR="0084615D" w:rsidRPr="0053423A" w:rsidRDefault="0084615D" w:rsidP="00A67858">
            <w:pPr>
              <w:spacing w:after="0" w:line="276" w:lineRule="auto"/>
              <w:jc w:val="center"/>
              <w:rPr>
                <w:b/>
                <w:color w:val="000000"/>
                <w:sz w:val="20"/>
                <w:szCs w:val="20"/>
                <w:lang w:val="hy-AM"/>
              </w:rPr>
            </w:pPr>
            <w:r w:rsidRPr="0053423A">
              <w:rPr>
                <w:b/>
                <w:color w:val="000000"/>
                <w:sz w:val="20"/>
                <w:szCs w:val="20"/>
                <w:lang w:val="hy-AM"/>
              </w:rPr>
              <w:t>Մեխանիկական</w:t>
            </w:r>
            <w:r w:rsidRPr="0053423A">
              <w:rPr>
                <w:b/>
                <w:color w:val="000000"/>
                <w:sz w:val="20"/>
                <w:szCs w:val="20"/>
                <w:lang w:val="af-ZA"/>
              </w:rPr>
              <w:t xml:space="preserve"> </w:t>
            </w:r>
            <w:r w:rsidRPr="0053423A">
              <w:rPr>
                <w:b/>
                <w:color w:val="000000"/>
                <w:sz w:val="20"/>
                <w:szCs w:val="20"/>
                <w:lang w:val="hy-AM"/>
              </w:rPr>
              <w:t>ջրարտադրության</w:t>
            </w:r>
            <w:r w:rsidRPr="0053423A">
              <w:rPr>
                <w:b/>
                <w:color w:val="000000"/>
                <w:sz w:val="20"/>
                <w:szCs w:val="20"/>
                <w:lang w:val="af-ZA"/>
              </w:rPr>
              <w:t xml:space="preserve"> </w:t>
            </w:r>
            <w:r w:rsidRPr="0053423A">
              <w:rPr>
                <w:b/>
                <w:color w:val="000000"/>
                <w:sz w:val="20"/>
                <w:szCs w:val="20"/>
                <w:lang w:val="hy-AM"/>
              </w:rPr>
              <w:t>սարքավորումների</w:t>
            </w:r>
            <w:r w:rsidRPr="0053423A">
              <w:rPr>
                <w:b/>
                <w:color w:val="000000"/>
                <w:sz w:val="20"/>
                <w:szCs w:val="20"/>
                <w:lang w:val="af-ZA"/>
              </w:rPr>
              <w:t xml:space="preserve"> </w:t>
            </w:r>
            <w:r w:rsidRPr="0053423A">
              <w:rPr>
                <w:b/>
                <w:color w:val="000000"/>
                <w:sz w:val="20"/>
                <w:szCs w:val="20"/>
                <w:lang w:val="hy-AM"/>
              </w:rPr>
              <w:t>տեխնիկական</w:t>
            </w:r>
            <w:r w:rsidRPr="0053423A">
              <w:rPr>
                <w:b/>
                <w:color w:val="000000"/>
                <w:sz w:val="20"/>
                <w:szCs w:val="20"/>
                <w:lang w:val="af-ZA"/>
              </w:rPr>
              <w:t xml:space="preserve"> </w:t>
            </w:r>
            <w:r w:rsidRPr="0053423A">
              <w:rPr>
                <w:b/>
                <w:color w:val="000000"/>
                <w:sz w:val="20"/>
                <w:szCs w:val="20"/>
                <w:lang w:val="hy-AM"/>
              </w:rPr>
              <w:t>վիճակը</w:t>
            </w:r>
            <w:r w:rsidRPr="0053423A">
              <w:rPr>
                <w:b/>
                <w:color w:val="000000"/>
                <w:sz w:val="20"/>
                <w:szCs w:val="20"/>
                <w:lang w:val="af-ZA"/>
              </w:rPr>
              <w:t xml:space="preserve"> </w:t>
            </w:r>
            <w:r w:rsidRPr="0053423A">
              <w:rPr>
                <w:b/>
                <w:color w:val="000000"/>
                <w:sz w:val="20"/>
                <w:szCs w:val="20"/>
                <w:lang w:val="hy-AM"/>
              </w:rPr>
              <w:t>բարելավելու</w:t>
            </w:r>
            <w:r w:rsidRPr="0053423A">
              <w:rPr>
                <w:b/>
                <w:color w:val="000000"/>
                <w:sz w:val="20"/>
                <w:szCs w:val="20"/>
                <w:lang w:val="af-ZA"/>
              </w:rPr>
              <w:t xml:space="preserve"> </w:t>
            </w:r>
            <w:r w:rsidRPr="0053423A">
              <w:rPr>
                <w:b/>
                <w:color w:val="000000"/>
                <w:sz w:val="20"/>
                <w:szCs w:val="20"/>
                <w:lang w:val="hy-AM"/>
              </w:rPr>
              <w:t>և</w:t>
            </w:r>
            <w:r w:rsidRPr="0053423A">
              <w:rPr>
                <w:b/>
                <w:color w:val="000000"/>
                <w:sz w:val="20"/>
                <w:szCs w:val="20"/>
                <w:lang w:val="af-ZA"/>
              </w:rPr>
              <w:t xml:space="preserve"> </w:t>
            </w:r>
            <w:r w:rsidRPr="0053423A">
              <w:rPr>
                <w:b/>
                <w:color w:val="000000"/>
                <w:sz w:val="20"/>
                <w:szCs w:val="20"/>
                <w:lang w:val="hy-AM"/>
              </w:rPr>
              <w:t>կառավարման</w:t>
            </w:r>
            <w:r w:rsidRPr="0053423A">
              <w:rPr>
                <w:b/>
                <w:color w:val="000000"/>
                <w:sz w:val="20"/>
                <w:szCs w:val="20"/>
                <w:lang w:val="af-ZA"/>
              </w:rPr>
              <w:t xml:space="preserve"> </w:t>
            </w:r>
            <w:r w:rsidRPr="0053423A">
              <w:rPr>
                <w:b/>
                <w:color w:val="000000"/>
                <w:sz w:val="20"/>
                <w:szCs w:val="20"/>
                <w:lang w:val="hy-AM"/>
              </w:rPr>
              <w:t>արդի</w:t>
            </w:r>
            <w:r w:rsidRPr="0053423A">
              <w:rPr>
                <w:b/>
                <w:color w:val="000000"/>
                <w:sz w:val="20"/>
                <w:szCs w:val="20"/>
                <w:lang w:val="af-ZA"/>
              </w:rPr>
              <w:t xml:space="preserve"> </w:t>
            </w:r>
            <w:r w:rsidRPr="0053423A">
              <w:rPr>
                <w:b/>
                <w:color w:val="000000"/>
                <w:sz w:val="20"/>
                <w:szCs w:val="20"/>
                <w:lang w:val="hy-AM"/>
              </w:rPr>
              <w:t>համակարգերով</w:t>
            </w:r>
            <w:r w:rsidRPr="0053423A">
              <w:rPr>
                <w:b/>
                <w:color w:val="000000"/>
                <w:sz w:val="20"/>
                <w:szCs w:val="20"/>
                <w:lang w:val="af-ZA"/>
              </w:rPr>
              <w:t xml:space="preserve"> </w:t>
            </w:r>
            <w:r w:rsidRPr="0053423A">
              <w:rPr>
                <w:b/>
                <w:color w:val="000000"/>
                <w:sz w:val="20"/>
                <w:szCs w:val="20"/>
                <w:lang w:val="hy-AM"/>
              </w:rPr>
              <w:t>վերազինելու</w:t>
            </w:r>
            <w:r w:rsidRPr="0053423A">
              <w:rPr>
                <w:b/>
                <w:color w:val="000000"/>
                <w:sz w:val="20"/>
                <w:szCs w:val="20"/>
                <w:lang w:val="af-ZA"/>
              </w:rPr>
              <w:t xml:space="preserve"> (</w:t>
            </w:r>
            <w:r w:rsidRPr="0053423A">
              <w:rPr>
                <w:b/>
                <w:color w:val="000000"/>
                <w:sz w:val="20"/>
                <w:szCs w:val="20"/>
                <w:lang w:val="hy-AM"/>
              </w:rPr>
              <w:t>փոխարինելու</w:t>
            </w:r>
            <w:r w:rsidRPr="0053423A">
              <w:rPr>
                <w:b/>
                <w:color w:val="000000"/>
                <w:sz w:val="20"/>
                <w:szCs w:val="20"/>
                <w:lang w:val="af-ZA"/>
              </w:rPr>
              <w:t xml:space="preserve">) </w:t>
            </w:r>
            <w:r w:rsidRPr="0053423A">
              <w:rPr>
                <w:b/>
                <w:color w:val="000000"/>
                <w:sz w:val="20"/>
                <w:szCs w:val="20"/>
                <w:lang w:val="hy-AM"/>
              </w:rPr>
              <w:t>ծրագրի</w:t>
            </w:r>
            <w:r w:rsidRPr="0053423A">
              <w:rPr>
                <w:b/>
                <w:color w:val="000000"/>
                <w:sz w:val="20"/>
                <w:szCs w:val="20"/>
                <w:lang w:val="af-ZA"/>
              </w:rPr>
              <w:t xml:space="preserve"> </w:t>
            </w:r>
            <w:r w:rsidRPr="0053423A">
              <w:rPr>
                <w:b/>
                <w:color w:val="000000"/>
                <w:sz w:val="20"/>
                <w:szCs w:val="20"/>
                <w:lang w:val="hy-AM"/>
              </w:rPr>
              <w:t>կազմում</w:t>
            </w:r>
          </w:p>
          <w:p w:rsidR="0084615D" w:rsidRPr="0053423A" w:rsidRDefault="0084615D" w:rsidP="00A67858">
            <w:pPr>
              <w:tabs>
                <w:tab w:val="left" w:pos="1170"/>
              </w:tabs>
              <w:spacing w:after="0" w:line="276" w:lineRule="auto"/>
              <w:ind w:left="720"/>
              <w:jc w:val="both"/>
              <w:rPr>
                <w:b/>
                <w:i/>
                <w:sz w:val="20"/>
                <w:szCs w:val="20"/>
                <w:u w:val="single"/>
                <w:lang w:val="af-ZA"/>
              </w:rPr>
            </w:pPr>
          </w:p>
          <w:p w:rsidR="0084615D" w:rsidRPr="0053423A" w:rsidRDefault="00626D24" w:rsidP="00A67858">
            <w:pPr>
              <w:tabs>
                <w:tab w:val="left" w:pos="1170"/>
              </w:tabs>
              <w:spacing w:after="0" w:line="276" w:lineRule="auto"/>
              <w:ind w:left="720"/>
              <w:jc w:val="center"/>
              <w:rPr>
                <w:b/>
                <w:sz w:val="20"/>
                <w:szCs w:val="20"/>
                <w:u w:val="single"/>
                <w:lang w:val="af-ZA"/>
              </w:rPr>
            </w:pPr>
            <w:r>
              <w:rPr>
                <w:b/>
                <w:sz w:val="20"/>
                <w:szCs w:val="20"/>
                <w:u w:val="single"/>
                <w:lang w:val="af-ZA"/>
              </w:rPr>
              <w:t>29</w:t>
            </w:r>
            <w:r w:rsidR="0084615D" w:rsidRPr="0053423A">
              <w:rPr>
                <w:b/>
                <w:sz w:val="20"/>
                <w:szCs w:val="20"/>
                <w:u w:val="single"/>
                <w:lang w:val="af-ZA"/>
              </w:rPr>
              <w:t>.1 Գնահատել մեխանիկական ջրարտադրության սարքավորումների տեխնիկական վիճակը</w:t>
            </w:r>
          </w:p>
          <w:p w:rsidR="0084615D" w:rsidRPr="0053423A" w:rsidRDefault="0084615D" w:rsidP="00A67858">
            <w:pPr>
              <w:spacing w:after="0" w:line="276" w:lineRule="auto"/>
              <w:jc w:val="center"/>
              <w:rPr>
                <w:b/>
                <w:color w:val="000000"/>
                <w:sz w:val="20"/>
                <w:szCs w:val="20"/>
                <w:lang w:val="af-ZA"/>
              </w:rPr>
            </w:pPr>
          </w:p>
          <w:p w:rsidR="0084615D" w:rsidRPr="0053423A" w:rsidRDefault="0084615D" w:rsidP="00A67858">
            <w:pPr>
              <w:pStyle w:val="ListParagraph"/>
              <w:tabs>
                <w:tab w:val="left" w:pos="810"/>
              </w:tabs>
              <w:spacing w:after="0" w:line="276" w:lineRule="auto"/>
              <w:ind w:left="0" w:firstLine="720"/>
              <w:rPr>
                <w:rFonts w:eastAsia="Times New Roman"/>
                <w:b/>
                <w:sz w:val="20"/>
                <w:szCs w:val="20"/>
                <w:lang w:val="af-ZA"/>
              </w:rPr>
            </w:pPr>
            <w:r w:rsidRPr="0053423A">
              <w:rPr>
                <w:rFonts w:cs="Courier New"/>
                <w:b/>
                <w:sz w:val="20"/>
                <w:szCs w:val="20"/>
                <w:lang w:val="af-ZA"/>
              </w:rPr>
              <w:t>1</w:t>
            </w:r>
            <w:r w:rsidRPr="0053423A">
              <w:rPr>
                <w:rFonts w:eastAsia="Times New Roman" w:cs="Courier New"/>
                <w:b/>
                <w:sz w:val="20"/>
                <w:szCs w:val="20"/>
                <w:lang w:val="af-ZA"/>
              </w:rPr>
              <w:t>.</w:t>
            </w:r>
            <w:r w:rsidRPr="0053423A">
              <w:rPr>
                <w:rFonts w:ascii="Calibri" w:eastAsia="Times New Roman" w:hAnsi="Calibri" w:cs="Calibri"/>
                <w:b/>
                <w:sz w:val="20"/>
                <w:szCs w:val="20"/>
                <w:lang w:val="af-ZA"/>
              </w:rPr>
              <w:t> </w:t>
            </w:r>
            <w:r w:rsidRPr="0053423A">
              <w:rPr>
                <w:rFonts w:eastAsia="Times New Roman"/>
                <w:b/>
                <w:sz w:val="20"/>
                <w:szCs w:val="20"/>
                <w:lang w:val="hy-AM"/>
              </w:rPr>
              <w:t>Միջոցառման</w:t>
            </w:r>
            <w:r w:rsidRPr="0053423A">
              <w:rPr>
                <w:rFonts w:eastAsia="Times New Roman"/>
                <w:b/>
                <w:sz w:val="20"/>
                <w:szCs w:val="20"/>
                <w:lang w:val="af-ZA"/>
              </w:rPr>
              <w:t xml:space="preserve"> </w:t>
            </w:r>
            <w:r w:rsidRPr="0053423A">
              <w:rPr>
                <w:rFonts w:eastAsia="Times New Roman"/>
                <w:b/>
                <w:sz w:val="20"/>
                <w:szCs w:val="20"/>
                <w:lang w:val="hy-AM"/>
              </w:rPr>
              <w:t>իրականացման</w:t>
            </w:r>
            <w:r w:rsidRPr="0053423A">
              <w:rPr>
                <w:rFonts w:eastAsia="Times New Roman"/>
                <w:b/>
                <w:sz w:val="20"/>
                <w:szCs w:val="20"/>
                <w:lang w:val="af-ZA"/>
              </w:rPr>
              <w:t xml:space="preserve"> </w:t>
            </w:r>
            <w:r w:rsidRPr="0053423A">
              <w:rPr>
                <w:rFonts w:eastAsia="Times New Roma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նպատակը</w:t>
            </w:r>
          </w:p>
          <w:p w:rsidR="0084615D" w:rsidRPr="0053423A" w:rsidRDefault="0084615D" w:rsidP="00A67858">
            <w:pPr>
              <w:pStyle w:val="ListParagraph"/>
              <w:tabs>
                <w:tab w:val="left" w:pos="0"/>
              </w:tabs>
              <w:spacing w:after="0" w:line="276" w:lineRule="auto"/>
              <w:ind w:left="0"/>
              <w:jc w:val="both"/>
              <w:rPr>
                <w:rFonts w:eastAsia="Times New Roman"/>
                <w:b/>
                <w:sz w:val="20"/>
                <w:szCs w:val="20"/>
                <w:lang w:val="af-ZA"/>
              </w:rPr>
            </w:pPr>
            <w:r w:rsidRPr="0053423A">
              <w:rPr>
                <w:rFonts w:cs="Sylfaen"/>
                <w:sz w:val="20"/>
                <w:szCs w:val="20"/>
                <w:lang w:val="hy-AM"/>
              </w:rPr>
              <w:t>Հիմք</w:t>
            </w:r>
            <w:r w:rsidRPr="0053423A">
              <w:rPr>
                <w:rFonts w:cs="Sylfaen"/>
                <w:sz w:val="20"/>
                <w:szCs w:val="20"/>
                <w:lang w:val="af-ZA"/>
              </w:rPr>
              <w:t xml:space="preserve"> </w:t>
            </w:r>
            <w:r w:rsidRPr="0053423A">
              <w:rPr>
                <w:rFonts w:cs="Sylfaen"/>
                <w:sz w:val="20"/>
                <w:szCs w:val="20"/>
                <w:lang w:val="hy-AM"/>
              </w:rPr>
              <w:t>ընդունելով</w:t>
            </w:r>
            <w:r w:rsidRPr="0053423A">
              <w:rPr>
                <w:rFonts w:cs="Sylfaen"/>
                <w:sz w:val="20"/>
                <w:szCs w:val="20"/>
                <w:lang w:val="af-ZA"/>
              </w:rPr>
              <w:t xml:space="preserve"> </w:t>
            </w:r>
            <w:r w:rsidRPr="0053423A">
              <w:rPr>
                <w:rFonts w:cs="GHEA Grapalat"/>
                <w:sz w:val="20"/>
                <w:szCs w:val="20"/>
                <w:lang w:val="af-ZA"/>
              </w:rPr>
              <w:t>ՀՀ ազգային ժողովի 2019 թվականի փետրվարի 14-ի «Հայաստանի Հանրապետության կառավարության ծրագրին հավանություն տալու մասին» ԱԺՈ-002-Ն որոշմամբ հավանության արժանացած ՀՀ կառավարության 2019 թվականի փետրվարի 8</w:t>
            </w:r>
            <w:r w:rsidRPr="0053423A">
              <w:rPr>
                <w:spacing w:val="-2"/>
                <w:sz w:val="20"/>
                <w:szCs w:val="20"/>
                <w:lang w:val="af-ZA"/>
              </w:rPr>
              <w:t>-</w:t>
            </w:r>
            <w:r w:rsidRPr="0053423A">
              <w:rPr>
                <w:spacing w:val="-2"/>
                <w:sz w:val="20"/>
                <w:szCs w:val="20"/>
                <w:lang w:val="hy-AM"/>
              </w:rPr>
              <w:t>ի</w:t>
            </w:r>
            <w:r w:rsidRPr="0053423A">
              <w:rPr>
                <w:spacing w:val="-2"/>
                <w:sz w:val="20"/>
                <w:szCs w:val="20"/>
                <w:lang w:val="af-ZA"/>
              </w:rPr>
              <w:t xml:space="preserve"> N 65-Ա որոշման </w:t>
            </w:r>
            <w:r w:rsidRPr="0053423A">
              <w:rPr>
                <w:spacing w:val="-2"/>
                <w:sz w:val="20"/>
                <w:szCs w:val="20"/>
                <w:lang w:val="hy-AM"/>
              </w:rPr>
              <w:t>6</w:t>
            </w:r>
            <w:r w:rsidRPr="0053423A">
              <w:rPr>
                <w:spacing w:val="-2"/>
                <w:sz w:val="20"/>
                <w:szCs w:val="20"/>
                <w:lang w:val="pt-BR"/>
              </w:rPr>
              <w:t>.4</w:t>
            </w:r>
            <w:r w:rsidRPr="0053423A">
              <w:rPr>
                <w:spacing w:val="-2"/>
                <w:sz w:val="20"/>
                <w:szCs w:val="20"/>
                <w:lang w:val="hy-AM"/>
              </w:rPr>
              <w:t xml:space="preserve"> «Ջրային</w:t>
            </w:r>
            <w:r w:rsidRPr="0053423A">
              <w:rPr>
                <w:spacing w:val="-2"/>
                <w:sz w:val="20"/>
                <w:szCs w:val="20"/>
                <w:lang w:val="af-ZA"/>
              </w:rPr>
              <w:t xml:space="preserve"> </w:t>
            </w:r>
            <w:r w:rsidRPr="0053423A">
              <w:rPr>
                <w:rFonts w:cs="GHEA Grapalat"/>
                <w:sz w:val="20"/>
                <w:szCs w:val="20"/>
                <w:lang w:val="af-ZA"/>
              </w:rPr>
              <w:t>տնտեսությունը» բաժինը, 2006 թվականի նոյեմբերի 27-ի ՀՀ ջրի ազգային ծրագրի մասին</w:t>
            </w:r>
            <w:r w:rsidRPr="0053423A">
              <w:rPr>
                <w:rFonts w:cs="Sylfaen"/>
                <w:sz w:val="20"/>
                <w:szCs w:val="20"/>
                <w:lang w:val="af-ZA"/>
              </w:rPr>
              <w:t> ՀՀ օրենքի 5-րդ գլխի 16-րդ հոդվածը՝ մ</w:t>
            </w:r>
            <w:r w:rsidRPr="0053423A">
              <w:rPr>
                <w:rFonts w:cs="Sylfaen"/>
                <w:sz w:val="20"/>
                <w:szCs w:val="20"/>
                <w:lang w:val="hy-AM"/>
              </w:rPr>
              <w:t>ատակարարված</w:t>
            </w:r>
            <w:r w:rsidRPr="0053423A">
              <w:rPr>
                <w:rFonts w:cs="Sylfaen"/>
                <w:sz w:val="20"/>
                <w:szCs w:val="20"/>
                <w:lang w:val="af-ZA"/>
              </w:rPr>
              <w:t xml:space="preserve"> </w:t>
            </w:r>
            <w:r w:rsidRPr="0053423A">
              <w:rPr>
                <w:rFonts w:cs="Sylfaen"/>
                <w:sz w:val="20"/>
                <w:szCs w:val="20"/>
                <w:lang w:val="hy-AM"/>
              </w:rPr>
              <w:t>ոռոգման</w:t>
            </w:r>
            <w:r w:rsidRPr="0053423A">
              <w:rPr>
                <w:rFonts w:cs="Sylfaen"/>
                <w:sz w:val="20"/>
                <w:szCs w:val="20"/>
                <w:lang w:val="af-ZA"/>
              </w:rPr>
              <w:t xml:space="preserve"> </w:t>
            </w:r>
            <w:r w:rsidRPr="0053423A">
              <w:rPr>
                <w:rFonts w:cs="Sylfaen"/>
                <w:sz w:val="20"/>
                <w:szCs w:val="20"/>
                <w:lang w:val="hy-AM"/>
              </w:rPr>
              <w:t>ջրի</w:t>
            </w:r>
            <w:r w:rsidRPr="0053423A">
              <w:rPr>
                <w:rFonts w:cs="Sylfaen"/>
                <w:sz w:val="20"/>
                <w:szCs w:val="20"/>
                <w:lang w:val="af-ZA"/>
              </w:rPr>
              <w:t xml:space="preserve"> </w:t>
            </w:r>
            <w:r w:rsidRPr="0053423A">
              <w:rPr>
                <w:rFonts w:cs="Sylfaen"/>
                <w:sz w:val="20"/>
                <w:szCs w:val="20"/>
                <w:lang w:val="hy-AM"/>
              </w:rPr>
              <w:t>հստակ</w:t>
            </w:r>
            <w:r w:rsidRPr="0053423A">
              <w:rPr>
                <w:rFonts w:cs="Sylfaen"/>
                <w:sz w:val="20"/>
                <w:szCs w:val="20"/>
                <w:lang w:val="af-ZA"/>
              </w:rPr>
              <w:t xml:space="preserve"> </w:t>
            </w:r>
            <w:r w:rsidRPr="0053423A">
              <w:rPr>
                <w:rFonts w:cs="Sylfaen"/>
                <w:sz w:val="20"/>
                <w:szCs w:val="20"/>
                <w:lang w:val="hy-AM"/>
              </w:rPr>
              <w:t>հաշվառում</w:t>
            </w:r>
            <w:r w:rsidRPr="0053423A">
              <w:rPr>
                <w:rFonts w:cs="Sylfaen"/>
                <w:sz w:val="20"/>
                <w:szCs w:val="20"/>
                <w:lang w:val="af-ZA"/>
              </w:rPr>
              <w:t xml:space="preserve"> </w:t>
            </w:r>
            <w:r w:rsidRPr="0053423A">
              <w:rPr>
                <w:rFonts w:cs="Sylfaen"/>
                <w:sz w:val="20"/>
                <w:szCs w:val="20"/>
                <w:lang w:val="hy-AM"/>
              </w:rPr>
              <w:t>իրականացնելու</w:t>
            </w:r>
            <w:r w:rsidRPr="0053423A">
              <w:rPr>
                <w:rFonts w:cs="Sylfaen"/>
                <w:sz w:val="20"/>
                <w:szCs w:val="20"/>
                <w:lang w:val="af-ZA"/>
              </w:rPr>
              <w:t xml:space="preserve">, </w:t>
            </w:r>
            <w:r w:rsidRPr="0053423A">
              <w:rPr>
                <w:rFonts w:cs="Sylfaen"/>
                <w:sz w:val="20"/>
                <w:szCs w:val="20"/>
                <w:lang w:val="hy-AM"/>
              </w:rPr>
              <w:t>ինչպես</w:t>
            </w:r>
            <w:r w:rsidRPr="0053423A">
              <w:rPr>
                <w:rFonts w:cs="Sylfaen"/>
                <w:sz w:val="20"/>
                <w:szCs w:val="20"/>
                <w:lang w:val="af-ZA"/>
              </w:rPr>
              <w:t xml:space="preserve"> </w:t>
            </w:r>
            <w:r w:rsidRPr="0053423A">
              <w:rPr>
                <w:rFonts w:cs="Sylfaen"/>
                <w:sz w:val="20"/>
                <w:szCs w:val="20"/>
                <w:lang w:val="hy-AM"/>
              </w:rPr>
              <w:t>նաև</w:t>
            </w:r>
            <w:r w:rsidRPr="0053423A">
              <w:rPr>
                <w:rFonts w:cs="Sylfaen"/>
                <w:sz w:val="20"/>
                <w:szCs w:val="20"/>
                <w:lang w:val="af-ZA"/>
              </w:rPr>
              <w:t xml:space="preserve"> </w:t>
            </w:r>
            <w:r w:rsidRPr="0053423A">
              <w:rPr>
                <w:rFonts w:cs="Sylfaen"/>
                <w:sz w:val="20"/>
                <w:szCs w:val="20"/>
                <w:lang w:val="hy-AM"/>
              </w:rPr>
              <w:t>մեխանիկական</w:t>
            </w:r>
            <w:r w:rsidRPr="0053423A">
              <w:rPr>
                <w:rFonts w:cs="Sylfaen"/>
                <w:sz w:val="20"/>
                <w:szCs w:val="20"/>
                <w:lang w:val="af-ZA"/>
              </w:rPr>
              <w:t xml:space="preserve"> </w:t>
            </w:r>
            <w:r w:rsidRPr="0053423A">
              <w:rPr>
                <w:rFonts w:cs="Sylfaen"/>
                <w:sz w:val="20"/>
                <w:szCs w:val="20"/>
                <w:lang w:val="hy-AM"/>
              </w:rPr>
              <w:t>ջրարտադրության</w:t>
            </w:r>
            <w:r w:rsidRPr="0053423A">
              <w:rPr>
                <w:rFonts w:cs="Sylfaen"/>
                <w:sz w:val="20"/>
                <w:szCs w:val="20"/>
                <w:lang w:val="af-ZA"/>
              </w:rPr>
              <w:t xml:space="preserve"> </w:t>
            </w:r>
            <w:r w:rsidRPr="0053423A">
              <w:rPr>
                <w:rFonts w:cs="Sylfaen"/>
                <w:sz w:val="20"/>
                <w:szCs w:val="20"/>
                <w:lang w:val="hy-AM"/>
              </w:rPr>
              <w:t>սարքավորումների</w:t>
            </w:r>
            <w:r w:rsidRPr="0053423A">
              <w:rPr>
                <w:rFonts w:cs="Sylfaen"/>
                <w:sz w:val="20"/>
                <w:szCs w:val="20"/>
                <w:lang w:val="af-ZA"/>
              </w:rPr>
              <w:t xml:space="preserve"> </w:t>
            </w:r>
            <w:r w:rsidRPr="0053423A">
              <w:rPr>
                <w:rFonts w:cs="Sylfaen"/>
                <w:sz w:val="20"/>
                <w:szCs w:val="20"/>
                <w:lang w:val="hy-AM"/>
              </w:rPr>
              <w:t>տեխնիկական</w:t>
            </w:r>
            <w:r w:rsidRPr="0053423A">
              <w:rPr>
                <w:rFonts w:cs="Sylfaen"/>
                <w:sz w:val="20"/>
                <w:szCs w:val="20"/>
                <w:lang w:val="af-ZA"/>
              </w:rPr>
              <w:t xml:space="preserve"> </w:t>
            </w:r>
            <w:r w:rsidRPr="0053423A">
              <w:rPr>
                <w:rFonts w:cs="Sylfaen"/>
                <w:sz w:val="20"/>
                <w:szCs w:val="20"/>
                <w:lang w:val="hy-AM"/>
              </w:rPr>
              <w:t>վիճակը</w:t>
            </w:r>
            <w:r w:rsidRPr="0053423A">
              <w:rPr>
                <w:rFonts w:cs="Sylfaen"/>
                <w:sz w:val="20"/>
                <w:szCs w:val="20"/>
                <w:lang w:val="af-ZA"/>
              </w:rPr>
              <w:t xml:space="preserve"> </w:t>
            </w:r>
            <w:r w:rsidRPr="0053423A">
              <w:rPr>
                <w:rFonts w:cs="Sylfaen"/>
                <w:sz w:val="20"/>
                <w:szCs w:val="20"/>
                <w:lang w:val="hy-AM"/>
              </w:rPr>
              <w:t>բարելավելու</w:t>
            </w:r>
            <w:r w:rsidRPr="0053423A">
              <w:rPr>
                <w:rFonts w:cs="Sylfaen"/>
                <w:sz w:val="20"/>
                <w:szCs w:val="20"/>
                <w:lang w:val="af-ZA"/>
              </w:rPr>
              <w:t xml:space="preserve"> </w:t>
            </w:r>
            <w:r w:rsidRPr="0053423A">
              <w:rPr>
                <w:rFonts w:cs="Sylfaen"/>
                <w:sz w:val="20"/>
                <w:szCs w:val="20"/>
                <w:lang w:val="hy-AM"/>
              </w:rPr>
              <w:t>և</w:t>
            </w:r>
            <w:r w:rsidRPr="0053423A">
              <w:rPr>
                <w:rFonts w:cs="Sylfaen"/>
                <w:sz w:val="20"/>
                <w:szCs w:val="20"/>
                <w:lang w:val="af-ZA"/>
              </w:rPr>
              <w:t xml:space="preserve"> </w:t>
            </w:r>
            <w:r w:rsidRPr="0053423A">
              <w:rPr>
                <w:rFonts w:cs="Sylfaen"/>
                <w:sz w:val="20"/>
                <w:szCs w:val="20"/>
                <w:lang w:val="hy-AM"/>
              </w:rPr>
              <w:t>կառավարման</w:t>
            </w:r>
            <w:r w:rsidRPr="0053423A">
              <w:rPr>
                <w:rFonts w:cs="Sylfaen"/>
                <w:sz w:val="20"/>
                <w:szCs w:val="20"/>
                <w:lang w:val="af-ZA"/>
              </w:rPr>
              <w:t xml:space="preserve"> </w:t>
            </w:r>
            <w:r w:rsidRPr="0053423A">
              <w:rPr>
                <w:rFonts w:cs="Sylfaen"/>
                <w:sz w:val="20"/>
                <w:szCs w:val="20"/>
                <w:lang w:val="hy-AM"/>
              </w:rPr>
              <w:t>արդի</w:t>
            </w:r>
            <w:r w:rsidRPr="0053423A">
              <w:rPr>
                <w:rFonts w:cs="Sylfaen"/>
                <w:sz w:val="20"/>
                <w:szCs w:val="20"/>
                <w:lang w:val="af-ZA"/>
              </w:rPr>
              <w:t xml:space="preserve"> </w:t>
            </w:r>
            <w:r w:rsidRPr="0053423A">
              <w:rPr>
                <w:rFonts w:cs="Sylfaen"/>
                <w:sz w:val="20"/>
                <w:szCs w:val="20"/>
                <w:lang w:val="hy-AM"/>
              </w:rPr>
              <w:t>համակարգերով</w:t>
            </w:r>
            <w:r w:rsidRPr="0053423A">
              <w:rPr>
                <w:rFonts w:cs="Sylfaen"/>
                <w:sz w:val="20"/>
                <w:szCs w:val="20"/>
                <w:lang w:val="af-ZA"/>
              </w:rPr>
              <w:t xml:space="preserve"> </w:t>
            </w:r>
            <w:r w:rsidRPr="0053423A">
              <w:rPr>
                <w:rFonts w:cs="Sylfaen"/>
                <w:sz w:val="20"/>
                <w:szCs w:val="20"/>
                <w:lang w:val="hy-AM"/>
              </w:rPr>
              <w:t>վերազինելու</w:t>
            </w:r>
            <w:r w:rsidRPr="0053423A">
              <w:rPr>
                <w:rFonts w:cs="Sylfaen"/>
                <w:sz w:val="20"/>
                <w:szCs w:val="20"/>
                <w:lang w:val="af-ZA"/>
              </w:rPr>
              <w:t xml:space="preserve"> </w:t>
            </w:r>
            <w:r w:rsidRPr="0053423A">
              <w:rPr>
                <w:rFonts w:cs="Sylfaen"/>
                <w:sz w:val="20"/>
                <w:szCs w:val="20"/>
                <w:lang w:val="hy-AM"/>
              </w:rPr>
              <w:t>ծրագրի</w:t>
            </w:r>
            <w:r w:rsidRPr="0053423A">
              <w:rPr>
                <w:rFonts w:cs="Sylfaen"/>
                <w:sz w:val="20"/>
                <w:szCs w:val="20"/>
                <w:lang w:val="af-ZA"/>
              </w:rPr>
              <w:t xml:space="preserve"> մշակման նպատակով </w:t>
            </w:r>
            <w:r w:rsidRPr="0053423A">
              <w:rPr>
                <w:rFonts w:cs="Sylfaen"/>
                <w:sz w:val="20"/>
                <w:szCs w:val="20"/>
                <w:lang w:val="hy-AM"/>
              </w:rPr>
              <w:t>ոռոգման</w:t>
            </w:r>
            <w:r w:rsidRPr="0053423A">
              <w:rPr>
                <w:rFonts w:cs="Sylfaen"/>
                <w:sz w:val="20"/>
                <w:szCs w:val="20"/>
                <w:lang w:val="af-ZA"/>
              </w:rPr>
              <w:t xml:space="preserve"> </w:t>
            </w:r>
            <w:r w:rsidRPr="0053423A">
              <w:rPr>
                <w:rFonts w:cs="Sylfaen"/>
                <w:sz w:val="20"/>
                <w:szCs w:val="20"/>
                <w:lang w:val="hy-AM"/>
              </w:rPr>
              <w:t>ջրամատակարարման</w:t>
            </w:r>
            <w:r w:rsidRPr="0053423A">
              <w:rPr>
                <w:rFonts w:cs="Sylfaen"/>
                <w:sz w:val="20"/>
                <w:szCs w:val="20"/>
                <w:lang w:val="af-ZA"/>
              </w:rPr>
              <w:t xml:space="preserve"> </w:t>
            </w:r>
            <w:r w:rsidRPr="0053423A">
              <w:rPr>
                <w:rFonts w:cs="Sylfaen"/>
                <w:sz w:val="20"/>
                <w:szCs w:val="20"/>
                <w:lang w:val="hy-AM"/>
              </w:rPr>
              <w:t>համակարգերում</w:t>
            </w:r>
            <w:r w:rsidRPr="0053423A">
              <w:rPr>
                <w:rFonts w:cs="Sylfaen"/>
                <w:sz w:val="20"/>
                <w:szCs w:val="20"/>
                <w:lang w:val="af-ZA"/>
              </w:rPr>
              <w:t xml:space="preserve"> </w:t>
            </w:r>
            <w:r w:rsidRPr="0053423A">
              <w:rPr>
                <w:rFonts w:cs="Sylfaen"/>
                <w:sz w:val="20"/>
                <w:szCs w:val="20"/>
                <w:lang w:val="hy-AM"/>
              </w:rPr>
              <w:t>անհրաժեշտ</w:t>
            </w:r>
            <w:r w:rsidRPr="0053423A">
              <w:rPr>
                <w:rFonts w:cs="Sylfaen"/>
                <w:sz w:val="20"/>
                <w:szCs w:val="20"/>
                <w:lang w:val="af-ZA"/>
              </w:rPr>
              <w:t xml:space="preserve"> </w:t>
            </w:r>
            <w:r w:rsidRPr="0053423A">
              <w:rPr>
                <w:rFonts w:cs="Sylfaen"/>
                <w:sz w:val="20"/>
                <w:szCs w:val="20"/>
                <w:lang w:val="hy-AM"/>
              </w:rPr>
              <w:t>է</w:t>
            </w:r>
            <w:r w:rsidRPr="0053423A">
              <w:rPr>
                <w:rFonts w:cs="Sylfaen"/>
                <w:sz w:val="20"/>
                <w:szCs w:val="20"/>
                <w:lang w:val="af-ZA"/>
              </w:rPr>
              <w:t xml:space="preserve"> գնահատել մեխանիկական ջրարտադրության սարքավորումների տեխնիկական վիճակը, </w:t>
            </w:r>
            <w:r w:rsidRPr="0053423A">
              <w:rPr>
                <w:rFonts w:cs="Sylfaen"/>
                <w:sz w:val="20"/>
                <w:szCs w:val="20"/>
                <w:lang w:val="hy-AM"/>
              </w:rPr>
              <w:t>ջրառի</w:t>
            </w:r>
            <w:r w:rsidRPr="0053423A">
              <w:rPr>
                <w:rFonts w:cs="Sylfaen"/>
                <w:sz w:val="20"/>
                <w:szCs w:val="20"/>
                <w:lang w:val="af-ZA"/>
              </w:rPr>
              <w:t xml:space="preserve"> </w:t>
            </w:r>
            <w:r w:rsidRPr="0053423A">
              <w:rPr>
                <w:rFonts w:cs="Sylfaen"/>
                <w:sz w:val="20"/>
                <w:szCs w:val="20"/>
                <w:lang w:val="hy-AM"/>
              </w:rPr>
              <w:t>կետերը</w:t>
            </w:r>
            <w:r w:rsidRPr="0053423A">
              <w:rPr>
                <w:rFonts w:cs="Sylfaen"/>
                <w:sz w:val="20"/>
                <w:szCs w:val="20"/>
                <w:lang w:val="af-ZA"/>
              </w:rPr>
              <w:t xml:space="preserve"> </w:t>
            </w:r>
            <w:r w:rsidRPr="0053423A">
              <w:rPr>
                <w:rFonts w:cs="Sylfaen"/>
                <w:sz w:val="20"/>
                <w:szCs w:val="20"/>
                <w:lang w:val="hy-AM"/>
              </w:rPr>
              <w:t>և</w:t>
            </w:r>
            <w:r w:rsidRPr="0053423A">
              <w:rPr>
                <w:rFonts w:cs="Sylfaen"/>
                <w:sz w:val="20"/>
                <w:szCs w:val="20"/>
                <w:lang w:val="af-ZA"/>
              </w:rPr>
              <w:t xml:space="preserve"> </w:t>
            </w:r>
            <w:r w:rsidRPr="0053423A">
              <w:rPr>
                <w:rFonts w:cs="Sylfaen"/>
                <w:sz w:val="20"/>
                <w:szCs w:val="20"/>
                <w:lang w:val="hy-AM"/>
              </w:rPr>
              <w:t>մայր</w:t>
            </w:r>
            <w:r w:rsidRPr="0053423A">
              <w:rPr>
                <w:rFonts w:cs="Sylfaen"/>
                <w:sz w:val="20"/>
                <w:szCs w:val="20"/>
                <w:lang w:val="af-ZA"/>
              </w:rPr>
              <w:t xml:space="preserve"> </w:t>
            </w:r>
            <w:r w:rsidRPr="0053423A">
              <w:rPr>
                <w:rFonts w:cs="Sylfaen"/>
                <w:sz w:val="20"/>
                <w:szCs w:val="20"/>
                <w:lang w:val="hy-AM"/>
              </w:rPr>
              <w:t>ջրատարներից</w:t>
            </w:r>
            <w:r w:rsidRPr="0053423A">
              <w:rPr>
                <w:rFonts w:cs="Sylfaen"/>
                <w:sz w:val="20"/>
                <w:szCs w:val="20"/>
                <w:lang w:val="af-ZA"/>
              </w:rPr>
              <w:t xml:space="preserve"> </w:t>
            </w:r>
            <w:r w:rsidRPr="0053423A">
              <w:rPr>
                <w:rFonts w:cs="Sylfaen"/>
                <w:sz w:val="20"/>
                <w:szCs w:val="20"/>
                <w:lang w:val="hy-AM"/>
              </w:rPr>
              <w:t>մինչև</w:t>
            </w:r>
            <w:r w:rsidRPr="0053423A">
              <w:rPr>
                <w:rFonts w:cs="Sylfaen"/>
                <w:sz w:val="20"/>
                <w:szCs w:val="20"/>
                <w:lang w:val="af-ZA"/>
              </w:rPr>
              <w:t xml:space="preserve"> </w:t>
            </w:r>
            <w:r w:rsidRPr="0053423A">
              <w:rPr>
                <w:rFonts w:cs="Sylfaen"/>
                <w:sz w:val="20"/>
                <w:szCs w:val="20"/>
                <w:lang w:val="hy-AM"/>
              </w:rPr>
              <w:t>ներտնտեսային</w:t>
            </w:r>
            <w:r w:rsidRPr="0053423A">
              <w:rPr>
                <w:rFonts w:cs="Sylfaen"/>
                <w:sz w:val="20"/>
                <w:szCs w:val="20"/>
                <w:lang w:val="af-ZA"/>
              </w:rPr>
              <w:t xml:space="preserve"> </w:t>
            </w:r>
            <w:r w:rsidRPr="0053423A">
              <w:rPr>
                <w:rFonts w:cs="Sylfaen"/>
                <w:sz w:val="20"/>
                <w:szCs w:val="20"/>
                <w:lang w:val="hy-AM"/>
              </w:rPr>
              <w:t>ցանցի</w:t>
            </w:r>
            <w:r w:rsidRPr="0053423A">
              <w:rPr>
                <w:rFonts w:cs="Sylfaen"/>
                <w:sz w:val="20"/>
                <w:szCs w:val="20"/>
                <w:lang w:val="af-ZA"/>
              </w:rPr>
              <w:t xml:space="preserve"> </w:t>
            </w:r>
            <w:r w:rsidRPr="0053423A">
              <w:rPr>
                <w:rFonts w:cs="Sylfaen"/>
                <w:sz w:val="20"/>
                <w:szCs w:val="20"/>
                <w:lang w:val="hy-AM"/>
              </w:rPr>
              <w:t>բաժանարար</w:t>
            </w:r>
            <w:r w:rsidRPr="0053423A">
              <w:rPr>
                <w:rFonts w:cs="Sylfaen"/>
                <w:sz w:val="20"/>
                <w:szCs w:val="20"/>
                <w:lang w:val="af-ZA"/>
              </w:rPr>
              <w:t xml:space="preserve"> </w:t>
            </w:r>
            <w:r w:rsidRPr="0053423A">
              <w:rPr>
                <w:rFonts w:cs="Sylfaen"/>
                <w:sz w:val="20"/>
                <w:szCs w:val="20"/>
                <w:lang w:val="hy-AM"/>
              </w:rPr>
              <w:t>հանգույցները</w:t>
            </w:r>
            <w:r w:rsidRPr="0053423A">
              <w:rPr>
                <w:rFonts w:cs="Sylfaen"/>
                <w:sz w:val="20"/>
                <w:szCs w:val="20"/>
                <w:lang w:val="af-ZA"/>
              </w:rPr>
              <w:t xml:space="preserve"> </w:t>
            </w:r>
            <w:r w:rsidRPr="0053423A">
              <w:rPr>
                <w:rFonts w:cs="Sylfaen"/>
                <w:sz w:val="20"/>
                <w:szCs w:val="20"/>
                <w:lang w:val="hy-AM"/>
              </w:rPr>
              <w:t>բերել</w:t>
            </w:r>
            <w:r w:rsidRPr="0053423A">
              <w:rPr>
                <w:rFonts w:cs="Sylfaen"/>
                <w:sz w:val="20"/>
                <w:szCs w:val="20"/>
                <w:lang w:val="af-ZA"/>
              </w:rPr>
              <w:t xml:space="preserve"> </w:t>
            </w:r>
            <w:r w:rsidRPr="0053423A">
              <w:rPr>
                <w:rFonts w:cs="Sylfaen"/>
                <w:sz w:val="20"/>
                <w:szCs w:val="20"/>
                <w:lang w:val="hy-AM"/>
              </w:rPr>
              <w:t>պատշաճ</w:t>
            </w:r>
            <w:r w:rsidRPr="0053423A">
              <w:rPr>
                <w:rFonts w:cs="Sylfaen"/>
                <w:sz w:val="20"/>
                <w:szCs w:val="20"/>
                <w:lang w:val="af-ZA"/>
              </w:rPr>
              <w:t xml:space="preserve"> </w:t>
            </w:r>
            <w:r w:rsidRPr="0053423A">
              <w:rPr>
                <w:rFonts w:cs="Sylfaen"/>
                <w:sz w:val="20"/>
                <w:szCs w:val="20"/>
                <w:lang w:val="hy-AM"/>
              </w:rPr>
              <w:t>վիճակի՝</w:t>
            </w:r>
            <w:r w:rsidRPr="0053423A">
              <w:rPr>
                <w:rFonts w:cs="Sylfaen"/>
                <w:sz w:val="20"/>
                <w:szCs w:val="20"/>
                <w:lang w:val="af-ZA"/>
              </w:rPr>
              <w:t xml:space="preserve"> </w:t>
            </w:r>
            <w:r w:rsidRPr="0053423A">
              <w:rPr>
                <w:rFonts w:cs="Sylfaen"/>
                <w:sz w:val="20"/>
                <w:szCs w:val="20"/>
                <w:lang w:val="hy-AM"/>
              </w:rPr>
              <w:t>կարգաբերելով</w:t>
            </w:r>
            <w:r w:rsidRPr="0053423A">
              <w:rPr>
                <w:rFonts w:cs="Sylfaen"/>
                <w:sz w:val="20"/>
                <w:szCs w:val="20"/>
                <w:lang w:val="af-ZA"/>
              </w:rPr>
              <w:t xml:space="preserve"> </w:t>
            </w:r>
            <w:r w:rsidRPr="0053423A">
              <w:rPr>
                <w:rFonts w:cs="Sylfaen"/>
                <w:sz w:val="20"/>
                <w:szCs w:val="20"/>
                <w:lang w:val="hy-AM"/>
              </w:rPr>
              <w:t>և</w:t>
            </w:r>
            <w:r w:rsidRPr="0053423A">
              <w:rPr>
                <w:rFonts w:cs="Sylfaen"/>
                <w:sz w:val="20"/>
                <w:szCs w:val="20"/>
                <w:lang w:val="af-ZA"/>
              </w:rPr>
              <w:t xml:space="preserve"> </w:t>
            </w:r>
            <w:r w:rsidRPr="0053423A">
              <w:rPr>
                <w:rFonts w:cs="Sylfaen"/>
                <w:sz w:val="20"/>
                <w:szCs w:val="20"/>
                <w:lang w:val="hy-AM"/>
              </w:rPr>
              <w:t>հագեցնելով</w:t>
            </w:r>
            <w:r w:rsidRPr="0053423A">
              <w:rPr>
                <w:rFonts w:cs="Sylfaen"/>
                <w:sz w:val="20"/>
                <w:szCs w:val="20"/>
                <w:lang w:val="af-ZA"/>
              </w:rPr>
              <w:t xml:space="preserve"> </w:t>
            </w:r>
            <w:r w:rsidRPr="0053423A">
              <w:rPr>
                <w:rFonts w:cs="Sylfaen"/>
                <w:sz w:val="20"/>
                <w:szCs w:val="20"/>
                <w:lang w:val="hy-AM"/>
              </w:rPr>
              <w:t>դրանք</w:t>
            </w:r>
            <w:r w:rsidRPr="0053423A">
              <w:rPr>
                <w:rFonts w:cs="Sylfaen"/>
                <w:sz w:val="20"/>
                <w:szCs w:val="20"/>
                <w:lang w:val="af-ZA"/>
              </w:rPr>
              <w:t xml:space="preserve"> </w:t>
            </w:r>
            <w:r w:rsidRPr="0053423A">
              <w:rPr>
                <w:rFonts w:cs="Sylfaen"/>
                <w:sz w:val="20"/>
                <w:szCs w:val="20"/>
                <w:lang w:val="hy-AM"/>
              </w:rPr>
              <w:t>ժամանակակից</w:t>
            </w:r>
            <w:r w:rsidRPr="0053423A">
              <w:rPr>
                <w:rFonts w:cs="Sylfaen"/>
                <w:sz w:val="20"/>
                <w:szCs w:val="20"/>
                <w:lang w:val="af-ZA"/>
              </w:rPr>
              <w:t xml:space="preserve"> </w:t>
            </w:r>
            <w:r w:rsidRPr="0053423A">
              <w:rPr>
                <w:rFonts w:cs="Sylfaen"/>
                <w:sz w:val="20"/>
                <w:szCs w:val="20"/>
                <w:lang w:val="hy-AM"/>
              </w:rPr>
              <w:t>ջրաչափական</w:t>
            </w:r>
            <w:r w:rsidRPr="0053423A">
              <w:rPr>
                <w:rFonts w:cs="Sylfaen"/>
                <w:sz w:val="20"/>
                <w:szCs w:val="20"/>
                <w:lang w:val="af-ZA"/>
              </w:rPr>
              <w:t xml:space="preserve"> </w:t>
            </w:r>
            <w:r w:rsidRPr="0053423A">
              <w:rPr>
                <w:rFonts w:cs="Sylfaen"/>
                <w:sz w:val="20"/>
                <w:szCs w:val="20"/>
                <w:lang w:val="hy-AM"/>
              </w:rPr>
              <w:t>սարքերով</w:t>
            </w:r>
            <w:r w:rsidRPr="0053423A">
              <w:rPr>
                <w:rFonts w:cs="Sylfaen"/>
                <w:sz w:val="20"/>
                <w:szCs w:val="20"/>
                <w:lang w:val="af-ZA"/>
              </w:rPr>
              <w:t>:</w:t>
            </w:r>
            <w:r w:rsidRPr="0053423A">
              <w:rPr>
                <w:color w:val="000000"/>
                <w:sz w:val="20"/>
                <w:szCs w:val="20"/>
                <w:lang w:val="af-ZA"/>
              </w:rPr>
              <w:t xml:space="preserve">  </w:t>
            </w:r>
          </w:p>
          <w:p w:rsidR="0084615D" w:rsidRPr="0053423A" w:rsidRDefault="00795500" w:rsidP="001F6D5D">
            <w:pPr>
              <w:pStyle w:val="ListParagraph"/>
              <w:numPr>
                <w:ilvl w:val="1"/>
                <w:numId w:val="278"/>
              </w:numPr>
              <w:tabs>
                <w:tab w:val="clear" w:pos="1455"/>
                <w:tab w:val="left" w:pos="900"/>
                <w:tab w:val="num" w:pos="993"/>
                <w:tab w:val="left" w:pos="1170"/>
              </w:tabs>
              <w:spacing w:after="0" w:line="276" w:lineRule="auto"/>
              <w:ind w:hanging="746"/>
              <w:rPr>
                <w:rFonts w:eastAsia="Times New Roman"/>
                <w:b/>
                <w:sz w:val="20"/>
                <w:szCs w:val="20"/>
                <w:lang w:val="af-ZA"/>
              </w:rPr>
            </w:pPr>
            <w:r w:rsidRPr="0053423A">
              <w:rPr>
                <w:rFonts w:eastAsia="Times New Roman"/>
                <w:b/>
                <w:sz w:val="20"/>
                <w:szCs w:val="20"/>
              </w:rPr>
              <w:t>Կ</w:t>
            </w:r>
            <w:r w:rsidR="0084615D" w:rsidRPr="0053423A">
              <w:rPr>
                <w:rFonts w:eastAsia="Times New Roman"/>
                <w:b/>
                <w:sz w:val="20"/>
                <w:szCs w:val="20"/>
              </w:rPr>
              <w:t>արգավորման</w:t>
            </w:r>
            <w:r w:rsidR="0084615D" w:rsidRPr="0053423A">
              <w:rPr>
                <w:rFonts w:eastAsia="Times New Roman"/>
                <w:b/>
                <w:sz w:val="20"/>
                <w:szCs w:val="20"/>
                <w:lang w:val="af-ZA"/>
              </w:rPr>
              <w:t xml:space="preserve"> </w:t>
            </w:r>
            <w:r w:rsidR="0084615D" w:rsidRPr="0053423A">
              <w:rPr>
                <w:rFonts w:eastAsia="Times New Roman"/>
                <w:b/>
                <w:sz w:val="20"/>
                <w:szCs w:val="20"/>
              </w:rPr>
              <w:t>հարաբերությունների</w:t>
            </w:r>
            <w:r w:rsidR="0084615D" w:rsidRPr="0053423A">
              <w:rPr>
                <w:rFonts w:eastAsia="Times New Roman"/>
                <w:b/>
                <w:sz w:val="20"/>
                <w:szCs w:val="20"/>
                <w:lang w:val="af-ZA"/>
              </w:rPr>
              <w:t xml:space="preserve"> </w:t>
            </w:r>
            <w:r w:rsidR="0084615D" w:rsidRPr="0053423A">
              <w:rPr>
                <w:rFonts w:eastAsia="Times New Roman"/>
                <w:b/>
                <w:sz w:val="20"/>
                <w:szCs w:val="20"/>
              </w:rPr>
              <w:t>ներկա</w:t>
            </w:r>
            <w:r w:rsidR="0084615D" w:rsidRPr="0053423A">
              <w:rPr>
                <w:rFonts w:eastAsia="Times New Roman"/>
                <w:b/>
                <w:sz w:val="20"/>
                <w:szCs w:val="20"/>
                <w:lang w:val="af-ZA"/>
              </w:rPr>
              <w:t xml:space="preserve"> </w:t>
            </w:r>
            <w:r w:rsidR="0084615D" w:rsidRPr="0053423A">
              <w:rPr>
                <w:rFonts w:eastAsia="Times New Roman"/>
                <w:b/>
                <w:sz w:val="20"/>
                <w:szCs w:val="20"/>
              </w:rPr>
              <w:t>վիճակը</w:t>
            </w:r>
            <w:r w:rsidR="0084615D" w:rsidRPr="0053423A">
              <w:rPr>
                <w:rFonts w:eastAsia="Times New Roman"/>
                <w:b/>
                <w:sz w:val="20"/>
                <w:szCs w:val="20"/>
                <w:lang w:val="af-ZA"/>
              </w:rPr>
              <w:t xml:space="preserve"> </w:t>
            </w:r>
            <w:r w:rsidR="0084615D" w:rsidRPr="0053423A">
              <w:rPr>
                <w:rFonts w:eastAsia="Times New Roman"/>
                <w:b/>
                <w:sz w:val="20"/>
                <w:szCs w:val="20"/>
              </w:rPr>
              <w:t>և</w:t>
            </w:r>
            <w:r w:rsidR="0084615D" w:rsidRPr="0053423A">
              <w:rPr>
                <w:rFonts w:eastAsia="Times New Roman"/>
                <w:b/>
                <w:sz w:val="20"/>
                <w:szCs w:val="20"/>
                <w:lang w:val="af-ZA"/>
              </w:rPr>
              <w:t xml:space="preserve"> </w:t>
            </w:r>
            <w:r w:rsidR="0084615D" w:rsidRPr="0053423A">
              <w:rPr>
                <w:rFonts w:eastAsia="Times New Roman"/>
                <w:b/>
                <w:sz w:val="20"/>
                <w:szCs w:val="20"/>
              </w:rPr>
              <w:t>առկա</w:t>
            </w:r>
            <w:r w:rsidR="0084615D" w:rsidRPr="0053423A">
              <w:rPr>
                <w:rFonts w:eastAsia="Times New Roman"/>
                <w:b/>
                <w:sz w:val="20"/>
                <w:szCs w:val="20"/>
                <w:lang w:val="af-ZA"/>
              </w:rPr>
              <w:t xml:space="preserve"> </w:t>
            </w:r>
            <w:r w:rsidR="0084615D" w:rsidRPr="0053423A">
              <w:rPr>
                <w:rFonts w:eastAsia="Times New Roman"/>
                <w:b/>
                <w:sz w:val="20"/>
                <w:szCs w:val="20"/>
              </w:rPr>
              <w:t>խնդիրները</w:t>
            </w:r>
          </w:p>
          <w:p w:rsidR="0084615D" w:rsidRPr="0053423A" w:rsidRDefault="0084615D" w:rsidP="00A67858">
            <w:pPr>
              <w:spacing w:after="0" w:line="276" w:lineRule="auto"/>
              <w:jc w:val="both"/>
              <w:rPr>
                <w:sz w:val="20"/>
                <w:szCs w:val="20"/>
                <w:lang w:val="af-ZA"/>
              </w:rPr>
            </w:pPr>
            <w:r w:rsidRPr="0053423A">
              <w:rPr>
                <w:sz w:val="20"/>
                <w:szCs w:val="20"/>
                <w:lang w:val="af-ZA"/>
              </w:rPr>
              <w:t>Համաշխարհային բանկի աջակցությամբ ոռոգման համակարգերի ջրաբաշխման հանգուցային կետերում տեղադրվել է թվով 83 SCADA համակարգի ջրաչափեր, որը թույլ է տալիս օպերատիվ կերպով, այդ թվում նաև առցանց այդ համակարգերում ջրամատակարարման վերաբերյալ ստանալ տվյալներ:</w:t>
            </w:r>
          </w:p>
          <w:p w:rsidR="0084615D" w:rsidRPr="0053423A" w:rsidRDefault="0084615D" w:rsidP="00A67858">
            <w:pPr>
              <w:pStyle w:val="ListParagraph"/>
              <w:tabs>
                <w:tab w:val="left" w:pos="900"/>
              </w:tabs>
              <w:spacing w:after="0" w:line="276" w:lineRule="auto"/>
              <w:ind w:left="0" w:firstLine="720"/>
              <w:rPr>
                <w:rFonts w:eastAsia="Times New Roman"/>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00795500" w:rsidRPr="0053423A">
              <w:rPr>
                <w:rFonts w:eastAsia="Times New Roman"/>
                <w:b/>
                <w:sz w:val="20"/>
                <w:szCs w:val="20"/>
                <w:lang w:val="af-ZA"/>
              </w:rPr>
              <w:t xml:space="preserve"> Ա</w:t>
            </w:r>
            <w:r w:rsidRPr="0053423A">
              <w:rPr>
                <w:rFonts w:eastAsia="Times New Roman"/>
                <w:b/>
                <w:sz w:val="20"/>
                <w:szCs w:val="20"/>
                <w:lang w:val="af-ZA"/>
              </w:rPr>
              <w:t xml:space="preserve">ռկա խնդիրների առաջարկվող լուծումները </w:t>
            </w:r>
          </w:p>
          <w:p w:rsidR="0084615D" w:rsidRPr="0053423A" w:rsidRDefault="0084615D" w:rsidP="00A67858">
            <w:pPr>
              <w:pStyle w:val="ListParagraph"/>
              <w:tabs>
                <w:tab w:val="left" w:pos="709"/>
              </w:tabs>
              <w:spacing w:after="0" w:line="276" w:lineRule="auto"/>
              <w:ind w:left="0"/>
              <w:jc w:val="both"/>
              <w:rPr>
                <w:sz w:val="20"/>
                <w:szCs w:val="20"/>
                <w:lang w:val="af-ZA"/>
              </w:rPr>
            </w:pPr>
            <w:r w:rsidRPr="0053423A">
              <w:rPr>
                <w:sz w:val="20"/>
                <w:szCs w:val="20"/>
                <w:lang w:val="af-ZA"/>
              </w:rPr>
              <w:t>Ոռոգման ոլորտում ներդրված հստակ հաշվառման համակարգի շնորհիվ հնարավոր կլինի բարձրացնել ոռոգման գործընթացի արդյունավետությունը, կորուստների ցուցանիշի վերահսկումը, ավելի օպերատիվ արձագանքել համակարգում վթարների վերացմանը, իրականացնել ոռոգման ջրի ավելի օպտիմալ բաշխում, էլ. էներգիայի ծախսի վերաբերյալ առցանց տեղեկատվություն ստանալու արդյունքում հնարավոր կլինի զգալիորեն նվազեցնել տարատեսակ ռիսկերը, ինչը նաև կբերի սպասարկման և այլ ընթացիկ ծախսերի նվազեցմանը, հնարավորություն կստեղծվի ջրի կառավարման GIS ծրագրում կիրառել ոռոգման ջրի և էլ. էներգիայի ծախսի հաշվառման առցանց համակարգերը, որոնցից ստացվող տվյալները կօգտագործվեն ծրագրում առկա հաշվետվություններում, մեխանիկական ջրարտադրության գործընթացն կդառնա ավելի վերահսկելի և ավելի կազմակերպված շնորհիվ առցանց ստացվող էլ. էներգիայի ծախսի վերաբերյալ տեղեկատվությունից կազմված վերլուծություններից:</w:t>
            </w:r>
          </w:p>
          <w:p w:rsidR="0084615D" w:rsidRPr="0053423A" w:rsidRDefault="0084615D" w:rsidP="00A67858">
            <w:pPr>
              <w:spacing w:after="0" w:line="276" w:lineRule="auto"/>
              <w:ind w:firstLine="709"/>
              <w:jc w:val="both"/>
              <w:rPr>
                <w:rFonts w:eastAsia="Times New Roman"/>
                <w:b/>
                <w:sz w:val="20"/>
                <w:szCs w:val="20"/>
                <w:lang w:val="af-ZA"/>
              </w:rPr>
            </w:pPr>
            <w:r w:rsidRPr="0053423A">
              <w:rPr>
                <w:rFonts w:eastAsia="Times New Roman" w:cs="Courier New"/>
                <w:b/>
                <w:sz w:val="20"/>
                <w:szCs w:val="20"/>
                <w:lang w:val="af-ZA"/>
              </w:rPr>
              <w:t>2.</w:t>
            </w:r>
            <w:r w:rsidRPr="0053423A">
              <w:rPr>
                <w:rFonts w:ascii="Calibri" w:eastAsia="Times New Roman" w:hAnsi="Calibri" w:cs="Calibri"/>
                <w:b/>
                <w:sz w:val="20"/>
                <w:szCs w:val="20"/>
                <w:lang w:val="af-ZA"/>
              </w:rPr>
              <w:t> </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իրակացումից</w:t>
            </w:r>
            <w:r w:rsidRPr="0053423A">
              <w:rPr>
                <w:rFonts w:eastAsia="Times New Roman"/>
                <w:b/>
                <w:sz w:val="20"/>
                <w:szCs w:val="20"/>
                <w:lang w:val="af-ZA"/>
              </w:rPr>
              <w:t xml:space="preserve"> </w:t>
            </w:r>
            <w:r w:rsidRPr="0053423A">
              <w:rPr>
                <w:rFonts w:eastAsia="Times New Roman"/>
                <w:b/>
                <w:sz w:val="20"/>
                <w:szCs w:val="20"/>
              </w:rPr>
              <w:t>ակնկալվող</w:t>
            </w:r>
            <w:r w:rsidRPr="0053423A">
              <w:rPr>
                <w:rFonts w:eastAsia="Times New Roman"/>
                <w:b/>
                <w:sz w:val="20"/>
                <w:szCs w:val="20"/>
                <w:lang w:val="af-ZA"/>
              </w:rPr>
              <w:t xml:space="preserve"> </w:t>
            </w:r>
            <w:r w:rsidRPr="0053423A">
              <w:rPr>
                <w:rFonts w:eastAsia="Times New Roman"/>
                <w:b/>
                <w:sz w:val="20"/>
                <w:szCs w:val="20"/>
              </w:rPr>
              <w:t>արդյունքը</w:t>
            </w:r>
          </w:p>
          <w:p w:rsidR="0084615D" w:rsidRPr="0053423A" w:rsidRDefault="0084615D" w:rsidP="00A67858">
            <w:pPr>
              <w:tabs>
                <w:tab w:val="left" w:pos="1134"/>
              </w:tabs>
              <w:spacing w:after="0" w:line="276" w:lineRule="auto"/>
              <w:jc w:val="both"/>
              <w:rPr>
                <w:b/>
                <w:color w:val="000000"/>
                <w:sz w:val="20"/>
                <w:szCs w:val="20"/>
                <w:lang w:val="fr-FR"/>
              </w:rPr>
            </w:pPr>
            <w:r w:rsidRPr="0053423A">
              <w:rPr>
                <w:sz w:val="20"/>
                <w:szCs w:val="20"/>
              </w:rPr>
              <w:t>Հաշվառվող</w:t>
            </w:r>
            <w:r w:rsidRPr="0053423A">
              <w:rPr>
                <w:sz w:val="20"/>
                <w:szCs w:val="20"/>
                <w:lang w:val="fr-FR"/>
              </w:rPr>
              <w:t xml:space="preserve"> </w:t>
            </w:r>
            <w:r w:rsidRPr="0053423A">
              <w:rPr>
                <w:sz w:val="20"/>
                <w:szCs w:val="20"/>
              </w:rPr>
              <w:t>ոռոգման</w:t>
            </w:r>
            <w:r w:rsidRPr="0053423A">
              <w:rPr>
                <w:sz w:val="20"/>
                <w:szCs w:val="20"/>
                <w:lang w:val="fr-FR"/>
              </w:rPr>
              <w:t xml:space="preserve"> </w:t>
            </w:r>
            <w:r w:rsidRPr="0053423A">
              <w:rPr>
                <w:sz w:val="20"/>
                <w:szCs w:val="20"/>
              </w:rPr>
              <w:t>ջրի</w:t>
            </w:r>
            <w:r w:rsidRPr="0053423A">
              <w:rPr>
                <w:sz w:val="20"/>
                <w:szCs w:val="20"/>
                <w:lang w:val="fr-FR"/>
              </w:rPr>
              <w:t xml:space="preserve"> </w:t>
            </w:r>
            <w:r w:rsidRPr="0053423A">
              <w:rPr>
                <w:sz w:val="20"/>
                <w:szCs w:val="20"/>
              </w:rPr>
              <w:t>ծավալների</w:t>
            </w:r>
            <w:r w:rsidRPr="0053423A">
              <w:rPr>
                <w:sz w:val="20"/>
                <w:szCs w:val="20"/>
                <w:lang w:val="fr-FR"/>
              </w:rPr>
              <w:t xml:space="preserve"> </w:t>
            </w:r>
            <w:r w:rsidRPr="0053423A">
              <w:rPr>
                <w:sz w:val="20"/>
                <w:szCs w:val="20"/>
              </w:rPr>
              <w:t>և</w:t>
            </w:r>
            <w:r w:rsidRPr="0053423A">
              <w:rPr>
                <w:sz w:val="20"/>
                <w:szCs w:val="20"/>
                <w:lang w:val="fr-FR"/>
              </w:rPr>
              <w:t xml:space="preserve"> </w:t>
            </w:r>
            <w:r w:rsidRPr="0053423A">
              <w:rPr>
                <w:sz w:val="20"/>
                <w:szCs w:val="20"/>
              </w:rPr>
              <w:t>հասույթների</w:t>
            </w:r>
            <w:r w:rsidRPr="0053423A">
              <w:rPr>
                <w:sz w:val="20"/>
                <w:szCs w:val="20"/>
                <w:lang w:val="fr-FR"/>
              </w:rPr>
              <w:t xml:space="preserve"> </w:t>
            </w:r>
            <w:r w:rsidRPr="0053423A">
              <w:rPr>
                <w:sz w:val="20"/>
                <w:szCs w:val="20"/>
              </w:rPr>
              <w:t>մեծացում</w:t>
            </w:r>
            <w:r w:rsidRPr="0053423A">
              <w:rPr>
                <w:sz w:val="20"/>
                <w:szCs w:val="20"/>
                <w:lang w:val="fr-FR"/>
              </w:rPr>
              <w:t xml:space="preserve">, </w:t>
            </w:r>
            <w:r w:rsidRPr="0053423A">
              <w:rPr>
                <w:sz w:val="20"/>
                <w:szCs w:val="20"/>
              </w:rPr>
              <w:t>գանձման</w:t>
            </w:r>
            <w:r w:rsidRPr="0053423A">
              <w:rPr>
                <w:sz w:val="20"/>
                <w:szCs w:val="20"/>
                <w:lang w:val="fr-FR"/>
              </w:rPr>
              <w:t xml:space="preserve"> </w:t>
            </w:r>
            <w:r w:rsidRPr="0053423A">
              <w:rPr>
                <w:sz w:val="20"/>
                <w:szCs w:val="20"/>
              </w:rPr>
              <w:t>տոկոսի</w:t>
            </w:r>
            <w:r w:rsidRPr="0053423A">
              <w:rPr>
                <w:sz w:val="20"/>
                <w:szCs w:val="20"/>
                <w:lang w:val="fr-FR"/>
              </w:rPr>
              <w:t xml:space="preserve"> </w:t>
            </w:r>
            <w:r w:rsidRPr="0053423A">
              <w:rPr>
                <w:sz w:val="20"/>
                <w:szCs w:val="20"/>
              </w:rPr>
              <w:t>բարձրացում</w:t>
            </w:r>
            <w:r w:rsidRPr="0053423A">
              <w:rPr>
                <w:sz w:val="20"/>
                <w:szCs w:val="20"/>
                <w:lang w:val="fr-FR"/>
              </w:rPr>
              <w:t xml:space="preserve">, </w:t>
            </w:r>
            <w:r w:rsidRPr="0053423A">
              <w:rPr>
                <w:sz w:val="20"/>
                <w:szCs w:val="20"/>
              </w:rPr>
              <w:t>սուբսիդիայի</w:t>
            </w:r>
            <w:r w:rsidRPr="0053423A">
              <w:rPr>
                <w:sz w:val="20"/>
                <w:szCs w:val="20"/>
                <w:lang w:val="fr-FR"/>
              </w:rPr>
              <w:t xml:space="preserve"> </w:t>
            </w:r>
            <w:r w:rsidRPr="0053423A">
              <w:rPr>
                <w:sz w:val="20"/>
                <w:szCs w:val="20"/>
              </w:rPr>
              <w:t>պակասեցում</w:t>
            </w:r>
            <w:r w:rsidRPr="0053423A">
              <w:rPr>
                <w:sz w:val="20"/>
                <w:szCs w:val="20"/>
                <w:lang w:val="fr-FR"/>
              </w:rPr>
              <w:t xml:space="preserve">, </w:t>
            </w:r>
            <w:r w:rsidRPr="0053423A">
              <w:rPr>
                <w:sz w:val="20"/>
                <w:szCs w:val="20"/>
              </w:rPr>
              <w:t>ՋՕԸ</w:t>
            </w:r>
            <w:r w:rsidRPr="0053423A">
              <w:rPr>
                <w:sz w:val="20"/>
                <w:szCs w:val="20"/>
                <w:lang w:val="fr-FR"/>
              </w:rPr>
              <w:t>-</w:t>
            </w:r>
            <w:r w:rsidRPr="0053423A">
              <w:rPr>
                <w:sz w:val="20"/>
                <w:szCs w:val="20"/>
              </w:rPr>
              <w:t>երի</w:t>
            </w:r>
            <w:r w:rsidRPr="0053423A">
              <w:rPr>
                <w:sz w:val="20"/>
                <w:szCs w:val="20"/>
                <w:lang w:val="fr-FR"/>
              </w:rPr>
              <w:t xml:space="preserve"> </w:t>
            </w:r>
            <w:r w:rsidRPr="0053423A">
              <w:rPr>
                <w:sz w:val="20"/>
                <w:szCs w:val="20"/>
              </w:rPr>
              <w:t>նկատմամբ</w:t>
            </w:r>
            <w:r w:rsidRPr="0053423A">
              <w:rPr>
                <w:sz w:val="20"/>
                <w:szCs w:val="20"/>
                <w:lang w:val="fr-FR"/>
              </w:rPr>
              <w:t xml:space="preserve"> </w:t>
            </w:r>
            <w:r w:rsidRPr="0053423A">
              <w:rPr>
                <w:sz w:val="20"/>
                <w:szCs w:val="20"/>
              </w:rPr>
              <w:t>վերահսկելիության</w:t>
            </w:r>
            <w:r w:rsidRPr="0053423A">
              <w:rPr>
                <w:sz w:val="20"/>
                <w:szCs w:val="20"/>
                <w:lang w:val="fr-FR"/>
              </w:rPr>
              <w:t xml:space="preserve"> </w:t>
            </w:r>
            <w:r w:rsidRPr="0053423A">
              <w:rPr>
                <w:sz w:val="20"/>
                <w:szCs w:val="20"/>
              </w:rPr>
              <w:t>մեծացում</w:t>
            </w:r>
            <w:r w:rsidRPr="0053423A">
              <w:rPr>
                <w:sz w:val="20"/>
                <w:szCs w:val="20"/>
                <w:lang w:val="fr-FR"/>
              </w:rPr>
              <w:t xml:space="preserve">, </w:t>
            </w:r>
            <w:r w:rsidRPr="0053423A">
              <w:rPr>
                <w:sz w:val="20"/>
                <w:szCs w:val="20"/>
              </w:rPr>
              <w:t>կոռուպցիոն</w:t>
            </w:r>
            <w:r w:rsidRPr="0053423A">
              <w:rPr>
                <w:sz w:val="20"/>
                <w:szCs w:val="20"/>
                <w:lang w:val="fr-FR"/>
              </w:rPr>
              <w:t xml:space="preserve"> </w:t>
            </w:r>
            <w:r w:rsidRPr="0053423A">
              <w:rPr>
                <w:sz w:val="20"/>
                <w:szCs w:val="20"/>
              </w:rPr>
              <w:t>ռիսկերի</w:t>
            </w:r>
            <w:r w:rsidRPr="0053423A">
              <w:rPr>
                <w:sz w:val="20"/>
                <w:szCs w:val="20"/>
                <w:lang w:val="fr-FR"/>
              </w:rPr>
              <w:t xml:space="preserve"> </w:t>
            </w:r>
            <w:r w:rsidRPr="0053423A">
              <w:rPr>
                <w:sz w:val="20"/>
                <w:szCs w:val="20"/>
              </w:rPr>
              <w:t>նվազեցում</w:t>
            </w:r>
            <w:r w:rsidRPr="0053423A">
              <w:rPr>
                <w:sz w:val="20"/>
                <w:szCs w:val="20"/>
                <w:lang w:val="fr-FR"/>
              </w:rPr>
              <w:t xml:space="preserve">, </w:t>
            </w:r>
            <w:r w:rsidRPr="0053423A">
              <w:rPr>
                <w:sz w:val="20"/>
                <w:szCs w:val="20"/>
              </w:rPr>
              <w:t>ջրօգտագործողների</w:t>
            </w:r>
            <w:r w:rsidRPr="0053423A">
              <w:rPr>
                <w:sz w:val="20"/>
                <w:szCs w:val="20"/>
                <w:lang w:val="fr-FR"/>
              </w:rPr>
              <w:t xml:space="preserve"> </w:t>
            </w:r>
            <w:r w:rsidRPr="0053423A">
              <w:rPr>
                <w:sz w:val="20"/>
                <w:szCs w:val="20"/>
              </w:rPr>
              <w:t>ընկերություններում</w:t>
            </w:r>
            <w:r w:rsidRPr="0053423A">
              <w:rPr>
                <w:sz w:val="20"/>
                <w:szCs w:val="20"/>
                <w:lang w:val="fr-FR"/>
              </w:rPr>
              <w:t xml:space="preserve"> </w:t>
            </w:r>
            <w:r w:rsidRPr="0053423A">
              <w:rPr>
                <w:sz w:val="20"/>
                <w:szCs w:val="20"/>
              </w:rPr>
              <w:t>ֆինանսական</w:t>
            </w:r>
            <w:r w:rsidRPr="0053423A">
              <w:rPr>
                <w:sz w:val="20"/>
                <w:szCs w:val="20"/>
                <w:lang w:val="fr-FR"/>
              </w:rPr>
              <w:t xml:space="preserve"> </w:t>
            </w:r>
            <w:r w:rsidRPr="0053423A">
              <w:rPr>
                <w:sz w:val="20"/>
                <w:szCs w:val="20"/>
              </w:rPr>
              <w:t>կայունության</w:t>
            </w:r>
            <w:r w:rsidRPr="0053423A">
              <w:rPr>
                <w:sz w:val="20"/>
                <w:szCs w:val="20"/>
                <w:lang w:val="fr-FR"/>
              </w:rPr>
              <w:t xml:space="preserve"> </w:t>
            </w:r>
            <w:r w:rsidRPr="0053423A">
              <w:rPr>
                <w:sz w:val="20"/>
                <w:szCs w:val="20"/>
              </w:rPr>
              <w:t>ապահովում</w:t>
            </w:r>
            <w:r w:rsidRPr="0053423A">
              <w:rPr>
                <w:sz w:val="20"/>
                <w:szCs w:val="20"/>
                <w:lang w:val="fr-FR"/>
              </w:rPr>
              <w:t xml:space="preserve">, </w:t>
            </w:r>
            <w:r w:rsidRPr="0053423A">
              <w:rPr>
                <w:sz w:val="20"/>
                <w:szCs w:val="20"/>
              </w:rPr>
              <w:t>վերջիններիս</w:t>
            </w:r>
            <w:r w:rsidRPr="0053423A">
              <w:rPr>
                <w:sz w:val="20"/>
                <w:szCs w:val="20"/>
                <w:lang w:val="fr-FR"/>
              </w:rPr>
              <w:t xml:space="preserve"> </w:t>
            </w:r>
            <w:r w:rsidRPr="0053423A">
              <w:rPr>
                <w:sz w:val="20"/>
                <w:szCs w:val="20"/>
              </w:rPr>
              <w:t>նկատմամբ</w:t>
            </w:r>
            <w:r w:rsidRPr="0053423A">
              <w:rPr>
                <w:sz w:val="20"/>
                <w:szCs w:val="20"/>
                <w:lang w:val="fr-FR"/>
              </w:rPr>
              <w:t xml:space="preserve"> </w:t>
            </w:r>
            <w:r w:rsidRPr="0053423A">
              <w:rPr>
                <w:sz w:val="20"/>
                <w:szCs w:val="20"/>
              </w:rPr>
              <w:t>վստահության</w:t>
            </w:r>
            <w:r w:rsidRPr="0053423A">
              <w:rPr>
                <w:sz w:val="20"/>
                <w:szCs w:val="20"/>
                <w:lang w:val="fr-FR"/>
              </w:rPr>
              <w:t xml:space="preserve"> </w:t>
            </w:r>
            <w:r w:rsidRPr="0053423A">
              <w:rPr>
                <w:sz w:val="20"/>
                <w:szCs w:val="20"/>
              </w:rPr>
              <w:t>բարձրացում</w:t>
            </w:r>
            <w:r w:rsidRPr="0053423A">
              <w:rPr>
                <w:sz w:val="20"/>
                <w:szCs w:val="20"/>
                <w:lang w:val="fr-FR"/>
              </w:rPr>
              <w:t xml:space="preserve"> </w:t>
            </w:r>
            <w:r w:rsidRPr="0053423A">
              <w:rPr>
                <w:sz w:val="20"/>
                <w:szCs w:val="20"/>
              </w:rPr>
              <w:t>և</w:t>
            </w:r>
            <w:r w:rsidRPr="0053423A">
              <w:rPr>
                <w:sz w:val="20"/>
                <w:szCs w:val="20"/>
                <w:lang w:val="fr-FR"/>
              </w:rPr>
              <w:t xml:space="preserve"> </w:t>
            </w:r>
            <w:r w:rsidRPr="0053423A">
              <w:rPr>
                <w:sz w:val="20"/>
                <w:szCs w:val="20"/>
              </w:rPr>
              <w:t>ոռոգման</w:t>
            </w:r>
            <w:r w:rsidRPr="0053423A">
              <w:rPr>
                <w:sz w:val="20"/>
                <w:szCs w:val="20"/>
                <w:lang w:val="fr-FR"/>
              </w:rPr>
              <w:t xml:space="preserve"> </w:t>
            </w:r>
            <w:r w:rsidRPr="0053423A">
              <w:rPr>
                <w:sz w:val="20"/>
                <w:szCs w:val="20"/>
              </w:rPr>
              <w:t>ջրի</w:t>
            </w:r>
            <w:r w:rsidRPr="0053423A">
              <w:rPr>
                <w:sz w:val="20"/>
                <w:szCs w:val="20"/>
                <w:lang w:val="fr-FR"/>
              </w:rPr>
              <w:t xml:space="preserve"> </w:t>
            </w:r>
            <w:r w:rsidRPr="0053423A">
              <w:rPr>
                <w:sz w:val="20"/>
                <w:szCs w:val="20"/>
              </w:rPr>
              <w:t>մատակարարման</w:t>
            </w:r>
            <w:r w:rsidRPr="0053423A">
              <w:rPr>
                <w:sz w:val="20"/>
                <w:szCs w:val="20"/>
                <w:lang w:val="fr-FR"/>
              </w:rPr>
              <w:t xml:space="preserve"> </w:t>
            </w:r>
            <w:r w:rsidRPr="0053423A">
              <w:rPr>
                <w:sz w:val="20"/>
                <w:szCs w:val="20"/>
              </w:rPr>
              <w:t>բարելավում</w:t>
            </w:r>
            <w:r w:rsidRPr="0053423A">
              <w:rPr>
                <w:sz w:val="20"/>
                <w:szCs w:val="20"/>
                <w:lang w:val="fr-FR"/>
              </w:rPr>
              <w:t>:</w:t>
            </w:r>
          </w:p>
        </w:tc>
      </w:tr>
      <w:tr w:rsidR="0084615D" w:rsidRPr="00DE2EFA" w:rsidTr="00844C90">
        <w:tc>
          <w:tcPr>
            <w:tcW w:w="461" w:type="dxa"/>
            <w:shd w:val="clear" w:color="auto" w:fill="auto"/>
          </w:tcPr>
          <w:p w:rsidR="0084615D" w:rsidRPr="0053423A" w:rsidRDefault="00626D24" w:rsidP="00A67858">
            <w:pPr>
              <w:spacing w:after="0" w:line="276" w:lineRule="auto"/>
              <w:jc w:val="center"/>
              <w:rPr>
                <w:rFonts w:eastAsia="Times New Roman"/>
                <w:b/>
                <w:bCs/>
                <w:sz w:val="20"/>
                <w:szCs w:val="20"/>
                <w:lang w:val="hy-AM"/>
              </w:rPr>
            </w:pPr>
            <w:r>
              <w:rPr>
                <w:rFonts w:eastAsia="Times New Roman"/>
                <w:b/>
                <w:bCs/>
                <w:sz w:val="20"/>
                <w:szCs w:val="20"/>
                <w:lang w:val="hy-AM"/>
              </w:rPr>
              <w:t>30</w:t>
            </w:r>
          </w:p>
        </w:tc>
        <w:tc>
          <w:tcPr>
            <w:tcW w:w="10879" w:type="dxa"/>
            <w:shd w:val="clear" w:color="auto" w:fill="auto"/>
          </w:tcPr>
          <w:p w:rsidR="0084615D" w:rsidRPr="0053423A" w:rsidRDefault="0084615D" w:rsidP="00A67858">
            <w:pPr>
              <w:pStyle w:val="NormalWeb"/>
              <w:shd w:val="clear" w:color="auto" w:fill="FFFFFF"/>
              <w:spacing w:before="0" w:beforeAutospacing="0" w:after="0" w:afterAutospacing="0" w:line="276" w:lineRule="auto"/>
              <w:jc w:val="center"/>
              <w:rPr>
                <w:rFonts w:ascii="GHEA Grapalat" w:hAnsi="GHEA Grapalat"/>
                <w:b/>
                <w:color w:val="000000"/>
                <w:sz w:val="20"/>
                <w:szCs w:val="20"/>
                <w:lang w:val="af-ZA" w:eastAsia="en-US"/>
              </w:rPr>
            </w:pPr>
            <w:r w:rsidRPr="0053423A">
              <w:rPr>
                <w:rFonts w:ascii="GHEA Grapalat" w:hAnsi="GHEA Grapalat"/>
                <w:b/>
                <w:color w:val="000000"/>
                <w:sz w:val="20"/>
                <w:szCs w:val="20"/>
                <w:lang w:val="hy-AM" w:eastAsia="en-US"/>
              </w:rPr>
              <w:t>Ոռոգման</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համակարգերը</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շարունակաբար</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արդի</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ջրաչափական</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սարքավորումներով</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կահավորում</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և</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տվյալների</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հավաքման</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ու</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վերահսկողական</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համակարգով</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հագեցում</w:t>
            </w:r>
          </w:p>
          <w:p w:rsidR="0084615D" w:rsidRPr="0053423A" w:rsidRDefault="0084615D" w:rsidP="00A67858">
            <w:pPr>
              <w:spacing w:after="0" w:line="276" w:lineRule="auto"/>
              <w:jc w:val="center"/>
              <w:rPr>
                <w:b/>
                <w:color w:val="000000"/>
                <w:sz w:val="20"/>
                <w:szCs w:val="20"/>
                <w:lang w:val="af-ZA"/>
              </w:rPr>
            </w:pPr>
          </w:p>
          <w:p w:rsidR="0084615D" w:rsidRPr="0053423A" w:rsidRDefault="00626D24" w:rsidP="00A67858">
            <w:pPr>
              <w:tabs>
                <w:tab w:val="left" w:pos="1170"/>
              </w:tabs>
              <w:spacing w:after="0" w:line="276" w:lineRule="auto"/>
              <w:ind w:left="720"/>
              <w:jc w:val="center"/>
              <w:rPr>
                <w:b/>
                <w:sz w:val="20"/>
                <w:szCs w:val="20"/>
                <w:u w:val="single"/>
                <w:lang w:val="af-ZA"/>
              </w:rPr>
            </w:pPr>
            <w:r>
              <w:rPr>
                <w:b/>
                <w:sz w:val="20"/>
                <w:szCs w:val="20"/>
                <w:u w:val="single"/>
                <w:lang w:val="af-ZA"/>
              </w:rPr>
              <w:t>30</w:t>
            </w:r>
            <w:r w:rsidR="0084615D" w:rsidRPr="0053423A">
              <w:rPr>
                <w:b/>
                <w:sz w:val="20"/>
                <w:szCs w:val="20"/>
                <w:u w:val="single"/>
                <w:lang w:val="af-ZA"/>
              </w:rPr>
              <w:t>.1 Հիդրոտեխնիկական կառույցների տեխնիկական վիճակի գնահատում և վերահսկելիության բարձրացում</w:t>
            </w:r>
          </w:p>
          <w:p w:rsidR="0084615D" w:rsidRPr="0053423A" w:rsidRDefault="0084615D" w:rsidP="00A67858">
            <w:pPr>
              <w:tabs>
                <w:tab w:val="left" w:pos="630"/>
              </w:tabs>
              <w:spacing w:after="0" w:line="276" w:lineRule="auto"/>
              <w:ind w:firstLine="720"/>
              <w:jc w:val="both"/>
              <w:rPr>
                <w:rFonts w:cs="Sylfaen"/>
                <w:b/>
                <w:i/>
                <w:sz w:val="20"/>
                <w:szCs w:val="20"/>
                <w:u w:val="single"/>
                <w:lang w:val="af-ZA"/>
              </w:rPr>
            </w:pPr>
          </w:p>
          <w:p w:rsidR="0084615D" w:rsidRPr="0053423A" w:rsidRDefault="0084615D" w:rsidP="00A67858">
            <w:pPr>
              <w:pStyle w:val="ListParagraph"/>
              <w:tabs>
                <w:tab w:val="left" w:pos="810"/>
              </w:tabs>
              <w:spacing w:after="0" w:line="276" w:lineRule="auto"/>
              <w:ind w:left="0" w:firstLine="720"/>
              <w:rPr>
                <w:rFonts w:eastAsia="Times New Roman"/>
                <w:b/>
                <w:sz w:val="20"/>
                <w:szCs w:val="20"/>
                <w:lang w:val="af-ZA"/>
              </w:rPr>
            </w:pPr>
            <w:r w:rsidRPr="0053423A">
              <w:rPr>
                <w:rFonts w:cs="Courier New"/>
                <w:b/>
                <w:sz w:val="20"/>
                <w:szCs w:val="20"/>
                <w:lang w:val="af-ZA"/>
              </w:rPr>
              <w:t>1</w:t>
            </w:r>
            <w:r w:rsidRPr="0053423A">
              <w:rPr>
                <w:rFonts w:eastAsia="Times New Roman" w:cs="Courier New"/>
                <w:b/>
                <w:sz w:val="20"/>
                <w:szCs w:val="20"/>
                <w:lang w:val="af-ZA"/>
              </w:rPr>
              <w:t>.</w:t>
            </w:r>
            <w:r w:rsidRPr="0053423A">
              <w:rPr>
                <w:rFonts w:ascii="Calibri" w:eastAsia="Times New Roman" w:hAnsi="Calibri" w:cs="Calibri"/>
                <w:b/>
                <w:sz w:val="20"/>
                <w:szCs w:val="20"/>
                <w:lang w:val="af-ZA"/>
              </w:rPr>
              <w:t> </w:t>
            </w:r>
            <w:r w:rsidRPr="0053423A">
              <w:rPr>
                <w:rFonts w:eastAsia="Times New Roman"/>
                <w:b/>
                <w:sz w:val="20"/>
                <w:szCs w:val="20"/>
                <w:lang w:val="hy-AM"/>
              </w:rPr>
              <w:t>Միջոցառման</w:t>
            </w:r>
            <w:r w:rsidRPr="0053423A">
              <w:rPr>
                <w:rFonts w:eastAsia="Times New Roman"/>
                <w:b/>
                <w:sz w:val="20"/>
                <w:szCs w:val="20"/>
                <w:lang w:val="af-ZA"/>
              </w:rPr>
              <w:t xml:space="preserve"> </w:t>
            </w:r>
            <w:r w:rsidRPr="0053423A">
              <w:rPr>
                <w:rFonts w:eastAsia="Times New Roman"/>
                <w:b/>
                <w:sz w:val="20"/>
                <w:szCs w:val="20"/>
                <w:lang w:val="hy-AM"/>
              </w:rPr>
              <w:t>իրականացման</w:t>
            </w:r>
            <w:r w:rsidRPr="0053423A">
              <w:rPr>
                <w:rFonts w:eastAsia="Times New Roman"/>
                <w:b/>
                <w:sz w:val="20"/>
                <w:szCs w:val="20"/>
                <w:lang w:val="af-ZA"/>
              </w:rPr>
              <w:t xml:space="preserve"> </w:t>
            </w:r>
            <w:r w:rsidRPr="0053423A">
              <w:rPr>
                <w:rFonts w:eastAsia="Times New Roma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նպատակը</w:t>
            </w:r>
          </w:p>
          <w:p w:rsidR="0084615D" w:rsidRPr="0053423A" w:rsidRDefault="0084615D" w:rsidP="00A67858">
            <w:pPr>
              <w:pStyle w:val="ListParagraph"/>
              <w:tabs>
                <w:tab w:val="left" w:pos="0"/>
              </w:tabs>
              <w:spacing w:after="0" w:line="276" w:lineRule="auto"/>
              <w:ind w:left="0"/>
              <w:jc w:val="both"/>
              <w:rPr>
                <w:rFonts w:eastAsia="Times New Roman"/>
                <w:b/>
                <w:sz w:val="20"/>
                <w:szCs w:val="20"/>
                <w:lang w:val="af-ZA"/>
              </w:rPr>
            </w:pPr>
            <w:r w:rsidRPr="0053423A">
              <w:rPr>
                <w:rFonts w:cs="Sylfaen"/>
                <w:sz w:val="20"/>
                <w:szCs w:val="20"/>
              </w:rPr>
              <w:t>Հիմք</w:t>
            </w:r>
            <w:r w:rsidRPr="0053423A">
              <w:rPr>
                <w:rFonts w:cs="Sylfaen"/>
                <w:sz w:val="20"/>
                <w:szCs w:val="20"/>
                <w:lang w:val="af-ZA"/>
              </w:rPr>
              <w:t xml:space="preserve"> </w:t>
            </w:r>
            <w:r w:rsidRPr="0053423A">
              <w:rPr>
                <w:rFonts w:cs="Sylfaen"/>
                <w:sz w:val="20"/>
                <w:szCs w:val="20"/>
              </w:rPr>
              <w:t>ընդունելով</w:t>
            </w:r>
            <w:r w:rsidRPr="0053423A">
              <w:rPr>
                <w:rFonts w:cs="Sylfaen"/>
                <w:sz w:val="20"/>
                <w:szCs w:val="20"/>
                <w:lang w:val="af-ZA"/>
              </w:rPr>
              <w:t xml:space="preserve"> </w:t>
            </w:r>
            <w:r w:rsidRPr="0053423A">
              <w:rPr>
                <w:rFonts w:cs="GHEA Grapalat"/>
                <w:sz w:val="20"/>
                <w:szCs w:val="20"/>
                <w:lang w:val="af-ZA"/>
              </w:rPr>
              <w:t>ՀՀ ազգային ժողովի 2019 թվականի փետրվարի 14-ի «Հայաստանի Հանրապետության կառավարության ծրագրին հավանություն տալու մասին» ԱԺՈ-002-Ն որոշմամբ հավանության արժանացած ՀՀ կառավարության 2019 թվականի փետրվարի 8</w:t>
            </w:r>
            <w:r w:rsidRPr="0053423A">
              <w:rPr>
                <w:spacing w:val="-2"/>
                <w:sz w:val="20"/>
                <w:szCs w:val="20"/>
                <w:lang w:val="af-ZA"/>
              </w:rPr>
              <w:t>-</w:t>
            </w:r>
            <w:r w:rsidRPr="0053423A">
              <w:rPr>
                <w:spacing w:val="-2"/>
                <w:sz w:val="20"/>
                <w:szCs w:val="20"/>
              </w:rPr>
              <w:t>ի</w:t>
            </w:r>
            <w:r w:rsidRPr="0053423A">
              <w:rPr>
                <w:spacing w:val="-2"/>
                <w:sz w:val="20"/>
                <w:szCs w:val="20"/>
                <w:lang w:val="af-ZA"/>
              </w:rPr>
              <w:t xml:space="preserve"> N 65-Ա որոշման </w:t>
            </w:r>
            <w:r w:rsidRPr="0053423A">
              <w:rPr>
                <w:spacing w:val="-2"/>
                <w:sz w:val="20"/>
                <w:szCs w:val="20"/>
                <w:lang w:val="hy-AM"/>
              </w:rPr>
              <w:t>6</w:t>
            </w:r>
            <w:r w:rsidRPr="0053423A">
              <w:rPr>
                <w:spacing w:val="-2"/>
                <w:sz w:val="20"/>
                <w:szCs w:val="20"/>
                <w:lang w:val="pt-BR"/>
              </w:rPr>
              <w:t>.4</w:t>
            </w:r>
            <w:r w:rsidRPr="0053423A">
              <w:rPr>
                <w:spacing w:val="-2"/>
                <w:sz w:val="20"/>
                <w:szCs w:val="20"/>
                <w:lang w:val="hy-AM"/>
              </w:rPr>
              <w:t xml:space="preserve"> «</w:t>
            </w:r>
            <w:r w:rsidRPr="0053423A">
              <w:rPr>
                <w:spacing w:val="-2"/>
                <w:sz w:val="20"/>
                <w:szCs w:val="20"/>
              </w:rPr>
              <w:t>Ջրային</w:t>
            </w:r>
            <w:r w:rsidRPr="0053423A">
              <w:rPr>
                <w:spacing w:val="-2"/>
                <w:sz w:val="20"/>
                <w:szCs w:val="20"/>
                <w:lang w:val="af-ZA"/>
              </w:rPr>
              <w:t xml:space="preserve"> </w:t>
            </w:r>
            <w:r w:rsidRPr="0053423A">
              <w:rPr>
                <w:rFonts w:cs="GHEA Grapalat"/>
                <w:sz w:val="20"/>
                <w:szCs w:val="20"/>
                <w:lang w:val="af-ZA"/>
              </w:rPr>
              <w:t>տնտեսությունը» բաժինը, 2006 թվականի նոյեմբերի 27-ի ՀՀ ջրի ազգային ծրագրի մասին</w:t>
            </w:r>
            <w:r w:rsidRPr="0053423A">
              <w:rPr>
                <w:rFonts w:cs="Sylfaen"/>
                <w:sz w:val="20"/>
                <w:szCs w:val="20"/>
                <w:lang w:val="af-ZA"/>
              </w:rPr>
              <w:t> ՀՀ օրենքի 5-րդ գլխի 16-րդ հոդվածը՝ մ</w:t>
            </w:r>
            <w:r w:rsidRPr="0053423A">
              <w:rPr>
                <w:rFonts w:cs="Sylfaen"/>
                <w:sz w:val="20"/>
                <w:szCs w:val="20"/>
              </w:rPr>
              <w:t>ատակարարված</w:t>
            </w:r>
            <w:r w:rsidRPr="0053423A">
              <w:rPr>
                <w:rFonts w:cs="Sylfaen"/>
                <w:sz w:val="20"/>
                <w:szCs w:val="20"/>
                <w:lang w:val="af-ZA"/>
              </w:rPr>
              <w:t xml:space="preserve"> </w:t>
            </w:r>
            <w:r w:rsidRPr="0053423A">
              <w:rPr>
                <w:rFonts w:cs="Sylfaen"/>
                <w:sz w:val="20"/>
                <w:szCs w:val="20"/>
              </w:rPr>
              <w:t>ոռոգման</w:t>
            </w:r>
            <w:r w:rsidRPr="0053423A">
              <w:rPr>
                <w:rFonts w:cs="Sylfaen"/>
                <w:sz w:val="20"/>
                <w:szCs w:val="20"/>
                <w:lang w:val="af-ZA"/>
              </w:rPr>
              <w:t xml:space="preserve"> </w:t>
            </w:r>
            <w:r w:rsidRPr="0053423A">
              <w:rPr>
                <w:rFonts w:cs="Sylfaen"/>
                <w:sz w:val="20"/>
                <w:szCs w:val="20"/>
              </w:rPr>
              <w:t>ջրի</w:t>
            </w:r>
            <w:r w:rsidRPr="0053423A">
              <w:rPr>
                <w:rFonts w:cs="Sylfaen"/>
                <w:sz w:val="20"/>
                <w:szCs w:val="20"/>
                <w:lang w:val="af-ZA"/>
              </w:rPr>
              <w:t xml:space="preserve"> </w:t>
            </w:r>
            <w:r w:rsidRPr="0053423A">
              <w:rPr>
                <w:rFonts w:cs="Sylfaen"/>
                <w:sz w:val="20"/>
                <w:szCs w:val="20"/>
              </w:rPr>
              <w:t>հստակ</w:t>
            </w:r>
            <w:r w:rsidRPr="0053423A">
              <w:rPr>
                <w:rFonts w:cs="Sylfaen"/>
                <w:sz w:val="20"/>
                <w:szCs w:val="20"/>
                <w:lang w:val="af-ZA"/>
              </w:rPr>
              <w:t xml:space="preserve"> </w:t>
            </w:r>
            <w:r w:rsidRPr="0053423A">
              <w:rPr>
                <w:rFonts w:cs="Sylfaen"/>
                <w:sz w:val="20"/>
                <w:szCs w:val="20"/>
              </w:rPr>
              <w:t>հաշվառում</w:t>
            </w:r>
            <w:r w:rsidRPr="0053423A">
              <w:rPr>
                <w:rFonts w:cs="Sylfaen"/>
                <w:sz w:val="20"/>
                <w:szCs w:val="20"/>
                <w:lang w:val="af-ZA"/>
              </w:rPr>
              <w:t xml:space="preserve"> </w:t>
            </w:r>
            <w:r w:rsidRPr="0053423A">
              <w:rPr>
                <w:rFonts w:cs="Sylfaen"/>
                <w:sz w:val="20"/>
                <w:szCs w:val="20"/>
              </w:rPr>
              <w:t>իրականացնելու</w:t>
            </w:r>
            <w:r w:rsidRPr="0053423A">
              <w:rPr>
                <w:rFonts w:cs="Sylfaen"/>
                <w:sz w:val="20"/>
                <w:szCs w:val="20"/>
                <w:lang w:val="af-ZA"/>
              </w:rPr>
              <w:t xml:space="preserve">, </w:t>
            </w:r>
            <w:r w:rsidRPr="0053423A">
              <w:rPr>
                <w:rFonts w:cs="Sylfaen"/>
                <w:sz w:val="20"/>
                <w:szCs w:val="20"/>
              </w:rPr>
              <w:t>ինչպես</w:t>
            </w:r>
            <w:r w:rsidRPr="0053423A">
              <w:rPr>
                <w:rFonts w:cs="Sylfaen"/>
                <w:sz w:val="20"/>
                <w:szCs w:val="20"/>
                <w:lang w:val="af-ZA"/>
              </w:rPr>
              <w:t xml:space="preserve"> </w:t>
            </w:r>
            <w:r w:rsidRPr="0053423A">
              <w:rPr>
                <w:rFonts w:cs="Sylfaen"/>
                <w:sz w:val="20"/>
                <w:szCs w:val="20"/>
              </w:rPr>
              <w:t>նաև</w:t>
            </w:r>
            <w:r w:rsidRPr="0053423A">
              <w:rPr>
                <w:rFonts w:cs="Sylfaen"/>
                <w:sz w:val="20"/>
                <w:szCs w:val="20"/>
                <w:lang w:val="af-ZA"/>
              </w:rPr>
              <w:t xml:space="preserve"> </w:t>
            </w:r>
            <w:r w:rsidRPr="0053423A">
              <w:rPr>
                <w:rFonts w:cs="Sylfaen"/>
                <w:sz w:val="20"/>
                <w:szCs w:val="20"/>
              </w:rPr>
              <w:t>մեխանիկական</w:t>
            </w:r>
            <w:r w:rsidRPr="0053423A">
              <w:rPr>
                <w:rFonts w:cs="Sylfaen"/>
                <w:sz w:val="20"/>
                <w:szCs w:val="20"/>
                <w:lang w:val="af-ZA"/>
              </w:rPr>
              <w:t xml:space="preserve"> </w:t>
            </w:r>
            <w:r w:rsidRPr="0053423A">
              <w:rPr>
                <w:rFonts w:cs="Sylfaen"/>
                <w:sz w:val="20"/>
                <w:szCs w:val="20"/>
              </w:rPr>
              <w:t>ջրարտադրության</w:t>
            </w:r>
            <w:r w:rsidRPr="0053423A">
              <w:rPr>
                <w:rFonts w:cs="Sylfaen"/>
                <w:sz w:val="20"/>
                <w:szCs w:val="20"/>
                <w:lang w:val="af-ZA"/>
              </w:rPr>
              <w:t xml:space="preserve"> </w:t>
            </w:r>
            <w:r w:rsidRPr="0053423A">
              <w:rPr>
                <w:rFonts w:cs="Sylfaen"/>
                <w:sz w:val="20"/>
                <w:szCs w:val="20"/>
              </w:rPr>
              <w:t>սարքավորումների</w:t>
            </w:r>
            <w:r w:rsidRPr="0053423A">
              <w:rPr>
                <w:rFonts w:cs="Sylfaen"/>
                <w:sz w:val="20"/>
                <w:szCs w:val="20"/>
                <w:lang w:val="af-ZA"/>
              </w:rPr>
              <w:t xml:space="preserve"> </w:t>
            </w:r>
            <w:r w:rsidRPr="0053423A">
              <w:rPr>
                <w:rFonts w:cs="Sylfaen"/>
                <w:sz w:val="20"/>
                <w:szCs w:val="20"/>
              </w:rPr>
              <w:t>տեխնիկական</w:t>
            </w:r>
            <w:r w:rsidRPr="0053423A">
              <w:rPr>
                <w:rFonts w:cs="Sylfaen"/>
                <w:sz w:val="20"/>
                <w:szCs w:val="20"/>
                <w:lang w:val="af-ZA"/>
              </w:rPr>
              <w:t xml:space="preserve"> </w:t>
            </w:r>
            <w:r w:rsidRPr="0053423A">
              <w:rPr>
                <w:rFonts w:cs="Sylfaen"/>
                <w:sz w:val="20"/>
                <w:szCs w:val="20"/>
              </w:rPr>
              <w:t>վիճակը</w:t>
            </w:r>
            <w:r w:rsidRPr="0053423A">
              <w:rPr>
                <w:rFonts w:cs="Sylfaen"/>
                <w:sz w:val="20"/>
                <w:szCs w:val="20"/>
                <w:lang w:val="af-ZA"/>
              </w:rPr>
              <w:t xml:space="preserve"> </w:t>
            </w:r>
            <w:r w:rsidRPr="0053423A">
              <w:rPr>
                <w:rFonts w:cs="Sylfaen"/>
                <w:sz w:val="20"/>
                <w:szCs w:val="20"/>
              </w:rPr>
              <w:t>բարելավելու</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կառավարման</w:t>
            </w:r>
            <w:r w:rsidRPr="0053423A">
              <w:rPr>
                <w:rFonts w:cs="Sylfaen"/>
                <w:sz w:val="20"/>
                <w:szCs w:val="20"/>
                <w:lang w:val="af-ZA"/>
              </w:rPr>
              <w:t xml:space="preserve"> </w:t>
            </w:r>
            <w:r w:rsidRPr="0053423A">
              <w:rPr>
                <w:rFonts w:cs="Sylfaen"/>
                <w:sz w:val="20"/>
                <w:szCs w:val="20"/>
              </w:rPr>
              <w:t>արդի</w:t>
            </w:r>
            <w:r w:rsidRPr="0053423A">
              <w:rPr>
                <w:rFonts w:cs="Sylfaen"/>
                <w:sz w:val="20"/>
                <w:szCs w:val="20"/>
                <w:lang w:val="af-ZA"/>
              </w:rPr>
              <w:t xml:space="preserve"> </w:t>
            </w:r>
            <w:r w:rsidRPr="0053423A">
              <w:rPr>
                <w:rFonts w:cs="Sylfaen"/>
                <w:sz w:val="20"/>
                <w:szCs w:val="20"/>
              </w:rPr>
              <w:t>համակարգերով</w:t>
            </w:r>
            <w:r w:rsidRPr="0053423A">
              <w:rPr>
                <w:rFonts w:cs="Sylfaen"/>
                <w:sz w:val="20"/>
                <w:szCs w:val="20"/>
                <w:lang w:val="af-ZA"/>
              </w:rPr>
              <w:t xml:space="preserve"> </w:t>
            </w:r>
            <w:r w:rsidRPr="0053423A">
              <w:rPr>
                <w:rFonts w:cs="Sylfaen"/>
                <w:sz w:val="20"/>
                <w:szCs w:val="20"/>
              </w:rPr>
              <w:t>վերազինելու</w:t>
            </w:r>
            <w:r w:rsidRPr="0053423A">
              <w:rPr>
                <w:rFonts w:cs="Sylfaen"/>
                <w:sz w:val="20"/>
                <w:szCs w:val="20"/>
                <w:lang w:val="af-ZA"/>
              </w:rPr>
              <w:t xml:space="preserve"> </w:t>
            </w:r>
            <w:r w:rsidRPr="0053423A">
              <w:rPr>
                <w:rFonts w:cs="Sylfaen"/>
                <w:sz w:val="20"/>
                <w:szCs w:val="20"/>
              </w:rPr>
              <w:t>ծրագրի</w:t>
            </w:r>
            <w:r w:rsidRPr="0053423A">
              <w:rPr>
                <w:rFonts w:cs="Sylfaen"/>
                <w:sz w:val="20"/>
                <w:szCs w:val="20"/>
                <w:lang w:val="af-ZA"/>
              </w:rPr>
              <w:t xml:space="preserve"> մշակման նպատակով </w:t>
            </w:r>
            <w:r w:rsidRPr="0053423A">
              <w:rPr>
                <w:rFonts w:cs="Sylfaen"/>
                <w:sz w:val="20"/>
                <w:szCs w:val="20"/>
              </w:rPr>
              <w:t>ոռոգման</w:t>
            </w:r>
            <w:r w:rsidRPr="0053423A">
              <w:rPr>
                <w:rFonts w:cs="Sylfaen"/>
                <w:sz w:val="20"/>
                <w:szCs w:val="20"/>
                <w:lang w:val="af-ZA"/>
              </w:rPr>
              <w:t xml:space="preserve"> </w:t>
            </w:r>
            <w:r w:rsidRPr="0053423A">
              <w:rPr>
                <w:rFonts w:cs="Sylfaen"/>
                <w:sz w:val="20"/>
                <w:szCs w:val="20"/>
              </w:rPr>
              <w:t>ջրամատակարարման</w:t>
            </w:r>
            <w:r w:rsidRPr="0053423A">
              <w:rPr>
                <w:rFonts w:cs="Sylfaen"/>
                <w:sz w:val="20"/>
                <w:szCs w:val="20"/>
                <w:lang w:val="af-ZA"/>
              </w:rPr>
              <w:t xml:space="preserve"> </w:t>
            </w:r>
            <w:r w:rsidRPr="0053423A">
              <w:rPr>
                <w:rFonts w:cs="Sylfaen"/>
                <w:sz w:val="20"/>
                <w:szCs w:val="20"/>
              </w:rPr>
              <w:t>համակարգերում</w:t>
            </w:r>
            <w:r w:rsidRPr="0053423A">
              <w:rPr>
                <w:rFonts w:cs="Sylfaen"/>
                <w:sz w:val="20"/>
                <w:szCs w:val="20"/>
                <w:lang w:val="af-ZA"/>
              </w:rPr>
              <w:t xml:space="preserve"> </w:t>
            </w:r>
            <w:r w:rsidRPr="0053423A">
              <w:rPr>
                <w:rFonts w:cs="Sylfaen"/>
                <w:sz w:val="20"/>
                <w:szCs w:val="20"/>
              </w:rPr>
              <w:t>անհրաժեշտ</w:t>
            </w:r>
            <w:r w:rsidRPr="0053423A">
              <w:rPr>
                <w:rFonts w:cs="Sylfaen"/>
                <w:sz w:val="20"/>
                <w:szCs w:val="20"/>
                <w:lang w:val="af-ZA"/>
              </w:rPr>
              <w:t xml:space="preserve"> </w:t>
            </w:r>
            <w:r w:rsidRPr="0053423A">
              <w:rPr>
                <w:rFonts w:cs="Sylfaen"/>
                <w:sz w:val="20"/>
                <w:szCs w:val="20"/>
              </w:rPr>
              <w:t>է</w:t>
            </w:r>
            <w:r w:rsidRPr="0053423A">
              <w:rPr>
                <w:rFonts w:cs="Sylfaen"/>
                <w:sz w:val="20"/>
                <w:szCs w:val="20"/>
                <w:lang w:val="af-ZA"/>
              </w:rPr>
              <w:t xml:space="preserve"> գնահատել մեխանիկական ջրարտադրության սարքավորումների տեխնիկական վիճակը, </w:t>
            </w:r>
            <w:r w:rsidRPr="0053423A">
              <w:rPr>
                <w:rFonts w:cs="Sylfaen"/>
                <w:sz w:val="20"/>
                <w:szCs w:val="20"/>
              </w:rPr>
              <w:t>ջրառի</w:t>
            </w:r>
            <w:r w:rsidRPr="0053423A">
              <w:rPr>
                <w:rFonts w:cs="Sylfaen"/>
                <w:sz w:val="20"/>
                <w:szCs w:val="20"/>
                <w:lang w:val="af-ZA"/>
              </w:rPr>
              <w:t xml:space="preserve"> </w:t>
            </w:r>
            <w:r w:rsidRPr="0053423A">
              <w:rPr>
                <w:rFonts w:cs="Sylfaen"/>
                <w:sz w:val="20"/>
                <w:szCs w:val="20"/>
              </w:rPr>
              <w:t>կետերը</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մայր</w:t>
            </w:r>
            <w:r w:rsidRPr="0053423A">
              <w:rPr>
                <w:rFonts w:cs="Sylfaen"/>
                <w:sz w:val="20"/>
                <w:szCs w:val="20"/>
                <w:lang w:val="af-ZA"/>
              </w:rPr>
              <w:t xml:space="preserve"> </w:t>
            </w:r>
            <w:r w:rsidRPr="0053423A">
              <w:rPr>
                <w:rFonts w:cs="Sylfaen"/>
                <w:sz w:val="20"/>
                <w:szCs w:val="20"/>
              </w:rPr>
              <w:t>ջրատարներից</w:t>
            </w:r>
            <w:r w:rsidRPr="0053423A">
              <w:rPr>
                <w:rFonts w:cs="Sylfaen"/>
                <w:sz w:val="20"/>
                <w:szCs w:val="20"/>
                <w:lang w:val="af-ZA"/>
              </w:rPr>
              <w:t xml:space="preserve"> </w:t>
            </w:r>
            <w:r w:rsidRPr="0053423A">
              <w:rPr>
                <w:rFonts w:cs="Sylfaen"/>
                <w:sz w:val="20"/>
                <w:szCs w:val="20"/>
              </w:rPr>
              <w:t>մինչև</w:t>
            </w:r>
            <w:r w:rsidRPr="0053423A">
              <w:rPr>
                <w:rFonts w:cs="Sylfaen"/>
                <w:sz w:val="20"/>
                <w:szCs w:val="20"/>
                <w:lang w:val="af-ZA"/>
              </w:rPr>
              <w:t xml:space="preserve"> </w:t>
            </w:r>
            <w:r w:rsidRPr="0053423A">
              <w:rPr>
                <w:rFonts w:cs="Sylfaen"/>
                <w:sz w:val="20"/>
                <w:szCs w:val="20"/>
              </w:rPr>
              <w:t>ներտնտեսային</w:t>
            </w:r>
            <w:r w:rsidRPr="0053423A">
              <w:rPr>
                <w:rFonts w:cs="Sylfaen"/>
                <w:sz w:val="20"/>
                <w:szCs w:val="20"/>
                <w:lang w:val="af-ZA"/>
              </w:rPr>
              <w:t xml:space="preserve"> </w:t>
            </w:r>
            <w:r w:rsidRPr="0053423A">
              <w:rPr>
                <w:rFonts w:cs="Sylfaen"/>
                <w:sz w:val="20"/>
                <w:szCs w:val="20"/>
              </w:rPr>
              <w:t>ցանցի</w:t>
            </w:r>
            <w:r w:rsidRPr="0053423A">
              <w:rPr>
                <w:rFonts w:cs="Sylfaen"/>
                <w:sz w:val="20"/>
                <w:szCs w:val="20"/>
                <w:lang w:val="af-ZA"/>
              </w:rPr>
              <w:t xml:space="preserve"> </w:t>
            </w:r>
            <w:r w:rsidRPr="0053423A">
              <w:rPr>
                <w:rFonts w:cs="Sylfaen"/>
                <w:sz w:val="20"/>
                <w:szCs w:val="20"/>
              </w:rPr>
              <w:t>բաժանարար</w:t>
            </w:r>
            <w:r w:rsidRPr="0053423A">
              <w:rPr>
                <w:rFonts w:cs="Sylfaen"/>
                <w:sz w:val="20"/>
                <w:szCs w:val="20"/>
                <w:lang w:val="af-ZA"/>
              </w:rPr>
              <w:t xml:space="preserve"> </w:t>
            </w:r>
            <w:r w:rsidRPr="0053423A">
              <w:rPr>
                <w:rFonts w:cs="Sylfaen"/>
                <w:sz w:val="20"/>
                <w:szCs w:val="20"/>
              </w:rPr>
              <w:t>հանգույցները</w:t>
            </w:r>
            <w:r w:rsidRPr="0053423A">
              <w:rPr>
                <w:rFonts w:cs="Sylfaen"/>
                <w:sz w:val="20"/>
                <w:szCs w:val="20"/>
                <w:lang w:val="af-ZA"/>
              </w:rPr>
              <w:t xml:space="preserve"> </w:t>
            </w:r>
            <w:r w:rsidRPr="0053423A">
              <w:rPr>
                <w:rFonts w:cs="Sylfaen"/>
                <w:sz w:val="20"/>
                <w:szCs w:val="20"/>
              </w:rPr>
              <w:t>բերել</w:t>
            </w:r>
            <w:r w:rsidRPr="0053423A">
              <w:rPr>
                <w:rFonts w:cs="Sylfaen"/>
                <w:sz w:val="20"/>
                <w:szCs w:val="20"/>
                <w:lang w:val="af-ZA"/>
              </w:rPr>
              <w:t xml:space="preserve"> </w:t>
            </w:r>
            <w:r w:rsidRPr="0053423A">
              <w:rPr>
                <w:rFonts w:cs="Sylfaen"/>
                <w:sz w:val="20"/>
                <w:szCs w:val="20"/>
              </w:rPr>
              <w:t>պատշաճ</w:t>
            </w:r>
            <w:r w:rsidRPr="0053423A">
              <w:rPr>
                <w:rFonts w:cs="Sylfaen"/>
                <w:sz w:val="20"/>
                <w:szCs w:val="20"/>
                <w:lang w:val="af-ZA"/>
              </w:rPr>
              <w:t xml:space="preserve"> </w:t>
            </w:r>
            <w:r w:rsidRPr="0053423A">
              <w:rPr>
                <w:rFonts w:cs="Sylfaen"/>
                <w:sz w:val="20"/>
                <w:szCs w:val="20"/>
              </w:rPr>
              <w:t>վիճակի՝</w:t>
            </w:r>
            <w:r w:rsidRPr="0053423A">
              <w:rPr>
                <w:rFonts w:cs="Sylfaen"/>
                <w:sz w:val="20"/>
                <w:szCs w:val="20"/>
                <w:lang w:val="af-ZA"/>
              </w:rPr>
              <w:t xml:space="preserve"> </w:t>
            </w:r>
            <w:r w:rsidRPr="0053423A">
              <w:rPr>
                <w:rFonts w:cs="Sylfaen"/>
                <w:sz w:val="20"/>
                <w:szCs w:val="20"/>
              </w:rPr>
              <w:t>կարգաբերելով</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հագեցնելով</w:t>
            </w:r>
            <w:r w:rsidRPr="0053423A">
              <w:rPr>
                <w:rFonts w:cs="Sylfaen"/>
                <w:sz w:val="20"/>
                <w:szCs w:val="20"/>
                <w:lang w:val="af-ZA"/>
              </w:rPr>
              <w:t xml:space="preserve"> </w:t>
            </w:r>
            <w:r w:rsidRPr="0053423A">
              <w:rPr>
                <w:rFonts w:cs="Sylfaen"/>
                <w:sz w:val="20"/>
                <w:szCs w:val="20"/>
              </w:rPr>
              <w:t>դրանք</w:t>
            </w:r>
            <w:r w:rsidRPr="0053423A">
              <w:rPr>
                <w:rFonts w:cs="Sylfaen"/>
                <w:sz w:val="20"/>
                <w:szCs w:val="20"/>
                <w:lang w:val="af-ZA"/>
              </w:rPr>
              <w:t xml:space="preserve"> </w:t>
            </w:r>
            <w:r w:rsidRPr="0053423A">
              <w:rPr>
                <w:rFonts w:cs="Sylfaen"/>
                <w:sz w:val="20"/>
                <w:szCs w:val="20"/>
              </w:rPr>
              <w:t>ժամանակակից</w:t>
            </w:r>
            <w:r w:rsidRPr="0053423A">
              <w:rPr>
                <w:rFonts w:cs="Sylfaen"/>
                <w:sz w:val="20"/>
                <w:szCs w:val="20"/>
                <w:lang w:val="af-ZA"/>
              </w:rPr>
              <w:t xml:space="preserve"> </w:t>
            </w:r>
            <w:r w:rsidRPr="0053423A">
              <w:rPr>
                <w:rFonts w:cs="Sylfaen"/>
                <w:sz w:val="20"/>
                <w:szCs w:val="20"/>
              </w:rPr>
              <w:t>ջրաչափական</w:t>
            </w:r>
            <w:r w:rsidRPr="0053423A">
              <w:rPr>
                <w:rFonts w:cs="Sylfaen"/>
                <w:sz w:val="20"/>
                <w:szCs w:val="20"/>
                <w:lang w:val="af-ZA"/>
              </w:rPr>
              <w:t xml:space="preserve"> </w:t>
            </w:r>
            <w:r w:rsidRPr="0053423A">
              <w:rPr>
                <w:rFonts w:cs="Sylfaen"/>
                <w:sz w:val="20"/>
                <w:szCs w:val="20"/>
              </w:rPr>
              <w:t>սարքերով</w:t>
            </w:r>
            <w:r w:rsidRPr="0053423A">
              <w:rPr>
                <w:rFonts w:cs="Sylfaen"/>
                <w:sz w:val="20"/>
                <w:szCs w:val="20"/>
                <w:lang w:val="af-ZA"/>
              </w:rPr>
              <w:t>:</w:t>
            </w:r>
            <w:r w:rsidRPr="0053423A">
              <w:rPr>
                <w:color w:val="000000"/>
                <w:sz w:val="20"/>
                <w:szCs w:val="20"/>
                <w:lang w:val="af-ZA"/>
              </w:rPr>
              <w:t xml:space="preserve">  </w:t>
            </w:r>
          </w:p>
          <w:p w:rsidR="0084615D" w:rsidRPr="0053423A" w:rsidRDefault="00795500" w:rsidP="001F6D5D">
            <w:pPr>
              <w:pStyle w:val="ListParagraph"/>
              <w:numPr>
                <w:ilvl w:val="1"/>
                <w:numId w:val="297"/>
              </w:numPr>
              <w:tabs>
                <w:tab w:val="left" w:pos="900"/>
                <w:tab w:val="left" w:pos="1170"/>
              </w:tabs>
              <w:spacing w:after="0" w:line="276" w:lineRule="auto"/>
              <w:ind w:hanging="674"/>
              <w:rPr>
                <w:rFonts w:eastAsia="Times New Roman"/>
                <w:b/>
                <w:sz w:val="20"/>
                <w:szCs w:val="20"/>
                <w:lang w:val="af-ZA"/>
              </w:rPr>
            </w:pPr>
            <w:r w:rsidRPr="0053423A">
              <w:rPr>
                <w:rFonts w:eastAsia="Times New Roman"/>
                <w:b/>
                <w:sz w:val="20"/>
                <w:szCs w:val="20"/>
              </w:rPr>
              <w:t>Կ</w:t>
            </w:r>
            <w:r w:rsidR="0084615D" w:rsidRPr="0053423A">
              <w:rPr>
                <w:rFonts w:eastAsia="Times New Roman"/>
                <w:b/>
                <w:sz w:val="20"/>
                <w:szCs w:val="20"/>
              </w:rPr>
              <w:t>արգավորման</w:t>
            </w:r>
            <w:r w:rsidR="0084615D" w:rsidRPr="0053423A">
              <w:rPr>
                <w:rFonts w:eastAsia="Times New Roman"/>
                <w:b/>
                <w:sz w:val="20"/>
                <w:szCs w:val="20"/>
                <w:lang w:val="af-ZA"/>
              </w:rPr>
              <w:t xml:space="preserve"> </w:t>
            </w:r>
            <w:r w:rsidR="0084615D" w:rsidRPr="0053423A">
              <w:rPr>
                <w:rFonts w:eastAsia="Times New Roman"/>
                <w:b/>
                <w:sz w:val="20"/>
                <w:szCs w:val="20"/>
              </w:rPr>
              <w:t>հարաբերությունների</w:t>
            </w:r>
            <w:r w:rsidR="0084615D" w:rsidRPr="0053423A">
              <w:rPr>
                <w:rFonts w:eastAsia="Times New Roman"/>
                <w:b/>
                <w:sz w:val="20"/>
                <w:szCs w:val="20"/>
                <w:lang w:val="af-ZA"/>
              </w:rPr>
              <w:t xml:space="preserve"> </w:t>
            </w:r>
            <w:r w:rsidR="0084615D" w:rsidRPr="0053423A">
              <w:rPr>
                <w:rFonts w:eastAsia="Times New Roman"/>
                <w:b/>
                <w:sz w:val="20"/>
                <w:szCs w:val="20"/>
              </w:rPr>
              <w:t>ներկա</w:t>
            </w:r>
            <w:r w:rsidR="0084615D" w:rsidRPr="0053423A">
              <w:rPr>
                <w:rFonts w:eastAsia="Times New Roman"/>
                <w:b/>
                <w:sz w:val="20"/>
                <w:szCs w:val="20"/>
                <w:lang w:val="af-ZA"/>
              </w:rPr>
              <w:t xml:space="preserve"> </w:t>
            </w:r>
            <w:r w:rsidR="0084615D" w:rsidRPr="0053423A">
              <w:rPr>
                <w:rFonts w:eastAsia="Times New Roman"/>
                <w:b/>
                <w:sz w:val="20"/>
                <w:szCs w:val="20"/>
              </w:rPr>
              <w:t>վիճակը</w:t>
            </w:r>
            <w:r w:rsidR="0084615D" w:rsidRPr="0053423A">
              <w:rPr>
                <w:rFonts w:eastAsia="Times New Roman"/>
                <w:b/>
                <w:sz w:val="20"/>
                <w:szCs w:val="20"/>
                <w:lang w:val="af-ZA"/>
              </w:rPr>
              <w:t xml:space="preserve"> </w:t>
            </w:r>
            <w:r w:rsidR="0084615D" w:rsidRPr="0053423A">
              <w:rPr>
                <w:rFonts w:eastAsia="Times New Roman"/>
                <w:b/>
                <w:sz w:val="20"/>
                <w:szCs w:val="20"/>
              </w:rPr>
              <w:t>և</w:t>
            </w:r>
            <w:r w:rsidR="0084615D" w:rsidRPr="0053423A">
              <w:rPr>
                <w:rFonts w:eastAsia="Times New Roman"/>
                <w:b/>
                <w:sz w:val="20"/>
                <w:szCs w:val="20"/>
                <w:lang w:val="af-ZA"/>
              </w:rPr>
              <w:t xml:space="preserve"> </w:t>
            </w:r>
            <w:r w:rsidR="0084615D" w:rsidRPr="0053423A">
              <w:rPr>
                <w:rFonts w:eastAsia="Times New Roman"/>
                <w:b/>
                <w:sz w:val="20"/>
                <w:szCs w:val="20"/>
              </w:rPr>
              <w:t>առկա</w:t>
            </w:r>
            <w:r w:rsidR="0084615D" w:rsidRPr="0053423A">
              <w:rPr>
                <w:rFonts w:eastAsia="Times New Roman"/>
                <w:b/>
                <w:sz w:val="20"/>
                <w:szCs w:val="20"/>
                <w:lang w:val="af-ZA"/>
              </w:rPr>
              <w:t xml:space="preserve"> </w:t>
            </w:r>
            <w:r w:rsidR="0084615D" w:rsidRPr="0053423A">
              <w:rPr>
                <w:rFonts w:eastAsia="Times New Roman"/>
                <w:b/>
                <w:sz w:val="20"/>
                <w:szCs w:val="20"/>
              </w:rPr>
              <w:t>խնդիրները</w:t>
            </w:r>
          </w:p>
          <w:p w:rsidR="0084615D" w:rsidRPr="0053423A" w:rsidRDefault="0084615D" w:rsidP="00A67858">
            <w:pPr>
              <w:spacing w:after="0" w:line="276" w:lineRule="auto"/>
              <w:jc w:val="both"/>
              <w:rPr>
                <w:sz w:val="20"/>
                <w:szCs w:val="20"/>
                <w:lang w:val="af-ZA"/>
              </w:rPr>
            </w:pPr>
            <w:r w:rsidRPr="0053423A">
              <w:rPr>
                <w:sz w:val="20"/>
                <w:szCs w:val="20"/>
                <w:lang w:val="af-ZA"/>
              </w:rPr>
              <w:t>Համաշխարհային բանկի աջակցությամբ ոռոգման համակարգերի ջրաբաշխման հանգուցային կետերում տեղադրվել է թվով 83 SCADA համակարգի ջրաչափեր, որը թույլ է տալիս օպերատիվ կերպով, այդ թվում նաև առցանց այդ համակարգերում ջրամատակարարման վերաբերյալ ստանալ տվյալներ:</w:t>
            </w:r>
          </w:p>
          <w:p w:rsidR="0084615D" w:rsidRPr="0053423A" w:rsidRDefault="0084615D" w:rsidP="00A67858">
            <w:pPr>
              <w:pStyle w:val="ListParagraph"/>
              <w:tabs>
                <w:tab w:val="left" w:pos="900"/>
              </w:tabs>
              <w:spacing w:after="0" w:line="276" w:lineRule="auto"/>
              <w:ind w:left="0" w:firstLine="720"/>
              <w:rPr>
                <w:rFonts w:eastAsia="Times New Roman"/>
                <w:b/>
                <w:sz w:val="20"/>
                <w:szCs w:val="20"/>
                <w:lang w:val="af-ZA"/>
              </w:rPr>
            </w:pPr>
            <w:r w:rsidRPr="0053423A">
              <w:rPr>
                <w:rFonts w:eastAsia="Times New Roman"/>
                <w:b/>
                <w:sz w:val="20"/>
                <w:szCs w:val="20"/>
                <w:lang w:val="af-ZA"/>
              </w:rPr>
              <w:t>1.2</w:t>
            </w:r>
            <w:r w:rsidRPr="0053423A">
              <w:rPr>
                <w:rFonts w:ascii="Calibri" w:eastAsia="Times New Roman" w:hAnsi="Calibri" w:cs="Calibri"/>
                <w:b/>
                <w:sz w:val="20"/>
                <w:szCs w:val="20"/>
                <w:lang w:val="af-ZA"/>
              </w:rPr>
              <w:t> </w:t>
            </w:r>
            <w:r w:rsidR="00795500" w:rsidRPr="0053423A">
              <w:rPr>
                <w:rFonts w:eastAsia="Times New Roman"/>
                <w:b/>
                <w:sz w:val="20"/>
                <w:szCs w:val="20"/>
                <w:lang w:val="af-ZA"/>
              </w:rPr>
              <w:t xml:space="preserve"> Ա</w:t>
            </w:r>
            <w:r w:rsidRPr="0053423A">
              <w:rPr>
                <w:rFonts w:eastAsia="Times New Roman"/>
                <w:b/>
                <w:sz w:val="20"/>
                <w:szCs w:val="20"/>
                <w:lang w:val="af-ZA"/>
              </w:rPr>
              <w:t xml:space="preserve">ռկա խնդիրների առաջարկվող լուծումները </w:t>
            </w:r>
          </w:p>
          <w:p w:rsidR="0084615D" w:rsidRPr="0053423A" w:rsidRDefault="0084615D" w:rsidP="00A67858">
            <w:pPr>
              <w:pStyle w:val="ListParagraph"/>
              <w:tabs>
                <w:tab w:val="left" w:pos="709"/>
              </w:tabs>
              <w:spacing w:after="0" w:line="276" w:lineRule="auto"/>
              <w:ind w:left="0"/>
              <w:jc w:val="both"/>
              <w:rPr>
                <w:sz w:val="20"/>
                <w:szCs w:val="20"/>
                <w:lang w:val="af-ZA"/>
              </w:rPr>
            </w:pPr>
            <w:r w:rsidRPr="0053423A">
              <w:rPr>
                <w:sz w:val="20"/>
                <w:szCs w:val="20"/>
                <w:lang w:val="af-ZA"/>
              </w:rPr>
              <w:t>Ոռոգման ոլորտում ներդրված հստակ հաշվառման համակարգի շնորհիվ հնարավոր կլինի բարձրացնել ոռոգման գործընթացի արդյունավետությունը, կորուստների ցուցանիշի վերահսկումը, ավելի օպերատիվ արձագանքել համակարգում վթարների վերացմանը, իրականացնել ոռոգման ջրի ավելի օպտիմալ բաշխում, էլ. էներգիայի ծախսի վերաբերյալ առցանց տեղեկատվություն ստանալու արդյունքում հնարավոր կլինի զգալիորեն նվազեցնել տարատեսակ ռիսկերը, ինչը նաև կբերի սպասարկման և այլ ընթացիկ ծախսերի նվազեցմանը, հնարավորություն կստեղծվի ջրի կառավարման GIS ծրագրում կիրառել ոռոգման ջրի և էլ. էներգիայի ծախսի հաշվառման առցանց համակարգերը, որոնցից ստացվող տվյալները կօգտագործվեն ծրագրում առկա հաշվետվություններում, մեխանիկական ջրարտադրության գործընթացն կդառնա ավելի վերահսկելի և ավելի կազմակերպված շնորհիվ առցանց ստացվող էլ. էներգիայի ծախսի վերաբերյալ տեղեկատվությունից կազմված վերլուծություններից:</w:t>
            </w:r>
          </w:p>
          <w:p w:rsidR="0084615D" w:rsidRPr="0053423A" w:rsidRDefault="0084615D" w:rsidP="00A67858">
            <w:pPr>
              <w:spacing w:after="0" w:line="276" w:lineRule="auto"/>
              <w:ind w:firstLine="709"/>
              <w:jc w:val="both"/>
              <w:rPr>
                <w:rFonts w:eastAsia="Times New Roman"/>
                <w:b/>
                <w:sz w:val="20"/>
                <w:szCs w:val="20"/>
                <w:lang w:val="af-ZA"/>
              </w:rPr>
            </w:pPr>
            <w:r w:rsidRPr="0053423A">
              <w:rPr>
                <w:rFonts w:eastAsia="Times New Roman" w:cs="Courier New"/>
                <w:b/>
                <w:sz w:val="20"/>
                <w:szCs w:val="20"/>
                <w:lang w:val="af-ZA"/>
              </w:rPr>
              <w:t>2.</w:t>
            </w:r>
            <w:r w:rsidRPr="0053423A">
              <w:rPr>
                <w:rFonts w:ascii="Calibri" w:eastAsia="Times New Roman" w:hAnsi="Calibri" w:cs="Calibri"/>
                <w:b/>
                <w:sz w:val="20"/>
                <w:szCs w:val="20"/>
                <w:lang w:val="af-ZA"/>
              </w:rPr>
              <w:t> </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իրակացումից</w:t>
            </w:r>
            <w:r w:rsidRPr="0053423A">
              <w:rPr>
                <w:rFonts w:eastAsia="Times New Roman"/>
                <w:b/>
                <w:sz w:val="20"/>
                <w:szCs w:val="20"/>
                <w:lang w:val="af-ZA"/>
              </w:rPr>
              <w:t xml:space="preserve"> </w:t>
            </w:r>
            <w:r w:rsidRPr="0053423A">
              <w:rPr>
                <w:rFonts w:eastAsia="Times New Roman"/>
                <w:b/>
                <w:sz w:val="20"/>
                <w:szCs w:val="20"/>
              </w:rPr>
              <w:t>ակնկալվող</w:t>
            </w:r>
            <w:r w:rsidRPr="0053423A">
              <w:rPr>
                <w:rFonts w:eastAsia="Times New Roman"/>
                <w:b/>
                <w:sz w:val="20"/>
                <w:szCs w:val="20"/>
                <w:lang w:val="af-ZA"/>
              </w:rPr>
              <w:t xml:space="preserve"> </w:t>
            </w:r>
            <w:r w:rsidRPr="0053423A">
              <w:rPr>
                <w:rFonts w:eastAsia="Times New Roman"/>
                <w:b/>
                <w:sz w:val="20"/>
                <w:szCs w:val="20"/>
              </w:rPr>
              <w:t>արդյունքը</w:t>
            </w:r>
          </w:p>
          <w:p w:rsidR="0084615D" w:rsidRPr="0053423A" w:rsidRDefault="0084615D" w:rsidP="00A67858">
            <w:pPr>
              <w:tabs>
                <w:tab w:val="left" w:pos="1134"/>
              </w:tabs>
              <w:spacing w:after="0" w:line="276" w:lineRule="auto"/>
              <w:jc w:val="both"/>
              <w:rPr>
                <w:sz w:val="20"/>
                <w:szCs w:val="20"/>
                <w:lang w:val="fr-FR"/>
              </w:rPr>
            </w:pPr>
            <w:r w:rsidRPr="0053423A">
              <w:rPr>
                <w:sz w:val="20"/>
                <w:szCs w:val="20"/>
              </w:rPr>
              <w:t>Հաշվառվող</w:t>
            </w:r>
            <w:r w:rsidRPr="0053423A">
              <w:rPr>
                <w:sz w:val="20"/>
                <w:szCs w:val="20"/>
                <w:lang w:val="fr-FR"/>
              </w:rPr>
              <w:t xml:space="preserve"> </w:t>
            </w:r>
            <w:r w:rsidRPr="0053423A">
              <w:rPr>
                <w:sz w:val="20"/>
                <w:szCs w:val="20"/>
              </w:rPr>
              <w:t>ոռոգման</w:t>
            </w:r>
            <w:r w:rsidRPr="0053423A">
              <w:rPr>
                <w:sz w:val="20"/>
                <w:szCs w:val="20"/>
                <w:lang w:val="fr-FR"/>
              </w:rPr>
              <w:t xml:space="preserve"> </w:t>
            </w:r>
            <w:r w:rsidRPr="0053423A">
              <w:rPr>
                <w:sz w:val="20"/>
                <w:szCs w:val="20"/>
              </w:rPr>
              <w:t>ջրի</w:t>
            </w:r>
            <w:r w:rsidRPr="0053423A">
              <w:rPr>
                <w:sz w:val="20"/>
                <w:szCs w:val="20"/>
                <w:lang w:val="fr-FR"/>
              </w:rPr>
              <w:t xml:space="preserve"> </w:t>
            </w:r>
            <w:r w:rsidRPr="0053423A">
              <w:rPr>
                <w:sz w:val="20"/>
                <w:szCs w:val="20"/>
              </w:rPr>
              <w:t>ծավալների</w:t>
            </w:r>
            <w:r w:rsidRPr="0053423A">
              <w:rPr>
                <w:sz w:val="20"/>
                <w:szCs w:val="20"/>
                <w:lang w:val="fr-FR"/>
              </w:rPr>
              <w:t xml:space="preserve"> </w:t>
            </w:r>
            <w:r w:rsidRPr="0053423A">
              <w:rPr>
                <w:sz w:val="20"/>
                <w:szCs w:val="20"/>
              </w:rPr>
              <w:t>և</w:t>
            </w:r>
            <w:r w:rsidRPr="0053423A">
              <w:rPr>
                <w:sz w:val="20"/>
                <w:szCs w:val="20"/>
                <w:lang w:val="fr-FR"/>
              </w:rPr>
              <w:t xml:space="preserve"> </w:t>
            </w:r>
            <w:r w:rsidRPr="0053423A">
              <w:rPr>
                <w:sz w:val="20"/>
                <w:szCs w:val="20"/>
              </w:rPr>
              <w:t>հասույթների</w:t>
            </w:r>
            <w:r w:rsidRPr="0053423A">
              <w:rPr>
                <w:sz w:val="20"/>
                <w:szCs w:val="20"/>
                <w:lang w:val="fr-FR"/>
              </w:rPr>
              <w:t xml:space="preserve"> </w:t>
            </w:r>
            <w:r w:rsidRPr="0053423A">
              <w:rPr>
                <w:sz w:val="20"/>
                <w:szCs w:val="20"/>
              </w:rPr>
              <w:t>մեծացում</w:t>
            </w:r>
            <w:r w:rsidRPr="0053423A">
              <w:rPr>
                <w:sz w:val="20"/>
                <w:szCs w:val="20"/>
                <w:lang w:val="fr-FR"/>
              </w:rPr>
              <w:t xml:space="preserve">, </w:t>
            </w:r>
            <w:r w:rsidRPr="0053423A">
              <w:rPr>
                <w:sz w:val="20"/>
                <w:szCs w:val="20"/>
              </w:rPr>
              <w:t>գանձման</w:t>
            </w:r>
            <w:r w:rsidRPr="0053423A">
              <w:rPr>
                <w:sz w:val="20"/>
                <w:szCs w:val="20"/>
                <w:lang w:val="fr-FR"/>
              </w:rPr>
              <w:t xml:space="preserve"> </w:t>
            </w:r>
            <w:r w:rsidRPr="0053423A">
              <w:rPr>
                <w:sz w:val="20"/>
                <w:szCs w:val="20"/>
              </w:rPr>
              <w:t>տոկոսի</w:t>
            </w:r>
            <w:r w:rsidRPr="0053423A">
              <w:rPr>
                <w:sz w:val="20"/>
                <w:szCs w:val="20"/>
                <w:lang w:val="fr-FR"/>
              </w:rPr>
              <w:t xml:space="preserve"> </w:t>
            </w:r>
            <w:r w:rsidRPr="0053423A">
              <w:rPr>
                <w:sz w:val="20"/>
                <w:szCs w:val="20"/>
              </w:rPr>
              <w:t>բարձրացում</w:t>
            </w:r>
            <w:r w:rsidRPr="0053423A">
              <w:rPr>
                <w:sz w:val="20"/>
                <w:szCs w:val="20"/>
                <w:lang w:val="fr-FR"/>
              </w:rPr>
              <w:t xml:space="preserve">, </w:t>
            </w:r>
            <w:r w:rsidRPr="0053423A">
              <w:rPr>
                <w:sz w:val="20"/>
                <w:szCs w:val="20"/>
              </w:rPr>
              <w:t>սուբսիդիայի</w:t>
            </w:r>
            <w:r w:rsidRPr="0053423A">
              <w:rPr>
                <w:sz w:val="20"/>
                <w:szCs w:val="20"/>
                <w:lang w:val="fr-FR"/>
              </w:rPr>
              <w:t xml:space="preserve"> </w:t>
            </w:r>
            <w:r w:rsidRPr="0053423A">
              <w:rPr>
                <w:sz w:val="20"/>
                <w:szCs w:val="20"/>
              </w:rPr>
              <w:t>պակասեցում</w:t>
            </w:r>
            <w:r w:rsidRPr="0053423A">
              <w:rPr>
                <w:sz w:val="20"/>
                <w:szCs w:val="20"/>
                <w:lang w:val="fr-FR"/>
              </w:rPr>
              <w:t xml:space="preserve">, </w:t>
            </w:r>
            <w:r w:rsidRPr="0053423A">
              <w:rPr>
                <w:sz w:val="20"/>
                <w:szCs w:val="20"/>
              </w:rPr>
              <w:t>ՋՕԸ</w:t>
            </w:r>
            <w:r w:rsidRPr="0053423A">
              <w:rPr>
                <w:sz w:val="20"/>
                <w:szCs w:val="20"/>
                <w:lang w:val="fr-FR"/>
              </w:rPr>
              <w:t>-</w:t>
            </w:r>
            <w:r w:rsidRPr="0053423A">
              <w:rPr>
                <w:sz w:val="20"/>
                <w:szCs w:val="20"/>
              </w:rPr>
              <w:t>երի</w:t>
            </w:r>
            <w:r w:rsidRPr="0053423A">
              <w:rPr>
                <w:sz w:val="20"/>
                <w:szCs w:val="20"/>
                <w:lang w:val="fr-FR"/>
              </w:rPr>
              <w:t xml:space="preserve"> </w:t>
            </w:r>
            <w:r w:rsidRPr="0053423A">
              <w:rPr>
                <w:sz w:val="20"/>
                <w:szCs w:val="20"/>
              </w:rPr>
              <w:t>նկատմամբ</w:t>
            </w:r>
            <w:r w:rsidRPr="0053423A">
              <w:rPr>
                <w:sz w:val="20"/>
                <w:szCs w:val="20"/>
                <w:lang w:val="fr-FR"/>
              </w:rPr>
              <w:t xml:space="preserve"> </w:t>
            </w:r>
            <w:r w:rsidRPr="0053423A">
              <w:rPr>
                <w:sz w:val="20"/>
                <w:szCs w:val="20"/>
              </w:rPr>
              <w:t>վերահսկելիության</w:t>
            </w:r>
            <w:r w:rsidRPr="0053423A">
              <w:rPr>
                <w:sz w:val="20"/>
                <w:szCs w:val="20"/>
                <w:lang w:val="fr-FR"/>
              </w:rPr>
              <w:t xml:space="preserve"> </w:t>
            </w:r>
            <w:r w:rsidRPr="0053423A">
              <w:rPr>
                <w:sz w:val="20"/>
                <w:szCs w:val="20"/>
              </w:rPr>
              <w:t>մեծացում</w:t>
            </w:r>
            <w:r w:rsidRPr="0053423A">
              <w:rPr>
                <w:sz w:val="20"/>
                <w:szCs w:val="20"/>
                <w:lang w:val="fr-FR"/>
              </w:rPr>
              <w:t xml:space="preserve">, </w:t>
            </w:r>
            <w:r w:rsidRPr="0053423A">
              <w:rPr>
                <w:sz w:val="20"/>
                <w:szCs w:val="20"/>
              </w:rPr>
              <w:t>կոռուպցիոն</w:t>
            </w:r>
            <w:r w:rsidRPr="0053423A">
              <w:rPr>
                <w:sz w:val="20"/>
                <w:szCs w:val="20"/>
                <w:lang w:val="fr-FR"/>
              </w:rPr>
              <w:t xml:space="preserve"> </w:t>
            </w:r>
            <w:r w:rsidRPr="0053423A">
              <w:rPr>
                <w:sz w:val="20"/>
                <w:szCs w:val="20"/>
              </w:rPr>
              <w:t>ռիսկերի</w:t>
            </w:r>
            <w:r w:rsidRPr="0053423A">
              <w:rPr>
                <w:sz w:val="20"/>
                <w:szCs w:val="20"/>
                <w:lang w:val="fr-FR"/>
              </w:rPr>
              <w:t xml:space="preserve"> </w:t>
            </w:r>
            <w:r w:rsidRPr="0053423A">
              <w:rPr>
                <w:sz w:val="20"/>
                <w:szCs w:val="20"/>
              </w:rPr>
              <w:t>նվազեցում</w:t>
            </w:r>
            <w:r w:rsidRPr="0053423A">
              <w:rPr>
                <w:sz w:val="20"/>
                <w:szCs w:val="20"/>
                <w:lang w:val="fr-FR"/>
              </w:rPr>
              <w:t xml:space="preserve">, </w:t>
            </w:r>
            <w:r w:rsidRPr="0053423A">
              <w:rPr>
                <w:sz w:val="20"/>
                <w:szCs w:val="20"/>
              </w:rPr>
              <w:t>ջրօգտագործողների</w:t>
            </w:r>
            <w:r w:rsidRPr="0053423A">
              <w:rPr>
                <w:sz w:val="20"/>
                <w:szCs w:val="20"/>
                <w:lang w:val="fr-FR"/>
              </w:rPr>
              <w:t xml:space="preserve"> </w:t>
            </w:r>
            <w:r w:rsidRPr="0053423A">
              <w:rPr>
                <w:sz w:val="20"/>
                <w:szCs w:val="20"/>
              </w:rPr>
              <w:t>ընկերություններում</w:t>
            </w:r>
            <w:r w:rsidRPr="0053423A">
              <w:rPr>
                <w:sz w:val="20"/>
                <w:szCs w:val="20"/>
                <w:lang w:val="fr-FR"/>
              </w:rPr>
              <w:t xml:space="preserve"> </w:t>
            </w:r>
            <w:r w:rsidRPr="0053423A">
              <w:rPr>
                <w:sz w:val="20"/>
                <w:szCs w:val="20"/>
              </w:rPr>
              <w:t>ֆինանսական</w:t>
            </w:r>
            <w:r w:rsidRPr="0053423A">
              <w:rPr>
                <w:sz w:val="20"/>
                <w:szCs w:val="20"/>
                <w:lang w:val="fr-FR"/>
              </w:rPr>
              <w:t xml:space="preserve"> </w:t>
            </w:r>
            <w:r w:rsidRPr="0053423A">
              <w:rPr>
                <w:sz w:val="20"/>
                <w:szCs w:val="20"/>
              </w:rPr>
              <w:t>կայունության</w:t>
            </w:r>
            <w:r w:rsidRPr="0053423A">
              <w:rPr>
                <w:sz w:val="20"/>
                <w:szCs w:val="20"/>
                <w:lang w:val="fr-FR"/>
              </w:rPr>
              <w:t xml:space="preserve"> </w:t>
            </w:r>
            <w:r w:rsidRPr="0053423A">
              <w:rPr>
                <w:sz w:val="20"/>
                <w:szCs w:val="20"/>
              </w:rPr>
              <w:t>ապահովում</w:t>
            </w:r>
            <w:r w:rsidRPr="0053423A">
              <w:rPr>
                <w:sz w:val="20"/>
                <w:szCs w:val="20"/>
                <w:lang w:val="fr-FR"/>
              </w:rPr>
              <w:t xml:space="preserve">, </w:t>
            </w:r>
            <w:r w:rsidRPr="0053423A">
              <w:rPr>
                <w:sz w:val="20"/>
                <w:szCs w:val="20"/>
              </w:rPr>
              <w:t>վերջիններիս</w:t>
            </w:r>
            <w:r w:rsidRPr="0053423A">
              <w:rPr>
                <w:sz w:val="20"/>
                <w:szCs w:val="20"/>
                <w:lang w:val="fr-FR"/>
              </w:rPr>
              <w:t xml:space="preserve"> </w:t>
            </w:r>
            <w:r w:rsidRPr="0053423A">
              <w:rPr>
                <w:sz w:val="20"/>
                <w:szCs w:val="20"/>
              </w:rPr>
              <w:t>նկատմամբ</w:t>
            </w:r>
            <w:r w:rsidRPr="0053423A">
              <w:rPr>
                <w:sz w:val="20"/>
                <w:szCs w:val="20"/>
                <w:lang w:val="fr-FR"/>
              </w:rPr>
              <w:t xml:space="preserve"> </w:t>
            </w:r>
            <w:r w:rsidRPr="0053423A">
              <w:rPr>
                <w:sz w:val="20"/>
                <w:szCs w:val="20"/>
              </w:rPr>
              <w:t>վստահության</w:t>
            </w:r>
            <w:r w:rsidRPr="0053423A">
              <w:rPr>
                <w:sz w:val="20"/>
                <w:szCs w:val="20"/>
                <w:lang w:val="fr-FR"/>
              </w:rPr>
              <w:t xml:space="preserve"> </w:t>
            </w:r>
            <w:r w:rsidRPr="0053423A">
              <w:rPr>
                <w:sz w:val="20"/>
                <w:szCs w:val="20"/>
              </w:rPr>
              <w:t>բարձրացում</w:t>
            </w:r>
            <w:r w:rsidRPr="0053423A">
              <w:rPr>
                <w:sz w:val="20"/>
                <w:szCs w:val="20"/>
                <w:lang w:val="fr-FR"/>
              </w:rPr>
              <w:t xml:space="preserve"> </w:t>
            </w:r>
            <w:r w:rsidRPr="0053423A">
              <w:rPr>
                <w:sz w:val="20"/>
                <w:szCs w:val="20"/>
              </w:rPr>
              <w:t>և</w:t>
            </w:r>
            <w:r w:rsidRPr="0053423A">
              <w:rPr>
                <w:sz w:val="20"/>
                <w:szCs w:val="20"/>
                <w:lang w:val="fr-FR"/>
              </w:rPr>
              <w:t xml:space="preserve"> </w:t>
            </w:r>
            <w:r w:rsidRPr="0053423A">
              <w:rPr>
                <w:sz w:val="20"/>
                <w:szCs w:val="20"/>
              </w:rPr>
              <w:t>ոռոգման</w:t>
            </w:r>
            <w:r w:rsidRPr="0053423A">
              <w:rPr>
                <w:sz w:val="20"/>
                <w:szCs w:val="20"/>
                <w:lang w:val="fr-FR"/>
              </w:rPr>
              <w:t xml:space="preserve"> </w:t>
            </w:r>
            <w:r w:rsidRPr="0053423A">
              <w:rPr>
                <w:sz w:val="20"/>
                <w:szCs w:val="20"/>
              </w:rPr>
              <w:t>ջրի</w:t>
            </w:r>
            <w:r w:rsidRPr="0053423A">
              <w:rPr>
                <w:sz w:val="20"/>
                <w:szCs w:val="20"/>
                <w:lang w:val="fr-FR"/>
              </w:rPr>
              <w:t xml:space="preserve"> </w:t>
            </w:r>
            <w:r w:rsidRPr="0053423A">
              <w:rPr>
                <w:sz w:val="20"/>
                <w:szCs w:val="20"/>
              </w:rPr>
              <w:t>մատակարարման</w:t>
            </w:r>
            <w:r w:rsidRPr="0053423A">
              <w:rPr>
                <w:sz w:val="20"/>
                <w:szCs w:val="20"/>
                <w:lang w:val="fr-FR"/>
              </w:rPr>
              <w:t xml:space="preserve"> </w:t>
            </w:r>
            <w:r w:rsidRPr="0053423A">
              <w:rPr>
                <w:sz w:val="20"/>
                <w:szCs w:val="20"/>
              </w:rPr>
              <w:t>բարելավում</w:t>
            </w:r>
            <w:r w:rsidRPr="0053423A">
              <w:rPr>
                <w:sz w:val="20"/>
                <w:szCs w:val="20"/>
                <w:lang w:val="fr-FR"/>
              </w:rPr>
              <w:t>:</w:t>
            </w:r>
          </w:p>
          <w:p w:rsidR="0084615D" w:rsidRPr="0053423A" w:rsidRDefault="0084615D" w:rsidP="00A67858">
            <w:pPr>
              <w:spacing w:after="0" w:line="276" w:lineRule="auto"/>
              <w:jc w:val="center"/>
              <w:rPr>
                <w:b/>
                <w:color w:val="000000"/>
                <w:sz w:val="20"/>
                <w:szCs w:val="20"/>
                <w:lang w:val="fr-FR"/>
              </w:rPr>
            </w:pPr>
          </w:p>
        </w:tc>
      </w:tr>
      <w:tr w:rsidR="0084615D" w:rsidRPr="00DE2EFA" w:rsidTr="00844C90">
        <w:tc>
          <w:tcPr>
            <w:tcW w:w="461" w:type="dxa"/>
            <w:shd w:val="clear" w:color="auto" w:fill="auto"/>
          </w:tcPr>
          <w:p w:rsidR="0084615D" w:rsidRPr="0053423A" w:rsidRDefault="00626D24" w:rsidP="00A67858">
            <w:pPr>
              <w:spacing w:after="0" w:line="276" w:lineRule="auto"/>
              <w:jc w:val="center"/>
              <w:rPr>
                <w:rFonts w:eastAsia="Times New Roman"/>
                <w:b/>
                <w:bCs/>
                <w:sz w:val="20"/>
                <w:szCs w:val="20"/>
                <w:lang w:val="hy-AM"/>
              </w:rPr>
            </w:pPr>
            <w:r>
              <w:rPr>
                <w:rFonts w:eastAsia="Times New Roman"/>
                <w:b/>
                <w:bCs/>
                <w:sz w:val="20"/>
                <w:szCs w:val="20"/>
                <w:lang w:val="hy-AM"/>
              </w:rPr>
              <w:t>31</w:t>
            </w:r>
          </w:p>
        </w:tc>
        <w:tc>
          <w:tcPr>
            <w:tcW w:w="10879" w:type="dxa"/>
            <w:shd w:val="clear" w:color="auto" w:fill="auto"/>
          </w:tcPr>
          <w:p w:rsidR="0084615D" w:rsidRPr="0053423A" w:rsidRDefault="0084615D" w:rsidP="00A67858">
            <w:pPr>
              <w:pStyle w:val="NormalWeb"/>
              <w:shd w:val="clear" w:color="auto" w:fill="FFFFFF"/>
              <w:spacing w:before="0" w:beforeAutospacing="0" w:after="0" w:afterAutospacing="0" w:line="276" w:lineRule="auto"/>
              <w:jc w:val="center"/>
              <w:rPr>
                <w:rFonts w:ascii="GHEA Grapalat" w:hAnsi="GHEA Grapalat"/>
                <w:b/>
                <w:color w:val="000000"/>
                <w:sz w:val="20"/>
                <w:szCs w:val="20"/>
                <w:lang w:val="hy-AM" w:eastAsia="en-US"/>
              </w:rPr>
            </w:pPr>
            <w:r w:rsidRPr="0053423A">
              <w:rPr>
                <w:rFonts w:ascii="GHEA Grapalat" w:hAnsi="GHEA Grapalat"/>
                <w:b/>
                <w:color w:val="000000"/>
                <w:sz w:val="20"/>
                <w:szCs w:val="20"/>
                <w:lang w:val="hy-AM" w:eastAsia="en-US"/>
              </w:rPr>
              <w:t>Գործող</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ջրամբարների</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տեխնիկական</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վիճակի</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գնահատում</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և</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վերականգնման</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ծրագրի</w:t>
            </w:r>
            <w:r w:rsidRPr="0053423A">
              <w:rPr>
                <w:rFonts w:ascii="GHEA Grapalat" w:hAnsi="GHEA Grapalat"/>
                <w:b/>
                <w:color w:val="000000"/>
                <w:sz w:val="20"/>
                <w:szCs w:val="20"/>
                <w:lang w:val="af-ZA" w:eastAsia="en-US"/>
              </w:rPr>
              <w:t xml:space="preserve"> </w:t>
            </w:r>
            <w:r w:rsidRPr="0053423A">
              <w:rPr>
                <w:rFonts w:ascii="GHEA Grapalat" w:hAnsi="GHEA Grapalat"/>
                <w:b/>
                <w:color w:val="000000"/>
                <w:sz w:val="20"/>
                <w:szCs w:val="20"/>
                <w:lang w:val="hy-AM" w:eastAsia="en-US"/>
              </w:rPr>
              <w:t>մշակում</w:t>
            </w:r>
          </w:p>
          <w:p w:rsidR="0084615D" w:rsidRPr="0053423A" w:rsidRDefault="0084615D" w:rsidP="00A67858">
            <w:pPr>
              <w:pStyle w:val="NormalWeb"/>
              <w:shd w:val="clear" w:color="auto" w:fill="FFFFFF"/>
              <w:spacing w:before="0" w:beforeAutospacing="0" w:after="0" w:afterAutospacing="0" w:line="276" w:lineRule="auto"/>
              <w:jc w:val="center"/>
              <w:rPr>
                <w:rFonts w:ascii="GHEA Grapalat" w:hAnsi="GHEA Grapalat"/>
                <w:b/>
                <w:color w:val="000000"/>
                <w:sz w:val="20"/>
                <w:szCs w:val="20"/>
                <w:lang w:val="hy-AM" w:eastAsia="en-US"/>
              </w:rPr>
            </w:pPr>
          </w:p>
          <w:p w:rsidR="0084615D" w:rsidRPr="0053423A" w:rsidRDefault="00626D24" w:rsidP="00A67858">
            <w:pPr>
              <w:tabs>
                <w:tab w:val="left" w:pos="1170"/>
              </w:tabs>
              <w:spacing w:after="0" w:line="276" w:lineRule="auto"/>
              <w:ind w:left="720"/>
              <w:jc w:val="both"/>
              <w:rPr>
                <w:b/>
                <w:sz w:val="20"/>
                <w:szCs w:val="20"/>
                <w:u w:val="single"/>
                <w:lang w:val="af-ZA"/>
              </w:rPr>
            </w:pPr>
            <w:r>
              <w:rPr>
                <w:b/>
                <w:sz w:val="20"/>
                <w:szCs w:val="20"/>
                <w:u w:val="single"/>
                <w:lang w:val="af-ZA"/>
              </w:rPr>
              <w:t>31</w:t>
            </w:r>
            <w:r w:rsidR="0084615D" w:rsidRPr="0053423A">
              <w:rPr>
                <w:b/>
                <w:sz w:val="20"/>
                <w:szCs w:val="20"/>
                <w:u w:val="single"/>
                <w:lang w:val="af-ZA"/>
              </w:rPr>
              <w:t>.1 Գործող ջրամբարների առկա տեխնիկական վիճակի գնահատում</w:t>
            </w:r>
          </w:p>
          <w:p w:rsidR="0084615D" w:rsidRPr="0053423A" w:rsidRDefault="00626D24" w:rsidP="00A67858">
            <w:pPr>
              <w:tabs>
                <w:tab w:val="left" w:pos="1170"/>
              </w:tabs>
              <w:spacing w:after="0" w:line="276" w:lineRule="auto"/>
              <w:ind w:left="720"/>
              <w:jc w:val="both"/>
              <w:rPr>
                <w:b/>
                <w:sz w:val="20"/>
                <w:szCs w:val="20"/>
                <w:u w:val="single"/>
                <w:lang w:val="af-ZA"/>
              </w:rPr>
            </w:pPr>
            <w:r>
              <w:rPr>
                <w:b/>
                <w:sz w:val="20"/>
                <w:szCs w:val="20"/>
                <w:u w:val="single"/>
                <w:lang w:val="af-ZA"/>
              </w:rPr>
              <w:t>31</w:t>
            </w:r>
            <w:r w:rsidR="0084615D" w:rsidRPr="0053423A">
              <w:rPr>
                <w:b/>
                <w:sz w:val="20"/>
                <w:szCs w:val="20"/>
                <w:u w:val="single"/>
                <w:lang w:val="af-ZA"/>
              </w:rPr>
              <w:t>.2  Յուրաքանչյուր ջրամբարի անվտանգության ապահովման ծրագրի մշակում</w:t>
            </w:r>
          </w:p>
          <w:p w:rsidR="0084615D" w:rsidRPr="0053423A" w:rsidRDefault="0084615D" w:rsidP="00A67858">
            <w:pPr>
              <w:spacing w:after="0" w:line="276" w:lineRule="auto"/>
              <w:ind w:firstLine="526"/>
              <w:jc w:val="both"/>
              <w:rPr>
                <w:b/>
                <w:i/>
                <w:sz w:val="20"/>
                <w:szCs w:val="20"/>
                <w:u w:val="single"/>
                <w:lang w:val="hy-AM"/>
              </w:rPr>
            </w:pPr>
          </w:p>
          <w:p w:rsidR="0084615D" w:rsidRPr="0053423A" w:rsidRDefault="0084615D" w:rsidP="00A67858">
            <w:pPr>
              <w:pStyle w:val="ListParagraph"/>
              <w:tabs>
                <w:tab w:val="left" w:pos="810"/>
              </w:tabs>
              <w:spacing w:after="0" w:line="276" w:lineRule="auto"/>
              <w:ind w:left="0" w:firstLine="1170"/>
              <w:rPr>
                <w:b/>
                <w:sz w:val="20"/>
                <w:szCs w:val="20"/>
                <w:lang w:val="af-ZA"/>
              </w:rPr>
            </w:pPr>
            <w:r w:rsidRPr="0053423A">
              <w:rPr>
                <w:rFonts w:eastAsia="Times New Roman" w:cs="Courier New"/>
                <w:b/>
                <w:sz w:val="20"/>
                <w:szCs w:val="20"/>
                <w:lang w:val="af-ZA"/>
              </w:rPr>
              <w:t>1.</w:t>
            </w:r>
            <w:r w:rsidRPr="0053423A">
              <w:rPr>
                <w:rFonts w:ascii="Calibri" w:eastAsia="Times New Roman" w:hAnsi="Calibri" w:cs="Calibri"/>
                <w:b/>
                <w:sz w:val="20"/>
                <w:szCs w:val="20"/>
                <w:lang w:val="af-ZA"/>
              </w:rPr>
              <w:t> </w:t>
            </w:r>
            <w:r w:rsidRPr="0053423A">
              <w:rPr>
                <w:rFonts w:eastAsia="Times New Roman"/>
                <w:b/>
                <w:sz w:val="20"/>
                <w:szCs w:val="20"/>
                <w:lang w:val="hy-AM"/>
              </w:rPr>
              <w:t>Միջոցառման</w:t>
            </w:r>
            <w:r w:rsidRPr="0053423A">
              <w:rPr>
                <w:rFonts w:eastAsia="Times New Roman"/>
                <w:b/>
                <w:sz w:val="20"/>
                <w:szCs w:val="20"/>
                <w:lang w:val="af-ZA"/>
              </w:rPr>
              <w:t xml:space="preserve"> </w:t>
            </w:r>
            <w:r w:rsidRPr="0053423A">
              <w:rPr>
                <w:rFonts w:eastAsia="Times New Roman"/>
                <w:b/>
                <w:sz w:val="20"/>
                <w:szCs w:val="20"/>
                <w:lang w:val="hy-AM"/>
              </w:rPr>
              <w:t>իրականացման</w:t>
            </w:r>
            <w:r w:rsidRPr="0053423A">
              <w:rPr>
                <w:rFonts w:eastAsia="Times New Roman"/>
                <w:b/>
                <w:sz w:val="20"/>
                <w:szCs w:val="20"/>
                <w:lang w:val="af-ZA"/>
              </w:rPr>
              <w:t xml:space="preserve"> </w:t>
            </w:r>
            <w:r w:rsidRPr="0053423A">
              <w:rPr>
                <w:rFonts w:eastAsia="Times New Roma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նպատակը</w:t>
            </w:r>
          </w:p>
          <w:p w:rsidR="0084615D" w:rsidRPr="0053423A" w:rsidRDefault="0084615D" w:rsidP="00A67858">
            <w:pPr>
              <w:spacing w:after="0" w:line="276" w:lineRule="auto"/>
              <w:jc w:val="both"/>
              <w:rPr>
                <w:sz w:val="20"/>
                <w:szCs w:val="20"/>
                <w:lang w:val="af-ZA"/>
              </w:rPr>
            </w:pPr>
            <w:r w:rsidRPr="0053423A">
              <w:rPr>
                <w:rFonts w:cs="Sylfaen"/>
                <w:sz w:val="20"/>
                <w:szCs w:val="20"/>
                <w:lang w:val="af-ZA"/>
              </w:rPr>
              <w:t xml:space="preserve">Միջոցառման իրականացման հիմք է հանդիսանում </w:t>
            </w:r>
            <w:r w:rsidRPr="0053423A">
              <w:rPr>
                <w:rFonts w:cs="GHEA Grapalat"/>
                <w:sz w:val="20"/>
                <w:szCs w:val="20"/>
                <w:lang w:val="af-ZA"/>
              </w:rPr>
              <w:t>ՀՀ ազգային ժողովի 2019 թվականի փետրվարի 14-ի «Հայաստանի Հանրապետության կառավարության ծրագրին հավանություն տալու մասին» ԱԺՈ-002-Ն որոշմամբ հավանության արժանացած ՀՀ կառավարության 2019 թվականի փետրվարի 8</w:t>
            </w:r>
            <w:r w:rsidRPr="0053423A">
              <w:rPr>
                <w:spacing w:val="-2"/>
                <w:sz w:val="20"/>
                <w:szCs w:val="20"/>
                <w:lang w:val="af-ZA"/>
              </w:rPr>
              <w:t>-</w:t>
            </w:r>
            <w:r w:rsidRPr="0053423A">
              <w:rPr>
                <w:spacing w:val="-2"/>
                <w:sz w:val="20"/>
                <w:szCs w:val="20"/>
                <w:lang w:val="hy-AM"/>
              </w:rPr>
              <w:t>ի</w:t>
            </w:r>
            <w:r w:rsidRPr="0053423A">
              <w:rPr>
                <w:spacing w:val="-2"/>
                <w:sz w:val="20"/>
                <w:szCs w:val="20"/>
                <w:lang w:val="af-ZA"/>
              </w:rPr>
              <w:t xml:space="preserve"> N 65-Ա որոշման </w:t>
            </w:r>
            <w:r w:rsidRPr="0053423A">
              <w:rPr>
                <w:spacing w:val="-2"/>
                <w:sz w:val="20"/>
                <w:szCs w:val="20"/>
                <w:lang w:val="hy-AM"/>
              </w:rPr>
              <w:t>6</w:t>
            </w:r>
            <w:r w:rsidRPr="0053423A">
              <w:rPr>
                <w:spacing w:val="-2"/>
                <w:sz w:val="20"/>
                <w:szCs w:val="20"/>
                <w:lang w:val="pt-BR"/>
              </w:rPr>
              <w:t>.4</w:t>
            </w:r>
            <w:r w:rsidRPr="0053423A">
              <w:rPr>
                <w:spacing w:val="-2"/>
                <w:sz w:val="20"/>
                <w:szCs w:val="20"/>
                <w:lang w:val="hy-AM"/>
              </w:rPr>
              <w:t xml:space="preserve"> «Ջրային</w:t>
            </w:r>
            <w:r w:rsidRPr="0053423A">
              <w:rPr>
                <w:spacing w:val="-2"/>
                <w:sz w:val="20"/>
                <w:szCs w:val="20"/>
                <w:lang w:val="af-ZA"/>
              </w:rPr>
              <w:t xml:space="preserve"> </w:t>
            </w:r>
            <w:r w:rsidRPr="0053423A">
              <w:rPr>
                <w:rFonts w:cs="GHEA Grapalat"/>
                <w:sz w:val="20"/>
                <w:szCs w:val="20"/>
                <w:lang w:val="af-ZA"/>
              </w:rPr>
              <w:t>տնտեսությունը» բաժինը և</w:t>
            </w:r>
            <w:r w:rsidRPr="0053423A">
              <w:rPr>
                <w:rFonts w:cs="Sylfaen"/>
                <w:sz w:val="20"/>
                <w:szCs w:val="20"/>
                <w:lang w:val="af-ZA"/>
              </w:rPr>
              <w:t xml:space="preserve"> «</w:t>
            </w:r>
            <w:r w:rsidRPr="0053423A">
              <w:rPr>
                <w:rFonts w:cs="Sylfaen"/>
                <w:sz w:val="20"/>
                <w:szCs w:val="20"/>
                <w:lang w:val="hy-AM"/>
              </w:rPr>
              <w:t>ՀՀ</w:t>
            </w:r>
            <w:r w:rsidRPr="0053423A">
              <w:rPr>
                <w:rFonts w:cs="Sylfaen"/>
                <w:sz w:val="20"/>
                <w:szCs w:val="20"/>
                <w:lang w:val="af-ZA"/>
              </w:rPr>
              <w:t xml:space="preserve"> </w:t>
            </w:r>
            <w:r w:rsidRPr="0053423A">
              <w:rPr>
                <w:rFonts w:cs="Sylfaen"/>
                <w:sz w:val="20"/>
                <w:szCs w:val="20"/>
                <w:lang w:val="hy-AM"/>
              </w:rPr>
              <w:t>ջրի</w:t>
            </w:r>
            <w:r w:rsidRPr="0053423A">
              <w:rPr>
                <w:rFonts w:cs="Sylfaen"/>
                <w:sz w:val="20"/>
                <w:szCs w:val="20"/>
                <w:lang w:val="af-ZA"/>
              </w:rPr>
              <w:t xml:space="preserve"> </w:t>
            </w:r>
            <w:r w:rsidRPr="0053423A">
              <w:rPr>
                <w:rFonts w:cs="Sylfaen"/>
                <w:sz w:val="20"/>
                <w:szCs w:val="20"/>
                <w:lang w:val="hy-AM"/>
              </w:rPr>
              <w:t>ազգային</w:t>
            </w:r>
            <w:r w:rsidRPr="0053423A">
              <w:rPr>
                <w:rFonts w:cs="Sylfaen"/>
                <w:sz w:val="20"/>
                <w:szCs w:val="20"/>
                <w:lang w:val="af-ZA"/>
              </w:rPr>
              <w:t xml:space="preserve"> </w:t>
            </w:r>
            <w:r w:rsidRPr="0053423A">
              <w:rPr>
                <w:rFonts w:cs="Sylfaen"/>
                <w:sz w:val="20"/>
                <w:szCs w:val="20"/>
                <w:lang w:val="hy-AM"/>
              </w:rPr>
              <w:t>ծրագրի</w:t>
            </w:r>
            <w:r w:rsidRPr="0053423A">
              <w:rPr>
                <w:rFonts w:cs="Sylfaen"/>
                <w:sz w:val="20"/>
                <w:szCs w:val="20"/>
                <w:lang w:val="af-ZA"/>
              </w:rPr>
              <w:t xml:space="preserve"> </w:t>
            </w:r>
            <w:r w:rsidRPr="0053423A">
              <w:rPr>
                <w:rFonts w:cs="Sylfaen"/>
                <w:sz w:val="20"/>
                <w:szCs w:val="20"/>
                <w:lang w:val="hy-AM"/>
              </w:rPr>
              <w:t>մասին</w:t>
            </w:r>
            <w:r w:rsidRPr="0053423A">
              <w:rPr>
                <w:rFonts w:cs="Sylfaen"/>
                <w:sz w:val="20"/>
                <w:szCs w:val="20"/>
                <w:lang w:val="af-ZA"/>
              </w:rPr>
              <w:t xml:space="preserve">» </w:t>
            </w:r>
            <w:r w:rsidRPr="0053423A">
              <w:rPr>
                <w:rFonts w:cs="Sylfaen"/>
                <w:sz w:val="20"/>
                <w:szCs w:val="20"/>
                <w:lang w:val="hy-AM"/>
              </w:rPr>
              <w:t>ՀՀ</w:t>
            </w:r>
            <w:r w:rsidRPr="0053423A">
              <w:rPr>
                <w:rFonts w:cs="Sylfaen"/>
                <w:sz w:val="20"/>
                <w:szCs w:val="20"/>
                <w:lang w:val="af-ZA"/>
              </w:rPr>
              <w:t xml:space="preserve"> </w:t>
            </w:r>
            <w:r w:rsidRPr="0053423A">
              <w:rPr>
                <w:rFonts w:cs="Sylfaen"/>
                <w:sz w:val="20"/>
                <w:szCs w:val="20"/>
                <w:lang w:val="hy-AM"/>
              </w:rPr>
              <w:t>օրենքի</w:t>
            </w:r>
            <w:r w:rsidRPr="0053423A">
              <w:rPr>
                <w:rFonts w:cs="Sylfaen"/>
                <w:sz w:val="20"/>
                <w:szCs w:val="20"/>
                <w:lang w:val="af-ZA"/>
              </w:rPr>
              <w:t xml:space="preserve"> 15-</w:t>
            </w:r>
            <w:r w:rsidRPr="0053423A">
              <w:rPr>
                <w:rFonts w:cs="Sylfaen"/>
                <w:sz w:val="20"/>
                <w:szCs w:val="20"/>
                <w:lang w:val="hy-AM"/>
              </w:rPr>
              <w:t>րդ</w:t>
            </w:r>
            <w:r w:rsidRPr="0053423A">
              <w:rPr>
                <w:rFonts w:cs="Sylfaen"/>
                <w:sz w:val="20"/>
                <w:szCs w:val="20"/>
                <w:lang w:val="af-ZA"/>
              </w:rPr>
              <w:t xml:space="preserve"> </w:t>
            </w:r>
            <w:r w:rsidRPr="0053423A">
              <w:rPr>
                <w:rFonts w:cs="Sylfaen"/>
                <w:sz w:val="20"/>
                <w:szCs w:val="20"/>
                <w:lang w:val="hy-AM"/>
              </w:rPr>
              <w:t>հոդվածը՝</w:t>
            </w:r>
            <w:r w:rsidRPr="0053423A">
              <w:rPr>
                <w:rFonts w:cs="Sylfaen"/>
                <w:sz w:val="20"/>
                <w:szCs w:val="20"/>
                <w:lang w:val="af-ZA"/>
              </w:rPr>
              <w:t xml:space="preserve"> </w:t>
            </w:r>
            <w:r w:rsidRPr="0053423A">
              <w:rPr>
                <w:sz w:val="20"/>
                <w:szCs w:val="20"/>
                <w:lang w:val="af-ZA"/>
              </w:rPr>
              <w:t>անհրաժեշտություն է առաջացել գործող ջրամբարների տեխնիկական վիճակի գնահատման և վերականգնման, ինչպես նաև յուրաքանչյուր ջրամբարի անվտանգության ապահովման համար մշակել ծրագիր:</w:t>
            </w:r>
          </w:p>
          <w:p w:rsidR="0084615D" w:rsidRPr="0053423A" w:rsidRDefault="00795500" w:rsidP="001F6D5D">
            <w:pPr>
              <w:pStyle w:val="ListParagraph"/>
              <w:numPr>
                <w:ilvl w:val="1"/>
                <w:numId w:val="283"/>
              </w:numPr>
              <w:tabs>
                <w:tab w:val="left" w:pos="900"/>
                <w:tab w:val="left" w:pos="1620"/>
              </w:tabs>
              <w:spacing w:after="0" w:line="276" w:lineRule="auto"/>
              <w:rPr>
                <w:rFonts w:eastAsia="Times New Roman"/>
                <w:b/>
                <w:sz w:val="20"/>
                <w:szCs w:val="20"/>
                <w:lang w:val="af-ZA"/>
              </w:rPr>
            </w:pPr>
            <w:r w:rsidRPr="0053423A">
              <w:rPr>
                <w:rFonts w:eastAsia="Times New Roman"/>
                <w:b/>
                <w:sz w:val="20"/>
                <w:szCs w:val="20"/>
                <w:lang w:val="ru-RU"/>
              </w:rPr>
              <w:t>Կ</w:t>
            </w:r>
            <w:r w:rsidR="0084615D" w:rsidRPr="0053423A">
              <w:rPr>
                <w:rFonts w:eastAsia="Times New Roman"/>
                <w:b/>
                <w:sz w:val="20"/>
                <w:szCs w:val="20"/>
              </w:rPr>
              <w:t>արգավորման</w:t>
            </w:r>
            <w:r w:rsidR="0084615D" w:rsidRPr="0053423A">
              <w:rPr>
                <w:rFonts w:eastAsia="Times New Roman"/>
                <w:b/>
                <w:sz w:val="20"/>
                <w:szCs w:val="20"/>
                <w:lang w:val="af-ZA"/>
              </w:rPr>
              <w:t xml:space="preserve"> </w:t>
            </w:r>
            <w:r w:rsidR="0084615D" w:rsidRPr="0053423A">
              <w:rPr>
                <w:rFonts w:eastAsia="Times New Roman"/>
                <w:b/>
                <w:sz w:val="20"/>
                <w:szCs w:val="20"/>
              </w:rPr>
              <w:t>հարաբերությունների</w:t>
            </w:r>
            <w:r w:rsidR="0084615D" w:rsidRPr="0053423A">
              <w:rPr>
                <w:rFonts w:eastAsia="Times New Roman"/>
                <w:b/>
                <w:sz w:val="20"/>
                <w:szCs w:val="20"/>
                <w:lang w:val="af-ZA"/>
              </w:rPr>
              <w:t xml:space="preserve"> </w:t>
            </w:r>
            <w:r w:rsidR="0084615D" w:rsidRPr="0053423A">
              <w:rPr>
                <w:rFonts w:eastAsia="Times New Roman"/>
                <w:b/>
                <w:sz w:val="20"/>
                <w:szCs w:val="20"/>
              </w:rPr>
              <w:t>ներկա</w:t>
            </w:r>
            <w:r w:rsidR="0084615D" w:rsidRPr="0053423A">
              <w:rPr>
                <w:rFonts w:eastAsia="Times New Roman"/>
                <w:b/>
                <w:sz w:val="20"/>
                <w:szCs w:val="20"/>
                <w:lang w:val="af-ZA"/>
              </w:rPr>
              <w:t xml:space="preserve"> </w:t>
            </w:r>
            <w:r w:rsidR="0084615D" w:rsidRPr="0053423A">
              <w:rPr>
                <w:rFonts w:eastAsia="Times New Roman"/>
                <w:b/>
                <w:sz w:val="20"/>
                <w:szCs w:val="20"/>
              </w:rPr>
              <w:t>վիճակը</w:t>
            </w:r>
            <w:r w:rsidR="0084615D" w:rsidRPr="0053423A">
              <w:rPr>
                <w:rFonts w:eastAsia="Times New Roman"/>
                <w:b/>
                <w:sz w:val="20"/>
                <w:szCs w:val="20"/>
                <w:lang w:val="af-ZA"/>
              </w:rPr>
              <w:t xml:space="preserve"> </w:t>
            </w:r>
            <w:r w:rsidR="0084615D" w:rsidRPr="0053423A">
              <w:rPr>
                <w:rFonts w:eastAsia="Times New Roman"/>
                <w:b/>
                <w:sz w:val="20"/>
                <w:szCs w:val="20"/>
              </w:rPr>
              <w:t>և</w:t>
            </w:r>
            <w:r w:rsidR="0084615D" w:rsidRPr="0053423A">
              <w:rPr>
                <w:rFonts w:eastAsia="Times New Roman"/>
                <w:b/>
                <w:sz w:val="20"/>
                <w:szCs w:val="20"/>
                <w:lang w:val="af-ZA"/>
              </w:rPr>
              <w:t xml:space="preserve"> </w:t>
            </w:r>
            <w:r w:rsidR="0084615D" w:rsidRPr="0053423A">
              <w:rPr>
                <w:rFonts w:eastAsia="Times New Roman"/>
                <w:b/>
                <w:sz w:val="20"/>
                <w:szCs w:val="20"/>
              </w:rPr>
              <w:t>առկա</w:t>
            </w:r>
            <w:r w:rsidR="0084615D" w:rsidRPr="0053423A">
              <w:rPr>
                <w:rFonts w:eastAsia="Times New Roman"/>
                <w:b/>
                <w:sz w:val="20"/>
                <w:szCs w:val="20"/>
                <w:lang w:val="af-ZA"/>
              </w:rPr>
              <w:t xml:space="preserve"> </w:t>
            </w:r>
            <w:r w:rsidR="0084615D" w:rsidRPr="0053423A">
              <w:rPr>
                <w:rFonts w:eastAsia="Times New Roman"/>
                <w:b/>
                <w:sz w:val="20"/>
                <w:szCs w:val="20"/>
              </w:rPr>
              <w:t>խնդիրները</w:t>
            </w:r>
          </w:p>
          <w:p w:rsidR="0084615D" w:rsidRPr="0053423A" w:rsidRDefault="0084615D" w:rsidP="00A67858">
            <w:pPr>
              <w:spacing w:after="0" w:line="276" w:lineRule="auto"/>
              <w:jc w:val="both"/>
              <w:rPr>
                <w:sz w:val="20"/>
                <w:szCs w:val="20"/>
                <w:lang w:val="af-ZA"/>
              </w:rPr>
            </w:pPr>
            <w:r w:rsidRPr="0053423A">
              <w:rPr>
                <w:rFonts w:cs="Sylfaen"/>
                <w:sz w:val="20"/>
                <w:szCs w:val="20"/>
                <w:lang w:val="af-ZA"/>
              </w:rPr>
              <w:t xml:space="preserve">Ներկայումս </w:t>
            </w:r>
            <w:r w:rsidRPr="0053423A">
              <w:rPr>
                <w:sz w:val="20"/>
                <w:szCs w:val="20"/>
                <w:lang w:val="af-ZA"/>
              </w:rPr>
              <w:t>ՀՀ տարածքում գործող ջրամբարների հիմնականում կառուցվել են մինչև 1970-ական թվականները և տեխնիկապես մաշված վիճակում են և ունեն լուրջ հիմնանորոգման կարիք: Ջրամատակարման պատվարները, հանգույցները, և այլ սարքավորումներ և կառույցներ ունեն հիմնանորոգման կարիք: Վերը նշված իրավիճակի արդյունքում մեծ են ջրամբարներում կուտակված ջրի կորուստները, ինչպես նաև դրանց ջրամատակարարման համակարգերով մատակարարման կորուստները: Ջրամբարների ներկայիս տեխնիակական վիճակը առաջացնում է շահագործման անվտանգության կանոնների պահպանման խնդիրներ:</w:t>
            </w:r>
          </w:p>
          <w:p w:rsidR="0084615D" w:rsidRPr="0053423A" w:rsidRDefault="0084615D" w:rsidP="00A67858">
            <w:pPr>
              <w:spacing w:after="0" w:line="276" w:lineRule="auto"/>
              <w:jc w:val="both"/>
              <w:rPr>
                <w:rFonts w:cs="Sylfaen"/>
                <w:sz w:val="20"/>
                <w:szCs w:val="20"/>
                <w:lang w:val="af-ZA"/>
              </w:rPr>
            </w:pPr>
            <w:r w:rsidRPr="0053423A">
              <w:rPr>
                <w:rFonts w:cs="Sylfaen"/>
                <w:sz w:val="20"/>
                <w:szCs w:val="20"/>
                <w:lang w:val="af-ZA"/>
              </w:rPr>
              <w:t>Ծրագրի իրականացման համար անհրաժեշտ է մասնագիտացված կազմակերպությունների կողմից, ըստ առանձին ջրամբարների, կատարել առավել մանրամասն ուսումնասիրություններ՝ ծրագրերի իրականացվելիությունը գնահատելու և հետագայում սահմանված կարգով ընթացք տալու նպատակով:</w:t>
            </w:r>
          </w:p>
          <w:p w:rsidR="0084615D" w:rsidRPr="0053423A" w:rsidRDefault="0084615D" w:rsidP="00A67858">
            <w:pPr>
              <w:pStyle w:val="ListParagraph"/>
              <w:tabs>
                <w:tab w:val="left" w:pos="900"/>
              </w:tabs>
              <w:spacing w:after="0" w:line="276" w:lineRule="auto"/>
              <w:ind w:left="0" w:firstLine="1080"/>
              <w:rPr>
                <w:b/>
                <w:sz w:val="20"/>
                <w:szCs w:val="20"/>
                <w:lang w:val="af-ZA"/>
              </w:rPr>
            </w:pPr>
            <w:r w:rsidRPr="0053423A">
              <w:rPr>
                <w:b/>
                <w:sz w:val="20"/>
                <w:szCs w:val="20"/>
                <w:lang w:val="af-ZA"/>
              </w:rPr>
              <w:t>1.</w:t>
            </w:r>
            <w:r w:rsidRPr="0053423A">
              <w:rPr>
                <w:rFonts w:eastAsia="Times New Roman"/>
                <w:b/>
                <w:sz w:val="20"/>
                <w:szCs w:val="20"/>
                <w:lang w:val="af-ZA"/>
              </w:rPr>
              <w:t>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ա</w:t>
            </w:r>
            <w:r w:rsidRPr="0053423A">
              <w:rPr>
                <w:rFonts w:eastAsia="Times New Roman"/>
                <w:b/>
                <w:sz w:val="20"/>
                <w:szCs w:val="20"/>
              </w:rPr>
              <w:t>ռկա</w:t>
            </w:r>
            <w:r w:rsidRPr="0053423A">
              <w:rPr>
                <w:rFonts w:eastAsia="Times New Roman"/>
                <w:b/>
                <w:sz w:val="20"/>
                <w:szCs w:val="20"/>
                <w:lang w:val="af-ZA"/>
              </w:rPr>
              <w:t xml:space="preserve"> </w:t>
            </w:r>
            <w:r w:rsidRPr="0053423A">
              <w:rPr>
                <w:rFonts w:eastAsia="Times New Roman"/>
                <w:b/>
                <w:sz w:val="20"/>
                <w:szCs w:val="20"/>
              </w:rPr>
              <w:t>խնդիրների</w:t>
            </w:r>
            <w:r w:rsidRPr="0053423A">
              <w:rPr>
                <w:rFonts w:eastAsia="Times New Roman"/>
                <w:b/>
                <w:sz w:val="20"/>
                <w:szCs w:val="20"/>
                <w:lang w:val="af-ZA"/>
              </w:rPr>
              <w:t xml:space="preserve"> </w:t>
            </w:r>
            <w:r w:rsidRPr="0053423A">
              <w:rPr>
                <w:rFonts w:eastAsia="Times New Roman"/>
                <w:b/>
                <w:sz w:val="20"/>
                <w:szCs w:val="20"/>
              </w:rPr>
              <w:t>առաջարկվող</w:t>
            </w:r>
            <w:r w:rsidRPr="0053423A">
              <w:rPr>
                <w:rFonts w:eastAsia="Times New Roman"/>
                <w:b/>
                <w:sz w:val="20"/>
                <w:szCs w:val="20"/>
                <w:lang w:val="af-ZA"/>
              </w:rPr>
              <w:t xml:space="preserve"> </w:t>
            </w:r>
            <w:r w:rsidRPr="0053423A">
              <w:rPr>
                <w:rFonts w:eastAsia="Times New Roman"/>
                <w:b/>
                <w:sz w:val="20"/>
                <w:szCs w:val="20"/>
              </w:rPr>
              <w:t>լուծումները</w:t>
            </w:r>
          </w:p>
          <w:p w:rsidR="0084615D" w:rsidRPr="0053423A" w:rsidRDefault="0084615D" w:rsidP="00A67858">
            <w:pPr>
              <w:spacing w:after="0" w:line="276" w:lineRule="auto"/>
              <w:jc w:val="both"/>
              <w:rPr>
                <w:sz w:val="20"/>
                <w:szCs w:val="20"/>
                <w:lang w:val="af-ZA"/>
              </w:rPr>
            </w:pPr>
            <w:r w:rsidRPr="0053423A">
              <w:rPr>
                <w:sz w:val="20"/>
                <w:szCs w:val="20"/>
                <w:lang w:val="af-ZA"/>
              </w:rPr>
              <w:t xml:space="preserve">Ծրագրերի մշակման արդյունքում հնարավոր կլինի բարելավել ոռոգելի հողատարածքների ջրամատակարարումը, ավելացնել նոր հողատարածքներ, մեխանիկական ջրարտադրության ինքնահոսով փոխարինելու արդյունքում համակարգի համար ապահովել էլեկտրաէներգիայի խնայողություն, ինչպես նաև ապահովել ջրամբարների անվտանգ շահագործումը:: </w:t>
            </w:r>
          </w:p>
          <w:p w:rsidR="0084615D" w:rsidRPr="0053423A" w:rsidRDefault="0084615D" w:rsidP="00A67858">
            <w:pPr>
              <w:pStyle w:val="ListParagraph"/>
              <w:tabs>
                <w:tab w:val="left" w:pos="1620"/>
              </w:tabs>
              <w:spacing w:after="0" w:line="276" w:lineRule="auto"/>
              <w:ind w:left="0" w:firstLine="1080"/>
              <w:rPr>
                <w:b/>
                <w:sz w:val="20"/>
                <w:szCs w:val="20"/>
                <w:lang w:val="af-ZA"/>
              </w:rPr>
            </w:pPr>
            <w:r w:rsidRPr="0053423A">
              <w:rPr>
                <w:b/>
                <w:sz w:val="20"/>
                <w:szCs w:val="20"/>
                <w:lang w:val="af-ZA"/>
              </w:rPr>
              <w:t>2.</w:t>
            </w:r>
            <w:r w:rsidRPr="0053423A">
              <w:rPr>
                <w:rFonts w:ascii="Calibri" w:hAnsi="Calibri" w:cs="Calibri"/>
                <w:b/>
                <w:sz w:val="20"/>
                <w:szCs w:val="20"/>
                <w:lang w:val="af-ZA"/>
              </w:rPr>
              <w:t> </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իրակացումից</w:t>
            </w:r>
            <w:r w:rsidRPr="0053423A">
              <w:rPr>
                <w:rFonts w:eastAsia="Times New Roman"/>
                <w:b/>
                <w:sz w:val="20"/>
                <w:szCs w:val="20"/>
                <w:lang w:val="af-ZA"/>
              </w:rPr>
              <w:t xml:space="preserve"> </w:t>
            </w:r>
            <w:r w:rsidRPr="0053423A">
              <w:rPr>
                <w:rFonts w:eastAsia="Times New Roman"/>
                <w:b/>
                <w:sz w:val="20"/>
                <w:szCs w:val="20"/>
              </w:rPr>
              <w:t>ակնկալվող</w:t>
            </w:r>
            <w:r w:rsidRPr="0053423A">
              <w:rPr>
                <w:rFonts w:eastAsia="Times New Roman"/>
                <w:b/>
                <w:sz w:val="20"/>
                <w:szCs w:val="20"/>
                <w:lang w:val="af-ZA"/>
              </w:rPr>
              <w:t xml:space="preserve"> </w:t>
            </w:r>
            <w:r w:rsidRPr="0053423A">
              <w:rPr>
                <w:rFonts w:eastAsia="Times New Roman"/>
                <w:b/>
                <w:sz w:val="20"/>
                <w:szCs w:val="20"/>
              </w:rPr>
              <w:t>արդյունքը</w:t>
            </w:r>
          </w:p>
          <w:p w:rsidR="0084615D" w:rsidRPr="0053423A" w:rsidRDefault="0084615D" w:rsidP="00A67858">
            <w:pPr>
              <w:spacing w:after="0" w:line="276" w:lineRule="auto"/>
              <w:jc w:val="both"/>
              <w:rPr>
                <w:sz w:val="20"/>
                <w:szCs w:val="20"/>
                <w:lang w:val="fr-FR"/>
              </w:rPr>
            </w:pPr>
            <w:r w:rsidRPr="0053423A">
              <w:rPr>
                <w:rFonts w:cs="Sylfaen"/>
                <w:spacing w:val="-8"/>
                <w:sz w:val="20"/>
                <w:szCs w:val="20"/>
                <w:lang w:val="af-ZA"/>
              </w:rPr>
              <w:t>Գործող ջ</w:t>
            </w:r>
            <w:r w:rsidRPr="0053423A">
              <w:rPr>
                <w:sz w:val="20"/>
                <w:szCs w:val="20"/>
              </w:rPr>
              <w:t>րամբարների</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խոշոր</w:t>
            </w:r>
            <w:r w:rsidRPr="0053423A">
              <w:rPr>
                <w:sz w:val="20"/>
                <w:szCs w:val="20"/>
                <w:lang w:val="af-ZA"/>
              </w:rPr>
              <w:t xml:space="preserve"> </w:t>
            </w:r>
            <w:r w:rsidRPr="0053423A">
              <w:rPr>
                <w:sz w:val="20"/>
                <w:szCs w:val="20"/>
              </w:rPr>
              <w:t>ՀՏԿ</w:t>
            </w:r>
            <w:r w:rsidRPr="0053423A">
              <w:rPr>
                <w:sz w:val="20"/>
                <w:szCs w:val="20"/>
                <w:lang w:val="af-ZA"/>
              </w:rPr>
              <w:t>-</w:t>
            </w:r>
            <w:r w:rsidRPr="0053423A">
              <w:rPr>
                <w:sz w:val="20"/>
                <w:szCs w:val="20"/>
              </w:rPr>
              <w:t>ների</w:t>
            </w:r>
            <w:r w:rsidRPr="0053423A">
              <w:rPr>
                <w:sz w:val="20"/>
                <w:szCs w:val="20"/>
                <w:lang w:val="af-ZA"/>
              </w:rPr>
              <w:t xml:space="preserve"> </w:t>
            </w:r>
            <w:r w:rsidRPr="0053423A">
              <w:rPr>
                <w:sz w:val="20"/>
                <w:szCs w:val="20"/>
              </w:rPr>
              <w:t>անվտանգ</w:t>
            </w:r>
            <w:r w:rsidRPr="0053423A">
              <w:rPr>
                <w:sz w:val="20"/>
                <w:szCs w:val="20"/>
                <w:lang w:val="af-ZA"/>
              </w:rPr>
              <w:t xml:space="preserve"> </w:t>
            </w:r>
            <w:r w:rsidRPr="0053423A">
              <w:rPr>
                <w:sz w:val="20"/>
                <w:szCs w:val="20"/>
              </w:rPr>
              <w:t>շահագործում</w:t>
            </w:r>
            <w:r w:rsidRPr="0053423A">
              <w:rPr>
                <w:sz w:val="20"/>
                <w:szCs w:val="20"/>
                <w:lang w:val="af-ZA"/>
              </w:rPr>
              <w:t xml:space="preserve">: </w:t>
            </w:r>
            <w:r w:rsidRPr="0053423A">
              <w:rPr>
                <w:sz w:val="20"/>
                <w:szCs w:val="20"/>
              </w:rPr>
              <w:t>Բնակչության</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բնակավայրերի</w:t>
            </w:r>
            <w:r w:rsidRPr="0053423A">
              <w:rPr>
                <w:sz w:val="20"/>
                <w:szCs w:val="20"/>
                <w:lang w:val="af-ZA"/>
              </w:rPr>
              <w:t xml:space="preserve"> </w:t>
            </w:r>
            <w:r w:rsidRPr="0053423A">
              <w:rPr>
                <w:sz w:val="20"/>
                <w:szCs w:val="20"/>
              </w:rPr>
              <w:t>անվտանգության</w:t>
            </w:r>
            <w:r w:rsidRPr="0053423A">
              <w:rPr>
                <w:sz w:val="20"/>
                <w:szCs w:val="20"/>
                <w:lang w:val="af-ZA"/>
              </w:rPr>
              <w:t xml:space="preserve"> </w:t>
            </w:r>
            <w:r w:rsidRPr="0053423A">
              <w:rPr>
                <w:sz w:val="20"/>
                <w:szCs w:val="20"/>
              </w:rPr>
              <w:t>բարձրացում</w:t>
            </w:r>
            <w:r w:rsidRPr="0053423A">
              <w:rPr>
                <w:sz w:val="20"/>
                <w:szCs w:val="20"/>
                <w:lang w:val="af-ZA"/>
              </w:rPr>
              <w:t>:</w:t>
            </w:r>
          </w:p>
          <w:p w:rsidR="0084615D" w:rsidRPr="0053423A" w:rsidRDefault="0084615D" w:rsidP="00A67858">
            <w:pPr>
              <w:pStyle w:val="NormalWeb"/>
              <w:shd w:val="clear" w:color="auto" w:fill="FFFFFF"/>
              <w:spacing w:before="0" w:beforeAutospacing="0" w:after="0" w:afterAutospacing="0" w:line="276" w:lineRule="auto"/>
              <w:jc w:val="center"/>
              <w:rPr>
                <w:rFonts w:ascii="GHEA Grapalat" w:hAnsi="GHEA Grapalat"/>
                <w:b/>
                <w:color w:val="000000"/>
                <w:sz w:val="20"/>
                <w:szCs w:val="20"/>
                <w:lang w:val="fr-FR" w:eastAsia="en-US"/>
              </w:rPr>
            </w:pPr>
          </w:p>
        </w:tc>
      </w:tr>
      <w:tr w:rsidR="0084615D" w:rsidRPr="00DE2EFA" w:rsidTr="00844C90">
        <w:tc>
          <w:tcPr>
            <w:tcW w:w="461" w:type="dxa"/>
            <w:shd w:val="clear" w:color="auto" w:fill="auto"/>
          </w:tcPr>
          <w:p w:rsidR="0084615D" w:rsidRPr="0053423A" w:rsidRDefault="00626D24" w:rsidP="00A67858">
            <w:pPr>
              <w:spacing w:after="0" w:line="276" w:lineRule="auto"/>
              <w:jc w:val="center"/>
              <w:rPr>
                <w:rFonts w:eastAsia="Times New Roman"/>
                <w:b/>
                <w:bCs/>
                <w:sz w:val="20"/>
                <w:szCs w:val="20"/>
                <w:lang w:val="hy-AM"/>
              </w:rPr>
            </w:pPr>
            <w:r>
              <w:rPr>
                <w:rFonts w:eastAsia="Times New Roman"/>
                <w:b/>
                <w:bCs/>
                <w:sz w:val="20"/>
                <w:szCs w:val="20"/>
                <w:lang w:val="hy-AM"/>
              </w:rPr>
              <w:t>32</w:t>
            </w:r>
          </w:p>
        </w:tc>
        <w:tc>
          <w:tcPr>
            <w:tcW w:w="10879" w:type="dxa"/>
            <w:shd w:val="clear" w:color="auto" w:fill="auto"/>
          </w:tcPr>
          <w:p w:rsidR="0084615D" w:rsidRPr="0053423A" w:rsidRDefault="0084615D" w:rsidP="00A67858">
            <w:pPr>
              <w:pStyle w:val="NormalWeb"/>
              <w:shd w:val="clear" w:color="auto" w:fill="FFFFFF"/>
              <w:spacing w:before="0" w:beforeAutospacing="0" w:after="0" w:afterAutospacing="0" w:line="276" w:lineRule="auto"/>
              <w:jc w:val="center"/>
              <w:rPr>
                <w:rFonts w:ascii="GHEA Grapalat" w:hAnsi="GHEA Grapalat"/>
                <w:b/>
                <w:color w:val="000000"/>
                <w:sz w:val="20"/>
                <w:szCs w:val="20"/>
              </w:rPr>
            </w:pPr>
            <w:r w:rsidRPr="0053423A">
              <w:rPr>
                <w:rFonts w:ascii="GHEA Grapalat" w:hAnsi="GHEA Grapalat"/>
                <w:b/>
                <w:color w:val="000000"/>
                <w:sz w:val="20"/>
                <w:szCs w:val="20"/>
              </w:rPr>
              <w:t>Ջրօգտագործման</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ու</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ջրերի</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կառավարման</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ռազմավարական</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նշանակության</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խնդիրների</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լուծման</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նպատակով</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կիրականացվի</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մասնավոր</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մասնավոր</w:t>
            </w:r>
            <w:r w:rsidRPr="0053423A">
              <w:rPr>
                <w:rFonts w:ascii="GHEA Grapalat" w:hAnsi="GHEA Grapalat"/>
                <w:b/>
                <w:color w:val="000000"/>
                <w:sz w:val="20"/>
                <w:szCs w:val="20"/>
                <w:lang w:val="hy-AM"/>
              </w:rPr>
              <w:t>-</w:t>
            </w:r>
            <w:r w:rsidRPr="0053423A">
              <w:rPr>
                <w:rFonts w:ascii="GHEA Grapalat" w:hAnsi="GHEA Grapalat"/>
                <w:b/>
                <w:color w:val="000000"/>
                <w:sz w:val="20"/>
                <w:szCs w:val="20"/>
              </w:rPr>
              <w:t>հանրային</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գործընկերությամբ</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տեղական</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և</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հանրապետական</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նշանակության</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ջրամբարների</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կառուցման</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և</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շահագործման</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համար</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անհրաժեշտ</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նորմատիվ</w:t>
            </w:r>
            <w:r w:rsidRPr="0053423A">
              <w:rPr>
                <w:rFonts w:ascii="GHEA Grapalat" w:hAnsi="GHEA Grapalat"/>
                <w:b/>
                <w:color w:val="000000"/>
                <w:sz w:val="20"/>
                <w:szCs w:val="20"/>
                <w:lang w:val="hy-AM"/>
              </w:rPr>
              <w:t>-</w:t>
            </w:r>
            <w:r w:rsidRPr="0053423A">
              <w:rPr>
                <w:rFonts w:ascii="GHEA Grapalat" w:hAnsi="GHEA Grapalat"/>
                <w:b/>
                <w:color w:val="000000"/>
                <w:sz w:val="20"/>
                <w:szCs w:val="20"/>
              </w:rPr>
              <w:t>իրավական</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դաշտի</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մշակում</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և</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հնարավոր</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ներդրողների</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համար</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դրանց</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հասանելիության</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ու</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հանրայնացման</w:t>
            </w:r>
            <w:r w:rsidRPr="0053423A">
              <w:rPr>
                <w:rFonts w:ascii="GHEA Grapalat" w:hAnsi="GHEA Grapalat"/>
                <w:b/>
                <w:color w:val="000000"/>
                <w:sz w:val="20"/>
                <w:szCs w:val="20"/>
                <w:lang w:val="hy-AM"/>
              </w:rPr>
              <w:t xml:space="preserve"> </w:t>
            </w:r>
            <w:r w:rsidRPr="0053423A">
              <w:rPr>
                <w:rFonts w:ascii="GHEA Grapalat" w:hAnsi="GHEA Grapalat"/>
                <w:b/>
                <w:color w:val="000000"/>
                <w:sz w:val="20"/>
                <w:szCs w:val="20"/>
              </w:rPr>
              <w:t>ապահովում</w:t>
            </w:r>
          </w:p>
          <w:p w:rsidR="0084615D" w:rsidRPr="0053423A" w:rsidRDefault="0084615D" w:rsidP="00A67858">
            <w:pPr>
              <w:pStyle w:val="NormalWeb"/>
              <w:shd w:val="clear" w:color="auto" w:fill="FFFFFF"/>
              <w:spacing w:before="0" w:beforeAutospacing="0" w:after="0" w:afterAutospacing="0" w:line="276" w:lineRule="auto"/>
              <w:jc w:val="center"/>
              <w:rPr>
                <w:rFonts w:ascii="GHEA Grapalat" w:hAnsi="GHEA Grapalat"/>
                <w:b/>
                <w:color w:val="000000"/>
                <w:sz w:val="20"/>
                <w:szCs w:val="20"/>
              </w:rPr>
            </w:pPr>
          </w:p>
          <w:p w:rsidR="0084615D" w:rsidRPr="0053423A" w:rsidRDefault="00626D24" w:rsidP="00A67858">
            <w:pPr>
              <w:spacing w:after="0" w:line="276" w:lineRule="auto"/>
              <w:ind w:left="709"/>
              <w:jc w:val="center"/>
              <w:rPr>
                <w:b/>
                <w:sz w:val="20"/>
                <w:szCs w:val="20"/>
                <w:u w:val="single"/>
                <w:lang w:val="af-ZA"/>
              </w:rPr>
            </w:pPr>
            <w:r>
              <w:rPr>
                <w:b/>
                <w:sz w:val="20"/>
                <w:szCs w:val="20"/>
                <w:u w:val="single"/>
                <w:lang w:val="fr-FR"/>
              </w:rPr>
              <w:t>32</w:t>
            </w:r>
            <w:r w:rsidR="0084615D" w:rsidRPr="0053423A">
              <w:rPr>
                <w:b/>
                <w:sz w:val="20"/>
                <w:szCs w:val="20"/>
                <w:u w:val="single"/>
                <w:lang w:val="af-ZA"/>
              </w:rPr>
              <w:t>.1  Ջրօգտագործման ու ջրերի կառավարման ռազմավարական նշանակության խնդիրների լուծման նպատակով անհրաժեշտ նորմատիվ-իրավական դաշտի նախնական ուսումնասիրությունների իրականացում</w:t>
            </w:r>
          </w:p>
          <w:p w:rsidR="0084615D" w:rsidRPr="0053423A" w:rsidRDefault="0084615D" w:rsidP="00A67858">
            <w:pPr>
              <w:tabs>
                <w:tab w:val="left" w:pos="1170"/>
              </w:tabs>
              <w:spacing w:after="0" w:line="276" w:lineRule="auto"/>
              <w:ind w:left="720"/>
              <w:jc w:val="center"/>
              <w:rPr>
                <w:b/>
                <w:sz w:val="20"/>
                <w:szCs w:val="20"/>
                <w:u w:val="single"/>
                <w:lang w:val="fr-FR"/>
              </w:rPr>
            </w:pPr>
          </w:p>
          <w:p w:rsidR="0084615D" w:rsidRPr="0053423A" w:rsidRDefault="00626D24" w:rsidP="00A67858">
            <w:pPr>
              <w:tabs>
                <w:tab w:val="left" w:pos="1170"/>
              </w:tabs>
              <w:spacing w:after="0" w:line="276" w:lineRule="auto"/>
              <w:ind w:left="720"/>
              <w:jc w:val="center"/>
              <w:rPr>
                <w:b/>
                <w:sz w:val="20"/>
                <w:szCs w:val="20"/>
                <w:u w:val="single"/>
                <w:lang w:val="af-ZA"/>
              </w:rPr>
            </w:pPr>
            <w:r>
              <w:rPr>
                <w:b/>
                <w:sz w:val="20"/>
                <w:szCs w:val="20"/>
                <w:u w:val="single"/>
                <w:lang w:val="af-ZA"/>
              </w:rPr>
              <w:t>32</w:t>
            </w:r>
            <w:r w:rsidR="0084615D" w:rsidRPr="0053423A">
              <w:rPr>
                <w:b/>
                <w:sz w:val="20"/>
                <w:szCs w:val="20"/>
                <w:u w:val="single"/>
                <w:lang w:val="af-ZA"/>
              </w:rPr>
              <w:t>.2 Ուսումնասիրությունների արդյունքում շահագրգիռ մարմինների հետ միջոցառումների ծրագրի մշակում</w:t>
            </w:r>
          </w:p>
          <w:p w:rsidR="0084615D" w:rsidRPr="0053423A" w:rsidRDefault="0084615D" w:rsidP="00A67858">
            <w:pPr>
              <w:spacing w:after="0" w:line="276" w:lineRule="auto"/>
              <w:ind w:firstLine="526"/>
              <w:jc w:val="both"/>
              <w:rPr>
                <w:b/>
                <w:i/>
                <w:sz w:val="20"/>
                <w:szCs w:val="20"/>
                <w:u w:val="single"/>
                <w:lang w:val="hy-AM"/>
              </w:rPr>
            </w:pPr>
          </w:p>
          <w:p w:rsidR="0084615D" w:rsidRPr="0053423A" w:rsidRDefault="0084615D" w:rsidP="00A67858">
            <w:pPr>
              <w:pStyle w:val="ListParagraph"/>
              <w:tabs>
                <w:tab w:val="left" w:pos="810"/>
              </w:tabs>
              <w:spacing w:after="0" w:line="276" w:lineRule="auto"/>
              <w:ind w:left="0" w:firstLine="1170"/>
              <w:rPr>
                <w:b/>
                <w:sz w:val="20"/>
                <w:szCs w:val="20"/>
                <w:lang w:val="af-ZA"/>
              </w:rPr>
            </w:pPr>
            <w:r w:rsidRPr="0053423A">
              <w:rPr>
                <w:rFonts w:eastAsia="Times New Roman" w:cs="Courier New"/>
                <w:b/>
                <w:sz w:val="20"/>
                <w:szCs w:val="20"/>
                <w:lang w:val="af-ZA"/>
              </w:rPr>
              <w:t>1.</w:t>
            </w:r>
            <w:r w:rsidRPr="0053423A">
              <w:rPr>
                <w:rFonts w:ascii="Calibri" w:eastAsia="Times New Roman" w:hAnsi="Calibri" w:cs="Calibri"/>
                <w:b/>
                <w:sz w:val="20"/>
                <w:szCs w:val="20"/>
                <w:lang w:val="af-ZA"/>
              </w:rPr>
              <w:t> </w:t>
            </w:r>
            <w:r w:rsidRPr="0053423A">
              <w:rPr>
                <w:rFonts w:eastAsia="Times New Roman"/>
                <w:b/>
                <w:sz w:val="20"/>
                <w:szCs w:val="20"/>
                <w:lang w:val="hy-AM"/>
              </w:rPr>
              <w:t>Միջոցառման</w:t>
            </w:r>
            <w:r w:rsidRPr="0053423A">
              <w:rPr>
                <w:rFonts w:eastAsia="Times New Roman"/>
                <w:b/>
                <w:sz w:val="20"/>
                <w:szCs w:val="20"/>
                <w:lang w:val="af-ZA"/>
              </w:rPr>
              <w:t xml:space="preserve"> </w:t>
            </w:r>
            <w:r w:rsidRPr="0053423A">
              <w:rPr>
                <w:rFonts w:eastAsia="Times New Roman"/>
                <w:b/>
                <w:sz w:val="20"/>
                <w:szCs w:val="20"/>
                <w:lang w:val="hy-AM"/>
              </w:rPr>
              <w:t>իրականացման</w:t>
            </w:r>
            <w:r w:rsidRPr="0053423A">
              <w:rPr>
                <w:rFonts w:eastAsia="Times New Roman"/>
                <w:b/>
                <w:sz w:val="20"/>
                <w:szCs w:val="20"/>
                <w:lang w:val="af-ZA"/>
              </w:rPr>
              <w:t xml:space="preserve"> </w:t>
            </w:r>
            <w:r w:rsidRPr="0053423A">
              <w:rPr>
                <w:rFonts w:eastAsia="Times New Roman"/>
                <w:b/>
                <w:sz w:val="20"/>
                <w:szCs w:val="20"/>
                <w:lang w:val="hy-AM"/>
              </w:rPr>
              <w:t>անհրաժեշտությունը</w:t>
            </w:r>
            <w:r w:rsidRPr="0053423A">
              <w:rPr>
                <w:rFonts w:eastAsia="Times New Roman"/>
                <w:b/>
                <w:sz w:val="20"/>
                <w:szCs w:val="20"/>
                <w:lang w:val="af-ZA"/>
              </w:rPr>
              <w:t xml:space="preserve"> </w:t>
            </w:r>
            <w:r w:rsidRPr="0053423A">
              <w:rPr>
                <w:rFonts w:eastAsia="Times New Roman"/>
                <w:b/>
                <w:sz w:val="20"/>
                <w:szCs w:val="20"/>
                <w:lang w:val="hy-AM"/>
              </w:rPr>
              <w:t>և</w:t>
            </w:r>
            <w:r w:rsidRPr="0053423A">
              <w:rPr>
                <w:rFonts w:eastAsia="Times New Roman"/>
                <w:b/>
                <w:sz w:val="20"/>
                <w:szCs w:val="20"/>
                <w:lang w:val="af-ZA"/>
              </w:rPr>
              <w:t xml:space="preserve"> </w:t>
            </w:r>
            <w:r w:rsidRPr="0053423A">
              <w:rPr>
                <w:rFonts w:eastAsia="Times New Roman"/>
                <w:b/>
                <w:sz w:val="20"/>
                <w:szCs w:val="20"/>
                <w:lang w:val="hy-AM"/>
              </w:rPr>
              <w:t>նպատակը</w:t>
            </w:r>
          </w:p>
          <w:p w:rsidR="0084615D" w:rsidRPr="0053423A" w:rsidRDefault="0084615D" w:rsidP="00A67858">
            <w:pPr>
              <w:spacing w:after="0" w:line="276" w:lineRule="auto"/>
              <w:jc w:val="both"/>
              <w:rPr>
                <w:rFonts w:cs="Sylfaen"/>
                <w:sz w:val="20"/>
                <w:szCs w:val="20"/>
                <w:lang w:val="af-ZA"/>
              </w:rPr>
            </w:pPr>
            <w:r w:rsidRPr="0053423A">
              <w:rPr>
                <w:rFonts w:cs="Sylfaen"/>
                <w:sz w:val="20"/>
                <w:szCs w:val="20"/>
                <w:lang w:val="af-ZA"/>
              </w:rPr>
              <w:t xml:space="preserve">Ներկայումս </w:t>
            </w:r>
            <w:r w:rsidRPr="0053423A">
              <w:rPr>
                <w:sz w:val="20"/>
                <w:szCs w:val="20"/>
                <w:lang w:val="af-ZA"/>
              </w:rPr>
              <w:t>ՀՀ տարածքում առաջացող մակերևութային ջրերը հնարավոր չէ արդյունավետ կառավարել և անհրաժեշտություն է առաջացել ջրի պահանջարկի բավարարման համար կազմավորվող ջրային ռեսուրսները ամբարելու:</w:t>
            </w:r>
            <w:r w:rsidRPr="0053423A">
              <w:rPr>
                <w:rFonts w:cs="Sylfaen"/>
                <w:sz w:val="20"/>
                <w:szCs w:val="20"/>
                <w:lang w:val="af-ZA"/>
              </w:rPr>
              <w:t xml:space="preserve"> Միջոցառման իրականացման հիմք է հանդիսանում </w:t>
            </w:r>
            <w:r w:rsidRPr="0053423A">
              <w:rPr>
                <w:rFonts w:cs="GHEA Grapalat"/>
                <w:sz w:val="20"/>
                <w:szCs w:val="20"/>
                <w:lang w:val="af-ZA"/>
              </w:rPr>
              <w:t>ՀՀ ազգային ժողովի 2019 թվականի փետրվարի 14-ի «Հայաստանի Հանրապետության կառավարության ծրագրին հավանություն տալու մասին» ԱԺՈ-002-Ն որոշմամբ հավանության արժանացած ՀՀ կառավարության 2019 թվականի փետրվարի 8</w:t>
            </w:r>
            <w:r w:rsidRPr="0053423A">
              <w:rPr>
                <w:spacing w:val="-2"/>
                <w:sz w:val="20"/>
                <w:szCs w:val="20"/>
                <w:lang w:val="af-ZA"/>
              </w:rPr>
              <w:t>-</w:t>
            </w:r>
            <w:r w:rsidRPr="0053423A">
              <w:rPr>
                <w:spacing w:val="-2"/>
                <w:sz w:val="20"/>
                <w:szCs w:val="20"/>
                <w:lang w:val="hy-AM"/>
              </w:rPr>
              <w:t>ի</w:t>
            </w:r>
            <w:r w:rsidRPr="0053423A">
              <w:rPr>
                <w:spacing w:val="-2"/>
                <w:sz w:val="20"/>
                <w:szCs w:val="20"/>
                <w:lang w:val="af-ZA"/>
              </w:rPr>
              <w:t xml:space="preserve"> N 65-Ա որոշման </w:t>
            </w:r>
            <w:r w:rsidRPr="0053423A">
              <w:rPr>
                <w:spacing w:val="-2"/>
                <w:sz w:val="20"/>
                <w:szCs w:val="20"/>
                <w:lang w:val="hy-AM"/>
              </w:rPr>
              <w:t>6</w:t>
            </w:r>
            <w:r w:rsidRPr="0053423A">
              <w:rPr>
                <w:spacing w:val="-2"/>
                <w:sz w:val="20"/>
                <w:szCs w:val="20"/>
                <w:lang w:val="pt-BR"/>
              </w:rPr>
              <w:t>.4</w:t>
            </w:r>
            <w:r w:rsidRPr="0053423A">
              <w:rPr>
                <w:spacing w:val="-2"/>
                <w:sz w:val="20"/>
                <w:szCs w:val="20"/>
                <w:lang w:val="hy-AM"/>
              </w:rPr>
              <w:t xml:space="preserve"> «Ջրային</w:t>
            </w:r>
            <w:r w:rsidRPr="0053423A">
              <w:rPr>
                <w:spacing w:val="-2"/>
                <w:sz w:val="20"/>
                <w:szCs w:val="20"/>
                <w:lang w:val="af-ZA"/>
              </w:rPr>
              <w:t xml:space="preserve"> </w:t>
            </w:r>
            <w:r w:rsidRPr="0053423A">
              <w:rPr>
                <w:rFonts w:cs="GHEA Grapalat"/>
                <w:sz w:val="20"/>
                <w:szCs w:val="20"/>
                <w:lang w:val="af-ZA"/>
              </w:rPr>
              <w:t xml:space="preserve">տնտեսությունը» բաժինը և </w:t>
            </w:r>
            <w:r w:rsidRPr="0053423A">
              <w:rPr>
                <w:rFonts w:cs="Sylfaen"/>
                <w:sz w:val="20"/>
                <w:szCs w:val="20"/>
                <w:lang w:val="af-ZA"/>
              </w:rPr>
              <w:t>«</w:t>
            </w:r>
            <w:r w:rsidRPr="0053423A">
              <w:rPr>
                <w:rFonts w:cs="Sylfaen"/>
                <w:sz w:val="20"/>
                <w:szCs w:val="20"/>
                <w:lang w:val="hy-AM"/>
              </w:rPr>
              <w:t>ՀՀ</w:t>
            </w:r>
            <w:r w:rsidRPr="0053423A">
              <w:rPr>
                <w:rFonts w:cs="Sylfaen"/>
                <w:sz w:val="20"/>
                <w:szCs w:val="20"/>
                <w:lang w:val="af-ZA"/>
              </w:rPr>
              <w:t xml:space="preserve"> </w:t>
            </w:r>
            <w:r w:rsidRPr="0053423A">
              <w:rPr>
                <w:rFonts w:cs="Sylfaen"/>
                <w:sz w:val="20"/>
                <w:szCs w:val="20"/>
                <w:lang w:val="hy-AM"/>
              </w:rPr>
              <w:t>ջրի</w:t>
            </w:r>
            <w:r w:rsidRPr="0053423A">
              <w:rPr>
                <w:rFonts w:cs="Sylfaen"/>
                <w:sz w:val="20"/>
                <w:szCs w:val="20"/>
                <w:lang w:val="af-ZA"/>
              </w:rPr>
              <w:t xml:space="preserve"> </w:t>
            </w:r>
            <w:r w:rsidRPr="0053423A">
              <w:rPr>
                <w:rFonts w:cs="Sylfaen"/>
                <w:sz w:val="20"/>
                <w:szCs w:val="20"/>
                <w:lang w:val="hy-AM"/>
              </w:rPr>
              <w:t>ազգային</w:t>
            </w:r>
            <w:r w:rsidRPr="0053423A">
              <w:rPr>
                <w:rFonts w:cs="Sylfaen"/>
                <w:sz w:val="20"/>
                <w:szCs w:val="20"/>
                <w:lang w:val="af-ZA"/>
              </w:rPr>
              <w:t xml:space="preserve"> </w:t>
            </w:r>
            <w:r w:rsidRPr="0053423A">
              <w:rPr>
                <w:rFonts w:cs="Sylfaen"/>
                <w:sz w:val="20"/>
                <w:szCs w:val="20"/>
                <w:lang w:val="hy-AM"/>
              </w:rPr>
              <w:t>ծրագրի</w:t>
            </w:r>
            <w:r w:rsidRPr="0053423A">
              <w:rPr>
                <w:rFonts w:cs="Sylfaen"/>
                <w:sz w:val="20"/>
                <w:szCs w:val="20"/>
                <w:lang w:val="af-ZA"/>
              </w:rPr>
              <w:t xml:space="preserve"> </w:t>
            </w:r>
            <w:r w:rsidRPr="0053423A">
              <w:rPr>
                <w:rFonts w:cs="Sylfaen"/>
                <w:sz w:val="20"/>
                <w:szCs w:val="20"/>
                <w:lang w:val="hy-AM"/>
              </w:rPr>
              <w:t>մասին</w:t>
            </w:r>
            <w:r w:rsidRPr="0053423A">
              <w:rPr>
                <w:rFonts w:cs="Sylfaen"/>
                <w:sz w:val="20"/>
                <w:szCs w:val="20"/>
                <w:lang w:val="af-ZA"/>
              </w:rPr>
              <w:t xml:space="preserve">» </w:t>
            </w:r>
            <w:r w:rsidRPr="0053423A">
              <w:rPr>
                <w:rFonts w:cs="Sylfaen"/>
                <w:sz w:val="20"/>
                <w:szCs w:val="20"/>
                <w:lang w:val="hy-AM"/>
              </w:rPr>
              <w:t>ՀՀ</w:t>
            </w:r>
            <w:r w:rsidRPr="0053423A">
              <w:rPr>
                <w:rFonts w:cs="Sylfaen"/>
                <w:sz w:val="20"/>
                <w:szCs w:val="20"/>
                <w:lang w:val="af-ZA"/>
              </w:rPr>
              <w:t xml:space="preserve"> </w:t>
            </w:r>
            <w:r w:rsidRPr="0053423A">
              <w:rPr>
                <w:rFonts w:cs="Sylfaen"/>
                <w:sz w:val="20"/>
                <w:szCs w:val="20"/>
                <w:lang w:val="hy-AM"/>
              </w:rPr>
              <w:t>օրենքի</w:t>
            </w:r>
            <w:r w:rsidRPr="0053423A">
              <w:rPr>
                <w:rFonts w:cs="Sylfaen"/>
                <w:sz w:val="20"/>
                <w:szCs w:val="20"/>
                <w:lang w:val="af-ZA"/>
              </w:rPr>
              <w:t xml:space="preserve"> 29-</w:t>
            </w:r>
            <w:r w:rsidRPr="0053423A">
              <w:rPr>
                <w:rFonts w:cs="Sylfaen"/>
                <w:sz w:val="20"/>
                <w:szCs w:val="20"/>
                <w:lang w:val="hy-AM"/>
              </w:rPr>
              <w:t>րդ</w:t>
            </w:r>
            <w:r w:rsidRPr="0053423A">
              <w:rPr>
                <w:rFonts w:cs="Sylfaen"/>
                <w:sz w:val="20"/>
                <w:szCs w:val="20"/>
                <w:lang w:val="af-ZA"/>
              </w:rPr>
              <w:t xml:space="preserve"> </w:t>
            </w:r>
            <w:r w:rsidRPr="0053423A">
              <w:rPr>
                <w:rFonts w:cs="Sylfaen"/>
                <w:sz w:val="20"/>
                <w:szCs w:val="20"/>
                <w:lang w:val="hy-AM"/>
              </w:rPr>
              <w:t>հոդվածը</w:t>
            </w:r>
            <w:r w:rsidRPr="0053423A">
              <w:rPr>
                <w:rFonts w:cs="Sylfaen"/>
                <w:sz w:val="20"/>
                <w:szCs w:val="20"/>
                <w:lang w:val="af-ZA"/>
              </w:rPr>
              <w:t xml:space="preserve">, </w:t>
            </w:r>
            <w:r w:rsidRPr="0053423A">
              <w:rPr>
                <w:rFonts w:cs="Sylfaen"/>
                <w:sz w:val="20"/>
                <w:szCs w:val="20"/>
                <w:lang w:val="hy-AM"/>
              </w:rPr>
              <w:t>որով</w:t>
            </w:r>
            <w:r w:rsidRPr="0053423A">
              <w:rPr>
                <w:rFonts w:cs="Sylfaen"/>
                <w:sz w:val="20"/>
                <w:szCs w:val="20"/>
                <w:lang w:val="af-ZA"/>
              </w:rPr>
              <w:t xml:space="preserve"> </w:t>
            </w:r>
            <w:r w:rsidRPr="0053423A">
              <w:rPr>
                <w:rFonts w:cs="Sylfaen"/>
                <w:sz w:val="20"/>
                <w:szCs w:val="20"/>
                <w:lang w:val="hy-AM"/>
              </w:rPr>
              <w:t>սահմանված</w:t>
            </w:r>
            <w:r w:rsidRPr="0053423A">
              <w:rPr>
                <w:rFonts w:cs="Sylfaen"/>
                <w:sz w:val="20"/>
                <w:szCs w:val="20"/>
                <w:lang w:val="af-ZA"/>
              </w:rPr>
              <w:t xml:space="preserve"> </w:t>
            </w:r>
            <w:r w:rsidRPr="0053423A">
              <w:rPr>
                <w:rFonts w:cs="Sylfaen"/>
                <w:sz w:val="20"/>
                <w:szCs w:val="20"/>
                <w:lang w:val="hy-AM"/>
              </w:rPr>
              <w:t>է</w:t>
            </w:r>
            <w:r w:rsidRPr="0053423A">
              <w:rPr>
                <w:rFonts w:cs="Sylfaen"/>
                <w:sz w:val="20"/>
                <w:szCs w:val="20"/>
                <w:lang w:val="af-ZA"/>
              </w:rPr>
              <w:t xml:space="preserve"> </w:t>
            </w:r>
            <w:r w:rsidRPr="0053423A">
              <w:rPr>
                <w:rFonts w:cs="Sylfaen"/>
                <w:sz w:val="20"/>
                <w:szCs w:val="20"/>
                <w:lang w:val="hy-AM"/>
              </w:rPr>
              <w:t>ջրային</w:t>
            </w:r>
            <w:r w:rsidRPr="0053423A">
              <w:rPr>
                <w:rFonts w:cs="Sylfaen"/>
                <w:sz w:val="20"/>
                <w:szCs w:val="20"/>
                <w:lang w:val="af-ZA"/>
              </w:rPr>
              <w:t xml:space="preserve"> </w:t>
            </w:r>
            <w:r w:rsidRPr="0053423A">
              <w:rPr>
                <w:rFonts w:cs="Sylfaen"/>
                <w:sz w:val="20"/>
                <w:szCs w:val="20"/>
                <w:lang w:val="hy-AM"/>
              </w:rPr>
              <w:t>ռեսուրսների</w:t>
            </w:r>
            <w:r w:rsidRPr="0053423A">
              <w:rPr>
                <w:rFonts w:cs="Sylfaen"/>
                <w:sz w:val="20"/>
                <w:szCs w:val="20"/>
                <w:lang w:val="af-ZA"/>
              </w:rPr>
              <w:t xml:space="preserve"> </w:t>
            </w:r>
            <w:r w:rsidRPr="0053423A">
              <w:rPr>
                <w:rFonts w:cs="Sylfaen"/>
                <w:sz w:val="20"/>
                <w:szCs w:val="20"/>
                <w:lang w:val="hy-AM"/>
              </w:rPr>
              <w:t>մատչելիության</w:t>
            </w:r>
            <w:r w:rsidRPr="0053423A">
              <w:rPr>
                <w:rFonts w:cs="Sylfaen"/>
                <w:sz w:val="20"/>
                <w:szCs w:val="20"/>
                <w:lang w:val="af-ZA"/>
              </w:rPr>
              <w:t xml:space="preserve"> </w:t>
            </w:r>
            <w:r w:rsidRPr="0053423A">
              <w:rPr>
                <w:rFonts w:cs="Sylfaen"/>
                <w:sz w:val="20"/>
                <w:szCs w:val="20"/>
                <w:lang w:val="hy-AM"/>
              </w:rPr>
              <w:t>ապահովման</w:t>
            </w:r>
            <w:r w:rsidRPr="0053423A">
              <w:rPr>
                <w:rFonts w:cs="Sylfaen"/>
                <w:sz w:val="20"/>
                <w:szCs w:val="20"/>
                <w:lang w:val="af-ZA"/>
              </w:rPr>
              <w:t xml:space="preserve"> </w:t>
            </w:r>
            <w:r w:rsidRPr="0053423A">
              <w:rPr>
                <w:rFonts w:cs="Sylfaen"/>
                <w:sz w:val="20"/>
                <w:szCs w:val="20"/>
                <w:lang w:val="hy-AM"/>
              </w:rPr>
              <w:t>ուղղությունները</w:t>
            </w:r>
            <w:r w:rsidRPr="0053423A">
              <w:rPr>
                <w:rFonts w:cs="Sylfaen"/>
                <w:sz w:val="20"/>
                <w:szCs w:val="20"/>
                <w:lang w:val="af-ZA"/>
              </w:rPr>
              <w:t>:</w:t>
            </w:r>
          </w:p>
          <w:p w:rsidR="0084615D" w:rsidRPr="0053423A" w:rsidRDefault="0084615D" w:rsidP="001F6D5D">
            <w:pPr>
              <w:pStyle w:val="ListParagraph"/>
              <w:numPr>
                <w:ilvl w:val="1"/>
                <w:numId w:val="298"/>
              </w:numPr>
              <w:tabs>
                <w:tab w:val="left" w:pos="900"/>
                <w:tab w:val="left" w:pos="1620"/>
              </w:tabs>
              <w:spacing w:after="0" w:line="276" w:lineRule="auto"/>
              <w:rPr>
                <w:rFonts w:eastAsia="Times New Roman"/>
                <w:b/>
                <w:sz w:val="20"/>
                <w:szCs w:val="20"/>
                <w:lang w:val="af-ZA"/>
              </w:rPr>
            </w:pPr>
            <w:r w:rsidRPr="0053423A">
              <w:rPr>
                <w:rFonts w:eastAsia="Times New Roman"/>
                <w:b/>
                <w:sz w:val="20"/>
                <w:szCs w:val="20"/>
                <w:lang w:val="ru-RU"/>
              </w:rPr>
              <w:t>Կ</w:t>
            </w:r>
            <w:r w:rsidRPr="0053423A">
              <w:rPr>
                <w:rFonts w:eastAsia="Times New Roman"/>
                <w:b/>
                <w:sz w:val="20"/>
                <w:szCs w:val="20"/>
              </w:rPr>
              <w:t>արգավորման</w:t>
            </w:r>
            <w:r w:rsidRPr="0053423A">
              <w:rPr>
                <w:rFonts w:eastAsia="Times New Roman"/>
                <w:b/>
                <w:sz w:val="20"/>
                <w:szCs w:val="20"/>
                <w:lang w:val="af-ZA"/>
              </w:rPr>
              <w:t xml:space="preserve"> </w:t>
            </w:r>
            <w:r w:rsidRPr="0053423A">
              <w:rPr>
                <w:rFonts w:eastAsia="Times New Roman"/>
                <w:b/>
                <w:sz w:val="20"/>
                <w:szCs w:val="20"/>
              </w:rPr>
              <w:t>հարաբերությունների</w:t>
            </w:r>
            <w:r w:rsidRPr="0053423A">
              <w:rPr>
                <w:rFonts w:eastAsia="Times New Roman"/>
                <w:b/>
                <w:sz w:val="20"/>
                <w:szCs w:val="20"/>
                <w:lang w:val="af-ZA"/>
              </w:rPr>
              <w:t xml:space="preserve"> </w:t>
            </w:r>
            <w:r w:rsidRPr="0053423A">
              <w:rPr>
                <w:rFonts w:eastAsia="Times New Roman"/>
                <w:b/>
                <w:sz w:val="20"/>
                <w:szCs w:val="20"/>
              </w:rPr>
              <w:t>ներկա</w:t>
            </w:r>
            <w:r w:rsidRPr="0053423A">
              <w:rPr>
                <w:rFonts w:eastAsia="Times New Roman"/>
                <w:b/>
                <w:sz w:val="20"/>
                <w:szCs w:val="20"/>
                <w:lang w:val="af-ZA"/>
              </w:rPr>
              <w:t xml:space="preserve"> </w:t>
            </w:r>
            <w:r w:rsidRPr="0053423A">
              <w:rPr>
                <w:rFonts w:eastAsia="Times New Roman"/>
                <w:b/>
                <w:sz w:val="20"/>
                <w:szCs w:val="20"/>
              </w:rPr>
              <w:t>վիճակը</w:t>
            </w:r>
            <w:r w:rsidRPr="0053423A">
              <w:rPr>
                <w:rFonts w:eastAsia="Times New Roman"/>
                <w:b/>
                <w:sz w:val="20"/>
                <w:szCs w:val="20"/>
                <w:lang w:val="af-ZA"/>
              </w:rPr>
              <w:t xml:space="preserve"> </w:t>
            </w:r>
            <w:r w:rsidRPr="0053423A">
              <w:rPr>
                <w:rFonts w:eastAsia="Times New Roman"/>
                <w:b/>
                <w:sz w:val="20"/>
                <w:szCs w:val="20"/>
              </w:rPr>
              <w:t>և</w:t>
            </w:r>
            <w:r w:rsidRPr="0053423A">
              <w:rPr>
                <w:rFonts w:eastAsia="Times New Roman"/>
                <w:b/>
                <w:sz w:val="20"/>
                <w:szCs w:val="20"/>
                <w:lang w:val="af-ZA"/>
              </w:rPr>
              <w:t xml:space="preserve"> </w:t>
            </w:r>
            <w:r w:rsidRPr="0053423A">
              <w:rPr>
                <w:rFonts w:eastAsia="Times New Roman"/>
                <w:b/>
                <w:sz w:val="20"/>
                <w:szCs w:val="20"/>
              </w:rPr>
              <w:t>առկա</w:t>
            </w:r>
            <w:r w:rsidRPr="0053423A">
              <w:rPr>
                <w:rFonts w:eastAsia="Times New Roman"/>
                <w:b/>
                <w:sz w:val="20"/>
                <w:szCs w:val="20"/>
                <w:lang w:val="af-ZA"/>
              </w:rPr>
              <w:t xml:space="preserve"> </w:t>
            </w:r>
            <w:r w:rsidRPr="0053423A">
              <w:rPr>
                <w:rFonts w:eastAsia="Times New Roman"/>
                <w:b/>
                <w:sz w:val="20"/>
                <w:szCs w:val="20"/>
              </w:rPr>
              <w:t>խնդիրները</w:t>
            </w:r>
          </w:p>
          <w:p w:rsidR="0084615D" w:rsidRPr="0053423A" w:rsidRDefault="0084615D" w:rsidP="00A67858">
            <w:pPr>
              <w:spacing w:after="0" w:line="276" w:lineRule="auto"/>
              <w:jc w:val="both"/>
              <w:rPr>
                <w:rFonts w:cs="Sylfaen"/>
                <w:sz w:val="20"/>
                <w:szCs w:val="20"/>
                <w:lang w:val="af-ZA"/>
              </w:rPr>
            </w:pPr>
            <w:r w:rsidRPr="0053423A">
              <w:rPr>
                <w:rFonts w:cs="Sylfaen"/>
                <w:sz w:val="20"/>
                <w:szCs w:val="20"/>
                <w:lang w:val="af-ZA"/>
              </w:rPr>
              <w:t xml:space="preserve">Ջրային կոմիտեն «Հայջրնախագիծ ինստիտուտ» ՓԲԸ-ի հետ համատեղ քննարկել է հանրապետությունում փոքր և միջին ջրամբարների կառուցման ծրագրերի իրականացման հնարավորությունները և առանձնացրել առաջնահերթ կառուցման ենթակա 22 ջրամբարներ՝ հիմք ընդունելով նախնական գնահատմամբ տեխնիկատնտեսական նպատակահարմարության ցուցանիշները: </w:t>
            </w:r>
          </w:p>
          <w:p w:rsidR="0084615D" w:rsidRPr="0053423A" w:rsidRDefault="0084615D" w:rsidP="00A67858">
            <w:pPr>
              <w:spacing w:after="0" w:line="276" w:lineRule="auto"/>
              <w:jc w:val="both"/>
              <w:rPr>
                <w:rFonts w:cs="Sylfaen"/>
                <w:sz w:val="20"/>
                <w:szCs w:val="20"/>
                <w:lang w:val="af-ZA"/>
              </w:rPr>
            </w:pPr>
            <w:r w:rsidRPr="0053423A">
              <w:rPr>
                <w:rFonts w:cs="Sylfaen"/>
                <w:sz w:val="20"/>
                <w:szCs w:val="20"/>
                <w:lang w:val="af-ZA"/>
              </w:rPr>
              <w:t>Ծրագրի իրականացման համար անհրաժեշտ է մասնագիտացված կազմակերպությունների կողմից, ըստ առանձին ջրամբարների, կատարել առավել մանրամասն ուսումնասիրություններ՝ ծրագրերի իրականացվելիությունը գնահատելու և հետագայում սահմանված կարգով ընթացք տալու նպատակով:</w:t>
            </w:r>
          </w:p>
          <w:p w:rsidR="0084615D" w:rsidRPr="0053423A" w:rsidRDefault="0084615D" w:rsidP="00A67858">
            <w:pPr>
              <w:pStyle w:val="ListParagraph"/>
              <w:tabs>
                <w:tab w:val="left" w:pos="900"/>
              </w:tabs>
              <w:spacing w:after="0" w:line="276" w:lineRule="auto"/>
              <w:ind w:left="0" w:firstLine="1080"/>
              <w:rPr>
                <w:b/>
                <w:sz w:val="20"/>
                <w:szCs w:val="20"/>
                <w:lang w:val="af-ZA"/>
              </w:rPr>
            </w:pPr>
            <w:r w:rsidRPr="0053423A">
              <w:rPr>
                <w:b/>
                <w:sz w:val="20"/>
                <w:szCs w:val="20"/>
                <w:lang w:val="af-ZA"/>
              </w:rPr>
              <w:t>1.</w:t>
            </w:r>
            <w:r w:rsidRPr="0053423A">
              <w:rPr>
                <w:rFonts w:eastAsia="Times New Roman"/>
                <w:b/>
                <w:sz w:val="20"/>
                <w:szCs w:val="20"/>
                <w:lang w:val="af-ZA"/>
              </w:rPr>
              <w:t>2</w:t>
            </w:r>
            <w:r w:rsidRPr="0053423A">
              <w:rPr>
                <w:rFonts w:ascii="Calibri" w:eastAsia="Times New Roman" w:hAnsi="Calibri" w:cs="Calibri"/>
                <w:b/>
                <w:sz w:val="20"/>
                <w:szCs w:val="20"/>
                <w:lang w:val="af-ZA"/>
              </w:rPr>
              <w:t> </w:t>
            </w:r>
            <w:r w:rsidRPr="0053423A">
              <w:rPr>
                <w:rFonts w:eastAsia="Times New Roman"/>
                <w:b/>
                <w:sz w:val="20"/>
                <w:szCs w:val="20"/>
                <w:lang w:val="af-ZA"/>
              </w:rPr>
              <w:t xml:space="preserve"> </w:t>
            </w:r>
            <w:r w:rsidRPr="0053423A">
              <w:rPr>
                <w:rFonts w:eastAsia="Times New Roman"/>
                <w:b/>
                <w:sz w:val="20"/>
                <w:szCs w:val="20"/>
                <w:lang w:val="ru-RU"/>
              </w:rPr>
              <w:t>Ա</w:t>
            </w:r>
            <w:r w:rsidRPr="0053423A">
              <w:rPr>
                <w:rFonts w:eastAsia="Times New Roman"/>
                <w:b/>
                <w:sz w:val="20"/>
                <w:szCs w:val="20"/>
              </w:rPr>
              <w:t>ռկա</w:t>
            </w:r>
            <w:r w:rsidRPr="0053423A">
              <w:rPr>
                <w:rFonts w:eastAsia="Times New Roman"/>
                <w:b/>
                <w:sz w:val="20"/>
                <w:szCs w:val="20"/>
                <w:lang w:val="af-ZA"/>
              </w:rPr>
              <w:t xml:space="preserve"> </w:t>
            </w:r>
            <w:r w:rsidRPr="0053423A">
              <w:rPr>
                <w:rFonts w:eastAsia="Times New Roman"/>
                <w:b/>
                <w:sz w:val="20"/>
                <w:szCs w:val="20"/>
              </w:rPr>
              <w:t>խնդիրների</w:t>
            </w:r>
            <w:r w:rsidRPr="0053423A">
              <w:rPr>
                <w:rFonts w:eastAsia="Times New Roman"/>
                <w:b/>
                <w:sz w:val="20"/>
                <w:szCs w:val="20"/>
                <w:lang w:val="af-ZA"/>
              </w:rPr>
              <w:t xml:space="preserve"> </w:t>
            </w:r>
            <w:r w:rsidRPr="0053423A">
              <w:rPr>
                <w:rFonts w:eastAsia="Times New Roman"/>
                <w:b/>
                <w:sz w:val="20"/>
                <w:szCs w:val="20"/>
              </w:rPr>
              <w:t>առաջարկվող</w:t>
            </w:r>
            <w:r w:rsidRPr="0053423A">
              <w:rPr>
                <w:rFonts w:eastAsia="Times New Roman"/>
                <w:b/>
                <w:sz w:val="20"/>
                <w:szCs w:val="20"/>
                <w:lang w:val="af-ZA"/>
              </w:rPr>
              <w:t xml:space="preserve"> </w:t>
            </w:r>
            <w:r w:rsidRPr="0053423A">
              <w:rPr>
                <w:rFonts w:eastAsia="Times New Roman"/>
                <w:b/>
                <w:sz w:val="20"/>
                <w:szCs w:val="20"/>
              </w:rPr>
              <w:t>լուծումները</w:t>
            </w:r>
          </w:p>
          <w:p w:rsidR="0084615D" w:rsidRPr="0053423A" w:rsidRDefault="0084615D" w:rsidP="00A67858">
            <w:pPr>
              <w:spacing w:after="0" w:line="276" w:lineRule="auto"/>
              <w:jc w:val="both"/>
              <w:rPr>
                <w:sz w:val="20"/>
                <w:szCs w:val="20"/>
                <w:lang w:val="af-ZA"/>
              </w:rPr>
            </w:pPr>
            <w:r w:rsidRPr="0053423A">
              <w:rPr>
                <w:rFonts w:cs="Sylfaen"/>
                <w:sz w:val="20"/>
                <w:szCs w:val="20"/>
                <w:lang w:val="af-ZA"/>
              </w:rPr>
              <w:t>Ջ</w:t>
            </w:r>
            <w:r w:rsidRPr="0053423A">
              <w:rPr>
                <w:sz w:val="20"/>
                <w:szCs w:val="20"/>
                <w:lang w:val="hy-AM"/>
              </w:rPr>
              <w:t>րամբարների</w:t>
            </w:r>
            <w:r w:rsidRPr="0053423A">
              <w:rPr>
                <w:sz w:val="20"/>
                <w:szCs w:val="20"/>
                <w:lang w:val="af-ZA"/>
              </w:rPr>
              <w:t xml:space="preserve"> </w:t>
            </w:r>
            <w:r w:rsidRPr="0053423A">
              <w:rPr>
                <w:sz w:val="20"/>
                <w:szCs w:val="20"/>
              </w:rPr>
              <w:t>կառուցմամբ</w:t>
            </w:r>
            <w:r w:rsidRPr="0053423A">
              <w:rPr>
                <w:sz w:val="20"/>
                <w:szCs w:val="20"/>
                <w:lang w:val="af-ZA"/>
              </w:rPr>
              <w:t xml:space="preserve"> ն</w:t>
            </w:r>
            <w:r w:rsidRPr="0053423A">
              <w:rPr>
                <w:rFonts w:cs="Sylfaen"/>
                <w:sz w:val="20"/>
                <w:szCs w:val="20"/>
                <w:lang w:val="af-ZA"/>
              </w:rPr>
              <w:t xml:space="preserve">ախատեսվում է </w:t>
            </w:r>
            <w:r w:rsidRPr="0053423A">
              <w:rPr>
                <w:sz w:val="20"/>
                <w:szCs w:val="20"/>
              </w:rPr>
              <w:t>բարելավել</w:t>
            </w:r>
            <w:r w:rsidRPr="0053423A">
              <w:rPr>
                <w:sz w:val="20"/>
                <w:szCs w:val="20"/>
                <w:lang w:val="af-ZA"/>
              </w:rPr>
              <w:t xml:space="preserve"> </w:t>
            </w:r>
            <w:r w:rsidRPr="0053423A">
              <w:rPr>
                <w:sz w:val="20"/>
                <w:szCs w:val="20"/>
              </w:rPr>
              <w:t>ոռոգելի</w:t>
            </w:r>
            <w:r w:rsidRPr="0053423A">
              <w:rPr>
                <w:sz w:val="20"/>
                <w:szCs w:val="20"/>
                <w:lang w:val="af-ZA"/>
              </w:rPr>
              <w:t xml:space="preserve"> </w:t>
            </w:r>
            <w:r w:rsidRPr="0053423A">
              <w:rPr>
                <w:sz w:val="20"/>
                <w:szCs w:val="20"/>
              </w:rPr>
              <w:t>հողատարածքների</w:t>
            </w:r>
            <w:r w:rsidRPr="0053423A">
              <w:rPr>
                <w:sz w:val="20"/>
                <w:szCs w:val="20"/>
                <w:lang w:val="af-ZA"/>
              </w:rPr>
              <w:t xml:space="preserve"> </w:t>
            </w:r>
            <w:r w:rsidRPr="0053423A">
              <w:rPr>
                <w:sz w:val="20"/>
                <w:szCs w:val="20"/>
              </w:rPr>
              <w:t>ջրամատակարարումը</w:t>
            </w:r>
            <w:r w:rsidRPr="0053423A">
              <w:rPr>
                <w:sz w:val="20"/>
                <w:szCs w:val="20"/>
                <w:lang w:val="af-ZA"/>
              </w:rPr>
              <w:t xml:space="preserve">, </w:t>
            </w:r>
            <w:r w:rsidRPr="0053423A">
              <w:rPr>
                <w:sz w:val="20"/>
                <w:szCs w:val="20"/>
              </w:rPr>
              <w:t>ավելացնել</w:t>
            </w:r>
            <w:r w:rsidRPr="0053423A">
              <w:rPr>
                <w:sz w:val="20"/>
                <w:szCs w:val="20"/>
                <w:lang w:val="af-ZA"/>
              </w:rPr>
              <w:t xml:space="preserve"> նոր </w:t>
            </w:r>
            <w:r w:rsidRPr="0053423A">
              <w:rPr>
                <w:sz w:val="20"/>
                <w:szCs w:val="20"/>
              </w:rPr>
              <w:t>հողատարածքներ</w:t>
            </w:r>
            <w:r w:rsidRPr="0053423A">
              <w:rPr>
                <w:sz w:val="20"/>
                <w:szCs w:val="20"/>
                <w:lang w:val="af-ZA"/>
              </w:rPr>
              <w:t xml:space="preserve">, </w:t>
            </w:r>
            <w:r w:rsidRPr="0053423A">
              <w:rPr>
                <w:sz w:val="20"/>
                <w:szCs w:val="20"/>
              </w:rPr>
              <w:t>մեխանիկական</w:t>
            </w:r>
            <w:r w:rsidRPr="0053423A">
              <w:rPr>
                <w:sz w:val="20"/>
                <w:szCs w:val="20"/>
                <w:lang w:val="af-ZA"/>
              </w:rPr>
              <w:t xml:space="preserve"> </w:t>
            </w:r>
            <w:r w:rsidRPr="0053423A">
              <w:rPr>
                <w:sz w:val="20"/>
                <w:szCs w:val="20"/>
              </w:rPr>
              <w:t>ջրարտադրության</w:t>
            </w:r>
            <w:r w:rsidRPr="0053423A">
              <w:rPr>
                <w:sz w:val="20"/>
                <w:szCs w:val="20"/>
                <w:lang w:val="af-ZA"/>
              </w:rPr>
              <w:t xml:space="preserve"> </w:t>
            </w:r>
            <w:r w:rsidRPr="0053423A">
              <w:rPr>
                <w:sz w:val="20"/>
                <w:szCs w:val="20"/>
              </w:rPr>
              <w:t>ինքնահոսով</w:t>
            </w:r>
            <w:r w:rsidRPr="0053423A">
              <w:rPr>
                <w:sz w:val="20"/>
                <w:szCs w:val="20"/>
                <w:lang w:val="af-ZA"/>
              </w:rPr>
              <w:t xml:space="preserve"> </w:t>
            </w:r>
            <w:r w:rsidRPr="0053423A">
              <w:rPr>
                <w:sz w:val="20"/>
                <w:szCs w:val="20"/>
              </w:rPr>
              <w:t>փոխարինելու</w:t>
            </w:r>
            <w:r w:rsidRPr="0053423A">
              <w:rPr>
                <w:sz w:val="20"/>
                <w:szCs w:val="20"/>
                <w:lang w:val="af-ZA"/>
              </w:rPr>
              <w:t xml:space="preserve"> </w:t>
            </w:r>
            <w:r w:rsidRPr="0053423A">
              <w:rPr>
                <w:sz w:val="20"/>
                <w:szCs w:val="20"/>
              </w:rPr>
              <w:t>արդյունքում</w:t>
            </w:r>
            <w:r w:rsidRPr="0053423A">
              <w:rPr>
                <w:sz w:val="20"/>
                <w:szCs w:val="20"/>
                <w:lang w:val="af-ZA"/>
              </w:rPr>
              <w:t xml:space="preserve"> </w:t>
            </w:r>
            <w:r w:rsidRPr="0053423A">
              <w:rPr>
                <w:sz w:val="20"/>
                <w:szCs w:val="20"/>
              </w:rPr>
              <w:t>համակարգի</w:t>
            </w:r>
            <w:r w:rsidRPr="0053423A">
              <w:rPr>
                <w:sz w:val="20"/>
                <w:szCs w:val="20"/>
                <w:lang w:val="af-ZA"/>
              </w:rPr>
              <w:t xml:space="preserve"> </w:t>
            </w:r>
            <w:r w:rsidRPr="0053423A">
              <w:rPr>
                <w:sz w:val="20"/>
                <w:szCs w:val="20"/>
              </w:rPr>
              <w:t>համար</w:t>
            </w:r>
            <w:r w:rsidRPr="0053423A">
              <w:rPr>
                <w:sz w:val="20"/>
                <w:szCs w:val="20"/>
                <w:lang w:val="af-ZA"/>
              </w:rPr>
              <w:t xml:space="preserve"> </w:t>
            </w:r>
            <w:r w:rsidRPr="0053423A">
              <w:rPr>
                <w:sz w:val="20"/>
                <w:szCs w:val="20"/>
              </w:rPr>
              <w:t>ապահովել</w:t>
            </w:r>
            <w:r w:rsidRPr="0053423A">
              <w:rPr>
                <w:sz w:val="20"/>
                <w:szCs w:val="20"/>
                <w:lang w:val="af-ZA"/>
              </w:rPr>
              <w:t xml:space="preserve"> </w:t>
            </w:r>
            <w:r w:rsidRPr="0053423A">
              <w:rPr>
                <w:sz w:val="20"/>
                <w:szCs w:val="20"/>
              </w:rPr>
              <w:t>էլեկտրաէներգիայի</w:t>
            </w:r>
            <w:r w:rsidRPr="0053423A">
              <w:rPr>
                <w:sz w:val="20"/>
                <w:szCs w:val="20"/>
                <w:lang w:val="af-ZA"/>
              </w:rPr>
              <w:t xml:space="preserve"> </w:t>
            </w:r>
            <w:r w:rsidRPr="0053423A">
              <w:rPr>
                <w:sz w:val="20"/>
                <w:szCs w:val="20"/>
              </w:rPr>
              <w:t>խնայողություն</w:t>
            </w:r>
            <w:r w:rsidRPr="0053423A">
              <w:rPr>
                <w:sz w:val="20"/>
                <w:szCs w:val="20"/>
                <w:lang w:val="af-ZA"/>
              </w:rPr>
              <w:t xml:space="preserve">: </w:t>
            </w:r>
          </w:p>
          <w:p w:rsidR="0084615D" w:rsidRPr="0053423A" w:rsidRDefault="0084615D" w:rsidP="00A67858">
            <w:pPr>
              <w:pStyle w:val="ListParagraph"/>
              <w:tabs>
                <w:tab w:val="left" w:pos="1620"/>
              </w:tabs>
              <w:spacing w:after="0" w:line="276" w:lineRule="auto"/>
              <w:ind w:left="0" w:firstLine="1080"/>
              <w:rPr>
                <w:b/>
                <w:sz w:val="20"/>
                <w:szCs w:val="20"/>
                <w:lang w:val="af-ZA"/>
              </w:rPr>
            </w:pPr>
            <w:r w:rsidRPr="0053423A">
              <w:rPr>
                <w:b/>
                <w:sz w:val="20"/>
                <w:szCs w:val="20"/>
                <w:lang w:val="af-ZA"/>
              </w:rPr>
              <w:t>2.</w:t>
            </w:r>
            <w:r w:rsidRPr="0053423A">
              <w:rPr>
                <w:rFonts w:ascii="Calibri" w:hAnsi="Calibri" w:cs="Calibri"/>
                <w:b/>
                <w:sz w:val="20"/>
                <w:szCs w:val="20"/>
                <w:lang w:val="af-ZA"/>
              </w:rPr>
              <w:t> </w:t>
            </w:r>
            <w:r w:rsidRPr="0053423A">
              <w:rPr>
                <w:rFonts w:eastAsia="Times New Roman"/>
                <w:b/>
                <w:sz w:val="20"/>
                <w:szCs w:val="20"/>
              </w:rPr>
              <w:t>Միջոցառման</w:t>
            </w:r>
            <w:r w:rsidRPr="0053423A">
              <w:rPr>
                <w:rFonts w:eastAsia="Times New Roman"/>
                <w:b/>
                <w:sz w:val="20"/>
                <w:szCs w:val="20"/>
                <w:lang w:val="af-ZA"/>
              </w:rPr>
              <w:t xml:space="preserve"> </w:t>
            </w:r>
            <w:r w:rsidRPr="0053423A">
              <w:rPr>
                <w:rFonts w:eastAsia="Times New Roman"/>
                <w:b/>
                <w:sz w:val="20"/>
                <w:szCs w:val="20"/>
              </w:rPr>
              <w:t>իրակացումից</w:t>
            </w:r>
            <w:r w:rsidRPr="0053423A">
              <w:rPr>
                <w:rFonts w:eastAsia="Times New Roman"/>
                <w:b/>
                <w:sz w:val="20"/>
                <w:szCs w:val="20"/>
                <w:lang w:val="af-ZA"/>
              </w:rPr>
              <w:t xml:space="preserve"> </w:t>
            </w:r>
            <w:r w:rsidRPr="0053423A">
              <w:rPr>
                <w:rFonts w:eastAsia="Times New Roman"/>
                <w:b/>
                <w:sz w:val="20"/>
                <w:szCs w:val="20"/>
              </w:rPr>
              <w:t>ակնկալվող</w:t>
            </w:r>
            <w:r w:rsidRPr="0053423A">
              <w:rPr>
                <w:rFonts w:eastAsia="Times New Roman"/>
                <w:b/>
                <w:sz w:val="20"/>
                <w:szCs w:val="20"/>
                <w:lang w:val="af-ZA"/>
              </w:rPr>
              <w:t xml:space="preserve"> </w:t>
            </w:r>
            <w:r w:rsidRPr="0053423A">
              <w:rPr>
                <w:rFonts w:eastAsia="Times New Roman"/>
                <w:b/>
                <w:sz w:val="20"/>
                <w:szCs w:val="20"/>
              </w:rPr>
              <w:t>արդյունքը</w:t>
            </w:r>
          </w:p>
          <w:p w:rsidR="0084615D" w:rsidRPr="0053423A" w:rsidRDefault="0084615D" w:rsidP="00A67858">
            <w:pPr>
              <w:tabs>
                <w:tab w:val="num" w:pos="720"/>
              </w:tabs>
              <w:spacing w:after="0" w:line="276" w:lineRule="auto"/>
              <w:ind w:left="144"/>
              <w:jc w:val="both"/>
              <w:rPr>
                <w:rFonts w:cs="Sylfaen"/>
                <w:spacing w:val="-8"/>
                <w:sz w:val="20"/>
                <w:szCs w:val="20"/>
                <w:lang w:val="af-ZA"/>
              </w:rPr>
            </w:pPr>
            <w:r w:rsidRPr="0053423A">
              <w:rPr>
                <w:rFonts w:cs="Sylfaen"/>
                <w:sz w:val="20"/>
                <w:szCs w:val="20"/>
                <w:lang w:val="af-ZA"/>
              </w:rPr>
              <w:t>Ջրամբարաշինության միջոցով հնարավորություն կստեղծվի ապահովելու ոռոգման համակարգերի սպասարկման տարածքում ընդգրկված և լրացուցիչ ոռոգելի հողերի ջրամատակարարման համար անհրաժեշտ ջրի քանակը: Միաժամանակ՝ նշված խնդրի լուծումն անհրաժեշտ նախադրյալներ կստեղծի ջրային համակարգերի օգտագործման արդյունավետության բարձրացման և կայուն զարգացման համար:</w:t>
            </w:r>
          </w:p>
          <w:p w:rsidR="0084615D" w:rsidRPr="0053423A" w:rsidRDefault="0084615D" w:rsidP="00A67858">
            <w:pPr>
              <w:tabs>
                <w:tab w:val="num" w:pos="720"/>
              </w:tabs>
              <w:spacing w:after="0" w:line="276" w:lineRule="auto"/>
              <w:ind w:left="144"/>
              <w:jc w:val="both"/>
              <w:rPr>
                <w:b/>
                <w:color w:val="000000"/>
                <w:sz w:val="20"/>
                <w:szCs w:val="20"/>
                <w:lang w:val="af-ZA"/>
              </w:rPr>
            </w:pPr>
            <w:r w:rsidRPr="0053423A">
              <w:rPr>
                <w:rFonts w:cs="Sylfaen"/>
                <w:sz w:val="20"/>
                <w:szCs w:val="20"/>
                <w:lang w:val="af-ZA"/>
              </w:rPr>
              <w:t>ձրացման և կայուն զարգացման համար:</w:t>
            </w:r>
          </w:p>
        </w:tc>
      </w:tr>
    </w:tbl>
    <w:p w:rsidR="006D2AD6" w:rsidRPr="0053423A" w:rsidRDefault="006D2AD6" w:rsidP="006D2AD6">
      <w:pPr>
        <w:spacing w:after="0" w:line="276" w:lineRule="auto"/>
        <w:rPr>
          <w:sz w:val="20"/>
          <w:szCs w:val="20"/>
          <w:lang w:val="hy-AM"/>
        </w:rPr>
      </w:pPr>
    </w:p>
    <w:tbl>
      <w:tblPr>
        <w:tblStyle w:val="TableGrid"/>
        <w:tblW w:w="11340" w:type="dxa"/>
        <w:tblInd w:w="198" w:type="dxa"/>
        <w:shd w:val="clear" w:color="auto" w:fill="FFFF00"/>
        <w:tblLook w:val="04A0" w:firstRow="1" w:lastRow="0" w:firstColumn="1" w:lastColumn="0" w:noHBand="0" w:noVBand="1"/>
      </w:tblPr>
      <w:tblGrid>
        <w:gridCol w:w="11340"/>
      </w:tblGrid>
      <w:tr w:rsidR="006D2AD6" w:rsidRPr="0053423A" w:rsidTr="00154773">
        <w:tc>
          <w:tcPr>
            <w:tcW w:w="11340" w:type="dxa"/>
            <w:shd w:val="clear" w:color="auto" w:fill="FFFF00"/>
          </w:tcPr>
          <w:p w:rsidR="006D2AD6" w:rsidRPr="0053423A" w:rsidRDefault="006D2AD6" w:rsidP="006D2AD6">
            <w:pPr>
              <w:spacing w:line="276" w:lineRule="auto"/>
              <w:jc w:val="center"/>
              <w:rPr>
                <w:rFonts w:cs="Sylfaen"/>
                <w:b/>
                <w:lang w:val="hy-AM" w:eastAsia="en-GB"/>
              </w:rPr>
            </w:pPr>
            <w:r w:rsidRPr="0053423A">
              <w:rPr>
                <w:rFonts w:cs="Sylfaen"/>
                <w:b/>
                <w:lang w:val="hy-AM" w:eastAsia="en-GB"/>
              </w:rPr>
              <w:t xml:space="preserve">Կրթության և գիտության </w:t>
            </w:r>
            <w:r w:rsidRPr="0053423A">
              <w:rPr>
                <w:rFonts w:cs="Arial Unicode"/>
                <w:b/>
                <w:lang w:val="hy-AM"/>
              </w:rPr>
              <w:t>նախարարություն</w:t>
            </w:r>
          </w:p>
        </w:tc>
      </w:tr>
    </w:tbl>
    <w:p w:rsidR="00154773" w:rsidRPr="0053423A" w:rsidRDefault="00154773" w:rsidP="00154773">
      <w:pPr>
        <w:shd w:val="clear" w:color="auto" w:fill="FFFFFF"/>
        <w:spacing w:after="0" w:line="240" w:lineRule="auto"/>
        <w:ind w:left="435"/>
        <w:jc w:val="center"/>
        <w:rPr>
          <w:rFonts w:eastAsia="Times New Roman" w:cs="Times New Roman"/>
          <w:b/>
          <w:sz w:val="20"/>
          <w:szCs w:val="20"/>
          <w:lang w:val="hy-AM"/>
        </w:rPr>
      </w:pPr>
      <w:r w:rsidRPr="0053423A">
        <w:rPr>
          <w:rFonts w:eastAsia="Times New Roman" w:cs="Times New Roman"/>
          <w:b/>
          <w:sz w:val="20"/>
          <w:szCs w:val="20"/>
          <w:lang w:val="hy-AM"/>
        </w:rPr>
        <w:t xml:space="preserve">     </w:t>
      </w:r>
    </w:p>
    <w:tbl>
      <w:tblPr>
        <w:tblStyle w:val="TableGrid9"/>
        <w:tblW w:w="11340" w:type="dxa"/>
        <w:tblInd w:w="198" w:type="dxa"/>
        <w:tblLayout w:type="fixed"/>
        <w:tblLook w:val="04A0" w:firstRow="1" w:lastRow="0" w:firstColumn="1" w:lastColumn="0" w:noHBand="0" w:noVBand="1"/>
      </w:tblPr>
      <w:tblGrid>
        <w:gridCol w:w="720"/>
        <w:gridCol w:w="10620"/>
      </w:tblGrid>
      <w:tr w:rsidR="00154773" w:rsidRPr="00DE2EF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1</w:t>
            </w:r>
          </w:p>
        </w:tc>
        <w:tc>
          <w:tcPr>
            <w:tcW w:w="10620" w:type="dxa"/>
          </w:tcPr>
          <w:p w:rsidR="00F134F6" w:rsidRPr="008F7453" w:rsidRDefault="008F7453" w:rsidP="008F7453">
            <w:pPr>
              <w:shd w:val="clear" w:color="auto" w:fill="FFFFFF"/>
              <w:jc w:val="center"/>
              <w:textAlignment w:val="baseline"/>
              <w:rPr>
                <w:rFonts w:eastAsia="Times New Roman" w:cs="Times New Roman"/>
                <w:b/>
                <w:sz w:val="20"/>
                <w:szCs w:val="20"/>
                <w:u w:val="single"/>
                <w:lang w:val="hy-AM"/>
              </w:rPr>
            </w:pPr>
            <w:r>
              <w:rPr>
                <w:rFonts w:eastAsia="Times New Roman" w:cs="Times New Roman"/>
                <w:b/>
                <w:sz w:val="20"/>
                <w:szCs w:val="20"/>
                <w:u w:val="single"/>
                <w:lang w:val="hy-AM"/>
              </w:rPr>
              <w:t xml:space="preserve">1.1 </w:t>
            </w:r>
            <w:r w:rsidR="00F134F6" w:rsidRPr="008F7453">
              <w:rPr>
                <w:rFonts w:eastAsia="Times New Roman" w:cs="Times New Roman"/>
                <w:b/>
                <w:sz w:val="20"/>
                <w:szCs w:val="20"/>
                <w:u w:val="single"/>
                <w:lang w:val="hy-AM"/>
              </w:rPr>
              <w:t>Կրթության ոլորտի զարգացման տեսլականի ներկայացում ՀՀ վարչապետի աշխատակազմ</w:t>
            </w:r>
          </w:p>
          <w:p w:rsidR="008F7453" w:rsidRPr="008F7453" w:rsidRDefault="008F7453" w:rsidP="008F7453">
            <w:pPr>
              <w:pStyle w:val="ListParagraph"/>
              <w:shd w:val="clear" w:color="auto" w:fill="FFFFFF"/>
              <w:ind w:left="0"/>
              <w:textAlignment w:val="baseline"/>
              <w:rPr>
                <w:rFonts w:eastAsia="Times New Roman" w:cs="Times New Roman"/>
                <w:b/>
                <w:sz w:val="20"/>
                <w:szCs w:val="20"/>
                <w:u w:val="single"/>
                <w:lang w:val="hy-AM"/>
              </w:rPr>
            </w:pPr>
          </w:p>
          <w:p w:rsidR="00154773" w:rsidRPr="0053423A" w:rsidRDefault="00154773" w:rsidP="00F134F6">
            <w:pPr>
              <w:shd w:val="clear" w:color="auto" w:fill="FFFFFF"/>
              <w:spacing w:after="225"/>
              <w:jc w:val="center"/>
              <w:textAlignment w:val="baseline"/>
              <w:rPr>
                <w:rFonts w:eastAsia="Times New Roman" w:cs="Times New Roman"/>
                <w:b/>
                <w:sz w:val="20"/>
                <w:szCs w:val="20"/>
                <w:u w:val="single"/>
                <w:lang w:val="hy-AM"/>
              </w:rPr>
            </w:pPr>
            <w:r w:rsidRPr="0053423A">
              <w:rPr>
                <w:rFonts w:eastAsia="Times New Roman" w:cs="Times New Roman"/>
                <w:b/>
                <w:sz w:val="20"/>
                <w:szCs w:val="20"/>
                <w:u w:val="single"/>
                <w:lang w:val="hy-AM"/>
              </w:rPr>
              <w:t>1.</w:t>
            </w:r>
            <w:r w:rsidR="00F134F6">
              <w:rPr>
                <w:rFonts w:eastAsia="Times New Roman" w:cs="Times New Roman"/>
                <w:b/>
                <w:sz w:val="20"/>
                <w:szCs w:val="20"/>
                <w:u w:val="single"/>
                <w:lang w:val="hy-AM"/>
              </w:rPr>
              <w:t>2</w:t>
            </w:r>
            <w:r w:rsidRPr="0053423A">
              <w:rPr>
                <w:rFonts w:eastAsia="Times New Roman" w:cs="Times New Roman"/>
                <w:b/>
                <w:sz w:val="20"/>
                <w:szCs w:val="20"/>
                <w:u w:val="single"/>
                <w:lang w:val="hy-AM"/>
              </w:rPr>
              <w:t xml:space="preserve"> Կրթության ոլորտի միջին մակարդակի ռազմավարական փաստաթղթերի վերանայում և համաժամանակեցում (սինխրոնացում)</w:t>
            </w:r>
          </w:p>
          <w:p w:rsidR="00154773" w:rsidRPr="0053423A" w:rsidRDefault="00154773" w:rsidP="00154773">
            <w:pPr>
              <w:shd w:val="clear" w:color="auto" w:fill="FFFFFF"/>
              <w:spacing w:after="225"/>
              <w:jc w:val="both"/>
              <w:textAlignment w:val="baseline"/>
              <w:rPr>
                <w:b/>
                <w:sz w:val="20"/>
                <w:szCs w:val="20"/>
                <w:lang w:val="hy-AM"/>
              </w:rPr>
            </w:pPr>
            <w:r w:rsidRPr="0053423A">
              <w:rPr>
                <w:rFonts w:eastAsia="Times New Roman" w:cs="Times New Roman"/>
                <w:b/>
                <w:sz w:val="20"/>
                <w:szCs w:val="20"/>
                <w:u w:val="single"/>
                <w:lang w:val="hy-AM"/>
              </w:rPr>
              <w:t xml:space="preserve"> </w:t>
            </w:r>
            <w:r w:rsidRPr="0053423A">
              <w:rPr>
                <w:b/>
                <w:sz w:val="20"/>
                <w:szCs w:val="20"/>
                <w:lang w:val="hy-AM"/>
              </w:rPr>
              <w:t xml:space="preserve">        1.Միջոցառման իրականացման անհրաժեշտությունը և նպատակը</w:t>
            </w:r>
          </w:p>
          <w:p w:rsidR="00154773" w:rsidRPr="0053423A" w:rsidRDefault="00154773" w:rsidP="00154773">
            <w:pPr>
              <w:ind w:firstLine="540"/>
              <w:jc w:val="both"/>
              <w:rPr>
                <w:sz w:val="20"/>
                <w:szCs w:val="20"/>
                <w:lang w:val="fr-FR"/>
              </w:rPr>
            </w:pPr>
            <w:r w:rsidRPr="0053423A">
              <w:rPr>
                <w:spacing w:val="-4"/>
                <w:sz w:val="20"/>
                <w:szCs w:val="20"/>
                <w:lang w:val="hy-AM"/>
              </w:rPr>
              <w:t>Միջոցառման գլխավոր նպատակն է  կրթության համակարգի կառավարման արդյունավետության բարձրացումը:</w:t>
            </w:r>
            <w:r w:rsidRPr="0053423A">
              <w:rPr>
                <w:sz w:val="20"/>
                <w:szCs w:val="20"/>
                <w:lang w:val="hy-AM"/>
              </w:rPr>
              <w:t xml:space="preserve">  </w:t>
            </w:r>
            <w:r w:rsidRPr="0053423A">
              <w:rPr>
                <w:spacing w:val="-4"/>
                <w:sz w:val="20"/>
                <w:szCs w:val="20"/>
                <w:lang w:val="hy-AM"/>
              </w:rPr>
              <w:t xml:space="preserve">Միջոցառման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xml:space="preserve">»  </w:t>
            </w:r>
            <w:r w:rsidRPr="0053423A">
              <w:rPr>
                <w:rFonts w:eastAsia="Calibri" w:cs="Sylfaen"/>
                <w:sz w:val="20"/>
                <w:szCs w:val="20"/>
                <w:lang w:val="hy-AM"/>
              </w:rPr>
              <w:t xml:space="preserve">բաժնի 1-ին պարբերությունից: Հաշվի առնելով, որ կրթության ոլորտն իր մեջ ներառում է ենթաոլորտներ / նախադպրոցական կրթություն,հանրակրթություն և այլն/ արդյունավետ բարեփոխումներ իրականացնելու համար անհրաժեշտ է կրթության ոլորտում առկա ռազմավարական փաստաթղթերի համադրում և համաժամանակեցում: </w:t>
            </w:r>
            <w:r w:rsidRPr="0053423A">
              <w:rPr>
                <w:sz w:val="20"/>
                <w:szCs w:val="20"/>
                <w:lang w:val="hy-AM"/>
              </w:rPr>
              <w:t>Կրթության</w:t>
            </w:r>
            <w:r w:rsidRPr="0053423A">
              <w:rPr>
                <w:sz w:val="20"/>
                <w:szCs w:val="20"/>
                <w:lang w:val="fr-FR"/>
              </w:rPr>
              <w:t xml:space="preserve"> </w:t>
            </w:r>
            <w:r w:rsidRPr="0053423A">
              <w:rPr>
                <w:sz w:val="20"/>
                <w:szCs w:val="20"/>
                <w:lang w:val="hy-AM"/>
              </w:rPr>
              <w:t>ոլորտի</w:t>
            </w:r>
            <w:r w:rsidRPr="0053423A">
              <w:rPr>
                <w:sz w:val="20"/>
                <w:szCs w:val="20"/>
                <w:lang w:val="fr-FR"/>
              </w:rPr>
              <w:t xml:space="preserve"> </w:t>
            </w:r>
            <w:r w:rsidRPr="0053423A">
              <w:rPr>
                <w:sz w:val="20"/>
                <w:szCs w:val="20"/>
                <w:lang w:val="hy-AM"/>
              </w:rPr>
              <w:t>համընդհանուր</w:t>
            </w:r>
            <w:r w:rsidRPr="0053423A">
              <w:rPr>
                <w:sz w:val="20"/>
                <w:szCs w:val="20"/>
                <w:lang w:val="fr-FR"/>
              </w:rPr>
              <w:t xml:space="preserve"> </w:t>
            </w:r>
            <w:r w:rsidRPr="0053423A">
              <w:rPr>
                <w:sz w:val="20"/>
                <w:szCs w:val="20"/>
                <w:lang w:val="hy-AM"/>
              </w:rPr>
              <w:t>զարգացումն</w:t>
            </w:r>
            <w:r w:rsidRPr="0053423A">
              <w:rPr>
                <w:sz w:val="20"/>
                <w:szCs w:val="20"/>
                <w:lang w:val="fr-FR"/>
              </w:rPr>
              <w:t xml:space="preserve"> </w:t>
            </w:r>
            <w:r w:rsidRPr="0053423A">
              <w:rPr>
                <w:sz w:val="20"/>
                <w:szCs w:val="20"/>
                <w:lang w:val="hy-AM"/>
              </w:rPr>
              <w:t>ապահովելու</w:t>
            </w:r>
            <w:r w:rsidRPr="0053423A">
              <w:rPr>
                <w:sz w:val="20"/>
                <w:szCs w:val="20"/>
                <w:lang w:val="fr-FR"/>
              </w:rPr>
              <w:t xml:space="preserve"> </w:t>
            </w:r>
            <w:r w:rsidRPr="0053423A">
              <w:rPr>
                <w:sz w:val="20"/>
                <w:szCs w:val="20"/>
                <w:lang w:val="hy-AM"/>
              </w:rPr>
              <w:t>նպատակով</w:t>
            </w:r>
            <w:r w:rsidRPr="0053423A">
              <w:rPr>
                <w:sz w:val="20"/>
                <w:szCs w:val="20"/>
                <w:lang w:val="fr-FR"/>
              </w:rPr>
              <w:t xml:space="preserve"> </w:t>
            </w:r>
            <w:r w:rsidRPr="0053423A">
              <w:rPr>
                <w:sz w:val="20"/>
                <w:szCs w:val="20"/>
                <w:lang w:val="hy-AM"/>
              </w:rPr>
              <w:t>անհրաժեշտ</w:t>
            </w:r>
            <w:r w:rsidRPr="0053423A">
              <w:rPr>
                <w:sz w:val="20"/>
                <w:szCs w:val="20"/>
                <w:lang w:val="fr-FR"/>
              </w:rPr>
              <w:t xml:space="preserve"> </w:t>
            </w:r>
            <w:r w:rsidRPr="0053423A">
              <w:rPr>
                <w:sz w:val="20"/>
                <w:szCs w:val="20"/>
                <w:lang w:val="hy-AM"/>
              </w:rPr>
              <w:t>է</w:t>
            </w:r>
            <w:r w:rsidRPr="0053423A">
              <w:rPr>
                <w:sz w:val="20"/>
                <w:szCs w:val="20"/>
                <w:lang w:val="fr-FR"/>
              </w:rPr>
              <w:t xml:space="preserve"> </w:t>
            </w:r>
            <w:r w:rsidRPr="0053423A">
              <w:rPr>
                <w:sz w:val="20"/>
                <w:szCs w:val="20"/>
                <w:lang w:val="hy-AM"/>
              </w:rPr>
              <w:t>մեկ</w:t>
            </w:r>
            <w:r w:rsidRPr="0053423A">
              <w:rPr>
                <w:sz w:val="20"/>
                <w:szCs w:val="20"/>
                <w:lang w:val="fr-FR"/>
              </w:rPr>
              <w:t xml:space="preserve"> </w:t>
            </w:r>
            <w:r w:rsidRPr="0053423A">
              <w:rPr>
                <w:sz w:val="20"/>
                <w:szCs w:val="20"/>
                <w:lang w:val="hy-AM"/>
              </w:rPr>
              <w:t>միասնական</w:t>
            </w:r>
            <w:r w:rsidRPr="0053423A">
              <w:rPr>
                <w:sz w:val="20"/>
                <w:szCs w:val="20"/>
                <w:lang w:val="fr-FR"/>
              </w:rPr>
              <w:t xml:space="preserve"> </w:t>
            </w:r>
            <w:r w:rsidRPr="0053423A">
              <w:rPr>
                <w:sz w:val="20"/>
                <w:szCs w:val="20"/>
                <w:lang w:val="hy-AM"/>
              </w:rPr>
              <w:t>հայեցակարգի</w:t>
            </w:r>
            <w:r w:rsidRPr="0053423A">
              <w:rPr>
                <w:sz w:val="20"/>
                <w:szCs w:val="20"/>
                <w:lang w:val="fr-FR"/>
              </w:rPr>
              <w:t xml:space="preserve"> </w:t>
            </w:r>
            <w:r w:rsidRPr="0053423A">
              <w:rPr>
                <w:sz w:val="20"/>
                <w:szCs w:val="20"/>
                <w:lang w:val="hy-AM"/>
              </w:rPr>
              <w:t>առկայություն</w:t>
            </w:r>
            <w:r w:rsidRPr="0053423A">
              <w:rPr>
                <w:sz w:val="20"/>
                <w:szCs w:val="20"/>
                <w:lang w:val="fr-FR"/>
              </w:rPr>
              <w:t xml:space="preserve">, </w:t>
            </w:r>
            <w:r w:rsidRPr="0053423A">
              <w:rPr>
                <w:sz w:val="20"/>
                <w:szCs w:val="20"/>
                <w:lang w:val="hy-AM"/>
              </w:rPr>
              <w:t>ինչն</w:t>
            </w:r>
            <w:r w:rsidRPr="0053423A">
              <w:rPr>
                <w:sz w:val="20"/>
                <w:szCs w:val="20"/>
                <w:lang w:val="fr-FR"/>
              </w:rPr>
              <w:t xml:space="preserve"> </w:t>
            </w:r>
            <w:r w:rsidRPr="0053423A">
              <w:rPr>
                <w:sz w:val="20"/>
                <w:szCs w:val="20"/>
                <w:lang w:val="hy-AM"/>
              </w:rPr>
              <w:t>իրենից</w:t>
            </w:r>
            <w:r w:rsidRPr="0053423A">
              <w:rPr>
                <w:sz w:val="20"/>
                <w:szCs w:val="20"/>
                <w:lang w:val="fr-FR"/>
              </w:rPr>
              <w:t xml:space="preserve"> </w:t>
            </w:r>
            <w:r w:rsidRPr="0053423A">
              <w:rPr>
                <w:sz w:val="20"/>
                <w:szCs w:val="20"/>
                <w:lang w:val="hy-AM"/>
              </w:rPr>
              <w:t>պետք</w:t>
            </w:r>
            <w:r w:rsidRPr="0053423A">
              <w:rPr>
                <w:sz w:val="20"/>
                <w:szCs w:val="20"/>
                <w:lang w:val="fr-FR"/>
              </w:rPr>
              <w:t xml:space="preserve"> </w:t>
            </w:r>
            <w:r w:rsidRPr="0053423A">
              <w:rPr>
                <w:sz w:val="20"/>
                <w:szCs w:val="20"/>
                <w:lang w:val="hy-AM"/>
              </w:rPr>
              <w:t>է</w:t>
            </w:r>
            <w:r w:rsidRPr="0053423A">
              <w:rPr>
                <w:sz w:val="20"/>
                <w:szCs w:val="20"/>
                <w:lang w:val="fr-FR"/>
              </w:rPr>
              <w:t xml:space="preserve"> </w:t>
            </w:r>
            <w:r w:rsidRPr="0053423A">
              <w:rPr>
                <w:sz w:val="20"/>
                <w:szCs w:val="20"/>
                <w:lang w:val="hy-AM"/>
              </w:rPr>
              <w:t>նվազագույնը</w:t>
            </w:r>
            <w:r w:rsidRPr="0053423A">
              <w:rPr>
                <w:sz w:val="20"/>
                <w:szCs w:val="20"/>
                <w:lang w:val="fr-FR"/>
              </w:rPr>
              <w:t xml:space="preserve"> </w:t>
            </w:r>
            <w:r w:rsidRPr="0053423A">
              <w:rPr>
                <w:sz w:val="20"/>
                <w:szCs w:val="20"/>
                <w:lang w:val="hy-AM"/>
              </w:rPr>
              <w:t>ներկայացնի</w:t>
            </w:r>
            <w:r w:rsidRPr="0053423A">
              <w:rPr>
                <w:sz w:val="20"/>
                <w:szCs w:val="20"/>
                <w:lang w:val="fr-FR"/>
              </w:rPr>
              <w:t xml:space="preserve"> </w:t>
            </w:r>
            <w:r w:rsidRPr="0053423A">
              <w:rPr>
                <w:sz w:val="20"/>
                <w:szCs w:val="20"/>
                <w:lang w:val="hy-AM"/>
              </w:rPr>
              <w:t>բարեփոխումների</w:t>
            </w:r>
            <w:r w:rsidRPr="0053423A">
              <w:rPr>
                <w:sz w:val="20"/>
                <w:szCs w:val="20"/>
                <w:lang w:val="fr-FR"/>
              </w:rPr>
              <w:t xml:space="preserve"> </w:t>
            </w:r>
            <w:r w:rsidRPr="0053423A">
              <w:rPr>
                <w:sz w:val="20"/>
                <w:szCs w:val="20"/>
                <w:lang w:val="hy-AM"/>
              </w:rPr>
              <w:t>իրականացմանը</w:t>
            </w:r>
            <w:r w:rsidRPr="0053423A">
              <w:rPr>
                <w:sz w:val="20"/>
                <w:szCs w:val="20"/>
                <w:lang w:val="fr-FR"/>
              </w:rPr>
              <w:t xml:space="preserve"> </w:t>
            </w:r>
            <w:r w:rsidRPr="0053423A">
              <w:rPr>
                <w:sz w:val="20"/>
                <w:szCs w:val="20"/>
                <w:lang w:val="hy-AM"/>
              </w:rPr>
              <w:t>միտված</w:t>
            </w:r>
            <w:r w:rsidRPr="0053423A">
              <w:rPr>
                <w:sz w:val="20"/>
                <w:szCs w:val="20"/>
                <w:lang w:val="fr-FR"/>
              </w:rPr>
              <w:t xml:space="preserve"> </w:t>
            </w:r>
            <w:r w:rsidRPr="0053423A">
              <w:rPr>
                <w:sz w:val="20"/>
                <w:szCs w:val="20"/>
                <w:lang w:val="hy-AM"/>
              </w:rPr>
              <w:t>քայլերի</w:t>
            </w:r>
            <w:r w:rsidRPr="0053423A">
              <w:rPr>
                <w:sz w:val="20"/>
                <w:szCs w:val="20"/>
                <w:lang w:val="fr-FR"/>
              </w:rPr>
              <w:t xml:space="preserve"> </w:t>
            </w:r>
            <w:r w:rsidRPr="0053423A">
              <w:rPr>
                <w:sz w:val="20"/>
                <w:szCs w:val="20"/>
                <w:lang w:val="hy-AM"/>
              </w:rPr>
              <w:t>և</w:t>
            </w:r>
            <w:r w:rsidRPr="0053423A">
              <w:rPr>
                <w:sz w:val="20"/>
                <w:szCs w:val="20"/>
                <w:lang w:val="fr-FR"/>
              </w:rPr>
              <w:t xml:space="preserve"> </w:t>
            </w:r>
            <w:r w:rsidRPr="0053423A">
              <w:rPr>
                <w:sz w:val="20"/>
                <w:szCs w:val="20"/>
                <w:lang w:val="hy-AM"/>
              </w:rPr>
              <w:t>գործողությունների</w:t>
            </w:r>
            <w:r w:rsidRPr="0053423A">
              <w:rPr>
                <w:sz w:val="20"/>
                <w:szCs w:val="20"/>
                <w:lang w:val="fr-FR"/>
              </w:rPr>
              <w:t xml:space="preserve"> </w:t>
            </w:r>
            <w:r w:rsidRPr="0053423A">
              <w:rPr>
                <w:sz w:val="20"/>
                <w:szCs w:val="20"/>
                <w:lang w:val="hy-AM"/>
              </w:rPr>
              <w:t>ամբողջականություն</w:t>
            </w:r>
            <w:r w:rsidRPr="0053423A">
              <w:rPr>
                <w:sz w:val="20"/>
                <w:szCs w:val="20"/>
                <w:lang w:val="fr-FR"/>
              </w:rPr>
              <w:t>:</w:t>
            </w:r>
          </w:p>
          <w:p w:rsidR="00154773" w:rsidRPr="0053423A" w:rsidRDefault="00154773" w:rsidP="00154773">
            <w:pPr>
              <w:shd w:val="clear" w:color="auto" w:fill="FFFFFF"/>
              <w:ind w:firstLine="540"/>
              <w:jc w:val="both"/>
              <w:textAlignment w:val="baseline"/>
              <w:rPr>
                <w:rFonts w:eastAsia="Calibri" w:cs="Sylfaen"/>
                <w:sz w:val="20"/>
                <w:szCs w:val="20"/>
                <w:lang w:val="hy-AM"/>
              </w:rPr>
            </w:pPr>
          </w:p>
          <w:p w:rsidR="00154773" w:rsidRPr="0053423A" w:rsidRDefault="00154773" w:rsidP="001F6D5D">
            <w:pPr>
              <w:numPr>
                <w:ilvl w:val="1"/>
                <w:numId w:val="458"/>
              </w:numPr>
              <w:shd w:val="clear" w:color="auto" w:fill="FFFFFF"/>
              <w:contextualSpacing/>
              <w:textAlignment w:val="baseline"/>
              <w:rPr>
                <w:rFonts w:eastAsia="Times New Roman" w:cs="Arian AMU"/>
                <w:b/>
                <w:bCs/>
                <w:sz w:val="20"/>
                <w:szCs w:val="20"/>
                <w:lang w:val="hy-AM"/>
              </w:rPr>
            </w:pPr>
            <w:r w:rsidRPr="0053423A">
              <w:rPr>
                <w:rFonts w:eastAsia="Times New Roman" w:cs="Arian AMU"/>
                <w:b/>
                <w:bCs/>
                <w:sz w:val="20"/>
                <w:szCs w:val="20"/>
                <w:lang w:val="hy-AM"/>
              </w:rPr>
              <w:t xml:space="preserve">կարգավորման </w:t>
            </w:r>
            <w:r w:rsidRPr="0053423A">
              <w:rPr>
                <w:rFonts w:ascii="Calibri" w:eastAsia="Times New Roman" w:hAnsi="Calibri" w:cs="Calibri"/>
                <w:b/>
                <w:bCs/>
                <w:sz w:val="20"/>
                <w:szCs w:val="20"/>
                <w:lang w:val="hy-AM"/>
              </w:rPr>
              <w:t> </w:t>
            </w:r>
            <w:r w:rsidRPr="0053423A">
              <w:rPr>
                <w:rFonts w:eastAsia="Times New Roman" w:cs="GHEA Grapalat"/>
                <w:b/>
                <w:bCs/>
                <w:sz w:val="20"/>
                <w:szCs w:val="20"/>
                <w:lang w:val="hy-AM"/>
              </w:rPr>
              <w:t>հարաբերությունների</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ներկա</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վիճակը</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և</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առկա</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խնդիրները</w:t>
            </w:r>
          </w:p>
          <w:p w:rsidR="00154773" w:rsidRPr="0053423A" w:rsidRDefault="00154773" w:rsidP="00154773">
            <w:pPr>
              <w:shd w:val="clear" w:color="auto" w:fill="FFFFFF"/>
              <w:ind w:left="1155"/>
              <w:contextualSpacing/>
              <w:textAlignment w:val="baseline"/>
              <w:rPr>
                <w:rFonts w:eastAsia="Times New Roman" w:cs="Arian AMU"/>
                <w:sz w:val="20"/>
                <w:szCs w:val="20"/>
                <w:lang w:val="hy-AM"/>
              </w:rPr>
            </w:pPr>
          </w:p>
          <w:p w:rsidR="00154773" w:rsidRPr="0053423A" w:rsidRDefault="00154773" w:rsidP="00154773">
            <w:pPr>
              <w:ind w:firstLine="540"/>
              <w:jc w:val="both"/>
              <w:rPr>
                <w:rFonts w:eastAsia="Calibri" w:cs="Sylfaen"/>
                <w:sz w:val="20"/>
                <w:szCs w:val="20"/>
                <w:lang w:val="hy-AM"/>
              </w:rPr>
            </w:pPr>
            <w:r w:rsidRPr="0053423A">
              <w:rPr>
                <w:rFonts w:ascii="Calibri" w:eastAsia="Calibri" w:hAnsi="Calibri" w:cs="Calibri"/>
                <w:sz w:val="20"/>
                <w:szCs w:val="20"/>
                <w:lang w:val="hy-AM"/>
              </w:rPr>
              <w:t> </w:t>
            </w:r>
            <w:r w:rsidRPr="0053423A">
              <w:rPr>
                <w:rFonts w:eastAsia="Calibri" w:cs="Sylfaen"/>
                <w:sz w:val="20"/>
                <w:szCs w:val="20"/>
                <w:lang w:val="hy-AM"/>
              </w:rPr>
              <w:t xml:space="preserve">Կրթության բնագավառում ներկայիս բարեփոխումներն իրականացվում են «Հայաստանի Հանրապետության կրթության զարգացման 2011-2015 թվականների պետական ծրագիրը հաստատելու մասին» ՀՀ օրենքում (ՀՕ-246-Ն) ամրագրված բարեփոխումների շարունակականության համաձայն: Առկա ռազմավարական փաստաթղթերը և նախագծերը մշակվել են՝ ոչ միշտ հաշվի առնելով փոխկապակցվածությունը, փոխադարձ ազդեցությունը: Կա խնդիր դրանք համեմատելու և համաժամանակեցնելու: </w:t>
            </w:r>
          </w:p>
          <w:p w:rsidR="00154773" w:rsidRPr="0053423A" w:rsidRDefault="00154773" w:rsidP="00154773">
            <w:pPr>
              <w:shd w:val="clear" w:color="auto" w:fill="FFFFFF"/>
              <w:jc w:val="both"/>
              <w:textAlignment w:val="baseline"/>
              <w:rPr>
                <w:rFonts w:eastAsia="Times New Roman" w:cs="Arian AMU"/>
                <w:sz w:val="20"/>
                <w:szCs w:val="20"/>
                <w:lang w:val="hy-AM"/>
              </w:rPr>
            </w:pPr>
          </w:p>
          <w:p w:rsidR="00154773" w:rsidRPr="0053423A" w:rsidRDefault="00154773" w:rsidP="00154773">
            <w:pPr>
              <w:shd w:val="clear" w:color="auto" w:fill="FFFFFF"/>
              <w:ind w:firstLine="540"/>
              <w:jc w:val="both"/>
              <w:textAlignment w:val="baseline"/>
              <w:rPr>
                <w:rFonts w:eastAsia="Times New Roman" w:cs="Arian AMU"/>
                <w:b/>
                <w:bCs/>
                <w:sz w:val="20"/>
                <w:szCs w:val="20"/>
                <w:lang w:val="hy-AM"/>
              </w:rPr>
            </w:pPr>
            <w:r w:rsidRPr="0053423A">
              <w:rPr>
                <w:rFonts w:eastAsia="Times New Roman" w:cs="GHEA Grapalat"/>
                <w:b/>
                <w:bCs/>
                <w:sz w:val="20"/>
                <w:szCs w:val="20"/>
                <w:lang w:val="hy-AM"/>
              </w:rPr>
              <w:t xml:space="preserve">   1.2.</w:t>
            </w:r>
            <w:r w:rsidRPr="0053423A">
              <w:rPr>
                <w:rFonts w:ascii="Calibri" w:eastAsia="Times New Roman" w:hAnsi="Calibri" w:cs="Calibri"/>
                <w:b/>
                <w:bCs/>
                <w:sz w:val="20"/>
                <w:szCs w:val="20"/>
                <w:lang w:val="hy-AM"/>
              </w:rPr>
              <w:t> </w:t>
            </w:r>
            <w:r w:rsidRPr="0053423A">
              <w:rPr>
                <w:rFonts w:eastAsia="Times New Roman" w:cs="GHEA Grapalat"/>
                <w:b/>
                <w:bCs/>
                <w:sz w:val="20"/>
                <w:szCs w:val="20"/>
                <w:lang w:val="hy-AM"/>
              </w:rPr>
              <w:t>առկա</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խնդիրների</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առաջարկվող</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լուծումները</w:t>
            </w:r>
          </w:p>
          <w:p w:rsidR="00154773" w:rsidRPr="0053423A" w:rsidRDefault="00154773" w:rsidP="00154773">
            <w:pPr>
              <w:shd w:val="clear" w:color="auto" w:fill="FFFFFF"/>
              <w:jc w:val="both"/>
              <w:textAlignment w:val="baseline"/>
              <w:rPr>
                <w:rFonts w:eastAsia="Times New Roman" w:cs="Arian AMU"/>
                <w:b/>
                <w:bCs/>
                <w:sz w:val="20"/>
                <w:szCs w:val="20"/>
                <w:lang w:val="hy-AM"/>
              </w:rPr>
            </w:pPr>
          </w:p>
          <w:p w:rsidR="00154773" w:rsidRPr="0053423A" w:rsidRDefault="00154773" w:rsidP="00154773">
            <w:pPr>
              <w:shd w:val="clear" w:color="auto" w:fill="FFFFFF"/>
              <w:ind w:firstLine="540"/>
              <w:jc w:val="both"/>
              <w:textAlignment w:val="baseline"/>
              <w:rPr>
                <w:rFonts w:eastAsia="Times New Roman" w:cs="Arian AMU"/>
                <w:bCs/>
                <w:sz w:val="20"/>
                <w:szCs w:val="20"/>
                <w:lang w:val="hy-AM"/>
              </w:rPr>
            </w:pPr>
            <w:r w:rsidRPr="0053423A">
              <w:rPr>
                <w:rFonts w:eastAsia="Times New Roman" w:cs="Arian AMU"/>
                <w:bCs/>
                <w:sz w:val="20"/>
                <w:szCs w:val="20"/>
                <w:lang w:val="hy-AM"/>
              </w:rPr>
              <w:t xml:space="preserve"> Նշված գործընթացներն իրականացնելու հետ կմշակվի կրթության ոլորտի զարգացման միասնական հայեցակարգ:</w:t>
            </w:r>
          </w:p>
          <w:p w:rsidR="00154773" w:rsidRPr="0053423A" w:rsidRDefault="00154773" w:rsidP="00154773">
            <w:pPr>
              <w:shd w:val="clear" w:color="auto" w:fill="FFFFFF"/>
              <w:ind w:firstLine="540"/>
              <w:jc w:val="both"/>
              <w:textAlignment w:val="baseline"/>
              <w:rPr>
                <w:spacing w:val="-4"/>
                <w:sz w:val="20"/>
                <w:szCs w:val="20"/>
                <w:lang w:val="hy-AM"/>
              </w:rPr>
            </w:pPr>
            <w:r w:rsidRPr="0053423A">
              <w:rPr>
                <w:rFonts w:ascii="Calibri" w:eastAsia="Times New Roman" w:hAnsi="Calibri" w:cs="Calibri"/>
                <w:sz w:val="20"/>
                <w:szCs w:val="20"/>
                <w:lang w:val="hy-AM"/>
              </w:rPr>
              <w:t> </w:t>
            </w:r>
            <w:r w:rsidRPr="0053423A">
              <w:rPr>
                <w:rFonts w:eastAsia="Times New Roman" w:cs="Arian AMU"/>
                <w:sz w:val="20"/>
                <w:szCs w:val="20"/>
                <w:lang w:val="hy-AM"/>
              </w:rPr>
              <w:t xml:space="preserve"> </w:t>
            </w:r>
            <w:r w:rsidRPr="0053423A">
              <w:rPr>
                <w:rFonts w:ascii="Calibri" w:eastAsia="Times New Roman" w:hAnsi="Calibri" w:cs="Calibri"/>
                <w:sz w:val="20"/>
                <w:szCs w:val="20"/>
                <w:lang w:val="hy-AM"/>
              </w:rPr>
              <w:t> </w:t>
            </w:r>
            <w:r w:rsidRPr="0053423A">
              <w:rPr>
                <w:spacing w:val="-4"/>
                <w:sz w:val="20"/>
                <w:szCs w:val="20"/>
                <w:lang w:val="hy-AM"/>
              </w:rPr>
              <w:t xml:space="preserve">Միջոցառումն իրականացնելու նպատակով փոփոխություն կարվի «Կրթության մասին» ՀՀ օրենքի 4-րդ հոդվածի 4-րդ կետում, համաձայն որի  Կրթության բնագավառում պետական քաղաքականության կազմակերպական հիմքը կրթության զարգացման պետական ծրագիրն է, որը Հայաստանի Հանրապետության կառավարության ներկայացմամբ հաստատում է Հայաստանի Հանրապետության Ազգային ժողովը: Փոփոխության արդյունքում ՀՀ կառավարությանը կամ ոլորտի պետականկառավարման լիազորված մարմնին կտրվի լիազորություն՝ հաստատելու կրթության ոլորտի զարգացման միասնական հայեցակարգը:: </w:t>
            </w:r>
          </w:p>
          <w:p w:rsidR="00154773" w:rsidRPr="0053423A" w:rsidRDefault="00154773" w:rsidP="00154773">
            <w:pPr>
              <w:shd w:val="clear" w:color="auto" w:fill="FFFFFF"/>
              <w:jc w:val="both"/>
              <w:textAlignment w:val="baseline"/>
              <w:rPr>
                <w:rFonts w:eastAsia="Times New Roman" w:cs="Arian AMU"/>
                <w:bCs/>
                <w:sz w:val="20"/>
                <w:szCs w:val="20"/>
                <w:lang w:val="hy-AM"/>
              </w:rPr>
            </w:pPr>
          </w:p>
          <w:p w:rsidR="00154773" w:rsidRPr="0053423A" w:rsidRDefault="00154773" w:rsidP="00154773">
            <w:pPr>
              <w:shd w:val="clear" w:color="auto" w:fill="FFFFFF"/>
              <w:ind w:firstLine="375"/>
              <w:rPr>
                <w:rFonts w:eastAsia="Times New Roman" w:cs="Times New Roman"/>
                <w:b/>
                <w:sz w:val="20"/>
                <w:szCs w:val="20"/>
                <w:lang w:val="hy-AM"/>
              </w:rPr>
            </w:pPr>
            <w:r w:rsidRPr="0053423A">
              <w:rPr>
                <w:rFonts w:eastAsia="Times New Roman" w:cs="Arian AMU"/>
                <w:sz w:val="20"/>
                <w:szCs w:val="20"/>
                <w:lang w:val="hy-AM"/>
              </w:rPr>
              <w:t xml:space="preserve"> </w:t>
            </w:r>
            <w:r w:rsidRPr="0053423A">
              <w:rPr>
                <w:rFonts w:eastAsia="Times New Roman" w:cs="Times New Roman"/>
                <w:b/>
                <w:sz w:val="20"/>
                <w:szCs w:val="20"/>
                <w:lang w:val="hy-AM"/>
              </w:rPr>
              <w:t>2</w:t>
            </w:r>
            <w:r w:rsidRPr="0053423A">
              <w:rPr>
                <w:rFonts w:eastAsia="Times New Roman" w:cs="Times New Roman"/>
                <w:sz w:val="20"/>
                <w:szCs w:val="20"/>
                <w:lang w:val="hy-AM"/>
              </w:rPr>
              <w:t>.</w:t>
            </w:r>
            <w:r w:rsidRPr="0053423A">
              <w:rPr>
                <w:rFonts w:eastAsia="Times New Roman" w:cs="Times New Roman"/>
                <w:b/>
                <w:sz w:val="20"/>
                <w:szCs w:val="20"/>
                <w:lang w:val="hy-AM"/>
              </w:rPr>
              <w:t>Միջոցառման իրականացումից ակնկալվող արդյունքը</w:t>
            </w:r>
          </w:p>
          <w:p w:rsidR="00154773" w:rsidRPr="0053423A" w:rsidRDefault="00154773" w:rsidP="00154773">
            <w:pPr>
              <w:shd w:val="clear" w:color="auto" w:fill="FFFFFF"/>
              <w:ind w:firstLine="375"/>
              <w:rPr>
                <w:rFonts w:eastAsia="Times New Roman" w:cs="Times New Roman"/>
                <w:sz w:val="20"/>
                <w:szCs w:val="20"/>
                <w:lang w:val="hy-AM"/>
              </w:rPr>
            </w:pPr>
            <w:r w:rsidRPr="0053423A">
              <w:rPr>
                <w:rFonts w:ascii="Calibri" w:eastAsia="Times New Roman" w:hAnsi="Calibri" w:cs="Calibri"/>
                <w:sz w:val="20"/>
                <w:szCs w:val="20"/>
                <w:lang w:val="hy-AM"/>
              </w:rPr>
              <w:t> </w:t>
            </w:r>
          </w:p>
          <w:p w:rsidR="00154773" w:rsidRPr="0053423A" w:rsidRDefault="00154773" w:rsidP="00154773">
            <w:pPr>
              <w:jc w:val="center"/>
              <w:rPr>
                <w:rFonts w:eastAsia="Times New Roman" w:cs="Times New Roman"/>
                <w:b/>
                <w:sz w:val="20"/>
                <w:szCs w:val="20"/>
                <w:lang w:val="hy-AM"/>
              </w:rPr>
            </w:pPr>
            <w:r w:rsidRPr="0053423A">
              <w:rPr>
                <w:rFonts w:ascii="Calibri" w:eastAsia="Times New Roman" w:hAnsi="Calibri" w:cs="Calibri"/>
                <w:sz w:val="20"/>
                <w:szCs w:val="20"/>
                <w:lang w:val="hy-AM"/>
              </w:rPr>
              <w:t>     </w:t>
            </w:r>
            <w:r w:rsidRPr="0053423A">
              <w:rPr>
                <w:rFonts w:eastAsia="Times New Roman" w:cs="Arian AMU"/>
                <w:sz w:val="20"/>
                <w:szCs w:val="20"/>
                <w:lang w:val="hy-AM"/>
              </w:rPr>
              <w:t>Մշակված հայեցակարգը  հիմք կհանդիսանա կրթության՝  զարգացման թիրախների և ռազմավարության մշակման համար: Ռազմավարական բնույթի նոր նախագծերը բովանդակային և ժամանակագրական առումով  կլինեն կիրառելի:</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F134F6" w:rsidP="00154773">
            <w:pPr>
              <w:shd w:val="clear" w:color="auto" w:fill="FFFFFF"/>
              <w:jc w:val="center"/>
              <w:textAlignment w:val="baseline"/>
              <w:rPr>
                <w:rFonts w:eastAsia="Times New Roman" w:cs="Times New Roman"/>
                <w:b/>
                <w:sz w:val="20"/>
                <w:szCs w:val="20"/>
                <w:u w:val="single"/>
                <w:lang w:val="hy-AM"/>
              </w:rPr>
            </w:pPr>
            <w:r>
              <w:rPr>
                <w:rFonts w:eastAsia="Times New Roman" w:cs="Times New Roman"/>
                <w:b/>
                <w:sz w:val="20"/>
                <w:szCs w:val="20"/>
                <w:u w:val="single"/>
                <w:lang w:val="hy-AM"/>
              </w:rPr>
              <w:t>1.3</w:t>
            </w:r>
            <w:r w:rsidR="00154773" w:rsidRPr="0053423A">
              <w:rPr>
                <w:rFonts w:eastAsia="Times New Roman" w:cs="Times New Roman"/>
                <w:b/>
                <w:sz w:val="20"/>
                <w:szCs w:val="20"/>
                <w:u w:val="single"/>
                <w:lang w:val="hy-AM"/>
              </w:rPr>
              <w:t xml:space="preserve"> «Կրթության՝ մինչև 2030թ. զարգացման թիրախների և 2020-2025թթ. զարգացման պետական ռազմավարությունը հաստատելու մասին</w:t>
            </w:r>
            <m:oMath>
              <m:r>
                <m:rPr>
                  <m:sty m:val="bi"/>
                </m:rPr>
                <w:rPr>
                  <w:rFonts w:ascii="Cambria Math" w:eastAsia="Times New Roman" w:hAnsi="Cambria Math" w:cs="Times New Roman"/>
                  <w:sz w:val="20"/>
                  <w:szCs w:val="20"/>
                  <w:u w:val="single"/>
                  <w:lang w:val="hy-AM"/>
                </w:rPr>
                <m:t>»</m:t>
              </m:r>
            </m:oMath>
            <w:r w:rsidR="00154773" w:rsidRPr="0053423A">
              <w:rPr>
                <w:rFonts w:eastAsia="Times New Roman" w:cs="Times New Roman"/>
                <w:b/>
                <w:sz w:val="20"/>
                <w:szCs w:val="20"/>
                <w:u w:val="single"/>
                <w:lang w:val="hy-AM"/>
              </w:rPr>
              <w:t xml:space="preserve"> ՀՀ կառավարության որոշման նախագծի ներկայացում ՀՀ վարչապետի աշխատակազմ</w:t>
            </w:r>
          </w:p>
          <w:p w:rsidR="00154773" w:rsidRPr="0053423A" w:rsidRDefault="00154773" w:rsidP="00154773">
            <w:pPr>
              <w:shd w:val="clear" w:color="auto" w:fill="FFFFFF"/>
              <w:jc w:val="both"/>
              <w:textAlignment w:val="baseline"/>
              <w:rPr>
                <w:rFonts w:eastAsia="Times New Roman" w:cs="Times New Roman"/>
                <w:b/>
                <w:sz w:val="20"/>
                <w:szCs w:val="20"/>
                <w:u w:val="single"/>
                <w:lang w:val="hy-AM"/>
              </w:rPr>
            </w:pPr>
          </w:p>
          <w:p w:rsidR="00154773" w:rsidRPr="0053423A" w:rsidRDefault="00154773" w:rsidP="00154773">
            <w:pPr>
              <w:shd w:val="clear" w:color="auto" w:fill="FFFFFF"/>
              <w:jc w:val="both"/>
              <w:textAlignment w:val="baseline"/>
              <w:rPr>
                <w:rFonts w:eastAsia="Times New Roman" w:cs="Times New Roman"/>
                <w:b/>
                <w:sz w:val="20"/>
                <w:szCs w:val="20"/>
                <w:u w:val="single"/>
                <w:lang w:val="hy-AM"/>
              </w:rPr>
            </w:pPr>
            <w:r w:rsidRPr="0053423A">
              <w:rPr>
                <w:b/>
                <w:sz w:val="20"/>
                <w:szCs w:val="20"/>
                <w:lang w:val="hy-AM"/>
              </w:rPr>
              <w:t>1.Միջոցառման իրականացման անհրաժեշտությունը և նպատակը</w:t>
            </w:r>
          </w:p>
          <w:p w:rsidR="00154773" w:rsidRPr="0053423A" w:rsidRDefault="00154773" w:rsidP="00154773">
            <w:pPr>
              <w:shd w:val="clear" w:color="auto" w:fill="FFFFFF"/>
              <w:jc w:val="both"/>
              <w:textAlignment w:val="baseline"/>
              <w:rPr>
                <w:rFonts w:eastAsia="Times New Roman" w:cs="Arian AMU"/>
                <w:b/>
                <w:sz w:val="20"/>
                <w:szCs w:val="20"/>
                <w:u w:val="single"/>
                <w:lang w:val="hy-AM"/>
              </w:rPr>
            </w:pPr>
          </w:p>
          <w:p w:rsidR="00154773" w:rsidRPr="0053423A" w:rsidRDefault="00154773" w:rsidP="00154773">
            <w:pPr>
              <w:shd w:val="clear" w:color="auto" w:fill="FFFFFF"/>
              <w:ind w:firstLine="540"/>
              <w:jc w:val="both"/>
              <w:textAlignment w:val="baseline"/>
              <w:rPr>
                <w:spacing w:val="-4"/>
                <w:sz w:val="20"/>
                <w:szCs w:val="20"/>
                <w:lang w:val="hy-AM"/>
              </w:rPr>
            </w:pPr>
            <w:r w:rsidRPr="0053423A">
              <w:rPr>
                <w:spacing w:val="-4"/>
                <w:sz w:val="20"/>
                <w:szCs w:val="20"/>
                <w:lang w:val="hy-AM"/>
              </w:rPr>
              <w:t>Միջոցառման գլխավոր նպատակն է  կրթության համակարգի կառավարման արդյունավետության բարձրացումը:</w:t>
            </w:r>
            <w:r w:rsidRPr="0053423A">
              <w:rPr>
                <w:sz w:val="20"/>
                <w:szCs w:val="20"/>
                <w:lang w:val="hy-AM"/>
              </w:rPr>
              <w:t xml:space="preserve"> </w:t>
            </w:r>
            <w:r w:rsidRPr="0053423A">
              <w:rPr>
                <w:spacing w:val="-4"/>
                <w:sz w:val="20"/>
                <w:szCs w:val="20"/>
                <w:lang w:val="hy-AM"/>
              </w:rPr>
              <w:t xml:space="preserve">Միջոցառման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xml:space="preserve">»  </w:t>
            </w:r>
            <w:r w:rsidRPr="0053423A">
              <w:rPr>
                <w:rFonts w:eastAsia="Calibri" w:cs="Sylfaen"/>
                <w:sz w:val="20"/>
                <w:szCs w:val="20"/>
                <w:lang w:val="hy-AM"/>
              </w:rPr>
              <w:t xml:space="preserve">բաժնի 1-ին պարբերությունից: </w:t>
            </w:r>
            <w:r w:rsidRPr="0053423A">
              <w:rPr>
                <w:rFonts w:eastAsia="Times New Roman" w:cs="Arian AMU"/>
                <w:sz w:val="20"/>
                <w:szCs w:val="20"/>
                <w:lang w:val="hy-AM"/>
              </w:rPr>
              <w:t xml:space="preserve">Կրթության համակարգի ներկա փուլի զարգացման նպատակն է` ընդունելով ժամանակակից մարտահրավերները և ռազմավարության սկզբունքները, արձանագրել հիմնախնդիրների լուծման և առաջընթացի այնպիսի արդյունքներ, որոնք կվերականգնեն </w:t>
            </w:r>
            <w:r w:rsidRPr="0053423A">
              <w:rPr>
                <w:spacing w:val="-4"/>
                <w:sz w:val="20"/>
                <w:szCs w:val="20"/>
                <w:lang w:val="hy-AM"/>
              </w:rPr>
              <w:t>կրթության ու գիտելիքի վարկանիշը և կամրապնդեն Հայաստանի` որպես գիտակրթական տարածքի, հեղինակությունը:</w:t>
            </w:r>
          </w:p>
          <w:p w:rsidR="00154773" w:rsidRPr="0053423A" w:rsidRDefault="00154773" w:rsidP="00154773">
            <w:pPr>
              <w:shd w:val="clear" w:color="auto" w:fill="FFFFFF"/>
              <w:ind w:firstLine="540"/>
              <w:jc w:val="both"/>
              <w:textAlignment w:val="baseline"/>
              <w:rPr>
                <w:spacing w:val="-4"/>
                <w:sz w:val="20"/>
                <w:szCs w:val="20"/>
                <w:lang w:val="hy-AM"/>
              </w:rPr>
            </w:pPr>
          </w:p>
          <w:p w:rsidR="00154773" w:rsidRPr="0053423A" w:rsidRDefault="00154773" w:rsidP="001F6D5D">
            <w:pPr>
              <w:numPr>
                <w:ilvl w:val="1"/>
                <w:numId w:val="475"/>
              </w:numPr>
              <w:shd w:val="clear" w:color="auto" w:fill="FFFFFF"/>
              <w:ind w:left="810" w:hanging="450"/>
              <w:contextualSpacing/>
              <w:textAlignment w:val="baseline"/>
              <w:rPr>
                <w:rFonts w:eastAsia="Times New Roman" w:cs="Arian AMU"/>
                <w:b/>
                <w:bCs/>
                <w:sz w:val="20"/>
                <w:szCs w:val="20"/>
                <w:lang w:val="hy-AM"/>
              </w:rPr>
            </w:pPr>
            <w:r w:rsidRPr="0053423A">
              <w:rPr>
                <w:rFonts w:eastAsia="Times New Roman" w:cs="Arian AMU"/>
                <w:b/>
                <w:bCs/>
                <w:sz w:val="20"/>
                <w:szCs w:val="20"/>
                <w:lang w:val="hy-AM"/>
              </w:rPr>
              <w:t xml:space="preserve">կարգավորման </w:t>
            </w:r>
            <w:r w:rsidRPr="0053423A">
              <w:rPr>
                <w:rFonts w:ascii="Calibri" w:eastAsia="Times New Roman" w:hAnsi="Calibri" w:cs="Calibri"/>
                <w:b/>
                <w:bCs/>
                <w:sz w:val="20"/>
                <w:szCs w:val="20"/>
                <w:lang w:val="hy-AM"/>
              </w:rPr>
              <w:t> </w:t>
            </w:r>
            <w:r w:rsidRPr="0053423A">
              <w:rPr>
                <w:rFonts w:eastAsia="Times New Roman" w:cs="GHEA Grapalat"/>
                <w:b/>
                <w:bCs/>
                <w:sz w:val="20"/>
                <w:szCs w:val="20"/>
                <w:lang w:val="hy-AM"/>
              </w:rPr>
              <w:t>հարաբերությունների</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ներկա</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վիճակը</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և</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առկա</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խնդիրները</w:t>
            </w:r>
          </w:p>
          <w:p w:rsidR="00154773" w:rsidRPr="0053423A" w:rsidRDefault="00154773" w:rsidP="00154773">
            <w:pPr>
              <w:shd w:val="clear" w:color="auto" w:fill="FFFFFF"/>
              <w:ind w:firstLine="540"/>
              <w:jc w:val="both"/>
              <w:textAlignment w:val="baseline"/>
              <w:rPr>
                <w:rFonts w:eastAsia="Calibri" w:cs="Sylfaen"/>
                <w:sz w:val="20"/>
                <w:szCs w:val="20"/>
                <w:lang w:val="hy-AM"/>
              </w:rPr>
            </w:pPr>
          </w:p>
          <w:p w:rsidR="00154773" w:rsidRPr="0053423A" w:rsidRDefault="00154773" w:rsidP="00154773">
            <w:pPr>
              <w:shd w:val="clear" w:color="auto" w:fill="FFFFFF"/>
              <w:ind w:firstLine="540"/>
              <w:jc w:val="both"/>
              <w:textAlignment w:val="baseline"/>
              <w:rPr>
                <w:rFonts w:eastAsia="Calibri" w:cs="Sylfaen"/>
                <w:sz w:val="20"/>
                <w:szCs w:val="20"/>
                <w:lang w:val="hy-AM"/>
              </w:rPr>
            </w:pPr>
          </w:p>
          <w:p w:rsidR="00154773" w:rsidRPr="0053423A" w:rsidRDefault="00154773" w:rsidP="00154773">
            <w:pPr>
              <w:shd w:val="clear" w:color="auto" w:fill="FFFFFF"/>
              <w:ind w:firstLine="540"/>
              <w:jc w:val="both"/>
              <w:textAlignment w:val="baseline"/>
              <w:rPr>
                <w:rFonts w:eastAsia="Times New Roman" w:cs="Arian AMU"/>
                <w:sz w:val="20"/>
                <w:szCs w:val="20"/>
                <w:lang w:val="hy-AM"/>
              </w:rPr>
            </w:pPr>
            <w:r w:rsidRPr="0053423A">
              <w:rPr>
                <w:rFonts w:eastAsia="Calibri" w:cs="Sylfaen"/>
                <w:sz w:val="20"/>
                <w:szCs w:val="20"/>
                <w:lang w:val="hy-AM"/>
              </w:rPr>
              <w:t xml:space="preserve"> </w:t>
            </w:r>
            <w:r w:rsidRPr="0053423A">
              <w:rPr>
                <w:rFonts w:eastAsia="Times New Roman" w:cs="Arian AMU"/>
                <w:sz w:val="20"/>
                <w:szCs w:val="20"/>
                <w:lang w:val="hy-AM"/>
              </w:rPr>
              <w:t xml:space="preserve">Համաձայն «Կրթության մասին» ՀՀ օրենքի 4-րդ հոդվածի 4-րդ և 5-րդ կետերի` կրթության բնագավառում պետական քաղաքականության կազմակերպական հիմքը կրթության զարգացման պետական ծրագիրն է: </w:t>
            </w:r>
            <w:r w:rsidRPr="0053423A">
              <w:rPr>
                <w:rFonts w:cs="Sylfaen"/>
                <w:sz w:val="20"/>
                <w:szCs w:val="20"/>
                <w:lang w:val="af-ZA"/>
              </w:rPr>
              <w:t>Կրթության ոլորտի զարգացման առաջնահերթությունները, գերակայությունները, առկա խնդիրները, հիմնահարցերը, վերաձևակերպման կարիք ունեն, որոնք ունեն վերանայման, ընդհանրացման անհրաժեշտություն</w:t>
            </w:r>
            <w:r w:rsidRPr="0053423A">
              <w:rPr>
                <w:rFonts w:eastAsia="Times New Roman" w:cs="Arian AMU"/>
                <w:sz w:val="20"/>
                <w:szCs w:val="20"/>
                <w:lang w:val="hy-AM"/>
              </w:rPr>
              <w:t>:</w:t>
            </w:r>
          </w:p>
          <w:p w:rsidR="00154773" w:rsidRPr="0053423A" w:rsidRDefault="00154773" w:rsidP="00154773">
            <w:pPr>
              <w:shd w:val="clear" w:color="auto" w:fill="FFFFFF"/>
              <w:jc w:val="both"/>
              <w:textAlignment w:val="baseline"/>
              <w:rPr>
                <w:rFonts w:eastAsia="Times New Roman" w:cs="Arian AMU"/>
                <w:sz w:val="20"/>
                <w:szCs w:val="20"/>
                <w:lang w:val="hy-AM"/>
              </w:rPr>
            </w:pPr>
          </w:p>
          <w:p w:rsidR="00154773" w:rsidRPr="0053423A" w:rsidRDefault="00154773" w:rsidP="00154773">
            <w:pPr>
              <w:shd w:val="clear" w:color="auto" w:fill="FFFFFF"/>
              <w:jc w:val="both"/>
              <w:textAlignment w:val="baseline"/>
              <w:rPr>
                <w:rFonts w:eastAsia="Times New Roman" w:cs="Arian AMU"/>
                <w:sz w:val="20"/>
                <w:szCs w:val="20"/>
                <w:lang w:val="hy-AM"/>
              </w:rPr>
            </w:pPr>
            <w:r w:rsidRPr="0053423A">
              <w:rPr>
                <w:rFonts w:ascii="Calibri" w:eastAsia="Times New Roman" w:hAnsi="Calibri" w:cs="Calibri"/>
                <w:sz w:val="20"/>
                <w:szCs w:val="20"/>
                <w:lang w:val="hy-AM"/>
              </w:rPr>
              <w:t> </w:t>
            </w:r>
          </w:p>
          <w:p w:rsidR="00154773" w:rsidRPr="0053423A" w:rsidRDefault="00154773" w:rsidP="00154773">
            <w:pPr>
              <w:shd w:val="clear" w:color="auto" w:fill="FFFFFF"/>
              <w:textAlignment w:val="baseline"/>
              <w:rPr>
                <w:rFonts w:eastAsia="Times New Roman" w:cs="Arian AMU"/>
                <w:b/>
                <w:bCs/>
                <w:sz w:val="20"/>
                <w:szCs w:val="20"/>
                <w:lang w:val="hy-AM"/>
              </w:rPr>
            </w:pPr>
            <w:r w:rsidRPr="0053423A">
              <w:rPr>
                <w:rFonts w:ascii="Calibri" w:eastAsia="Times New Roman" w:hAnsi="Calibri" w:cs="Calibri"/>
                <w:b/>
                <w:bCs/>
                <w:sz w:val="20"/>
                <w:szCs w:val="20"/>
                <w:lang w:val="hy-AM"/>
              </w:rPr>
              <w:t>   </w:t>
            </w:r>
            <w:r w:rsidRPr="0053423A">
              <w:rPr>
                <w:rFonts w:eastAsia="Times New Roman" w:cs="GHEA Grapalat"/>
                <w:b/>
                <w:bCs/>
                <w:sz w:val="20"/>
                <w:szCs w:val="20"/>
                <w:lang w:val="hy-AM"/>
              </w:rPr>
              <w:t xml:space="preserve"> 1.2.</w:t>
            </w:r>
            <w:r w:rsidRPr="0053423A">
              <w:rPr>
                <w:rFonts w:ascii="Calibri" w:eastAsia="Times New Roman" w:hAnsi="Calibri" w:cs="Calibri"/>
                <w:b/>
                <w:bCs/>
                <w:sz w:val="20"/>
                <w:szCs w:val="20"/>
                <w:lang w:val="hy-AM"/>
              </w:rPr>
              <w:t> </w:t>
            </w:r>
            <w:r w:rsidRPr="0053423A">
              <w:rPr>
                <w:rFonts w:eastAsia="Times New Roman" w:cs="GHEA Grapalat"/>
                <w:b/>
                <w:bCs/>
                <w:sz w:val="20"/>
                <w:szCs w:val="20"/>
                <w:lang w:val="hy-AM"/>
              </w:rPr>
              <w:t>առկա</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խնդիրների</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առաջարկվող</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լուծումները</w:t>
            </w:r>
          </w:p>
          <w:p w:rsidR="00154773" w:rsidRPr="0053423A" w:rsidRDefault="00154773" w:rsidP="00154773">
            <w:pPr>
              <w:shd w:val="clear" w:color="auto" w:fill="FFFFFF"/>
              <w:textAlignment w:val="baseline"/>
              <w:rPr>
                <w:rFonts w:eastAsia="Times New Roman" w:cs="Arian AMU"/>
                <w:sz w:val="20"/>
                <w:szCs w:val="20"/>
                <w:lang w:val="hy-AM"/>
              </w:rPr>
            </w:pPr>
          </w:p>
          <w:p w:rsidR="00154773" w:rsidRPr="0053423A" w:rsidRDefault="00154773" w:rsidP="00154773">
            <w:pPr>
              <w:shd w:val="clear" w:color="auto" w:fill="FFFFFF"/>
              <w:jc w:val="both"/>
              <w:textAlignment w:val="baseline"/>
              <w:rPr>
                <w:rFonts w:eastAsia="Times New Roman" w:cs="Arian AMU"/>
                <w:sz w:val="20"/>
                <w:szCs w:val="20"/>
                <w:lang w:val="hy-AM"/>
              </w:rPr>
            </w:pPr>
            <w:r w:rsidRPr="0053423A">
              <w:rPr>
                <w:rFonts w:ascii="Calibri" w:eastAsia="Times New Roman" w:hAnsi="Calibri" w:cs="Calibri"/>
                <w:sz w:val="20"/>
                <w:szCs w:val="20"/>
                <w:lang w:val="hy-AM"/>
              </w:rPr>
              <w:t>      </w:t>
            </w:r>
            <w:r w:rsidRPr="0053423A">
              <w:rPr>
                <w:rFonts w:eastAsia="Times New Roman" w:cs="Arian AMU"/>
                <w:sz w:val="20"/>
                <w:szCs w:val="20"/>
                <w:lang w:val="hy-AM"/>
              </w:rPr>
              <w:t xml:space="preserve"> Հիմք ընդունելով կրթության համակարգի արդեն իսկ արձանագրված ձեռքբերումները` կմշակվի  ՀՀ կրթության մինչև 2030 թվականի զարգացման թիրախների, ինչպես նաև  մինչև 2025 թվականի զարգացման պետական ռազմավարության նախագիծը, որում կսահմանվեն ՀՀ կրթության ոլորտի զարգացման գերակայությունները, ռազմավարության սկզբունքներն ու ծրագրային ուղղությունները, ինչը ուղղորդիչ դեր կունենա կրթության բոլոր մակարդակների բարեփոխումների համաժամանեցման  համար: ՀՀ կրթության  </w:t>
            </w:r>
            <w:r w:rsidRPr="0053423A">
              <w:rPr>
                <w:rFonts w:eastAsia="Times New Roman" w:cs="Times New Roman"/>
                <w:sz w:val="20"/>
                <w:szCs w:val="20"/>
                <w:lang w:val="hy-AM"/>
              </w:rPr>
              <w:t xml:space="preserve">մինչև 2030թ. զարգացման թիրախների և </w:t>
            </w:r>
            <w:r w:rsidRPr="0053423A">
              <w:rPr>
                <w:rFonts w:eastAsia="Times New Roman" w:cs="Arian AMU"/>
                <w:sz w:val="20"/>
                <w:szCs w:val="20"/>
                <w:lang w:val="hy-AM"/>
              </w:rPr>
              <w:t xml:space="preserve"> մինչև 2020-2025 թվականի զարգացման պետական ռազմավարության նախագիծը կմշակվի հաշվի առնելով Հայաստանի Հանրապետության հեռանկարային զարգացման ռազմավարական  ծրագիրը, Հայաստանի Հանրապետության կառավարության գործունեության ծրագիրը, կրթության համակարգի վերջին տարիների մարտահրավերները, ինչպես նաև ՄԱԿ-ի «Փոխակերպենք մեր երկիրը. Մինչև 2030 թվականը կայուն զարգացման օրակարգը» և «Կրթություն 2030. Դեպի ներառական և արդարացի որակյալ կրթություն ու կրթություն ողջ կյանքի ընթացքում բոլորի համար» Ինչհոնի հռչակագիրը: Միջոցառումն իրականացնելու համար տեխնիկական աջակցություն կտրամադրի Ասիական զարգացման բանկը:</w:t>
            </w:r>
          </w:p>
          <w:p w:rsidR="00154773" w:rsidRPr="0053423A" w:rsidRDefault="00154773" w:rsidP="00154773">
            <w:pPr>
              <w:shd w:val="clear" w:color="auto" w:fill="FFFFFF"/>
              <w:ind w:firstLine="540"/>
              <w:jc w:val="both"/>
              <w:textAlignment w:val="baseline"/>
              <w:rPr>
                <w:spacing w:val="-4"/>
                <w:sz w:val="20"/>
                <w:szCs w:val="20"/>
                <w:lang w:val="hy-AM"/>
              </w:rPr>
            </w:pPr>
            <w:r w:rsidRPr="0053423A">
              <w:rPr>
                <w:rFonts w:ascii="Calibri" w:eastAsia="Times New Roman" w:hAnsi="Calibri" w:cs="Calibri"/>
                <w:sz w:val="20"/>
                <w:szCs w:val="20"/>
                <w:lang w:val="hy-AM"/>
              </w:rPr>
              <w:t> </w:t>
            </w:r>
            <w:r w:rsidRPr="0053423A">
              <w:rPr>
                <w:rFonts w:eastAsia="Times New Roman" w:cs="Arian AMU"/>
                <w:sz w:val="20"/>
                <w:szCs w:val="20"/>
                <w:lang w:val="hy-AM"/>
              </w:rPr>
              <w:t xml:space="preserve"> </w:t>
            </w:r>
            <w:r w:rsidRPr="0053423A">
              <w:rPr>
                <w:rFonts w:ascii="Calibri" w:eastAsia="Times New Roman" w:hAnsi="Calibri" w:cs="Calibri"/>
                <w:sz w:val="20"/>
                <w:szCs w:val="20"/>
                <w:lang w:val="hy-AM"/>
              </w:rPr>
              <w:t> </w:t>
            </w:r>
            <w:r w:rsidRPr="0053423A">
              <w:rPr>
                <w:spacing w:val="-4"/>
                <w:sz w:val="20"/>
                <w:szCs w:val="20"/>
                <w:lang w:val="hy-AM"/>
              </w:rPr>
              <w:t xml:space="preserve">Միջոցառումներն իրականացնելու նպատակով փոփոխություն կարվի «Կրթության մասին» ՀՀ օրենքի 4-րդ հոդվածի 4-րդ կետում, համաձայն որի,  Կրթության բնագավառում պետական քաղաքականության կազմակերպական հիմքը կրթության զարգացման պետական ծրագիրն է, որը Հայաստանի Հանրապետության կառավարության ներկայացմամբ հաստատում է Հայաստանի Հանրապետության Ազգային ժողովը: Փոփոխության արդյունքում ՀՀ կառավարությանը  կտրվի լիազորություն՝ հաստատելու Կրթության՝ մինչև 2030թ. զարգացման թիրախների և 2020-2025թթ. զարգացման պետական ռազմավարությունը: </w:t>
            </w:r>
          </w:p>
          <w:p w:rsidR="00154773" w:rsidRPr="0053423A" w:rsidRDefault="00154773" w:rsidP="00154773">
            <w:pPr>
              <w:shd w:val="clear" w:color="auto" w:fill="FFFFFF"/>
              <w:textAlignment w:val="baseline"/>
              <w:rPr>
                <w:rFonts w:eastAsia="Times New Roman" w:cs="Arian AMU"/>
                <w:sz w:val="20"/>
                <w:szCs w:val="20"/>
                <w:lang w:val="hy-AM"/>
              </w:rPr>
            </w:pPr>
          </w:p>
          <w:p w:rsidR="00154773" w:rsidRPr="0053423A" w:rsidRDefault="00154773" w:rsidP="00154773">
            <w:pPr>
              <w:shd w:val="clear" w:color="auto" w:fill="FFFFFF"/>
              <w:ind w:firstLine="375"/>
              <w:rPr>
                <w:rFonts w:eastAsia="Times New Roman" w:cs="Times New Roman"/>
                <w:b/>
                <w:sz w:val="20"/>
                <w:szCs w:val="20"/>
                <w:lang w:val="hy-AM"/>
              </w:rPr>
            </w:pPr>
            <w:r w:rsidRPr="0053423A">
              <w:rPr>
                <w:rFonts w:eastAsia="Times New Roman" w:cs="Times New Roman"/>
                <w:b/>
                <w:sz w:val="20"/>
                <w:szCs w:val="20"/>
                <w:lang w:val="hy-AM"/>
              </w:rPr>
              <w:t>2</w:t>
            </w:r>
            <w:r w:rsidRPr="0053423A">
              <w:rPr>
                <w:rFonts w:eastAsia="Times New Roman" w:cs="Times New Roman"/>
                <w:sz w:val="20"/>
                <w:szCs w:val="20"/>
                <w:lang w:val="hy-AM"/>
              </w:rPr>
              <w:t>.</w:t>
            </w:r>
            <w:r w:rsidRPr="0053423A">
              <w:rPr>
                <w:rFonts w:eastAsia="Times New Roman" w:cs="Times New Roman"/>
                <w:b/>
                <w:sz w:val="20"/>
                <w:szCs w:val="20"/>
                <w:lang w:val="hy-AM"/>
              </w:rPr>
              <w:t>Միջոցառման իրականացումից ակնկալվող արդյունքը</w:t>
            </w:r>
          </w:p>
          <w:p w:rsidR="00154773" w:rsidRPr="0053423A" w:rsidRDefault="00154773" w:rsidP="00154773">
            <w:pPr>
              <w:shd w:val="clear" w:color="auto" w:fill="FFFFFF"/>
              <w:ind w:firstLine="375"/>
              <w:rPr>
                <w:rFonts w:eastAsia="Times New Roman" w:cs="Times New Roman"/>
                <w:sz w:val="20"/>
                <w:szCs w:val="20"/>
                <w:lang w:val="hy-AM"/>
              </w:rPr>
            </w:pPr>
            <w:r w:rsidRPr="0053423A">
              <w:rPr>
                <w:rFonts w:ascii="Calibri" w:eastAsia="Times New Roman" w:hAnsi="Calibri" w:cs="Calibri"/>
                <w:sz w:val="20"/>
                <w:szCs w:val="20"/>
                <w:lang w:val="hy-AM"/>
              </w:rPr>
              <w:t> </w:t>
            </w:r>
          </w:p>
          <w:p w:rsidR="00154773" w:rsidRPr="0053423A" w:rsidRDefault="00154773" w:rsidP="00154773">
            <w:pPr>
              <w:shd w:val="clear" w:color="auto" w:fill="FFFFFF"/>
              <w:jc w:val="both"/>
              <w:textAlignment w:val="baseline"/>
              <w:rPr>
                <w:rFonts w:eastAsia="Times New Roman" w:cs="Arian AMU"/>
                <w:sz w:val="20"/>
                <w:szCs w:val="20"/>
                <w:lang w:val="hy-AM"/>
              </w:rPr>
            </w:pPr>
            <w:r w:rsidRPr="0053423A">
              <w:rPr>
                <w:rFonts w:ascii="Calibri" w:eastAsia="Times New Roman" w:hAnsi="Calibri" w:cs="Calibri"/>
                <w:sz w:val="20"/>
                <w:szCs w:val="20"/>
                <w:lang w:val="hy-AM"/>
              </w:rPr>
              <w:t>     </w:t>
            </w:r>
            <w:r w:rsidRPr="0053423A">
              <w:rPr>
                <w:rFonts w:eastAsia="Times New Roman" w:cs="Arian AMU"/>
                <w:sz w:val="20"/>
                <w:szCs w:val="20"/>
                <w:lang w:val="hy-AM"/>
              </w:rPr>
              <w:t>ՀՀ կրթության զարգացման մինչև 2025 թվականի պետական ռազմավարության  նախագծում այնպիսի ռազմավարական մոտեցումների որդեգրում, որոնք կապահովեն կրթության կայուն զարգացման առավել նպատակասլացություն և արդյունավետություն: Կրթության ոլորտի հետագա զարգացումները կիրականացվեն` ըստ սահմանված գերակա ուղղությունների և զարգացման նպատակային ցուցանիշների, որոնք կնպաստեն Հայաստանի ընդհանուր մրցունակության բարձրացմանը:</w:t>
            </w:r>
          </w:p>
          <w:p w:rsidR="00154773" w:rsidRPr="0053423A" w:rsidRDefault="00154773" w:rsidP="00154773">
            <w:pPr>
              <w:jc w:val="center"/>
              <w:rPr>
                <w:rFonts w:eastAsia="Times New Roman" w:cs="Times New Roman"/>
                <w:b/>
                <w:sz w:val="20"/>
                <w:szCs w:val="20"/>
                <w:lang w:val="hy-AM"/>
              </w:rPr>
            </w:pPr>
          </w:p>
        </w:tc>
      </w:tr>
      <w:tr w:rsidR="00154773" w:rsidRPr="00DE2EF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2</w:t>
            </w:r>
          </w:p>
        </w:tc>
        <w:tc>
          <w:tcPr>
            <w:tcW w:w="10620" w:type="dxa"/>
          </w:tcPr>
          <w:p w:rsidR="00154773" w:rsidRPr="0053423A" w:rsidRDefault="00154773" w:rsidP="00154773">
            <w:pPr>
              <w:shd w:val="clear" w:color="auto" w:fill="FFFFFF"/>
              <w:tabs>
                <w:tab w:val="left" w:pos="720"/>
              </w:tabs>
              <w:jc w:val="center"/>
              <w:textAlignment w:val="baseline"/>
              <w:rPr>
                <w:b/>
                <w:sz w:val="20"/>
                <w:szCs w:val="20"/>
                <w:u w:val="single"/>
                <w:lang w:val="hy-AM"/>
              </w:rPr>
            </w:pPr>
            <w:r w:rsidRPr="0053423A">
              <w:rPr>
                <w:b/>
                <w:sz w:val="20"/>
                <w:szCs w:val="20"/>
                <w:u w:val="single"/>
                <w:lang w:val="hy-AM"/>
              </w:rPr>
              <w:t xml:space="preserve">2.1  </w:t>
            </w:r>
            <w:r w:rsidRPr="0053423A">
              <w:rPr>
                <w:rFonts w:eastAsia="Times New Roman" w:cs="Arial"/>
                <w:b/>
                <w:sz w:val="20"/>
                <w:szCs w:val="20"/>
                <w:u w:val="single"/>
                <w:lang w:val="hy-AM"/>
              </w:rPr>
              <w:t>ՀՀ կրթության և գիտության նախարարի հրամանով կ</w:t>
            </w:r>
            <w:r w:rsidRPr="0053423A">
              <w:rPr>
                <w:rFonts w:eastAsia="Times New Roman" w:cs="Arial"/>
                <w:b/>
                <w:sz w:val="20"/>
                <w:szCs w:val="20"/>
                <w:u w:val="single"/>
              </w:rPr>
              <w:t>րթության</w:t>
            </w:r>
            <w:r w:rsidRPr="0053423A">
              <w:rPr>
                <w:rFonts w:eastAsia="Times New Roman" w:cs="Times New Roman"/>
                <w:b/>
                <w:sz w:val="20"/>
                <w:szCs w:val="20"/>
                <w:u w:val="single"/>
              </w:rPr>
              <w:t xml:space="preserve"> </w:t>
            </w:r>
            <w:r w:rsidRPr="0053423A">
              <w:rPr>
                <w:rFonts w:eastAsia="Times New Roman" w:cs="Arial"/>
                <w:b/>
                <w:sz w:val="20"/>
                <w:szCs w:val="20"/>
                <w:u w:val="single"/>
              </w:rPr>
              <w:t>կառավարման</w:t>
            </w:r>
            <w:r w:rsidRPr="0053423A">
              <w:rPr>
                <w:rFonts w:eastAsia="Times New Roman" w:cs="Times New Roman"/>
                <w:b/>
                <w:sz w:val="20"/>
                <w:szCs w:val="20"/>
                <w:u w:val="single"/>
              </w:rPr>
              <w:t xml:space="preserve"> </w:t>
            </w:r>
            <w:r w:rsidRPr="0053423A">
              <w:rPr>
                <w:rFonts w:eastAsia="Times New Roman" w:cs="Arial"/>
                <w:b/>
                <w:sz w:val="20"/>
                <w:szCs w:val="20"/>
                <w:u w:val="single"/>
              </w:rPr>
              <w:t>տեղեկատվական</w:t>
            </w:r>
            <w:r w:rsidRPr="0053423A">
              <w:rPr>
                <w:rFonts w:eastAsia="Times New Roman" w:cs="Times New Roman"/>
                <w:b/>
                <w:sz w:val="20"/>
                <w:szCs w:val="20"/>
                <w:u w:val="single"/>
              </w:rPr>
              <w:t xml:space="preserve"> </w:t>
            </w:r>
            <w:r w:rsidRPr="0053423A">
              <w:rPr>
                <w:rFonts w:eastAsia="Times New Roman" w:cs="Arial"/>
                <w:b/>
                <w:sz w:val="20"/>
                <w:szCs w:val="20"/>
                <w:u w:val="single"/>
              </w:rPr>
              <w:t>համակարգի</w:t>
            </w:r>
            <w:r w:rsidRPr="0053423A">
              <w:rPr>
                <w:rFonts w:eastAsia="Times New Roman" w:cs="Times New Roman"/>
                <w:b/>
                <w:sz w:val="20"/>
                <w:szCs w:val="20"/>
                <w:u w:val="single"/>
              </w:rPr>
              <w:t xml:space="preserve"> (</w:t>
            </w:r>
            <w:r w:rsidRPr="0053423A">
              <w:rPr>
                <w:rFonts w:eastAsia="Times New Roman" w:cs="Arial"/>
                <w:b/>
                <w:sz w:val="20"/>
                <w:szCs w:val="20"/>
                <w:u w:val="single"/>
              </w:rPr>
              <w:t>ԿԿՏՀ</w:t>
            </w:r>
            <w:r w:rsidRPr="0053423A">
              <w:rPr>
                <w:rFonts w:eastAsia="Times New Roman" w:cs="Times New Roman"/>
                <w:b/>
                <w:sz w:val="20"/>
                <w:szCs w:val="20"/>
                <w:u w:val="single"/>
              </w:rPr>
              <w:t xml:space="preserve">) </w:t>
            </w:r>
            <w:r w:rsidRPr="0053423A">
              <w:rPr>
                <w:rFonts w:eastAsia="Times New Roman" w:cs="Arial"/>
                <w:b/>
                <w:sz w:val="20"/>
                <w:szCs w:val="20"/>
                <w:u w:val="single"/>
              </w:rPr>
              <w:t>ամբողջականացման</w:t>
            </w:r>
            <w:r w:rsidRPr="0053423A">
              <w:rPr>
                <w:rFonts w:eastAsia="Times New Roman" w:cs="Times New Roman"/>
                <w:b/>
                <w:sz w:val="20"/>
                <w:szCs w:val="20"/>
                <w:u w:val="single"/>
              </w:rPr>
              <w:t xml:space="preserve"> </w:t>
            </w:r>
            <w:r w:rsidRPr="0053423A">
              <w:rPr>
                <w:rFonts w:eastAsia="Times New Roman" w:cs="Arial"/>
                <w:b/>
                <w:sz w:val="20"/>
                <w:szCs w:val="20"/>
                <w:u w:val="single"/>
              </w:rPr>
              <w:t>գործողությունների</w:t>
            </w:r>
            <w:r w:rsidRPr="0053423A">
              <w:rPr>
                <w:rFonts w:eastAsia="Times New Roman" w:cs="Times New Roman"/>
                <w:b/>
                <w:sz w:val="20"/>
                <w:szCs w:val="20"/>
                <w:u w:val="single"/>
              </w:rPr>
              <w:t xml:space="preserve"> </w:t>
            </w:r>
            <w:r w:rsidRPr="0053423A">
              <w:rPr>
                <w:rFonts w:eastAsia="Times New Roman" w:cs="Arial"/>
                <w:b/>
                <w:sz w:val="20"/>
                <w:szCs w:val="20"/>
                <w:u w:val="single"/>
              </w:rPr>
              <w:t>պլանի</w:t>
            </w:r>
            <w:r w:rsidRPr="0053423A">
              <w:rPr>
                <w:rFonts w:eastAsia="Times New Roman" w:cs="Times New Roman"/>
                <w:b/>
                <w:sz w:val="20"/>
                <w:szCs w:val="20"/>
                <w:u w:val="single"/>
              </w:rPr>
              <w:t xml:space="preserve"> </w:t>
            </w:r>
            <w:r w:rsidRPr="0053423A">
              <w:rPr>
                <w:rFonts w:eastAsia="Times New Roman" w:cs="Arial"/>
                <w:b/>
                <w:sz w:val="20"/>
                <w:szCs w:val="20"/>
                <w:u w:val="single"/>
              </w:rPr>
              <w:t>հաստատում</w:t>
            </w:r>
          </w:p>
          <w:p w:rsidR="00154773" w:rsidRPr="0053423A" w:rsidRDefault="00154773" w:rsidP="00154773">
            <w:pPr>
              <w:shd w:val="clear" w:color="auto" w:fill="FFFFFF"/>
              <w:tabs>
                <w:tab w:val="left" w:pos="720"/>
              </w:tabs>
              <w:ind w:firstLine="360"/>
              <w:textAlignment w:val="baseline"/>
              <w:rPr>
                <w:b/>
                <w:sz w:val="20"/>
                <w:szCs w:val="20"/>
                <w:u w:val="single"/>
                <w:lang w:val="hy-AM"/>
              </w:rPr>
            </w:pPr>
          </w:p>
          <w:p w:rsidR="00154773" w:rsidRPr="0053423A" w:rsidRDefault="00154773" w:rsidP="00154773">
            <w:pPr>
              <w:shd w:val="clear" w:color="auto" w:fill="FFFFFF"/>
              <w:tabs>
                <w:tab w:val="left" w:pos="720"/>
              </w:tabs>
              <w:ind w:left="450" w:hanging="90"/>
              <w:textAlignment w:val="baseline"/>
              <w:rPr>
                <w:b/>
                <w:sz w:val="20"/>
                <w:szCs w:val="20"/>
                <w:lang w:val="hy-AM"/>
              </w:rPr>
            </w:pPr>
          </w:p>
          <w:p w:rsidR="00154773" w:rsidRPr="0053423A" w:rsidRDefault="00154773" w:rsidP="00154773">
            <w:pPr>
              <w:shd w:val="clear" w:color="auto" w:fill="FFFFFF"/>
              <w:tabs>
                <w:tab w:val="left" w:pos="720"/>
              </w:tabs>
              <w:ind w:left="450" w:hanging="90"/>
              <w:textAlignment w:val="baseline"/>
              <w:rPr>
                <w:b/>
                <w:sz w:val="20"/>
                <w:szCs w:val="20"/>
                <w:lang w:val="hy-AM"/>
              </w:rPr>
            </w:pPr>
            <w:r w:rsidRPr="0053423A">
              <w:rPr>
                <w:b/>
                <w:sz w:val="20"/>
                <w:szCs w:val="20"/>
                <w:lang w:val="hy-AM"/>
              </w:rPr>
              <w:t>1.Միջոցառման իրականացման անհրաժեշտությունը և նպատակը</w:t>
            </w:r>
          </w:p>
          <w:p w:rsidR="00154773" w:rsidRPr="0053423A" w:rsidRDefault="00154773" w:rsidP="00154773">
            <w:pPr>
              <w:shd w:val="clear" w:color="auto" w:fill="FFFFFF"/>
              <w:tabs>
                <w:tab w:val="left" w:pos="720"/>
              </w:tabs>
              <w:ind w:left="450" w:hanging="90"/>
              <w:textAlignment w:val="baseline"/>
              <w:rPr>
                <w:b/>
                <w:sz w:val="20"/>
                <w:szCs w:val="20"/>
                <w:lang w:val="hy-AM"/>
              </w:rPr>
            </w:pPr>
          </w:p>
          <w:p w:rsidR="00154773" w:rsidRPr="0053423A" w:rsidRDefault="00154773" w:rsidP="00154773">
            <w:pPr>
              <w:shd w:val="clear" w:color="auto" w:fill="FFFFFF"/>
              <w:ind w:firstLine="360"/>
              <w:jc w:val="both"/>
              <w:textAlignment w:val="baseline"/>
              <w:rPr>
                <w:spacing w:val="-4"/>
                <w:sz w:val="20"/>
                <w:szCs w:val="20"/>
                <w:lang w:val="hy-AM"/>
              </w:rPr>
            </w:pPr>
            <w:r w:rsidRPr="0053423A">
              <w:rPr>
                <w:spacing w:val="-4"/>
                <w:sz w:val="20"/>
                <w:szCs w:val="20"/>
                <w:lang w:val="hy-AM"/>
              </w:rPr>
              <w:t xml:space="preserve">Միջոցառման գլխավոր նպատակն է  կրթության համակարգի կառավարման արդյունավետության բարձրացումը: </w:t>
            </w:r>
          </w:p>
          <w:p w:rsidR="00154773" w:rsidRPr="0053423A" w:rsidRDefault="00154773" w:rsidP="00154773">
            <w:pPr>
              <w:shd w:val="clear" w:color="auto" w:fill="FFFFFF"/>
              <w:ind w:firstLine="375"/>
              <w:jc w:val="both"/>
              <w:textAlignment w:val="baseline"/>
              <w:rPr>
                <w:sz w:val="20"/>
                <w:szCs w:val="20"/>
                <w:lang w:val="hy-AM"/>
              </w:rPr>
            </w:pPr>
            <w:r w:rsidRPr="0053423A">
              <w:rPr>
                <w:spacing w:val="-4"/>
                <w:sz w:val="20"/>
                <w:szCs w:val="20"/>
                <w:lang w:val="hy-AM"/>
              </w:rPr>
              <w:t xml:space="preserve">Միջոցառումների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xml:space="preserve">»  </w:t>
            </w:r>
            <w:r w:rsidRPr="0053423A">
              <w:rPr>
                <w:rFonts w:eastAsia="Calibri" w:cs="Sylfaen"/>
                <w:sz w:val="20"/>
                <w:szCs w:val="20"/>
                <w:lang w:val="hy-AM"/>
              </w:rPr>
              <w:t>բաժնի</w:t>
            </w:r>
            <w:r w:rsidRPr="0053423A">
              <w:rPr>
                <w:sz w:val="20"/>
                <w:szCs w:val="20"/>
                <w:lang w:val="hy-AM"/>
              </w:rPr>
              <w:t xml:space="preserve"> 1-ին պարբերությունից: Միջոցառման նպատակն է ստեղծել  գործողությունների պլան՝ կրթական համակարգում առկա տեղեկությունների, վիճակագրական նյութերի, սովորողների և դասավանդողների վերաբերյալ տվյալների  և այլ բնույթի փաստերի դասակարգման, ամփոփման, կառավարման նպատակով:</w:t>
            </w:r>
          </w:p>
          <w:p w:rsidR="00154773" w:rsidRPr="0053423A" w:rsidRDefault="00154773" w:rsidP="00154773">
            <w:pPr>
              <w:rPr>
                <w:sz w:val="20"/>
                <w:szCs w:val="20"/>
                <w:lang w:val="hy-AM"/>
              </w:rPr>
            </w:pPr>
          </w:p>
          <w:p w:rsidR="00154773" w:rsidRPr="0053423A" w:rsidRDefault="00154773" w:rsidP="001F6D5D">
            <w:pPr>
              <w:numPr>
                <w:ilvl w:val="1"/>
                <w:numId w:val="449"/>
              </w:numPr>
              <w:shd w:val="clear" w:color="auto" w:fill="FFFFFF"/>
              <w:contextualSpacing/>
              <w:textAlignment w:val="baseline"/>
              <w:rPr>
                <w:rFonts w:eastAsia="Times New Roman" w:cs="Arian AMU"/>
                <w:b/>
                <w:bCs/>
                <w:sz w:val="20"/>
                <w:szCs w:val="20"/>
                <w:lang w:val="hy-AM"/>
              </w:rPr>
            </w:pPr>
            <w:r w:rsidRPr="0053423A">
              <w:rPr>
                <w:rFonts w:eastAsia="Times New Roman" w:cs="GHEA Grapalat"/>
                <w:b/>
                <w:bCs/>
                <w:sz w:val="20"/>
                <w:szCs w:val="20"/>
                <w:lang w:val="hy-AM"/>
              </w:rPr>
              <w:t>կարգավորման</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հարաբերությունների</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ներկա</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վիճակը</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և</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առկա</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խնդիրները</w:t>
            </w:r>
          </w:p>
          <w:p w:rsidR="00154773" w:rsidRPr="0053423A" w:rsidRDefault="00154773" w:rsidP="00154773">
            <w:pPr>
              <w:shd w:val="clear" w:color="auto" w:fill="FFFFFF"/>
              <w:ind w:left="765"/>
              <w:contextualSpacing/>
              <w:textAlignment w:val="baseline"/>
              <w:rPr>
                <w:rFonts w:eastAsia="Times New Roman" w:cs="Arian AMU"/>
                <w:sz w:val="20"/>
                <w:szCs w:val="20"/>
                <w:lang w:val="hy-AM"/>
              </w:rPr>
            </w:pPr>
          </w:p>
          <w:p w:rsidR="00154773" w:rsidRPr="0053423A" w:rsidRDefault="00154773" w:rsidP="00154773">
            <w:pPr>
              <w:ind w:firstLine="360"/>
              <w:jc w:val="both"/>
              <w:rPr>
                <w:sz w:val="20"/>
                <w:szCs w:val="20"/>
                <w:lang w:val="hy-AM"/>
              </w:rPr>
            </w:pPr>
            <w:r w:rsidRPr="0053423A">
              <w:rPr>
                <w:sz w:val="20"/>
                <w:szCs w:val="20"/>
                <w:lang w:val="hy-AM"/>
              </w:rPr>
              <w:t>Բարեփոխումների արդյունավետ իրականացման համար անհրաժեշտ է Կրթության կառավարման տեղեկատվական համակարգի ստեղծում, քանի որ առկա է տարբեր մարմինների կողմից կատարված մեծ քանակությամբ վերլուծական նյութեր, վիճակագրական տվյալներ, որոնք որևէ կերպ փոխկապակցված չեն, լիարժեք չեն, չեն համապատասխանում Յունեսկօ-ի և ԵԱՏՄ-ի կողմից ներկայացվող վիճակագրական ձևաչափերին:</w:t>
            </w:r>
          </w:p>
          <w:p w:rsidR="00154773" w:rsidRPr="0053423A" w:rsidRDefault="00154773" w:rsidP="00154773">
            <w:pPr>
              <w:ind w:firstLine="720"/>
              <w:jc w:val="both"/>
              <w:rPr>
                <w:sz w:val="20"/>
                <w:szCs w:val="20"/>
                <w:lang w:val="hy-AM"/>
              </w:rPr>
            </w:pPr>
          </w:p>
          <w:p w:rsidR="00154773" w:rsidRPr="0053423A" w:rsidRDefault="00154773" w:rsidP="00154773">
            <w:pPr>
              <w:shd w:val="clear" w:color="auto" w:fill="FFFFFF"/>
              <w:ind w:left="708"/>
              <w:textAlignment w:val="baseline"/>
              <w:rPr>
                <w:rFonts w:eastAsia="Times New Roman" w:cs="Arian AMU"/>
                <w:b/>
                <w:bCs/>
                <w:sz w:val="20"/>
                <w:szCs w:val="20"/>
                <w:lang w:val="hy-AM"/>
              </w:rPr>
            </w:pPr>
            <w:r w:rsidRPr="0053423A">
              <w:rPr>
                <w:rFonts w:eastAsia="Times New Roman" w:cs="GHEA Grapalat"/>
                <w:b/>
                <w:bCs/>
                <w:sz w:val="20"/>
                <w:szCs w:val="20"/>
                <w:lang w:val="hy-AM"/>
              </w:rPr>
              <w:t>1.2. առկա</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խնդիրների</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առաջարկվող</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լուծումները</w:t>
            </w:r>
          </w:p>
          <w:p w:rsidR="00154773" w:rsidRPr="0053423A" w:rsidRDefault="00154773" w:rsidP="00154773">
            <w:pPr>
              <w:shd w:val="clear" w:color="auto" w:fill="FFFFFF"/>
              <w:ind w:left="1068"/>
              <w:contextualSpacing/>
              <w:textAlignment w:val="baseline"/>
              <w:rPr>
                <w:rFonts w:eastAsia="Times New Roman" w:cs="Arian AMU"/>
                <w:b/>
                <w:bCs/>
                <w:sz w:val="20"/>
                <w:szCs w:val="20"/>
                <w:lang w:val="hy-AM"/>
              </w:rPr>
            </w:pPr>
          </w:p>
          <w:p w:rsidR="00154773" w:rsidRPr="0053423A" w:rsidRDefault="00154773" w:rsidP="00154773">
            <w:pPr>
              <w:shd w:val="clear" w:color="auto" w:fill="FFFFFF"/>
              <w:ind w:firstLine="375"/>
              <w:jc w:val="both"/>
              <w:textAlignment w:val="baseline"/>
              <w:rPr>
                <w:rFonts w:eastAsia="Times New Roman" w:cs="GHEA Grapalat"/>
                <w:bCs/>
                <w:sz w:val="20"/>
                <w:szCs w:val="20"/>
                <w:lang w:val="hy-AM"/>
              </w:rPr>
            </w:pPr>
          </w:p>
          <w:p w:rsidR="00154773" w:rsidRPr="0053423A" w:rsidRDefault="00154773" w:rsidP="00154773">
            <w:pPr>
              <w:shd w:val="clear" w:color="auto" w:fill="FFFFFF"/>
              <w:ind w:firstLine="375"/>
              <w:jc w:val="both"/>
              <w:textAlignment w:val="baseline"/>
              <w:rPr>
                <w:rFonts w:eastAsia="Times New Roman" w:cs="Arian AMU"/>
                <w:sz w:val="20"/>
                <w:szCs w:val="20"/>
                <w:lang w:val="hy-AM"/>
              </w:rPr>
            </w:pPr>
            <w:r w:rsidRPr="0053423A">
              <w:rPr>
                <w:rFonts w:eastAsia="Times New Roman" w:cs="GHEA Grapalat"/>
                <w:bCs/>
                <w:sz w:val="20"/>
                <w:szCs w:val="20"/>
                <w:lang w:val="hy-AM"/>
              </w:rPr>
              <w:t xml:space="preserve">Առաջարկվում է ստեղծել գործողությունների պլան, ըստ որի կրթության կառավարման համար անհրաժեշտ տվյաների բազան կձևավորվի: </w:t>
            </w:r>
            <w:r w:rsidRPr="0053423A">
              <w:rPr>
                <w:rFonts w:eastAsia="Times New Roman" w:cs="Arian AMU"/>
                <w:sz w:val="20"/>
                <w:szCs w:val="20"/>
                <w:lang w:val="hy-AM"/>
              </w:rPr>
              <w:t>Միջոցառումն իրականացնելու համար տեխնիկական աջակցություն կտրամադրի Ասիական զարգացման բանկը: Գործողությունների պլանի մշակման արդյունքում կհստակեցվի թե ինչպիսի իրավական ակտով այն կհաստատվի:</w:t>
            </w:r>
          </w:p>
          <w:p w:rsidR="00154773" w:rsidRPr="0053423A" w:rsidRDefault="00154773" w:rsidP="00154773">
            <w:pPr>
              <w:shd w:val="clear" w:color="auto" w:fill="FFFFFF"/>
              <w:ind w:firstLine="375"/>
              <w:jc w:val="both"/>
              <w:textAlignment w:val="baseline"/>
              <w:rPr>
                <w:rFonts w:eastAsia="Times New Roman" w:cs="GHEA Grapalat"/>
                <w:bCs/>
                <w:sz w:val="20"/>
                <w:szCs w:val="20"/>
                <w:lang w:val="hy-AM"/>
              </w:rPr>
            </w:pPr>
          </w:p>
          <w:p w:rsidR="00154773" w:rsidRPr="0053423A" w:rsidRDefault="00154773" w:rsidP="00154773">
            <w:pPr>
              <w:ind w:left="180" w:firstLine="888"/>
              <w:rPr>
                <w:b/>
                <w:sz w:val="20"/>
                <w:szCs w:val="20"/>
                <w:lang w:val="hy-AM"/>
              </w:rPr>
            </w:pPr>
          </w:p>
          <w:p w:rsidR="00154773" w:rsidRPr="0053423A" w:rsidRDefault="00154773" w:rsidP="00154773">
            <w:pPr>
              <w:shd w:val="clear" w:color="auto" w:fill="FFFFFF"/>
              <w:ind w:firstLine="375"/>
              <w:rPr>
                <w:rFonts w:eastAsia="Times New Roman" w:cs="Times New Roman"/>
                <w:b/>
                <w:sz w:val="20"/>
                <w:szCs w:val="20"/>
                <w:lang w:val="hy-AM"/>
              </w:rPr>
            </w:pPr>
            <w:r w:rsidRPr="0053423A">
              <w:rPr>
                <w:rFonts w:eastAsia="Times New Roman" w:cs="Times New Roman"/>
                <w:b/>
                <w:sz w:val="20"/>
                <w:szCs w:val="20"/>
                <w:lang w:val="hy-AM"/>
              </w:rPr>
              <w:t>2.Միջոցառման իրականացումից ակնկալվող արդյունքը</w:t>
            </w:r>
          </w:p>
          <w:p w:rsidR="00154773" w:rsidRPr="0053423A" w:rsidRDefault="00154773" w:rsidP="00154773">
            <w:pPr>
              <w:rPr>
                <w:sz w:val="20"/>
                <w:szCs w:val="20"/>
                <w:lang w:val="hy-AM"/>
              </w:rPr>
            </w:pPr>
          </w:p>
          <w:p w:rsidR="00154773" w:rsidRPr="0053423A" w:rsidRDefault="00154773" w:rsidP="00154773">
            <w:pPr>
              <w:ind w:firstLine="375"/>
              <w:jc w:val="both"/>
              <w:rPr>
                <w:sz w:val="20"/>
                <w:szCs w:val="20"/>
                <w:lang w:val="hy-AM"/>
              </w:rPr>
            </w:pPr>
            <w:r w:rsidRPr="0053423A">
              <w:rPr>
                <w:sz w:val="20"/>
                <w:szCs w:val="20"/>
                <w:lang w:val="hy-AM"/>
              </w:rPr>
              <w:t>Միջոցառման իրականացման արդյունքում մշակված  գործողությունների պլանը հիմք կդառնա մասնակից և շահագրգիռ կողմերի համար տվյալների բազայի ստեղծման համար:</w:t>
            </w:r>
          </w:p>
          <w:p w:rsidR="00154773" w:rsidRPr="0053423A" w:rsidRDefault="00154773" w:rsidP="00154773">
            <w:pPr>
              <w:jc w:val="center"/>
              <w:rPr>
                <w:rFonts w:eastAsia="Times New Roman" w:cs="Times New Roman"/>
                <w:b/>
                <w:sz w:val="20"/>
                <w:szCs w:val="20"/>
                <w:lang w:val="hy-AM"/>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jc w:val="center"/>
              <w:rPr>
                <w:rFonts w:eastAsia="Times New Roman" w:cs="Times New Roman"/>
                <w:b/>
                <w:sz w:val="20"/>
                <w:szCs w:val="20"/>
                <w:u w:val="single"/>
                <w:lang w:val="hy-AM"/>
              </w:rPr>
            </w:pPr>
            <w:r w:rsidRPr="0053423A">
              <w:rPr>
                <w:rFonts w:eastAsia="Times New Roman" w:cs="Times New Roman"/>
                <w:b/>
                <w:sz w:val="20"/>
                <w:szCs w:val="20"/>
                <w:u w:val="single"/>
                <w:lang w:val="hy-AM"/>
              </w:rPr>
              <w:t>2.2 «Ուսումնական հաստատությունների վարչական ռեգիստրի» հաստատում ՀՀ կրթության և գիտության նախարարի հրամանով</w:t>
            </w:r>
          </w:p>
          <w:p w:rsidR="00154773" w:rsidRPr="0053423A" w:rsidRDefault="00154773" w:rsidP="00154773">
            <w:pPr>
              <w:ind w:firstLine="375"/>
              <w:jc w:val="both"/>
              <w:rPr>
                <w:rFonts w:eastAsia="Times New Roman" w:cs="Times New Roman"/>
                <w:b/>
                <w:sz w:val="20"/>
                <w:szCs w:val="20"/>
                <w:u w:val="single"/>
                <w:lang w:val="hy-AM"/>
              </w:rPr>
            </w:pPr>
          </w:p>
          <w:p w:rsidR="00154773" w:rsidRPr="0053423A" w:rsidRDefault="00154773" w:rsidP="00154773">
            <w:pPr>
              <w:shd w:val="clear" w:color="auto" w:fill="FFFFFF"/>
              <w:tabs>
                <w:tab w:val="left" w:pos="720"/>
              </w:tabs>
              <w:ind w:left="450" w:hanging="90"/>
              <w:textAlignment w:val="baseline"/>
              <w:rPr>
                <w:b/>
                <w:sz w:val="20"/>
                <w:szCs w:val="20"/>
                <w:lang w:val="hy-AM"/>
              </w:rPr>
            </w:pPr>
            <w:r w:rsidRPr="0053423A">
              <w:rPr>
                <w:b/>
                <w:sz w:val="20"/>
                <w:szCs w:val="20"/>
                <w:lang w:val="hy-AM"/>
              </w:rPr>
              <w:t>1.Միջոցառման իրականացման անհրաժեշտությունը և նպատակը</w:t>
            </w:r>
          </w:p>
          <w:p w:rsidR="00154773" w:rsidRPr="0053423A" w:rsidRDefault="00154773" w:rsidP="00154773">
            <w:pPr>
              <w:shd w:val="clear" w:color="auto" w:fill="FFFFFF"/>
              <w:tabs>
                <w:tab w:val="left" w:pos="720"/>
              </w:tabs>
              <w:ind w:left="450" w:hanging="90"/>
              <w:textAlignment w:val="baseline"/>
              <w:rPr>
                <w:b/>
                <w:sz w:val="20"/>
                <w:szCs w:val="20"/>
                <w:lang w:val="hy-AM"/>
              </w:rPr>
            </w:pPr>
          </w:p>
          <w:p w:rsidR="00154773" w:rsidRPr="0053423A" w:rsidRDefault="00154773" w:rsidP="00154773">
            <w:pPr>
              <w:shd w:val="clear" w:color="auto" w:fill="FFFFFF"/>
              <w:tabs>
                <w:tab w:val="left" w:pos="720"/>
              </w:tabs>
              <w:ind w:left="450" w:hanging="90"/>
              <w:textAlignment w:val="baseline"/>
              <w:rPr>
                <w:b/>
                <w:sz w:val="20"/>
                <w:szCs w:val="20"/>
                <w:lang w:val="hy-AM"/>
              </w:rPr>
            </w:pPr>
          </w:p>
          <w:p w:rsidR="00154773" w:rsidRPr="0053423A" w:rsidRDefault="00154773" w:rsidP="00154773">
            <w:pPr>
              <w:shd w:val="clear" w:color="auto" w:fill="FFFFFF"/>
              <w:ind w:firstLine="375"/>
              <w:jc w:val="both"/>
              <w:textAlignment w:val="baseline"/>
              <w:rPr>
                <w:b/>
                <w:sz w:val="20"/>
                <w:szCs w:val="20"/>
                <w:lang w:val="hy-AM"/>
              </w:rPr>
            </w:pPr>
            <w:r w:rsidRPr="0053423A">
              <w:rPr>
                <w:spacing w:val="-4"/>
                <w:sz w:val="20"/>
                <w:szCs w:val="20"/>
                <w:lang w:val="hy-AM"/>
              </w:rPr>
              <w:t xml:space="preserve">Միջոցառումների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xml:space="preserve">»  </w:t>
            </w:r>
            <w:r w:rsidRPr="0053423A">
              <w:rPr>
                <w:rFonts w:eastAsia="Calibri" w:cs="Sylfaen"/>
                <w:sz w:val="20"/>
                <w:szCs w:val="20"/>
                <w:lang w:val="hy-AM"/>
              </w:rPr>
              <w:t>բաժնի</w:t>
            </w:r>
            <w:r w:rsidRPr="0053423A">
              <w:rPr>
                <w:sz w:val="20"/>
                <w:szCs w:val="20"/>
                <w:lang w:val="hy-AM"/>
              </w:rPr>
              <w:t xml:space="preserve"> 1-ին պարբերությունից: Միջոցառման նպատակն է մշակել  ՀՀ կառավարության որոշման նախագիծ՝ վարչական ռեգիստրը հաստատելու մասին, որում կամրագրվեն ամբողջական շտեմարանի վարման իրավական հիմքերը:</w:t>
            </w:r>
          </w:p>
          <w:p w:rsidR="00154773" w:rsidRPr="0053423A" w:rsidRDefault="00154773" w:rsidP="00154773">
            <w:pPr>
              <w:ind w:firstLine="375"/>
              <w:jc w:val="both"/>
              <w:rPr>
                <w:sz w:val="20"/>
                <w:szCs w:val="20"/>
                <w:lang w:val="hy-AM"/>
              </w:rPr>
            </w:pPr>
            <w:r w:rsidRPr="0053423A">
              <w:rPr>
                <w:sz w:val="20"/>
                <w:szCs w:val="20"/>
                <w:lang w:val="hy-AM"/>
              </w:rPr>
              <w:t xml:space="preserve">Միջոցառման համար հիմք է հանդիսանում ՀՀ վարչապետի՝ 11.06.2018թ. թիվ  703-Լ որոշմամբ հաստատված ՀՀ կրթության և գիտության նախարարության կանոնադրության 11-րդ կետի 19-րդ ենթակետը, համաձայն որինախարարությունն իրականացնում է </w:t>
            </w:r>
            <w:r w:rsidRPr="0053423A">
              <w:rPr>
                <w:rFonts w:ascii="Calibri" w:hAnsi="Calibri" w:cs="Calibri"/>
                <w:sz w:val="20"/>
                <w:szCs w:val="20"/>
                <w:lang w:val="hy-AM"/>
              </w:rPr>
              <w:t> </w:t>
            </w:r>
            <w:r w:rsidRPr="0053423A">
              <w:rPr>
                <w:sz w:val="20"/>
                <w:szCs w:val="20"/>
                <w:lang w:val="hy-AM"/>
              </w:rPr>
              <w:t>օրենքով և այլ իրավական ակտերով սահմանված կարգով համապատասխան վարչական վիճակագրական հաշվետվությունների (հարցաթերթեր, տեղեկանքներ և այլն) ներդրում և դրանց միջոցով հավաքագրված տվյալների ու տեղեկությունների հիման վրա վարչական վիճակագրական ռեգիստրների վարում:</w:t>
            </w:r>
          </w:p>
          <w:p w:rsidR="00154773" w:rsidRPr="0053423A" w:rsidRDefault="00154773" w:rsidP="00154773">
            <w:pPr>
              <w:ind w:firstLine="375"/>
              <w:jc w:val="both"/>
              <w:rPr>
                <w:rFonts w:eastAsia="Times New Roman" w:cs="Times New Roman"/>
                <w:b/>
                <w:sz w:val="20"/>
                <w:szCs w:val="20"/>
                <w:u w:val="single"/>
                <w:lang w:val="hy-AM"/>
              </w:rPr>
            </w:pPr>
          </w:p>
          <w:p w:rsidR="00154773" w:rsidRPr="0053423A" w:rsidRDefault="00154773" w:rsidP="00154773">
            <w:pPr>
              <w:ind w:firstLine="375"/>
              <w:jc w:val="both"/>
              <w:rPr>
                <w:sz w:val="20"/>
                <w:szCs w:val="20"/>
                <w:lang w:val="hy-AM"/>
              </w:rPr>
            </w:pPr>
            <w:r w:rsidRPr="0053423A">
              <w:rPr>
                <w:rFonts w:eastAsia="Times New Roman" w:cs="GHEA Grapalat"/>
                <w:b/>
                <w:bCs/>
                <w:sz w:val="20"/>
                <w:szCs w:val="20"/>
                <w:lang w:val="hy-AM"/>
              </w:rPr>
              <w:t>1.1 կարգավորման</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հարաբերությունների</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ներկա</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վիճակը</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և</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առկա</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խնդիրները</w:t>
            </w:r>
            <w:r w:rsidRPr="0053423A">
              <w:rPr>
                <w:sz w:val="20"/>
                <w:szCs w:val="20"/>
                <w:lang w:val="hy-AM"/>
              </w:rPr>
              <w:t xml:space="preserve"> </w:t>
            </w:r>
          </w:p>
          <w:p w:rsidR="00154773" w:rsidRPr="0053423A" w:rsidRDefault="00154773" w:rsidP="00154773">
            <w:pPr>
              <w:ind w:firstLine="375"/>
              <w:jc w:val="both"/>
              <w:rPr>
                <w:sz w:val="20"/>
                <w:szCs w:val="20"/>
                <w:lang w:val="hy-AM"/>
              </w:rPr>
            </w:pPr>
          </w:p>
          <w:p w:rsidR="00154773" w:rsidRPr="0053423A" w:rsidRDefault="00154773" w:rsidP="00154773">
            <w:pPr>
              <w:ind w:firstLine="375"/>
              <w:jc w:val="both"/>
              <w:rPr>
                <w:sz w:val="20"/>
                <w:szCs w:val="20"/>
                <w:lang w:val="hy-AM"/>
              </w:rPr>
            </w:pPr>
            <w:r w:rsidRPr="0053423A">
              <w:rPr>
                <w:sz w:val="20"/>
                <w:szCs w:val="20"/>
                <w:lang w:val="hy-AM"/>
              </w:rPr>
              <w:t>Ներկայումս գոյություն չունի կրթության ոլորտի հաստատությունների տվյալների միասնական ցանց: Արդյունքում նույն օբյեկտի նկատմամբ տարբեր փաստերը և տվյալները ցրված են տարբեր բազաներում և դժվարացնում են դրանց հետ կապված աշխատանքները:  Կա  համապարփակ, շահառուներին հասանելի, կրթության կառավարման տեղեկատվական համակարգի ստեղծելուն ուղղված իրավական ակտի բացակայության խնդիր:</w:t>
            </w:r>
          </w:p>
          <w:p w:rsidR="00154773" w:rsidRPr="0053423A" w:rsidRDefault="00154773" w:rsidP="00154773">
            <w:pPr>
              <w:ind w:firstLine="375"/>
              <w:jc w:val="both"/>
              <w:rPr>
                <w:sz w:val="20"/>
                <w:szCs w:val="20"/>
                <w:lang w:val="hy-AM"/>
              </w:rPr>
            </w:pPr>
          </w:p>
          <w:p w:rsidR="00154773" w:rsidRPr="0053423A" w:rsidRDefault="00154773" w:rsidP="00154773">
            <w:pPr>
              <w:ind w:firstLine="375"/>
              <w:jc w:val="both"/>
              <w:rPr>
                <w:sz w:val="20"/>
                <w:szCs w:val="20"/>
                <w:lang w:val="hy-AM"/>
              </w:rPr>
            </w:pPr>
          </w:p>
          <w:p w:rsidR="00154773" w:rsidRPr="0053423A" w:rsidRDefault="00154773" w:rsidP="00154773">
            <w:pPr>
              <w:shd w:val="clear" w:color="auto" w:fill="FFFFFF"/>
              <w:ind w:left="708"/>
              <w:textAlignment w:val="baseline"/>
              <w:rPr>
                <w:rFonts w:eastAsia="Times New Roman" w:cs="Arian AMU"/>
                <w:b/>
                <w:bCs/>
                <w:sz w:val="20"/>
                <w:szCs w:val="20"/>
                <w:lang w:val="hy-AM"/>
              </w:rPr>
            </w:pPr>
            <w:r w:rsidRPr="0053423A">
              <w:rPr>
                <w:b/>
                <w:sz w:val="20"/>
                <w:szCs w:val="20"/>
                <w:lang w:val="hy-AM"/>
              </w:rPr>
              <w:t xml:space="preserve">1.2. </w:t>
            </w:r>
            <w:r w:rsidRPr="0053423A">
              <w:rPr>
                <w:rFonts w:eastAsia="Times New Roman" w:cs="GHEA Grapalat"/>
                <w:b/>
                <w:bCs/>
                <w:sz w:val="20"/>
                <w:szCs w:val="20"/>
                <w:lang w:val="hy-AM"/>
              </w:rPr>
              <w:t>առկա</w:t>
            </w:r>
            <w:r w:rsidRPr="0053423A">
              <w:rPr>
                <w:rFonts w:ascii="Calibri" w:eastAsia="Times New Roman" w:hAnsi="Calibri" w:cs="Calibri"/>
                <w:b/>
                <w:sz w:val="20"/>
                <w:szCs w:val="20"/>
                <w:lang w:val="hy-AM"/>
              </w:rPr>
              <w:t> </w:t>
            </w:r>
            <w:r w:rsidRPr="0053423A">
              <w:rPr>
                <w:rFonts w:eastAsia="Times New Roman" w:cs="Arian AMU"/>
                <w:b/>
                <w:bCs/>
                <w:sz w:val="20"/>
                <w:szCs w:val="20"/>
                <w:lang w:val="hy-AM"/>
              </w:rPr>
              <w:t>խնդիրների</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առաջարկվող</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լուծումները</w:t>
            </w:r>
          </w:p>
          <w:p w:rsidR="00154773" w:rsidRPr="0053423A" w:rsidRDefault="00154773" w:rsidP="00154773">
            <w:pPr>
              <w:shd w:val="clear" w:color="auto" w:fill="FFFFFF"/>
              <w:ind w:left="1068"/>
              <w:contextualSpacing/>
              <w:textAlignment w:val="baseline"/>
              <w:rPr>
                <w:rFonts w:eastAsia="Times New Roman" w:cs="Arian AMU"/>
                <w:b/>
                <w:bCs/>
                <w:sz w:val="20"/>
                <w:szCs w:val="20"/>
                <w:lang w:val="hy-AM"/>
              </w:rPr>
            </w:pPr>
          </w:p>
          <w:p w:rsidR="00154773" w:rsidRPr="0053423A" w:rsidRDefault="00154773" w:rsidP="00154773">
            <w:pPr>
              <w:ind w:firstLine="375"/>
              <w:jc w:val="both"/>
              <w:rPr>
                <w:sz w:val="20"/>
                <w:szCs w:val="20"/>
                <w:lang w:val="hy-AM"/>
              </w:rPr>
            </w:pPr>
            <w:r w:rsidRPr="0053423A">
              <w:rPr>
                <w:sz w:val="20"/>
                <w:szCs w:val="20"/>
                <w:lang w:val="hy-AM"/>
              </w:rPr>
              <w:t>Մշակել իրավական ակտ, որում կամրագրվեն կրթության ոլորտում տվյալների ամբողջական վարման իրավական հիմքերը:</w:t>
            </w:r>
          </w:p>
          <w:p w:rsidR="00154773" w:rsidRPr="0053423A" w:rsidRDefault="00154773" w:rsidP="00154773">
            <w:pPr>
              <w:ind w:firstLine="375"/>
              <w:jc w:val="both"/>
              <w:rPr>
                <w:sz w:val="20"/>
                <w:szCs w:val="20"/>
                <w:lang w:val="hy-AM"/>
              </w:rPr>
            </w:pPr>
            <w:r w:rsidRPr="0053423A">
              <w:rPr>
                <w:sz w:val="20"/>
                <w:szCs w:val="20"/>
                <w:lang w:val="hy-AM"/>
              </w:rPr>
              <w:t xml:space="preserve">ՀՀ վարչապետի՝ 11.06.2018թ. թիվ  703-Լ որոշմամբ հաստատված ՀՀ կրթության և գիտության նախարարության կանոնադրության 11-րդ կետի 19-րդ ենթակետի համաձայն նախարարությունն իրականացնում է </w:t>
            </w:r>
            <w:r w:rsidRPr="0053423A">
              <w:rPr>
                <w:rFonts w:ascii="Calibri" w:hAnsi="Calibri" w:cs="Calibri"/>
                <w:sz w:val="20"/>
                <w:szCs w:val="20"/>
                <w:lang w:val="hy-AM"/>
              </w:rPr>
              <w:t> </w:t>
            </w:r>
            <w:r w:rsidRPr="0053423A">
              <w:rPr>
                <w:sz w:val="20"/>
                <w:szCs w:val="20"/>
                <w:lang w:val="hy-AM"/>
              </w:rPr>
              <w:t>օրենքով և այլ իրավական ակտերով սահմանված կարգով համապատասխան վարչական վիճակագրական հաշվետվությունների (հարցաթերթեր, տեղեկանքներ և այլն) ներդրում և դրանց միջոցով հավաքագրված տվյալների ու տեղեկությունների հիման վրա վարչական վիճակագրական ռեգիստրների վարում:</w:t>
            </w:r>
          </w:p>
          <w:p w:rsidR="00154773" w:rsidRPr="0053423A" w:rsidRDefault="00154773" w:rsidP="00154773">
            <w:pPr>
              <w:ind w:firstLine="375"/>
              <w:jc w:val="both"/>
              <w:rPr>
                <w:sz w:val="20"/>
                <w:szCs w:val="20"/>
                <w:lang w:val="hy-AM"/>
              </w:rPr>
            </w:pPr>
          </w:p>
          <w:p w:rsidR="00154773" w:rsidRPr="0053423A" w:rsidRDefault="00154773" w:rsidP="00154773">
            <w:pPr>
              <w:ind w:firstLine="375"/>
              <w:jc w:val="both"/>
              <w:rPr>
                <w:sz w:val="20"/>
                <w:szCs w:val="20"/>
                <w:lang w:val="hy-AM"/>
              </w:rPr>
            </w:pPr>
          </w:p>
          <w:p w:rsidR="00154773" w:rsidRPr="0053423A" w:rsidRDefault="00154773" w:rsidP="00154773">
            <w:pPr>
              <w:shd w:val="clear" w:color="auto" w:fill="FFFFFF"/>
              <w:ind w:firstLine="375"/>
              <w:rPr>
                <w:rFonts w:eastAsia="Times New Roman" w:cs="Times New Roman"/>
                <w:b/>
                <w:sz w:val="20"/>
                <w:szCs w:val="20"/>
                <w:lang w:val="hy-AM"/>
              </w:rPr>
            </w:pPr>
            <w:r w:rsidRPr="0053423A">
              <w:rPr>
                <w:rFonts w:eastAsia="Times New Roman" w:cs="Times New Roman"/>
                <w:b/>
                <w:sz w:val="20"/>
                <w:szCs w:val="20"/>
                <w:lang w:val="hy-AM"/>
              </w:rPr>
              <w:t>2.Միջոցառման իրականացումից ակնկալվող արդյունքը</w:t>
            </w:r>
          </w:p>
          <w:p w:rsidR="00154773" w:rsidRPr="0053423A" w:rsidRDefault="00154773" w:rsidP="00154773">
            <w:pPr>
              <w:rPr>
                <w:sz w:val="20"/>
                <w:szCs w:val="20"/>
                <w:lang w:val="hy-AM"/>
              </w:rPr>
            </w:pPr>
          </w:p>
          <w:p w:rsidR="00154773" w:rsidRPr="0053423A" w:rsidRDefault="00154773" w:rsidP="00154773">
            <w:pPr>
              <w:jc w:val="both"/>
              <w:rPr>
                <w:sz w:val="20"/>
                <w:szCs w:val="20"/>
                <w:lang w:val="hy-AM"/>
              </w:rPr>
            </w:pPr>
            <w:r w:rsidRPr="0053423A">
              <w:rPr>
                <w:sz w:val="20"/>
                <w:szCs w:val="20"/>
                <w:lang w:val="hy-AM"/>
              </w:rPr>
              <w:t>Կվերանան ուսումնական հաստատությունների վարչական ռեգիստրների ներդրմանը խոչընդոտող իրավական բացերը:</w:t>
            </w:r>
          </w:p>
          <w:p w:rsidR="00154773" w:rsidRPr="0053423A" w:rsidRDefault="00154773" w:rsidP="00154773">
            <w:pPr>
              <w:jc w:val="center"/>
              <w:rPr>
                <w:rFonts w:eastAsia="Times New Roman" w:cs="Times New Roman"/>
                <w:b/>
                <w:sz w:val="20"/>
                <w:szCs w:val="20"/>
                <w:lang w:val="hy-AM"/>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spacing w:before="120" w:after="120"/>
              <w:jc w:val="center"/>
              <w:rPr>
                <w:rFonts w:eastAsia="Times New Roman" w:cs="Times New Roman"/>
                <w:b/>
                <w:sz w:val="20"/>
                <w:szCs w:val="20"/>
                <w:u w:val="single"/>
                <w:lang w:val="hy-AM"/>
              </w:rPr>
            </w:pPr>
            <w:r w:rsidRPr="0053423A">
              <w:rPr>
                <w:rFonts w:eastAsia="Times New Roman" w:cs="Times New Roman"/>
                <w:b/>
                <w:sz w:val="20"/>
                <w:szCs w:val="20"/>
                <w:u w:val="single"/>
                <w:lang w:val="hy-AM"/>
              </w:rPr>
              <w:t>2.3 Ուսումնական հաստատությունների վարչական ռեգիստրի ներդրում</w:t>
            </w:r>
          </w:p>
          <w:p w:rsidR="00154773" w:rsidRPr="0053423A" w:rsidRDefault="00154773" w:rsidP="00154773">
            <w:pPr>
              <w:spacing w:before="120" w:after="120"/>
              <w:jc w:val="both"/>
              <w:rPr>
                <w:rFonts w:eastAsia="Times New Roman" w:cs="Times New Roman"/>
                <w:b/>
                <w:sz w:val="20"/>
                <w:szCs w:val="20"/>
                <w:u w:val="single"/>
                <w:lang w:val="hy-AM"/>
              </w:rPr>
            </w:pPr>
          </w:p>
          <w:p w:rsidR="00154773" w:rsidRPr="0053423A" w:rsidRDefault="00154773" w:rsidP="00154773">
            <w:pPr>
              <w:shd w:val="clear" w:color="auto" w:fill="FFFFFF"/>
              <w:tabs>
                <w:tab w:val="left" w:pos="720"/>
              </w:tabs>
              <w:ind w:left="450" w:hanging="90"/>
              <w:textAlignment w:val="baseline"/>
              <w:rPr>
                <w:b/>
                <w:sz w:val="20"/>
                <w:szCs w:val="20"/>
                <w:lang w:val="hy-AM"/>
              </w:rPr>
            </w:pPr>
            <w:r w:rsidRPr="0053423A">
              <w:rPr>
                <w:b/>
                <w:sz w:val="20"/>
                <w:szCs w:val="20"/>
                <w:lang w:val="hy-AM"/>
              </w:rPr>
              <w:t>1.Միջոցառման իրականացման անհրաժեշտությունը և նպատակը</w:t>
            </w:r>
          </w:p>
          <w:p w:rsidR="00154773" w:rsidRPr="0053423A" w:rsidRDefault="00154773" w:rsidP="00154773">
            <w:pPr>
              <w:shd w:val="clear" w:color="auto" w:fill="FFFFFF"/>
              <w:tabs>
                <w:tab w:val="left" w:pos="720"/>
              </w:tabs>
              <w:ind w:left="450" w:hanging="90"/>
              <w:textAlignment w:val="baseline"/>
              <w:rPr>
                <w:b/>
                <w:sz w:val="20"/>
                <w:szCs w:val="20"/>
                <w:lang w:val="hy-AM"/>
              </w:rPr>
            </w:pPr>
          </w:p>
          <w:p w:rsidR="00154773" w:rsidRPr="0053423A" w:rsidRDefault="00154773" w:rsidP="00154773">
            <w:pPr>
              <w:shd w:val="clear" w:color="auto" w:fill="FFFFFF"/>
              <w:ind w:firstLine="360"/>
              <w:jc w:val="both"/>
              <w:textAlignment w:val="baseline"/>
              <w:rPr>
                <w:spacing w:val="-4"/>
                <w:sz w:val="20"/>
                <w:szCs w:val="20"/>
                <w:lang w:val="hy-AM"/>
              </w:rPr>
            </w:pPr>
            <w:r w:rsidRPr="0053423A">
              <w:rPr>
                <w:spacing w:val="-4"/>
                <w:sz w:val="20"/>
                <w:szCs w:val="20"/>
                <w:lang w:val="hy-AM"/>
              </w:rPr>
              <w:t xml:space="preserve">Միջոցառման գլխավոր նպատակն է  կրթության համակարգի կառավարման արդյունավետության բարձրացումը: </w:t>
            </w:r>
          </w:p>
          <w:p w:rsidR="00154773" w:rsidRPr="0053423A" w:rsidRDefault="00154773" w:rsidP="00154773">
            <w:pPr>
              <w:shd w:val="clear" w:color="auto" w:fill="FFFFFF"/>
              <w:ind w:firstLine="375"/>
              <w:jc w:val="both"/>
              <w:textAlignment w:val="baseline"/>
              <w:rPr>
                <w:sz w:val="20"/>
                <w:szCs w:val="20"/>
                <w:lang w:val="hy-AM"/>
              </w:rPr>
            </w:pPr>
            <w:r w:rsidRPr="0053423A">
              <w:rPr>
                <w:spacing w:val="-4"/>
                <w:sz w:val="20"/>
                <w:szCs w:val="20"/>
                <w:lang w:val="hy-AM"/>
              </w:rPr>
              <w:t xml:space="preserve">Միջոցառումների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xml:space="preserve">»  </w:t>
            </w:r>
            <w:r w:rsidRPr="0053423A">
              <w:rPr>
                <w:rFonts w:eastAsia="Calibri" w:cs="Sylfaen"/>
                <w:sz w:val="20"/>
                <w:szCs w:val="20"/>
                <w:lang w:val="hy-AM"/>
              </w:rPr>
              <w:t>բաժնի</w:t>
            </w:r>
            <w:r w:rsidRPr="0053423A">
              <w:rPr>
                <w:sz w:val="20"/>
                <w:szCs w:val="20"/>
                <w:lang w:val="hy-AM"/>
              </w:rPr>
              <w:t xml:space="preserve"> 1-ին պարբերությունից: Միջոցառման նպատակն է ներդնել ուսումնական հաստատությունների վարչական ռեգիստր՝ կրթական համակարգում առկա տեղեկությունների, վիճակագրական նյութերի, սովորողների և դասավանդողների վերաբերյալ տվյալների  և այլ բնույթի փաստերի դասակարգման, ամփոփման, կառավարման նպատակով:</w:t>
            </w:r>
          </w:p>
          <w:p w:rsidR="00154773" w:rsidRPr="0053423A" w:rsidRDefault="00154773" w:rsidP="00154773">
            <w:pPr>
              <w:rPr>
                <w:sz w:val="20"/>
                <w:szCs w:val="20"/>
                <w:lang w:val="hy-AM"/>
              </w:rPr>
            </w:pPr>
          </w:p>
          <w:p w:rsidR="00154773" w:rsidRPr="0053423A" w:rsidRDefault="00154773" w:rsidP="00154773">
            <w:pPr>
              <w:ind w:left="284"/>
              <w:contextualSpacing/>
              <w:jc w:val="both"/>
              <w:rPr>
                <w:rFonts w:eastAsia="Calibri" w:cs="Sylfaen"/>
                <w:b/>
                <w:sz w:val="20"/>
                <w:szCs w:val="20"/>
                <w:lang w:val="hy-AM"/>
              </w:rPr>
            </w:pPr>
            <w:r w:rsidRPr="0053423A">
              <w:rPr>
                <w:rFonts w:eastAsia="Calibri" w:cs="Sylfaen"/>
                <w:b/>
                <w:sz w:val="20"/>
                <w:szCs w:val="20"/>
                <w:lang w:val="hy-AM"/>
              </w:rPr>
              <w:t xml:space="preserve">     1.1 կարգավորման հարաբերությունների ներկա վիճակը և առկա խնդիրները</w:t>
            </w:r>
          </w:p>
          <w:p w:rsidR="00154773" w:rsidRPr="0053423A" w:rsidRDefault="00154773" w:rsidP="00154773">
            <w:pPr>
              <w:shd w:val="clear" w:color="auto" w:fill="FFFFFF"/>
              <w:tabs>
                <w:tab w:val="left" w:pos="720"/>
              </w:tabs>
              <w:ind w:left="450" w:hanging="90"/>
              <w:textAlignment w:val="baseline"/>
              <w:rPr>
                <w:b/>
                <w:sz w:val="20"/>
                <w:szCs w:val="20"/>
                <w:lang w:val="hy-AM"/>
              </w:rPr>
            </w:pPr>
          </w:p>
          <w:p w:rsidR="00154773" w:rsidRPr="0053423A" w:rsidRDefault="00154773" w:rsidP="00154773">
            <w:pPr>
              <w:ind w:firstLine="375"/>
              <w:jc w:val="both"/>
              <w:rPr>
                <w:sz w:val="20"/>
                <w:szCs w:val="20"/>
                <w:lang w:val="hy-AM"/>
              </w:rPr>
            </w:pPr>
            <w:r w:rsidRPr="0053423A">
              <w:rPr>
                <w:sz w:val="20"/>
                <w:szCs w:val="20"/>
                <w:lang w:val="hy-AM"/>
              </w:rPr>
              <w:t>Ներկայումս գոյություն չունի կրթության ոլորտի հաստատությունների տվյալների միասնական ցանց: Արդյունքում նույն օբյեկտի նկատմամբ տարբեր փաստերը և տվյալները ցրված են տարբեր բազաներում և դժվարացնում են դրանց հետ կապված աշխատանքները:  Կա  համապարփակ, շահառուներին հասանելի, կրթության կառավարման տեղեկատվական համակարգի բացակայության խնդիր:</w:t>
            </w:r>
          </w:p>
          <w:p w:rsidR="00154773" w:rsidRPr="0053423A" w:rsidRDefault="00154773" w:rsidP="00154773">
            <w:pPr>
              <w:ind w:firstLine="375"/>
              <w:jc w:val="both"/>
              <w:rPr>
                <w:sz w:val="20"/>
                <w:szCs w:val="20"/>
                <w:lang w:val="hy-AM"/>
              </w:rPr>
            </w:pPr>
          </w:p>
          <w:p w:rsidR="00154773" w:rsidRPr="0053423A" w:rsidRDefault="00154773" w:rsidP="00154773">
            <w:pPr>
              <w:shd w:val="clear" w:color="auto" w:fill="FFFFFF"/>
              <w:ind w:firstLine="375"/>
              <w:jc w:val="both"/>
              <w:textAlignment w:val="baseline"/>
              <w:rPr>
                <w:rFonts w:eastAsia="Times New Roman" w:cs="GHEA Grapalat"/>
                <w:bCs/>
                <w:sz w:val="20"/>
                <w:szCs w:val="20"/>
                <w:lang w:val="hy-AM"/>
              </w:rPr>
            </w:pPr>
          </w:p>
          <w:p w:rsidR="00154773" w:rsidRPr="0053423A" w:rsidRDefault="00154773" w:rsidP="00154773">
            <w:pPr>
              <w:shd w:val="clear" w:color="auto" w:fill="FFFFFF"/>
              <w:ind w:left="708"/>
              <w:textAlignment w:val="baseline"/>
              <w:rPr>
                <w:rFonts w:eastAsia="Times New Roman" w:cs="Arian AMU"/>
                <w:b/>
                <w:bCs/>
                <w:sz w:val="20"/>
                <w:szCs w:val="20"/>
                <w:lang w:val="hy-AM"/>
              </w:rPr>
            </w:pPr>
            <w:r w:rsidRPr="0053423A">
              <w:rPr>
                <w:b/>
                <w:sz w:val="20"/>
                <w:szCs w:val="20"/>
                <w:lang w:val="hy-AM"/>
              </w:rPr>
              <w:t xml:space="preserve">1.2 </w:t>
            </w:r>
            <w:r w:rsidRPr="0053423A">
              <w:rPr>
                <w:rFonts w:eastAsia="Times New Roman" w:cs="GHEA Grapalat"/>
                <w:b/>
                <w:bCs/>
                <w:sz w:val="20"/>
                <w:szCs w:val="20"/>
                <w:lang w:val="hy-AM"/>
              </w:rPr>
              <w:t>առկա</w:t>
            </w:r>
            <w:r w:rsidRPr="0053423A">
              <w:rPr>
                <w:rFonts w:ascii="Calibri" w:eastAsia="Times New Roman" w:hAnsi="Calibri" w:cs="Calibri"/>
                <w:b/>
                <w:sz w:val="20"/>
                <w:szCs w:val="20"/>
                <w:lang w:val="hy-AM"/>
              </w:rPr>
              <w:t> </w:t>
            </w:r>
            <w:r w:rsidRPr="0053423A">
              <w:rPr>
                <w:rFonts w:eastAsia="Times New Roman" w:cs="Arian AMU"/>
                <w:b/>
                <w:bCs/>
                <w:sz w:val="20"/>
                <w:szCs w:val="20"/>
                <w:lang w:val="hy-AM"/>
              </w:rPr>
              <w:t>խնդիրների</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առաջարկվող</w:t>
            </w:r>
            <w:r w:rsidRPr="0053423A">
              <w:rPr>
                <w:rFonts w:ascii="Calibri" w:eastAsia="Times New Roman" w:hAnsi="Calibri" w:cs="Calibri"/>
                <w:sz w:val="20"/>
                <w:szCs w:val="20"/>
                <w:lang w:val="hy-AM"/>
              </w:rPr>
              <w:t> </w:t>
            </w:r>
            <w:r w:rsidRPr="0053423A">
              <w:rPr>
                <w:rFonts w:eastAsia="Times New Roman" w:cs="Arian AMU"/>
                <w:b/>
                <w:bCs/>
                <w:sz w:val="20"/>
                <w:szCs w:val="20"/>
                <w:lang w:val="hy-AM"/>
              </w:rPr>
              <w:t>լուծումները</w:t>
            </w:r>
          </w:p>
          <w:p w:rsidR="00154773" w:rsidRPr="0053423A" w:rsidRDefault="00154773" w:rsidP="00154773">
            <w:pPr>
              <w:shd w:val="clear" w:color="auto" w:fill="FFFFFF"/>
              <w:ind w:left="708"/>
              <w:textAlignment w:val="baseline"/>
              <w:rPr>
                <w:rFonts w:eastAsia="Times New Roman" w:cs="Arian AMU"/>
                <w:b/>
                <w:bCs/>
                <w:sz w:val="20"/>
                <w:szCs w:val="20"/>
                <w:lang w:val="hy-AM"/>
              </w:rPr>
            </w:pPr>
          </w:p>
          <w:p w:rsidR="00154773" w:rsidRPr="0053423A" w:rsidRDefault="00154773" w:rsidP="00154773">
            <w:pPr>
              <w:shd w:val="clear" w:color="auto" w:fill="FFFFFF"/>
              <w:ind w:firstLine="375"/>
              <w:jc w:val="both"/>
              <w:textAlignment w:val="baseline"/>
              <w:rPr>
                <w:rFonts w:eastAsia="Times New Roman" w:cs="Arian AMU"/>
                <w:sz w:val="20"/>
                <w:szCs w:val="20"/>
                <w:lang w:val="hy-AM"/>
              </w:rPr>
            </w:pPr>
            <w:r w:rsidRPr="0053423A">
              <w:rPr>
                <w:rFonts w:eastAsia="Times New Roman" w:cs="GHEA Grapalat"/>
                <w:bCs/>
                <w:sz w:val="20"/>
                <w:szCs w:val="20"/>
                <w:lang w:val="hy-AM"/>
              </w:rPr>
              <w:t xml:space="preserve">Առաջարկվում է ստեղծել կրթության ոլորտի տվյալների ամբողջական շտեմարան և ուսումնական հաստատությունների վարչական ռեգիստր, որոնք կկանոնակարգեն տվյալ դաշտում իրականացվող գործողությունները: </w:t>
            </w:r>
            <w:r w:rsidRPr="0053423A">
              <w:rPr>
                <w:rFonts w:eastAsia="Times New Roman" w:cs="Arian AMU"/>
                <w:sz w:val="20"/>
                <w:szCs w:val="20"/>
                <w:lang w:val="hy-AM"/>
              </w:rPr>
              <w:t>Միջոցառումն իրականացնելու համար տեխնիկական աջակցություն կտրամադրի Ասիական զարգացման բանկը:</w:t>
            </w:r>
          </w:p>
          <w:p w:rsidR="00154773" w:rsidRPr="0053423A" w:rsidRDefault="00154773" w:rsidP="00154773">
            <w:pPr>
              <w:shd w:val="clear" w:color="auto" w:fill="FFFFFF"/>
              <w:ind w:firstLine="375"/>
              <w:jc w:val="both"/>
              <w:textAlignment w:val="baseline"/>
              <w:rPr>
                <w:rFonts w:eastAsia="Times New Roman" w:cs="Arian AMU"/>
                <w:sz w:val="20"/>
                <w:szCs w:val="20"/>
                <w:lang w:val="hy-AM"/>
              </w:rPr>
            </w:pPr>
          </w:p>
          <w:p w:rsidR="00154773" w:rsidRPr="0053423A" w:rsidRDefault="00154773" w:rsidP="00154773">
            <w:pPr>
              <w:shd w:val="clear" w:color="auto" w:fill="FFFFFF"/>
              <w:ind w:firstLine="375"/>
              <w:rPr>
                <w:rFonts w:eastAsia="Times New Roman" w:cs="Times New Roman"/>
                <w:b/>
                <w:sz w:val="20"/>
                <w:szCs w:val="20"/>
                <w:lang w:val="hy-AM"/>
              </w:rPr>
            </w:pPr>
            <w:r w:rsidRPr="0053423A">
              <w:rPr>
                <w:rFonts w:eastAsia="Times New Roman" w:cs="Times New Roman"/>
                <w:b/>
                <w:sz w:val="20"/>
                <w:szCs w:val="20"/>
                <w:lang w:val="hy-AM"/>
              </w:rPr>
              <w:t>2.Միջոցառման իրականացումից ակնկալվող արդյունքը</w:t>
            </w:r>
          </w:p>
          <w:p w:rsidR="00154773" w:rsidRPr="0053423A" w:rsidRDefault="00154773" w:rsidP="00154773">
            <w:pPr>
              <w:shd w:val="clear" w:color="auto" w:fill="FFFFFF"/>
              <w:ind w:firstLine="375"/>
              <w:jc w:val="both"/>
              <w:textAlignment w:val="baseline"/>
              <w:rPr>
                <w:rFonts w:eastAsia="Times New Roman" w:cs="Arian AMU"/>
                <w:sz w:val="20"/>
                <w:szCs w:val="20"/>
                <w:lang w:val="hy-AM"/>
              </w:rPr>
            </w:pPr>
            <w:r w:rsidRPr="0053423A">
              <w:rPr>
                <w:rFonts w:eastAsia="Times New Roman" w:cs="Arian AMU"/>
                <w:sz w:val="20"/>
                <w:szCs w:val="20"/>
                <w:lang w:val="hy-AM"/>
              </w:rPr>
              <w:t xml:space="preserve"> </w:t>
            </w:r>
          </w:p>
          <w:p w:rsidR="00154773" w:rsidRPr="0053423A" w:rsidRDefault="00154773" w:rsidP="00154773">
            <w:pPr>
              <w:tabs>
                <w:tab w:val="left" w:pos="301"/>
              </w:tabs>
              <w:rPr>
                <w:rFonts w:eastAsia="Times New Roman" w:cs="Times New Roman"/>
                <w:b/>
                <w:sz w:val="20"/>
                <w:szCs w:val="20"/>
                <w:lang w:val="hy-AM"/>
              </w:rPr>
            </w:pPr>
            <w:r w:rsidRPr="0053423A">
              <w:rPr>
                <w:rFonts w:eastAsia="Times New Roman" w:cs="Arian AMU"/>
                <w:sz w:val="20"/>
                <w:szCs w:val="20"/>
                <w:lang w:val="hy-AM"/>
              </w:rPr>
              <w:t>Կստեղծվի համացանցում հասանելի, ՀՀ տարածքում գործող բոլոր ուսումնական հաստատությունների վերաբերյալ տեղեկատվական բազա: Շահառուները  կկարողանան գտնել իրենց կարիքների համար անհրաժեշտ սպառիչ տեղեկությունները:</w:t>
            </w:r>
          </w:p>
        </w:tc>
      </w:tr>
      <w:tr w:rsidR="00154773" w:rsidRPr="00DE2EF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3</w:t>
            </w:r>
          </w:p>
        </w:tc>
        <w:tc>
          <w:tcPr>
            <w:tcW w:w="10620" w:type="dxa"/>
          </w:tcPr>
          <w:p w:rsidR="00154773" w:rsidRPr="0053423A" w:rsidRDefault="00154773" w:rsidP="00154773">
            <w:pPr>
              <w:tabs>
                <w:tab w:val="left" w:pos="1365"/>
              </w:tabs>
              <w:jc w:val="center"/>
              <w:rPr>
                <w:rFonts w:eastAsia="Times New Roman" w:cs="Times New Roman"/>
                <w:b/>
                <w:sz w:val="20"/>
                <w:szCs w:val="20"/>
                <w:u w:val="single"/>
                <w:lang w:val="hy-AM"/>
              </w:rPr>
            </w:pPr>
            <w:r w:rsidRPr="0053423A">
              <w:rPr>
                <w:rFonts w:eastAsia="Times New Roman" w:cs="Times New Roman"/>
                <w:b/>
                <w:sz w:val="20"/>
                <w:szCs w:val="20"/>
                <w:u w:val="single"/>
              </w:rPr>
              <w:t>3.1</w:t>
            </w:r>
            <w:r w:rsidRPr="0053423A">
              <w:rPr>
                <w:rFonts w:cs="Sylfaen"/>
                <w:b/>
                <w:sz w:val="20"/>
                <w:szCs w:val="20"/>
                <w:u w:val="single"/>
              </w:rPr>
              <w:t xml:space="preserve"> Կրթության և գիտության նախարարի հրամանով Հանրակրթության կառավարման համակարգի բարեփոխումների հայեցակարգի հաստատում</w:t>
            </w:r>
          </w:p>
          <w:p w:rsidR="00154773" w:rsidRPr="0053423A" w:rsidRDefault="00154773" w:rsidP="00154773">
            <w:pPr>
              <w:tabs>
                <w:tab w:val="left" w:pos="1365"/>
              </w:tabs>
              <w:rPr>
                <w:rFonts w:cs="Sylfaen"/>
                <w:b/>
                <w:sz w:val="20"/>
                <w:szCs w:val="20"/>
                <w:u w:val="single"/>
                <w:lang w:val="hy-AM"/>
              </w:rPr>
            </w:pPr>
          </w:p>
          <w:p w:rsidR="00154773" w:rsidRPr="0053423A" w:rsidRDefault="00154773" w:rsidP="00154773">
            <w:pPr>
              <w:tabs>
                <w:tab w:val="left" w:pos="1365"/>
              </w:tabs>
              <w:rPr>
                <w:sz w:val="20"/>
                <w:szCs w:val="20"/>
                <w:lang w:val="hy-AM"/>
              </w:rPr>
            </w:pPr>
          </w:p>
          <w:p w:rsidR="00154773" w:rsidRPr="0053423A" w:rsidRDefault="00154773" w:rsidP="001F6D5D">
            <w:pPr>
              <w:numPr>
                <w:ilvl w:val="0"/>
                <w:numId w:val="445"/>
              </w:numPr>
              <w:ind w:left="0" w:firstLine="284"/>
              <w:contextualSpacing/>
              <w:jc w:val="both"/>
              <w:rPr>
                <w:rFonts w:eastAsia="Calibri"/>
                <w:b/>
                <w:sz w:val="20"/>
                <w:szCs w:val="20"/>
                <w:lang w:val="ru-RU"/>
              </w:rPr>
            </w:pPr>
            <w:r w:rsidRPr="0053423A">
              <w:rPr>
                <w:rFonts w:eastAsia="Calibri" w:cs="Sylfaen"/>
                <w:b/>
                <w:sz w:val="20"/>
                <w:szCs w:val="20"/>
                <w:lang w:val="ru-RU"/>
              </w:rPr>
              <w:t xml:space="preserve">Միջոցառման </w:t>
            </w:r>
            <w:r w:rsidRPr="0053423A">
              <w:rPr>
                <w:rFonts w:eastAsia="Calibri" w:cs="Sylfaen"/>
                <w:b/>
                <w:sz w:val="20"/>
                <w:szCs w:val="20"/>
              </w:rPr>
              <w:t>իրականացման անհրաժեշտությունը</w:t>
            </w:r>
            <w:r w:rsidRPr="0053423A">
              <w:rPr>
                <w:rFonts w:eastAsia="Calibri"/>
                <w:b/>
                <w:sz w:val="20"/>
                <w:szCs w:val="20"/>
                <w:lang w:val="ru-RU"/>
              </w:rPr>
              <w:t xml:space="preserve"> և </w:t>
            </w:r>
            <w:r w:rsidRPr="0053423A">
              <w:rPr>
                <w:rFonts w:eastAsia="Calibri" w:cs="Sylfaen"/>
                <w:b/>
                <w:sz w:val="20"/>
                <w:szCs w:val="20"/>
              </w:rPr>
              <w:t>նպատակը</w:t>
            </w:r>
          </w:p>
          <w:p w:rsidR="00154773" w:rsidRPr="0053423A" w:rsidRDefault="00154773" w:rsidP="00154773">
            <w:pPr>
              <w:ind w:left="284"/>
              <w:contextualSpacing/>
              <w:jc w:val="both"/>
              <w:rPr>
                <w:rFonts w:eastAsia="Calibri"/>
                <w:b/>
                <w:sz w:val="20"/>
                <w:szCs w:val="20"/>
                <w:lang w:val="ru-RU"/>
              </w:rPr>
            </w:pPr>
          </w:p>
          <w:p w:rsidR="00154773" w:rsidRPr="0053423A" w:rsidRDefault="00154773" w:rsidP="00154773">
            <w:pPr>
              <w:shd w:val="clear" w:color="auto" w:fill="FFFFFF"/>
              <w:ind w:firstLine="360"/>
              <w:jc w:val="both"/>
              <w:textAlignment w:val="baseline"/>
              <w:rPr>
                <w:spacing w:val="-4"/>
                <w:sz w:val="20"/>
                <w:szCs w:val="20"/>
                <w:lang w:val="ru-RU"/>
              </w:rPr>
            </w:pPr>
            <w:r w:rsidRPr="0053423A">
              <w:rPr>
                <w:spacing w:val="-4"/>
                <w:sz w:val="20"/>
                <w:szCs w:val="20"/>
              </w:rPr>
              <w:t>Միջոցառման</w:t>
            </w:r>
            <w:r w:rsidRPr="0053423A">
              <w:rPr>
                <w:spacing w:val="-4"/>
                <w:sz w:val="20"/>
                <w:szCs w:val="20"/>
                <w:lang w:val="ru-RU"/>
              </w:rPr>
              <w:t xml:space="preserve"> </w:t>
            </w:r>
            <w:r w:rsidRPr="0053423A">
              <w:rPr>
                <w:spacing w:val="-4"/>
                <w:sz w:val="20"/>
                <w:szCs w:val="20"/>
              </w:rPr>
              <w:t>գլխավոր</w:t>
            </w:r>
            <w:r w:rsidRPr="0053423A">
              <w:rPr>
                <w:spacing w:val="-4"/>
                <w:sz w:val="20"/>
                <w:szCs w:val="20"/>
                <w:lang w:val="ru-RU"/>
              </w:rPr>
              <w:t xml:space="preserve"> </w:t>
            </w:r>
            <w:r w:rsidRPr="0053423A">
              <w:rPr>
                <w:spacing w:val="-4"/>
                <w:sz w:val="20"/>
                <w:szCs w:val="20"/>
              </w:rPr>
              <w:t>նպատակն</w:t>
            </w:r>
            <w:r w:rsidRPr="0053423A">
              <w:rPr>
                <w:spacing w:val="-4"/>
                <w:sz w:val="20"/>
                <w:szCs w:val="20"/>
                <w:lang w:val="ru-RU"/>
              </w:rPr>
              <w:t xml:space="preserve"> </w:t>
            </w:r>
            <w:r w:rsidRPr="0053423A">
              <w:rPr>
                <w:spacing w:val="-4"/>
                <w:sz w:val="20"/>
                <w:szCs w:val="20"/>
              </w:rPr>
              <w:t>է</w:t>
            </w:r>
            <w:r w:rsidRPr="0053423A">
              <w:rPr>
                <w:spacing w:val="-4"/>
                <w:sz w:val="20"/>
                <w:szCs w:val="20"/>
                <w:lang w:val="ru-RU"/>
              </w:rPr>
              <w:t xml:space="preserve">  </w:t>
            </w:r>
            <w:r w:rsidRPr="0053423A">
              <w:rPr>
                <w:spacing w:val="-4"/>
                <w:sz w:val="20"/>
                <w:szCs w:val="20"/>
              </w:rPr>
              <w:t>կրթության</w:t>
            </w:r>
            <w:r w:rsidRPr="0053423A">
              <w:rPr>
                <w:spacing w:val="-4"/>
                <w:sz w:val="20"/>
                <w:szCs w:val="20"/>
                <w:lang w:val="ru-RU"/>
              </w:rPr>
              <w:t xml:space="preserve"> </w:t>
            </w:r>
            <w:r w:rsidRPr="0053423A">
              <w:rPr>
                <w:spacing w:val="-4"/>
                <w:sz w:val="20"/>
                <w:szCs w:val="20"/>
              </w:rPr>
              <w:t>համակարգի</w:t>
            </w:r>
            <w:r w:rsidRPr="0053423A">
              <w:rPr>
                <w:spacing w:val="-4"/>
                <w:sz w:val="20"/>
                <w:szCs w:val="20"/>
                <w:lang w:val="ru-RU"/>
              </w:rPr>
              <w:t xml:space="preserve"> </w:t>
            </w:r>
            <w:r w:rsidRPr="0053423A">
              <w:rPr>
                <w:spacing w:val="-4"/>
                <w:sz w:val="20"/>
                <w:szCs w:val="20"/>
              </w:rPr>
              <w:t>կառավարման</w:t>
            </w:r>
            <w:r w:rsidRPr="0053423A">
              <w:rPr>
                <w:spacing w:val="-4"/>
                <w:sz w:val="20"/>
                <w:szCs w:val="20"/>
                <w:lang w:val="ru-RU"/>
              </w:rPr>
              <w:t xml:space="preserve"> </w:t>
            </w:r>
            <w:r w:rsidRPr="0053423A">
              <w:rPr>
                <w:spacing w:val="-4"/>
                <w:sz w:val="20"/>
                <w:szCs w:val="20"/>
              </w:rPr>
              <w:t>արդյունավետության</w:t>
            </w:r>
            <w:r w:rsidRPr="0053423A">
              <w:rPr>
                <w:spacing w:val="-4"/>
                <w:sz w:val="20"/>
                <w:szCs w:val="20"/>
                <w:lang w:val="ru-RU"/>
              </w:rPr>
              <w:t xml:space="preserve"> </w:t>
            </w:r>
            <w:r w:rsidRPr="0053423A">
              <w:rPr>
                <w:spacing w:val="-4"/>
                <w:sz w:val="20"/>
                <w:szCs w:val="20"/>
              </w:rPr>
              <w:t>բարձրացումը</w:t>
            </w:r>
            <w:r w:rsidRPr="0053423A">
              <w:rPr>
                <w:spacing w:val="-4"/>
                <w:sz w:val="20"/>
                <w:szCs w:val="20"/>
                <w:lang w:val="ru-RU"/>
              </w:rPr>
              <w:t xml:space="preserve">: </w:t>
            </w:r>
          </w:p>
          <w:p w:rsidR="00154773" w:rsidRPr="0053423A" w:rsidRDefault="00154773" w:rsidP="00154773">
            <w:pPr>
              <w:ind w:firstLine="284"/>
              <w:contextualSpacing/>
              <w:jc w:val="both"/>
              <w:rPr>
                <w:rFonts w:eastAsia="Calibri" w:cs="Arian AMU"/>
                <w:sz w:val="20"/>
                <w:szCs w:val="20"/>
                <w:lang w:val="ru-RU"/>
              </w:rPr>
            </w:pPr>
            <w:r w:rsidRPr="0053423A">
              <w:rPr>
                <w:spacing w:val="-4"/>
                <w:sz w:val="20"/>
                <w:szCs w:val="20"/>
              </w:rPr>
              <w:t>Միջոցառումների</w:t>
            </w:r>
            <w:r w:rsidRPr="0053423A">
              <w:rPr>
                <w:spacing w:val="-4"/>
                <w:sz w:val="20"/>
                <w:szCs w:val="20"/>
                <w:lang w:val="ru-RU"/>
              </w:rPr>
              <w:t xml:space="preserve"> </w:t>
            </w:r>
            <w:r w:rsidRPr="0053423A">
              <w:rPr>
                <w:spacing w:val="-4"/>
                <w:sz w:val="20"/>
                <w:szCs w:val="20"/>
              </w:rPr>
              <w:t>անհրաժեշտությունը</w:t>
            </w:r>
            <w:r w:rsidRPr="0053423A">
              <w:rPr>
                <w:spacing w:val="-4"/>
                <w:sz w:val="20"/>
                <w:szCs w:val="20"/>
                <w:lang w:val="ru-RU"/>
              </w:rPr>
              <w:t xml:space="preserve"> </w:t>
            </w:r>
            <w:r w:rsidRPr="0053423A">
              <w:rPr>
                <w:spacing w:val="-4"/>
                <w:sz w:val="20"/>
                <w:szCs w:val="20"/>
              </w:rPr>
              <w:t>բխում</w:t>
            </w:r>
            <w:r w:rsidRPr="0053423A">
              <w:rPr>
                <w:spacing w:val="-4"/>
                <w:sz w:val="20"/>
                <w:szCs w:val="20"/>
                <w:lang w:val="ru-RU"/>
              </w:rPr>
              <w:t xml:space="preserve"> </w:t>
            </w:r>
            <w:r w:rsidRPr="0053423A">
              <w:rPr>
                <w:spacing w:val="-4"/>
                <w:sz w:val="20"/>
                <w:szCs w:val="20"/>
              </w:rPr>
              <w:t>է</w:t>
            </w:r>
            <w:r w:rsidRPr="0053423A">
              <w:rPr>
                <w:spacing w:val="-4"/>
                <w:sz w:val="20"/>
                <w:szCs w:val="20"/>
                <w:lang w:val="ru-RU"/>
              </w:rPr>
              <w:t xml:space="preserve"> </w:t>
            </w:r>
            <w:r w:rsidRPr="0053423A">
              <w:rPr>
                <w:spacing w:val="-4"/>
                <w:sz w:val="20"/>
                <w:szCs w:val="20"/>
              </w:rPr>
              <w:t>ՀՀ</w:t>
            </w:r>
            <w:r w:rsidRPr="0053423A">
              <w:rPr>
                <w:spacing w:val="-4"/>
                <w:sz w:val="20"/>
                <w:szCs w:val="20"/>
                <w:lang w:val="ru-RU"/>
              </w:rPr>
              <w:t xml:space="preserve"> </w:t>
            </w:r>
            <w:r w:rsidRPr="0053423A">
              <w:rPr>
                <w:spacing w:val="-4"/>
                <w:sz w:val="20"/>
                <w:szCs w:val="20"/>
              </w:rPr>
              <w:t>ԱԺ</w:t>
            </w:r>
            <w:r w:rsidRPr="0053423A">
              <w:rPr>
                <w:spacing w:val="-4"/>
                <w:sz w:val="20"/>
                <w:szCs w:val="20"/>
                <w:lang w:val="ru-RU"/>
              </w:rPr>
              <w:t xml:space="preserve"> 2019 </w:t>
            </w:r>
            <w:r w:rsidRPr="0053423A">
              <w:rPr>
                <w:spacing w:val="-4"/>
                <w:sz w:val="20"/>
                <w:szCs w:val="20"/>
              </w:rPr>
              <w:t>թվականի</w:t>
            </w:r>
            <w:r w:rsidRPr="0053423A">
              <w:rPr>
                <w:spacing w:val="-4"/>
                <w:sz w:val="20"/>
                <w:szCs w:val="20"/>
                <w:lang w:val="ru-RU"/>
              </w:rPr>
              <w:t xml:space="preserve"> </w:t>
            </w:r>
            <w:r w:rsidRPr="0053423A">
              <w:rPr>
                <w:spacing w:val="-4"/>
                <w:sz w:val="20"/>
                <w:szCs w:val="20"/>
              </w:rPr>
              <w:t>փետրվարի</w:t>
            </w:r>
            <w:r w:rsidRPr="0053423A">
              <w:rPr>
                <w:spacing w:val="-4"/>
                <w:sz w:val="20"/>
                <w:szCs w:val="20"/>
                <w:lang w:val="ru-RU"/>
              </w:rPr>
              <w:t xml:space="preserve"> 14-</w:t>
            </w:r>
            <w:r w:rsidRPr="0053423A">
              <w:rPr>
                <w:spacing w:val="-4"/>
                <w:sz w:val="20"/>
                <w:szCs w:val="20"/>
              </w:rPr>
              <w:t>ի</w:t>
            </w:r>
            <w:r w:rsidRPr="0053423A">
              <w:rPr>
                <w:spacing w:val="-4"/>
                <w:sz w:val="20"/>
                <w:szCs w:val="20"/>
                <w:lang w:val="ru-RU"/>
              </w:rPr>
              <w:t xml:space="preserve"> </w:t>
            </w:r>
            <w:r w:rsidRPr="0053423A">
              <w:rPr>
                <w:spacing w:val="-4"/>
                <w:sz w:val="20"/>
                <w:szCs w:val="20"/>
              </w:rPr>
              <w:t>ԱԺՈ</w:t>
            </w:r>
            <w:r w:rsidRPr="0053423A">
              <w:rPr>
                <w:spacing w:val="-4"/>
                <w:sz w:val="20"/>
                <w:szCs w:val="20"/>
                <w:lang w:val="ru-RU"/>
              </w:rPr>
              <w:t>-002-</w:t>
            </w:r>
            <w:r w:rsidRPr="0053423A">
              <w:rPr>
                <w:spacing w:val="-4"/>
                <w:sz w:val="20"/>
                <w:szCs w:val="20"/>
              </w:rPr>
              <w:t>Ն</w:t>
            </w:r>
            <w:r w:rsidRPr="0053423A">
              <w:rPr>
                <w:spacing w:val="-4"/>
                <w:sz w:val="20"/>
                <w:szCs w:val="20"/>
                <w:lang w:val="ru-RU"/>
              </w:rPr>
              <w:t xml:space="preserve"> </w:t>
            </w:r>
            <w:r w:rsidRPr="0053423A">
              <w:rPr>
                <w:spacing w:val="-4"/>
                <w:sz w:val="20"/>
                <w:szCs w:val="20"/>
              </w:rPr>
              <w:t>որոշմամբ</w:t>
            </w:r>
            <w:r w:rsidRPr="0053423A">
              <w:rPr>
                <w:spacing w:val="-4"/>
                <w:sz w:val="20"/>
                <w:szCs w:val="20"/>
                <w:lang w:val="ru-RU"/>
              </w:rPr>
              <w:t xml:space="preserve"> </w:t>
            </w:r>
            <w:r w:rsidRPr="0053423A">
              <w:rPr>
                <w:spacing w:val="-4"/>
                <w:sz w:val="20"/>
                <w:szCs w:val="20"/>
              </w:rPr>
              <w:t>հավանության</w:t>
            </w:r>
            <w:r w:rsidRPr="0053423A">
              <w:rPr>
                <w:spacing w:val="-4"/>
                <w:sz w:val="20"/>
                <w:szCs w:val="20"/>
                <w:lang w:val="ru-RU"/>
              </w:rPr>
              <w:t xml:space="preserve"> </w:t>
            </w:r>
            <w:r w:rsidRPr="0053423A">
              <w:rPr>
                <w:spacing w:val="-4"/>
                <w:sz w:val="20"/>
                <w:szCs w:val="20"/>
              </w:rPr>
              <w:t>արժանացած</w:t>
            </w:r>
            <w:r w:rsidRPr="0053423A">
              <w:rPr>
                <w:spacing w:val="-4"/>
                <w:sz w:val="20"/>
                <w:szCs w:val="20"/>
                <w:lang w:val="ru-RU"/>
              </w:rPr>
              <w:t xml:space="preserve"> </w:t>
            </w:r>
            <w:r w:rsidRPr="0053423A">
              <w:rPr>
                <w:spacing w:val="-4"/>
                <w:sz w:val="20"/>
                <w:szCs w:val="20"/>
              </w:rPr>
              <w:t>ՀՀ</w:t>
            </w:r>
            <w:r w:rsidRPr="0053423A">
              <w:rPr>
                <w:spacing w:val="-4"/>
                <w:sz w:val="20"/>
                <w:szCs w:val="20"/>
                <w:lang w:val="ru-RU"/>
              </w:rPr>
              <w:t xml:space="preserve"> </w:t>
            </w:r>
            <w:r w:rsidRPr="0053423A">
              <w:rPr>
                <w:spacing w:val="-4"/>
                <w:sz w:val="20"/>
                <w:szCs w:val="20"/>
              </w:rPr>
              <w:t>կառավարության</w:t>
            </w:r>
            <w:r w:rsidRPr="0053423A">
              <w:rPr>
                <w:spacing w:val="-4"/>
                <w:sz w:val="20"/>
                <w:szCs w:val="20"/>
                <w:lang w:val="ru-RU"/>
              </w:rPr>
              <w:t xml:space="preserve"> </w:t>
            </w:r>
            <w:r w:rsidRPr="0053423A">
              <w:rPr>
                <w:spacing w:val="-4"/>
                <w:sz w:val="20"/>
                <w:szCs w:val="20"/>
              </w:rPr>
              <w:t>ծրագրի</w:t>
            </w:r>
            <w:r w:rsidRPr="0053423A">
              <w:rPr>
                <w:spacing w:val="-4"/>
                <w:sz w:val="20"/>
                <w:szCs w:val="20"/>
                <w:lang w:val="ru-RU"/>
              </w:rPr>
              <w:t xml:space="preserve"> </w:t>
            </w:r>
            <w:r w:rsidRPr="0053423A">
              <w:rPr>
                <w:rFonts w:eastAsia="Times New Roman" w:cs="Times New Roman"/>
                <w:sz w:val="20"/>
                <w:szCs w:val="20"/>
                <w:lang w:val="ru-RU"/>
              </w:rPr>
              <w:t>«</w:t>
            </w:r>
            <w:r w:rsidRPr="0053423A">
              <w:rPr>
                <w:spacing w:val="-4"/>
                <w:sz w:val="20"/>
                <w:szCs w:val="20"/>
                <w:lang w:val="ru-RU"/>
              </w:rPr>
              <w:t xml:space="preserve">4.4 </w:t>
            </w:r>
            <w:r w:rsidRPr="0053423A">
              <w:rPr>
                <w:spacing w:val="-4"/>
                <w:sz w:val="20"/>
                <w:szCs w:val="20"/>
              </w:rPr>
              <w:t>ԿՐԹՈՒԹՅՈՒՆ</w:t>
            </w:r>
            <w:r w:rsidRPr="0053423A">
              <w:rPr>
                <w:spacing w:val="-4"/>
                <w:sz w:val="20"/>
                <w:szCs w:val="20"/>
                <w:lang w:val="ru-RU"/>
              </w:rPr>
              <w:t xml:space="preserve"> </w:t>
            </w:r>
            <w:r w:rsidRPr="0053423A">
              <w:rPr>
                <w:spacing w:val="-4"/>
                <w:sz w:val="20"/>
                <w:szCs w:val="20"/>
              </w:rPr>
              <w:t>ԵՎ</w:t>
            </w:r>
            <w:r w:rsidRPr="0053423A">
              <w:rPr>
                <w:spacing w:val="-4"/>
                <w:sz w:val="20"/>
                <w:szCs w:val="20"/>
                <w:lang w:val="ru-RU"/>
              </w:rPr>
              <w:t xml:space="preserve"> </w:t>
            </w:r>
            <w:r w:rsidRPr="0053423A">
              <w:rPr>
                <w:spacing w:val="-4"/>
                <w:sz w:val="20"/>
                <w:szCs w:val="20"/>
              </w:rPr>
              <w:t>ԳԻՏՈՒԹՅՈՒՆ</w:t>
            </w:r>
            <w:r w:rsidRPr="0053423A">
              <w:rPr>
                <w:rFonts w:eastAsia="Times New Roman" w:cs="Times New Roman"/>
                <w:sz w:val="20"/>
                <w:szCs w:val="20"/>
                <w:lang w:val="ru-RU"/>
              </w:rPr>
              <w:t xml:space="preserve">»  </w:t>
            </w:r>
            <w:r w:rsidRPr="0053423A">
              <w:rPr>
                <w:rFonts w:eastAsia="Calibri" w:cs="Sylfaen"/>
                <w:sz w:val="20"/>
                <w:szCs w:val="20"/>
                <w:lang w:val="hy-AM"/>
              </w:rPr>
              <w:t>բաժնի</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Հանրակրթության</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ոլորտում</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սահմանված</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Կառավարության</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ծրագրային</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նպատակներից</w:t>
            </w:r>
            <w:r w:rsidRPr="0053423A">
              <w:rPr>
                <w:rFonts w:eastAsia="Calibri" w:cs="Arian AMU"/>
                <w:sz w:val="20"/>
                <w:szCs w:val="20"/>
                <w:lang w:val="ru-RU"/>
              </w:rPr>
              <w:t xml:space="preserve">: </w:t>
            </w:r>
          </w:p>
          <w:p w:rsidR="00154773" w:rsidRPr="0053423A" w:rsidRDefault="00154773" w:rsidP="00154773">
            <w:pPr>
              <w:shd w:val="clear" w:color="auto" w:fill="FFFFFF"/>
              <w:ind w:firstLine="375"/>
              <w:jc w:val="both"/>
              <w:textAlignment w:val="baseline"/>
              <w:rPr>
                <w:rFonts w:eastAsia="Times New Roman" w:cs="Arian AMU"/>
                <w:sz w:val="20"/>
                <w:szCs w:val="20"/>
                <w:lang w:val="ru-RU"/>
              </w:rPr>
            </w:pPr>
            <w:r w:rsidRPr="0053423A">
              <w:rPr>
                <w:rFonts w:eastAsia="Calibri" w:cs="Arian AMU"/>
                <w:sz w:val="20"/>
                <w:szCs w:val="20"/>
              </w:rPr>
              <w:t>Նպատակն</w:t>
            </w:r>
            <w:r w:rsidRPr="0053423A">
              <w:rPr>
                <w:rFonts w:eastAsia="Calibri" w:cs="Arian AMU"/>
                <w:sz w:val="20"/>
                <w:szCs w:val="20"/>
                <w:lang w:val="ru-RU"/>
              </w:rPr>
              <w:t xml:space="preserve"> </w:t>
            </w:r>
            <w:r w:rsidRPr="0053423A">
              <w:rPr>
                <w:rFonts w:eastAsia="Calibri" w:cs="Arian AMU"/>
                <w:sz w:val="20"/>
                <w:szCs w:val="20"/>
              </w:rPr>
              <w:t>է՝</w:t>
            </w:r>
            <w:r w:rsidRPr="0053423A">
              <w:rPr>
                <w:rFonts w:eastAsia="Calibri" w:cs="Arian AMU"/>
                <w:sz w:val="20"/>
                <w:szCs w:val="20"/>
                <w:lang w:val="ru-RU"/>
              </w:rPr>
              <w:t xml:space="preserve"> </w:t>
            </w:r>
            <w:r w:rsidRPr="0053423A">
              <w:rPr>
                <w:rFonts w:eastAsia="Calibri" w:cs="Arian AMU"/>
                <w:sz w:val="20"/>
                <w:szCs w:val="20"/>
              </w:rPr>
              <w:t>վերանայել</w:t>
            </w:r>
            <w:r w:rsidRPr="0053423A">
              <w:rPr>
                <w:rFonts w:eastAsia="Calibri" w:cs="Arian AMU"/>
                <w:sz w:val="20"/>
                <w:szCs w:val="20"/>
                <w:lang w:val="ru-RU"/>
              </w:rPr>
              <w:t xml:space="preserve"> </w:t>
            </w:r>
            <w:r w:rsidRPr="0053423A">
              <w:rPr>
                <w:rFonts w:eastAsia="Calibri" w:cs="Arian AMU"/>
                <w:sz w:val="20"/>
                <w:szCs w:val="20"/>
              </w:rPr>
              <w:t>և</w:t>
            </w:r>
            <w:r w:rsidRPr="0053423A">
              <w:rPr>
                <w:rFonts w:eastAsia="Calibri" w:cs="Arian AMU"/>
                <w:sz w:val="20"/>
                <w:szCs w:val="20"/>
                <w:lang w:val="ru-RU"/>
              </w:rPr>
              <w:t xml:space="preserve"> </w:t>
            </w:r>
            <w:r w:rsidRPr="0053423A">
              <w:rPr>
                <w:rFonts w:eastAsia="Calibri" w:cs="Arian AMU"/>
                <w:sz w:val="20"/>
                <w:szCs w:val="20"/>
              </w:rPr>
              <w:t>առավել</w:t>
            </w:r>
            <w:r w:rsidRPr="0053423A">
              <w:rPr>
                <w:rFonts w:eastAsia="Calibri" w:cs="Arian AMU"/>
                <w:sz w:val="20"/>
                <w:szCs w:val="20"/>
                <w:lang w:val="ru-RU"/>
              </w:rPr>
              <w:t xml:space="preserve"> </w:t>
            </w:r>
            <w:r w:rsidRPr="0053423A">
              <w:rPr>
                <w:rFonts w:eastAsia="Calibri" w:cs="Arian AMU"/>
                <w:sz w:val="20"/>
                <w:szCs w:val="20"/>
              </w:rPr>
              <w:t>արդյունավետ</w:t>
            </w:r>
            <w:r w:rsidRPr="0053423A">
              <w:rPr>
                <w:rFonts w:eastAsia="Calibri" w:cs="Arian AMU"/>
                <w:sz w:val="20"/>
                <w:szCs w:val="20"/>
                <w:lang w:val="ru-RU"/>
              </w:rPr>
              <w:t xml:space="preserve"> </w:t>
            </w:r>
            <w:r w:rsidRPr="0053423A">
              <w:rPr>
                <w:rFonts w:eastAsia="Calibri" w:cs="Arian AMU"/>
                <w:sz w:val="20"/>
                <w:szCs w:val="20"/>
              </w:rPr>
              <w:t>դարձնել</w:t>
            </w:r>
            <w:r w:rsidRPr="0053423A">
              <w:rPr>
                <w:rFonts w:eastAsia="Calibri" w:cs="Arian AMU"/>
                <w:sz w:val="20"/>
                <w:szCs w:val="20"/>
                <w:lang w:val="ru-RU"/>
              </w:rPr>
              <w:t xml:space="preserve"> </w:t>
            </w:r>
            <w:r w:rsidRPr="0053423A">
              <w:rPr>
                <w:rFonts w:eastAsia="Calibri" w:cs="Arian AMU"/>
                <w:sz w:val="20"/>
                <w:szCs w:val="20"/>
              </w:rPr>
              <w:t>հանրակրթական</w:t>
            </w:r>
            <w:r w:rsidRPr="0053423A">
              <w:rPr>
                <w:rFonts w:eastAsia="Calibri" w:cs="Arian AMU"/>
                <w:sz w:val="20"/>
                <w:szCs w:val="20"/>
                <w:lang w:val="ru-RU"/>
              </w:rPr>
              <w:t xml:space="preserve"> </w:t>
            </w:r>
            <w:r w:rsidRPr="0053423A">
              <w:rPr>
                <w:rFonts w:eastAsia="Calibri" w:cs="Arian AMU"/>
                <w:sz w:val="20"/>
                <w:szCs w:val="20"/>
              </w:rPr>
              <w:t>հաստատությունների</w:t>
            </w:r>
            <w:r w:rsidRPr="0053423A">
              <w:rPr>
                <w:rFonts w:eastAsia="Calibri" w:cs="Arian AMU"/>
                <w:sz w:val="20"/>
                <w:szCs w:val="20"/>
                <w:lang w:val="ru-RU"/>
              </w:rPr>
              <w:t xml:space="preserve"> </w:t>
            </w:r>
            <w:r w:rsidRPr="0053423A">
              <w:rPr>
                <w:rFonts w:eastAsia="Calibri" w:cs="Arian AMU"/>
                <w:sz w:val="20"/>
                <w:szCs w:val="20"/>
              </w:rPr>
              <w:t>կառավարումը</w:t>
            </w:r>
            <w:r w:rsidRPr="0053423A">
              <w:rPr>
                <w:rFonts w:eastAsia="Calibri" w:cs="Arian AMU"/>
                <w:sz w:val="20"/>
                <w:szCs w:val="20"/>
                <w:lang w:val="ru-RU"/>
              </w:rPr>
              <w:t xml:space="preserve">: </w:t>
            </w:r>
            <w:r w:rsidRPr="0053423A">
              <w:rPr>
                <w:rFonts w:eastAsia="Times New Roman" w:cs="Arian AMU"/>
                <w:sz w:val="20"/>
                <w:szCs w:val="20"/>
              </w:rPr>
              <w:t>Հանրակրթական</w:t>
            </w:r>
            <w:r w:rsidRPr="0053423A">
              <w:rPr>
                <w:rFonts w:eastAsia="Times New Roman" w:cs="Arian AMU"/>
                <w:sz w:val="20"/>
                <w:szCs w:val="20"/>
                <w:lang w:val="ru-RU"/>
              </w:rPr>
              <w:t xml:space="preserve"> </w:t>
            </w:r>
            <w:r w:rsidRPr="0053423A">
              <w:rPr>
                <w:rFonts w:eastAsia="Times New Roman" w:cs="Arian AMU"/>
                <w:sz w:val="20"/>
                <w:szCs w:val="20"/>
              </w:rPr>
              <w:t>դպրոցների</w:t>
            </w:r>
            <w:r w:rsidRPr="0053423A">
              <w:rPr>
                <w:rFonts w:eastAsia="Times New Roman" w:cs="Arian AMU"/>
                <w:sz w:val="20"/>
                <w:szCs w:val="20"/>
                <w:lang w:val="ru-RU"/>
              </w:rPr>
              <w:t xml:space="preserve"> </w:t>
            </w:r>
            <w:r w:rsidRPr="0053423A">
              <w:rPr>
                <w:rFonts w:eastAsia="Times New Roman" w:cs="Arian AMU"/>
                <w:sz w:val="20"/>
                <w:szCs w:val="20"/>
              </w:rPr>
              <w:t>կոլեգիալ</w:t>
            </w:r>
            <w:r w:rsidRPr="0053423A">
              <w:rPr>
                <w:rFonts w:eastAsia="Times New Roman" w:cs="Arian AMU"/>
                <w:sz w:val="20"/>
                <w:szCs w:val="20"/>
                <w:lang w:val="ru-RU"/>
              </w:rPr>
              <w:t xml:space="preserve"> </w:t>
            </w:r>
            <w:r w:rsidRPr="0053423A">
              <w:rPr>
                <w:rFonts w:eastAsia="Times New Roman" w:cs="Arian AMU"/>
                <w:sz w:val="20"/>
                <w:szCs w:val="20"/>
              </w:rPr>
              <w:t>կառավարման</w:t>
            </w:r>
            <w:r w:rsidRPr="0053423A">
              <w:rPr>
                <w:rFonts w:eastAsia="Times New Roman" w:cs="Arian AMU"/>
                <w:sz w:val="20"/>
                <w:szCs w:val="20"/>
                <w:lang w:val="ru-RU"/>
              </w:rPr>
              <w:t xml:space="preserve"> </w:t>
            </w:r>
            <w:r w:rsidRPr="0053423A">
              <w:rPr>
                <w:rFonts w:eastAsia="Times New Roman" w:cs="Arian AMU"/>
                <w:sz w:val="20"/>
                <w:szCs w:val="20"/>
              </w:rPr>
              <w:t>մարմինների՝</w:t>
            </w:r>
            <w:r w:rsidRPr="0053423A">
              <w:rPr>
                <w:rFonts w:eastAsia="Times New Roman" w:cs="Arian AMU"/>
                <w:sz w:val="20"/>
                <w:szCs w:val="20"/>
                <w:lang w:val="ru-RU"/>
              </w:rPr>
              <w:t xml:space="preserve"> </w:t>
            </w:r>
            <w:r w:rsidRPr="0053423A">
              <w:rPr>
                <w:rFonts w:eastAsia="Times New Roman" w:cs="Arian AMU"/>
                <w:sz w:val="20"/>
                <w:szCs w:val="20"/>
              </w:rPr>
              <w:t>խորհուրդների</w:t>
            </w:r>
            <w:r w:rsidRPr="0053423A">
              <w:rPr>
                <w:rFonts w:eastAsia="Times New Roman" w:cs="Arian AMU"/>
                <w:sz w:val="20"/>
                <w:szCs w:val="20"/>
                <w:lang w:val="ru-RU"/>
              </w:rPr>
              <w:t xml:space="preserve"> </w:t>
            </w:r>
            <w:r w:rsidRPr="0053423A">
              <w:rPr>
                <w:rFonts w:eastAsia="Times New Roman" w:cs="Arian AMU"/>
                <w:sz w:val="20"/>
                <w:szCs w:val="20"/>
              </w:rPr>
              <w:t>կողմից</w:t>
            </w:r>
            <w:r w:rsidRPr="0053423A">
              <w:rPr>
                <w:rFonts w:eastAsia="Times New Roman" w:cs="Arian AMU"/>
                <w:sz w:val="20"/>
                <w:szCs w:val="20"/>
                <w:lang w:val="ru-RU"/>
              </w:rPr>
              <w:t xml:space="preserve"> </w:t>
            </w:r>
            <w:r w:rsidRPr="0053423A">
              <w:rPr>
                <w:rFonts w:eastAsia="Times New Roman" w:cs="Arian AMU"/>
                <w:sz w:val="20"/>
                <w:szCs w:val="20"/>
              </w:rPr>
              <w:t>իրականացվող</w:t>
            </w:r>
            <w:r w:rsidRPr="0053423A">
              <w:rPr>
                <w:rFonts w:eastAsia="Times New Roman" w:cs="Arian AMU"/>
                <w:sz w:val="20"/>
                <w:szCs w:val="20"/>
                <w:lang w:val="ru-RU"/>
              </w:rPr>
              <w:t xml:space="preserve"> </w:t>
            </w:r>
            <w:r w:rsidRPr="0053423A">
              <w:rPr>
                <w:rFonts w:eastAsia="Times New Roman" w:cs="Arian AMU"/>
                <w:sz w:val="20"/>
                <w:szCs w:val="20"/>
              </w:rPr>
              <w:t>աշխատանքների</w:t>
            </w:r>
            <w:r w:rsidRPr="0053423A">
              <w:rPr>
                <w:rFonts w:eastAsia="Times New Roman" w:cs="Arian AMU"/>
                <w:sz w:val="20"/>
                <w:szCs w:val="20"/>
                <w:lang w:val="ru-RU"/>
              </w:rPr>
              <w:t xml:space="preserve"> </w:t>
            </w:r>
            <w:r w:rsidRPr="0053423A">
              <w:rPr>
                <w:rFonts w:eastAsia="Times New Roman" w:cs="Arian AMU"/>
                <w:sz w:val="20"/>
                <w:szCs w:val="20"/>
              </w:rPr>
              <w:t>արդյունավետության</w:t>
            </w:r>
            <w:r w:rsidRPr="0053423A">
              <w:rPr>
                <w:rFonts w:eastAsia="Times New Roman" w:cs="Arian AMU"/>
                <w:sz w:val="20"/>
                <w:szCs w:val="20"/>
                <w:lang w:val="ru-RU"/>
              </w:rPr>
              <w:t xml:space="preserve"> </w:t>
            </w:r>
            <w:r w:rsidRPr="0053423A">
              <w:rPr>
                <w:rFonts w:eastAsia="Times New Roman" w:cs="Arian AMU"/>
                <w:sz w:val="20"/>
                <w:szCs w:val="20"/>
              </w:rPr>
              <w:t>բարձրացման</w:t>
            </w:r>
            <w:r w:rsidRPr="0053423A">
              <w:rPr>
                <w:rFonts w:eastAsia="Times New Roman" w:cs="Arian AMU"/>
                <w:sz w:val="20"/>
                <w:szCs w:val="20"/>
                <w:lang w:val="ru-RU"/>
              </w:rPr>
              <w:t xml:space="preserve">, </w:t>
            </w:r>
            <w:r w:rsidRPr="0053423A">
              <w:rPr>
                <w:rFonts w:eastAsia="Times New Roman" w:cs="Arian AMU"/>
                <w:sz w:val="20"/>
                <w:szCs w:val="20"/>
              </w:rPr>
              <w:t>խորհուրդների</w:t>
            </w:r>
            <w:r w:rsidRPr="0053423A">
              <w:rPr>
                <w:rFonts w:eastAsia="Times New Roman" w:cs="Arian AMU"/>
                <w:sz w:val="20"/>
                <w:szCs w:val="20"/>
                <w:lang w:val="ru-RU"/>
              </w:rPr>
              <w:t xml:space="preserve"> </w:t>
            </w:r>
            <w:r w:rsidRPr="0053423A">
              <w:rPr>
                <w:rFonts w:eastAsia="Times New Roman" w:cs="Arian AMU"/>
                <w:sz w:val="20"/>
                <w:szCs w:val="20"/>
              </w:rPr>
              <w:t>անդամների</w:t>
            </w:r>
            <w:r w:rsidRPr="0053423A">
              <w:rPr>
                <w:rFonts w:eastAsia="Times New Roman" w:cs="Arian AMU"/>
                <w:sz w:val="20"/>
                <w:szCs w:val="20"/>
                <w:lang w:val="ru-RU"/>
              </w:rPr>
              <w:t xml:space="preserve"> </w:t>
            </w:r>
            <w:r w:rsidRPr="0053423A">
              <w:rPr>
                <w:rFonts w:eastAsia="Times New Roman" w:cs="Arian AMU"/>
                <w:sz w:val="20"/>
                <w:szCs w:val="20"/>
              </w:rPr>
              <w:t>կողմից</w:t>
            </w:r>
            <w:r w:rsidRPr="0053423A">
              <w:rPr>
                <w:rFonts w:eastAsia="Times New Roman" w:cs="Arian AMU"/>
                <w:sz w:val="20"/>
                <w:szCs w:val="20"/>
                <w:lang w:val="ru-RU"/>
              </w:rPr>
              <w:t xml:space="preserve"> </w:t>
            </w:r>
            <w:r w:rsidRPr="0053423A">
              <w:rPr>
                <w:rFonts w:eastAsia="Times New Roman" w:cs="Arian AMU"/>
                <w:sz w:val="20"/>
                <w:szCs w:val="20"/>
              </w:rPr>
              <w:t>հստակ</w:t>
            </w:r>
            <w:r w:rsidRPr="0053423A">
              <w:rPr>
                <w:rFonts w:eastAsia="Times New Roman" w:cs="Arian AMU"/>
                <w:sz w:val="20"/>
                <w:szCs w:val="20"/>
                <w:lang w:val="ru-RU"/>
              </w:rPr>
              <w:t xml:space="preserve">, </w:t>
            </w:r>
            <w:r w:rsidRPr="0053423A">
              <w:rPr>
                <w:rFonts w:eastAsia="Times New Roman" w:cs="Arian AMU"/>
                <w:sz w:val="20"/>
                <w:szCs w:val="20"/>
              </w:rPr>
              <w:t>իրագործելի</w:t>
            </w:r>
            <w:r w:rsidRPr="0053423A">
              <w:rPr>
                <w:rFonts w:eastAsia="Times New Roman" w:cs="Arian AMU"/>
                <w:sz w:val="20"/>
                <w:szCs w:val="20"/>
                <w:lang w:val="ru-RU"/>
              </w:rPr>
              <w:t xml:space="preserve"> </w:t>
            </w:r>
            <w:r w:rsidRPr="0053423A">
              <w:rPr>
                <w:rFonts w:eastAsia="Times New Roman" w:cs="Arian AMU"/>
                <w:sz w:val="20"/>
                <w:szCs w:val="20"/>
              </w:rPr>
              <w:t>և</w:t>
            </w:r>
            <w:r w:rsidRPr="0053423A">
              <w:rPr>
                <w:rFonts w:eastAsia="Times New Roman" w:cs="Arian AMU"/>
                <w:sz w:val="20"/>
                <w:szCs w:val="20"/>
                <w:lang w:val="ru-RU"/>
              </w:rPr>
              <w:t xml:space="preserve"> </w:t>
            </w:r>
            <w:r w:rsidRPr="0053423A">
              <w:rPr>
                <w:rFonts w:eastAsia="Times New Roman" w:cs="Arian AMU"/>
                <w:sz w:val="20"/>
                <w:szCs w:val="20"/>
              </w:rPr>
              <w:t>իրականացման</w:t>
            </w:r>
            <w:r w:rsidRPr="0053423A">
              <w:rPr>
                <w:rFonts w:eastAsia="Times New Roman" w:cs="Arian AMU"/>
                <w:sz w:val="20"/>
                <w:szCs w:val="20"/>
                <w:lang w:val="ru-RU"/>
              </w:rPr>
              <w:t xml:space="preserve"> </w:t>
            </w:r>
            <w:r w:rsidRPr="0053423A">
              <w:rPr>
                <w:rFonts w:eastAsia="Times New Roman" w:cs="Arian AMU"/>
                <w:sz w:val="20"/>
                <w:szCs w:val="20"/>
              </w:rPr>
              <w:t>պարտադիր</w:t>
            </w:r>
            <w:r w:rsidRPr="0053423A">
              <w:rPr>
                <w:rFonts w:eastAsia="Times New Roman" w:cs="Arian AMU"/>
                <w:sz w:val="20"/>
                <w:szCs w:val="20"/>
                <w:lang w:val="ru-RU"/>
              </w:rPr>
              <w:t xml:space="preserve"> </w:t>
            </w:r>
            <w:r w:rsidRPr="0053423A">
              <w:rPr>
                <w:rFonts w:eastAsia="Times New Roman" w:cs="Arian AMU"/>
                <w:sz w:val="20"/>
                <w:szCs w:val="20"/>
              </w:rPr>
              <w:t>կատարման</w:t>
            </w:r>
            <w:r w:rsidRPr="0053423A">
              <w:rPr>
                <w:rFonts w:eastAsia="Times New Roman" w:cs="Arian AMU"/>
                <w:sz w:val="20"/>
                <w:szCs w:val="20"/>
                <w:lang w:val="ru-RU"/>
              </w:rPr>
              <w:t xml:space="preserve"> </w:t>
            </w:r>
            <w:r w:rsidRPr="0053423A">
              <w:rPr>
                <w:rFonts w:eastAsia="Times New Roman" w:cs="Arian AMU"/>
                <w:sz w:val="20"/>
                <w:szCs w:val="20"/>
              </w:rPr>
              <w:t>ենթակա</w:t>
            </w:r>
            <w:r w:rsidRPr="0053423A">
              <w:rPr>
                <w:rFonts w:eastAsia="Times New Roman" w:cs="Arian AMU"/>
                <w:sz w:val="20"/>
                <w:szCs w:val="20"/>
                <w:lang w:val="ru-RU"/>
              </w:rPr>
              <w:t xml:space="preserve"> </w:t>
            </w:r>
            <w:r w:rsidRPr="0053423A">
              <w:rPr>
                <w:rFonts w:eastAsia="Times New Roman" w:cs="Arian AMU"/>
                <w:sz w:val="20"/>
                <w:szCs w:val="20"/>
              </w:rPr>
              <w:t>լիազորություններ</w:t>
            </w:r>
            <w:r w:rsidRPr="0053423A">
              <w:rPr>
                <w:rFonts w:eastAsia="Times New Roman" w:cs="Arian AMU"/>
                <w:sz w:val="20"/>
                <w:szCs w:val="20"/>
                <w:lang w:val="ru-RU"/>
              </w:rPr>
              <w:t xml:space="preserve"> </w:t>
            </w:r>
            <w:r w:rsidRPr="0053423A">
              <w:rPr>
                <w:rFonts w:eastAsia="Times New Roman" w:cs="Arian AMU"/>
                <w:sz w:val="20"/>
                <w:szCs w:val="20"/>
              </w:rPr>
              <w:t>և</w:t>
            </w:r>
            <w:r w:rsidRPr="0053423A">
              <w:rPr>
                <w:rFonts w:eastAsia="Times New Roman" w:cs="Arian AMU"/>
                <w:sz w:val="20"/>
                <w:szCs w:val="20"/>
                <w:lang w:val="ru-RU"/>
              </w:rPr>
              <w:t xml:space="preserve"> </w:t>
            </w:r>
            <w:r w:rsidRPr="0053423A">
              <w:rPr>
                <w:rFonts w:eastAsia="Times New Roman" w:cs="Arian AMU"/>
                <w:sz w:val="20"/>
                <w:szCs w:val="20"/>
              </w:rPr>
              <w:t>պարտավորություններ</w:t>
            </w:r>
            <w:r w:rsidRPr="0053423A">
              <w:rPr>
                <w:rFonts w:eastAsia="Times New Roman" w:cs="Arian AMU"/>
                <w:sz w:val="20"/>
                <w:szCs w:val="20"/>
                <w:lang w:val="ru-RU"/>
              </w:rPr>
              <w:t xml:space="preserve"> </w:t>
            </w:r>
            <w:r w:rsidRPr="0053423A">
              <w:rPr>
                <w:rFonts w:eastAsia="Times New Roman" w:cs="Arian AMU"/>
                <w:sz w:val="20"/>
                <w:szCs w:val="20"/>
              </w:rPr>
              <w:t>սահմանելու</w:t>
            </w:r>
            <w:r w:rsidRPr="0053423A">
              <w:rPr>
                <w:rFonts w:eastAsia="Times New Roman" w:cs="Arian AMU"/>
                <w:sz w:val="20"/>
                <w:szCs w:val="20"/>
                <w:lang w:val="ru-RU"/>
              </w:rPr>
              <w:t xml:space="preserve">  </w:t>
            </w:r>
            <w:r w:rsidRPr="0053423A">
              <w:rPr>
                <w:rFonts w:eastAsia="Times New Roman" w:cs="Arian AMU"/>
                <w:sz w:val="20"/>
                <w:szCs w:val="20"/>
              </w:rPr>
              <w:t>նպատակով</w:t>
            </w:r>
            <w:r w:rsidRPr="0053423A">
              <w:rPr>
                <w:rFonts w:eastAsia="Times New Roman" w:cs="Arian AMU"/>
                <w:sz w:val="20"/>
                <w:szCs w:val="20"/>
                <w:lang w:val="ru-RU"/>
              </w:rPr>
              <w:t xml:space="preserve"> </w:t>
            </w:r>
            <w:r w:rsidRPr="0053423A">
              <w:rPr>
                <w:rFonts w:eastAsia="Times New Roman" w:cs="Arian AMU"/>
                <w:sz w:val="20"/>
                <w:szCs w:val="20"/>
              </w:rPr>
              <w:t>անհրաժեշտ</w:t>
            </w:r>
            <w:r w:rsidRPr="0053423A">
              <w:rPr>
                <w:rFonts w:eastAsia="Times New Roman" w:cs="Arian AMU"/>
                <w:sz w:val="20"/>
                <w:szCs w:val="20"/>
                <w:lang w:val="ru-RU"/>
              </w:rPr>
              <w:t xml:space="preserve"> </w:t>
            </w:r>
            <w:r w:rsidRPr="0053423A">
              <w:rPr>
                <w:rFonts w:eastAsia="Times New Roman" w:cs="Arian AMU"/>
                <w:sz w:val="20"/>
                <w:szCs w:val="20"/>
              </w:rPr>
              <w:t>է</w:t>
            </w:r>
            <w:r w:rsidRPr="0053423A">
              <w:rPr>
                <w:rFonts w:eastAsia="Times New Roman" w:cs="Arian AMU"/>
                <w:sz w:val="20"/>
                <w:szCs w:val="20"/>
                <w:lang w:val="ru-RU"/>
              </w:rPr>
              <w:t xml:space="preserve"> </w:t>
            </w:r>
            <w:r w:rsidRPr="0053423A">
              <w:rPr>
                <w:rFonts w:eastAsia="Times New Roman" w:cs="Arian AMU"/>
                <w:sz w:val="20"/>
                <w:szCs w:val="20"/>
              </w:rPr>
              <w:t>գործող</w:t>
            </w:r>
            <w:r w:rsidRPr="0053423A">
              <w:rPr>
                <w:rFonts w:eastAsia="Times New Roman" w:cs="Arian AMU"/>
                <w:sz w:val="20"/>
                <w:szCs w:val="20"/>
                <w:lang w:val="ru-RU"/>
              </w:rPr>
              <w:t xml:space="preserve"> </w:t>
            </w:r>
            <w:r w:rsidRPr="0053423A">
              <w:rPr>
                <w:rFonts w:eastAsia="Times New Roman" w:cs="Arian AMU"/>
                <w:sz w:val="20"/>
                <w:szCs w:val="20"/>
              </w:rPr>
              <w:t>իրավական</w:t>
            </w:r>
            <w:r w:rsidRPr="0053423A">
              <w:rPr>
                <w:rFonts w:eastAsia="Times New Roman" w:cs="Arian AMU"/>
                <w:sz w:val="20"/>
                <w:szCs w:val="20"/>
                <w:lang w:val="ru-RU"/>
              </w:rPr>
              <w:t xml:space="preserve"> </w:t>
            </w:r>
            <w:r w:rsidRPr="0053423A">
              <w:rPr>
                <w:rFonts w:eastAsia="Times New Roman" w:cs="Arian AMU"/>
                <w:sz w:val="20"/>
                <w:szCs w:val="20"/>
              </w:rPr>
              <w:t>կարգովորումներում</w:t>
            </w:r>
            <w:r w:rsidRPr="0053423A">
              <w:rPr>
                <w:rFonts w:eastAsia="Times New Roman" w:cs="Arian AMU"/>
                <w:sz w:val="20"/>
                <w:szCs w:val="20"/>
                <w:lang w:val="ru-RU"/>
              </w:rPr>
              <w:t xml:space="preserve"> </w:t>
            </w:r>
            <w:r w:rsidRPr="0053423A">
              <w:rPr>
                <w:rFonts w:eastAsia="Times New Roman" w:cs="Arian AMU"/>
                <w:sz w:val="20"/>
                <w:szCs w:val="20"/>
              </w:rPr>
              <w:t>իրականացնել</w:t>
            </w:r>
            <w:r w:rsidRPr="0053423A">
              <w:rPr>
                <w:rFonts w:eastAsia="Times New Roman" w:cs="Arian AMU"/>
                <w:sz w:val="20"/>
                <w:szCs w:val="20"/>
                <w:lang w:val="ru-RU"/>
              </w:rPr>
              <w:t xml:space="preserve"> </w:t>
            </w:r>
            <w:r w:rsidRPr="0053423A">
              <w:rPr>
                <w:rFonts w:eastAsia="Times New Roman" w:cs="Arian AMU"/>
                <w:sz w:val="20"/>
                <w:szCs w:val="20"/>
              </w:rPr>
              <w:t>փոփոխություններ</w:t>
            </w:r>
            <w:r w:rsidRPr="0053423A">
              <w:rPr>
                <w:rFonts w:eastAsia="Times New Roman" w:cs="Arian AMU"/>
                <w:sz w:val="20"/>
                <w:szCs w:val="20"/>
                <w:lang w:val="ru-RU"/>
              </w:rPr>
              <w:t>:</w:t>
            </w:r>
          </w:p>
          <w:p w:rsidR="00154773" w:rsidRPr="0053423A" w:rsidRDefault="00154773" w:rsidP="00154773">
            <w:pPr>
              <w:ind w:firstLine="284"/>
              <w:contextualSpacing/>
              <w:jc w:val="both"/>
              <w:rPr>
                <w:rFonts w:eastAsia="Calibri" w:cs="Arian AMU"/>
                <w:sz w:val="20"/>
                <w:szCs w:val="20"/>
                <w:lang w:val="ru-RU"/>
              </w:rPr>
            </w:pPr>
          </w:p>
          <w:p w:rsidR="00154773" w:rsidRPr="0053423A" w:rsidRDefault="00154773" w:rsidP="00154773">
            <w:pPr>
              <w:ind w:firstLine="284"/>
              <w:contextualSpacing/>
              <w:jc w:val="both"/>
              <w:rPr>
                <w:rFonts w:eastAsia="Calibri" w:cs="Arian AMU"/>
                <w:sz w:val="20"/>
                <w:szCs w:val="20"/>
                <w:highlight w:val="yellow"/>
                <w:lang w:val="ru-RU"/>
              </w:rPr>
            </w:pPr>
          </w:p>
          <w:p w:rsidR="00154773" w:rsidRPr="0053423A" w:rsidRDefault="00154773" w:rsidP="00154773">
            <w:pPr>
              <w:ind w:left="284"/>
              <w:contextualSpacing/>
              <w:jc w:val="both"/>
              <w:rPr>
                <w:rFonts w:eastAsia="Calibri" w:cs="Sylfaen"/>
                <w:b/>
                <w:sz w:val="20"/>
                <w:szCs w:val="20"/>
                <w:lang w:val="ru-RU"/>
              </w:rPr>
            </w:pPr>
            <w:r w:rsidRPr="0053423A">
              <w:rPr>
                <w:rFonts w:eastAsia="Calibri" w:cs="Sylfaen"/>
                <w:b/>
                <w:sz w:val="20"/>
                <w:szCs w:val="20"/>
                <w:lang w:val="ru-RU"/>
              </w:rPr>
              <w:t xml:space="preserve">1.1. </w:t>
            </w:r>
            <w:r w:rsidRPr="0053423A">
              <w:rPr>
                <w:rFonts w:eastAsia="Calibri" w:cs="Sylfaen"/>
                <w:b/>
                <w:sz w:val="20"/>
                <w:szCs w:val="20"/>
              </w:rPr>
              <w:t>կ</w:t>
            </w:r>
            <w:r w:rsidRPr="0053423A">
              <w:rPr>
                <w:rFonts w:eastAsia="Calibri" w:cs="Sylfaen"/>
                <w:b/>
                <w:sz w:val="20"/>
                <w:szCs w:val="20"/>
                <w:lang w:val="ru-RU"/>
              </w:rPr>
              <w:t>արգավորման հարաբերությունների ներկա վիճակը և առկա խնդիրները</w:t>
            </w:r>
          </w:p>
          <w:p w:rsidR="00154773" w:rsidRPr="0053423A" w:rsidRDefault="00154773" w:rsidP="00154773">
            <w:pPr>
              <w:ind w:left="284"/>
              <w:contextualSpacing/>
              <w:jc w:val="both"/>
              <w:rPr>
                <w:rFonts w:eastAsia="Calibri" w:cs="Sylfaen"/>
                <w:b/>
                <w:sz w:val="20"/>
                <w:szCs w:val="20"/>
                <w:lang w:val="ru-RU"/>
              </w:rPr>
            </w:pPr>
          </w:p>
          <w:p w:rsidR="00154773" w:rsidRPr="0053423A" w:rsidRDefault="00154773" w:rsidP="00154773">
            <w:pPr>
              <w:ind w:firstLine="284"/>
              <w:jc w:val="both"/>
              <w:rPr>
                <w:rFonts w:cs="Sylfaen"/>
                <w:sz w:val="20"/>
                <w:szCs w:val="20"/>
                <w:lang w:val="af-ZA"/>
              </w:rPr>
            </w:pPr>
            <w:r w:rsidRPr="0053423A">
              <w:rPr>
                <w:rFonts w:eastAsia="Times New Roman" w:cs="Times New Roman"/>
                <w:color w:val="000000"/>
                <w:sz w:val="20"/>
                <w:szCs w:val="20"/>
              </w:rPr>
              <w:t>Հանրակրթականարաբերությունների</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ներկա</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վիճակը</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և</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առկա</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խնդիրներըուրդների</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կողմից</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իրականացվող</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աշխատանքներն</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ունեն</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արդյունավետության</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բարձրացման</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խիստ</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անհրաժեշտություն</w:t>
            </w:r>
            <w:r w:rsidRPr="0053423A">
              <w:rPr>
                <w:sz w:val="20"/>
                <w:szCs w:val="20"/>
                <w:lang w:val="af-ZA"/>
              </w:rPr>
              <w:t>:</w:t>
            </w:r>
          </w:p>
          <w:p w:rsidR="00154773" w:rsidRPr="0053423A" w:rsidRDefault="00154773" w:rsidP="00154773">
            <w:pPr>
              <w:ind w:firstLine="284"/>
              <w:contextualSpacing/>
              <w:jc w:val="both"/>
              <w:rPr>
                <w:rFonts w:eastAsia="Calibri" w:cs="Sylfaen"/>
                <w:sz w:val="20"/>
                <w:szCs w:val="20"/>
                <w:lang w:val="ru-RU"/>
              </w:rPr>
            </w:pPr>
          </w:p>
          <w:p w:rsidR="00154773" w:rsidRPr="0053423A" w:rsidRDefault="00154773" w:rsidP="00154773">
            <w:pPr>
              <w:ind w:left="360"/>
              <w:contextualSpacing/>
              <w:jc w:val="both"/>
              <w:rPr>
                <w:rFonts w:eastAsia="Calibri"/>
                <w:b/>
                <w:sz w:val="20"/>
                <w:szCs w:val="20"/>
                <w:lang w:val="ru-RU"/>
              </w:rPr>
            </w:pPr>
            <w:r w:rsidRPr="0053423A">
              <w:rPr>
                <w:rFonts w:eastAsia="Calibri"/>
                <w:b/>
                <w:sz w:val="20"/>
                <w:szCs w:val="20"/>
                <w:lang w:val="ru-RU"/>
              </w:rPr>
              <w:t xml:space="preserve">1.2. </w:t>
            </w:r>
            <w:r w:rsidRPr="0053423A">
              <w:rPr>
                <w:rFonts w:eastAsia="Calibri"/>
                <w:b/>
                <w:sz w:val="20"/>
                <w:szCs w:val="20"/>
              </w:rPr>
              <w:t>առկա</w:t>
            </w:r>
            <w:r w:rsidRPr="0053423A">
              <w:rPr>
                <w:rFonts w:eastAsia="Calibri"/>
                <w:b/>
                <w:sz w:val="20"/>
                <w:szCs w:val="20"/>
                <w:lang w:val="ru-RU"/>
              </w:rPr>
              <w:t xml:space="preserve"> </w:t>
            </w:r>
            <w:r w:rsidRPr="0053423A">
              <w:rPr>
                <w:rFonts w:eastAsia="Calibri"/>
                <w:b/>
                <w:sz w:val="20"/>
                <w:szCs w:val="20"/>
              </w:rPr>
              <w:t>խնդիրների</w:t>
            </w:r>
            <w:r w:rsidRPr="0053423A">
              <w:rPr>
                <w:rFonts w:eastAsia="Calibri"/>
                <w:b/>
                <w:sz w:val="20"/>
                <w:szCs w:val="20"/>
                <w:lang w:val="ru-RU"/>
              </w:rPr>
              <w:t xml:space="preserve"> </w:t>
            </w:r>
            <w:r w:rsidRPr="0053423A">
              <w:rPr>
                <w:rFonts w:eastAsia="Calibri"/>
                <w:b/>
                <w:sz w:val="20"/>
                <w:szCs w:val="20"/>
              </w:rPr>
              <w:t>առաջարկվող</w:t>
            </w:r>
            <w:r w:rsidRPr="0053423A">
              <w:rPr>
                <w:rFonts w:eastAsia="Calibri"/>
                <w:b/>
                <w:sz w:val="20"/>
                <w:szCs w:val="20"/>
                <w:lang w:val="ru-RU"/>
              </w:rPr>
              <w:t xml:space="preserve"> </w:t>
            </w:r>
            <w:r w:rsidRPr="0053423A">
              <w:rPr>
                <w:rFonts w:eastAsia="Calibri"/>
                <w:b/>
                <w:sz w:val="20"/>
                <w:szCs w:val="20"/>
              </w:rPr>
              <w:t>լուծումները</w:t>
            </w:r>
          </w:p>
          <w:p w:rsidR="00154773" w:rsidRPr="0053423A" w:rsidRDefault="00154773" w:rsidP="00154773">
            <w:pPr>
              <w:ind w:left="360"/>
              <w:contextualSpacing/>
              <w:jc w:val="both"/>
              <w:rPr>
                <w:rFonts w:eastAsia="Calibri" w:cs="Sylfaen"/>
                <w:sz w:val="20"/>
                <w:szCs w:val="20"/>
                <w:lang w:val="ru-RU"/>
              </w:rPr>
            </w:pPr>
          </w:p>
          <w:p w:rsidR="00154773" w:rsidRPr="0053423A" w:rsidRDefault="00154773" w:rsidP="00154773">
            <w:pPr>
              <w:shd w:val="clear" w:color="auto" w:fill="FFFFFF"/>
              <w:ind w:firstLine="375"/>
              <w:jc w:val="both"/>
              <w:textAlignment w:val="baseline"/>
              <w:rPr>
                <w:rFonts w:eastAsia="Calibri" w:cs="Arian AMU"/>
                <w:sz w:val="20"/>
                <w:szCs w:val="20"/>
                <w:lang w:val="ru-RU"/>
              </w:rPr>
            </w:pPr>
            <w:r w:rsidRPr="0053423A">
              <w:rPr>
                <w:rFonts w:eastAsia="Calibri" w:cs="Arian AMU"/>
                <w:sz w:val="20"/>
                <w:szCs w:val="20"/>
              </w:rPr>
              <w:t>Իրականացնել</w:t>
            </w:r>
            <w:r w:rsidRPr="0053423A">
              <w:rPr>
                <w:rFonts w:eastAsia="Calibri" w:cs="Arian AMU"/>
                <w:sz w:val="20"/>
                <w:szCs w:val="20"/>
                <w:lang w:val="ru-RU"/>
              </w:rPr>
              <w:t xml:space="preserve"> </w:t>
            </w:r>
            <w:r w:rsidRPr="0053423A">
              <w:rPr>
                <w:rFonts w:eastAsia="Calibri" w:cs="Arian AMU"/>
                <w:sz w:val="20"/>
                <w:szCs w:val="20"/>
              </w:rPr>
              <w:t>հանրակրթական</w:t>
            </w:r>
            <w:r w:rsidRPr="0053423A">
              <w:rPr>
                <w:rFonts w:eastAsia="Calibri" w:cs="Arian AMU"/>
                <w:sz w:val="20"/>
                <w:szCs w:val="20"/>
                <w:lang w:val="ru-RU"/>
              </w:rPr>
              <w:t xml:space="preserve"> </w:t>
            </w:r>
            <w:r w:rsidRPr="0053423A">
              <w:rPr>
                <w:rFonts w:eastAsia="Calibri" w:cs="Arian AMU"/>
                <w:sz w:val="20"/>
                <w:szCs w:val="20"/>
              </w:rPr>
              <w:t>դպրոցների</w:t>
            </w:r>
            <w:r w:rsidRPr="0053423A">
              <w:rPr>
                <w:rFonts w:eastAsia="Calibri" w:cs="Arian AMU"/>
                <w:sz w:val="20"/>
                <w:szCs w:val="20"/>
                <w:lang w:val="ru-RU"/>
              </w:rPr>
              <w:t xml:space="preserve"> </w:t>
            </w:r>
            <w:r w:rsidRPr="0053423A">
              <w:rPr>
                <w:rFonts w:eastAsia="Calibri" w:cs="Arian AMU"/>
                <w:sz w:val="20"/>
                <w:szCs w:val="20"/>
              </w:rPr>
              <w:t>կոլեգիալ</w:t>
            </w:r>
            <w:r w:rsidRPr="0053423A">
              <w:rPr>
                <w:rFonts w:eastAsia="Calibri" w:cs="Arian AMU"/>
                <w:sz w:val="20"/>
                <w:szCs w:val="20"/>
                <w:lang w:val="ru-RU"/>
              </w:rPr>
              <w:t xml:space="preserve"> </w:t>
            </w:r>
            <w:r w:rsidRPr="0053423A">
              <w:rPr>
                <w:rFonts w:eastAsia="Calibri" w:cs="Arian AMU"/>
                <w:sz w:val="20"/>
                <w:szCs w:val="20"/>
              </w:rPr>
              <w:t>կառավարման</w:t>
            </w:r>
            <w:r w:rsidRPr="0053423A">
              <w:rPr>
                <w:rFonts w:eastAsia="Calibri" w:cs="Arian AMU"/>
                <w:sz w:val="20"/>
                <w:szCs w:val="20"/>
                <w:lang w:val="ru-RU"/>
              </w:rPr>
              <w:t xml:space="preserve"> </w:t>
            </w:r>
            <w:r w:rsidRPr="0053423A">
              <w:rPr>
                <w:rFonts w:eastAsia="Calibri" w:cs="Arian AMU"/>
                <w:sz w:val="20"/>
                <w:szCs w:val="20"/>
              </w:rPr>
              <w:t>մարմինների՝</w:t>
            </w:r>
            <w:r w:rsidRPr="0053423A">
              <w:rPr>
                <w:rFonts w:eastAsia="Calibri" w:cs="Arian AMU"/>
                <w:sz w:val="20"/>
                <w:szCs w:val="20"/>
                <w:lang w:val="ru-RU"/>
              </w:rPr>
              <w:t xml:space="preserve"> </w:t>
            </w:r>
            <w:r w:rsidRPr="0053423A">
              <w:rPr>
                <w:rFonts w:eastAsia="Calibri" w:cs="Arian AMU"/>
                <w:sz w:val="20"/>
                <w:szCs w:val="20"/>
              </w:rPr>
              <w:t>օրենսդրությամբ</w:t>
            </w:r>
            <w:r w:rsidRPr="0053423A">
              <w:rPr>
                <w:rFonts w:eastAsia="Calibri" w:cs="Arian AMU"/>
                <w:sz w:val="20"/>
                <w:szCs w:val="20"/>
                <w:lang w:val="ru-RU"/>
              </w:rPr>
              <w:t xml:space="preserve"> </w:t>
            </w:r>
            <w:r w:rsidRPr="0053423A">
              <w:rPr>
                <w:rFonts w:eastAsia="Calibri" w:cs="Arian AMU"/>
                <w:sz w:val="20"/>
                <w:szCs w:val="20"/>
              </w:rPr>
              <w:t>լիազորված</w:t>
            </w:r>
            <w:r w:rsidRPr="0053423A">
              <w:rPr>
                <w:rFonts w:eastAsia="Calibri" w:cs="Arian AMU"/>
                <w:sz w:val="20"/>
                <w:szCs w:val="20"/>
                <w:lang w:val="ru-RU"/>
              </w:rPr>
              <w:t xml:space="preserve"> </w:t>
            </w:r>
            <w:r w:rsidRPr="0053423A">
              <w:rPr>
                <w:rFonts w:eastAsia="Calibri" w:cs="Arian AMU"/>
                <w:sz w:val="20"/>
                <w:szCs w:val="20"/>
              </w:rPr>
              <w:t>իրավասությունների</w:t>
            </w:r>
            <w:r w:rsidRPr="0053423A">
              <w:rPr>
                <w:rFonts w:eastAsia="Calibri" w:cs="Arian AMU"/>
                <w:sz w:val="20"/>
                <w:szCs w:val="20"/>
                <w:lang w:val="ru-RU"/>
              </w:rPr>
              <w:t xml:space="preserve"> </w:t>
            </w:r>
            <w:r w:rsidRPr="0053423A">
              <w:rPr>
                <w:rFonts w:eastAsia="Calibri" w:cs="Arian AMU"/>
                <w:sz w:val="20"/>
                <w:szCs w:val="20"/>
              </w:rPr>
              <w:t>և</w:t>
            </w:r>
            <w:r w:rsidRPr="0053423A">
              <w:rPr>
                <w:rFonts w:eastAsia="Calibri" w:cs="Arian AMU"/>
                <w:sz w:val="20"/>
                <w:szCs w:val="20"/>
                <w:lang w:val="ru-RU"/>
              </w:rPr>
              <w:t xml:space="preserve"> </w:t>
            </w:r>
            <w:r w:rsidRPr="0053423A">
              <w:rPr>
                <w:rFonts w:eastAsia="Calibri" w:cs="Arian AMU"/>
                <w:sz w:val="20"/>
                <w:szCs w:val="20"/>
              </w:rPr>
              <w:t>պարտավորությունների</w:t>
            </w:r>
            <w:r w:rsidRPr="0053423A">
              <w:rPr>
                <w:rFonts w:eastAsia="Calibri" w:cs="Arian AMU"/>
                <w:sz w:val="20"/>
                <w:szCs w:val="20"/>
                <w:lang w:val="ru-RU"/>
              </w:rPr>
              <w:t xml:space="preserve"> </w:t>
            </w:r>
            <w:r w:rsidRPr="0053423A">
              <w:rPr>
                <w:rFonts w:eastAsia="Calibri" w:cs="Arian AMU"/>
                <w:sz w:val="20"/>
                <w:szCs w:val="20"/>
              </w:rPr>
              <w:t>պատշաճ</w:t>
            </w:r>
            <w:r w:rsidRPr="0053423A">
              <w:rPr>
                <w:rFonts w:eastAsia="Calibri" w:cs="Arian AMU"/>
                <w:sz w:val="20"/>
                <w:szCs w:val="20"/>
                <w:lang w:val="ru-RU"/>
              </w:rPr>
              <w:t xml:space="preserve"> </w:t>
            </w:r>
            <w:r w:rsidRPr="0053423A">
              <w:rPr>
                <w:rFonts w:eastAsia="Calibri" w:cs="Arian AMU"/>
                <w:sz w:val="20"/>
                <w:szCs w:val="20"/>
              </w:rPr>
              <w:t>կերպով</w:t>
            </w:r>
            <w:r w:rsidRPr="0053423A">
              <w:rPr>
                <w:rFonts w:eastAsia="Calibri" w:cs="Arian AMU"/>
                <w:sz w:val="20"/>
                <w:szCs w:val="20"/>
                <w:lang w:val="ru-RU"/>
              </w:rPr>
              <w:t xml:space="preserve"> </w:t>
            </w:r>
            <w:r w:rsidRPr="0053423A">
              <w:rPr>
                <w:rFonts w:eastAsia="Calibri" w:cs="Arian AMU"/>
                <w:sz w:val="20"/>
                <w:szCs w:val="20"/>
              </w:rPr>
              <w:t>իրականացման</w:t>
            </w:r>
            <w:r w:rsidRPr="0053423A">
              <w:rPr>
                <w:rFonts w:eastAsia="Calibri" w:cs="Arian AMU"/>
                <w:sz w:val="20"/>
                <w:szCs w:val="20"/>
                <w:lang w:val="ru-RU"/>
              </w:rPr>
              <w:t xml:space="preserve"> </w:t>
            </w:r>
            <w:r w:rsidRPr="0053423A">
              <w:rPr>
                <w:rFonts w:eastAsia="Calibri" w:cs="Arian AMU"/>
                <w:sz w:val="20"/>
                <w:szCs w:val="20"/>
              </w:rPr>
              <w:t>հմտություն</w:t>
            </w:r>
            <w:r w:rsidRPr="0053423A">
              <w:rPr>
                <w:rFonts w:eastAsia="Calibri" w:cs="Arian AMU"/>
                <w:sz w:val="20"/>
                <w:szCs w:val="20"/>
                <w:lang w:val="ru-RU"/>
              </w:rPr>
              <w:t xml:space="preserve"> </w:t>
            </w:r>
            <w:r w:rsidRPr="0053423A">
              <w:rPr>
                <w:rFonts w:eastAsia="Calibri" w:cs="Arian AMU"/>
                <w:sz w:val="20"/>
                <w:szCs w:val="20"/>
              </w:rPr>
              <w:t>և</w:t>
            </w:r>
            <w:r w:rsidRPr="0053423A">
              <w:rPr>
                <w:rFonts w:eastAsia="Calibri" w:cs="Arian AMU"/>
                <w:sz w:val="20"/>
                <w:szCs w:val="20"/>
                <w:lang w:val="ru-RU"/>
              </w:rPr>
              <w:t xml:space="preserve"> </w:t>
            </w:r>
            <w:r w:rsidRPr="0053423A">
              <w:rPr>
                <w:rFonts w:eastAsia="Calibri" w:cs="Arian AMU"/>
                <w:sz w:val="20"/>
                <w:szCs w:val="20"/>
              </w:rPr>
              <w:t>կարողությունների</w:t>
            </w:r>
            <w:r w:rsidRPr="0053423A">
              <w:rPr>
                <w:rFonts w:eastAsia="Calibri" w:cs="Arian AMU"/>
                <w:sz w:val="20"/>
                <w:szCs w:val="20"/>
                <w:lang w:val="ru-RU"/>
              </w:rPr>
              <w:t xml:space="preserve"> </w:t>
            </w:r>
            <w:r w:rsidRPr="0053423A">
              <w:rPr>
                <w:rFonts w:eastAsia="Calibri" w:cs="Arian AMU"/>
                <w:sz w:val="20"/>
                <w:szCs w:val="20"/>
              </w:rPr>
              <w:t>բարելավմանն</w:t>
            </w:r>
            <w:r w:rsidRPr="0053423A">
              <w:rPr>
                <w:rFonts w:eastAsia="Calibri" w:cs="Arian AMU"/>
                <w:sz w:val="20"/>
                <w:szCs w:val="20"/>
                <w:lang w:val="ru-RU"/>
              </w:rPr>
              <w:t xml:space="preserve"> </w:t>
            </w:r>
            <w:r w:rsidRPr="0053423A">
              <w:rPr>
                <w:rFonts w:eastAsia="Calibri" w:cs="Arian AMU"/>
                <w:sz w:val="20"/>
                <w:szCs w:val="20"/>
              </w:rPr>
              <w:t>ուղղված</w:t>
            </w:r>
            <w:r w:rsidRPr="0053423A">
              <w:rPr>
                <w:rFonts w:eastAsia="Calibri" w:cs="Arian AMU"/>
                <w:sz w:val="20"/>
                <w:szCs w:val="20"/>
                <w:lang w:val="ru-RU"/>
              </w:rPr>
              <w:t xml:space="preserve"> </w:t>
            </w:r>
            <w:r w:rsidRPr="0053423A">
              <w:rPr>
                <w:rFonts w:eastAsia="Calibri" w:cs="Arian AMU"/>
                <w:sz w:val="20"/>
                <w:szCs w:val="20"/>
              </w:rPr>
              <w:t>աշխատանքներ</w:t>
            </w:r>
            <w:r w:rsidRPr="0053423A">
              <w:rPr>
                <w:rFonts w:eastAsia="Calibri" w:cs="Arian AMU"/>
                <w:sz w:val="20"/>
                <w:szCs w:val="20"/>
                <w:lang w:val="ru-RU"/>
              </w:rPr>
              <w:t>:</w:t>
            </w:r>
          </w:p>
          <w:p w:rsidR="00154773" w:rsidRPr="0053423A" w:rsidRDefault="00154773" w:rsidP="00154773">
            <w:pPr>
              <w:ind w:right="35" w:firstLine="284"/>
              <w:contextualSpacing/>
              <w:jc w:val="both"/>
              <w:rPr>
                <w:rFonts w:eastAsia="Calibri"/>
                <w:b/>
                <w:sz w:val="20"/>
                <w:szCs w:val="20"/>
                <w:lang w:val="af-ZA"/>
              </w:rPr>
            </w:pPr>
            <w:r w:rsidRPr="0053423A">
              <w:rPr>
                <w:rFonts w:eastAsia="Calibri"/>
                <w:b/>
                <w:sz w:val="20"/>
                <w:szCs w:val="20"/>
                <w:lang w:val="af-ZA"/>
              </w:rPr>
              <w:t xml:space="preserve">  </w:t>
            </w:r>
          </w:p>
          <w:p w:rsidR="00154773" w:rsidRPr="0053423A" w:rsidRDefault="00154773" w:rsidP="00154773">
            <w:pPr>
              <w:ind w:firstLine="284"/>
              <w:contextualSpacing/>
              <w:jc w:val="both"/>
              <w:rPr>
                <w:rFonts w:eastAsia="Calibri" w:cs="Sylfaen"/>
                <w:b/>
                <w:sz w:val="20"/>
                <w:szCs w:val="20"/>
                <w:lang w:val="af-ZA"/>
              </w:rPr>
            </w:pPr>
            <w:r w:rsidRPr="0053423A">
              <w:rPr>
                <w:b/>
                <w:sz w:val="20"/>
                <w:szCs w:val="20"/>
                <w:lang w:val="af-ZA"/>
              </w:rPr>
              <w:t xml:space="preserve">2. </w:t>
            </w:r>
            <w:r w:rsidRPr="0053423A">
              <w:rPr>
                <w:b/>
                <w:sz w:val="20"/>
                <w:szCs w:val="20"/>
              </w:rPr>
              <w:t>Միջոցառման</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r w:rsidRPr="0053423A" w:rsidDel="00C34BAE">
              <w:rPr>
                <w:rFonts w:eastAsia="Calibri" w:cs="Sylfaen"/>
                <w:b/>
                <w:sz w:val="20"/>
                <w:szCs w:val="20"/>
                <w:lang w:val="af-ZA"/>
              </w:rPr>
              <w:t xml:space="preserve"> </w:t>
            </w:r>
            <w:r w:rsidRPr="0053423A">
              <w:rPr>
                <w:rFonts w:eastAsia="Calibri" w:cs="Sylfaen"/>
                <w:b/>
                <w:sz w:val="20"/>
                <w:szCs w:val="20"/>
                <w:lang w:val="af-ZA"/>
              </w:rPr>
              <w:t xml:space="preserve"> </w:t>
            </w:r>
          </w:p>
          <w:p w:rsidR="00154773" w:rsidRPr="0053423A" w:rsidRDefault="00154773" w:rsidP="00154773">
            <w:pPr>
              <w:ind w:firstLine="284"/>
              <w:contextualSpacing/>
              <w:jc w:val="both"/>
              <w:rPr>
                <w:rFonts w:eastAsia="Calibri" w:cs="Sylfaen"/>
                <w:b/>
                <w:sz w:val="20"/>
                <w:szCs w:val="20"/>
                <w:lang w:val="af-ZA"/>
              </w:rPr>
            </w:pPr>
          </w:p>
          <w:p w:rsidR="00154773" w:rsidRPr="0053423A" w:rsidRDefault="00154773" w:rsidP="00154773">
            <w:pPr>
              <w:jc w:val="center"/>
              <w:rPr>
                <w:rFonts w:eastAsia="Times New Roman" w:cs="Times New Roman"/>
                <w:b/>
                <w:sz w:val="20"/>
                <w:szCs w:val="20"/>
                <w:lang w:val="hy-AM"/>
              </w:rPr>
            </w:pPr>
            <w:r w:rsidRPr="0053423A">
              <w:rPr>
                <w:rFonts w:eastAsia="Calibri" w:cs="Arian AMU"/>
                <w:sz w:val="20"/>
                <w:szCs w:val="20"/>
              </w:rPr>
              <w:t>Հանրակրթական</w:t>
            </w:r>
            <w:r w:rsidRPr="0053423A">
              <w:rPr>
                <w:rFonts w:eastAsia="Calibri" w:cs="Arian AMU"/>
                <w:sz w:val="20"/>
                <w:szCs w:val="20"/>
                <w:lang w:val="af-ZA"/>
              </w:rPr>
              <w:t xml:space="preserve"> </w:t>
            </w:r>
            <w:r w:rsidRPr="0053423A">
              <w:rPr>
                <w:rFonts w:eastAsia="Calibri" w:cs="Arian AMU"/>
                <w:sz w:val="20"/>
                <w:szCs w:val="20"/>
              </w:rPr>
              <w:t>դպրոցների</w:t>
            </w:r>
            <w:r w:rsidRPr="0053423A">
              <w:rPr>
                <w:rFonts w:eastAsia="Calibri" w:cs="Arian AMU"/>
                <w:sz w:val="20"/>
                <w:szCs w:val="20"/>
                <w:lang w:val="af-ZA"/>
              </w:rPr>
              <w:t xml:space="preserve"> </w:t>
            </w:r>
            <w:r w:rsidRPr="0053423A">
              <w:rPr>
                <w:rFonts w:eastAsia="Calibri" w:cs="Arian AMU"/>
                <w:sz w:val="20"/>
                <w:szCs w:val="20"/>
              </w:rPr>
              <w:t>կոլեգիալ</w:t>
            </w:r>
            <w:r w:rsidRPr="0053423A">
              <w:rPr>
                <w:rFonts w:eastAsia="Calibri" w:cs="Arian AMU"/>
                <w:sz w:val="20"/>
                <w:szCs w:val="20"/>
                <w:lang w:val="af-ZA"/>
              </w:rPr>
              <w:t xml:space="preserve"> </w:t>
            </w:r>
            <w:r w:rsidRPr="0053423A">
              <w:rPr>
                <w:rFonts w:eastAsia="Calibri" w:cs="Arian AMU"/>
                <w:sz w:val="20"/>
                <w:szCs w:val="20"/>
              </w:rPr>
              <w:t>կառավարման</w:t>
            </w:r>
            <w:r w:rsidRPr="0053423A">
              <w:rPr>
                <w:rFonts w:eastAsia="Calibri" w:cs="Arian AMU"/>
                <w:sz w:val="20"/>
                <w:szCs w:val="20"/>
                <w:lang w:val="af-ZA"/>
              </w:rPr>
              <w:t xml:space="preserve"> </w:t>
            </w:r>
            <w:r w:rsidRPr="0053423A">
              <w:rPr>
                <w:rFonts w:eastAsia="Calibri" w:cs="Arian AMU"/>
                <w:sz w:val="20"/>
                <w:szCs w:val="20"/>
              </w:rPr>
              <w:t>մարմինների՝</w:t>
            </w:r>
            <w:r w:rsidRPr="0053423A">
              <w:rPr>
                <w:rFonts w:eastAsia="Calibri" w:cs="Arian AMU"/>
                <w:sz w:val="20"/>
                <w:szCs w:val="20"/>
                <w:lang w:val="af-ZA"/>
              </w:rPr>
              <w:t xml:space="preserve"> </w:t>
            </w:r>
            <w:r w:rsidRPr="0053423A">
              <w:rPr>
                <w:rFonts w:eastAsia="Calibri" w:cs="Arian AMU"/>
                <w:sz w:val="20"/>
                <w:szCs w:val="20"/>
              </w:rPr>
              <w:t>խորհուրդների</w:t>
            </w:r>
            <w:r w:rsidRPr="0053423A">
              <w:rPr>
                <w:rFonts w:eastAsia="Calibri" w:cs="Arian AMU"/>
                <w:sz w:val="20"/>
                <w:szCs w:val="20"/>
                <w:lang w:val="af-ZA"/>
              </w:rPr>
              <w:t xml:space="preserve"> </w:t>
            </w:r>
            <w:r w:rsidRPr="0053423A">
              <w:rPr>
                <w:rFonts w:eastAsia="Calibri" w:cs="Arian AMU"/>
                <w:sz w:val="20"/>
                <w:szCs w:val="20"/>
              </w:rPr>
              <w:t>կողմից</w:t>
            </w:r>
            <w:r w:rsidRPr="0053423A">
              <w:rPr>
                <w:rFonts w:eastAsia="Calibri" w:cs="Arian AMU"/>
                <w:sz w:val="20"/>
                <w:szCs w:val="20"/>
                <w:lang w:val="af-ZA"/>
              </w:rPr>
              <w:t xml:space="preserve"> </w:t>
            </w:r>
            <w:r w:rsidRPr="0053423A">
              <w:rPr>
                <w:rFonts w:eastAsia="Calibri" w:cs="Arian AMU"/>
                <w:sz w:val="20"/>
                <w:szCs w:val="20"/>
              </w:rPr>
              <w:t>օրենսդրությամբ</w:t>
            </w:r>
            <w:r w:rsidRPr="0053423A">
              <w:rPr>
                <w:rFonts w:eastAsia="Calibri" w:cs="Arian AMU"/>
                <w:sz w:val="20"/>
                <w:szCs w:val="20"/>
                <w:lang w:val="af-ZA"/>
              </w:rPr>
              <w:t xml:space="preserve"> </w:t>
            </w:r>
            <w:r w:rsidRPr="0053423A">
              <w:rPr>
                <w:rFonts w:eastAsia="Calibri" w:cs="Arian AMU"/>
                <w:sz w:val="20"/>
                <w:szCs w:val="20"/>
              </w:rPr>
              <w:t>լիազորված</w:t>
            </w:r>
            <w:r w:rsidRPr="0053423A">
              <w:rPr>
                <w:rFonts w:eastAsia="Calibri" w:cs="Arian AMU"/>
                <w:sz w:val="20"/>
                <w:szCs w:val="20"/>
                <w:lang w:val="af-ZA"/>
              </w:rPr>
              <w:t xml:space="preserve"> </w:t>
            </w:r>
            <w:r w:rsidRPr="0053423A">
              <w:rPr>
                <w:rFonts w:eastAsia="Calibri" w:cs="Arian AMU"/>
                <w:sz w:val="20"/>
                <w:szCs w:val="20"/>
              </w:rPr>
              <w:t>իրավասությունների</w:t>
            </w:r>
            <w:r w:rsidRPr="0053423A">
              <w:rPr>
                <w:rFonts w:eastAsia="Calibri" w:cs="Arian AMU"/>
                <w:sz w:val="20"/>
                <w:szCs w:val="20"/>
                <w:lang w:val="af-ZA"/>
              </w:rPr>
              <w:t xml:space="preserve"> </w:t>
            </w:r>
            <w:r w:rsidRPr="0053423A">
              <w:rPr>
                <w:rFonts w:eastAsia="Calibri" w:cs="Arian AMU"/>
                <w:sz w:val="20"/>
                <w:szCs w:val="20"/>
              </w:rPr>
              <w:t>և</w:t>
            </w:r>
            <w:r w:rsidRPr="0053423A">
              <w:rPr>
                <w:rFonts w:eastAsia="Calibri" w:cs="Arian AMU"/>
                <w:sz w:val="20"/>
                <w:szCs w:val="20"/>
                <w:lang w:val="af-ZA"/>
              </w:rPr>
              <w:t xml:space="preserve"> </w:t>
            </w:r>
            <w:r w:rsidRPr="0053423A">
              <w:rPr>
                <w:rFonts w:eastAsia="Calibri" w:cs="Arian AMU"/>
                <w:sz w:val="20"/>
                <w:szCs w:val="20"/>
              </w:rPr>
              <w:t>պարտավորությունների</w:t>
            </w:r>
            <w:r w:rsidRPr="0053423A">
              <w:rPr>
                <w:rFonts w:eastAsia="Calibri" w:cs="Arian AMU"/>
                <w:sz w:val="20"/>
                <w:szCs w:val="20"/>
                <w:lang w:val="af-ZA"/>
              </w:rPr>
              <w:t xml:space="preserve"> </w:t>
            </w:r>
            <w:r w:rsidRPr="0053423A">
              <w:rPr>
                <w:rFonts w:eastAsia="Calibri" w:cs="Arian AMU"/>
                <w:sz w:val="20"/>
                <w:szCs w:val="20"/>
              </w:rPr>
              <w:t>պատշաճ</w:t>
            </w:r>
            <w:r w:rsidRPr="0053423A">
              <w:rPr>
                <w:rFonts w:eastAsia="Calibri" w:cs="Arian AMU"/>
                <w:sz w:val="20"/>
                <w:szCs w:val="20"/>
                <w:lang w:val="af-ZA"/>
              </w:rPr>
              <w:t xml:space="preserve"> </w:t>
            </w:r>
            <w:r w:rsidRPr="0053423A">
              <w:rPr>
                <w:rFonts w:eastAsia="Calibri" w:cs="Arian AMU"/>
                <w:sz w:val="20"/>
                <w:szCs w:val="20"/>
              </w:rPr>
              <w:t>կերպով</w:t>
            </w:r>
            <w:r w:rsidRPr="0053423A">
              <w:rPr>
                <w:rFonts w:eastAsia="Calibri" w:cs="Arian AMU"/>
                <w:sz w:val="20"/>
                <w:szCs w:val="20"/>
                <w:lang w:val="af-ZA"/>
              </w:rPr>
              <w:t xml:space="preserve"> </w:t>
            </w:r>
            <w:r w:rsidRPr="0053423A">
              <w:rPr>
                <w:rFonts w:eastAsia="Calibri" w:cs="Arian AMU"/>
                <w:sz w:val="20"/>
                <w:szCs w:val="20"/>
              </w:rPr>
              <w:t>իրականացում</w:t>
            </w:r>
            <w:r w:rsidRPr="0053423A">
              <w:rPr>
                <w:rFonts w:eastAsia="Calibri" w:cs="Arian AMU"/>
                <w:sz w:val="20"/>
                <w:szCs w:val="20"/>
                <w:lang w:val="af-ZA"/>
              </w:rPr>
              <w:t>:</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ind w:firstLine="284"/>
              <w:contextualSpacing/>
              <w:jc w:val="center"/>
              <w:rPr>
                <w:rFonts w:cs="Sylfaen"/>
                <w:b/>
                <w:sz w:val="20"/>
                <w:szCs w:val="20"/>
                <w:u w:val="single"/>
                <w:lang w:val="af-ZA"/>
              </w:rPr>
            </w:pPr>
            <w:r w:rsidRPr="0053423A">
              <w:rPr>
                <w:rFonts w:eastAsia="Times New Roman" w:cs="Times New Roman"/>
                <w:b/>
                <w:sz w:val="20"/>
                <w:szCs w:val="20"/>
                <w:u w:val="single"/>
                <w:lang w:val="hy-AM"/>
              </w:rPr>
              <w:t xml:space="preserve">3.2 </w:t>
            </w:r>
            <w:r w:rsidRPr="0053423A">
              <w:rPr>
                <w:rFonts w:cs="Sylfaen"/>
                <w:b/>
                <w:sz w:val="20"/>
                <w:szCs w:val="20"/>
                <w:u w:val="single"/>
                <w:lang w:val="hy-AM"/>
              </w:rPr>
              <w:t xml:space="preserve">Հանրակրթական դպրոցների կառավարման օրենսդրական դաշտի վերանայում, այդ թվում՝ </w:t>
            </w:r>
            <w:r w:rsidRPr="0053423A">
              <w:rPr>
                <w:b/>
                <w:sz w:val="20"/>
                <w:szCs w:val="20"/>
                <w:u w:val="single"/>
                <w:lang w:val="hy-AM"/>
              </w:rPr>
              <w:t xml:space="preserve">«Հանրակրթության մասին» ՀՀ օրենքի, </w:t>
            </w:r>
            <w:r w:rsidRPr="0053423A">
              <w:rPr>
                <w:rFonts w:cs="Sylfaen"/>
                <w:b/>
                <w:sz w:val="20"/>
                <w:szCs w:val="20"/>
                <w:u w:val="single"/>
                <w:lang w:val="hy-AM"/>
              </w:rPr>
              <w:t>օրինակելի կանոնադրության</w:t>
            </w:r>
            <w:r w:rsidRPr="0053423A">
              <w:rPr>
                <w:b/>
                <w:sz w:val="20"/>
                <w:szCs w:val="20"/>
                <w:u w:val="single"/>
                <w:lang w:val="hy-AM"/>
              </w:rPr>
              <w:t xml:space="preserve">, կառավարման </w:t>
            </w:r>
            <w:r w:rsidRPr="0053423A">
              <w:rPr>
                <w:rFonts w:cs="Sylfaen"/>
                <w:b/>
                <w:sz w:val="20"/>
                <w:szCs w:val="20"/>
                <w:u w:val="single"/>
                <w:lang w:val="hy-AM"/>
              </w:rPr>
              <w:t>խորհուրդների ձևավորման կարգի</w:t>
            </w:r>
            <w:r w:rsidRPr="0053423A">
              <w:rPr>
                <w:b/>
                <w:sz w:val="20"/>
                <w:szCs w:val="20"/>
                <w:u w:val="single"/>
                <w:lang w:val="hy-AM"/>
              </w:rPr>
              <w:t xml:space="preserve">, </w:t>
            </w:r>
            <w:r w:rsidRPr="0053423A">
              <w:rPr>
                <w:rFonts w:cs="Sylfaen"/>
                <w:b/>
                <w:sz w:val="20"/>
                <w:szCs w:val="20"/>
                <w:u w:val="single"/>
                <w:lang w:val="hy-AM"/>
              </w:rPr>
              <w:t>տնօրենների հավաստագրման և նշանակման կարգի, այլ իրավական ակտերի վերանայում և հաստատում</w:t>
            </w:r>
          </w:p>
          <w:p w:rsidR="00154773" w:rsidRPr="0053423A" w:rsidRDefault="00154773" w:rsidP="00154773">
            <w:pPr>
              <w:ind w:firstLine="284"/>
              <w:contextualSpacing/>
              <w:jc w:val="both"/>
              <w:rPr>
                <w:rFonts w:eastAsia="Calibri" w:cs="Sylfaen"/>
                <w:b/>
                <w:sz w:val="20"/>
                <w:szCs w:val="20"/>
                <w:u w:val="single"/>
                <w:lang w:val="af-ZA"/>
              </w:rPr>
            </w:pPr>
          </w:p>
          <w:p w:rsidR="00154773" w:rsidRPr="0053423A" w:rsidRDefault="00154773" w:rsidP="00154773">
            <w:pPr>
              <w:ind w:left="284"/>
              <w:contextualSpacing/>
              <w:jc w:val="both"/>
              <w:rPr>
                <w:rFonts w:eastAsia="Calibri"/>
                <w:b/>
                <w:sz w:val="20"/>
                <w:szCs w:val="20"/>
                <w:lang w:val="af-ZA"/>
              </w:rPr>
            </w:pPr>
            <w:r w:rsidRPr="0053423A">
              <w:rPr>
                <w:rFonts w:eastAsia="Calibri" w:cs="Sylfaen"/>
                <w:b/>
                <w:sz w:val="20"/>
                <w:szCs w:val="20"/>
                <w:lang w:val="af-ZA"/>
              </w:rPr>
              <w:t xml:space="preserve">1. </w:t>
            </w:r>
            <w:r w:rsidRPr="0053423A">
              <w:rPr>
                <w:rFonts w:eastAsia="Calibri" w:cs="Sylfaen"/>
                <w:b/>
                <w:sz w:val="20"/>
                <w:szCs w:val="20"/>
                <w:lang w:val="ru-RU"/>
              </w:rPr>
              <w:t>Միջոցառման</w:t>
            </w:r>
            <w:r w:rsidRPr="0053423A">
              <w:rPr>
                <w:rFonts w:eastAsia="Calibri" w:cs="Sylfaen"/>
                <w:b/>
                <w:sz w:val="20"/>
                <w:szCs w:val="20"/>
                <w:lang w:val="af-ZA"/>
              </w:rPr>
              <w:t xml:space="preserve"> </w:t>
            </w:r>
            <w:r w:rsidRPr="0053423A">
              <w:rPr>
                <w:rFonts w:eastAsia="Calibri" w:cs="Sylfaen"/>
                <w:b/>
                <w:sz w:val="20"/>
                <w:szCs w:val="20"/>
              </w:rPr>
              <w:t>իրականացման</w:t>
            </w:r>
            <w:r w:rsidRPr="0053423A">
              <w:rPr>
                <w:rFonts w:eastAsia="Calibri" w:cs="Sylfaen"/>
                <w:b/>
                <w:sz w:val="20"/>
                <w:szCs w:val="20"/>
                <w:lang w:val="af-ZA"/>
              </w:rPr>
              <w:t xml:space="preserve"> </w:t>
            </w:r>
            <w:r w:rsidRPr="0053423A">
              <w:rPr>
                <w:rFonts w:eastAsia="Calibri" w:cs="Sylfaen"/>
                <w:b/>
                <w:sz w:val="20"/>
                <w:szCs w:val="20"/>
              </w:rPr>
              <w:t>անհրաժեշտությունը</w:t>
            </w:r>
            <w:r w:rsidRPr="0053423A">
              <w:rPr>
                <w:rFonts w:eastAsia="Calibri"/>
                <w:b/>
                <w:sz w:val="20"/>
                <w:szCs w:val="20"/>
                <w:lang w:val="af-ZA"/>
              </w:rPr>
              <w:t xml:space="preserve"> </w:t>
            </w:r>
            <w:r w:rsidRPr="0053423A">
              <w:rPr>
                <w:rFonts w:eastAsia="Calibri"/>
                <w:b/>
                <w:sz w:val="20"/>
                <w:szCs w:val="20"/>
                <w:lang w:val="ru-RU"/>
              </w:rPr>
              <w:t>և</w:t>
            </w:r>
            <w:r w:rsidRPr="0053423A">
              <w:rPr>
                <w:rFonts w:eastAsia="Calibri"/>
                <w:b/>
                <w:sz w:val="20"/>
                <w:szCs w:val="20"/>
                <w:lang w:val="af-ZA"/>
              </w:rPr>
              <w:t xml:space="preserve"> </w:t>
            </w:r>
            <w:r w:rsidRPr="0053423A">
              <w:rPr>
                <w:rFonts w:eastAsia="Calibri" w:cs="Sylfaen"/>
                <w:b/>
                <w:sz w:val="20"/>
                <w:szCs w:val="20"/>
              </w:rPr>
              <w:t>նպատակը</w:t>
            </w:r>
          </w:p>
          <w:p w:rsidR="00154773" w:rsidRPr="0053423A" w:rsidRDefault="00154773" w:rsidP="00154773">
            <w:pPr>
              <w:rPr>
                <w:sz w:val="20"/>
                <w:szCs w:val="20"/>
                <w:highlight w:val="yellow"/>
                <w:lang w:val="af-ZA"/>
              </w:rPr>
            </w:pPr>
          </w:p>
          <w:p w:rsidR="00154773" w:rsidRPr="0053423A" w:rsidRDefault="00154773" w:rsidP="00154773">
            <w:pPr>
              <w:shd w:val="clear" w:color="auto" w:fill="FFFFFF"/>
              <w:ind w:firstLine="360"/>
              <w:jc w:val="both"/>
              <w:textAlignment w:val="baseline"/>
              <w:rPr>
                <w:spacing w:val="-4"/>
                <w:sz w:val="20"/>
                <w:szCs w:val="20"/>
                <w:lang w:val="af-ZA"/>
              </w:rPr>
            </w:pPr>
            <w:r w:rsidRPr="0053423A">
              <w:rPr>
                <w:spacing w:val="-4"/>
                <w:sz w:val="20"/>
                <w:szCs w:val="20"/>
              </w:rPr>
              <w:t>Միջոցառման</w:t>
            </w:r>
            <w:r w:rsidRPr="0053423A">
              <w:rPr>
                <w:spacing w:val="-4"/>
                <w:sz w:val="20"/>
                <w:szCs w:val="20"/>
                <w:lang w:val="af-ZA"/>
              </w:rPr>
              <w:t xml:space="preserve"> </w:t>
            </w:r>
            <w:r w:rsidRPr="0053423A">
              <w:rPr>
                <w:spacing w:val="-4"/>
                <w:sz w:val="20"/>
                <w:szCs w:val="20"/>
              </w:rPr>
              <w:t>գլխավոր</w:t>
            </w:r>
            <w:r w:rsidRPr="0053423A">
              <w:rPr>
                <w:spacing w:val="-4"/>
                <w:sz w:val="20"/>
                <w:szCs w:val="20"/>
                <w:lang w:val="af-ZA"/>
              </w:rPr>
              <w:t xml:space="preserve"> </w:t>
            </w:r>
            <w:r w:rsidRPr="0053423A">
              <w:rPr>
                <w:spacing w:val="-4"/>
                <w:sz w:val="20"/>
                <w:szCs w:val="20"/>
              </w:rPr>
              <w:t>նպատակն</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կրթության</w:t>
            </w:r>
            <w:r w:rsidRPr="0053423A">
              <w:rPr>
                <w:spacing w:val="-4"/>
                <w:sz w:val="20"/>
                <w:szCs w:val="20"/>
                <w:lang w:val="af-ZA"/>
              </w:rPr>
              <w:t xml:space="preserve"> </w:t>
            </w:r>
            <w:r w:rsidRPr="0053423A">
              <w:rPr>
                <w:spacing w:val="-4"/>
                <w:sz w:val="20"/>
                <w:szCs w:val="20"/>
              </w:rPr>
              <w:t>համակարգի</w:t>
            </w:r>
            <w:r w:rsidRPr="0053423A">
              <w:rPr>
                <w:spacing w:val="-4"/>
                <w:sz w:val="20"/>
                <w:szCs w:val="20"/>
                <w:lang w:val="af-ZA"/>
              </w:rPr>
              <w:t xml:space="preserve"> </w:t>
            </w:r>
            <w:r w:rsidRPr="0053423A">
              <w:rPr>
                <w:spacing w:val="-4"/>
                <w:sz w:val="20"/>
                <w:szCs w:val="20"/>
              </w:rPr>
              <w:t>կառավարման</w:t>
            </w:r>
            <w:r w:rsidRPr="0053423A">
              <w:rPr>
                <w:spacing w:val="-4"/>
                <w:sz w:val="20"/>
                <w:szCs w:val="20"/>
                <w:lang w:val="af-ZA"/>
              </w:rPr>
              <w:t xml:space="preserve"> </w:t>
            </w:r>
            <w:r w:rsidRPr="0053423A">
              <w:rPr>
                <w:spacing w:val="-4"/>
                <w:sz w:val="20"/>
                <w:szCs w:val="20"/>
              </w:rPr>
              <w:t>արդյունավետության</w:t>
            </w:r>
            <w:r w:rsidRPr="0053423A">
              <w:rPr>
                <w:spacing w:val="-4"/>
                <w:sz w:val="20"/>
                <w:szCs w:val="20"/>
                <w:lang w:val="af-ZA"/>
              </w:rPr>
              <w:t xml:space="preserve"> </w:t>
            </w:r>
            <w:r w:rsidRPr="0053423A">
              <w:rPr>
                <w:spacing w:val="-4"/>
                <w:sz w:val="20"/>
                <w:szCs w:val="20"/>
              </w:rPr>
              <w:t>բարձրացումը</w:t>
            </w:r>
            <w:r w:rsidRPr="0053423A">
              <w:rPr>
                <w:spacing w:val="-4"/>
                <w:sz w:val="20"/>
                <w:szCs w:val="20"/>
                <w:lang w:val="af-ZA"/>
              </w:rPr>
              <w:t xml:space="preserve">: </w:t>
            </w:r>
          </w:p>
          <w:p w:rsidR="00154773" w:rsidRPr="0053423A" w:rsidRDefault="00154773" w:rsidP="00154773">
            <w:pPr>
              <w:jc w:val="both"/>
              <w:rPr>
                <w:rFonts w:eastAsia="Times New Roman" w:cs="Times New Roman"/>
                <w:color w:val="000000"/>
                <w:sz w:val="20"/>
                <w:szCs w:val="20"/>
                <w:lang w:val="af-ZA"/>
              </w:rPr>
            </w:pPr>
            <w:r w:rsidRPr="0053423A">
              <w:rPr>
                <w:spacing w:val="-4"/>
                <w:sz w:val="20"/>
                <w:szCs w:val="20"/>
              </w:rPr>
              <w:t>Միջոցառումների</w:t>
            </w:r>
            <w:r w:rsidRPr="0053423A">
              <w:rPr>
                <w:spacing w:val="-4"/>
                <w:sz w:val="20"/>
                <w:szCs w:val="20"/>
                <w:lang w:val="af-ZA"/>
              </w:rPr>
              <w:t xml:space="preserve"> </w:t>
            </w:r>
            <w:r w:rsidRPr="0053423A">
              <w:rPr>
                <w:spacing w:val="-4"/>
                <w:sz w:val="20"/>
                <w:szCs w:val="20"/>
              </w:rPr>
              <w:t>անհրաժեշտությունը</w:t>
            </w:r>
            <w:r w:rsidRPr="0053423A">
              <w:rPr>
                <w:spacing w:val="-4"/>
                <w:sz w:val="20"/>
                <w:szCs w:val="20"/>
                <w:lang w:val="af-ZA"/>
              </w:rPr>
              <w:t xml:space="preserve"> </w:t>
            </w:r>
            <w:r w:rsidRPr="0053423A">
              <w:rPr>
                <w:spacing w:val="-4"/>
                <w:sz w:val="20"/>
                <w:szCs w:val="20"/>
              </w:rPr>
              <w:t>բխում</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ԱԺ</w:t>
            </w:r>
            <w:r w:rsidRPr="0053423A">
              <w:rPr>
                <w:spacing w:val="-4"/>
                <w:sz w:val="20"/>
                <w:szCs w:val="20"/>
                <w:lang w:val="af-ZA"/>
              </w:rPr>
              <w:t xml:space="preserve"> 2019 </w:t>
            </w:r>
            <w:r w:rsidRPr="0053423A">
              <w:rPr>
                <w:spacing w:val="-4"/>
                <w:sz w:val="20"/>
                <w:szCs w:val="20"/>
              </w:rPr>
              <w:t>թվականի</w:t>
            </w:r>
            <w:r w:rsidRPr="0053423A">
              <w:rPr>
                <w:spacing w:val="-4"/>
                <w:sz w:val="20"/>
                <w:szCs w:val="20"/>
                <w:lang w:val="af-ZA"/>
              </w:rPr>
              <w:t xml:space="preserve"> </w:t>
            </w:r>
            <w:r w:rsidRPr="0053423A">
              <w:rPr>
                <w:spacing w:val="-4"/>
                <w:sz w:val="20"/>
                <w:szCs w:val="20"/>
              </w:rPr>
              <w:t>փետրվարի</w:t>
            </w:r>
            <w:r w:rsidRPr="0053423A">
              <w:rPr>
                <w:spacing w:val="-4"/>
                <w:sz w:val="20"/>
                <w:szCs w:val="20"/>
                <w:lang w:val="af-ZA"/>
              </w:rPr>
              <w:t xml:space="preserve"> 14-</w:t>
            </w:r>
            <w:r w:rsidRPr="0053423A">
              <w:rPr>
                <w:spacing w:val="-4"/>
                <w:sz w:val="20"/>
                <w:szCs w:val="20"/>
              </w:rPr>
              <w:t>ի</w:t>
            </w:r>
            <w:r w:rsidRPr="0053423A">
              <w:rPr>
                <w:spacing w:val="-4"/>
                <w:sz w:val="20"/>
                <w:szCs w:val="20"/>
                <w:lang w:val="af-ZA"/>
              </w:rPr>
              <w:t xml:space="preserve"> </w:t>
            </w:r>
            <w:r w:rsidRPr="0053423A">
              <w:rPr>
                <w:spacing w:val="-4"/>
                <w:sz w:val="20"/>
                <w:szCs w:val="20"/>
              </w:rPr>
              <w:t>ԱԺՈ</w:t>
            </w:r>
            <w:r w:rsidRPr="0053423A">
              <w:rPr>
                <w:spacing w:val="-4"/>
                <w:sz w:val="20"/>
                <w:szCs w:val="20"/>
                <w:lang w:val="af-ZA"/>
              </w:rPr>
              <w:t>-002-</w:t>
            </w:r>
            <w:r w:rsidRPr="0053423A">
              <w:rPr>
                <w:spacing w:val="-4"/>
                <w:sz w:val="20"/>
                <w:szCs w:val="20"/>
              </w:rPr>
              <w:t>Ն</w:t>
            </w:r>
            <w:r w:rsidRPr="0053423A">
              <w:rPr>
                <w:spacing w:val="-4"/>
                <w:sz w:val="20"/>
                <w:szCs w:val="20"/>
                <w:lang w:val="af-ZA"/>
              </w:rPr>
              <w:t xml:space="preserve"> </w:t>
            </w:r>
            <w:r w:rsidRPr="0053423A">
              <w:rPr>
                <w:spacing w:val="-4"/>
                <w:sz w:val="20"/>
                <w:szCs w:val="20"/>
              </w:rPr>
              <w:t>որոշմամբ</w:t>
            </w:r>
            <w:r w:rsidRPr="0053423A">
              <w:rPr>
                <w:spacing w:val="-4"/>
                <w:sz w:val="20"/>
                <w:szCs w:val="20"/>
                <w:lang w:val="af-ZA"/>
              </w:rPr>
              <w:t xml:space="preserve"> </w:t>
            </w:r>
            <w:r w:rsidRPr="0053423A">
              <w:rPr>
                <w:spacing w:val="-4"/>
                <w:sz w:val="20"/>
                <w:szCs w:val="20"/>
              </w:rPr>
              <w:t>հավանության</w:t>
            </w:r>
            <w:r w:rsidRPr="0053423A">
              <w:rPr>
                <w:spacing w:val="-4"/>
                <w:sz w:val="20"/>
                <w:szCs w:val="20"/>
                <w:lang w:val="af-ZA"/>
              </w:rPr>
              <w:t xml:space="preserve"> </w:t>
            </w:r>
            <w:r w:rsidRPr="0053423A">
              <w:rPr>
                <w:spacing w:val="-4"/>
                <w:sz w:val="20"/>
                <w:szCs w:val="20"/>
              </w:rPr>
              <w:t>արժանացած</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կառավարության</w:t>
            </w:r>
            <w:r w:rsidRPr="0053423A">
              <w:rPr>
                <w:spacing w:val="-4"/>
                <w:sz w:val="20"/>
                <w:szCs w:val="20"/>
                <w:lang w:val="af-ZA"/>
              </w:rPr>
              <w:t xml:space="preserve"> </w:t>
            </w:r>
            <w:r w:rsidRPr="0053423A">
              <w:rPr>
                <w:spacing w:val="-4"/>
                <w:sz w:val="20"/>
                <w:szCs w:val="20"/>
              </w:rPr>
              <w:t>ծրագրի</w:t>
            </w:r>
            <w:r w:rsidRPr="0053423A">
              <w:rPr>
                <w:spacing w:val="-4"/>
                <w:sz w:val="20"/>
                <w:szCs w:val="20"/>
                <w:lang w:val="af-ZA"/>
              </w:rPr>
              <w:t xml:space="preserve"> </w:t>
            </w:r>
            <w:r w:rsidRPr="0053423A">
              <w:rPr>
                <w:rFonts w:eastAsia="Times New Roman" w:cs="Times New Roman"/>
                <w:sz w:val="20"/>
                <w:szCs w:val="20"/>
                <w:lang w:val="af-ZA"/>
              </w:rPr>
              <w:t>«</w:t>
            </w:r>
            <w:r w:rsidRPr="0053423A">
              <w:rPr>
                <w:spacing w:val="-4"/>
                <w:sz w:val="20"/>
                <w:szCs w:val="20"/>
                <w:lang w:val="af-ZA"/>
              </w:rPr>
              <w:t xml:space="preserve">4.4 </w:t>
            </w:r>
            <w:r w:rsidRPr="0053423A">
              <w:rPr>
                <w:spacing w:val="-4"/>
                <w:sz w:val="20"/>
                <w:szCs w:val="20"/>
              </w:rPr>
              <w:t>ԿՐԹՈՒԹՅՈՒՆ</w:t>
            </w:r>
            <w:r w:rsidRPr="0053423A">
              <w:rPr>
                <w:spacing w:val="-4"/>
                <w:sz w:val="20"/>
                <w:szCs w:val="20"/>
                <w:lang w:val="af-ZA"/>
              </w:rPr>
              <w:t xml:space="preserve"> </w:t>
            </w:r>
            <w:r w:rsidRPr="0053423A">
              <w:rPr>
                <w:spacing w:val="-4"/>
                <w:sz w:val="20"/>
                <w:szCs w:val="20"/>
              </w:rPr>
              <w:t>ԵՎ</w:t>
            </w:r>
            <w:r w:rsidRPr="0053423A">
              <w:rPr>
                <w:spacing w:val="-4"/>
                <w:sz w:val="20"/>
                <w:szCs w:val="20"/>
                <w:lang w:val="af-ZA"/>
              </w:rPr>
              <w:t xml:space="preserve"> </w:t>
            </w:r>
            <w:r w:rsidRPr="0053423A">
              <w:rPr>
                <w:spacing w:val="-4"/>
                <w:sz w:val="20"/>
                <w:szCs w:val="20"/>
              </w:rPr>
              <w:t>ԳԻՏՈՒԹՅՈՒՆ</w:t>
            </w:r>
            <w:r w:rsidRPr="0053423A">
              <w:rPr>
                <w:rFonts w:eastAsia="Times New Roman" w:cs="Times New Roman"/>
                <w:sz w:val="20"/>
                <w:szCs w:val="20"/>
                <w:lang w:val="af-ZA"/>
              </w:rPr>
              <w:t xml:space="preserve">»  </w:t>
            </w:r>
            <w:r w:rsidRPr="0053423A">
              <w:rPr>
                <w:rFonts w:eastAsia="Calibri" w:cs="Sylfaen"/>
                <w:sz w:val="20"/>
                <w:szCs w:val="20"/>
                <w:lang w:val="hy-AM"/>
              </w:rPr>
              <w:t>բաժնի</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Հանրակրթության</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ոլորտում</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սահմանված</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Կառավարության</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ծրագրային</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նպատակներից</w:t>
            </w:r>
            <w:r w:rsidRPr="0053423A">
              <w:rPr>
                <w:rFonts w:eastAsia="Times New Roman" w:cs="Times New Roman"/>
                <w:color w:val="000000"/>
                <w:sz w:val="20"/>
                <w:szCs w:val="20"/>
                <w:lang w:val="af-ZA"/>
              </w:rPr>
              <w:t>:</w:t>
            </w:r>
          </w:p>
          <w:p w:rsidR="00154773" w:rsidRPr="0053423A" w:rsidRDefault="00154773" w:rsidP="00154773">
            <w:pPr>
              <w:jc w:val="both"/>
              <w:rPr>
                <w:sz w:val="20"/>
                <w:szCs w:val="20"/>
                <w:highlight w:val="yellow"/>
                <w:lang w:val="af-ZA"/>
              </w:rPr>
            </w:pPr>
            <w:r w:rsidRPr="0053423A">
              <w:rPr>
                <w:color w:val="000000" w:themeColor="text1"/>
                <w:sz w:val="20"/>
                <w:szCs w:val="20"/>
                <w:lang w:val="af-ZA"/>
              </w:rPr>
              <w:t xml:space="preserve">     </w:t>
            </w:r>
            <w:r w:rsidRPr="0053423A">
              <w:rPr>
                <w:color w:val="000000" w:themeColor="text1"/>
                <w:sz w:val="20"/>
                <w:szCs w:val="20"/>
              </w:rPr>
              <w:t>Կրթության</w:t>
            </w:r>
            <w:r w:rsidRPr="0053423A">
              <w:rPr>
                <w:color w:val="000000" w:themeColor="text1"/>
                <w:sz w:val="20"/>
                <w:szCs w:val="20"/>
                <w:lang w:val="af-ZA"/>
              </w:rPr>
              <w:t xml:space="preserve"> </w:t>
            </w:r>
            <w:r w:rsidRPr="0053423A">
              <w:rPr>
                <w:color w:val="000000" w:themeColor="text1"/>
                <w:sz w:val="20"/>
                <w:szCs w:val="20"/>
              </w:rPr>
              <w:t>կազմակերպման</w:t>
            </w:r>
            <w:r w:rsidRPr="0053423A">
              <w:rPr>
                <w:color w:val="000000" w:themeColor="text1"/>
                <w:sz w:val="20"/>
                <w:szCs w:val="20"/>
                <w:lang w:val="af-ZA"/>
              </w:rPr>
              <w:t xml:space="preserve"> </w:t>
            </w:r>
            <w:r w:rsidRPr="0053423A">
              <w:rPr>
                <w:color w:val="000000" w:themeColor="text1"/>
                <w:sz w:val="20"/>
                <w:szCs w:val="20"/>
              </w:rPr>
              <w:t>արդյունավետության</w:t>
            </w:r>
            <w:r w:rsidRPr="0053423A">
              <w:rPr>
                <w:color w:val="000000" w:themeColor="text1"/>
                <w:sz w:val="20"/>
                <w:szCs w:val="20"/>
                <w:lang w:val="af-ZA"/>
              </w:rPr>
              <w:t xml:space="preserve"> </w:t>
            </w:r>
            <w:r w:rsidRPr="0053423A">
              <w:rPr>
                <w:color w:val="000000" w:themeColor="text1"/>
                <w:sz w:val="20"/>
                <w:szCs w:val="20"/>
              </w:rPr>
              <w:t>բարձրացման</w:t>
            </w:r>
            <w:r w:rsidRPr="0053423A">
              <w:rPr>
                <w:color w:val="000000" w:themeColor="text1"/>
                <w:sz w:val="20"/>
                <w:szCs w:val="20"/>
                <w:lang w:val="af-ZA"/>
              </w:rPr>
              <w:t xml:space="preserve"> </w:t>
            </w:r>
            <w:r w:rsidRPr="0053423A">
              <w:rPr>
                <w:color w:val="000000" w:themeColor="text1"/>
                <w:sz w:val="20"/>
                <w:szCs w:val="20"/>
              </w:rPr>
              <w:t>և</w:t>
            </w:r>
            <w:r w:rsidRPr="0053423A">
              <w:rPr>
                <w:color w:val="000000" w:themeColor="text1"/>
                <w:sz w:val="20"/>
                <w:szCs w:val="20"/>
                <w:lang w:val="af-ZA"/>
              </w:rPr>
              <w:t xml:space="preserve"> </w:t>
            </w:r>
            <w:r w:rsidRPr="0053423A">
              <w:rPr>
                <w:color w:val="000000" w:themeColor="text1"/>
                <w:sz w:val="20"/>
                <w:szCs w:val="20"/>
              </w:rPr>
              <w:t>հանրակրթության</w:t>
            </w:r>
            <w:r w:rsidRPr="0053423A">
              <w:rPr>
                <w:color w:val="000000" w:themeColor="text1"/>
                <w:sz w:val="20"/>
                <w:szCs w:val="20"/>
                <w:lang w:val="af-ZA"/>
              </w:rPr>
              <w:t xml:space="preserve"> </w:t>
            </w:r>
            <w:r w:rsidRPr="0053423A">
              <w:rPr>
                <w:color w:val="000000" w:themeColor="text1"/>
                <w:sz w:val="20"/>
                <w:szCs w:val="20"/>
              </w:rPr>
              <w:t>ոլորտը</w:t>
            </w:r>
            <w:r w:rsidRPr="0053423A">
              <w:rPr>
                <w:color w:val="000000" w:themeColor="text1"/>
                <w:sz w:val="20"/>
                <w:szCs w:val="20"/>
                <w:lang w:val="af-ZA"/>
              </w:rPr>
              <w:t xml:space="preserve"> </w:t>
            </w:r>
            <w:r w:rsidRPr="0053423A">
              <w:rPr>
                <w:color w:val="000000" w:themeColor="text1"/>
                <w:sz w:val="20"/>
                <w:szCs w:val="20"/>
              </w:rPr>
              <w:t>կարգավորող</w:t>
            </w:r>
            <w:r w:rsidRPr="0053423A">
              <w:rPr>
                <w:color w:val="000000" w:themeColor="text1"/>
                <w:sz w:val="20"/>
                <w:szCs w:val="20"/>
                <w:lang w:val="af-ZA"/>
              </w:rPr>
              <w:t xml:space="preserve"> </w:t>
            </w:r>
            <w:r w:rsidRPr="0053423A">
              <w:rPr>
                <w:color w:val="000000" w:themeColor="text1"/>
                <w:sz w:val="20"/>
                <w:szCs w:val="20"/>
              </w:rPr>
              <w:t>իրավական</w:t>
            </w:r>
            <w:r w:rsidRPr="0053423A">
              <w:rPr>
                <w:color w:val="000000" w:themeColor="text1"/>
                <w:sz w:val="20"/>
                <w:szCs w:val="20"/>
                <w:lang w:val="af-ZA"/>
              </w:rPr>
              <w:t xml:space="preserve"> </w:t>
            </w:r>
            <w:r w:rsidRPr="0053423A">
              <w:rPr>
                <w:color w:val="000000" w:themeColor="text1"/>
                <w:sz w:val="20"/>
                <w:szCs w:val="20"/>
              </w:rPr>
              <w:t>ակտերի</w:t>
            </w:r>
            <w:r w:rsidRPr="0053423A">
              <w:rPr>
                <w:color w:val="000000" w:themeColor="text1"/>
                <w:sz w:val="20"/>
                <w:szCs w:val="20"/>
                <w:lang w:val="af-ZA"/>
              </w:rPr>
              <w:t xml:space="preserve"> </w:t>
            </w:r>
            <w:r w:rsidRPr="0053423A">
              <w:rPr>
                <w:color w:val="000000" w:themeColor="text1"/>
                <w:sz w:val="20"/>
                <w:szCs w:val="20"/>
              </w:rPr>
              <w:t>պահանջների</w:t>
            </w:r>
            <w:r w:rsidRPr="0053423A">
              <w:rPr>
                <w:color w:val="000000" w:themeColor="text1"/>
                <w:sz w:val="20"/>
                <w:szCs w:val="20"/>
                <w:lang w:val="af-ZA"/>
              </w:rPr>
              <w:t xml:space="preserve"> </w:t>
            </w:r>
            <w:r w:rsidRPr="0053423A">
              <w:rPr>
                <w:color w:val="000000" w:themeColor="text1"/>
                <w:sz w:val="20"/>
                <w:szCs w:val="20"/>
              </w:rPr>
              <w:t>վերանայման</w:t>
            </w:r>
            <w:r w:rsidRPr="0053423A">
              <w:rPr>
                <w:color w:val="000000" w:themeColor="text1"/>
                <w:sz w:val="20"/>
                <w:szCs w:val="20"/>
                <w:lang w:val="af-ZA"/>
              </w:rPr>
              <w:t xml:space="preserve"> </w:t>
            </w:r>
            <w:r w:rsidRPr="0053423A">
              <w:rPr>
                <w:color w:val="000000" w:themeColor="text1"/>
                <w:sz w:val="20"/>
                <w:szCs w:val="20"/>
              </w:rPr>
              <w:t>անհրաժեշտությունից</w:t>
            </w:r>
            <w:r w:rsidRPr="0053423A">
              <w:rPr>
                <w:color w:val="000000" w:themeColor="text1"/>
                <w:sz w:val="20"/>
                <w:szCs w:val="20"/>
                <w:lang w:val="af-ZA"/>
              </w:rPr>
              <w:t xml:space="preserve"> </w:t>
            </w:r>
            <w:r w:rsidRPr="0053423A">
              <w:rPr>
                <w:color w:val="000000" w:themeColor="text1"/>
                <w:sz w:val="20"/>
                <w:szCs w:val="20"/>
              </w:rPr>
              <w:t>ելնելով՝</w:t>
            </w:r>
            <w:r w:rsidRPr="0053423A">
              <w:rPr>
                <w:color w:val="000000" w:themeColor="text1"/>
                <w:sz w:val="20"/>
                <w:szCs w:val="20"/>
                <w:lang w:val="af-ZA"/>
              </w:rPr>
              <w:t xml:space="preserve"> </w:t>
            </w:r>
            <w:r w:rsidRPr="0053423A">
              <w:rPr>
                <w:color w:val="000000" w:themeColor="text1"/>
                <w:sz w:val="20"/>
                <w:szCs w:val="20"/>
              </w:rPr>
              <w:t>նախատեսվում</w:t>
            </w:r>
            <w:r w:rsidRPr="0053423A">
              <w:rPr>
                <w:color w:val="000000" w:themeColor="text1"/>
                <w:sz w:val="20"/>
                <w:szCs w:val="20"/>
                <w:lang w:val="af-ZA"/>
              </w:rPr>
              <w:t xml:space="preserve"> </w:t>
            </w:r>
            <w:r w:rsidRPr="0053423A">
              <w:rPr>
                <w:color w:val="000000" w:themeColor="text1"/>
                <w:sz w:val="20"/>
                <w:szCs w:val="20"/>
              </w:rPr>
              <w:t>է</w:t>
            </w:r>
            <w:r w:rsidRPr="0053423A">
              <w:rPr>
                <w:color w:val="000000" w:themeColor="text1"/>
                <w:sz w:val="20"/>
                <w:szCs w:val="20"/>
                <w:lang w:val="af-ZA"/>
              </w:rPr>
              <w:t xml:space="preserve"> </w:t>
            </w:r>
            <w:r w:rsidRPr="0053423A">
              <w:rPr>
                <w:color w:val="000000" w:themeColor="text1"/>
                <w:sz w:val="20"/>
                <w:szCs w:val="20"/>
              </w:rPr>
              <w:t>հիմնովին</w:t>
            </w:r>
            <w:r w:rsidRPr="0053423A">
              <w:rPr>
                <w:color w:val="000000" w:themeColor="text1"/>
                <w:sz w:val="20"/>
                <w:szCs w:val="20"/>
                <w:lang w:val="af-ZA"/>
              </w:rPr>
              <w:t xml:space="preserve"> </w:t>
            </w:r>
            <w:r w:rsidRPr="0053423A">
              <w:rPr>
                <w:color w:val="000000" w:themeColor="text1"/>
                <w:sz w:val="20"/>
                <w:szCs w:val="20"/>
              </w:rPr>
              <w:t>բարելավել</w:t>
            </w:r>
            <w:r w:rsidRPr="0053423A">
              <w:rPr>
                <w:color w:val="000000" w:themeColor="text1"/>
                <w:sz w:val="20"/>
                <w:szCs w:val="20"/>
                <w:lang w:val="af-ZA"/>
              </w:rPr>
              <w:t xml:space="preserve"> </w:t>
            </w:r>
            <w:r w:rsidRPr="0053423A">
              <w:rPr>
                <w:color w:val="000000" w:themeColor="text1"/>
                <w:sz w:val="20"/>
                <w:szCs w:val="20"/>
              </w:rPr>
              <w:t>հանրակրթության</w:t>
            </w:r>
            <w:r w:rsidRPr="0053423A">
              <w:rPr>
                <w:color w:val="000000" w:themeColor="text1"/>
                <w:sz w:val="20"/>
                <w:szCs w:val="20"/>
                <w:lang w:val="af-ZA"/>
              </w:rPr>
              <w:t xml:space="preserve"> </w:t>
            </w:r>
            <w:r w:rsidRPr="0053423A">
              <w:rPr>
                <w:color w:val="000000" w:themeColor="text1"/>
                <w:sz w:val="20"/>
                <w:szCs w:val="20"/>
              </w:rPr>
              <w:t>բնագավառը</w:t>
            </w:r>
            <w:r w:rsidRPr="0053423A">
              <w:rPr>
                <w:color w:val="000000" w:themeColor="text1"/>
                <w:sz w:val="20"/>
                <w:szCs w:val="20"/>
                <w:lang w:val="af-ZA"/>
              </w:rPr>
              <w:t xml:space="preserve"> </w:t>
            </w:r>
            <w:r w:rsidRPr="0053423A">
              <w:rPr>
                <w:color w:val="000000" w:themeColor="text1"/>
                <w:sz w:val="20"/>
                <w:szCs w:val="20"/>
              </w:rPr>
              <w:t>կարգավորող</w:t>
            </w:r>
            <w:r w:rsidRPr="0053423A">
              <w:rPr>
                <w:color w:val="000000" w:themeColor="text1"/>
                <w:sz w:val="20"/>
                <w:szCs w:val="20"/>
                <w:lang w:val="af-ZA"/>
              </w:rPr>
              <w:t xml:space="preserve"> </w:t>
            </w:r>
            <w:r w:rsidRPr="0053423A">
              <w:rPr>
                <w:color w:val="000000" w:themeColor="text1"/>
                <w:sz w:val="20"/>
                <w:szCs w:val="20"/>
              </w:rPr>
              <w:t>օրենսդրությունը</w:t>
            </w:r>
            <w:r w:rsidRPr="0053423A">
              <w:rPr>
                <w:color w:val="000000" w:themeColor="text1"/>
                <w:sz w:val="20"/>
                <w:szCs w:val="20"/>
                <w:lang w:val="af-ZA"/>
              </w:rPr>
              <w:t>:</w:t>
            </w:r>
          </w:p>
          <w:p w:rsidR="00154773" w:rsidRPr="0053423A" w:rsidRDefault="00154773" w:rsidP="00154773">
            <w:pPr>
              <w:jc w:val="both"/>
              <w:rPr>
                <w:sz w:val="20"/>
                <w:szCs w:val="20"/>
                <w:highlight w:val="yellow"/>
                <w:lang w:val="af-ZA"/>
              </w:rPr>
            </w:pPr>
          </w:p>
          <w:p w:rsidR="00154773" w:rsidRPr="0053423A" w:rsidRDefault="00154773" w:rsidP="00154773">
            <w:pPr>
              <w:ind w:left="284"/>
              <w:contextualSpacing/>
              <w:jc w:val="both"/>
              <w:rPr>
                <w:rFonts w:eastAsia="Calibri" w:cs="Sylfaen"/>
                <w:b/>
                <w:sz w:val="20"/>
                <w:szCs w:val="20"/>
                <w:lang w:val="af-ZA"/>
              </w:rPr>
            </w:pPr>
            <w:r w:rsidRPr="0053423A">
              <w:rPr>
                <w:rFonts w:eastAsia="Calibri" w:cs="Sylfaen"/>
                <w:b/>
                <w:sz w:val="20"/>
                <w:szCs w:val="20"/>
                <w:lang w:val="af-ZA"/>
              </w:rPr>
              <w:t xml:space="preserve">1.1. </w:t>
            </w:r>
            <w:r w:rsidRPr="0053423A">
              <w:rPr>
                <w:rFonts w:eastAsia="Calibri" w:cs="Sylfaen"/>
                <w:b/>
                <w:sz w:val="20"/>
                <w:szCs w:val="20"/>
              </w:rPr>
              <w:t>կ</w:t>
            </w:r>
            <w:r w:rsidRPr="0053423A">
              <w:rPr>
                <w:rFonts w:eastAsia="Calibri" w:cs="Sylfaen"/>
                <w:b/>
                <w:sz w:val="20"/>
                <w:szCs w:val="20"/>
                <w:lang w:val="ru-RU"/>
              </w:rPr>
              <w:t>արգավորման</w:t>
            </w:r>
            <w:r w:rsidRPr="0053423A">
              <w:rPr>
                <w:rFonts w:eastAsia="Calibri" w:cs="Sylfaen"/>
                <w:b/>
                <w:sz w:val="20"/>
                <w:szCs w:val="20"/>
                <w:lang w:val="af-ZA"/>
              </w:rPr>
              <w:t xml:space="preserve"> </w:t>
            </w:r>
            <w:r w:rsidRPr="0053423A">
              <w:rPr>
                <w:rFonts w:eastAsia="Calibri" w:cs="Sylfaen"/>
                <w:b/>
                <w:sz w:val="20"/>
                <w:szCs w:val="20"/>
                <w:lang w:val="ru-RU"/>
              </w:rPr>
              <w:t>հարաբերությունների</w:t>
            </w:r>
            <w:r w:rsidRPr="0053423A">
              <w:rPr>
                <w:rFonts w:eastAsia="Calibri" w:cs="Sylfaen"/>
                <w:b/>
                <w:sz w:val="20"/>
                <w:szCs w:val="20"/>
                <w:lang w:val="af-ZA"/>
              </w:rPr>
              <w:t xml:space="preserve"> </w:t>
            </w:r>
            <w:r w:rsidRPr="0053423A">
              <w:rPr>
                <w:rFonts w:eastAsia="Calibri" w:cs="Sylfaen"/>
                <w:b/>
                <w:sz w:val="20"/>
                <w:szCs w:val="20"/>
                <w:lang w:val="ru-RU"/>
              </w:rPr>
              <w:t>ներկա</w:t>
            </w:r>
            <w:r w:rsidRPr="0053423A">
              <w:rPr>
                <w:rFonts w:eastAsia="Calibri" w:cs="Sylfaen"/>
                <w:b/>
                <w:sz w:val="20"/>
                <w:szCs w:val="20"/>
                <w:lang w:val="af-ZA"/>
              </w:rPr>
              <w:t xml:space="preserve"> </w:t>
            </w:r>
            <w:r w:rsidRPr="0053423A">
              <w:rPr>
                <w:rFonts w:eastAsia="Calibri" w:cs="Sylfaen"/>
                <w:b/>
                <w:sz w:val="20"/>
                <w:szCs w:val="20"/>
                <w:lang w:val="ru-RU"/>
              </w:rPr>
              <w:t>վիճակը</w:t>
            </w:r>
            <w:r w:rsidRPr="0053423A">
              <w:rPr>
                <w:rFonts w:eastAsia="Calibri" w:cs="Sylfaen"/>
                <w:b/>
                <w:sz w:val="20"/>
                <w:szCs w:val="20"/>
                <w:lang w:val="af-ZA"/>
              </w:rPr>
              <w:t xml:space="preserve"> </w:t>
            </w:r>
            <w:r w:rsidRPr="0053423A">
              <w:rPr>
                <w:rFonts w:eastAsia="Calibri" w:cs="Sylfaen"/>
                <w:b/>
                <w:sz w:val="20"/>
                <w:szCs w:val="20"/>
                <w:lang w:val="ru-RU"/>
              </w:rPr>
              <w:t>և</w:t>
            </w:r>
            <w:r w:rsidRPr="0053423A">
              <w:rPr>
                <w:rFonts w:eastAsia="Calibri" w:cs="Sylfaen"/>
                <w:b/>
                <w:sz w:val="20"/>
                <w:szCs w:val="20"/>
                <w:lang w:val="af-ZA"/>
              </w:rPr>
              <w:t xml:space="preserve"> </w:t>
            </w:r>
            <w:r w:rsidRPr="0053423A">
              <w:rPr>
                <w:rFonts w:eastAsia="Calibri" w:cs="Sylfaen"/>
                <w:b/>
                <w:sz w:val="20"/>
                <w:szCs w:val="20"/>
                <w:lang w:val="ru-RU"/>
              </w:rPr>
              <w:t>առկա</w:t>
            </w:r>
            <w:r w:rsidRPr="0053423A">
              <w:rPr>
                <w:rFonts w:eastAsia="Calibri" w:cs="Sylfaen"/>
                <w:b/>
                <w:sz w:val="20"/>
                <w:szCs w:val="20"/>
                <w:lang w:val="af-ZA"/>
              </w:rPr>
              <w:t xml:space="preserve"> </w:t>
            </w:r>
            <w:r w:rsidRPr="0053423A">
              <w:rPr>
                <w:rFonts w:eastAsia="Calibri" w:cs="Sylfaen"/>
                <w:b/>
                <w:sz w:val="20"/>
                <w:szCs w:val="20"/>
                <w:lang w:val="ru-RU"/>
              </w:rPr>
              <w:t>խնդիրները</w:t>
            </w:r>
          </w:p>
          <w:p w:rsidR="00154773" w:rsidRPr="0053423A" w:rsidRDefault="00154773" w:rsidP="00154773">
            <w:pPr>
              <w:ind w:left="284"/>
              <w:contextualSpacing/>
              <w:jc w:val="both"/>
              <w:rPr>
                <w:rFonts w:eastAsia="Calibri" w:cs="Sylfaen"/>
                <w:b/>
                <w:sz w:val="20"/>
                <w:szCs w:val="20"/>
                <w:lang w:val="af-ZA"/>
              </w:rPr>
            </w:pPr>
          </w:p>
          <w:p w:rsidR="00154773" w:rsidRPr="0053423A" w:rsidRDefault="00154773" w:rsidP="00154773">
            <w:pPr>
              <w:ind w:firstLine="284"/>
              <w:contextualSpacing/>
              <w:jc w:val="both"/>
              <w:rPr>
                <w:rFonts w:eastAsia="Calibri" w:cs="Sylfaen"/>
                <w:sz w:val="20"/>
                <w:szCs w:val="20"/>
                <w:lang w:val="af-ZA"/>
              </w:rPr>
            </w:pPr>
            <w:r w:rsidRPr="0053423A">
              <w:rPr>
                <w:rFonts w:eastAsia="Calibri" w:cs="Sylfaen"/>
                <w:sz w:val="20"/>
                <w:szCs w:val="20"/>
                <w:lang w:val="hy-AM"/>
              </w:rPr>
              <w:t>Կառավարման գործող համակարգը արդյունավետ չէ, վերանայման կարիք ունեն և տնօրենների ընտրության, նշանակման և գործունեության գնահատման մեխանիզմները, և կառավարման խորհուրդների ձևավորումը, գործունեությունն ու լիազորությունները, ինչպես նաև հաստատության գործունեության թափանցիկ և համագործակցային  նոր մեխանիզմների կարիք կա:</w:t>
            </w:r>
          </w:p>
          <w:p w:rsidR="00154773" w:rsidRPr="0053423A" w:rsidRDefault="00154773" w:rsidP="00154773">
            <w:pPr>
              <w:ind w:firstLine="284"/>
              <w:contextualSpacing/>
              <w:jc w:val="both"/>
              <w:rPr>
                <w:rFonts w:eastAsia="Calibri" w:cs="Sylfaen"/>
                <w:sz w:val="20"/>
                <w:szCs w:val="20"/>
                <w:lang w:val="af-ZA"/>
              </w:rPr>
            </w:pPr>
          </w:p>
          <w:p w:rsidR="00154773" w:rsidRPr="0053423A" w:rsidRDefault="00154773" w:rsidP="00154773">
            <w:pPr>
              <w:ind w:left="360"/>
              <w:contextualSpacing/>
              <w:jc w:val="both"/>
              <w:rPr>
                <w:rFonts w:eastAsia="Calibri"/>
                <w:b/>
                <w:sz w:val="20"/>
                <w:szCs w:val="20"/>
                <w:lang w:val="af-ZA"/>
              </w:rPr>
            </w:pPr>
            <w:r w:rsidRPr="0053423A">
              <w:rPr>
                <w:rFonts w:eastAsia="Calibri"/>
                <w:b/>
                <w:sz w:val="20"/>
                <w:szCs w:val="20"/>
                <w:lang w:val="af-ZA"/>
              </w:rPr>
              <w:t xml:space="preserve">1.2 </w:t>
            </w:r>
            <w:r w:rsidRPr="0053423A">
              <w:rPr>
                <w:rFonts w:eastAsia="Calibri"/>
                <w:b/>
                <w:sz w:val="20"/>
                <w:szCs w:val="20"/>
              </w:rPr>
              <w:t>առկա</w:t>
            </w:r>
            <w:r w:rsidRPr="0053423A">
              <w:rPr>
                <w:rFonts w:eastAsia="Calibri"/>
                <w:b/>
                <w:sz w:val="20"/>
                <w:szCs w:val="20"/>
                <w:lang w:val="af-ZA"/>
              </w:rPr>
              <w:t xml:space="preserve"> </w:t>
            </w:r>
            <w:r w:rsidRPr="0053423A">
              <w:rPr>
                <w:rFonts w:eastAsia="Calibri"/>
                <w:b/>
                <w:sz w:val="20"/>
                <w:szCs w:val="20"/>
              </w:rPr>
              <w:t>խնդիրների</w:t>
            </w:r>
            <w:r w:rsidRPr="0053423A">
              <w:rPr>
                <w:rFonts w:eastAsia="Calibri"/>
                <w:b/>
                <w:sz w:val="20"/>
                <w:szCs w:val="20"/>
                <w:lang w:val="af-ZA"/>
              </w:rPr>
              <w:t xml:space="preserve"> </w:t>
            </w:r>
            <w:r w:rsidRPr="0053423A">
              <w:rPr>
                <w:rFonts w:eastAsia="Calibri"/>
                <w:b/>
                <w:sz w:val="20"/>
                <w:szCs w:val="20"/>
              </w:rPr>
              <w:t>առաջարկվող</w:t>
            </w:r>
            <w:r w:rsidRPr="0053423A">
              <w:rPr>
                <w:rFonts w:eastAsia="Calibri"/>
                <w:b/>
                <w:sz w:val="20"/>
                <w:szCs w:val="20"/>
                <w:lang w:val="af-ZA"/>
              </w:rPr>
              <w:t xml:space="preserve"> </w:t>
            </w:r>
            <w:r w:rsidRPr="0053423A">
              <w:rPr>
                <w:rFonts w:eastAsia="Calibri"/>
                <w:b/>
                <w:sz w:val="20"/>
                <w:szCs w:val="20"/>
              </w:rPr>
              <w:t>լուծումները</w:t>
            </w:r>
          </w:p>
          <w:p w:rsidR="00154773" w:rsidRPr="0053423A" w:rsidRDefault="00154773" w:rsidP="00154773">
            <w:pPr>
              <w:ind w:left="360"/>
              <w:contextualSpacing/>
              <w:jc w:val="both"/>
              <w:rPr>
                <w:rFonts w:eastAsia="Calibri"/>
                <w:b/>
                <w:sz w:val="20"/>
                <w:szCs w:val="20"/>
                <w:lang w:val="af-ZA"/>
              </w:rPr>
            </w:pPr>
          </w:p>
          <w:p w:rsidR="00154773" w:rsidRPr="0053423A" w:rsidRDefault="00154773" w:rsidP="00154773">
            <w:pPr>
              <w:ind w:firstLine="284"/>
              <w:contextualSpacing/>
              <w:jc w:val="both"/>
              <w:rPr>
                <w:rFonts w:cs="Sylfaen"/>
                <w:sz w:val="20"/>
                <w:szCs w:val="20"/>
                <w:lang w:val="af-ZA"/>
              </w:rPr>
            </w:pPr>
            <w:r w:rsidRPr="0053423A">
              <w:rPr>
                <w:rFonts w:eastAsia="Calibri" w:cs="Sylfaen"/>
                <w:sz w:val="20"/>
                <w:szCs w:val="20"/>
                <w:lang w:val="hy-AM"/>
              </w:rPr>
              <w:t>Հանրակրթության ոլորտի բարելավման, առկա խնդիրների կարգավորման նպատակով անհրաժեշտ է լրամշակել, փոփոխություններ կատարել գործող նորմատիվ իրավական ակտերում:</w:t>
            </w:r>
          </w:p>
          <w:p w:rsidR="00154773" w:rsidRPr="0053423A" w:rsidRDefault="00154773" w:rsidP="00154773">
            <w:pPr>
              <w:ind w:left="360"/>
              <w:contextualSpacing/>
              <w:jc w:val="both"/>
              <w:rPr>
                <w:rFonts w:eastAsia="Calibri"/>
                <w:b/>
                <w:sz w:val="20"/>
                <w:szCs w:val="20"/>
                <w:lang w:val="af-ZA"/>
              </w:rPr>
            </w:pPr>
          </w:p>
          <w:p w:rsidR="00154773" w:rsidRPr="0053423A" w:rsidRDefault="00154773" w:rsidP="00154773">
            <w:pPr>
              <w:ind w:firstLine="284"/>
              <w:contextualSpacing/>
              <w:jc w:val="both"/>
              <w:rPr>
                <w:rFonts w:eastAsia="Calibri" w:cs="Sylfaen"/>
                <w:b/>
                <w:sz w:val="20"/>
                <w:szCs w:val="20"/>
                <w:lang w:val="af-ZA"/>
              </w:rPr>
            </w:pPr>
            <w:r w:rsidRPr="0053423A">
              <w:rPr>
                <w:b/>
                <w:sz w:val="20"/>
                <w:szCs w:val="20"/>
                <w:lang w:val="af-ZA"/>
              </w:rPr>
              <w:t xml:space="preserve">2. </w:t>
            </w:r>
            <w:r w:rsidRPr="0053423A">
              <w:rPr>
                <w:b/>
                <w:sz w:val="20"/>
                <w:szCs w:val="20"/>
              </w:rPr>
              <w:t>Միջոցառման</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r w:rsidRPr="0053423A" w:rsidDel="00C34BAE">
              <w:rPr>
                <w:rFonts w:eastAsia="Calibri" w:cs="Sylfaen"/>
                <w:b/>
                <w:sz w:val="20"/>
                <w:szCs w:val="20"/>
                <w:lang w:val="af-ZA"/>
              </w:rPr>
              <w:t xml:space="preserve"> </w:t>
            </w:r>
            <w:r w:rsidRPr="0053423A">
              <w:rPr>
                <w:rFonts w:eastAsia="Calibri" w:cs="Sylfaen"/>
                <w:b/>
                <w:sz w:val="20"/>
                <w:szCs w:val="20"/>
                <w:lang w:val="af-ZA"/>
              </w:rPr>
              <w:t xml:space="preserve"> </w:t>
            </w:r>
          </w:p>
          <w:p w:rsidR="00154773" w:rsidRPr="0053423A" w:rsidRDefault="00154773" w:rsidP="00154773">
            <w:pPr>
              <w:ind w:left="360"/>
              <w:contextualSpacing/>
              <w:jc w:val="both"/>
              <w:rPr>
                <w:rFonts w:eastAsia="Calibri"/>
                <w:b/>
                <w:sz w:val="20"/>
                <w:szCs w:val="20"/>
                <w:lang w:val="af-ZA"/>
              </w:rPr>
            </w:pPr>
          </w:p>
          <w:p w:rsidR="00154773" w:rsidRPr="0053423A" w:rsidRDefault="00154773" w:rsidP="00154773">
            <w:pPr>
              <w:rPr>
                <w:sz w:val="20"/>
                <w:szCs w:val="20"/>
                <w:highlight w:val="yellow"/>
                <w:lang w:val="af-ZA"/>
              </w:rPr>
            </w:pPr>
          </w:p>
          <w:p w:rsidR="00154773" w:rsidRPr="0053423A" w:rsidRDefault="00154773" w:rsidP="00154773">
            <w:pPr>
              <w:ind w:firstLine="284"/>
              <w:contextualSpacing/>
              <w:jc w:val="both"/>
              <w:rPr>
                <w:rFonts w:eastAsia="Calibri" w:cs="Sylfaen"/>
                <w:sz w:val="20"/>
                <w:szCs w:val="20"/>
                <w:lang w:val="af-ZA"/>
              </w:rPr>
            </w:pPr>
            <w:r w:rsidRPr="0053423A">
              <w:rPr>
                <w:rFonts w:eastAsia="Calibri" w:cs="Sylfaen"/>
                <w:sz w:val="20"/>
                <w:szCs w:val="20"/>
              </w:rPr>
              <w:t>Ստեղծել</w:t>
            </w:r>
            <w:r w:rsidRPr="0053423A">
              <w:rPr>
                <w:rFonts w:eastAsia="Calibri" w:cs="Sylfaen"/>
                <w:sz w:val="20"/>
                <w:szCs w:val="20"/>
                <w:lang w:val="af-ZA"/>
              </w:rPr>
              <w:t xml:space="preserve"> </w:t>
            </w:r>
            <w:r w:rsidRPr="0053423A">
              <w:rPr>
                <w:rFonts w:eastAsia="Calibri" w:cs="Sylfaen"/>
                <w:sz w:val="20"/>
                <w:szCs w:val="20"/>
              </w:rPr>
              <w:t>կ</w:t>
            </w:r>
            <w:r w:rsidRPr="0053423A">
              <w:rPr>
                <w:rFonts w:eastAsia="Calibri" w:cs="Sylfaen"/>
                <w:sz w:val="20"/>
                <w:szCs w:val="20"/>
                <w:lang w:val="hy-AM"/>
              </w:rPr>
              <w:t>առավարման արդյունավետ համակարգ, վերան</w:t>
            </w:r>
            <w:r w:rsidRPr="0053423A">
              <w:rPr>
                <w:rFonts w:eastAsia="Calibri" w:cs="Sylfaen"/>
                <w:sz w:val="20"/>
                <w:szCs w:val="20"/>
              </w:rPr>
              <w:t>այել</w:t>
            </w:r>
            <w:r w:rsidRPr="0053423A">
              <w:rPr>
                <w:rFonts w:eastAsia="Calibri" w:cs="Sylfaen"/>
                <w:sz w:val="20"/>
                <w:szCs w:val="20"/>
                <w:lang w:val="hy-AM"/>
              </w:rPr>
              <w:t xml:space="preserve"> տնօրենների ընտրության, նշանակման և գործունեության գնահատման մեխանիզմները, և կառավարման խորհուրդների ձևավորումը, գործունեությունն ու լիազորությունները, ինչպես նաև </w:t>
            </w:r>
            <w:r w:rsidRPr="0053423A">
              <w:rPr>
                <w:rFonts w:eastAsia="Calibri" w:cs="Sylfaen"/>
                <w:sz w:val="20"/>
                <w:szCs w:val="20"/>
              </w:rPr>
              <w:t>ներդնել</w:t>
            </w:r>
            <w:r w:rsidRPr="0053423A">
              <w:rPr>
                <w:rFonts w:eastAsia="Calibri" w:cs="Sylfaen"/>
                <w:sz w:val="20"/>
                <w:szCs w:val="20"/>
                <w:lang w:val="af-ZA"/>
              </w:rPr>
              <w:t xml:space="preserve"> </w:t>
            </w:r>
            <w:r w:rsidRPr="0053423A">
              <w:rPr>
                <w:rFonts w:eastAsia="Calibri" w:cs="Sylfaen"/>
                <w:sz w:val="20"/>
                <w:szCs w:val="20"/>
                <w:lang w:val="hy-AM"/>
              </w:rPr>
              <w:t>հաստատության գործունեության թափանցիկ և համագործակցային  նոր մեխանիզմներ:</w:t>
            </w:r>
          </w:p>
          <w:p w:rsidR="00154773" w:rsidRPr="0053423A" w:rsidRDefault="00154773" w:rsidP="00154773">
            <w:pPr>
              <w:tabs>
                <w:tab w:val="left" w:pos="387"/>
              </w:tabs>
              <w:rPr>
                <w:rFonts w:eastAsia="Times New Roman" w:cs="Times New Roman"/>
                <w:b/>
                <w:sz w:val="20"/>
                <w:szCs w:val="20"/>
                <w:lang w:val="af-ZA"/>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spacing w:before="120" w:after="120"/>
              <w:jc w:val="center"/>
              <w:rPr>
                <w:rFonts w:eastAsia="Times New Roman" w:cs="Times New Roman"/>
                <w:b/>
                <w:sz w:val="20"/>
                <w:szCs w:val="20"/>
                <w:u w:val="single"/>
                <w:lang w:val="af-ZA"/>
              </w:rPr>
            </w:pPr>
            <w:r w:rsidRPr="0053423A">
              <w:rPr>
                <w:rFonts w:eastAsia="Times New Roman" w:cs="Times New Roman"/>
                <w:b/>
                <w:sz w:val="20"/>
                <w:szCs w:val="20"/>
                <w:u w:val="single"/>
                <w:lang w:val="af-ZA"/>
              </w:rPr>
              <w:t xml:space="preserve">3.3 </w:t>
            </w:r>
            <w:r w:rsidRPr="0053423A">
              <w:rPr>
                <w:rFonts w:eastAsia="Times New Roman" w:cs="Times New Roman"/>
                <w:b/>
                <w:sz w:val="20"/>
                <w:szCs w:val="20"/>
                <w:u w:val="single"/>
                <w:lang w:val="hy-AM"/>
              </w:rPr>
              <w:t>Հանրակրթական</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ուսումնական</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հաստատությունների</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կառավարման</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խորհուրդների</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վերակազմավորում</w:t>
            </w:r>
          </w:p>
          <w:p w:rsidR="00154773" w:rsidRPr="0053423A" w:rsidRDefault="00154773" w:rsidP="00154773">
            <w:pPr>
              <w:ind w:firstLine="284"/>
              <w:contextualSpacing/>
              <w:jc w:val="both"/>
              <w:rPr>
                <w:rFonts w:eastAsia="Calibri" w:cs="Sylfaen"/>
                <w:sz w:val="20"/>
                <w:szCs w:val="20"/>
                <w:lang w:val="af-ZA"/>
              </w:rPr>
            </w:pPr>
          </w:p>
          <w:p w:rsidR="00154773" w:rsidRPr="0053423A" w:rsidRDefault="00154773" w:rsidP="001F6D5D">
            <w:pPr>
              <w:numPr>
                <w:ilvl w:val="0"/>
                <w:numId w:val="485"/>
              </w:numPr>
              <w:ind w:left="540"/>
              <w:contextualSpacing/>
              <w:jc w:val="both"/>
              <w:rPr>
                <w:rFonts w:eastAsia="Calibri"/>
                <w:b/>
                <w:sz w:val="20"/>
                <w:szCs w:val="20"/>
                <w:lang w:val="ru-RU"/>
              </w:rPr>
            </w:pPr>
            <w:r w:rsidRPr="0053423A">
              <w:rPr>
                <w:rFonts w:eastAsia="Calibri" w:cs="Sylfaen"/>
                <w:b/>
                <w:sz w:val="20"/>
                <w:szCs w:val="20"/>
                <w:lang w:val="ru-RU"/>
              </w:rPr>
              <w:t xml:space="preserve">Միջոցառման </w:t>
            </w:r>
            <w:r w:rsidRPr="0053423A">
              <w:rPr>
                <w:rFonts w:eastAsia="Calibri" w:cs="Sylfaen"/>
                <w:b/>
                <w:sz w:val="20"/>
                <w:szCs w:val="20"/>
              </w:rPr>
              <w:t>իրականացման անհրաժեշտությունը</w:t>
            </w:r>
            <w:r w:rsidRPr="0053423A">
              <w:rPr>
                <w:rFonts w:eastAsia="Calibri"/>
                <w:b/>
                <w:sz w:val="20"/>
                <w:szCs w:val="20"/>
                <w:lang w:val="ru-RU"/>
              </w:rPr>
              <w:t xml:space="preserve"> և </w:t>
            </w:r>
            <w:r w:rsidRPr="0053423A">
              <w:rPr>
                <w:rFonts w:eastAsia="Calibri" w:cs="Sylfaen"/>
                <w:b/>
                <w:sz w:val="20"/>
                <w:szCs w:val="20"/>
              </w:rPr>
              <w:t>նպատակը</w:t>
            </w:r>
          </w:p>
          <w:p w:rsidR="00154773" w:rsidRPr="0053423A" w:rsidRDefault="00154773" w:rsidP="00154773">
            <w:pPr>
              <w:ind w:left="284"/>
              <w:contextualSpacing/>
              <w:jc w:val="both"/>
              <w:rPr>
                <w:rFonts w:eastAsia="Calibri"/>
                <w:b/>
                <w:sz w:val="20"/>
                <w:szCs w:val="20"/>
                <w:lang w:val="ru-RU"/>
              </w:rPr>
            </w:pPr>
          </w:p>
          <w:p w:rsidR="00154773" w:rsidRPr="0053423A" w:rsidRDefault="00154773" w:rsidP="00154773">
            <w:pPr>
              <w:shd w:val="clear" w:color="auto" w:fill="FFFFFF"/>
              <w:ind w:firstLine="284"/>
              <w:jc w:val="both"/>
              <w:textAlignment w:val="baseline"/>
              <w:rPr>
                <w:spacing w:val="-4"/>
                <w:sz w:val="20"/>
                <w:szCs w:val="20"/>
                <w:lang w:val="ru-RU"/>
              </w:rPr>
            </w:pPr>
            <w:r w:rsidRPr="0053423A">
              <w:rPr>
                <w:spacing w:val="-4"/>
                <w:sz w:val="20"/>
                <w:szCs w:val="20"/>
              </w:rPr>
              <w:t>Միջոցառման</w:t>
            </w:r>
            <w:r w:rsidRPr="0053423A">
              <w:rPr>
                <w:spacing w:val="-4"/>
                <w:sz w:val="20"/>
                <w:szCs w:val="20"/>
                <w:lang w:val="ru-RU"/>
              </w:rPr>
              <w:t xml:space="preserve"> </w:t>
            </w:r>
            <w:r w:rsidRPr="0053423A">
              <w:rPr>
                <w:spacing w:val="-4"/>
                <w:sz w:val="20"/>
                <w:szCs w:val="20"/>
              </w:rPr>
              <w:t>գլխավոր</w:t>
            </w:r>
            <w:r w:rsidRPr="0053423A">
              <w:rPr>
                <w:spacing w:val="-4"/>
                <w:sz w:val="20"/>
                <w:szCs w:val="20"/>
                <w:lang w:val="ru-RU"/>
              </w:rPr>
              <w:t xml:space="preserve"> </w:t>
            </w:r>
            <w:r w:rsidRPr="0053423A">
              <w:rPr>
                <w:spacing w:val="-4"/>
                <w:sz w:val="20"/>
                <w:szCs w:val="20"/>
              </w:rPr>
              <w:t>նպատակն</w:t>
            </w:r>
            <w:r w:rsidRPr="0053423A">
              <w:rPr>
                <w:spacing w:val="-4"/>
                <w:sz w:val="20"/>
                <w:szCs w:val="20"/>
                <w:lang w:val="ru-RU"/>
              </w:rPr>
              <w:t xml:space="preserve"> </w:t>
            </w:r>
            <w:r w:rsidRPr="0053423A">
              <w:rPr>
                <w:spacing w:val="-4"/>
                <w:sz w:val="20"/>
                <w:szCs w:val="20"/>
              </w:rPr>
              <w:t>է</w:t>
            </w:r>
            <w:r w:rsidRPr="0053423A">
              <w:rPr>
                <w:spacing w:val="-4"/>
                <w:sz w:val="20"/>
                <w:szCs w:val="20"/>
                <w:lang w:val="ru-RU"/>
              </w:rPr>
              <w:t xml:space="preserve">  </w:t>
            </w:r>
            <w:r w:rsidRPr="0053423A">
              <w:rPr>
                <w:spacing w:val="-4"/>
                <w:sz w:val="20"/>
                <w:szCs w:val="20"/>
              </w:rPr>
              <w:t>կրթության</w:t>
            </w:r>
            <w:r w:rsidRPr="0053423A">
              <w:rPr>
                <w:spacing w:val="-4"/>
                <w:sz w:val="20"/>
                <w:szCs w:val="20"/>
                <w:lang w:val="ru-RU"/>
              </w:rPr>
              <w:t xml:space="preserve"> </w:t>
            </w:r>
            <w:r w:rsidRPr="0053423A">
              <w:rPr>
                <w:spacing w:val="-4"/>
                <w:sz w:val="20"/>
                <w:szCs w:val="20"/>
              </w:rPr>
              <w:t>համակարգի</w:t>
            </w:r>
            <w:r w:rsidRPr="0053423A">
              <w:rPr>
                <w:spacing w:val="-4"/>
                <w:sz w:val="20"/>
                <w:szCs w:val="20"/>
                <w:lang w:val="ru-RU"/>
              </w:rPr>
              <w:t xml:space="preserve"> </w:t>
            </w:r>
            <w:r w:rsidRPr="0053423A">
              <w:rPr>
                <w:spacing w:val="-4"/>
                <w:sz w:val="20"/>
                <w:szCs w:val="20"/>
              </w:rPr>
              <w:t>կառավարման</w:t>
            </w:r>
            <w:r w:rsidRPr="0053423A">
              <w:rPr>
                <w:spacing w:val="-4"/>
                <w:sz w:val="20"/>
                <w:szCs w:val="20"/>
                <w:lang w:val="ru-RU"/>
              </w:rPr>
              <w:t xml:space="preserve"> </w:t>
            </w:r>
            <w:r w:rsidRPr="0053423A">
              <w:rPr>
                <w:spacing w:val="-4"/>
                <w:sz w:val="20"/>
                <w:szCs w:val="20"/>
              </w:rPr>
              <w:t>արդյունավետության</w:t>
            </w:r>
            <w:r w:rsidRPr="0053423A">
              <w:rPr>
                <w:spacing w:val="-4"/>
                <w:sz w:val="20"/>
                <w:szCs w:val="20"/>
                <w:lang w:val="ru-RU"/>
              </w:rPr>
              <w:t xml:space="preserve"> </w:t>
            </w:r>
            <w:r w:rsidRPr="0053423A">
              <w:rPr>
                <w:spacing w:val="-4"/>
                <w:sz w:val="20"/>
                <w:szCs w:val="20"/>
              </w:rPr>
              <w:t>բարձրացումը</w:t>
            </w:r>
            <w:r w:rsidRPr="0053423A">
              <w:rPr>
                <w:spacing w:val="-4"/>
                <w:sz w:val="20"/>
                <w:szCs w:val="20"/>
                <w:lang w:val="ru-RU"/>
              </w:rPr>
              <w:t xml:space="preserve">: </w:t>
            </w:r>
          </w:p>
          <w:p w:rsidR="00154773" w:rsidRPr="0053423A" w:rsidRDefault="00154773" w:rsidP="00154773">
            <w:pPr>
              <w:ind w:firstLine="284"/>
              <w:contextualSpacing/>
              <w:jc w:val="both"/>
              <w:rPr>
                <w:rFonts w:eastAsia="Calibri" w:cs="Arian AMU"/>
                <w:sz w:val="20"/>
                <w:szCs w:val="20"/>
                <w:lang w:val="ru-RU"/>
              </w:rPr>
            </w:pPr>
            <w:r w:rsidRPr="0053423A">
              <w:rPr>
                <w:spacing w:val="-4"/>
                <w:sz w:val="20"/>
                <w:szCs w:val="20"/>
              </w:rPr>
              <w:t>Միջոցառումների</w:t>
            </w:r>
            <w:r w:rsidRPr="0053423A">
              <w:rPr>
                <w:spacing w:val="-4"/>
                <w:sz w:val="20"/>
                <w:szCs w:val="20"/>
                <w:lang w:val="ru-RU"/>
              </w:rPr>
              <w:t xml:space="preserve"> </w:t>
            </w:r>
            <w:r w:rsidRPr="0053423A">
              <w:rPr>
                <w:spacing w:val="-4"/>
                <w:sz w:val="20"/>
                <w:szCs w:val="20"/>
              </w:rPr>
              <w:t>անհրաժեշտությունը</w:t>
            </w:r>
            <w:r w:rsidRPr="0053423A">
              <w:rPr>
                <w:spacing w:val="-4"/>
                <w:sz w:val="20"/>
                <w:szCs w:val="20"/>
                <w:lang w:val="ru-RU"/>
              </w:rPr>
              <w:t xml:space="preserve"> </w:t>
            </w:r>
            <w:r w:rsidRPr="0053423A">
              <w:rPr>
                <w:spacing w:val="-4"/>
                <w:sz w:val="20"/>
                <w:szCs w:val="20"/>
              </w:rPr>
              <w:t>բխում</w:t>
            </w:r>
            <w:r w:rsidRPr="0053423A">
              <w:rPr>
                <w:spacing w:val="-4"/>
                <w:sz w:val="20"/>
                <w:szCs w:val="20"/>
                <w:lang w:val="ru-RU"/>
              </w:rPr>
              <w:t xml:space="preserve"> </w:t>
            </w:r>
            <w:r w:rsidRPr="0053423A">
              <w:rPr>
                <w:spacing w:val="-4"/>
                <w:sz w:val="20"/>
                <w:szCs w:val="20"/>
              </w:rPr>
              <w:t>է</w:t>
            </w:r>
            <w:r w:rsidRPr="0053423A">
              <w:rPr>
                <w:spacing w:val="-4"/>
                <w:sz w:val="20"/>
                <w:szCs w:val="20"/>
                <w:lang w:val="ru-RU"/>
              </w:rPr>
              <w:t xml:space="preserve"> </w:t>
            </w:r>
            <w:r w:rsidRPr="0053423A">
              <w:rPr>
                <w:spacing w:val="-4"/>
                <w:sz w:val="20"/>
                <w:szCs w:val="20"/>
              </w:rPr>
              <w:t>ՀՀ</w:t>
            </w:r>
            <w:r w:rsidRPr="0053423A">
              <w:rPr>
                <w:spacing w:val="-4"/>
                <w:sz w:val="20"/>
                <w:szCs w:val="20"/>
                <w:lang w:val="ru-RU"/>
              </w:rPr>
              <w:t xml:space="preserve"> </w:t>
            </w:r>
            <w:r w:rsidRPr="0053423A">
              <w:rPr>
                <w:spacing w:val="-4"/>
                <w:sz w:val="20"/>
                <w:szCs w:val="20"/>
              </w:rPr>
              <w:t>ԱԺ</w:t>
            </w:r>
            <w:r w:rsidRPr="0053423A">
              <w:rPr>
                <w:spacing w:val="-4"/>
                <w:sz w:val="20"/>
                <w:szCs w:val="20"/>
                <w:lang w:val="ru-RU"/>
              </w:rPr>
              <w:t xml:space="preserve"> 2019 </w:t>
            </w:r>
            <w:r w:rsidRPr="0053423A">
              <w:rPr>
                <w:spacing w:val="-4"/>
                <w:sz w:val="20"/>
                <w:szCs w:val="20"/>
              </w:rPr>
              <w:t>թվականի</w:t>
            </w:r>
            <w:r w:rsidRPr="0053423A">
              <w:rPr>
                <w:spacing w:val="-4"/>
                <w:sz w:val="20"/>
                <w:szCs w:val="20"/>
                <w:lang w:val="ru-RU"/>
              </w:rPr>
              <w:t xml:space="preserve"> </w:t>
            </w:r>
            <w:r w:rsidRPr="0053423A">
              <w:rPr>
                <w:spacing w:val="-4"/>
                <w:sz w:val="20"/>
                <w:szCs w:val="20"/>
              </w:rPr>
              <w:t>փետրվարի</w:t>
            </w:r>
            <w:r w:rsidRPr="0053423A">
              <w:rPr>
                <w:spacing w:val="-4"/>
                <w:sz w:val="20"/>
                <w:szCs w:val="20"/>
                <w:lang w:val="ru-RU"/>
              </w:rPr>
              <w:t xml:space="preserve"> 14-</w:t>
            </w:r>
            <w:r w:rsidRPr="0053423A">
              <w:rPr>
                <w:spacing w:val="-4"/>
                <w:sz w:val="20"/>
                <w:szCs w:val="20"/>
              </w:rPr>
              <w:t>ի</w:t>
            </w:r>
            <w:r w:rsidRPr="0053423A">
              <w:rPr>
                <w:spacing w:val="-4"/>
                <w:sz w:val="20"/>
                <w:szCs w:val="20"/>
                <w:lang w:val="ru-RU"/>
              </w:rPr>
              <w:t xml:space="preserve"> </w:t>
            </w:r>
            <w:r w:rsidRPr="0053423A">
              <w:rPr>
                <w:spacing w:val="-4"/>
                <w:sz w:val="20"/>
                <w:szCs w:val="20"/>
              </w:rPr>
              <w:t>ԱԺՈ</w:t>
            </w:r>
            <w:r w:rsidRPr="0053423A">
              <w:rPr>
                <w:spacing w:val="-4"/>
                <w:sz w:val="20"/>
                <w:szCs w:val="20"/>
                <w:lang w:val="ru-RU"/>
              </w:rPr>
              <w:t>-002-</w:t>
            </w:r>
            <w:r w:rsidRPr="0053423A">
              <w:rPr>
                <w:spacing w:val="-4"/>
                <w:sz w:val="20"/>
                <w:szCs w:val="20"/>
              </w:rPr>
              <w:t>Ն</w:t>
            </w:r>
            <w:r w:rsidRPr="0053423A">
              <w:rPr>
                <w:spacing w:val="-4"/>
                <w:sz w:val="20"/>
                <w:szCs w:val="20"/>
                <w:lang w:val="ru-RU"/>
              </w:rPr>
              <w:t xml:space="preserve"> </w:t>
            </w:r>
            <w:r w:rsidRPr="0053423A">
              <w:rPr>
                <w:spacing w:val="-4"/>
                <w:sz w:val="20"/>
                <w:szCs w:val="20"/>
              </w:rPr>
              <w:t>որոշմամբ</w:t>
            </w:r>
            <w:r w:rsidRPr="0053423A">
              <w:rPr>
                <w:spacing w:val="-4"/>
                <w:sz w:val="20"/>
                <w:szCs w:val="20"/>
                <w:lang w:val="ru-RU"/>
              </w:rPr>
              <w:t xml:space="preserve"> </w:t>
            </w:r>
            <w:r w:rsidRPr="0053423A">
              <w:rPr>
                <w:spacing w:val="-4"/>
                <w:sz w:val="20"/>
                <w:szCs w:val="20"/>
              </w:rPr>
              <w:t>հավանության</w:t>
            </w:r>
            <w:r w:rsidRPr="0053423A">
              <w:rPr>
                <w:spacing w:val="-4"/>
                <w:sz w:val="20"/>
                <w:szCs w:val="20"/>
                <w:lang w:val="ru-RU"/>
              </w:rPr>
              <w:t xml:space="preserve"> </w:t>
            </w:r>
            <w:r w:rsidRPr="0053423A">
              <w:rPr>
                <w:spacing w:val="-4"/>
                <w:sz w:val="20"/>
                <w:szCs w:val="20"/>
              </w:rPr>
              <w:t>արժանացած</w:t>
            </w:r>
            <w:r w:rsidRPr="0053423A">
              <w:rPr>
                <w:spacing w:val="-4"/>
                <w:sz w:val="20"/>
                <w:szCs w:val="20"/>
                <w:lang w:val="ru-RU"/>
              </w:rPr>
              <w:t xml:space="preserve"> </w:t>
            </w:r>
            <w:r w:rsidRPr="0053423A">
              <w:rPr>
                <w:spacing w:val="-4"/>
                <w:sz w:val="20"/>
                <w:szCs w:val="20"/>
              </w:rPr>
              <w:t>ՀՀ</w:t>
            </w:r>
            <w:r w:rsidRPr="0053423A">
              <w:rPr>
                <w:spacing w:val="-4"/>
                <w:sz w:val="20"/>
                <w:szCs w:val="20"/>
                <w:lang w:val="ru-RU"/>
              </w:rPr>
              <w:t xml:space="preserve"> </w:t>
            </w:r>
            <w:r w:rsidRPr="0053423A">
              <w:rPr>
                <w:spacing w:val="-4"/>
                <w:sz w:val="20"/>
                <w:szCs w:val="20"/>
              </w:rPr>
              <w:t>կառավարության</w:t>
            </w:r>
            <w:r w:rsidRPr="0053423A">
              <w:rPr>
                <w:spacing w:val="-4"/>
                <w:sz w:val="20"/>
                <w:szCs w:val="20"/>
                <w:lang w:val="ru-RU"/>
              </w:rPr>
              <w:t xml:space="preserve"> </w:t>
            </w:r>
            <w:r w:rsidRPr="0053423A">
              <w:rPr>
                <w:spacing w:val="-4"/>
                <w:sz w:val="20"/>
                <w:szCs w:val="20"/>
              </w:rPr>
              <w:t>ծրագրի</w:t>
            </w:r>
            <w:r w:rsidRPr="0053423A">
              <w:rPr>
                <w:spacing w:val="-4"/>
                <w:sz w:val="20"/>
                <w:szCs w:val="20"/>
                <w:lang w:val="ru-RU"/>
              </w:rPr>
              <w:t xml:space="preserve"> </w:t>
            </w:r>
            <w:r w:rsidRPr="0053423A">
              <w:rPr>
                <w:rFonts w:eastAsia="Times New Roman" w:cs="Times New Roman"/>
                <w:sz w:val="20"/>
                <w:szCs w:val="20"/>
                <w:lang w:val="ru-RU"/>
              </w:rPr>
              <w:t>«</w:t>
            </w:r>
            <w:r w:rsidRPr="0053423A">
              <w:rPr>
                <w:spacing w:val="-4"/>
                <w:sz w:val="20"/>
                <w:szCs w:val="20"/>
                <w:lang w:val="ru-RU"/>
              </w:rPr>
              <w:t xml:space="preserve">4.4 </w:t>
            </w:r>
            <w:r w:rsidRPr="0053423A">
              <w:rPr>
                <w:spacing w:val="-4"/>
                <w:sz w:val="20"/>
                <w:szCs w:val="20"/>
              </w:rPr>
              <w:t>ԿՐԹՈՒԹՅՈՒՆ</w:t>
            </w:r>
            <w:r w:rsidRPr="0053423A">
              <w:rPr>
                <w:spacing w:val="-4"/>
                <w:sz w:val="20"/>
                <w:szCs w:val="20"/>
                <w:lang w:val="ru-RU"/>
              </w:rPr>
              <w:t xml:space="preserve"> </w:t>
            </w:r>
            <w:r w:rsidRPr="0053423A">
              <w:rPr>
                <w:spacing w:val="-4"/>
                <w:sz w:val="20"/>
                <w:szCs w:val="20"/>
              </w:rPr>
              <w:t>ԵՎ</w:t>
            </w:r>
            <w:r w:rsidRPr="0053423A">
              <w:rPr>
                <w:spacing w:val="-4"/>
                <w:sz w:val="20"/>
                <w:szCs w:val="20"/>
                <w:lang w:val="ru-RU"/>
              </w:rPr>
              <w:t xml:space="preserve"> </w:t>
            </w:r>
            <w:r w:rsidRPr="0053423A">
              <w:rPr>
                <w:spacing w:val="-4"/>
                <w:sz w:val="20"/>
                <w:szCs w:val="20"/>
              </w:rPr>
              <w:t>ԳԻՏՈՒԹՅՈՒՆ</w:t>
            </w:r>
            <w:r w:rsidRPr="0053423A">
              <w:rPr>
                <w:rFonts w:eastAsia="Times New Roman" w:cs="Times New Roman"/>
                <w:sz w:val="20"/>
                <w:szCs w:val="20"/>
                <w:lang w:val="ru-RU"/>
              </w:rPr>
              <w:t xml:space="preserve">»  </w:t>
            </w:r>
            <w:r w:rsidRPr="0053423A">
              <w:rPr>
                <w:rFonts w:eastAsia="Calibri" w:cs="Sylfaen"/>
                <w:sz w:val="20"/>
                <w:szCs w:val="20"/>
                <w:lang w:val="hy-AM"/>
              </w:rPr>
              <w:t>բաժնի</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Հանրակրթության</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ոլորտում</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սահմանված</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Կառավարության</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ծրագրային</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նպատակներից</w:t>
            </w:r>
            <w:r w:rsidRPr="0053423A">
              <w:rPr>
                <w:rFonts w:eastAsia="Calibri" w:cs="Arian AMU"/>
                <w:sz w:val="20"/>
                <w:szCs w:val="20"/>
                <w:lang w:val="ru-RU"/>
              </w:rPr>
              <w:t xml:space="preserve">: </w:t>
            </w:r>
          </w:p>
          <w:p w:rsidR="00154773" w:rsidRPr="0053423A" w:rsidRDefault="00154773" w:rsidP="00154773">
            <w:pPr>
              <w:jc w:val="both"/>
              <w:rPr>
                <w:sz w:val="20"/>
                <w:szCs w:val="20"/>
                <w:lang w:val="af-ZA"/>
              </w:rPr>
            </w:pPr>
            <w:r w:rsidRPr="0053423A">
              <w:rPr>
                <w:sz w:val="20"/>
                <w:szCs w:val="20"/>
              </w:rPr>
              <w:t>Հանրակրթական</w:t>
            </w:r>
            <w:r w:rsidRPr="0053423A">
              <w:rPr>
                <w:sz w:val="20"/>
                <w:szCs w:val="20"/>
                <w:lang w:val="af-ZA"/>
              </w:rPr>
              <w:t xml:space="preserve"> </w:t>
            </w:r>
            <w:r w:rsidRPr="0053423A">
              <w:rPr>
                <w:sz w:val="20"/>
                <w:szCs w:val="20"/>
              </w:rPr>
              <w:t>դպրոցների</w:t>
            </w:r>
            <w:r w:rsidRPr="0053423A">
              <w:rPr>
                <w:sz w:val="20"/>
                <w:szCs w:val="20"/>
                <w:lang w:val="af-ZA"/>
              </w:rPr>
              <w:t xml:space="preserve"> </w:t>
            </w:r>
            <w:r w:rsidRPr="0053423A">
              <w:rPr>
                <w:sz w:val="20"/>
                <w:szCs w:val="20"/>
              </w:rPr>
              <w:t>կառավարման</w:t>
            </w:r>
            <w:r w:rsidRPr="0053423A">
              <w:rPr>
                <w:sz w:val="20"/>
                <w:szCs w:val="20"/>
                <w:lang w:val="af-ZA"/>
              </w:rPr>
              <w:t xml:space="preserve"> </w:t>
            </w:r>
            <w:r w:rsidRPr="0053423A">
              <w:rPr>
                <w:sz w:val="20"/>
                <w:szCs w:val="20"/>
              </w:rPr>
              <w:t>խորհուրդները</w:t>
            </w:r>
            <w:r w:rsidRPr="0053423A">
              <w:rPr>
                <w:sz w:val="20"/>
                <w:szCs w:val="20"/>
                <w:lang w:val="af-ZA"/>
              </w:rPr>
              <w:t xml:space="preserve"> </w:t>
            </w:r>
            <w:r w:rsidRPr="0053423A">
              <w:rPr>
                <w:sz w:val="20"/>
                <w:szCs w:val="20"/>
              </w:rPr>
              <w:t>քաղաքական</w:t>
            </w:r>
            <w:r w:rsidRPr="0053423A">
              <w:rPr>
                <w:sz w:val="20"/>
                <w:szCs w:val="20"/>
                <w:lang w:val="af-ZA"/>
              </w:rPr>
              <w:t xml:space="preserve"> </w:t>
            </w:r>
            <w:r w:rsidRPr="0053423A">
              <w:rPr>
                <w:sz w:val="20"/>
                <w:szCs w:val="20"/>
              </w:rPr>
              <w:t>գործընթացներից</w:t>
            </w:r>
            <w:r w:rsidRPr="0053423A">
              <w:rPr>
                <w:sz w:val="20"/>
                <w:szCs w:val="20"/>
                <w:lang w:val="af-ZA"/>
              </w:rPr>
              <w:t xml:space="preserve">, </w:t>
            </w:r>
            <w:r w:rsidRPr="0053423A">
              <w:rPr>
                <w:sz w:val="20"/>
                <w:szCs w:val="20"/>
              </w:rPr>
              <w:t>շրջանակներից</w:t>
            </w:r>
            <w:r w:rsidRPr="0053423A">
              <w:rPr>
                <w:sz w:val="20"/>
                <w:szCs w:val="20"/>
                <w:lang w:val="af-ZA"/>
              </w:rPr>
              <w:t xml:space="preserve"> </w:t>
            </w:r>
            <w:r w:rsidRPr="0053423A">
              <w:rPr>
                <w:sz w:val="20"/>
                <w:szCs w:val="20"/>
              </w:rPr>
              <w:t>զերծ</w:t>
            </w:r>
            <w:r w:rsidRPr="0053423A">
              <w:rPr>
                <w:sz w:val="20"/>
                <w:szCs w:val="20"/>
                <w:lang w:val="af-ZA"/>
              </w:rPr>
              <w:t xml:space="preserve"> </w:t>
            </w:r>
            <w:r w:rsidRPr="0053423A">
              <w:rPr>
                <w:sz w:val="20"/>
                <w:szCs w:val="20"/>
              </w:rPr>
              <w:t>պահելու</w:t>
            </w:r>
            <w:r w:rsidRPr="0053423A">
              <w:rPr>
                <w:sz w:val="20"/>
                <w:szCs w:val="20"/>
                <w:lang w:val="af-ZA"/>
              </w:rPr>
              <w:t xml:space="preserve">, </w:t>
            </w:r>
            <w:r w:rsidRPr="0053423A">
              <w:rPr>
                <w:sz w:val="20"/>
                <w:szCs w:val="20"/>
              </w:rPr>
              <w:t>հետևաբար՝</w:t>
            </w:r>
            <w:r w:rsidRPr="0053423A">
              <w:rPr>
                <w:sz w:val="20"/>
                <w:szCs w:val="20"/>
                <w:lang w:val="af-ZA"/>
              </w:rPr>
              <w:t xml:space="preserve"> </w:t>
            </w:r>
            <w:r w:rsidRPr="0053423A">
              <w:rPr>
                <w:sz w:val="20"/>
                <w:szCs w:val="20"/>
              </w:rPr>
              <w:t>դպրոցի</w:t>
            </w:r>
            <w:r w:rsidRPr="0053423A">
              <w:rPr>
                <w:sz w:val="20"/>
                <w:szCs w:val="20"/>
                <w:lang w:val="af-ZA"/>
              </w:rPr>
              <w:t xml:space="preserve"> </w:t>
            </w:r>
            <w:r w:rsidRPr="0053423A">
              <w:rPr>
                <w:sz w:val="20"/>
                <w:szCs w:val="20"/>
              </w:rPr>
              <w:t>կառավարման</w:t>
            </w:r>
            <w:r w:rsidRPr="0053423A">
              <w:rPr>
                <w:sz w:val="20"/>
                <w:szCs w:val="20"/>
                <w:lang w:val="af-ZA"/>
              </w:rPr>
              <w:t xml:space="preserve"> </w:t>
            </w:r>
            <w:r w:rsidRPr="0053423A">
              <w:rPr>
                <w:sz w:val="20"/>
                <w:szCs w:val="20"/>
              </w:rPr>
              <w:t>գործընթացը</w:t>
            </w:r>
            <w:r w:rsidRPr="0053423A">
              <w:rPr>
                <w:sz w:val="20"/>
                <w:szCs w:val="20"/>
                <w:lang w:val="af-ZA"/>
              </w:rPr>
              <w:t xml:space="preserve"> </w:t>
            </w:r>
            <w:r w:rsidRPr="0053423A">
              <w:rPr>
                <w:sz w:val="20"/>
                <w:szCs w:val="20"/>
              </w:rPr>
              <w:t>ամբողջապես</w:t>
            </w:r>
            <w:r w:rsidRPr="0053423A">
              <w:rPr>
                <w:sz w:val="20"/>
                <w:szCs w:val="20"/>
                <w:lang w:val="af-ZA"/>
              </w:rPr>
              <w:t xml:space="preserve"> </w:t>
            </w:r>
            <w:r w:rsidRPr="0053423A">
              <w:rPr>
                <w:sz w:val="20"/>
                <w:szCs w:val="20"/>
              </w:rPr>
              <w:t>օբյեկտիվ</w:t>
            </w:r>
            <w:r w:rsidRPr="0053423A">
              <w:rPr>
                <w:sz w:val="20"/>
                <w:szCs w:val="20"/>
                <w:lang w:val="af-ZA"/>
              </w:rPr>
              <w:t xml:space="preserve"> </w:t>
            </w:r>
            <w:r w:rsidRPr="0053423A">
              <w:rPr>
                <w:sz w:val="20"/>
                <w:szCs w:val="20"/>
              </w:rPr>
              <w:t>իրականացնելու</w:t>
            </w:r>
            <w:r w:rsidRPr="0053423A">
              <w:rPr>
                <w:sz w:val="20"/>
                <w:szCs w:val="20"/>
                <w:lang w:val="af-ZA"/>
              </w:rPr>
              <w:t xml:space="preserve"> </w:t>
            </w:r>
            <w:r w:rsidRPr="0053423A">
              <w:rPr>
                <w:sz w:val="20"/>
                <w:szCs w:val="20"/>
              </w:rPr>
              <w:t>և</w:t>
            </w:r>
            <w:r w:rsidRPr="0053423A">
              <w:rPr>
                <w:sz w:val="20"/>
                <w:szCs w:val="20"/>
                <w:lang w:val="ru-RU"/>
              </w:rPr>
              <w:t xml:space="preserve"> </w:t>
            </w:r>
            <w:r w:rsidRPr="0053423A">
              <w:rPr>
                <w:sz w:val="20"/>
                <w:szCs w:val="20"/>
              </w:rPr>
              <w:t>դպրոցի</w:t>
            </w:r>
            <w:r w:rsidRPr="0053423A">
              <w:rPr>
                <w:sz w:val="20"/>
                <w:szCs w:val="20"/>
                <w:lang w:val="af-ZA"/>
              </w:rPr>
              <w:t xml:space="preserve"> </w:t>
            </w:r>
            <w:r w:rsidRPr="0053423A">
              <w:rPr>
                <w:sz w:val="20"/>
                <w:szCs w:val="20"/>
              </w:rPr>
              <w:t>համագործակցության</w:t>
            </w:r>
            <w:r w:rsidRPr="0053423A">
              <w:rPr>
                <w:sz w:val="20"/>
                <w:szCs w:val="20"/>
                <w:lang w:val="af-ZA"/>
              </w:rPr>
              <w:t xml:space="preserve"> </w:t>
            </w:r>
            <w:r w:rsidRPr="0053423A">
              <w:rPr>
                <w:sz w:val="20"/>
                <w:szCs w:val="20"/>
              </w:rPr>
              <w:t>շրջանակն</w:t>
            </w:r>
            <w:r w:rsidRPr="0053423A">
              <w:rPr>
                <w:sz w:val="20"/>
                <w:szCs w:val="20"/>
                <w:lang w:val="af-ZA"/>
              </w:rPr>
              <w:t xml:space="preserve"> </w:t>
            </w:r>
            <w:r w:rsidRPr="0053423A">
              <w:rPr>
                <w:sz w:val="20"/>
                <w:szCs w:val="20"/>
              </w:rPr>
              <w:t>ընդլայնելու</w:t>
            </w:r>
            <w:r w:rsidRPr="0053423A">
              <w:rPr>
                <w:sz w:val="20"/>
                <w:szCs w:val="20"/>
                <w:lang w:val="af-ZA"/>
              </w:rPr>
              <w:t xml:space="preserve"> </w:t>
            </w:r>
            <w:r w:rsidRPr="0053423A">
              <w:rPr>
                <w:sz w:val="20"/>
                <w:szCs w:val="20"/>
              </w:rPr>
              <w:t>նպատակով</w:t>
            </w:r>
            <w:r w:rsidRPr="0053423A">
              <w:rPr>
                <w:sz w:val="20"/>
                <w:szCs w:val="20"/>
                <w:lang w:val="af-ZA"/>
              </w:rPr>
              <w:t xml:space="preserve"> </w:t>
            </w:r>
            <w:r w:rsidRPr="0053423A">
              <w:rPr>
                <w:sz w:val="20"/>
                <w:szCs w:val="20"/>
              </w:rPr>
              <w:t>անհրաժեշտ</w:t>
            </w:r>
            <w:r w:rsidRPr="0053423A">
              <w:rPr>
                <w:sz w:val="20"/>
                <w:szCs w:val="20"/>
                <w:lang w:val="af-ZA"/>
              </w:rPr>
              <w:t xml:space="preserve"> </w:t>
            </w:r>
            <w:r w:rsidRPr="0053423A">
              <w:rPr>
                <w:sz w:val="20"/>
                <w:szCs w:val="20"/>
              </w:rPr>
              <w:t>է</w:t>
            </w:r>
            <w:r w:rsidRPr="0053423A">
              <w:rPr>
                <w:sz w:val="20"/>
                <w:szCs w:val="20"/>
                <w:lang w:val="af-ZA"/>
              </w:rPr>
              <w:t xml:space="preserve"> </w:t>
            </w:r>
            <w:r w:rsidRPr="0053423A">
              <w:rPr>
                <w:sz w:val="20"/>
                <w:szCs w:val="20"/>
              </w:rPr>
              <w:t>դպրոցների</w:t>
            </w:r>
            <w:r w:rsidRPr="0053423A">
              <w:rPr>
                <w:sz w:val="20"/>
                <w:szCs w:val="20"/>
                <w:lang w:val="af-ZA"/>
              </w:rPr>
              <w:t xml:space="preserve"> </w:t>
            </w:r>
            <w:r w:rsidRPr="0053423A">
              <w:rPr>
                <w:sz w:val="20"/>
                <w:szCs w:val="20"/>
              </w:rPr>
              <w:t>կառավարման</w:t>
            </w:r>
            <w:r w:rsidRPr="0053423A">
              <w:rPr>
                <w:sz w:val="20"/>
                <w:szCs w:val="20"/>
                <w:lang w:val="af-ZA"/>
              </w:rPr>
              <w:t xml:space="preserve"> </w:t>
            </w:r>
            <w:r w:rsidRPr="0053423A">
              <w:rPr>
                <w:sz w:val="20"/>
                <w:szCs w:val="20"/>
              </w:rPr>
              <w:t>խորհուրդների</w:t>
            </w:r>
            <w:r w:rsidRPr="0053423A">
              <w:rPr>
                <w:sz w:val="20"/>
                <w:szCs w:val="20"/>
                <w:lang w:val="af-ZA"/>
              </w:rPr>
              <w:t xml:space="preserve"> </w:t>
            </w:r>
            <w:r w:rsidRPr="0053423A">
              <w:rPr>
                <w:sz w:val="20"/>
                <w:szCs w:val="20"/>
              </w:rPr>
              <w:t>վերակազմակերպման</w:t>
            </w:r>
            <w:r w:rsidRPr="0053423A">
              <w:rPr>
                <w:sz w:val="20"/>
                <w:szCs w:val="20"/>
                <w:lang w:val="af-ZA"/>
              </w:rPr>
              <w:t xml:space="preserve"> </w:t>
            </w:r>
            <w:r w:rsidRPr="0053423A">
              <w:rPr>
                <w:sz w:val="20"/>
                <w:szCs w:val="20"/>
              </w:rPr>
              <w:t>գործընթաց</w:t>
            </w:r>
            <w:r w:rsidRPr="0053423A">
              <w:rPr>
                <w:sz w:val="20"/>
                <w:szCs w:val="20"/>
                <w:lang w:val="af-ZA"/>
              </w:rPr>
              <w:t xml:space="preserve"> </w:t>
            </w:r>
            <w:r w:rsidRPr="0053423A">
              <w:rPr>
                <w:sz w:val="20"/>
                <w:szCs w:val="20"/>
              </w:rPr>
              <w:t>իրականացնել</w:t>
            </w:r>
            <w:r w:rsidRPr="0053423A">
              <w:rPr>
                <w:sz w:val="20"/>
                <w:szCs w:val="20"/>
                <w:lang w:val="af-ZA"/>
              </w:rPr>
              <w:t>:</w:t>
            </w:r>
          </w:p>
          <w:p w:rsidR="00154773" w:rsidRPr="0053423A" w:rsidRDefault="00154773" w:rsidP="00154773">
            <w:pPr>
              <w:jc w:val="both"/>
              <w:rPr>
                <w:sz w:val="20"/>
                <w:szCs w:val="20"/>
                <w:lang w:val="af-ZA"/>
              </w:rPr>
            </w:pPr>
          </w:p>
          <w:p w:rsidR="00154773" w:rsidRPr="0053423A" w:rsidRDefault="00154773" w:rsidP="00154773">
            <w:pPr>
              <w:ind w:left="284"/>
              <w:contextualSpacing/>
              <w:jc w:val="both"/>
              <w:rPr>
                <w:rFonts w:eastAsia="Calibri" w:cs="Sylfaen"/>
                <w:b/>
                <w:sz w:val="20"/>
                <w:szCs w:val="20"/>
                <w:lang w:val="af-ZA"/>
              </w:rPr>
            </w:pPr>
            <w:r w:rsidRPr="0053423A">
              <w:rPr>
                <w:rFonts w:eastAsia="Calibri" w:cs="Sylfaen"/>
                <w:b/>
                <w:sz w:val="20"/>
                <w:szCs w:val="20"/>
                <w:lang w:val="af-ZA"/>
              </w:rPr>
              <w:t xml:space="preserve">1.1. </w:t>
            </w:r>
            <w:r w:rsidRPr="0053423A">
              <w:rPr>
                <w:rFonts w:eastAsia="Calibri" w:cs="Sylfaen"/>
                <w:b/>
                <w:sz w:val="20"/>
                <w:szCs w:val="20"/>
              </w:rPr>
              <w:t>կ</w:t>
            </w:r>
            <w:r w:rsidRPr="0053423A">
              <w:rPr>
                <w:rFonts w:eastAsia="Calibri" w:cs="Sylfaen"/>
                <w:b/>
                <w:sz w:val="20"/>
                <w:szCs w:val="20"/>
                <w:lang w:val="ru-RU"/>
              </w:rPr>
              <w:t>արգավորման</w:t>
            </w:r>
            <w:r w:rsidRPr="0053423A">
              <w:rPr>
                <w:rFonts w:eastAsia="Calibri" w:cs="Sylfaen"/>
                <w:b/>
                <w:sz w:val="20"/>
                <w:szCs w:val="20"/>
                <w:lang w:val="af-ZA"/>
              </w:rPr>
              <w:t xml:space="preserve"> </w:t>
            </w:r>
            <w:r w:rsidRPr="0053423A">
              <w:rPr>
                <w:rFonts w:eastAsia="Calibri" w:cs="Sylfaen"/>
                <w:b/>
                <w:sz w:val="20"/>
                <w:szCs w:val="20"/>
                <w:lang w:val="ru-RU"/>
              </w:rPr>
              <w:t>հարաբերությունների</w:t>
            </w:r>
            <w:r w:rsidRPr="0053423A">
              <w:rPr>
                <w:rFonts w:eastAsia="Calibri" w:cs="Sylfaen"/>
                <w:b/>
                <w:sz w:val="20"/>
                <w:szCs w:val="20"/>
                <w:lang w:val="af-ZA"/>
              </w:rPr>
              <w:t xml:space="preserve"> </w:t>
            </w:r>
            <w:r w:rsidRPr="0053423A">
              <w:rPr>
                <w:rFonts w:eastAsia="Calibri" w:cs="Sylfaen"/>
                <w:b/>
                <w:sz w:val="20"/>
                <w:szCs w:val="20"/>
                <w:lang w:val="ru-RU"/>
              </w:rPr>
              <w:t>ներկա</w:t>
            </w:r>
            <w:r w:rsidRPr="0053423A">
              <w:rPr>
                <w:rFonts w:eastAsia="Calibri" w:cs="Sylfaen"/>
                <w:b/>
                <w:sz w:val="20"/>
                <w:szCs w:val="20"/>
                <w:lang w:val="af-ZA"/>
              </w:rPr>
              <w:t xml:space="preserve"> </w:t>
            </w:r>
            <w:r w:rsidRPr="0053423A">
              <w:rPr>
                <w:rFonts w:eastAsia="Calibri" w:cs="Sylfaen"/>
                <w:b/>
                <w:sz w:val="20"/>
                <w:szCs w:val="20"/>
                <w:lang w:val="ru-RU"/>
              </w:rPr>
              <w:t>վիճակը</w:t>
            </w:r>
            <w:r w:rsidRPr="0053423A">
              <w:rPr>
                <w:rFonts w:eastAsia="Calibri" w:cs="Sylfaen"/>
                <w:b/>
                <w:sz w:val="20"/>
                <w:szCs w:val="20"/>
                <w:lang w:val="af-ZA"/>
              </w:rPr>
              <w:t xml:space="preserve"> </w:t>
            </w:r>
            <w:r w:rsidRPr="0053423A">
              <w:rPr>
                <w:rFonts w:eastAsia="Calibri" w:cs="Sylfaen"/>
                <w:b/>
                <w:sz w:val="20"/>
                <w:szCs w:val="20"/>
                <w:lang w:val="ru-RU"/>
              </w:rPr>
              <w:t>և</w:t>
            </w:r>
            <w:r w:rsidRPr="0053423A">
              <w:rPr>
                <w:rFonts w:eastAsia="Calibri" w:cs="Sylfaen"/>
                <w:b/>
                <w:sz w:val="20"/>
                <w:szCs w:val="20"/>
                <w:lang w:val="af-ZA"/>
              </w:rPr>
              <w:t xml:space="preserve"> </w:t>
            </w:r>
            <w:r w:rsidRPr="0053423A">
              <w:rPr>
                <w:rFonts w:eastAsia="Calibri" w:cs="Sylfaen"/>
                <w:b/>
                <w:sz w:val="20"/>
                <w:szCs w:val="20"/>
                <w:lang w:val="ru-RU"/>
              </w:rPr>
              <w:t>առկա</w:t>
            </w:r>
            <w:r w:rsidRPr="0053423A">
              <w:rPr>
                <w:rFonts w:eastAsia="Calibri" w:cs="Sylfaen"/>
                <w:b/>
                <w:sz w:val="20"/>
                <w:szCs w:val="20"/>
                <w:lang w:val="af-ZA"/>
              </w:rPr>
              <w:t xml:space="preserve"> </w:t>
            </w:r>
            <w:r w:rsidRPr="0053423A">
              <w:rPr>
                <w:rFonts w:eastAsia="Calibri" w:cs="Sylfaen"/>
                <w:b/>
                <w:sz w:val="20"/>
                <w:szCs w:val="20"/>
                <w:lang w:val="ru-RU"/>
              </w:rPr>
              <w:t>խնդիրները</w:t>
            </w:r>
          </w:p>
          <w:p w:rsidR="00154773" w:rsidRPr="0053423A" w:rsidRDefault="00154773" w:rsidP="00154773">
            <w:pPr>
              <w:jc w:val="both"/>
              <w:rPr>
                <w:sz w:val="20"/>
                <w:szCs w:val="20"/>
                <w:lang w:val="af-ZA"/>
              </w:rPr>
            </w:pPr>
          </w:p>
          <w:p w:rsidR="00154773" w:rsidRPr="0053423A" w:rsidRDefault="00154773" w:rsidP="00154773">
            <w:pPr>
              <w:jc w:val="both"/>
              <w:rPr>
                <w:rFonts w:cs="Sylfaen"/>
                <w:sz w:val="20"/>
                <w:szCs w:val="20"/>
                <w:lang w:val="af-ZA"/>
              </w:rPr>
            </w:pPr>
          </w:p>
          <w:p w:rsidR="00154773" w:rsidRPr="0053423A" w:rsidRDefault="00154773" w:rsidP="00154773">
            <w:pPr>
              <w:ind w:firstLine="360"/>
              <w:jc w:val="both"/>
              <w:rPr>
                <w:sz w:val="20"/>
                <w:szCs w:val="20"/>
                <w:lang w:val="af-ZA"/>
              </w:rPr>
            </w:pPr>
            <w:r w:rsidRPr="0053423A">
              <w:rPr>
                <w:rFonts w:cs="Sylfaen"/>
                <w:sz w:val="20"/>
                <w:szCs w:val="20"/>
                <w:lang w:val="af-ZA"/>
              </w:rPr>
              <w:t xml:space="preserve"> Հանրակրթական դպրոցների </w:t>
            </w:r>
            <w:r w:rsidRPr="0053423A">
              <w:rPr>
                <w:sz w:val="20"/>
                <w:szCs w:val="20"/>
              </w:rPr>
              <w:t>կառավարման</w:t>
            </w:r>
            <w:r w:rsidRPr="0053423A">
              <w:rPr>
                <w:sz w:val="20"/>
                <w:szCs w:val="20"/>
                <w:lang w:val="af-ZA"/>
              </w:rPr>
              <w:t xml:space="preserve"> </w:t>
            </w:r>
            <w:r w:rsidRPr="0053423A">
              <w:rPr>
                <w:sz w:val="20"/>
                <w:szCs w:val="20"/>
              </w:rPr>
              <w:t>խորհուրդները</w:t>
            </w:r>
            <w:r w:rsidRPr="0053423A">
              <w:rPr>
                <w:sz w:val="20"/>
                <w:szCs w:val="20"/>
                <w:lang w:val="af-ZA"/>
              </w:rPr>
              <w:t xml:space="preserve"> (</w:t>
            </w:r>
            <w:r w:rsidRPr="0053423A">
              <w:rPr>
                <w:sz w:val="20"/>
                <w:szCs w:val="20"/>
              </w:rPr>
              <w:t>խոշոր</w:t>
            </w:r>
            <w:r w:rsidRPr="0053423A">
              <w:rPr>
                <w:sz w:val="20"/>
                <w:szCs w:val="20"/>
                <w:lang w:val="af-ZA"/>
              </w:rPr>
              <w:t xml:space="preserve"> </w:t>
            </w:r>
            <w:r w:rsidRPr="0053423A">
              <w:rPr>
                <w:sz w:val="20"/>
                <w:szCs w:val="20"/>
              </w:rPr>
              <w:t>հաշվով</w:t>
            </w:r>
            <w:r w:rsidRPr="0053423A">
              <w:rPr>
                <w:sz w:val="20"/>
                <w:szCs w:val="20"/>
                <w:lang w:val="af-ZA"/>
              </w:rPr>
              <w:t>) ոչ միշտ են գործում օբյեկտիվ, այսինքն՝ նրանք իրենց իրավասությունների շրջանակն իրականացնելիս հանդիպում են գործունեությունը սահմանափակող կամ կաշկանդող հանգամանքների:</w:t>
            </w:r>
          </w:p>
          <w:p w:rsidR="00154773" w:rsidRPr="0053423A" w:rsidRDefault="00154773" w:rsidP="00154773">
            <w:pPr>
              <w:ind w:firstLine="360"/>
              <w:jc w:val="both"/>
              <w:rPr>
                <w:sz w:val="20"/>
                <w:szCs w:val="20"/>
                <w:lang w:val="af-ZA"/>
              </w:rPr>
            </w:pPr>
          </w:p>
          <w:p w:rsidR="00154773" w:rsidRPr="0053423A" w:rsidRDefault="00154773" w:rsidP="00154773">
            <w:pPr>
              <w:ind w:left="360"/>
              <w:contextualSpacing/>
              <w:jc w:val="both"/>
              <w:rPr>
                <w:rFonts w:eastAsia="Calibri"/>
                <w:b/>
                <w:sz w:val="20"/>
                <w:szCs w:val="20"/>
                <w:lang w:val="af-ZA"/>
              </w:rPr>
            </w:pPr>
            <w:r w:rsidRPr="0053423A">
              <w:rPr>
                <w:rFonts w:eastAsia="Calibri"/>
                <w:b/>
                <w:sz w:val="20"/>
                <w:szCs w:val="20"/>
                <w:lang w:val="af-ZA"/>
              </w:rPr>
              <w:t xml:space="preserve">1.2. </w:t>
            </w:r>
            <w:r w:rsidRPr="0053423A">
              <w:rPr>
                <w:rFonts w:eastAsia="Calibri"/>
                <w:b/>
                <w:sz w:val="20"/>
                <w:szCs w:val="20"/>
              </w:rPr>
              <w:t>առկա</w:t>
            </w:r>
            <w:r w:rsidRPr="0053423A">
              <w:rPr>
                <w:rFonts w:eastAsia="Calibri"/>
                <w:b/>
                <w:sz w:val="20"/>
                <w:szCs w:val="20"/>
                <w:lang w:val="af-ZA"/>
              </w:rPr>
              <w:t xml:space="preserve"> </w:t>
            </w:r>
            <w:r w:rsidRPr="0053423A">
              <w:rPr>
                <w:rFonts w:eastAsia="Calibri"/>
                <w:b/>
                <w:sz w:val="20"/>
                <w:szCs w:val="20"/>
              </w:rPr>
              <w:t>խնդիրների</w:t>
            </w:r>
            <w:r w:rsidRPr="0053423A">
              <w:rPr>
                <w:rFonts w:eastAsia="Calibri"/>
                <w:b/>
                <w:sz w:val="20"/>
                <w:szCs w:val="20"/>
                <w:lang w:val="af-ZA"/>
              </w:rPr>
              <w:t xml:space="preserve"> </w:t>
            </w:r>
            <w:r w:rsidRPr="0053423A">
              <w:rPr>
                <w:rFonts w:eastAsia="Calibri"/>
                <w:b/>
                <w:sz w:val="20"/>
                <w:szCs w:val="20"/>
              </w:rPr>
              <w:t>առաջարկվող</w:t>
            </w:r>
            <w:r w:rsidRPr="0053423A">
              <w:rPr>
                <w:rFonts w:eastAsia="Calibri"/>
                <w:b/>
                <w:sz w:val="20"/>
                <w:szCs w:val="20"/>
                <w:lang w:val="af-ZA"/>
              </w:rPr>
              <w:t xml:space="preserve"> </w:t>
            </w:r>
            <w:r w:rsidRPr="0053423A">
              <w:rPr>
                <w:rFonts w:eastAsia="Calibri"/>
                <w:b/>
                <w:sz w:val="20"/>
                <w:szCs w:val="20"/>
              </w:rPr>
              <w:t>լուծումները</w:t>
            </w:r>
          </w:p>
          <w:p w:rsidR="00154773" w:rsidRPr="0053423A" w:rsidRDefault="00154773" w:rsidP="00154773">
            <w:pPr>
              <w:ind w:left="360"/>
              <w:contextualSpacing/>
              <w:jc w:val="both"/>
              <w:rPr>
                <w:rFonts w:eastAsia="Calibri"/>
                <w:b/>
                <w:sz w:val="20"/>
                <w:szCs w:val="20"/>
                <w:lang w:val="af-ZA"/>
              </w:rPr>
            </w:pPr>
          </w:p>
          <w:p w:rsidR="00154773" w:rsidRPr="0053423A" w:rsidRDefault="00154773" w:rsidP="00154773">
            <w:pPr>
              <w:ind w:firstLine="360"/>
              <w:jc w:val="both"/>
              <w:rPr>
                <w:sz w:val="20"/>
                <w:szCs w:val="20"/>
                <w:lang w:val="af-ZA"/>
              </w:rPr>
            </w:pPr>
            <w:r w:rsidRPr="0053423A">
              <w:rPr>
                <w:sz w:val="20"/>
                <w:szCs w:val="20"/>
              </w:rPr>
              <w:t>Օրենսդրական</w:t>
            </w:r>
            <w:r w:rsidRPr="0053423A">
              <w:rPr>
                <w:sz w:val="20"/>
                <w:szCs w:val="20"/>
                <w:lang w:val="af-ZA"/>
              </w:rPr>
              <w:t xml:space="preserve"> </w:t>
            </w:r>
            <w:r w:rsidRPr="0053423A">
              <w:rPr>
                <w:sz w:val="20"/>
                <w:szCs w:val="20"/>
              </w:rPr>
              <w:t>համապատասխան</w:t>
            </w:r>
            <w:r w:rsidRPr="0053423A">
              <w:rPr>
                <w:sz w:val="20"/>
                <w:szCs w:val="20"/>
                <w:lang w:val="af-ZA"/>
              </w:rPr>
              <w:t xml:space="preserve"> </w:t>
            </w:r>
            <w:r w:rsidRPr="0053423A">
              <w:rPr>
                <w:sz w:val="20"/>
                <w:szCs w:val="20"/>
              </w:rPr>
              <w:t>փոփոխությունների</w:t>
            </w:r>
            <w:r w:rsidRPr="0053423A">
              <w:rPr>
                <w:sz w:val="20"/>
                <w:szCs w:val="20"/>
                <w:lang w:val="af-ZA"/>
              </w:rPr>
              <w:t xml:space="preserve"> </w:t>
            </w:r>
            <w:r w:rsidRPr="0053423A">
              <w:rPr>
                <w:sz w:val="20"/>
                <w:szCs w:val="20"/>
              </w:rPr>
              <w:t>արդյունքում</w:t>
            </w:r>
            <w:r w:rsidRPr="0053423A">
              <w:rPr>
                <w:sz w:val="20"/>
                <w:szCs w:val="20"/>
                <w:lang w:val="af-ZA"/>
              </w:rPr>
              <w:t xml:space="preserve"> </w:t>
            </w:r>
            <w:r w:rsidRPr="0053423A">
              <w:rPr>
                <w:sz w:val="20"/>
                <w:szCs w:val="20"/>
              </w:rPr>
              <w:t>ապահովել</w:t>
            </w:r>
            <w:r w:rsidRPr="0053423A">
              <w:rPr>
                <w:sz w:val="20"/>
                <w:szCs w:val="20"/>
                <w:lang w:val="af-ZA"/>
              </w:rPr>
              <w:t xml:space="preserve"> </w:t>
            </w:r>
            <w:r w:rsidRPr="0053423A">
              <w:rPr>
                <w:sz w:val="20"/>
                <w:szCs w:val="20"/>
              </w:rPr>
              <w:t>հանրակրթական</w:t>
            </w:r>
            <w:r w:rsidRPr="0053423A">
              <w:rPr>
                <w:sz w:val="20"/>
                <w:szCs w:val="20"/>
                <w:lang w:val="af-ZA"/>
              </w:rPr>
              <w:t xml:space="preserve"> </w:t>
            </w:r>
            <w:r w:rsidRPr="0053423A">
              <w:rPr>
                <w:sz w:val="20"/>
                <w:szCs w:val="20"/>
              </w:rPr>
              <w:t>դպրոցների</w:t>
            </w:r>
            <w:r w:rsidRPr="0053423A">
              <w:rPr>
                <w:sz w:val="20"/>
                <w:szCs w:val="20"/>
                <w:lang w:val="af-ZA"/>
              </w:rPr>
              <w:t xml:space="preserve"> </w:t>
            </w:r>
            <w:r w:rsidRPr="0053423A">
              <w:rPr>
                <w:sz w:val="20"/>
                <w:szCs w:val="20"/>
              </w:rPr>
              <w:t>կառավարման</w:t>
            </w:r>
            <w:r w:rsidRPr="0053423A">
              <w:rPr>
                <w:sz w:val="20"/>
                <w:szCs w:val="20"/>
                <w:lang w:val="af-ZA"/>
              </w:rPr>
              <w:t xml:space="preserve"> </w:t>
            </w:r>
            <w:r w:rsidRPr="0053423A">
              <w:rPr>
                <w:sz w:val="20"/>
                <w:szCs w:val="20"/>
              </w:rPr>
              <w:t>խորհուրդների</w:t>
            </w:r>
            <w:r w:rsidRPr="0053423A">
              <w:rPr>
                <w:sz w:val="20"/>
                <w:szCs w:val="20"/>
                <w:lang w:val="af-ZA"/>
              </w:rPr>
              <w:t xml:space="preserve"> </w:t>
            </w:r>
            <w:r w:rsidRPr="0053423A">
              <w:rPr>
                <w:sz w:val="20"/>
                <w:szCs w:val="20"/>
              </w:rPr>
              <w:t>լիարժեք</w:t>
            </w:r>
            <w:r w:rsidRPr="0053423A">
              <w:rPr>
                <w:sz w:val="20"/>
                <w:szCs w:val="20"/>
                <w:lang w:val="af-ZA"/>
              </w:rPr>
              <w:t xml:space="preserve"> </w:t>
            </w:r>
            <w:r w:rsidRPr="0053423A">
              <w:rPr>
                <w:sz w:val="20"/>
                <w:szCs w:val="20"/>
              </w:rPr>
              <w:t>անկախ</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ապաքաղաքական</w:t>
            </w:r>
            <w:r w:rsidRPr="0053423A">
              <w:rPr>
                <w:sz w:val="20"/>
                <w:szCs w:val="20"/>
                <w:lang w:val="af-ZA"/>
              </w:rPr>
              <w:t xml:space="preserve"> </w:t>
            </w:r>
            <w:r w:rsidRPr="0053423A">
              <w:rPr>
                <w:sz w:val="20"/>
                <w:szCs w:val="20"/>
              </w:rPr>
              <w:t>գործունեությունը</w:t>
            </w:r>
            <w:r w:rsidRPr="0053423A">
              <w:rPr>
                <w:sz w:val="20"/>
                <w:szCs w:val="20"/>
                <w:lang w:val="af-ZA"/>
              </w:rPr>
              <w:t>:</w:t>
            </w:r>
          </w:p>
          <w:p w:rsidR="00154773" w:rsidRPr="0053423A" w:rsidRDefault="00154773" w:rsidP="00154773">
            <w:pPr>
              <w:ind w:firstLine="360"/>
              <w:jc w:val="both"/>
              <w:rPr>
                <w:sz w:val="20"/>
                <w:szCs w:val="20"/>
                <w:lang w:val="af-ZA"/>
              </w:rPr>
            </w:pPr>
          </w:p>
          <w:p w:rsidR="00154773" w:rsidRPr="0053423A" w:rsidRDefault="00154773" w:rsidP="00154773">
            <w:pPr>
              <w:rPr>
                <w:rFonts w:eastAsia="Calibri" w:cs="Sylfaen"/>
                <w:b/>
                <w:sz w:val="20"/>
                <w:szCs w:val="20"/>
                <w:lang w:val="af-ZA"/>
              </w:rPr>
            </w:pPr>
            <w:r w:rsidRPr="0053423A">
              <w:rPr>
                <w:b/>
                <w:sz w:val="20"/>
                <w:szCs w:val="20"/>
                <w:lang w:val="af-ZA"/>
              </w:rPr>
              <w:t xml:space="preserve">2. </w:t>
            </w:r>
            <w:r w:rsidRPr="0053423A">
              <w:rPr>
                <w:b/>
                <w:sz w:val="20"/>
                <w:szCs w:val="20"/>
              </w:rPr>
              <w:t>Միջոցառման</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r w:rsidRPr="0053423A" w:rsidDel="00C34BAE">
              <w:rPr>
                <w:rFonts w:eastAsia="Calibri" w:cs="Sylfaen"/>
                <w:b/>
                <w:sz w:val="20"/>
                <w:szCs w:val="20"/>
                <w:lang w:val="af-ZA"/>
              </w:rPr>
              <w:t xml:space="preserve"> </w:t>
            </w:r>
            <w:r w:rsidRPr="0053423A">
              <w:rPr>
                <w:rFonts w:eastAsia="Calibri" w:cs="Sylfaen"/>
                <w:b/>
                <w:sz w:val="20"/>
                <w:szCs w:val="20"/>
                <w:lang w:val="af-ZA"/>
              </w:rPr>
              <w:t xml:space="preserve"> </w:t>
            </w:r>
          </w:p>
          <w:p w:rsidR="00154773" w:rsidRPr="0053423A" w:rsidRDefault="00154773" w:rsidP="00154773">
            <w:pPr>
              <w:rPr>
                <w:rFonts w:eastAsia="Calibri" w:cs="Sylfaen"/>
                <w:b/>
                <w:sz w:val="20"/>
                <w:szCs w:val="20"/>
                <w:lang w:val="af-ZA"/>
              </w:rPr>
            </w:pPr>
          </w:p>
          <w:p w:rsidR="00154773" w:rsidRPr="0053423A" w:rsidRDefault="00154773" w:rsidP="00154773">
            <w:pPr>
              <w:jc w:val="center"/>
              <w:rPr>
                <w:rFonts w:eastAsia="Times New Roman" w:cs="Times New Roman"/>
                <w:b/>
                <w:sz w:val="20"/>
                <w:szCs w:val="20"/>
                <w:lang w:val="hy-AM"/>
              </w:rPr>
            </w:pPr>
            <w:r w:rsidRPr="0053423A">
              <w:rPr>
                <w:sz w:val="20"/>
                <w:szCs w:val="20"/>
                <w:lang w:val="af-ZA"/>
              </w:rPr>
              <w:t>Արդյունքում կունենանք համապատասխան իրավական ակտերում հստակ ամրագրված պահանջների իրականացումն ապահովող, անկախ, անկաշկանդ գործող կառավարման խորհուրդներ:</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spacing w:before="120" w:after="120"/>
              <w:jc w:val="center"/>
              <w:rPr>
                <w:rFonts w:eastAsia="Times New Roman" w:cs="Times New Roman"/>
                <w:b/>
                <w:sz w:val="20"/>
                <w:szCs w:val="20"/>
                <w:u w:val="single"/>
                <w:lang w:val="af-ZA"/>
              </w:rPr>
            </w:pPr>
            <w:r w:rsidRPr="0053423A">
              <w:rPr>
                <w:rFonts w:eastAsia="Times New Roman" w:cs="Times New Roman"/>
                <w:b/>
                <w:sz w:val="20"/>
                <w:szCs w:val="20"/>
                <w:u w:val="single"/>
                <w:lang w:val="af-ZA"/>
              </w:rPr>
              <w:t xml:space="preserve">3.4 </w:t>
            </w:r>
            <w:r w:rsidRPr="0053423A">
              <w:rPr>
                <w:rFonts w:eastAsia="Times New Roman" w:cs="Times New Roman"/>
                <w:b/>
                <w:sz w:val="20"/>
                <w:szCs w:val="20"/>
                <w:u w:val="single"/>
                <w:lang w:val="hy-AM"/>
              </w:rPr>
              <w:t>Հանրակրթական</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ուսումնական</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հաստատությունների</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կառավարման</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խորհուրդների</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անդամների</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վերապատրաստումների</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իրականացում</w:t>
            </w:r>
          </w:p>
          <w:p w:rsidR="00154773" w:rsidRPr="0053423A" w:rsidRDefault="00154773" w:rsidP="00154773">
            <w:pPr>
              <w:spacing w:before="120" w:after="120"/>
              <w:rPr>
                <w:rFonts w:eastAsia="Times New Roman" w:cs="Times New Roman"/>
                <w:b/>
                <w:sz w:val="20"/>
                <w:szCs w:val="20"/>
                <w:u w:val="single"/>
                <w:lang w:val="af-ZA"/>
              </w:rPr>
            </w:pPr>
          </w:p>
          <w:p w:rsidR="00154773" w:rsidRPr="0053423A" w:rsidRDefault="00154773" w:rsidP="001F6D5D">
            <w:pPr>
              <w:numPr>
                <w:ilvl w:val="0"/>
                <w:numId w:val="486"/>
              </w:numPr>
              <w:ind w:left="720" w:hanging="450"/>
              <w:contextualSpacing/>
              <w:jc w:val="both"/>
              <w:rPr>
                <w:rFonts w:eastAsia="Calibri"/>
                <w:b/>
                <w:sz w:val="20"/>
                <w:szCs w:val="20"/>
                <w:lang w:val="ru-RU"/>
              </w:rPr>
            </w:pPr>
            <w:r w:rsidRPr="0053423A">
              <w:rPr>
                <w:rFonts w:eastAsia="Calibri" w:cs="Sylfaen"/>
                <w:b/>
                <w:sz w:val="20"/>
                <w:szCs w:val="20"/>
                <w:lang w:val="ru-RU"/>
              </w:rPr>
              <w:t xml:space="preserve">Միջոցառման </w:t>
            </w:r>
            <w:r w:rsidRPr="0053423A">
              <w:rPr>
                <w:rFonts w:eastAsia="Calibri" w:cs="Sylfaen"/>
                <w:b/>
                <w:sz w:val="20"/>
                <w:szCs w:val="20"/>
              </w:rPr>
              <w:t>իրականացման անհրաժեշտությունը</w:t>
            </w:r>
            <w:r w:rsidRPr="0053423A">
              <w:rPr>
                <w:rFonts w:eastAsia="Calibri"/>
                <w:b/>
                <w:sz w:val="20"/>
                <w:szCs w:val="20"/>
                <w:lang w:val="ru-RU"/>
              </w:rPr>
              <w:t xml:space="preserve"> և </w:t>
            </w:r>
            <w:r w:rsidRPr="0053423A">
              <w:rPr>
                <w:rFonts w:eastAsia="Calibri" w:cs="Sylfaen"/>
                <w:b/>
                <w:sz w:val="20"/>
                <w:szCs w:val="20"/>
              </w:rPr>
              <w:t>նպատակը</w:t>
            </w:r>
          </w:p>
          <w:p w:rsidR="00154773" w:rsidRPr="0053423A" w:rsidRDefault="00154773" w:rsidP="00154773">
            <w:pPr>
              <w:ind w:left="284"/>
              <w:contextualSpacing/>
              <w:jc w:val="both"/>
              <w:rPr>
                <w:rFonts w:eastAsia="Calibri"/>
                <w:b/>
                <w:sz w:val="20"/>
                <w:szCs w:val="20"/>
                <w:lang w:val="ru-RU"/>
              </w:rPr>
            </w:pPr>
          </w:p>
          <w:p w:rsidR="00154773" w:rsidRPr="0053423A" w:rsidRDefault="00154773" w:rsidP="00154773">
            <w:pPr>
              <w:shd w:val="clear" w:color="auto" w:fill="FFFFFF"/>
              <w:ind w:firstLine="284"/>
              <w:jc w:val="both"/>
              <w:textAlignment w:val="baseline"/>
              <w:rPr>
                <w:spacing w:val="-4"/>
                <w:sz w:val="20"/>
                <w:szCs w:val="20"/>
                <w:lang w:val="ru-RU"/>
              </w:rPr>
            </w:pPr>
            <w:r w:rsidRPr="0053423A">
              <w:rPr>
                <w:spacing w:val="-4"/>
                <w:sz w:val="20"/>
                <w:szCs w:val="20"/>
              </w:rPr>
              <w:t>Միջոցառման</w:t>
            </w:r>
            <w:r w:rsidRPr="0053423A">
              <w:rPr>
                <w:spacing w:val="-4"/>
                <w:sz w:val="20"/>
                <w:szCs w:val="20"/>
                <w:lang w:val="ru-RU"/>
              </w:rPr>
              <w:t xml:space="preserve"> </w:t>
            </w:r>
            <w:r w:rsidRPr="0053423A">
              <w:rPr>
                <w:spacing w:val="-4"/>
                <w:sz w:val="20"/>
                <w:szCs w:val="20"/>
              </w:rPr>
              <w:t>գլխավոր</w:t>
            </w:r>
            <w:r w:rsidRPr="0053423A">
              <w:rPr>
                <w:spacing w:val="-4"/>
                <w:sz w:val="20"/>
                <w:szCs w:val="20"/>
                <w:lang w:val="ru-RU"/>
              </w:rPr>
              <w:t xml:space="preserve"> </w:t>
            </w:r>
            <w:r w:rsidRPr="0053423A">
              <w:rPr>
                <w:spacing w:val="-4"/>
                <w:sz w:val="20"/>
                <w:szCs w:val="20"/>
              </w:rPr>
              <w:t>նպատակն</w:t>
            </w:r>
            <w:r w:rsidRPr="0053423A">
              <w:rPr>
                <w:spacing w:val="-4"/>
                <w:sz w:val="20"/>
                <w:szCs w:val="20"/>
                <w:lang w:val="ru-RU"/>
              </w:rPr>
              <w:t xml:space="preserve"> </w:t>
            </w:r>
            <w:r w:rsidRPr="0053423A">
              <w:rPr>
                <w:spacing w:val="-4"/>
                <w:sz w:val="20"/>
                <w:szCs w:val="20"/>
              </w:rPr>
              <w:t>է</w:t>
            </w:r>
            <w:r w:rsidRPr="0053423A">
              <w:rPr>
                <w:spacing w:val="-4"/>
                <w:sz w:val="20"/>
                <w:szCs w:val="20"/>
                <w:lang w:val="ru-RU"/>
              </w:rPr>
              <w:t xml:space="preserve">  </w:t>
            </w:r>
            <w:r w:rsidRPr="0053423A">
              <w:rPr>
                <w:spacing w:val="-4"/>
                <w:sz w:val="20"/>
                <w:szCs w:val="20"/>
              </w:rPr>
              <w:t>կրթության</w:t>
            </w:r>
            <w:r w:rsidRPr="0053423A">
              <w:rPr>
                <w:spacing w:val="-4"/>
                <w:sz w:val="20"/>
                <w:szCs w:val="20"/>
                <w:lang w:val="ru-RU"/>
              </w:rPr>
              <w:t xml:space="preserve"> </w:t>
            </w:r>
            <w:r w:rsidRPr="0053423A">
              <w:rPr>
                <w:spacing w:val="-4"/>
                <w:sz w:val="20"/>
                <w:szCs w:val="20"/>
              </w:rPr>
              <w:t>համակարգի</w:t>
            </w:r>
            <w:r w:rsidRPr="0053423A">
              <w:rPr>
                <w:spacing w:val="-4"/>
                <w:sz w:val="20"/>
                <w:szCs w:val="20"/>
                <w:lang w:val="ru-RU"/>
              </w:rPr>
              <w:t xml:space="preserve"> </w:t>
            </w:r>
            <w:r w:rsidRPr="0053423A">
              <w:rPr>
                <w:spacing w:val="-4"/>
                <w:sz w:val="20"/>
                <w:szCs w:val="20"/>
              </w:rPr>
              <w:t>կառավարման</w:t>
            </w:r>
            <w:r w:rsidRPr="0053423A">
              <w:rPr>
                <w:spacing w:val="-4"/>
                <w:sz w:val="20"/>
                <w:szCs w:val="20"/>
                <w:lang w:val="ru-RU"/>
              </w:rPr>
              <w:t xml:space="preserve"> </w:t>
            </w:r>
            <w:r w:rsidRPr="0053423A">
              <w:rPr>
                <w:spacing w:val="-4"/>
                <w:sz w:val="20"/>
                <w:szCs w:val="20"/>
              </w:rPr>
              <w:t>արդյունավետության</w:t>
            </w:r>
            <w:r w:rsidRPr="0053423A">
              <w:rPr>
                <w:spacing w:val="-4"/>
                <w:sz w:val="20"/>
                <w:szCs w:val="20"/>
                <w:lang w:val="ru-RU"/>
              </w:rPr>
              <w:t xml:space="preserve"> </w:t>
            </w:r>
            <w:r w:rsidRPr="0053423A">
              <w:rPr>
                <w:spacing w:val="-4"/>
                <w:sz w:val="20"/>
                <w:szCs w:val="20"/>
              </w:rPr>
              <w:t>բարձրացումը</w:t>
            </w:r>
            <w:r w:rsidRPr="0053423A">
              <w:rPr>
                <w:spacing w:val="-4"/>
                <w:sz w:val="20"/>
                <w:szCs w:val="20"/>
                <w:lang w:val="ru-RU"/>
              </w:rPr>
              <w:t xml:space="preserve">: </w:t>
            </w:r>
          </w:p>
          <w:p w:rsidR="00154773" w:rsidRPr="0053423A" w:rsidRDefault="00154773" w:rsidP="00154773">
            <w:pPr>
              <w:ind w:firstLine="284"/>
              <w:contextualSpacing/>
              <w:jc w:val="both"/>
              <w:rPr>
                <w:rFonts w:eastAsia="Calibri" w:cs="Arian AMU"/>
                <w:sz w:val="20"/>
                <w:szCs w:val="20"/>
                <w:lang w:val="ru-RU"/>
              </w:rPr>
            </w:pPr>
            <w:r w:rsidRPr="0053423A">
              <w:rPr>
                <w:spacing w:val="-4"/>
                <w:sz w:val="20"/>
                <w:szCs w:val="20"/>
              </w:rPr>
              <w:t>Միջոցառումների</w:t>
            </w:r>
            <w:r w:rsidRPr="0053423A">
              <w:rPr>
                <w:spacing w:val="-4"/>
                <w:sz w:val="20"/>
                <w:szCs w:val="20"/>
                <w:lang w:val="ru-RU"/>
              </w:rPr>
              <w:t xml:space="preserve"> </w:t>
            </w:r>
            <w:r w:rsidRPr="0053423A">
              <w:rPr>
                <w:spacing w:val="-4"/>
                <w:sz w:val="20"/>
                <w:szCs w:val="20"/>
              </w:rPr>
              <w:t>անհրաժեշտությունը</w:t>
            </w:r>
            <w:r w:rsidRPr="0053423A">
              <w:rPr>
                <w:spacing w:val="-4"/>
                <w:sz w:val="20"/>
                <w:szCs w:val="20"/>
                <w:lang w:val="ru-RU"/>
              </w:rPr>
              <w:t xml:space="preserve"> </w:t>
            </w:r>
            <w:r w:rsidRPr="0053423A">
              <w:rPr>
                <w:spacing w:val="-4"/>
                <w:sz w:val="20"/>
                <w:szCs w:val="20"/>
              </w:rPr>
              <w:t>բխում</w:t>
            </w:r>
            <w:r w:rsidRPr="0053423A">
              <w:rPr>
                <w:spacing w:val="-4"/>
                <w:sz w:val="20"/>
                <w:szCs w:val="20"/>
                <w:lang w:val="ru-RU"/>
              </w:rPr>
              <w:t xml:space="preserve"> </w:t>
            </w:r>
            <w:r w:rsidRPr="0053423A">
              <w:rPr>
                <w:spacing w:val="-4"/>
                <w:sz w:val="20"/>
                <w:szCs w:val="20"/>
              </w:rPr>
              <w:t>է</w:t>
            </w:r>
            <w:r w:rsidRPr="0053423A">
              <w:rPr>
                <w:spacing w:val="-4"/>
                <w:sz w:val="20"/>
                <w:szCs w:val="20"/>
                <w:lang w:val="ru-RU"/>
              </w:rPr>
              <w:t xml:space="preserve"> </w:t>
            </w:r>
            <w:r w:rsidRPr="0053423A">
              <w:rPr>
                <w:spacing w:val="-4"/>
                <w:sz w:val="20"/>
                <w:szCs w:val="20"/>
              </w:rPr>
              <w:t>ՀՀ</w:t>
            </w:r>
            <w:r w:rsidRPr="0053423A">
              <w:rPr>
                <w:spacing w:val="-4"/>
                <w:sz w:val="20"/>
                <w:szCs w:val="20"/>
                <w:lang w:val="ru-RU"/>
              </w:rPr>
              <w:t xml:space="preserve"> </w:t>
            </w:r>
            <w:r w:rsidRPr="0053423A">
              <w:rPr>
                <w:spacing w:val="-4"/>
                <w:sz w:val="20"/>
                <w:szCs w:val="20"/>
              </w:rPr>
              <w:t>ԱԺ</w:t>
            </w:r>
            <w:r w:rsidRPr="0053423A">
              <w:rPr>
                <w:spacing w:val="-4"/>
                <w:sz w:val="20"/>
                <w:szCs w:val="20"/>
                <w:lang w:val="ru-RU"/>
              </w:rPr>
              <w:t xml:space="preserve"> 2019 </w:t>
            </w:r>
            <w:r w:rsidRPr="0053423A">
              <w:rPr>
                <w:spacing w:val="-4"/>
                <w:sz w:val="20"/>
                <w:szCs w:val="20"/>
              </w:rPr>
              <w:t>թվականի</w:t>
            </w:r>
            <w:r w:rsidRPr="0053423A">
              <w:rPr>
                <w:spacing w:val="-4"/>
                <w:sz w:val="20"/>
                <w:szCs w:val="20"/>
                <w:lang w:val="ru-RU"/>
              </w:rPr>
              <w:t xml:space="preserve"> </w:t>
            </w:r>
            <w:r w:rsidRPr="0053423A">
              <w:rPr>
                <w:spacing w:val="-4"/>
                <w:sz w:val="20"/>
                <w:szCs w:val="20"/>
              </w:rPr>
              <w:t>փետրվարի</w:t>
            </w:r>
            <w:r w:rsidRPr="0053423A">
              <w:rPr>
                <w:spacing w:val="-4"/>
                <w:sz w:val="20"/>
                <w:szCs w:val="20"/>
                <w:lang w:val="ru-RU"/>
              </w:rPr>
              <w:t xml:space="preserve"> 14-</w:t>
            </w:r>
            <w:r w:rsidRPr="0053423A">
              <w:rPr>
                <w:spacing w:val="-4"/>
                <w:sz w:val="20"/>
                <w:szCs w:val="20"/>
              </w:rPr>
              <w:t>ի</w:t>
            </w:r>
            <w:r w:rsidRPr="0053423A">
              <w:rPr>
                <w:spacing w:val="-4"/>
                <w:sz w:val="20"/>
                <w:szCs w:val="20"/>
                <w:lang w:val="ru-RU"/>
              </w:rPr>
              <w:t xml:space="preserve"> </w:t>
            </w:r>
            <w:r w:rsidRPr="0053423A">
              <w:rPr>
                <w:spacing w:val="-4"/>
                <w:sz w:val="20"/>
                <w:szCs w:val="20"/>
              </w:rPr>
              <w:t>ԱԺՈ</w:t>
            </w:r>
            <w:r w:rsidRPr="0053423A">
              <w:rPr>
                <w:spacing w:val="-4"/>
                <w:sz w:val="20"/>
                <w:szCs w:val="20"/>
                <w:lang w:val="ru-RU"/>
              </w:rPr>
              <w:t>-002-</w:t>
            </w:r>
            <w:r w:rsidRPr="0053423A">
              <w:rPr>
                <w:spacing w:val="-4"/>
                <w:sz w:val="20"/>
                <w:szCs w:val="20"/>
              </w:rPr>
              <w:t>Ն</w:t>
            </w:r>
            <w:r w:rsidRPr="0053423A">
              <w:rPr>
                <w:spacing w:val="-4"/>
                <w:sz w:val="20"/>
                <w:szCs w:val="20"/>
                <w:lang w:val="ru-RU"/>
              </w:rPr>
              <w:t xml:space="preserve"> </w:t>
            </w:r>
            <w:r w:rsidRPr="0053423A">
              <w:rPr>
                <w:spacing w:val="-4"/>
                <w:sz w:val="20"/>
                <w:szCs w:val="20"/>
              </w:rPr>
              <w:t>որոշմամբ</w:t>
            </w:r>
            <w:r w:rsidRPr="0053423A">
              <w:rPr>
                <w:spacing w:val="-4"/>
                <w:sz w:val="20"/>
                <w:szCs w:val="20"/>
                <w:lang w:val="ru-RU"/>
              </w:rPr>
              <w:t xml:space="preserve"> </w:t>
            </w:r>
            <w:r w:rsidRPr="0053423A">
              <w:rPr>
                <w:spacing w:val="-4"/>
                <w:sz w:val="20"/>
                <w:szCs w:val="20"/>
              </w:rPr>
              <w:t>հավանության</w:t>
            </w:r>
            <w:r w:rsidRPr="0053423A">
              <w:rPr>
                <w:spacing w:val="-4"/>
                <w:sz w:val="20"/>
                <w:szCs w:val="20"/>
                <w:lang w:val="ru-RU"/>
              </w:rPr>
              <w:t xml:space="preserve"> </w:t>
            </w:r>
            <w:r w:rsidRPr="0053423A">
              <w:rPr>
                <w:spacing w:val="-4"/>
                <w:sz w:val="20"/>
                <w:szCs w:val="20"/>
              </w:rPr>
              <w:t>արժանացած</w:t>
            </w:r>
            <w:r w:rsidRPr="0053423A">
              <w:rPr>
                <w:spacing w:val="-4"/>
                <w:sz w:val="20"/>
                <w:szCs w:val="20"/>
                <w:lang w:val="ru-RU"/>
              </w:rPr>
              <w:t xml:space="preserve"> </w:t>
            </w:r>
            <w:r w:rsidRPr="0053423A">
              <w:rPr>
                <w:spacing w:val="-4"/>
                <w:sz w:val="20"/>
                <w:szCs w:val="20"/>
              </w:rPr>
              <w:t>ՀՀ</w:t>
            </w:r>
            <w:r w:rsidRPr="0053423A">
              <w:rPr>
                <w:spacing w:val="-4"/>
                <w:sz w:val="20"/>
                <w:szCs w:val="20"/>
                <w:lang w:val="ru-RU"/>
              </w:rPr>
              <w:t xml:space="preserve"> </w:t>
            </w:r>
            <w:r w:rsidRPr="0053423A">
              <w:rPr>
                <w:spacing w:val="-4"/>
                <w:sz w:val="20"/>
                <w:szCs w:val="20"/>
              </w:rPr>
              <w:t>կառավարության</w:t>
            </w:r>
            <w:r w:rsidRPr="0053423A">
              <w:rPr>
                <w:spacing w:val="-4"/>
                <w:sz w:val="20"/>
                <w:szCs w:val="20"/>
                <w:lang w:val="ru-RU"/>
              </w:rPr>
              <w:t xml:space="preserve"> </w:t>
            </w:r>
            <w:r w:rsidRPr="0053423A">
              <w:rPr>
                <w:spacing w:val="-4"/>
                <w:sz w:val="20"/>
                <w:szCs w:val="20"/>
              </w:rPr>
              <w:t>ծրագրի</w:t>
            </w:r>
            <w:r w:rsidRPr="0053423A">
              <w:rPr>
                <w:spacing w:val="-4"/>
                <w:sz w:val="20"/>
                <w:szCs w:val="20"/>
                <w:lang w:val="ru-RU"/>
              </w:rPr>
              <w:t xml:space="preserve"> </w:t>
            </w:r>
            <w:r w:rsidRPr="0053423A">
              <w:rPr>
                <w:rFonts w:eastAsia="Times New Roman" w:cs="Times New Roman"/>
                <w:sz w:val="20"/>
                <w:szCs w:val="20"/>
                <w:lang w:val="ru-RU"/>
              </w:rPr>
              <w:t>«</w:t>
            </w:r>
            <w:r w:rsidRPr="0053423A">
              <w:rPr>
                <w:spacing w:val="-4"/>
                <w:sz w:val="20"/>
                <w:szCs w:val="20"/>
                <w:lang w:val="ru-RU"/>
              </w:rPr>
              <w:t xml:space="preserve">4.4 </w:t>
            </w:r>
            <w:r w:rsidRPr="0053423A">
              <w:rPr>
                <w:spacing w:val="-4"/>
                <w:sz w:val="20"/>
                <w:szCs w:val="20"/>
              </w:rPr>
              <w:t>ԿՐԹՈՒԹՅՈՒՆ</w:t>
            </w:r>
            <w:r w:rsidRPr="0053423A">
              <w:rPr>
                <w:spacing w:val="-4"/>
                <w:sz w:val="20"/>
                <w:szCs w:val="20"/>
                <w:lang w:val="ru-RU"/>
              </w:rPr>
              <w:t xml:space="preserve"> </w:t>
            </w:r>
            <w:r w:rsidRPr="0053423A">
              <w:rPr>
                <w:spacing w:val="-4"/>
                <w:sz w:val="20"/>
                <w:szCs w:val="20"/>
              </w:rPr>
              <w:t>ԵՎ</w:t>
            </w:r>
            <w:r w:rsidRPr="0053423A">
              <w:rPr>
                <w:spacing w:val="-4"/>
                <w:sz w:val="20"/>
                <w:szCs w:val="20"/>
                <w:lang w:val="ru-RU"/>
              </w:rPr>
              <w:t xml:space="preserve"> </w:t>
            </w:r>
            <w:r w:rsidRPr="0053423A">
              <w:rPr>
                <w:spacing w:val="-4"/>
                <w:sz w:val="20"/>
                <w:szCs w:val="20"/>
              </w:rPr>
              <w:t>ԳԻՏՈՒԹՅՈՒՆ</w:t>
            </w:r>
            <w:r w:rsidRPr="0053423A">
              <w:rPr>
                <w:rFonts w:eastAsia="Times New Roman" w:cs="Times New Roman"/>
                <w:sz w:val="20"/>
                <w:szCs w:val="20"/>
                <w:lang w:val="ru-RU"/>
              </w:rPr>
              <w:t xml:space="preserve">»  </w:t>
            </w:r>
            <w:r w:rsidRPr="0053423A">
              <w:rPr>
                <w:rFonts w:eastAsia="Calibri" w:cs="Sylfaen"/>
                <w:sz w:val="20"/>
                <w:szCs w:val="20"/>
                <w:lang w:val="hy-AM"/>
              </w:rPr>
              <w:t>բաժնի</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Հանրակրթության</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ոլորտում</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սահմանված</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Կառավարության</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ծրագրային</w:t>
            </w:r>
            <w:r w:rsidRPr="0053423A">
              <w:rPr>
                <w:rFonts w:eastAsia="Times New Roman" w:cs="Times New Roman"/>
                <w:color w:val="000000"/>
                <w:sz w:val="20"/>
                <w:szCs w:val="20"/>
                <w:lang w:val="ru-RU"/>
              </w:rPr>
              <w:t xml:space="preserve"> </w:t>
            </w:r>
            <w:r w:rsidRPr="0053423A">
              <w:rPr>
                <w:rFonts w:eastAsia="Times New Roman" w:cs="Times New Roman"/>
                <w:color w:val="000000"/>
                <w:sz w:val="20"/>
                <w:szCs w:val="20"/>
              </w:rPr>
              <w:t>նպատակներից</w:t>
            </w:r>
            <w:r w:rsidRPr="0053423A">
              <w:rPr>
                <w:rFonts w:eastAsia="Calibri" w:cs="Arian AMU"/>
                <w:sz w:val="20"/>
                <w:szCs w:val="20"/>
                <w:lang w:val="ru-RU"/>
              </w:rPr>
              <w:t xml:space="preserve">: </w:t>
            </w:r>
          </w:p>
          <w:p w:rsidR="00154773" w:rsidRPr="0053423A" w:rsidRDefault="00154773" w:rsidP="00154773">
            <w:pPr>
              <w:ind w:firstLine="284"/>
              <w:jc w:val="both"/>
              <w:rPr>
                <w:b/>
                <w:sz w:val="20"/>
                <w:szCs w:val="20"/>
                <w:lang w:val="af-ZA"/>
              </w:rPr>
            </w:pPr>
            <w:r w:rsidRPr="0053423A">
              <w:rPr>
                <w:color w:val="000000" w:themeColor="text1"/>
                <w:sz w:val="20"/>
                <w:szCs w:val="20"/>
              </w:rPr>
              <w:t>Հանրակրթական</w:t>
            </w:r>
            <w:r w:rsidRPr="0053423A">
              <w:rPr>
                <w:color w:val="000000" w:themeColor="text1"/>
                <w:sz w:val="20"/>
                <w:szCs w:val="20"/>
                <w:lang w:val="af-ZA"/>
              </w:rPr>
              <w:t xml:space="preserve"> </w:t>
            </w:r>
            <w:r w:rsidRPr="0053423A">
              <w:rPr>
                <w:color w:val="000000" w:themeColor="text1"/>
                <w:sz w:val="20"/>
                <w:szCs w:val="20"/>
              </w:rPr>
              <w:t>դպրոցների</w:t>
            </w:r>
            <w:r w:rsidRPr="0053423A">
              <w:rPr>
                <w:color w:val="000000" w:themeColor="text1"/>
                <w:sz w:val="20"/>
                <w:szCs w:val="20"/>
                <w:lang w:val="af-ZA"/>
              </w:rPr>
              <w:t xml:space="preserve"> </w:t>
            </w:r>
            <w:r w:rsidRPr="0053423A">
              <w:rPr>
                <w:color w:val="000000" w:themeColor="text1"/>
                <w:sz w:val="20"/>
                <w:szCs w:val="20"/>
              </w:rPr>
              <w:t>կառավարումն</w:t>
            </w:r>
            <w:r w:rsidRPr="0053423A">
              <w:rPr>
                <w:color w:val="000000" w:themeColor="text1"/>
                <w:sz w:val="20"/>
                <w:szCs w:val="20"/>
                <w:lang w:val="af-ZA"/>
              </w:rPr>
              <w:t xml:space="preserve"> </w:t>
            </w:r>
            <w:r w:rsidRPr="0053423A">
              <w:rPr>
                <w:color w:val="000000" w:themeColor="text1"/>
                <w:sz w:val="20"/>
                <w:szCs w:val="20"/>
              </w:rPr>
              <w:t>ըստ</w:t>
            </w:r>
            <w:r w:rsidRPr="0053423A">
              <w:rPr>
                <w:color w:val="000000" w:themeColor="text1"/>
                <w:sz w:val="20"/>
                <w:szCs w:val="20"/>
                <w:lang w:val="af-ZA"/>
              </w:rPr>
              <w:t xml:space="preserve"> </w:t>
            </w:r>
            <w:r w:rsidRPr="0053423A">
              <w:rPr>
                <w:color w:val="000000" w:themeColor="text1"/>
                <w:sz w:val="20"/>
                <w:szCs w:val="20"/>
              </w:rPr>
              <w:t>էության</w:t>
            </w:r>
            <w:r w:rsidRPr="0053423A">
              <w:rPr>
                <w:color w:val="000000" w:themeColor="text1"/>
                <w:sz w:val="20"/>
                <w:szCs w:val="20"/>
                <w:lang w:val="af-ZA"/>
              </w:rPr>
              <w:t xml:space="preserve"> </w:t>
            </w:r>
            <w:r w:rsidRPr="0053423A">
              <w:rPr>
                <w:color w:val="000000" w:themeColor="text1"/>
                <w:sz w:val="20"/>
                <w:szCs w:val="20"/>
              </w:rPr>
              <w:t>իրականացնելու</w:t>
            </w:r>
            <w:r w:rsidRPr="0053423A">
              <w:rPr>
                <w:color w:val="000000" w:themeColor="text1"/>
                <w:sz w:val="20"/>
                <w:szCs w:val="20"/>
                <w:lang w:val="af-ZA"/>
              </w:rPr>
              <w:t xml:space="preserve">, </w:t>
            </w:r>
            <w:r w:rsidRPr="0053423A">
              <w:rPr>
                <w:color w:val="000000" w:themeColor="text1"/>
                <w:sz w:val="20"/>
                <w:szCs w:val="20"/>
              </w:rPr>
              <w:t>օրենսդրությամբ</w:t>
            </w:r>
            <w:r w:rsidRPr="0053423A">
              <w:rPr>
                <w:color w:val="000000" w:themeColor="text1"/>
                <w:sz w:val="20"/>
                <w:szCs w:val="20"/>
                <w:lang w:val="af-ZA"/>
              </w:rPr>
              <w:t xml:space="preserve"> </w:t>
            </w:r>
            <w:r w:rsidRPr="0053423A">
              <w:rPr>
                <w:color w:val="000000" w:themeColor="text1"/>
                <w:sz w:val="20"/>
                <w:szCs w:val="20"/>
              </w:rPr>
              <w:t>վերապահված</w:t>
            </w:r>
            <w:r w:rsidRPr="0053423A">
              <w:rPr>
                <w:color w:val="000000" w:themeColor="text1"/>
                <w:sz w:val="20"/>
                <w:szCs w:val="20"/>
                <w:lang w:val="af-ZA"/>
              </w:rPr>
              <w:t xml:space="preserve"> </w:t>
            </w:r>
            <w:r w:rsidRPr="0053423A">
              <w:rPr>
                <w:color w:val="000000" w:themeColor="text1"/>
                <w:sz w:val="20"/>
                <w:szCs w:val="20"/>
              </w:rPr>
              <w:t>իրավասություններին</w:t>
            </w:r>
            <w:r w:rsidRPr="0053423A">
              <w:rPr>
                <w:color w:val="000000" w:themeColor="text1"/>
                <w:sz w:val="20"/>
                <w:szCs w:val="20"/>
                <w:lang w:val="af-ZA"/>
              </w:rPr>
              <w:t xml:space="preserve"> </w:t>
            </w:r>
            <w:r w:rsidRPr="0053423A">
              <w:rPr>
                <w:color w:val="000000" w:themeColor="text1"/>
                <w:sz w:val="20"/>
                <w:szCs w:val="20"/>
              </w:rPr>
              <w:t>և</w:t>
            </w:r>
            <w:r w:rsidRPr="0053423A">
              <w:rPr>
                <w:color w:val="000000" w:themeColor="text1"/>
                <w:sz w:val="20"/>
                <w:szCs w:val="20"/>
                <w:lang w:val="af-ZA"/>
              </w:rPr>
              <w:t xml:space="preserve"> </w:t>
            </w:r>
            <w:r w:rsidRPr="0053423A">
              <w:rPr>
                <w:color w:val="000000" w:themeColor="text1"/>
                <w:sz w:val="20"/>
                <w:szCs w:val="20"/>
              </w:rPr>
              <w:t>պարտականություններիn</w:t>
            </w:r>
            <w:r w:rsidRPr="0053423A">
              <w:rPr>
                <w:color w:val="000000" w:themeColor="text1"/>
                <w:sz w:val="20"/>
                <w:szCs w:val="20"/>
                <w:lang w:val="af-ZA"/>
              </w:rPr>
              <w:t xml:space="preserve"> </w:t>
            </w:r>
            <w:r w:rsidRPr="0053423A">
              <w:rPr>
                <w:color w:val="000000" w:themeColor="text1"/>
                <w:sz w:val="20"/>
                <w:szCs w:val="20"/>
              </w:rPr>
              <w:t>լիովին</w:t>
            </w:r>
            <w:r w:rsidRPr="0053423A">
              <w:rPr>
                <w:color w:val="000000" w:themeColor="text1"/>
                <w:sz w:val="20"/>
                <w:szCs w:val="20"/>
                <w:lang w:val="af-ZA"/>
              </w:rPr>
              <w:t xml:space="preserve"> </w:t>
            </w:r>
            <w:r w:rsidRPr="0053423A">
              <w:rPr>
                <w:color w:val="000000" w:themeColor="text1"/>
                <w:sz w:val="20"/>
                <w:szCs w:val="20"/>
              </w:rPr>
              <w:t>տիրապետելու</w:t>
            </w:r>
            <w:r w:rsidRPr="0053423A">
              <w:rPr>
                <w:color w:val="000000" w:themeColor="text1"/>
                <w:sz w:val="20"/>
                <w:szCs w:val="20"/>
                <w:lang w:val="af-ZA"/>
              </w:rPr>
              <w:t xml:space="preserve">, </w:t>
            </w:r>
            <w:r w:rsidRPr="0053423A">
              <w:rPr>
                <w:color w:val="000000" w:themeColor="text1"/>
                <w:sz w:val="20"/>
                <w:szCs w:val="20"/>
              </w:rPr>
              <w:t>անհրաժեշտ</w:t>
            </w:r>
            <w:r w:rsidRPr="0053423A">
              <w:rPr>
                <w:color w:val="000000" w:themeColor="text1"/>
                <w:sz w:val="20"/>
                <w:szCs w:val="20"/>
                <w:lang w:val="af-ZA"/>
              </w:rPr>
              <w:t xml:space="preserve"> </w:t>
            </w:r>
            <w:r w:rsidRPr="0053423A">
              <w:rPr>
                <w:color w:val="000000" w:themeColor="text1"/>
                <w:sz w:val="20"/>
                <w:szCs w:val="20"/>
              </w:rPr>
              <w:t>կառավարչական</w:t>
            </w:r>
            <w:r w:rsidRPr="0053423A">
              <w:rPr>
                <w:color w:val="000000" w:themeColor="text1"/>
                <w:sz w:val="20"/>
                <w:szCs w:val="20"/>
                <w:lang w:val="af-ZA"/>
              </w:rPr>
              <w:t xml:space="preserve"> </w:t>
            </w:r>
            <w:r w:rsidRPr="0053423A">
              <w:rPr>
                <w:color w:val="000000" w:themeColor="text1"/>
                <w:sz w:val="20"/>
                <w:szCs w:val="20"/>
              </w:rPr>
              <w:t>կարողություններ</w:t>
            </w:r>
            <w:r w:rsidRPr="0053423A">
              <w:rPr>
                <w:color w:val="000000" w:themeColor="text1"/>
                <w:sz w:val="20"/>
                <w:szCs w:val="20"/>
                <w:lang w:val="af-ZA"/>
              </w:rPr>
              <w:t xml:space="preserve"> </w:t>
            </w:r>
            <w:r w:rsidRPr="0053423A">
              <w:rPr>
                <w:color w:val="000000" w:themeColor="text1"/>
                <w:sz w:val="20"/>
                <w:szCs w:val="20"/>
              </w:rPr>
              <w:t>յուրացնելու</w:t>
            </w:r>
            <w:r w:rsidRPr="0053423A">
              <w:rPr>
                <w:color w:val="000000" w:themeColor="text1"/>
                <w:sz w:val="20"/>
                <w:szCs w:val="20"/>
                <w:lang w:val="af-ZA"/>
              </w:rPr>
              <w:t xml:space="preserve"> </w:t>
            </w:r>
            <w:r w:rsidRPr="0053423A">
              <w:rPr>
                <w:color w:val="000000" w:themeColor="text1"/>
                <w:sz w:val="20"/>
                <w:szCs w:val="20"/>
              </w:rPr>
              <w:t>և</w:t>
            </w:r>
            <w:r w:rsidRPr="0053423A">
              <w:rPr>
                <w:color w:val="000000" w:themeColor="text1"/>
                <w:sz w:val="20"/>
                <w:szCs w:val="20"/>
                <w:lang w:val="af-ZA"/>
              </w:rPr>
              <w:t xml:space="preserve"> </w:t>
            </w:r>
            <w:r w:rsidRPr="0053423A">
              <w:rPr>
                <w:color w:val="000000" w:themeColor="text1"/>
                <w:sz w:val="20"/>
                <w:szCs w:val="20"/>
              </w:rPr>
              <w:t>դպրոցները</w:t>
            </w:r>
            <w:r w:rsidRPr="0053423A">
              <w:rPr>
                <w:color w:val="000000" w:themeColor="text1"/>
                <w:sz w:val="20"/>
                <w:szCs w:val="20"/>
                <w:lang w:val="af-ZA"/>
              </w:rPr>
              <w:t xml:space="preserve"> </w:t>
            </w:r>
            <w:r w:rsidRPr="0053423A">
              <w:rPr>
                <w:color w:val="000000" w:themeColor="text1"/>
                <w:sz w:val="20"/>
                <w:szCs w:val="20"/>
              </w:rPr>
              <w:t>հմուտ</w:t>
            </w:r>
            <w:r w:rsidRPr="0053423A">
              <w:rPr>
                <w:color w:val="000000" w:themeColor="text1"/>
                <w:sz w:val="20"/>
                <w:szCs w:val="20"/>
                <w:lang w:val="af-ZA"/>
              </w:rPr>
              <w:t xml:space="preserve"> </w:t>
            </w:r>
            <w:r w:rsidRPr="0053423A">
              <w:rPr>
                <w:color w:val="000000" w:themeColor="text1"/>
                <w:sz w:val="20"/>
                <w:szCs w:val="20"/>
              </w:rPr>
              <w:t>կառավարելու</w:t>
            </w:r>
            <w:r w:rsidRPr="0053423A">
              <w:rPr>
                <w:color w:val="000000" w:themeColor="text1"/>
                <w:sz w:val="20"/>
                <w:szCs w:val="20"/>
                <w:lang w:val="af-ZA"/>
              </w:rPr>
              <w:t xml:space="preserve"> </w:t>
            </w:r>
            <w:r w:rsidRPr="0053423A">
              <w:rPr>
                <w:color w:val="000000" w:themeColor="text1"/>
                <w:sz w:val="20"/>
                <w:szCs w:val="20"/>
              </w:rPr>
              <w:t>նպատակով</w:t>
            </w:r>
            <w:r w:rsidRPr="0053423A">
              <w:rPr>
                <w:color w:val="000000" w:themeColor="text1"/>
                <w:sz w:val="20"/>
                <w:szCs w:val="20"/>
                <w:lang w:val="af-ZA"/>
              </w:rPr>
              <w:t xml:space="preserve"> </w:t>
            </w:r>
            <w:r w:rsidRPr="0053423A">
              <w:rPr>
                <w:color w:val="000000" w:themeColor="text1"/>
                <w:sz w:val="20"/>
                <w:szCs w:val="20"/>
              </w:rPr>
              <w:t>անհրաժեշտ</w:t>
            </w:r>
            <w:r w:rsidRPr="0053423A">
              <w:rPr>
                <w:color w:val="000000" w:themeColor="text1"/>
                <w:sz w:val="20"/>
                <w:szCs w:val="20"/>
                <w:lang w:val="af-ZA"/>
              </w:rPr>
              <w:t xml:space="preserve"> </w:t>
            </w:r>
            <w:r w:rsidRPr="0053423A">
              <w:rPr>
                <w:color w:val="000000" w:themeColor="text1"/>
                <w:sz w:val="20"/>
                <w:szCs w:val="20"/>
              </w:rPr>
              <w:t>է</w:t>
            </w:r>
            <w:r w:rsidRPr="0053423A">
              <w:rPr>
                <w:color w:val="000000" w:themeColor="text1"/>
                <w:sz w:val="20"/>
                <w:szCs w:val="20"/>
                <w:lang w:val="af-ZA"/>
              </w:rPr>
              <w:t xml:space="preserve"> </w:t>
            </w:r>
            <w:r w:rsidRPr="0053423A">
              <w:rPr>
                <w:color w:val="000000" w:themeColor="text1"/>
                <w:sz w:val="20"/>
                <w:szCs w:val="20"/>
              </w:rPr>
              <w:t>իրականացնել</w:t>
            </w:r>
            <w:r w:rsidRPr="0053423A">
              <w:rPr>
                <w:color w:val="000000" w:themeColor="text1"/>
                <w:sz w:val="20"/>
                <w:szCs w:val="20"/>
                <w:lang w:val="af-ZA"/>
              </w:rPr>
              <w:t xml:space="preserve"> </w:t>
            </w:r>
            <w:r w:rsidRPr="0053423A">
              <w:rPr>
                <w:color w:val="000000" w:themeColor="text1"/>
                <w:sz w:val="20"/>
                <w:szCs w:val="20"/>
              </w:rPr>
              <w:t>խորհուրդների</w:t>
            </w:r>
            <w:r w:rsidRPr="0053423A">
              <w:rPr>
                <w:color w:val="000000" w:themeColor="text1"/>
                <w:sz w:val="20"/>
                <w:szCs w:val="20"/>
                <w:lang w:val="af-ZA"/>
              </w:rPr>
              <w:t xml:space="preserve"> </w:t>
            </w:r>
            <w:r w:rsidRPr="0053423A">
              <w:rPr>
                <w:color w:val="000000" w:themeColor="text1"/>
                <w:sz w:val="20"/>
                <w:szCs w:val="20"/>
              </w:rPr>
              <w:t>անդամների</w:t>
            </w:r>
            <w:r w:rsidRPr="0053423A">
              <w:rPr>
                <w:color w:val="000000" w:themeColor="text1"/>
                <w:sz w:val="20"/>
                <w:szCs w:val="20"/>
                <w:lang w:val="af-ZA"/>
              </w:rPr>
              <w:t xml:space="preserve"> </w:t>
            </w:r>
            <w:r w:rsidRPr="0053423A">
              <w:rPr>
                <w:color w:val="000000" w:themeColor="text1"/>
                <w:sz w:val="20"/>
                <w:szCs w:val="20"/>
              </w:rPr>
              <w:t>վերապատրաստում</w:t>
            </w:r>
            <w:r w:rsidRPr="0053423A">
              <w:rPr>
                <w:color w:val="000000" w:themeColor="text1"/>
                <w:sz w:val="20"/>
                <w:szCs w:val="20"/>
                <w:lang w:val="af-ZA"/>
              </w:rPr>
              <w:t>:</w:t>
            </w:r>
          </w:p>
          <w:p w:rsidR="00154773" w:rsidRPr="0053423A" w:rsidRDefault="00154773" w:rsidP="00154773">
            <w:pPr>
              <w:ind w:left="720"/>
              <w:contextualSpacing/>
              <w:jc w:val="both"/>
              <w:rPr>
                <w:sz w:val="20"/>
                <w:szCs w:val="20"/>
                <w:lang w:val="af-ZA"/>
              </w:rPr>
            </w:pPr>
          </w:p>
          <w:p w:rsidR="00154773" w:rsidRPr="0053423A" w:rsidRDefault="00154773" w:rsidP="00154773">
            <w:pPr>
              <w:ind w:left="284"/>
              <w:contextualSpacing/>
              <w:jc w:val="both"/>
              <w:rPr>
                <w:rFonts w:eastAsia="Calibri" w:cs="Sylfaen"/>
                <w:b/>
                <w:sz w:val="20"/>
                <w:szCs w:val="20"/>
                <w:lang w:val="af-ZA"/>
              </w:rPr>
            </w:pPr>
            <w:r w:rsidRPr="0053423A">
              <w:rPr>
                <w:rFonts w:eastAsia="Calibri" w:cs="Sylfaen"/>
                <w:b/>
                <w:sz w:val="20"/>
                <w:szCs w:val="20"/>
                <w:lang w:val="af-ZA"/>
              </w:rPr>
              <w:t xml:space="preserve">1.1. </w:t>
            </w:r>
            <w:r w:rsidRPr="0053423A">
              <w:rPr>
                <w:rFonts w:eastAsia="Calibri" w:cs="Sylfaen"/>
                <w:b/>
                <w:sz w:val="20"/>
                <w:szCs w:val="20"/>
              </w:rPr>
              <w:t>կ</w:t>
            </w:r>
            <w:r w:rsidRPr="0053423A">
              <w:rPr>
                <w:rFonts w:eastAsia="Calibri" w:cs="Sylfaen"/>
                <w:b/>
                <w:sz w:val="20"/>
                <w:szCs w:val="20"/>
                <w:lang w:val="ru-RU"/>
              </w:rPr>
              <w:t>արգավորման</w:t>
            </w:r>
            <w:r w:rsidRPr="0053423A">
              <w:rPr>
                <w:rFonts w:eastAsia="Calibri" w:cs="Sylfaen"/>
                <w:b/>
                <w:sz w:val="20"/>
                <w:szCs w:val="20"/>
                <w:lang w:val="af-ZA"/>
              </w:rPr>
              <w:t xml:space="preserve"> </w:t>
            </w:r>
            <w:r w:rsidRPr="0053423A">
              <w:rPr>
                <w:rFonts w:eastAsia="Calibri" w:cs="Sylfaen"/>
                <w:b/>
                <w:sz w:val="20"/>
                <w:szCs w:val="20"/>
                <w:lang w:val="ru-RU"/>
              </w:rPr>
              <w:t>հարաբերությունների</w:t>
            </w:r>
            <w:r w:rsidRPr="0053423A">
              <w:rPr>
                <w:rFonts w:eastAsia="Calibri" w:cs="Sylfaen"/>
                <w:b/>
                <w:sz w:val="20"/>
                <w:szCs w:val="20"/>
                <w:lang w:val="af-ZA"/>
              </w:rPr>
              <w:t xml:space="preserve"> </w:t>
            </w:r>
            <w:r w:rsidRPr="0053423A">
              <w:rPr>
                <w:rFonts w:eastAsia="Calibri" w:cs="Sylfaen"/>
                <w:b/>
                <w:sz w:val="20"/>
                <w:szCs w:val="20"/>
                <w:lang w:val="ru-RU"/>
              </w:rPr>
              <w:t>ներկա</w:t>
            </w:r>
            <w:r w:rsidRPr="0053423A">
              <w:rPr>
                <w:rFonts w:eastAsia="Calibri" w:cs="Sylfaen"/>
                <w:b/>
                <w:sz w:val="20"/>
                <w:szCs w:val="20"/>
                <w:lang w:val="af-ZA"/>
              </w:rPr>
              <w:t xml:space="preserve"> </w:t>
            </w:r>
            <w:r w:rsidRPr="0053423A">
              <w:rPr>
                <w:rFonts w:eastAsia="Calibri" w:cs="Sylfaen"/>
                <w:b/>
                <w:sz w:val="20"/>
                <w:szCs w:val="20"/>
                <w:lang w:val="ru-RU"/>
              </w:rPr>
              <w:t>վիճակը</w:t>
            </w:r>
            <w:r w:rsidRPr="0053423A">
              <w:rPr>
                <w:rFonts w:eastAsia="Calibri" w:cs="Sylfaen"/>
                <w:b/>
                <w:sz w:val="20"/>
                <w:szCs w:val="20"/>
                <w:lang w:val="af-ZA"/>
              </w:rPr>
              <w:t xml:space="preserve"> </w:t>
            </w:r>
            <w:r w:rsidRPr="0053423A">
              <w:rPr>
                <w:rFonts w:eastAsia="Calibri" w:cs="Sylfaen"/>
                <w:b/>
                <w:sz w:val="20"/>
                <w:szCs w:val="20"/>
                <w:lang w:val="ru-RU"/>
              </w:rPr>
              <w:t>և</w:t>
            </w:r>
            <w:r w:rsidRPr="0053423A">
              <w:rPr>
                <w:rFonts w:eastAsia="Calibri" w:cs="Sylfaen"/>
                <w:b/>
                <w:sz w:val="20"/>
                <w:szCs w:val="20"/>
                <w:lang w:val="af-ZA"/>
              </w:rPr>
              <w:t xml:space="preserve"> </w:t>
            </w:r>
            <w:r w:rsidRPr="0053423A">
              <w:rPr>
                <w:rFonts w:eastAsia="Calibri" w:cs="Sylfaen"/>
                <w:b/>
                <w:sz w:val="20"/>
                <w:szCs w:val="20"/>
                <w:lang w:val="ru-RU"/>
              </w:rPr>
              <w:t>առկա</w:t>
            </w:r>
            <w:r w:rsidRPr="0053423A">
              <w:rPr>
                <w:rFonts w:eastAsia="Calibri" w:cs="Sylfaen"/>
                <w:b/>
                <w:sz w:val="20"/>
                <w:szCs w:val="20"/>
                <w:lang w:val="af-ZA"/>
              </w:rPr>
              <w:t xml:space="preserve"> </w:t>
            </w:r>
            <w:r w:rsidRPr="0053423A">
              <w:rPr>
                <w:rFonts w:eastAsia="Calibri" w:cs="Sylfaen"/>
                <w:b/>
                <w:sz w:val="20"/>
                <w:szCs w:val="20"/>
                <w:lang w:val="ru-RU"/>
              </w:rPr>
              <w:t>խնդիրները</w:t>
            </w:r>
          </w:p>
          <w:p w:rsidR="00154773" w:rsidRPr="0053423A" w:rsidRDefault="00154773" w:rsidP="00154773">
            <w:pPr>
              <w:ind w:left="284"/>
              <w:contextualSpacing/>
              <w:jc w:val="both"/>
              <w:rPr>
                <w:rFonts w:eastAsia="Calibri" w:cs="Sylfaen"/>
                <w:b/>
                <w:sz w:val="20"/>
                <w:szCs w:val="20"/>
                <w:lang w:val="af-ZA"/>
              </w:rPr>
            </w:pPr>
          </w:p>
          <w:p w:rsidR="00154773" w:rsidRPr="0053423A" w:rsidRDefault="00154773" w:rsidP="00154773">
            <w:pPr>
              <w:ind w:firstLine="284"/>
              <w:contextualSpacing/>
              <w:jc w:val="both"/>
              <w:rPr>
                <w:rFonts w:eastAsia="Times New Roman" w:cs="Times New Roman"/>
                <w:color w:val="000000"/>
                <w:sz w:val="20"/>
                <w:szCs w:val="20"/>
                <w:lang w:val="af-ZA"/>
              </w:rPr>
            </w:pPr>
            <w:r w:rsidRPr="0053423A">
              <w:rPr>
                <w:rFonts w:eastAsia="Times New Roman" w:cs="Times New Roman"/>
                <w:color w:val="000000"/>
                <w:sz w:val="20"/>
                <w:szCs w:val="20"/>
              </w:rPr>
              <w:t>Հանրակրթականարաբերությոկառավարման</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խորհուրդների</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անդամները</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հիմնականում</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պատշաճ</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կերպով</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չեն</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տիրապետում</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իրենց</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իրավասությունների</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և</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պարտականությունների</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շրջանակին</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ինչն</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ուղիղ</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անդրադառնում</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է</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դպրոցի</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ընդհանուր</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կառավարման</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արդյունավետության</w:t>
            </w:r>
            <w:r w:rsidRPr="0053423A">
              <w:rPr>
                <w:rFonts w:eastAsia="Times New Roman" w:cs="Times New Roman"/>
                <w:color w:val="000000"/>
                <w:sz w:val="20"/>
                <w:szCs w:val="20"/>
                <w:lang w:val="af-ZA"/>
              </w:rPr>
              <w:t xml:space="preserve"> </w:t>
            </w:r>
            <w:r w:rsidRPr="0053423A">
              <w:rPr>
                <w:rFonts w:eastAsia="Times New Roman" w:cs="Times New Roman"/>
                <w:color w:val="000000"/>
                <w:sz w:val="20"/>
                <w:szCs w:val="20"/>
              </w:rPr>
              <w:t>վրա</w:t>
            </w:r>
            <w:r w:rsidRPr="0053423A">
              <w:rPr>
                <w:rFonts w:eastAsia="Times New Roman" w:cs="Times New Roman"/>
                <w:color w:val="000000"/>
                <w:sz w:val="20"/>
                <w:szCs w:val="20"/>
                <w:lang w:val="af-ZA"/>
              </w:rPr>
              <w:t>:</w:t>
            </w:r>
          </w:p>
          <w:p w:rsidR="00154773" w:rsidRPr="0053423A" w:rsidRDefault="00154773" w:rsidP="00154773">
            <w:pPr>
              <w:rPr>
                <w:sz w:val="20"/>
                <w:szCs w:val="20"/>
                <w:highlight w:val="yellow"/>
                <w:lang w:val="af-ZA"/>
              </w:rPr>
            </w:pPr>
          </w:p>
          <w:p w:rsidR="00154773" w:rsidRPr="0053423A" w:rsidRDefault="00154773" w:rsidP="00154773">
            <w:pPr>
              <w:ind w:left="360"/>
              <w:contextualSpacing/>
              <w:jc w:val="both"/>
              <w:rPr>
                <w:rFonts w:eastAsia="Calibri"/>
                <w:b/>
                <w:sz w:val="20"/>
                <w:szCs w:val="20"/>
                <w:lang w:val="af-ZA"/>
              </w:rPr>
            </w:pPr>
            <w:r w:rsidRPr="0053423A">
              <w:rPr>
                <w:rFonts w:eastAsia="Calibri"/>
                <w:b/>
                <w:sz w:val="20"/>
                <w:szCs w:val="20"/>
                <w:lang w:val="af-ZA"/>
              </w:rPr>
              <w:t xml:space="preserve">1.2. </w:t>
            </w:r>
            <w:r w:rsidRPr="0053423A">
              <w:rPr>
                <w:rFonts w:eastAsia="Calibri"/>
                <w:b/>
                <w:sz w:val="20"/>
                <w:szCs w:val="20"/>
              </w:rPr>
              <w:t>առկա</w:t>
            </w:r>
            <w:r w:rsidRPr="0053423A">
              <w:rPr>
                <w:rFonts w:eastAsia="Calibri"/>
                <w:b/>
                <w:sz w:val="20"/>
                <w:szCs w:val="20"/>
                <w:lang w:val="af-ZA"/>
              </w:rPr>
              <w:t xml:space="preserve"> </w:t>
            </w:r>
            <w:r w:rsidRPr="0053423A">
              <w:rPr>
                <w:rFonts w:eastAsia="Calibri"/>
                <w:b/>
                <w:sz w:val="20"/>
                <w:szCs w:val="20"/>
              </w:rPr>
              <w:t>խնդիրների</w:t>
            </w:r>
            <w:r w:rsidRPr="0053423A">
              <w:rPr>
                <w:rFonts w:eastAsia="Calibri"/>
                <w:b/>
                <w:sz w:val="20"/>
                <w:szCs w:val="20"/>
                <w:lang w:val="af-ZA"/>
              </w:rPr>
              <w:t xml:space="preserve"> </w:t>
            </w:r>
            <w:r w:rsidRPr="0053423A">
              <w:rPr>
                <w:rFonts w:eastAsia="Calibri"/>
                <w:b/>
                <w:sz w:val="20"/>
                <w:szCs w:val="20"/>
              </w:rPr>
              <w:t>առաջարկվող</w:t>
            </w:r>
            <w:r w:rsidRPr="0053423A">
              <w:rPr>
                <w:rFonts w:eastAsia="Calibri"/>
                <w:b/>
                <w:sz w:val="20"/>
                <w:szCs w:val="20"/>
                <w:lang w:val="af-ZA"/>
              </w:rPr>
              <w:t xml:space="preserve"> </w:t>
            </w:r>
            <w:r w:rsidRPr="0053423A">
              <w:rPr>
                <w:rFonts w:eastAsia="Calibri"/>
                <w:b/>
                <w:sz w:val="20"/>
                <w:szCs w:val="20"/>
              </w:rPr>
              <w:t>լուծումները</w:t>
            </w:r>
          </w:p>
          <w:p w:rsidR="00154773" w:rsidRPr="0053423A" w:rsidRDefault="00154773" w:rsidP="00154773">
            <w:pPr>
              <w:ind w:left="360"/>
              <w:contextualSpacing/>
              <w:jc w:val="both"/>
              <w:rPr>
                <w:rFonts w:eastAsia="Calibri"/>
                <w:b/>
                <w:sz w:val="20"/>
                <w:szCs w:val="20"/>
                <w:lang w:val="af-ZA"/>
              </w:rPr>
            </w:pPr>
          </w:p>
          <w:p w:rsidR="00154773" w:rsidRPr="0053423A" w:rsidRDefault="00154773" w:rsidP="00154773">
            <w:pPr>
              <w:ind w:firstLine="360"/>
              <w:jc w:val="both"/>
              <w:rPr>
                <w:sz w:val="20"/>
                <w:szCs w:val="20"/>
                <w:lang w:val="af-ZA"/>
              </w:rPr>
            </w:pPr>
            <w:r w:rsidRPr="0053423A">
              <w:rPr>
                <w:rFonts w:cs="Sylfaen"/>
                <w:sz w:val="20"/>
                <w:szCs w:val="20"/>
                <w:lang w:val="af-ZA"/>
              </w:rPr>
              <w:t xml:space="preserve">Հանրակրթական դպրոցների </w:t>
            </w:r>
            <w:r w:rsidRPr="0053423A">
              <w:rPr>
                <w:sz w:val="20"/>
                <w:szCs w:val="20"/>
              </w:rPr>
              <w:t>կառավարման</w:t>
            </w:r>
            <w:r w:rsidRPr="0053423A">
              <w:rPr>
                <w:sz w:val="20"/>
                <w:szCs w:val="20"/>
                <w:lang w:val="af-ZA"/>
              </w:rPr>
              <w:t xml:space="preserve"> </w:t>
            </w:r>
            <w:r w:rsidRPr="0053423A">
              <w:rPr>
                <w:sz w:val="20"/>
                <w:szCs w:val="20"/>
              </w:rPr>
              <w:t>խորհուրդների</w:t>
            </w:r>
            <w:r w:rsidRPr="0053423A">
              <w:rPr>
                <w:sz w:val="20"/>
                <w:szCs w:val="20"/>
                <w:lang w:val="af-ZA"/>
              </w:rPr>
              <w:t xml:space="preserve"> </w:t>
            </w:r>
            <w:r w:rsidRPr="0053423A">
              <w:rPr>
                <w:sz w:val="20"/>
                <w:szCs w:val="20"/>
              </w:rPr>
              <w:t>անդամների</w:t>
            </w:r>
            <w:r w:rsidRPr="0053423A">
              <w:rPr>
                <w:sz w:val="20"/>
                <w:szCs w:val="20"/>
                <w:lang w:val="af-ZA"/>
              </w:rPr>
              <w:t xml:space="preserve"> </w:t>
            </w:r>
            <w:r w:rsidRPr="0053423A">
              <w:rPr>
                <w:sz w:val="20"/>
                <w:szCs w:val="20"/>
              </w:rPr>
              <w:t>կողմից</w:t>
            </w:r>
            <w:r w:rsidRPr="0053423A">
              <w:rPr>
                <w:sz w:val="20"/>
                <w:szCs w:val="20"/>
                <w:lang w:val="af-ZA"/>
              </w:rPr>
              <w:t xml:space="preserve"> </w:t>
            </w:r>
            <w:r w:rsidRPr="0053423A">
              <w:rPr>
                <w:sz w:val="20"/>
                <w:szCs w:val="20"/>
              </w:rPr>
              <w:t>վերապատրաստման</w:t>
            </w:r>
            <w:r w:rsidRPr="0053423A">
              <w:rPr>
                <w:sz w:val="20"/>
                <w:szCs w:val="20"/>
                <w:lang w:val="af-ZA"/>
              </w:rPr>
              <w:t xml:space="preserve"> </w:t>
            </w:r>
            <w:r w:rsidRPr="0053423A">
              <w:rPr>
                <w:sz w:val="20"/>
                <w:szCs w:val="20"/>
              </w:rPr>
              <w:t>միջոցով</w:t>
            </w:r>
            <w:r w:rsidRPr="0053423A">
              <w:rPr>
                <w:sz w:val="20"/>
                <w:szCs w:val="20"/>
                <w:lang w:val="af-ZA"/>
              </w:rPr>
              <w:t xml:space="preserve"> </w:t>
            </w:r>
            <w:r w:rsidRPr="0053423A">
              <w:rPr>
                <w:sz w:val="20"/>
                <w:szCs w:val="20"/>
              </w:rPr>
              <w:t>իրենց</w:t>
            </w:r>
            <w:r w:rsidRPr="0053423A">
              <w:rPr>
                <w:sz w:val="20"/>
                <w:szCs w:val="20"/>
                <w:lang w:val="af-ZA"/>
              </w:rPr>
              <w:t xml:space="preserve"> </w:t>
            </w:r>
            <w:r w:rsidRPr="0053423A">
              <w:rPr>
                <w:sz w:val="20"/>
                <w:szCs w:val="20"/>
              </w:rPr>
              <w:t>իրավասությունների</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պարտավորությունների</w:t>
            </w:r>
            <w:r w:rsidRPr="0053423A">
              <w:rPr>
                <w:sz w:val="20"/>
                <w:szCs w:val="20"/>
                <w:lang w:val="af-ZA"/>
              </w:rPr>
              <w:t xml:space="preserve"> </w:t>
            </w:r>
            <w:r w:rsidRPr="0053423A">
              <w:rPr>
                <w:sz w:val="20"/>
                <w:szCs w:val="20"/>
              </w:rPr>
              <w:t>յուրացմանն</w:t>
            </w:r>
            <w:r w:rsidRPr="0053423A">
              <w:rPr>
                <w:sz w:val="20"/>
                <w:szCs w:val="20"/>
                <w:lang w:val="af-ZA"/>
              </w:rPr>
              <w:t xml:space="preserve"> </w:t>
            </w:r>
            <w:r w:rsidRPr="0053423A">
              <w:rPr>
                <w:sz w:val="20"/>
                <w:szCs w:val="20"/>
              </w:rPr>
              <w:t>ուղղված</w:t>
            </w:r>
            <w:r w:rsidRPr="0053423A">
              <w:rPr>
                <w:sz w:val="20"/>
                <w:szCs w:val="20"/>
                <w:lang w:val="af-ZA"/>
              </w:rPr>
              <w:t xml:space="preserve"> </w:t>
            </w:r>
            <w:r w:rsidRPr="0053423A">
              <w:rPr>
                <w:sz w:val="20"/>
                <w:szCs w:val="20"/>
              </w:rPr>
              <w:t>վերապատրաստումների</w:t>
            </w:r>
            <w:r w:rsidRPr="0053423A">
              <w:rPr>
                <w:sz w:val="20"/>
                <w:szCs w:val="20"/>
                <w:lang w:val="af-ZA"/>
              </w:rPr>
              <w:t xml:space="preserve"> </w:t>
            </w:r>
            <w:r w:rsidRPr="0053423A">
              <w:rPr>
                <w:sz w:val="20"/>
                <w:szCs w:val="20"/>
              </w:rPr>
              <w:t>կազմակերպում</w:t>
            </w:r>
            <w:r w:rsidRPr="0053423A">
              <w:rPr>
                <w:sz w:val="20"/>
                <w:szCs w:val="20"/>
                <w:lang w:val="af-ZA"/>
              </w:rPr>
              <w:t>:</w:t>
            </w:r>
          </w:p>
          <w:p w:rsidR="00154773" w:rsidRPr="0053423A" w:rsidRDefault="00154773" w:rsidP="00154773">
            <w:pPr>
              <w:ind w:firstLine="360"/>
              <w:jc w:val="both"/>
              <w:rPr>
                <w:sz w:val="20"/>
                <w:szCs w:val="20"/>
                <w:lang w:val="af-ZA"/>
              </w:rPr>
            </w:pPr>
          </w:p>
          <w:p w:rsidR="00154773" w:rsidRPr="0053423A" w:rsidRDefault="00154773" w:rsidP="00154773">
            <w:pPr>
              <w:rPr>
                <w:rFonts w:eastAsia="Calibri" w:cs="Sylfaen"/>
                <w:b/>
                <w:sz w:val="20"/>
                <w:szCs w:val="20"/>
                <w:lang w:val="af-ZA"/>
              </w:rPr>
            </w:pPr>
            <w:r w:rsidRPr="0053423A">
              <w:rPr>
                <w:b/>
                <w:sz w:val="20"/>
                <w:szCs w:val="20"/>
                <w:lang w:val="af-ZA"/>
              </w:rPr>
              <w:t xml:space="preserve">2. </w:t>
            </w:r>
            <w:r w:rsidRPr="0053423A">
              <w:rPr>
                <w:b/>
                <w:sz w:val="20"/>
                <w:szCs w:val="20"/>
              </w:rPr>
              <w:t>Միջոցառման</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r w:rsidRPr="0053423A" w:rsidDel="00C34BAE">
              <w:rPr>
                <w:rFonts w:eastAsia="Calibri" w:cs="Sylfaen"/>
                <w:b/>
                <w:sz w:val="20"/>
                <w:szCs w:val="20"/>
                <w:lang w:val="af-ZA"/>
              </w:rPr>
              <w:t xml:space="preserve"> </w:t>
            </w:r>
            <w:r w:rsidRPr="0053423A">
              <w:rPr>
                <w:rFonts w:eastAsia="Calibri" w:cs="Sylfaen"/>
                <w:b/>
                <w:sz w:val="20"/>
                <w:szCs w:val="20"/>
                <w:lang w:val="af-ZA"/>
              </w:rPr>
              <w:t xml:space="preserve"> </w:t>
            </w:r>
          </w:p>
          <w:p w:rsidR="00154773" w:rsidRPr="0053423A" w:rsidRDefault="00154773" w:rsidP="00154773">
            <w:pPr>
              <w:rPr>
                <w:sz w:val="20"/>
                <w:szCs w:val="20"/>
                <w:highlight w:val="yellow"/>
                <w:lang w:val="af-ZA"/>
              </w:rPr>
            </w:pPr>
          </w:p>
          <w:p w:rsidR="00154773" w:rsidRPr="0053423A" w:rsidRDefault="00154773" w:rsidP="00154773">
            <w:pPr>
              <w:jc w:val="center"/>
              <w:rPr>
                <w:rFonts w:eastAsia="Times New Roman" w:cs="Times New Roman"/>
                <w:b/>
                <w:sz w:val="20"/>
                <w:szCs w:val="20"/>
                <w:lang w:val="hy-AM"/>
              </w:rPr>
            </w:pPr>
            <w:r w:rsidRPr="0053423A">
              <w:rPr>
                <w:rFonts w:cs="Sylfaen"/>
                <w:sz w:val="20"/>
                <w:szCs w:val="20"/>
                <w:lang w:val="af-ZA"/>
              </w:rPr>
              <w:t>Հանրակրթական դպրոցների կառավարման խորհուրդների անդամների վերապատրաստման արդյունքում նախատեսվում է ունենալ օրենքով սահմանված կարգով ամրագրված իրավասությունները և պարտականություններին տիրապետող կոլեգիալ կառավարման մարմնի անդամներ:</w:t>
            </w:r>
          </w:p>
        </w:tc>
      </w:tr>
      <w:tr w:rsidR="00154773" w:rsidRPr="00DE2EF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4</w:t>
            </w:r>
          </w:p>
        </w:tc>
        <w:tc>
          <w:tcPr>
            <w:tcW w:w="10620" w:type="dxa"/>
          </w:tcPr>
          <w:p w:rsidR="00154773" w:rsidRPr="0053423A" w:rsidRDefault="00154773" w:rsidP="00154773">
            <w:pPr>
              <w:tabs>
                <w:tab w:val="left" w:pos="158"/>
                <w:tab w:val="left" w:pos="252"/>
                <w:tab w:val="left" w:pos="394"/>
                <w:tab w:val="left" w:pos="5670"/>
                <w:tab w:val="left" w:pos="5812"/>
              </w:tabs>
              <w:contextualSpacing/>
              <w:jc w:val="center"/>
              <w:rPr>
                <w:rFonts w:eastAsia="Calibri" w:cs="GHEA Grapalat"/>
                <w:b/>
                <w:color w:val="000000"/>
                <w:sz w:val="20"/>
                <w:szCs w:val="20"/>
                <w:u w:val="single"/>
                <w:lang w:val="af-ZA"/>
              </w:rPr>
            </w:pPr>
            <w:r w:rsidRPr="0053423A">
              <w:rPr>
                <w:rFonts w:eastAsia="Calibri" w:cs="GHEA Grapalat"/>
                <w:b/>
                <w:color w:val="000000"/>
                <w:sz w:val="20"/>
                <w:szCs w:val="20"/>
                <w:u w:val="single"/>
                <w:lang w:val="af-ZA"/>
              </w:rPr>
              <w:t>4</w:t>
            </w:r>
            <w:r w:rsidRPr="0053423A">
              <w:rPr>
                <w:rFonts w:eastAsia="Calibri" w:cs="GHEA Grapalat"/>
                <w:b/>
                <w:color w:val="000000"/>
                <w:sz w:val="20"/>
                <w:szCs w:val="20"/>
                <w:u w:val="single"/>
                <w:lang w:val="hy-AM"/>
              </w:rPr>
              <w:t>.1 Նախնական</w:t>
            </w:r>
            <w:r w:rsidRPr="0053423A">
              <w:rPr>
                <w:rFonts w:eastAsia="Calibri" w:cs="GHEA Grapalat"/>
                <w:b/>
                <w:color w:val="000000"/>
                <w:sz w:val="20"/>
                <w:szCs w:val="20"/>
                <w:u w:val="single"/>
              </w:rPr>
              <w:t xml:space="preserve"> </w:t>
            </w:r>
            <w:r w:rsidRPr="0053423A">
              <w:rPr>
                <w:rFonts w:eastAsia="Calibri" w:cs="GHEA Grapalat"/>
                <w:b/>
                <w:color w:val="000000"/>
                <w:sz w:val="20"/>
                <w:szCs w:val="20"/>
                <w:u w:val="single"/>
                <w:lang w:val="hy-AM"/>
              </w:rPr>
              <w:t xml:space="preserve"> (արհեստա</w:t>
            </w:r>
            <w:r w:rsidRPr="0053423A">
              <w:rPr>
                <w:rFonts w:eastAsia="Calibri" w:cs="GHEA Grapalat"/>
                <w:b/>
                <w:color w:val="000000"/>
                <w:sz w:val="20"/>
                <w:szCs w:val="20"/>
                <w:u w:val="single"/>
                <w:lang w:val="hy-AM"/>
              </w:rPr>
              <w:softHyphen/>
              <w:t>գոր</w:t>
            </w:r>
            <w:r w:rsidRPr="0053423A">
              <w:rPr>
                <w:rFonts w:eastAsia="Calibri" w:cs="GHEA Grapalat"/>
                <w:b/>
                <w:color w:val="000000"/>
                <w:sz w:val="20"/>
                <w:szCs w:val="20"/>
                <w:u w:val="single"/>
                <w:lang w:val="hy-AM"/>
              </w:rPr>
              <w:softHyphen/>
              <w:t xml:space="preserve">ծական) </w:t>
            </w:r>
            <w:r w:rsidRPr="0053423A">
              <w:rPr>
                <w:rFonts w:eastAsia="Calibri" w:cs="GHEA Grapalat"/>
                <w:b/>
                <w:color w:val="000000"/>
                <w:sz w:val="20"/>
                <w:szCs w:val="20"/>
                <w:u w:val="single"/>
              </w:rPr>
              <w:t xml:space="preserve"> </w:t>
            </w:r>
            <w:r w:rsidRPr="0053423A">
              <w:rPr>
                <w:rFonts w:eastAsia="Calibri" w:cs="GHEA Grapalat"/>
                <w:b/>
                <w:color w:val="000000"/>
                <w:sz w:val="20"/>
                <w:szCs w:val="20"/>
                <w:u w:val="single"/>
                <w:lang w:val="hy-AM"/>
              </w:rPr>
              <w:t xml:space="preserve">և </w:t>
            </w:r>
            <w:r w:rsidRPr="0053423A">
              <w:rPr>
                <w:rFonts w:eastAsia="Calibri" w:cs="GHEA Grapalat"/>
                <w:b/>
                <w:color w:val="000000"/>
                <w:sz w:val="20"/>
                <w:szCs w:val="20"/>
                <w:u w:val="single"/>
              </w:rPr>
              <w:t xml:space="preserve"> </w:t>
            </w:r>
            <w:r w:rsidRPr="0053423A">
              <w:rPr>
                <w:rFonts w:eastAsia="Calibri" w:cs="GHEA Grapalat"/>
                <w:b/>
                <w:color w:val="000000"/>
                <w:sz w:val="20"/>
                <w:szCs w:val="20"/>
                <w:u w:val="single"/>
                <w:lang w:val="hy-AM"/>
              </w:rPr>
              <w:t xml:space="preserve">միջին </w:t>
            </w:r>
            <w:r w:rsidRPr="0053423A">
              <w:rPr>
                <w:rFonts w:eastAsia="Calibri" w:cs="GHEA Grapalat"/>
                <w:b/>
                <w:color w:val="000000"/>
                <w:sz w:val="20"/>
                <w:szCs w:val="20"/>
                <w:u w:val="single"/>
              </w:rPr>
              <w:t xml:space="preserve"> </w:t>
            </w:r>
            <w:r w:rsidRPr="0053423A">
              <w:rPr>
                <w:rFonts w:eastAsia="Calibri" w:cs="GHEA Grapalat"/>
                <w:b/>
                <w:color w:val="000000"/>
                <w:sz w:val="20"/>
                <w:szCs w:val="20"/>
                <w:u w:val="single"/>
                <w:lang w:val="hy-AM"/>
              </w:rPr>
              <w:t xml:space="preserve">մասնագիտական </w:t>
            </w:r>
            <w:r w:rsidRPr="0053423A">
              <w:rPr>
                <w:rFonts w:eastAsia="Calibri" w:cs="GHEA Grapalat"/>
                <w:b/>
                <w:color w:val="000000"/>
                <w:sz w:val="20"/>
                <w:szCs w:val="20"/>
                <w:u w:val="single"/>
              </w:rPr>
              <w:t xml:space="preserve"> </w:t>
            </w:r>
            <w:r w:rsidRPr="0053423A">
              <w:rPr>
                <w:rFonts w:eastAsia="Calibri" w:cs="GHEA Grapalat"/>
                <w:b/>
                <w:color w:val="000000"/>
                <w:sz w:val="20"/>
                <w:szCs w:val="20"/>
                <w:u w:val="single"/>
                <w:lang w:val="hy-AM"/>
              </w:rPr>
              <w:t xml:space="preserve">ուսումնական </w:t>
            </w:r>
            <w:r w:rsidRPr="0053423A">
              <w:rPr>
                <w:rFonts w:eastAsia="Calibri" w:cs="GHEA Grapalat"/>
                <w:b/>
                <w:color w:val="000000"/>
                <w:sz w:val="20"/>
                <w:szCs w:val="20"/>
                <w:u w:val="single"/>
              </w:rPr>
              <w:t xml:space="preserve">    </w:t>
            </w:r>
            <w:r w:rsidRPr="0053423A">
              <w:rPr>
                <w:rFonts w:eastAsia="Calibri" w:cs="GHEA Grapalat"/>
                <w:b/>
                <w:color w:val="000000"/>
                <w:sz w:val="20"/>
                <w:szCs w:val="20"/>
                <w:u w:val="single"/>
                <w:lang w:val="hy-AM"/>
              </w:rPr>
              <w:t>հաստատությունների խոշո</w:t>
            </w:r>
            <w:r w:rsidRPr="0053423A">
              <w:rPr>
                <w:rFonts w:eastAsia="Calibri" w:cs="GHEA Grapalat"/>
                <w:b/>
                <w:color w:val="000000"/>
                <w:sz w:val="20"/>
                <w:szCs w:val="20"/>
                <w:u w:val="single"/>
                <w:lang w:val="hy-AM"/>
              </w:rPr>
              <w:softHyphen/>
              <w:t>րացում</w:t>
            </w:r>
          </w:p>
          <w:p w:rsidR="00154773" w:rsidRPr="0053423A" w:rsidRDefault="00154773" w:rsidP="00154773">
            <w:pPr>
              <w:tabs>
                <w:tab w:val="left" w:pos="158"/>
                <w:tab w:val="left" w:pos="252"/>
                <w:tab w:val="left" w:pos="394"/>
                <w:tab w:val="left" w:pos="5670"/>
                <w:tab w:val="left" w:pos="5812"/>
              </w:tabs>
              <w:contextualSpacing/>
              <w:rPr>
                <w:rFonts w:eastAsia="Calibri" w:cs="GHEA Grapalat"/>
                <w:b/>
                <w:color w:val="000000"/>
                <w:sz w:val="20"/>
                <w:szCs w:val="20"/>
                <w:u w:val="single"/>
                <w:lang w:val="af-ZA"/>
              </w:rPr>
            </w:pPr>
          </w:p>
          <w:p w:rsidR="00154773" w:rsidRPr="0053423A" w:rsidRDefault="00154773" w:rsidP="00154773">
            <w:pPr>
              <w:jc w:val="both"/>
              <w:rPr>
                <w:rFonts w:eastAsia="Times New Roman" w:cs="Times New Roman"/>
                <w:b/>
                <w:sz w:val="20"/>
                <w:szCs w:val="20"/>
                <w:lang w:val="hy-AM"/>
              </w:rPr>
            </w:pPr>
            <w:r w:rsidRPr="0053423A">
              <w:rPr>
                <w:rFonts w:eastAsia="Times New Roman" w:cs="Times New Roman"/>
                <w:b/>
                <w:sz w:val="20"/>
                <w:szCs w:val="20"/>
                <w:lang w:val="hy-AM"/>
              </w:rPr>
              <w:t xml:space="preserve">    </w:t>
            </w:r>
            <w:r w:rsidRPr="0053423A">
              <w:rPr>
                <w:b/>
                <w:sz w:val="20"/>
                <w:szCs w:val="20"/>
                <w:lang w:val="hy-AM"/>
              </w:rPr>
              <w:t>1.</w:t>
            </w:r>
            <w:r w:rsidRPr="0053423A">
              <w:rPr>
                <w:rFonts w:eastAsia="Times New Roman" w:cs="Times New Roman"/>
                <w:b/>
                <w:sz w:val="20"/>
                <w:szCs w:val="20"/>
                <w:lang w:val="hy-AM"/>
              </w:rPr>
              <w:t>Միջոցառման իրականացման անհրաժեշտությունը և նպատակը</w:t>
            </w:r>
          </w:p>
          <w:p w:rsidR="00154773" w:rsidRPr="0053423A" w:rsidRDefault="00154773" w:rsidP="00154773">
            <w:pPr>
              <w:jc w:val="both"/>
              <w:rPr>
                <w:rFonts w:cs="Arial"/>
                <w:b/>
                <w:color w:val="000000"/>
                <w:sz w:val="20"/>
                <w:szCs w:val="20"/>
                <w:lang w:val="hy-AM"/>
              </w:rPr>
            </w:pPr>
          </w:p>
          <w:p w:rsidR="00154773" w:rsidRPr="0053423A" w:rsidRDefault="00154773" w:rsidP="00154773">
            <w:pPr>
              <w:shd w:val="clear" w:color="auto" w:fill="FFFFFF"/>
              <w:ind w:firstLine="270"/>
              <w:jc w:val="both"/>
              <w:textAlignment w:val="baseline"/>
              <w:rPr>
                <w:spacing w:val="-4"/>
                <w:sz w:val="20"/>
                <w:szCs w:val="20"/>
                <w:lang w:val="hy-AM"/>
              </w:rPr>
            </w:pPr>
            <w:r w:rsidRPr="0053423A">
              <w:rPr>
                <w:spacing w:val="-4"/>
                <w:sz w:val="20"/>
                <w:szCs w:val="20"/>
                <w:lang w:val="hy-AM"/>
              </w:rPr>
              <w:t xml:space="preserve"> Միջոցառման գլխավոր նպատակն է  կրթության համակարգի կառավարման արդյունավետության բարձրացումը: </w:t>
            </w:r>
          </w:p>
          <w:p w:rsidR="00154773" w:rsidRPr="0053423A" w:rsidRDefault="00154773" w:rsidP="00154773">
            <w:pPr>
              <w:shd w:val="clear" w:color="auto" w:fill="FFFFFF"/>
              <w:ind w:firstLine="270"/>
              <w:jc w:val="both"/>
              <w:textAlignment w:val="baseline"/>
              <w:rPr>
                <w:sz w:val="20"/>
                <w:szCs w:val="20"/>
                <w:lang w:val="hy-AM"/>
              </w:rPr>
            </w:pPr>
            <w:r w:rsidRPr="0053423A">
              <w:rPr>
                <w:spacing w:val="-4"/>
                <w:sz w:val="20"/>
                <w:szCs w:val="20"/>
                <w:lang w:val="hy-AM"/>
              </w:rPr>
              <w:t xml:space="preserve">Միջոցառման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xml:space="preserve">»  </w:t>
            </w:r>
            <w:r w:rsidRPr="0053423A">
              <w:rPr>
                <w:rFonts w:eastAsia="Calibri" w:cs="Sylfaen"/>
                <w:sz w:val="20"/>
                <w:szCs w:val="20"/>
                <w:lang w:val="hy-AM"/>
              </w:rPr>
              <w:t xml:space="preserve">բաժնի </w:t>
            </w:r>
            <w:r w:rsidRPr="0053423A">
              <w:rPr>
                <w:sz w:val="20"/>
                <w:szCs w:val="20"/>
                <w:lang w:val="hy-AM"/>
              </w:rPr>
              <w:t xml:space="preserve">5-րդ պարբերությամբ: Ժամանակի մարտահրավերները պահանջում են կրթական ընթացակարգերի և գործընթացի կազմակերպման օպտիմալացում առավել քիչ միջոցների և ռեսուրսների օգտագործմամբ, սակայն առավել արդյունավետ կերպով նույն նպատակներին հասնելու հնարավորություն: Միջոցառման անհրաժեշտությունը պայմանավորված է Մասնագիտական կրթության և ուսուցման /այսուհետ՝ ՄԿՈՒ/ ուսումնական հաստատությունների կառավարման և ծախսարդյունավետության բարձրացմամբ, ռեսուրսների համակենտրոնացմամբ: Միջոցառումը ենթադրում է առաջին հերթին կրթական հաստատությունների ցանցի վերափոխում: Ցանցի ստեղծումը նախատեսում է հորիզոնական գծով խոշորացում՝ Նախնական մասնագիտական /արհեստագործական/ և միջինմասնագիտական կրթության /այսուհետ՝ ՆՄԿԿ/ ուսումնական հաստատությունների վերակազմակերպում, որը հնարավորություն է տալիս օպտիմալացնել օգտագործվող տարածքները և ուսումնանյութական բազան: ՆՄՄԿ համակարգի ուսումնական հաստատությունները կվերակազմակերպվեն և դրա հիմքի վրա կստեղծվեն բազմագործառութային ուսումնական հաստատություններ: ՆՄՄԿ համակագի ռեսուրսների առավել օպտիմալ օգտագործումը կնպաստի մասնագիտական կրթության հետագա զարգացմանը և որակյալ մասնագետների պատրաստմանը: </w:t>
            </w:r>
          </w:p>
          <w:p w:rsidR="00154773" w:rsidRPr="0053423A" w:rsidRDefault="00154773" w:rsidP="00154773">
            <w:pPr>
              <w:rPr>
                <w:sz w:val="20"/>
                <w:szCs w:val="20"/>
                <w:lang w:val="af-ZA"/>
              </w:rPr>
            </w:pPr>
          </w:p>
          <w:p w:rsidR="00154773" w:rsidRPr="0053423A" w:rsidRDefault="00154773" w:rsidP="00154773">
            <w:pPr>
              <w:ind w:left="360"/>
              <w:jc w:val="both"/>
              <w:rPr>
                <w:rFonts w:eastAsia="Times New Roman" w:cs="Times New Roman"/>
                <w:b/>
                <w:sz w:val="20"/>
                <w:szCs w:val="20"/>
                <w:lang w:val="af-ZA"/>
              </w:rPr>
            </w:pPr>
            <w:r w:rsidRPr="0053423A">
              <w:rPr>
                <w:rFonts w:eastAsia="Times New Roman" w:cs="Times New Roman"/>
                <w:b/>
                <w:sz w:val="20"/>
                <w:szCs w:val="20"/>
                <w:lang w:val="af-ZA"/>
              </w:rPr>
              <w:t xml:space="preserve">1.1. </w:t>
            </w:r>
            <w:r w:rsidRPr="0053423A">
              <w:rPr>
                <w:rFonts w:eastAsia="Times New Roman" w:cs="Times New Roman"/>
                <w:b/>
                <w:sz w:val="20"/>
                <w:szCs w:val="20"/>
              </w:rPr>
              <w:t>կ</w:t>
            </w:r>
            <w:r w:rsidRPr="0053423A">
              <w:rPr>
                <w:rFonts w:eastAsia="Times New Roman" w:cs="Times New Roman"/>
                <w:b/>
                <w:sz w:val="20"/>
                <w:szCs w:val="20"/>
                <w:lang w:val="hy-AM"/>
              </w:rPr>
              <w:t>արգավորման հարաբերությունների ներկա վիճակը և առկա խնդիրները</w:t>
            </w:r>
          </w:p>
          <w:p w:rsidR="00154773" w:rsidRPr="0053423A" w:rsidRDefault="00154773" w:rsidP="00154773">
            <w:pPr>
              <w:ind w:left="720"/>
              <w:contextualSpacing/>
              <w:jc w:val="both"/>
              <w:rPr>
                <w:rFonts w:eastAsia="Times New Roman" w:cs="Times New Roman"/>
                <w:b/>
                <w:sz w:val="20"/>
                <w:szCs w:val="20"/>
                <w:lang w:val="af-ZA"/>
              </w:rPr>
            </w:pPr>
          </w:p>
          <w:p w:rsidR="00154773" w:rsidRPr="0053423A" w:rsidRDefault="00154773" w:rsidP="00154773">
            <w:pPr>
              <w:ind w:firstLine="540"/>
              <w:jc w:val="both"/>
              <w:rPr>
                <w:rFonts w:eastAsia="Calibri" w:cs="GHEA Grapalat"/>
                <w:color w:val="000000"/>
                <w:sz w:val="20"/>
                <w:szCs w:val="20"/>
                <w:lang w:val="it-IT"/>
              </w:rPr>
            </w:pPr>
            <w:r w:rsidRPr="0053423A">
              <w:rPr>
                <w:rFonts w:eastAsia="Calibri" w:cs="GHEA Grapalat"/>
                <w:color w:val="000000"/>
                <w:sz w:val="20"/>
                <w:szCs w:val="20"/>
                <w:lang w:val="it-IT"/>
              </w:rPr>
              <w:t xml:space="preserve">2019 </w:t>
            </w:r>
            <w:r w:rsidRPr="0053423A">
              <w:rPr>
                <w:rFonts w:eastAsia="Calibri" w:cs="GHEA Grapalat"/>
                <w:color w:val="000000"/>
                <w:sz w:val="20"/>
                <w:szCs w:val="20"/>
              </w:rPr>
              <w:t>թվականի</w:t>
            </w:r>
            <w:r w:rsidRPr="0053423A">
              <w:rPr>
                <w:rFonts w:eastAsia="Calibri" w:cs="GHEA Grapalat"/>
                <w:color w:val="000000"/>
                <w:sz w:val="20"/>
                <w:szCs w:val="20"/>
                <w:lang w:val="af-ZA"/>
              </w:rPr>
              <w:t xml:space="preserve"> </w:t>
            </w:r>
            <w:r w:rsidRPr="0053423A">
              <w:rPr>
                <w:rFonts w:eastAsia="Calibri" w:cs="GHEA Grapalat"/>
                <w:color w:val="000000"/>
                <w:sz w:val="20"/>
                <w:szCs w:val="20"/>
              </w:rPr>
              <w:t>հունվարի</w:t>
            </w:r>
            <w:r w:rsidRPr="0053423A">
              <w:rPr>
                <w:rFonts w:eastAsia="Calibri" w:cs="GHEA Grapalat"/>
                <w:color w:val="000000"/>
                <w:sz w:val="20"/>
                <w:szCs w:val="20"/>
                <w:lang w:val="it-IT"/>
              </w:rPr>
              <w:t xml:space="preserve"> 1-</w:t>
            </w:r>
            <w:r w:rsidRPr="0053423A">
              <w:rPr>
                <w:rFonts w:eastAsia="Calibri" w:cs="GHEA Grapalat"/>
                <w:color w:val="000000"/>
                <w:sz w:val="20"/>
                <w:szCs w:val="20"/>
              </w:rPr>
              <w:t>ի</w:t>
            </w:r>
            <w:r w:rsidRPr="0053423A">
              <w:rPr>
                <w:rFonts w:eastAsia="Calibri" w:cs="GHEA Grapalat"/>
                <w:color w:val="000000"/>
                <w:sz w:val="20"/>
                <w:szCs w:val="20"/>
                <w:lang w:val="af-ZA"/>
              </w:rPr>
              <w:t xml:space="preserve"> </w:t>
            </w:r>
            <w:r w:rsidRPr="0053423A">
              <w:rPr>
                <w:rFonts w:eastAsia="Calibri" w:cs="GHEA Grapalat"/>
                <w:color w:val="000000"/>
                <w:sz w:val="20"/>
                <w:szCs w:val="20"/>
              </w:rPr>
              <w:t>դրությամբ</w:t>
            </w:r>
            <w:r w:rsidRPr="0053423A">
              <w:rPr>
                <w:rFonts w:eastAsia="Calibri" w:cs="GHEA Grapalat"/>
                <w:color w:val="000000"/>
                <w:sz w:val="20"/>
                <w:szCs w:val="20"/>
                <w:lang w:val="af-ZA"/>
              </w:rPr>
              <w:t xml:space="preserve"> </w:t>
            </w:r>
            <w:r w:rsidRPr="0053423A">
              <w:rPr>
                <w:rFonts w:eastAsia="Calibri" w:cs="GHEA Grapalat"/>
                <w:color w:val="000000"/>
                <w:sz w:val="20"/>
                <w:szCs w:val="20"/>
              </w:rPr>
              <w:t>հանրապետությունում</w:t>
            </w:r>
            <w:r w:rsidRPr="0053423A">
              <w:rPr>
                <w:rFonts w:eastAsia="Calibri" w:cs="GHEA Grapalat"/>
                <w:color w:val="000000"/>
                <w:sz w:val="20"/>
                <w:szCs w:val="20"/>
                <w:lang w:val="af-ZA"/>
              </w:rPr>
              <w:t xml:space="preserve"> </w:t>
            </w:r>
            <w:r w:rsidRPr="0053423A">
              <w:rPr>
                <w:rFonts w:eastAsia="Calibri" w:cs="GHEA Grapalat"/>
                <w:color w:val="000000"/>
                <w:sz w:val="20"/>
                <w:szCs w:val="20"/>
              </w:rPr>
              <w:t>նախնական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մասնագիտական</w:t>
            </w:r>
            <w:r w:rsidRPr="0053423A">
              <w:rPr>
                <w:rFonts w:eastAsia="Calibri" w:cs="GHEA Grapalat"/>
                <w:color w:val="000000"/>
                <w:sz w:val="20"/>
                <w:szCs w:val="20"/>
                <w:lang w:val="it-IT"/>
              </w:rPr>
              <w:t xml:space="preserve"> (</w:t>
            </w:r>
            <w:r w:rsidRPr="0053423A">
              <w:rPr>
                <w:rFonts w:eastAsia="Calibri" w:cs="GHEA Grapalat"/>
                <w:color w:val="000000"/>
                <w:sz w:val="20"/>
                <w:szCs w:val="20"/>
              </w:rPr>
              <w:t>արհեստագործական</w:t>
            </w:r>
            <w:r w:rsidRPr="0053423A">
              <w:rPr>
                <w:rFonts w:eastAsia="Calibri" w:cs="GHEA Grapalat"/>
                <w:color w:val="000000"/>
                <w:sz w:val="20"/>
                <w:szCs w:val="20"/>
                <w:lang w:val="it-IT"/>
              </w:rPr>
              <w:t xml:space="preserve">) </w:t>
            </w:r>
            <w:r w:rsidRPr="0053423A">
              <w:rPr>
                <w:rFonts w:eastAsia="Calibri" w:cs="GHEA Grapalat"/>
                <w:color w:val="000000"/>
                <w:sz w:val="20"/>
                <w:szCs w:val="20"/>
              </w:rPr>
              <w:t>ուսումնական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ծրագրեր</w:t>
            </w:r>
            <w:r w:rsidRPr="0053423A">
              <w:rPr>
                <w:rFonts w:eastAsia="Calibri" w:cs="GHEA Grapalat"/>
                <w:color w:val="000000"/>
                <w:sz w:val="20"/>
                <w:szCs w:val="20"/>
                <w:lang w:val="af-ZA"/>
              </w:rPr>
              <w:t xml:space="preserve"> </w:t>
            </w:r>
            <w:r w:rsidRPr="0053423A">
              <w:rPr>
                <w:rFonts w:eastAsia="Calibri" w:cs="GHEA Grapalat"/>
                <w:color w:val="000000"/>
                <w:sz w:val="20"/>
                <w:szCs w:val="20"/>
              </w:rPr>
              <w:t>իրականացվում</w:t>
            </w:r>
            <w:r w:rsidRPr="0053423A">
              <w:rPr>
                <w:rFonts w:eastAsia="Calibri" w:cs="GHEA Grapalat"/>
                <w:color w:val="000000"/>
                <w:sz w:val="20"/>
                <w:szCs w:val="20"/>
                <w:lang w:val="af-ZA"/>
              </w:rPr>
              <w:t xml:space="preserve"> </w:t>
            </w:r>
            <w:r w:rsidRPr="0053423A">
              <w:rPr>
                <w:rFonts w:eastAsia="Calibri" w:cs="GHEA Grapalat"/>
                <w:color w:val="000000"/>
                <w:sz w:val="20"/>
                <w:szCs w:val="20"/>
              </w:rPr>
              <w:t>են</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54</w:t>
            </w:r>
            <w:r w:rsidRPr="0053423A">
              <w:rPr>
                <w:rFonts w:eastAsia="Calibri" w:cs="GHEA Grapalat"/>
                <w:color w:val="000000"/>
                <w:sz w:val="20"/>
                <w:szCs w:val="20"/>
                <w:lang w:val="it-IT"/>
              </w:rPr>
              <w:t xml:space="preserve"> </w:t>
            </w:r>
            <w:r w:rsidRPr="0053423A">
              <w:rPr>
                <w:rFonts w:eastAsia="Calibri" w:cs="GHEA Grapalat"/>
                <w:color w:val="000000"/>
                <w:sz w:val="20"/>
                <w:szCs w:val="20"/>
              </w:rPr>
              <w:t>պետական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ուսումնական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հաստատություններում</w:t>
            </w:r>
            <w:r w:rsidRPr="0053423A">
              <w:rPr>
                <w:rFonts w:eastAsia="Calibri" w:cs="GHEA Grapalat"/>
                <w:color w:val="000000"/>
                <w:sz w:val="20"/>
                <w:szCs w:val="20"/>
                <w:lang w:val="it-IT"/>
              </w:rPr>
              <w:t xml:space="preserve"> (2</w:t>
            </w:r>
            <w:r w:rsidRPr="0053423A">
              <w:rPr>
                <w:rFonts w:eastAsia="Calibri" w:cs="GHEA Grapalat"/>
                <w:color w:val="000000"/>
                <w:sz w:val="20"/>
                <w:szCs w:val="20"/>
                <w:lang w:val="hy-AM"/>
              </w:rPr>
              <w:t>3</w:t>
            </w:r>
            <w:r w:rsidRPr="0053423A">
              <w:rPr>
                <w:rFonts w:eastAsia="Calibri" w:cs="GHEA Grapalat"/>
                <w:color w:val="000000"/>
                <w:sz w:val="20"/>
                <w:szCs w:val="20"/>
                <w:lang w:val="it-IT"/>
              </w:rPr>
              <w:t xml:space="preserve"> </w:t>
            </w:r>
            <w:r w:rsidRPr="0053423A">
              <w:rPr>
                <w:rFonts w:eastAsia="Calibri" w:cs="GHEA Grapalat"/>
                <w:color w:val="000000"/>
                <w:sz w:val="20"/>
                <w:szCs w:val="20"/>
              </w:rPr>
              <w:t>նախնական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մասնագիտական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ուսումնական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հաստատություն</w:t>
            </w:r>
            <w:r w:rsidRPr="0053423A">
              <w:rPr>
                <w:rFonts w:eastAsia="Calibri" w:cs="GHEA Grapalat"/>
                <w:color w:val="000000"/>
                <w:sz w:val="20"/>
                <w:szCs w:val="20"/>
                <w:lang w:val="it-IT"/>
              </w:rPr>
              <w:t xml:space="preserve">, 26 </w:t>
            </w:r>
            <w:r w:rsidRPr="0053423A">
              <w:rPr>
                <w:rFonts w:eastAsia="Calibri" w:cs="GHEA Grapalat"/>
                <w:color w:val="000000"/>
                <w:sz w:val="20"/>
                <w:szCs w:val="20"/>
              </w:rPr>
              <w:t>միջին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մասնագիտական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ուսումնական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հաստատություն</w:t>
            </w:r>
            <w:r w:rsidRPr="0053423A">
              <w:rPr>
                <w:rFonts w:eastAsia="Calibri" w:cs="GHEA Grapalat"/>
                <w:color w:val="000000"/>
                <w:sz w:val="20"/>
                <w:szCs w:val="20"/>
                <w:lang w:val="it-IT"/>
              </w:rPr>
              <w:t xml:space="preserve">, </w:t>
            </w:r>
            <w:r w:rsidRPr="0053423A">
              <w:rPr>
                <w:rFonts w:eastAsia="Calibri" w:cs="GHEA Grapalat"/>
                <w:color w:val="000000"/>
                <w:sz w:val="20"/>
                <w:szCs w:val="20"/>
                <w:lang w:val="hy-AM"/>
              </w:rPr>
              <w:t>4</w:t>
            </w:r>
            <w:r w:rsidRPr="0053423A">
              <w:rPr>
                <w:rFonts w:eastAsia="Calibri" w:cs="GHEA Grapalat"/>
                <w:color w:val="000000"/>
                <w:sz w:val="20"/>
                <w:szCs w:val="20"/>
                <w:lang w:val="it-IT"/>
              </w:rPr>
              <w:t xml:space="preserve"> </w:t>
            </w:r>
            <w:r w:rsidRPr="0053423A">
              <w:rPr>
                <w:rFonts w:eastAsia="Calibri" w:cs="GHEA Grapalat"/>
                <w:color w:val="000000"/>
                <w:sz w:val="20"/>
                <w:szCs w:val="20"/>
              </w:rPr>
              <w:t>կրթահամալիր</w:t>
            </w:r>
            <w:r w:rsidRPr="0053423A">
              <w:rPr>
                <w:rFonts w:eastAsia="Calibri" w:cs="GHEA Grapalat"/>
                <w:color w:val="000000"/>
                <w:sz w:val="20"/>
                <w:szCs w:val="20"/>
                <w:lang w:val="it-IT"/>
              </w:rPr>
              <w:t xml:space="preserve">, 1 </w:t>
            </w:r>
            <w:r w:rsidRPr="0053423A">
              <w:rPr>
                <w:rFonts w:eastAsia="Calibri" w:cs="GHEA Grapalat"/>
                <w:color w:val="000000"/>
                <w:sz w:val="20"/>
                <w:szCs w:val="20"/>
              </w:rPr>
              <w:t>բարձրագույն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ուսումնական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հաստատություն</w:t>
            </w:r>
            <w:r w:rsidRPr="0053423A">
              <w:rPr>
                <w:rFonts w:eastAsia="Calibri" w:cs="GHEA Grapalat"/>
                <w:color w:val="000000"/>
                <w:sz w:val="20"/>
                <w:szCs w:val="20"/>
                <w:lang w:val="it-IT"/>
              </w:rPr>
              <w:t>)</w:t>
            </w:r>
            <w:r w:rsidRPr="0053423A">
              <w:rPr>
                <w:rFonts w:eastAsia="Calibri" w:cs="GHEA Grapalat"/>
                <w:color w:val="000000"/>
                <w:sz w:val="20"/>
                <w:szCs w:val="20"/>
                <w:lang w:val="hy-AM"/>
              </w:rPr>
              <w:t>:</w:t>
            </w:r>
            <w:r w:rsidRPr="0053423A">
              <w:rPr>
                <w:rFonts w:eastAsia="Calibri" w:cs="GHEA Grapalat"/>
                <w:color w:val="000000"/>
                <w:sz w:val="20"/>
                <w:szCs w:val="20"/>
                <w:lang w:val="af-ZA"/>
              </w:rPr>
              <w:t xml:space="preserve"> Մ</w:t>
            </w:r>
            <w:r w:rsidRPr="0053423A">
              <w:rPr>
                <w:rFonts w:eastAsia="Calibri" w:cs="GHEA Grapalat"/>
                <w:color w:val="000000"/>
                <w:sz w:val="20"/>
                <w:szCs w:val="20"/>
              </w:rPr>
              <w:t>իջին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մասնագիտական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կրթական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ծրագրեր</w:t>
            </w:r>
            <w:r w:rsidRPr="0053423A">
              <w:rPr>
                <w:rFonts w:eastAsia="Calibri" w:cs="GHEA Grapalat"/>
                <w:color w:val="000000"/>
                <w:sz w:val="20"/>
                <w:szCs w:val="20"/>
                <w:lang w:val="af-ZA"/>
              </w:rPr>
              <w:t xml:space="preserve"> </w:t>
            </w:r>
            <w:r w:rsidRPr="0053423A">
              <w:rPr>
                <w:rFonts w:eastAsia="Calibri" w:cs="GHEA Grapalat"/>
                <w:color w:val="000000"/>
                <w:sz w:val="20"/>
                <w:szCs w:val="20"/>
              </w:rPr>
              <w:t>իրականացվում</w:t>
            </w:r>
            <w:r w:rsidRPr="0053423A">
              <w:rPr>
                <w:rFonts w:eastAsia="Calibri" w:cs="GHEA Grapalat"/>
                <w:color w:val="000000"/>
                <w:sz w:val="20"/>
                <w:szCs w:val="20"/>
                <w:lang w:val="af-ZA"/>
              </w:rPr>
              <w:t xml:space="preserve"> </w:t>
            </w:r>
            <w:r w:rsidRPr="0053423A">
              <w:rPr>
                <w:rFonts w:eastAsia="Calibri" w:cs="GHEA Grapalat"/>
                <w:color w:val="000000"/>
                <w:sz w:val="20"/>
                <w:szCs w:val="20"/>
              </w:rPr>
              <w:t>են</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it-IT"/>
              </w:rPr>
              <w:t>8</w:t>
            </w:r>
            <w:r w:rsidRPr="0053423A">
              <w:rPr>
                <w:rFonts w:eastAsia="Calibri" w:cs="GHEA Grapalat"/>
                <w:color w:val="000000"/>
                <w:sz w:val="20"/>
                <w:szCs w:val="20"/>
                <w:lang w:val="hy-AM"/>
              </w:rPr>
              <w:t>4</w:t>
            </w:r>
            <w:r w:rsidRPr="0053423A">
              <w:rPr>
                <w:rFonts w:eastAsia="Calibri" w:cs="GHEA Grapalat"/>
                <w:color w:val="000000"/>
                <w:sz w:val="20"/>
                <w:szCs w:val="20"/>
                <w:lang w:val="it-IT"/>
              </w:rPr>
              <w:t xml:space="preserve"> </w:t>
            </w:r>
            <w:r w:rsidRPr="0053423A">
              <w:rPr>
                <w:rFonts w:eastAsia="Calibri" w:cs="GHEA Grapalat"/>
                <w:color w:val="000000"/>
                <w:sz w:val="20"/>
                <w:szCs w:val="20"/>
              </w:rPr>
              <w:t>պետական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ուսումնական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հաստատություններում</w:t>
            </w:r>
            <w:r w:rsidRPr="0053423A">
              <w:rPr>
                <w:rFonts w:eastAsia="Calibri" w:cs="GHEA Grapalat"/>
                <w:color w:val="000000"/>
                <w:sz w:val="20"/>
                <w:szCs w:val="20"/>
                <w:lang w:val="it-IT"/>
              </w:rPr>
              <w:t xml:space="preserve"> (68 </w:t>
            </w:r>
            <w:r w:rsidRPr="0053423A">
              <w:rPr>
                <w:rFonts w:eastAsia="Calibri" w:cs="GHEA Grapalat"/>
                <w:color w:val="000000"/>
                <w:sz w:val="20"/>
                <w:szCs w:val="20"/>
              </w:rPr>
              <w:t>միջին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մասնագիտական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պետական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ուսումնական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հաստատություն</w:t>
            </w:r>
            <w:r w:rsidRPr="0053423A">
              <w:rPr>
                <w:rFonts w:eastAsia="Calibri" w:cs="GHEA Grapalat"/>
                <w:color w:val="000000"/>
                <w:sz w:val="20"/>
                <w:szCs w:val="20"/>
                <w:lang w:val="it-IT"/>
              </w:rPr>
              <w:t xml:space="preserve">, 9 </w:t>
            </w:r>
            <w:r w:rsidRPr="0053423A">
              <w:rPr>
                <w:rFonts w:eastAsia="Calibri" w:cs="GHEA Grapalat"/>
                <w:color w:val="000000"/>
                <w:sz w:val="20"/>
                <w:szCs w:val="20"/>
              </w:rPr>
              <w:t>ԲՈՒՀ</w:t>
            </w:r>
            <w:r w:rsidRPr="0053423A">
              <w:rPr>
                <w:rFonts w:eastAsia="Calibri" w:cs="GHEA Grapalat"/>
                <w:color w:val="000000"/>
                <w:sz w:val="20"/>
                <w:szCs w:val="20"/>
                <w:lang w:val="it-IT"/>
              </w:rPr>
              <w:t xml:space="preserve">, 2 </w:t>
            </w:r>
            <w:r w:rsidRPr="0053423A">
              <w:rPr>
                <w:rFonts w:eastAsia="Calibri" w:cs="GHEA Grapalat"/>
                <w:color w:val="000000"/>
                <w:sz w:val="20"/>
                <w:szCs w:val="20"/>
              </w:rPr>
              <w:t>կրթահամալիր</w:t>
            </w:r>
            <w:r w:rsidRPr="0053423A">
              <w:rPr>
                <w:rFonts w:eastAsia="Calibri" w:cs="GHEA Grapalat"/>
                <w:color w:val="000000"/>
                <w:sz w:val="20"/>
                <w:szCs w:val="20"/>
                <w:lang w:val="it-IT"/>
              </w:rPr>
              <w:t xml:space="preserve">, </w:t>
            </w:r>
            <w:r w:rsidRPr="0053423A">
              <w:rPr>
                <w:rFonts w:eastAsia="Calibri" w:cs="GHEA Grapalat"/>
                <w:color w:val="000000"/>
                <w:sz w:val="20"/>
                <w:szCs w:val="20"/>
                <w:lang w:val="hy-AM"/>
              </w:rPr>
              <w:t>2</w:t>
            </w:r>
            <w:r w:rsidRPr="0053423A">
              <w:rPr>
                <w:rFonts w:eastAsia="Calibri" w:cs="GHEA Grapalat"/>
                <w:color w:val="000000"/>
                <w:sz w:val="20"/>
                <w:szCs w:val="20"/>
                <w:lang w:val="it-IT"/>
              </w:rPr>
              <w:t xml:space="preserve"> </w:t>
            </w:r>
            <w:r w:rsidRPr="0053423A">
              <w:rPr>
                <w:rFonts w:eastAsia="Calibri" w:cs="GHEA Grapalat"/>
                <w:color w:val="000000"/>
                <w:sz w:val="20"/>
                <w:szCs w:val="20"/>
              </w:rPr>
              <w:t>հիմնադրամ</w:t>
            </w:r>
            <w:r w:rsidRPr="0053423A">
              <w:rPr>
                <w:rFonts w:eastAsia="Calibri" w:cs="GHEA Grapalat"/>
                <w:color w:val="000000"/>
                <w:sz w:val="20"/>
                <w:szCs w:val="20"/>
                <w:lang w:val="it-IT"/>
              </w:rPr>
              <w:t xml:space="preserve">, </w:t>
            </w:r>
            <w:r w:rsidRPr="0053423A">
              <w:rPr>
                <w:rFonts w:eastAsia="Calibri" w:cs="GHEA Grapalat"/>
                <w:color w:val="000000"/>
                <w:sz w:val="20"/>
                <w:szCs w:val="20"/>
                <w:lang w:val="hy-AM"/>
              </w:rPr>
              <w:t>3</w:t>
            </w:r>
            <w:r w:rsidRPr="0053423A">
              <w:rPr>
                <w:rFonts w:eastAsia="Calibri" w:cs="GHEA Grapalat"/>
                <w:color w:val="000000"/>
                <w:sz w:val="20"/>
                <w:szCs w:val="20"/>
                <w:lang w:val="it-IT"/>
              </w:rPr>
              <w:t xml:space="preserve"> </w:t>
            </w:r>
            <w:r w:rsidRPr="0053423A">
              <w:rPr>
                <w:rFonts w:eastAsia="Calibri" w:cs="GHEA Grapalat"/>
                <w:color w:val="000000"/>
                <w:sz w:val="20"/>
                <w:szCs w:val="20"/>
                <w:lang w:val="hy-AM"/>
              </w:rPr>
              <w:t>ՓԲԸ</w:t>
            </w:r>
            <w:r w:rsidRPr="0053423A">
              <w:rPr>
                <w:rFonts w:eastAsia="Calibri" w:cs="GHEA Grapalat"/>
                <w:color w:val="000000"/>
                <w:sz w:val="20"/>
                <w:szCs w:val="20"/>
                <w:lang w:val="it-IT"/>
              </w:rPr>
              <w:t>):</w:t>
            </w:r>
          </w:p>
          <w:p w:rsidR="00154773" w:rsidRPr="0053423A" w:rsidRDefault="00154773" w:rsidP="00154773">
            <w:pPr>
              <w:ind w:firstLine="540"/>
              <w:jc w:val="both"/>
              <w:rPr>
                <w:rFonts w:eastAsia="Calibri" w:cs="Times New Roman"/>
                <w:sz w:val="20"/>
                <w:szCs w:val="20"/>
                <w:lang w:val="et-EE"/>
              </w:rPr>
            </w:pPr>
            <w:r w:rsidRPr="0053423A">
              <w:rPr>
                <w:rFonts w:eastAsia="Calibri" w:cs="Sylfaen"/>
                <w:sz w:val="20"/>
                <w:szCs w:val="20"/>
                <w:lang w:val="et-EE"/>
              </w:rPr>
              <w:t>ՀՀ կրթության և գիտության նախար</w:t>
            </w:r>
            <w:r w:rsidRPr="0053423A">
              <w:rPr>
                <w:rFonts w:eastAsia="Calibri" w:cs="Sylfaen"/>
                <w:sz w:val="20"/>
                <w:szCs w:val="20"/>
              </w:rPr>
              <w:t>ության</w:t>
            </w:r>
            <w:r w:rsidRPr="0053423A">
              <w:rPr>
                <w:rFonts w:eastAsia="Calibri" w:cs="Sylfaen"/>
                <w:sz w:val="20"/>
                <w:szCs w:val="20"/>
                <w:lang w:val="it-IT"/>
              </w:rPr>
              <w:t xml:space="preserve"> </w:t>
            </w:r>
            <w:r w:rsidRPr="0053423A">
              <w:rPr>
                <w:rFonts w:eastAsia="Calibri" w:cs="Sylfaen"/>
                <w:sz w:val="20"/>
                <w:szCs w:val="20"/>
              </w:rPr>
              <w:t>համապատասխան</w:t>
            </w:r>
            <w:r w:rsidRPr="0053423A">
              <w:rPr>
                <w:rFonts w:eastAsia="Calibri" w:cs="Sylfaen"/>
                <w:sz w:val="20"/>
                <w:szCs w:val="20"/>
                <w:lang w:val="it-IT"/>
              </w:rPr>
              <w:t xml:space="preserve"> </w:t>
            </w:r>
            <w:r w:rsidRPr="0053423A">
              <w:rPr>
                <w:rFonts w:eastAsia="Calibri" w:cs="Sylfaen"/>
                <w:sz w:val="20"/>
                <w:szCs w:val="20"/>
              </w:rPr>
              <w:t>մասնագետների</w:t>
            </w:r>
            <w:r w:rsidRPr="0053423A">
              <w:rPr>
                <w:rFonts w:eastAsia="Calibri" w:cs="Sylfaen"/>
                <w:sz w:val="20"/>
                <w:szCs w:val="20"/>
                <w:lang w:val="it-IT"/>
              </w:rPr>
              <w:t xml:space="preserve"> </w:t>
            </w:r>
            <w:r w:rsidRPr="0053423A">
              <w:rPr>
                <w:rFonts w:eastAsia="Calibri" w:cs="Sylfaen"/>
                <w:sz w:val="20"/>
                <w:szCs w:val="20"/>
              </w:rPr>
              <w:t>կողմից</w:t>
            </w:r>
            <w:r w:rsidRPr="0053423A">
              <w:rPr>
                <w:rFonts w:eastAsia="Calibri" w:cs="Sylfaen"/>
                <w:sz w:val="20"/>
                <w:szCs w:val="20"/>
                <w:lang w:val="it-IT"/>
              </w:rPr>
              <w:t xml:space="preserve"> </w:t>
            </w:r>
            <w:r w:rsidRPr="0053423A">
              <w:rPr>
                <w:rFonts w:eastAsia="Calibri" w:cs="Sylfaen"/>
                <w:sz w:val="20"/>
                <w:szCs w:val="20"/>
                <w:lang w:val="et-EE"/>
              </w:rPr>
              <w:t xml:space="preserve">իրականացվել Հայաստանի </w:t>
            </w:r>
            <w:r w:rsidRPr="0053423A">
              <w:rPr>
                <w:rFonts w:eastAsia="Calibri" w:cs="Arial Armenian"/>
                <w:sz w:val="20"/>
                <w:szCs w:val="20"/>
              </w:rPr>
              <w:t>Հանրապետությունում</w:t>
            </w:r>
            <w:r w:rsidRPr="0053423A">
              <w:rPr>
                <w:rFonts w:eastAsia="Calibri" w:cs="Arial Armenian"/>
                <w:sz w:val="20"/>
                <w:szCs w:val="20"/>
                <w:lang w:val="et-EE"/>
              </w:rPr>
              <w:t xml:space="preserve"> </w:t>
            </w:r>
            <w:r w:rsidRPr="0053423A">
              <w:rPr>
                <w:rFonts w:eastAsia="Calibri" w:cs="Arial Armenian"/>
                <w:sz w:val="20"/>
                <w:szCs w:val="20"/>
              </w:rPr>
              <w:t>գործող</w:t>
            </w:r>
            <w:r w:rsidRPr="0053423A">
              <w:rPr>
                <w:rFonts w:eastAsia="Calibri" w:cs="Arial Armenian"/>
                <w:sz w:val="20"/>
                <w:szCs w:val="20"/>
                <w:lang w:val="et-EE"/>
              </w:rPr>
              <w:t xml:space="preserve"> </w:t>
            </w:r>
            <w:r w:rsidRPr="0053423A">
              <w:rPr>
                <w:rFonts w:eastAsia="Calibri" w:cs="Arial Armenian"/>
                <w:sz w:val="20"/>
                <w:szCs w:val="20"/>
              </w:rPr>
              <w:t>նախնական</w:t>
            </w:r>
            <w:r w:rsidRPr="0053423A">
              <w:rPr>
                <w:rFonts w:eastAsia="Calibri" w:cs="Arial Armenian"/>
                <w:sz w:val="20"/>
                <w:szCs w:val="20"/>
                <w:lang w:val="et-EE"/>
              </w:rPr>
              <w:t xml:space="preserve"> </w:t>
            </w:r>
            <w:r w:rsidRPr="0053423A">
              <w:rPr>
                <w:rFonts w:eastAsia="Calibri" w:cs="Times New Roman"/>
                <w:sz w:val="20"/>
                <w:szCs w:val="20"/>
                <w:lang w:val="hy-AM"/>
              </w:rPr>
              <w:t>(</w:t>
            </w:r>
            <w:r w:rsidRPr="0053423A">
              <w:rPr>
                <w:rFonts w:eastAsia="Calibri" w:cs="Sylfaen"/>
                <w:sz w:val="20"/>
                <w:szCs w:val="20"/>
                <w:lang w:val="hy-AM"/>
              </w:rPr>
              <w:t>արհեստագործական</w:t>
            </w:r>
            <w:r w:rsidRPr="0053423A">
              <w:rPr>
                <w:rFonts w:eastAsia="Calibri" w:cs="Times New Roman"/>
                <w:sz w:val="20"/>
                <w:szCs w:val="20"/>
                <w:lang w:val="hy-AM"/>
              </w:rPr>
              <w:t xml:space="preserve">) </w:t>
            </w:r>
            <w:r w:rsidRPr="0053423A">
              <w:rPr>
                <w:rFonts w:eastAsia="Calibri" w:cs="Arial Armenian"/>
                <w:sz w:val="20"/>
                <w:szCs w:val="20"/>
              </w:rPr>
              <w:t>և</w:t>
            </w:r>
            <w:r w:rsidRPr="0053423A">
              <w:rPr>
                <w:rFonts w:eastAsia="Calibri" w:cs="Arial Armenian"/>
                <w:sz w:val="20"/>
                <w:szCs w:val="20"/>
                <w:lang w:val="et-EE"/>
              </w:rPr>
              <w:t xml:space="preserve"> </w:t>
            </w:r>
            <w:r w:rsidRPr="0053423A">
              <w:rPr>
                <w:rFonts w:eastAsia="Calibri" w:cs="Arial Armenian"/>
                <w:sz w:val="20"/>
                <w:szCs w:val="20"/>
              </w:rPr>
              <w:t>միջին</w:t>
            </w:r>
            <w:r w:rsidRPr="0053423A">
              <w:rPr>
                <w:rFonts w:eastAsia="Calibri" w:cs="Arial Armenian"/>
                <w:sz w:val="20"/>
                <w:szCs w:val="20"/>
                <w:lang w:val="et-EE"/>
              </w:rPr>
              <w:t xml:space="preserve"> </w:t>
            </w:r>
            <w:r w:rsidRPr="0053423A">
              <w:rPr>
                <w:rFonts w:eastAsia="Calibri" w:cs="Arial Armenian"/>
                <w:sz w:val="20"/>
                <w:szCs w:val="20"/>
              </w:rPr>
              <w:t>մասնագիտական</w:t>
            </w:r>
            <w:r w:rsidRPr="0053423A">
              <w:rPr>
                <w:rFonts w:eastAsia="Calibri" w:cs="Arial Armenian"/>
                <w:sz w:val="20"/>
                <w:szCs w:val="20"/>
                <w:lang w:val="et-EE"/>
              </w:rPr>
              <w:t xml:space="preserve"> </w:t>
            </w:r>
            <w:r w:rsidRPr="0053423A">
              <w:rPr>
                <w:rFonts w:eastAsia="Calibri" w:cs="Arial Armenian"/>
                <w:sz w:val="20"/>
                <w:szCs w:val="20"/>
              </w:rPr>
              <w:t>պետական</w:t>
            </w:r>
            <w:r w:rsidRPr="0053423A">
              <w:rPr>
                <w:rFonts w:eastAsia="Calibri" w:cs="Arial Armenian"/>
                <w:sz w:val="20"/>
                <w:szCs w:val="20"/>
                <w:lang w:val="et-EE"/>
              </w:rPr>
              <w:t xml:space="preserve"> </w:t>
            </w:r>
            <w:r w:rsidRPr="0053423A">
              <w:rPr>
                <w:rFonts w:eastAsia="Calibri" w:cs="Arial Armenian"/>
                <w:sz w:val="20"/>
                <w:szCs w:val="20"/>
              </w:rPr>
              <w:t>ուսումնական</w:t>
            </w:r>
            <w:r w:rsidRPr="0053423A">
              <w:rPr>
                <w:rFonts w:eastAsia="Calibri" w:cs="Arial Armenian"/>
                <w:sz w:val="20"/>
                <w:szCs w:val="20"/>
                <w:lang w:val="et-EE"/>
              </w:rPr>
              <w:t xml:space="preserve"> </w:t>
            </w:r>
            <w:r w:rsidRPr="0053423A">
              <w:rPr>
                <w:rFonts w:eastAsia="Calibri" w:cs="Arial Armenian"/>
                <w:sz w:val="20"/>
                <w:szCs w:val="20"/>
              </w:rPr>
              <w:t>հաստատությունների</w:t>
            </w:r>
            <w:r w:rsidRPr="0053423A">
              <w:rPr>
                <w:rFonts w:eastAsia="Calibri" w:cs="Arial Armenian"/>
                <w:sz w:val="20"/>
                <w:szCs w:val="20"/>
                <w:lang w:val="et-EE"/>
              </w:rPr>
              <w:t xml:space="preserve"> </w:t>
            </w:r>
            <w:r w:rsidRPr="0053423A">
              <w:rPr>
                <w:rFonts w:eastAsia="Calibri" w:cs="Arial Armenian"/>
                <w:sz w:val="20"/>
                <w:szCs w:val="20"/>
              </w:rPr>
              <w:t>քարտեզագրում</w:t>
            </w:r>
            <w:r w:rsidRPr="0053423A">
              <w:rPr>
                <w:rFonts w:cs="Arial Armenian"/>
                <w:sz w:val="20"/>
                <w:szCs w:val="20"/>
              </w:rPr>
              <w:t>՝</w:t>
            </w:r>
            <w:r w:rsidRPr="0053423A">
              <w:rPr>
                <w:rFonts w:eastAsia="Calibri" w:cs="Arial Armenian"/>
                <w:sz w:val="20"/>
                <w:szCs w:val="20"/>
                <w:lang w:val="et-EE"/>
              </w:rPr>
              <w:t xml:space="preserve"> </w:t>
            </w:r>
            <w:r w:rsidRPr="0053423A">
              <w:rPr>
                <w:rFonts w:eastAsia="Calibri" w:cs="Arial Armenian"/>
                <w:sz w:val="20"/>
                <w:szCs w:val="20"/>
              </w:rPr>
              <w:t>ըստ</w:t>
            </w:r>
            <w:r w:rsidRPr="0053423A">
              <w:rPr>
                <w:rFonts w:eastAsia="Calibri" w:cs="Arial Armenian"/>
                <w:sz w:val="20"/>
                <w:szCs w:val="20"/>
                <w:lang w:val="et-EE"/>
              </w:rPr>
              <w:t xml:space="preserve"> </w:t>
            </w:r>
            <w:r w:rsidRPr="0053423A">
              <w:rPr>
                <w:rFonts w:eastAsia="Calibri" w:cs="Arial Armenian"/>
                <w:sz w:val="20"/>
                <w:szCs w:val="20"/>
              </w:rPr>
              <w:t>մարզերի</w:t>
            </w:r>
            <w:r w:rsidRPr="0053423A">
              <w:rPr>
                <w:rFonts w:eastAsia="Calibri" w:cs="Arial Armenian"/>
                <w:sz w:val="20"/>
                <w:szCs w:val="20"/>
                <w:lang w:val="et-EE"/>
              </w:rPr>
              <w:t xml:space="preserve">, </w:t>
            </w:r>
            <w:r w:rsidRPr="0053423A">
              <w:rPr>
                <w:rFonts w:eastAsia="Calibri" w:cs="Arial Armenian"/>
                <w:sz w:val="20"/>
                <w:szCs w:val="20"/>
              </w:rPr>
              <w:t>ուսումնական</w:t>
            </w:r>
            <w:r w:rsidRPr="0053423A">
              <w:rPr>
                <w:rFonts w:eastAsia="Calibri" w:cs="Arial Armenian"/>
                <w:sz w:val="20"/>
                <w:szCs w:val="20"/>
                <w:lang w:val="et-EE"/>
              </w:rPr>
              <w:t xml:space="preserve"> </w:t>
            </w:r>
            <w:r w:rsidRPr="0053423A">
              <w:rPr>
                <w:rFonts w:eastAsia="Calibri" w:cs="Arial Armenian"/>
                <w:sz w:val="20"/>
                <w:szCs w:val="20"/>
              </w:rPr>
              <w:t>հաստատությունների</w:t>
            </w:r>
            <w:r w:rsidRPr="0053423A">
              <w:rPr>
                <w:rFonts w:eastAsia="Calibri" w:cs="Arial Armenian"/>
                <w:sz w:val="20"/>
                <w:szCs w:val="20"/>
                <w:lang w:val="et-EE"/>
              </w:rPr>
              <w:t xml:space="preserve"> </w:t>
            </w:r>
            <w:r w:rsidRPr="0053423A">
              <w:rPr>
                <w:rFonts w:eastAsia="Calibri" w:cs="Arial Armenian"/>
                <w:sz w:val="20"/>
                <w:szCs w:val="20"/>
              </w:rPr>
              <w:t>և</w:t>
            </w:r>
            <w:r w:rsidRPr="0053423A">
              <w:rPr>
                <w:rFonts w:eastAsia="Calibri" w:cs="Arial Armenian"/>
                <w:sz w:val="20"/>
                <w:szCs w:val="20"/>
                <w:lang w:val="et-EE"/>
              </w:rPr>
              <w:t xml:space="preserve"> </w:t>
            </w:r>
            <w:r w:rsidRPr="0053423A">
              <w:rPr>
                <w:rFonts w:eastAsia="Calibri" w:cs="Arial Armenian"/>
                <w:sz w:val="20"/>
                <w:szCs w:val="20"/>
              </w:rPr>
              <w:t>շենք</w:t>
            </w:r>
            <w:r w:rsidRPr="0053423A">
              <w:rPr>
                <w:rFonts w:eastAsia="Calibri" w:cs="Arial Armenian"/>
                <w:sz w:val="20"/>
                <w:szCs w:val="20"/>
                <w:lang w:val="it-IT"/>
              </w:rPr>
              <w:t>-</w:t>
            </w:r>
            <w:r w:rsidRPr="0053423A">
              <w:rPr>
                <w:rFonts w:eastAsia="Calibri" w:cs="Arial Armenian"/>
                <w:sz w:val="20"/>
                <w:szCs w:val="20"/>
              </w:rPr>
              <w:t>շինությունների</w:t>
            </w:r>
            <w:r w:rsidRPr="0053423A">
              <w:rPr>
                <w:rFonts w:eastAsia="Calibri" w:cs="Arial Armenian"/>
                <w:sz w:val="20"/>
                <w:szCs w:val="20"/>
                <w:lang w:val="et-EE"/>
              </w:rPr>
              <w:t xml:space="preserve">, </w:t>
            </w:r>
            <w:r w:rsidRPr="0053423A">
              <w:rPr>
                <w:rFonts w:eastAsia="Calibri" w:cs="Arial Armenian"/>
                <w:sz w:val="20"/>
                <w:szCs w:val="20"/>
              </w:rPr>
              <w:t>ուսուցանվող</w:t>
            </w:r>
            <w:r w:rsidRPr="0053423A">
              <w:rPr>
                <w:rFonts w:eastAsia="Calibri" w:cs="Arial Armenian"/>
                <w:sz w:val="20"/>
                <w:szCs w:val="20"/>
                <w:lang w:val="et-EE"/>
              </w:rPr>
              <w:t xml:space="preserve"> </w:t>
            </w:r>
            <w:r w:rsidRPr="0053423A">
              <w:rPr>
                <w:rFonts w:eastAsia="Calibri" w:cs="Arial Armenian"/>
                <w:sz w:val="20"/>
                <w:szCs w:val="20"/>
              </w:rPr>
              <w:t>մասնագիտությունների</w:t>
            </w:r>
            <w:r w:rsidRPr="0053423A">
              <w:rPr>
                <w:rFonts w:eastAsia="Calibri" w:cs="Arial Armenian"/>
                <w:sz w:val="20"/>
                <w:szCs w:val="20"/>
                <w:lang w:val="et-EE"/>
              </w:rPr>
              <w:t xml:space="preserve">, </w:t>
            </w:r>
            <w:r w:rsidRPr="0053423A">
              <w:rPr>
                <w:rFonts w:eastAsia="Calibri" w:cs="Arial Armenian"/>
                <w:sz w:val="20"/>
                <w:szCs w:val="20"/>
              </w:rPr>
              <w:t>ուսանողների</w:t>
            </w:r>
            <w:r w:rsidRPr="0053423A">
              <w:rPr>
                <w:rFonts w:eastAsia="Calibri" w:cs="Arial Armenian"/>
                <w:sz w:val="20"/>
                <w:szCs w:val="20"/>
                <w:lang w:val="et-EE"/>
              </w:rPr>
              <w:t xml:space="preserve"> </w:t>
            </w:r>
            <w:r w:rsidRPr="0053423A">
              <w:rPr>
                <w:rFonts w:eastAsia="Calibri" w:cs="Arial Armenian"/>
                <w:sz w:val="20"/>
                <w:szCs w:val="20"/>
              </w:rPr>
              <w:t>թվի</w:t>
            </w:r>
            <w:r w:rsidRPr="0053423A">
              <w:rPr>
                <w:rFonts w:eastAsia="Calibri" w:cs="Arial Armenian"/>
                <w:sz w:val="20"/>
                <w:szCs w:val="20"/>
                <w:lang w:val="et-EE"/>
              </w:rPr>
              <w:t xml:space="preserve"> </w:t>
            </w:r>
            <w:r w:rsidRPr="0053423A">
              <w:rPr>
                <w:rFonts w:eastAsia="Calibri" w:cs="Arial Armenian"/>
                <w:sz w:val="20"/>
                <w:szCs w:val="20"/>
              </w:rPr>
              <w:t>և</w:t>
            </w:r>
            <w:r w:rsidRPr="0053423A">
              <w:rPr>
                <w:rFonts w:eastAsia="Calibri" w:cs="Arial Armenian"/>
                <w:sz w:val="20"/>
                <w:szCs w:val="20"/>
                <w:lang w:val="et-EE"/>
              </w:rPr>
              <w:t xml:space="preserve"> </w:t>
            </w:r>
            <w:r w:rsidRPr="0053423A">
              <w:rPr>
                <w:rFonts w:eastAsia="Calibri" w:cs="Arial Armenian"/>
                <w:sz w:val="20"/>
                <w:szCs w:val="20"/>
              </w:rPr>
              <w:t>աշխատողների</w:t>
            </w:r>
            <w:r w:rsidRPr="0053423A">
              <w:rPr>
                <w:rFonts w:eastAsia="Calibri" w:cs="Arial Armenian"/>
                <w:sz w:val="20"/>
                <w:szCs w:val="20"/>
                <w:lang w:val="et-EE"/>
              </w:rPr>
              <w:t xml:space="preserve">: Հիմք ընդունելով քարտեզագրման ընթացքում իրականացված ուսումնասիրության և վերլուծության արդյունքները, ինչպես նաև </w:t>
            </w:r>
            <w:r w:rsidRPr="0053423A">
              <w:rPr>
                <w:rFonts w:eastAsia="Calibri" w:cs="Arial Armenian"/>
                <w:sz w:val="20"/>
                <w:szCs w:val="20"/>
              </w:rPr>
              <w:t>հաշվի</w:t>
            </w:r>
            <w:r w:rsidRPr="0053423A">
              <w:rPr>
                <w:rFonts w:eastAsia="Calibri" w:cs="Arial Armenian"/>
                <w:sz w:val="20"/>
                <w:szCs w:val="20"/>
                <w:lang w:val="et-EE"/>
              </w:rPr>
              <w:t xml:space="preserve"> </w:t>
            </w:r>
            <w:r w:rsidRPr="0053423A">
              <w:rPr>
                <w:rFonts w:eastAsia="Calibri" w:cs="Arial Armenian"/>
                <w:sz w:val="20"/>
                <w:szCs w:val="20"/>
              </w:rPr>
              <w:t>առնելով</w:t>
            </w:r>
            <w:r w:rsidRPr="0053423A">
              <w:rPr>
                <w:rFonts w:eastAsia="Calibri" w:cs="Arial Armenian"/>
                <w:sz w:val="20"/>
                <w:szCs w:val="20"/>
                <w:lang w:val="et-EE"/>
              </w:rPr>
              <w:t xml:space="preserve"> </w:t>
            </w:r>
            <w:r w:rsidRPr="0053423A">
              <w:rPr>
                <w:rFonts w:eastAsia="Calibri" w:cs="Times New Roman"/>
                <w:sz w:val="20"/>
                <w:szCs w:val="20"/>
              </w:rPr>
              <w:t>ուսումնական</w:t>
            </w:r>
            <w:r w:rsidRPr="0053423A">
              <w:rPr>
                <w:rFonts w:eastAsia="Calibri" w:cs="Times New Roman"/>
                <w:sz w:val="20"/>
                <w:szCs w:val="20"/>
                <w:lang w:val="et-EE"/>
              </w:rPr>
              <w:t xml:space="preserve"> </w:t>
            </w:r>
            <w:r w:rsidRPr="0053423A">
              <w:rPr>
                <w:rFonts w:eastAsia="Calibri" w:cs="Times New Roman"/>
                <w:sz w:val="20"/>
                <w:szCs w:val="20"/>
              </w:rPr>
              <w:t>հաստատություններում</w:t>
            </w:r>
            <w:r w:rsidRPr="0053423A">
              <w:rPr>
                <w:rFonts w:eastAsia="Calibri" w:cs="Times New Roman"/>
                <w:sz w:val="20"/>
                <w:szCs w:val="20"/>
                <w:lang w:val="et-EE"/>
              </w:rPr>
              <w:t xml:space="preserve"> </w:t>
            </w:r>
            <w:r w:rsidRPr="0053423A">
              <w:rPr>
                <w:rFonts w:eastAsia="Calibri" w:cs="Times New Roman"/>
                <w:sz w:val="20"/>
                <w:szCs w:val="20"/>
              </w:rPr>
              <w:t>ուսուցանվող</w:t>
            </w:r>
            <w:r w:rsidRPr="0053423A">
              <w:rPr>
                <w:rFonts w:eastAsia="Calibri" w:cs="Times New Roman"/>
                <w:sz w:val="20"/>
                <w:szCs w:val="20"/>
                <w:lang w:val="et-EE"/>
              </w:rPr>
              <w:t xml:space="preserve"> </w:t>
            </w:r>
            <w:r w:rsidRPr="0053423A">
              <w:rPr>
                <w:rFonts w:eastAsia="Calibri" w:cs="Times New Roman"/>
                <w:sz w:val="20"/>
                <w:szCs w:val="20"/>
              </w:rPr>
              <w:t>որոշ</w:t>
            </w:r>
            <w:r w:rsidRPr="0053423A">
              <w:rPr>
                <w:rFonts w:eastAsia="Calibri" w:cs="Times New Roman"/>
                <w:sz w:val="20"/>
                <w:szCs w:val="20"/>
                <w:lang w:val="et-EE"/>
              </w:rPr>
              <w:t xml:space="preserve"> </w:t>
            </w:r>
            <w:r w:rsidRPr="0053423A">
              <w:rPr>
                <w:rFonts w:eastAsia="Calibri" w:cs="Times New Roman"/>
                <w:sz w:val="20"/>
                <w:szCs w:val="20"/>
              </w:rPr>
              <w:t>մասնագիտությունների</w:t>
            </w:r>
            <w:r w:rsidRPr="0053423A">
              <w:rPr>
                <w:rFonts w:eastAsia="Calibri" w:cs="Times New Roman"/>
                <w:sz w:val="20"/>
                <w:szCs w:val="20"/>
                <w:lang w:val="et-EE"/>
              </w:rPr>
              <w:t xml:space="preserve"> </w:t>
            </w:r>
            <w:r w:rsidRPr="0053423A">
              <w:rPr>
                <w:rFonts w:eastAsia="Calibri" w:cs="Times New Roman"/>
                <w:sz w:val="20"/>
                <w:szCs w:val="20"/>
              </w:rPr>
              <w:t>կրկնությունը</w:t>
            </w:r>
            <w:r w:rsidRPr="0053423A">
              <w:rPr>
                <w:rFonts w:eastAsia="Calibri" w:cs="Times New Roman"/>
                <w:sz w:val="20"/>
                <w:szCs w:val="20"/>
                <w:lang w:val="et-EE"/>
              </w:rPr>
              <w:t xml:space="preserve">, </w:t>
            </w:r>
            <w:r w:rsidRPr="0053423A">
              <w:rPr>
                <w:rFonts w:eastAsia="Calibri" w:cs="Times New Roman"/>
                <w:sz w:val="20"/>
                <w:szCs w:val="20"/>
              </w:rPr>
              <w:t>շենքային</w:t>
            </w:r>
            <w:r w:rsidRPr="0053423A">
              <w:rPr>
                <w:rFonts w:eastAsia="Calibri" w:cs="Times New Roman"/>
                <w:sz w:val="20"/>
                <w:szCs w:val="20"/>
                <w:lang w:val="et-EE"/>
              </w:rPr>
              <w:t xml:space="preserve"> </w:t>
            </w:r>
            <w:r w:rsidRPr="0053423A">
              <w:rPr>
                <w:rFonts w:eastAsia="Calibri" w:cs="Times New Roman"/>
                <w:sz w:val="20"/>
                <w:szCs w:val="20"/>
              </w:rPr>
              <w:t>պայմանները</w:t>
            </w:r>
            <w:r w:rsidRPr="0053423A">
              <w:rPr>
                <w:rFonts w:eastAsia="Calibri" w:cs="Times New Roman"/>
                <w:sz w:val="20"/>
                <w:szCs w:val="20"/>
                <w:lang w:val="et-EE"/>
              </w:rPr>
              <w:t xml:space="preserve">, </w:t>
            </w:r>
            <w:r w:rsidRPr="0053423A">
              <w:rPr>
                <w:rFonts w:eastAsia="Calibri" w:cs="Times New Roman"/>
                <w:sz w:val="20"/>
                <w:szCs w:val="20"/>
              </w:rPr>
              <w:t>ուսանողների</w:t>
            </w:r>
            <w:r w:rsidRPr="0053423A">
              <w:rPr>
                <w:rFonts w:eastAsia="Calibri" w:cs="Times New Roman"/>
                <w:sz w:val="20"/>
                <w:szCs w:val="20"/>
                <w:lang w:val="et-EE"/>
              </w:rPr>
              <w:t xml:space="preserve"> </w:t>
            </w:r>
            <w:r w:rsidRPr="0053423A">
              <w:rPr>
                <w:rFonts w:eastAsia="Calibri" w:cs="Times New Roman"/>
                <w:sz w:val="20"/>
                <w:szCs w:val="20"/>
              </w:rPr>
              <w:t>թվաքանակը</w:t>
            </w:r>
            <w:r w:rsidRPr="0053423A">
              <w:rPr>
                <w:rFonts w:eastAsia="Calibri" w:cs="Times New Roman"/>
                <w:sz w:val="20"/>
                <w:szCs w:val="20"/>
                <w:lang w:val="et-EE"/>
              </w:rPr>
              <w:t>, միմ</w:t>
            </w:r>
            <w:r w:rsidRPr="0053423A">
              <w:rPr>
                <w:sz w:val="20"/>
                <w:szCs w:val="20"/>
                <w:lang w:val="et-EE"/>
              </w:rPr>
              <w:t>յ</w:t>
            </w:r>
            <w:r w:rsidRPr="0053423A">
              <w:rPr>
                <w:rFonts w:eastAsia="Calibri" w:cs="Times New Roman"/>
                <w:sz w:val="20"/>
                <w:szCs w:val="20"/>
                <w:lang w:val="et-EE"/>
              </w:rPr>
              <w:t xml:space="preserve">անցից հեռավորությունը, նյութատեխնիկական բազայով հագեցվածությունը,  մարզերի տնտեսական զարգացման տնտեսական ուղղությունները, տվյալ մարզում առաջատար հանդիսացող տարածաշրջանային պետական քոլեջների հզորացումը որպես գերազանցության և առաջնորդության կենտրոններ՝ անհրաժեշտություն է </w:t>
            </w:r>
            <w:r w:rsidRPr="0053423A">
              <w:rPr>
                <w:rFonts w:eastAsia="Calibri" w:cs="Times New Roman"/>
                <w:sz w:val="20"/>
                <w:szCs w:val="20"/>
              </w:rPr>
              <w:t>առաջա</w:t>
            </w:r>
            <w:r w:rsidRPr="0053423A">
              <w:rPr>
                <w:sz w:val="20"/>
                <w:szCs w:val="20"/>
              </w:rPr>
              <w:t>ցել</w:t>
            </w:r>
            <w:r w:rsidRPr="0053423A">
              <w:rPr>
                <w:sz w:val="20"/>
                <w:szCs w:val="20"/>
                <w:lang w:val="et-EE"/>
              </w:rPr>
              <w:t xml:space="preserve"> </w:t>
            </w:r>
            <w:r w:rsidRPr="0053423A">
              <w:rPr>
                <w:rFonts w:eastAsia="Calibri" w:cs="Arial"/>
                <w:sz w:val="20"/>
                <w:szCs w:val="20"/>
                <w:lang w:val="hy-AM"/>
              </w:rPr>
              <w:t>օպտիմալաց</w:t>
            </w:r>
            <w:r w:rsidRPr="0053423A">
              <w:rPr>
                <w:rFonts w:eastAsia="Calibri" w:cs="Arial"/>
                <w:sz w:val="20"/>
                <w:szCs w:val="20"/>
              </w:rPr>
              <w:t>նել</w:t>
            </w:r>
            <w:r w:rsidRPr="0053423A">
              <w:rPr>
                <w:rFonts w:eastAsia="Calibri" w:cs="Arial Armenian"/>
                <w:sz w:val="20"/>
                <w:szCs w:val="20"/>
                <w:lang w:val="hy-AM"/>
              </w:rPr>
              <w:t xml:space="preserve"> (</w:t>
            </w:r>
            <w:r w:rsidRPr="0053423A">
              <w:rPr>
                <w:rFonts w:eastAsia="Calibri" w:cs="Arial"/>
                <w:sz w:val="20"/>
                <w:szCs w:val="20"/>
                <w:lang w:val="hy-AM"/>
              </w:rPr>
              <w:t>խոշորաց</w:t>
            </w:r>
            <w:r w:rsidRPr="0053423A">
              <w:rPr>
                <w:rFonts w:eastAsia="Calibri" w:cs="Arial"/>
                <w:sz w:val="20"/>
                <w:szCs w:val="20"/>
              </w:rPr>
              <w:t>նել</w:t>
            </w:r>
            <w:r w:rsidRPr="0053423A">
              <w:rPr>
                <w:rFonts w:eastAsia="Calibri" w:cs="Arial"/>
                <w:sz w:val="20"/>
                <w:szCs w:val="20"/>
                <w:lang w:val="it-IT"/>
              </w:rPr>
              <w:t xml:space="preserve">, </w:t>
            </w:r>
            <w:r w:rsidRPr="0053423A">
              <w:rPr>
                <w:rFonts w:eastAsia="Calibri" w:cs="Arial"/>
                <w:sz w:val="20"/>
                <w:szCs w:val="20"/>
              </w:rPr>
              <w:t>վերակազմակերպել</w:t>
            </w:r>
            <w:r w:rsidRPr="0053423A">
              <w:rPr>
                <w:rFonts w:eastAsia="Calibri" w:cs="Arial"/>
                <w:sz w:val="20"/>
                <w:szCs w:val="20"/>
                <w:lang w:val="et-EE"/>
              </w:rPr>
              <w:t>)</w:t>
            </w:r>
            <w:r w:rsidRPr="0053423A">
              <w:rPr>
                <w:rFonts w:eastAsia="Calibri" w:cs="Times New Roman"/>
                <w:sz w:val="20"/>
                <w:szCs w:val="20"/>
                <w:lang w:val="et-EE"/>
              </w:rPr>
              <w:t xml:space="preserve"> որոշ </w:t>
            </w:r>
            <w:r w:rsidRPr="0053423A">
              <w:rPr>
                <w:rFonts w:eastAsia="Calibri" w:cs="Arial"/>
                <w:sz w:val="20"/>
                <w:szCs w:val="20"/>
                <w:lang w:val="hy-AM"/>
              </w:rPr>
              <w:t>ուսումնական</w:t>
            </w:r>
            <w:r w:rsidRPr="0053423A">
              <w:rPr>
                <w:rFonts w:eastAsia="Calibri" w:cs="Arial Armenian"/>
                <w:sz w:val="20"/>
                <w:szCs w:val="20"/>
                <w:lang w:val="hy-AM"/>
              </w:rPr>
              <w:t xml:space="preserve"> </w:t>
            </w:r>
            <w:r w:rsidRPr="0053423A">
              <w:rPr>
                <w:rFonts w:eastAsia="Calibri" w:cs="Arial"/>
                <w:sz w:val="20"/>
                <w:szCs w:val="20"/>
                <w:lang w:val="hy-AM"/>
              </w:rPr>
              <w:t>հաստատություններ</w:t>
            </w:r>
            <w:r w:rsidRPr="0053423A">
              <w:rPr>
                <w:sz w:val="20"/>
                <w:szCs w:val="20"/>
                <w:lang w:val="et-EE"/>
              </w:rPr>
              <w:t>:</w:t>
            </w:r>
            <w:r w:rsidRPr="0053423A">
              <w:rPr>
                <w:rFonts w:eastAsia="Calibri" w:cs="Times New Roman"/>
                <w:sz w:val="20"/>
                <w:szCs w:val="20"/>
                <w:lang w:val="et-EE"/>
              </w:rPr>
              <w:tab/>
            </w:r>
          </w:p>
          <w:p w:rsidR="00154773" w:rsidRPr="0053423A" w:rsidRDefault="00154773" w:rsidP="00154773">
            <w:pPr>
              <w:tabs>
                <w:tab w:val="num" w:pos="600"/>
                <w:tab w:val="left" w:pos="700"/>
                <w:tab w:val="left" w:pos="10500"/>
              </w:tabs>
              <w:jc w:val="both"/>
              <w:rPr>
                <w:rFonts w:eastAsia="Calibri" w:cs="Times New Roman"/>
                <w:sz w:val="20"/>
                <w:szCs w:val="20"/>
                <w:lang w:val="et-EE"/>
              </w:rPr>
            </w:pPr>
            <w:r w:rsidRPr="0053423A">
              <w:rPr>
                <w:rFonts w:eastAsia="Calibri" w:cs="Arial"/>
                <w:sz w:val="20"/>
                <w:szCs w:val="20"/>
                <w:lang w:val="et-EE"/>
              </w:rPr>
              <w:t>Օ</w:t>
            </w:r>
            <w:r w:rsidRPr="0053423A">
              <w:rPr>
                <w:rFonts w:eastAsia="Calibri" w:cs="Arial"/>
                <w:sz w:val="20"/>
                <w:szCs w:val="20"/>
                <w:lang w:val="hy-AM"/>
              </w:rPr>
              <w:t>պտիմալաց</w:t>
            </w:r>
            <w:r w:rsidRPr="0053423A">
              <w:rPr>
                <w:rFonts w:eastAsia="Calibri" w:cs="Arial"/>
                <w:sz w:val="20"/>
                <w:szCs w:val="20"/>
              </w:rPr>
              <w:t>ման</w:t>
            </w:r>
            <w:r w:rsidRPr="0053423A">
              <w:rPr>
                <w:rFonts w:eastAsia="Calibri" w:cs="Arial Armenian"/>
                <w:sz w:val="20"/>
                <w:szCs w:val="20"/>
                <w:lang w:val="hy-AM"/>
              </w:rPr>
              <w:t xml:space="preserve"> (</w:t>
            </w:r>
            <w:r w:rsidRPr="0053423A">
              <w:rPr>
                <w:rFonts w:eastAsia="Calibri" w:cs="Arial"/>
                <w:sz w:val="20"/>
                <w:szCs w:val="20"/>
                <w:lang w:val="hy-AM"/>
              </w:rPr>
              <w:t>խոշորաց</w:t>
            </w:r>
            <w:r w:rsidRPr="0053423A">
              <w:rPr>
                <w:rFonts w:eastAsia="Calibri" w:cs="Arial"/>
                <w:sz w:val="20"/>
                <w:szCs w:val="20"/>
              </w:rPr>
              <w:t>ման</w:t>
            </w:r>
            <w:r w:rsidRPr="0053423A">
              <w:rPr>
                <w:rFonts w:eastAsia="Calibri" w:cs="Arial"/>
                <w:sz w:val="20"/>
                <w:szCs w:val="20"/>
                <w:lang w:val="et-EE"/>
              </w:rPr>
              <w:t xml:space="preserve">, </w:t>
            </w:r>
            <w:r w:rsidRPr="0053423A">
              <w:rPr>
                <w:rFonts w:eastAsia="Calibri" w:cs="Arial"/>
                <w:sz w:val="20"/>
                <w:szCs w:val="20"/>
              </w:rPr>
              <w:t>վերակազմակերպման</w:t>
            </w:r>
            <w:r w:rsidRPr="0053423A">
              <w:rPr>
                <w:rFonts w:eastAsia="Calibri" w:cs="Arial"/>
                <w:sz w:val="20"/>
                <w:szCs w:val="20"/>
                <w:lang w:val="et-EE"/>
              </w:rPr>
              <w:t>)</w:t>
            </w:r>
            <w:r w:rsidRPr="0053423A">
              <w:rPr>
                <w:rFonts w:eastAsia="Calibri" w:cs="Times New Roman"/>
                <w:sz w:val="20"/>
                <w:szCs w:val="20"/>
                <w:lang w:val="et-EE"/>
              </w:rPr>
              <w:t xml:space="preserve"> </w:t>
            </w:r>
            <w:r w:rsidRPr="0053423A">
              <w:rPr>
                <w:rFonts w:eastAsia="Calibri" w:cs="Times New Roman"/>
                <w:sz w:val="20"/>
                <w:szCs w:val="20"/>
                <w:lang w:val="hy-AM"/>
              </w:rPr>
              <w:t>արդյունքում</w:t>
            </w:r>
            <w:r w:rsidRPr="0053423A">
              <w:rPr>
                <w:rFonts w:eastAsia="Calibri" w:cs="Times New Roman"/>
                <w:sz w:val="20"/>
                <w:szCs w:val="20"/>
                <w:lang w:val="et-EE"/>
              </w:rPr>
              <w:t xml:space="preserve"> </w:t>
            </w:r>
            <w:r w:rsidRPr="0053423A">
              <w:rPr>
                <w:rFonts w:eastAsia="Calibri" w:cs="Times New Roman"/>
                <w:sz w:val="20"/>
                <w:szCs w:val="20"/>
                <w:lang w:val="hy-AM"/>
              </w:rPr>
              <w:t>կբարձրանա</w:t>
            </w:r>
            <w:r w:rsidRPr="0053423A">
              <w:rPr>
                <w:rFonts w:eastAsia="Calibri" w:cs="Times New Roman"/>
                <w:sz w:val="20"/>
                <w:szCs w:val="20"/>
                <w:lang w:val="et-EE"/>
              </w:rPr>
              <w:t xml:space="preserve"> </w:t>
            </w:r>
            <w:r w:rsidRPr="0053423A">
              <w:rPr>
                <w:rFonts w:eastAsia="Calibri" w:cs="Times New Roman"/>
                <w:sz w:val="20"/>
                <w:szCs w:val="20"/>
                <w:lang w:val="hy-AM"/>
              </w:rPr>
              <w:t>ուսումնական</w:t>
            </w:r>
            <w:r w:rsidRPr="0053423A">
              <w:rPr>
                <w:rFonts w:eastAsia="Calibri" w:cs="Times New Roman"/>
                <w:sz w:val="20"/>
                <w:szCs w:val="20"/>
                <w:lang w:val="et-EE"/>
              </w:rPr>
              <w:t xml:space="preserve"> </w:t>
            </w:r>
            <w:r w:rsidRPr="0053423A">
              <w:rPr>
                <w:rFonts w:eastAsia="Calibri" w:cs="Times New Roman"/>
                <w:sz w:val="20"/>
                <w:szCs w:val="20"/>
                <w:lang w:val="hy-AM"/>
              </w:rPr>
              <w:t>հաստատության</w:t>
            </w:r>
            <w:r w:rsidRPr="0053423A">
              <w:rPr>
                <w:rFonts w:eastAsia="Calibri" w:cs="Times New Roman"/>
                <w:sz w:val="20"/>
                <w:szCs w:val="20"/>
                <w:lang w:val="et-EE"/>
              </w:rPr>
              <w:t xml:space="preserve"> </w:t>
            </w:r>
            <w:r w:rsidRPr="0053423A">
              <w:rPr>
                <w:rFonts w:eastAsia="Calibri" w:cs="Times New Roman"/>
                <w:sz w:val="20"/>
                <w:szCs w:val="20"/>
                <w:lang w:val="hy-AM"/>
              </w:rPr>
              <w:t>կառավարման</w:t>
            </w:r>
            <w:r w:rsidRPr="0053423A">
              <w:rPr>
                <w:rFonts w:eastAsia="Calibri" w:cs="Times New Roman"/>
                <w:sz w:val="20"/>
                <w:szCs w:val="20"/>
                <w:lang w:val="et-EE"/>
              </w:rPr>
              <w:t xml:space="preserve"> </w:t>
            </w:r>
            <w:r w:rsidRPr="0053423A">
              <w:rPr>
                <w:rFonts w:eastAsia="Calibri" w:cs="Times New Roman"/>
                <w:sz w:val="20"/>
                <w:szCs w:val="20"/>
                <w:lang w:val="hy-AM"/>
              </w:rPr>
              <w:t>արդյունավետությունը</w:t>
            </w:r>
            <w:r w:rsidRPr="0053423A">
              <w:rPr>
                <w:rFonts w:eastAsia="Calibri" w:cs="Times New Roman"/>
                <w:sz w:val="20"/>
                <w:szCs w:val="20"/>
                <w:lang w:val="et-EE"/>
              </w:rPr>
              <w:t xml:space="preserve">, </w:t>
            </w:r>
            <w:r w:rsidRPr="0053423A">
              <w:rPr>
                <w:rFonts w:eastAsia="Calibri" w:cs="Sylfaen"/>
                <w:sz w:val="20"/>
                <w:szCs w:val="20"/>
                <w:lang w:val="hy-AM"/>
              </w:rPr>
              <w:t>կբարելավ</w:t>
            </w:r>
            <w:r w:rsidRPr="0053423A">
              <w:rPr>
                <w:rFonts w:eastAsia="Calibri" w:cs="Times New Roman"/>
                <w:sz w:val="20"/>
                <w:szCs w:val="20"/>
                <w:lang w:val="hy-AM"/>
              </w:rPr>
              <w:t>վ</w:t>
            </w:r>
            <w:r w:rsidRPr="0053423A">
              <w:rPr>
                <w:rFonts w:eastAsia="Calibri" w:cs="Sylfaen"/>
                <w:sz w:val="20"/>
                <w:szCs w:val="20"/>
                <w:lang w:val="hy-AM"/>
              </w:rPr>
              <w:t>են</w:t>
            </w:r>
            <w:r w:rsidRPr="0053423A">
              <w:rPr>
                <w:rFonts w:eastAsia="Calibri" w:cs="Times New Roman"/>
                <w:sz w:val="20"/>
                <w:szCs w:val="20"/>
                <w:lang w:val="et-EE"/>
              </w:rPr>
              <w:t xml:space="preserve"> </w:t>
            </w:r>
            <w:r w:rsidRPr="0053423A">
              <w:rPr>
                <w:rFonts w:eastAsia="Calibri" w:cs="Times New Roman"/>
                <w:sz w:val="20"/>
                <w:szCs w:val="20"/>
                <w:lang w:val="hy-AM"/>
              </w:rPr>
              <w:t>շենքային</w:t>
            </w:r>
            <w:r w:rsidRPr="0053423A">
              <w:rPr>
                <w:rFonts w:eastAsia="Calibri" w:cs="Times New Roman"/>
                <w:sz w:val="20"/>
                <w:szCs w:val="20"/>
                <w:lang w:val="et-EE"/>
              </w:rPr>
              <w:t xml:space="preserve"> </w:t>
            </w:r>
            <w:r w:rsidRPr="0053423A">
              <w:rPr>
                <w:rFonts w:eastAsia="Calibri" w:cs="Times New Roman"/>
                <w:sz w:val="20"/>
                <w:szCs w:val="20"/>
                <w:lang w:val="hy-AM"/>
              </w:rPr>
              <w:t>պայմանները</w:t>
            </w:r>
            <w:r w:rsidRPr="0053423A">
              <w:rPr>
                <w:rFonts w:eastAsia="Calibri" w:cs="Times New Roman"/>
                <w:sz w:val="20"/>
                <w:szCs w:val="20"/>
                <w:lang w:val="et-EE"/>
              </w:rPr>
              <w:t xml:space="preserve">, </w:t>
            </w:r>
            <w:r w:rsidRPr="0053423A">
              <w:rPr>
                <w:rFonts w:eastAsia="Calibri" w:cs="Times New Roman"/>
                <w:sz w:val="20"/>
                <w:szCs w:val="20"/>
                <w:lang w:val="hy-AM"/>
              </w:rPr>
              <w:t>կվերանայվեն</w:t>
            </w:r>
            <w:r w:rsidRPr="0053423A">
              <w:rPr>
                <w:rFonts w:eastAsia="Calibri" w:cs="Times New Roman"/>
                <w:sz w:val="20"/>
                <w:szCs w:val="20"/>
                <w:lang w:val="et-EE"/>
              </w:rPr>
              <w:t xml:space="preserve"> իրականացվող մասնագիտություններն ու </w:t>
            </w:r>
            <w:r w:rsidRPr="0053423A">
              <w:rPr>
                <w:rFonts w:eastAsia="Calibri" w:cs="Times New Roman"/>
                <w:sz w:val="20"/>
                <w:szCs w:val="20"/>
                <w:lang w:val="hy-AM"/>
              </w:rPr>
              <w:t>պատրաստվող</w:t>
            </w:r>
            <w:r w:rsidRPr="0053423A">
              <w:rPr>
                <w:rFonts w:eastAsia="Calibri" w:cs="Times New Roman"/>
                <w:sz w:val="20"/>
                <w:szCs w:val="20"/>
                <w:lang w:val="et-EE"/>
              </w:rPr>
              <w:t xml:space="preserve"> </w:t>
            </w:r>
            <w:r w:rsidRPr="0053423A">
              <w:rPr>
                <w:rFonts w:eastAsia="Calibri" w:cs="Times New Roman"/>
                <w:sz w:val="20"/>
                <w:szCs w:val="20"/>
                <w:lang w:val="hy-AM"/>
              </w:rPr>
              <w:t>մասնագ</w:t>
            </w:r>
            <w:r w:rsidRPr="0053423A">
              <w:rPr>
                <w:rFonts w:eastAsia="Calibri" w:cs="Times New Roman"/>
                <w:sz w:val="20"/>
                <w:szCs w:val="20"/>
              </w:rPr>
              <w:t>ե</w:t>
            </w:r>
            <w:r w:rsidRPr="0053423A">
              <w:rPr>
                <w:rFonts w:eastAsia="Calibri" w:cs="Times New Roman"/>
                <w:sz w:val="20"/>
                <w:szCs w:val="20"/>
                <w:lang w:val="hy-AM"/>
              </w:rPr>
              <w:t>տ</w:t>
            </w:r>
            <w:r w:rsidRPr="0053423A">
              <w:rPr>
                <w:rFonts w:eastAsia="Calibri" w:cs="Times New Roman"/>
                <w:sz w:val="20"/>
                <w:szCs w:val="20"/>
              </w:rPr>
              <w:t>ները</w:t>
            </w:r>
            <w:r w:rsidRPr="0053423A">
              <w:rPr>
                <w:rFonts w:eastAsia="Calibri" w:cs="Times New Roman"/>
                <w:sz w:val="20"/>
                <w:szCs w:val="20"/>
                <w:lang w:val="et-EE"/>
              </w:rPr>
              <w:t xml:space="preserve">, </w:t>
            </w:r>
            <w:r w:rsidRPr="0053423A">
              <w:rPr>
                <w:rFonts w:eastAsia="Calibri" w:cs="Times New Roman"/>
                <w:sz w:val="20"/>
                <w:szCs w:val="20"/>
                <w:lang w:val="hy-AM"/>
              </w:rPr>
              <w:t>ինչպես</w:t>
            </w:r>
            <w:r w:rsidRPr="0053423A">
              <w:rPr>
                <w:rFonts w:eastAsia="Calibri" w:cs="Times New Roman"/>
                <w:sz w:val="20"/>
                <w:szCs w:val="20"/>
                <w:lang w:val="et-EE"/>
              </w:rPr>
              <w:t xml:space="preserve"> </w:t>
            </w:r>
            <w:r w:rsidRPr="0053423A">
              <w:rPr>
                <w:rFonts w:eastAsia="Calibri" w:cs="Times New Roman"/>
                <w:sz w:val="20"/>
                <w:szCs w:val="20"/>
                <w:lang w:val="hy-AM"/>
              </w:rPr>
              <w:t>նաև</w:t>
            </w:r>
            <w:r w:rsidRPr="0053423A">
              <w:rPr>
                <w:rFonts w:eastAsia="Calibri" w:cs="Times New Roman"/>
                <w:sz w:val="20"/>
                <w:szCs w:val="20"/>
                <w:lang w:val="et-EE"/>
              </w:rPr>
              <w:t xml:space="preserve"> </w:t>
            </w:r>
            <w:r w:rsidRPr="0053423A">
              <w:rPr>
                <w:rFonts w:eastAsia="Calibri" w:cs="Times New Roman"/>
                <w:sz w:val="20"/>
                <w:szCs w:val="20"/>
                <w:lang w:val="hy-AM"/>
              </w:rPr>
              <w:t>հնարավորություն</w:t>
            </w:r>
            <w:r w:rsidRPr="0053423A">
              <w:rPr>
                <w:rFonts w:eastAsia="Calibri" w:cs="Times New Roman"/>
                <w:sz w:val="20"/>
                <w:szCs w:val="20"/>
                <w:lang w:val="et-EE"/>
              </w:rPr>
              <w:t xml:space="preserve"> </w:t>
            </w:r>
            <w:r w:rsidRPr="0053423A">
              <w:rPr>
                <w:rFonts w:eastAsia="Calibri" w:cs="Times New Roman"/>
                <w:sz w:val="20"/>
                <w:szCs w:val="20"/>
                <w:lang w:val="hy-AM"/>
              </w:rPr>
              <w:t>կստեղծվի</w:t>
            </w:r>
            <w:r w:rsidRPr="0053423A">
              <w:rPr>
                <w:rFonts w:eastAsia="Calibri" w:cs="Times New Roman"/>
                <w:sz w:val="20"/>
                <w:szCs w:val="20"/>
                <w:lang w:val="et-EE"/>
              </w:rPr>
              <w:t xml:space="preserve"> </w:t>
            </w:r>
            <w:r w:rsidRPr="0053423A">
              <w:rPr>
                <w:rFonts w:eastAsia="Calibri" w:cs="Times New Roman"/>
                <w:sz w:val="20"/>
                <w:szCs w:val="20"/>
                <w:lang w:val="hy-AM"/>
              </w:rPr>
              <w:t>մեկ</w:t>
            </w:r>
            <w:r w:rsidRPr="0053423A">
              <w:rPr>
                <w:rFonts w:eastAsia="Calibri" w:cs="Times New Roman"/>
                <w:sz w:val="20"/>
                <w:szCs w:val="20"/>
                <w:lang w:val="et-EE"/>
              </w:rPr>
              <w:t xml:space="preserve"> </w:t>
            </w:r>
            <w:r w:rsidRPr="0053423A">
              <w:rPr>
                <w:rFonts w:eastAsia="Calibri" w:cs="Times New Roman"/>
                <w:sz w:val="20"/>
                <w:szCs w:val="20"/>
                <w:lang w:val="hy-AM"/>
              </w:rPr>
              <w:t>հաստատության</w:t>
            </w:r>
            <w:r w:rsidRPr="0053423A">
              <w:rPr>
                <w:rFonts w:eastAsia="Calibri" w:cs="Times New Roman"/>
                <w:sz w:val="20"/>
                <w:szCs w:val="20"/>
                <w:lang w:val="et-EE"/>
              </w:rPr>
              <w:t xml:space="preserve"> </w:t>
            </w:r>
            <w:r w:rsidRPr="0053423A">
              <w:rPr>
                <w:rFonts w:eastAsia="Calibri" w:cs="Times New Roman"/>
                <w:sz w:val="20"/>
                <w:szCs w:val="20"/>
                <w:lang w:val="hy-AM"/>
              </w:rPr>
              <w:t>ներսում</w:t>
            </w:r>
            <w:r w:rsidRPr="0053423A">
              <w:rPr>
                <w:rFonts w:eastAsia="Calibri" w:cs="Times New Roman"/>
                <w:sz w:val="20"/>
                <w:szCs w:val="20"/>
                <w:lang w:val="et-EE"/>
              </w:rPr>
              <w:t xml:space="preserve"> </w:t>
            </w:r>
            <w:r w:rsidRPr="0053423A">
              <w:rPr>
                <w:rFonts w:eastAsia="Calibri" w:cs="Times New Roman"/>
                <w:sz w:val="20"/>
                <w:szCs w:val="20"/>
                <w:lang w:val="hy-AM"/>
              </w:rPr>
              <w:t>իրականացնել</w:t>
            </w:r>
            <w:r w:rsidRPr="0053423A">
              <w:rPr>
                <w:rFonts w:eastAsia="Calibri" w:cs="Times New Roman"/>
                <w:sz w:val="20"/>
                <w:szCs w:val="20"/>
                <w:lang w:val="et-EE"/>
              </w:rPr>
              <w:t xml:space="preserve"> և՜ </w:t>
            </w:r>
            <w:r w:rsidRPr="0053423A">
              <w:rPr>
                <w:rFonts w:eastAsia="Calibri" w:cs="Arial Armenian"/>
                <w:sz w:val="20"/>
                <w:szCs w:val="20"/>
                <w:lang w:val="hy-AM"/>
              </w:rPr>
              <w:t>նախնական</w:t>
            </w:r>
            <w:r w:rsidRPr="0053423A">
              <w:rPr>
                <w:rFonts w:eastAsia="Calibri" w:cs="Arial Armenian"/>
                <w:sz w:val="20"/>
                <w:szCs w:val="20"/>
                <w:lang w:val="et-EE"/>
              </w:rPr>
              <w:t xml:space="preserve"> </w:t>
            </w:r>
            <w:r w:rsidRPr="0053423A">
              <w:rPr>
                <w:rFonts w:eastAsia="Calibri" w:cs="Times New Roman"/>
                <w:sz w:val="20"/>
                <w:szCs w:val="20"/>
                <w:lang w:val="hy-AM"/>
              </w:rPr>
              <w:t>(</w:t>
            </w:r>
            <w:r w:rsidRPr="0053423A">
              <w:rPr>
                <w:rFonts w:eastAsia="Calibri" w:cs="Sylfaen"/>
                <w:sz w:val="20"/>
                <w:szCs w:val="20"/>
                <w:lang w:val="hy-AM"/>
              </w:rPr>
              <w:t>արհեստագործական</w:t>
            </w:r>
            <w:r w:rsidRPr="0053423A">
              <w:rPr>
                <w:rFonts w:eastAsia="Calibri" w:cs="Times New Roman"/>
                <w:sz w:val="20"/>
                <w:szCs w:val="20"/>
                <w:lang w:val="hy-AM"/>
              </w:rPr>
              <w:t>)</w:t>
            </w:r>
            <w:r w:rsidRPr="0053423A">
              <w:rPr>
                <w:rFonts w:eastAsia="Calibri" w:cs="Times New Roman"/>
                <w:sz w:val="20"/>
                <w:szCs w:val="20"/>
                <w:lang w:val="et-EE"/>
              </w:rPr>
              <w:t xml:space="preserve">, </w:t>
            </w:r>
            <w:r w:rsidRPr="0053423A">
              <w:rPr>
                <w:rFonts w:eastAsia="Calibri" w:cs="Times New Roman"/>
                <w:sz w:val="20"/>
                <w:szCs w:val="20"/>
                <w:lang w:val="hy-AM"/>
              </w:rPr>
              <w:t>և</w:t>
            </w:r>
            <w:r w:rsidRPr="0053423A">
              <w:rPr>
                <w:rFonts w:eastAsia="Calibri" w:cs="Times New Roman"/>
                <w:sz w:val="20"/>
                <w:szCs w:val="20"/>
              </w:rPr>
              <w:t>՜</w:t>
            </w:r>
            <w:r w:rsidRPr="0053423A">
              <w:rPr>
                <w:rFonts w:eastAsia="Calibri" w:cs="Times New Roman"/>
                <w:sz w:val="20"/>
                <w:szCs w:val="20"/>
                <w:lang w:val="et-EE"/>
              </w:rPr>
              <w:t xml:space="preserve"> </w:t>
            </w:r>
            <w:r w:rsidRPr="0053423A">
              <w:rPr>
                <w:rFonts w:eastAsia="Calibri" w:cs="Times New Roman"/>
                <w:sz w:val="20"/>
                <w:szCs w:val="20"/>
                <w:lang w:val="hy-AM"/>
              </w:rPr>
              <w:t>միջին</w:t>
            </w:r>
            <w:r w:rsidRPr="0053423A">
              <w:rPr>
                <w:rFonts w:eastAsia="Calibri" w:cs="Times New Roman"/>
                <w:sz w:val="20"/>
                <w:szCs w:val="20"/>
                <w:lang w:val="et-EE"/>
              </w:rPr>
              <w:t xml:space="preserve"> </w:t>
            </w:r>
            <w:r w:rsidRPr="0053423A">
              <w:rPr>
                <w:rFonts w:eastAsia="Calibri" w:cs="Times New Roman"/>
                <w:sz w:val="20"/>
                <w:szCs w:val="20"/>
                <w:lang w:val="hy-AM"/>
              </w:rPr>
              <w:t>մասնագիտական</w:t>
            </w:r>
            <w:r w:rsidRPr="0053423A">
              <w:rPr>
                <w:rFonts w:eastAsia="Calibri" w:cs="Times New Roman"/>
                <w:sz w:val="20"/>
                <w:szCs w:val="20"/>
                <w:lang w:val="et-EE"/>
              </w:rPr>
              <w:t xml:space="preserve"> </w:t>
            </w:r>
            <w:r w:rsidRPr="0053423A">
              <w:rPr>
                <w:rFonts w:eastAsia="Calibri" w:cs="Times New Roman"/>
                <w:sz w:val="20"/>
                <w:szCs w:val="20"/>
                <w:lang w:val="hy-AM"/>
              </w:rPr>
              <w:t>կրթական</w:t>
            </w:r>
            <w:r w:rsidRPr="0053423A">
              <w:rPr>
                <w:rFonts w:eastAsia="Calibri" w:cs="Times New Roman"/>
                <w:sz w:val="20"/>
                <w:szCs w:val="20"/>
                <w:lang w:val="et-EE"/>
              </w:rPr>
              <w:t xml:space="preserve"> </w:t>
            </w:r>
            <w:r w:rsidRPr="0053423A">
              <w:rPr>
                <w:rFonts w:eastAsia="Calibri" w:cs="Times New Roman"/>
                <w:sz w:val="20"/>
                <w:szCs w:val="20"/>
                <w:lang w:val="hy-AM"/>
              </w:rPr>
              <w:t>ծրագրեր</w:t>
            </w:r>
            <w:r w:rsidRPr="0053423A">
              <w:rPr>
                <w:rFonts w:eastAsia="Calibri" w:cs="Times New Roman"/>
                <w:sz w:val="20"/>
                <w:szCs w:val="20"/>
                <w:lang w:val="et-EE"/>
              </w:rPr>
              <w:t>:</w:t>
            </w:r>
          </w:p>
          <w:p w:rsidR="00154773" w:rsidRPr="0053423A" w:rsidRDefault="00154773" w:rsidP="00154773">
            <w:pPr>
              <w:tabs>
                <w:tab w:val="num" w:pos="600"/>
                <w:tab w:val="left" w:pos="700"/>
                <w:tab w:val="left" w:pos="10500"/>
              </w:tabs>
              <w:jc w:val="both"/>
              <w:rPr>
                <w:rFonts w:eastAsia="Calibri" w:cs="Times New Roman"/>
                <w:sz w:val="20"/>
                <w:szCs w:val="20"/>
                <w:lang w:val="et-EE"/>
              </w:rPr>
            </w:pPr>
          </w:p>
          <w:p w:rsidR="00154773" w:rsidRPr="0053423A" w:rsidRDefault="00154773" w:rsidP="00154773">
            <w:pPr>
              <w:ind w:left="360" w:firstLine="90"/>
              <w:contextualSpacing/>
              <w:rPr>
                <w:rFonts w:eastAsia="Times New Roman" w:cs="Times New Roman"/>
                <w:b/>
                <w:sz w:val="20"/>
                <w:szCs w:val="20"/>
                <w:lang w:val="et-EE"/>
              </w:rPr>
            </w:pPr>
            <w:r w:rsidRPr="0053423A">
              <w:rPr>
                <w:rFonts w:eastAsia="Times New Roman" w:cs="Times New Roman"/>
                <w:b/>
                <w:sz w:val="20"/>
                <w:szCs w:val="20"/>
                <w:lang w:val="et-EE"/>
              </w:rPr>
              <w:t xml:space="preserve">1.2. </w:t>
            </w:r>
            <w:r w:rsidRPr="0053423A">
              <w:rPr>
                <w:rFonts w:eastAsia="Times New Roman" w:cs="Times New Roman"/>
                <w:b/>
                <w:sz w:val="20"/>
                <w:szCs w:val="20"/>
              </w:rPr>
              <w:t>ա</w:t>
            </w:r>
            <w:r w:rsidRPr="0053423A">
              <w:rPr>
                <w:rFonts w:eastAsia="Times New Roman" w:cs="Times New Roman"/>
                <w:b/>
                <w:sz w:val="20"/>
                <w:szCs w:val="20"/>
                <w:lang w:val="hy-AM"/>
              </w:rPr>
              <w:t>ռկա խնդիրների առաջարկվող լուծումները</w:t>
            </w:r>
          </w:p>
          <w:p w:rsidR="00154773" w:rsidRPr="0053423A" w:rsidRDefault="00154773" w:rsidP="00154773">
            <w:pPr>
              <w:ind w:left="375"/>
              <w:rPr>
                <w:rFonts w:eastAsia="Times New Roman" w:cs="Times New Roman"/>
                <w:b/>
                <w:sz w:val="20"/>
                <w:szCs w:val="20"/>
                <w:lang w:val="et-EE"/>
              </w:rPr>
            </w:pPr>
          </w:p>
          <w:p w:rsidR="00154773" w:rsidRPr="0053423A" w:rsidRDefault="00154773" w:rsidP="00154773">
            <w:pPr>
              <w:ind w:firstLine="375"/>
              <w:jc w:val="both"/>
              <w:rPr>
                <w:rFonts w:cs="Sylfaen"/>
                <w:sz w:val="20"/>
                <w:szCs w:val="20"/>
                <w:lang w:val="af-ZA"/>
              </w:rPr>
            </w:pPr>
            <w:r w:rsidRPr="0053423A">
              <w:rPr>
                <w:rFonts w:eastAsia="Calibri" w:cs="Times New Roman"/>
                <w:sz w:val="20"/>
                <w:szCs w:val="20"/>
                <w:lang w:val="hy-AM"/>
              </w:rPr>
              <w:t>ՆՄ</w:t>
            </w:r>
            <w:r w:rsidRPr="0053423A">
              <w:rPr>
                <w:rFonts w:eastAsia="Calibri" w:cs="Times New Roman"/>
                <w:sz w:val="20"/>
                <w:szCs w:val="20"/>
              </w:rPr>
              <w:t>ՄԿ</w:t>
            </w:r>
            <w:r w:rsidRPr="0053423A">
              <w:rPr>
                <w:rFonts w:eastAsia="Calibri" w:cs="Times New Roman"/>
                <w:sz w:val="20"/>
                <w:szCs w:val="20"/>
                <w:lang w:val="hy-AM"/>
              </w:rPr>
              <w:t xml:space="preserve"> ուսումնական հաստատությունների պարբերական մշտադիտարկումներ ըստ մարզերի, ուսանողների թվի, մասնագիտությունների</w:t>
            </w:r>
            <w:r w:rsidRPr="0053423A">
              <w:rPr>
                <w:rFonts w:eastAsia="Calibri" w:cs="Times New Roman"/>
                <w:sz w:val="20"/>
                <w:szCs w:val="20"/>
                <w:lang w:val="af-ZA"/>
              </w:rPr>
              <w:t xml:space="preserve">, </w:t>
            </w:r>
            <w:r w:rsidRPr="0053423A">
              <w:rPr>
                <w:rFonts w:cs="Sylfaen"/>
                <w:sz w:val="20"/>
                <w:szCs w:val="20"/>
                <w:lang w:val="af-ZA"/>
              </w:rPr>
              <w:t>ՄԿՈւ ուսումնական հաստատությունների արդյունավետ կառավարում, ռեսուրսների համակենտրոնացում, «Նախնական (արհեստագործական) և միջին մասնագիտական ուսումնական հաստատությունների վերակազմակերպման մասին» ՀՀ կառավարության որոշման նախագծերի  մշակում և ՀՀ վարչապետի աշխատակազմ ներկայացում:</w:t>
            </w:r>
          </w:p>
          <w:p w:rsidR="00154773" w:rsidRPr="0053423A" w:rsidRDefault="00154773" w:rsidP="00154773">
            <w:pPr>
              <w:ind w:firstLine="375"/>
              <w:rPr>
                <w:rFonts w:eastAsia="Calibri" w:cs="Times New Roman"/>
                <w:sz w:val="20"/>
                <w:szCs w:val="20"/>
                <w:lang w:val="af-ZA"/>
              </w:rPr>
            </w:pPr>
          </w:p>
          <w:p w:rsidR="00154773" w:rsidRPr="0053423A" w:rsidRDefault="00154773" w:rsidP="00154773">
            <w:pPr>
              <w:rPr>
                <w:rFonts w:eastAsia="Times New Roman" w:cs="Times New Roman"/>
                <w:b/>
                <w:sz w:val="20"/>
                <w:szCs w:val="20"/>
                <w:lang w:val="af-ZA"/>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tabs>
                <w:tab w:val="left" w:pos="0"/>
                <w:tab w:val="left" w:pos="394"/>
                <w:tab w:val="left" w:pos="5670"/>
                <w:tab w:val="left" w:pos="5812"/>
              </w:tabs>
              <w:jc w:val="both"/>
              <w:rPr>
                <w:rFonts w:cs="Sylfaen"/>
                <w:sz w:val="20"/>
                <w:szCs w:val="20"/>
                <w:lang w:val="af-ZA"/>
              </w:rPr>
            </w:pPr>
          </w:p>
          <w:p w:rsidR="00154773" w:rsidRPr="0053423A" w:rsidRDefault="00154773" w:rsidP="00154773">
            <w:pPr>
              <w:tabs>
                <w:tab w:val="left" w:pos="0"/>
                <w:tab w:val="left" w:pos="394"/>
                <w:tab w:val="left" w:pos="5670"/>
                <w:tab w:val="left" w:pos="5812"/>
              </w:tabs>
              <w:jc w:val="both"/>
              <w:rPr>
                <w:rFonts w:eastAsia="Calibri" w:cs="Times New Roman"/>
                <w:sz w:val="20"/>
                <w:szCs w:val="20"/>
                <w:lang w:val="et-EE"/>
              </w:rPr>
            </w:pPr>
            <w:r w:rsidRPr="0053423A">
              <w:rPr>
                <w:rFonts w:cs="Sylfaen"/>
                <w:sz w:val="20"/>
                <w:szCs w:val="20"/>
                <w:lang w:val="af-ZA"/>
              </w:rPr>
              <w:tab/>
              <w:t xml:space="preserve"> Միջոցառման իրականացման արդյունքում կվերակազմակերպվեն  նախնական (արհեստագործական) և միջին մասնագիտական 10 ուսումնական հաստատություններ, կ</w:t>
            </w:r>
            <w:r w:rsidRPr="0053423A">
              <w:rPr>
                <w:sz w:val="20"/>
                <w:szCs w:val="20"/>
                <w:lang w:val="hy-AM"/>
              </w:rPr>
              <w:t xml:space="preserve">օպտիմալացվեն օգտագործվող տարածքները և ուսումնանյութական բազան, </w:t>
            </w:r>
            <w:r w:rsidRPr="0053423A">
              <w:rPr>
                <w:rFonts w:eastAsia="Calibri" w:cs="Sylfaen"/>
                <w:sz w:val="20"/>
                <w:szCs w:val="20"/>
                <w:lang w:val="hy-AM"/>
              </w:rPr>
              <w:t>կբարելավ</w:t>
            </w:r>
            <w:r w:rsidRPr="0053423A">
              <w:rPr>
                <w:rFonts w:eastAsia="Calibri" w:cs="Times New Roman"/>
                <w:sz w:val="20"/>
                <w:szCs w:val="20"/>
                <w:lang w:val="hy-AM"/>
              </w:rPr>
              <w:t>վ</w:t>
            </w:r>
            <w:r w:rsidRPr="0053423A">
              <w:rPr>
                <w:rFonts w:eastAsia="Calibri" w:cs="Sylfaen"/>
                <w:sz w:val="20"/>
                <w:szCs w:val="20"/>
                <w:lang w:val="hy-AM"/>
              </w:rPr>
              <w:t>են</w:t>
            </w:r>
            <w:r w:rsidRPr="0053423A">
              <w:rPr>
                <w:rFonts w:eastAsia="Calibri" w:cs="Times New Roman"/>
                <w:sz w:val="20"/>
                <w:szCs w:val="20"/>
                <w:lang w:val="et-EE"/>
              </w:rPr>
              <w:t xml:space="preserve"> </w:t>
            </w:r>
            <w:r w:rsidRPr="0053423A">
              <w:rPr>
                <w:rFonts w:eastAsia="Calibri" w:cs="Times New Roman"/>
                <w:sz w:val="20"/>
                <w:szCs w:val="20"/>
                <w:lang w:val="hy-AM"/>
              </w:rPr>
              <w:t>շենքային</w:t>
            </w:r>
            <w:r w:rsidRPr="0053423A">
              <w:rPr>
                <w:rFonts w:eastAsia="Calibri" w:cs="Times New Roman"/>
                <w:sz w:val="20"/>
                <w:szCs w:val="20"/>
                <w:lang w:val="et-EE"/>
              </w:rPr>
              <w:t xml:space="preserve"> </w:t>
            </w:r>
            <w:r w:rsidRPr="0053423A">
              <w:rPr>
                <w:rFonts w:eastAsia="Calibri" w:cs="Times New Roman"/>
                <w:sz w:val="20"/>
                <w:szCs w:val="20"/>
                <w:lang w:val="hy-AM"/>
              </w:rPr>
              <w:t>պայմանները, կբարձրանա</w:t>
            </w:r>
            <w:r w:rsidRPr="0053423A">
              <w:rPr>
                <w:rFonts w:eastAsia="Calibri" w:cs="Times New Roman"/>
                <w:sz w:val="20"/>
                <w:szCs w:val="20"/>
                <w:lang w:val="et-EE"/>
              </w:rPr>
              <w:t xml:space="preserve"> </w:t>
            </w:r>
            <w:r w:rsidRPr="0053423A">
              <w:rPr>
                <w:rFonts w:eastAsia="Calibri" w:cs="Times New Roman"/>
                <w:sz w:val="20"/>
                <w:szCs w:val="20"/>
                <w:lang w:val="hy-AM"/>
              </w:rPr>
              <w:t>ուսումնական</w:t>
            </w:r>
            <w:r w:rsidRPr="0053423A">
              <w:rPr>
                <w:rFonts w:eastAsia="Calibri" w:cs="Times New Roman"/>
                <w:sz w:val="20"/>
                <w:szCs w:val="20"/>
                <w:lang w:val="et-EE"/>
              </w:rPr>
              <w:t xml:space="preserve"> </w:t>
            </w:r>
            <w:r w:rsidRPr="0053423A">
              <w:rPr>
                <w:rFonts w:eastAsia="Calibri" w:cs="Times New Roman"/>
                <w:sz w:val="20"/>
                <w:szCs w:val="20"/>
                <w:lang w:val="hy-AM"/>
              </w:rPr>
              <w:t>հաստատության</w:t>
            </w:r>
            <w:r w:rsidRPr="0053423A">
              <w:rPr>
                <w:rFonts w:eastAsia="Calibri" w:cs="Times New Roman"/>
                <w:sz w:val="20"/>
                <w:szCs w:val="20"/>
                <w:lang w:val="et-EE"/>
              </w:rPr>
              <w:t xml:space="preserve"> </w:t>
            </w:r>
            <w:r w:rsidRPr="0053423A">
              <w:rPr>
                <w:rFonts w:eastAsia="Calibri" w:cs="Times New Roman"/>
                <w:sz w:val="20"/>
                <w:szCs w:val="20"/>
                <w:lang w:val="hy-AM"/>
              </w:rPr>
              <w:t>կառավարման</w:t>
            </w:r>
            <w:r w:rsidRPr="0053423A">
              <w:rPr>
                <w:rFonts w:eastAsia="Calibri" w:cs="Times New Roman"/>
                <w:sz w:val="20"/>
                <w:szCs w:val="20"/>
                <w:lang w:val="et-EE"/>
              </w:rPr>
              <w:t xml:space="preserve"> </w:t>
            </w:r>
            <w:r w:rsidRPr="0053423A">
              <w:rPr>
                <w:rFonts w:eastAsia="Calibri" w:cs="Times New Roman"/>
                <w:sz w:val="20"/>
                <w:szCs w:val="20"/>
                <w:lang w:val="hy-AM"/>
              </w:rPr>
              <w:t>արդյունավետությունը</w:t>
            </w:r>
            <w:r w:rsidRPr="0053423A">
              <w:rPr>
                <w:rFonts w:eastAsia="Calibri" w:cs="Times New Roman"/>
                <w:sz w:val="20"/>
                <w:szCs w:val="20"/>
                <w:lang w:val="et-EE"/>
              </w:rPr>
              <w:t xml:space="preserve">, </w:t>
            </w:r>
            <w:r w:rsidRPr="0053423A">
              <w:rPr>
                <w:rFonts w:eastAsia="Calibri" w:cs="Times New Roman"/>
                <w:sz w:val="20"/>
                <w:szCs w:val="20"/>
                <w:lang w:val="hy-AM"/>
              </w:rPr>
              <w:t>կվերանայվեն</w:t>
            </w:r>
            <w:r w:rsidRPr="0053423A">
              <w:rPr>
                <w:rFonts w:eastAsia="Calibri" w:cs="Times New Roman"/>
                <w:sz w:val="20"/>
                <w:szCs w:val="20"/>
                <w:lang w:val="et-EE"/>
              </w:rPr>
              <w:t xml:space="preserve"> </w:t>
            </w:r>
            <w:r w:rsidRPr="0053423A">
              <w:rPr>
                <w:rFonts w:eastAsia="Calibri" w:cs="Times New Roman"/>
                <w:sz w:val="20"/>
                <w:szCs w:val="20"/>
                <w:lang w:val="hy-AM"/>
              </w:rPr>
              <w:t>պատրաստվող</w:t>
            </w:r>
            <w:r w:rsidRPr="0053423A">
              <w:rPr>
                <w:rFonts w:eastAsia="Calibri" w:cs="Times New Roman"/>
                <w:sz w:val="20"/>
                <w:szCs w:val="20"/>
                <w:lang w:val="et-EE"/>
              </w:rPr>
              <w:t xml:space="preserve"> </w:t>
            </w:r>
            <w:r w:rsidRPr="0053423A">
              <w:rPr>
                <w:rFonts w:eastAsia="Calibri" w:cs="Times New Roman"/>
                <w:sz w:val="20"/>
                <w:szCs w:val="20"/>
                <w:lang w:val="hy-AM"/>
              </w:rPr>
              <w:t>մասնագիտությունները</w:t>
            </w:r>
            <w:r w:rsidRPr="0053423A">
              <w:rPr>
                <w:rFonts w:eastAsia="Calibri" w:cs="Times New Roman"/>
                <w:sz w:val="20"/>
                <w:szCs w:val="20"/>
                <w:lang w:val="et-EE"/>
              </w:rPr>
              <w:t xml:space="preserve">, </w:t>
            </w:r>
            <w:r w:rsidRPr="0053423A">
              <w:rPr>
                <w:rFonts w:eastAsia="Calibri" w:cs="Times New Roman"/>
                <w:sz w:val="20"/>
                <w:szCs w:val="20"/>
                <w:lang w:val="hy-AM"/>
              </w:rPr>
              <w:t>ինչպես</w:t>
            </w:r>
            <w:r w:rsidRPr="0053423A">
              <w:rPr>
                <w:rFonts w:eastAsia="Calibri" w:cs="Times New Roman"/>
                <w:sz w:val="20"/>
                <w:szCs w:val="20"/>
                <w:lang w:val="et-EE"/>
              </w:rPr>
              <w:t xml:space="preserve"> </w:t>
            </w:r>
            <w:r w:rsidRPr="0053423A">
              <w:rPr>
                <w:rFonts w:eastAsia="Calibri" w:cs="Times New Roman"/>
                <w:sz w:val="20"/>
                <w:szCs w:val="20"/>
                <w:lang w:val="hy-AM"/>
              </w:rPr>
              <w:t>նաև</w:t>
            </w:r>
            <w:r w:rsidRPr="0053423A">
              <w:rPr>
                <w:rFonts w:eastAsia="Calibri" w:cs="Times New Roman"/>
                <w:sz w:val="20"/>
                <w:szCs w:val="20"/>
                <w:lang w:val="et-EE"/>
              </w:rPr>
              <w:t xml:space="preserve"> </w:t>
            </w:r>
            <w:r w:rsidRPr="0053423A">
              <w:rPr>
                <w:rFonts w:eastAsia="Calibri" w:cs="Times New Roman"/>
                <w:sz w:val="20"/>
                <w:szCs w:val="20"/>
                <w:lang w:val="hy-AM"/>
              </w:rPr>
              <w:t>հնարավորություն</w:t>
            </w:r>
            <w:r w:rsidRPr="0053423A">
              <w:rPr>
                <w:rFonts w:eastAsia="Calibri" w:cs="Times New Roman"/>
                <w:sz w:val="20"/>
                <w:szCs w:val="20"/>
                <w:lang w:val="et-EE"/>
              </w:rPr>
              <w:t xml:space="preserve"> </w:t>
            </w:r>
            <w:r w:rsidRPr="0053423A">
              <w:rPr>
                <w:rFonts w:eastAsia="Calibri" w:cs="Times New Roman"/>
                <w:sz w:val="20"/>
                <w:szCs w:val="20"/>
                <w:lang w:val="hy-AM"/>
              </w:rPr>
              <w:t>կստեղծվի</w:t>
            </w:r>
            <w:r w:rsidRPr="0053423A">
              <w:rPr>
                <w:rFonts w:eastAsia="Calibri" w:cs="Times New Roman"/>
                <w:sz w:val="20"/>
                <w:szCs w:val="20"/>
                <w:lang w:val="et-EE"/>
              </w:rPr>
              <w:t xml:space="preserve"> </w:t>
            </w:r>
            <w:r w:rsidRPr="0053423A">
              <w:rPr>
                <w:rFonts w:eastAsia="Calibri" w:cs="Times New Roman"/>
                <w:sz w:val="20"/>
                <w:szCs w:val="20"/>
                <w:lang w:val="hy-AM"/>
              </w:rPr>
              <w:t>մեկ</w:t>
            </w:r>
            <w:r w:rsidRPr="0053423A">
              <w:rPr>
                <w:rFonts w:eastAsia="Calibri" w:cs="Times New Roman"/>
                <w:sz w:val="20"/>
                <w:szCs w:val="20"/>
                <w:lang w:val="et-EE"/>
              </w:rPr>
              <w:t xml:space="preserve"> </w:t>
            </w:r>
            <w:r w:rsidRPr="0053423A">
              <w:rPr>
                <w:rFonts w:eastAsia="Calibri" w:cs="Times New Roman"/>
                <w:sz w:val="20"/>
                <w:szCs w:val="20"/>
                <w:lang w:val="hy-AM"/>
              </w:rPr>
              <w:t>հաստատության</w:t>
            </w:r>
            <w:r w:rsidRPr="0053423A">
              <w:rPr>
                <w:rFonts w:eastAsia="Calibri" w:cs="Times New Roman"/>
                <w:sz w:val="20"/>
                <w:szCs w:val="20"/>
                <w:lang w:val="et-EE"/>
              </w:rPr>
              <w:t xml:space="preserve"> </w:t>
            </w:r>
            <w:r w:rsidRPr="0053423A">
              <w:rPr>
                <w:rFonts w:eastAsia="Calibri" w:cs="Times New Roman"/>
                <w:sz w:val="20"/>
                <w:szCs w:val="20"/>
                <w:lang w:val="hy-AM"/>
              </w:rPr>
              <w:t>ներսում</w:t>
            </w:r>
            <w:r w:rsidRPr="0053423A">
              <w:rPr>
                <w:rFonts w:eastAsia="Calibri" w:cs="Times New Roman"/>
                <w:sz w:val="20"/>
                <w:szCs w:val="20"/>
                <w:lang w:val="et-EE"/>
              </w:rPr>
              <w:t xml:space="preserve"> </w:t>
            </w:r>
            <w:r w:rsidRPr="0053423A">
              <w:rPr>
                <w:rFonts w:eastAsia="Calibri" w:cs="Times New Roman"/>
                <w:sz w:val="20"/>
                <w:szCs w:val="20"/>
                <w:lang w:val="hy-AM"/>
              </w:rPr>
              <w:t>իրականացնել</w:t>
            </w:r>
            <w:r w:rsidRPr="0053423A">
              <w:rPr>
                <w:rFonts w:eastAsia="Calibri" w:cs="Times New Roman"/>
                <w:sz w:val="20"/>
                <w:szCs w:val="20"/>
                <w:lang w:val="et-EE"/>
              </w:rPr>
              <w:t xml:space="preserve"> </w:t>
            </w:r>
            <w:r w:rsidRPr="0053423A">
              <w:rPr>
                <w:rFonts w:eastAsia="Calibri" w:cs="Arial Armenian"/>
                <w:sz w:val="20"/>
                <w:szCs w:val="20"/>
                <w:lang w:val="hy-AM"/>
              </w:rPr>
              <w:t>նախնական</w:t>
            </w:r>
            <w:r w:rsidRPr="0053423A">
              <w:rPr>
                <w:rFonts w:eastAsia="Calibri" w:cs="Arial Armenian"/>
                <w:sz w:val="20"/>
                <w:szCs w:val="20"/>
                <w:lang w:val="et-EE"/>
              </w:rPr>
              <w:t xml:space="preserve"> </w:t>
            </w:r>
            <w:r w:rsidRPr="0053423A">
              <w:rPr>
                <w:rFonts w:eastAsia="Calibri" w:cs="Times New Roman"/>
                <w:sz w:val="20"/>
                <w:szCs w:val="20"/>
                <w:lang w:val="hy-AM"/>
              </w:rPr>
              <w:t>(</w:t>
            </w:r>
            <w:r w:rsidRPr="0053423A">
              <w:rPr>
                <w:rFonts w:eastAsia="Calibri" w:cs="Sylfaen"/>
                <w:sz w:val="20"/>
                <w:szCs w:val="20"/>
                <w:lang w:val="hy-AM"/>
              </w:rPr>
              <w:t>արհեստագործական</w:t>
            </w:r>
            <w:r w:rsidRPr="0053423A">
              <w:rPr>
                <w:rFonts w:eastAsia="Calibri" w:cs="Times New Roman"/>
                <w:sz w:val="20"/>
                <w:szCs w:val="20"/>
                <w:lang w:val="hy-AM"/>
              </w:rPr>
              <w:t>)</w:t>
            </w:r>
            <w:r w:rsidRPr="0053423A">
              <w:rPr>
                <w:rFonts w:eastAsia="Calibri" w:cs="Times New Roman"/>
                <w:sz w:val="20"/>
                <w:szCs w:val="20"/>
                <w:lang w:val="et-EE"/>
              </w:rPr>
              <w:t xml:space="preserve"> </w:t>
            </w:r>
            <w:r w:rsidRPr="0053423A">
              <w:rPr>
                <w:rFonts w:eastAsia="Calibri" w:cs="Times New Roman"/>
                <w:sz w:val="20"/>
                <w:szCs w:val="20"/>
                <w:lang w:val="hy-AM"/>
              </w:rPr>
              <w:t>և</w:t>
            </w:r>
            <w:r w:rsidRPr="0053423A">
              <w:rPr>
                <w:rFonts w:eastAsia="Calibri" w:cs="Times New Roman"/>
                <w:sz w:val="20"/>
                <w:szCs w:val="20"/>
                <w:lang w:val="et-EE"/>
              </w:rPr>
              <w:t xml:space="preserve"> </w:t>
            </w:r>
            <w:r w:rsidRPr="0053423A">
              <w:rPr>
                <w:rFonts w:eastAsia="Calibri" w:cs="Times New Roman"/>
                <w:sz w:val="20"/>
                <w:szCs w:val="20"/>
                <w:lang w:val="hy-AM"/>
              </w:rPr>
              <w:t>միջին</w:t>
            </w:r>
            <w:r w:rsidRPr="0053423A">
              <w:rPr>
                <w:rFonts w:eastAsia="Calibri" w:cs="Times New Roman"/>
                <w:sz w:val="20"/>
                <w:szCs w:val="20"/>
                <w:lang w:val="et-EE"/>
              </w:rPr>
              <w:t xml:space="preserve"> </w:t>
            </w:r>
            <w:r w:rsidRPr="0053423A">
              <w:rPr>
                <w:rFonts w:eastAsia="Calibri" w:cs="Times New Roman"/>
                <w:sz w:val="20"/>
                <w:szCs w:val="20"/>
                <w:lang w:val="hy-AM"/>
              </w:rPr>
              <w:t>մասնագիտական</w:t>
            </w:r>
            <w:r w:rsidRPr="0053423A">
              <w:rPr>
                <w:rFonts w:eastAsia="Calibri" w:cs="Times New Roman"/>
                <w:sz w:val="20"/>
                <w:szCs w:val="20"/>
                <w:lang w:val="et-EE"/>
              </w:rPr>
              <w:t xml:space="preserve"> </w:t>
            </w:r>
            <w:r w:rsidRPr="0053423A">
              <w:rPr>
                <w:rFonts w:eastAsia="Calibri" w:cs="Times New Roman"/>
                <w:sz w:val="20"/>
                <w:szCs w:val="20"/>
                <w:lang w:val="hy-AM"/>
              </w:rPr>
              <w:t>կրթական</w:t>
            </w:r>
            <w:r w:rsidRPr="0053423A">
              <w:rPr>
                <w:rFonts w:eastAsia="Calibri" w:cs="Times New Roman"/>
                <w:sz w:val="20"/>
                <w:szCs w:val="20"/>
                <w:lang w:val="et-EE"/>
              </w:rPr>
              <w:t xml:space="preserve"> </w:t>
            </w:r>
            <w:r w:rsidRPr="0053423A">
              <w:rPr>
                <w:rFonts w:eastAsia="Calibri" w:cs="Times New Roman"/>
                <w:sz w:val="20"/>
                <w:szCs w:val="20"/>
                <w:lang w:val="hy-AM"/>
              </w:rPr>
              <w:t>ծրագրեր</w:t>
            </w:r>
            <w:r w:rsidRPr="0053423A">
              <w:rPr>
                <w:rFonts w:eastAsia="Calibri" w:cs="Times New Roman"/>
                <w:sz w:val="20"/>
                <w:szCs w:val="20"/>
                <w:lang w:val="et-EE"/>
              </w:rPr>
              <w:t>:</w:t>
            </w:r>
          </w:p>
          <w:p w:rsidR="00154773" w:rsidRPr="0053423A" w:rsidRDefault="00154773" w:rsidP="00154773">
            <w:pPr>
              <w:jc w:val="center"/>
              <w:rPr>
                <w:rFonts w:eastAsia="Times New Roman" w:cs="Times New Roman"/>
                <w:b/>
                <w:sz w:val="20"/>
                <w:szCs w:val="20"/>
                <w:lang w:val="et-EE"/>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jc w:val="center"/>
              <w:rPr>
                <w:rFonts w:eastAsia="Calibri" w:cs="Times New Roman"/>
                <w:b/>
                <w:sz w:val="20"/>
                <w:szCs w:val="20"/>
                <w:u w:val="single"/>
                <w:lang w:val="et-EE"/>
              </w:rPr>
            </w:pPr>
            <w:r w:rsidRPr="0053423A">
              <w:rPr>
                <w:rFonts w:eastAsia="Calibri" w:cs="GHEA Grapalat"/>
                <w:b/>
                <w:color w:val="000000"/>
                <w:sz w:val="20"/>
                <w:szCs w:val="20"/>
                <w:u w:val="single"/>
                <w:lang w:val="et-EE"/>
              </w:rPr>
              <w:t>4</w:t>
            </w:r>
            <w:r w:rsidRPr="0053423A">
              <w:rPr>
                <w:rFonts w:eastAsia="Calibri" w:cs="GHEA Grapalat"/>
                <w:b/>
                <w:color w:val="000000"/>
                <w:sz w:val="20"/>
                <w:szCs w:val="20"/>
                <w:u w:val="single"/>
                <w:lang w:val="hy-AM"/>
              </w:rPr>
              <w:t>.</w:t>
            </w:r>
            <w:r w:rsidRPr="0053423A">
              <w:rPr>
                <w:rFonts w:eastAsia="Times New Roman" w:cs="Times New Roman"/>
                <w:b/>
                <w:sz w:val="20"/>
                <w:szCs w:val="20"/>
                <w:u w:val="single"/>
                <w:lang w:val="hy-AM"/>
              </w:rPr>
              <w:t>2.</w:t>
            </w:r>
            <w:r w:rsidRPr="0053423A">
              <w:rPr>
                <w:rFonts w:eastAsia="Calibri" w:cs="Times New Roman"/>
                <w:b/>
                <w:sz w:val="20"/>
                <w:szCs w:val="20"/>
                <w:u w:val="single"/>
                <w:lang w:val="hy-AM"/>
              </w:rPr>
              <w:t>Գյուղատնտեսական ուղղվածությամբ ուսումնա</w:t>
            </w:r>
            <w:r w:rsidRPr="0053423A">
              <w:rPr>
                <w:rFonts w:eastAsia="Calibri" w:cs="Times New Roman"/>
                <w:b/>
                <w:sz w:val="20"/>
                <w:szCs w:val="20"/>
                <w:u w:val="single"/>
                <w:lang w:val="hy-AM"/>
              </w:rPr>
              <w:softHyphen/>
              <w:t>կան կենտրոնների ստեղծում</w:t>
            </w:r>
          </w:p>
          <w:p w:rsidR="00154773" w:rsidRPr="0053423A" w:rsidRDefault="00154773" w:rsidP="00154773">
            <w:pPr>
              <w:jc w:val="both"/>
              <w:rPr>
                <w:b/>
                <w:sz w:val="20"/>
                <w:szCs w:val="20"/>
                <w:u w:val="single"/>
                <w:lang w:val="et-EE"/>
              </w:rPr>
            </w:pPr>
          </w:p>
          <w:p w:rsidR="00154773" w:rsidRPr="0053423A" w:rsidRDefault="00154773" w:rsidP="00154773">
            <w:pPr>
              <w:jc w:val="both"/>
              <w:rPr>
                <w:rFonts w:eastAsia="Times New Roman" w:cs="Times New Roman"/>
                <w:b/>
                <w:sz w:val="20"/>
                <w:szCs w:val="20"/>
                <w:lang w:val="hy-AM"/>
              </w:rPr>
            </w:pPr>
            <w:r w:rsidRPr="0053423A">
              <w:rPr>
                <w:rFonts w:eastAsia="Times New Roman" w:cs="Times New Roman"/>
                <w:b/>
                <w:sz w:val="20"/>
                <w:szCs w:val="20"/>
                <w:lang w:val="hy-AM"/>
              </w:rPr>
              <w:t xml:space="preserve">    </w:t>
            </w:r>
            <w:r w:rsidRPr="0053423A">
              <w:rPr>
                <w:b/>
                <w:sz w:val="20"/>
                <w:szCs w:val="20"/>
                <w:lang w:val="hy-AM"/>
              </w:rPr>
              <w:t>1.</w:t>
            </w:r>
            <w:r w:rsidRPr="0053423A">
              <w:rPr>
                <w:rFonts w:eastAsia="Times New Roman" w:cs="Times New Roman"/>
                <w:b/>
                <w:sz w:val="20"/>
                <w:szCs w:val="20"/>
                <w:lang w:val="hy-AM"/>
              </w:rPr>
              <w:t>Միջոցառման իրականացման անհրաժեշտությունը և նպատակը</w:t>
            </w:r>
          </w:p>
          <w:p w:rsidR="00154773" w:rsidRPr="0053423A" w:rsidRDefault="00154773" w:rsidP="00154773">
            <w:pPr>
              <w:jc w:val="both"/>
              <w:rPr>
                <w:rFonts w:eastAsia="Times New Roman" w:cs="Times New Roman"/>
                <w:b/>
                <w:sz w:val="20"/>
                <w:szCs w:val="20"/>
                <w:lang w:val="hy-AM"/>
              </w:rPr>
            </w:pPr>
          </w:p>
          <w:p w:rsidR="00154773" w:rsidRPr="0053423A" w:rsidRDefault="00154773" w:rsidP="00154773">
            <w:pPr>
              <w:ind w:firstLine="450"/>
              <w:jc w:val="both"/>
              <w:rPr>
                <w:sz w:val="20"/>
                <w:szCs w:val="20"/>
                <w:lang w:val="af-ZA"/>
              </w:rPr>
            </w:pPr>
            <w:r w:rsidRPr="0053423A">
              <w:rPr>
                <w:sz w:val="20"/>
                <w:szCs w:val="20"/>
                <w:lang w:val="hy-AM"/>
              </w:rPr>
              <w:t>Ներկայումս</w:t>
            </w:r>
            <w:r w:rsidRPr="0053423A">
              <w:rPr>
                <w:sz w:val="20"/>
                <w:szCs w:val="20"/>
                <w:lang w:val="af-ZA"/>
              </w:rPr>
              <w:t xml:space="preserve"> </w:t>
            </w:r>
            <w:r w:rsidRPr="0053423A">
              <w:rPr>
                <w:sz w:val="20"/>
                <w:szCs w:val="20"/>
                <w:lang w:val="hy-AM"/>
              </w:rPr>
              <w:t>բոլոր առանցքային փաստաթղթերում</w:t>
            </w:r>
            <w:r w:rsidRPr="0053423A">
              <w:rPr>
                <w:sz w:val="20"/>
                <w:szCs w:val="20"/>
                <w:lang w:val="af-ZA"/>
              </w:rPr>
              <w:t xml:space="preserve"> </w:t>
            </w:r>
            <w:r w:rsidRPr="0053423A">
              <w:rPr>
                <w:sz w:val="20"/>
                <w:szCs w:val="20"/>
                <w:lang w:val="hy-AM"/>
              </w:rPr>
              <w:t>գյուղատնտեսության ոլորտի զարգացումը սահմանված է որպես Հայաստանի Հանրապետության հետագա տնտեսական զարգացման գերակա ոլորտ:</w:t>
            </w:r>
            <w:r w:rsidRPr="0053423A">
              <w:rPr>
                <w:sz w:val="20"/>
                <w:szCs w:val="20"/>
                <w:lang w:val="af-ZA"/>
              </w:rPr>
              <w:t xml:space="preserve"> </w:t>
            </w:r>
            <w:r w:rsidRPr="0053423A">
              <w:rPr>
                <w:sz w:val="20"/>
                <w:szCs w:val="20"/>
                <w:lang w:val="hy-AM"/>
              </w:rPr>
              <w:t>Հայաստանի</w:t>
            </w:r>
            <w:r w:rsidRPr="0053423A">
              <w:rPr>
                <w:sz w:val="20"/>
                <w:szCs w:val="20"/>
                <w:lang w:val="af-ZA"/>
              </w:rPr>
              <w:t xml:space="preserve"> </w:t>
            </w:r>
            <w:r w:rsidRPr="0053423A">
              <w:rPr>
                <w:sz w:val="20"/>
                <w:szCs w:val="20"/>
                <w:lang w:val="hy-AM"/>
              </w:rPr>
              <w:t>Հանրապետության</w:t>
            </w:r>
            <w:r w:rsidRPr="0053423A">
              <w:rPr>
                <w:sz w:val="20"/>
                <w:szCs w:val="20"/>
                <w:lang w:val="af-ZA"/>
              </w:rPr>
              <w:t xml:space="preserve"> </w:t>
            </w:r>
            <w:r w:rsidRPr="0053423A">
              <w:rPr>
                <w:sz w:val="20"/>
                <w:szCs w:val="20"/>
                <w:lang w:val="hy-AM"/>
              </w:rPr>
              <w:t>գյուղատնտեսության</w:t>
            </w:r>
            <w:r w:rsidRPr="0053423A">
              <w:rPr>
                <w:sz w:val="20"/>
                <w:szCs w:val="20"/>
                <w:lang w:val="af-ZA"/>
              </w:rPr>
              <w:t xml:space="preserve"> </w:t>
            </w:r>
            <w:r w:rsidRPr="0053423A">
              <w:rPr>
                <w:sz w:val="20"/>
                <w:szCs w:val="20"/>
                <w:lang w:val="hy-AM"/>
              </w:rPr>
              <w:t>զարգացման</w:t>
            </w:r>
            <w:r w:rsidRPr="0053423A">
              <w:rPr>
                <w:sz w:val="20"/>
                <w:szCs w:val="20"/>
                <w:lang w:val="af-ZA"/>
              </w:rPr>
              <w:t xml:space="preserve"> </w:t>
            </w:r>
            <w:r w:rsidRPr="0053423A">
              <w:rPr>
                <w:sz w:val="20"/>
                <w:szCs w:val="20"/>
                <w:lang w:val="hy-AM"/>
              </w:rPr>
              <w:t>ներկայիս</w:t>
            </w:r>
            <w:r w:rsidRPr="0053423A">
              <w:rPr>
                <w:sz w:val="20"/>
                <w:szCs w:val="20"/>
                <w:lang w:val="af-ZA"/>
              </w:rPr>
              <w:t xml:space="preserve"> </w:t>
            </w:r>
            <w:r w:rsidRPr="0053423A">
              <w:rPr>
                <w:sz w:val="20"/>
                <w:szCs w:val="20"/>
                <w:lang w:val="hy-AM"/>
              </w:rPr>
              <w:t>փուլում</w:t>
            </w:r>
            <w:r w:rsidRPr="0053423A">
              <w:rPr>
                <w:sz w:val="20"/>
                <w:szCs w:val="20"/>
                <w:lang w:val="af-ZA"/>
              </w:rPr>
              <w:t xml:space="preserve"> </w:t>
            </w:r>
            <w:r w:rsidRPr="0053423A">
              <w:rPr>
                <w:sz w:val="20"/>
                <w:szCs w:val="20"/>
                <w:lang w:val="hy-AM"/>
              </w:rPr>
              <w:t>առանձնակի</w:t>
            </w:r>
            <w:r w:rsidRPr="0053423A">
              <w:rPr>
                <w:sz w:val="20"/>
                <w:szCs w:val="20"/>
                <w:lang w:val="af-ZA"/>
              </w:rPr>
              <w:t xml:space="preserve"> </w:t>
            </w:r>
            <w:r w:rsidRPr="0053423A">
              <w:rPr>
                <w:sz w:val="20"/>
                <w:szCs w:val="20"/>
                <w:lang w:val="hy-AM"/>
              </w:rPr>
              <w:t>է</w:t>
            </w:r>
            <w:r w:rsidRPr="0053423A">
              <w:rPr>
                <w:sz w:val="20"/>
                <w:szCs w:val="20"/>
                <w:lang w:val="af-ZA"/>
              </w:rPr>
              <w:t xml:space="preserve"> </w:t>
            </w:r>
            <w:r w:rsidRPr="0053423A">
              <w:rPr>
                <w:sz w:val="20"/>
                <w:szCs w:val="20"/>
                <w:lang w:val="hy-AM"/>
              </w:rPr>
              <w:t>կարևորվում</w:t>
            </w:r>
            <w:r w:rsidRPr="0053423A">
              <w:rPr>
                <w:sz w:val="20"/>
                <w:szCs w:val="20"/>
                <w:lang w:val="af-ZA"/>
              </w:rPr>
              <w:t xml:space="preserve"> </w:t>
            </w:r>
            <w:r w:rsidRPr="0053423A">
              <w:rPr>
                <w:sz w:val="20"/>
                <w:szCs w:val="20"/>
                <w:lang w:val="hy-AM"/>
              </w:rPr>
              <w:t>գյուղատնտեսական</w:t>
            </w:r>
            <w:r w:rsidRPr="0053423A">
              <w:rPr>
                <w:sz w:val="20"/>
                <w:szCs w:val="20"/>
                <w:lang w:val="af-ZA"/>
              </w:rPr>
              <w:t xml:space="preserve"> </w:t>
            </w:r>
            <w:r w:rsidRPr="0053423A">
              <w:rPr>
                <w:sz w:val="20"/>
                <w:szCs w:val="20"/>
                <w:lang w:val="hy-AM"/>
              </w:rPr>
              <w:t>արտադրության</w:t>
            </w:r>
            <w:r w:rsidRPr="0053423A">
              <w:rPr>
                <w:sz w:val="20"/>
                <w:szCs w:val="20"/>
                <w:lang w:val="af-ZA"/>
              </w:rPr>
              <w:t xml:space="preserve"> </w:t>
            </w:r>
            <w:r w:rsidRPr="0053423A">
              <w:rPr>
                <w:sz w:val="20"/>
                <w:szCs w:val="20"/>
                <w:lang w:val="hy-AM"/>
              </w:rPr>
              <w:t>հմտություններին</w:t>
            </w:r>
            <w:r w:rsidRPr="0053423A">
              <w:rPr>
                <w:sz w:val="20"/>
                <w:szCs w:val="20"/>
                <w:lang w:val="af-ZA"/>
              </w:rPr>
              <w:t xml:space="preserve"> </w:t>
            </w:r>
            <w:r w:rsidRPr="0053423A">
              <w:rPr>
                <w:sz w:val="20"/>
                <w:szCs w:val="20"/>
                <w:lang w:val="hy-AM"/>
              </w:rPr>
              <w:t>և</w:t>
            </w:r>
            <w:r w:rsidRPr="0053423A">
              <w:rPr>
                <w:sz w:val="20"/>
                <w:szCs w:val="20"/>
                <w:lang w:val="af-ZA"/>
              </w:rPr>
              <w:t xml:space="preserve"> </w:t>
            </w:r>
            <w:r w:rsidRPr="0053423A">
              <w:rPr>
                <w:sz w:val="20"/>
                <w:szCs w:val="20"/>
                <w:lang w:val="hy-AM"/>
              </w:rPr>
              <w:t>ագրարային</w:t>
            </w:r>
            <w:r w:rsidRPr="0053423A">
              <w:rPr>
                <w:sz w:val="20"/>
                <w:szCs w:val="20"/>
                <w:lang w:val="af-ZA"/>
              </w:rPr>
              <w:t xml:space="preserve"> </w:t>
            </w:r>
            <w:r w:rsidRPr="0053423A">
              <w:rPr>
                <w:sz w:val="20"/>
                <w:szCs w:val="20"/>
                <w:lang w:val="hy-AM"/>
              </w:rPr>
              <w:t>ոլորտում</w:t>
            </w:r>
            <w:r w:rsidRPr="0053423A">
              <w:rPr>
                <w:sz w:val="20"/>
                <w:szCs w:val="20"/>
                <w:lang w:val="af-ZA"/>
              </w:rPr>
              <w:t xml:space="preserve"> </w:t>
            </w:r>
            <w:r w:rsidRPr="0053423A">
              <w:rPr>
                <w:sz w:val="20"/>
                <w:szCs w:val="20"/>
                <w:lang w:val="hy-AM"/>
              </w:rPr>
              <w:t>կիրառվող</w:t>
            </w:r>
            <w:r w:rsidRPr="0053423A">
              <w:rPr>
                <w:sz w:val="20"/>
                <w:szCs w:val="20"/>
                <w:lang w:val="af-ZA"/>
              </w:rPr>
              <w:t xml:space="preserve"> </w:t>
            </w:r>
            <w:r w:rsidRPr="0053423A">
              <w:rPr>
                <w:sz w:val="20"/>
                <w:szCs w:val="20"/>
                <w:lang w:val="hy-AM"/>
              </w:rPr>
              <w:t>արդիական</w:t>
            </w:r>
            <w:r w:rsidRPr="0053423A">
              <w:rPr>
                <w:sz w:val="20"/>
                <w:szCs w:val="20"/>
                <w:lang w:val="af-ZA"/>
              </w:rPr>
              <w:t xml:space="preserve"> </w:t>
            </w:r>
            <w:r w:rsidRPr="0053423A">
              <w:rPr>
                <w:sz w:val="20"/>
                <w:szCs w:val="20"/>
                <w:lang w:val="hy-AM"/>
              </w:rPr>
              <w:t>տեխնոլոգիաներին</w:t>
            </w:r>
            <w:r w:rsidRPr="0053423A">
              <w:rPr>
                <w:sz w:val="20"/>
                <w:szCs w:val="20"/>
                <w:lang w:val="af-ZA"/>
              </w:rPr>
              <w:t xml:space="preserve"> </w:t>
            </w:r>
            <w:r w:rsidRPr="0053423A">
              <w:rPr>
                <w:sz w:val="20"/>
                <w:szCs w:val="20"/>
                <w:lang w:val="hy-AM"/>
              </w:rPr>
              <w:t>տիրապետող</w:t>
            </w:r>
            <w:r w:rsidRPr="0053423A">
              <w:rPr>
                <w:sz w:val="20"/>
                <w:szCs w:val="20"/>
                <w:lang w:val="af-ZA"/>
              </w:rPr>
              <w:t xml:space="preserve"> </w:t>
            </w:r>
            <w:r w:rsidRPr="0053423A">
              <w:rPr>
                <w:sz w:val="20"/>
                <w:szCs w:val="20"/>
                <w:lang w:val="hy-AM"/>
              </w:rPr>
              <w:t>մասնագետների</w:t>
            </w:r>
            <w:r w:rsidRPr="0053423A">
              <w:rPr>
                <w:sz w:val="20"/>
                <w:szCs w:val="20"/>
                <w:lang w:val="af-ZA"/>
              </w:rPr>
              <w:t xml:space="preserve"> </w:t>
            </w:r>
            <w:r w:rsidRPr="0053423A">
              <w:rPr>
                <w:sz w:val="20"/>
                <w:szCs w:val="20"/>
                <w:lang w:val="hy-AM"/>
              </w:rPr>
              <w:t>պատրաստումը</w:t>
            </w:r>
            <w:r w:rsidRPr="0053423A">
              <w:rPr>
                <w:sz w:val="20"/>
                <w:szCs w:val="20"/>
                <w:lang w:val="af-ZA"/>
              </w:rPr>
              <w:t xml:space="preserve">, </w:t>
            </w:r>
            <w:r w:rsidRPr="0053423A">
              <w:rPr>
                <w:sz w:val="20"/>
                <w:szCs w:val="20"/>
                <w:lang w:val="hy-AM"/>
              </w:rPr>
              <w:t>վերջինիս</w:t>
            </w:r>
            <w:r w:rsidRPr="0053423A">
              <w:rPr>
                <w:sz w:val="20"/>
                <w:szCs w:val="20"/>
                <w:lang w:val="af-ZA"/>
              </w:rPr>
              <w:t xml:space="preserve"> </w:t>
            </w:r>
            <w:r w:rsidRPr="0053423A">
              <w:rPr>
                <w:sz w:val="20"/>
                <w:szCs w:val="20"/>
                <w:lang w:val="hy-AM"/>
              </w:rPr>
              <w:t>գործընթացում</w:t>
            </w:r>
            <w:r w:rsidRPr="0053423A">
              <w:rPr>
                <w:sz w:val="20"/>
                <w:szCs w:val="20"/>
                <w:lang w:val="af-ZA"/>
              </w:rPr>
              <w:t xml:space="preserve"> </w:t>
            </w:r>
            <w:r w:rsidRPr="0053423A">
              <w:rPr>
                <w:sz w:val="20"/>
                <w:szCs w:val="20"/>
                <w:lang w:val="hy-AM"/>
              </w:rPr>
              <w:t>միջազգային</w:t>
            </w:r>
            <w:r w:rsidRPr="0053423A">
              <w:rPr>
                <w:sz w:val="20"/>
                <w:szCs w:val="20"/>
                <w:lang w:val="af-ZA"/>
              </w:rPr>
              <w:t xml:space="preserve"> </w:t>
            </w:r>
            <w:r w:rsidRPr="0053423A">
              <w:rPr>
                <w:sz w:val="20"/>
                <w:szCs w:val="20"/>
                <w:lang w:val="hy-AM"/>
              </w:rPr>
              <w:t>լավագույն</w:t>
            </w:r>
            <w:r w:rsidRPr="0053423A">
              <w:rPr>
                <w:sz w:val="20"/>
                <w:szCs w:val="20"/>
                <w:lang w:val="af-ZA"/>
              </w:rPr>
              <w:t xml:space="preserve"> </w:t>
            </w:r>
            <w:r w:rsidRPr="0053423A">
              <w:rPr>
                <w:sz w:val="20"/>
                <w:szCs w:val="20"/>
                <w:lang w:val="hy-AM"/>
              </w:rPr>
              <w:t>փորձի</w:t>
            </w:r>
            <w:r w:rsidRPr="0053423A">
              <w:rPr>
                <w:sz w:val="20"/>
                <w:szCs w:val="20"/>
                <w:lang w:val="af-ZA"/>
              </w:rPr>
              <w:t xml:space="preserve"> </w:t>
            </w:r>
            <w:r w:rsidRPr="0053423A">
              <w:rPr>
                <w:sz w:val="20"/>
                <w:szCs w:val="20"/>
                <w:lang w:val="hy-AM"/>
              </w:rPr>
              <w:t>օգտագործումը</w:t>
            </w:r>
            <w:r w:rsidRPr="0053423A">
              <w:rPr>
                <w:sz w:val="20"/>
                <w:szCs w:val="20"/>
                <w:lang w:val="af-ZA"/>
              </w:rPr>
              <w:t xml:space="preserve"> </w:t>
            </w:r>
            <w:r w:rsidRPr="0053423A">
              <w:rPr>
                <w:sz w:val="20"/>
                <w:szCs w:val="20"/>
                <w:lang w:val="hy-AM"/>
              </w:rPr>
              <w:t>և</w:t>
            </w:r>
            <w:r w:rsidRPr="0053423A">
              <w:rPr>
                <w:sz w:val="20"/>
                <w:szCs w:val="20"/>
                <w:lang w:val="af-ZA"/>
              </w:rPr>
              <w:t xml:space="preserve"> </w:t>
            </w:r>
            <w:r w:rsidRPr="0053423A">
              <w:rPr>
                <w:sz w:val="20"/>
                <w:szCs w:val="20"/>
                <w:lang w:val="hy-AM"/>
              </w:rPr>
              <w:t>մեր</w:t>
            </w:r>
            <w:r w:rsidRPr="0053423A">
              <w:rPr>
                <w:sz w:val="20"/>
                <w:szCs w:val="20"/>
                <w:lang w:val="af-ZA"/>
              </w:rPr>
              <w:t xml:space="preserve"> </w:t>
            </w:r>
            <w:r w:rsidRPr="0053423A">
              <w:rPr>
                <w:sz w:val="20"/>
                <w:szCs w:val="20"/>
                <w:lang w:val="hy-AM"/>
              </w:rPr>
              <w:t>հանրապետության</w:t>
            </w:r>
            <w:r w:rsidRPr="0053423A">
              <w:rPr>
                <w:sz w:val="20"/>
                <w:szCs w:val="20"/>
                <w:lang w:val="af-ZA"/>
              </w:rPr>
              <w:t xml:space="preserve"> </w:t>
            </w:r>
            <w:r w:rsidRPr="0053423A">
              <w:rPr>
                <w:sz w:val="20"/>
                <w:szCs w:val="20"/>
                <w:lang w:val="hy-AM"/>
              </w:rPr>
              <w:t>գյուղա</w:t>
            </w:r>
            <w:r w:rsidRPr="0053423A">
              <w:rPr>
                <w:sz w:val="20"/>
                <w:szCs w:val="20"/>
                <w:lang w:val="af-ZA"/>
              </w:rPr>
              <w:softHyphen/>
            </w:r>
            <w:r w:rsidRPr="0053423A">
              <w:rPr>
                <w:sz w:val="20"/>
                <w:szCs w:val="20"/>
                <w:lang w:val="hy-AM"/>
              </w:rPr>
              <w:t>տնտեսության</w:t>
            </w:r>
            <w:r w:rsidRPr="0053423A">
              <w:rPr>
                <w:sz w:val="20"/>
                <w:szCs w:val="20"/>
                <w:lang w:val="af-ZA"/>
              </w:rPr>
              <w:t xml:space="preserve"> </w:t>
            </w:r>
            <w:r w:rsidRPr="0053423A">
              <w:rPr>
                <w:sz w:val="20"/>
                <w:szCs w:val="20"/>
                <w:lang w:val="hy-AM"/>
              </w:rPr>
              <w:t>առանձնահատկությունները</w:t>
            </w:r>
            <w:r w:rsidRPr="0053423A">
              <w:rPr>
                <w:sz w:val="20"/>
                <w:szCs w:val="20"/>
                <w:lang w:val="af-ZA"/>
              </w:rPr>
              <w:t xml:space="preserve"> </w:t>
            </w:r>
            <w:r w:rsidRPr="0053423A">
              <w:rPr>
                <w:sz w:val="20"/>
                <w:szCs w:val="20"/>
                <w:lang w:val="hy-AM"/>
              </w:rPr>
              <w:t>հաշվի</w:t>
            </w:r>
            <w:r w:rsidRPr="0053423A">
              <w:rPr>
                <w:sz w:val="20"/>
                <w:szCs w:val="20"/>
                <w:lang w:val="af-ZA"/>
              </w:rPr>
              <w:t xml:space="preserve"> </w:t>
            </w:r>
            <w:r w:rsidRPr="0053423A">
              <w:rPr>
                <w:sz w:val="20"/>
                <w:szCs w:val="20"/>
                <w:lang w:val="hy-AM"/>
              </w:rPr>
              <w:t>առնելով</w:t>
            </w:r>
            <w:r w:rsidRPr="0053423A">
              <w:rPr>
                <w:rFonts w:ascii="Courier New" w:hAnsi="Courier New" w:cs="Courier New"/>
                <w:sz w:val="20"/>
                <w:szCs w:val="20"/>
              </w:rPr>
              <w:t>`</w:t>
            </w:r>
            <w:r w:rsidRPr="0053423A">
              <w:rPr>
                <w:sz w:val="20"/>
                <w:szCs w:val="20"/>
                <w:lang w:val="af-ZA"/>
              </w:rPr>
              <w:t xml:space="preserve"> </w:t>
            </w:r>
            <w:r w:rsidRPr="0053423A">
              <w:rPr>
                <w:sz w:val="20"/>
                <w:szCs w:val="20"/>
                <w:lang w:val="hy-AM"/>
              </w:rPr>
              <w:t>դրա</w:t>
            </w:r>
            <w:r w:rsidRPr="0053423A">
              <w:rPr>
                <w:sz w:val="20"/>
                <w:szCs w:val="20"/>
                <w:lang w:val="af-ZA"/>
              </w:rPr>
              <w:t xml:space="preserve"> </w:t>
            </w:r>
            <w:r w:rsidRPr="0053423A">
              <w:rPr>
                <w:sz w:val="20"/>
                <w:szCs w:val="20"/>
                <w:lang w:val="hy-AM"/>
              </w:rPr>
              <w:t>տեղայնացումը</w:t>
            </w:r>
            <w:r w:rsidRPr="0053423A">
              <w:rPr>
                <w:sz w:val="20"/>
                <w:szCs w:val="20"/>
                <w:lang w:val="af-ZA"/>
              </w:rPr>
              <w:t>:</w:t>
            </w:r>
          </w:p>
          <w:p w:rsidR="00154773" w:rsidRPr="0053423A" w:rsidRDefault="00154773" w:rsidP="00154773">
            <w:pPr>
              <w:tabs>
                <w:tab w:val="left" w:pos="158"/>
                <w:tab w:val="left" w:pos="252"/>
                <w:tab w:val="left" w:pos="394"/>
                <w:tab w:val="left" w:pos="5670"/>
                <w:tab w:val="left" w:pos="5812"/>
              </w:tabs>
              <w:contextualSpacing/>
              <w:jc w:val="both"/>
              <w:rPr>
                <w:rFonts w:eastAsia="Calibri" w:cs="GHEA Grapalat"/>
                <w:color w:val="000000"/>
                <w:sz w:val="20"/>
                <w:szCs w:val="20"/>
                <w:lang w:val="af-ZA"/>
              </w:rPr>
            </w:pPr>
            <w:r w:rsidRPr="0053423A">
              <w:rPr>
                <w:rFonts w:eastAsia="Calibri" w:cs="GHEA Grapalat"/>
                <w:color w:val="000000"/>
                <w:sz w:val="20"/>
                <w:szCs w:val="20"/>
                <w:lang w:val="hy-AM"/>
              </w:rPr>
              <w:tab/>
              <w:t>ՀՀ գյուղատնտեսության ոլորտի ներկայիս</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ցածր մակարդակը պայմանավորված է հիմնականում համապատասխան կադրերի բացակայությամբ, գյուղացիական տնտեսվարողների ժամանակակից մասնագիտական գիտելիքների և գործնական հմտությունների պակասով:</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Իսկ</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գյուղատնտեսության</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վարման</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համար</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բնակլիմայական</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ոչ</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նպաստավոր</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պայմաններում</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էլ</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ավելի</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է</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կարևորվում</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գյուղատնտեսության</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վարման</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կիրառական</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գիտելիքների</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գործնական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հմտությունների</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ձեռքբերման</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և</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արտադրության</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մեջ</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ժամանակակից</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տեխնոլոգիական</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միջոցների</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արդյունավետ</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ներդրման</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անհրաժեշտությունը</w:t>
            </w:r>
            <w:r w:rsidRPr="0053423A">
              <w:rPr>
                <w:rFonts w:eastAsia="Calibri" w:cs="GHEA Grapalat"/>
                <w:color w:val="000000"/>
                <w:sz w:val="20"/>
                <w:szCs w:val="20"/>
                <w:lang w:val="af-ZA"/>
              </w:rPr>
              <w:t>:</w:t>
            </w:r>
          </w:p>
          <w:p w:rsidR="00154773" w:rsidRPr="0053423A" w:rsidRDefault="00154773" w:rsidP="00154773">
            <w:pPr>
              <w:tabs>
                <w:tab w:val="left" w:pos="158"/>
                <w:tab w:val="left" w:pos="252"/>
                <w:tab w:val="left" w:pos="394"/>
                <w:tab w:val="left" w:pos="5670"/>
                <w:tab w:val="left" w:pos="5812"/>
              </w:tabs>
              <w:contextualSpacing/>
              <w:jc w:val="both"/>
              <w:rPr>
                <w:rFonts w:eastAsia="Calibri" w:cs="GHEA Grapalat"/>
                <w:color w:val="000000"/>
                <w:sz w:val="20"/>
                <w:szCs w:val="20"/>
                <w:lang w:val="af-ZA"/>
              </w:rPr>
            </w:pPr>
          </w:p>
          <w:p w:rsidR="00154773" w:rsidRPr="0053423A" w:rsidRDefault="00154773" w:rsidP="00154773">
            <w:pPr>
              <w:ind w:left="360"/>
              <w:jc w:val="both"/>
              <w:rPr>
                <w:rFonts w:eastAsia="Times New Roman" w:cs="Times New Roman"/>
                <w:b/>
                <w:sz w:val="20"/>
                <w:szCs w:val="20"/>
                <w:lang w:val="af-ZA"/>
              </w:rPr>
            </w:pPr>
            <w:r w:rsidRPr="0053423A">
              <w:rPr>
                <w:rFonts w:eastAsia="Times New Roman" w:cs="Times New Roman"/>
                <w:b/>
                <w:sz w:val="20"/>
                <w:szCs w:val="20"/>
                <w:lang w:val="af-ZA"/>
              </w:rPr>
              <w:t>1.1.</w:t>
            </w:r>
            <w:r w:rsidRPr="0053423A">
              <w:rPr>
                <w:rFonts w:eastAsia="Times New Roman" w:cs="Courier New"/>
                <w:b/>
                <w:sz w:val="20"/>
                <w:szCs w:val="20"/>
                <w:lang w:val="af-ZA"/>
              </w:rPr>
              <w:t xml:space="preserve"> </w:t>
            </w:r>
            <w:r w:rsidRPr="0053423A">
              <w:rPr>
                <w:rFonts w:eastAsia="Times New Roman" w:cs="Times New Roman"/>
                <w:b/>
                <w:sz w:val="20"/>
                <w:szCs w:val="20"/>
              </w:rPr>
              <w:t>կ</w:t>
            </w:r>
            <w:r w:rsidRPr="0053423A">
              <w:rPr>
                <w:rFonts w:eastAsia="Times New Roman" w:cs="Times New Roman"/>
                <w:b/>
                <w:sz w:val="20"/>
                <w:szCs w:val="20"/>
                <w:lang w:val="hy-AM"/>
              </w:rPr>
              <w:t>արգավորման հարաբերությունների ներկա վիճակը և առկա խնդիրները</w:t>
            </w:r>
            <w:r w:rsidRPr="0053423A">
              <w:rPr>
                <w:rFonts w:eastAsia="Times New Roman" w:cs="Times New Roman"/>
                <w:b/>
                <w:sz w:val="20"/>
                <w:szCs w:val="20"/>
                <w:lang w:val="af-ZA"/>
              </w:rPr>
              <w:t>.</w:t>
            </w:r>
          </w:p>
          <w:p w:rsidR="00154773" w:rsidRPr="0053423A" w:rsidRDefault="00154773" w:rsidP="00154773">
            <w:pPr>
              <w:ind w:left="720"/>
              <w:contextualSpacing/>
              <w:jc w:val="both"/>
              <w:rPr>
                <w:rFonts w:eastAsia="Times New Roman" w:cs="Times New Roman"/>
                <w:b/>
                <w:sz w:val="20"/>
                <w:szCs w:val="20"/>
                <w:lang w:val="af-ZA"/>
              </w:rPr>
            </w:pPr>
          </w:p>
          <w:p w:rsidR="00154773" w:rsidRPr="0053423A" w:rsidRDefault="00154773" w:rsidP="00154773">
            <w:pPr>
              <w:ind w:left="142"/>
              <w:jc w:val="both"/>
              <w:rPr>
                <w:sz w:val="20"/>
                <w:szCs w:val="20"/>
                <w:lang w:val="af-ZA"/>
              </w:rPr>
            </w:pPr>
            <w:r w:rsidRPr="0053423A">
              <w:rPr>
                <w:sz w:val="20"/>
                <w:szCs w:val="20"/>
              </w:rPr>
              <w:t>Ներկայումսբ</w:t>
            </w:r>
            <w:r w:rsidRPr="0053423A">
              <w:rPr>
                <w:sz w:val="20"/>
                <w:szCs w:val="20"/>
                <w:lang w:val="hy-AM"/>
              </w:rPr>
              <w:t>ոլոր առանցքային փաստաթղթերումգյուղատնտեսության ոլորտի զարգացումը սահմանված է որպես Հայաստանի Հանրապետության հետագա տնտեսական զարգացման գերակա ոլորտ:</w:t>
            </w:r>
            <w:r w:rsidRPr="0053423A">
              <w:rPr>
                <w:sz w:val="20"/>
                <w:szCs w:val="20"/>
              </w:rPr>
              <w:t>ՀայաստանիՀանրապետությանգյուղատնտեսությանզարգացմաններկայիսփուլումառանձնակիէկարևորվումգյուղատնտեսականարտադրությանհմտություններինևագրարայինոլորտումկիրառվողարդիականտեխնոլոգիաներինտիրապետողմասնագետներիպատրաստումը</w:t>
            </w:r>
            <w:r w:rsidRPr="0053423A">
              <w:rPr>
                <w:sz w:val="20"/>
                <w:szCs w:val="20"/>
                <w:lang w:val="af-ZA"/>
              </w:rPr>
              <w:t xml:space="preserve">, </w:t>
            </w:r>
            <w:r w:rsidRPr="0053423A">
              <w:rPr>
                <w:sz w:val="20"/>
                <w:szCs w:val="20"/>
              </w:rPr>
              <w:t>վերջինիսգործընթացումմիջազգայինլավագույնփորձիօգտագործումըևմերհանրապետությանգյուղա</w:t>
            </w:r>
            <w:r w:rsidRPr="0053423A">
              <w:rPr>
                <w:sz w:val="20"/>
                <w:szCs w:val="20"/>
                <w:lang w:val="af-ZA"/>
              </w:rPr>
              <w:softHyphen/>
            </w:r>
            <w:r w:rsidRPr="0053423A">
              <w:rPr>
                <w:sz w:val="20"/>
                <w:szCs w:val="20"/>
              </w:rPr>
              <w:t>տնտեսությանառանձնահատկություններըհաշվիառնելով</w:t>
            </w:r>
            <w:r w:rsidRPr="0053423A">
              <w:rPr>
                <w:rFonts w:ascii="Courier New" w:hAnsi="Courier New" w:cs="Courier New"/>
                <w:sz w:val="20"/>
                <w:szCs w:val="20"/>
              </w:rPr>
              <w:t>`</w:t>
            </w:r>
            <w:r w:rsidRPr="0053423A">
              <w:rPr>
                <w:sz w:val="20"/>
                <w:szCs w:val="20"/>
              </w:rPr>
              <w:t>դրատեղայնացումը</w:t>
            </w:r>
            <w:r w:rsidRPr="0053423A">
              <w:rPr>
                <w:sz w:val="20"/>
                <w:szCs w:val="20"/>
                <w:lang w:val="af-ZA"/>
              </w:rPr>
              <w:t>:</w:t>
            </w:r>
          </w:p>
          <w:p w:rsidR="00154773" w:rsidRPr="0053423A" w:rsidRDefault="00154773" w:rsidP="00154773">
            <w:pPr>
              <w:tabs>
                <w:tab w:val="left" w:pos="158"/>
                <w:tab w:val="left" w:pos="252"/>
                <w:tab w:val="left" w:pos="394"/>
                <w:tab w:val="left" w:pos="5670"/>
                <w:tab w:val="left" w:pos="5812"/>
              </w:tabs>
              <w:ind w:left="142"/>
              <w:jc w:val="both"/>
              <w:rPr>
                <w:rFonts w:eastAsia="Calibri" w:cs="GHEA Grapalat"/>
                <w:color w:val="000000"/>
                <w:sz w:val="20"/>
                <w:szCs w:val="20"/>
                <w:lang w:val="af-ZA"/>
              </w:rPr>
            </w:pPr>
            <w:r w:rsidRPr="0053423A">
              <w:rPr>
                <w:rFonts w:eastAsia="Calibri" w:cs="GHEA Grapalat"/>
                <w:color w:val="000000"/>
                <w:sz w:val="20"/>
                <w:szCs w:val="20"/>
                <w:lang w:val="af-ZA"/>
              </w:rPr>
              <w:tab/>
            </w:r>
            <w:r w:rsidRPr="0053423A">
              <w:rPr>
                <w:rFonts w:eastAsia="Calibri" w:cs="GHEA Grapalat"/>
                <w:color w:val="000000"/>
                <w:sz w:val="20"/>
                <w:szCs w:val="20"/>
                <w:lang w:val="hy-AM"/>
              </w:rPr>
              <w:t xml:space="preserve">ՀՀ գյուղատնտեսության ոլորտի </w:t>
            </w:r>
            <w:r w:rsidRPr="0053423A">
              <w:rPr>
                <w:rFonts w:eastAsia="Calibri" w:cs="GHEA Grapalat"/>
                <w:color w:val="000000"/>
                <w:sz w:val="20"/>
                <w:szCs w:val="20"/>
              </w:rPr>
              <w:t>ներկայիս</w:t>
            </w:r>
            <w:r w:rsidRPr="0053423A">
              <w:rPr>
                <w:rFonts w:eastAsia="Calibri" w:cs="GHEA Grapalat"/>
                <w:color w:val="000000"/>
                <w:sz w:val="20"/>
                <w:szCs w:val="20"/>
                <w:lang w:val="hy-AM"/>
              </w:rPr>
              <w:t>ցածր մակարդակը պայմանավորված է հիմնականում համապատասխան կադրերի բացակայությամբ, գյուղացիական տնտեսվարողների ժամանակակից մասնագիտական գիտելիքների և գործնական հմտությունների պակասով:</w:t>
            </w:r>
            <w:r w:rsidRPr="0053423A">
              <w:rPr>
                <w:rFonts w:eastAsia="Calibri" w:cs="GHEA Grapalat"/>
                <w:color w:val="000000"/>
                <w:sz w:val="20"/>
                <w:szCs w:val="20"/>
              </w:rPr>
              <w:t>Իսկգյուղատնտեսությանվարմանհամարբնակլիմայականոչնպաստավորպայմաններումէլավելիէկարևորվումգյուղատնտեսությանվարմանկիրառականգիտելիքների</w:t>
            </w:r>
            <w:r w:rsidRPr="0053423A">
              <w:rPr>
                <w:rFonts w:eastAsia="Calibri" w:cs="GHEA Grapalat"/>
                <w:color w:val="000000"/>
                <w:sz w:val="20"/>
                <w:szCs w:val="20"/>
                <w:lang w:val="af-ZA"/>
              </w:rPr>
              <w:t xml:space="preserve">, </w:t>
            </w:r>
            <w:r w:rsidRPr="0053423A">
              <w:rPr>
                <w:rFonts w:eastAsia="Calibri" w:cs="GHEA Grapalat"/>
                <w:color w:val="000000"/>
                <w:sz w:val="20"/>
                <w:szCs w:val="20"/>
              </w:rPr>
              <w:t>գործնականհմտություններիձեռքբերմանևարտադրությանմեջժամանակակիցտեխնոլոգիականմիջոցներիարդյունավետներդրմանանհրաժեշտությունը</w:t>
            </w:r>
            <w:r w:rsidRPr="0053423A">
              <w:rPr>
                <w:rFonts w:eastAsia="Calibri" w:cs="GHEA Grapalat"/>
                <w:color w:val="000000"/>
                <w:sz w:val="20"/>
                <w:szCs w:val="20"/>
                <w:lang w:val="af-ZA"/>
              </w:rPr>
              <w:t>:</w:t>
            </w:r>
          </w:p>
          <w:p w:rsidR="00154773" w:rsidRPr="0053423A" w:rsidRDefault="00154773" w:rsidP="00154773">
            <w:pPr>
              <w:ind w:left="930"/>
              <w:contextualSpacing/>
              <w:rPr>
                <w:rFonts w:eastAsia="Times New Roman" w:cs="Times New Roman"/>
                <w:b/>
                <w:sz w:val="20"/>
                <w:szCs w:val="20"/>
                <w:lang w:val="af-ZA"/>
              </w:rPr>
            </w:pPr>
          </w:p>
          <w:p w:rsidR="00154773" w:rsidRPr="0053423A" w:rsidRDefault="00154773" w:rsidP="00154773">
            <w:pPr>
              <w:ind w:left="930"/>
              <w:contextualSpacing/>
              <w:rPr>
                <w:rFonts w:eastAsia="Times New Roman" w:cs="Times New Roman"/>
                <w:b/>
                <w:sz w:val="20"/>
                <w:szCs w:val="20"/>
                <w:lang w:val="af-ZA"/>
              </w:rPr>
            </w:pPr>
          </w:p>
          <w:p w:rsidR="00154773" w:rsidRPr="0053423A" w:rsidRDefault="00154773" w:rsidP="00154773">
            <w:pPr>
              <w:ind w:left="360" w:firstLine="90"/>
              <w:contextualSpacing/>
              <w:rPr>
                <w:rFonts w:eastAsia="Times New Roman" w:cs="Times New Roman"/>
                <w:b/>
                <w:sz w:val="20"/>
                <w:szCs w:val="20"/>
                <w:lang w:val="af-ZA"/>
              </w:rPr>
            </w:pPr>
            <w:r w:rsidRPr="0053423A">
              <w:rPr>
                <w:rFonts w:eastAsia="Times New Roman" w:cs="Times New Roman"/>
                <w:b/>
                <w:sz w:val="20"/>
                <w:szCs w:val="20"/>
                <w:lang w:val="af-ZA"/>
              </w:rPr>
              <w:t xml:space="preserve">1.2. </w:t>
            </w:r>
            <w:r w:rsidRPr="0053423A">
              <w:rPr>
                <w:rFonts w:eastAsia="Times New Roman" w:cs="Times New Roman"/>
                <w:b/>
                <w:sz w:val="20"/>
                <w:szCs w:val="20"/>
              </w:rPr>
              <w:t>ա</w:t>
            </w:r>
            <w:r w:rsidRPr="0053423A">
              <w:rPr>
                <w:rFonts w:eastAsia="Times New Roman" w:cs="Times New Roman"/>
                <w:b/>
                <w:sz w:val="20"/>
                <w:szCs w:val="20"/>
                <w:lang w:val="hy-AM"/>
              </w:rPr>
              <w:t>ռկա խնդիրների առաջարկվող լուծումները</w:t>
            </w:r>
          </w:p>
          <w:p w:rsidR="00154773" w:rsidRPr="0053423A" w:rsidRDefault="00154773" w:rsidP="00154773">
            <w:pPr>
              <w:ind w:left="765"/>
              <w:contextualSpacing/>
              <w:rPr>
                <w:rFonts w:eastAsia="Times New Roman" w:cs="Times New Roman"/>
                <w:b/>
                <w:sz w:val="20"/>
                <w:szCs w:val="20"/>
                <w:lang w:val="af-ZA"/>
              </w:rPr>
            </w:pPr>
          </w:p>
          <w:p w:rsidR="00154773" w:rsidRPr="0053423A" w:rsidRDefault="00154773" w:rsidP="00154773">
            <w:pPr>
              <w:jc w:val="both"/>
              <w:rPr>
                <w:b/>
                <w:sz w:val="20"/>
                <w:szCs w:val="20"/>
                <w:u w:val="single"/>
                <w:lang w:val="af-ZA"/>
              </w:rPr>
            </w:pPr>
          </w:p>
          <w:p w:rsidR="00154773" w:rsidRPr="0053423A" w:rsidRDefault="00154773" w:rsidP="00154773">
            <w:pPr>
              <w:ind w:firstLine="450"/>
              <w:jc w:val="both"/>
              <w:rPr>
                <w:rFonts w:eastAsia="Calibri" w:cs="Times New Roman"/>
                <w:sz w:val="20"/>
                <w:szCs w:val="20"/>
                <w:lang w:val="hy-AM"/>
              </w:rPr>
            </w:pPr>
            <w:r w:rsidRPr="0053423A">
              <w:rPr>
                <w:sz w:val="20"/>
                <w:szCs w:val="20"/>
              </w:rPr>
              <w:t>Կրթական</w:t>
            </w:r>
            <w:r w:rsidRPr="0053423A">
              <w:rPr>
                <w:sz w:val="20"/>
                <w:szCs w:val="20"/>
                <w:lang w:val="af-ZA"/>
              </w:rPr>
              <w:t xml:space="preserve"> </w:t>
            </w:r>
            <w:r w:rsidRPr="0053423A">
              <w:rPr>
                <w:sz w:val="20"/>
                <w:szCs w:val="20"/>
              </w:rPr>
              <w:t>հաստատությունների</w:t>
            </w:r>
            <w:r w:rsidRPr="0053423A">
              <w:rPr>
                <w:sz w:val="20"/>
                <w:szCs w:val="20"/>
                <w:lang w:val="af-ZA"/>
              </w:rPr>
              <w:t xml:space="preserve"> </w:t>
            </w:r>
            <w:r w:rsidRPr="0053423A">
              <w:rPr>
                <w:sz w:val="20"/>
                <w:szCs w:val="20"/>
              </w:rPr>
              <w:t>միավորում</w:t>
            </w:r>
            <w:r w:rsidRPr="0053423A">
              <w:rPr>
                <w:sz w:val="20"/>
                <w:szCs w:val="20"/>
                <w:lang w:val="af-ZA"/>
              </w:rPr>
              <w:t xml:space="preserve"> </w:t>
            </w:r>
            <w:r w:rsidRPr="0053423A">
              <w:rPr>
                <w:sz w:val="20"/>
                <w:szCs w:val="20"/>
              </w:rPr>
              <w:t>մեկ</w:t>
            </w:r>
            <w:r w:rsidRPr="0053423A">
              <w:rPr>
                <w:sz w:val="20"/>
                <w:szCs w:val="20"/>
                <w:lang w:val="af-ZA"/>
              </w:rPr>
              <w:t xml:space="preserve"> </w:t>
            </w:r>
            <w:r w:rsidRPr="0053423A">
              <w:rPr>
                <w:sz w:val="20"/>
                <w:szCs w:val="20"/>
              </w:rPr>
              <w:t>կենտրոնում</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նրանց</w:t>
            </w:r>
            <w:r w:rsidRPr="0053423A">
              <w:rPr>
                <w:sz w:val="20"/>
                <w:szCs w:val="20"/>
                <w:lang w:val="af-ZA"/>
              </w:rPr>
              <w:t xml:space="preserve"> </w:t>
            </w:r>
            <w:r w:rsidRPr="0053423A">
              <w:rPr>
                <w:sz w:val="20"/>
                <w:szCs w:val="20"/>
              </w:rPr>
              <w:t>ինտենսիվ</w:t>
            </w:r>
            <w:r w:rsidRPr="0053423A">
              <w:rPr>
                <w:sz w:val="20"/>
                <w:szCs w:val="20"/>
                <w:lang w:val="af-ZA"/>
              </w:rPr>
              <w:t xml:space="preserve"> </w:t>
            </w:r>
            <w:r w:rsidRPr="0053423A">
              <w:rPr>
                <w:sz w:val="20"/>
                <w:szCs w:val="20"/>
              </w:rPr>
              <w:t>համագործակցության</w:t>
            </w:r>
            <w:r w:rsidRPr="0053423A">
              <w:rPr>
                <w:sz w:val="20"/>
                <w:szCs w:val="20"/>
                <w:lang w:val="af-ZA"/>
              </w:rPr>
              <w:t xml:space="preserve"> </w:t>
            </w:r>
            <w:r w:rsidRPr="0053423A">
              <w:rPr>
                <w:sz w:val="20"/>
                <w:szCs w:val="20"/>
              </w:rPr>
              <w:t>հնարավորության</w:t>
            </w:r>
            <w:r w:rsidRPr="0053423A">
              <w:rPr>
                <w:sz w:val="20"/>
                <w:szCs w:val="20"/>
                <w:lang w:val="af-ZA"/>
              </w:rPr>
              <w:t xml:space="preserve"> </w:t>
            </w:r>
            <w:r w:rsidRPr="0053423A">
              <w:rPr>
                <w:sz w:val="20"/>
                <w:szCs w:val="20"/>
              </w:rPr>
              <w:t>ապահովում</w:t>
            </w:r>
            <w:r w:rsidRPr="0053423A">
              <w:rPr>
                <w:sz w:val="20"/>
                <w:szCs w:val="20"/>
                <w:lang w:val="af-ZA"/>
              </w:rPr>
              <w:t xml:space="preserve">, </w:t>
            </w:r>
            <w:r w:rsidRPr="0053423A">
              <w:rPr>
                <w:rFonts w:eastAsia="Calibri" w:cs="Times New Roman"/>
                <w:sz w:val="20"/>
                <w:szCs w:val="20"/>
                <w:lang w:val="hy-AM"/>
              </w:rPr>
              <w:t>Հայաստանի ազգային ագրարային համալսարանի Վանաձո</w:t>
            </w:r>
            <w:r w:rsidRPr="0053423A">
              <w:rPr>
                <w:rFonts w:eastAsia="Calibri" w:cs="Times New Roman"/>
                <w:sz w:val="20"/>
                <w:szCs w:val="20"/>
                <w:lang w:val="hy-AM"/>
              </w:rPr>
              <w:softHyphen/>
              <w:t>րի մասնաճյուղի, Ստեփանա</w:t>
            </w:r>
            <w:r w:rsidRPr="0053423A">
              <w:rPr>
                <w:rFonts w:eastAsia="Calibri" w:cs="Times New Roman"/>
                <w:sz w:val="20"/>
                <w:szCs w:val="20"/>
                <w:lang w:val="hy-AM"/>
              </w:rPr>
              <w:softHyphen/>
              <w:t>վանի և Գավառի ակադ. Ս. Թամամշևի անվան պետական գյուղատնտեսական քոլեջների, Ապարան համայնքի տարածքում վերանորոգված և վերազինված նոր ստեղծվող ուսումնական հաստատություններ:</w:t>
            </w:r>
          </w:p>
          <w:p w:rsidR="00154773" w:rsidRPr="0053423A" w:rsidRDefault="00154773" w:rsidP="00154773">
            <w:pPr>
              <w:shd w:val="clear" w:color="auto" w:fill="FFFFFF"/>
              <w:autoSpaceDE w:val="0"/>
              <w:autoSpaceDN w:val="0"/>
              <w:adjustRightInd w:val="0"/>
              <w:jc w:val="both"/>
              <w:rPr>
                <w:rFonts w:eastAsia="Times New Roman" w:cs="Times New Roman"/>
                <w:sz w:val="20"/>
                <w:szCs w:val="20"/>
                <w:lang w:val="hy-AM"/>
              </w:rPr>
            </w:pPr>
          </w:p>
          <w:p w:rsidR="00154773" w:rsidRPr="0053423A" w:rsidRDefault="00154773" w:rsidP="00154773">
            <w:pPr>
              <w:shd w:val="clear" w:color="auto" w:fill="FFFFFF"/>
              <w:autoSpaceDE w:val="0"/>
              <w:autoSpaceDN w:val="0"/>
              <w:adjustRightInd w:val="0"/>
              <w:jc w:val="both"/>
              <w:rPr>
                <w:rFonts w:eastAsia="Times New Roman" w:cs="Times New Roman"/>
                <w:sz w:val="20"/>
                <w:szCs w:val="20"/>
                <w:lang w:val="hy-AM"/>
              </w:rPr>
            </w:pPr>
          </w:p>
          <w:p w:rsidR="00154773" w:rsidRPr="0053423A" w:rsidRDefault="00154773" w:rsidP="00154773">
            <w:pPr>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shd w:val="clear" w:color="auto" w:fill="FFFFFF"/>
              <w:autoSpaceDE w:val="0"/>
              <w:autoSpaceDN w:val="0"/>
              <w:adjustRightInd w:val="0"/>
              <w:jc w:val="both"/>
              <w:rPr>
                <w:rFonts w:eastAsia="Times New Roman" w:cs="Times New Roman"/>
                <w:sz w:val="20"/>
                <w:szCs w:val="20"/>
                <w:lang w:val="hy-AM"/>
              </w:rPr>
            </w:pPr>
          </w:p>
          <w:p w:rsidR="00154773" w:rsidRPr="0053423A" w:rsidRDefault="00154773" w:rsidP="00154773">
            <w:pPr>
              <w:shd w:val="clear" w:color="auto" w:fill="FFFFFF"/>
              <w:autoSpaceDE w:val="0"/>
              <w:autoSpaceDN w:val="0"/>
              <w:adjustRightInd w:val="0"/>
              <w:jc w:val="both"/>
              <w:rPr>
                <w:rFonts w:eastAsia="Times New Roman" w:cs="Times New Roman"/>
                <w:sz w:val="20"/>
                <w:szCs w:val="20"/>
                <w:lang w:val="et-EE"/>
              </w:rPr>
            </w:pPr>
          </w:p>
          <w:p w:rsidR="00154773" w:rsidRPr="0053423A" w:rsidRDefault="00154773" w:rsidP="00154773">
            <w:pPr>
              <w:jc w:val="center"/>
              <w:rPr>
                <w:rFonts w:eastAsia="Times New Roman" w:cs="Times New Roman"/>
                <w:b/>
                <w:sz w:val="20"/>
                <w:szCs w:val="20"/>
                <w:lang w:val="hy-AM"/>
              </w:rPr>
            </w:pPr>
            <w:r w:rsidRPr="0053423A">
              <w:rPr>
                <w:rFonts w:eastAsia="Calibri" w:cs="Times New Roman"/>
                <w:sz w:val="20"/>
                <w:szCs w:val="20"/>
                <w:lang w:val="hy-AM"/>
              </w:rPr>
              <w:t>Միջոցառման իրականացման արդյունքում Հայաստանի ազգային ագրարային համալսարանի Վանաձո</w:t>
            </w:r>
            <w:r w:rsidRPr="0053423A">
              <w:rPr>
                <w:rFonts w:eastAsia="Calibri" w:cs="Times New Roman"/>
                <w:sz w:val="20"/>
                <w:szCs w:val="20"/>
                <w:lang w:val="hy-AM"/>
              </w:rPr>
              <w:softHyphen/>
              <w:t>րի մասնաճյուղի, Ստեփանա</w:t>
            </w:r>
            <w:r w:rsidRPr="0053423A">
              <w:rPr>
                <w:rFonts w:eastAsia="Calibri" w:cs="Times New Roman"/>
                <w:sz w:val="20"/>
                <w:szCs w:val="20"/>
                <w:lang w:val="hy-AM"/>
              </w:rPr>
              <w:softHyphen/>
              <w:t>վանի և Գավառի ակադ. Ս. Թամամշևի անվան պետական գյուղատնտեսական քոլեջների, Ապարան համայնքի տարածքում կստեղծվեն վերանորոգված և վերազինված նոր ուսումնական հաստատություններ, ինչը կնպաստի մասնագիտական բարձր գիտելիքների, բազմապրոֆիլ ենթակառուցվածքների ապահովմանը՝ մասնագիտական ուսումնական հաստատություններին որակյալ գործնական կրթություն տրամադրելու համար:</w:t>
            </w:r>
          </w:p>
        </w:tc>
      </w:tr>
      <w:tr w:rsidR="00154773" w:rsidRPr="00DE2EFA" w:rsidTr="00154773">
        <w:tc>
          <w:tcPr>
            <w:tcW w:w="720" w:type="dxa"/>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5</w:t>
            </w:r>
          </w:p>
        </w:tc>
        <w:tc>
          <w:tcPr>
            <w:tcW w:w="10620" w:type="dxa"/>
          </w:tcPr>
          <w:p w:rsidR="00154773" w:rsidRPr="0053423A" w:rsidRDefault="00154773" w:rsidP="00154773">
            <w:pPr>
              <w:spacing w:before="120" w:after="120"/>
              <w:jc w:val="center"/>
              <w:rPr>
                <w:rFonts w:eastAsia="Times New Roman" w:cs="Times New Roman"/>
                <w:b/>
                <w:sz w:val="20"/>
                <w:szCs w:val="20"/>
                <w:highlight w:val="yellow"/>
                <w:u w:val="single"/>
                <w:lang w:val="hy-AM"/>
              </w:rPr>
            </w:pPr>
            <w:r w:rsidRPr="0053423A">
              <w:rPr>
                <w:rFonts w:eastAsia="Times New Roman" w:cs="Times New Roman"/>
                <w:b/>
                <w:sz w:val="20"/>
                <w:szCs w:val="20"/>
                <w:u w:val="single"/>
                <w:lang w:val="hy-AM"/>
              </w:rPr>
              <w:t xml:space="preserve">5.1 Նախնական մասնագիտական (արհեստագործական) և միջին մասնագիտական կրթություն իրականացնող ուսումնական </w:t>
            </w:r>
            <w:r w:rsidRPr="0053423A">
              <w:rPr>
                <w:rFonts w:eastAsia="Times New Roman" w:cs="Sylfaen"/>
                <w:b/>
                <w:sz w:val="20"/>
                <w:szCs w:val="20"/>
                <w:u w:val="single"/>
                <w:lang w:val="hy-AM"/>
              </w:rPr>
              <w:t>հ</w:t>
            </w:r>
            <w:r w:rsidRPr="0053423A">
              <w:rPr>
                <w:rFonts w:eastAsia="Times New Roman" w:cs="Times New Roman"/>
                <w:b/>
                <w:sz w:val="20"/>
                <w:szCs w:val="20"/>
                <w:u w:val="single"/>
                <w:lang w:val="hy-AM"/>
              </w:rPr>
              <w:t>աստատություններում արտաբյուջեի ձևավորումը, հաստատության ձեռնարկությունում ուսանողների համար պրակտիկ ուսուցման կազմակերպումը խթանելու նպատակով՝ հաստատություններ</w:t>
            </w:r>
            <w:r w:rsidRPr="0053423A">
              <w:rPr>
                <w:b/>
                <w:sz w:val="20"/>
                <w:szCs w:val="20"/>
                <w:u w:val="single"/>
                <w:lang w:val="hy-AM"/>
              </w:rPr>
              <w:t>ի ձեռնարկատիրական գործունեության հնարավորությունների և ձևերի ընդլայնման մեխանիզմների ուսումնասիրություն</w:t>
            </w:r>
          </w:p>
          <w:p w:rsidR="00154773" w:rsidRPr="0053423A" w:rsidRDefault="00154773" w:rsidP="00154773">
            <w:pPr>
              <w:tabs>
                <w:tab w:val="left" w:pos="1485"/>
              </w:tabs>
              <w:rPr>
                <w:b/>
                <w:sz w:val="20"/>
                <w:szCs w:val="20"/>
                <w:lang w:val="hy-AM"/>
              </w:rPr>
            </w:pPr>
          </w:p>
          <w:p w:rsidR="00154773" w:rsidRPr="0053423A" w:rsidRDefault="00154773" w:rsidP="001F6D5D">
            <w:pPr>
              <w:numPr>
                <w:ilvl w:val="0"/>
                <w:numId w:val="467"/>
              </w:numPr>
              <w:contextualSpacing/>
              <w:rPr>
                <w:rFonts w:eastAsia="Times New Roman" w:cs="Times New Roman"/>
                <w:b/>
                <w:sz w:val="20"/>
                <w:szCs w:val="20"/>
              </w:rPr>
            </w:pPr>
            <w:r w:rsidRPr="0053423A">
              <w:rPr>
                <w:rFonts w:eastAsia="Times New Roman" w:cs="Times New Roman"/>
                <w:b/>
                <w:sz w:val="20"/>
                <w:szCs w:val="20"/>
                <w:lang w:val="hy-AM"/>
              </w:rPr>
              <w:t>Միջոցառման իրականացման անհրաժեշտությունը և նպատակը</w:t>
            </w:r>
          </w:p>
          <w:p w:rsidR="00154773" w:rsidRPr="0053423A" w:rsidRDefault="00154773" w:rsidP="00154773">
            <w:pPr>
              <w:ind w:left="1087"/>
              <w:contextualSpacing/>
              <w:rPr>
                <w:rFonts w:eastAsia="Calibri" w:cs="Times New Roman"/>
                <w:b/>
                <w:sz w:val="20"/>
                <w:szCs w:val="20"/>
                <w:u w:val="single"/>
              </w:rPr>
            </w:pPr>
          </w:p>
          <w:p w:rsidR="00154773" w:rsidRPr="0053423A" w:rsidRDefault="00154773" w:rsidP="00154773">
            <w:pPr>
              <w:shd w:val="clear" w:color="auto" w:fill="FFFFFF"/>
              <w:ind w:firstLine="360"/>
              <w:jc w:val="both"/>
              <w:textAlignment w:val="baseline"/>
              <w:rPr>
                <w:spacing w:val="-4"/>
                <w:sz w:val="20"/>
                <w:szCs w:val="20"/>
              </w:rPr>
            </w:pPr>
            <w:r w:rsidRPr="0053423A">
              <w:rPr>
                <w:spacing w:val="-4"/>
                <w:sz w:val="20"/>
                <w:szCs w:val="20"/>
              </w:rPr>
              <w:t xml:space="preserve"> Միջոցառման գլխավոր նպատակն է  կրթության համակարգի կառավարման արդյունավետության բարձրացումը: </w:t>
            </w:r>
          </w:p>
          <w:p w:rsidR="00154773" w:rsidRPr="0053423A" w:rsidRDefault="00154773" w:rsidP="00154773">
            <w:pPr>
              <w:ind w:firstLine="450"/>
              <w:jc w:val="both"/>
              <w:rPr>
                <w:b/>
                <w:sz w:val="20"/>
                <w:szCs w:val="20"/>
                <w:u w:val="single"/>
                <w:lang w:val="hy-AM"/>
              </w:rPr>
            </w:pPr>
            <w:r w:rsidRPr="0053423A">
              <w:rPr>
                <w:spacing w:val="-4"/>
                <w:sz w:val="20"/>
                <w:szCs w:val="20"/>
              </w:rPr>
              <w:t xml:space="preserve">Միջոցառման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rPr>
              <w:t>«</w:t>
            </w:r>
            <w:r w:rsidRPr="0053423A">
              <w:rPr>
                <w:spacing w:val="-4"/>
                <w:sz w:val="20"/>
                <w:szCs w:val="20"/>
              </w:rPr>
              <w:t>4.4 ԿՐԹՈՒԹՅՈՒՆ ԵՎ ԳԻՏՈՒԹՅՈՒՆ</w:t>
            </w:r>
            <w:r w:rsidRPr="0053423A">
              <w:rPr>
                <w:rFonts w:eastAsia="Times New Roman" w:cs="Times New Roman"/>
                <w:sz w:val="20"/>
                <w:szCs w:val="20"/>
              </w:rPr>
              <w:t xml:space="preserve">»  </w:t>
            </w:r>
            <w:r w:rsidRPr="0053423A">
              <w:rPr>
                <w:rFonts w:eastAsia="Calibri" w:cs="Sylfaen"/>
                <w:sz w:val="20"/>
                <w:szCs w:val="20"/>
                <w:lang w:val="hy-AM"/>
              </w:rPr>
              <w:t>բաժնի</w:t>
            </w:r>
            <w:r w:rsidRPr="0053423A">
              <w:rPr>
                <w:rFonts w:eastAsia="Calibri" w:cs="Sylfaen"/>
                <w:sz w:val="20"/>
                <w:szCs w:val="20"/>
              </w:rPr>
              <w:t xml:space="preserve"> </w:t>
            </w:r>
            <w:r w:rsidRPr="0053423A">
              <w:rPr>
                <w:rFonts w:cs="Arial"/>
                <w:color w:val="000000"/>
                <w:sz w:val="20"/>
                <w:szCs w:val="20"/>
                <w:lang w:val="af-ZA"/>
              </w:rPr>
              <w:t xml:space="preserve">5-րդ պարբերությունից, </w:t>
            </w:r>
            <w:r w:rsidRPr="0053423A">
              <w:rPr>
                <w:sz w:val="20"/>
                <w:szCs w:val="20"/>
                <w:lang w:val="hy-AM"/>
              </w:rPr>
              <w:t xml:space="preserve">«Նախնական մասնագիտական (արհեստագործական) և միջին մասնագիտական կրթության մասին» ՀՀ օրենքի </w:t>
            </w:r>
            <w:r w:rsidRPr="0053423A">
              <w:rPr>
                <w:sz w:val="20"/>
                <w:szCs w:val="20"/>
                <w:lang w:val="af-ZA"/>
              </w:rPr>
              <w:t>24-</w:t>
            </w:r>
            <w:r w:rsidRPr="0053423A">
              <w:rPr>
                <w:sz w:val="20"/>
                <w:szCs w:val="20"/>
                <w:lang w:val="hy-AM"/>
              </w:rPr>
              <w:t>րդ հոդվածի 3-րդ կետի 1-ին ենթակետ</w:t>
            </w:r>
            <w:r w:rsidRPr="0053423A">
              <w:rPr>
                <w:sz w:val="20"/>
                <w:szCs w:val="20"/>
              </w:rPr>
              <w:t>ից</w:t>
            </w:r>
            <w:r w:rsidRPr="0053423A">
              <w:rPr>
                <w:sz w:val="20"/>
                <w:szCs w:val="20"/>
                <w:lang w:val="hy-AM"/>
              </w:rPr>
              <w:t>:</w:t>
            </w:r>
          </w:p>
          <w:p w:rsidR="00154773" w:rsidRPr="0053423A" w:rsidRDefault="00154773" w:rsidP="00154773">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 w:firstLine="284"/>
              <w:jc w:val="both"/>
              <w:rPr>
                <w:color w:val="000000"/>
                <w:sz w:val="20"/>
                <w:szCs w:val="20"/>
                <w:lang w:val="hy-AM" w:eastAsia="ru-RU"/>
              </w:rPr>
            </w:pPr>
            <w:r w:rsidRPr="0053423A">
              <w:rPr>
                <w:rFonts w:cs="Sylfaen"/>
                <w:color w:val="000000"/>
                <w:sz w:val="20"/>
                <w:szCs w:val="20"/>
                <w:lang w:eastAsia="ru-RU"/>
              </w:rPr>
              <w:tab/>
            </w:r>
            <w:r w:rsidRPr="0053423A">
              <w:rPr>
                <w:rFonts w:cs="Sylfaen"/>
                <w:color w:val="000000"/>
                <w:sz w:val="20"/>
                <w:szCs w:val="20"/>
                <w:lang w:val="hy-AM" w:eastAsia="ru-RU"/>
              </w:rPr>
              <w:t>Ներկայիս</w:t>
            </w:r>
            <w:r w:rsidRPr="0053423A">
              <w:rPr>
                <w:color w:val="000000"/>
                <w:sz w:val="20"/>
                <w:szCs w:val="20"/>
                <w:lang w:val="hy-AM" w:eastAsia="ru-RU"/>
              </w:rPr>
              <w:t xml:space="preserve"> </w:t>
            </w:r>
            <w:r w:rsidRPr="0053423A">
              <w:rPr>
                <w:rFonts w:cs="Sylfaen"/>
                <w:color w:val="000000"/>
                <w:sz w:val="20"/>
                <w:szCs w:val="20"/>
                <w:lang w:val="hy-AM" w:eastAsia="ru-RU"/>
              </w:rPr>
              <w:t>գործարար</w:t>
            </w:r>
            <w:r w:rsidRPr="0053423A">
              <w:rPr>
                <w:color w:val="000000"/>
                <w:sz w:val="20"/>
                <w:szCs w:val="20"/>
                <w:lang w:val="hy-AM" w:eastAsia="ru-RU"/>
              </w:rPr>
              <w:t xml:space="preserve"> </w:t>
            </w:r>
            <w:r w:rsidRPr="0053423A">
              <w:rPr>
                <w:rFonts w:cs="Sylfaen"/>
                <w:color w:val="000000"/>
                <w:sz w:val="20"/>
                <w:szCs w:val="20"/>
                <w:lang w:val="hy-AM" w:eastAsia="ru-RU"/>
              </w:rPr>
              <w:t>միջավայրը</w:t>
            </w:r>
            <w:r w:rsidRPr="0053423A">
              <w:rPr>
                <w:color w:val="000000"/>
                <w:sz w:val="20"/>
                <w:szCs w:val="20"/>
                <w:lang w:val="hy-AM" w:eastAsia="ru-RU"/>
              </w:rPr>
              <w:t xml:space="preserve">, </w:t>
            </w:r>
            <w:r w:rsidRPr="0053423A">
              <w:rPr>
                <w:rFonts w:cs="Sylfaen"/>
                <w:color w:val="000000"/>
                <w:sz w:val="20"/>
                <w:szCs w:val="20"/>
                <w:lang w:val="hy-AM" w:eastAsia="ru-RU"/>
              </w:rPr>
              <w:t>որում</w:t>
            </w:r>
            <w:r w:rsidRPr="0053423A">
              <w:rPr>
                <w:color w:val="000000"/>
                <w:sz w:val="20"/>
                <w:szCs w:val="20"/>
                <w:lang w:val="hy-AM" w:eastAsia="ru-RU"/>
              </w:rPr>
              <w:t xml:space="preserve"> </w:t>
            </w:r>
            <w:r w:rsidRPr="0053423A">
              <w:rPr>
                <w:rFonts w:cs="Sylfaen"/>
                <w:color w:val="000000"/>
                <w:sz w:val="20"/>
                <w:szCs w:val="20"/>
                <w:lang w:val="hy-AM" w:eastAsia="ru-RU"/>
              </w:rPr>
              <w:t>գործում</w:t>
            </w:r>
            <w:r w:rsidRPr="0053423A">
              <w:rPr>
                <w:color w:val="000000"/>
                <w:sz w:val="20"/>
                <w:szCs w:val="20"/>
                <w:lang w:val="hy-AM" w:eastAsia="ru-RU"/>
              </w:rPr>
              <w:t xml:space="preserve"> </w:t>
            </w:r>
            <w:r w:rsidRPr="0053423A">
              <w:rPr>
                <w:rFonts w:cs="Sylfaen"/>
                <w:color w:val="000000"/>
                <w:sz w:val="20"/>
                <w:szCs w:val="20"/>
                <w:lang w:val="hy-AM" w:eastAsia="ru-RU"/>
              </w:rPr>
              <w:t>են</w:t>
            </w:r>
            <w:r w:rsidRPr="0053423A">
              <w:rPr>
                <w:color w:val="000000"/>
                <w:sz w:val="20"/>
                <w:szCs w:val="20"/>
                <w:lang w:val="hy-AM" w:eastAsia="ru-RU"/>
              </w:rPr>
              <w:t xml:space="preserve"> կազմակերպություննե</w:t>
            </w:r>
            <w:r w:rsidRPr="0053423A">
              <w:rPr>
                <w:rFonts w:cs="Sylfaen"/>
                <w:color w:val="000000"/>
                <w:sz w:val="20"/>
                <w:szCs w:val="20"/>
                <w:lang w:val="hy-AM" w:eastAsia="ru-RU"/>
              </w:rPr>
              <w:t>րը</w:t>
            </w:r>
            <w:r w:rsidRPr="0053423A">
              <w:rPr>
                <w:color w:val="000000"/>
                <w:sz w:val="20"/>
                <w:szCs w:val="20"/>
                <w:lang w:val="hy-AM" w:eastAsia="ru-RU"/>
              </w:rPr>
              <w:t xml:space="preserve">, </w:t>
            </w:r>
            <w:r w:rsidRPr="0053423A">
              <w:rPr>
                <w:rFonts w:cs="Sylfaen"/>
                <w:color w:val="000000"/>
                <w:sz w:val="20"/>
                <w:szCs w:val="20"/>
                <w:lang w:val="hy-AM" w:eastAsia="ru-RU"/>
              </w:rPr>
              <w:t>պահանջում</w:t>
            </w:r>
            <w:r w:rsidRPr="0053423A">
              <w:rPr>
                <w:color w:val="000000"/>
                <w:sz w:val="20"/>
                <w:szCs w:val="20"/>
                <w:lang w:val="hy-AM" w:eastAsia="ru-RU"/>
              </w:rPr>
              <w:t xml:space="preserve"> </w:t>
            </w:r>
            <w:r w:rsidRPr="0053423A">
              <w:rPr>
                <w:rFonts w:cs="Sylfaen"/>
                <w:color w:val="000000"/>
                <w:sz w:val="20"/>
                <w:szCs w:val="20"/>
                <w:lang w:val="hy-AM" w:eastAsia="ru-RU"/>
              </w:rPr>
              <w:t>է</w:t>
            </w:r>
            <w:r w:rsidRPr="0053423A">
              <w:rPr>
                <w:color w:val="000000"/>
                <w:sz w:val="20"/>
                <w:szCs w:val="20"/>
                <w:lang w:val="hy-AM" w:eastAsia="ru-RU"/>
              </w:rPr>
              <w:t xml:space="preserve"> </w:t>
            </w:r>
            <w:r w:rsidRPr="0053423A">
              <w:rPr>
                <w:rFonts w:cs="Sylfaen"/>
                <w:color w:val="000000"/>
                <w:sz w:val="20"/>
                <w:szCs w:val="20"/>
                <w:lang w:val="hy-AM" w:eastAsia="ru-RU"/>
              </w:rPr>
              <w:t>արագ</w:t>
            </w:r>
            <w:r w:rsidRPr="0053423A">
              <w:rPr>
                <w:color w:val="000000"/>
                <w:sz w:val="20"/>
                <w:szCs w:val="20"/>
                <w:lang w:val="hy-AM" w:eastAsia="ru-RU"/>
              </w:rPr>
              <w:t xml:space="preserve"> </w:t>
            </w:r>
            <w:r w:rsidRPr="0053423A">
              <w:rPr>
                <w:rFonts w:cs="Sylfaen"/>
                <w:color w:val="000000"/>
                <w:sz w:val="20"/>
                <w:szCs w:val="20"/>
                <w:lang w:val="hy-AM" w:eastAsia="ru-RU"/>
              </w:rPr>
              <w:t>փոփոխություններ</w:t>
            </w:r>
            <w:r w:rsidRPr="0053423A">
              <w:rPr>
                <w:color w:val="000000"/>
                <w:sz w:val="20"/>
                <w:szCs w:val="20"/>
                <w:lang w:val="hy-AM" w:eastAsia="ru-RU"/>
              </w:rPr>
              <w:t xml:space="preserve"> </w:t>
            </w:r>
            <w:r w:rsidRPr="0053423A">
              <w:rPr>
                <w:rFonts w:cs="Sylfaen"/>
                <w:color w:val="000000"/>
                <w:sz w:val="20"/>
                <w:szCs w:val="20"/>
                <w:lang w:val="hy-AM" w:eastAsia="ru-RU"/>
              </w:rPr>
              <w:t>և</w:t>
            </w:r>
            <w:r w:rsidRPr="0053423A">
              <w:rPr>
                <w:color w:val="000000"/>
                <w:sz w:val="20"/>
                <w:szCs w:val="20"/>
                <w:lang w:val="hy-AM" w:eastAsia="ru-RU"/>
              </w:rPr>
              <w:t xml:space="preserve"> </w:t>
            </w:r>
            <w:r w:rsidRPr="0053423A">
              <w:rPr>
                <w:rFonts w:cs="Sylfaen"/>
                <w:color w:val="000000"/>
                <w:sz w:val="20"/>
                <w:szCs w:val="20"/>
                <w:lang w:val="hy-AM" w:eastAsia="ru-RU"/>
              </w:rPr>
              <w:t>շարունակական</w:t>
            </w:r>
            <w:r w:rsidRPr="0053423A">
              <w:rPr>
                <w:color w:val="000000"/>
                <w:sz w:val="20"/>
                <w:szCs w:val="20"/>
                <w:lang w:val="hy-AM" w:eastAsia="ru-RU"/>
              </w:rPr>
              <w:t xml:space="preserve"> </w:t>
            </w:r>
            <w:r w:rsidRPr="0053423A">
              <w:rPr>
                <w:rFonts w:cs="Sylfaen"/>
                <w:color w:val="000000"/>
                <w:sz w:val="20"/>
                <w:szCs w:val="20"/>
                <w:lang w:val="hy-AM" w:eastAsia="ru-RU"/>
              </w:rPr>
              <w:t>զարգացում</w:t>
            </w:r>
            <w:r w:rsidRPr="0053423A">
              <w:rPr>
                <w:color w:val="000000"/>
                <w:sz w:val="20"/>
                <w:szCs w:val="20"/>
                <w:lang w:val="hy-AM" w:eastAsia="ru-RU"/>
              </w:rPr>
              <w:t xml:space="preserve">: </w:t>
            </w:r>
            <w:r w:rsidRPr="0053423A">
              <w:rPr>
                <w:rFonts w:cs="Sylfaen"/>
                <w:color w:val="000000"/>
                <w:sz w:val="20"/>
                <w:szCs w:val="20"/>
                <w:lang w:val="hy-AM" w:eastAsia="ru-RU"/>
              </w:rPr>
              <w:t>Այս</w:t>
            </w:r>
            <w:r w:rsidRPr="0053423A">
              <w:rPr>
                <w:color w:val="000000"/>
                <w:sz w:val="20"/>
                <w:szCs w:val="20"/>
                <w:lang w:val="hy-AM" w:eastAsia="ru-RU"/>
              </w:rPr>
              <w:t xml:space="preserve"> </w:t>
            </w:r>
            <w:r w:rsidRPr="0053423A">
              <w:rPr>
                <w:rFonts w:cs="Sylfaen"/>
                <w:color w:val="000000"/>
                <w:sz w:val="20"/>
                <w:szCs w:val="20"/>
                <w:lang w:val="hy-AM" w:eastAsia="ru-RU"/>
              </w:rPr>
              <w:t>դինամիկ</w:t>
            </w:r>
            <w:r w:rsidRPr="0053423A">
              <w:rPr>
                <w:color w:val="000000"/>
                <w:sz w:val="20"/>
                <w:szCs w:val="20"/>
                <w:lang w:val="hy-AM" w:eastAsia="ru-RU"/>
              </w:rPr>
              <w:t xml:space="preserve"> </w:t>
            </w:r>
            <w:r w:rsidRPr="0053423A">
              <w:rPr>
                <w:rFonts w:cs="Sylfaen"/>
                <w:color w:val="000000"/>
                <w:sz w:val="20"/>
                <w:szCs w:val="20"/>
                <w:lang w:val="hy-AM" w:eastAsia="ru-RU"/>
              </w:rPr>
              <w:t>և</w:t>
            </w:r>
            <w:r w:rsidRPr="0053423A">
              <w:rPr>
                <w:color w:val="000000"/>
                <w:sz w:val="20"/>
                <w:szCs w:val="20"/>
                <w:lang w:val="hy-AM" w:eastAsia="ru-RU"/>
              </w:rPr>
              <w:t xml:space="preserve"> </w:t>
            </w:r>
            <w:r w:rsidRPr="0053423A">
              <w:rPr>
                <w:rFonts w:cs="Sylfaen"/>
                <w:color w:val="000000"/>
                <w:sz w:val="20"/>
                <w:szCs w:val="20"/>
                <w:lang w:val="hy-AM" w:eastAsia="ru-RU"/>
              </w:rPr>
              <w:t>անկանխատեսելի</w:t>
            </w:r>
            <w:r w:rsidRPr="0053423A">
              <w:rPr>
                <w:color w:val="000000"/>
                <w:sz w:val="20"/>
                <w:szCs w:val="20"/>
                <w:lang w:val="hy-AM" w:eastAsia="ru-RU"/>
              </w:rPr>
              <w:t xml:space="preserve"> </w:t>
            </w:r>
            <w:r w:rsidRPr="0053423A">
              <w:rPr>
                <w:rFonts w:cs="Sylfaen"/>
                <w:color w:val="000000"/>
                <w:sz w:val="20"/>
                <w:szCs w:val="20"/>
                <w:lang w:val="hy-AM" w:eastAsia="ru-RU"/>
              </w:rPr>
              <w:t>միջավայրում</w:t>
            </w:r>
            <w:r w:rsidRPr="0053423A">
              <w:rPr>
                <w:color w:val="000000"/>
                <w:sz w:val="20"/>
                <w:szCs w:val="20"/>
                <w:lang w:val="hy-AM" w:eastAsia="ru-RU"/>
              </w:rPr>
              <w:t xml:space="preserve"> </w:t>
            </w:r>
            <w:r w:rsidRPr="0053423A">
              <w:rPr>
                <w:rFonts w:cs="Sylfaen"/>
                <w:color w:val="000000"/>
                <w:sz w:val="20"/>
                <w:szCs w:val="20"/>
                <w:lang w:val="hy-AM" w:eastAsia="ru-RU"/>
              </w:rPr>
              <w:t>ձեռնարկատիրությունն</w:t>
            </w:r>
            <w:r w:rsidRPr="0053423A">
              <w:rPr>
                <w:color w:val="000000"/>
                <w:sz w:val="20"/>
                <w:szCs w:val="20"/>
                <w:lang w:val="hy-AM" w:eastAsia="ru-RU"/>
              </w:rPr>
              <w:t xml:space="preserve"> </w:t>
            </w:r>
            <w:r w:rsidRPr="0053423A">
              <w:rPr>
                <w:rFonts w:cs="Sylfaen"/>
                <w:color w:val="000000"/>
                <w:sz w:val="20"/>
                <w:szCs w:val="20"/>
                <w:lang w:val="hy-AM" w:eastAsia="ru-RU"/>
              </w:rPr>
              <w:t>ու</w:t>
            </w:r>
            <w:r w:rsidRPr="0053423A">
              <w:rPr>
                <w:color w:val="000000"/>
                <w:sz w:val="20"/>
                <w:szCs w:val="20"/>
                <w:lang w:val="hy-AM" w:eastAsia="ru-RU"/>
              </w:rPr>
              <w:t xml:space="preserve"> </w:t>
            </w:r>
            <w:r w:rsidRPr="0053423A">
              <w:rPr>
                <w:rFonts w:cs="Sylfaen"/>
                <w:color w:val="000000"/>
                <w:sz w:val="20"/>
                <w:szCs w:val="20"/>
                <w:lang w:val="hy-AM" w:eastAsia="ru-RU"/>
              </w:rPr>
              <w:t>նորարարությունը</w:t>
            </w:r>
            <w:r w:rsidRPr="0053423A">
              <w:rPr>
                <w:color w:val="000000"/>
                <w:sz w:val="20"/>
                <w:szCs w:val="20"/>
                <w:lang w:val="hy-AM" w:eastAsia="ru-RU"/>
              </w:rPr>
              <w:t xml:space="preserve"> </w:t>
            </w:r>
            <w:r w:rsidRPr="0053423A">
              <w:rPr>
                <w:rFonts w:cs="Sylfaen"/>
                <w:color w:val="000000"/>
                <w:sz w:val="20"/>
                <w:szCs w:val="20"/>
                <w:lang w:val="hy-AM" w:eastAsia="ru-RU"/>
              </w:rPr>
              <w:t>մրցունակության</w:t>
            </w:r>
            <w:r w:rsidRPr="0053423A">
              <w:rPr>
                <w:color w:val="000000"/>
                <w:sz w:val="20"/>
                <w:szCs w:val="20"/>
                <w:lang w:val="hy-AM" w:eastAsia="ru-RU"/>
              </w:rPr>
              <w:t xml:space="preserve"> </w:t>
            </w:r>
            <w:r w:rsidRPr="0053423A">
              <w:rPr>
                <w:rFonts w:cs="Sylfaen"/>
                <w:color w:val="000000"/>
                <w:sz w:val="20"/>
                <w:szCs w:val="20"/>
                <w:lang w:val="hy-AM" w:eastAsia="ru-RU"/>
              </w:rPr>
              <w:t>հիմքն</w:t>
            </w:r>
            <w:r w:rsidRPr="0053423A">
              <w:rPr>
                <w:color w:val="000000"/>
                <w:sz w:val="20"/>
                <w:szCs w:val="20"/>
                <w:lang w:val="hy-AM" w:eastAsia="ru-RU"/>
              </w:rPr>
              <w:t xml:space="preserve"> </w:t>
            </w:r>
            <w:r w:rsidRPr="0053423A">
              <w:rPr>
                <w:rFonts w:cs="Sylfaen"/>
                <w:color w:val="000000"/>
                <w:sz w:val="20"/>
                <w:szCs w:val="20"/>
                <w:lang w:val="hy-AM" w:eastAsia="ru-RU"/>
              </w:rPr>
              <w:t>են</w:t>
            </w:r>
            <w:r w:rsidRPr="0053423A">
              <w:rPr>
                <w:color w:val="000000"/>
                <w:sz w:val="20"/>
                <w:szCs w:val="20"/>
                <w:lang w:val="hy-AM" w:eastAsia="ru-RU"/>
              </w:rPr>
              <w:t xml:space="preserve">, </w:t>
            </w:r>
            <w:r w:rsidRPr="0053423A">
              <w:rPr>
                <w:rFonts w:cs="Sylfaen"/>
                <w:color w:val="000000"/>
                <w:sz w:val="20"/>
                <w:szCs w:val="20"/>
                <w:lang w:val="hy-AM" w:eastAsia="ru-RU"/>
              </w:rPr>
              <w:t>որոնք</w:t>
            </w:r>
            <w:r w:rsidRPr="0053423A">
              <w:rPr>
                <w:color w:val="000000"/>
                <w:sz w:val="20"/>
                <w:szCs w:val="20"/>
                <w:lang w:val="hy-AM" w:eastAsia="ru-RU"/>
              </w:rPr>
              <w:t xml:space="preserve"> </w:t>
            </w:r>
            <w:r w:rsidRPr="0053423A">
              <w:rPr>
                <w:rFonts w:cs="Sylfaen"/>
                <w:color w:val="000000"/>
                <w:sz w:val="20"/>
                <w:szCs w:val="20"/>
                <w:lang w:val="hy-AM" w:eastAsia="ru-RU"/>
              </w:rPr>
              <w:t>կարող</w:t>
            </w:r>
            <w:r w:rsidRPr="0053423A">
              <w:rPr>
                <w:color w:val="000000"/>
                <w:sz w:val="20"/>
                <w:szCs w:val="20"/>
                <w:lang w:val="hy-AM" w:eastAsia="ru-RU"/>
              </w:rPr>
              <w:t xml:space="preserve"> </w:t>
            </w:r>
            <w:r w:rsidRPr="0053423A">
              <w:rPr>
                <w:rFonts w:cs="Sylfaen"/>
                <w:color w:val="000000"/>
                <w:sz w:val="20"/>
                <w:szCs w:val="20"/>
                <w:lang w:val="hy-AM" w:eastAsia="ru-RU"/>
              </w:rPr>
              <w:t>են</w:t>
            </w:r>
            <w:r w:rsidRPr="0053423A">
              <w:rPr>
                <w:color w:val="000000"/>
                <w:sz w:val="20"/>
                <w:szCs w:val="20"/>
                <w:lang w:val="hy-AM" w:eastAsia="ru-RU"/>
              </w:rPr>
              <w:t xml:space="preserve"> </w:t>
            </w:r>
            <w:r w:rsidRPr="0053423A">
              <w:rPr>
                <w:rFonts w:cs="Sylfaen"/>
                <w:color w:val="000000"/>
                <w:sz w:val="20"/>
                <w:szCs w:val="20"/>
                <w:lang w:val="hy-AM" w:eastAsia="ru-RU"/>
              </w:rPr>
              <w:t>ընդլայնել</w:t>
            </w:r>
            <w:r w:rsidRPr="0053423A">
              <w:rPr>
                <w:color w:val="000000"/>
                <w:sz w:val="20"/>
                <w:szCs w:val="20"/>
                <w:lang w:val="hy-AM" w:eastAsia="ru-RU"/>
              </w:rPr>
              <w:t xml:space="preserve"> </w:t>
            </w:r>
            <w:r w:rsidRPr="0053423A">
              <w:rPr>
                <w:rFonts w:cs="Sylfaen"/>
                <w:color w:val="000000"/>
                <w:sz w:val="20"/>
                <w:szCs w:val="20"/>
                <w:lang w:val="hy-AM" w:eastAsia="ru-RU"/>
              </w:rPr>
              <w:t>նոր</w:t>
            </w:r>
            <w:r w:rsidRPr="0053423A">
              <w:rPr>
                <w:color w:val="000000"/>
                <w:sz w:val="20"/>
                <w:szCs w:val="20"/>
                <w:lang w:val="hy-AM" w:eastAsia="ru-RU"/>
              </w:rPr>
              <w:t xml:space="preserve"> </w:t>
            </w:r>
            <w:r w:rsidRPr="0053423A">
              <w:rPr>
                <w:rFonts w:cs="Sylfaen"/>
                <w:color w:val="000000"/>
                <w:sz w:val="20"/>
                <w:szCs w:val="20"/>
                <w:lang w:val="hy-AM" w:eastAsia="ru-RU"/>
              </w:rPr>
              <w:t>լուծումների</w:t>
            </w:r>
            <w:r w:rsidRPr="0053423A">
              <w:rPr>
                <w:color w:val="000000"/>
                <w:sz w:val="20"/>
                <w:szCs w:val="20"/>
                <w:lang w:val="hy-AM" w:eastAsia="ru-RU"/>
              </w:rPr>
              <w:t xml:space="preserve"> </w:t>
            </w:r>
            <w:r w:rsidRPr="0053423A">
              <w:rPr>
                <w:rFonts w:cs="Sylfaen"/>
                <w:color w:val="000000"/>
                <w:sz w:val="20"/>
                <w:szCs w:val="20"/>
                <w:lang w:val="hy-AM" w:eastAsia="ru-RU"/>
              </w:rPr>
              <w:t>կիրառումը</w:t>
            </w:r>
            <w:r w:rsidRPr="0053423A">
              <w:rPr>
                <w:color w:val="000000"/>
                <w:sz w:val="20"/>
                <w:szCs w:val="20"/>
                <w:lang w:val="hy-AM" w:eastAsia="ru-RU"/>
              </w:rPr>
              <w:t xml:space="preserve"> </w:t>
            </w:r>
            <w:r w:rsidRPr="0053423A">
              <w:rPr>
                <w:rFonts w:cs="Sylfaen"/>
                <w:color w:val="000000"/>
                <w:sz w:val="20"/>
                <w:szCs w:val="20"/>
                <w:lang w:val="hy-AM" w:eastAsia="ru-RU"/>
              </w:rPr>
              <w:t>և</w:t>
            </w:r>
            <w:r w:rsidRPr="0053423A">
              <w:rPr>
                <w:color w:val="000000"/>
                <w:sz w:val="20"/>
                <w:szCs w:val="20"/>
                <w:lang w:val="hy-AM" w:eastAsia="ru-RU"/>
              </w:rPr>
              <w:t xml:space="preserve"> </w:t>
            </w:r>
            <w:r w:rsidRPr="0053423A">
              <w:rPr>
                <w:rFonts w:cs="Sylfaen"/>
                <w:color w:val="000000"/>
                <w:sz w:val="20"/>
                <w:szCs w:val="20"/>
                <w:lang w:val="hy-AM" w:eastAsia="ru-RU"/>
              </w:rPr>
              <w:t>բավարարել</w:t>
            </w:r>
            <w:r w:rsidRPr="0053423A">
              <w:rPr>
                <w:color w:val="000000"/>
                <w:sz w:val="20"/>
                <w:szCs w:val="20"/>
                <w:lang w:val="hy-AM" w:eastAsia="ru-RU"/>
              </w:rPr>
              <w:t xml:space="preserve"> կազմակերպություն</w:t>
            </w:r>
            <w:r w:rsidRPr="0053423A">
              <w:rPr>
                <w:rFonts w:cs="Sylfaen"/>
                <w:color w:val="000000"/>
                <w:sz w:val="20"/>
                <w:szCs w:val="20"/>
                <w:lang w:val="hy-AM" w:eastAsia="ru-RU"/>
              </w:rPr>
              <w:t>ների</w:t>
            </w:r>
            <w:r w:rsidRPr="0053423A">
              <w:rPr>
                <w:color w:val="000000"/>
                <w:sz w:val="20"/>
                <w:szCs w:val="20"/>
                <w:lang w:val="hy-AM" w:eastAsia="ru-RU"/>
              </w:rPr>
              <w:t xml:space="preserve"> </w:t>
            </w:r>
            <w:r w:rsidRPr="0053423A">
              <w:rPr>
                <w:rFonts w:cs="Sylfaen"/>
                <w:color w:val="000000"/>
                <w:sz w:val="20"/>
                <w:szCs w:val="20"/>
                <w:lang w:val="hy-AM" w:eastAsia="ru-RU"/>
              </w:rPr>
              <w:t>կարիքները</w:t>
            </w:r>
            <w:r w:rsidRPr="0053423A">
              <w:rPr>
                <w:color w:val="000000"/>
                <w:sz w:val="20"/>
                <w:szCs w:val="20"/>
                <w:lang w:val="hy-AM" w:eastAsia="ru-RU"/>
              </w:rPr>
              <w:t xml:space="preserve">: </w:t>
            </w:r>
            <w:r w:rsidRPr="0053423A">
              <w:rPr>
                <w:sz w:val="20"/>
                <w:szCs w:val="20"/>
              </w:rPr>
              <w:t xml:space="preserve">ՆՄԿԿ </w:t>
            </w:r>
            <w:r w:rsidRPr="0053423A">
              <w:rPr>
                <w:sz w:val="20"/>
                <w:szCs w:val="20"/>
                <w:lang w:val="hy-AM"/>
              </w:rPr>
              <w:t xml:space="preserve"> ուսումնական հաստատությունների կողմից </w:t>
            </w:r>
            <w:r w:rsidRPr="0053423A">
              <w:rPr>
                <w:color w:val="000000"/>
                <w:sz w:val="20"/>
                <w:szCs w:val="20"/>
                <w:lang w:val="hy-AM"/>
              </w:rPr>
              <w:t xml:space="preserve">ձեռնարկատիրական գործունեության իրականացումը, տնտեսական ընկերությունների ստեղծումը </w:t>
            </w:r>
            <w:r w:rsidRPr="0053423A">
              <w:rPr>
                <w:sz w:val="20"/>
                <w:szCs w:val="20"/>
                <w:lang w:val="hy-AM"/>
              </w:rPr>
              <w:t>կնպաստի հ</w:t>
            </w:r>
            <w:r w:rsidRPr="0053423A">
              <w:rPr>
                <w:color w:val="000000"/>
                <w:sz w:val="20"/>
                <w:szCs w:val="20"/>
                <w:lang w:val="hy-AM" w:eastAsia="ru-RU"/>
              </w:rPr>
              <w:t xml:space="preserve">աստատություններում արտաբյուջեի ձևավորմանը, հաստատության ձեռնարկությունում ուսանողների համար պրակտիկ ուսուցման կազմակերպմանը: </w:t>
            </w:r>
          </w:p>
          <w:p w:rsidR="00154773" w:rsidRPr="0053423A" w:rsidRDefault="00154773" w:rsidP="00154773">
            <w:pPr>
              <w:ind w:left="284" w:firstLine="436"/>
              <w:jc w:val="both"/>
              <w:rPr>
                <w:rFonts w:cs="Sylfaen"/>
                <w:sz w:val="20"/>
                <w:szCs w:val="20"/>
                <w:lang w:val="af-ZA"/>
              </w:rPr>
            </w:pPr>
          </w:p>
          <w:p w:rsidR="00154773" w:rsidRPr="0053423A" w:rsidRDefault="00154773" w:rsidP="00154773">
            <w:pPr>
              <w:ind w:left="360"/>
              <w:contextualSpacing/>
              <w:jc w:val="both"/>
              <w:rPr>
                <w:rFonts w:eastAsia="Times New Roman" w:cs="Times New Roman"/>
                <w:b/>
                <w:sz w:val="20"/>
                <w:szCs w:val="20"/>
                <w:lang w:val="af-ZA"/>
              </w:rPr>
            </w:pPr>
            <w:r w:rsidRPr="0053423A">
              <w:rPr>
                <w:rFonts w:eastAsia="Times New Roman" w:cs="Times New Roman"/>
                <w:b/>
                <w:sz w:val="20"/>
                <w:szCs w:val="20"/>
                <w:lang w:val="af-ZA"/>
              </w:rPr>
              <w:t xml:space="preserve">1.1. </w:t>
            </w:r>
            <w:r w:rsidRPr="0053423A">
              <w:rPr>
                <w:rFonts w:eastAsia="Times New Roman" w:cs="Times New Roman"/>
                <w:b/>
                <w:sz w:val="20"/>
                <w:szCs w:val="20"/>
              </w:rPr>
              <w:t>կ</w:t>
            </w:r>
            <w:r w:rsidRPr="0053423A">
              <w:rPr>
                <w:rFonts w:eastAsia="Times New Roman" w:cs="Times New Roman"/>
                <w:b/>
                <w:sz w:val="20"/>
                <w:szCs w:val="20"/>
                <w:lang w:val="hy-AM"/>
              </w:rPr>
              <w:t>արգավորման հարաբերությունների ներկա վիճակը և առկա խնդիրները</w:t>
            </w:r>
            <w:r w:rsidRPr="0053423A">
              <w:rPr>
                <w:rFonts w:eastAsia="Times New Roman" w:cs="Times New Roman"/>
                <w:b/>
                <w:sz w:val="20"/>
                <w:szCs w:val="20"/>
                <w:lang w:val="af-ZA"/>
              </w:rPr>
              <w:t>.</w:t>
            </w:r>
          </w:p>
          <w:p w:rsidR="00154773" w:rsidRPr="0053423A" w:rsidRDefault="00154773" w:rsidP="00154773">
            <w:pPr>
              <w:ind w:left="720"/>
              <w:contextualSpacing/>
              <w:jc w:val="both"/>
              <w:rPr>
                <w:rFonts w:eastAsia="Times New Roman" w:cs="Times New Roman"/>
                <w:b/>
                <w:sz w:val="20"/>
                <w:szCs w:val="20"/>
                <w:lang w:val="af-ZA"/>
              </w:rPr>
            </w:pPr>
          </w:p>
          <w:p w:rsidR="00154773" w:rsidRPr="0053423A" w:rsidRDefault="00154773" w:rsidP="00154773">
            <w:pPr>
              <w:shd w:val="clear" w:color="auto" w:fill="FFFFFF"/>
              <w:ind w:firstLine="360"/>
              <w:jc w:val="both"/>
              <w:rPr>
                <w:rFonts w:cs="Sylfaen"/>
                <w:sz w:val="20"/>
                <w:szCs w:val="20"/>
                <w:lang w:val="hy-AM"/>
              </w:rPr>
            </w:pPr>
            <w:r w:rsidRPr="0053423A">
              <w:rPr>
                <w:rFonts w:cs="Sylfaen"/>
                <w:sz w:val="20"/>
                <w:szCs w:val="20"/>
                <w:lang w:val="hy-AM"/>
              </w:rPr>
              <w:t>Ներկայումս ՆՄՄԿ ուսումնական հաստատությունները բյուջե ձևավորում են կրթական գործունեության ապահովմանն ուղղված պետական բյուջետային միջոցներից, վճարովի ուսուցման դիմաց ստացված միջոցներից, Հայաստանի Հանրապետության օրենսդրությամբ չարգելված գործունեության այլ ձևերից գոյացած միջոցներից:</w:t>
            </w:r>
          </w:p>
          <w:p w:rsidR="00154773" w:rsidRPr="0053423A" w:rsidRDefault="00154773" w:rsidP="00154773">
            <w:pPr>
              <w:shd w:val="clear" w:color="auto" w:fill="FFFFFF"/>
              <w:ind w:firstLine="360"/>
              <w:jc w:val="both"/>
              <w:rPr>
                <w:rFonts w:cs="Sylfaen"/>
                <w:sz w:val="20"/>
                <w:szCs w:val="20"/>
                <w:lang w:val="hy-AM"/>
              </w:rPr>
            </w:pPr>
            <w:r w:rsidRPr="0053423A">
              <w:rPr>
                <w:rFonts w:cs="Sylfaen"/>
                <w:sz w:val="20"/>
                <w:szCs w:val="20"/>
                <w:lang w:val="hy-AM"/>
              </w:rPr>
              <w:t xml:space="preserve">Հաշվի առնելով ՀՀ պետական միջոցների սղությունը՝ ՄԿՈՒ համակարգի զարգացման համար ռազմավարական նշանակություն ունի ՆՄՄԿ ուսումնական հաստատությունների համար ձեռնարկատիրական գործունեության հնարավորության ստեղծումը, որը քոլեջներին և ուսումնարաններին կապահովի արտաբյուջե ձևավորելու հնարավորությամբ՝ խթանելով ինքնաֆինանսավորումը, ուսումնական հաստատության համալրումը և համապատասխան գույքով ու սարքավորումներով հագեցումը, ուսանողների համար տեսականին զուգահեռ աշխատանքի վրա հիմնված ուսուցման կազմակերպումը, սովորողների մոտ համապատասխան կարողությունների և հմտությունների ձևավորումը: </w:t>
            </w:r>
          </w:p>
          <w:p w:rsidR="00154773" w:rsidRPr="0053423A" w:rsidRDefault="00154773" w:rsidP="00154773">
            <w:pPr>
              <w:ind w:firstLine="360"/>
              <w:contextualSpacing/>
              <w:jc w:val="both"/>
              <w:rPr>
                <w:color w:val="333333"/>
                <w:sz w:val="20"/>
                <w:szCs w:val="20"/>
                <w:shd w:val="clear" w:color="auto" w:fill="FFFFFF"/>
                <w:lang w:val="hy-AM"/>
              </w:rPr>
            </w:pPr>
            <w:r w:rsidRPr="0053423A">
              <w:rPr>
                <w:color w:val="000000"/>
                <w:sz w:val="20"/>
                <w:szCs w:val="20"/>
                <w:shd w:val="clear" w:color="auto" w:fill="FFFFFF"/>
                <w:lang w:val="hy-AM"/>
              </w:rPr>
              <w:t>ՄԿՈՒ հաստատություններն ունեն անհրաժեշտ ենթակառուցվածքներ և դրանց նպատակային օգտագործման</w:t>
            </w:r>
            <w:r w:rsidRPr="0053423A">
              <w:rPr>
                <w:rFonts w:ascii="Calibri" w:hAnsi="Calibri" w:cs="Calibri"/>
                <w:color w:val="000000"/>
                <w:sz w:val="20"/>
                <w:szCs w:val="20"/>
                <w:shd w:val="clear" w:color="auto" w:fill="FFFFFF"/>
                <w:lang w:val="hy-AM"/>
              </w:rPr>
              <w:t> </w:t>
            </w:r>
            <w:r w:rsidRPr="0053423A">
              <w:rPr>
                <w:color w:val="000000"/>
                <w:sz w:val="20"/>
                <w:szCs w:val="20"/>
                <w:shd w:val="clear" w:color="auto" w:fill="FFFFFF"/>
                <w:lang w:val="hy-AM"/>
              </w:rPr>
              <w:t>համար պետք է ստեղծել համապատասխան միջավայր և իրավական դաշտ: Ուսումնական հաստատություններում տնտեսական ընկերությունների ստեղծումը կնպաստի հաստատություններում ինչպես արտաբյուջեի ձևավորմանը, այնպես էլ հաստատության ձեռնարկությունում ուսանողների համար պրակտիկ ուսուցման կազմակերպմանը: Ներկայումս ՄԿՈՒ 5 հաստատությունում գործում են նման ձեռնարկություններ, որոնք կարող են վերոնշյալ փորձի տարածման լավ նախադրյալ</w:t>
            </w:r>
            <w:r w:rsidRPr="0053423A">
              <w:rPr>
                <w:rFonts w:ascii="Calibri" w:hAnsi="Calibri" w:cs="Calibri"/>
                <w:color w:val="000000"/>
                <w:sz w:val="20"/>
                <w:szCs w:val="20"/>
                <w:shd w:val="clear" w:color="auto" w:fill="FFFFFF"/>
                <w:lang w:val="hy-AM"/>
              </w:rPr>
              <w:t> </w:t>
            </w:r>
            <w:r w:rsidRPr="0053423A">
              <w:rPr>
                <w:color w:val="000000"/>
                <w:sz w:val="20"/>
                <w:szCs w:val="20"/>
                <w:shd w:val="clear" w:color="auto" w:fill="FFFFFF"/>
                <w:lang w:val="hy-AM"/>
              </w:rPr>
              <w:t xml:space="preserve">հանդիսանալ:  </w:t>
            </w:r>
            <w:r w:rsidRPr="0053423A">
              <w:rPr>
                <w:rFonts w:ascii="Calibri" w:hAnsi="Calibri" w:cs="Calibri"/>
                <w:color w:val="333333"/>
                <w:sz w:val="20"/>
                <w:szCs w:val="20"/>
                <w:shd w:val="clear" w:color="auto" w:fill="FFFFFF"/>
                <w:lang w:val="hy-AM"/>
              </w:rPr>
              <w:t> </w:t>
            </w:r>
          </w:p>
          <w:p w:rsidR="00154773" w:rsidRPr="0053423A" w:rsidRDefault="00154773" w:rsidP="00154773">
            <w:pPr>
              <w:ind w:left="502"/>
              <w:contextualSpacing/>
              <w:jc w:val="both"/>
              <w:rPr>
                <w:color w:val="333333"/>
                <w:sz w:val="20"/>
                <w:szCs w:val="20"/>
                <w:shd w:val="clear" w:color="auto" w:fill="FFFFFF"/>
                <w:lang w:val="hy-AM"/>
              </w:rPr>
            </w:pPr>
          </w:p>
          <w:p w:rsidR="00154773" w:rsidRPr="0053423A" w:rsidRDefault="00154773" w:rsidP="00154773">
            <w:pPr>
              <w:ind w:left="284"/>
              <w:jc w:val="both"/>
              <w:rPr>
                <w:color w:val="333333"/>
                <w:sz w:val="20"/>
                <w:szCs w:val="20"/>
                <w:shd w:val="clear" w:color="auto" w:fill="FFFFFF"/>
                <w:lang w:val="hy-AM"/>
              </w:rPr>
            </w:pPr>
          </w:p>
          <w:p w:rsidR="00154773" w:rsidRPr="0053423A" w:rsidRDefault="00154773" w:rsidP="001F6D5D">
            <w:pPr>
              <w:numPr>
                <w:ilvl w:val="1"/>
                <w:numId w:val="467"/>
              </w:numPr>
              <w:ind w:left="900" w:hanging="540"/>
              <w:contextualSpacing/>
              <w:rPr>
                <w:rFonts w:eastAsia="Times New Roman" w:cs="Times New Roman"/>
                <w:b/>
                <w:sz w:val="20"/>
                <w:szCs w:val="20"/>
              </w:rPr>
            </w:pPr>
            <w:r w:rsidRPr="0053423A">
              <w:rPr>
                <w:rFonts w:eastAsia="Times New Roman" w:cs="Times New Roman"/>
                <w:b/>
                <w:sz w:val="20"/>
                <w:szCs w:val="20"/>
                <w:lang w:val="hy-AM"/>
              </w:rPr>
              <w:t>առկա խնդիրների առաջարկվող լուծումները</w:t>
            </w:r>
          </w:p>
          <w:p w:rsidR="00154773" w:rsidRPr="0053423A" w:rsidRDefault="00154773" w:rsidP="00154773">
            <w:pPr>
              <w:ind w:left="1102"/>
              <w:contextualSpacing/>
              <w:rPr>
                <w:rFonts w:eastAsia="Times New Roman" w:cs="Times New Roman"/>
                <w:b/>
                <w:sz w:val="20"/>
                <w:szCs w:val="20"/>
              </w:rPr>
            </w:pPr>
          </w:p>
          <w:p w:rsidR="00154773" w:rsidRPr="0053423A" w:rsidRDefault="00154773" w:rsidP="00154773">
            <w:pPr>
              <w:autoSpaceDE w:val="0"/>
              <w:autoSpaceDN w:val="0"/>
              <w:adjustRightInd w:val="0"/>
              <w:ind w:firstLine="360"/>
              <w:jc w:val="both"/>
              <w:rPr>
                <w:color w:val="000000"/>
                <w:sz w:val="20"/>
                <w:szCs w:val="20"/>
                <w:lang w:val="af-ZA"/>
              </w:rPr>
            </w:pPr>
            <w:r w:rsidRPr="0053423A">
              <w:rPr>
                <w:color w:val="000000"/>
                <w:sz w:val="20"/>
                <w:szCs w:val="20"/>
                <w:shd w:val="clear" w:color="auto" w:fill="FFFFFF"/>
                <w:lang w:val="hy-AM"/>
              </w:rPr>
              <w:t>ՆՄՄԿ</w:t>
            </w:r>
            <w:r w:rsidRPr="0053423A">
              <w:rPr>
                <w:color w:val="000000"/>
                <w:sz w:val="20"/>
                <w:szCs w:val="20"/>
                <w:shd w:val="clear" w:color="auto" w:fill="FFFFFF"/>
                <w:lang w:val="af-ZA"/>
              </w:rPr>
              <w:t xml:space="preserve"> </w:t>
            </w:r>
            <w:r w:rsidRPr="0053423A">
              <w:rPr>
                <w:color w:val="000000"/>
                <w:sz w:val="20"/>
                <w:szCs w:val="20"/>
                <w:shd w:val="clear" w:color="auto" w:fill="FFFFFF"/>
                <w:lang w:val="hy-AM"/>
              </w:rPr>
              <w:t>ուսումնական</w:t>
            </w:r>
            <w:r w:rsidRPr="0053423A">
              <w:rPr>
                <w:color w:val="000000"/>
                <w:sz w:val="20"/>
                <w:szCs w:val="20"/>
                <w:shd w:val="clear" w:color="auto" w:fill="FFFFFF"/>
                <w:lang w:val="af-ZA"/>
              </w:rPr>
              <w:t xml:space="preserve"> </w:t>
            </w:r>
            <w:r w:rsidRPr="0053423A">
              <w:rPr>
                <w:color w:val="000000"/>
                <w:sz w:val="20"/>
                <w:szCs w:val="20"/>
                <w:shd w:val="clear" w:color="auto" w:fill="FFFFFF"/>
                <w:lang w:val="hy-AM"/>
              </w:rPr>
              <w:t>հաստատությունների</w:t>
            </w:r>
            <w:r w:rsidRPr="0053423A">
              <w:rPr>
                <w:color w:val="000000"/>
                <w:sz w:val="20"/>
                <w:szCs w:val="20"/>
                <w:shd w:val="clear" w:color="auto" w:fill="FFFFFF"/>
                <w:lang w:val="af-ZA"/>
              </w:rPr>
              <w:t xml:space="preserve"> </w:t>
            </w:r>
            <w:r w:rsidRPr="0053423A">
              <w:rPr>
                <w:color w:val="000000"/>
                <w:sz w:val="20"/>
                <w:szCs w:val="20"/>
                <w:shd w:val="clear" w:color="auto" w:fill="FFFFFF"/>
                <w:lang w:val="hy-AM"/>
              </w:rPr>
              <w:t>գործունեությունն</w:t>
            </w:r>
            <w:r w:rsidRPr="0053423A">
              <w:rPr>
                <w:color w:val="000000"/>
                <w:sz w:val="20"/>
                <w:szCs w:val="20"/>
                <w:shd w:val="clear" w:color="auto" w:fill="FFFFFF"/>
                <w:lang w:val="af-ZA"/>
              </w:rPr>
              <w:t xml:space="preserve"> </w:t>
            </w:r>
            <w:r w:rsidRPr="0053423A">
              <w:rPr>
                <w:color w:val="000000"/>
                <w:sz w:val="20"/>
                <w:szCs w:val="20"/>
                <w:shd w:val="clear" w:color="auto" w:fill="FFFFFF"/>
                <w:lang w:val="hy-AM"/>
              </w:rPr>
              <w:t>ընդլայնելու</w:t>
            </w:r>
            <w:r w:rsidRPr="0053423A">
              <w:rPr>
                <w:color w:val="000000"/>
                <w:sz w:val="20"/>
                <w:szCs w:val="20"/>
                <w:shd w:val="clear" w:color="auto" w:fill="FFFFFF"/>
                <w:lang w:val="af-ZA"/>
              </w:rPr>
              <w:t xml:space="preserve">, </w:t>
            </w:r>
            <w:r w:rsidRPr="0053423A">
              <w:rPr>
                <w:color w:val="000000"/>
                <w:sz w:val="20"/>
                <w:szCs w:val="20"/>
                <w:shd w:val="clear" w:color="auto" w:fill="FFFFFF"/>
                <w:lang w:val="hy-AM"/>
              </w:rPr>
              <w:t>ՆՄՄԿ</w:t>
            </w:r>
            <w:r w:rsidRPr="0053423A">
              <w:rPr>
                <w:color w:val="000000"/>
                <w:sz w:val="20"/>
                <w:szCs w:val="20"/>
                <w:shd w:val="clear" w:color="auto" w:fill="FFFFFF"/>
                <w:lang w:val="af-ZA"/>
              </w:rPr>
              <w:t xml:space="preserve"> </w:t>
            </w:r>
            <w:r w:rsidRPr="0053423A">
              <w:rPr>
                <w:color w:val="000000"/>
                <w:sz w:val="20"/>
                <w:szCs w:val="20"/>
                <w:shd w:val="clear" w:color="auto" w:fill="FFFFFF"/>
                <w:lang w:val="hy-AM"/>
              </w:rPr>
              <w:t>ուսումնական հաստատություններում տնտեսական ընկերություններ ստեղծելու</w:t>
            </w:r>
            <w:r w:rsidRPr="0053423A">
              <w:rPr>
                <w:color w:val="000000"/>
                <w:sz w:val="20"/>
                <w:szCs w:val="20"/>
                <w:shd w:val="clear" w:color="auto" w:fill="FFFFFF"/>
                <w:lang w:val="af-ZA"/>
              </w:rPr>
              <w:t>,</w:t>
            </w:r>
            <w:r w:rsidRPr="0053423A">
              <w:rPr>
                <w:color w:val="000000"/>
                <w:sz w:val="20"/>
                <w:szCs w:val="20"/>
                <w:shd w:val="clear" w:color="auto" w:fill="FFFFFF"/>
                <w:lang w:val="hy-AM"/>
              </w:rPr>
              <w:t xml:space="preserve"> արտաբյուջե</w:t>
            </w:r>
            <w:r w:rsidRPr="0053423A">
              <w:rPr>
                <w:color w:val="000000"/>
                <w:sz w:val="20"/>
                <w:szCs w:val="20"/>
                <w:shd w:val="clear" w:color="auto" w:fill="FFFFFF"/>
                <w:lang w:val="af-ZA"/>
              </w:rPr>
              <w:t xml:space="preserve"> </w:t>
            </w:r>
            <w:r w:rsidRPr="0053423A">
              <w:rPr>
                <w:color w:val="000000"/>
                <w:sz w:val="20"/>
                <w:szCs w:val="20"/>
                <w:shd w:val="clear" w:color="auto" w:fill="FFFFFF"/>
                <w:lang w:val="hy-AM"/>
              </w:rPr>
              <w:t>ձևավորելու</w:t>
            </w:r>
            <w:r w:rsidRPr="0053423A">
              <w:rPr>
                <w:color w:val="000000"/>
                <w:sz w:val="20"/>
                <w:szCs w:val="20"/>
                <w:shd w:val="clear" w:color="auto" w:fill="FFFFFF"/>
                <w:lang w:val="af-ZA"/>
              </w:rPr>
              <w:t xml:space="preserve">, </w:t>
            </w:r>
            <w:r w:rsidRPr="0053423A">
              <w:rPr>
                <w:color w:val="000000"/>
                <w:sz w:val="20"/>
                <w:szCs w:val="20"/>
                <w:shd w:val="clear" w:color="auto" w:fill="FFFFFF"/>
                <w:lang w:val="hy-AM"/>
              </w:rPr>
              <w:t>հաստատության ձեռնարկությունում ուսանողների համար պրակտիկ ուսուցում կազմակերպելու</w:t>
            </w:r>
            <w:r w:rsidRPr="0053423A">
              <w:rPr>
                <w:color w:val="000000"/>
                <w:sz w:val="20"/>
                <w:szCs w:val="20"/>
                <w:shd w:val="clear" w:color="auto" w:fill="FFFFFF"/>
                <w:lang w:val="af-ZA"/>
              </w:rPr>
              <w:t xml:space="preserve"> </w:t>
            </w:r>
            <w:r w:rsidRPr="0053423A">
              <w:rPr>
                <w:color w:val="000000"/>
                <w:sz w:val="20"/>
                <w:szCs w:val="20"/>
                <w:shd w:val="clear" w:color="auto" w:fill="FFFFFF"/>
                <w:lang w:val="hy-AM"/>
              </w:rPr>
              <w:t>հնարավորություն</w:t>
            </w:r>
            <w:r w:rsidRPr="0053423A">
              <w:rPr>
                <w:color w:val="000000"/>
                <w:sz w:val="20"/>
                <w:szCs w:val="20"/>
                <w:shd w:val="clear" w:color="auto" w:fill="FFFFFF"/>
                <w:lang w:val="af-ZA"/>
              </w:rPr>
              <w:t xml:space="preserve"> </w:t>
            </w:r>
            <w:r w:rsidRPr="0053423A">
              <w:rPr>
                <w:color w:val="000000"/>
                <w:sz w:val="20"/>
                <w:szCs w:val="20"/>
                <w:shd w:val="clear" w:color="auto" w:fill="FFFFFF"/>
                <w:lang w:val="hy-AM"/>
              </w:rPr>
              <w:t>ստեղծելու</w:t>
            </w:r>
            <w:r w:rsidRPr="0053423A">
              <w:rPr>
                <w:color w:val="000000"/>
                <w:sz w:val="20"/>
                <w:szCs w:val="20"/>
                <w:shd w:val="clear" w:color="auto" w:fill="FFFFFF"/>
                <w:lang w:val="af-ZA"/>
              </w:rPr>
              <w:t xml:space="preserve"> </w:t>
            </w:r>
            <w:r w:rsidRPr="0053423A">
              <w:rPr>
                <w:color w:val="000000"/>
                <w:sz w:val="20"/>
                <w:szCs w:val="20"/>
                <w:shd w:val="clear" w:color="auto" w:fill="FFFFFF"/>
                <w:lang w:val="hy-AM"/>
              </w:rPr>
              <w:t xml:space="preserve">նպատակով՝ </w:t>
            </w:r>
            <w:r w:rsidRPr="0053423A">
              <w:rPr>
                <w:spacing w:val="-6"/>
                <w:sz w:val="20"/>
                <w:szCs w:val="20"/>
                <w:lang w:val="hy-AM"/>
              </w:rPr>
              <w:t>Հայաստանի Հանրապետության  կառավարության «</w:t>
            </w:r>
            <w:r w:rsidRPr="0053423A">
              <w:rPr>
                <w:sz w:val="20"/>
                <w:szCs w:val="20"/>
                <w:lang w:val="hy-AM"/>
              </w:rPr>
              <w:t xml:space="preserve">Նախնական մասնագիտական (արհեստագործական) և միջին մասնագիտական կրթություն իրականացնող ուսումնական հաստատությունների կողմից </w:t>
            </w:r>
            <w:r w:rsidRPr="0053423A">
              <w:rPr>
                <w:color w:val="000000"/>
                <w:sz w:val="20"/>
                <w:szCs w:val="20"/>
                <w:lang w:val="hy-AM"/>
              </w:rPr>
              <w:t>ձեռնարկատիրական գործունեություն իրականացնելու, տնտեսական ընկերություններ ստեղծելու կամ նրանց մասնակից դառնալու</w:t>
            </w:r>
            <w:r w:rsidRPr="0053423A">
              <w:rPr>
                <w:color w:val="000000"/>
                <w:sz w:val="20"/>
                <w:szCs w:val="20"/>
                <w:lang w:val="af-ZA"/>
              </w:rPr>
              <w:t xml:space="preserve"> </w:t>
            </w:r>
            <w:r w:rsidRPr="0053423A">
              <w:rPr>
                <w:color w:val="000000"/>
                <w:sz w:val="20"/>
                <w:szCs w:val="20"/>
                <w:lang w:val="hy-AM"/>
              </w:rPr>
              <w:t>մեխանիզմների</w:t>
            </w:r>
            <w:r w:rsidRPr="0053423A">
              <w:rPr>
                <w:color w:val="000000"/>
                <w:sz w:val="20"/>
                <w:szCs w:val="20"/>
                <w:lang w:val="af-ZA"/>
              </w:rPr>
              <w:t xml:space="preserve"> </w:t>
            </w:r>
            <w:r w:rsidRPr="0053423A">
              <w:rPr>
                <w:color w:val="000000"/>
                <w:sz w:val="20"/>
                <w:szCs w:val="20"/>
                <w:lang w:val="hy-AM"/>
              </w:rPr>
              <w:t>ուսումնասիրություն</w:t>
            </w:r>
            <w:r w:rsidRPr="0053423A">
              <w:rPr>
                <w:color w:val="000000"/>
                <w:sz w:val="20"/>
                <w:szCs w:val="20"/>
                <w:lang w:val="af-ZA"/>
              </w:rPr>
              <w:t xml:space="preserve">, </w:t>
            </w:r>
            <w:r w:rsidRPr="0053423A">
              <w:rPr>
                <w:color w:val="000000"/>
                <w:sz w:val="20"/>
                <w:szCs w:val="20"/>
                <w:lang w:val="hy-AM"/>
              </w:rPr>
              <w:t>դրանց</w:t>
            </w:r>
            <w:r w:rsidRPr="0053423A">
              <w:rPr>
                <w:color w:val="000000"/>
                <w:sz w:val="20"/>
                <w:szCs w:val="20"/>
                <w:lang w:val="af-ZA"/>
              </w:rPr>
              <w:t xml:space="preserve"> </w:t>
            </w:r>
            <w:r w:rsidRPr="0053423A">
              <w:rPr>
                <w:color w:val="000000"/>
                <w:sz w:val="20"/>
                <w:szCs w:val="20"/>
                <w:lang w:val="hy-AM"/>
              </w:rPr>
              <w:t>վերաբերյալ</w:t>
            </w:r>
            <w:r w:rsidRPr="0053423A">
              <w:rPr>
                <w:color w:val="000000"/>
                <w:sz w:val="20"/>
                <w:szCs w:val="20"/>
                <w:lang w:val="af-ZA"/>
              </w:rPr>
              <w:t xml:space="preserve"> </w:t>
            </w:r>
            <w:r w:rsidRPr="0053423A">
              <w:rPr>
                <w:color w:val="000000"/>
                <w:sz w:val="20"/>
                <w:szCs w:val="20"/>
                <w:lang w:val="hy-AM"/>
              </w:rPr>
              <w:t>առաջարկությունների</w:t>
            </w:r>
            <w:r w:rsidRPr="0053423A">
              <w:rPr>
                <w:color w:val="000000"/>
                <w:sz w:val="20"/>
                <w:szCs w:val="20"/>
                <w:lang w:val="af-ZA"/>
              </w:rPr>
              <w:t xml:space="preserve"> </w:t>
            </w:r>
            <w:r w:rsidRPr="0053423A">
              <w:rPr>
                <w:color w:val="000000"/>
                <w:sz w:val="20"/>
                <w:szCs w:val="20"/>
                <w:lang w:val="hy-AM"/>
              </w:rPr>
              <w:t>մշակում</w:t>
            </w:r>
            <w:r w:rsidRPr="0053423A">
              <w:rPr>
                <w:color w:val="000000"/>
                <w:sz w:val="20"/>
                <w:szCs w:val="20"/>
                <w:lang w:val="af-ZA"/>
              </w:rPr>
              <w:t>:</w:t>
            </w:r>
          </w:p>
          <w:p w:rsidR="00154773" w:rsidRPr="0053423A" w:rsidRDefault="00154773" w:rsidP="00154773">
            <w:pPr>
              <w:autoSpaceDE w:val="0"/>
              <w:autoSpaceDN w:val="0"/>
              <w:adjustRightInd w:val="0"/>
              <w:ind w:left="284"/>
              <w:jc w:val="both"/>
              <w:rPr>
                <w:color w:val="000000"/>
                <w:sz w:val="20"/>
                <w:szCs w:val="20"/>
                <w:lang w:val="af-ZA"/>
              </w:rPr>
            </w:pPr>
          </w:p>
          <w:p w:rsidR="00154773" w:rsidRPr="0053423A" w:rsidRDefault="00154773" w:rsidP="00154773">
            <w:pPr>
              <w:ind w:left="270"/>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left="284"/>
              <w:jc w:val="both"/>
              <w:rPr>
                <w:rFonts w:eastAsia="Calibri" w:cs="GHEA Grapalat"/>
                <w:b/>
                <w:color w:val="000000"/>
                <w:sz w:val="20"/>
                <w:szCs w:val="20"/>
                <w:u w:val="single"/>
                <w:lang w:val="hy-AM"/>
              </w:rPr>
            </w:pPr>
          </w:p>
          <w:p w:rsidR="00154773" w:rsidRPr="0053423A" w:rsidRDefault="00154773" w:rsidP="00154773">
            <w:pPr>
              <w:autoSpaceDE w:val="0"/>
              <w:autoSpaceDN w:val="0"/>
              <w:adjustRightInd w:val="0"/>
              <w:ind w:firstLine="360"/>
              <w:jc w:val="both"/>
              <w:rPr>
                <w:sz w:val="20"/>
                <w:szCs w:val="20"/>
                <w:lang w:val="af-ZA"/>
              </w:rPr>
            </w:pPr>
            <w:r w:rsidRPr="0053423A">
              <w:rPr>
                <w:sz w:val="20"/>
                <w:szCs w:val="20"/>
                <w:lang w:val="hy-AM"/>
              </w:rPr>
              <w:t>Միջոցառ</w:t>
            </w:r>
            <w:r w:rsidRPr="0053423A">
              <w:rPr>
                <w:sz w:val="20"/>
                <w:szCs w:val="20"/>
              </w:rPr>
              <w:t>ումների</w:t>
            </w:r>
            <w:r w:rsidRPr="0053423A">
              <w:rPr>
                <w:sz w:val="20"/>
                <w:szCs w:val="20"/>
                <w:lang w:val="af-ZA"/>
              </w:rPr>
              <w:t xml:space="preserve"> </w:t>
            </w:r>
            <w:r w:rsidRPr="0053423A">
              <w:rPr>
                <w:sz w:val="20"/>
                <w:szCs w:val="20"/>
                <w:lang w:val="hy-AM"/>
              </w:rPr>
              <w:t>իրականացման</w:t>
            </w:r>
            <w:r w:rsidRPr="0053423A">
              <w:rPr>
                <w:sz w:val="20"/>
                <w:szCs w:val="20"/>
                <w:lang w:val="af-ZA"/>
              </w:rPr>
              <w:t xml:space="preserve"> </w:t>
            </w:r>
            <w:r w:rsidRPr="0053423A">
              <w:rPr>
                <w:sz w:val="20"/>
                <w:szCs w:val="20"/>
                <w:lang w:val="hy-AM"/>
              </w:rPr>
              <w:t>արդյունքում</w:t>
            </w:r>
            <w:r w:rsidRPr="0053423A">
              <w:rPr>
                <w:sz w:val="20"/>
                <w:szCs w:val="20"/>
                <w:lang w:val="af-ZA"/>
              </w:rPr>
              <w:t xml:space="preserve"> կիրականացվի </w:t>
            </w:r>
            <w:r w:rsidRPr="0053423A">
              <w:rPr>
                <w:sz w:val="20"/>
                <w:szCs w:val="20"/>
                <w:lang w:val="hy-AM"/>
              </w:rPr>
              <w:t>նախնական</w:t>
            </w:r>
            <w:r w:rsidRPr="0053423A">
              <w:rPr>
                <w:sz w:val="20"/>
                <w:szCs w:val="20"/>
                <w:lang w:val="af-ZA"/>
              </w:rPr>
              <w:t xml:space="preserve"> (</w:t>
            </w:r>
            <w:r w:rsidRPr="0053423A">
              <w:rPr>
                <w:sz w:val="20"/>
                <w:szCs w:val="20"/>
                <w:lang w:val="hy-AM"/>
              </w:rPr>
              <w:t>արհեստագործական</w:t>
            </w:r>
            <w:r w:rsidRPr="0053423A">
              <w:rPr>
                <w:sz w:val="20"/>
                <w:szCs w:val="20"/>
                <w:lang w:val="af-ZA"/>
              </w:rPr>
              <w:t xml:space="preserve">) </w:t>
            </w:r>
            <w:r w:rsidRPr="0053423A">
              <w:rPr>
                <w:sz w:val="20"/>
                <w:szCs w:val="20"/>
                <w:lang w:val="hy-AM"/>
              </w:rPr>
              <w:t>և</w:t>
            </w:r>
            <w:r w:rsidRPr="0053423A">
              <w:rPr>
                <w:sz w:val="20"/>
                <w:szCs w:val="20"/>
                <w:lang w:val="af-ZA"/>
              </w:rPr>
              <w:t xml:space="preserve"> </w:t>
            </w:r>
            <w:r w:rsidRPr="0053423A">
              <w:rPr>
                <w:sz w:val="20"/>
                <w:szCs w:val="20"/>
                <w:lang w:val="hy-AM"/>
              </w:rPr>
              <w:t>միջին</w:t>
            </w:r>
            <w:r w:rsidRPr="0053423A">
              <w:rPr>
                <w:sz w:val="20"/>
                <w:szCs w:val="20"/>
                <w:lang w:val="af-ZA"/>
              </w:rPr>
              <w:t xml:space="preserve"> </w:t>
            </w:r>
            <w:r w:rsidRPr="0053423A">
              <w:rPr>
                <w:sz w:val="20"/>
                <w:szCs w:val="20"/>
                <w:lang w:val="hy-AM"/>
              </w:rPr>
              <w:t>մանագիտական</w:t>
            </w:r>
            <w:r w:rsidRPr="0053423A">
              <w:rPr>
                <w:sz w:val="20"/>
                <w:szCs w:val="20"/>
                <w:lang w:val="af-ZA"/>
              </w:rPr>
              <w:t xml:space="preserve"> </w:t>
            </w:r>
            <w:r w:rsidRPr="0053423A">
              <w:rPr>
                <w:sz w:val="20"/>
                <w:szCs w:val="20"/>
                <w:lang w:val="hy-AM"/>
              </w:rPr>
              <w:t>ուսումնական</w:t>
            </w:r>
            <w:r w:rsidRPr="0053423A">
              <w:rPr>
                <w:sz w:val="20"/>
                <w:szCs w:val="20"/>
                <w:lang w:val="af-ZA"/>
              </w:rPr>
              <w:t xml:space="preserve"> </w:t>
            </w:r>
            <w:r w:rsidRPr="0053423A">
              <w:rPr>
                <w:sz w:val="20"/>
                <w:szCs w:val="20"/>
                <w:lang w:val="hy-AM"/>
              </w:rPr>
              <w:t>հաստատությունների</w:t>
            </w:r>
            <w:r w:rsidRPr="0053423A">
              <w:rPr>
                <w:sz w:val="20"/>
                <w:szCs w:val="20"/>
                <w:lang w:val="af-ZA"/>
              </w:rPr>
              <w:t xml:space="preserve"> </w:t>
            </w:r>
            <w:r w:rsidRPr="0053423A">
              <w:rPr>
                <w:sz w:val="20"/>
                <w:szCs w:val="20"/>
                <w:lang w:val="hy-AM"/>
              </w:rPr>
              <w:t>ձեռնարկատիրական</w:t>
            </w:r>
            <w:r w:rsidRPr="0053423A">
              <w:rPr>
                <w:sz w:val="20"/>
                <w:szCs w:val="20"/>
                <w:lang w:val="af-ZA"/>
              </w:rPr>
              <w:t xml:space="preserve"> </w:t>
            </w:r>
            <w:r w:rsidRPr="0053423A">
              <w:rPr>
                <w:sz w:val="20"/>
                <w:szCs w:val="20"/>
                <w:lang w:val="hy-AM"/>
              </w:rPr>
              <w:t>գործունեության</w:t>
            </w:r>
            <w:r w:rsidRPr="0053423A">
              <w:rPr>
                <w:sz w:val="20"/>
                <w:szCs w:val="20"/>
                <w:lang w:val="af-ZA"/>
              </w:rPr>
              <w:t xml:space="preserve"> </w:t>
            </w:r>
            <w:r w:rsidRPr="0053423A">
              <w:rPr>
                <w:sz w:val="20"/>
                <w:szCs w:val="20"/>
                <w:lang w:val="hy-AM"/>
              </w:rPr>
              <w:t>հնարավորությունների</w:t>
            </w:r>
            <w:r w:rsidRPr="0053423A">
              <w:rPr>
                <w:sz w:val="20"/>
                <w:szCs w:val="20"/>
                <w:lang w:val="af-ZA"/>
              </w:rPr>
              <w:t xml:space="preserve"> </w:t>
            </w:r>
            <w:r w:rsidRPr="0053423A">
              <w:rPr>
                <w:sz w:val="20"/>
                <w:szCs w:val="20"/>
                <w:lang w:val="hy-AM"/>
              </w:rPr>
              <w:t>և</w:t>
            </w:r>
            <w:r w:rsidRPr="0053423A">
              <w:rPr>
                <w:sz w:val="20"/>
                <w:szCs w:val="20"/>
                <w:lang w:val="af-ZA"/>
              </w:rPr>
              <w:t xml:space="preserve"> </w:t>
            </w:r>
            <w:r w:rsidRPr="0053423A">
              <w:rPr>
                <w:sz w:val="20"/>
                <w:szCs w:val="20"/>
                <w:lang w:val="hy-AM"/>
              </w:rPr>
              <w:t>ձևերի</w:t>
            </w:r>
            <w:r w:rsidRPr="0053423A">
              <w:rPr>
                <w:sz w:val="20"/>
                <w:szCs w:val="20"/>
                <w:lang w:val="af-ZA"/>
              </w:rPr>
              <w:t xml:space="preserve"> </w:t>
            </w:r>
            <w:r w:rsidRPr="0053423A">
              <w:rPr>
                <w:sz w:val="20"/>
                <w:szCs w:val="20"/>
                <w:lang w:val="hy-AM"/>
              </w:rPr>
              <w:t>ընդլայնման</w:t>
            </w:r>
            <w:r w:rsidRPr="0053423A">
              <w:rPr>
                <w:sz w:val="20"/>
                <w:szCs w:val="20"/>
                <w:lang w:val="af-ZA"/>
              </w:rPr>
              <w:t xml:space="preserve"> </w:t>
            </w:r>
            <w:r w:rsidRPr="0053423A">
              <w:rPr>
                <w:sz w:val="20"/>
                <w:szCs w:val="20"/>
                <w:lang w:val="hy-AM"/>
              </w:rPr>
              <w:t>մեխանիզմների ուսումնասիրություն, կմշակվեն դրանց</w:t>
            </w:r>
            <w:r w:rsidRPr="0053423A">
              <w:rPr>
                <w:sz w:val="20"/>
                <w:szCs w:val="20"/>
                <w:lang w:val="af-ZA"/>
              </w:rPr>
              <w:t xml:space="preserve"> </w:t>
            </w:r>
            <w:r w:rsidRPr="0053423A">
              <w:rPr>
                <w:sz w:val="20"/>
                <w:szCs w:val="20"/>
                <w:lang w:val="hy-AM"/>
              </w:rPr>
              <w:t>վերաբերյալ</w:t>
            </w:r>
            <w:r w:rsidRPr="0053423A">
              <w:rPr>
                <w:sz w:val="20"/>
                <w:szCs w:val="20"/>
                <w:lang w:val="af-ZA"/>
              </w:rPr>
              <w:t xml:space="preserve"> </w:t>
            </w:r>
            <w:r w:rsidRPr="0053423A">
              <w:rPr>
                <w:sz w:val="20"/>
                <w:szCs w:val="20"/>
                <w:lang w:val="hy-AM"/>
              </w:rPr>
              <w:t>առաջարկություններ</w:t>
            </w:r>
            <w:r w:rsidRPr="0053423A">
              <w:rPr>
                <w:sz w:val="20"/>
                <w:szCs w:val="20"/>
                <w:lang w:val="af-ZA"/>
              </w:rPr>
              <w:t xml:space="preserve">, </w:t>
            </w:r>
            <w:r w:rsidRPr="0053423A">
              <w:rPr>
                <w:sz w:val="20"/>
                <w:szCs w:val="20"/>
                <w:lang w:val="hy-AM"/>
              </w:rPr>
              <w:t>ինչը</w:t>
            </w:r>
            <w:r w:rsidRPr="0053423A">
              <w:rPr>
                <w:sz w:val="20"/>
                <w:szCs w:val="20"/>
                <w:lang w:val="af-ZA"/>
              </w:rPr>
              <w:t xml:space="preserve"> </w:t>
            </w:r>
            <w:r w:rsidRPr="0053423A">
              <w:rPr>
                <w:sz w:val="20"/>
                <w:szCs w:val="20"/>
                <w:lang w:val="hy-AM"/>
              </w:rPr>
              <w:t>կնպաստի</w:t>
            </w:r>
            <w:r w:rsidRPr="0053423A">
              <w:rPr>
                <w:sz w:val="20"/>
                <w:szCs w:val="20"/>
                <w:lang w:val="af-ZA"/>
              </w:rPr>
              <w:t xml:space="preserve"> </w:t>
            </w:r>
            <w:r w:rsidRPr="0053423A">
              <w:rPr>
                <w:sz w:val="20"/>
                <w:szCs w:val="20"/>
                <w:lang w:val="hy-AM"/>
              </w:rPr>
              <w:t>հաստատություններում</w:t>
            </w:r>
            <w:r w:rsidRPr="0053423A">
              <w:rPr>
                <w:sz w:val="20"/>
                <w:szCs w:val="20"/>
                <w:lang w:val="af-ZA"/>
              </w:rPr>
              <w:t xml:space="preserve"> </w:t>
            </w:r>
            <w:r w:rsidRPr="0053423A">
              <w:rPr>
                <w:sz w:val="20"/>
                <w:szCs w:val="20"/>
                <w:lang w:val="hy-AM"/>
              </w:rPr>
              <w:t>ինչպես</w:t>
            </w:r>
            <w:r w:rsidRPr="0053423A">
              <w:rPr>
                <w:sz w:val="20"/>
                <w:szCs w:val="20"/>
                <w:lang w:val="af-ZA"/>
              </w:rPr>
              <w:t xml:space="preserve"> </w:t>
            </w:r>
            <w:r w:rsidRPr="0053423A">
              <w:rPr>
                <w:sz w:val="20"/>
                <w:szCs w:val="20"/>
                <w:lang w:val="hy-AM"/>
              </w:rPr>
              <w:t>արտաբյուջեի</w:t>
            </w:r>
            <w:r w:rsidRPr="0053423A">
              <w:rPr>
                <w:sz w:val="20"/>
                <w:szCs w:val="20"/>
                <w:lang w:val="af-ZA"/>
              </w:rPr>
              <w:t xml:space="preserve"> </w:t>
            </w:r>
            <w:r w:rsidRPr="0053423A">
              <w:rPr>
                <w:sz w:val="20"/>
                <w:szCs w:val="20"/>
                <w:lang w:val="hy-AM"/>
              </w:rPr>
              <w:t>ձևավորմանը</w:t>
            </w:r>
            <w:r w:rsidRPr="0053423A">
              <w:rPr>
                <w:sz w:val="20"/>
                <w:szCs w:val="20"/>
                <w:lang w:val="af-ZA"/>
              </w:rPr>
              <w:t xml:space="preserve">, </w:t>
            </w:r>
            <w:r w:rsidRPr="0053423A">
              <w:rPr>
                <w:sz w:val="20"/>
                <w:szCs w:val="20"/>
                <w:lang w:val="hy-AM"/>
              </w:rPr>
              <w:t>այնպես</w:t>
            </w:r>
            <w:r w:rsidRPr="0053423A">
              <w:rPr>
                <w:sz w:val="20"/>
                <w:szCs w:val="20"/>
                <w:lang w:val="af-ZA"/>
              </w:rPr>
              <w:t xml:space="preserve"> </w:t>
            </w:r>
            <w:r w:rsidRPr="0053423A">
              <w:rPr>
                <w:sz w:val="20"/>
                <w:szCs w:val="20"/>
                <w:lang w:val="hy-AM"/>
              </w:rPr>
              <w:t>էլ</w:t>
            </w:r>
            <w:r w:rsidRPr="0053423A">
              <w:rPr>
                <w:sz w:val="20"/>
                <w:szCs w:val="20"/>
                <w:lang w:val="af-ZA"/>
              </w:rPr>
              <w:t xml:space="preserve"> </w:t>
            </w:r>
            <w:r w:rsidRPr="0053423A">
              <w:rPr>
                <w:sz w:val="20"/>
                <w:szCs w:val="20"/>
                <w:lang w:val="hy-AM"/>
              </w:rPr>
              <w:t>հաստատության</w:t>
            </w:r>
            <w:r w:rsidRPr="0053423A">
              <w:rPr>
                <w:sz w:val="20"/>
                <w:szCs w:val="20"/>
                <w:lang w:val="af-ZA"/>
              </w:rPr>
              <w:t xml:space="preserve"> </w:t>
            </w:r>
            <w:r w:rsidRPr="0053423A">
              <w:rPr>
                <w:sz w:val="20"/>
                <w:szCs w:val="20"/>
                <w:lang w:val="hy-AM"/>
              </w:rPr>
              <w:t>ձեռնարկությունում</w:t>
            </w:r>
            <w:r w:rsidRPr="0053423A">
              <w:rPr>
                <w:sz w:val="20"/>
                <w:szCs w:val="20"/>
                <w:lang w:val="af-ZA"/>
              </w:rPr>
              <w:t xml:space="preserve"> </w:t>
            </w:r>
            <w:r w:rsidRPr="0053423A">
              <w:rPr>
                <w:sz w:val="20"/>
                <w:szCs w:val="20"/>
                <w:lang w:val="hy-AM"/>
              </w:rPr>
              <w:t>ուսանողների</w:t>
            </w:r>
            <w:r w:rsidRPr="0053423A">
              <w:rPr>
                <w:sz w:val="20"/>
                <w:szCs w:val="20"/>
                <w:lang w:val="af-ZA"/>
              </w:rPr>
              <w:t xml:space="preserve"> </w:t>
            </w:r>
            <w:r w:rsidRPr="0053423A">
              <w:rPr>
                <w:sz w:val="20"/>
                <w:szCs w:val="20"/>
                <w:lang w:val="hy-AM"/>
              </w:rPr>
              <w:t>համար</w:t>
            </w:r>
            <w:r w:rsidRPr="0053423A">
              <w:rPr>
                <w:sz w:val="20"/>
                <w:szCs w:val="20"/>
                <w:lang w:val="af-ZA"/>
              </w:rPr>
              <w:t xml:space="preserve"> </w:t>
            </w:r>
            <w:r w:rsidRPr="0053423A">
              <w:rPr>
                <w:sz w:val="20"/>
                <w:szCs w:val="20"/>
                <w:lang w:val="hy-AM"/>
              </w:rPr>
              <w:t>պրակտիկ</w:t>
            </w:r>
            <w:r w:rsidRPr="0053423A">
              <w:rPr>
                <w:sz w:val="20"/>
                <w:szCs w:val="20"/>
                <w:lang w:val="af-ZA"/>
              </w:rPr>
              <w:t xml:space="preserve"> </w:t>
            </w:r>
            <w:r w:rsidRPr="0053423A">
              <w:rPr>
                <w:sz w:val="20"/>
                <w:szCs w:val="20"/>
                <w:lang w:val="hy-AM"/>
              </w:rPr>
              <w:t>ուսուցման</w:t>
            </w:r>
            <w:r w:rsidRPr="0053423A">
              <w:rPr>
                <w:sz w:val="20"/>
                <w:szCs w:val="20"/>
                <w:lang w:val="af-ZA"/>
              </w:rPr>
              <w:t xml:space="preserve"> </w:t>
            </w:r>
            <w:r w:rsidRPr="0053423A">
              <w:rPr>
                <w:sz w:val="20"/>
                <w:szCs w:val="20"/>
                <w:lang w:val="hy-AM"/>
              </w:rPr>
              <w:t>կազմակերպմանը</w:t>
            </w:r>
            <w:r w:rsidRPr="0053423A">
              <w:rPr>
                <w:sz w:val="20"/>
                <w:szCs w:val="20"/>
                <w:lang w:val="af-ZA"/>
              </w:rPr>
              <w:t>:</w:t>
            </w:r>
          </w:p>
          <w:p w:rsidR="00154773" w:rsidRPr="0053423A" w:rsidRDefault="00154773" w:rsidP="00154773">
            <w:pPr>
              <w:jc w:val="center"/>
              <w:rPr>
                <w:rFonts w:eastAsia="Times New Roman" w:cs="Times New Roman"/>
                <w:b/>
                <w:sz w:val="20"/>
                <w:szCs w:val="20"/>
                <w:lang w:val="af-ZA"/>
              </w:rPr>
            </w:pPr>
          </w:p>
        </w:tc>
      </w:tr>
      <w:tr w:rsidR="00154773" w:rsidRPr="00DE2EF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6</w:t>
            </w:r>
          </w:p>
        </w:tc>
        <w:tc>
          <w:tcPr>
            <w:tcW w:w="10620" w:type="dxa"/>
          </w:tcPr>
          <w:p w:rsidR="00154773" w:rsidRPr="0053423A" w:rsidRDefault="00154773" w:rsidP="00154773">
            <w:pPr>
              <w:ind w:left="90"/>
              <w:jc w:val="both"/>
              <w:rPr>
                <w:rFonts w:eastAsia="Times New Roman" w:cs="Arial"/>
                <w:b/>
                <w:sz w:val="20"/>
                <w:szCs w:val="20"/>
                <w:u w:val="single"/>
                <w:lang w:val="hy-AM" w:eastAsia="ru-RU"/>
              </w:rPr>
            </w:pPr>
            <w:r w:rsidRPr="0053423A">
              <w:rPr>
                <w:rFonts w:eastAsia="Times New Roman" w:cs="Times New Roman"/>
                <w:b/>
                <w:sz w:val="20"/>
                <w:szCs w:val="20"/>
                <w:u w:val="single"/>
                <w:lang w:val="hy-AM" w:eastAsia="ru-RU"/>
              </w:rPr>
              <w:t xml:space="preserve">6.1 </w:t>
            </w:r>
            <w:r w:rsidRPr="0053423A">
              <w:rPr>
                <w:rFonts w:eastAsia="Calibri" w:cs="Times New Roman"/>
                <w:b/>
                <w:sz w:val="20"/>
                <w:szCs w:val="20"/>
                <w:u w:val="single"/>
                <w:lang w:val="hy-AM" w:eastAsia="ru-RU"/>
              </w:rPr>
              <w:t>Բարձրա</w:t>
            </w:r>
            <w:r w:rsidRPr="0053423A">
              <w:rPr>
                <w:rFonts w:eastAsia="Calibri" w:cs="Times New Roman"/>
                <w:b/>
                <w:sz w:val="20"/>
                <w:szCs w:val="20"/>
                <w:u w:val="single"/>
                <w:lang w:val="af-ZA" w:eastAsia="ru-RU"/>
              </w:rPr>
              <w:softHyphen/>
            </w:r>
            <w:r w:rsidRPr="0053423A">
              <w:rPr>
                <w:rFonts w:eastAsia="Calibri" w:cs="Times New Roman"/>
                <w:b/>
                <w:sz w:val="20"/>
                <w:szCs w:val="20"/>
                <w:u w:val="single"/>
                <w:lang w:val="hy-AM" w:eastAsia="ru-RU"/>
              </w:rPr>
              <w:t>գույն</w:t>
            </w:r>
            <w:r w:rsidRPr="0053423A">
              <w:rPr>
                <w:rFonts w:eastAsia="Calibri" w:cs="Times New Roman"/>
                <w:b/>
                <w:sz w:val="20"/>
                <w:szCs w:val="20"/>
                <w:u w:val="single"/>
                <w:lang w:val="af-ZA" w:eastAsia="ru-RU"/>
              </w:rPr>
              <w:t xml:space="preserve"> </w:t>
            </w:r>
            <w:r w:rsidRPr="0053423A">
              <w:rPr>
                <w:rFonts w:eastAsia="Calibri" w:cs="Times New Roman"/>
                <w:b/>
                <w:sz w:val="20"/>
                <w:szCs w:val="20"/>
                <w:u w:val="single"/>
                <w:lang w:val="hy-AM" w:eastAsia="ru-RU"/>
              </w:rPr>
              <w:t>կրթության</w:t>
            </w:r>
            <w:r w:rsidRPr="0053423A">
              <w:rPr>
                <w:rFonts w:eastAsia="Times New Roman" w:cs="Times New Roman"/>
                <w:b/>
                <w:sz w:val="20"/>
                <w:szCs w:val="20"/>
                <w:u w:val="single"/>
                <w:lang w:val="hy-AM" w:eastAsia="ru-RU"/>
              </w:rPr>
              <w:t xml:space="preserve"> և գիտահետազոտական գործունեության </w:t>
            </w:r>
            <w:r w:rsidRPr="0053423A">
              <w:rPr>
                <w:rFonts w:eastAsia="Calibri" w:cs="Times New Roman"/>
                <w:b/>
                <w:sz w:val="20"/>
                <w:szCs w:val="20"/>
                <w:u w:val="single"/>
                <w:lang w:val="af-ZA" w:eastAsia="ru-RU"/>
              </w:rPr>
              <w:t xml:space="preserve"> </w:t>
            </w:r>
            <w:r w:rsidRPr="0053423A">
              <w:rPr>
                <w:rFonts w:eastAsia="Calibri" w:cs="Times New Roman"/>
                <w:b/>
                <w:sz w:val="20"/>
                <w:szCs w:val="20"/>
                <w:u w:val="single"/>
                <w:lang w:val="hy-AM" w:eastAsia="ru-RU"/>
              </w:rPr>
              <w:t>մասին</w:t>
            </w:r>
            <w:r w:rsidRPr="0053423A">
              <w:rPr>
                <w:rFonts w:eastAsia="Calibri" w:cs="Times New Roman"/>
                <w:b/>
                <w:sz w:val="20"/>
                <w:szCs w:val="20"/>
                <w:u w:val="single"/>
                <w:lang w:val="af-ZA" w:eastAsia="ru-RU"/>
              </w:rPr>
              <w:t xml:space="preserve">» </w:t>
            </w:r>
            <w:r w:rsidRPr="0053423A">
              <w:rPr>
                <w:rFonts w:eastAsia="Calibri" w:cs="Times New Roman"/>
                <w:b/>
                <w:sz w:val="20"/>
                <w:szCs w:val="20"/>
                <w:u w:val="single"/>
                <w:lang w:val="hy-AM" w:eastAsia="ru-RU"/>
              </w:rPr>
              <w:t>Հայաս</w:t>
            </w:r>
            <w:r w:rsidRPr="0053423A">
              <w:rPr>
                <w:rFonts w:eastAsia="Calibri" w:cs="Times New Roman"/>
                <w:b/>
                <w:sz w:val="20"/>
                <w:szCs w:val="20"/>
                <w:u w:val="single"/>
                <w:lang w:val="hy-AM" w:eastAsia="ru-RU"/>
              </w:rPr>
              <w:softHyphen/>
              <w:t>տանի</w:t>
            </w:r>
            <w:r w:rsidRPr="0053423A">
              <w:rPr>
                <w:rFonts w:eastAsia="Calibri" w:cs="Times New Roman"/>
                <w:b/>
                <w:sz w:val="20"/>
                <w:szCs w:val="20"/>
                <w:u w:val="single"/>
                <w:lang w:val="af-ZA" w:eastAsia="ru-RU"/>
              </w:rPr>
              <w:t xml:space="preserve"> </w:t>
            </w:r>
            <w:r w:rsidRPr="0053423A">
              <w:rPr>
                <w:rFonts w:eastAsia="Calibri" w:cs="Times New Roman"/>
                <w:b/>
                <w:sz w:val="20"/>
                <w:szCs w:val="20"/>
                <w:u w:val="single"/>
                <w:lang w:val="hy-AM" w:eastAsia="ru-RU"/>
              </w:rPr>
              <w:t>Հանրապետութ</w:t>
            </w:r>
            <w:r w:rsidRPr="0053423A">
              <w:rPr>
                <w:rFonts w:eastAsia="Calibri" w:cs="Times New Roman"/>
                <w:b/>
                <w:sz w:val="20"/>
                <w:szCs w:val="20"/>
                <w:u w:val="single"/>
                <w:lang w:val="af-ZA" w:eastAsia="ru-RU"/>
              </w:rPr>
              <w:softHyphen/>
            </w:r>
            <w:r w:rsidRPr="0053423A">
              <w:rPr>
                <w:rFonts w:eastAsia="Calibri" w:cs="Times New Roman"/>
                <w:b/>
                <w:sz w:val="20"/>
                <w:szCs w:val="20"/>
                <w:u w:val="single"/>
                <w:lang w:val="hy-AM" w:eastAsia="ru-RU"/>
              </w:rPr>
              <w:t>յան</w:t>
            </w:r>
            <w:r w:rsidRPr="0053423A">
              <w:rPr>
                <w:rFonts w:eastAsia="Calibri" w:cs="Times New Roman"/>
                <w:b/>
                <w:sz w:val="20"/>
                <w:szCs w:val="20"/>
                <w:u w:val="single"/>
                <w:lang w:val="af-ZA" w:eastAsia="ru-RU"/>
              </w:rPr>
              <w:t xml:space="preserve"> </w:t>
            </w:r>
            <w:r w:rsidRPr="0053423A">
              <w:rPr>
                <w:rFonts w:eastAsia="Calibri" w:cs="Times New Roman"/>
                <w:b/>
                <w:sz w:val="20"/>
                <w:szCs w:val="20"/>
                <w:u w:val="single"/>
                <w:lang w:val="hy-AM" w:eastAsia="ru-RU"/>
              </w:rPr>
              <w:t>օրենքի</w:t>
            </w:r>
            <w:r w:rsidRPr="0053423A">
              <w:rPr>
                <w:rFonts w:eastAsia="Calibri" w:cs="Times New Roman"/>
                <w:b/>
                <w:sz w:val="20"/>
                <w:szCs w:val="20"/>
                <w:u w:val="single"/>
                <w:lang w:val="af-ZA" w:eastAsia="ru-RU"/>
              </w:rPr>
              <w:t xml:space="preserve"> </w:t>
            </w:r>
            <w:r w:rsidRPr="0053423A">
              <w:rPr>
                <w:rFonts w:eastAsia="Calibri" w:cs="Sylfaen"/>
                <w:b/>
                <w:sz w:val="20"/>
                <w:szCs w:val="20"/>
                <w:u w:val="single"/>
                <w:lang w:val="hy-AM" w:eastAsia="ru-RU"/>
              </w:rPr>
              <w:t>նախա</w:t>
            </w:r>
            <w:r w:rsidRPr="0053423A">
              <w:rPr>
                <w:rFonts w:eastAsia="Calibri" w:cs="Sylfaen"/>
                <w:b/>
                <w:sz w:val="20"/>
                <w:szCs w:val="20"/>
                <w:u w:val="single"/>
                <w:lang w:val="af-ZA" w:eastAsia="ru-RU"/>
              </w:rPr>
              <w:softHyphen/>
            </w:r>
            <w:r w:rsidRPr="0053423A">
              <w:rPr>
                <w:rFonts w:eastAsia="Calibri" w:cs="Sylfaen"/>
                <w:b/>
                <w:sz w:val="20"/>
                <w:szCs w:val="20"/>
                <w:u w:val="single"/>
                <w:lang w:val="hy-AM" w:eastAsia="ru-RU"/>
              </w:rPr>
              <w:t>գծի</w:t>
            </w:r>
            <w:r w:rsidRPr="0053423A">
              <w:rPr>
                <w:rFonts w:eastAsia="Calibri" w:cs="Sylfaen"/>
                <w:b/>
                <w:sz w:val="20"/>
                <w:szCs w:val="20"/>
                <w:u w:val="single"/>
                <w:lang w:val="af-ZA" w:eastAsia="ru-RU"/>
              </w:rPr>
              <w:t xml:space="preserve"> </w:t>
            </w:r>
            <w:r w:rsidRPr="0053423A">
              <w:rPr>
                <w:rFonts w:eastAsia="Calibri" w:cs="Sylfaen"/>
                <w:b/>
                <w:sz w:val="20"/>
                <w:szCs w:val="20"/>
                <w:u w:val="single"/>
                <w:lang w:val="hy-AM" w:eastAsia="ru-RU"/>
              </w:rPr>
              <w:t>ներկայացում</w:t>
            </w:r>
            <w:r w:rsidRPr="0053423A">
              <w:rPr>
                <w:rFonts w:eastAsia="Calibri" w:cs="Sylfaen"/>
                <w:b/>
                <w:sz w:val="20"/>
                <w:szCs w:val="20"/>
                <w:u w:val="single"/>
                <w:lang w:val="af-ZA" w:eastAsia="ru-RU"/>
              </w:rPr>
              <w:t xml:space="preserve"> </w:t>
            </w:r>
            <w:r w:rsidRPr="0053423A">
              <w:rPr>
                <w:rFonts w:eastAsia="Calibri" w:cs="Sylfaen"/>
                <w:b/>
                <w:sz w:val="20"/>
                <w:szCs w:val="20"/>
                <w:u w:val="single"/>
                <w:lang w:val="hy-AM" w:eastAsia="ru-RU"/>
              </w:rPr>
              <w:t>ՀՀ</w:t>
            </w:r>
            <w:r w:rsidRPr="0053423A">
              <w:rPr>
                <w:rFonts w:eastAsia="Calibri" w:cs="Sylfaen"/>
                <w:b/>
                <w:sz w:val="20"/>
                <w:szCs w:val="20"/>
                <w:u w:val="single"/>
                <w:lang w:val="af-ZA" w:eastAsia="ru-RU"/>
              </w:rPr>
              <w:t xml:space="preserve"> </w:t>
            </w:r>
            <w:r w:rsidRPr="0053423A">
              <w:rPr>
                <w:rFonts w:eastAsia="Calibri" w:cs="Sylfaen"/>
                <w:b/>
                <w:sz w:val="20"/>
                <w:szCs w:val="20"/>
                <w:u w:val="single"/>
                <w:lang w:val="hy-AM" w:eastAsia="ru-RU"/>
              </w:rPr>
              <w:t>վարչապետի</w:t>
            </w:r>
            <w:r w:rsidRPr="0053423A">
              <w:rPr>
                <w:rFonts w:eastAsia="Calibri" w:cs="Sylfaen"/>
                <w:b/>
                <w:sz w:val="20"/>
                <w:szCs w:val="20"/>
                <w:u w:val="single"/>
                <w:lang w:val="af-ZA" w:eastAsia="ru-RU"/>
              </w:rPr>
              <w:t xml:space="preserve"> </w:t>
            </w:r>
            <w:r w:rsidRPr="0053423A">
              <w:rPr>
                <w:rFonts w:eastAsia="Calibri" w:cs="Sylfaen"/>
                <w:b/>
                <w:sz w:val="20"/>
                <w:szCs w:val="20"/>
                <w:u w:val="single"/>
                <w:lang w:val="hy-AM" w:eastAsia="ru-RU"/>
              </w:rPr>
              <w:t>աշխատա</w:t>
            </w:r>
            <w:r w:rsidRPr="0053423A">
              <w:rPr>
                <w:rFonts w:eastAsia="Calibri" w:cs="Sylfaen"/>
                <w:b/>
                <w:sz w:val="20"/>
                <w:szCs w:val="20"/>
                <w:u w:val="single"/>
                <w:lang w:val="hy-AM" w:eastAsia="ru-RU"/>
              </w:rPr>
              <w:softHyphen/>
              <w:t>կազմ</w:t>
            </w:r>
          </w:p>
          <w:p w:rsidR="00154773" w:rsidRPr="0053423A" w:rsidRDefault="00154773" w:rsidP="00154773">
            <w:pPr>
              <w:ind w:left="180" w:firstLine="450"/>
              <w:jc w:val="both"/>
              <w:rPr>
                <w:rFonts w:eastAsia="Times New Roman" w:cs="Arial"/>
                <w:b/>
                <w:sz w:val="20"/>
                <w:szCs w:val="20"/>
                <w:lang w:val="hy-AM" w:eastAsia="ru-RU"/>
              </w:rPr>
            </w:pPr>
          </w:p>
          <w:p w:rsidR="00154773" w:rsidRPr="0053423A" w:rsidRDefault="00154773" w:rsidP="00154773">
            <w:pPr>
              <w:ind w:left="630"/>
              <w:jc w:val="both"/>
              <w:rPr>
                <w:rFonts w:eastAsia="Times New Roman" w:cs="Sylfaen"/>
                <w:sz w:val="20"/>
                <w:szCs w:val="20"/>
                <w:lang w:val="hy-AM"/>
              </w:rPr>
            </w:pPr>
            <w:r w:rsidRPr="0053423A">
              <w:rPr>
                <w:rFonts w:eastAsia="Times New Roman" w:cs="Arial"/>
                <w:b/>
                <w:sz w:val="20"/>
                <w:szCs w:val="20"/>
                <w:lang w:val="hy-AM" w:eastAsia="ru-RU"/>
              </w:rPr>
              <w:t>1. Միջոցառման</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իրականացման</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անհրաժեշտությունը</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և</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նպատակը</w:t>
            </w:r>
            <w:r w:rsidRPr="0053423A">
              <w:rPr>
                <w:rFonts w:eastAsia="Times New Roman" w:cs="Arial Armenian"/>
                <w:sz w:val="20"/>
                <w:szCs w:val="20"/>
                <w:lang w:val="hy-AM" w:eastAsia="ru-RU"/>
              </w:rPr>
              <w:t xml:space="preserve"> </w:t>
            </w:r>
          </w:p>
          <w:p w:rsidR="00154773" w:rsidRPr="0053423A" w:rsidRDefault="00154773" w:rsidP="00154773">
            <w:pPr>
              <w:jc w:val="both"/>
              <w:rPr>
                <w:rFonts w:eastAsia="Times New Roman" w:cs="Sylfaen"/>
                <w:sz w:val="20"/>
                <w:szCs w:val="20"/>
                <w:lang w:val="hy-AM"/>
              </w:rPr>
            </w:pPr>
          </w:p>
          <w:p w:rsidR="00154773" w:rsidRPr="0053423A" w:rsidRDefault="00154773" w:rsidP="00154773">
            <w:pPr>
              <w:shd w:val="clear" w:color="auto" w:fill="FFFFFF"/>
              <w:ind w:firstLine="360"/>
              <w:jc w:val="both"/>
              <w:textAlignment w:val="baseline"/>
              <w:rPr>
                <w:spacing w:val="-4"/>
                <w:sz w:val="20"/>
                <w:szCs w:val="20"/>
                <w:lang w:val="hy-AM"/>
              </w:rPr>
            </w:pPr>
            <w:r w:rsidRPr="0053423A">
              <w:rPr>
                <w:spacing w:val="-4"/>
                <w:sz w:val="20"/>
                <w:szCs w:val="20"/>
                <w:lang w:val="hy-AM"/>
              </w:rPr>
              <w:t xml:space="preserve">Միջոցառման գլխավոր նպատակն է  կրթության համակարգի կառավարման արդյունավետության բարձրացումը: </w:t>
            </w:r>
          </w:p>
          <w:p w:rsidR="00154773" w:rsidRPr="0053423A" w:rsidRDefault="00154773" w:rsidP="00154773">
            <w:pPr>
              <w:ind w:firstLine="360"/>
              <w:jc w:val="both"/>
              <w:rPr>
                <w:rFonts w:eastAsia="Times New Roman" w:cs="Sylfaen"/>
                <w:sz w:val="20"/>
                <w:szCs w:val="20"/>
                <w:lang w:val="et-EE"/>
              </w:rPr>
            </w:pPr>
            <w:r w:rsidRPr="0053423A">
              <w:rPr>
                <w:rFonts w:eastAsia="Times New Roman" w:cs="Times New Roman"/>
                <w:spacing w:val="-4"/>
                <w:sz w:val="20"/>
                <w:szCs w:val="20"/>
                <w:lang w:val="hy-AM" w:eastAsia="ru-RU"/>
              </w:rPr>
              <w:t xml:space="preserve">Միջոցառման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lang w:val="hy-AM" w:eastAsia="ru-RU"/>
              </w:rPr>
              <w:t>«</w:t>
            </w:r>
            <w:r w:rsidRPr="0053423A">
              <w:rPr>
                <w:rFonts w:eastAsia="Times New Roman" w:cs="Times New Roman"/>
                <w:spacing w:val="-4"/>
                <w:sz w:val="20"/>
                <w:szCs w:val="20"/>
                <w:lang w:val="hy-AM" w:eastAsia="ru-RU"/>
              </w:rPr>
              <w:t>4.4 ԿՐԹՈՒԹՅՈՒՆ ԵՎ ԳԻՏՈՒԹՅՈՒՆ</w:t>
            </w:r>
            <w:r w:rsidRPr="0053423A">
              <w:rPr>
                <w:rFonts w:eastAsia="Times New Roman" w:cs="Times New Roman"/>
                <w:sz w:val="20"/>
                <w:szCs w:val="20"/>
                <w:lang w:val="hy-AM" w:eastAsia="ru-RU"/>
              </w:rPr>
              <w:t xml:space="preserve">»  </w:t>
            </w:r>
            <w:r w:rsidRPr="0053423A">
              <w:rPr>
                <w:rFonts w:eastAsia="Calibri" w:cs="Sylfaen"/>
                <w:sz w:val="20"/>
                <w:szCs w:val="20"/>
                <w:lang w:val="hy-AM" w:eastAsia="ru-RU"/>
              </w:rPr>
              <w:t xml:space="preserve">բաժնի 3-րդ պարբերությունից և </w:t>
            </w:r>
            <w:r w:rsidRPr="0053423A">
              <w:rPr>
                <w:rFonts w:eastAsia="Times New Roman" w:cs="Arian AMU"/>
                <w:sz w:val="20"/>
                <w:szCs w:val="20"/>
                <w:lang w:val="et-EE"/>
              </w:rPr>
              <w:t xml:space="preserve"> բարձրագույն կրթության ոլորտի </w:t>
            </w:r>
            <w:r w:rsidRPr="0053423A">
              <w:rPr>
                <w:rFonts w:eastAsia="Times New Roman" w:cs="Sylfaen"/>
                <w:sz w:val="20"/>
                <w:szCs w:val="20"/>
                <w:lang w:val="af-ZA"/>
              </w:rPr>
              <w:t>1-ին պարբերություն</w:t>
            </w:r>
            <w:r w:rsidRPr="0053423A">
              <w:rPr>
                <w:rFonts w:eastAsia="Times New Roman" w:cs="Sylfaen"/>
                <w:sz w:val="20"/>
                <w:szCs w:val="20"/>
                <w:lang w:val="hy-AM"/>
              </w:rPr>
              <w:t>ից</w:t>
            </w:r>
            <w:r w:rsidRPr="0053423A">
              <w:rPr>
                <w:rFonts w:eastAsia="Times New Roman" w:cs="Sylfaen"/>
                <w:sz w:val="20"/>
                <w:szCs w:val="20"/>
                <w:lang w:val="et-EE"/>
              </w:rPr>
              <w:t xml:space="preserve">: </w:t>
            </w:r>
          </w:p>
          <w:p w:rsidR="00154773" w:rsidRPr="0053423A" w:rsidRDefault="00154773" w:rsidP="00154773">
            <w:pPr>
              <w:ind w:firstLine="360"/>
              <w:jc w:val="both"/>
              <w:rPr>
                <w:rFonts w:eastAsia="Times New Roman" w:cs="Arian AMU"/>
                <w:sz w:val="20"/>
                <w:szCs w:val="20"/>
                <w:lang w:val="et-EE"/>
              </w:rPr>
            </w:pPr>
            <w:r w:rsidRPr="0053423A">
              <w:rPr>
                <w:rFonts w:eastAsia="Times New Roman" w:cs="Times New Roman"/>
                <w:sz w:val="20"/>
                <w:szCs w:val="20"/>
                <w:lang w:val="hy-AM" w:eastAsia="ru-RU"/>
              </w:rPr>
              <w:t>«Բարձրագույն կրթության և գիտահետազոտական գործունեության մասին»</w:t>
            </w:r>
            <w:r w:rsidRPr="0053423A">
              <w:rPr>
                <w:rFonts w:eastAsia="Times New Roman" w:cs="Arian AMU"/>
                <w:sz w:val="20"/>
                <w:szCs w:val="20"/>
                <w:lang w:val="et-EE"/>
              </w:rPr>
              <w:t xml:space="preserve"> </w:t>
            </w:r>
            <w:r w:rsidRPr="0053423A">
              <w:rPr>
                <w:rFonts w:eastAsia="Times New Roman" w:cs="Arian AMU"/>
                <w:sz w:val="20"/>
                <w:szCs w:val="20"/>
              </w:rPr>
              <w:t>ՀՀ</w:t>
            </w:r>
            <w:r w:rsidRPr="0053423A">
              <w:rPr>
                <w:rFonts w:eastAsia="Times New Roman" w:cs="Arian AMU"/>
                <w:sz w:val="20"/>
                <w:szCs w:val="20"/>
                <w:lang w:val="et-EE"/>
              </w:rPr>
              <w:t xml:space="preserve">  </w:t>
            </w:r>
            <w:r w:rsidRPr="0053423A">
              <w:rPr>
                <w:rFonts w:eastAsia="Times New Roman" w:cs="Arian AMU"/>
                <w:sz w:val="20"/>
                <w:szCs w:val="20"/>
              </w:rPr>
              <w:t>օրենքի</w:t>
            </w:r>
            <w:r w:rsidRPr="0053423A">
              <w:rPr>
                <w:rFonts w:eastAsia="Times New Roman" w:cs="Arian AMU"/>
                <w:sz w:val="20"/>
                <w:szCs w:val="20"/>
                <w:lang w:val="et-EE"/>
              </w:rPr>
              <w:t xml:space="preserve"> </w:t>
            </w:r>
            <w:r w:rsidRPr="0053423A">
              <w:rPr>
                <w:rFonts w:eastAsia="Times New Roman" w:cs="Arian AMU"/>
                <w:sz w:val="20"/>
                <w:szCs w:val="20"/>
              </w:rPr>
              <w:t>ընդունման</w:t>
            </w:r>
            <w:r w:rsidRPr="0053423A">
              <w:rPr>
                <w:rFonts w:eastAsia="Times New Roman" w:cs="Arian AMU"/>
                <w:sz w:val="20"/>
                <w:szCs w:val="20"/>
                <w:lang w:val="et-EE"/>
              </w:rPr>
              <w:t xml:space="preserve"> </w:t>
            </w:r>
            <w:r w:rsidRPr="0053423A">
              <w:rPr>
                <w:rFonts w:eastAsia="Times New Roman" w:cs="Arian AMU"/>
                <w:sz w:val="20"/>
                <w:szCs w:val="20"/>
              </w:rPr>
              <w:t>նպատակն</w:t>
            </w:r>
            <w:r w:rsidRPr="0053423A">
              <w:rPr>
                <w:rFonts w:eastAsia="Times New Roman" w:cs="Arian AMU"/>
                <w:sz w:val="20"/>
                <w:szCs w:val="20"/>
                <w:lang w:val="et-EE"/>
              </w:rPr>
              <w:t xml:space="preserve"> </w:t>
            </w:r>
            <w:r w:rsidRPr="0053423A">
              <w:rPr>
                <w:rFonts w:eastAsia="Times New Roman" w:cs="Arian AMU"/>
                <w:sz w:val="20"/>
                <w:szCs w:val="20"/>
              </w:rPr>
              <w:t>է</w:t>
            </w:r>
            <w:r w:rsidRPr="0053423A">
              <w:rPr>
                <w:rFonts w:eastAsia="Times New Roman" w:cs="Arian AMU"/>
                <w:sz w:val="20"/>
                <w:szCs w:val="20"/>
                <w:lang w:val="et-EE"/>
              </w:rPr>
              <w:t xml:space="preserve"> </w:t>
            </w:r>
            <w:r w:rsidRPr="0053423A">
              <w:rPr>
                <w:rFonts w:eastAsia="Times New Roman" w:cs="Arian AMU"/>
                <w:sz w:val="20"/>
                <w:szCs w:val="20"/>
              </w:rPr>
              <w:t>բարձրագույն</w:t>
            </w:r>
            <w:r w:rsidRPr="0053423A">
              <w:rPr>
                <w:rFonts w:eastAsia="Times New Roman" w:cs="Arian AMU"/>
                <w:sz w:val="20"/>
                <w:szCs w:val="20"/>
                <w:lang w:val="et-EE"/>
              </w:rPr>
              <w:t xml:space="preserve"> </w:t>
            </w:r>
            <w:r w:rsidRPr="0053423A">
              <w:rPr>
                <w:rFonts w:eastAsia="Times New Roman" w:cs="Arian AMU"/>
                <w:sz w:val="20"/>
                <w:szCs w:val="20"/>
              </w:rPr>
              <w:t>ուսումնական</w:t>
            </w:r>
            <w:r w:rsidRPr="0053423A">
              <w:rPr>
                <w:rFonts w:eastAsia="Times New Roman" w:cs="Arian AMU"/>
                <w:sz w:val="20"/>
                <w:szCs w:val="20"/>
                <w:lang w:val="et-EE"/>
              </w:rPr>
              <w:t xml:space="preserve"> </w:t>
            </w:r>
            <w:r w:rsidRPr="0053423A">
              <w:rPr>
                <w:rFonts w:eastAsia="Times New Roman" w:cs="Arian AMU"/>
                <w:sz w:val="20"/>
                <w:szCs w:val="20"/>
              </w:rPr>
              <w:t>հաստատությունների</w:t>
            </w:r>
            <w:r w:rsidRPr="0053423A">
              <w:rPr>
                <w:rFonts w:eastAsia="Times New Roman" w:cs="Arian AMU"/>
                <w:sz w:val="20"/>
                <w:szCs w:val="20"/>
                <w:lang w:val="et-EE"/>
              </w:rPr>
              <w:t xml:space="preserve"> </w:t>
            </w:r>
            <w:r w:rsidRPr="0053423A">
              <w:rPr>
                <w:rFonts w:eastAsia="Times New Roman" w:cs="Arian AMU"/>
                <w:sz w:val="20"/>
                <w:szCs w:val="20"/>
              </w:rPr>
              <w:t>ինքնավարության</w:t>
            </w:r>
            <w:r w:rsidRPr="0053423A">
              <w:rPr>
                <w:rFonts w:eastAsia="Times New Roman" w:cs="Arian AMU"/>
                <w:sz w:val="20"/>
                <w:szCs w:val="20"/>
                <w:lang w:val="et-EE"/>
              </w:rPr>
              <w:t xml:space="preserve"> </w:t>
            </w:r>
            <w:r w:rsidRPr="0053423A">
              <w:rPr>
                <w:rFonts w:eastAsia="Times New Roman" w:cs="Arian AMU"/>
                <w:sz w:val="20"/>
                <w:szCs w:val="20"/>
              </w:rPr>
              <w:t>և</w:t>
            </w:r>
            <w:r w:rsidRPr="0053423A">
              <w:rPr>
                <w:rFonts w:eastAsia="Times New Roman" w:cs="Arian AMU"/>
                <w:sz w:val="20"/>
                <w:szCs w:val="20"/>
                <w:lang w:val="et-EE"/>
              </w:rPr>
              <w:t xml:space="preserve"> </w:t>
            </w:r>
            <w:r w:rsidRPr="0053423A">
              <w:rPr>
                <w:rFonts w:eastAsia="Times New Roman" w:cs="Arian AMU"/>
                <w:sz w:val="20"/>
                <w:szCs w:val="20"/>
              </w:rPr>
              <w:t>ակադեմիական</w:t>
            </w:r>
            <w:r w:rsidRPr="0053423A">
              <w:rPr>
                <w:rFonts w:eastAsia="Times New Roman" w:cs="Arian AMU"/>
                <w:sz w:val="20"/>
                <w:szCs w:val="20"/>
                <w:lang w:val="et-EE"/>
              </w:rPr>
              <w:t xml:space="preserve"> </w:t>
            </w:r>
            <w:r w:rsidRPr="0053423A">
              <w:rPr>
                <w:rFonts w:eastAsia="Times New Roman" w:cs="Arian AMU"/>
                <w:sz w:val="20"/>
                <w:szCs w:val="20"/>
              </w:rPr>
              <w:t>ազատությունների</w:t>
            </w:r>
            <w:r w:rsidRPr="0053423A">
              <w:rPr>
                <w:rFonts w:eastAsia="Times New Roman" w:cs="Arian AMU"/>
                <w:sz w:val="20"/>
                <w:szCs w:val="20"/>
                <w:lang w:val="et-EE"/>
              </w:rPr>
              <w:t xml:space="preserve"> </w:t>
            </w:r>
            <w:r w:rsidRPr="0053423A">
              <w:rPr>
                <w:rFonts w:eastAsia="Times New Roman" w:cs="Arian AMU"/>
                <w:sz w:val="20"/>
                <w:szCs w:val="20"/>
              </w:rPr>
              <w:t>ընդլայնման</w:t>
            </w:r>
            <w:r w:rsidRPr="0053423A">
              <w:rPr>
                <w:rFonts w:eastAsia="Times New Roman" w:cs="Arian AMU"/>
                <w:sz w:val="20"/>
                <w:szCs w:val="20"/>
                <w:lang w:val="et-EE"/>
              </w:rPr>
              <w:t xml:space="preserve">, </w:t>
            </w:r>
            <w:r w:rsidRPr="0053423A">
              <w:rPr>
                <w:rFonts w:eastAsia="Times New Roman" w:cs="Arian AMU"/>
                <w:sz w:val="20"/>
                <w:szCs w:val="20"/>
              </w:rPr>
              <w:t>արդյունավետ</w:t>
            </w:r>
            <w:r w:rsidRPr="0053423A">
              <w:rPr>
                <w:rFonts w:eastAsia="Times New Roman" w:cs="Arian AMU"/>
                <w:sz w:val="20"/>
                <w:szCs w:val="20"/>
                <w:lang w:val="et-EE"/>
              </w:rPr>
              <w:t xml:space="preserve"> </w:t>
            </w:r>
            <w:r w:rsidRPr="0053423A">
              <w:rPr>
                <w:rFonts w:eastAsia="Times New Roman" w:cs="Arian AMU"/>
                <w:sz w:val="20"/>
                <w:szCs w:val="20"/>
              </w:rPr>
              <w:t>կառավարման</w:t>
            </w:r>
            <w:r w:rsidRPr="0053423A">
              <w:rPr>
                <w:rFonts w:eastAsia="Times New Roman" w:cs="Arian AMU"/>
                <w:sz w:val="20"/>
                <w:szCs w:val="20"/>
                <w:lang w:val="et-EE"/>
              </w:rPr>
              <w:t xml:space="preserve">, </w:t>
            </w:r>
            <w:r w:rsidRPr="0053423A">
              <w:rPr>
                <w:rFonts w:eastAsia="Times New Roman" w:cs="Arian AMU"/>
                <w:sz w:val="20"/>
                <w:szCs w:val="20"/>
              </w:rPr>
              <w:t>հավասարակշռված</w:t>
            </w:r>
            <w:r w:rsidRPr="0053423A">
              <w:rPr>
                <w:rFonts w:eastAsia="Times New Roman" w:cs="Arian AMU"/>
                <w:sz w:val="20"/>
                <w:szCs w:val="20"/>
                <w:lang w:val="et-EE"/>
              </w:rPr>
              <w:t xml:space="preserve"> </w:t>
            </w:r>
            <w:r w:rsidRPr="0053423A">
              <w:rPr>
                <w:rFonts w:eastAsia="Times New Roman" w:cs="Arian AMU"/>
                <w:sz w:val="20"/>
                <w:szCs w:val="20"/>
              </w:rPr>
              <w:t>հաշվետվողականության</w:t>
            </w:r>
            <w:r w:rsidRPr="0053423A">
              <w:rPr>
                <w:rFonts w:eastAsia="Times New Roman" w:cs="Arian AMU"/>
                <w:sz w:val="20"/>
                <w:szCs w:val="20"/>
                <w:lang w:val="et-EE"/>
              </w:rPr>
              <w:t xml:space="preserve"> </w:t>
            </w:r>
            <w:r w:rsidRPr="0053423A">
              <w:rPr>
                <w:rFonts w:eastAsia="Times New Roman" w:cs="Arian AMU"/>
                <w:sz w:val="20"/>
                <w:szCs w:val="20"/>
              </w:rPr>
              <w:t>և</w:t>
            </w:r>
            <w:r w:rsidRPr="0053423A">
              <w:rPr>
                <w:rFonts w:eastAsia="Times New Roman" w:cs="Arian AMU"/>
                <w:sz w:val="20"/>
                <w:szCs w:val="20"/>
                <w:lang w:val="et-EE"/>
              </w:rPr>
              <w:t xml:space="preserve"> </w:t>
            </w:r>
            <w:r w:rsidRPr="0053423A">
              <w:rPr>
                <w:rFonts w:eastAsia="Times New Roman" w:cs="Arian AMU"/>
                <w:sz w:val="20"/>
                <w:szCs w:val="20"/>
              </w:rPr>
              <w:t>թափանցիկության</w:t>
            </w:r>
            <w:r w:rsidRPr="0053423A">
              <w:rPr>
                <w:rFonts w:eastAsia="Times New Roman" w:cs="Arian AMU"/>
                <w:sz w:val="20"/>
                <w:szCs w:val="20"/>
                <w:lang w:val="et-EE"/>
              </w:rPr>
              <w:t xml:space="preserve"> </w:t>
            </w:r>
            <w:r w:rsidRPr="0053423A">
              <w:rPr>
                <w:rFonts w:eastAsia="Times New Roman" w:cs="Arian AMU"/>
                <w:sz w:val="20"/>
                <w:szCs w:val="20"/>
              </w:rPr>
              <w:t>մեխանիզմների</w:t>
            </w:r>
            <w:r w:rsidRPr="0053423A">
              <w:rPr>
                <w:rFonts w:eastAsia="Times New Roman" w:cs="Arian AMU"/>
                <w:sz w:val="20"/>
                <w:szCs w:val="20"/>
                <w:lang w:val="et-EE"/>
              </w:rPr>
              <w:t xml:space="preserve"> </w:t>
            </w:r>
            <w:r w:rsidRPr="0053423A">
              <w:rPr>
                <w:rFonts w:eastAsia="Times New Roman" w:cs="Arian AMU"/>
                <w:sz w:val="20"/>
                <w:szCs w:val="20"/>
              </w:rPr>
              <w:t>ինստիտուցիոնալ</w:t>
            </w:r>
            <w:r w:rsidRPr="0053423A">
              <w:rPr>
                <w:rFonts w:eastAsia="Times New Roman" w:cs="Arian AMU"/>
                <w:sz w:val="20"/>
                <w:szCs w:val="20"/>
                <w:lang w:val="et-EE"/>
              </w:rPr>
              <w:t xml:space="preserve"> </w:t>
            </w:r>
            <w:r w:rsidRPr="0053423A">
              <w:rPr>
                <w:rFonts w:eastAsia="Times New Roman" w:cs="Arian AMU"/>
                <w:sz w:val="20"/>
                <w:szCs w:val="20"/>
              </w:rPr>
              <w:t>հենքի</w:t>
            </w:r>
            <w:r w:rsidRPr="0053423A">
              <w:rPr>
                <w:rFonts w:eastAsia="Times New Roman" w:cs="Arian AMU"/>
                <w:sz w:val="20"/>
                <w:szCs w:val="20"/>
                <w:lang w:val="et-EE"/>
              </w:rPr>
              <w:t xml:space="preserve">, </w:t>
            </w:r>
            <w:r w:rsidRPr="0053423A">
              <w:rPr>
                <w:rFonts w:eastAsia="Times New Roman" w:cs="Arian AMU"/>
                <w:sz w:val="20"/>
                <w:szCs w:val="20"/>
              </w:rPr>
              <w:t>իրավական</w:t>
            </w:r>
            <w:r w:rsidRPr="0053423A">
              <w:rPr>
                <w:rFonts w:eastAsia="Times New Roman" w:cs="Arian AMU"/>
                <w:sz w:val="20"/>
                <w:szCs w:val="20"/>
                <w:lang w:val="et-EE"/>
              </w:rPr>
              <w:t xml:space="preserve"> </w:t>
            </w:r>
            <w:r w:rsidRPr="0053423A">
              <w:rPr>
                <w:rFonts w:eastAsia="Times New Roman" w:cs="Arian AMU"/>
                <w:sz w:val="20"/>
                <w:szCs w:val="20"/>
              </w:rPr>
              <w:t>հիմքերի</w:t>
            </w:r>
            <w:r w:rsidRPr="0053423A">
              <w:rPr>
                <w:rFonts w:eastAsia="Times New Roman" w:cs="Arian AMU"/>
                <w:sz w:val="20"/>
                <w:szCs w:val="20"/>
                <w:lang w:val="et-EE"/>
              </w:rPr>
              <w:t xml:space="preserve"> </w:t>
            </w:r>
            <w:r w:rsidRPr="0053423A">
              <w:rPr>
                <w:rFonts w:eastAsia="Times New Roman" w:cs="Arian AMU"/>
                <w:sz w:val="20"/>
                <w:szCs w:val="20"/>
              </w:rPr>
              <w:t>ստեղծման</w:t>
            </w:r>
            <w:r w:rsidRPr="0053423A">
              <w:rPr>
                <w:rFonts w:eastAsia="Times New Roman" w:cs="Arian AMU"/>
                <w:sz w:val="20"/>
                <w:szCs w:val="20"/>
                <w:lang w:val="et-EE"/>
              </w:rPr>
              <w:t xml:space="preserve"> </w:t>
            </w:r>
            <w:r w:rsidRPr="0053423A">
              <w:rPr>
                <w:rFonts w:eastAsia="Times New Roman" w:cs="Arian AMU"/>
                <w:sz w:val="20"/>
                <w:szCs w:val="20"/>
              </w:rPr>
              <w:t>ապահովմանը</w:t>
            </w:r>
            <w:r w:rsidRPr="0053423A">
              <w:rPr>
                <w:rFonts w:eastAsia="Times New Roman" w:cs="Arian AMU"/>
                <w:sz w:val="20"/>
                <w:szCs w:val="20"/>
                <w:lang w:val="et-EE"/>
              </w:rPr>
              <w:t xml:space="preserve">` </w:t>
            </w:r>
            <w:r w:rsidRPr="0053423A">
              <w:rPr>
                <w:rFonts w:eastAsia="Times New Roman" w:cs="Arian AMU"/>
                <w:sz w:val="20"/>
                <w:szCs w:val="20"/>
              </w:rPr>
              <w:t>բարձրագույն</w:t>
            </w:r>
            <w:r w:rsidRPr="0053423A">
              <w:rPr>
                <w:rFonts w:eastAsia="Times New Roman" w:cs="Arian AMU"/>
                <w:sz w:val="20"/>
                <w:szCs w:val="20"/>
                <w:lang w:val="et-EE"/>
              </w:rPr>
              <w:t xml:space="preserve"> </w:t>
            </w:r>
            <w:r w:rsidRPr="0053423A">
              <w:rPr>
                <w:rFonts w:eastAsia="Times New Roman" w:cs="Arian AMU"/>
                <w:sz w:val="20"/>
                <w:szCs w:val="20"/>
              </w:rPr>
              <w:t>կրթության</w:t>
            </w:r>
            <w:r w:rsidRPr="0053423A">
              <w:rPr>
                <w:rFonts w:eastAsia="Times New Roman" w:cs="Arian AMU"/>
                <w:sz w:val="20"/>
                <w:szCs w:val="20"/>
                <w:lang w:val="et-EE"/>
              </w:rPr>
              <w:t xml:space="preserve"> </w:t>
            </w:r>
            <w:r w:rsidRPr="0053423A">
              <w:rPr>
                <w:rFonts w:eastAsia="Times New Roman" w:cs="Arian AMU"/>
                <w:sz w:val="20"/>
                <w:szCs w:val="20"/>
              </w:rPr>
              <w:t>և</w:t>
            </w:r>
            <w:r w:rsidRPr="0053423A">
              <w:rPr>
                <w:rFonts w:eastAsia="Times New Roman" w:cs="Arian AMU"/>
                <w:sz w:val="20"/>
                <w:szCs w:val="20"/>
                <w:lang w:val="et-EE"/>
              </w:rPr>
              <w:t xml:space="preserve"> </w:t>
            </w:r>
            <w:r w:rsidRPr="0053423A">
              <w:rPr>
                <w:rFonts w:eastAsia="Times New Roman" w:cs="Arian AMU"/>
                <w:sz w:val="20"/>
                <w:szCs w:val="20"/>
              </w:rPr>
              <w:t>գիտության</w:t>
            </w:r>
            <w:r w:rsidRPr="0053423A">
              <w:rPr>
                <w:rFonts w:eastAsia="Times New Roman" w:cs="Arian AMU"/>
                <w:sz w:val="20"/>
                <w:szCs w:val="20"/>
                <w:lang w:val="et-EE"/>
              </w:rPr>
              <w:t xml:space="preserve"> </w:t>
            </w:r>
            <w:r w:rsidRPr="0053423A">
              <w:rPr>
                <w:rFonts w:eastAsia="Times New Roman" w:cs="Arian AMU"/>
                <w:sz w:val="20"/>
                <w:szCs w:val="20"/>
              </w:rPr>
              <w:t>ոլորտների</w:t>
            </w:r>
            <w:r w:rsidRPr="0053423A">
              <w:rPr>
                <w:rFonts w:eastAsia="Times New Roman" w:cs="Arian AMU"/>
                <w:sz w:val="20"/>
                <w:szCs w:val="20"/>
                <w:lang w:val="et-EE"/>
              </w:rPr>
              <w:t xml:space="preserve"> </w:t>
            </w:r>
            <w:r w:rsidRPr="0053423A">
              <w:rPr>
                <w:rFonts w:eastAsia="Times New Roman" w:cs="Arian AMU"/>
                <w:sz w:val="20"/>
                <w:szCs w:val="20"/>
              </w:rPr>
              <w:t>բարեփոխումների</w:t>
            </w:r>
            <w:r w:rsidRPr="0053423A">
              <w:rPr>
                <w:rFonts w:eastAsia="Times New Roman" w:cs="Arian AMU"/>
                <w:sz w:val="20"/>
                <w:szCs w:val="20"/>
                <w:lang w:val="et-EE"/>
              </w:rPr>
              <w:t xml:space="preserve"> </w:t>
            </w:r>
            <w:r w:rsidRPr="0053423A">
              <w:rPr>
                <w:rFonts w:eastAsia="Times New Roman" w:cs="Arian AMU"/>
                <w:sz w:val="20"/>
                <w:szCs w:val="20"/>
              </w:rPr>
              <w:t>իրականացման</w:t>
            </w:r>
            <w:r w:rsidRPr="0053423A">
              <w:rPr>
                <w:rFonts w:eastAsia="Times New Roman" w:cs="Arian AMU"/>
                <w:sz w:val="20"/>
                <w:szCs w:val="20"/>
                <w:lang w:val="et-EE"/>
              </w:rPr>
              <w:t xml:space="preserve"> </w:t>
            </w:r>
            <w:r w:rsidRPr="0053423A">
              <w:rPr>
                <w:rFonts w:eastAsia="Times New Roman" w:cs="Arian AMU"/>
                <w:sz w:val="20"/>
                <w:szCs w:val="20"/>
              </w:rPr>
              <w:t>համար</w:t>
            </w:r>
            <w:r w:rsidRPr="0053423A">
              <w:rPr>
                <w:rFonts w:eastAsia="Times New Roman" w:cs="Arian AMU"/>
                <w:sz w:val="20"/>
                <w:szCs w:val="20"/>
                <w:lang w:val="et-EE"/>
              </w:rPr>
              <w:t>:</w:t>
            </w:r>
          </w:p>
          <w:p w:rsidR="00154773" w:rsidRPr="0053423A" w:rsidRDefault="00154773" w:rsidP="00154773">
            <w:pPr>
              <w:ind w:firstLine="360"/>
              <w:jc w:val="both"/>
              <w:rPr>
                <w:rFonts w:eastAsia="Times New Roman" w:cs="Arian AMU"/>
                <w:sz w:val="20"/>
                <w:szCs w:val="20"/>
                <w:lang w:val="et-EE"/>
              </w:rPr>
            </w:pPr>
          </w:p>
          <w:p w:rsidR="00154773" w:rsidRPr="0053423A" w:rsidRDefault="00154773" w:rsidP="001F6D5D">
            <w:pPr>
              <w:numPr>
                <w:ilvl w:val="1"/>
                <w:numId w:val="468"/>
              </w:numPr>
              <w:ind w:left="1080"/>
              <w:jc w:val="both"/>
              <w:rPr>
                <w:rFonts w:eastAsia="Times New Roman" w:cs="Arial"/>
                <w:b/>
                <w:sz w:val="20"/>
                <w:szCs w:val="20"/>
                <w:lang w:val="et-EE" w:eastAsia="ru-RU"/>
              </w:rPr>
            </w:pPr>
            <w:r w:rsidRPr="0053423A">
              <w:rPr>
                <w:rFonts w:eastAsia="Times New Roman" w:cs="Arial"/>
                <w:b/>
                <w:sz w:val="20"/>
                <w:szCs w:val="20"/>
                <w:lang w:eastAsia="ru-RU"/>
              </w:rPr>
              <w:t>կ</w:t>
            </w:r>
            <w:r w:rsidRPr="0053423A">
              <w:rPr>
                <w:rFonts w:eastAsia="Times New Roman" w:cs="Arial"/>
                <w:b/>
                <w:sz w:val="20"/>
                <w:szCs w:val="20"/>
                <w:lang w:val="hy-AM" w:eastAsia="ru-RU"/>
              </w:rPr>
              <w:t>արգավորման</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հարաբերությունների</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ներկա</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վիճակը</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և</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առկա</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խնդիրները</w:t>
            </w:r>
          </w:p>
          <w:p w:rsidR="00154773" w:rsidRPr="0053423A" w:rsidRDefault="00154773" w:rsidP="00154773">
            <w:pPr>
              <w:ind w:left="1069"/>
              <w:jc w:val="both"/>
              <w:rPr>
                <w:rFonts w:eastAsia="Times New Roman" w:cs="Arial"/>
                <w:b/>
                <w:sz w:val="20"/>
                <w:szCs w:val="20"/>
                <w:lang w:val="et-EE" w:eastAsia="ru-RU"/>
              </w:rPr>
            </w:pPr>
          </w:p>
          <w:p w:rsidR="00154773" w:rsidRPr="0053423A" w:rsidRDefault="00154773" w:rsidP="00154773">
            <w:pPr>
              <w:jc w:val="both"/>
              <w:rPr>
                <w:rFonts w:eastAsia="Times New Roman" w:cs="Arial"/>
                <w:b/>
                <w:sz w:val="20"/>
                <w:szCs w:val="20"/>
                <w:lang w:val="hy-AM" w:eastAsia="ru-RU"/>
              </w:rPr>
            </w:pPr>
            <w:r w:rsidRPr="0053423A">
              <w:rPr>
                <w:rFonts w:eastAsia="GHEA Grapalat" w:cs="GHEA Grapalat"/>
                <w:color w:val="000000"/>
                <w:sz w:val="20"/>
                <w:szCs w:val="20"/>
                <w:lang w:val="hy-AM" w:eastAsia="ru-RU"/>
              </w:rPr>
              <w:t xml:space="preserve">    Գործող «Բարձրագույն և հետբուհական մասնագիտական կրթության մասին» և «Գիտական և գիտատեխնիկական գործունության մասին» ՀՀ օրենքներով, ինչպես նաև բարձրագույն և հետբուհական մասնագիտական կրթության ոլորտը կանոնակարգող «Կրթության մասին» ՀՀ օրենքով սահմանված համապատասխան դրույթները </w:t>
            </w:r>
            <w:r w:rsidRPr="0053423A">
              <w:rPr>
                <w:rFonts w:eastAsia="GHEA Grapalat" w:cs="GHEA Grapalat"/>
                <w:sz w:val="20"/>
                <w:szCs w:val="20"/>
                <w:lang w:val="hy-AM" w:eastAsia="ru-RU"/>
              </w:rPr>
              <w:t xml:space="preserve">համահունչ </w:t>
            </w:r>
            <w:r w:rsidRPr="0053423A">
              <w:rPr>
                <w:rFonts w:eastAsia="GHEA Grapalat" w:cs="GHEA Grapalat"/>
                <w:color w:val="000000"/>
                <w:sz w:val="20"/>
                <w:szCs w:val="20"/>
                <w:lang w:val="hy-AM" w:eastAsia="ru-RU"/>
              </w:rPr>
              <w:t xml:space="preserve">չեն </w:t>
            </w:r>
            <w:r w:rsidRPr="0053423A">
              <w:rPr>
                <w:rFonts w:eastAsia="GHEA Grapalat" w:cs="GHEA Grapalat"/>
                <w:sz w:val="20"/>
                <w:szCs w:val="20"/>
                <w:lang w:val="hy-AM" w:eastAsia="ru-RU"/>
              </w:rPr>
              <w:t>բարձրագույն կրթության և գիտության մասին միջազգային չափանիշներին,</w:t>
            </w:r>
            <w:r w:rsidRPr="0053423A">
              <w:rPr>
                <w:rFonts w:eastAsia="GHEA Grapalat" w:cs="GHEA Grapalat"/>
                <w:color w:val="000000"/>
                <w:sz w:val="20"/>
                <w:szCs w:val="20"/>
                <w:lang w:val="hy-AM" w:eastAsia="ru-RU"/>
              </w:rPr>
              <w:t xml:space="preserve">չեն </w:t>
            </w:r>
            <w:r w:rsidRPr="0053423A">
              <w:rPr>
                <w:rFonts w:eastAsia="GHEA Grapalat" w:cs="GHEA Grapalat"/>
                <w:sz w:val="20"/>
                <w:szCs w:val="20"/>
                <w:lang w:val="hy-AM" w:eastAsia="ru-RU"/>
              </w:rPr>
              <w:t>նպաստ</w:t>
            </w:r>
            <w:r w:rsidRPr="0053423A">
              <w:rPr>
                <w:rFonts w:eastAsia="GHEA Grapalat" w:cs="GHEA Grapalat"/>
                <w:color w:val="000000"/>
                <w:sz w:val="20"/>
                <w:szCs w:val="20"/>
                <w:lang w:val="hy-AM" w:eastAsia="ru-RU"/>
              </w:rPr>
              <w:t xml:space="preserve">ում </w:t>
            </w:r>
            <w:r w:rsidRPr="0053423A">
              <w:rPr>
                <w:rFonts w:eastAsia="GHEA Grapalat" w:cs="GHEA Grapalat"/>
                <w:sz w:val="20"/>
                <w:szCs w:val="20"/>
                <w:lang w:val="hy-AM" w:eastAsia="ru-RU"/>
              </w:rPr>
              <w:t>բարձրագույն կրթության ու գիտության համակարգի ու հաստատությունների մրցունակությանը,</w:t>
            </w:r>
            <w:r w:rsidRPr="0053423A">
              <w:rPr>
                <w:rFonts w:eastAsia="GHEA Grapalat" w:cs="GHEA Grapalat"/>
                <w:color w:val="000000"/>
                <w:sz w:val="20"/>
                <w:szCs w:val="20"/>
                <w:lang w:val="hy-AM" w:eastAsia="ru-RU"/>
              </w:rPr>
              <w:t xml:space="preserve">չեն ապահովում կամ մասնակի են ապահովում բարձրագույն ուսումնական հաստատությունների և գիտահետազոտական կազմակերպությունների գործունեության համար միասնական մոտեցումների և սկզբունքների կիրառումը ,դրանց արդյունավետ փոխգործակցությունը, բուհ-հետազոտություն-տնտեսություն կապը, ինչպես նաև բարձրագույն ուսումնական հաստատությունների կազմակերպաիրավական ձևից ու կարգավիճակից կախված բուհերի կառավարման և ինքնուրույնության հետագա զարգացման ապահովման նպատակով նրանց ինքնավարության, ակադեմիական ազատությունների, հաշվետվողականության և ֆինանսավորման անհրաժեշտ լիարժեք մեխանիզմները: </w:t>
            </w:r>
            <w:r w:rsidRPr="0053423A">
              <w:rPr>
                <w:rFonts w:eastAsia="GHEA Grapalat" w:cs="GHEA Grapalat"/>
                <w:sz w:val="20"/>
                <w:szCs w:val="20"/>
                <w:lang w:val="hy-AM" w:eastAsia="ru-RU"/>
              </w:rPr>
              <w:t>Բարձրագույն կրթության կառավարման մոդելի բարեփոխման մասով օրենսդրությամբ անհրաժեշտ ամրագրման և կարգավորման դրույթներից են մասնավորապես՝ բուհերի կազմակերպաիրավական, կառավարություն-նախարարություն-բուհ իրավասության սահմանների, կառավարման մարմինների ու դրանց գործունեության տարանջատման հստակեցումը</w:t>
            </w:r>
            <w:r w:rsidRPr="0053423A">
              <w:rPr>
                <w:rFonts w:eastAsia="GHEA Grapalat" w:cs="GHEA Grapalat"/>
                <w:color w:val="000000"/>
                <w:sz w:val="20"/>
                <w:szCs w:val="20"/>
                <w:lang w:val="hy-AM" w:eastAsia="ru-RU"/>
              </w:rPr>
              <w:t>:</w:t>
            </w:r>
          </w:p>
          <w:p w:rsidR="00154773" w:rsidRPr="0053423A" w:rsidRDefault="00154773" w:rsidP="00154773">
            <w:pPr>
              <w:jc w:val="both"/>
              <w:rPr>
                <w:rFonts w:eastAsia="Times New Roman" w:cs="Arial Armenian"/>
                <w:sz w:val="20"/>
                <w:szCs w:val="20"/>
                <w:lang w:val="et-EE"/>
              </w:rPr>
            </w:pPr>
            <w:r w:rsidRPr="0053423A">
              <w:rPr>
                <w:rFonts w:eastAsia="GHEA Grapalat" w:cs="GHEA Grapalat"/>
                <w:color w:val="000000"/>
                <w:sz w:val="20"/>
                <w:szCs w:val="20"/>
                <w:lang w:val="hy-AM" w:eastAsia="ru-RU"/>
              </w:rPr>
              <w:t xml:space="preserve">   Գիտության ոլորտում </w:t>
            </w:r>
            <w:r w:rsidRPr="0053423A">
              <w:rPr>
                <w:rFonts w:eastAsia="GHEA Grapalat" w:cs="GHEA Grapalat"/>
                <w:sz w:val="20"/>
                <w:szCs w:val="20"/>
                <w:lang w:val="hy-AM" w:eastAsia="ru-RU"/>
              </w:rPr>
              <w:t>հստակեցման կարիք ունեն նաև կառավարություն-պետական կառավարման լիազոր մարմին-գիտահետազոտական կազմակերպություն իրավասության սահմանները, միջազգային չափանիշներին համապատասխան գիտական կադրերի պատրաստման մեխանիզմները, ինչպես նաև գիտության ոլորտում օտարերկրյա ներդրումների հետ կապված հարաբերությունները և կրթություն-գիտություն-տնտեսություն կապի խրախուսման մեխանիզմները:</w:t>
            </w:r>
          </w:p>
          <w:p w:rsidR="00154773" w:rsidRPr="0053423A" w:rsidRDefault="00154773" w:rsidP="00154773">
            <w:pPr>
              <w:ind w:firstLine="450"/>
              <w:jc w:val="both"/>
              <w:rPr>
                <w:rFonts w:eastAsia="Times New Roman" w:cs="Arial Armenian"/>
                <w:sz w:val="20"/>
                <w:szCs w:val="20"/>
                <w:lang w:val="et-EE"/>
              </w:rPr>
            </w:pPr>
          </w:p>
          <w:p w:rsidR="00154773" w:rsidRPr="0053423A" w:rsidRDefault="00154773" w:rsidP="00154773">
            <w:pPr>
              <w:ind w:firstLine="709"/>
              <w:jc w:val="both"/>
              <w:rPr>
                <w:rFonts w:eastAsia="Times New Roman" w:cs="Arial Armenian"/>
                <w:sz w:val="20"/>
                <w:szCs w:val="20"/>
                <w:lang w:val="et-EE"/>
              </w:rPr>
            </w:pPr>
          </w:p>
          <w:p w:rsidR="00154773" w:rsidRPr="0053423A" w:rsidRDefault="00154773" w:rsidP="001F6D5D">
            <w:pPr>
              <w:numPr>
                <w:ilvl w:val="1"/>
                <w:numId w:val="468"/>
              </w:numPr>
              <w:ind w:left="1080"/>
              <w:jc w:val="both"/>
              <w:rPr>
                <w:rFonts w:eastAsia="Times New Roman" w:cs="Arial"/>
                <w:b/>
                <w:sz w:val="20"/>
                <w:szCs w:val="20"/>
                <w:lang w:eastAsia="ru-RU"/>
              </w:rPr>
            </w:pPr>
            <w:r w:rsidRPr="0053423A">
              <w:rPr>
                <w:rFonts w:eastAsia="Times New Roman" w:cs="Arial"/>
                <w:b/>
                <w:sz w:val="20"/>
                <w:szCs w:val="20"/>
                <w:lang w:eastAsia="ru-RU"/>
              </w:rPr>
              <w:t>ա</w:t>
            </w:r>
            <w:r w:rsidRPr="0053423A">
              <w:rPr>
                <w:rFonts w:eastAsia="Times New Roman" w:cs="Arial"/>
                <w:b/>
                <w:sz w:val="20"/>
                <w:szCs w:val="20"/>
                <w:lang w:val="hy-AM" w:eastAsia="ru-RU"/>
              </w:rPr>
              <w:t>ռկա</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խնդիրների</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առաջարկվող</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լուծումները</w:t>
            </w:r>
          </w:p>
          <w:p w:rsidR="00154773" w:rsidRPr="0053423A" w:rsidRDefault="00154773" w:rsidP="00154773">
            <w:pPr>
              <w:ind w:left="1069"/>
              <w:jc w:val="both"/>
              <w:rPr>
                <w:rFonts w:eastAsia="Times New Roman" w:cs="Arial"/>
                <w:b/>
                <w:sz w:val="20"/>
                <w:szCs w:val="20"/>
                <w:lang w:eastAsia="ru-RU"/>
              </w:rPr>
            </w:pPr>
          </w:p>
          <w:p w:rsidR="00154773" w:rsidRPr="0053423A" w:rsidRDefault="00154773" w:rsidP="00154773">
            <w:pPr>
              <w:ind w:firstLine="709"/>
              <w:jc w:val="both"/>
              <w:rPr>
                <w:rFonts w:eastAsia="Times New Roman" w:cs="Arial"/>
                <w:b/>
                <w:sz w:val="20"/>
                <w:szCs w:val="20"/>
                <w:lang w:val="et-EE" w:eastAsia="ru-RU"/>
              </w:rPr>
            </w:pPr>
            <w:r w:rsidRPr="0053423A">
              <w:rPr>
                <w:rFonts w:eastAsia="Times New Roman" w:cs="GHEA Grapalat"/>
                <w:iCs/>
                <w:sz w:val="20"/>
                <w:szCs w:val="20"/>
                <w:lang w:val="af-ZA"/>
              </w:rPr>
              <w:t xml:space="preserve">Արդյունավետ կառավարվող բարձրագույն կրթության համակարգ ապահովելու </w:t>
            </w:r>
            <w:r w:rsidRPr="0053423A">
              <w:rPr>
                <w:rFonts w:eastAsia="Times New Roman" w:cs="Sylfaen"/>
                <w:sz w:val="20"/>
                <w:szCs w:val="20"/>
                <w:lang w:val="hy-AM"/>
              </w:rPr>
              <w:t xml:space="preserve">համար անհրաժեշտ է </w:t>
            </w:r>
            <w:r w:rsidRPr="0053423A">
              <w:rPr>
                <w:rFonts w:eastAsia="Times New Roman" w:cs="Times New Roman"/>
                <w:color w:val="000000"/>
                <w:sz w:val="20"/>
                <w:szCs w:val="20"/>
                <w:lang w:val="hy-AM"/>
              </w:rPr>
              <w:t>«</w:t>
            </w:r>
            <w:r w:rsidRPr="0053423A">
              <w:rPr>
                <w:rFonts w:eastAsia="Times New Roman" w:cs="Times New Roman"/>
                <w:sz w:val="20"/>
                <w:szCs w:val="20"/>
                <w:lang w:val="hy-AM" w:eastAsia="ru-RU"/>
              </w:rPr>
              <w:t xml:space="preserve">«Բարձրագույն կրթության և գիտահետազոտական գործունեության մասին» </w:t>
            </w:r>
            <w:r w:rsidRPr="0053423A">
              <w:rPr>
                <w:rFonts w:eastAsia="Times New Roman" w:cs="Times New Roman"/>
                <w:color w:val="000000"/>
                <w:sz w:val="20"/>
                <w:szCs w:val="20"/>
                <w:lang w:val="hy-AM"/>
              </w:rPr>
              <w:t>Հայաստանի Հանրապետության օրենքի նախագծին հավանություն տալու մասին» ՀՀ կառավարության որոշման նախագիծ ներկայացնել ՀՀ վարչապետի աշխատակազմ</w:t>
            </w:r>
            <w:r w:rsidRPr="0053423A">
              <w:rPr>
                <w:rFonts w:eastAsia="Times New Roman" w:cs="Times New Roman"/>
                <w:color w:val="000000"/>
                <w:sz w:val="20"/>
                <w:szCs w:val="20"/>
                <w:lang w:val="et-EE"/>
              </w:rPr>
              <w:t xml:space="preserve">, </w:t>
            </w:r>
            <w:r w:rsidRPr="0053423A">
              <w:rPr>
                <w:rFonts w:eastAsia="Times New Roman" w:cs="Sylfaen"/>
                <w:sz w:val="20"/>
                <w:szCs w:val="20"/>
                <w:lang w:val="hy-AM"/>
              </w:rPr>
              <w:t>որն ուղղված կլինի.</w:t>
            </w:r>
          </w:p>
          <w:p w:rsidR="00154773" w:rsidRPr="0053423A" w:rsidRDefault="00154773" w:rsidP="001F6D5D">
            <w:pPr>
              <w:numPr>
                <w:ilvl w:val="0"/>
                <w:numId w:val="169"/>
              </w:numPr>
              <w:tabs>
                <w:tab w:val="left" w:pos="176"/>
                <w:tab w:val="left" w:pos="5670"/>
                <w:tab w:val="left" w:pos="5812"/>
                <w:tab w:val="left" w:pos="7803"/>
              </w:tabs>
              <w:contextualSpacing/>
              <w:jc w:val="both"/>
              <w:rPr>
                <w:rFonts w:cs="Courier New"/>
                <w:sz w:val="20"/>
                <w:szCs w:val="20"/>
                <w:lang w:val="hy-AM"/>
              </w:rPr>
            </w:pPr>
            <w:r w:rsidRPr="0053423A">
              <w:rPr>
                <w:rFonts w:eastAsia="Calibri" w:cs="Courier New"/>
                <w:sz w:val="20"/>
                <w:szCs w:val="20"/>
              </w:rPr>
              <w:t>բ</w:t>
            </w:r>
            <w:r w:rsidRPr="0053423A">
              <w:rPr>
                <w:rFonts w:eastAsia="Calibri" w:cs="Courier New"/>
                <w:sz w:val="20"/>
                <w:szCs w:val="20"/>
                <w:lang w:val="hy-AM"/>
              </w:rPr>
              <w:t>ուհերի</w:t>
            </w:r>
            <w:r w:rsidRPr="0053423A">
              <w:rPr>
                <w:rFonts w:cs="Sylfaen"/>
                <w:sz w:val="20"/>
                <w:szCs w:val="20"/>
                <w:lang w:val="hy-AM"/>
              </w:rPr>
              <w:t xml:space="preserve"> ինքնավարության և ակադեմիական ազատությունների ընդլայնմ</w:t>
            </w:r>
            <w:r w:rsidRPr="0053423A">
              <w:rPr>
                <w:rFonts w:cs="Sylfaen"/>
                <w:sz w:val="20"/>
                <w:szCs w:val="20"/>
              </w:rPr>
              <w:t>ան</w:t>
            </w:r>
            <w:r w:rsidRPr="0053423A">
              <w:rPr>
                <w:rFonts w:cs="Sylfaen"/>
                <w:sz w:val="20"/>
                <w:szCs w:val="20"/>
                <w:lang w:val="hy-AM"/>
              </w:rPr>
              <w:t>ը,</w:t>
            </w:r>
          </w:p>
          <w:p w:rsidR="00154773" w:rsidRPr="0053423A" w:rsidRDefault="00154773" w:rsidP="001F6D5D">
            <w:pPr>
              <w:numPr>
                <w:ilvl w:val="0"/>
                <w:numId w:val="169"/>
              </w:numPr>
              <w:tabs>
                <w:tab w:val="left" w:pos="176"/>
                <w:tab w:val="left" w:pos="5670"/>
                <w:tab w:val="left" w:pos="5812"/>
                <w:tab w:val="left" w:pos="7803"/>
              </w:tabs>
              <w:contextualSpacing/>
              <w:jc w:val="both"/>
              <w:rPr>
                <w:rFonts w:cs="Courier New"/>
                <w:sz w:val="20"/>
                <w:szCs w:val="20"/>
                <w:lang w:val="hy-AM"/>
              </w:rPr>
            </w:pPr>
            <w:r w:rsidRPr="0053423A">
              <w:rPr>
                <w:rFonts w:cs="Sylfaen"/>
                <w:sz w:val="20"/>
                <w:szCs w:val="20"/>
                <w:lang w:val="hy-AM"/>
              </w:rPr>
              <w:t xml:space="preserve">հաշվետվողականության և թափանցիկությա մեխանիզմների </w:t>
            </w:r>
            <w:r w:rsidRPr="0053423A">
              <w:rPr>
                <w:rFonts w:eastAsia="Calibri" w:cs="Courier New"/>
                <w:sz w:val="20"/>
                <w:szCs w:val="20"/>
                <w:lang w:val="hy-AM"/>
              </w:rPr>
              <w:t>բարձրացմանը</w:t>
            </w:r>
            <w:r w:rsidRPr="0053423A">
              <w:rPr>
                <w:rFonts w:eastAsia="Calibri" w:cs="Courier New"/>
                <w:sz w:val="20"/>
                <w:szCs w:val="20"/>
                <w:lang w:val="et-EE"/>
              </w:rPr>
              <w:t>,</w:t>
            </w:r>
          </w:p>
          <w:p w:rsidR="00154773" w:rsidRPr="0053423A" w:rsidRDefault="00154773" w:rsidP="001F6D5D">
            <w:pPr>
              <w:numPr>
                <w:ilvl w:val="0"/>
                <w:numId w:val="169"/>
              </w:numPr>
              <w:tabs>
                <w:tab w:val="left" w:pos="176"/>
                <w:tab w:val="left" w:pos="5670"/>
                <w:tab w:val="left" w:pos="5812"/>
                <w:tab w:val="left" w:pos="7803"/>
              </w:tabs>
              <w:contextualSpacing/>
              <w:jc w:val="both"/>
              <w:rPr>
                <w:rFonts w:cs="Courier New"/>
                <w:sz w:val="20"/>
                <w:szCs w:val="20"/>
                <w:lang w:val="hy-AM"/>
              </w:rPr>
            </w:pPr>
            <w:r w:rsidRPr="0053423A">
              <w:rPr>
                <w:rFonts w:eastAsia="GHEA Grapalat" w:cs="GHEA Grapalat"/>
                <w:sz w:val="20"/>
                <w:szCs w:val="20"/>
                <w:lang w:val="hy-AM"/>
              </w:rPr>
              <w:t>Հայաստանի Հանրապետության տարածքում գործող բուհերում և դրանց մասնաճյուղերում ուսանողների ակադեմիական առաջխաղացման, շնորհված որակավորման և նրան տրված ավարտական փաստաթղթի տեղեկատվության գրանցման միասնական շտեմարանի ստեղծմանը,</w:t>
            </w:r>
          </w:p>
          <w:p w:rsidR="00154773" w:rsidRPr="0053423A" w:rsidRDefault="00154773" w:rsidP="001F6D5D">
            <w:pPr>
              <w:numPr>
                <w:ilvl w:val="0"/>
                <w:numId w:val="169"/>
              </w:numPr>
              <w:contextualSpacing/>
              <w:jc w:val="both"/>
              <w:rPr>
                <w:rFonts w:cs="Arial Armenian"/>
                <w:sz w:val="20"/>
                <w:szCs w:val="20"/>
                <w:lang w:val="pt-BR"/>
              </w:rPr>
            </w:pPr>
            <w:r w:rsidRPr="0053423A">
              <w:rPr>
                <w:rFonts w:cs="Sylfaen"/>
                <w:bCs/>
                <w:sz w:val="20"/>
                <w:szCs w:val="20"/>
                <w:lang w:val="hy-AM"/>
              </w:rPr>
              <w:t>Բարձրագույն կրթության ոլորտին վերաբերող հիմնական և կիրառվող հ</w:t>
            </w:r>
            <w:r w:rsidRPr="0053423A">
              <w:rPr>
                <w:rFonts w:cs="Sylfaen"/>
                <w:sz w:val="20"/>
                <w:szCs w:val="20"/>
                <w:lang w:val="hy-AM"/>
              </w:rPr>
              <w:t>ասկացությունների</w:t>
            </w:r>
            <w:r w:rsidRPr="0053423A">
              <w:rPr>
                <w:rFonts w:cs="Arial Armenian"/>
                <w:sz w:val="20"/>
                <w:szCs w:val="20"/>
                <w:lang w:val="pt-BR"/>
              </w:rPr>
              <w:t xml:space="preserve"> (</w:t>
            </w:r>
            <w:r w:rsidRPr="0053423A">
              <w:rPr>
                <w:rFonts w:cs="Sylfaen"/>
                <w:sz w:val="20"/>
                <w:szCs w:val="20"/>
                <w:lang w:val="hy-AM"/>
              </w:rPr>
              <w:t>համալսարան</w:t>
            </w:r>
            <w:r w:rsidRPr="0053423A">
              <w:rPr>
                <w:rFonts w:cs="Arial Armenian"/>
                <w:sz w:val="20"/>
                <w:szCs w:val="20"/>
                <w:lang w:val="pt-BR"/>
              </w:rPr>
              <w:t xml:space="preserve"> (</w:t>
            </w:r>
            <w:r w:rsidRPr="0053423A">
              <w:rPr>
                <w:rFonts w:cs="Sylfaen"/>
                <w:sz w:val="20"/>
                <w:szCs w:val="20"/>
                <w:lang w:val="hy-AM"/>
              </w:rPr>
              <w:t>այդ թվում՝հանրային և մասնավոր</w:t>
            </w:r>
            <w:r w:rsidRPr="0053423A">
              <w:rPr>
                <w:rFonts w:cs="Arial Armenian"/>
                <w:sz w:val="20"/>
                <w:szCs w:val="20"/>
                <w:lang w:val="pt-BR"/>
              </w:rPr>
              <w:t xml:space="preserve">), </w:t>
            </w:r>
            <w:r w:rsidRPr="0053423A">
              <w:rPr>
                <w:rFonts w:cs="Sylfaen"/>
                <w:sz w:val="20"/>
                <w:szCs w:val="20"/>
                <w:lang w:val="hy-AM"/>
              </w:rPr>
              <w:t>կրթական ծրագիր</w:t>
            </w:r>
            <w:r w:rsidRPr="0053423A">
              <w:rPr>
                <w:rFonts w:cs="Arial Armenian"/>
                <w:sz w:val="20"/>
                <w:szCs w:val="20"/>
                <w:lang w:val="pt-BR"/>
              </w:rPr>
              <w:t xml:space="preserve">, </w:t>
            </w:r>
            <w:r w:rsidRPr="0053423A">
              <w:rPr>
                <w:rFonts w:cs="Sylfaen"/>
                <w:sz w:val="20"/>
                <w:szCs w:val="20"/>
                <w:lang w:val="hy-AM"/>
              </w:rPr>
              <w:t>աստիճան</w:t>
            </w:r>
            <w:r w:rsidRPr="0053423A">
              <w:rPr>
                <w:rFonts w:cs="Arial Armenian"/>
                <w:sz w:val="20"/>
                <w:szCs w:val="20"/>
                <w:lang w:val="pt-BR"/>
              </w:rPr>
              <w:t xml:space="preserve">, </w:t>
            </w:r>
            <w:r w:rsidRPr="0053423A">
              <w:rPr>
                <w:rFonts w:cs="Sylfaen"/>
                <w:sz w:val="20"/>
                <w:szCs w:val="20"/>
                <w:lang w:val="hy-AM"/>
              </w:rPr>
              <w:t>կրկնակի աստիճանակարգ</w:t>
            </w:r>
            <w:r w:rsidRPr="0053423A">
              <w:rPr>
                <w:rFonts w:cs="Arial Armenian"/>
                <w:sz w:val="20"/>
                <w:szCs w:val="20"/>
                <w:lang w:val="pt-BR"/>
              </w:rPr>
              <w:t xml:space="preserve">, </w:t>
            </w:r>
            <w:r w:rsidRPr="0053423A">
              <w:rPr>
                <w:rFonts w:cs="Sylfaen"/>
                <w:sz w:val="20"/>
                <w:szCs w:val="20"/>
                <w:lang w:val="hy-AM"/>
              </w:rPr>
              <w:t>որակավորում և այլն</w:t>
            </w:r>
            <w:r w:rsidRPr="0053423A">
              <w:rPr>
                <w:rFonts w:cs="Arial Armenian"/>
                <w:sz w:val="20"/>
                <w:szCs w:val="20"/>
                <w:lang w:val="pt-BR"/>
              </w:rPr>
              <w:t xml:space="preserve">) </w:t>
            </w:r>
            <w:r w:rsidRPr="0053423A">
              <w:rPr>
                <w:rFonts w:cs="Sylfaen"/>
                <w:sz w:val="20"/>
                <w:szCs w:val="20"/>
                <w:lang w:val="hy-AM"/>
              </w:rPr>
              <w:t>սահմանմանը</w:t>
            </w:r>
            <w:r w:rsidRPr="0053423A">
              <w:rPr>
                <w:rFonts w:cs="Arial Armenian"/>
                <w:sz w:val="20"/>
                <w:szCs w:val="20"/>
                <w:lang w:val="pt-BR"/>
              </w:rPr>
              <w:t>,</w:t>
            </w:r>
          </w:p>
          <w:p w:rsidR="00154773" w:rsidRPr="0053423A" w:rsidRDefault="00154773" w:rsidP="001F6D5D">
            <w:pPr>
              <w:numPr>
                <w:ilvl w:val="0"/>
                <w:numId w:val="169"/>
              </w:numPr>
              <w:contextualSpacing/>
              <w:jc w:val="both"/>
              <w:rPr>
                <w:rFonts w:cs="Arial Armenian"/>
                <w:bCs/>
                <w:sz w:val="20"/>
                <w:szCs w:val="20"/>
                <w:lang w:val="pt-BR"/>
              </w:rPr>
            </w:pPr>
            <w:r w:rsidRPr="0053423A">
              <w:rPr>
                <w:rFonts w:cs="Sylfaen"/>
                <w:sz w:val="20"/>
                <w:szCs w:val="20"/>
              </w:rPr>
              <w:t>Բուհերի</w:t>
            </w:r>
            <w:r w:rsidRPr="0053423A">
              <w:rPr>
                <w:rFonts w:cs="Sylfaen"/>
                <w:sz w:val="20"/>
                <w:szCs w:val="20"/>
                <w:lang w:val="hy-AM"/>
              </w:rPr>
              <w:t xml:space="preserve"> </w:t>
            </w:r>
            <w:r w:rsidRPr="0053423A">
              <w:rPr>
                <w:rFonts w:cs="Sylfaen"/>
                <w:sz w:val="20"/>
                <w:szCs w:val="20"/>
              </w:rPr>
              <w:t>լիցենզավորման</w:t>
            </w:r>
            <w:r w:rsidRPr="0053423A">
              <w:rPr>
                <w:rFonts w:cs="Sylfaen"/>
                <w:sz w:val="20"/>
                <w:szCs w:val="20"/>
                <w:lang w:val="hy-AM"/>
              </w:rPr>
              <w:t xml:space="preserve"> </w:t>
            </w:r>
            <w:r w:rsidRPr="0053423A">
              <w:rPr>
                <w:rFonts w:cs="Sylfaen"/>
                <w:sz w:val="20"/>
                <w:szCs w:val="20"/>
              </w:rPr>
              <w:t>ու</w:t>
            </w:r>
            <w:r w:rsidRPr="0053423A">
              <w:rPr>
                <w:rFonts w:cs="Sylfaen"/>
                <w:sz w:val="20"/>
                <w:szCs w:val="20"/>
                <w:lang w:val="hy-AM"/>
              </w:rPr>
              <w:t xml:space="preserve"> </w:t>
            </w:r>
            <w:r w:rsidRPr="0053423A">
              <w:rPr>
                <w:rFonts w:cs="Sylfaen"/>
                <w:sz w:val="20"/>
                <w:szCs w:val="20"/>
              </w:rPr>
              <w:t>հավատարմագրման</w:t>
            </w:r>
            <w:r w:rsidRPr="0053423A">
              <w:rPr>
                <w:rFonts w:cs="Sylfaen"/>
                <w:sz w:val="20"/>
                <w:szCs w:val="20"/>
                <w:lang w:val="hy-AM"/>
              </w:rPr>
              <w:t xml:space="preserve"> </w:t>
            </w:r>
            <w:r w:rsidRPr="0053423A">
              <w:rPr>
                <w:rFonts w:cs="Sylfaen"/>
                <w:sz w:val="20"/>
                <w:szCs w:val="20"/>
              </w:rPr>
              <w:t>պայմանների</w:t>
            </w:r>
            <w:r w:rsidRPr="0053423A">
              <w:rPr>
                <w:rFonts w:cs="Sylfaen"/>
                <w:sz w:val="20"/>
                <w:szCs w:val="20"/>
                <w:lang w:val="hy-AM"/>
              </w:rPr>
              <w:t xml:space="preserve"> </w:t>
            </w:r>
            <w:r w:rsidRPr="0053423A">
              <w:rPr>
                <w:rFonts w:cs="Sylfaen"/>
                <w:sz w:val="20"/>
                <w:szCs w:val="20"/>
              </w:rPr>
              <w:t>ու</w:t>
            </w:r>
            <w:r w:rsidRPr="0053423A">
              <w:rPr>
                <w:rFonts w:cs="Sylfaen"/>
                <w:sz w:val="20"/>
                <w:szCs w:val="20"/>
                <w:lang w:val="hy-AM"/>
              </w:rPr>
              <w:t xml:space="preserve"> </w:t>
            </w:r>
            <w:r w:rsidRPr="0053423A">
              <w:rPr>
                <w:rFonts w:cs="Sylfaen"/>
                <w:sz w:val="20"/>
                <w:szCs w:val="20"/>
              </w:rPr>
              <w:t>պահանջների</w:t>
            </w:r>
            <w:r w:rsidRPr="0053423A">
              <w:rPr>
                <w:rFonts w:cs="Arial Armenian"/>
                <w:sz w:val="20"/>
                <w:szCs w:val="20"/>
                <w:lang w:val="pt-BR"/>
              </w:rPr>
              <w:t xml:space="preserve">, </w:t>
            </w:r>
            <w:r w:rsidRPr="0053423A">
              <w:rPr>
                <w:rFonts w:cs="Sylfaen"/>
                <w:sz w:val="20"/>
                <w:szCs w:val="20"/>
              </w:rPr>
              <w:t>ներքին</w:t>
            </w:r>
            <w:r w:rsidRPr="0053423A">
              <w:rPr>
                <w:rFonts w:cs="Sylfaen"/>
                <w:sz w:val="20"/>
                <w:szCs w:val="20"/>
                <w:lang w:val="hy-AM"/>
              </w:rPr>
              <w:t xml:space="preserve"> </w:t>
            </w:r>
            <w:r w:rsidRPr="0053423A">
              <w:rPr>
                <w:rFonts w:cs="Sylfaen"/>
                <w:sz w:val="20"/>
                <w:szCs w:val="20"/>
              </w:rPr>
              <w:t>և</w:t>
            </w:r>
            <w:r w:rsidRPr="0053423A">
              <w:rPr>
                <w:rFonts w:cs="Sylfaen"/>
                <w:sz w:val="20"/>
                <w:szCs w:val="20"/>
                <w:lang w:val="hy-AM"/>
              </w:rPr>
              <w:t xml:space="preserve"> </w:t>
            </w:r>
            <w:r w:rsidRPr="0053423A">
              <w:rPr>
                <w:rFonts w:cs="Sylfaen"/>
                <w:sz w:val="20"/>
                <w:szCs w:val="20"/>
              </w:rPr>
              <w:t>արտաքին</w:t>
            </w:r>
            <w:r w:rsidRPr="0053423A">
              <w:rPr>
                <w:rFonts w:cs="Sylfaen"/>
                <w:sz w:val="20"/>
                <w:szCs w:val="20"/>
                <w:lang w:val="hy-AM"/>
              </w:rPr>
              <w:t xml:space="preserve"> </w:t>
            </w:r>
            <w:r w:rsidRPr="0053423A">
              <w:rPr>
                <w:rFonts w:cs="Sylfaen"/>
                <w:sz w:val="20"/>
                <w:szCs w:val="20"/>
              </w:rPr>
              <w:t>որակի</w:t>
            </w:r>
            <w:r w:rsidRPr="0053423A">
              <w:rPr>
                <w:rFonts w:cs="Sylfaen"/>
                <w:sz w:val="20"/>
                <w:szCs w:val="20"/>
                <w:lang w:val="hy-AM"/>
              </w:rPr>
              <w:t xml:space="preserve"> </w:t>
            </w:r>
            <w:r w:rsidRPr="0053423A">
              <w:rPr>
                <w:rFonts w:cs="Sylfaen"/>
                <w:sz w:val="20"/>
                <w:szCs w:val="20"/>
              </w:rPr>
              <w:t>ապահովման</w:t>
            </w:r>
            <w:r w:rsidRPr="0053423A">
              <w:rPr>
                <w:rFonts w:cs="Sylfaen"/>
                <w:sz w:val="20"/>
                <w:szCs w:val="20"/>
                <w:lang w:val="hy-AM"/>
              </w:rPr>
              <w:t xml:space="preserve"> </w:t>
            </w:r>
            <w:r w:rsidRPr="0053423A">
              <w:rPr>
                <w:rFonts w:cs="Courier New"/>
                <w:sz w:val="20"/>
                <w:szCs w:val="20"/>
                <w:lang w:val="pt-BR"/>
              </w:rPr>
              <w:t>(</w:t>
            </w:r>
            <w:r w:rsidRPr="0053423A">
              <w:rPr>
                <w:rFonts w:cs="Sylfaen"/>
                <w:sz w:val="20"/>
                <w:szCs w:val="20"/>
              </w:rPr>
              <w:t>ինչպես</w:t>
            </w:r>
            <w:r w:rsidRPr="0053423A">
              <w:rPr>
                <w:rFonts w:cs="Sylfaen"/>
                <w:sz w:val="20"/>
                <w:szCs w:val="20"/>
                <w:lang w:val="hy-AM"/>
              </w:rPr>
              <w:t xml:space="preserve">  </w:t>
            </w:r>
            <w:r w:rsidRPr="0053423A">
              <w:rPr>
                <w:rFonts w:cs="Sylfaen"/>
                <w:sz w:val="20"/>
                <w:szCs w:val="20"/>
              </w:rPr>
              <w:t>նաև՝վերահսկողության</w:t>
            </w:r>
            <w:r w:rsidRPr="0053423A">
              <w:rPr>
                <w:rFonts w:cs="Sylfaen"/>
                <w:sz w:val="20"/>
                <w:szCs w:val="20"/>
                <w:lang w:val="hy-AM"/>
              </w:rPr>
              <w:t xml:space="preserve"> </w:t>
            </w:r>
            <w:r w:rsidRPr="0053423A">
              <w:rPr>
                <w:rFonts w:cs="Sylfaen"/>
                <w:sz w:val="20"/>
                <w:szCs w:val="20"/>
              </w:rPr>
              <w:t>մեխանիզմների</w:t>
            </w:r>
            <w:r w:rsidRPr="0053423A">
              <w:rPr>
                <w:rFonts w:cs="Arial Armenian"/>
                <w:sz w:val="20"/>
                <w:szCs w:val="20"/>
                <w:lang w:val="pt-BR"/>
              </w:rPr>
              <w:t>)</w:t>
            </w:r>
            <w:r w:rsidRPr="0053423A">
              <w:rPr>
                <w:rFonts w:cs="Arial Armenian"/>
                <w:sz w:val="20"/>
                <w:szCs w:val="20"/>
                <w:lang w:val="hy-AM"/>
              </w:rPr>
              <w:t xml:space="preserve"> </w:t>
            </w:r>
            <w:r w:rsidRPr="0053423A">
              <w:rPr>
                <w:rFonts w:cs="Sylfaen"/>
                <w:sz w:val="20"/>
                <w:szCs w:val="20"/>
              </w:rPr>
              <w:t>ու</w:t>
            </w:r>
            <w:r w:rsidRPr="0053423A">
              <w:rPr>
                <w:rFonts w:cs="Sylfaen"/>
                <w:sz w:val="20"/>
                <w:szCs w:val="20"/>
                <w:lang w:val="hy-AM"/>
              </w:rPr>
              <w:t xml:space="preserve"> </w:t>
            </w:r>
            <w:r w:rsidRPr="0053423A">
              <w:rPr>
                <w:rFonts w:cs="Sylfaen"/>
                <w:sz w:val="20"/>
                <w:szCs w:val="20"/>
              </w:rPr>
              <w:t>ընդլայնման</w:t>
            </w:r>
            <w:r w:rsidRPr="0053423A">
              <w:rPr>
                <w:rFonts w:cs="Sylfaen"/>
                <w:sz w:val="20"/>
                <w:szCs w:val="20"/>
                <w:lang w:val="hy-AM"/>
              </w:rPr>
              <w:t xml:space="preserve"> </w:t>
            </w:r>
            <w:r w:rsidRPr="0053423A">
              <w:rPr>
                <w:rFonts w:cs="Sylfaen"/>
                <w:bCs/>
                <w:sz w:val="20"/>
                <w:szCs w:val="20"/>
              </w:rPr>
              <w:t>հստակ</w:t>
            </w:r>
            <w:r w:rsidRPr="0053423A">
              <w:rPr>
                <w:rFonts w:cs="Sylfaen"/>
                <w:bCs/>
                <w:sz w:val="20"/>
                <w:szCs w:val="20"/>
                <w:lang w:val="hy-AM"/>
              </w:rPr>
              <w:t xml:space="preserve"> </w:t>
            </w:r>
            <w:r w:rsidRPr="0053423A">
              <w:rPr>
                <w:rFonts w:cs="Sylfaen"/>
                <w:bCs/>
                <w:sz w:val="20"/>
                <w:szCs w:val="20"/>
              </w:rPr>
              <w:t>ամրագրմանը</w:t>
            </w:r>
            <w:r w:rsidRPr="0053423A">
              <w:rPr>
                <w:rFonts w:cs="Arial Armenian"/>
                <w:bCs/>
                <w:sz w:val="20"/>
                <w:szCs w:val="20"/>
                <w:lang w:val="pt-BR"/>
              </w:rPr>
              <w:t xml:space="preserve">, </w:t>
            </w:r>
          </w:p>
          <w:p w:rsidR="00154773" w:rsidRPr="0053423A" w:rsidRDefault="00154773" w:rsidP="001F6D5D">
            <w:pPr>
              <w:numPr>
                <w:ilvl w:val="0"/>
                <w:numId w:val="169"/>
              </w:numPr>
              <w:ind w:left="1077" w:hanging="357"/>
              <w:contextualSpacing/>
              <w:jc w:val="both"/>
              <w:rPr>
                <w:rFonts w:cs="Arial Armenian"/>
                <w:bCs/>
                <w:sz w:val="20"/>
                <w:szCs w:val="20"/>
                <w:lang w:val="pt-BR"/>
              </w:rPr>
            </w:pPr>
            <w:r w:rsidRPr="0053423A">
              <w:rPr>
                <w:rFonts w:cs="Sylfaen"/>
                <w:bCs/>
                <w:sz w:val="20"/>
                <w:szCs w:val="20"/>
              </w:rPr>
              <w:t>Ընդունելության</w:t>
            </w:r>
            <w:r w:rsidRPr="0053423A">
              <w:rPr>
                <w:rFonts w:cs="Sylfaen"/>
                <w:bCs/>
                <w:sz w:val="20"/>
                <w:szCs w:val="20"/>
                <w:lang w:val="hy-AM"/>
              </w:rPr>
              <w:t xml:space="preserve"> </w:t>
            </w:r>
            <w:r w:rsidRPr="0053423A">
              <w:rPr>
                <w:rFonts w:cs="Sylfaen"/>
                <w:bCs/>
                <w:sz w:val="20"/>
                <w:szCs w:val="20"/>
              </w:rPr>
              <w:t>նոր</w:t>
            </w:r>
            <w:r w:rsidRPr="0053423A">
              <w:rPr>
                <w:rFonts w:cs="Sylfaen"/>
                <w:bCs/>
                <w:sz w:val="20"/>
                <w:szCs w:val="20"/>
                <w:lang w:val="pt-BR"/>
              </w:rPr>
              <w:t xml:space="preserve"> </w:t>
            </w:r>
            <w:r w:rsidRPr="0053423A">
              <w:rPr>
                <w:rFonts w:cs="Sylfaen"/>
                <w:bCs/>
                <w:sz w:val="20"/>
                <w:szCs w:val="20"/>
              </w:rPr>
              <w:t>մեխանիզմների</w:t>
            </w:r>
            <w:r w:rsidRPr="0053423A">
              <w:rPr>
                <w:rFonts w:cs="Sylfaen"/>
                <w:bCs/>
                <w:sz w:val="20"/>
                <w:szCs w:val="20"/>
                <w:lang w:val="hy-AM"/>
              </w:rPr>
              <w:t xml:space="preserve"> </w:t>
            </w:r>
            <w:r w:rsidRPr="0053423A">
              <w:rPr>
                <w:rFonts w:cs="Sylfaen"/>
                <w:bCs/>
                <w:sz w:val="20"/>
                <w:szCs w:val="20"/>
              </w:rPr>
              <w:t>ու</w:t>
            </w:r>
            <w:r w:rsidRPr="0053423A">
              <w:rPr>
                <w:rFonts w:cs="Sylfaen"/>
                <w:bCs/>
                <w:sz w:val="20"/>
                <w:szCs w:val="20"/>
                <w:lang w:val="hy-AM"/>
              </w:rPr>
              <w:t xml:space="preserve"> </w:t>
            </w:r>
            <w:r w:rsidRPr="0053423A">
              <w:rPr>
                <w:rFonts w:cs="Sylfaen"/>
                <w:bCs/>
                <w:sz w:val="20"/>
                <w:szCs w:val="20"/>
              </w:rPr>
              <w:t>պայմանների</w:t>
            </w:r>
            <w:r w:rsidRPr="0053423A">
              <w:rPr>
                <w:rFonts w:cs="Sylfaen"/>
                <w:bCs/>
                <w:sz w:val="20"/>
                <w:szCs w:val="20"/>
                <w:lang w:val="hy-AM"/>
              </w:rPr>
              <w:t xml:space="preserve"> </w:t>
            </w:r>
            <w:r w:rsidRPr="0053423A">
              <w:rPr>
                <w:rFonts w:cs="Sylfaen"/>
                <w:bCs/>
                <w:sz w:val="20"/>
                <w:szCs w:val="20"/>
              </w:rPr>
              <w:t>ներդրմանը</w:t>
            </w:r>
            <w:r w:rsidRPr="0053423A">
              <w:rPr>
                <w:rFonts w:cs="Arial Armenian"/>
                <w:bCs/>
                <w:sz w:val="20"/>
                <w:szCs w:val="20"/>
                <w:lang w:val="pt-BR"/>
              </w:rPr>
              <w:t>,</w:t>
            </w:r>
          </w:p>
          <w:p w:rsidR="00154773" w:rsidRPr="0053423A" w:rsidRDefault="00154773" w:rsidP="001F6D5D">
            <w:pPr>
              <w:numPr>
                <w:ilvl w:val="0"/>
                <w:numId w:val="169"/>
              </w:numPr>
              <w:ind w:left="1077" w:hanging="357"/>
              <w:contextualSpacing/>
              <w:jc w:val="both"/>
              <w:rPr>
                <w:sz w:val="20"/>
                <w:szCs w:val="20"/>
                <w:shd w:val="clear" w:color="auto" w:fill="FFFFFF"/>
                <w:lang w:val="et-EE"/>
              </w:rPr>
            </w:pPr>
            <w:r w:rsidRPr="0053423A">
              <w:rPr>
                <w:rFonts w:cs="Sylfaen"/>
                <w:bCs/>
                <w:sz w:val="20"/>
                <w:szCs w:val="20"/>
              </w:rPr>
              <w:t>Բուհերի</w:t>
            </w:r>
            <w:r w:rsidRPr="0053423A">
              <w:rPr>
                <w:rFonts w:cs="Sylfaen"/>
                <w:bCs/>
                <w:sz w:val="20"/>
                <w:szCs w:val="20"/>
                <w:lang w:val="hy-AM"/>
              </w:rPr>
              <w:t xml:space="preserve"> </w:t>
            </w:r>
            <w:r w:rsidRPr="0053423A">
              <w:rPr>
                <w:rFonts w:cs="Sylfaen"/>
                <w:bCs/>
                <w:sz w:val="20"/>
                <w:szCs w:val="20"/>
              </w:rPr>
              <w:t>կառավարման</w:t>
            </w:r>
            <w:r w:rsidRPr="0053423A">
              <w:rPr>
                <w:rFonts w:cs="Sylfaen"/>
                <w:bCs/>
                <w:sz w:val="20"/>
                <w:szCs w:val="20"/>
                <w:lang w:val="hy-AM"/>
              </w:rPr>
              <w:t xml:space="preserve"> </w:t>
            </w:r>
            <w:r w:rsidRPr="0053423A">
              <w:rPr>
                <w:rFonts w:cs="Sylfaen"/>
                <w:bCs/>
                <w:sz w:val="20"/>
                <w:szCs w:val="20"/>
              </w:rPr>
              <w:t>մոդելի</w:t>
            </w:r>
            <w:r w:rsidRPr="0053423A">
              <w:rPr>
                <w:rFonts w:cs="Sylfaen"/>
                <w:bCs/>
                <w:sz w:val="20"/>
                <w:szCs w:val="20"/>
                <w:lang w:val="hy-AM"/>
              </w:rPr>
              <w:t xml:space="preserve"> </w:t>
            </w:r>
            <w:r w:rsidRPr="0053423A">
              <w:rPr>
                <w:rFonts w:cs="Sylfaen"/>
                <w:bCs/>
                <w:sz w:val="20"/>
                <w:szCs w:val="20"/>
              </w:rPr>
              <w:t>բարեփոխման</w:t>
            </w:r>
            <w:r w:rsidRPr="0053423A">
              <w:rPr>
                <w:rFonts w:cs="Sylfaen"/>
                <w:bCs/>
                <w:sz w:val="20"/>
                <w:szCs w:val="20"/>
                <w:lang w:val="hy-AM"/>
              </w:rPr>
              <w:t xml:space="preserve"> </w:t>
            </w:r>
            <w:r w:rsidRPr="0053423A">
              <w:rPr>
                <w:rFonts w:cs="Sylfaen"/>
                <w:bCs/>
                <w:sz w:val="20"/>
                <w:szCs w:val="20"/>
              </w:rPr>
              <w:t>նպատակով</w:t>
            </w:r>
            <w:r w:rsidRPr="0053423A">
              <w:rPr>
                <w:rFonts w:cs="Sylfaen"/>
                <w:bCs/>
                <w:sz w:val="20"/>
                <w:szCs w:val="20"/>
                <w:lang w:val="hy-AM"/>
              </w:rPr>
              <w:t xml:space="preserve"> </w:t>
            </w:r>
            <w:r w:rsidRPr="0053423A">
              <w:rPr>
                <w:rFonts w:cs="Sylfaen"/>
                <w:bCs/>
                <w:sz w:val="20"/>
                <w:szCs w:val="20"/>
              </w:rPr>
              <w:t>նրանց</w:t>
            </w:r>
            <w:r w:rsidRPr="0053423A">
              <w:rPr>
                <w:rFonts w:cs="Sylfaen"/>
                <w:bCs/>
                <w:sz w:val="20"/>
                <w:szCs w:val="20"/>
                <w:lang w:val="hy-AM"/>
              </w:rPr>
              <w:t xml:space="preserve"> </w:t>
            </w:r>
            <w:r w:rsidRPr="0053423A">
              <w:rPr>
                <w:rFonts w:cs="Sylfaen"/>
                <w:sz w:val="20"/>
                <w:szCs w:val="20"/>
              </w:rPr>
              <w:t>կազմակերպաիրավական</w:t>
            </w:r>
            <w:r w:rsidRPr="0053423A">
              <w:rPr>
                <w:rFonts w:cs="Sylfaen"/>
                <w:sz w:val="20"/>
                <w:szCs w:val="20"/>
                <w:lang w:val="hy-AM"/>
              </w:rPr>
              <w:t xml:space="preserve"> </w:t>
            </w:r>
            <w:r w:rsidRPr="0053423A">
              <w:rPr>
                <w:rFonts w:cs="Sylfaen"/>
                <w:sz w:val="20"/>
                <w:szCs w:val="20"/>
              </w:rPr>
              <w:t>ձևերի</w:t>
            </w:r>
            <w:r w:rsidRPr="0053423A">
              <w:rPr>
                <w:rFonts w:cs="Sylfaen"/>
                <w:sz w:val="20"/>
                <w:szCs w:val="20"/>
                <w:lang w:val="hy-AM"/>
              </w:rPr>
              <w:t xml:space="preserve"> </w:t>
            </w:r>
            <w:r w:rsidRPr="0053423A">
              <w:rPr>
                <w:rFonts w:cs="Courier New"/>
                <w:sz w:val="20"/>
                <w:szCs w:val="20"/>
                <w:lang w:val="pt-BR"/>
              </w:rPr>
              <w:t>(</w:t>
            </w:r>
            <w:r w:rsidRPr="0053423A">
              <w:rPr>
                <w:rFonts w:cs="Sylfaen"/>
                <w:sz w:val="20"/>
                <w:szCs w:val="20"/>
              </w:rPr>
              <w:t>այդ</w:t>
            </w:r>
            <w:r w:rsidRPr="0053423A">
              <w:rPr>
                <w:rFonts w:cs="Sylfaen"/>
                <w:sz w:val="20"/>
                <w:szCs w:val="20"/>
                <w:lang w:val="hy-AM"/>
              </w:rPr>
              <w:t xml:space="preserve"> </w:t>
            </w:r>
            <w:r w:rsidRPr="0053423A">
              <w:rPr>
                <w:rFonts w:cs="Sylfaen"/>
                <w:sz w:val="20"/>
                <w:szCs w:val="20"/>
              </w:rPr>
              <w:t>թվում՝</w:t>
            </w:r>
            <w:r w:rsidRPr="0053423A">
              <w:rPr>
                <w:rFonts w:cs="Sylfaen"/>
                <w:sz w:val="20"/>
                <w:szCs w:val="20"/>
                <w:lang w:val="hy-AM"/>
              </w:rPr>
              <w:t xml:space="preserve"> </w:t>
            </w:r>
            <w:r w:rsidRPr="0053423A">
              <w:rPr>
                <w:rFonts w:cs="Sylfaen"/>
                <w:sz w:val="20"/>
                <w:szCs w:val="20"/>
              </w:rPr>
              <w:t>ստեղծման</w:t>
            </w:r>
            <w:r w:rsidRPr="0053423A">
              <w:rPr>
                <w:sz w:val="20"/>
                <w:szCs w:val="20"/>
                <w:lang w:val="pt-BR"/>
              </w:rPr>
              <w:t xml:space="preserve">, </w:t>
            </w:r>
            <w:r w:rsidRPr="0053423A">
              <w:rPr>
                <w:rFonts w:cs="Sylfaen"/>
                <w:sz w:val="20"/>
                <w:szCs w:val="20"/>
              </w:rPr>
              <w:t>վերակազմակերպման</w:t>
            </w:r>
            <w:r w:rsidRPr="0053423A">
              <w:rPr>
                <w:rFonts w:cs="Sylfaen"/>
                <w:sz w:val="20"/>
                <w:szCs w:val="20"/>
                <w:lang w:val="hy-AM"/>
              </w:rPr>
              <w:t xml:space="preserve"> </w:t>
            </w:r>
            <w:r w:rsidRPr="0053423A">
              <w:rPr>
                <w:rFonts w:cs="Sylfaen"/>
                <w:sz w:val="20"/>
                <w:szCs w:val="20"/>
              </w:rPr>
              <w:t>և</w:t>
            </w:r>
            <w:r w:rsidRPr="0053423A">
              <w:rPr>
                <w:rFonts w:cs="Sylfaen"/>
                <w:sz w:val="20"/>
                <w:szCs w:val="20"/>
                <w:lang w:val="hy-AM"/>
              </w:rPr>
              <w:t xml:space="preserve"> </w:t>
            </w:r>
            <w:r w:rsidRPr="0053423A">
              <w:rPr>
                <w:rFonts w:cs="Sylfaen"/>
                <w:sz w:val="20"/>
                <w:szCs w:val="20"/>
              </w:rPr>
              <w:t>լուծարման</w:t>
            </w:r>
            <w:r w:rsidRPr="0053423A">
              <w:rPr>
                <w:rFonts w:cs="Arial Armenian"/>
                <w:sz w:val="20"/>
                <w:szCs w:val="20"/>
                <w:lang w:val="pt-BR"/>
              </w:rPr>
              <w:t xml:space="preserve">), </w:t>
            </w:r>
            <w:r w:rsidRPr="0053423A">
              <w:rPr>
                <w:rFonts w:cs="Sylfaen"/>
                <w:sz w:val="20"/>
                <w:szCs w:val="20"/>
              </w:rPr>
              <w:t>կառավարման</w:t>
            </w:r>
            <w:r w:rsidRPr="0053423A">
              <w:rPr>
                <w:rFonts w:cs="Sylfaen"/>
                <w:sz w:val="20"/>
                <w:szCs w:val="20"/>
                <w:lang w:val="hy-AM"/>
              </w:rPr>
              <w:t xml:space="preserve"> </w:t>
            </w:r>
            <w:r w:rsidRPr="0053423A">
              <w:rPr>
                <w:rFonts w:cs="Sylfaen"/>
                <w:sz w:val="20"/>
                <w:szCs w:val="20"/>
              </w:rPr>
              <w:t>մարմինների</w:t>
            </w:r>
            <w:r w:rsidRPr="0053423A">
              <w:rPr>
                <w:rFonts w:cs="Sylfaen"/>
                <w:sz w:val="20"/>
                <w:szCs w:val="20"/>
                <w:lang w:val="hy-AM"/>
              </w:rPr>
              <w:t xml:space="preserve"> </w:t>
            </w:r>
            <w:r w:rsidRPr="0053423A">
              <w:rPr>
                <w:rFonts w:cs="Sylfaen"/>
                <w:sz w:val="20"/>
                <w:szCs w:val="20"/>
              </w:rPr>
              <w:t>ու</w:t>
            </w:r>
            <w:r w:rsidRPr="0053423A">
              <w:rPr>
                <w:rFonts w:cs="Sylfaen"/>
                <w:sz w:val="20"/>
                <w:szCs w:val="20"/>
                <w:lang w:val="hy-AM"/>
              </w:rPr>
              <w:t xml:space="preserve"> </w:t>
            </w:r>
            <w:r w:rsidRPr="0053423A">
              <w:rPr>
                <w:rFonts w:cs="Sylfaen"/>
                <w:sz w:val="20"/>
                <w:szCs w:val="20"/>
              </w:rPr>
              <w:t>դրանց</w:t>
            </w:r>
            <w:r w:rsidRPr="0053423A">
              <w:rPr>
                <w:rFonts w:cs="Sylfaen"/>
                <w:sz w:val="20"/>
                <w:szCs w:val="20"/>
                <w:lang w:val="hy-AM"/>
              </w:rPr>
              <w:t xml:space="preserve"> </w:t>
            </w:r>
            <w:r w:rsidRPr="0053423A">
              <w:rPr>
                <w:rFonts w:cs="Sylfaen"/>
                <w:sz w:val="20"/>
                <w:szCs w:val="20"/>
              </w:rPr>
              <w:t>գործունեության</w:t>
            </w:r>
            <w:r w:rsidRPr="0053423A">
              <w:rPr>
                <w:rFonts w:cs="Sylfaen"/>
                <w:sz w:val="20"/>
                <w:szCs w:val="20"/>
                <w:lang w:val="hy-AM"/>
              </w:rPr>
              <w:t xml:space="preserve"> </w:t>
            </w:r>
            <w:r w:rsidRPr="0053423A">
              <w:rPr>
                <w:rFonts w:cs="Sylfaen"/>
                <w:sz w:val="20"/>
                <w:szCs w:val="20"/>
              </w:rPr>
              <w:t>տարանջատման</w:t>
            </w:r>
            <w:r w:rsidRPr="0053423A">
              <w:rPr>
                <w:rFonts w:cs="Sylfaen"/>
                <w:sz w:val="20"/>
                <w:szCs w:val="20"/>
                <w:lang w:val="hy-AM"/>
              </w:rPr>
              <w:t xml:space="preserve"> </w:t>
            </w:r>
            <w:r w:rsidRPr="0053423A">
              <w:rPr>
                <w:rFonts w:cs="Sylfaen"/>
                <w:sz w:val="20"/>
                <w:szCs w:val="20"/>
              </w:rPr>
              <w:t>հստակեցմանը</w:t>
            </w:r>
            <w:r w:rsidRPr="0053423A">
              <w:rPr>
                <w:rFonts w:cs="Arial Armenian"/>
                <w:sz w:val="20"/>
                <w:szCs w:val="20"/>
                <w:lang w:val="pt-BR"/>
              </w:rPr>
              <w:t>,</w:t>
            </w:r>
          </w:p>
          <w:p w:rsidR="00154773" w:rsidRPr="0053423A" w:rsidRDefault="00154773" w:rsidP="001F6D5D">
            <w:pPr>
              <w:numPr>
                <w:ilvl w:val="0"/>
                <w:numId w:val="169"/>
              </w:numPr>
              <w:jc w:val="both"/>
              <w:rPr>
                <w:rFonts w:eastAsia="GHEA Grapalat" w:cs="GHEA Grapalat"/>
                <w:color w:val="000000"/>
                <w:sz w:val="20"/>
                <w:szCs w:val="20"/>
                <w:lang w:val="et-EE" w:eastAsia="ru-RU"/>
              </w:rPr>
            </w:pPr>
            <w:r w:rsidRPr="0053423A">
              <w:rPr>
                <w:rFonts w:eastAsia="GHEA Grapalat" w:cs="GHEA Grapalat"/>
                <w:color w:val="000000"/>
                <w:sz w:val="20"/>
                <w:szCs w:val="20"/>
                <w:lang w:eastAsia="ru-RU"/>
              </w:rPr>
              <w:t>Պետական</w:t>
            </w:r>
            <w:r w:rsidRPr="0053423A">
              <w:rPr>
                <w:rFonts w:eastAsia="GHEA Grapalat" w:cs="GHEA Grapalat"/>
                <w:color w:val="000000"/>
                <w:sz w:val="20"/>
                <w:szCs w:val="20"/>
                <w:lang w:val="hy-AM" w:eastAsia="ru-RU"/>
              </w:rPr>
              <w:t xml:space="preserve"> </w:t>
            </w:r>
            <w:r w:rsidRPr="0053423A">
              <w:rPr>
                <w:rFonts w:eastAsia="GHEA Grapalat" w:cs="GHEA Grapalat"/>
                <w:color w:val="000000"/>
                <w:sz w:val="20"/>
                <w:szCs w:val="20"/>
                <w:lang w:eastAsia="ru-RU"/>
              </w:rPr>
              <w:t>բարձրագույն</w:t>
            </w:r>
            <w:r w:rsidRPr="0053423A">
              <w:rPr>
                <w:rFonts w:eastAsia="GHEA Grapalat" w:cs="GHEA Grapalat"/>
                <w:color w:val="000000"/>
                <w:sz w:val="20"/>
                <w:szCs w:val="20"/>
                <w:lang w:val="hy-AM" w:eastAsia="ru-RU"/>
              </w:rPr>
              <w:t xml:space="preserve"> </w:t>
            </w:r>
            <w:r w:rsidRPr="0053423A">
              <w:rPr>
                <w:rFonts w:eastAsia="GHEA Grapalat" w:cs="GHEA Grapalat"/>
                <w:color w:val="000000"/>
                <w:sz w:val="20"/>
                <w:szCs w:val="20"/>
                <w:lang w:eastAsia="ru-RU"/>
              </w:rPr>
              <w:t>ուսումնական</w:t>
            </w:r>
            <w:r w:rsidRPr="0053423A">
              <w:rPr>
                <w:rFonts w:eastAsia="GHEA Grapalat" w:cs="GHEA Grapalat"/>
                <w:color w:val="000000"/>
                <w:sz w:val="20"/>
                <w:szCs w:val="20"/>
                <w:lang w:val="hy-AM" w:eastAsia="ru-RU"/>
              </w:rPr>
              <w:t xml:space="preserve"> </w:t>
            </w:r>
            <w:r w:rsidRPr="0053423A">
              <w:rPr>
                <w:rFonts w:eastAsia="GHEA Grapalat" w:cs="GHEA Grapalat"/>
                <w:color w:val="000000"/>
                <w:sz w:val="20"/>
                <w:szCs w:val="20"/>
                <w:lang w:eastAsia="ru-RU"/>
              </w:rPr>
              <w:t>հաստատությունների</w:t>
            </w:r>
            <w:r w:rsidRPr="0053423A">
              <w:rPr>
                <w:rFonts w:eastAsia="GHEA Grapalat" w:cs="GHEA Grapalat"/>
                <w:color w:val="000000"/>
                <w:sz w:val="20"/>
                <w:szCs w:val="20"/>
                <w:lang w:val="hy-AM" w:eastAsia="ru-RU"/>
              </w:rPr>
              <w:t xml:space="preserve"> </w:t>
            </w:r>
            <w:r w:rsidRPr="0053423A">
              <w:rPr>
                <w:rFonts w:eastAsia="GHEA Grapalat" w:cs="GHEA Grapalat"/>
                <w:color w:val="000000"/>
                <w:sz w:val="20"/>
                <w:szCs w:val="20"/>
                <w:lang w:eastAsia="ru-RU"/>
              </w:rPr>
              <w:t>արդյունավետության</w:t>
            </w:r>
            <w:r w:rsidRPr="0053423A">
              <w:rPr>
                <w:rFonts w:eastAsia="GHEA Grapalat" w:cs="GHEA Grapalat"/>
                <w:color w:val="000000"/>
                <w:sz w:val="20"/>
                <w:szCs w:val="20"/>
                <w:lang w:val="hy-AM" w:eastAsia="ru-RU"/>
              </w:rPr>
              <w:t xml:space="preserve"> </w:t>
            </w:r>
            <w:r w:rsidRPr="0053423A">
              <w:rPr>
                <w:rFonts w:eastAsia="GHEA Grapalat" w:cs="GHEA Grapalat"/>
                <w:color w:val="000000"/>
                <w:sz w:val="20"/>
                <w:szCs w:val="20"/>
                <w:lang w:eastAsia="ru-RU"/>
              </w:rPr>
              <w:t>բարձրացմանն</w:t>
            </w:r>
            <w:r w:rsidRPr="0053423A">
              <w:rPr>
                <w:rFonts w:eastAsia="GHEA Grapalat" w:cs="GHEA Grapalat"/>
                <w:color w:val="000000"/>
                <w:sz w:val="20"/>
                <w:szCs w:val="20"/>
                <w:lang w:val="hy-AM" w:eastAsia="ru-RU"/>
              </w:rPr>
              <w:t xml:space="preserve"> </w:t>
            </w:r>
            <w:r w:rsidRPr="0053423A">
              <w:rPr>
                <w:rFonts w:eastAsia="GHEA Grapalat" w:cs="GHEA Grapalat"/>
                <w:color w:val="000000"/>
                <w:sz w:val="20"/>
                <w:szCs w:val="20"/>
                <w:lang w:eastAsia="ru-RU"/>
              </w:rPr>
              <w:t>ուղղված</w:t>
            </w:r>
            <w:r w:rsidRPr="0053423A">
              <w:rPr>
                <w:rFonts w:eastAsia="GHEA Grapalat" w:cs="GHEA Grapalat"/>
                <w:color w:val="000000"/>
                <w:sz w:val="20"/>
                <w:szCs w:val="20"/>
                <w:lang w:val="hy-AM" w:eastAsia="ru-RU"/>
              </w:rPr>
              <w:t xml:space="preserve"> </w:t>
            </w:r>
            <w:r w:rsidRPr="0053423A">
              <w:rPr>
                <w:rFonts w:eastAsia="GHEA Grapalat" w:cs="GHEA Grapalat"/>
                <w:color w:val="000000"/>
                <w:sz w:val="20"/>
                <w:szCs w:val="20"/>
                <w:lang w:eastAsia="ru-RU"/>
              </w:rPr>
              <w:t>կառուցվածքային</w:t>
            </w:r>
            <w:r w:rsidRPr="0053423A">
              <w:rPr>
                <w:rFonts w:eastAsia="GHEA Grapalat" w:cs="GHEA Grapalat"/>
                <w:color w:val="000000"/>
                <w:sz w:val="20"/>
                <w:szCs w:val="20"/>
                <w:lang w:val="hy-AM" w:eastAsia="ru-RU"/>
              </w:rPr>
              <w:t xml:space="preserve"> </w:t>
            </w:r>
            <w:r w:rsidRPr="0053423A">
              <w:rPr>
                <w:rFonts w:eastAsia="GHEA Grapalat" w:cs="GHEA Grapalat"/>
                <w:color w:val="000000"/>
                <w:sz w:val="20"/>
                <w:szCs w:val="20"/>
                <w:lang w:eastAsia="ru-RU"/>
              </w:rPr>
              <w:t>փոփոխությունների</w:t>
            </w:r>
            <w:r w:rsidRPr="0053423A">
              <w:rPr>
                <w:rFonts w:eastAsia="GHEA Grapalat" w:cs="GHEA Grapalat"/>
                <w:color w:val="000000"/>
                <w:sz w:val="20"/>
                <w:szCs w:val="20"/>
                <w:lang w:val="hy-AM" w:eastAsia="ru-RU"/>
              </w:rPr>
              <w:t xml:space="preserve"> </w:t>
            </w:r>
            <w:r w:rsidRPr="0053423A">
              <w:rPr>
                <w:rFonts w:eastAsia="GHEA Grapalat" w:cs="GHEA Grapalat"/>
                <w:color w:val="000000"/>
                <w:sz w:val="20"/>
                <w:szCs w:val="20"/>
                <w:lang w:eastAsia="ru-RU"/>
              </w:rPr>
              <w:t>իրագործման</w:t>
            </w:r>
            <w:r w:rsidRPr="0053423A">
              <w:rPr>
                <w:rFonts w:eastAsia="GHEA Grapalat" w:cs="GHEA Grapalat"/>
                <w:color w:val="000000"/>
                <w:sz w:val="20"/>
                <w:szCs w:val="20"/>
                <w:lang w:val="hy-AM" w:eastAsia="ru-RU"/>
              </w:rPr>
              <w:t xml:space="preserve"> </w:t>
            </w:r>
            <w:r w:rsidRPr="0053423A">
              <w:rPr>
                <w:rFonts w:eastAsia="GHEA Grapalat" w:cs="GHEA Grapalat"/>
                <w:color w:val="000000"/>
                <w:sz w:val="20"/>
                <w:szCs w:val="20"/>
                <w:lang w:eastAsia="ru-RU"/>
              </w:rPr>
              <w:t>հիմքերը</w:t>
            </w:r>
            <w:r w:rsidRPr="0053423A">
              <w:rPr>
                <w:rFonts w:eastAsia="GHEA Grapalat" w:cs="GHEA Grapalat"/>
                <w:color w:val="000000"/>
                <w:sz w:val="20"/>
                <w:szCs w:val="20"/>
                <w:lang w:val="et-EE" w:eastAsia="ru-RU"/>
              </w:rPr>
              <w:t>,</w:t>
            </w:r>
          </w:p>
          <w:p w:rsidR="00154773" w:rsidRPr="0053423A" w:rsidRDefault="00154773" w:rsidP="001F6D5D">
            <w:pPr>
              <w:numPr>
                <w:ilvl w:val="0"/>
                <w:numId w:val="169"/>
              </w:numPr>
              <w:shd w:val="clear" w:color="auto" w:fill="FFFFFF"/>
              <w:ind w:left="1077" w:hanging="357"/>
              <w:jc w:val="both"/>
              <w:rPr>
                <w:rFonts w:eastAsia="GHEA Grapalat" w:cs="GHEA Grapalat"/>
                <w:sz w:val="20"/>
                <w:szCs w:val="20"/>
                <w:lang w:val="hy-AM" w:eastAsia="ru-RU"/>
              </w:rPr>
            </w:pPr>
            <w:r w:rsidRPr="0053423A">
              <w:rPr>
                <w:rFonts w:eastAsia="GHEA Grapalat" w:cs="GHEA Grapalat"/>
                <w:sz w:val="20"/>
                <w:szCs w:val="20"/>
                <w:lang w:val="hy-AM" w:eastAsia="ru-RU"/>
              </w:rPr>
              <w:t>գիտական ենթակառուցվածքների համապատասխանությ</w:t>
            </w:r>
            <w:r w:rsidRPr="0053423A">
              <w:rPr>
                <w:rFonts w:eastAsia="GHEA Grapalat" w:cs="GHEA Grapalat"/>
                <w:sz w:val="20"/>
                <w:szCs w:val="20"/>
                <w:lang w:eastAsia="ru-RU"/>
              </w:rPr>
              <w:t>ա</w:t>
            </w:r>
            <w:r w:rsidRPr="0053423A">
              <w:rPr>
                <w:rFonts w:eastAsia="GHEA Grapalat" w:cs="GHEA Grapalat"/>
                <w:sz w:val="20"/>
                <w:szCs w:val="20"/>
                <w:lang w:val="hy-AM" w:eastAsia="ru-RU"/>
              </w:rPr>
              <w:t>նն արդի չափանիշներին,</w:t>
            </w:r>
          </w:p>
          <w:p w:rsidR="00154773" w:rsidRPr="0053423A" w:rsidRDefault="00154773" w:rsidP="00154773">
            <w:pPr>
              <w:ind w:firstLine="284"/>
              <w:jc w:val="both"/>
              <w:rPr>
                <w:rFonts w:eastAsia="GHEA Grapalat" w:cs="GHEA Grapalat"/>
                <w:color w:val="000000"/>
                <w:sz w:val="20"/>
                <w:szCs w:val="20"/>
                <w:lang w:val="hy-AM" w:eastAsia="ru-RU"/>
              </w:rPr>
            </w:pPr>
            <w:r w:rsidRPr="0053423A">
              <w:rPr>
                <w:rFonts w:eastAsia="GHEA Grapalat" w:cs="GHEA Grapalat"/>
                <w:sz w:val="20"/>
                <w:szCs w:val="20"/>
                <w:lang w:val="hy-AM" w:eastAsia="ru-RU"/>
              </w:rPr>
              <w:t>գիտական կադրերի պատրաստման արդյունավետ համակարգի ներդրմանը և այլն</w:t>
            </w:r>
            <w:r w:rsidRPr="0053423A">
              <w:rPr>
                <w:rFonts w:eastAsia="GHEA Grapalat" w:cs="GHEA Grapalat"/>
                <w:color w:val="000000"/>
                <w:sz w:val="20"/>
                <w:szCs w:val="20"/>
                <w:lang w:val="hy-AM" w:eastAsia="ru-RU"/>
              </w:rPr>
              <w:t xml:space="preserve">: </w:t>
            </w:r>
          </w:p>
          <w:p w:rsidR="00154773" w:rsidRPr="0053423A" w:rsidRDefault="00154773" w:rsidP="00154773">
            <w:pPr>
              <w:ind w:firstLine="284"/>
              <w:jc w:val="both"/>
              <w:rPr>
                <w:rFonts w:eastAsia="GHEA Grapalat" w:cs="GHEA Grapalat"/>
                <w:color w:val="000000"/>
                <w:sz w:val="20"/>
                <w:szCs w:val="20"/>
                <w:lang w:val="hy-AM" w:eastAsia="ru-RU"/>
              </w:rPr>
            </w:pPr>
            <w:r w:rsidRPr="0053423A">
              <w:rPr>
                <w:rFonts w:eastAsia="GHEA Grapalat" w:cs="GHEA Grapalat"/>
                <w:color w:val="000000"/>
                <w:sz w:val="20"/>
                <w:szCs w:val="20"/>
                <w:lang w:val="hy-AM" w:eastAsia="ru-RU"/>
              </w:rPr>
              <w:t>Oրենքի հրապարակվելուց հետո սահմանվում են օրենքի ուժի մեջ մտնելու առնչությամբ ընդունվելիք օրենքի կիրարկումն ապահովող միջոցառումների ցանկը և դրանց կատարման ժամկետները:</w:t>
            </w:r>
          </w:p>
          <w:p w:rsidR="00154773" w:rsidRPr="0053423A" w:rsidRDefault="00154773" w:rsidP="00154773">
            <w:pPr>
              <w:ind w:left="1080"/>
              <w:contextualSpacing/>
              <w:jc w:val="both"/>
              <w:rPr>
                <w:rFonts w:eastAsia="GHEA Grapalat" w:cs="GHEA Grapalat"/>
                <w:color w:val="000000"/>
                <w:sz w:val="20"/>
                <w:szCs w:val="20"/>
                <w:lang w:val="hy-AM"/>
              </w:rPr>
            </w:pPr>
          </w:p>
          <w:p w:rsidR="00154773" w:rsidRPr="0053423A" w:rsidRDefault="00154773" w:rsidP="00154773">
            <w:pPr>
              <w:ind w:left="1080"/>
              <w:contextualSpacing/>
              <w:jc w:val="both"/>
              <w:rPr>
                <w:sz w:val="20"/>
                <w:szCs w:val="20"/>
                <w:shd w:val="clear" w:color="auto" w:fill="FFFFFF"/>
                <w:lang w:val="et-EE"/>
              </w:rPr>
            </w:pPr>
          </w:p>
          <w:p w:rsidR="00154773" w:rsidRPr="0053423A" w:rsidRDefault="00154773" w:rsidP="00154773">
            <w:pPr>
              <w:ind w:left="360"/>
              <w:jc w:val="both"/>
              <w:rPr>
                <w:rFonts w:eastAsia="Times New Roman" w:cs="Arial"/>
                <w:b/>
                <w:sz w:val="20"/>
                <w:szCs w:val="20"/>
                <w:lang w:val="hy-AM" w:eastAsia="ru-RU"/>
              </w:rPr>
            </w:pPr>
            <w:r w:rsidRPr="0053423A">
              <w:rPr>
                <w:rFonts w:eastAsia="Times New Roman" w:cs="Arial"/>
                <w:b/>
                <w:sz w:val="20"/>
                <w:szCs w:val="20"/>
                <w:lang w:val="hy-AM" w:eastAsia="ru-RU"/>
              </w:rPr>
              <w:t xml:space="preserve">   2. Միջոցառման</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իրականացումից</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ակնկալվող</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արդյունքը</w:t>
            </w:r>
          </w:p>
          <w:p w:rsidR="00154773" w:rsidRPr="0053423A" w:rsidRDefault="00154773" w:rsidP="00154773">
            <w:pPr>
              <w:ind w:left="360"/>
              <w:jc w:val="both"/>
              <w:rPr>
                <w:rFonts w:eastAsia="Times New Roman" w:cs="Arial"/>
                <w:b/>
                <w:sz w:val="20"/>
                <w:szCs w:val="20"/>
                <w:lang w:val="hy-AM" w:eastAsia="ru-RU"/>
              </w:rPr>
            </w:pPr>
          </w:p>
          <w:p w:rsidR="00154773" w:rsidRPr="0053423A" w:rsidRDefault="00154773" w:rsidP="00154773">
            <w:pPr>
              <w:ind w:firstLine="708"/>
              <w:jc w:val="both"/>
              <w:rPr>
                <w:rFonts w:eastAsia="Times New Roman" w:cs="Times New Roman"/>
                <w:sz w:val="20"/>
                <w:szCs w:val="20"/>
                <w:lang w:val="hy-AM" w:eastAsia="ru-RU"/>
              </w:rPr>
            </w:pPr>
            <w:r w:rsidRPr="0053423A">
              <w:rPr>
                <w:rFonts w:eastAsia="Times New Roman" w:cs="Times New Roman"/>
                <w:sz w:val="20"/>
                <w:szCs w:val="20"/>
                <w:lang w:val="hy-AM" w:eastAsia="ru-RU"/>
              </w:rPr>
              <w:t xml:space="preserve">«Բարձրագույն կրթության և գիտահետազոտական գործունեության մասին» </w:t>
            </w:r>
            <w:r w:rsidRPr="0053423A">
              <w:rPr>
                <w:rFonts w:eastAsia="Times New Roman" w:cs="Times New Roman"/>
                <w:color w:val="000000"/>
                <w:sz w:val="20"/>
                <w:szCs w:val="20"/>
                <w:lang w:val="hy-AM"/>
              </w:rPr>
              <w:t xml:space="preserve">Հայաստանի Հանրապետության օրենքի </w:t>
            </w:r>
            <w:r w:rsidRPr="0053423A">
              <w:rPr>
                <w:rFonts w:eastAsia="Times New Roman" w:cs="Sylfaen"/>
                <w:sz w:val="20"/>
                <w:szCs w:val="20"/>
                <w:lang w:val="hy-AM"/>
              </w:rPr>
              <w:t>նախագծի ընդունման դեպքում ամբողջական և հստակ կսահմանվեն՝</w:t>
            </w:r>
          </w:p>
          <w:p w:rsidR="00154773" w:rsidRPr="0053423A" w:rsidRDefault="00154773" w:rsidP="00154773">
            <w:pPr>
              <w:ind w:firstLine="284"/>
              <w:jc w:val="both"/>
              <w:rPr>
                <w:rFonts w:eastAsia="GHEA Grapalat" w:cs="GHEA Grapalat"/>
                <w:color w:val="000000"/>
                <w:sz w:val="20"/>
                <w:szCs w:val="20"/>
                <w:lang w:val="hy-AM" w:eastAsia="ru-RU"/>
              </w:rPr>
            </w:pPr>
            <w:r w:rsidRPr="0053423A">
              <w:rPr>
                <w:rFonts w:eastAsia="GHEA Grapalat" w:cs="GHEA Grapalat"/>
                <w:color w:val="000000"/>
                <w:sz w:val="20"/>
                <w:szCs w:val="20"/>
                <w:lang w:val="hy-AM" w:eastAsia="ru-RU"/>
              </w:rPr>
              <w:t>- բարձրագույն կրթության և գիտության բնագավառներում անհրաժեշտ քաղաքականության իրականացման հիմքերը և պայմանները,</w:t>
            </w:r>
          </w:p>
          <w:p w:rsidR="00154773" w:rsidRPr="0053423A" w:rsidRDefault="00154773" w:rsidP="00154773">
            <w:pPr>
              <w:ind w:firstLine="284"/>
              <w:jc w:val="both"/>
              <w:rPr>
                <w:rFonts w:eastAsia="GHEA Grapalat" w:cs="GHEA Grapalat"/>
                <w:color w:val="000000"/>
                <w:sz w:val="20"/>
                <w:szCs w:val="20"/>
                <w:lang w:val="hy-AM" w:eastAsia="ru-RU"/>
              </w:rPr>
            </w:pPr>
            <w:r w:rsidRPr="0053423A">
              <w:rPr>
                <w:rFonts w:eastAsia="GHEA Grapalat" w:cs="GHEA Grapalat"/>
                <w:color w:val="000000"/>
                <w:sz w:val="20"/>
                <w:szCs w:val="20"/>
                <w:lang w:val="hy-AM" w:eastAsia="ru-RU"/>
              </w:rPr>
              <w:t>- բարձրագույն ուսումնական հաստատությունների գործունեության կատարողականի արդյունքային ցուցիչների /KPI/ հիմքերը,</w:t>
            </w:r>
          </w:p>
          <w:p w:rsidR="00154773" w:rsidRPr="0053423A" w:rsidRDefault="00154773" w:rsidP="00154773">
            <w:pPr>
              <w:ind w:firstLine="284"/>
              <w:jc w:val="both"/>
              <w:rPr>
                <w:rFonts w:eastAsia="GHEA Grapalat" w:cs="GHEA Grapalat"/>
                <w:color w:val="000000"/>
                <w:sz w:val="20"/>
                <w:szCs w:val="20"/>
                <w:lang w:val="hy-AM" w:eastAsia="ru-RU"/>
              </w:rPr>
            </w:pPr>
            <w:r w:rsidRPr="0053423A">
              <w:rPr>
                <w:rFonts w:eastAsia="GHEA Grapalat" w:cs="GHEA Grapalat"/>
                <w:color w:val="000000"/>
                <w:sz w:val="20"/>
                <w:szCs w:val="20"/>
                <w:lang w:val="hy-AM" w:eastAsia="ru-RU"/>
              </w:rPr>
              <w:t>- կրթական, հետազոտական, տեխնոլոգիական և նորարարական գործունեություն իրականացնող բարձրագույն ուսումնական հաստատություններին և գիտահետազոտական կազմակերպություններին պետական</w:t>
            </w:r>
            <w:r w:rsidRPr="0053423A">
              <w:rPr>
                <w:rFonts w:ascii="Cambria Math" w:eastAsia="GHEA Grapalat" w:hAnsi="Cambria Math" w:cs="Cambria Math"/>
                <w:color w:val="000000"/>
                <w:sz w:val="20"/>
                <w:szCs w:val="20"/>
                <w:lang w:val="hy-AM" w:eastAsia="ru-RU"/>
              </w:rPr>
              <w:t>​​</w:t>
            </w:r>
            <w:r w:rsidRPr="0053423A">
              <w:rPr>
                <w:rFonts w:eastAsia="GHEA Grapalat" w:cs="GHEA Grapalat"/>
                <w:color w:val="000000"/>
                <w:sz w:val="20"/>
                <w:szCs w:val="20"/>
                <w:lang w:val="hy-AM" w:eastAsia="ru-RU"/>
              </w:rPr>
              <w:t xml:space="preserve"> աջակցության տրամադրման սկզբունքները և մեխանիզմները (օրենքի նախագծով հիմնականում նախատեսվելու են բուհերի ֆինանսավորման և ուսանողներին պետության կողմից կրթաթոշակների տրամադրման նոր սկզբունքների և մեխանիզմների սահմանումը, գիտահետազոտական գործունեության բնագավառում պետության  կողմից ֆինանսավորման իրականացում ծրագրային սկզբունքով` գիտական փորձաքննության միջոցով),</w:t>
            </w:r>
          </w:p>
          <w:p w:rsidR="00154773" w:rsidRPr="0053423A" w:rsidRDefault="00154773" w:rsidP="00154773">
            <w:pPr>
              <w:ind w:firstLine="284"/>
              <w:jc w:val="both"/>
              <w:rPr>
                <w:rFonts w:eastAsia="GHEA Grapalat" w:cs="GHEA Grapalat"/>
                <w:color w:val="000000"/>
                <w:sz w:val="20"/>
                <w:szCs w:val="20"/>
                <w:lang w:val="hy-AM" w:eastAsia="ru-RU"/>
              </w:rPr>
            </w:pPr>
            <w:r w:rsidRPr="0053423A">
              <w:rPr>
                <w:rFonts w:eastAsia="GHEA Grapalat" w:cs="GHEA Grapalat"/>
                <w:color w:val="000000"/>
                <w:sz w:val="20"/>
                <w:szCs w:val="20"/>
                <w:lang w:val="hy-AM" w:eastAsia="ru-RU"/>
              </w:rPr>
              <w:t>- բարձրագույն ուսումնական հաստատության և գիտահետազոտական կազմակերպության գործունեության թափանցիկության և հրապարակայնության համար անհրաժեշտ մեխանիզմները և պահանջները, որը կարտացոլի հաստատության պատասխանատվությունը և կատարողականությունը պետության ու հասարակության առջև,</w:t>
            </w:r>
          </w:p>
          <w:p w:rsidR="00154773" w:rsidRPr="0053423A" w:rsidRDefault="00154773" w:rsidP="00154773">
            <w:pPr>
              <w:jc w:val="both"/>
              <w:rPr>
                <w:rFonts w:eastAsia="Times New Roman" w:cs="Times New Roman"/>
                <w:b/>
                <w:sz w:val="20"/>
                <w:szCs w:val="20"/>
                <w:lang w:val="hy-AM"/>
              </w:rPr>
            </w:pPr>
            <w:r w:rsidRPr="0053423A">
              <w:rPr>
                <w:rFonts w:eastAsia="GHEA Grapalat" w:cs="GHEA Grapalat"/>
                <w:color w:val="000000"/>
                <w:sz w:val="20"/>
                <w:szCs w:val="20"/>
                <w:lang w:val="hy-AM"/>
              </w:rPr>
              <w:t>- բարձրագույն կրթության և գիտության բնագավառներում միջազգային պահանջներից ելնելով անհրաժեշտ պետական վերահսկողության իրականացման հիմքերը, սկզբունքները և մեխանիզմները:</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jc w:val="center"/>
              <w:rPr>
                <w:rFonts w:eastAsia="GHEA Grapalat" w:cs="GHEA Grapalat"/>
                <w:b/>
                <w:sz w:val="20"/>
                <w:szCs w:val="20"/>
                <w:u w:val="single"/>
                <w:lang w:val="hy-AM" w:eastAsia="ru-RU"/>
              </w:rPr>
            </w:pPr>
            <w:r w:rsidRPr="0053423A">
              <w:rPr>
                <w:rFonts w:eastAsia="Calibri" w:cs="Sylfaen"/>
                <w:b/>
                <w:sz w:val="20"/>
                <w:szCs w:val="20"/>
                <w:u w:val="single"/>
                <w:lang w:val="hy-AM" w:eastAsia="ru-RU"/>
              </w:rPr>
              <w:t xml:space="preserve">6.2 </w:t>
            </w:r>
            <w:r w:rsidRPr="0053423A">
              <w:rPr>
                <w:rFonts w:eastAsia="GHEA Grapalat" w:cs="GHEA Grapalat"/>
                <w:b/>
                <w:sz w:val="20"/>
                <w:szCs w:val="20"/>
                <w:u w:val="single"/>
                <w:lang w:val="hy-AM" w:eastAsia="ru-RU"/>
              </w:rPr>
              <w:t>Բարձրագույն  ուսումնական  հաստատություններ  ընդունելության  սկզբունքների  և     մեխանիզմների վերանայում</w:t>
            </w:r>
          </w:p>
          <w:p w:rsidR="00154773" w:rsidRPr="0053423A" w:rsidRDefault="00154773" w:rsidP="00154773">
            <w:pPr>
              <w:ind w:firstLine="284"/>
              <w:jc w:val="both"/>
              <w:rPr>
                <w:rFonts w:eastAsia="Calibri" w:cs="Sylfaen"/>
                <w:b/>
                <w:noProof/>
                <w:sz w:val="20"/>
                <w:szCs w:val="20"/>
                <w:u w:val="single"/>
                <w:lang w:val="hy-AM" w:eastAsia="ru-RU"/>
              </w:rPr>
            </w:pPr>
          </w:p>
          <w:p w:rsidR="00154773" w:rsidRPr="0053423A" w:rsidRDefault="00154773" w:rsidP="00154773">
            <w:pPr>
              <w:ind w:left="630"/>
              <w:jc w:val="both"/>
              <w:rPr>
                <w:rFonts w:eastAsia="Times New Roman" w:cs="Arial Armenian"/>
                <w:sz w:val="20"/>
                <w:szCs w:val="20"/>
                <w:lang w:val="hy-AM" w:eastAsia="ru-RU"/>
              </w:rPr>
            </w:pPr>
            <w:r w:rsidRPr="0053423A">
              <w:rPr>
                <w:rFonts w:eastAsia="Times New Roman" w:cs="Arial"/>
                <w:b/>
                <w:sz w:val="20"/>
                <w:szCs w:val="20"/>
                <w:lang w:val="hy-AM" w:eastAsia="ru-RU"/>
              </w:rPr>
              <w:t>1. Միջոցառման</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իրականացման</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անհրաժեշտությունը</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և</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նպատակը</w:t>
            </w:r>
            <w:r w:rsidRPr="0053423A">
              <w:rPr>
                <w:rFonts w:eastAsia="Times New Roman" w:cs="Arial Armenian"/>
                <w:sz w:val="20"/>
                <w:szCs w:val="20"/>
                <w:lang w:val="hy-AM" w:eastAsia="ru-RU"/>
              </w:rPr>
              <w:t xml:space="preserve"> </w:t>
            </w:r>
          </w:p>
          <w:p w:rsidR="00154773" w:rsidRPr="0053423A" w:rsidRDefault="00154773" w:rsidP="00154773">
            <w:pPr>
              <w:ind w:left="630"/>
              <w:jc w:val="both"/>
              <w:rPr>
                <w:rFonts w:eastAsia="Times New Roman" w:cs="Arial Armenian"/>
                <w:sz w:val="20"/>
                <w:szCs w:val="20"/>
                <w:lang w:val="hy-AM" w:eastAsia="ru-RU"/>
              </w:rPr>
            </w:pPr>
          </w:p>
          <w:p w:rsidR="00154773" w:rsidRPr="0053423A" w:rsidRDefault="00154773" w:rsidP="00154773">
            <w:pPr>
              <w:shd w:val="clear" w:color="auto" w:fill="FFFFFF"/>
              <w:ind w:firstLine="360"/>
              <w:jc w:val="both"/>
              <w:textAlignment w:val="baseline"/>
              <w:rPr>
                <w:spacing w:val="-4"/>
                <w:sz w:val="20"/>
                <w:szCs w:val="20"/>
                <w:lang w:val="hy-AM"/>
              </w:rPr>
            </w:pPr>
            <w:r w:rsidRPr="0053423A">
              <w:rPr>
                <w:spacing w:val="-4"/>
                <w:sz w:val="20"/>
                <w:szCs w:val="20"/>
                <w:lang w:val="hy-AM"/>
              </w:rPr>
              <w:t xml:space="preserve"> Միջոցառման գլխավոր նպատակն է  կրթության համակարգի կառավարման արդյունավետության բարձրացումը: </w:t>
            </w:r>
          </w:p>
          <w:p w:rsidR="00154773" w:rsidRPr="0053423A" w:rsidRDefault="00154773" w:rsidP="00154773">
            <w:pPr>
              <w:ind w:firstLine="360"/>
              <w:jc w:val="both"/>
              <w:rPr>
                <w:rFonts w:eastAsia="Times New Roman" w:cs="Sylfaen"/>
                <w:sz w:val="20"/>
                <w:szCs w:val="20"/>
                <w:lang w:val="et-EE"/>
              </w:rPr>
            </w:pPr>
            <w:r w:rsidRPr="0053423A">
              <w:rPr>
                <w:rFonts w:eastAsia="Times New Roman" w:cs="Arian AMU"/>
                <w:sz w:val="20"/>
                <w:szCs w:val="20"/>
                <w:lang w:val="hy-AM"/>
              </w:rPr>
              <w:t>Միջոցառման</w:t>
            </w:r>
            <w:r w:rsidRPr="0053423A">
              <w:rPr>
                <w:rFonts w:eastAsia="Times New Roman" w:cs="Arian AMU"/>
                <w:sz w:val="20"/>
                <w:szCs w:val="20"/>
                <w:lang w:val="et-EE"/>
              </w:rPr>
              <w:t xml:space="preserve"> </w:t>
            </w:r>
            <w:r w:rsidRPr="0053423A">
              <w:rPr>
                <w:rFonts w:eastAsia="Times New Roman" w:cs="Arian AMU"/>
                <w:sz w:val="20"/>
                <w:szCs w:val="20"/>
                <w:lang w:val="hy-AM"/>
              </w:rPr>
              <w:t>անհրաժեշտությունը</w:t>
            </w:r>
            <w:r w:rsidRPr="0053423A">
              <w:rPr>
                <w:rFonts w:eastAsia="Times New Roman" w:cs="Arian AMU"/>
                <w:sz w:val="20"/>
                <w:szCs w:val="20"/>
                <w:lang w:val="et-EE"/>
              </w:rPr>
              <w:t xml:space="preserve"> </w:t>
            </w:r>
            <w:r w:rsidRPr="0053423A">
              <w:rPr>
                <w:rFonts w:eastAsia="Times New Roman" w:cs="Arian AMU"/>
                <w:sz w:val="20"/>
                <w:szCs w:val="20"/>
                <w:lang w:val="hy-AM"/>
              </w:rPr>
              <w:t>բխում</w:t>
            </w:r>
            <w:r w:rsidRPr="0053423A">
              <w:rPr>
                <w:rFonts w:eastAsia="Times New Roman" w:cs="Arian AMU"/>
                <w:sz w:val="20"/>
                <w:szCs w:val="20"/>
                <w:lang w:val="et-EE"/>
              </w:rPr>
              <w:t xml:space="preserve"> </w:t>
            </w:r>
            <w:r w:rsidRPr="0053423A">
              <w:rPr>
                <w:rFonts w:eastAsia="Times New Roman" w:cs="Arian AMU"/>
                <w:sz w:val="20"/>
                <w:szCs w:val="20"/>
                <w:lang w:val="hy-AM"/>
              </w:rPr>
              <w:t>է</w:t>
            </w:r>
            <w:r w:rsidRPr="0053423A">
              <w:rPr>
                <w:rFonts w:eastAsia="Times New Roman" w:cs="Arian AMU"/>
                <w:sz w:val="20"/>
                <w:szCs w:val="20"/>
                <w:lang w:val="et-EE"/>
              </w:rPr>
              <w:t xml:space="preserve"> </w:t>
            </w:r>
            <w:r w:rsidRPr="0053423A">
              <w:rPr>
                <w:rFonts w:eastAsia="Times New Roman" w:cs="Arian AMU"/>
                <w:sz w:val="20"/>
                <w:szCs w:val="20"/>
                <w:lang w:val="hy-AM"/>
              </w:rPr>
              <w:t>ՀՀ</w:t>
            </w:r>
            <w:r w:rsidRPr="0053423A">
              <w:rPr>
                <w:rFonts w:eastAsia="Times New Roman" w:cs="Arian AMU"/>
                <w:sz w:val="20"/>
                <w:szCs w:val="20"/>
                <w:lang w:val="et-EE"/>
              </w:rPr>
              <w:t xml:space="preserve"> </w:t>
            </w:r>
            <w:r w:rsidRPr="0053423A">
              <w:rPr>
                <w:rFonts w:eastAsia="Times New Roman" w:cs="Arian AMU"/>
                <w:sz w:val="20"/>
                <w:szCs w:val="20"/>
                <w:lang w:val="hy-AM"/>
              </w:rPr>
              <w:t>կառավարության</w:t>
            </w:r>
            <w:r w:rsidRPr="0053423A">
              <w:rPr>
                <w:rFonts w:eastAsia="Times New Roman" w:cs="Arian AMU"/>
                <w:sz w:val="20"/>
                <w:szCs w:val="20"/>
                <w:lang w:val="et-EE"/>
              </w:rPr>
              <w:t xml:space="preserve"> 08.02.2019</w:t>
            </w:r>
            <w:r w:rsidRPr="0053423A">
              <w:rPr>
                <w:rFonts w:eastAsia="Times New Roman" w:cs="Arian AMU"/>
                <w:sz w:val="20"/>
                <w:szCs w:val="20"/>
                <w:lang w:val="hy-AM"/>
              </w:rPr>
              <w:t>թ</w:t>
            </w:r>
            <w:r w:rsidRPr="0053423A">
              <w:rPr>
                <w:rFonts w:eastAsia="Times New Roman" w:cs="Arian AMU"/>
                <w:sz w:val="20"/>
                <w:szCs w:val="20"/>
                <w:lang w:val="et-EE"/>
              </w:rPr>
              <w:t xml:space="preserve">. </w:t>
            </w:r>
            <w:r w:rsidRPr="0053423A">
              <w:rPr>
                <w:rFonts w:eastAsia="Times New Roman" w:cs="Arian AMU"/>
                <w:sz w:val="20"/>
                <w:szCs w:val="20"/>
                <w:lang w:val="hy-AM"/>
              </w:rPr>
              <w:t>թիվ</w:t>
            </w:r>
            <w:r w:rsidRPr="0053423A">
              <w:rPr>
                <w:rFonts w:eastAsia="Times New Roman" w:cs="Arian AMU"/>
                <w:sz w:val="20"/>
                <w:szCs w:val="20"/>
                <w:lang w:val="et-EE"/>
              </w:rPr>
              <w:t xml:space="preserve"> 65-</w:t>
            </w:r>
            <w:r w:rsidRPr="0053423A">
              <w:rPr>
                <w:rFonts w:eastAsia="Times New Roman" w:cs="Arian AMU"/>
                <w:sz w:val="20"/>
                <w:szCs w:val="20"/>
                <w:lang w:val="hy-AM"/>
              </w:rPr>
              <w:t>Ա</w:t>
            </w:r>
            <w:r w:rsidRPr="0053423A">
              <w:rPr>
                <w:rFonts w:eastAsia="Times New Roman" w:cs="Arian AMU"/>
                <w:sz w:val="20"/>
                <w:szCs w:val="20"/>
                <w:lang w:val="et-EE"/>
              </w:rPr>
              <w:t xml:space="preserve"> </w:t>
            </w:r>
            <w:r w:rsidRPr="0053423A">
              <w:rPr>
                <w:rFonts w:eastAsia="Times New Roman" w:cs="Arian AMU"/>
                <w:sz w:val="20"/>
                <w:szCs w:val="20"/>
                <w:lang w:val="hy-AM"/>
              </w:rPr>
              <w:t>որոշմամբ հաստատված</w:t>
            </w:r>
            <w:r w:rsidRPr="0053423A">
              <w:rPr>
                <w:rFonts w:eastAsia="Times New Roman" w:cs="Arian AMU"/>
                <w:sz w:val="20"/>
                <w:szCs w:val="20"/>
                <w:lang w:val="et-EE"/>
              </w:rPr>
              <w:t xml:space="preserve"> Հայաստանի Հանրապետության կառավարության </w:t>
            </w:r>
            <w:r w:rsidRPr="0053423A">
              <w:rPr>
                <w:rFonts w:eastAsia="Times New Roman" w:cs="Arian AMU"/>
                <w:sz w:val="20"/>
                <w:szCs w:val="20"/>
                <w:lang w:val="hy-AM"/>
              </w:rPr>
              <w:t>ծրագրի</w:t>
            </w:r>
            <w:r w:rsidRPr="0053423A">
              <w:rPr>
                <w:rFonts w:eastAsia="Times New Roman" w:cs="Arian AMU"/>
                <w:sz w:val="20"/>
                <w:szCs w:val="20"/>
                <w:lang w:val="et-EE"/>
              </w:rPr>
              <w:t xml:space="preserve"> 4.4 </w:t>
            </w:r>
            <w:r w:rsidRPr="0053423A">
              <w:rPr>
                <w:rFonts w:eastAsia="Times New Roman" w:cs="Arian AMU"/>
                <w:sz w:val="20"/>
                <w:szCs w:val="20"/>
                <w:lang w:val="hy-AM"/>
              </w:rPr>
              <w:t>կետի՝</w:t>
            </w:r>
            <w:r w:rsidRPr="0053423A">
              <w:rPr>
                <w:rFonts w:eastAsia="Times New Roman" w:cs="Arian AMU"/>
                <w:sz w:val="20"/>
                <w:szCs w:val="20"/>
                <w:lang w:val="et-EE"/>
              </w:rPr>
              <w:t xml:space="preserve"> բարձրագույն կրթության ոլորտի </w:t>
            </w:r>
            <w:r w:rsidRPr="0053423A">
              <w:rPr>
                <w:rFonts w:eastAsia="Times New Roman" w:cs="Sylfaen"/>
                <w:sz w:val="20"/>
                <w:szCs w:val="20"/>
                <w:lang w:val="af-ZA"/>
              </w:rPr>
              <w:t>1-ին պարբերություն</w:t>
            </w:r>
            <w:r w:rsidRPr="0053423A">
              <w:rPr>
                <w:rFonts w:eastAsia="Times New Roman" w:cs="Sylfaen"/>
                <w:sz w:val="20"/>
                <w:szCs w:val="20"/>
                <w:lang w:val="hy-AM"/>
              </w:rPr>
              <w:t>ից</w:t>
            </w:r>
            <w:r w:rsidRPr="0053423A">
              <w:rPr>
                <w:rFonts w:eastAsia="Times New Roman" w:cs="Sylfaen"/>
                <w:sz w:val="20"/>
                <w:szCs w:val="20"/>
                <w:lang w:val="et-EE"/>
              </w:rPr>
              <w:t xml:space="preserve">: </w:t>
            </w:r>
          </w:p>
          <w:p w:rsidR="00154773" w:rsidRPr="0053423A" w:rsidRDefault="00154773" w:rsidP="00154773">
            <w:pPr>
              <w:ind w:firstLine="360"/>
              <w:jc w:val="both"/>
              <w:rPr>
                <w:rFonts w:eastAsia="Times New Roman" w:cs="Arian AMU"/>
                <w:sz w:val="20"/>
                <w:szCs w:val="20"/>
                <w:lang w:val="et-EE"/>
              </w:rPr>
            </w:pPr>
            <w:r w:rsidRPr="0053423A">
              <w:rPr>
                <w:rFonts w:eastAsia="Times New Roman" w:cs="Arian AMU"/>
                <w:sz w:val="20"/>
                <w:szCs w:val="20"/>
              </w:rPr>
              <w:t>Բարձրագույն</w:t>
            </w:r>
            <w:r w:rsidRPr="0053423A">
              <w:rPr>
                <w:rFonts w:eastAsia="Times New Roman" w:cs="Arian AMU"/>
                <w:sz w:val="20"/>
                <w:szCs w:val="20"/>
                <w:lang w:val="et-EE"/>
              </w:rPr>
              <w:t xml:space="preserve"> </w:t>
            </w:r>
            <w:r w:rsidRPr="0053423A">
              <w:rPr>
                <w:rFonts w:eastAsia="Times New Roman" w:cs="Arian AMU"/>
                <w:sz w:val="20"/>
                <w:szCs w:val="20"/>
              </w:rPr>
              <w:t>ուսումնական</w:t>
            </w:r>
            <w:r w:rsidRPr="0053423A">
              <w:rPr>
                <w:rFonts w:eastAsia="Times New Roman" w:cs="Arian AMU"/>
                <w:sz w:val="20"/>
                <w:szCs w:val="20"/>
                <w:lang w:val="et-EE"/>
              </w:rPr>
              <w:t xml:space="preserve"> </w:t>
            </w:r>
            <w:r w:rsidRPr="0053423A">
              <w:rPr>
                <w:rFonts w:eastAsia="Times New Roman" w:cs="Arian AMU"/>
                <w:sz w:val="20"/>
                <w:szCs w:val="20"/>
              </w:rPr>
              <w:t>հաստատություններ</w:t>
            </w:r>
            <w:r w:rsidRPr="0053423A">
              <w:rPr>
                <w:rFonts w:eastAsia="Times New Roman" w:cs="Arian AMU"/>
                <w:sz w:val="20"/>
                <w:szCs w:val="20"/>
                <w:lang w:val="et-EE"/>
              </w:rPr>
              <w:t xml:space="preserve"> </w:t>
            </w:r>
            <w:r w:rsidRPr="0053423A">
              <w:rPr>
                <w:rFonts w:eastAsia="Times New Roman" w:cs="Arian AMU"/>
                <w:sz w:val="20"/>
                <w:szCs w:val="20"/>
              </w:rPr>
              <w:t>ընդունելության</w:t>
            </w:r>
            <w:r w:rsidRPr="0053423A">
              <w:rPr>
                <w:rFonts w:eastAsia="Times New Roman" w:cs="Arian AMU"/>
                <w:sz w:val="20"/>
                <w:szCs w:val="20"/>
                <w:lang w:val="et-EE"/>
              </w:rPr>
              <w:t xml:space="preserve"> </w:t>
            </w:r>
            <w:r w:rsidRPr="0053423A">
              <w:rPr>
                <w:rFonts w:eastAsia="Times New Roman" w:cs="Arian AMU"/>
                <w:sz w:val="20"/>
                <w:szCs w:val="20"/>
              </w:rPr>
              <w:t>սկզբունքների</w:t>
            </w:r>
            <w:r w:rsidRPr="0053423A">
              <w:rPr>
                <w:rFonts w:eastAsia="Times New Roman" w:cs="Arian AMU"/>
                <w:sz w:val="20"/>
                <w:szCs w:val="20"/>
                <w:lang w:val="et-EE"/>
              </w:rPr>
              <w:t xml:space="preserve"> </w:t>
            </w:r>
            <w:r w:rsidRPr="0053423A">
              <w:rPr>
                <w:rFonts w:eastAsia="Times New Roman" w:cs="Arian AMU"/>
                <w:sz w:val="20"/>
                <w:szCs w:val="20"/>
              </w:rPr>
              <w:t>և</w:t>
            </w:r>
            <w:r w:rsidRPr="0053423A">
              <w:rPr>
                <w:rFonts w:eastAsia="Times New Roman" w:cs="Arian AMU"/>
                <w:sz w:val="20"/>
                <w:szCs w:val="20"/>
                <w:lang w:val="et-EE"/>
              </w:rPr>
              <w:t xml:space="preserve"> </w:t>
            </w:r>
            <w:r w:rsidRPr="0053423A">
              <w:rPr>
                <w:rFonts w:eastAsia="Times New Roman" w:cs="Arian AMU"/>
                <w:sz w:val="20"/>
                <w:szCs w:val="20"/>
              </w:rPr>
              <w:t>մեխանիզմների</w:t>
            </w:r>
            <w:r w:rsidRPr="0053423A">
              <w:rPr>
                <w:rFonts w:eastAsia="Times New Roman" w:cs="Arian AMU"/>
                <w:sz w:val="20"/>
                <w:szCs w:val="20"/>
                <w:lang w:val="et-EE"/>
              </w:rPr>
              <w:t xml:space="preserve">  </w:t>
            </w:r>
            <w:r w:rsidRPr="0053423A">
              <w:rPr>
                <w:rFonts w:eastAsia="Times New Roman" w:cs="Arian AMU"/>
                <w:sz w:val="20"/>
                <w:szCs w:val="20"/>
              </w:rPr>
              <w:t>վերանայումը</w:t>
            </w:r>
            <w:r w:rsidRPr="0053423A">
              <w:rPr>
                <w:rFonts w:eastAsia="Times New Roman" w:cs="Arian AMU"/>
                <w:sz w:val="20"/>
                <w:szCs w:val="20"/>
                <w:lang w:val="et-EE"/>
              </w:rPr>
              <w:t xml:space="preserve">  </w:t>
            </w:r>
            <w:r w:rsidRPr="0053423A">
              <w:rPr>
                <w:rFonts w:eastAsia="Times New Roman" w:cs="Arian AMU"/>
                <w:sz w:val="20"/>
                <w:szCs w:val="20"/>
              </w:rPr>
              <w:t>նպատակ</w:t>
            </w:r>
            <w:r w:rsidRPr="0053423A">
              <w:rPr>
                <w:rFonts w:eastAsia="Times New Roman" w:cs="Arian AMU"/>
                <w:sz w:val="20"/>
                <w:szCs w:val="20"/>
                <w:lang w:val="et-EE"/>
              </w:rPr>
              <w:t xml:space="preserve"> </w:t>
            </w:r>
            <w:r w:rsidRPr="0053423A">
              <w:rPr>
                <w:rFonts w:eastAsia="Times New Roman" w:cs="Arian AMU"/>
                <w:sz w:val="20"/>
                <w:szCs w:val="20"/>
              </w:rPr>
              <w:t>է</w:t>
            </w:r>
            <w:r w:rsidRPr="0053423A">
              <w:rPr>
                <w:rFonts w:eastAsia="Times New Roman" w:cs="Arian AMU"/>
                <w:sz w:val="20"/>
                <w:szCs w:val="20"/>
                <w:lang w:val="et-EE"/>
              </w:rPr>
              <w:t xml:space="preserve"> </w:t>
            </w:r>
            <w:r w:rsidRPr="0053423A">
              <w:rPr>
                <w:rFonts w:eastAsia="Times New Roman" w:cs="Arian AMU"/>
                <w:sz w:val="20"/>
                <w:szCs w:val="20"/>
              </w:rPr>
              <w:t>հետապնդում</w:t>
            </w:r>
            <w:r w:rsidRPr="0053423A">
              <w:rPr>
                <w:rFonts w:eastAsia="Times New Roman" w:cs="Arian AMU"/>
                <w:sz w:val="20"/>
                <w:szCs w:val="20"/>
                <w:lang w:val="et-EE"/>
              </w:rPr>
              <w:t xml:space="preserve"> </w:t>
            </w:r>
            <w:r w:rsidRPr="0053423A">
              <w:rPr>
                <w:rFonts w:eastAsia="Times New Roman" w:cs="Arian AMU"/>
                <w:sz w:val="20"/>
                <w:szCs w:val="20"/>
              </w:rPr>
              <w:t>ստեղծելու</w:t>
            </w:r>
            <w:r w:rsidRPr="0053423A">
              <w:rPr>
                <w:rFonts w:eastAsia="Times New Roman" w:cs="Arian AMU"/>
                <w:sz w:val="20"/>
                <w:szCs w:val="20"/>
                <w:lang w:val="et-EE"/>
              </w:rPr>
              <w:t xml:space="preserve">  </w:t>
            </w:r>
            <w:r w:rsidRPr="0053423A">
              <w:rPr>
                <w:rFonts w:eastAsia="Times New Roman" w:cs="Arian AMU"/>
                <w:sz w:val="20"/>
                <w:szCs w:val="20"/>
              </w:rPr>
              <w:t>ընդունելության</w:t>
            </w:r>
            <w:r w:rsidRPr="0053423A">
              <w:rPr>
                <w:rFonts w:eastAsia="Times New Roman" w:cs="Arian AMU"/>
                <w:sz w:val="20"/>
                <w:szCs w:val="20"/>
                <w:lang w:val="et-EE"/>
              </w:rPr>
              <w:t xml:space="preserve"> </w:t>
            </w:r>
            <w:r w:rsidRPr="0053423A">
              <w:rPr>
                <w:rFonts w:eastAsia="Times New Roman" w:cs="Arian AMU"/>
                <w:sz w:val="20"/>
                <w:szCs w:val="20"/>
              </w:rPr>
              <w:t>նոր</w:t>
            </w:r>
            <w:r w:rsidRPr="0053423A">
              <w:rPr>
                <w:rFonts w:eastAsia="Times New Roman" w:cs="Arian AMU"/>
                <w:sz w:val="20"/>
                <w:szCs w:val="20"/>
                <w:lang w:val="et-EE"/>
              </w:rPr>
              <w:t xml:space="preserve">  </w:t>
            </w:r>
            <w:r w:rsidRPr="0053423A">
              <w:rPr>
                <w:rFonts w:eastAsia="Times New Roman" w:cs="Arian AMU"/>
                <w:sz w:val="20"/>
                <w:szCs w:val="20"/>
              </w:rPr>
              <w:t>համակարգ</w:t>
            </w:r>
            <w:r w:rsidRPr="0053423A">
              <w:rPr>
                <w:rFonts w:eastAsia="Times New Roman" w:cs="Arian AMU"/>
                <w:sz w:val="20"/>
                <w:szCs w:val="20"/>
                <w:lang w:val="et-EE"/>
              </w:rPr>
              <w:t xml:space="preserve">, </w:t>
            </w:r>
            <w:r w:rsidRPr="0053423A">
              <w:rPr>
                <w:rFonts w:eastAsia="Times New Roman" w:cs="Arian AMU"/>
                <w:sz w:val="20"/>
                <w:szCs w:val="20"/>
              </w:rPr>
              <w:t>նոր</w:t>
            </w:r>
            <w:r w:rsidRPr="0053423A">
              <w:rPr>
                <w:rFonts w:eastAsia="Times New Roman" w:cs="Arian AMU"/>
                <w:sz w:val="20"/>
                <w:szCs w:val="20"/>
                <w:lang w:val="et-EE"/>
              </w:rPr>
              <w:t xml:space="preserve"> </w:t>
            </w:r>
            <w:r w:rsidRPr="0053423A">
              <w:rPr>
                <w:rFonts w:eastAsia="Times New Roman" w:cs="Arian AMU"/>
                <w:sz w:val="20"/>
                <w:szCs w:val="20"/>
              </w:rPr>
              <w:t>մեխանիզմներ</w:t>
            </w:r>
            <w:r w:rsidRPr="0053423A">
              <w:rPr>
                <w:rFonts w:eastAsia="Times New Roman" w:cs="Arian AMU"/>
                <w:sz w:val="20"/>
                <w:szCs w:val="20"/>
                <w:lang w:val="et-EE"/>
              </w:rPr>
              <w:t xml:space="preserve"> </w:t>
            </w:r>
            <w:r w:rsidRPr="0053423A">
              <w:rPr>
                <w:rFonts w:eastAsia="Times New Roman" w:cs="Arian AMU"/>
                <w:sz w:val="20"/>
                <w:szCs w:val="20"/>
              </w:rPr>
              <w:t>ու</w:t>
            </w:r>
            <w:r w:rsidRPr="0053423A">
              <w:rPr>
                <w:rFonts w:eastAsia="Times New Roman" w:cs="Arian AMU"/>
                <w:sz w:val="20"/>
                <w:szCs w:val="20"/>
                <w:lang w:val="et-EE"/>
              </w:rPr>
              <w:t xml:space="preserve"> </w:t>
            </w:r>
            <w:r w:rsidRPr="0053423A">
              <w:rPr>
                <w:rFonts w:eastAsia="Times New Roman" w:cs="Arian AMU"/>
                <w:sz w:val="20"/>
                <w:szCs w:val="20"/>
              </w:rPr>
              <w:t>պայմաններ</w:t>
            </w:r>
            <w:r w:rsidRPr="0053423A">
              <w:rPr>
                <w:rFonts w:eastAsia="Times New Roman" w:cs="Arian AMU"/>
                <w:sz w:val="20"/>
                <w:szCs w:val="20"/>
                <w:lang w:val="et-EE"/>
              </w:rPr>
              <w:t>,</w:t>
            </w:r>
            <w:r w:rsidRPr="0053423A">
              <w:rPr>
                <w:rFonts w:eastAsia="Times New Roman" w:cs="Arian AMU"/>
                <w:sz w:val="20"/>
                <w:szCs w:val="20"/>
              </w:rPr>
              <w:t>ինչը</w:t>
            </w:r>
            <w:r w:rsidRPr="0053423A">
              <w:rPr>
                <w:rFonts w:eastAsia="Times New Roman" w:cs="Arian AMU"/>
                <w:sz w:val="20"/>
                <w:szCs w:val="20"/>
                <w:lang w:val="et-EE"/>
              </w:rPr>
              <w:t xml:space="preserve"> </w:t>
            </w:r>
            <w:r w:rsidRPr="0053423A">
              <w:rPr>
                <w:rFonts w:eastAsia="Times New Roman" w:cs="Arian AMU"/>
                <w:sz w:val="20"/>
                <w:szCs w:val="20"/>
              </w:rPr>
              <w:t>կնպաստի</w:t>
            </w:r>
            <w:r w:rsidRPr="0053423A">
              <w:rPr>
                <w:rFonts w:eastAsia="Times New Roman" w:cs="Arian AMU"/>
                <w:sz w:val="20"/>
                <w:szCs w:val="20"/>
                <w:lang w:val="et-EE"/>
              </w:rPr>
              <w:t xml:space="preserve"> </w:t>
            </w:r>
            <w:r w:rsidRPr="0053423A">
              <w:rPr>
                <w:rFonts w:eastAsia="Times New Roman" w:cs="Arian AMU"/>
                <w:sz w:val="20"/>
                <w:szCs w:val="20"/>
              </w:rPr>
              <w:t>կրթության</w:t>
            </w:r>
            <w:r w:rsidRPr="0053423A">
              <w:rPr>
                <w:rFonts w:eastAsia="Times New Roman" w:cs="Arian AMU"/>
                <w:sz w:val="20"/>
                <w:szCs w:val="20"/>
                <w:lang w:val="et-EE"/>
              </w:rPr>
              <w:t xml:space="preserve"> </w:t>
            </w:r>
            <w:r w:rsidRPr="0053423A">
              <w:rPr>
                <w:rFonts w:eastAsia="Times New Roman" w:cs="Arian AMU"/>
                <w:sz w:val="20"/>
                <w:szCs w:val="20"/>
              </w:rPr>
              <w:t>որակի</w:t>
            </w:r>
            <w:r w:rsidRPr="0053423A">
              <w:rPr>
                <w:rFonts w:eastAsia="Times New Roman" w:cs="Arian AMU"/>
                <w:sz w:val="20"/>
                <w:szCs w:val="20"/>
                <w:lang w:val="et-EE"/>
              </w:rPr>
              <w:t xml:space="preserve"> </w:t>
            </w:r>
            <w:r w:rsidRPr="0053423A">
              <w:rPr>
                <w:rFonts w:eastAsia="Times New Roman" w:cs="Arian AMU"/>
                <w:sz w:val="20"/>
                <w:szCs w:val="20"/>
              </w:rPr>
              <w:t>բարձրացմանը</w:t>
            </w:r>
            <w:r w:rsidRPr="0053423A">
              <w:rPr>
                <w:rFonts w:eastAsia="Times New Roman" w:cs="Arian AMU"/>
                <w:sz w:val="20"/>
                <w:szCs w:val="20"/>
                <w:lang w:val="et-EE"/>
              </w:rPr>
              <w:t>:</w:t>
            </w:r>
          </w:p>
          <w:p w:rsidR="00154773" w:rsidRPr="0053423A" w:rsidRDefault="00154773" w:rsidP="00154773">
            <w:pPr>
              <w:ind w:left="630"/>
              <w:jc w:val="both"/>
              <w:rPr>
                <w:rFonts w:eastAsia="Times New Roman" w:cs="Arial Armenian"/>
                <w:color w:val="FF0000"/>
                <w:sz w:val="20"/>
                <w:szCs w:val="20"/>
                <w:lang w:val="et-EE" w:eastAsia="ru-RU"/>
              </w:rPr>
            </w:pPr>
          </w:p>
          <w:p w:rsidR="00154773" w:rsidRPr="0053423A" w:rsidRDefault="00154773" w:rsidP="00154773">
            <w:pPr>
              <w:ind w:left="450"/>
              <w:jc w:val="both"/>
              <w:rPr>
                <w:rFonts w:eastAsia="Times New Roman" w:cs="Arial"/>
                <w:b/>
                <w:sz w:val="20"/>
                <w:szCs w:val="20"/>
                <w:lang w:val="et-EE" w:eastAsia="ru-RU"/>
              </w:rPr>
            </w:pPr>
            <w:r w:rsidRPr="0053423A">
              <w:rPr>
                <w:rFonts w:eastAsia="Times New Roman" w:cs="Arial"/>
                <w:b/>
                <w:sz w:val="20"/>
                <w:szCs w:val="20"/>
                <w:lang w:val="et-EE" w:eastAsia="ru-RU"/>
              </w:rPr>
              <w:t xml:space="preserve">1.1.  </w:t>
            </w:r>
            <w:r w:rsidRPr="0053423A">
              <w:rPr>
                <w:rFonts w:eastAsia="Times New Roman" w:cs="Arial"/>
                <w:b/>
                <w:sz w:val="20"/>
                <w:szCs w:val="20"/>
                <w:lang w:eastAsia="ru-RU"/>
              </w:rPr>
              <w:t>կ</w:t>
            </w:r>
            <w:r w:rsidRPr="0053423A">
              <w:rPr>
                <w:rFonts w:eastAsia="Times New Roman" w:cs="Arial"/>
                <w:b/>
                <w:sz w:val="20"/>
                <w:szCs w:val="20"/>
                <w:lang w:val="hy-AM" w:eastAsia="ru-RU"/>
              </w:rPr>
              <w:t>արգավորման</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հարաբերությունների</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ներկա</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վիճակը</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և</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առկա</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խնդիրները</w:t>
            </w:r>
          </w:p>
          <w:p w:rsidR="00154773" w:rsidRPr="0053423A" w:rsidRDefault="00154773" w:rsidP="00154773">
            <w:pPr>
              <w:ind w:left="1069"/>
              <w:jc w:val="both"/>
              <w:rPr>
                <w:rFonts w:eastAsia="Times New Roman" w:cs="Arial"/>
                <w:b/>
                <w:sz w:val="20"/>
                <w:szCs w:val="20"/>
                <w:lang w:val="et-EE" w:eastAsia="ru-RU"/>
              </w:rPr>
            </w:pPr>
          </w:p>
          <w:p w:rsidR="00154773" w:rsidRPr="0053423A" w:rsidRDefault="00154773" w:rsidP="00154773">
            <w:pPr>
              <w:ind w:firstLine="360"/>
              <w:jc w:val="both"/>
              <w:rPr>
                <w:rFonts w:eastAsia="Times New Roman" w:cs="Arian AMU"/>
                <w:sz w:val="20"/>
                <w:szCs w:val="20"/>
                <w:lang w:val="hy-AM"/>
              </w:rPr>
            </w:pPr>
            <w:r w:rsidRPr="0053423A">
              <w:rPr>
                <w:rFonts w:eastAsia="Times New Roman" w:cs="Times New Roman"/>
                <w:sz w:val="20"/>
                <w:szCs w:val="20"/>
                <w:lang w:val="hy-AM" w:eastAsia="ru-RU"/>
              </w:rPr>
              <w:t xml:space="preserve">     </w:t>
            </w:r>
            <w:r w:rsidRPr="0053423A">
              <w:rPr>
                <w:rFonts w:eastAsia="Times New Roman" w:cs="Arian AMU"/>
                <w:sz w:val="20"/>
                <w:szCs w:val="20"/>
                <w:lang w:val="hy-AM"/>
              </w:rPr>
              <w:t>Հայաստանի Հանրապետության պետական և ոչ պետական բարձրագույն ուսումնական հաստատություններ ընդունելության գործընթացը ներառում է բուհերի մասնագիտությունների հայտագրումը, ընդունելության քննությունների կազմակերպումը, անցկացումը, դրանց արդյունքների բողոքարկումը, այդ արդյունքների հիման վրա բուհեր ընդունելության մրցույթի անցկացման և բուհերի ընդունելության արդյունքների հաստատման հետ կապված հարաբերությունները:</w:t>
            </w:r>
          </w:p>
          <w:p w:rsidR="00154773" w:rsidRPr="0053423A" w:rsidRDefault="00154773" w:rsidP="00154773">
            <w:pPr>
              <w:ind w:firstLine="360"/>
              <w:jc w:val="both"/>
              <w:rPr>
                <w:rFonts w:eastAsia="Times New Roman" w:cs="Arian AMU"/>
                <w:sz w:val="20"/>
                <w:szCs w:val="20"/>
                <w:lang w:val="hy-AM" w:eastAsia="ru-RU"/>
              </w:rPr>
            </w:pPr>
            <w:r w:rsidRPr="0053423A">
              <w:rPr>
                <w:rFonts w:eastAsia="Times New Roman" w:cs="Arian AMU"/>
                <w:sz w:val="20"/>
                <w:szCs w:val="20"/>
                <w:lang w:val="hy-AM"/>
              </w:rPr>
              <w:t>Գործող իրավակարգավորումներով բարձրագույն ուսումնական հաստատություններ ընդունելության միասնական, կենտրոնացված քննությունները կազմակերպում և անցկացնում է «Գնահատման և թեստավորման կենտրոն» պետական ոչ առևտրային կազմակերպությունը, ներբուհական քննությունները կազմակերպում և անցկացնում են բուհերը: Անվճար և վճարովի ուսուցման ընդունելության մրցույթներն անցկացվում են մեկ փուլով: Ընդունելության քննությունների ընթացքում ձևավորվում է Հանրապետական ընդունող հանձնաժողով, որի որոշմամբ հաստատվում են անվճար և վճարովի ուսուցման համակարգի մրցույթների արդյունքները, վերաբաշխվում են մրցույթի արդյունքներով անվճար, վճարովի ուսուցման համակարգում թափուր մնացած տեղերը, ինչպես նաև անվճար, վճարովի համակարգի պահուստային տեղերը:</w:t>
            </w:r>
          </w:p>
          <w:p w:rsidR="00154773" w:rsidRPr="0053423A" w:rsidRDefault="00154773" w:rsidP="00154773">
            <w:pPr>
              <w:ind w:firstLine="360"/>
              <w:jc w:val="both"/>
              <w:rPr>
                <w:rFonts w:eastAsia="Times New Roman" w:cs="Arian AMU"/>
                <w:sz w:val="20"/>
                <w:szCs w:val="20"/>
                <w:lang w:val="hy-AM"/>
              </w:rPr>
            </w:pPr>
            <w:r w:rsidRPr="0053423A">
              <w:rPr>
                <w:rFonts w:eastAsia="Times New Roman" w:cs="Arian AMU"/>
                <w:sz w:val="20"/>
                <w:szCs w:val="20"/>
                <w:lang w:val="hy-AM"/>
              </w:rPr>
              <w:t>Դիմորդը ընդունելության մրցույթին մասնակցում է ընդունելության քննություններից ստացած դրական միավորների գումարով: Բուհերում մասնագիտությունների մրցույթն անցկացվում է մասնագիտությունների համապատասխան ուղղվածությամբ` ըստ մասնագիտությունների, մասնագիտությունների խմբերի, ֆակուլտետների (դեպարտամենտների): Մասնագիտությունների մրցույթն անցկացվում է անվճար ուսուցման առաջին տողով</w:t>
            </w:r>
            <w:r w:rsidRPr="0053423A">
              <w:rPr>
                <w:rFonts w:ascii="Calibri" w:eastAsia="Times New Roman" w:hAnsi="Calibri" w:cs="Calibri"/>
                <w:sz w:val="20"/>
                <w:szCs w:val="20"/>
                <w:lang w:val="hy-AM"/>
              </w:rPr>
              <w:t> </w:t>
            </w:r>
            <w:r w:rsidRPr="0053423A">
              <w:rPr>
                <w:rFonts w:eastAsia="Times New Roman" w:cs="GHEA Grapalat"/>
                <w:sz w:val="20"/>
                <w:szCs w:val="20"/>
                <w:lang w:val="hy-AM"/>
              </w:rPr>
              <w:t>հայտագրվածմասնագիտության</w:t>
            </w:r>
            <w:r w:rsidRPr="0053423A">
              <w:rPr>
                <w:rFonts w:eastAsia="Times New Roman" w:cs="Arian AMU"/>
                <w:sz w:val="20"/>
                <w:szCs w:val="20"/>
                <w:lang w:val="hy-AM"/>
              </w:rPr>
              <w:t xml:space="preserve"> </w:t>
            </w:r>
            <w:r w:rsidRPr="0053423A">
              <w:rPr>
                <w:rFonts w:eastAsia="Times New Roman" w:cs="GHEA Grapalat"/>
                <w:sz w:val="20"/>
                <w:szCs w:val="20"/>
                <w:lang w:val="hy-AM"/>
              </w:rPr>
              <w:t>գերակայությամբ</w:t>
            </w:r>
            <w:r w:rsidRPr="0053423A">
              <w:rPr>
                <w:rFonts w:eastAsia="Times New Roman" w:cs="Arian AMU"/>
                <w:sz w:val="20"/>
                <w:szCs w:val="20"/>
                <w:lang w:val="hy-AM"/>
              </w:rPr>
              <w:t xml:space="preserve">: </w:t>
            </w:r>
            <w:r w:rsidRPr="0053423A">
              <w:rPr>
                <w:rFonts w:eastAsia="Times New Roman" w:cs="GHEA Grapalat"/>
                <w:sz w:val="20"/>
                <w:szCs w:val="20"/>
                <w:lang w:val="hy-AM"/>
              </w:rPr>
              <w:t>Առաջին</w:t>
            </w:r>
            <w:r w:rsidRPr="0053423A">
              <w:rPr>
                <w:rFonts w:eastAsia="Times New Roman" w:cs="Arian AMU"/>
                <w:sz w:val="20"/>
                <w:szCs w:val="20"/>
                <w:lang w:val="hy-AM"/>
              </w:rPr>
              <w:t xml:space="preserve"> </w:t>
            </w:r>
            <w:r w:rsidRPr="0053423A">
              <w:rPr>
                <w:rFonts w:eastAsia="Times New Roman" w:cs="GHEA Grapalat"/>
                <w:sz w:val="20"/>
                <w:szCs w:val="20"/>
                <w:lang w:val="hy-AM"/>
              </w:rPr>
              <w:t>հայտագրված</w:t>
            </w:r>
            <w:r w:rsidRPr="0053423A">
              <w:rPr>
                <w:rFonts w:eastAsia="Times New Roman" w:cs="Arian AMU"/>
                <w:sz w:val="20"/>
                <w:szCs w:val="20"/>
                <w:lang w:val="hy-AM"/>
              </w:rPr>
              <w:t xml:space="preserve"> </w:t>
            </w:r>
            <w:r w:rsidRPr="0053423A">
              <w:rPr>
                <w:rFonts w:eastAsia="Times New Roman" w:cs="GHEA Grapalat"/>
                <w:sz w:val="20"/>
                <w:szCs w:val="20"/>
                <w:lang w:val="hy-AM"/>
              </w:rPr>
              <w:t>մասնագիտության</w:t>
            </w:r>
            <w:r w:rsidRPr="0053423A">
              <w:rPr>
                <w:rFonts w:eastAsia="Times New Roman" w:cs="Arian AMU"/>
                <w:sz w:val="20"/>
                <w:szCs w:val="20"/>
                <w:lang w:val="hy-AM"/>
              </w:rPr>
              <w:t xml:space="preserve"> </w:t>
            </w:r>
            <w:r w:rsidRPr="0053423A">
              <w:rPr>
                <w:rFonts w:eastAsia="Times New Roman" w:cs="GHEA Grapalat"/>
                <w:sz w:val="20"/>
                <w:szCs w:val="20"/>
                <w:lang w:val="hy-AM"/>
              </w:rPr>
              <w:t>մրցույթով</w:t>
            </w:r>
            <w:r w:rsidRPr="0053423A">
              <w:rPr>
                <w:rFonts w:eastAsia="Times New Roman" w:cs="Arian AMU"/>
                <w:sz w:val="20"/>
                <w:szCs w:val="20"/>
                <w:lang w:val="hy-AM"/>
              </w:rPr>
              <w:t xml:space="preserve"> </w:t>
            </w:r>
            <w:r w:rsidRPr="0053423A">
              <w:rPr>
                <w:rFonts w:eastAsia="Times New Roman" w:cs="GHEA Grapalat"/>
                <w:sz w:val="20"/>
                <w:szCs w:val="20"/>
                <w:lang w:val="hy-AM"/>
              </w:rPr>
              <w:t>չանցած</w:t>
            </w:r>
            <w:r w:rsidRPr="0053423A">
              <w:rPr>
                <w:rFonts w:eastAsia="Times New Roman" w:cs="Arian AMU"/>
                <w:sz w:val="20"/>
                <w:szCs w:val="20"/>
                <w:lang w:val="hy-AM"/>
              </w:rPr>
              <w:t xml:space="preserve"> </w:t>
            </w:r>
            <w:r w:rsidRPr="0053423A">
              <w:rPr>
                <w:rFonts w:eastAsia="Times New Roman" w:cs="GHEA Grapalat"/>
                <w:sz w:val="20"/>
                <w:szCs w:val="20"/>
                <w:lang w:val="hy-AM"/>
              </w:rPr>
              <w:t>դիմորդների</w:t>
            </w:r>
            <w:r w:rsidRPr="0053423A">
              <w:rPr>
                <w:rFonts w:eastAsia="Times New Roman" w:cs="Arian AMU"/>
                <w:sz w:val="20"/>
                <w:szCs w:val="20"/>
                <w:lang w:val="hy-AM"/>
              </w:rPr>
              <w:t xml:space="preserve"> </w:t>
            </w:r>
            <w:r w:rsidRPr="0053423A">
              <w:rPr>
                <w:rFonts w:eastAsia="Times New Roman" w:cs="GHEA Grapalat"/>
                <w:sz w:val="20"/>
                <w:szCs w:val="20"/>
                <w:lang w:val="hy-AM"/>
              </w:rPr>
              <w:t>համար</w:t>
            </w:r>
            <w:r w:rsidRPr="0053423A">
              <w:rPr>
                <w:rFonts w:eastAsia="Times New Roman" w:cs="Arian AMU"/>
                <w:sz w:val="20"/>
                <w:szCs w:val="20"/>
                <w:lang w:val="hy-AM"/>
              </w:rPr>
              <w:t xml:space="preserve"> </w:t>
            </w:r>
            <w:r w:rsidRPr="0053423A">
              <w:rPr>
                <w:rFonts w:eastAsia="Times New Roman" w:cs="GHEA Grapalat"/>
                <w:sz w:val="20"/>
                <w:szCs w:val="20"/>
                <w:lang w:val="hy-AM"/>
              </w:rPr>
              <w:t>անվճար</w:t>
            </w:r>
            <w:r w:rsidRPr="0053423A">
              <w:rPr>
                <w:rFonts w:eastAsia="Times New Roman" w:cs="Arian AMU"/>
                <w:sz w:val="20"/>
                <w:szCs w:val="20"/>
                <w:lang w:val="hy-AM"/>
              </w:rPr>
              <w:t xml:space="preserve"> </w:t>
            </w:r>
            <w:r w:rsidRPr="0053423A">
              <w:rPr>
                <w:rFonts w:eastAsia="Times New Roman" w:cs="GHEA Grapalat"/>
                <w:sz w:val="20"/>
                <w:szCs w:val="20"/>
                <w:lang w:val="hy-AM"/>
              </w:rPr>
              <w:t>և</w:t>
            </w:r>
            <w:r w:rsidRPr="0053423A">
              <w:rPr>
                <w:rFonts w:eastAsia="Times New Roman" w:cs="Arian AMU"/>
                <w:sz w:val="20"/>
                <w:szCs w:val="20"/>
                <w:lang w:val="hy-AM"/>
              </w:rPr>
              <w:t xml:space="preserve"> </w:t>
            </w:r>
            <w:r w:rsidRPr="0053423A">
              <w:rPr>
                <w:rFonts w:eastAsia="Times New Roman" w:cs="GHEA Grapalat"/>
                <w:sz w:val="20"/>
                <w:szCs w:val="20"/>
                <w:lang w:val="hy-AM"/>
              </w:rPr>
              <w:t>վճարովի</w:t>
            </w:r>
            <w:r w:rsidRPr="0053423A">
              <w:rPr>
                <w:rFonts w:eastAsia="Times New Roman" w:cs="Arian AMU"/>
                <w:sz w:val="20"/>
                <w:szCs w:val="20"/>
                <w:lang w:val="hy-AM"/>
              </w:rPr>
              <w:t xml:space="preserve"> </w:t>
            </w:r>
            <w:r w:rsidRPr="0053423A">
              <w:rPr>
                <w:rFonts w:eastAsia="Times New Roman" w:cs="GHEA Grapalat"/>
                <w:sz w:val="20"/>
                <w:szCs w:val="20"/>
                <w:lang w:val="hy-AM"/>
              </w:rPr>
              <w:t>ուսուցման</w:t>
            </w:r>
            <w:r w:rsidRPr="0053423A">
              <w:rPr>
                <w:rFonts w:eastAsia="Times New Roman" w:cs="Arian AMU"/>
                <w:sz w:val="20"/>
                <w:szCs w:val="20"/>
                <w:lang w:val="hy-AM"/>
              </w:rPr>
              <w:t xml:space="preserve"> </w:t>
            </w:r>
            <w:r w:rsidRPr="0053423A">
              <w:rPr>
                <w:rFonts w:eastAsia="Times New Roman" w:cs="GHEA Grapalat"/>
                <w:sz w:val="20"/>
                <w:szCs w:val="20"/>
                <w:lang w:val="hy-AM"/>
              </w:rPr>
              <w:t>մրցույթն</w:t>
            </w:r>
            <w:r w:rsidRPr="0053423A">
              <w:rPr>
                <w:rFonts w:eastAsia="Times New Roman" w:cs="Arian AMU"/>
                <w:sz w:val="20"/>
                <w:szCs w:val="20"/>
                <w:lang w:val="hy-AM"/>
              </w:rPr>
              <w:t xml:space="preserve"> </w:t>
            </w:r>
            <w:r w:rsidRPr="0053423A">
              <w:rPr>
                <w:rFonts w:eastAsia="Times New Roman" w:cs="GHEA Grapalat"/>
                <w:sz w:val="20"/>
                <w:szCs w:val="20"/>
                <w:lang w:val="hy-AM"/>
              </w:rPr>
              <w:t>անցկացվում</w:t>
            </w:r>
            <w:r w:rsidRPr="0053423A">
              <w:rPr>
                <w:rFonts w:eastAsia="Times New Roman" w:cs="Arian AMU"/>
                <w:sz w:val="20"/>
                <w:szCs w:val="20"/>
                <w:lang w:val="hy-AM"/>
              </w:rPr>
              <w:t xml:space="preserve"> </w:t>
            </w:r>
            <w:r w:rsidRPr="0053423A">
              <w:rPr>
                <w:rFonts w:eastAsia="Times New Roman" w:cs="GHEA Grapalat"/>
                <w:sz w:val="20"/>
                <w:szCs w:val="20"/>
                <w:lang w:val="hy-AM"/>
              </w:rPr>
              <w:t>է</w:t>
            </w:r>
            <w:r w:rsidRPr="0053423A">
              <w:rPr>
                <w:rFonts w:eastAsia="Times New Roman" w:cs="Arian AMU"/>
                <w:sz w:val="20"/>
                <w:szCs w:val="20"/>
                <w:lang w:val="hy-AM"/>
              </w:rPr>
              <w:t xml:space="preserve"> </w:t>
            </w:r>
            <w:r w:rsidRPr="0053423A">
              <w:rPr>
                <w:rFonts w:eastAsia="Times New Roman" w:cs="GHEA Grapalat"/>
                <w:sz w:val="20"/>
                <w:szCs w:val="20"/>
                <w:lang w:val="hy-AM"/>
              </w:rPr>
              <w:t>ընդունելության</w:t>
            </w:r>
            <w:r w:rsidRPr="0053423A">
              <w:rPr>
                <w:rFonts w:eastAsia="Times New Roman" w:cs="Arian AMU"/>
                <w:sz w:val="20"/>
                <w:szCs w:val="20"/>
                <w:lang w:val="hy-AM"/>
              </w:rPr>
              <w:t xml:space="preserve"> </w:t>
            </w:r>
            <w:r w:rsidRPr="0053423A">
              <w:rPr>
                <w:rFonts w:eastAsia="Times New Roman" w:cs="GHEA Grapalat"/>
                <w:sz w:val="20"/>
                <w:szCs w:val="20"/>
                <w:lang w:val="hy-AM"/>
              </w:rPr>
              <w:t>դիմում</w:t>
            </w:r>
            <w:r w:rsidRPr="0053423A">
              <w:rPr>
                <w:rFonts w:eastAsia="Times New Roman" w:cs="Arian AMU"/>
                <w:sz w:val="20"/>
                <w:szCs w:val="20"/>
                <w:lang w:val="hy-AM"/>
              </w:rPr>
              <w:t>-</w:t>
            </w:r>
            <w:r w:rsidRPr="0053423A">
              <w:rPr>
                <w:rFonts w:eastAsia="Times New Roman" w:cs="GHEA Grapalat"/>
                <w:sz w:val="20"/>
                <w:szCs w:val="20"/>
                <w:lang w:val="hy-AM"/>
              </w:rPr>
              <w:t>հայտում</w:t>
            </w:r>
            <w:r w:rsidRPr="0053423A">
              <w:rPr>
                <w:rFonts w:eastAsia="Times New Roman" w:cs="Arian AMU"/>
                <w:sz w:val="20"/>
                <w:szCs w:val="20"/>
                <w:lang w:val="hy-AM"/>
              </w:rPr>
              <w:t xml:space="preserve"> </w:t>
            </w:r>
            <w:r w:rsidRPr="0053423A">
              <w:rPr>
                <w:rFonts w:eastAsia="Times New Roman" w:cs="GHEA Grapalat"/>
                <w:sz w:val="20"/>
                <w:szCs w:val="20"/>
                <w:lang w:val="hy-AM"/>
              </w:rPr>
              <w:t>հայտագրված</w:t>
            </w:r>
            <w:r w:rsidRPr="0053423A">
              <w:rPr>
                <w:rFonts w:eastAsia="Times New Roman" w:cs="Arian AMU"/>
                <w:sz w:val="20"/>
                <w:szCs w:val="20"/>
                <w:lang w:val="hy-AM"/>
              </w:rPr>
              <w:t xml:space="preserve"> </w:t>
            </w:r>
            <w:r w:rsidRPr="0053423A">
              <w:rPr>
                <w:rFonts w:eastAsia="Times New Roman" w:cs="GHEA Grapalat"/>
                <w:sz w:val="20"/>
                <w:szCs w:val="20"/>
                <w:lang w:val="hy-AM"/>
              </w:rPr>
              <w:t>մասնագիտությ</w:t>
            </w:r>
            <w:r w:rsidRPr="0053423A">
              <w:rPr>
                <w:rFonts w:eastAsia="Times New Roman" w:cs="Arian AMU"/>
                <w:sz w:val="20"/>
                <w:szCs w:val="20"/>
                <w:lang w:val="hy-AM"/>
              </w:rPr>
              <w:t>ունների հերթականությանը համապատասխան: Ընդունելության դիմում-հայտում հայտագրված որևէ մասնագիտությամբ (ըստ հայտագրման հերթականության) ընդունված դիմորդը չի մասնակցում հայտագրված հաջորդ մասնագիտությունների մրցույթին:</w:t>
            </w:r>
          </w:p>
          <w:p w:rsidR="00154773" w:rsidRPr="0053423A" w:rsidRDefault="00154773" w:rsidP="00154773">
            <w:pPr>
              <w:ind w:firstLine="360"/>
              <w:jc w:val="both"/>
              <w:rPr>
                <w:rFonts w:eastAsia="Times New Roman" w:cs="Arian AMU"/>
                <w:sz w:val="20"/>
                <w:szCs w:val="20"/>
                <w:lang w:val="hy-AM"/>
              </w:rPr>
            </w:pPr>
            <w:r w:rsidRPr="0053423A">
              <w:rPr>
                <w:rFonts w:eastAsia="Times New Roman" w:cs="Arian AMU"/>
                <w:sz w:val="20"/>
                <w:szCs w:val="20"/>
                <w:lang w:val="hy-AM"/>
              </w:rPr>
              <w:t xml:space="preserve">  Ներկայումս դիմորդները բուհերի ընդունելության մրցույթի դիմում-հայտում հայտագրում են մինչև 2 անվճար և մինչև 8 վճարովի մասնագիտություն: Ուսումնասիրությունը ցույց է տալիս, որ 5-րդ, 6-րդ տեղերում հայտագրված մասնագիտություններով բուհ ընդունվում են շատ քիչ քանակի դիմորդներ, իսկ 7-րդ տեղից հետո հայտագրված մասնագիտություններով՝ գրեթե բացառիկ դեպքերում: 8 մասնագիտություն հայտագրելու հնարավորությունը նվազեցնում է  մասնագիտական կողմնորոշմամբ բուհ ընդունվելու հնրավորությունը, քանի որ դիմորդները հաճախ նախընտրած մասնագիտությունից բացի հայտագրում են այնպիսի մասնագիտություններ, որոնք ունեն պարզապես նույն մրցութային քննությունները: Արդյունքում բազմաթիվ դիմորդներ, դուրս մնալով նախընտրած մասնագիտության մրցույթից, ընդունվում են այլ մասնագիտությունների մրցութային տեղերում: Ընդհանուր մրցույթի անցկացումից հետո տեղի է ունենում թափուր տեղերի մրցույթ՝ բուհ չընդունված դիմորդների համար: Թափուր տեղերի մրցույթը տեղի է ունենում միևնույն սկզբունքով, ինչ ընդհանուր մրցույթը: Այսպիսով հայտագրման այս եղանակը հնարավորություն է տալիս դրական միավորներ ստացած գրեթե բոլոր դիմորդներին ընդունվել բուհ:</w:t>
            </w:r>
          </w:p>
          <w:p w:rsidR="00154773" w:rsidRPr="0053423A" w:rsidRDefault="00154773" w:rsidP="00154773">
            <w:pPr>
              <w:ind w:left="630"/>
              <w:jc w:val="both"/>
              <w:rPr>
                <w:rFonts w:eastAsia="Times New Roman" w:cs="Sylfaen"/>
                <w:sz w:val="20"/>
                <w:szCs w:val="20"/>
                <w:lang w:val="hy-AM"/>
              </w:rPr>
            </w:pPr>
          </w:p>
          <w:p w:rsidR="00154773" w:rsidRPr="0053423A" w:rsidRDefault="00154773" w:rsidP="00154773">
            <w:pPr>
              <w:spacing w:line="360" w:lineRule="auto"/>
              <w:ind w:firstLine="450"/>
              <w:jc w:val="both"/>
              <w:rPr>
                <w:rFonts w:eastAsia="Times New Roman" w:cs="Arial"/>
                <w:b/>
                <w:sz w:val="20"/>
                <w:szCs w:val="20"/>
                <w:lang w:val="hy-AM" w:eastAsia="ru-RU"/>
              </w:rPr>
            </w:pPr>
            <w:r w:rsidRPr="0053423A">
              <w:rPr>
                <w:rFonts w:eastAsia="Times New Roman" w:cs="Times New Roman"/>
                <w:b/>
                <w:sz w:val="20"/>
                <w:szCs w:val="20"/>
                <w:lang w:val="hy-AM" w:eastAsia="ru-RU"/>
              </w:rPr>
              <w:t xml:space="preserve"> 1.2.</w:t>
            </w:r>
            <w:r w:rsidRPr="0053423A">
              <w:rPr>
                <w:rFonts w:eastAsia="Times New Roman" w:cs="Times New Roman"/>
                <w:sz w:val="20"/>
                <w:szCs w:val="20"/>
                <w:lang w:val="hy-AM" w:eastAsia="ru-RU"/>
              </w:rPr>
              <w:t xml:space="preserve"> </w:t>
            </w:r>
            <w:r w:rsidRPr="0053423A">
              <w:rPr>
                <w:rFonts w:eastAsia="Times New Roman" w:cs="Arial"/>
                <w:b/>
                <w:sz w:val="20"/>
                <w:szCs w:val="20"/>
                <w:lang w:val="hy-AM" w:eastAsia="ru-RU"/>
              </w:rPr>
              <w:t>առկա խնդիրների առաջարկվող լուծումները</w:t>
            </w:r>
          </w:p>
          <w:p w:rsidR="00154773" w:rsidRPr="0053423A" w:rsidRDefault="00154773" w:rsidP="00154773">
            <w:pPr>
              <w:spacing w:line="360" w:lineRule="auto"/>
              <w:ind w:firstLine="709"/>
              <w:jc w:val="both"/>
              <w:rPr>
                <w:rFonts w:eastAsia="Times New Roman" w:cs="Arial"/>
                <w:b/>
                <w:sz w:val="20"/>
                <w:szCs w:val="20"/>
                <w:lang w:val="hy-AM" w:eastAsia="ru-RU"/>
              </w:rPr>
            </w:pPr>
          </w:p>
          <w:p w:rsidR="00154773" w:rsidRPr="0053423A" w:rsidRDefault="00154773" w:rsidP="00154773">
            <w:pPr>
              <w:ind w:firstLine="270"/>
              <w:jc w:val="both"/>
              <w:rPr>
                <w:rFonts w:eastAsia="GHEA Grapalat" w:cs="GHEA Grapalat"/>
                <w:sz w:val="20"/>
                <w:szCs w:val="20"/>
                <w:lang w:val="hy-AM"/>
              </w:rPr>
            </w:pPr>
            <w:r w:rsidRPr="0053423A">
              <w:rPr>
                <w:rFonts w:eastAsia="GHEA Grapalat" w:cs="GHEA Grapalat"/>
                <w:sz w:val="20"/>
                <w:szCs w:val="20"/>
                <w:lang w:val="hy-AM"/>
              </w:rPr>
              <w:t xml:space="preserve"> Բարձրագույն ուսումնական հաստատություններ ընդունելության սկզբունքների վերանայմամբ կառաջարկվեն նոր մեխանիզմներ </w:t>
            </w:r>
            <w:r w:rsidRPr="0053423A">
              <w:rPr>
                <w:rFonts w:cs="Sylfaen"/>
                <w:sz w:val="20"/>
                <w:szCs w:val="20"/>
                <w:lang w:val="hy-AM"/>
              </w:rPr>
              <w:t>մասնագիտական հստակ կողմնորոշվածությանը նախապատվություն տալու, պատահական կամ չնախընտրած մասնագիտություններով /պատճառը՝ տարբեր մասնագիտություններով ընդունելության նույն քննությունների առկայություն/ բուհ ընդունվելու հնարավորության նվազեցման և հնարավորինս բացառման համար:</w:t>
            </w:r>
          </w:p>
          <w:p w:rsidR="00154773" w:rsidRPr="0053423A" w:rsidRDefault="00154773" w:rsidP="00154773">
            <w:pPr>
              <w:jc w:val="both"/>
              <w:rPr>
                <w:rFonts w:eastAsia="GHEA Grapalat" w:cs="GHEA Grapalat"/>
                <w:sz w:val="20"/>
                <w:szCs w:val="20"/>
                <w:lang w:val="hy-AM"/>
              </w:rPr>
            </w:pPr>
            <w:r w:rsidRPr="0053423A">
              <w:rPr>
                <w:rFonts w:eastAsia="MS Gothic" w:cs="Courier New"/>
                <w:sz w:val="20"/>
                <w:szCs w:val="20"/>
                <w:lang w:val="hy-AM"/>
              </w:rPr>
              <w:t xml:space="preserve">    Համապատասխան օրենսդրական հիմքեր կստեղծվեն պետության լիազորած համապատասխան մասնագիտացված կազմակերպությունների կողմից քննություններ կազմակերպելու և արդյունքում  դրական միավորներ ստացած անձանց սահմանված ձևի վկայագրեր տրամադրելու համար:</w:t>
            </w:r>
          </w:p>
          <w:p w:rsidR="00154773" w:rsidRPr="0053423A" w:rsidRDefault="00154773" w:rsidP="00154773">
            <w:pPr>
              <w:jc w:val="both"/>
              <w:rPr>
                <w:rFonts w:eastAsia="MS Gothic" w:cs="Courier New"/>
                <w:sz w:val="20"/>
                <w:szCs w:val="20"/>
                <w:lang w:val="hy-AM"/>
              </w:rPr>
            </w:pPr>
            <w:r w:rsidRPr="0053423A">
              <w:rPr>
                <w:rFonts w:cs="Helvetica"/>
                <w:noProof/>
                <w:sz w:val="20"/>
                <w:szCs w:val="20"/>
                <w:lang w:val="hy-AM"/>
              </w:rPr>
              <w:t xml:space="preserve">    Մրցույթի անցկացման հաստատված չափորոշիչների հիման վրա հ</w:t>
            </w:r>
            <w:r w:rsidRPr="0053423A">
              <w:rPr>
                <w:rFonts w:eastAsia="GHEA Grapalat" w:cs="GHEA Grapalat"/>
                <w:sz w:val="20"/>
                <w:szCs w:val="20"/>
                <w:lang w:val="hy-AM"/>
              </w:rPr>
              <w:t>նարավորություն կընձեռվի բուհերին</w:t>
            </w:r>
            <w:r w:rsidRPr="0053423A">
              <w:rPr>
                <w:rFonts w:cs="Helvetica"/>
                <w:noProof/>
                <w:sz w:val="20"/>
                <w:szCs w:val="20"/>
                <w:lang w:val="hy-AM"/>
              </w:rPr>
              <w:t xml:space="preserve"> սահմանելու մրցույթի անցկացման կարգը և</w:t>
            </w:r>
            <w:r w:rsidRPr="0053423A">
              <w:rPr>
                <w:rFonts w:eastAsia="GHEA Grapalat" w:cs="GHEA Grapalat"/>
                <w:sz w:val="20"/>
                <w:szCs w:val="20"/>
                <w:lang w:val="hy-AM"/>
              </w:rPr>
              <w:t xml:space="preserve"> ինքնուրույն կազմակերպել ընդունելության մրցույթ, որին կկարողանան մասնակցել վ</w:t>
            </w:r>
            <w:r w:rsidRPr="0053423A">
              <w:rPr>
                <w:rFonts w:cs="Helvetica"/>
                <w:noProof/>
                <w:sz w:val="20"/>
                <w:szCs w:val="20"/>
                <w:lang w:val="hy-AM"/>
              </w:rPr>
              <w:t xml:space="preserve">կայագիր ունեցող և բուհի ընդունելության մուտքային պահանջները բավարարող անձինք, միաժամանակ </w:t>
            </w:r>
            <w:r w:rsidRPr="0053423A">
              <w:rPr>
                <w:rFonts w:eastAsia="GHEA Grapalat" w:cs="GHEA Grapalat"/>
                <w:sz w:val="20"/>
                <w:szCs w:val="20"/>
                <w:lang w:val="hy-AM"/>
              </w:rPr>
              <w:t>դիմորդների համար, որոնք ընդունելության մրցույթի արդյունքներով սահմանված կարգին համապատասխան իրավունք են ստացել սովորելու պետական</w:t>
            </w:r>
            <w:r w:rsidRPr="0053423A">
              <w:rPr>
                <w:rFonts w:ascii="Cambria Math" w:eastAsia="Cambria" w:hAnsi="Cambria Math" w:cs="Cambria Math"/>
                <w:sz w:val="20"/>
                <w:szCs w:val="20"/>
                <w:lang w:val="hy-AM"/>
              </w:rPr>
              <w:t>​​</w:t>
            </w:r>
            <w:r w:rsidRPr="0053423A">
              <w:rPr>
                <w:rFonts w:eastAsia="GHEA Grapalat" w:cs="GHEA Grapalat"/>
                <w:sz w:val="20"/>
                <w:szCs w:val="20"/>
                <w:lang w:val="hy-AM"/>
              </w:rPr>
              <w:t xml:space="preserve"> բյուջեի ֆինանսավորմամբ մի քանի կրթական ծրագրերի կամ </w:t>
            </w:r>
            <w:r w:rsidRPr="0053423A">
              <w:rPr>
                <w:rFonts w:eastAsia="MS Gothic" w:cs="Courier New"/>
                <w:sz w:val="20"/>
                <w:szCs w:val="20"/>
                <w:lang w:val="hy-AM"/>
              </w:rPr>
              <w:t>տարբեր բուհերի նույն ոլորտի կրթական ծրագրով նախատեսելով պահանջ մինչև համապատասխան կրթական աստիճանի ընդունելության վերջնաժամկետը ընտրելու մեկ բուհ (կրթական ծրագիր), որում ցանկանում են ստանալ բարձրագույն կրթություն:</w:t>
            </w:r>
          </w:p>
          <w:p w:rsidR="00154773" w:rsidRPr="0053423A" w:rsidRDefault="00154773" w:rsidP="00154773">
            <w:pPr>
              <w:ind w:firstLine="709"/>
              <w:jc w:val="both"/>
              <w:rPr>
                <w:rFonts w:eastAsia="MS Gothic" w:cs="Courier New"/>
                <w:sz w:val="20"/>
                <w:szCs w:val="20"/>
                <w:lang w:val="hy-AM"/>
              </w:rPr>
            </w:pPr>
            <w:r w:rsidRPr="0053423A">
              <w:rPr>
                <w:rFonts w:eastAsia="MS Gothic" w:cs="Courier New"/>
                <w:sz w:val="20"/>
                <w:szCs w:val="20"/>
                <w:lang w:val="hy-AM"/>
              </w:rPr>
              <w:t>Միջոցառման սահմանված ժամկետը պայմանավորված է նրանով, որ «Բարձրա</w:t>
            </w:r>
            <w:r w:rsidRPr="0053423A">
              <w:rPr>
                <w:rFonts w:eastAsia="MS Gothic" w:cs="Courier New"/>
                <w:sz w:val="20"/>
                <w:szCs w:val="20"/>
                <w:lang w:val="hy-AM"/>
              </w:rPr>
              <w:softHyphen/>
              <w:t xml:space="preserve">գույն կրթության և գիտահետազոտական գործունեության մասին» ՀՀ  օրենքի նախագծի ընդունմամբ նախատեսվում է վերանայել ուսումնական հաստատություններ ընդունելության սկզբունքներն ու մեխանիզմները, որի   նպատակն է ընդունելության նոր մուտքային պահանջների, մրցույթի անցկացման նոր պայմանների սահմանում,  դիմորդների կողմից մասնագիտության ընտրության հնարավորությունների ընդլայնում՝ այն է ստեղծել նոր մեխանիզմներ մասնագիտական հստակ կողմնորոշվածությանը նախապատվություն տալու, պատահական կամ չնախընտրած մասնագիտություններով /պատճառը՝ տարբեր մասնագիտություններով ընդունելության նույն քննությունների առկայություն/ բուհ ընդունվելու հնարավորության նվազեցման և հնարավորինս բացառման համար, մրցույթի անցկացման հաստատված չափորոշիչների հիման վրա հնարավորություն ընձեռելու բուհերին սահմանել մրցույթի անցկացման կարգ և ինքնուրույն կազմակերպել ընդունելության մրցույթ, որին կկարողանան մասնակցել բուհի ընդունելության մուտքային պահանջները բավարարող անձինք: Վերոնշյալ բարեփոխումների բնականոն ներդրման համար անհրաժեշտ է որոշակի ժամանակահատված բարձրագույն կրթության համակարգը պատշաճ նախապատրաստելու: </w:t>
            </w:r>
          </w:p>
          <w:p w:rsidR="00154773" w:rsidRPr="0053423A" w:rsidRDefault="00154773" w:rsidP="00154773">
            <w:pPr>
              <w:spacing w:line="360" w:lineRule="auto"/>
              <w:ind w:firstLine="709"/>
              <w:jc w:val="both"/>
              <w:rPr>
                <w:rFonts w:eastAsia="Times New Roman" w:cs="Arial"/>
                <w:b/>
                <w:sz w:val="20"/>
                <w:szCs w:val="20"/>
                <w:lang w:val="hy-AM" w:eastAsia="ru-RU"/>
              </w:rPr>
            </w:pPr>
          </w:p>
          <w:p w:rsidR="00154773" w:rsidRPr="0053423A" w:rsidRDefault="00154773" w:rsidP="00154773">
            <w:pPr>
              <w:spacing w:line="360" w:lineRule="auto"/>
              <w:ind w:left="709"/>
              <w:jc w:val="both"/>
              <w:rPr>
                <w:rFonts w:eastAsia="Times New Roman" w:cs="Arial"/>
                <w:b/>
                <w:sz w:val="20"/>
                <w:szCs w:val="20"/>
                <w:lang w:val="hy-AM" w:eastAsia="ru-RU"/>
              </w:rPr>
            </w:pPr>
            <w:r w:rsidRPr="0053423A">
              <w:rPr>
                <w:rFonts w:eastAsia="Times New Roman" w:cs="Times New Roman"/>
                <w:b/>
                <w:sz w:val="20"/>
                <w:szCs w:val="20"/>
                <w:lang w:val="hy-AM" w:eastAsia="ru-RU"/>
              </w:rPr>
              <w:t xml:space="preserve">2. </w:t>
            </w:r>
            <w:r w:rsidRPr="0053423A">
              <w:rPr>
                <w:rFonts w:eastAsia="Times New Roman" w:cs="Arial"/>
                <w:b/>
                <w:sz w:val="20"/>
                <w:szCs w:val="20"/>
                <w:lang w:val="hy-AM" w:eastAsia="ru-RU"/>
              </w:rPr>
              <w:t>Միջոցառման իրականացումից ակնկալվող արդյունքը</w:t>
            </w:r>
          </w:p>
          <w:p w:rsidR="00154773" w:rsidRPr="0053423A" w:rsidRDefault="00154773" w:rsidP="00154773">
            <w:pPr>
              <w:ind w:firstLine="270"/>
              <w:jc w:val="both"/>
              <w:rPr>
                <w:rFonts w:cs="Sylfaen"/>
                <w:sz w:val="20"/>
                <w:szCs w:val="20"/>
                <w:lang w:val="hy-AM"/>
              </w:rPr>
            </w:pPr>
          </w:p>
          <w:p w:rsidR="00154773" w:rsidRPr="0053423A" w:rsidRDefault="00154773" w:rsidP="00154773">
            <w:pPr>
              <w:ind w:firstLine="270"/>
              <w:jc w:val="both"/>
              <w:rPr>
                <w:rFonts w:cs="Sylfaen"/>
                <w:sz w:val="20"/>
                <w:szCs w:val="20"/>
                <w:lang w:val="hy-AM"/>
              </w:rPr>
            </w:pPr>
            <w:r w:rsidRPr="0053423A">
              <w:rPr>
                <w:rFonts w:cs="Sylfaen"/>
                <w:sz w:val="20"/>
                <w:szCs w:val="20"/>
                <w:lang w:val="hy-AM"/>
              </w:rPr>
              <w:t>Ընդունելության նոր մուտքային պահանջների, մրցույթի անցկացման նոր պայմանների սահմանում,  դիմորդների կողմից մասնագիտության ընտրության հնարավորությունների ընդլայնում:</w:t>
            </w:r>
          </w:p>
          <w:p w:rsidR="00154773" w:rsidRPr="0053423A" w:rsidRDefault="00154773" w:rsidP="00154773">
            <w:pPr>
              <w:rPr>
                <w:rFonts w:eastAsia="Times New Roman" w:cs="Times New Roman"/>
                <w:b/>
                <w:sz w:val="20"/>
                <w:szCs w:val="20"/>
                <w:lang w:val="hy-AM"/>
              </w:rPr>
            </w:pPr>
          </w:p>
        </w:tc>
      </w:tr>
      <w:tr w:rsidR="00154773" w:rsidRPr="00DE2EF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7</w:t>
            </w:r>
          </w:p>
        </w:tc>
        <w:tc>
          <w:tcPr>
            <w:tcW w:w="10620" w:type="dxa"/>
          </w:tcPr>
          <w:p w:rsidR="00154773" w:rsidRPr="0053423A" w:rsidRDefault="00154773" w:rsidP="00154773">
            <w:pPr>
              <w:jc w:val="center"/>
              <w:rPr>
                <w:rFonts w:cs="Sylfaen"/>
                <w:b/>
                <w:sz w:val="20"/>
                <w:szCs w:val="20"/>
                <w:u w:val="single"/>
                <w:lang w:val="hy-AM"/>
              </w:rPr>
            </w:pPr>
            <w:r w:rsidRPr="0053423A">
              <w:rPr>
                <w:rFonts w:cs="Sylfaen"/>
                <w:b/>
                <w:sz w:val="20"/>
                <w:szCs w:val="20"/>
                <w:u w:val="single"/>
                <w:lang w:val="hy-AM"/>
              </w:rPr>
              <w:t>7.1 «Հայաստանի  Հանրապետության լեզվական քաղաքականության պետական ծրագրին հավանություն տալու մասին» Հայաստանի Հանրապետության Կառավարության որոշման նախագծի ներկայացում ՀՀ վարչապետի աշխատակազմ</w:t>
            </w:r>
          </w:p>
          <w:p w:rsidR="00154773" w:rsidRPr="0053423A" w:rsidRDefault="00154773" w:rsidP="00154773">
            <w:pPr>
              <w:ind w:firstLine="375"/>
              <w:jc w:val="both"/>
              <w:rPr>
                <w:b/>
                <w:sz w:val="20"/>
                <w:szCs w:val="20"/>
                <w:u w:val="single"/>
                <w:lang w:val="hy-AM"/>
              </w:rPr>
            </w:pPr>
          </w:p>
          <w:p w:rsidR="00154773" w:rsidRPr="0053423A" w:rsidRDefault="00154773" w:rsidP="001F6D5D">
            <w:pPr>
              <w:numPr>
                <w:ilvl w:val="0"/>
                <w:numId w:val="469"/>
              </w:numPr>
              <w:spacing w:line="360" w:lineRule="auto"/>
              <w:contextualSpacing/>
              <w:rPr>
                <w:b/>
                <w:sz w:val="20"/>
                <w:szCs w:val="20"/>
                <w:lang w:val="hy-AM"/>
              </w:rPr>
            </w:pPr>
            <w:r w:rsidRPr="0053423A">
              <w:rPr>
                <w:b/>
                <w:sz w:val="20"/>
                <w:szCs w:val="20"/>
                <w:lang w:val="hy-AM"/>
              </w:rPr>
              <w:t>Միջոցառման իրականացման անհրաժեշտությունը և նպատակը</w:t>
            </w:r>
          </w:p>
          <w:p w:rsidR="00154773" w:rsidRPr="0053423A" w:rsidRDefault="00154773" w:rsidP="00154773">
            <w:pPr>
              <w:spacing w:line="360" w:lineRule="auto"/>
              <w:rPr>
                <w:b/>
                <w:sz w:val="20"/>
                <w:szCs w:val="20"/>
                <w:lang w:val="hy-AM"/>
              </w:rPr>
            </w:pPr>
          </w:p>
          <w:p w:rsidR="00154773" w:rsidRPr="0053423A" w:rsidRDefault="00154773" w:rsidP="00154773">
            <w:pPr>
              <w:shd w:val="clear" w:color="auto" w:fill="FFFFFF"/>
              <w:ind w:firstLine="360"/>
              <w:jc w:val="both"/>
              <w:textAlignment w:val="baseline"/>
              <w:rPr>
                <w:spacing w:val="-4"/>
                <w:sz w:val="20"/>
                <w:szCs w:val="20"/>
                <w:lang w:val="hy-AM"/>
              </w:rPr>
            </w:pPr>
            <w:r w:rsidRPr="0053423A">
              <w:rPr>
                <w:spacing w:val="-4"/>
                <w:sz w:val="20"/>
                <w:szCs w:val="20"/>
                <w:lang w:val="hy-AM"/>
              </w:rPr>
              <w:t>Միջոցառման գլխավոր նպատակն է լեզվի բնագավառում կառավարման արդյունավետության բարձրացումը և հայերենի` որպես պետական լեզվի գործառության ապահովումը հանրապետության կյանքի բոլոր ոլորտներում:</w:t>
            </w:r>
          </w:p>
          <w:p w:rsidR="00154773" w:rsidRPr="0053423A" w:rsidRDefault="00154773" w:rsidP="00154773">
            <w:pPr>
              <w:ind w:firstLine="375"/>
              <w:jc w:val="both"/>
              <w:rPr>
                <w:sz w:val="20"/>
                <w:szCs w:val="20"/>
                <w:lang w:val="hy-AM"/>
              </w:rPr>
            </w:pPr>
            <w:r w:rsidRPr="0053423A">
              <w:rPr>
                <w:sz w:val="20"/>
                <w:szCs w:val="20"/>
                <w:lang w:val="hy-AM"/>
              </w:rPr>
              <w:t xml:space="preserve">Հայաստանի Հանրապետության լեզվական քաղաքականության մշակման և իրականացման պետական պատվերն ամրագրված է Հայաստանի Հանրապետության Սահմանադրությամբ, «Լեզվի մասին» Հայաստանի Հանրապետության օրենքով, «Կառավարության կառուցվածքի և գործունեության մասին» Հայաստանի Հանրապետության օրենքով </w:t>
            </w:r>
            <w:r w:rsidRPr="0053423A">
              <w:rPr>
                <w:i/>
                <w:sz w:val="20"/>
                <w:szCs w:val="20"/>
                <w:lang w:val="hy-AM"/>
              </w:rPr>
              <w:t>(հավելված, 9-րդ մաս)</w:t>
            </w:r>
            <w:r w:rsidRPr="0053423A">
              <w:rPr>
                <w:sz w:val="20"/>
                <w:szCs w:val="20"/>
                <w:lang w:val="hy-AM"/>
              </w:rPr>
              <w:t>:</w:t>
            </w:r>
          </w:p>
          <w:p w:rsidR="00154773" w:rsidRPr="0053423A" w:rsidRDefault="00154773" w:rsidP="00154773">
            <w:pPr>
              <w:ind w:firstLine="375"/>
              <w:jc w:val="both"/>
              <w:rPr>
                <w:sz w:val="20"/>
                <w:szCs w:val="20"/>
                <w:lang w:val="hy-AM"/>
              </w:rPr>
            </w:pPr>
            <w:r w:rsidRPr="0053423A">
              <w:rPr>
                <w:sz w:val="20"/>
                <w:szCs w:val="20"/>
                <w:lang w:val="hy-AM"/>
              </w:rPr>
              <w:t>Միջոցառումը պայմանավորված է Հայաստանի Հանրապետության Կառավարության 2019-2023 թթ. գործունեության ծրագրի «4.4 Կրթությունը և գիտությունը» (գիտության ոլորտ) և «4.5. Մշակույթը» (մշակույթի հանրահռչակման ոլորտ) կետերով ամրագրված լեզվի բնագավառում երկարաժամկետ լեզվական պետական քաղաքականություն իրականացնելու` Հայաստանի Հանրապետության Կառավարության պարտավորությամբ, ինչպես նաև լեզվի բնագավառում առկա խնդիրների ու կարգավորումների համակարգային վերլուծությամբ ու գնահատմամբ արդյունավետ լեզվական պետական քաղաքականություն իրականացնելու, համակարգված կարգավորում երաշխավորող մեխանիզմներ ներդնելու անհրաժեշտությամբ:</w:t>
            </w:r>
          </w:p>
          <w:p w:rsidR="00154773" w:rsidRPr="0053423A" w:rsidRDefault="00154773" w:rsidP="00154773">
            <w:pPr>
              <w:jc w:val="both"/>
              <w:rPr>
                <w:sz w:val="20"/>
                <w:szCs w:val="20"/>
                <w:lang w:val="hy-AM"/>
              </w:rPr>
            </w:pPr>
          </w:p>
          <w:p w:rsidR="00154773" w:rsidRPr="0053423A" w:rsidRDefault="00154773" w:rsidP="001F6D5D">
            <w:pPr>
              <w:numPr>
                <w:ilvl w:val="1"/>
                <w:numId w:val="469"/>
              </w:numPr>
              <w:contextualSpacing/>
              <w:jc w:val="both"/>
              <w:rPr>
                <w:b/>
                <w:sz w:val="20"/>
                <w:szCs w:val="20"/>
                <w:lang w:val="hy-AM"/>
              </w:rPr>
            </w:pPr>
            <w:r w:rsidRPr="0053423A">
              <w:rPr>
                <w:b/>
                <w:sz w:val="20"/>
                <w:szCs w:val="20"/>
                <w:lang w:val="hy-AM"/>
              </w:rPr>
              <w:t xml:space="preserve"> կարգավորման հարաբերությունների ներկա վիճակը և առկա խնդիրները</w:t>
            </w:r>
          </w:p>
          <w:p w:rsidR="00154773" w:rsidRPr="0053423A" w:rsidRDefault="00154773" w:rsidP="00154773">
            <w:pPr>
              <w:jc w:val="both"/>
              <w:rPr>
                <w:b/>
                <w:sz w:val="20"/>
                <w:szCs w:val="20"/>
                <w:lang w:val="hy-AM"/>
              </w:rPr>
            </w:pPr>
          </w:p>
          <w:p w:rsidR="00154773" w:rsidRPr="0053423A" w:rsidRDefault="00154773" w:rsidP="00154773">
            <w:pPr>
              <w:ind w:firstLine="375"/>
              <w:jc w:val="both"/>
              <w:rPr>
                <w:rFonts w:eastAsia="Times New Roman"/>
                <w:b/>
                <w:sz w:val="20"/>
                <w:szCs w:val="20"/>
                <w:lang w:val="hy-AM"/>
              </w:rPr>
            </w:pPr>
            <w:r w:rsidRPr="0053423A">
              <w:rPr>
                <w:sz w:val="20"/>
                <w:szCs w:val="20"/>
                <w:lang w:val="hy-AM"/>
              </w:rPr>
              <w:t xml:space="preserve">«Հայաստանի Հանրապետության 2002-2005 թվականների լեզվական քաղաքականության պետական ծրագրի» գործողության ժամկետն ավարտվել է 2005 թվականին, որից հետո լեզվական քաղաքականության պետական ծրագիր չի ընդունվել: «Պետական կառավարման համակարգի մարմինների մասին» ՀՀ օրենքի 9-րդ հոդվածի 3-րդ մասի 25-րդ կետի ուժով ՀՀ ԿԳՆ լեզվի պետական տեսչությունը գործում է որպես Լեզվի կոմիտե: 2018 թ. մարտի 23-ին ընդունված ՀՕ-305-Ն օրենքով լրացում կատարվեց «Լեզվի մասին» Հայաստանի Հանրապետության օրենքում, որով նախատեսվեց նաև </w:t>
            </w:r>
            <w:r w:rsidRPr="0053423A">
              <w:rPr>
                <w:rFonts w:eastAsia="Times New Roman"/>
                <w:sz w:val="20"/>
                <w:szCs w:val="20"/>
                <w:lang w:val="hy-AM"/>
              </w:rPr>
              <w:t>Լեզվի կոմիտեի`</w:t>
            </w:r>
            <w:r w:rsidRPr="0053423A">
              <w:rPr>
                <w:rFonts w:eastAsia="Times New Roman"/>
                <w:b/>
                <w:sz w:val="20"/>
                <w:szCs w:val="20"/>
                <w:lang w:val="hy-AM"/>
              </w:rPr>
              <w:t xml:space="preserve"> </w:t>
            </w:r>
            <w:r w:rsidRPr="0053423A">
              <w:rPr>
                <w:rFonts w:eastAsia="Times New Roman" w:cs="Sylfaen"/>
                <w:sz w:val="20"/>
                <w:szCs w:val="20"/>
                <w:lang w:val="hy-AM"/>
              </w:rPr>
              <w:t>լեզվական</w:t>
            </w:r>
            <w:r w:rsidRPr="0053423A">
              <w:rPr>
                <w:rFonts w:eastAsia="Times New Roman"/>
                <w:sz w:val="20"/>
                <w:szCs w:val="20"/>
                <w:lang w:val="hy-AM"/>
              </w:rPr>
              <w:t xml:space="preserve"> </w:t>
            </w:r>
            <w:r w:rsidRPr="0053423A">
              <w:rPr>
                <w:rFonts w:eastAsia="Times New Roman" w:cs="Sylfaen"/>
                <w:sz w:val="20"/>
                <w:szCs w:val="20"/>
                <w:lang w:val="hy-AM"/>
              </w:rPr>
              <w:t>քաղաքականության</w:t>
            </w:r>
            <w:r w:rsidRPr="0053423A">
              <w:rPr>
                <w:rFonts w:eastAsia="Times New Roman"/>
                <w:sz w:val="20"/>
                <w:szCs w:val="20"/>
                <w:lang w:val="hy-AM"/>
              </w:rPr>
              <w:t xml:space="preserve"> </w:t>
            </w:r>
            <w:r w:rsidRPr="0053423A">
              <w:rPr>
                <w:rFonts w:eastAsia="Times New Roman" w:cs="Sylfaen"/>
                <w:sz w:val="20"/>
                <w:szCs w:val="20"/>
                <w:lang w:val="hy-AM"/>
              </w:rPr>
              <w:t>պետական</w:t>
            </w:r>
            <w:r w:rsidRPr="0053423A">
              <w:rPr>
                <w:rFonts w:eastAsia="Times New Roman"/>
                <w:sz w:val="20"/>
                <w:szCs w:val="20"/>
                <w:lang w:val="hy-AM"/>
              </w:rPr>
              <w:t xml:space="preserve"> </w:t>
            </w:r>
            <w:r w:rsidRPr="0053423A">
              <w:rPr>
                <w:rFonts w:eastAsia="Times New Roman" w:cs="Sylfaen"/>
                <w:sz w:val="20"/>
                <w:szCs w:val="20"/>
                <w:lang w:val="hy-AM"/>
              </w:rPr>
              <w:t>ծրագրի</w:t>
            </w:r>
            <w:r w:rsidRPr="0053423A">
              <w:rPr>
                <w:rFonts w:eastAsia="Times New Roman"/>
                <w:sz w:val="20"/>
                <w:szCs w:val="20"/>
                <w:lang w:val="hy-AM"/>
              </w:rPr>
              <w:t xml:space="preserve"> </w:t>
            </w:r>
            <w:r w:rsidRPr="0053423A">
              <w:rPr>
                <w:rFonts w:eastAsia="Times New Roman" w:cs="Sylfaen"/>
                <w:sz w:val="20"/>
                <w:szCs w:val="20"/>
                <w:lang w:val="hy-AM"/>
              </w:rPr>
              <w:t>իրականացումն ապահովելու պարտականությունը:</w:t>
            </w:r>
          </w:p>
          <w:p w:rsidR="00154773" w:rsidRPr="0053423A" w:rsidRDefault="00154773" w:rsidP="00154773">
            <w:pPr>
              <w:ind w:firstLine="375"/>
              <w:jc w:val="both"/>
              <w:rPr>
                <w:sz w:val="20"/>
                <w:szCs w:val="20"/>
                <w:lang w:val="hy-AM"/>
              </w:rPr>
            </w:pPr>
            <w:r w:rsidRPr="0053423A">
              <w:rPr>
                <w:sz w:val="20"/>
                <w:szCs w:val="20"/>
                <w:lang w:val="hy-AM"/>
              </w:rPr>
              <w:t>Լեզվի բնագավառում հայեցակարգային մոտեցումների, լեզվական քաղաքականության պետական ծրագրի բացակայության, ինչպես նաև ֆինանսական սուղ միջոցների պայմաններում պետական լեզվի գործառության ապահովմանն առնչվող միջոցառումներն առավելապես իրավիճակային բնույթ են ունեցել, իսկ հանրային կյանքի նոր ձևավորվող իրողություններին անհամաչափ արձագանքը բարդացրել է իրավիճակը՝ համակարգային լուծումների անհրաժեշտություն ստեղծելով։</w:t>
            </w:r>
          </w:p>
          <w:p w:rsidR="00154773" w:rsidRPr="0053423A" w:rsidRDefault="00154773" w:rsidP="00154773">
            <w:pPr>
              <w:jc w:val="both"/>
              <w:rPr>
                <w:sz w:val="20"/>
                <w:szCs w:val="20"/>
                <w:lang w:val="hy-AM"/>
              </w:rPr>
            </w:pPr>
          </w:p>
          <w:p w:rsidR="00154773" w:rsidRPr="0053423A" w:rsidRDefault="00154773" w:rsidP="001F6D5D">
            <w:pPr>
              <w:numPr>
                <w:ilvl w:val="1"/>
                <w:numId w:val="469"/>
              </w:numPr>
              <w:contextualSpacing/>
              <w:jc w:val="both"/>
              <w:rPr>
                <w:b/>
                <w:sz w:val="20"/>
                <w:szCs w:val="20"/>
                <w:lang w:val="hy-AM"/>
              </w:rPr>
            </w:pPr>
            <w:r w:rsidRPr="0053423A">
              <w:rPr>
                <w:b/>
                <w:sz w:val="20"/>
                <w:szCs w:val="20"/>
                <w:lang w:val="hy-AM"/>
              </w:rPr>
              <w:t>առկա խնդիրների առաջարկվող լուծումները</w:t>
            </w:r>
          </w:p>
          <w:p w:rsidR="00154773" w:rsidRPr="0053423A" w:rsidRDefault="00154773" w:rsidP="00154773">
            <w:pPr>
              <w:jc w:val="both"/>
              <w:rPr>
                <w:b/>
                <w:sz w:val="20"/>
                <w:szCs w:val="20"/>
                <w:lang w:val="hy-AM"/>
              </w:rPr>
            </w:pPr>
          </w:p>
          <w:p w:rsidR="00154773" w:rsidRPr="0053423A" w:rsidRDefault="00154773" w:rsidP="00154773">
            <w:pPr>
              <w:ind w:firstLine="375"/>
              <w:jc w:val="both"/>
              <w:rPr>
                <w:sz w:val="20"/>
                <w:szCs w:val="20"/>
                <w:lang w:val="hy-AM"/>
              </w:rPr>
            </w:pPr>
            <w:r w:rsidRPr="0053423A">
              <w:rPr>
                <w:sz w:val="20"/>
                <w:szCs w:val="20"/>
                <w:lang w:val="hy-AM"/>
              </w:rPr>
              <w:t>Հայաստանի Հանրապետության լեզվական քաղաքականության պետական ծրագրում նախանշվող նպատակների իրականացումն ապահովելու համար, ըստ առաջնահերթությունների՝ նախատեսվում են միջոցառումներ հետևյալ ուղղություններով՝</w:t>
            </w:r>
          </w:p>
          <w:p w:rsidR="00154773" w:rsidRPr="0053423A" w:rsidRDefault="00154773" w:rsidP="00154773">
            <w:pPr>
              <w:ind w:firstLine="375"/>
              <w:jc w:val="both"/>
              <w:rPr>
                <w:sz w:val="20"/>
                <w:szCs w:val="20"/>
                <w:lang w:val="hy-AM"/>
              </w:rPr>
            </w:pPr>
            <w:r w:rsidRPr="0053423A">
              <w:rPr>
                <w:sz w:val="20"/>
                <w:szCs w:val="20"/>
                <w:lang w:val="hy-AM"/>
              </w:rPr>
              <w:t>1) լեզվի բնագավառը կարգավորող օրենսդրական փոփոխություններ.</w:t>
            </w:r>
          </w:p>
          <w:p w:rsidR="00154773" w:rsidRPr="0053423A" w:rsidRDefault="00154773" w:rsidP="00154773">
            <w:pPr>
              <w:ind w:firstLine="375"/>
              <w:jc w:val="both"/>
              <w:rPr>
                <w:sz w:val="20"/>
                <w:szCs w:val="20"/>
                <w:lang w:val="hy-AM"/>
              </w:rPr>
            </w:pPr>
            <w:r w:rsidRPr="0053423A">
              <w:rPr>
                <w:sz w:val="20"/>
                <w:szCs w:val="20"/>
                <w:lang w:val="hy-AM"/>
              </w:rPr>
              <w:t>2) գրական հայերենի (արևելահայերենի և արևմտահայերենի) կանոնարկման գործուն մեխանիզմների ներդրում.</w:t>
            </w:r>
          </w:p>
          <w:p w:rsidR="00154773" w:rsidRPr="0053423A" w:rsidRDefault="00154773" w:rsidP="00154773">
            <w:pPr>
              <w:ind w:firstLine="375"/>
              <w:jc w:val="both"/>
              <w:rPr>
                <w:sz w:val="20"/>
                <w:szCs w:val="20"/>
                <w:lang w:val="hy-AM"/>
              </w:rPr>
            </w:pPr>
            <w:r w:rsidRPr="0053423A">
              <w:rPr>
                <w:sz w:val="20"/>
                <w:szCs w:val="20"/>
                <w:lang w:val="hy-AM"/>
              </w:rPr>
              <w:t>3) լեզվական հարաբերություններում հայերենի լիակատար գործառության ապահովումը երաշխավորող մեխանիզմների ներդրում (այդ թվում՝ հայերենի գործառությանն առնչվող պետական և միջազգային ստանդարտների մշակում).</w:t>
            </w:r>
          </w:p>
          <w:p w:rsidR="00154773" w:rsidRPr="0053423A" w:rsidRDefault="00154773" w:rsidP="00154773">
            <w:pPr>
              <w:ind w:firstLine="375"/>
              <w:jc w:val="both"/>
              <w:rPr>
                <w:sz w:val="20"/>
                <w:szCs w:val="20"/>
                <w:lang w:val="hy-AM"/>
              </w:rPr>
            </w:pPr>
            <w:r w:rsidRPr="0053423A">
              <w:rPr>
                <w:sz w:val="20"/>
                <w:szCs w:val="20"/>
                <w:lang w:val="hy-AM"/>
              </w:rPr>
              <w:t>4) թվային տիրույթում հայերենի հետևողական ու կայուն ներկայությունը երաշխավորող գործողություններ.</w:t>
            </w:r>
          </w:p>
          <w:p w:rsidR="00154773" w:rsidRPr="0053423A" w:rsidRDefault="00154773" w:rsidP="00154773">
            <w:pPr>
              <w:ind w:firstLine="375"/>
              <w:jc w:val="both"/>
              <w:rPr>
                <w:sz w:val="20"/>
                <w:szCs w:val="20"/>
                <w:lang w:val="hy-AM"/>
              </w:rPr>
            </w:pPr>
            <w:r w:rsidRPr="0053423A">
              <w:rPr>
                <w:sz w:val="20"/>
                <w:szCs w:val="20"/>
                <w:lang w:val="hy-AM"/>
              </w:rPr>
              <w:t>5) Հայաստանի Հանրապետությունում լեզվավիճակի շարունակական մշտադիտարկման ու գնահատման, լեզվական քաղաքականության իրականացման պատշաճ հաշվետվողականության ապահովում, մասնավորապես՝ ՀՀ լեզվավիճակի տարեկան զեկույց:</w:t>
            </w:r>
          </w:p>
          <w:p w:rsidR="00154773" w:rsidRPr="0053423A" w:rsidRDefault="00154773" w:rsidP="00154773">
            <w:pPr>
              <w:ind w:firstLine="375"/>
              <w:jc w:val="both"/>
              <w:rPr>
                <w:sz w:val="20"/>
                <w:szCs w:val="20"/>
                <w:lang w:val="hy-AM"/>
              </w:rPr>
            </w:pPr>
            <w:r w:rsidRPr="0053423A">
              <w:rPr>
                <w:sz w:val="20"/>
                <w:szCs w:val="20"/>
                <w:lang w:val="hy-AM"/>
              </w:rPr>
              <w:t>Գումարը նախատեսվում է հատկացնել ՀՀ 2019 թ. պետական բյուջեի «Կրթության և գիտության ոլորտի այլ ծրագրեր» միջոցառման շրջանակում:</w:t>
            </w:r>
          </w:p>
          <w:p w:rsidR="00154773" w:rsidRPr="0053423A" w:rsidRDefault="00154773" w:rsidP="00154773">
            <w:pPr>
              <w:jc w:val="both"/>
              <w:rPr>
                <w:sz w:val="20"/>
                <w:szCs w:val="20"/>
                <w:lang w:val="hy-AM"/>
              </w:rPr>
            </w:pPr>
          </w:p>
          <w:p w:rsidR="00154773" w:rsidRPr="0053423A" w:rsidRDefault="00154773" w:rsidP="001F6D5D">
            <w:pPr>
              <w:numPr>
                <w:ilvl w:val="0"/>
                <w:numId w:val="469"/>
              </w:numPr>
              <w:contextualSpacing/>
              <w:jc w:val="both"/>
              <w:rPr>
                <w:rFonts w:eastAsia="Times New Roman" w:cs="Times New Roman"/>
                <w:b/>
                <w:sz w:val="20"/>
                <w:szCs w:val="20"/>
                <w:lang w:val="hy-AM"/>
              </w:rPr>
            </w:pPr>
            <w:r w:rsidRPr="0053423A">
              <w:rPr>
                <w:rFonts w:eastAsia="Times New Roman" w:cs="Times New Roman"/>
                <w:b/>
                <w:sz w:val="20"/>
                <w:szCs w:val="20"/>
                <w:lang w:val="hy-AM"/>
              </w:rPr>
              <w:t>Միջոցառման իրականացումից ակնկալվող արդյունքը</w:t>
            </w:r>
          </w:p>
          <w:p w:rsidR="00154773" w:rsidRPr="0053423A" w:rsidRDefault="00154773" w:rsidP="00154773">
            <w:pPr>
              <w:jc w:val="both"/>
              <w:rPr>
                <w:rFonts w:eastAsia="Times New Roman" w:cs="Times New Roman"/>
                <w:b/>
                <w:sz w:val="20"/>
                <w:szCs w:val="20"/>
                <w:lang w:val="hy-AM"/>
              </w:rPr>
            </w:pPr>
          </w:p>
          <w:p w:rsidR="00154773" w:rsidRPr="0053423A" w:rsidRDefault="00154773" w:rsidP="00154773">
            <w:pPr>
              <w:ind w:firstLine="375"/>
              <w:jc w:val="both"/>
              <w:rPr>
                <w:sz w:val="20"/>
                <w:szCs w:val="20"/>
                <w:lang w:val="hy-AM"/>
              </w:rPr>
            </w:pPr>
            <w:r w:rsidRPr="0053423A">
              <w:rPr>
                <w:sz w:val="20"/>
                <w:szCs w:val="20"/>
                <w:lang w:val="hy-AM"/>
              </w:rPr>
              <w:t>Հայաստանի Հանրապետության լեզվական քաղաքականության պետական ծրագրի ընդունմամբ հնարավոր կլինի`</w:t>
            </w:r>
          </w:p>
          <w:p w:rsidR="00154773" w:rsidRPr="0053423A" w:rsidRDefault="00154773" w:rsidP="00154773">
            <w:pPr>
              <w:shd w:val="clear" w:color="auto" w:fill="FFFFFF"/>
              <w:ind w:firstLine="360"/>
              <w:jc w:val="both"/>
              <w:textAlignment w:val="baseline"/>
              <w:rPr>
                <w:spacing w:val="-4"/>
                <w:sz w:val="20"/>
                <w:szCs w:val="20"/>
                <w:lang w:val="hy-AM"/>
              </w:rPr>
            </w:pPr>
            <w:r w:rsidRPr="0053423A">
              <w:rPr>
                <w:sz w:val="20"/>
                <w:szCs w:val="20"/>
                <w:lang w:val="hy-AM"/>
              </w:rPr>
              <w:t xml:space="preserve">1) </w:t>
            </w:r>
            <w:r w:rsidRPr="0053423A">
              <w:rPr>
                <w:spacing w:val="-4"/>
                <w:sz w:val="20"/>
                <w:szCs w:val="20"/>
                <w:lang w:val="hy-AM"/>
              </w:rPr>
              <w:t>բարձրացնել լեզվի բնագավառում կառավարման արդյունավետությունը և ապահովել հայերենի` որպես պետական լեզվի փաստացի գործառությունը հանրապետության կյանքի բոլոր ոլորտներում.</w:t>
            </w:r>
          </w:p>
          <w:p w:rsidR="00154773" w:rsidRPr="0053423A" w:rsidRDefault="00154773" w:rsidP="00154773">
            <w:pPr>
              <w:ind w:firstLine="375"/>
              <w:jc w:val="both"/>
              <w:rPr>
                <w:sz w:val="20"/>
                <w:szCs w:val="20"/>
                <w:lang w:val="hy-AM"/>
              </w:rPr>
            </w:pPr>
            <w:r w:rsidRPr="0053423A">
              <w:rPr>
                <w:sz w:val="20"/>
                <w:szCs w:val="20"/>
                <w:lang w:val="hy-AM"/>
              </w:rPr>
              <w:t>2) բարելավել հայերենի` որպես պետական լեզվի գործառությունը ապահովող օրենքները, իրավական հիմքեր ստեղծել «Լեզվի մասին» ՀՀ օրենքից բխող ենթաօրենսդրական ակտերի ընդունման համար, վերացնել հակասությունները «Լեզվի մասին» ՀՀ օրենքի և այլ օրենքների ու ենթաօրենսդրական ակտերի միջև.</w:t>
            </w:r>
          </w:p>
          <w:p w:rsidR="00154773" w:rsidRPr="0053423A" w:rsidRDefault="00154773" w:rsidP="00154773">
            <w:pPr>
              <w:ind w:firstLine="375"/>
              <w:jc w:val="both"/>
              <w:rPr>
                <w:sz w:val="20"/>
                <w:szCs w:val="20"/>
                <w:lang w:val="hy-AM"/>
              </w:rPr>
            </w:pPr>
            <w:r w:rsidRPr="0053423A">
              <w:rPr>
                <w:sz w:val="20"/>
                <w:szCs w:val="20"/>
                <w:lang w:val="hy-AM"/>
              </w:rPr>
              <w:t>3) ապահովել գրական հայերենի (արևելահայերենի և արևմտահայերենի) կանոնարկումը` մասնագիտական խորհրդի ստեղծմամբ.</w:t>
            </w:r>
          </w:p>
          <w:p w:rsidR="00154773" w:rsidRPr="0053423A" w:rsidRDefault="00154773" w:rsidP="00154773">
            <w:pPr>
              <w:ind w:firstLine="375"/>
              <w:jc w:val="both"/>
              <w:rPr>
                <w:sz w:val="20"/>
                <w:szCs w:val="20"/>
                <w:lang w:val="hy-AM"/>
              </w:rPr>
            </w:pPr>
            <w:r w:rsidRPr="0053423A">
              <w:rPr>
                <w:sz w:val="20"/>
                <w:szCs w:val="20"/>
                <w:lang w:val="hy-AM"/>
              </w:rPr>
              <w:t>4) մշակել և ներդնել հայերենի գործառությունը ապահովող պետական և միջազգային ստանդարտներ.</w:t>
            </w:r>
          </w:p>
          <w:p w:rsidR="00154773" w:rsidRPr="0053423A" w:rsidRDefault="00154773" w:rsidP="00154773">
            <w:pPr>
              <w:ind w:firstLine="375"/>
              <w:jc w:val="both"/>
              <w:rPr>
                <w:sz w:val="20"/>
                <w:szCs w:val="20"/>
                <w:lang w:val="hy-AM"/>
              </w:rPr>
            </w:pPr>
            <w:r w:rsidRPr="0053423A">
              <w:rPr>
                <w:sz w:val="20"/>
                <w:szCs w:val="20"/>
                <w:lang w:val="hy-AM"/>
              </w:rPr>
              <w:t>5) ապահովել թվային տիրույթում հայերենի կայուն և զարգացող ներկայությունը.</w:t>
            </w:r>
          </w:p>
          <w:p w:rsidR="00154773" w:rsidRPr="0053423A" w:rsidRDefault="00154773" w:rsidP="00154773">
            <w:pPr>
              <w:jc w:val="center"/>
              <w:rPr>
                <w:rFonts w:eastAsia="Times New Roman" w:cs="Times New Roman"/>
                <w:b/>
                <w:sz w:val="20"/>
                <w:szCs w:val="20"/>
                <w:lang w:val="hy-AM"/>
              </w:rPr>
            </w:pPr>
            <w:r w:rsidRPr="0053423A">
              <w:rPr>
                <w:sz w:val="20"/>
                <w:szCs w:val="20"/>
                <w:lang w:val="hy-AM"/>
              </w:rPr>
              <w:t>6) ապահովել ՀՀ լեզվավիճակի շարունակական մշտադիտարկում ու գնահատում, լեզվական քաղաքականության իրականացման պատշաճ հաշվետվողականություն` ՀՀ լեզվավիճակի տարեկան զեկույցի հրապարակմամբ:</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shd w:val="clear" w:color="auto" w:fill="FFFFFF"/>
              <w:jc w:val="center"/>
              <w:rPr>
                <w:rFonts w:eastAsia="Calibri" w:cs="Sylfaen"/>
                <w:b/>
                <w:sz w:val="20"/>
                <w:szCs w:val="20"/>
                <w:u w:val="single"/>
                <w:lang w:val="hy-AM" w:eastAsia="ru-RU"/>
              </w:rPr>
            </w:pPr>
            <w:r w:rsidRPr="0053423A">
              <w:rPr>
                <w:rFonts w:eastAsia="Calibri" w:cs="Sylfaen"/>
                <w:b/>
                <w:sz w:val="20"/>
                <w:szCs w:val="20"/>
                <w:u w:val="single"/>
                <w:lang w:val="hy-AM" w:eastAsia="ru-RU"/>
              </w:rPr>
              <w:t>7.2  «Հայերենի ընդհանուր տերմինարան» էլեկտրոնային միասնական շտեմարանի մշակում</w:t>
            </w:r>
          </w:p>
          <w:p w:rsidR="00154773" w:rsidRPr="0053423A" w:rsidRDefault="00154773" w:rsidP="00154773">
            <w:pPr>
              <w:shd w:val="clear" w:color="auto" w:fill="FFFFFF"/>
              <w:ind w:firstLine="708"/>
              <w:jc w:val="center"/>
              <w:rPr>
                <w:rFonts w:eastAsia="Calibri" w:cs="Sylfaen"/>
                <w:b/>
                <w:sz w:val="20"/>
                <w:szCs w:val="20"/>
                <w:u w:val="single"/>
                <w:lang w:val="hy-AM" w:eastAsia="ru-RU"/>
              </w:rPr>
            </w:pPr>
          </w:p>
          <w:p w:rsidR="00154773" w:rsidRPr="0053423A" w:rsidRDefault="00154773" w:rsidP="001F6D5D">
            <w:pPr>
              <w:numPr>
                <w:ilvl w:val="0"/>
                <w:numId w:val="487"/>
              </w:numPr>
              <w:contextualSpacing/>
              <w:rPr>
                <w:b/>
                <w:sz w:val="20"/>
                <w:szCs w:val="20"/>
              </w:rPr>
            </w:pPr>
            <w:r w:rsidRPr="0053423A">
              <w:rPr>
                <w:b/>
                <w:sz w:val="20"/>
                <w:szCs w:val="20"/>
                <w:lang w:val="hy-AM"/>
              </w:rPr>
              <w:t>Միջոցառման իրականացման անհրաժեշտությունը և նպատակը</w:t>
            </w:r>
          </w:p>
          <w:p w:rsidR="00154773" w:rsidRPr="0053423A" w:rsidRDefault="00154773" w:rsidP="00154773">
            <w:pPr>
              <w:ind w:left="735"/>
              <w:contextualSpacing/>
              <w:rPr>
                <w:b/>
                <w:sz w:val="20"/>
                <w:szCs w:val="20"/>
              </w:rPr>
            </w:pPr>
          </w:p>
          <w:p w:rsidR="00154773" w:rsidRPr="0053423A" w:rsidRDefault="00154773" w:rsidP="00154773">
            <w:pPr>
              <w:shd w:val="clear" w:color="auto" w:fill="FFFFFF"/>
              <w:ind w:firstLine="360"/>
              <w:jc w:val="both"/>
              <w:textAlignment w:val="baseline"/>
              <w:rPr>
                <w:spacing w:val="-4"/>
                <w:sz w:val="20"/>
                <w:szCs w:val="20"/>
              </w:rPr>
            </w:pPr>
            <w:r w:rsidRPr="0053423A">
              <w:rPr>
                <w:spacing w:val="-4"/>
                <w:sz w:val="20"/>
                <w:szCs w:val="20"/>
              </w:rPr>
              <w:t xml:space="preserve">Միջոցառման գլխավոր նպատակն է  կրթության համակարգի կառավարման արդյունավետության բարձրացումը: </w:t>
            </w:r>
          </w:p>
          <w:p w:rsidR="00154773" w:rsidRPr="0053423A" w:rsidRDefault="00154773" w:rsidP="00154773">
            <w:pPr>
              <w:ind w:firstLine="375"/>
              <w:jc w:val="both"/>
              <w:rPr>
                <w:sz w:val="20"/>
                <w:szCs w:val="20"/>
                <w:lang w:val="hy-AM"/>
              </w:rPr>
            </w:pPr>
            <w:r w:rsidRPr="0053423A">
              <w:rPr>
                <w:sz w:val="20"/>
                <w:szCs w:val="20"/>
                <w:lang w:val="hy-AM"/>
              </w:rPr>
              <w:t>Միջոցառումը պայմանավորված է լեզվի բնագավառում երկարաժամկետ լեզվական պետական քաղաքականություն իրականացնելու, հանրային կյանքի նոր իրողություններին համաչափ արձագանքելու նպատակադրությամբ՝ արտացոլված ՀՀ կառավարության 2019-2023 թթ. գործունեության ծրագրի «4.4 Կրթությունը և գիտությունը» կետի երրորդ պարբերության մեջ՝ կրթության բովանդակության արդիականացումը և անհրաժեշտ ենթակառուցվածքների զարգացումը առանցքային համարելու, ինչպես նաև «4.4 Կրթությունը և գիտությունը» կետի գիտության բաժնի վեցերորդ ենթակետով՝ հայերենի՝ իբրև ժամանակակից գիտության լեզվի գործառության ու զարգացման համար անհրաժեշտ պայմաններ ստեղծելու հանձնառություններով։</w:t>
            </w:r>
          </w:p>
          <w:p w:rsidR="00154773" w:rsidRPr="0053423A" w:rsidRDefault="00154773" w:rsidP="00154773">
            <w:pPr>
              <w:ind w:firstLine="375"/>
              <w:jc w:val="both"/>
              <w:rPr>
                <w:sz w:val="20"/>
                <w:szCs w:val="20"/>
                <w:lang w:val="hy-AM"/>
              </w:rPr>
            </w:pPr>
            <w:r w:rsidRPr="0053423A">
              <w:rPr>
                <w:sz w:val="20"/>
                <w:szCs w:val="20"/>
                <w:lang w:val="hy-AM"/>
              </w:rPr>
              <w:t>Միջոցառման նպատակը արդի հայերենի մասնագիտական (ճյուղային) բառարանների, տերմինարանների մեկտեղումն է էլեկտրոնային բառարանագրության և շտեմավորման արդիական տեխնոլոգիական լուծումներին համապատասխան, որը անհրաժեշտ հիմքեր կստեղծի շտեմարանի շարունակական ընդլայնման համար։ Արդի հայերենում գործածվող տերմինների շտեմարանը ուսումնական, գիտատեխնիկական գործունեության ոլորտներում հայերենի լիակատար գործածությունը, ինչպես նաև թվային տիրույթում մասնագիտական հայերենի կայուն ներկայությունն ու զարգացումը երաշխավորելու կարևոր բաղադրիչ է։</w:t>
            </w:r>
          </w:p>
          <w:p w:rsidR="00154773" w:rsidRPr="0053423A" w:rsidRDefault="00154773" w:rsidP="00154773">
            <w:pPr>
              <w:shd w:val="clear" w:color="auto" w:fill="FFFFFF"/>
              <w:ind w:firstLine="708"/>
              <w:jc w:val="both"/>
              <w:rPr>
                <w:rFonts w:eastAsia="Calibri" w:cs="Sylfaen"/>
                <w:b/>
                <w:sz w:val="20"/>
                <w:szCs w:val="20"/>
                <w:u w:val="single"/>
                <w:lang w:val="hy-AM" w:eastAsia="ru-RU"/>
              </w:rPr>
            </w:pPr>
          </w:p>
          <w:p w:rsidR="00154773" w:rsidRPr="0053423A" w:rsidRDefault="00154773" w:rsidP="00154773">
            <w:pPr>
              <w:ind w:left="735"/>
              <w:contextualSpacing/>
              <w:jc w:val="both"/>
              <w:rPr>
                <w:b/>
                <w:sz w:val="20"/>
                <w:szCs w:val="20"/>
                <w:lang w:val="hy-AM"/>
              </w:rPr>
            </w:pPr>
            <w:r w:rsidRPr="0053423A">
              <w:rPr>
                <w:b/>
                <w:sz w:val="20"/>
                <w:szCs w:val="20"/>
                <w:lang w:val="hy-AM"/>
              </w:rPr>
              <w:t>1.1. կարգավորման հարաբերությունների ներկա վիճակը և առկա խնդիրները</w:t>
            </w:r>
          </w:p>
          <w:p w:rsidR="00154773" w:rsidRPr="0053423A" w:rsidRDefault="00154773" w:rsidP="00154773">
            <w:pPr>
              <w:ind w:left="735"/>
              <w:contextualSpacing/>
              <w:jc w:val="both"/>
              <w:rPr>
                <w:b/>
                <w:sz w:val="20"/>
                <w:szCs w:val="20"/>
                <w:lang w:val="hy-AM"/>
              </w:rPr>
            </w:pPr>
          </w:p>
          <w:p w:rsidR="00154773" w:rsidRPr="0053423A" w:rsidRDefault="00154773" w:rsidP="00154773">
            <w:pPr>
              <w:ind w:firstLine="375"/>
              <w:jc w:val="both"/>
              <w:rPr>
                <w:sz w:val="20"/>
                <w:szCs w:val="20"/>
                <w:lang w:val="hy-AM"/>
              </w:rPr>
            </w:pPr>
            <w:r w:rsidRPr="0053423A">
              <w:rPr>
                <w:sz w:val="20"/>
                <w:szCs w:val="20"/>
                <w:lang w:val="hy-AM"/>
              </w:rPr>
              <w:t>Պետական կառավարման մարմինների կողմից տնօրինվող տեղեկատվության ստանդարտացման և թվայնացման, համապարփակ տեղեկատվական շտեմարանների ձևավորման, տեղեկատվական համակարգերի փոխադարձ համալրման գործողություններում եթե անգամ քննարկվում է դրանց լեզվական բաղադրիչը, ապա այն չի դիտարկվում միասնական, ստանդարտացված բառարանագրական արդիական մոտեցումներ կիրառող լուծումների հենքի վրա։ Բացի այդ, լեզվական պետական քաղաքականություն վարելու տեսանկյունից պատշաճ ուշադրություն չի հատկացվել տերմինաստեղծման գործընթացին, որը խնդիրներ է ստեղծում ներ- և միջպետական իրավական, տեխնիկական կարգավորումներ ենթադրող փաստաթղթերում, ստանդարտներում, ինչպես նաև կրթության և գիտության ոլորտներում։</w:t>
            </w:r>
          </w:p>
          <w:p w:rsidR="00154773" w:rsidRPr="0053423A" w:rsidRDefault="00154773" w:rsidP="00154773">
            <w:pPr>
              <w:shd w:val="clear" w:color="auto" w:fill="FFFFFF"/>
              <w:ind w:firstLine="708"/>
              <w:jc w:val="both"/>
              <w:rPr>
                <w:rFonts w:eastAsia="Calibri" w:cs="Sylfaen"/>
                <w:b/>
                <w:sz w:val="20"/>
                <w:szCs w:val="20"/>
                <w:u w:val="single"/>
                <w:lang w:val="hy-AM" w:eastAsia="ru-RU"/>
              </w:rPr>
            </w:pPr>
          </w:p>
          <w:p w:rsidR="00154773" w:rsidRPr="0053423A" w:rsidRDefault="00154773" w:rsidP="00154773">
            <w:pPr>
              <w:ind w:left="735"/>
              <w:contextualSpacing/>
              <w:jc w:val="both"/>
              <w:rPr>
                <w:b/>
                <w:sz w:val="20"/>
                <w:szCs w:val="20"/>
                <w:lang w:val="hy-AM"/>
              </w:rPr>
            </w:pPr>
            <w:r w:rsidRPr="0053423A">
              <w:rPr>
                <w:b/>
                <w:sz w:val="20"/>
                <w:szCs w:val="20"/>
                <w:lang w:val="hy-AM"/>
              </w:rPr>
              <w:t>1.2. առկա խնդիրների առաջարկվող լուծումները</w:t>
            </w:r>
          </w:p>
          <w:p w:rsidR="00154773" w:rsidRPr="0053423A" w:rsidRDefault="00154773" w:rsidP="00154773">
            <w:pPr>
              <w:ind w:left="735"/>
              <w:contextualSpacing/>
              <w:jc w:val="both"/>
              <w:rPr>
                <w:b/>
                <w:sz w:val="20"/>
                <w:szCs w:val="20"/>
                <w:lang w:val="hy-AM"/>
              </w:rPr>
            </w:pPr>
          </w:p>
          <w:p w:rsidR="00154773" w:rsidRPr="0053423A" w:rsidRDefault="00154773" w:rsidP="00154773">
            <w:pPr>
              <w:ind w:firstLine="375"/>
              <w:jc w:val="both"/>
              <w:rPr>
                <w:sz w:val="20"/>
                <w:szCs w:val="20"/>
                <w:lang w:val="hy-AM"/>
              </w:rPr>
            </w:pPr>
            <w:r w:rsidRPr="0053423A">
              <w:rPr>
                <w:sz w:val="20"/>
                <w:szCs w:val="20"/>
                <w:lang w:val="hy-AM"/>
              </w:rPr>
              <w:t>Առաջարկվում է գործարկել «Հայերենի ընդհանուր տերմինարան» էլեկտրոնային միասնական շտեմարանը, որը կամփոփի արդի գրական հայերենի գոյություն մասնագիտական բառարանները, տերմինային ցանկերը և անհրաժեշտ նվազագույն հիմք կապահովի առկա տերմինացանկը մեկտեղելու, տերմինների առցանց հասանելիությունն ապահովելու ու հնարավորինս միասնականացնելու, ինչպես նաև շարունակաբար ընդլայնելու համար։</w:t>
            </w:r>
          </w:p>
          <w:p w:rsidR="00154773" w:rsidRPr="0053423A" w:rsidRDefault="00154773" w:rsidP="00154773">
            <w:pPr>
              <w:shd w:val="clear" w:color="auto" w:fill="FFFFFF"/>
              <w:ind w:firstLine="708"/>
              <w:jc w:val="both"/>
              <w:rPr>
                <w:rFonts w:eastAsia="Calibri" w:cs="Sylfaen"/>
                <w:b/>
                <w:sz w:val="20"/>
                <w:szCs w:val="20"/>
                <w:u w:val="single"/>
                <w:lang w:val="hy-AM" w:eastAsia="ru-RU"/>
              </w:rPr>
            </w:pPr>
          </w:p>
          <w:p w:rsidR="00154773" w:rsidRPr="0053423A" w:rsidRDefault="00154773" w:rsidP="00154773">
            <w:pPr>
              <w:spacing w:before="120" w:after="120" w:line="276" w:lineRule="auto"/>
              <w:ind w:firstLine="375"/>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firstLine="375"/>
              <w:jc w:val="both"/>
              <w:rPr>
                <w:sz w:val="20"/>
                <w:szCs w:val="20"/>
                <w:lang w:val="hy-AM"/>
              </w:rPr>
            </w:pPr>
            <w:r w:rsidRPr="0053423A">
              <w:rPr>
                <w:sz w:val="20"/>
                <w:szCs w:val="20"/>
                <w:lang w:val="hy-AM"/>
              </w:rPr>
              <w:t>Միջոցառումը թույլ կտա ունենալ՝</w:t>
            </w:r>
          </w:p>
          <w:p w:rsidR="00154773" w:rsidRPr="0053423A" w:rsidRDefault="00154773" w:rsidP="00154773">
            <w:pPr>
              <w:ind w:firstLine="375"/>
              <w:jc w:val="both"/>
              <w:rPr>
                <w:sz w:val="20"/>
                <w:szCs w:val="20"/>
                <w:lang w:val="hy-AM"/>
              </w:rPr>
            </w:pPr>
            <w:r w:rsidRPr="0053423A">
              <w:rPr>
                <w:sz w:val="20"/>
                <w:szCs w:val="20"/>
                <w:lang w:val="hy-AM"/>
              </w:rPr>
              <w:t>- հայերեն տերմինների շարունակ թարմացվող և ընդլայնվող էլեկտրոնային միասնական շտեմարան.</w:t>
            </w:r>
          </w:p>
          <w:p w:rsidR="00154773" w:rsidRPr="0053423A" w:rsidRDefault="00154773" w:rsidP="00154773">
            <w:pPr>
              <w:ind w:firstLine="375"/>
              <w:jc w:val="both"/>
              <w:rPr>
                <w:sz w:val="20"/>
                <w:szCs w:val="20"/>
                <w:lang w:val="hy-AM"/>
              </w:rPr>
            </w:pPr>
            <w:r w:rsidRPr="0053423A">
              <w:rPr>
                <w:sz w:val="20"/>
                <w:szCs w:val="20"/>
                <w:lang w:val="hy-AM"/>
              </w:rPr>
              <w:t>- թվային տիրույթում մասնագիտական հայերենի հիմնարար ներկայությունը երաշխավորող էլեկտրոնային գործիք.</w:t>
            </w:r>
          </w:p>
          <w:p w:rsidR="00154773" w:rsidRPr="0053423A" w:rsidRDefault="00154773" w:rsidP="00154773">
            <w:pPr>
              <w:jc w:val="center"/>
              <w:rPr>
                <w:rFonts w:eastAsia="Times New Roman" w:cs="Times New Roman"/>
                <w:b/>
                <w:sz w:val="20"/>
                <w:szCs w:val="20"/>
                <w:lang w:val="hy-AM"/>
              </w:rPr>
            </w:pPr>
            <w:r w:rsidRPr="0053423A">
              <w:rPr>
                <w:sz w:val="20"/>
                <w:szCs w:val="20"/>
                <w:lang w:val="hy-AM"/>
              </w:rPr>
              <w:t>- մասնագիտական հայերենի կանոնարկումը երաշխավորող կայուն մեխանիզմ։</w:t>
            </w:r>
          </w:p>
        </w:tc>
      </w:tr>
      <w:tr w:rsidR="00154773" w:rsidRPr="00DE2EF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8</w:t>
            </w:r>
          </w:p>
        </w:tc>
        <w:tc>
          <w:tcPr>
            <w:tcW w:w="10620" w:type="dxa"/>
          </w:tcPr>
          <w:p w:rsidR="00154773" w:rsidRPr="0053423A" w:rsidRDefault="00154773" w:rsidP="00154773">
            <w:pPr>
              <w:ind w:left="284"/>
              <w:contextualSpacing/>
              <w:rPr>
                <w:rFonts w:eastAsia="Calibri" w:cs="Sylfaen"/>
                <w:b/>
                <w:sz w:val="20"/>
                <w:szCs w:val="20"/>
                <w:u w:val="single"/>
                <w:lang w:val="hy-AM"/>
              </w:rPr>
            </w:pPr>
            <w:r w:rsidRPr="0053423A">
              <w:rPr>
                <w:rFonts w:eastAsia="Times New Roman" w:cs="Times New Roman"/>
                <w:b/>
                <w:sz w:val="20"/>
                <w:szCs w:val="20"/>
                <w:u w:val="single"/>
                <w:lang w:val="hy-AM"/>
              </w:rPr>
              <w:t xml:space="preserve">8.1  </w:t>
            </w:r>
            <w:r w:rsidRPr="0053423A">
              <w:rPr>
                <w:b/>
                <w:bCs/>
                <w:color w:val="000000"/>
                <w:sz w:val="20"/>
                <w:szCs w:val="20"/>
                <w:u w:val="single"/>
                <w:shd w:val="clear" w:color="auto" w:fill="FFFFFF"/>
                <w:lang w:val="hy-AM"/>
              </w:rPr>
              <w:t>« ՀՀ կառավարության 2010թ. ապրիլի 8-ի N 439-Ն որոշման մեջ փոփոխություններ  կատարելու մասին » ՀՀ կառավարության որոշման  նախագծի ներկայացում ՀՀ վարչապետի աշխատակազմ</w:t>
            </w:r>
          </w:p>
          <w:p w:rsidR="00154773" w:rsidRPr="0053423A" w:rsidRDefault="00154773" w:rsidP="00154773">
            <w:pPr>
              <w:ind w:left="284"/>
              <w:contextualSpacing/>
              <w:jc w:val="both"/>
              <w:rPr>
                <w:rFonts w:eastAsia="Calibri" w:cs="Sylfaen"/>
                <w:b/>
                <w:sz w:val="20"/>
                <w:szCs w:val="20"/>
                <w:u w:val="single"/>
                <w:lang w:val="hy-AM"/>
              </w:rPr>
            </w:pPr>
          </w:p>
          <w:p w:rsidR="00154773" w:rsidRPr="0053423A" w:rsidRDefault="00154773" w:rsidP="00154773">
            <w:pPr>
              <w:ind w:left="284"/>
              <w:contextualSpacing/>
              <w:jc w:val="both"/>
              <w:rPr>
                <w:rFonts w:eastAsia="Calibri"/>
                <w:b/>
                <w:sz w:val="20"/>
                <w:szCs w:val="20"/>
                <w:lang w:val="af-ZA"/>
              </w:rPr>
            </w:pPr>
            <w:r w:rsidRPr="0053423A">
              <w:rPr>
                <w:rFonts w:eastAsia="Calibri" w:cs="Sylfaen"/>
                <w:b/>
                <w:sz w:val="20"/>
                <w:szCs w:val="20"/>
                <w:lang w:val="hy-AM"/>
              </w:rPr>
              <w:t>1.Միջոցառման իրականացման անհրաժեշտությունը</w:t>
            </w:r>
            <w:r w:rsidRPr="0053423A">
              <w:rPr>
                <w:rFonts w:eastAsia="Calibri"/>
                <w:b/>
                <w:sz w:val="20"/>
                <w:szCs w:val="20"/>
                <w:lang w:val="af-ZA"/>
              </w:rPr>
              <w:t xml:space="preserve"> </w:t>
            </w:r>
            <w:r w:rsidRPr="0053423A">
              <w:rPr>
                <w:rFonts w:eastAsia="Calibri"/>
                <w:b/>
                <w:sz w:val="20"/>
                <w:szCs w:val="20"/>
                <w:lang w:val="hy-AM"/>
              </w:rPr>
              <w:t xml:space="preserve">և </w:t>
            </w:r>
            <w:r w:rsidRPr="0053423A">
              <w:rPr>
                <w:rFonts w:eastAsia="Calibri" w:cs="Sylfaen"/>
                <w:b/>
                <w:sz w:val="20"/>
                <w:szCs w:val="20"/>
                <w:lang w:val="hy-AM"/>
              </w:rPr>
              <w:t>նպատակը</w:t>
            </w:r>
          </w:p>
          <w:p w:rsidR="00154773" w:rsidRPr="0053423A" w:rsidRDefault="00154773" w:rsidP="00154773">
            <w:pPr>
              <w:contextualSpacing/>
              <w:jc w:val="both"/>
              <w:rPr>
                <w:rFonts w:eastAsia="Calibri" w:cs="Sylfaen"/>
                <w:sz w:val="20"/>
                <w:szCs w:val="20"/>
                <w:lang w:val="hy-AM"/>
              </w:rPr>
            </w:pPr>
          </w:p>
          <w:p w:rsidR="00154773" w:rsidRPr="0053423A" w:rsidRDefault="00154773" w:rsidP="00154773">
            <w:pPr>
              <w:ind w:firstLine="284"/>
              <w:contextualSpacing/>
              <w:jc w:val="both"/>
              <w:rPr>
                <w:spacing w:val="-4"/>
                <w:sz w:val="20"/>
                <w:szCs w:val="20"/>
                <w:lang w:val="hy-AM"/>
              </w:rPr>
            </w:pPr>
            <w:r w:rsidRPr="0053423A">
              <w:rPr>
                <w:spacing w:val="-4"/>
                <w:sz w:val="20"/>
                <w:szCs w:val="20"/>
                <w:lang w:val="hy-AM"/>
              </w:rPr>
              <w:t>Միջոցառման գլխավոր նպատակն է կրթական ծրագրերի արդիականացումը՝ ուղղված տնտեսության և աշխատաշուկայի փոփոխվող պահանջներին:</w:t>
            </w:r>
          </w:p>
          <w:p w:rsidR="00154773" w:rsidRPr="0053423A" w:rsidRDefault="00154773" w:rsidP="00154773">
            <w:pPr>
              <w:jc w:val="both"/>
              <w:rPr>
                <w:rFonts w:eastAsia="Calibri" w:cs="Sylfaen"/>
                <w:sz w:val="20"/>
                <w:szCs w:val="20"/>
                <w:lang w:val="hy-AM"/>
              </w:rPr>
            </w:pPr>
            <w:r w:rsidRPr="0053423A">
              <w:rPr>
                <w:spacing w:val="-4"/>
                <w:sz w:val="20"/>
                <w:szCs w:val="20"/>
                <w:lang w:val="hy-AM"/>
              </w:rPr>
              <w:t xml:space="preserve"> Միջոցառումների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xml:space="preserve">»  </w:t>
            </w:r>
            <w:r w:rsidRPr="0053423A">
              <w:rPr>
                <w:rFonts w:eastAsia="Calibri" w:cs="Sylfaen"/>
                <w:sz w:val="20"/>
                <w:szCs w:val="20"/>
                <w:lang w:val="hy-AM"/>
              </w:rPr>
              <w:t>բաժնի 3-րդ պարբերության և հանրակրթության ոլորտի 6-րդ կետի պահանջներից:</w:t>
            </w:r>
          </w:p>
          <w:p w:rsidR="00154773" w:rsidRPr="0053423A" w:rsidRDefault="00154773" w:rsidP="00154773">
            <w:pPr>
              <w:ind w:firstLine="284"/>
              <w:jc w:val="both"/>
              <w:rPr>
                <w:b/>
                <w:sz w:val="20"/>
                <w:szCs w:val="20"/>
                <w:lang w:val="af-ZA"/>
              </w:rPr>
            </w:pPr>
            <w:r w:rsidRPr="0053423A">
              <w:rPr>
                <w:color w:val="000000" w:themeColor="text1"/>
                <w:sz w:val="20"/>
                <w:szCs w:val="20"/>
                <w:lang w:val="hy-AM"/>
              </w:rPr>
              <w:t xml:space="preserve"> Հանրակրթական հիմնական ծրագրերի բովանդակության սահմանված պարտադիր նվազագույնը, առավելագույն ծավալը, հանրակրթական նդպրոցի շրջանավարտին ներկայացվող ընդհանրական պահանջները վերանայելու, բարելավելու և կրթության արդի պահանջներին համապատասխանեցնելու նպատակով անհրաժեշտ է ՀՀ կառավարության համապատասխան որոշման մեջ կատարել փոփոխություններ և լրացումներ</w:t>
            </w:r>
            <w:r w:rsidRPr="0053423A">
              <w:rPr>
                <w:color w:val="000000" w:themeColor="text1"/>
                <w:sz w:val="20"/>
                <w:szCs w:val="20"/>
                <w:lang w:val="af-ZA"/>
              </w:rPr>
              <w:t>:</w:t>
            </w:r>
          </w:p>
          <w:p w:rsidR="00154773" w:rsidRPr="0053423A" w:rsidRDefault="00154773" w:rsidP="00154773">
            <w:pPr>
              <w:ind w:firstLine="284"/>
              <w:contextualSpacing/>
              <w:jc w:val="both"/>
              <w:rPr>
                <w:rFonts w:eastAsia="Calibri"/>
                <w:b/>
                <w:sz w:val="20"/>
                <w:szCs w:val="20"/>
                <w:lang w:val="hy-AM"/>
              </w:rPr>
            </w:pPr>
          </w:p>
          <w:p w:rsidR="00154773" w:rsidRPr="0053423A" w:rsidRDefault="00154773" w:rsidP="00154773">
            <w:pPr>
              <w:ind w:left="284"/>
              <w:contextualSpacing/>
              <w:jc w:val="both"/>
              <w:rPr>
                <w:rFonts w:eastAsia="Calibri" w:cs="Sylfaen"/>
                <w:b/>
                <w:sz w:val="20"/>
                <w:szCs w:val="20"/>
                <w:lang w:val="hy-AM"/>
              </w:rPr>
            </w:pPr>
            <w:r w:rsidRPr="0053423A">
              <w:rPr>
                <w:rFonts w:eastAsia="Calibri" w:cs="Sylfaen"/>
                <w:b/>
                <w:sz w:val="20"/>
                <w:szCs w:val="20"/>
                <w:lang w:val="hy-AM"/>
              </w:rPr>
              <w:t>1.1. կարգավորման հարաբերությունների ներկա վիճակը և առկա խնդիրները</w:t>
            </w:r>
          </w:p>
          <w:p w:rsidR="00154773" w:rsidRPr="0053423A" w:rsidRDefault="00154773" w:rsidP="00154773">
            <w:pPr>
              <w:ind w:firstLine="284"/>
              <w:contextualSpacing/>
              <w:jc w:val="both"/>
              <w:rPr>
                <w:sz w:val="20"/>
                <w:szCs w:val="20"/>
                <w:lang w:val="hy-AM"/>
              </w:rPr>
            </w:pPr>
          </w:p>
          <w:p w:rsidR="00154773" w:rsidRPr="0053423A" w:rsidRDefault="00154773" w:rsidP="00154773">
            <w:pPr>
              <w:tabs>
                <w:tab w:val="left" w:pos="0"/>
              </w:tabs>
              <w:ind w:left="90" w:firstLine="360"/>
              <w:jc w:val="both"/>
              <w:rPr>
                <w:sz w:val="20"/>
                <w:szCs w:val="20"/>
                <w:lang w:val="af-ZA"/>
              </w:rPr>
            </w:pPr>
            <w:r w:rsidRPr="0053423A">
              <w:rPr>
                <w:rFonts w:cs="Sylfaen"/>
                <w:sz w:val="20"/>
                <w:szCs w:val="20"/>
                <w:lang w:val="af-ZA"/>
              </w:rPr>
              <w:t xml:space="preserve"> </w:t>
            </w:r>
            <w:r w:rsidRPr="0053423A">
              <w:rPr>
                <w:sz w:val="20"/>
                <w:szCs w:val="20"/>
                <w:lang w:val="af-ZA"/>
              </w:rPr>
              <w:t xml:space="preserve">Հանրակրթության պետական չափորոշիչն ամբողջովին չի ապահովում հանրակրթական հիմնական ծրագրերի՝ փոփոխությամբ նախատեսվող բաղադրիչները: </w:t>
            </w:r>
          </w:p>
          <w:p w:rsidR="00154773" w:rsidRPr="0053423A" w:rsidRDefault="00154773" w:rsidP="00154773">
            <w:pPr>
              <w:ind w:firstLine="284"/>
              <w:contextualSpacing/>
              <w:jc w:val="both"/>
              <w:rPr>
                <w:sz w:val="20"/>
                <w:szCs w:val="20"/>
                <w:lang w:val="af-ZA"/>
              </w:rPr>
            </w:pPr>
          </w:p>
          <w:p w:rsidR="00154773" w:rsidRPr="0053423A" w:rsidRDefault="00154773" w:rsidP="00154773">
            <w:pPr>
              <w:ind w:firstLine="284"/>
              <w:contextualSpacing/>
              <w:jc w:val="both"/>
              <w:rPr>
                <w:sz w:val="20"/>
                <w:szCs w:val="20"/>
                <w:lang w:val="hy-AM"/>
              </w:rPr>
            </w:pPr>
          </w:p>
          <w:p w:rsidR="00154773" w:rsidRPr="0053423A" w:rsidRDefault="00154773" w:rsidP="00154773">
            <w:pPr>
              <w:ind w:left="284"/>
              <w:contextualSpacing/>
              <w:jc w:val="both"/>
              <w:rPr>
                <w:sz w:val="20"/>
                <w:szCs w:val="20"/>
                <w:lang w:val="hy-AM"/>
              </w:rPr>
            </w:pPr>
            <w:r w:rsidRPr="0053423A">
              <w:rPr>
                <w:b/>
                <w:sz w:val="20"/>
                <w:szCs w:val="20"/>
                <w:lang w:val="hy-AM"/>
              </w:rPr>
              <w:t>1.2.առկա խնդիրների առաջարկվող լուծումները</w:t>
            </w:r>
          </w:p>
          <w:p w:rsidR="00154773" w:rsidRPr="0053423A" w:rsidRDefault="00154773" w:rsidP="00154773">
            <w:pPr>
              <w:ind w:firstLine="284"/>
              <w:contextualSpacing/>
              <w:jc w:val="both"/>
              <w:rPr>
                <w:sz w:val="20"/>
                <w:szCs w:val="20"/>
                <w:highlight w:val="yellow"/>
                <w:lang w:val="hy-AM"/>
              </w:rPr>
            </w:pPr>
          </w:p>
          <w:p w:rsidR="00154773" w:rsidRPr="0053423A" w:rsidRDefault="00154773" w:rsidP="00154773">
            <w:pPr>
              <w:ind w:firstLine="284"/>
              <w:contextualSpacing/>
              <w:jc w:val="both"/>
              <w:rPr>
                <w:rFonts w:cs="Sylfaen"/>
                <w:sz w:val="20"/>
                <w:szCs w:val="20"/>
                <w:lang w:val="af-ZA"/>
              </w:rPr>
            </w:pPr>
            <w:r w:rsidRPr="0053423A">
              <w:rPr>
                <w:sz w:val="20"/>
                <w:szCs w:val="20"/>
                <w:lang w:val="af-ZA"/>
              </w:rPr>
              <w:t xml:space="preserve">Հանրակրթության պետական չափորոշչի պահանջների վերանայում՝ </w:t>
            </w:r>
            <w:r w:rsidRPr="0053423A">
              <w:rPr>
                <w:color w:val="000000" w:themeColor="text1"/>
                <w:sz w:val="20"/>
                <w:szCs w:val="20"/>
                <w:lang w:val="hy-AM"/>
              </w:rPr>
              <w:t>հանրակրթական հիմնական ծրագրերի բովանդակության սահմանված պարտադիր նվազագույնը, առավելագույն ծավալը, հանրակրթական դպրոցի շրջանավարտին ներկայացվող ընդհանրական պահանջները վերանայելու, բարելավելու նպատակով</w:t>
            </w:r>
            <w:r w:rsidRPr="0053423A">
              <w:rPr>
                <w:color w:val="000000" w:themeColor="text1"/>
                <w:sz w:val="20"/>
                <w:szCs w:val="20"/>
                <w:lang w:val="af-ZA"/>
              </w:rPr>
              <w:t>:</w:t>
            </w:r>
          </w:p>
          <w:p w:rsidR="00154773" w:rsidRPr="0053423A" w:rsidRDefault="00154773" w:rsidP="00154773">
            <w:pPr>
              <w:ind w:firstLine="284"/>
              <w:contextualSpacing/>
              <w:jc w:val="both"/>
              <w:rPr>
                <w:sz w:val="20"/>
                <w:szCs w:val="20"/>
                <w:lang w:val="af-ZA"/>
              </w:rPr>
            </w:pPr>
            <w:r w:rsidRPr="0053423A">
              <w:rPr>
                <w:sz w:val="20"/>
                <w:szCs w:val="20"/>
              </w:rPr>
              <w:t>Միջոցառումների</w:t>
            </w:r>
            <w:r w:rsidRPr="0053423A">
              <w:rPr>
                <w:sz w:val="20"/>
                <w:szCs w:val="20"/>
                <w:lang w:val="af-ZA"/>
              </w:rPr>
              <w:t xml:space="preserve"> </w:t>
            </w:r>
            <w:r w:rsidRPr="0053423A">
              <w:rPr>
                <w:sz w:val="20"/>
                <w:szCs w:val="20"/>
              </w:rPr>
              <w:t>իրականացմանը</w:t>
            </w:r>
            <w:r w:rsidRPr="0053423A">
              <w:rPr>
                <w:sz w:val="20"/>
                <w:szCs w:val="20"/>
                <w:lang w:val="af-ZA"/>
              </w:rPr>
              <w:t xml:space="preserve"> </w:t>
            </w:r>
            <w:r w:rsidRPr="0053423A">
              <w:rPr>
                <w:sz w:val="20"/>
                <w:szCs w:val="20"/>
              </w:rPr>
              <w:t>կաջակցեն</w:t>
            </w:r>
            <w:r w:rsidRPr="0053423A">
              <w:rPr>
                <w:sz w:val="20"/>
                <w:szCs w:val="20"/>
                <w:lang w:val="af-ZA"/>
              </w:rPr>
              <w:t xml:space="preserve"> </w:t>
            </w:r>
            <w:r w:rsidRPr="0053423A">
              <w:rPr>
                <w:sz w:val="20"/>
                <w:szCs w:val="20"/>
              </w:rPr>
              <w:t>ՀՀ</w:t>
            </w:r>
            <w:r w:rsidRPr="0053423A">
              <w:rPr>
                <w:sz w:val="20"/>
                <w:szCs w:val="20"/>
                <w:lang w:val="af-ZA"/>
              </w:rPr>
              <w:t xml:space="preserve"> </w:t>
            </w:r>
            <w:r w:rsidRPr="0053423A">
              <w:rPr>
                <w:sz w:val="20"/>
                <w:szCs w:val="20"/>
              </w:rPr>
              <w:t>Եվրամիությունը</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Համաշխարհային</w:t>
            </w:r>
            <w:r w:rsidRPr="0053423A">
              <w:rPr>
                <w:sz w:val="20"/>
                <w:szCs w:val="20"/>
                <w:lang w:val="af-ZA"/>
              </w:rPr>
              <w:t xml:space="preserve"> </w:t>
            </w:r>
            <w:r w:rsidRPr="0053423A">
              <w:rPr>
                <w:sz w:val="20"/>
                <w:szCs w:val="20"/>
              </w:rPr>
              <w:t>բանկը՝</w:t>
            </w:r>
            <w:r w:rsidRPr="0053423A">
              <w:rPr>
                <w:sz w:val="20"/>
                <w:szCs w:val="20"/>
                <w:lang w:val="af-ZA"/>
              </w:rPr>
              <w:t xml:space="preserve"> «</w:t>
            </w:r>
            <w:r w:rsidRPr="0053423A">
              <w:rPr>
                <w:sz w:val="20"/>
                <w:szCs w:val="20"/>
              </w:rPr>
              <w:t>Կրթության</w:t>
            </w:r>
            <w:r w:rsidRPr="0053423A">
              <w:rPr>
                <w:sz w:val="20"/>
                <w:szCs w:val="20"/>
                <w:lang w:val="af-ZA"/>
              </w:rPr>
              <w:t xml:space="preserve"> </w:t>
            </w:r>
            <w:r w:rsidRPr="0053423A">
              <w:rPr>
                <w:sz w:val="20"/>
                <w:szCs w:val="20"/>
              </w:rPr>
              <w:t>բարելավում</w:t>
            </w:r>
            <w:r w:rsidRPr="0053423A">
              <w:rPr>
                <w:sz w:val="20"/>
                <w:szCs w:val="20"/>
                <w:lang w:val="af-ZA"/>
              </w:rPr>
              <w:t xml:space="preserve">» </w:t>
            </w:r>
            <w:r w:rsidRPr="0053423A">
              <w:rPr>
                <w:sz w:val="20"/>
                <w:szCs w:val="20"/>
              </w:rPr>
              <w:t>ծրագրի</w:t>
            </w:r>
            <w:r w:rsidRPr="0053423A">
              <w:rPr>
                <w:sz w:val="20"/>
                <w:szCs w:val="20"/>
                <w:lang w:val="af-ZA"/>
              </w:rPr>
              <w:t xml:space="preserve"> </w:t>
            </w:r>
            <w:r w:rsidRPr="0053423A">
              <w:rPr>
                <w:sz w:val="20"/>
                <w:szCs w:val="20"/>
              </w:rPr>
              <w:t>շրջանակում</w:t>
            </w:r>
            <w:r w:rsidRPr="0053423A">
              <w:rPr>
                <w:sz w:val="20"/>
                <w:szCs w:val="20"/>
                <w:lang w:val="af-ZA"/>
              </w:rPr>
              <w:t>:</w:t>
            </w:r>
          </w:p>
          <w:p w:rsidR="00154773" w:rsidRPr="0053423A" w:rsidRDefault="00154773" w:rsidP="00154773">
            <w:pPr>
              <w:ind w:firstLine="284"/>
              <w:contextualSpacing/>
              <w:jc w:val="both"/>
              <w:rPr>
                <w:sz w:val="20"/>
                <w:szCs w:val="20"/>
                <w:lang w:val="af-ZA"/>
              </w:rPr>
            </w:pPr>
          </w:p>
          <w:p w:rsidR="00154773" w:rsidRPr="0053423A" w:rsidRDefault="00154773" w:rsidP="00154773">
            <w:pPr>
              <w:ind w:left="735"/>
              <w:contextualSpacing/>
              <w:jc w:val="both"/>
              <w:rPr>
                <w:rFonts w:eastAsia="Times New Roman" w:cs="Times New Roman"/>
                <w:b/>
                <w:sz w:val="20"/>
                <w:szCs w:val="20"/>
                <w:lang w:val="af-ZA"/>
              </w:rPr>
            </w:pPr>
            <w:r w:rsidRPr="0053423A">
              <w:rPr>
                <w:rFonts w:eastAsia="Times New Roman" w:cs="Times New Roman"/>
                <w:b/>
                <w:sz w:val="20"/>
                <w:szCs w:val="20"/>
                <w:lang w:val="af-ZA"/>
              </w:rPr>
              <w:t xml:space="preserve">2. </w:t>
            </w:r>
            <w:r w:rsidRPr="0053423A">
              <w:rPr>
                <w:rFonts w:eastAsia="Times New Roman" w:cs="Times New Roman"/>
                <w:b/>
                <w:sz w:val="20"/>
                <w:szCs w:val="20"/>
                <w:lang w:val="hy-AM"/>
              </w:rPr>
              <w:t>Միջոցառման իրականացումից ակնկալվող արդյունքը</w:t>
            </w:r>
          </w:p>
          <w:p w:rsidR="00154773" w:rsidRPr="0053423A" w:rsidRDefault="00154773" w:rsidP="00154773">
            <w:pPr>
              <w:ind w:left="284"/>
              <w:contextualSpacing/>
              <w:jc w:val="both"/>
              <w:rPr>
                <w:b/>
                <w:sz w:val="20"/>
                <w:szCs w:val="20"/>
                <w:lang w:val="af-ZA"/>
              </w:rPr>
            </w:pPr>
          </w:p>
          <w:p w:rsidR="00154773" w:rsidRPr="0053423A" w:rsidRDefault="00154773" w:rsidP="00154773">
            <w:pPr>
              <w:ind w:firstLine="360"/>
              <w:jc w:val="both"/>
              <w:rPr>
                <w:color w:val="000000" w:themeColor="text1"/>
                <w:sz w:val="20"/>
                <w:szCs w:val="20"/>
                <w:lang w:val="af-ZA"/>
              </w:rPr>
            </w:pPr>
            <w:r w:rsidRPr="0053423A">
              <w:rPr>
                <w:color w:val="000000" w:themeColor="text1"/>
                <w:sz w:val="20"/>
                <w:szCs w:val="20"/>
                <w:lang w:val="af-ZA"/>
              </w:rPr>
              <w:t>Հ</w:t>
            </w:r>
            <w:r w:rsidRPr="0053423A">
              <w:rPr>
                <w:color w:val="000000" w:themeColor="text1"/>
                <w:sz w:val="20"/>
                <w:szCs w:val="20"/>
                <w:lang w:val="hy-AM"/>
              </w:rPr>
              <w:t>անրակրթական հիմնական ծրագրերի բովանդակությ</w:t>
            </w:r>
            <w:r w:rsidRPr="0053423A">
              <w:rPr>
                <w:color w:val="000000" w:themeColor="text1"/>
                <w:sz w:val="20"/>
                <w:szCs w:val="20"/>
              </w:rPr>
              <w:t>ան</w:t>
            </w:r>
            <w:r w:rsidRPr="0053423A">
              <w:rPr>
                <w:color w:val="000000" w:themeColor="text1"/>
                <w:sz w:val="20"/>
                <w:szCs w:val="20"/>
                <w:lang w:val="af-ZA"/>
              </w:rPr>
              <w:t xml:space="preserve">, </w:t>
            </w:r>
            <w:r w:rsidRPr="0053423A">
              <w:rPr>
                <w:color w:val="000000" w:themeColor="text1"/>
                <w:sz w:val="20"/>
                <w:szCs w:val="20"/>
              </w:rPr>
              <w:t>դրա</w:t>
            </w:r>
            <w:r w:rsidRPr="0053423A">
              <w:rPr>
                <w:color w:val="000000" w:themeColor="text1"/>
                <w:sz w:val="20"/>
                <w:szCs w:val="20"/>
                <w:lang w:val="af-ZA"/>
              </w:rPr>
              <w:t xml:space="preserve"> </w:t>
            </w:r>
            <w:r w:rsidRPr="0053423A">
              <w:rPr>
                <w:color w:val="000000" w:themeColor="text1"/>
                <w:sz w:val="20"/>
                <w:szCs w:val="20"/>
              </w:rPr>
              <w:t>սահմանված</w:t>
            </w:r>
            <w:r w:rsidRPr="0053423A">
              <w:rPr>
                <w:color w:val="000000" w:themeColor="text1"/>
                <w:sz w:val="20"/>
                <w:szCs w:val="20"/>
                <w:lang w:val="af-ZA"/>
              </w:rPr>
              <w:t xml:space="preserve"> </w:t>
            </w:r>
            <w:r w:rsidRPr="0053423A">
              <w:rPr>
                <w:color w:val="000000" w:themeColor="text1"/>
                <w:sz w:val="20"/>
                <w:szCs w:val="20"/>
              </w:rPr>
              <w:t>նվազագույն</w:t>
            </w:r>
            <w:r w:rsidRPr="0053423A">
              <w:rPr>
                <w:color w:val="000000" w:themeColor="text1"/>
                <w:sz w:val="20"/>
                <w:szCs w:val="20"/>
                <w:lang w:val="af-ZA"/>
              </w:rPr>
              <w:t xml:space="preserve">  </w:t>
            </w:r>
            <w:r w:rsidRPr="0053423A">
              <w:rPr>
                <w:color w:val="000000" w:themeColor="text1"/>
                <w:sz w:val="20"/>
                <w:szCs w:val="20"/>
              </w:rPr>
              <w:t>և</w:t>
            </w:r>
            <w:r w:rsidRPr="0053423A">
              <w:rPr>
                <w:color w:val="000000" w:themeColor="text1"/>
                <w:sz w:val="20"/>
                <w:szCs w:val="20"/>
                <w:lang w:val="af-ZA"/>
              </w:rPr>
              <w:t xml:space="preserve"> </w:t>
            </w:r>
            <w:r w:rsidRPr="0053423A">
              <w:rPr>
                <w:color w:val="000000" w:themeColor="text1"/>
                <w:sz w:val="20"/>
                <w:szCs w:val="20"/>
              </w:rPr>
              <w:t>առավելագույն</w:t>
            </w:r>
            <w:r w:rsidRPr="0053423A">
              <w:rPr>
                <w:color w:val="000000" w:themeColor="text1"/>
                <w:sz w:val="20"/>
                <w:szCs w:val="20"/>
                <w:lang w:val="af-ZA"/>
              </w:rPr>
              <w:t xml:space="preserve"> </w:t>
            </w:r>
            <w:r w:rsidRPr="0053423A">
              <w:rPr>
                <w:color w:val="000000" w:themeColor="text1"/>
                <w:sz w:val="20"/>
                <w:szCs w:val="20"/>
              </w:rPr>
              <w:t>ծավալի</w:t>
            </w:r>
            <w:r w:rsidRPr="0053423A">
              <w:rPr>
                <w:color w:val="000000" w:themeColor="text1"/>
                <w:sz w:val="20"/>
                <w:szCs w:val="20"/>
                <w:lang w:val="af-ZA"/>
              </w:rPr>
              <w:t xml:space="preserve"> </w:t>
            </w:r>
            <w:r w:rsidRPr="0053423A">
              <w:rPr>
                <w:color w:val="000000" w:themeColor="text1"/>
                <w:sz w:val="20"/>
                <w:szCs w:val="20"/>
              </w:rPr>
              <w:t>համապատասխանեցում</w:t>
            </w:r>
            <w:r w:rsidRPr="0053423A">
              <w:rPr>
                <w:color w:val="000000" w:themeColor="text1"/>
                <w:sz w:val="20"/>
                <w:szCs w:val="20"/>
                <w:lang w:val="af-ZA"/>
              </w:rPr>
              <w:t xml:space="preserve"> արդի ոլորտի գիտակցական պատկերացումներին:</w:t>
            </w:r>
          </w:p>
          <w:p w:rsidR="00154773" w:rsidRPr="0053423A" w:rsidRDefault="00154773" w:rsidP="00154773">
            <w:pPr>
              <w:jc w:val="center"/>
              <w:rPr>
                <w:rFonts w:eastAsia="Times New Roman" w:cs="Times New Roman"/>
                <w:b/>
                <w:sz w:val="20"/>
                <w:szCs w:val="20"/>
                <w:lang w:val="af-ZA"/>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jc w:val="center"/>
              <w:rPr>
                <w:rFonts w:eastAsia="Calibri" w:cs="Sylfaen"/>
                <w:b/>
                <w:noProof/>
                <w:sz w:val="20"/>
                <w:szCs w:val="20"/>
                <w:u w:val="single"/>
                <w:lang w:val="af-ZA"/>
              </w:rPr>
            </w:pPr>
            <w:r w:rsidRPr="0053423A">
              <w:rPr>
                <w:rFonts w:eastAsia="Times New Roman" w:cs="Times New Roman"/>
                <w:b/>
                <w:sz w:val="20"/>
                <w:szCs w:val="20"/>
                <w:u w:val="single"/>
                <w:lang w:val="hy-AM"/>
              </w:rPr>
              <w:t>8.2 Առարկայական ծրագրերի մշակում և հաստատում</w:t>
            </w:r>
          </w:p>
          <w:p w:rsidR="00154773" w:rsidRPr="0053423A" w:rsidRDefault="00154773" w:rsidP="00154773">
            <w:pPr>
              <w:rPr>
                <w:rFonts w:eastAsia="Calibri" w:cs="Sylfaen"/>
                <w:b/>
                <w:noProof/>
                <w:sz w:val="20"/>
                <w:szCs w:val="20"/>
                <w:u w:val="single"/>
                <w:lang w:val="af-ZA"/>
              </w:rPr>
            </w:pPr>
          </w:p>
          <w:p w:rsidR="00154773" w:rsidRPr="0053423A" w:rsidRDefault="00154773" w:rsidP="00154773">
            <w:pPr>
              <w:ind w:left="284"/>
              <w:contextualSpacing/>
              <w:jc w:val="both"/>
              <w:rPr>
                <w:rFonts w:eastAsia="Calibri" w:cs="Sylfaen"/>
                <w:b/>
                <w:sz w:val="20"/>
                <w:szCs w:val="20"/>
                <w:lang w:val="af-ZA"/>
              </w:rPr>
            </w:pPr>
            <w:r w:rsidRPr="0053423A">
              <w:rPr>
                <w:rFonts w:eastAsia="Calibri" w:cs="Sylfaen"/>
                <w:b/>
                <w:sz w:val="20"/>
                <w:szCs w:val="20"/>
                <w:lang w:val="hy-AM"/>
              </w:rPr>
              <w:t>1.Միջոցառման իրականացման</w:t>
            </w:r>
            <w:r w:rsidRPr="0053423A">
              <w:rPr>
                <w:rFonts w:eastAsia="Calibri" w:cs="Sylfaen"/>
                <w:b/>
                <w:sz w:val="20"/>
                <w:szCs w:val="20"/>
                <w:lang w:val="af-ZA"/>
              </w:rPr>
              <w:t xml:space="preserve"> </w:t>
            </w:r>
            <w:r w:rsidRPr="0053423A">
              <w:rPr>
                <w:rFonts w:eastAsia="Calibri" w:cs="Sylfaen"/>
                <w:b/>
                <w:sz w:val="20"/>
                <w:szCs w:val="20"/>
                <w:lang w:val="hy-AM"/>
              </w:rPr>
              <w:t>անհրաժեշտությունը</w:t>
            </w:r>
            <w:r w:rsidRPr="0053423A">
              <w:rPr>
                <w:rFonts w:eastAsia="Calibri"/>
                <w:b/>
                <w:sz w:val="20"/>
                <w:szCs w:val="20"/>
                <w:lang w:val="af-ZA"/>
              </w:rPr>
              <w:t xml:space="preserve"> </w:t>
            </w:r>
            <w:r w:rsidRPr="0053423A">
              <w:rPr>
                <w:rFonts w:eastAsia="Calibri"/>
                <w:b/>
                <w:sz w:val="20"/>
                <w:szCs w:val="20"/>
                <w:lang w:val="hy-AM"/>
              </w:rPr>
              <w:t xml:space="preserve">և </w:t>
            </w:r>
            <w:r w:rsidRPr="0053423A">
              <w:rPr>
                <w:rFonts w:eastAsia="Calibri" w:cs="Sylfaen"/>
                <w:b/>
                <w:sz w:val="20"/>
                <w:szCs w:val="20"/>
                <w:lang w:val="hy-AM"/>
              </w:rPr>
              <w:t>նպատակը</w:t>
            </w:r>
          </w:p>
          <w:p w:rsidR="00154773" w:rsidRPr="0053423A" w:rsidRDefault="00154773" w:rsidP="00154773">
            <w:pPr>
              <w:ind w:left="284"/>
              <w:contextualSpacing/>
              <w:jc w:val="both"/>
              <w:rPr>
                <w:rFonts w:eastAsia="Calibri" w:cs="Sylfaen"/>
                <w:b/>
                <w:sz w:val="20"/>
                <w:szCs w:val="20"/>
                <w:lang w:val="af-ZA"/>
              </w:rPr>
            </w:pPr>
          </w:p>
          <w:p w:rsidR="00154773" w:rsidRPr="0053423A" w:rsidRDefault="00154773" w:rsidP="00154773">
            <w:pPr>
              <w:ind w:left="284"/>
              <w:contextualSpacing/>
              <w:jc w:val="both"/>
              <w:rPr>
                <w:rFonts w:eastAsia="Calibri"/>
                <w:b/>
                <w:sz w:val="20"/>
                <w:szCs w:val="20"/>
                <w:lang w:val="af-ZA"/>
              </w:rPr>
            </w:pPr>
          </w:p>
          <w:p w:rsidR="00154773" w:rsidRPr="0053423A" w:rsidRDefault="00154773" w:rsidP="00154773">
            <w:pPr>
              <w:ind w:firstLine="284"/>
              <w:contextualSpacing/>
              <w:jc w:val="both"/>
              <w:rPr>
                <w:spacing w:val="-4"/>
                <w:sz w:val="20"/>
                <w:szCs w:val="20"/>
                <w:lang w:val="af-ZA"/>
              </w:rPr>
            </w:pPr>
            <w:r w:rsidRPr="0053423A">
              <w:rPr>
                <w:spacing w:val="-4"/>
                <w:sz w:val="20"/>
                <w:szCs w:val="20"/>
              </w:rPr>
              <w:t>Միջոցառման</w:t>
            </w:r>
            <w:r w:rsidRPr="0053423A">
              <w:rPr>
                <w:spacing w:val="-4"/>
                <w:sz w:val="20"/>
                <w:szCs w:val="20"/>
                <w:lang w:val="af-ZA"/>
              </w:rPr>
              <w:t xml:space="preserve"> </w:t>
            </w:r>
            <w:r w:rsidRPr="0053423A">
              <w:rPr>
                <w:spacing w:val="-4"/>
                <w:sz w:val="20"/>
                <w:szCs w:val="20"/>
              </w:rPr>
              <w:t>գլխավոր</w:t>
            </w:r>
            <w:r w:rsidRPr="0053423A">
              <w:rPr>
                <w:spacing w:val="-4"/>
                <w:sz w:val="20"/>
                <w:szCs w:val="20"/>
                <w:lang w:val="af-ZA"/>
              </w:rPr>
              <w:t xml:space="preserve"> </w:t>
            </w:r>
            <w:r w:rsidRPr="0053423A">
              <w:rPr>
                <w:spacing w:val="-4"/>
                <w:sz w:val="20"/>
                <w:szCs w:val="20"/>
              </w:rPr>
              <w:t>նպատակն</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կրթական</w:t>
            </w:r>
            <w:r w:rsidRPr="0053423A">
              <w:rPr>
                <w:spacing w:val="-4"/>
                <w:sz w:val="20"/>
                <w:szCs w:val="20"/>
                <w:lang w:val="af-ZA"/>
              </w:rPr>
              <w:t xml:space="preserve"> </w:t>
            </w:r>
            <w:r w:rsidRPr="0053423A">
              <w:rPr>
                <w:spacing w:val="-4"/>
                <w:sz w:val="20"/>
                <w:szCs w:val="20"/>
              </w:rPr>
              <w:t>ծրագրերի</w:t>
            </w:r>
            <w:r w:rsidRPr="0053423A">
              <w:rPr>
                <w:spacing w:val="-4"/>
                <w:sz w:val="20"/>
                <w:szCs w:val="20"/>
                <w:lang w:val="af-ZA"/>
              </w:rPr>
              <w:t xml:space="preserve"> </w:t>
            </w:r>
            <w:r w:rsidRPr="0053423A">
              <w:rPr>
                <w:spacing w:val="-4"/>
                <w:sz w:val="20"/>
                <w:szCs w:val="20"/>
              </w:rPr>
              <w:t>արդիականացումը՝</w:t>
            </w:r>
            <w:r w:rsidRPr="0053423A">
              <w:rPr>
                <w:spacing w:val="-4"/>
                <w:sz w:val="20"/>
                <w:szCs w:val="20"/>
                <w:lang w:val="af-ZA"/>
              </w:rPr>
              <w:t xml:space="preserve"> </w:t>
            </w:r>
            <w:r w:rsidRPr="0053423A">
              <w:rPr>
                <w:spacing w:val="-4"/>
                <w:sz w:val="20"/>
                <w:szCs w:val="20"/>
              </w:rPr>
              <w:t>ուղղված</w:t>
            </w:r>
            <w:r w:rsidRPr="0053423A">
              <w:rPr>
                <w:spacing w:val="-4"/>
                <w:sz w:val="20"/>
                <w:szCs w:val="20"/>
                <w:lang w:val="af-ZA"/>
              </w:rPr>
              <w:t xml:space="preserve"> </w:t>
            </w:r>
            <w:r w:rsidRPr="0053423A">
              <w:rPr>
                <w:spacing w:val="-4"/>
                <w:sz w:val="20"/>
                <w:szCs w:val="20"/>
              </w:rPr>
              <w:t>տնտեսության</w:t>
            </w:r>
            <w:r w:rsidRPr="0053423A">
              <w:rPr>
                <w:spacing w:val="-4"/>
                <w:sz w:val="20"/>
                <w:szCs w:val="20"/>
                <w:lang w:val="af-ZA"/>
              </w:rPr>
              <w:t xml:space="preserve"> </w:t>
            </w:r>
            <w:r w:rsidRPr="0053423A">
              <w:rPr>
                <w:spacing w:val="-4"/>
                <w:sz w:val="20"/>
                <w:szCs w:val="20"/>
              </w:rPr>
              <w:t>և</w:t>
            </w:r>
            <w:r w:rsidRPr="0053423A">
              <w:rPr>
                <w:spacing w:val="-4"/>
                <w:sz w:val="20"/>
                <w:szCs w:val="20"/>
                <w:lang w:val="af-ZA"/>
              </w:rPr>
              <w:t xml:space="preserve"> </w:t>
            </w:r>
            <w:r w:rsidRPr="0053423A">
              <w:rPr>
                <w:spacing w:val="-4"/>
                <w:sz w:val="20"/>
                <w:szCs w:val="20"/>
              </w:rPr>
              <w:t>աշխատաշուկայի</w:t>
            </w:r>
            <w:r w:rsidRPr="0053423A">
              <w:rPr>
                <w:spacing w:val="-4"/>
                <w:sz w:val="20"/>
                <w:szCs w:val="20"/>
                <w:lang w:val="af-ZA"/>
              </w:rPr>
              <w:t xml:space="preserve"> </w:t>
            </w:r>
            <w:r w:rsidRPr="0053423A">
              <w:rPr>
                <w:spacing w:val="-4"/>
                <w:sz w:val="20"/>
                <w:szCs w:val="20"/>
              </w:rPr>
              <w:t>փոփոխվող</w:t>
            </w:r>
            <w:r w:rsidRPr="0053423A">
              <w:rPr>
                <w:spacing w:val="-4"/>
                <w:sz w:val="20"/>
                <w:szCs w:val="20"/>
                <w:lang w:val="af-ZA"/>
              </w:rPr>
              <w:t xml:space="preserve"> </w:t>
            </w:r>
            <w:r w:rsidRPr="0053423A">
              <w:rPr>
                <w:spacing w:val="-4"/>
                <w:sz w:val="20"/>
                <w:szCs w:val="20"/>
              </w:rPr>
              <w:t>պահանջներին</w:t>
            </w:r>
            <w:r w:rsidRPr="0053423A">
              <w:rPr>
                <w:spacing w:val="-4"/>
                <w:sz w:val="20"/>
                <w:szCs w:val="20"/>
                <w:lang w:val="af-ZA"/>
              </w:rPr>
              <w:t>:</w:t>
            </w:r>
          </w:p>
          <w:p w:rsidR="00154773" w:rsidRPr="0053423A" w:rsidRDefault="00154773" w:rsidP="00154773">
            <w:pPr>
              <w:jc w:val="both"/>
              <w:rPr>
                <w:rFonts w:eastAsia="Calibri" w:cs="Sylfaen"/>
                <w:sz w:val="20"/>
                <w:szCs w:val="20"/>
                <w:lang w:val="af-ZA"/>
              </w:rPr>
            </w:pPr>
            <w:r w:rsidRPr="0053423A">
              <w:rPr>
                <w:spacing w:val="-4"/>
                <w:sz w:val="20"/>
                <w:szCs w:val="20"/>
                <w:lang w:val="af-ZA"/>
              </w:rPr>
              <w:t xml:space="preserve">   </w:t>
            </w:r>
            <w:r w:rsidRPr="0053423A">
              <w:rPr>
                <w:spacing w:val="-4"/>
                <w:sz w:val="20"/>
                <w:szCs w:val="20"/>
              </w:rPr>
              <w:t>Միջոցառումների</w:t>
            </w:r>
            <w:r w:rsidRPr="0053423A">
              <w:rPr>
                <w:spacing w:val="-4"/>
                <w:sz w:val="20"/>
                <w:szCs w:val="20"/>
                <w:lang w:val="af-ZA"/>
              </w:rPr>
              <w:t xml:space="preserve"> </w:t>
            </w:r>
            <w:r w:rsidRPr="0053423A">
              <w:rPr>
                <w:spacing w:val="-4"/>
                <w:sz w:val="20"/>
                <w:szCs w:val="20"/>
              </w:rPr>
              <w:t>անհրաժեշտությունը</w:t>
            </w:r>
            <w:r w:rsidRPr="0053423A">
              <w:rPr>
                <w:spacing w:val="-4"/>
                <w:sz w:val="20"/>
                <w:szCs w:val="20"/>
                <w:lang w:val="af-ZA"/>
              </w:rPr>
              <w:t xml:space="preserve"> </w:t>
            </w:r>
            <w:r w:rsidRPr="0053423A">
              <w:rPr>
                <w:spacing w:val="-4"/>
                <w:sz w:val="20"/>
                <w:szCs w:val="20"/>
              </w:rPr>
              <w:t>բխում</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ԱԺ</w:t>
            </w:r>
            <w:r w:rsidRPr="0053423A">
              <w:rPr>
                <w:spacing w:val="-4"/>
                <w:sz w:val="20"/>
                <w:szCs w:val="20"/>
                <w:lang w:val="af-ZA"/>
              </w:rPr>
              <w:t xml:space="preserve"> 2019 </w:t>
            </w:r>
            <w:r w:rsidRPr="0053423A">
              <w:rPr>
                <w:spacing w:val="-4"/>
                <w:sz w:val="20"/>
                <w:szCs w:val="20"/>
              </w:rPr>
              <w:t>թվականի</w:t>
            </w:r>
            <w:r w:rsidRPr="0053423A">
              <w:rPr>
                <w:spacing w:val="-4"/>
                <w:sz w:val="20"/>
                <w:szCs w:val="20"/>
                <w:lang w:val="af-ZA"/>
              </w:rPr>
              <w:t xml:space="preserve"> </w:t>
            </w:r>
            <w:r w:rsidRPr="0053423A">
              <w:rPr>
                <w:spacing w:val="-4"/>
                <w:sz w:val="20"/>
                <w:szCs w:val="20"/>
              </w:rPr>
              <w:t>փետրվարի</w:t>
            </w:r>
            <w:r w:rsidRPr="0053423A">
              <w:rPr>
                <w:spacing w:val="-4"/>
                <w:sz w:val="20"/>
                <w:szCs w:val="20"/>
                <w:lang w:val="af-ZA"/>
              </w:rPr>
              <w:t xml:space="preserve"> 14-</w:t>
            </w:r>
            <w:r w:rsidRPr="0053423A">
              <w:rPr>
                <w:spacing w:val="-4"/>
                <w:sz w:val="20"/>
                <w:szCs w:val="20"/>
              </w:rPr>
              <w:t>ի</w:t>
            </w:r>
            <w:r w:rsidRPr="0053423A">
              <w:rPr>
                <w:spacing w:val="-4"/>
                <w:sz w:val="20"/>
                <w:szCs w:val="20"/>
                <w:lang w:val="af-ZA"/>
              </w:rPr>
              <w:t xml:space="preserve"> </w:t>
            </w:r>
            <w:r w:rsidRPr="0053423A">
              <w:rPr>
                <w:spacing w:val="-4"/>
                <w:sz w:val="20"/>
                <w:szCs w:val="20"/>
              </w:rPr>
              <w:t>ԱԺՈ</w:t>
            </w:r>
            <w:r w:rsidRPr="0053423A">
              <w:rPr>
                <w:spacing w:val="-4"/>
                <w:sz w:val="20"/>
                <w:szCs w:val="20"/>
                <w:lang w:val="af-ZA"/>
              </w:rPr>
              <w:t>-002-</w:t>
            </w:r>
            <w:r w:rsidRPr="0053423A">
              <w:rPr>
                <w:spacing w:val="-4"/>
                <w:sz w:val="20"/>
                <w:szCs w:val="20"/>
              </w:rPr>
              <w:t>Ն</w:t>
            </w:r>
            <w:r w:rsidRPr="0053423A">
              <w:rPr>
                <w:spacing w:val="-4"/>
                <w:sz w:val="20"/>
                <w:szCs w:val="20"/>
                <w:lang w:val="af-ZA"/>
              </w:rPr>
              <w:t xml:space="preserve"> </w:t>
            </w:r>
            <w:r w:rsidRPr="0053423A">
              <w:rPr>
                <w:spacing w:val="-4"/>
                <w:sz w:val="20"/>
                <w:szCs w:val="20"/>
              </w:rPr>
              <w:t>որոշմամբ</w:t>
            </w:r>
            <w:r w:rsidRPr="0053423A">
              <w:rPr>
                <w:spacing w:val="-4"/>
                <w:sz w:val="20"/>
                <w:szCs w:val="20"/>
                <w:lang w:val="af-ZA"/>
              </w:rPr>
              <w:t xml:space="preserve"> </w:t>
            </w:r>
            <w:r w:rsidRPr="0053423A">
              <w:rPr>
                <w:spacing w:val="-4"/>
                <w:sz w:val="20"/>
                <w:szCs w:val="20"/>
              </w:rPr>
              <w:t>հավանության</w:t>
            </w:r>
            <w:r w:rsidRPr="0053423A">
              <w:rPr>
                <w:spacing w:val="-4"/>
                <w:sz w:val="20"/>
                <w:szCs w:val="20"/>
                <w:lang w:val="af-ZA"/>
              </w:rPr>
              <w:t xml:space="preserve"> </w:t>
            </w:r>
            <w:r w:rsidRPr="0053423A">
              <w:rPr>
                <w:spacing w:val="-4"/>
                <w:sz w:val="20"/>
                <w:szCs w:val="20"/>
              </w:rPr>
              <w:t>արժանացած</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կառավարության</w:t>
            </w:r>
            <w:r w:rsidRPr="0053423A">
              <w:rPr>
                <w:spacing w:val="-4"/>
                <w:sz w:val="20"/>
                <w:szCs w:val="20"/>
                <w:lang w:val="af-ZA"/>
              </w:rPr>
              <w:t xml:space="preserve"> </w:t>
            </w:r>
            <w:r w:rsidRPr="0053423A">
              <w:rPr>
                <w:spacing w:val="-4"/>
                <w:sz w:val="20"/>
                <w:szCs w:val="20"/>
              </w:rPr>
              <w:t>ծրագրի</w:t>
            </w:r>
            <w:r w:rsidRPr="0053423A">
              <w:rPr>
                <w:spacing w:val="-4"/>
                <w:sz w:val="20"/>
                <w:szCs w:val="20"/>
                <w:lang w:val="af-ZA"/>
              </w:rPr>
              <w:t xml:space="preserve"> </w:t>
            </w:r>
            <w:r w:rsidRPr="0053423A">
              <w:rPr>
                <w:rFonts w:eastAsia="Times New Roman" w:cs="Times New Roman"/>
                <w:sz w:val="20"/>
                <w:szCs w:val="20"/>
                <w:lang w:val="af-ZA"/>
              </w:rPr>
              <w:t>«</w:t>
            </w:r>
            <w:r w:rsidRPr="0053423A">
              <w:rPr>
                <w:spacing w:val="-4"/>
                <w:sz w:val="20"/>
                <w:szCs w:val="20"/>
                <w:lang w:val="af-ZA"/>
              </w:rPr>
              <w:t xml:space="preserve">4.4 </w:t>
            </w:r>
            <w:r w:rsidRPr="0053423A">
              <w:rPr>
                <w:spacing w:val="-4"/>
                <w:sz w:val="20"/>
                <w:szCs w:val="20"/>
              </w:rPr>
              <w:t>ԿՐԹՈՒԹՅՈՒՆ</w:t>
            </w:r>
            <w:r w:rsidRPr="0053423A">
              <w:rPr>
                <w:spacing w:val="-4"/>
                <w:sz w:val="20"/>
                <w:szCs w:val="20"/>
                <w:lang w:val="af-ZA"/>
              </w:rPr>
              <w:t xml:space="preserve"> </w:t>
            </w:r>
            <w:r w:rsidRPr="0053423A">
              <w:rPr>
                <w:spacing w:val="-4"/>
                <w:sz w:val="20"/>
                <w:szCs w:val="20"/>
              </w:rPr>
              <w:t>ԵՎ</w:t>
            </w:r>
            <w:r w:rsidRPr="0053423A">
              <w:rPr>
                <w:spacing w:val="-4"/>
                <w:sz w:val="20"/>
                <w:szCs w:val="20"/>
                <w:lang w:val="af-ZA"/>
              </w:rPr>
              <w:t xml:space="preserve"> </w:t>
            </w:r>
            <w:r w:rsidRPr="0053423A">
              <w:rPr>
                <w:spacing w:val="-4"/>
                <w:sz w:val="20"/>
                <w:szCs w:val="20"/>
              </w:rPr>
              <w:t>ԳԻՏՈՒԹՅՈՒՆ</w:t>
            </w:r>
            <w:r w:rsidRPr="0053423A">
              <w:rPr>
                <w:rFonts w:eastAsia="Times New Roman" w:cs="Times New Roman"/>
                <w:sz w:val="20"/>
                <w:szCs w:val="20"/>
                <w:lang w:val="af-ZA"/>
              </w:rPr>
              <w:t xml:space="preserve">»  </w:t>
            </w:r>
            <w:r w:rsidRPr="0053423A">
              <w:rPr>
                <w:rFonts w:eastAsia="Calibri" w:cs="Sylfaen"/>
                <w:sz w:val="20"/>
                <w:szCs w:val="20"/>
                <w:lang w:val="hy-AM"/>
              </w:rPr>
              <w:t>բաժնի</w:t>
            </w:r>
            <w:r w:rsidRPr="0053423A">
              <w:rPr>
                <w:rFonts w:eastAsia="Calibri" w:cs="Sylfaen"/>
                <w:sz w:val="20"/>
                <w:szCs w:val="20"/>
                <w:lang w:val="af-ZA"/>
              </w:rPr>
              <w:t xml:space="preserve"> </w:t>
            </w:r>
            <w:r w:rsidRPr="0053423A">
              <w:rPr>
                <w:rFonts w:eastAsia="Calibri" w:cs="Sylfaen"/>
                <w:sz w:val="20"/>
                <w:szCs w:val="20"/>
                <w:lang w:val="hy-AM"/>
              </w:rPr>
              <w:t>3-րդ պարբերության և հանրակրթության ոլորտի 6-րդ կետի պահանջներից</w:t>
            </w:r>
            <w:r w:rsidRPr="0053423A">
              <w:rPr>
                <w:rFonts w:eastAsia="Calibri" w:cs="Sylfaen"/>
                <w:sz w:val="20"/>
                <w:szCs w:val="20"/>
                <w:lang w:val="af-ZA"/>
              </w:rPr>
              <w:t>:</w:t>
            </w:r>
          </w:p>
          <w:p w:rsidR="00154773" w:rsidRPr="0053423A" w:rsidRDefault="00154773" w:rsidP="00154773">
            <w:pPr>
              <w:jc w:val="both"/>
              <w:rPr>
                <w:rFonts w:eastAsia="Calibri" w:cs="Sylfaen"/>
                <w:sz w:val="20"/>
                <w:szCs w:val="20"/>
                <w:lang w:val="af-ZA"/>
              </w:rPr>
            </w:pPr>
            <w:r w:rsidRPr="0053423A">
              <w:rPr>
                <w:rFonts w:eastAsia="Calibri" w:cs="Sylfaen"/>
                <w:sz w:val="20"/>
                <w:szCs w:val="20"/>
                <w:lang w:val="af-ZA"/>
              </w:rPr>
              <w:t xml:space="preserve">  </w:t>
            </w:r>
            <w:r w:rsidRPr="0053423A">
              <w:rPr>
                <w:rFonts w:eastAsia="Calibri" w:cs="Sylfaen"/>
                <w:noProof/>
                <w:color w:val="000000" w:themeColor="text1"/>
                <w:sz w:val="20"/>
                <w:szCs w:val="20"/>
                <w:lang w:val="hy-AM"/>
              </w:rPr>
              <w:t>Կրթության բովանդակության համապատասխանության,  համաշխարհային մանկավարժական նորօրյա ձեռքբերումների արձանագրման նպատակով  անհրաժեշտ է փոփոխություններ իրականացնել գործող ծրագրերում</w:t>
            </w:r>
            <w:r w:rsidRPr="0053423A">
              <w:rPr>
                <w:rFonts w:eastAsia="Calibri" w:cs="Sylfaen"/>
                <w:noProof/>
                <w:color w:val="000000" w:themeColor="text1"/>
                <w:sz w:val="20"/>
                <w:szCs w:val="20"/>
                <w:lang w:val="af-ZA"/>
              </w:rPr>
              <w:t>:</w:t>
            </w:r>
          </w:p>
          <w:p w:rsidR="00154773" w:rsidRPr="0053423A" w:rsidRDefault="00154773" w:rsidP="00154773">
            <w:pPr>
              <w:rPr>
                <w:rFonts w:eastAsia="Calibri" w:cs="Sylfaen"/>
                <w:b/>
                <w:noProof/>
                <w:sz w:val="20"/>
                <w:szCs w:val="20"/>
                <w:u w:val="single"/>
                <w:lang w:val="af-ZA"/>
              </w:rPr>
            </w:pPr>
          </w:p>
          <w:p w:rsidR="00154773" w:rsidRPr="0053423A" w:rsidRDefault="00154773" w:rsidP="00154773">
            <w:pPr>
              <w:ind w:left="284"/>
              <w:contextualSpacing/>
              <w:jc w:val="both"/>
              <w:rPr>
                <w:rFonts w:eastAsia="Calibri" w:cs="Sylfaen"/>
                <w:b/>
                <w:sz w:val="20"/>
                <w:szCs w:val="20"/>
                <w:lang w:val="hy-AM"/>
              </w:rPr>
            </w:pPr>
            <w:r w:rsidRPr="0053423A">
              <w:rPr>
                <w:rFonts w:eastAsia="Calibri" w:cs="Sylfaen"/>
                <w:b/>
                <w:sz w:val="20"/>
                <w:szCs w:val="20"/>
                <w:lang w:val="af-ZA"/>
              </w:rPr>
              <w:t xml:space="preserve">1.1. </w:t>
            </w:r>
            <w:r w:rsidRPr="0053423A">
              <w:rPr>
                <w:rFonts w:eastAsia="Calibri" w:cs="Sylfaen"/>
                <w:b/>
                <w:sz w:val="20"/>
                <w:szCs w:val="20"/>
              </w:rPr>
              <w:t>կ</w:t>
            </w:r>
            <w:r w:rsidRPr="0053423A">
              <w:rPr>
                <w:rFonts w:eastAsia="Calibri" w:cs="Sylfaen"/>
                <w:b/>
                <w:sz w:val="20"/>
                <w:szCs w:val="20"/>
                <w:lang w:val="hy-AM"/>
              </w:rPr>
              <w:t>արգավորման հարաբերությունների ներկա վիճակը և առկա խնդիրները</w:t>
            </w:r>
          </w:p>
          <w:p w:rsidR="00154773" w:rsidRPr="0053423A" w:rsidRDefault="00154773" w:rsidP="00154773">
            <w:pPr>
              <w:rPr>
                <w:rFonts w:eastAsia="Calibri" w:cs="Sylfaen"/>
                <w:b/>
                <w:noProof/>
                <w:sz w:val="20"/>
                <w:szCs w:val="20"/>
                <w:u w:val="single"/>
                <w:lang w:val="af-ZA"/>
              </w:rPr>
            </w:pPr>
          </w:p>
          <w:p w:rsidR="00154773" w:rsidRPr="0053423A" w:rsidRDefault="00154773" w:rsidP="00154773">
            <w:pPr>
              <w:ind w:firstLine="270"/>
              <w:jc w:val="both"/>
              <w:rPr>
                <w:sz w:val="20"/>
                <w:szCs w:val="20"/>
                <w:lang w:val="af-ZA"/>
              </w:rPr>
            </w:pPr>
            <w:r w:rsidRPr="0053423A">
              <w:rPr>
                <w:rFonts w:cs="Sylfaen"/>
                <w:sz w:val="20"/>
                <w:szCs w:val="20"/>
                <w:lang w:val="af-ZA"/>
              </w:rPr>
              <w:t xml:space="preserve"> </w:t>
            </w:r>
            <w:r w:rsidRPr="0053423A">
              <w:rPr>
                <w:sz w:val="20"/>
                <w:szCs w:val="20"/>
                <w:lang w:val="af-ZA"/>
              </w:rPr>
              <w:t xml:space="preserve">Առարկայական ծրագրերը, փոխպայմանավորված տեղեկատվության ավելացմամբ, փոփոխությամբ, ունեն քննարկման, լրամշակման և հաստատման անհրաժեշտություն: </w:t>
            </w:r>
          </w:p>
          <w:p w:rsidR="00154773" w:rsidRPr="0053423A" w:rsidRDefault="00154773" w:rsidP="00154773">
            <w:pPr>
              <w:jc w:val="both"/>
              <w:rPr>
                <w:rFonts w:cs="Sylfaen"/>
                <w:sz w:val="20"/>
                <w:szCs w:val="20"/>
                <w:lang w:val="af-ZA"/>
              </w:rPr>
            </w:pPr>
          </w:p>
          <w:p w:rsidR="00154773" w:rsidRPr="0053423A" w:rsidRDefault="00154773" w:rsidP="00154773">
            <w:pPr>
              <w:ind w:firstLine="284"/>
              <w:contextualSpacing/>
              <w:jc w:val="both"/>
              <w:rPr>
                <w:sz w:val="20"/>
                <w:szCs w:val="20"/>
                <w:lang w:val="hy-AM"/>
              </w:rPr>
            </w:pPr>
          </w:p>
          <w:p w:rsidR="00154773" w:rsidRPr="0053423A" w:rsidRDefault="00154773" w:rsidP="00154773">
            <w:pPr>
              <w:ind w:left="284"/>
              <w:contextualSpacing/>
              <w:jc w:val="both"/>
              <w:rPr>
                <w:b/>
                <w:sz w:val="20"/>
                <w:szCs w:val="20"/>
                <w:lang w:val="hy-AM"/>
              </w:rPr>
            </w:pPr>
            <w:r w:rsidRPr="0053423A">
              <w:rPr>
                <w:b/>
                <w:sz w:val="20"/>
                <w:szCs w:val="20"/>
                <w:lang w:val="hy-AM"/>
              </w:rPr>
              <w:t>1.2.առկա խնդիրների առաջարկվող լուծումները</w:t>
            </w:r>
          </w:p>
          <w:p w:rsidR="00154773" w:rsidRPr="0053423A" w:rsidRDefault="00154773" w:rsidP="00154773">
            <w:pPr>
              <w:ind w:left="284"/>
              <w:contextualSpacing/>
              <w:jc w:val="both"/>
              <w:rPr>
                <w:sz w:val="20"/>
                <w:szCs w:val="20"/>
                <w:lang w:val="hy-AM"/>
              </w:rPr>
            </w:pPr>
          </w:p>
          <w:p w:rsidR="00154773" w:rsidRPr="0053423A" w:rsidRDefault="00154773" w:rsidP="00154773">
            <w:pPr>
              <w:tabs>
                <w:tab w:val="left" w:pos="2790"/>
              </w:tabs>
              <w:ind w:firstLine="360"/>
              <w:contextualSpacing/>
              <w:jc w:val="both"/>
              <w:rPr>
                <w:sz w:val="20"/>
                <w:szCs w:val="20"/>
                <w:lang w:val="af-ZA"/>
              </w:rPr>
            </w:pPr>
            <w:r w:rsidRPr="0053423A">
              <w:rPr>
                <w:sz w:val="20"/>
                <w:szCs w:val="20"/>
                <w:lang w:val="af-ZA"/>
              </w:rPr>
              <w:t>Առարկայական ծրագրերը,  ՀՀ կրթության և գիտության նախարարության սահմանած գերակայությունների, առաջնահերթությունների շրջանակում կլրամշակվեն:</w:t>
            </w:r>
          </w:p>
          <w:p w:rsidR="00154773" w:rsidRPr="0053423A" w:rsidRDefault="00154773" w:rsidP="00154773">
            <w:pPr>
              <w:ind w:firstLine="360"/>
              <w:rPr>
                <w:rFonts w:eastAsia="Calibri" w:cs="Sylfaen"/>
                <w:b/>
                <w:noProof/>
                <w:sz w:val="20"/>
                <w:szCs w:val="20"/>
                <w:u w:val="single"/>
                <w:lang w:val="hy-AM"/>
              </w:rPr>
            </w:pPr>
          </w:p>
          <w:p w:rsidR="00154773" w:rsidRPr="0053423A" w:rsidRDefault="00154773" w:rsidP="00154773">
            <w:pPr>
              <w:ind w:left="270"/>
              <w:contextualSpacing/>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left="735"/>
              <w:contextualSpacing/>
              <w:jc w:val="both"/>
              <w:rPr>
                <w:rFonts w:eastAsia="Times New Roman" w:cs="Times New Roman"/>
                <w:b/>
                <w:sz w:val="20"/>
                <w:szCs w:val="20"/>
                <w:lang w:val="hy-AM"/>
              </w:rPr>
            </w:pPr>
          </w:p>
          <w:p w:rsidR="00154773" w:rsidRPr="0053423A" w:rsidRDefault="00154773" w:rsidP="00154773">
            <w:pPr>
              <w:jc w:val="center"/>
              <w:rPr>
                <w:rFonts w:eastAsia="Times New Roman" w:cs="Times New Roman"/>
                <w:b/>
                <w:sz w:val="20"/>
                <w:szCs w:val="20"/>
                <w:lang w:val="hy-AM"/>
              </w:rPr>
            </w:pPr>
            <w:r w:rsidRPr="0053423A">
              <w:rPr>
                <w:rFonts w:eastAsia="Calibri" w:cs="Sylfaen"/>
                <w:noProof/>
                <w:color w:val="000000" w:themeColor="text1"/>
                <w:sz w:val="20"/>
                <w:szCs w:val="20"/>
                <w:lang w:val="af-ZA"/>
              </w:rPr>
              <w:t>Արդյունքում առարկայական ծրագրերը կհամապատասխանեն ՀՀ ԿԳՆ-ի սահմանած գերակայություններին և առաջնահերթություններին</w:t>
            </w:r>
            <w:r w:rsidRPr="0053423A">
              <w:rPr>
                <w:rFonts w:eastAsia="Calibri" w:cs="Sylfaen"/>
                <w:b/>
                <w:noProof/>
                <w:sz w:val="20"/>
                <w:szCs w:val="20"/>
                <w:lang w:val="hy-AM"/>
              </w:rPr>
              <w:t>:</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jc w:val="center"/>
              <w:rPr>
                <w:rFonts w:eastAsia="Times New Roman" w:cs="Times New Roman"/>
                <w:b/>
                <w:sz w:val="20"/>
                <w:szCs w:val="20"/>
                <w:u w:val="single"/>
                <w:lang w:val="hy-AM"/>
              </w:rPr>
            </w:pPr>
            <w:r w:rsidRPr="0053423A">
              <w:rPr>
                <w:rFonts w:eastAsia="Times New Roman" w:cs="Times New Roman"/>
                <w:b/>
                <w:sz w:val="20"/>
                <w:szCs w:val="20"/>
                <w:u w:val="single"/>
                <w:lang w:val="hy-AM"/>
              </w:rPr>
              <w:t>8.3 ՀՀ կրթության և գիտության նախարարի 2011թ. մարտի 30-ի «Ն</w:t>
            </w:r>
            <w:r w:rsidRPr="0053423A">
              <w:rPr>
                <w:b/>
                <w:bCs/>
                <w:color w:val="000000"/>
                <w:sz w:val="20"/>
                <w:szCs w:val="20"/>
                <w:u w:val="single"/>
                <w:shd w:val="clear" w:color="auto" w:fill="FFFFFF"/>
                <w:lang w:val="hy-AM"/>
              </w:rPr>
              <w:t xml:space="preserve">ախադպրոցական կրթության պետական կրթական չափորոշիչները հաստատելու մասին» </w:t>
            </w:r>
            <w:r w:rsidRPr="0053423A">
              <w:rPr>
                <w:rFonts w:eastAsia="Times New Roman" w:cs="Times New Roman"/>
                <w:b/>
                <w:sz w:val="20"/>
                <w:szCs w:val="20"/>
                <w:u w:val="single"/>
                <w:lang w:val="hy-AM"/>
              </w:rPr>
              <w:t>թիվ 257 հրամանում փոփոխություններ կատարելու մասին ՀՀ կրթության և գիտության նախարարի հրամանի հաստատում</w:t>
            </w:r>
          </w:p>
          <w:p w:rsidR="00154773" w:rsidRPr="0053423A" w:rsidRDefault="00154773" w:rsidP="00154773">
            <w:pPr>
              <w:rPr>
                <w:rFonts w:eastAsia="Times New Roman" w:cs="Times New Roman"/>
                <w:b/>
                <w:sz w:val="20"/>
                <w:szCs w:val="20"/>
                <w:u w:val="single"/>
                <w:lang w:val="hy-AM"/>
              </w:rPr>
            </w:pPr>
          </w:p>
          <w:p w:rsidR="00154773" w:rsidRPr="0053423A" w:rsidRDefault="00154773" w:rsidP="001F6D5D">
            <w:pPr>
              <w:numPr>
                <w:ilvl w:val="0"/>
                <w:numId w:val="488"/>
              </w:numPr>
              <w:contextualSpacing/>
              <w:jc w:val="both"/>
              <w:rPr>
                <w:b/>
                <w:sz w:val="20"/>
                <w:szCs w:val="20"/>
                <w:lang w:val="af-ZA"/>
              </w:rPr>
            </w:pPr>
            <w:r w:rsidRPr="0053423A">
              <w:rPr>
                <w:rFonts w:cs="Sylfaen"/>
                <w:b/>
                <w:sz w:val="20"/>
                <w:szCs w:val="20"/>
                <w:lang w:val="hy-AM"/>
              </w:rPr>
              <w:t>Միջոցառման</w:t>
            </w:r>
            <w:r w:rsidRPr="0053423A">
              <w:rPr>
                <w:b/>
                <w:sz w:val="20"/>
                <w:szCs w:val="20"/>
                <w:lang w:val="af-ZA"/>
              </w:rPr>
              <w:t xml:space="preserve"> </w:t>
            </w:r>
            <w:r w:rsidRPr="0053423A">
              <w:rPr>
                <w:b/>
                <w:sz w:val="20"/>
                <w:szCs w:val="20"/>
                <w:lang w:val="hy-AM"/>
              </w:rPr>
              <w:t>իրականացման</w:t>
            </w:r>
            <w:r w:rsidRPr="0053423A">
              <w:rPr>
                <w:b/>
                <w:sz w:val="20"/>
                <w:szCs w:val="20"/>
                <w:lang w:val="af-ZA"/>
              </w:rPr>
              <w:t xml:space="preserve"> </w:t>
            </w:r>
            <w:r w:rsidRPr="0053423A">
              <w:rPr>
                <w:b/>
                <w:sz w:val="20"/>
                <w:szCs w:val="20"/>
                <w:lang w:val="hy-AM"/>
              </w:rPr>
              <w:t>անհրաժեշտությունը</w:t>
            </w:r>
            <w:r w:rsidRPr="0053423A">
              <w:rPr>
                <w:b/>
                <w:sz w:val="20"/>
                <w:szCs w:val="20"/>
                <w:lang w:val="af-ZA"/>
              </w:rPr>
              <w:t xml:space="preserve"> </w:t>
            </w:r>
            <w:r w:rsidRPr="0053423A">
              <w:rPr>
                <w:b/>
                <w:sz w:val="20"/>
                <w:szCs w:val="20"/>
                <w:lang w:val="hy-AM"/>
              </w:rPr>
              <w:t>և</w:t>
            </w:r>
            <w:r w:rsidRPr="0053423A">
              <w:rPr>
                <w:b/>
                <w:sz w:val="20"/>
                <w:szCs w:val="20"/>
                <w:lang w:val="af-ZA"/>
              </w:rPr>
              <w:t xml:space="preserve"> </w:t>
            </w:r>
            <w:r w:rsidRPr="0053423A">
              <w:rPr>
                <w:b/>
                <w:sz w:val="20"/>
                <w:szCs w:val="20"/>
                <w:lang w:val="hy-AM"/>
              </w:rPr>
              <w:t>նպատակը՝</w:t>
            </w:r>
          </w:p>
          <w:p w:rsidR="00154773" w:rsidRPr="0053423A" w:rsidRDefault="00154773" w:rsidP="00154773">
            <w:pPr>
              <w:jc w:val="both"/>
              <w:rPr>
                <w:b/>
                <w:sz w:val="20"/>
                <w:szCs w:val="20"/>
                <w:lang w:val="hy-AM"/>
              </w:rPr>
            </w:pPr>
          </w:p>
          <w:p w:rsidR="00154773" w:rsidRPr="0053423A" w:rsidRDefault="00154773" w:rsidP="00154773">
            <w:pPr>
              <w:ind w:firstLine="284"/>
              <w:contextualSpacing/>
              <w:jc w:val="both"/>
              <w:rPr>
                <w:spacing w:val="-4"/>
                <w:sz w:val="20"/>
                <w:szCs w:val="20"/>
                <w:lang w:val="hy-AM"/>
              </w:rPr>
            </w:pPr>
            <w:r w:rsidRPr="0053423A">
              <w:rPr>
                <w:spacing w:val="-4"/>
                <w:sz w:val="20"/>
                <w:szCs w:val="20"/>
                <w:lang w:val="hy-AM"/>
              </w:rPr>
              <w:t>Միջոցառման գլխավոր նպատակն է կրթական ծրագրերի արդիականացումը՝ ուղղված տնտեսության և աշխատաշուկայի փոփոխվող պահանջներին:</w:t>
            </w:r>
          </w:p>
          <w:p w:rsidR="00154773" w:rsidRPr="0053423A" w:rsidRDefault="00154773" w:rsidP="00154773">
            <w:pPr>
              <w:jc w:val="both"/>
              <w:rPr>
                <w:rFonts w:eastAsia="Calibri" w:cs="Sylfaen"/>
                <w:sz w:val="20"/>
                <w:szCs w:val="20"/>
                <w:lang w:val="hy-AM"/>
              </w:rPr>
            </w:pPr>
            <w:r w:rsidRPr="0053423A">
              <w:rPr>
                <w:spacing w:val="-4"/>
                <w:sz w:val="20"/>
                <w:szCs w:val="20"/>
                <w:lang w:val="hy-AM"/>
              </w:rPr>
              <w:t xml:space="preserve">   Միջոցառումների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xml:space="preserve">»  </w:t>
            </w:r>
            <w:r w:rsidRPr="0053423A">
              <w:rPr>
                <w:rFonts w:eastAsia="Calibri" w:cs="Sylfaen"/>
                <w:sz w:val="20"/>
                <w:szCs w:val="20"/>
                <w:lang w:val="hy-AM"/>
              </w:rPr>
              <w:t>բաժնի 3-րդ պարբերության և հանրակրթության ոլորտի 6-րդ կետի պահանջներից:</w:t>
            </w:r>
          </w:p>
          <w:p w:rsidR="00154773" w:rsidRPr="0053423A" w:rsidRDefault="00154773" w:rsidP="00154773">
            <w:pPr>
              <w:ind w:firstLine="284"/>
              <w:jc w:val="both"/>
              <w:rPr>
                <w:sz w:val="20"/>
                <w:szCs w:val="20"/>
                <w:lang w:val="hy-AM"/>
              </w:rPr>
            </w:pPr>
            <w:r w:rsidRPr="0053423A">
              <w:rPr>
                <w:sz w:val="20"/>
                <w:szCs w:val="20"/>
                <w:lang w:val="hy-AM"/>
              </w:rPr>
              <w:t>Նախադպրոցական կրթության մեջ ընդգրկված երեխաների կարիքները  և հետաքրքրություները, սոցիալականացումն առավել արդյունավետ իրականացնելու և նախադպրոցական կրթության վերաբերյալ մանկավարժագիտական ձեռքբերումներն ու նորարարությունները , ըստ անհրաժեշտության, ներառելու նպատակով անհրաժեշտ է վերանայել ն:</w:t>
            </w:r>
          </w:p>
          <w:p w:rsidR="00154773" w:rsidRPr="0053423A" w:rsidRDefault="00154773" w:rsidP="00154773">
            <w:pPr>
              <w:jc w:val="both"/>
              <w:rPr>
                <w:sz w:val="20"/>
                <w:szCs w:val="20"/>
                <w:lang w:val="hy-AM"/>
              </w:rPr>
            </w:pPr>
          </w:p>
          <w:p w:rsidR="00154773" w:rsidRPr="0053423A" w:rsidRDefault="00154773" w:rsidP="00154773">
            <w:pPr>
              <w:ind w:left="284"/>
              <w:contextualSpacing/>
              <w:jc w:val="both"/>
              <w:rPr>
                <w:rFonts w:eastAsia="Calibri" w:cs="Sylfaen"/>
                <w:b/>
                <w:sz w:val="20"/>
                <w:szCs w:val="20"/>
                <w:lang w:val="hy-AM"/>
              </w:rPr>
            </w:pPr>
            <w:r w:rsidRPr="0053423A">
              <w:rPr>
                <w:rFonts w:eastAsia="Calibri" w:cs="Sylfaen"/>
                <w:b/>
                <w:sz w:val="20"/>
                <w:szCs w:val="20"/>
                <w:lang w:val="hy-AM"/>
              </w:rPr>
              <w:t>1.1. կարգավորման հարաբերությունների ներկա վիճակը և առկա խնդիրները</w:t>
            </w:r>
          </w:p>
          <w:p w:rsidR="00154773" w:rsidRPr="0053423A" w:rsidRDefault="00154773" w:rsidP="00154773">
            <w:pPr>
              <w:jc w:val="both"/>
              <w:rPr>
                <w:rFonts w:cs="Sylfaen"/>
                <w:sz w:val="20"/>
                <w:szCs w:val="20"/>
                <w:lang w:val="af-ZA"/>
              </w:rPr>
            </w:pPr>
          </w:p>
          <w:p w:rsidR="00154773" w:rsidRPr="0053423A" w:rsidRDefault="00154773" w:rsidP="00154773">
            <w:pPr>
              <w:ind w:left="720"/>
              <w:jc w:val="both"/>
              <w:rPr>
                <w:rFonts w:cs="Sylfaen"/>
                <w:sz w:val="20"/>
                <w:szCs w:val="20"/>
                <w:lang w:val="af-ZA"/>
              </w:rPr>
            </w:pPr>
            <w:r w:rsidRPr="0053423A">
              <w:rPr>
                <w:sz w:val="20"/>
                <w:szCs w:val="20"/>
                <w:lang w:val="af-ZA"/>
              </w:rPr>
              <w:t xml:space="preserve">    Նախադպրոցական կրթության պետական կրթական չափորոշիչները նախադպրոցական կրթության արդյունավետ կազմակերպման անհրաժեշտությունից ելնելով՝ ունեն վերանայման, լրամշակման կարիք: </w:t>
            </w:r>
          </w:p>
          <w:p w:rsidR="00154773" w:rsidRPr="0053423A" w:rsidRDefault="00154773" w:rsidP="00154773">
            <w:pPr>
              <w:jc w:val="both"/>
              <w:rPr>
                <w:rFonts w:cs="Sylfaen"/>
                <w:sz w:val="20"/>
                <w:szCs w:val="20"/>
                <w:lang w:val="af-ZA"/>
              </w:rPr>
            </w:pPr>
          </w:p>
          <w:p w:rsidR="00154773" w:rsidRPr="0053423A" w:rsidRDefault="00154773" w:rsidP="00154773">
            <w:pPr>
              <w:ind w:left="284"/>
              <w:contextualSpacing/>
              <w:jc w:val="both"/>
              <w:rPr>
                <w:b/>
                <w:sz w:val="20"/>
                <w:szCs w:val="20"/>
                <w:lang w:val="af-ZA"/>
              </w:rPr>
            </w:pPr>
            <w:r w:rsidRPr="0053423A">
              <w:rPr>
                <w:b/>
                <w:sz w:val="20"/>
                <w:szCs w:val="20"/>
                <w:lang w:val="af-ZA"/>
              </w:rPr>
              <w:t>1.2.</w:t>
            </w:r>
            <w:r w:rsidRPr="0053423A">
              <w:rPr>
                <w:b/>
                <w:sz w:val="20"/>
                <w:szCs w:val="20"/>
              </w:rPr>
              <w:t>ա</w:t>
            </w:r>
            <w:r w:rsidRPr="0053423A">
              <w:rPr>
                <w:b/>
                <w:sz w:val="20"/>
                <w:szCs w:val="20"/>
                <w:lang w:val="ru-RU"/>
              </w:rPr>
              <w:t>ռկա</w:t>
            </w:r>
            <w:r w:rsidRPr="0053423A">
              <w:rPr>
                <w:b/>
                <w:sz w:val="20"/>
                <w:szCs w:val="20"/>
                <w:lang w:val="af-ZA"/>
              </w:rPr>
              <w:t xml:space="preserve"> </w:t>
            </w:r>
            <w:r w:rsidRPr="0053423A">
              <w:rPr>
                <w:b/>
                <w:sz w:val="20"/>
                <w:szCs w:val="20"/>
                <w:lang w:val="ru-RU"/>
              </w:rPr>
              <w:t>խնդիրների</w:t>
            </w:r>
            <w:r w:rsidRPr="0053423A">
              <w:rPr>
                <w:b/>
                <w:sz w:val="20"/>
                <w:szCs w:val="20"/>
                <w:lang w:val="af-ZA"/>
              </w:rPr>
              <w:t xml:space="preserve"> </w:t>
            </w:r>
            <w:r w:rsidRPr="0053423A">
              <w:rPr>
                <w:b/>
                <w:sz w:val="20"/>
                <w:szCs w:val="20"/>
                <w:lang w:val="ru-RU"/>
              </w:rPr>
              <w:t>առաջարկվող</w:t>
            </w:r>
            <w:r w:rsidRPr="0053423A">
              <w:rPr>
                <w:b/>
                <w:sz w:val="20"/>
                <w:szCs w:val="20"/>
                <w:lang w:val="af-ZA"/>
              </w:rPr>
              <w:t xml:space="preserve"> </w:t>
            </w:r>
            <w:r w:rsidRPr="0053423A">
              <w:rPr>
                <w:b/>
                <w:sz w:val="20"/>
                <w:szCs w:val="20"/>
                <w:lang w:val="ru-RU"/>
              </w:rPr>
              <w:t>լուծումները</w:t>
            </w:r>
          </w:p>
          <w:p w:rsidR="00154773" w:rsidRPr="0053423A" w:rsidRDefault="00154773" w:rsidP="00154773">
            <w:pPr>
              <w:ind w:left="284"/>
              <w:contextualSpacing/>
              <w:jc w:val="both"/>
              <w:rPr>
                <w:b/>
                <w:sz w:val="20"/>
                <w:szCs w:val="20"/>
                <w:lang w:val="af-ZA"/>
              </w:rPr>
            </w:pPr>
          </w:p>
          <w:p w:rsidR="00154773" w:rsidRPr="0053423A" w:rsidRDefault="00154773" w:rsidP="00154773">
            <w:pPr>
              <w:tabs>
                <w:tab w:val="left" w:pos="450"/>
                <w:tab w:val="left" w:pos="2790"/>
              </w:tabs>
              <w:contextualSpacing/>
              <w:jc w:val="both"/>
              <w:rPr>
                <w:sz w:val="20"/>
                <w:szCs w:val="20"/>
                <w:lang w:val="af-ZA"/>
              </w:rPr>
            </w:pPr>
            <w:r w:rsidRPr="0053423A">
              <w:rPr>
                <w:sz w:val="20"/>
                <w:szCs w:val="20"/>
                <w:lang w:val="af-ZA"/>
              </w:rPr>
              <w:tab/>
              <w:t>Նախադպրոցական կրթության պետական կրթական չափորոշիչների վերնայմամբ կհստակեցվեն ծրագրերը և բովանդակությունը:</w:t>
            </w:r>
          </w:p>
          <w:p w:rsidR="00154773" w:rsidRPr="0053423A" w:rsidRDefault="00154773" w:rsidP="00154773">
            <w:pPr>
              <w:tabs>
                <w:tab w:val="left" w:pos="2790"/>
              </w:tabs>
              <w:ind w:left="720"/>
              <w:contextualSpacing/>
              <w:jc w:val="both"/>
              <w:rPr>
                <w:rFonts w:cs="Sylfaen"/>
                <w:sz w:val="20"/>
                <w:szCs w:val="20"/>
                <w:lang w:val="af-ZA"/>
              </w:rPr>
            </w:pPr>
          </w:p>
          <w:p w:rsidR="00154773" w:rsidRPr="0053423A" w:rsidRDefault="00154773" w:rsidP="001F6D5D">
            <w:pPr>
              <w:numPr>
                <w:ilvl w:val="0"/>
                <w:numId w:val="488"/>
              </w:numPr>
              <w:tabs>
                <w:tab w:val="left" w:pos="2790"/>
              </w:tabs>
              <w:contextualSpacing/>
              <w:jc w:val="both"/>
              <w:rPr>
                <w:rFonts w:cs="Sylfaen"/>
                <w:sz w:val="20"/>
                <w:szCs w:val="20"/>
                <w:lang w:val="af-ZA"/>
              </w:rPr>
            </w:pPr>
            <w:r w:rsidRPr="0053423A">
              <w:rPr>
                <w:b/>
                <w:sz w:val="20"/>
                <w:szCs w:val="20"/>
              </w:rPr>
              <w:t>Միջոցառման</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r w:rsidRPr="0053423A">
              <w:rPr>
                <w:sz w:val="20"/>
                <w:szCs w:val="20"/>
                <w:lang w:val="af-ZA"/>
              </w:rPr>
              <w:t xml:space="preserve"> </w:t>
            </w:r>
          </w:p>
          <w:p w:rsidR="00154773" w:rsidRPr="0053423A" w:rsidRDefault="00154773" w:rsidP="00154773">
            <w:pPr>
              <w:tabs>
                <w:tab w:val="left" w:pos="2790"/>
              </w:tabs>
              <w:ind w:left="720"/>
              <w:contextualSpacing/>
              <w:jc w:val="both"/>
              <w:rPr>
                <w:rFonts w:cs="Sylfaen"/>
                <w:sz w:val="20"/>
                <w:szCs w:val="20"/>
                <w:lang w:val="af-ZA"/>
              </w:rPr>
            </w:pPr>
          </w:p>
          <w:p w:rsidR="00154773" w:rsidRPr="0053423A" w:rsidRDefault="00154773" w:rsidP="00154773">
            <w:pPr>
              <w:jc w:val="center"/>
              <w:rPr>
                <w:rFonts w:eastAsia="Times New Roman" w:cs="Times New Roman"/>
                <w:b/>
                <w:sz w:val="20"/>
                <w:szCs w:val="20"/>
                <w:lang w:val="hy-AM"/>
              </w:rPr>
            </w:pPr>
            <w:r w:rsidRPr="0053423A">
              <w:rPr>
                <w:sz w:val="20"/>
                <w:szCs w:val="20"/>
              </w:rPr>
              <w:t>Ն</w:t>
            </w:r>
            <w:r w:rsidRPr="0053423A">
              <w:rPr>
                <w:sz w:val="20"/>
                <w:szCs w:val="20"/>
                <w:lang w:val="hy-AM"/>
              </w:rPr>
              <w:t>ախադպրոցական պետական չափորոշ</w:t>
            </w:r>
            <w:r w:rsidRPr="0053423A">
              <w:rPr>
                <w:sz w:val="20"/>
                <w:szCs w:val="20"/>
              </w:rPr>
              <w:t>չի</w:t>
            </w:r>
            <w:r w:rsidRPr="0053423A">
              <w:rPr>
                <w:sz w:val="20"/>
                <w:szCs w:val="20"/>
                <w:lang w:val="hy-AM"/>
              </w:rPr>
              <w:t xml:space="preserve"> վերանա</w:t>
            </w:r>
            <w:r w:rsidRPr="0053423A">
              <w:rPr>
                <w:sz w:val="20"/>
                <w:szCs w:val="20"/>
              </w:rPr>
              <w:t>յման</w:t>
            </w:r>
            <w:r w:rsidRPr="0053423A">
              <w:rPr>
                <w:sz w:val="20"/>
                <w:szCs w:val="20"/>
                <w:lang w:val="af-ZA"/>
              </w:rPr>
              <w:t xml:space="preserve"> </w:t>
            </w:r>
            <w:r w:rsidRPr="0053423A">
              <w:rPr>
                <w:sz w:val="20"/>
                <w:szCs w:val="20"/>
              </w:rPr>
              <w:t>արդյունքում</w:t>
            </w:r>
            <w:r w:rsidRPr="0053423A">
              <w:rPr>
                <w:sz w:val="20"/>
                <w:szCs w:val="20"/>
                <w:lang w:val="hy-AM"/>
              </w:rPr>
              <w:t xml:space="preserve"> </w:t>
            </w:r>
            <w:r w:rsidRPr="0053423A">
              <w:rPr>
                <w:sz w:val="20"/>
                <w:szCs w:val="20"/>
              </w:rPr>
              <w:t>ն</w:t>
            </w:r>
            <w:r w:rsidRPr="0053423A">
              <w:rPr>
                <w:sz w:val="20"/>
                <w:szCs w:val="20"/>
                <w:lang w:val="hy-AM"/>
              </w:rPr>
              <w:t>ախադպրոցական կրթության մեջ</w:t>
            </w:r>
            <w:r w:rsidRPr="0053423A">
              <w:rPr>
                <w:sz w:val="20"/>
                <w:szCs w:val="20"/>
                <w:lang w:val="af-ZA"/>
              </w:rPr>
              <w:t xml:space="preserve"> </w:t>
            </w:r>
            <w:r w:rsidRPr="0053423A">
              <w:rPr>
                <w:sz w:val="20"/>
                <w:szCs w:val="20"/>
              </w:rPr>
              <w:t>առավել</w:t>
            </w:r>
            <w:r w:rsidRPr="0053423A">
              <w:rPr>
                <w:sz w:val="20"/>
                <w:szCs w:val="20"/>
                <w:lang w:val="af-ZA"/>
              </w:rPr>
              <w:t xml:space="preserve"> </w:t>
            </w:r>
            <w:r w:rsidRPr="0053423A">
              <w:rPr>
                <w:sz w:val="20"/>
                <w:szCs w:val="20"/>
              </w:rPr>
              <w:t>արդյունավետ</w:t>
            </w:r>
            <w:r w:rsidRPr="0053423A">
              <w:rPr>
                <w:sz w:val="20"/>
                <w:szCs w:val="20"/>
                <w:lang w:val="af-ZA"/>
              </w:rPr>
              <w:t xml:space="preserve"> </w:t>
            </w:r>
            <w:r w:rsidRPr="0053423A">
              <w:rPr>
                <w:sz w:val="20"/>
                <w:szCs w:val="20"/>
              </w:rPr>
              <w:t>կկազմակերպվեն</w:t>
            </w:r>
            <w:r w:rsidRPr="0053423A">
              <w:rPr>
                <w:sz w:val="20"/>
                <w:szCs w:val="20"/>
                <w:lang w:val="hy-AM"/>
              </w:rPr>
              <w:t xml:space="preserve"> երեխաների</w:t>
            </w:r>
            <w:r w:rsidRPr="0053423A">
              <w:rPr>
                <w:sz w:val="20"/>
                <w:szCs w:val="20"/>
                <w:lang w:val="af-ZA"/>
              </w:rPr>
              <w:t xml:space="preserve"> </w:t>
            </w:r>
            <w:r w:rsidRPr="0053423A">
              <w:rPr>
                <w:sz w:val="20"/>
                <w:szCs w:val="20"/>
                <w:lang w:val="hy-AM"/>
              </w:rPr>
              <w:t xml:space="preserve"> սոցիալականաց</w:t>
            </w:r>
            <w:r w:rsidRPr="0053423A">
              <w:rPr>
                <w:sz w:val="20"/>
                <w:szCs w:val="20"/>
              </w:rPr>
              <w:t>ման</w:t>
            </w:r>
            <w:r w:rsidRPr="0053423A">
              <w:rPr>
                <w:sz w:val="20"/>
                <w:szCs w:val="20"/>
                <w:lang w:val="af-ZA"/>
              </w:rPr>
              <w:t xml:space="preserve"> </w:t>
            </w:r>
            <w:r w:rsidRPr="0053423A">
              <w:rPr>
                <w:sz w:val="20"/>
                <w:szCs w:val="20"/>
              </w:rPr>
              <w:t>հարցերը</w:t>
            </w:r>
            <w:r w:rsidRPr="0053423A">
              <w:rPr>
                <w:sz w:val="20"/>
                <w:szCs w:val="20"/>
                <w:lang w:val="af-ZA"/>
              </w:rPr>
              <w:t xml:space="preserve">, </w:t>
            </w:r>
            <w:r w:rsidRPr="0053423A">
              <w:rPr>
                <w:sz w:val="20"/>
                <w:szCs w:val="20"/>
                <w:lang w:val="hy-AM"/>
              </w:rPr>
              <w:t>նախադպրոցական կրթության վերաբերյալ մանկավարժագիտական ձեռքբերումներն ու նորարարություններ</w:t>
            </w:r>
            <w:r w:rsidRPr="0053423A">
              <w:rPr>
                <w:sz w:val="20"/>
                <w:szCs w:val="20"/>
                <w:lang w:val="af-ZA"/>
              </w:rPr>
              <w:t xml:space="preserve"> </w:t>
            </w:r>
            <w:r w:rsidRPr="0053423A">
              <w:rPr>
                <w:sz w:val="20"/>
                <w:szCs w:val="20"/>
              </w:rPr>
              <w:t>կներառվեն</w:t>
            </w:r>
            <w:r w:rsidRPr="0053423A">
              <w:rPr>
                <w:sz w:val="20"/>
                <w:szCs w:val="20"/>
                <w:lang w:val="af-ZA"/>
              </w:rPr>
              <w:t xml:space="preserve"> </w:t>
            </w:r>
            <w:r w:rsidRPr="0053423A">
              <w:rPr>
                <w:sz w:val="20"/>
                <w:szCs w:val="20"/>
              </w:rPr>
              <w:t>ծրագրերում</w:t>
            </w:r>
            <w:r w:rsidRPr="0053423A">
              <w:rPr>
                <w:sz w:val="20"/>
                <w:szCs w:val="20"/>
                <w:lang w:val="hy-AM"/>
              </w:rPr>
              <w:t>:</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jc w:val="center"/>
              <w:rPr>
                <w:rFonts w:eastAsia="Times New Roman" w:cs="Times New Roman"/>
                <w:b/>
                <w:sz w:val="20"/>
                <w:szCs w:val="20"/>
                <w:u w:val="single"/>
                <w:lang w:val="af-ZA"/>
              </w:rPr>
            </w:pPr>
            <w:r w:rsidRPr="0053423A">
              <w:rPr>
                <w:rFonts w:eastAsia="Times New Roman" w:cs="Times New Roman"/>
                <w:b/>
                <w:sz w:val="20"/>
                <w:szCs w:val="20"/>
                <w:u w:val="single"/>
                <w:lang w:val="af-ZA"/>
              </w:rPr>
              <w:t xml:space="preserve">8.4  </w:t>
            </w:r>
            <w:r w:rsidRPr="0053423A">
              <w:rPr>
                <w:rFonts w:eastAsia="Times New Roman" w:cs="Times New Roman"/>
                <w:b/>
                <w:sz w:val="20"/>
                <w:szCs w:val="20"/>
                <w:u w:val="single"/>
                <w:lang w:val="hy-AM"/>
              </w:rPr>
              <w:t>Չափորոշչից բխող կրթական ծրագրերի վերանայում և հաստատում ՀՀ ՀՀ կրթության և գիտության նախարարի կողմից</w:t>
            </w:r>
          </w:p>
          <w:p w:rsidR="00154773" w:rsidRPr="0053423A" w:rsidRDefault="00154773" w:rsidP="00154773">
            <w:pPr>
              <w:rPr>
                <w:rFonts w:eastAsia="Times New Roman" w:cs="Times New Roman"/>
                <w:sz w:val="20"/>
                <w:szCs w:val="20"/>
                <w:lang w:val="af-ZA"/>
              </w:rPr>
            </w:pPr>
          </w:p>
          <w:p w:rsidR="00154773" w:rsidRPr="0053423A" w:rsidRDefault="00154773" w:rsidP="001F6D5D">
            <w:pPr>
              <w:numPr>
                <w:ilvl w:val="0"/>
                <w:numId w:val="489"/>
              </w:numPr>
              <w:contextualSpacing/>
              <w:jc w:val="both"/>
              <w:rPr>
                <w:b/>
                <w:sz w:val="20"/>
                <w:szCs w:val="20"/>
                <w:lang w:val="af-ZA"/>
              </w:rPr>
            </w:pPr>
            <w:r w:rsidRPr="0053423A">
              <w:rPr>
                <w:rFonts w:cs="Sylfaen"/>
                <w:b/>
                <w:sz w:val="20"/>
                <w:szCs w:val="20"/>
              </w:rPr>
              <w:t>Միջոցառման</w:t>
            </w:r>
            <w:r w:rsidRPr="0053423A">
              <w:rPr>
                <w:b/>
                <w:sz w:val="20"/>
                <w:szCs w:val="20"/>
                <w:lang w:val="af-ZA"/>
              </w:rPr>
              <w:t xml:space="preserve"> </w:t>
            </w:r>
            <w:r w:rsidRPr="0053423A">
              <w:rPr>
                <w:b/>
                <w:sz w:val="20"/>
                <w:szCs w:val="20"/>
              </w:rPr>
              <w:t>իրականացման</w:t>
            </w:r>
            <w:r w:rsidRPr="0053423A">
              <w:rPr>
                <w:b/>
                <w:sz w:val="20"/>
                <w:szCs w:val="20"/>
                <w:lang w:val="af-ZA"/>
              </w:rPr>
              <w:t xml:space="preserve"> </w:t>
            </w:r>
            <w:r w:rsidRPr="0053423A">
              <w:rPr>
                <w:b/>
                <w:sz w:val="20"/>
                <w:szCs w:val="20"/>
              </w:rPr>
              <w:t>անհրաժեշտությունը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նպատակը՝</w:t>
            </w:r>
          </w:p>
          <w:p w:rsidR="00154773" w:rsidRPr="0053423A" w:rsidRDefault="00154773" w:rsidP="00154773">
            <w:pPr>
              <w:jc w:val="both"/>
              <w:rPr>
                <w:b/>
                <w:sz w:val="20"/>
                <w:szCs w:val="20"/>
                <w:lang w:val="af-ZA"/>
              </w:rPr>
            </w:pPr>
          </w:p>
          <w:p w:rsidR="00154773" w:rsidRPr="0053423A" w:rsidRDefault="00154773" w:rsidP="00154773">
            <w:pPr>
              <w:jc w:val="both"/>
              <w:rPr>
                <w:sz w:val="20"/>
                <w:szCs w:val="20"/>
                <w:lang w:val="af-ZA"/>
              </w:rPr>
            </w:pPr>
            <w:r w:rsidRPr="0053423A">
              <w:rPr>
                <w:sz w:val="20"/>
                <w:szCs w:val="20"/>
                <w:lang w:val="af-ZA"/>
              </w:rPr>
              <w:t xml:space="preserve">   Չափորոշչով պահանջների իրականացում:</w:t>
            </w:r>
          </w:p>
          <w:p w:rsidR="00154773" w:rsidRPr="0053423A" w:rsidRDefault="00154773" w:rsidP="00154773">
            <w:pPr>
              <w:jc w:val="both"/>
              <w:rPr>
                <w:sz w:val="20"/>
                <w:szCs w:val="20"/>
                <w:lang w:val="af-ZA"/>
              </w:rPr>
            </w:pPr>
          </w:p>
          <w:p w:rsidR="00154773" w:rsidRPr="0053423A" w:rsidRDefault="00154773" w:rsidP="00154773">
            <w:pPr>
              <w:ind w:left="360"/>
              <w:contextualSpacing/>
              <w:jc w:val="both"/>
              <w:rPr>
                <w:rFonts w:cs="Sylfaen"/>
                <w:b/>
                <w:sz w:val="20"/>
                <w:szCs w:val="20"/>
                <w:lang w:val="af-ZA"/>
              </w:rPr>
            </w:pPr>
            <w:r w:rsidRPr="0053423A">
              <w:rPr>
                <w:b/>
                <w:sz w:val="20"/>
                <w:szCs w:val="20"/>
                <w:lang w:val="af-ZA"/>
              </w:rPr>
              <w:t xml:space="preserve">1.1. </w:t>
            </w:r>
            <w:r w:rsidRPr="0053423A">
              <w:rPr>
                <w:b/>
                <w:sz w:val="20"/>
                <w:szCs w:val="20"/>
              </w:rPr>
              <w:t>Կարգավորման</w:t>
            </w:r>
            <w:r w:rsidRPr="0053423A">
              <w:rPr>
                <w:b/>
                <w:sz w:val="20"/>
                <w:szCs w:val="20"/>
                <w:lang w:val="af-ZA"/>
              </w:rPr>
              <w:t xml:space="preserve"> </w:t>
            </w:r>
            <w:r w:rsidRPr="0053423A">
              <w:rPr>
                <w:b/>
                <w:sz w:val="20"/>
                <w:szCs w:val="20"/>
              </w:rPr>
              <w:t>ընթացիկ</w:t>
            </w:r>
            <w:r w:rsidRPr="0053423A">
              <w:rPr>
                <w:b/>
                <w:sz w:val="20"/>
                <w:szCs w:val="20"/>
                <w:lang w:val="af-ZA"/>
              </w:rPr>
              <w:t xml:space="preserve"> իրա</w:t>
            </w:r>
            <w:r w:rsidRPr="0053423A">
              <w:rPr>
                <w:b/>
                <w:sz w:val="20"/>
                <w:szCs w:val="20"/>
              </w:rPr>
              <w:t>վիճակը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առկա</w:t>
            </w:r>
            <w:r w:rsidRPr="0053423A">
              <w:rPr>
                <w:b/>
                <w:sz w:val="20"/>
                <w:szCs w:val="20"/>
                <w:lang w:val="af-ZA"/>
              </w:rPr>
              <w:t xml:space="preserve"> </w:t>
            </w:r>
            <w:r w:rsidRPr="0053423A">
              <w:rPr>
                <w:b/>
                <w:sz w:val="20"/>
                <w:szCs w:val="20"/>
              </w:rPr>
              <w:t>խնդիրները</w:t>
            </w:r>
          </w:p>
          <w:p w:rsidR="00154773" w:rsidRPr="0053423A" w:rsidRDefault="00154773" w:rsidP="00154773">
            <w:pPr>
              <w:jc w:val="both"/>
              <w:rPr>
                <w:rFonts w:cs="Sylfaen"/>
                <w:sz w:val="20"/>
                <w:szCs w:val="20"/>
                <w:lang w:val="af-ZA"/>
              </w:rPr>
            </w:pPr>
          </w:p>
          <w:p w:rsidR="00154773" w:rsidRPr="0053423A" w:rsidRDefault="00154773" w:rsidP="00154773">
            <w:pPr>
              <w:ind w:firstLine="360"/>
              <w:jc w:val="both"/>
              <w:rPr>
                <w:sz w:val="20"/>
                <w:szCs w:val="20"/>
                <w:lang w:val="af-ZA"/>
              </w:rPr>
            </w:pPr>
            <w:r w:rsidRPr="0053423A">
              <w:rPr>
                <w:sz w:val="20"/>
                <w:szCs w:val="20"/>
                <w:lang w:val="af-ZA"/>
              </w:rPr>
              <w:t xml:space="preserve">    Նախադպրոցական կրթության պետական կրթական չափորոշիչների վերանայման արդյունքում ծրագրերի վերանայման անհրաժշետություն կառաջանա:</w:t>
            </w:r>
          </w:p>
          <w:p w:rsidR="00154773" w:rsidRPr="0053423A" w:rsidRDefault="00154773" w:rsidP="00154773">
            <w:pPr>
              <w:ind w:firstLine="360"/>
              <w:jc w:val="both"/>
              <w:rPr>
                <w:rFonts w:cs="Sylfaen"/>
                <w:sz w:val="20"/>
                <w:szCs w:val="20"/>
                <w:lang w:val="af-ZA"/>
              </w:rPr>
            </w:pPr>
          </w:p>
          <w:p w:rsidR="00154773" w:rsidRPr="0053423A" w:rsidRDefault="00154773" w:rsidP="00154773">
            <w:pPr>
              <w:tabs>
                <w:tab w:val="left" w:pos="2790"/>
              </w:tabs>
              <w:ind w:left="270"/>
              <w:contextualSpacing/>
              <w:jc w:val="both"/>
              <w:rPr>
                <w:b/>
                <w:sz w:val="20"/>
                <w:szCs w:val="20"/>
                <w:lang w:val="af-ZA"/>
              </w:rPr>
            </w:pPr>
            <w:r w:rsidRPr="0053423A">
              <w:rPr>
                <w:b/>
                <w:sz w:val="20"/>
                <w:szCs w:val="20"/>
                <w:lang w:val="af-ZA"/>
              </w:rPr>
              <w:t xml:space="preserve">1.2. </w:t>
            </w:r>
            <w:r w:rsidRPr="0053423A">
              <w:rPr>
                <w:b/>
                <w:sz w:val="20"/>
                <w:szCs w:val="20"/>
              </w:rPr>
              <w:t>ա</w:t>
            </w:r>
            <w:r w:rsidRPr="0053423A">
              <w:rPr>
                <w:b/>
                <w:sz w:val="20"/>
                <w:szCs w:val="20"/>
                <w:lang w:val="ru-RU"/>
              </w:rPr>
              <w:t>ռկա</w:t>
            </w:r>
            <w:r w:rsidRPr="0053423A">
              <w:rPr>
                <w:b/>
                <w:sz w:val="20"/>
                <w:szCs w:val="20"/>
                <w:lang w:val="af-ZA"/>
              </w:rPr>
              <w:t xml:space="preserve"> </w:t>
            </w:r>
            <w:r w:rsidRPr="0053423A">
              <w:rPr>
                <w:b/>
                <w:sz w:val="20"/>
                <w:szCs w:val="20"/>
                <w:lang w:val="ru-RU"/>
              </w:rPr>
              <w:t>խնդիրների</w:t>
            </w:r>
            <w:r w:rsidRPr="0053423A">
              <w:rPr>
                <w:b/>
                <w:sz w:val="20"/>
                <w:szCs w:val="20"/>
                <w:lang w:val="af-ZA"/>
              </w:rPr>
              <w:t xml:space="preserve"> </w:t>
            </w:r>
            <w:r w:rsidRPr="0053423A">
              <w:rPr>
                <w:b/>
                <w:sz w:val="20"/>
                <w:szCs w:val="20"/>
                <w:lang w:val="ru-RU"/>
              </w:rPr>
              <w:t>առաջարկվող</w:t>
            </w:r>
            <w:r w:rsidRPr="0053423A">
              <w:rPr>
                <w:b/>
                <w:sz w:val="20"/>
                <w:szCs w:val="20"/>
                <w:lang w:val="af-ZA"/>
              </w:rPr>
              <w:t xml:space="preserve"> </w:t>
            </w:r>
            <w:r w:rsidRPr="0053423A">
              <w:rPr>
                <w:b/>
                <w:sz w:val="20"/>
                <w:szCs w:val="20"/>
                <w:lang w:val="ru-RU"/>
              </w:rPr>
              <w:t>լուծումները</w:t>
            </w:r>
          </w:p>
          <w:p w:rsidR="00154773" w:rsidRPr="0053423A" w:rsidRDefault="00154773" w:rsidP="00154773">
            <w:pPr>
              <w:tabs>
                <w:tab w:val="left" w:pos="2790"/>
              </w:tabs>
              <w:ind w:left="720"/>
              <w:contextualSpacing/>
              <w:jc w:val="both"/>
              <w:rPr>
                <w:b/>
                <w:sz w:val="20"/>
                <w:szCs w:val="20"/>
                <w:lang w:val="af-ZA"/>
              </w:rPr>
            </w:pPr>
          </w:p>
          <w:p w:rsidR="00154773" w:rsidRPr="0053423A" w:rsidRDefault="00154773" w:rsidP="00154773">
            <w:pPr>
              <w:tabs>
                <w:tab w:val="left" w:pos="2790"/>
              </w:tabs>
              <w:ind w:left="720"/>
              <w:contextualSpacing/>
              <w:jc w:val="both"/>
              <w:rPr>
                <w:rFonts w:cs="Sylfaen"/>
                <w:sz w:val="20"/>
                <w:szCs w:val="20"/>
                <w:lang w:val="af-ZA"/>
              </w:rPr>
            </w:pPr>
          </w:p>
          <w:p w:rsidR="00154773" w:rsidRPr="0053423A" w:rsidRDefault="00154773" w:rsidP="00154773">
            <w:pPr>
              <w:tabs>
                <w:tab w:val="left" w:pos="2790"/>
              </w:tabs>
              <w:ind w:left="90" w:firstLine="630"/>
              <w:contextualSpacing/>
              <w:jc w:val="both"/>
              <w:rPr>
                <w:sz w:val="20"/>
                <w:szCs w:val="20"/>
                <w:lang w:val="af-ZA"/>
              </w:rPr>
            </w:pPr>
            <w:r w:rsidRPr="0053423A">
              <w:rPr>
                <w:sz w:val="20"/>
                <w:szCs w:val="20"/>
                <w:lang w:val="af-ZA"/>
              </w:rPr>
              <w:t>Միջոցառման իրականացման ապահովմամբ կկարգավորվեն չափորոշչի և ծրագրերի համապատասխանությունը:</w:t>
            </w:r>
          </w:p>
          <w:p w:rsidR="00154773" w:rsidRPr="0053423A" w:rsidRDefault="00154773" w:rsidP="00154773">
            <w:pPr>
              <w:tabs>
                <w:tab w:val="left" w:pos="2790"/>
              </w:tabs>
              <w:ind w:left="720"/>
              <w:contextualSpacing/>
              <w:jc w:val="both"/>
              <w:rPr>
                <w:rFonts w:cs="Sylfaen"/>
                <w:sz w:val="20"/>
                <w:szCs w:val="20"/>
                <w:lang w:val="af-ZA"/>
              </w:rPr>
            </w:pPr>
          </w:p>
          <w:p w:rsidR="00154773" w:rsidRPr="0053423A" w:rsidRDefault="00154773" w:rsidP="001F6D5D">
            <w:pPr>
              <w:numPr>
                <w:ilvl w:val="0"/>
                <w:numId w:val="489"/>
              </w:numPr>
              <w:tabs>
                <w:tab w:val="left" w:pos="2790"/>
              </w:tabs>
              <w:contextualSpacing/>
              <w:jc w:val="both"/>
              <w:rPr>
                <w:rFonts w:cs="Sylfaen"/>
                <w:sz w:val="20"/>
                <w:szCs w:val="20"/>
                <w:lang w:val="af-ZA"/>
              </w:rPr>
            </w:pPr>
            <w:r w:rsidRPr="0053423A">
              <w:rPr>
                <w:b/>
                <w:sz w:val="20"/>
                <w:szCs w:val="20"/>
              </w:rPr>
              <w:t>Միջոցառման</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r w:rsidRPr="0053423A">
              <w:rPr>
                <w:sz w:val="20"/>
                <w:szCs w:val="20"/>
                <w:lang w:val="af-ZA"/>
              </w:rPr>
              <w:t xml:space="preserve"> </w:t>
            </w:r>
          </w:p>
          <w:p w:rsidR="00154773" w:rsidRPr="0053423A" w:rsidRDefault="00154773" w:rsidP="00154773">
            <w:pPr>
              <w:tabs>
                <w:tab w:val="left" w:pos="2790"/>
              </w:tabs>
              <w:ind w:left="720"/>
              <w:contextualSpacing/>
              <w:jc w:val="both"/>
              <w:rPr>
                <w:rFonts w:cs="Sylfaen"/>
                <w:sz w:val="20"/>
                <w:szCs w:val="20"/>
                <w:lang w:val="af-ZA"/>
              </w:rPr>
            </w:pPr>
          </w:p>
          <w:p w:rsidR="00154773" w:rsidRPr="0053423A" w:rsidRDefault="00154773" w:rsidP="00154773">
            <w:pPr>
              <w:jc w:val="center"/>
              <w:rPr>
                <w:rFonts w:eastAsia="Times New Roman" w:cs="Times New Roman"/>
                <w:b/>
                <w:sz w:val="20"/>
                <w:szCs w:val="20"/>
                <w:lang w:val="hy-AM"/>
              </w:rPr>
            </w:pPr>
            <w:r w:rsidRPr="0053423A">
              <w:rPr>
                <w:sz w:val="20"/>
                <w:szCs w:val="20"/>
                <w:lang w:val="af-ZA"/>
              </w:rPr>
              <w:tab/>
              <w:t>Նախադպրոցական կրթության պետական կրթական չափորոշիչների վերնայմամբ ծրագրերն ու ծրագրերի բովանդակությունը կհապատասխանեցվի չափորոշինչներով սահմանված բաղադրիչներին:</w:t>
            </w:r>
          </w:p>
        </w:tc>
      </w:tr>
      <w:tr w:rsidR="00154773" w:rsidRPr="00DE2EF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9</w:t>
            </w:r>
          </w:p>
        </w:tc>
        <w:tc>
          <w:tcPr>
            <w:tcW w:w="10620" w:type="dxa"/>
          </w:tcPr>
          <w:p w:rsidR="00154773" w:rsidRPr="0053423A" w:rsidRDefault="00154773" w:rsidP="00154773">
            <w:pPr>
              <w:jc w:val="center"/>
              <w:rPr>
                <w:b/>
                <w:sz w:val="20"/>
                <w:szCs w:val="20"/>
                <w:u w:val="single"/>
                <w:lang w:val="af-ZA"/>
              </w:rPr>
            </w:pPr>
            <w:r w:rsidRPr="0053423A">
              <w:rPr>
                <w:rFonts w:eastAsia="Calibri" w:cs="GHEA Grapalat"/>
                <w:b/>
                <w:color w:val="000000"/>
                <w:sz w:val="20"/>
                <w:szCs w:val="20"/>
                <w:u w:val="single"/>
                <w:lang w:val="hy-AM"/>
              </w:rPr>
              <w:t xml:space="preserve">9.1 </w:t>
            </w:r>
            <w:r w:rsidRPr="0053423A">
              <w:rPr>
                <w:b/>
                <w:sz w:val="20"/>
                <w:szCs w:val="20"/>
                <w:u w:val="single"/>
                <w:lang w:val="hy-AM"/>
              </w:rPr>
              <w:t>ՀՀ մարզերի զարգացման ուղղություններից և աշխատաշուկայի պահանջներից ելնելով՝ նախնական մասնագիտական (արհեստագործական) և միջին մասնագիտական կրթության մասնագիտությունների ցանկերի վերանայում, «Նախնական մասնագիտական  (արհեստագործական) և միջին մասնագիտական կրթության մասնագիտությունների ցանկերը հաստատելու և ՀՀ կառավարության 2006թ. հունվարի 12-ի N73-Ն որոշման մեջ փոփոխություններ կատարելու մասին»  ՀՀ կառավարության որոշման նախագծի ներկայացում ՀՀ վարչապետի աշխատակազմ</w:t>
            </w:r>
          </w:p>
          <w:p w:rsidR="00154773" w:rsidRPr="0053423A" w:rsidRDefault="00154773" w:rsidP="00154773">
            <w:pPr>
              <w:jc w:val="both"/>
              <w:rPr>
                <w:rFonts w:eastAsia="Calibri" w:cs="GHEA Grapalat"/>
                <w:b/>
                <w:color w:val="000000"/>
                <w:sz w:val="20"/>
                <w:szCs w:val="20"/>
                <w:u w:val="single"/>
                <w:lang w:val="af-ZA"/>
              </w:rPr>
            </w:pPr>
          </w:p>
          <w:p w:rsidR="00154773" w:rsidRPr="0053423A" w:rsidRDefault="00154773" w:rsidP="00154773">
            <w:pPr>
              <w:rPr>
                <w:rFonts w:cs="Arial"/>
                <w:b/>
                <w:color w:val="000000"/>
                <w:sz w:val="20"/>
                <w:szCs w:val="20"/>
                <w:lang w:val="af-ZA"/>
              </w:rPr>
            </w:pPr>
            <w:r w:rsidRPr="0053423A">
              <w:rPr>
                <w:rFonts w:eastAsia="Times New Roman" w:cs="Times New Roman"/>
                <w:b/>
                <w:sz w:val="20"/>
                <w:szCs w:val="20"/>
                <w:lang w:val="af-ZA"/>
              </w:rPr>
              <w:t xml:space="preserve">1. </w:t>
            </w:r>
            <w:r w:rsidRPr="0053423A">
              <w:rPr>
                <w:rFonts w:eastAsia="Times New Roman" w:cs="Times New Roman"/>
                <w:b/>
                <w:sz w:val="20"/>
                <w:szCs w:val="20"/>
                <w:lang w:val="hy-AM"/>
              </w:rPr>
              <w:t>Միջոցառման իրականացման անհրաժեշտությունը և նպատակը</w:t>
            </w:r>
            <w:r w:rsidRPr="0053423A">
              <w:rPr>
                <w:rFonts w:cs="Arial"/>
                <w:b/>
                <w:color w:val="000000"/>
                <w:sz w:val="20"/>
                <w:szCs w:val="20"/>
                <w:lang w:val="af-ZA"/>
              </w:rPr>
              <w:t xml:space="preserve"> </w:t>
            </w:r>
          </w:p>
          <w:p w:rsidR="00154773" w:rsidRPr="0053423A" w:rsidRDefault="00154773" w:rsidP="00154773">
            <w:pPr>
              <w:jc w:val="both"/>
              <w:rPr>
                <w:rFonts w:cs="Sylfaen"/>
                <w:b/>
                <w:sz w:val="20"/>
                <w:szCs w:val="20"/>
                <w:u w:val="single"/>
                <w:lang w:val="af-ZA"/>
              </w:rPr>
            </w:pPr>
          </w:p>
          <w:p w:rsidR="00154773" w:rsidRPr="0053423A" w:rsidRDefault="00154773" w:rsidP="00154773">
            <w:pPr>
              <w:ind w:firstLine="284"/>
              <w:contextualSpacing/>
              <w:jc w:val="both"/>
              <w:rPr>
                <w:spacing w:val="-4"/>
                <w:sz w:val="20"/>
                <w:szCs w:val="20"/>
                <w:lang w:val="af-ZA"/>
              </w:rPr>
            </w:pPr>
            <w:r w:rsidRPr="0053423A">
              <w:rPr>
                <w:spacing w:val="-4"/>
                <w:sz w:val="20"/>
                <w:szCs w:val="20"/>
              </w:rPr>
              <w:t>Միջոցառման</w:t>
            </w:r>
            <w:r w:rsidRPr="0053423A">
              <w:rPr>
                <w:spacing w:val="-4"/>
                <w:sz w:val="20"/>
                <w:szCs w:val="20"/>
                <w:lang w:val="af-ZA"/>
              </w:rPr>
              <w:t xml:space="preserve"> </w:t>
            </w:r>
            <w:r w:rsidRPr="0053423A">
              <w:rPr>
                <w:spacing w:val="-4"/>
                <w:sz w:val="20"/>
                <w:szCs w:val="20"/>
              </w:rPr>
              <w:t>գլխավոր</w:t>
            </w:r>
            <w:r w:rsidRPr="0053423A">
              <w:rPr>
                <w:spacing w:val="-4"/>
                <w:sz w:val="20"/>
                <w:szCs w:val="20"/>
                <w:lang w:val="af-ZA"/>
              </w:rPr>
              <w:t xml:space="preserve"> </w:t>
            </w:r>
            <w:r w:rsidRPr="0053423A">
              <w:rPr>
                <w:spacing w:val="-4"/>
                <w:sz w:val="20"/>
                <w:szCs w:val="20"/>
              </w:rPr>
              <w:t>նպատակն</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կրթական</w:t>
            </w:r>
            <w:r w:rsidRPr="0053423A">
              <w:rPr>
                <w:spacing w:val="-4"/>
                <w:sz w:val="20"/>
                <w:szCs w:val="20"/>
                <w:lang w:val="af-ZA"/>
              </w:rPr>
              <w:t xml:space="preserve"> </w:t>
            </w:r>
            <w:r w:rsidRPr="0053423A">
              <w:rPr>
                <w:spacing w:val="-4"/>
                <w:sz w:val="20"/>
                <w:szCs w:val="20"/>
              </w:rPr>
              <w:t>ծրագրերի</w:t>
            </w:r>
            <w:r w:rsidRPr="0053423A">
              <w:rPr>
                <w:spacing w:val="-4"/>
                <w:sz w:val="20"/>
                <w:szCs w:val="20"/>
                <w:lang w:val="af-ZA"/>
              </w:rPr>
              <w:t xml:space="preserve"> </w:t>
            </w:r>
            <w:r w:rsidRPr="0053423A">
              <w:rPr>
                <w:spacing w:val="-4"/>
                <w:sz w:val="20"/>
                <w:szCs w:val="20"/>
              </w:rPr>
              <w:t>արդիականացումը՝</w:t>
            </w:r>
            <w:r w:rsidRPr="0053423A">
              <w:rPr>
                <w:spacing w:val="-4"/>
                <w:sz w:val="20"/>
                <w:szCs w:val="20"/>
                <w:lang w:val="af-ZA"/>
              </w:rPr>
              <w:t xml:space="preserve"> </w:t>
            </w:r>
            <w:r w:rsidRPr="0053423A">
              <w:rPr>
                <w:spacing w:val="-4"/>
                <w:sz w:val="20"/>
                <w:szCs w:val="20"/>
              </w:rPr>
              <w:t>ուղղված</w:t>
            </w:r>
            <w:r w:rsidRPr="0053423A">
              <w:rPr>
                <w:spacing w:val="-4"/>
                <w:sz w:val="20"/>
                <w:szCs w:val="20"/>
                <w:lang w:val="af-ZA"/>
              </w:rPr>
              <w:t xml:space="preserve"> </w:t>
            </w:r>
            <w:r w:rsidRPr="0053423A">
              <w:rPr>
                <w:spacing w:val="-4"/>
                <w:sz w:val="20"/>
                <w:szCs w:val="20"/>
              </w:rPr>
              <w:t>տնտեսության</w:t>
            </w:r>
            <w:r w:rsidRPr="0053423A">
              <w:rPr>
                <w:spacing w:val="-4"/>
                <w:sz w:val="20"/>
                <w:szCs w:val="20"/>
                <w:lang w:val="af-ZA"/>
              </w:rPr>
              <w:t xml:space="preserve"> </w:t>
            </w:r>
            <w:r w:rsidRPr="0053423A">
              <w:rPr>
                <w:spacing w:val="-4"/>
                <w:sz w:val="20"/>
                <w:szCs w:val="20"/>
              </w:rPr>
              <w:t>և</w:t>
            </w:r>
            <w:r w:rsidRPr="0053423A">
              <w:rPr>
                <w:spacing w:val="-4"/>
                <w:sz w:val="20"/>
                <w:szCs w:val="20"/>
                <w:lang w:val="af-ZA"/>
              </w:rPr>
              <w:t xml:space="preserve"> </w:t>
            </w:r>
            <w:r w:rsidRPr="0053423A">
              <w:rPr>
                <w:spacing w:val="-4"/>
                <w:sz w:val="20"/>
                <w:szCs w:val="20"/>
              </w:rPr>
              <w:t>աշխատաշուկայի</w:t>
            </w:r>
            <w:r w:rsidRPr="0053423A">
              <w:rPr>
                <w:spacing w:val="-4"/>
                <w:sz w:val="20"/>
                <w:szCs w:val="20"/>
                <w:lang w:val="af-ZA"/>
              </w:rPr>
              <w:t xml:space="preserve"> </w:t>
            </w:r>
            <w:r w:rsidRPr="0053423A">
              <w:rPr>
                <w:spacing w:val="-4"/>
                <w:sz w:val="20"/>
                <w:szCs w:val="20"/>
              </w:rPr>
              <w:t>փոփոխվող</w:t>
            </w:r>
            <w:r w:rsidRPr="0053423A">
              <w:rPr>
                <w:spacing w:val="-4"/>
                <w:sz w:val="20"/>
                <w:szCs w:val="20"/>
                <w:lang w:val="af-ZA"/>
              </w:rPr>
              <w:t xml:space="preserve"> </w:t>
            </w:r>
            <w:r w:rsidRPr="0053423A">
              <w:rPr>
                <w:spacing w:val="-4"/>
                <w:sz w:val="20"/>
                <w:szCs w:val="20"/>
              </w:rPr>
              <w:t>պահանջներին</w:t>
            </w:r>
            <w:r w:rsidRPr="0053423A">
              <w:rPr>
                <w:spacing w:val="-4"/>
                <w:sz w:val="20"/>
                <w:szCs w:val="20"/>
                <w:lang w:val="af-ZA"/>
              </w:rPr>
              <w:t>:</w:t>
            </w:r>
          </w:p>
          <w:p w:rsidR="00154773" w:rsidRPr="0053423A" w:rsidRDefault="00154773" w:rsidP="00154773">
            <w:pPr>
              <w:ind w:firstLine="360"/>
              <w:jc w:val="both"/>
              <w:rPr>
                <w:b/>
                <w:sz w:val="20"/>
                <w:szCs w:val="20"/>
                <w:u w:val="single"/>
                <w:lang w:val="hy-AM"/>
              </w:rPr>
            </w:pPr>
            <w:r w:rsidRPr="0053423A">
              <w:rPr>
                <w:spacing w:val="-4"/>
                <w:sz w:val="20"/>
                <w:szCs w:val="20"/>
              </w:rPr>
              <w:t>Միջոցառման</w:t>
            </w:r>
            <w:r w:rsidRPr="0053423A">
              <w:rPr>
                <w:spacing w:val="-4"/>
                <w:sz w:val="20"/>
                <w:szCs w:val="20"/>
                <w:lang w:val="af-ZA"/>
              </w:rPr>
              <w:t xml:space="preserve"> </w:t>
            </w:r>
            <w:r w:rsidRPr="0053423A">
              <w:rPr>
                <w:spacing w:val="-4"/>
                <w:sz w:val="20"/>
                <w:szCs w:val="20"/>
              </w:rPr>
              <w:t>անհրաժեշտությունը</w:t>
            </w:r>
            <w:r w:rsidRPr="0053423A">
              <w:rPr>
                <w:spacing w:val="-4"/>
                <w:sz w:val="20"/>
                <w:szCs w:val="20"/>
                <w:lang w:val="af-ZA"/>
              </w:rPr>
              <w:t xml:space="preserve"> </w:t>
            </w:r>
            <w:r w:rsidRPr="0053423A">
              <w:rPr>
                <w:spacing w:val="-4"/>
                <w:sz w:val="20"/>
                <w:szCs w:val="20"/>
              </w:rPr>
              <w:t>բխում</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ԱԺ</w:t>
            </w:r>
            <w:r w:rsidRPr="0053423A">
              <w:rPr>
                <w:spacing w:val="-4"/>
                <w:sz w:val="20"/>
                <w:szCs w:val="20"/>
                <w:lang w:val="af-ZA"/>
              </w:rPr>
              <w:t xml:space="preserve"> 2019 </w:t>
            </w:r>
            <w:r w:rsidRPr="0053423A">
              <w:rPr>
                <w:spacing w:val="-4"/>
                <w:sz w:val="20"/>
                <w:szCs w:val="20"/>
              </w:rPr>
              <w:t>թվականի</w:t>
            </w:r>
            <w:r w:rsidRPr="0053423A">
              <w:rPr>
                <w:spacing w:val="-4"/>
                <w:sz w:val="20"/>
                <w:szCs w:val="20"/>
                <w:lang w:val="af-ZA"/>
              </w:rPr>
              <w:t xml:space="preserve"> </w:t>
            </w:r>
            <w:r w:rsidRPr="0053423A">
              <w:rPr>
                <w:spacing w:val="-4"/>
                <w:sz w:val="20"/>
                <w:szCs w:val="20"/>
              </w:rPr>
              <w:t>փետրվարի</w:t>
            </w:r>
            <w:r w:rsidRPr="0053423A">
              <w:rPr>
                <w:spacing w:val="-4"/>
                <w:sz w:val="20"/>
                <w:szCs w:val="20"/>
                <w:lang w:val="af-ZA"/>
              </w:rPr>
              <w:t xml:space="preserve"> 14-</w:t>
            </w:r>
            <w:r w:rsidRPr="0053423A">
              <w:rPr>
                <w:spacing w:val="-4"/>
                <w:sz w:val="20"/>
                <w:szCs w:val="20"/>
              </w:rPr>
              <w:t>ի</w:t>
            </w:r>
            <w:r w:rsidRPr="0053423A">
              <w:rPr>
                <w:spacing w:val="-4"/>
                <w:sz w:val="20"/>
                <w:szCs w:val="20"/>
                <w:lang w:val="af-ZA"/>
              </w:rPr>
              <w:t xml:space="preserve"> </w:t>
            </w:r>
            <w:r w:rsidRPr="0053423A">
              <w:rPr>
                <w:spacing w:val="-4"/>
                <w:sz w:val="20"/>
                <w:szCs w:val="20"/>
              </w:rPr>
              <w:t>ԱԺՈ</w:t>
            </w:r>
            <w:r w:rsidRPr="0053423A">
              <w:rPr>
                <w:spacing w:val="-4"/>
                <w:sz w:val="20"/>
                <w:szCs w:val="20"/>
                <w:lang w:val="af-ZA"/>
              </w:rPr>
              <w:t>-002-</w:t>
            </w:r>
            <w:r w:rsidRPr="0053423A">
              <w:rPr>
                <w:spacing w:val="-4"/>
                <w:sz w:val="20"/>
                <w:szCs w:val="20"/>
              </w:rPr>
              <w:t>Ն</w:t>
            </w:r>
            <w:r w:rsidRPr="0053423A">
              <w:rPr>
                <w:spacing w:val="-4"/>
                <w:sz w:val="20"/>
                <w:szCs w:val="20"/>
                <w:lang w:val="af-ZA"/>
              </w:rPr>
              <w:t xml:space="preserve"> </w:t>
            </w:r>
            <w:r w:rsidRPr="0053423A">
              <w:rPr>
                <w:spacing w:val="-4"/>
                <w:sz w:val="20"/>
                <w:szCs w:val="20"/>
              </w:rPr>
              <w:t>որոշմամբ</w:t>
            </w:r>
            <w:r w:rsidRPr="0053423A">
              <w:rPr>
                <w:spacing w:val="-4"/>
                <w:sz w:val="20"/>
                <w:szCs w:val="20"/>
                <w:lang w:val="af-ZA"/>
              </w:rPr>
              <w:t xml:space="preserve"> </w:t>
            </w:r>
            <w:r w:rsidRPr="0053423A">
              <w:rPr>
                <w:spacing w:val="-4"/>
                <w:sz w:val="20"/>
                <w:szCs w:val="20"/>
              </w:rPr>
              <w:t>հավանության</w:t>
            </w:r>
            <w:r w:rsidRPr="0053423A">
              <w:rPr>
                <w:spacing w:val="-4"/>
                <w:sz w:val="20"/>
                <w:szCs w:val="20"/>
                <w:lang w:val="af-ZA"/>
              </w:rPr>
              <w:t xml:space="preserve"> </w:t>
            </w:r>
            <w:r w:rsidRPr="0053423A">
              <w:rPr>
                <w:spacing w:val="-4"/>
                <w:sz w:val="20"/>
                <w:szCs w:val="20"/>
              </w:rPr>
              <w:t>արժանացած</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կառավարության</w:t>
            </w:r>
            <w:r w:rsidRPr="0053423A">
              <w:rPr>
                <w:spacing w:val="-4"/>
                <w:sz w:val="20"/>
                <w:szCs w:val="20"/>
                <w:lang w:val="af-ZA"/>
              </w:rPr>
              <w:t xml:space="preserve"> </w:t>
            </w:r>
            <w:r w:rsidRPr="0053423A">
              <w:rPr>
                <w:spacing w:val="-4"/>
                <w:sz w:val="20"/>
                <w:szCs w:val="20"/>
              </w:rPr>
              <w:t>ծրագրի</w:t>
            </w:r>
            <w:r w:rsidRPr="0053423A">
              <w:rPr>
                <w:spacing w:val="-4"/>
                <w:sz w:val="20"/>
                <w:szCs w:val="20"/>
                <w:lang w:val="af-ZA"/>
              </w:rPr>
              <w:t xml:space="preserve"> </w:t>
            </w:r>
            <w:r w:rsidRPr="0053423A">
              <w:rPr>
                <w:rFonts w:eastAsia="Times New Roman" w:cs="Times New Roman"/>
                <w:sz w:val="20"/>
                <w:szCs w:val="20"/>
                <w:lang w:val="af-ZA"/>
              </w:rPr>
              <w:t>«</w:t>
            </w:r>
            <w:r w:rsidRPr="0053423A">
              <w:rPr>
                <w:spacing w:val="-4"/>
                <w:sz w:val="20"/>
                <w:szCs w:val="20"/>
                <w:lang w:val="af-ZA"/>
              </w:rPr>
              <w:t xml:space="preserve">4.4 </w:t>
            </w:r>
            <w:r w:rsidRPr="0053423A">
              <w:rPr>
                <w:spacing w:val="-4"/>
                <w:sz w:val="20"/>
                <w:szCs w:val="20"/>
              </w:rPr>
              <w:t>ԿՐԹՈՒԹՅՈՒՆ</w:t>
            </w:r>
            <w:r w:rsidRPr="0053423A">
              <w:rPr>
                <w:spacing w:val="-4"/>
                <w:sz w:val="20"/>
                <w:szCs w:val="20"/>
                <w:lang w:val="af-ZA"/>
              </w:rPr>
              <w:t xml:space="preserve"> </w:t>
            </w:r>
            <w:r w:rsidRPr="0053423A">
              <w:rPr>
                <w:spacing w:val="-4"/>
                <w:sz w:val="20"/>
                <w:szCs w:val="20"/>
              </w:rPr>
              <w:t>ԵՎ</w:t>
            </w:r>
            <w:r w:rsidRPr="0053423A">
              <w:rPr>
                <w:spacing w:val="-4"/>
                <w:sz w:val="20"/>
                <w:szCs w:val="20"/>
                <w:lang w:val="af-ZA"/>
              </w:rPr>
              <w:t xml:space="preserve"> </w:t>
            </w:r>
            <w:r w:rsidRPr="0053423A">
              <w:rPr>
                <w:spacing w:val="-4"/>
                <w:sz w:val="20"/>
                <w:szCs w:val="20"/>
              </w:rPr>
              <w:t>ԳԻՏՈՒԹՅՈՒՆ</w:t>
            </w:r>
            <w:r w:rsidRPr="0053423A">
              <w:rPr>
                <w:rFonts w:eastAsia="Times New Roman" w:cs="Times New Roman"/>
                <w:sz w:val="20"/>
                <w:szCs w:val="20"/>
                <w:lang w:val="af-ZA"/>
              </w:rPr>
              <w:t xml:space="preserve">»  </w:t>
            </w:r>
            <w:r w:rsidRPr="0053423A">
              <w:rPr>
                <w:rFonts w:eastAsia="Calibri" w:cs="Sylfaen"/>
                <w:sz w:val="20"/>
                <w:szCs w:val="20"/>
                <w:lang w:val="hy-AM"/>
              </w:rPr>
              <w:t>բաժնի</w:t>
            </w:r>
            <w:r w:rsidRPr="0053423A">
              <w:rPr>
                <w:rFonts w:eastAsia="Calibri" w:cs="Sylfaen"/>
                <w:sz w:val="20"/>
                <w:szCs w:val="20"/>
                <w:lang w:val="af-ZA"/>
              </w:rPr>
              <w:t xml:space="preserve"> 3-րդ և </w:t>
            </w:r>
            <w:r w:rsidRPr="0053423A">
              <w:rPr>
                <w:rFonts w:cs="Arial"/>
                <w:color w:val="000000"/>
                <w:sz w:val="20"/>
                <w:szCs w:val="20"/>
                <w:lang w:val="af-ZA"/>
              </w:rPr>
              <w:t xml:space="preserve">5-րդ պարբերություններից, </w:t>
            </w:r>
            <w:r w:rsidRPr="0053423A">
              <w:rPr>
                <w:sz w:val="20"/>
                <w:szCs w:val="20"/>
                <w:lang w:val="hy-AM"/>
              </w:rPr>
              <w:t>«Նախնական մասնագիտական (արհեստագործական) և միջին մասնագիտական կրթության մասին»</w:t>
            </w:r>
            <w:r w:rsidRPr="0053423A">
              <w:rPr>
                <w:sz w:val="20"/>
                <w:szCs w:val="20"/>
                <w:lang w:val="af-ZA"/>
              </w:rPr>
              <w:t xml:space="preserve"> </w:t>
            </w:r>
            <w:r w:rsidRPr="0053423A">
              <w:rPr>
                <w:sz w:val="20"/>
                <w:szCs w:val="20"/>
                <w:lang w:val="hy-AM"/>
              </w:rPr>
              <w:t xml:space="preserve">ՀՀ օրենքի </w:t>
            </w:r>
            <w:r w:rsidRPr="0053423A">
              <w:rPr>
                <w:sz w:val="20"/>
                <w:szCs w:val="20"/>
                <w:lang w:val="af-ZA"/>
              </w:rPr>
              <w:t>9-</w:t>
            </w:r>
            <w:r w:rsidRPr="0053423A">
              <w:rPr>
                <w:sz w:val="20"/>
                <w:szCs w:val="20"/>
                <w:lang w:val="hy-AM"/>
              </w:rPr>
              <w:t>րդ հոդվածի 1-ին և 3</w:t>
            </w:r>
            <w:r w:rsidRPr="0053423A">
              <w:rPr>
                <w:sz w:val="20"/>
                <w:szCs w:val="20"/>
                <w:lang w:val="af-ZA"/>
              </w:rPr>
              <w:t>-</w:t>
            </w:r>
            <w:r w:rsidRPr="0053423A">
              <w:rPr>
                <w:sz w:val="20"/>
                <w:szCs w:val="20"/>
                <w:lang w:val="hy-AM"/>
              </w:rPr>
              <w:t>րդ</w:t>
            </w:r>
            <w:r w:rsidRPr="0053423A">
              <w:rPr>
                <w:sz w:val="20"/>
                <w:szCs w:val="20"/>
                <w:lang w:val="af-ZA"/>
              </w:rPr>
              <w:t xml:space="preserve"> </w:t>
            </w:r>
            <w:r w:rsidRPr="0053423A">
              <w:rPr>
                <w:sz w:val="20"/>
                <w:szCs w:val="20"/>
                <w:lang w:val="hy-AM"/>
              </w:rPr>
              <w:t>կետեր</w:t>
            </w:r>
            <w:r w:rsidRPr="0053423A">
              <w:rPr>
                <w:sz w:val="20"/>
                <w:szCs w:val="20"/>
              </w:rPr>
              <w:t>ից</w:t>
            </w:r>
            <w:r w:rsidRPr="0053423A">
              <w:rPr>
                <w:sz w:val="20"/>
                <w:szCs w:val="20"/>
                <w:lang w:val="hy-AM"/>
              </w:rPr>
              <w:t>:</w:t>
            </w:r>
          </w:p>
          <w:p w:rsidR="00154773" w:rsidRPr="0053423A" w:rsidRDefault="00154773" w:rsidP="00154773">
            <w:pPr>
              <w:ind w:firstLine="360"/>
              <w:jc w:val="both"/>
              <w:rPr>
                <w:sz w:val="20"/>
                <w:szCs w:val="20"/>
                <w:lang w:val="hy-AM"/>
              </w:rPr>
            </w:pPr>
            <w:r w:rsidRPr="0053423A">
              <w:rPr>
                <w:sz w:val="20"/>
                <w:szCs w:val="20"/>
                <w:lang w:val="hy-AM"/>
              </w:rPr>
              <w:t xml:space="preserve">Մասնագիտությունների ցանկերի վերանայումը՝ տարածաշրջանային և ոլորտային զարգացմանը համապատասխան, կնպաստի աշխատաշուկայում պահանջարկ չվայելող մասնագիտությունների բաժինների փակմանը և պետության, ՀՀ մարզերի զարգացման համար առաջնահերթ և կարևորություն ներկայացնող, ինչպես նաև աշխատաշուկայում առավել պահանջարկված ոլորտների գծով նոր մասնագիտությունների ընդգրկմանը ցանկերում, ՄԿՈՒ ոլորտի մասնագիտությունների արդիականացմանը: </w:t>
            </w:r>
          </w:p>
          <w:p w:rsidR="00154773" w:rsidRPr="0053423A" w:rsidRDefault="00154773" w:rsidP="00154773">
            <w:pPr>
              <w:ind w:left="284"/>
              <w:jc w:val="both"/>
              <w:rPr>
                <w:rFonts w:cs="Arial"/>
                <w:color w:val="000000"/>
                <w:sz w:val="20"/>
                <w:szCs w:val="20"/>
                <w:lang w:val="af-ZA"/>
              </w:rPr>
            </w:pPr>
          </w:p>
          <w:p w:rsidR="00154773" w:rsidRPr="0053423A" w:rsidRDefault="00154773" w:rsidP="001547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23"/>
              <w:jc w:val="both"/>
              <w:rPr>
                <w:sz w:val="20"/>
                <w:szCs w:val="20"/>
                <w:lang w:val="hy-AM"/>
              </w:rPr>
            </w:pPr>
          </w:p>
          <w:p w:rsidR="00154773" w:rsidRPr="0053423A" w:rsidRDefault="00154773" w:rsidP="001F6D5D">
            <w:pPr>
              <w:numPr>
                <w:ilvl w:val="1"/>
                <w:numId w:val="456"/>
              </w:numPr>
              <w:contextualSpacing/>
              <w:jc w:val="both"/>
              <w:rPr>
                <w:rFonts w:eastAsia="Times New Roman" w:cs="Times New Roman"/>
                <w:b/>
                <w:sz w:val="20"/>
                <w:szCs w:val="20"/>
                <w:lang w:val="af-ZA"/>
              </w:rPr>
            </w:pPr>
            <w:r w:rsidRPr="0053423A">
              <w:rPr>
                <w:rFonts w:eastAsia="Times New Roman" w:cs="Times New Roman"/>
                <w:b/>
                <w:sz w:val="20"/>
                <w:szCs w:val="20"/>
                <w:lang w:val="hy-AM"/>
              </w:rPr>
              <w:t>կարգավորման հարաբերությունների ներկա վիճակը և առկա խնդիրները</w:t>
            </w:r>
            <w:r w:rsidRPr="0053423A">
              <w:rPr>
                <w:rFonts w:eastAsia="Times New Roman" w:cs="Times New Roman"/>
                <w:b/>
                <w:sz w:val="20"/>
                <w:szCs w:val="20"/>
                <w:lang w:val="af-ZA"/>
              </w:rPr>
              <w:t>.</w:t>
            </w:r>
          </w:p>
          <w:p w:rsidR="00154773" w:rsidRPr="0053423A" w:rsidRDefault="00154773" w:rsidP="00154773">
            <w:pPr>
              <w:contextualSpacing/>
              <w:jc w:val="both"/>
              <w:rPr>
                <w:rFonts w:cs="Sylfaen"/>
                <w:b/>
                <w:sz w:val="20"/>
                <w:szCs w:val="20"/>
                <w:highlight w:val="yellow"/>
                <w:lang w:val="af-ZA"/>
              </w:rPr>
            </w:pPr>
          </w:p>
          <w:p w:rsidR="00154773" w:rsidRPr="0053423A" w:rsidRDefault="00154773" w:rsidP="00154773">
            <w:pPr>
              <w:ind w:firstLine="450"/>
              <w:jc w:val="both"/>
              <w:rPr>
                <w:rFonts w:cs="Times New Roman"/>
                <w:sz w:val="20"/>
                <w:szCs w:val="20"/>
                <w:shd w:val="clear" w:color="auto" w:fill="FFFFFF"/>
                <w:lang w:val="af-ZA" w:eastAsia="ru-RU"/>
              </w:rPr>
            </w:pPr>
            <w:r w:rsidRPr="0053423A">
              <w:rPr>
                <w:sz w:val="20"/>
                <w:szCs w:val="20"/>
                <w:shd w:val="clear" w:color="auto" w:fill="FFFFFF"/>
                <w:lang w:val="af-ZA"/>
              </w:rPr>
              <w:t>Նախնական մասնագիտական  (արհեստագործական) և միջին մասնագիտական կրթության մասնագիտու</w:t>
            </w:r>
            <w:r w:rsidRPr="0053423A">
              <w:rPr>
                <w:sz w:val="20"/>
                <w:szCs w:val="20"/>
                <w:shd w:val="clear" w:color="auto" w:fill="FFFFFF"/>
                <w:lang w:val="af-ZA"/>
              </w:rPr>
              <w:softHyphen/>
              <w:t>թյունների և</w:t>
            </w:r>
            <w:r w:rsidRPr="0053423A">
              <w:rPr>
                <w:sz w:val="20"/>
                <w:szCs w:val="20"/>
                <w:shd w:val="clear" w:color="auto" w:fill="FFFFFF"/>
                <w:lang w:val="hy-AM"/>
              </w:rPr>
              <w:t xml:space="preserve"> </w:t>
            </w:r>
            <w:r w:rsidRPr="0053423A">
              <w:rPr>
                <w:sz w:val="20"/>
                <w:szCs w:val="20"/>
                <w:shd w:val="clear" w:color="auto" w:fill="FFFFFF"/>
                <w:lang w:val="af-ZA"/>
              </w:rPr>
              <w:t>որակավորումների</w:t>
            </w:r>
            <w:r w:rsidRPr="0053423A">
              <w:rPr>
                <w:sz w:val="20"/>
                <w:szCs w:val="20"/>
                <w:shd w:val="clear" w:color="auto" w:fill="FFFFFF"/>
                <w:lang w:val="hy-AM"/>
              </w:rPr>
              <w:t xml:space="preserve"> </w:t>
            </w:r>
            <w:r w:rsidRPr="0053423A">
              <w:rPr>
                <w:sz w:val="20"/>
                <w:szCs w:val="20"/>
                <w:shd w:val="clear" w:color="auto" w:fill="FFFFFF"/>
                <w:lang w:val="af-ZA"/>
              </w:rPr>
              <w:t>ցանկերը</w:t>
            </w:r>
            <w:r w:rsidRPr="0053423A">
              <w:rPr>
                <w:sz w:val="20"/>
                <w:szCs w:val="20"/>
                <w:shd w:val="clear" w:color="auto" w:fill="FFFFFF"/>
                <w:lang w:val="hy-AM"/>
              </w:rPr>
              <w:t xml:space="preserve"> վերանայվել են 2018 </w:t>
            </w:r>
            <w:r w:rsidRPr="0053423A">
              <w:rPr>
                <w:sz w:val="20"/>
                <w:szCs w:val="20"/>
                <w:shd w:val="clear" w:color="auto" w:fill="FFFFFF"/>
                <w:lang w:val="af-ZA"/>
              </w:rPr>
              <w:t xml:space="preserve">թվականին: Սակայն վերջին երկու տարիներին ՄԿՈւ համակարգում իրականացված և իրականացվելիք բարեփոխումները, կատարված ուսումնասիրությունները, ինչպես նաև ՆՄՄԿՈւ հաստատություններում ուսուցանվող մասնագիտությունները ՀՀ մարզային առանձնահատկություններին համապատասխանեցնելու գործընթացը առաջացրել են անհրաժեշտություն վերանայել մասնագիտությունների ցանկը: </w:t>
            </w:r>
          </w:p>
          <w:p w:rsidR="00154773" w:rsidRPr="0053423A" w:rsidRDefault="00154773" w:rsidP="00154773">
            <w:pPr>
              <w:ind w:firstLine="450"/>
              <w:jc w:val="both"/>
              <w:rPr>
                <w:rFonts w:cs="Times New Roman"/>
                <w:sz w:val="20"/>
                <w:szCs w:val="20"/>
                <w:shd w:val="clear" w:color="auto" w:fill="FFFFFF"/>
                <w:lang w:val="af-ZA" w:eastAsia="ru-RU"/>
              </w:rPr>
            </w:pPr>
            <w:r w:rsidRPr="0053423A">
              <w:rPr>
                <w:sz w:val="20"/>
                <w:szCs w:val="20"/>
                <w:shd w:val="clear" w:color="auto" w:fill="FFFFFF"/>
                <w:lang w:val="af-ZA"/>
              </w:rPr>
              <w:t>«Նախնական մասնագիտական (արհեստագործական) և միջին մասնագիտական կրթության մասնագիտու</w:t>
            </w:r>
            <w:r w:rsidRPr="0053423A">
              <w:rPr>
                <w:sz w:val="20"/>
                <w:szCs w:val="20"/>
                <w:shd w:val="clear" w:color="auto" w:fill="FFFFFF"/>
                <w:lang w:val="af-ZA"/>
              </w:rPr>
              <w:softHyphen/>
              <w:t>թյունների ցանկերի վերանայումը և համապատասխանաբար «Նախնական մասնագիտական  (արհեստագործական) և միջին մասնագիտական կրթության մասնագիտու</w:t>
            </w:r>
            <w:r w:rsidRPr="0053423A">
              <w:rPr>
                <w:sz w:val="20"/>
                <w:szCs w:val="20"/>
                <w:shd w:val="clear" w:color="auto" w:fill="FFFFFF"/>
                <w:lang w:val="af-ZA"/>
              </w:rPr>
              <w:softHyphen/>
              <w:t xml:space="preserve">թյունների ցանկերը հաստատելու և ՀՀ կառավարության 2006թ. հունվարի 12-ի N73-Ն որոշման մեջ փոփոխությունների կատարումը  հնարավորություն են ստեղծում </w:t>
            </w:r>
            <w:r w:rsidRPr="0053423A">
              <w:rPr>
                <w:sz w:val="20"/>
                <w:szCs w:val="20"/>
                <w:shd w:val="clear" w:color="auto" w:fill="FFFFFF"/>
              </w:rPr>
              <w:t>Հայաստանում</w:t>
            </w:r>
            <w:r w:rsidRPr="0053423A">
              <w:rPr>
                <w:sz w:val="20"/>
                <w:szCs w:val="20"/>
                <w:shd w:val="clear" w:color="auto" w:fill="FFFFFF"/>
                <w:lang w:val="af-ZA"/>
              </w:rPr>
              <w:t xml:space="preserve"> </w:t>
            </w:r>
            <w:r w:rsidRPr="0053423A">
              <w:rPr>
                <w:sz w:val="20"/>
                <w:szCs w:val="20"/>
                <w:shd w:val="clear" w:color="auto" w:fill="FFFFFF"/>
              </w:rPr>
              <w:t>իրականացվող</w:t>
            </w:r>
            <w:r w:rsidRPr="0053423A">
              <w:rPr>
                <w:sz w:val="20"/>
                <w:szCs w:val="20"/>
                <w:shd w:val="clear" w:color="auto" w:fill="FFFFFF"/>
                <w:lang w:val="af-ZA"/>
              </w:rPr>
              <w:t xml:space="preserve"> </w:t>
            </w:r>
            <w:r w:rsidRPr="0053423A">
              <w:rPr>
                <w:sz w:val="20"/>
                <w:szCs w:val="20"/>
                <w:shd w:val="clear" w:color="auto" w:fill="FFFFFF"/>
              </w:rPr>
              <w:t>նախնական</w:t>
            </w:r>
            <w:r w:rsidRPr="0053423A">
              <w:rPr>
                <w:sz w:val="20"/>
                <w:szCs w:val="20"/>
                <w:shd w:val="clear" w:color="auto" w:fill="FFFFFF"/>
                <w:lang w:val="af-ZA"/>
              </w:rPr>
              <w:t xml:space="preserve"> (արհեստագործական) և միջին մասնագիտական կրթությունը դարձնել առավել գրավիչ և համահունչ երկրի սոցիալ-տնտեսական զարգացման միտումներին և ժամանակակից զարգացումներին</w:t>
            </w:r>
            <w:r w:rsidRPr="0053423A">
              <w:rPr>
                <w:sz w:val="20"/>
                <w:szCs w:val="20"/>
                <w:shd w:val="clear" w:color="auto" w:fill="FFFFFF"/>
              </w:rPr>
              <w:t>՝</w:t>
            </w:r>
            <w:r w:rsidRPr="0053423A">
              <w:rPr>
                <w:sz w:val="20"/>
                <w:szCs w:val="20"/>
                <w:shd w:val="clear" w:color="auto" w:fill="FFFFFF"/>
                <w:lang w:val="af-ZA"/>
              </w:rPr>
              <w:t xml:space="preserve"> կանոնակարգելով </w:t>
            </w:r>
            <w:r w:rsidRPr="0053423A">
              <w:rPr>
                <w:sz w:val="20"/>
                <w:szCs w:val="20"/>
                <w:shd w:val="clear" w:color="auto" w:fill="FFFFFF"/>
              </w:rPr>
              <w:t>նախնական</w:t>
            </w:r>
            <w:r w:rsidRPr="0053423A">
              <w:rPr>
                <w:sz w:val="20"/>
                <w:szCs w:val="20"/>
                <w:shd w:val="clear" w:color="auto" w:fill="FFFFFF"/>
                <w:lang w:val="af-ZA"/>
              </w:rPr>
              <w:t xml:space="preserve"> (արհեստագործական) և միջին մասնագիտական կրթություն իրականացնող հաստատություններում տրամադրվող կրթական ծառայությունների մատուցումը </w:t>
            </w:r>
            <w:r w:rsidRPr="0053423A">
              <w:rPr>
                <w:sz w:val="20"/>
                <w:szCs w:val="20"/>
                <w:shd w:val="clear" w:color="auto" w:fill="FFFFFF"/>
              </w:rPr>
              <w:t>ըստ</w:t>
            </w:r>
            <w:r w:rsidRPr="0053423A">
              <w:rPr>
                <w:sz w:val="20"/>
                <w:szCs w:val="20"/>
                <w:shd w:val="clear" w:color="auto" w:fill="FFFFFF"/>
                <w:lang w:val="af-ZA"/>
              </w:rPr>
              <w:t xml:space="preserve"> ՀՀ մարզերի զարգացման համար առաջնահերթ և աշխատաշուկայում առավել պահանջարկված ոլորտների:</w:t>
            </w:r>
          </w:p>
          <w:p w:rsidR="00154773" w:rsidRPr="0053423A" w:rsidRDefault="00154773" w:rsidP="00154773">
            <w:pPr>
              <w:autoSpaceDE w:val="0"/>
              <w:autoSpaceDN w:val="0"/>
              <w:adjustRightInd w:val="0"/>
              <w:jc w:val="both"/>
              <w:rPr>
                <w:sz w:val="20"/>
                <w:szCs w:val="20"/>
                <w:lang w:val="hy-AM"/>
              </w:rPr>
            </w:pPr>
          </w:p>
          <w:p w:rsidR="00154773" w:rsidRPr="0053423A" w:rsidRDefault="00154773" w:rsidP="00154773">
            <w:pPr>
              <w:jc w:val="both"/>
              <w:rPr>
                <w:b/>
                <w:sz w:val="20"/>
                <w:szCs w:val="20"/>
                <w:u w:val="single"/>
                <w:lang w:val="af-ZA"/>
              </w:rPr>
            </w:pPr>
          </w:p>
          <w:p w:rsidR="00154773" w:rsidRPr="0053423A" w:rsidRDefault="00154773" w:rsidP="00154773">
            <w:pPr>
              <w:rPr>
                <w:rFonts w:eastAsia="Times New Roman" w:cs="Times New Roman"/>
                <w:b/>
                <w:sz w:val="20"/>
                <w:szCs w:val="20"/>
                <w:lang w:val="af-ZA"/>
              </w:rPr>
            </w:pPr>
            <w:r w:rsidRPr="0053423A">
              <w:rPr>
                <w:rFonts w:ascii="Calibri" w:eastAsia="Times New Roman" w:hAnsi="Calibri" w:cs="Calibri"/>
                <w:b/>
                <w:sz w:val="20"/>
                <w:szCs w:val="20"/>
                <w:lang w:val="hy-AM"/>
              </w:rPr>
              <w:t> </w:t>
            </w:r>
            <w:r w:rsidRPr="0053423A">
              <w:rPr>
                <w:rFonts w:eastAsia="Times New Roman" w:cs="Times New Roman"/>
                <w:b/>
                <w:sz w:val="20"/>
                <w:szCs w:val="20"/>
                <w:lang w:val="hy-AM"/>
              </w:rPr>
              <w:t>1.2. Առկա խնդիրների առաջարկվող լուծումները</w:t>
            </w:r>
          </w:p>
          <w:p w:rsidR="00154773" w:rsidRPr="0053423A" w:rsidRDefault="00154773" w:rsidP="00154773">
            <w:pPr>
              <w:jc w:val="both"/>
              <w:rPr>
                <w:b/>
                <w:sz w:val="20"/>
                <w:szCs w:val="20"/>
                <w:u w:val="single"/>
                <w:lang w:val="hy-AM"/>
              </w:rPr>
            </w:pPr>
          </w:p>
          <w:p w:rsidR="00154773" w:rsidRPr="0053423A" w:rsidRDefault="00154773" w:rsidP="00154773">
            <w:pPr>
              <w:tabs>
                <w:tab w:val="left" w:pos="158"/>
                <w:tab w:val="left" w:pos="450"/>
                <w:tab w:val="left" w:pos="630"/>
                <w:tab w:val="left" w:pos="5812"/>
              </w:tabs>
              <w:jc w:val="both"/>
              <w:rPr>
                <w:rFonts w:cs="Sylfaen"/>
                <w:sz w:val="20"/>
                <w:szCs w:val="20"/>
                <w:shd w:val="clear" w:color="auto" w:fill="FFFFFF"/>
                <w:lang w:val="hy-AM"/>
              </w:rPr>
            </w:pPr>
            <w:r w:rsidRPr="0053423A">
              <w:rPr>
                <w:rFonts w:cs="Sylfaen"/>
                <w:sz w:val="20"/>
                <w:szCs w:val="20"/>
                <w:lang w:val="hy-AM"/>
              </w:rPr>
              <w:tab/>
            </w:r>
            <w:r w:rsidRPr="0053423A">
              <w:rPr>
                <w:rFonts w:cs="Sylfaen"/>
                <w:sz w:val="20"/>
                <w:szCs w:val="20"/>
                <w:lang w:val="hy-AM"/>
              </w:rPr>
              <w:tab/>
              <w:t>Տնտեսության</w:t>
            </w:r>
            <w:r w:rsidRPr="0053423A">
              <w:rPr>
                <w:sz w:val="20"/>
                <w:szCs w:val="20"/>
                <w:lang w:val="hy-AM"/>
              </w:rPr>
              <w:t xml:space="preserve"> գերակա ոլորտների, հետագա զարգացման միտում</w:t>
            </w:r>
            <w:r w:rsidRPr="0053423A">
              <w:rPr>
                <w:sz w:val="20"/>
                <w:szCs w:val="20"/>
                <w:lang w:val="hy-AM"/>
              </w:rPr>
              <w:softHyphen/>
              <w:t>ների, մարզերի զար</w:t>
            </w:r>
            <w:r w:rsidRPr="0053423A">
              <w:rPr>
                <w:sz w:val="20"/>
                <w:szCs w:val="20"/>
                <w:lang w:val="hy-AM"/>
              </w:rPr>
              <w:softHyphen/>
              <w:t>գացման ծրագրերի, շահագրգիռ մարմիններից ստացված առաջարկությունների ուսումնասիրություն</w:t>
            </w:r>
            <w:r w:rsidRPr="0053423A">
              <w:rPr>
                <w:sz w:val="20"/>
                <w:szCs w:val="20"/>
                <w:lang w:val="af-ZA"/>
              </w:rPr>
              <w:t xml:space="preserve">, դրա հիման վրա </w:t>
            </w:r>
            <w:r w:rsidRPr="0053423A">
              <w:rPr>
                <w:sz w:val="20"/>
                <w:szCs w:val="20"/>
                <w:lang w:val="hy-AM"/>
              </w:rPr>
              <w:t>նախնական և միջին մասնագիտական ուսումնական հաստատություններում ուսուցանվող մասնագիտությունների ցանկերի վերանայում, աշխատաշուկայում պահանջարկ չվայելող մասնագիտությունների հանում</w:t>
            </w:r>
            <w:r w:rsidRPr="0053423A">
              <w:rPr>
                <w:sz w:val="20"/>
                <w:szCs w:val="20"/>
                <w:lang w:val="af-ZA"/>
              </w:rPr>
              <w:t xml:space="preserve"> </w:t>
            </w:r>
            <w:r w:rsidRPr="0053423A">
              <w:rPr>
                <w:sz w:val="20"/>
                <w:szCs w:val="20"/>
                <w:lang w:val="hy-AM"/>
              </w:rPr>
              <w:t>ցանկից</w:t>
            </w:r>
            <w:r w:rsidRPr="0053423A">
              <w:rPr>
                <w:sz w:val="20"/>
                <w:szCs w:val="20"/>
                <w:lang w:val="af-ZA"/>
              </w:rPr>
              <w:t xml:space="preserve">, </w:t>
            </w:r>
            <w:r w:rsidRPr="0053423A">
              <w:rPr>
                <w:rFonts w:cs="Sylfaen"/>
                <w:sz w:val="20"/>
                <w:szCs w:val="20"/>
                <w:lang w:val="hy-AM"/>
              </w:rPr>
              <w:t>նոր</w:t>
            </w:r>
            <w:r w:rsidRPr="0053423A">
              <w:rPr>
                <w:sz w:val="20"/>
                <w:szCs w:val="20"/>
                <w:lang w:val="af-ZA"/>
              </w:rPr>
              <w:t xml:space="preserve"> </w:t>
            </w:r>
            <w:r w:rsidRPr="0053423A">
              <w:rPr>
                <w:sz w:val="20"/>
                <w:szCs w:val="20"/>
                <w:lang w:val="hy-AM"/>
              </w:rPr>
              <w:t>մասնագիտությունների</w:t>
            </w:r>
            <w:r w:rsidRPr="0053423A">
              <w:rPr>
                <w:sz w:val="20"/>
                <w:szCs w:val="20"/>
                <w:lang w:val="af-ZA"/>
              </w:rPr>
              <w:t xml:space="preserve"> </w:t>
            </w:r>
            <w:r w:rsidRPr="0053423A">
              <w:rPr>
                <w:sz w:val="20"/>
                <w:szCs w:val="20"/>
                <w:lang w:val="hy-AM"/>
              </w:rPr>
              <w:t>ընդգրկում</w:t>
            </w:r>
            <w:r w:rsidRPr="0053423A">
              <w:rPr>
                <w:sz w:val="20"/>
                <w:szCs w:val="20"/>
                <w:lang w:val="af-ZA"/>
              </w:rPr>
              <w:t xml:space="preserve">, </w:t>
            </w:r>
            <w:r w:rsidRPr="0053423A">
              <w:rPr>
                <w:color w:val="000000"/>
                <w:sz w:val="20"/>
                <w:szCs w:val="20"/>
                <w:shd w:val="clear" w:color="auto" w:fill="F0F0F0"/>
                <w:lang w:val="af-ZA"/>
              </w:rPr>
              <w:t>«</w:t>
            </w:r>
            <w:r w:rsidRPr="0053423A">
              <w:rPr>
                <w:sz w:val="20"/>
                <w:szCs w:val="20"/>
                <w:lang w:val="hy-AM"/>
              </w:rPr>
              <w:t>Հայաստանի Հանրապետության կառավարության 2006 թվականի հունվարի 12-ի «Նախնական մասնագիտական (արհեստագործական) և միջին մասնագիտական կրթության մասնագիտությունների ցանկերը հաստատելու, Հայաստանի Հանրապետության կառավարության 2000 թվականի մայիսի 18-ի N 242 որոշման մեջ փոփոխություն կատարելու և Հայաստանի Հանրապետության կառավարության մի շարք որոշումներ ուժը կորցրած ճանաչելու մասին» N 73-Ն որոշման մեջ փոփոխություններ և լրացումներ կատարելու մասին» Հայաստանի Հանրապետության կառավարության որոշման նախագծի</w:t>
            </w:r>
            <w:r w:rsidRPr="0053423A">
              <w:rPr>
                <w:sz w:val="20"/>
                <w:szCs w:val="20"/>
                <w:lang w:val="af-ZA"/>
              </w:rPr>
              <w:t xml:space="preserve"> </w:t>
            </w:r>
            <w:r w:rsidRPr="0053423A">
              <w:rPr>
                <w:sz w:val="20"/>
                <w:szCs w:val="20"/>
                <w:lang w:val="hy-AM"/>
              </w:rPr>
              <w:t>մշակում</w:t>
            </w:r>
            <w:r w:rsidRPr="0053423A">
              <w:rPr>
                <w:sz w:val="20"/>
                <w:szCs w:val="20"/>
                <w:lang w:val="af-ZA"/>
              </w:rPr>
              <w:t xml:space="preserve"> և </w:t>
            </w:r>
            <w:r w:rsidRPr="0053423A">
              <w:rPr>
                <w:sz w:val="20"/>
                <w:szCs w:val="20"/>
                <w:lang w:val="hy-AM"/>
              </w:rPr>
              <w:t>ներկայացում</w:t>
            </w:r>
            <w:r w:rsidRPr="0053423A">
              <w:rPr>
                <w:sz w:val="20"/>
                <w:szCs w:val="20"/>
                <w:lang w:val="af-ZA"/>
              </w:rPr>
              <w:t xml:space="preserve"> </w:t>
            </w:r>
            <w:r w:rsidRPr="0053423A">
              <w:rPr>
                <w:sz w:val="20"/>
                <w:szCs w:val="20"/>
                <w:lang w:val="hy-AM"/>
              </w:rPr>
              <w:t>ՀՀ</w:t>
            </w:r>
            <w:r w:rsidRPr="0053423A">
              <w:rPr>
                <w:sz w:val="20"/>
                <w:szCs w:val="20"/>
                <w:lang w:val="af-ZA"/>
              </w:rPr>
              <w:t xml:space="preserve"> </w:t>
            </w:r>
            <w:r w:rsidRPr="0053423A">
              <w:rPr>
                <w:sz w:val="20"/>
                <w:szCs w:val="20"/>
                <w:lang w:val="hy-AM"/>
              </w:rPr>
              <w:t>վարչապետի</w:t>
            </w:r>
            <w:r w:rsidRPr="0053423A">
              <w:rPr>
                <w:sz w:val="20"/>
                <w:szCs w:val="20"/>
                <w:lang w:val="af-ZA"/>
              </w:rPr>
              <w:t xml:space="preserve"> </w:t>
            </w:r>
            <w:r w:rsidRPr="0053423A">
              <w:rPr>
                <w:sz w:val="20"/>
                <w:szCs w:val="20"/>
                <w:lang w:val="hy-AM"/>
              </w:rPr>
              <w:t>աշխատակազմ:</w:t>
            </w:r>
          </w:p>
          <w:p w:rsidR="00154773" w:rsidRPr="0053423A" w:rsidRDefault="00154773" w:rsidP="00154773">
            <w:pPr>
              <w:contextualSpacing/>
              <w:jc w:val="both"/>
              <w:rPr>
                <w:rFonts w:cs="Sylfaen"/>
                <w:sz w:val="20"/>
                <w:szCs w:val="20"/>
                <w:lang w:val="af-ZA"/>
              </w:rPr>
            </w:pPr>
          </w:p>
          <w:p w:rsidR="00154773" w:rsidRPr="0053423A" w:rsidRDefault="00154773" w:rsidP="00154773">
            <w:pPr>
              <w:ind w:firstLine="375"/>
              <w:rPr>
                <w:rFonts w:eastAsia="Times New Roman" w:cs="Times New Roman"/>
                <w:b/>
                <w:sz w:val="20"/>
                <w:szCs w:val="20"/>
                <w:lang w:val="af-ZA"/>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firstLine="375"/>
              <w:rPr>
                <w:rFonts w:eastAsia="Times New Roman" w:cs="Times New Roman"/>
                <w:b/>
                <w:sz w:val="20"/>
                <w:szCs w:val="20"/>
                <w:lang w:val="af-ZA"/>
              </w:rPr>
            </w:pPr>
          </w:p>
          <w:p w:rsidR="00154773" w:rsidRPr="0053423A" w:rsidRDefault="00154773" w:rsidP="00154773">
            <w:pPr>
              <w:ind w:firstLine="360"/>
              <w:jc w:val="both"/>
              <w:rPr>
                <w:rFonts w:cs="Times New Roman"/>
                <w:sz w:val="20"/>
                <w:szCs w:val="20"/>
                <w:lang w:val="hy-AM" w:eastAsia="ru-RU"/>
              </w:rPr>
            </w:pPr>
            <w:r w:rsidRPr="0053423A">
              <w:rPr>
                <w:rFonts w:cs="Sylfaen"/>
                <w:sz w:val="20"/>
                <w:szCs w:val="20"/>
                <w:lang w:val="hy-AM"/>
              </w:rPr>
              <w:t>Միջոցառման</w:t>
            </w:r>
            <w:r w:rsidRPr="0053423A">
              <w:rPr>
                <w:rFonts w:cs="Sylfaen"/>
                <w:sz w:val="20"/>
                <w:szCs w:val="20"/>
                <w:lang w:val="af-ZA"/>
              </w:rPr>
              <w:t xml:space="preserve"> </w:t>
            </w:r>
            <w:r w:rsidRPr="0053423A">
              <w:rPr>
                <w:rFonts w:cs="Sylfaen"/>
                <w:sz w:val="20"/>
                <w:szCs w:val="20"/>
                <w:lang w:val="hy-AM"/>
              </w:rPr>
              <w:t>իրականացման</w:t>
            </w:r>
            <w:r w:rsidRPr="0053423A">
              <w:rPr>
                <w:rFonts w:cs="Sylfaen"/>
                <w:sz w:val="20"/>
                <w:szCs w:val="20"/>
                <w:lang w:val="af-ZA"/>
              </w:rPr>
              <w:t xml:space="preserve"> </w:t>
            </w:r>
            <w:r w:rsidRPr="0053423A">
              <w:rPr>
                <w:rFonts w:cs="Sylfaen"/>
                <w:sz w:val="20"/>
                <w:szCs w:val="20"/>
                <w:lang w:val="hy-AM"/>
              </w:rPr>
              <w:t xml:space="preserve">արդյունքում պարբերաբար կվերանայվեն </w:t>
            </w:r>
            <w:r w:rsidRPr="0053423A">
              <w:rPr>
                <w:rFonts w:cs="Sylfaen"/>
                <w:sz w:val="20"/>
                <w:szCs w:val="20"/>
                <w:lang w:val="af-ZA"/>
              </w:rPr>
              <w:t>ն</w:t>
            </w:r>
            <w:r w:rsidRPr="0053423A">
              <w:rPr>
                <w:rFonts w:eastAsia="Times New Roman" w:cs="Times New Roman"/>
                <w:sz w:val="20"/>
                <w:szCs w:val="20"/>
                <w:lang w:val="hy-AM"/>
              </w:rPr>
              <w:t xml:space="preserve">ախնական (արհեստագործական) և միջին մասնագիտական կրթության մասնագիտությունների ցանկերը, կհանվեն </w:t>
            </w:r>
            <w:r w:rsidRPr="0053423A">
              <w:rPr>
                <w:rFonts w:eastAsia="Calibri" w:cs="Times New Roman"/>
                <w:sz w:val="20"/>
                <w:szCs w:val="20"/>
                <w:lang w:val="hy-AM"/>
              </w:rPr>
              <w:t xml:space="preserve">պահանջարկ չվայելող մասնագիտությունները և կներառվեն աշխատաշուկայում պահանջարկ ունեցող նոր մասնագիտություններ, ինչը կնպաստի </w:t>
            </w:r>
            <w:r w:rsidRPr="0053423A">
              <w:rPr>
                <w:sz w:val="20"/>
                <w:szCs w:val="20"/>
                <w:lang w:val="hy-AM"/>
              </w:rPr>
              <w:t>մասնագիտական կրթության և ուսուցման (ՄԿՈՒ) ոլորտի մասնագիտությունների արդիականացմանը, գրավչության աճին, աշխատաշուկայի պահանջներին արագ արձագանքելուն, աշխատաշուկային համապատասխանության ցուցանիշի բարելավմանը, շրջանավարտների զբաղունակության խթանմանը:</w:t>
            </w:r>
          </w:p>
          <w:p w:rsidR="00154773" w:rsidRPr="0053423A" w:rsidRDefault="00154773" w:rsidP="00154773">
            <w:pPr>
              <w:jc w:val="center"/>
              <w:rPr>
                <w:rFonts w:eastAsia="Times New Roman" w:cs="Times New Roman"/>
                <w:b/>
                <w:sz w:val="20"/>
                <w:szCs w:val="20"/>
                <w:lang w:val="hy-AM"/>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jc w:val="center"/>
              <w:rPr>
                <w:b/>
                <w:sz w:val="20"/>
                <w:szCs w:val="20"/>
                <w:u w:val="single"/>
                <w:lang w:val="af-ZA"/>
              </w:rPr>
            </w:pPr>
            <w:r w:rsidRPr="0053423A">
              <w:rPr>
                <w:rFonts w:eastAsia="Calibri" w:cs="GHEA Grapalat"/>
                <w:b/>
                <w:color w:val="000000"/>
                <w:sz w:val="20"/>
                <w:szCs w:val="20"/>
                <w:u w:val="single"/>
                <w:lang w:val="af-ZA"/>
              </w:rPr>
              <w:t xml:space="preserve">9.2  </w:t>
            </w:r>
            <w:r w:rsidRPr="0053423A">
              <w:rPr>
                <w:rFonts w:eastAsia="Times New Roman" w:cs="Times New Roman"/>
                <w:b/>
                <w:sz w:val="20"/>
                <w:szCs w:val="20"/>
                <w:u w:val="single"/>
                <w:lang w:val="hy-AM"/>
              </w:rPr>
              <w:t xml:space="preserve">Նախնական (արհեստագործական) և միջին մանագիտական ուսումնական հաստատություններում </w:t>
            </w:r>
            <w:r w:rsidRPr="0053423A">
              <w:rPr>
                <w:rFonts w:cs="Sylfaen"/>
                <w:b/>
                <w:noProof/>
                <w:sz w:val="20"/>
                <w:szCs w:val="20"/>
                <w:u w:val="single"/>
                <w:lang w:val="hy-AM"/>
              </w:rPr>
              <w:t>ՀՀ</w:t>
            </w:r>
            <w:r w:rsidRPr="0053423A">
              <w:rPr>
                <w:rFonts w:cs="Sylfaen"/>
                <w:b/>
                <w:noProof/>
                <w:sz w:val="20"/>
                <w:szCs w:val="20"/>
                <w:u w:val="single"/>
                <w:lang w:val="af-ZA"/>
              </w:rPr>
              <w:t xml:space="preserve"> </w:t>
            </w:r>
            <w:r w:rsidRPr="0053423A">
              <w:rPr>
                <w:rFonts w:cs="Sylfaen"/>
                <w:b/>
                <w:noProof/>
                <w:sz w:val="20"/>
                <w:szCs w:val="20"/>
                <w:u w:val="single"/>
                <w:lang w:val="hy-AM"/>
              </w:rPr>
              <w:t>մարզերի</w:t>
            </w:r>
            <w:r w:rsidRPr="0053423A">
              <w:rPr>
                <w:rFonts w:cs="Sylfaen"/>
                <w:b/>
                <w:noProof/>
                <w:sz w:val="20"/>
                <w:szCs w:val="20"/>
                <w:u w:val="single"/>
                <w:lang w:val="af-ZA"/>
              </w:rPr>
              <w:t xml:space="preserve"> </w:t>
            </w:r>
            <w:r w:rsidRPr="0053423A">
              <w:rPr>
                <w:rFonts w:cs="Sylfaen"/>
                <w:b/>
                <w:noProof/>
                <w:sz w:val="20"/>
                <w:szCs w:val="20"/>
                <w:u w:val="single"/>
                <w:lang w:val="hy-AM"/>
              </w:rPr>
              <w:t>զարգացման</w:t>
            </w:r>
            <w:r w:rsidRPr="0053423A">
              <w:rPr>
                <w:rFonts w:cs="Sylfaen"/>
                <w:b/>
                <w:noProof/>
                <w:sz w:val="20"/>
                <w:szCs w:val="20"/>
                <w:u w:val="single"/>
                <w:lang w:val="af-ZA"/>
              </w:rPr>
              <w:t xml:space="preserve"> </w:t>
            </w:r>
            <w:r w:rsidRPr="0053423A">
              <w:rPr>
                <w:rFonts w:cs="Sylfaen"/>
                <w:b/>
                <w:noProof/>
                <w:sz w:val="20"/>
                <w:szCs w:val="20"/>
                <w:u w:val="single"/>
                <w:lang w:val="hy-AM"/>
              </w:rPr>
              <w:t>համար</w:t>
            </w:r>
            <w:r w:rsidRPr="0053423A">
              <w:rPr>
                <w:rFonts w:cs="Sylfaen"/>
                <w:b/>
                <w:noProof/>
                <w:sz w:val="20"/>
                <w:szCs w:val="20"/>
                <w:u w:val="single"/>
                <w:lang w:val="af-ZA"/>
              </w:rPr>
              <w:t xml:space="preserve"> </w:t>
            </w:r>
            <w:r w:rsidRPr="0053423A">
              <w:rPr>
                <w:rFonts w:cs="Sylfaen"/>
                <w:b/>
                <w:noProof/>
                <w:sz w:val="20"/>
                <w:szCs w:val="20"/>
                <w:u w:val="single"/>
                <w:lang w:val="hy-AM"/>
              </w:rPr>
              <w:t>առաջնահերթ</w:t>
            </w:r>
            <w:r w:rsidRPr="0053423A">
              <w:rPr>
                <w:rFonts w:cs="Sylfaen"/>
                <w:b/>
                <w:noProof/>
                <w:sz w:val="20"/>
                <w:szCs w:val="20"/>
                <w:u w:val="single"/>
                <w:lang w:val="af-ZA"/>
              </w:rPr>
              <w:t xml:space="preserve"> </w:t>
            </w:r>
            <w:r w:rsidRPr="0053423A">
              <w:rPr>
                <w:rFonts w:cs="Sylfaen"/>
                <w:b/>
                <w:noProof/>
                <w:sz w:val="20"/>
                <w:szCs w:val="20"/>
                <w:u w:val="single"/>
                <w:lang w:val="hy-AM"/>
              </w:rPr>
              <w:t>և</w:t>
            </w:r>
            <w:r w:rsidRPr="0053423A">
              <w:rPr>
                <w:rFonts w:cs="Sylfaen"/>
                <w:b/>
                <w:noProof/>
                <w:sz w:val="20"/>
                <w:szCs w:val="20"/>
                <w:u w:val="single"/>
                <w:lang w:val="af-ZA"/>
              </w:rPr>
              <w:t xml:space="preserve"> </w:t>
            </w:r>
            <w:r w:rsidRPr="0053423A">
              <w:rPr>
                <w:rFonts w:cs="Sylfaen"/>
                <w:b/>
                <w:noProof/>
                <w:sz w:val="20"/>
                <w:szCs w:val="20"/>
                <w:u w:val="single"/>
                <w:lang w:val="hy-AM"/>
              </w:rPr>
              <w:t>կարևորություն</w:t>
            </w:r>
            <w:r w:rsidRPr="0053423A">
              <w:rPr>
                <w:rFonts w:cs="Sylfaen"/>
                <w:b/>
                <w:noProof/>
                <w:sz w:val="20"/>
                <w:szCs w:val="20"/>
                <w:u w:val="single"/>
                <w:lang w:val="af-ZA"/>
              </w:rPr>
              <w:t xml:space="preserve"> </w:t>
            </w:r>
            <w:r w:rsidRPr="0053423A">
              <w:rPr>
                <w:rFonts w:cs="Sylfaen"/>
                <w:b/>
                <w:noProof/>
                <w:sz w:val="20"/>
                <w:szCs w:val="20"/>
                <w:u w:val="single"/>
                <w:lang w:val="hy-AM"/>
              </w:rPr>
              <w:t>ներկայացնող</w:t>
            </w:r>
            <w:r w:rsidRPr="0053423A">
              <w:rPr>
                <w:rFonts w:cs="Sylfaen"/>
                <w:b/>
                <w:noProof/>
                <w:sz w:val="20"/>
                <w:szCs w:val="20"/>
                <w:u w:val="single"/>
                <w:lang w:val="af-ZA"/>
              </w:rPr>
              <w:t xml:space="preserve">, </w:t>
            </w:r>
            <w:r w:rsidRPr="0053423A">
              <w:rPr>
                <w:rFonts w:cs="Sylfaen"/>
                <w:b/>
                <w:noProof/>
                <w:sz w:val="20"/>
                <w:szCs w:val="20"/>
                <w:u w:val="single"/>
                <w:lang w:val="hy-AM"/>
              </w:rPr>
              <w:t>աշխատաշուկայում</w:t>
            </w:r>
            <w:r w:rsidRPr="0053423A">
              <w:rPr>
                <w:rFonts w:cs="Sylfaen"/>
                <w:b/>
                <w:noProof/>
                <w:sz w:val="20"/>
                <w:szCs w:val="20"/>
                <w:u w:val="single"/>
                <w:lang w:val="af-ZA"/>
              </w:rPr>
              <w:t xml:space="preserve"> </w:t>
            </w:r>
            <w:r w:rsidRPr="0053423A">
              <w:rPr>
                <w:rFonts w:cs="Sylfaen"/>
                <w:b/>
                <w:noProof/>
                <w:sz w:val="20"/>
                <w:szCs w:val="20"/>
                <w:u w:val="single"/>
                <w:lang w:val="hy-AM"/>
              </w:rPr>
              <w:t>առավել</w:t>
            </w:r>
            <w:r w:rsidRPr="0053423A">
              <w:rPr>
                <w:rFonts w:cs="Sylfaen"/>
                <w:b/>
                <w:noProof/>
                <w:sz w:val="20"/>
                <w:szCs w:val="20"/>
                <w:u w:val="single"/>
                <w:lang w:val="af-ZA"/>
              </w:rPr>
              <w:t xml:space="preserve"> </w:t>
            </w:r>
            <w:r w:rsidRPr="0053423A">
              <w:rPr>
                <w:rFonts w:cs="Sylfaen"/>
                <w:b/>
                <w:noProof/>
                <w:sz w:val="20"/>
                <w:szCs w:val="20"/>
                <w:u w:val="single"/>
                <w:lang w:val="hy-AM"/>
              </w:rPr>
              <w:t>պահանջարկված</w:t>
            </w:r>
            <w:r w:rsidRPr="0053423A">
              <w:rPr>
                <w:rFonts w:cs="Sylfaen"/>
                <w:b/>
                <w:noProof/>
                <w:sz w:val="20"/>
                <w:szCs w:val="20"/>
                <w:u w:val="single"/>
                <w:lang w:val="af-ZA"/>
              </w:rPr>
              <w:t xml:space="preserve"> </w:t>
            </w:r>
            <w:r w:rsidRPr="0053423A">
              <w:rPr>
                <w:rFonts w:cs="Sylfaen"/>
                <w:b/>
                <w:noProof/>
                <w:sz w:val="20"/>
                <w:szCs w:val="20"/>
                <w:u w:val="single"/>
                <w:lang w:val="hy-AM"/>
              </w:rPr>
              <w:t>ոլորտների</w:t>
            </w:r>
            <w:r w:rsidRPr="0053423A">
              <w:rPr>
                <w:rFonts w:cs="Sylfaen"/>
                <w:b/>
                <w:noProof/>
                <w:sz w:val="20"/>
                <w:szCs w:val="20"/>
                <w:u w:val="single"/>
                <w:lang w:val="af-ZA"/>
              </w:rPr>
              <w:t xml:space="preserve"> </w:t>
            </w:r>
            <w:r w:rsidRPr="0053423A">
              <w:rPr>
                <w:rFonts w:cs="Sylfaen"/>
                <w:b/>
                <w:noProof/>
                <w:sz w:val="20"/>
                <w:szCs w:val="20"/>
                <w:u w:val="single"/>
                <w:lang w:val="hy-AM"/>
              </w:rPr>
              <w:t>գծով</w:t>
            </w:r>
            <w:r w:rsidRPr="0053423A">
              <w:rPr>
                <w:rFonts w:cs="Sylfaen"/>
                <w:b/>
                <w:noProof/>
                <w:sz w:val="20"/>
                <w:szCs w:val="20"/>
                <w:u w:val="single"/>
                <w:lang w:val="af-ZA"/>
              </w:rPr>
              <w:t xml:space="preserve"> </w:t>
            </w:r>
            <w:r w:rsidRPr="0053423A">
              <w:rPr>
                <w:rFonts w:cs="Sylfaen"/>
                <w:b/>
                <w:noProof/>
                <w:sz w:val="20"/>
                <w:szCs w:val="20"/>
                <w:u w:val="single"/>
                <w:lang w:val="hy-AM"/>
              </w:rPr>
              <w:t>նոր</w:t>
            </w:r>
            <w:r w:rsidRPr="0053423A">
              <w:rPr>
                <w:rFonts w:cs="Sylfaen"/>
                <w:b/>
                <w:noProof/>
                <w:sz w:val="20"/>
                <w:szCs w:val="20"/>
                <w:u w:val="single"/>
                <w:lang w:val="af-ZA"/>
              </w:rPr>
              <w:t xml:space="preserve"> </w:t>
            </w:r>
            <w:r w:rsidRPr="0053423A">
              <w:rPr>
                <w:rFonts w:cs="Sylfaen"/>
                <w:b/>
                <w:noProof/>
                <w:sz w:val="20"/>
                <w:szCs w:val="20"/>
                <w:u w:val="single"/>
                <w:lang w:val="hy-AM"/>
              </w:rPr>
              <w:t>մասնագիտությունների ներդրում</w:t>
            </w:r>
            <w:r w:rsidRPr="0053423A">
              <w:rPr>
                <w:b/>
                <w:sz w:val="20"/>
                <w:szCs w:val="20"/>
                <w:u w:val="single"/>
                <w:lang w:val="hy-AM"/>
              </w:rPr>
              <w:t xml:space="preserve"> և ուսուցման կազմակերպում</w:t>
            </w:r>
          </w:p>
          <w:p w:rsidR="00154773" w:rsidRPr="0053423A" w:rsidRDefault="00154773" w:rsidP="00154773">
            <w:pPr>
              <w:jc w:val="both"/>
              <w:rPr>
                <w:b/>
                <w:sz w:val="20"/>
                <w:szCs w:val="20"/>
                <w:u w:val="single"/>
                <w:lang w:val="af-ZA"/>
              </w:rPr>
            </w:pPr>
          </w:p>
          <w:p w:rsidR="00154773" w:rsidRPr="0053423A" w:rsidRDefault="00154773" w:rsidP="00154773">
            <w:pPr>
              <w:rPr>
                <w:rFonts w:cs="Arial"/>
                <w:b/>
                <w:color w:val="000000"/>
                <w:sz w:val="20"/>
                <w:szCs w:val="20"/>
                <w:lang w:val="af-ZA"/>
              </w:rPr>
            </w:pPr>
            <w:r w:rsidRPr="0053423A">
              <w:rPr>
                <w:rFonts w:eastAsia="Times New Roman" w:cs="Times New Roman"/>
                <w:b/>
                <w:sz w:val="20"/>
                <w:szCs w:val="20"/>
                <w:lang w:val="af-ZA"/>
              </w:rPr>
              <w:t xml:space="preserve">1. </w:t>
            </w:r>
            <w:r w:rsidRPr="0053423A">
              <w:rPr>
                <w:rFonts w:eastAsia="Times New Roman" w:cs="Times New Roman"/>
                <w:b/>
                <w:sz w:val="20"/>
                <w:szCs w:val="20"/>
                <w:lang w:val="hy-AM"/>
              </w:rPr>
              <w:t>Միջոցառման իրականացման անհրաժեշտությունը և նպատակը</w:t>
            </w:r>
            <w:r w:rsidRPr="0053423A">
              <w:rPr>
                <w:rFonts w:cs="Arial"/>
                <w:b/>
                <w:color w:val="000000"/>
                <w:sz w:val="20"/>
                <w:szCs w:val="20"/>
                <w:lang w:val="af-ZA"/>
              </w:rPr>
              <w:t xml:space="preserve"> </w:t>
            </w:r>
          </w:p>
          <w:p w:rsidR="00154773" w:rsidRPr="0053423A" w:rsidRDefault="00154773" w:rsidP="00154773">
            <w:pPr>
              <w:jc w:val="both"/>
              <w:rPr>
                <w:b/>
                <w:sz w:val="20"/>
                <w:szCs w:val="20"/>
                <w:u w:val="single"/>
                <w:lang w:val="af-ZA"/>
              </w:rPr>
            </w:pPr>
          </w:p>
          <w:p w:rsidR="00154773" w:rsidRPr="0053423A" w:rsidRDefault="00154773" w:rsidP="00154773">
            <w:pPr>
              <w:ind w:firstLine="360"/>
              <w:jc w:val="both"/>
              <w:rPr>
                <w:b/>
                <w:sz w:val="20"/>
                <w:szCs w:val="20"/>
                <w:u w:val="single"/>
                <w:lang w:val="hy-AM"/>
              </w:rPr>
            </w:pPr>
            <w:r w:rsidRPr="0053423A">
              <w:rPr>
                <w:spacing w:val="-4"/>
                <w:sz w:val="20"/>
                <w:szCs w:val="20"/>
              </w:rPr>
              <w:t>Միջոցառման</w:t>
            </w:r>
            <w:r w:rsidRPr="0053423A">
              <w:rPr>
                <w:spacing w:val="-4"/>
                <w:sz w:val="20"/>
                <w:szCs w:val="20"/>
                <w:lang w:val="af-ZA"/>
              </w:rPr>
              <w:t xml:space="preserve"> </w:t>
            </w:r>
            <w:r w:rsidRPr="0053423A">
              <w:rPr>
                <w:spacing w:val="-4"/>
                <w:sz w:val="20"/>
                <w:szCs w:val="20"/>
              </w:rPr>
              <w:t>անհրաժեշտությունը</w:t>
            </w:r>
            <w:r w:rsidRPr="0053423A">
              <w:rPr>
                <w:spacing w:val="-4"/>
                <w:sz w:val="20"/>
                <w:szCs w:val="20"/>
                <w:lang w:val="af-ZA"/>
              </w:rPr>
              <w:t xml:space="preserve"> </w:t>
            </w:r>
            <w:r w:rsidRPr="0053423A">
              <w:rPr>
                <w:spacing w:val="-4"/>
                <w:sz w:val="20"/>
                <w:szCs w:val="20"/>
              </w:rPr>
              <w:t>բխում</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ԱԺ</w:t>
            </w:r>
            <w:r w:rsidRPr="0053423A">
              <w:rPr>
                <w:spacing w:val="-4"/>
                <w:sz w:val="20"/>
                <w:szCs w:val="20"/>
                <w:lang w:val="af-ZA"/>
              </w:rPr>
              <w:t xml:space="preserve"> 2019 </w:t>
            </w:r>
            <w:r w:rsidRPr="0053423A">
              <w:rPr>
                <w:spacing w:val="-4"/>
                <w:sz w:val="20"/>
                <w:szCs w:val="20"/>
              </w:rPr>
              <w:t>թվականի</w:t>
            </w:r>
            <w:r w:rsidRPr="0053423A">
              <w:rPr>
                <w:spacing w:val="-4"/>
                <w:sz w:val="20"/>
                <w:szCs w:val="20"/>
                <w:lang w:val="af-ZA"/>
              </w:rPr>
              <w:t xml:space="preserve"> </w:t>
            </w:r>
            <w:r w:rsidRPr="0053423A">
              <w:rPr>
                <w:spacing w:val="-4"/>
                <w:sz w:val="20"/>
                <w:szCs w:val="20"/>
              </w:rPr>
              <w:t>փետրվարի</w:t>
            </w:r>
            <w:r w:rsidRPr="0053423A">
              <w:rPr>
                <w:spacing w:val="-4"/>
                <w:sz w:val="20"/>
                <w:szCs w:val="20"/>
                <w:lang w:val="af-ZA"/>
              </w:rPr>
              <w:t xml:space="preserve"> 14-</w:t>
            </w:r>
            <w:r w:rsidRPr="0053423A">
              <w:rPr>
                <w:spacing w:val="-4"/>
                <w:sz w:val="20"/>
                <w:szCs w:val="20"/>
              </w:rPr>
              <w:t>ի</w:t>
            </w:r>
            <w:r w:rsidRPr="0053423A">
              <w:rPr>
                <w:spacing w:val="-4"/>
                <w:sz w:val="20"/>
                <w:szCs w:val="20"/>
                <w:lang w:val="af-ZA"/>
              </w:rPr>
              <w:t xml:space="preserve"> </w:t>
            </w:r>
            <w:r w:rsidRPr="0053423A">
              <w:rPr>
                <w:spacing w:val="-4"/>
                <w:sz w:val="20"/>
                <w:szCs w:val="20"/>
              </w:rPr>
              <w:t>ԱԺՈ</w:t>
            </w:r>
            <w:r w:rsidRPr="0053423A">
              <w:rPr>
                <w:spacing w:val="-4"/>
                <w:sz w:val="20"/>
                <w:szCs w:val="20"/>
                <w:lang w:val="af-ZA"/>
              </w:rPr>
              <w:t>-002-</w:t>
            </w:r>
            <w:r w:rsidRPr="0053423A">
              <w:rPr>
                <w:spacing w:val="-4"/>
                <w:sz w:val="20"/>
                <w:szCs w:val="20"/>
              </w:rPr>
              <w:t>Ն</w:t>
            </w:r>
            <w:r w:rsidRPr="0053423A">
              <w:rPr>
                <w:spacing w:val="-4"/>
                <w:sz w:val="20"/>
                <w:szCs w:val="20"/>
                <w:lang w:val="af-ZA"/>
              </w:rPr>
              <w:t xml:space="preserve"> </w:t>
            </w:r>
            <w:r w:rsidRPr="0053423A">
              <w:rPr>
                <w:spacing w:val="-4"/>
                <w:sz w:val="20"/>
                <w:szCs w:val="20"/>
              </w:rPr>
              <w:t>որոշմամբ</w:t>
            </w:r>
            <w:r w:rsidRPr="0053423A">
              <w:rPr>
                <w:spacing w:val="-4"/>
                <w:sz w:val="20"/>
                <w:szCs w:val="20"/>
                <w:lang w:val="af-ZA"/>
              </w:rPr>
              <w:t xml:space="preserve"> </w:t>
            </w:r>
            <w:r w:rsidRPr="0053423A">
              <w:rPr>
                <w:spacing w:val="-4"/>
                <w:sz w:val="20"/>
                <w:szCs w:val="20"/>
              </w:rPr>
              <w:t>հավանության</w:t>
            </w:r>
            <w:r w:rsidRPr="0053423A">
              <w:rPr>
                <w:spacing w:val="-4"/>
                <w:sz w:val="20"/>
                <w:szCs w:val="20"/>
                <w:lang w:val="af-ZA"/>
              </w:rPr>
              <w:t xml:space="preserve"> </w:t>
            </w:r>
            <w:r w:rsidRPr="0053423A">
              <w:rPr>
                <w:spacing w:val="-4"/>
                <w:sz w:val="20"/>
                <w:szCs w:val="20"/>
              </w:rPr>
              <w:t>արժանացած</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կառավարության</w:t>
            </w:r>
            <w:r w:rsidRPr="0053423A">
              <w:rPr>
                <w:spacing w:val="-4"/>
                <w:sz w:val="20"/>
                <w:szCs w:val="20"/>
                <w:lang w:val="af-ZA"/>
              </w:rPr>
              <w:t xml:space="preserve"> </w:t>
            </w:r>
            <w:r w:rsidRPr="0053423A">
              <w:rPr>
                <w:spacing w:val="-4"/>
                <w:sz w:val="20"/>
                <w:szCs w:val="20"/>
              </w:rPr>
              <w:t>ծրագրի</w:t>
            </w:r>
            <w:r w:rsidRPr="0053423A">
              <w:rPr>
                <w:spacing w:val="-4"/>
                <w:sz w:val="20"/>
                <w:szCs w:val="20"/>
                <w:lang w:val="af-ZA"/>
              </w:rPr>
              <w:t xml:space="preserve"> </w:t>
            </w:r>
            <w:r w:rsidRPr="0053423A">
              <w:rPr>
                <w:rFonts w:eastAsia="Times New Roman" w:cs="Times New Roman"/>
                <w:sz w:val="20"/>
                <w:szCs w:val="20"/>
                <w:lang w:val="af-ZA"/>
              </w:rPr>
              <w:t>«</w:t>
            </w:r>
            <w:r w:rsidRPr="0053423A">
              <w:rPr>
                <w:spacing w:val="-4"/>
                <w:sz w:val="20"/>
                <w:szCs w:val="20"/>
                <w:lang w:val="af-ZA"/>
              </w:rPr>
              <w:t xml:space="preserve">4.4 </w:t>
            </w:r>
            <w:r w:rsidRPr="0053423A">
              <w:rPr>
                <w:spacing w:val="-4"/>
                <w:sz w:val="20"/>
                <w:szCs w:val="20"/>
              </w:rPr>
              <w:t>ԿՐԹՈՒԹՅՈՒՆ</w:t>
            </w:r>
            <w:r w:rsidRPr="0053423A">
              <w:rPr>
                <w:spacing w:val="-4"/>
                <w:sz w:val="20"/>
                <w:szCs w:val="20"/>
                <w:lang w:val="af-ZA"/>
              </w:rPr>
              <w:t xml:space="preserve"> </w:t>
            </w:r>
            <w:r w:rsidRPr="0053423A">
              <w:rPr>
                <w:spacing w:val="-4"/>
                <w:sz w:val="20"/>
                <w:szCs w:val="20"/>
              </w:rPr>
              <w:t>ԵՎ</w:t>
            </w:r>
            <w:r w:rsidRPr="0053423A">
              <w:rPr>
                <w:spacing w:val="-4"/>
                <w:sz w:val="20"/>
                <w:szCs w:val="20"/>
                <w:lang w:val="af-ZA"/>
              </w:rPr>
              <w:t xml:space="preserve"> </w:t>
            </w:r>
            <w:r w:rsidRPr="0053423A">
              <w:rPr>
                <w:spacing w:val="-4"/>
                <w:sz w:val="20"/>
                <w:szCs w:val="20"/>
              </w:rPr>
              <w:t>ԳԻՏՈՒԹՅՈՒՆ</w:t>
            </w:r>
            <w:r w:rsidRPr="0053423A">
              <w:rPr>
                <w:rFonts w:eastAsia="Times New Roman" w:cs="Times New Roman"/>
                <w:sz w:val="20"/>
                <w:szCs w:val="20"/>
                <w:lang w:val="af-ZA"/>
              </w:rPr>
              <w:t xml:space="preserve">»  </w:t>
            </w:r>
            <w:r w:rsidRPr="0053423A">
              <w:rPr>
                <w:rFonts w:eastAsia="Calibri" w:cs="Sylfaen"/>
                <w:sz w:val="20"/>
                <w:szCs w:val="20"/>
                <w:lang w:val="hy-AM"/>
              </w:rPr>
              <w:t>բաժնի</w:t>
            </w:r>
            <w:r w:rsidRPr="0053423A">
              <w:rPr>
                <w:rFonts w:eastAsia="Calibri" w:cs="Sylfaen"/>
                <w:sz w:val="20"/>
                <w:szCs w:val="20"/>
                <w:lang w:val="af-ZA"/>
              </w:rPr>
              <w:t xml:space="preserve"> 3-</w:t>
            </w:r>
            <w:r w:rsidRPr="0053423A">
              <w:rPr>
                <w:rFonts w:eastAsia="Calibri" w:cs="Sylfaen"/>
                <w:sz w:val="20"/>
                <w:szCs w:val="20"/>
              </w:rPr>
              <w:t>րդ</w:t>
            </w:r>
            <w:r w:rsidRPr="0053423A">
              <w:rPr>
                <w:rFonts w:eastAsia="Calibri" w:cs="Sylfaen"/>
                <w:sz w:val="20"/>
                <w:szCs w:val="20"/>
                <w:lang w:val="af-ZA"/>
              </w:rPr>
              <w:t xml:space="preserve"> </w:t>
            </w:r>
            <w:r w:rsidRPr="0053423A">
              <w:rPr>
                <w:rFonts w:eastAsia="Calibri" w:cs="Sylfaen"/>
                <w:sz w:val="20"/>
                <w:szCs w:val="20"/>
              </w:rPr>
              <w:t>և</w:t>
            </w:r>
            <w:r w:rsidRPr="0053423A">
              <w:rPr>
                <w:rFonts w:eastAsia="Calibri" w:cs="Sylfaen"/>
                <w:sz w:val="20"/>
                <w:szCs w:val="20"/>
                <w:lang w:val="af-ZA"/>
              </w:rPr>
              <w:t xml:space="preserve">  </w:t>
            </w:r>
            <w:r w:rsidRPr="0053423A">
              <w:rPr>
                <w:rFonts w:cs="Arial"/>
                <w:color w:val="000000"/>
                <w:sz w:val="20"/>
                <w:szCs w:val="20"/>
                <w:lang w:val="af-ZA"/>
              </w:rPr>
              <w:t xml:space="preserve">5-րդ պարբերություններից, </w:t>
            </w:r>
            <w:r w:rsidRPr="0053423A">
              <w:rPr>
                <w:sz w:val="20"/>
                <w:szCs w:val="20"/>
                <w:lang w:val="hy-AM"/>
              </w:rPr>
              <w:t xml:space="preserve">«Նախնական </w:t>
            </w:r>
            <w:r w:rsidRPr="0053423A">
              <w:rPr>
                <w:rFonts w:cs="Arial"/>
                <w:color w:val="000000"/>
                <w:sz w:val="20"/>
                <w:szCs w:val="20"/>
                <w:lang w:val="hy-AM"/>
              </w:rPr>
              <w:t>մասնագիտական (արհեստագործական) և միջին մասնագիտական կրթության մասին» ՀՀ օրենքի 9-րդ հոդվածի 3-րդ կետով, CEPA-ի ճանապարհային քարտեզի 94-րդ հոդվածի (g) կետով:</w:t>
            </w:r>
          </w:p>
          <w:p w:rsidR="00154773" w:rsidRPr="0053423A" w:rsidRDefault="00154773" w:rsidP="00154773">
            <w:pPr>
              <w:ind w:firstLine="360"/>
              <w:jc w:val="both"/>
              <w:rPr>
                <w:sz w:val="20"/>
                <w:szCs w:val="20"/>
                <w:lang w:val="hy-AM"/>
              </w:rPr>
            </w:pPr>
            <w:r w:rsidRPr="0053423A">
              <w:rPr>
                <w:sz w:val="20"/>
                <w:szCs w:val="20"/>
                <w:lang w:val="hy-AM"/>
              </w:rPr>
              <w:t xml:space="preserve">ՆՄՄԿ ուսումնական հաստատություններում ՀՀ մարզերի զարգացման համար առաջնահերթ և կարևորություն ներկայացնող, ինչպես նաև աշխատաշուկայում առավել պահանջարկված ոլորտների գծով ուսուցման կազմակերպումը՝ հաշվի առնելով գոյություն ունեցող նախնական և միջին մասնագիտական ուսումնական հաստատությունների ցանցը, կնպաստի ուսումնական հաստատություններում պետության, ՀՀ մարզերի զարգացման համար առաջնահերթ և կարևորություն ներկայացնող, ինչպես նաև աշխատաշուկայում առավել պահանջարկված ոլորտների գծով նոր մասնագիտությունների ներդրմանը,  ուսուցանվող մասնագիտությունների արդիականացմանը: </w:t>
            </w:r>
          </w:p>
          <w:p w:rsidR="00154773" w:rsidRPr="0053423A" w:rsidRDefault="00154773" w:rsidP="00154773">
            <w:pPr>
              <w:ind w:firstLine="450"/>
              <w:jc w:val="both"/>
              <w:rPr>
                <w:sz w:val="20"/>
                <w:szCs w:val="20"/>
                <w:lang w:val="hy-AM"/>
              </w:rPr>
            </w:pPr>
            <w:r w:rsidRPr="0053423A">
              <w:rPr>
                <w:sz w:val="20"/>
                <w:szCs w:val="20"/>
                <w:lang w:val="hy-AM"/>
              </w:rPr>
              <w:t>Միջոցառման իրականացումը հնարավորություն կտա լուծել այնպիսի խնդիրներ, ինչպիսիք են գրավչության աճը, աշխատաշուկայի պահանջներին արագ արձագանքելը, աշխատաշուկային համապատասխանության ցուցանիշի բարելավումը, շրջանավարտների զբաղունակության խթանումը:</w:t>
            </w:r>
          </w:p>
          <w:p w:rsidR="00154773" w:rsidRPr="0053423A" w:rsidRDefault="00154773" w:rsidP="00154773">
            <w:pPr>
              <w:ind w:firstLine="450"/>
              <w:jc w:val="both"/>
              <w:rPr>
                <w:rFonts w:cs="Times New Roman"/>
                <w:sz w:val="20"/>
                <w:szCs w:val="20"/>
                <w:lang w:val="hy-AM" w:eastAsia="ru-RU"/>
              </w:rPr>
            </w:pPr>
          </w:p>
          <w:p w:rsidR="00154773" w:rsidRPr="0053423A" w:rsidRDefault="00154773" w:rsidP="001F6D5D">
            <w:pPr>
              <w:numPr>
                <w:ilvl w:val="1"/>
                <w:numId w:val="476"/>
              </w:numPr>
              <w:contextualSpacing/>
              <w:jc w:val="both"/>
              <w:rPr>
                <w:rFonts w:eastAsia="Times New Roman" w:cs="Times New Roman"/>
                <w:b/>
                <w:sz w:val="20"/>
                <w:szCs w:val="20"/>
                <w:lang w:val="af-ZA"/>
              </w:rPr>
            </w:pPr>
            <w:r w:rsidRPr="0053423A">
              <w:rPr>
                <w:rFonts w:eastAsia="Times New Roman" w:cs="Times New Roman"/>
                <w:b/>
                <w:sz w:val="20"/>
                <w:szCs w:val="20"/>
                <w:lang w:val="hy-AM"/>
              </w:rPr>
              <w:t>կարգավորման հարաբերությունների ներկա վիճակը և առկա խնդիրները</w:t>
            </w:r>
            <w:r w:rsidRPr="0053423A">
              <w:rPr>
                <w:rFonts w:eastAsia="Times New Roman" w:cs="Times New Roman"/>
                <w:b/>
                <w:sz w:val="20"/>
                <w:szCs w:val="20"/>
                <w:lang w:val="af-ZA"/>
              </w:rPr>
              <w:t>.</w:t>
            </w:r>
          </w:p>
          <w:p w:rsidR="00154773" w:rsidRPr="0053423A" w:rsidRDefault="00154773" w:rsidP="00154773">
            <w:pPr>
              <w:ind w:left="900"/>
              <w:contextualSpacing/>
              <w:jc w:val="both"/>
              <w:rPr>
                <w:rFonts w:eastAsia="Times New Roman" w:cs="Times New Roman"/>
                <w:b/>
                <w:sz w:val="20"/>
                <w:szCs w:val="20"/>
                <w:lang w:val="af-ZA"/>
              </w:rPr>
            </w:pPr>
          </w:p>
          <w:p w:rsidR="00154773" w:rsidRPr="0053423A" w:rsidRDefault="00154773" w:rsidP="00154773">
            <w:pPr>
              <w:ind w:firstLine="436"/>
              <w:jc w:val="both"/>
              <w:rPr>
                <w:sz w:val="20"/>
                <w:szCs w:val="20"/>
                <w:lang w:val="af-ZA"/>
              </w:rPr>
            </w:pPr>
            <w:r w:rsidRPr="0053423A">
              <w:rPr>
                <w:sz w:val="20"/>
                <w:szCs w:val="20"/>
                <w:lang w:val="af-ZA"/>
              </w:rPr>
              <w:t xml:space="preserve">Կրթության ոլորտում ամենից շատ քննարկվող հարցերից է, թե որքանով են հաշվի առնվում աշխատաշուկայի պահանջները մասնագետներ պատրաստելիս: Սոցիալ-տնտեսական զարգացմամբ պայմանավորված մի շարք մասնագիտություններ կորցնում են արդիականությունը, առաջանում են նոր մասնագիտություններ: 2017 թվականին 25 ՆՄՄԿ ուսումնական հաստատություններում ներդրվել են մարզերի զարգացման և պետության կողմից գերակա ճանաչված ուղղություններին համապատասխան 39 նոր մասնագիտություն: </w:t>
            </w:r>
          </w:p>
          <w:p w:rsidR="00154773" w:rsidRPr="0053423A" w:rsidRDefault="00154773" w:rsidP="00154773">
            <w:pPr>
              <w:jc w:val="both"/>
              <w:rPr>
                <w:rFonts w:cs="Arial"/>
                <w:b/>
                <w:color w:val="000000"/>
                <w:sz w:val="20"/>
                <w:szCs w:val="20"/>
                <w:lang w:val="hy-AM"/>
              </w:rPr>
            </w:pPr>
            <w:r w:rsidRPr="0053423A">
              <w:rPr>
                <w:sz w:val="20"/>
                <w:szCs w:val="20"/>
                <w:lang w:val="af-ZA"/>
              </w:rPr>
              <w:t xml:space="preserve">Գերակա նպատակ ունենալով ժամանակի պահանջներին և չափանիշներին համապատասխան մասնագետներ պատրաստելը՝ վերջին տարիներին հանրապետության սոցիալ-տնտեսական զարգացմամբ պայմանավորված մի շարք նոր մասնագիտությունների պահանջարկի մեծացումը, </w:t>
            </w:r>
            <w:r w:rsidRPr="0053423A">
              <w:rPr>
                <w:sz w:val="20"/>
                <w:szCs w:val="20"/>
                <w:shd w:val="clear" w:color="auto" w:fill="FFFFFF"/>
                <w:lang w:val="af-ZA"/>
              </w:rPr>
              <w:t xml:space="preserve">կատարված ուսումնասիրությունները, ՆՄՄԿՈւ հաստատություններում ուսուցանվող մասնագիտությունները ՀՀ մարզային առանձնահատկություններին համապատասխանեցնելու հանգամանքը առանցքային են դարձնում ՆՄՄԿ ուսումնական հաստատություններում աշխատաշուկայում պահանջվող մասնագիտությունների գծով ուսուցման կազմակերպումը, ինչը հնարավորություն է ստեղծում </w:t>
            </w:r>
            <w:r w:rsidRPr="0053423A">
              <w:rPr>
                <w:sz w:val="20"/>
                <w:szCs w:val="20"/>
                <w:shd w:val="clear" w:color="auto" w:fill="FFFFFF"/>
              </w:rPr>
              <w:t>նախնական</w:t>
            </w:r>
            <w:r w:rsidRPr="0053423A">
              <w:rPr>
                <w:sz w:val="20"/>
                <w:szCs w:val="20"/>
                <w:shd w:val="clear" w:color="auto" w:fill="FFFFFF"/>
                <w:lang w:val="af-ZA"/>
              </w:rPr>
              <w:t xml:space="preserve"> (արհեստագործական) և միջին մասնագիտական կրթությունը դարձնել առավել գրավիչ և համահունչ երկրի սոցիալ-տնտեսական զարգացման միտումներին և ժամանակակից զարգացումներին</w:t>
            </w:r>
            <w:r w:rsidRPr="0053423A">
              <w:rPr>
                <w:sz w:val="20"/>
                <w:szCs w:val="20"/>
                <w:shd w:val="clear" w:color="auto" w:fill="FFFFFF"/>
              </w:rPr>
              <w:t>՝</w:t>
            </w:r>
            <w:r w:rsidRPr="0053423A">
              <w:rPr>
                <w:sz w:val="20"/>
                <w:szCs w:val="20"/>
                <w:shd w:val="clear" w:color="auto" w:fill="FFFFFF"/>
                <w:lang w:val="af-ZA"/>
              </w:rPr>
              <w:t xml:space="preserve"> կանոնակարգելով </w:t>
            </w:r>
            <w:r w:rsidRPr="0053423A">
              <w:rPr>
                <w:sz w:val="20"/>
                <w:szCs w:val="20"/>
                <w:shd w:val="clear" w:color="auto" w:fill="FFFFFF"/>
              </w:rPr>
              <w:t>նախնական</w:t>
            </w:r>
            <w:r w:rsidRPr="0053423A">
              <w:rPr>
                <w:sz w:val="20"/>
                <w:szCs w:val="20"/>
                <w:shd w:val="clear" w:color="auto" w:fill="FFFFFF"/>
                <w:lang w:val="af-ZA"/>
              </w:rPr>
              <w:t xml:space="preserve"> (արհեստագործական) և միջին մասնագիտական կրթություն իրականացնող հաստատություններում տրամադրվող կրթական ծառայությունների մատուցումը՝ </w:t>
            </w:r>
            <w:r w:rsidRPr="0053423A">
              <w:rPr>
                <w:sz w:val="20"/>
                <w:szCs w:val="20"/>
                <w:shd w:val="clear" w:color="auto" w:fill="FFFFFF"/>
              </w:rPr>
              <w:t>ըստ</w:t>
            </w:r>
            <w:r w:rsidRPr="0053423A">
              <w:rPr>
                <w:sz w:val="20"/>
                <w:szCs w:val="20"/>
                <w:shd w:val="clear" w:color="auto" w:fill="FFFFFF"/>
                <w:lang w:val="af-ZA"/>
              </w:rPr>
              <w:t xml:space="preserve"> ՀՀ մարզերի զարգացման համար առաջնահերթ և աշխատաշուկայում առավել պահանջարկված ոլորտների, նպաստելով նաև շրջանավարտների զբաղվածությանը:</w:t>
            </w:r>
          </w:p>
          <w:p w:rsidR="00154773" w:rsidRPr="0053423A" w:rsidRDefault="00154773" w:rsidP="00154773">
            <w:pPr>
              <w:ind w:left="284" w:hanging="284"/>
              <w:jc w:val="both"/>
              <w:rPr>
                <w:rFonts w:cs="Arial"/>
                <w:b/>
                <w:color w:val="000000"/>
                <w:sz w:val="20"/>
                <w:szCs w:val="20"/>
                <w:lang w:val="af-ZA"/>
              </w:rPr>
            </w:pPr>
          </w:p>
          <w:p w:rsidR="00154773" w:rsidRPr="0053423A" w:rsidRDefault="00154773" w:rsidP="00154773">
            <w:pPr>
              <w:rPr>
                <w:b/>
                <w:sz w:val="20"/>
                <w:szCs w:val="20"/>
                <w:u w:val="single"/>
                <w:lang w:val="af-ZA"/>
              </w:rPr>
            </w:pPr>
          </w:p>
          <w:p w:rsidR="00154773" w:rsidRPr="0053423A" w:rsidRDefault="00154773" w:rsidP="00154773">
            <w:pPr>
              <w:rPr>
                <w:rFonts w:eastAsia="Times New Roman" w:cs="Times New Roman"/>
                <w:b/>
                <w:sz w:val="20"/>
                <w:szCs w:val="20"/>
                <w:lang w:val="hy-AM"/>
              </w:rPr>
            </w:pPr>
            <w:r w:rsidRPr="0053423A">
              <w:rPr>
                <w:rFonts w:ascii="Calibri" w:eastAsia="Times New Roman" w:hAnsi="Calibri" w:cs="Calibri"/>
                <w:b/>
                <w:sz w:val="20"/>
                <w:szCs w:val="20"/>
                <w:lang w:val="hy-AM"/>
              </w:rPr>
              <w:t> </w:t>
            </w:r>
            <w:r w:rsidRPr="0053423A">
              <w:rPr>
                <w:rFonts w:eastAsia="Times New Roman" w:cs="Times New Roman"/>
                <w:b/>
                <w:sz w:val="20"/>
                <w:szCs w:val="20"/>
                <w:lang w:val="hy-AM"/>
              </w:rPr>
              <w:t>1.2. Առկա խնդիրների առաջարկվող լուծումները</w:t>
            </w:r>
          </w:p>
          <w:p w:rsidR="00154773" w:rsidRPr="0053423A" w:rsidRDefault="00154773" w:rsidP="00154773">
            <w:pPr>
              <w:rPr>
                <w:rFonts w:eastAsia="Times New Roman" w:cs="Times New Roman"/>
                <w:b/>
                <w:sz w:val="20"/>
                <w:szCs w:val="20"/>
                <w:lang w:val="hy-AM"/>
              </w:rPr>
            </w:pPr>
          </w:p>
          <w:p w:rsidR="00154773" w:rsidRPr="0053423A" w:rsidRDefault="00154773" w:rsidP="00154773">
            <w:pPr>
              <w:autoSpaceDE w:val="0"/>
              <w:autoSpaceDN w:val="0"/>
              <w:adjustRightInd w:val="0"/>
              <w:ind w:firstLine="450"/>
              <w:jc w:val="both"/>
              <w:rPr>
                <w:sz w:val="20"/>
                <w:szCs w:val="20"/>
                <w:lang w:val="af-ZA"/>
              </w:rPr>
            </w:pPr>
            <w:r w:rsidRPr="0053423A">
              <w:rPr>
                <w:rFonts w:cs="Sylfaen"/>
                <w:sz w:val="20"/>
                <w:szCs w:val="20"/>
                <w:lang w:val="hy-AM"/>
              </w:rPr>
              <w:t>Տնտեսության</w:t>
            </w:r>
            <w:r w:rsidRPr="0053423A">
              <w:rPr>
                <w:sz w:val="20"/>
                <w:szCs w:val="20"/>
                <w:lang w:val="hy-AM"/>
              </w:rPr>
              <w:t xml:space="preserve"> գերակա ոլորտների, հետագա զարգացման միտում</w:t>
            </w:r>
            <w:r w:rsidRPr="0053423A">
              <w:rPr>
                <w:sz w:val="20"/>
                <w:szCs w:val="20"/>
                <w:lang w:val="hy-AM"/>
              </w:rPr>
              <w:softHyphen/>
              <w:t>ների, մարզերի զար</w:t>
            </w:r>
            <w:r w:rsidRPr="0053423A">
              <w:rPr>
                <w:sz w:val="20"/>
                <w:szCs w:val="20"/>
                <w:lang w:val="hy-AM"/>
              </w:rPr>
              <w:softHyphen/>
              <w:t>գացման ծրագրերի, մրցունա</w:t>
            </w:r>
            <w:r w:rsidRPr="0053423A">
              <w:rPr>
                <w:sz w:val="20"/>
                <w:szCs w:val="20"/>
                <w:lang w:val="hy-AM"/>
              </w:rPr>
              <w:softHyphen/>
              <w:t>կության զեկույցի ուսումնասիրություն</w:t>
            </w:r>
            <w:r w:rsidRPr="0053423A">
              <w:rPr>
                <w:sz w:val="20"/>
                <w:szCs w:val="20"/>
                <w:lang w:val="af-ZA"/>
              </w:rPr>
              <w:t xml:space="preserve">,  դրա </w:t>
            </w:r>
            <w:r w:rsidRPr="0053423A">
              <w:rPr>
                <w:rFonts w:cs="Sylfaen"/>
                <w:sz w:val="20"/>
                <w:szCs w:val="20"/>
                <w:lang w:val="hy-AM"/>
              </w:rPr>
              <w:t>հիման</w:t>
            </w:r>
            <w:r w:rsidRPr="0053423A">
              <w:rPr>
                <w:sz w:val="20"/>
                <w:szCs w:val="20"/>
                <w:lang w:val="hy-AM"/>
              </w:rPr>
              <w:t xml:space="preserve"> վրա համայնքի կարիքներին համապատասխան մասնագիտությունների զարգացման նպատակով՝ ՆՄՄԿ</w:t>
            </w:r>
            <w:r w:rsidRPr="0053423A">
              <w:rPr>
                <w:sz w:val="20"/>
                <w:szCs w:val="20"/>
                <w:lang w:val="af-ZA"/>
              </w:rPr>
              <w:t xml:space="preserve"> </w:t>
            </w:r>
            <w:r w:rsidRPr="0053423A">
              <w:rPr>
                <w:sz w:val="20"/>
                <w:szCs w:val="20"/>
                <w:lang w:val="hy-AM"/>
              </w:rPr>
              <w:t>ուսումնական հաստատությունների զարգացման աշխարհա</w:t>
            </w:r>
            <w:r w:rsidRPr="0053423A">
              <w:rPr>
                <w:sz w:val="20"/>
                <w:szCs w:val="20"/>
                <w:lang w:val="hy-AM"/>
              </w:rPr>
              <w:softHyphen/>
              <w:t>գրական քարտեզի հստակեցում</w:t>
            </w:r>
            <w:r w:rsidRPr="0053423A">
              <w:rPr>
                <w:sz w:val="20"/>
                <w:szCs w:val="20"/>
                <w:lang w:val="af-ZA"/>
              </w:rPr>
              <w:t xml:space="preserve">, </w:t>
            </w:r>
            <w:r w:rsidRPr="0053423A">
              <w:rPr>
                <w:sz w:val="20"/>
                <w:szCs w:val="20"/>
                <w:lang w:val="hy-AM"/>
              </w:rPr>
              <w:t>ՆՄՄԿ ուսումնական հաստատություններում պահանջարկ չվայելող մասնագիտությունների բաժինների փակում</w:t>
            </w:r>
            <w:r w:rsidRPr="0053423A">
              <w:rPr>
                <w:rFonts w:cs="Sylfaen"/>
                <w:sz w:val="20"/>
                <w:szCs w:val="20"/>
                <w:shd w:val="clear" w:color="auto" w:fill="FFFFFF"/>
                <w:lang w:val="af-ZA"/>
              </w:rPr>
              <w:t xml:space="preserve">, </w:t>
            </w:r>
            <w:r w:rsidRPr="0053423A">
              <w:rPr>
                <w:sz w:val="20"/>
                <w:szCs w:val="20"/>
                <w:lang w:val="af-ZA"/>
              </w:rPr>
              <w:t xml:space="preserve">նոր ներդրված մասնագիտությունների գծով </w:t>
            </w:r>
            <w:r w:rsidRPr="0053423A">
              <w:rPr>
                <w:sz w:val="20"/>
                <w:szCs w:val="20"/>
                <w:lang w:val="hy-AM"/>
              </w:rPr>
              <w:t>ուսուցման</w:t>
            </w:r>
            <w:r w:rsidRPr="0053423A">
              <w:rPr>
                <w:sz w:val="20"/>
                <w:szCs w:val="20"/>
                <w:lang w:val="af-ZA"/>
              </w:rPr>
              <w:t xml:space="preserve"> </w:t>
            </w:r>
            <w:r w:rsidRPr="0053423A">
              <w:rPr>
                <w:sz w:val="20"/>
                <w:szCs w:val="20"/>
                <w:lang w:val="hy-AM"/>
              </w:rPr>
              <w:t>կազմակերպում</w:t>
            </w:r>
            <w:r w:rsidRPr="0053423A">
              <w:rPr>
                <w:sz w:val="20"/>
                <w:szCs w:val="20"/>
                <w:lang w:val="af-ZA"/>
              </w:rPr>
              <w:t xml:space="preserve">, </w:t>
            </w:r>
            <w:r w:rsidRPr="0053423A">
              <w:rPr>
                <w:rFonts w:cs="GHEA Grapalat"/>
                <w:color w:val="000000"/>
                <w:sz w:val="20"/>
                <w:szCs w:val="20"/>
                <w:shd w:val="clear" w:color="auto" w:fill="FFFFFF"/>
                <w:lang w:val="hy-AM"/>
              </w:rPr>
              <w:t>նոր ներդրված մասնագիտությունների գծով</w:t>
            </w:r>
            <w:r w:rsidRPr="0053423A">
              <w:rPr>
                <w:rFonts w:cs="GHEA Grapalat"/>
                <w:color w:val="000000"/>
                <w:sz w:val="20"/>
                <w:szCs w:val="20"/>
                <w:shd w:val="clear" w:color="auto" w:fill="FFFFFF"/>
                <w:lang w:val="af-ZA"/>
              </w:rPr>
              <w:t xml:space="preserve"> </w:t>
            </w:r>
            <w:r w:rsidRPr="0053423A">
              <w:rPr>
                <w:rFonts w:cs="GHEA Grapalat"/>
                <w:color w:val="000000"/>
                <w:sz w:val="20"/>
                <w:szCs w:val="20"/>
                <w:shd w:val="clear" w:color="auto" w:fill="FFFFFF"/>
                <w:lang w:val="hy-AM"/>
              </w:rPr>
              <w:t xml:space="preserve">ՆՄՄԿ ուսումնական հաստատությունների անվճար ուսուցմամբ (նպաստի ձևով ուսման վճարի լրիվ փոխհատուցմամբ) ընդունելության տեղերի </w:t>
            </w:r>
            <w:r w:rsidRPr="0053423A">
              <w:rPr>
                <w:sz w:val="20"/>
                <w:szCs w:val="20"/>
                <w:lang w:val="af-ZA"/>
              </w:rPr>
              <w:t>տրամադրում, մասնագետների պատրաստում աշխատաշուկայի պահանջներին համապատասխան:</w:t>
            </w:r>
          </w:p>
          <w:p w:rsidR="00154773" w:rsidRPr="0053423A" w:rsidRDefault="00154773" w:rsidP="00154773">
            <w:pPr>
              <w:autoSpaceDE w:val="0"/>
              <w:autoSpaceDN w:val="0"/>
              <w:adjustRightInd w:val="0"/>
              <w:ind w:firstLine="450"/>
              <w:jc w:val="both"/>
              <w:rPr>
                <w:sz w:val="20"/>
                <w:szCs w:val="20"/>
                <w:lang w:val="af-ZA"/>
              </w:rPr>
            </w:pPr>
          </w:p>
          <w:p w:rsidR="00154773" w:rsidRPr="0053423A" w:rsidRDefault="00154773" w:rsidP="00154773">
            <w:pPr>
              <w:ind w:firstLine="360"/>
              <w:jc w:val="both"/>
              <w:rPr>
                <w:rFonts w:eastAsia="Times New Roman" w:cs="Times New Roman"/>
                <w:b/>
                <w:sz w:val="20"/>
                <w:szCs w:val="20"/>
                <w:lang w:val="af-ZA"/>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firstLine="360"/>
              <w:jc w:val="both"/>
              <w:rPr>
                <w:rFonts w:eastAsia="Times New Roman" w:cs="Times New Roman"/>
                <w:b/>
                <w:sz w:val="20"/>
                <w:szCs w:val="20"/>
                <w:lang w:val="af-ZA"/>
              </w:rPr>
            </w:pPr>
          </w:p>
          <w:p w:rsidR="00154773" w:rsidRPr="0053423A" w:rsidRDefault="00154773" w:rsidP="00154773">
            <w:pPr>
              <w:jc w:val="center"/>
              <w:rPr>
                <w:rFonts w:eastAsia="Times New Roman" w:cs="Times New Roman"/>
                <w:b/>
                <w:sz w:val="20"/>
                <w:szCs w:val="20"/>
                <w:lang w:val="hy-AM"/>
              </w:rPr>
            </w:pPr>
            <w:r w:rsidRPr="0053423A">
              <w:rPr>
                <w:rFonts w:cs="Sylfaen"/>
                <w:sz w:val="20"/>
                <w:szCs w:val="20"/>
                <w:lang w:val="hy-AM"/>
              </w:rPr>
              <w:t>Միջոցառմա</w:t>
            </w:r>
            <w:r w:rsidRPr="0053423A">
              <w:rPr>
                <w:rFonts w:cs="Sylfaen"/>
                <w:sz w:val="20"/>
                <w:szCs w:val="20"/>
              </w:rPr>
              <w:t>ն</w:t>
            </w:r>
            <w:r w:rsidRPr="0053423A">
              <w:rPr>
                <w:rFonts w:cs="Sylfaen"/>
                <w:sz w:val="20"/>
                <w:szCs w:val="20"/>
                <w:lang w:val="af-ZA"/>
              </w:rPr>
              <w:t xml:space="preserve"> </w:t>
            </w:r>
            <w:r w:rsidRPr="0053423A">
              <w:rPr>
                <w:rFonts w:cs="Sylfaen"/>
                <w:sz w:val="20"/>
                <w:szCs w:val="20"/>
              </w:rPr>
              <w:t>իրականացման</w:t>
            </w:r>
            <w:r w:rsidRPr="0053423A">
              <w:rPr>
                <w:rFonts w:cs="Sylfaen"/>
                <w:sz w:val="20"/>
                <w:szCs w:val="20"/>
                <w:lang w:val="af-ZA"/>
              </w:rPr>
              <w:t xml:space="preserve"> </w:t>
            </w:r>
            <w:r w:rsidRPr="0053423A">
              <w:rPr>
                <w:rFonts w:cs="Sylfaen"/>
                <w:sz w:val="20"/>
                <w:szCs w:val="20"/>
              </w:rPr>
              <w:t>արդյունքում</w:t>
            </w:r>
            <w:r w:rsidRPr="0053423A">
              <w:rPr>
                <w:rFonts w:cs="Sylfaen"/>
                <w:sz w:val="20"/>
                <w:szCs w:val="20"/>
                <w:lang w:val="af-ZA"/>
              </w:rPr>
              <w:t xml:space="preserve"> </w:t>
            </w:r>
            <w:r w:rsidRPr="0053423A">
              <w:rPr>
                <w:sz w:val="20"/>
                <w:szCs w:val="20"/>
                <w:lang w:val="hy-AM"/>
              </w:rPr>
              <w:t>ՆՄՄԿ ուսումնական հաստատություններում կ</w:t>
            </w:r>
            <w:r w:rsidRPr="0053423A">
              <w:rPr>
                <w:sz w:val="20"/>
                <w:szCs w:val="20"/>
              </w:rPr>
              <w:t>կ</w:t>
            </w:r>
            <w:r w:rsidRPr="0053423A">
              <w:rPr>
                <w:sz w:val="20"/>
                <w:szCs w:val="20"/>
                <w:lang w:val="hy-AM"/>
              </w:rPr>
              <w:t>ազմակերպ</w:t>
            </w:r>
            <w:r w:rsidRPr="0053423A">
              <w:rPr>
                <w:sz w:val="20"/>
                <w:szCs w:val="20"/>
              </w:rPr>
              <w:t>վի</w:t>
            </w:r>
            <w:r w:rsidRPr="0053423A">
              <w:rPr>
                <w:sz w:val="20"/>
                <w:szCs w:val="20"/>
                <w:lang w:val="hy-AM"/>
              </w:rPr>
              <w:t xml:space="preserve"> ՀՀ մարզերի զարգացման համար առաջնահերթ և կարևորություն ներկայացնող, ինչպես նաև աշխատաշուկայում առավել պահանջարկված ոլորտների </w:t>
            </w:r>
            <w:r w:rsidRPr="0053423A">
              <w:rPr>
                <w:sz w:val="20"/>
                <w:szCs w:val="20"/>
              </w:rPr>
              <w:t>առնվազն</w:t>
            </w:r>
            <w:r w:rsidRPr="0053423A">
              <w:rPr>
                <w:sz w:val="20"/>
                <w:szCs w:val="20"/>
                <w:lang w:val="af-ZA"/>
              </w:rPr>
              <w:t xml:space="preserve"> 25 </w:t>
            </w:r>
            <w:r w:rsidRPr="0053423A">
              <w:rPr>
                <w:sz w:val="20"/>
                <w:szCs w:val="20"/>
              </w:rPr>
              <w:t>նոր</w:t>
            </w:r>
            <w:r w:rsidRPr="0053423A">
              <w:rPr>
                <w:sz w:val="20"/>
                <w:szCs w:val="20"/>
                <w:lang w:val="af-ZA"/>
              </w:rPr>
              <w:t xml:space="preserve"> </w:t>
            </w:r>
            <w:r w:rsidRPr="0053423A">
              <w:rPr>
                <w:sz w:val="20"/>
                <w:szCs w:val="20"/>
              </w:rPr>
              <w:t>մասնագիտությունների</w:t>
            </w:r>
            <w:r w:rsidRPr="0053423A">
              <w:rPr>
                <w:sz w:val="20"/>
                <w:szCs w:val="20"/>
                <w:lang w:val="af-ZA"/>
              </w:rPr>
              <w:t xml:space="preserve"> գծով </w:t>
            </w:r>
            <w:r w:rsidRPr="0053423A">
              <w:rPr>
                <w:sz w:val="20"/>
                <w:szCs w:val="20"/>
                <w:lang w:val="hy-AM"/>
              </w:rPr>
              <w:t>ուսուց</w:t>
            </w:r>
            <w:r w:rsidRPr="0053423A">
              <w:rPr>
                <w:sz w:val="20"/>
                <w:szCs w:val="20"/>
              </w:rPr>
              <w:t>ում</w:t>
            </w:r>
            <w:r w:rsidRPr="0053423A">
              <w:rPr>
                <w:sz w:val="20"/>
                <w:szCs w:val="20"/>
                <w:lang w:val="af-ZA"/>
              </w:rPr>
              <w:t xml:space="preserve">, </w:t>
            </w:r>
            <w:r w:rsidRPr="0053423A">
              <w:rPr>
                <w:sz w:val="20"/>
                <w:szCs w:val="20"/>
              </w:rPr>
              <w:t>ինչը</w:t>
            </w:r>
            <w:r w:rsidRPr="0053423A">
              <w:rPr>
                <w:sz w:val="20"/>
                <w:szCs w:val="20"/>
                <w:lang w:val="af-ZA"/>
              </w:rPr>
              <w:t xml:space="preserve"> </w:t>
            </w:r>
            <w:r w:rsidRPr="0053423A">
              <w:rPr>
                <w:sz w:val="20"/>
                <w:szCs w:val="20"/>
                <w:lang w:val="hy-AM"/>
              </w:rPr>
              <w:t>կնպաստի ուսումնական հաստատություններում պետության, ՀՀ մարզերի զարգացման համար առաջնահերթ և կարևորություն ներկայացնող, ինչպես նաև աշխատաշուկայում առավել պահանջարկված ոլորտների գծով նոր մասնագիտությունների ներդրմանը,  ուսուցանվող մասնագիտությունների արդիականացմանը</w:t>
            </w:r>
            <w:r w:rsidRPr="0053423A">
              <w:rPr>
                <w:sz w:val="20"/>
                <w:szCs w:val="20"/>
                <w:lang w:val="af-ZA"/>
              </w:rPr>
              <w:t xml:space="preserve">, </w:t>
            </w:r>
            <w:r w:rsidRPr="0053423A">
              <w:rPr>
                <w:sz w:val="20"/>
                <w:szCs w:val="20"/>
                <w:lang w:val="hy-AM"/>
              </w:rPr>
              <w:t>շրջանավարտների զբաղունակության խթան</w:t>
            </w:r>
            <w:r w:rsidRPr="0053423A">
              <w:rPr>
                <w:sz w:val="20"/>
                <w:szCs w:val="20"/>
              </w:rPr>
              <w:t>մանը</w:t>
            </w:r>
            <w:r w:rsidRPr="0053423A">
              <w:rPr>
                <w:sz w:val="20"/>
                <w:szCs w:val="20"/>
                <w:lang w:val="hy-AM"/>
              </w:rPr>
              <w:t>:</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jc w:val="center"/>
              <w:rPr>
                <w:rFonts w:eastAsia="Calibri" w:cs="Times New Roman"/>
                <w:b/>
                <w:sz w:val="20"/>
                <w:szCs w:val="20"/>
                <w:u w:val="single"/>
                <w:lang w:val="af-ZA"/>
              </w:rPr>
            </w:pPr>
            <w:r w:rsidRPr="0053423A">
              <w:rPr>
                <w:rFonts w:cs="Sylfaen"/>
                <w:b/>
                <w:sz w:val="20"/>
                <w:szCs w:val="20"/>
                <w:u w:val="single"/>
                <w:lang w:val="hy-AM"/>
              </w:rPr>
              <w:t xml:space="preserve">9.3. </w:t>
            </w:r>
            <w:r w:rsidRPr="0053423A">
              <w:rPr>
                <w:rFonts w:eastAsia="Calibri" w:cs="Times New Roman"/>
                <w:b/>
                <w:sz w:val="20"/>
                <w:szCs w:val="20"/>
                <w:u w:val="single"/>
                <w:lang w:val="hy-AM"/>
              </w:rPr>
              <w:t>Նախնական մասնագիտական</w:t>
            </w:r>
            <w:r w:rsidRPr="0053423A">
              <w:rPr>
                <w:rFonts w:eastAsia="Calibri" w:cs="Times New Roman"/>
                <w:b/>
                <w:sz w:val="20"/>
                <w:szCs w:val="20"/>
                <w:u w:val="single"/>
                <w:lang w:val="af-ZA"/>
              </w:rPr>
              <w:t xml:space="preserve"> </w:t>
            </w:r>
            <w:r w:rsidRPr="0053423A">
              <w:rPr>
                <w:rFonts w:eastAsia="Calibri" w:cs="Times New Roman"/>
                <w:b/>
                <w:sz w:val="20"/>
                <w:szCs w:val="20"/>
                <w:u w:val="single"/>
                <w:lang w:val="hy-AM"/>
              </w:rPr>
              <w:t>(արհեստագործական) և միջին մասնագիտական ուսումնական հաստատություններում</w:t>
            </w:r>
            <w:r w:rsidRPr="0053423A">
              <w:rPr>
                <w:rFonts w:eastAsia="Times New Roman" w:cs="Times New Roman"/>
                <w:b/>
                <w:sz w:val="20"/>
                <w:szCs w:val="20"/>
                <w:u w:val="single"/>
                <w:lang w:val="hy-AM"/>
              </w:rPr>
              <w:t xml:space="preserve"> </w:t>
            </w:r>
            <w:r w:rsidRPr="0053423A">
              <w:rPr>
                <w:rFonts w:eastAsia="Calibri" w:cs="Times New Roman"/>
                <w:b/>
                <w:sz w:val="20"/>
                <w:szCs w:val="20"/>
                <w:u w:val="single"/>
                <w:lang w:val="hy-AM"/>
              </w:rPr>
              <w:t>ուսումնական գործընթացի կազմակերպման  մոդելի մշակում և փորձարարական ներդրում</w:t>
            </w:r>
          </w:p>
          <w:p w:rsidR="00154773" w:rsidRPr="0053423A" w:rsidRDefault="00154773" w:rsidP="00154773">
            <w:pPr>
              <w:jc w:val="both"/>
              <w:rPr>
                <w:rFonts w:eastAsia="Times New Roman" w:cs="Times New Roman"/>
                <w:b/>
                <w:sz w:val="20"/>
                <w:szCs w:val="20"/>
                <w:highlight w:val="yellow"/>
                <w:lang w:val="hy-AM"/>
              </w:rPr>
            </w:pPr>
            <w:r w:rsidRPr="0053423A">
              <w:rPr>
                <w:rFonts w:eastAsia="Times New Roman" w:cs="Times New Roman"/>
                <w:b/>
                <w:sz w:val="20"/>
                <w:szCs w:val="20"/>
                <w:highlight w:val="yellow"/>
                <w:lang w:val="hy-AM"/>
              </w:rPr>
              <w:t xml:space="preserve">    </w:t>
            </w:r>
          </w:p>
          <w:p w:rsidR="00154773" w:rsidRPr="0053423A" w:rsidRDefault="00154773" w:rsidP="00154773">
            <w:pPr>
              <w:rPr>
                <w:rFonts w:cs="Arial"/>
                <w:b/>
                <w:color w:val="000000"/>
                <w:sz w:val="20"/>
                <w:szCs w:val="20"/>
                <w:lang w:val="af-ZA"/>
              </w:rPr>
            </w:pPr>
            <w:r w:rsidRPr="0053423A">
              <w:rPr>
                <w:rFonts w:eastAsia="Times New Roman" w:cs="Times New Roman"/>
                <w:b/>
                <w:sz w:val="20"/>
                <w:szCs w:val="20"/>
                <w:lang w:val="hy-AM"/>
              </w:rPr>
              <w:t>1. Միջոցառման իրականացման անհրաժեշտությունը և նպատակը</w:t>
            </w:r>
            <w:r w:rsidRPr="0053423A">
              <w:rPr>
                <w:rFonts w:cs="Arial"/>
                <w:b/>
                <w:color w:val="000000"/>
                <w:sz w:val="20"/>
                <w:szCs w:val="20"/>
                <w:lang w:val="af-ZA"/>
              </w:rPr>
              <w:t xml:space="preserve"> </w:t>
            </w:r>
          </w:p>
          <w:p w:rsidR="00154773" w:rsidRPr="0053423A" w:rsidRDefault="00154773" w:rsidP="00154773">
            <w:pPr>
              <w:rPr>
                <w:rFonts w:cs="Arial"/>
                <w:b/>
                <w:color w:val="000000"/>
                <w:sz w:val="20"/>
                <w:szCs w:val="20"/>
                <w:lang w:val="af-ZA"/>
              </w:rPr>
            </w:pPr>
          </w:p>
          <w:p w:rsidR="00154773" w:rsidRPr="0053423A" w:rsidRDefault="00154773" w:rsidP="00154773">
            <w:pPr>
              <w:autoSpaceDE w:val="0"/>
              <w:autoSpaceDN w:val="0"/>
              <w:adjustRightInd w:val="0"/>
              <w:ind w:firstLine="450"/>
              <w:jc w:val="both"/>
              <w:rPr>
                <w:sz w:val="20"/>
                <w:szCs w:val="20"/>
                <w:lang w:val="hy-AM"/>
              </w:rPr>
            </w:pPr>
            <w:r w:rsidRPr="0053423A">
              <w:rPr>
                <w:rFonts w:eastAsia="Times New Roman" w:cs="Times New Roman"/>
                <w:sz w:val="20"/>
                <w:szCs w:val="20"/>
                <w:lang w:val="hy-AM"/>
              </w:rPr>
              <w:t>Միջոցառման</w:t>
            </w:r>
            <w:r w:rsidRPr="0053423A">
              <w:rPr>
                <w:sz w:val="20"/>
                <w:szCs w:val="20"/>
                <w:lang w:val="hy-AM"/>
              </w:rPr>
              <w:t xml:space="preserve"> անհրաժեշտությունը պայմանավորված է աշխատաշուկայում ՄԿՈւ ոլորտի մրցունակ կադրերի բացակայությամբ, ժամանակակից մասնագիտական գիտելիքների և գործնական հմտությունների պակասով, </w:t>
            </w:r>
            <w:r w:rsidRPr="0053423A">
              <w:rPr>
                <w:spacing w:val="-4"/>
                <w:sz w:val="20"/>
                <w:szCs w:val="20"/>
                <w:lang w:val="hy-AM"/>
              </w:rPr>
              <w:t xml:space="preserve">ՀՀ ԱԺ 2019 թվականի փետրվարի 14-ի ԱԺՈ-002-Ն որոշմամբ հավանության արժանացած ՀՀ կառավարության ծրագրի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xml:space="preserve">»  </w:t>
            </w:r>
            <w:r w:rsidRPr="0053423A">
              <w:rPr>
                <w:rFonts w:eastAsia="Calibri" w:cs="Sylfaen"/>
                <w:sz w:val="20"/>
                <w:szCs w:val="20"/>
                <w:lang w:val="hy-AM"/>
              </w:rPr>
              <w:t xml:space="preserve">բաժնի </w:t>
            </w:r>
            <w:r w:rsidRPr="0053423A">
              <w:rPr>
                <w:rFonts w:cs="Arial"/>
                <w:color w:val="000000"/>
                <w:sz w:val="20"/>
                <w:szCs w:val="20"/>
                <w:lang w:val="af-ZA"/>
              </w:rPr>
              <w:t xml:space="preserve">5-րդ պարբերությամբ, </w:t>
            </w:r>
            <w:r w:rsidRPr="0053423A">
              <w:rPr>
                <w:sz w:val="20"/>
                <w:szCs w:val="20"/>
                <w:lang w:val="hy-AM"/>
              </w:rPr>
              <w:t>«Նախնական մասնագիտական (արհեստագործական) և միջին մասնագիտական կրթության մասին» ՀՀ օրենքի 4-րդ և 5-րդ հոդվածներով, «Սոցիալական գործընկերության» հայեցակարգով, ինչպես նաև ՀՀ սոցիալ-տնտեսական ներկայիս մակարդակով:</w:t>
            </w:r>
          </w:p>
          <w:p w:rsidR="00154773" w:rsidRPr="0053423A" w:rsidRDefault="00154773" w:rsidP="001547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 w:firstLine="450"/>
              <w:jc w:val="both"/>
              <w:rPr>
                <w:sz w:val="20"/>
                <w:szCs w:val="20"/>
                <w:lang w:val="hy-AM"/>
              </w:rPr>
            </w:pPr>
            <w:r w:rsidRPr="0053423A">
              <w:rPr>
                <w:sz w:val="20"/>
                <w:szCs w:val="20"/>
                <w:lang w:val="hy-AM"/>
              </w:rPr>
              <w:tab/>
              <w:t>Հաշվի առնելով վերոնշյալը՝ անհրաժեշտություն է առաջացել մշակել ուսումնական գործընթացի կազմակերպման մոդել և ընտրված   ՄԿՈՒ  ուսումնական հաստատություններում  5 մասնագիտությունների գծով փորձարարական կարգով ներդնել և ընդլայնել երկակի (դուալ) ուսուցման համակարգը, ինչը հնարավորությունը կտա ուսումնական գործընթացին զուգահեռ իրականացնել գործնականի վրա հիմնված ուսուցում: Գործատուի մոտ աշխատանքի վրա հիմնված ուսուցման կազմակերպումը կնպաստի աշխատաշուկայի պահանջներին համապատասխան կադրերի  մասնագիտական զարգացմանը, սովորողների մոտ համապատասխան կարողությունների և հմտությունների ձևավորմանը, գործատուների ներգրավմանը և սոցիալական գործընկերության ընդլայնմանը, շրջանավարտների՝ իրենց մասնագիտությամբ զբաղունակությանը, ՄԿՈՒ ոլորտի գրավչության բարձրացմանը, եվրոպական կրթական տարածքին  ինտեգրմանը և որակավորումների փոխճանաչմանը:</w:t>
            </w:r>
          </w:p>
          <w:p w:rsidR="00154773" w:rsidRPr="0053423A" w:rsidRDefault="00154773" w:rsidP="001547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 w:firstLine="450"/>
              <w:jc w:val="both"/>
              <w:rPr>
                <w:sz w:val="20"/>
                <w:szCs w:val="20"/>
                <w:lang w:val="hy-AM"/>
              </w:rPr>
            </w:pPr>
            <w:r w:rsidRPr="0053423A">
              <w:rPr>
                <w:sz w:val="20"/>
                <w:szCs w:val="20"/>
                <w:lang w:val="hy-AM"/>
              </w:rPr>
              <w:t>Նման գործընթացը երաշխավորում է աշխատաշուկայում պահանջարկ ունեցող մասնագետների պատրաստումը բացառապես աշխատաշուկայի կողմից մասնագետներին ներկայացվող պահանջներին համապատասխան, ինչը կարևոր է նրանց մասնագիտական գործունեության, առաջխաղացման, ինչպես նաև երկրի սոցիալ-տնտեսական զարգացման համար:</w:t>
            </w:r>
          </w:p>
          <w:p w:rsidR="00154773" w:rsidRPr="0053423A" w:rsidRDefault="00154773" w:rsidP="00154773">
            <w:pPr>
              <w:autoSpaceDE w:val="0"/>
              <w:autoSpaceDN w:val="0"/>
              <w:adjustRightInd w:val="0"/>
              <w:jc w:val="both"/>
              <w:rPr>
                <w:color w:val="000000"/>
                <w:sz w:val="20"/>
                <w:szCs w:val="20"/>
                <w:shd w:val="clear" w:color="auto" w:fill="FFFFFF"/>
                <w:lang w:val="hy-AM"/>
              </w:rPr>
            </w:pPr>
          </w:p>
          <w:p w:rsidR="00154773" w:rsidRPr="0053423A" w:rsidRDefault="00154773" w:rsidP="001F6D5D">
            <w:pPr>
              <w:numPr>
                <w:ilvl w:val="1"/>
                <w:numId w:val="477"/>
              </w:numPr>
              <w:contextualSpacing/>
              <w:jc w:val="both"/>
              <w:rPr>
                <w:rFonts w:eastAsia="Times New Roman" w:cs="Times New Roman"/>
                <w:b/>
                <w:sz w:val="20"/>
                <w:szCs w:val="20"/>
                <w:lang w:val="af-ZA"/>
              </w:rPr>
            </w:pPr>
            <w:r w:rsidRPr="0053423A">
              <w:rPr>
                <w:rFonts w:eastAsia="Times New Roman" w:cs="Times New Roman"/>
                <w:b/>
                <w:sz w:val="20"/>
                <w:szCs w:val="20"/>
                <w:lang w:val="hy-AM"/>
              </w:rPr>
              <w:t>կարգավորման հարաբերությունների ներկա վիճակը և առկա խնդիրները</w:t>
            </w:r>
            <w:r w:rsidRPr="0053423A">
              <w:rPr>
                <w:rFonts w:eastAsia="Times New Roman" w:cs="Times New Roman"/>
                <w:b/>
                <w:sz w:val="20"/>
                <w:szCs w:val="20"/>
                <w:lang w:val="af-ZA"/>
              </w:rPr>
              <w:t>.</w:t>
            </w:r>
          </w:p>
          <w:p w:rsidR="00154773" w:rsidRPr="0053423A" w:rsidRDefault="00154773" w:rsidP="00154773">
            <w:pPr>
              <w:ind w:left="900"/>
              <w:contextualSpacing/>
              <w:jc w:val="both"/>
              <w:rPr>
                <w:rFonts w:eastAsia="Times New Roman" w:cs="Times New Roman"/>
                <w:b/>
                <w:sz w:val="20"/>
                <w:szCs w:val="20"/>
                <w:lang w:val="af-ZA"/>
              </w:rPr>
            </w:pPr>
          </w:p>
          <w:p w:rsidR="00154773" w:rsidRPr="0053423A" w:rsidRDefault="00154773" w:rsidP="00154773">
            <w:pPr>
              <w:tabs>
                <w:tab w:val="left" w:pos="270"/>
              </w:tabs>
              <w:autoSpaceDE w:val="0"/>
              <w:autoSpaceDN w:val="0"/>
              <w:adjustRightInd w:val="0"/>
              <w:ind w:firstLine="284"/>
              <w:jc w:val="both"/>
              <w:rPr>
                <w:color w:val="000000"/>
                <w:sz w:val="20"/>
                <w:szCs w:val="20"/>
                <w:shd w:val="clear" w:color="auto" w:fill="FFFFFF"/>
                <w:lang w:val="af-ZA"/>
              </w:rPr>
            </w:pPr>
            <w:r w:rsidRPr="0053423A">
              <w:rPr>
                <w:color w:val="000000"/>
                <w:sz w:val="20"/>
                <w:szCs w:val="20"/>
                <w:shd w:val="clear" w:color="auto" w:fill="FFFFFF"/>
                <w:lang w:val="hy-AM"/>
              </w:rPr>
              <w:t xml:space="preserve"> ՀՀ սոցիալ-տնտեսական զարգացման գործում իրենց անմիջական ազդեցությունն ունեցող կրթության  ոլորտում առկա մի շարք խնդիրներ լուծելու, աշխատաշուկայի պահանջներին համապատասխան կադրերի մասնագիտական զարգացմանը, գործատուների ներգրավմանը և սոցիալական գործընկերության ընդլայնմանը, եվրոպական կրթական տարածքին ինտեգրմանը և որակավորումների փոխճանաչմանը նպաստելու նպատակով՝ ՆՄՄԿ համակարգի զարգացման ընթացքում գերակա միտում ունի մասնագիտական կրթության համակարգում աշխատանքի վրա հիմնված կրթական համակարգի տարրերի ներդրման և կիրառման հնարավորությունների ընդլայնումը, ինչը թույլ կտա մի կողմից գործատուներին ներգրավված լինել կրթական գործընթացներում, ուսումնական հաստատությունների հետ համատեղ մասնակցել նորարարական նախագծերին, բարելավել սեփական տեխնոլոգիաներն ու արտադրանքը, իսկ մյուս կողմից կնպաստի սովորողների մոտ տեսական և գործնական համապատասխան կարողությունների և հմտությունների ձևավորմանը, զբաղվածության խթանմանը: </w:t>
            </w:r>
          </w:p>
          <w:p w:rsidR="00154773" w:rsidRPr="0053423A" w:rsidRDefault="00154773" w:rsidP="00154773">
            <w:pPr>
              <w:ind w:firstLine="284"/>
              <w:jc w:val="both"/>
              <w:rPr>
                <w:color w:val="000000"/>
                <w:sz w:val="20"/>
                <w:szCs w:val="20"/>
                <w:shd w:val="clear" w:color="auto" w:fill="FFFFFF"/>
                <w:lang w:val="af-ZA"/>
              </w:rPr>
            </w:pPr>
            <w:r w:rsidRPr="0053423A">
              <w:rPr>
                <w:color w:val="000000"/>
                <w:sz w:val="20"/>
                <w:szCs w:val="20"/>
                <w:shd w:val="clear" w:color="auto" w:fill="FFFFFF"/>
                <w:lang w:val="hy-AM"/>
              </w:rPr>
              <w:t>2017-2018թթ. նախնական (արհեստագործական) և միջին մասնագիտական թվով 15 ուսումնական հաստատությունում 11 մասնագիտությունների գծով ներդրվել է երկակի ուսուցման համակարգ:</w:t>
            </w:r>
            <w:r w:rsidRPr="0053423A">
              <w:rPr>
                <w:color w:val="000000"/>
                <w:sz w:val="20"/>
                <w:szCs w:val="20"/>
                <w:shd w:val="clear" w:color="auto" w:fill="FFFFFF"/>
                <w:lang w:val="af-ZA"/>
              </w:rPr>
              <w:t xml:space="preserve"> </w:t>
            </w:r>
          </w:p>
          <w:p w:rsidR="00154773" w:rsidRPr="0053423A" w:rsidRDefault="00154773" w:rsidP="00154773">
            <w:pPr>
              <w:ind w:firstLine="284"/>
              <w:jc w:val="both"/>
              <w:rPr>
                <w:color w:val="000000"/>
                <w:sz w:val="20"/>
                <w:szCs w:val="20"/>
                <w:shd w:val="clear" w:color="auto" w:fill="FFFFFF"/>
                <w:lang w:val="af-ZA"/>
              </w:rPr>
            </w:pPr>
            <w:r w:rsidRPr="0053423A">
              <w:rPr>
                <w:rFonts w:cs="Sylfaen"/>
                <w:sz w:val="20"/>
                <w:szCs w:val="20"/>
                <w:lang w:val="af-ZA"/>
              </w:rPr>
              <w:t>Հաշվի առնելով, որ ՆՄՄԿ</w:t>
            </w:r>
            <w:r w:rsidRPr="0053423A">
              <w:rPr>
                <w:rFonts w:cs="Sylfaen"/>
                <w:sz w:val="20"/>
                <w:szCs w:val="20"/>
                <w:lang w:val="hy-AM"/>
              </w:rPr>
              <w:t xml:space="preserve"> </w:t>
            </w:r>
            <w:r w:rsidRPr="0053423A">
              <w:rPr>
                <w:rFonts w:cs="Sylfaen"/>
                <w:sz w:val="20"/>
                <w:szCs w:val="20"/>
              </w:rPr>
              <w:t>համակարգը</w:t>
            </w:r>
            <w:r w:rsidRPr="0053423A">
              <w:rPr>
                <w:rFonts w:cs="Sylfaen"/>
                <w:sz w:val="20"/>
                <w:szCs w:val="20"/>
                <w:lang w:val="af-ZA"/>
              </w:rPr>
              <w:t xml:space="preserve"> </w:t>
            </w:r>
            <w:r w:rsidRPr="0053423A">
              <w:rPr>
                <w:rFonts w:cs="Sylfaen"/>
                <w:sz w:val="20"/>
                <w:szCs w:val="20"/>
                <w:lang w:val="hy-AM"/>
              </w:rPr>
              <w:t>պատասխանատու է այն ռեսուրսի որակի համար, առանց որի հնարավոր չէ ապահովել տնտեսության և ամբողջ հասարակության նորարարական զարգացումը</w:t>
            </w:r>
            <w:r w:rsidRPr="0053423A">
              <w:rPr>
                <w:rFonts w:cs="Sylfaen"/>
                <w:sz w:val="20"/>
                <w:szCs w:val="20"/>
              </w:rPr>
              <w:t>՝</w:t>
            </w:r>
            <w:r w:rsidRPr="0053423A">
              <w:rPr>
                <w:rFonts w:cs="Sylfaen"/>
                <w:sz w:val="20"/>
                <w:szCs w:val="20"/>
                <w:lang w:val="hy-AM"/>
              </w:rPr>
              <w:t xml:space="preserve"> </w:t>
            </w:r>
            <w:r w:rsidRPr="0053423A">
              <w:rPr>
                <w:rFonts w:cs="GHEA Grapalat"/>
                <w:sz w:val="20"/>
                <w:szCs w:val="20"/>
                <w:lang w:val="hy-AM"/>
              </w:rPr>
              <w:t>երկակի (դուալ) ուսուցման համակարգ</w:t>
            </w:r>
            <w:r w:rsidRPr="0053423A">
              <w:rPr>
                <w:color w:val="000000"/>
                <w:sz w:val="20"/>
                <w:szCs w:val="20"/>
                <w:shd w:val="clear" w:color="auto" w:fill="FFFFFF"/>
              </w:rPr>
              <w:t>ի</w:t>
            </w:r>
            <w:r w:rsidRPr="0053423A">
              <w:rPr>
                <w:color w:val="000000"/>
                <w:sz w:val="20"/>
                <w:szCs w:val="20"/>
                <w:shd w:val="clear" w:color="auto" w:fill="FFFFFF"/>
                <w:lang w:val="af-ZA"/>
              </w:rPr>
              <w:t xml:space="preserve"> </w:t>
            </w:r>
            <w:r w:rsidRPr="0053423A">
              <w:rPr>
                <w:color w:val="000000"/>
                <w:sz w:val="20"/>
                <w:szCs w:val="20"/>
                <w:shd w:val="clear" w:color="auto" w:fill="FFFFFF"/>
              </w:rPr>
              <w:t>ընդլայնումը՝</w:t>
            </w:r>
            <w:r w:rsidRPr="0053423A">
              <w:rPr>
                <w:color w:val="000000"/>
                <w:sz w:val="20"/>
                <w:szCs w:val="20"/>
                <w:shd w:val="clear" w:color="auto" w:fill="FFFFFF"/>
                <w:lang w:val="af-ZA"/>
              </w:rPr>
              <w:t xml:space="preserve"> </w:t>
            </w:r>
            <w:r w:rsidRPr="0053423A">
              <w:rPr>
                <w:color w:val="000000"/>
                <w:sz w:val="20"/>
                <w:szCs w:val="20"/>
                <w:shd w:val="clear" w:color="auto" w:fill="FFFFFF"/>
              </w:rPr>
              <w:t>որպես</w:t>
            </w:r>
            <w:r w:rsidRPr="0053423A">
              <w:rPr>
                <w:color w:val="000000"/>
                <w:sz w:val="20"/>
                <w:szCs w:val="20"/>
                <w:shd w:val="clear" w:color="auto" w:fill="FFFFFF"/>
                <w:lang w:val="af-ZA"/>
              </w:rPr>
              <w:t xml:space="preserve"> </w:t>
            </w:r>
            <w:r w:rsidRPr="0053423A">
              <w:rPr>
                <w:color w:val="000000"/>
                <w:sz w:val="20"/>
                <w:szCs w:val="20"/>
                <w:shd w:val="clear" w:color="auto" w:fill="FFFFFF"/>
              </w:rPr>
              <w:t>համակարգի</w:t>
            </w:r>
            <w:r w:rsidRPr="0053423A">
              <w:rPr>
                <w:color w:val="000000"/>
                <w:sz w:val="20"/>
                <w:szCs w:val="20"/>
                <w:shd w:val="clear" w:color="auto" w:fill="FFFFFF"/>
                <w:lang w:val="af-ZA"/>
              </w:rPr>
              <w:t xml:space="preserve"> </w:t>
            </w:r>
            <w:r w:rsidRPr="0053423A">
              <w:rPr>
                <w:color w:val="000000"/>
                <w:sz w:val="20"/>
                <w:szCs w:val="20"/>
                <w:shd w:val="clear" w:color="auto" w:fill="FFFFFF"/>
              </w:rPr>
              <w:t>զարգացման</w:t>
            </w:r>
            <w:r w:rsidRPr="0053423A">
              <w:rPr>
                <w:color w:val="000000"/>
                <w:sz w:val="20"/>
                <w:szCs w:val="20"/>
                <w:shd w:val="clear" w:color="auto" w:fill="FFFFFF"/>
                <w:lang w:val="af-ZA"/>
              </w:rPr>
              <w:t xml:space="preserve">, </w:t>
            </w:r>
            <w:r w:rsidRPr="0053423A">
              <w:rPr>
                <w:color w:val="000000"/>
                <w:sz w:val="20"/>
                <w:szCs w:val="20"/>
                <w:shd w:val="clear" w:color="auto" w:fill="FFFFFF"/>
              </w:rPr>
              <w:t>շրջանավարտների</w:t>
            </w:r>
            <w:r w:rsidRPr="0053423A">
              <w:rPr>
                <w:color w:val="000000"/>
                <w:sz w:val="20"/>
                <w:szCs w:val="20"/>
                <w:shd w:val="clear" w:color="auto" w:fill="FFFFFF"/>
                <w:lang w:val="af-ZA"/>
              </w:rPr>
              <w:t xml:space="preserve"> </w:t>
            </w:r>
            <w:r w:rsidRPr="0053423A">
              <w:rPr>
                <w:color w:val="000000"/>
                <w:sz w:val="20"/>
                <w:szCs w:val="20"/>
                <w:shd w:val="clear" w:color="auto" w:fill="FFFFFF"/>
              </w:rPr>
              <w:t>զբաղվածության</w:t>
            </w:r>
            <w:r w:rsidRPr="0053423A">
              <w:rPr>
                <w:color w:val="000000"/>
                <w:sz w:val="20"/>
                <w:szCs w:val="20"/>
                <w:shd w:val="clear" w:color="auto" w:fill="FFFFFF"/>
                <w:lang w:val="af-ZA"/>
              </w:rPr>
              <w:t xml:space="preserve"> </w:t>
            </w:r>
            <w:r w:rsidRPr="0053423A">
              <w:rPr>
                <w:color w:val="000000"/>
                <w:sz w:val="20"/>
                <w:szCs w:val="20"/>
                <w:shd w:val="clear" w:color="auto" w:fill="FFFFFF"/>
              </w:rPr>
              <w:t>ապահովման</w:t>
            </w:r>
            <w:r w:rsidRPr="0053423A">
              <w:rPr>
                <w:color w:val="000000"/>
                <w:sz w:val="20"/>
                <w:szCs w:val="20"/>
                <w:shd w:val="clear" w:color="auto" w:fill="FFFFFF"/>
                <w:lang w:val="af-ZA"/>
              </w:rPr>
              <w:t xml:space="preserve">, </w:t>
            </w:r>
            <w:r w:rsidRPr="0053423A">
              <w:rPr>
                <w:color w:val="000000"/>
                <w:sz w:val="20"/>
                <w:szCs w:val="20"/>
                <w:shd w:val="clear" w:color="auto" w:fill="FFFFFF"/>
              </w:rPr>
              <w:t>գործատուների</w:t>
            </w:r>
            <w:r w:rsidRPr="0053423A">
              <w:rPr>
                <w:color w:val="000000"/>
                <w:sz w:val="20"/>
                <w:szCs w:val="20"/>
                <w:shd w:val="clear" w:color="auto" w:fill="FFFFFF"/>
                <w:lang w:val="af-ZA"/>
              </w:rPr>
              <w:t xml:space="preserve"> </w:t>
            </w:r>
            <w:r w:rsidRPr="0053423A">
              <w:rPr>
                <w:color w:val="000000"/>
                <w:sz w:val="20"/>
                <w:szCs w:val="20"/>
                <w:shd w:val="clear" w:color="auto" w:fill="FFFFFF"/>
              </w:rPr>
              <w:t>ներգրավման</w:t>
            </w:r>
            <w:r w:rsidRPr="0053423A">
              <w:rPr>
                <w:color w:val="000000"/>
                <w:sz w:val="20"/>
                <w:szCs w:val="20"/>
                <w:shd w:val="clear" w:color="auto" w:fill="FFFFFF"/>
                <w:lang w:val="af-ZA"/>
              </w:rPr>
              <w:t xml:space="preserve"> </w:t>
            </w:r>
            <w:r w:rsidRPr="0053423A">
              <w:rPr>
                <w:color w:val="000000"/>
                <w:sz w:val="20"/>
                <w:szCs w:val="20"/>
                <w:shd w:val="clear" w:color="auto" w:fill="FFFFFF"/>
              </w:rPr>
              <w:t>կարևորագույն</w:t>
            </w:r>
            <w:r w:rsidRPr="0053423A">
              <w:rPr>
                <w:color w:val="000000"/>
                <w:sz w:val="20"/>
                <w:szCs w:val="20"/>
                <w:shd w:val="clear" w:color="auto" w:fill="FFFFFF"/>
                <w:lang w:val="af-ZA"/>
              </w:rPr>
              <w:t xml:space="preserve"> </w:t>
            </w:r>
            <w:r w:rsidRPr="0053423A">
              <w:rPr>
                <w:color w:val="000000"/>
                <w:sz w:val="20"/>
                <w:szCs w:val="20"/>
                <w:shd w:val="clear" w:color="auto" w:fill="FFFFFF"/>
              </w:rPr>
              <w:t>նախադրյալ</w:t>
            </w:r>
            <w:r w:rsidRPr="0053423A">
              <w:rPr>
                <w:color w:val="000000"/>
                <w:sz w:val="20"/>
                <w:szCs w:val="20"/>
                <w:shd w:val="clear" w:color="auto" w:fill="FFFFFF"/>
                <w:lang w:val="af-ZA"/>
              </w:rPr>
              <w:t xml:space="preserve">, </w:t>
            </w:r>
            <w:r w:rsidRPr="0053423A">
              <w:rPr>
                <w:color w:val="000000"/>
                <w:sz w:val="20"/>
                <w:szCs w:val="20"/>
                <w:shd w:val="clear" w:color="auto" w:fill="FFFFFF"/>
              </w:rPr>
              <w:t>հանդիսանում</w:t>
            </w:r>
            <w:r w:rsidRPr="0053423A">
              <w:rPr>
                <w:color w:val="000000"/>
                <w:sz w:val="20"/>
                <w:szCs w:val="20"/>
                <w:shd w:val="clear" w:color="auto" w:fill="FFFFFF"/>
                <w:lang w:val="af-ZA"/>
              </w:rPr>
              <w:t xml:space="preserve"> </w:t>
            </w:r>
            <w:r w:rsidRPr="0053423A">
              <w:rPr>
                <w:color w:val="000000"/>
                <w:sz w:val="20"/>
                <w:szCs w:val="20"/>
                <w:shd w:val="clear" w:color="auto" w:fill="FFFFFF"/>
              </w:rPr>
              <w:t>է</w:t>
            </w:r>
            <w:r w:rsidRPr="0053423A">
              <w:rPr>
                <w:color w:val="000000"/>
                <w:sz w:val="20"/>
                <w:szCs w:val="20"/>
                <w:shd w:val="clear" w:color="auto" w:fill="FFFFFF"/>
                <w:lang w:val="af-ZA"/>
              </w:rPr>
              <w:t xml:space="preserve"> </w:t>
            </w:r>
            <w:r w:rsidRPr="0053423A">
              <w:rPr>
                <w:color w:val="000000"/>
                <w:sz w:val="20"/>
                <w:szCs w:val="20"/>
                <w:shd w:val="clear" w:color="auto" w:fill="FFFFFF"/>
              </w:rPr>
              <w:t>ոլորտի</w:t>
            </w:r>
            <w:r w:rsidRPr="0053423A">
              <w:rPr>
                <w:color w:val="000000"/>
                <w:sz w:val="20"/>
                <w:szCs w:val="20"/>
                <w:shd w:val="clear" w:color="auto" w:fill="FFFFFF"/>
                <w:lang w:val="af-ZA"/>
              </w:rPr>
              <w:t xml:space="preserve"> </w:t>
            </w:r>
            <w:r w:rsidRPr="0053423A">
              <w:rPr>
                <w:color w:val="000000"/>
                <w:sz w:val="20"/>
                <w:szCs w:val="20"/>
                <w:shd w:val="clear" w:color="auto" w:fill="FFFFFF"/>
              </w:rPr>
              <w:t>գերակա</w:t>
            </w:r>
            <w:r w:rsidRPr="0053423A">
              <w:rPr>
                <w:color w:val="000000"/>
                <w:sz w:val="20"/>
                <w:szCs w:val="20"/>
                <w:shd w:val="clear" w:color="auto" w:fill="FFFFFF"/>
                <w:lang w:val="af-ZA"/>
              </w:rPr>
              <w:t xml:space="preserve"> </w:t>
            </w:r>
            <w:r w:rsidRPr="0053423A">
              <w:rPr>
                <w:color w:val="000000"/>
                <w:sz w:val="20"/>
                <w:szCs w:val="20"/>
                <w:shd w:val="clear" w:color="auto" w:fill="FFFFFF"/>
              </w:rPr>
              <w:t>ուղղություններից</w:t>
            </w:r>
            <w:r w:rsidRPr="0053423A">
              <w:rPr>
                <w:color w:val="000000"/>
                <w:sz w:val="20"/>
                <w:szCs w:val="20"/>
                <w:shd w:val="clear" w:color="auto" w:fill="FFFFFF"/>
                <w:lang w:val="af-ZA"/>
              </w:rPr>
              <w:t xml:space="preserve">, </w:t>
            </w:r>
            <w:r w:rsidRPr="0053423A">
              <w:rPr>
                <w:color w:val="000000"/>
                <w:sz w:val="20"/>
                <w:szCs w:val="20"/>
                <w:shd w:val="clear" w:color="auto" w:fill="FFFFFF"/>
              </w:rPr>
              <w:t>որի</w:t>
            </w:r>
            <w:r w:rsidRPr="0053423A">
              <w:rPr>
                <w:color w:val="000000"/>
                <w:sz w:val="20"/>
                <w:szCs w:val="20"/>
                <w:shd w:val="clear" w:color="auto" w:fill="FFFFFF"/>
                <w:lang w:val="hy-AM"/>
              </w:rPr>
              <w:t xml:space="preserve"> զարգացման փուլում առանցքային գործոններ են կազմակերպությունների ներկայացուցիչների ներգրավումն ուսուցման գործընթացին և վարպետային ուսուցման զարգացումը: Միջոցառումը կապահովի ՆՄՄԿ համակարգի զարգացման համար ձեռներեցության, պետության և ուսումնական հաստատությունների ռեսուրսների միավորմանը և կնպաստի որակյալ կադրերի պատրաստման համար առկա ռեսուրսների օգտագործման արդյունավետության բարձրացմանը:</w:t>
            </w:r>
          </w:p>
          <w:p w:rsidR="00154773" w:rsidRPr="0053423A" w:rsidRDefault="00154773" w:rsidP="00154773">
            <w:pPr>
              <w:ind w:left="284"/>
              <w:jc w:val="both"/>
              <w:rPr>
                <w:color w:val="000000"/>
                <w:sz w:val="20"/>
                <w:szCs w:val="20"/>
                <w:shd w:val="clear" w:color="auto" w:fill="FFFFFF"/>
                <w:lang w:val="af-ZA"/>
              </w:rPr>
            </w:pPr>
          </w:p>
          <w:p w:rsidR="00154773" w:rsidRPr="0053423A" w:rsidRDefault="00154773" w:rsidP="00154773">
            <w:pPr>
              <w:jc w:val="both"/>
              <w:rPr>
                <w:b/>
                <w:sz w:val="20"/>
                <w:szCs w:val="20"/>
                <w:u w:val="single"/>
                <w:lang w:val="hy-AM"/>
              </w:rPr>
            </w:pPr>
          </w:p>
          <w:p w:rsidR="00154773" w:rsidRPr="0053423A" w:rsidRDefault="00154773" w:rsidP="00154773">
            <w:pPr>
              <w:rPr>
                <w:rFonts w:eastAsia="Times New Roman" w:cs="Times New Roman"/>
                <w:b/>
                <w:sz w:val="20"/>
                <w:szCs w:val="20"/>
                <w:lang w:val="hy-AM"/>
              </w:rPr>
            </w:pPr>
            <w:r w:rsidRPr="0053423A">
              <w:rPr>
                <w:rFonts w:ascii="Calibri" w:eastAsia="Times New Roman" w:hAnsi="Calibri" w:cs="Calibri"/>
                <w:b/>
                <w:sz w:val="20"/>
                <w:szCs w:val="20"/>
                <w:lang w:val="hy-AM"/>
              </w:rPr>
              <w:t> </w:t>
            </w:r>
            <w:r w:rsidRPr="0053423A">
              <w:rPr>
                <w:rFonts w:eastAsia="Times New Roman" w:cs="Times New Roman"/>
                <w:b/>
                <w:sz w:val="20"/>
                <w:szCs w:val="20"/>
                <w:lang w:val="hy-AM"/>
              </w:rPr>
              <w:t>1.2. Առկա խնդիրների առաջարկվող լուծումները</w:t>
            </w:r>
          </w:p>
          <w:p w:rsidR="00154773" w:rsidRPr="0053423A" w:rsidRDefault="00154773" w:rsidP="00154773">
            <w:pPr>
              <w:rPr>
                <w:rFonts w:eastAsia="Times New Roman" w:cs="Times New Roman"/>
                <w:b/>
                <w:sz w:val="20"/>
                <w:szCs w:val="20"/>
                <w:lang w:val="hy-AM"/>
              </w:rPr>
            </w:pPr>
          </w:p>
          <w:p w:rsidR="00154773" w:rsidRPr="0053423A" w:rsidRDefault="00154773" w:rsidP="00154773">
            <w:pPr>
              <w:autoSpaceDE w:val="0"/>
              <w:autoSpaceDN w:val="0"/>
              <w:adjustRightInd w:val="0"/>
              <w:ind w:firstLine="360"/>
              <w:jc w:val="both"/>
              <w:rPr>
                <w:sz w:val="20"/>
                <w:szCs w:val="20"/>
                <w:lang w:val="af-ZA"/>
              </w:rPr>
            </w:pPr>
            <w:r w:rsidRPr="0053423A">
              <w:rPr>
                <w:rFonts w:cs="Sylfaen"/>
                <w:sz w:val="20"/>
                <w:szCs w:val="20"/>
                <w:lang w:val="hy-AM"/>
              </w:rPr>
              <w:t>Պետու</w:t>
            </w:r>
            <w:r w:rsidRPr="0053423A">
              <w:rPr>
                <w:sz w:val="20"/>
                <w:szCs w:val="20"/>
                <w:lang w:val="hy-AM"/>
              </w:rPr>
              <w:t>թյան, ՀՀ մարզերի զարգացման համար առաջնահերթ և կարևորություն ներկայացնող</w:t>
            </w:r>
            <w:r w:rsidRPr="0053423A">
              <w:rPr>
                <w:sz w:val="20"/>
                <w:szCs w:val="20"/>
                <w:lang w:val="af-ZA"/>
              </w:rPr>
              <w:t xml:space="preserve"> </w:t>
            </w:r>
            <w:r w:rsidRPr="0053423A">
              <w:rPr>
                <w:sz w:val="20"/>
                <w:szCs w:val="20"/>
                <w:lang w:val="hy-AM"/>
              </w:rPr>
              <w:t>մասնագիտությունների</w:t>
            </w:r>
            <w:r w:rsidRPr="0053423A">
              <w:rPr>
                <w:sz w:val="20"/>
                <w:szCs w:val="20"/>
                <w:lang w:val="af-ZA"/>
              </w:rPr>
              <w:t xml:space="preserve"> </w:t>
            </w:r>
            <w:r w:rsidRPr="0053423A">
              <w:rPr>
                <w:sz w:val="20"/>
                <w:szCs w:val="20"/>
                <w:lang w:val="hy-AM"/>
              </w:rPr>
              <w:t>և</w:t>
            </w:r>
            <w:r w:rsidRPr="0053423A">
              <w:rPr>
                <w:sz w:val="20"/>
                <w:szCs w:val="20"/>
                <w:lang w:val="af-ZA"/>
              </w:rPr>
              <w:t xml:space="preserve"> </w:t>
            </w:r>
            <w:r w:rsidRPr="0053423A">
              <w:rPr>
                <w:sz w:val="20"/>
                <w:szCs w:val="20"/>
                <w:lang w:val="hy-AM"/>
              </w:rPr>
              <w:t>դրանց</w:t>
            </w:r>
            <w:r w:rsidRPr="0053423A">
              <w:rPr>
                <w:sz w:val="20"/>
                <w:szCs w:val="20"/>
                <w:lang w:val="af-ZA"/>
              </w:rPr>
              <w:t xml:space="preserve"> </w:t>
            </w:r>
            <w:r w:rsidRPr="0053423A">
              <w:rPr>
                <w:sz w:val="20"/>
                <w:szCs w:val="20"/>
                <w:lang w:val="hy-AM"/>
              </w:rPr>
              <w:t>գծով</w:t>
            </w:r>
            <w:r w:rsidRPr="0053423A">
              <w:rPr>
                <w:sz w:val="20"/>
                <w:szCs w:val="20"/>
                <w:lang w:val="af-ZA"/>
              </w:rPr>
              <w:t xml:space="preserve"> </w:t>
            </w:r>
            <w:r w:rsidRPr="0053423A">
              <w:rPr>
                <w:sz w:val="20"/>
                <w:szCs w:val="20"/>
                <w:lang w:val="hy-AM"/>
              </w:rPr>
              <w:t>ուսւոցում</w:t>
            </w:r>
            <w:r w:rsidRPr="0053423A">
              <w:rPr>
                <w:sz w:val="20"/>
                <w:szCs w:val="20"/>
                <w:lang w:val="af-ZA"/>
              </w:rPr>
              <w:t xml:space="preserve"> </w:t>
            </w:r>
            <w:r w:rsidRPr="0053423A">
              <w:rPr>
                <w:sz w:val="20"/>
                <w:szCs w:val="20"/>
                <w:lang w:val="hy-AM"/>
              </w:rPr>
              <w:t>իրականացնող</w:t>
            </w:r>
            <w:r w:rsidRPr="0053423A">
              <w:rPr>
                <w:sz w:val="20"/>
                <w:szCs w:val="20"/>
                <w:lang w:val="af-ZA"/>
              </w:rPr>
              <w:t xml:space="preserve"> </w:t>
            </w:r>
            <w:r w:rsidRPr="0053423A">
              <w:rPr>
                <w:sz w:val="20"/>
                <w:szCs w:val="20"/>
                <w:lang w:val="hy-AM"/>
              </w:rPr>
              <w:t>ՆՄՄԿ</w:t>
            </w:r>
            <w:r w:rsidRPr="0053423A">
              <w:rPr>
                <w:sz w:val="20"/>
                <w:szCs w:val="20"/>
                <w:lang w:val="af-ZA"/>
              </w:rPr>
              <w:t xml:space="preserve"> </w:t>
            </w:r>
            <w:r w:rsidRPr="0053423A">
              <w:rPr>
                <w:sz w:val="20"/>
                <w:szCs w:val="20"/>
                <w:lang w:val="hy-AM"/>
              </w:rPr>
              <w:t>ուսումնական</w:t>
            </w:r>
            <w:r w:rsidRPr="0053423A">
              <w:rPr>
                <w:sz w:val="20"/>
                <w:szCs w:val="20"/>
                <w:lang w:val="af-ZA"/>
              </w:rPr>
              <w:t xml:space="preserve"> </w:t>
            </w:r>
            <w:r w:rsidRPr="0053423A">
              <w:rPr>
                <w:sz w:val="20"/>
                <w:szCs w:val="20"/>
                <w:lang w:val="hy-AM"/>
              </w:rPr>
              <w:t>հաստատությունների</w:t>
            </w:r>
            <w:r w:rsidRPr="0053423A">
              <w:rPr>
                <w:sz w:val="20"/>
                <w:szCs w:val="20"/>
                <w:lang w:val="af-ZA"/>
              </w:rPr>
              <w:t xml:space="preserve"> </w:t>
            </w:r>
            <w:r w:rsidRPr="0053423A">
              <w:rPr>
                <w:sz w:val="20"/>
                <w:szCs w:val="20"/>
                <w:lang w:val="hy-AM"/>
              </w:rPr>
              <w:t>ընտրություն</w:t>
            </w:r>
            <w:r w:rsidRPr="0053423A">
              <w:rPr>
                <w:sz w:val="20"/>
                <w:szCs w:val="20"/>
                <w:lang w:val="af-ZA"/>
              </w:rPr>
              <w:t>, ընտրված ՆՄՄԿ</w:t>
            </w:r>
            <w:r w:rsidRPr="0053423A">
              <w:rPr>
                <w:rFonts w:eastAsia="Calibri" w:cs="Times New Roman"/>
                <w:sz w:val="20"/>
                <w:szCs w:val="20"/>
                <w:lang w:val="af-ZA"/>
              </w:rPr>
              <w:t xml:space="preserve"> </w:t>
            </w:r>
            <w:r w:rsidRPr="0053423A">
              <w:rPr>
                <w:rFonts w:eastAsia="Calibri" w:cs="Times New Roman"/>
                <w:sz w:val="20"/>
                <w:szCs w:val="20"/>
                <w:lang w:val="hy-AM"/>
              </w:rPr>
              <w:t>ուսումնական</w:t>
            </w:r>
            <w:r w:rsidRPr="0053423A">
              <w:rPr>
                <w:rFonts w:eastAsia="Calibri" w:cs="Times New Roman"/>
                <w:sz w:val="20"/>
                <w:szCs w:val="20"/>
                <w:lang w:val="af-ZA"/>
              </w:rPr>
              <w:t xml:space="preserve"> </w:t>
            </w:r>
            <w:r w:rsidRPr="0053423A">
              <w:rPr>
                <w:rFonts w:eastAsia="Calibri" w:cs="Times New Roman"/>
                <w:sz w:val="20"/>
                <w:szCs w:val="20"/>
                <w:lang w:val="hy-AM"/>
              </w:rPr>
              <w:t>հաստատություններում</w:t>
            </w:r>
            <w:r w:rsidRPr="0053423A">
              <w:rPr>
                <w:rFonts w:eastAsia="Calibri" w:cs="Times New Roman"/>
                <w:sz w:val="20"/>
                <w:szCs w:val="20"/>
                <w:lang w:val="af-ZA"/>
              </w:rPr>
              <w:t xml:space="preserve"> </w:t>
            </w:r>
            <w:r w:rsidRPr="0053423A">
              <w:rPr>
                <w:rFonts w:eastAsia="Calibri" w:cs="Times New Roman"/>
                <w:sz w:val="20"/>
                <w:szCs w:val="20"/>
                <w:lang w:val="hy-AM"/>
              </w:rPr>
              <w:t>փորձարարական</w:t>
            </w:r>
            <w:r w:rsidRPr="0053423A">
              <w:rPr>
                <w:rFonts w:eastAsia="Calibri" w:cs="Times New Roman"/>
                <w:sz w:val="20"/>
                <w:szCs w:val="20"/>
                <w:lang w:val="af-ZA"/>
              </w:rPr>
              <w:t xml:space="preserve"> </w:t>
            </w:r>
            <w:r w:rsidRPr="0053423A">
              <w:rPr>
                <w:rFonts w:eastAsia="Calibri" w:cs="Times New Roman"/>
                <w:sz w:val="20"/>
                <w:szCs w:val="20"/>
                <w:lang w:val="hy-AM"/>
              </w:rPr>
              <w:t>երկակի</w:t>
            </w:r>
            <w:r w:rsidRPr="0053423A">
              <w:rPr>
                <w:rFonts w:eastAsia="Calibri" w:cs="Times New Roman"/>
                <w:sz w:val="20"/>
                <w:szCs w:val="20"/>
                <w:lang w:val="af-ZA"/>
              </w:rPr>
              <w:t xml:space="preserve"> </w:t>
            </w:r>
            <w:r w:rsidRPr="0053423A">
              <w:rPr>
                <w:rFonts w:eastAsia="Calibri" w:cs="Times New Roman"/>
                <w:sz w:val="20"/>
                <w:szCs w:val="20"/>
                <w:lang w:val="hy-AM"/>
              </w:rPr>
              <w:t>ուսուց</w:t>
            </w:r>
            <w:r w:rsidRPr="0053423A">
              <w:rPr>
                <w:rFonts w:eastAsia="Calibri" w:cs="Times New Roman"/>
                <w:sz w:val="20"/>
                <w:szCs w:val="20"/>
                <w:lang w:val="af-ZA"/>
              </w:rPr>
              <w:softHyphen/>
            </w:r>
            <w:r w:rsidRPr="0053423A">
              <w:rPr>
                <w:rFonts w:eastAsia="Calibri" w:cs="Times New Roman"/>
                <w:sz w:val="20"/>
                <w:szCs w:val="20"/>
                <w:lang w:val="hy-AM"/>
              </w:rPr>
              <w:t>ման</w:t>
            </w:r>
            <w:r w:rsidRPr="0053423A">
              <w:rPr>
                <w:rFonts w:eastAsia="Calibri" w:cs="Times New Roman"/>
                <w:sz w:val="20"/>
                <w:szCs w:val="20"/>
                <w:lang w:val="af-ZA"/>
              </w:rPr>
              <w:t xml:space="preserve"> </w:t>
            </w:r>
            <w:r w:rsidRPr="0053423A">
              <w:rPr>
                <w:rFonts w:eastAsia="Calibri" w:cs="Times New Roman"/>
                <w:sz w:val="20"/>
                <w:szCs w:val="20"/>
                <w:lang w:val="hy-AM"/>
              </w:rPr>
              <w:t>համակարգի</w:t>
            </w:r>
            <w:r w:rsidRPr="0053423A">
              <w:rPr>
                <w:rFonts w:eastAsia="Calibri" w:cs="Times New Roman"/>
                <w:sz w:val="20"/>
                <w:szCs w:val="20"/>
                <w:lang w:val="af-ZA"/>
              </w:rPr>
              <w:t xml:space="preserve"> (</w:t>
            </w:r>
            <w:r w:rsidRPr="0053423A">
              <w:rPr>
                <w:rFonts w:eastAsia="Calibri" w:cs="Times New Roman"/>
                <w:sz w:val="20"/>
                <w:szCs w:val="20"/>
                <w:lang w:val="hy-AM"/>
              </w:rPr>
              <w:t>դուալ</w:t>
            </w:r>
            <w:r w:rsidRPr="0053423A">
              <w:rPr>
                <w:rFonts w:eastAsia="Calibri" w:cs="Times New Roman"/>
                <w:sz w:val="20"/>
                <w:szCs w:val="20"/>
                <w:lang w:val="af-ZA"/>
              </w:rPr>
              <w:t xml:space="preserve">) </w:t>
            </w:r>
            <w:r w:rsidRPr="0053423A">
              <w:rPr>
                <w:rFonts w:eastAsia="Calibri" w:cs="Times New Roman"/>
                <w:sz w:val="20"/>
                <w:szCs w:val="20"/>
                <w:lang w:val="hy-AM"/>
              </w:rPr>
              <w:t>ուսումնամեթոդական</w:t>
            </w:r>
            <w:r w:rsidRPr="0053423A">
              <w:rPr>
                <w:rFonts w:eastAsia="Calibri" w:cs="Times New Roman"/>
                <w:sz w:val="20"/>
                <w:szCs w:val="20"/>
                <w:lang w:val="af-ZA"/>
              </w:rPr>
              <w:t xml:space="preserve"> </w:t>
            </w:r>
            <w:r w:rsidRPr="0053423A">
              <w:rPr>
                <w:rFonts w:eastAsia="Calibri" w:cs="Times New Roman"/>
                <w:sz w:val="20"/>
                <w:szCs w:val="20"/>
                <w:lang w:val="hy-AM"/>
              </w:rPr>
              <w:t>փաստաթղթերի</w:t>
            </w:r>
            <w:r w:rsidRPr="0053423A">
              <w:rPr>
                <w:rFonts w:eastAsia="Calibri" w:cs="Times New Roman"/>
                <w:sz w:val="20"/>
                <w:szCs w:val="20"/>
                <w:lang w:val="af-ZA"/>
              </w:rPr>
              <w:t xml:space="preserve"> </w:t>
            </w:r>
            <w:r w:rsidRPr="0053423A">
              <w:rPr>
                <w:rFonts w:eastAsia="Calibri" w:cs="Times New Roman"/>
                <w:sz w:val="20"/>
                <w:szCs w:val="20"/>
                <w:lang w:val="hy-AM"/>
              </w:rPr>
              <w:t>փաթեթ</w:t>
            </w:r>
            <w:r w:rsidRPr="0053423A">
              <w:rPr>
                <w:rFonts w:eastAsia="Calibri" w:cs="Times New Roman"/>
                <w:sz w:val="20"/>
                <w:szCs w:val="20"/>
                <w:lang w:val="af-ZA"/>
              </w:rPr>
              <w:t xml:space="preserve"> </w:t>
            </w:r>
            <w:r w:rsidRPr="0053423A">
              <w:rPr>
                <w:rFonts w:eastAsia="Calibri" w:cs="Times New Roman"/>
                <w:sz w:val="20"/>
                <w:szCs w:val="20"/>
                <w:lang w:val="hy-AM"/>
              </w:rPr>
              <w:t>մշակող</w:t>
            </w:r>
            <w:r w:rsidRPr="0053423A">
              <w:rPr>
                <w:rFonts w:eastAsia="Calibri" w:cs="Times New Roman"/>
                <w:sz w:val="20"/>
                <w:szCs w:val="20"/>
                <w:lang w:val="af-ZA"/>
              </w:rPr>
              <w:t xml:space="preserve"> </w:t>
            </w:r>
            <w:r w:rsidRPr="0053423A">
              <w:rPr>
                <w:rFonts w:eastAsia="Calibri" w:cs="Times New Roman"/>
                <w:sz w:val="20"/>
                <w:szCs w:val="20"/>
                <w:lang w:val="hy-AM"/>
              </w:rPr>
              <w:t>աշխա</w:t>
            </w:r>
            <w:r w:rsidRPr="0053423A">
              <w:rPr>
                <w:rFonts w:eastAsia="Calibri" w:cs="Times New Roman"/>
                <w:sz w:val="20"/>
                <w:szCs w:val="20"/>
                <w:lang w:val="af-ZA"/>
              </w:rPr>
              <w:softHyphen/>
            </w:r>
            <w:r w:rsidRPr="0053423A">
              <w:rPr>
                <w:rFonts w:eastAsia="Calibri" w:cs="Times New Roman"/>
                <w:sz w:val="20"/>
                <w:szCs w:val="20"/>
                <w:lang w:val="hy-AM"/>
              </w:rPr>
              <w:t>տանքային</w:t>
            </w:r>
            <w:r w:rsidRPr="0053423A">
              <w:rPr>
                <w:rFonts w:eastAsia="Calibri" w:cs="Times New Roman"/>
                <w:sz w:val="20"/>
                <w:szCs w:val="20"/>
                <w:lang w:val="af-ZA"/>
              </w:rPr>
              <w:t xml:space="preserve"> </w:t>
            </w:r>
            <w:r w:rsidRPr="0053423A">
              <w:rPr>
                <w:rFonts w:eastAsia="Calibri" w:cs="Times New Roman"/>
                <w:sz w:val="20"/>
                <w:szCs w:val="20"/>
                <w:lang w:val="hy-AM"/>
              </w:rPr>
              <w:t>խմբերի</w:t>
            </w:r>
            <w:r w:rsidRPr="0053423A">
              <w:rPr>
                <w:rFonts w:eastAsia="Calibri" w:cs="Times New Roman"/>
                <w:sz w:val="20"/>
                <w:szCs w:val="20"/>
                <w:lang w:val="af-ZA"/>
              </w:rPr>
              <w:t xml:space="preserve"> </w:t>
            </w:r>
            <w:r w:rsidRPr="0053423A">
              <w:rPr>
                <w:rFonts w:eastAsia="Calibri" w:cs="Times New Roman"/>
                <w:sz w:val="20"/>
                <w:szCs w:val="20"/>
                <w:lang w:val="hy-AM"/>
              </w:rPr>
              <w:t>ձևավորում</w:t>
            </w:r>
            <w:r w:rsidRPr="0053423A">
              <w:rPr>
                <w:rFonts w:eastAsia="Calibri" w:cs="Times New Roman"/>
                <w:sz w:val="20"/>
                <w:szCs w:val="20"/>
                <w:lang w:val="af-ZA"/>
              </w:rPr>
              <w:t>, տվյալ ոլորտում ուսումնական հաստատություն-մասնավոր հատվածի հիմքերի ստեղծում, ա</w:t>
            </w:r>
            <w:r w:rsidRPr="0053423A">
              <w:rPr>
                <w:rFonts w:eastAsia="Calibri" w:cs="Times New Roman"/>
                <w:sz w:val="20"/>
                <w:szCs w:val="20"/>
                <w:lang w:val="hy-AM"/>
              </w:rPr>
              <w:t>շխատանքային խմբերի կողմից մշակված կրթական ծրագրե</w:t>
            </w:r>
            <w:r w:rsidRPr="0053423A">
              <w:rPr>
                <w:rFonts w:eastAsia="Calibri" w:cs="Times New Roman"/>
                <w:sz w:val="20"/>
                <w:szCs w:val="20"/>
                <w:lang w:val="hy-AM"/>
              </w:rPr>
              <w:softHyphen/>
              <w:t>րի, ուսումնական պլանների, պրակտիկաների կազմակերպման նոր մեխանիզմների վերաբերյալ առաջարկութ</w:t>
            </w:r>
            <w:r w:rsidRPr="0053423A">
              <w:rPr>
                <w:rFonts w:eastAsia="Calibri" w:cs="Times New Roman"/>
                <w:sz w:val="20"/>
                <w:szCs w:val="20"/>
                <w:lang w:val="hy-AM"/>
              </w:rPr>
              <w:softHyphen/>
              <w:t>յունների ներկա</w:t>
            </w:r>
            <w:r w:rsidRPr="0053423A">
              <w:rPr>
                <w:rFonts w:eastAsia="Calibri" w:cs="Times New Roman"/>
                <w:sz w:val="20"/>
                <w:szCs w:val="20"/>
                <w:lang w:val="hy-AM"/>
              </w:rPr>
              <w:softHyphen/>
              <w:t>յացում ԿԳ նախա</w:t>
            </w:r>
            <w:r w:rsidRPr="0053423A">
              <w:rPr>
                <w:rFonts w:eastAsia="Calibri" w:cs="Times New Roman"/>
                <w:sz w:val="20"/>
                <w:szCs w:val="20"/>
                <w:lang w:val="hy-AM"/>
              </w:rPr>
              <w:softHyphen/>
              <w:t>րարի հաստատմանը</w:t>
            </w:r>
            <w:r w:rsidRPr="0053423A">
              <w:rPr>
                <w:rFonts w:eastAsia="Calibri" w:cs="Times New Roman"/>
                <w:sz w:val="20"/>
                <w:szCs w:val="20"/>
                <w:lang w:val="af-ZA"/>
              </w:rPr>
              <w:t>, ը</w:t>
            </w:r>
            <w:r w:rsidRPr="0053423A">
              <w:rPr>
                <w:rFonts w:cs="GHEA Grapalat"/>
                <w:sz w:val="20"/>
                <w:szCs w:val="20"/>
                <w:lang w:val="hy-AM"/>
              </w:rPr>
              <w:t>նտրված ՆՄՄԿՈՒ ուսումնական հաստատություններում ընտրված</w:t>
            </w:r>
            <w:r w:rsidRPr="0053423A">
              <w:rPr>
                <w:rFonts w:cs="GHEA Grapalat"/>
                <w:sz w:val="20"/>
                <w:szCs w:val="20"/>
                <w:lang w:val="af-ZA"/>
              </w:rPr>
              <w:t xml:space="preserve"> </w:t>
            </w:r>
            <w:r w:rsidRPr="0053423A">
              <w:rPr>
                <w:rFonts w:cs="GHEA Grapalat"/>
                <w:sz w:val="20"/>
                <w:szCs w:val="20"/>
                <w:lang w:val="hy-AM"/>
              </w:rPr>
              <w:t>մասնագիտությունների</w:t>
            </w:r>
            <w:r w:rsidRPr="0053423A">
              <w:rPr>
                <w:rFonts w:cs="GHEA Grapalat"/>
                <w:sz w:val="20"/>
                <w:szCs w:val="20"/>
                <w:lang w:val="af-ZA"/>
              </w:rPr>
              <w:t xml:space="preserve"> </w:t>
            </w:r>
            <w:r w:rsidRPr="0053423A">
              <w:rPr>
                <w:rFonts w:cs="GHEA Grapalat"/>
                <w:sz w:val="20"/>
                <w:szCs w:val="20"/>
                <w:lang w:val="hy-AM"/>
              </w:rPr>
              <w:t>գծով</w:t>
            </w:r>
            <w:r w:rsidRPr="0053423A">
              <w:rPr>
                <w:rFonts w:cs="GHEA Grapalat"/>
                <w:sz w:val="20"/>
                <w:szCs w:val="20"/>
                <w:lang w:val="af-ZA"/>
              </w:rPr>
              <w:t xml:space="preserve"> </w:t>
            </w:r>
            <w:r w:rsidRPr="0053423A">
              <w:rPr>
                <w:rFonts w:cs="GHEA Grapalat"/>
                <w:sz w:val="20"/>
                <w:szCs w:val="20"/>
                <w:lang w:val="hy-AM"/>
              </w:rPr>
              <w:t>փորձարարական կարգով</w:t>
            </w:r>
            <w:r w:rsidRPr="0053423A">
              <w:rPr>
                <w:rFonts w:cs="GHEA Grapalat"/>
                <w:sz w:val="20"/>
                <w:szCs w:val="20"/>
                <w:lang w:val="af-ZA"/>
              </w:rPr>
              <w:t xml:space="preserve"> </w:t>
            </w:r>
            <w:r w:rsidRPr="0053423A">
              <w:rPr>
                <w:rFonts w:cs="GHEA Grapalat"/>
                <w:sz w:val="20"/>
                <w:szCs w:val="20"/>
                <w:lang w:val="hy-AM"/>
              </w:rPr>
              <w:t>երկակի (դուալ) ուսուցման համակարգի</w:t>
            </w:r>
            <w:r w:rsidRPr="0053423A">
              <w:rPr>
                <w:rFonts w:cs="GHEA Grapalat"/>
                <w:sz w:val="20"/>
                <w:szCs w:val="20"/>
                <w:lang w:val="af-ZA"/>
              </w:rPr>
              <w:t xml:space="preserve"> </w:t>
            </w:r>
            <w:r w:rsidRPr="0053423A">
              <w:rPr>
                <w:rFonts w:cs="GHEA Grapalat"/>
                <w:sz w:val="20"/>
                <w:szCs w:val="20"/>
                <w:lang w:val="hy-AM"/>
              </w:rPr>
              <w:t>ներդրում</w:t>
            </w:r>
            <w:r w:rsidRPr="0053423A">
              <w:rPr>
                <w:rFonts w:cs="GHEA Grapalat"/>
                <w:sz w:val="20"/>
                <w:szCs w:val="20"/>
                <w:lang w:val="af-ZA"/>
              </w:rPr>
              <w:t>,</w:t>
            </w:r>
            <w:r w:rsidRPr="0053423A">
              <w:rPr>
                <w:sz w:val="20"/>
                <w:szCs w:val="20"/>
                <w:lang w:val="hy-AM"/>
              </w:rPr>
              <w:t xml:space="preserve"> աշխատաշուկայում պահանջարկ ունեցող մասնագետների պատրաստում բացառապես աշխատաշուկայի կողմից մասնագետներին ներկայացվող պահանջներին համապատասխան</w:t>
            </w:r>
            <w:r w:rsidRPr="0053423A">
              <w:rPr>
                <w:sz w:val="20"/>
                <w:szCs w:val="20"/>
                <w:lang w:val="af-ZA"/>
              </w:rPr>
              <w:t>:</w:t>
            </w:r>
          </w:p>
          <w:p w:rsidR="00154773" w:rsidRPr="0053423A" w:rsidRDefault="00154773" w:rsidP="00154773">
            <w:pPr>
              <w:contextualSpacing/>
              <w:jc w:val="both"/>
              <w:rPr>
                <w:b/>
                <w:sz w:val="20"/>
                <w:szCs w:val="20"/>
                <w:u w:val="single"/>
                <w:lang w:val="af-ZA"/>
              </w:rPr>
            </w:pPr>
          </w:p>
          <w:p w:rsidR="00154773" w:rsidRPr="0053423A" w:rsidRDefault="00154773" w:rsidP="00154773">
            <w:pPr>
              <w:jc w:val="both"/>
              <w:rPr>
                <w:b/>
                <w:sz w:val="20"/>
                <w:szCs w:val="20"/>
                <w:u w:val="single"/>
                <w:lang w:val="hy-AM"/>
              </w:rPr>
            </w:pPr>
          </w:p>
          <w:p w:rsidR="00154773" w:rsidRPr="0053423A" w:rsidRDefault="00154773" w:rsidP="00154773">
            <w:pPr>
              <w:ind w:firstLine="360"/>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firstLine="360"/>
              <w:jc w:val="both"/>
              <w:rPr>
                <w:rFonts w:eastAsia="Times New Roman" w:cs="Times New Roman"/>
                <w:b/>
                <w:sz w:val="20"/>
                <w:szCs w:val="20"/>
                <w:lang w:val="hy-AM"/>
              </w:rPr>
            </w:pPr>
          </w:p>
          <w:p w:rsidR="00154773" w:rsidRPr="0053423A" w:rsidRDefault="00154773" w:rsidP="00154773">
            <w:pPr>
              <w:jc w:val="center"/>
              <w:rPr>
                <w:rFonts w:eastAsia="Times New Roman" w:cs="Times New Roman"/>
                <w:b/>
                <w:sz w:val="20"/>
                <w:szCs w:val="20"/>
                <w:lang w:val="hy-AM"/>
              </w:rPr>
            </w:pPr>
            <w:r w:rsidRPr="0053423A">
              <w:rPr>
                <w:sz w:val="20"/>
                <w:szCs w:val="20"/>
                <w:lang w:val="hy-AM"/>
              </w:rPr>
              <w:t>Միջոցառման իրականացման արդյունքում կլուծվեն ՀՀ կրթության  ոլորտում առկա մի շարք խնդիրներ, որոնք իրենց անմիջական ազդեցությունն են ունենում ՀՀ սոցիալ-տնտեսական զարգացման գործում, ինչը կնպաստի աշխատաշուկայի պահանջներին համապատասխան կադրերի մասնագիտական զարգացմանը, սովորողների մոտ համապատասխան կարողությունների և հմտությունների ձևավորմանը, գործատուների ներգրավմանը և սոցիալական գործընկերության ընդլայնմանը, եվրոպական կրթական տարածքին  ինտեգրմանը և որակավորումների փոխճանաչմանը:</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23"/>
              <w:jc w:val="center"/>
              <w:rPr>
                <w:rFonts w:eastAsia="Calibri" w:cs="GHEA Grapalat"/>
                <w:b/>
                <w:color w:val="000000"/>
                <w:sz w:val="20"/>
                <w:szCs w:val="20"/>
                <w:u w:val="single"/>
                <w:lang w:val="af-ZA"/>
              </w:rPr>
            </w:pPr>
            <w:r w:rsidRPr="0053423A">
              <w:rPr>
                <w:rFonts w:eastAsia="Calibri" w:cs="GHEA Grapalat"/>
                <w:b/>
                <w:color w:val="000000"/>
                <w:sz w:val="20"/>
                <w:szCs w:val="20"/>
                <w:u w:val="single"/>
                <w:lang w:val="hy-AM"/>
              </w:rPr>
              <w:t xml:space="preserve">9.4. </w:t>
            </w:r>
            <w:r w:rsidRPr="0053423A">
              <w:rPr>
                <w:rFonts w:cs="Sylfaen"/>
                <w:b/>
                <w:noProof/>
                <w:sz w:val="20"/>
                <w:szCs w:val="20"/>
                <w:u w:val="single"/>
                <w:lang w:val="hy-AM"/>
              </w:rPr>
              <w:t xml:space="preserve"> </w:t>
            </w:r>
            <w:r w:rsidRPr="0053423A">
              <w:rPr>
                <w:rFonts w:eastAsia="Calibri" w:cs="GHEA Grapalat"/>
                <w:b/>
                <w:color w:val="000000"/>
                <w:sz w:val="20"/>
                <w:szCs w:val="20"/>
                <w:u w:val="single"/>
                <w:lang w:val="af-ZA"/>
              </w:rPr>
              <w:t>Օտար լեզուներ դասավանդող մանկավարժական կազմի կարողությունների հզորացում, կատարելագործում, ուսումնական նյութերի արդիականացում</w:t>
            </w:r>
          </w:p>
          <w:p w:rsidR="00154773" w:rsidRPr="0053423A" w:rsidRDefault="00154773" w:rsidP="00154773">
            <w:pPr>
              <w:jc w:val="both"/>
              <w:rPr>
                <w:sz w:val="20"/>
                <w:szCs w:val="20"/>
                <w:lang w:val="hy-AM"/>
              </w:rPr>
            </w:pPr>
            <w:r w:rsidRPr="0053423A">
              <w:rPr>
                <w:rFonts w:eastAsia="Times New Roman" w:cs="Times New Roman"/>
                <w:b/>
                <w:sz w:val="20"/>
                <w:szCs w:val="20"/>
                <w:lang w:val="hy-AM"/>
              </w:rPr>
              <w:t xml:space="preserve">     </w:t>
            </w:r>
          </w:p>
          <w:p w:rsidR="00154773" w:rsidRPr="0053423A" w:rsidRDefault="00154773" w:rsidP="00154773">
            <w:pPr>
              <w:rPr>
                <w:rFonts w:cs="Arial"/>
                <w:b/>
                <w:color w:val="000000"/>
                <w:sz w:val="20"/>
                <w:szCs w:val="20"/>
                <w:lang w:val="af-ZA"/>
              </w:rPr>
            </w:pPr>
            <w:r w:rsidRPr="0053423A">
              <w:rPr>
                <w:rFonts w:eastAsia="Times New Roman" w:cs="Times New Roman"/>
                <w:b/>
                <w:sz w:val="20"/>
                <w:szCs w:val="20"/>
                <w:lang w:val="hy-AM"/>
              </w:rPr>
              <w:t>1. Միջոցառման իրականացման անհրաժեշտությունը և նպատակը</w:t>
            </w:r>
            <w:r w:rsidRPr="0053423A">
              <w:rPr>
                <w:rFonts w:cs="Arial"/>
                <w:b/>
                <w:color w:val="000000"/>
                <w:sz w:val="20"/>
                <w:szCs w:val="20"/>
                <w:lang w:val="af-ZA"/>
              </w:rPr>
              <w:t xml:space="preserve"> </w:t>
            </w:r>
          </w:p>
          <w:p w:rsidR="00154773" w:rsidRPr="0053423A" w:rsidRDefault="00154773" w:rsidP="00154773">
            <w:pPr>
              <w:rPr>
                <w:rFonts w:cs="Arial"/>
                <w:b/>
                <w:color w:val="000000"/>
                <w:sz w:val="20"/>
                <w:szCs w:val="20"/>
                <w:lang w:val="af-ZA"/>
              </w:rPr>
            </w:pPr>
          </w:p>
          <w:p w:rsidR="00154773" w:rsidRPr="0053423A" w:rsidRDefault="00154773" w:rsidP="00154773">
            <w:pPr>
              <w:ind w:left="142" w:firstLine="578"/>
              <w:jc w:val="both"/>
              <w:rPr>
                <w:rFonts w:eastAsia="Calibri" w:cs="Sylfaen"/>
                <w:sz w:val="20"/>
                <w:szCs w:val="20"/>
                <w:lang w:val="hy-AM"/>
              </w:rPr>
            </w:pPr>
            <w:r w:rsidRPr="0053423A">
              <w:rPr>
                <w:spacing w:val="-4"/>
                <w:sz w:val="20"/>
                <w:szCs w:val="20"/>
                <w:lang w:val="hy-AM"/>
              </w:rPr>
              <w:t>Միջոցառման</w:t>
            </w:r>
            <w:r w:rsidRPr="0053423A">
              <w:rPr>
                <w:spacing w:val="-4"/>
                <w:sz w:val="20"/>
                <w:szCs w:val="20"/>
                <w:lang w:val="af-ZA"/>
              </w:rPr>
              <w:t xml:space="preserve"> </w:t>
            </w:r>
            <w:r w:rsidRPr="0053423A">
              <w:rPr>
                <w:spacing w:val="-4"/>
                <w:sz w:val="20"/>
                <w:szCs w:val="20"/>
                <w:lang w:val="hy-AM"/>
              </w:rPr>
              <w:t>անհրաժեշտությունը</w:t>
            </w:r>
            <w:r w:rsidRPr="0053423A">
              <w:rPr>
                <w:spacing w:val="-4"/>
                <w:sz w:val="20"/>
                <w:szCs w:val="20"/>
                <w:lang w:val="af-ZA"/>
              </w:rPr>
              <w:t xml:space="preserve"> </w:t>
            </w:r>
            <w:r w:rsidRPr="0053423A">
              <w:rPr>
                <w:spacing w:val="-4"/>
                <w:sz w:val="20"/>
                <w:szCs w:val="20"/>
                <w:lang w:val="hy-AM"/>
              </w:rPr>
              <w:t>բխում</w:t>
            </w:r>
            <w:r w:rsidRPr="0053423A">
              <w:rPr>
                <w:spacing w:val="-4"/>
                <w:sz w:val="20"/>
                <w:szCs w:val="20"/>
                <w:lang w:val="af-ZA"/>
              </w:rPr>
              <w:t xml:space="preserve"> </w:t>
            </w:r>
            <w:r w:rsidRPr="0053423A">
              <w:rPr>
                <w:spacing w:val="-4"/>
                <w:sz w:val="20"/>
                <w:szCs w:val="20"/>
                <w:lang w:val="hy-AM"/>
              </w:rPr>
              <w:t>է</w:t>
            </w:r>
            <w:r w:rsidRPr="0053423A">
              <w:rPr>
                <w:spacing w:val="-4"/>
                <w:sz w:val="20"/>
                <w:szCs w:val="20"/>
                <w:lang w:val="af-ZA"/>
              </w:rPr>
              <w:t xml:space="preserve"> </w:t>
            </w:r>
            <w:r w:rsidRPr="0053423A">
              <w:rPr>
                <w:spacing w:val="-4"/>
                <w:sz w:val="20"/>
                <w:szCs w:val="20"/>
                <w:lang w:val="hy-AM"/>
              </w:rPr>
              <w:t>ՀՀ</w:t>
            </w:r>
            <w:r w:rsidRPr="0053423A">
              <w:rPr>
                <w:spacing w:val="-4"/>
                <w:sz w:val="20"/>
                <w:szCs w:val="20"/>
                <w:lang w:val="af-ZA"/>
              </w:rPr>
              <w:t xml:space="preserve"> </w:t>
            </w:r>
            <w:r w:rsidRPr="0053423A">
              <w:rPr>
                <w:spacing w:val="-4"/>
                <w:sz w:val="20"/>
                <w:szCs w:val="20"/>
                <w:lang w:val="hy-AM"/>
              </w:rPr>
              <w:t>ԱԺ</w:t>
            </w:r>
            <w:r w:rsidRPr="0053423A">
              <w:rPr>
                <w:spacing w:val="-4"/>
                <w:sz w:val="20"/>
                <w:szCs w:val="20"/>
                <w:lang w:val="af-ZA"/>
              </w:rPr>
              <w:t xml:space="preserve"> 2019 </w:t>
            </w:r>
            <w:r w:rsidRPr="0053423A">
              <w:rPr>
                <w:spacing w:val="-4"/>
                <w:sz w:val="20"/>
                <w:szCs w:val="20"/>
                <w:lang w:val="hy-AM"/>
              </w:rPr>
              <w:t>թվականի</w:t>
            </w:r>
            <w:r w:rsidRPr="0053423A">
              <w:rPr>
                <w:spacing w:val="-4"/>
                <w:sz w:val="20"/>
                <w:szCs w:val="20"/>
                <w:lang w:val="af-ZA"/>
              </w:rPr>
              <w:t xml:space="preserve"> </w:t>
            </w:r>
            <w:r w:rsidRPr="0053423A">
              <w:rPr>
                <w:spacing w:val="-4"/>
                <w:sz w:val="20"/>
                <w:szCs w:val="20"/>
                <w:lang w:val="hy-AM"/>
              </w:rPr>
              <w:t>փետրվարի</w:t>
            </w:r>
            <w:r w:rsidRPr="0053423A">
              <w:rPr>
                <w:spacing w:val="-4"/>
                <w:sz w:val="20"/>
                <w:szCs w:val="20"/>
                <w:lang w:val="af-ZA"/>
              </w:rPr>
              <w:t xml:space="preserve"> 14-</w:t>
            </w:r>
            <w:r w:rsidRPr="0053423A">
              <w:rPr>
                <w:spacing w:val="-4"/>
                <w:sz w:val="20"/>
                <w:szCs w:val="20"/>
                <w:lang w:val="hy-AM"/>
              </w:rPr>
              <w:t>ի</w:t>
            </w:r>
            <w:r w:rsidRPr="0053423A">
              <w:rPr>
                <w:spacing w:val="-4"/>
                <w:sz w:val="20"/>
                <w:szCs w:val="20"/>
                <w:lang w:val="af-ZA"/>
              </w:rPr>
              <w:t xml:space="preserve"> </w:t>
            </w:r>
            <w:r w:rsidRPr="0053423A">
              <w:rPr>
                <w:spacing w:val="-4"/>
                <w:sz w:val="20"/>
                <w:szCs w:val="20"/>
                <w:lang w:val="hy-AM"/>
              </w:rPr>
              <w:t>ԱԺՈ</w:t>
            </w:r>
            <w:r w:rsidRPr="0053423A">
              <w:rPr>
                <w:spacing w:val="-4"/>
                <w:sz w:val="20"/>
                <w:szCs w:val="20"/>
                <w:lang w:val="af-ZA"/>
              </w:rPr>
              <w:t>-002-</w:t>
            </w:r>
            <w:r w:rsidRPr="0053423A">
              <w:rPr>
                <w:spacing w:val="-4"/>
                <w:sz w:val="20"/>
                <w:szCs w:val="20"/>
                <w:lang w:val="hy-AM"/>
              </w:rPr>
              <w:t>Ն</w:t>
            </w:r>
            <w:r w:rsidRPr="0053423A">
              <w:rPr>
                <w:spacing w:val="-4"/>
                <w:sz w:val="20"/>
                <w:szCs w:val="20"/>
                <w:lang w:val="af-ZA"/>
              </w:rPr>
              <w:t xml:space="preserve"> </w:t>
            </w:r>
            <w:r w:rsidRPr="0053423A">
              <w:rPr>
                <w:spacing w:val="-4"/>
                <w:sz w:val="20"/>
                <w:szCs w:val="20"/>
                <w:lang w:val="hy-AM"/>
              </w:rPr>
              <w:t>որոշմամբ</w:t>
            </w:r>
            <w:r w:rsidRPr="0053423A">
              <w:rPr>
                <w:spacing w:val="-4"/>
                <w:sz w:val="20"/>
                <w:szCs w:val="20"/>
                <w:lang w:val="af-ZA"/>
              </w:rPr>
              <w:t xml:space="preserve"> </w:t>
            </w:r>
            <w:r w:rsidRPr="0053423A">
              <w:rPr>
                <w:spacing w:val="-4"/>
                <w:sz w:val="20"/>
                <w:szCs w:val="20"/>
                <w:lang w:val="hy-AM"/>
              </w:rPr>
              <w:t>հավանության</w:t>
            </w:r>
            <w:r w:rsidRPr="0053423A">
              <w:rPr>
                <w:spacing w:val="-4"/>
                <w:sz w:val="20"/>
                <w:szCs w:val="20"/>
                <w:lang w:val="af-ZA"/>
              </w:rPr>
              <w:t xml:space="preserve"> </w:t>
            </w:r>
            <w:r w:rsidRPr="0053423A">
              <w:rPr>
                <w:spacing w:val="-4"/>
                <w:sz w:val="20"/>
                <w:szCs w:val="20"/>
                <w:lang w:val="hy-AM"/>
              </w:rPr>
              <w:t>արժանացած</w:t>
            </w:r>
            <w:r w:rsidRPr="0053423A">
              <w:rPr>
                <w:spacing w:val="-4"/>
                <w:sz w:val="20"/>
                <w:szCs w:val="20"/>
                <w:lang w:val="af-ZA"/>
              </w:rPr>
              <w:t xml:space="preserve"> </w:t>
            </w:r>
            <w:r w:rsidRPr="0053423A">
              <w:rPr>
                <w:spacing w:val="-4"/>
                <w:sz w:val="20"/>
                <w:szCs w:val="20"/>
                <w:lang w:val="hy-AM"/>
              </w:rPr>
              <w:t>ՀՀ</w:t>
            </w:r>
            <w:r w:rsidRPr="0053423A">
              <w:rPr>
                <w:spacing w:val="-4"/>
                <w:sz w:val="20"/>
                <w:szCs w:val="20"/>
                <w:lang w:val="af-ZA"/>
              </w:rPr>
              <w:t xml:space="preserve"> </w:t>
            </w:r>
            <w:r w:rsidRPr="0053423A">
              <w:rPr>
                <w:spacing w:val="-4"/>
                <w:sz w:val="20"/>
                <w:szCs w:val="20"/>
                <w:lang w:val="hy-AM"/>
              </w:rPr>
              <w:t>կառավարության</w:t>
            </w:r>
            <w:r w:rsidRPr="0053423A">
              <w:rPr>
                <w:spacing w:val="-4"/>
                <w:sz w:val="20"/>
                <w:szCs w:val="20"/>
                <w:lang w:val="af-ZA"/>
              </w:rPr>
              <w:t xml:space="preserve"> </w:t>
            </w:r>
            <w:r w:rsidRPr="0053423A">
              <w:rPr>
                <w:spacing w:val="-4"/>
                <w:sz w:val="20"/>
                <w:szCs w:val="20"/>
                <w:lang w:val="hy-AM"/>
              </w:rPr>
              <w:t>ծրագրի</w:t>
            </w:r>
            <w:r w:rsidRPr="0053423A">
              <w:rPr>
                <w:spacing w:val="-4"/>
                <w:sz w:val="20"/>
                <w:szCs w:val="20"/>
                <w:lang w:val="af-ZA"/>
              </w:rPr>
              <w:t xml:space="preserve"> </w:t>
            </w:r>
            <w:r w:rsidRPr="0053423A">
              <w:rPr>
                <w:rFonts w:eastAsia="Times New Roman" w:cs="Times New Roman"/>
                <w:sz w:val="20"/>
                <w:szCs w:val="20"/>
                <w:lang w:val="af-ZA"/>
              </w:rPr>
              <w:t>«</w:t>
            </w:r>
            <w:r w:rsidRPr="0053423A">
              <w:rPr>
                <w:spacing w:val="-4"/>
                <w:sz w:val="20"/>
                <w:szCs w:val="20"/>
                <w:lang w:val="af-ZA"/>
              </w:rPr>
              <w:t xml:space="preserve">4.4 </w:t>
            </w:r>
            <w:r w:rsidRPr="0053423A">
              <w:rPr>
                <w:spacing w:val="-4"/>
                <w:sz w:val="20"/>
                <w:szCs w:val="20"/>
                <w:lang w:val="hy-AM"/>
              </w:rPr>
              <w:t>ԿՐԹՈՒԹՅՈՒՆ</w:t>
            </w:r>
            <w:r w:rsidRPr="0053423A">
              <w:rPr>
                <w:spacing w:val="-4"/>
                <w:sz w:val="20"/>
                <w:szCs w:val="20"/>
                <w:lang w:val="af-ZA"/>
              </w:rPr>
              <w:t xml:space="preserve"> </w:t>
            </w:r>
            <w:r w:rsidRPr="0053423A">
              <w:rPr>
                <w:spacing w:val="-4"/>
                <w:sz w:val="20"/>
                <w:szCs w:val="20"/>
                <w:lang w:val="hy-AM"/>
              </w:rPr>
              <w:t>ԵՎ</w:t>
            </w:r>
            <w:r w:rsidRPr="0053423A">
              <w:rPr>
                <w:spacing w:val="-4"/>
                <w:sz w:val="20"/>
                <w:szCs w:val="20"/>
                <w:lang w:val="af-ZA"/>
              </w:rPr>
              <w:t xml:space="preserve"> </w:t>
            </w:r>
            <w:r w:rsidRPr="0053423A">
              <w:rPr>
                <w:spacing w:val="-4"/>
                <w:sz w:val="20"/>
                <w:szCs w:val="20"/>
                <w:lang w:val="hy-AM"/>
              </w:rPr>
              <w:t>ԳԻՏՈՒԹՅՈՒՆ</w:t>
            </w:r>
            <w:r w:rsidRPr="0053423A">
              <w:rPr>
                <w:rFonts w:eastAsia="Times New Roman" w:cs="Times New Roman"/>
                <w:sz w:val="20"/>
                <w:szCs w:val="20"/>
                <w:lang w:val="af-ZA"/>
              </w:rPr>
              <w:t xml:space="preserve">»  </w:t>
            </w:r>
            <w:r w:rsidRPr="0053423A">
              <w:rPr>
                <w:rFonts w:eastAsia="Calibri" w:cs="Sylfaen"/>
                <w:sz w:val="20"/>
                <w:szCs w:val="20"/>
                <w:lang w:val="hy-AM"/>
              </w:rPr>
              <w:t>բաժնի մասնագիտական կրթության 1-ին պարբերությունից:</w:t>
            </w:r>
          </w:p>
          <w:p w:rsidR="00154773" w:rsidRPr="0053423A" w:rsidRDefault="00154773" w:rsidP="00154773">
            <w:pPr>
              <w:ind w:left="142" w:firstLine="578"/>
              <w:jc w:val="both"/>
              <w:rPr>
                <w:rFonts w:cs="GHEA Grapalat"/>
                <w:sz w:val="20"/>
                <w:szCs w:val="20"/>
                <w:lang w:val="hy-AM"/>
              </w:rPr>
            </w:pPr>
            <w:r w:rsidRPr="0053423A">
              <w:rPr>
                <w:rFonts w:eastAsia="Calibri" w:cs="Sylfaen"/>
                <w:sz w:val="20"/>
                <w:szCs w:val="20"/>
                <w:lang w:val="hy-AM"/>
              </w:rPr>
              <w:t xml:space="preserve"> </w:t>
            </w:r>
            <w:r w:rsidRPr="0053423A">
              <w:rPr>
                <w:rFonts w:cs="GHEA Grapalat"/>
                <w:sz w:val="20"/>
                <w:szCs w:val="20"/>
                <w:lang w:val="hy-AM"/>
              </w:rPr>
              <w:t>Լեզուների իմացությունը մեծ դեր ունի միջմշակութային հաղորդակցությունը և համագործակցությունը զարգացնելու և ամրապնդելու առումով: Ժամանակակից հասարակություններին բնորոշ է միջպետական հարաբերությունների ընդլայնումը, առևտրատնտեսական կապերի խորացումը, գիտու</w:t>
            </w:r>
            <w:r w:rsidRPr="0053423A">
              <w:rPr>
                <w:rFonts w:cs="GHEA Grapalat"/>
                <w:sz w:val="20"/>
                <w:szCs w:val="20"/>
                <w:lang w:val="hy-AM"/>
              </w:rPr>
              <w:softHyphen/>
              <w:t>թյան և տեխնիկայի առաջընթացը և գիտատեխնիկական տեղեկատվության պարբե</w:t>
            </w:r>
            <w:r w:rsidRPr="0053423A">
              <w:rPr>
                <w:rFonts w:cs="GHEA Grapalat"/>
                <w:sz w:val="20"/>
                <w:szCs w:val="20"/>
                <w:lang w:val="hy-AM"/>
              </w:rPr>
              <w:softHyphen/>
              <w:t>րական փոխանակումը։ Այս տեսանկյունից ավելի մեծ կարևորություն է ստանում օտար լեզուների դերը՝</w:t>
            </w:r>
            <w:r w:rsidRPr="0053423A">
              <w:rPr>
                <w:rFonts w:ascii="Calibri" w:hAnsi="Calibri" w:cs="Calibri"/>
                <w:sz w:val="20"/>
                <w:szCs w:val="20"/>
                <w:lang w:val="hy-AM"/>
              </w:rPr>
              <w:t> </w:t>
            </w:r>
            <w:r w:rsidRPr="0053423A">
              <w:rPr>
                <w:rFonts w:cs="GHEA Grapalat"/>
                <w:sz w:val="20"/>
                <w:szCs w:val="20"/>
                <w:lang w:val="hy-AM"/>
              </w:rPr>
              <w:t xml:space="preserve"> որպես աշխարհում գիտատեխնիկական առաջընթացի, սոցիալ-տնտեսական զարգացումների և միջմշակութային հարաբերությունների, ինչպես նաև տարբեր մշակույթների ներկայացուցիչների շփման, հաղորդակցման</w:t>
            </w:r>
            <w:r w:rsidRPr="0053423A">
              <w:rPr>
                <w:rFonts w:ascii="Calibri" w:hAnsi="Calibri" w:cs="Calibri"/>
                <w:sz w:val="20"/>
                <w:szCs w:val="20"/>
                <w:lang w:val="hy-AM"/>
              </w:rPr>
              <w:t> </w:t>
            </w:r>
            <w:r w:rsidRPr="0053423A">
              <w:rPr>
                <w:rFonts w:cs="GHEA Grapalat"/>
                <w:sz w:val="20"/>
                <w:szCs w:val="20"/>
                <w:lang w:val="hy-AM"/>
              </w:rPr>
              <w:t>գործուն միջոց:</w:t>
            </w:r>
            <w:r w:rsidRPr="0053423A">
              <w:rPr>
                <w:rFonts w:ascii="Calibri" w:hAnsi="Calibri" w:cs="Calibri"/>
                <w:sz w:val="20"/>
                <w:szCs w:val="20"/>
                <w:lang w:val="hy-AM"/>
              </w:rPr>
              <w:t> </w:t>
            </w:r>
          </w:p>
          <w:p w:rsidR="00154773" w:rsidRPr="0053423A" w:rsidRDefault="00154773" w:rsidP="00154773">
            <w:pPr>
              <w:shd w:val="clear" w:color="auto" w:fill="FFFFFF"/>
              <w:ind w:left="142"/>
              <w:jc w:val="both"/>
              <w:textAlignment w:val="baseline"/>
              <w:rPr>
                <w:rFonts w:cs="GHEA Grapalat"/>
                <w:sz w:val="20"/>
                <w:szCs w:val="20"/>
                <w:lang w:val="hy-AM"/>
              </w:rPr>
            </w:pPr>
            <w:r w:rsidRPr="0053423A">
              <w:rPr>
                <w:rFonts w:cs="GHEA Grapalat"/>
                <w:sz w:val="20"/>
                <w:szCs w:val="20"/>
                <w:lang w:val="hy-AM"/>
              </w:rPr>
              <w:t>Օտար լեզուների տիրապետումը կարևոր է նաև</w:t>
            </w:r>
            <w:r w:rsidRPr="0053423A">
              <w:rPr>
                <w:rFonts w:ascii="Calibri" w:hAnsi="Calibri" w:cs="Calibri"/>
                <w:sz w:val="20"/>
                <w:szCs w:val="20"/>
                <w:lang w:val="hy-AM"/>
              </w:rPr>
              <w:t> </w:t>
            </w:r>
            <w:r w:rsidRPr="0053423A">
              <w:rPr>
                <w:rFonts w:cs="GHEA Grapalat"/>
                <w:sz w:val="20"/>
                <w:szCs w:val="20"/>
                <w:lang w:val="hy-AM"/>
              </w:rPr>
              <w:t xml:space="preserve"> տարբեր մասնա</w:t>
            </w:r>
            <w:r w:rsidRPr="0053423A">
              <w:rPr>
                <w:rFonts w:cs="GHEA Grapalat"/>
                <w:sz w:val="20"/>
                <w:szCs w:val="20"/>
                <w:lang w:val="hy-AM"/>
              </w:rPr>
              <w:softHyphen/>
              <w:t>գետների համար՝ իրենց մասնագիտության մեջ միջազգային զարգացում</w:t>
            </w:r>
            <w:r w:rsidRPr="0053423A">
              <w:rPr>
                <w:rFonts w:cs="GHEA Grapalat"/>
                <w:sz w:val="20"/>
                <w:szCs w:val="20"/>
                <w:lang w:val="hy-AM"/>
              </w:rPr>
              <w:softHyphen/>
              <w:t>նե</w:t>
            </w:r>
            <w:r w:rsidRPr="0053423A">
              <w:rPr>
                <w:rFonts w:cs="GHEA Grapalat"/>
                <w:sz w:val="20"/>
                <w:szCs w:val="20"/>
                <w:lang w:val="hy-AM"/>
              </w:rPr>
              <w:softHyphen/>
              <w:t>րին հետևելու, այլալեզու գործընկերների հետ շփումների, միջազգային հարթակներում սեփական փորձը և ձեռքբերումները ներկայացնելու, այլոց փորձին ծանոթանալու և այլ նկատառումներով։ Համակարգի գերակա խնդիրներից է մեր երկրում բազմալեզվության զարգացման խթանումը` պահպանելով մայրենի լեզուն:</w:t>
            </w:r>
          </w:p>
          <w:p w:rsidR="00154773" w:rsidRPr="0053423A" w:rsidRDefault="00154773" w:rsidP="00154773">
            <w:pPr>
              <w:autoSpaceDE w:val="0"/>
              <w:autoSpaceDN w:val="0"/>
              <w:adjustRightInd w:val="0"/>
              <w:jc w:val="both"/>
              <w:rPr>
                <w:sz w:val="20"/>
                <w:szCs w:val="20"/>
                <w:lang w:val="hy-AM"/>
              </w:rPr>
            </w:pPr>
          </w:p>
          <w:p w:rsidR="00154773" w:rsidRPr="0053423A" w:rsidRDefault="00154773" w:rsidP="001547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23"/>
              <w:jc w:val="both"/>
              <w:rPr>
                <w:rFonts w:eastAsia="Calibri" w:cs="GHEA Grapalat"/>
                <w:b/>
                <w:color w:val="000000"/>
                <w:sz w:val="20"/>
                <w:szCs w:val="20"/>
                <w:u w:val="single"/>
                <w:lang w:val="af-ZA"/>
              </w:rPr>
            </w:pPr>
          </w:p>
          <w:p w:rsidR="00154773" w:rsidRPr="0053423A" w:rsidRDefault="00154773" w:rsidP="001F6D5D">
            <w:pPr>
              <w:numPr>
                <w:ilvl w:val="1"/>
                <w:numId w:val="478"/>
              </w:numPr>
              <w:contextualSpacing/>
              <w:jc w:val="both"/>
              <w:rPr>
                <w:rFonts w:eastAsia="Times New Roman" w:cs="Times New Roman"/>
                <w:b/>
                <w:sz w:val="20"/>
                <w:szCs w:val="20"/>
                <w:lang w:val="af-ZA"/>
              </w:rPr>
            </w:pPr>
            <w:r w:rsidRPr="0053423A">
              <w:rPr>
                <w:rFonts w:cs="GHEA Grapalat"/>
                <w:sz w:val="20"/>
                <w:szCs w:val="20"/>
                <w:lang w:val="af-ZA"/>
              </w:rPr>
              <w:t xml:space="preserve">      </w:t>
            </w:r>
            <w:r w:rsidRPr="0053423A">
              <w:rPr>
                <w:rFonts w:eastAsia="Times New Roman" w:cs="Times New Roman"/>
                <w:b/>
                <w:sz w:val="20"/>
                <w:szCs w:val="20"/>
              </w:rPr>
              <w:t>կ</w:t>
            </w:r>
            <w:r w:rsidRPr="0053423A">
              <w:rPr>
                <w:rFonts w:eastAsia="Times New Roman" w:cs="Times New Roman"/>
                <w:b/>
                <w:sz w:val="20"/>
                <w:szCs w:val="20"/>
                <w:lang w:val="hy-AM"/>
              </w:rPr>
              <w:t>արգավորման հարաբերությունների ներկա վիճակը և առկա խնդիրները</w:t>
            </w:r>
            <w:r w:rsidRPr="0053423A">
              <w:rPr>
                <w:rFonts w:eastAsia="Times New Roman" w:cs="Times New Roman"/>
                <w:b/>
                <w:sz w:val="20"/>
                <w:szCs w:val="20"/>
                <w:lang w:val="af-ZA"/>
              </w:rPr>
              <w:t>.</w:t>
            </w:r>
          </w:p>
          <w:p w:rsidR="00154773" w:rsidRPr="0053423A" w:rsidRDefault="00154773" w:rsidP="00154773">
            <w:pPr>
              <w:ind w:left="900"/>
              <w:contextualSpacing/>
              <w:jc w:val="both"/>
              <w:rPr>
                <w:rFonts w:eastAsia="Times New Roman" w:cs="Times New Roman"/>
                <w:b/>
                <w:sz w:val="20"/>
                <w:szCs w:val="20"/>
                <w:lang w:val="af-ZA"/>
              </w:rPr>
            </w:pPr>
          </w:p>
          <w:p w:rsidR="00154773" w:rsidRPr="0053423A" w:rsidRDefault="00154773" w:rsidP="00154773">
            <w:pPr>
              <w:shd w:val="clear" w:color="auto" w:fill="FFFFFF"/>
              <w:jc w:val="both"/>
              <w:textAlignment w:val="baseline"/>
              <w:rPr>
                <w:rFonts w:cs="GHEA Grapalat"/>
                <w:sz w:val="20"/>
                <w:szCs w:val="20"/>
                <w:lang w:val="hy-AM"/>
              </w:rPr>
            </w:pPr>
            <w:r w:rsidRPr="0053423A">
              <w:rPr>
                <w:rFonts w:cs="GHEA Grapalat"/>
                <w:sz w:val="20"/>
                <w:szCs w:val="20"/>
                <w:lang w:val="af-ZA"/>
              </w:rPr>
              <w:t xml:space="preserve">  </w:t>
            </w:r>
            <w:r w:rsidRPr="0053423A">
              <w:rPr>
                <w:rFonts w:cs="GHEA Grapalat"/>
                <w:sz w:val="20"/>
                <w:szCs w:val="20"/>
                <w:lang w:val="hy-AM"/>
              </w:rPr>
              <w:t>Օտար լեզուների տիրապետումը կարևոր է նաև</w:t>
            </w:r>
            <w:r w:rsidRPr="0053423A">
              <w:rPr>
                <w:rFonts w:ascii="Calibri" w:hAnsi="Calibri" w:cs="Calibri"/>
                <w:sz w:val="20"/>
                <w:szCs w:val="20"/>
                <w:lang w:val="hy-AM"/>
              </w:rPr>
              <w:t> </w:t>
            </w:r>
            <w:r w:rsidRPr="0053423A">
              <w:rPr>
                <w:rFonts w:cs="GHEA Grapalat"/>
                <w:sz w:val="20"/>
                <w:szCs w:val="20"/>
                <w:lang w:val="hy-AM"/>
              </w:rPr>
              <w:t>տարբեր մասնա</w:t>
            </w:r>
            <w:r w:rsidRPr="0053423A">
              <w:rPr>
                <w:rFonts w:cs="GHEA Grapalat"/>
                <w:sz w:val="20"/>
                <w:szCs w:val="20"/>
                <w:lang w:val="hy-AM"/>
              </w:rPr>
              <w:softHyphen/>
              <w:t>գետների համար՝ իրենց մասնագիտության մեջ միջազգային զարգացում</w:t>
            </w:r>
            <w:r w:rsidRPr="0053423A">
              <w:rPr>
                <w:rFonts w:cs="GHEA Grapalat"/>
                <w:sz w:val="20"/>
                <w:szCs w:val="20"/>
                <w:lang w:val="hy-AM"/>
              </w:rPr>
              <w:softHyphen/>
              <w:t>նե</w:t>
            </w:r>
            <w:r w:rsidRPr="0053423A">
              <w:rPr>
                <w:rFonts w:cs="GHEA Grapalat"/>
                <w:sz w:val="20"/>
                <w:szCs w:val="20"/>
                <w:lang w:val="hy-AM"/>
              </w:rPr>
              <w:softHyphen/>
              <w:t>րին հետևելու, այլալեզու գործընկերների հետ շփումների, միջազգային հարթակներում սեփական փորձը և ձեռքբերումները ներկայացնելու, այլոց փորձին ծանոթանալու և այլ նկատառումներով։ Կրթական բարեփոխումներից հետո ՆՄՄԿ ուսումնական հաստատություններում  օտար լեզուների դասավանդման ասպարեզում որակական լուրջ տեղաշարժեր են կատարվել, որոնք դեռևս բավարար չեն։ 21-րդ դարը, որպես միջազգային, միջմշակութային հաղորդակցությունների և տեղե</w:t>
            </w:r>
            <w:r w:rsidRPr="0053423A">
              <w:rPr>
                <w:rFonts w:cs="GHEA Grapalat"/>
                <w:sz w:val="20"/>
                <w:szCs w:val="20"/>
                <w:lang w:val="hy-AM"/>
              </w:rPr>
              <w:softHyphen/>
              <w:t>կատվության ակտիվ փոխանակման դար, նոր մարտահրավերներ է առաջացնում ազգերի և պետությունների համար և այդ համատեքստում, առաջնային է լեզվական պատնեշների հաղթահարումը։ Ակնհայտ է, որ նոր ժամանակ</w:t>
            </w:r>
            <w:r w:rsidRPr="0053423A">
              <w:rPr>
                <w:rFonts w:cs="GHEA Grapalat"/>
                <w:sz w:val="20"/>
                <w:szCs w:val="20"/>
                <w:lang w:val="hy-AM"/>
              </w:rPr>
              <w:softHyphen/>
              <w:t>նե</w:t>
            </w:r>
            <w:r w:rsidRPr="0053423A">
              <w:rPr>
                <w:rFonts w:cs="GHEA Grapalat"/>
                <w:sz w:val="20"/>
                <w:szCs w:val="20"/>
                <w:lang w:val="hy-AM"/>
              </w:rPr>
              <w:softHyphen/>
              <w:t>րի պահանջները բավարարելու համար օտար լեզուների դասավանդ</w:t>
            </w:r>
            <w:r w:rsidRPr="0053423A">
              <w:rPr>
                <w:rFonts w:cs="GHEA Grapalat"/>
                <w:sz w:val="20"/>
                <w:szCs w:val="20"/>
                <w:lang w:val="hy-AM"/>
              </w:rPr>
              <w:softHyphen/>
              <w:t>ման նկատմամբ վերաբերմունքի արմա</w:t>
            </w:r>
            <w:r w:rsidRPr="0053423A">
              <w:rPr>
                <w:rFonts w:cs="GHEA Grapalat"/>
                <w:sz w:val="20"/>
                <w:szCs w:val="20"/>
                <w:lang w:val="hy-AM"/>
              </w:rPr>
              <w:softHyphen/>
              <w:t>տական փոփո</w:t>
            </w:r>
            <w:r w:rsidRPr="0053423A">
              <w:rPr>
                <w:rFonts w:cs="GHEA Grapalat"/>
                <w:sz w:val="20"/>
                <w:szCs w:val="20"/>
                <w:lang w:val="hy-AM"/>
              </w:rPr>
              <w:softHyphen/>
              <w:t>խությունն անհրաժեշտություն է։Ուստի ժամանակի պա</w:t>
            </w:r>
            <w:r w:rsidRPr="0053423A">
              <w:rPr>
                <w:rFonts w:cs="GHEA Grapalat"/>
                <w:sz w:val="20"/>
                <w:szCs w:val="20"/>
                <w:lang w:val="hy-AM"/>
              </w:rPr>
              <w:softHyphen/>
              <w:t xml:space="preserve">հանջներից հետ չմնալու, ինչպես նաև կրթական ընդհանուր գործընթացը բարելավելու համար այսօր անհետաձգելի անհրաժեշտություն է խրախուսել հասարակության յուրաքանչյուր անդամի, և հատկապես երիտասարդությանը սովորելու և  կիրառելու տարածաշրջանային և միջազգային հաղորդակցում ապահովող օտար լեզուներ, որոնք կարող են իրենց նպաստը բերել ինչպես անձի ձևավորման ու զարգացման, այնպես էլ հասարակության առաջընթացի գործում: </w:t>
            </w:r>
          </w:p>
          <w:p w:rsidR="00154773" w:rsidRPr="0053423A" w:rsidRDefault="00154773" w:rsidP="00154773">
            <w:pPr>
              <w:shd w:val="clear" w:color="auto" w:fill="FFFFFF"/>
              <w:jc w:val="both"/>
              <w:textAlignment w:val="baseline"/>
              <w:rPr>
                <w:rFonts w:cs="GHEA Grapalat"/>
                <w:sz w:val="20"/>
                <w:szCs w:val="20"/>
                <w:lang w:val="hy-AM"/>
              </w:rPr>
            </w:pPr>
            <w:r w:rsidRPr="0053423A">
              <w:rPr>
                <w:rFonts w:cs="GHEA Grapalat"/>
                <w:sz w:val="20"/>
                <w:szCs w:val="20"/>
                <w:lang w:val="hy-AM"/>
              </w:rPr>
              <w:t xml:space="preserve">         Համակարգի գերակա խնդիրներից է մեր երկրում բազմալեզվության զարգացման խթանումը` պահպանելով մայրենի լեզուն:</w:t>
            </w:r>
          </w:p>
          <w:p w:rsidR="00154773" w:rsidRPr="0053423A" w:rsidRDefault="00154773" w:rsidP="001547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
              <w:jc w:val="both"/>
              <w:rPr>
                <w:rFonts w:eastAsia="Calibri" w:cs="GHEA Grapalat"/>
                <w:b/>
                <w:color w:val="000000"/>
                <w:sz w:val="20"/>
                <w:szCs w:val="20"/>
                <w:u w:val="single"/>
                <w:lang w:val="af-ZA"/>
              </w:rPr>
            </w:pPr>
          </w:p>
          <w:p w:rsidR="00154773" w:rsidRPr="0053423A" w:rsidRDefault="00154773" w:rsidP="00154773">
            <w:pPr>
              <w:rPr>
                <w:rFonts w:eastAsia="Times New Roman" w:cs="Times New Roman"/>
                <w:b/>
                <w:sz w:val="20"/>
                <w:szCs w:val="20"/>
                <w:lang w:val="hy-AM"/>
              </w:rPr>
            </w:pPr>
            <w:r w:rsidRPr="0053423A">
              <w:rPr>
                <w:rFonts w:ascii="Calibri" w:eastAsia="Times New Roman" w:hAnsi="Calibri" w:cs="Calibri"/>
                <w:b/>
                <w:sz w:val="20"/>
                <w:szCs w:val="20"/>
                <w:lang w:val="hy-AM"/>
              </w:rPr>
              <w:t> </w:t>
            </w:r>
            <w:r w:rsidRPr="0053423A">
              <w:rPr>
                <w:rFonts w:eastAsia="Times New Roman" w:cs="Times New Roman"/>
                <w:b/>
                <w:sz w:val="20"/>
                <w:szCs w:val="20"/>
                <w:lang w:val="hy-AM"/>
              </w:rPr>
              <w:t>1.2. Առկա խնդիրների առաջարկվող լուծումները</w:t>
            </w:r>
          </w:p>
          <w:p w:rsidR="00154773" w:rsidRPr="0053423A" w:rsidRDefault="00154773" w:rsidP="00154773">
            <w:pPr>
              <w:rPr>
                <w:rFonts w:eastAsia="Times New Roman" w:cs="Times New Roman"/>
                <w:b/>
                <w:sz w:val="20"/>
                <w:szCs w:val="20"/>
                <w:lang w:val="hy-AM"/>
              </w:rPr>
            </w:pPr>
          </w:p>
          <w:p w:rsidR="00154773" w:rsidRPr="0053423A" w:rsidRDefault="00154773" w:rsidP="00154773">
            <w:pPr>
              <w:shd w:val="clear" w:color="auto" w:fill="FFFFFF"/>
              <w:ind w:firstLine="375"/>
              <w:jc w:val="both"/>
              <w:textAlignment w:val="baseline"/>
              <w:rPr>
                <w:rFonts w:cs="GHEA Grapalat"/>
                <w:sz w:val="20"/>
                <w:szCs w:val="20"/>
                <w:lang w:val="hy-AM"/>
              </w:rPr>
            </w:pPr>
            <w:r w:rsidRPr="0053423A">
              <w:rPr>
                <w:rFonts w:cs="GHEA Grapalat"/>
                <w:sz w:val="20"/>
                <w:szCs w:val="20"/>
                <w:lang w:val="hy-AM"/>
              </w:rPr>
              <w:t>Օտար լեզուների դասավանդ</w:t>
            </w:r>
            <w:r w:rsidRPr="0053423A">
              <w:rPr>
                <w:rFonts w:cs="GHEA Grapalat"/>
                <w:sz w:val="20"/>
                <w:szCs w:val="20"/>
                <w:lang w:val="hy-AM"/>
              </w:rPr>
              <w:softHyphen/>
              <w:t>ման նկատմամբ վերաբերմունքի արմա</w:t>
            </w:r>
            <w:r w:rsidRPr="0053423A">
              <w:rPr>
                <w:rFonts w:cs="GHEA Grapalat"/>
                <w:sz w:val="20"/>
                <w:szCs w:val="20"/>
                <w:lang w:val="hy-AM"/>
              </w:rPr>
              <w:softHyphen/>
              <w:t>տական փոփո</w:t>
            </w:r>
            <w:r w:rsidRPr="0053423A">
              <w:rPr>
                <w:rFonts w:cs="GHEA Grapalat"/>
                <w:sz w:val="20"/>
                <w:szCs w:val="20"/>
                <w:lang w:val="hy-AM"/>
              </w:rPr>
              <w:softHyphen/>
              <w:t>խություն, մասնագետների վերապատրաստում, ուսումնական նյութերի մշակում,  ինչը կնպաստի անձի ձևավորմանն ու զարգացմանը, կրթական ընդհանուր գործընթացի բարելավմանը, հասարակության առաջընթացին, իրենց մասնագիտության մեջ միջազգային զարգացում</w:t>
            </w:r>
            <w:r w:rsidRPr="0053423A">
              <w:rPr>
                <w:rFonts w:cs="GHEA Grapalat"/>
                <w:sz w:val="20"/>
                <w:szCs w:val="20"/>
                <w:lang w:val="hy-AM"/>
              </w:rPr>
              <w:softHyphen/>
              <w:t>նե</w:t>
            </w:r>
            <w:r w:rsidRPr="0053423A">
              <w:rPr>
                <w:rFonts w:cs="GHEA Grapalat"/>
                <w:sz w:val="20"/>
                <w:szCs w:val="20"/>
                <w:lang w:val="hy-AM"/>
              </w:rPr>
              <w:softHyphen/>
              <w:t>րին հետևելուն, այլալեզու գործընկերների հետ շփումներին, շրջանավարտների զբաղունակությանը, միջազգային հարթակներում սեփական փորձը և ձեռքբերումները ներկայացնելուն</w:t>
            </w:r>
            <w:r w:rsidRPr="0053423A">
              <w:rPr>
                <w:rFonts w:cs="GHEA Grapalat"/>
                <w:sz w:val="20"/>
                <w:szCs w:val="20"/>
                <w:lang w:val="af-ZA"/>
              </w:rPr>
              <w:t>:</w:t>
            </w:r>
            <w:r w:rsidRPr="0053423A">
              <w:rPr>
                <w:rFonts w:cs="GHEA Grapalat"/>
                <w:sz w:val="20"/>
                <w:szCs w:val="20"/>
                <w:lang w:val="hy-AM"/>
              </w:rPr>
              <w:t xml:space="preserve"> </w:t>
            </w:r>
          </w:p>
          <w:p w:rsidR="00154773" w:rsidRPr="0053423A" w:rsidRDefault="00154773" w:rsidP="00154773">
            <w:pPr>
              <w:rPr>
                <w:rFonts w:cs="Sylfaen"/>
                <w:sz w:val="20"/>
                <w:szCs w:val="20"/>
                <w:shd w:val="clear" w:color="auto" w:fill="FFFFFF"/>
                <w:lang w:val="af-ZA"/>
              </w:rPr>
            </w:pPr>
          </w:p>
          <w:p w:rsidR="00154773" w:rsidRPr="0053423A" w:rsidRDefault="00154773" w:rsidP="001547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
              <w:jc w:val="both"/>
              <w:rPr>
                <w:rFonts w:eastAsia="Calibri" w:cs="GHEA Grapalat"/>
                <w:b/>
                <w:color w:val="000000"/>
                <w:sz w:val="20"/>
                <w:szCs w:val="20"/>
                <w:u w:val="single"/>
                <w:lang w:val="af-ZA"/>
              </w:rPr>
            </w:pPr>
          </w:p>
          <w:p w:rsidR="00154773" w:rsidRPr="0053423A" w:rsidRDefault="00154773" w:rsidP="00154773">
            <w:pPr>
              <w:autoSpaceDE w:val="0"/>
              <w:autoSpaceDN w:val="0"/>
              <w:adjustRightInd w:val="0"/>
              <w:jc w:val="both"/>
              <w:rPr>
                <w:rFonts w:eastAsia="Times New Roman" w:cs="Times New Roman"/>
                <w:b/>
                <w:sz w:val="20"/>
                <w:szCs w:val="20"/>
                <w:lang w:val="af-ZA"/>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autoSpaceDE w:val="0"/>
              <w:autoSpaceDN w:val="0"/>
              <w:adjustRightInd w:val="0"/>
              <w:jc w:val="both"/>
              <w:rPr>
                <w:sz w:val="20"/>
                <w:szCs w:val="20"/>
                <w:lang w:val="af-ZA"/>
              </w:rPr>
            </w:pPr>
          </w:p>
          <w:p w:rsidR="00154773" w:rsidRPr="0053423A" w:rsidRDefault="00154773" w:rsidP="00154773">
            <w:pPr>
              <w:jc w:val="center"/>
              <w:rPr>
                <w:rFonts w:eastAsia="Times New Roman" w:cs="Times New Roman"/>
                <w:b/>
                <w:sz w:val="20"/>
                <w:szCs w:val="20"/>
                <w:lang w:val="hy-AM"/>
              </w:rPr>
            </w:pPr>
            <w:r w:rsidRPr="0053423A">
              <w:rPr>
                <w:rFonts w:cs="GHEA Grapalat"/>
                <w:color w:val="000000"/>
                <w:sz w:val="20"/>
                <w:szCs w:val="20"/>
                <w:lang w:val="hy-AM"/>
              </w:rPr>
              <w:t xml:space="preserve">Միջոցառման իրականացման արդյունքում յուրաքանչյուր տարի կիրականացվի ՆՄՄԿ ուսումնական հաստատություններից օտար լեզվի առնվազն </w:t>
            </w:r>
            <w:r w:rsidRPr="0053423A">
              <w:rPr>
                <w:rFonts w:cs="GHEA Grapalat"/>
                <w:color w:val="000000"/>
                <w:sz w:val="20"/>
                <w:szCs w:val="20"/>
                <w:lang w:val="af-ZA"/>
              </w:rPr>
              <w:t>1</w:t>
            </w:r>
            <w:r w:rsidRPr="0053423A">
              <w:rPr>
                <w:rFonts w:cs="GHEA Grapalat"/>
                <w:color w:val="000000"/>
                <w:sz w:val="20"/>
                <w:szCs w:val="20"/>
                <w:lang w:val="hy-AM"/>
              </w:rPr>
              <w:t>5 դասավանդողների վերապատրաստում, 1-2 ուսումնական նյութերի մշակում և տպագրում:</w:t>
            </w:r>
          </w:p>
        </w:tc>
      </w:tr>
      <w:tr w:rsidR="00154773" w:rsidRPr="00DE2EF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10</w:t>
            </w:r>
          </w:p>
        </w:tc>
        <w:tc>
          <w:tcPr>
            <w:tcW w:w="10620" w:type="dxa"/>
          </w:tcPr>
          <w:p w:rsidR="00154773" w:rsidRPr="0053423A" w:rsidRDefault="00154773" w:rsidP="00154773">
            <w:pPr>
              <w:ind w:firstLine="720"/>
              <w:jc w:val="center"/>
              <w:rPr>
                <w:rFonts w:eastAsia="Times New Roman" w:cs="Times New Roman"/>
                <w:b/>
                <w:sz w:val="20"/>
                <w:szCs w:val="20"/>
                <w:u w:val="single"/>
                <w:lang w:val="af-ZA"/>
              </w:rPr>
            </w:pPr>
            <w:r w:rsidRPr="0053423A">
              <w:rPr>
                <w:rFonts w:cs="Sylfaen"/>
                <w:b/>
                <w:sz w:val="20"/>
                <w:szCs w:val="20"/>
                <w:u w:val="single"/>
                <w:lang w:val="af-ZA"/>
              </w:rPr>
              <w:t>10.</w:t>
            </w:r>
            <w:r w:rsidRPr="0053423A">
              <w:rPr>
                <w:rFonts w:cs="Sylfaen"/>
                <w:b/>
                <w:sz w:val="20"/>
                <w:szCs w:val="20"/>
                <w:u w:val="single"/>
                <w:lang w:val="hy-AM"/>
              </w:rPr>
              <w:t>1 Որակավորումների</w:t>
            </w:r>
            <w:r w:rsidRPr="0053423A">
              <w:rPr>
                <w:b/>
                <w:sz w:val="20"/>
                <w:szCs w:val="20"/>
                <w:u w:val="single"/>
                <w:lang w:val="af-ZA"/>
              </w:rPr>
              <w:t xml:space="preserve"> </w:t>
            </w:r>
            <w:r w:rsidRPr="0053423A">
              <w:rPr>
                <w:rFonts w:cs="Sylfaen"/>
                <w:b/>
                <w:sz w:val="20"/>
                <w:szCs w:val="20"/>
                <w:u w:val="single"/>
                <w:lang w:val="hy-AM"/>
              </w:rPr>
              <w:t>ազգային</w:t>
            </w:r>
            <w:r w:rsidRPr="0053423A">
              <w:rPr>
                <w:b/>
                <w:sz w:val="20"/>
                <w:szCs w:val="20"/>
                <w:u w:val="single"/>
                <w:lang w:val="af-ZA"/>
              </w:rPr>
              <w:t xml:space="preserve"> </w:t>
            </w:r>
            <w:r w:rsidRPr="0053423A">
              <w:rPr>
                <w:rFonts w:cs="Sylfaen"/>
                <w:b/>
                <w:sz w:val="20"/>
                <w:szCs w:val="20"/>
                <w:u w:val="single"/>
                <w:lang w:val="hy-AM"/>
              </w:rPr>
              <w:t>շրջանակի</w:t>
            </w:r>
            <w:r w:rsidRPr="0053423A">
              <w:rPr>
                <w:b/>
                <w:sz w:val="20"/>
                <w:szCs w:val="20"/>
                <w:u w:val="single"/>
                <w:lang w:val="af-ZA"/>
              </w:rPr>
              <w:t xml:space="preserve"> (</w:t>
            </w:r>
            <w:r w:rsidRPr="0053423A">
              <w:rPr>
                <w:rFonts w:cs="Sylfaen"/>
                <w:b/>
                <w:sz w:val="20"/>
                <w:szCs w:val="20"/>
                <w:u w:val="single"/>
                <w:lang w:val="hy-AM"/>
              </w:rPr>
              <w:t>ՈԱՇ</w:t>
            </w:r>
            <w:r w:rsidRPr="0053423A">
              <w:rPr>
                <w:b/>
                <w:sz w:val="20"/>
                <w:szCs w:val="20"/>
                <w:u w:val="single"/>
                <w:lang w:val="af-ZA"/>
              </w:rPr>
              <w:t xml:space="preserve">) </w:t>
            </w:r>
            <w:r w:rsidRPr="0053423A">
              <w:rPr>
                <w:rFonts w:cs="Sylfaen"/>
                <w:b/>
                <w:sz w:val="20"/>
                <w:szCs w:val="20"/>
                <w:u w:val="single"/>
                <w:lang w:val="hy-AM"/>
              </w:rPr>
              <w:t>պահանջներին</w:t>
            </w:r>
            <w:r w:rsidRPr="0053423A">
              <w:rPr>
                <w:b/>
                <w:sz w:val="20"/>
                <w:szCs w:val="20"/>
                <w:u w:val="single"/>
                <w:lang w:val="af-ZA"/>
              </w:rPr>
              <w:t xml:space="preserve"> </w:t>
            </w:r>
            <w:r w:rsidRPr="0053423A">
              <w:rPr>
                <w:rFonts w:cs="Sylfaen"/>
                <w:b/>
                <w:sz w:val="20"/>
                <w:szCs w:val="20"/>
                <w:u w:val="single"/>
                <w:lang w:val="hy-AM"/>
              </w:rPr>
              <w:t xml:space="preserve">համապատասխան </w:t>
            </w:r>
            <w:r w:rsidRPr="0053423A">
              <w:rPr>
                <w:rFonts w:eastAsia="Times New Roman" w:cs="Times New Roman"/>
                <w:b/>
                <w:sz w:val="20"/>
                <w:szCs w:val="20"/>
                <w:u w:val="single"/>
                <w:lang w:val="hy-AM"/>
              </w:rPr>
              <w:t xml:space="preserve">որակավորումների ոլորտային շրջանակների </w:t>
            </w:r>
            <w:r w:rsidRPr="0053423A">
              <w:rPr>
                <w:b/>
                <w:sz w:val="20"/>
                <w:szCs w:val="20"/>
                <w:u w:val="single"/>
                <w:lang w:val="af-ZA"/>
              </w:rPr>
              <w:t>(</w:t>
            </w:r>
            <w:r w:rsidRPr="0053423A">
              <w:rPr>
                <w:rFonts w:cs="Sylfaen"/>
                <w:b/>
                <w:sz w:val="20"/>
                <w:szCs w:val="20"/>
                <w:u w:val="single"/>
                <w:lang w:val="hy-AM"/>
              </w:rPr>
              <w:t>ՈՈՇ</w:t>
            </w:r>
            <w:r w:rsidRPr="0053423A">
              <w:rPr>
                <w:b/>
                <w:sz w:val="20"/>
                <w:szCs w:val="20"/>
                <w:u w:val="single"/>
                <w:lang w:val="af-ZA"/>
              </w:rPr>
              <w:t>)</w:t>
            </w:r>
            <w:r w:rsidRPr="0053423A">
              <w:rPr>
                <w:rFonts w:eastAsia="Times New Roman" w:cs="Times New Roman"/>
                <w:b/>
                <w:sz w:val="20"/>
                <w:szCs w:val="20"/>
                <w:u w:val="single"/>
                <w:lang w:val="hy-AM"/>
              </w:rPr>
              <w:t xml:space="preserve"> մշակում</w:t>
            </w:r>
          </w:p>
          <w:p w:rsidR="00154773" w:rsidRPr="0053423A" w:rsidRDefault="00154773" w:rsidP="00154773">
            <w:pPr>
              <w:ind w:firstLine="720"/>
              <w:jc w:val="both"/>
              <w:rPr>
                <w:b/>
                <w:sz w:val="20"/>
                <w:szCs w:val="20"/>
                <w:highlight w:val="yellow"/>
                <w:u w:val="single"/>
                <w:lang w:val="af-ZA" w:eastAsia="ru-RU"/>
              </w:rPr>
            </w:pPr>
          </w:p>
          <w:p w:rsidR="00154773" w:rsidRPr="0053423A" w:rsidRDefault="00154773" w:rsidP="001F6D5D">
            <w:pPr>
              <w:numPr>
                <w:ilvl w:val="0"/>
                <w:numId w:val="453"/>
              </w:numPr>
              <w:jc w:val="both"/>
              <w:rPr>
                <w:rFonts w:eastAsia="Times New Roman" w:cs="Sylfaen"/>
                <w:sz w:val="20"/>
                <w:szCs w:val="20"/>
              </w:rPr>
            </w:pPr>
            <w:r w:rsidRPr="0053423A">
              <w:rPr>
                <w:rFonts w:eastAsia="Times New Roman" w:cs="Arial"/>
                <w:b/>
                <w:sz w:val="20"/>
                <w:szCs w:val="20"/>
                <w:lang w:val="hy-AM" w:eastAsia="ru-RU"/>
              </w:rPr>
              <w:t>Միջոցառման</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իրականացման</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անհրաժեշտությունը</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և</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նպատակը</w:t>
            </w:r>
            <w:r w:rsidRPr="0053423A">
              <w:rPr>
                <w:rFonts w:eastAsia="Times New Roman" w:cs="Arial Armenian"/>
                <w:sz w:val="20"/>
                <w:szCs w:val="20"/>
                <w:lang w:val="hy-AM" w:eastAsia="ru-RU"/>
              </w:rPr>
              <w:t xml:space="preserve"> </w:t>
            </w:r>
          </w:p>
          <w:p w:rsidR="00154773" w:rsidRPr="0053423A" w:rsidRDefault="00154773" w:rsidP="00154773">
            <w:pPr>
              <w:ind w:left="720"/>
              <w:jc w:val="both"/>
              <w:rPr>
                <w:rFonts w:eastAsia="Times New Roman" w:cs="Sylfaen"/>
                <w:sz w:val="20"/>
                <w:szCs w:val="20"/>
              </w:rPr>
            </w:pPr>
          </w:p>
          <w:p w:rsidR="00154773" w:rsidRPr="0053423A" w:rsidRDefault="00154773" w:rsidP="00154773">
            <w:pPr>
              <w:ind w:firstLine="284"/>
              <w:contextualSpacing/>
              <w:jc w:val="both"/>
              <w:rPr>
                <w:spacing w:val="-4"/>
                <w:sz w:val="20"/>
                <w:szCs w:val="20"/>
              </w:rPr>
            </w:pPr>
            <w:r w:rsidRPr="0053423A">
              <w:rPr>
                <w:spacing w:val="-4"/>
                <w:sz w:val="20"/>
                <w:szCs w:val="20"/>
              </w:rPr>
              <w:t>Միջոցառման գլխավոր նպատակն է կրթական ծրագրերի արդիականացումը՝ ուղղված տնտեսության և աշխատաշուկայի փոփոխվող պահանջներին:</w:t>
            </w:r>
          </w:p>
          <w:p w:rsidR="00154773" w:rsidRPr="0053423A" w:rsidRDefault="00154773" w:rsidP="00154773">
            <w:pPr>
              <w:ind w:firstLine="284"/>
              <w:contextualSpacing/>
              <w:jc w:val="both"/>
              <w:rPr>
                <w:spacing w:val="-4"/>
                <w:sz w:val="20"/>
                <w:szCs w:val="20"/>
              </w:rPr>
            </w:pPr>
            <w:r w:rsidRPr="0053423A">
              <w:rPr>
                <w:spacing w:val="-4"/>
                <w:sz w:val="20"/>
                <w:szCs w:val="20"/>
              </w:rPr>
              <w:t>Միջոցառման</w:t>
            </w:r>
            <w:r w:rsidRPr="0053423A">
              <w:rPr>
                <w:spacing w:val="-4"/>
                <w:sz w:val="20"/>
                <w:szCs w:val="20"/>
                <w:lang w:val="af-ZA"/>
              </w:rPr>
              <w:t xml:space="preserve"> </w:t>
            </w:r>
            <w:r w:rsidRPr="0053423A">
              <w:rPr>
                <w:spacing w:val="-4"/>
                <w:sz w:val="20"/>
                <w:szCs w:val="20"/>
              </w:rPr>
              <w:t>անհրաժեշտությունը</w:t>
            </w:r>
            <w:r w:rsidRPr="0053423A">
              <w:rPr>
                <w:spacing w:val="-4"/>
                <w:sz w:val="20"/>
                <w:szCs w:val="20"/>
                <w:lang w:val="af-ZA"/>
              </w:rPr>
              <w:t xml:space="preserve"> </w:t>
            </w:r>
            <w:r w:rsidRPr="0053423A">
              <w:rPr>
                <w:spacing w:val="-4"/>
                <w:sz w:val="20"/>
                <w:szCs w:val="20"/>
              </w:rPr>
              <w:t>բխում</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ԱԺ</w:t>
            </w:r>
            <w:r w:rsidRPr="0053423A">
              <w:rPr>
                <w:spacing w:val="-4"/>
                <w:sz w:val="20"/>
                <w:szCs w:val="20"/>
                <w:lang w:val="af-ZA"/>
              </w:rPr>
              <w:t xml:space="preserve"> 2019 </w:t>
            </w:r>
            <w:r w:rsidRPr="0053423A">
              <w:rPr>
                <w:spacing w:val="-4"/>
                <w:sz w:val="20"/>
                <w:szCs w:val="20"/>
              </w:rPr>
              <w:t>թվականի</w:t>
            </w:r>
            <w:r w:rsidRPr="0053423A">
              <w:rPr>
                <w:spacing w:val="-4"/>
                <w:sz w:val="20"/>
                <w:szCs w:val="20"/>
                <w:lang w:val="af-ZA"/>
              </w:rPr>
              <w:t xml:space="preserve"> </w:t>
            </w:r>
            <w:r w:rsidRPr="0053423A">
              <w:rPr>
                <w:spacing w:val="-4"/>
                <w:sz w:val="20"/>
                <w:szCs w:val="20"/>
              </w:rPr>
              <w:t>փետրվարի</w:t>
            </w:r>
            <w:r w:rsidRPr="0053423A">
              <w:rPr>
                <w:spacing w:val="-4"/>
                <w:sz w:val="20"/>
                <w:szCs w:val="20"/>
                <w:lang w:val="af-ZA"/>
              </w:rPr>
              <w:t xml:space="preserve"> 14-</w:t>
            </w:r>
            <w:r w:rsidRPr="0053423A">
              <w:rPr>
                <w:spacing w:val="-4"/>
                <w:sz w:val="20"/>
                <w:szCs w:val="20"/>
              </w:rPr>
              <w:t>ի</w:t>
            </w:r>
            <w:r w:rsidRPr="0053423A">
              <w:rPr>
                <w:spacing w:val="-4"/>
                <w:sz w:val="20"/>
                <w:szCs w:val="20"/>
                <w:lang w:val="af-ZA"/>
              </w:rPr>
              <w:t xml:space="preserve"> </w:t>
            </w:r>
            <w:r w:rsidRPr="0053423A">
              <w:rPr>
                <w:spacing w:val="-4"/>
                <w:sz w:val="20"/>
                <w:szCs w:val="20"/>
              </w:rPr>
              <w:t>ԱԺՈ</w:t>
            </w:r>
            <w:r w:rsidRPr="0053423A">
              <w:rPr>
                <w:spacing w:val="-4"/>
                <w:sz w:val="20"/>
                <w:szCs w:val="20"/>
                <w:lang w:val="af-ZA"/>
              </w:rPr>
              <w:t>-002-</w:t>
            </w:r>
            <w:r w:rsidRPr="0053423A">
              <w:rPr>
                <w:spacing w:val="-4"/>
                <w:sz w:val="20"/>
                <w:szCs w:val="20"/>
              </w:rPr>
              <w:t>Ն</w:t>
            </w:r>
            <w:r w:rsidRPr="0053423A">
              <w:rPr>
                <w:spacing w:val="-4"/>
                <w:sz w:val="20"/>
                <w:szCs w:val="20"/>
                <w:lang w:val="af-ZA"/>
              </w:rPr>
              <w:t xml:space="preserve"> </w:t>
            </w:r>
            <w:r w:rsidRPr="0053423A">
              <w:rPr>
                <w:spacing w:val="-4"/>
                <w:sz w:val="20"/>
                <w:szCs w:val="20"/>
              </w:rPr>
              <w:t>որոշմամբ</w:t>
            </w:r>
            <w:r w:rsidRPr="0053423A">
              <w:rPr>
                <w:spacing w:val="-4"/>
                <w:sz w:val="20"/>
                <w:szCs w:val="20"/>
                <w:lang w:val="af-ZA"/>
              </w:rPr>
              <w:t xml:space="preserve"> </w:t>
            </w:r>
            <w:r w:rsidRPr="0053423A">
              <w:rPr>
                <w:spacing w:val="-4"/>
                <w:sz w:val="20"/>
                <w:szCs w:val="20"/>
              </w:rPr>
              <w:t>հավանության</w:t>
            </w:r>
            <w:r w:rsidRPr="0053423A">
              <w:rPr>
                <w:spacing w:val="-4"/>
                <w:sz w:val="20"/>
                <w:szCs w:val="20"/>
                <w:lang w:val="af-ZA"/>
              </w:rPr>
              <w:t xml:space="preserve"> </w:t>
            </w:r>
            <w:r w:rsidRPr="0053423A">
              <w:rPr>
                <w:spacing w:val="-4"/>
                <w:sz w:val="20"/>
                <w:szCs w:val="20"/>
              </w:rPr>
              <w:t>արժանացած</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կառավարության</w:t>
            </w:r>
            <w:r w:rsidRPr="0053423A">
              <w:rPr>
                <w:spacing w:val="-4"/>
                <w:sz w:val="20"/>
                <w:szCs w:val="20"/>
                <w:lang w:val="af-ZA"/>
              </w:rPr>
              <w:t xml:space="preserve"> </w:t>
            </w:r>
            <w:r w:rsidRPr="0053423A">
              <w:rPr>
                <w:spacing w:val="-4"/>
                <w:sz w:val="20"/>
                <w:szCs w:val="20"/>
              </w:rPr>
              <w:t>ծրագրի</w:t>
            </w:r>
            <w:r w:rsidRPr="0053423A">
              <w:rPr>
                <w:spacing w:val="-4"/>
                <w:sz w:val="20"/>
                <w:szCs w:val="20"/>
                <w:lang w:val="af-ZA"/>
              </w:rPr>
              <w:t xml:space="preserve"> </w:t>
            </w:r>
            <w:r w:rsidRPr="0053423A">
              <w:rPr>
                <w:rFonts w:eastAsia="Times New Roman" w:cs="Times New Roman"/>
                <w:sz w:val="20"/>
                <w:szCs w:val="20"/>
                <w:lang w:val="af-ZA"/>
              </w:rPr>
              <w:t>«</w:t>
            </w:r>
            <w:r w:rsidRPr="0053423A">
              <w:rPr>
                <w:spacing w:val="-4"/>
                <w:sz w:val="20"/>
                <w:szCs w:val="20"/>
                <w:lang w:val="af-ZA"/>
              </w:rPr>
              <w:t xml:space="preserve">4.4 </w:t>
            </w:r>
            <w:r w:rsidRPr="0053423A">
              <w:rPr>
                <w:spacing w:val="-4"/>
                <w:sz w:val="20"/>
                <w:szCs w:val="20"/>
              </w:rPr>
              <w:t>ԿՐԹՈՒԹՅՈՒՆ</w:t>
            </w:r>
            <w:r w:rsidRPr="0053423A">
              <w:rPr>
                <w:spacing w:val="-4"/>
                <w:sz w:val="20"/>
                <w:szCs w:val="20"/>
                <w:lang w:val="af-ZA"/>
              </w:rPr>
              <w:t xml:space="preserve"> </w:t>
            </w:r>
            <w:r w:rsidRPr="0053423A">
              <w:rPr>
                <w:spacing w:val="-4"/>
                <w:sz w:val="20"/>
                <w:szCs w:val="20"/>
              </w:rPr>
              <w:t>ԵՎ</w:t>
            </w:r>
            <w:r w:rsidRPr="0053423A">
              <w:rPr>
                <w:spacing w:val="-4"/>
                <w:sz w:val="20"/>
                <w:szCs w:val="20"/>
                <w:lang w:val="af-ZA"/>
              </w:rPr>
              <w:t xml:space="preserve"> </w:t>
            </w:r>
            <w:r w:rsidRPr="0053423A">
              <w:rPr>
                <w:spacing w:val="-4"/>
                <w:sz w:val="20"/>
                <w:szCs w:val="20"/>
              </w:rPr>
              <w:t>ԳԻՏՈՒԹՅՈՒՆ</w:t>
            </w:r>
            <w:r w:rsidRPr="0053423A">
              <w:rPr>
                <w:rFonts w:eastAsia="Times New Roman" w:cs="Times New Roman"/>
                <w:sz w:val="20"/>
                <w:szCs w:val="20"/>
                <w:lang w:val="af-ZA"/>
              </w:rPr>
              <w:t xml:space="preserve">»  </w:t>
            </w:r>
            <w:r w:rsidRPr="0053423A">
              <w:rPr>
                <w:rFonts w:eastAsia="Calibri" w:cs="Sylfaen"/>
                <w:sz w:val="20"/>
                <w:szCs w:val="20"/>
                <w:lang w:val="hy-AM"/>
              </w:rPr>
              <w:t>բաժնի</w:t>
            </w:r>
            <w:r w:rsidRPr="0053423A">
              <w:rPr>
                <w:rFonts w:eastAsia="Calibri" w:cs="Sylfaen"/>
                <w:sz w:val="20"/>
                <w:szCs w:val="20"/>
              </w:rPr>
              <w:t xml:space="preserve"> </w:t>
            </w:r>
            <w:r w:rsidRPr="0053423A">
              <w:rPr>
                <w:rFonts w:cs="Arian AMU"/>
                <w:sz w:val="20"/>
                <w:szCs w:val="20"/>
                <w:lang w:val="et-EE"/>
              </w:rPr>
              <w:t xml:space="preserve">3-րդ պարբերությունից և բարձրագույն կրթության </w:t>
            </w:r>
            <w:r w:rsidRPr="0053423A">
              <w:rPr>
                <w:spacing w:val="-4"/>
                <w:sz w:val="20"/>
                <w:szCs w:val="20"/>
              </w:rPr>
              <w:t xml:space="preserve">ոլորտի 2 և 4-րդ պարբերություններից: </w:t>
            </w:r>
          </w:p>
          <w:p w:rsidR="00154773" w:rsidRPr="0053423A" w:rsidRDefault="00154773" w:rsidP="00154773">
            <w:pPr>
              <w:ind w:firstLine="284"/>
              <w:contextualSpacing/>
              <w:jc w:val="both"/>
              <w:rPr>
                <w:spacing w:val="-4"/>
                <w:sz w:val="20"/>
                <w:szCs w:val="20"/>
              </w:rPr>
            </w:pPr>
            <w:r w:rsidRPr="0053423A">
              <w:rPr>
                <w:spacing w:val="-4"/>
                <w:sz w:val="20"/>
                <w:szCs w:val="20"/>
              </w:rPr>
              <w:t>Որակավորումների ոլորտային շրջանակի մշակման նպատակն է ՀՀ բուհական համակարգում և աշխատաշուկայում Որակավորումների ազգային շրջանակի (ՈԱՇ) գործնական կիրառության ապահովելիությունը:</w:t>
            </w:r>
            <w:r w:rsidRPr="0053423A">
              <w:rPr>
                <w:rFonts w:ascii="Calibri" w:hAnsi="Calibri" w:cs="Calibri"/>
                <w:spacing w:val="-4"/>
                <w:sz w:val="20"/>
                <w:szCs w:val="20"/>
              </w:rPr>
              <w:t>  </w:t>
            </w:r>
            <w:r w:rsidRPr="0053423A">
              <w:rPr>
                <w:spacing w:val="-4"/>
                <w:sz w:val="20"/>
                <w:szCs w:val="20"/>
              </w:rPr>
              <w:t>Որակավորումների ոլորտային շրջանակները (ՈՈՇ) տարբեր մասնագիտական ոլորտների համար նախատեսված յուրօրինակ անցումային կապակցող գործիք կհանդիսանան ՈԱՇ-ի և մասնագիտական բնագավառի ու կրթական ծրագրի</w:t>
            </w:r>
            <w:r w:rsidRPr="0053423A">
              <w:rPr>
                <w:rFonts w:ascii="Calibri" w:hAnsi="Calibri" w:cs="Calibri"/>
                <w:spacing w:val="-4"/>
                <w:sz w:val="20"/>
                <w:szCs w:val="20"/>
              </w:rPr>
              <w:t> </w:t>
            </w:r>
            <w:r w:rsidRPr="0053423A">
              <w:rPr>
                <w:spacing w:val="-4"/>
                <w:sz w:val="20"/>
                <w:szCs w:val="20"/>
              </w:rPr>
              <w:t>միջև:</w:t>
            </w:r>
          </w:p>
          <w:p w:rsidR="00154773" w:rsidRPr="0053423A" w:rsidRDefault="00154773" w:rsidP="00154773">
            <w:pPr>
              <w:ind w:firstLine="708"/>
              <w:jc w:val="both"/>
              <w:rPr>
                <w:rFonts w:eastAsia="Times New Roman" w:cs="Sylfaen"/>
                <w:sz w:val="20"/>
                <w:szCs w:val="20"/>
                <w:lang w:val="et-EE"/>
              </w:rPr>
            </w:pPr>
          </w:p>
          <w:p w:rsidR="00154773" w:rsidRPr="0053423A" w:rsidRDefault="00154773" w:rsidP="00154773">
            <w:pPr>
              <w:ind w:left="630"/>
              <w:jc w:val="both"/>
              <w:rPr>
                <w:rFonts w:eastAsia="Times New Roman" w:cs="Arial"/>
                <w:b/>
                <w:sz w:val="20"/>
                <w:szCs w:val="20"/>
                <w:lang w:val="et-EE" w:eastAsia="ru-RU"/>
              </w:rPr>
            </w:pPr>
            <w:r w:rsidRPr="0053423A">
              <w:rPr>
                <w:rFonts w:eastAsia="Times New Roman" w:cs="Arial"/>
                <w:b/>
                <w:sz w:val="20"/>
                <w:szCs w:val="20"/>
                <w:lang w:val="et-EE" w:eastAsia="ru-RU"/>
              </w:rPr>
              <w:t xml:space="preserve">1.1. </w:t>
            </w:r>
            <w:r w:rsidRPr="0053423A">
              <w:rPr>
                <w:rFonts w:eastAsia="Times New Roman" w:cs="Arial"/>
                <w:b/>
                <w:sz w:val="20"/>
                <w:szCs w:val="20"/>
                <w:lang w:eastAsia="ru-RU"/>
              </w:rPr>
              <w:t>Կ</w:t>
            </w:r>
            <w:r w:rsidRPr="0053423A">
              <w:rPr>
                <w:rFonts w:eastAsia="Times New Roman" w:cs="Arial"/>
                <w:b/>
                <w:sz w:val="20"/>
                <w:szCs w:val="20"/>
                <w:lang w:val="hy-AM" w:eastAsia="ru-RU"/>
              </w:rPr>
              <w:t>արգավորման</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հարաբերությունների</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ներկա</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վիճակը</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և</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առկա</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խնդիրները</w:t>
            </w:r>
          </w:p>
          <w:p w:rsidR="00154773" w:rsidRPr="0053423A" w:rsidRDefault="00154773" w:rsidP="00154773">
            <w:pPr>
              <w:ind w:left="1429"/>
              <w:jc w:val="both"/>
              <w:rPr>
                <w:rFonts w:eastAsia="Times New Roman" w:cs="Arial"/>
                <w:b/>
                <w:sz w:val="20"/>
                <w:szCs w:val="20"/>
                <w:lang w:val="et-EE" w:eastAsia="ru-RU"/>
              </w:rPr>
            </w:pPr>
          </w:p>
          <w:p w:rsidR="00154773" w:rsidRPr="0053423A" w:rsidRDefault="00154773" w:rsidP="00154773">
            <w:pPr>
              <w:tabs>
                <w:tab w:val="left" w:pos="270"/>
                <w:tab w:val="left" w:pos="318"/>
              </w:tabs>
              <w:jc w:val="both"/>
              <w:rPr>
                <w:sz w:val="20"/>
                <w:szCs w:val="20"/>
                <w:lang w:val="af-ZA"/>
              </w:rPr>
            </w:pPr>
            <w:r w:rsidRPr="0053423A">
              <w:rPr>
                <w:sz w:val="20"/>
                <w:szCs w:val="20"/>
                <w:lang w:val="af-ZA"/>
              </w:rPr>
              <w:tab/>
            </w:r>
            <w:r w:rsidRPr="0053423A">
              <w:rPr>
                <w:sz w:val="20"/>
                <w:szCs w:val="20"/>
                <w:lang w:val="af-ZA"/>
              </w:rPr>
              <w:tab/>
              <w:t>Ներկայումս առկա չեն որակավորումների ոլորտային շրջանակների, ուսանողի անհատական կրթական հետագծի մոդելի մշակման համար անհրաժեշտ իրավական հիմքերը, ինչպես նաև ասպիրանտուրան, որպես բարձրագույն կրթության երրորդ աստիճան,  օրենսդրորեն ամրագրված չէ:</w:t>
            </w:r>
          </w:p>
          <w:p w:rsidR="00154773" w:rsidRPr="0053423A" w:rsidRDefault="00154773" w:rsidP="00154773">
            <w:pPr>
              <w:tabs>
                <w:tab w:val="left" w:pos="318"/>
                <w:tab w:val="left" w:pos="360"/>
              </w:tabs>
              <w:jc w:val="both"/>
              <w:rPr>
                <w:rFonts w:cs="Sylfaen"/>
                <w:sz w:val="20"/>
                <w:szCs w:val="20"/>
                <w:lang w:val="af-ZA"/>
              </w:rPr>
            </w:pPr>
            <w:r w:rsidRPr="0053423A">
              <w:rPr>
                <w:sz w:val="20"/>
                <w:szCs w:val="20"/>
                <w:lang w:val="af-ZA"/>
              </w:rPr>
              <w:tab/>
            </w:r>
            <w:r w:rsidRPr="0053423A">
              <w:rPr>
                <w:sz w:val="20"/>
                <w:szCs w:val="20"/>
                <w:lang w:val="af-ZA"/>
              </w:rPr>
              <w:tab/>
              <w:t xml:space="preserve">Բարձրագույն մասնագիտական կրթության ոլորտի առաջնային խնդիրներից են բարձրագույն </w:t>
            </w:r>
            <w:r w:rsidRPr="0053423A">
              <w:rPr>
                <w:rFonts w:cs="Sylfaen"/>
                <w:sz w:val="20"/>
                <w:szCs w:val="20"/>
                <w:lang w:val="af-ZA"/>
              </w:rPr>
              <w:t>կրթության բովանդակային հենքի և կրթական գործընթացի բարելավումը, արդիականացումը, որակի ապահովումը և բարձրագույն կրթության երրորդ աստիճանի /ասպիրանտուրա/ ազգային քաղաքականության բարելավումը:</w:t>
            </w:r>
          </w:p>
          <w:p w:rsidR="00154773" w:rsidRPr="0053423A" w:rsidRDefault="00154773" w:rsidP="00154773">
            <w:pPr>
              <w:tabs>
                <w:tab w:val="left" w:pos="318"/>
              </w:tabs>
              <w:jc w:val="both"/>
              <w:rPr>
                <w:rFonts w:cs="Sylfaen"/>
                <w:sz w:val="20"/>
                <w:szCs w:val="20"/>
                <w:lang w:val="af-ZA"/>
              </w:rPr>
            </w:pPr>
            <w:r w:rsidRPr="0053423A">
              <w:rPr>
                <w:rFonts w:cs="Sylfaen"/>
                <w:sz w:val="20"/>
                <w:szCs w:val="20"/>
                <w:lang w:val="af-ZA"/>
              </w:rPr>
              <w:t xml:space="preserve">  </w:t>
            </w:r>
          </w:p>
          <w:p w:rsidR="00154773" w:rsidRPr="0053423A" w:rsidRDefault="00154773" w:rsidP="00154773">
            <w:pPr>
              <w:ind w:left="540"/>
              <w:jc w:val="both"/>
              <w:rPr>
                <w:rFonts w:eastAsia="Times New Roman" w:cs="Arial"/>
                <w:b/>
                <w:sz w:val="20"/>
                <w:szCs w:val="20"/>
                <w:lang w:val="af-ZA" w:eastAsia="ru-RU"/>
              </w:rPr>
            </w:pPr>
            <w:r w:rsidRPr="0053423A">
              <w:rPr>
                <w:rFonts w:eastAsia="Times New Roman" w:cs="Arial"/>
                <w:b/>
                <w:sz w:val="20"/>
                <w:szCs w:val="20"/>
                <w:lang w:val="af-ZA" w:eastAsia="ru-RU"/>
              </w:rPr>
              <w:t xml:space="preserve">1.2. </w:t>
            </w:r>
            <w:r w:rsidRPr="0053423A">
              <w:rPr>
                <w:rFonts w:eastAsia="Times New Roman" w:cs="Arial"/>
                <w:b/>
                <w:sz w:val="20"/>
                <w:szCs w:val="20"/>
                <w:lang w:eastAsia="ru-RU"/>
              </w:rPr>
              <w:t>Ա</w:t>
            </w:r>
            <w:r w:rsidRPr="0053423A">
              <w:rPr>
                <w:rFonts w:eastAsia="Times New Roman" w:cs="Arial"/>
                <w:b/>
                <w:sz w:val="20"/>
                <w:szCs w:val="20"/>
                <w:lang w:val="hy-AM" w:eastAsia="ru-RU"/>
              </w:rPr>
              <w:t>ռկա</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խնդիրների</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առաջարկվող</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լուծումները</w:t>
            </w:r>
          </w:p>
          <w:p w:rsidR="00154773" w:rsidRPr="0053423A" w:rsidRDefault="00154773" w:rsidP="00154773">
            <w:pPr>
              <w:ind w:left="1429"/>
              <w:jc w:val="both"/>
              <w:rPr>
                <w:rFonts w:eastAsia="Times New Roman" w:cs="Arial"/>
                <w:b/>
                <w:sz w:val="20"/>
                <w:szCs w:val="20"/>
                <w:lang w:val="af-ZA" w:eastAsia="ru-RU"/>
              </w:rPr>
            </w:pPr>
          </w:p>
          <w:p w:rsidR="00154773" w:rsidRPr="0053423A" w:rsidRDefault="00154773" w:rsidP="00154773">
            <w:pPr>
              <w:ind w:firstLine="360"/>
              <w:jc w:val="both"/>
              <w:rPr>
                <w:rFonts w:eastAsia="Times New Roman" w:cs="Sylfaen"/>
                <w:sz w:val="20"/>
                <w:szCs w:val="20"/>
                <w:lang w:val="af-ZA" w:eastAsia="ru-RU"/>
              </w:rPr>
            </w:pPr>
            <w:r w:rsidRPr="0053423A">
              <w:rPr>
                <w:rFonts w:eastAsia="Times New Roman" w:cs="GHEA Grapalat"/>
                <w:iCs/>
                <w:sz w:val="20"/>
                <w:szCs w:val="20"/>
                <w:lang w:val="af-ZA"/>
              </w:rPr>
              <w:t>Բարձրագույն կրթության բովանդակային հենքի, կրթական գործընթացի բարելավման, արդիականացման և ասպիրանտուրան որպես բարձրագույն կրթության երրոդ աստիճան ամրագրելու համար</w:t>
            </w:r>
            <w:r w:rsidRPr="0053423A">
              <w:rPr>
                <w:rFonts w:eastAsia="Times New Roman" w:cs="Sylfaen"/>
                <w:sz w:val="20"/>
                <w:szCs w:val="20"/>
                <w:lang w:val="hy-AM"/>
              </w:rPr>
              <w:t xml:space="preserve"> </w:t>
            </w:r>
            <w:r w:rsidRPr="0053423A">
              <w:rPr>
                <w:rFonts w:eastAsia="Times New Roman" w:cs="Times New Roman"/>
                <w:color w:val="000000"/>
                <w:sz w:val="20"/>
                <w:szCs w:val="20"/>
                <w:lang w:val="hy-AM"/>
              </w:rPr>
              <w:t>«</w:t>
            </w:r>
            <w:r w:rsidRPr="0053423A">
              <w:rPr>
                <w:rFonts w:eastAsia="Times New Roman" w:cs="Times New Roman"/>
                <w:sz w:val="20"/>
                <w:szCs w:val="20"/>
                <w:lang w:val="hy-AM" w:eastAsia="ru-RU"/>
              </w:rPr>
              <w:t>«</w:t>
            </w:r>
            <w:r w:rsidRPr="0053423A">
              <w:rPr>
                <w:rFonts w:eastAsia="Times New Roman" w:cs="Times New Roman"/>
                <w:sz w:val="20"/>
                <w:szCs w:val="20"/>
                <w:lang w:eastAsia="ru-RU"/>
              </w:rPr>
              <w:t>Բարձրագույն</w:t>
            </w:r>
            <w:r w:rsidRPr="0053423A">
              <w:rPr>
                <w:rFonts w:eastAsia="Times New Roman" w:cs="Times New Roman"/>
                <w:sz w:val="20"/>
                <w:szCs w:val="20"/>
                <w:lang w:val="et-EE" w:eastAsia="ru-RU"/>
              </w:rPr>
              <w:t xml:space="preserve"> </w:t>
            </w:r>
            <w:r w:rsidRPr="0053423A">
              <w:rPr>
                <w:rFonts w:eastAsia="Times New Roman" w:cs="Times New Roman"/>
                <w:sz w:val="20"/>
                <w:szCs w:val="20"/>
                <w:lang w:eastAsia="ru-RU"/>
              </w:rPr>
              <w:t>կրթության</w:t>
            </w:r>
            <w:r w:rsidRPr="0053423A">
              <w:rPr>
                <w:rFonts w:eastAsia="Times New Roman" w:cs="Times New Roman"/>
                <w:sz w:val="20"/>
                <w:szCs w:val="20"/>
                <w:lang w:val="et-EE" w:eastAsia="ru-RU"/>
              </w:rPr>
              <w:t xml:space="preserve"> </w:t>
            </w:r>
            <w:r w:rsidRPr="0053423A">
              <w:rPr>
                <w:rFonts w:eastAsia="Times New Roman" w:cs="Times New Roman"/>
                <w:sz w:val="20"/>
                <w:szCs w:val="20"/>
                <w:lang w:eastAsia="ru-RU"/>
              </w:rPr>
              <w:t>և</w:t>
            </w:r>
            <w:r w:rsidRPr="0053423A">
              <w:rPr>
                <w:rFonts w:eastAsia="Times New Roman" w:cs="Times New Roman"/>
                <w:sz w:val="20"/>
                <w:szCs w:val="20"/>
                <w:lang w:val="et-EE" w:eastAsia="ru-RU"/>
              </w:rPr>
              <w:t xml:space="preserve"> </w:t>
            </w:r>
            <w:r w:rsidRPr="0053423A">
              <w:rPr>
                <w:rFonts w:eastAsia="Times New Roman" w:cs="Times New Roman"/>
                <w:sz w:val="20"/>
                <w:szCs w:val="20"/>
                <w:lang w:eastAsia="ru-RU"/>
              </w:rPr>
              <w:t>գիտահետազոտական</w:t>
            </w:r>
            <w:r w:rsidRPr="0053423A">
              <w:rPr>
                <w:rFonts w:eastAsia="Times New Roman" w:cs="Times New Roman"/>
                <w:sz w:val="20"/>
                <w:szCs w:val="20"/>
                <w:lang w:val="et-EE" w:eastAsia="ru-RU"/>
              </w:rPr>
              <w:t xml:space="preserve"> </w:t>
            </w:r>
            <w:r w:rsidRPr="0053423A">
              <w:rPr>
                <w:rFonts w:eastAsia="Times New Roman" w:cs="Times New Roman"/>
                <w:sz w:val="20"/>
                <w:szCs w:val="20"/>
                <w:lang w:eastAsia="ru-RU"/>
              </w:rPr>
              <w:t>գործունեության</w:t>
            </w:r>
            <w:r w:rsidRPr="0053423A">
              <w:rPr>
                <w:rFonts w:eastAsia="Times New Roman" w:cs="Times New Roman"/>
                <w:sz w:val="20"/>
                <w:szCs w:val="20"/>
                <w:lang w:val="et-EE" w:eastAsia="ru-RU"/>
              </w:rPr>
              <w:t xml:space="preserve"> </w:t>
            </w:r>
            <w:r w:rsidRPr="0053423A">
              <w:rPr>
                <w:rFonts w:eastAsia="Times New Roman" w:cs="Times New Roman"/>
                <w:sz w:val="20"/>
                <w:szCs w:val="20"/>
                <w:lang w:val="hy-AM" w:eastAsia="ru-RU"/>
              </w:rPr>
              <w:t>մասին»</w:t>
            </w:r>
            <w:r w:rsidRPr="0053423A">
              <w:rPr>
                <w:rFonts w:eastAsia="Times New Roman" w:cs="Times New Roman"/>
                <w:sz w:val="20"/>
                <w:szCs w:val="20"/>
                <w:lang w:val="et-EE" w:eastAsia="ru-RU"/>
              </w:rPr>
              <w:t xml:space="preserve"> </w:t>
            </w:r>
            <w:r w:rsidRPr="0053423A">
              <w:rPr>
                <w:rFonts w:eastAsia="Times New Roman" w:cs="Times New Roman"/>
                <w:color w:val="000000"/>
                <w:sz w:val="20"/>
                <w:szCs w:val="20"/>
                <w:lang w:val="hy-AM"/>
              </w:rPr>
              <w:t>Հայաստանի Հանրապետության օրենքի նախագծ</w:t>
            </w:r>
            <w:r w:rsidRPr="0053423A">
              <w:rPr>
                <w:rFonts w:eastAsia="Times New Roman" w:cs="Times New Roman"/>
                <w:color w:val="000000"/>
                <w:sz w:val="20"/>
                <w:szCs w:val="20"/>
              </w:rPr>
              <w:t>ում</w:t>
            </w:r>
            <w:r w:rsidRPr="0053423A">
              <w:rPr>
                <w:rFonts w:eastAsia="Times New Roman" w:cs="Times New Roman"/>
                <w:color w:val="000000"/>
                <w:sz w:val="20"/>
                <w:szCs w:val="20"/>
                <w:lang w:val="hy-AM"/>
              </w:rPr>
              <w:t xml:space="preserve"> </w:t>
            </w:r>
            <w:r w:rsidRPr="0053423A">
              <w:rPr>
                <w:rFonts w:eastAsia="Times New Roman" w:cs="Times New Roman"/>
                <w:color w:val="000000"/>
                <w:sz w:val="20"/>
                <w:szCs w:val="20"/>
              </w:rPr>
              <w:t>ամրագրվել</w:t>
            </w:r>
            <w:r w:rsidRPr="0053423A">
              <w:rPr>
                <w:rFonts w:eastAsia="Times New Roman" w:cs="Times New Roman"/>
                <w:color w:val="000000"/>
                <w:sz w:val="20"/>
                <w:szCs w:val="20"/>
                <w:lang w:val="et-EE"/>
              </w:rPr>
              <w:t xml:space="preserve"> </w:t>
            </w:r>
            <w:r w:rsidRPr="0053423A">
              <w:rPr>
                <w:rFonts w:eastAsia="Times New Roman" w:cs="Times New Roman"/>
                <w:color w:val="000000"/>
                <w:sz w:val="20"/>
                <w:szCs w:val="20"/>
              </w:rPr>
              <w:t>են</w:t>
            </w:r>
            <w:r w:rsidRPr="0053423A">
              <w:rPr>
                <w:rFonts w:eastAsia="Times New Roman" w:cs="Times New Roman"/>
                <w:color w:val="000000"/>
                <w:sz w:val="20"/>
                <w:szCs w:val="20"/>
                <w:lang w:val="et-EE"/>
              </w:rPr>
              <w:t xml:space="preserve"> </w:t>
            </w:r>
            <w:r w:rsidRPr="0053423A">
              <w:rPr>
                <w:rFonts w:eastAsia="Times New Roman" w:cs="Times New Roman"/>
                <w:color w:val="000000"/>
                <w:sz w:val="20"/>
                <w:szCs w:val="20"/>
              </w:rPr>
              <w:t>համապատասխան</w:t>
            </w:r>
            <w:r w:rsidRPr="0053423A">
              <w:rPr>
                <w:rFonts w:eastAsia="Times New Roman" w:cs="Times New Roman"/>
                <w:color w:val="000000"/>
                <w:sz w:val="20"/>
                <w:szCs w:val="20"/>
                <w:lang w:val="et-EE"/>
              </w:rPr>
              <w:t xml:space="preserve"> </w:t>
            </w:r>
            <w:r w:rsidRPr="0053423A">
              <w:rPr>
                <w:rFonts w:eastAsia="Times New Roman" w:cs="Times New Roman"/>
                <w:color w:val="000000"/>
                <w:sz w:val="20"/>
                <w:szCs w:val="20"/>
              </w:rPr>
              <w:t>դրույթներ</w:t>
            </w:r>
            <w:r w:rsidRPr="0053423A">
              <w:rPr>
                <w:rFonts w:eastAsia="Times New Roman" w:cs="Times New Roman"/>
                <w:color w:val="000000"/>
                <w:sz w:val="20"/>
                <w:szCs w:val="20"/>
                <w:lang w:val="et-EE"/>
              </w:rPr>
              <w:t xml:space="preserve">, </w:t>
            </w:r>
            <w:r w:rsidRPr="0053423A">
              <w:rPr>
                <w:rFonts w:eastAsia="Times New Roman" w:cs="Times New Roman"/>
                <w:color w:val="000000"/>
                <w:sz w:val="20"/>
                <w:szCs w:val="20"/>
              </w:rPr>
              <w:t>որոնք</w:t>
            </w:r>
            <w:r w:rsidRPr="0053423A">
              <w:rPr>
                <w:rFonts w:eastAsia="Times New Roman" w:cs="Times New Roman"/>
                <w:color w:val="000000"/>
                <w:sz w:val="20"/>
                <w:szCs w:val="20"/>
                <w:lang w:val="et-EE"/>
              </w:rPr>
              <w:t xml:space="preserve"> </w:t>
            </w:r>
            <w:r w:rsidRPr="0053423A">
              <w:rPr>
                <w:rFonts w:eastAsia="Times New Roman" w:cs="Times New Roman"/>
                <w:color w:val="000000"/>
                <w:sz w:val="20"/>
                <w:szCs w:val="20"/>
              </w:rPr>
              <w:t>հնարավորություն</w:t>
            </w:r>
            <w:r w:rsidRPr="0053423A">
              <w:rPr>
                <w:rFonts w:eastAsia="Times New Roman" w:cs="Times New Roman"/>
                <w:color w:val="000000"/>
                <w:sz w:val="20"/>
                <w:szCs w:val="20"/>
                <w:lang w:val="et-EE"/>
              </w:rPr>
              <w:t xml:space="preserve"> </w:t>
            </w:r>
            <w:r w:rsidRPr="0053423A">
              <w:rPr>
                <w:rFonts w:eastAsia="Times New Roman" w:cs="Times New Roman"/>
                <w:color w:val="000000"/>
                <w:sz w:val="20"/>
                <w:szCs w:val="20"/>
              </w:rPr>
              <w:t>կընձեռեն</w:t>
            </w:r>
            <w:r w:rsidRPr="0053423A">
              <w:rPr>
                <w:rFonts w:eastAsia="Times New Roman" w:cs="Times New Roman"/>
                <w:color w:val="000000"/>
                <w:sz w:val="20"/>
                <w:szCs w:val="20"/>
                <w:lang w:val="et-EE"/>
              </w:rPr>
              <w:t xml:space="preserve"> որակավորումների ոլորտային շրջանակների և ուսանողի անհատական կրթական հետագծի մոդելի մշակմանը, ինչպես նաև կստեղծի հիմքեր երրոդ աստիճանը կարգավորող օրենսդրական դաշտի համապատասխանեցմանը Զալցբուրգյան սկզբունքներին: Միջոցառումը կիրականացվի ՀՀ պետական բյուջեի «Եվրոպական բարձրագույն կրթական տարածքի անդամակցությամբ պայմանավորված բարձրագույն մասնագիտական կրթության համակարգի բարեփոխումներ» միջոցառման շրջանակում:</w:t>
            </w:r>
            <w:r w:rsidRPr="0053423A">
              <w:rPr>
                <w:rFonts w:eastAsia="Times New Roman" w:cs="Sylfaen"/>
                <w:sz w:val="20"/>
                <w:szCs w:val="20"/>
                <w:lang w:val="af-ZA" w:eastAsia="ru-RU"/>
              </w:rPr>
              <w:tab/>
            </w:r>
          </w:p>
          <w:p w:rsidR="00154773" w:rsidRPr="0053423A" w:rsidRDefault="00154773" w:rsidP="00154773">
            <w:pPr>
              <w:ind w:firstLine="709"/>
              <w:jc w:val="both"/>
              <w:rPr>
                <w:rFonts w:eastAsia="Times New Roman" w:cs="Sylfaen"/>
                <w:sz w:val="20"/>
                <w:szCs w:val="20"/>
                <w:lang w:val="af-ZA" w:eastAsia="ru-RU"/>
              </w:rPr>
            </w:pPr>
          </w:p>
          <w:p w:rsidR="00154773" w:rsidRPr="0053423A" w:rsidRDefault="00154773" w:rsidP="00154773">
            <w:pPr>
              <w:tabs>
                <w:tab w:val="left" w:pos="318"/>
              </w:tabs>
              <w:ind w:left="450"/>
              <w:jc w:val="both"/>
              <w:rPr>
                <w:rFonts w:cs="Arial"/>
                <w:b/>
                <w:sz w:val="20"/>
                <w:szCs w:val="20"/>
                <w:lang w:val="af-ZA"/>
              </w:rPr>
            </w:pPr>
            <w:r w:rsidRPr="0053423A">
              <w:rPr>
                <w:rFonts w:cs="Arial"/>
                <w:b/>
                <w:sz w:val="20"/>
                <w:szCs w:val="20"/>
                <w:lang w:val="af-ZA"/>
              </w:rPr>
              <w:t xml:space="preserve">2. </w:t>
            </w:r>
            <w:r w:rsidRPr="0053423A">
              <w:rPr>
                <w:rFonts w:cs="Arial"/>
                <w:b/>
                <w:sz w:val="20"/>
                <w:szCs w:val="20"/>
                <w:lang w:val="hy-AM"/>
              </w:rPr>
              <w:t>Միջոցառման</w:t>
            </w:r>
            <w:r w:rsidRPr="0053423A">
              <w:rPr>
                <w:rFonts w:cs="Arial Armenian"/>
                <w:b/>
                <w:sz w:val="20"/>
                <w:szCs w:val="20"/>
                <w:lang w:val="hy-AM"/>
              </w:rPr>
              <w:t xml:space="preserve"> </w:t>
            </w:r>
            <w:r w:rsidRPr="0053423A">
              <w:rPr>
                <w:rFonts w:cs="Arial"/>
                <w:b/>
                <w:sz w:val="20"/>
                <w:szCs w:val="20"/>
                <w:lang w:val="hy-AM"/>
              </w:rPr>
              <w:t>իրականացումից</w:t>
            </w:r>
            <w:r w:rsidRPr="0053423A">
              <w:rPr>
                <w:rFonts w:cs="Arial Armenian"/>
                <w:b/>
                <w:sz w:val="20"/>
                <w:szCs w:val="20"/>
                <w:lang w:val="hy-AM"/>
              </w:rPr>
              <w:t xml:space="preserve"> </w:t>
            </w:r>
            <w:r w:rsidRPr="0053423A">
              <w:rPr>
                <w:rFonts w:cs="Arial"/>
                <w:b/>
                <w:sz w:val="20"/>
                <w:szCs w:val="20"/>
                <w:lang w:val="hy-AM"/>
              </w:rPr>
              <w:t>ակնկալվող</w:t>
            </w:r>
            <w:r w:rsidRPr="0053423A">
              <w:rPr>
                <w:rFonts w:cs="Arial Armenian"/>
                <w:b/>
                <w:sz w:val="20"/>
                <w:szCs w:val="20"/>
                <w:lang w:val="hy-AM"/>
              </w:rPr>
              <w:t xml:space="preserve"> </w:t>
            </w:r>
            <w:r w:rsidRPr="0053423A">
              <w:rPr>
                <w:rFonts w:cs="Arial"/>
                <w:b/>
                <w:sz w:val="20"/>
                <w:szCs w:val="20"/>
                <w:lang w:val="hy-AM"/>
              </w:rPr>
              <w:t>արդյունքը</w:t>
            </w:r>
          </w:p>
          <w:p w:rsidR="00154773" w:rsidRPr="0053423A" w:rsidRDefault="00154773" w:rsidP="00154773">
            <w:pPr>
              <w:tabs>
                <w:tab w:val="left" w:pos="318"/>
              </w:tabs>
              <w:ind w:left="1429"/>
              <w:contextualSpacing/>
              <w:jc w:val="both"/>
              <w:rPr>
                <w:rFonts w:cs="Arial"/>
                <w:b/>
                <w:sz w:val="20"/>
                <w:szCs w:val="20"/>
                <w:lang w:val="af-ZA"/>
              </w:rPr>
            </w:pPr>
          </w:p>
          <w:p w:rsidR="00154773" w:rsidRPr="0053423A" w:rsidRDefault="00154773" w:rsidP="00154773">
            <w:pPr>
              <w:ind w:firstLine="270"/>
              <w:contextualSpacing/>
              <w:jc w:val="both"/>
              <w:rPr>
                <w:rFonts w:cs="Arial Armenian"/>
                <w:sz w:val="20"/>
                <w:szCs w:val="20"/>
                <w:lang w:val="af-ZA"/>
              </w:rPr>
            </w:pPr>
            <w:r w:rsidRPr="0053423A">
              <w:rPr>
                <w:rFonts w:cs="Arial Armenian"/>
                <w:sz w:val="20"/>
                <w:szCs w:val="20"/>
                <w:lang w:val="af-ZA"/>
              </w:rPr>
              <w:t xml:space="preserve">  Միջոցառման կատարման արդյունքում կմշակվեն</w:t>
            </w:r>
          </w:p>
          <w:p w:rsidR="00154773" w:rsidRPr="0053423A" w:rsidRDefault="00154773" w:rsidP="001F6D5D">
            <w:pPr>
              <w:numPr>
                <w:ilvl w:val="0"/>
                <w:numId w:val="454"/>
              </w:numPr>
              <w:ind w:left="0" w:firstLine="270"/>
              <w:contextualSpacing/>
              <w:jc w:val="both"/>
              <w:rPr>
                <w:rFonts w:cs="Arial Armenian"/>
                <w:sz w:val="20"/>
                <w:szCs w:val="20"/>
                <w:lang w:val="af-ZA"/>
              </w:rPr>
            </w:pPr>
            <w:r w:rsidRPr="0053423A">
              <w:rPr>
                <w:rFonts w:cs="Arial Armenian"/>
                <w:sz w:val="20"/>
                <w:szCs w:val="20"/>
                <w:lang w:val="af-ZA"/>
              </w:rPr>
              <w:t>Որակավորումների ոլորտային շրջանակները՝ որակավորումների ազգային շրջանակի պահանջներին համապատասխան, որոնք համապատասխանեցված կլինեն աշխատաշուկայի փոփոխվող պահանջարկներին:</w:t>
            </w:r>
          </w:p>
          <w:p w:rsidR="00154773" w:rsidRPr="0053423A" w:rsidRDefault="00154773" w:rsidP="001F6D5D">
            <w:pPr>
              <w:numPr>
                <w:ilvl w:val="0"/>
                <w:numId w:val="454"/>
              </w:numPr>
              <w:ind w:left="0" w:firstLine="270"/>
              <w:contextualSpacing/>
              <w:jc w:val="both"/>
              <w:rPr>
                <w:rFonts w:cs="Arial Armenian"/>
                <w:sz w:val="20"/>
                <w:szCs w:val="20"/>
                <w:lang w:val="af-ZA"/>
              </w:rPr>
            </w:pPr>
            <w:r w:rsidRPr="0053423A">
              <w:rPr>
                <w:rFonts w:cs="Arial Armenian"/>
                <w:sz w:val="20"/>
                <w:szCs w:val="20"/>
                <w:lang w:val="af-ZA"/>
              </w:rPr>
              <w:t>Ուսանողի անհատական կրթական հետագծի մոդելը, որը հնարավորություն կտա ուսանողին ուղղակի մասնակցություն ունենալ իր անհատական ուսումնական պլանի ձևավորմանը՝ այդ թվում ուսումնական պլանում ընդգրկված առարկաների ընտրությանը:</w:t>
            </w:r>
          </w:p>
          <w:p w:rsidR="00154773" w:rsidRPr="0053423A" w:rsidRDefault="00154773" w:rsidP="001F6D5D">
            <w:pPr>
              <w:numPr>
                <w:ilvl w:val="0"/>
                <w:numId w:val="454"/>
              </w:numPr>
              <w:ind w:left="0" w:firstLine="270"/>
              <w:contextualSpacing/>
              <w:jc w:val="both"/>
              <w:rPr>
                <w:rFonts w:cs="Arial Armenian"/>
                <w:sz w:val="20"/>
                <w:szCs w:val="20"/>
                <w:lang w:val="af-ZA"/>
              </w:rPr>
            </w:pPr>
            <w:r w:rsidRPr="0053423A">
              <w:rPr>
                <w:rFonts w:cs="Arial Armenian"/>
                <w:sz w:val="20"/>
                <w:szCs w:val="20"/>
                <w:lang w:val="af-ZA"/>
              </w:rPr>
              <w:t>Զալցբուրգյան սկզբունքներին համապատասախան բարձրագույն կրթության երրոդ աստիճանի /ասպիրանտուրա/ ոլորտը կարգավորող իրավական ակտեր:</w:t>
            </w:r>
          </w:p>
          <w:p w:rsidR="00154773" w:rsidRPr="0053423A" w:rsidRDefault="00154773" w:rsidP="00154773">
            <w:pPr>
              <w:jc w:val="center"/>
              <w:rPr>
                <w:rFonts w:eastAsia="Times New Roman" w:cs="Times New Roman"/>
                <w:b/>
                <w:sz w:val="20"/>
                <w:szCs w:val="20"/>
                <w:lang w:val="af-ZA"/>
              </w:rPr>
            </w:pPr>
          </w:p>
        </w:tc>
      </w:tr>
      <w:tr w:rsidR="00154773" w:rsidRPr="0053423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ind w:left="709" w:firstLine="270"/>
              <w:contextualSpacing/>
              <w:jc w:val="center"/>
              <w:rPr>
                <w:rFonts w:cs="Arial Armenian"/>
                <w:b/>
                <w:sz w:val="20"/>
                <w:szCs w:val="20"/>
                <w:u w:val="single"/>
                <w:lang w:val="af-ZA"/>
              </w:rPr>
            </w:pPr>
            <w:r w:rsidRPr="0053423A">
              <w:rPr>
                <w:rFonts w:cs="Sylfaen"/>
                <w:b/>
                <w:sz w:val="20"/>
                <w:szCs w:val="20"/>
                <w:u w:val="single"/>
                <w:lang w:val="af-ZA"/>
              </w:rPr>
              <w:t xml:space="preserve">10.2 </w:t>
            </w:r>
            <w:r w:rsidRPr="0053423A">
              <w:rPr>
                <w:rFonts w:cs="Sylfaen"/>
                <w:b/>
                <w:sz w:val="20"/>
                <w:szCs w:val="20"/>
                <w:u w:val="single"/>
                <w:lang w:val="hy-AM"/>
              </w:rPr>
              <w:t>ՀՀ</w:t>
            </w:r>
            <w:r w:rsidRPr="0053423A">
              <w:rPr>
                <w:rFonts w:cs="Sylfaen"/>
                <w:b/>
                <w:sz w:val="20"/>
                <w:szCs w:val="20"/>
                <w:u w:val="single"/>
                <w:lang w:val="af-ZA"/>
              </w:rPr>
              <w:t xml:space="preserve"> </w:t>
            </w:r>
            <w:r w:rsidRPr="0053423A">
              <w:rPr>
                <w:rFonts w:cs="Sylfaen"/>
                <w:b/>
                <w:sz w:val="20"/>
                <w:szCs w:val="20"/>
                <w:u w:val="single"/>
                <w:lang w:val="hy-AM"/>
              </w:rPr>
              <w:t>բարձրագույն կրթության  երրորդ աստիճանի /ասպիրանտուրա/</w:t>
            </w:r>
            <w:r w:rsidRPr="0053423A">
              <w:rPr>
                <w:rFonts w:cs="Sylfaen"/>
                <w:b/>
                <w:sz w:val="20"/>
                <w:szCs w:val="20"/>
                <w:u w:val="single"/>
                <w:lang w:val="af-ZA"/>
              </w:rPr>
              <w:t xml:space="preserve"> </w:t>
            </w:r>
            <w:r w:rsidRPr="0053423A">
              <w:rPr>
                <w:rFonts w:cs="Sylfaen"/>
                <w:b/>
                <w:sz w:val="20"/>
                <w:szCs w:val="20"/>
                <w:u w:val="single"/>
                <w:lang w:val="hy-AM"/>
              </w:rPr>
              <w:t>բարեփոխումների</w:t>
            </w:r>
            <w:r w:rsidRPr="0053423A">
              <w:rPr>
                <w:rFonts w:cs="Sylfaen"/>
                <w:b/>
                <w:sz w:val="20"/>
                <w:szCs w:val="20"/>
                <w:u w:val="single"/>
                <w:lang w:val="af-ZA"/>
              </w:rPr>
              <w:t xml:space="preserve"> </w:t>
            </w:r>
            <w:r w:rsidRPr="0053423A">
              <w:rPr>
                <w:rFonts w:cs="Sylfaen"/>
                <w:b/>
                <w:sz w:val="20"/>
                <w:szCs w:val="20"/>
                <w:u w:val="single"/>
                <w:lang w:val="hy-AM"/>
              </w:rPr>
              <w:t>հայեցակարգի</w:t>
            </w:r>
            <w:r w:rsidRPr="0053423A">
              <w:rPr>
                <w:rFonts w:cs="Sylfaen"/>
                <w:b/>
                <w:sz w:val="20"/>
                <w:szCs w:val="20"/>
                <w:u w:val="single"/>
                <w:lang w:val="af-ZA"/>
              </w:rPr>
              <w:t xml:space="preserve"> </w:t>
            </w:r>
            <w:r w:rsidRPr="0053423A">
              <w:rPr>
                <w:rFonts w:cs="Sylfaen"/>
                <w:b/>
                <w:sz w:val="20"/>
                <w:szCs w:val="20"/>
                <w:u w:val="single"/>
                <w:lang w:val="hy-AM"/>
              </w:rPr>
              <w:t>մշակում</w:t>
            </w:r>
            <w:r w:rsidRPr="0053423A">
              <w:rPr>
                <w:rFonts w:cs="Arial"/>
                <w:b/>
                <w:sz w:val="20"/>
                <w:szCs w:val="20"/>
                <w:u w:val="single"/>
                <w:lang w:val="hy-AM"/>
              </w:rPr>
              <w:t>և հաստատում ՀՀ կրթության և գիտության նախարարի հրամանով</w:t>
            </w:r>
          </w:p>
          <w:p w:rsidR="00154773" w:rsidRPr="0053423A" w:rsidRDefault="00154773" w:rsidP="00154773">
            <w:pPr>
              <w:ind w:left="709" w:firstLine="270"/>
              <w:contextualSpacing/>
              <w:jc w:val="both"/>
              <w:rPr>
                <w:rFonts w:cs="Arial Armenian"/>
                <w:sz w:val="20"/>
                <w:szCs w:val="20"/>
                <w:lang w:val="af-ZA"/>
              </w:rPr>
            </w:pPr>
          </w:p>
          <w:p w:rsidR="00154773" w:rsidRPr="0053423A" w:rsidRDefault="00154773" w:rsidP="001F6D5D">
            <w:pPr>
              <w:numPr>
                <w:ilvl w:val="0"/>
                <w:numId w:val="483"/>
              </w:numPr>
              <w:jc w:val="both"/>
              <w:rPr>
                <w:rFonts w:eastAsia="Times New Roman" w:cs="Sylfaen"/>
                <w:sz w:val="20"/>
                <w:szCs w:val="20"/>
              </w:rPr>
            </w:pPr>
            <w:r w:rsidRPr="0053423A">
              <w:rPr>
                <w:rFonts w:eastAsia="Times New Roman" w:cs="Arial"/>
                <w:b/>
                <w:sz w:val="20"/>
                <w:szCs w:val="20"/>
                <w:lang w:val="hy-AM" w:eastAsia="ru-RU"/>
              </w:rPr>
              <w:t>Միջոցառման</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իրականացման</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անհրաժեշտությունը</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և</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նպատակը</w:t>
            </w:r>
            <w:r w:rsidRPr="0053423A">
              <w:rPr>
                <w:rFonts w:eastAsia="Times New Roman" w:cs="Arial Armenian"/>
                <w:sz w:val="20"/>
                <w:szCs w:val="20"/>
                <w:lang w:val="hy-AM" w:eastAsia="ru-RU"/>
              </w:rPr>
              <w:t xml:space="preserve"> </w:t>
            </w:r>
          </w:p>
          <w:p w:rsidR="00154773" w:rsidRPr="0053423A" w:rsidRDefault="00154773" w:rsidP="00154773">
            <w:pPr>
              <w:ind w:left="720"/>
              <w:jc w:val="both"/>
              <w:rPr>
                <w:rFonts w:eastAsia="Times New Roman" w:cs="Sylfaen"/>
                <w:sz w:val="20"/>
                <w:szCs w:val="20"/>
              </w:rPr>
            </w:pPr>
          </w:p>
          <w:p w:rsidR="00154773" w:rsidRPr="0053423A" w:rsidRDefault="00154773" w:rsidP="00154773">
            <w:pPr>
              <w:tabs>
                <w:tab w:val="left" w:pos="0"/>
                <w:tab w:val="left" w:pos="90"/>
              </w:tabs>
              <w:ind w:firstLine="360"/>
              <w:jc w:val="both"/>
              <w:rPr>
                <w:spacing w:val="-4"/>
                <w:sz w:val="20"/>
                <w:szCs w:val="20"/>
              </w:rPr>
            </w:pPr>
            <w:r w:rsidRPr="0053423A">
              <w:rPr>
                <w:spacing w:val="-4"/>
                <w:sz w:val="20"/>
                <w:szCs w:val="20"/>
              </w:rPr>
              <w:t>Միջոցառման գլխավոր նպատակն է կրթական ծրագրերի արդիականացումը՝ ուղղված տնտեսության և աշխատաշուկայի փոփոխվող պահանջներին:</w:t>
            </w:r>
          </w:p>
          <w:p w:rsidR="00154773" w:rsidRPr="0053423A" w:rsidRDefault="00154773" w:rsidP="00154773">
            <w:pPr>
              <w:tabs>
                <w:tab w:val="left" w:pos="0"/>
                <w:tab w:val="left" w:pos="90"/>
              </w:tabs>
              <w:ind w:firstLine="360"/>
              <w:jc w:val="both"/>
              <w:rPr>
                <w:spacing w:val="-4"/>
                <w:sz w:val="20"/>
                <w:szCs w:val="20"/>
              </w:rPr>
            </w:pPr>
            <w:r w:rsidRPr="0053423A">
              <w:rPr>
                <w:spacing w:val="-4"/>
                <w:sz w:val="20"/>
                <w:szCs w:val="20"/>
              </w:rPr>
              <w:t>Միջոցառման</w:t>
            </w:r>
            <w:r w:rsidRPr="0053423A">
              <w:rPr>
                <w:spacing w:val="-4"/>
                <w:sz w:val="20"/>
                <w:szCs w:val="20"/>
                <w:lang w:val="af-ZA"/>
              </w:rPr>
              <w:t xml:space="preserve"> </w:t>
            </w:r>
            <w:r w:rsidRPr="0053423A">
              <w:rPr>
                <w:spacing w:val="-4"/>
                <w:sz w:val="20"/>
                <w:szCs w:val="20"/>
              </w:rPr>
              <w:t>անհրաժեշտությունը</w:t>
            </w:r>
            <w:r w:rsidRPr="0053423A">
              <w:rPr>
                <w:spacing w:val="-4"/>
                <w:sz w:val="20"/>
                <w:szCs w:val="20"/>
                <w:lang w:val="af-ZA"/>
              </w:rPr>
              <w:t xml:space="preserve"> </w:t>
            </w:r>
            <w:r w:rsidRPr="0053423A">
              <w:rPr>
                <w:spacing w:val="-4"/>
                <w:sz w:val="20"/>
                <w:szCs w:val="20"/>
              </w:rPr>
              <w:t>բխում</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ԱԺ</w:t>
            </w:r>
            <w:r w:rsidRPr="0053423A">
              <w:rPr>
                <w:spacing w:val="-4"/>
                <w:sz w:val="20"/>
                <w:szCs w:val="20"/>
                <w:lang w:val="af-ZA"/>
              </w:rPr>
              <w:t xml:space="preserve"> 2019 </w:t>
            </w:r>
            <w:r w:rsidRPr="0053423A">
              <w:rPr>
                <w:spacing w:val="-4"/>
                <w:sz w:val="20"/>
                <w:szCs w:val="20"/>
              </w:rPr>
              <w:t>թվականի</w:t>
            </w:r>
            <w:r w:rsidRPr="0053423A">
              <w:rPr>
                <w:spacing w:val="-4"/>
                <w:sz w:val="20"/>
                <w:szCs w:val="20"/>
                <w:lang w:val="af-ZA"/>
              </w:rPr>
              <w:t xml:space="preserve"> </w:t>
            </w:r>
            <w:r w:rsidRPr="0053423A">
              <w:rPr>
                <w:spacing w:val="-4"/>
                <w:sz w:val="20"/>
                <w:szCs w:val="20"/>
              </w:rPr>
              <w:t>փետրվարի</w:t>
            </w:r>
            <w:r w:rsidRPr="0053423A">
              <w:rPr>
                <w:spacing w:val="-4"/>
                <w:sz w:val="20"/>
                <w:szCs w:val="20"/>
                <w:lang w:val="af-ZA"/>
              </w:rPr>
              <w:t xml:space="preserve"> 14-</w:t>
            </w:r>
            <w:r w:rsidRPr="0053423A">
              <w:rPr>
                <w:spacing w:val="-4"/>
                <w:sz w:val="20"/>
                <w:szCs w:val="20"/>
              </w:rPr>
              <w:t>ի</w:t>
            </w:r>
            <w:r w:rsidRPr="0053423A">
              <w:rPr>
                <w:spacing w:val="-4"/>
                <w:sz w:val="20"/>
                <w:szCs w:val="20"/>
                <w:lang w:val="af-ZA"/>
              </w:rPr>
              <w:t xml:space="preserve"> </w:t>
            </w:r>
            <w:r w:rsidRPr="0053423A">
              <w:rPr>
                <w:spacing w:val="-4"/>
                <w:sz w:val="20"/>
                <w:szCs w:val="20"/>
              </w:rPr>
              <w:t>ԱԺՈ</w:t>
            </w:r>
            <w:r w:rsidRPr="0053423A">
              <w:rPr>
                <w:spacing w:val="-4"/>
                <w:sz w:val="20"/>
                <w:szCs w:val="20"/>
                <w:lang w:val="af-ZA"/>
              </w:rPr>
              <w:t>-002-</w:t>
            </w:r>
            <w:r w:rsidRPr="0053423A">
              <w:rPr>
                <w:spacing w:val="-4"/>
                <w:sz w:val="20"/>
                <w:szCs w:val="20"/>
              </w:rPr>
              <w:t>Ն</w:t>
            </w:r>
            <w:r w:rsidRPr="0053423A">
              <w:rPr>
                <w:spacing w:val="-4"/>
                <w:sz w:val="20"/>
                <w:szCs w:val="20"/>
                <w:lang w:val="af-ZA"/>
              </w:rPr>
              <w:t xml:space="preserve"> </w:t>
            </w:r>
            <w:r w:rsidRPr="0053423A">
              <w:rPr>
                <w:spacing w:val="-4"/>
                <w:sz w:val="20"/>
                <w:szCs w:val="20"/>
              </w:rPr>
              <w:t>որոշմամբ</w:t>
            </w:r>
            <w:r w:rsidRPr="0053423A">
              <w:rPr>
                <w:spacing w:val="-4"/>
                <w:sz w:val="20"/>
                <w:szCs w:val="20"/>
                <w:lang w:val="af-ZA"/>
              </w:rPr>
              <w:t xml:space="preserve"> </w:t>
            </w:r>
            <w:r w:rsidRPr="0053423A">
              <w:rPr>
                <w:spacing w:val="-4"/>
                <w:sz w:val="20"/>
                <w:szCs w:val="20"/>
              </w:rPr>
              <w:t>հավանության</w:t>
            </w:r>
            <w:r w:rsidRPr="0053423A">
              <w:rPr>
                <w:spacing w:val="-4"/>
                <w:sz w:val="20"/>
                <w:szCs w:val="20"/>
                <w:lang w:val="af-ZA"/>
              </w:rPr>
              <w:t xml:space="preserve"> </w:t>
            </w:r>
            <w:r w:rsidRPr="0053423A">
              <w:rPr>
                <w:spacing w:val="-4"/>
                <w:sz w:val="20"/>
                <w:szCs w:val="20"/>
              </w:rPr>
              <w:t>արժանացած</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կառավարության</w:t>
            </w:r>
            <w:r w:rsidRPr="0053423A">
              <w:rPr>
                <w:spacing w:val="-4"/>
                <w:sz w:val="20"/>
                <w:szCs w:val="20"/>
                <w:lang w:val="af-ZA"/>
              </w:rPr>
              <w:t xml:space="preserve"> </w:t>
            </w:r>
            <w:r w:rsidRPr="0053423A">
              <w:rPr>
                <w:spacing w:val="-4"/>
                <w:sz w:val="20"/>
                <w:szCs w:val="20"/>
              </w:rPr>
              <w:t>ծրագրի</w:t>
            </w:r>
            <w:r w:rsidRPr="0053423A">
              <w:rPr>
                <w:spacing w:val="-4"/>
                <w:sz w:val="20"/>
                <w:szCs w:val="20"/>
                <w:lang w:val="af-ZA"/>
              </w:rPr>
              <w:t xml:space="preserve"> </w:t>
            </w:r>
            <w:r w:rsidRPr="0053423A">
              <w:rPr>
                <w:rFonts w:eastAsia="Times New Roman" w:cs="Times New Roman"/>
                <w:sz w:val="20"/>
                <w:szCs w:val="20"/>
                <w:lang w:val="af-ZA"/>
              </w:rPr>
              <w:t>«</w:t>
            </w:r>
            <w:r w:rsidRPr="0053423A">
              <w:rPr>
                <w:spacing w:val="-4"/>
                <w:sz w:val="20"/>
                <w:szCs w:val="20"/>
                <w:lang w:val="af-ZA"/>
              </w:rPr>
              <w:t xml:space="preserve">4.4 </w:t>
            </w:r>
            <w:r w:rsidRPr="0053423A">
              <w:rPr>
                <w:spacing w:val="-4"/>
                <w:sz w:val="20"/>
                <w:szCs w:val="20"/>
              </w:rPr>
              <w:t>ԿՐԹՈՒԹՅՈՒՆ</w:t>
            </w:r>
            <w:r w:rsidRPr="0053423A">
              <w:rPr>
                <w:spacing w:val="-4"/>
                <w:sz w:val="20"/>
                <w:szCs w:val="20"/>
                <w:lang w:val="af-ZA"/>
              </w:rPr>
              <w:t xml:space="preserve"> </w:t>
            </w:r>
            <w:r w:rsidRPr="0053423A">
              <w:rPr>
                <w:spacing w:val="-4"/>
                <w:sz w:val="20"/>
                <w:szCs w:val="20"/>
              </w:rPr>
              <w:t>ԵՎ</w:t>
            </w:r>
            <w:r w:rsidRPr="0053423A">
              <w:rPr>
                <w:spacing w:val="-4"/>
                <w:sz w:val="20"/>
                <w:szCs w:val="20"/>
                <w:lang w:val="af-ZA"/>
              </w:rPr>
              <w:t xml:space="preserve"> </w:t>
            </w:r>
            <w:r w:rsidRPr="0053423A">
              <w:rPr>
                <w:spacing w:val="-4"/>
                <w:sz w:val="20"/>
                <w:szCs w:val="20"/>
              </w:rPr>
              <w:t>ԳԻՏՈՒԹՅՈՒՆ</w:t>
            </w:r>
            <w:r w:rsidRPr="0053423A">
              <w:rPr>
                <w:rFonts w:eastAsia="Times New Roman" w:cs="Times New Roman"/>
                <w:sz w:val="20"/>
                <w:szCs w:val="20"/>
                <w:lang w:val="af-ZA"/>
              </w:rPr>
              <w:t xml:space="preserve">»  </w:t>
            </w:r>
            <w:r w:rsidRPr="0053423A">
              <w:rPr>
                <w:rFonts w:eastAsia="Calibri" w:cs="Sylfaen"/>
                <w:sz w:val="20"/>
                <w:szCs w:val="20"/>
                <w:lang w:val="hy-AM"/>
              </w:rPr>
              <w:t>բաժնի</w:t>
            </w:r>
            <w:r w:rsidRPr="0053423A">
              <w:rPr>
                <w:rFonts w:eastAsia="Calibri" w:cs="Sylfaen"/>
                <w:sz w:val="20"/>
                <w:szCs w:val="20"/>
              </w:rPr>
              <w:t xml:space="preserve"> 3-րդ պարբերությունից և </w:t>
            </w:r>
            <w:r w:rsidRPr="0053423A">
              <w:rPr>
                <w:rFonts w:cs="Arian AMU"/>
                <w:sz w:val="20"/>
                <w:szCs w:val="20"/>
                <w:lang w:val="et-EE"/>
              </w:rPr>
              <w:t xml:space="preserve">բարձրագույն կրթության </w:t>
            </w:r>
            <w:r w:rsidRPr="0053423A">
              <w:rPr>
                <w:spacing w:val="-4"/>
                <w:sz w:val="20"/>
                <w:szCs w:val="20"/>
              </w:rPr>
              <w:t xml:space="preserve">ոլորտի 2-րդ  և 3-րդ պարբերություններից: </w:t>
            </w:r>
          </w:p>
          <w:p w:rsidR="00154773" w:rsidRPr="0053423A" w:rsidRDefault="00154773" w:rsidP="00154773">
            <w:pPr>
              <w:tabs>
                <w:tab w:val="left" w:pos="0"/>
                <w:tab w:val="left" w:pos="90"/>
              </w:tabs>
              <w:ind w:firstLine="360"/>
              <w:jc w:val="both"/>
              <w:rPr>
                <w:spacing w:val="-4"/>
                <w:sz w:val="20"/>
                <w:szCs w:val="20"/>
              </w:rPr>
            </w:pPr>
            <w:r w:rsidRPr="0053423A">
              <w:rPr>
                <w:spacing w:val="-4"/>
                <w:sz w:val="20"/>
                <w:szCs w:val="20"/>
              </w:rPr>
              <w:t>Միջոցառման նպատակն է հանդիսանում բարձրագույն կրթության բովանդակային հենքի և կրթական գործընթացի բարելավումը երրորդ աստիճանում /ասպիրանտուրա/:</w:t>
            </w:r>
          </w:p>
          <w:p w:rsidR="00154773" w:rsidRPr="0053423A" w:rsidRDefault="00154773" w:rsidP="00154773">
            <w:pPr>
              <w:tabs>
                <w:tab w:val="left" w:pos="0"/>
                <w:tab w:val="left" w:pos="90"/>
              </w:tabs>
              <w:ind w:firstLine="360"/>
              <w:jc w:val="both"/>
              <w:rPr>
                <w:spacing w:val="-4"/>
                <w:sz w:val="20"/>
                <w:szCs w:val="20"/>
              </w:rPr>
            </w:pPr>
          </w:p>
          <w:p w:rsidR="00154773" w:rsidRPr="0053423A" w:rsidRDefault="00154773" w:rsidP="00154773">
            <w:pPr>
              <w:ind w:left="360" w:firstLine="360"/>
              <w:jc w:val="both"/>
              <w:rPr>
                <w:spacing w:val="-4"/>
                <w:sz w:val="20"/>
                <w:szCs w:val="20"/>
              </w:rPr>
            </w:pPr>
          </w:p>
          <w:p w:rsidR="00154773" w:rsidRPr="0053423A" w:rsidRDefault="00154773" w:rsidP="00154773">
            <w:pPr>
              <w:ind w:left="630"/>
              <w:jc w:val="both"/>
              <w:rPr>
                <w:rFonts w:eastAsia="Times New Roman" w:cs="Arial"/>
                <w:b/>
                <w:sz w:val="20"/>
                <w:szCs w:val="20"/>
                <w:lang w:eastAsia="ru-RU"/>
              </w:rPr>
            </w:pPr>
            <w:r w:rsidRPr="0053423A">
              <w:rPr>
                <w:rFonts w:eastAsia="Times New Roman" w:cs="Arial"/>
                <w:b/>
                <w:sz w:val="20"/>
                <w:szCs w:val="20"/>
                <w:lang w:eastAsia="ru-RU"/>
              </w:rPr>
              <w:t>1.1. Կ</w:t>
            </w:r>
            <w:r w:rsidRPr="0053423A">
              <w:rPr>
                <w:rFonts w:eastAsia="Times New Roman" w:cs="Arial"/>
                <w:b/>
                <w:sz w:val="20"/>
                <w:szCs w:val="20"/>
                <w:lang w:val="hy-AM" w:eastAsia="ru-RU"/>
              </w:rPr>
              <w:t>արգավորման</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հարաբերությունների</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ներկա</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վիճակը</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և</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առկա</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խնդիրները</w:t>
            </w:r>
          </w:p>
          <w:p w:rsidR="00154773" w:rsidRPr="0053423A" w:rsidRDefault="00154773" w:rsidP="00154773">
            <w:pPr>
              <w:ind w:left="360" w:firstLine="360"/>
              <w:jc w:val="both"/>
              <w:rPr>
                <w:spacing w:val="-4"/>
                <w:sz w:val="20"/>
                <w:szCs w:val="20"/>
              </w:rPr>
            </w:pPr>
          </w:p>
          <w:p w:rsidR="00154773" w:rsidRPr="0053423A" w:rsidRDefault="00154773" w:rsidP="00154773">
            <w:pPr>
              <w:ind w:left="540"/>
              <w:jc w:val="both"/>
              <w:rPr>
                <w:rFonts w:eastAsia="Times New Roman" w:cs="Arial"/>
                <w:b/>
                <w:sz w:val="20"/>
                <w:szCs w:val="20"/>
                <w:lang w:eastAsia="ru-RU"/>
              </w:rPr>
            </w:pPr>
          </w:p>
          <w:p w:rsidR="00154773" w:rsidRPr="0053423A" w:rsidRDefault="00154773" w:rsidP="00154773">
            <w:pPr>
              <w:ind w:left="360" w:firstLine="360"/>
              <w:jc w:val="both"/>
              <w:rPr>
                <w:spacing w:val="-4"/>
                <w:sz w:val="20"/>
                <w:szCs w:val="20"/>
              </w:rPr>
            </w:pPr>
            <w:r w:rsidRPr="0053423A">
              <w:rPr>
                <w:spacing w:val="-4"/>
                <w:sz w:val="20"/>
                <w:szCs w:val="20"/>
              </w:rPr>
              <w:t>Ներկայումս առկա չեն անհրաժեշտ իրավական հիմքեր՝ ասպիրանտուրան, որպես բարձրագույն կրթության երրորդ աստիճան ամրագրելու համար: «Բարձրագույն և գիտահետազոտական գործունեության մասին» ՀՀ նոր օրենքի նախագծում ասպիրանտուրան սահմանված է բարձրագույն կրթության երրորդ աստիճան: Սահմանված կարգով այն ընդունվելուց հետո անհրաժեշտություն է առաջանալու մշակել ՀՀ բարձրագույն կրթության  երրորդ աստիճանի /ասպիրանտուրա/ բարեփոխումների հայեցակարգ, որի շրջանակներում հստակեցվելու են երրորդ աստիճանի զարգացման ուղղությունները:</w:t>
            </w:r>
          </w:p>
          <w:p w:rsidR="00154773" w:rsidRPr="0053423A" w:rsidRDefault="00154773" w:rsidP="00154773">
            <w:pPr>
              <w:ind w:left="360" w:firstLine="360"/>
              <w:jc w:val="both"/>
              <w:rPr>
                <w:spacing w:val="-4"/>
                <w:sz w:val="20"/>
                <w:szCs w:val="20"/>
              </w:rPr>
            </w:pPr>
          </w:p>
          <w:p w:rsidR="00154773" w:rsidRPr="0053423A" w:rsidRDefault="00154773" w:rsidP="00154773">
            <w:pPr>
              <w:ind w:left="360" w:firstLine="360"/>
              <w:jc w:val="both"/>
              <w:rPr>
                <w:spacing w:val="-4"/>
                <w:sz w:val="20"/>
                <w:szCs w:val="20"/>
              </w:rPr>
            </w:pPr>
          </w:p>
          <w:p w:rsidR="00154773" w:rsidRPr="0053423A" w:rsidRDefault="00154773" w:rsidP="00154773">
            <w:pPr>
              <w:ind w:left="540"/>
              <w:jc w:val="both"/>
              <w:rPr>
                <w:rFonts w:eastAsia="Times New Roman" w:cs="Arial"/>
                <w:b/>
                <w:sz w:val="20"/>
                <w:szCs w:val="20"/>
                <w:lang w:eastAsia="ru-RU"/>
              </w:rPr>
            </w:pPr>
            <w:r w:rsidRPr="0053423A">
              <w:rPr>
                <w:rFonts w:eastAsia="Times New Roman" w:cs="Arial"/>
                <w:b/>
                <w:sz w:val="20"/>
                <w:szCs w:val="20"/>
                <w:lang w:eastAsia="ru-RU"/>
              </w:rPr>
              <w:t>1.2. Ա</w:t>
            </w:r>
            <w:r w:rsidRPr="0053423A">
              <w:rPr>
                <w:rFonts w:eastAsia="Times New Roman" w:cs="Arial"/>
                <w:b/>
                <w:sz w:val="20"/>
                <w:szCs w:val="20"/>
                <w:lang w:val="hy-AM" w:eastAsia="ru-RU"/>
              </w:rPr>
              <w:t>ռկա</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խնդիրների</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առաջարկվող</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լուծումները</w:t>
            </w:r>
          </w:p>
          <w:p w:rsidR="00154773" w:rsidRPr="0053423A" w:rsidRDefault="00154773" w:rsidP="00154773">
            <w:pPr>
              <w:ind w:left="540"/>
              <w:jc w:val="both"/>
              <w:rPr>
                <w:rFonts w:eastAsia="Times New Roman" w:cs="Arial"/>
                <w:b/>
                <w:sz w:val="20"/>
                <w:szCs w:val="20"/>
                <w:lang w:eastAsia="ru-RU"/>
              </w:rPr>
            </w:pPr>
          </w:p>
          <w:p w:rsidR="00154773" w:rsidRPr="0053423A" w:rsidRDefault="00154773" w:rsidP="00154773">
            <w:pPr>
              <w:ind w:firstLine="270"/>
              <w:contextualSpacing/>
              <w:jc w:val="both"/>
              <w:rPr>
                <w:spacing w:val="-4"/>
                <w:sz w:val="20"/>
                <w:szCs w:val="20"/>
              </w:rPr>
            </w:pPr>
            <w:r w:rsidRPr="0053423A">
              <w:rPr>
                <w:spacing w:val="-4"/>
                <w:sz w:val="20"/>
                <w:szCs w:val="20"/>
              </w:rPr>
              <w:t>ՀՀ բարձրագույն կրթության երրորդ աստիճանի /ասպիրանտուրա/ բարեփոխումների հայեցակարգի մշակումը հնարավորություն է ընձեռելու հստակեցնել ՀՀ բարձրագույն կրթության  երրորդ աստիճանի /ասպիրանտուրա/ բարեփոխումների զարգացման ուղղությունները՝ համապատասխանեցնելով դրանք Եվրոպական բարձրագույն կրթական և հետազոտական տարածքի պահանջներին: Միջոցառման կատարման համար սահմանված համապատասխան ժամկետներում կիրականացվեն հայեցակարգի մշակման աշխատանքներ, մինչ այդ օրենքով կամրագրվեն հայեցակարգի ընդունման համար լիազորող նորմեր:</w:t>
            </w:r>
          </w:p>
          <w:p w:rsidR="00154773" w:rsidRPr="0053423A" w:rsidRDefault="00154773" w:rsidP="00154773">
            <w:pPr>
              <w:ind w:left="360" w:firstLine="360"/>
              <w:jc w:val="both"/>
              <w:rPr>
                <w:spacing w:val="-4"/>
                <w:sz w:val="20"/>
                <w:szCs w:val="20"/>
              </w:rPr>
            </w:pPr>
          </w:p>
          <w:p w:rsidR="00154773" w:rsidRPr="0053423A" w:rsidRDefault="00154773" w:rsidP="00154773">
            <w:pPr>
              <w:ind w:left="540"/>
              <w:jc w:val="both"/>
              <w:rPr>
                <w:rFonts w:eastAsia="Times New Roman" w:cs="Arial"/>
                <w:b/>
                <w:sz w:val="20"/>
                <w:szCs w:val="20"/>
                <w:lang w:eastAsia="ru-RU"/>
              </w:rPr>
            </w:pPr>
          </w:p>
          <w:p w:rsidR="00154773" w:rsidRPr="0053423A" w:rsidRDefault="00154773" w:rsidP="00154773">
            <w:pPr>
              <w:tabs>
                <w:tab w:val="left" w:pos="318"/>
              </w:tabs>
              <w:ind w:left="450"/>
              <w:jc w:val="both"/>
              <w:rPr>
                <w:rFonts w:cs="Arial"/>
                <w:b/>
                <w:sz w:val="20"/>
                <w:szCs w:val="20"/>
              </w:rPr>
            </w:pPr>
            <w:r w:rsidRPr="0053423A">
              <w:rPr>
                <w:rFonts w:cs="Arial"/>
                <w:b/>
                <w:sz w:val="20"/>
                <w:szCs w:val="20"/>
                <w:lang w:val="hy-AM"/>
              </w:rPr>
              <w:t>Միջոցառման</w:t>
            </w:r>
            <w:r w:rsidRPr="0053423A">
              <w:rPr>
                <w:rFonts w:cs="Arial Armenian"/>
                <w:b/>
                <w:sz w:val="20"/>
                <w:szCs w:val="20"/>
                <w:lang w:val="hy-AM"/>
              </w:rPr>
              <w:t xml:space="preserve"> </w:t>
            </w:r>
            <w:r w:rsidRPr="0053423A">
              <w:rPr>
                <w:rFonts w:cs="Arial"/>
                <w:b/>
                <w:sz w:val="20"/>
                <w:szCs w:val="20"/>
                <w:lang w:val="hy-AM"/>
              </w:rPr>
              <w:t>իրականացումից</w:t>
            </w:r>
            <w:r w:rsidRPr="0053423A">
              <w:rPr>
                <w:rFonts w:cs="Arial Armenian"/>
                <w:b/>
                <w:sz w:val="20"/>
                <w:szCs w:val="20"/>
                <w:lang w:val="hy-AM"/>
              </w:rPr>
              <w:t xml:space="preserve"> </w:t>
            </w:r>
            <w:r w:rsidRPr="0053423A">
              <w:rPr>
                <w:rFonts w:cs="Arial"/>
                <w:b/>
                <w:sz w:val="20"/>
                <w:szCs w:val="20"/>
                <w:lang w:val="hy-AM"/>
              </w:rPr>
              <w:t>ակնկալվող</w:t>
            </w:r>
            <w:r w:rsidRPr="0053423A">
              <w:rPr>
                <w:rFonts w:cs="Arial Armenian"/>
                <w:b/>
                <w:sz w:val="20"/>
                <w:szCs w:val="20"/>
                <w:lang w:val="hy-AM"/>
              </w:rPr>
              <w:t xml:space="preserve"> </w:t>
            </w:r>
            <w:r w:rsidRPr="0053423A">
              <w:rPr>
                <w:rFonts w:cs="Arial"/>
                <w:b/>
                <w:sz w:val="20"/>
                <w:szCs w:val="20"/>
                <w:lang w:val="hy-AM"/>
              </w:rPr>
              <w:t>արդյունքը</w:t>
            </w:r>
          </w:p>
          <w:p w:rsidR="00154773" w:rsidRPr="0053423A" w:rsidRDefault="00154773" w:rsidP="00154773">
            <w:pPr>
              <w:tabs>
                <w:tab w:val="left" w:pos="318"/>
              </w:tabs>
              <w:ind w:left="450"/>
              <w:jc w:val="both"/>
              <w:rPr>
                <w:rFonts w:cs="Arial"/>
                <w:b/>
                <w:sz w:val="20"/>
                <w:szCs w:val="20"/>
              </w:rPr>
            </w:pPr>
          </w:p>
          <w:p w:rsidR="00154773" w:rsidRPr="0053423A" w:rsidRDefault="00154773" w:rsidP="00154773">
            <w:pPr>
              <w:jc w:val="center"/>
              <w:rPr>
                <w:rFonts w:eastAsia="Times New Roman" w:cs="Times New Roman"/>
                <w:b/>
                <w:sz w:val="20"/>
                <w:szCs w:val="20"/>
                <w:lang w:val="hy-AM"/>
              </w:rPr>
            </w:pPr>
            <w:r w:rsidRPr="0053423A">
              <w:rPr>
                <w:spacing w:val="-4"/>
                <w:sz w:val="20"/>
                <w:szCs w:val="20"/>
              </w:rPr>
              <w:t>ՀՀ բարձրագույն կրթության  երրորդ աստիճանի /ասպիրանտուրա/ բարեփոխումների հայեցակարգի մշակման արդյունքում հստակեցվելու են ՀՀ բարձրագույն կրթության  երրորդ աստիճանի /ասպիրանտուրա/ բարեփոխումների զարգացման ուղղությունները:</w:t>
            </w:r>
          </w:p>
        </w:tc>
      </w:tr>
      <w:tr w:rsidR="00154773" w:rsidRPr="0053423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11</w:t>
            </w:r>
          </w:p>
        </w:tc>
        <w:tc>
          <w:tcPr>
            <w:tcW w:w="10620" w:type="dxa"/>
          </w:tcPr>
          <w:p w:rsidR="00154773" w:rsidRPr="0053423A" w:rsidRDefault="00154773" w:rsidP="00154773">
            <w:pPr>
              <w:ind w:firstLine="720"/>
              <w:jc w:val="both"/>
              <w:rPr>
                <w:rFonts w:eastAsia="Times New Roman" w:cs="Times New Roman"/>
                <w:b/>
                <w:sz w:val="20"/>
                <w:szCs w:val="20"/>
                <w:u w:val="single"/>
                <w:lang w:val="af-ZA"/>
              </w:rPr>
            </w:pPr>
            <w:r w:rsidRPr="0053423A">
              <w:rPr>
                <w:rFonts w:eastAsia="Times New Roman" w:cs="Times New Roman"/>
                <w:b/>
                <w:sz w:val="20"/>
                <w:szCs w:val="20"/>
                <w:u w:val="single"/>
                <w:lang w:val="af-ZA"/>
              </w:rPr>
              <w:t>11</w:t>
            </w:r>
            <w:r w:rsidRPr="0053423A">
              <w:rPr>
                <w:rFonts w:eastAsia="Times New Roman" w:cs="Times New Roman"/>
                <w:b/>
                <w:sz w:val="20"/>
                <w:szCs w:val="20"/>
                <w:u w:val="single"/>
                <w:lang w:val="hy-AM"/>
              </w:rPr>
              <w:t>.1 Պետության համար միջազգայնացման թիրախային ուղղությունների և նպատակների սահմանմամբ, համապատասխան միջավայրի ձևավորմանը նպաստող ՀՀ բարձրագույն կրթության միջազգայնացման ազգային ռազմավարության մշակում</w:t>
            </w:r>
          </w:p>
          <w:p w:rsidR="00154773" w:rsidRPr="0053423A" w:rsidRDefault="00154773" w:rsidP="00154773">
            <w:pPr>
              <w:ind w:firstLine="720"/>
              <w:rPr>
                <w:b/>
                <w:sz w:val="20"/>
                <w:szCs w:val="20"/>
                <w:lang w:val="af-ZA" w:eastAsia="ru-RU"/>
              </w:rPr>
            </w:pPr>
          </w:p>
          <w:p w:rsidR="00154773" w:rsidRPr="0053423A" w:rsidRDefault="00154773" w:rsidP="001F6D5D">
            <w:pPr>
              <w:numPr>
                <w:ilvl w:val="0"/>
                <w:numId w:val="457"/>
              </w:numPr>
              <w:contextualSpacing/>
              <w:jc w:val="both"/>
              <w:rPr>
                <w:rFonts w:eastAsia="Times New Roman" w:cs="Times New Roman"/>
                <w:b/>
                <w:sz w:val="20"/>
                <w:szCs w:val="20"/>
              </w:rPr>
            </w:pPr>
            <w:r w:rsidRPr="0053423A">
              <w:rPr>
                <w:rFonts w:eastAsia="Times New Roman" w:cs="Times New Roman"/>
                <w:b/>
                <w:sz w:val="20"/>
                <w:szCs w:val="20"/>
                <w:lang w:val="hy-AM"/>
              </w:rPr>
              <w:t xml:space="preserve">Միջոցառման իրականացման անհրաժեշտությունը և նպատակը </w:t>
            </w:r>
          </w:p>
          <w:p w:rsidR="00154773" w:rsidRPr="0053423A" w:rsidRDefault="00154773" w:rsidP="00154773">
            <w:pPr>
              <w:ind w:left="735"/>
              <w:contextualSpacing/>
              <w:jc w:val="both"/>
              <w:rPr>
                <w:rFonts w:eastAsia="Times New Roman" w:cs="Times New Roman"/>
                <w:b/>
                <w:sz w:val="20"/>
                <w:szCs w:val="20"/>
              </w:rPr>
            </w:pPr>
          </w:p>
          <w:p w:rsidR="00154773" w:rsidRPr="0053423A" w:rsidRDefault="00154773" w:rsidP="00154773">
            <w:pPr>
              <w:ind w:firstLine="284"/>
              <w:contextualSpacing/>
              <w:jc w:val="both"/>
              <w:rPr>
                <w:spacing w:val="-4"/>
                <w:sz w:val="20"/>
                <w:szCs w:val="20"/>
              </w:rPr>
            </w:pPr>
            <w:r w:rsidRPr="0053423A">
              <w:rPr>
                <w:spacing w:val="-4"/>
                <w:sz w:val="20"/>
                <w:szCs w:val="20"/>
              </w:rPr>
              <w:t>Միջոցառման գլխավոր նպատակն է կրթական ծրագրերի արդիականացումը՝ ուղղված տնտեսության և աշխատաշուկայի փոփոխվող պահանջներին:</w:t>
            </w:r>
          </w:p>
          <w:p w:rsidR="00154773" w:rsidRPr="0053423A" w:rsidRDefault="00154773" w:rsidP="00154773">
            <w:pPr>
              <w:ind w:firstLine="270"/>
              <w:contextualSpacing/>
              <w:jc w:val="both"/>
              <w:rPr>
                <w:rFonts w:eastAsia="Times New Roman" w:cs="Times New Roman"/>
                <w:sz w:val="20"/>
                <w:szCs w:val="20"/>
              </w:rPr>
            </w:pPr>
            <w:r w:rsidRPr="0053423A">
              <w:rPr>
                <w:spacing w:val="-4"/>
                <w:sz w:val="20"/>
                <w:szCs w:val="20"/>
              </w:rPr>
              <w:t xml:space="preserve">Միջոցառումների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rPr>
              <w:t>«</w:t>
            </w:r>
            <w:r w:rsidRPr="0053423A">
              <w:rPr>
                <w:spacing w:val="-4"/>
                <w:sz w:val="20"/>
                <w:szCs w:val="20"/>
              </w:rPr>
              <w:t>4.4 ԿՐԹՈՒԹՅՈՒՆ ԵՎ ԳԻՏՈՒԹՅՈՒՆ</w:t>
            </w:r>
            <w:r w:rsidRPr="0053423A">
              <w:rPr>
                <w:rFonts w:eastAsia="Times New Roman" w:cs="Times New Roman"/>
                <w:sz w:val="20"/>
                <w:szCs w:val="20"/>
              </w:rPr>
              <w:t xml:space="preserve">»  </w:t>
            </w:r>
            <w:r w:rsidRPr="0053423A">
              <w:rPr>
                <w:rFonts w:eastAsia="Calibri" w:cs="Sylfaen"/>
                <w:sz w:val="20"/>
                <w:szCs w:val="20"/>
                <w:lang w:val="hy-AM"/>
              </w:rPr>
              <w:t>բաժնի</w:t>
            </w:r>
            <w:r w:rsidRPr="0053423A">
              <w:rPr>
                <w:rFonts w:eastAsia="Calibri" w:cs="Sylfaen"/>
                <w:sz w:val="20"/>
                <w:szCs w:val="20"/>
              </w:rPr>
              <w:t xml:space="preserve"> </w:t>
            </w:r>
            <w:r w:rsidRPr="0053423A">
              <w:rPr>
                <w:rFonts w:eastAsia="Times New Roman" w:cs="Times New Roman"/>
                <w:sz w:val="20"/>
                <w:szCs w:val="20"/>
              </w:rPr>
              <w:t>բարձրագույն  կրթության ոլորտի 5-րդ պարբերությունից:</w:t>
            </w:r>
          </w:p>
          <w:p w:rsidR="00154773" w:rsidRPr="0053423A" w:rsidRDefault="00154773" w:rsidP="00154773">
            <w:pPr>
              <w:ind w:firstLine="284"/>
              <w:contextualSpacing/>
              <w:jc w:val="both"/>
              <w:rPr>
                <w:spacing w:val="-4"/>
                <w:sz w:val="20"/>
                <w:szCs w:val="20"/>
              </w:rPr>
            </w:pPr>
            <w:r w:rsidRPr="0053423A">
              <w:rPr>
                <w:spacing w:val="-4"/>
                <w:sz w:val="20"/>
                <w:szCs w:val="20"/>
              </w:rPr>
              <w:t xml:space="preserve">Միջոցառման նպատակն է նպաստել Հայաստանի բարձրագույն կրթական և հետազոտության համակարգի ճանաչման ու մրցունակության բարձրացմանը` բուհական կառուցվածքային ու մշակութային բաղադրիչներում միջազգայնացման զարգացման և ինտեգրման միջոցով: </w:t>
            </w:r>
          </w:p>
          <w:p w:rsidR="00154773" w:rsidRPr="0053423A" w:rsidRDefault="00154773" w:rsidP="00154773">
            <w:pPr>
              <w:ind w:firstLine="284"/>
              <w:contextualSpacing/>
              <w:jc w:val="both"/>
              <w:rPr>
                <w:spacing w:val="-4"/>
                <w:sz w:val="20"/>
                <w:szCs w:val="20"/>
              </w:rPr>
            </w:pPr>
          </w:p>
          <w:p w:rsidR="00154773" w:rsidRPr="0053423A" w:rsidRDefault="00154773" w:rsidP="001F6D5D">
            <w:pPr>
              <w:numPr>
                <w:ilvl w:val="1"/>
                <w:numId w:val="457"/>
              </w:numPr>
              <w:contextualSpacing/>
              <w:jc w:val="both"/>
              <w:rPr>
                <w:rFonts w:eastAsia="Times New Roman" w:cs="Times New Roman"/>
                <w:b/>
                <w:sz w:val="20"/>
                <w:szCs w:val="20"/>
              </w:rPr>
            </w:pPr>
            <w:r w:rsidRPr="0053423A">
              <w:rPr>
                <w:rFonts w:eastAsia="Times New Roman" w:cs="Times New Roman"/>
                <w:b/>
                <w:sz w:val="20"/>
                <w:szCs w:val="20"/>
                <w:lang w:val="hy-AM"/>
              </w:rPr>
              <w:t>կարգավորման հարաբերությունների ներկա վիճակը և առկա խնդիրները</w:t>
            </w:r>
            <w:r w:rsidRPr="0053423A">
              <w:rPr>
                <w:rFonts w:eastAsia="Times New Roman" w:cs="Times New Roman"/>
                <w:b/>
                <w:sz w:val="20"/>
                <w:szCs w:val="20"/>
              </w:rPr>
              <w:t xml:space="preserve"> </w:t>
            </w:r>
          </w:p>
          <w:p w:rsidR="00154773" w:rsidRPr="0053423A" w:rsidRDefault="00154773" w:rsidP="00154773">
            <w:pPr>
              <w:ind w:left="735"/>
              <w:contextualSpacing/>
              <w:jc w:val="both"/>
              <w:rPr>
                <w:rFonts w:eastAsia="Times New Roman" w:cs="Times New Roman"/>
                <w:b/>
                <w:sz w:val="20"/>
                <w:szCs w:val="20"/>
              </w:rPr>
            </w:pPr>
          </w:p>
          <w:p w:rsidR="00154773" w:rsidRPr="0053423A" w:rsidRDefault="00154773" w:rsidP="00154773">
            <w:pPr>
              <w:ind w:firstLine="700"/>
              <w:jc w:val="both"/>
              <w:rPr>
                <w:rFonts w:eastAsia="Cambria" w:cs="Cambria"/>
                <w:sz w:val="20"/>
                <w:szCs w:val="20"/>
                <w:lang w:val="hy-AM" w:eastAsia="ru-RU"/>
              </w:rPr>
            </w:pPr>
            <w:r w:rsidRPr="0053423A">
              <w:rPr>
                <w:rFonts w:eastAsia="Cambria" w:cs="Cambria"/>
                <w:sz w:val="20"/>
                <w:szCs w:val="20"/>
                <w:lang w:val="hy-AM" w:eastAsia="ru-RU"/>
              </w:rPr>
              <w:t>Հայաստանի Հանրապետության բարձրագույն կրթության միջազգայնացումը առանց որակյալ բարձրագույն կրթության ծրագրերի և միջազգայնորեն մրցունակ հետազոտական միջավայրի առկայության ներկայումս անհնար է դիտարկել: Այսօր ՀՀ բուհերը կանգնած են լուրջ մարտահրավերների առջև կրթությունը և հետազոտությունը միջազգայնացման նոր մակարդակի բարձրացնելու, նորարարական և ստեղծագործ մոտեցումներ ցուցաբերելու, ենթակառուցվածքները բարելավելու, տեղեկատվական տեխնոլոգիաների կիրառումը և նորարարությունները խթանելու ուղղությամբ, որոնք միջազգայնացման կարևոր նախապայմաններից են: Միաժամանակ անհրաժեշտ է նշել, որ բացի վերոհիշյալ հանգամանքներից, ներկայումս օտարերկրյա ուսանողների կողմից Հայաստանի Հանրապետությունում  ուսումնառելու ոչ բավարար հետաքրքրվածությունը պայմանավորված է նաև պետությունում օտարերկրյա ուսանողների համար ոչ բարենպաստ պայմաններով, այն է՝ հանրակացարանների բացակայություն, կրթաթոշակների անհամապատասխանելիություն ՀՀ շուկայական գներին, ուսանողական արտոնությունների համակարգի բացակայություն, օտար լեզվով կրթության կազմակերպման ոչ բավարար հնարավորություններ, մարքեթինգի բացակայություն և այլն:</w:t>
            </w:r>
          </w:p>
          <w:p w:rsidR="00154773" w:rsidRPr="0053423A" w:rsidRDefault="00154773" w:rsidP="00154773">
            <w:pPr>
              <w:ind w:firstLine="375"/>
              <w:jc w:val="both"/>
              <w:rPr>
                <w:rFonts w:eastAsia="Cambria" w:cs="Cambria"/>
                <w:sz w:val="20"/>
                <w:szCs w:val="20"/>
                <w:lang w:val="hy-AM"/>
              </w:rPr>
            </w:pPr>
            <w:r w:rsidRPr="0053423A">
              <w:rPr>
                <w:rFonts w:eastAsia="Cambria" w:cs="Cambria"/>
                <w:sz w:val="20"/>
                <w:szCs w:val="20"/>
                <w:lang w:val="hy-AM"/>
              </w:rPr>
              <w:tab/>
              <w:t xml:space="preserve"> Բոլոնյան գործընթացին միանալուց հետո Հայաստանի բարձրագույն ուսումնական հաստատություններն առաջընթաց ապահովելու հարցում հայտնվեցին անորոշ վիճակում՝ ազգային մակարդակով համապատասխան նպատակներ սահմանած չլինելու պատճառով: Նոր միջավայրը պարտադրեց ունենալ նոր հմտություններ և կարողություններ` ինստիտուցիոնալ մակարդակում միջազգայնացման խնդիրները լուծելու համար: Միևնույն ժամանակ, ինստիտուցիոնալ մակարդակում անհրաժեշտ են նաև բավարար հմտություններ ու կարողություններ՝ միջազգայնացումը պատշաճ մակարդակով համակարգելու համար: </w:t>
            </w:r>
          </w:p>
          <w:p w:rsidR="00154773" w:rsidRPr="0053423A" w:rsidRDefault="00154773" w:rsidP="00154773">
            <w:pPr>
              <w:ind w:firstLine="375"/>
              <w:jc w:val="both"/>
              <w:rPr>
                <w:rFonts w:eastAsia="Cambria" w:cs="Cambria"/>
                <w:sz w:val="20"/>
                <w:szCs w:val="20"/>
                <w:lang w:val="hy-AM"/>
              </w:rPr>
            </w:pPr>
            <w:r w:rsidRPr="0053423A">
              <w:rPr>
                <w:rFonts w:eastAsia="Cambria" w:cs="Cambria"/>
                <w:sz w:val="20"/>
                <w:szCs w:val="20"/>
                <w:lang w:val="hy-AM"/>
              </w:rPr>
              <w:t>Կրթական ծրագրերի բովանդակության տարբերությունները, միջազգայնացման վերաբերյալ գիտելիքի և հմտությունների պակասը, մարքեթինգի և մշակութային մարտահրավերները, այսօր ծառացել են բուհերի առջև: Վերջիններիս միջազգայնացումը խթանելու, տեսանելիությունը և գրավչությունը բարձրացնելու նպատակով պահանջվում է պետության կողմից ազգային մակարդակում համապարփակ և ռազմավարական մոտեցում:</w:t>
            </w:r>
          </w:p>
          <w:p w:rsidR="00154773" w:rsidRPr="0053423A" w:rsidRDefault="00154773" w:rsidP="00154773">
            <w:pPr>
              <w:ind w:firstLine="700"/>
              <w:jc w:val="both"/>
              <w:rPr>
                <w:rFonts w:eastAsia="Cambria" w:cs="Cambria"/>
                <w:sz w:val="20"/>
                <w:szCs w:val="20"/>
                <w:lang w:val="hy-AM" w:eastAsia="ru-RU"/>
              </w:rPr>
            </w:pPr>
            <w:r w:rsidRPr="0053423A">
              <w:rPr>
                <w:rFonts w:eastAsia="Cambria" w:cs="Cambria"/>
                <w:sz w:val="20"/>
                <w:szCs w:val="20"/>
                <w:lang w:val="hy-AM" w:eastAsia="ru-RU"/>
              </w:rPr>
              <w:t>Ուստի, ՀՀ-ում բարձրագույն կրթության և հետազոտության գրավչության բարձրացման նպատակով անհրաժեշտ է իրականացնել համալիր միջոցառումներ ինչպես իրավական հենքի բարելավման ուղղությամբ, այնպես էլ՝ ֆինանսական ներդրումների ավելացման և մարդկային ներուժի զարգացման ուղղությամբ:</w:t>
            </w:r>
          </w:p>
          <w:p w:rsidR="00154773" w:rsidRPr="0053423A" w:rsidRDefault="00154773" w:rsidP="00154773">
            <w:pPr>
              <w:ind w:firstLine="700"/>
              <w:jc w:val="both"/>
              <w:rPr>
                <w:rFonts w:eastAsia="Cambria" w:cs="Cambria"/>
                <w:sz w:val="20"/>
                <w:szCs w:val="20"/>
                <w:lang w:val="hy-AM" w:eastAsia="ru-RU"/>
              </w:rPr>
            </w:pPr>
          </w:p>
          <w:p w:rsidR="00154773" w:rsidRPr="0053423A" w:rsidRDefault="00154773" w:rsidP="001F6D5D">
            <w:pPr>
              <w:numPr>
                <w:ilvl w:val="1"/>
                <w:numId w:val="457"/>
              </w:numPr>
              <w:contextualSpacing/>
              <w:jc w:val="both"/>
              <w:rPr>
                <w:rFonts w:eastAsia="Times New Roman" w:cs="Times New Roman"/>
                <w:b/>
                <w:sz w:val="20"/>
                <w:szCs w:val="20"/>
              </w:rPr>
            </w:pPr>
            <w:r w:rsidRPr="0053423A">
              <w:rPr>
                <w:rFonts w:eastAsia="Times New Roman" w:cs="Times New Roman"/>
                <w:b/>
                <w:sz w:val="20"/>
                <w:szCs w:val="20"/>
                <w:lang w:val="hy-AM"/>
              </w:rPr>
              <w:t>առկա խնդիրների առաջարկվող լուծումները</w:t>
            </w:r>
            <w:r w:rsidRPr="0053423A">
              <w:rPr>
                <w:rFonts w:eastAsia="Times New Roman" w:cs="Times New Roman"/>
                <w:b/>
                <w:sz w:val="20"/>
                <w:szCs w:val="20"/>
              </w:rPr>
              <w:t xml:space="preserve"> </w:t>
            </w:r>
          </w:p>
          <w:p w:rsidR="00154773" w:rsidRPr="0053423A" w:rsidRDefault="00154773" w:rsidP="00154773">
            <w:pPr>
              <w:ind w:left="735"/>
              <w:contextualSpacing/>
              <w:jc w:val="both"/>
              <w:rPr>
                <w:rFonts w:eastAsia="Times New Roman" w:cs="Times New Roman"/>
                <w:b/>
                <w:sz w:val="20"/>
                <w:szCs w:val="20"/>
              </w:rPr>
            </w:pPr>
          </w:p>
          <w:p w:rsidR="00154773" w:rsidRPr="0053423A" w:rsidRDefault="00154773" w:rsidP="00154773">
            <w:pPr>
              <w:ind w:firstLine="375"/>
              <w:jc w:val="both"/>
              <w:rPr>
                <w:rFonts w:eastAsia="Cambria" w:cs="Cambria"/>
                <w:sz w:val="20"/>
                <w:szCs w:val="20"/>
                <w:lang w:val="hy-AM"/>
              </w:rPr>
            </w:pPr>
            <w:r w:rsidRPr="0053423A">
              <w:rPr>
                <w:rFonts w:eastAsia="Cambria" w:cs="Cambria"/>
                <w:sz w:val="20"/>
                <w:szCs w:val="20"/>
                <w:lang w:val="hy-AM"/>
              </w:rPr>
              <w:t>Բարձրագույն կրթության միջազգայնացումը խթանելու համար անհրաժեշտ է ունենալ համապատասխան բարենպաստ միջավայր, որը ներառում է ինչպես ֆինանսական ապահովվածությունը և մարդկային ռեսուրսների արդյունավետ ներդնումը, այնպես էլ՝ իրավական կարգավորումները, միջազգայնացման ոլորտում սահմանված ռազմավարությունը և համապատասխան կառուցակարգերը:</w:t>
            </w:r>
          </w:p>
          <w:p w:rsidR="00154773" w:rsidRPr="0053423A" w:rsidRDefault="00154773" w:rsidP="00154773">
            <w:pPr>
              <w:ind w:firstLine="375"/>
              <w:jc w:val="both"/>
              <w:rPr>
                <w:rFonts w:eastAsia="Cambria" w:cs="Cambria"/>
                <w:sz w:val="20"/>
                <w:szCs w:val="20"/>
                <w:lang w:val="hy-AM"/>
              </w:rPr>
            </w:pPr>
            <w:r w:rsidRPr="0053423A">
              <w:rPr>
                <w:rFonts w:eastAsia="Cambria" w:cs="Cambria"/>
                <w:sz w:val="20"/>
                <w:szCs w:val="20"/>
                <w:lang w:val="hy-AM"/>
              </w:rPr>
              <w:t>Մասնավորապես, միջազգայնացման ռազմավարության մշակումը կարևոր է այն առումով, որ պետք է վերհանվեն առկա խոչընդոտները և արգելքները, սահմանվեն պետության համար միջազգայնացման թիրախային ուղղությունները և գործընթացները, նկատի ունենալով հետևյալ սկզբունքները` թափանցիկություն, ներգրավվածություն, կայունություն և նպատակայնություն:</w:t>
            </w:r>
          </w:p>
          <w:p w:rsidR="00154773" w:rsidRPr="0053423A" w:rsidRDefault="00154773" w:rsidP="00154773">
            <w:pPr>
              <w:ind w:firstLine="375"/>
              <w:jc w:val="both"/>
              <w:rPr>
                <w:rFonts w:eastAsia="Cambria" w:cs="Cambria"/>
                <w:sz w:val="20"/>
                <w:szCs w:val="20"/>
                <w:lang w:val="hy-AM"/>
              </w:rPr>
            </w:pPr>
            <w:r w:rsidRPr="0053423A">
              <w:rPr>
                <w:rFonts w:eastAsia="Cambria" w:cs="Cambria"/>
                <w:sz w:val="20"/>
                <w:szCs w:val="20"/>
                <w:lang w:val="hy-AM"/>
              </w:rPr>
              <w:t>Միջոցառման կատարման համար սահմանված համապատասխան ժամկետներում կիրականացվեն ռազմավարության մշակման աշխատանքներ, մինչ այդ օրենքով կամրագրվեն ռազմավարության ընդունման համար լիազորող նորմեր:</w:t>
            </w:r>
          </w:p>
          <w:p w:rsidR="00154773" w:rsidRPr="0053423A" w:rsidRDefault="00154773" w:rsidP="00154773">
            <w:pPr>
              <w:ind w:firstLine="375"/>
              <w:jc w:val="both"/>
              <w:rPr>
                <w:rFonts w:eastAsia="Cambria" w:cs="Cambria"/>
                <w:sz w:val="20"/>
                <w:szCs w:val="20"/>
                <w:lang w:val="hy-AM"/>
              </w:rPr>
            </w:pPr>
          </w:p>
          <w:p w:rsidR="00154773" w:rsidRPr="0053423A" w:rsidRDefault="00154773" w:rsidP="001F6D5D">
            <w:pPr>
              <w:numPr>
                <w:ilvl w:val="0"/>
                <w:numId w:val="457"/>
              </w:numPr>
              <w:contextualSpacing/>
              <w:jc w:val="both"/>
              <w:rPr>
                <w:rFonts w:eastAsia="Times New Roman" w:cs="Times New Roman"/>
                <w:b/>
                <w:sz w:val="20"/>
                <w:szCs w:val="20"/>
              </w:rPr>
            </w:pPr>
            <w:r w:rsidRPr="0053423A">
              <w:rPr>
                <w:rFonts w:eastAsia="Times New Roman" w:cs="Times New Roman"/>
                <w:b/>
                <w:sz w:val="20"/>
                <w:szCs w:val="20"/>
                <w:lang w:val="hy-AM"/>
              </w:rPr>
              <w:t>Միջոցառման իրականացումից ակնկալվող արդյունքը</w:t>
            </w:r>
          </w:p>
          <w:p w:rsidR="00154773" w:rsidRPr="0053423A" w:rsidRDefault="00154773" w:rsidP="00154773">
            <w:pPr>
              <w:ind w:left="735"/>
              <w:contextualSpacing/>
              <w:jc w:val="both"/>
              <w:rPr>
                <w:rFonts w:eastAsia="Times New Roman" w:cs="Times New Roman"/>
                <w:b/>
                <w:sz w:val="20"/>
                <w:szCs w:val="20"/>
              </w:rPr>
            </w:pPr>
          </w:p>
          <w:p w:rsidR="00154773" w:rsidRPr="0053423A" w:rsidRDefault="00154773" w:rsidP="00154773">
            <w:pPr>
              <w:jc w:val="center"/>
              <w:rPr>
                <w:rFonts w:eastAsia="Times New Roman" w:cs="Times New Roman"/>
                <w:b/>
                <w:sz w:val="20"/>
                <w:szCs w:val="20"/>
                <w:lang w:val="hy-AM"/>
              </w:rPr>
            </w:pPr>
            <w:r w:rsidRPr="0053423A">
              <w:rPr>
                <w:rFonts w:eastAsia="Cambria" w:cs="Cambria"/>
                <w:sz w:val="20"/>
                <w:szCs w:val="20"/>
                <w:lang w:val="hy-AM"/>
              </w:rPr>
              <w:t>Միջոցառման իրականացմամբ կսահմանվեն պետության համար միջազգայնացման թիրախային ուղղությունները և գործընթացները, դրանց հասնելու միջոցները ու հնարավոր ֆինանսական ռեսուրսները, որի արդյունքում ակնկալվում է</w:t>
            </w:r>
            <w:r w:rsidRPr="0053423A">
              <w:rPr>
                <w:rFonts w:eastAsia="Cambria" w:cs="Cambria"/>
                <w:sz w:val="20"/>
                <w:szCs w:val="20"/>
              </w:rPr>
              <w:t xml:space="preserve"> </w:t>
            </w:r>
            <w:r w:rsidRPr="0053423A">
              <w:rPr>
                <w:rFonts w:eastAsia="Cambria" w:cs="Cambria"/>
                <w:sz w:val="20"/>
                <w:szCs w:val="20"/>
                <w:lang w:val="hy-AM"/>
              </w:rPr>
              <w:t>բարձրագույն կրթության և հետազոտության միջազգայնացմանը նպաստող միջավայրի ձևավորում,</w:t>
            </w:r>
            <w:r w:rsidRPr="0053423A">
              <w:rPr>
                <w:rFonts w:eastAsia="Cambria" w:cs="Cambria"/>
                <w:sz w:val="20"/>
                <w:szCs w:val="20"/>
              </w:rPr>
              <w:t xml:space="preserve"> </w:t>
            </w:r>
            <w:r w:rsidRPr="0053423A">
              <w:rPr>
                <w:rFonts w:eastAsia="Cambria" w:cs="Cambria"/>
                <w:sz w:val="20"/>
                <w:szCs w:val="20"/>
                <w:lang w:val="hy-AM"/>
              </w:rPr>
              <w:t>միջազգային մակարդակում բարձրագույն կրթական ծրագրերի և հետազոտության մրցունակության խթանում</w:t>
            </w:r>
            <w:r w:rsidRPr="0053423A">
              <w:rPr>
                <w:rFonts w:eastAsia="Cambria" w:cs="Cambria"/>
                <w:sz w:val="20"/>
                <w:szCs w:val="20"/>
              </w:rPr>
              <w:t>:</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ind w:left="90"/>
              <w:jc w:val="center"/>
              <w:rPr>
                <w:rFonts w:cs="Sylfaen"/>
                <w:b/>
                <w:sz w:val="20"/>
                <w:szCs w:val="20"/>
                <w:u w:val="single"/>
                <w:lang w:val="hy-AM"/>
              </w:rPr>
            </w:pPr>
            <w:r w:rsidRPr="0053423A">
              <w:rPr>
                <w:rFonts w:eastAsia="Times New Roman" w:cs="Times New Roman"/>
                <w:b/>
                <w:sz w:val="20"/>
                <w:szCs w:val="20"/>
                <w:u w:val="single"/>
                <w:lang w:val="hy-AM"/>
              </w:rPr>
              <w:t>11.2  Բարձրագույն կրթության միջազգայնացման ազգային հարթակի ստեղծում, միջազգայնացման ցուցիչների և գործիքակազմի մշակում</w:t>
            </w:r>
          </w:p>
          <w:p w:rsidR="00154773" w:rsidRPr="0053423A" w:rsidRDefault="00154773" w:rsidP="00154773">
            <w:pPr>
              <w:ind w:left="90"/>
              <w:rPr>
                <w:rFonts w:cs="Sylfaen"/>
                <w:b/>
                <w:sz w:val="20"/>
                <w:szCs w:val="20"/>
                <w:u w:val="single"/>
                <w:lang w:val="hy-AM"/>
              </w:rPr>
            </w:pPr>
          </w:p>
          <w:p w:rsidR="00154773" w:rsidRPr="0053423A" w:rsidRDefault="00154773" w:rsidP="001F6D5D">
            <w:pPr>
              <w:numPr>
                <w:ilvl w:val="0"/>
                <w:numId w:val="484"/>
              </w:numPr>
              <w:contextualSpacing/>
              <w:jc w:val="both"/>
              <w:rPr>
                <w:rFonts w:eastAsia="Times New Roman" w:cs="Times New Roman"/>
                <w:b/>
                <w:sz w:val="20"/>
                <w:szCs w:val="20"/>
              </w:rPr>
            </w:pPr>
            <w:r w:rsidRPr="0053423A">
              <w:rPr>
                <w:rFonts w:eastAsia="Times New Roman" w:cs="Times New Roman"/>
                <w:b/>
                <w:sz w:val="20"/>
                <w:szCs w:val="20"/>
                <w:lang w:val="hy-AM"/>
              </w:rPr>
              <w:t xml:space="preserve">Միջոցառման իրականացման անհրաժեշտությունը և նպատակը </w:t>
            </w:r>
          </w:p>
          <w:p w:rsidR="00154773" w:rsidRPr="0053423A" w:rsidRDefault="00154773" w:rsidP="00154773">
            <w:pPr>
              <w:ind w:left="735"/>
              <w:contextualSpacing/>
              <w:jc w:val="both"/>
              <w:rPr>
                <w:rFonts w:eastAsia="Times New Roman" w:cs="Times New Roman"/>
                <w:b/>
                <w:sz w:val="20"/>
                <w:szCs w:val="20"/>
              </w:rPr>
            </w:pPr>
          </w:p>
          <w:p w:rsidR="00154773" w:rsidRPr="0053423A" w:rsidRDefault="00154773" w:rsidP="00154773">
            <w:pPr>
              <w:ind w:firstLine="375"/>
              <w:jc w:val="both"/>
              <w:rPr>
                <w:rFonts w:eastAsia="Cambria" w:cs="Cambria"/>
                <w:sz w:val="20"/>
                <w:szCs w:val="20"/>
                <w:lang w:val="hy-AM"/>
              </w:rPr>
            </w:pPr>
            <w:r w:rsidRPr="0053423A">
              <w:rPr>
                <w:rFonts w:eastAsia="Cambria" w:cs="Cambria"/>
                <w:sz w:val="20"/>
                <w:szCs w:val="20"/>
                <w:lang w:val="hy-AM"/>
              </w:rPr>
              <w:t xml:space="preserve">Բարձրագույն կրթության միջազգայնացման ազգային հարթակի ստեղծումը միտված է  ՀՀ բարձրագույն կրթության միջազգայնացման ազգային ռազմավարության և ռազմավարական նպատակների իրագործմանը, Հայաստանի Հանրապետությունում գործող բարձրագույն ուսումնական հաստատությունների համար միջազգայնացման հավասար պայմանների ստեղծմանը՝ միջազգայնացման խթանման համար մշտադիտարկման, գնահատման ընթացակարգերի և ցուցիչների մշակմամբ: </w:t>
            </w:r>
          </w:p>
          <w:p w:rsidR="00154773" w:rsidRPr="0053423A" w:rsidRDefault="00154773" w:rsidP="00154773">
            <w:pPr>
              <w:ind w:left="735"/>
              <w:contextualSpacing/>
              <w:jc w:val="both"/>
              <w:rPr>
                <w:rFonts w:eastAsia="Times New Roman" w:cs="Times New Roman"/>
                <w:b/>
                <w:sz w:val="20"/>
                <w:szCs w:val="20"/>
              </w:rPr>
            </w:pPr>
          </w:p>
          <w:p w:rsidR="00154773" w:rsidRPr="0053423A" w:rsidRDefault="00154773" w:rsidP="00154773">
            <w:pPr>
              <w:ind w:firstLine="284"/>
              <w:contextualSpacing/>
              <w:jc w:val="both"/>
              <w:rPr>
                <w:spacing w:val="-4"/>
                <w:sz w:val="20"/>
                <w:szCs w:val="20"/>
              </w:rPr>
            </w:pPr>
            <w:r w:rsidRPr="0053423A">
              <w:rPr>
                <w:spacing w:val="-4"/>
                <w:sz w:val="20"/>
                <w:szCs w:val="20"/>
              </w:rPr>
              <w:t>Միջոցառման գլխավոր նպատակն է կրթական ծրագրերի արդիականացումը՝ ուղղված տնտեսության և աշխատաշուկայի փոփոխվող պահանջներին:</w:t>
            </w:r>
          </w:p>
          <w:p w:rsidR="00154773" w:rsidRPr="0053423A" w:rsidRDefault="00154773" w:rsidP="00154773">
            <w:pPr>
              <w:ind w:firstLine="270"/>
              <w:contextualSpacing/>
              <w:jc w:val="both"/>
              <w:rPr>
                <w:rFonts w:eastAsia="Times New Roman" w:cs="Times New Roman"/>
                <w:sz w:val="20"/>
                <w:szCs w:val="20"/>
              </w:rPr>
            </w:pPr>
            <w:r w:rsidRPr="0053423A">
              <w:rPr>
                <w:spacing w:val="-4"/>
                <w:sz w:val="20"/>
                <w:szCs w:val="20"/>
              </w:rPr>
              <w:t xml:space="preserve">Միջոցառումների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rPr>
              <w:t>«</w:t>
            </w:r>
            <w:r w:rsidRPr="0053423A">
              <w:rPr>
                <w:spacing w:val="-4"/>
                <w:sz w:val="20"/>
                <w:szCs w:val="20"/>
              </w:rPr>
              <w:t>4.4 ԿՐԹՈՒԹՅՈՒՆ ԵՎ ԳԻՏՈՒԹՅՈՒՆ</w:t>
            </w:r>
            <w:r w:rsidRPr="0053423A">
              <w:rPr>
                <w:rFonts w:eastAsia="Times New Roman" w:cs="Times New Roman"/>
                <w:sz w:val="20"/>
                <w:szCs w:val="20"/>
              </w:rPr>
              <w:t xml:space="preserve">»  </w:t>
            </w:r>
            <w:r w:rsidRPr="0053423A">
              <w:rPr>
                <w:rFonts w:eastAsia="Calibri" w:cs="Sylfaen"/>
                <w:sz w:val="20"/>
                <w:szCs w:val="20"/>
                <w:lang w:val="hy-AM"/>
              </w:rPr>
              <w:t>բաժնի</w:t>
            </w:r>
            <w:r w:rsidRPr="0053423A">
              <w:rPr>
                <w:rFonts w:eastAsia="Calibri" w:cs="Sylfaen"/>
                <w:sz w:val="20"/>
                <w:szCs w:val="20"/>
              </w:rPr>
              <w:t xml:space="preserve"> </w:t>
            </w:r>
            <w:r w:rsidRPr="0053423A">
              <w:rPr>
                <w:rFonts w:eastAsia="Times New Roman" w:cs="Times New Roman"/>
                <w:sz w:val="20"/>
                <w:szCs w:val="20"/>
              </w:rPr>
              <w:t>բարձրագույն  կրթության ոլորտի 5-րդ պարբերությունից:</w:t>
            </w:r>
          </w:p>
          <w:p w:rsidR="00154773" w:rsidRPr="0053423A" w:rsidRDefault="00154773" w:rsidP="00154773">
            <w:pPr>
              <w:ind w:firstLine="270"/>
              <w:contextualSpacing/>
              <w:jc w:val="both"/>
              <w:rPr>
                <w:rFonts w:eastAsia="Times New Roman" w:cs="Times New Roman"/>
                <w:sz w:val="20"/>
                <w:szCs w:val="20"/>
              </w:rPr>
            </w:pPr>
          </w:p>
          <w:p w:rsidR="00154773" w:rsidRPr="0053423A" w:rsidRDefault="00154773" w:rsidP="00154773">
            <w:pPr>
              <w:ind w:left="630"/>
              <w:contextualSpacing/>
              <w:jc w:val="both"/>
              <w:rPr>
                <w:rFonts w:eastAsia="Times New Roman" w:cs="Times New Roman"/>
                <w:b/>
                <w:sz w:val="20"/>
                <w:szCs w:val="20"/>
              </w:rPr>
            </w:pPr>
            <w:r w:rsidRPr="0053423A">
              <w:rPr>
                <w:rFonts w:eastAsia="Times New Roman" w:cs="Times New Roman"/>
                <w:b/>
                <w:sz w:val="20"/>
                <w:szCs w:val="20"/>
              </w:rPr>
              <w:t xml:space="preserve">1.1.  </w:t>
            </w:r>
            <w:r w:rsidRPr="0053423A">
              <w:rPr>
                <w:rFonts w:eastAsia="Times New Roman" w:cs="Times New Roman"/>
                <w:b/>
                <w:sz w:val="20"/>
                <w:szCs w:val="20"/>
                <w:lang w:val="hy-AM"/>
              </w:rPr>
              <w:t>կարգավորման հարաբերությունների ներկա վիճակը և առկա խնդիրները</w:t>
            </w:r>
            <w:r w:rsidRPr="0053423A">
              <w:rPr>
                <w:rFonts w:eastAsia="Times New Roman" w:cs="Times New Roman"/>
                <w:b/>
                <w:sz w:val="20"/>
                <w:szCs w:val="20"/>
              </w:rPr>
              <w:t xml:space="preserve"> </w:t>
            </w:r>
          </w:p>
          <w:p w:rsidR="00154773" w:rsidRPr="0053423A" w:rsidRDefault="00154773" w:rsidP="00154773">
            <w:pPr>
              <w:contextualSpacing/>
              <w:jc w:val="both"/>
              <w:rPr>
                <w:rFonts w:eastAsia="Times New Roman" w:cs="Times New Roman"/>
                <w:b/>
                <w:sz w:val="20"/>
                <w:szCs w:val="20"/>
              </w:rPr>
            </w:pPr>
          </w:p>
          <w:p w:rsidR="00154773" w:rsidRPr="0053423A" w:rsidRDefault="00154773" w:rsidP="00154773">
            <w:pPr>
              <w:autoSpaceDE w:val="0"/>
              <w:autoSpaceDN w:val="0"/>
              <w:adjustRightInd w:val="0"/>
              <w:ind w:firstLine="706"/>
              <w:jc w:val="both"/>
              <w:rPr>
                <w:rFonts w:eastAsia="Calibri" w:cs="Sylfaen"/>
                <w:bCs/>
                <w:sz w:val="20"/>
                <w:szCs w:val="20"/>
                <w:lang w:val="hy-AM" w:eastAsia="ru-RU"/>
              </w:rPr>
            </w:pPr>
            <w:r w:rsidRPr="0053423A">
              <w:rPr>
                <w:rFonts w:eastAsia="Calibri" w:cs="Sylfaen"/>
                <w:bCs/>
                <w:sz w:val="20"/>
                <w:szCs w:val="20"/>
                <w:lang w:val="hy-AM" w:eastAsia="ru-RU"/>
              </w:rPr>
              <w:t>Այսօր, բուհերի միջազգայնացման, շարժունության ծավալների,  տեսակների և ուղղությունների վերաբերյալ տեղեկատվությունն ամբողջական չէ, իսկ դրա հավաքագրման մեխանիզմը՝ անկատար։ Հավաստի տվյալների հարթակի բացակայությունը թույլ չի տալիս իրականացնել փաստարկված քաղաքականություն բարձրագույն կրթության միջազգայնացման ուղղությամբ և ուղղորդել հայաստանյան բուհերին միջազգայնացման և շարժունության իրականացման ռազմավարական թիրախավորումներ կատարելու հարցում։ Ուսանողների, դասախոսական և վարչական անձնակազմի միջազգային շարժունության վերաբերյալ ամբողջական տեղեկատվական հարթակ ունենալու անհրաժեշտությունը պայմանավորված է նաև շարժունության ազդեցության գնահատման անհրաժեշտությամբ և դրանից բխող  բարելավման միջոցառումների իրականացմամբ՝ խթանելով շարժունության ծրագրերի մեջ նրանց ակտիվ մասնակցությունն ինչպես շարժունության ընթացքում, այնպես էլ՝ շարժունության ծրագրերից հետո:</w:t>
            </w:r>
          </w:p>
          <w:p w:rsidR="00154773" w:rsidRPr="0053423A" w:rsidRDefault="00154773" w:rsidP="00154773">
            <w:pPr>
              <w:ind w:firstLine="450"/>
              <w:jc w:val="both"/>
              <w:rPr>
                <w:rFonts w:eastAsia="Cambria" w:cs="Cambria"/>
                <w:b/>
                <w:i/>
                <w:sz w:val="20"/>
                <w:szCs w:val="20"/>
                <w:lang w:val="hy-AM" w:eastAsia="ru-RU"/>
              </w:rPr>
            </w:pPr>
            <w:r w:rsidRPr="0053423A">
              <w:rPr>
                <w:rFonts w:eastAsia="Cambria" w:cs="Cambria"/>
                <w:sz w:val="20"/>
                <w:szCs w:val="20"/>
                <w:lang w:val="hy-AM" w:eastAsia="ru-RU"/>
              </w:rPr>
              <w:t xml:space="preserve">Հարկ է նշել, որ բարձրագույն կրթության և հետազոտության միջազգայնացումը պահանջում է համապարփակ մոտեցումներ. դրանց արդյունավետ իրականացման համար անհրաժեշտ է ստեղծել բարձրագույն կրթության միջազգայնացման ազգային հարթակ՝ տեղադրելով համապատասխան գործիքակազմ, ինչպես նաև մշակել ռազմավարական նպատակների իրագործման մշտադիտարկման, գնահատման ընթացակարգեր և ցուցիչներ: Մշտադիտարկման ցուցիչների համակարգի մշակումը հնարավորություն կտա գնահատել բուհերի միջազգայնացման տեմպերը և ուղղությունները, իրականացվող միջոցառումների արդյունավետությունը՝ ըստ բարձրագույն կրթության համակարգի վրա իրենց ազդեցության՝ վերհանելով թույլ և ուժեղ կողմերը, այդ ուղղությամբ իրականացնելով բարելավման աշխատանքներ: </w:t>
            </w:r>
          </w:p>
          <w:p w:rsidR="00154773" w:rsidRPr="0053423A" w:rsidRDefault="00154773" w:rsidP="00154773">
            <w:pPr>
              <w:ind w:firstLine="270"/>
              <w:contextualSpacing/>
              <w:jc w:val="both"/>
              <w:rPr>
                <w:rFonts w:eastAsia="Times New Roman" w:cs="Times New Roman"/>
                <w:sz w:val="20"/>
                <w:szCs w:val="20"/>
                <w:lang w:val="hy-AM"/>
              </w:rPr>
            </w:pPr>
          </w:p>
          <w:p w:rsidR="00154773" w:rsidRPr="0053423A" w:rsidRDefault="00154773" w:rsidP="00154773">
            <w:pPr>
              <w:ind w:left="90"/>
              <w:rPr>
                <w:rFonts w:cs="Sylfaen"/>
                <w:b/>
                <w:sz w:val="20"/>
                <w:szCs w:val="20"/>
                <w:u w:val="single"/>
                <w:lang w:val="hy-AM"/>
              </w:rPr>
            </w:pPr>
          </w:p>
          <w:p w:rsidR="00154773" w:rsidRPr="0053423A" w:rsidRDefault="00154773" w:rsidP="00154773">
            <w:pPr>
              <w:ind w:left="630"/>
              <w:contextualSpacing/>
              <w:jc w:val="both"/>
              <w:rPr>
                <w:rFonts w:eastAsia="Times New Roman" w:cs="Times New Roman"/>
                <w:b/>
                <w:sz w:val="20"/>
                <w:szCs w:val="20"/>
                <w:lang w:val="hy-AM"/>
              </w:rPr>
            </w:pPr>
            <w:r w:rsidRPr="0053423A">
              <w:rPr>
                <w:rFonts w:eastAsia="Times New Roman" w:cs="Times New Roman"/>
                <w:b/>
                <w:sz w:val="20"/>
                <w:szCs w:val="20"/>
                <w:lang w:val="hy-AM"/>
              </w:rPr>
              <w:t xml:space="preserve">1.2. առկա խնդիրների առաջարկվող լուծումները </w:t>
            </w:r>
          </w:p>
          <w:p w:rsidR="00154773" w:rsidRPr="0053423A" w:rsidRDefault="00154773" w:rsidP="00154773">
            <w:pPr>
              <w:ind w:left="90"/>
              <w:rPr>
                <w:rFonts w:cs="Sylfaen"/>
                <w:b/>
                <w:sz w:val="20"/>
                <w:szCs w:val="20"/>
                <w:u w:val="single"/>
                <w:lang w:val="hy-AM"/>
              </w:rPr>
            </w:pPr>
          </w:p>
          <w:p w:rsidR="00154773" w:rsidRPr="0053423A" w:rsidRDefault="00154773" w:rsidP="00154773">
            <w:pPr>
              <w:autoSpaceDE w:val="0"/>
              <w:autoSpaceDN w:val="0"/>
              <w:adjustRightInd w:val="0"/>
              <w:ind w:firstLine="450"/>
              <w:jc w:val="both"/>
              <w:rPr>
                <w:rFonts w:eastAsia="Calibri" w:cs="Sylfaen"/>
                <w:bCs/>
                <w:color w:val="000000"/>
                <w:sz w:val="20"/>
                <w:szCs w:val="20"/>
                <w:lang w:val="hy-AM" w:eastAsia="ru-RU"/>
              </w:rPr>
            </w:pPr>
            <w:r w:rsidRPr="0053423A">
              <w:rPr>
                <w:rFonts w:eastAsia="Calibri" w:cs="Sylfaen"/>
                <w:bCs/>
                <w:sz w:val="20"/>
                <w:szCs w:val="20"/>
                <w:lang w:val="hy-AM" w:eastAsia="ru-RU"/>
              </w:rPr>
              <w:t xml:space="preserve">Բացի միջազգայնացման ոլորտում ռազմավարական նպատակներ սահմանելուց և դրանց գործողությունների պլանավորումից, Հայաստանի բարձրագույն կրթության և հետազոտության համակարգի տեսանելիության և գրավչության ապահովման նպատակով անհրաժեշտ է նաև ներդնել ռազմավարական նպատակների իրագործման մշտադիտարկման, գնահատման ընթացակարգեր և ցուցիչներ, ձևավորել օտարալեզու ազգային տեղեկատվական հարթակ (պլատֆորմ): Մշակել բուհերի միջազգային գործունեության իրավական կարգավորման միասնական փաթեթ, հաշվի առնելով միջազգային համաձայնագրերով Հայաստանի Հանրապետության ստանձնած պարտավորությունները, ինչպես նաև միջազգային օրենսդրությանը պետության իրավական կարգավորումների և ընթացակարգերի համապատասխանեցման անհրաժեշտ ուղղությունները: </w:t>
            </w:r>
          </w:p>
          <w:p w:rsidR="00154773" w:rsidRPr="0053423A" w:rsidRDefault="00154773" w:rsidP="00154773">
            <w:pPr>
              <w:autoSpaceDE w:val="0"/>
              <w:autoSpaceDN w:val="0"/>
              <w:adjustRightInd w:val="0"/>
              <w:ind w:firstLine="450"/>
              <w:jc w:val="both"/>
              <w:rPr>
                <w:rFonts w:eastAsia="Calibri" w:cs="Sylfaen"/>
                <w:bCs/>
                <w:color w:val="000000"/>
                <w:sz w:val="20"/>
                <w:szCs w:val="20"/>
                <w:lang w:val="hy-AM" w:eastAsia="ru-RU"/>
              </w:rPr>
            </w:pPr>
            <w:r w:rsidRPr="0053423A">
              <w:rPr>
                <w:rFonts w:eastAsia="Calibri" w:cs="Sylfaen"/>
                <w:bCs/>
                <w:sz w:val="20"/>
                <w:szCs w:val="20"/>
                <w:lang w:val="hy-AM" w:eastAsia="ru-RU"/>
              </w:rPr>
              <w:t>Տվյալ դեպքում, բացի բարձրագույն կրթության միջազգայնացման՝ պետության կողմից մշակված ռազմավարությունից, վերջինիցս բխող միջազգայնացման ռազմավարություններ կմշակվեն և կիրառվեն նաև բուհերի կողմից:</w:t>
            </w:r>
          </w:p>
          <w:p w:rsidR="00154773" w:rsidRPr="0053423A" w:rsidRDefault="00154773" w:rsidP="00154773">
            <w:pPr>
              <w:spacing w:after="200" w:line="360" w:lineRule="auto"/>
              <w:ind w:firstLine="700"/>
              <w:jc w:val="both"/>
              <w:rPr>
                <w:rFonts w:eastAsia="Cambria" w:cs="Cambria"/>
                <w:sz w:val="20"/>
                <w:szCs w:val="20"/>
                <w:lang w:val="hy-AM" w:eastAsia="ru-RU"/>
              </w:rPr>
            </w:pPr>
          </w:p>
          <w:p w:rsidR="00154773" w:rsidRPr="0053423A" w:rsidRDefault="00154773" w:rsidP="00154773">
            <w:pPr>
              <w:ind w:left="90"/>
              <w:contextualSpacing/>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left="90"/>
              <w:contextualSpacing/>
              <w:jc w:val="both"/>
              <w:rPr>
                <w:rFonts w:eastAsia="Times New Roman" w:cs="Times New Roman"/>
                <w:b/>
                <w:sz w:val="20"/>
                <w:szCs w:val="20"/>
                <w:lang w:val="hy-AM"/>
              </w:rPr>
            </w:pPr>
          </w:p>
          <w:p w:rsidR="00154773" w:rsidRPr="0053423A" w:rsidRDefault="00154773" w:rsidP="00154773">
            <w:pPr>
              <w:ind w:left="90"/>
              <w:contextualSpacing/>
              <w:jc w:val="both"/>
              <w:rPr>
                <w:rFonts w:eastAsia="Times New Roman" w:cs="Times New Roman"/>
                <w:b/>
                <w:sz w:val="20"/>
                <w:szCs w:val="20"/>
                <w:lang w:val="hy-AM"/>
              </w:rPr>
            </w:pPr>
          </w:p>
          <w:p w:rsidR="00154773" w:rsidRPr="0053423A" w:rsidRDefault="00154773" w:rsidP="00154773">
            <w:pPr>
              <w:autoSpaceDE w:val="0"/>
              <w:autoSpaceDN w:val="0"/>
              <w:adjustRightInd w:val="0"/>
              <w:ind w:firstLine="450"/>
              <w:jc w:val="both"/>
              <w:rPr>
                <w:rFonts w:eastAsia="Calibri" w:cs="Sylfaen"/>
                <w:bCs/>
                <w:color w:val="000000"/>
                <w:sz w:val="20"/>
                <w:szCs w:val="20"/>
                <w:lang w:val="hy-AM" w:eastAsia="ru-RU"/>
              </w:rPr>
            </w:pPr>
            <w:r w:rsidRPr="0053423A">
              <w:rPr>
                <w:rFonts w:eastAsia="Calibri" w:cs="Sylfaen"/>
                <w:bCs/>
                <w:sz w:val="20"/>
                <w:szCs w:val="20"/>
                <w:lang w:val="hy-AM" w:eastAsia="ru-RU"/>
              </w:rPr>
              <w:t xml:space="preserve">Բարձրագույն կրթության միջազգայնացման ազգային հարթակի ստեղծման, միջազգայնացման ցուցիչների և գործիքակազմի մշակման և ներդրման արդյունքում ակնկալվում է  </w:t>
            </w:r>
          </w:p>
          <w:p w:rsidR="00154773" w:rsidRPr="0053423A" w:rsidRDefault="00154773" w:rsidP="00154773">
            <w:pPr>
              <w:autoSpaceDE w:val="0"/>
              <w:autoSpaceDN w:val="0"/>
              <w:adjustRightInd w:val="0"/>
              <w:ind w:firstLine="450"/>
              <w:jc w:val="both"/>
              <w:rPr>
                <w:rFonts w:eastAsia="Calibri" w:cs="Sylfaen"/>
                <w:bCs/>
                <w:color w:val="000000"/>
                <w:sz w:val="20"/>
                <w:szCs w:val="20"/>
                <w:lang w:val="hy-AM" w:eastAsia="ru-RU"/>
              </w:rPr>
            </w:pPr>
            <w:r w:rsidRPr="0053423A">
              <w:rPr>
                <w:rFonts w:eastAsia="Calibri" w:cs="Sylfaen"/>
                <w:bCs/>
                <w:sz w:val="20"/>
                <w:szCs w:val="20"/>
                <w:lang w:val="hy-AM" w:eastAsia="ru-RU"/>
              </w:rPr>
              <w:t>- բարձրագույն կրթության և հետազոտության միջազգային տեսանելիության ու գրավչության բարձրացում,</w:t>
            </w:r>
          </w:p>
          <w:p w:rsidR="00154773" w:rsidRPr="0053423A" w:rsidRDefault="00154773" w:rsidP="00154773">
            <w:pPr>
              <w:tabs>
                <w:tab w:val="left" w:pos="666"/>
              </w:tabs>
              <w:rPr>
                <w:rFonts w:eastAsia="Times New Roman" w:cs="Times New Roman"/>
                <w:b/>
                <w:sz w:val="20"/>
                <w:szCs w:val="20"/>
                <w:lang w:val="hy-AM"/>
              </w:rPr>
            </w:pPr>
            <w:r w:rsidRPr="0053423A">
              <w:rPr>
                <w:bCs/>
                <w:sz w:val="20"/>
                <w:szCs w:val="20"/>
                <w:lang w:val="hy-AM"/>
              </w:rPr>
              <w:t>բուհերի ուսանողների, դասախոսական և վարչական կազմի միջազգային շարժունության ընդլայնում:</w:t>
            </w:r>
          </w:p>
        </w:tc>
      </w:tr>
      <w:tr w:rsidR="00154773" w:rsidRPr="00DE2EFA" w:rsidTr="00154773">
        <w:tc>
          <w:tcPr>
            <w:tcW w:w="720" w:type="dxa"/>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12</w:t>
            </w:r>
          </w:p>
        </w:tc>
        <w:tc>
          <w:tcPr>
            <w:tcW w:w="10620" w:type="dxa"/>
          </w:tcPr>
          <w:p w:rsidR="00154773" w:rsidRPr="0053423A" w:rsidRDefault="00154773" w:rsidP="00154773">
            <w:pPr>
              <w:jc w:val="center"/>
              <w:rPr>
                <w:rFonts w:eastAsia="Times New Roman" w:cs="Times New Roman"/>
                <w:b/>
                <w:i/>
                <w:sz w:val="20"/>
                <w:szCs w:val="20"/>
                <w:u w:val="single"/>
                <w:lang w:val="af-ZA"/>
              </w:rPr>
            </w:pPr>
            <w:r w:rsidRPr="0053423A">
              <w:rPr>
                <w:rFonts w:cs="Sylfaen"/>
                <w:b/>
                <w:sz w:val="20"/>
                <w:szCs w:val="20"/>
                <w:u w:val="single"/>
                <w:lang w:val="af-ZA"/>
              </w:rPr>
              <w:t>12.1</w:t>
            </w:r>
            <w:r w:rsidRPr="0053423A">
              <w:rPr>
                <w:rFonts w:cs="Sylfaen"/>
                <w:b/>
                <w:sz w:val="20"/>
                <w:szCs w:val="20"/>
                <w:u w:val="single"/>
                <w:lang w:val="hy-AM"/>
              </w:rPr>
              <w:t xml:space="preserve"> Գրուսուցման մանկավարժական-մեթոդական չափորոշիչների մշակում, այբբենարանի ձեռագիր տառապատկերների միասնական ուրվագծերի մշակում, համակարգչային ձեռագիր տառատեսակի տեխնիկական առաջադրանքի նախագծի մշակում և հաստատում</w:t>
            </w:r>
          </w:p>
          <w:p w:rsidR="00154773" w:rsidRPr="0053423A" w:rsidRDefault="00154773" w:rsidP="00154773">
            <w:pPr>
              <w:tabs>
                <w:tab w:val="left" w:pos="930"/>
              </w:tabs>
              <w:jc w:val="both"/>
              <w:rPr>
                <w:b/>
                <w:sz w:val="20"/>
                <w:szCs w:val="20"/>
                <w:u w:val="single"/>
                <w:lang w:val="af-ZA" w:eastAsia="ru-RU"/>
              </w:rPr>
            </w:pPr>
          </w:p>
          <w:p w:rsidR="00154773" w:rsidRPr="0053423A" w:rsidRDefault="00154773" w:rsidP="001F6D5D">
            <w:pPr>
              <w:numPr>
                <w:ilvl w:val="0"/>
                <w:numId w:val="470"/>
              </w:numPr>
              <w:contextualSpacing/>
              <w:rPr>
                <w:rFonts w:eastAsia="Times New Roman" w:cs="Times New Roman"/>
                <w:b/>
                <w:sz w:val="20"/>
                <w:szCs w:val="20"/>
                <w:lang w:val="af-ZA"/>
              </w:rPr>
            </w:pPr>
            <w:r w:rsidRPr="0053423A">
              <w:rPr>
                <w:rFonts w:eastAsia="Times New Roman" w:cs="Times New Roman"/>
                <w:b/>
                <w:sz w:val="20"/>
                <w:szCs w:val="20"/>
                <w:lang w:val="hy-AM"/>
              </w:rPr>
              <w:t>Միջոցառման իրականացման անհրաժեշտությունը և նպատակը.</w:t>
            </w:r>
          </w:p>
          <w:p w:rsidR="00154773" w:rsidRPr="0053423A" w:rsidRDefault="00154773" w:rsidP="00154773">
            <w:pPr>
              <w:ind w:left="735"/>
              <w:contextualSpacing/>
              <w:rPr>
                <w:rFonts w:eastAsia="Times New Roman" w:cs="Times New Roman"/>
                <w:b/>
                <w:sz w:val="20"/>
                <w:szCs w:val="20"/>
                <w:lang w:val="af-ZA"/>
              </w:rPr>
            </w:pPr>
          </w:p>
          <w:p w:rsidR="00154773" w:rsidRPr="0053423A" w:rsidRDefault="00154773" w:rsidP="00154773">
            <w:pPr>
              <w:ind w:firstLine="284"/>
              <w:contextualSpacing/>
              <w:jc w:val="both"/>
              <w:rPr>
                <w:spacing w:val="-4"/>
                <w:sz w:val="20"/>
                <w:szCs w:val="20"/>
                <w:lang w:val="af-ZA"/>
              </w:rPr>
            </w:pPr>
            <w:r w:rsidRPr="0053423A">
              <w:rPr>
                <w:spacing w:val="-4"/>
                <w:sz w:val="20"/>
                <w:szCs w:val="20"/>
              </w:rPr>
              <w:t>Միջոցառման</w:t>
            </w:r>
            <w:r w:rsidRPr="0053423A">
              <w:rPr>
                <w:spacing w:val="-4"/>
                <w:sz w:val="20"/>
                <w:szCs w:val="20"/>
                <w:lang w:val="af-ZA"/>
              </w:rPr>
              <w:t xml:space="preserve"> </w:t>
            </w:r>
            <w:r w:rsidRPr="0053423A">
              <w:rPr>
                <w:spacing w:val="-4"/>
                <w:sz w:val="20"/>
                <w:szCs w:val="20"/>
              </w:rPr>
              <w:t>գլխավոր</w:t>
            </w:r>
            <w:r w:rsidRPr="0053423A">
              <w:rPr>
                <w:spacing w:val="-4"/>
                <w:sz w:val="20"/>
                <w:szCs w:val="20"/>
                <w:lang w:val="af-ZA"/>
              </w:rPr>
              <w:t xml:space="preserve"> </w:t>
            </w:r>
            <w:r w:rsidRPr="0053423A">
              <w:rPr>
                <w:spacing w:val="-4"/>
                <w:sz w:val="20"/>
                <w:szCs w:val="20"/>
              </w:rPr>
              <w:t>նպատակն</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կրթական</w:t>
            </w:r>
            <w:r w:rsidRPr="0053423A">
              <w:rPr>
                <w:spacing w:val="-4"/>
                <w:sz w:val="20"/>
                <w:szCs w:val="20"/>
                <w:lang w:val="af-ZA"/>
              </w:rPr>
              <w:t xml:space="preserve"> </w:t>
            </w:r>
            <w:r w:rsidRPr="0053423A">
              <w:rPr>
                <w:spacing w:val="-4"/>
                <w:sz w:val="20"/>
                <w:szCs w:val="20"/>
              </w:rPr>
              <w:t>ծրագրերի</w:t>
            </w:r>
            <w:r w:rsidRPr="0053423A">
              <w:rPr>
                <w:spacing w:val="-4"/>
                <w:sz w:val="20"/>
                <w:szCs w:val="20"/>
                <w:lang w:val="af-ZA"/>
              </w:rPr>
              <w:t xml:space="preserve"> </w:t>
            </w:r>
            <w:r w:rsidRPr="0053423A">
              <w:rPr>
                <w:spacing w:val="-4"/>
                <w:sz w:val="20"/>
                <w:szCs w:val="20"/>
              </w:rPr>
              <w:t>արդիականացումը՝</w:t>
            </w:r>
            <w:r w:rsidRPr="0053423A">
              <w:rPr>
                <w:spacing w:val="-4"/>
                <w:sz w:val="20"/>
                <w:szCs w:val="20"/>
                <w:lang w:val="af-ZA"/>
              </w:rPr>
              <w:t xml:space="preserve"> </w:t>
            </w:r>
            <w:r w:rsidRPr="0053423A">
              <w:rPr>
                <w:spacing w:val="-4"/>
                <w:sz w:val="20"/>
                <w:szCs w:val="20"/>
              </w:rPr>
              <w:t>ուղղված</w:t>
            </w:r>
            <w:r w:rsidRPr="0053423A">
              <w:rPr>
                <w:spacing w:val="-4"/>
                <w:sz w:val="20"/>
                <w:szCs w:val="20"/>
                <w:lang w:val="af-ZA"/>
              </w:rPr>
              <w:t xml:space="preserve"> </w:t>
            </w:r>
            <w:r w:rsidRPr="0053423A">
              <w:rPr>
                <w:spacing w:val="-4"/>
                <w:sz w:val="20"/>
                <w:szCs w:val="20"/>
              </w:rPr>
              <w:t>տնտեսության</w:t>
            </w:r>
            <w:r w:rsidRPr="0053423A">
              <w:rPr>
                <w:spacing w:val="-4"/>
                <w:sz w:val="20"/>
                <w:szCs w:val="20"/>
                <w:lang w:val="af-ZA"/>
              </w:rPr>
              <w:t xml:space="preserve"> </w:t>
            </w:r>
            <w:r w:rsidRPr="0053423A">
              <w:rPr>
                <w:spacing w:val="-4"/>
                <w:sz w:val="20"/>
                <w:szCs w:val="20"/>
              </w:rPr>
              <w:t>և</w:t>
            </w:r>
            <w:r w:rsidRPr="0053423A">
              <w:rPr>
                <w:spacing w:val="-4"/>
                <w:sz w:val="20"/>
                <w:szCs w:val="20"/>
                <w:lang w:val="af-ZA"/>
              </w:rPr>
              <w:t xml:space="preserve"> </w:t>
            </w:r>
            <w:r w:rsidRPr="0053423A">
              <w:rPr>
                <w:spacing w:val="-4"/>
                <w:sz w:val="20"/>
                <w:szCs w:val="20"/>
              </w:rPr>
              <w:t>աշխատաշուկայի</w:t>
            </w:r>
            <w:r w:rsidRPr="0053423A">
              <w:rPr>
                <w:spacing w:val="-4"/>
                <w:sz w:val="20"/>
                <w:szCs w:val="20"/>
                <w:lang w:val="af-ZA"/>
              </w:rPr>
              <w:t xml:space="preserve"> </w:t>
            </w:r>
            <w:r w:rsidRPr="0053423A">
              <w:rPr>
                <w:spacing w:val="-4"/>
                <w:sz w:val="20"/>
                <w:szCs w:val="20"/>
              </w:rPr>
              <w:t>փոփոխվող</w:t>
            </w:r>
            <w:r w:rsidRPr="0053423A">
              <w:rPr>
                <w:spacing w:val="-4"/>
                <w:sz w:val="20"/>
                <w:szCs w:val="20"/>
                <w:lang w:val="af-ZA"/>
              </w:rPr>
              <w:t xml:space="preserve"> </w:t>
            </w:r>
            <w:r w:rsidRPr="0053423A">
              <w:rPr>
                <w:spacing w:val="-4"/>
                <w:sz w:val="20"/>
                <w:szCs w:val="20"/>
              </w:rPr>
              <w:t>պահանջներին</w:t>
            </w:r>
            <w:r w:rsidRPr="0053423A">
              <w:rPr>
                <w:spacing w:val="-4"/>
                <w:sz w:val="20"/>
                <w:szCs w:val="20"/>
                <w:lang w:val="af-ZA"/>
              </w:rPr>
              <w:t>:</w:t>
            </w:r>
          </w:p>
          <w:p w:rsidR="00154773" w:rsidRPr="0053423A" w:rsidRDefault="00154773" w:rsidP="00154773">
            <w:pPr>
              <w:ind w:firstLine="375"/>
              <w:jc w:val="both"/>
              <w:rPr>
                <w:sz w:val="20"/>
                <w:szCs w:val="20"/>
                <w:lang w:val="af-ZA"/>
              </w:rPr>
            </w:pPr>
            <w:r w:rsidRPr="0053423A">
              <w:rPr>
                <w:spacing w:val="-4"/>
                <w:sz w:val="20"/>
                <w:szCs w:val="20"/>
              </w:rPr>
              <w:t>Միջոցառման</w:t>
            </w:r>
            <w:r w:rsidRPr="0053423A">
              <w:rPr>
                <w:spacing w:val="-4"/>
                <w:sz w:val="20"/>
                <w:szCs w:val="20"/>
                <w:lang w:val="af-ZA"/>
              </w:rPr>
              <w:t xml:space="preserve"> </w:t>
            </w:r>
            <w:r w:rsidRPr="0053423A">
              <w:rPr>
                <w:spacing w:val="-4"/>
                <w:sz w:val="20"/>
                <w:szCs w:val="20"/>
              </w:rPr>
              <w:t>անհրաժեշտությունը</w:t>
            </w:r>
            <w:r w:rsidRPr="0053423A">
              <w:rPr>
                <w:spacing w:val="-4"/>
                <w:sz w:val="20"/>
                <w:szCs w:val="20"/>
                <w:lang w:val="af-ZA"/>
              </w:rPr>
              <w:t xml:space="preserve"> </w:t>
            </w:r>
            <w:r w:rsidRPr="0053423A">
              <w:rPr>
                <w:spacing w:val="-4"/>
                <w:sz w:val="20"/>
                <w:szCs w:val="20"/>
              </w:rPr>
              <w:t>բխում</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ԱԺ</w:t>
            </w:r>
            <w:r w:rsidRPr="0053423A">
              <w:rPr>
                <w:spacing w:val="-4"/>
                <w:sz w:val="20"/>
                <w:szCs w:val="20"/>
                <w:lang w:val="af-ZA"/>
              </w:rPr>
              <w:t xml:space="preserve"> 2019 </w:t>
            </w:r>
            <w:r w:rsidRPr="0053423A">
              <w:rPr>
                <w:spacing w:val="-4"/>
                <w:sz w:val="20"/>
                <w:szCs w:val="20"/>
              </w:rPr>
              <w:t>թվականի</w:t>
            </w:r>
            <w:r w:rsidRPr="0053423A">
              <w:rPr>
                <w:spacing w:val="-4"/>
                <w:sz w:val="20"/>
                <w:szCs w:val="20"/>
                <w:lang w:val="af-ZA"/>
              </w:rPr>
              <w:t xml:space="preserve"> </w:t>
            </w:r>
            <w:r w:rsidRPr="0053423A">
              <w:rPr>
                <w:spacing w:val="-4"/>
                <w:sz w:val="20"/>
                <w:szCs w:val="20"/>
              </w:rPr>
              <w:t>փետրվարի</w:t>
            </w:r>
            <w:r w:rsidRPr="0053423A">
              <w:rPr>
                <w:spacing w:val="-4"/>
                <w:sz w:val="20"/>
                <w:szCs w:val="20"/>
                <w:lang w:val="af-ZA"/>
              </w:rPr>
              <w:t xml:space="preserve"> 14-</w:t>
            </w:r>
            <w:r w:rsidRPr="0053423A">
              <w:rPr>
                <w:spacing w:val="-4"/>
                <w:sz w:val="20"/>
                <w:szCs w:val="20"/>
              </w:rPr>
              <w:t>ի</w:t>
            </w:r>
            <w:r w:rsidRPr="0053423A">
              <w:rPr>
                <w:spacing w:val="-4"/>
                <w:sz w:val="20"/>
                <w:szCs w:val="20"/>
                <w:lang w:val="af-ZA"/>
              </w:rPr>
              <w:t xml:space="preserve"> </w:t>
            </w:r>
            <w:r w:rsidRPr="0053423A">
              <w:rPr>
                <w:spacing w:val="-4"/>
                <w:sz w:val="20"/>
                <w:szCs w:val="20"/>
              </w:rPr>
              <w:t>ԱԺՈ</w:t>
            </w:r>
            <w:r w:rsidRPr="0053423A">
              <w:rPr>
                <w:spacing w:val="-4"/>
                <w:sz w:val="20"/>
                <w:szCs w:val="20"/>
                <w:lang w:val="af-ZA"/>
              </w:rPr>
              <w:t>-002-</w:t>
            </w:r>
            <w:r w:rsidRPr="0053423A">
              <w:rPr>
                <w:spacing w:val="-4"/>
                <w:sz w:val="20"/>
                <w:szCs w:val="20"/>
              </w:rPr>
              <w:t>Ն</w:t>
            </w:r>
            <w:r w:rsidRPr="0053423A">
              <w:rPr>
                <w:spacing w:val="-4"/>
                <w:sz w:val="20"/>
                <w:szCs w:val="20"/>
                <w:lang w:val="af-ZA"/>
              </w:rPr>
              <w:t xml:space="preserve"> </w:t>
            </w:r>
            <w:r w:rsidRPr="0053423A">
              <w:rPr>
                <w:spacing w:val="-4"/>
                <w:sz w:val="20"/>
                <w:szCs w:val="20"/>
              </w:rPr>
              <w:t>որոշմամբ</w:t>
            </w:r>
            <w:r w:rsidRPr="0053423A">
              <w:rPr>
                <w:spacing w:val="-4"/>
                <w:sz w:val="20"/>
                <w:szCs w:val="20"/>
                <w:lang w:val="af-ZA"/>
              </w:rPr>
              <w:t xml:space="preserve"> </w:t>
            </w:r>
            <w:r w:rsidRPr="0053423A">
              <w:rPr>
                <w:spacing w:val="-4"/>
                <w:sz w:val="20"/>
                <w:szCs w:val="20"/>
              </w:rPr>
              <w:t>հավանության</w:t>
            </w:r>
            <w:r w:rsidRPr="0053423A">
              <w:rPr>
                <w:spacing w:val="-4"/>
                <w:sz w:val="20"/>
                <w:szCs w:val="20"/>
                <w:lang w:val="af-ZA"/>
              </w:rPr>
              <w:t xml:space="preserve"> </w:t>
            </w:r>
            <w:r w:rsidRPr="0053423A">
              <w:rPr>
                <w:spacing w:val="-4"/>
                <w:sz w:val="20"/>
                <w:szCs w:val="20"/>
              </w:rPr>
              <w:t>արժանացած</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կառավարության</w:t>
            </w:r>
            <w:r w:rsidRPr="0053423A">
              <w:rPr>
                <w:spacing w:val="-4"/>
                <w:sz w:val="20"/>
                <w:szCs w:val="20"/>
                <w:lang w:val="af-ZA"/>
              </w:rPr>
              <w:t xml:space="preserve"> </w:t>
            </w:r>
            <w:r w:rsidRPr="0053423A">
              <w:rPr>
                <w:spacing w:val="-4"/>
                <w:sz w:val="20"/>
                <w:szCs w:val="20"/>
              </w:rPr>
              <w:t>ծրագրի</w:t>
            </w:r>
            <w:r w:rsidRPr="0053423A">
              <w:rPr>
                <w:spacing w:val="-4"/>
                <w:sz w:val="20"/>
                <w:szCs w:val="20"/>
                <w:lang w:val="af-ZA"/>
              </w:rPr>
              <w:t xml:space="preserve"> </w:t>
            </w:r>
            <w:r w:rsidRPr="0053423A">
              <w:rPr>
                <w:rFonts w:eastAsia="Times New Roman" w:cs="Times New Roman"/>
                <w:sz w:val="20"/>
                <w:szCs w:val="20"/>
                <w:lang w:val="af-ZA"/>
              </w:rPr>
              <w:t>«</w:t>
            </w:r>
            <w:r w:rsidRPr="0053423A">
              <w:rPr>
                <w:spacing w:val="-4"/>
                <w:sz w:val="20"/>
                <w:szCs w:val="20"/>
                <w:lang w:val="af-ZA"/>
              </w:rPr>
              <w:t xml:space="preserve">4.4 </w:t>
            </w:r>
            <w:r w:rsidRPr="0053423A">
              <w:rPr>
                <w:spacing w:val="-4"/>
                <w:sz w:val="20"/>
                <w:szCs w:val="20"/>
              </w:rPr>
              <w:t>ԿՐԹՈՒԹՅՈՒՆ</w:t>
            </w:r>
            <w:r w:rsidRPr="0053423A">
              <w:rPr>
                <w:spacing w:val="-4"/>
                <w:sz w:val="20"/>
                <w:szCs w:val="20"/>
                <w:lang w:val="af-ZA"/>
              </w:rPr>
              <w:t xml:space="preserve"> </w:t>
            </w:r>
            <w:r w:rsidRPr="0053423A">
              <w:rPr>
                <w:spacing w:val="-4"/>
                <w:sz w:val="20"/>
                <w:szCs w:val="20"/>
              </w:rPr>
              <w:t>ԵՎ</w:t>
            </w:r>
            <w:r w:rsidRPr="0053423A">
              <w:rPr>
                <w:spacing w:val="-4"/>
                <w:sz w:val="20"/>
                <w:szCs w:val="20"/>
                <w:lang w:val="af-ZA"/>
              </w:rPr>
              <w:t xml:space="preserve"> </w:t>
            </w:r>
            <w:r w:rsidRPr="0053423A">
              <w:rPr>
                <w:spacing w:val="-4"/>
                <w:sz w:val="20"/>
                <w:szCs w:val="20"/>
              </w:rPr>
              <w:t>ԳԻՏՈՒԹՅՈՒՆ</w:t>
            </w:r>
            <w:r w:rsidRPr="0053423A">
              <w:rPr>
                <w:rFonts w:eastAsia="Times New Roman" w:cs="Times New Roman"/>
                <w:sz w:val="20"/>
                <w:szCs w:val="20"/>
                <w:lang w:val="af-ZA"/>
              </w:rPr>
              <w:t xml:space="preserve">»  </w:t>
            </w:r>
            <w:r w:rsidRPr="0053423A">
              <w:rPr>
                <w:rFonts w:eastAsia="Calibri" w:cs="Sylfaen"/>
                <w:sz w:val="20"/>
                <w:szCs w:val="20"/>
                <w:lang w:val="hy-AM"/>
              </w:rPr>
              <w:t>բաժնի</w:t>
            </w:r>
            <w:r w:rsidRPr="0053423A">
              <w:rPr>
                <w:rFonts w:eastAsia="Calibri" w:cs="Sylfaen"/>
                <w:sz w:val="20"/>
                <w:szCs w:val="20"/>
                <w:lang w:val="af-ZA"/>
              </w:rPr>
              <w:t xml:space="preserve"> </w:t>
            </w:r>
            <w:r w:rsidRPr="0053423A">
              <w:rPr>
                <w:sz w:val="20"/>
                <w:szCs w:val="20"/>
                <w:lang w:val="hy-AM"/>
              </w:rPr>
              <w:t>երրորդ պարբերությամ</w:t>
            </w:r>
            <w:r w:rsidRPr="0053423A">
              <w:rPr>
                <w:sz w:val="20"/>
                <w:szCs w:val="20"/>
              </w:rPr>
              <w:t>բ՝</w:t>
            </w:r>
            <w:r w:rsidRPr="0053423A">
              <w:rPr>
                <w:sz w:val="20"/>
                <w:szCs w:val="20"/>
                <w:lang w:val="af-ZA"/>
              </w:rPr>
              <w:t xml:space="preserve"> </w:t>
            </w:r>
            <w:r w:rsidRPr="0053423A">
              <w:rPr>
                <w:sz w:val="20"/>
                <w:szCs w:val="20"/>
                <w:lang w:val="hy-AM"/>
              </w:rPr>
              <w:t xml:space="preserve"> կրթության բովանդակության արդիականացումը և անհրաժեշտ ենթակառուցվածքների զարգացումը առանցքային համարելու հանձնառությամբ։</w:t>
            </w:r>
          </w:p>
          <w:p w:rsidR="00154773" w:rsidRPr="0053423A" w:rsidRDefault="00154773" w:rsidP="00154773">
            <w:pPr>
              <w:ind w:firstLine="375"/>
              <w:jc w:val="both"/>
              <w:rPr>
                <w:rFonts w:cs="Sylfaen"/>
                <w:sz w:val="20"/>
                <w:szCs w:val="20"/>
                <w:lang w:val="hy-AM"/>
              </w:rPr>
            </w:pPr>
            <w:r w:rsidRPr="0053423A">
              <w:rPr>
                <w:sz w:val="20"/>
                <w:szCs w:val="20"/>
                <w:lang w:val="hy-AM"/>
              </w:rPr>
              <w:t>Միջոցառումը անհրաժեշտությունը բխում լեզվի բնագավառում միասնական ու երկարաժամկետ լեզվական պետական քաղաքականություն իրականացնելու, հանրային կյանքի նոր իրողություններին համաչափ արձագանքելու նպատակադրու</w:t>
            </w:r>
            <w:r w:rsidRPr="0053423A">
              <w:rPr>
                <w:sz w:val="20"/>
                <w:szCs w:val="20"/>
              </w:rPr>
              <w:t>մից</w:t>
            </w:r>
            <w:r w:rsidRPr="0053423A">
              <w:rPr>
                <w:sz w:val="20"/>
                <w:szCs w:val="20"/>
                <w:lang w:val="af-ZA"/>
              </w:rPr>
              <w:t xml:space="preserve">, </w:t>
            </w:r>
            <w:r w:rsidRPr="0053423A">
              <w:rPr>
                <w:sz w:val="20"/>
                <w:szCs w:val="20"/>
              </w:rPr>
              <w:t>ինչպես</w:t>
            </w:r>
            <w:r w:rsidRPr="0053423A">
              <w:rPr>
                <w:sz w:val="20"/>
                <w:szCs w:val="20"/>
                <w:lang w:val="af-ZA"/>
              </w:rPr>
              <w:t xml:space="preserve"> </w:t>
            </w:r>
            <w:r w:rsidRPr="0053423A">
              <w:rPr>
                <w:sz w:val="20"/>
                <w:szCs w:val="20"/>
              </w:rPr>
              <w:t>նաև՝</w:t>
            </w:r>
            <w:r w:rsidRPr="0053423A">
              <w:rPr>
                <w:sz w:val="20"/>
                <w:szCs w:val="20"/>
                <w:lang w:val="hy-AM"/>
              </w:rPr>
              <w:t xml:space="preserve"> Հայաստանի Հանրապետությունում, Արցախի Հանրապետությունում և սփյուռքում գործածվող այբբենարաններում </w:t>
            </w:r>
            <w:r w:rsidRPr="0053423A">
              <w:rPr>
                <w:rFonts w:eastAsia="Times New Roman" w:cs="Times New Roman"/>
                <w:sz w:val="20"/>
                <w:szCs w:val="20"/>
                <w:lang w:val="hy-AM"/>
              </w:rPr>
              <w:t xml:space="preserve">(արևելահայերեն և արևմտահայերեն) </w:t>
            </w:r>
            <w:r w:rsidRPr="0053423A">
              <w:rPr>
                <w:sz w:val="20"/>
                <w:szCs w:val="20"/>
                <w:lang w:val="hy-AM"/>
              </w:rPr>
              <w:t>ձեռագրային արդիական տառատեսակ</w:t>
            </w:r>
            <w:r w:rsidRPr="0053423A">
              <w:rPr>
                <w:rFonts w:cs="Sylfaen"/>
                <w:sz w:val="20"/>
                <w:szCs w:val="20"/>
                <w:lang w:val="hy-AM"/>
              </w:rPr>
              <w:t xml:space="preserve"> մշակելու նպատակից, մասնավորապես՝</w:t>
            </w:r>
          </w:p>
          <w:p w:rsidR="00154773" w:rsidRPr="0053423A" w:rsidRDefault="00154773" w:rsidP="00154773">
            <w:pPr>
              <w:ind w:firstLine="375"/>
              <w:jc w:val="both"/>
              <w:rPr>
                <w:rFonts w:cs="Sylfaen"/>
                <w:sz w:val="20"/>
                <w:szCs w:val="20"/>
                <w:lang w:val="hy-AM"/>
              </w:rPr>
            </w:pPr>
            <w:r w:rsidRPr="0053423A">
              <w:rPr>
                <w:rFonts w:cs="Sylfaen"/>
                <w:sz w:val="20"/>
                <w:szCs w:val="20"/>
                <w:lang w:val="hy-AM"/>
              </w:rPr>
              <w:t>- հայերեն ձեռագիր տառաձևերի (հատկապես մեծատառերի) տա</w:t>
            </w:r>
            <w:r w:rsidRPr="0053423A">
              <w:rPr>
                <w:rFonts w:cs="Sylfaen"/>
                <w:sz w:val="20"/>
                <w:szCs w:val="20"/>
                <w:lang w:val="hy-AM"/>
              </w:rPr>
              <w:softHyphen/>
              <w:t>րա</w:t>
            </w:r>
            <w:r w:rsidRPr="0053423A">
              <w:rPr>
                <w:rFonts w:cs="Sylfaen"/>
                <w:sz w:val="20"/>
                <w:szCs w:val="20"/>
                <w:lang w:val="hy-AM"/>
              </w:rPr>
              <w:softHyphen/>
              <w:t>տե</w:t>
            </w:r>
            <w:r w:rsidRPr="0053423A">
              <w:rPr>
                <w:rFonts w:cs="Sylfaen"/>
                <w:sz w:val="20"/>
                <w:szCs w:val="20"/>
                <w:lang w:val="hy-AM"/>
              </w:rPr>
              <w:softHyphen/>
              <w:t>սա</w:t>
            </w:r>
            <w:r w:rsidRPr="0053423A">
              <w:rPr>
                <w:rFonts w:cs="Sylfaen"/>
                <w:sz w:val="20"/>
                <w:szCs w:val="20"/>
                <w:lang w:val="hy-AM"/>
              </w:rPr>
              <w:softHyphen/>
              <w:t>կու</w:t>
            </w:r>
            <w:r w:rsidRPr="0053423A">
              <w:rPr>
                <w:rFonts w:cs="Sylfaen"/>
                <w:sz w:val="20"/>
                <w:szCs w:val="20"/>
                <w:lang w:val="hy-AM"/>
              </w:rPr>
              <w:softHyphen/>
              <w:t>թյունը վերացնելու և դրանց գրության ձևերը հնարավորինս միասնականացնելու,</w:t>
            </w:r>
          </w:p>
          <w:p w:rsidR="00154773" w:rsidRPr="0053423A" w:rsidRDefault="00154773" w:rsidP="00154773">
            <w:pPr>
              <w:ind w:firstLine="375"/>
              <w:jc w:val="both"/>
              <w:rPr>
                <w:rFonts w:cs="Sylfaen"/>
                <w:sz w:val="20"/>
                <w:szCs w:val="20"/>
                <w:lang w:val="hy-AM"/>
              </w:rPr>
            </w:pPr>
            <w:r w:rsidRPr="0053423A">
              <w:rPr>
                <w:rFonts w:cs="Sylfaen"/>
                <w:sz w:val="20"/>
                <w:szCs w:val="20"/>
                <w:lang w:val="hy-AM"/>
              </w:rPr>
              <w:t>- ձեռագիր տա</w:t>
            </w:r>
            <w:r w:rsidRPr="0053423A">
              <w:rPr>
                <w:rFonts w:cs="Sylfaen"/>
                <w:sz w:val="20"/>
                <w:szCs w:val="20"/>
                <w:lang w:val="hy-AM"/>
              </w:rPr>
              <w:softHyphen/>
              <w:t>ռա</w:t>
            </w:r>
            <w:r w:rsidRPr="0053423A">
              <w:rPr>
                <w:rFonts w:cs="Sylfaen"/>
                <w:sz w:val="20"/>
                <w:szCs w:val="20"/>
                <w:lang w:val="hy-AM"/>
              </w:rPr>
              <w:softHyphen/>
              <w:t>պատկերների միասնական ուրվագծեր մշակելու, ձեռագիր և տպագիր տառապատկերները հնարավորինս մերձեցնելու,  այբեննարանների համար միասնական ձեռագրային տառատեսակ ստեղծելու առաջնահերթությունից։</w:t>
            </w:r>
          </w:p>
          <w:p w:rsidR="00154773" w:rsidRPr="0053423A" w:rsidRDefault="00154773" w:rsidP="00154773">
            <w:pPr>
              <w:ind w:firstLine="375"/>
              <w:jc w:val="both"/>
              <w:rPr>
                <w:rFonts w:cs="Sylfaen"/>
                <w:sz w:val="20"/>
                <w:szCs w:val="20"/>
                <w:lang w:val="hy-AM"/>
              </w:rPr>
            </w:pPr>
          </w:p>
          <w:p w:rsidR="00154773" w:rsidRPr="0053423A" w:rsidRDefault="00154773" w:rsidP="001F6D5D">
            <w:pPr>
              <w:numPr>
                <w:ilvl w:val="1"/>
                <w:numId w:val="470"/>
              </w:numPr>
              <w:contextualSpacing/>
              <w:rPr>
                <w:rFonts w:cs="Sylfaen"/>
                <w:b/>
                <w:sz w:val="20"/>
                <w:szCs w:val="20"/>
                <w:lang w:val="hy-AM"/>
              </w:rPr>
            </w:pPr>
            <w:r w:rsidRPr="0053423A">
              <w:rPr>
                <w:rFonts w:cs="Sylfaen"/>
                <w:b/>
                <w:sz w:val="20"/>
                <w:szCs w:val="20"/>
                <w:lang w:val="hy-AM"/>
              </w:rPr>
              <w:t>Կարգավորման հարաբերությունների ներկա վիճակը և առկա խնդիրները.</w:t>
            </w:r>
          </w:p>
          <w:p w:rsidR="00154773" w:rsidRPr="0053423A" w:rsidRDefault="00154773" w:rsidP="00154773">
            <w:pPr>
              <w:ind w:left="735"/>
              <w:contextualSpacing/>
              <w:rPr>
                <w:rFonts w:cs="Sylfaen"/>
                <w:b/>
                <w:sz w:val="20"/>
                <w:szCs w:val="20"/>
                <w:lang w:val="hy-AM"/>
              </w:rPr>
            </w:pPr>
          </w:p>
          <w:p w:rsidR="00154773" w:rsidRPr="0053423A" w:rsidRDefault="00154773" w:rsidP="00154773">
            <w:pPr>
              <w:ind w:firstLine="375"/>
              <w:jc w:val="both"/>
              <w:rPr>
                <w:rFonts w:cs="Sylfaen"/>
                <w:sz w:val="20"/>
                <w:szCs w:val="20"/>
                <w:lang w:val="hy-AM"/>
              </w:rPr>
            </w:pPr>
            <w:r w:rsidRPr="0053423A">
              <w:rPr>
                <w:rFonts w:cs="Sylfaen"/>
                <w:sz w:val="20"/>
                <w:szCs w:val="20"/>
                <w:lang w:val="hy-AM"/>
              </w:rPr>
              <w:t>Հայաստանի անկախության շրջանում, որը համընկավ համակարգչային միջոցների տարածման հետ, այբբենարաններում ձեռագիր տառապատկերների, ինչպես նաև գրատետրերում տառերի ընդօրինակման նմուշների համար հրատարակիչները կիրառում էին համակարգչային տառատեսակներ, որոնց հիմքում բավական վիճելի որակի ձեռագրատեսակի նմուշներ էին։ Ընդ որում, այս նմուշների հիմքում հայերեն հարուստ գրչական ավանդույթի այնպիսի լուծումներ են, որոնք այսօր արդեն ժամանակավրեպ են։ Ավանդական մի շարք տառաձևեր, որոնք ունեն ավելի վաղ ծագում ու միաժամանակ՝ միանգամայն արդիական կառուցվածք, անտեսված են։</w:t>
            </w:r>
          </w:p>
          <w:p w:rsidR="00154773" w:rsidRPr="0053423A" w:rsidRDefault="00154773" w:rsidP="00154773">
            <w:pPr>
              <w:ind w:firstLine="375"/>
              <w:jc w:val="both"/>
              <w:rPr>
                <w:rFonts w:cs="Sylfaen"/>
                <w:sz w:val="20"/>
                <w:szCs w:val="20"/>
                <w:lang w:val="hy-AM"/>
              </w:rPr>
            </w:pPr>
            <w:r w:rsidRPr="0053423A">
              <w:rPr>
                <w:rFonts w:cs="Arial"/>
                <w:sz w:val="20"/>
                <w:szCs w:val="20"/>
                <w:lang w:val="hy-AM"/>
              </w:rPr>
              <w:t xml:space="preserve">Անցած այս ժամանակահատվածում </w:t>
            </w:r>
            <w:r w:rsidRPr="0053423A">
              <w:rPr>
                <w:rFonts w:cs="Sylfaen"/>
                <w:sz w:val="20"/>
                <w:szCs w:val="20"/>
                <w:lang w:val="hy-AM"/>
              </w:rPr>
              <w:t>այբբենարանների ձեռագրատեսակների փոփոխություններն ընթացել են երեք հիմնական ուղղություններով՝ ա) ձեռագիր մեծատառերի պարզեցում, բ) ձեռագիր և տպագիր մեծատառ տառապատկերների մերձեցում, գ) ձեռագիր մեծատառերի և փոքրատառերի տառապատկերների մերձեցում։ Այս փոփոխությունների արդյունքում ձևավորված ձեռագրատեսակը՝ եզակի բացառություններով, ժամանակի ընթացքում քննություն է բռնել։ Այդուհանդերձ, այսօր գործածվող այբբենարաններում, տառադարաններում, տարրական դասարանների գրատետրերում, ուսումնաօժանդակ նյութերում պահպանվում են որոշ մեծատառերի (Շ, Յ, Ջ, Պ, Տ, Ց) զուգաձևություններ։ Օրակարգային է մեծատառերի ու փոքրատառերի տառապատկերների պարզեցման հարցը, քանի որ մեկ հնչյունի համար միանգամից չորս տառ է ուսուցանվում՝ չորս պատկերով՝ տպագիր մեծատառ և փոքրատառ, ձեռագիր մեծատառ և փոքրատառ։</w:t>
            </w:r>
          </w:p>
          <w:p w:rsidR="00154773" w:rsidRPr="0053423A" w:rsidRDefault="00154773" w:rsidP="00154773">
            <w:pPr>
              <w:ind w:firstLine="375"/>
              <w:jc w:val="both"/>
              <w:rPr>
                <w:rFonts w:cs="Arial"/>
                <w:sz w:val="20"/>
                <w:szCs w:val="20"/>
                <w:lang w:val="hy-AM"/>
              </w:rPr>
            </w:pPr>
            <w:r w:rsidRPr="0053423A">
              <w:rPr>
                <w:rFonts w:cs="Sylfaen"/>
                <w:sz w:val="20"/>
                <w:szCs w:val="20"/>
                <w:lang w:val="hy-AM"/>
              </w:rPr>
              <w:t>Այս և հարակից հարցերը քննարկման կարիք են զգում նախ տարրական դպրոցի համատեքստում, մասնավորապես՝ առաջին դասարանում ձեռագրի ձևավորման և ընթերցանության կարողության</w:t>
            </w:r>
            <w:r w:rsidRPr="0053423A">
              <w:rPr>
                <w:rFonts w:cs="Arial"/>
                <w:sz w:val="20"/>
                <w:szCs w:val="20"/>
                <w:lang w:val="hy-AM"/>
              </w:rPr>
              <w:t xml:space="preserve"> զարգացման խնդրի շրջանակում։ Այբբենարանների, դասագրքերի հեղինակները տառապատկերների ընտրության խնդրի են բախվում նաև արևմտահայ դասագրքեր կազմելիս:</w:t>
            </w:r>
          </w:p>
          <w:p w:rsidR="00154773" w:rsidRPr="0053423A" w:rsidRDefault="00154773" w:rsidP="00154773">
            <w:pPr>
              <w:ind w:firstLine="375"/>
              <w:jc w:val="both"/>
              <w:rPr>
                <w:rFonts w:cs="Arial"/>
                <w:sz w:val="20"/>
                <w:szCs w:val="20"/>
                <w:lang w:val="hy-AM"/>
              </w:rPr>
            </w:pPr>
          </w:p>
          <w:p w:rsidR="00154773" w:rsidRPr="0053423A" w:rsidRDefault="00154773" w:rsidP="001F6D5D">
            <w:pPr>
              <w:numPr>
                <w:ilvl w:val="1"/>
                <w:numId w:val="470"/>
              </w:numPr>
              <w:contextualSpacing/>
              <w:jc w:val="both"/>
              <w:rPr>
                <w:rFonts w:eastAsia="Times New Roman" w:cs="Times New Roman"/>
                <w:b/>
                <w:sz w:val="20"/>
                <w:szCs w:val="20"/>
              </w:rPr>
            </w:pPr>
            <w:r w:rsidRPr="0053423A">
              <w:rPr>
                <w:rFonts w:eastAsia="Times New Roman" w:cs="Times New Roman"/>
                <w:b/>
                <w:sz w:val="20"/>
                <w:szCs w:val="20"/>
                <w:lang w:val="hy-AM"/>
              </w:rPr>
              <w:t>Առկա խնդիրների առաջարկվող լուծումները.</w:t>
            </w:r>
          </w:p>
          <w:p w:rsidR="00154773" w:rsidRPr="0053423A" w:rsidRDefault="00154773" w:rsidP="00154773">
            <w:pPr>
              <w:ind w:left="735"/>
              <w:contextualSpacing/>
              <w:jc w:val="both"/>
              <w:rPr>
                <w:rFonts w:eastAsia="Times New Roman" w:cs="Times New Roman"/>
                <w:b/>
                <w:sz w:val="20"/>
                <w:szCs w:val="20"/>
              </w:rPr>
            </w:pPr>
          </w:p>
          <w:p w:rsidR="00154773" w:rsidRPr="0053423A" w:rsidRDefault="00154773" w:rsidP="00154773">
            <w:pPr>
              <w:ind w:firstLine="375"/>
              <w:jc w:val="both"/>
              <w:rPr>
                <w:sz w:val="20"/>
                <w:szCs w:val="20"/>
                <w:lang w:val="hy-AM"/>
              </w:rPr>
            </w:pPr>
            <w:r w:rsidRPr="0053423A">
              <w:rPr>
                <w:rFonts w:cs="Sylfaen"/>
                <w:sz w:val="20"/>
                <w:szCs w:val="20"/>
                <w:lang w:val="hy-AM"/>
              </w:rPr>
              <w:t>Դպրոցական ձեռագրատեսակներին առաջադրվող վայելչագրության, գրաճանաչության և ընթեռնելիության դյուրինության մանկավարժական-մեթոդական չափորոշիչները մշակելու, այբբենարանների ձեռագիր տառապատկերների ուրվագծերը մշակելու, համակարգչային ձեռագիր տառատեսակի տեխնիկական առաջադրանքի նախագիծ պատրաստելու և տառատեսակը ձեռքբերելու համար նախատեսվում է.</w:t>
            </w:r>
          </w:p>
          <w:p w:rsidR="00154773" w:rsidRPr="0053423A" w:rsidRDefault="00154773" w:rsidP="00154773">
            <w:pPr>
              <w:ind w:firstLine="375"/>
              <w:jc w:val="both"/>
              <w:rPr>
                <w:sz w:val="20"/>
                <w:szCs w:val="20"/>
                <w:lang w:val="hy-AM"/>
              </w:rPr>
            </w:pPr>
            <w:r w:rsidRPr="0053423A">
              <w:rPr>
                <w:sz w:val="20"/>
                <w:szCs w:val="20"/>
                <w:lang w:val="hy-AM"/>
              </w:rPr>
              <w:t>- ոլորտային մասնագետների ներգրավմամբ աշխատանքային խումբ՝ ձեռագիր տառատեսակի հիմնական բնութագրիչների ձևակերպման համար.</w:t>
            </w:r>
          </w:p>
          <w:p w:rsidR="00154773" w:rsidRPr="0053423A" w:rsidRDefault="00154773" w:rsidP="00154773">
            <w:pPr>
              <w:ind w:firstLine="375"/>
              <w:jc w:val="both"/>
              <w:rPr>
                <w:sz w:val="20"/>
                <w:szCs w:val="20"/>
                <w:lang w:val="hy-AM"/>
              </w:rPr>
            </w:pPr>
            <w:r w:rsidRPr="0053423A">
              <w:rPr>
                <w:sz w:val="20"/>
                <w:szCs w:val="20"/>
                <w:lang w:val="hy-AM"/>
              </w:rPr>
              <w:t>ա) տառատեսակը պետք է ներառի հայոց այբուբենի բոլոր գրանշանները (Յունիկոդ այլագրմամբ), օժանդակ գրանշաններ՝ թվանշաններ, կետադրական նշաններ, տառակապակցումներ ապահովող կցագրություններ, ուսումնական գործընթացում անհրաժեշտ տառամասնիկներ և այլն.</w:t>
            </w:r>
          </w:p>
          <w:p w:rsidR="00154773" w:rsidRPr="0053423A" w:rsidRDefault="00154773" w:rsidP="00154773">
            <w:pPr>
              <w:ind w:firstLine="375"/>
              <w:jc w:val="both"/>
              <w:rPr>
                <w:sz w:val="20"/>
                <w:szCs w:val="20"/>
                <w:lang w:val="hy-AM"/>
              </w:rPr>
            </w:pPr>
            <w:r w:rsidRPr="0053423A">
              <w:rPr>
                <w:sz w:val="20"/>
                <w:szCs w:val="20"/>
                <w:lang w:val="hy-AM"/>
              </w:rPr>
              <w:t>բ) պետք է ունենա նվազագույնը երկու ոճ՝ շեղ և թավ շեղ կամ շեղ և գերբարակ շեղ.</w:t>
            </w:r>
          </w:p>
          <w:p w:rsidR="00154773" w:rsidRPr="0053423A" w:rsidRDefault="00154773" w:rsidP="00154773">
            <w:pPr>
              <w:ind w:firstLine="375"/>
              <w:jc w:val="both"/>
              <w:rPr>
                <w:sz w:val="20"/>
                <w:szCs w:val="20"/>
                <w:lang w:val="hy-AM"/>
              </w:rPr>
            </w:pPr>
            <w:r w:rsidRPr="0053423A">
              <w:rPr>
                <w:sz w:val="20"/>
                <w:szCs w:val="20"/>
                <w:lang w:val="hy-AM"/>
              </w:rPr>
              <w:t>գ) պետք է ապահովի տառերի լծորդում. տառազույգերի համար, որոնց սովորական լծորդումը չի ապահովում բնական՝ գրելու իրական ընթացքին բնորոշ եղանակը, մշակվելու են հավելյալ կցագրություններ։</w:t>
            </w:r>
          </w:p>
          <w:p w:rsidR="00154773" w:rsidRPr="0053423A" w:rsidRDefault="00154773" w:rsidP="00154773">
            <w:pPr>
              <w:ind w:firstLine="375"/>
              <w:jc w:val="both"/>
              <w:rPr>
                <w:sz w:val="20"/>
                <w:szCs w:val="20"/>
                <w:lang w:val="hy-AM"/>
              </w:rPr>
            </w:pPr>
          </w:p>
          <w:p w:rsidR="00154773" w:rsidRPr="0053423A" w:rsidRDefault="00154773" w:rsidP="00154773">
            <w:pPr>
              <w:ind w:left="375"/>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left="735"/>
              <w:contextualSpacing/>
              <w:jc w:val="both"/>
              <w:rPr>
                <w:rFonts w:eastAsia="Times New Roman" w:cs="Times New Roman"/>
                <w:b/>
                <w:sz w:val="20"/>
                <w:szCs w:val="20"/>
                <w:lang w:val="hy-AM"/>
              </w:rPr>
            </w:pPr>
          </w:p>
          <w:p w:rsidR="00154773" w:rsidRPr="0053423A" w:rsidRDefault="00154773" w:rsidP="00154773">
            <w:pPr>
              <w:ind w:firstLine="375"/>
              <w:jc w:val="both"/>
              <w:rPr>
                <w:rFonts w:eastAsia="Times New Roman" w:cs="Times New Roman"/>
                <w:sz w:val="20"/>
                <w:szCs w:val="20"/>
                <w:lang w:val="hy-AM"/>
              </w:rPr>
            </w:pPr>
            <w:r w:rsidRPr="0053423A">
              <w:rPr>
                <w:rFonts w:eastAsia="Times New Roman" w:cs="Times New Roman"/>
                <w:sz w:val="20"/>
                <w:szCs w:val="20"/>
                <w:lang w:val="hy-AM"/>
              </w:rPr>
              <w:t>Միջոցառումը թույլ կտա.</w:t>
            </w:r>
          </w:p>
          <w:p w:rsidR="00154773" w:rsidRPr="0053423A" w:rsidRDefault="00154773" w:rsidP="00154773">
            <w:pPr>
              <w:ind w:firstLine="375"/>
              <w:jc w:val="both"/>
              <w:rPr>
                <w:sz w:val="20"/>
                <w:szCs w:val="20"/>
                <w:lang w:val="hy-AM"/>
              </w:rPr>
            </w:pPr>
            <w:r w:rsidRPr="0053423A">
              <w:rPr>
                <w:sz w:val="20"/>
                <w:szCs w:val="20"/>
                <w:lang w:val="hy-AM"/>
              </w:rPr>
              <w:t>- միասնականացնել այբբենարաններում, տառադարաններում, գրատետրերում, ուսումնաօժանդակ նյութերում ձեռագիր տառապատկերների ուրվագծերը.</w:t>
            </w:r>
          </w:p>
          <w:p w:rsidR="00154773" w:rsidRPr="0053423A" w:rsidRDefault="00154773" w:rsidP="00154773">
            <w:pPr>
              <w:ind w:firstLine="375"/>
              <w:jc w:val="both"/>
              <w:rPr>
                <w:sz w:val="20"/>
                <w:szCs w:val="20"/>
                <w:lang w:val="hy-AM"/>
              </w:rPr>
            </w:pPr>
            <w:r w:rsidRPr="0053423A">
              <w:rPr>
                <w:sz w:val="20"/>
                <w:szCs w:val="20"/>
                <w:lang w:val="hy-AM"/>
              </w:rPr>
              <w:t xml:space="preserve">- ունենալ դպրոցական ձեռագրատեսակներին առաջադրվող մանկավարժական-մեթոդական, վայելչագրության, գրուսուցման և </w:t>
            </w:r>
            <w:r w:rsidRPr="0053423A">
              <w:rPr>
                <w:rFonts w:cs="Arial"/>
                <w:sz w:val="20"/>
                <w:szCs w:val="20"/>
                <w:lang w:val="hy-AM"/>
              </w:rPr>
              <w:t xml:space="preserve">ընթեռնելիության </w:t>
            </w:r>
            <w:r w:rsidRPr="0053423A">
              <w:rPr>
                <w:sz w:val="20"/>
                <w:szCs w:val="20"/>
                <w:lang w:val="hy-AM"/>
              </w:rPr>
              <w:t>դյուրինության պահանջներին համապատասխան համակարգչային ձեռագիր որակյալ տառատեսակ (Յունիկոդ այլագրմամբ, նվազագույնը երկու ոճով).</w:t>
            </w:r>
          </w:p>
          <w:p w:rsidR="00154773" w:rsidRPr="0053423A" w:rsidRDefault="00154773" w:rsidP="00154773">
            <w:pPr>
              <w:ind w:firstLine="375"/>
              <w:jc w:val="both"/>
              <w:rPr>
                <w:sz w:val="20"/>
                <w:szCs w:val="20"/>
                <w:lang w:val="hy-AM"/>
              </w:rPr>
            </w:pPr>
            <w:r w:rsidRPr="0053423A">
              <w:rPr>
                <w:sz w:val="20"/>
                <w:szCs w:val="20"/>
                <w:lang w:val="hy-AM"/>
              </w:rPr>
              <w:t>- ապահովել գրաճանաչության (մասնավորապես տարրական դպրոցում) և ձեռագիր տառերի ընթեռնելիության դյուրացում։</w:t>
            </w:r>
          </w:p>
          <w:p w:rsidR="00154773" w:rsidRPr="0053423A" w:rsidRDefault="00154773" w:rsidP="00154773">
            <w:pPr>
              <w:jc w:val="center"/>
              <w:rPr>
                <w:rFonts w:eastAsia="Times New Roman" w:cs="Times New Roman"/>
                <w:b/>
                <w:sz w:val="20"/>
                <w:szCs w:val="20"/>
                <w:lang w:val="hy-AM"/>
              </w:rPr>
            </w:pPr>
          </w:p>
        </w:tc>
      </w:tr>
      <w:tr w:rsidR="00154773" w:rsidRPr="00DE2EF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13</w:t>
            </w:r>
          </w:p>
        </w:tc>
        <w:tc>
          <w:tcPr>
            <w:tcW w:w="10620" w:type="dxa"/>
          </w:tcPr>
          <w:p w:rsidR="00154773" w:rsidRPr="0053423A" w:rsidRDefault="00154773" w:rsidP="00154773">
            <w:pPr>
              <w:widowControl w:val="0"/>
              <w:tabs>
                <w:tab w:val="left" w:pos="1276"/>
                <w:tab w:val="right" w:pos="3376"/>
                <w:tab w:val="center" w:pos="3952"/>
                <w:tab w:val="right" w:pos="5206"/>
                <w:tab w:val="left" w:pos="5393"/>
                <w:tab w:val="center" w:pos="9210"/>
              </w:tabs>
              <w:autoSpaceDE w:val="0"/>
              <w:autoSpaceDN w:val="0"/>
              <w:adjustRightInd w:val="0"/>
              <w:spacing w:before="29" w:after="200" w:line="276" w:lineRule="auto"/>
              <w:ind w:firstLine="360"/>
              <w:contextualSpacing/>
              <w:jc w:val="center"/>
              <w:rPr>
                <w:rFonts w:eastAsia="Times New Roman" w:cs="Times New Roman"/>
                <w:b/>
                <w:sz w:val="20"/>
                <w:szCs w:val="20"/>
                <w:u w:val="single"/>
                <w:lang w:val="hy-AM"/>
              </w:rPr>
            </w:pPr>
            <w:r w:rsidRPr="0053423A">
              <w:rPr>
                <w:b/>
                <w:sz w:val="20"/>
                <w:szCs w:val="20"/>
                <w:u w:val="single"/>
                <w:lang w:val="af-ZA"/>
              </w:rPr>
              <w:t xml:space="preserve">13.1 </w:t>
            </w:r>
            <w:r w:rsidRPr="0053423A">
              <w:rPr>
                <w:rFonts w:eastAsia="Times New Roman" w:cs="Times New Roman"/>
                <w:b/>
                <w:sz w:val="20"/>
                <w:szCs w:val="20"/>
                <w:u w:val="single"/>
                <w:lang w:val="hy-AM"/>
              </w:rPr>
              <w:t>ՈՒսուցիչների մասնագիտական որակավորումների բնութագրերի վերանայում և ՀՀ կրթության և գիտության նախարարի հրամանով հաստատում</w:t>
            </w:r>
          </w:p>
          <w:p w:rsidR="00154773" w:rsidRPr="0053423A" w:rsidRDefault="00154773" w:rsidP="00154773">
            <w:pPr>
              <w:widowControl w:val="0"/>
              <w:tabs>
                <w:tab w:val="left" w:pos="1276"/>
                <w:tab w:val="right" w:pos="3376"/>
                <w:tab w:val="center" w:pos="3952"/>
                <w:tab w:val="right" w:pos="5206"/>
                <w:tab w:val="left" w:pos="5393"/>
                <w:tab w:val="center" w:pos="9210"/>
              </w:tabs>
              <w:autoSpaceDE w:val="0"/>
              <w:autoSpaceDN w:val="0"/>
              <w:adjustRightInd w:val="0"/>
              <w:spacing w:before="29" w:after="200" w:line="276" w:lineRule="auto"/>
              <w:ind w:firstLine="360"/>
              <w:contextualSpacing/>
              <w:jc w:val="both"/>
              <w:rPr>
                <w:b/>
                <w:sz w:val="20"/>
                <w:szCs w:val="20"/>
                <w:highlight w:val="yellow"/>
                <w:u w:val="single"/>
                <w:lang w:val="hy-AM" w:eastAsia="en-GB"/>
              </w:rPr>
            </w:pPr>
          </w:p>
          <w:p w:rsidR="00154773" w:rsidRPr="0053423A" w:rsidRDefault="00154773" w:rsidP="001F6D5D">
            <w:pPr>
              <w:numPr>
                <w:ilvl w:val="0"/>
                <w:numId w:val="450"/>
              </w:numPr>
              <w:spacing w:line="276" w:lineRule="auto"/>
              <w:contextualSpacing/>
              <w:jc w:val="both"/>
              <w:rPr>
                <w:b/>
                <w:sz w:val="20"/>
                <w:szCs w:val="20"/>
                <w:lang w:val="af-ZA" w:eastAsia="en-GB"/>
              </w:rPr>
            </w:pPr>
            <w:r w:rsidRPr="0053423A">
              <w:rPr>
                <w:rFonts w:cs="Sylfaen"/>
                <w:b/>
                <w:sz w:val="20"/>
                <w:szCs w:val="20"/>
                <w:lang w:val="ru-RU" w:eastAsia="en-GB"/>
              </w:rPr>
              <w:t>Միջոցառման</w:t>
            </w:r>
            <w:r w:rsidRPr="0053423A">
              <w:rPr>
                <w:rFonts w:cs="Sylfaen"/>
                <w:b/>
                <w:sz w:val="20"/>
                <w:szCs w:val="20"/>
                <w:lang w:val="hy-AM" w:eastAsia="en-GB"/>
              </w:rPr>
              <w:t xml:space="preserve"> </w:t>
            </w:r>
            <w:r w:rsidRPr="0053423A">
              <w:rPr>
                <w:rFonts w:cs="Sylfaen"/>
                <w:b/>
                <w:sz w:val="20"/>
                <w:szCs w:val="20"/>
                <w:lang w:eastAsia="en-GB"/>
              </w:rPr>
              <w:t xml:space="preserve">իրականացման </w:t>
            </w:r>
            <w:r w:rsidRPr="0053423A">
              <w:rPr>
                <w:rFonts w:cs="Sylfaen"/>
                <w:b/>
                <w:sz w:val="20"/>
                <w:szCs w:val="20"/>
                <w:lang w:val="hy-AM" w:eastAsia="en-GB"/>
              </w:rPr>
              <w:t>անհրաժեշտությունը</w:t>
            </w:r>
            <w:r w:rsidRPr="0053423A">
              <w:rPr>
                <w:b/>
                <w:sz w:val="20"/>
                <w:szCs w:val="20"/>
                <w:lang w:val="af-ZA" w:eastAsia="en-GB"/>
              </w:rPr>
              <w:t xml:space="preserve"> </w:t>
            </w:r>
            <w:r w:rsidRPr="0053423A">
              <w:rPr>
                <w:b/>
                <w:sz w:val="20"/>
                <w:szCs w:val="20"/>
                <w:lang w:val="hy-AM" w:eastAsia="en-GB"/>
              </w:rPr>
              <w:t xml:space="preserve">և </w:t>
            </w:r>
            <w:r w:rsidRPr="0053423A">
              <w:rPr>
                <w:rFonts w:cs="Sylfaen"/>
                <w:b/>
                <w:sz w:val="20"/>
                <w:szCs w:val="20"/>
                <w:lang w:val="hy-AM" w:eastAsia="en-GB"/>
              </w:rPr>
              <w:t>նպատակը</w:t>
            </w:r>
          </w:p>
          <w:p w:rsidR="00154773" w:rsidRPr="0053423A" w:rsidRDefault="00154773" w:rsidP="00154773">
            <w:pPr>
              <w:spacing w:after="200" w:line="276" w:lineRule="auto"/>
              <w:ind w:firstLine="284"/>
              <w:contextualSpacing/>
              <w:jc w:val="both"/>
              <w:rPr>
                <w:rFonts w:cs="Sylfaen"/>
                <w:sz w:val="20"/>
                <w:szCs w:val="20"/>
                <w:highlight w:val="yellow"/>
                <w:lang w:val="ru-RU"/>
              </w:rPr>
            </w:pPr>
          </w:p>
          <w:p w:rsidR="00154773" w:rsidRPr="0053423A" w:rsidRDefault="00154773" w:rsidP="00154773">
            <w:pPr>
              <w:ind w:firstLine="284"/>
              <w:contextualSpacing/>
              <w:jc w:val="both"/>
              <w:rPr>
                <w:spacing w:val="-4"/>
                <w:sz w:val="20"/>
                <w:szCs w:val="20"/>
                <w:lang w:val="ru-RU"/>
              </w:rPr>
            </w:pPr>
            <w:r w:rsidRPr="0053423A">
              <w:rPr>
                <w:spacing w:val="-4"/>
                <w:sz w:val="20"/>
                <w:szCs w:val="20"/>
              </w:rPr>
              <w:t>Միջոցառման</w:t>
            </w:r>
            <w:r w:rsidRPr="0053423A">
              <w:rPr>
                <w:spacing w:val="-4"/>
                <w:sz w:val="20"/>
                <w:szCs w:val="20"/>
                <w:lang w:val="ru-RU"/>
              </w:rPr>
              <w:t xml:space="preserve"> </w:t>
            </w:r>
            <w:r w:rsidRPr="0053423A">
              <w:rPr>
                <w:spacing w:val="-4"/>
                <w:sz w:val="20"/>
                <w:szCs w:val="20"/>
              </w:rPr>
              <w:t>գլխավոր</w:t>
            </w:r>
            <w:r w:rsidRPr="0053423A">
              <w:rPr>
                <w:spacing w:val="-4"/>
                <w:sz w:val="20"/>
                <w:szCs w:val="20"/>
                <w:lang w:val="ru-RU"/>
              </w:rPr>
              <w:t xml:space="preserve"> </w:t>
            </w:r>
            <w:r w:rsidRPr="0053423A">
              <w:rPr>
                <w:spacing w:val="-4"/>
                <w:sz w:val="20"/>
                <w:szCs w:val="20"/>
              </w:rPr>
              <w:t>նպատակն</w:t>
            </w:r>
            <w:r w:rsidRPr="0053423A">
              <w:rPr>
                <w:spacing w:val="-4"/>
                <w:sz w:val="20"/>
                <w:szCs w:val="20"/>
                <w:lang w:val="ru-RU"/>
              </w:rPr>
              <w:t xml:space="preserve"> </w:t>
            </w:r>
            <w:r w:rsidRPr="0053423A">
              <w:rPr>
                <w:spacing w:val="-4"/>
                <w:sz w:val="20"/>
                <w:szCs w:val="20"/>
              </w:rPr>
              <w:t>է</w:t>
            </w:r>
            <w:r w:rsidRPr="0053423A">
              <w:rPr>
                <w:spacing w:val="-4"/>
                <w:sz w:val="20"/>
                <w:szCs w:val="20"/>
                <w:lang w:val="ru-RU"/>
              </w:rPr>
              <w:t xml:space="preserve"> </w:t>
            </w:r>
            <w:r w:rsidRPr="0053423A">
              <w:rPr>
                <w:spacing w:val="-4"/>
                <w:sz w:val="20"/>
                <w:szCs w:val="20"/>
              </w:rPr>
              <w:t>դասավանդողների</w:t>
            </w:r>
            <w:r w:rsidRPr="0053423A">
              <w:rPr>
                <w:spacing w:val="-4"/>
                <w:sz w:val="20"/>
                <w:szCs w:val="20"/>
                <w:lang w:val="ru-RU"/>
              </w:rPr>
              <w:t xml:space="preserve"> </w:t>
            </w:r>
            <w:r w:rsidRPr="0053423A">
              <w:rPr>
                <w:spacing w:val="-4"/>
                <w:sz w:val="20"/>
                <w:szCs w:val="20"/>
              </w:rPr>
              <w:t>կարողությունների</w:t>
            </w:r>
            <w:r w:rsidRPr="0053423A">
              <w:rPr>
                <w:spacing w:val="-4"/>
                <w:sz w:val="20"/>
                <w:szCs w:val="20"/>
                <w:lang w:val="ru-RU"/>
              </w:rPr>
              <w:t xml:space="preserve"> </w:t>
            </w:r>
            <w:r w:rsidRPr="0053423A">
              <w:rPr>
                <w:spacing w:val="-4"/>
                <w:sz w:val="20"/>
                <w:szCs w:val="20"/>
              </w:rPr>
              <w:t>զարգացումը</w:t>
            </w:r>
            <w:r w:rsidRPr="0053423A">
              <w:rPr>
                <w:spacing w:val="-4"/>
                <w:sz w:val="20"/>
                <w:szCs w:val="20"/>
                <w:lang w:val="ru-RU"/>
              </w:rPr>
              <w:t xml:space="preserve"> </w:t>
            </w:r>
            <w:r w:rsidRPr="0053423A">
              <w:rPr>
                <w:spacing w:val="-4"/>
                <w:sz w:val="20"/>
                <w:szCs w:val="20"/>
              </w:rPr>
              <w:t>և</w:t>
            </w:r>
            <w:r w:rsidRPr="0053423A">
              <w:rPr>
                <w:spacing w:val="-4"/>
                <w:sz w:val="20"/>
                <w:szCs w:val="20"/>
                <w:lang w:val="ru-RU"/>
              </w:rPr>
              <w:t xml:space="preserve"> </w:t>
            </w:r>
            <w:r w:rsidRPr="0053423A">
              <w:rPr>
                <w:spacing w:val="-4"/>
                <w:sz w:val="20"/>
                <w:szCs w:val="20"/>
              </w:rPr>
              <w:t>մասնագիտական</w:t>
            </w:r>
            <w:r w:rsidRPr="0053423A">
              <w:rPr>
                <w:spacing w:val="-4"/>
                <w:sz w:val="20"/>
                <w:szCs w:val="20"/>
                <w:lang w:val="ru-RU"/>
              </w:rPr>
              <w:t xml:space="preserve"> </w:t>
            </w:r>
            <w:r w:rsidRPr="0053423A">
              <w:rPr>
                <w:spacing w:val="-4"/>
                <w:sz w:val="20"/>
                <w:szCs w:val="20"/>
              </w:rPr>
              <w:t>հեղինակության</w:t>
            </w:r>
            <w:r w:rsidRPr="0053423A">
              <w:rPr>
                <w:spacing w:val="-4"/>
                <w:sz w:val="20"/>
                <w:szCs w:val="20"/>
                <w:lang w:val="ru-RU"/>
              </w:rPr>
              <w:t xml:space="preserve"> </w:t>
            </w:r>
            <w:r w:rsidRPr="0053423A">
              <w:rPr>
                <w:spacing w:val="-4"/>
                <w:sz w:val="20"/>
                <w:szCs w:val="20"/>
              </w:rPr>
              <w:t>բարձրացումը</w:t>
            </w:r>
            <w:r w:rsidRPr="0053423A">
              <w:rPr>
                <w:spacing w:val="-4"/>
                <w:sz w:val="20"/>
                <w:szCs w:val="20"/>
                <w:lang w:val="ru-RU"/>
              </w:rPr>
              <w:t xml:space="preserve">: </w:t>
            </w:r>
          </w:p>
          <w:p w:rsidR="00154773" w:rsidRPr="0053423A" w:rsidRDefault="00154773" w:rsidP="00154773">
            <w:pPr>
              <w:ind w:firstLine="284"/>
              <w:contextualSpacing/>
              <w:jc w:val="both"/>
              <w:rPr>
                <w:rFonts w:eastAsia="Calibri" w:cs="Sylfaen"/>
                <w:sz w:val="20"/>
                <w:szCs w:val="20"/>
                <w:lang w:val="ru-RU"/>
              </w:rPr>
            </w:pPr>
            <w:r w:rsidRPr="0053423A">
              <w:rPr>
                <w:spacing w:val="-4"/>
                <w:sz w:val="20"/>
                <w:szCs w:val="20"/>
              </w:rPr>
              <w:t>Միջոցառումների</w:t>
            </w:r>
            <w:r w:rsidRPr="0053423A">
              <w:rPr>
                <w:spacing w:val="-4"/>
                <w:sz w:val="20"/>
                <w:szCs w:val="20"/>
                <w:lang w:val="ru-RU"/>
              </w:rPr>
              <w:t xml:space="preserve"> </w:t>
            </w:r>
            <w:r w:rsidRPr="0053423A">
              <w:rPr>
                <w:spacing w:val="-4"/>
                <w:sz w:val="20"/>
                <w:szCs w:val="20"/>
              </w:rPr>
              <w:t>անհրաժեշտությունը</w:t>
            </w:r>
            <w:r w:rsidRPr="0053423A">
              <w:rPr>
                <w:spacing w:val="-4"/>
                <w:sz w:val="20"/>
                <w:szCs w:val="20"/>
                <w:lang w:val="ru-RU"/>
              </w:rPr>
              <w:t xml:space="preserve"> </w:t>
            </w:r>
            <w:r w:rsidRPr="0053423A">
              <w:rPr>
                <w:spacing w:val="-4"/>
                <w:sz w:val="20"/>
                <w:szCs w:val="20"/>
              </w:rPr>
              <w:t>բխում</w:t>
            </w:r>
            <w:r w:rsidRPr="0053423A">
              <w:rPr>
                <w:spacing w:val="-4"/>
                <w:sz w:val="20"/>
                <w:szCs w:val="20"/>
                <w:lang w:val="ru-RU"/>
              </w:rPr>
              <w:t xml:space="preserve"> </w:t>
            </w:r>
            <w:r w:rsidRPr="0053423A">
              <w:rPr>
                <w:spacing w:val="-4"/>
                <w:sz w:val="20"/>
                <w:szCs w:val="20"/>
              </w:rPr>
              <w:t>է</w:t>
            </w:r>
            <w:r w:rsidRPr="0053423A">
              <w:rPr>
                <w:spacing w:val="-4"/>
                <w:sz w:val="20"/>
                <w:szCs w:val="20"/>
                <w:lang w:val="ru-RU"/>
              </w:rPr>
              <w:t xml:space="preserve"> </w:t>
            </w:r>
            <w:r w:rsidRPr="0053423A">
              <w:rPr>
                <w:spacing w:val="-4"/>
                <w:sz w:val="20"/>
                <w:szCs w:val="20"/>
              </w:rPr>
              <w:t>ՀՀ</w:t>
            </w:r>
            <w:r w:rsidRPr="0053423A">
              <w:rPr>
                <w:spacing w:val="-4"/>
                <w:sz w:val="20"/>
                <w:szCs w:val="20"/>
                <w:lang w:val="ru-RU"/>
              </w:rPr>
              <w:t xml:space="preserve"> </w:t>
            </w:r>
            <w:r w:rsidRPr="0053423A">
              <w:rPr>
                <w:spacing w:val="-4"/>
                <w:sz w:val="20"/>
                <w:szCs w:val="20"/>
              </w:rPr>
              <w:t>ԱԺ</w:t>
            </w:r>
            <w:r w:rsidRPr="0053423A">
              <w:rPr>
                <w:spacing w:val="-4"/>
                <w:sz w:val="20"/>
                <w:szCs w:val="20"/>
                <w:lang w:val="ru-RU"/>
              </w:rPr>
              <w:t xml:space="preserve"> 2019 </w:t>
            </w:r>
            <w:r w:rsidRPr="0053423A">
              <w:rPr>
                <w:spacing w:val="-4"/>
                <w:sz w:val="20"/>
                <w:szCs w:val="20"/>
              </w:rPr>
              <w:t>թվականի</w:t>
            </w:r>
            <w:r w:rsidRPr="0053423A">
              <w:rPr>
                <w:spacing w:val="-4"/>
                <w:sz w:val="20"/>
                <w:szCs w:val="20"/>
                <w:lang w:val="ru-RU"/>
              </w:rPr>
              <w:t xml:space="preserve"> </w:t>
            </w:r>
            <w:r w:rsidRPr="0053423A">
              <w:rPr>
                <w:spacing w:val="-4"/>
                <w:sz w:val="20"/>
                <w:szCs w:val="20"/>
              </w:rPr>
              <w:t>փետրվարի</w:t>
            </w:r>
            <w:r w:rsidRPr="0053423A">
              <w:rPr>
                <w:spacing w:val="-4"/>
                <w:sz w:val="20"/>
                <w:szCs w:val="20"/>
                <w:lang w:val="ru-RU"/>
              </w:rPr>
              <w:t xml:space="preserve"> 14-</w:t>
            </w:r>
            <w:r w:rsidRPr="0053423A">
              <w:rPr>
                <w:spacing w:val="-4"/>
                <w:sz w:val="20"/>
                <w:szCs w:val="20"/>
              </w:rPr>
              <w:t>ի</w:t>
            </w:r>
            <w:r w:rsidRPr="0053423A">
              <w:rPr>
                <w:spacing w:val="-4"/>
                <w:sz w:val="20"/>
                <w:szCs w:val="20"/>
                <w:lang w:val="ru-RU"/>
              </w:rPr>
              <w:t xml:space="preserve"> </w:t>
            </w:r>
            <w:r w:rsidRPr="0053423A">
              <w:rPr>
                <w:spacing w:val="-4"/>
                <w:sz w:val="20"/>
                <w:szCs w:val="20"/>
              </w:rPr>
              <w:t>ԱԺՈ</w:t>
            </w:r>
            <w:r w:rsidRPr="0053423A">
              <w:rPr>
                <w:spacing w:val="-4"/>
                <w:sz w:val="20"/>
                <w:szCs w:val="20"/>
                <w:lang w:val="ru-RU"/>
              </w:rPr>
              <w:t>-002-</w:t>
            </w:r>
            <w:r w:rsidRPr="0053423A">
              <w:rPr>
                <w:spacing w:val="-4"/>
                <w:sz w:val="20"/>
                <w:szCs w:val="20"/>
              </w:rPr>
              <w:t>Ն</w:t>
            </w:r>
            <w:r w:rsidRPr="0053423A">
              <w:rPr>
                <w:spacing w:val="-4"/>
                <w:sz w:val="20"/>
                <w:szCs w:val="20"/>
                <w:lang w:val="ru-RU"/>
              </w:rPr>
              <w:t xml:space="preserve"> </w:t>
            </w:r>
            <w:r w:rsidRPr="0053423A">
              <w:rPr>
                <w:spacing w:val="-4"/>
                <w:sz w:val="20"/>
                <w:szCs w:val="20"/>
              </w:rPr>
              <w:t>որոշմամբ</w:t>
            </w:r>
            <w:r w:rsidRPr="0053423A">
              <w:rPr>
                <w:spacing w:val="-4"/>
                <w:sz w:val="20"/>
                <w:szCs w:val="20"/>
                <w:lang w:val="ru-RU"/>
              </w:rPr>
              <w:t xml:space="preserve"> </w:t>
            </w:r>
            <w:r w:rsidRPr="0053423A">
              <w:rPr>
                <w:spacing w:val="-4"/>
                <w:sz w:val="20"/>
                <w:szCs w:val="20"/>
              </w:rPr>
              <w:t>հավանության</w:t>
            </w:r>
            <w:r w:rsidRPr="0053423A">
              <w:rPr>
                <w:spacing w:val="-4"/>
                <w:sz w:val="20"/>
                <w:szCs w:val="20"/>
                <w:lang w:val="ru-RU"/>
              </w:rPr>
              <w:t xml:space="preserve"> </w:t>
            </w:r>
            <w:r w:rsidRPr="0053423A">
              <w:rPr>
                <w:spacing w:val="-4"/>
                <w:sz w:val="20"/>
                <w:szCs w:val="20"/>
              </w:rPr>
              <w:t>արժանացած</w:t>
            </w:r>
            <w:r w:rsidRPr="0053423A">
              <w:rPr>
                <w:spacing w:val="-4"/>
                <w:sz w:val="20"/>
                <w:szCs w:val="20"/>
                <w:lang w:val="ru-RU"/>
              </w:rPr>
              <w:t xml:space="preserve"> </w:t>
            </w:r>
            <w:r w:rsidRPr="0053423A">
              <w:rPr>
                <w:spacing w:val="-4"/>
                <w:sz w:val="20"/>
                <w:szCs w:val="20"/>
              </w:rPr>
              <w:t>ՀՀ</w:t>
            </w:r>
            <w:r w:rsidRPr="0053423A">
              <w:rPr>
                <w:spacing w:val="-4"/>
                <w:sz w:val="20"/>
                <w:szCs w:val="20"/>
                <w:lang w:val="ru-RU"/>
              </w:rPr>
              <w:t xml:space="preserve"> </w:t>
            </w:r>
            <w:r w:rsidRPr="0053423A">
              <w:rPr>
                <w:spacing w:val="-4"/>
                <w:sz w:val="20"/>
                <w:szCs w:val="20"/>
              </w:rPr>
              <w:t>կառավարության</w:t>
            </w:r>
            <w:r w:rsidRPr="0053423A">
              <w:rPr>
                <w:spacing w:val="-4"/>
                <w:sz w:val="20"/>
                <w:szCs w:val="20"/>
                <w:lang w:val="ru-RU"/>
              </w:rPr>
              <w:t xml:space="preserve"> </w:t>
            </w:r>
            <w:r w:rsidRPr="0053423A">
              <w:rPr>
                <w:spacing w:val="-4"/>
                <w:sz w:val="20"/>
                <w:szCs w:val="20"/>
              </w:rPr>
              <w:t>ծրագրի</w:t>
            </w:r>
            <w:r w:rsidRPr="0053423A">
              <w:rPr>
                <w:spacing w:val="-4"/>
                <w:sz w:val="20"/>
                <w:szCs w:val="20"/>
                <w:lang w:val="ru-RU"/>
              </w:rPr>
              <w:t xml:space="preserve"> </w:t>
            </w:r>
            <w:r w:rsidRPr="0053423A">
              <w:rPr>
                <w:rFonts w:eastAsia="Times New Roman" w:cs="Times New Roman"/>
                <w:sz w:val="20"/>
                <w:szCs w:val="20"/>
                <w:lang w:val="ru-RU"/>
              </w:rPr>
              <w:t>«</w:t>
            </w:r>
            <w:r w:rsidRPr="0053423A">
              <w:rPr>
                <w:spacing w:val="-4"/>
                <w:sz w:val="20"/>
                <w:szCs w:val="20"/>
                <w:lang w:val="ru-RU"/>
              </w:rPr>
              <w:t xml:space="preserve">4.4 </w:t>
            </w:r>
            <w:r w:rsidRPr="0053423A">
              <w:rPr>
                <w:spacing w:val="-4"/>
                <w:sz w:val="20"/>
                <w:szCs w:val="20"/>
              </w:rPr>
              <w:t>ԿՐԹՈՒԹՅՈՒՆ</w:t>
            </w:r>
            <w:r w:rsidRPr="0053423A">
              <w:rPr>
                <w:spacing w:val="-4"/>
                <w:sz w:val="20"/>
                <w:szCs w:val="20"/>
                <w:lang w:val="ru-RU"/>
              </w:rPr>
              <w:t xml:space="preserve"> </w:t>
            </w:r>
            <w:r w:rsidRPr="0053423A">
              <w:rPr>
                <w:spacing w:val="-4"/>
                <w:sz w:val="20"/>
                <w:szCs w:val="20"/>
              </w:rPr>
              <w:t>ԵՎ</w:t>
            </w:r>
            <w:r w:rsidRPr="0053423A">
              <w:rPr>
                <w:spacing w:val="-4"/>
                <w:sz w:val="20"/>
                <w:szCs w:val="20"/>
                <w:lang w:val="ru-RU"/>
              </w:rPr>
              <w:t xml:space="preserve"> </w:t>
            </w:r>
            <w:r w:rsidRPr="0053423A">
              <w:rPr>
                <w:spacing w:val="-4"/>
                <w:sz w:val="20"/>
                <w:szCs w:val="20"/>
              </w:rPr>
              <w:t>ԳԻՏՈՒԹՅՈՒՆ</w:t>
            </w:r>
            <w:r w:rsidRPr="0053423A">
              <w:rPr>
                <w:rFonts w:eastAsia="Times New Roman" w:cs="Times New Roman"/>
                <w:sz w:val="20"/>
                <w:szCs w:val="20"/>
                <w:lang w:val="ru-RU"/>
              </w:rPr>
              <w:t xml:space="preserve">»  </w:t>
            </w:r>
            <w:r w:rsidRPr="0053423A">
              <w:rPr>
                <w:rFonts w:eastAsia="Calibri" w:cs="Sylfaen"/>
                <w:sz w:val="20"/>
                <w:szCs w:val="20"/>
                <w:lang w:val="hy-AM"/>
              </w:rPr>
              <w:t>բաժնի</w:t>
            </w:r>
            <w:r w:rsidRPr="0053423A">
              <w:rPr>
                <w:rFonts w:eastAsia="Calibri" w:cs="Sylfaen"/>
                <w:sz w:val="20"/>
                <w:szCs w:val="20"/>
                <w:lang w:val="ru-RU"/>
              </w:rPr>
              <w:t xml:space="preserve"> </w:t>
            </w:r>
            <w:r w:rsidRPr="0053423A">
              <w:rPr>
                <w:rFonts w:cs="Arian AMU"/>
                <w:sz w:val="20"/>
                <w:szCs w:val="20"/>
                <w:lang w:val="et-EE"/>
              </w:rPr>
              <w:t xml:space="preserve">Հանրակրթության ոլորտի </w:t>
            </w:r>
            <w:r w:rsidRPr="0053423A">
              <w:rPr>
                <w:rFonts w:cs="Sylfaen"/>
                <w:sz w:val="20"/>
                <w:szCs w:val="20"/>
                <w:lang w:val="af-ZA"/>
              </w:rPr>
              <w:t>6-րդ, կետից</w:t>
            </w:r>
            <w:r w:rsidRPr="0053423A">
              <w:rPr>
                <w:rFonts w:eastAsia="Calibri" w:cs="Sylfaen"/>
                <w:sz w:val="20"/>
                <w:szCs w:val="20"/>
                <w:lang w:val="ru-RU"/>
              </w:rPr>
              <w:t xml:space="preserve"> ` </w:t>
            </w:r>
            <w:r w:rsidRPr="0053423A">
              <w:rPr>
                <w:rFonts w:eastAsia="Calibri" w:cs="Sylfaen"/>
                <w:sz w:val="20"/>
                <w:szCs w:val="20"/>
              </w:rPr>
              <w:t>ապահովելու</w:t>
            </w:r>
            <w:r w:rsidRPr="0053423A">
              <w:rPr>
                <w:rFonts w:eastAsia="Calibri" w:cs="Sylfaen"/>
                <w:sz w:val="20"/>
                <w:szCs w:val="20"/>
                <w:lang w:val="ru-RU"/>
              </w:rPr>
              <w:t xml:space="preserve"> </w:t>
            </w:r>
            <w:r w:rsidRPr="0053423A">
              <w:rPr>
                <w:rFonts w:eastAsia="Calibri" w:cs="Sylfaen"/>
                <w:sz w:val="20"/>
                <w:szCs w:val="20"/>
              </w:rPr>
              <w:t>համար</w:t>
            </w:r>
            <w:r w:rsidRPr="0053423A">
              <w:rPr>
                <w:rFonts w:eastAsia="Calibri" w:cs="Sylfaen"/>
                <w:sz w:val="20"/>
                <w:szCs w:val="20"/>
                <w:lang w:val="ru-RU"/>
              </w:rPr>
              <w:t xml:space="preserve"> </w:t>
            </w:r>
            <w:r w:rsidRPr="0053423A">
              <w:rPr>
                <w:rFonts w:eastAsia="Calibri" w:cs="Sylfaen"/>
                <w:sz w:val="20"/>
                <w:szCs w:val="20"/>
              </w:rPr>
              <w:t>կրթության</w:t>
            </w:r>
            <w:r w:rsidRPr="0053423A">
              <w:rPr>
                <w:rFonts w:eastAsia="Calibri" w:cs="Sylfaen"/>
                <w:sz w:val="20"/>
                <w:szCs w:val="20"/>
                <w:lang w:val="ru-RU"/>
              </w:rPr>
              <w:t xml:space="preserve"> </w:t>
            </w:r>
            <w:r w:rsidRPr="0053423A">
              <w:rPr>
                <w:rFonts w:eastAsia="Calibri" w:cs="Sylfaen"/>
                <w:sz w:val="20"/>
                <w:szCs w:val="20"/>
              </w:rPr>
              <w:t>որակն</w:t>
            </w:r>
            <w:r w:rsidRPr="0053423A">
              <w:rPr>
                <w:rFonts w:eastAsia="Calibri" w:cs="Sylfaen"/>
                <w:sz w:val="20"/>
                <w:szCs w:val="20"/>
                <w:lang w:val="ru-RU"/>
              </w:rPr>
              <w:t xml:space="preserve"> </w:t>
            </w:r>
            <w:r w:rsidRPr="0053423A">
              <w:rPr>
                <w:rFonts w:eastAsia="Calibri" w:cs="Sylfaen"/>
                <w:sz w:val="20"/>
                <w:szCs w:val="20"/>
              </w:rPr>
              <w:t>ու</w:t>
            </w:r>
            <w:r w:rsidRPr="0053423A">
              <w:rPr>
                <w:rFonts w:eastAsia="Calibri" w:cs="Sylfaen"/>
                <w:sz w:val="20"/>
                <w:szCs w:val="20"/>
                <w:lang w:val="ru-RU"/>
              </w:rPr>
              <w:t xml:space="preserve"> </w:t>
            </w:r>
            <w:r w:rsidRPr="0053423A">
              <w:rPr>
                <w:rFonts w:eastAsia="Calibri" w:cs="Sylfaen"/>
                <w:sz w:val="20"/>
                <w:szCs w:val="20"/>
              </w:rPr>
              <w:t>արդիականությունը</w:t>
            </w:r>
            <w:r w:rsidRPr="0053423A">
              <w:rPr>
                <w:rFonts w:eastAsia="Calibri" w:cs="Sylfaen"/>
                <w:sz w:val="20"/>
                <w:szCs w:val="20"/>
                <w:lang w:val="ru-RU"/>
              </w:rPr>
              <w:t xml:space="preserve">, </w:t>
            </w:r>
            <w:r w:rsidRPr="0053423A">
              <w:rPr>
                <w:rFonts w:eastAsia="Calibri" w:cs="Sylfaen"/>
                <w:sz w:val="20"/>
                <w:szCs w:val="20"/>
              </w:rPr>
              <w:t>նոր</w:t>
            </w:r>
            <w:r w:rsidRPr="0053423A">
              <w:rPr>
                <w:rFonts w:eastAsia="Calibri" w:cs="Sylfaen"/>
                <w:sz w:val="20"/>
                <w:szCs w:val="20"/>
                <w:lang w:val="ru-RU"/>
              </w:rPr>
              <w:t xml:space="preserve"> </w:t>
            </w:r>
            <w:r w:rsidRPr="0053423A">
              <w:rPr>
                <w:rFonts w:eastAsia="Calibri" w:cs="Sylfaen"/>
                <w:sz w:val="20"/>
                <w:szCs w:val="20"/>
              </w:rPr>
              <w:t>բովանդակություն</w:t>
            </w:r>
            <w:r w:rsidRPr="0053423A">
              <w:rPr>
                <w:rFonts w:eastAsia="Calibri" w:cs="Sylfaen"/>
                <w:sz w:val="20"/>
                <w:szCs w:val="20"/>
                <w:lang w:val="ru-RU"/>
              </w:rPr>
              <w:t xml:space="preserve"> </w:t>
            </w:r>
            <w:r w:rsidRPr="0053423A">
              <w:rPr>
                <w:rFonts w:eastAsia="Calibri" w:cs="Sylfaen"/>
                <w:sz w:val="20"/>
                <w:szCs w:val="20"/>
              </w:rPr>
              <w:t>հաղորդելու</w:t>
            </w:r>
            <w:r w:rsidRPr="0053423A">
              <w:rPr>
                <w:rFonts w:eastAsia="Calibri" w:cs="Sylfaen"/>
                <w:sz w:val="20"/>
                <w:szCs w:val="20"/>
                <w:lang w:val="ru-RU"/>
              </w:rPr>
              <w:t xml:space="preserve"> 12-</w:t>
            </w:r>
            <w:r w:rsidRPr="0053423A">
              <w:rPr>
                <w:rFonts w:eastAsia="Calibri" w:cs="Sylfaen"/>
                <w:sz w:val="20"/>
                <w:szCs w:val="20"/>
              </w:rPr>
              <w:t>ամյա</w:t>
            </w:r>
            <w:r w:rsidRPr="0053423A">
              <w:rPr>
                <w:rFonts w:eastAsia="Calibri" w:cs="Sylfaen"/>
                <w:sz w:val="20"/>
                <w:szCs w:val="20"/>
                <w:lang w:val="ru-RU"/>
              </w:rPr>
              <w:t xml:space="preserve"> </w:t>
            </w:r>
            <w:r w:rsidRPr="0053423A">
              <w:rPr>
                <w:rFonts w:eastAsia="Calibri" w:cs="Sylfaen"/>
                <w:sz w:val="20"/>
                <w:szCs w:val="20"/>
              </w:rPr>
              <w:t>կրթությանը</w:t>
            </w:r>
            <w:r w:rsidRPr="0053423A">
              <w:rPr>
                <w:rFonts w:eastAsia="Calibri" w:cs="Sylfaen"/>
                <w:sz w:val="20"/>
                <w:szCs w:val="20"/>
                <w:lang w:val="ru-RU"/>
              </w:rPr>
              <w:t>:</w:t>
            </w:r>
          </w:p>
          <w:p w:rsidR="00154773" w:rsidRPr="0053423A" w:rsidRDefault="00154773" w:rsidP="00154773">
            <w:pPr>
              <w:jc w:val="both"/>
              <w:rPr>
                <w:color w:val="000000" w:themeColor="text1"/>
                <w:sz w:val="20"/>
                <w:szCs w:val="20"/>
                <w:lang w:val="af-ZA"/>
              </w:rPr>
            </w:pPr>
            <w:r w:rsidRPr="0053423A">
              <w:rPr>
                <w:color w:val="000000" w:themeColor="text1"/>
                <w:sz w:val="20"/>
                <w:szCs w:val="20"/>
                <w:lang w:val="hy-AM"/>
              </w:rPr>
              <w:t>Հանրակրթական դպրոցների ուսուցիչների որակավորումների՝ միջազգայնորեն ընդունված չափանիշներին</w:t>
            </w:r>
            <w:r w:rsidRPr="0053423A">
              <w:rPr>
                <w:color w:val="000000" w:themeColor="text1"/>
                <w:sz w:val="20"/>
                <w:szCs w:val="20"/>
                <w:lang w:val="af-ZA"/>
              </w:rPr>
              <w:t xml:space="preserve"> </w:t>
            </w:r>
            <w:r w:rsidRPr="0053423A">
              <w:rPr>
                <w:color w:val="000000" w:themeColor="text1"/>
                <w:sz w:val="20"/>
                <w:szCs w:val="20"/>
                <w:lang w:val="hy-AM"/>
              </w:rPr>
              <w:t>համապատասխանեցնելու նպատակով</w:t>
            </w:r>
            <w:r w:rsidRPr="0053423A">
              <w:rPr>
                <w:color w:val="000000" w:themeColor="text1"/>
                <w:sz w:val="20"/>
                <w:szCs w:val="20"/>
                <w:lang w:val="af-ZA"/>
              </w:rPr>
              <w:t xml:space="preserve"> </w:t>
            </w:r>
            <w:r w:rsidRPr="0053423A">
              <w:rPr>
                <w:color w:val="000000" w:themeColor="text1"/>
                <w:sz w:val="20"/>
                <w:szCs w:val="20"/>
              </w:rPr>
              <w:t>առկա</w:t>
            </w:r>
            <w:r w:rsidRPr="0053423A">
              <w:rPr>
                <w:color w:val="000000" w:themeColor="text1"/>
                <w:sz w:val="20"/>
                <w:szCs w:val="20"/>
                <w:lang w:val="af-ZA"/>
              </w:rPr>
              <w:t xml:space="preserve"> </w:t>
            </w:r>
            <w:r w:rsidRPr="0053423A">
              <w:rPr>
                <w:color w:val="000000" w:themeColor="text1"/>
                <w:sz w:val="20"/>
                <w:szCs w:val="20"/>
              </w:rPr>
              <w:t>է</w:t>
            </w:r>
            <w:r w:rsidRPr="0053423A">
              <w:rPr>
                <w:color w:val="000000" w:themeColor="text1"/>
                <w:sz w:val="20"/>
                <w:szCs w:val="20"/>
                <w:lang w:val="hy-AM"/>
              </w:rPr>
              <w:t xml:space="preserve"> </w:t>
            </w:r>
            <w:r w:rsidRPr="0053423A">
              <w:rPr>
                <w:color w:val="000000" w:themeColor="text1"/>
                <w:sz w:val="20"/>
                <w:szCs w:val="20"/>
                <w:lang w:val="af-ZA"/>
              </w:rPr>
              <w:t xml:space="preserve"> </w:t>
            </w:r>
            <w:r w:rsidRPr="0053423A">
              <w:rPr>
                <w:color w:val="000000" w:themeColor="text1"/>
                <w:sz w:val="20"/>
                <w:szCs w:val="20"/>
              </w:rPr>
              <w:t>բնութագրերի</w:t>
            </w:r>
            <w:r w:rsidRPr="0053423A">
              <w:rPr>
                <w:color w:val="000000" w:themeColor="text1"/>
                <w:sz w:val="20"/>
                <w:szCs w:val="20"/>
                <w:lang w:val="af-ZA"/>
              </w:rPr>
              <w:t xml:space="preserve"> </w:t>
            </w:r>
            <w:r w:rsidRPr="0053423A">
              <w:rPr>
                <w:color w:val="000000" w:themeColor="text1"/>
                <w:sz w:val="20"/>
                <w:szCs w:val="20"/>
                <w:lang w:val="hy-AM"/>
              </w:rPr>
              <w:t>վերանայ</w:t>
            </w:r>
            <w:r w:rsidRPr="0053423A">
              <w:rPr>
                <w:color w:val="000000" w:themeColor="text1"/>
                <w:sz w:val="20"/>
                <w:szCs w:val="20"/>
              </w:rPr>
              <w:t>ման</w:t>
            </w:r>
            <w:r w:rsidRPr="0053423A">
              <w:rPr>
                <w:color w:val="000000" w:themeColor="text1"/>
                <w:sz w:val="20"/>
                <w:szCs w:val="20"/>
                <w:lang w:val="hy-AM"/>
              </w:rPr>
              <w:t xml:space="preserve"> </w:t>
            </w:r>
            <w:r w:rsidRPr="0053423A">
              <w:rPr>
                <w:color w:val="000000" w:themeColor="text1"/>
                <w:sz w:val="20"/>
                <w:szCs w:val="20"/>
              </w:rPr>
              <w:t>անհրաժեշտություն</w:t>
            </w:r>
            <w:r w:rsidRPr="0053423A">
              <w:rPr>
                <w:color w:val="000000" w:themeColor="text1"/>
                <w:sz w:val="20"/>
                <w:szCs w:val="20"/>
                <w:lang w:val="ru-RU"/>
              </w:rPr>
              <w:t xml:space="preserve"> </w:t>
            </w:r>
            <w:r w:rsidRPr="0053423A">
              <w:rPr>
                <w:color w:val="000000" w:themeColor="text1"/>
                <w:sz w:val="20"/>
                <w:szCs w:val="20"/>
              </w:rPr>
              <w:t>և</w:t>
            </w:r>
            <w:r w:rsidRPr="0053423A">
              <w:rPr>
                <w:color w:val="000000" w:themeColor="text1"/>
                <w:sz w:val="20"/>
                <w:szCs w:val="20"/>
                <w:lang w:val="ru-RU"/>
              </w:rPr>
              <w:t xml:space="preserve"> </w:t>
            </w:r>
            <w:r w:rsidRPr="0053423A">
              <w:rPr>
                <w:color w:val="000000" w:themeColor="text1"/>
                <w:sz w:val="20"/>
                <w:szCs w:val="20"/>
              </w:rPr>
              <w:t>դրանց</w:t>
            </w:r>
            <w:r w:rsidRPr="0053423A">
              <w:rPr>
                <w:color w:val="000000" w:themeColor="text1"/>
                <w:sz w:val="20"/>
                <w:szCs w:val="20"/>
                <w:lang w:val="ru-RU"/>
              </w:rPr>
              <w:t xml:space="preserve"> </w:t>
            </w:r>
            <w:r w:rsidRPr="0053423A">
              <w:rPr>
                <w:color w:val="000000" w:themeColor="text1"/>
                <w:sz w:val="20"/>
                <w:szCs w:val="20"/>
              </w:rPr>
              <w:t>հաստատում</w:t>
            </w:r>
            <w:r w:rsidRPr="0053423A">
              <w:rPr>
                <w:color w:val="000000" w:themeColor="text1"/>
                <w:sz w:val="20"/>
                <w:szCs w:val="20"/>
                <w:lang w:val="af-ZA"/>
              </w:rPr>
              <w:t>:</w:t>
            </w:r>
          </w:p>
          <w:p w:rsidR="00154773" w:rsidRPr="0053423A" w:rsidRDefault="00154773" w:rsidP="00154773">
            <w:pPr>
              <w:jc w:val="both"/>
              <w:rPr>
                <w:sz w:val="20"/>
                <w:szCs w:val="20"/>
                <w:lang w:val="af-ZA"/>
              </w:rPr>
            </w:pPr>
          </w:p>
          <w:p w:rsidR="00154773" w:rsidRPr="0053423A" w:rsidRDefault="00154773" w:rsidP="00154773">
            <w:pPr>
              <w:ind w:left="450"/>
              <w:jc w:val="both"/>
              <w:rPr>
                <w:rFonts w:cs="Sylfaen"/>
                <w:b/>
                <w:sz w:val="20"/>
                <w:szCs w:val="20"/>
                <w:lang w:val="af-ZA"/>
              </w:rPr>
            </w:pPr>
            <w:r w:rsidRPr="0053423A">
              <w:rPr>
                <w:rFonts w:cs="Sylfaen"/>
                <w:b/>
                <w:sz w:val="20"/>
                <w:szCs w:val="20"/>
                <w:lang w:val="af-ZA"/>
              </w:rPr>
              <w:t xml:space="preserve">1.1.  </w:t>
            </w:r>
            <w:r w:rsidRPr="0053423A">
              <w:rPr>
                <w:rFonts w:cs="Sylfaen"/>
                <w:b/>
                <w:sz w:val="20"/>
                <w:szCs w:val="20"/>
              </w:rPr>
              <w:t>կ</w:t>
            </w:r>
            <w:r w:rsidRPr="0053423A">
              <w:rPr>
                <w:rFonts w:cs="Sylfaen"/>
                <w:b/>
                <w:sz w:val="20"/>
                <w:szCs w:val="20"/>
                <w:lang w:val="hy-AM"/>
              </w:rPr>
              <w:t>արգավորման հարաբերությունների ներկա վիճակը և առկա խնդիրները.</w:t>
            </w:r>
          </w:p>
          <w:p w:rsidR="00154773" w:rsidRPr="0053423A" w:rsidRDefault="00154773" w:rsidP="00154773">
            <w:pPr>
              <w:jc w:val="both"/>
              <w:rPr>
                <w:rFonts w:cs="Sylfaen"/>
                <w:sz w:val="20"/>
                <w:szCs w:val="20"/>
                <w:lang w:val="af-ZA"/>
              </w:rPr>
            </w:pPr>
          </w:p>
          <w:p w:rsidR="00154773" w:rsidRPr="0053423A" w:rsidRDefault="00154773" w:rsidP="00154773">
            <w:pPr>
              <w:ind w:firstLine="720"/>
              <w:jc w:val="both"/>
              <w:rPr>
                <w:rFonts w:cs="Sylfaen"/>
                <w:sz w:val="20"/>
                <w:szCs w:val="20"/>
                <w:lang w:val="af-ZA"/>
              </w:rPr>
            </w:pPr>
            <w:r w:rsidRPr="0053423A">
              <w:rPr>
                <w:sz w:val="20"/>
                <w:szCs w:val="20"/>
                <w:lang w:val="af-ZA"/>
              </w:rPr>
              <w:t>Հանրակրթական դպրոցների ուսուցիչների մասնագիտական որակավորումների բնութագրերը լիովին չեն ներկայացնում/ապահովում այն շրջանակը, որին ուսուցիչը պետք է բավարարի, ուստի դրանք  ունեն խիստ վերանայման կարիք՝ համեմատ միջազգային չափանիշների հետ համեմատությամբ:</w:t>
            </w:r>
          </w:p>
          <w:p w:rsidR="00154773" w:rsidRPr="0053423A" w:rsidRDefault="00154773" w:rsidP="00154773">
            <w:pPr>
              <w:ind w:firstLine="375"/>
              <w:jc w:val="both"/>
              <w:rPr>
                <w:sz w:val="20"/>
                <w:szCs w:val="20"/>
                <w:lang w:val="af-ZA"/>
              </w:rPr>
            </w:pPr>
          </w:p>
          <w:p w:rsidR="00154773" w:rsidRPr="0053423A" w:rsidRDefault="00154773" w:rsidP="00154773">
            <w:pPr>
              <w:ind w:left="540"/>
              <w:contextualSpacing/>
              <w:jc w:val="both"/>
              <w:rPr>
                <w:rFonts w:eastAsia="Times New Roman" w:cs="Times New Roman"/>
                <w:b/>
                <w:sz w:val="20"/>
                <w:szCs w:val="20"/>
                <w:lang w:val="af-ZA"/>
              </w:rPr>
            </w:pPr>
            <w:r w:rsidRPr="0053423A">
              <w:rPr>
                <w:rFonts w:eastAsia="Times New Roman" w:cs="Times New Roman"/>
                <w:b/>
                <w:sz w:val="20"/>
                <w:szCs w:val="20"/>
                <w:lang w:val="af-ZA"/>
              </w:rPr>
              <w:t xml:space="preserve">1.2.    </w:t>
            </w:r>
            <w:r w:rsidRPr="0053423A">
              <w:rPr>
                <w:rFonts w:eastAsia="Times New Roman" w:cs="Times New Roman"/>
                <w:b/>
                <w:sz w:val="20"/>
                <w:szCs w:val="20"/>
              </w:rPr>
              <w:t>ա</w:t>
            </w:r>
            <w:r w:rsidRPr="0053423A">
              <w:rPr>
                <w:rFonts w:eastAsia="Times New Roman" w:cs="Times New Roman"/>
                <w:b/>
                <w:sz w:val="20"/>
                <w:szCs w:val="20"/>
                <w:lang w:val="hy-AM"/>
              </w:rPr>
              <w:t>ռկա խնդիրների առաջարկվող լուծումները.</w:t>
            </w:r>
          </w:p>
          <w:p w:rsidR="00154773" w:rsidRPr="0053423A" w:rsidRDefault="00154773" w:rsidP="00154773">
            <w:pPr>
              <w:tabs>
                <w:tab w:val="left" w:pos="2790"/>
              </w:tabs>
              <w:jc w:val="both"/>
              <w:rPr>
                <w:rFonts w:eastAsia="Times New Roman" w:cs="Times New Roman"/>
                <w:b/>
                <w:sz w:val="20"/>
                <w:szCs w:val="20"/>
                <w:lang w:val="af-ZA"/>
              </w:rPr>
            </w:pPr>
          </w:p>
          <w:p w:rsidR="00154773" w:rsidRPr="0053423A" w:rsidRDefault="00154773" w:rsidP="00154773">
            <w:pPr>
              <w:tabs>
                <w:tab w:val="left" w:pos="2790"/>
              </w:tabs>
              <w:ind w:left="630" w:hanging="180"/>
              <w:jc w:val="both"/>
              <w:rPr>
                <w:rFonts w:eastAsia="Times New Roman" w:cs="Times New Roman"/>
                <w:b/>
                <w:sz w:val="20"/>
                <w:szCs w:val="20"/>
                <w:lang w:val="af-ZA"/>
              </w:rPr>
            </w:pPr>
          </w:p>
          <w:p w:rsidR="00154773" w:rsidRPr="0053423A" w:rsidRDefault="00154773" w:rsidP="00154773">
            <w:pPr>
              <w:tabs>
                <w:tab w:val="left" w:pos="0"/>
                <w:tab w:val="left" w:pos="2790"/>
              </w:tabs>
              <w:ind w:firstLine="450"/>
              <w:jc w:val="both"/>
              <w:rPr>
                <w:rFonts w:cs="Sylfaen"/>
                <w:sz w:val="20"/>
                <w:szCs w:val="20"/>
                <w:lang w:val="af-ZA"/>
              </w:rPr>
            </w:pPr>
            <w:r w:rsidRPr="0053423A">
              <w:rPr>
                <w:rFonts w:cs="Sylfaen"/>
                <w:sz w:val="20"/>
                <w:szCs w:val="20"/>
                <w:lang w:val="af-ZA"/>
              </w:rPr>
              <w:t xml:space="preserve">  Նախատեսվող նախաձեռնությամբ հանրա</w:t>
            </w:r>
            <w:r w:rsidRPr="0053423A">
              <w:rPr>
                <w:sz w:val="20"/>
                <w:szCs w:val="20"/>
                <w:lang w:val="af-ZA"/>
              </w:rPr>
              <w:t xml:space="preserve">կրթական դպրոցների ուսուցիչների մասնագիտական որակավորումների բնութագրերը կուսումնասիրվեն, կքննարկվեն, կվերանայվեն և  կհամապատասխանեցվեն միջազգային չափանիշներին, ինչի ապահովմամբ ուսուցչի գործունեության շրջանակը առավել կհստակեցվի: </w:t>
            </w:r>
          </w:p>
          <w:p w:rsidR="00154773" w:rsidRPr="0053423A" w:rsidRDefault="00154773" w:rsidP="00154773">
            <w:pPr>
              <w:tabs>
                <w:tab w:val="left" w:pos="0"/>
                <w:tab w:val="left" w:pos="2790"/>
              </w:tabs>
              <w:ind w:firstLine="450"/>
              <w:jc w:val="both"/>
              <w:rPr>
                <w:rFonts w:cs="Sylfaen"/>
                <w:sz w:val="20"/>
                <w:szCs w:val="20"/>
                <w:lang w:val="af-ZA"/>
              </w:rPr>
            </w:pPr>
          </w:p>
          <w:p w:rsidR="00154773" w:rsidRPr="0053423A" w:rsidRDefault="00154773" w:rsidP="00154773">
            <w:pPr>
              <w:tabs>
                <w:tab w:val="left" w:pos="2790"/>
              </w:tabs>
              <w:ind w:left="720"/>
              <w:contextualSpacing/>
              <w:jc w:val="both"/>
              <w:rPr>
                <w:rFonts w:cs="Sylfaen"/>
                <w:sz w:val="20"/>
                <w:szCs w:val="20"/>
                <w:lang w:val="af-ZA"/>
              </w:rPr>
            </w:pPr>
            <w:r w:rsidRPr="0053423A">
              <w:rPr>
                <w:b/>
                <w:sz w:val="20"/>
                <w:szCs w:val="20"/>
                <w:lang w:val="af-ZA"/>
              </w:rPr>
              <w:t xml:space="preserve">2. </w:t>
            </w:r>
            <w:r w:rsidRPr="0053423A">
              <w:rPr>
                <w:b/>
                <w:sz w:val="20"/>
                <w:szCs w:val="20"/>
              </w:rPr>
              <w:t>Միջոցառման</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r w:rsidRPr="0053423A">
              <w:rPr>
                <w:sz w:val="20"/>
                <w:szCs w:val="20"/>
                <w:lang w:val="af-ZA"/>
              </w:rPr>
              <w:t xml:space="preserve"> </w:t>
            </w:r>
          </w:p>
          <w:p w:rsidR="00154773" w:rsidRPr="0053423A" w:rsidRDefault="00154773" w:rsidP="00154773">
            <w:pPr>
              <w:tabs>
                <w:tab w:val="left" w:pos="2790"/>
              </w:tabs>
              <w:ind w:left="720"/>
              <w:contextualSpacing/>
              <w:jc w:val="both"/>
              <w:rPr>
                <w:rFonts w:cs="Sylfaen"/>
                <w:sz w:val="20"/>
                <w:szCs w:val="20"/>
                <w:lang w:val="af-ZA"/>
              </w:rPr>
            </w:pPr>
          </w:p>
          <w:p w:rsidR="00154773" w:rsidRPr="0053423A" w:rsidRDefault="00154773" w:rsidP="00154773">
            <w:pPr>
              <w:jc w:val="center"/>
              <w:rPr>
                <w:rFonts w:eastAsia="Times New Roman" w:cs="Times New Roman"/>
                <w:b/>
                <w:sz w:val="20"/>
                <w:szCs w:val="20"/>
                <w:lang w:val="hy-AM"/>
              </w:rPr>
            </w:pPr>
            <w:r w:rsidRPr="0053423A">
              <w:rPr>
                <w:rFonts w:cs="Sylfaen"/>
                <w:sz w:val="20"/>
                <w:szCs w:val="20"/>
                <w:lang w:val="af-ZA"/>
              </w:rPr>
              <w:t xml:space="preserve">     Արդյունքում կսահմանվեն </w:t>
            </w:r>
            <w:r w:rsidRPr="0053423A">
              <w:rPr>
                <w:sz w:val="20"/>
                <w:szCs w:val="20"/>
                <w:lang w:val="af-ZA"/>
              </w:rPr>
              <w:t>միջազգայնորեն ընդունված չափանիշներին համապատասխան ուսուցիչների մասնագիտական որակավորումների վերանայված բնութագրեր:</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contextualSpacing/>
              <w:jc w:val="center"/>
              <w:rPr>
                <w:b/>
                <w:sz w:val="20"/>
                <w:szCs w:val="20"/>
                <w:u w:val="single"/>
                <w:lang w:val="af-ZA"/>
              </w:rPr>
            </w:pPr>
            <w:r w:rsidRPr="0053423A">
              <w:rPr>
                <w:b/>
                <w:sz w:val="20"/>
                <w:szCs w:val="20"/>
                <w:u w:val="single"/>
                <w:lang w:val="af-ZA"/>
              </w:rPr>
              <w:t xml:space="preserve">13.2 Ուսուցիչների մասնագիտական որակավորման բնութագրերի ներդրման քաղաքականության և ժամանակացույցի մշակում </w:t>
            </w:r>
            <w:r w:rsidRPr="0053423A">
              <w:rPr>
                <w:b/>
                <w:sz w:val="20"/>
                <w:szCs w:val="20"/>
                <w:u w:val="single"/>
                <w:lang w:val="hy-AM"/>
              </w:rPr>
              <w:t xml:space="preserve">և </w:t>
            </w:r>
            <w:r w:rsidRPr="0053423A">
              <w:rPr>
                <w:b/>
                <w:sz w:val="20"/>
                <w:szCs w:val="20"/>
                <w:u w:val="single"/>
                <w:lang w:val="af-ZA"/>
              </w:rPr>
              <w:t>հաստատում</w:t>
            </w:r>
          </w:p>
          <w:p w:rsidR="00154773" w:rsidRPr="0053423A" w:rsidRDefault="00154773" w:rsidP="00154773">
            <w:pPr>
              <w:rPr>
                <w:rFonts w:cs="Sylfaen"/>
                <w:b/>
                <w:sz w:val="20"/>
                <w:szCs w:val="20"/>
                <w:lang w:val="fr-FR"/>
              </w:rPr>
            </w:pPr>
          </w:p>
          <w:p w:rsidR="00154773" w:rsidRPr="0053423A" w:rsidRDefault="00154773" w:rsidP="001F6D5D">
            <w:pPr>
              <w:numPr>
                <w:ilvl w:val="0"/>
                <w:numId w:val="490"/>
              </w:numPr>
              <w:contextualSpacing/>
              <w:jc w:val="both"/>
              <w:rPr>
                <w:b/>
                <w:sz w:val="20"/>
                <w:szCs w:val="20"/>
                <w:lang w:val="af-ZA"/>
              </w:rPr>
            </w:pPr>
            <w:r w:rsidRPr="0053423A">
              <w:rPr>
                <w:rFonts w:cs="Sylfaen"/>
                <w:b/>
                <w:sz w:val="20"/>
                <w:szCs w:val="20"/>
              </w:rPr>
              <w:t>Միջոցառման</w:t>
            </w:r>
            <w:r w:rsidRPr="0053423A">
              <w:rPr>
                <w:b/>
                <w:sz w:val="20"/>
                <w:szCs w:val="20"/>
                <w:lang w:val="af-ZA"/>
              </w:rPr>
              <w:t xml:space="preserve"> </w:t>
            </w:r>
            <w:r w:rsidRPr="0053423A">
              <w:rPr>
                <w:b/>
                <w:sz w:val="20"/>
                <w:szCs w:val="20"/>
              </w:rPr>
              <w:t>իրականացման</w:t>
            </w:r>
            <w:r w:rsidRPr="0053423A">
              <w:rPr>
                <w:b/>
                <w:sz w:val="20"/>
                <w:szCs w:val="20"/>
                <w:lang w:val="af-ZA"/>
              </w:rPr>
              <w:t xml:space="preserve"> </w:t>
            </w:r>
            <w:r w:rsidRPr="0053423A">
              <w:rPr>
                <w:b/>
                <w:sz w:val="20"/>
                <w:szCs w:val="20"/>
              </w:rPr>
              <w:t>անհրաժեշտությունը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նպատակը՝</w:t>
            </w:r>
          </w:p>
          <w:p w:rsidR="00154773" w:rsidRPr="0053423A" w:rsidRDefault="00154773" w:rsidP="00154773">
            <w:pPr>
              <w:ind w:left="720"/>
              <w:contextualSpacing/>
              <w:jc w:val="both"/>
              <w:rPr>
                <w:b/>
                <w:sz w:val="20"/>
                <w:szCs w:val="20"/>
                <w:lang w:val="af-ZA"/>
              </w:rPr>
            </w:pPr>
          </w:p>
          <w:p w:rsidR="00154773" w:rsidRPr="0053423A" w:rsidRDefault="00154773" w:rsidP="00154773">
            <w:pPr>
              <w:ind w:firstLine="284"/>
              <w:contextualSpacing/>
              <w:jc w:val="both"/>
              <w:rPr>
                <w:spacing w:val="-4"/>
                <w:sz w:val="20"/>
                <w:szCs w:val="20"/>
                <w:lang w:val="af-ZA"/>
              </w:rPr>
            </w:pPr>
            <w:r w:rsidRPr="0053423A">
              <w:rPr>
                <w:spacing w:val="-4"/>
                <w:sz w:val="20"/>
                <w:szCs w:val="20"/>
              </w:rPr>
              <w:t>Միջոցառման</w:t>
            </w:r>
            <w:r w:rsidRPr="0053423A">
              <w:rPr>
                <w:spacing w:val="-4"/>
                <w:sz w:val="20"/>
                <w:szCs w:val="20"/>
                <w:lang w:val="af-ZA"/>
              </w:rPr>
              <w:t xml:space="preserve"> </w:t>
            </w:r>
            <w:r w:rsidRPr="0053423A">
              <w:rPr>
                <w:spacing w:val="-4"/>
                <w:sz w:val="20"/>
                <w:szCs w:val="20"/>
              </w:rPr>
              <w:t>գլխավոր</w:t>
            </w:r>
            <w:r w:rsidRPr="0053423A">
              <w:rPr>
                <w:spacing w:val="-4"/>
                <w:sz w:val="20"/>
                <w:szCs w:val="20"/>
                <w:lang w:val="af-ZA"/>
              </w:rPr>
              <w:t xml:space="preserve"> </w:t>
            </w:r>
            <w:r w:rsidRPr="0053423A">
              <w:rPr>
                <w:spacing w:val="-4"/>
                <w:sz w:val="20"/>
                <w:szCs w:val="20"/>
              </w:rPr>
              <w:t>նպատակն</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դասավանդողների</w:t>
            </w:r>
            <w:r w:rsidRPr="0053423A">
              <w:rPr>
                <w:spacing w:val="-4"/>
                <w:sz w:val="20"/>
                <w:szCs w:val="20"/>
                <w:lang w:val="af-ZA"/>
              </w:rPr>
              <w:t xml:space="preserve"> </w:t>
            </w:r>
            <w:r w:rsidRPr="0053423A">
              <w:rPr>
                <w:spacing w:val="-4"/>
                <w:sz w:val="20"/>
                <w:szCs w:val="20"/>
              </w:rPr>
              <w:t>կարողությունների</w:t>
            </w:r>
            <w:r w:rsidRPr="0053423A">
              <w:rPr>
                <w:spacing w:val="-4"/>
                <w:sz w:val="20"/>
                <w:szCs w:val="20"/>
                <w:lang w:val="af-ZA"/>
              </w:rPr>
              <w:t xml:space="preserve"> </w:t>
            </w:r>
            <w:r w:rsidRPr="0053423A">
              <w:rPr>
                <w:spacing w:val="-4"/>
                <w:sz w:val="20"/>
                <w:szCs w:val="20"/>
              </w:rPr>
              <w:t>զարգացումը</w:t>
            </w:r>
            <w:r w:rsidRPr="0053423A">
              <w:rPr>
                <w:spacing w:val="-4"/>
                <w:sz w:val="20"/>
                <w:szCs w:val="20"/>
                <w:lang w:val="af-ZA"/>
              </w:rPr>
              <w:t xml:space="preserve"> </w:t>
            </w:r>
            <w:r w:rsidRPr="0053423A">
              <w:rPr>
                <w:spacing w:val="-4"/>
                <w:sz w:val="20"/>
                <w:szCs w:val="20"/>
              </w:rPr>
              <w:t>և</w:t>
            </w:r>
            <w:r w:rsidRPr="0053423A">
              <w:rPr>
                <w:spacing w:val="-4"/>
                <w:sz w:val="20"/>
                <w:szCs w:val="20"/>
                <w:lang w:val="af-ZA"/>
              </w:rPr>
              <w:t xml:space="preserve"> </w:t>
            </w:r>
            <w:r w:rsidRPr="0053423A">
              <w:rPr>
                <w:spacing w:val="-4"/>
                <w:sz w:val="20"/>
                <w:szCs w:val="20"/>
              </w:rPr>
              <w:t>մասնագիտական</w:t>
            </w:r>
            <w:r w:rsidRPr="0053423A">
              <w:rPr>
                <w:spacing w:val="-4"/>
                <w:sz w:val="20"/>
                <w:szCs w:val="20"/>
                <w:lang w:val="af-ZA"/>
              </w:rPr>
              <w:t xml:space="preserve"> </w:t>
            </w:r>
            <w:r w:rsidRPr="0053423A">
              <w:rPr>
                <w:spacing w:val="-4"/>
                <w:sz w:val="20"/>
                <w:szCs w:val="20"/>
              </w:rPr>
              <w:t>հեղինակության</w:t>
            </w:r>
            <w:r w:rsidRPr="0053423A">
              <w:rPr>
                <w:spacing w:val="-4"/>
                <w:sz w:val="20"/>
                <w:szCs w:val="20"/>
                <w:lang w:val="af-ZA"/>
              </w:rPr>
              <w:t xml:space="preserve"> </w:t>
            </w:r>
            <w:r w:rsidRPr="0053423A">
              <w:rPr>
                <w:spacing w:val="-4"/>
                <w:sz w:val="20"/>
                <w:szCs w:val="20"/>
              </w:rPr>
              <w:t>բարձրացումը</w:t>
            </w:r>
            <w:r w:rsidRPr="0053423A">
              <w:rPr>
                <w:spacing w:val="-4"/>
                <w:sz w:val="20"/>
                <w:szCs w:val="20"/>
                <w:lang w:val="af-ZA"/>
              </w:rPr>
              <w:t xml:space="preserve">: </w:t>
            </w:r>
          </w:p>
          <w:p w:rsidR="00154773" w:rsidRPr="0053423A" w:rsidRDefault="00154773" w:rsidP="00154773">
            <w:pPr>
              <w:ind w:firstLine="284"/>
              <w:contextualSpacing/>
              <w:jc w:val="both"/>
              <w:rPr>
                <w:rFonts w:eastAsia="Calibri" w:cs="Sylfaen"/>
                <w:sz w:val="20"/>
                <w:szCs w:val="20"/>
                <w:lang w:val="af-ZA"/>
              </w:rPr>
            </w:pPr>
            <w:r w:rsidRPr="0053423A">
              <w:rPr>
                <w:spacing w:val="-4"/>
                <w:sz w:val="20"/>
                <w:szCs w:val="20"/>
              </w:rPr>
              <w:t>Միջոցառումների</w:t>
            </w:r>
            <w:r w:rsidRPr="0053423A">
              <w:rPr>
                <w:spacing w:val="-4"/>
                <w:sz w:val="20"/>
                <w:szCs w:val="20"/>
                <w:lang w:val="af-ZA"/>
              </w:rPr>
              <w:t xml:space="preserve"> </w:t>
            </w:r>
            <w:r w:rsidRPr="0053423A">
              <w:rPr>
                <w:spacing w:val="-4"/>
                <w:sz w:val="20"/>
                <w:szCs w:val="20"/>
              </w:rPr>
              <w:t>անհրաժեշտությունը</w:t>
            </w:r>
            <w:r w:rsidRPr="0053423A">
              <w:rPr>
                <w:spacing w:val="-4"/>
                <w:sz w:val="20"/>
                <w:szCs w:val="20"/>
                <w:lang w:val="af-ZA"/>
              </w:rPr>
              <w:t xml:space="preserve"> </w:t>
            </w:r>
            <w:r w:rsidRPr="0053423A">
              <w:rPr>
                <w:spacing w:val="-4"/>
                <w:sz w:val="20"/>
                <w:szCs w:val="20"/>
              </w:rPr>
              <w:t>բխում</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ԱԺ</w:t>
            </w:r>
            <w:r w:rsidRPr="0053423A">
              <w:rPr>
                <w:spacing w:val="-4"/>
                <w:sz w:val="20"/>
                <w:szCs w:val="20"/>
                <w:lang w:val="af-ZA"/>
              </w:rPr>
              <w:t xml:space="preserve"> 2019 </w:t>
            </w:r>
            <w:r w:rsidRPr="0053423A">
              <w:rPr>
                <w:spacing w:val="-4"/>
                <w:sz w:val="20"/>
                <w:szCs w:val="20"/>
              </w:rPr>
              <w:t>թվականի</w:t>
            </w:r>
            <w:r w:rsidRPr="0053423A">
              <w:rPr>
                <w:spacing w:val="-4"/>
                <w:sz w:val="20"/>
                <w:szCs w:val="20"/>
                <w:lang w:val="af-ZA"/>
              </w:rPr>
              <w:t xml:space="preserve"> </w:t>
            </w:r>
            <w:r w:rsidRPr="0053423A">
              <w:rPr>
                <w:spacing w:val="-4"/>
                <w:sz w:val="20"/>
                <w:szCs w:val="20"/>
              </w:rPr>
              <w:t>փետրվարի</w:t>
            </w:r>
            <w:r w:rsidRPr="0053423A">
              <w:rPr>
                <w:spacing w:val="-4"/>
                <w:sz w:val="20"/>
                <w:szCs w:val="20"/>
                <w:lang w:val="af-ZA"/>
              </w:rPr>
              <w:t xml:space="preserve"> 14-</w:t>
            </w:r>
            <w:r w:rsidRPr="0053423A">
              <w:rPr>
                <w:spacing w:val="-4"/>
                <w:sz w:val="20"/>
                <w:szCs w:val="20"/>
              </w:rPr>
              <w:t>ի</w:t>
            </w:r>
            <w:r w:rsidRPr="0053423A">
              <w:rPr>
                <w:spacing w:val="-4"/>
                <w:sz w:val="20"/>
                <w:szCs w:val="20"/>
                <w:lang w:val="af-ZA"/>
              </w:rPr>
              <w:t xml:space="preserve"> </w:t>
            </w:r>
            <w:r w:rsidRPr="0053423A">
              <w:rPr>
                <w:spacing w:val="-4"/>
                <w:sz w:val="20"/>
                <w:szCs w:val="20"/>
              </w:rPr>
              <w:t>ԱԺՈ</w:t>
            </w:r>
            <w:r w:rsidRPr="0053423A">
              <w:rPr>
                <w:spacing w:val="-4"/>
                <w:sz w:val="20"/>
                <w:szCs w:val="20"/>
                <w:lang w:val="af-ZA"/>
              </w:rPr>
              <w:t>-002-</w:t>
            </w:r>
            <w:r w:rsidRPr="0053423A">
              <w:rPr>
                <w:spacing w:val="-4"/>
                <w:sz w:val="20"/>
                <w:szCs w:val="20"/>
              </w:rPr>
              <w:t>Ն</w:t>
            </w:r>
            <w:r w:rsidRPr="0053423A">
              <w:rPr>
                <w:spacing w:val="-4"/>
                <w:sz w:val="20"/>
                <w:szCs w:val="20"/>
                <w:lang w:val="af-ZA"/>
              </w:rPr>
              <w:t xml:space="preserve"> </w:t>
            </w:r>
            <w:r w:rsidRPr="0053423A">
              <w:rPr>
                <w:spacing w:val="-4"/>
                <w:sz w:val="20"/>
                <w:szCs w:val="20"/>
              </w:rPr>
              <w:t>որոշմամբ</w:t>
            </w:r>
            <w:r w:rsidRPr="0053423A">
              <w:rPr>
                <w:spacing w:val="-4"/>
                <w:sz w:val="20"/>
                <w:szCs w:val="20"/>
                <w:lang w:val="af-ZA"/>
              </w:rPr>
              <w:t xml:space="preserve"> </w:t>
            </w:r>
            <w:r w:rsidRPr="0053423A">
              <w:rPr>
                <w:spacing w:val="-4"/>
                <w:sz w:val="20"/>
                <w:szCs w:val="20"/>
              </w:rPr>
              <w:t>հավանության</w:t>
            </w:r>
            <w:r w:rsidRPr="0053423A">
              <w:rPr>
                <w:spacing w:val="-4"/>
                <w:sz w:val="20"/>
                <w:szCs w:val="20"/>
                <w:lang w:val="af-ZA"/>
              </w:rPr>
              <w:t xml:space="preserve"> </w:t>
            </w:r>
            <w:r w:rsidRPr="0053423A">
              <w:rPr>
                <w:spacing w:val="-4"/>
                <w:sz w:val="20"/>
                <w:szCs w:val="20"/>
              </w:rPr>
              <w:t>արժանացած</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կառավարության</w:t>
            </w:r>
            <w:r w:rsidRPr="0053423A">
              <w:rPr>
                <w:spacing w:val="-4"/>
                <w:sz w:val="20"/>
                <w:szCs w:val="20"/>
                <w:lang w:val="af-ZA"/>
              </w:rPr>
              <w:t xml:space="preserve"> </w:t>
            </w:r>
            <w:r w:rsidRPr="0053423A">
              <w:rPr>
                <w:spacing w:val="-4"/>
                <w:sz w:val="20"/>
                <w:szCs w:val="20"/>
              </w:rPr>
              <w:t>ծրագրի</w:t>
            </w:r>
            <w:r w:rsidRPr="0053423A">
              <w:rPr>
                <w:spacing w:val="-4"/>
                <w:sz w:val="20"/>
                <w:szCs w:val="20"/>
                <w:lang w:val="af-ZA"/>
              </w:rPr>
              <w:t xml:space="preserve"> </w:t>
            </w:r>
            <w:r w:rsidRPr="0053423A">
              <w:rPr>
                <w:rFonts w:eastAsia="Times New Roman" w:cs="Times New Roman"/>
                <w:sz w:val="20"/>
                <w:szCs w:val="20"/>
                <w:lang w:val="af-ZA"/>
              </w:rPr>
              <w:t>«</w:t>
            </w:r>
            <w:r w:rsidRPr="0053423A">
              <w:rPr>
                <w:spacing w:val="-4"/>
                <w:sz w:val="20"/>
                <w:szCs w:val="20"/>
                <w:lang w:val="af-ZA"/>
              </w:rPr>
              <w:t xml:space="preserve">4.4 </w:t>
            </w:r>
            <w:r w:rsidRPr="0053423A">
              <w:rPr>
                <w:spacing w:val="-4"/>
                <w:sz w:val="20"/>
                <w:szCs w:val="20"/>
              </w:rPr>
              <w:t>ԿՐԹՈՒԹՅՈՒՆ</w:t>
            </w:r>
            <w:r w:rsidRPr="0053423A">
              <w:rPr>
                <w:spacing w:val="-4"/>
                <w:sz w:val="20"/>
                <w:szCs w:val="20"/>
                <w:lang w:val="af-ZA"/>
              </w:rPr>
              <w:t xml:space="preserve"> </w:t>
            </w:r>
            <w:r w:rsidRPr="0053423A">
              <w:rPr>
                <w:spacing w:val="-4"/>
                <w:sz w:val="20"/>
                <w:szCs w:val="20"/>
              </w:rPr>
              <w:t>ԵՎ</w:t>
            </w:r>
            <w:r w:rsidRPr="0053423A">
              <w:rPr>
                <w:spacing w:val="-4"/>
                <w:sz w:val="20"/>
                <w:szCs w:val="20"/>
                <w:lang w:val="af-ZA"/>
              </w:rPr>
              <w:t xml:space="preserve"> </w:t>
            </w:r>
            <w:r w:rsidRPr="0053423A">
              <w:rPr>
                <w:spacing w:val="-4"/>
                <w:sz w:val="20"/>
                <w:szCs w:val="20"/>
              </w:rPr>
              <w:t>ԳԻՏՈՒԹՅՈՒՆ</w:t>
            </w:r>
            <w:r w:rsidRPr="0053423A">
              <w:rPr>
                <w:rFonts w:eastAsia="Times New Roman" w:cs="Times New Roman"/>
                <w:sz w:val="20"/>
                <w:szCs w:val="20"/>
                <w:lang w:val="af-ZA"/>
              </w:rPr>
              <w:t xml:space="preserve">»  </w:t>
            </w:r>
            <w:r w:rsidRPr="0053423A">
              <w:rPr>
                <w:rFonts w:eastAsia="Calibri" w:cs="Sylfaen"/>
                <w:sz w:val="20"/>
                <w:szCs w:val="20"/>
                <w:lang w:val="hy-AM"/>
              </w:rPr>
              <w:t>բաժնի</w:t>
            </w:r>
            <w:r w:rsidRPr="0053423A">
              <w:rPr>
                <w:rFonts w:eastAsia="Calibri" w:cs="Sylfaen"/>
                <w:sz w:val="20"/>
                <w:szCs w:val="20"/>
                <w:lang w:val="af-ZA"/>
              </w:rPr>
              <w:t xml:space="preserve"> </w:t>
            </w:r>
            <w:r w:rsidRPr="0053423A">
              <w:rPr>
                <w:rFonts w:cs="Arian AMU"/>
                <w:sz w:val="20"/>
                <w:szCs w:val="20"/>
                <w:lang w:val="et-EE"/>
              </w:rPr>
              <w:t xml:space="preserve">Հանրակրթության ոլորտի </w:t>
            </w:r>
            <w:r w:rsidRPr="0053423A">
              <w:rPr>
                <w:rFonts w:cs="Sylfaen"/>
                <w:sz w:val="20"/>
                <w:szCs w:val="20"/>
                <w:lang w:val="af-ZA"/>
              </w:rPr>
              <w:t>6-րդ, կետից</w:t>
            </w:r>
            <w:r w:rsidRPr="0053423A">
              <w:rPr>
                <w:rFonts w:eastAsia="Calibri" w:cs="Sylfaen"/>
                <w:sz w:val="20"/>
                <w:szCs w:val="20"/>
                <w:lang w:val="af-ZA"/>
              </w:rPr>
              <w:t xml:space="preserve"> ` </w:t>
            </w:r>
            <w:r w:rsidRPr="0053423A">
              <w:rPr>
                <w:rFonts w:eastAsia="Calibri" w:cs="Sylfaen"/>
                <w:sz w:val="20"/>
                <w:szCs w:val="20"/>
              </w:rPr>
              <w:t>ապահովելու</w:t>
            </w:r>
            <w:r w:rsidRPr="0053423A">
              <w:rPr>
                <w:rFonts w:eastAsia="Calibri" w:cs="Sylfaen"/>
                <w:sz w:val="20"/>
                <w:szCs w:val="20"/>
                <w:lang w:val="af-ZA"/>
              </w:rPr>
              <w:t xml:space="preserve"> </w:t>
            </w:r>
            <w:r w:rsidRPr="0053423A">
              <w:rPr>
                <w:rFonts w:eastAsia="Calibri" w:cs="Sylfaen"/>
                <w:sz w:val="20"/>
                <w:szCs w:val="20"/>
              </w:rPr>
              <w:t>համար</w:t>
            </w:r>
            <w:r w:rsidRPr="0053423A">
              <w:rPr>
                <w:rFonts w:eastAsia="Calibri" w:cs="Sylfaen"/>
                <w:sz w:val="20"/>
                <w:szCs w:val="20"/>
                <w:lang w:val="af-ZA"/>
              </w:rPr>
              <w:t xml:space="preserve"> </w:t>
            </w:r>
            <w:r w:rsidRPr="0053423A">
              <w:rPr>
                <w:rFonts w:eastAsia="Calibri" w:cs="Sylfaen"/>
                <w:sz w:val="20"/>
                <w:szCs w:val="20"/>
              </w:rPr>
              <w:t>կրթության</w:t>
            </w:r>
            <w:r w:rsidRPr="0053423A">
              <w:rPr>
                <w:rFonts w:eastAsia="Calibri" w:cs="Sylfaen"/>
                <w:sz w:val="20"/>
                <w:szCs w:val="20"/>
                <w:lang w:val="af-ZA"/>
              </w:rPr>
              <w:t xml:space="preserve"> </w:t>
            </w:r>
            <w:r w:rsidRPr="0053423A">
              <w:rPr>
                <w:rFonts w:eastAsia="Calibri" w:cs="Sylfaen"/>
                <w:sz w:val="20"/>
                <w:szCs w:val="20"/>
              </w:rPr>
              <w:t>որակն</w:t>
            </w:r>
            <w:r w:rsidRPr="0053423A">
              <w:rPr>
                <w:rFonts w:eastAsia="Calibri" w:cs="Sylfaen"/>
                <w:sz w:val="20"/>
                <w:szCs w:val="20"/>
                <w:lang w:val="af-ZA"/>
              </w:rPr>
              <w:t xml:space="preserve"> </w:t>
            </w:r>
            <w:r w:rsidRPr="0053423A">
              <w:rPr>
                <w:rFonts w:eastAsia="Calibri" w:cs="Sylfaen"/>
                <w:sz w:val="20"/>
                <w:szCs w:val="20"/>
              </w:rPr>
              <w:t>ու</w:t>
            </w:r>
            <w:r w:rsidRPr="0053423A">
              <w:rPr>
                <w:rFonts w:eastAsia="Calibri" w:cs="Sylfaen"/>
                <w:sz w:val="20"/>
                <w:szCs w:val="20"/>
                <w:lang w:val="af-ZA"/>
              </w:rPr>
              <w:t xml:space="preserve"> </w:t>
            </w:r>
            <w:r w:rsidRPr="0053423A">
              <w:rPr>
                <w:rFonts w:eastAsia="Calibri" w:cs="Sylfaen"/>
                <w:sz w:val="20"/>
                <w:szCs w:val="20"/>
              </w:rPr>
              <w:t>արդիականությունը</w:t>
            </w:r>
            <w:r w:rsidRPr="0053423A">
              <w:rPr>
                <w:rFonts w:eastAsia="Calibri" w:cs="Sylfaen"/>
                <w:sz w:val="20"/>
                <w:szCs w:val="20"/>
                <w:lang w:val="af-ZA"/>
              </w:rPr>
              <w:t xml:space="preserve">, </w:t>
            </w:r>
            <w:r w:rsidRPr="0053423A">
              <w:rPr>
                <w:rFonts w:eastAsia="Calibri" w:cs="Sylfaen"/>
                <w:sz w:val="20"/>
                <w:szCs w:val="20"/>
              </w:rPr>
              <w:t>նոր</w:t>
            </w:r>
            <w:r w:rsidRPr="0053423A">
              <w:rPr>
                <w:rFonts w:eastAsia="Calibri" w:cs="Sylfaen"/>
                <w:sz w:val="20"/>
                <w:szCs w:val="20"/>
                <w:lang w:val="af-ZA"/>
              </w:rPr>
              <w:t xml:space="preserve"> </w:t>
            </w:r>
            <w:r w:rsidRPr="0053423A">
              <w:rPr>
                <w:rFonts w:eastAsia="Calibri" w:cs="Sylfaen"/>
                <w:sz w:val="20"/>
                <w:szCs w:val="20"/>
              </w:rPr>
              <w:t>բովանդակություն</w:t>
            </w:r>
            <w:r w:rsidRPr="0053423A">
              <w:rPr>
                <w:rFonts w:eastAsia="Calibri" w:cs="Sylfaen"/>
                <w:sz w:val="20"/>
                <w:szCs w:val="20"/>
                <w:lang w:val="af-ZA"/>
              </w:rPr>
              <w:t xml:space="preserve"> </w:t>
            </w:r>
            <w:r w:rsidRPr="0053423A">
              <w:rPr>
                <w:rFonts w:eastAsia="Calibri" w:cs="Sylfaen"/>
                <w:sz w:val="20"/>
                <w:szCs w:val="20"/>
              </w:rPr>
              <w:t>հաղորդելու</w:t>
            </w:r>
            <w:r w:rsidRPr="0053423A">
              <w:rPr>
                <w:rFonts w:eastAsia="Calibri" w:cs="Sylfaen"/>
                <w:sz w:val="20"/>
                <w:szCs w:val="20"/>
                <w:lang w:val="af-ZA"/>
              </w:rPr>
              <w:t xml:space="preserve"> 12-</w:t>
            </w:r>
            <w:r w:rsidRPr="0053423A">
              <w:rPr>
                <w:rFonts w:eastAsia="Calibri" w:cs="Sylfaen"/>
                <w:sz w:val="20"/>
                <w:szCs w:val="20"/>
              </w:rPr>
              <w:t>ամյա</w:t>
            </w:r>
            <w:r w:rsidRPr="0053423A">
              <w:rPr>
                <w:rFonts w:eastAsia="Calibri" w:cs="Sylfaen"/>
                <w:sz w:val="20"/>
                <w:szCs w:val="20"/>
                <w:lang w:val="af-ZA"/>
              </w:rPr>
              <w:t xml:space="preserve"> </w:t>
            </w:r>
            <w:r w:rsidRPr="0053423A">
              <w:rPr>
                <w:rFonts w:eastAsia="Calibri" w:cs="Sylfaen"/>
                <w:sz w:val="20"/>
                <w:szCs w:val="20"/>
              </w:rPr>
              <w:t>կրթությանը</w:t>
            </w:r>
            <w:r w:rsidRPr="0053423A">
              <w:rPr>
                <w:rFonts w:eastAsia="Calibri" w:cs="Sylfaen"/>
                <w:sz w:val="20"/>
                <w:szCs w:val="20"/>
                <w:lang w:val="af-ZA"/>
              </w:rPr>
              <w:t>:</w:t>
            </w:r>
          </w:p>
          <w:p w:rsidR="00154773" w:rsidRPr="0053423A" w:rsidRDefault="00154773" w:rsidP="00154773">
            <w:pPr>
              <w:jc w:val="both"/>
              <w:rPr>
                <w:b/>
                <w:sz w:val="20"/>
                <w:szCs w:val="20"/>
                <w:lang w:val="af-ZA"/>
              </w:rPr>
            </w:pPr>
            <w:r w:rsidRPr="0053423A">
              <w:rPr>
                <w:color w:val="000000" w:themeColor="text1"/>
                <w:sz w:val="20"/>
                <w:szCs w:val="20"/>
                <w:lang w:val="hy-AM"/>
              </w:rPr>
              <w:t>Հանրակրթական դպրոցների ուսուցիչների որակավորումների՝ միջազգայնորեն ընդունված և հաստատված չափանիշները ամբողջականորեն ներդնելու համար անհրաժեշտ է հաստատել բնութագրիչների ներդրման քաղաքականություն և ժամանակացույց</w:t>
            </w:r>
            <w:r w:rsidRPr="0053423A">
              <w:rPr>
                <w:color w:val="000000" w:themeColor="text1"/>
                <w:sz w:val="20"/>
                <w:szCs w:val="20"/>
                <w:lang w:val="af-ZA"/>
              </w:rPr>
              <w:t>:</w:t>
            </w:r>
          </w:p>
          <w:p w:rsidR="00154773" w:rsidRPr="0053423A" w:rsidRDefault="00154773" w:rsidP="00154773">
            <w:pPr>
              <w:jc w:val="both"/>
              <w:rPr>
                <w:sz w:val="20"/>
                <w:szCs w:val="20"/>
                <w:lang w:val="af-ZA"/>
              </w:rPr>
            </w:pPr>
          </w:p>
          <w:p w:rsidR="00154773" w:rsidRPr="0053423A" w:rsidRDefault="00154773" w:rsidP="00154773">
            <w:pPr>
              <w:jc w:val="both"/>
              <w:rPr>
                <w:rFonts w:cs="Sylfaen"/>
                <w:b/>
                <w:sz w:val="20"/>
                <w:szCs w:val="20"/>
                <w:lang w:val="af-ZA"/>
              </w:rPr>
            </w:pPr>
            <w:r w:rsidRPr="0053423A">
              <w:rPr>
                <w:rFonts w:cs="Sylfaen"/>
                <w:b/>
                <w:sz w:val="20"/>
                <w:szCs w:val="20"/>
                <w:lang w:val="af-ZA"/>
              </w:rPr>
              <w:t xml:space="preserve">1.1.  </w:t>
            </w:r>
            <w:r w:rsidRPr="0053423A">
              <w:rPr>
                <w:rFonts w:cs="Sylfaen"/>
                <w:b/>
                <w:sz w:val="20"/>
                <w:szCs w:val="20"/>
                <w:lang w:val="hy-AM"/>
              </w:rPr>
              <w:t>Կարգավորման հարաբերությունների ներկա վիճակը և առկա խնդիրները.</w:t>
            </w:r>
          </w:p>
          <w:p w:rsidR="00154773" w:rsidRPr="0053423A" w:rsidRDefault="00154773" w:rsidP="00154773">
            <w:pPr>
              <w:jc w:val="both"/>
              <w:rPr>
                <w:rFonts w:cs="Sylfaen"/>
                <w:sz w:val="20"/>
                <w:szCs w:val="20"/>
                <w:lang w:val="af-ZA"/>
              </w:rPr>
            </w:pPr>
          </w:p>
          <w:p w:rsidR="00154773" w:rsidRPr="0053423A" w:rsidRDefault="00154773" w:rsidP="00154773">
            <w:pPr>
              <w:ind w:left="360" w:hanging="360"/>
              <w:jc w:val="both"/>
              <w:rPr>
                <w:sz w:val="20"/>
                <w:szCs w:val="20"/>
                <w:lang w:val="af-ZA"/>
              </w:rPr>
            </w:pPr>
            <w:r w:rsidRPr="0053423A">
              <w:rPr>
                <w:sz w:val="20"/>
                <w:szCs w:val="20"/>
                <w:lang w:val="af-ZA"/>
              </w:rPr>
              <w:t xml:space="preserve">     Ուսուցիչների մասնագիտական որակավորման բնութագրերի ներդրման համար անհրաժեշտ է մշակել քաղաքականություն և բնութագրերի ներդրման համար սահմանել ժամանակացույց:</w:t>
            </w:r>
          </w:p>
          <w:p w:rsidR="00154773" w:rsidRPr="0053423A" w:rsidRDefault="00154773" w:rsidP="00154773">
            <w:pPr>
              <w:jc w:val="both"/>
              <w:rPr>
                <w:rFonts w:cs="Sylfaen"/>
                <w:sz w:val="20"/>
                <w:szCs w:val="20"/>
                <w:lang w:val="af-ZA"/>
              </w:rPr>
            </w:pPr>
          </w:p>
          <w:p w:rsidR="00154773" w:rsidRPr="0053423A" w:rsidRDefault="00154773" w:rsidP="00154773">
            <w:pPr>
              <w:ind w:left="720"/>
              <w:jc w:val="both"/>
              <w:rPr>
                <w:sz w:val="20"/>
                <w:szCs w:val="20"/>
                <w:lang w:val="af-ZA"/>
              </w:rPr>
            </w:pPr>
          </w:p>
          <w:p w:rsidR="00154773" w:rsidRPr="0053423A" w:rsidRDefault="00154773" w:rsidP="00154773">
            <w:pPr>
              <w:jc w:val="both"/>
              <w:rPr>
                <w:rFonts w:eastAsia="Times New Roman" w:cs="Times New Roman"/>
                <w:b/>
                <w:sz w:val="20"/>
                <w:szCs w:val="20"/>
                <w:lang w:val="af-ZA"/>
              </w:rPr>
            </w:pPr>
            <w:r w:rsidRPr="0053423A">
              <w:rPr>
                <w:rFonts w:eastAsia="Times New Roman" w:cs="Times New Roman"/>
                <w:b/>
                <w:sz w:val="20"/>
                <w:szCs w:val="20"/>
                <w:lang w:val="af-ZA"/>
              </w:rPr>
              <w:t xml:space="preserve">1.2.    </w:t>
            </w:r>
            <w:r w:rsidRPr="0053423A">
              <w:rPr>
                <w:rFonts w:eastAsia="Times New Roman" w:cs="Times New Roman"/>
                <w:b/>
                <w:sz w:val="20"/>
                <w:szCs w:val="20"/>
              </w:rPr>
              <w:t>ա</w:t>
            </w:r>
            <w:r w:rsidRPr="0053423A">
              <w:rPr>
                <w:rFonts w:eastAsia="Times New Roman" w:cs="Times New Roman"/>
                <w:b/>
                <w:sz w:val="20"/>
                <w:szCs w:val="20"/>
                <w:lang w:val="hy-AM"/>
              </w:rPr>
              <w:t>ռկա խնդիրների առաջարկվող լուծումները</w:t>
            </w:r>
            <w:r w:rsidRPr="0053423A">
              <w:rPr>
                <w:rFonts w:eastAsia="Times New Roman" w:cs="Times New Roman"/>
                <w:b/>
                <w:sz w:val="20"/>
                <w:szCs w:val="20"/>
                <w:lang w:val="af-ZA"/>
              </w:rPr>
              <w:t>.</w:t>
            </w:r>
          </w:p>
          <w:p w:rsidR="00154773" w:rsidRPr="0053423A" w:rsidRDefault="00154773" w:rsidP="00154773">
            <w:pPr>
              <w:tabs>
                <w:tab w:val="left" w:pos="2790"/>
              </w:tabs>
              <w:ind w:left="720"/>
              <w:contextualSpacing/>
              <w:jc w:val="both"/>
              <w:rPr>
                <w:sz w:val="20"/>
                <w:szCs w:val="20"/>
                <w:lang w:val="af-ZA"/>
              </w:rPr>
            </w:pPr>
          </w:p>
          <w:p w:rsidR="00154773" w:rsidRPr="0053423A" w:rsidRDefault="00154773" w:rsidP="00154773">
            <w:pPr>
              <w:tabs>
                <w:tab w:val="left" w:pos="2790"/>
              </w:tabs>
              <w:ind w:firstLine="720"/>
              <w:jc w:val="both"/>
              <w:rPr>
                <w:rFonts w:cs="Sylfaen"/>
                <w:sz w:val="20"/>
                <w:szCs w:val="20"/>
                <w:lang w:val="af-ZA"/>
              </w:rPr>
            </w:pPr>
            <w:r w:rsidRPr="0053423A">
              <w:rPr>
                <w:rFonts w:cs="Sylfaen"/>
                <w:sz w:val="20"/>
                <w:szCs w:val="20"/>
                <w:lang w:val="af-ZA"/>
              </w:rPr>
              <w:t xml:space="preserve">Միջոցառման ապահովմամբ պատշաճ կերպով կիրականացվի </w:t>
            </w:r>
            <w:r w:rsidRPr="0053423A">
              <w:rPr>
                <w:sz w:val="20"/>
                <w:szCs w:val="20"/>
                <w:lang w:val="af-ZA"/>
              </w:rPr>
              <w:t>ուսուցիչների մասնագիտական որակավորման բնութագրերի ներդրման գործընթացը:</w:t>
            </w:r>
          </w:p>
          <w:p w:rsidR="00154773" w:rsidRPr="0053423A" w:rsidRDefault="00154773" w:rsidP="00154773">
            <w:pPr>
              <w:jc w:val="center"/>
              <w:rPr>
                <w:rFonts w:cs="Sylfaen"/>
                <w:sz w:val="20"/>
                <w:szCs w:val="20"/>
                <w:lang w:val="af-ZA"/>
              </w:rPr>
            </w:pPr>
          </w:p>
          <w:p w:rsidR="00154773" w:rsidRPr="0053423A" w:rsidRDefault="00154773" w:rsidP="00154773">
            <w:pPr>
              <w:tabs>
                <w:tab w:val="left" w:pos="2790"/>
              </w:tabs>
              <w:ind w:left="450"/>
              <w:contextualSpacing/>
              <w:jc w:val="both"/>
              <w:rPr>
                <w:rFonts w:cs="Sylfaen"/>
                <w:sz w:val="20"/>
                <w:szCs w:val="20"/>
                <w:lang w:val="af-ZA"/>
              </w:rPr>
            </w:pPr>
            <w:r w:rsidRPr="0053423A">
              <w:rPr>
                <w:b/>
                <w:sz w:val="20"/>
                <w:szCs w:val="20"/>
                <w:lang w:val="af-ZA"/>
              </w:rPr>
              <w:t xml:space="preserve">2. </w:t>
            </w:r>
            <w:r w:rsidRPr="0053423A">
              <w:rPr>
                <w:b/>
                <w:sz w:val="20"/>
                <w:szCs w:val="20"/>
              </w:rPr>
              <w:t>Միջոցառման</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r w:rsidRPr="0053423A">
              <w:rPr>
                <w:sz w:val="20"/>
                <w:szCs w:val="20"/>
                <w:lang w:val="af-ZA"/>
              </w:rPr>
              <w:t xml:space="preserve"> </w:t>
            </w:r>
          </w:p>
          <w:p w:rsidR="00154773" w:rsidRPr="0053423A" w:rsidRDefault="00154773" w:rsidP="00154773">
            <w:pPr>
              <w:jc w:val="center"/>
              <w:rPr>
                <w:rFonts w:cs="Sylfaen"/>
                <w:sz w:val="20"/>
                <w:szCs w:val="20"/>
                <w:lang w:val="af-ZA"/>
              </w:rPr>
            </w:pPr>
          </w:p>
          <w:p w:rsidR="00154773" w:rsidRPr="0053423A" w:rsidRDefault="00154773" w:rsidP="00154773">
            <w:pPr>
              <w:tabs>
                <w:tab w:val="left" w:pos="2790"/>
              </w:tabs>
              <w:ind w:left="90" w:firstLine="630"/>
              <w:jc w:val="both"/>
              <w:rPr>
                <w:rFonts w:cs="Sylfaen"/>
                <w:sz w:val="20"/>
                <w:szCs w:val="20"/>
                <w:lang w:val="af-ZA"/>
              </w:rPr>
            </w:pPr>
            <w:r w:rsidRPr="0053423A">
              <w:rPr>
                <w:rFonts w:cs="Sylfaen"/>
                <w:sz w:val="20"/>
                <w:szCs w:val="20"/>
                <w:lang w:val="af-ZA"/>
              </w:rPr>
              <w:t xml:space="preserve">Կսահմանվեն </w:t>
            </w:r>
            <w:r w:rsidRPr="0053423A">
              <w:rPr>
                <w:sz w:val="20"/>
                <w:szCs w:val="20"/>
                <w:lang w:val="af-ZA"/>
              </w:rPr>
              <w:t>քաղաքականության սկզբունքները և դրանց իրականացման ապահովման ժամանակագրական տվյալները:</w:t>
            </w:r>
          </w:p>
          <w:p w:rsidR="00154773" w:rsidRPr="0053423A" w:rsidRDefault="00154773" w:rsidP="00154773">
            <w:pPr>
              <w:jc w:val="center"/>
              <w:rPr>
                <w:rFonts w:eastAsia="Times New Roman" w:cs="Times New Roman"/>
                <w:b/>
                <w:sz w:val="20"/>
                <w:szCs w:val="20"/>
                <w:lang w:val="af-ZA"/>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ind w:left="720"/>
              <w:contextualSpacing/>
              <w:jc w:val="center"/>
              <w:rPr>
                <w:b/>
                <w:sz w:val="20"/>
                <w:szCs w:val="20"/>
                <w:u w:val="single"/>
                <w:lang w:val="af-ZA"/>
              </w:rPr>
            </w:pPr>
            <w:r w:rsidRPr="0053423A">
              <w:rPr>
                <w:b/>
                <w:sz w:val="20"/>
                <w:szCs w:val="20"/>
                <w:u w:val="single"/>
                <w:lang w:val="af-ZA"/>
              </w:rPr>
              <w:t>13.3 Ուսուցիչների վերապատրաստման ծրագրերի վերանայում</w:t>
            </w:r>
          </w:p>
          <w:p w:rsidR="00154773" w:rsidRPr="0053423A" w:rsidRDefault="00154773" w:rsidP="00154773">
            <w:pPr>
              <w:ind w:left="720"/>
              <w:contextualSpacing/>
              <w:jc w:val="both"/>
              <w:rPr>
                <w:b/>
                <w:sz w:val="20"/>
                <w:szCs w:val="20"/>
                <w:u w:val="single"/>
                <w:lang w:val="af-ZA"/>
              </w:rPr>
            </w:pPr>
          </w:p>
          <w:p w:rsidR="00154773" w:rsidRPr="0053423A" w:rsidRDefault="00154773" w:rsidP="00154773">
            <w:pPr>
              <w:ind w:left="360"/>
              <w:jc w:val="both"/>
              <w:rPr>
                <w:b/>
                <w:sz w:val="20"/>
                <w:szCs w:val="20"/>
                <w:lang w:val="af-ZA"/>
              </w:rPr>
            </w:pPr>
            <w:r w:rsidRPr="0053423A">
              <w:rPr>
                <w:rFonts w:cs="Sylfaen"/>
                <w:b/>
                <w:sz w:val="20"/>
                <w:szCs w:val="20"/>
                <w:lang w:val="af-ZA"/>
              </w:rPr>
              <w:t xml:space="preserve">1. </w:t>
            </w:r>
            <w:r w:rsidRPr="0053423A">
              <w:rPr>
                <w:rFonts w:cs="Sylfaen"/>
                <w:b/>
                <w:sz w:val="20"/>
                <w:szCs w:val="20"/>
                <w:lang w:val="hy-AM"/>
              </w:rPr>
              <w:t>Միջոցառման</w:t>
            </w:r>
            <w:r w:rsidRPr="0053423A">
              <w:rPr>
                <w:b/>
                <w:sz w:val="20"/>
                <w:szCs w:val="20"/>
                <w:lang w:val="af-ZA"/>
              </w:rPr>
              <w:t xml:space="preserve"> </w:t>
            </w:r>
            <w:r w:rsidRPr="0053423A">
              <w:rPr>
                <w:b/>
                <w:sz w:val="20"/>
                <w:szCs w:val="20"/>
                <w:lang w:val="hy-AM"/>
              </w:rPr>
              <w:t>իրականացման</w:t>
            </w:r>
            <w:r w:rsidRPr="0053423A">
              <w:rPr>
                <w:b/>
                <w:sz w:val="20"/>
                <w:szCs w:val="20"/>
                <w:lang w:val="af-ZA"/>
              </w:rPr>
              <w:t xml:space="preserve"> </w:t>
            </w:r>
            <w:r w:rsidRPr="0053423A">
              <w:rPr>
                <w:b/>
                <w:sz w:val="20"/>
                <w:szCs w:val="20"/>
                <w:lang w:val="hy-AM"/>
              </w:rPr>
              <w:t>անհրաժեշտությունը</w:t>
            </w:r>
            <w:r w:rsidRPr="0053423A">
              <w:rPr>
                <w:b/>
                <w:sz w:val="20"/>
                <w:szCs w:val="20"/>
                <w:lang w:val="af-ZA"/>
              </w:rPr>
              <w:t xml:space="preserve"> </w:t>
            </w:r>
            <w:r w:rsidRPr="0053423A">
              <w:rPr>
                <w:b/>
                <w:sz w:val="20"/>
                <w:szCs w:val="20"/>
                <w:lang w:val="hy-AM"/>
              </w:rPr>
              <w:t>և</w:t>
            </w:r>
            <w:r w:rsidRPr="0053423A">
              <w:rPr>
                <w:b/>
                <w:sz w:val="20"/>
                <w:szCs w:val="20"/>
                <w:lang w:val="af-ZA"/>
              </w:rPr>
              <w:t xml:space="preserve"> </w:t>
            </w:r>
            <w:r w:rsidRPr="0053423A">
              <w:rPr>
                <w:b/>
                <w:sz w:val="20"/>
                <w:szCs w:val="20"/>
                <w:lang w:val="hy-AM"/>
              </w:rPr>
              <w:t>նպատակը</w:t>
            </w:r>
          </w:p>
          <w:p w:rsidR="00154773" w:rsidRPr="0053423A" w:rsidRDefault="00154773" w:rsidP="00154773">
            <w:pPr>
              <w:ind w:left="360"/>
              <w:jc w:val="both"/>
              <w:rPr>
                <w:b/>
                <w:sz w:val="20"/>
                <w:szCs w:val="20"/>
                <w:lang w:val="af-ZA"/>
              </w:rPr>
            </w:pPr>
          </w:p>
          <w:p w:rsidR="00154773" w:rsidRPr="0053423A" w:rsidRDefault="00154773" w:rsidP="00154773">
            <w:pPr>
              <w:ind w:firstLine="284"/>
              <w:contextualSpacing/>
              <w:jc w:val="both"/>
              <w:rPr>
                <w:spacing w:val="-4"/>
                <w:sz w:val="20"/>
                <w:szCs w:val="20"/>
                <w:lang w:val="af-ZA"/>
              </w:rPr>
            </w:pPr>
            <w:r w:rsidRPr="0053423A">
              <w:rPr>
                <w:spacing w:val="-4"/>
                <w:sz w:val="20"/>
                <w:szCs w:val="20"/>
              </w:rPr>
              <w:t>Միջոցառման</w:t>
            </w:r>
            <w:r w:rsidRPr="0053423A">
              <w:rPr>
                <w:spacing w:val="-4"/>
                <w:sz w:val="20"/>
                <w:szCs w:val="20"/>
                <w:lang w:val="af-ZA"/>
              </w:rPr>
              <w:t xml:space="preserve"> </w:t>
            </w:r>
            <w:r w:rsidRPr="0053423A">
              <w:rPr>
                <w:spacing w:val="-4"/>
                <w:sz w:val="20"/>
                <w:szCs w:val="20"/>
              </w:rPr>
              <w:t>գլխավոր</w:t>
            </w:r>
            <w:r w:rsidRPr="0053423A">
              <w:rPr>
                <w:spacing w:val="-4"/>
                <w:sz w:val="20"/>
                <w:szCs w:val="20"/>
                <w:lang w:val="af-ZA"/>
              </w:rPr>
              <w:t xml:space="preserve"> </w:t>
            </w:r>
            <w:r w:rsidRPr="0053423A">
              <w:rPr>
                <w:spacing w:val="-4"/>
                <w:sz w:val="20"/>
                <w:szCs w:val="20"/>
              </w:rPr>
              <w:t>նպատակն</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դասավանդողների</w:t>
            </w:r>
            <w:r w:rsidRPr="0053423A">
              <w:rPr>
                <w:spacing w:val="-4"/>
                <w:sz w:val="20"/>
                <w:szCs w:val="20"/>
                <w:lang w:val="af-ZA"/>
              </w:rPr>
              <w:t xml:space="preserve"> </w:t>
            </w:r>
            <w:r w:rsidRPr="0053423A">
              <w:rPr>
                <w:spacing w:val="-4"/>
                <w:sz w:val="20"/>
                <w:szCs w:val="20"/>
              </w:rPr>
              <w:t>կարողությունների</w:t>
            </w:r>
            <w:r w:rsidRPr="0053423A">
              <w:rPr>
                <w:spacing w:val="-4"/>
                <w:sz w:val="20"/>
                <w:szCs w:val="20"/>
                <w:lang w:val="af-ZA"/>
              </w:rPr>
              <w:t xml:space="preserve"> </w:t>
            </w:r>
            <w:r w:rsidRPr="0053423A">
              <w:rPr>
                <w:spacing w:val="-4"/>
                <w:sz w:val="20"/>
                <w:szCs w:val="20"/>
              </w:rPr>
              <w:t>զարգացումը</w:t>
            </w:r>
            <w:r w:rsidRPr="0053423A">
              <w:rPr>
                <w:spacing w:val="-4"/>
                <w:sz w:val="20"/>
                <w:szCs w:val="20"/>
                <w:lang w:val="af-ZA"/>
              </w:rPr>
              <w:t xml:space="preserve"> </w:t>
            </w:r>
            <w:r w:rsidRPr="0053423A">
              <w:rPr>
                <w:spacing w:val="-4"/>
                <w:sz w:val="20"/>
                <w:szCs w:val="20"/>
              </w:rPr>
              <w:t>և</w:t>
            </w:r>
            <w:r w:rsidRPr="0053423A">
              <w:rPr>
                <w:spacing w:val="-4"/>
                <w:sz w:val="20"/>
                <w:szCs w:val="20"/>
                <w:lang w:val="af-ZA"/>
              </w:rPr>
              <w:t xml:space="preserve"> </w:t>
            </w:r>
            <w:r w:rsidRPr="0053423A">
              <w:rPr>
                <w:spacing w:val="-4"/>
                <w:sz w:val="20"/>
                <w:szCs w:val="20"/>
              </w:rPr>
              <w:t>մասնագիտական</w:t>
            </w:r>
            <w:r w:rsidRPr="0053423A">
              <w:rPr>
                <w:spacing w:val="-4"/>
                <w:sz w:val="20"/>
                <w:szCs w:val="20"/>
                <w:lang w:val="af-ZA"/>
              </w:rPr>
              <w:t xml:space="preserve"> </w:t>
            </w:r>
            <w:r w:rsidRPr="0053423A">
              <w:rPr>
                <w:spacing w:val="-4"/>
                <w:sz w:val="20"/>
                <w:szCs w:val="20"/>
              </w:rPr>
              <w:t>հեղինակության</w:t>
            </w:r>
            <w:r w:rsidRPr="0053423A">
              <w:rPr>
                <w:spacing w:val="-4"/>
                <w:sz w:val="20"/>
                <w:szCs w:val="20"/>
                <w:lang w:val="af-ZA"/>
              </w:rPr>
              <w:t xml:space="preserve"> </w:t>
            </w:r>
            <w:r w:rsidRPr="0053423A">
              <w:rPr>
                <w:spacing w:val="-4"/>
                <w:sz w:val="20"/>
                <w:szCs w:val="20"/>
              </w:rPr>
              <w:t>բարձրացումը</w:t>
            </w:r>
            <w:r w:rsidRPr="0053423A">
              <w:rPr>
                <w:spacing w:val="-4"/>
                <w:sz w:val="20"/>
                <w:szCs w:val="20"/>
                <w:lang w:val="af-ZA"/>
              </w:rPr>
              <w:t xml:space="preserve">: </w:t>
            </w:r>
          </w:p>
          <w:p w:rsidR="00154773" w:rsidRPr="0053423A" w:rsidRDefault="00154773" w:rsidP="00154773">
            <w:pPr>
              <w:ind w:firstLine="284"/>
              <w:contextualSpacing/>
              <w:jc w:val="both"/>
              <w:rPr>
                <w:rFonts w:eastAsia="Calibri" w:cs="Sylfaen"/>
                <w:sz w:val="20"/>
                <w:szCs w:val="20"/>
                <w:lang w:val="af-ZA"/>
              </w:rPr>
            </w:pPr>
            <w:r w:rsidRPr="0053423A">
              <w:rPr>
                <w:spacing w:val="-4"/>
                <w:sz w:val="20"/>
                <w:szCs w:val="20"/>
              </w:rPr>
              <w:t>Միջոցառումների</w:t>
            </w:r>
            <w:r w:rsidRPr="0053423A">
              <w:rPr>
                <w:spacing w:val="-4"/>
                <w:sz w:val="20"/>
                <w:szCs w:val="20"/>
                <w:lang w:val="af-ZA"/>
              </w:rPr>
              <w:t xml:space="preserve"> </w:t>
            </w:r>
            <w:r w:rsidRPr="0053423A">
              <w:rPr>
                <w:spacing w:val="-4"/>
                <w:sz w:val="20"/>
                <w:szCs w:val="20"/>
              </w:rPr>
              <w:t>անհրաժեշտությունը</w:t>
            </w:r>
            <w:r w:rsidRPr="0053423A">
              <w:rPr>
                <w:spacing w:val="-4"/>
                <w:sz w:val="20"/>
                <w:szCs w:val="20"/>
                <w:lang w:val="af-ZA"/>
              </w:rPr>
              <w:t xml:space="preserve"> </w:t>
            </w:r>
            <w:r w:rsidRPr="0053423A">
              <w:rPr>
                <w:spacing w:val="-4"/>
                <w:sz w:val="20"/>
                <w:szCs w:val="20"/>
              </w:rPr>
              <w:t>բխում</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ԱԺ</w:t>
            </w:r>
            <w:r w:rsidRPr="0053423A">
              <w:rPr>
                <w:spacing w:val="-4"/>
                <w:sz w:val="20"/>
                <w:szCs w:val="20"/>
                <w:lang w:val="af-ZA"/>
              </w:rPr>
              <w:t xml:space="preserve"> 2019 </w:t>
            </w:r>
            <w:r w:rsidRPr="0053423A">
              <w:rPr>
                <w:spacing w:val="-4"/>
                <w:sz w:val="20"/>
                <w:szCs w:val="20"/>
              </w:rPr>
              <w:t>թվականի</w:t>
            </w:r>
            <w:r w:rsidRPr="0053423A">
              <w:rPr>
                <w:spacing w:val="-4"/>
                <w:sz w:val="20"/>
                <w:szCs w:val="20"/>
                <w:lang w:val="af-ZA"/>
              </w:rPr>
              <w:t xml:space="preserve"> </w:t>
            </w:r>
            <w:r w:rsidRPr="0053423A">
              <w:rPr>
                <w:spacing w:val="-4"/>
                <w:sz w:val="20"/>
                <w:szCs w:val="20"/>
              </w:rPr>
              <w:t>փետրվարի</w:t>
            </w:r>
            <w:r w:rsidRPr="0053423A">
              <w:rPr>
                <w:spacing w:val="-4"/>
                <w:sz w:val="20"/>
                <w:szCs w:val="20"/>
                <w:lang w:val="af-ZA"/>
              </w:rPr>
              <w:t xml:space="preserve"> 14-</w:t>
            </w:r>
            <w:r w:rsidRPr="0053423A">
              <w:rPr>
                <w:spacing w:val="-4"/>
                <w:sz w:val="20"/>
                <w:szCs w:val="20"/>
              </w:rPr>
              <w:t>ի</w:t>
            </w:r>
            <w:r w:rsidRPr="0053423A">
              <w:rPr>
                <w:spacing w:val="-4"/>
                <w:sz w:val="20"/>
                <w:szCs w:val="20"/>
                <w:lang w:val="af-ZA"/>
              </w:rPr>
              <w:t xml:space="preserve"> </w:t>
            </w:r>
            <w:r w:rsidRPr="0053423A">
              <w:rPr>
                <w:spacing w:val="-4"/>
                <w:sz w:val="20"/>
                <w:szCs w:val="20"/>
              </w:rPr>
              <w:t>ԱԺՈ</w:t>
            </w:r>
            <w:r w:rsidRPr="0053423A">
              <w:rPr>
                <w:spacing w:val="-4"/>
                <w:sz w:val="20"/>
                <w:szCs w:val="20"/>
                <w:lang w:val="af-ZA"/>
              </w:rPr>
              <w:t>-002-</w:t>
            </w:r>
            <w:r w:rsidRPr="0053423A">
              <w:rPr>
                <w:spacing w:val="-4"/>
                <w:sz w:val="20"/>
                <w:szCs w:val="20"/>
              </w:rPr>
              <w:t>Ն</w:t>
            </w:r>
            <w:r w:rsidRPr="0053423A">
              <w:rPr>
                <w:spacing w:val="-4"/>
                <w:sz w:val="20"/>
                <w:szCs w:val="20"/>
                <w:lang w:val="af-ZA"/>
              </w:rPr>
              <w:t xml:space="preserve"> </w:t>
            </w:r>
            <w:r w:rsidRPr="0053423A">
              <w:rPr>
                <w:spacing w:val="-4"/>
                <w:sz w:val="20"/>
                <w:szCs w:val="20"/>
              </w:rPr>
              <w:t>որոշմամբ</w:t>
            </w:r>
            <w:r w:rsidRPr="0053423A">
              <w:rPr>
                <w:spacing w:val="-4"/>
                <w:sz w:val="20"/>
                <w:szCs w:val="20"/>
                <w:lang w:val="af-ZA"/>
              </w:rPr>
              <w:t xml:space="preserve"> </w:t>
            </w:r>
            <w:r w:rsidRPr="0053423A">
              <w:rPr>
                <w:spacing w:val="-4"/>
                <w:sz w:val="20"/>
                <w:szCs w:val="20"/>
              </w:rPr>
              <w:t>հավանության</w:t>
            </w:r>
            <w:r w:rsidRPr="0053423A">
              <w:rPr>
                <w:spacing w:val="-4"/>
                <w:sz w:val="20"/>
                <w:szCs w:val="20"/>
                <w:lang w:val="af-ZA"/>
              </w:rPr>
              <w:t xml:space="preserve"> </w:t>
            </w:r>
            <w:r w:rsidRPr="0053423A">
              <w:rPr>
                <w:spacing w:val="-4"/>
                <w:sz w:val="20"/>
                <w:szCs w:val="20"/>
              </w:rPr>
              <w:t>արժանացած</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կառավարության</w:t>
            </w:r>
            <w:r w:rsidRPr="0053423A">
              <w:rPr>
                <w:spacing w:val="-4"/>
                <w:sz w:val="20"/>
                <w:szCs w:val="20"/>
                <w:lang w:val="af-ZA"/>
              </w:rPr>
              <w:t xml:space="preserve"> </w:t>
            </w:r>
            <w:r w:rsidRPr="0053423A">
              <w:rPr>
                <w:spacing w:val="-4"/>
                <w:sz w:val="20"/>
                <w:szCs w:val="20"/>
              </w:rPr>
              <w:t>ծրագրի</w:t>
            </w:r>
            <w:r w:rsidRPr="0053423A">
              <w:rPr>
                <w:spacing w:val="-4"/>
                <w:sz w:val="20"/>
                <w:szCs w:val="20"/>
                <w:lang w:val="af-ZA"/>
              </w:rPr>
              <w:t xml:space="preserve"> </w:t>
            </w:r>
            <w:r w:rsidRPr="0053423A">
              <w:rPr>
                <w:rFonts w:eastAsia="Times New Roman" w:cs="Times New Roman"/>
                <w:sz w:val="20"/>
                <w:szCs w:val="20"/>
                <w:lang w:val="af-ZA"/>
              </w:rPr>
              <w:t>«</w:t>
            </w:r>
            <w:r w:rsidRPr="0053423A">
              <w:rPr>
                <w:spacing w:val="-4"/>
                <w:sz w:val="20"/>
                <w:szCs w:val="20"/>
                <w:lang w:val="af-ZA"/>
              </w:rPr>
              <w:t xml:space="preserve">4.4 </w:t>
            </w:r>
            <w:r w:rsidRPr="0053423A">
              <w:rPr>
                <w:spacing w:val="-4"/>
                <w:sz w:val="20"/>
                <w:szCs w:val="20"/>
              </w:rPr>
              <w:t>ԿՐԹՈՒԹՅՈՒՆ</w:t>
            </w:r>
            <w:r w:rsidRPr="0053423A">
              <w:rPr>
                <w:spacing w:val="-4"/>
                <w:sz w:val="20"/>
                <w:szCs w:val="20"/>
                <w:lang w:val="af-ZA"/>
              </w:rPr>
              <w:t xml:space="preserve"> </w:t>
            </w:r>
            <w:r w:rsidRPr="0053423A">
              <w:rPr>
                <w:spacing w:val="-4"/>
                <w:sz w:val="20"/>
                <w:szCs w:val="20"/>
              </w:rPr>
              <w:t>ԵՎ</w:t>
            </w:r>
            <w:r w:rsidRPr="0053423A">
              <w:rPr>
                <w:spacing w:val="-4"/>
                <w:sz w:val="20"/>
                <w:szCs w:val="20"/>
                <w:lang w:val="af-ZA"/>
              </w:rPr>
              <w:t xml:space="preserve"> </w:t>
            </w:r>
            <w:r w:rsidRPr="0053423A">
              <w:rPr>
                <w:spacing w:val="-4"/>
                <w:sz w:val="20"/>
                <w:szCs w:val="20"/>
              </w:rPr>
              <w:t>ԳԻՏՈՒԹՅՈՒՆ</w:t>
            </w:r>
            <w:r w:rsidRPr="0053423A">
              <w:rPr>
                <w:rFonts w:eastAsia="Times New Roman" w:cs="Times New Roman"/>
                <w:sz w:val="20"/>
                <w:szCs w:val="20"/>
                <w:lang w:val="af-ZA"/>
              </w:rPr>
              <w:t xml:space="preserve">»  </w:t>
            </w:r>
            <w:r w:rsidRPr="0053423A">
              <w:rPr>
                <w:rFonts w:eastAsia="Calibri" w:cs="Sylfaen"/>
                <w:sz w:val="20"/>
                <w:szCs w:val="20"/>
                <w:lang w:val="hy-AM"/>
              </w:rPr>
              <w:t>բաժնի</w:t>
            </w:r>
            <w:r w:rsidRPr="0053423A">
              <w:rPr>
                <w:rFonts w:eastAsia="Calibri" w:cs="Sylfaen"/>
                <w:sz w:val="20"/>
                <w:szCs w:val="20"/>
                <w:lang w:val="af-ZA"/>
              </w:rPr>
              <w:t xml:space="preserve"> </w:t>
            </w:r>
            <w:r w:rsidRPr="0053423A">
              <w:rPr>
                <w:rFonts w:cs="Arian AMU"/>
                <w:sz w:val="20"/>
                <w:szCs w:val="20"/>
                <w:lang w:val="et-EE"/>
              </w:rPr>
              <w:t xml:space="preserve">Հանրակրթության ոլորտի </w:t>
            </w:r>
            <w:r w:rsidRPr="0053423A">
              <w:rPr>
                <w:rFonts w:cs="Sylfaen"/>
                <w:sz w:val="20"/>
                <w:szCs w:val="20"/>
                <w:lang w:val="af-ZA"/>
              </w:rPr>
              <w:t>6-րդ, կետից</w:t>
            </w:r>
            <w:r w:rsidRPr="0053423A">
              <w:rPr>
                <w:rFonts w:eastAsia="Calibri" w:cs="Sylfaen"/>
                <w:sz w:val="20"/>
                <w:szCs w:val="20"/>
                <w:lang w:val="af-ZA"/>
              </w:rPr>
              <w:t xml:space="preserve"> ` </w:t>
            </w:r>
            <w:r w:rsidRPr="0053423A">
              <w:rPr>
                <w:rFonts w:eastAsia="Calibri" w:cs="Sylfaen"/>
                <w:sz w:val="20"/>
                <w:szCs w:val="20"/>
              </w:rPr>
              <w:t>ապահովելու</w:t>
            </w:r>
            <w:r w:rsidRPr="0053423A">
              <w:rPr>
                <w:rFonts w:eastAsia="Calibri" w:cs="Sylfaen"/>
                <w:sz w:val="20"/>
                <w:szCs w:val="20"/>
                <w:lang w:val="af-ZA"/>
              </w:rPr>
              <w:t xml:space="preserve"> </w:t>
            </w:r>
            <w:r w:rsidRPr="0053423A">
              <w:rPr>
                <w:rFonts w:eastAsia="Calibri" w:cs="Sylfaen"/>
                <w:sz w:val="20"/>
                <w:szCs w:val="20"/>
              </w:rPr>
              <w:t>համար</w:t>
            </w:r>
            <w:r w:rsidRPr="0053423A">
              <w:rPr>
                <w:rFonts w:eastAsia="Calibri" w:cs="Sylfaen"/>
                <w:sz w:val="20"/>
                <w:szCs w:val="20"/>
                <w:lang w:val="af-ZA"/>
              </w:rPr>
              <w:t xml:space="preserve"> </w:t>
            </w:r>
            <w:r w:rsidRPr="0053423A">
              <w:rPr>
                <w:rFonts w:eastAsia="Calibri" w:cs="Sylfaen"/>
                <w:sz w:val="20"/>
                <w:szCs w:val="20"/>
              </w:rPr>
              <w:t>կրթության</w:t>
            </w:r>
            <w:r w:rsidRPr="0053423A">
              <w:rPr>
                <w:rFonts w:eastAsia="Calibri" w:cs="Sylfaen"/>
                <w:sz w:val="20"/>
                <w:szCs w:val="20"/>
                <w:lang w:val="af-ZA"/>
              </w:rPr>
              <w:t xml:space="preserve"> </w:t>
            </w:r>
            <w:r w:rsidRPr="0053423A">
              <w:rPr>
                <w:rFonts w:eastAsia="Calibri" w:cs="Sylfaen"/>
                <w:sz w:val="20"/>
                <w:szCs w:val="20"/>
              </w:rPr>
              <w:t>որակն</w:t>
            </w:r>
            <w:r w:rsidRPr="0053423A">
              <w:rPr>
                <w:rFonts w:eastAsia="Calibri" w:cs="Sylfaen"/>
                <w:sz w:val="20"/>
                <w:szCs w:val="20"/>
                <w:lang w:val="af-ZA"/>
              </w:rPr>
              <w:t xml:space="preserve"> </w:t>
            </w:r>
            <w:r w:rsidRPr="0053423A">
              <w:rPr>
                <w:rFonts w:eastAsia="Calibri" w:cs="Sylfaen"/>
                <w:sz w:val="20"/>
                <w:szCs w:val="20"/>
              </w:rPr>
              <w:t>ու</w:t>
            </w:r>
            <w:r w:rsidRPr="0053423A">
              <w:rPr>
                <w:rFonts w:eastAsia="Calibri" w:cs="Sylfaen"/>
                <w:sz w:val="20"/>
                <w:szCs w:val="20"/>
                <w:lang w:val="af-ZA"/>
              </w:rPr>
              <w:t xml:space="preserve"> </w:t>
            </w:r>
            <w:r w:rsidRPr="0053423A">
              <w:rPr>
                <w:rFonts w:eastAsia="Calibri" w:cs="Sylfaen"/>
                <w:sz w:val="20"/>
                <w:szCs w:val="20"/>
              </w:rPr>
              <w:t>արդիականությունը</w:t>
            </w:r>
            <w:r w:rsidRPr="0053423A">
              <w:rPr>
                <w:rFonts w:eastAsia="Calibri" w:cs="Sylfaen"/>
                <w:sz w:val="20"/>
                <w:szCs w:val="20"/>
                <w:lang w:val="af-ZA"/>
              </w:rPr>
              <w:t xml:space="preserve">, </w:t>
            </w:r>
            <w:r w:rsidRPr="0053423A">
              <w:rPr>
                <w:rFonts w:eastAsia="Calibri" w:cs="Sylfaen"/>
                <w:sz w:val="20"/>
                <w:szCs w:val="20"/>
              </w:rPr>
              <w:t>նոր</w:t>
            </w:r>
            <w:r w:rsidRPr="0053423A">
              <w:rPr>
                <w:rFonts w:eastAsia="Calibri" w:cs="Sylfaen"/>
                <w:sz w:val="20"/>
                <w:szCs w:val="20"/>
                <w:lang w:val="af-ZA"/>
              </w:rPr>
              <w:t xml:space="preserve"> </w:t>
            </w:r>
            <w:r w:rsidRPr="0053423A">
              <w:rPr>
                <w:rFonts w:eastAsia="Calibri" w:cs="Sylfaen"/>
                <w:sz w:val="20"/>
                <w:szCs w:val="20"/>
              </w:rPr>
              <w:t>բովանդակություն</w:t>
            </w:r>
            <w:r w:rsidRPr="0053423A">
              <w:rPr>
                <w:rFonts w:eastAsia="Calibri" w:cs="Sylfaen"/>
                <w:sz w:val="20"/>
                <w:szCs w:val="20"/>
                <w:lang w:val="af-ZA"/>
              </w:rPr>
              <w:t xml:space="preserve"> </w:t>
            </w:r>
            <w:r w:rsidRPr="0053423A">
              <w:rPr>
                <w:rFonts w:eastAsia="Calibri" w:cs="Sylfaen"/>
                <w:sz w:val="20"/>
                <w:szCs w:val="20"/>
              </w:rPr>
              <w:t>հաղորդելու</w:t>
            </w:r>
            <w:r w:rsidRPr="0053423A">
              <w:rPr>
                <w:rFonts w:eastAsia="Calibri" w:cs="Sylfaen"/>
                <w:sz w:val="20"/>
                <w:szCs w:val="20"/>
                <w:lang w:val="af-ZA"/>
              </w:rPr>
              <w:t xml:space="preserve"> 12-</w:t>
            </w:r>
            <w:r w:rsidRPr="0053423A">
              <w:rPr>
                <w:rFonts w:eastAsia="Calibri" w:cs="Sylfaen"/>
                <w:sz w:val="20"/>
                <w:szCs w:val="20"/>
              </w:rPr>
              <w:t>ամյա</w:t>
            </w:r>
            <w:r w:rsidRPr="0053423A">
              <w:rPr>
                <w:rFonts w:eastAsia="Calibri" w:cs="Sylfaen"/>
                <w:sz w:val="20"/>
                <w:szCs w:val="20"/>
                <w:lang w:val="af-ZA"/>
              </w:rPr>
              <w:t xml:space="preserve"> </w:t>
            </w:r>
            <w:r w:rsidRPr="0053423A">
              <w:rPr>
                <w:rFonts w:eastAsia="Calibri" w:cs="Sylfaen"/>
                <w:sz w:val="20"/>
                <w:szCs w:val="20"/>
              </w:rPr>
              <w:t>կրթությանը</w:t>
            </w:r>
            <w:r w:rsidRPr="0053423A">
              <w:rPr>
                <w:rFonts w:eastAsia="Calibri" w:cs="Sylfaen"/>
                <w:sz w:val="20"/>
                <w:szCs w:val="20"/>
                <w:lang w:val="af-ZA"/>
              </w:rPr>
              <w:t>:</w:t>
            </w:r>
          </w:p>
          <w:p w:rsidR="00154773" w:rsidRPr="0053423A" w:rsidRDefault="00154773" w:rsidP="00154773">
            <w:pPr>
              <w:ind w:firstLine="284"/>
              <w:contextualSpacing/>
              <w:jc w:val="both"/>
              <w:rPr>
                <w:sz w:val="20"/>
                <w:szCs w:val="20"/>
                <w:lang w:val="af-ZA"/>
              </w:rPr>
            </w:pPr>
            <w:r w:rsidRPr="0053423A">
              <w:rPr>
                <w:color w:val="000000" w:themeColor="text1"/>
                <w:sz w:val="20"/>
                <w:szCs w:val="20"/>
                <w:lang w:val="hy-AM"/>
              </w:rPr>
              <w:t>Ուսուցիչների մասնագիտական կարողությունների և հմտությունների բարելավման նպատակով անհրաժեշտ է վերանայել վերապատրաստման ծրագիրը:</w:t>
            </w:r>
          </w:p>
          <w:p w:rsidR="00154773" w:rsidRPr="0053423A" w:rsidRDefault="00154773" w:rsidP="00154773">
            <w:pPr>
              <w:jc w:val="both"/>
              <w:rPr>
                <w:sz w:val="20"/>
                <w:szCs w:val="20"/>
                <w:lang w:val="af-ZA"/>
              </w:rPr>
            </w:pPr>
          </w:p>
          <w:p w:rsidR="00154773" w:rsidRPr="0053423A" w:rsidRDefault="00154773" w:rsidP="00154773">
            <w:pPr>
              <w:jc w:val="both"/>
              <w:rPr>
                <w:rFonts w:cs="Sylfaen"/>
                <w:b/>
                <w:sz w:val="20"/>
                <w:szCs w:val="20"/>
                <w:lang w:val="af-ZA"/>
              </w:rPr>
            </w:pPr>
            <w:r w:rsidRPr="0053423A">
              <w:rPr>
                <w:rFonts w:cs="Sylfaen"/>
                <w:b/>
                <w:sz w:val="20"/>
                <w:szCs w:val="20"/>
                <w:lang w:val="af-ZA"/>
              </w:rPr>
              <w:t xml:space="preserve">1.1.  </w:t>
            </w:r>
            <w:r w:rsidRPr="0053423A">
              <w:rPr>
                <w:rFonts w:cs="Sylfaen"/>
                <w:b/>
                <w:sz w:val="20"/>
                <w:szCs w:val="20"/>
              </w:rPr>
              <w:t>կ</w:t>
            </w:r>
            <w:r w:rsidRPr="0053423A">
              <w:rPr>
                <w:rFonts w:cs="Sylfaen"/>
                <w:b/>
                <w:sz w:val="20"/>
                <w:szCs w:val="20"/>
                <w:lang w:val="hy-AM"/>
              </w:rPr>
              <w:t>արգավորման հարաբերությունների ներկա վիճակը և առկա խնդիրները.</w:t>
            </w:r>
          </w:p>
          <w:p w:rsidR="00154773" w:rsidRPr="0053423A" w:rsidRDefault="00154773" w:rsidP="00154773">
            <w:pPr>
              <w:jc w:val="both"/>
              <w:rPr>
                <w:rFonts w:cs="Sylfaen"/>
                <w:sz w:val="20"/>
                <w:szCs w:val="20"/>
                <w:lang w:val="af-ZA"/>
              </w:rPr>
            </w:pPr>
          </w:p>
          <w:p w:rsidR="00154773" w:rsidRPr="0053423A" w:rsidRDefault="00154773" w:rsidP="00154773">
            <w:pPr>
              <w:jc w:val="both"/>
              <w:rPr>
                <w:sz w:val="20"/>
                <w:szCs w:val="20"/>
                <w:lang w:val="af-ZA"/>
              </w:rPr>
            </w:pPr>
            <w:r w:rsidRPr="0053423A">
              <w:rPr>
                <w:sz w:val="20"/>
                <w:szCs w:val="20"/>
                <w:lang w:val="af-ZA"/>
              </w:rPr>
              <w:t xml:space="preserve">     Ուսուցիչների վերապատրաստման ծրագրերը չեն համապատասխանում որակավորման նոր պահանջներին, ծրագրերի բովանդակությունն ունի էական բարելավման անհրաժեշտություն:</w:t>
            </w:r>
          </w:p>
          <w:p w:rsidR="00154773" w:rsidRPr="0053423A" w:rsidRDefault="00154773" w:rsidP="00154773">
            <w:pPr>
              <w:jc w:val="both"/>
              <w:rPr>
                <w:rFonts w:cs="Sylfaen"/>
                <w:sz w:val="20"/>
                <w:szCs w:val="20"/>
                <w:lang w:val="af-ZA"/>
              </w:rPr>
            </w:pPr>
          </w:p>
          <w:p w:rsidR="00154773" w:rsidRPr="0053423A" w:rsidRDefault="00154773" w:rsidP="00154773">
            <w:pPr>
              <w:jc w:val="both"/>
              <w:rPr>
                <w:rFonts w:eastAsia="Times New Roman" w:cs="Times New Roman"/>
                <w:b/>
                <w:sz w:val="20"/>
                <w:szCs w:val="20"/>
                <w:lang w:val="af-ZA"/>
              </w:rPr>
            </w:pPr>
            <w:r w:rsidRPr="0053423A">
              <w:rPr>
                <w:rFonts w:eastAsia="Times New Roman" w:cs="Times New Roman"/>
                <w:b/>
                <w:sz w:val="20"/>
                <w:szCs w:val="20"/>
                <w:lang w:val="af-ZA"/>
              </w:rPr>
              <w:t xml:space="preserve">1.2.    </w:t>
            </w:r>
            <w:r w:rsidRPr="0053423A">
              <w:rPr>
                <w:rFonts w:eastAsia="Times New Roman" w:cs="Times New Roman"/>
                <w:b/>
                <w:sz w:val="20"/>
                <w:szCs w:val="20"/>
              </w:rPr>
              <w:t>ա</w:t>
            </w:r>
            <w:r w:rsidRPr="0053423A">
              <w:rPr>
                <w:rFonts w:eastAsia="Times New Roman" w:cs="Times New Roman"/>
                <w:b/>
                <w:sz w:val="20"/>
                <w:szCs w:val="20"/>
                <w:lang w:val="hy-AM"/>
              </w:rPr>
              <w:t>ռկա խնդիրների առաջարկվող լուծումները.</w:t>
            </w:r>
          </w:p>
          <w:p w:rsidR="00154773" w:rsidRPr="0053423A" w:rsidRDefault="00154773" w:rsidP="00154773">
            <w:pPr>
              <w:jc w:val="both"/>
              <w:rPr>
                <w:rFonts w:eastAsia="Times New Roman" w:cs="Times New Roman"/>
                <w:b/>
                <w:sz w:val="20"/>
                <w:szCs w:val="20"/>
                <w:lang w:val="af-ZA"/>
              </w:rPr>
            </w:pPr>
          </w:p>
          <w:p w:rsidR="00154773" w:rsidRPr="0053423A" w:rsidRDefault="00154773" w:rsidP="00154773">
            <w:pPr>
              <w:tabs>
                <w:tab w:val="left" w:pos="2790"/>
              </w:tabs>
              <w:ind w:firstLine="360"/>
              <w:jc w:val="both"/>
              <w:rPr>
                <w:sz w:val="20"/>
                <w:szCs w:val="20"/>
                <w:lang w:val="af-ZA"/>
              </w:rPr>
            </w:pPr>
            <w:r w:rsidRPr="0053423A">
              <w:rPr>
                <w:sz w:val="20"/>
                <w:szCs w:val="20"/>
                <w:lang w:val="af-ZA"/>
              </w:rPr>
              <w:t xml:space="preserve">Ուսուցիչների վերապատրաստման գործընթացի պատշաճ կազմակերպման և իրականացման համար անհրաժեշտ է լրամշակել և հաստատել վերապատրաստման ծրագիրը: Համաձայն «Հանրակրթության մասին» ՀՀ օրենքի 30-րդ հոդվածի 1-ին մասի 22-րդ կետի՝ նախարարությունը համաձայնություն է տալիս վերապատրաստման ծրագրերին: </w:t>
            </w:r>
          </w:p>
          <w:p w:rsidR="00154773" w:rsidRPr="0053423A" w:rsidRDefault="00154773" w:rsidP="00154773">
            <w:pPr>
              <w:tabs>
                <w:tab w:val="left" w:pos="2790"/>
              </w:tabs>
              <w:jc w:val="both"/>
              <w:rPr>
                <w:rFonts w:cs="Sylfaen"/>
                <w:sz w:val="20"/>
                <w:szCs w:val="20"/>
                <w:lang w:val="af-ZA"/>
              </w:rPr>
            </w:pPr>
          </w:p>
          <w:p w:rsidR="00154773" w:rsidRPr="0053423A" w:rsidRDefault="00154773" w:rsidP="00154773">
            <w:pPr>
              <w:tabs>
                <w:tab w:val="left" w:pos="2790"/>
              </w:tabs>
              <w:ind w:left="720"/>
              <w:contextualSpacing/>
              <w:jc w:val="both"/>
              <w:rPr>
                <w:rFonts w:cs="Sylfaen"/>
                <w:sz w:val="20"/>
                <w:szCs w:val="20"/>
                <w:lang w:val="af-ZA"/>
              </w:rPr>
            </w:pPr>
            <w:r w:rsidRPr="0053423A">
              <w:rPr>
                <w:b/>
                <w:sz w:val="20"/>
                <w:szCs w:val="20"/>
                <w:lang w:val="af-ZA"/>
              </w:rPr>
              <w:t xml:space="preserve">2. </w:t>
            </w:r>
            <w:r w:rsidRPr="0053423A">
              <w:rPr>
                <w:b/>
                <w:sz w:val="20"/>
                <w:szCs w:val="20"/>
              </w:rPr>
              <w:t>Միջոցառման</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r w:rsidRPr="0053423A">
              <w:rPr>
                <w:sz w:val="20"/>
                <w:szCs w:val="20"/>
                <w:lang w:val="af-ZA"/>
              </w:rPr>
              <w:t xml:space="preserve"> </w:t>
            </w:r>
          </w:p>
          <w:p w:rsidR="00154773" w:rsidRPr="0053423A" w:rsidRDefault="00154773" w:rsidP="00154773">
            <w:pPr>
              <w:tabs>
                <w:tab w:val="left" w:pos="2790"/>
              </w:tabs>
              <w:ind w:left="720"/>
              <w:contextualSpacing/>
              <w:jc w:val="both"/>
              <w:rPr>
                <w:rFonts w:cs="Sylfaen"/>
                <w:sz w:val="20"/>
                <w:szCs w:val="20"/>
                <w:lang w:val="af-ZA"/>
              </w:rPr>
            </w:pPr>
          </w:p>
          <w:p w:rsidR="00154773" w:rsidRPr="0053423A" w:rsidRDefault="00154773" w:rsidP="00154773">
            <w:pPr>
              <w:rPr>
                <w:sz w:val="20"/>
                <w:szCs w:val="20"/>
                <w:lang w:val="af-ZA"/>
              </w:rPr>
            </w:pPr>
            <w:r w:rsidRPr="0053423A">
              <w:rPr>
                <w:rFonts w:cs="Sylfaen"/>
                <w:sz w:val="20"/>
                <w:szCs w:val="20"/>
                <w:lang w:val="af-ZA"/>
              </w:rPr>
              <w:t>Արդյունքում կհաստատվի ու</w:t>
            </w:r>
            <w:r w:rsidRPr="0053423A">
              <w:rPr>
                <w:sz w:val="20"/>
                <w:szCs w:val="20"/>
                <w:lang w:val="af-ZA"/>
              </w:rPr>
              <w:t>սուցիչների վերապատրաստման լրամշակված  և վերանայված ծրագիր</w:t>
            </w:r>
          </w:p>
          <w:p w:rsidR="00154773" w:rsidRPr="0053423A" w:rsidRDefault="00154773" w:rsidP="00154773">
            <w:pPr>
              <w:jc w:val="center"/>
              <w:rPr>
                <w:rFonts w:eastAsia="Times New Roman" w:cs="Times New Roman"/>
                <w:b/>
                <w:sz w:val="20"/>
                <w:szCs w:val="20"/>
                <w:lang w:val="af-ZA"/>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contextualSpacing/>
              <w:jc w:val="center"/>
              <w:rPr>
                <w:b/>
                <w:sz w:val="20"/>
                <w:szCs w:val="20"/>
                <w:u w:val="single"/>
                <w:lang w:val="af-ZA"/>
              </w:rPr>
            </w:pPr>
            <w:r w:rsidRPr="0053423A">
              <w:rPr>
                <w:b/>
                <w:sz w:val="20"/>
                <w:szCs w:val="20"/>
                <w:u w:val="single"/>
                <w:lang w:val="af-ZA"/>
              </w:rPr>
              <w:t>13.4 Ուսուցիչների վերապատրաստման ատեստավորման կարգերի վերանայում</w:t>
            </w:r>
          </w:p>
          <w:p w:rsidR="00154773" w:rsidRPr="0053423A" w:rsidRDefault="00154773" w:rsidP="00154773">
            <w:pPr>
              <w:jc w:val="both"/>
              <w:rPr>
                <w:sz w:val="20"/>
                <w:szCs w:val="20"/>
                <w:lang w:val="af-ZA"/>
              </w:rPr>
            </w:pPr>
          </w:p>
          <w:p w:rsidR="00154773" w:rsidRPr="0053423A" w:rsidRDefault="00154773" w:rsidP="001F6D5D">
            <w:pPr>
              <w:numPr>
                <w:ilvl w:val="0"/>
                <w:numId w:val="491"/>
              </w:numPr>
              <w:contextualSpacing/>
              <w:jc w:val="both"/>
              <w:rPr>
                <w:b/>
                <w:sz w:val="20"/>
                <w:szCs w:val="20"/>
                <w:lang w:val="af-ZA"/>
              </w:rPr>
            </w:pPr>
            <w:r w:rsidRPr="0053423A">
              <w:rPr>
                <w:rFonts w:cs="Sylfaen"/>
                <w:b/>
                <w:sz w:val="20"/>
                <w:szCs w:val="20"/>
              </w:rPr>
              <w:t>Միջոցառման</w:t>
            </w:r>
            <w:r w:rsidRPr="0053423A">
              <w:rPr>
                <w:b/>
                <w:sz w:val="20"/>
                <w:szCs w:val="20"/>
                <w:lang w:val="af-ZA"/>
              </w:rPr>
              <w:t xml:space="preserve"> </w:t>
            </w:r>
            <w:r w:rsidRPr="0053423A">
              <w:rPr>
                <w:b/>
                <w:sz w:val="20"/>
                <w:szCs w:val="20"/>
              </w:rPr>
              <w:t>իրականացման</w:t>
            </w:r>
            <w:r w:rsidRPr="0053423A">
              <w:rPr>
                <w:b/>
                <w:sz w:val="20"/>
                <w:szCs w:val="20"/>
                <w:lang w:val="af-ZA"/>
              </w:rPr>
              <w:t xml:space="preserve"> </w:t>
            </w:r>
            <w:r w:rsidRPr="0053423A">
              <w:rPr>
                <w:b/>
                <w:sz w:val="20"/>
                <w:szCs w:val="20"/>
              </w:rPr>
              <w:t>անհրաժեշտությունը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նպատակը</w:t>
            </w:r>
          </w:p>
          <w:p w:rsidR="00154773" w:rsidRPr="0053423A" w:rsidRDefault="00154773" w:rsidP="00154773">
            <w:pPr>
              <w:ind w:left="720"/>
              <w:contextualSpacing/>
              <w:jc w:val="both"/>
              <w:rPr>
                <w:b/>
                <w:sz w:val="20"/>
                <w:szCs w:val="20"/>
                <w:lang w:val="af-ZA"/>
              </w:rPr>
            </w:pPr>
          </w:p>
          <w:p w:rsidR="00154773" w:rsidRPr="0053423A" w:rsidRDefault="00154773" w:rsidP="00154773">
            <w:pPr>
              <w:ind w:left="90" w:firstLine="630"/>
              <w:contextualSpacing/>
              <w:jc w:val="both"/>
              <w:rPr>
                <w:spacing w:val="-4"/>
                <w:sz w:val="20"/>
                <w:szCs w:val="20"/>
                <w:lang w:val="af-ZA"/>
              </w:rPr>
            </w:pPr>
            <w:r w:rsidRPr="0053423A">
              <w:rPr>
                <w:spacing w:val="-4"/>
                <w:sz w:val="20"/>
                <w:szCs w:val="20"/>
              </w:rPr>
              <w:t>Միջոցառման</w:t>
            </w:r>
            <w:r w:rsidRPr="0053423A">
              <w:rPr>
                <w:spacing w:val="-4"/>
                <w:sz w:val="20"/>
                <w:szCs w:val="20"/>
                <w:lang w:val="af-ZA"/>
              </w:rPr>
              <w:t xml:space="preserve"> </w:t>
            </w:r>
            <w:r w:rsidRPr="0053423A">
              <w:rPr>
                <w:spacing w:val="-4"/>
                <w:sz w:val="20"/>
                <w:szCs w:val="20"/>
              </w:rPr>
              <w:t>գլխավոր</w:t>
            </w:r>
            <w:r w:rsidRPr="0053423A">
              <w:rPr>
                <w:spacing w:val="-4"/>
                <w:sz w:val="20"/>
                <w:szCs w:val="20"/>
                <w:lang w:val="af-ZA"/>
              </w:rPr>
              <w:t xml:space="preserve"> </w:t>
            </w:r>
            <w:r w:rsidRPr="0053423A">
              <w:rPr>
                <w:spacing w:val="-4"/>
                <w:sz w:val="20"/>
                <w:szCs w:val="20"/>
              </w:rPr>
              <w:t>նպատակն</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դասավանդողների</w:t>
            </w:r>
            <w:r w:rsidRPr="0053423A">
              <w:rPr>
                <w:spacing w:val="-4"/>
                <w:sz w:val="20"/>
                <w:szCs w:val="20"/>
                <w:lang w:val="af-ZA"/>
              </w:rPr>
              <w:t xml:space="preserve"> </w:t>
            </w:r>
            <w:r w:rsidRPr="0053423A">
              <w:rPr>
                <w:spacing w:val="-4"/>
                <w:sz w:val="20"/>
                <w:szCs w:val="20"/>
              </w:rPr>
              <w:t>կարողությունների</w:t>
            </w:r>
            <w:r w:rsidRPr="0053423A">
              <w:rPr>
                <w:spacing w:val="-4"/>
                <w:sz w:val="20"/>
                <w:szCs w:val="20"/>
                <w:lang w:val="af-ZA"/>
              </w:rPr>
              <w:t xml:space="preserve"> </w:t>
            </w:r>
            <w:r w:rsidRPr="0053423A">
              <w:rPr>
                <w:spacing w:val="-4"/>
                <w:sz w:val="20"/>
                <w:szCs w:val="20"/>
              </w:rPr>
              <w:t>զարգացումը</w:t>
            </w:r>
            <w:r w:rsidRPr="0053423A">
              <w:rPr>
                <w:spacing w:val="-4"/>
                <w:sz w:val="20"/>
                <w:szCs w:val="20"/>
                <w:lang w:val="af-ZA"/>
              </w:rPr>
              <w:t xml:space="preserve"> </w:t>
            </w:r>
            <w:r w:rsidRPr="0053423A">
              <w:rPr>
                <w:spacing w:val="-4"/>
                <w:sz w:val="20"/>
                <w:szCs w:val="20"/>
              </w:rPr>
              <w:t>և</w:t>
            </w:r>
            <w:r w:rsidRPr="0053423A">
              <w:rPr>
                <w:spacing w:val="-4"/>
                <w:sz w:val="20"/>
                <w:szCs w:val="20"/>
                <w:lang w:val="af-ZA"/>
              </w:rPr>
              <w:t xml:space="preserve"> </w:t>
            </w:r>
            <w:r w:rsidRPr="0053423A">
              <w:rPr>
                <w:spacing w:val="-4"/>
                <w:sz w:val="20"/>
                <w:szCs w:val="20"/>
              </w:rPr>
              <w:t>մասնագիտական</w:t>
            </w:r>
            <w:r w:rsidRPr="0053423A">
              <w:rPr>
                <w:spacing w:val="-4"/>
                <w:sz w:val="20"/>
                <w:szCs w:val="20"/>
                <w:lang w:val="af-ZA"/>
              </w:rPr>
              <w:t xml:space="preserve"> </w:t>
            </w:r>
            <w:r w:rsidRPr="0053423A">
              <w:rPr>
                <w:spacing w:val="-4"/>
                <w:sz w:val="20"/>
                <w:szCs w:val="20"/>
              </w:rPr>
              <w:t>հեղինակության</w:t>
            </w:r>
            <w:r w:rsidRPr="0053423A">
              <w:rPr>
                <w:spacing w:val="-4"/>
                <w:sz w:val="20"/>
                <w:szCs w:val="20"/>
                <w:lang w:val="af-ZA"/>
              </w:rPr>
              <w:t xml:space="preserve"> </w:t>
            </w:r>
            <w:r w:rsidRPr="0053423A">
              <w:rPr>
                <w:spacing w:val="-4"/>
                <w:sz w:val="20"/>
                <w:szCs w:val="20"/>
              </w:rPr>
              <w:t>բարձրացումը</w:t>
            </w:r>
            <w:r w:rsidRPr="0053423A">
              <w:rPr>
                <w:spacing w:val="-4"/>
                <w:sz w:val="20"/>
                <w:szCs w:val="20"/>
                <w:lang w:val="af-ZA"/>
              </w:rPr>
              <w:t xml:space="preserve">: </w:t>
            </w:r>
          </w:p>
          <w:p w:rsidR="00154773" w:rsidRPr="0053423A" w:rsidRDefault="00154773" w:rsidP="00154773">
            <w:pPr>
              <w:ind w:left="90" w:firstLine="630"/>
              <w:contextualSpacing/>
              <w:jc w:val="both"/>
              <w:rPr>
                <w:rFonts w:eastAsia="Calibri" w:cs="Sylfaen"/>
                <w:sz w:val="20"/>
                <w:szCs w:val="20"/>
                <w:lang w:val="af-ZA"/>
              </w:rPr>
            </w:pPr>
            <w:r w:rsidRPr="0053423A">
              <w:rPr>
                <w:spacing w:val="-4"/>
                <w:sz w:val="20"/>
                <w:szCs w:val="20"/>
              </w:rPr>
              <w:t>Միջոցառումների</w:t>
            </w:r>
            <w:r w:rsidRPr="0053423A">
              <w:rPr>
                <w:spacing w:val="-4"/>
                <w:sz w:val="20"/>
                <w:szCs w:val="20"/>
                <w:lang w:val="af-ZA"/>
              </w:rPr>
              <w:t xml:space="preserve"> </w:t>
            </w:r>
            <w:r w:rsidRPr="0053423A">
              <w:rPr>
                <w:spacing w:val="-4"/>
                <w:sz w:val="20"/>
                <w:szCs w:val="20"/>
              </w:rPr>
              <w:t>անհրաժեշտությունը</w:t>
            </w:r>
            <w:r w:rsidRPr="0053423A">
              <w:rPr>
                <w:spacing w:val="-4"/>
                <w:sz w:val="20"/>
                <w:szCs w:val="20"/>
                <w:lang w:val="af-ZA"/>
              </w:rPr>
              <w:t xml:space="preserve"> </w:t>
            </w:r>
            <w:r w:rsidRPr="0053423A">
              <w:rPr>
                <w:spacing w:val="-4"/>
                <w:sz w:val="20"/>
                <w:szCs w:val="20"/>
              </w:rPr>
              <w:t>բխում</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ԱԺ</w:t>
            </w:r>
            <w:r w:rsidRPr="0053423A">
              <w:rPr>
                <w:spacing w:val="-4"/>
                <w:sz w:val="20"/>
                <w:szCs w:val="20"/>
                <w:lang w:val="af-ZA"/>
              </w:rPr>
              <w:t xml:space="preserve"> 2019 </w:t>
            </w:r>
            <w:r w:rsidRPr="0053423A">
              <w:rPr>
                <w:spacing w:val="-4"/>
                <w:sz w:val="20"/>
                <w:szCs w:val="20"/>
              </w:rPr>
              <w:t>թվականի</w:t>
            </w:r>
            <w:r w:rsidRPr="0053423A">
              <w:rPr>
                <w:spacing w:val="-4"/>
                <w:sz w:val="20"/>
                <w:szCs w:val="20"/>
                <w:lang w:val="af-ZA"/>
              </w:rPr>
              <w:t xml:space="preserve"> </w:t>
            </w:r>
            <w:r w:rsidRPr="0053423A">
              <w:rPr>
                <w:spacing w:val="-4"/>
                <w:sz w:val="20"/>
                <w:szCs w:val="20"/>
              </w:rPr>
              <w:t>փետրվարի</w:t>
            </w:r>
            <w:r w:rsidRPr="0053423A">
              <w:rPr>
                <w:spacing w:val="-4"/>
                <w:sz w:val="20"/>
                <w:szCs w:val="20"/>
                <w:lang w:val="af-ZA"/>
              </w:rPr>
              <w:t xml:space="preserve"> 14-</w:t>
            </w:r>
            <w:r w:rsidRPr="0053423A">
              <w:rPr>
                <w:spacing w:val="-4"/>
                <w:sz w:val="20"/>
                <w:szCs w:val="20"/>
              </w:rPr>
              <w:t>ի</w:t>
            </w:r>
            <w:r w:rsidRPr="0053423A">
              <w:rPr>
                <w:spacing w:val="-4"/>
                <w:sz w:val="20"/>
                <w:szCs w:val="20"/>
                <w:lang w:val="af-ZA"/>
              </w:rPr>
              <w:t xml:space="preserve"> </w:t>
            </w:r>
            <w:r w:rsidRPr="0053423A">
              <w:rPr>
                <w:spacing w:val="-4"/>
                <w:sz w:val="20"/>
                <w:szCs w:val="20"/>
              </w:rPr>
              <w:t>ԱԺՈ</w:t>
            </w:r>
            <w:r w:rsidRPr="0053423A">
              <w:rPr>
                <w:spacing w:val="-4"/>
                <w:sz w:val="20"/>
                <w:szCs w:val="20"/>
                <w:lang w:val="af-ZA"/>
              </w:rPr>
              <w:t>-002-</w:t>
            </w:r>
            <w:r w:rsidRPr="0053423A">
              <w:rPr>
                <w:spacing w:val="-4"/>
                <w:sz w:val="20"/>
                <w:szCs w:val="20"/>
              </w:rPr>
              <w:t>Ն</w:t>
            </w:r>
            <w:r w:rsidRPr="0053423A">
              <w:rPr>
                <w:spacing w:val="-4"/>
                <w:sz w:val="20"/>
                <w:szCs w:val="20"/>
                <w:lang w:val="af-ZA"/>
              </w:rPr>
              <w:t xml:space="preserve"> </w:t>
            </w:r>
            <w:r w:rsidRPr="0053423A">
              <w:rPr>
                <w:spacing w:val="-4"/>
                <w:sz w:val="20"/>
                <w:szCs w:val="20"/>
              </w:rPr>
              <w:t>որոշմամբ</w:t>
            </w:r>
            <w:r w:rsidRPr="0053423A">
              <w:rPr>
                <w:spacing w:val="-4"/>
                <w:sz w:val="20"/>
                <w:szCs w:val="20"/>
                <w:lang w:val="af-ZA"/>
              </w:rPr>
              <w:t xml:space="preserve"> </w:t>
            </w:r>
            <w:r w:rsidRPr="0053423A">
              <w:rPr>
                <w:spacing w:val="-4"/>
                <w:sz w:val="20"/>
                <w:szCs w:val="20"/>
              </w:rPr>
              <w:t>հավանության</w:t>
            </w:r>
            <w:r w:rsidRPr="0053423A">
              <w:rPr>
                <w:spacing w:val="-4"/>
                <w:sz w:val="20"/>
                <w:szCs w:val="20"/>
                <w:lang w:val="af-ZA"/>
              </w:rPr>
              <w:t xml:space="preserve"> </w:t>
            </w:r>
            <w:r w:rsidRPr="0053423A">
              <w:rPr>
                <w:spacing w:val="-4"/>
                <w:sz w:val="20"/>
                <w:szCs w:val="20"/>
              </w:rPr>
              <w:t>արժանացած</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կառավարության</w:t>
            </w:r>
            <w:r w:rsidRPr="0053423A">
              <w:rPr>
                <w:spacing w:val="-4"/>
                <w:sz w:val="20"/>
                <w:szCs w:val="20"/>
                <w:lang w:val="af-ZA"/>
              </w:rPr>
              <w:t xml:space="preserve"> </w:t>
            </w:r>
            <w:r w:rsidRPr="0053423A">
              <w:rPr>
                <w:spacing w:val="-4"/>
                <w:sz w:val="20"/>
                <w:szCs w:val="20"/>
              </w:rPr>
              <w:t>ծրագրի</w:t>
            </w:r>
            <w:r w:rsidRPr="0053423A">
              <w:rPr>
                <w:spacing w:val="-4"/>
                <w:sz w:val="20"/>
                <w:szCs w:val="20"/>
                <w:lang w:val="af-ZA"/>
              </w:rPr>
              <w:t xml:space="preserve"> </w:t>
            </w:r>
            <w:r w:rsidRPr="0053423A">
              <w:rPr>
                <w:rFonts w:eastAsia="Times New Roman" w:cs="Times New Roman"/>
                <w:sz w:val="20"/>
                <w:szCs w:val="20"/>
                <w:lang w:val="af-ZA"/>
              </w:rPr>
              <w:t>«</w:t>
            </w:r>
            <w:r w:rsidRPr="0053423A">
              <w:rPr>
                <w:spacing w:val="-4"/>
                <w:sz w:val="20"/>
                <w:szCs w:val="20"/>
                <w:lang w:val="af-ZA"/>
              </w:rPr>
              <w:t xml:space="preserve">4.4 </w:t>
            </w:r>
            <w:r w:rsidRPr="0053423A">
              <w:rPr>
                <w:spacing w:val="-4"/>
                <w:sz w:val="20"/>
                <w:szCs w:val="20"/>
              </w:rPr>
              <w:t>ԿՐԹՈՒԹՅՈՒՆ</w:t>
            </w:r>
            <w:r w:rsidRPr="0053423A">
              <w:rPr>
                <w:spacing w:val="-4"/>
                <w:sz w:val="20"/>
                <w:szCs w:val="20"/>
                <w:lang w:val="af-ZA"/>
              </w:rPr>
              <w:t xml:space="preserve"> </w:t>
            </w:r>
            <w:r w:rsidRPr="0053423A">
              <w:rPr>
                <w:spacing w:val="-4"/>
                <w:sz w:val="20"/>
                <w:szCs w:val="20"/>
              </w:rPr>
              <w:t>ԵՎ</w:t>
            </w:r>
            <w:r w:rsidRPr="0053423A">
              <w:rPr>
                <w:spacing w:val="-4"/>
                <w:sz w:val="20"/>
                <w:szCs w:val="20"/>
                <w:lang w:val="af-ZA"/>
              </w:rPr>
              <w:t xml:space="preserve"> </w:t>
            </w:r>
            <w:r w:rsidRPr="0053423A">
              <w:rPr>
                <w:spacing w:val="-4"/>
                <w:sz w:val="20"/>
                <w:szCs w:val="20"/>
              </w:rPr>
              <w:t>ԳԻՏՈՒԹՅՈՒՆ</w:t>
            </w:r>
            <w:r w:rsidRPr="0053423A">
              <w:rPr>
                <w:rFonts w:eastAsia="Times New Roman" w:cs="Times New Roman"/>
                <w:sz w:val="20"/>
                <w:szCs w:val="20"/>
                <w:lang w:val="af-ZA"/>
              </w:rPr>
              <w:t xml:space="preserve">»  </w:t>
            </w:r>
            <w:r w:rsidRPr="0053423A">
              <w:rPr>
                <w:rFonts w:eastAsia="Calibri" w:cs="Sylfaen"/>
                <w:sz w:val="20"/>
                <w:szCs w:val="20"/>
                <w:lang w:val="hy-AM"/>
              </w:rPr>
              <w:t>բաժնի</w:t>
            </w:r>
            <w:r w:rsidRPr="0053423A">
              <w:rPr>
                <w:rFonts w:eastAsia="Calibri" w:cs="Sylfaen"/>
                <w:sz w:val="20"/>
                <w:szCs w:val="20"/>
                <w:lang w:val="af-ZA"/>
              </w:rPr>
              <w:t xml:space="preserve"> </w:t>
            </w:r>
            <w:r w:rsidRPr="0053423A">
              <w:rPr>
                <w:rFonts w:cs="Arian AMU"/>
                <w:sz w:val="20"/>
                <w:szCs w:val="20"/>
                <w:lang w:val="et-EE"/>
              </w:rPr>
              <w:t xml:space="preserve">Հանրակրթության ոլորտի </w:t>
            </w:r>
            <w:r w:rsidRPr="0053423A">
              <w:rPr>
                <w:rFonts w:cs="Sylfaen"/>
                <w:sz w:val="20"/>
                <w:szCs w:val="20"/>
                <w:lang w:val="af-ZA"/>
              </w:rPr>
              <w:t>6-րդ, կետից</w:t>
            </w:r>
            <w:r w:rsidRPr="0053423A">
              <w:rPr>
                <w:rFonts w:eastAsia="Calibri" w:cs="Sylfaen"/>
                <w:sz w:val="20"/>
                <w:szCs w:val="20"/>
                <w:lang w:val="af-ZA"/>
              </w:rPr>
              <w:t xml:space="preserve"> ` </w:t>
            </w:r>
            <w:r w:rsidRPr="0053423A">
              <w:rPr>
                <w:rFonts w:eastAsia="Calibri" w:cs="Sylfaen"/>
                <w:sz w:val="20"/>
                <w:szCs w:val="20"/>
              </w:rPr>
              <w:t>ապահովելու</w:t>
            </w:r>
            <w:r w:rsidRPr="0053423A">
              <w:rPr>
                <w:rFonts w:eastAsia="Calibri" w:cs="Sylfaen"/>
                <w:sz w:val="20"/>
                <w:szCs w:val="20"/>
                <w:lang w:val="af-ZA"/>
              </w:rPr>
              <w:t xml:space="preserve"> </w:t>
            </w:r>
            <w:r w:rsidRPr="0053423A">
              <w:rPr>
                <w:rFonts w:eastAsia="Calibri" w:cs="Sylfaen"/>
                <w:sz w:val="20"/>
                <w:szCs w:val="20"/>
              </w:rPr>
              <w:t>համար</w:t>
            </w:r>
            <w:r w:rsidRPr="0053423A">
              <w:rPr>
                <w:rFonts w:eastAsia="Calibri" w:cs="Sylfaen"/>
                <w:sz w:val="20"/>
                <w:szCs w:val="20"/>
                <w:lang w:val="af-ZA"/>
              </w:rPr>
              <w:t xml:space="preserve"> </w:t>
            </w:r>
            <w:r w:rsidRPr="0053423A">
              <w:rPr>
                <w:rFonts w:eastAsia="Calibri" w:cs="Sylfaen"/>
                <w:sz w:val="20"/>
                <w:szCs w:val="20"/>
              </w:rPr>
              <w:t>կրթության</w:t>
            </w:r>
            <w:r w:rsidRPr="0053423A">
              <w:rPr>
                <w:rFonts w:eastAsia="Calibri" w:cs="Sylfaen"/>
                <w:sz w:val="20"/>
                <w:szCs w:val="20"/>
                <w:lang w:val="af-ZA"/>
              </w:rPr>
              <w:t xml:space="preserve"> </w:t>
            </w:r>
            <w:r w:rsidRPr="0053423A">
              <w:rPr>
                <w:rFonts w:eastAsia="Calibri" w:cs="Sylfaen"/>
                <w:sz w:val="20"/>
                <w:szCs w:val="20"/>
              </w:rPr>
              <w:t>որակն</w:t>
            </w:r>
            <w:r w:rsidRPr="0053423A">
              <w:rPr>
                <w:rFonts w:eastAsia="Calibri" w:cs="Sylfaen"/>
                <w:sz w:val="20"/>
                <w:szCs w:val="20"/>
                <w:lang w:val="af-ZA"/>
              </w:rPr>
              <w:t xml:space="preserve"> </w:t>
            </w:r>
            <w:r w:rsidRPr="0053423A">
              <w:rPr>
                <w:rFonts w:eastAsia="Calibri" w:cs="Sylfaen"/>
                <w:sz w:val="20"/>
                <w:szCs w:val="20"/>
              </w:rPr>
              <w:t>ու</w:t>
            </w:r>
            <w:r w:rsidRPr="0053423A">
              <w:rPr>
                <w:rFonts w:eastAsia="Calibri" w:cs="Sylfaen"/>
                <w:sz w:val="20"/>
                <w:szCs w:val="20"/>
                <w:lang w:val="af-ZA"/>
              </w:rPr>
              <w:t xml:space="preserve"> </w:t>
            </w:r>
            <w:r w:rsidRPr="0053423A">
              <w:rPr>
                <w:rFonts w:eastAsia="Calibri" w:cs="Sylfaen"/>
                <w:sz w:val="20"/>
                <w:szCs w:val="20"/>
              </w:rPr>
              <w:t>արդիականությունը</w:t>
            </w:r>
            <w:r w:rsidRPr="0053423A">
              <w:rPr>
                <w:rFonts w:eastAsia="Calibri" w:cs="Sylfaen"/>
                <w:sz w:val="20"/>
                <w:szCs w:val="20"/>
                <w:lang w:val="af-ZA"/>
              </w:rPr>
              <w:t xml:space="preserve">, </w:t>
            </w:r>
            <w:r w:rsidRPr="0053423A">
              <w:rPr>
                <w:rFonts w:eastAsia="Calibri" w:cs="Sylfaen"/>
                <w:sz w:val="20"/>
                <w:szCs w:val="20"/>
              </w:rPr>
              <w:t>նոր</w:t>
            </w:r>
            <w:r w:rsidRPr="0053423A">
              <w:rPr>
                <w:rFonts w:eastAsia="Calibri" w:cs="Sylfaen"/>
                <w:sz w:val="20"/>
                <w:szCs w:val="20"/>
                <w:lang w:val="af-ZA"/>
              </w:rPr>
              <w:t xml:space="preserve"> </w:t>
            </w:r>
            <w:r w:rsidRPr="0053423A">
              <w:rPr>
                <w:rFonts w:eastAsia="Calibri" w:cs="Sylfaen"/>
                <w:sz w:val="20"/>
                <w:szCs w:val="20"/>
              </w:rPr>
              <w:t>բովանդակություն</w:t>
            </w:r>
            <w:r w:rsidRPr="0053423A">
              <w:rPr>
                <w:rFonts w:eastAsia="Calibri" w:cs="Sylfaen"/>
                <w:sz w:val="20"/>
                <w:szCs w:val="20"/>
                <w:lang w:val="af-ZA"/>
              </w:rPr>
              <w:t xml:space="preserve"> </w:t>
            </w:r>
            <w:r w:rsidRPr="0053423A">
              <w:rPr>
                <w:rFonts w:eastAsia="Calibri" w:cs="Sylfaen"/>
                <w:sz w:val="20"/>
                <w:szCs w:val="20"/>
              </w:rPr>
              <w:t>հաղորդելու</w:t>
            </w:r>
            <w:r w:rsidRPr="0053423A">
              <w:rPr>
                <w:rFonts w:eastAsia="Calibri" w:cs="Sylfaen"/>
                <w:sz w:val="20"/>
                <w:szCs w:val="20"/>
                <w:lang w:val="af-ZA"/>
              </w:rPr>
              <w:t xml:space="preserve"> 12-</w:t>
            </w:r>
            <w:r w:rsidRPr="0053423A">
              <w:rPr>
                <w:rFonts w:eastAsia="Calibri" w:cs="Sylfaen"/>
                <w:sz w:val="20"/>
                <w:szCs w:val="20"/>
              </w:rPr>
              <w:t>ամյա</w:t>
            </w:r>
            <w:r w:rsidRPr="0053423A">
              <w:rPr>
                <w:rFonts w:eastAsia="Calibri" w:cs="Sylfaen"/>
                <w:sz w:val="20"/>
                <w:szCs w:val="20"/>
                <w:lang w:val="af-ZA"/>
              </w:rPr>
              <w:t xml:space="preserve"> </w:t>
            </w:r>
            <w:r w:rsidRPr="0053423A">
              <w:rPr>
                <w:rFonts w:eastAsia="Calibri" w:cs="Sylfaen"/>
                <w:sz w:val="20"/>
                <w:szCs w:val="20"/>
              </w:rPr>
              <w:t>կրթությանը</w:t>
            </w:r>
            <w:r w:rsidRPr="0053423A">
              <w:rPr>
                <w:rFonts w:eastAsia="Calibri" w:cs="Sylfaen"/>
                <w:sz w:val="20"/>
                <w:szCs w:val="20"/>
                <w:lang w:val="af-ZA"/>
              </w:rPr>
              <w:t>:</w:t>
            </w:r>
          </w:p>
          <w:p w:rsidR="00154773" w:rsidRPr="0053423A" w:rsidRDefault="00154773" w:rsidP="00154773">
            <w:pPr>
              <w:ind w:left="90" w:firstLine="630"/>
              <w:contextualSpacing/>
              <w:rPr>
                <w:rFonts w:cs="Sylfaen"/>
                <w:b/>
                <w:sz w:val="20"/>
                <w:szCs w:val="20"/>
                <w:lang w:val="af-ZA"/>
              </w:rPr>
            </w:pPr>
            <w:r w:rsidRPr="0053423A">
              <w:rPr>
                <w:color w:val="000000" w:themeColor="text1"/>
                <w:sz w:val="20"/>
                <w:szCs w:val="20"/>
                <w:lang w:val="hy-AM"/>
              </w:rPr>
              <w:t>Ուսուցիչների վերապատրաստման և ատեստավորման կարգերի պահանջների բարելավման և մատչելիության ապահովման նպատակով նշված կարգերի վերանայում</w:t>
            </w:r>
            <w:r w:rsidRPr="0053423A">
              <w:rPr>
                <w:color w:val="000000" w:themeColor="text1"/>
                <w:sz w:val="20"/>
                <w:szCs w:val="20"/>
                <w:lang w:val="af-ZA"/>
              </w:rPr>
              <w:t>:</w:t>
            </w:r>
          </w:p>
          <w:p w:rsidR="00154773" w:rsidRPr="0053423A" w:rsidRDefault="00154773" w:rsidP="00154773">
            <w:pPr>
              <w:ind w:left="90" w:firstLine="630"/>
              <w:contextualSpacing/>
              <w:jc w:val="both"/>
              <w:rPr>
                <w:b/>
                <w:sz w:val="20"/>
                <w:szCs w:val="20"/>
                <w:lang w:val="af-ZA"/>
              </w:rPr>
            </w:pPr>
          </w:p>
          <w:p w:rsidR="00154773" w:rsidRPr="0053423A" w:rsidRDefault="00154773" w:rsidP="00154773">
            <w:pPr>
              <w:ind w:left="90" w:firstLine="630"/>
              <w:jc w:val="both"/>
              <w:rPr>
                <w:b/>
                <w:sz w:val="20"/>
                <w:szCs w:val="20"/>
                <w:lang w:val="af-ZA"/>
              </w:rPr>
            </w:pPr>
          </w:p>
          <w:p w:rsidR="00154773" w:rsidRPr="0053423A" w:rsidRDefault="00154773" w:rsidP="00154773">
            <w:pPr>
              <w:jc w:val="both"/>
              <w:rPr>
                <w:rFonts w:cs="Sylfaen"/>
                <w:b/>
                <w:sz w:val="20"/>
                <w:szCs w:val="20"/>
                <w:lang w:val="af-ZA"/>
              </w:rPr>
            </w:pPr>
            <w:r w:rsidRPr="0053423A">
              <w:rPr>
                <w:rFonts w:cs="Sylfaen"/>
                <w:b/>
                <w:sz w:val="20"/>
                <w:szCs w:val="20"/>
                <w:lang w:val="af-ZA"/>
              </w:rPr>
              <w:t xml:space="preserve">1.1.  </w:t>
            </w:r>
            <w:r w:rsidRPr="0053423A">
              <w:rPr>
                <w:rFonts w:cs="Sylfaen"/>
                <w:b/>
                <w:sz w:val="20"/>
                <w:szCs w:val="20"/>
              </w:rPr>
              <w:t>կ</w:t>
            </w:r>
            <w:r w:rsidRPr="0053423A">
              <w:rPr>
                <w:rFonts w:cs="Sylfaen"/>
                <w:b/>
                <w:sz w:val="20"/>
                <w:szCs w:val="20"/>
                <w:lang w:val="hy-AM"/>
              </w:rPr>
              <w:t>արգավորման հարաբերությունների ներկա վիճակը և առկա խնդիրները.</w:t>
            </w:r>
          </w:p>
          <w:p w:rsidR="00154773" w:rsidRPr="0053423A" w:rsidRDefault="00154773" w:rsidP="00154773">
            <w:pPr>
              <w:jc w:val="both"/>
              <w:rPr>
                <w:rFonts w:cs="Sylfaen"/>
                <w:sz w:val="20"/>
                <w:szCs w:val="20"/>
                <w:lang w:val="af-ZA"/>
              </w:rPr>
            </w:pPr>
          </w:p>
          <w:p w:rsidR="00154773" w:rsidRPr="0053423A" w:rsidRDefault="00154773" w:rsidP="00154773">
            <w:pPr>
              <w:ind w:left="360" w:hanging="360"/>
              <w:jc w:val="both"/>
              <w:rPr>
                <w:sz w:val="20"/>
                <w:szCs w:val="20"/>
                <w:lang w:val="af-ZA"/>
              </w:rPr>
            </w:pPr>
            <w:r w:rsidRPr="0053423A">
              <w:rPr>
                <w:sz w:val="20"/>
                <w:szCs w:val="20"/>
                <w:lang w:val="af-ZA"/>
              </w:rPr>
              <w:t xml:space="preserve">     Ուսուցիչների վերապատրաստման և ատեստավորման կարգերի պահանջներն ունեն խիստ բարելավման կարիք, չեն ապահովում ցանկալի և անհրաժեշտ արդյունք ու արդյունավետություն:</w:t>
            </w:r>
          </w:p>
          <w:p w:rsidR="00154773" w:rsidRPr="0053423A" w:rsidRDefault="00154773" w:rsidP="00154773">
            <w:pPr>
              <w:jc w:val="both"/>
              <w:rPr>
                <w:rFonts w:cs="Sylfaen"/>
                <w:sz w:val="20"/>
                <w:szCs w:val="20"/>
                <w:lang w:val="af-ZA"/>
              </w:rPr>
            </w:pPr>
          </w:p>
          <w:p w:rsidR="00154773" w:rsidRPr="0053423A" w:rsidRDefault="00154773" w:rsidP="00154773">
            <w:pPr>
              <w:tabs>
                <w:tab w:val="left" w:pos="2790"/>
              </w:tabs>
              <w:jc w:val="both"/>
              <w:rPr>
                <w:rFonts w:eastAsia="Times New Roman" w:cs="Times New Roman"/>
                <w:b/>
                <w:sz w:val="20"/>
                <w:szCs w:val="20"/>
                <w:lang w:val="af-ZA"/>
              </w:rPr>
            </w:pPr>
            <w:r w:rsidRPr="0053423A">
              <w:rPr>
                <w:rFonts w:eastAsia="Times New Roman" w:cs="Times New Roman"/>
                <w:b/>
                <w:sz w:val="20"/>
                <w:szCs w:val="20"/>
                <w:lang w:val="af-ZA"/>
              </w:rPr>
              <w:t xml:space="preserve">1.2.    </w:t>
            </w:r>
            <w:r w:rsidRPr="0053423A">
              <w:rPr>
                <w:rFonts w:eastAsia="Times New Roman" w:cs="Times New Roman"/>
                <w:b/>
                <w:sz w:val="20"/>
                <w:szCs w:val="20"/>
              </w:rPr>
              <w:t>ա</w:t>
            </w:r>
            <w:r w:rsidRPr="0053423A">
              <w:rPr>
                <w:rFonts w:eastAsia="Times New Roman" w:cs="Times New Roman"/>
                <w:b/>
                <w:sz w:val="20"/>
                <w:szCs w:val="20"/>
                <w:lang w:val="hy-AM"/>
              </w:rPr>
              <w:t>ռկա խնդիրների առաջարկվող լուծումները.</w:t>
            </w:r>
          </w:p>
          <w:p w:rsidR="00154773" w:rsidRPr="0053423A" w:rsidRDefault="00154773" w:rsidP="00154773">
            <w:pPr>
              <w:tabs>
                <w:tab w:val="left" w:pos="2790"/>
              </w:tabs>
              <w:jc w:val="both"/>
              <w:rPr>
                <w:rFonts w:eastAsia="Times New Roman" w:cs="Times New Roman"/>
                <w:b/>
                <w:sz w:val="20"/>
                <w:szCs w:val="20"/>
                <w:lang w:val="af-ZA"/>
              </w:rPr>
            </w:pPr>
          </w:p>
          <w:p w:rsidR="00154773" w:rsidRPr="0053423A" w:rsidRDefault="00154773" w:rsidP="00154773">
            <w:pPr>
              <w:tabs>
                <w:tab w:val="left" w:pos="630"/>
              </w:tabs>
              <w:jc w:val="both"/>
              <w:rPr>
                <w:sz w:val="20"/>
                <w:szCs w:val="20"/>
                <w:lang w:val="af-ZA"/>
              </w:rPr>
            </w:pPr>
            <w:r w:rsidRPr="0053423A">
              <w:rPr>
                <w:sz w:val="20"/>
                <w:szCs w:val="20"/>
                <w:lang w:val="af-ZA"/>
              </w:rPr>
              <w:tab/>
              <w:t>Ուսուցիչների վերապատրաստման և ատեստավորման գործընթացների կազմակերպման և իրականացման նպատակով անհրաժեշտ է այդ էապես բարելավես այւդ գործընթացները կարգավորող նորմատիվ իրավական ակտերը:</w:t>
            </w:r>
          </w:p>
          <w:p w:rsidR="00154773" w:rsidRPr="0053423A" w:rsidRDefault="00154773" w:rsidP="00154773">
            <w:pPr>
              <w:tabs>
                <w:tab w:val="left" w:pos="2790"/>
              </w:tabs>
              <w:jc w:val="both"/>
              <w:rPr>
                <w:rFonts w:cs="Sylfaen"/>
                <w:sz w:val="20"/>
                <w:szCs w:val="20"/>
                <w:lang w:val="af-ZA"/>
              </w:rPr>
            </w:pPr>
          </w:p>
          <w:p w:rsidR="00154773" w:rsidRPr="0053423A" w:rsidRDefault="00154773" w:rsidP="001F6D5D">
            <w:pPr>
              <w:numPr>
                <w:ilvl w:val="0"/>
                <w:numId w:val="491"/>
              </w:numPr>
              <w:tabs>
                <w:tab w:val="left" w:pos="2790"/>
              </w:tabs>
              <w:contextualSpacing/>
              <w:jc w:val="both"/>
              <w:rPr>
                <w:rFonts w:cs="Sylfaen"/>
                <w:sz w:val="20"/>
                <w:szCs w:val="20"/>
                <w:lang w:val="af-ZA"/>
              </w:rPr>
            </w:pPr>
            <w:r w:rsidRPr="0053423A">
              <w:rPr>
                <w:b/>
                <w:sz w:val="20"/>
                <w:szCs w:val="20"/>
              </w:rPr>
              <w:t>Միջոցառման</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r w:rsidRPr="0053423A">
              <w:rPr>
                <w:sz w:val="20"/>
                <w:szCs w:val="20"/>
                <w:lang w:val="af-ZA"/>
              </w:rPr>
              <w:t xml:space="preserve"> </w:t>
            </w:r>
          </w:p>
          <w:p w:rsidR="00154773" w:rsidRPr="0053423A" w:rsidRDefault="00154773" w:rsidP="00154773">
            <w:pPr>
              <w:tabs>
                <w:tab w:val="left" w:pos="2790"/>
              </w:tabs>
              <w:ind w:left="720"/>
              <w:contextualSpacing/>
              <w:jc w:val="both"/>
              <w:rPr>
                <w:rFonts w:cs="Sylfaen"/>
                <w:sz w:val="20"/>
                <w:szCs w:val="20"/>
                <w:lang w:val="af-ZA"/>
              </w:rPr>
            </w:pPr>
          </w:p>
          <w:p w:rsidR="00154773" w:rsidRPr="0053423A" w:rsidRDefault="00154773" w:rsidP="00154773">
            <w:pPr>
              <w:tabs>
                <w:tab w:val="left" w:pos="2790"/>
              </w:tabs>
              <w:ind w:left="360"/>
              <w:jc w:val="both"/>
              <w:rPr>
                <w:sz w:val="20"/>
                <w:szCs w:val="20"/>
                <w:lang w:val="af-ZA"/>
              </w:rPr>
            </w:pPr>
            <w:r w:rsidRPr="0053423A">
              <w:rPr>
                <w:rFonts w:cs="Sylfaen"/>
                <w:sz w:val="20"/>
                <w:szCs w:val="20"/>
                <w:lang w:val="af-ZA"/>
              </w:rPr>
              <w:t>Արդյունքում կհաստատվի ու</w:t>
            </w:r>
            <w:r w:rsidRPr="0053423A">
              <w:rPr>
                <w:sz w:val="20"/>
                <w:szCs w:val="20"/>
                <w:lang w:val="af-ZA"/>
              </w:rPr>
              <w:t>սուցիչների վերապատրաստման և ատեստավորման լրամշակված կարգեր:</w:t>
            </w:r>
          </w:p>
          <w:p w:rsidR="00154773" w:rsidRPr="0053423A" w:rsidRDefault="00154773" w:rsidP="00154773">
            <w:pPr>
              <w:jc w:val="center"/>
              <w:rPr>
                <w:rFonts w:eastAsia="Times New Roman" w:cs="Times New Roman"/>
                <w:b/>
                <w:sz w:val="20"/>
                <w:szCs w:val="20"/>
                <w:lang w:val="af-ZA"/>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ind w:left="720"/>
              <w:contextualSpacing/>
              <w:jc w:val="center"/>
              <w:rPr>
                <w:b/>
                <w:sz w:val="20"/>
                <w:szCs w:val="20"/>
                <w:u w:val="single"/>
                <w:lang w:val="af-ZA"/>
              </w:rPr>
            </w:pPr>
            <w:r w:rsidRPr="0053423A">
              <w:rPr>
                <w:b/>
                <w:sz w:val="20"/>
                <w:szCs w:val="20"/>
                <w:u w:val="single"/>
                <w:lang w:val="af-ZA"/>
              </w:rPr>
              <w:t>13.5 Ուսուցիչների վերապատրաստում և ատեստավորում</w:t>
            </w:r>
          </w:p>
          <w:p w:rsidR="00154773" w:rsidRPr="0053423A" w:rsidRDefault="00154773" w:rsidP="00154773">
            <w:pPr>
              <w:ind w:left="720"/>
              <w:contextualSpacing/>
              <w:jc w:val="both"/>
              <w:rPr>
                <w:b/>
                <w:sz w:val="20"/>
                <w:szCs w:val="20"/>
                <w:u w:val="single"/>
                <w:lang w:val="af-ZA"/>
              </w:rPr>
            </w:pPr>
          </w:p>
          <w:p w:rsidR="00154773" w:rsidRPr="0053423A" w:rsidRDefault="00154773" w:rsidP="00154773">
            <w:pPr>
              <w:ind w:left="720"/>
              <w:contextualSpacing/>
              <w:jc w:val="both"/>
              <w:rPr>
                <w:b/>
                <w:sz w:val="20"/>
                <w:szCs w:val="20"/>
                <w:u w:val="single"/>
                <w:lang w:val="af-ZA"/>
              </w:rPr>
            </w:pPr>
          </w:p>
          <w:p w:rsidR="00154773" w:rsidRPr="0053423A" w:rsidRDefault="00154773" w:rsidP="001F6D5D">
            <w:pPr>
              <w:numPr>
                <w:ilvl w:val="0"/>
                <w:numId w:val="492"/>
              </w:numPr>
              <w:contextualSpacing/>
              <w:jc w:val="both"/>
              <w:rPr>
                <w:b/>
                <w:sz w:val="20"/>
                <w:szCs w:val="20"/>
                <w:lang w:val="af-ZA"/>
              </w:rPr>
            </w:pPr>
            <w:r w:rsidRPr="0053423A">
              <w:rPr>
                <w:rFonts w:cs="Sylfaen"/>
                <w:b/>
                <w:sz w:val="20"/>
                <w:szCs w:val="20"/>
              </w:rPr>
              <w:t>Միջոցառման</w:t>
            </w:r>
            <w:r w:rsidRPr="0053423A">
              <w:rPr>
                <w:b/>
                <w:sz w:val="20"/>
                <w:szCs w:val="20"/>
                <w:lang w:val="af-ZA"/>
              </w:rPr>
              <w:t xml:space="preserve"> </w:t>
            </w:r>
            <w:r w:rsidRPr="0053423A">
              <w:rPr>
                <w:b/>
                <w:sz w:val="20"/>
                <w:szCs w:val="20"/>
              </w:rPr>
              <w:t>իրականացման</w:t>
            </w:r>
            <w:r w:rsidRPr="0053423A">
              <w:rPr>
                <w:b/>
                <w:sz w:val="20"/>
                <w:szCs w:val="20"/>
                <w:lang w:val="af-ZA"/>
              </w:rPr>
              <w:t xml:space="preserve"> </w:t>
            </w:r>
            <w:r w:rsidRPr="0053423A">
              <w:rPr>
                <w:b/>
                <w:sz w:val="20"/>
                <w:szCs w:val="20"/>
              </w:rPr>
              <w:t>անհրաժեշտությունը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նպատակը՝</w:t>
            </w:r>
          </w:p>
          <w:p w:rsidR="00154773" w:rsidRPr="0053423A" w:rsidRDefault="00154773" w:rsidP="00154773">
            <w:pPr>
              <w:ind w:left="720"/>
              <w:contextualSpacing/>
              <w:jc w:val="both"/>
              <w:rPr>
                <w:rFonts w:cs="Sylfaen"/>
                <w:b/>
                <w:sz w:val="20"/>
                <w:szCs w:val="20"/>
                <w:lang w:val="af-ZA"/>
              </w:rPr>
            </w:pPr>
          </w:p>
          <w:p w:rsidR="00154773" w:rsidRPr="0053423A" w:rsidRDefault="00154773" w:rsidP="00154773">
            <w:pPr>
              <w:ind w:left="90" w:firstLine="630"/>
              <w:contextualSpacing/>
              <w:jc w:val="both"/>
              <w:rPr>
                <w:spacing w:val="-4"/>
                <w:sz w:val="20"/>
                <w:szCs w:val="20"/>
                <w:lang w:val="af-ZA"/>
              </w:rPr>
            </w:pPr>
            <w:r w:rsidRPr="0053423A">
              <w:rPr>
                <w:spacing w:val="-4"/>
                <w:sz w:val="20"/>
                <w:szCs w:val="20"/>
              </w:rPr>
              <w:t>Միջոցառման</w:t>
            </w:r>
            <w:r w:rsidRPr="0053423A">
              <w:rPr>
                <w:spacing w:val="-4"/>
                <w:sz w:val="20"/>
                <w:szCs w:val="20"/>
                <w:lang w:val="af-ZA"/>
              </w:rPr>
              <w:t xml:space="preserve"> </w:t>
            </w:r>
            <w:r w:rsidRPr="0053423A">
              <w:rPr>
                <w:spacing w:val="-4"/>
                <w:sz w:val="20"/>
                <w:szCs w:val="20"/>
              </w:rPr>
              <w:t>գլխավոր</w:t>
            </w:r>
            <w:r w:rsidRPr="0053423A">
              <w:rPr>
                <w:spacing w:val="-4"/>
                <w:sz w:val="20"/>
                <w:szCs w:val="20"/>
                <w:lang w:val="af-ZA"/>
              </w:rPr>
              <w:t xml:space="preserve"> </w:t>
            </w:r>
            <w:r w:rsidRPr="0053423A">
              <w:rPr>
                <w:spacing w:val="-4"/>
                <w:sz w:val="20"/>
                <w:szCs w:val="20"/>
              </w:rPr>
              <w:t>նպատակն</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դասավանդողների</w:t>
            </w:r>
            <w:r w:rsidRPr="0053423A">
              <w:rPr>
                <w:spacing w:val="-4"/>
                <w:sz w:val="20"/>
                <w:szCs w:val="20"/>
                <w:lang w:val="af-ZA"/>
              </w:rPr>
              <w:t xml:space="preserve"> </w:t>
            </w:r>
            <w:r w:rsidRPr="0053423A">
              <w:rPr>
                <w:spacing w:val="-4"/>
                <w:sz w:val="20"/>
                <w:szCs w:val="20"/>
              </w:rPr>
              <w:t>կարողությունների</w:t>
            </w:r>
            <w:r w:rsidRPr="0053423A">
              <w:rPr>
                <w:spacing w:val="-4"/>
                <w:sz w:val="20"/>
                <w:szCs w:val="20"/>
                <w:lang w:val="af-ZA"/>
              </w:rPr>
              <w:t xml:space="preserve"> </w:t>
            </w:r>
            <w:r w:rsidRPr="0053423A">
              <w:rPr>
                <w:spacing w:val="-4"/>
                <w:sz w:val="20"/>
                <w:szCs w:val="20"/>
              </w:rPr>
              <w:t>զարգացումը</w:t>
            </w:r>
            <w:r w:rsidRPr="0053423A">
              <w:rPr>
                <w:spacing w:val="-4"/>
                <w:sz w:val="20"/>
                <w:szCs w:val="20"/>
                <w:lang w:val="af-ZA"/>
              </w:rPr>
              <w:t xml:space="preserve"> </w:t>
            </w:r>
            <w:r w:rsidRPr="0053423A">
              <w:rPr>
                <w:spacing w:val="-4"/>
                <w:sz w:val="20"/>
                <w:szCs w:val="20"/>
              </w:rPr>
              <w:t>և</w:t>
            </w:r>
            <w:r w:rsidRPr="0053423A">
              <w:rPr>
                <w:spacing w:val="-4"/>
                <w:sz w:val="20"/>
                <w:szCs w:val="20"/>
                <w:lang w:val="af-ZA"/>
              </w:rPr>
              <w:t xml:space="preserve"> </w:t>
            </w:r>
            <w:r w:rsidRPr="0053423A">
              <w:rPr>
                <w:spacing w:val="-4"/>
                <w:sz w:val="20"/>
                <w:szCs w:val="20"/>
              </w:rPr>
              <w:t>մասնագիտական</w:t>
            </w:r>
            <w:r w:rsidRPr="0053423A">
              <w:rPr>
                <w:spacing w:val="-4"/>
                <w:sz w:val="20"/>
                <w:szCs w:val="20"/>
                <w:lang w:val="af-ZA"/>
              </w:rPr>
              <w:t xml:space="preserve"> </w:t>
            </w:r>
            <w:r w:rsidRPr="0053423A">
              <w:rPr>
                <w:spacing w:val="-4"/>
                <w:sz w:val="20"/>
                <w:szCs w:val="20"/>
              </w:rPr>
              <w:t>հեղինակության</w:t>
            </w:r>
            <w:r w:rsidRPr="0053423A">
              <w:rPr>
                <w:spacing w:val="-4"/>
                <w:sz w:val="20"/>
                <w:szCs w:val="20"/>
                <w:lang w:val="af-ZA"/>
              </w:rPr>
              <w:t xml:space="preserve"> </w:t>
            </w:r>
            <w:r w:rsidRPr="0053423A">
              <w:rPr>
                <w:spacing w:val="-4"/>
                <w:sz w:val="20"/>
                <w:szCs w:val="20"/>
              </w:rPr>
              <w:t>բարձրացումը</w:t>
            </w:r>
            <w:r w:rsidRPr="0053423A">
              <w:rPr>
                <w:spacing w:val="-4"/>
                <w:sz w:val="20"/>
                <w:szCs w:val="20"/>
                <w:lang w:val="af-ZA"/>
              </w:rPr>
              <w:t xml:space="preserve">: </w:t>
            </w:r>
          </w:p>
          <w:p w:rsidR="00154773" w:rsidRPr="0053423A" w:rsidRDefault="00154773" w:rsidP="00154773">
            <w:pPr>
              <w:ind w:left="90" w:firstLine="630"/>
              <w:contextualSpacing/>
              <w:jc w:val="both"/>
              <w:rPr>
                <w:rFonts w:eastAsia="Calibri" w:cs="Sylfaen"/>
                <w:sz w:val="20"/>
                <w:szCs w:val="20"/>
                <w:lang w:val="af-ZA"/>
              </w:rPr>
            </w:pPr>
            <w:r w:rsidRPr="0053423A">
              <w:rPr>
                <w:spacing w:val="-4"/>
                <w:sz w:val="20"/>
                <w:szCs w:val="20"/>
              </w:rPr>
              <w:t>Միջոցառումների</w:t>
            </w:r>
            <w:r w:rsidRPr="0053423A">
              <w:rPr>
                <w:spacing w:val="-4"/>
                <w:sz w:val="20"/>
                <w:szCs w:val="20"/>
                <w:lang w:val="af-ZA"/>
              </w:rPr>
              <w:t xml:space="preserve"> </w:t>
            </w:r>
            <w:r w:rsidRPr="0053423A">
              <w:rPr>
                <w:spacing w:val="-4"/>
                <w:sz w:val="20"/>
                <w:szCs w:val="20"/>
              </w:rPr>
              <w:t>անհրաժեշտությունը</w:t>
            </w:r>
            <w:r w:rsidRPr="0053423A">
              <w:rPr>
                <w:spacing w:val="-4"/>
                <w:sz w:val="20"/>
                <w:szCs w:val="20"/>
                <w:lang w:val="af-ZA"/>
              </w:rPr>
              <w:t xml:space="preserve"> </w:t>
            </w:r>
            <w:r w:rsidRPr="0053423A">
              <w:rPr>
                <w:spacing w:val="-4"/>
                <w:sz w:val="20"/>
                <w:szCs w:val="20"/>
              </w:rPr>
              <w:t>բխում</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ԱԺ</w:t>
            </w:r>
            <w:r w:rsidRPr="0053423A">
              <w:rPr>
                <w:spacing w:val="-4"/>
                <w:sz w:val="20"/>
                <w:szCs w:val="20"/>
                <w:lang w:val="af-ZA"/>
              </w:rPr>
              <w:t xml:space="preserve"> 2019 </w:t>
            </w:r>
            <w:r w:rsidRPr="0053423A">
              <w:rPr>
                <w:spacing w:val="-4"/>
                <w:sz w:val="20"/>
                <w:szCs w:val="20"/>
              </w:rPr>
              <w:t>թվականի</w:t>
            </w:r>
            <w:r w:rsidRPr="0053423A">
              <w:rPr>
                <w:spacing w:val="-4"/>
                <w:sz w:val="20"/>
                <w:szCs w:val="20"/>
                <w:lang w:val="af-ZA"/>
              </w:rPr>
              <w:t xml:space="preserve"> </w:t>
            </w:r>
            <w:r w:rsidRPr="0053423A">
              <w:rPr>
                <w:spacing w:val="-4"/>
                <w:sz w:val="20"/>
                <w:szCs w:val="20"/>
              </w:rPr>
              <w:t>փետրվարի</w:t>
            </w:r>
            <w:r w:rsidRPr="0053423A">
              <w:rPr>
                <w:spacing w:val="-4"/>
                <w:sz w:val="20"/>
                <w:szCs w:val="20"/>
                <w:lang w:val="af-ZA"/>
              </w:rPr>
              <w:t xml:space="preserve"> 14-</w:t>
            </w:r>
            <w:r w:rsidRPr="0053423A">
              <w:rPr>
                <w:spacing w:val="-4"/>
                <w:sz w:val="20"/>
                <w:szCs w:val="20"/>
              </w:rPr>
              <w:t>ի</w:t>
            </w:r>
            <w:r w:rsidRPr="0053423A">
              <w:rPr>
                <w:spacing w:val="-4"/>
                <w:sz w:val="20"/>
                <w:szCs w:val="20"/>
                <w:lang w:val="af-ZA"/>
              </w:rPr>
              <w:t xml:space="preserve"> </w:t>
            </w:r>
            <w:r w:rsidRPr="0053423A">
              <w:rPr>
                <w:spacing w:val="-4"/>
                <w:sz w:val="20"/>
                <w:szCs w:val="20"/>
              </w:rPr>
              <w:t>ԱԺՈ</w:t>
            </w:r>
            <w:r w:rsidRPr="0053423A">
              <w:rPr>
                <w:spacing w:val="-4"/>
                <w:sz w:val="20"/>
                <w:szCs w:val="20"/>
                <w:lang w:val="af-ZA"/>
              </w:rPr>
              <w:t>-002-</w:t>
            </w:r>
            <w:r w:rsidRPr="0053423A">
              <w:rPr>
                <w:spacing w:val="-4"/>
                <w:sz w:val="20"/>
                <w:szCs w:val="20"/>
              </w:rPr>
              <w:t>Ն</w:t>
            </w:r>
            <w:r w:rsidRPr="0053423A">
              <w:rPr>
                <w:spacing w:val="-4"/>
                <w:sz w:val="20"/>
                <w:szCs w:val="20"/>
                <w:lang w:val="af-ZA"/>
              </w:rPr>
              <w:t xml:space="preserve"> </w:t>
            </w:r>
            <w:r w:rsidRPr="0053423A">
              <w:rPr>
                <w:spacing w:val="-4"/>
                <w:sz w:val="20"/>
                <w:szCs w:val="20"/>
              </w:rPr>
              <w:t>որոշմամբ</w:t>
            </w:r>
            <w:r w:rsidRPr="0053423A">
              <w:rPr>
                <w:spacing w:val="-4"/>
                <w:sz w:val="20"/>
                <w:szCs w:val="20"/>
                <w:lang w:val="af-ZA"/>
              </w:rPr>
              <w:t xml:space="preserve"> </w:t>
            </w:r>
            <w:r w:rsidRPr="0053423A">
              <w:rPr>
                <w:spacing w:val="-4"/>
                <w:sz w:val="20"/>
                <w:szCs w:val="20"/>
              </w:rPr>
              <w:t>հավանության</w:t>
            </w:r>
            <w:r w:rsidRPr="0053423A">
              <w:rPr>
                <w:spacing w:val="-4"/>
                <w:sz w:val="20"/>
                <w:szCs w:val="20"/>
                <w:lang w:val="af-ZA"/>
              </w:rPr>
              <w:t xml:space="preserve"> </w:t>
            </w:r>
            <w:r w:rsidRPr="0053423A">
              <w:rPr>
                <w:spacing w:val="-4"/>
                <w:sz w:val="20"/>
                <w:szCs w:val="20"/>
              </w:rPr>
              <w:t>արժանացած</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կառավարության</w:t>
            </w:r>
            <w:r w:rsidRPr="0053423A">
              <w:rPr>
                <w:spacing w:val="-4"/>
                <w:sz w:val="20"/>
                <w:szCs w:val="20"/>
                <w:lang w:val="af-ZA"/>
              </w:rPr>
              <w:t xml:space="preserve"> </w:t>
            </w:r>
            <w:r w:rsidRPr="0053423A">
              <w:rPr>
                <w:spacing w:val="-4"/>
                <w:sz w:val="20"/>
                <w:szCs w:val="20"/>
              </w:rPr>
              <w:t>ծրագրի</w:t>
            </w:r>
            <w:r w:rsidRPr="0053423A">
              <w:rPr>
                <w:spacing w:val="-4"/>
                <w:sz w:val="20"/>
                <w:szCs w:val="20"/>
                <w:lang w:val="af-ZA"/>
              </w:rPr>
              <w:t xml:space="preserve"> </w:t>
            </w:r>
            <w:r w:rsidRPr="0053423A">
              <w:rPr>
                <w:rFonts w:eastAsia="Times New Roman" w:cs="Times New Roman"/>
                <w:sz w:val="20"/>
                <w:szCs w:val="20"/>
                <w:lang w:val="af-ZA"/>
              </w:rPr>
              <w:t>«</w:t>
            </w:r>
            <w:r w:rsidRPr="0053423A">
              <w:rPr>
                <w:spacing w:val="-4"/>
                <w:sz w:val="20"/>
                <w:szCs w:val="20"/>
                <w:lang w:val="af-ZA"/>
              </w:rPr>
              <w:t xml:space="preserve">4.4 </w:t>
            </w:r>
            <w:r w:rsidRPr="0053423A">
              <w:rPr>
                <w:spacing w:val="-4"/>
                <w:sz w:val="20"/>
                <w:szCs w:val="20"/>
              </w:rPr>
              <w:t>ԿՐԹՈՒԹՅՈՒՆ</w:t>
            </w:r>
            <w:r w:rsidRPr="0053423A">
              <w:rPr>
                <w:spacing w:val="-4"/>
                <w:sz w:val="20"/>
                <w:szCs w:val="20"/>
                <w:lang w:val="af-ZA"/>
              </w:rPr>
              <w:t xml:space="preserve"> </w:t>
            </w:r>
            <w:r w:rsidRPr="0053423A">
              <w:rPr>
                <w:spacing w:val="-4"/>
                <w:sz w:val="20"/>
                <w:szCs w:val="20"/>
              </w:rPr>
              <w:t>ԵՎ</w:t>
            </w:r>
            <w:r w:rsidRPr="0053423A">
              <w:rPr>
                <w:spacing w:val="-4"/>
                <w:sz w:val="20"/>
                <w:szCs w:val="20"/>
                <w:lang w:val="af-ZA"/>
              </w:rPr>
              <w:t xml:space="preserve"> </w:t>
            </w:r>
            <w:r w:rsidRPr="0053423A">
              <w:rPr>
                <w:spacing w:val="-4"/>
                <w:sz w:val="20"/>
                <w:szCs w:val="20"/>
              </w:rPr>
              <w:t>ԳԻՏՈՒԹՅՈՒՆ</w:t>
            </w:r>
            <w:r w:rsidRPr="0053423A">
              <w:rPr>
                <w:rFonts w:eastAsia="Times New Roman" w:cs="Times New Roman"/>
                <w:sz w:val="20"/>
                <w:szCs w:val="20"/>
                <w:lang w:val="af-ZA"/>
              </w:rPr>
              <w:t xml:space="preserve">»  </w:t>
            </w:r>
            <w:r w:rsidRPr="0053423A">
              <w:rPr>
                <w:rFonts w:eastAsia="Calibri" w:cs="Sylfaen"/>
                <w:sz w:val="20"/>
                <w:szCs w:val="20"/>
                <w:lang w:val="hy-AM"/>
              </w:rPr>
              <w:t>բաժնի</w:t>
            </w:r>
            <w:r w:rsidRPr="0053423A">
              <w:rPr>
                <w:rFonts w:eastAsia="Calibri" w:cs="Sylfaen"/>
                <w:sz w:val="20"/>
                <w:szCs w:val="20"/>
                <w:lang w:val="af-ZA"/>
              </w:rPr>
              <w:t xml:space="preserve"> </w:t>
            </w:r>
            <w:r w:rsidRPr="0053423A">
              <w:rPr>
                <w:rFonts w:cs="Arian AMU"/>
                <w:sz w:val="20"/>
                <w:szCs w:val="20"/>
                <w:lang w:val="et-EE"/>
              </w:rPr>
              <w:t xml:space="preserve">Հանրակրթության ոլորտի </w:t>
            </w:r>
            <w:r w:rsidRPr="0053423A">
              <w:rPr>
                <w:rFonts w:cs="Sylfaen"/>
                <w:sz w:val="20"/>
                <w:szCs w:val="20"/>
                <w:lang w:val="af-ZA"/>
              </w:rPr>
              <w:t>6-րդ, կետից</w:t>
            </w:r>
            <w:r w:rsidRPr="0053423A">
              <w:rPr>
                <w:rFonts w:eastAsia="Calibri" w:cs="Sylfaen"/>
                <w:sz w:val="20"/>
                <w:szCs w:val="20"/>
                <w:lang w:val="af-ZA"/>
              </w:rPr>
              <w:t xml:space="preserve"> ` </w:t>
            </w:r>
            <w:r w:rsidRPr="0053423A">
              <w:rPr>
                <w:rFonts w:eastAsia="Calibri" w:cs="Sylfaen"/>
                <w:sz w:val="20"/>
                <w:szCs w:val="20"/>
              </w:rPr>
              <w:t>ապահովելու</w:t>
            </w:r>
            <w:r w:rsidRPr="0053423A">
              <w:rPr>
                <w:rFonts w:eastAsia="Calibri" w:cs="Sylfaen"/>
                <w:sz w:val="20"/>
                <w:szCs w:val="20"/>
                <w:lang w:val="af-ZA"/>
              </w:rPr>
              <w:t xml:space="preserve"> </w:t>
            </w:r>
            <w:r w:rsidRPr="0053423A">
              <w:rPr>
                <w:rFonts w:eastAsia="Calibri" w:cs="Sylfaen"/>
                <w:sz w:val="20"/>
                <w:szCs w:val="20"/>
              </w:rPr>
              <w:t>համար</w:t>
            </w:r>
            <w:r w:rsidRPr="0053423A">
              <w:rPr>
                <w:rFonts w:eastAsia="Calibri" w:cs="Sylfaen"/>
                <w:sz w:val="20"/>
                <w:szCs w:val="20"/>
                <w:lang w:val="af-ZA"/>
              </w:rPr>
              <w:t xml:space="preserve"> </w:t>
            </w:r>
            <w:r w:rsidRPr="0053423A">
              <w:rPr>
                <w:rFonts w:eastAsia="Calibri" w:cs="Sylfaen"/>
                <w:sz w:val="20"/>
                <w:szCs w:val="20"/>
              </w:rPr>
              <w:t>կրթության</w:t>
            </w:r>
            <w:r w:rsidRPr="0053423A">
              <w:rPr>
                <w:rFonts w:eastAsia="Calibri" w:cs="Sylfaen"/>
                <w:sz w:val="20"/>
                <w:szCs w:val="20"/>
                <w:lang w:val="af-ZA"/>
              </w:rPr>
              <w:t xml:space="preserve"> </w:t>
            </w:r>
            <w:r w:rsidRPr="0053423A">
              <w:rPr>
                <w:rFonts w:eastAsia="Calibri" w:cs="Sylfaen"/>
                <w:sz w:val="20"/>
                <w:szCs w:val="20"/>
              </w:rPr>
              <w:t>որակն</w:t>
            </w:r>
            <w:r w:rsidRPr="0053423A">
              <w:rPr>
                <w:rFonts w:eastAsia="Calibri" w:cs="Sylfaen"/>
                <w:sz w:val="20"/>
                <w:szCs w:val="20"/>
                <w:lang w:val="af-ZA"/>
              </w:rPr>
              <w:t xml:space="preserve"> </w:t>
            </w:r>
            <w:r w:rsidRPr="0053423A">
              <w:rPr>
                <w:rFonts w:eastAsia="Calibri" w:cs="Sylfaen"/>
                <w:sz w:val="20"/>
                <w:szCs w:val="20"/>
              </w:rPr>
              <w:t>ու</w:t>
            </w:r>
            <w:r w:rsidRPr="0053423A">
              <w:rPr>
                <w:rFonts w:eastAsia="Calibri" w:cs="Sylfaen"/>
                <w:sz w:val="20"/>
                <w:szCs w:val="20"/>
                <w:lang w:val="af-ZA"/>
              </w:rPr>
              <w:t xml:space="preserve"> </w:t>
            </w:r>
            <w:r w:rsidRPr="0053423A">
              <w:rPr>
                <w:rFonts w:eastAsia="Calibri" w:cs="Sylfaen"/>
                <w:sz w:val="20"/>
                <w:szCs w:val="20"/>
              </w:rPr>
              <w:t>արդիականությունը</w:t>
            </w:r>
            <w:r w:rsidRPr="0053423A">
              <w:rPr>
                <w:rFonts w:eastAsia="Calibri" w:cs="Sylfaen"/>
                <w:sz w:val="20"/>
                <w:szCs w:val="20"/>
                <w:lang w:val="af-ZA"/>
              </w:rPr>
              <w:t xml:space="preserve">, </w:t>
            </w:r>
            <w:r w:rsidRPr="0053423A">
              <w:rPr>
                <w:rFonts w:eastAsia="Calibri" w:cs="Sylfaen"/>
                <w:sz w:val="20"/>
                <w:szCs w:val="20"/>
              </w:rPr>
              <w:t>նոր</w:t>
            </w:r>
            <w:r w:rsidRPr="0053423A">
              <w:rPr>
                <w:rFonts w:eastAsia="Calibri" w:cs="Sylfaen"/>
                <w:sz w:val="20"/>
                <w:szCs w:val="20"/>
                <w:lang w:val="af-ZA"/>
              </w:rPr>
              <w:t xml:space="preserve"> </w:t>
            </w:r>
            <w:r w:rsidRPr="0053423A">
              <w:rPr>
                <w:rFonts w:eastAsia="Calibri" w:cs="Sylfaen"/>
                <w:sz w:val="20"/>
                <w:szCs w:val="20"/>
              </w:rPr>
              <w:t>բովանդակություն</w:t>
            </w:r>
            <w:r w:rsidRPr="0053423A">
              <w:rPr>
                <w:rFonts w:eastAsia="Calibri" w:cs="Sylfaen"/>
                <w:sz w:val="20"/>
                <w:szCs w:val="20"/>
                <w:lang w:val="af-ZA"/>
              </w:rPr>
              <w:t xml:space="preserve"> </w:t>
            </w:r>
            <w:r w:rsidRPr="0053423A">
              <w:rPr>
                <w:rFonts w:eastAsia="Calibri" w:cs="Sylfaen"/>
                <w:sz w:val="20"/>
                <w:szCs w:val="20"/>
              </w:rPr>
              <w:t>հաղորդելու</w:t>
            </w:r>
            <w:r w:rsidRPr="0053423A">
              <w:rPr>
                <w:rFonts w:eastAsia="Calibri" w:cs="Sylfaen"/>
                <w:sz w:val="20"/>
                <w:szCs w:val="20"/>
                <w:lang w:val="af-ZA"/>
              </w:rPr>
              <w:t xml:space="preserve"> 12-</w:t>
            </w:r>
            <w:r w:rsidRPr="0053423A">
              <w:rPr>
                <w:rFonts w:eastAsia="Calibri" w:cs="Sylfaen"/>
                <w:sz w:val="20"/>
                <w:szCs w:val="20"/>
              </w:rPr>
              <w:t>ամյա</w:t>
            </w:r>
            <w:r w:rsidRPr="0053423A">
              <w:rPr>
                <w:rFonts w:eastAsia="Calibri" w:cs="Sylfaen"/>
                <w:sz w:val="20"/>
                <w:szCs w:val="20"/>
                <w:lang w:val="af-ZA"/>
              </w:rPr>
              <w:t xml:space="preserve"> </w:t>
            </w:r>
            <w:r w:rsidRPr="0053423A">
              <w:rPr>
                <w:rFonts w:eastAsia="Calibri" w:cs="Sylfaen"/>
                <w:sz w:val="20"/>
                <w:szCs w:val="20"/>
              </w:rPr>
              <w:t>կրթությանը</w:t>
            </w:r>
            <w:r w:rsidRPr="0053423A">
              <w:rPr>
                <w:rFonts w:eastAsia="Calibri" w:cs="Sylfaen"/>
                <w:sz w:val="20"/>
                <w:szCs w:val="20"/>
                <w:lang w:val="af-ZA"/>
              </w:rPr>
              <w:t>:</w:t>
            </w:r>
          </w:p>
          <w:p w:rsidR="00154773" w:rsidRPr="0053423A" w:rsidRDefault="00154773" w:rsidP="00154773">
            <w:pPr>
              <w:ind w:left="90" w:firstLine="180"/>
              <w:contextualSpacing/>
              <w:jc w:val="both"/>
              <w:rPr>
                <w:b/>
                <w:sz w:val="20"/>
                <w:szCs w:val="20"/>
                <w:lang w:val="af-ZA"/>
              </w:rPr>
            </w:pPr>
            <w:r w:rsidRPr="0053423A">
              <w:rPr>
                <w:color w:val="000000" w:themeColor="text1"/>
                <w:sz w:val="20"/>
                <w:szCs w:val="20"/>
                <w:lang w:val="hy-AM"/>
              </w:rPr>
              <w:t>Ուսուցիչների վերապատրաստման և ատեստավորման գործընթացներն անհրաժեշտ է կազմակերպել համաձայն հաստատված փոփոխությունների</w:t>
            </w:r>
            <w:r w:rsidRPr="0053423A">
              <w:rPr>
                <w:color w:val="000000" w:themeColor="text1"/>
                <w:sz w:val="20"/>
                <w:szCs w:val="20"/>
                <w:lang w:val="af-ZA"/>
              </w:rPr>
              <w:t>:</w:t>
            </w:r>
          </w:p>
          <w:p w:rsidR="00154773" w:rsidRPr="0053423A" w:rsidRDefault="00154773" w:rsidP="00154773">
            <w:pPr>
              <w:ind w:left="90" w:firstLine="180"/>
              <w:jc w:val="both"/>
              <w:rPr>
                <w:b/>
                <w:sz w:val="20"/>
                <w:szCs w:val="20"/>
                <w:lang w:val="af-ZA"/>
              </w:rPr>
            </w:pPr>
          </w:p>
          <w:p w:rsidR="00154773" w:rsidRPr="0053423A" w:rsidRDefault="00154773" w:rsidP="00154773">
            <w:pPr>
              <w:ind w:firstLine="720"/>
              <w:contextualSpacing/>
              <w:jc w:val="both"/>
              <w:rPr>
                <w:rFonts w:cs="Sylfaen"/>
                <w:b/>
                <w:sz w:val="20"/>
                <w:szCs w:val="20"/>
                <w:lang w:val="af-ZA"/>
              </w:rPr>
            </w:pPr>
            <w:r w:rsidRPr="0053423A">
              <w:rPr>
                <w:rFonts w:cs="Sylfaen"/>
                <w:b/>
                <w:sz w:val="20"/>
                <w:szCs w:val="20"/>
                <w:lang w:val="af-ZA"/>
              </w:rPr>
              <w:t xml:space="preserve">1.1.  </w:t>
            </w:r>
            <w:r w:rsidRPr="0053423A">
              <w:rPr>
                <w:rFonts w:cs="Sylfaen"/>
                <w:b/>
                <w:sz w:val="20"/>
                <w:szCs w:val="20"/>
              </w:rPr>
              <w:t>կ</w:t>
            </w:r>
            <w:r w:rsidRPr="0053423A">
              <w:rPr>
                <w:rFonts w:cs="Sylfaen"/>
                <w:b/>
                <w:sz w:val="20"/>
                <w:szCs w:val="20"/>
                <w:lang w:val="hy-AM"/>
              </w:rPr>
              <w:t>արգավորման հարաբերությունների ներկա վիճակը և առկա խնդիրները.</w:t>
            </w:r>
          </w:p>
          <w:p w:rsidR="00154773" w:rsidRPr="0053423A" w:rsidRDefault="00154773" w:rsidP="00154773">
            <w:pPr>
              <w:jc w:val="both"/>
              <w:rPr>
                <w:rFonts w:cs="Sylfaen"/>
                <w:sz w:val="20"/>
                <w:szCs w:val="20"/>
                <w:lang w:val="af-ZA"/>
              </w:rPr>
            </w:pPr>
          </w:p>
          <w:p w:rsidR="00154773" w:rsidRPr="0053423A" w:rsidRDefault="00154773" w:rsidP="00154773">
            <w:pPr>
              <w:ind w:left="360" w:hanging="360"/>
              <w:jc w:val="both"/>
              <w:rPr>
                <w:sz w:val="20"/>
                <w:szCs w:val="20"/>
                <w:lang w:val="af-ZA"/>
              </w:rPr>
            </w:pPr>
            <w:r w:rsidRPr="0053423A">
              <w:rPr>
                <w:sz w:val="20"/>
                <w:szCs w:val="20"/>
                <w:lang w:val="af-ZA"/>
              </w:rPr>
              <w:t xml:space="preserve">     Ուսուցիչների վերապատրաստման և ատեստավորման գործընթացները կկազմակերպվեն լրամշակված և հաստատված կարգի պահանջներին համապատասխան: </w:t>
            </w:r>
          </w:p>
          <w:p w:rsidR="00154773" w:rsidRPr="0053423A" w:rsidRDefault="00154773" w:rsidP="00154773">
            <w:pPr>
              <w:jc w:val="both"/>
              <w:rPr>
                <w:rFonts w:cs="Sylfaen"/>
                <w:sz w:val="20"/>
                <w:szCs w:val="20"/>
                <w:lang w:val="af-ZA"/>
              </w:rPr>
            </w:pPr>
          </w:p>
          <w:p w:rsidR="00154773" w:rsidRPr="0053423A" w:rsidRDefault="00154773" w:rsidP="00154773">
            <w:pPr>
              <w:tabs>
                <w:tab w:val="left" w:pos="2790"/>
              </w:tabs>
              <w:jc w:val="both"/>
              <w:rPr>
                <w:rFonts w:eastAsia="Times New Roman" w:cs="Times New Roman"/>
                <w:b/>
                <w:sz w:val="20"/>
                <w:szCs w:val="20"/>
                <w:lang w:val="af-ZA"/>
              </w:rPr>
            </w:pPr>
            <w:r w:rsidRPr="0053423A">
              <w:rPr>
                <w:rFonts w:eastAsia="Times New Roman" w:cs="Times New Roman"/>
                <w:b/>
                <w:sz w:val="20"/>
                <w:szCs w:val="20"/>
                <w:lang w:val="af-ZA"/>
              </w:rPr>
              <w:t xml:space="preserve">          1.2.    </w:t>
            </w:r>
            <w:r w:rsidRPr="0053423A">
              <w:rPr>
                <w:rFonts w:eastAsia="Times New Roman" w:cs="Times New Roman"/>
                <w:b/>
                <w:sz w:val="20"/>
                <w:szCs w:val="20"/>
              </w:rPr>
              <w:t>ա</w:t>
            </w:r>
            <w:r w:rsidRPr="0053423A">
              <w:rPr>
                <w:rFonts w:eastAsia="Times New Roman" w:cs="Times New Roman"/>
                <w:b/>
                <w:sz w:val="20"/>
                <w:szCs w:val="20"/>
                <w:lang w:val="hy-AM"/>
              </w:rPr>
              <w:t>ռկա խնդիրների առաջարկվող լուծումները.</w:t>
            </w:r>
          </w:p>
          <w:p w:rsidR="00154773" w:rsidRPr="0053423A" w:rsidRDefault="00154773" w:rsidP="00154773">
            <w:pPr>
              <w:tabs>
                <w:tab w:val="left" w:pos="2790"/>
              </w:tabs>
              <w:jc w:val="both"/>
              <w:rPr>
                <w:rFonts w:cs="Sylfaen"/>
                <w:b/>
                <w:sz w:val="20"/>
                <w:szCs w:val="20"/>
                <w:lang w:val="af-ZA"/>
              </w:rPr>
            </w:pPr>
          </w:p>
          <w:p w:rsidR="00154773" w:rsidRPr="0053423A" w:rsidRDefault="00154773" w:rsidP="00154773">
            <w:pPr>
              <w:tabs>
                <w:tab w:val="left" w:pos="2790"/>
              </w:tabs>
              <w:jc w:val="both"/>
              <w:rPr>
                <w:rFonts w:cs="Sylfaen"/>
                <w:sz w:val="20"/>
                <w:szCs w:val="20"/>
                <w:lang w:val="af-ZA"/>
              </w:rPr>
            </w:pPr>
            <w:r w:rsidRPr="0053423A">
              <w:rPr>
                <w:rFonts w:cs="Sylfaen"/>
                <w:b/>
                <w:sz w:val="20"/>
                <w:szCs w:val="20"/>
                <w:lang w:val="af-ZA"/>
              </w:rPr>
              <w:t xml:space="preserve">     </w:t>
            </w:r>
            <w:r w:rsidRPr="0053423A">
              <w:rPr>
                <w:rFonts w:cs="Sylfaen"/>
                <w:sz w:val="20"/>
                <w:szCs w:val="20"/>
                <w:lang w:val="af-ZA"/>
              </w:rPr>
              <w:t>Ուսուցիչնե</w:t>
            </w:r>
            <w:r w:rsidRPr="0053423A">
              <w:rPr>
                <w:sz w:val="20"/>
                <w:szCs w:val="20"/>
                <w:lang w:val="af-ZA"/>
              </w:rPr>
              <w:t>րի վերապատրաստման և ատեստավորման գործընթացների արդյունավետ կազմակերպում՝ համաձայն իրավական լրամշակված կարգերի:</w:t>
            </w:r>
          </w:p>
          <w:p w:rsidR="00154773" w:rsidRPr="0053423A" w:rsidRDefault="00154773" w:rsidP="00154773">
            <w:pPr>
              <w:jc w:val="both"/>
              <w:rPr>
                <w:rFonts w:cs="Sylfaen"/>
                <w:sz w:val="20"/>
                <w:szCs w:val="20"/>
                <w:lang w:val="af-ZA"/>
              </w:rPr>
            </w:pPr>
          </w:p>
          <w:p w:rsidR="00154773" w:rsidRPr="0053423A" w:rsidRDefault="00154773" w:rsidP="001F6D5D">
            <w:pPr>
              <w:numPr>
                <w:ilvl w:val="0"/>
                <w:numId w:val="492"/>
              </w:numPr>
              <w:tabs>
                <w:tab w:val="left" w:pos="2790"/>
              </w:tabs>
              <w:contextualSpacing/>
              <w:jc w:val="both"/>
              <w:rPr>
                <w:rFonts w:cs="Sylfaen"/>
                <w:sz w:val="20"/>
                <w:szCs w:val="20"/>
                <w:lang w:val="af-ZA"/>
              </w:rPr>
            </w:pPr>
            <w:r w:rsidRPr="0053423A">
              <w:rPr>
                <w:b/>
                <w:sz w:val="20"/>
                <w:szCs w:val="20"/>
              </w:rPr>
              <w:t>Միջոցառման</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r w:rsidRPr="0053423A">
              <w:rPr>
                <w:sz w:val="20"/>
                <w:szCs w:val="20"/>
                <w:lang w:val="af-ZA"/>
              </w:rPr>
              <w:t xml:space="preserve"> </w:t>
            </w:r>
          </w:p>
          <w:p w:rsidR="00154773" w:rsidRPr="0053423A" w:rsidRDefault="00154773" w:rsidP="00154773">
            <w:pPr>
              <w:tabs>
                <w:tab w:val="left" w:pos="2790"/>
              </w:tabs>
              <w:jc w:val="both"/>
              <w:rPr>
                <w:rFonts w:cs="Sylfaen"/>
                <w:sz w:val="20"/>
                <w:szCs w:val="20"/>
                <w:lang w:val="af-ZA"/>
              </w:rPr>
            </w:pPr>
          </w:p>
          <w:p w:rsidR="00154773" w:rsidRPr="0053423A" w:rsidRDefault="00154773" w:rsidP="00154773">
            <w:pPr>
              <w:jc w:val="both"/>
              <w:rPr>
                <w:sz w:val="20"/>
                <w:szCs w:val="20"/>
                <w:lang w:val="af-ZA"/>
              </w:rPr>
            </w:pPr>
            <w:r w:rsidRPr="0053423A">
              <w:rPr>
                <w:sz w:val="20"/>
                <w:szCs w:val="20"/>
                <w:lang w:val="af-ZA"/>
              </w:rPr>
              <w:t xml:space="preserve">    Ուսուցիչների վերապատրաստման և ատեստավորման  գործընթացների արդյունավետ կազմակերպում:</w:t>
            </w:r>
          </w:p>
          <w:p w:rsidR="00154773" w:rsidRPr="0053423A" w:rsidRDefault="00154773" w:rsidP="00154773">
            <w:pPr>
              <w:jc w:val="center"/>
              <w:rPr>
                <w:rFonts w:eastAsia="Times New Roman" w:cs="Times New Roman"/>
                <w:b/>
                <w:sz w:val="20"/>
                <w:szCs w:val="20"/>
                <w:lang w:val="af-ZA"/>
              </w:rPr>
            </w:pPr>
          </w:p>
        </w:tc>
      </w:tr>
      <w:tr w:rsidR="00154773" w:rsidRPr="0053423A" w:rsidTr="00154773">
        <w:tc>
          <w:tcPr>
            <w:tcW w:w="720" w:type="dxa"/>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14</w:t>
            </w:r>
          </w:p>
        </w:tc>
        <w:tc>
          <w:tcPr>
            <w:tcW w:w="10620" w:type="dxa"/>
          </w:tcPr>
          <w:p w:rsidR="00154773" w:rsidRPr="0053423A" w:rsidRDefault="00154773" w:rsidP="00154773">
            <w:pPr>
              <w:jc w:val="center"/>
              <w:rPr>
                <w:rFonts w:eastAsia="Calibri" w:cs="GHEA Grapalat"/>
                <w:b/>
                <w:sz w:val="20"/>
                <w:szCs w:val="20"/>
                <w:u w:val="single"/>
                <w:lang w:val="af-ZA"/>
              </w:rPr>
            </w:pPr>
            <w:r w:rsidRPr="0053423A">
              <w:rPr>
                <w:b/>
                <w:sz w:val="20"/>
                <w:szCs w:val="20"/>
                <w:u w:val="single"/>
                <w:lang w:val="af-ZA"/>
              </w:rPr>
              <w:t>14.1.</w:t>
            </w:r>
            <w:r w:rsidRPr="0053423A">
              <w:rPr>
                <w:rFonts w:eastAsia="Calibri" w:cs="GHEA Grapalat"/>
                <w:b/>
                <w:sz w:val="20"/>
                <w:szCs w:val="20"/>
                <w:u w:val="single"/>
              </w:rPr>
              <w:t>Նախնական</w:t>
            </w:r>
            <w:r w:rsidRPr="0053423A">
              <w:rPr>
                <w:rFonts w:eastAsia="Calibri" w:cs="GHEA Grapalat"/>
                <w:b/>
                <w:sz w:val="20"/>
                <w:szCs w:val="20"/>
                <w:u w:val="single"/>
                <w:lang w:val="af-ZA"/>
              </w:rPr>
              <w:t xml:space="preserve"> </w:t>
            </w:r>
            <w:r w:rsidRPr="0053423A">
              <w:rPr>
                <w:rFonts w:eastAsia="Calibri" w:cs="GHEA Grapalat"/>
                <w:b/>
                <w:sz w:val="20"/>
                <w:szCs w:val="20"/>
                <w:u w:val="single"/>
              </w:rPr>
              <w:t>մասնագիտական</w:t>
            </w:r>
            <w:r w:rsidRPr="0053423A">
              <w:rPr>
                <w:rFonts w:eastAsia="Calibri" w:cs="GHEA Grapalat"/>
                <w:b/>
                <w:sz w:val="20"/>
                <w:szCs w:val="20"/>
                <w:u w:val="single"/>
                <w:lang w:val="af-ZA"/>
              </w:rPr>
              <w:t xml:space="preserve"> (</w:t>
            </w:r>
            <w:r w:rsidRPr="0053423A">
              <w:rPr>
                <w:rFonts w:eastAsia="Calibri" w:cs="GHEA Grapalat"/>
                <w:b/>
                <w:sz w:val="20"/>
                <w:szCs w:val="20"/>
                <w:u w:val="single"/>
              </w:rPr>
              <w:t>արհեստագործական</w:t>
            </w:r>
            <w:r w:rsidRPr="0053423A">
              <w:rPr>
                <w:rFonts w:eastAsia="Calibri" w:cs="GHEA Grapalat"/>
                <w:b/>
                <w:sz w:val="20"/>
                <w:szCs w:val="20"/>
                <w:u w:val="single"/>
                <w:lang w:val="af-ZA"/>
              </w:rPr>
              <w:t xml:space="preserve">)  </w:t>
            </w:r>
            <w:r w:rsidRPr="0053423A">
              <w:rPr>
                <w:rFonts w:eastAsia="Calibri" w:cs="GHEA Grapalat"/>
                <w:b/>
                <w:sz w:val="20"/>
                <w:szCs w:val="20"/>
                <w:u w:val="single"/>
              </w:rPr>
              <w:t>և</w:t>
            </w:r>
            <w:r w:rsidRPr="0053423A">
              <w:rPr>
                <w:rFonts w:eastAsia="Calibri" w:cs="GHEA Grapalat"/>
                <w:b/>
                <w:sz w:val="20"/>
                <w:szCs w:val="20"/>
                <w:u w:val="single"/>
                <w:lang w:val="af-ZA"/>
              </w:rPr>
              <w:t xml:space="preserve"> </w:t>
            </w:r>
            <w:r w:rsidRPr="0053423A">
              <w:rPr>
                <w:rFonts w:eastAsia="Calibri" w:cs="GHEA Grapalat"/>
                <w:b/>
                <w:sz w:val="20"/>
                <w:szCs w:val="20"/>
                <w:u w:val="single"/>
              </w:rPr>
              <w:t>միջին</w:t>
            </w:r>
            <w:r w:rsidRPr="0053423A">
              <w:rPr>
                <w:rFonts w:eastAsia="Calibri" w:cs="GHEA Grapalat"/>
                <w:b/>
                <w:sz w:val="20"/>
                <w:szCs w:val="20"/>
                <w:u w:val="single"/>
                <w:lang w:val="af-ZA"/>
              </w:rPr>
              <w:t xml:space="preserve"> </w:t>
            </w:r>
            <w:r w:rsidRPr="0053423A">
              <w:rPr>
                <w:rFonts w:eastAsia="Calibri" w:cs="GHEA Grapalat"/>
                <w:b/>
                <w:sz w:val="20"/>
                <w:szCs w:val="20"/>
                <w:u w:val="single"/>
              </w:rPr>
              <w:t>մասնագիտական</w:t>
            </w:r>
            <w:r w:rsidRPr="0053423A">
              <w:rPr>
                <w:rFonts w:eastAsia="Calibri" w:cs="GHEA Grapalat"/>
                <w:b/>
                <w:sz w:val="20"/>
                <w:szCs w:val="20"/>
                <w:u w:val="single"/>
                <w:lang w:val="af-ZA"/>
              </w:rPr>
              <w:t xml:space="preserve"> </w:t>
            </w:r>
            <w:r w:rsidRPr="0053423A">
              <w:rPr>
                <w:rFonts w:eastAsia="Calibri" w:cs="GHEA Grapalat"/>
                <w:b/>
                <w:sz w:val="20"/>
                <w:szCs w:val="20"/>
                <w:u w:val="single"/>
              </w:rPr>
              <w:t>կրթություն</w:t>
            </w:r>
            <w:r w:rsidRPr="0053423A">
              <w:rPr>
                <w:rFonts w:eastAsia="Calibri" w:cs="GHEA Grapalat"/>
                <w:b/>
                <w:sz w:val="20"/>
                <w:szCs w:val="20"/>
                <w:u w:val="single"/>
                <w:lang w:val="af-ZA"/>
              </w:rPr>
              <w:t xml:space="preserve"> </w:t>
            </w:r>
            <w:r w:rsidRPr="0053423A">
              <w:rPr>
                <w:rFonts w:eastAsia="Calibri" w:cs="GHEA Grapalat"/>
                <w:b/>
                <w:sz w:val="20"/>
                <w:szCs w:val="20"/>
                <w:u w:val="single"/>
              </w:rPr>
              <w:t>իրականացնող</w:t>
            </w:r>
            <w:r w:rsidRPr="0053423A">
              <w:rPr>
                <w:rFonts w:eastAsia="Calibri" w:cs="GHEA Grapalat"/>
                <w:b/>
                <w:sz w:val="20"/>
                <w:szCs w:val="20"/>
                <w:u w:val="single"/>
                <w:lang w:val="af-ZA"/>
              </w:rPr>
              <w:t xml:space="preserve"> </w:t>
            </w:r>
            <w:r w:rsidRPr="0053423A">
              <w:rPr>
                <w:rFonts w:eastAsia="Calibri" w:cs="GHEA Grapalat"/>
                <w:b/>
                <w:sz w:val="20"/>
                <w:szCs w:val="20"/>
                <w:u w:val="single"/>
              </w:rPr>
              <w:t>հաստատությունների</w:t>
            </w:r>
            <w:r w:rsidRPr="0053423A">
              <w:rPr>
                <w:rFonts w:eastAsia="Calibri" w:cs="GHEA Grapalat"/>
                <w:b/>
                <w:sz w:val="20"/>
                <w:szCs w:val="20"/>
                <w:u w:val="single"/>
                <w:lang w:val="af-ZA"/>
              </w:rPr>
              <w:t xml:space="preserve"> </w:t>
            </w:r>
            <w:r w:rsidRPr="0053423A">
              <w:rPr>
                <w:rFonts w:eastAsia="Calibri" w:cs="GHEA Grapalat"/>
                <w:b/>
                <w:sz w:val="20"/>
                <w:szCs w:val="20"/>
                <w:u w:val="single"/>
              </w:rPr>
              <w:t>վարչական</w:t>
            </w:r>
            <w:r w:rsidRPr="0053423A">
              <w:rPr>
                <w:rFonts w:eastAsia="Calibri" w:cs="GHEA Grapalat"/>
                <w:b/>
                <w:sz w:val="20"/>
                <w:szCs w:val="20"/>
                <w:u w:val="single"/>
                <w:lang w:val="af-ZA"/>
              </w:rPr>
              <w:t xml:space="preserve">, </w:t>
            </w:r>
            <w:r w:rsidRPr="0053423A">
              <w:rPr>
                <w:rFonts w:eastAsia="Calibri" w:cs="GHEA Grapalat"/>
                <w:b/>
                <w:sz w:val="20"/>
                <w:szCs w:val="20"/>
                <w:u w:val="single"/>
              </w:rPr>
              <w:t>մանկավարժական</w:t>
            </w:r>
            <w:r w:rsidRPr="0053423A">
              <w:rPr>
                <w:rFonts w:eastAsia="Calibri" w:cs="GHEA Grapalat"/>
                <w:b/>
                <w:sz w:val="20"/>
                <w:szCs w:val="20"/>
                <w:u w:val="single"/>
                <w:lang w:val="af-ZA"/>
              </w:rPr>
              <w:t xml:space="preserve"> </w:t>
            </w:r>
            <w:r w:rsidRPr="0053423A">
              <w:rPr>
                <w:rFonts w:eastAsia="Calibri" w:cs="GHEA Grapalat"/>
                <w:b/>
                <w:sz w:val="20"/>
                <w:szCs w:val="20"/>
                <w:u w:val="single"/>
              </w:rPr>
              <w:t>կազմի</w:t>
            </w:r>
            <w:r w:rsidRPr="0053423A">
              <w:rPr>
                <w:rFonts w:eastAsia="Calibri" w:cs="GHEA Grapalat"/>
                <w:b/>
                <w:sz w:val="20"/>
                <w:szCs w:val="20"/>
                <w:u w:val="single"/>
                <w:lang w:val="af-ZA"/>
              </w:rPr>
              <w:t xml:space="preserve"> </w:t>
            </w:r>
            <w:r w:rsidRPr="0053423A">
              <w:rPr>
                <w:rFonts w:eastAsia="Calibri" w:cs="GHEA Grapalat"/>
                <w:b/>
                <w:sz w:val="20"/>
                <w:szCs w:val="20"/>
                <w:u w:val="single"/>
              </w:rPr>
              <w:t>և</w:t>
            </w:r>
            <w:r w:rsidRPr="0053423A">
              <w:rPr>
                <w:rFonts w:eastAsia="Calibri" w:cs="GHEA Grapalat"/>
                <w:b/>
                <w:sz w:val="20"/>
                <w:szCs w:val="20"/>
                <w:u w:val="single"/>
                <w:lang w:val="af-ZA"/>
              </w:rPr>
              <w:t xml:space="preserve"> </w:t>
            </w:r>
            <w:r w:rsidRPr="0053423A">
              <w:rPr>
                <w:rFonts w:eastAsia="Calibri" w:cs="GHEA Grapalat"/>
                <w:b/>
                <w:sz w:val="20"/>
                <w:szCs w:val="20"/>
                <w:u w:val="single"/>
              </w:rPr>
              <w:t>կառավարման</w:t>
            </w:r>
            <w:r w:rsidRPr="0053423A">
              <w:rPr>
                <w:rFonts w:eastAsia="Calibri" w:cs="GHEA Grapalat"/>
                <w:b/>
                <w:sz w:val="20"/>
                <w:szCs w:val="20"/>
                <w:u w:val="single"/>
                <w:lang w:val="af-ZA"/>
              </w:rPr>
              <w:t xml:space="preserve"> </w:t>
            </w:r>
            <w:r w:rsidRPr="0053423A">
              <w:rPr>
                <w:rFonts w:eastAsia="Calibri" w:cs="GHEA Grapalat"/>
                <w:b/>
                <w:sz w:val="20"/>
                <w:szCs w:val="20"/>
                <w:u w:val="single"/>
              </w:rPr>
              <w:t>խորհուրդների</w:t>
            </w:r>
            <w:r w:rsidRPr="0053423A">
              <w:rPr>
                <w:rFonts w:eastAsia="Calibri" w:cs="GHEA Grapalat"/>
                <w:b/>
                <w:sz w:val="20"/>
                <w:szCs w:val="20"/>
                <w:u w:val="single"/>
                <w:lang w:val="af-ZA"/>
              </w:rPr>
              <w:t xml:space="preserve"> </w:t>
            </w:r>
            <w:r w:rsidRPr="0053423A">
              <w:rPr>
                <w:rFonts w:eastAsia="Calibri" w:cs="GHEA Grapalat"/>
                <w:b/>
                <w:sz w:val="20"/>
                <w:szCs w:val="20"/>
                <w:u w:val="single"/>
              </w:rPr>
              <w:t>անդամների</w:t>
            </w:r>
            <w:r w:rsidRPr="0053423A">
              <w:rPr>
                <w:rFonts w:eastAsia="Calibri" w:cs="GHEA Grapalat"/>
                <w:b/>
                <w:sz w:val="20"/>
                <w:szCs w:val="20"/>
                <w:u w:val="single"/>
                <w:lang w:val="af-ZA"/>
              </w:rPr>
              <w:t xml:space="preserve"> </w:t>
            </w:r>
            <w:r w:rsidRPr="0053423A">
              <w:rPr>
                <w:rFonts w:eastAsia="Calibri" w:cs="GHEA Grapalat"/>
                <w:b/>
                <w:sz w:val="20"/>
                <w:szCs w:val="20"/>
                <w:u w:val="single"/>
              </w:rPr>
              <w:t>վերապատրաստում</w:t>
            </w:r>
          </w:p>
          <w:p w:rsidR="00154773" w:rsidRPr="0053423A" w:rsidRDefault="00154773" w:rsidP="00154773">
            <w:pPr>
              <w:jc w:val="both"/>
              <w:rPr>
                <w:rFonts w:eastAsia="Times New Roman" w:cs="Times New Roman"/>
                <w:b/>
                <w:sz w:val="20"/>
                <w:szCs w:val="20"/>
                <w:lang w:val="af-ZA"/>
              </w:rPr>
            </w:pPr>
          </w:p>
          <w:p w:rsidR="00154773" w:rsidRPr="0053423A" w:rsidRDefault="00154773" w:rsidP="001F6D5D">
            <w:pPr>
              <w:numPr>
                <w:ilvl w:val="0"/>
                <w:numId w:val="464"/>
              </w:numPr>
              <w:contextualSpacing/>
              <w:jc w:val="both"/>
              <w:rPr>
                <w:rFonts w:eastAsia="Times New Roman" w:cs="Times New Roman"/>
                <w:b/>
                <w:sz w:val="20"/>
                <w:szCs w:val="20"/>
                <w:lang w:val="af-ZA"/>
              </w:rPr>
            </w:pPr>
            <w:r w:rsidRPr="0053423A">
              <w:rPr>
                <w:rFonts w:eastAsia="Times New Roman" w:cs="Times New Roman"/>
                <w:b/>
                <w:sz w:val="20"/>
                <w:szCs w:val="20"/>
                <w:lang w:val="hy-AM"/>
              </w:rPr>
              <w:t>Միջոցառման իրականացման անհրաժեշտությունը և նպատակը</w:t>
            </w:r>
          </w:p>
          <w:p w:rsidR="00154773" w:rsidRPr="0053423A" w:rsidRDefault="00154773" w:rsidP="00154773">
            <w:pPr>
              <w:ind w:left="709"/>
              <w:jc w:val="both"/>
              <w:rPr>
                <w:b/>
                <w:sz w:val="20"/>
                <w:szCs w:val="20"/>
                <w:u w:val="single"/>
                <w:lang w:val="af-ZA"/>
              </w:rPr>
            </w:pPr>
          </w:p>
          <w:p w:rsidR="00154773" w:rsidRPr="0053423A" w:rsidRDefault="00154773" w:rsidP="00154773">
            <w:pPr>
              <w:ind w:firstLine="425"/>
              <w:jc w:val="both"/>
              <w:rPr>
                <w:spacing w:val="-4"/>
                <w:sz w:val="20"/>
                <w:szCs w:val="20"/>
                <w:lang w:val="af-ZA"/>
              </w:rPr>
            </w:pPr>
            <w:r w:rsidRPr="0053423A">
              <w:rPr>
                <w:spacing w:val="-4"/>
                <w:sz w:val="20"/>
                <w:szCs w:val="20"/>
              </w:rPr>
              <w:t>Միջոցառման</w:t>
            </w:r>
            <w:r w:rsidRPr="0053423A">
              <w:rPr>
                <w:spacing w:val="-4"/>
                <w:sz w:val="20"/>
                <w:szCs w:val="20"/>
                <w:lang w:val="af-ZA"/>
              </w:rPr>
              <w:t xml:space="preserve"> </w:t>
            </w:r>
            <w:r w:rsidRPr="0053423A">
              <w:rPr>
                <w:spacing w:val="-4"/>
                <w:sz w:val="20"/>
                <w:szCs w:val="20"/>
              </w:rPr>
              <w:t>գլխավոր</w:t>
            </w:r>
            <w:r w:rsidRPr="0053423A">
              <w:rPr>
                <w:spacing w:val="-4"/>
                <w:sz w:val="20"/>
                <w:szCs w:val="20"/>
                <w:lang w:val="af-ZA"/>
              </w:rPr>
              <w:t xml:space="preserve"> </w:t>
            </w:r>
            <w:r w:rsidRPr="0053423A">
              <w:rPr>
                <w:spacing w:val="-4"/>
                <w:sz w:val="20"/>
                <w:szCs w:val="20"/>
              </w:rPr>
              <w:t>նպատակն</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դասավանդողների</w:t>
            </w:r>
            <w:r w:rsidRPr="0053423A">
              <w:rPr>
                <w:spacing w:val="-4"/>
                <w:sz w:val="20"/>
                <w:szCs w:val="20"/>
                <w:lang w:val="af-ZA"/>
              </w:rPr>
              <w:t xml:space="preserve"> </w:t>
            </w:r>
            <w:r w:rsidRPr="0053423A">
              <w:rPr>
                <w:spacing w:val="-4"/>
                <w:sz w:val="20"/>
                <w:szCs w:val="20"/>
              </w:rPr>
              <w:t>կարողությունների</w:t>
            </w:r>
            <w:r w:rsidRPr="0053423A">
              <w:rPr>
                <w:spacing w:val="-4"/>
                <w:sz w:val="20"/>
                <w:szCs w:val="20"/>
                <w:lang w:val="af-ZA"/>
              </w:rPr>
              <w:t xml:space="preserve"> </w:t>
            </w:r>
            <w:r w:rsidRPr="0053423A">
              <w:rPr>
                <w:spacing w:val="-4"/>
                <w:sz w:val="20"/>
                <w:szCs w:val="20"/>
              </w:rPr>
              <w:t>զարգացումը</w:t>
            </w:r>
            <w:r w:rsidRPr="0053423A">
              <w:rPr>
                <w:spacing w:val="-4"/>
                <w:sz w:val="20"/>
                <w:szCs w:val="20"/>
                <w:lang w:val="af-ZA"/>
              </w:rPr>
              <w:t xml:space="preserve"> </w:t>
            </w:r>
            <w:r w:rsidRPr="0053423A">
              <w:rPr>
                <w:spacing w:val="-4"/>
                <w:sz w:val="20"/>
                <w:szCs w:val="20"/>
              </w:rPr>
              <w:t>և</w:t>
            </w:r>
            <w:r w:rsidRPr="0053423A">
              <w:rPr>
                <w:spacing w:val="-4"/>
                <w:sz w:val="20"/>
                <w:szCs w:val="20"/>
                <w:lang w:val="af-ZA"/>
              </w:rPr>
              <w:t xml:space="preserve"> </w:t>
            </w:r>
            <w:r w:rsidRPr="0053423A">
              <w:rPr>
                <w:spacing w:val="-4"/>
                <w:sz w:val="20"/>
                <w:szCs w:val="20"/>
              </w:rPr>
              <w:t>մասնագիտական</w:t>
            </w:r>
            <w:r w:rsidRPr="0053423A">
              <w:rPr>
                <w:spacing w:val="-4"/>
                <w:sz w:val="20"/>
                <w:szCs w:val="20"/>
                <w:lang w:val="af-ZA"/>
              </w:rPr>
              <w:t xml:space="preserve"> </w:t>
            </w:r>
            <w:r w:rsidRPr="0053423A">
              <w:rPr>
                <w:spacing w:val="-4"/>
                <w:sz w:val="20"/>
                <w:szCs w:val="20"/>
              </w:rPr>
              <w:t>հեղինակության</w:t>
            </w:r>
            <w:r w:rsidRPr="0053423A">
              <w:rPr>
                <w:spacing w:val="-4"/>
                <w:sz w:val="20"/>
                <w:szCs w:val="20"/>
                <w:lang w:val="af-ZA"/>
              </w:rPr>
              <w:t xml:space="preserve"> </w:t>
            </w:r>
            <w:r w:rsidRPr="0053423A">
              <w:rPr>
                <w:spacing w:val="-4"/>
                <w:sz w:val="20"/>
                <w:szCs w:val="20"/>
              </w:rPr>
              <w:t>բարձրացումը</w:t>
            </w:r>
            <w:r w:rsidRPr="0053423A">
              <w:rPr>
                <w:spacing w:val="-4"/>
                <w:sz w:val="20"/>
                <w:szCs w:val="20"/>
                <w:lang w:val="af-ZA"/>
              </w:rPr>
              <w:t xml:space="preserve">: </w:t>
            </w:r>
          </w:p>
          <w:p w:rsidR="00154773" w:rsidRPr="0053423A" w:rsidRDefault="00154773" w:rsidP="00154773">
            <w:pPr>
              <w:ind w:firstLine="360"/>
              <w:jc w:val="both"/>
              <w:rPr>
                <w:sz w:val="20"/>
                <w:szCs w:val="20"/>
                <w:lang w:val="hy-AM"/>
              </w:rPr>
            </w:pPr>
            <w:r w:rsidRPr="0053423A">
              <w:rPr>
                <w:spacing w:val="-4"/>
                <w:sz w:val="20"/>
                <w:szCs w:val="20"/>
              </w:rPr>
              <w:t>Միջոցառման</w:t>
            </w:r>
            <w:r w:rsidRPr="0053423A">
              <w:rPr>
                <w:spacing w:val="-4"/>
                <w:sz w:val="20"/>
                <w:szCs w:val="20"/>
                <w:lang w:val="af-ZA"/>
              </w:rPr>
              <w:t xml:space="preserve"> </w:t>
            </w:r>
            <w:r w:rsidRPr="0053423A">
              <w:rPr>
                <w:spacing w:val="-4"/>
                <w:sz w:val="20"/>
                <w:szCs w:val="20"/>
              </w:rPr>
              <w:t>անհրաժեշտությունը</w:t>
            </w:r>
            <w:r w:rsidRPr="0053423A">
              <w:rPr>
                <w:spacing w:val="-4"/>
                <w:sz w:val="20"/>
                <w:szCs w:val="20"/>
                <w:lang w:val="af-ZA"/>
              </w:rPr>
              <w:t xml:space="preserve"> </w:t>
            </w:r>
            <w:r w:rsidRPr="0053423A">
              <w:rPr>
                <w:spacing w:val="-4"/>
                <w:sz w:val="20"/>
                <w:szCs w:val="20"/>
              </w:rPr>
              <w:t>բխում</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ԱԺ</w:t>
            </w:r>
            <w:r w:rsidRPr="0053423A">
              <w:rPr>
                <w:spacing w:val="-4"/>
                <w:sz w:val="20"/>
                <w:szCs w:val="20"/>
                <w:lang w:val="af-ZA"/>
              </w:rPr>
              <w:t xml:space="preserve"> 2019 </w:t>
            </w:r>
            <w:r w:rsidRPr="0053423A">
              <w:rPr>
                <w:spacing w:val="-4"/>
                <w:sz w:val="20"/>
                <w:szCs w:val="20"/>
              </w:rPr>
              <w:t>թվականի</w:t>
            </w:r>
            <w:r w:rsidRPr="0053423A">
              <w:rPr>
                <w:spacing w:val="-4"/>
                <w:sz w:val="20"/>
                <w:szCs w:val="20"/>
                <w:lang w:val="af-ZA"/>
              </w:rPr>
              <w:t xml:space="preserve"> </w:t>
            </w:r>
            <w:r w:rsidRPr="0053423A">
              <w:rPr>
                <w:spacing w:val="-4"/>
                <w:sz w:val="20"/>
                <w:szCs w:val="20"/>
              </w:rPr>
              <w:t>փետրվարի</w:t>
            </w:r>
            <w:r w:rsidRPr="0053423A">
              <w:rPr>
                <w:spacing w:val="-4"/>
                <w:sz w:val="20"/>
                <w:szCs w:val="20"/>
                <w:lang w:val="af-ZA"/>
              </w:rPr>
              <w:t xml:space="preserve"> 14-</w:t>
            </w:r>
            <w:r w:rsidRPr="0053423A">
              <w:rPr>
                <w:spacing w:val="-4"/>
                <w:sz w:val="20"/>
                <w:szCs w:val="20"/>
              </w:rPr>
              <w:t>ի</w:t>
            </w:r>
            <w:r w:rsidRPr="0053423A">
              <w:rPr>
                <w:spacing w:val="-4"/>
                <w:sz w:val="20"/>
                <w:szCs w:val="20"/>
                <w:lang w:val="af-ZA"/>
              </w:rPr>
              <w:t xml:space="preserve"> </w:t>
            </w:r>
            <w:r w:rsidRPr="0053423A">
              <w:rPr>
                <w:spacing w:val="-4"/>
                <w:sz w:val="20"/>
                <w:szCs w:val="20"/>
              </w:rPr>
              <w:t>ԱԺՈ</w:t>
            </w:r>
            <w:r w:rsidRPr="0053423A">
              <w:rPr>
                <w:spacing w:val="-4"/>
                <w:sz w:val="20"/>
                <w:szCs w:val="20"/>
                <w:lang w:val="af-ZA"/>
              </w:rPr>
              <w:t>-002-</w:t>
            </w:r>
            <w:r w:rsidRPr="0053423A">
              <w:rPr>
                <w:spacing w:val="-4"/>
                <w:sz w:val="20"/>
                <w:szCs w:val="20"/>
              </w:rPr>
              <w:t>Ն</w:t>
            </w:r>
            <w:r w:rsidRPr="0053423A">
              <w:rPr>
                <w:spacing w:val="-4"/>
                <w:sz w:val="20"/>
                <w:szCs w:val="20"/>
                <w:lang w:val="af-ZA"/>
              </w:rPr>
              <w:t xml:space="preserve"> </w:t>
            </w:r>
            <w:r w:rsidRPr="0053423A">
              <w:rPr>
                <w:spacing w:val="-4"/>
                <w:sz w:val="20"/>
                <w:szCs w:val="20"/>
              </w:rPr>
              <w:t>որոշմամբ</w:t>
            </w:r>
            <w:r w:rsidRPr="0053423A">
              <w:rPr>
                <w:spacing w:val="-4"/>
                <w:sz w:val="20"/>
                <w:szCs w:val="20"/>
                <w:lang w:val="af-ZA"/>
              </w:rPr>
              <w:t xml:space="preserve"> </w:t>
            </w:r>
            <w:r w:rsidRPr="0053423A">
              <w:rPr>
                <w:spacing w:val="-4"/>
                <w:sz w:val="20"/>
                <w:szCs w:val="20"/>
              </w:rPr>
              <w:t>հավանության</w:t>
            </w:r>
            <w:r w:rsidRPr="0053423A">
              <w:rPr>
                <w:spacing w:val="-4"/>
                <w:sz w:val="20"/>
                <w:szCs w:val="20"/>
                <w:lang w:val="af-ZA"/>
              </w:rPr>
              <w:t xml:space="preserve">  </w:t>
            </w:r>
            <w:r w:rsidRPr="0053423A">
              <w:rPr>
                <w:spacing w:val="-4"/>
                <w:sz w:val="20"/>
                <w:szCs w:val="20"/>
              </w:rPr>
              <w:t>արժանացած</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կառավարության</w:t>
            </w:r>
            <w:r w:rsidRPr="0053423A">
              <w:rPr>
                <w:spacing w:val="-4"/>
                <w:sz w:val="20"/>
                <w:szCs w:val="20"/>
                <w:lang w:val="af-ZA"/>
              </w:rPr>
              <w:t xml:space="preserve"> </w:t>
            </w:r>
            <w:r w:rsidRPr="0053423A">
              <w:rPr>
                <w:spacing w:val="-4"/>
                <w:sz w:val="20"/>
                <w:szCs w:val="20"/>
              </w:rPr>
              <w:t>ծրագրի</w:t>
            </w:r>
            <w:r w:rsidRPr="0053423A">
              <w:rPr>
                <w:spacing w:val="-4"/>
                <w:sz w:val="20"/>
                <w:szCs w:val="20"/>
                <w:lang w:val="af-ZA"/>
              </w:rPr>
              <w:t xml:space="preserve"> </w:t>
            </w:r>
            <w:r w:rsidRPr="0053423A">
              <w:rPr>
                <w:rFonts w:eastAsia="Times New Roman" w:cs="Times New Roman"/>
                <w:sz w:val="20"/>
                <w:szCs w:val="20"/>
                <w:lang w:val="af-ZA"/>
              </w:rPr>
              <w:t>«</w:t>
            </w:r>
            <w:r w:rsidRPr="0053423A">
              <w:rPr>
                <w:spacing w:val="-4"/>
                <w:sz w:val="20"/>
                <w:szCs w:val="20"/>
                <w:lang w:val="af-ZA"/>
              </w:rPr>
              <w:t xml:space="preserve">4.4 </w:t>
            </w:r>
            <w:r w:rsidRPr="0053423A">
              <w:rPr>
                <w:spacing w:val="-4"/>
                <w:sz w:val="20"/>
                <w:szCs w:val="20"/>
              </w:rPr>
              <w:t>ԿՐԹՈՒԹՅՈՒՆ</w:t>
            </w:r>
            <w:r w:rsidRPr="0053423A">
              <w:rPr>
                <w:spacing w:val="-4"/>
                <w:sz w:val="20"/>
                <w:szCs w:val="20"/>
                <w:lang w:val="af-ZA"/>
              </w:rPr>
              <w:t xml:space="preserve"> </w:t>
            </w:r>
            <w:r w:rsidRPr="0053423A">
              <w:rPr>
                <w:spacing w:val="-4"/>
                <w:sz w:val="20"/>
                <w:szCs w:val="20"/>
              </w:rPr>
              <w:t>ԵՎ</w:t>
            </w:r>
            <w:r w:rsidRPr="0053423A">
              <w:rPr>
                <w:spacing w:val="-4"/>
                <w:sz w:val="20"/>
                <w:szCs w:val="20"/>
                <w:lang w:val="af-ZA"/>
              </w:rPr>
              <w:t xml:space="preserve"> </w:t>
            </w:r>
            <w:r w:rsidRPr="0053423A">
              <w:rPr>
                <w:spacing w:val="-4"/>
                <w:sz w:val="20"/>
                <w:szCs w:val="20"/>
              </w:rPr>
              <w:t>ԳԻՏՈՒԹՅՈՒՆ</w:t>
            </w:r>
            <w:r w:rsidRPr="0053423A">
              <w:rPr>
                <w:rFonts w:eastAsia="Times New Roman" w:cs="Times New Roman"/>
                <w:sz w:val="20"/>
                <w:szCs w:val="20"/>
                <w:lang w:val="af-ZA"/>
              </w:rPr>
              <w:t xml:space="preserve">»  </w:t>
            </w:r>
            <w:r w:rsidRPr="0053423A">
              <w:rPr>
                <w:rFonts w:eastAsia="Calibri" w:cs="Sylfaen"/>
                <w:sz w:val="20"/>
                <w:szCs w:val="20"/>
                <w:lang w:val="hy-AM"/>
              </w:rPr>
              <w:t>բաժնի</w:t>
            </w:r>
            <w:r w:rsidRPr="0053423A">
              <w:rPr>
                <w:rFonts w:eastAsia="Calibri" w:cs="Sylfaen"/>
                <w:sz w:val="20"/>
                <w:szCs w:val="20"/>
                <w:lang w:val="af-ZA"/>
              </w:rPr>
              <w:t xml:space="preserve"> </w:t>
            </w:r>
            <w:r w:rsidRPr="0053423A">
              <w:rPr>
                <w:rFonts w:cs="Arial"/>
                <w:color w:val="000000"/>
                <w:sz w:val="20"/>
                <w:szCs w:val="20"/>
                <w:lang w:val="af-ZA"/>
              </w:rPr>
              <w:t xml:space="preserve">5-րդ պարբերությունից, </w:t>
            </w:r>
            <w:r w:rsidRPr="0053423A">
              <w:rPr>
                <w:sz w:val="20"/>
                <w:szCs w:val="20"/>
                <w:lang w:val="hy-AM"/>
              </w:rPr>
              <w:t xml:space="preserve">«Նախնական մասնագիտական (արհեստագործական) և միջին մասնագիտական կրթության մասին» ՀՀ օրենքի </w:t>
            </w:r>
            <w:r w:rsidRPr="0053423A">
              <w:rPr>
                <w:sz w:val="20"/>
                <w:szCs w:val="20"/>
                <w:lang w:val="af-ZA"/>
              </w:rPr>
              <w:t>18-</w:t>
            </w:r>
            <w:r w:rsidRPr="0053423A">
              <w:rPr>
                <w:sz w:val="20"/>
                <w:szCs w:val="20"/>
                <w:lang w:val="hy-AM"/>
              </w:rPr>
              <w:t>րդ հոդվածի</w:t>
            </w:r>
            <w:r w:rsidRPr="0053423A">
              <w:rPr>
                <w:sz w:val="20"/>
                <w:szCs w:val="20"/>
                <w:lang w:val="af-ZA"/>
              </w:rPr>
              <w:t xml:space="preserve"> 2-</w:t>
            </w:r>
            <w:r w:rsidRPr="0053423A">
              <w:rPr>
                <w:sz w:val="20"/>
                <w:szCs w:val="20"/>
                <w:lang w:val="hy-AM"/>
              </w:rPr>
              <w:t>րդ</w:t>
            </w:r>
            <w:r w:rsidRPr="0053423A">
              <w:rPr>
                <w:sz w:val="20"/>
                <w:szCs w:val="20"/>
                <w:lang w:val="af-ZA"/>
              </w:rPr>
              <w:t xml:space="preserve"> </w:t>
            </w:r>
            <w:r w:rsidRPr="0053423A">
              <w:rPr>
                <w:sz w:val="20"/>
                <w:szCs w:val="20"/>
                <w:lang w:val="hy-AM"/>
              </w:rPr>
              <w:t>կետ</w:t>
            </w:r>
            <w:r w:rsidRPr="0053423A">
              <w:rPr>
                <w:sz w:val="20"/>
                <w:szCs w:val="20"/>
              </w:rPr>
              <w:t>ից</w:t>
            </w:r>
            <w:r w:rsidRPr="0053423A">
              <w:rPr>
                <w:sz w:val="20"/>
                <w:szCs w:val="20"/>
                <w:lang w:val="hy-AM"/>
              </w:rPr>
              <w:t xml:space="preserve">: </w:t>
            </w:r>
            <w:r w:rsidRPr="0053423A">
              <w:rPr>
                <w:rFonts w:cs="Arial"/>
                <w:color w:val="000000"/>
                <w:sz w:val="20"/>
                <w:szCs w:val="20"/>
                <w:lang w:val="hy-AM"/>
              </w:rPr>
              <w:t xml:space="preserve">Ժամանակակից տնտեսության պայմաններում մարդկային ռեսուրսների </w:t>
            </w:r>
            <w:r w:rsidRPr="0053423A">
              <w:rPr>
                <w:sz w:val="20"/>
                <w:szCs w:val="20"/>
                <w:lang w:val="hy-AM"/>
              </w:rPr>
              <w:t>զարգացումը մշտական գործընթաց է` պայմանավորված գործարար միջավայրով և բազմաթիվ փոփոխություններով: ՆՄՄԿ ոլորտի դասավանդողների և դասընթացավարների որակավորման պահանջներն աստիճանաբար աճում են, և դեռևս շատ անելիքներ կան մասնագիտական կարողությունների զարգացման ուղղությամբ: Նոր մշակված պետական կրթական չափորոշիչների պահանջները, փոփոխվող աշխատաշուկայի պահանջներին արագ արձագանքելու, նոր տեխնոլոգիաների, գիտության և տնտեսության զարգացման արդյունքում նոր մոտեցումների ի հայտ գալը ընդգծում են վերապատրաստումների անհրաժեշտությունը: Բացի այդ՝ ուսուցման կամ վերապատրաստման անհրաժեշտություն առաջանում է ոչ միայն ընթացիկ գործընթացների կատարելագործման և կիրառման, այլև նոր համակարգերի ներդրման դեպքում: Ուստի վերապատրաստումը շարունակում է մնալ որպես առանցքային գերակայություն:</w:t>
            </w:r>
          </w:p>
          <w:p w:rsidR="00154773" w:rsidRPr="0053423A" w:rsidRDefault="00154773" w:rsidP="00154773">
            <w:pPr>
              <w:ind w:left="180" w:firstLine="450"/>
              <w:contextualSpacing/>
              <w:jc w:val="both"/>
              <w:rPr>
                <w:sz w:val="20"/>
                <w:szCs w:val="20"/>
                <w:lang w:val="hy-AM"/>
              </w:rPr>
            </w:pPr>
          </w:p>
          <w:p w:rsidR="00154773" w:rsidRPr="0053423A" w:rsidRDefault="00154773" w:rsidP="00154773">
            <w:pPr>
              <w:ind w:left="270"/>
              <w:jc w:val="both"/>
              <w:rPr>
                <w:rFonts w:eastAsia="Times New Roman" w:cs="Times New Roman"/>
                <w:b/>
                <w:sz w:val="20"/>
                <w:szCs w:val="20"/>
                <w:lang w:val="af-ZA"/>
              </w:rPr>
            </w:pPr>
            <w:r w:rsidRPr="0053423A">
              <w:rPr>
                <w:rFonts w:eastAsia="Times New Roman" w:cs="Times New Roman"/>
                <w:b/>
                <w:sz w:val="20"/>
                <w:szCs w:val="20"/>
                <w:lang w:val="hy-AM"/>
              </w:rPr>
              <w:t>1.1. կարգավորման հարաբերությունների ներկա վիճակը և առկա խնդիրները</w:t>
            </w:r>
            <w:r w:rsidRPr="0053423A">
              <w:rPr>
                <w:rFonts w:eastAsia="Times New Roman" w:cs="Times New Roman"/>
                <w:b/>
                <w:sz w:val="20"/>
                <w:szCs w:val="20"/>
                <w:lang w:val="af-ZA"/>
              </w:rPr>
              <w:t>.</w:t>
            </w:r>
          </w:p>
          <w:p w:rsidR="00154773" w:rsidRPr="0053423A" w:rsidRDefault="00154773" w:rsidP="00154773">
            <w:pPr>
              <w:ind w:left="720"/>
              <w:contextualSpacing/>
              <w:jc w:val="both"/>
              <w:rPr>
                <w:rFonts w:eastAsia="Times New Roman" w:cs="Times New Roman"/>
                <w:b/>
                <w:sz w:val="20"/>
                <w:szCs w:val="20"/>
                <w:lang w:val="af-ZA"/>
              </w:rPr>
            </w:pPr>
          </w:p>
          <w:p w:rsidR="00154773" w:rsidRPr="0053423A" w:rsidRDefault="00154773" w:rsidP="00154773">
            <w:pPr>
              <w:ind w:firstLine="360"/>
              <w:jc w:val="both"/>
              <w:rPr>
                <w:sz w:val="20"/>
                <w:szCs w:val="20"/>
                <w:lang w:val="af-ZA"/>
              </w:rPr>
            </w:pPr>
            <w:r w:rsidRPr="0053423A">
              <w:rPr>
                <w:sz w:val="20"/>
                <w:szCs w:val="20"/>
                <w:lang w:val="af-ZA"/>
              </w:rPr>
              <w:t xml:space="preserve">ՆՄՄԿ </w:t>
            </w:r>
            <w:r w:rsidRPr="0053423A">
              <w:rPr>
                <w:rFonts w:cs="Sylfaen"/>
                <w:sz w:val="20"/>
                <w:szCs w:val="20"/>
                <w:lang w:val="hy-AM"/>
              </w:rPr>
              <w:t>ոլորտում</w:t>
            </w:r>
            <w:r w:rsidRPr="0053423A">
              <w:rPr>
                <w:sz w:val="20"/>
                <w:szCs w:val="20"/>
                <w:lang w:val="af-ZA"/>
              </w:rPr>
              <w:t xml:space="preserve"> </w:t>
            </w:r>
            <w:r w:rsidRPr="0053423A">
              <w:rPr>
                <w:rFonts w:cs="Sylfaen"/>
                <w:sz w:val="20"/>
                <w:szCs w:val="20"/>
                <w:lang w:val="hy-AM"/>
              </w:rPr>
              <w:t>իրականացվող</w:t>
            </w:r>
            <w:r w:rsidRPr="0053423A">
              <w:rPr>
                <w:sz w:val="20"/>
                <w:szCs w:val="20"/>
                <w:lang w:val="af-ZA"/>
              </w:rPr>
              <w:t xml:space="preserve"> </w:t>
            </w:r>
            <w:r w:rsidRPr="0053423A">
              <w:rPr>
                <w:rFonts w:cs="Sylfaen"/>
                <w:sz w:val="20"/>
                <w:szCs w:val="20"/>
                <w:lang w:val="hy-AM"/>
              </w:rPr>
              <w:t>բարեփոխումների</w:t>
            </w:r>
            <w:r w:rsidRPr="0053423A">
              <w:rPr>
                <w:sz w:val="20"/>
                <w:szCs w:val="20"/>
                <w:lang w:val="af-ZA"/>
              </w:rPr>
              <w:t xml:space="preserve"> </w:t>
            </w:r>
            <w:r w:rsidRPr="0053423A">
              <w:rPr>
                <w:rFonts w:cs="Sylfaen"/>
                <w:sz w:val="20"/>
                <w:szCs w:val="20"/>
                <w:lang w:val="hy-AM"/>
              </w:rPr>
              <w:t>գերակա</w:t>
            </w:r>
            <w:r w:rsidRPr="0053423A">
              <w:rPr>
                <w:rFonts w:cs="Sylfaen"/>
                <w:sz w:val="20"/>
                <w:szCs w:val="20"/>
                <w:lang w:val="af-ZA"/>
              </w:rPr>
              <w:t xml:space="preserve"> </w:t>
            </w:r>
            <w:r w:rsidRPr="0053423A">
              <w:rPr>
                <w:rFonts w:cs="Sylfaen"/>
                <w:sz w:val="20"/>
                <w:szCs w:val="20"/>
                <w:lang w:val="hy-AM"/>
              </w:rPr>
              <w:t>ուղղություններից</w:t>
            </w:r>
            <w:r w:rsidRPr="0053423A">
              <w:rPr>
                <w:rFonts w:cs="Sylfaen"/>
                <w:sz w:val="20"/>
                <w:szCs w:val="20"/>
                <w:lang w:val="af-ZA"/>
              </w:rPr>
              <w:t xml:space="preserve"> </w:t>
            </w:r>
            <w:r w:rsidRPr="0053423A">
              <w:rPr>
                <w:rFonts w:cs="Sylfaen"/>
                <w:sz w:val="20"/>
                <w:szCs w:val="20"/>
                <w:lang w:val="hy-AM"/>
              </w:rPr>
              <w:t>է</w:t>
            </w:r>
            <w:r w:rsidRPr="0053423A">
              <w:rPr>
                <w:sz w:val="20"/>
                <w:szCs w:val="20"/>
                <w:lang w:val="af-ZA"/>
              </w:rPr>
              <w:t xml:space="preserve"> </w:t>
            </w:r>
            <w:r w:rsidRPr="0053423A">
              <w:rPr>
                <w:rFonts w:cs="Sylfaen"/>
                <w:sz w:val="20"/>
                <w:szCs w:val="20"/>
                <w:lang w:val="hy-AM"/>
              </w:rPr>
              <w:t>վերապատրաստումների</w:t>
            </w:r>
            <w:r w:rsidRPr="0053423A">
              <w:rPr>
                <w:sz w:val="20"/>
                <w:szCs w:val="20"/>
                <w:lang w:val="af-ZA"/>
              </w:rPr>
              <w:t xml:space="preserve"> </w:t>
            </w:r>
            <w:r w:rsidRPr="0053423A">
              <w:rPr>
                <w:rFonts w:cs="Sylfaen"/>
                <w:sz w:val="20"/>
                <w:szCs w:val="20"/>
                <w:lang w:val="hy-AM"/>
              </w:rPr>
              <w:t>միջոցով</w:t>
            </w:r>
            <w:r w:rsidRPr="0053423A">
              <w:rPr>
                <w:rFonts w:cs="Sylfaen"/>
                <w:sz w:val="20"/>
                <w:szCs w:val="20"/>
                <w:lang w:val="af-ZA"/>
              </w:rPr>
              <w:t xml:space="preserve"> </w:t>
            </w:r>
            <w:r w:rsidRPr="0053423A">
              <w:rPr>
                <w:rFonts w:cs="Sylfaen"/>
                <w:sz w:val="20"/>
                <w:szCs w:val="20"/>
                <w:lang w:val="hy-AM"/>
              </w:rPr>
              <w:t>մարդկային</w:t>
            </w:r>
            <w:r w:rsidRPr="0053423A">
              <w:rPr>
                <w:rFonts w:cs="Sylfaen"/>
                <w:sz w:val="20"/>
                <w:szCs w:val="20"/>
                <w:lang w:val="af-ZA"/>
              </w:rPr>
              <w:t xml:space="preserve"> </w:t>
            </w:r>
            <w:r w:rsidRPr="0053423A">
              <w:rPr>
                <w:rFonts w:cs="Sylfaen"/>
                <w:sz w:val="20"/>
                <w:szCs w:val="20"/>
                <w:lang w:val="hy-AM"/>
              </w:rPr>
              <w:t>ռեսուրսների</w:t>
            </w:r>
            <w:r w:rsidRPr="0053423A">
              <w:rPr>
                <w:rFonts w:cs="Sylfaen"/>
                <w:sz w:val="20"/>
                <w:szCs w:val="20"/>
                <w:lang w:val="af-ZA"/>
              </w:rPr>
              <w:t xml:space="preserve"> </w:t>
            </w:r>
            <w:r w:rsidRPr="0053423A">
              <w:rPr>
                <w:rFonts w:cs="Sylfaen"/>
                <w:sz w:val="20"/>
                <w:szCs w:val="20"/>
                <w:lang w:val="hy-AM"/>
              </w:rPr>
              <w:t>հզորացումը</w:t>
            </w:r>
            <w:r w:rsidRPr="0053423A">
              <w:rPr>
                <w:rFonts w:cs="Sylfaen"/>
                <w:sz w:val="20"/>
                <w:szCs w:val="20"/>
                <w:lang w:val="af-ZA"/>
              </w:rPr>
              <w:t>: Այս ուղղությամբ յուրաքանչյուր տարի իրականացվել են ՆՄՄԿ վարչական, մանկավարժական կազմի և ՄԿՈՒ հաստատությունների կառավարման խորհուրդների անդամների վերապատրաստումներ. վ</w:t>
            </w:r>
            <w:r w:rsidRPr="0053423A">
              <w:rPr>
                <w:sz w:val="20"/>
                <w:szCs w:val="20"/>
                <w:lang w:val="hy-AM"/>
              </w:rPr>
              <w:t>երջին</w:t>
            </w:r>
            <w:r w:rsidRPr="0053423A">
              <w:rPr>
                <w:sz w:val="20"/>
                <w:szCs w:val="20"/>
                <w:lang w:val="af-ZA"/>
              </w:rPr>
              <w:t xml:space="preserve"> </w:t>
            </w:r>
            <w:r w:rsidRPr="0053423A">
              <w:rPr>
                <w:sz w:val="20"/>
                <w:szCs w:val="20"/>
                <w:lang w:val="hy-AM"/>
              </w:rPr>
              <w:t>երեք</w:t>
            </w:r>
            <w:r w:rsidRPr="0053423A">
              <w:rPr>
                <w:sz w:val="20"/>
                <w:szCs w:val="20"/>
                <w:lang w:val="af-ZA"/>
              </w:rPr>
              <w:t xml:space="preserve"> </w:t>
            </w:r>
            <w:r w:rsidRPr="0053423A">
              <w:rPr>
                <w:sz w:val="20"/>
                <w:szCs w:val="20"/>
                <w:lang w:val="hy-AM"/>
              </w:rPr>
              <w:t>տարիների</w:t>
            </w:r>
            <w:r w:rsidRPr="0053423A">
              <w:rPr>
                <w:sz w:val="20"/>
                <w:szCs w:val="20"/>
                <w:lang w:val="af-ZA"/>
              </w:rPr>
              <w:t xml:space="preserve"> </w:t>
            </w:r>
            <w:r w:rsidRPr="0053423A">
              <w:rPr>
                <w:sz w:val="20"/>
                <w:szCs w:val="20"/>
                <w:lang w:val="hy-AM"/>
              </w:rPr>
              <w:t>ընթացքում</w:t>
            </w:r>
            <w:r w:rsidRPr="0053423A">
              <w:rPr>
                <w:sz w:val="20"/>
                <w:szCs w:val="20"/>
                <w:lang w:val="af-ZA"/>
              </w:rPr>
              <w:t xml:space="preserve"> </w:t>
            </w:r>
            <w:r w:rsidRPr="0053423A">
              <w:rPr>
                <w:sz w:val="20"/>
                <w:szCs w:val="20"/>
                <w:lang w:val="hy-AM"/>
              </w:rPr>
              <w:t>ՆՄՄԿ</w:t>
            </w:r>
            <w:r w:rsidRPr="0053423A">
              <w:rPr>
                <w:sz w:val="20"/>
                <w:szCs w:val="20"/>
                <w:lang w:val="af-ZA"/>
              </w:rPr>
              <w:t xml:space="preserve"> համակարգի աշխատողների և այդ համակարգի աշխատանք</w:t>
            </w:r>
            <w:r w:rsidRPr="0053423A">
              <w:rPr>
                <w:sz w:val="20"/>
                <w:szCs w:val="20"/>
                <w:lang w:val="af-ZA"/>
              </w:rPr>
              <w:softHyphen/>
              <w:t>ներում ներգրավված այլ համակազմերի անձանց համար իրականացվել են վերապատրաստում</w:t>
            </w:r>
            <w:r w:rsidRPr="0053423A">
              <w:rPr>
                <w:sz w:val="20"/>
                <w:szCs w:val="20"/>
                <w:lang w:val="af-ZA"/>
              </w:rPr>
              <w:softHyphen/>
              <w:t xml:space="preserve">ներ, որոնց ընթացքում վերապատրաստվել է շուրջ 3000 անձ: </w:t>
            </w:r>
          </w:p>
          <w:p w:rsidR="00154773" w:rsidRPr="0053423A" w:rsidRDefault="00154773" w:rsidP="00154773">
            <w:pPr>
              <w:ind w:firstLine="360"/>
              <w:jc w:val="both"/>
              <w:rPr>
                <w:sz w:val="20"/>
                <w:szCs w:val="20"/>
                <w:lang w:val="af-ZA"/>
              </w:rPr>
            </w:pPr>
            <w:r w:rsidRPr="0053423A">
              <w:rPr>
                <w:sz w:val="20"/>
                <w:szCs w:val="20"/>
                <w:lang w:val="af-ZA"/>
              </w:rPr>
              <w:t>Ս</w:t>
            </w:r>
            <w:r w:rsidRPr="0053423A">
              <w:rPr>
                <w:rFonts w:cs="Sylfaen"/>
                <w:sz w:val="20"/>
                <w:szCs w:val="20"/>
                <w:lang w:val="af-ZA"/>
              </w:rPr>
              <w:t xml:space="preserve">ակայն </w:t>
            </w:r>
            <w:r w:rsidRPr="0053423A">
              <w:rPr>
                <w:sz w:val="20"/>
                <w:szCs w:val="20"/>
                <w:lang w:val="hy-AM"/>
              </w:rPr>
              <w:t>դեռևս շատ անելիքներ կան մասնագիտական կարողությունների զարգացման ուղղությամբ: Նոր մշակված պետական կրթական չափորոշիչների պահանջները, փոփոխվող աշխատաշուկայի պահանջներին արագ արձագանքել</w:t>
            </w:r>
            <w:r w:rsidRPr="0053423A">
              <w:rPr>
                <w:sz w:val="20"/>
                <w:szCs w:val="20"/>
              </w:rPr>
              <w:t>ը</w:t>
            </w:r>
            <w:r w:rsidRPr="0053423A">
              <w:rPr>
                <w:sz w:val="20"/>
                <w:szCs w:val="20"/>
                <w:lang w:val="hy-AM"/>
              </w:rPr>
              <w:t>, նոր համակարգերի ներդր</w:t>
            </w:r>
            <w:r w:rsidRPr="0053423A">
              <w:rPr>
                <w:sz w:val="20"/>
                <w:szCs w:val="20"/>
              </w:rPr>
              <w:t>ումը</w:t>
            </w:r>
            <w:r w:rsidRPr="0053423A">
              <w:rPr>
                <w:sz w:val="20"/>
                <w:szCs w:val="20"/>
                <w:lang w:val="af-ZA"/>
              </w:rPr>
              <w:t xml:space="preserve"> </w:t>
            </w:r>
            <w:r w:rsidRPr="0053423A">
              <w:rPr>
                <w:sz w:val="20"/>
                <w:szCs w:val="20"/>
              </w:rPr>
              <w:t>առաջնային</w:t>
            </w:r>
            <w:r w:rsidRPr="0053423A">
              <w:rPr>
                <w:sz w:val="20"/>
                <w:szCs w:val="20"/>
                <w:lang w:val="af-ZA"/>
              </w:rPr>
              <w:t xml:space="preserve"> </w:t>
            </w:r>
            <w:r w:rsidRPr="0053423A">
              <w:rPr>
                <w:sz w:val="20"/>
                <w:szCs w:val="20"/>
              </w:rPr>
              <w:t>են</w:t>
            </w:r>
            <w:r w:rsidRPr="0053423A">
              <w:rPr>
                <w:sz w:val="20"/>
                <w:szCs w:val="20"/>
                <w:lang w:val="af-ZA"/>
              </w:rPr>
              <w:t xml:space="preserve"> </w:t>
            </w:r>
            <w:r w:rsidRPr="0053423A">
              <w:rPr>
                <w:sz w:val="20"/>
                <w:szCs w:val="20"/>
              </w:rPr>
              <w:t>դարձնում</w:t>
            </w:r>
            <w:r w:rsidRPr="0053423A">
              <w:rPr>
                <w:sz w:val="20"/>
                <w:szCs w:val="20"/>
                <w:lang w:val="af-ZA"/>
              </w:rPr>
              <w:t xml:space="preserve"> </w:t>
            </w:r>
            <w:r w:rsidRPr="0053423A">
              <w:rPr>
                <w:sz w:val="20"/>
                <w:szCs w:val="20"/>
              </w:rPr>
              <w:t>վերապատրաստումների</w:t>
            </w:r>
            <w:r w:rsidRPr="0053423A">
              <w:rPr>
                <w:sz w:val="20"/>
                <w:szCs w:val="20"/>
                <w:lang w:val="af-ZA"/>
              </w:rPr>
              <w:t xml:space="preserve"> </w:t>
            </w:r>
            <w:r w:rsidRPr="0053423A">
              <w:rPr>
                <w:sz w:val="20"/>
                <w:szCs w:val="20"/>
              </w:rPr>
              <w:t>իրականացումը</w:t>
            </w:r>
            <w:r w:rsidRPr="0053423A">
              <w:rPr>
                <w:sz w:val="20"/>
                <w:szCs w:val="20"/>
                <w:lang w:val="af-ZA"/>
              </w:rPr>
              <w:t>:</w:t>
            </w:r>
            <w:r w:rsidRPr="0053423A">
              <w:rPr>
                <w:rFonts w:eastAsia="Calibri" w:cs="Times New Roman"/>
                <w:sz w:val="20"/>
                <w:szCs w:val="20"/>
                <w:shd w:val="clear" w:color="auto" w:fill="FFFFFF"/>
                <w:lang w:val="af-ZA"/>
              </w:rPr>
              <w:t xml:space="preserve"> </w:t>
            </w:r>
          </w:p>
          <w:p w:rsidR="00154773" w:rsidRPr="0053423A" w:rsidRDefault="00154773" w:rsidP="00154773">
            <w:pPr>
              <w:ind w:firstLine="360"/>
              <w:jc w:val="both"/>
              <w:rPr>
                <w:color w:val="000000"/>
                <w:sz w:val="20"/>
                <w:szCs w:val="20"/>
                <w:shd w:val="clear" w:color="auto" w:fill="FEFEFE"/>
                <w:lang w:val="af-ZA"/>
              </w:rPr>
            </w:pPr>
            <w:r w:rsidRPr="0053423A">
              <w:rPr>
                <w:rFonts w:eastAsia="Calibri" w:cs="Times New Roman"/>
                <w:sz w:val="20"/>
                <w:szCs w:val="20"/>
                <w:shd w:val="clear" w:color="auto" w:fill="FFFFFF"/>
                <w:lang w:val="af-ZA"/>
              </w:rPr>
              <w:t xml:space="preserve"> Վերապատրաստումների ընթացքում ո</w:t>
            </w:r>
            <w:r w:rsidRPr="0053423A">
              <w:rPr>
                <w:rFonts w:eastAsia="Calibri" w:cs="Times New Roman"/>
                <w:sz w:val="20"/>
                <w:szCs w:val="20"/>
                <w:shd w:val="clear" w:color="auto" w:fill="FFFFFF"/>
                <w:lang w:val="hy-AM"/>
              </w:rPr>
              <w:t xml:space="preserve">րակյալ և առաջատար մասնագետների հետ շփումը, ակտուալ նյութերի տրամադրումն ու ոլորտի </w:t>
            </w:r>
            <w:r w:rsidRPr="0053423A">
              <w:rPr>
                <w:sz w:val="20"/>
                <w:szCs w:val="20"/>
              </w:rPr>
              <w:t>զարգացումներին</w:t>
            </w:r>
            <w:r w:rsidRPr="0053423A">
              <w:rPr>
                <w:sz w:val="20"/>
                <w:szCs w:val="20"/>
                <w:lang w:val="af-ZA"/>
              </w:rPr>
              <w:t xml:space="preserve"> </w:t>
            </w:r>
            <w:r w:rsidRPr="0053423A">
              <w:rPr>
                <w:sz w:val="20"/>
                <w:szCs w:val="20"/>
                <w:lang w:val="hy-AM"/>
              </w:rPr>
              <w:t>ծանոթացնելը</w:t>
            </w:r>
            <w:r w:rsidRPr="0053423A">
              <w:rPr>
                <w:sz w:val="20"/>
                <w:szCs w:val="20"/>
                <w:lang w:val="af-ZA"/>
              </w:rPr>
              <w:t xml:space="preserve"> </w:t>
            </w:r>
            <w:r w:rsidRPr="0053423A">
              <w:rPr>
                <w:sz w:val="20"/>
                <w:szCs w:val="20"/>
              </w:rPr>
              <w:t>օգնում</w:t>
            </w:r>
            <w:r w:rsidRPr="0053423A">
              <w:rPr>
                <w:sz w:val="20"/>
                <w:szCs w:val="20"/>
                <w:lang w:val="af-ZA"/>
              </w:rPr>
              <w:t xml:space="preserve"> </w:t>
            </w:r>
            <w:r w:rsidRPr="0053423A">
              <w:rPr>
                <w:sz w:val="20"/>
                <w:szCs w:val="20"/>
              </w:rPr>
              <w:t>են</w:t>
            </w:r>
            <w:r w:rsidRPr="0053423A">
              <w:rPr>
                <w:sz w:val="20"/>
                <w:szCs w:val="20"/>
                <w:lang w:val="af-ZA"/>
              </w:rPr>
              <w:t xml:space="preserve"> </w:t>
            </w:r>
            <w:r w:rsidRPr="0053423A">
              <w:rPr>
                <w:sz w:val="20"/>
                <w:szCs w:val="20"/>
              </w:rPr>
              <w:t>դասախոսական</w:t>
            </w:r>
            <w:r w:rsidRPr="0053423A">
              <w:rPr>
                <w:sz w:val="20"/>
                <w:szCs w:val="20"/>
                <w:lang w:val="af-ZA"/>
              </w:rPr>
              <w:t xml:space="preserve"> </w:t>
            </w:r>
            <w:r w:rsidRPr="0053423A">
              <w:rPr>
                <w:sz w:val="20"/>
                <w:szCs w:val="20"/>
              </w:rPr>
              <w:t>կազմին</w:t>
            </w:r>
            <w:r w:rsidRPr="0053423A">
              <w:rPr>
                <w:sz w:val="20"/>
                <w:szCs w:val="20"/>
                <w:lang w:val="af-ZA"/>
              </w:rPr>
              <w:t xml:space="preserve"> </w:t>
            </w:r>
            <w:r w:rsidRPr="0053423A">
              <w:rPr>
                <w:sz w:val="20"/>
                <w:szCs w:val="20"/>
              </w:rPr>
              <w:t>տիրապետել</w:t>
            </w:r>
            <w:r w:rsidRPr="0053423A">
              <w:rPr>
                <w:sz w:val="20"/>
                <w:szCs w:val="20"/>
                <w:lang w:val="af-ZA"/>
              </w:rPr>
              <w:t xml:space="preserve"> </w:t>
            </w:r>
            <w:r w:rsidRPr="0053423A">
              <w:rPr>
                <w:sz w:val="20"/>
                <w:szCs w:val="20"/>
              </w:rPr>
              <w:t>ժամանակակից</w:t>
            </w:r>
            <w:r w:rsidRPr="0053423A">
              <w:rPr>
                <w:sz w:val="20"/>
                <w:szCs w:val="20"/>
                <w:lang w:val="af-ZA"/>
              </w:rPr>
              <w:t xml:space="preserve"> </w:t>
            </w:r>
            <w:r w:rsidRPr="0053423A">
              <w:rPr>
                <w:sz w:val="20"/>
                <w:szCs w:val="20"/>
              </w:rPr>
              <w:t>տեղեկատվական</w:t>
            </w:r>
            <w:r w:rsidRPr="0053423A">
              <w:rPr>
                <w:sz w:val="20"/>
                <w:szCs w:val="20"/>
                <w:lang w:val="af-ZA"/>
              </w:rPr>
              <w:t xml:space="preserve"> </w:t>
            </w:r>
            <w:r w:rsidRPr="0053423A">
              <w:rPr>
                <w:sz w:val="20"/>
                <w:szCs w:val="20"/>
              </w:rPr>
              <w:t>տեխնոլոգիաներին</w:t>
            </w:r>
            <w:r w:rsidRPr="0053423A">
              <w:rPr>
                <w:sz w:val="20"/>
                <w:szCs w:val="20"/>
                <w:lang w:val="af-ZA"/>
              </w:rPr>
              <w:t xml:space="preserve">, </w:t>
            </w:r>
            <w:r w:rsidRPr="0053423A">
              <w:rPr>
                <w:sz w:val="20"/>
                <w:szCs w:val="20"/>
              </w:rPr>
              <w:t>ծանոթանալ</w:t>
            </w:r>
            <w:r w:rsidRPr="0053423A">
              <w:rPr>
                <w:sz w:val="20"/>
                <w:szCs w:val="20"/>
                <w:lang w:val="af-ZA"/>
              </w:rPr>
              <w:t xml:space="preserve"> </w:t>
            </w:r>
            <w:r w:rsidRPr="0053423A">
              <w:rPr>
                <w:sz w:val="20"/>
                <w:szCs w:val="20"/>
              </w:rPr>
              <w:t>ոլորտի</w:t>
            </w:r>
            <w:r w:rsidRPr="0053423A">
              <w:rPr>
                <w:sz w:val="20"/>
                <w:szCs w:val="20"/>
                <w:lang w:val="af-ZA"/>
              </w:rPr>
              <w:t xml:space="preserve"> </w:t>
            </w:r>
            <w:r w:rsidRPr="0053423A">
              <w:rPr>
                <w:sz w:val="20"/>
                <w:szCs w:val="20"/>
              </w:rPr>
              <w:t>նորարարություններին</w:t>
            </w:r>
            <w:r w:rsidRPr="0053423A">
              <w:rPr>
                <w:sz w:val="20"/>
                <w:szCs w:val="20"/>
                <w:lang w:val="hy-AM"/>
              </w:rPr>
              <w:t xml:space="preserve">, իսկ վերապատրաստումներից հետո հետադարձ կապի, դասերի դիտարկումների անցկացումը, մանկավարժական անձնակազմի միջև համագործակցային աշխատաոճի սերմանումը նպաստում է </w:t>
            </w:r>
            <w:r w:rsidRPr="0053423A">
              <w:rPr>
                <w:sz w:val="20"/>
                <w:szCs w:val="20"/>
              </w:rPr>
              <w:t>կրթական</w:t>
            </w:r>
            <w:r w:rsidRPr="0053423A">
              <w:rPr>
                <w:sz w:val="20"/>
                <w:szCs w:val="20"/>
                <w:lang w:val="af-ZA"/>
              </w:rPr>
              <w:t xml:space="preserve"> </w:t>
            </w:r>
            <w:r w:rsidRPr="0053423A">
              <w:rPr>
                <w:sz w:val="20"/>
                <w:szCs w:val="20"/>
              </w:rPr>
              <w:t>գործընթացի</w:t>
            </w:r>
            <w:r w:rsidRPr="0053423A">
              <w:rPr>
                <w:sz w:val="20"/>
                <w:szCs w:val="20"/>
                <w:lang w:val="af-ZA"/>
              </w:rPr>
              <w:t xml:space="preserve"> </w:t>
            </w:r>
            <w:r w:rsidRPr="0053423A">
              <w:rPr>
                <w:sz w:val="20"/>
                <w:szCs w:val="20"/>
              </w:rPr>
              <w:t>բարելավմանը</w:t>
            </w:r>
            <w:r w:rsidRPr="0053423A">
              <w:rPr>
                <w:sz w:val="20"/>
                <w:szCs w:val="20"/>
                <w:lang w:val="af-ZA"/>
              </w:rPr>
              <w:t xml:space="preserve">, </w:t>
            </w:r>
            <w:r w:rsidRPr="0053423A">
              <w:rPr>
                <w:sz w:val="20"/>
                <w:szCs w:val="20"/>
                <w:lang w:val="hy-AM"/>
              </w:rPr>
              <w:t>արդիականացման</w:t>
            </w:r>
            <w:r w:rsidRPr="0053423A">
              <w:rPr>
                <w:sz w:val="20"/>
                <w:szCs w:val="20"/>
              </w:rPr>
              <w:t>ը</w:t>
            </w:r>
            <w:r w:rsidRPr="0053423A">
              <w:rPr>
                <w:sz w:val="20"/>
                <w:szCs w:val="20"/>
                <w:lang w:val="af-ZA"/>
              </w:rPr>
              <w:t>:</w:t>
            </w:r>
            <w:r w:rsidRPr="0053423A">
              <w:rPr>
                <w:rFonts w:eastAsia="Calibri" w:cs="Times New Roman"/>
                <w:sz w:val="20"/>
                <w:szCs w:val="20"/>
                <w:shd w:val="clear" w:color="auto" w:fill="FFFFFF"/>
                <w:lang w:val="af-ZA"/>
              </w:rPr>
              <w:t xml:space="preserve"> </w:t>
            </w:r>
            <w:r w:rsidRPr="0053423A">
              <w:rPr>
                <w:color w:val="000000"/>
                <w:sz w:val="20"/>
                <w:szCs w:val="20"/>
                <w:shd w:val="clear" w:color="auto" w:fill="FEFEFE"/>
                <w:lang w:val="af-ZA"/>
              </w:rPr>
              <w:t xml:space="preserve">  </w:t>
            </w:r>
          </w:p>
          <w:p w:rsidR="00154773" w:rsidRPr="0053423A" w:rsidRDefault="00154773" w:rsidP="00154773">
            <w:pPr>
              <w:ind w:left="284" w:hanging="284"/>
              <w:jc w:val="both"/>
              <w:rPr>
                <w:color w:val="000000"/>
                <w:sz w:val="20"/>
                <w:szCs w:val="20"/>
                <w:shd w:val="clear" w:color="auto" w:fill="FEFEFE"/>
                <w:lang w:val="af-ZA"/>
              </w:rPr>
            </w:pPr>
          </w:p>
          <w:p w:rsidR="00154773" w:rsidRPr="0053423A" w:rsidRDefault="00154773" w:rsidP="001F6D5D">
            <w:pPr>
              <w:numPr>
                <w:ilvl w:val="1"/>
                <w:numId w:val="483"/>
              </w:numPr>
              <w:contextualSpacing/>
              <w:jc w:val="both"/>
              <w:rPr>
                <w:rFonts w:eastAsia="Times New Roman" w:cs="Times New Roman"/>
                <w:b/>
                <w:sz w:val="20"/>
                <w:szCs w:val="20"/>
              </w:rPr>
            </w:pPr>
            <w:r w:rsidRPr="0053423A">
              <w:rPr>
                <w:rFonts w:eastAsia="Times New Roman" w:cs="Times New Roman"/>
                <w:b/>
                <w:sz w:val="20"/>
                <w:szCs w:val="20"/>
              </w:rPr>
              <w:t>ա</w:t>
            </w:r>
            <w:r w:rsidRPr="0053423A">
              <w:rPr>
                <w:rFonts w:eastAsia="Times New Roman" w:cs="Times New Roman"/>
                <w:b/>
                <w:sz w:val="20"/>
                <w:szCs w:val="20"/>
                <w:lang w:val="hy-AM"/>
              </w:rPr>
              <w:t>ռկա խնդիրների առաջարկվող լուծումները</w:t>
            </w:r>
          </w:p>
          <w:p w:rsidR="00154773" w:rsidRPr="0053423A" w:rsidRDefault="00154773" w:rsidP="00154773">
            <w:pPr>
              <w:ind w:left="735"/>
              <w:contextualSpacing/>
              <w:jc w:val="both"/>
              <w:rPr>
                <w:rFonts w:eastAsia="Times New Roman" w:cs="Times New Roman"/>
                <w:b/>
                <w:sz w:val="20"/>
                <w:szCs w:val="20"/>
              </w:rPr>
            </w:pPr>
          </w:p>
          <w:p w:rsidR="00154773" w:rsidRPr="0053423A" w:rsidRDefault="00154773" w:rsidP="00154773">
            <w:pPr>
              <w:tabs>
                <w:tab w:val="left" w:pos="0"/>
              </w:tabs>
              <w:ind w:firstLine="360"/>
              <w:contextualSpacing/>
              <w:jc w:val="both"/>
              <w:rPr>
                <w:rFonts w:cs="GHEA Grapalat"/>
                <w:sz w:val="20"/>
                <w:szCs w:val="20"/>
                <w:lang w:val="af-ZA"/>
              </w:rPr>
            </w:pPr>
            <w:r w:rsidRPr="0053423A">
              <w:rPr>
                <w:rFonts w:cs="Sylfaen"/>
                <w:sz w:val="20"/>
                <w:szCs w:val="20"/>
              </w:rPr>
              <w:t>Դ</w:t>
            </w:r>
            <w:r w:rsidRPr="0053423A">
              <w:rPr>
                <w:rFonts w:cs="Sylfaen"/>
                <w:sz w:val="20"/>
                <w:szCs w:val="20"/>
                <w:lang w:val="hy-AM"/>
              </w:rPr>
              <w:t>ասավանդողների և դասընթացավարների մասնագիտական կարիքների նախնական բացահայտում</w:t>
            </w:r>
            <w:r w:rsidRPr="0053423A">
              <w:rPr>
                <w:rFonts w:cs="Sylfaen"/>
                <w:sz w:val="20"/>
                <w:szCs w:val="20"/>
                <w:lang w:val="af-ZA"/>
              </w:rPr>
              <w:t xml:space="preserve">, </w:t>
            </w:r>
            <w:r w:rsidRPr="0053423A">
              <w:rPr>
                <w:rFonts w:cs="Arial"/>
                <w:color w:val="000000"/>
                <w:sz w:val="20"/>
                <w:szCs w:val="20"/>
                <w:lang w:val="hy-AM"/>
              </w:rPr>
              <w:t>գործատուների, առաջատար բուհերի և ոլորտի այլ շահառուների հետ համագործակցելով՝ ՆՄՄԿ ուսումնական հաստատությունների դասավանդողների համար մասնագիտական և մանկավարժական վերապատրաստման ծրագրերի</w:t>
            </w:r>
            <w:r w:rsidRPr="0053423A">
              <w:rPr>
                <w:rFonts w:cs="Arial"/>
                <w:color w:val="000000"/>
                <w:sz w:val="20"/>
                <w:szCs w:val="20"/>
                <w:lang w:val="af-ZA"/>
              </w:rPr>
              <w:t xml:space="preserve"> </w:t>
            </w:r>
            <w:r w:rsidRPr="0053423A">
              <w:rPr>
                <w:rFonts w:cs="Arial"/>
                <w:color w:val="000000"/>
                <w:sz w:val="20"/>
                <w:szCs w:val="20"/>
                <w:lang w:val="hy-AM"/>
              </w:rPr>
              <w:t>մշակում</w:t>
            </w:r>
            <w:r w:rsidRPr="0053423A">
              <w:rPr>
                <w:rFonts w:cs="Arial"/>
                <w:color w:val="000000"/>
                <w:sz w:val="20"/>
                <w:szCs w:val="20"/>
                <w:lang w:val="af-ZA"/>
              </w:rPr>
              <w:t xml:space="preserve">, դրանց </w:t>
            </w:r>
            <w:r w:rsidRPr="0053423A">
              <w:rPr>
                <w:rFonts w:cs="Arial"/>
                <w:color w:val="000000"/>
                <w:sz w:val="20"/>
                <w:szCs w:val="20"/>
                <w:lang w:val="hy-AM"/>
              </w:rPr>
              <w:t>հիման</w:t>
            </w:r>
            <w:r w:rsidRPr="0053423A">
              <w:rPr>
                <w:rFonts w:cs="Arial"/>
                <w:color w:val="000000"/>
                <w:sz w:val="20"/>
                <w:szCs w:val="20"/>
                <w:lang w:val="af-ZA"/>
              </w:rPr>
              <w:t xml:space="preserve"> </w:t>
            </w:r>
            <w:r w:rsidRPr="0053423A">
              <w:rPr>
                <w:rFonts w:cs="Arial"/>
                <w:color w:val="000000"/>
                <w:sz w:val="20"/>
                <w:szCs w:val="20"/>
                <w:lang w:val="hy-AM"/>
              </w:rPr>
              <w:t>վրա</w:t>
            </w:r>
            <w:r w:rsidRPr="0053423A">
              <w:rPr>
                <w:rFonts w:cs="Arial"/>
                <w:color w:val="000000"/>
                <w:sz w:val="20"/>
                <w:szCs w:val="20"/>
                <w:lang w:val="af-ZA"/>
              </w:rPr>
              <w:t xml:space="preserve"> </w:t>
            </w:r>
            <w:r w:rsidRPr="0053423A">
              <w:rPr>
                <w:sz w:val="20"/>
                <w:szCs w:val="20"/>
                <w:lang w:val="hy-AM"/>
              </w:rPr>
              <w:t>ուսումնական հաստատությունների դասավանդողների և ուսուցման վարպետների մասնագիտական կարողությունների հզորացման</w:t>
            </w:r>
            <w:r w:rsidRPr="0053423A">
              <w:rPr>
                <w:sz w:val="20"/>
                <w:szCs w:val="20"/>
                <w:lang w:val="af-ZA"/>
              </w:rPr>
              <w:t xml:space="preserve"> </w:t>
            </w:r>
            <w:r w:rsidRPr="0053423A">
              <w:rPr>
                <w:sz w:val="20"/>
                <w:szCs w:val="20"/>
                <w:lang w:val="hy-AM"/>
              </w:rPr>
              <w:t>նպատակով</w:t>
            </w:r>
            <w:r w:rsidRPr="0053423A">
              <w:rPr>
                <w:sz w:val="20"/>
                <w:szCs w:val="20"/>
              </w:rPr>
              <w:t>՝</w:t>
            </w:r>
            <w:r w:rsidRPr="0053423A">
              <w:rPr>
                <w:sz w:val="20"/>
                <w:szCs w:val="20"/>
                <w:lang w:val="af-ZA"/>
              </w:rPr>
              <w:t xml:space="preserve"> </w:t>
            </w:r>
            <w:r w:rsidRPr="0053423A">
              <w:rPr>
                <w:rFonts w:cs="GHEA Grapalat"/>
                <w:sz w:val="20"/>
                <w:szCs w:val="20"/>
                <w:lang w:val="hy-AM"/>
              </w:rPr>
              <w:t>վերապատրաստումների կազմակերպում</w:t>
            </w:r>
            <w:r w:rsidRPr="0053423A">
              <w:rPr>
                <w:rFonts w:cs="GHEA Grapalat"/>
                <w:sz w:val="20"/>
                <w:szCs w:val="20"/>
                <w:lang w:val="af-ZA"/>
              </w:rPr>
              <w:t xml:space="preserve">, </w:t>
            </w:r>
            <w:r w:rsidRPr="0053423A">
              <w:rPr>
                <w:rFonts w:cs="GHEA Grapalat"/>
                <w:sz w:val="20"/>
                <w:szCs w:val="20"/>
                <w:lang w:val="hy-AM"/>
              </w:rPr>
              <w:t>ինչը</w:t>
            </w:r>
            <w:r w:rsidRPr="0053423A">
              <w:rPr>
                <w:rFonts w:cs="GHEA Grapalat"/>
                <w:sz w:val="20"/>
                <w:szCs w:val="20"/>
                <w:lang w:val="af-ZA"/>
              </w:rPr>
              <w:t xml:space="preserve"> </w:t>
            </w:r>
            <w:r w:rsidRPr="0053423A">
              <w:rPr>
                <w:rFonts w:cs="GHEA Grapalat"/>
                <w:sz w:val="20"/>
                <w:szCs w:val="20"/>
                <w:lang w:val="hy-AM"/>
              </w:rPr>
              <w:t>կապահովի</w:t>
            </w:r>
            <w:r w:rsidRPr="0053423A">
              <w:rPr>
                <w:rFonts w:cs="GHEA Grapalat"/>
                <w:sz w:val="20"/>
                <w:szCs w:val="20"/>
                <w:lang w:val="af-ZA"/>
              </w:rPr>
              <w:t xml:space="preserve"> </w:t>
            </w:r>
            <w:r w:rsidRPr="0053423A">
              <w:rPr>
                <w:rFonts w:cs="Arial"/>
                <w:color w:val="000000"/>
                <w:sz w:val="20"/>
                <w:szCs w:val="20"/>
                <w:lang w:val="hy-AM"/>
              </w:rPr>
              <w:t>դասավանդողների շարունակական մասնագիտական զարգացումը և կհանդիսանա նրանց խրախուսման և շահադրդման համակարգի ստեղծման նախապայման</w:t>
            </w:r>
            <w:r w:rsidRPr="0053423A">
              <w:rPr>
                <w:rFonts w:cs="GHEA Grapalat"/>
                <w:sz w:val="20"/>
                <w:szCs w:val="20"/>
                <w:lang w:val="af-ZA"/>
              </w:rPr>
              <w:t>: Գրծընթացը շարունակական է և նախատեսվում է իրականացնել ՀՀ պետական բյուջեի «Նախնական մասնագիտական (արհեստագործական) և միջին մասնագիտական կրթության և ուսուցման (ՄԿՈՒ) բարեփոխումներ» միջոցառման շրջանակում:</w:t>
            </w:r>
          </w:p>
          <w:p w:rsidR="00154773" w:rsidRPr="0053423A" w:rsidRDefault="00154773" w:rsidP="00154773">
            <w:pPr>
              <w:tabs>
                <w:tab w:val="left" w:pos="0"/>
              </w:tabs>
              <w:ind w:firstLine="360"/>
              <w:contextualSpacing/>
              <w:jc w:val="both"/>
              <w:rPr>
                <w:rFonts w:cs="GHEA Grapalat"/>
                <w:sz w:val="20"/>
                <w:szCs w:val="20"/>
                <w:lang w:val="af-ZA"/>
              </w:rPr>
            </w:pPr>
          </w:p>
          <w:p w:rsidR="00154773" w:rsidRPr="0053423A" w:rsidRDefault="00154773" w:rsidP="001F6D5D">
            <w:pPr>
              <w:numPr>
                <w:ilvl w:val="0"/>
                <w:numId w:val="483"/>
              </w:numPr>
              <w:contextualSpacing/>
              <w:jc w:val="both"/>
              <w:rPr>
                <w:rFonts w:eastAsia="Times New Roman" w:cs="Times New Roman"/>
                <w:b/>
                <w:sz w:val="20"/>
                <w:szCs w:val="20"/>
              </w:rPr>
            </w:pPr>
            <w:r w:rsidRPr="0053423A">
              <w:rPr>
                <w:rFonts w:eastAsia="Times New Roman" w:cs="Times New Roman"/>
                <w:b/>
                <w:sz w:val="20"/>
                <w:szCs w:val="20"/>
                <w:lang w:val="hy-AM"/>
              </w:rPr>
              <w:t>Միջոցառման իրականացումից ակնկալվող արդյունքը</w:t>
            </w:r>
          </w:p>
          <w:p w:rsidR="00154773" w:rsidRPr="0053423A" w:rsidRDefault="00154773" w:rsidP="00154773">
            <w:pPr>
              <w:jc w:val="both"/>
              <w:rPr>
                <w:rFonts w:eastAsia="Times New Roman" w:cs="Times New Roman"/>
                <w:b/>
                <w:sz w:val="20"/>
                <w:szCs w:val="20"/>
              </w:rPr>
            </w:pPr>
          </w:p>
          <w:p w:rsidR="00154773" w:rsidRPr="0053423A" w:rsidRDefault="00154773" w:rsidP="00154773">
            <w:pPr>
              <w:jc w:val="both"/>
              <w:rPr>
                <w:rFonts w:eastAsia="Times New Roman" w:cs="Times New Roman"/>
                <w:b/>
                <w:sz w:val="20"/>
                <w:szCs w:val="20"/>
                <w:lang w:val="hy-AM"/>
              </w:rPr>
            </w:pPr>
            <w:r w:rsidRPr="0053423A">
              <w:rPr>
                <w:rFonts w:cs="Sylfaen"/>
                <w:sz w:val="20"/>
                <w:szCs w:val="20"/>
                <w:lang w:val="hy-AM"/>
              </w:rPr>
              <w:t>Միջոցառմա</w:t>
            </w:r>
            <w:r w:rsidRPr="0053423A">
              <w:rPr>
                <w:rFonts w:cs="Sylfaen"/>
                <w:sz w:val="20"/>
                <w:szCs w:val="20"/>
              </w:rPr>
              <w:t>ն</w:t>
            </w:r>
            <w:r w:rsidRPr="0053423A">
              <w:rPr>
                <w:rFonts w:cs="Sylfaen"/>
                <w:sz w:val="20"/>
                <w:szCs w:val="20"/>
                <w:lang w:val="af-ZA"/>
              </w:rPr>
              <w:t xml:space="preserve"> </w:t>
            </w:r>
            <w:r w:rsidRPr="0053423A">
              <w:rPr>
                <w:rFonts w:cs="Sylfaen"/>
                <w:sz w:val="20"/>
                <w:szCs w:val="20"/>
              </w:rPr>
              <w:t>իրականացման</w:t>
            </w:r>
            <w:r w:rsidRPr="0053423A">
              <w:rPr>
                <w:rFonts w:cs="Sylfaen"/>
                <w:sz w:val="20"/>
                <w:szCs w:val="20"/>
                <w:lang w:val="af-ZA"/>
              </w:rPr>
              <w:t xml:space="preserve"> </w:t>
            </w:r>
            <w:r w:rsidRPr="0053423A">
              <w:rPr>
                <w:rFonts w:cs="Sylfaen"/>
                <w:sz w:val="20"/>
                <w:szCs w:val="20"/>
              </w:rPr>
              <w:t>արդյունքում</w:t>
            </w:r>
            <w:r w:rsidRPr="0053423A">
              <w:rPr>
                <w:rFonts w:cs="Sylfaen"/>
                <w:sz w:val="20"/>
                <w:szCs w:val="20"/>
                <w:lang w:val="af-ZA"/>
              </w:rPr>
              <w:t xml:space="preserve"> </w:t>
            </w:r>
            <w:r w:rsidRPr="0053423A">
              <w:rPr>
                <w:rFonts w:cs="Sylfaen"/>
                <w:sz w:val="20"/>
                <w:szCs w:val="20"/>
              </w:rPr>
              <w:t>յուրաքանչյուր</w:t>
            </w:r>
            <w:r w:rsidRPr="0053423A">
              <w:rPr>
                <w:rFonts w:cs="Sylfaen"/>
                <w:sz w:val="20"/>
                <w:szCs w:val="20"/>
                <w:lang w:val="af-ZA"/>
              </w:rPr>
              <w:t xml:space="preserve"> </w:t>
            </w:r>
            <w:r w:rsidRPr="0053423A">
              <w:rPr>
                <w:rFonts w:cs="Sylfaen"/>
                <w:sz w:val="20"/>
                <w:szCs w:val="20"/>
              </w:rPr>
              <w:t>տարի</w:t>
            </w:r>
            <w:r w:rsidRPr="0053423A">
              <w:rPr>
                <w:rFonts w:cs="Sylfaen"/>
                <w:sz w:val="20"/>
                <w:szCs w:val="20"/>
                <w:lang w:val="af-ZA"/>
              </w:rPr>
              <w:t xml:space="preserve"> </w:t>
            </w:r>
            <w:r w:rsidRPr="0053423A">
              <w:rPr>
                <w:rFonts w:cs="Sylfaen"/>
                <w:sz w:val="20"/>
                <w:szCs w:val="20"/>
              </w:rPr>
              <w:t>կվերապատրաստվի</w:t>
            </w:r>
            <w:r w:rsidRPr="0053423A">
              <w:rPr>
                <w:rFonts w:cs="Sylfaen"/>
                <w:sz w:val="20"/>
                <w:szCs w:val="20"/>
                <w:lang w:val="af-ZA"/>
              </w:rPr>
              <w:t xml:space="preserve"> </w:t>
            </w:r>
            <w:r w:rsidRPr="0053423A">
              <w:rPr>
                <w:rFonts w:cs="Sylfaen"/>
                <w:sz w:val="20"/>
                <w:szCs w:val="20"/>
                <w:lang w:val="hy-AM"/>
              </w:rPr>
              <w:t xml:space="preserve">ՆՄՄԿ վարչական, մանկավարժական կազմի և ՄԿՈՒ հաստատությունների կառավարման խորհուրդների </w:t>
            </w:r>
            <w:r w:rsidRPr="0053423A">
              <w:rPr>
                <w:rFonts w:cs="Sylfaen"/>
                <w:sz w:val="20"/>
                <w:szCs w:val="20"/>
                <w:lang w:val="af-ZA"/>
              </w:rPr>
              <w:t xml:space="preserve">800 </w:t>
            </w:r>
            <w:r w:rsidRPr="0053423A">
              <w:rPr>
                <w:rFonts w:cs="Sylfaen"/>
                <w:sz w:val="20"/>
                <w:szCs w:val="20"/>
              </w:rPr>
              <w:t>անձ</w:t>
            </w:r>
            <w:r w:rsidRPr="0053423A">
              <w:rPr>
                <w:rFonts w:cs="Sylfaen"/>
                <w:sz w:val="20"/>
                <w:szCs w:val="20"/>
                <w:lang w:val="af-ZA"/>
              </w:rPr>
              <w:t xml:space="preserve"> </w:t>
            </w:r>
            <w:r w:rsidRPr="0053423A">
              <w:rPr>
                <w:sz w:val="20"/>
                <w:szCs w:val="20"/>
                <w:lang w:val="hy-AM"/>
              </w:rPr>
              <w:t xml:space="preserve">(2019թ </w:t>
            </w:r>
            <w:r w:rsidRPr="0053423A">
              <w:rPr>
                <w:sz w:val="20"/>
                <w:szCs w:val="20"/>
                <w:lang w:val="af-ZA"/>
              </w:rPr>
              <w:t>450</w:t>
            </w:r>
            <w:r w:rsidRPr="0053423A">
              <w:rPr>
                <w:sz w:val="20"/>
                <w:szCs w:val="20"/>
                <w:lang w:val="hy-AM"/>
              </w:rPr>
              <w:t xml:space="preserve"> </w:t>
            </w:r>
            <w:r w:rsidRPr="0053423A">
              <w:rPr>
                <w:sz w:val="20"/>
                <w:szCs w:val="20"/>
              </w:rPr>
              <w:t>անձի</w:t>
            </w:r>
            <w:r w:rsidRPr="0053423A">
              <w:rPr>
                <w:sz w:val="20"/>
                <w:szCs w:val="20"/>
                <w:lang w:val="af-ZA"/>
              </w:rPr>
              <w:t xml:space="preserve"> </w:t>
            </w:r>
            <w:r w:rsidRPr="0053423A">
              <w:rPr>
                <w:sz w:val="20"/>
                <w:szCs w:val="20"/>
              </w:rPr>
              <w:t>վերապատրաստում</w:t>
            </w:r>
            <w:r w:rsidRPr="0053423A">
              <w:rPr>
                <w:sz w:val="20"/>
                <w:szCs w:val="20"/>
                <w:lang w:val="hy-AM"/>
              </w:rPr>
              <w:t>)</w:t>
            </w:r>
            <w:r w:rsidRPr="0053423A">
              <w:rPr>
                <w:rFonts w:cs="Sylfaen"/>
                <w:sz w:val="20"/>
                <w:szCs w:val="20"/>
                <w:lang w:val="af-ZA"/>
              </w:rPr>
              <w:t xml:space="preserve">, </w:t>
            </w:r>
            <w:r w:rsidRPr="0053423A">
              <w:rPr>
                <w:rFonts w:cs="Sylfaen"/>
                <w:sz w:val="20"/>
                <w:szCs w:val="20"/>
              </w:rPr>
              <w:t>ինչը</w:t>
            </w:r>
            <w:r w:rsidRPr="0053423A">
              <w:rPr>
                <w:rFonts w:cs="Sylfaen"/>
                <w:sz w:val="20"/>
                <w:szCs w:val="20"/>
                <w:lang w:val="af-ZA"/>
              </w:rPr>
              <w:t xml:space="preserve"> </w:t>
            </w:r>
            <w:r w:rsidRPr="0053423A">
              <w:rPr>
                <w:rFonts w:cs="Sylfaen"/>
                <w:sz w:val="20"/>
                <w:szCs w:val="20"/>
              </w:rPr>
              <w:t>կապահովի</w:t>
            </w:r>
            <w:r w:rsidRPr="0053423A">
              <w:rPr>
                <w:rFonts w:cs="Sylfaen"/>
                <w:sz w:val="20"/>
                <w:szCs w:val="20"/>
                <w:lang w:val="af-ZA"/>
              </w:rPr>
              <w:t xml:space="preserve"> </w:t>
            </w:r>
            <w:r w:rsidRPr="0053423A">
              <w:rPr>
                <w:rFonts w:cs="Sylfaen"/>
                <w:sz w:val="20"/>
                <w:szCs w:val="20"/>
                <w:lang w:val="hy-AM"/>
              </w:rPr>
              <w:t>ՄԿՈՒ համակարգի մարդկային ռեսուրսների կարողությունների շարունակական զարգացում</w:t>
            </w:r>
            <w:r w:rsidRPr="0053423A">
              <w:rPr>
                <w:rFonts w:cs="Sylfaen"/>
                <w:sz w:val="20"/>
                <w:szCs w:val="20"/>
              </w:rPr>
              <w:t>ը</w:t>
            </w:r>
            <w:r w:rsidRPr="0053423A">
              <w:rPr>
                <w:rFonts w:cs="Sylfaen"/>
                <w:sz w:val="20"/>
                <w:szCs w:val="20"/>
                <w:lang w:val="af-ZA"/>
              </w:rPr>
              <w:t>,</w:t>
            </w:r>
            <w:r w:rsidRPr="0053423A">
              <w:rPr>
                <w:rFonts w:cs="Sylfaen"/>
                <w:sz w:val="20"/>
                <w:szCs w:val="20"/>
                <w:lang w:val="hy-AM"/>
              </w:rPr>
              <w:t xml:space="preserve"> նոր մշակված ուսումնական ծրագրերով ուսուցանելու հմտությունների բարելավում</w:t>
            </w:r>
            <w:r w:rsidRPr="0053423A">
              <w:rPr>
                <w:rFonts w:cs="Sylfaen"/>
                <w:sz w:val="20"/>
                <w:szCs w:val="20"/>
              </w:rPr>
              <w:t>ը</w:t>
            </w:r>
            <w:r w:rsidRPr="0053423A">
              <w:rPr>
                <w:rFonts w:cs="Sylfaen"/>
                <w:sz w:val="20"/>
                <w:szCs w:val="20"/>
                <w:lang w:val="hy-AM"/>
              </w:rPr>
              <w:t xml:space="preserve">: </w:t>
            </w:r>
            <w:r w:rsidRPr="0053423A">
              <w:rPr>
                <w:rFonts w:cs="Sylfaen"/>
                <w:sz w:val="20"/>
                <w:szCs w:val="20"/>
              </w:rPr>
              <w:t>Մ</w:t>
            </w:r>
            <w:r w:rsidRPr="0053423A">
              <w:rPr>
                <w:rFonts w:cs="Sylfaen"/>
                <w:sz w:val="20"/>
                <w:szCs w:val="20"/>
                <w:lang w:val="hy-AM"/>
              </w:rPr>
              <w:t>անկավարժական կազմի</w:t>
            </w:r>
            <w:r w:rsidRPr="0053423A">
              <w:rPr>
                <w:rFonts w:cs="Sylfaen"/>
                <w:sz w:val="20"/>
                <w:szCs w:val="20"/>
              </w:rPr>
              <w:t xml:space="preserve"> </w:t>
            </w:r>
            <w:r w:rsidRPr="0053423A">
              <w:rPr>
                <w:rFonts w:cs="Sylfaen"/>
                <w:sz w:val="20"/>
                <w:szCs w:val="20"/>
                <w:lang w:val="hy-AM"/>
              </w:rPr>
              <w:t xml:space="preserve">պարբերական վերապատրաստումը (մեթոդական աջակցություն) </w:t>
            </w:r>
            <w:r w:rsidRPr="0053423A">
              <w:rPr>
                <w:rFonts w:cs="Sylfaen"/>
                <w:sz w:val="20"/>
                <w:szCs w:val="20"/>
              </w:rPr>
              <w:t>կ</w:t>
            </w:r>
            <w:r w:rsidRPr="0053423A">
              <w:rPr>
                <w:rFonts w:cs="Sylfaen"/>
                <w:sz w:val="20"/>
                <w:szCs w:val="20"/>
                <w:lang w:val="hy-AM"/>
              </w:rPr>
              <w:t>ընդլայն</w:t>
            </w:r>
            <w:r w:rsidRPr="0053423A">
              <w:rPr>
                <w:rFonts w:cs="Sylfaen"/>
                <w:sz w:val="20"/>
                <w:szCs w:val="20"/>
              </w:rPr>
              <w:t>ի</w:t>
            </w:r>
            <w:r w:rsidRPr="0053423A">
              <w:rPr>
                <w:rFonts w:cs="Sylfaen"/>
                <w:sz w:val="20"/>
                <w:szCs w:val="20"/>
                <w:lang w:val="hy-AM"/>
              </w:rPr>
              <w:t xml:space="preserve"> ՄԿՈՒ համակարգի կառավարման արդյունավետությունը՝ բարելավելով դասավանդման գործընթացը և բարձրացնելով ուսանողների որակավորումն ու զբաղունակությունը:</w:t>
            </w:r>
          </w:p>
        </w:tc>
      </w:tr>
      <w:tr w:rsidR="00154773" w:rsidRPr="00DE2EF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15</w:t>
            </w:r>
          </w:p>
        </w:tc>
        <w:tc>
          <w:tcPr>
            <w:tcW w:w="10620" w:type="dxa"/>
          </w:tcPr>
          <w:p w:rsidR="00154773" w:rsidRPr="0053423A" w:rsidRDefault="00154773" w:rsidP="00154773">
            <w:pPr>
              <w:ind w:firstLine="720"/>
              <w:contextualSpacing/>
              <w:jc w:val="center"/>
              <w:rPr>
                <w:b/>
                <w:sz w:val="20"/>
                <w:szCs w:val="20"/>
                <w:u w:val="single"/>
                <w:lang w:val="af-ZA"/>
              </w:rPr>
            </w:pPr>
            <w:r w:rsidRPr="0053423A">
              <w:rPr>
                <w:b/>
                <w:sz w:val="20"/>
                <w:szCs w:val="20"/>
                <w:u w:val="single"/>
                <w:lang w:val="af-ZA"/>
              </w:rPr>
              <w:t xml:space="preserve">15.1 </w:t>
            </w:r>
            <w:r w:rsidRPr="0053423A">
              <w:rPr>
                <w:b/>
                <w:sz w:val="20"/>
                <w:szCs w:val="20"/>
                <w:u w:val="single"/>
                <w:lang w:val="hy-AM"/>
              </w:rPr>
              <w:t>«</w:t>
            </w:r>
            <w:r w:rsidRPr="0053423A">
              <w:rPr>
                <w:b/>
                <w:sz w:val="20"/>
                <w:szCs w:val="20"/>
                <w:u w:val="single"/>
                <w:lang w:val="af-ZA"/>
              </w:rPr>
              <w:t>Նախադպրոցական կրթության մասին</w:t>
            </w:r>
            <w:r w:rsidRPr="0053423A">
              <w:rPr>
                <w:b/>
                <w:sz w:val="20"/>
                <w:szCs w:val="20"/>
                <w:u w:val="single"/>
                <w:lang w:val="hy-AM"/>
              </w:rPr>
              <w:t>»</w:t>
            </w:r>
            <w:r w:rsidRPr="0053423A">
              <w:rPr>
                <w:b/>
                <w:sz w:val="20"/>
                <w:szCs w:val="20"/>
                <w:u w:val="single"/>
                <w:lang w:val="af-ZA"/>
              </w:rPr>
              <w:t xml:space="preserve"> ՀՀ օրենքի նոր նախագիծը ՀՀ վարչապետի աշխատակազմ սահմանված կարգով ներկայացում</w:t>
            </w:r>
          </w:p>
          <w:p w:rsidR="00154773" w:rsidRPr="0053423A" w:rsidRDefault="00154773" w:rsidP="00154773">
            <w:pPr>
              <w:rPr>
                <w:rFonts w:cs="Sylfaen"/>
                <w:b/>
                <w:sz w:val="20"/>
                <w:szCs w:val="20"/>
                <w:lang w:val="fr-FR"/>
              </w:rPr>
            </w:pPr>
          </w:p>
          <w:p w:rsidR="00154773" w:rsidRPr="0053423A" w:rsidRDefault="00154773" w:rsidP="001F6D5D">
            <w:pPr>
              <w:numPr>
                <w:ilvl w:val="0"/>
                <w:numId w:val="493"/>
              </w:numPr>
              <w:contextualSpacing/>
              <w:jc w:val="both"/>
              <w:rPr>
                <w:b/>
                <w:sz w:val="20"/>
                <w:szCs w:val="20"/>
                <w:lang w:val="af-ZA"/>
              </w:rPr>
            </w:pPr>
            <w:r w:rsidRPr="0053423A">
              <w:rPr>
                <w:rFonts w:cs="Sylfaen"/>
                <w:b/>
                <w:sz w:val="20"/>
                <w:szCs w:val="20"/>
              </w:rPr>
              <w:t>Միջոցառման</w:t>
            </w:r>
            <w:r w:rsidRPr="0053423A">
              <w:rPr>
                <w:b/>
                <w:sz w:val="20"/>
                <w:szCs w:val="20"/>
                <w:lang w:val="af-ZA"/>
              </w:rPr>
              <w:t xml:space="preserve"> </w:t>
            </w:r>
            <w:r w:rsidRPr="0053423A">
              <w:rPr>
                <w:b/>
                <w:sz w:val="20"/>
                <w:szCs w:val="20"/>
              </w:rPr>
              <w:t>իրականացման</w:t>
            </w:r>
            <w:r w:rsidRPr="0053423A">
              <w:rPr>
                <w:b/>
                <w:sz w:val="20"/>
                <w:szCs w:val="20"/>
                <w:lang w:val="af-ZA"/>
              </w:rPr>
              <w:t xml:space="preserve"> </w:t>
            </w:r>
            <w:r w:rsidRPr="0053423A">
              <w:rPr>
                <w:b/>
                <w:sz w:val="20"/>
                <w:szCs w:val="20"/>
              </w:rPr>
              <w:t>անհրաժեշտությունը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նպատակը</w:t>
            </w:r>
          </w:p>
          <w:p w:rsidR="00154773" w:rsidRPr="0053423A" w:rsidRDefault="00154773" w:rsidP="00154773">
            <w:pPr>
              <w:jc w:val="both"/>
              <w:rPr>
                <w:b/>
                <w:sz w:val="20"/>
                <w:szCs w:val="20"/>
                <w:lang w:val="af-ZA"/>
              </w:rPr>
            </w:pPr>
          </w:p>
          <w:p w:rsidR="00154773" w:rsidRPr="0053423A" w:rsidRDefault="00154773" w:rsidP="00154773">
            <w:pPr>
              <w:ind w:firstLine="284"/>
              <w:contextualSpacing/>
              <w:jc w:val="both"/>
              <w:rPr>
                <w:rFonts w:eastAsia="Times New Roman" w:cs="Sylfaen"/>
                <w:sz w:val="20"/>
                <w:szCs w:val="20"/>
                <w:lang w:val="af-ZA"/>
              </w:rPr>
            </w:pPr>
            <w:r w:rsidRPr="0053423A">
              <w:rPr>
                <w:rFonts w:eastAsia="Times New Roman" w:cs="Sylfaen"/>
                <w:sz w:val="20"/>
                <w:szCs w:val="20"/>
              </w:rPr>
              <w:t>Միջոցառման</w:t>
            </w:r>
            <w:r w:rsidRPr="0053423A">
              <w:rPr>
                <w:rFonts w:eastAsia="Times New Roman" w:cs="Sylfaen"/>
                <w:sz w:val="20"/>
                <w:szCs w:val="20"/>
                <w:lang w:val="af-ZA"/>
              </w:rPr>
              <w:t xml:space="preserve"> </w:t>
            </w:r>
            <w:r w:rsidRPr="0053423A">
              <w:rPr>
                <w:rFonts w:eastAsia="Times New Roman" w:cs="Sylfaen"/>
                <w:sz w:val="20"/>
                <w:szCs w:val="20"/>
              </w:rPr>
              <w:t>գլխավոր</w:t>
            </w:r>
            <w:r w:rsidRPr="0053423A">
              <w:rPr>
                <w:rFonts w:eastAsia="Times New Roman" w:cs="Sylfaen"/>
                <w:sz w:val="20"/>
                <w:szCs w:val="20"/>
                <w:lang w:val="af-ZA"/>
              </w:rPr>
              <w:t xml:space="preserve"> </w:t>
            </w:r>
            <w:r w:rsidRPr="0053423A">
              <w:rPr>
                <w:rFonts w:eastAsia="Times New Roman" w:cs="Sylfaen"/>
                <w:sz w:val="20"/>
                <w:szCs w:val="20"/>
              </w:rPr>
              <w:t>նպատակն</w:t>
            </w:r>
            <w:r w:rsidRPr="0053423A">
              <w:rPr>
                <w:rFonts w:eastAsia="Times New Roman" w:cs="Sylfaen"/>
                <w:sz w:val="20"/>
                <w:szCs w:val="20"/>
                <w:lang w:val="af-ZA"/>
              </w:rPr>
              <w:t xml:space="preserve"> </w:t>
            </w:r>
            <w:r w:rsidRPr="0053423A">
              <w:rPr>
                <w:rFonts w:eastAsia="Times New Roman" w:cs="Sylfaen"/>
                <w:sz w:val="20"/>
                <w:szCs w:val="20"/>
              </w:rPr>
              <w:t>է</w:t>
            </w:r>
            <w:r w:rsidRPr="0053423A">
              <w:rPr>
                <w:rFonts w:eastAsia="Times New Roman" w:cs="Sylfaen"/>
                <w:sz w:val="20"/>
                <w:szCs w:val="20"/>
                <w:lang w:val="af-ZA"/>
              </w:rPr>
              <w:t xml:space="preserve"> </w:t>
            </w:r>
            <w:r w:rsidRPr="0053423A">
              <w:rPr>
                <w:rFonts w:eastAsia="Times New Roman" w:cs="Sylfaen"/>
                <w:sz w:val="20"/>
                <w:szCs w:val="20"/>
              </w:rPr>
              <w:t>որակյալ</w:t>
            </w:r>
            <w:r w:rsidRPr="0053423A">
              <w:rPr>
                <w:rFonts w:eastAsia="Times New Roman" w:cs="Sylfaen"/>
                <w:sz w:val="20"/>
                <w:szCs w:val="20"/>
                <w:lang w:val="af-ZA"/>
              </w:rPr>
              <w:t xml:space="preserve"> </w:t>
            </w:r>
            <w:r w:rsidRPr="0053423A">
              <w:rPr>
                <w:rFonts w:eastAsia="Times New Roman" w:cs="Sylfaen"/>
                <w:sz w:val="20"/>
                <w:szCs w:val="20"/>
              </w:rPr>
              <w:t>կրթության</w:t>
            </w:r>
            <w:r w:rsidRPr="0053423A">
              <w:rPr>
                <w:rFonts w:eastAsia="Times New Roman" w:cs="Sylfaen"/>
                <w:sz w:val="20"/>
                <w:szCs w:val="20"/>
                <w:lang w:val="af-ZA"/>
              </w:rPr>
              <w:t xml:space="preserve"> </w:t>
            </w:r>
            <w:r w:rsidRPr="0053423A">
              <w:rPr>
                <w:rFonts w:eastAsia="Times New Roman" w:cs="Sylfaen"/>
                <w:sz w:val="20"/>
                <w:szCs w:val="20"/>
              </w:rPr>
              <w:t>հավասար</w:t>
            </w:r>
            <w:r w:rsidRPr="0053423A">
              <w:rPr>
                <w:rFonts w:eastAsia="Times New Roman" w:cs="Sylfaen"/>
                <w:sz w:val="20"/>
                <w:szCs w:val="20"/>
                <w:lang w:val="af-ZA"/>
              </w:rPr>
              <w:t xml:space="preserve"> </w:t>
            </w:r>
            <w:r w:rsidRPr="0053423A">
              <w:rPr>
                <w:rFonts w:eastAsia="Times New Roman" w:cs="Sylfaen"/>
                <w:sz w:val="20"/>
                <w:szCs w:val="20"/>
              </w:rPr>
              <w:t>մատչելիության</w:t>
            </w:r>
            <w:r w:rsidRPr="0053423A">
              <w:rPr>
                <w:rFonts w:eastAsia="Times New Roman" w:cs="Sylfaen"/>
                <w:sz w:val="20"/>
                <w:szCs w:val="20"/>
                <w:lang w:val="af-ZA"/>
              </w:rPr>
              <w:t xml:space="preserve"> </w:t>
            </w:r>
            <w:r w:rsidRPr="0053423A">
              <w:rPr>
                <w:rFonts w:eastAsia="Times New Roman" w:cs="Sylfaen"/>
                <w:sz w:val="20"/>
                <w:szCs w:val="20"/>
              </w:rPr>
              <w:t>և</w:t>
            </w:r>
            <w:r w:rsidRPr="0053423A">
              <w:rPr>
                <w:rFonts w:eastAsia="Times New Roman" w:cs="Sylfaen"/>
                <w:sz w:val="20"/>
                <w:szCs w:val="20"/>
                <w:lang w:val="af-ZA"/>
              </w:rPr>
              <w:t xml:space="preserve"> </w:t>
            </w:r>
            <w:r w:rsidRPr="0053423A">
              <w:rPr>
                <w:rFonts w:eastAsia="Times New Roman" w:cs="Sylfaen"/>
                <w:sz w:val="20"/>
                <w:szCs w:val="20"/>
              </w:rPr>
              <w:t>ընդգրկվածության</w:t>
            </w:r>
            <w:r w:rsidRPr="0053423A">
              <w:rPr>
                <w:rFonts w:eastAsia="Times New Roman" w:cs="Sylfaen"/>
                <w:sz w:val="20"/>
                <w:szCs w:val="20"/>
                <w:lang w:val="af-ZA"/>
              </w:rPr>
              <w:t xml:space="preserve"> </w:t>
            </w:r>
            <w:r w:rsidRPr="0053423A">
              <w:rPr>
                <w:rFonts w:eastAsia="Times New Roman" w:cs="Sylfaen"/>
                <w:sz w:val="20"/>
                <w:szCs w:val="20"/>
              </w:rPr>
              <w:t>ապահովումը</w:t>
            </w:r>
            <w:r w:rsidRPr="0053423A">
              <w:rPr>
                <w:rFonts w:eastAsia="Times New Roman" w:cs="Sylfaen"/>
                <w:sz w:val="20"/>
                <w:szCs w:val="20"/>
                <w:lang w:val="af-ZA"/>
              </w:rPr>
              <w:t>:</w:t>
            </w:r>
          </w:p>
          <w:p w:rsidR="00154773" w:rsidRPr="0053423A" w:rsidRDefault="00154773" w:rsidP="00154773">
            <w:pPr>
              <w:ind w:firstLine="284"/>
              <w:contextualSpacing/>
              <w:jc w:val="both"/>
              <w:rPr>
                <w:rFonts w:eastAsia="Calibri" w:cs="Arian AMU"/>
                <w:sz w:val="20"/>
                <w:szCs w:val="20"/>
                <w:lang w:val="hy-AM"/>
              </w:rPr>
            </w:pPr>
            <w:r w:rsidRPr="0053423A">
              <w:rPr>
                <w:rFonts w:eastAsia="Times New Roman" w:cs="Times New Roman"/>
                <w:spacing w:val="-4"/>
                <w:sz w:val="20"/>
                <w:szCs w:val="20"/>
              </w:rPr>
              <w:t>Միջոցառումների</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անհրաժեշտությունը</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բխում</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է</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ՀՀ</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ԱԺ</w:t>
            </w:r>
            <w:r w:rsidRPr="0053423A">
              <w:rPr>
                <w:rFonts w:eastAsia="Times New Roman" w:cs="Times New Roman"/>
                <w:spacing w:val="-4"/>
                <w:sz w:val="20"/>
                <w:szCs w:val="20"/>
                <w:lang w:val="af-ZA"/>
              </w:rPr>
              <w:t xml:space="preserve"> 2019 </w:t>
            </w:r>
            <w:r w:rsidRPr="0053423A">
              <w:rPr>
                <w:rFonts w:eastAsia="Times New Roman" w:cs="Times New Roman"/>
                <w:spacing w:val="-4"/>
                <w:sz w:val="20"/>
                <w:szCs w:val="20"/>
              </w:rPr>
              <w:t>թվականի</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փետրվարի</w:t>
            </w:r>
            <w:r w:rsidRPr="0053423A">
              <w:rPr>
                <w:rFonts w:eastAsia="Times New Roman" w:cs="Times New Roman"/>
                <w:spacing w:val="-4"/>
                <w:sz w:val="20"/>
                <w:szCs w:val="20"/>
                <w:lang w:val="af-ZA"/>
              </w:rPr>
              <w:t xml:space="preserve"> 14-</w:t>
            </w:r>
            <w:r w:rsidRPr="0053423A">
              <w:rPr>
                <w:rFonts w:eastAsia="Times New Roman" w:cs="Times New Roman"/>
                <w:spacing w:val="-4"/>
                <w:sz w:val="20"/>
                <w:szCs w:val="20"/>
              </w:rPr>
              <w:t>ի</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ԱԺՈ</w:t>
            </w:r>
            <w:r w:rsidRPr="0053423A">
              <w:rPr>
                <w:rFonts w:eastAsia="Times New Roman" w:cs="Times New Roman"/>
                <w:spacing w:val="-4"/>
                <w:sz w:val="20"/>
                <w:szCs w:val="20"/>
                <w:lang w:val="af-ZA"/>
              </w:rPr>
              <w:t>-002-</w:t>
            </w:r>
            <w:r w:rsidRPr="0053423A">
              <w:rPr>
                <w:rFonts w:eastAsia="Times New Roman" w:cs="Times New Roman"/>
                <w:spacing w:val="-4"/>
                <w:sz w:val="20"/>
                <w:szCs w:val="20"/>
              </w:rPr>
              <w:t>Ն</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որոշմամբ</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հավանության</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արժանացած</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ՀՀ</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կառավարության</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ծրագրի</w:t>
            </w:r>
            <w:r w:rsidRPr="0053423A">
              <w:rPr>
                <w:rFonts w:eastAsia="Times New Roman" w:cs="Times New Roman"/>
                <w:spacing w:val="-4"/>
                <w:sz w:val="20"/>
                <w:szCs w:val="20"/>
                <w:lang w:val="af-ZA"/>
              </w:rPr>
              <w:t xml:space="preserve"> </w:t>
            </w:r>
            <w:r w:rsidRPr="0053423A">
              <w:rPr>
                <w:rFonts w:eastAsia="Times New Roman" w:cs="Times New Roman"/>
                <w:sz w:val="20"/>
                <w:szCs w:val="20"/>
                <w:lang w:val="af-ZA"/>
              </w:rPr>
              <w:t>«</w:t>
            </w:r>
            <w:r w:rsidRPr="0053423A">
              <w:rPr>
                <w:rFonts w:eastAsia="Times New Roman" w:cs="Times New Roman"/>
                <w:spacing w:val="-4"/>
                <w:sz w:val="20"/>
                <w:szCs w:val="20"/>
                <w:lang w:val="af-ZA"/>
              </w:rPr>
              <w:t xml:space="preserve">4.4 </w:t>
            </w:r>
            <w:r w:rsidRPr="0053423A">
              <w:rPr>
                <w:rFonts w:eastAsia="Times New Roman" w:cs="Times New Roman"/>
                <w:spacing w:val="-4"/>
                <w:sz w:val="20"/>
                <w:szCs w:val="20"/>
              </w:rPr>
              <w:t>ԿՐԹՈՒԹՅՈՒՆ</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ԵՎ</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ԳԻՏՈՒԹՅՈՒՆ</w:t>
            </w:r>
            <w:r w:rsidRPr="0053423A">
              <w:rPr>
                <w:rFonts w:eastAsia="Times New Roman" w:cs="Times New Roman"/>
                <w:sz w:val="20"/>
                <w:szCs w:val="20"/>
                <w:lang w:val="af-ZA"/>
              </w:rPr>
              <w:t xml:space="preserve">»  </w:t>
            </w:r>
            <w:r w:rsidRPr="0053423A">
              <w:rPr>
                <w:rFonts w:eastAsia="Calibri" w:cs="Sylfaen"/>
                <w:sz w:val="20"/>
                <w:szCs w:val="20"/>
                <w:lang w:val="hy-AM"/>
              </w:rPr>
              <w:t>բաժնի</w:t>
            </w:r>
            <w:r w:rsidRPr="0053423A">
              <w:rPr>
                <w:rFonts w:eastAsia="Calibri" w:cs="Sylfaen"/>
                <w:sz w:val="20"/>
                <w:szCs w:val="20"/>
                <w:lang w:val="af-ZA"/>
              </w:rPr>
              <w:t xml:space="preserve"> </w:t>
            </w:r>
            <w:r w:rsidRPr="0053423A">
              <w:rPr>
                <w:rFonts w:eastAsia="Calibri" w:cs="Sylfaen"/>
                <w:sz w:val="20"/>
                <w:szCs w:val="20"/>
                <w:lang w:val="hy-AM"/>
              </w:rPr>
              <w:t>4-րդ պարբերության պահանջներից</w:t>
            </w:r>
            <w:r w:rsidRPr="0053423A">
              <w:rPr>
                <w:rFonts w:eastAsia="Calibri" w:cs="Arian AMU"/>
                <w:sz w:val="20"/>
                <w:szCs w:val="20"/>
                <w:lang w:val="hy-AM"/>
              </w:rPr>
              <w:t xml:space="preserve">: </w:t>
            </w:r>
          </w:p>
          <w:p w:rsidR="00154773" w:rsidRPr="0053423A" w:rsidRDefault="00154773" w:rsidP="00154773">
            <w:pPr>
              <w:ind w:firstLine="284"/>
              <w:jc w:val="both"/>
              <w:rPr>
                <w:color w:val="000000" w:themeColor="text1"/>
                <w:sz w:val="20"/>
                <w:szCs w:val="20"/>
                <w:lang w:val="hy-AM"/>
              </w:rPr>
            </w:pPr>
            <w:r w:rsidRPr="0053423A">
              <w:rPr>
                <w:color w:val="000000" w:themeColor="text1"/>
                <w:sz w:val="20"/>
                <w:szCs w:val="20"/>
                <w:lang w:val="hy-AM"/>
              </w:rPr>
              <w:t>Նախադպրոցական</w:t>
            </w:r>
            <w:r w:rsidRPr="0053423A">
              <w:rPr>
                <w:color w:val="000000" w:themeColor="text1"/>
                <w:sz w:val="20"/>
                <w:szCs w:val="20"/>
                <w:lang w:val="af-ZA"/>
              </w:rPr>
              <w:t xml:space="preserve"> </w:t>
            </w:r>
            <w:r w:rsidRPr="0053423A">
              <w:rPr>
                <w:color w:val="000000" w:themeColor="text1"/>
                <w:sz w:val="20"/>
                <w:szCs w:val="20"/>
                <w:lang w:val="hy-AM"/>
              </w:rPr>
              <w:t>կրթության</w:t>
            </w:r>
            <w:r w:rsidRPr="0053423A">
              <w:rPr>
                <w:color w:val="000000" w:themeColor="text1"/>
                <w:sz w:val="20"/>
                <w:szCs w:val="20"/>
                <w:lang w:val="af-ZA"/>
              </w:rPr>
              <w:t xml:space="preserve"> </w:t>
            </w:r>
            <w:r w:rsidRPr="0053423A">
              <w:rPr>
                <w:color w:val="000000" w:themeColor="text1"/>
                <w:sz w:val="20"/>
                <w:szCs w:val="20"/>
                <w:lang w:val="hy-AM"/>
              </w:rPr>
              <w:t>կազմակերպման</w:t>
            </w:r>
            <w:r w:rsidRPr="0053423A">
              <w:rPr>
                <w:color w:val="000000" w:themeColor="text1"/>
                <w:sz w:val="20"/>
                <w:szCs w:val="20"/>
                <w:lang w:val="af-ZA"/>
              </w:rPr>
              <w:t xml:space="preserve"> </w:t>
            </w:r>
            <w:r w:rsidRPr="0053423A">
              <w:rPr>
                <w:color w:val="000000" w:themeColor="text1"/>
                <w:sz w:val="20"/>
                <w:szCs w:val="20"/>
                <w:lang w:val="hy-AM"/>
              </w:rPr>
              <w:t>հիմնահարցերի</w:t>
            </w:r>
            <w:r w:rsidRPr="0053423A">
              <w:rPr>
                <w:color w:val="000000" w:themeColor="text1"/>
                <w:sz w:val="20"/>
                <w:szCs w:val="20"/>
                <w:lang w:val="af-ZA"/>
              </w:rPr>
              <w:t xml:space="preserve"> </w:t>
            </w:r>
            <w:r w:rsidRPr="0053423A">
              <w:rPr>
                <w:color w:val="000000" w:themeColor="text1"/>
                <w:sz w:val="20"/>
                <w:szCs w:val="20"/>
                <w:lang w:val="hy-AM"/>
              </w:rPr>
              <w:t>լուծման</w:t>
            </w:r>
            <w:r w:rsidRPr="0053423A">
              <w:rPr>
                <w:color w:val="000000" w:themeColor="text1"/>
                <w:sz w:val="20"/>
                <w:szCs w:val="20"/>
                <w:lang w:val="af-ZA"/>
              </w:rPr>
              <w:t xml:space="preserve">, </w:t>
            </w:r>
            <w:r w:rsidRPr="0053423A">
              <w:rPr>
                <w:color w:val="000000" w:themeColor="text1"/>
                <w:sz w:val="20"/>
                <w:szCs w:val="20"/>
                <w:lang w:val="hy-AM"/>
              </w:rPr>
              <w:t>նախադպրոցական</w:t>
            </w:r>
            <w:r w:rsidRPr="0053423A">
              <w:rPr>
                <w:color w:val="000000" w:themeColor="text1"/>
                <w:sz w:val="20"/>
                <w:szCs w:val="20"/>
                <w:lang w:val="af-ZA"/>
              </w:rPr>
              <w:t xml:space="preserve"> </w:t>
            </w:r>
            <w:r w:rsidRPr="0053423A">
              <w:rPr>
                <w:color w:val="000000" w:themeColor="text1"/>
                <w:sz w:val="20"/>
                <w:szCs w:val="20"/>
                <w:lang w:val="hy-AM"/>
              </w:rPr>
              <w:t>ոլորտի</w:t>
            </w:r>
            <w:r w:rsidRPr="0053423A">
              <w:rPr>
                <w:color w:val="000000" w:themeColor="text1"/>
                <w:sz w:val="20"/>
                <w:szCs w:val="20"/>
                <w:lang w:val="af-ZA"/>
              </w:rPr>
              <w:t xml:space="preserve"> </w:t>
            </w:r>
            <w:r w:rsidRPr="0053423A">
              <w:rPr>
                <w:color w:val="000000" w:themeColor="text1"/>
                <w:sz w:val="20"/>
                <w:szCs w:val="20"/>
                <w:lang w:val="hy-AM"/>
              </w:rPr>
              <w:t>վերաբերյալ</w:t>
            </w:r>
            <w:r w:rsidRPr="0053423A">
              <w:rPr>
                <w:color w:val="000000" w:themeColor="text1"/>
                <w:sz w:val="20"/>
                <w:szCs w:val="20"/>
                <w:lang w:val="af-ZA"/>
              </w:rPr>
              <w:t xml:space="preserve"> </w:t>
            </w:r>
            <w:r w:rsidRPr="0053423A">
              <w:rPr>
                <w:color w:val="000000" w:themeColor="text1"/>
                <w:sz w:val="20"/>
                <w:szCs w:val="20"/>
                <w:lang w:val="hy-AM"/>
              </w:rPr>
              <w:t>մասնագիտական</w:t>
            </w:r>
            <w:r w:rsidRPr="0053423A">
              <w:rPr>
                <w:color w:val="000000" w:themeColor="text1"/>
                <w:sz w:val="20"/>
                <w:szCs w:val="20"/>
                <w:lang w:val="af-ZA"/>
              </w:rPr>
              <w:t xml:space="preserve"> </w:t>
            </w:r>
            <w:r w:rsidRPr="0053423A">
              <w:rPr>
                <w:color w:val="000000" w:themeColor="text1"/>
                <w:sz w:val="20"/>
                <w:szCs w:val="20"/>
                <w:lang w:val="hy-AM"/>
              </w:rPr>
              <w:t>քննարկումների</w:t>
            </w:r>
            <w:r w:rsidRPr="0053423A">
              <w:rPr>
                <w:color w:val="000000" w:themeColor="text1"/>
                <w:sz w:val="20"/>
                <w:szCs w:val="20"/>
                <w:lang w:val="af-ZA"/>
              </w:rPr>
              <w:t xml:space="preserve"> </w:t>
            </w:r>
            <w:r w:rsidRPr="0053423A">
              <w:rPr>
                <w:color w:val="000000" w:themeColor="text1"/>
                <w:sz w:val="20"/>
                <w:szCs w:val="20"/>
                <w:lang w:val="hy-AM"/>
              </w:rPr>
              <w:t>արդյունքում</w:t>
            </w:r>
            <w:r w:rsidRPr="0053423A">
              <w:rPr>
                <w:color w:val="000000" w:themeColor="text1"/>
                <w:sz w:val="20"/>
                <w:szCs w:val="20"/>
                <w:lang w:val="af-ZA"/>
              </w:rPr>
              <w:t xml:space="preserve"> </w:t>
            </w:r>
            <w:r w:rsidRPr="0053423A">
              <w:rPr>
                <w:color w:val="000000" w:themeColor="text1"/>
                <w:sz w:val="20"/>
                <w:szCs w:val="20"/>
                <w:lang w:val="hy-AM"/>
              </w:rPr>
              <w:t>առաջարկված</w:t>
            </w:r>
            <w:r w:rsidRPr="0053423A">
              <w:rPr>
                <w:color w:val="000000" w:themeColor="text1"/>
                <w:sz w:val="20"/>
                <w:szCs w:val="20"/>
                <w:lang w:val="af-ZA"/>
              </w:rPr>
              <w:t xml:space="preserve"> </w:t>
            </w:r>
            <w:r w:rsidRPr="0053423A">
              <w:rPr>
                <w:color w:val="000000" w:themeColor="text1"/>
                <w:sz w:val="20"/>
                <w:szCs w:val="20"/>
                <w:lang w:val="hy-AM"/>
              </w:rPr>
              <w:t>փոփոխությունների</w:t>
            </w:r>
            <w:r w:rsidRPr="0053423A">
              <w:rPr>
                <w:color w:val="000000" w:themeColor="text1"/>
                <w:sz w:val="20"/>
                <w:szCs w:val="20"/>
                <w:lang w:val="af-ZA"/>
              </w:rPr>
              <w:t xml:space="preserve"> </w:t>
            </w:r>
            <w:r w:rsidRPr="0053423A">
              <w:rPr>
                <w:color w:val="000000" w:themeColor="text1"/>
                <w:sz w:val="20"/>
                <w:szCs w:val="20"/>
                <w:lang w:val="hy-AM"/>
              </w:rPr>
              <w:t>իրականացման</w:t>
            </w:r>
            <w:r w:rsidRPr="0053423A">
              <w:rPr>
                <w:color w:val="000000" w:themeColor="text1"/>
                <w:sz w:val="20"/>
                <w:szCs w:val="20"/>
                <w:lang w:val="af-ZA"/>
              </w:rPr>
              <w:t xml:space="preserve">, </w:t>
            </w:r>
            <w:r w:rsidRPr="0053423A">
              <w:rPr>
                <w:color w:val="000000" w:themeColor="text1"/>
                <w:sz w:val="20"/>
                <w:szCs w:val="20"/>
                <w:lang w:val="hy-AM"/>
              </w:rPr>
              <w:t>նախադպրոցական</w:t>
            </w:r>
            <w:r w:rsidRPr="0053423A">
              <w:rPr>
                <w:color w:val="000000" w:themeColor="text1"/>
                <w:sz w:val="20"/>
                <w:szCs w:val="20"/>
                <w:lang w:val="af-ZA"/>
              </w:rPr>
              <w:t xml:space="preserve"> </w:t>
            </w:r>
            <w:r w:rsidRPr="0053423A">
              <w:rPr>
                <w:color w:val="000000" w:themeColor="text1"/>
                <w:sz w:val="20"/>
                <w:szCs w:val="20"/>
                <w:lang w:val="hy-AM"/>
              </w:rPr>
              <w:t>կրթության</w:t>
            </w:r>
            <w:r w:rsidRPr="0053423A">
              <w:rPr>
                <w:color w:val="000000" w:themeColor="text1"/>
                <w:sz w:val="20"/>
                <w:szCs w:val="20"/>
                <w:lang w:val="af-ZA"/>
              </w:rPr>
              <w:t xml:space="preserve"> </w:t>
            </w:r>
            <w:r w:rsidRPr="0053423A">
              <w:rPr>
                <w:color w:val="000000" w:themeColor="text1"/>
                <w:sz w:val="20"/>
                <w:szCs w:val="20"/>
                <w:lang w:val="hy-AM"/>
              </w:rPr>
              <w:t>առավել</w:t>
            </w:r>
            <w:r w:rsidRPr="0053423A">
              <w:rPr>
                <w:color w:val="000000" w:themeColor="text1"/>
                <w:sz w:val="20"/>
                <w:szCs w:val="20"/>
                <w:lang w:val="af-ZA"/>
              </w:rPr>
              <w:t xml:space="preserve"> </w:t>
            </w:r>
            <w:r w:rsidRPr="0053423A">
              <w:rPr>
                <w:color w:val="000000" w:themeColor="text1"/>
                <w:sz w:val="20"/>
                <w:szCs w:val="20"/>
                <w:lang w:val="hy-AM"/>
              </w:rPr>
              <w:t>մատչելիության</w:t>
            </w:r>
            <w:r w:rsidRPr="0053423A">
              <w:rPr>
                <w:color w:val="000000" w:themeColor="text1"/>
                <w:sz w:val="20"/>
                <w:szCs w:val="20"/>
                <w:lang w:val="af-ZA"/>
              </w:rPr>
              <w:t xml:space="preserve"> </w:t>
            </w:r>
            <w:r w:rsidRPr="0053423A">
              <w:rPr>
                <w:color w:val="000000" w:themeColor="text1"/>
                <w:sz w:val="20"/>
                <w:szCs w:val="20"/>
                <w:lang w:val="hy-AM"/>
              </w:rPr>
              <w:t>ապահովման</w:t>
            </w:r>
            <w:r w:rsidRPr="0053423A">
              <w:rPr>
                <w:color w:val="000000" w:themeColor="text1"/>
                <w:sz w:val="20"/>
                <w:szCs w:val="20"/>
                <w:lang w:val="af-ZA"/>
              </w:rPr>
              <w:t xml:space="preserve"> </w:t>
            </w:r>
            <w:r w:rsidRPr="0053423A">
              <w:rPr>
                <w:color w:val="000000" w:themeColor="text1"/>
                <w:sz w:val="20"/>
                <w:szCs w:val="20"/>
                <w:lang w:val="hy-AM"/>
              </w:rPr>
              <w:t>նպատակով</w:t>
            </w:r>
            <w:r w:rsidRPr="0053423A">
              <w:rPr>
                <w:color w:val="000000" w:themeColor="text1"/>
                <w:sz w:val="20"/>
                <w:szCs w:val="20"/>
                <w:lang w:val="af-ZA"/>
              </w:rPr>
              <w:t xml:space="preserve"> </w:t>
            </w:r>
            <w:r w:rsidRPr="0053423A">
              <w:rPr>
                <w:color w:val="000000" w:themeColor="text1"/>
                <w:sz w:val="20"/>
                <w:szCs w:val="20"/>
                <w:lang w:val="hy-AM"/>
              </w:rPr>
              <w:t>անհրաժեշտ</w:t>
            </w:r>
            <w:r w:rsidRPr="0053423A">
              <w:rPr>
                <w:color w:val="000000" w:themeColor="text1"/>
                <w:sz w:val="20"/>
                <w:szCs w:val="20"/>
                <w:lang w:val="af-ZA"/>
              </w:rPr>
              <w:t xml:space="preserve"> </w:t>
            </w:r>
            <w:r w:rsidRPr="0053423A">
              <w:rPr>
                <w:color w:val="000000" w:themeColor="text1"/>
                <w:sz w:val="20"/>
                <w:szCs w:val="20"/>
                <w:lang w:val="hy-AM"/>
              </w:rPr>
              <w:t>է</w:t>
            </w:r>
            <w:r w:rsidRPr="0053423A">
              <w:rPr>
                <w:color w:val="000000" w:themeColor="text1"/>
                <w:sz w:val="20"/>
                <w:szCs w:val="20"/>
                <w:lang w:val="af-ZA"/>
              </w:rPr>
              <w:t xml:space="preserve"> &lt;&lt;</w:t>
            </w:r>
            <w:r w:rsidRPr="0053423A">
              <w:rPr>
                <w:color w:val="000000" w:themeColor="text1"/>
                <w:sz w:val="20"/>
                <w:szCs w:val="20"/>
                <w:lang w:val="hy-AM"/>
              </w:rPr>
              <w:t>Նախադպրոցական</w:t>
            </w:r>
            <w:r w:rsidRPr="0053423A">
              <w:rPr>
                <w:color w:val="000000" w:themeColor="text1"/>
                <w:sz w:val="20"/>
                <w:szCs w:val="20"/>
                <w:lang w:val="af-ZA"/>
              </w:rPr>
              <w:t xml:space="preserve"> </w:t>
            </w:r>
            <w:r w:rsidRPr="0053423A">
              <w:rPr>
                <w:color w:val="000000" w:themeColor="text1"/>
                <w:sz w:val="20"/>
                <w:szCs w:val="20"/>
                <w:lang w:val="hy-AM"/>
              </w:rPr>
              <w:t>կրթության</w:t>
            </w:r>
            <w:r w:rsidRPr="0053423A">
              <w:rPr>
                <w:color w:val="000000" w:themeColor="text1"/>
                <w:sz w:val="20"/>
                <w:szCs w:val="20"/>
                <w:lang w:val="af-ZA"/>
              </w:rPr>
              <w:t xml:space="preserve"> </w:t>
            </w:r>
            <w:r w:rsidRPr="0053423A">
              <w:rPr>
                <w:color w:val="000000" w:themeColor="text1"/>
                <w:sz w:val="20"/>
                <w:szCs w:val="20"/>
                <w:lang w:val="hy-AM"/>
              </w:rPr>
              <w:t>մասին</w:t>
            </w:r>
            <w:r w:rsidRPr="0053423A">
              <w:rPr>
                <w:color w:val="000000" w:themeColor="text1"/>
                <w:sz w:val="20"/>
                <w:szCs w:val="20"/>
                <w:lang w:val="af-ZA"/>
              </w:rPr>
              <w:t xml:space="preserve">&gt;&gt; </w:t>
            </w:r>
            <w:r w:rsidRPr="0053423A">
              <w:rPr>
                <w:color w:val="000000" w:themeColor="text1"/>
                <w:sz w:val="20"/>
                <w:szCs w:val="20"/>
                <w:lang w:val="hy-AM"/>
              </w:rPr>
              <w:t>ՀՀ</w:t>
            </w:r>
            <w:r w:rsidRPr="0053423A">
              <w:rPr>
                <w:color w:val="000000" w:themeColor="text1"/>
                <w:sz w:val="20"/>
                <w:szCs w:val="20"/>
                <w:lang w:val="af-ZA"/>
              </w:rPr>
              <w:t xml:space="preserve"> </w:t>
            </w:r>
            <w:r w:rsidRPr="0053423A">
              <w:rPr>
                <w:color w:val="000000" w:themeColor="text1"/>
                <w:sz w:val="20"/>
                <w:szCs w:val="20"/>
                <w:lang w:val="hy-AM"/>
              </w:rPr>
              <w:t>օրենքում</w:t>
            </w:r>
            <w:r w:rsidRPr="0053423A">
              <w:rPr>
                <w:color w:val="000000" w:themeColor="text1"/>
                <w:sz w:val="20"/>
                <w:szCs w:val="20"/>
                <w:lang w:val="af-ZA"/>
              </w:rPr>
              <w:t xml:space="preserve"> </w:t>
            </w:r>
            <w:r w:rsidRPr="0053423A">
              <w:rPr>
                <w:color w:val="000000" w:themeColor="text1"/>
                <w:sz w:val="20"/>
                <w:szCs w:val="20"/>
                <w:lang w:val="hy-AM"/>
              </w:rPr>
              <w:t>իրականացնել</w:t>
            </w:r>
            <w:r w:rsidRPr="0053423A">
              <w:rPr>
                <w:color w:val="000000" w:themeColor="text1"/>
                <w:sz w:val="20"/>
                <w:szCs w:val="20"/>
                <w:lang w:val="af-ZA"/>
              </w:rPr>
              <w:t xml:space="preserve"> </w:t>
            </w:r>
            <w:r w:rsidRPr="0053423A">
              <w:rPr>
                <w:color w:val="000000" w:themeColor="text1"/>
                <w:sz w:val="20"/>
                <w:szCs w:val="20"/>
                <w:lang w:val="hy-AM"/>
              </w:rPr>
              <w:t>փոփոխություններ</w:t>
            </w:r>
            <w:r w:rsidRPr="0053423A">
              <w:rPr>
                <w:color w:val="000000" w:themeColor="text1"/>
                <w:sz w:val="20"/>
                <w:szCs w:val="20"/>
                <w:lang w:val="af-ZA"/>
              </w:rPr>
              <w:t xml:space="preserve"> </w:t>
            </w:r>
            <w:r w:rsidRPr="0053423A">
              <w:rPr>
                <w:color w:val="000000" w:themeColor="text1"/>
                <w:sz w:val="20"/>
                <w:szCs w:val="20"/>
                <w:lang w:val="hy-AM"/>
              </w:rPr>
              <w:t>և</w:t>
            </w:r>
            <w:r w:rsidRPr="0053423A">
              <w:rPr>
                <w:color w:val="000000" w:themeColor="text1"/>
                <w:sz w:val="20"/>
                <w:szCs w:val="20"/>
                <w:lang w:val="af-ZA"/>
              </w:rPr>
              <w:t xml:space="preserve"> </w:t>
            </w:r>
            <w:r w:rsidRPr="0053423A">
              <w:rPr>
                <w:color w:val="000000" w:themeColor="text1"/>
                <w:sz w:val="20"/>
                <w:szCs w:val="20"/>
                <w:lang w:val="hy-AM"/>
              </w:rPr>
              <w:t>լրացումներ:</w:t>
            </w:r>
          </w:p>
          <w:p w:rsidR="00154773" w:rsidRPr="0053423A" w:rsidRDefault="00154773" w:rsidP="00154773">
            <w:pPr>
              <w:ind w:firstLine="284"/>
              <w:jc w:val="both"/>
              <w:rPr>
                <w:color w:val="000000" w:themeColor="text1"/>
                <w:sz w:val="20"/>
                <w:szCs w:val="20"/>
                <w:lang w:val="hy-AM"/>
              </w:rPr>
            </w:pPr>
          </w:p>
          <w:p w:rsidR="00154773" w:rsidRPr="0053423A" w:rsidRDefault="00154773" w:rsidP="00154773">
            <w:pPr>
              <w:ind w:firstLine="284"/>
              <w:jc w:val="both"/>
              <w:rPr>
                <w:b/>
                <w:sz w:val="20"/>
                <w:szCs w:val="20"/>
                <w:lang w:val="af-ZA"/>
              </w:rPr>
            </w:pPr>
          </w:p>
          <w:p w:rsidR="00154773" w:rsidRPr="0053423A" w:rsidRDefault="00154773" w:rsidP="00154773">
            <w:pPr>
              <w:ind w:left="720"/>
              <w:contextualSpacing/>
              <w:jc w:val="both"/>
              <w:rPr>
                <w:rFonts w:eastAsia="Times New Roman" w:cs="Times New Roman"/>
                <w:b/>
                <w:sz w:val="20"/>
                <w:szCs w:val="20"/>
                <w:lang w:val="af-ZA"/>
              </w:rPr>
            </w:pPr>
            <w:r w:rsidRPr="0053423A">
              <w:rPr>
                <w:rFonts w:eastAsia="Times New Roman" w:cs="Times New Roman"/>
                <w:b/>
                <w:sz w:val="20"/>
                <w:szCs w:val="20"/>
                <w:lang w:val="af-ZA"/>
              </w:rPr>
              <w:t>1</w:t>
            </w:r>
            <w:r w:rsidRPr="0053423A">
              <w:rPr>
                <w:rFonts w:eastAsia="Times New Roman" w:cs="Times New Roman"/>
                <w:b/>
                <w:sz w:val="20"/>
                <w:szCs w:val="20"/>
                <w:lang w:val="hy-AM"/>
              </w:rPr>
              <w:t>.1.</w:t>
            </w:r>
            <w:r w:rsidRPr="0053423A">
              <w:rPr>
                <w:rFonts w:eastAsia="Times New Roman" w:cs="Times New Roman"/>
                <w:b/>
                <w:sz w:val="20"/>
                <w:szCs w:val="20"/>
                <w:lang w:val="af-ZA"/>
              </w:rPr>
              <w:t xml:space="preserve"> </w:t>
            </w:r>
            <w:r w:rsidRPr="0053423A">
              <w:rPr>
                <w:rFonts w:eastAsia="Times New Roman" w:cs="Times New Roman"/>
                <w:b/>
                <w:sz w:val="20"/>
                <w:szCs w:val="20"/>
              </w:rPr>
              <w:t>կ</w:t>
            </w:r>
            <w:r w:rsidRPr="0053423A">
              <w:rPr>
                <w:rFonts w:eastAsia="Times New Roman" w:cs="Times New Roman"/>
                <w:b/>
                <w:sz w:val="20"/>
                <w:szCs w:val="20"/>
                <w:lang w:val="hy-AM"/>
              </w:rPr>
              <w:t>արգավորման հարաբերությունների ներկա վիճակը և առկա խնդիրները</w:t>
            </w:r>
            <w:r w:rsidRPr="0053423A">
              <w:rPr>
                <w:rFonts w:eastAsia="Times New Roman" w:cs="Times New Roman"/>
                <w:b/>
                <w:sz w:val="20"/>
                <w:szCs w:val="20"/>
                <w:lang w:val="af-ZA"/>
              </w:rPr>
              <w:t>.</w:t>
            </w:r>
          </w:p>
          <w:p w:rsidR="00154773" w:rsidRPr="0053423A" w:rsidRDefault="00154773" w:rsidP="00154773">
            <w:pPr>
              <w:ind w:left="720"/>
              <w:contextualSpacing/>
              <w:jc w:val="both"/>
              <w:rPr>
                <w:rFonts w:cs="Sylfaen"/>
                <w:b/>
                <w:sz w:val="20"/>
                <w:szCs w:val="20"/>
                <w:lang w:val="af-ZA"/>
              </w:rPr>
            </w:pPr>
          </w:p>
          <w:p w:rsidR="00154773" w:rsidRPr="0053423A" w:rsidRDefault="00154773" w:rsidP="00154773">
            <w:pPr>
              <w:ind w:left="360" w:hanging="360"/>
              <w:jc w:val="both"/>
              <w:rPr>
                <w:rFonts w:cs="Arian AMU"/>
                <w:sz w:val="20"/>
                <w:szCs w:val="20"/>
                <w:shd w:val="clear" w:color="auto" w:fill="FFFFFF"/>
                <w:lang w:val="af-ZA"/>
              </w:rPr>
            </w:pPr>
            <w:r w:rsidRPr="0053423A">
              <w:rPr>
                <w:sz w:val="20"/>
                <w:szCs w:val="20"/>
                <w:lang w:val="af-ZA"/>
              </w:rPr>
              <w:t xml:space="preserve">     </w:t>
            </w:r>
            <w:r w:rsidRPr="0053423A">
              <w:rPr>
                <w:bCs/>
                <w:sz w:val="20"/>
                <w:szCs w:val="20"/>
                <w:bdr w:val="none" w:sz="0" w:space="0" w:color="auto" w:frame="1"/>
                <w:shd w:val="clear" w:color="auto" w:fill="FFFFFF"/>
              </w:rPr>
              <w:t>Նոր</w:t>
            </w:r>
            <w:r w:rsidRPr="0053423A">
              <w:rPr>
                <w:bCs/>
                <w:sz w:val="20"/>
                <w:szCs w:val="20"/>
                <w:bdr w:val="none" w:sz="0" w:space="0" w:color="auto" w:frame="1"/>
                <w:shd w:val="clear" w:color="auto" w:fill="FFFFFF"/>
                <w:lang w:val="af-ZA"/>
              </w:rPr>
              <w:t xml:space="preserve"> </w:t>
            </w:r>
            <w:r w:rsidRPr="0053423A">
              <w:rPr>
                <w:bCs/>
                <w:sz w:val="20"/>
                <w:szCs w:val="20"/>
                <w:bdr w:val="none" w:sz="0" w:space="0" w:color="auto" w:frame="1"/>
                <w:shd w:val="clear" w:color="auto" w:fill="FFFFFF"/>
              </w:rPr>
              <w:t>խմբագրությամբ</w:t>
            </w:r>
            <w:r w:rsidRPr="0053423A">
              <w:rPr>
                <w:rFonts w:ascii="Calibri" w:hAnsi="Calibri" w:cs="Calibri"/>
                <w:bCs/>
                <w:sz w:val="20"/>
                <w:szCs w:val="20"/>
                <w:bdr w:val="none" w:sz="0" w:space="0" w:color="auto" w:frame="1"/>
                <w:shd w:val="clear" w:color="auto" w:fill="FFFFFF"/>
                <w:lang w:val="af-ZA"/>
              </w:rPr>
              <w:t> </w:t>
            </w:r>
            <w:r w:rsidRPr="0053423A">
              <w:rPr>
                <w:bCs/>
                <w:sz w:val="20"/>
                <w:szCs w:val="20"/>
                <w:bdr w:val="none" w:sz="0" w:space="0" w:color="auto" w:frame="1"/>
                <w:shd w:val="clear" w:color="auto" w:fill="FFFFFF"/>
                <w:lang w:val="af-ZA"/>
              </w:rPr>
              <w:t>«</w:t>
            </w:r>
            <w:r w:rsidRPr="0053423A">
              <w:rPr>
                <w:bCs/>
                <w:sz w:val="20"/>
                <w:szCs w:val="20"/>
                <w:bdr w:val="none" w:sz="0" w:space="0" w:color="auto" w:frame="1"/>
                <w:shd w:val="clear" w:color="auto" w:fill="FFFFFF"/>
              </w:rPr>
              <w:t>Նախադպրոցական</w:t>
            </w:r>
            <w:r w:rsidRPr="0053423A">
              <w:rPr>
                <w:bCs/>
                <w:sz w:val="20"/>
                <w:szCs w:val="20"/>
                <w:bdr w:val="none" w:sz="0" w:space="0" w:color="auto" w:frame="1"/>
                <w:shd w:val="clear" w:color="auto" w:fill="FFFFFF"/>
                <w:lang w:val="af-ZA"/>
              </w:rPr>
              <w:t xml:space="preserve"> </w:t>
            </w:r>
            <w:r w:rsidRPr="0053423A">
              <w:rPr>
                <w:bCs/>
                <w:sz w:val="20"/>
                <w:szCs w:val="20"/>
                <w:bdr w:val="none" w:sz="0" w:space="0" w:color="auto" w:frame="1"/>
                <w:shd w:val="clear" w:color="auto" w:fill="FFFFFF"/>
              </w:rPr>
              <w:t>կրթության</w:t>
            </w:r>
            <w:r w:rsidRPr="0053423A">
              <w:rPr>
                <w:bCs/>
                <w:sz w:val="20"/>
                <w:szCs w:val="20"/>
                <w:bdr w:val="none" w:sz="0" w:space="0" w:color="auto" w:frame="1"/>
                <w:shd w:val="clear" w:color="auto" w:fill="FFFFFF"/>
                <w:lang w:val="af-ZA"/>
              </w:rPr>
              <w:t xml:space="preserve"> </w:t>
            </w:r>
            <w:r w:rsidRPr="0053423A">
              <w:rPr>
                <w:bCs/>
                <w:sz w:val="20"/>
                <w:szCs w:val="20"/>
                <w:bdr w:val="none" w:sz="0" w:space="0" w:color="auto" w:frame="1"/>
                <w:shd w:val="clear" w:color="auto" w:fill="FFFFFF"/>
              </w:rPr>
              <w:t>մասին</w:t>
            </w:r>
            <w:r w:rsidRPr="0053423A">
              <w:rPr>
                <w:bCs/>
                <w:sz w:val="20"/>
                <w:szCs w:val="20"/>
                <w:bdr w:val="none" w:sz="0" w:space="0" w:color="auto" w:frame="1"/>
                <w:shd w:val="clear" w:color="auto" w:fill="FFFFFF"/>
                <w:lang w:val="af-ZA"/>
              </w:rPr>
              <w:t xml:space="preserve">» </w:t>
            </w:r>
            <w:r w:rsidRPr="0053423A">
              <w:rPr>
                <w:bCs/>
                <w:sz w:val="20"/>
                <w:szCs w:val="20"/>
                <w:bdr w:val="none" w:sz="0" w:space="0" w:color="auto" w:frame="1"/>
                <w:shd w:val="clear" w:color="auto" w:fill="FFFFFF"/>
              </w:rPr>
              <w:t>ՀՀ</w:t>
            </w:r>
            <w:r w:rsidRPr="0053423A">
              <w:rPr>
                <w:rFonts w:ascii="Calibri" w:hAnsi="Calibri" w:cs="Calibri"/>
                <w:bCs/>
                <w:sz w:val="20"/>
                <w:szCs w:val="20"/>
                <w:bdr w:val="none" w:sz="0" w:space="0" w:color="auto" w:frame="1"/>
                <w:shd w:val="clear" w:color="auto" w:fill="FFFFFF"/>
                <w:lang w:val="af-ZA"/>
              </w:rPr>
              <w:t>  </w:t>
            </w:r>
            <w:r w:rsidRPr="0053423A">
              <w:rPr>
                <w:bCs/>
                <w:sz w:val="20"/>
                <w:szCs w:val="20"/>
                <w:bdr w:val="none" w:sz="0" w:space="0" w:color="auto" w:frame="1"/>
                <w:shd w:val="clear" w:color="auto" w:fill="FFFFFF"/>
              </w:rPr>
              <w:t>օրենքի</w:t>
            </w:r>
            <w:r w:rsidRPr="0053423A">
              <w:rPr>
                <w:bCs/>
                <w:sz w:val="20"/>
                <w:szCs w:val="20"/>
                <w:bdr w:val="none" w:sz="0" w:space="0" w:color="auto" w:frame="1"/>
                <w:shd w:val="clear" w:color="auto" w:fill="FFFFFF"/>
                <w:lang w:val="af-ZA"/>
              </w:rPr>
              <w:t xml:space="preserve"> </w:t>
            </w:r>
            <w:r w:rsidRPr="0053423A">
              <w:rPr>
                <w:rFonts w:cs="Arian AMU"/>
                <w:sz w:val="20"/>
                <w:szCs w:val="20"/>
                <w:shd w:val="clear" w:color="auto" w:fill="FFFFFF"/>
              </w:rPr>
              <w:t>ընդունումը</w:t>
            </w:r>
            <w:r w:rsidRPr="0053423A">
              <w:rPr>
                <w:rFonts w:cs="Arian AMU"/>
                <w:sz w:val="20"/>
                <w:szCs w:val="20"/>
                <w:shd w:val="clear" w:color="auto" w:fill="FFFFFF"/>
                <w:lang w:val="af-ZA"/>
              </w:rPr>
              <w:t xml:space="preserve"> </w:t>
            </w:r>
            <w:r w:rsidRPr="0053423A">
              <w:rPr>
                <w:rFonts w:cs="Arian AMU"/>
                <w:sz w:val="20"/>
                <w:szCs w:val="20"/>
                <w:shd w:val="clear" w:color="auto" w:fill="FFFFFF"/>
              </w:rPr>
              <w:t>պայմանավորված</w:t>
            </w:r>
            <w:r w:rsidRPr="0053423A">
              <w:rPr>
                <w:rFonts w:cs="Arian AMU"/>
                <w:sz w:val="20"/>
                <w:szCs w:val="20"/>
                <w:shd w:val="clear" w:color="auto" w:fill="FFFFFF"/>
                <w:lang w:val="af-ZA"/>
              </w:rPr>
              <w:t xml:space="preserve"> </w:t>
            </w:r>
            <w:r w:rsidRPr="0053423A">
              <w:rPr>
                <w:rFonts w:cs="Arian AMU"/>
                <w:sz w:val="20"/>
                <w:szCs w:val="20"/>
                <w:shd w:val="clear" w:color="auto" w:fill="FFFFFF"/>
              </w:rPr>
              <w:t>է</w:t>
            </w:r>
            <w:r w:rsidRPr="0053423A">
              <w:rPr>
                <w:rFonts w:cs="Arian AMU"/>
                <w:sz w:val="20"/>
                <w:szCs w:val="20"/>
                <w:shd w:val="clear" w:color="auto" w:fill="FFFFFF"/>
                <w:lang w:val="af-ZA"/>
              </w:rPr>
              <w:t xml:space="preserve"> </w:t>
            </w:r>
            <w:r w:rsidRPr="0053423A">
              <w:rPr>
                <w:rFonts w:cs="Arian AMU"/>
                <w:sz w:val="20"/>
                <w:szCs w:val="20"/>
                <w:shd w:val="clear" w:color="auto" w:fill="FFFFFF"/>
              </w:rPr>
              <w:t>ոլորտի</w:t>
            </w:r>
            <w:r w:rsidRPr="0053423A">
              <w:rPr>
                <w:rFonts w:cs="Arian AMU"/>
                <w:sz w:val="20"/>
                <w:szCs w:val="20"/>
                <w:shd w:val="clear" w:color="auto" w:fill="FFFFFF"/>
                <w:lang w:val="af-ZA"/>
              </w:rPr>
              <w:t xml:space="preserve"> </w:t>
            </w:r>
            <w:r w:rsidRPr="0053423A">
              <w:rPr>
                <w:rFonts w:cs="Arian AMU"/>
                <w:sz w:val="20"/>
                <w:szCs w:val="20"/>
                <w:shd w:val="clear" w:color="auto" w:fill="FFFFFF"/>
              </w:rPr>
              <w:t>գործունեության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կանոնակարգմանն</w:t>
            </w:r>
            <w:r w:rsidRPr="0053423A">
              <w:rPr>
                <w:rFonts w:cs="Arian AMU"/>
                <w:sz w:val="20"/>
                <w:szCs w:val="20"/>
                <w:shd w:val="clear" w:color="auto" w:fill="FFFFFF"/>
                <w:lang w:val="af-ZA"/>
              </w:rPr>
              <w:t xml:space="preserve"> </w:t>
            </w:r>
            <w:r w:rsidRPr="0053423A">
              <w:rPr>
                <w:rFonts w:cs="Arian AMU"/>
                <w:sz w:val="20"/>
                <w:szCs w:val="20"/>
                <w:shd w:val="clear" w:color="auto" w:fill="FFFFFF"/>
              </w:rPr>
              <w:t>ու</w:t>
            </w:r>
            <w:r w:rsidRPr="0053423A">
              <w:rPr>
                <w:rFonts w:cs="Arian AMU"/>
                <w:sz w:val="20"/>
                <w:szCs w:val="20"/>
                <w:shd w:val="clear" w:color="auto" w:fill="FFFFFF"/>
                <w:lang w:val="af-ZA"/>
              </w:rPr>
              <w:t xml:space="preserve"> </w:t>
            </w:r>
            <w:r w:rsidRPr="0053423A">
              <w:rPr>
                <w:rFonts w:cs="Arian AMU"/>
                <w:sz w:val="20"/>
                <w:szCs w:val="20"/>
                <w:shd w:val="clear" w:color="auto" w:fill="FFFFFF"/>
              </w:rPr>
              <w:t>զարգացմանն</w:t>
            </w:r>
            <w:r w:rsidRPr="0053423A">
              <w:rPr>
                <w:rFonts w:cs="Arian AMU"/>
                <w:sz w:val="20"/>
                <w:szCs w:val="20"/>
                <w:shd w:val="clear" w:color="auto" w:fill="FFFFFF"/>
                <w:lang w:val="af-ZA"/>
              </w:rPr>
              <w:t xml:space="preserve"> </w:t>
            </w:r>
            <w:r w:rsidRPr="0053423A">
              <w:rPr>
                <w:rFonts w:cs="Arian AMU"/>
                <w:sz w:val="20"/>
                <w:szCs w:val="20"/>
                <w:shd w:val="clear" w:color="auto" w:fill="FFFFFF"/>
              </w:rPr>
              <w:t>ուղղված</w:t>
            </w:r>
            <w:r w:rsidRPr="0053423A">
              <w:rPr>
                <w:rFonts w:cs="Arian AMU"/>
                <w:sz w:val="20"/>
                <w:szCs w:val="20"/>
                <w:shd w:val="clear" w:color="auto" w:fill="FFFFFF"/>
                <w:lang w:val="af-ZA"/>
              </w:rPr>
              <w:t xml:space="preserve"> </w:t>
            </w:r>
            <w:r w:rsidRPr="0053423A">
              <w:rPr>
                <w:rFonts w:cs="Arian AMU"/>
                <w:sz w:val="20"/>
                <w:szCs w:val="20"/>
                <w:shd w:val="clear" w:color="auto" w:fill="FFFFFF"/>
              </w:rPr>
              <w:t>հիմնախնդիրների</w:t>
            </w:r>
            <w:r w:rsidRPr="0053423A">
              <w:rPr>
                <w:rFonts w:cs="Arian AMU"/>
                <w:sz w:val="20"/>
                <w:szCs w:val="20"/>
                <w:shd w:val="clear" w:color="auto" w:fill="FFFFFF"/>
                <w:lang w:val="af-ZA"/>
              </w:rPr>
              <w:t xml:space="preserve"> </w:t>
            </w:r>
            <w:r w:rsidRPr="0053423A">
              <w:rPr>
                <w:rFonts w:cs="Arian AMU"/>
                <w:sz w:val="20"/>
                <w:szCs w:val="20"/>
                <w:shd w:val="clear" w:color="auto" w:fill="FFFFFF"/>
              </w:rPr>
              <w:t>լուծման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նախադպրոցական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կրթության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ծառայությունների</w:t>
            </w:r>
            <w:r w:rsidRPr="0053423A">
              <w:rPr>
                <w:rFonts w:cs="Arian AMU"/>
                <w:sz w:val="20"/>
                <w:szCs w:val="20"/>
                <w:shd w:val="clear" w:color="auto" w:fill="FFFFFF"/>
                <w:lang w:val="af-ZA"/>
              </w:rPr>
              <w:t xml:space="preserve"> </w:t>
            </w:r>
            <w:r w:rsidRPr="0053423A">
              <w:rPr>
                <w:rFonts w:cs="Arian AMU"/>
                <w:sz w:val="20"/>
                <w:szCs w:val="20"/>
                <w:shd w:val="clear" w:color="auto" w:fill="FFFFFF"/>
              </w:rPr>
              <w:t>մատչելիության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շարունակականության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համար</w:t>
            </w:r>
            <w:r w:rsidRPr="0053423A">
              <w:rPr>
                <w:rFonts w:cs="Arian AMU"/>
                <w:sz w:val="20"/>
                <w:szCs w:val="20"/>
                <w:shd w:val="clear" w:color="auto" w:fill="FFFFFF"/>
                <w:lang w:val="af-ZA"/>
              </w:rPr>
              <w:t xml:space="preserve"> </w:t>
            </w:r>
            <w:r w:rsidRPr="0053423A">
              <w:rPr>
                <w:rFonts w:cs="Arian AMU"/>
                <w:sz w:val="20"/>
                <w:szCs w:val="20"/>
                <w:shd w:val="clear" w:color="auto" w:fill="FFFFFF"/>
              </w:rPr>
              <w:t>իրավական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հիմքեր</w:t>
            </w:r>
            <w:r w:rsidRPr="0053423A">
              <w:rPr>
                <w:rFonts w:cs="Arian AMU"/>
                <w:sz w:val="20"/>
                <w:szCs w:val="20"/>
                <w:shd w:val="clear" w:color="auto" w:fill="FFFFFF"/>
                <w:lang w:val="af-ZA"/>
              </w:rPr>
              <w:t xml:space="preserve"> </w:t>
            </w:r>
            <w:r w:rsidRPr="0053423A">
              <w:rPr>
                <w:rFonts w:cs="Arian AMU"/>
                <w:sz w:val="20"/>
                <w:szCs w:val="20"/>
                <w:shd w:val="clear" w:color="auto" w:fill="FFFFFF"/>
              </w:rPr>
              <w:t>ապահովելու</w:t>
            </w:r>
            <w:r w:rsidRPr="0053423A">
              <w:rPr>
                <w:rFonts w:cs="Arian AMU"/>
                <w:sz w:val="20"/>
                <w:szCs w:val="20"/>
                <w:shd w:val="clear" w:color="auto" w:fill="FFFFFF"/>
                <w:lang w:val="af-ZA"/>
              </w:rPr>
              <w:t>,</w:t>
            </w:r>
            <w:r w:rsidRPr="0053423A">
              <w:rPr>
                <w:rFonts w:ascii="Calibri" w:hAnsi="Calibri" w:cs="Calibri"/>
                <w:sz w:val="20"/>
                <w:szCs w:val="20"/>
                <w:shd w:val="clear" w:color="auto" w:fill="FFFFFF"/>
                <w:lang w:val="af-ZA"/>
              </w:rPr>
              <w:t> </w:t>
            </w:r>
            <w:r w:rsidRPr="0053423A">
              <w:rPr>
                <w:rFonts w:cs="Arian AMU"/>
                <w:sz w:val="20"/>
                <w:szCs w:val="20"/>
                <w:shd w:val="clear" w:color="auto" w:fill="FFFFFF"/>
                <w:lang w:val="af-ZA"/>
              </w:rPr>
              <w:t xml:space="preserve"> </w:t>
            </w:r>
            <w:r w:rsidRPr="0053423A">
              <w:rPr>
                <w:rFonts w:cs="Arian AMU"/>
                <w:sz w:val="20"/>
                <w:szCs w:val="20"/>
                <w:shd w:val="clear" w:color="auto" w:fill="FFFFFF"/>
              </w:rPr>
              <w:t>ինչպես</w:t>
            </w:r>
            <w:r w:rsidRPr="0053423A">
              <w:rPr>
                <w:rFonts w:cs="Arian AMU"/>
                <w:sz w:val="20"/>
                <w:szCs w:val="20"/>
                <w:shd w:val="clear" w:color="auto" w:fill="FFFFFF"/>
                <w:lang w:val="af-ZA"/>
              </w:rPr>
              <w:t xml:space="preserve"> </w:t>
            </w:r>
            <w:r w:rsidRPr="0053423A">
              <w:rPr>
                <w:rFonts w:cs="Arian AMU"/>
                <w:sz w:val="20"/>
                <w:szCs w:val="20"/>
                <w:shd w:val="clear" w:color="auto" w:fill="FFFFFF"/>
              </w:rPr>
              <w:t>նաև</w:t>
            </w:r>
            <w:r w:rsidRPr="0053423A">
              <w:rPr>
                <w:rFonts w:cs="Arian AMU"/>
                <w:sz w:val="20"/>
                <w:szCs w:val="20"/>
                <w:shd w:val="clear" w:color="auto" w:fill="FFFFFF"/>
                <w:lang w:val="af-ZA"/>
              </w:rPr>
              <w:t xml:space="preserve"> «</w:t>
            </w:r>
            <w:r w:rsidRPr="0053423A">
              <w:rPr>
                <w:rFonts w:cs="Arian AMU"/>
                <w:sz w:val="20"/>
                <w:szCs w:val="20"/>
                <w:shd w:val="clear" w:color="auto" w:fill="FFFFFF"/>
              </w:rPr>
              <w:t>ներառական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և</w:t>
            </w:r>
            <w:r w:rsidRPr="0053423A">
              <w:rPr>
                <w:rFonts w:cs="Arian AMU"/>
                <w:sz w:val="20"/>
                <w:szCs w:val="20"/>
                <w:shd w:val="clear" w:color="auto" w:fill="FFFFFF"/>
                <w:lang w:val="af-ZA"/>
              </w:rPr>
              <w:t xml:space="preserve"> </w:t>
            </w:r>
            <w:r w:rsidRPr="0053423A">
              <w:rPr>
                <w:rFonts w:cs="Arian AMU"/>
                <w:sz w:val="20"/>
                <w:szCs w:val="20"/>
                <w:shd w:val="clear" w:color="auto" w:fill="FFFFFF"/>
              </w:rPr>
              <w:t>բոլորի</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համար</w:t>
            </w:r>
            <w:r w:rsidRPr="0053423A">
              <w:rPr>
                <w:rFonts w:cs="Arian AMU"/>
                <w:sz w:val="20"/>
                <w:szCs w:val="20"/>
                <w:shd w:val="clear" w:color="auto" w:fill="FFFFFF"/>
                <w:lang w:val="af-ZA"/>
              </w:rPr>
              <w:t xml:space="preserve"> </w:t>
            </w:r>
            <w:r w:rsidRPr="0053423A">
              <w:rPr>
                <w:rFonts w:cs="Arian AMU"/>
                <w:sz w:val="20"/>
                <w:szCs w:val="20"/>
                <w:shd w:val="clear" w:color="auto" w:fill="FFFFFF"/>
              </w:rPr>
              <w:t>որակյալ</w:t>
            </w:r>
            <w:r w:rsidRPr="0053423A">
              <w:rPr>
                <w:rFonts w:cs="Arian AMU"/>
                <w:sz w:val="20"/>
                <w:szCs w:val="20"/>
                <w:shd w:val="clear" w:color="auto" w:fill="FFFFFF"/>
                <w:lang w:val="af-ZA"/>
              </w:rPr>
              <w:t xml:space="preserve"> </w:t>
            </w:r>
            <w:r w:rsidRPr="0053423A">
              <w:rPr>
                <w:rFonts w:cs="Arian AMU"/>
                <w:sz w:val="20"/>
                <w:szCs w:val="20"/>
                <w:shd w:val="clear" w:color="auto" w:fill="FFFFFF"/>
              </w:rPr>
              <w:t>կրթության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ապահովում</w:t>
            </w:r>
            <w:r w:rsidRPr="0053423A">
              <w:rPr>
                <w:rFonts w:cs="Arian AMU"/>
                <w:sz w:val="20"/>
                <w:szCs w:val="20"/>
                <w:shd w:val="clear" w:color="auto" w:fill="FFFFFF"/>
                <w:lang w:val="af-ZA"/>
              </w:rPr>
              <w:t xml:space="preserve">, </w:t>
            </w:r>
            <w:r w:rsidRPr="0053423A">
              <w:rPr>
                <w:rFonts w:cs="Arian AMU"/>
                <w:sz w:val="20"/>
                <w:szCs w:val="20"/>
                <w:shd w:val="clear" w:color="auto" w:fill="FFFFFF"/>
              </w:rPr>
              <w:t>ինչպես</w:t>
            </w:r>
            <w:r w:rsidRPr="0053423A">
              <w:rPr>
                <w:rFonts w:cs="Arian AMU"/>
                <w:sz w:val="20"/>
                <w:szCs w:val="20"/>
                <w:shd w:val="clear" w:color="auto" w:fill="FFFFFF"/>
                <w:lang w:val="af-ZA"/>
              </w:rPr>
              <w:t xml:space="preserve"> </w:t>
            </w:r>
            <w:r w:rsidRPr="0053423A">
              <w:rPr>
                <w:rFonts w:cs="Arian AMU"/>
                <w:sz w:val="20"/>
                <w:szCs w:val="20"/>
                <w:shd w:val="clear" w:color="auto" w:fill="FFFFFF"/>
              </w:rPr>
              <w:t>նաև</w:t>
            </w:r>
            <w:r w:rsidRPr="0053423A">
              <w:rPr>
                <w:rFonts w:cs="Arian AMU"/>
                <w:sz w:val="20"/>
                <w:szCs w:val="20"/>
                <w:shd w:val="clear" w:color="auto" w:fill="FFFFFF"/>
                <w:lang w:val="af-ZA"/>
              </w:rPr>
              <w:t xml:space="preserve"> </w:t>
            </w:r>
            <w:r w:rsidRPr="0053423A">
              <w:rPr>
                <w:rFonts w:cs="Arian AMU"/>
                <w:sz w:val="20"/>
                <w:szCs w:val="20"/>
                <w:shd w:val="clear" w:color="auto" w:fill="FFFFFF"/>
              </w:rPr>
              <w:t>ողջ</w:t>
            </w:r>
            <w:r w:rsidRPr="0053423A">
              <w:rPr>
                <w:rFonts w:cs="Arian AMU"/>
                <w:sz w:val="20"/>
                <w:szCs w:val="20"/>
                <w:shd w:val="clear" w:color="auto" w:fill="FFFFFF"/>
                <w:lang w:val="af-ZA"/>
              </w:rPr>
              <w:t xml:space="preserve"> </w:t>
            </w:r>
            <w:r w:rsidRPr="0053423A">
              <w:rPr>
                <w:rFonts w:cs="Arian AMU"/>
                <w:sz w:val="20"/>
                <w:szCs w:val="20"/>
                <w:shd w:val="clear" w:color="auto" w:fill="FFFFFF"/>
              </w:rPr>
              <w:t>կյանքի</w:t>
            </w:r>
            <w:r w:rsidRPr="0053423A">
              <w:rPr>
                <w:rFonts w:cs="Arian AMU"/>
                <w:sz w:val="20"/>
                <w:szCs w:val="20"/>
                <w:shd w:val="clear" w:color="auto" w:fill="FFFFFF"/>
                <w:lang w:val="af-ZA"/>
              </w:rPr>
              <w:t xml:space="preserve"> </w:t>
            </w:r>
            <w:r w:rsidRPr="0053423A">
              <w:rPr>
                <w:rFonts w:cs="Arian AMU"/>
                <w:sz w:val="20"/>
                <w:szCs w:val="20"/>
                <w:shd w:val="clear" w:color="auto" w:fill="FFFFFF"/>
              </w:rPr>
              <w:t>ընթացքում</w:t>
            </w:r>
            <w:r w:rsidRPr="0053423A">
              <w:rPr>
                <w:rFonts w:cs="Arian AMU"/>
                <w:sz w:val="20"/>
                <w:szCs w:val="20"/>
                <w:shd w:val="clear" w:color="auto" w:fill="FFFFFF"/>
                <w:lang w:val="af-ZA"/>
              </w:rPr>
              <w:t xml:space="preserve"> </w:t>
            </w:r>
            <w:r w:rsidRPr="0053423A">
              <w:rPr>
                <w:rFonts w:cs="Arian AMU"/>
                <w:sz w:val="20"/>
                <w:szCs w:val="20"/>
                <w:shd w:val="clear" w:color="auto" w:fill="FFFFFF"/>
              </w:rPr>
              <w:t>ուսման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հնարավորության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խթանում</w:t>
            </w:r>
            <w:r w:rsidRPr="0053423A">
              <w:rPr>
                <w:rFonts w:cs="Arian AMU"/>
                <w:sz w:val="20"/>
                <w:szCs w:val="20"/>
                <w:shd w:val="clear" w:color="auto" w:fill="FFFFFF"/>
                <w:lang w:val="af-ZA"/>
              </w:rPr>
              <w:t xml:space="preserve">» </w:t>
            </w:r>
            <w:r w:rsidRPr="0053423A">
              <w:rPr>
                <w:rFonts w:cs="Arian AMU"/>
                <w:sz w:val="20"/>
                <w:szCs w:val="20"/>
                <w:shd w:val="clear" w:color="auto" w:fill="FFFFFF"/>
              </w:rPr>
              <w:t>նպատակի</w:t>
            </w:r>
            <w:r w:rsidRPr="0053423A">
              <w:rPr>
                <w:rFonts w:cs="Arian AMU"/>
                <w:sz w:val="20"/>
                <w:szCs w:val="20"/>
                <w:shd w:val="clear" w:color="auto" w:fill="FFFFFF"/>
                <w:lang w:val="af-ZA"/>
              </w:rPr>
              <w:t xml:space="preserve"> </w:t>
            </w:r>
            <w:r w:rsidRPr="0053423A">
              <w:rPr>
                <w:rFonts w:cs="Arian AMU"/>
                <w:sz w:val="20"/>
                <w:szCs w:val="20"/>
                <w:shd w:val="clear" w:color="auto" w:fill="FFFFFF"/>
              </w:rPr>
              <w:t>պահանջներից</w:t>
            </w:r>
            <w:r w:rsidRPr="0053423A">
              <w:rPr>
                <w:rFonts w:cs="Arian AMU"/>
                <w:sz w:val="20"/>
                <w:szCs w:val="20"/>
                <w:shd w:val="clear" w:color="auto" w:fill="FFFFFF"/>
                <w:lang w:val="af-ZA"/>
              </w:rPr>
              <w:t>:</w:t>
            </w:r>
          </w:p>
          <w:p w:rsidR="00154773" w:rsidRPr="0053423A" w:rsidRDefault="00154773" w:rsidP="00154773">
            <w:pPr>
              <w:ind w:left="360" w:hanging="360"/>
              <w:jc w:val="both"/>
              <w:rPr>
                <w:rFonts w:cs="Arian AMU"/>
                <w:sz w:val="20"/>
                <w:szCs w:val="20"/>
                <w:shd w:val="clear" w:color="auto" w:fill="FFFFFF"/>
                <w:lang w:val="af-ZA"/>
              </w:rPr>
            </w:pPr>
          </w:p>
          <w:p w:rsidR="00154773" w:rsidRPr="0053423A" w:rsidRDefault="00154773" w:rsidP="00154773">
            <w:pPr>
              <w:ind w:left="360" w:hanging="360"/>
              <w:jc w:val="both"/>
              <w:rPr>
                <w:sz w:val="20"/>
                <w:szCs w:val="20"/>
                <w:lang w:val="af-ZA"/>
              </w:rPr>
            </w:pPr>
          </w:p>
          <w:p w:rsidR="00154773" w:rsidRPr="0053423A" w:rsidRDefault="00154773" w:rsidP="00154773">
            <w:pPr>
              <w:ind w:left="735"/>
              <w:contextualSpacing/>
              <w:rPr>
                <w:rFonts w:eastAsia="Times New Roman" w:cs="Times New Roman"/>
                <w:b/>
                <w:sz w:val="20"/>
                <w:szCs w:val="20"/>
                <w:lang w:val="af-ZA"/>
              </w:rPr>
            </w:pPr>
            <w:r w:rsidRPr="0053423A">
              <w:rPr>
                <w:rFonts w:eastAsia="Times New Roman" w:cs="Times New Roman"/>
                <w:b/>
                <w:sz w:val="20"/>
                <w:szCs w:val="20"/>
                <w:lang w:val="af-ZA"/>
              </w:rPr>
              <w:t xml:space="preserve">1.2. </w:t>
            </w:r>
            <w:r w:rsidRPr="0053423A">
              <w:rPr>
                <w:rFonts w:eastAsia="Times New Roman" w:cs="Times New Roman"/>
                <w:b/>
                <w:sz w:val="20"/>
                <w:szCs w:val="20"/>
              </w:rPr>
              <w:t>ա</w:t>
            </w:r>
            <w:r w:rsidRPr="0053423A">
              <w:rPr>
                <w:rFonts w:eastAsia="Times New Roman" w:cs="Times New Roman"/>
                <w:b/>
                <w:sz w:val="20"/>
                <w:szCs w:val="20"/>
                <w:lang w:val="hy-AM"/>
              </w:rPr>
              <w:t>ռկա խնդիրների առաջարկվող լուծումները</w:t>
            </w:r>
          </w:p>
          <w:p w:rsidR="00154773" w:rsidRPr="0053423A" w:rsidRDefault="00154773" w:rsidP="00154773">
            <w:pPr>
              <w:jc w:val="both"/>
              <w:rPr>
                <w:rFonts w:eastAsia="Times New Roman" w:cs="Times New Roman"/>
                <w:b/>
                <w:sz w:val="20"/>
                <w:szCs w:val="20"/>
                <w:lang w:val="af-ZA"/>
              </w:rPr>
            </w:pPr>
          </w:p>
          <w:p w:rsidR="00154773" w:rsidRPr="0053423A" w:rsidRDefault="00154773" w:rsidP="00154773">
            <w:pPr>
              <w:jc w:val="both"/>
              <w:rPr>
                <w:rFonts w:eastAsia="Times New Roman" w:cs="Times New Roman"/>
                <w:b/>
                <w:sz w:val="20"/>
                <w:szCs w:val="20"/>
                <w:lang w:val="af-ZA"/>
              </w:rPr>
            </w:pPr>
          </w:p>
          <w:p w:rsidR="00154773" w:rsidRPr="0053423A" w:rsidRDefault="00154773" w:rsidP="00154773">
            <w:pPr>
              <w:jc w:val="both"/>
              <w:rPr>
                <w:rFonts w:cs="Arian AMU"/>
                <w:sz w:val="20"/>
                <w:szCs w:val="20"/>
                <w:shd w:val="clear" w:color="auto" w:fill="FFFFFF"/>
                <w:lang w:val="af-ZA"/>
              </w:rPr>
            </w:pPr>
            <w:r w:rsidRPr="0053423A">
              <w:rPr>
                <w:rFonts w:cs="Arian AMU"/>
                <w:sz w:val="20"/>
                <w:szCs w:val="20"/>
                <w:shd w:val="clear" w:color="auto" w:fill="FFFFFF"/>
                <w:lang w:val="af-ZA"/>
              </w:rPr>
              <w:t xml:space="preserve">     </w:t>
            </w:r>
            <w:r w:rsidRPr="0053423A">
              <w:rPr>
                <w:rFonts w:cs="Arian AMU"/>
                <w:sz w:val="20"/>
                <w:szCs w:val="20"/>
                <w:shd w:val="clear" w:color="auto" w:fill="FFFFFF"/>
              </w:rPr>
              <w:t>Օրենքը</w:t>
            </w:r>
            <w:r w:rsidRPr="0053423A">
              <w:rPr>
                <w:rFonts w:cs="Arian AMU"/>
                <w:sz w:val="20"/>
                <w:szCs w:val="20"/>
                <w:shd w:val="clear" w:color="auto" w:fill="FFFFFF"/>
                <w:lang w:val="af-ZA"/>
              </w:rPr>
              <w:t xml:space="preserve"> </w:t>
            </w:r>
            <w:r w:rsidRPr="0053423A">
              <w:rPr>
                <w:rFonts w:cs="Arian AMU"/>
                <w:sz w:val="20"/>
                <w:szCs w:val="20"/>
                <w:shd w:val="clear" w:color="auto" w:fill="FFFFFF"/>
              </w:rPr>
              <w:t>սահմանում</w:t>
            </w:r>
            <w:r w:rsidRPr="0053423A">
              <w:rPr>
                <w:rFonts w:cs="Arian AMU"/>
                <w:sz w:val="20"/>
                <w:szCs w:val="20"/>
                <w:shd w:val="clear" w:color="auto" w:fill="FFFFFF"/>
                <w:lang w:val="af-ZA"/>
              </w:rPr>
              <w:t xml:space="preserve"> </w:t>
            </w:r>
            <w:r w:rsidRPr="0053423A">
              <w:rPr>
                <w:rFonts w:cs="Arian AMU"/>
                <w:sz w:val="20"/>
                <w:szCs w:val="20"/>
                <w:shd w:val="clear" w:color="auto" w:fill="FFFFFF"/>
              </w:rPr>
              <w:t>է</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Հայաստանի</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Հանրապետության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նախադպրոցական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կրթության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բնագավառում</w:t>
            </w:r>
            <w:r w:rsidRPr="0053423A">
              <w:rPr>
                <w:rFonts w:cs="Arian AMU"/>
                <w:sz w:val="20"/>
                <w:szCs w:val="20"/>
                <w:shd w:val="clear" w:color="auto" w:fill="FFFFFF"/>
                <w:lang w:val="af-ZA"/>
              </w:rPr>
              <w:t xml:space="preserve"> </w:t>
            </w:r>
            <w:r w:rsidRPr="0053423A">
              <w:rPr>
                <w:rFonts w:cs="Arian AMU"/>
                <w:sz w:val="20"/>
                <w:szCs w:val="20"/>
                <w:shd w:val="clear" w:color="auto" w:fill="FFFFFF"/>
              </w:rPr>
              <w:t>պետական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քաղաքականության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սկզբունքները</w:t>
            </w:r>
            <w:r w:rsidRPr="0053423A">
              <w:rPr>
                <w:rFonts w:cs="Arian AMU"/>
                <w:sz w:val="20"/>
                <w:szCs w:val="20"/>
                <w:shd w:val="clear" w:color="auto" w:fill="FFFFFF"/>
                <w:lang w:val="af-ZA"/>
              </w:rPr>
              <w:t xml:space="preserve">, </w:t>
            </w:r>
            <w:r w:rsidRPr="0053423A">
              <w:rPr>
                <w:rFonts w:cs="Arian AMU"/>
                <w:sz w:val="20"/>
                <w:szCs w:val="20"/>
                <w:shd w:val="clear" w:color="auto" w:fill="FFFFFF"/>
              </w:rPr>
              <w:t>կազմակերպական</w:t>
            </w:r>
            <w:r w:rsidRPr="0053423A">
              <w:rPr>
                <w:rFonts w:cs="Arian AMU"/>
                <w:sz w:val="20"/>
                <w:szCs w:val="20"/>
                <w:shd w:val="clear" w:color="auto" w:fill="FFFFFF"/>
                <w:lang w:val="af-ZA"/>
              </w:rPr>
              <w:t>-</w:t>
            </w:r>
            <w:r w:rsidRPr="0053423A">
              <w:rPr>
                <w:rFonts w:cs="Arian AMU"/>
                <w:sz w:val="20"/>
                <w:szCs w:val="20"/>
                <w:shd w:val="clear" w:color="auto" w:fill="FFFFFF"/>
              </w:rPr>
              <w:t>իրավական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ու</w:t>
            </w:r>
            <w:r w:rsidRPr="0053423A">
              <w:rPr>
                <w:rFonts w:cs="Arian AMU"/>
                <w:sz w:val="20"/>
                <w:szCs w:val="20"/>
                <w:shd w:val="clear" w:color="auto" w:fill="FFFFFF"/>
                <w:lang w:val="af-ZA"/>
              </w:rPr>
              <w:t xml:space="preserve"> </w:t>
            </w:r>
            <w:r w:rsidRPr="0053423A">
              <w:rPr>
                <w:rFonts w:cs="Arian AMU"/>
                <w:sz w:val="20"/>
                <w:szCs w:val="20"/>
                <w:shd w:val="clear" w:color="auto" w:fill="FFFFFF"/>
              </w:rPr>
              <w:t>ֆինանսատնտեսական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հիմքերը</w:t>
            </w:r>
            <w:r w:rsidRPr="0053423A">
              <w:rPr>
                <w:rFonts w:cs="Arian AMU"/>
                <w:sz w:val="20"/>
                <w:szCs w:val="20"/>
                <w:shd w:val="clear" w:color="auto" w:fill="FFFFFF"/>
                <w:lang w:val="af-ZA"/>
              </w:rPr>
              <w:t xml:space="preserve">, </w:t>
            </w:r>
            <w:r w:rsidRPr="0053423A">
              <w:rPr>
                <w:rFonts w:cs="Arian AMU"/>
                <w:sz w:val="20"/>
                <w:szCs w:val="20"/>
                <w:shd w:val="clear" w:color="auto" w:fill="FFFFFF"/>
              </w:rPr>
              <w:t>կարգավորում</w:t>
            </w:r>
            <w:r w:rsidRPr="0053423A">
              <w:rPr>
                <w:rFonts w:cs="Arian AMU"/>
                <w:sz w:val="20"/>
                <w:szCs w:val="20"/>
                <w:shd w:val="clear" w:color="auto" w:fill="FFFFFF"/>
                <w:lang w:val="af-ZA"/>
              </w:rPr>
              <w:t xml:space="preserve"> </w:t>
            </w:r>
            <w:r w:rsidRPr="0053423A">
              <w:rPr>
                <w:rFonts w:cs="Arian AMU"/>
                <w:sz w:val="20"/>
                <w:szCs w:val="20"/>
                <w:shd w:val="clear" w:color="auto" w:fill="FFFFFF"/>
              </w:rPr>
              <w:t>է</w:t>
            </w:r>
            <w:r w:rsidRPr="0053423A">
              <w:rPr>
                <w:rFonts w:cs="Arian AMU"/>
                <w:sz w:val="20"/>
                <w:szCs w:val="20"/>
                <w:shd w:val="clear" w:color="auto" w:fill="FFFFFF"/>
                <w:lang w:val="af-ZA"/>
              </w:rPr>
              <w:t xml:space="preserve"> </w:t>
            </w:r>
            <w:r w:rsidRPr="0053423A">
              <w:rPr>
                <w:rFonts w:cs="Arian AMU"/>
                <w:sz w:val="20"/>
                <w:szCs w:val="20"/>
                <w:shd w:val="clear" w:color="auto" w:fill="FFFFFF"/>
              </w:rPr>
              <w:t>նախադպրոցական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կրթության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գործընթացին</w:t>
            </w:r>
            <w:r w:rsidRPr="0053423A">
              <w:rPr>
                <w:rFonts w:cs="Arian AMU"/>
                <w:sz w:val="20"/>
                <w:szCs w:val="20"/>
                <w:shd w:val="clear" w:color="auto" w:fill="FFFFFF"/>
                <w:lang w:val="af-ZA"/>
              </w:rPr>
              <w:t xml:space="preserve"> </w:t>
            </w:r>
            <w:r w:rsidRPr="0053423A">
              <w:rPr>
                <w:rFonts w:cs="Arian AMU"/>
                <w:sz w:val="20"/>
                <w:szCs w:val="20"/>
                <w:shd w:val="clear" w:color="auto" w:fill="FFFFFF"/>
              </w:rPr>
              <w:t>մասնակից</w:t>
            </w:r>
            <w:r w:rsidRPr="0053423A">
              <w:rPr>
                <w:rFonts w:cs="Arian AMU"/>
                <w:sz w:val="20"/>
                <w:szCs w:val="20"/>
                <w:shd w:val="clear" w:color="auto" w:fill="FFFFFF"/>
                <w:lang w:val="af-ZA"/>
              </w:rPr>
              <w:t xml:space="preserve"> </w:t>
            </w:r>
            <w:r w:rsidRPr="0053423A">
              <w:rPr>
                <w:rFonts w:cs="Arian AMU"/>
                <w:sz w:val="20"/>
                <w:szCs w:val="20"/>
                <w:shd w:val="clear" w:color="auto" w:fill="FFFFFF"/>
              </w:rPr>
              <w:t>ֆիզիկական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և</w:t>
            </w:r>
            <w:r w:rsidRPr="0053423A">
              <w:rPr>
                <w:rFonts w:cs="Arian AMU"/>
                <w:sz w:val="20"/>
                <w:szCs w:val="20"/>
                <w:shd w:val="clear" w:color="auto" w:fill="FFFFFF"/>
                <w:lang w:val="af-ZA"/>
              </w:rPr>
              <w:t xml:space="preserve"> </w:t>
            </w:r>
            <w:r w:rsidRPr="0053423A">
              <w:rPr>
                <w:rFonts w:cs="Arian AMU"/>
                <w:sz w:val="20"/>
                <w:szCs w:val="20"/>
                <w:shd w:val="clear" w:color="auto" w:fill="FFFFFF"/>
              </w:rPr>
              <w:t>իրավաբանական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անձանց</w:t>
            </w:r>
            <w:r w:rsidRPr="0053423A">
              <w:rPr>
                <w:rFonts w:cs="Arian AMU"/>
                <w:sz w:val="20"/>
                <w:szCs w:val="20"/>
                <w:shd w:val="clear" w:color="auto" w:fill="FFFFFF"/>
                <w:lang w:val="af-ZA"/>
              </w:rPr>
              <w:t xml:space="preserve"> </w:t>
            </w:r>
            <w:r w:rsidRPr="0053423A">
              <w:rPr>
                <w:rFonts w:cs="Arian AMU"/>
                <w:sz w:val="20"/>
                <w:szCs w:val="20"/>
                <w:shd w:val="clear" w:color="auto" w:fill="FFFFFF"/>
              </w:rPr>
              <w:t>իրավահարաբերությունները</w:t>
            </w:r>
            <w:r w:rsidRPr="0053423A">
              <w:rPr>
                <w:rFonts w:cs="Arian AMU"/>
                <w:sz w:val="20"/>
                <w:szCs w:val="20"/>
                <w:shd w:val="clear" w:color="auto" w:fill="FFFFFF"/>
                <w:lang w:val="af-ZA"/>
              </w:rPr>
              <w:t xml:space="preserve">, </w:t>
            </w:r>
            <w:r w:rsidRPr="0053423A">
              <w:rPr>
                <w:rFonts w:cs="Arian AMU"/>
                <w:sz w:val="20"/>
                <w:szCs w:val="20"/>
                <w:shd w:val="clear" w:color="auto" w:fill="FFFFFF"/>
              </w:rPr>
              <w:t>ապահովում</w:t>
            </w:r>
            <w:r w:rsidRPr="0053423A">
              <w:rPr>
                <w:rFonts w:cs="Arian AMU"/>
                <w:sz w:val="20"/>
                <w:szCs w:val="20"/>
                <w:shd w:val="clear" w:color="auto" w:fill="FFFFFF"/>
                <w:lang w:val="af-ZA"/>
              </w:rPr>
              <w:t xml:space="preserve"> </w:t>
            </w:r>
            <w:r w:rsidRPr="0053423A">
              <w:rPr>
                <w:rFonts w:cs="Arian AMU"/>
                <w:sz w:val="20"/>
                <w:szCs w:val="20"/>
                <w:shd w:val="clear" w:color="auto" w:fill="FFFFFF"/>
              </w:rPr>
              <w:t>է</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Հայաստանի</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Հանրապետության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Սահմանադրությամբ</w:t>
            </w:r>
            <w:r w:rsidRPr="0053423A">
              <w:rPr>
                <w:rFonts w:cs="Arian AMU"/>
                <w:sz w:val="20"/>
                <w:szCs w:val="20"/>
                <w:shd w:val="clear" w:color="auto" w:fill="FFFFFF"/>
                <w:lang w:val="af-ZA"/>
              </w:rPr>
              <w:t xml:space="preserve"> </w:t>
            </w:r>
            <w:r w:rsidRPr="0053423A">
              <w:rPr>
                <w:rFonts w:cs="Arian AMU"/>
                <w:sz w:val="20"/>
                <w:szCs w:val="20"/>
                <w:shd w:val="clear" w:color="auto" w:fill="FFFFFF"/>
              </w:rPr>
              <w:t>ամրագրված</w:t>
            </w:r>
            <w:r w:rsidRPr="0053423A">
              <w:rPr>
                <w:rFonts w:cs="Arian AMU"/>
                <w:sz w:val="20"/>
                <w:szCs w:val="20"/>
                <w:shd w:val="clear" w:color="auto" w:fill="FFFFFF"/>
                <w:lang w:val="af-ZA"/>
              </w:rPr>
              <w:t xml:space="preserve"> </w:t>
            </w:r>
            <w:r w:rsidRPr="0053423A">
              <w:rPr>
                <w:rFonts w:cs="Arian AMU"/>
                <w:sz w:val="20"/>
                <w:szCs w:val="20"/>
                <w:shd w:val="clear" w:color="auto" w:fill="FFFFFF"/>
              </w:rPr>
              <w:t>բոլորի</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համար</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հավասար</w:t>
            </w:r>
            <w:r w:rsidRPr="0053423A">
              <w:rPr>
                <w:rFonts w:cs="Arian AMU"/>
                <w:sz w:val="20"/>
                <w:szCs w:val="20"/>
                <w:shd w:val="clear" w:color="auto" w:fill="FFFFFF"/>
                <w:lang w:val="af-ZA"/>
              </w:rPr>
              <w:t xml:space="preserve"> </w:t>
            </w:r>
            <w:r w:rsidRPr="0053423A">
              <w:rPr>
                <w:rFonts w:cs="Arian AMU"/>
                <w:sz w:val="20"/>
                <w:szCs w:val="20"/>
                <w:shd w:val="clear" w:color="auto" w:fill="FFFFFF"/>
              </w:rPr>
              <w:t>կրթության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իրավունքի</w:t>
            </w:r>
            <w:r w:rsidRPr="0053423A">
              <w:rPr>
                <w:rFonts w:cs="Arian AMU"/>
                <w:sz w:val="20"/>
                <w:szCs w:val="20"/>
                <w:shd w:val="clear" w:color="auto" w:fill="FFFFFF"/>
                <w:lang w:val="af-ZA"/>
              </w:rPr>
              <w:t xml:space="preserve">, </w:t>
            </w:r>
            <w:r w:rsidRPr="0053423A">
              <w:rPr>
                <w:rFonts w:cs="Arian AMU"/>
                <w:sz w:val="20"/>
                <w:szCs w:val="20"/>
                <w:shd w:val="clear" w:color="auto" w:fill="FFFFFF"/>
              </w:rPr>
              <w:t>նախադպրոցական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կրթության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հասանելիության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և</w:t>
            </w:r>
            <w:r w:rsidRPr="0053423A">
              <w:rPr>
                <w:rFonts w:cs="Arian AMU"/>
                <w:sz w:val="20"/>
                <w:szCs w:val="20"/>
                <w:shd w:val="clear" w:color="auto" w:fill="FFFFFF"/>
                <w:lang w:val="af-ZA"/>
              </w:rPr>
              <w:t xml:space="preserve"> </w:t>
            </w:r>
            <w:r w:rsidRPr="0053423A">
              <w:rPr>
                <w:rFonts w:cs="Arian AMU"/>
                <w:sz w:val="20"/>
                <w:szCs w:val="20"/>
                <w:shd w:val="clear" w:color="auto" w:fill="FFFFFF"/>
              </w:rPr>
              <w:t>մատչելիության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հիմքերը</w:t>
            </w:r>
            <w:r w:rsidRPr="0053423A">
              <w:rPr>
                <w:rFonts w:cs="Arian AMU"/>
                <w:sz w:val="20"/>
                <w:szCs w:val="20"/>
                <w:shd w:val="clear" w:color="auto" w:fill="FFFFFF"/>
                <w:lang w:val="af-ZA"/>
              </w:rPr>
              <w:t>:</w:t>
            </w:r>
          </w:p>
          <w:p w:rsidR="00154773" w:rsidRPr="0053423A" w:rsidRDefault="00154773" w:rsidP="00154773">
            <w:pPr>
              <w:jc w:val="both"/>
              <w:rPr>
                <w:rFonts w:cs="Arian AMU"/>
                <w:sz w:val="20"/>
                <w:szCs w:val="20"/>
                <w:shd w:val="clear" w:color="auto" w:fill="FFFFFF"/>
                <w:lang w:val="af-ZA"/>
              </w:rPr>
            </w:pPr>
          </w:p>
          <w:p w:rsidR="00154773" w:rsidRPr="0053423A" w:rsidRDefault="00154773" w:rsidP="001F6D5D">
            <w:pPr>
              <w:numPr>
                <w:ilvl w:val="0"/>
                <w:numId w:val="493"/>
              </w:numPr>
              <w:tabs>
                <w:tab w:val="left" w:pos="2790"/>
              </w:tabs>
              <w:contextualSpacing/>
              <w:jc w:val="both"/>
              <w:rPr>
                <w:rFonts w:cs="Sylfaen"/>
                <w:sz w:val="20"/>
                <w:szCs w:val="20"/>
                <w:lang w:val="af-ZA"/>
              </w:rPr>
            </w:pPr>
            <w:r w:rsidRPr="0053423A">
              <w:rPr>
                <w:b/>
                <w:sz w:val="20"/>
                <w:szCs w:val="20"/>
              </w:rPr>
              <w:t>Միջոցառման</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r w:rsidRPr="0053423A">
              <w:rPr>
                <w:sz w:val="20"/>
                <w:szCs w:val="20"/>
                <w:lang w:val="af-ZA"/>
              </w:rPr>
              <w:t xml:space="preserve"> </w:t>
            </w:r>
          </w:p>
          <w:p w:rsidR="00154773" w:rsidRPr="0053423A" w:rsidRDefault="00154773" w:rsidP="00154773">
            <w:pPr>
              <w:tabs>
                <w:tab w:val="left" w:pos="2790"/>
              </w:tabs>
              <w:ind w:left="720"/>
              <w:contextualSpacing/>
              <w:jc w:val="both"/>
              <w:rPr>
                <w:rFonts w:cs="Sylfaen"/>
                <w:sz w:val="20"/>
                <w:szCs w:val="20"/>
                <w:lang w:val="af-ZA"/>
              </w:rPr>
            </w:pPr>
          </w:p>
          <w:p w:rsidR="00154773" w:rsidRPr="0053423A" w:rsidRDefault="00154773" w:rsidP="00154773">
            <w:pPr>
              <w:jc w:val="both"/>
              <w:rPr>
                <w:rFonts w:cs="Arian AMU"/>
                <w:sz w:val="20"/>
                <w:szCs w:val="20"/>
                <w:shd w:val="clear" w:color="auto" w:fill="FFFFFF"/>
                <w:lang w:val="af-ZA"/>
              </w:rPr>
            </w:pPr>
            <w:r w:rsidRPr="0053423A">
              <w:rPr>
                <w:sz w:val="20"/>
                <w:szCs w:val="20"/>
                <w:lang w:val="af-ZA"/>
              </w:rPr>
              <w:t xml:space="preserve">    </w:t>
            </w:r>
            <w:r w:rsidRPr="0053423A">
              <w:rPr>
                <w:rFonts w:cs="Arian AMU"/>
                <w:sz w:val="20"/>
                <w:szCs w:val="20"/>
                <w:shd w:val="clear" w:color="auto" w:fill="FFFFFF"/>
                <w:lang w:val="af-ZA"/>
              </w:rPr>
              <w:t xml:space="preserve">    </w:t>
            </w:r>
            <w:r w:rsidRPr="0053423A">
              <w:rPr>
                <w:rFonts w:cs="Arian AMU"/>
                <w:sz w:val="20"/>
                <w:szCs w:val="20"/>
                <w:shd w:val="clear" w:color="auto" w:fill="FFFFFF"/>
              </w:rPr>
              <w:t>Նախադպրոցական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ծառայությունների</w:t>
            </w:r>
            <w:r w:rsidRPr="0053423A">
              <w:rPr>
                <w:rFonts w:cs="Arian AMU"/>
                <w:sz w:val="20"/>
                <w:szCs w:val="20"/>
                <w:shd w:val="clear" w:color="auto" w:fill="FFFFFF"/>
                <w:lang w:val="af-ZA"/>
              </w:rPr>
              <w:t xml:space="preserve"> </w:t>
            </w:r>
            <w:r w:rsidRPr="0053423A">
              <w:rPr>
                <w:rFonts w:cs="Arian AMU"/>
                <w:sz w:val="20"/>
                <w:szCs w:val="20"/>
                <w:shd w:val="clear" w:color="auto" w:fill="FFFFFF"/>
              </w:rPr>
              <w:t>շարունակականության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ապահովման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նախադպրոցական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հաստատությունների</w:t>
            </w:r>
            <w:r w:rsidRPr="0053423A">
              <w:rPr>
                <w:rFonts w:cs="Arian AMU"/>
                <w:sz w:val="20"/>
                <w:szCs w:val="20"/>
                <w:shd w:val="clear" w:color="auto" w:fill="FFFFFF"/>
                <w:lang w:val="af-ZA"/>
              </w:rPr>
              <w:t xml:space="preserve"> </w:t>
            </w:r>
            <w:r w:rsidRPr="0053423A">
              <w:rPr>
                <w:rFonts w:cs="Arian AMU"/>
                <w:sz w:val="20"/>
                <w:szCs w:val="20"/>
                <w:shd w:val="clear" w:color="auto" w:fill="FFFFFF"/>
              </w:rPr>
              <w:t>մանկավարժական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կադրերի</w:t>
            </w:r>
            <w:r w:rsidRPr="0053423A">
              <w:rPr>
                <w:rFonts w:cs="Arian AMU"/>
                <w:sz w:val="20"/>
                <w:szCs w:val="20"/>
                <w:shd w:val="clear" w:color="auto" w:fill="FFFFFF"/>
                <w:lang w:val="af-ZA"/>
              </w:rPr>
              <w:t xml:space="preserve"> </w:t>
            </w:r>
            <w:r w:rsidRPr="0053423A">
              <w:rPr>
                <w:rFonts w:cs="Arian AMU"/>
                <w:sz w:val="20"/>
                <w:szCs w:val="20"/>
                <w:shd w:val="clear" w:color="auto" w:fill="FFFFFF"/>
              </w:rPr>
              <w:t>վերապատրաստման</w:t>
            </w:r>
            <w:r w:rsidRPr="0053423A">
              <w:rPr>
                <w:rFonts w:cs="Arian AMU"/>
                <w:sz w:val="20"/>
                <w:szCs w:val="20"/>
                <w:shd w:val="clear" w:color="auto" w:fill="FFFFFF"/>
                <w:lang w:val="af-ZA"/>
              </w:rPr>
              <w:t xml:space="preserve"> </w:t>
            </w:r>
            <w:r w:rsidRPr="0053423A">
              <w:rPr>
                <w:rFonts w:cs="Arian AMU"/>
                <w:sz w:val="20"/>
                <w:szCs w:val="20"/>
                <w:shd w:val="clear" w:color="auto" w:fill="FFFFFF"/>
              </w:rPr>
              <w:t>և</w:t>
            </w:r>
            <w:r w:rsidRPr="0053423A">
              <w:rPr>
                <w:rFonts w:cs="Arian AMU"/>
                <w:sz w:val="20"/>
                <w:szCs w:val="20"/>
                <w:shd w:val="clear" w:color="auto" w:fill="FFFFFF"/>
                <w:lang w:val="af-ZA"/>
              </w:rPr>
              <w:t xml:space="preserve"> </w:t>
            </w:r>
            <w:r w:rsidRPr="0053423A">
              <w:rPr>
                <w:rFonts w:cs="Arian AMU"/>
                <w:sz w:val="20"/>
                <w:szCs w:val="20"/>
                <w:shd w:val="clear" w:color="auto" w:fill="FFFFFF"/>
              </w:rPr>
              <w:t>մասնագիտական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որակի</w:t>
            </w:r>
            <w:r w:rsidRPr="0053423A">
              <w:rPr>
                <w:rFonts w:cs="Arian AMU"/>
                <w:sz w:val="20"/>
                <w:szCs w:val="20"/>
                <w:shd w:val="clear" w:color="auto" w:fill="FFFFFF"/>
                <w:lang w:val="af-ZA"/>
              </w:rPr>
              <w:t xml:space="preserve"> </w:t>
            </w:r>
            <w:r w:rsidRPr="0053423A">
              <w:rPr>
                <w:rFonts w:cs="Arian AMU"/>
                <w:sz w:val="20"/>
                <w:szCs w:val="20"/>
                <w:shd w:val="clear" w:color="auto" w:fill="FFFFFF"/>
              </w:rPr>
              <w:t>բարձրացման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ատեստավորման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հաստատությունների</w:t>
            </w:r>
            <w:r w:rsidRPr="0053423A">
              <w:rPr>
                <w:rFonts w:cs="Arian AMU"/>
                <w:sz w:val="20"/>
                <w:szCs w:val="20"/>
                <w:shd w:val="clear" w:color="auto" w:fill="FFFFFF"/>
                <w:lang w:val="af-ZA"/>
              </w:rPr>
              <w:t xml:space="preserve"> </w:t>
            </w:r>
            <w:r w:rsidRPr="0053423A">
              <w:rPr>
                <w:rFonts w:cs="Arian AMU"/>
                <w:sz w:val="20"/>
                <w:szCs w:val="20"/>
                <w:shd w:val="clear" w:color="auto" w:fill="FFFFFF"/>
              </w:rPr>
              <w:t>գործունեության</w:t>
            </w:r>
            <w:r w:rsidRPr="0053423A">
              <w:rPr>
                <w:rFonts w:ascii="Calibri" w:hAnsi="Calibri" w:cs="Calibri"/>
                <w:sz w:val="20"/>
                <w:szCs w:val="20"/>
                <w:shd w:val="clear" w:color="auto" w:fill="FFFFFF"/>
                <w:lang w:val="af-ZA"/>
              </w:rPr>
              <w:t> </w:t>
            </w:r>
            <w:r w:rsidRPr="0053423A">
              <w:rPr>
                <w:rFonts w:cs="Arian AMU"/>
                <w:sz w:val="20"/>
                <w:szCs w:val="20"/>
                <w:shd w:val="clear" w:color="auto" w:fill="FFFFFF"/>
                <w:lang w:val="af-ZA"/>
              </w:rPr>
              <w:t xml:space="preserve"> </w:t>
            </w:r>
            <w:r w:rsidRPr="0053423A">
              <w:rPr>
                <w:rFonts w:cs="Arian AMU"/>
                <w:sz w:val="20"/>
                <w:szCs w:val="20"/>
                <w:shd w:val="clear" w:color="auto" w:fill="FFFFFF"/>
              </w:rPr>
              <w:t>կանոնակարգման</w:t>
            </w:r>
            <w:r w:rsidRPr="0053423A">
              <w:rPr>
                <w:rFonts w:cs="Arian AMU"/>
                <w:sz w:val="20"/>
                <w:szCs w:val="20"/>
                <w:shd w:val="clear" w:color="auto" w:fill="FFFFFF"/>
                <w:lang w:val="af-ZA"/>
              </w:rPr>
              <w:t xml:space="preserve"> </w:t>
            </w:r>
            <w:r w:rsidRPr="0053423A">
              <w:rPr>
                <w:rFonts w:cs="Arian AMU"/>
                <w:sz w:val="20"/>
                <w:szCs w:val="20"/>
                <w:shd w:val="clear" w:color="auto" w:fill="FFFFFF"/>
              </w:rPr>
              <w:t>և</w:t>
            </w:r>
            <w:r w:rsidRPr="0053423A">
              <w:rPr>
                <w:rFonts w:cs="Arian AMU"/>
                <w:sz w:val="20"/>
                <w:szCs w:val="20"/>
                <w:shd w:val="clear" w:color="auto" w:fill="FFFFFF"/>
                <w:lang w:val="af-ZA"/>
              </w:rPr>
              <w:t xml:space="preserve"> </w:t>
            </w:r>
            <w:r w:rsidRPr="0053423A">
              <w:rPr>
                <w:rFonts w:cs="Arian AMU"/>
                <w:sz w:val="20"/>
                <w:szCs w:val="20"/>
                <w:shd w:val="clear" w:color="auto" w:fill="FFFFFF"/>
              </w:rPr>
              <w:t>զարգացման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նորմատիվային</w:t>
            </w:r>
            <w:r w:rsidRPr="0053423A">
              <w:rPr>
                <w:rFonts w:cs="Arian AMU"/>
                <w:sz w:val="20"/>
                <w:szCs w:val="20"/>
                <w:shd w:val="clear" w:color="auto" w:fill="FFFFFF"/>
                <w:lang w:val="af-ZA"/>
              </w:rPr>
              <w:t xml:space="preserve"> </w:t>
            </w:r>
            <w:r w:rsidRPr="0053423A">
              <w:rPr>
                <w:rFonts w:cs="Arian AMU"/>
                <w:sz w:val="20"/>
                <w:szCs w:val="20"/>
                <w:shd w:val="clear" w:color="auto" w:fill="FFFFFF"/>
              </w:rPr>
              <w:t>դաշտի</w:t>
            </w:r>
            <w:r w:rsidRPr="0053423A">
              <w:rPr>
                <w:rFonts w:cs="Arian AMU"/>
                <w:sz w:val="20"/>
                <w:szCs w:val="20"/>
                <w:shd w:val="clear" w:color="auto" w:fill="FFFFFF"/>
                <w:lang w:val="af-ZA"/>
              </w:rPr>
              <w:t xml:space="preserve">, </w:t>
            </w:r>
            <w:r w:rsidRPr="0053423A">
              <w:rPr>
                <w:rFonts w:cs="Arian AMU"/>
                <w:sz w:val="20"/>
                <w:szCs w:val="20"/>
                <w:shd w:val="clear" w:color="auto" w:fill="FFFFFF"/>
              </w:rPr>
              <w:t>ինչպես</w:t>
            </w:r>
            <w:r w:rsidRPr="0053423A">
              <w:rPr>
                <w:rFonts w:cs="Arian AMU"/>
                <w:sz w:val="20"/>
                <w:szCs w:val="20"/>
                <w:shd w:val="clear" w:color="auto" w:fill="FFFFFF"/>
                <w:lang w:val="af-ZA"/>
              </w:rPr>
              <w:t xml:space="preserve"> </w:t>
            </w:r>
            <w:r w:rsidRPr="0053423A">
              <w:rPr>
                <w:rFonts w:cs="Arian AMU"/>
                <w:sz w:val="20"/>
                <w:szCs w:val="20"/>
                <w:shd w:val="clear" w:color="auto" w:fill="FFFFFF"/>
              </w:rPr>
              <w:t>նաև</w:t>
            </w:r>
            <w:r w:rsidRPr="0053423A">
              <w:rPr>
                <w:rFonts w:cs="Arian AMU"/>
                <w:sz w:val="20"/>
                <w:szCs w:val="20"/>
                <w:shd w:val="clear" w:color="auto" w:fill="FFFFFF"/>
                <w:lang w:val="af-ZA"/>
              </w:rPr>
              <w:t xml:space="preserve"> </w:t>
            </w:r>
            <w:r w:rsidRPr="0053423A">
              <w:rPr>
                <w:rFonts w:cs="Arian AMU"/>
                <w:sz w:val="20"/>
                <w:szCs w:val="20"/>
                <w:shd w:val="clear" w:color="auto" w:fill="FFFFFF"/>
              </w:rPr>
              <w:t>վերահսկողության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համակարգի</w:t>
            </w:r>
            <w:r w:rsidRPr="0053423A">
              <w:rPr>
                <w:rFonts w:cs="Arian AMU"/>
                <w:sz w:val="20"/>
                <w:szCs w:val="20"/>
                <w:shd w:val="clear" w:color="auto" w:fill="FFFFFF"/>
                <w:lang w:val="af-ZA"/>
              </w:rPr>
              <w:t xml:space="preserve"> </w:t>
            </w:r>
            <w:r w:rsidRPr="0053423A">
              <w:rPr>
                <w:rFonts w:cs="Arian AMU"/>
                <w:sz w:val="20"/>
                <w:szCs w:val="20"/>
                <w:shd w:val="clear" w:color="auto" w:fill="FFFFFF"/>
              </w:rPr>
              <w:t>ապահովման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համար</w:t>
            </w:r>
            <w:r w:rsidRPr="0053423A">
              <w:rPr>
                <w:rFonts w:cs="Arian AMU"/>
                <w:sz w:val="20"/>
                <w:szCs w:val="20"/>
                <w:shd w:val="clear" w:color="auto" w:fill="FFFFFF"/>
                <w:lang w:val="af-ZA"/>
              </w:rPr>
              <w:t xml:space="preserve"> </w:t>
            </w:r>
            <w:r w:rsidRPr="0053423A">
              <w:rPr>
                <w:rFonts w:cs="Arian AMU"/>
                <w:sz w:val="20"/>
                <w:szCs w:val="20"/>
                <w:shd w:val="clear" w:color="auto" w:fill="FFFFFF"/>
              </w:rPr>
              <w:t>իրավական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երաշխիքների</w:t>
            </w:r>
            <w:r w:rsidRPr="0053423A">
              <w:rPr>
                <w:rFonts w:cs="Arian AMU"/>
                <w:sz w:val="20"/>
                <w:szCs w:val="20"/>
                <w:shd w:val="clear" w:color="auto" w:fill="FFFFFF"/>
                <w:lang w:val="af-ZA"/>
              </w:rPr>
              <w:t xml:space="preserve">, </w:t>
            </w:r>
            <w:r w:rsidRPr="0053423A">
              <w:rPr>
                <w:rFonts w:cs="Arian AMU"/>
                <w:sz w:val="20"/>
                <w:szCs w:val="20"/>
                <w:shd w:val="clear" w:color="auto" w:fill="FFFFFF"/>
              </w:rPr>
              <w:t>օրենսդրական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հիմքի</w:t>
            </w:r>
            <w:r w:rsidRPr="0053423A">
              <w:rPr>
                <w:rFonts w:cs="Arian AMU"/>
                <w:sz w:val="20"/>
                <w:szCs w:val="20"/>
                <w:shd w:val="clear" w:color="auto" w:fill="FFFFFF"/>
                <w:lang w:val="af-ZA"/>
              </w:rPr>
              <w:t xml:space="preserve"> </w:t>
            </w:r>
            <w:r w:rsidRPr="0053423A">
              <w:rPr>
                <w:rFonts w:cs="Arian AMU"/>
                <w:sz w:val="20"/>
                <w:szCs w:val="20"/>
                <w:shd w:val="clear" w:color="auto" w:fill="FFFFFF"/>
              </w:rPr>
              <w:t>ստեղծում</w:t>
            </w:r>
            <w:r w:rsidRPr="0053423A">
              <w:rPr>
                <w:rFonts w:cs="Arian AMU"/>
                <w:sz w:val="20"/>
                <w:szCs w:val="20"/>
                <w:shd w:val="clear" w:color="auto" w:fill="FFFFFF"/>
                <w:lang w:val="af-ZA"/>
              </w:rPr>
              <w:t>:</w:t>
            </w:r>
          </w:p>
          <w:p w:rsidR="00154773" w:rsidRPr="0053423A" w:rsidRDefault="00154773" w:rsidP="00154773">
            <w:pPr>
              <w:rPr>
                <w:rFonts w:eastAsia="Times New Roman" w:cs="Times New Roman"/>
                <w:b/>
                <w:sz w:val="20"/>
                <w:szCs w:val="20"/>
                <w:lang w:val="af-ZA"/>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jc w:val="center"/>
              <w:rPr>
                <w:b/>
                <w:sz w:val="20"/>
                <w:szCs w:val="20"/>
                <w:u w:val="single"/>
                <w:lang w:val="hy-AM"/>
              </w:rPr>
            </w:pPr>
            <w:r w:rsidRPr="0053423A">
              <w:rPr>
                <w:b/>
                <w:sz w:val="20"/>
                <w:szCs w:val="20"/>
                <w:u w:val="single"/>
                <w:lang w:val="af-ZA"/>
              </w:rPr>
              <w:t>15.2  2  «Նախադպրոցական կրթության մասին» նոր խմբագրությամբ Հ օրենքից բխող ենթաօրենսդրական ակտերի մշակում և հաստատում</w:t>
            </w:r>
          </w:p>
          <w:p w:rsidR="00154773" w:rsidRPr="0053423A" w:rsidRDefault="00154773" w:rsidP="00154773">
            <w:pPr>
              <w:rPr>
                <w:rFonts w:cs="Sylfaen"/>
                <w:sz w:val="20"/>
                <w:szCs w:val="20"/>
                <w:lang w:val="fr-FR"/>
              </w:rPr>
            </w:pPr>
          </w:p>
          <w:p w:rsidR="00154773" w:rsidRPr="0053423A" w:rsidRDefault="00154773" w:rsidP="001F6D5D">
            <w:pPr>
              <w:numPr>
                <w:ilvl w:val="0"/>
                <w:numId w:val="494"/>
              </w:numPr>
              <w:contextualSpacing/>
              <w:jc w:val="both"/>
              <w:rPr>
                <w:b/>
                <w:sz w:val="20"/>
                <w:szCs w:val="20"/>
                <w:lang w:val="af-ZA"/>
              </w:rPr>
            </w:pPr>
            <w:r w:rsidRPr="0053423A">
              <w:rPr>
                <w:rFonts w:cs="Sylfaen"/>
                <w:b/>
                <w:sz w:val="20"/>
                <w:szCs w:val="20"/>
              </w:rPr>
              <w:t>Միջոցառման</w:t>
            </w:r>
            <w:r w:rsidRPr="0053423A">
              <w:rPr>
                <w:b/>
                <w:sz w:val="20"/>
                <w:szCs w:val="20"/>
                <w:lang w:val="af-ZA"/>
              </w:rPr>
              <w:t xml:space="preserve"> </w:t>
            </w:r>
            <w:r w:rsidRPr="0053423A">
              <w:rPr>
                <w:b/>
                <w:sz w:val="20"/>
                <w:szCs w:val="20"/>
              </w:rPr>
              <w:t>իրականացման</w:t>
            </w:r>
            <w:r w:rsidRPr="0053423A">
              <w:rPr>
                <w:b/>
                <w:sz w:val="20"/>
                <w:szCs w:val="20"/>
                <w:lang w:val="af-ZA"/>
              </w:rPr>
              <w:t xml:space="preserve"> </w:t>
            </w:r>
            <w:r w:rsidRPr="0053423A">
              <w:rPr>
                <w:b/>
                <w:sz w:val="20"/>
                <w:szCs w:val="20"/>
              </w:rPr>
              <w:t>անհրաժեշտությունը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նպատակը՝</w:t>
            </w:r>
          </w:p>
          <w:p w:rsidR="00154773" w:rsidRPr="0053423A" w:rsidRDefault="00154773" w:rsidP="00154773">
            <w:pPr>
              <w:jc w:val="both"/>
              <w:rPr>
                <w:b/>
                <w:sz w:val="20"/>
                <w:szCs w:val="20"/>
                <w:lang w:val="af-ZA"/>
              </w:rPr>
            </w:pPr>
          </w:p>
          <w:p w:rsidR="00154773" w:rsidRPr="0053423A" w:rsidRDefault="00154773" w:rsidP="00154773">
            <w:pPr>
              <w:ind w:firstLine="284"/>
              <w:contextualSpacing/>
              <w:jc w:val="both"/>
              <w:rPr>
                <w:rFonts w:eastAsia="Times New Roman" w:cs="Sylfaen"/>
                <w:sz w:val="20"/>
                <w:szCs w:val="20"/>
                <w:lang w:val="af-ZA"/>
              </w:rPr>
            </w:pPr>
            <w:r w:rsidRPr="0053423A">
              <w:rPr>
                <w:rFonts w:eastAsia="Times New Roman" w:cs="Times New Roman"/>
                <w:b/>
                <w:sz w:val="20"/>
                <w:szCs w:val="20"/>
                <w:lang w:val="af-ZA"/>
              </w:rPr>
              <w:t xml:space="preserve">   </w:t>
            </w:r>
            <w:r w:rsidRPr="0053423A">
              <w:rPr>
                <w:rFonts w:eastAsia="Times New Roman" w:cs="Sylfaen"/>
                <w:sz w:val="20"/>
                <w:szCs w:val="20"/>
              </w:rPr>
              <w:t>Միջոցառման</w:t>
            </w:r>
            <w:r w:rsidRPr="0053423A">
              <w:rPr>
                <w:rFonts w:eastAsia="Times New Roman" w:cs="Sylfaen"/>
                <w:sz w:val="20"/>
                <w:szCs w:val="20"/>
                <w:lang w:val="af-ZA"/>
              </w:rPr>
              <w:t xml:space="preserve"> </w:t>
            </w:r>
            <w:r w:rsidRPr="0053423A">
              <w:rPr>
                <w:rFonts w:eastAsia="Times New Roman" w:cs="Sylfaen"/>
                <w:sz w:val="20"/>
                <w:szCs w:val="20"/>
              </w:rPr>
              <w:t>գլխավոր</w:t>
            </w:r>
            <w:r w:rsidRPr="0053423A">
              <w:rPr>
                <w:rFonts w:eastAsia="Times New Roman" w:cs="Sylfaen"/>
                <w:sz w:val="20"/>
                <w:szCs w:val="20"/>
                <w:lang w:val="af-ZA"/>
              </w:rPr>
              <w:t xml:space="preserve"> </w:t>
            </w:r>
            <w:r w:rsidRPr="0053423A">
              <w:rPr>
                <w:rFonts w:eastAsia="Times New Roman" w:cs="Sylfaen"/>
                <w:sz w:val="20"/>
                <w:szCs w:val="20"/>
              </w:rPr>
              <w:t>նպատակն</w:t>
            </w:r>
            <w:r w:rsidRPr="0053423A">
              <w:rPr>
                <w:rFonts w:eastAsia="Times New Roman" w:cs="Sylfaen"/>
                <w:sz w:val="20"/>
                <w:szCs w:val="20"/>
                <w:lang w:val="af-ZA"/>
              </w:rPr>
              <w:t xml:space="preserve"> </w:t>
            </w:r>
            <w:r w:rsidRPr="0053423A">
              <w:rPr>
                <w:rFonts w:eastAsia="Times New Roman" w:cs="Sylfaen"/>
                <w:sz w:val="20"/>
                <w:szCs w:val="20"/>
              </w:rPr>
              <w:t>է</w:t>
            </w:r>
            <w:r w:rsidRPr="0053423A">
              <w:rPr>
                <w:rFonts w:eastAsia="Times New Roman" w:cs="Sylfaen"/>
                <w:sz w:val="20"/>
                <w:szCs w:val="20"/>
                <w:lang w:val="af-ZA"/>
              </w:rPr>
              <w:t xml:space="preserve"> </w:t>
            </w:r>
            <w:r w:rsidRPr="0053423A">
              <w:rPr>
                <w:rFonts w:eastAsia="Times New Roman" w:cs="Sylfaen"/>
                <w:sz w:val="20"/>
                <w:szCs w:val="20"/>
              </w:rPr>
              <w:t>որակյալ</w:t>
            </w:r>
            <w:r w:rsidRPr="0053423A">
              <w:rPr>
                <w:rFonts w:eastAsia="Times New Roman" w:cs="Sylfaen"/>
                <w:sz w:val="20"/>
                <w:szCs w:val="20"/>
                <w:lang w:val="af-ZA"/>
              </w:rPr>
              <w:t xml:space="preserve"> </w:t>
            </w:r>
            <w:r w:rsidRPr="0053423A">
              <w:rPr>
                <w:rFonts w:eastAsia="Times New Roman" w:cs="Sylfaen"/>
                <w:sz w:val="20"/>
                <w:szCs w:val="20"/>
              </w:rPr>
              <w:t>կրթության</w:t>
            </w:r>
            <w:r w:rsidRPr="0053423A">
              <w:rPr>
                <w:rFonts w:eastAsia="Times New Roman" w:cs="Sylfaen"/>
                <w:sz w:val="20"/>
                <w:szCs w:val="20"/>
                <w:lang w:val="af-ZA"/>
              </w:rPr>
              <w:t xml:space="preserve"> </w:t>
            </w:r>
            <w:r w:rsidRPr="0053423A">
              <w:rPr>
                <w:rFonts w:eastAsia="Times New Roman" w:cs="Sylfaen"/>
                <w:sz w:val="20"/>
                <w:szCs w:val="20"/>
              </w:rPr>
              <w:t>հավասար</w:t>
            </w:r>
            <w:r w:rsidRPr="0053423A">
              <w:rPr>
                <w:rFonts w:eastAsia="Times New Roman" w:cs="Sylfaen"/>
                <w:sz w:val="20"/>
                <w:szCs w:val="20"/>
                <w:lang w:val="af-ZA"/>
              </w:rPr>
              <w:t xml:space="preserve"> </w:t>
            </w:r>
            <w:r w:rsidRPr="0053423A">
              <w:rPr>
                <w:rFonts w:eastAsia="Times New Roman" w:cs="Sylfaen"/>
                <w:sz w:val="20"/>
                <w:szCs w:val="20"/>
              </w:rPr>
              <w:t>մատչելիության</w:t>
            </w:r>
            <w:r w:rsidRPr="0053423A">
              <w:rPr>
                <w:rFonts w:eastAsia="Times New Roman" w:cs="Sylfaen"/>
                <w:sz w:val="20"/>
                <w:szCs w:val="20"/>
                <w:lang w:val="af-ZA"/>
              </w:rPr>
              <w:t xml:space="preserve"> </w:t>
            </w:r>
            <w:r w:rsidRPr="0053423A">
              <w:rPr>
                <w:rFonts w:eastAsia="Times New Roman" w:cs="Sylfaen"/>
                <w:sz w:val="20"/>
                <w:szCs w:val="20"/>
              </w:rPr>
              <w:t>և</w:t>
            </w:r>
            <w:r w:rsidRPr="0053423A">
              <w:rPr>
                <w:rFonts w:eastAsia="Times New Roman" w:cs="Sylfaen"/>
                <w:sz w:val="20"/>
                <w:szCs w:val="20"/>
                <w:lang w:val="af-ZA"/>
              </w:rPr>
              <w:t xml:space="preserve"> </w:t>
            </w:r>
            <w:r w:rsidRPr="0053423A">
              <w:rPr>
                <w:rFonts w:eastAsia="Times New Roman" w:cs="Sylfaen"/>
                <w:sz w:val="20"/>
                <w:szCs w:val="20"/>
              </w:rPr>
              <w:t>ընդգրկվածության</w:t>
            </w:r>
            <w:r w:rsidRPr="0053423A">
              <w:rPr>
                <w:rFonts w:eastAsia="Times New Roman" w:cs="Sylfaen"/>
                <w:sz w:val="20"/>
                <w:szCs w:val="20"/>
                <w:lang w:val="af-ZA"/>
              </w:rPr>
              <w:t xml:space="preserve"> </w:t>
            </w:r>
            <w:r w:rsidRPr="0053423A">
              <w:rPr>
                <w:rFonts w:eastAsia="Times New Roman" w:cs="Sylfaen"/>
                <w:sz w:val="20"/>
                <w:szCs w:val="20"/>
              </w:rPr>
              <w:t>ապահովումը</w:t>
            </w:r>
            <w:r w:rsidRPr="0053423A">
              <w:rPr>
                <w:rFonts w:eastAsia="Times New Roman" w:cs="Sylfaen"/>
                <w:sz w:val="20"/>
                <w:szCs w:val="20"/>
                <w:lang w:val="af-ZA"/>
              </w:rPr>
              <w:t>:</w:t>
            </w:r>
          </w:p>
          <w:p w:rsidR="00154773" w:rsidRPr="0053423A" w:rsidRDefault="00154773" w:rsidP="00154773">
            <w:pPr>
              <w:ind w:firstLine="284"/>
              <w:contextualSpacing/>
              <w:jc w:val="both"/>
              <w:rPr>
                <w:rFonts w:eastAsia="Calibri" w:cs="Arian AMU"/>
                <w:sz w:val="20"/>
                <w:szCs w:val="20"/>
                <w:lang w:val="hy-AM"/>
              </w:rPr>
            </w:pPr>
            <w:r w:rsidRPr="0053423A">
              <w:rPr>
                <w:rFonts w:eastAsia="Times New Roman" w:cs="Times New Roman"/>
                <w:spacing w:val="-4"/>
                <w:sz w:val="20"/>
                <w:szCs w:val="20"/>
              </w:rPr>
              <w:t>Միջոցառումների</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անհրաժեշտությունը</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բխում</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է</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ՀՀ</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ԱԺ</w:t>
            </w:r>
            <w:r w:rsidRPr="0053423A">
              <w:rPr>
                <w:rFonts w:eastAsia="Times New Roman" w:cs="Times New Roman"/>
                <w:spacing w:val="-4"/>
                <w:sz w:val="20"/>
                <w:szCs w:val="20"/>
                <w:lang w:val="af-ZA"/>
              </w:rPr>
              <w:t xml:space="preserve"> 2019 </w:t>
            </w:r>
            <w:r w:rsidRPr="0053423A">
              <w:rPr>
                <w:rFonts w:eastAsia="Times New Roman" w:cs="Times New Roman"/>
                <w:spacing w:val="-4"/>
                <w:sz w:val="20"/>
                <w:szCs w:val="20"/>
              </w:rPr>
              <w:t>թվականի</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փետրվարի</w:t>
            </w:r>
            <w:r w:rsidRPr="0053423A">
              <w:rPr>
                <w:rFonts w:eastAsia="Times New Roman" w:cs="Times New Roman"/>
                <w:spacing w:val="-4"/>
                <w:sz w:val="20"/>
                <w:szCs w:val="20"/>
                <w:lang w:val="af-ZA"/>
              </w:rPr>
              <w:t xml:space="preserve"> 14-</w:t>
            </w:r>
            <w:r w:rsidRPr="0053423A">
              <w:rPr>
                <w:rFonts w:eastAsia="Times New Roman" w:cs="Times New Roman"/>
                <w:spacing w:val="-4"/>
                <w:sz w:val="20"/>
                <w:szCs w:val="20"/>
              </w:rPr>
              <w:t>ի</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ԱԺՈ</w:t>
            </w:r>
            <w:r w:rsidRPr="0053423A">
              <w:rPr>
                <w:rFonts w:eastAsia="Times New Roman" w:cs="Times New Roman"/>
                <w:spacing w:val="-4"/>
                <w:sz w:val="20"/>
                <w:szCs w:val="20"/>
                <w:lang w:val="af-ZA"/>
              </w:rPr>
              <w:t>-002-</w:t>
            </w:r>
            <w:r w:rsidRPr="0053423A">
              <w:rPr>
                <w:rFonts w:eastAsia="Times New Roman" w:cs="Times New Roman"/>
                <w:spacing w:val="-4"/>
                <w:sz w:val="20"/>
                <w:szCs w:val="20"/>
              </w:rPr>
              <w:t>Ն</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որոշմամբ</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հավանության</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արժանացած</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ՀՀ</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կառավարության</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ծրագրի</w:t>
            </w:r>
            <w:r w:rsidRPr="0053423A">
              <w:rPr>
                <w:rFonts w:eastAsia="Times New Roman" w:cs="Times New Roman"/>
                <w:spacing w:val="-4"/>
                <w:sz w:val="20"/>
                <w:szCs w:val="20"/>
                <w:lang w:val="af-ZA"/>
              </w:rPr>
              <w:t xml:space="preserve"> </w:t>
            </w:r>
            <w:r w:rsidRPr="0053423A">
              <w:rPr>
                <w:rFonts w:eastAsia="Times New Roman" w:cs="Times New Roman"/>
                <w:sz w:val="20"/>
                <w:szCs w:val="20"/>
                <w:lang w:val="af-ZA"/>
              </w:rPr>
              <w:t>«</w:t>
            </w:r>
            <w:r w:rsidRPr="0053423A">
              <w:rPr>
                <w:rFonts w:eastAsia="Times New Roman" w:cs="Times New Roman"/>
                <w:spacing w:val="-4"/>
                <w:sz w:val="20"/>
                <w:szCs w:val="20"/>
                <w:lang w:val="af-ZA"/>
              </w:rPr>
              <w:t xml:space="preserve">4.4 </w:t>
            </w:r>
            <w:r w:rsidRPr="0053423A">
              <w:rPr>
                <w:rFonts w:eastAsia="Times New Roman" w:cs="Times New Roman"/>
                <w:spacing w:val="-4"/>
                <w:sz w:val="20"/>
                <w:szCs w:val="20"/>
              </w:rPr>
              <w:t>ԿՐԹՈՒԹՅՈՒՆ</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ԵՎ</w:t>
            </w:r>
            <w:r w:rsidRPr="0053423A">
              <w:rPr>
                <w:rFonts w:eastAsia="Times New Roman" w:cs="Times New Roman"/>
                <w:spacing w:val="-4"/>
                <w:sz w:val="20"/>
                <w:szCs w:val="20"/>
                <w:lang w:val="af-ZA"/>
              </w:rPr>
              <w:t xml:space="preserve"> </w:t>
            </w:r>
            <w:r w:rsidRPr="0053423A">
              <w:rPr>
                <w:rFonts w:eastAsia="Times New Roman" w:cs="Times New Roman"/>
                <w:spacing w:val="-4"/>
                <w:sz w:val="20"/>
                <w:szCs w:val="20"/>
              </w:rPr>
              <w:t>ԳԻՏՈՒԹՅՈՒՆ</w:t>
            </w:r>
            <w:r w:rsidRPr="0053423A">
              <w:rPr>
                <w:rFonts w:eastAsia="Times New Roman" w:cs="Times New Roman"/>
                <w:sz w:val="20"/>
                <w:szCs w:val="20"/>
                <w:lang w:val="af-ZA"/>
              </w:rPr>
              <w:t xml:space="preserve">»  </w:t>
            </w:r>
            <w:r w:rsidRPr="0053423A">
              <w:rPr>
                <w:rFonts w:eastAsia="Calibri" w:cs="Sylfaen"/>
                <w:sz w:val="20"/>
                <w:szCs w:val="20"/>
                <w:lang w:val="hy-AM"/>
              </w:rPr>
              <w:t>բաժնի</w:t>
            </w:r>
            <w:r w:rsidRPr="0053423A">
              <w:rPr>
                <w:rFonts w:eastAsia="Calibri" w:cs="Sylfaen"/>
                <w:sz w:val="20"/>
                <w:szCs w:val="20"/>
                <w:lang w:val="af-ZA"/>
              </w:rPr>
              <w:t xml:space="preserve"> </w:t>
            </w:r>
            <w:r w:rsidRPr="0053423A">
              <w:rPr>
                <w:rFonts w:eastAsia="Calibri" w:cs="Sylfaen"/>
                <w:sz w:val="20"/>
                <w:szCs w:val="20"/>
                <w:lang w:val="hy-AM"/>
              </w:rPr>
              <w:t>4-րդ պարբերության պահանջներից</w:t>
            </w:r>
            <w:r w:rsidRPr="0053423A">
              <w:rPr>
                <w:rFonts w:eastAsia="Calibri" w:cs="Arian AMU"/>
                <w:sz w:val="20"/>
                <w:szCs w:val="20"/>
                <w:lang w:val="hy-AM"/>
              </w:rPr>
              <w:t xml:space="preserve">: </w:t>
            </w:r>
          </w:p>
          <w:p w:rsidR="00154773" w:rsidRPr="0053423A" w:rsidRDefault="00154773" w:rsidP="00154773">
            <w:pPr>
              <w:jc w:val="both"/>
              <w:rPr>
                <w:b/>
                <w:sz w:val="20"/>
                <w:szCs w:val="20"/>
                <w:lang w:val="af-ZA"/>
              </w:rPr>
            </w:pPr>
            <w:r w:rsidRPr="0053423A">
              <w:rPr>
                <w:b/>
                <w:sz w:val="20"/>
                <w:szCs w:val="20"/>
                <w:lang w:val="af-ZA"/>
              </w:rPr>
              <w:t xml:space="preserve"> </w:t>
            </w:r>
            <w:r w:rsidRPr="0053423A">
              <w:rPr>
                <w:sz w:val="20"/>
                <w:szCs w:val="20"/>
                <w:lang w:val="af-ZA"/>
              </w:rPr>
              <w:t>&lt;&lt;Նախադպրոցական կրթության մասին&gt;&gt; ՀՀ օրենքի պահանջների իրականացման նպատակով առկա է ենթաօրենսդրական իրավական ակտերի մշակման և հաստատման անհրաժեշտություն:</w:t>
            </w:r>
          </w:p>
          <w:p w:rsidR="00154773" w:rsidRPr="0053423A" w:rsidRDefault="00154773" w:rsidP="00154773">
            <w:pPr>
              <w:jc w:val="both"/>
              <w:rPr>
                <w:b/>
                <w:sz w:val="20"/>
                <w:szCs w:val="20"/>
                <w:lang w:val="af-ZA"/>
              </w:rPr>
            </w:pPr>
          </w:p>
          <w:p w:rsidR="00154773" w:rsidRPr="0053423A" w:rsidRDefault="00154773" w:rsidP="00154773">
            <w:pPr>
              <w:ind w:left="720"/>
              <w:contextualSpacing/>
              <w:jc w:val="both"/>
              <w:rPr>
                <w:rFonts w:eastAsia="Times New Roman" w:cs="Times New Roman"/>
                <w:b/>
                <w:sz w:val="20"/>
                <w:szCs w:val="20"/>
                <w:lang w:val="af-ZA"/>
              </w:rPr>
            </w:pPr>
            <w:r w:rsidRPr="0053423A">
              <w:rPr>
                <w:rFonts w:eastAsia="Times New Roman" w:cs="Times New Roman"/>
                <w:b/>
                <w:sz w:val="20"/>
                <w:szCs w:val="20"/>
                <w:lang w:val="af-ZA"/>
              </w:rPr>
              <w:t>1</w:t>
            </w:r>
            <w:r w:rsidRPr="0053423A">
              <w:rPr>
                <w:rFonts w:eastAsia="Times New Roman" w:cs="Times New Roman"/>
                <w:b/>
                <w:sz w:val="20"/>
                <w:szCs w:val="20"/>
                <w:lang w:val="hy-AM"/>
              </w:rPr>
              <w:t>.1.</w:t>
            </w:r>
            <w:r w:rsidRPr="0053423A">
              <w:rPr>
                <w:rFonts w:eastAsia="Times New Roman" w:cs="Times New Roman"/>
                <w:b/>
                <w:sz w:val="20"/>
                <w:szCs w:val="20"/>
                <w:lang w:val="af-ZA"/>
              </w:rPr>
              <w:t xml:space="preserve"> </w:t>
            </w:r>
            <w:r w:rsidRPr="0053423A">
              <w:rPr>
                <w:rFonts w:eastAsia="Times New Roman" w:cs="Times New Roman"/>
                <w:b/>
                <w:sz w:val="20"/>
                <w:szCs w:val="20"/>
              </w:rPr>
              <w:t>կ</w:t>
            </w:r>
            <w:r w:rsidRPr="0053423A">
              <w:rPr>
                <w:rFonts w:eastAsia="Times New Roman" w:cs="Times New Roman"/>
                <w:b/>
                <w:sz w:val="20"/>
                <w:szCs w:val="20"/>
                <w:lang w:val="hy-AM"/>
              </w:rPr>
              <w:t>արգավորման հարաբերությունների ներկա վիճակը և առկա խնդիրները</w:t>
            </w:r>
            <w:r w:rsidRPr="0053423A">
              <w:rPr>
                <w:rFonts w:eastAsia="Times New Roman" w:cs="Times New Roman"/>
                <w:b/>
                <w:sz w:val="20"/>
                <w:szCs w:val="20"/>
                <w:lang w:val="af-ZA"/>
              </w:rPr>
              <w:t>.</w:t>
            </w:r>
          </w:p>
          <w:p w:rsidR="00154773" w:rsidRPr="0053423A" w:rsidRDefault="00154773" w:rsidP="00154773">
            <w:pPr>
              <w:ind w:left="720"/>
              <w:contextualSpacing/>
              <w:jc w:val="both"/>
              <w:rPr>
                <w:rFonts w:eastAsia="Times New Roman" w:cs="Times New Roman"/>
                <w:b/>
                <w:sz w:val="20"/>
                <w:szCs w:val="20"/>
                <w:lang w:val="af-ZA"/>
              </w:rPr>
            </w:pPr>
          </w:p>
          <w:p w:rsidR="00154773" w:rsidRPr="0053423A" w:rsidRDefault="00154773" w:rsidP="00154773">
            <w:pPr>
              <w:ind w:left="720"/>
              <w:contextualSpacing/>
              <w:jc w:val="both"/>
              <w:rPr>
                <w:rFonts w:eastAsia="Times New Roman" w:cs="Times New Roman"/>
                <w:b/>
                <w:sz w:val="20"/>
                <w:szCs w:val="20"/>
                <w:lang w:val="af-ZA"/>
              </w:rPr>
            </w:pPr>
          </w:p>
          <w:p w:rsidR="00154773" w:rsidRPr="0053423A" w:rsidRDefault="00154773" w:rsidP="00154773">
            <w:pPr>
              <w:ind w:left="720"/>
              <w:contextualSpacing/>
              <w:jc w:val="both"/>
              <w:rPr>
                <w:sz w:val="20"/>
                <w:szCs w:val="20"/>
                <w:lang w:val="af-ZA"/>
              </w:rPr>
            </w:pPr>
            <w:r w:rsidRPr="0053423A">
              <w:rPr>
                <w:rFonts w:cs="Sylfaen"/>
                <w:sz w:val="20"/>
                <w:szCs w:val="20"/>
                <w:lang w:val="af-ZA"/>
              </w:rPr>
              <w:t xml:space="preserve">Գործող ենթաօրենսդրական ակտերը ունեն լրամշակման կարիք և </w:t>
            </w:r>
            <w:r w:rsidRPr="0053423A">
              <w:rPr>
                <w:b/>
                <w:sz w:val="20"/>
                <w:szCs w:val="20"/>
                <w:lang w:val="af-ZA"/>
              </w:rPr>
              <w:t xml:space="preserve">    </w:t>
            </w:r>
            <w:r w:rsidRPr="0053423A">
              <w:rPr>
                <w:sz w:val="20"/>
                <w:szCs w:val="20"/>
                <w:lang w:val="af-ZA"/>
              </w:rPr>
              <w:t>&lt;&lt;Նախադպրոցական կրթության մասին&gt;&gt; նոր խմբագրությամբ ՀՀ օրենքի նախագծի պահանջներին չեն բավարարում:</w:t>
            </w:r>
          </w:p>
          <w:p w:rsidR="00154773" w:rsidRPr="0053423A" w:rsidRDefault="00154773" w:rsidP="00154773">
            <w:pPr>
              <w:ind w:left="720"/>
              <w:contextualSpacing/>
              <w:jc w:val="both"/>
              <w:rPr>
                <w:rFonts w:cs="Sylfaen"/>
                <w:sz w:val="20"/>
                <w:szCs w:val="20"/>
                <w:lang w:val="af-ZA"/>
              </w:rPr>
            </w:pPr>
          </w:p>
          <w:p w:rsidR="00154773" w:rsidRPr="0053423A" w:rsidRDefault="00154773" w:rsidP="00154773">
            <w:pPr>
              <w:ind w:left="735"/>
              <w:contextualSpacing/>
              <w:rPr>
                <w:rFonts w:eastAsia="Times New Roman" w:cs="Times New Roman"/>
                <w:b/>
                <w:sz w:val="20"/>
                <w:szCs w:val="20"/>
                <w:lang w:val="af-ZA"/>
              </w:rPr>
            </w:pPr>
            <w:r w:rsidRPr="0053423A">
              <w:rPr>
                <w:rFonts w:eastAsia="Times New Roman" w:cs="Times New Roman"/>
                <w:b/>
                <w:sz w:val="20"/>
                <w:szCs w:val="20"/>
                <w:lang w:val="af-ZA"/>
              </w:rPr>
              <w:t xml:space="preserve">1.2. </w:t>
            </w:r>
            <w:r w:rsidRPr="0053423A">
              <w:rPr>
                <w:rFonts w:eastAsia="Times New Roman" w:cs="Times New Roman"/>
                <w:b/>
                <w:sz w:val="20"/>
                <w:szCs w:val="20"/>
              </w:rPr>
              <w:t>ա</w:t>
            </w:r>
            <w:r w:rsidRPr="0053423A">
              <w:rPr>
                <w:rFonts w:eastAsia="Times New Roman" w:cs="Times New Roman"/>
                <w:b/>
                <w:sz w:val="20"/>
                <w:szCs w:val="20"/>
                <w:lang w:val="hy-AM"/>
              </w:rPr>
              <w:t>ռկա խնդիրների առաջարկվող լուծումները</w:t>
            </w:r>
          </w:p>
          <w:p w:rsidR="00154773" w:rsidRPr="0053423A" w:rsidRDefault="00154773" w:rsidP="00154773">
            <w:pPr>
              <w:ind w:left="735"/>
              <w:contextualSpacing/>
              <w:rPr>
                <w:rFonts w:eastAsia="Times New Roman" w:cs="Times New Roman"/>
                <w:b/>
                <w:sz w:val="20"/>
                <w:szCs w:val="20"/>
                <w:lang w:val="af-ZA"/>
              </w:rPr>
            </w:pPr>
          </w:p>
          <w:p w:rsidR="00154773" w:rsidRPr="0053423A" w:rsidRDefault="00154773" w:rsidP="00154773">
            <w:pPr>
              <w:tabs>
                <w:tab w:val="left" w:pos="2790"/>
              </w:tabs>
              <w:ind w:left="720"/>
              <w:contextualSpacing/>
              <w:jc w:val="both"/>
              <w:rPr>
                <w:rFonts w:cs="Sylfaen"/>
                <w:sz w:val="20"/>
                <w:szCs w:val="20"/>
                <w:lang w:val="af-ZA"/>
              </w:rPr>
            </w:pPr>
            <w:r w:rsidRPr="0053423A">
              <w:rPr>
                <w:rFonts w:cs="Sylfaen"/>
                <w:sz w:val="20"/>
                <w:szCs w:val="20"/>
                <w:lang w:val="af-ZA"/>
              </w:rPr>
              <w:t>Ենթաօրենսդրական դաշտի համապատասխանեցում:</w:t>
            </w:r>
          </w:p>
          <w:p w:rsidR="00154773" w:rsidRPr="0053423A" w:rsidRDefault="00154773" w:rsidP="00154773">
            <w:pPr>
              <w:tabs>
                <w:tab w:val="left" w:pos="2790"/>
              </w:tabs>
              <w:ind w:left="720"/>
              <w:contextualSpacing/>
              <w:jc w:val="both"/>
              <w:rPr>
                <w:rFonts w:cs="Sylfaen"/>
                <w:sz w:val="20"/>
                <w:szCs w:val="20"/>
                <w:lang w:val="af-ZA"/>
              </w:rPr>
            </w:pPr>
          </w:p>
          <w:p w:rsidR="00154773" w:rsidRPr="0053423A" w:rsidRDefault="00154773" w:rsidP="001F6D5D">
            <w:pPr>
              <w:numPr>
                <w:ilvl w:val="0"/>
                <w:numId w:val="494"/>
              </w:numPr>
              <w:tabs>
                <w:tab w:val="left" w:pos="2790"/>
              </w:tabs>
              <w:contextualSpacing/>
              <w:jc w:val="both"/>
              <w:rPr>
                <w:rFonts w:cs="Sylfaen"/>
                <w:sz w:val="20"/>
                <w:szCs w:val="20"/>
                <w:lang w:val="af-ZA"/>
              </w:rPr>
            </w:pPr>
            <w:r w:rsidRPr="0053423A">
              <w:rPr>
                <w:b/>
                <w:sz w:val="20"/>
                <w:szCs w:val="20"/>
              </w:rPr>
              <w:t>Միջոցառման</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r w:rsidRPr="0053423A">
              <w:rPr>
                <w:sz w:val="20"/>
                <w:szCs w:val="20"/>
                <w:lang w:val="af-ZA"/>
              </w:rPr>
              <w:t xml:space="preserve"> </w:t>
            </w:r>
          </w:p>
          <w:p w:rsidR="00154773" w:rsidRPr="0053423A" w:rsidRDefault="00154773" w:rsidP="00154773">
            <w:pPr>
              <w:tabs>
                <w:tab w:val="left" w:pos="2790"/>
              </w:tabs>
              <w:ind w:left="720"/>
              <w:contextualSpacing/>
              <w:jc w:val="both"/>
              <w:rPr>
                <w:rFonts w:cs="Sylfaen"/>
                <w:sz w:val="20"/>
                <w:szCs w:val="20"/>
                <w:lang w:val="af-ZA"/>
              </w:rPr>
            </w:pPr>
          </w:p>
          <w:p w:rsidR="00154773" w:rsidRPr="0053423A" w:rsidRDefault="00154773" w:rsidP="00154773">
            <w:pPr>
              <w:tabs>
                <w:tab w:val="left" w:pos="2790"/>
              </w:tabs>
              <w:ind w:firstLine="342"/>
              <w:contextualSpacing/>
              <w:jc w:val="both"/>
              <w:rPr>
                <w:rFonts w:cs="Sylfaen"/>
                <w:sz w:val="20"/>
                <w:szCs w:val="20"/>
                <w:lang w:val="af-ZA"/>
              </w:rPr>
            </w:pPr>
            <w:r w:rsidRPr="0053423A">
              <w:rPr>
                <w:sz w:val="20"/>
                <w:szCs w:val="20"/>
                <w:lang w:val="hy-AM"/>
              </w:rPr>
              <w:t>«</w:t>
            </w:r>
            <w:r w:rsidRPr="0053423A">
              <w:rPr>
                <w:sz w:val="20"/>
                <w:szCs w:val="20"/>
                <w:lang w:val="af-ZA"/>
              </w:rPr>
              <w:t>Նախադպրոցական կրթության մասին</w:t>
            </w:r>
            <w:r w:rsidRPr="0053423A">
              <w:rPr>
                <w:sz w:val="20"/>
                <w:szCs w:val="20"/>
                <w:lang w:val="hy-AM"/>
              </w:rPr>
              <w:t>»</w:t>
            </w:r>
            <w:r w:rsidRPr="0053423A">
              <w:rPr>
                <w:sz w:val="20"/>
                <w:szCs w:val="20"/>
                <w:lang w:val="af-ZA"/>
              </w:rPr>
              <w:t xml:space="preserve"> նոր խմբագրությամբ ՀՀ օրենքի պահանջների պատշաճ իրականացում:</w:t>
            </w:r>
          </w:p>
          <w:p w:rsidR="00154773" w:rsidRPr="0053423A" w:rsidRDefault="00154773" w:rsidP="00154773">
            <w:pPr>
              <w:jc w:val="center"/>
              <w:rPr>
                <w:rFonts w:eastAsia="Times New Roman" w:cs="Times New Roman"/>
                <w:b/>
                <w:sz w:val="20"/>
                <w:szCs w:val="20"/>
                <w:lang w:val="af-ZA"/>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jc w:val="center"/>
              <w:rPr>
                <w:b/>
                <w:sz w:val="20"/>
                <w:szCs w:val="20"/>
                <w:u w:val="single"/>
                <w:lang w:val="af-ZA"/>
              </w:rPr>
            </w:pPr>
            <w:r w:rsidRPr="0053423A">
              <w:rPr>
                <w:b/>
                <w:sz w:val="20"/>
                <w:szCs w:val="20"/>
                <w:u w:val="single"/>
                <w:lang w:val="af-ZA"/>
              </w:rPr>
              <w:t>15.3 Նախադպրոցական կրթության կազմակերպման այլընտրանքային, ծախսարդյունավետ մոդելների մշակում և ներդրում</w:t>
            </w:r>
          </w:p>
          <w:p w:rsidR="00154773" w:rsidRPr="0053423A" w:rsidRDefault="00154773" w:rsidP="00154773">
            <w:pPr>
              <w:rPr>
                <w:rFonts w:cs="Sylfaen"/>
                <w:sz w:val="20"/>
                <w:szCs w:val="20"/>
                <w:lang w:val="fr-FR"/>
              </w:rPr>
            </w:pPr>
          </w:p>
          <w:p w:rsidR="00154773" w:rsidRPr="0053423A" w:rsidRDefault="00154773" w:rsidP="001F6D5D">
            <w:pPr>
              <w:numPr>
                <w:ilvl w:val="0"/>
                <w:numId w:val="495"/>
              </w:numPr>
              <w:contextualSpacing/>
              <w:jc w:val="both"/>
              <w:rPr>
                <w:b/>
                <w:sz w:val="20"/>
                <w:szCs w:val="20"/>
                <w:lang w:val="af-ZA"/>
              </w:rPr>
            </w:pPr>
            <w:r w:rsidRPr="0053423A">
              <w:rPr>
                <w:rFonts w:cs="Sylfaen"/>
                <w:b/>
                <w:sz w:val="20"/>
                <w:szCs w:val="20"/>
              </w:rPr>
              <w:t>Միջոցառման</w:t>
            </w:r>
            <w:r w:rsidRPr="0053423A">
              <w:rPr>
                <w:b/>
                <w:sz w:val="20"/>
                <w:szCs w:val="20"/>
                <w:lang w:val="af-ZA"/>
              </w:rPr>
              <w:t xml:space="preserve"> </w:t>
            </w:r>
            <w:r w:rsidRPr="0053423A">
              <w:rPr>
                <w:b/>
                <w:sz w:val="20"/>
                <w:szCs w:val="20"/>
              </w:rPr>
              <w:t>իրականացման</w:t>
            </w:r>
            <w:r w:rsidRPr="0053423A">
              <w:rPr>
                <w:b/>
                <w:sz w:val="20"/>
                <w:szCs w:val="20"/>
                <w:lang w:val="af-ZA"/>
              </w:rPr>
              <w:t xml:space="preserve"> </w:t>
            </w:r>
            <w:r w:rsidRPr="0053423A">
              <w:rPr>
                <w:b/>
                <w:sz w:val="20"/>
                <w:szCs w:val="20"/>
              </w:rPr>
              <w:t>անհրաժեշտությունը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նպատակը՝</w:t>
            </w:r>
          </w:p>
          <w:p w:rsidR="00154773" w:rsidRPr="0053423A" w:rsidRDefault="00154773" w:rsidP="00154773">
            <w:pPr>
              <w:jc w:val="both"/>
              <w:rPr>
                <w:b/>
                <w:sz w:val="20"/>
                <w:szCs w:val="20"/>
                <w:lang w:val="af-ZA"/>
              </w:rPr>
            </w:pPr>
          </w:p>
          <w:p w:rsidR="00154773" w:rsidRPr="0053423A" w:rsidRDefault="00154773" w:rsidP="00154773">
            <w:pPr>
              <w:ind w:firstLine="284"/>
              <w:contextualSpacing/>
              <w:jc w:val="both"/>
              <w:rPr>
                <w:rFonts w:eastAsia="Times New Roman" w:cs="Sylfaen"/>
                <w:sz w:val="20"/>
                <w:szCs w:val="20"/>
                <w:lang w:val="af-ZA"/>
              </w:rPr>
            </w:pPr>
            <w:r w:rsidRPr="0053423A">
              <w:rPr>
                <w:rFonts w:eastAsia="Times New Roman" w:cs="Times New Roman"/>
                <w:b/>
                <w:sz w:val="20"/>
                <w:szCs w:val="20"/>
                <w:lang w:val="af-ZA"/>
              </w:rPr>
              <w:t xml:space="preserve">   </w:t>
            </w:r>
            <w:r w:rsidRPr="0053423A">
              <w:rPr>
                <w:rFonts w:eastAsia="Times New Roman" w:cs="Sylfaen"/>
                <w:sz w:val="20"/>
                <w:szCs w:val="20"/>
              </w:rPr>
              <w:t>Միջոցառման</w:t>
            </w:r>
            <w:r w:rsidRPr="0053423A">
              <w:rPr>
                <w:rFonts w:eastAsia="Times New Roman" w:cs="Sylfaen"/>
                <w:sz w:val="20"/>
                <w:szCs w:val="20"/>
                <w:lang w:val="af-ZA"/>
              </w:rPr>
              <w:t xml:space="preserve"> </w:t>
            </w:r>
            <w:r w:rsidRPr="0053423A">
              <w:rPr>
                <w:rFonts w:eastAsia="Times New Roman" w:cs="Sylfaen"/>
                <w:sz w:val="20"/>
                <w:szCs w:val="20"/>
              </w:rPr>
              <w:t>գլխավոր</w:t>
            </w:r>
            <w:r w:rsidRPr="0053423A">
              <w:rPr>
                <w:rFonts w:eastAsia="Times New Roman" w:cs="Sylfaen"/>
                <w:sz w:val="20"/>
                <w:szCs w:val="20"/>
                <w:lang w:val="af-ZA"/>
              </w:rPr>
              <w:t xml:space="preserve"> </w:t>
            </w:r>
            <w:r w:rsidRPr="0053423A">
              <w:rPr>
                <w:rFonts w:eastAsia="Times New Roman" w:cs="Sylfaen"/>
                <w:sz w:val="20"/>
                <w:szCs w:val="20"/>
              </w:rPr>
              <w:t>նպատակն</w:t>
            </w:r>
            <w:r w:rsidRPr="0053423A">
              <w:rPr>
                <w:rFonts w:eastAsia="Times New Roman" w:cs="Sylfaen"/>
                <w:sz w:val="20"/>
                <w:szCs w:val="20"/>
                <w:lang w:val="af-ZA"/>
              </w:rPr>
              <w:t xml:space="preserve"> </w:t>
            </w:r>
            <w:r w:rsidRPr="0053423A">
              <w:rPr>
                <w:rFonts w:eastAsia="Times New Roman" w:cs="Sylfaen"/>
                <w:sz w:val="20"/>
                <w:szCs w:val="20"/>
              </w:rPr>
              <w:t>է</w:t>
            </w:r>
            <w:r w:rsidRPr="0053423A">
              <w:rPr>
                <w:rFonts w:eastAsia="Times New Roman" w:cs="Sylfaen"/>
                <w:sz w:val="20"/>
                <w:szCs w:val="20"/>
                <w:lang w:val="af-ZA"/>
              </w:rPr>
              <w:t xml:space="preserve"> </w:t>
            </w:r>
            <w:r w:rsidRPr="0053423A">
              <w:rPr>
                <w:rFonts w:eastAsia="Times New Roman" w:cs="Sylfaen"/>
                <w:sz w:val="20"/>
                <w:szCs w:val="20"/>
              </w:rPr>
              <w:t>որակյալ</w:t>
            </w:r>
            <w:r w:rsidRPr="0053423A">
              <w:rPr>
                <w:rFonts w:eastAsia="Times New Roman" w:cs="Sylfaen"/>
                <w:sz w:val="20"/>
                <w:szCs w:val="20"/>
                <w:lang w:val="af-ZA"/>
              </w:rPr>
              <w:t xml:space="preserve"> </w:t>
            </w:r>
            <w:r w:rsidRPr="0053423A">
              <w:rPr>
                <w:rFonts w:eastAsia="Times New Roman" w:cs="Sylfaen"/>
                <w:sz w:val="20"/>
                <w:szCs w:val="20"/>
              </w:rPr>
              <w:t>կրթության</w:t>
            </w:r>
            <w:r w:rsidRPr="0053423A">
              <w:rPr>
                <w:rFonts w:eastAsia="Times New Roman" w:cs="Sylfaen"/>
                <w:sz w:val="20"/>
                <w:szCs w:val="20"/>
                <w:lang w:val="af-ZA"/>
              </w:rPr>
              <w:t xml:space="preserve"> </w:t>
            </w:r>
            <w:r w:rsidRPr="0053423A">
              <w:rPr>
                <w:rFonts w:eastAsia="Times New Roman" w:cs="Sylfaen"/>
                <w:sz w:val="20"/>
                <w:szCs w:val="20"/>
              </w:rPr>
              <w:t>հավասար</w:t>
            </w:r>
            <w:r w:rsidRPr="0053423A">
              <w:rPr>
                <w:rFonts w:eastAsia="Times New Roman" w:cs="Sylfaen"/>
                <w:sz w:val="20"/>
                <w:szCs w:val="20"/>
                <w:lang w:val="af-ZA"/>
              </w:rPr>
              <w:t xml:space="preserve"> </w:t>
            </w:r>
            <w:r w:rsidRPr="0053423A">
              <w:rPr>
                <w:rFonts w:eastAsia="Times New Roman" w:cs="Sylfaen"/>
                <w:sz w:val="20"/>
                <w:szCs w:val="20"/>
              </w:rPr>
              <w:t>մատչելիության</w:t>
            </w:r>
            <w:r w:rsidRPr="0053423A">
              <w:rPr>
                <w:rFonts w:eastAsia="Times New Roman" w:cs="Sylfaen"/>
                <w:sz w:val="20"/>
                <w:szCs w:val="20"/>
                <w:lang w:val="af-ZA"/>
              </w:rPr>
              <w:t xml:space="preserve"> </w:t>
            </w:r>
            <w:r w:rsidRPr="0053423A">
              <w:rPr>
                <w:rFonts w:eastAsia="Times New Roman" w:cs="Sylfaen"/>
                <w:sz w:val="20"/>
                <w:szCs w:val="20"/>
              </w:rPr>
              <w:t>և</w:t>
            </w:r>
            <w:r w:rsidRPr="0053423A">
              <w:rPr>
                <w:rFonts w:eastAsia="Times New Roman" w:cs="Sylfaen"/>
                <w:sz w:val="20"/>
                <w:szCs w:val="20"/>
                <w:lang w:val="af-ZA"/>
              </w:rPr>
              <w:t xml:space="preserve"> </w:t>
            </w:r>
            <w:r w:rsidRPr="0053423A">
              <w:rPr>
                <w:rFonts w:eastAsia="Times New Roman" w:cs="Sylfaen"/>
                <w:sz w:val="20"/>
                <w:szCs w:val="20"/>
              </w:rPr>
              <w:t>ընդգրկվածության</w:t>
            </w:r>
            <w:r w:rsidRPr="0053423A">
              <w:rPr>
                <w:rFonts w:eastAsia="Times New Roman" w:cs="Sylfaen"/>
                <w:sz w:val="20"/>
                <w:szCs w:val="20"/>
                <w:lang w:val="af-ZA"/>
              </w:rPr>
              <w:t xml:space="preserve"> </w:t>
            </w:r>
            <w:r w:rsidRPr="0053423A">
              <w:rPr>
                <w:rFonts w:eastAsia="Times New Roman" w:cs="Sylfaen"/>
                <w:sz w:val="20"/>
                <w:szCs w:val="20"/>
              </w:rPr>
              <w:t>ապահովումը</w:t>
            </w:r>
            <w:r w:rsidRPr="0053423A">
              <w:rPr>
                <w:rFonts w:eastAsia="Times New Roman" w:cs="Sylfaen"/>
                <w:sz w:val="20"/>
                <w:szCs w:val="20"/>
                <w:lang w:val="af-ZA"/>
              </w:rPr>
              <w:t>:</w:t>
            </w:r>
          </w:p>
          <w:p w:rsidR="00154773" w:rsidRPr="0053423A" w:rsidRDefault="00154773" w:rsidP="00154773">
            <w:pPr>
              <w:ind w:firstLine="284"/>
              <w:jc w:val="both"/>
              <w:rPr>
                <w:b/>
                <w:sz w:val="20"/>
                <w:szCs w:val="20"/>
                <w:lang w:val="af-ZA"/>
              </w:rPr>
            </w:pPr>
            <w:r w:rsidRPr="0053423A">
              <w:rPr>
                <w:spacing w:val="-4"/>
                <w:sz w:val="20"/>
                <w:szCs w:val="20"/>
              </w:rPr>
              <w:t>Միջոցառումների</w:t>
            </w:r>
            <w:r w:rsidRPr="0053423A">
              <w:rPr>
                <w:spacing w:val="-4"/>
                <w:sz w:val="20"/>
                <w:szCs w:val="20"/>
                <w:lang w:val="af-ZA"/>
              </w:rPr>
              <w:t xml:space="preserve"> </w:t>
            </w:r>
            <w:r w:rsidRPr="0053423A">
              <w:rPr>
                <w:spacing w:val="-4"/>
                <w:sz w:val="20"/>
                <w:szCs w:val="20"/>
              </w:rPr>
              <w:t>անհրաժեշտությունը</w:t>
            </w:r>
            <w:r w:rsidRPr="0053423A">
              <w:rPr>
                <w:spacing w:val="-4"/>
                <w:sz w:val="20"/>
                <w:szCs w:val="20"/>
                <w:lang w:val="af-ZA"/>
              </w:rPr>
              <w:t xml:space="preserve"> </w:t>
            </w:r>
            <w:r w:rsidRPr="0053423A">
              <w:rPr>
                <w:spacing w:val="-4"/>
                <w:sz w:val="20"/>
                <w:szCs w:val="20"/>
              </w:rPr>
              <w:t>բխում</w:t>
            </w:r>
            <w:r w:rsidRPr="0053423A">
              <w:rPr>
                <w:spacing w:val="-4"/>
                <w:sz w:val="20"/>
                <w:szCs w:val="20"/>
                <w:lang w:val="af-ZA"/>
              </w:rPr>
              <w:t xml:space="preserve"> </w:t>
            </w:r>
            <w:r w:rsidRPr="0053423A">
              <w:rPr>
                <w:spacing w:val="-4"/>
                <w:sz w:val="20"/>
                <w:szCs w:val="20"/>
              </w:rPr>
              <w:t>է</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ԱԺ</w:t>
            </w:r>
            <w:r w:rsidRPr="0053423A">
              <w:rPr>
                <w:spacing w:val="-4"/>
                <w:sz w:val="20"/>
                <w:szCs w:val="20"/>
                <w:lang w:val="af-ZA"/>
              </w:rPr>
              <w:t xml:space="preserve"> 2019 </w:t>
            </w:r>
            <w:r w:rsidRPr="0053423A">
              <w:rPr>
                <w:spacing w:val="-4"/>
                <w:sz w:val="20"/>
                <w:szCs w:val="20"/>
              </w:rPr>
              <w:t>թվականի</w:t>
            </w:r>
            <w:r w:rsidRPr="0053423A">
              <w:rPr>
                <w:spacing w:val="-4"/>
                <w:sz w:val="20"/>
                <w:szCs w:val="20"/>
                <w:lang w:val="af-ZA"/>
              </w:rPr>
              <w:t xml:space="preserve"> </w:t>
            </w:r>
            <w:r w:rsidRPr="0053423A">
              <w:rPr>
                <w:spacing w:val="-4"/>
                <w:sz w:val="20"/>
                <w:szCs w:val="20"/>
              </w:rPr>
              <w:t>փետրվարի</w:t>
            </w:r>
            <w:r w:rsidRPr="0053423A">
              <w:rPr>
                <w:spacing w:val="-4"/>
                <w:sz w:val="20"/>
                <w:szCs w:val="20"/>
                <w:lang w:val="af-ZA"/>
              </w:rPr>
              <w:t xml:space="preserve"> 14-</w:t>
            </w:r>
            <w:r w:rsidRPr="0053423A">
              <w:rPr>
                <w:spacing w:val="-4"/>
                <w:sz w:val="20"/>
                <w:szCs w:val="20"/>
              </w:rPr>
              <w:t>ի</w:t>
            </w:r>
            <w:r w:rsidRPr="0053423A">
              <w:rPr>
                <w:spacing w:val="-4"/>
                <w:sz w:val="20"/>
                <w:szCs w:val="20"/>
                <w:lang w:val="af-ZA"/>
              </w:rPr>
              <w:t xml:space="preserve"> </w:t>
            </w:r>
            <w:r w:rsidRPr="0053423A">
              <w:rPr>
                <w:spacing w:val="-4"/>
                <w:sz w:val="20"/>
                <w:szCs w:val="20"/>
              </w:rPr>
              <w:t>ԱԺՈ</w:t>
            </w:r>
            <w:r w:rsidRPr="0053423A">
              <w:rPr>
                <w:spacing w:val="-4"/>
                <w:sz w:val="20"/>
                <w:szCs w:val="20"/>
                <w:lang w:val="af-ZA"/>
              </w:rPr>
              <w:t>-002-</w:t>
            </w:r>
            <w:r w:rsidRPr="0053423A">
              <w:rPr>
                <w:spacing w:val="-4"/>
                <w:sz w:val="20"/>
                <w:szCs w:val="20"/>
              </w:rPr>
              <w:t>Ն</w:t>
            </w:r>
            <w:r w:rsidRPr="0053423A">
              <w:rPr>
                <w:spacing w:val="-4"/>
                <w:sz w:val="20"/>
                <w:szCs w:val="20"/>
                <w:lang w:val="af-ZA"/>
              </w:rPr>
              <w:t xml:space="preserve"> </w:t>
            </w:r>
            <w:r w:rsidRPr="0053423A">
              <w:rPr>
                <w:spacing w:val="-4"/>
                <w:sz w:val="20"/>
                <w:szCs w:val="20"/>
              </w:rPr>
              <w:t>որոշմամբ</w:t>
            </w:r>
            <w:r w:rsidRPr="0053423A">
              <w:rPr>
                <w:spacing w:val="-4"/>
                <w:sz w:val="20"/>
                <w:szCs w:val="20"/>
                <w:lang w:val="af-ZA"/>
              </w:rPr>
              <w:t xml:space="preserve"> </w:t>
            </w:r>
            <w:r w:rsidRPr="0053423A">
              <w:rPr>
                <w:spacing w:val="-4"/>
                <w:sz w:val="20"/>
                <w:szCs w:val="20"/>
              </w:rPr>
              <w:t>հավանության</w:t>
            </w:r>
            <w:r w:rsidRPr="0053423A">
              <w:rPr>
                <w:spacing w:val="-4"/>
                <w:sz w:val="20"/>
                <w:szCs w:val="20"/>
                <w:lang w:val="af-ZA"/>
              </w:rPr>
              <w:t xml:space="preserve"> </w:t>
            </w:r>
            <w:r w:rsidRPr="0053423A">
              <w:rPr>
                <w:spacing w:val="-4"/>
                <w:sz w:val="20"/>
                <w:szCs w:val="20"/>
              </w:rPr>
              <w:t>արժանացած</w:t>
            </w:r>
            <w:r w:rsidRPr="0053423A">
              <w:rPr>
                <w:spacing w:val="-4"/>
                <w:sz w:val="20"/>
                <w:szCs w:val="20"/>
                <w:lang w:val="af-ZA"/>
              </w:rPr>
              <w:t xml:space="preserve"> </w:t>
            </w:r>
            <w:r w:rsidRPr="0053423A">
              <w:rPr>
                <w:spacing w:val="-4"/>
                <w:sz w:val="20"/>
                <w:szCs w:val="20"/>
              </w:rPr>
              <w:t>ՀՀ</w:t>
            </w:r>
            <w:r w:rsidRPr="0053423A">
              <w:rPr>
                <w:spacing w:val="-4"/>
                <w:sz w:val="20"/>
                <w:szCs w:val="20"/>
                <w:lang w:val="af-ZA"/>
              </w:rPr>
              <w:t xml:space="preserve"> </w:t>
            </w:r>
            <w:r w:rsidRPr="0053423A">
              <w:rPr>
                <w:spacing w:val="-4"/>
                <w:sz w:val="20"/>
                <w:szCs w:val="20"/>
              </w:rPr>
              <w:t>կառավարության</w:t>
            </w:r>
            <w:r w:rsidRPr="0053423A">
              <w:rPr>
                <w:spacing w:val="-4"/>
                <w:sz w:val="20"/>
                <w:szCs w:val="20"/>
                <w:lang w:val="af-ZA"/>
              </w:rPr>
              <w:t xml:space="preserve"> </w:t>
            </w:r>
            <w:r w:rsidRPr="0053423A">
              <w:rPr>
                <w:spacing w:val="-4"/>
                <w:sz w:val="20"/>
                <w:szCs w:val="20"/>
              </w:rPr>
              <w:t>ծրագրի</w:t>
            </w:r>
            <w:r w:rsidRPr="0053423A">
              <w:rPr>
                <w:spacing w:val="-4"/>
                <w:sz w:val="20"/>
                <w:szCs w:val="20"/>
                <w:lang w:val="af-ZA"/>
              </w:rPr>
              <w:t xml:space="preserve"> </w:t>
            </w:r>
            <w:r w:rsidRPr="0053423A">
              <w:rPr>
                <w:sz w:val="20"/>
                <w:szCs w:val="20"/>
                <w:lang w:val="af-ZA"/>
              </w:rPr>
              <w:t>«</w:t>
            </w:r>
            <w:r w:rsidRPr="0053423A">
              <w:rPr>
                <w:spacing w:val="-4"/>
                <w:sz w:val="20"/>
                <w:szCs w:val="20"/>
                <w:lang w:val="af-ZA"/>
              </w:rPr>
              <w:t xml:space="preserve">4.4 </w:t>
            </w:r>
            <w:r w:rsidRPr="0053423A">
              <w:rPr>
                <w:spacing w:val="-4"/>
                <w:sz w:val="20"/>
                <w:szCs w:val="20"/>
              </w:rPr>
              <w:t>ԿՐԹՈՒԹՅՈՒՆ</w:t>
            </w:r>
            <w:r w:rsidRPr="0053423A">
              <w:rPr>
                <w:spacing w:val="-4"/>
                <w:sz w:val="20"/>
                <w:szCs w:val="20"/>
                <w:lang w:val="af-ZA"/>
              </w:rPr>
              <w:t xml:space="preserve"> </w:t>
            </w:r>
            <w:r w:rsidRPr="0053423A">
              <w:rPr>
                <w:spacing w:val="-4"/>
                <w:sz w:val="20"/>
                <w:szCs w:val="20"/>
              </w:rPr>
              <w:t>ԵՎ</w:t>
            </w:r>
            <w:r w:rsidRPr="0053423A">
              <w:rPr>
                <w:spacing w:val="-4"/>
                <w:sz w:val="20"/>
                <w:szCs w:val="20"/>
                <w:lang w:val="af-ZA"/>
              </w:rPr>
              <w:t xml:space="preserve"> </w:t>
            </w:r>
            <w:r w:rsidRPr="0053423A">
              <w:rPr>
                <w:spacing w:val="-4"/>
                <w:sz w:val="20"/>
                <w:szCs w:val="20"/>
              </w:rPr>
              <w:t>ԳԻՏՈՒԹՅՈՒՆ</w:t>
            </w:r>
            <w:r w:rsidRPr="0053423A">
              <w:rPr>
                <w:sz w:val="20"/>
                <w:szCs w:val="20"/>
                <w:lang w:val="af-ZA"/>
              </w:rPr>
              <w:t xml:space="preserve">»  </w:t>
            </w:r>
            <w:r w:rsidRPr="0053423A">
              <w:rPr>
                <w:rFonts w:eastAsia="Calibri" w:cs="Sylfaen"/>
                <w:sz w:val="20"/>
                <w:szCs w:val="20"/>
                <w:lang w:val="hy-AM"/>
              </w:rPr>
              <w:t>բաժնի</w:t>
            </w:r>
            <w:r w:rsidRPr="0053423A">
              <w:rPr>
                <w:rFonts w:eastAsia="Calibri" w:cs="Sylfaen"/>
                <w:sz w:val="20"/>
                <w:szCs w:val="20"/>
                <w:lang w:val="af-ZA"/>
              </w:rPr>
              <w:t xml:space="preserve"> </w:t>
            </w:r>
            <w:r w:rsidRPr="0053423A">
              <w:rPr>
                <w:rFonts w:eastAsia="Calibri" w:cs="Sylfaen"/>
                <w:sz w:val="20"/>
                <w:szCs w:val="20"/>
                <w:lang w:val="hy-AM"/>
              </w:rPr>
              <w:t>4-րդ պարբերության պահանջներից</w:t>
            </w:r>
          </w:p>
          <w:p w:rsidR="00154773" w:rsidRPr="0053423A" w:rsidRDefault="00154773" w:rsidP="00154773">
            <w:pPr>
              <w:shd w:val="clear" w:color="auto" w:fill="FFFFFF"/>
              <w:ind w:firstLine="360"/>
              <w:textAlignment w:val="baseline"/>
              <w:rPr>
                <w:rFonts w:eastAsia="Times New Roman" w:cs="Arian AMU"/>
                <w:sz w:val="20"/>
                <w:szCs w:val="20"/>
                <w:lang w:val="af-ZA"/>
              </w:rPr>
            </w:pPr>
            <w:r w:rsidRPr="0053423A">
              <w:rPr>
                <w:rFonts w:eastAsia="Times New Roman" w:cs="Arian AMU"/>
                <w:sz w:val="20"/>
                <w:szCs w:val="20"/>
              </w:rPr>
              <w:t>Ներկայացվող</w:t>
            </w:r>
            <w:r w:rsidRPr="0053423A">
              <w:rPr>
                <w:rFonts w:eastAsia="Times New Roman" w:cs="Arian AMU"/>
                <w:sz w:val="20"/>
                <w:szCs w:val="20"/>
                <w:lang w:val="af-ZA"/>
              </w:rPr>
              <w:t xml:space="preserve"> </w:t>
            </w:r>
            <w:r w:rsidRPr="0053423A">
              <w:rPr>
                <w:rFonts w:eastAsia="Times New Roman" w:cs="Arian AMU"/>
                <w:sz w:val="20"/>
                <w:szCs w:val="20"/>
              </w:rPr>
              <w:t>նախագծի</w:t>
            </w:r>
            <w:r w:rsidRPr="0053423A">
              <w:rPr>
                <w:rFonts w:eastAsia="Times New Roman" w:cs="Arian AMU"/>
                <w:sz w:val="20"/>
                <w:szCs w:val="20"/>
                <w:lang w:val="af-ZA"/>
              </w:rPr>
              <w:t xml:space="preserve"> </w:t>
            </w:r>
            <w:r w:rsidRPr="0053423A">
              <w:rPr>
                <w:rFonts w:eastAsia="Times New Roman" w:cs="Arian AMU"/>
                <w:sz w:val="20"/>
                <w:szCs w:val="20"/>
              </w:rPr>
              <w:t>նպատակն</w:t>
            </w:r>
            <w:r w:rsidRPr="0053423A">
              <w:rPr>
                <w:rFonts w:eastAsia="Times New Roman" w:cs="Arian AMU"/>
                <w:sz w:val="20"/>
                <w:szCs w:val="20"/>
                <w:lang w:val="af-ZA"/>
              </w:rPr>
              <w:t xml:space="preserve"> </w:t>
            </w:r>
            <w:r w:rsidRPr="0053423A">
              <w:rPr>
                <w:rFonts w:eastAsia="Times New Roman" w:cs="Arian AMU"/>
                <w:sz w:val="20"/>
                <w:szCs w:val="20"/>
              </w:rPr>
              <w:t>է</w:t>
            </w:r>
            <w:r w:rsidRPr="0053423A">
              <w:rPr>
                <w:rFonts w:eastAsia="Times New Roman" w:cs="Arian AMU"/>
                <w:b/>
                <w:bCs/>
                <w:sz w:val="20"/>
                <w:szCs w:val="20"/>
                <w:bdr w:val="none" w:sz="0" w:space="0" w:color="auto" w:frame="1"/>
              </w:rPr>
              <w:t>՝</w:t>
            </w:r>
            <w:r w:rsidRPr="0053423A">
              <w:rPr>
                <w:rFonts w:ascii="Calibri" w:eastAsia="Times New Roman" w:hAnsi="Calibri" w:cs="Calibri"/>
                <w:sz w:val="20"/>
                <w:szCs w:val="20"/>
                <w:lang w:val="af-ZA"/>
              </w:rPr>
              <w:t> </w:t>
            </w:r>
            <w:r w:rsidRPr="0053423A">
              <w:rPr>
                <w:rFonts w:eastAsia="Times New Roman" w:cs="Arian AMU"/>
                <w:sz w:val="20"/>
                <w:szCs w:val="20"/>
              </w:rPr>
              <w:t>Հայաստանի</w:t>
            </w:r>
            <w:r w:rsidRPr="0053423A">
              <w:rPr>
                <w:rFonts w:eastAsia="Times New Roman" w:cs="Arian AMU"/>
                <w:sz w:val="20"/>
                <w:szCs w:val="20"/>
                <w:lang w:val="af-ZA"/>
              </w:rPr>
              <w:t xml:space="preserve"> </w:t>
            </w:r>
            <w:r w:rsidRPr="0053423A">
              <w:rPr>
                <w:rFonts w:eastAsia="Times New Roman" w:cs="Arian AMU"/>
                <w:sz w:val="20"/>
                <w:szCs w:val="20"/>
              </w:rPr>
              <w:t>Հանրապետությունում</w:t>
            </w:r>
            <w:r w:rsidRPr="0053423A">
              <w:rPr>
                <w:rFonts w:eastAsia="Times New Roman" w:cs="Arian AMU"/>
                <w:sz w:val="20"/>
                <w:szCs w:val="20"/>
                <w:lang w:val="af-ZA"/>
              </w:rPr>
              <w:t xml:space="preserve"> </w:t>
            </w:r>
            <w:r w:rsidRPr="0053423A">
              <w:rPr>
                <w:rFonts w:eastAsia="Times New Roman" w:cs="Arian AMU"/>
                <w:sz w:val="20"/>
                <w:szCs w:val="20"/>
              </w:rPr>
              <w:t>ներդնել</w:t>
            </w:r>
            <w:r w:rsidRPr="0053423A">
              <w:rPr>
                <w:rFonts w:eastAsia="Times New Roman" w:cs="Arian AMU"/>
                <w:sz w:val="20"/>
                <w:szCs w:val="20"/>
                <w:lang w:val="af-ZA"/>
              </w:rPr>
              <w:t xml:space="preserve"> </w:t>
            </w:r>
            <w:r w:rsidRPr="0053423A">
              <w:rPr>
                <w:rFonts w:eastAsia="Times New Roman" w:cs="Arian AMU"/>
                <w:sz w:val="20"/>
                <w:szCs w:val="20"/>
              </w:rPr>
              <w:t>այլընտրանքային</w:t>
            </w:r>
            <w:r w:rsidRPr="0053423A">
              <w:rPr>
                <w:rFonts w:eastAsia="Times New Roman" w:cs="Arian AMU"/>
                <w:sz w:val="20"/>
                <w:szCs w:val="20"/>
                <w:lang w:val="af-ZA"/>
              </w:rPr>
              <w:t xml:space="preserve"> </w:t>
            </w:r>
            <w:r w:rsidRPr="0053423A">
              <w:rPr>
                <w:rFonts w:eastAsia="Times New Roman" w:cs="Arian AMU"/>
                <w:sz w:val="20"/>
                <w:szCs w:val="20"/>
              </w:rPr>
              <w:t>մոդելով</w:t>
            </w:r>
            <w:r w:rsidRPr="0053423A">
              <w:rPr>
                <w:rFonts w:eastAsia="Times New Roman" w:cs="Arian AMU"/>
                <w:sz w:val="20"/>
                <w:szCs w:val="20"/>
                <w:lang w:val="af-ZA"/>
              </w:rPr>
              <w:t xml:space="preserve"> </w:t>
            </w:r>
            <w:r w:rsidRPr="0053423A">
              <w:rPr>
                <w:rFonts w:eastAsia="Times New Roman" w:cs="Arian AMU"/>
                <w:sz w:val="20"/>
                <w:szCs w:val="20"/>
              </w:rPr>
              <w:t>նախադպրոցական</w:t>
            </w:r>
            <w:r w:rsidRPr="0053423A">
              <w:rPr>
                <w:rFonts w:eastAsia="Times New Roman" w:cs="Arian AMU"/>
                <w:sz w:val="20"/>
                <w:szCs w:val="20"/>
                <w:lang w:val="af-ZA"/>
              </w:rPr>
              <w:t xml:space="preserve"> </w:t>
            </w:r>
            <w:r w:rsidRPr="0053423A">
              <w:rPr>
                <w:rFonts w:eastAsia="Times New Roman" w:cs="Arian AMU"/>
                <w:sz w:val="20"/>
                <w:szCs w:val="20"/>
              </w:rPr>
              <w:t>կրթական</w:t>
            </w:r>
            <w:r w:rsidRPr="0053423A">
              <w:rPr>
                <w:rFonts w:eastAsia="Times New Roman" w:cs="Arian AMU"/>
                <w:sz w:val="20"/>
                <w:szCs w:val="20"/>
                <w:lang w:val="af-ZA"/>
              </w:rPr>
              <w:t xml:space="preserve"> </w:t>
            </w:r>
            <w:r w:rsidRPr="0053423A">
              <w:rPr>
                <w:rFonts w:eastAsia="Times New Roman" w:cs="Arian AMU"/>
                <w:sz w:val="20"/>
                <w:szCs w:val="20"/>
              </w:rPr>
              <w:t>հաստատությունների</w:t>
            </w:r>
            <w:r w:rsidRPr="0053423A">
              <w:rPr>
                <w:rFonts w:eastAsia="Times New Roman" w:cs="Arian AMU"/>
                <w:sz w:val="20"/>
                <w:szCs w:val="20"/>
                <w:lang w:val="af-ZA"/>
              </w:rPr>
              <w:t xml:space="preserve"> </w:t>
            </w:r>
            <w:r w:rsidRPr="0053423A">
              <w:rPr>
                <w:rFonts w:eastAsia="Times New Roman" w:cs="Arian AMU"/>
                <w:sz w:val="20"/>
                <w:szCs w:val="20"/>
              </w:rPr>
              <w:t>գործարկումը</w:t>
            </w:r>
            <w:r w:rsidRPr="0053423A">
              <w:rPr>
                <w:rFonts w:eastAsia="Times New Roman" w:cs="Arian AMU"/>
                <w:sz w:val="20"/>
                <w:szCs w:val="20"/>
                <w:lang w:val="af-ZA"/>
              </w:rPr>
              <w:t>:</w:t>
            </w:r>
          </w:p>
          <w:p w:rsidR="00154773" w:rsidRPr="0053423A" w:rsidRDefault="00154773" w:rsidP="00154773">
            <w:pPr>
              <w:shd w:val="clear" w:color="auto" w:fill="FFFFFF"/>
              <w:textAlignment w:val="baseline"/>
              <w:rPr>
                <w:rFonts w:eastAsia="Times New Roman" w:cs="Times New Roman"/>
                <w:b/>
                <w:sz w:val="20"/>
                <w:szCs w:val="20"/>
                <w:lang w:val="af-ZA"/>
              </w:rPr>
            </w:pPr>
            <w:r w:rsidRPr="0053423A">
              <w:rPr>
                <w:rFonts w:ascii="Calibri" w:eastAsia="Times New Roman" w:hAnsi="Calibri" w:cs="Calibri"/>
                <w:b/>
                <w:bCs/>
                <w:color w:val="4B5C6A"/>
                <w:sz w:val="20"/>
                <w:szCs w:val="20"/>
                <w:bdr w:val="none" w:sz="0" w:space="0" w:color="auto" w:frame="1"/>
                <w:lang w:val="af-ZA"/>
              </w:rPr>
              <w:t> </w:t>
            </w:r>
          </w:p>
          <w:p w:rsidR="00154773" w:rsidRPr="0053423A" w:rsidRDefault="00154773" w:rsidP="00154773">
            <w:pPr>
              <w:jc w:val="both"/>
              <w:rPr>
                <w:b/>
                <w:sz w:val="20"/>
                <w:szCs w:val="20"/>
                <w:lang w:val="af-ZA"/>
              </w:rPr>
            </w:pPr>
          </w:p>
          <w:p w:rsidR="00154773" w:rsidRPr="0053423A" w:rsidRDefault="00154773" w:rsidP="00154773">
            <w:pPr>
              <w:contextualSpacing/>
              <w:jc w:val="both"/>
              <w:rPr>
                <w:rFonts w:eastAsia="Times New Roman" w:cs="Times New Roman"/>
                <w:b/>
                <w:sz w:val="20"/>
                <w:szCs w:val="20"/>
                <w:lang w:val="af-ZA"/>
              </w:rPr>
            </w:pPr>
            <w:r w:rsidRPr="0053423A">
              <w:rPr>
                <w:rFonts w:eastAsia="Times New Roman" w:cs="Times New Roman"/>
                <w:b/>
                <w:sz w:val="20"/>
                <w:szCs w:val="20"/>
                <w:lang w:val="af-ZA"/>
              </w:rPr>
              <w:t>1</w:t>
            </w:r>
            <w:r w:rsidRPr="0053423A">
              <w:rPr>
                <w:rFonts w:eastAsia="Times New Roman" w:cs="Times New Roman"/>
                <w:b/>
                <w:sz w:val="20"/>
                <w:szCs w:val="20"/>
                <w:lang w:val="hy-AM"/>
              </w:rPr>
              <w:t>.1.</w:t>
            </w:r>
            <w:r w:rsidRPr="0053423A">
              <w:rPr>
                <w:rFonts w:eastAsia="Times New Roman" w:cs="Times New Roman"/>
                <w:b/>
                <w:sz w:val="20"/>
                <w:szCs w:val="20"/>
                <w:lang w:val="af-ZA"/>
              </w:rPr>
              <w:t xml:space="preserve"> </w:t>
            </w:r>
            <w:r w:rsidRPr="0053423A">
              <w:rPr>
                <w:rFonts w:eastAsia="Times New Roman" w:cs="Times New Roman"/>
                <w:b/>
                <w:sz w:val="20"/>
                <w:szCs w:val="20"/>
              </w:rPr>
              <w:t>կ</w:t>
            </w:r>
            <w:r w:rsidRPr="0053423A">
              <w:rPr>
                <w:rFonts w:eastAsia="Times New Roman" w:cs="Times New Roman"/>
                <w:b/>
                <w:sz w:val="20"/>
                <w:szCs w:val="20"/>
                <w:lang w:val="hy-AM"/>
              </w:rPr>
              <w:t>արգավորման հարաբերությունների ներկա վիճակը և առկա խնդիրները</w:t>
            </w:r>
            <w:r w:rsidRPr="0053423A">
              <w:rPr>
                <w:rFonts w:eastAsia="Times New Roman" w:cs="Times New Roman"/>
                <w:b/>
                <w:sz w:val="20"/>
                <w:szCs w:val="20"/>
                <w:lang w:val="af-ZA"/>
              </w:rPr>
              <w:t>.</w:t>
            </w:r>
          </w:p>
          <w:p w:rsidR="00154773" w:rsidRPr="0053423A" w:rsidRDefault="00154773" w:rsidP="00154773">
            <w:pPr>
              <w:ind w:firstLine="270"/>
              <w:contextualSpacing/>
              <w:jc w:val="both"/>
              <w:rPr>
                <w:rFonts w:eastAsia="Times New Roman" w:cs="Times New Roman"/>
                <w:b/>
                <w:sz w:val="20"/>
                <w:szCs w:val="20"/>
                <w:lang w:val="af-ZA"/>
              </w:rPr>
            </w:pPr>
          </w:p>
          <w:p w:rsidR="00154773" w:rsidRPr="0053423A" w:rsidRDefault="00154773" w:rsidP="00154773">
            <w:pPr>
              <w:ind w:firstLine="270"/>
              <w:contextualSpacing/>
              <w:jc w:val="both"/>
              <w:rPr>
                <w:rFonts w:cs="Arian AMU"/>
                <w:sz w:val="20"/>
                <w:szCs w:val="20"/>
                <w:shd w:val="clear" w:color="auto" w:fill="FFFFFF"/>
                <w:lang w:val="af-ZA"/>
              </w:rPr>
            </w:pPr>
            <w:r w:rsidRPr="0053423A">
              <w:rPr>
                <w:rFonts w:cs="Arian AMU"/>
                <w:sz w:val="20"/>
                <w:szCs w:val="20"/>
                <w:shd w:val="clear" w:color="auto" w:fill="FFFFFF"/>
              </w:rPr>
              <w:t>Վերջին</w:t>
            </w:r>
            <w:r w:rsidRPr="0053423A">
              <w:rPr>
                <w:rFonts w:cs="Arian AMU"/>
                <w:sz w:val="20"/>
                <w:szCs w:val="20"/>
                <w:shd w:val="clear" w:color="auto" w:fill="FFFFFF"/>
                <w:lang w:val="af-ZA"/>
              </w:rPr>
              <w:t xml:space="preserve"> </w:t>
            </w:r>
            <w:r w:rsidRPr="0053423A">
              <w:rPr>
                <w:rFonts w:cs="Arian AMU"/>
                <w:sz w:val="20"/>
                <w:szCs w:val="20"/>
                <w:shd w:val="clear" w:color="auto" w:fill="FFFFFF"/>
              </w:rPr>
              <w:t>տարիներին</w:t>
            </w:r>
            <w:r w:rsidRPr="0053423A">
              <w:rPr>
                <w:rFonts w:cs="Arian AMU"/>
                <w:sz w:val="20"/>
                <w:szCs w:val="20"/>
                <w:shd w:val="clear" w:color="auto" w:fill="FFFFFF"/>
                <w:lang w:val="af-ZA"/>
              </w:rPr>
              <w:t xml:space="preserve"> </w:t>
            </w:r>
            <w:r w:rsidRPr="0053423A">
              <w:rPr>
                <w:rFonts w:cs="Arian AMU"/>
                <w:sz w:val="20"/>
                <w:szCs w:val="20"/>
                <w:shd w:val="clear" w:color="auto" w:fill="FFFFFF"/>
              </w:rPr>
              <w:t>մի</w:t>
            </w:r>
            <w:r w:rsidRPr="0053423A">
              <w:rPr>
                <w:rFonts w:cs="Arian AMU"/>
                <w:sz w:val="20"/>
                <w:szCs w:val="20"/>
                <w:shd w:val="clear" w:color="auto" w:fill="FFFFFF"/>
                <w:lang w:val="af-ZA"/>
              </w:rPr>
              <w:t xml:space="preserve"> </w:t>
            </w:r>
            <w:r w:rsidRPr="0053423A">
              <w:rPr>
                <w:rFonts w:cs="Arian AMU"/>
                <w:sz w:val="20"/>
                <w:szCs w:val="20"/>
                <w:shd w:val="clear" w:color="auto" w:fill="FFFFFF"/>
              </w:rPr>
              <w:t>շարք</w:t>
            </w:r>
            <w:r w:rsidRPr="0053423A">
              <w:rPr>
                <w:rFonts w:cs="Arian AMU"/>
                <w:sz w:val="20"/>
                <w:szCs w:val="20"/>
                <w:shd w:val="clear" w:color="auto" w:fill="FFFFFF"/>
                <w:lang w:val="af-ZA"/>
              </w:rPr>
              <w:t xml:space="preserve"> </w:t>
            </w:r>
            <w:r w:rsidRPr="0053423A">
              <w:rPr>
                <w:rFonts w:cs="Arian AMU"/>
                <w:sz w:val="20"/>
                <w:szCs w:val="20"/>
                <w:shd w:val="clear" w:color="auto" w:fill="FFFFFF"/>
              </w:rPr>
              <w:t>օբյեկտիվ</w:t>
            </w:r>
            <w:r w:rsidRPr="0053423A">
              <w:rPr>
                <w:rFonts w:cs="Arian AMU"/>
                <w:sz w:val="20"/>
                <w:szCs w:val="20"/>
                <w:shd w:val="clear" w:color="auto" w:fill="FFFFFF"/>
                <w:lang w:val="af-ZA"/>
              </w:rPr>
              <w:t xml:space="preserve"> </w:t>
            </w:r>
            <w:r w:rsidRPr="0053423A">
              <w:rPr>
                <w:rFonts w:cs="Arian AMU"/>
                <w:sz w:val="20"/>
                <w:szCs w:val="20"/>
                <w:shd w:val="clear" w:color="auto" w:fill="FFFFFF"/>
              </w:rPr>
              <w:t>և</w:t>
            </w:r>
            <w:r w:rsidRPr="0053423A">
              <w:rPr>
                <w:rFonts w:cs="Arian AMU"/>
                <w:sz w:val="20"/>
                <w:szCs w:val="20"/>
                <w:shd w:val="clear" w:color="auto" w:fill="FFFFFF"/>
                <w:lang w:val="af-ZA"/>
              </w:rPr>
              <w:t xml:space="preserve"> </w:t>
            </w:r>
            <w:r w:rsidRPr="0053423A">
              <w:rPr>
                <w:rFonts w:cs="Arian AMU"/>
                <w:sz w:val="20"/>
                <w:szCs w:val="20"/>
                <w:shd w:val="clear" w:color="auto" w:fill="FFFFFF"/>
              </w:rPr>
              <w:t>սուբյեկտիվ</w:t>
            </w:r>
            <w:r w:rsidRPr="0053423A">
              <w:rPr>
                <w:rFonts w:cs="Arian AMU"/>
                <w:sz w:val="20"/>
                <w:szCs w:val="20"/>
                <w:shd w:val="clear" w:color="auto" w:fill="FFFFFF"/>
                <w:lang w:val="af-ZA"/>
              </w:rPr>
              <w:t xml:space="preserve"> </w:t>
            </w:r>
            <w:r w:rsidRPr="0053423A">
              <w:rPr>
                <w:rFonts w:cs="Arian AMU"/>
                <w:sz w:val="20"/>
                <w:szCs w:val="20"/>
                <w:shd w:val="clear" w:color="auto" w:fill="FFFFFF"/>
              </w:rPr>
              <w:t>գործոնների</w:t>
            </w:r>
            <w:r w:rsidRPr="0053423A">
              <w:rPr>
                <w:rFonts w:cs="Arian AMU"/>
                <w:sz w:val="20"/>
                <w:szCs w:val="20"/>
                <w:shd w:val="clear" w:color="auto" w:fill="FFFFFF"/>
                <w:lang w:val="af-ZA"/>
              </w:rPr>
              <w:t xml:space="preserve"> </w:t>
            </w:r>
            <w:r w:rsidRPr="0053423A">
              <w:rPr>
                <w:rFonts w:cs="Arian AMU"/>
                <w:sz w:val="20"/>
                <w:szCs w:val="20"/>
                <w:shd w:val="clear" w:color="auto" w:fill="FFFFFF"/>
              </w:rPr>
              <w:t>ազդեցության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հետևանքով</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Հայաստանի</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Հանրապետության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նախադպրոցական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համակարգը</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հայտնվել</w:t>
            </w:r>
            <w:r w:rsidRPr="0053423A">
              <w:rPr>
                <w:rFonts w:cs="Arian AMU"/>
                <w:sz w:val="20"/>
                <w:szCs w:val="20"/>
                <w:shd w:val="clear" w:color="auto" w:fill="FFFFFF"/>
                <w:lang w:val="af-ZA"/>
              </w:rPr>
              <w:t xml:space="preserve"> </w:t>
            </w:r>
            <w:r w:rsidRPr="0053423A">
              <w:rPr>
                <w:rFonts w:cs="Arian AMU"/>
                <w:sz w:val="20"/>
                <w:szCs w:val="20"/>
                <w:shd w:val="clear" w:color="auto" w:fill="FFFFFF"/>
              </w:rPr>
              <w:t>է</w:t>
            </w:r>
            <w:r w:rsidRPr="0053423A">
              <w:rPr>
                <w:rFonts w:cs="Arian AMU"/>
                <w:sz w:val="20"/>
                <w:szCs w:val="20"/>
                <w:shd w:val="clear" w:color="auto" w:fill="FFFFFF"/>
                <w:lang w:val="af-ZA"/>
              </w:rPr>
              <w:t xml:space="preserve"> </w:t>
            </w:r>
            <w:r w:rsidRPr="0053423A">
              <w:rPr>
                <w:rFonts w:cs="Arian AMU"/>
                <w:sz w:val="20"/>
                <w:szCs w:val="20"/>
                <w:shd w:val="clear" w:color="auto" w:fill="FFFFFF"/>
              </w:rPr>
              <w:t>անբարենպաստ</w:t>
            </w:r>
            <w:r w:rsidRPr="0053423A">
              <w:rPr>
                <w:rFonts w:cs="Arian AMU"/>
                <w:sz w:val="20"/>
                <w:szCs w:val="20"/>
                <w:shd w:val="clear" w:color="auto" w:fill="FFFFFF"/>
                <w:lang w:val="af-ZA"/>
              </w:rPr>
              <w:t xml:space="preserve"> </w:t>
            </w:r>
            <w:r w:rsidRPr="0053423A">
              <w:rPr>
                <w:rFonts w:cs="Arian AMU"/>
                <w:sz w:val="20"/>
                <w:szCs w:val="20"/>
                <w:shd w:val="clear" w:color="auto" w:fill="FFFFFF"/>
              </w:rPr>
              <w:t>պայմաններում</w:t>
            </w:r>
            <w:r w:rsidRPr="0053423A">
              <w:rPr>
                <w:rFonts w:cs="Arian AMU"/>
                <w:sz w:val="20"/>
                <w:szCs w:val="20"/>
                <w:shd w:val="clear" w:color="auto" w:fill="FFFFFF"/>
                <w:lang w:val="af-ZA"/>
              </w:rPr>
              <w:t xml:space="preserve">, </w:t>
            </w:r>
            <w:r w:rsidRPr="0053423A">
              <w:rPr>
                <w:rFonts w:cs="Arian AMU"/>
                <w:sz w:val="20"/>
                <w:szCs w:val="20"/>
                <w:shd w:val="clear" w:color="auto" w:fill="FFFFFF"/>
              </w:rPr>
              <w:t>ինչի</w:t>
            </w:r>
            <w:r w:rsidRPr="0053423A">
              <w:rPr>
                <w:rFonts w:cs="Arian AMU"/>
                <w:sz w:val="20"/>
                <w:szCs w:val="20"/>
                <w:shd w:val="clear" w:color="auto" w:fill="FFFFFF"/>
                <w:lang w:val="af-ZA"/>
              </w:rPr>
              <w:t xml:space="preserve"> </w:t>
            </w:r>
            <w:r w:rsidRPr="0053423A">
              <w:rPr>
                <w:rFonts w:cs="Arian AMU"/>
                <w:sz w:val="20"/>
                <w:szCs w:val="20"/>
                <w:shd w:val="clear" w:color="auto" w:fill="FFFFFF"/>
              </w:rPr>
              <w:t>արդյունքում</w:t>
            </w:r>
            <w:r w:rsidRPr="0053423A">
              <w:rPr>
                <w:rFonts w:cs="Arian AMU"/>
                <w:sz w:val="20"/>
                <w:szCs w:val="20"/>
                <w:shd w:val="clear" w:color="auto" w:fill="FFFFFF"/>
                <w:lang w:val="af-ZA"/>
              </w:rPr>
              <w:t xml:space="preserve"> </w:t>
            </w:r>
            <w:r w:rsidRPr="0053423A">
              <w:rPr>
                <w:rFonts w:cs="Arian AMU"/>
                <w:sz w:val="20"/>
                <w:szCs w:val="20"/>
                <w:shd w:val="clear" w:color="auto" w:fill="FFFFFF"/>
              </w:rPr>
              <w:t>կրճատվել</w:t>
            </w:r>
            <w:r w:rsidRPr="0053423A">
              <w:rPr>
                <w:rFonts w:cs="Arian AMU"/>
                <w:sz w:val="20"/>
                <w:szCs w:val="20"/>
                <w:shd w:val="clear" w:color="auto" w:fill="FFFFFF"/>
                <w:lang w:val="af-ZA"/>
              </w:rPr>
              <w:t xml:space="preserve"> </w:t>
            </w:r>
            <w:r w:rsidRPr="0053423A">
              <w:rPr>
                <w:rFonts w:cs="Arian AMU"/>
                <w:sz w:val="20"/>
                <w:szCs w:val="20"/>
                <w:shd w:val="clear" w:color="auto" w:fill="FFFFFF"/>
              </w:rPr>
              <w:t>են</w:t>
            </w:r>
            <w:r w:rsidRPr="0053423A">
              <w:rPr>
                <w:rFonts w:cs="Arian AMU"/>
                <w:sz w:val="20"/>
                <w:szCs w:val="20"/>
                <w:shd w:val="clear" w:color="auto" w:fill="FFFFFF"/>
                <w:lang w:val="af-ZA"/>
              </w:rPr>
              <w:t xml:space="preserve"> </w:t>
            </w:r>
            <w:r w:rsidRPr="0053423A">
              <w:rPr>
                <w:rFonts w:cs="Arian AMU"/>
                <w:sz w:val="20"/>
                <w:szCs w:val="20"/>
                <w:shd w:val="clear" w:color="auto" w:fill="FFFFFF"/>
              </w:rPr>
              <w:t>նախադպրոցական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հաստատությունների</w:t>
            </w:r>
            <w:r w:rsidRPr="0053423A">
              <w:rPr>
                <w:rFonts w:cs="Arian AMU"/>
                <w:sz w:val="20"/>
                <w:szCs w:val="20"/>
                <w:shd w:val="clear" w:color="auto" w:fill="FFFFFF"/>
                <w:lang w:val="af-ZA"/>
              </w:rPr>
              <w:t xml:space="preserve"> </w:t>
            </w:r>
            <w:r w:rsidRPr="0053423A">
              <w:rPr>
                <w:rFonts w:cs="Arian AMU"/>
                <w:sz w:val="20"/>
                <w:szCs w:val="20"/>
                <w:shd w:val="clear" w:color="auto" w:fill="FFFFFF"/>
              </w:rPr>
              <w:t>թիվը</w:t>
            </w:r>
            <w:r w:rsidRPr="0053423A">
              <w:rPr>
                <w:rFonts w:cs="Arian AMU"/>
                <w:sz w:val="20"/>
                <w:szCs w:val="20"/>
                <w:shd w:val="clear" w:color="auto" w:fill="FFFFFF"/>
                <w:lang w:val="af-ZA"/>
              </w:rPr>
              <w:t xml:space="preserve">, </w:t>
            </w:r>
            <w:r w:rsidRPr="0053423A">
              <w:rPr>
                <w:rFonts w:cs="Arian AMU"/>
                <w:sz w:val="20"/>
                <w:szCs w:val="20"/>
                <w:shd w:val="clear" w:color="auto" w:fill="FFFFFF"/>
              </w:rPr>
              <w:t>գործող</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հաստատությունների</w:t>
            </w:r>
            <w:r w:rsidRPr="0053423A">
              <w:rPr>
                <w:rFonts w:cs="Arian AMU"/>
                <w:sz w:val="20"/>
                <w:szCs w:val="20"/>
                <w:shd w:val="clear" w:color="auto" w:fill="FFFFFF"/>
                <w:lang w:val="af-ZA"/>
              </w:rPr>
              <w:t xml:space="preserve"> </w:t>
            </w:r>
            <w:r w:rsidRPr="0053423A">
              <w:rPr>
                <w:rFonts w:cs="Arian AMU"/>
                <w:sz w:val="20"/>
                <w:szCs w:val="20"/>
                <w:shd w:val="clear" w:color="auto" w:fill="FFFFFF"/>
              </w:rPr>
              <w:t>կարողությունները</w:t>
            </w:r>
            <w:r w:rsidRPr="0053423A">
              <w:rPr>
                <w:rFonts w:cs="Arian AMU"/>
                <w:sz w:val="20"/>
                <w:szCs w:val="20"/>
                <w:shd w:val="clear" w:color="auto" w:fill="FFFFFF"/>
                <w:lang w:val="af-ZA"/>
              </w:rPr>
              <w:t xml:space="preserve">, </w:t>
            </w:r>
            <w:r w:rsidRPr="0053423A">
              <w:rPr>
                <w:rFonts w:cs="Arian AMU"/>
                <w:sz w:val="20"/>
                <w:szCs w:val="20"/>
                <w:shd w:val="clear" w:color="auto" w:fill="FFFFFF"/>
              </w:rPr>
              <w:t>նվազել</w:t>
            </w:r>
            <w:r w:rsidRPr="0053423A">
              <w:rPr>
                <w:rFonts w:cs="Arian AMU"/>
                <w:sz w:val="20"/>
                <w:szCs w:val="20"/>
                <w:shd w:val="clear" w:color="auto" w:fill="FFFFFF"/>
                <w:lang w:val="af-ZA"/>
              </w:rPr>
              <w:t xml:space="preserve"> </w:t>
            </w:r>
            <w:r w:rsidRPr="0053423A">
              <w:rPr>
                <w:rFonts w:cs="Arian AMU"/>
                <w:sz w:val="20"/>
                <w:szCs w:val="20"/>
                <w:shd w:val="clear" w:color="auto" w:fill="FFFFFF"/>
              </w:rPr>
              <w:t>է</w:t>
            </w:r>
            <w:r w:rsidRPr="0053423A">
              <w:rPr>
                <w:rFonts w:cs="Arian AMU"/>
                <w:sz w:val="20"/>
                <w:szCs w:val="20"/>
                <w:shd w:val="clear" w:color="auto" w:fill="FFFFFF"/>
                <w:lang w:val="af-ZA"/>
              </w:rPr>
              <w:t xml:space="preserve"> </w:t>
            </w:r>
            <w:r w:rsidRPr="0053423A">
              <w:rPr>
                <w:rFonts w:cs="Arian AMU"/>
                <w:sz w:val="20"/>
                <w:szCs w:val="20"/>
                <w:shd w:val="clear" w:color="auto" w:fill="FFFFFF"/>
              </w:rPr>
              <w:t>դրանցում</w:t>
            </w:r>
            <w:r w:rsidRPr="0053423A">
              <w:rPr>
                <w:rFonts w:cs="Arian AMU"/>
                <w:sz w:val="20"/>
                <w:szCs w:val="20"/>
                <w:shd w:val="clear" w:color="auto" w:fill="FFFFFF"/>
                <w:lang w:val="af-ZA"/>
              </w:rPr>
              <w:t xml:space="preserve"> </w:t>
            </w:r>
            <w:r w:rsidRPr="0053423A">
              <w:rPr>
                <w:rFonts w:cs="Arian AMU"/>
                <w:sz w:val="20"/>
                <w:szCs w:val="20"/>
                <w:shd w:val="clear" w:color="auto" w:fill="FFFFFF"/>
              </w:rPr>
              <w:t>երեխաների</w:t>
            </w:r>
            <w:r w:rsidRPr="0053423A">
              <w:rPr>
                <w:rFonts w:cs="Arian AMU"/>
                <w:sz w:val="20"/>
                <w:szCs w:val="20"/>
                <w:shd w:val="clear" w:color="auto" w:fill="FFFFFF"/>
                <w:lang w:val="af-ZA"/>
              </w:rPr>
              <w:t xml:space="preserve"> </w:t>
            </w:r>
            <w:r w:rsidRPr="0053423A">
              <w:rPr>
                <w:rFonts w:cs="Arian AMU"/>
                <w:sz w:val="20"/>
                <w:szCs w:val="20"/>
                <w:shd w:val="clear" w:color="auto" w:fill="FFFFFF"/>
              </w:rPr>
              <w:t>ընդգրկվածությունը</w:t>
            </w:r>
            <w:r w:rsidRPr="0053423A">
              <w:rPr>
                <w:rFonts w:cs="Arian AMU"/>
                <w:sz w:val="20"/>
                <w:szCs w:val="20"/>
                <w:shd w:val="clear" w:color="auto" w:fill="FFFFFF"/>
                <w:lang w:val="af-ZA"/>
              </w:rPr>
              <w:t xml:space="preserve">: </w:t>
            </w:r>
            <w:r w:rsidRPr="0053423A">
              <w:rPr>
                <w:rFonts w:cs="Arian AMU"/>
                <w:sz w:val="20"/>
                <w:szCs w:val="20"/>
                <w:shd w:val="clear" w:color="auto" w:fill="FFFFFF"/>
              </w:rPr>
              <w:t>Նախադպրոցական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հաստատություններ</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համայնքային</w:t>
            </w:r>
            <w:r w:rsidRPr="0053423A">
              <w:rPr>
                <w:rFonts w:cs="Arian AMU"/>
                <w:sz w:val="20"/>
                <w:szCs w:val="20"/>
                <w:shd w:val="clear" w:color="auto" w:fill="FFFFFF"/>
                <w:lang w:val="af-ZA"/>
              </w:rPr>
              <w:t xml:space="preserve"> </w:t>
            </w:r>
            <w:r w:rsidRPr="0053423A">
              <w:rPr>
                <w:rFonts w:cs="Arian AMU"/>
                <w:sz w:val="20"/>
                <w:szCs w:val="20"/>
                <w:shd w:val="clear" w:color="auto" w:fill="FFFFFF"/>
              </w:rPr>
              <w:t>ենթակայության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են</w:t>
            </w:r>
            <w:r w:rsidRPr="0053423A">
              <w:rPr>
                <w:rFonts w:cs="Arian AMU"/>
                <w:sz w:val="20"/>
                <w:szCs w:val="20"/>
                <w:shd w:val="clear" w:color="auto" w:fill="FFFFFF"/>
                <w:lang w:val="af-ZA"/>
              </w:rPr>
              <w:t xml:space="preserve"> </w:t>
            </w:r>
            <w:r w:rsidRPr="0053423A">
              <w:rPr>
                <w:rFonts w:cs="Arian AMU"/>
                <w:sz w:val="20"/>
                <w:szCs w:val="20"/>
                <w:shd w:val="clear" w:color="auto" w:fill="FFFFFF"/>
              </w:rPr>
              <w:t>և</w:t>
            </w:r>
            <w:r w:rsidRPr="0053423A">
              <w:rPr>
                <w:rFonts w:cs="Arian AMU"/>
                <w:sz w:val="20"/>
                <w:szCs w:val="20"/>
                <w:shd w:val="clear" w:color="auto" w:fill="FFFFFF"/>
                <w:lang w:val="af-ZA"/>
              </w:rPr>
              <w:t xml:space="preserve"> </w:t>
            </w:r>
            <w:r w:rsidRPr="0053423A">
              <w:rPr>
                <w:rFonts w:cs="Arian AMU"/>
                <w:sz w:val="20"/>
                <w:szCs w:val="20"/>
                <w:shd w:val="clear" w:color="auto" w:fill="FFFFFF"/>
              </w:rPr>
              <w:t>դրանց</w:t>
            </w:r>
            <w:r w:rsidRPr="0053423A">
              <w:rPr>
                <w:rFonts w:cs="Arian AMU"/>
                <w:sz w:val="20"/>
                <w:szCs w:val="20"/>
                <w:shd w:val="clear" w:color="auto" w:fill="FFFFFF"/>
                <w:lang w:val="af-ZA"/>
              </w:rPr>
              <w:t xml:space="preserve"> </w:t>
            </w:r>
            <w:r w:rsidRPr="0053423A">
              <w:rPr>
                <w:rFonts w:cs="Arian AMU"/>
                <w:sz w:val="20"/>
                <w:szCs w:val="20"/>
                <w:shd w:val="clear" w:color="auto" w:fill="FFFFFF"/>
              </w:rPr>
              <w:t>գործունեության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հետ</w:t>
            </w:r>
            <w:r w:rsidRPr="0053423A">
              <w:rPr>
                <w:rFonts w:cs="Arian AMU"/>
                <w:sz w:val="20"/>
                <w:szCs w:val="20"/>
                <w:shd w:val="clear" w:color="auto" w:fill="FFFFFF"/>
                <w:lang w:val="af-ZA"/>
              </w:rPr>
              <w:t xml:space="preserve"> </w:t>
            </w:r>
            <w:r w:rsidRPr="0053423A">
              <w:rPr>
                <w:rFonts w:cs="Arian AMU"/>
                <w:sz w:val="20"/>
                <w:szCs w:val="20"/>
                <w:shd w:val="clear" w:color="auto" w:fill="FFFFFF"/>
              </w:rPr>
              <w:t>կապված</w:t>
            </w:r>
            <w:r w:rsidRPr="0053423A">
              <w:rPr>
                <w:rFonts w:cs="Arian AMU"/>
                <w:sz w:val="20"/>
                <w:szCs w:val="20"/>
                <w:shd w:val="clear" w:color="auto" w:fill="FFFFFF"/>
                <w:lang w:val="af-ZA"/>
              </w:rPr>
              <w:t xml:space="preserve"> </w:t>
            </w:r>
            <w:r w:rsidRPr="0053423A">
              <w:rPr>
                <w:rFonts w:cs="Arian AMU"/>
                <w:sz w:val="20"/>
                <w:szCs w:val="20"/>
                <w:shd w:val="clear" w:color="auto" w:fill="FFFFFF"/>
              </w:rPr>
              <w:t>ցանկացած</w:t>
            </w:r>
            <w:r w:rsidRPr="0053423A">
              <w:rPr>
                <w:rFonts w:cs="Arian AMU"/>
                <w:sz w:val="20"/>
                <w:szCs w:val="20"/>
                <w:shd w:val="clear" w:color="auto" w:fill="FFFFFF"/>
                <w:lang w:val="af-ZA"/>
              </w:rPr>
              <w:t xml:space="preserve"> </w:t>
            </w:r>
            <w:r w:rsidRPr="0053423A">
              <w:rPr>
                <w:rFonts w:cs="Arian AMU"/>
                <w:sz w:val="20"/>
                <w:szCs w:val="20"/>
                <w:shd w:val="clear" w:color="auto" w:fill="FFFFFF"/>
              </w:rPr>
              <w:t>խնդիր</w:t>
            </w:r>
            <w:r w:rsidRPr="0053423A">
              <w:rPr>
                <w:rFonts w:cs="Arian AMU"/>
                <w:sz w:val="20"/>
                <w:szCs w:val="20"/>
                <w:shd w:val="clear" w:color="auto" w:fill="FFFFFF"/>
                <w:lang w:val="af-ZA"/>
              </w:rPr>
              <w:t xml:space="preserve"> </w:t>
            </w:r>
            <w:r w:rsidRPr="0053423A">
              <w:rPr>
                <w:rFonts w:cs="Arian AMU"/>
                <w:sz w:val="20"/>
                <w:szCs w:val="20"/>
                <w:shd w:val="clear" w:color="auto" w:fill="FFFFFF"/>
              </w:rPr>
              <w:t>անմիջականորեն</w:t>
            </w:r>
            <w:r w:rsidRPr="0053423A">
              <w:rPr>
                <w:rFonts w:ascii="Calibri" w:hAnsi="Calibri" w:cs="Calibri"/>
                <w:sz w:val="20"/>
                <w:szCs w:val="20"/>
                <w:shd w:val="clear" w:color="auto" w:fill="FFFFFF"/>
                <w:lang w:val="af-ZA"/>
              </w:rPr>
              <w:t> </w:t>
            </w:r>
            <w:r w:rsidRPr="0053423A">
              <w:rPr>
                <w:rFonts w:cs="Arian AMU"/>
                <w:sz w:val="20"/>
                <w:szCs w:val="20"/>
                <w:shd w:val="clear" w:color="auto" w:fill="FFFFFF"/>
                <w:lang w:val="af-ZA"/>
              </w:rPr>
              <w:t xml:space="preserve"> </w:t>
            </w:r>
            <w:r w:rsidRPr="0053423A">
              <w:rPr>
                <w:rFonts w:cs="Arian AMU"/>
                <w:sz w:val="20"/>
                <w:szCs w:val="20"/>
                <w:shd w:val="clear" w:color="auto" w:fill="FFFFFF"/>
              </w:rPr>
              <w:t>աղերսվում</w:t>
            </w:r>
            <w:r w:rsidRPr="0053423A">
              <w:rPr>
                <w:rFonts w:cs="Arian AMU"/>
                <w:sz w:val="20"/>
                <w:szCs w:val="20"/>
                <w:shd w:val="clear" w:color="auto" w:fill="FFFFFF"/>
                <w:lang w:val="af-ZA"/>
              </w:rPr>
              <w:t xml:space="preserve"> </w:t>
            </w:r>
            <w:r w:rsidRPr="0053423A">
              <w:rPr>
                <w:rFonts w:cs="Arian AMU"/>
                <w:sz w:val="20"/>
                <w:szCs w:val="20"/>
                <w:shd w:val="clear" w:color="auto" w:fill="FFFFFF"/>
              </w:rPr>
              <w:t>է</w:t>
            </w:r>
            <w:r w:rsidRPr="0053423A">
              <w:rPr>
                <w:rFonts w:ascii="Calibri" w:hAnsi="Calibri" w:cs="Calibri"/>
                <w:sz w:val="20"/>
                <w:szCs w:val="20"/>
                <w:shd w:val="clear" w:color="auto" w:fill="FFFFFF"/>
                <w:lang w:val="af-ZA"/>
              </w:rPr>
              <w:t> </w:t>
            </w:r>
            <w:r w:rsidRPr="0053423A">
              <w:rPr>
                <w:rFonts w:cs="Arian AMU"/>
                <w:sz w:val="20"/>
                <w:szCs w:val="20"/>
                <w:shd w:val="clear" w:color="auto" w:fill="FFFFFF"/>
                <w:lang w:val="af-ZA"/>
              </w:rPr>
              <w:t xml:space="preserve"> </w:t>
            </w:r>
            <w:r w:rsidRPr="0053423A">
              <w:rPr>
                <w:rFonts w:cs="Arian AMU"/>
                <w:sz w:val="20"/>
                <w:szCs w:val="20"/>
                <w:shd w:val="clear" w:color="auto" w:fill="FFFFFF"/>
              </w:rPr>
              <w:t>տվյալ</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համայնքի</w:t>
            </w:r>
            <w:r w:rsidRPr="0053423A">
              <w:rPr>
                <w:rFonts w:cs="Arian AMU"/>
                <w:sz w:val="20"/>
                <w:szCs w:val="20"/>
                <w:shd w:val="clear" w:color="auto" w:fill="FFFFFF"/>
                <w:lang w:val="af-ZA"/>
              </w:rPr>
              <w:t xml:space="preserve"> </w:t>
            </w:r>
            <w:r w:rsidRPr="0053423A">
              <w:rPr>
                <w:rFonts w:cs="Arian AMU"/>
                <w:sz w:val="20"/>
                <w:szCs w:val="20"/>
                <w:shd w:val="clear" w:color="auto" w:fill="FFFFFF"/>
              </w:rPr>
              <w:t>բյուջետային</w:t>
            </w:r>
            <w:r w:rsidRPr="0053423A">
              <w:rPr>
                <w:rFonts w:cs="Arian AMU"/>
                <w:sz w:val="20"/>
                <w:szCs w:val="20"/>
                <w:shd w:val="clear" w:color="auto" w:fill="FFFFFF"/>
                <w:lang w:val="af-ZA"/>
              </w:rPr>
              <w:t xml:space="preserve"> </w:t>
            </w:r>
            <w:r w:rsidRPr="0053423A">
              <w:rPr>
                <w:rFonts w:cs="Arian AMU"/>
                <w:sz w:val="20"/>
                <w:szCs w:val="20"/>
                <w:shd w:val="clear" w:color="auto" w:fill="FFFFFF"/>
              </w:rPr>
              <w:t>միջոցների</w:t>
            </w:r>
            <w:r w:rsidRPr="0053423A">
              <w:rPr>
                <w:rFonts w:cs="Arian AMU"/>
                <w:sz w:val="20"/>
                <w:szCs w:val="20"/>
                <w:shd w:val="clear" w:color="auto" w:fill="FFFFFF"/>
                <w:lang w:val="af-ZA"/>
              </w:rPr>
              <w:t xml:space="preserve"> </w:t>
            </w:r>
            <w:r w:rsidRPr="0053423A">
              <w:rPr>
                <w:rFonts w:cs="Arian AMU"/>
                <w:sz w:val="20"/>
                <w:szCs w:val="20"/>
                <w:shd w:val="clear" w:color="auto" w:fill="FFFFFF"/>
              </w:rPr>
              <w:t>հետ</w:t>
            </w:r>
            <w:r w:rsidRPr="0053423A">
              <w:rPr>
                <w:rFonts w:cs="Arian AMU"/>
                <w:sz w:val="20"/>
                <w:szCs w:val="20"/>
                <w:shd w:val="clear" w:color="auto" w:fill="FFFFFF"/>
                <w:lang w:val="af-ZA"/>
              </w:rPr>
              <w:t xml:space="preserve">: </w:t>
            </w:r>
            <w:r w:rsidRPr="0053423A">
              <w:rPr>
                <w:rFonts w:cs="Arian AMU"/>
                <w:sz w:val="20"/>
                <w:szCs w:val="20"/>
                <w:shd w:val="clear" w:color="auto" w:fill="FFFFFF"/>
              </w:rPr>
              <w:t>Արդյունքում</w:t>
            </w:r>
            <w:r w:rsidRPr="0053423A">
              <w:rPr>
                <w:rFonts w:cs="Arian AMU"/>
                <w:sz w:val="20"/>
                <w:szCs w:val="20"/>
                <w:shd w:val="clear" w:color="auto" w:fill="FFFFFF"/>
                <w:lang w:val="af-ZA"/>
              </w:rPr>
              <w:t xml:space="preserve"> </w:t>
            </w:r>
            <w:r w:rsidRPr="0053423A">
              <w:rPr>
                <w:rFonts w:cs="Arian AMU"/>
                <w:sz w:val="20"/>
                <w:szCs w:val="20"/>
                <w:shd w:val="clear" w:color="auto" w:fill="FFFFFF"/>
              </w:rPr>
              <w:t>անհավասար</w:t>
            </w:r>
            <w:r w:rsidRPr="0053423A">
              <w:rPr>
                <w:rFonts w:cs="Arian AMU"/>
                <w:sz w:val="20"/>
                <w:szCs w:val="20"/>
                <w:shd w:val="clear" w:color="auto" w:fill="FFFFFF"/>
                <w:lang w:val="af-ZA"/>
              </w:rPr>
              <w:t xml:space="preserve"> </w:t>
            </w:r>
            <w:r w:rsidRPr="0053423A">
              <w:rPr>
                <w:rFonts w:cs="Arian AMU"/>
                <w:sz w:val="20"/>
                <w:szCs w:val="20"/>
                <w:shd w:val="clear" w:color="auto" w:fill="FFFFFF"/>
              </w:rPr>
              <w:t>պայմաններ</w:t>
            </w:r>
            <w:r w:rsidRPr="0053423A">
              <w:rPr>
                <w:rFonts w:cs="Arian AMU"/>
                <w:sz w:val="20"/>
                <w:szCs w:val="20"/>
                <w:shd w:val="clear" w:color="auto" w:fill="FFFFFF"/>
                <w:lang w:val="af-ZA"/>
              </w:rPr>
              <w:t xml:space="preserve"> </w:t>
            </w:r>
            <w:r w:rsidRPr="0053423A">
              <w:rPr>
                <w:rFonts w:cs="Arian AMU"/>
                <w:sz w:val="20"/>
                <w:szCs w:val="20"/>
                <w:shd w:val="clear" w:color="auto" w:fill="FFFFFF"/>
              </w:rPr>
              <w:t>են</w:t>
            </w:r>
            <w:r w:rsidRPr="0053423A">
              <w:rPr>
                <w:rFonts w:cs="Arian AMU"/>
                <w:sz w:val="20"/>
                <w:szCs w:val="20"/>
                <w:shd w:val="clear" w:color="auto" w:fill="FFFFFF"/>
                <w:lang w:val="af-ZA"/>
              </w:rPr>
              <w:t xml:space="preserve"> </w:t>
            </w:r>
            <w:r w:rsidRPr="0053423A">
              <w:rPr>
                <w:rFonts w:cs="Arian AMU"/>
                <w:sz w:val="20"/>
                <w:szCs w:val="20"/>
                <w:shd w:val="clear" w:color="auto" w:fill="FFFFFF"/>
              </w:rPr>
              <w:t>ստեղծվում</w:t>
            </w:r>
            <w:r w:rsidRPr="0053423A">
              <w:rPr>
                <w:rFonts w:cs="Arian AMU"/>
                <w:sz w:val="20"/>
                <w:szCs w:val="20"/>
                <w:shd w:val="clear" w:color="auto" w:fill="FFFFFF"/>
                <w:lang w:val="af-ZA"/>
              </w:rPr>
              <w:t xml:space="preserve"> </w:t>
            </w:r>
            <w:r w:rsidRPr="0053423A">
              <w:rPr>
                <w:rFonts w:cs="Arian AMU"/>
                <w:sz w:val="20"/>
                <w:szCs w:val="20"/>
                <w:shd w:val="clear" w:color="auto" w:fill="FFFFFF"/>
              </w:rPr>
              <w:t>նախադպրոցական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տարիքի</w:t>
            </w:r>
            <w:r w:rsidRPr="0053423A">
              <w:rPr>
                <w:rFonts w:cs="Arian AMU"/>
                <w:sz w:val="20"/>
                <w:szCs w:val="20"/>
                <w:shd w:val="clear" w:color="auto" w:fill="FFFFFF"/>
                <w:lang w:val="af-ZA"/>
              </w:rPr>
              <w:t xml:space="preserve"> </w:t>
            </w:r>
            <w:r w:rsidRPr="0053423A">
              <w:rPr>
                <w:rFonts w:cs="Arian AMU"/>
                <w:sz w:val="20"/>
                <w:szCs w:val="20"/>
                <w:shd w:val="clear" w:color="auto" w:fill="FFFFFF"/>
              </w:rPr>
              <w:t>երեխաների</w:t>
            </w:r>
            <w:r w:rsidRPr="0053423A">
              <w:rPr>
                <w:rFonts w:cs="Arian AMU"/>
                <w:sz w:val="20"/>
                <w:szCs w:val="20"/>
                <w:shd w:val="clear" w:color="auto" w:fill="FFFFFF"/>
                <w:lang w:val="af-ZA"/>
              </w:rPr>
              <w:t xml:space="preserve"> </w:t>
            </w:r>
            <w:r w:rsidRPr="0053423A">
              <w:rPr>
                <w:rFonts w:cs="Arian AMU"/>
                <w:sz w:val="20"/>
                <w:szCs w:val="20"/>
                <w:shd w:val="clear" w:color="auto" w:fill="FFFFFF"/>
              </w:rPr>
              <w:t>միջև</w:t>
            </w:r>
            <w:r w:rsidRPr="0053423A">
              <w:rPr>
                <w:rFonts w:cs="Arian AMU"/>
                <w:sz w:val="20"/>
                <w:szCs w:val="20"/>
                <w:shd w:val="clear" w:color="auto" w:fill="FFFFFF"/>
                <w:lang w:val="af-ZA"/>
              </w:rPr>
              <w:t>:</w:t>
            </w:r>
          </w:p>
          <w:p w:rsidR="00154773" w:rsidRPr="0053423A" w:rsidRDefault="00154773" w:rsidP="00154773">
            <w:pPr>
              <w:ind w:firstLine="270"/>
              <w:contextualSpacing/>
              <w:jc w:val="both"/>
              <w:rPr>
                <w:rFonts w:cs="Sylfaen"/>
                <w:b/>
                <w:sz w:val="20"/>
                <w:szCs w:val="20"/>
                <w:lang w:val="af-ZA"/>
              </w:rPr>
            </w:pPr>
          </w:p>
          <w:p w:rsidR="00154773" w:rsidRPr="0053423A" w:rsidRDefault="00154773" w:rsidP="00154773">
            <w:pPr>
              <w:ind w:firstLine="270"/>
              <w:contextualSpacing/>
              <w:rPr>
                <w:rFonts w:eastAsia="Times New Roman" w:cs="Times New Roman"/>
                <w:b/>
                <w:sz w:val="20"/>
                <w:szCs w:val="20"/>
                <w:lang w:val="af-ZA"/>
              </w:rPr>
            </w:pPr>
            <w:r w:rsidRPr="0053423A">
              <w:rPr>
                <w:rFonts w:eastAsia="Times New Roman" w:cs="Times New Roman"/>
                <w:b/>
                <w:sz w:val="20"/>
                <w:szCs w:val="20"/>
                <w:lang w:val="af-ZA"/>
              </w:rPr>
              <w:t xml:space="preserve">1.2. </w:t>
            </w:r>
            <w:r w:rsidRPr="0053423A">
              <w:rPr>
                <w:rFonts w:eastAsia="Times New Roman" w:cs="Times New Roman"/>
                <w:b/>
                <w:sz w:val="20"/>
                <w:szCs w:val="20"/>
              </w:rPr>
              <w:t>ա</w:t>
            </w:r>
            <w:r w:rsidRPr="0053423A">
              <w:rPr>
                <w:rFonts w:eastAsia="Times New Roman" w:cs="Times New Roman"/>
                <w:b/>
                <w:sz w:val="20"/>
                <w:szCs w:val="20"/>
                <w:lang w:val="hy-AM"/>
              </w:rPr>
              <w:t>ռկա խնդիրների առաջարկվող լուծումները</w:t>
            </w:r>
          </w:p>
          <w:p w:rsidR="00154773" w:rsidRPr="0053423A" w:rsidRDefault="00154773" w:rsidP="00154773">
            <w:pPr>
              <w:ind w:firstLine="270"/>
              <w:contextualSpacing/>
              <w:rPr>
                <w:rFonts w:eastAsia="Times New Roman" w:cs="Times New Roman"/>
                <w:b/>
                <w:sz w:val="20"/>
                <w:szCs w:val="20"/>
                <w:lang w:val="af-ZA"/>
              </w:rPr>
            </w:pPr>
          </w:p>
          <w:p w:rsidR="00154773" w:rsidRPr="0053423A" w:rsidRDefault="00154773" w:rsidP="00154773">
            <w:pPr>
              <w:shd w:val="clear" w:color="auto" w:fill="FFFFFF"/>
              <w:ind w:firstLine="270"/>
              <w:jc w:val="both"/>
              <w:textAlignment w:val="baseline"/>
              <w:rPr>
                <w:rFonts w:eastAsia="Times New Roman" w:cs="Arian AMU"/>
                <w:sz w:val="20"/>
                <w:szCs w:val="20"/>
                <w:lang w:val="af-ZA"/>
              </w:rPr>
            </w:pPr>
            <w:r w:rsidRPr="0053423A">
              <w:rPr>
                <w:rFonts w:eastAsia="Times New Roman" w:cs="Arian AMU"/>
                <w:sz w:val="20"/>
                <w:szCs w:val="20"/>
              </w:rPr>
              <w:t>Հանրապետության</w:t>
            </w:r>
            <w:r w:rsidRPr="0053423A">
              <w:rPr>
                <w:rFonts w:eastAsia="Times New Roman" w:cs="Arian AMU"/>
                <w:sz w:val="20"/>
                <w:szCs w:val="20"/>
                <w:lang w:val="af-ZA"/>
              </w:rPr>
              <w:t xml:space="preserve"> </w:t>
            </w:r>
            <w:r w:rsidRPr="0053423A">
              <w:rPr>
                <w:rFonts w:eastAsia="Times New Roman" w:cs="Arian AMU"/>
                <w:sz w:val="20"/>
                <w:szCs w:val="20"/>
              </w:rPr>
              <w:t>բազմաբնակավայր</w:t>
            </w:r>
            <w:r w:rsidRPr="0053423A">
              <w:rPr>
                <w:rFonts w:eastAsia="Times New Roman" w:cs="Arian AMU"/>
                <w:sz w:val="20"/>
                <w:szCs w:val="20"/>
                <w:lang w:val="af-ZA"/>
              </w:rPr>
              <w:t xml:space="preserve"> </w:t>
            </w:r>
            <w:r w:rsidRPr="0053423A">
              <w:rPr>
                <w:rFonts w:eastAsia="Times New Roman" w:cs="Arian AMU"/>
                <w:sz w:val="20"/>
                <w:szCs w:val="20"/>
              </w:rPr>
              <w:t>համայնքներում</w:t>
            </w:r>
            <w:r w:rsidRPr="0053423A">
              <w:rPr>
                <w:rFonts w:eastAsia="Times New Roman" w:cs="Arian AMU"/>
                <w:sz w:val="20"/>
                <w:szCs w:val="20"/>
                <w:lang w:val="af-ZA"/>
              </w:rPr>
              <w:t xml:space="preserve"> </w:t>
            </w:r>
            <w:r w:rsidRPr="0053423A">
              <w:rPr>
                <w:rFonts w:eastAsia="Times New Roman" w:cs="Arian AMU"/>
                <w:sz w:val="20"/>
                <w:szCs w:val="20"/>
              </w:rPr>
              <w:t>ձևավորվել</w:t>
            </w:r>
            <w:r w:rsidRPr="0053423A">
              <w:rPr>
                <w:rFonts w:eastAsia="Times New Roman" w:cs="Arian AMU"/>
                <w:sz w:val="20"/>
                <w:szCs w:val="20"/>
                <w:lang w:val="af-ZA"/>
              </w:rPr>
              <w:t xml:space="preserve"> </w:t>
            </w:r>
            <w:r w:rsidRPr="0053423A">
              <w:rPr>
                <w:rFonts w:eastAsia="Times New Roman" w:cs="Arian AMU"/>
                <w:sz w:val="20"/>
                <w:szCs w:val="20"/>
              </w:rPr>
              <w:t>այլընտրանքային</w:t>
            </w:r>
            <w:r w:rsidRPr="0053423A">
              <w:rPr>
                <w:rFonts w:eastAsia="Times New Roman" w:cs="Arian AMU"/>
                <w:sz w:val="20"/>
                <w:szCs w:val="20"/>
                <w:lang w:val="af-ZA"/>
              </w:rPr>
              <w:t xml:space="preserve"> </w:t>
            </w:r>
            <w:r w:rsidRPr="0053423A">
              <w:rPr>
                <w:rFonts w:eastAsia="Times New Roman" w:cs="Arian AMU"/>
                <w:sz w:val="20"/>
                <w:szCs w:val="20"/>
              </w:rPr>
              <w:t>նախադպրոցական</w:t>
            </w:r>
            <w:r w:rsidRPr="0053423A">
              <w:rPr>
                <w:rFonts w:eastAsia="Times New Roman" w:cs="Arian AMU"/>
                <w:sz w:val="20"/>
                <w:szCs w:val="20"/>
                <w:lang w:val="af-ZA"/>
              </w:rPr>
              <w:t xml:space="preserve"> </w:t>
            </w:r>
            <w:r w:rsidRPr="0053423A">
              <w:rPr>
                <w:rFonts w:eastAsia="Times New Roman" w:cs="Arian AMU"/>
                <w:sz w:val="20"/>
                <w:szCs w:val="20"/>
              </w:rPr>
              <w:t>կրթության</w:t>
            </w:r>
            <w:r w:rsidRPr="0053423A">
              <w:rPr>
                <w:rFonts w:eastAsia="Times New Roman" w:cs="Arian AMU"/>
                <w:sz w:val="20"/>
                <w:szCs w:val="20"/>
                <w:lang w:val="af-ZA"/>
              </w:rPr>
              <w:t xml:space="preserve"> </w:t>
            </w:r>
            <w:r w:rsidRPr="0053423A">
              <w:rPr>
                <w:rFonts w:eastAsia="Times New Roman" w:cs="Arian AMU"/>
                <w:sz w:val="20"/>
                <w:szCs w:val="20"/>
              </w:rPr>
              <w:t>հաստատություններ</w:t>
            </w:r>
            <w:r w:rsidRPr="0053423A">
              <w:rPr>
                <w:rFonts w:eastAsia="Times New Roman" w:cs="Arian AMU"/>
                <w:sz w:val="20"/>
                <w:szCs w:val="20"/>
                <w:lang w:val="af-ZA"/>
              </w:rPr>
              <w:t xml:space="preserve">, </w:t>
            </w:r>
            <w:r w:rsidRPr="0053423A">
              <w:rPr>
                <w:rFonts w:eastAsia="Times New Roman" w:cs="Arian AMU"/>
                <w:sz w:val="20"/>
                <w:szCs w:val="20"/>
              </w:rPr>
              <w:t>որոնք</w:t>
            </w:r>
            <w:r w:rsidRPr="0053423A">
              <w:rPr>
                <w:rFonts w:ascii="Calibri" w:eastAsia="Times New Roman" w:hAnsi="Calibri" w:cs="Calibri"/>
                <w:sz w:val="20"/>
                <w:szCs w:val="20"/>
                <w:lang w:val="af-ZA"/>
              </w:rPr>
              <w:t> </w:t>
            </w:r>
            <w:r w:rsidRPr="0053423A">
              <w:rPr>
                <w:rFonts w:eastAsia="Times New Roman" w:cs="Arian AMU"/>
                <w:sz w:val="20"/>
                <w:szCs w:val="20"/>
                <w:lang w:val="af-ZA"/>
              </w:rPr>
              <w:t xml:space="preserve"> </w:t>
            </w:r>
            <w:r w:rsidRPr="0053423A">
              <w:rPr>
                <w:rFonts w:eastAsia="Times New Roman" w:cs="Arian AMU"/>
                <w:sz w:val="20"/>
                <w:szCs w:val="20"/>
              </w:rPr>
              <w:t>հնարավորություն</w:t>
            </w:r>
            <w:r w:rsidRPr="0053423A">
              <w:rPr>
                <w:rFonts w:eastAsia="Times New Roman" w:cs="Arian AMU"/>
                <w:sz w:val="20"/>
                <w:szCs w:val="20"/>
                <w:lang w:val="af-ZA"/>
              </w:rPr>
              <w:t xml:space="preserve"> </w:t>
            </w:r>
            <w:r w:rsidRPr="0053423A">
              <w:rPr>
                <w:rFonts w:eastAsia="Times New Roman" w:cs="Arian AMU"/>
                <w:sz w:val="20"/>
                <w:szCs w:val="20"/>
              </w:rPr>
              <w:t>կընձեռեն</w:t>
            </w:r>
            <w:r w:rsidRPr="0053423A">
              <w:rPr>
                <w:rFonts w:eastAsia="Times New Roman" w:cs="Arian AMU"/>
                <w:sz w:val="20"/>
                <w:szCs w:val="20"/>
                <w:lang w:val="af-ZA"/>
              </w:rPr>
              <w:t xml:space="preserve"> </w:t>
            </w:r>
            <w:r w:rsidRPr="0053423A">
              <w:rPr>
                <w:rFonts w:eastAsia="Times New Roman" w:cs="Arian AMU"/>
                <w:sz w:val="20"/>
                <w:szCs w:val="20"/>
              </w:rPr>
              <w:t>մեծացնել</w:t>
            </w:r>
            <w:r w:rsidRPr="0053423A">
              <w:rPr>
                <w:rFonts w:eastAsia="Times New Roman" w:cs="Arian AMU"/>
                <w:sz w:val="20"/>
                <w:szCs w:val="20"/>
                <w:lang w:val="af-ZA"/>
              </w:rPr>
              <w:t xml:space="preserve"> </w:t>
            </w:r>
            <w:r w:rsidRPr="0053423A">
              <w:rPr>
                <w:rFonts w:eastAsia="Times New Roman" w:cs="Arian AMU"/>
                <w:sz w:val="20"/>
                <w:szCs w:val="20"/>
              </w:rPr>
              <w:t>երեխաների</w:t>
            </w:r>
            <w:r w:rsidRPr="0053423A">
              <w:rPr>
                <w:rFonts w:eastAsia="Times New Roman" w:cs="Arian AMU"/>
                <w:sz w:val="20"/>
                <w:szCs w:val="20"/>
                <w:lang w:val="af-ZA"/>
              </w:rPr>
              <w:t xml:space="preserve"> </w:t>
            </w:r>
            <w:r w:rsidRPr="0053423A">
              <w:rPr>
                <w:rFonts w:eastAsia="Times New Roman" w:cs="Arian AMU"/>
                <w:sz w:val="20"/>
                <w:szCs w:val="20"/>
              </w:rPr>
              <w:t>ընդգրկվածությունը</w:t>
            </w:r>
            <w:r w:rsidRPr="0053423A">
              <w:rPr>
                <w:rFonts w:eastAsia="Times New Roman" w:cs="Arian AMU"/>
                <w:sz w:val="20"/>
                <w:szCs w:val="20"/>
                <w:lang w:val="af-ZA"/>
              </w:rPr>
              <w:t xml:space="preserve"> </w:t>
            </w:r>
            <w:r w:rsidRPr="0053423A">
              <w:rPr>
                <w:rFonts w:eastAsia="Times New Roman" w:cs="Arian AMU"/>
                <w:sz w:val="20"/>
                <w:szCs w:val="20"/>
              </w:rPr>
              <w:t>նախադպրոցական</w:t>
            </w:r>
            <w:r w:rsidRPr="0053423A">
              <w:rPr>
                <w:rFonts w:eastAsia="Times New Roman" w:cs="Arian AMU"/>
                <w:sz w:val="20"/>
                <w:szCs w:val="20"/>
                <w:lang w:val="af-ZA"/>
              </w:rPr>
              <w:t xml:space="preserve"> </w:t>
            </w:r>
            <w:r w:rsidRPr="0053423A">
              <w:rPr>
                <w:rFonts w:eastAsia="Times New Roman" w:cs="Arian AMU"/>
                <w:sz w:val="20"/>
                <w:szCs w:val="20"/>
              </w:rPr>
              <w:t>ծառայություններում</w:t>
            </w:r>
            <w:r w:rsidRPr="0053423A">
              <w:rPr>
                <w:rFonts w:eastAsia="Times New Roman" w:cs="Arian AMU"/>
                <w:sz w:val="20"/>
                <w:szCs w:val="20"/>
                <w:lang w:val="af-ZA"/>
              </w:rPr>
              <w:t xml:space="preserve"> </w:t>
            </w:r>
            <w:r w:rsidRPr="0053423A">
              <w:rPr>
                <w:rFonts w:eastAsia="Times New Roman" w:cs="Arian AMU"/>
                <w:sz w:val="20"/>
                <w:szCs w:val="20"/>
              </w:rPr>
              <w:t>և</w:t>
            </w:r>
            <w:r w:rsidRPr="0053423A">
              <w:rPr>
                <w:rFonts w:eastAsia="Times New Roman" w:cs="Arian AMU"/>
                <w:sz w:val="20"/>
                <w:szCs w:val="20"/>
                <w:lang w:val="af-ZA"/>
              </w:rPr>
              <w:t xml:space="preserve"> </w:t>
            </w:r>
            <w:r w:rsidRPr="0053423A">
              <w:rPr>
                <w:rFonts w:eastAsia="Times New Roman" w:cs="Arian AMU"/>
                <w:sz w:val="20"/>
                <w:szCs w:val="20"/>
              </w:rPr>
              <w:t>ապահովել</w:t>
            </w:r>
            <w:r w:rsidRPr="0053423A">
              <w:rPr>
                <w:rFonts w:eastAsia="Times New Roman" w:cs="Arian AMU"/>
                <w:sz w:val="20"/>
                <w:szCs w:val="20"/>
                <w:lang w:val="af-ZA"/>
              </w:rPr>
              <w:t xml:space="preserve"> </w:t>
            </w:r>
            <w:r w:rsidRPr="0053423A">
              <w:rPr>
                <w:rFonts w:eastAsia="Times New Roman" w:cs="Arian AMU"/>
                <w:sz w:val="20"/>
                <w:szCs w:val="20"/>
              </w:rPr>
              <w:t>մատչելիություն՝</w:t>
            </w:r>
            <w:r w:rsidRPr="0053423A">
              <w:rPr>
                <w:rFonts w:eastAsia="Times New Roman" w:cs="Arian AMU"/>
                <w:sz w:val="20"/>
                <w:szCs w:val="20"/>
                <w:lang w:val="af-ZA"/>
              </w:rPr>
              <w:t xml:space="preserve"> </w:t>
            </w:r>
            <w:r w:rsidRPr="0053423A">
              <w:rPr>
                <w:rFonts w:eastAsia="Times New Roman" w:cs="Arian AMU"/>
                <w:sz w:val="20"/>
                <w:szCs w:val="20"/>
              </w:rPr>
              <w:t>հատկապես</w:t>
            </w:r>
            <w:r w:rsidRPr="0053423A">
              <w:rPr>
                <w:rFonts w:eastAsia="Times New Roman" w:cs="Arian AMU"/>
                <w:sz w:val="20"/>
                <w:szCs w:val="20"/>
                <w:lang w:val="af-ZA"/>
              </w:rPr>
              <w:t xml:space="preserve"> </w:t>
            </w:r>
            <w:r w:rsidRPr="0053423A">
              <w:rPr>
                <w:rFonts w:eastAsia="Times New Roman" w:cs="Arian AMU"/>
                <w:sz w:val="20"/>
                <w:szCs w:val="20"/>
              </w:rPr>
              <w:t>սոցիալապես</w:t>
            </w:r>
            <w:r w:rsidRPr="0053423A">
              <w:rPr>
                <w:rFonts w:eastAsia="Times New Roman" w:cs="Arian AMU"/>
                <w:sz w:val="20"/>
                <w:szCs w:val="20"/>
                <w:lang w:val="af-ZA"/>
              </w:rPr>
              <w:t xml:space="preserve"> </w:t>
            </w:r>
            <w:r w:rsidRPr="0053423A">
              <w:rPr>
                <w:rFonts w:eastAsia="Times New Roman" w:cs="Arian AMU"/>
                <w:sz w:val="20"/>
                <w:szCs w:val="20"/>
              </w:rPr>
              <w:t>անապահով</w:t>
            </w:r>
            <w:r w:rsidRPr="0053423A">
              <w:rPr>
                <w:rFonts w:eastAsia="Times New Roman" w:cs="Arian AMU"/>
                <w:sz w:val="20"/>
                <w:szCs w:val="20"/>
                <w:lang w:val="af-ZA"/>
              </w:rPr>
              <w:t xml:space="preserve"> </w:t>
            </w:r>
            <w:r w:rsidRPr="0053423A">
              <w:rPr>
                <w:rFonts w:eastAsia="Times New Roman" w:cs="Arian AMU"/>
                <w:sz w:val="20"/>
                <w:szCs w:val="20"/>
              </w:rPr>
              <w:t>ընտանիքների</w:t>
            </w:r>
            <w:r w:rsidRPr="0053423A">
              <w:rPr>
                <w:rFonts w:eastAsia="Times New Roman" w:cs="Arian AMU"/>
                <w:sz w:val="20"/>
                <w:szCs w:val="20"/>
                <w:lang w:val="af-ZA"/>
              </w:rPr>
              <w:t xml:space="preserve"> </w:t>
            </w:r>
            <w:r w:rsidRPr="0053423A">
              <w:rPr>
                <w:rFonts w:eastAsia="Times New Roman" w:cs="Arian AMU"/>
                <w:sz w:val="20"/>
                <w:szCs w:val="20"/>
              </w:rPr>
              <w:t>համար</w:t>
            </w:r>
            <w:r w:rsidRPr="0053423A">
              <w:rPr>
                <w:rFonts w:eastAsia="Times New Roman" w:cs="Arian AMU"/>
                <w:sz w:val="20"/>
                <w:szCs w:val="20"/>
                <w:lang w:val="af-ZA"/>
              </w:rPr>
              <w:t>:</w:t>
            </w:r>
          </w:p>
          <w:p w:rsidR="00154773" w:rsidRPr="0053423A" w:rsidRDefault="00154773" w:rsidP="00154773">
            <w:pPr>
              <w:shd w:val="clear" w:color="auto" w:fill="FFFFFF"/>
              <w:ind w:firstLine="270"/>
              <w:jc w:val="both"/>
              <w:textAlignment w:val="baseline"/>
              <w:rPr>
                <w:rFonts w:eastAsia="Times New Roman" w:cs="Arian AMU"/>
                <w:sz w:val="20"/>
                <w:szCs w:val="20"/>
                <w:lang w:val="af-ZA"/>
              </w:rPr>
            </w:pPr>
            <w:r w:rsidRPr="0053423A">
              <w:rPr>
                <w:rFonts w:eastAsia="Times New Roman" w:cs="Arian AMU"/>
                <w:sz w:val="20"/>
                <w:szCs w:val="20"/>
              </w:rPr>
              <w:t>Այլընտրանքային</w:t>
            </w:r>
            <w:r w:rsidRPr="0053423A">
              <w:rPr>
                <w:rFonts w:eastAsia="Times New Roman" w:cs="Arian AMU"/>
                <w:sz w:val="20"/>
                <w:szCs w:val="20"/>
                <w:lang w:val="af-ZA"/>
              </w:rPr>
              <w:t xml:space="preserve"> </w:t>
            </w:r>
            <w:r w:rsidRPr="0053423A">
              <w:rPr>
                <w:rFonts w:eastAsia="Times New Roman" w:cs="Arian AMU"/>
                <w:sz w:val="20"/>
                <w:szCs w:val="20"/>
              </w:rPr>
              <w:t>նախադպրոցական</w:t>
            </w:r>
            <w:r w:rsidRPr="0053423A">
              <w:rPr>
                <w:rFonts w:eastAsia="Times New Roman" w:cs="Arian AMU"/>
                <w:sz w:val="20"/>
                <w:szCs w:val="20"/>
                <w:lang w:val="af-ZA"/>
              </w:rPr>
              <w:t xml:space="preserve"> </w:t>
            </w:r>
            <w:r w:rsidRPr="0053423A">
              <w:rPr>
                <w:rFonts w:eastAsia="Times New Roman" w:cs="Arian AMU"/>
                <w:sz w:val="20"/>
                <w:szCs w:val="20"/>
              </w:rPr>
              <w:t>կրթություն</w:t>
            </w:r>
            <w:r w:rsidRPr="0053423A">
              <w:rPr>
                <w:rFonts w:eastAsia="Times New Roman" w:cs="Arian AMU"/>
                <w:sz w:val="20"/>
                <w:szCs w:val="20"/>
                <w:lang w:val="af-ZA"/>
              </w:rPr>
              <w:t xml:space="preserve"> </w:t>
            </w:r>
            <w:r w:rsidRPr="0053423A">
              <w:rPr>
                <w:rFonts w:eastAsia="Times New Roman" w:cs="Arian AMU"/>
                <w:sz w:val="20"/>
                <w:szCs w:val="20"/>
              </w:rPr>
              <w:t>կազմակերպող</w:t>
            </w:r>
            <w:r w:rsidRPr="0053423A">
              <w:rPr>
                <w:rFonts w:eastAsia="Times New Roman" w:cs="Arian AMU"/>
                <w:sz w:val="20"/>
                <w:szCs w:val="20"/>
                <w:lang w:val="af-ZA"/>
              </w:rPr>
              <w:t xml:space="preserve"> </w:t>
            </w:r>
            <w:r w:rsidRPr="0053423A">
              <w:rPr>
                <w:rFonts w:eastAsia="Times New Roman" w:cs="Arian AMU"/>
                <w:sz w:val="20"/>
                <w:szCs w:val="20"/>
              </w:rPr>
              <w:t>հաստատությունը</w:t>
            </w:r>
            <w:r w:rsidRPr="0053423A">
              <w:rPr>
                <w:rFonts w:eastAsia="Times New Roman" w:cs="Arian AMU"/>
                <w:sz w:val="20"/>
                <w:szCs w:val="20"/>
                <w:lang w:val="af-ZA"/>
              </w:rPr>
              <w:t xml:space="preserve"> </w:t>
            </w:r>
            <w:r w:rsidRPr="0053423A">
              <w:rPr>
                <w:rFonts w:eastAsia="Times New Roman" w:cs="Arian AMU"/>
                <w:sz w:val="20"/>
                <w:szCs w:val="20"/>
              </w:rPr>
              <w:t>ձևավորվելով</w:t>
            </w:r>
            <w:r w:rsidRPr="0053423A">
              <w:rPr>
                <w:rFonts w:eastAsia="Times New Roman" w:cs="Arian AMU"/>
                <w:sz w:val="20"/>
                <w:szCs w:val="20"/>
                <w:lang w:val="af-ZA"/>
              </w:rPr>
              <w:t xml:space="preserve"> </w:t>
            </w:r>
            <w:r w:rsidRPr="0053423A">
              <w:rPr>
                <w:rFonts w:eastAsia="Times New Roman" w:cs="Arian AMU"/>
                <w:sz w:val="20"/>
                <w:szCs w:val="20"/>
              </w:rPr>
              <w:t>որպես</w:t>
            </w:r>
            <w:r w:rsidRPr="0053423A">
              <w:rPr>
                <w:rFonts w:eastAsia="Times New Roman" w:cs="Arian AMU"/>
                <w:sz w:val="20"/>
                <w:szCs w:val="20"/>
                <w:lang w:val="af-ZA"/>
              </w:rPr>
              <w:t xml:space="preserve"> </w:t>
            </w:r>
            <w:r w:rsidRPr="0053423A">
              <w:rPr>
                <w:rFonts w:eastAsia="Times New Roman" w:cs="Arian AMU"/>
                <w:sz w:val="20"/>
                <w:szCs w:val="20"/>
              </w:rPr>
              <w:t>համայնքահեն</w:t>
            </w:r>
            <w:r w:rsidRPr="0053423A">
              <w:rPr>
                <w:rFonts w:eastAsia="Times New Roman" w:cs="Arian AMU"/>
                <w:sz w:val="20"/>
                <w:szCs w:val="20"/>
                <w:lang w:val="af-ZA"/>
              </w:rPr>
              <w:t xml:space="preserve"> </w:t>
            </w:r>
            <w:r w:rsidRPr="0053423A">
              <w:rPr>
                <w:rFonts w:eastAsia="Times New Roman" w:cs="Arian AMU"/>
                <w:sz w:val="20"/>
                <w:szCs w:val="20"/>
              </w:rPr>
              <w:t>հաստատություն</w:t>
            </w:r>
            <w:r w:rsidRPr="0053423A">
              <w:rPr>
                <w:rFonts w:eastAsia="Times New Roman" w:cs="Arian AMU"/>
                <w:sz w:val="20"/>
                <w:szCs w:val="20"/>
                <w:lang w:val="af-ZA"/>
              </w:rPr>
              <w:t xml:space="preserve">, </w:t>
            </w:r>
            <w:r w:rsidRPr="0053423A">
              <w:rPr>
                <w:rFonts w:eastAsia="Times New Roman" w:cs="Arian AMU"/>
                <w:sz w:val="20"/>
                <w:szCs w:val="20"/>
              </w:rPr>
              <w:t>կդառնա</w:t>
            </w:r>
            <w:r w:rsidRPr="0053423A">
              <w:rPr>
                <w:rFonts w:eastAsia="Times New Roman" w:cs="Arian AMU"/>
                <w:sz w:val="20"/>
                <w:szCs w:val="20"/>
                <w:lang w:val="af-ZA"/>
              </w:rPr>
              <w:t xml:space="preserve"> </w:t>
            </w:r>
            <w:r w:rsidRPr="0053423A">
              <w:rPr>
                <w:rFonts w:eastAsia="Times New Roman" w:cs="Arian AMU"/>
                <w:sz w:val="20"/>
                <w:szCs w:val="20"/>
              </w:rPr>
              <w:t>ցածր</w:t>
            </w:r>
            <w:r w:rsidRPr="0053423A">
              <w:rPr>
                <w:rFonts w:eastAsia="Times New Roman" w:cs="Arian AMU"/>
                <w:sz w:val="20"/>
                <w:szCs w:val="20"/>
                <w:lang w:val="af-ZA"/>
              </w:rPr>
              <w:t xml:space="preserve"> </w:t>
            </w:r>
            <w:r w:rsidRPr="0053423A">
              <w:rPr>
                <w:rFonts w:eastAsia="Times New Roman" w:cs="Arian AMU"/>
                <w:sz w:val="20"/>
                <w:szCs w:val="20"/>
              </w:rPr>
              <w:t>արժողությամբ</w:t>
            </w:r>
            <w:r w:rsidRPr="0053423A">
              <w:rPr>
                <w:rFonts w:eastAsia="Times New Roman" w:cs="Arian AMU"/>
                <w:sz w:val="20"/>
                <w:szCs w:val="20"/>
                <w:lang w:val="af-ZA"/>
              </w:rPr>
              <w:t xml:space="preserve"> </w:t>
            </w:r>
            <w:r w:rsidRPr="0053423A">
              <w:rPr>
                <w:rFonts w:eastAsia="Times New Roman" w:cs="Arian AMU"/>
                <w:sz w:val="20"/>
                <w:szCs w:val="20"/>
              </w:rPr>
              <w:t>նախադպրոցական</w:t>
            </w:r>
            <w:r w:rsidRPr="0053423A">
              <w:rPr>
                <w:rFonts w:eastAsia="Times New Roman" w:cs="Arian AMU"/>
                <w:sz w:val="20"/>
                <w:szCs w:val="20"/>
                <w:lang w:val="af-ZA"/>
              </w:rPr>
              <w:t xml:space="preserve"> </w:t>
            </w:r>
            <w:r w:rsidRPr="0053423A">
              <w:rPr>
                <w:rFonts w:eastAsia="Times New Roman" w:cs="Arian AMU"/>
                <w:sz w:val="20"/>
                <w:szCs w:val="20"/>
              </w:rPr>
              <w:t>կրթական</w:t>
            </w:r>
            <w:r w:rsidRPr="0053423A">
              <w:rPr>
                <w:rFonts w:eastAsia="Times New Roman" w:cs="Arian AMU"/>
                <w:sz w:val="20"/>
                <w:szCs w:val="20"/>
                <w:lang w:val="af-ZA"/>
              </w:rPr>
              <w:t xml:space="preserve"> </w:t>
            </w:r>
            <w:r w:rsidRPr="0053423A">
              <w:rPr>
                <w:rFonts w:eastAsia="Times New Roman" w:cs="Arian AMU"/>
                <w:sz w:val="20"/>
                <w:szCs w:val="20"/>
              </w:rPr>
              <w:t>ծրագրեր</w:t>
            </w:r>
            <w:r w:rsidRPr="0053423A">
              <w:rPr>
                <w:rFonts w:eastAsia="Times New Roman" w:cs="Arian AMU"/>
                <w:sz w:val="20"/>
                <w:szCs w:val="20"/>
                <w:lang w:val="af-ZA"/>
              </w:rPr>
              <w:t xml:space="preserve"> </w:t>
            </w:r>
            <w:r w:rsidRPr="0053423A">
              <w:rPr>
                <w:rFonts w:ascii="Calibri" w:eastAsia="Times New Roman" w:hAnsi="Calibri" w:cs="Calibri"/>
                <w:sz w:val="20"/>
                <w:szCs w:val="20"/>
                <w:lang w:val="af-ZA"/>
              </w:rPr>
              <w:t> </w:t>
            </w:r>
            <w:r w:rsidRPr="0053423A">
              <w:rPr>
                <w:rFonts w:eastAsia="Times New Roman" w:cs="Arian AMU"/>
                <w:sz w:val="20"/>
                <w:szCs w:val="20"/>
              </w:rPr>
              <w:t>իրականացնող</w:t>
            </w:r>
            <w:r w:rsidRPr="0053423A">
              <w:rPr>
                <w:rFonts w:eastAsia="Times New Roman" w:cs="Arian AMU"/>
                <w:sz w:val="20"/>
                <w:szCs w:val="20"/>
                <w:lang w:val="af-ZA"/>
              </w:rPr>
              <w:t xml:space="preserve"> </w:t>
            </w:r>
            <w:r w:rsidRPr="0053423A">
              <w:rPr>
                <w:rFonts w:eastAsia="Times New Roman" w:cs="Arian AMU"/>
                <w:sz w:val="20"/>
                <w:szCs w:val="20"/>
              </w:rPr>
              <w:t>կառույց</w:t>
            </w:r>
            <w:r w:rsidRPr="0053423A">
              <w:rPr>
                <w:rFonts w:ascii="Calibri" w:eastAsia="Times New Roman" w:hAnsi="Calibri" w:cs="Calibri"/>
                <w:sz w:val="20"/>
                <w:szCs w:val="20"/>
                <w:lang w:val="af-ZA"/>
              </w:rPr>
              <w:t> </w:t>
            </w:r>
            <w:r w:rsidRPr="0053423A">
              <w:rPr>
                <w:rFonts w:eastAsia="Times New Roman" w:cs="Arian AMU"/>
                <w:sz w:val="20"/>
                <w:szCs w:val="20"/>
                <w:lang w:val="af-ZA"/>
              </w:rPr>
              <w:t xml:space="preserve"> </w:t>
            </w:r>
            <w:r w:rsidRPr="0053423A">
              <w:rPr>
                <w:rFonts w:eastAsia="Times New Roman" w:cs="Arian AMU"/>
                <w:sz w:val="20"/>
                <w:szCs w:val="20"/>
              </w:rPr>
              <w:t>նախադպրոցական</w:t>
            </w:r>
            <w:r w:rsidRPr="0053423A">
              <w:rPr>
                <w:rFonts w:eastAsia="Times New Roman" w:cs="Arian AMU"/>
                <w:sz w:val="20"/>
                <w:szCs w:val="20"/>
                <w:lang w:val="af-ZA"/>
              </w:rPr>
              <w:t xml:space="preserve"> </w:t>
            </w:r>
            <w:r w:rsidRPr="0053423A">
              <w:rPr>
                <w:rFonts w:eastAsia="Times New Roman" w:cs="Arian AMU"/>
                <w:sz w:val="20"/>
                <w:szCs w:val="20"/>
              </w:rPr>
              <w:t>հաստատություն</w:t>
            </w:r>
            <w:r w:rsidRPr="0053423A">
              <w:rPr>
                <w:rFonts w:eastAsia="Times New Roman" w:cs="Arian AMU"/>
                <w:sz w:val="20"/>
                <w:szCs w:val="20"/>
                <w:lang w:val="af-ZA"/>
              </w:rPr>
              <w:t xml:space="preserve"> </w:t>
            </w:r>
            <w:r w:rsidRPr="0053423A">
              <w:rPr>
                <w:rFonts w:eastAsia="Times New Roman" w:cs="Arian AMU"/>
                <w:sz w:val="20"/>
                <w:szCs w:val="20"/>
              </w:rPr>
              <w:t>չունեցող</w:t>
            </w:r>
            <w:r w:rsidRPr="0053423A">
              <w:rPr>
                <w:rFonts w:eastAsia="Times New Roman" w:cs="Arian AMU"/>
                <w:sz w:val="20"/>
                <w:szCs w:val="20"/>
                <w:lang w:val="af-ZA"/>
              </w:rPr>
              <w:t xml:space="preserve"> </w:t>
            </w:r>
            <w:r w:rsidRPr="0053423A">
              <w:rPr>
                <w:rFonts w:eastAsia="Times New Roman" w:cs="Arian AMU"/>
                <w:sz w:val="20"/>
                <w:szCs w:val="20"/>
              </w:rPr>
              <w:t>բնակավայրերում</w:t>
            </w:r>
            <w:r w:rsidRPr="0053423A">
              <w:rPr>
                <w:rFonts w:eastAsia="Times New Roman" w:cs="Arian AMU"/>
                <w:sz w:val="20"/>
                <w:szCs w:val="20"/>
                <w:lang w:val="af-ZA"/>
              </w:rPr>
              <w:t>:</w:t>
            </w:r>
          </w:p>
          <w:p w:rsidR="00154773" w:rsidRPr="0053423A" w:rsidRDefault="00154773" w:rsidP="00154773">
            <w:pPr>
              <w:tabs>
                <w:tab w:val="left" w:pos="2790"/>
              </w:tabs>
              <w:ind w:firstLine="270"/>
              <w:contextualSpacing/>
              <w:jc w:val="both"/>
              <w:rPr>
                <w:rFonts w:cs="Sylfaen"/>
                <w:sz w:val="20"/>
                <w:szCs w:val="20"/>
                <w:lang w:val="af-ZA"/>
              </w:rPr>
            </w:pPr>
          </w:p>
          <w:p w:rsidR="00154773" w:rsidRPr="0053423A" w:rsidRDefault="00154773" w:rsidP="001F6D5D">
            <w:pPr>
              <w:numPr>
                <w:ilvl w:val="0"/>
                <w:numId w:val="495"/>
              </w:numPr>
              <w:tabs>
                <w:tab w:val="left" w:pos="2790"/>
              </w:tabs>
              <w:contextualSpacing/>
              <w:jc w:val="both"/>
              <w:rPr>
                <w:rFonts w:cs="Sylfaen"/>
                <w:sz w:val="20"/>
                <w:szCs w:val="20"/>
                <w:lang w:val="af-ZA"/>
              </w:rPr>
            </w:pPr>
            <w:r w:rsidRPr="0053423A">
              <w:rPr>
                <w:b/>
                <w:sz w:val="20"/>
                <w:szCs w:val="20"/>
              </w:rPr>
              <w:t>Միջոցառման</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r w:rsidRPr="0053423A">
              <w:rPr>
                <w:sz w:val="20"/>
                <w:szCs w:val="20"/>
                <w:lang w:val="af-ZA"/>
              </w:rPr>
              <w:t xml:space="preserve"> </w:t>
            </w:r>
          </w:p>
          <w:p w:rsidR="00154773" w:rsidRPr="0053423A" w:rsidRDefault="00154773" w:rsidP="00154773">
            <w:pPr>
              <w:tabs>
                <w:tab w:val="left" w:pos="2790"/>
              </w:tabs>
              <w:ind w:left="720"/>
              <w:contextualSpacing/>
              <w:jc w:val="both"/>
              <w:rPr>
                <w:sz w:val="20"/>
                <w:szCs w:val="20"/>
                <w:lang w:val="af-ZA"/>
              </w:rPr>
            </w:pPr>
          </w:p>
          <w:p w:rsidR="00154773" w:rsidRPr="0053423A" w:rsidRDefault="00154773" w:rsidP="00154773">
            <w:pPr>
              <w:tabs>
                <w:tab w:val="left" w:pos="2790"/>
              </w:tabs>
              <w:ind w:firstLine="360"/>
              <w:contextualSpacing/>
              <w:jc w:val="both"/>
              <w:rPr>
                <w:rFonts w:cs="Sylfaen"/>
                <w:sz w:val="20"/>
                <w:szCs w:val="20"/>
                <w:lang w:val="af-ZA"/>
              </w:rPr>
            </w:pPr>
            <w:r w:rsidRPr="0053423A">
              <w:rPr>
                <w:rFonts w:cs="Arian AMU"/>
                <w:sz w:val="20"/>
                <w:szCs w:val="20"/>
                <w:shd w:val="clear" w:color="auto" w:fill="FFFFFF"/>
              </w:rPr>
              <w:t>Այլընտրանքային</w:t>
            </w:r>
            <w:r w:rsidRPr="0053423A">
              <w:rPr>
                <w:rFonts w:cs="Arian AMU"/>
                <w:sz w:val="20"/>
                <w:szCs w:val="20"/>
                <w:shd w:val="clear" w:color="auto" w:fill="FFFFFF"/>
                <w:lang w:val="af-ZA"/>
              </w:rPr>
              <w:t xml:space="preserve"> </w:t>
            </w:r>
            <w:r w:rsidRPr="0053423A">
              <w:rPr>
                <w:rFonts w:cs="Arian AMU"/>
                <w:sz w:val="20"/>
                <w:szCs w:val="20"/>
                <w:shd w:val="clear" w:color="auto" w:fill="FFFFFF"/>
              </w:rPr>
              <w:t>մոդելների</w:t>
            </w:r>
            <w:r w:rsidRPr="0053423A">
              <w:rPr>
                <w:rFonts w:cs="Arian AMU"/>
                <w:sz w:val="20"/>
                <w:szCs w:val="20"/>
                <w:shd w:val="clear" w:color="auto" w:fill="FFFFFF"/>
                <w:lang w:val="af-ZA"/>
              </w:rPr>
              <w:t xml:space="preserve"> </w:t>
            </w:r>
            <w:r w:rsidRPr="0053423A">
              <w:rPr>
                <w:rFonts w:cs="Arian AMU"/>
                <w:sz w:val="20"/>
                <w:szCs w:val="20"/>
                <w:shd w:val="clear" w:color="auto" w:fill="FFFFFF"/>
              </w:rPr>
              <w:t>ներդրմամբ</w:t>
            </w:r>
            <w:r w:rsidRPr="0053423A">
              <w:rPr>
                <w:rFonts w:cs="Arian AMU"/>
                <w:sz w:val="20"/>
                <w:szCs w:val="20"/>
                <w:shd w:val="clear" w:color="auto" w:fill="FFFFFF"/>
                <w:lang w:val="af-ZA"/>
              </w:rPr>
              <w:t xml:space="preserve"> </w:t>
            </w:r>
            <w:r w:rsidRPr="0053423A">
              <w:rPr>
                <w:rFonts w:cs="Arian AMU"/>
                <w:sz w:val="20"/>
                <w:szCs w:val="20"/>
                <w:shd w:val="clear" w:color="auto" w:fill="FFFFFF"/>
              </w:rPr>
              <w:t>հնարավորություն</w:t>
            </w:r>
            <w:r w:rsidRPr="0053423A">
              <w:rPr>
                <w:rFonts w:cs="Arian AMU"/>
                <w:sz w:val="20"/>
                <w:szCs w:val="20"/>
                <w:shd w:val="clear" w:color="auto" w:fill="FFFFFF"/>
                <w:lang w:val="af-ZA"/>
              </w:rPr>
              <w:t xml:space="preserve"> </w:t>
            </w:r>
            <w:r w:rsidRPr="0053423A">
              <w:rPr>
                <w:rFonts w:cs="Arian AMU"/>
                <w:sz w:val="20"/>
                <w:szCs w:val="20"/>
                <w:shd w:val="clear" w:color="auto" w:fill="FFFFFF"/>
              </w:rPr>
              <w:t>ընձեռել</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համայնքների</w:t>
            </w:r>
            <w:r w:rsidRPr="0053423A">
              <w:rPr>
                <w:rFonts w:cs="Arian AMU"/>
                <w:sz w:val="20"/>
                <w:szCs w:val="20"/>
                <w:shd w:val="clear" w:color="auto" w:fill="FFFFFF"/>
                <w:lang w:val="af-ZA"/>
              </w:rPr>
              <w:t xml:space="preserve"> </w:t>
            </w:r>
            <w:r w:rsidRPr="0053423A">
              <w:rPr>
                <w:rFonts w:cs="Arian AMU"/>
                <w:sz w:val="20"/>
                <w:szCs w:val="20"/>
                <w:shd w:val="clear" w:color="auto" w:fill="FFFFFF"/>
              </w:rPr>
              <w:t>տեղական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ինքնակառավարման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մարմիններին՝</w:t>
            </w:r>
            <w:r w:rsidRPr="0053423A">
              <w:rPr>
                <w:rFonts w:cs="Arian AMU"/>
                <w:sz w:val="20"/>
                <w:szCs w:val="20"/>
                <w:shd w:val="clear" w:color="auto" w:fill="FFFFFF"/>
                <w:lang w:val="af-ZA"/>
              </w:rPr>
              <w:t xml:space="preserve"> </w:t>
            </w:r>
            <w:r w:rsidRPr="0053423A">
              <w:rPr>
                <w:rFonts w:cs="Arian AMU"/>
                <w:sz w:val="20"/>
                <w:szCs w:val="20"/>
                <w:shd w:val="clear" w:color="auto" w:fill="FFFFFF"/>
              </w:rPr>
              <w:t>այլընտրանքային</w:t>
            </w:r>
            <w:r w:rsidRPr="0053423A">
              <w:rPr>
                <w:rFonts w:cs="Arian AMU"/>
                <w:sz w:val="20"/>
                <w:szCs w:val="20"/>
                <w:shd w:val="clear" w:color="auto" w:fill="FFFFFF"/>
                <w:lang w:val="af-ZA"/>
              </w:rPr>
              <w:t xml:space="preserve"> </w:t>
            </w:r>
            <w:r w:rsidRPr="0053423A">
              <w:rPr>
                <w:rFonts w:cs="Arian AMU"/>
                <w:sz w:val="20"/>
                <w:szCs w:val="20"/>
                <w:shd w:val="clear" w:color="auto" w:fill="FFFFFF"/>
              </w:rPr>
              <w:t>եղանակներով</w:t>
            </w:r>
            <w:r w:rsidRPr="0053423A">
              <w:rPr>
                <w:rFonts w:cs="Arian AMU"/>
                <w:sz w:val="20"/>
                <w:szCs w:val="20"/>
                <w:shd w:val="clear" w:color="auto" w:fill="FFFFFF"/>
                <w:lang w:val="af-ZA"/>
              </w:rPr>
              <w:t xml:space="preserve"> </w:t>
            </w:r>
            <w:r w:rsidRPr="0053423A">
              <w:rPr>
                <w:rFonts w:cs="Arian AMU"/>
                <w:sz w:val="20"/>
                <w:szCs w:val="20"/>
                <w:shd w:val="clear" w:color="auto" w:fill="FFFFFF"/>
              </w:rPr>
              <w:t>նախադպրոցական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կրթությունը</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հասանելի</w:t>
            </w:r>
            <w:r w:rsidRPr="0053423A">
              <w:rPr>
                <w:rFonts w:cs="Arian AMU"/>
                <w:sz w:val="20"/>
                <w:szCs w:val="20"/>
                <w:shd w:val="clear" w:color="auto" w:fill="FFFFFF"/>
                <w:lang w:val="af-ZA"/>
              </w:rPr>
              <w:t xml:space="preserve"> </w:t>
            </w:r>
            <w:r w:rsidRPr="0053423A">
              <w:rPr>
                <w:rFonts w:cs="Arian AMU"/>
                <w:sz w:val="20"/>
                <w:szCs w:val="20"/>
                <w:shd w:val="clear" w:color="auto" w:fill="FFFFFF"/>
              </w:rPr>
              <w:t>դարձնելու</w:t>
            </w:r>
            <w:r w:rsidRPr="0053423A">
              <w:rPr>
                <w:rFonts w:ascii="Calibri" w:hAnsi="Calibri" w:cs="Calibri"/>
                <w:sz w:val="20"/>
                <w:szCs w:val="20"/>
                <w:shd w:val="clear" w:color="auto" w:fill="FFFFFF"/>
                <w:lang w:val="af-ZA"/>
              </w:rPr>
              <w:t> </w:t>
            </w:r>
            <w:r w:rsidRPr="0053423A">
              <w:rPr>
                <w:rFonts w:cs="Arian AMU"/>
                <w:sz w:val="20"/>
                <w:szCs w:val="20"/>
                <w:shd w:val="clear" w:color="auto" w:fill="FFFFFF"/>
                <w:lang w:val="af-ZA"/>
              </w:rPr>
              <w:t xml:space="preserve"> </w:t>
            </w:r>
            <w:r w:rsidRPr="0053423A">
              <w:rPr>
                <w:rFonts w:cs="Arian AMU"/>
                <w:sz w:val="20"/>
                <w:szCs w:val="20"/>
                <w:shd w:val="clear" w:color="auto" w:fill="FFFFFF"/>
              </w:rPr>
              <w:t>համայնքի</w:t>
            </w:r>
            <w:r w:rsidRPr="0053423A">
              <w:rPr>
                <w:rFonts w:cs="Arian AMU"/>
                <w:sz w:val="20"/>
                <w:szCs w:val="20"/>
                <w:shd w:val="clear" w:color="auto" w:fill="FFFFFF"/>
                <w:lang w:val="af-ZA"/>
              </w:rPr>
              <w:t xml:space="preserve"> </w:t>
            </w:r>
            <w:r w:rsidRPr="0053423A">
              <w:rPr>
                <w:rFonts w:cs="Arian AMU"/>
                <w:sz w:val="20"/>
                <w:szCs w:val="20"/>
                <w:shd w:val="clear" w:color="auto" w:fill="FFFFFF"/>
              </w:rPr>
              <w:t>բոլոր</w:t>
            </w:r>
            <w:r w:rsidRPr="0053423A">
              <w:rPr>
                <w:rFonts w:cs="Arian AMU"/>
                <w:sz w:val="20"/>
                <w:szCs w:val="20"/>
                <w:shd w:val="clear" w:color="auto" w:fill="FFFFFF"/>
                <w:lang w:val="af-ZA"/>
              </w:rPr>
              <w:t xml:space="preserve"> </w:t>
            </w:r>
            <w:r w:rsidRPr="0053423A">
              <w:rPr>
                <w:rFonts w:cs="Arian AMU"/>
                <w:sz w:val="20"/>
                <w:szCs w:val="20"/>
                <w:shd w:val="clear" w:color="auto" w:fill="FFFFFF"/>
              </w:rPr>
              <w:t>երեխաներին</w:t>
            </w:r>
            <w:r w:rsidRPr="0053423A">
              <w:rPr>
                <w:rFonts w:cs="Arian AMU"/>
                <w:sz w:val="20"/>
                <w:szCs w:val="20"/>
                <w:shd w:val="clear" w:color="auto" w:fill="FFFFFF"/>
                <w:lang w:val="af-ZA"/>
              </w:rPr>
              <w:t>:</w:t>
            </w:r>
          </w:p>
          <w:p w:rsidR="00154773" w:rsidRPr="0053423A" w:rsidRDefault="00154773" w:rsidP="00154773">
            <w:pPr>
              <w:jc w:val="center"/>
              <w:rPr>
                <w:rFonts w:eastAsia="Times New Roman" w:cs="Times New Roman"/>
                <w:b/>
                <w:sz w:val="20"/>
                <w:szCs w:val="20"/>
                <w:lang w:val="af-ZA"/>
              </w:rPr>
            </w:pPr>
          </w:p>
        </w:tc>
      </w:tr>
      <w:tr w:rsidR="00154773" w:rsidRPr="0053423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16</w:t>
            </w:r>
          </w:p>
        </w:tc>
        <w:tc>
          <w:tcPr>
            <w:tcW w:w="10620" w:type="dxa"/>
          </w:tcPr>
          <w:p w:rsidR="00154773" w:rsidRPr="0053423A" w:rsidRDefault="00154773" w:rsidP="00154773">
            <w:pPr>
              <w:spacing w:before="120" w:after="120"/>
              <w:jc w:val="center"/>
              <w:rPr>
                <w:rFonts w:eastAsia="Times New Roman" w:cs="Times New Roman"/>
                <w:b/>
                <w:sz w:val="20"/>
                <w:szCs w:val="20"/>
                <w:u w:val="single"/>
                <w:lang w:val="hy-AM"/>
              </w:rPr>
            </w:pPr>
            <w:r w:rsidRPr="0053423A">
              <w:rPr>
                <w:rFonts w:eastAsia="Times New Roman" w:cs="Times New Roman"/>
                <w:b/>
                <w:sz w:val="20"/>
                <w:szCs w:val="20"/>
                <w:u w:val="single"/>
                <w:lang w:val="af-ZA"/>
              </w:rPr>
              <w:t>16</w:t>
            </w:r>
            <w:r w:rsidRPr="0053423A">
              <w:rPr>
                <w:rFonts w:eastAsia="Times New Roman" w:cs="Times New Roman"/>
                <w:b/>
                <w:sz w:val="20"/>
                <w:szCs w:val="20"/>
                <w:u w:val="single"/>
                <w:lang w:val="hy-AM"/>
              </w:rPr>
              <w:t>.</w:t>
            </w:r>
            <w:r w:rsidRPr="0053423A">
              <w:rPr>
                <w:rFonts w:eastAsia="Times New Roman" w:cs="Times New Roman"/>
                <w:b/>
                <w:sz w:val="20"/>
                <w:szCs w:val="20"/>
                <w:u w:val="single"/>
                <w:lang w:val="af-ZA"/>
              </w:rPr>
              <w:t>1</w:t>
            </w:r>
            <w:r w:rsidRPr="0053423A">
              <w:rPr>
                <w:rFonts w:cs="Sylfaen"/>
                <w:b/>
                <w:sz w:val="20"/>
                <w:szCs w:val="20"/>
                <w:u w:val="single"/>
                <w:lang w:val="hy-AM"/>
              </w:rPr>
              <w:t xml:space="preserve"> Փոքրաթիվ աշակերտական համակազմ ունեցող դպրոցների կրթության կազմակերպման արդյունավետ մոդելների և  հեռավար կրթության կազմակերպման կարգի  մշակում և ՀՀ կրթության և գիտության նախարարի հրամաներով հաստատում</w:t>
            </w:r>
          </w:p>
          <w:p w:rsidR="00154773" w:rsidRPr="0053423A" w:rsidRDefault="00154773" w:rsidP="00154773">
            <w:pPr>
              <w:rPr>
                <w:rFonts w:cs="Sylfaen"/>
                <w:sz w:val="20"/>
                <w:szCs w:val="20"/>
                <w:lang w:val="fr-FR"/>
              </w:rPr>
            </w:pPr>
          </w:p>
          <w:p w:rsidR="00154773" w:rsidRPr="0053423A" w:rsidRDefault="00154773" w:rsidP="00154773">
            <w:pPr>
              <w:rPr>
                <w:b/>
                <w:sz w:val="20"/>
                <w:szCs w:val="20"/>
                <w:lang w:val="af-ZA" w:eastAsia="ru-RU"/>
              </w:rPr>
            </w:pPr>
          </w:p>
          <w:p w:rsidR="00154773" w:rsidRPr="0053423A" w:rsidRDefault="00154773" w:rsidP="001F6D5D">
            <w:pPr>
              <w:numPr>
                <w:ilvl w:val="0"/>
                <w:numId w:val="451"/>
              </w:numPr>
              <w:ind w:left="284" w:firstLine="0"/>
              <w:contextualSpacing/>
              <w:jc w:val="both"/>
              <w:rPr>
                <w:rFonts w:eastAsia="Calibri"/>
                <w:b/>
                <w:sz w:val="20"/>
                <w:szCs w:val="20"/>
                <w:lang w:val="ru-RU"/>
              </w:rPr>
            </w:pPr>
            <w:r w:rsidRPr="0053423A">
              <w:rPr>
                <w:rFonts w:eastAsia="Calibri" w:cs="Sylfaen"/>
                <w:b/>
                <w:sz w:val="20"/>
                <w:szCs w:val="20"/>
                <w:lang w:val="ru-RU"/>
              </w:rPr>
              <w:t xml:space="preserve">Միջոցառման </w:t>
            </w:r>
            <w:r w:rsidRPr="0053423A">
              <w:rPr>
                <w:rFonts w:eastAsia="Calibri" w:cs="Sylfaen"/>
                <w:b/>
                <w:sz w:val="20"/>
                <w:szCs w:val="20"/>
              </w:rPr>
              <w:t>իրականացման անհրաժեշտությունը</w:t>
            </w:r>
            <w:r w:rsidRPr="0053423A">
              <w:rPr>
                <w:rFonts w:eastAsia="Calibri"/>
                <w:b/>
                <w:sz w:val="20"/>
                <w:szCs w:val="20"/>
                <w:lang w:val="ru-RU"/>
              </w:rPr>
              <w:t xml:space="preserve"> և </w:t>
            </w:r>
            <w:r w:rsidRPr="0053423A">
              <w:rPr>
                <w:rFonts w:eastAsia="Calibri" w:cs="Sylfaen"/>
                <w:b/>
                <w:sz w:val="20"/>
                <w:szCs w:val="20"/>
              </w:rPr>
              <w:t>նպատակը</w:t>
            </w:r>
          </w:p>
          <w:p w:rsidR="00154773" w:rsidRPr="0053423A" w:rsidRDefault="00154773" w:rsidP="00154773">
            <w:pPr>
              <w:ind w:left="284"/>
              <w:contextualSpacing/>
              <w:jc w:val="both"/>
              <w:rPr>
                <w:rFonts w:eastAsia="Calibri"/>
                <w:b/>
                <w:sz w:val="20"/>
                <w:szCs w:val="20"/>
                <w:lang w:val="ru-RU"/>
              </w:rPr>
            </w:pPr>
          </w:p>
          <w:p w:rsidR="00154773" w:rsidRPr="0053423A" w:rsidRDefault="00154773" w:rsidP="00154773">
            <w:pPr>
              <w:ind w:firstLine="284"/>
              <w:contextualSpacing/>
              <w:jc w:val="both"/>
              <w:rPr>
                <w:rFonts w:eastAsia="Times New Roman" w:cs="Sylfaen"/>
                <w:sz w:val="20"/>
                <w:szCs w:val="20"/>
                <w:lang w:val="ru-RU"/>
              </w:rPr>
            </w:pPr>
            <w:r w:rsidRPr="0053423A">
              <w:rPr>
                <w:rFonts w:ascii="Calibri" w:eastAsia="Calibri" w:hAnsi="Calibri" w:cs="Calibri"/>
                <w:sz w:val="20"/>
                <w:szCs w:val="20"/>
              </w:rPr>
              <w:t> </w:t>
            </w:r>
            <w:r w:rsidRPr="0053423A">
              <w:rPr>
                <w:rFonts w:eastAsia="Times New Roman" w:cs="Sylfaen"/>
                <w:sz w:val="20"/>
                <w:szCs w:val="20"/>
              </w:rPr>
              <w:t>Միջոցառման</w:t>
            </w:r>
            <w:r w:rsidRPr="0053423A">
              <w:rPr>
                <w:rFonts w:eastAsia="Times New Roman" w:cs="Sylfaen"/>
                <w:sz w:val="20"/>
                <w:szCs w:val="20"/>
                <w:lang w:val="ru-RU"/>
              </w:rPr>
              <w:t xml:space="preserve"> </w:t>
            </w:r>
            <w:r w:rsidRPr="0053423A">
              <w:rPr>
                <w:rFonts w:eastAsia="Times New Roman" w:cs="Sylfaen"/>
                <w:sz w:val="20"/>
                <w:szCs w:val="20"/>
              </w:rPr>
              <w:t>գլխավոր</w:t>
            </w:r>
            <w:r w:rsidRPr="0053423A">
              <w:rPr>
                <w:rFonts w:eastAsia="Times New Roman" w:cs="Sylfaen"/>
                <w:sz w:val="20"/>
                <w:szCs w:val="20"/>
                <w:lang w:val="ru-RU"/>
              </w:rPr>
              <w:t xml:space="preserve"> </w:t>
            </w:r>
            <w:r w:rsidRPr="0053423A">
              <w:rPr>
                <w:rFonts w:eastAsia="Times New Roman" w:cs="Sylfaen"/>
                <w:sz w:val="20"/>
                <w:szCs w:val="20"/>
              </w:rPr>
              <w:t>նպատակն</w:t>
            </w:r>
            <w:r w:rsidRPr="0053423A">
              <w:rPr>
                <w:rFonts w:eastAsia="Times New Roman" w:cs="Sylfaen"/>
                <w:sz w:val="20"/>
                <w:szCs w:val="20"/>
                <w:lang w:val="ru-RU"/>
              </w:rPr>
              <w:t xml:space="preserve"> </w:t>
            </w:r>
            <w:r w:rsidRPr="0053423A">
              <w:rPr>
                <w:rFonts w:eastAsia="Times New Roman" w:cs="Sylfaen"/>
                <w:sz w:val="20"/>
                <w:szCs w:val="20"/>
              </w:rPr>
              <w:t>է</w:t>
            </w:r>
            <w:r w:rsidRPr="0053423A">
              <w:rPr>
                <w:rFonts w:eastAsia="Times New Roman" w:cs="Sylfaen"/>
                <w:sz w:val="20"/>
                <w:szCs w:val="20"/>
                <w:lang w:val="ru-RU"/>
              </w:rPr>
              <w:t xml:space="preserve"> </w:t>
            </w:r>
            <w:r w:rsidRPr="0053423A">
              <w:rPr>
                <w:rFonts w:eastAsia="Times New Roman" w:cs="Sylfaen"/>
                <w:sz w:val="20"/>
                <w:szCs w:val="20"/>
              </w:rPr>
              <w:t>որակյալ</w:t>
            </w:r>
            <w:r w:rsidRPr="0053423A">
              <w:rPr>
                <w:rFonts w:eastAsia="Times New Roman" w:cs="Sylfaen"/>
                <w:sz w:val="20"/>
                <w:szCs w:val="20"/>
                <w:lang w:val="ru-RU"/>
              </w:rPr>
              <w:t xml:space="preserve"> </w:t>
            </w:r>
            <w:r w:rsidRPr="0053423A">
              <w:rPr>
                <w:rFonts w:eastAsia="Times New Roman" w:cs="Sylfaen"/>
                <w:sz w:val="20"/>
                <w:szCs w:val="20"/>
              </w:rPr>
              <w:t>կրթության</w:t>
            </w:r>
            <w:r w:rsidRPr="0053423A">
              <w:rPr>
                <w:rFonts w:eastAsia="Times New Roman" w:cs="Sylfaen"/>
                <w:sz w:val="20"/>
                <w:szCs w:val="20"/>
                <w:lang w:val="ru-RU"/>
              </w:rPr>
              <w:t xml:space="preserve"> </w:t>
            </w:r>
            <w:r w:rsidRPr="0053423A">
              <w:rPr>
                <w:rFonts w:eastAsia="Times New Roman" w:cs="Sylfaen"/>
                <w:sz w:val="20"/>
                <w:szCs w:val="20"/>
              </w:rPr>
              <w:t>հավասար</w:t>
            </w:r>
            <w:r w:rsidRPr="0053423A">
              <w:rPr>
                <w:rFonts w:eastAsia="Times New Roman" w:cs="Sylfaen"/>
                <w:sz w:val="20"/>
                <w:szCs w:val="20"/>
                <w:lang w:val="ru-RU"/>
              </w:rPr>
              <w:t xml:space="preserve"> </w:t>
            </w:r>
            <w:r w:rsidRPr="0053423A">
              <w:rPr>
                <w:rFonts w:eastAsia="Times New Roman" w:cs="Sylfaen"/>
                <w:sz w:val="20"/>
                <w:szCs w:val="20"/>
              </w:rPr>
              <w:t>մատչելիության</w:t>
            </w:r>
            <w:r w:rsidRPr="0053423A">
              <w:rPr>
                <w:rFonts w:eastAsia="Times New Roman" w:cs="Sylfaen"/>
                <w:sz w:val="20"/>
                <w:szCs w:val="20"/>
                <w:lang w:val="ru-RU"/>
              </w:rPr>
              <w:t xml:space="preserve"> </w:t>
            </w:r>
            <w:r w:rsidRPr="0053423A">
              <w:rPr>
                <w:rFonts w:eastAsia="Times New Roman" w:cs="Sylfaen"/>
                <w:sz w:val="20"/>
                <w:szCs w:val="20"/>
              </w:rPr>
              <w:t>և</w:t>
            </w:r>
            <w:r w:rsidRPr="0053423A">
              <w:rPr>
                <w:rFonts w:eastAsia="Times New Roman" w:cs="Sylfaen"/>
                <w:sz w:val="20"/>
                <w:szCs w:val="20"/>
                <w:lang w:val="ru-RU"/>
              </w:rPr>
              <w:t xml:space="preserve"> </w:t>
            </w:r>
            <w:r w:rsidRPr="0053423A">
              <w:rPr>
                <w:rFonts w:eastAsia="Times New Roman" w:cs="Sylfaen"/>
                <w:sz w:val="20"/>
                <w:szCs w:val="20"/>
              </w:rPr>
              <w:t>ընդգրկվածության</w:t>
            </w:r>
            <w:r w:rsidRPr="0053423A">
              <w:rPr>
                <w:rFonts w:eastAsia="Times New Roman" w:cs="Sylfaen"/>
                <w:sz w:val="20"/>
                <w:szCs w:val="20"/>
                <w:lang w:val="ru-RU"/>
              </w:rPr>
              <w:t xml:space="preserve"> </w:t>
            </w:r>
            <w:r w:rsidRPr="0053423A">
              <w:rPr>
                <w:rFonts w:eastAsia="Times New Roman" w:cs="Sylfaen"/>
                <w:sz w:val="20"/>
                <w:szCs w:val="20"/>
              </w:rPr>
              <w:t>ապահովումը</w:t>
            </w:r>
            <w:r w:rsidRPr="0053423A">
              <w:rPr>
                <w:rFonts w:eastAsia="Times New Roman" w:cs="Sylfaen"/>
                <w:sz w:val="20"/>
                <w:szCs w:val="20"/>
                <w:lang w:val="ru-RU"/>
              </w:rPr>
              <w:t>:</w:t>
            </w:r>
          </w:p>
          <w:p w:rsidR="00154773" w:rsidRPr="0053423A" w:rsidRDefault="00154773" w:rsidP="00154773">
            <w:pPr>
              <w:ind w:firstLine="288"/>
              <w:contextualSpacing/>
              <w:jc w:val="both"/>
              <w:rPr>
                <w:rFonts w:eastAsia="Calibri" w:cs="Arian AMU"/>
                <w:sz w:val="20"/>
                <w:szCs w:val="20"/>
                <w:lang w:val="ru-RU"/>
              </w:rPr>
            </w:pPr>
            <w:r w:rsidRPr="0053423A">
              <w:rPr>
                <w:rFonts w:eastAsia="Times New Roman" w:cs="Times New Roman"/>
                <w:spacing w:val="-4"/>
                <w:sz w:val="20"/>
                <w:szCs w:val="20"/>
              </w:rPr>
              <w:t>Միջոցառումների</w:t>
            </w:r>
            <w:r w:rsidRPr="0053423A">
              <w:rPr>
                <w:rFonts w:eastAsia="Times New Roman" w:cs="Times New Roman"/>
                <w:spacing w:val="-4"/>
                <w:sz w:val="20"/>
                <w:szCs w:val="20"/>
                <w:lang w:val="ru-RU"/>
              </w:rPr>
              <w:t xml:space="preserve"> </w:t>
            </w:r>
            <w:r w:rsidRPr="0053423A">
              <w:rPr>
                <w:rFonts w:eastAsia="Times New Roman" w:cs="Times New Roman"/>
                <w:spacing w:val="-4"/>
                <w:sz w:val="20"/>
                <w:szCs w:val="20"/>
              </w:rPr>
              <w:t>անհրաժեշտությունը</w:t>
            </w:r>
            <w:r w:rsidRPr="0053423A">
              <w:rPr>
                <w:rFonts w:eastAsia="Times New Roman" w:cs="Times New Roman"/>
                <w:spacing w:val="-4"/>
                <w:sz w:val="20"/>
                <w:szCs w:val="20"/>
                <w:lang w:val="ru-RU"/>
              </w:rPr>
              <w:t xml:space="preserve"> </w:t>
            </w:r>
            <w:r w:rsidRPr="0053423A">
              <w:rPr>
                <w:rFonts w:eastAsia="Times New Roman" w:cs="Times New Roman"/>
                <w:spacing w:val="-4"/>
                <w:sz w:val="20"/>
                <w:szCs w:val="20"/>
              </w:rPr>
              <w:t>բխում</w:t>
            </w:r>
            <w:r w:rsidRPr="0053423A">
              <w:rPr>
                <w:rFonts w:eastAsia="Times New Roman" w:cs="Times New Roman"/>
                <w:spacing w:val="-4"/>
                <w:sz w:val="20"/>
                <w:szCs w:val="20"/>
                <w:lang w:val="ru-RU"/>
              </w:rPr>
              <w:t xml:space="preserve"> </w:t>
            </w:r>
            <w:r w:rsidRPr="0053423A">
              <w:rPr>
                <w:rFonts w:eastAsia="Times New Roman" w:cs="Times New Roman"/>
                <w:spacing w:val="-4"/>
                <w:sz w:val="20"/>
                <w:szCs w:val="20"/>
              </w:rPr>
              <w:t>է</w:t>
            </w:r>
            <w:r w:rsidRPr="0053423A">
              <w:rPr>
                <w:rFonts w:eastAsia="Times New Roman" w:cs="Times New Roman"/>
                <w:spacing w:val="-4"/>
                <w:sz w:val="20"/>
                <w:szCs w:val="20"/>
                <w:lang w:val="ru-RU"/>
              </w:rPr>
              <w:t xml:space="preserve"> </w:t>
            </w:r>
            <w:r w:rsidRPr="0053423A">
              <w:rPr>
                <w:rFonts w:eastAsia="Times New Roman" w:cs="Times New Roman"/>
                <w:spacing w:val="-4"/>
                <w:sz w:val="20"/>
                <w:szCs w:val="20"/>
              </w:rPr>
              <w:t>ՀՀ</w:t>
            </w:r>
            <w:r w:rsidRPr="0053423A">
              <w:rPr>
                <w:rFonts w:eastAsia="Times New Roman" w:cs="Times New Roman"/>
                <w:spacing w:val="-4"/>
                <w:sz w:val="20"/>
                <w:szCs w:val="20"/>
                <w:lang w:val="ru-RU"/>
              </w:rPr>
              <w:t xml:space="preserve"> </w:t>
            </w:r>
            <w:r w:rsidRPr="0053423A">
              <w:rPr>
                <w:rFonts w:eastAsia="Times New Roman" w:cs="Times New Roman"/>
                <w:spacing w:val="-4"/>
                <w:sz w:val="20"/>
                <w:szCs w:val="20"/>
              </w:rPr>
              <w:t>ԱԺ</w:t>
            </w:r>
            <w:r w:rsidRPr="0053423A">
              <w:rPr>
                <w:rFonts w:eastAsia="Times New Roman" w:cs="Times New Roman"/>
                <w:spacing w:val="-4"/>
                <w:sz w:val="20"/>
                <w:szCs w:val="20"/>
                <w:lang w:val="ru-RU"/>
              </w:rPr>
              <w:t xml:space="preserve"> 2019 </w:t>
            </w:r>
            <w:r w:rsidRPr="0053423A">
              <w:rPr>
                <w:rFonts w:eastAsia="Times New Roman" w:cs="Times New Roman"/>
                <w:spacing w:val="-4"/>
                <w:sz w:val="20"/>
                <w:szCs w:val="20"/>
              </w:rPr>
              <w:t>թվականի</w:t>
            </w:r>
            <w:r w:rsidRPr="0053423A">
              <w:rPr>
                <w:rFonts w:eastAsia="Times New Roman" w:cs="Times New Roman"/>
                <w:spacing w:val="-4"/>
                <w:sz w:val="20"/>
                <w:szCs w:val="20"/>
                <w:lang w:val="ru-RU"/>
              </w:rPr>
              <w:t xml:space="preserve"> </w:t>
            </w:r>
            <w:r w:rsidRPr="0053423A">
              <w:rPr>
                <w:rFonts w:eastAsia="Times New Roman" w:cs="Times New Roman"/>
                <w:spacing w:val="-4"/>
                <w:sz w:val="20"/>
                <w:szCs w:val="20"/>
              </w:rPr>
              <w:t>փետրվարի</w:t>
            </w:r>
            <w:r w:rsidRPr="0053423A">
              <w:rPr>
                <w:rFonts w:eastAsia="Times New Roman" w:cs="Times New Roman"/>
                <w:spacing w:val="-4"/>
                <w:sz w:val="20"/>
                <w:szCs w:val="20"/>
                <w:lang w:val="ru-RU"/>
              </w:rPr>
              <w:t xml:space="preserve"> 14-</w:t>
            </w:r>
            <w:r w:rsidRPr="0053423A">
              <w:rPr>
                <w:rFonts w:eastAsia="Times New Roman" w:cs="Times New Roman"/>
                <w:spacing w:val="-4"/>
                <w:sz w:val="20"/>
                <w:szCs w:val="20"/>
              </w:rPr>
              <w:t>ի</w:t>
            </w:r>
            <w:r w:rsidRPr="0053423A">
              <w:rPr>
                <w:rFonts w:eastAsia="Times New Roman" w:cs="Times New Roman"/>
                <w:spacing w:val="-4"/>
                <w:sz w:val="20"/>
                <w:szCs w:val="20"/>
                <w:lang w:val="ru-RU"/>
              </w:rPr>
              <w:t xml:space="preserve"> </w:t>
            </w:r>
            <w:r w:rsidRPr="0053423A">
              <w:rPr>
                <w:rFonts w:eastAsia="Times New Roman" w:cs="Times New Roman"/>
                <w:spacing w:val="-4"/>
                <w:sz w:val="20"/>
                <w:szCs w:val="20"/>
              </w:rPr>
              <w:t>ԱԺՈ</w:t>
            </w:r>
            <w:r w:rsidRPr="0053423A">
              <w:rPr>
                <w:rFonts w:eastAsia="Times New Roman" w:cs="Times New Roman"/>
                <w:spacing w:val="-4"/>
                <w:sz w:val="20"/>
                <w:szCs w:val="20"/>
                <w:lang w:val="ru-RU"/>
              </w:rPr>
              <w:t>-002-</w:t>
            </w:r>
            <w:r w:rsidRPr="0053423A">
              <w:rPr>
                <w:rFonts w:eastAsia="Times New Roman" w:cs="Times New Roman"/>
                <w:spacing w:val="-4"/>
                <w:sz w:val="20"/>
                <w:szCs w:val="20"/>
              </w:rPr>
              <w:t>Ն</w:t>
            </w:r>
            <w:r w:rsidRPr="0053423A">
              <w:rPr>
                <w:rFonts w:eastAsia="Times New Roman" w:cs="Times New Roman"/>
                <w:spacing w:val="-4"/>
                <w:sz w:val="20"/>
                <w:szCs w:val="20"/>
                <w:lang w:val="ru-RU"/>
              </w:rPr>
              <w:t xml:space="preserve"> </w:t>
            </w:r>
            <w:r w:rsidRPr="0053423A">
              <w:rPr>
                <w:rFonts w:eastAsia="Times New Roman" w:cs="Times New Roman"/>
                <w:spacing w:val="-4"/>
                <w:sz w:val="20"/>
                <w:szCs w:val="20"/>
              </w:rPr>
              <w:t>որոշմամբ</w:t>
            </w:r>
            <w:r w:rsidRPr="0053423A">
              <w:rPr>
                <w:rFonts w:eastAsia="Times New Roman" w:cs="Times New Roman"/>
                <w:spacing w:val="-4"/>
                <w:sz w:val="20"/>
                <w:szCs w:val="20"/>
                <w:lang w:val="ru-RU"/>
              </w:rPr>
              <w:t xml:space="preserve"> </w:t>
            </w:r>
            <w:r w:rsidRPr="0053423A">
              <w:rPr>
                <w:rFonts w:eastAsia="Times New Roman" w:cs="Times New Roman"/>
                <w:spacing w:val="-4"/>
                <w:sz w:val="20"/>
                <w:szCs w:val="20"/>
              </w:rPr>
              <w:t>հավանության</w:t>
            </w:r>
            <w:r w:rsidRPr="0053423A">
              <w:rPr>
                <w:rFonts w:eastAsia="Times New Roman" w:cs="Times New Roman"/>
                <w:spacing w:val="-4"/>
                <w:sz w:val="20"/>
                <w:szCs w:val="20"/>
                <w:lang w:val="ru-RU"/>
              </w:rPr>
              <w:t xml:space="preserve"> </w:t>
            </w:r>
            <w:r w:rsidRPr="0053423A">
              <w:rPr>
                <w:rFonts w:eastAsia="Times New Roman" w:cs="Times New Roman"/>
                <w:spacing w:val="-4"/>
                <w:sz w:val="20"/>
                <w:szCs w:val="20"/>
              </w:rPr>
              <w:t>արժանացած</w:t>
            </w:r>
            <w:r w:rsidRPr="0053423A">
              <w:rPr>
                <w:rFonts w:eastAsia="Times New Roman" w:cs="Times New Roman"/>
                <w:spacing w:val="-4"/>
                <w:sz w:val="20"/>
                <w:szCs w:val="20"/>
                <w:lang w:val="ru-RU"/>
              </w:rPr>
              <w:t xml:space="preserve"> </w:t>
            </w:r>
            <w:r w:rsidRPr="0053423A">
              <w:rPr>
                <w:rFonts w:eastAsia="Times New Roman" w:cs="Times New Roman"/>
                <w:spacing w:val="-4"/>
                <w:sz w:val="20"/>
                <w:szCs w:val="20"/>
              </w:rPr>
              <w:t>ՀՀ</w:t>
            </w:r>
            <w:r w:rsidRPr="0053423A">
              <w:rPr>
                <w:rFonts w:eastAsia="Times New Roman" w:cs="Times New Roman"/>
                <w:spacing w:val="-4"/>
                <w:sz w:val="20"/>
                <w:szCs w:val="20"/>
                <w:lang w:val="ru-RU"/>
              </w:rPr>
              <w:t xml:space="preserve"> </w:t>
            </w:r>
            <w:r w:rsidRPr="0053423A">
              <w:rPr>
                <w:rFonts w:eastAsia="Times New Roman" w:cs="Times New Roman"/>
                <w:spacing w:val="-4"/>
                <w:sz w:val="20"/>
                <w:szCs w:val="20"/>
              </w:rPr>
              <w:t>կառավարության</w:t>
            </w:r>
            <w:r w:rsidRPr="0053423A">
              <w:rPr>
                <w:rFonts w:eastAsia="Times New Roman" w:cs="Times New Roman"/>
                <w:spacing w:val="-4"/>
                <w:sz w:val="20"/>
                <w:szCs w:val="20"/>
                <w:lang w:val="ru-RU"/>
              </w:rPr>
              <w:t xml:space="preserve"> </w:t>
            </w:r>
            <w:r w:rsidRPr="0053423A">
              <w:rPr>
                <w:rFonts w:eastAsia="Times New Roman" w:cs="Times New Roman"/>
                <w:spacing w:val="-4"/>
                <w:sz w:val="20"/>
                <w:szCs w:val="20"/>
              </w:rPr>
              <w:t>ծրագրի</w:t>
            </w:r>
            <w:r w:rsidRPr="0053423A">
              <w:rPr>
                <w:rFonts w:eastAsia="Times New Roman" w:cs="Times New Roman"/>
                <w:spacing w:val="-4"/>
                <w:sz w:val="20"/>
                <w:szCs w:val="20"/>
                <w:lang w:val="ru-RU"/>
              </w:rPr>
              <w:t xml:space="preserve"> </w:t>
            </w:r>
            <w:r w:rsidRPr="0053423A">
              <w:rPr>
                <w:rFonts w:eastAsia="Times New Roman" w:cs="Times New Roman"/>
                <w:sz w:val="20"/>
                <w:szCs w:val="20"/>
                <w:lang w:val="ru-RU"/>
              </w:rPr>
              <w:t>«</w:t>
            </w:r>
            <w:r w:rsidRPr="0053423A">
              <w:rPr>
                <w:rFonts w:eastAsia="Times New Roman" w:cs="Times New Roman"/>
                <w:spacing w:val="-4"/>
                <w:sz w:val="20"/>
                <w:szCs w:val="20"/>
                <w:lang w:val="ru-RU"/>
              </w:rPr>
              <w:t xml:space="preserve">4.4 </w:t>
            </w:r>
            <w:r w:rsidRPr="0053423A">
              <w:rPr>
                <w:rFonts w:eastAsia="Times New Roman" w:cs="Times New Roman"/>
                <w:spacing w:val="-4"/>
                <w:sz w:val="20"/>
                <w:szCs w:val="20"/>
              </w:rPr>
              <w:t>ԿՐԹՈՒԹՅՈՒՆ</w:t>
            </w:r>
            <w:r w:rsidRPr="0053423A">
              <w:rPr>
                <w:rFonts w:eastAsia="Times New Roman" w:cs="Times New Roman"/>
                <w:spacing w:val="-4"/>
                <w:sz w:val="20"/>
                <w:szCs w:val="20"/>
                <w:lang w:val="ru-RU"/>
              </w:rPr>
              <w:t xml:space="preserve"> </w:t>
            </w:r>
            <w:r w:rsidRPr="0053423A">
              <w:rPr>
                <w:rFonts w:eastAsia="Times New Roman" w:cs="Times New Roman"/>
                <w:spacing w:val="-4"/>
                <w:sz w:val="20"/>
                <w:szCs w:val="20"/>
              </w:rPr>
              <w:t>ԵՎ</w:t>
            </w:r>
            <w:r w:rsidRPr="0053423A">
              <w:rPr>
                <w:rFonts w:eastAsia="Times New Roman" w:cs="Times New Roman"/>
                <w:spacing w:val="-4"/>
                <w:sz w:val="20"/>
                <w:szCs w:val="20"/>
                <w:lang w:val="ru-RU"/>
              </w:rPr>
              <w:t xml:space="preserve"> </w:t>
            </w:r>
            <w:r w:rsidRPr="0053423A">
              <w:rPr>
                <w:rFonts w:eastAsia="Times New Roman" w:cs="Times New Roman"/>
                <w:spacing w:val="-4"/>
                <w:sz w:val="20"/>
                <w:szCs w:val="20"/>
              </w:rPr>
              <w:t>ԳԻՏՈՒԹՅՈՒՆ</w:t>
            </w:r>
            <w:r w:rsidRPr="0053423A">
              <w:rPr>
                <w:rFonts w:eastAsia="Times New Roman" w:cs="Times New Roman"/>
                <w:sz w:val="20"/>
                <w:szCs w:val="20"/>
                <w:lang w:val="ru-RU"/>
              </w:rPr>
              <w:t xml:space="preserve">»  </w:t>
            </w:r>
            <w:r w:rsidRPr="0053423A">
              <w:rPr>
                <w:rFonts w:eastAsia="Calibri" w:cs="Sylfaen"/>
                <w:sz w:val="20"/>
                <w:szCs w:val="20"/>
                <w:lang w:val="hy-AM"/>
              </w:rPr>
              <w:t>բաժնի</w:t>
            </w:r>
            <w:r w:rsidRPr="0053423A">
              <w:rPr>
                <w:rFonts w:eastAsia="Calibri" w:cs="Sylfaen"/>
                <w:sz w:val="20"/>
                <w:szCs w:val="20"/>
                <w:lang w:val="ru-RU"/>
              </w:rPr>
              <w:t xml:space="preserve"> </w:t>
            </w:r>
            <w:r w:rsidRPr="0053423A">
              <w:rPr>
                <w:rFonts w:eastAsia="Calibri" w:cs="Sylfaen"/>
                <w:sz w:val="20"/>
                <w:szCs w:val="20"/>
                <w:lang w:val="hy-AM"/>
              </w:rPr>
              <w:t>4-րդ պարբերության պահանջներից</w:t>
            </w:r>
            <w:r w:rsidRPr="0053423A">
              <w:rPr>
                <w:rFonts w:eastAsia="Calibri" w:cs="Arian AMU"/>
                <w:sz w:val="20"/>
                <w:szCs w:val="20"/>
                <w:lang w:val="hy-AM"/>
              </w:rPr>
              <w:t xml:space="preserve">: </w:t>
            </w:r>
          </w:p>
          <w:p w:rsidR="00154773" w:rsidRPr="0053423A" w:rsidRDefault="00154773" w:rsidP="00154773">
            <w:pPr>
              <w:shd w:val="clear" w:color="auto" w:fill="FFFFFF"/>
              <w:ind w:firstLine="288"/>
              <w:textAlignment w:val="baseline"/>
              <w:rPr>
                <w:rFonts w:eastAsia="Times New Roman" w:cs="Arian AMU"/>
                <w:sz w:val="20"/>
                <w:szCs w:val="20"/>
                <w:lang w:val="af-ZA"/>
              </w:rPr>
            </w:pPr>
            <w:r w:rsidRPr="0053423A">
              <w:rPr>
                <w:rFonts w:eastAsia="Calibri" w:cs="Arian AMU"/>
                <w:sz w:val="20"/>
                <w:szCs w:val="20"/>
                <w:lang w:val="ru-RU"/>
              </w:rPr>
              <w:t xml:space="preserve"> </w:t>
            </w:r>
            <w:r w:rsidRPr="0053423A">
              <w:rPr>
                <w:rFonts w:eastAsia="Times New Roman" w:cs="Arian AMU"/>
                <w:sz w:val="20"/>
                <w:szCs w:val="20"/>
              </w:rPr>
              <w:t>Սովորողների</w:t>
            </w:r>
            <w:r w:rsidRPr="0053423A">
              <w:rPr>
                <w:rFonts w:eastAsia="Times New Roman" w:cs="Arian AMU"/>
                <w:sz w:val="20"/>
                <w:szCs w:val="20"/>
                <w:lang w:val="af-ZA"/>
              </w:rPr>
              <w:t xml:space="preserve"> </w:t>
            </w:r>
            <w:r w:rsidRPr="0053423A">
              <w:rPr>
                <w:rFonts w:eastAsia="Times New Roman" w:cs="Arian AMU"/>
                <w:sz w:val="20"/>
                <w:szCs w:val="20"/>
              </w:rPr>
              <w:t>սակավաթիվ</w:t>
            </w:r>
            <w:r w:rsidRPr="0053423A">
              <w:rPr>
                <w:rFonts w:eastAsia="Times New Roman" w:cs="Arian AMU"/>
                <w:sz w:val="20"/>
                <w:szCs w:val="20"/>
                <w:lang w:val="af-ZA"/>
              </w:rPr>
              <w:t xml:space="preserve"> </w:t>
            </w:r>
            <w:r w:rsidRPr="0053423A">
              <w:rPr>
                <w:rFonts w:eastAsia="Times New Roman" w:cs="Arian AMU"/>
                <w:sz w:val="20"/>
                <w:szCs w:val="20"/>
              </w:rPr>
              <w:t>համակազմ</w:t>
            </w:r>
            <w:r w:rsidRPr="0053423A">
              <w:rPr>
                <w:rFonts w:eastAsia="Times New Roman" w:cs="Arian AMU"/>
                <w:sz w:val="20"/>
                <w:szCs w:val="20"/>
                <w:lang w:val="af-ZA"/>
              </w:rPr>
              <w:t xml:space="preserve"> </w:t>
            </w:r>
            <w:r w:rsidRPr="0053423A">
              <w:rPr>
                <w:rFonts w:eastAsia="Times New Roman" w:cs="Arian AMU"/>
                <w:sz w:val="20"/>
                <w:szCs w:val="20"/>
              </w:rPr>
              <w:t>ունեցող</w:t>
            </w:r>
            <w:r w:rsidRPr="0053423A">
              <w:rPr>
                <w:rFonts w:eastAsia="Times New Roman" w:cs="Arian AMU"/>
                <w:sz w:val="20"/>
                <w:szCs w:val="20"/>
                <w:lang w:val="af-ZA"/>
              </w:rPr>
              <w:t xml:space="preserve"> </w:t>
            </w:r>
            <w:r w:rsidRPr="0053423A">
              <w:rPr>
                <w:rFonts w:eastAsia="Times New Roman" w:cs="Arian AMU"/>
                <w:sz w:val="20"/>
                <w:szCs w:val="20"/>
              </w:rPr>
              <w:t>դպրոցներում</w:t>
            </w:r>
            <w:r w:rsidRPr="0053423A">
              <w:rPr>
                <w:rFonts w:eastAsia="Times New Roman" w:cs="Arian AMU"/>
                <w:sz w:val="20"/>
                <w:szCs w:val="20"/>
                <w:lang w:val="af-ZA"/>
              </w:rPr>
              <w:t xml:space="preserve"> </w:t>
            </w:r>
            <w:r w:rsidRPr="0053423A">
              <w:rPr>
                <w:rFonts w:eastAsia="Times New Roman" w:cs="Arian AMU"/>
                <w:sz w:val="20"/>
                <w:szCs w:val="20"/>
              </w:rPr>
              <w:t>ուսումնական</w:t>
            </w:r>
            <w:r w:rsidRPr="0053423A">
              <w:rPr>
                <w:rFonts w:eastAsia="Times New Roman" w:cs="Arian AMU"/>
                <w:sz w:val="20"/>
                <w:szCs w:val="20"/>
                <w:lang w:val="af-ZA"/>
              </w:rPr>
              <w:t xml:space="preserve"> </w:t>
            </w:r>
            <w:r w:rsidRPr="0053423A">
              <w:rPr>
                <w:rFonts w:eastAsia="Times New Roman" w:cs="Arian AMU"/>
                <w:sz w:val="20"/>
                <w:szCs w:val="20"/>
              </w:rPr>
              <w:t>գործընթացի</w:t>
            </w:r>
            <w:r w:rsidRPr="0053423A">
              <w:rPr>
                <w:rFonts w:eastAsia="Times New Roman" w:cs="Arian AMU"/>
                <w:sz w:val="20"/>
                <w:szCs w:val="20"/>
                <w:lang w:val="af-ZA"/>
              </w:rPr>
              <w:t xml:space="preserve"> </w:t>
            </w:r>
            <w:r w:rsidRPr="0053423A">
              <w:rPr>
                <w:rFonts w:eastAsia="Times New Roman" w:cs="Arian AMU"/>
                <w:sz w:val="20"/>
                <w:szCs w:val="20"/>
              </w:rPr>
              <w:t>արդյունավետ</w:t>
            </w:r>
            <w:r w:rsidRPr="0053423A">
              <w:rPr>
                <w:rFonts w:eastAsia="Times New Roman" w:cs="Arian AMU"/>
                <w:sz w:val="20"/>
                <w:szCs w:val="20"/>
                <w:lang w:val="af-ZA"/>
              </w:rPr>
              <w:t xml:space="preserve"> </w:t>
            </w:r>
            <w:r w:rsidRPr="0053423A">
              <w:rPr>
                <w:rFonts w:eastAsia="Times New Roman" w:cs="Arian AMU"/>
                <w:sz w:val="20"/>
                <w:szCs w:val="20"/>
              </w:rPr>
              <w:t>կազմակերպման</w:t>
            </w:r>
            <w:r w:rsidRPr="0053423A">
              <w:rPr>
                <w:rFonts w:eastAsia="Times New Roman" w:cs="Arian AMU"/>
                <w:sz w:val="20"/>
                <w:szCs w:val="20"/>
                <w:lang w:val="af-ZA"/>
              </w:rPr>
              <w:t xml:space="preserve"> </w:t>
            </w:r>
            <w:r w:rsidRPr="0053423A">
              <w:rPr>
                <w:rFonts w:eastAsia="Times New Roman" w:cs="Arian AMU"/>
                <w:sz w:val="20"/>
                <w:szCs w:val="20"/>
              </w:rPr>
              <w:t>անհրաժշետություն</w:t>
            </w:r>
            <w:r w:rsidRPr="0053423A">
              <w:rPr>
                <w:rFonts w:eastAsia="Times New Roman" w:cs="Arian AMU"/>
                <w:sz w:val="20"/>
                <w:szCs w:val="20"/>
                <w:lang w:val="af-ZA"/>
              </w:rPr>
              <w:t>:</w:t>
            </w:r>
          </w:p>
          <w:p w:rsidR="00154773" w:rsidRPr="0053423A" w:rsidRDefault="00154773" w:rsidP="00154773">
            <w:pPr>
              <w:shd w:val="clear" w:color="auto" w:fill="FFFFFF"/>
              <w:ind w:firstLine="288"/>
              <w:textAlignment w:val="baseline"/>
              <w:rPr>
                <w:rFonts w:eastAsia="Times New Roman" w:cs="Arian AMU"/>
                <w:sz w:val="20"/>
                <w:szCs w:val="20"/>
                <w:lang w:val="af-ZA"/>
              </w:rPr>
            </w:pPr>
          </w:p>
          <w:p w:rsidR="00154773" w:rsidRPr="0053423A" w:rsidRDefault="00154773" w:rsidP="00154773">
            <w:pPr>
              <w:ind w:firstLine="288"/>
              <w:contextualSpacing/>
              <w:jc w:val="both"/>
              <w:rPr>
                <w:rFonts w:eastAsia="Calibri" w:cs="Sylfaen"/>
                <w:b/>
                <w:sz w:val="20"/>
                <w:szCs w:val="20"/>
                <w:lang w:val="af-ZA"/>
              </w:rPr>
            </w:pPr>
            <w:r w:rsidRPr="0053423A">
              <w:rPr>
                <w:rFonts w:eastAsia="Calibri" w:cs="Arian AMU"/>
                <w:b/>
                <w:sz w:val="20"/>
                <w:szCs w:val="20"/>
                <w:lang w:val="af-ZA"/>
              </w:rPr>
              <w:t>1.1.</w:t>
            </w:r>
            <w:r w:rsidRPr="0053423A">
              <w:rPr>
                <w:rFonts w:eastAsia="Calibri" w:cs="Arian AMU"/>
                <w:sz w:val="20"/>
                <w:szCs w:val="20"/>
                <w:lang w:val="af-ZA"/>
              </w:rPr>
              <w:t xml:space="preserve"> </w:t>
            </w:r>
            <w:r w:rsidRPr="0053423A">
              <w:rPr>
                <w:rFonts w:eastAsia="Calibri" w:cs="Sylfaen"/>
                <w:b/>
                <w:sz w:val="20"/>
                <w:szCs w:val="20"/>
                <w:lang w:val="ru-RU"/>
              </w:rPr>
              <w:t>Կարգավորման</w:t>
            </w:r>
            <w:r w:rsidRPr="0053423A">
              <w:rPr>
                <w:rFonts w:eastAsia="Calibri" w:cs="Sylfaen"/>
                <w:b/>
                <w:sz w:val="20"/>
                <w:szCs w:val="20"/>
                <w:lang w:val="af-ZA"/>
              </w:rPr>
              <w:t xml:space="preserve"> </w:t>
            </w:r>
            <w:r w:rsidRPr="0053423A">
              <w:rPr>
                <w:rFonts w:eastAsia="Calibri" w:cs="Sylfaen"/>
                <w:b/>
                <w:sz w:val="20"/>
                <w:szCs w:val="20"/>
                <w:lang w:val="ru-RU"/>
              </w:rPr>
              <w:t>հարաբերությունների</w:t>
            </w:r>
            <w:r w:rsidRPr="0053423A">
              <w:rPr>
                <w:rFonts w:eastAsia="Calibri" w:cs="Sylfaen"/>
                <w:b/>
                <w:sz w:val="20"/>
                <w:szCs w:val="20"/>
                <w:lang w:val="af-ZA"/>
              </w:rPr>
              <w:t xml:space="preserve"> </w:t>
            </w:r>
            <w:r w:rsidRPr="0053423A">
              <w:rPr>
                <w:rFonts w:eastAsia="Calibri" w:cs="Sylfaen"/>
                <w:b/>
                <w:sz w:val="20"/>
                <w:szCs w:val="20"/>
                <w:lang w:val="ru-RU"/>
              </w:rPr>
              <w:t>ներկա</w:t>
            </w:r>
            <w:r w:rsidRPr="0053423A">
              <w:rPr>
                <w:rFonts w:eastAsia="Calibri" w:cs="Sylfaen"/>
                <w:b/>
                <w:sz w:val="20"/>
                <w:szCs w:val="20"/>
                <w:lang w:val="af-ZA"/>
              </w:rPr>
              <w:t xml:space="preserve"> </w:t>
            </w:r>
            <w:r w:rsidRPr="0053423A">
              <w:rPr>
                <w:rFonts w:eastAsia="Calibri" w:cs="Sylfaen"/>
                <w:b/>
                <w:sz w:val="20"/>
                <w:szCs w:val="20"/>
                <w:lang w:val="ru-RU"/>
              </w:rPr>
              <w:t>վիճակը</w:t>
            </w:r>
            <w:r w:rsidRPr="0053423A">
              <w:rPr>
                <w:rFonts w:eastAsia="Calibri" w:cs="Sylfaen"/>
                <w:b/>
                <w:sz w:val="20"/>
                <w:szCs w:val="20"/>
                <w:lang w:val="af-ZA"/>
              </w:rPr>
              <w:t xml:space="preserve"> </w:t>
            </w:r>
            <w:r w:rsidRPr="0053423A">
              <w:rPr>
                <w:rFonts w:eastAsia="Calibri" w:cs="Sylfaen"/>
                <w:b/>
                <w:sz w:val="20"/>
                <w:szCs w:val="20"/>
                <w:lang w:val="ru-RU"/>
              </w:rPr>
              <w:t>և</w:t>
            </w:r>
            <w:r w:rsidRPr="0053423A">
              <w:rPr>
                <w:rFonts w:eastAsia="Calibri" w:cs="Sylfaen"/>
                <w:b/>
                <w:sz w:val="20"/>
                <w:szCs w:val="20"/>
                <w:lang w:val="af-ZA"/>
              </w:rPr>
              <w:t xml:space="preserve"> </w:t>
            </w:r>
            <w:r w:rsidRPr="0053423A">
              <w:rPr>
                <w:rFonts w:eastAsia="Calibri" w:cs="Sylfaen"/>
                <w:b/>
                <w:sz w:val="20"/>
                <w:szCs w:val="20"/>
                <w:lang w:val="ru-RU"/>
              </w:rPr>
              <w:t>առկա</w:t>
            </w:r>
            <w:r w:rsidRPr="0053423A">
              <w:rPr>
                <w:rFonts w:eastAsia="Calibri" w:cs="Sylfaen"/>
                <w:b/>
                <w:sz w:val="20"/>
                <w:szCs w:val="20"/>
                <w:lang w:val="af-ZA"/>
              </w:rPr>
              <w:t xml:space="preserve"> </w:t>
            </w:r>
            <w:r w:rsidRPr="0053423A">
              <w:rPr>
                <w:rFonts w:eastAsia="Calibri" w:cs="Sylfaen"/>
                <w:b/>
                <w:sz w:val="20"/>
                <w:szCs w:val="20"/>
                <w:lang w:val="ru-RU"/>
              </w:rPr>
              <w:t>խնդիրները</w:t>
            </w:r>
          </w:p>
          <w:p w:rsidR="00154773" w:rsidRPr="0053423A" w:rsidRDefault="00154773" w:rsidP="00154773">
            <w:pPr>
              <w:ind w:firstLine="284"/>
              <w:contextualSpacing/>
              <w:jc w:val="both"/>
              <w:rPr>
                <w:rFonts w:eastAsia="Calibri" w:cs="Sylfaen"/>
                <w:b/>
                <w:sz w:val="20"/>
                <w:szCs w:val="20"/>
                <w:lang w:val="af-ZA"/>
              </w:rPr>
            </w:pPr>
          </w:p>
          <w:p w:rsidR="00154773" w:rsidRPr="0053423A" w:rsidRDefault="00154773" w:rsidP="00154773">
            <w:pPr>
              <w:ind w:firstLine="284"/>
              <w:contextualSpacing/>
              <w:jc w:val="both"/>
              <w:rPr>
                <w:sz w:val="20"/>
                <w:szCs w:val="20"/>
                <w:lang w:val="af-ZA"/>
              </w:rPr>
            </w:pPr>
            <w:r w:rsidRPr="0053423A">
              <w:rPr>
                <w:sz w:val="20"/>
                <w:szCs w:val="20"/>
              </w:rPr>
              <w:t>Ներկայում</w:t>
            </w:r>
            <w:r w:rsidRPr="0053423A">
              <w:rPr>
                <w:sz w:val="20"/>
                <w:szCs w:val="20"/>
                <w:lang w:val="af-ZA"/>
              </w:rPr>
              <w:t xml:space="preserve"> </w:t>
            </w:r>
            <w:r w:rsidRPr="0053423A">
              <w:rPr>
                <w:sz w:val="20"/>
                <w:szCs w:val="20"/>
              </w:rPr>
              <w:t>նմանատիպ</w:t>
            </w:r>
            <w:r w:rsidRPr="0053423A">
              <w:rPr>
                <w:sz w:val="20"/>
                <w:szCs w:val="20"/>
                <w:lang w:val="af-ZA"/>
              </w:rPr>
              <w:t xml:space="preserve"> </w:t>
            </w:r>
            <w:r w:rsidRPr="0053423A">
              <w:rPr>
                <w:sz w:val="20"/>
                <w:szCs w:val="20"/>
              </w:rPr>
              <w:t>դպրոցներում</w:t>
            </w:r>
            <w:r w:rsidRPr="0053423A">
              <w:rPr>
                <w:sz w:val="20"/>
                <w:szCs w:val="20"/>
                <w:lang w:val="af-ZA"/>
              </w:rPr>
              <w:t xml:space="preserve"> </w:t>
            </w:r>
            <w:r w:rsidRPr="0053423A">
              <w:rPr>
                <w:sz w:val="20"/>
                <w:szCs w:val="20"/>
              </w:rPr>
              <w:t>ուսումնական</w:t>
            </w:r>
            <w:r w:rsidRPr="0053423A">
              <w:rPr>
                <w:sz w:val="20"/>
                <w:szCs w:val="20"/>
                <w:lang w:val="af-ZA"/>
              </w:rPr>
              <w:t xml:space="preserve"> </w:t>
            </w:r>
            <w:r w:rsidRPr="0053423A">
              <w:rPr>
                <w:sz w:val="20"/>
                <w:szCs w:val="20"/>
              </w:rPr>
              <w:t>գործընթացի</w:t>
            </w:r>
            <w:r w:rsidRPr="0053423A">
              <w:rPr>
                <w:sz w:val="20"/>
                <w:szCs w:val="20"/>
                <w:lang w:val="af-ZA"/>
              </w:rPr>
              <w:t xml:space="preserve"> </w:t>
            </w:r>
            <w:r w:rsidRPr="0053423A">
              <w:rPr>
                <w:sz w:val="20"/>
                <w:szCs w:val="20"/>
              </w:rPr>
              <w:t>կազմակերպումը՝</w:t>
            </w:r>
            <w:r w:rsidRPr="0053423A">
              <w:rPr>
                <w:sz w:val="20"/>
                <w:szCs w:val="20"/>
                <w:lang w:val="af-ZA"/>
              </w:rPr>
              <w:t xml:space="preserve"> </w:t>
            </w:r>
            <w:r w:rsidRPr="0053423A">
              <w:rPr>
                <w:sz w:val="20"/>
                <w:szCs w:val="20"/>
              </w:rPr>
              <w:t>իր</w:t>
            </w:r>
            <w:r w:rsidRPr="0053423A">
              <w:rPr>
                <w:sz w:val="20"/>
                <w:szCs w:val="20"/>
                <w:lang w:val="af-ZA"/>
              </w:rPr>
              <w:t xml:space="preserve"> </w:t>
            </w:r>
            <w:r w:rsidRPr="0053423A">
              <w:rPr>
                <w:sz w:val="20"/>
                <w:szCs w:val="20"/>
              </w:rPr>
              <w:t>բոլոր</w:t>
            </w:r>
            <w:r w:rsidRPr="0053423A">
              <w:rPr>
                <w:sz w:val="20"/>
                <w:szCs w:val="20"/>
                <w:lang w:val="af-ZA"/>
              </w:rPr>
              <w:t xml:space="preserve"> </w:t>
            </w:r>
            <w:r w:rsidRPr="0053423A">
              <w:rPr>
                <w:sz w:val="20"/>
                <w:szCs w:val="20"/>
              </w:rPr>
              <w:t>բաղադրիչներով</w:t>
            </w:r>
            <w:r w:rsidRPr="0053423A">
              <w:rPr>
                <w:sz w:val="20"/>
                <w:szCs w:val="20"/>
                <w:lang w:val="af-ZA"/>
              </w:rPr>
              <w:t xml:space="preserve"> </w:t>
            </w:r>
            <w:r w:rsidRPr="0053423A">
              <w:rPr>
                <w:sz w:val="20"/>
                <w:szCs w:val="20"/>
              </w:rPr>
              <w:t>հանդերձ</w:t>
            </w:r>
            <w:r w:rsidRPr="0053423A">
              <w:rPr>
                <w:sz w:val="20"/>
                <w:szCs w:val="20"/>
                <w:lang w:val="af-ZA"/>
              </w:rPr>
              <w:t xml:space="preserve">, </w:t>
            </w:r>
            <w:r w:rsidRPr="0053423A">
              <w:rPr>
                <w:sz w:val="20"/>
                <w:szCs w:val="20"/>
              </w:rPr>
              <w:t>արդյունավետ</w:t>
            </w:r>
            <w:r w:rsidRPr="0053423A">
              <w:rPr>
                <w:sz w:val="20"/>
                <w:szCs w:val="20"/>
                <w:lang w:val="af-ZA"/>
              </w:rPr>
              <w:t xml:space="preserve"> </w:t>
            </w:r>
            <w:r w:rsidRPr="0053423A">
              <w:rPr>
                <w:sz w:val="20"/>
                <w:szCs w:val="20"/>
              </w:rPr>
              <w:t>չի</w:t>
            </w:r>
            <w:r w:rsidRPr="0053423A">
              <w:rPr>
                <w:sz w:val="20"/>
                <w:szCs w:val="20"/>
                <w:lang w:val="af-ZA"/>
              </w:rPr>
              <w:t xml:space="preserve"> </w:t>
            </w:r>
            <w:r w:rsidRPr="0053423A">
              <w:rPr>
                <w:sz w:val="20"/>
                <w:szCs w:val="20"/>
              </w:rPr>
              <w:t>կազմակերպվում</w:t>
            </w:r>
            <w:r w:rsidRPr="0053423A">
              <w:rPr>
                <w:sz w:val="20"/>
                <w:szCs w:val="20"/>
                <w:lang w:val="af-ZA"/>
              </w:rPr>
              <w:t>:</w:t>
            </w:r>
          </w:p>
          <w:p w:rsidR="00154773" w:rsidRPr="0053423A" w:rsidRDefault="00154773" w:rsidP="00154773">
            <w:pPr>
              <w:tabs>
                <w:tab w:val="left" w:pos="284"/>
              </w:tabs>
              <w:ind w:firstLine="284"/>
              <w:contextualSpacing/>
              <w:jc w:val="both"/>
              <w:rPr>
                <w:rFonts w:eastAsia="Calibri"/>
                <w:sz w:val="20"/>
                <w:szCs w:val="20"/>
                <w:lang w:val="af-ZA"/>
              </w:rPr>
            </w:pPr>
          </w:p>
          <w:p w:rsidR="00154773" w:rsidRPr="0053423A" w:rsidRDefault="00154773" w:rsidP="001F6D5D">
            <w:pPr>
              <w:numPr>
                <w:ilvl w:val="1"/>
                <w:numId w:val="452"/>
              </w:numPr>
              <w:ind w:left="284"/>
              <w:contextualSpacing/>
              <w:jc w:val="both"/>
              <w:rPr>
                <w:rFonts w:eastAsia="Calibri" w:cs="Sylfaen"/>
                <w:sz w:val="20"/>
                <w:szCs w:val="20"/>
                <w:lang w:val="ru-RU"/>
              </w:rPr>
            </w:pPr>
            <w:r w:rsidRPr="0053423A">
              <w:rPr>
                <w:rFonts w:eastAsia="Calibri" w:cs="Sylfaen"/>
                <w:b/>
                <w:sz w:val="20"/>
                <w:szCs w:val="20"/>
              </w:rPr>
              <w:t>Առկա</w:t>
            </w:r>
            <w:r w:rsidRPr="0053423A">
              <w:rPr>
                <w:rFonts w:eastAsia="Calibri"/>
                <w:b/>
                <w:sz w:val="20"/>
                <w:szCs w:val="20"/>
              </w:rPr>
              <w:t xml:space="preserve"> խնդիրների առաջարկվող լուծումները</w:t>
            </w:r>
          </w:p>
          <w:p w:rsidR="00154773" w:rsidRPr="0053423A" w:rsidRDefault="00154773" w:rsidP="00154773">
            <w:pPr>
              <w:ind w:left="284"/>
              <w:contextualSpacing/>
              <w:jc w:val="both"/>
              <w:rPr>
                <w:rFonts w:eastAsia="Calibri" w:cs="Sylfaen"/>
                <w:sz w:val="20"/>
                <w:szCs w:val="20"/>
                <w:lang w:val="ru-RU"/>
              </w:rPr>
            </w:pPr>
          </w:p>
          <w:p w:rsidR="00154773" w:rsidRPr="0053423A" w:rsidRDefault="00154773" w:rsidP="00154773">
            <w:pPr>
              <w:tabs>
                <w:tab w:val="left" w:pos="0"/>
                <w:tab w:val="left" w:pos="2790"/>
              </w:tabs>
              <w:ind w:firstLine="270"/>
              <w:contextualSpacing/>
              <w:jc w:val="both"/>
              <w:rPr>
                <w:rFonts w:cs="Sylfaen"/>
                <w:sz w:val="20"/>
                <w:szCs w:val="20"/>
                <w:lang w:val="af-ZA"/>
              </w:rPr>
            </w:pPr>
            <w:r w:rsidRPr="0053423A">
              <w:rPr>
                <w:rFonts w:cs="Sylfaen"/>
                <w:sz w:val="20"/>
                <w:szCs w:val="20"/>
                <w:lang w:val="af-ZA"/>
              </w:rPr>
              <w:t>Ուսումնական գործընթացի (և ընդհանրապես կրթության կազմակերպումը) պատշաճ կերպով կազմակերպման նպատակով անհրաժեշտ նոր տեխնոլոգիաների, եղանակների և մեթոդների կիրառում:</w:t>
            </w:r>
          </w:p>
          <w:p w:rsidR="00154773" w:rsidRPr="0053423A" w:rsidRDefault="00154773" w:rsidP="00154773">
            <w:pPr>
              <w:ind w:right="35" w:firstLine="360"/>
              <w:contextualSpacing/>
              <w:jc w:val="both"/>
              <w:rPr>
                <w:rFonts w:eastAsia="MS Mincho"/>
                <w:sz w:val="20"/>
                <w:szCs w:val="20"/>
                <w:lang w:val="af-ZA"/>
              </w:rPr>
            </w:pPr>
          </w:p>
          <w:p w:rsidR="00154773" w:rsidRPr="0053423A" w:rsidRDefault="00154773" w:rsidP="001F6D5D">
            <w:pPr>
              <w:numPr>
                <w:ilvl w:val="0"/>
                <w:numId w:val="452"/>
              </w:numPr>
              <w:ind w:firstLine="284"/>
              <w:contextualSpacing/>
              <w:jc w:val="both"/>
              <w:rPr>
                <w:rFonts w:eastAsia="Calibri" w:cs="Sylfaen"/>
                <w:b/>
                <w:sz w:val="20"/>
                <w:szCs w:val="20"/>
              </w:rPr>
            </w:pPr>
            <w:r w:rsidRPr="0053423A">
              <w:rPr>
                <w:rFonts w:eastAsia="Calibri" w:cs="Sylfaen"/>
                <w:b/>
                <w:sz w:val="20"/>
                <w:szCs w:val="20"/>
              </w:rPr>
              <w:t>Միջոցառման իրականացումից ա</w:t>
            </w:r>
            <w:r w:rsidRPr="0053423A">
              <w:rPr>
                <w:rFonts w:eastAsia="Calibri" w:cs="Sylfaen"/>
                <w:b/>
                <w:sz w:val="20"/>
                <w:szCs w:val="20"/>
                <w:lang w:val="hy-AM"/>
              </w:rPr>
              <w:t>կնկալվող արդյունքը</w:t>
            </w:r>
          </w:p>
          <w:p w:rsidR="00154773" w:rsidRPr="0053423A" w:rsidRDefault="00154773" w:rsidP="00154773">
            <w:pPr>
              <w:ind w:left="284"/>
              <w:contextualSpacing/>
              <w:jc w:val="both"/>
              <w:rPr>
                <w:rFonts w:eastAsia="Calibri" w:cs="Sylfaen"/>
                <w:b/>
                <w:sz w:val="20"/>
                <w:szCs w:val="20"/>
              </w:rPr>
            </w:pPr>
          </w:p>
          <w:p w:rsidR="00154773" w:rsidRPr="0053423A" w:rsidRDefault="00154773" w:rsidP="00154773">
            <w:pPr>
              <w:jc w:val="center"/>
              <w:rPr>
                <w:rFonts w:eastAsia="Times New Roman" w:cs="Times New Roman"/>
                <w:b/>
                <w:sz w:val="20"/>
                <w:szCs w:val="20"/>
                <w:lang w:val="hy-AM"/>
              </w:rPr>
            </w:pPr>
            <w:r w:rsidRPr="0053423A">
              <w:rPr>
                <w:rFonts w:eastAsia="Calibri" w:cs="Sylfaen"/>
                <w:sz w:val="20"/>
                <w:szCs w:val="20"/>
              </w:rPr>
              <w:t xml:space="preserve">       </w:t>
            </w:r>
            <w:r w:rsidRPr="0053423A">
              <w:rPr>
                <w:rFonts w:cs="Arian AMU"/>
                <w:sz w:val="20"/>
                <w:szCs w:val="20"/>
                <w:shd w:val="clear" w:color="auto" w:fill="FFFFFF"/>
              </w:rPr>
              <w:t>Արդյունքում</w:t>
            </w:r>
            <w:r w:rsidRPr="0053423A">
              <w:rPr>
                <w:rFonts w:cs="Arian AMU"/>
                <w:sz w:val="20"/>
                <w:szCs w:val="20"/>
                <w:shd w:val="clear" w:color="auto" w:fill="FFFFFF"/>
                <w:lang w:val="af-ZA"/>
              </w:rPr>
              <w:t xml:space="preserve"> </w:t>
            </w:r>
            <w:r w:rsidRPr="0053423A">
              <w:rPr>
                <w:rFonts w:cs="Arian AMU"/>
                <w:sz w:val="20"/>
                <w:szCs w:val="20"/>
                <w:shd w:val="clear" w:color="auto" w:fill="FFFFFF"/>
              </w:rPr>
              <w:t>նմանատիպ</w:t>
            </w:r>
            <w:r w:rsidRPr="0053423A">
              <w:rPr>
                <w:rFonts w:cs="Arian AMU"/>
                <w:sz w:val="20"/>
                <w:szCs w:val="20"/>
                <w:shd w:val="clear" w:color="auto" w:fill="FFFFFF"/>
                <w:lang w:val="af-ZA"/>
              </w:rPr>
              <w:t xml:space="preserve"> </w:t>
            </w:r>
            <w:r w:rsidRPr="0053423A">
              <w:rPr>
                <w:rFonts w:cs="Arian AMU"/>
                <w:sz w:val="20"/>
                <w:szCs w:val="20"/>
                <w:shd w:val="clear" w:color="auto" w:fill="FFFFFF"/>
              </w:rPr>
              <w:t>դպրոցներում</w:t>
            </w:r>
            <w:r w:rsidRPr="0053423A">
              <w:rPr>
                <w:rFonts w:cs="Arian AMU"/>
                <w:sz w:val="20"/>
                <w:szCs w:val="20"/>
                <w:shd w:val="clear" w:color="auto" w:fill="FFFFFF"/>
                <w:lang w:val="af-ZA"/>
              </w:rPr>
              <w:t xml:space="preserve"> </w:t>
            </w:r>
            <w:r w:rsidRPr="0053423A">
              <w:rPr>
                <w:rFonts w:cs="Arian AMU"/>
                <w:sz w:val="20"/>
                <w:szCs w:val="20"/>
                <w:shd w:val="clear" w:color="auto" w:fill="FFFFFF"/>
              </w:rPr>
              <w:t>ուսուցման</w:t>
            </w:r>
            <w:r w:rsidRPr="0053423A">
              <w:rPr>
                <w:rFonts w:cs="Arian AMU"/>
                <w:sz w:val="20"/>
                <w:szCs w:val="20"/>
                <w:shd w:val="clear" w:color="auto" w:fill="FFFFFF"/>
                <w:lang w:val="af-ZA"/>
              </w:rPr>
              <w:t xml:space="preserve"> </w:t>
            </w:r>
            <w:r w:rsidRPr="0053423A">
              <w:rPr>
                <w:rFonts w:cs="Arian AMU"/>
                <w:sz w:val="20"/>
                <w:szCs w:val="20"/>
                <w:shd w:val="clear" w:color="auto" w:fill="FFFFFF"/>
              </w:rPr>
              <w:t>գործընթացը</w:t>
            </w:r>
            <w:r w:rsidRPr="0053423A">
              <w:rPr>
                <w:rFonts w:cs="Arian AMU"/>
                <w:sz w:val="20"/>
                <w:szCs w:val="20"/>
                <w:shd w:val="clear" w:color="auto" w:fill="FFFFFF"/>
                <w:lang w:val="af-ZA"/>
              </w:rPr>
              <w:t xml:space="preserve"> </w:t>
            </w:r>
            <w:r w:rsidRPr="0053423A">
              <w:rPr>
                <w:rFonts w:cs="Arian AMU"/>
                <w:sz w:val="20"/>
                <w:szCs w:val="20"/>
                <w:shd w:val="clear" w:color="auto" w:fill="FFFFFF"/>
              </w:rPr>
              <w:t>կկազմակերպվի</w:t>
            </w:r>
            <w:r w:rsidRPr="0053423A">
              <w:rPr>
                <w:rFonts w:cs="Arian AMU"/>
                <w:sz w:val="20"/>
                <w:szCs w:val="20"/>
                <w:shd w:val="clear" w:color="auto" w:fill="FFFFFF"/>
                <w:lang w:val="af-ZA"/>
              </w:rPr>
              <w:t xml:space="preserve"> </w:t>
            </w:r>
            <w:r w:rsidRPr="0053423A">
              <w:rPr>
                <w:rFonts w:cs="Arian AMU"/>
                <w:sz w:val="20"/>
                <w:szCs w:val="20"/>
                <w:shd w:val="clear" w:color="auto" w:fill="FFFFFF"/>
              </w:rPr>
              <w:t>արդյունավետ</w:t>
            </w:r>
            <w:r w:rsidRPr="0053423A">
              <w:rPr>
                <w:rFonts w:cs="Arian AMU"/>
                <w:sz w:val="20"/>
                <w:szCs w:val="20"/>
                <w:shd w:val="clear" w:color="auto" w:fill="FFFFFF"/>
                <w:lang w:val="af-ZA"/>
              </w:rPr>
              <w:t>:</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jc w:val="center"/>
              <w:rPr>
                <w:rFonts w:cs="Sylfaen"/>
                <w:b/>
                <w:sz w:val="20"/>
                <w:szCs w:val="20"/>
                <w:u w:val="single"/>
                <w:lang w:val="fr-FR"/>
              </w:rPr>
            </w:pPr>
            <w:r w:rsidRPr="0053423A">
              <w:rPr>
                <w:rFonts w:cs="Sylfaen"/>
                <w:b/>
                <w:sz w:val="20"/>
                <w:szCs w:val="20"/>
                <w:u w:val="single"/>
                <w:lang w:val="fr-FR"/>
              </w:rPr>
              <w:t>16.2 Հեռավարության համակարգի ներդրում</w:t>
            </w:r>
          </w:p>
          <w:p w:rsidR="00154773" w:rsidRPr="0053423A" w:rsidRDefault="00154773" w:rsidP="00154773">
            <w:pPr>
              <w:jc w:val="both"/>
              <w:rPr>
                <w:rFonts w:cs="Sylfaen"/>
                <w:b/>
                <w:sz w:val="20"/>
                <w:szCs w:val="20"/>
                <w:u w:val="single"/>
                <w:lang w:val="fr-FR"/>
              </w:rPr>
            </w:pPr>
          </w:p>
          <w:p w:rsidR="00154773" w:rsidRPr="0053423A" w:rsidRDefault="00154773" w:rsidP="001F6D5D">
            <w:pPr>
              <w:numPr>
                <w:ilvl w:val="0"/>
                <w:numId w:val="496"/>
              </w:numPr>
              <w:ind w:left="900" w:hanging="450"/>
              <w:contextualSpacing/>
              <w:jc w:val="both"/>
              <w:rPr>
                <w:rFonts w:eastAsia="Calibri"/>
                <w:b/>
                <w:sz w:val="20"/>
                <w:szCs w:val="20"/>
                <w:lang w:val="ru-RU"/>
              </w:rPr>
            </w:pPr>
            <w:r w:rsidRPr="0053423A">
              <w:rPr>
                <w:rFonts w:eastAsia="Calibri" w:cs="Sylfaen"/>
                <w:b/>
                <w:sz w:val="20"/>
                <w:szCs w:val="20"/>
                <w:lang w:val="ru-RU"/>
              </w:rPr>
              <w:t xml:space="preserve">Միջոցառման </w:t>
            </w:r>
            <w:r w:rsidRPr="0053423A">
              <w:rPr>
                <w:rFonts w:eastAsia="Calibri" w:cs="Sylfaen"/>
                <w:b/>
                <w:sz w:val="20"/>
                <w:szCs w:val="20"/>
              </w:rPr>
              <w:t>իրականացման անհրաժեշտությունը</w:t>
            </w:r>
            <w:r w:rsidRPr="0053423A">
              <w:rPr>
                <w:rFonts w:eastAsia="Calibri"/>
                <w:b/>
                <w:sz w:val="20"/>
                <w:szCs w:val="20"/>
                <w:lang w:val="ru-RU"/>
              </w:rPr>
              <w:t xml:space="preserve"> և </w:t>
            </w:r>
            <w:r w:rsidRPr="0053423A">
              <w:rPr>
                <w:rFonts w:eastAsia="Calibri" w:cs="Sylfaen"/>
                <w:b/>
                <w:sz w:val="20"/>
                <w:szCs w:val="20"/>
              </w:rPr>
              <w:t>նպատակը</w:t>
            </w:r>
          </w:p>
          <w:p w:rsidR="00154773" w:rsidRPr="0053423A" w:rsidRDefault="00154773" w:rsidP="00154773">
            <w:pPr>
              <w:ind w:left="1800"/>
              <w:contextualSpacing/>
              <w:jc w:val="both"/>
              <w:rPr>
                <w:rFonts w:eastAsia="Calibri"/>
                <w:b/>
                <w:sz w:val="20"/>
                <w:szCs w:val="20"/>
                <w:lang w:val="ru-RU"/>
              </w:rPr>
            </w:pPr>
          </w:p>
          <w:p w:rsidR="00154773" w:rsidRPr="0053423A" w:rsidRDefault="00154773" w:rsidP="00154773">
            <w:pPr>
              <w:shd w:val="clear" w:color="auto" w:fill="FFFFFF"/>
              <w:tabs>
                <w:tab w:val="left" w:pos="90"/>
                <w:tab w:val="left" w:pos="360"/>
              </w:tabs>
              <w:ind w:left="90" w:firstLine="180"/>
              <w:jc w:val="both"/>
              <w:textAlignment w:val="baseline"/>
              <w:rPr>
                <w:rFonts w:eastAsia="Times New Roman" w:cs="Arian AMU"/>
                <w:sz w:val="20"/>
                <w:szCs w:val="20"/>
                <w:lang w:val="af-ZA"/>
              </w:rPr>
            </w:pPr>
            <w:r w:rsidRPr="0053423A">
              <w:rPr>
                <w:rFonts w:eastAsia="Times New Roman" w:cs="Arian AMU"/>
                <w:sz w:val="20"/>
                <w:szCs w:val="20"/>
                <w:lang w:val="af-ZA"/>
              </w:rPr>
              <w:t xml:space="preserve">     </w:t>
            </w:r>
            <w:r w:rsidRPr="0053423A">
              <w:rPr>
                <w:rFonts w:eastAsia="Times New Roman" w:cs="Arian AMU"/>
                <w:sz w:val="20"/>
                <w:szCs w:val="20"/>
              </w:rPr>
              <w:t>Սովորողների</w:t>
            </w:r>
            <w:r w:rsidRPr="0053423A">
              <w:rPr>
                <w:rFonts w:eastAsia="Times New Roman" w:cs="Arian AMU"/>
                <w:sz w:val="20"/>
                <w:szCs w:val="20"/>
                <w:lang w:val="af-ZA"/>
              </w:rPr>
              <w:t xml:space="preserve"> </w:t>
            </w:r>
            <w:r w:rsidRPr="0053423A">
              <w:rPr>
                <w:rFonts w:eastAsia="Times New Roman" w:cs="Arian AMU"/>
                <w:sz w:val="20"/>
                <w:szCs w:val="20"/>
              </w:rPr>
              <w:t>Սահմանադրական</w:t>
            </w:r>
            <w:r w:rsidRPr="0053423A">
              <w:rPr>
                <w:rFonts w:eastAsia="Times New Roman" w:cs="Arian AMU"/>
                <w:sz w:val="20"/>
                <w:szCs w:val="20"/>
                <w:lang w:val="af-ZA"/>
              </w:rPr>
              <w:t xml:space="preserve"> </w:t>
            </w:r>
            <w:r w:rsidRPr="0053423A">
              <w:rPr>
                <w:rFonts w:eastAsia="Times New Roman" w:cs="Arian AMU"/>
                <w:sz w:val="20"/>
                <w:szCs w:val="20"/>
              </w:rPr>
              <w:t>իրավունքի</w:t>
            </w:r>
            <w:r w:rsidRPr="0053423A">
              <w:rPr>
                <w:rFonts w:eastAsia="Times New Roman" w:cs="Arian AMU"/>
                <w:sz w:val="20"/>
                <w:szCs w:val="20"/>
                <w:lang w:val="af-ZA"/>
              </w:rPr>
              <w:t xml:space="preserve"> </w:t>
            </w:r>
            <w:r w:rsidRPr="0053423A">
              <w:rPr>
                <w:rFonts w:eastAsia="Times New Roman" w:cs="Arian AMU"/>
                <w:sz w:val="20"/>
                <w:szCs w:val="20"/>
              </w:rPr>
              <w:t>իրացման</w:t>
            </w:r>
            <w:r w:rsidRPr="0053423A">
              <w:rPr>
                <w:rFonts w:eastAsia="Times New Roman" w:cs="Arian AMU"/>
                <w:sz w:val="20"/>
                <w:szCs w:val="20"/>
                <w:lang w:val="af-ZA"/>
              </w:rPr>
              <w:t xml:space="preserve"> </w:t>
            </w:r>
            <w:r w:rsidRPr="0053423A">
              <w:rPr>
                <w:rFonts w:eastAsia="Times New Roman" w:cs="Arian AMU"/>
                <w:sz w:val="20"/>
                <w:szCs w:val="20"/>
              </w:rPr>
              <w:t>ապահովման</w:t>
            </w:r>
            <w:r w:rsidRPr="0053423A">
              <w:rPr>
                <w:rFonts w:eastAsia="Times New Roman" w:cs="Arian AMU"/>
                <w:sz w:val="20"/>
                <w:szCs w:val="20"/>
                <w:lang w:val="af-ZA"/>
              </w:rPr>
              <w:t xml:space="preserve"> </w:t>
            </w:r>
            <w:r w:rsidRPr="0053423A">
              <w:rPr>
                <w:rFonts w:eastAsia="Times New Roman" w:cs="Arian AMU"/>
                <w:sz w:val="20"/>
                <w:szCs w:val="20"/>
              </w:rPr>
              <w:t>նպատակով</w:t>
            </w:r>
            <w:r w:rsidRPr="0053423A">
              <w:rPr>
                <w:rFonts w:eastAsia="Times New Roman" w:cs="Arian AMU"/>
                <w:sz w:val="20"/>
                <w:szCs w:val="20"/>
                <w:lang w:val="af-ZA"/>
              </w:rPr>
              <w:t xml:space="preserve">  </w:t>
            </w:r>
            <w:r w:rsidRPr="0053423A">
              <w:rPr>
                <w:rFonts w:eastAsia="Times New Roman" w:cs="Arian AMU"/>
                <w:sz w:val="20"/>
                <w:szCs w:val="20"/>
              </w:rPr>
              <w:t>նախատեսվում</w:t>
            </w:r>
            <w:r w:rsidRPr="0053423A">
              <w:rPr>
                <w:rFonts w:eastAsia="Times New Roman" w:cs="Arian AMU"/>
                <w:sz w:val="20"/>
                <w:szCs w:val="20"/>
                <w:lang w:val="af-ZA"/>
              </w:rPr>
              <w:t xml:space="preserve"> </w:t>
            </w:r>
            <w:r w:rsidRPr="0053423A">
              <w:rPr>
                <w:rFonts w:eastAsia="Times New Roman" w:cs="Arian AMU"/>
                <w:sz w:val="20"/>
                <w:szCs w:val="20"/>
              </w:rPr>
              <w:t>է</w:t>
            </w:r>
            <w:r w:rsidRPr="0053423A">
              <w:rPr>
                <w:rFonts w:eastAsia="Times New Roman" w:cs="Arian AMU"/>
                <w:sz w:val="20"/>
                <w:szCs w:val="20"/>
                <w:lang w:val="af-ZA"/>
              </w:rPr>
              <w:t xml:space="preserve"> </w:t>
            </w:r>
            <w:r w:rsidRPr="0053423A">
              <w:rPr>
                <w:rFonts w:eastAsia="Times New Roman" w:cs="Arian AMU"/>
                <w:sz w:val="20"/>
                <w:szCs w:val="20"/>
              </w:rPr>
              <w:t>մշակել</w:t>
            </w:r>
            <w:r w:rsidRPr="0053423A">
              <w:rPr>
                <w:rFonts w:eastAsia="Times New Roman" w:cs="Arian AMU"/>
                <w:sz w:val="20"/>
                <w:szCs w:val="20"/>
                <w:lang w:val="af-ZA"/>
              </w:rPr>
              <w:t xml:space="preserve"> </w:t>
            </w:r>
            <w:r w:rsidRPr="0053423A">
              <w:rPr>
                <w:rFonts w:eastAsia="Times New Roman" w:cs="Arian AMU"/>
                <w:sz w:val="20"/>
                <w:szCs w:val="20"/>
              </w:rPr>
              <w:t>և</w:t>
            </w:r>
            <w:r w:rsidRPr="0053423A">
              <w:rPr>
                <w:rFonts w:eastAsia="Times New Roman" w:cs="Arian AMU"/>
                <w:sz w:val="20"/>
                <w:szCs w:val="20"/>
                <w:lang w:val="af-ZA"/>
              </w:rPr>
              <w:t xml:space="preserve"> </w:t>
            </w:r>
            <w:r w:rsidRPr="0053423A">
              <w:rPr>
                <w:rFonts w:eastAsia="Times New Roman" w:cs="Arian AMU"/>
                <w:sz w:val="20"/>
                <w:szCs w:val="20"/>
              </w:rPr>
              <w:t>ներդնել</w:t>
            </w:r>
            <w:r w:rsidRPr="0053423A">
              <w:rPr>
                <w:rFonts w:eastAsia="Times New Roman" w:cs="Arian AMU"/>
                <w:sz w:val="20"/>
                <w:szCs w:val="20"/>
                <w:lang w:val="af-ZA"/>
              </w:rPr>
              <w:t xml:space="preserve"> </w:t>
            </w:r>
            <w:r w:rsidRPr="0053423A">
              <w:rPr>
                <w:rFonts w:eastAsia="Times New Roman" w:cs="Arian AMU"/>
                <w:sz w:val="20"/>
                <w:szCs w:val="20"/>
              </w:rPr>
              <w:t>հեռավարության</w:t>
            </w:r>
            <w:r w:rsidRPr="0053423A">
              <w:rPr>
                <w:rFonts w:eastAsia="Times New Roman" w:cs="Arian AMU"/>
                <w:sz w:val="20"/>
                <w:szCs w:val="20"/>
                <w:lang w:val="af-ZA"/>
              </w:rPr>
              <w:t xml:space="preserve"> </w:t>
            </w:r>
            <w:r w:rsidRPr="0053423A">
              <w:rPr>
                <w:rFonts w:eastAsia="Times New Roman" w:cs="Arian AMU"/>
                <w:sz w:val="20"/>
                <w:szCs w:val="20"/>
              </w:rPr>
              <w:t>համակարգը</w:t>
            </w:r>
            <w:r w:rsidRPr="0053423A">
              <w:rPr>
                <w:rFonts w:eastAsia="Times New Roman" w:cs="Arian AMU"/>
                <w:sz w:val="20"/>
                <w:szCs w:val="20"/>
                <w:lang w:val="af-ZA"/>
              </w:rPr>
              <w:t>:</w:t>
            </w:r>
          </w:p>
          <w:p w:rsidR="00154773" w:rsidRPr="0053423A" w:rsidRDefault="00154773" w:rsidP="00154773">
            <w:pPr>
              <w:shd w:val="clear" w:color="auto" w:fill="FFFFFF"/>
              <w:tabs>
                <w:tab w:val="left" w:pos="90"/>
              </w:tabs>
              <w:ind w:left="90" w:firstLine="180"/>
              <w:textAlignment w:val="baseline"/>
              <w:rPr>
                <w:rFonts w:eastAsia="Times New Roman" w:cs="Times New Roman"/>
                <w:b/>
                <w:sz w:val="20"/>
                <w:szCs w:val="20"/>
                <w:lang w:val="af-ZA"/>
              </w:rPr>
            </w:pPr>
            <w:r w:rsidRPr="0053423A">
              <w:rPr>
                <w:rFonts w:ascii="Calibri" w:eastAsia="Times New Roman" w:hAnsi="Calibri" w:cs="Calibri"/>
                <w:b/>
                <w:bCs/>
                <w:color w:val="4B5C6A"/>
                <w:sz w:val="20"/>
                <w:szCs w:val="20"/>
                <w:bdr w:val="none" w:sz="0" w:space="0" w:color="auto" w:frame="1"/>
                <w:lang w:val="af-ZA"/>
              </w:rPr>
              <w:t> </w:t>
            </w:r>
          </w:p>
          <w:p w:rsidR="00154773" w:rsidRPr="0053423A" w:rsidRDefault="00154773" w:rsidP="00154773">
            <w:pPr>
              <w:ind w:firstLine="288"/>
              <w:contextualSpacing/>
              <w:jc w:val="both"/>
              <w:rPr>
                <w:rFonts w:eastAsia="Calibri" w:cs="Sylfaen"/>
                <w:b/>
                <w:sz w:val="20"/>
                <w:szCs w:val="20"/>
                <w:lang w:val="af-ZA"/>
              </w:rPr>
            </w:pPr>
            <w:r w:rsidRPr="0053423A">
              <w:rPr>
                <w:rFonts w:eastAsia="Calibri" w:cs="Arian AMU"/>
                <w:b/>
                <w:sz w:val="20"/>
                <w:szCs w:val="20"/>
                <w:lang w:val="af-ZA"/>
              </w:rPr>
              <w:t xml:space="preserve">1.1.  </w:t>
            </w:r>
            <w:r w:rsidRPr="0053423A">
              <w:rPr>
                <w:rFonts w:eastAsia="Calibri" w:cs="Sylfaen"/>
                <w:b/>
                <w:sz w:val="20"/>
                <w:szCs w:val="20"/>
                <w:lang w:val="ru-RU"/>
              </w:rPr>
              <w:t>Կարգավորման</w:t>
            </w:r>
            <w:r w:rsidRPr="0053423A">
              <w:rPr>
                <w:rFonts w:eastAsia="Calibri" w:cs="Sylfaen"/>
                <w:b/>
                <w:sz w:val="20"/>
                <w:szCs w:val="20"/>
                <w:lang w:val="af-ZA"/>
              </w:rPr>
              <w:t xml:space="preserve"> </w:t>
            </w:r>
            <w:r w:rsidRPr="0053423A">
              <w:rPr>
                <w:rFonts w:eastAsia="Calibri" w:cs="Sylfaen"/>
                <w:b/>
                <w:sz w:val="20"/>
                <w:szCs w:val="20"/>
                <w:lang w:val="ru-RU"/>
              </w:rPr>
              <w:t>հարաբերությունների</w:t>
            </w:r>
            <w:r w:rsidRPr="0053423A">
              <w:rPr>
                <w:rFonts w:eastAsia="Calibri" w:cs="Sylfaen"/>
                <w:b/>
                <w:sz w:val="20"/>
                <w:szCs w:val="20"/>
                <w:lang w:val="af-ZA"/>
              </w:rPr>
              <w:t xml:space="preserve"> </w:t>
            </w:r>
            <w:r w:rsidRPr="0053423A">
              <w:rPr>
                <w:rFonts w:eastAsia="Calibri" w:cs="Sylfaen"/>
                <w:b/>
                <w:sz w:val="20"/>
                <w:szCs w:val="20"/>
                <w:lang w:val="ru-RU"/>
              </w:rPr>
              <w:t>ներկա</w:t>
            </w:r>
            <w:r w:rsidRPr="0053423A">
              <w:rPr>
                <w:rFonts w:eastAsia="Calibri" w:cs="Sylfaen"/>
                <w:b/>
                <w:sz w:val="20"/>
                <w:szCs w:val="20"/>
                <w:lang w:val="af-ZA"/>
              </w:rPr>
              <w:t xml:space="preserve"> </w:t>
            </w:r>
            <w:r w:rsidRPr="0053423A">
              <w:rPr>
                <w:rFonts w:eastAsia="Calibri" w:cs="Sylfaen"/>
                <w:b/>
                <w:sz w:val="20"/>
                <w:szCs w:val="20"/>
                <w:lang w:val="ru-RU"/>
              </w:rPr>
              <w:t>վիճակը</w:t>
            </w:r>
            <w:r w:rsidRPr="0053423A">
              <w:rPr>
                <w:rFonts w:eastAsia="Calibri" w:cs="Sylfaen"/>
                <w:b/>
                <w:sz w:val="20"/>
                <w:szCs w:val="20"/>
                <w:lang w:val="af-ZA"/>
              </w:rPr>
              <w:t xml:space="preserve"> </w:t>
            </w:r>
            <w:r w:rsidRPr="0053423A">
              <w:rPr>
                <w:rFonts w:eastAsia="Calibri" w:cs="Sylfaen"/>
                <w:b/>
                <w:sz w:val="20"/>
                <w:szCs w:val="20"/>
                <w:lang w:val="ru-RU"/>
              </w:rPr>
              <w:t>և</w:t>
            </w:r>
            <w:r w:rsidRPr="0053423A">
              <w:rPr>
                <w:rFonts w:eastAsia="Calibri" w:cs="Sylfaen"/>
                <w:b/>
                <w:sz w:val="20"/>
                <w:szCs w:val="20"/>
                <w:lang w:val="af-ZA"/>
              </w:rPr>
              <w:t xml:space="preserve"> </w:t>
            </w:r>
            <w:r w:rsidRPr="0053423A">
              <w:rPr>
                <w:rFonts w:eastAsia="Calibri" w:cs="Sylfaen"/>
                <w:b/>
                <w:sz w:val="20"/>
                <w:szCs w:val="20"/>
                <w:lang w:val="ru-RU"/>
              </w:rPr>
              <w:t>առկա</w:t>
            </w:r>
            <w:r w:rsidRPr="0053423A">
              <w:rPr>
                <w:rFonts w:eastAsia="Calibri" w:cs="Sylfaen"/>
                <w:b/>
                <w:sz w:val="20"/>
                <w:szCs w:val="20"/>
                <w:lang w:val="af-ZA"/>
              </w:rPr>
              <w:t xml:space="preserve"> </w:t>
            </w:r>
            <w:r w:rsidRPr="0053423A">
              <w:rPr>
                <w:rFonts w:eastAsia="Calibri" w:cs="Sylfaen"/>
                <w:b/>
                <w:sz w:val="20"/>
                <w:szCs w:val="20"/>
                <w:lang w:val="ru-RU"/>
              </w:rPr>
              <w:t>խնդիրները</w:t>
            </w:r>
          </w:p>
          <w:p w:rsidR="00154773" w:rsidRPr="0053423A" w:rsidRDefault="00154773" w:rsidP="00154773">
            <w:pPr>
              <w:ind w:firstLine="288"/>
              <w:contextualSpacing/>
              <w:jc w:val="both"/>
              <w:rPr>
                <w:rFonts w:eastAsia="Calibri" w:cs="Sylfaen"/>
                <w:b/>
                <w:sz w:val="20"/>
                <w:szCs w:val="20"/>
                <w:lang w:val="af-ZA"/>
              </w:rPr>
            </w:pPr>
          </w:p>
          <w:p w:rsidR="00154773" w:rsidRPr="0053423A" w:rsidRDefault="00154773" w:rsidP="00154773">
            <w:pPr>
              <w:ind w:left="90"/>
              <w:contextualSpacing/>
              <w:jc w:val="both"/>
              <w:rPr>
                <w:sz w:val="20"/>
                <w:szCs w:val="20"/>
                <w:lang w:val="af-ZA"/>
              </w:rPr>
            </w:pPr>
            <w:r w:rsidRPr="0053423A">
              <w:rPr>
                <w:sz w:val="20"/>
                <w:szCs w:val="20"/>
                <w:lang w:val="af-ZA"/>
              </w:rPr>
              <w:t>Ներկայում հեռավար ուսուցման իրականացման համար բացակայում են իրավական հիմքերը:</w:t>
            </w:r>
          </w:p>
          <w:p w:rsidR="00154773" w:rsidRPr="0053423A" w:rsidRDefault="00154773" w:rsidP="00154773">
            <w:pPr>
              <w:ind w:firstLine="288"/>
              <w:contextualSpacing/>
              <w:jc w:val="both"/>
              <w:rPr>
                <w:rFonts w:eastAsia="Calibri" w:cs="Sylfaen"/>
                <w:b/>
                <w:sz w:val="20"/>
                <w:szCs w:val="20"/>
                <w:lang w:val="af-ZA"/>
              </w:rPr>
            </w:pPr>
          </w:p>
          <w:p w:rsidR="00154773" w:rsidRPr="0053423A" w:rsidRDefault="00154773" w:rsidP="00154773">
            <w:pPr>
              <w:tabs>
                <w:tab w:val="left" w:pos="284"/>
              </w:tabs>
              <w:ind w:firstLine="284"/>
              <w:contextualSpacing/>
              <w:jc w:val="both"/>
              <w:rPr>
                <w:rFonts w:eastAsia="Calibri"/>
                <w:sz w:val="20"/>
                <w:szCs w:val="20"/>
                <w:lang w:val="af-ZA"/>
              </w:rPr>
            </w:pPr>
          </w:p>
          <w:p w:rsidR="00154773" w:rsidRPr="0053423A" w:rsidRDefault="00154773" w:rsidP="00154773">
            <w:pPr>
              <w:ind w:left="284"/>
              <w:contextualSpacing/>
              <w:jc w:val="both"/>
              <w:rPr>
                <w:rFonts w:eastAsia="Calibri"/>
                <w:b/>
                <w:sz w:val="20"/>
                <w:szCs w:val="20"/>
                <w:lang w:val="af-ZA"/>
              </w:rPr>
            </w:pPr>
            <w:r w:rsidRPr="0053423A">
              <w:rPr>
                <w:rFonts w:eastAsia="Calibri" w:cs="Sylfaen"/>
                <w:b/>
                <w:sz w:val="20"/>
                <w:szCs w:val="20"/>
                <w:lang w:val="af-ZA"/>
              </w:rPr>
              <w:t xml:space="preserve">1.2. </w:t>
            </w:r>
            <w:r w:rsidRPr="0053423A">
              <w:rPr>
                <w:rFonts w:eastAsia="Calibri" w:cs="Sylfaen"/>
                <w:b/>
                <w:sz w:val="20"/>
                <w:szCs w:val="20"/>
              </w:rPr>
              <w:t>Առկա</w:t>
            </w:r>
            <w:r w:rsidRPr="0053423A">
              <w:rPr>
                <w:rFonts w:eastAsia="Calibri"/>
                <w:b/>
                <w:sz w:val="20"/>
                <w:szCs w:val="20"/>
                <w:lang w:val="af-ZA"/>
              </w:rPr>
              <w:t xml:space="preserve"> </w:t>
            </w:r>
            <w:r w:rsidRPr="0053423A">
              <w:rPr>
                <w:rFonts w:eastAsia="Calibri"/>
                <w:b/>
                <w:sz w:val="20"/>
                <w:szCs w:val="20"/>
              </w:rPr>
              <w:t>խնդիրների</w:t>
            </w:r>
            <w:r w:rsidRPr="0053423A">
              <w:rPr>
                <w:rFonts w:eastAsia="Calibri"/>
                <w:b/>
                <w:sz w:val="20"/>
                <w:szCs w:val="20"/>
                <w:lang w:val="af-ZA"/>
              </w:rPr>
              <w:t xml:space="preserve"> </w:t>
            </w:r>
            <w:r w:rsidRPr="0053423A">
              <w:rPr>
                <w:rFonts w:eastAsia="Calibri"/>
                <w:b/>
                <w:sz w:val="20"/>
                <w:szCs w:val="20"/>
              </w:rPr>
              <w:t>առաջարկվող</w:t>
            </w:r>
            <w:r w:rsidRPr="0053423A">
              <w:rPr>
                <w:rFonts w:eastAsia="Calibri"/>
                <w:b/>
                <w:sz w:val="20"/>
                <w:szCs w:val="20"/>
                <w:lang w:val="af-ZA"/>
              </w:rPr>
              <w:t xml:space="preserve"> </w:t>
            </w:r>
            <w:r w:rsidRPr="0053423A">
              <w:rPr>
                <w:rFonts w:eastAsia="Calibri"/>
                <w:b/>
                <w:sz w:val="20"/>
                <w:szCs w:val="20"/>
              </w:rPr>
              <w:t>լուծումները</w:t>
            </w:r>
          </w:p>
          <w:p w:rsidR="00154773" w:rsidRPr="0053423A" w:rsidRDefault="00154773" w:rsidP="00154773">
            <w:pPr>
              <w:ind w:left="284"/>
              <w:contextualSpacing/>
              <w:jc w:val="both"/>
              <w:rPr>
                <w:rFonts w:eastAsia="Calibri" w:cs="Sylfaen"/>
                <w:sz w:val="20"/>
                <w:szCs w:val="20"/>
                <w:lang w:val="af-ZA"/>
              </w:rPr>
            </w:pPr>
          </w:p>
          <w:p w:rsidR="00154773" w:rsidRPr="0053423A" w:rsidRDefault="00154773" w:rsidP="00154773">
            <w:pPr>
              <w:tabs>
                <w:tab w:val="left" w:pos="2790"/>
              </w:tabs>
              <w:ind w:firstLine="270"/>
              <w:contextualSpacing/>
              <w:jc w:val="both"/>
              <w:rPr>
                <w:sz w:val="20"/>
                <w:szCs w:val="20"/>
                <w:lang w:val="af-ZA"/>
              </w:rPr>
            </w:pPr>
            <w:r w:rsidRPr="0053423A">
              <w:rPr>
                <w:sz w:val="20"/>
                <w:szCs w:val="20"/>
              </w:rPr>
              <w:t>Հեռավար</w:t>
            </w:r>
            <w:r w:rsidRPr="0053423A">
              <w:rPr>
                <w:sz w:val="20"/>
                <w:szCs w:val="20"/>
                <w:lang w:val="af-ZA"/>
              </w:rPr>
              <w:t xml:space="preserve"> </w:t>
            </w:r>
            <w:r w:rsidRPr="0053423A">
              <w:rPr>
                <w:sz w:val="20"/>
                <w:szCs w:val="20"/>
              </w:rPr>
              <w:t>համակարգով</w:t>
            </w:r>
            <w:r w:rsidRPr="0053423A">
              <w:rPr>
                <w:sz w:val="20"/>
                <w:szCs w:val="20"/>
                <w:lang w:val="af-ZA"/>
              </w:rPr>
              <w:t xml:space="preserve"> </w:t>
            </w:r>
            <w:r w:rsidRPr="0053423A">
              <w:rPr>
                <w:sz w:val="20"/>
                <w:szCs w:val="20"/>
              </w:rPr>
              <w:t>ուսուցման</w:t>
            </w:r>
            <w:r w:rsidRPr="0053423A">
              <w:rPr>
                <w:sz w:val="20"/>
                <w:szCs w:val="20"/>
                <w:lang w:val="af-ZA"/>
              </w:rPr>
              <w:t xml:space="preserve"> </w:t>
            </w:r>
            <w:r w:rsidRPr="0053423A">
              <w:rPr>
                <w:sz w:val="20"/>
                <w:szCs w:val="20"/>
              </w:rPr>
              <w:t>գործընթաց</w:t>
            </w:r>
            <w:r w:rsidRPr="0053423A">
              <w:rPr>
                <w:sz w:val="20"/>
                <w:szCs w:val="20"/>
                <w:lang w:val="af-ZA"/>
              </w:rPr>
              <w:t xml:space="preserve"> </w:t>
            </w:r>
            <w:r w:rsidRPr="0053423A">
              <w:rPr>
                <w:sz w:val="20"/>
                <w:szCs w:val="20"/>
              </w:rPr>
              <w:t>կազմակերպելու</w:t>
            </w:r>
            <w:r w:rsidRPr="0053423A">
              <w:rPr>
                <w:sz w:val="20"/>
                <w:szCs w:val="20"/>
                <w:lang w:val="af-ZA"/>
              </w:rPr>
              <w:t xml:space="preserve"> </w:t>
            </w:r>
            <w:r w:rsidRPr="0053423A">
              <w:rPr>
                <w:sz w:val="20"/>
                <w:szCs w:val="20"/>
              </w:rPr>
              <w:t>նպատակով</w:t>
            </w:r>
            <w:r w:rsidRPr="0053423A">
              <w:rPr>
                <w:sz w:val="20"/>
                <w:szCs w:val="20"/>
                <w:lang w:val="af-ZA"/>
              </w:rPr>
              <w:t xml:space="preserve"> </w:t>
            </w:r>
            <w:r w:rsidRPr="0053423A">
              <w:rPr>
                <w:sz w:val="20"/>
                <w:szCs w:val="20"/>
              </w:rPr>
              <w:t>կմաշկվեն</w:t>
            </w:r>
            <w:r w:rsidRPr="0053423A">
              <w:rPr>
                <w:sz w:val="20"/>
                <w:szCs w:val="20"/>
                <w:lang w:val="af-ZA"/>
              </w:rPr>
              <w:t xml:space="preserve"> </w:t>
            </w:r>
            <w:r w:rsidRPr="0053423A">
              <w:rPr>
                <w:sz w:val="20"/>
                <w:szCs w:val="20"/>
              </w:rPr>
              <w:t>իրավական</w:t>
            </w:r>
            <w:r w:rsidRPr="0053423A">
              <w:rPr>
                <w:sz w:val="20"/>
                <w:szCs w:val="20"/>
                <w:lang w:val="af-ZA"/>
              </w:rPr>
              <w:t xml:space="preserve"> </w:t>
            </w:r>
            <w:r w:rsidRPr="0053423A">
              <w:rPr>
                <w:sz w:val="20"/>
                <w:szCs w:val="20"/>
              </w:rPr>
              <w:t>կարգավորումներ</w:t>
            </w:r>
            <w:r w:rsidRPr="0053423A">
              <w:rPr>
                <w:sz w:val="20"/>
                <w:szCs w:val="20"/>
                <w:lang w:val="af-ZA"/>
              </w:rPr>
              <w:t>:</w:t>
            </w:r>
          </w:p>
          <w:p w:rsidR="00154773" w:rsidRPr="0053423A" w:rsidRDefault="00154773" w:rsidP="00154773">
            <w:pPr>
              <w:ind w:firstLine="288"/>
              <w:contextualSpacing/>
              <w:jc w:val="both"/>
              <w:rPr>
                <w:rFonts w:eastAsia="Calibri" w:cs="Sylfaen"/>
                <w:b/>
                <w:sz w:val="20"/>
                <w:szCs w:val="20"/>
                <w:lang w:val="af-ZA"/>
              </w:rPr>
            </w:pPr>
          </w:p>
          <w:p w:rsidR="00154773" w:rsidRPr="0053423A" w:rsidRDefault="00154773" w:rsidP="00154773">
            <w:pPr>
              <w:ind w:firstLine="288"/>
              <w:contextualSpacing/>
              <w:jc w:val="both"/>
              <w:rPr>
                <w:rFonts w:eastAsia="Calibri" w:cs="Sylfaen"/>
                <w:b/>
                <w:sz w:val="20"/>
                <w:szCs w:val="20"/>
                <w:lang w:val="af-ZA"/>
              </w:rPr>
            </w:pPr>
            <w:r w:rsidRPr="0053423A">
              <w:rPr>
                <w:rFonts w:eastAsia="Calibri" w:cs="Sylfaen"/>
                <w:b/>
                <w:sz w:val="20"/>
                <w:szCs w:val="20"/>
                <w:lang w:val="af-ZA"/>
              </w:rPr>
              <w:t>2.</w:t>
            </w:r>
            <w:r w:rsidRPr="0053423A">
              <w:rPr>
                <w:rFonts w:eastAsia="Calibri" w:cs="Sylfaen"/>
                <w:b/>
                <w:sz w:val="20"/>
                <w:szCs w:val="20"/>
              </w:rPr>
              <w:t>Միջոցառման</w:t>
            </w:r>
            <w:r w:rsidRPr="0053423A">
              <w:rPr>
                <w:rFonts w:eastAsia="Calibri" w:cs="Sylfaen"/>
                <w:b/>
                <w:sz w:val="20"/>
                <w:szCs w:val="20"/>
                <w:lang w:val="af-ZA"/>
              </w:rPr>
              <w:t xml:space="preserve"> </w:t>
            </w:r>
            <w:r w:rsidRPr="0053423A">
              <w:rPr>
                <w:rFonts w:eastAsia="Calibri" w:cs="Sylfaen"/>
                <w:b/>
                <w:sz w:val="20"/>
                <w:szCs w:val="20"/>
              </w:rPr>
              <w:t>իրականացումից</w:t>
            </w:r>
            <w:r w:rsidRPr="0053423A">
              <w:rPr>
                <w:rFonts w:eastAsia="Calibri" w:cs="Sylfaen"/>
                <w:b/>
                <w:sz w:val="20"/>
                <w:szCs w:val="20"/>
                <w:lang w:val="af-ZA"/>
              </w:rPr>
              <w:t xml:space="preserve"> </w:t>
            </w:r>
            <w:r w:rsidRPr="0053423A">
              <w:rPr>
                <w:rFonts w:eastAsia="Calibri" w:cs="Sylfaen"/>
                <w:b/>
                <w:sz w:val="20"/>
                <w:szCs w:val="20"/>
              </w:rPr>
              <w:t>ա</w:t>
            </w:r>
            <w:r w:rsidRPr="0053423A">
              <w:rPr>
                <w:rFonts w:eastAsia="Calibri" w:cs="Sylfaen"/>
                <w:b/>
                <w:sz w:val="20"/>
                <w:szCs w:val="20"/>
                <w:lang w:val="hy-AM"/>
              </w:rPr>
              <w:t>կնկալվող արդյունքը</w:t>
            </w:r>
          </w:p>
          <w:p w:rsidR="00154773" w:rsidRPr="0053423A" w:rsidRDefault="00154773" w:rsidP="00154773">
            <w:pPr>
              <w:ind w:firstLine="288"/>
              <w:contextualSpacing/>
              <w:jc w:val="both"/>
              <w:rPr>
                <w:rFonts w:eastAsia="Calibri" w:cs="Sylfaen"/>
                <w:b/>
                <w:sz w:val="20"/>
                <w:szCs w:val="20"/>
                <w:lang w:val="af-ZA"/>
              </w:rPr>
            </w:pPr>
          </w:p>
          <w:p w:rsidR="00154773" w:rsidRPr="0053423A" w:rsidRDefault="00154773" w:rsidP="00154773">
            <w:pPr>
              <w:rPr>
                <w:rFonts w:eastAsia="Times New Roman" w:cs="Times New Roman"/>
                <w:b/>
                <w:sz w:val="20"/>
                <w:szCs w:val="20"/>
                <w:lang w:val="hy-AM"/>
              </w:rPr>
            </w:pPr>
            <w:r w:rsidRPr="0053423A">
              <w:rPr>
                <w:sz w:val="20"/>
                <w:szCs w:val="20"/>
                <w:lang w:val="af-ZA"/>
              </w:rPr>
              <w:t>Հեռավար ուսուցման համակարգի ամբողջական գործարկում:</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jc w:val="center"/>
              <w:rPr>
                <w:rFonts w:cs="Sylfaen"/>
                <w:b/>
                <w:sz w:val="20"/>
                <w:szCs w:val="20"/>
                <w:u w:val="single"/>
                <w:lang w:val="fr-FR"/>
              </w:rPr>
            </w:pPr>
            <w:r w:rsidRPr="0053423A">
              <w:rPr>
                <w:rFonts w:cs="Sylfaen"/>
                <w:b/>
                <w:sz w:val="20"/>
                <w:szCs w:val="20"/>
                <w:u w:val="single"/>
                <w:lang w:val="fr-FR"/>
              </w:rPr>
              <w:t>16.3 Փոքրաթիվ աշակերտական համակազմ ունեցող դպրոցների դասավանդող ուսուցիչների վերապատրաստում</w:t>
            </w:r>
          </w:p>
          <w:p w:rsidR="00154773" w:rsidRPr="0053423A" w:rsidRDefault="00154773" w:rsidP="00154773">
            <w:pPr>
              <w:rPr>
                <w:rFonts w:cs="Sylfaen"/>
                <w:sz w:val="20"/>
                <w:szCs w:val="20"/>
                <w:lang w:val="fr-FR"/>
              </w:rPr>
            </w:pPr>
          </w:p>
          <w:p w:rsidR="00154773" w:rsidRPr="0053423A" w:rsidRDefault="00154773" w:rsidP="001F6D5D">
            <w:pPr>
              <w:numPr>
                <w:ilvl w:val="0"/>
                <w:numId w:val="497"/>
              </w:numPr>
              <w:contextualSpacing/>
              <w:jc w:val="both"/>
              <w:rPr>
                <w:b/>
                <w:sz w:val="20"/>
                <w:szCs w:val="20"/>
                <w:lang w:val="af-ZA"/>
              </w:rPr>
            </w:pPr>
            <w:r w:rsidRPr="0053423A">
              <w:rPr>
                <w:rFonts w:cs="Sylfaen"/>
                <w:b/>
                <w:sz w:val="20"/>
                <w:szCs w:val="20"/>
              </w:rPr>
              <w:t>Միջոցառման</w:t>
            </w:r>
            <w:r w:rsidRPr="0053423A">
              <w:rPr>
                <w:b/>
                <w:sz w:val="20"/>
                <w:szCs w:val="20"/>
                <w:lang w:val="af-ZA"/>
              </w:rPr>
              <w:t xml:space="preserve"> </w:t>
            </w:r>
            <w:r w:rsidRPr="0053423A">
              <w:rPr>
                <w:b/>
                <w:sz w:val="20"/>
                <w:szCs w:val="20"/>
              </w:rPr>
              <w:t>իրականացման</w:t>
            </w:r>
            <w:r w:rsidRPr="0053423A">
              <w:rPr>
                <w:b/>
                <w:sz w:val="20"/>
                <w:szCs w:val="20"/>
                <w:lang w:val="af-ZA"/>
              </w:rPr>
              <w:t xml:space="preserve"> </w:t>
            </w:r>
            <w:r w:rsidRPr="0053423A">
              <w:rPr>
                <w:b/>
                <w:sz w:val="20"/>
                <w:szCs w:val="20"/>
              </w:rPr>
              <w:t>անհրաժեշտությունը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նպատակը՝</w:t>
            </w:r>
          </w:p>
          <w:p w:rsidR="00154773" w:rsidRPr="0053423A" w:rsidRDefault="00154773" w:rsidP="00154773">
            <w:pPr>
              <w:jc w:val="both"/>
              <w:rPr>
                <w:b/>
                <w:sz w:val="20"/>
                <w:szCs w:val="20"/>
                <w:lang w:val="af-ZA"/>
              </w:rPr>
            </w:pPr>
          </w:p>
          <w:p w:rsidR="00154773" w:rsidRPr="0053423A" w:rsidRDefault="00154773" w:rsidP="00154773">
            <w:pPr>
              <w:jc w:val="both"/>
              <w:rPr>
                <w:b/>
                <w:sz w:val="20"/>
                <w:szCs w:val="20"/>
                <w:lang w:val="af-ZA"/>
              </w:rPr>
            </w:pPr>
            <w:r w:rsidRPr="0053423A">
              <w:rPr>
                <w:rFonts w:cs="Sylfaen"/>
                <w:sz w:val="20"/>
                <w:szCs w:val="20"/>
                <w:lang w:val="fr-FR"/>
              </w:rPr>
              <w:t xml:space="preserve">    Փոքրաթիվ աշակերտական համակազմ ունեցող դպրոցների ուսուցիչները վերապատրաստման արդյունքում կյուրացնեն այն տեխնոլոգիաները, ուսցման մեթոդներն ու եղանակները, որոնց կիրառման դեպքում ուսուցումը նմանատիպ դպրոցներում արդյունավետ կկազմակերպվի:</w:t>
            </w:r>
          </w:p>
          <w:p w:rsidR="00154773" w:rsidRPr="0053423A" w:rsidRDefault="00154773" w:rsidP="00154773">
            <w:pPr>
              <w:shd w:val="clear" w:color="auto" w:fill="FFFFFF"/>
              <w:textAlignment w:val="baseline"/>
              <w:rPr>
                <w:rFonts w:eastAsia="Times New Roman" w:cs="Times New Roman"/>
                <w:b/>
                <w:sz w:val="20"/>
                <w:szCs w:val="20"/>
                <w:lang w:val="af-ZA"/>
              </w:rPr>
            </w:pPr>
            <w:r w:rsidRPr="0053423A">
              <w:rPr>
                <w:rFonts w:ascii="Calibri" w:eastAsia="Times New Roman" w:hAnsi="Calibri" w:cs="Calibri"/>
                <w:b/>
                <w:bCs/>
                <w:color w:val="4B5C6A"/>
                <w:sz w:val="20"/>
                <w:szCs w:val="20"/>
                <w:bdr w:val="none" w:sz="0" w:space="0" w:color="auto" w:frame="1"/>
                <w:lang w:val="af-ZA"/>
              </w:rPr>
              <w:t> </w:t>
            </w:r>
          </w:p>
          <w:p w:rsidR="00154773" w:rsidRPr="0053423A" w:rsidRDefault="00154773" w:rsidP="00154773">
            <w:pPr>
              <w:ind w:firstLine="288"/>
              <w:contextualSpacing/>
              <w:jc w:val="both"/>
              <w:rPr>
                <w:rFonts w:eastAsia="Calibri" w:cs="Sylfaen"/>
                <w:b/>
                <w:sz w:val="20"/>
                <w:szCs w:val="20"/>
                <w:lang w:val="af-ZA"/>
              </w:rPr>
            </w:pPr>
            <w:r w:rsidRPr="0053423A">
              <w:rPr>
                <w:rFonts w:eastAsia="Calibri" w:cs="Arian AMU"/>
                <w:b/>
                <w:sz w:val="20"/>
                <w:szCs w:val="20"/>
                <w:lang w:val="af-ZA"/>
              </w:rPr>
              <w:t xml:space="preserve">1.1.  </w:t>
            </w:r>
            <w:r w:rsidRPr="0053423A">
              <w:rPr>
                <w:rFonts w:eastAsia="Calibri" w:cs="Sylfaen"/>
                <w:b/>
                <w:sz w:val="20"/>
                <w:szCs w:val="20"/>
                <w:lang w:val="ru-RU"/>
              </w:rPr>
              <w:t>Կարգավորման</w:t>
            </w:r>
            <w:r w:rsidRPr="0053423A">
              <w:rPr>
                <w:rFonts w:eastAsia="Calibri" w:cs="Sylfaen"/>
                <w:b/>
                <w:sz w:val="20"/>
                <w:szCs w:val="20"/>
                <w:lang w:val="af-ZA"/>
              </w:rPr>
              <w:t xml:space="preserve"> </w:t>
            </w:r>
            <w:r w:rsidRPr="0053423A">
              <w:rPr>
                <w:rFonts w:eastAsia="Calibri" w:cs="Sylfaen"/>
                <w:b/>
                <w:sz w:val="20"/>
                <w:szCs w:val="20"/>
                <w:lang w:val="ru-RU"/>
              </w:rPr>
              <w:t>հարաբերությունների</w:t>
            </w:r>
            <w:r w:rsidRPr="0053423A">
              <w:rPr>
                <w:rFonts w:eastAsia="Calibri" w:cs="Sylfaen"/>
                <w:b/>
                <w:sz w:val="20"/>
                <w:szCs w:val="20"/>
                <w:lang w:val="af-ZA"/>
              </w:rPr>
              <w:t xml:space="preserve"> </w:t>
            </w:r>
            <w:r w:rsidRPr="0053423A">
              <w:rPr>
                <w:rFonts w:eastAsia="Calibri" w:cs="Sylfaen"/>
                <w:b/>
                <w:sz w:val="20"/>
                <w:szCs w:val="20"/>
                <w:lang w:val="ru-RU"/>
              </w:rPr>
              <w:t>ներկա</w:t>
            </w:r>
            <w:r w:rsidRPr="0053423A">
              <w:rPr>
                <w:rFonts w:eastAsia="Calibri" w:cs="Sylfaen"/>
                <w:b/>
                <w:sz w:val="20"/>
                <w:szCs w:val="20"/>
                <w:lang w:val="af-ZA"/>
              </w:rPr>
              <w:t xml:space="preserve"> </w:t>
            </w:r>
            <w:r w:rsidRPr="0053423A">
              <w:rPr>
                <w:rFonts w:eastAsia="Calibri" w:cs="Sylfaen"/>
                <w:b/>
                <w:sz w:val="20"/>
                <w:szCs w:val="20"/>
                <w:lang w:val="ru-RU"/>
              </w:rPr>
              <w:t>վիճակը</w:t>
            </w:r>
            <w:r w:rsidRPr="0053423A">
              <w:rPr>
                <w:rFonts w:eastAsia="Calibri" w:cs="Sylfaen"/>
                <w:b/>
                <w:sz w:val="20"/>
                <w:szCs w:val="20"/>
                <w:lang w:val="af-ZA"/>
              </w:rPr>
              <w:t xml:space="preserve"> </w:t>
            </w:r>
            <w:r w:rsidRPr="0053423A">
              <w:rPr>
                <w:rFonts w:eastAsia="Calibri" w:cs="Sylfaen"/>
                <w:b/>
                <w:sz w:val="20"/>
                <w:szCs w:val="20"/>
                <w:lang w:val="ru-RU"/>
              </w:rPr>
              <w:t>և</w:t>
            </w:r>
            <w:r w:rsidRPr="0053423A">
              <w:rPr>
                <w:rFonts w:eastAsia="Calibri" w:cs="Sylfaen"/>
                <w:b/>
                <w:sz w:val="20"/>
                <w:szCs w:val="20"/>
                <w:lang w:val="af-ZA"/>
              </w:rPr>
              <w:t xml:space="preserve"> </w:t>
            </w:r>
            <w:r w:rsidRPr="0053423A">
              <w:rPr>
                <w:rFonts w:eastAsia="Calibri" w:cs="Sylfaen"/>
                <w:b/>
                <w:sz w:val="20"/>
                <w:szCs w:val="20"/>
                <w:lang w:val="ru-RU"/>
              </w:rPr>
              <w:t>առկա</w:t>
            </w:r>
            <w:r w:rsidRPr="0053423A">
              <w:rPr>
                <w:rFonts w:eastAsia="Calibri" w:cs="Sylfaen"/>
                <w:b/>
                <w:sz w:val="20"/>
                <w:szCs w:val="20"/>
                <w:lang w:val="af-ZA"/>
              </w:rPr>
              <w:t xml:space="preserve"> </w:t>
            </w:r>
            <w:r w:rsidRPr="0053423A">
              <w:rPr>
                <w:rFonts w:eastAsia="Calibri" w:cs="Sylfaen"/>
                <w:b/>
                <w:sz w:val="20"/>
                <w:szCs w:val="20"/>
                <w:lang w:val="ru-RU"/>
              </w:rPr>
              <w:t>խնդիրները</w:t>
            </w:r>
          </w:p>
          <w:p w:rsidR="00154773" w:rsidRPr="0053423A" w:rsidRDefault="00154773" w:rsidP="00154773">
            <w:pPr>
              <w:ind w:left="720"/>
              <w:contextualSpacing/>
              <w:jc w:val="both"/>
              <w:rPr>
                <w:b/>
                <w:sz w:val="20"/>
                <w:szCs w:val="20"/>
                <w:lang w:val="af-ZA"/>
              </w:rPr>
            </w:pPr>
          </w:p>
          <w:p w:rsidR="00154773" w:rsidRPr="0053423A" w:rsidRDefault="00154773" w:rsidP="00154773">
            <w:pPr>
              <w:ind w:firstLine="360"/>
              <w:contextualSpacing/>
              <w:jc w:val="both"/>
              <w:rPr>
                <w:rFonts w:cs="Sylfaen"/>
                <w:sz w:val="20"/>
                <w:szCs w:val="20"/>
                <w:lang w:val="fr-FR"/>
              </w:rPr>
            </w:pPr>
            <w:r w:rsidRPr="0053423A">
              <w:rPr>
                <w:rFonts w:cs="Sylfaen"/>
                <w:sz w:val="20"/>
                <w:szCs w:val="20"/>
                <w:lang w:val="fr-FR"/>
              </w:rPr>
              <w:t>Փոքրաթիվ աշակերտական համակազմ ունեցող դպրոցների ուսուցիչները նախատեսվող վերապատրաստման դասըթացներ չեն անցնում:</w:t>
            </w:r>
          </w:p>
          <w:p w:rsidR="00154773" w:rsidRPr="0053423A" w:rsidRDefault="00154773" w:rsidP="00154773">
            <w:pPr>
              <w:ind w:left="720"/>
              <w:contextualSpacing/>
              <w:jc w:val="both"/>
              <w:rPr>
                <w:sz w:val="20"/>
                <w:szCs w:val="20"/>
                <w:lang w:val="af-ZA"/>
              </w:rPr>
            </w:pPr>
          </w:p>
          <w:p w:rsidR="00154773" w:rsidRPr="0053423A" w:rsidRDefault="00154773" w:rsidP="00154773">
            <w:pPr>
              <w:ind w:left="284"/>
              <w:contextualSpacing/>
              <w:jc w:val="both"/>
              <w:rPr>
                <w:rFonts w:eastAsia="Calibri" w:cs="Sylfaen"/>
                <w:sz w:val="20"/>
                <w:szCs w:val="20"/>
                <w:lang w:val="af-ZA"/>
              </w:rPr>
            </w:pPr>
            <w:r w:rsidRPr="0053423A">
              <w:rPr>
                <w:rFonts w:eastAsia="Calibri" w:cs="Sylfaen"/>
                <w:b/>
                <w:sz w:val="20"/>
                <w:szCs w:val="20"/>
                <w:lang w:val="af-ZA"/>
              </w:rPr>
              <w:t xml:space="preserve">1.2. </w:t>
            </w:r>
            <w:r w:rsidRPr="0053423A">
              <w:rPr>
                <w:rFonts w:eastAsia="Calibri" w:cs="Sylfaen"/>
                <w:b/>
                <w:sz w:val="20"/>
                <w:szCs w:val="20"/>
              </w:rPr>
              <w:t>առկա</w:t>
            </w:r>
            <w:r w:rsidRPr="0053423A">
              <w:rPr>
                <w:rFonts w:eastAsia="Calibri"/>
                <w:b/>
                <w:sz w:val="20"/>
                <w:szCs w:val="20"/>
                <w:lang w:val="af-ZA"/>
              </w:rPr>
              <w:t xml:space="preserve"> </w:t>
            </w:r>
            <w:r w:rsidRPr="0053423A">
              <w:rPr>
                <w:rFonts w:eastAsia="Calibri"/>
                <w:b/>
                <w:sz w:val="20"/>
                <w:szCs w:val="20"/>
              </w:rPr>
              <w:t>խնդիրների</w:t>
            </w:r>
            <w:r w:rsidRPr="0053423A">
              <w:rPr>
                <w:rFonts w:eastAsia="Calibri"/>
                <w:b/>
                <w:sz w:val="20"/>
                <w:szCs w:val="20"/>
                <w:lang w:val="af-ZA"/>
              </w:rPr>
              <w:t xml:space="preserve"> </w:t>
            </w:r>
            <w:r w:rsidRPr="0053423A">
              <w:rPr>
                <w:rFonts w:eastAsia="Calibri"/>
                <w:b/>
                <w:sz w:val="20"/>
                <w:szCs w:val="20"/>
              </w:rPr>
              <w:t>առաջարկվող</w:t>
            </w:r>
            <w:r w:rsidRPr="0053423A">
              <w:rPr>
                <w:rFonts w:eastAsia="Calibri"/>
                <w:b/>
                <w:sz w:val="20"/>
                <w:szCs w:val="20"/>
                <w:lang w:val="af-ZA"/>
              </w:rPr>
              <w:t xml:space="preserve"> </w:t>
            </w:r>
            <w:r w:rsidRPr="0053423A">
              <w:rPr>
                <w:rFonts w:eastAsia="Calibri"/>
                <w:b/>
                <w:sz w:val="20"/>
                <w:szCs w:val="20"/>
              </w:rPr>
              <w:t>լուծումները</w:t>
            </w:r>
          </w:p>
          <w:p w:rsidR="00154773" w:rsidRPr="0053423A" w:rsidRDefault="00154773" w:rsidP="00154773">
            <w:pPr>
              <w:ind w:left="284"/>
              <w:contextualSpacing/>
              <w:jc w:val="both"/>
              <w:rPr>
                <w:rFonts w:eastAsia="Calibri" w:cs="Sylfaen"/>
                <w:sz w:val="20"/>
                <w:szCs w:val="20"/>
                <w:lang w:val="af-ZA"/>
              </w:rPr>
            </w:pPr>
          </w:p>
          <w:p w:rsidR="00154773" w:rsidRPr="0053423A" w:rsidRDefault="00154773" w:rsidP="00154773">
            <w:pPr>
              <w:tabs>
                <w:tab w:val="left" w:pos="2790"/>
              </w:tabs>
              <w:ind w:firstLine="450"/>
              <w:contextualSpacing/>
              <w:jc w:val="both"/>
              <w:rPr>
                <w:rFonts w:cs="Sylfaen"/>
                <w:sz w:val="20"/>
                <w:szCs w:val="20"/>
                <w:lang w:val="fr-FR"/>
              </w:rPr>
            </w:pPr>
            <w:r w:rsidRPr="0053423A">
              <w:rPr>
                <w:rFonts w:cs="Sylfaen"/>
                <w:sz w:val="20"/>
                <w:szCs w:val="20"/>
                <w:lang w:val="fr-FR"/>
              </w:rPr>
              <w:t>Փոքրաթիվ աշակերտական համակազմ ունեցող դպրոցների ուսուցիչները կվերապատրաստվեն նախապես մշակված վերապատրաստման անհատական ծրագրով:</w:t>
            </w:r>
          </w:p>
          <w:p w:rsidR="00154773" w:rsidRPr="0053423A" w:rsidRDefault="00154773" w:rsidP="00154773">
            <w:pPr>
              <w:tabs>
                <w:tab w:val="left" w:pos="2790"/>
              </w:tabs>
              <w:ind w:firstLine="450"/>
              <w:contextualSpacing/>
              <w:jc w:val="both"/>
              <w:rPr>
                <w:sz w:val="20"/>
                <w:szCs w:val="20"/>
                <w:lang w:val="af-ZA"/>
              </w:rPr>
            </w:pPr>
          </w:p>
          <w:p w:rsidR="00154773" w:rsidRPr="0053423A" w:rsidRDefault="00154773" w:rsidP="001F6D5D">
            <w:pPr>
              <w:numPr>
                <w:ilvl w:val="0"/>
                <w:numId w:val="497"/>
              </w:numPr>
              <w:tabs>
                <w:tab w:val="left" w:pos="2790"/>
              </w:tabs>
              <w:contextualSpacing/>
              <w:jc w:val="both"/>
              <w:rPr>
                <w:rFonts w:cs="Sylfaen"/>
                <w:sz w:val="20"/>
                <w:szCs w:val="20"/>
                <w:lang w:val="af-ZA"/>
              </w:rPr>
            </w:pPr>
            <w:r w:rsidRPr="0053423A">
              <w:rPr>
                <w:b/>
                <w:sz w:val="20"/>
                <w:szCs w:val="20"/>
              </w:rPr>
              <w:t>Միջոցառման</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r w:rsidRPr="0053423A">
              <w:rPr>
                <w:sz w:val="20"/>
                <w:szCs w:val="20"/>
                <w:lang w:val="af-ZA"/>
              </w:rPr>
              <w:t xml:space="preserve"> </w:t>
            </w:r>
          </w:p>
          <w:p w:rsidR="00154773" w:rsidRPr="0053423A" w:rsidRDefault="00154773" w:rsidP="00154773">
            <w:pPr>
              <w:tabs>
                <w:tab w:val="left" w:pos="2790"/>
              </w:tabs>
              <w:ind w:left="720"/>
              <w:contextualSpacing/>
              <w:jc w:val="both"/>
              <w:rPr>
                <w:rFonts w:cs="Sylfaen"/>
                <w:sz w:val="20"/>
                <w:szCs w:val="20"/>
                <w:lang w:val="af-ZA"/>
              </w:rPr>
            </w:pPr>
          </w:p>
          <w:p w:rsidR="00154773" w:rsidRPr="0053423A" w:rsidRDefault="00154773" w:rsidP="00154773">
            <w:pPr>
              <w:tabs>
                <w:tab w:val="left" w:pos="2790"/>
              </w:tabs>
              <w:ind w:firstLine="450"/>
              <w:jc w:val="both"/>
              <w:rPr>
                <w:sz w:val="20"/>
                <w:szCs w:val="20"/>
                <w:lang w:val="af-ZA"/>
              </w:rPr>
            </w:pPr>
            <w:r w:rsidRPr="0053423A">
              <w:rPr>
                <w:sz w:val="20"/>
                <w:szCs w:val="20"/>
                <w:lang w:val="af-ZA"/>
              </w:rPr>
              <w:t>Վերապատրաստման արդյունքում ուսուցիչները պատրաստ կլինեն այլընտրանքային տարբերակով կազմակերպել ուսումնական գործընթաց:</w:t>
            </w:r>
          </w:p>
          <w:p w:rsidR="00154773" w:rsidRPr="0053423A" w:rsidRDefault="00154773" w:rsidP="00154773">
            <w:pPr>
              <w:jc w:val="center"/>
              <w:rPr>
                <w:rFonts w:eastAsia="Times New Roman" w:cs="Times New Roman"/>
                <w:b/>
                <w:sz w:val="20"/>
                <w:szCs w:val="20"/>
                <w:lang w:val="af-ZA"/>
              </w:rPr>
            </w:pPr>
          </w:p>
        </w:tc>
      </w:tr>
      <w:tr w:rsidR="00154773" w:rsidRPr="00DE2EF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17</w:t>
            </w:r>
          </w:p>
        </w:tc>
        <w:tc>
          <w:tcPr>
            <w:tcW w:w="10620" w:type="dxa"/>
          </w:tcPr>
          <w:p w:rsidR="00154773" w:rsidRPr="0053423A" w:rsidRDefault="00154773" w:rsidP="00154773">
            <w:pPr>
              <w:spacing w:before="120" w:after="120"/>
              <w:jc w:val="center"/>
              <w:rPr>
                <w:rFonts w:eastAsia="Times New Roman" w:cs="Times New Roman"/>
                <w:b/>
                <w:sz w:val="20"/>
                <w:szCs w:val="20"/>
                <w:highlight w:val="yellow"/>
                <w:u w:val="single"/>
                <w:lang w:val="af-ZA"/>
              </w:rPr>
            </w:pPr>
            <w:r w:rsidRPr="0053423A">
              <w:rPr>
                <w:rFonts w:eastAsia="Calibri" w:cs="Sylfaen"/>
                <w:b/>
                <w:sz w:val="20"/>
                <w:szCs w:val="20"/>
                <w:u w:val="single"/>
                <w:lang w:val="hy-AM"/>
              </w:rPr>
              <w:t xml:space="preserve">17.1. </w:t>
            </w:r>
            <w:r w:rsidRPr="0053423A">
              <w:rPr>
                <w:rFonts w:eastAsia="Calibri" w:cs="Sylfaen"/>
                <w:b/>
                <w:color w:val="000000" w:themeColor="text1"/>
                <w:sz w:val="20"/>
                <w:szCs w:val="20"/>
                <w:u w:val="single"/>
                <w:lang w:val="hy-AM"/>
              </w:rPr>
              <w:t xml:space="preserve">Համընդհանուր ներառական հանրակրթության ներդնում, </w:t>
            </w:r>
            <w:r w:rsidRPr="0053423A">
              <w:rPr>
                <w:rFonts w:eastAsia="Times New Roman" w:cs="Times New Roman"/>
                <w:b/>
                <w:sz w:val="20"/>
                <w:szCs w:val="20"/>
                <w:u w:val="single"/>
                <w:lang w:val="hy-AM"/>
              </w:rPr>
              <w:t>այդ թվում՝ հատուկ դպրոցների վերակազմակերպման միջոցով Տարածքային մանկավարժահոգեբանական աջակցության կենտրոններ հիմնադրելու</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մասին</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ՀՀ</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կառավարության</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որոշումների</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նախագծերի</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ներկայացում</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ՀՀ</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վարչապետի</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աշխատակազմ</w:t>
            </w:r>
          </w:p>
          <w:p w:rsidR="00154773" w:rsidRPr="0053423A" w:rsidRDefault="00154773" w:rsidP="00154773">
            <w:pPr>
              <w:spacing w:before="120" w:after="120"/>
              <w:jc w:val="both"/>
              <w:rPr>
                <w:rFonts w:eastAsia="Times New Roman" w:cs="Times New Roman"/>
                <w:b/>
                <w:sz w:val="20"/>
                <w:szCs w:val="20"/>
                <w:highlight w:val="yellow"/>
                <w:u w:val="single"/>
                <w:lang w:val="hy-AM"/>
              </w:rPr>
            </w:pPr>
          </w:p>
          <w:p w:rsidR="00154773" w:rsidRPr="0053423A" w:rsidRDefault="00154773" w:rsidP="00154773">
            <w:pPr>
              <w:tabs>
                <w:tab w:val="left" w:pos="2694"/>
              </w:tabs>
              <w:ind w:firstLine="284"/>
              <w:contextualSpacing/>
              <w:rPr>
                <w:b/>
                <w:color w:val="000000" w:themeColor="text1"/>
                <w:sz w:val="20"/>
                <w:szCs w:val="20"/>
                <w:lang w:val="hy-AM"/>
              </w:rPr>
            </w:pPr>
            <w:r w:rsidRPr="0053423A">
              <w:rPr>
                <w:b/>
                <w:color w:val="000000" w:themeColor="text1"/>
                <w:sz w:val="20"/>
                <w:szCs w:val="20"/>
                <w:lang w:val="hy-AM"/>
              </w:rPr>
              <w:t>1. Միջոցառման իրականացման անհրաժեշտությունը և նպատակը</w:t>
            </w:r>
          </w:p>
          <w:p w:rsidR="00154773" w:rsidRPr="0053423A" w:rsidRDefault="00154773" w:rsidP="00154773">
            <w:pPr>
              <w:tabs>
                <w:tab w:val="left" w:pos="2694"/>
              </w:tabs>
              <w:ind w:firstLine="284"/>
              <w:contextualSpacing/>
              <w:jc w:val="both"/>
              <w:rPr>
                <w:rFonts w:eastAsia="Calibri" w:cs="Sylfaen"/>
                <w:color w:val="000000" w:themeColor="text1"/>
                <w:sz w:val="20"/>
                <w:szCs w:val="20"/>
                <w:lang w:val="hy-AM"/>
              </w:rPr>
            </w:pPr>
          </w:p>
          <w:p w:rsidR="00154773" w:rsidRPr="0053423A" w:rsidRDefault="00154773" w:rsidP="00154773">
            <w:pPr>
              <w:ind w:firstLine="284"/>
              <w:contextualSpacing/>
              <w:jc w:val="both"/>
              <w:rPr>
                <w:rFonts w:eastAsia="Times New Roman" w:cs="Sylfaen"/>
                <w:sz w:val="20"/>
                <w:szCs w:val="20"/>
                <w:lang w:val="hy-AM"/>
              </w:rPr>
            </w:pPr>
            <w:r w:rsidRPr="0053423A">
              <w:rPr>
                <w:rFonts w:eastAsia="Times New Roman" w:cs="Sylfaen"/>
                <w:sz w:val="20"/>
                <w:szCs w:val="20"/>
                <w:lang w:val="hy-AM"/>
              </w:rPr>
              <w:t>Միջոցառման գլխավոր նպատակն է որակյալ կրթության հավասար մատչելիության և ընդգրկվածության ապահովումը:</w:t>
            </w:r>
          </w:p>
          <w:p w:rsidR="00154773" w:rsidRPr="0053423A" w:rsidRDefault="00154773" w:rsidP="00154773">
            <w:pPr>
              <w:tabs>
                <w:tab w:val="left" w:pos="2694"/>
              </w:tabs>
              <w:ind w:firstLine="284"/>
              <w:contextualSpacing/>
              <w:jc w:val="both"/>
              <w:rPr>
                <w:rFonts w:eastAsia="Calibri" w:cs="Sylfaen"/>
                <w:color w:val="000000" w:themeColor="text1"/>
                <w:sz w:val="20"/>
                <w:szCs w:val="20"/>
                <w:lang w:val="hy-AM"/>
              </w:rPr>
            </w:pPr>
            <w:r w:rsidRPr="0053423A">
              <w:rPr>
                <w:rFonts w:eastAsia="Calibri" w:cs="Sylfaen"/>
                <w:color w:val="000000" w:themeColor="text1"/>
                <w:sz w:val="20"/>
                <w:szCs w:val="20"/>
                <w:lang w:val="hy-AM"/>
              </w:rPr>
              <w:t>Անհրաժեշտությունը</w:t>
            </w:r>
            <w:r w:rsidRPr="0053423A">
              <w:rPr>
                <w:rFonts w:eastAsia="Calibri" w:cs="Sylfaen"/>
                <w:color w:val="000000" w:themeColor="text1"/>
                <w:sz w:val="20"/>
                <w:szCs w:val="20"/>
                <w:lang w:val="pt-BR"/>
              </w:rPr>
              <w:t xml:space="preserve"> </w:t>
            </w:r>
            <w:r w:rsidRPr="0053423A">
              <w:rPr>
                <w:rFonts w:eastAsia="Calibri" w:cs="Sylfaen"/>
                <w:color w:val="000000" w:themeColor="text1"/>
                <w:sz w:val="20"/>
                <w:szCs w:val="20"/>
                <w:lang w:val="hy-AM"/>
              </w:rPr>
              <w:t>բխում</w:t>
            </w:r>
            <w:r w:rsidRPr="0053423A">
              <w:rPr>
                <w:rFonts w:eastAsia="Calibri" w:cs="Sylfaen"/>
                <w:color w:val="000000" w:themeColor="text1"/>
                <w:sz w:val="20"/>
                <w:szCs w:val="20"/>
                <w:lang w:val="pt-BR"/>
              </w:rPr>
              <w:t xml:space="preserve"> </w:t>
            </w:r>
            <w:r w:rsidRPr="0053423A">
              <w:rPr>
                <w:rFonts w:eastAsia="Calibri" w:cs="Sylfaen"/>
                <w:color w:val="000000" w:themeColor="text1"/>
                <w:sz w:val="20"/>
                <w:szCs w:val="20"/>
                <w:lang w:val="hy-AM"/>
              </w:rPr>
              <w:t>է</w:t>
            </w:r>
            <w:r w:rsidRPr="0053423A">
              <w:rPr>
                <w:rFonts w:eastAsia="Calibri" w:cs="Sylfaen"/>
                <w:color w:val="000000" w:themeColor="text1"/>
                <w:sz w:val="20"/>
                <w:szCs w:val="20"/>
                <w:lang w:val="pt-BR"/>
              </w:rPr>
              <w:t xml:space="preserve"> </w:t>
            </w:r>
            <w:r w:rsidRPr="0053423A">
              <w:rPr>
                <w:rFonts w:eastAsia="Calibri" w:cs="Sylfaen"/>
                <w:color w:val="000000" w:themeColor="text1"/>
                <w:sz w:val="20"/>
                <w:szCs w:val="20"/>
                <w:lang w:val="hy-AM"/>
              </w:rPr>
              <w:t xml:space="preserve">«Հանրակրթության մասին» ՀՀ օրենքում լրացումներ և փոփոխությունններ կատարելու մասին» ՀՀ օրենքի (ՀՕ-200-Ն) 21-րդ հոդվածի, ՀՀ կառավարության 2017 թվականի փետրվարի 16-ի N141-Ն որոշման, ՀՀ կառավարության 2016 թվականի փետրվարի 18-ի N6 </w:t>
            </w:r>
            <w:r w:rsidRPr="0053423A">
              <w:rPr>
                <w:rFonts w:eastAsia="Calibri" w:cs="Sylfaen"/>
                <w:color w:val="000000" w:themeColor="text1"/>
                <w:spacing w:val="-8"/>
                <w:sz w:val="20"/>
                <w:szCs w:val="20"/>
                <w:lang w:val="hy-AM"/>
              </w:rPr>
              <w:t>արձա</w:t>
            </w:r>
            <w:r w:rsidRPr="0053423A">
              <w:rPr>
                <w:rFonts w:eastAsia="Calibri" w:cs="Sylfaen"/>
                <w:color w:val="000000" w:themeColor="text1"/>
                <w:spacing w:val="-8"/>
                <w:sz w:val="20"/>
                <w:szCs w:val="20"/>
                <w:lang w:val="hy-AM"/>
              </w:rPr>
              <w:softHyphen/>
              <w:t xml:space="preserve">նագրային որոշմամբ հավանության արժանացած համընդհանուր ներառական </w:t>
            </w:r>
            <w:r w:rsidRPr="0053423A">
              <w:rPr>
                <w:rFonts w:eastAsia="Calibri" w:cs="Sylfaen"/>
                <w:color w:val="000000" w:themeColor="text1"/>
                <w:sz w:val="20"/>
                <w:szCs w:val="20"/>
                <w:lang w:val="hy-AM"/>
              </w:rPr>
              <w:t>կրթության համակարգի ներդրման գործողու</w:t>
            </w:r>
            <w:r w:rsidRPr="0053423A">
              <w:rPr>
                <w:rFonts w:eastAsia="Calibri" w:cs="Sylfaen"/>
                <w:color w:val="000000" w:themeColor="text1"/>
                <w:sz w:val="20"/>
                <w:szCs w:val="20"/>
                <w:lang w:val="hy-AM"/>
              </w:rPr>
              <w:softHyphen/>
              <w:t>թյուն</w:t>
            </w:r>
            <w:r w:rsidRPr="0053423A">
              <w:rPr>
                <w:rFonts w:eastAsia="Calibri" w:cs="Sylfaen"/>
                <w:color w:val="000000" w:themeColor="text1"/>
                <w:sz w:val="20"/>
                <w:szCs w:val="20"/>
                <w:lang w:val="hy-AM"/>
              </w:rPr>
              <w:softHyphen/>
              <w:t xml:space="preserve">ների պլանի և ժամանակացույցի </w:t>
            </w:r>
            <w:r w:rsidRPr="0053423A">
              <w:rPr>
                <w:rFonts w:eastAsia="Calibri" w:cs="Sylfaen"/>
                <w:color w:val="000000" w:themeColor="text1"/>
                <w:sz w:val="20"/>
                <w:szCs w:val="20"/>
                <w:lang w:val="pt-BR"/>
              </w:rPr>
              <w:t>1</w:t>
            </w:r>
            <w:r w:rsidRPr="0053423A">
              <w:rPr>
                <w:rFonts w:eastAsia="Calibri" w:cs="Sylfaen"/>
                <w:color w:val="000000" w:themeColor="text1"/>
                <w:sz w:val="20"/>
                <w:szCs w:val="20"/>
                <w:lang w:val="hy-AM"/>
              </w:rPr>
              <w:t xml:space="preserve">8-44-րդ կետերի պահանջներից, ինչպես նաև </w:t>
            </w:r>
            <w:r w:rsidRPr="0053423A">
              <w:rPr>
                <w:spacing w:val="-4"/>
                <w:sz w:val="20"/>
                <w:szCs w:val="20"/>
                <w:lang w:val="hy-AM"/>
              </w:rPr>
              <w:t xml:space="preserve"> ՀՀ ԱԺ 2019 թվականի փետրվարի 14-ի ԱԺՈ-002-Ն որոշմամբ հավանության արժանացած ՀՀ կառավարության ծրագրի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xml:space="preserve">»  </w:t>
            </w:r>
            <w:r w:rsidRPr="0053423A">
              <w:rPr>
                <w:rFonts w:eastAsia="Calibri" w:cs="Sylfaen"/>
                <w:sz w:val="20"/>
                <w:szCs w:val="20"/>
                <w:lang w:val="hy-AM"/>
              </w:rPr>
              <w:t xml:space="preserve">բաժնի </w:t>
            </w:r>
            <w:r w:rsidRPr="0053423A">
              <w:rPr>
                <w:rFonts w:eastAsia="Calibri" w:cs="Arian AMU"/>
                <w:color w:val="000000" w:themeColor="text1"/>
                <w:sz w:val="20"/>
                <w:szCs w:val="20"/>
                <w:lang w:val="hy-AM"/>
              </w:rPr>
              <w:t xml:space="preserve">4-րդ պարբերությունից` </w:t>
            </w:r>
            <w:r w:rsidRPr="0053423A">
              <w:rPr>
                <w:rFonts w:cs="Arial"/>
                <w:color w:val="000000" w:themeColor="text1"/>
                <w:sz w:val="20"/>
                <w:szCs w:val="20"/>
                <w:lang w:val="hy-AM"/>
              </w:rPr>
              <w:t>ապահովելու համար անցումը</w:t>
            </w:r>
            <w:r w:rsidRPr="0053423A">
              <w:rPr>
                <w:color w:val="000000" w:themeColor="text1"/>
                <w:sz w:val="20"/>
                <w:szCs w:val="20"/>
                <w:lang w:val="hy-AM"/>
              </w:rPr>
              <w:t xml:space="preserve"> </w:t>
            </w:r>
            <w:r w:rsidRPr="0053423A">
              <w:rPr>
                <w:rFonts w:cs="Arial"/>
                <w:color w:val="000000" w:themeColor="text1"/>
                <w:sz w:val="20"/>
                <w:szCs w:val="20"/>
                <w:lang w:val="hy-AM"/>
              </w:rPr>
              <w:t>համընդհանուր</w:t>
            </w:r>
            <w:r w:rsidRPr="0053423A">
              <w:rPr>
                <w:color w:val="000000" w:themeColor="text1"/>
                <w:sz w:val="20"/>
                <w:szCs w:val="20"/>
                <w:lang w:val="hy-AM"/>
              </w:rPr>
              <w:t xml:space="preserve"> </w:t>
            </w:r>
            <w:r w:rsidRPr="0053423A">
              <w:rPr>
                <w:rFonts w:cs="Arial"/>
                <w:color w:val="000000" w:themeColor="text1"/>
                <w:sz w:val="20"/>
                <w:szCs w:val="20"/>
                <w:lang w:val="hy-AM"/>
              </w:rPr>
              <w:t>ներառական</w:t>
            </w:r>
            <w:r w:rsidRPr="0053423A">
              <w:rPr>
                <w:color w:val="000000" w:themeColor="text1"/>
                <w:sz w:val="20"/>
                <w:szCs w:val="20"/>
                <w:lang w:val="hy-AM"/>
              </w:rPr>
              <w:t xml:space="preserve"> </w:t>
            </w:r>
            <w:r w:rsidRPr="0053423A">
              <w:rPr>
                <w:rFonts w:cs="Arial"/>
                <w:color w:val="000000" w:themeColor="text1"/>
                <w:sz w:val="20"/>
                <w:szCs w:val="20"/>
                <w:lang w:val="hy-AM"/>
              </w:rPr>
              <w:t>հանրակրթությանը</w:t>
            </w:r>
            <w:r w:rsidRPr="0053423A">
              <w:rPr>
                <w:color w:val="000000" w:themeColor="text1"/>
                <w:sz w:val="20"/>
                <w:szCs w:val="20"/>
                <w:lang w:val="hy-AM"/>
              </w:rPr>
              <w:t xml:space="preserve"> </w:t>
            </w:r>
            <w:r w:rsidRPr="0053423A">
              <w:rPr>
                <w:rFonts w:cs="Arial"/>
                <w:color w:val="000000" w:themeColor="text1"/>
                <w:sz w:val="20"/>
                <w:szCs w:val="20"/>
                <w:lang w:val="hy-AM"/>
              </w:rPr>
              <w:t>հանրապետության</w:t>
            </w:r>
            <w:r w:rsidRPr="0053423A">
              <w:rPr>
                <w:color w:val="000000" w:themeColor="text1"/>
                <w:sz w:val="20"/>
                <w:szCs w:val="20"/>
                <w:lang w:val="hy-AM"/>
              </w:rPr>
              <w:t xml:space="preserve"> </w:t>
            </w:r>
            <w:r w:rsidRPr="0053423A">
              <w:rPr>
                <w:rFonts w:cs="Arial"/>
                <w:color w:val="000000" w:themeColor="text1"/>
                <w:sz w:val="20"/>
                <w:szCs w:val="20"/>
                <w:lang w:val="hy-AM"/>
              </w:rPr>
              <w:t>բոլոր</w:t>
            </w:r>
            <w:r w:rsidRPr="0053423A">
              <w:rPr>
                <w:color w:val="000000" w:themeColor="text1"/>
                <w:sz w:val="20"/>
                <w:szCs w:val="20"/>
                <w:lang w:val="hy-AM"/>
              </w:rPr>
              <w:t xml:space="preserve"> </w:t>
            </w:r>
            <w:r w:rsidRPr="0053423A">
              <w:rPr>
                <w:rFonts w:cs="Arial"/>
                <w:color w:val="000000" w:themeColor="text1"/>
                <w:sz w:val="20"/>
                <w:szCs w:val="20"/>
                <w:lang w:val="hy-AM"/>
              </w:rPr>
              <w:t>մարզերում</w:t>
            </w:r>
            <w:r w:rsidRPr="0053423A">
              <w:rPr>
                <w:color w:val="000000" w:themeColor="text1"/>
                <w:sz w:val="20"/>
                <w:szCs w:val="20"/>
                <w:lang w:val="hy-AM"/>
              </w:rPr>
              <w:t xml:space="preserve">  </w:t>
            </w:r>
            <w:r w:rsidRPr="0053423A">
              <w:rPr>
                <w:rFonts w:cs="Arial"/>
                <w:color w:val="000000" w:themeColor="text1"/>
                <w:sz w:val="20"/>
                <w:szCs w:val="20"/>
                <w:lang w:val="hy-AM"/>
              </w:rPr>
              <w:t xml:space="preserve">և </w:t>
            </w:r>
            <w:r w:rsidRPr="0053423A">
              <w:rPr>
                <w:color w:val="000000" w:themeColor="text1"/>
                <w:sz w:val="20"/>
                <w:szCs w:val="20"/>
                <w:lang w:val="hy-AM"/>
              </w:rPr>
              <w:t xml:space="preserve"> </w:t>
            </w:r>
            <w:r w:rsidRPr="0053423A">
              <w:rPr>
                <w:rFonts w:cs="Arial"/>
                <w:color w:val="000000" w:themeColor="text1"/>
                <w:sz w:val="20"/>
                <w:szCs w:val="20"/>
                <w:lang w:val="hy-AM"/>
              </w:rPr>
              <w:t>Երևան</w:t>
            </w:r>
            <w:r w:rsidRPr="0053423A">
              <w:rPr>
                <w:color w:val="000000" w:themeColor="text1"/>
                <w:sz w:val="20"/>
                <w:szCs w:val="20"/>
                <w:lang w:val="hy-AM"/>
              </w:rPr>
              <w:t xml:space="preserve">  </w:t>
            </w:r>
            <w:r w:rsidRPr="0053423A">
              <w:rPr>
                <w:rFonts w:cs="Arial"/>
                <w:color w:val="000000" w:themeColor="text1"/>
                <w:sz w:val="20"/>
                <w:szCs w:val="20"/>
                <w:lang w:val="hy-AM"/>
              </w:rPr>
              <w:t>քաղաքում</w:t>
            </w:r>
            <w:r w:rsidRPr="0053423A">
              <w:rPr>
                <w:color w:val="000000" w:themeColor="text1"/>
                <w:sz w:val="20"/>
                <w:szCs w:val="20"/>
                <w:lang w:val="hy-AM"/>
              </w:rPr>
              <w:t xml:space="preserve">  </w:t>
            </w:r>
            <w:r w:rsidRPr="0053423A">
              <w:rPr>
                <w:rFonts w:cs="Arial"/>
                <w:color w:val="000000" w:themeColor="text1"/>
                <w:sz w:val="20"/>
                <w:szCs w:val="20"/>
                <w:lang w:val="hy-AM"/>
              </w:rPr>
              <w:t>մինչև</w:t>
            </w:r>
            <w:r w:rsidRPr="0053423A">
              <w:rPr>
                <w:color w:val="000000" w:themeColor="text1"/>
                <w:sz w:val="20"/>
                <w:szCs w:val="20"/>
                <w:lang w:val="hy-AM"/>
              </w:rPr>
              <w:t xml:space="preserve">  2023 </w:t>
            </w:r>
            <w:r w:rsidRPr="0053423A">
              <w:rPr>
                <w:rFonts w:cs="Arial"/>
                <w:color w:val="000000" w:themeColor="text1"/>
                <w:sz w:val="20"/>
                <w:szCs w:val="20"/>
                <w:lang w:val="hy-AM"/>
              </w:rPr>
              <w:t>թվականը</w:t>
            </w:r>
            <w:r w:rsidRPr="0053423A">
              <w:rPr>
                <w:rFonts w:eastAsia="Calibri" w:cs="Sylfaen"/>
                <w:color w:val="000000" w:themeColor="text1"/>
                <w:sz w:val="20"/>
                <w:szCs w:val="20"/>
                <w:lang w:val="hy-AM"/>
              </w:rPr>
              <w:t xml:space="preserve">: </w:t>
            </w:r>
          </w:p>
          <w:p w:rsidR="00154773" w:rsidRPr="0053423A" w:rsidRDefault="00154773" w:rsidP="00154773">
            <w:pPr>
              <w:tabs>
                <w:tab w:val="left" w:pos="2694"/>
              </w:tabs>
              <w:ind w:firstLine="284"/>
              <w:contextualSpacing/>
              <w:jc w:val="both"/>
              <w:rPr>
                <w:rFonts w:eastAsia="Calibri" w:cs="Sylfaen"/>
                <w:color w:val="000000" w:themeColor="text1"/>
                <w:sz w:val="20"/>
                <w:szCs w:val="20"/>
                <w:lang w:val="hy-AM"/>
              </w:rPr>
            </w:pPr>
          </w:p>
          <w:p w:rsidR="00154773" w:rsidRPr="0053423A" w:rsidRDefault="00154773" w:rsidP="00154773">
            <w:pPr>
              <w:tabs>
                <w:tab w:val="left" w:pos="2694"/>
              </w:tabs>
              <w:ind w:firstLine="284"/>
              <w:contextualSpacing/>
              <w:jc w:val="both"/>
              <w:rPr>
                <w:rFonts w:eastAsia="Calibri" w:cs="Sylfaen"/>
                <w:color w:val="000000" w:themeColor="text1"/>
                <w:sz w:val="20"/>
                <w:szCs w:val="20"/>
                <w:lang w:val="hy-AM"/>
              </w:rPr>
            </w:pPr>
          </w:p>
          <w:p w:rsidR="00154773" w:rsidRPr="0053423A" w:rsidRDefault="00154773" w:rsidP="00154773">
            <w:pPr>
              <w:tabs>
                <w:tab w:val="left" w:pos="2694"/>
              </w:tabs>
              <w:ind w:firstLine="284"/>
              <w:contextualSpacing/>
              <w:jc w:val="both"/>
              <w:rPr>
                <w:rFonts w:eastAsia="Calibri" w:cs="Sylfaen"/>
                <w:color w:val="000000" w:themeColor="text1"/>
                <w:sz w:val="20"/>
                <w:szCs w:val="20"/>
                <w:lang w:val="hy-AM"/>
              </w:rPr>
            </w:pPr>
          </w:p>
          <w:p w:rsidR="00154773" w:rsidRPr="0053423A" w:rsidRDefault="00154773" w:rsidP="00154773">
            <w:pPr>
              <w:tabs>
                <w:tab w:val="left" w:pos="2694"/>
              </w:tabs>
              <w:ind w:firstLine="284"/>
              <w:contextualSpacing/>
              <w:jc w:val="both"/>
              <w:rPr>
                <w:b/>
                <w:color w:val="000000" w:themeColor="text1"/>
                <w:sz w:val="20"/>
                <w:szCs w:val="20"/>
                <w:lang w:val="hy-AM"/>
              </w:rPr>
            </w:pPr>
            <w:r w:rsidRPr="0053423A">
              <w:rPr>
                <w:b/>
                <w:color w:val="000000" w:themeColor="text1"/>
                <w:sz w:val="20"/>
                <w:szCs w:val="20"/>
                <w:lang w:val="hy-AM"/>
              </w:rPr>
              <w:t>1.1. կարգավորման հարաբերությունների ներկա վիճակը և առկա խնդիրները</w:t>
            </w:r>
          </w:p>
          <w:p w:rsidR="00154773" w:rsidRPr="0053423A" w:rsidRDefault="00154773" w:rsidP="00154773">
            <w:pPr>
              <w:tabs>
                <w:tab w:val="left" w:pos="2694"/>
              </w:tabs>
              <w:ind w:firstLine="284"/>
              <w:contextualSpacing/>
              <w:jc w:val="both"/>
              <w:rPr>
                <w:color w:val="000000" w:themeColor="text1"/>
                <w:sz w:val="20"/>
                <w:szCs w:val="20"/>
                <w:lang w:val="hy-AM"/>
              </w:rPr>
            </w:pPr>
          </w:p>
          <w:p w:rsidR="00154773" w:rsidRPr="0053423A" w:rsidRDefault="00154773" w:rsidP="00154773">
            <w:pPr>
              <w:tabs>
                <w:tab w:val="left" w:pos="2694"/>
              </w:tabs>
              <w:ind w:firstLine="284"/>
              <w:contextualSpacing/>
              <w:jc w:val="both"/>
              <w:rPr>
                <w:color w:val="000000" w:themeColor="text1"/>
                <w:sz w:val="20"/>
                <w:szCs w:val="20"/>
                <w:lang w:val="hy-AM"/>
              </w:rPr>
            </w:pPr>
            <w:r w:rsidRPr="0053423A">
              <w:rPr>
                <w:color w:val="000000" w:themeColor="text1"/>
                <w:sz w:val="20"/>
                <w:szCs w:val="20"/>
                <w:lang w:val="hy-AM"/>
              </w:rPr>
              <w:t>ՀՀ</w:t>
            </w:r>
            <w:r w:rsidRPr="0053423A">
              <w:rPr>
                <w:color w:val="000000" w:themeColor="text1"/>
                <w:sz w:val="20"/>
                <w:szCs w:val="20"/>
                <w:lang w:val="et-EE"/>
              </w:rPr>
              <w:t xml:space="preserve"> </w:t>
            </w:r>
            <w:r w:rsidRPr="0053423A">
              <w:rPr>
                <w:color w:val="000000" w:themeColor="text1"/>
                <w:sz w:val="20"/>
                <w:szCs w:val="20"/>
                <w:lang w:val="hy-AM"/>
              </w:rPr>
              <w:t>Ազգային</w:t>
            </w:r>
            <w:r w:rsidRPr="0053423A">
              <w:rPr>
                <w:color w:val="000000" w:themeColor="text1"/>
                <w:sz w:val="20"/>
                <w:szCs w:val="20"/>
                <w:lang w:val="et-EE"/>
              </w:rPr>
              <w:t xml:space="preserve"> </w:t>
            </w:r>
            <w:r w:rsidRPr="0053423A">
              <w:rPr>
                <w:color w:val="000000" w:themeColor="text1"/>
                <w:sz w:val="20"/>
                <w:szCs w:val="20"/>
                <w:lang w:val="hy-AM"/>
              </w:rPr>
              <w:t>ժողովի</w:t>
            </w:r>
            <w:r w:rsidRPr="0053423A">
              <w:rPr>
                <w:color w:val="000000" w:themeColor="text1"/>
                <w:sz w:val="20"/>
                <w:szCs w:val="20"/>
                <w:lang w:val="et-EE"/>
              </w:rPr>
              <w:t xml:space="preserve"> </w:t>
            </w:r>
            <w:r w:rsidRPr="0053423A">
              <w:rPr>
                <w:color w:val="000000" w:themeColor="text1"/>
                <w:sz w:val="20"/>
                <w:szCs w:val="20"/>
                <w:lang w:val="hy-AM"/>
              </w:rPr>
              <w:t>կողմից</w:t>
            </w:r>
            <w:r w:rsidRPr="0053423A">
              <w:rPr>
                <w:color w:val="000000" w:themeColor="text1"/>
                <w:sz w:val="20"/>
                <w:szCs w:val="20"/>
                <w:lang w:val="et-EE"/>
              </w:rPr>
              <w:t xml:space="preserve"> 2014 </w:t>
            </w:r>
            <w:r w:rsidRPr="0053423A">
              <w:rPr>
                <w:color w:val="000000" w:themeColor="text1"/>
                <w:sz w:val="20"/>
                <w:szCs w:val="20"/>
                <w:lang w:val="hy-AM"/>
              </w:rPr>
              <w:t>թվականի</w:t>
            </w:r>
            <w:r w:rsidRPr="0053423A">
              <w:rPr>
                <w:color w:val="000000" w:themeColor="text1"/>
                <w:sz w:val="20"/>
                <w:szCs w:val="20"/>
                <w:lang w:val="et-EE"/>
              </w:rPr>
              <w:t xml:space="preserve"> </w:t>
            </w:r>
            <w:r w:rsidRPr="0053423A">
              <w:rPr>
                <w:color w:val="000000" w:themeColor="text1"/>
                <w:sz w:val="20"/>
                <w:szCs w:val="20"/>
                <w:lang w:val="hy-AM"/>
              </w:rPr>
              <w:t>դեկտեմբերի</w:t>
            </w:r>
            <w:r w:rsidRPr="0053423A">
              <w:rPr>
                <w:color w:val="000000" w:themeColor="text1"/>
                <w:sz w:val="20"/>
                <w:szCs w:val="20"/>
                <w:lang w:val="et-EE"/>
              </w:rPr>
              <w:t xml:space="preserve"> 1-</w:t>
            </w:r>
            <w:r w:rsidRPr="0053423A">
              <w:rPr>
                <w:color w:val="000000" w:themeColor="text1"/>
                <w:sz w:val="20"/>
                <w:szCs w:val="20"/>
                <w:lang w:val="hy-AM"/>
              </w:rPr>
              <w:t>ին</w:t>
            </w:r>
            <w:r w:rsidRPr="0053423A">
              <w:rPr>
                <w:color w:val="000000" w:themeColor="text1"/>
                <w:sz w:val="20"/>
                <w:szCs w:val="20"/>
                <w:lang w:val="et-EE"/>
              </w:rPr>
              <w:t xml:space="preserve"> </w:t>
            </w:r>
            <w:r w:rsidRPr="0053423A">
              <w:rPr>
                <w:color w:val="000000" w:themeColor="text1"/>
                <w:sz w:val="20"/>
                <w:szCs w:val="20"/>
                <w:lang w:val="hy-AM"/>
              </w:rPr>
              <w:t>ընդունվեց</w:t>
            </w:r>
            <w:r w:rsidRPr="0053423A">
              <w:rPr>
                <w:color w:val="000000" w:themeColor="text1"/>
                <w:sz w:val="20"/>
                <w:szCs w:val="20"/>
                <w:lang w:val="et-EE"/>
              </w:rPr>
              <w:t xml:space="preserve"> «</w:t>
            </w:r>
            <w:r w:rsidRPr="0053423A">
              <w:rPr>
                <w:color w:val="000000" w:themeColor="text1"/>
                <w:sz w:val="20"/>
                <w:szCs w:val="20"/>
                <w:lang w:val="hy-AM"/>
              </w:rPr>
              <w:t>Հանրակրթության</w:t>
            </w:r>
            <w:r w:rsidRPr="0053423A">
              <w:rPr>
                <w:color w:val="000000" w:themeColor="text1"/>
                <w:sz w:val="20"/>
                <w:szCs w:val="20"/>
                <w:lang w:val="et-EE"/>
              </w:rPr>
              <w:t xml:space="preserve"> </w:t>
            </w:r>
            <w:r w:rsidRPr="0053423A">
              <w:rPr>
                <w:color w:val="000000" w:themeColor="text1"/>
                <w:sz w:val="20"/>
                <w:szCs w:val="20"/>
                <w:lang w:val="hy-AM"/>
              </w:rPr>
              <w:t>մասին</w:t>
            </w:r>
            <w:r w:rsidRPr="0053423A">
              <w:rPr>
                <w:color w:val="000000" w:themeColor="text1"/>
                <w:sz w:val="20"/>
                <w:szCs w:val="20"/>
                <w:lang w:val="et-EE"/>
              </w:rPr>
              <w:t xml:space="preserve">»  </w:t>
            </w:r>
            <w:r w:rsidRPr="0053423A">
              <w:rPr>
                <w:color w:val="000000" w:themeColor="text1"/>
                <w:sz w:val="20"/>
                <w:szCs w:val="20"/>
                <w:lang w:val="hy-AM"/>
              </w:rPr>
              <w:t>ՀՀ</w:t>
            </w:r>
            <w:r w:rsidRPr="0053423A">
              <w:rPr>
                <w:color w:val="000000" w:themeColor="text1"/>
                <w:sz w:val="20"/>
                <w:szCs w:val="20"/>
                <w:lang w:val="et-EE"/>
              </w:rPr>
              <w:t xml:space="preserve">  </w:t>
            </w:r>
            <w:r w:rsidRPr="0053423A">
              <w:rPr>
                <w:color w:val="000000" w:themeColor="text1"/>
                <w:sz w:val="20"/>
                <w:szCs w:val="20"/>
                <w:lang w:val="hy-AM"/>
              </w:rPr>
              <w:t>օրենքում</w:t>
            </w:r>
            <w:r w:rsidRPr="0053423A">
              <w:rPr>
                <w:color w:val="000000" w:themeColor="text1"/>
                <w:sz w:val="20"/>
                <w:szCs w:val="20"/>
                <w:lang w:val="et-EE"/>
              </w:rPr>
              <w:t xml:space="preserve"> </w:t>
            </w:r>
            <w:r w:rsidRPr="0053423A">
              <w:rPr>
                <w:color w:val="000000" w:themeColor="text1"/>
                <w:sz w:val="20"/>
                <w:szCs w:val="20"/>
                <w:lang w:val="hy-AM"/>
              </w:rPr>
              <w:t>լրացումներ</w:t>
            </w:r>
            <w:r w:rsidRPr="0053423A">
              <w:rPr>
                <w:color w:val="000000" w:themeColor="text1"/>
                <w:sz w:val="20"/>
                <w:szCs w:val="20"/>
                <w:lang w:val="et-EE"/>
              </w:rPr>
              <w:t xml:space="preserve"> </w:t>
            </w:r>
            <w:r w:rsidRPr="0053423A">
              <w:rPr>
                <w:color w:val="000000" w:themeColor="text1"/>
                <w:sz w:val="20"/>
                <w:szCs w:val="20"/>
                <w:lang w:val="hy-AM"/>
              </w:rPr>
              <w:t>և</w:t>
            </w:r>
            <w:r w:rsidRPr="0053423A">
              <w:rPr>
                <w:color w:val="000000" w:themeColor="text1"/>
                <w:sz w:val="20"/>
                <w:szCs w:val="20"/>
                <w:lang w:val="et-EE"/>
              </w:rPr>
              <w:t xml:space="preserve"> </w:t>
            </w:r>
            <w:r w:rsidRPr="0053423A">
              <w:rPr>
                <w:color w:val="000000" w:themeColor="text1"/>
                <w:sz w:val="20"/>
                <w:szCs w:val="20"/>
                <w:lang w:val="hy-AM"/>
              </w:rPr>
              <w:t>փոփոխություններ</w:t>
            </w:r>
            <w:r w:rsidRPr="0053423A">
              <w:rPr>
                <w:color w:val="000000" w:themeColor="text1"/>
                <w:sz w:val="20"/>
                <w:szCs w:val="20"/>
                <w:lang w:val="et-EE"/>
              </w:rPr>
              <w:t xml:space="preserve"> </w:t>
            </w:r>
            <w:r w:rsidRPr="0053423A">
              <w:rPr>
                <w:color w:val="000000" w:themeColor="text1"/>
                <w:sz w:val="20"/>
                <w:szCs w:val="20"/>
                <w:lang w:val="hy-AM"/>
              </w:rPr>
              <w:t>կատարելու</w:t>
            </w:r>
            <w:r w:rsidRPr="0053423A">
              <w:rPr>
                <w:color w:val="000000" w:themeColor="text1"/>
                <w:sz w:val="20"/>
                <w:szCs w:val="20"/>
                <w:lang w:val="et-EE"/>
              </w:rPr>
              <w:t xml:space="preserve"> </w:t>
            </w:r>
            <w:r w:rsidRPr="0053423A">
              <w:rPr>
                <w:color w:val="000000" w:themeColor="text1"/>
                <w:sz w:val="20"/>
                <w:szCs w:val="20"/>
                <w:lang w:val="hy-AM"/>
              </w:rPr>
              <w:t>մասին</w:t>
            </w:r>
            <w:r w:rsidRPr="0053423A">
              <w:rPr>
                <w:color w:val="000000" w:themeColor="text1"/>
                <w:sz w:val="20"/>
                <w:szCs w:val="20"/>
                <w:lang w:val="et-EE"/>
              </w:rPr>
              <w:t xml:space="preserve">» </w:t>
            </w:r>
            <w:r w:rsidRPr="0053423A">
              <w:rPr>
                <w:color w:val="000000" w:themeColor="text1"/>
                <w:sz w:val="20"/>
                <w:szCs w:val="20"/>
                <w:lang w:val="hy-AM"/>
              </w:rPr>
              <w:t>ՀՀ</w:t>
            </w:r>
            <w:r w:rsidRPr="0053423A">
              <w:rPr>
                <w:color w:val="000000" w:themeColor="text1"/>
                <w:sz w:val="20"/>
                <w:szCs w:val="20"/>
                <w:lang w:val="et-EE"/>
              </w:rPr>
              <w:t xml:space="preserve"> </w:t>
            </w:r>
            <w:r w:rsidRPr="0053423A">
              <w:rPr>
                <w:color w:val="000000" w:themeColor="text1"/>
                <w:sz w:val="20"/>
                <w:szCs w:val="20"/>
                <w:lang w:val="hy-AM"/>
              </w:rPr>
              <w:t>օրենքը</w:t>
            </w:r>
            <w:r w:rsidRPr="0053423A">
              <w:rPr>
                <w:color w:val="000000" w:themeColor="text1"/>
                <w:sz w:val="20"/>
                <w:szCs w:val="20"/>
                <w:lang w:val="et-EE"/>
              </w:rPr>
              <w:t xml:space="preserve"> (</w:t>
            </w:r>
            <w:r w:rsidRPr="0053423A">
              <w:rPr>
                <w:color w:val="000000" w:themeColor="text1"/>
                <w:sz w:val="20"/>
                <w:szCs w:val="20"/>
                <w:lang w:val="hy-AM"/>
              </w:rPr>
              <w:t>ՀՕ</w:t>
            </w:r>
            <w:r w:rsidRPr="0053423A">
              <w:rPr>
                <w:color w:val="000000" w:themeColor="text1"/>
                <w:sz w:val="20"/>
                <w:szCs w:val="20"/>
                <w:lang w:val="et-EE"/>
              </w:rPr>
              <w:t>-200-</w:t>
            </w:r>
            <w:r w:rsidRPr="0053423A">
              <w:rPr>
                <w:color w:val="000000" w:themeColor="text1"/>
                <w:sz w:val="20"/>
                <w:szCs w:val="20"/>
                <w:lang w:val="hy-AM"/>
              </w:rPr>
              <w:t>Ն</w:t>
            </w:r>
            <w:r w:rsidRPr="0053423A">
              <w:rPr>
                <w:color w:val="000000" w:themeColor="text1"/>
                <w:sz w:val="20"/>
                <w:szCs w:val="20"/>
                <w:lang w:val="et-EE"/>
              </w:rPr>
              <w:t xml:space="preserve">), </w:t>
            </w:r>
            <w:r w:rsidRPr="0053423A">
              <w:rPr>
                <w:color w:val="000000" w:themeColor="text1"/>
                <w:sz w:val="20"/>
                <w:szCs w:val="20"/>
                <w:lang w:val="hy-AM"/>
              </w:rPr>
              <w:t>որով</w:t>
            </w:r>
            <w:r w:rsidRPr="0053423A">
              <w:rPr>
                <w:color w:val="000000" w:themeColor="text1"/>
                <w:sz w:val="20"/>
                <w:szCs w:val="20"/>
                <w:lang w:val="et-EE"/>
              </w:rPr>
              <w:t xml:space="preserve"> </w:t>
            </w:r>
            <w:r w:rsidRPr="0053423A">
              <w:rPr>
                <w:color w:val="000000" w:themeColor="text1"/>
                <w:sz w:val="20"/>
                <w:szCs w:val="20"/>
                <w:lang w:val="hy-AM"/>
              </w:rPr>
              <w:t>էլ</w:t>
            </w:r>
            <w:r w:rsidRPr="0053423A">
              <w:rPr>
                <w:color w:val="000000" w:themeColor="text1"/>
                <w:sz w:val="20"/>
                <w:szCs w:val="20"/>
                <w:lang w:val="et-EE"/>
              </w:rPr>
              <w:t xml:space="preserve"> </w:t>
            </w:r>
            <w:r w:rsidRPr="0053423A">
              <w:rPr>
                <w:color w:val="000000" w:themeColor="text1"/>
                <w:sz w:val="20"/>
                <w:szCs w:val="20"/>
                <w:lang w:val="hy-AM"/>
              </w:rPr>
              <w:t>հիմք</w:t>
            </w:r>
            <w:r w:rsidRPr="0053423A">
              <w:rPr>
                <w:color w:val="000000" w:themeColor="text1"/>
                <w:sz w:val="20"/>
                <w:szCs w:val="20"/>
                <w:lang w:val="et-EE"/>
              </w:rPr>
              <w:t xml:space="preserve"> </w:t>
            </w:r>
            <w:r w:rsidRPr="0053423A">
              <w:rPr>
                <w:color w:val="000000" w:themeColor="text1"/>
                <w:sz w:val="20"/>
                <w:szCs w:val="20"/>
                <w:lang w:val="hy-AM"/>
              </w:rPr>
              <w:t>դրվեց</w:t>
            </w:r>
            <w:r w:rsidRPr="0053423A">
              <w:rPr>
                <w:color w:val="000000" w:themeColor="text1"/>
                <w:sz w:val="20"/>
                <w:szCs w:val="20"/>
                <w:lang w:val="et-EE"/>
              </w:rPr>
              <w:t xml:space="preserve"> </w:t>
            </w:r>
            <w:r w:rsidRPr="0053423A">
              <w:rPr>
                <w:color w:val="000000" w:themeColor="text1"/>
                <w:sz w:val="20"/>
                <w:szCs w:val="20"/>
                <w:lang w:val="hy-AM"/>
              </w:rPr>
              <w:t>հանրակրթության</w:t>
            </w:r>
            <w:r w:rsidRPr="0053423A">
              <w:rPr>
                <w:color w:val="000000" w:themeColor="text1"/>
                <w:sz w:val="20"/>
                <w:szCs w:val="20"/>
                <w:lang w:val="et-EE"/>
              </w:rPr>
              <w:t xml:space="preserve"> </w:t>
            </w:r>
            <w:r w:rsidRPr="0053423A">
              <w:rPr>
                <w:color w:val="000000" w:themeColor="text1"/>
                <w:sz w:val="20"/>
                <w:szCs w:val="20"/>
                <w:lang w:val="hy-AM"/>
              </w:rPr>
              <w:t>համակարգում</w:t>
            </w:r>
            <w:r w:rsidRPr="0053423A">
              <w:rPr>
                <w:color w:val="000000" w:themeColor="text1"/>
                <w:sz w:val="20"/>
                <w:szCs w:val="20"/>
                <w:lang w:val="et-EE"/>
              </w:rPr>
              <w:t xml:space="preserve"> </w:t>
            </w:r>
            <w:r w:rsidRPr="0053423A">
              <w:rPr>
                <w:color w:val="000000" w:themeColor="text1"/>
                <w:sz w:val="20"/>
                <w:szCs w:val="20"/>
                <w:lang w:val="hy-AM"/>
              </w:rPr>
              <w:t>համընդհանուր</w:t>
            </w:r>
            <w:r w:rsidRPr="0053423A">
              <w:rPr>
                <w:color w:val="000000" w:themeColor="text1"/>
                <w:sz w:val="20"/>
                <w:szCs w:val="20"/>
                <w:lang w:val="et-EE"/>
              </w:rPr>
              <w:t xml:space="preserve"> </w:t>
            </w:r>
            <w:r w:rsidRPr="0053423A">
              <w:rPr>
                <w:color w:val="000000" w:themeColor="text1"/>
                <w:sz w:val="20"/>
                <w:szCs w:val="20"/>
                <w:lang w:val="hy-AM"/>
              </w:rPr>
              <w:t>ներառական</w:t>
            </w:r>
            <w:r w:rsidRPr="0053423A">
              <w:rPr>
                <w:color w:val="000000" w:themeColor="text1"/>
                <w:sz w:val="20"/>
                <w:szCs w:val="20"/>
                <w:lang w:val="et-EE"/>
              </w:rPr>
              <w:t xml:space="preserve"> </w:t>
            </w:r>
            <w:r w:rsidRPr="0053423A">
              <w:rPr>
                <w:color w:val="000000" w:themeColor="text1"/>
                <w:sz w:val="20"/>
                <w:szCs w:val="20"/>
                <w:lang w:val="hy-AM"/>
              </w:rPr>
              <w:t>կրթությանն</w:t>
            </w:r>
            <w:r w:rsidRPr="0053423A">
              <w:rPr>
                <w:color w:val="000000" w:themeColor="text1"/>
                <w:sz w:val="20"/>
                <w:szCs w:val="20"/>
                <w:lang w:val="et-EE"/>
              </w:rPr>
              <w:t xml:space="preserve"> </w:t>
            </w:r>
            <w:r w:rsidRPr="0053423A">
              <w:rPr>
                <w:color w:val="000000" w:themeColor="text1"/>
                <w:sz w:val="20"/>
                <w:szCs w:val="20"/>
                <w:lang w:val="hy-AM"/>
              </w:rPr>
              <w:t>անցմանը</w:t>
            </w:r>
            <w:r w:rsidRPr="0053423A">
              <w:rPr>
                <w:color w:val="000000" w:themeColor="text1"/>
                <w:sz w:val="20"/>
                <w:szCs w:val="20"/>
                <w:lang w:val="et-EE"/>
              </w:rPr>
              <w:t>:</w:t>
            </w:r>
          </w:p>
          <w:p w:rsidR="00154773" w:rsidRPr="0053423A" w:rsidRDefault="00154773" w:rsidP="00154773">
            <w:pPr>
              <w:tabs>
                <w:tab w:val="left" w:pos="2694"/>
              </w:tabs>
              <w:ind w:firstLine="284"/>
              <w:contextualSpacing/>
              <w:jc w:val="both"/>
              <w:rPr>
                <w:color w:val="000000" w:themeColor="text1"/>
                <w:sz w:val="20"/>
                <w:szCs w:val="20"/>
                <w:lang w:val="hy-AM"/>
              </w:rPr>
            </w:pPr>
            <w:r w:rsidRPr="0053423A">
              <w:rPr>
                <w:rFonts w:cs="Arial"/>
                <w:color w:val="000000" w:themeColor="text1"/>
                <w:sz w:val="20"/>
                <w:szCs w:val="20"/>
                <w:lang w:val="hy-AM"/>
              </w:rPr>
              <w:t>Օրենքի</w:t>
            </w:r>
            <w:r w:rsidRPr="0053423A">
              <w:rPr>
                <w:color w:val="000000" w:themeColor="text1"/>
                <w:sz w:val="20"/>
                <w:szCs w:val="20"/>
                <w:lang w:val="hy-AM"/>
              </w:rPr>
              <w:t xml:space="preserve"> </w:t>
            </w:r>
            <w:r w:rsidRPr="0053423A">
              <w:rPr>
                <w:rFonts w:cs="Arial"/>
                <w:color w:val="000000" w:themeColor="text1"/>
                <w:sz w:val="20"/>
                <w:szCs w:val="20"/>
                <w:lang w:val="hy-AM"/>
              </w:rPr>
              <w:t>կիրարկման</w:t>
            </w:r>
            <w:r w:rsidRPr="0053423A">
              <w:rPr>
                <w:color w:val="000000" w:themeColor="text1"/>
                <w:sz w:val="20"/>
                <w:szCs w:val="20"/>
                <w:lang w:val="hy-AM"/>
              </w:rPr>
              <w:t xml:space="preserve"> </w:t>
            </w:r>
            <w:r w:rsidRPr="0053423A">
              <w:rPr>
                <w:rFonts w:cs="Arial"/>
                <w:color w:val="000000" w:themeColor="text1"/>
                <w:sz w:val="20"/>
                <w:szCs w:val="20"/>
                <w:lang w:val="hy-AM"/>
              </w:rPr>
              <w:t>արդյունքում</w:t>
            </w:r>
            <w:r w:rsidRPr="0053423A">
              <w:rPr>
                <w:color w:val="000000" w:themeColor="text1"/>
                <w:sz w:val="20"/>
                <w:szCs w:val="20"/>
                <w:lang w:val="hy-AM"/>
              </w:rPr>
              <w:t xml:space="preserve"> </w:t>
            </w:r>
            <w:r w:rsidRPr="0053423A">
              <w:rPr>
                <w:rFonts w:cs="Arial"/>
                <w:color w:val="000000" w:themeColor="text1"/>
                <w:sz w:val="20"/>
                <w:szCs w:val="20"/>
                <w:lang w:val="hy-AM"/>
              </w:rPr>
              <w:t>կրթության</w:t>
            </w:r>
            <w:r w:rsidRPr="0053423A">
              <w:rPr>
                <w:color w:val="000000" w:themeColor="text1"/>
                <w:sz w:val="20"/>
                <w:szCs w:val="20"/>
                <w:lang w:val="hy-AM"/>
              </w:rPr>
              <w:t xml:space="preserve"> </w:t>
            </w:r>
            <w:r w:rsidRPr="0053423A">
              <w:rPr>
                <w:rFonts w:cs="Arial"/>
                <w:color w:val="000000" w:themeColor="text1"/>
                <w:sz w:val="20"/>
                <w:szCs w:val="20"/>
                <w:lang w:val="hy-AM"/>
              </w:rPr>
              <w:t>առանձնահատուկ</w:t>
            </w:r>
            <w:r w:rsidRPr="0053423A">
              <w:rPr>
                <w:color w:val="000000" w:themeColor="text1"/>
                <w:sz w:val="20"/>
                <w:szCs w:val="20"/>
                <w:lang w:val="hy-AM"/>
              </w:rPr>
              <w:t xml:space="preserve"> </w:t>
            </w:r>
            <w:r w:rsidRPr="0053423A">
              <w:rPr>
                <w:rFonts w:cs="Arial"/>
                <w:color w:val="000000" w:themeColor="text1"/>
                <w:sz w:val="20"/>
                <w:szCs w:val="20"/>
                <w:lang w:val="hy-AM"/>
              </w:rPr>
              <w:t>պայմանների</w:t>
            </w:r>
            <w:r w:rsidRPr="0053423A">
              <w:rPr>
                <w:color w:val="000000" w:themeColor="text1"/>
                <w:sz w:val="20"/>
                <w:szCs w:val="20"/>
                <w:lang w:val="hy-AM"/>
              </w:rPr>
              <w:t xml:space="preserve"> </w:t>
            </w:r>
            <w:r w:rsidRPr="0053423A">
              <w:rPr>
                <w:rFonts w:cs="Arial"/>
                <w:color w:val="000000" w:themeColor="text1"/>
                <w:sz w:val="20"/>
                <w:szCs w:val="20"/>
                <w:lang w:val="hy-AM"/>
              </w:rPr>
              <w:t>կարիք</w:t>
            </w:r>
            <w:r w:rsidRPr="0053423A">
              <w:rPr>
                <w:color w:val="000000" w:themeColor="text1"/>
                <w:sz w:val="20"/>
                <w:szCs w:val="20"/>
                <w:lang w:val="hy-AM"/>
              </w:rPr>
              <w:t xml:space="preserve"> </w:t>
            </w:r>
            <w:r w:rsidRPr="0053423A">
              <w:rPr>
                <w:rFonts w:cs="Arial"/>
                <w:color w:val="000000" w:themeColor="text1"/>
                <w:sz w:val="20"/>
                <w:szCs w:val="20"/>
                <w:lang w:val="hy-AM"/>
              </w:rPr>
              <w:t>ունեցող</w:t>
            </w:r>
            <w:r w:rsidRPr="0053423A">
              <w:rPr>
                <w:color w:val="000000" w:themeColor="text1"/>
                <w:sz w:val="20"/>
                <w:szCs w:val="20"/>
                <w:lang w:val="hy-AM"/>
              </w:rPr>
              <w:t xml:space="preserve"> </w:t>
            </w:r>
            <w:r w:rsidRPr="0053423A">
              <w:rPr>
                <w:rFonts w:cs="Arial"/>
                <w:color w:val="000000" w:themeColor="text1"/>
                <w:sz w:val="20"/>
                <w:szCs w:val="20"/>
                <w:lang w:val="hy-AM"/>
              </w:rPr>
              <w:t>երեխաները</w:t>
            </w:r>
            <w:r w:rsidRPr="0053423A">
              <w:rPr>
                <w:color w:val="000000" w:themeColor="text1"/>
                <w:sz w:val="20"/>
                <w:szCs w:val="20"/>
                <w:lang w:val="hy-AM"/>
              </w:rPr>
              <w:t xml:space="preserve"> </w:t>
            </w:r>
            <w:r w:rsidRPr="0053423A">
              <w:rPr>
                <w:rFonts w:cs="Arial"/>
                <w:color w:val="000000" w:themeColor="text1"/>
                <w:sz w:val="20"/>
                <w:szCs w:val="20"/>
                <w:lang w:val="hy-AM"/>
              </w:rPr>
              <w:t>մանկավարժահոգեբանական</w:t>
            </w:r>
            <w:r w:rsidRPr="0053423A">
              <w:rPr>
                <w:color w:val="000000" w:themeColor="text1"/>
                <w:sz w:val="20"/>
                <w:szCs w:val="20"/>
                <w:lang w:val="hy-AM"/>
              </w:rPr>
              <w:t xml:space="preserve"> </w:t>
            </w:r>
            <w:r w:rsidRPr="0053423A">
              <w:rPr>
                <w:rFonts w:cs="Arial"/>
                <w:color w:val="000000" w:themeColor="text1"/>
                <w:sz w:val="20"/>
                <w:szCs w:val="20"/>
                <w:lang w:val="hy-AM"/>
              </w:rPr>
              <w:t>աջակցություն</w:t>
            </w:r>
            <w:r w:rsidRPr="0053423A">
              <w:rPr>
                <w:color w:val="000000" w:themeColor="text1"/>
                <w:sz w:val="20"/>
                <w:szCs w:val="20"/>
                <w:lang w:val="hy-AM"/>
              </w:rPr>
              <w:t xml:space="preserve"> </w:t>
            </w:r>
            <w:r w:rsidRPr="0053423A">
              <w:rPr>
                <w:rFonts w:cs="Arial"/>
                <w:color w:val="000000" w:themeColor="text1"/>
                <w:sz w:val="20"/>
                <w:szCs w:val="20"/>
                <w:lang w:val="hy-AM"/>
              </w:rPr>
              <w:t>կստանան</w:t>
            </w:r>
            <w:r w:rsidRPr="0053423A">
              <w:rPr>
                <w:color w:val="000000" w:themeColor="text1"/>
                <w:sz w:val="20"/>
                <w:szCs w:val="20"/>
                <w:lang w:val="hy-AM"/>
              </w:rPr>
              <w:t xml:space="preserve"> 3 </w:t>
            </w:r>
            <w:r w:rsidRPr="0053423A">
              <w:rPr>
                <w:rFonts w:cs="Arial"/>
                <w:color w:val="000000" w:themeColor="text1"/>
                <w:sz w:val="20"/>
                <w:szCs w:val="20"/>
                <w:lang w:val="hy-AM"/>
              </w:rPr>
              <w:t>մակարդակում՝</w:t>
            </w:r>
            <w:r w:rsidRPr="0053423A">
              <w:rPr>
                <w:color w:val="000000" w:themeColor="text1"/>
                <w:sz w:val="20"/>
                <w:szCs w:val="20"/>
                <w:lang w:val="hy-AM"/>
              </w:rPr>
              <w:t xml:space="preserve"> </w:t>
            </w:r>
            <w:r w:rsidRPr="0053423A">
              <w:rPr>
                <w:rFonts w:cs="Arial"/>
                <w:color w:val="000000" w:themeColor="text1"/>
                <w:sz w:val="20"/>
                <w:szCs w:val="20"/>
                <w:lang w:val="hy-AM"/>
              </w:rPr>
              <w:t>հանրակրթական</w:t>
            </w:r>
            <w:r w:rsidRPr="0053423A">
              <w:rPr>
                <w:color w:val="000000" w:themeColor="text1"/>
                <w:sz w:val="20"/>
                <w:szCs w:val="20"/>
                <w:lang w:val="hy-AM"/>
              </w:rPr>
              <w:t xml:space="preserve"> </w:t>
            </w:r>
            <w:r w:rsidRPr="0053423A">
              <w:rPr>
                <w:rFonts w:cs="Arial"/>
                <w:color w:val="000000" w:themeColor="text1"/>
                <w:sz w:val="20"/>
                <w:szCs w:val="20"/>
                <w:lang w:val="hy-AM"/>
              </w:rPr>
              <w:t>դպրոցում</w:t>
            </w:r>
            <w:r w:rsidRPr="0053423A">
              <w:rPr>
                <w:color w:val="000000" w:themeColor="text1"/>
                <w:sz w:val="20"/>
                <w:szCs w:val="20"/>
                <w:lang w:val="hy-AM"/>
              </w:rPr>
              <w:t xml:space="preserve">, </w:t>
            </w:r>
            <w:r w:rsidRPr="0053423A">
              <w:rPr>
                <w:rFonts w:cs="Arial"/>
                <w:color w:val="000000" w:themeColor="text1"/>
                <w:sz w:val="20"/>
                <w:szCs w:val="20"/>
                <w:lang w:val="hy-AM"/>
              </w:rPr>
              <w:t>ինչպես</w:t>
            </w:r>
            <w:r w:rsidRPr="0053423A">
              <w:rPr>
                <w:color w:val="000000" w:themeColor="text1"/>
                <w:sz w:val="20"/>
                <w:szCs w:val="20"/>
                <w:lang w:val="hy-AM"/>
              </w:rPr>
              <w:t xml:space="preserve"> </w:t>
            </w:r>
            <w:r w:rsidRPr="0053423A">
              <w:rPr>
                <w:rFonts w:cs="Arial"/>
                <w:color w:val="000000" w:themeColor="text1"/>
                <w:sz w:val="20"/>
                <w:szCs w:val="20"/>
                <w:lang w:val="hy-AM"/>
              </w:rPr>
              <w:t>նաև</w:t>
            </w:r>
            <w:r w:rsidRPr="0053423A">
              <w:rPr>
                <w:color w:val="000000" w:themeColor="text1"/>
                <w:sz w:val="20"/>
                <w:szCs w:val="20"/>
                <w:lang w:val="hy-AM"/>
              </w:rPr>
              <w:t xml:space="preserve"> </w:t>
            </w:r>
            <w:r w:rsidRPr="0053423A">
              <w:rPr>
                <w:rFonts w:cs="Arial"/>
                <w:color w:val="000000" w:themeColor="text1"/>
                <w:sz w:val="20"/>
                <w:szCs w:val="20"/>
                <w:lang w:val="hy-AM"/>
              </w:rPr>
              <w:t>տարածքային</w:t>
            </w:r>
            <w:r w:rsidRPr="0053423A">
              <w:rPr>
                <w:color w:val="000000" w:themeColor="text1"/>
                <w:sz w:val="20"/>
                <w:szCs w:val="20"/>
                <w:lang w:val="hy-AM"/>
              </w:rPr>
              <w:t xml:space="preserve"> </w:t>
            </w:r>
            <w:r w:rsidRPr="0053423A">
              <w:rPr>
                <w:rFonts w:cs="Arial"/>
                <w:color w:val="000000" w:themeColor="text1"/>
                <w:sz w:val="20"/>
                <w:szCs w:val="20"/>
                <w:lang w:val="hy-AM"/>
              </w:rPr>
              <w:t>և</w:t>
            </w:r>
            <w:r w:rsidRPr="0053423A">
              <w:rPr>
                <w:color w:val="000000" w:themeColor="text1"/>
                <w:sz w:val="20"/>
                <w:szCs w:val="20"/>
                <w:lang w:val="hy-AM"/>
              </w:rPr>
              <w:t xml:space="preserve"> </w:t>
            </w:r>
            <w:r w:rsidRPr="0053423A">
              <w:rPr>
                <w:rFonts w:cs="Arial"/>
                <w:color w:val="000000" w:themeColor="text1"/>
                <w:sz w:val="20"/>
                <w:szCs w:val="20"/>
                <w:lang w:val="hy-AM"/>
              </w:rPr>
              <w:t>հանրապետական</w:t>
            </w:r>
            <w:r w:rsidRPr="0053423A">
              <w:rPr>
                <w:color w:val="000000" w:themeColor="text1"/>
                <w:sz w:val="20"/>
                <w:szCs w:val="20"/>
                <w:lang w:val="hy-AM"/>
              </w:rPr>
              <w:t xml:space="preserve"> </w:t>
            </w:r>
            <w:r w:rsidRPr="0053423A">
              <w:rPr>
                <w:rFonts w:cs="Arial"/>
                <w:color w:val="000000" w:themeColor="text1"/>
                <w:sz w:val="20"/>
                <w:szCs w:val="20"/>
                <w:lang w:val="hy-AM"/>
              </w:rPr>
              <w:t>մանկավարժահոգեբանական</w:t>
            </w:r>
            <w:r w:rsidRPr="0053423A">
              <w:rPr>
                <w:color w:val="000000" w:themeColor="text1"/>
                <w:sz w:val="20"/>
                <w:szCs w:val="20"/>
                <w:lang w:val="hy-AM"/>
              </w:rPr>
              <w:t xml:space="preserve"> </w:t>
            </w:r>
            <w:r w:rsidRPr="0053423A">
              <w:rPr>
                <w:rFonts w:cs="Arial"/>
                <w:color w:val="000000" w:themeColor="text1"/>
                <w:sz w:val="20"/>
                <w:szCs w:val="20"/>
                <w:lang w:val="hy-AM"/>
              </w:rPr>
              <w:t>աջակցության</w:t>
            </w:r>
            <w:r w:rsidRPr="0053423A">
              <w:rPr>
                <w:color w:val="000000" w:themeColor="text1"/>
                <w:sz w:val="20"/>
                <w:szCs w:val="20"/>
                <w:lang w:val="hy-AM"/>
              </w:rPr>
              <w:t xml:space="preserve"> </w:t>
            </w:r>
            <w:r w:rsidRPr="0053423A">
              <w:rPr>
                <w:rFonts w:cs="Arial"/>
                <w:color w:val="000000" w:themeColor="text1"/>
                <w:sz w:val="20"/>
                <w:szCs w:val="20"/>
                <w:lang w:val="hy-AM"/>
              </w:rPr>
              <w:t>կենտրոնների</w:t>
            </w:r>
            <w:r w:rsidRPr="0053423A">
              <w:rPr>
                <w:color w:val="000000" w:themeColor="text1"/>
                <w:sz w:val="20"/>
                <w:szCs w:val="20"/>
                <w:lang w:val="hy-AM"/>
              </w:rPr>
              <w:t xml:space="preserve"> </w:t>
            </w:r>
            <w:r w:rsidRPr="0053423A">
              <w:rPr>
                <w:rFonts w:cs="Arial"/>
                <w:color w:val="000000" w:themeColor="text1"/>
                <w:sz w:val="20"/>
                <w:szCs w:val="20"/>
                <w:lang w:val="hy-AM"/>
              </w:rPr>
              <w:t>կողմից</w:t>
            </w:r>
            <w:r w:rsidRPr="0053423A">
              <w:rPr>
                <w:color w:val="000000" w:themeColor="text1"/>
                <w:sz w:val="20"/>
                <w:szCs w:val="20"/>
                <w:lang w:val="hy-AM"/>
              </w:rPr>
              <w:t>:</w:t>
            </w:r>
          </w:p>
          <w:p w:rsidR="00154773" w:rsidRPr="0053423A" w:rsidRDefault="00154773" w:rsidP="00154773">
            <w:pPr>
              <w:tabs>
                <w:tab w:val="left" w:pos="2694"/>
              </w:tabs>
              <w:ind w:firstLine="284"/>
              <w:contextualSpacing/>
              <w:jc w:val="both"/>
              <w:rPr>
                <w:color w:val="000000" w:themeColor="text1"/>
                <w:sz w:val="20"/>
                <w:szCs w:val="20"/>
                <w:lang w:val="hy-AM"/>
              </w:rPr>
            </w:pPr>
            <w:r w:rsidRPr="0053423A">
              <w:rPr>
                <w:color w:val="000000" w:themeColor="text1"/>
                <w:sz w:val="20"/>
                <w:szCs w:val="20"/>
                <w:lang w:val="hy-AM"/>
              </w:rPr>
              <w:t xml:space="preserve">Հաստատված ժամանակացույցի համաձայն, անցումը համընդհանուր ներառական կրթության համակարգին մեկնարկեց 2016 թվականին՝ ՀՀ Սյունիքի մարզից, 2017 թվականին համակարգը ներդրվեց ՀՀ Լոռու և Տավուշի մարզերում, 2018 թվականին՝ ՀՀ Արմավիրի մարզում։  </w:t>
            </w:r>
          </w:p>
          <w:p w:rsidR="00154773" w:rsidRPr="0053423A" w:rsidRDefault="00154773" w:rsidP="00154773">
            <w:pPr>
              <w:ind w:firstLine="284"/>
              <w:contextualSpacing/>
              <w:jc w:val="both"/>
              <w:rPr>
                <w:rFonts w:eastAsia="Calibri" w:cs="GHEA Grapalat"/>
                <w:color w:val="000000" w:themeColor="text1"/>
                <w:sz w:val="20"/>
                <w:szCs w:val="20"/>
                <w:lang w:val="hy-AM"/>
              </w:rPr>
            </w:pPr>
          </w:p>
          <w:p w:rsidR="00154773" w:rsidRPr="0053423A" w:rsidRDefault="00154773" w:rsidP="00154773">
            <w:pPr>
              <w:tabs>
                <w:tab w:val="left" w:pos="2694"/>
              </w:tabs>
              <w:ind w:left="360"/>
              <w:jc w:val="both"/>
              <w:rPr>
                <w:b/>
                <w:color w:val="000000" w:themeColor="text1"/>
                <w:sz w:val="20"/>
                <w:szCs w:val="20"/>
                <w:lang w:val="hy-AM"/>
              </w:rPr>
            </w:pPr>
            <w:r w:rsidRPr="0053423A">
              <w:rPr>
                <w:b/>
                <w:color w:val="000000" w:themeColor="text1"/>
                <w:sz w:val="20"/>
                <w:szCs w:val="20"/>
                <w:lang w:val="hy-AM"/>
              </w:rPr>
              <w:t>1.2. առկա</w:t>
            </w:r>
            <w:r w:rsidRPr="0053423A">
              <w:rPr>
                <w:b/>
                <w:color w:val="000000" w:themeColor="text1"/>
                <w:sz w:val="20"/>
                <w:szCs w:val="20"/>
                <w:lang w:val="af-ZA"/>
              </w:rPr>
              <w:t xml:space="preserve"> </w:t>
            </w:r>
            <w:r w:rsidRPr="0053423A">
              <w:rPr>
                <w:b/>
                <w:color w:val="000000" w:themeColor="text1"/>
                <w:sz w:val="20"/>
                <w:szCs w:val="20"/>
                <w:lang w:val="hy-AM"/>
              </w:rPr>
              <w:t>խնդիրների</w:t>
            </w:r>
            <w:r w:rsidRPr="0053423A">
              <w:rPr>
                <w:b/>
                <w:color w:val="000000" w:themeColor="text1"/>
                <w:sz w:val="20"/>
                <w:szCs w:val="20"/>
                <w:lang w:val="af-ZA"/>
              </w:rPr>
              <w:t xml:space="preserve"> </w:t>
            </w:r>
            <w:r w:rsidRPr="0053423A">
              <w:rPr>
                <w:b/>
                <w:color w:val="000000" w:themeColor="text1"/>
                <w:sz w:val="20"/>
                <w:szCs w:val="20"/>
                <w:lang w:val="hy-AM"/>
              </w:rPr>
              <w:t>առաջարկվող</w:t>
            </w:r>
            <w:r w:rsidRPr="0053423A">
              <w:rPr>
                <w:b/>
                <w:color w:val="000000" w:themeColor="text1"/>
                <w:sz w:val="20"/>
                <w:szCs w:val="20"/>
                <w:lang w:val="af-ZA"/>
              </w:rPr>
              <w:t xml:space="preserve"> </w:t>
            </w:r>
            <w:r w:rsidRPr="0053423A">
              <w:rPr>
                <w:b/>
                <w:color w:val="000000" w:themeColor="text1"/>
                <w:sz w:val="20"/>
                <w:szCs w:val="20"/>
                <w:lang w:val="hy-AM"/>
              </w:rPr>
              <w:t>լուծումները</w:t>
            </w:r>
          </w:p>
          <w:p w:rsidR="00154773" w:rsidRPr="0053423A" w:rsidRDefault="00154773" w:rsidP="00154773">
            <w:pPr>
              <w:tabs>
                <w:tab w:val="left" w:pos="2694"/>
              </w:tabs>
              <w:ind w:left="735"/>
              <w:contextualSpacing/>
              <w:jc w:val="both"/>
              <w:rPr>
                <w:b/>
                <w:color w:val="000000" w:themeColor="text1"/>
                <w:sz w:val="20"/>
                <w:szCs w:val="20"/>
                <w:lang w:val="hy-AM"/>
              </w:rPr>
            </w:pPr>
          </w:p>
          <w:p w:rsidR="00154773" w:rsidRPr="0053423A" w:rsidRDefault="00154773" w:rsidP="00154773">
            <w:pPr>
              <w:tabs>
                <w:tab w:val="left" w:pos="2694"/>
              </w:tabs>
              <w:ind w:firstLine="284"/>
              <w:contextualSpacing/>
              <w:jc w:val="both"/>
              <w:rPr>
                <w:color w:val="000000" w:themeColor="text1"/>
                <w:sz w:val="20"/>
                <w:szCs w:val="20"/>
                <w:lang w:val="hy-AM"/>
              </w:rPr>
            </w:pPr>
            <w:r w:rsidRPr="0053423A">
              <w:rPr>
                <w:rFonts w:eastAsia="MS Mincho" w:cs="Courier New"/>
                <w:color w:val="000000" w:themeColor="text1"/>
                <w:spacing w:val="-8"/>
                <w:sz w:val="20"/>
                <w:szCs w:val="20"/>
                <w:lang w:val="hy-AM"/>
              </w:rPr>
              <w:t>Տարածքային</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մանկավարժահոգեբանկան</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աջակցության</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կենտրոնների</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հիմնադրում Երևան քաղաքում և մնաացած մարզրում ևս՝</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հատուկ</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դպրոցների</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վերակազմա</w:t>
            </w:r>
            <w:r w:rsidRPr="0053423A">
              <w:rPr>
                <w:rFonts w:eastAsia="MS Mincho" w:cs="Courier New"/>
                <w:color w:val="000000" w:themeColor="text1"/>
                <w:spacing w:val="-8"/>
                <w:sz w:val="20"/>
                <w:szCs w:val="20"/>
                <w:lang w:val="eu-ES"/>
              </w:rPr>
              <w:softHyphen/>
            </w:r>
            <w:r w:rsidRPr="0053423A">
              <w:rPr>
                <w:rFonts w:eastAsia="MS Mincho" w:cs="Courier New"/>
                <w:color w:val="000000" w:themeColor="text1"/>
                <w:spacing w:val="-8"/>
                <w:sz w:val="20"/>
                <w:szCs w:val="20"/>
                <w:lang w:val="hy-AM"/>
              </w:rPr>
              <w:t>կերպման</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միջոցով</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կամ</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մանկավարժահոգեբանական</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աջակցության</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ծառայությունների</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պատվիրակում</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նման</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ծառայությունների</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մատուցման</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համար</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անհրաժեշտ</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պայմաններ</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ունեցող</w:t>
            </w:r>
            <w:r w:rsidRPr="0053423A">
              <w:rPr>
                <w:rFonts w:eastAsia="MS Mincho" w:cs="Courier New"/>
                <w:color w:val="000000" w:themeColor="text1"/>
                <w:spacing w:val="-8"/>
                <w:sz w:val="20"/>
                <w:szCs w:val="20"/>
                <w:lang w:val="eu-ES"/>
              </w:rPr>
              <w:t xml:space="preserve"> </w:t>
            </w:r>
            <w:r w:rsidRPr="0053423A">
              <w:rPr>
                <w:rFonts w:eastAsia="MS Mincho" w:cs="Courier New"/>
                <w:color w:val="000000" w:themeColor="text1"/>
                <w:spacing w:val="-8"/>
                <w:sz w:val="20"/>
                <w:szCs w:val="20"/>
                <w:lang w:val="hy-AM"/>
              </w:rPr>
              <w:t>կազմակերպության</w:t>
            </w:r>
            <w:r w:rsidRPr="0053423A">
              <w:rPr>
                <w:rFonts w:eastAsia="MS Mincho" w:cs="Courier New"/>
                <w:color w:val="000000" w:themeColor="text1"/>
                <w:spacing w:val="-8"/>
                <w:sz w:val="20"/>
                <w:szCs w:val="20"/>
                <w:lang w:val="eu-ES"/>
              </w:rPr>
              <w:t>):</w:t>
            </w:r>
            <w:r w:rsidRPr="0053423A">
              <w:rPr>
                <w:color w:val="000000" w:themeColor="text1"/>
                <w:sz w:val="20"/>
                <w:szCs w:val="20"/>
                <w:lang w:val="eu-ES"/>
              </w:rPr>
              <w:t xml:space="preserve"> </w:t>
            </w:r>
            <w:r w:rsidRPr="0053423A">
              <w:rPr>
                <w:color w:val="000000" w:themeColor="text1"/>
                <w:sz w:val="20"/>
                <w:szCs w:val="20"/>
                <w:lang w:val="hy-AM"/>
              </w:rPr>
              <w:t>Հայաստանի</w:t>
            </w:r>
            <w:r w:rsidRPr="0053423A">
              <w:rPr>
                <w:color w:val="000000" w:themeColor="text1"/>
                <w:sz w:val="20"/>
                <w:szCs w:val="20"/>
                <w:lang w:val="af-ZA"/>
              </w:rPr>
              <w:t xml:space="preserve"> </w:t>
            </w:r>
            <w:r w:rsidRPr="0053423A">
              <w:rPr>
                <w:color w:val="000000" w:themeColor="text1"/>
                <w:sz w:val="20"/>
                <w:szCs w:val="20"/>
                <w:lang w:val="hy-AM"/>
              </w:rPr>
              <w:t>Հանրապետությունում</w:t>
            </w:r>
            <w:r w:rsidRPr="0053423A">
              <w:rPr>
                <w:color w:val="000000" w:themeColor="text1"/>
                <w:sz w:val="20"/>
                <w:szCs w:val="20"/>
                <w:lang w:val="af-ZA"/>
              </w:rPr>
              <w:t xml:space="preserve"> </w:t>
            </w:r>
            <w:r w:rsidRPr="0053423A">
              <w:rPr>
                <w:color w:val="000000" w:themeColor="text1"/>
                <w:sz w:val="20"/>
                <w:szCs w:val="20"/>
                <w:lang w:val="hy-AM"/>
              </w:rPr>
              <w:t>հատուկ</w:t>
            </w:r>
            <w:r w:rsidRPr="0053423A">
              <w:rPr>
                <w:color w:val="000000" w:themeColor="text1"/>
                <w:sz w:val="20"/>
                <w:szCs w:val="20"/>
                <w:lang w:val="af-ZA"/>
              </w:rPr>
              <w:t xml:space="preserve"> </w:t>
            </w:r>
            <w:r w:rsidRPr="0053423A">
              <w:rPr>
                <w:color w:val="000000" w:themeColor="text1"/>
                <w:sz w:val="20"/>
                <w:szCs w:val="20"/>
                <w:lang w:val="hy-AM"/>
              </w:rPr>
              <w:t>դպրոցներում</w:t>
            </w:r>
            <w:r w:rsidRPr="0053423A">
              <w:rPr>
                <w:color w:val="000000" w:themeColor="text1"/>
                <w:sz w:val="20"/>
                <w:szCs w:val="20"/>
                <w:lang w:val="af-ZA"/>
              </w:rPr>
              <w:t xml:space="preserve"> </w:t>
            </w:r>
            <w:r w:rsidRPr="0053423A">
              <w:rPr>
                <w:color w:val="000000" w:themeColor="text1"/>
                <w:sz w:val="20"/>
                <w:szCs w:val="20"/>
                <w:lang w:val="hy-AM"/>
              </w:rPr>
              <w:t>ընդգրկված</w:t>
            </w:r>
            <w:r w:rsidRPr="0053423A">
              <w:rPr>
                <w:color w:val="000000" w:themeColor="text1"/>
                <w:sz w:val="20"/>
                <w:szCs w:val="20"/>
                <w:lang w:val="af-ZA"/>
              </w:rPr>
              <w:t xml:space="preserve"> </w:t>
            </w:r>
            <w:r w:rsidRPr="0053423A">
              <w:rPr>
                <w:color w:val="000000" w:themeColor="text1"/>
                <w:sz w:val="20"/>
                <w:szCs w:val="20"/>
                <w:lang w:val="hy-AM"/>
              </w:rPr>
              <w:t>երեխաների</w:t>
            </w:r>
            <w:r w:rsidRPr="0053423A">
              <w:rPr>
                <w:color w:val="000000" w:themeColor="text1"/>
                <w:sz w:val="20"/>
                <w:szCs w:val="20"/>
                <w:lang w:val="af-ZA"/>
              </w:rPr>
              <w:t xml:space="preserve"> </w:t>
            </w:r>
            <w:r w:rsidRPr="0053423A">
              <w:rPr>
                <w:color w:val="000000" w:themeColor="text1"/>
                <w:sz w:val="20"/>
                <w:szCs w:val="20"/>
                <w:lang w:val="hy-AM"/>
              </w:rPr>
              <w:t>ինտեգրում</w:t>
            </w:r>
            <w:r w:rsidRPr="0053423A">
              <w:rPr>
                <w:color w:val="000000" w:themeColor="text1"/>
                <w:sz w:val="20"/>
                <w:szCs w:val="20"/>
                <w:lang w:val="af-ZA"/>
              </w:rPr>
              <w:t xml:space="preserve"> </w:t>
            </w:r>
            <w:r w:rsidRPr="0053423A">
              <w:rPr>
                <w:color w:val="000000" w:themeColor="text1"/>
                <w:sz w:val="20"/>
                <w:szCs w:val="20"/>
                <w:lang w:val="hy-AM"/>
              </w:rPr>
              <w:t>հանրակրթական</w:t>
            </w:r>
            <w:r w:rsidRPr="0053423A">
              <w:rPr>
                <w:color w:val="000000" w:themeColor="text1"/>
                <w:sz w:val="20"/>
                <w:szCs w:val="20"/>
                <w:lang w:val="af-ZA"/>
              </w:rPr>
              <w:t xml:space="preserve"> </w:t>
            </w:r>
            <w:r w:rsidRPr="0053423A">
              <w:rPr>
                <w:color w:val="000000" w:themeColor="text1"/>
                <w:sz w:val="20"/>
                <w:szCs w:val="20"/>
                <w:lang w:val="hy-AM"/>
              </w:rPr>
              <w:t>դպրոցներ, եռամակարդակ մանկավարժահոգեբանական աջակցության ծառայությունների տրամադրում  դրա անհրաժեշտությունն ունեցող շահառուներին։</w:t>
            </w:r>
          </w:p>
          <w:p w:rsidR="00154773" w:rsidRPr="0053423A" w:rsidRDefault="00154773" w:rsidP="00154773">
            <w:pPr>
              <w:tabs>
                <w:tab w:val="left" w:pos="142"/>
                <w:tab w:val="left" w:pos="347"/>
                <w:tab w:val="left" w:pos="753"/>
                <w:tab w:val="left" w:pos="2694"/>
              </w:tabs>
              <w:contextualSpacing/>
              <w:jc w:val="both"/>
              <w:rPr>
                <w:color w:val="000000" w:themeColor="text1"/>
                <w:sz w:val="20"/>
                <w:szCs w:val="20"/>
                <w:lang w:val="hy-AM"/>
              </w:rPr>
            </w:pPr>
          </w:p>
          <w:p w:rsidR="00154773" w:rsidRPr="0053423A" w:rsidRDefault="00154773" w:rsidP="00154773">
            <w:pPr>
              <w:tabs>
                <w:tab w:val="left" w:pos="2694"/>
              </w:tabs>
              <w:ind w:firstLine="284"/>
              <w:contextualSpacing/>
              <w:jc w:val="both"/>
              <w:rPr>
                <w:b/>
                <w:color w:val="000000" w:themeColor="text1"/>
                <w:sz w:val="20"/>
                <w:szCs w:val="20"/>
                <w:lang w:val="eu-ES"/>
              </w:rPr>
            </w:pPr>
            <w:r w:rsidRPr="0053423A">
              <w:rPr>
                <w:b/>
                <w:color w:val="000000" w:themeColor="text1"/>
                <w:sz w:val="20"/>
                <w:szCs w:val="20"/>
                <w:lang w:val="hy-AM"/>
              </w:rPr>
              <w:t>2</w:t>
            </w:r>
            <w:r w:rsidRPr="0053423A">
              <w:rPr>
                <w:b/>
                <w:color w:val="000000" w:themeColor="text1"/>
                <w:sz w:val="20"/>
                <w:szCs w:val="20"/>
                <w:lang w:val="eu-ES"/>
              </w:rPr>
              <w:t xml:space="preserve">. </w:t>
            </w:r>
            <w:r w:rsidRPr="0053423A">
              <w:rPr>
                <w:rFonts w:eastAsia="Times New Roman" w:cs="Times New Roman"/>
                <w:b/>
                <w:sz w:val="20"/>
                <w:szCs w:val="20"/>
                <w:lang w:val="hy-AM"/>
              </w:rPr>
              <w:t>Միջոցառման իրականացումից ակնկալվող արդյունքը</w:t>
            </w:r>
          </w:p>
          <w:p w:rsidR="00154773" w:rsidRPr="0053423A" w:rsidRDefault="00154773" w:rsidP="00154773">
            <w:pPr>
              <w:tabs>
                <w:tab w:val="left" w:pos="2694"/>
              </w:tabs>
              <w:contextualSpacing/>
              <w:jc w:val="both"/>
              <w:rPr>
                <w:rFonts w:eastAsia="Calibri" w:cs="Sylfaen"/>
                <w:color w:val="000000" w:themeColor="text1"/>
                <w:spacing w:val="-8"/>
                <w:sz w:val="20"/>
                <w:szCs w:val="20"/>
                <w:lang w:val="hy-AM"/>
              </w:rPr>
            </w:pPr>
          </w:p>
          <w:p w:rsidR="00154773" w:rsidRPr="0053423A" w:rsidRDefault="00154773" w:rsidP="00154773">
            <w:pPr>
              <w:ind w:firstLine="284"/>
              <w:jc w:val="both"/>
              <w:rPr>
                <w:rFonts w:eastAsia="Calibri" w:cs="Sylfaen"/>
                <w:color w:val="000000" w:themeColor="text1"/>
                <w:spacing w:val="-8"/>
                <w:sz w:val="20"/>
                <w:szCs w:val="20"/>
                <w:lang w:val="hy-AM"/>
              </w:rPr>
            </w:pPr>
            <w:r w:rsidRPr="0053423A">
              <w:rPr>
                <w:rFonts w:eastAsia="Calibri" w:cs="Sylfaen"/>
                <w:color w:val="000000" w:themeColor="text1"/>
                <w:spacing w:val="-8"/>
                <w:sz w:val="20"/>
                <w:szCs w:val="20"/>
                <w:lang w:val="hy-AM"/>
              </w:rPr>
              <w:t>Ապահովել կրթության առանձնահատուկ պայմանների կարիք ունեցող սովորողների կրթական կարիքների գնահատման և անհրաժեշտ աջակցող ծառայությունների հասցեականությունը և հասանելիությունը, յուրաքանչյուր երեխայի համար կրթությանն աջակցող ծառայությունների շարունա</w:t>
            </w:r>
            <w:r w:rsidRPr="0053423A">
              <w:rPr>
                <w:rFonts w:eastAsia="Calibri" w:cs="Sylfaen"/>
                <w:color w:val="000000" w:themeColor="text1"/>
                <w:spacing w:val="-8"/>
                <w:sz w:val="20"/>
                <w:szCs w:val="20"/>
                <w:lang w:val="eu-ES"/>
              </w:rPr>
              <w:softHyphen/>
            </w:r>
            <w:r w:rsidRPr="0053423A">
              <w:rPr>
                <w:rFonts w:eastAsia="Calibri" w:cs="Sylfaen"/>
                <w:color w:val="000000" w:themeColor="text1"/>
                <w:spacing w:val="-8"/>
                <w:sz w:val="20"/>
                <w:szCs w:val="20"/>
                <w:lang w:val="hy-AM"/>
              </w:rPr>
              <w:t>կական մատուցումը իր ուսումնական հաստատության կրթական միջավայրում:</w:t>
            </w:r>
          </w:p>
          <w:p w:rsidR="00154773" w:rsidRPr="0053423A" w:rsidRDefault="00154773" w:rsidP="00154773">
            <w:pPr>
              <w:jc w:val="center"/>
              <w:rPr>
                <w:rFonts w:eastAsia="Times New Roman" w:cs="Times New Roman"/>
                <w:b/>
                <w:sz w:val="20"/>
                <w:szCs w:val="20"/>
                <w:lang w:val="hy-AM"/>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jc w:val="center"/>
              <w:rPr>
                <w:rFonts w:cs="Arial"/>
                <w:b/>
                <w:sz w:val="20"/>
                <w:szCs w:val="20"/>
                <w:u w:val="single"/>
                <w:lang w:val="hy-AM"/>
              </w:rPr>
            </w:pPr>
            <w:r w:rsidRPr="0053423A">
              <w:rPr>
                <w:rFonts w:eastAsia="Times New Roman" w:cs="Times New Roman"/>
                <w:b/>
                <w:sz w:val="20"/>
                <w:szCs w:val="20"/>
                <w:u w:val="single"/>
                <w:lang w:val="hy-AM"/>
              </w:rPr>
              <w:t xml:space="preserve">17.2. </w:t>
            </w:r>
            <w:r w:rsidRPr="0053423A">
              <w:rPr>
                <w:rFonts w:cs="Arial"/>
                <w:b/>
                <w:sz w:val="20"/>
                <w:szCs w:val="20"/>
                <w:u w:val="single"/>
                <w:lang w:val="hy-AM"/>
              </w:rPr>
              <w:t>Հանրակրթական դպրոցների և նոր ձևավորված տարածքային մանկավարժահոգեբանական աջակցության կենտրոնների մանկավարժական աշխատողների վերապատրաստում</w:t>
            </w:r>
          </w:p>
          <w:p w:rsidR="00154773" w:rsidRPr="0053423A" w:rsidRDefault="00154773" w:rsidP="00154773">
            <w:pPr>
              <w:jc w:val="both"/>
              <w:rPr>
                <w:rFonts w:cs="Arial"/>
                <w:sz w:val="20"/>
                <w:szCs w:val="20"/>
                <w:lang w:val="hy-AM"/>
              </w:rPr>
            </w:pPr>
          </w:p>
          <w:p w:rsidR="00154773" w:rsidRPr="0053423A" w:rsidRDefault="00154773" w:rsidP="00154773">
            <w:pPr>
              <w:tabs>
                <w:tab w:val="left" w:pos="2694"/>
              </w:tabs>
              <w:ind w:firstLine="284"/>
              <w:contextualSpacing/>
              <w:rPr>
                <w:b/>
                <w:color w:val="000000" w:themeColor="text1"/>
                <w:sz w:val="20"/>
                <w:szCs w:val="20"/>
                <w:lang w:val="hy-AM"/>
              </w:rPr>
            </w:pPr>
            <w:r w:rsidRPr="0053423A">
              <w:rPr>
                <w:b/>
                <w:color w:val="000000" w:themeColor="text1"/>
                <w:sz w:val="20"/>
                <w:szCs w:val="20"/>
                <w:lang w:val="hy-AM"/>
              </w:rPr>
              <w:t>1. Միջոցառման իրականացման անհրաժեշտությունը և նպատակը</w:t>
            </w:r>
          </w:p>
          <w:p w:rsidR="00154773" w:rsidRPr="0053423A" w:rsidRDefault="00154773" w:rsidP="00154773">
            <w:pPr>
              <w:ind w:firstLine="284"/>
              <w:jc w:val="both"/>
              <w:rPr>
                <w:rFonts w:eastAsia="Calibri" w:cs="Sylfaen"/>
                <w:color w:val="000000" w:themeColor="text1"/>
                <w:spacing w:val="-8"/>
                <w:sz w:val="20"/>
                <w:szCs w:val="20"/>
                <w:lang w:val="hy-AM"/>
              </w:rPr>
            </w:pPr>
          </w:p>
          <w:p w:rsidR="00154773" w:rsidRPr="0053423A" w:rsidRDefault="00154773" w:rsidP="00154773">
            <w:pPr>
              <w:ind w:firstLine="284"/>
              <w:contextualSpacing/>
              <w:jc w:val="both"/>
              <w:rPr>
                <w:rFonts w:eastAsia="Times New Roman" w:cs="Sylfaen"/>
                <w:sz w:val="20"/>
                <w:szCs w:val="20"/>
                <w:lang w:val="hy-AM"/>
              </w:rPr>
            </w:pPr>
            <w:r w:rsidRPr="0053423A">
              <w:rPr>
                <w:rFonts w:eastAsia="Times New Roman" w:cs="Sylfaen"/>
                <w:sz w:val="20"/>
                <w:szCs w:val="20"/>
                <w:lang w:val="hy-AM"/>
              </w:rPr>
              <w:t>Միջոցառման գլխավոր նպատակն է որակյալ կրթության հավասար մատչելիության և ընդգրկվածության ապահովումը:</w:t>
            </w:r>
          </w:p>
          <w:p w:rsidR="00154773" w:rsidRPr="0053423A" w:rsidRDefault="00154773" w:rsidP="00154773">
            <w:pPr>
              <w:tabs>
                <w:tab w:val="left" w:pos="2694"/>
              </w:tabs>
              <w:ind w:firstLine="284"/>
              <w:contextualSpacing/>
              <w:jc w:val="both"/>
              <w:rPr>
                <w:rFonts w:eastAsia="Calibri" w:cs="Sylfaen"/>
                <w:color w:val="000000" w:themeColor="text1"/>
                <w:sz w:val="20"/>
                <w:szCs w:val="20"/>
                <w:lang w:val="hy-AM"/>
              </w:rPr>
            </w:pPr>
            <w:r w:rsidRPr="0053423A">
              <w:rPr>
                <w:rFonts w:cs="Arial"/>
                <w:sz w:val="20"/>
                <w:szCs w:val="20"/>
                <w:lang w:val="hy-AM"/>
              </w:rPr>
              <w:t xml:space="preserve"> </w:t>
            </w:r>
            <w:r w:rsidRPr="0053423A">
              <w:rPr>
                <w:rFonts w:eastAsia="Calibri" w:cs="Sylfaen"/>
                <w:color w:val="000000" w:themeColor="text1"/>
                <w:sz w:val="20"/>
                <w:szCs w:val="20"/>
                <w:lang w:val="hy-AM"/>
              </w:rPr>
              <w:t>Անհրաժեշտությունը</w:t>
            </w:r>
            <w:r w:rsidRPr="0053423A">
              <w:rPr>
                <w:rFonts w:eastAsia="Calibri" w:cs="Sylfaen"/>
                <w:color w:val="000000" w:themeColor="text1"/>
                <w:sz w:val="20"/>
                <w:szCs w:val="20"/>
                <w:lang w:val="pt-BR"/>
              </w:rPr>
              <w:t xml:space="preserve"> </w:t>
            </w:r>
            <w:r w:rsidRPr="0053423A">
              <w:rPr>
                <w:rFonts w:eastAsia="Calibri" w:cs="Sylfaen"/>
                <w:color w:val="000000" w:themeColor="text1"/>
                <w:sz w:val="20"/>
                <w:szCs w:val="20"/>
                <w:lang w:val="hy-AM"/>
              </w:rPr>
              <w:t>բխում</w:t>
            </w:r>
            <w:r w:rsidRPr="0053423A">
              <w:rPr>
                <w:rFonts w:eastAsia="Calibri" w:cs="Sylfaen"/>
                <w:color w:val="000000" w:themeColor="text1"/>
                <w:sz w:val="20"/>
                <w:szCs w:val="20"/>
                <w:lang w:val="pt-BR"/>
              </w:rPr>
              <w:t xml:space="preserve"> </w:t>
            </w:r>
            <w:r w:rsidRPr="0053423A">
              <w:rPr>
                <w:rFonts w:eastAsia="Calibri" w:cs="Sylfaen"/>
                <w:color w:val="000000" w:themeColor="text1"/>
                <w:sz w:val="20"/>
                <w:szCs w:val="20"/>
                <w:lang w:val="hy-AM"/>
              </w:rPr>
              <w:t>է</w:t>
            </w:r>
            <w:r w:rsidRPr="0053423A">
              <w:rPr>
                <w:rFonts w:eastAsia="Calibri" w:cs="Sylfaen"/>
                <w:color w:val="000000" w:themeColor="text1"/>
                <w:sz w:val="20"/>
                <w:szCs w:val="20"/>
                <w:lang w:val="pt-BR"/>
              </w:rPr>
              <w:t xml:space="preserve"> </w:t>
            </w:r>
            <w:r w:rsidRPr="0053423A">
              <w:rPr>
                <w:rFonts w:eastAsia="Calibri" w:cs="Sylfaen"/>
                <w:color w:val="000000" w:themeColor="text1"/>
                <w:sz w:val="20"/>
                <w:szCs w:val="20"/>
                <w:lang w:val="hy-AM"/>
              </w:rPr>
              <w:t xml:space="preserve">ՀՀ կառավարության 2017 թվականի փետրվարի 16-ի N141-Ն որոշման, ՀՀ կառավարության 2016 թվականի փետրվարի 18-ի N6 </w:t>
            </w:r>
            <w:r w:rsidRPr="0053423A">
              <w:rPr>
                <w:rFonts w:eastAsia="Calibri" w:cs="Sylfaen"/>
                <w:color w:val="000000" w:themeColor="text1"/>
                <w:spacing w:val="-8"/>
                <w:sz w:val="20"/>
                <w:szCs w:val="20"/>
                <w:lang w:val="hy-AM"/>
              </w:rPr>
              <w:t>արձա</w:t>
            </w:r>
            <w:r w:rsidRPr="0053423A">
              <w:rPr>
                <w:rFonts w:eastAsia="Calibri" w:cs="Sylfaen"/>
                <w:color w:val="000000" w:themeColor="text1"/>
                <w:spacing w:val="-8"/>
                <w:sz w:val="20"/>
                <w:szCs w:val="20"/>
                <w:lang w:val="hy-AM"/>
              </w:rPr>
              <w:softHyphen/>
              <w:t xml:space="preserve">նագրային որոշմամբ հավանության արժանացած համընդհանուր ներառական </w:t>
            </w:r>
            <w:r w:rsidRPr="0053423A">
              <w:rPr>
                <w:rFonts w:eastAsia="Calibri" w:cs="Sylfaen"/>
                <w:color w:val="000000" w:themeColor="text1"/>
                <w:sz w:val="20"/>
                <w:szCs w:val="20"/>
                <w:lang w:val="hy-AM"/>
              </w:rPr>
              <w:t>կրթության համակարգի ներդրման գործողու</w:t>
            </w:r>
            <w:r w:rsidRPr="0053423A">
              <w:rPr>
                <w:rFonts w:eastAsia="Calibri" w:cs="Sylfaen"/>
                <w:color w:val="000000" w:themeColor="text1"/>
                <w:sz w:val="20"/>
                <w:szCs w:val="20"/>
                <w:lang w:val="hy-AM"/>
              </w:rPr>
              <w:softHyphen/>
              <w:t>թյուն</w:t>
            </w:r>
            <w:r w:rsidRPr="0053423A">
              <w:rPr>
                <w:rFonts w:eastAsia="Calibri" w:cs="Sylfaen"/>
                <w:color w:val="000000" w:themeColor="text1"/>
                <w:sz w:val="20"/>
                <w:szCs w:val="20"/>
                <w:lang w:val="hy-AM"/>
              </w:rPr>
              <w:softHyphen/>
              <w:t xml:space="preserve">ների պլանի և ժամանակացույցի </w:t>
            </w:r>
            <w:r w:rsidRPr="0053423A">
              <w:rPr>
                <w:rFonts w:eastAsia="Calibri" w:cs="Sylfaen"/>
                <w:color w:val="000000" w:themeColor="text1"/>
                <w:sz w:val="20"/>
                <w:szCs w:val="20"/>
                <w:lang w:val="pt-BR"/>
              </w:rPr>
              <w:t>1</w:t>
            </w:r>
            <w:r w:rsidRPr="0053423A">
              <w:rPr>
                <w:rFonts w:eastAsia="Calibri" w:cs="Sylfaen"/>
                <w:color w:val="000000" w:themeColor="text1"/>
                <w:sz w:val="20"/>
                <w:szCs w:val="20"/>
                <w:lang w:val="hy-AM"/>
              </w:rPr>
              <w:t xml:space="preserve">8-44-րդ կետերի պահանջներից, ինչպես նաև </w:t>
            </w:r>
            <w:r w:rsidRPr="0053423A">
              <w:rPr>
                <w:spacing w:val="-4"/>
                <w:sz w:val="20"/>
                <w:szCs w:val="20"/>
                <w:lang w:val="hy-AM"/>
              </w:rPr>
              <w:t xml:space="preserve"> ՀՀ ԱԺ 2019 թվականի փետրվարի 14-ի ԱԺՈ-002-Ն որոշմամբ հավանության արժանացած ՀՀ կառավարության ծրագրի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xml:space="preserve">»  </w:t>
            </w:r>
            <w:r w:rsidRPr="0053423A">
              <w:rPr>
                <w:rFonts w:eastAsia="Calibri" w:cs="Sylfaen"/>
                <w:sz w:val="20"/>
                <w:szCs w:val="20"/>
                <w:lang w:val="hy-AM"/>
              </w:rPr>
              <w:t xml:space="preserve">բաժնի </w:t>
            </w:r>
            <w:r w:rsidRPr="0053423A">
              <w:rPr>
                <w:rFonts w:eastAsia="Calibri" w:cs="Arian AMU"/>
                <w:color w:val="000000" w:themeColor="text1"/>
                <w:sz w:val="20"/>
                <w:szCs w:val="20"/>
                <w:lang w:val="hy-AM"/>
              </w:rPr>
              <w:t xml:space="preserve">4-րդ պարբերությունից` </w:t>
            </w:r>
            <w:r w:rsidRPr="0053423A">
              <w:rPr>
                <w:rFonts w:cs="Arial"/>
                <w:color w:val="000000" w:themeColor="text1"/>
                <w:sz w:val="20"/>
                <w:szCs w:val="20"/>
                <w:lang w:val="hy-AM"/>
              </w:rPr>
              <w:t>ապահովելու համար անցումը</w:t>
            </w:r>
            <w:r w:rsidRPr="0053423A">
              <w:rPr>
                <w:color w:val="000000" w:themeColor="text1"/>
                <w:sz w:val="20"/>
                <w:szCs w:val="20"/>
                <w:lang w:val="hy-AM"/>
              </w:rPr>
              <w:t xml:space="preserve"> </w:t>
            </w:r>
            <w:r w:rsidRPr="0053423A">
              <w:rPr>
                <w:rFonts w:cs="Arial"/>
                <w:color w:val="000000" w:themeColor="text1"/>
                <w:sz w:val="20"/>
                <w:szCs w:val="20"/>
                <w:lang w:val="hy-AM"/>
              </w:rPr>
              <w:t>համընդհանուր</w:t>
            </w:r>
            <w:r w:rsidRPr="0053423A">
              <w:rPr>
                <w:color w:val="000000" w:themeColor="text1"/>
                <w:sz w:val="20"/>
                <w:szCs w:val="20"/>
                <w:lang w:val="hy-AM"/>
              </w:rPr>
              <w:t xml:space="preserve"> </w:t>
            </w:r>
            <w:r w:rsidRPr="0053423A">
              <w:rPr>
                <w:rFonts w:cs="Arial"/>
                <w:color w:val="000000" w:themeColor="text1"/>
                <w:sz w:val="20"/>
                <w:szCs w:val="20"/>
                <w:lang w:val="hy-AM"/>
              </w:rPr>
              <w:t>ներառական</w:t>
            </w:r>
            <w:r w:rsidRPr="0053423A">
              <w:rPr>
                <w:color w:val="000000" w:themeColor="text1"/>
                <w:sz w:val="20"/>
                <w:szCs w:val="20"/>
                <w:lang w:val="hy-AM"/>
              </w:rPr>
              <w:t xml:space="preserve"> </w:t>
            </w:r>
            <w:r w:rsidRPr="0053423A">
              <w:rPr>
                <w:rFonts w:cs="Arial"/>
                <w:color w:val="000000" w:themeColor="text1"/>
                <w:sz w:val="20"/>
                <w:szCs w:val="20"/>
                <w:lang w:val="hy-AM"/>
              </w:rPr>
              <w:t>հանրակրթությանը</w:t>
            </w:r>
            <w:r w:rsidRPr="0053423A">
              <w:rPr>
                <w:color w:val="000000" w:themeColor="text1"/>
                <w:sz w:val="20"/>
                <w:szCs w:val="20"/>
                <w:lang w:val="hy-AM"/>
              </w:rPr>
              <w:t xml:space="preserve"> </w:t>
            </w:r>
            <w:r w:rsidRPr="0053423A">
              <w:rPr>
                <w:rFonts w:cs="Arial"/>
                <w:color w:val="000000" w:themeColor="text1"/>
                <w:sz w:val="20"/>
                <w:szCs w:val="20"/>
                <w:lang w:val="hy-AM"/>
              </w:rPr>
              <w:t>հանրապետության</w:t>
            </w:r>
            <w:r w:rsidRPr="0053423A">
              <w:rPr>
                <w:color w:val="000000" w:themeColor="text1"/>
                <w:sz w:val="20"/>
                <w:szCs w:val="20"/>
                <w:lang w:val="hy-AM"/>
              </w:rPr>
              <w:t xml:space="preserve"> </w:t>
            </w:r>
            <w:r w:rsidRPr="0053423A">
              <w:rPr>
                <w:rFonts w:cs="Arial"/>
                <w:color w:val="000000" w:themeColor="text1"/>
                <w:sz w:val="20"/>
                <w:szCs w:val="20"/>
                <w:lang w:val="hy-AM"/>
              </w:rPr>
              <w:t>բոլոր</w:t>
            </w:r>
            <w:r w:rsidRPr="0053423A">
              <w:rPr>
                <w:color w:val="000000" w:themeColor="text1"/>
                <w:sz w:val="20"/>
                <w:szCs w:val="20"/>
                <w:lang w:val="hy-AM"/>
              </w:rPr>
              <w:t xml:space="preserve"> </w:t>
            </w:r>
            <w:r w:rsidRPr="0053423A">
              <w:rPr>
                <w:rFonts w:cs="Arial"/>
                <w:color w:val="000000" w:themeColor="text1"/>
                <w:sz w:val="20"/>
                <w:szCs w:val="20"/>
                <w:lang w:val="hy-AM"/>
              </w:rPr>
              <w:t>մարզերում</w:t>
            </w:r>
            <w:r w:rsidRPr="0053423A">
              <w:rPr>
                <w:color w:val="000000" w:themeColor="text1"/>
                <w:sz w:val="20"/>
                <w:szCs w:val="20"/>
                <w:lang w:val="hy-AM"/>
              </w:rPr>
              <w:t xml:space="preserve">  </w:t>
            </w:r>
            <w:r w:rsidRPr="0053423A">
              <w:rPr>
                <w:rFonts w:cs="Arial"/>
                <w:color w:val="000000" w:themeColor="text1"/>
                <w:sz w:val="20"/>
                <w:szCs w:val="20"/>
                <w:lang w:val="hy-AM"/>
              </w:rPr>
              <w:t xml:space="preserve">և </w:t>
            </w:r>
            <w:r w:rsidRPr="0053423A">
              <w:rPr>
                <w:color w:val="000000" w:themeColor="text1"/>
                <w:sz w:val="20"/>
                <w:szCs w:val="20"/>
                <w:lang w:val="hy-AM"/>
              </w:rPr>
              <w:t xml:space="preserve"> </w:t>
            </w:r>
            <w:r w:rsidRPr="0053423A">
              <w:rPr>
                <w:rFonts w:cs="Arial"/>
                <w:color w:val="000000" w:themeColor="text1"/>
                <w:sz w:val="20"/>
                <w:szCs w:val="20"/>
                <w:lang w:val="hy-AM"/>
              </w:rPr>
              <w:t>Երևան</w:t>
            </w:r>
            <w:r w:rsidRPr="0053423A">
              <w:rPr>
                <w:color w:val="000000" w:themeColor="text1"/>
                <w:sz w:val="20"/>
                <w:szCs w:val="20"/>
                <w:lang w:val="hy-AM"/>
              </w:rPr>
              <w:t xml:space="preserve">  </w:t>
            </w:r>
            <w:r w:rsidRPr="0053423A">
              <w:rPr>
                <w:rFonts w:cs="Arial"/>
                <w:color w:val="000000" w:themeColor="text1"/>
                <w:sz w:val="20"/>
                <w:szCs w:val="20"/>
                <w:lang w:val="hy-AM"/>
              </w:rPr>
              <w:t>քաղաքում</w:t>
            </w:r>
            <w:r w:rsidRPr="0053423A">
              <w:rPr>
                <w:color w:val="000000" w:themeColor="text1"/>
                <w:sz w:val="20"/>
                <w:szCs w:val="20"/>
                <w:lang w:val="hy-AM"/>
              </w:rPr>
              <w:t xml:space="preserve">  </w:t>
            </w:r>
            <w:r w:rsidRPr="0053423A">
              <w:rPr>
                <w:rFonts w:cs="Arial"/>
                <w:color w:val="000000" w:themeColor="text1"/>
                <w:sz w:val="20"/>
                <w:szCs w:val="20"/>
                <w:lang w:val="hy-AM"/>
              </w:rPr>
              <w:t>մինչև</w:t>
            </w:r>
            <w:r w:rsidRPr="0053423A">
              <w:rPr>
                <w:color w:val="000000" w:themeColor="text1"/>
                <w:sz w:val="20"/>
                <w:szCs w:val="20"/>
                <w:lang w:val="hy-AM"/>
              </w:rPr>
              <w:t xml:space="preserve">  2023 </w:t>
            </w:r>
            <w:r w:rsidRPr="0053423A">
              <w:rPr>
                <w:rFonts w:cs="Arial"/>
                <w:color w:val="000000" w:themeColor="text1"/>
                <w:sz w:val="20"/>
                <w:szCs w:val="20"/>
                <w:lang w:val="hy-AM"/>
              </w:rPr>
              <w:t>թվականը</w:t>
            </w:r>
            <w:r w:rsidRPr="0053423A">
              <w:rPr>
                <w:rFonts w:eastAsia="Calibri" w:cs="Sylfaen"/>
                <w:color w:val="000000" w:themeColor="text1"/>
                <w:sz w:val="20"/>
                <w:szCs w:val="20"/>
                <w:lang w:val="hy-AM"/>
              </w:rPr>
              <w:t xml:space="preserve">: Վերապատրաստման նպատակաը  կրթության առանձնահատուկ պայմանների կարիք ունեցող սովորղոների հետ աշխատող անձնակազմին համապատասխան գիտելիքներով և հմտություններով զինելն է: </w:t>
            </w:r>
          </w:p>
          <w:p w:rsidR="00154773" w:rsidRPr="0053423A" w:rsidRDefault="00154773" w:rsidP="00154773">
            <w:pPr>
              <w:rPr>
                <w:rFonts w:cs="Arial"/>
                <w:sz w:val="20"/>
                <w:szCs w:val="20"/>
                <w:lang w:val="hy-AM"/>
              </w:rPr>
            </w:pPr>
          </w:p>
          <w:p w:rsidR="00154773" w:rsidRPr="0053423A" w:rsidRDefault="00154773" w:rsidP="00154773">
            <w:pPr>
              <w:rPr>
                <w:b/>
                <w:color w:val="000000" w:themeColor="text1"/>
                <w:sz w:val="20"/>
                <w:szCs w:val="20"/>
                <w:lang w:val="hy-AM"/>
              </w:rPr>
            </w:pPr>
            <w:r w:rsidRPr="0053423A">
              <w:rPr>
                <w:b/>
                <w:color w:val="000000" w:themeColor="text1"/>
                <w:sz w:val="20"/>
                <w:szCs w:val="20"/>
                <w:lang w:val="hy-AM"/>
              </w:rPr>
              <w:t>1.1. կարգավորման հարաբերությունների ներկա վիճակը և առկա խնդիրները</w:t>
            </w:r>
          </w:p>
          <w:p w:rsidR="00154773" w:rsidRPr="0053423A" w:rsidRDefault="00154773" w:rsidP="00154773">
            <w:pPr>
              <w:rPr>
                <w:sz w:val="20"/>
                <w:szCs w:val="20"/>
                <w:lang w:val="hy-AM"/>
              </w:rPr>
            </w:pPr>
          </w:p>
          <w:p w:rsidR="00154773" w:rsidRPr="0053423A" w:rsidRDefault="00154773" w:rsidP="00154773">
            <w:pPr>
              <w:tabs>
                <w:tab w:val="left" w:pos="2694"/>
              </w:tabs>
              <w:ind w:firstLine="284"/>
              <w:contextualSpacing/>
              <w:jc w:val="both"/>
              <w:rPr>
                <w:color w:val="000000" w:themeColor="text1"/>
                <w:sz w:val="20"/>
                <w:szCs w:val="20"/>
                <w:lang w:val="et-EE"/>
              </w:rPr>
            </w:pPr>
            <w:r w:rsidRPr="0053423A">
              <w:rPr>
                <w:color w:val="000000" w:themeColor="text1"/>
                <w:sz w:val="20"/>
                <w:szCs w:val="20"/>
                <w:lang w:val="hy-AM"/>
              </w:rPr>
              <w:t>ՀՀ</w:t>
            </w:r>
            <w:r w:rsidRPr="0053423A">
              <w:rPr>
                <w:color w:val="000000" w:themeColor="text1"/>
                <w:sz w:val="20"/>
                <w:szCs w:val="20"/>
                <w:lang w:val="et-EE"/>
              </w:rPr>
              <w:t xml:space="preserve"> </w:t>
            </w:r>
            <w:r w:rsidRPr="0053423A">
              <w:rPr>
                <w:color w:val="000000" w:themeColor="text1"/>
                <w:sz w:val="20"/>
                <w:szCs w:val="20"/>
                <w:lang w:val="hy-AM"/>
              </w:rPr>
              <w:t>Ազգային</w:t>
            </w:r>
            <w:r w:rsidRPr="0053423A">
              <w:rPr>
                <w:color w:val="000000" w:themeColor="text1"/>
                <w:sz w:val="20"/>
                <w:szCs w:val="20"/>
                <w:lang w:val="et-EE"/>
              </w:rPr>
              <w:t xml:space="preserve"> </w:t>
            </w:r>
            <w:r w:rsidRPr="0053423A">
              <w:rPr>
                <w:color w:val="000000" w:themeColor="text1"/>
                <w:sz w:val="20"/>
                <w:szCs w:val="20"/>
                <w:lang w:val="hy-AM"/>
              </w:rPr>
              <w:t>ժողովի</w:t>
            </w:r>
            <w:r w:rsidRPr="0053423A">
              <w:rPr>
                <w:color w:val="000000" w:themeColor="text1"/>
                <w:sz w:val="20"/>
                <w:szCs w:val="20"/>
                <w:lang w:val="et-EE"/>
              </w:rPr>
              <w:t xml:space="preserve"> </w:t>
            </w:r>
            <w:r w:rsidRPr="0053423A">
              <w:rPr>
                <w:color w:val="000000" w:themeColor="text1"/>
                <w:sz w:val="20"/>
                <w:szCs w:val="20"/>
                <w:lang w:val="hy-AM"/>
              </w:rPr>
              <w:t>կողմից</w:t>
            </w:r>
            <w:r w:rsidRPr="0053423A">
              <w:rPr>
                <w:color w:val="000000" w:themeColor="text1"/>
                <w:sz w:val="20"/>
                <w:szCs w:val="20"/>
                <w:lang w:val="et-EE"/>
              </w:rPr>
              <w:t xml:space="preserve"> 2014 </w:t>
            </w:r>
            <w:r w:rsidRPr="0053423A">
              <w:rPr>
                <w:color w:val="000000" w:themeColor="text1"/>
                <w:sz w:val="20"/>
                <w:szCs w:val="20"/>
                <w:lang w:val="hy-AM"/>
              </w:rPr>
              <w:t>թվականի</w:t>
            </w:r>
            <w:r w:rsidRPr="0053423A">
              <w:rPr>
                <w:color w:val="000000" w:themeColor="text1"/>
                <w:sz w:val="20"/>
                <w:szCs w:val="20"/>
                <w:lang w:val="et-EE"/>
              </w:rPr>
              <w:t xml:space="preserve"> </w:t>
            </w:r>
            <w:r w:rsidRPr="0053423A">
              <w:rPr>
                <w:color w:val="000000" w:themeColor="text1"/>
                <w:sz w:val="20"/>
                <w:szCs w:val="20"/>
                <w:lang w:val="hy-AM"/>
              </w:rPr>
              <w:t>դեկտեմբերի</w:t>
            </w:r>
            <w:r w:rsidRPr="0053423A">
              <w:rPr>
                <w:color w:val="000000" w:themeColor="text1"/>
                <w:sz w:val="20"/>
                <w:szCs w:val="20"/>
                <w:lang w:val="et-EE"/>
              </w:rPr>
              <w:t xml:space="preserve"> 1-</w:t>
            </w:r>
            <w:r w:rsidRPr="0053423A">
              <w:rPr>
                <w:color w:val="000000" w:themeColor="text1"/>
                <w:sz w:val="20"/>
                <w:szCs w:val="20"/>
                <w:lang w:val="hy-AM"/>
              </w:rPr>
              <w:t>ին</w:t>
            </w:r>
            <w:r w:rsidRPr="0053423A">
              <w:rPr>
                <w:color w:val="000000" w:themeColor="text1"/>
                <w:sz w:val="20"/>
                <w:szCs w:val="20"/>
                <w:lang w:val="et-EE"/>
              </w:rPr>
              <w:t xml:space="preserve"> </w:t>
            </w:r>
            <w:r w:rsidRPr="0053423A">
              <w:rPr>
                <w:color w:val="000000" w:themeColor="text1"/>
                <w:sz w:val="20"/>
                <w:szCs w:val="20"/>
                <w:lang w:val="hy-AM"/>
              </w:rPr>
              <w:t>ընդունվեց</w:t>
            </w:r>
            <w:r w:rsidRPr="0053423A">
              <w:rPr>
                <w:color w:val="000000" w:themeColor="text1"/>
                <w:sz w:val="20"/>
                <w:szCs w:val="20"/>
                <w:lang w:val="et-EE"/>
              </w:rPr>
              <w:t xml:space="preserve"> «</w:t>
            </w:r>
            <w:r w:rsidRPr="0053423A">
              <w:rPr>
                <w:color w:val="000000" w:themeColor="text1"/>
                <w:sz w:val="20"/>
                <w:szCs w:val="20"/>
                <w:lang w:val="hy-AM"/>
              </w:rPr>
              <w:t>Հանրակրթության</w:t>
            </w:r>
            <w:r w:rsidRPr="0053423A">
              <w:rPr>
                <w:color w:val="000000" w:themeColor="text1"/>
                <w:sz w:val="20"/>
                <w:szCs w:val="20"/>
                <w:lang w:val="et-EE"/>
              </w:rPr>
              <w:t xml:space="preserve"> </w:t>
            </w:r>
            <w:r w:rsidRPr="0053423A">
              <w:rPr>
                <w:color w:val="000000" w:themeColor="text1"/>
                <w:sz w:val="20"/>
                <w:szCs w:val="20"/>
                <w:lang w:val="hy-AM"/>
              </w:rPr>
              <w:t>մասին</w:t>
            </w:r>
            <w:r w:rsidRPr="0053423A">
              <w:rPr>
                <w:color w:val="000000" w:themeColor="text1"/>
                <w:sz w:val="20"/>
                <w:szCs w:val="20"/>
                <w:lang w:val="et-EE"/>
              </w:rPr>
              <w:t xml:space="preserve">»  </w:t>
            </w:r>
            <w:r w:rsidRPr="0053423A">
              <w:rPr>
                <w:color w:val="000000" w:themeColor="text1"/>
                <w:sz w:val="20"/>
                <w:szCs w:val="20"/>
                <w:lang w:val="hy-AM"/>
              </w:rPr>
              <w:t>ՀՀ</w:t>
            </w:r>
            <w:r w:rsidRPr="0053423A">
              <w:rPr>
                <w:color w:val="000000" w:themeColor="text1"/>
                <w:sz w:val="20"/>
                <w:szCs w:val="20"/>
                <w:lang w:val="et-EE"/>
              </w:rPr>
              <w:t xml:space="preserve">  </w:t>
            </w:r>
            <w:r w:rsidRPr="0053423A">
              <w:rPr>
                <w:color w:val="000000" w:themeColor="text1"/>
                <w:sz w:val="20"/>
                <w:szCs w:val="20"/>
                <w:lang w:val="hy-AM"/>
              </w:rPr>
              <w:t>օրենքում</w:t>
            </w:r>
            <w:r w:rsidRPr="0053423A">
              <w:rPr>
                <w:color w:val="000000" w:themeColor="text1"/>
                <w:sz w:val="20"/>
                <w:szCs w:val="20"/>
                <w:lang w:val="et-EE"/>
              </w:rPr>
              <w:t xml:space="preserve"> </w:t>
            </w:r>
            <w:r w:rsidRPr="0053423A">
              <w:rPr>
                <w:color w:val="000000" w:themeColor="text1"/>
                <w:sz w:val="20"/>
                <w:szCs w:val="20"/>
                <w:lang w:val="hy-AM"/>
              </w:rPr>
              <w:t>լրացումներ</w:t>
            </w:r>
            <w:r w:rsidRPr="0053423A">
              <w:rPr>
                <w:color w:val="000000" w:themeColor="text1"/>
                <w:sz w:val="20"/>
                <w:szCs w:val="20"/>
                <w:lang w:val="et-EE"/>
              </w:rPr>
              <w:t xml:space="preserve"> </w:t>
            </w:r>
            <w:r w:rsidRPr="0053423A">
              <w:rPr>
                <w:color w:val="000000" w:themeColor="text1"/>
                <w:sz w:val="20"/>
                <w:szCs w:val="20"/>
                <w:lang w:val="hy-AM"/>
              </w:rPr>
              <w:t>և</w:t>
            </w:r>
            <w:r w:rsidRPr="0053423A">
              <w:rPr>
                <w:color w:val="000000" w:themeColor="text1"/>
                <w:sz w:val="20"/>
                <w:szCs w:val="20"/>
                <w:lang w:val="et-EE"/>
              </w:rPr>
              <w:t xml:space="preserve"> </w:t>
            </w:r>
            <w:r w:rsidRPr="0053423A">
              <w:rPr>
                <w:color w:val="000000" w:themeColor="text1"/>
                <w:sz w:val="20"/>
                <w:szCs w:val="20"/>
                <w:lang w:val="hy-AM"/>
              </w:rPr>
              <w:t>փոփոխություններ</w:t>
            </w:r>
            <w:r w:rsidRPr="0053423A">
              <w:rPr>
                <w:color w:val="000000" w:themeColor="text1"/>
                <w:sz w:val="20"/>
                <w:szCs w:val="20"/>
                <w:lang w:val="et-EE"/>
              </w:rPr>
              <w:t xml:space="preserve"> </w:t>
            </w:r>
            <w:r w:rsidRPr="0053423A">
              <w:rPr>
                <w:color w:val="000000" w:themeColor="text1"/>
                <w:sz w:val="20"/>
                <w:szCs w:val="20"/>
                <w:lang w:val="hy-AM"/>
              </w:rPr>
              <w:t>կատարելու</w:t>
            </w:r>
            <w:r w:rsidRPr="0053423A">
              <w:rPr>
                <w:color w:val="000000" w:themeColor="text1"/>
                <w:sz w:val="20"/>
                <w:szCs w:val="20"/>
                <w:lang w:val="et-EE"/>
              </w:rPr>
              <w:t xml:space="preserve"> </w:t>
            </w:r>
            <w:r w:rsidRPr="0053423A">
              <w:rPr>
                <w:color w:val="000000" w:themeColor="text1"/>
                <w:sz w:val="20"/>
                <w:szCs w:val="20"/>
                <w:lang w:val="hy-AM"/>
              </w:rPr>
              <w:t>մասին</w:t>
            </w:r>
            <w:r w:rsidRPr="0053423A">
              <w:rPr>
                <w:color w:val="000000" w:themeColor="text1"/>
                <w:sz w:val="20"/>
                <w:szCs w:val="20"/>
                <w:lang w:val="et-EE"/>
              </w:rPr>
              <w:t xml:space="preserve">» </w:t>
            </w:r>
            <w:r w:rsidRPr="0053423A">
              <w:rPr>
                <w:color w:val="000000" w:themeColor="text1"/>
                <w:sz w:val="20"/>
                <w:szCs w:val="20"/>
                <w:lang w:val="hy-AM"/>
              </w:rPr>
              <w:t>ՀՀ</w:t>
            </w:r>
            <w:r w:rsidRPr="0053423A">
              <w:rPr>
                <w:color w:val="000000" w:themeColor="text1"/>
                <w:sz w:val="20"/>
                <w:szCs w:val="20"/>
                <w:lang w:val="et-EE"/>
              </w:rPr>
              <w:t xml:space="preserve"> </w:t>
            </w:r>
            <w:r w:rsidRPr="0053423A">
              <w:rPr>
                <w:color w:val="000000" w:themeColor="text1"/>
                <w:sz w:val="20"/>
                <w:szCs w:val="20"/>
                <w:lang w:val="hy-AM"/>
              </w:rPr>
              <w:t>օրենքը</w:t>
            </w:r>
            <w:r w:rsidRPr="0053423A">
              <w:rPr>
                <w:color w:val="000000" w:themeColor="text1"/>
                <w:sz w:val="20"/>
                <w:szCs w:val="20"/>
                <w:lang w:val="et-EE"/>
              </w:rPr>
              <w:t xml:space="preserve"> (</w:t>
            </w:r>
            <w:r w:rsidRPr="0053423A">
              <w:rPr>
                <w:color w:val="000000" w:themeColor="text1"/>
                <w:sz w:val="20"/>
                <w:szCs w:val="20"/>
                <w:lang w:val="hy-AM"/>
              </w:rPr>
              <w:t>ՀՕ</w:t>
            </w:r>
            <w:r w:rsidRPr="0053423A">
              <w:rPr>
                <w:color w:val="000000" w:themeColor="text1"/>
                <w:sz w:val="20"/>
                <w:szCs w:val="20"/>
                <w:lang w:val="et-EE"/>
              </w:rPr>
              <w:t>-200-</w:t>
            </w:r>
            <w:r w:rsidRPr="0053423A">
              <w:rPr>
                <w:color w:val="000000" w:themeColor="text1"/>
                <w:sz w:val="20"/>
                <w:szCs w:val="20"/>
                <w:lang w:val="hy-AM"/>
              </w:rPr>
              <w:t>Ն</w:t>
            </w:r>
            <w:r w:rsidRPr="0053423A">
              <w:rPr>
                <w:color w:val="000000" w:themeColor="text1"/>
                <w:sz w:val="20"/>
                <w:szCs w:val="20"/>
                <w:lang w:val="et-EE"/>
              </w:rPr>
              <w:t xml:space="preserve">), </w:t>
            </w:r>
            <w:r w:rsidRPr="0053423A">
              <w:rPr>
                <w:color w:val="000000" w:themeColor="text1"/>
                <w:sz w:val="20"/>
                <w:szCs w:val="20"/>
                <w:lang w:val="hy-AM"/>
              </w:rPr>
              <w:t>որով</w:t>
            </w:r>
            <w:r w:rsidRPr="0053423A">
              <w:rPr>
                <w:color w:val="000000" w:themeColor="text1"/>
                <w:sz w:val="20"/>
                <w:szCs w:val="20"/>
                <w:lang w:val="et-EE"/>
              </w:rPr>
              <w:t xml:space="preserve"> </w:t>
            </w:r>
            <w:r w:rsidRPr="0053423A">
              <w:rPr>
                <w:color w:val="000000" w:themeColor="text1"/>
                <w:sz w:val="20"/>
                <w:szCs w:val="20"/>
                <w:lang w:val="hy-AM"/>
              </w:rPr>
              <w:t>էլ</w:t>
            </w:r>
            <w:r w:rsidRPr="0053423A">
              <w:rPr>
                <w:color w:val="000000" w:themeColor="text1"/>
                <w:sz w:val="20"/>
                <w:szCs w:val="20"/>
                <w:lang w:val="et-EE"/>
              </w:rPr>
              <w:t xml:space="preserve"> </w:t>
            </w:r>
            <w:r w:rsidRPr="0053423A">
              <w:rPr>
                <w:color w:val="000000" w:themeColor="text1"/>
                <w:sz w:val="20"/>
                <w:szCs w:val="20"/>
                <w:lang w:val="hy-AM"/>
              </w:rPr>
              <w:t>հիմք</w:t>
            </w:r>
            <w:r w:rsidRPr="0053423A">
              <w:rPr>
                <w:color w:val="000000" w:themeColor="text1"/>
                <w:sz w:val="20"/>
                <w:szCs w:val="20"/>
                <w:lang w:val="et-EE"/>
              </w:rPr>
              <w:t xml:space="preserve"> </w:t>
            </w:r>
            <w:r w:rsidRPr="0053423A">
              <w:rPr>
                <w:color w:val="000000" w:themeColor="text1"/>
                <w:sz w:val="20"/>
                <w:szCs w:val="20"/>
                <w:lang w:val="hy-AM"/>
              </w:rPr>
              <w:t>դրվեց</w:t>
            </w:r>
            <w:r w:rsidRPr="0053423A">
              <w:rPr>
                <w:color w:val="000000" w:themeColor="text1"/>
                <w:sz w:val="20"/>
                <w:szCs w:val="20"/>
                <w:lang w:val="et-EE"/>
              </w:rPr>
              <w:t xml:space="preserve"> </w:t>
            </w:r>
            <w:r w:rsidRPr="0053423A">
              <w:rPr>
                <w:color w:val="000000" w:themeColor="text1"/>
                <w:sz w:val="20"/>
                <w:szCs w:val="20"/>
                <w:lang w:val="hy-AM"/>
              </w:rPr>
              <w:t>հանրակրթության</w:t>
            </w:r>
            <w:r w:rsidRPr="0053423A">
              <w:rPr>
                <w:color w:val="000000" w:themeColor="text1"/>
                <w:sz w:val="20"/>
                <w:szCs w:val="20"/>
                <w:lang w:val="et-EE"/>
              </w:rPr>
              <w:t xml:space="preserve"> </w:t>
            </w:r>
            <w:r w:rsidRPr="0053423A">
              <w:rPr>
                <w:color w:val="000000" w:themeColor="text1"/>
                <w:sz w:val="20"/>
                <w:szCs w:val="20"/>
                <w:lang w:val="hy-AM"/>
              </w:rPr>
              <w:t>համակարգում</w:t>
            </w:r>
            <w:r w:rsidRPr="0053423A">
              <w:rPr>
                <w:color w:val="000000" w:themeColor="text1"/>
                <w:sz w:val="20"/>
                <w:szCs w:val="20"/>
                <w:lang w:val="et-EE"/>
              </w:rPr>
              <w:t xml:space="preserve"> </w:t>
            </w:r>
            <w:r w:rsidRPr="0053423A">
              <w:rPr>
                <w:color w:val="000000" w:themeColor="text1"/>
                <w:sz w:val="20"/>
                <w:szCs w:val="20"/>
                <w:lang w:val="hy-AM"/>
              </w:rPr>
              <w:t>համընդհանուր</w:t>
            </w:r>
            <w:r w:rsidRPr="0053423A">
              <w:rPr>
                <w:color w:val="000000" w:themeColor="text1"/>
                <w:sz w:val="20"/>
                <w:szCs w:val="20"/>
                <w:lang w:val="et-EE"/>
              </w:rPr>
              <w:t xml:space="preserve"> </w:t>
            </w:r>
            <w:r w:rsidRPr="0053423A">
              <w:rPr>
                <w:color w:val="000000" w:themeColor="text1"/>
                <w:sz w:val="20"/>
                <w:szCs w:val="20"/>
                <w:lang w:val="hy-AM"/>
              </w:rPr>
              <w:t>ներառական</w:t>
            </w:r>
            <w:r w:rsidRPr="0053423A">
              <w:rPr>
                <w:color w:val="000000" w:themeColor="text1"/>
                <w:sz w:val="20"/>
                <w:szCs w:val="20"/>
                <w:lang w:val="et-EE"/>
              </w:rPr>
              <w:t xml:space="preserve"> </w:t>
            </w:r>
            <w:r w:rsidRPr="0053423A">
              <w:rPr>
                <w:color w:val="000000" w:themeColor="text1"/>
                <w:sz w:val="20"/>
                <w:szCs w:val="20"/>
                <w:lang w:val="hy-AM"/>
              </w:rPr>
              <w:t>կրթությանն</w:t>
            </w:r>
            <w:r w:rsidRPr="0053423A">
              <w:rPr>
                <w:color w:val="000000" w:themeColor="text1"/>
                <w:sz w:val="20"/>
                <w:szCs w:val="20"/>
                <w:lang w:val="et-EE"/>
              </w:rPr>
              <w:t xml:space="preserve"> </w:t>
            </w:r>
            <w:r w:rsidRPr="0053423A">
              <w:rPr>
                <w:color w:val="000000" w:themeColor="text1"/>
                <w:sz w:val="20"/>
                <w:szCs w:val="20"/>
                <w:lang w:val="hy-AM"/>
              </w:rPr>
              <w:t>անցմանը</w:t>
            </w:r>
            <w:r w:rsidRPr="0053423A">
              <w:rPr>
                <w:color w:val="000000" w:themeColor="text1"/>
                <w:sz w:val="20"/>
                <w:szCs w:val="20"/>
                <w:lang w:val="et-EE"/>
              </w:rPr>
              <w:t>:</w:t>
            </w:r>
          </w:p>
          <w:p w:rsidR="00154773" w:rsidRPr="0053423A" w:rsidRDefault="00154773" w:rsidP="00154773">
            <w:pPr>
              <w:ind w:firstLine="284"/>
              <w:jc w:val="both"/>
              <w:rPr>
                <w:rFonts w:cs="Arial"/>
                <w:color w:val="000000" w:themeColor="text1"/>
                <w:sz w:val="20"/>
                <w:szCs w:val="20"/>
                <w:lang w:val="et-EE"/>
              </w:rPr>
            </w:pPr>
            <w:r w:rsidRPr="0053423A">
              <w:rPr>
                <w:rFonts w:cs="Arial"/>
                <w:color w:val="000000" w:themeColor="text1"/>
                <w:sz w:val="20"/>
                <w:szCs w:val="20"/>
              </w:rPr>
              <w:t>Համընդհանուր</w:t>
            </w:r>
            <w:r w:rsidRPr="0053423A">
              <w:rPr>
                <w:rFonts w:cs="Arial"/>
                <w:color w:val="000000" w:themeColor="text1"/>
                <w:sz w:val="20"/>
                <w:szCs w:val="20"/>
                <w:lang w:val="et-EE"/>
              </w:rPr>
              <w:t xml:space="preserve"> </w:t>
            </w:r>
            <w:r w:rsidRPr="0053423A">
              <w:rPr>
                <w:rFonts w:cs="Arial"/>
                <w:color w:val="000000" w:themeColor="text1"/>
                <w:sz w:val="20"/>
                <w:szCs w:val="20"/>
              </w:rPr>
              <w:t>ներառական</w:t>
            </w:r>
            <w:r w:rsidRPr="0053423A">
              <w:rPr>
                <w:rFonts w:cs="Arial"/>
                <w:color w:val="000000" w:themeColor="text1"/>
                <w:sz w:val="20"/>
                <w:szCs w:val="20"/>
                <w:lang w:val="et-EE"/>
              </w:rPr>
              <w:t xml:space="preserve"> </w:t>
            </w:r>
            <w:r w:rsidRPr="0053423A">
              <w:rPr>
                <w:rFonts w:cs="Arial"/>
                <w:color w:val="000000" w:themeColor="text1"/>
                <w:sz w:val="20"/>
                <w:szCs w:val="20"/>
              </w:rPr>
              <w:t>կրթության</w:t>
            </w:r>
            <w:r w:rsidRPr="0053423A">
              <w:rPr>
                <w:rFonts w:cs="Arial"/>
                <w:color w:val="000000" w:themeColor="text1"/>
                <w:sz w:val="20"/>
                <w:szCs w:val="20"/>
                <w:lang w:val="et-EE"/>
              </w:rPr>
              <w:t xml:space="preserve"> </w:t>
            </w:r>
            <w:r w:rsidRPr="0053423A">
              <w:rPr>
                <w:rFonts w:cs="Arial"/>
                <w:color w:val="000000" w:themeColor="text1"/>
                <w:sz w:val="20"/>
                <w:szCs w:val="20"/>
              </w:rPr>
              <w:t>անցումը</w:t>
            </w:r>
            <w:r w:rsidRPr="0053423A">
              <w:rPr>
                <w:rFonts w:cs="Arial"/>
                <w:color w:val="000000" w:themeColor="text1"/>
                <w:sz w:val="20"/>
                <w:szCs w:val="20"/>
                <w:lang w:val="et-EE"/>
              </w:rPr>
              <w:t xml:space="preserve"> </w:t>
            </w:r>
            <w:r w:rsidRPr="0053423A">
              <w:rPr>
                <w:rFonts w:cs="Arial"/>
                <w:color w:val="000000" w:themeColor="text1"/>
                <w:sz w:val="20"/>
                <w:szCs w:val="20"/>
              </w:rPr>
              <w:t>սկսվել</w:t>
            </w:r>
            <w:r w:rsidRPr="0053423A">
              <w:rPr>
                <w:rFonts w:cs="Arial"/>
                <w:color w:val="000000" w:themeColor="text1"/>
                <w:sz w:val="20"/>
                <w:szCs w:val="20"/>
                <w:lang w:val="et-EE"/>
              </w:rPr>
              <w:t xml:space="preserve"> </w:t>
            </w:r>
            <w:r w:rsidRPr="0053423A">
              <w:rPr>
                <w:rFonts w:cs="Arial"/>
                <w:color w:val="000000" w:themeColor="text1"/>
                <w:sz w:val="20"/>
                <w:szCs w:val="20"/>
              </w:rPr>
              <w:t>է</w:t>
            </w:r>
            <w:r w:rsidRPr="0053423A">
              <w:rPr>
                <w:rFonts w:cs="Arial"/>
                <w:color w:val="000000" w:themeColor="text1"/>
                <w:sz w:val="20"/>
                <w:szCs w:val="20"/>
                <w:lang w:val="et-EE"/>
              </w:rPr>
              <w:t xml:space="preserve"> 2016 </w:t>
            </w:r>
            <w:r w:rsidRPr="0053423A">
              <w:rPr>
                <w:rFonts w:cs="Arial"/>
                <w:color w:val="000000" w:themeColor="text1"/>
                <w:sz w:val="20"/>
                <w:szCs w:val="20"/>
              </w:rPr>
              <w:t>թվականից</w:t>
            </w:r>
            <w:r w:rsidRPr="0053423A">
              <w:rPr>
                <w:rFonts w:cs="Arial"/>
                <w:color w:val="000000" w:themeColor="text1"/>
                <w:sz w:val="20"/>
                <w:szCs w:val="20"/>
                <w:lang w:val="et-EE"/>
              </w:rPr>
              <w:t xml:space="preserve"> </w:t>
            </w:r>
            <w:r w:rsidRPr="0053423A">
              <w:rPr>
                <w:rFonts w:cs="Arial"/>
                <w:color w:val="000000" w:themeColor="text1"/>
                <w:sz w:val="20"/>
                <w:szCs w:val="20"/>
              </w:rPr>
              <w:t>և</w:t>
            </w:r>
            <w:r w:rsidRPr="0053423A">
              <w:rPr>
                <w:rFonts w:cs="Arial"/>
                <w:color w:val="000000" w:themeColor="text1"/>
                <w:sz w:val="20"/>
                <w:szCs w:val="20"/>
                <w:lang w:val="et-EE"/>
              </w:rPr>
              <w:t xml:space="preserve"> </w:t>
            </w:r>
            <w:r w:rsidRPr="0053423A">
              <w:rPr>
                <w:rFonts w:cs="Arial"/>
                <w:color w:val="000000" w:themeColor="text1"/>
                <w:sz w:val="20"/>
                <w:szCs w:val="20"/>
              </w:rPr>
              <w:t>ընթանում</w:t>
            </w:r>
            <w:r w:rsidRPr="0053423A">
              <w:rPr>
                <w:rFonts w:cs="Arial"/>
                <w:color w:val="000000" w:themeColor="text1"/>
                <w:sz w:val="20"/>
                <w:szCs w:val="20"/>
                <w:lang w:val="et-EE"/>
              </w:rPr>
              <w:t xml:space="preserve"> </w:t>
            </w:r>
            <w:r w:rsidRPr="0053423A">
              <w:rPr>
                <w:rFonts w:cs="Arial"/>
                <w:color w:val="000000" w:themeColor="text1"/>
                <w:sz w:val="20"/>
                <w:szCs w:val="20"/>
              </w:rPr>
              <w:t>է</w:t>
            </w:r>
            <w:r w:rsidRPr="0053423A">
              <w:rPr>
                <w:rFonts w:cs="Arial"/>
                <w:color w:val="000000" w:themeColor="text1"/>
                <w:sz w:val="20"/>
                <w:szCs w:val="20"/>
                <w:lang w:val="et-EE"/>
              </w:rPr>
              <w:t xml:space="preserve">  </w:t>
            </w:r>
            <w:r w:rsidRPr="0053423A">
              <w:rPr>
                <w:rFonts w:cs="Arial"/>
                <w:color w:val="000000" w:themeColor="text1"/>
                <w:sz w:val="20"/>
                <w:szCs w:val="20"/>
              </w:rPr>
              <w:t>փուլ</w:t>
            </w:r>
            <w:r w:rsidRPr="0053423A">
              <w:rPr>
                <w:rFonts w:cs="Arial"/>
                <w:color w:val="000000" w:themeColor="text1"/>
                <w:sz w:val="20"/>
                <w:szCs w:val="20"/>
                <w:lang w:val="et-EE"/>
              </w:rPr>
              <w:t xml:space="preserve"> </w:t>
            </w:r>
            <w:r w:rsidRPr="0053423A">
              <w:rPr>
                <w:rFonts w:cs="Arial"/>
                <w:color w:val="000000" w:themeColor="text1"/>
                <w:sz w:val="20"/>
                <w:szCs w:val="20"/>
              </w:rPr>
              <w:t>առ</w:t>
            </w:r>
            <w:r w:rsidRPr="0053423A">
              <w:rPr>
                <w:rFonts w:cs="Arial"/>
                <w:color w:val="000000" w:themeColor="text1"/>
                <w:sz w:val="20"/>
                <w:szCs w:val="20"/>
                <w:lang w:val="et-EE"/>
              </w:rPr>
              <w:t xml:space="preserve"> </w:t>
            </w:r>
            <w:r w:rsidRPr="0053423A">
              <w:rPr>
                <w:rFonts w:cs="Arial"/>
                <w:color w:val="000000" w:themeColor="text1"/>
                <w:sz w:val="20"/>
                <w:szCs w:val="20"/>
              </w:rPr>
              <w:t>փուլ</w:t>
            </w:r>
            <w:r w:rsidRPr="0053423A">
              <w:rPr>
                <w:rFonts w:cs="Arial"/>
                <w:color w:val="000000" w:themeColor="text1"/>
                <w:sz w:val="20"/>
                <w:szCs w:val="20"/>
                <w:lang w:val="et-EE"/>
              </w:rPr>
              <w:t xml:space="preserve">: </w:t>
            </w:r>
            <w:r w:rsidRPr="0053423A">
              <w:rPr>
                <w:rFonts w:cs="Arial"/>
                <w:color w:val="000000" w:themeColor="text1"/>
                <w:sz w:val="20"/>
                <w:szCs w:val="20"/>
              </w:rPr>
              <w:t>Հանրակրթական</w:t>
            </w:r>
            <w:r w:rsidRPr="0053423A">
              <w:rPr>
                <w:rFonts w:cs="Arial"/>
                <w:color w:val="000000" w:themeColor="text1"/>
                <w:sz w:val="20"/>
                <w:szCs w:val="20"/>
                <w:lang w:val="et-EE"/>
              </w:rPr>
              <w:t xml:space="preserve"> </w:t>
            </w:r>
            <w:r w:rsidRPr="0053423A">
              <w:rPr>
                <w:rFonts w:cs="Arial"/>
                <w:color w:val="000000" w:themeColor="text1"/>
                <w:sz w:val="20"/>
                <w:szCs w:val="20"/>
              </w:rPr>
              <w:t>ուսումնական</w:t>
            </w:r>
            <w:r w:rsidRPr="0053423A">
              <w:rPr>
                <w:rFonts w:cs="Arial"/>
                <w:color w:val="000000" w:themeColor="text1"/>
                <w:sz w:val="20"/>
                <w:szCs w:val="20"/>
                <w:lang w:val="et-EE"/>
              </w:rPr>
              <w:t xml:space="preserve"> </w:t>
            </w:r>
            <w:r w:rsidRPr="0053423A">
              <w:rPr>
                <w:rFonts w:cs="Arial"/>
                <w:color w:val="000000" w:themeColor="text1"/>
                <w:sz w:val="20"/>
                <w:szCs w:val="20"/>
              </w:rPr>
              <w:t>հաստատությունների</w:t>
            </w:r>
            <w:r w:rsidRPr="0053423A">
              <w:rPr>
                <w:rFonts w:cs="Arial"/>
                <w:color w:val="000000" w:themeColor="text1"/>
                <w:sz w:val="20"/>
                <w:szCs w:val="20"/>
                <w:lang w:val="et-EE"/>
              </w:rPr>
              <w:t xml:space="preserve"> </w:t>
            </w:r>
            <w:r w:rsidRPr="0053423A">
              <w:rPr>
                <w:rFonts w:cs="Arial"/>
                <w:color w:val="000000" w:themeColor="text1"/>
                <w:sz w:val="20"/>
                <w:szCs w:val="20"/>
              </w:rPr>
              <w:t>մանկավարժական</w:t>
            </w:r>
            <w:r w:rsidRPr="0053423A">
              <w:rPr>
                <w:rFonts w:cs="Arial"/>
                <w:color w:val="000000" w:themeColor="text1"/>
                <w:sz w:val="20"/>
                <w:szCs w:val="20"/>
                <w:lang w:val="et-EE"/>
              </w:rPr>
              <w:t xml:space="preserve"> </w:t>
            </w:r>
            <w:r w:rsidRPr="0053423A">
              <w:rPr>
                <w:rFonts w:cs="Arial"/>
                <w:color w:val="000000" w:themeColor="text1"/>
                <w:sz w:val="20"/>
                <w:szCs w:val="20"/>
              </w:rPr>
              <w:t>անձնակազմը</w:t>
            </w:r>
            <w:r w:rsidRPr="0053423A">
              <w:rPr>
                <w:rFonts w:cs="Arial"/>
                <w:color w:val="000000" w:themeColor="text1"/>
                <w:sz w:val="20"/>
                <w:szCs w:val="20"/>
                <w:lang w:val="et-EE"/>
              </w:rPr>
              <w:t xml:space="preserve"> </w:t>
            </w:r>
            <w:r w:rsidRPr="0053423A">
              <w:rPr>
                <w:rFonts w:cs="Arial"/>
                <w:color w:val="000000" w:themeColor="text1"/>
                <w:sz w:val="20"/>
                <w:szCs w:val="20"/>
              </w:rPr>
              <w:t>ոչ</w:t>
            </w:r>
            <w:r w:rsidRPr="0053423A">
              <w:rPr>
                <w:rFonts w:cs="Arial"/>
                <w:color w:val="000000" w:themeColor="text1"/>
                <w:sz w:val="20"/>
                <w:szCs w:val="20"/>
                <w:lang w:val="et-EE"/>
              </w:rPr>
              <w:t xml:space="preserve"> </w:t>
            </w:r>
            <w:r w:rsidRPr="0053423A">
              <w:rPr>
                <w:rFonts w:cs="Arial"/>
                <w:color w:val="000000" w:themeColor="text1"/>
                <w:sz w:val="20"/>
                <w:szCs w:val="20"/>
              </w:rPr>
              <w:t>բոլոր</w:t>
            </w:r>
            <w:r w:rsidRPr="0053423A">
              <w:rPr>
                <w:rFonts w:cs="Arial"/>
                <w:color w:val="000000" w:themeColor="text1"/>
                <w:sz w:val="20"/>
                <w:szCs w:val="20"/>
                <w:lang w:val="et-EE"/>
              </w:rPr>
              <w:t xml:space="preserve"> </w:t>
            </w:r>
            <w:r w:rsidRPr="0053423A">
              <w:rPr>
                <w:rFonts w:cs="Arial"/>
                <w:color w:val="000000" w:themeColor="text1"/>
                <w:sz w:val="20"/>
                <w:szCs w:val="20"/>
              </w:rPr>
              <w:t>դեպքերում</w:t>
            </w:r>
            <w:r w:rsidRPr="0053423A">
              <w:rPr>
                <w:rFonts w:cs="Arial"/>
                <w:color w:val="000000" w:themeColor="text1"/>
                <w:sz w:val="20"/>
                <w:szCs w:val="20"/>
                <w:lang w:val="et-EE"/>
              </w:rPr>
              <w:t xml:space="preserve"> </w:t>
            </w:r>
            <w:r w:rsidRPr="0053423A">
              <w:rPr>
                <w:rFonts w:cs="Arial"/>
                <w:color w:val="000000" w:themeColor="text1"/>
                <w:sz w:val="20"/>
                <w:szCs w:val="20"/>
              </w:rPr>
              <w:t>է</w:t>
            </w:r>
            <w:r w:rsidRPr="0053423A">
              <w:rPr>
                <w:rFonts w:cs="Arial"/>
                <w:color w:val="000000" w:themeColor="text1"/>
                <w:sz w:val="20"/>
                <w:szCs w:val="20"/>
                <w:lang w:val="et-EE"/>
              </w:rPr>
              <w:t xml:space="preserve"> </w:t>
            </w:r>
            <w:r w:rsidRPr="0053423A">
              <w:rPr>
                <w:rFonts w:cs="Arial"/>
                <w:color w:val="000000" w:themeColor="text1"/>
                <w:sz w:val="20"/>
                <w:szCs w:val="20"/>
              </w:rPr>
              <w:t>պատկերացնում</w:t>
            </w:r>
            <w:r w:rsidRPr="0053423A">
              <w:rPr>
                <w:rFonts w:cs="Arial"/>
                <w:color w:val="000000" w:themeColor="text1"/>
                <w:sz w:val="20"/>
                <w:szCs w:val="20"/>
                <w:lang w:val="et-EE"/>
              </w:rPr>
              <w:t xml:space="preserve"> </w:t>
            </w:r>
            <w:r w:rsidRPr="0053423A">
              <w:rPr>
                <w:rFonts w:cs="Arial"/>
                <w:color w:val="000000" w:themeColor="text1"/>
                <w:sz w:val="20"/>
                <w:szCs w:val="20"/>
              </w:rPr>
              <w:t>նոր</w:t>
            </w:r>
            <w:r w:rsidRPr="0053423A">
              <w:rPr>
                <w:rFonts w:cs="Arial"/>
                <w:color w:val="000000" w:themeColor="text1"/>
                <w:sz w:val="20"/>
                <w:szCs w:val="20"/>
                <w:lang w:val="et-EE"/>
              </w:rPr>
              <w:t xml:space="preserve"> </w:t>
            </w:r>
            <w:r w:rsidRPr="0053423A">
              <w:rPr>
                <w:rFonts w:cs="Arial"/>
                <w:color w:val="000000" w:themeColor="text1"/>
                <w:sz w:val="20"/>
                <w:szCs w:val="20"/>
              </w:rPr>
              <w:t>իրավական</w:t>
            </w:r>
            <w:r w:rsidRPr="0053423A">
              <w:rPr>
                <w:rFonts w:cs="Arial"/>
                <w:color w:val="000000" w:themeColor="text1"/>
                <w:sz w:val="20"/>
                <w:szCs w:val="20"/>
                <w:lang w:val="et-EE"/>
              </w:rPr>
              <w:t xml:space="preserve"> </w:t>
            </w:r>
            <w:r w:rsidRPr="0053423A">
              <w:rPr>
                <w:rFonts w:cs="Arial"/>
                <w:color w:val="000000" w:themeColor="text1"/>
                <w:sz w:val="20"/>
                <w:szCs w:val="20"/>
              </w:rPr>
              <w:t>դաշտում</w:t>
            </w:r>
            <w:r w:rsidRPr="0053423A">
              <w:rPr>
                <w:rFonts w:cs="Arial"/>
                <w:color w:val="000000" w:themeColor="text1"/>
                <w:sz w:val="20"/>
                <w:szCs w:val="20"/>
                <w:lang w:val="et-EE"/>
              </w:rPr>
              <w:t xml:space="preserve"> </w:t>
            </w:r>
            <w:r w:rsidRPr="0053423A">
              <w:rPr>
                <w:rFonts w:cs="Arial"/>
                <w:color w:val="000000" w:themeColor="text1"/>
                <w:sz w:val="20"/>
                <w:szCs w:val="20"/>
              </w:rPr>
              <w:t>և</w:t>
            </w:r>
            <w:r w:rsidRPr="0053423A">
              <w:rPr>
                <w:rFonts w:cs="Arial"/>
                <w:color w:val="000000" w:themeColor="text1"/>
                <w:sz w:val="20"/>
                <w:szCs w:val="20"/>
                <w:lang w:val="et-EE"/>
              </w:rPr>
              <w:t xml:space="preserve"> </w:t>
            </w:r>
            <w:r w:rsidRPr="0053423A">
              <w:rPr>
                <w:rFonts w:cs="Arial"/>
                <w:color w:val="000000" w:themeColor="text1"/>
                <w:sz w:val="20"/>
                <w:szCs w:val="20"/>
              </w:rPr>
              <w:t>նոր</w:t>
            </w:r>
            <w:r w:rsidRPr="0053423A">
              <w:rPr>
                <w:rFonts w:cs="Arial"/>
                <w:color w:val="000000" w:themeColor="text1"/>
                <w:sz w:val="20"/>
                <w:szCs w:val="20"/>
                <w:lang w:val="et-EE"/>
              </w:rPr>
              <w:t xml:space="preserve"> </w:t>
            </w:r>
            <w:r w:rsidRPr="0053423A">
              <w:rPr>
                <w:rFonts w:cs="Arial"/>
                <w:color w:val="000000" w:themeColor="text1"/>
                <w:sz w:val="20"/>
                <w:szCs w:val="20"/>
              </w:rPr>
              <w:t>մեթոդներով</w:t>
            </w:r>
            <w:r w:rsidRPr="0053423A">
              <w:rPr>
                <w:rFonts w:cs="Arial"/>
                <w:color w:val="000000" w:themeColor="text1"/>
                <w:sz w:val="20"/>
                <w:szCs w:val="20"/>
                <w:lang w:val="et-EE"/>
              </w:rPr>
              <w:t xml:space="preserve"> </w:t>
            </w:r>
            <w:r w:rsidRPr="0053423A">
              <w:rPr>
                <w:rFonts w:cs="Arial"/>
                <w:color w:val="000000" w:themeColor="text1"/>
                <w:sz w:val="20"/>
                <w:szCs w:val="20"/>
              </w:rPr>
              <w:t>աշխատելու</w:t>
            </w:r>
            <w:r w:rsidRPr="0053423A">
              <w:rPr>
                <w:rFonts w:cs="Arial"/>
                <w:color w:val="000000" w:themeColor="text1"/>
                <w:sz w:val="20"/>
                <w:szCs w:val="20"/>
                <w:lang w:val="et-EE"/>
              </w:rPr>
              <w:t xml:space="preserve"> </w:t>
            </w:r>
            <w:r w:rsidRPr="0053423A">
              <w:rPr>
                <w:rFonts w:cs="Arial"/>
                <w:color w:val="000000" w:themeColor="text1"/>
                <w:sz w:val="20"/>
                <w:szCs w:val="20"/>
              </w:rPr>
              <w:t>սկզբունքները</w:t>
            </w:r>
            <w:r w:rsidRPr="0053423A">
              <w:rPr>
                <w:rFonts w:cs="Arial"/>
                <w:color w:val="000000" w:themeColor="text1"/>
                <w:sz w:val="20"/>
                <w:szCs w:val="20"/>
                <w:lang w:val="et-EE"/>
              </w:rPr>
              <w:t xml:space="preserve">, </w:t>
            </w:r>
            <w:r w:rsidRPr="0053423A">
              <w:rPr>
                <w:rFonts w:cs="Arial"/>
                <w:color w:val="000000" w:themeColor="text1"/>
                <w:sz w:val="20"/>
                <w:szCs w:val="20"/>
              </w:rPr>
              <w:t>ուստի</w:t>
            </w:r>
            <w:r w:rsidRPr="0053423A">
              <w:rPr>
                <w:rFonts w:cs="Arial"/>
                <w:color w:val="000000" w:themeColor="text1"/>
                <w:sz w:val="20"/>
                <w:szCs w:val="20"/>
                <w:lang w:val="et-EE"/>
              </w:rPr>
              <w:t xml:space="preserve"> </w:t>
            </w:r>
            <w:r w:rsidRPr="0053423A">
              <w:rPr>
                <w:rFonts w:cs="Arial"/>
                <w:color w:val="000000" w:themeColor="text1"/>
                <w:sz w:val="20"/>
                <w:szCs w:val="20"/>
              </w:rPr>
              <w:t>կա</w:t>
            </w:r>
            <w:r w:rsidRPr="0053423A">
              <w:rPr>
                <w:rFonts w:cs="Arial"/>
                <w:color w:val="000000" w:themeColor="text1"/>
                <w:sz w:val="20"/>
                <w:szCs w:val="20"/>
                <w:lang w:val="et-EE"/>
              </w:rPr>
              <w:t xml:space="preserve"> </w:t>
            </w:r>
            <w:r w:rsidRPr="0053423A">
              <w:rPr>
                <w:rFonts w:cs="Arial"/>
                <w:color w:val="000000" w:themeColor="text1"/>
                <w:sz w:val="20"/>
                <w:szCs w:val="20"/>
              </w:rPr>
              <w:t>անձնակազմին</w:t>
            </w:r>
            <w:r w:rsidRPr="0053423A">
              <w:rPr>
                <w:rFonts w:cs="Arial"/>
                <w:color w:val="000000" w:themeColor="text1"/>
                <w:sz w:val="20"/>
                <w:szCs w:val="20"/>
                <w:lang w:val="et-EE"/>
              </w:rPr>
              <w:t xml:space="preserve"> </w:t>
            </w:r>
            <w:r w:rsidRPr="0053423A">
              <w:rPr>
                <w:rFonts w:cs="Arial"/>
                <w:color w:val="000000" w:themeColor="text1"/>
                <w:sz w:val="20"/>
                <w:szCs w:val="20"/>
              </w:rPr>
              <w:t>վերապատրաստելու</w:t>
            </w:r>
            <w:r w:rsidRPr="0053423A">
              <w:rPr>
                <w:rFonts w:cs="Arial"/>
                <w:color w:val="000000" w:themeColor="text1"/>
                <w:sz w:val="20"/>
                <w:szCs w:val="20"/>
                <w:lang w:val="et-EE"/>
              </w:rPr>
              <w:t xml:space="preserve"> </w:t>
            </w:r>
            <w:r w:rsidRPr="0053423A">
              <w:rPr>
                <w:rFonts w:cs="Arial"/>
                <w:color w:val="000000" w:themeColor="text1"/>
                <w:sz w:val="20"/>
                <w:szCs w:val="20"/>
              </w:rPr>
              <w:t>անհրաժեշտություն</w:t>
            </w:r>
            <w:r w:rsidRPr="0053423A">
              <w:rPr>
                <w:rFonts w:cs="Arial"/>
                <w:color w:val="000000" w:themeColor="text1"/>
                <w:sz w:val="20"/>
                <w:szCs w:val="20"/>
                <w:lang w:val="et-EE"/>
              </w:rPr>
              <w:t>:</w:t>
            </w:r>
          </w:p>
          <w:p w:rsidR="00154773" w:rsidRPr="0053423A" w:rsidRDefault="00154773" w:rsidP="00154773">
            <w:pPr>
              <w:ind w:firstLine="284"/>
              <w:jc w:val="both"/>
              <w:rPr>
                <w:rFonts w:cs="Arial"/>
                <w:color w:val="000000" w:themeColor="text1"/>
                <w:sz w:val="20"/>
                <w:szCs w:val="20"/>
                <w:lang w:val="et-EE"/>
              </w:rPr>
            </w:pPr>
          </w:p>
          <w:p w:rsidR="00154773" w:rsidRPr="0053423A" w:rsidRDefault="00154773" w:rsidP="00154773">
            <w:pPr>
              <w:ind w:firstLine="284"/>
              <w:jc w:val="both"/>
              <w:rPr>
                <w:rFonts w:cs="Arial"/>
                <w:color w:val="000000" w:themeColor="text1"/>
                <w:sz w:val="20"/>
                <w:szCs w:val="20"/>
                <w:lang w:val="et-EE"/>
              </w:rPr>
            </w:pPr>
          </w:p>
          <w:p w:rsidR="00154773" w:rsidRPr="0053423A" w:rsidRDefault="00154773" w:rsidP="00154773">
            <w:pPr>
              <w:tabs>
                <w:tab w:val="left" w:pos="2694"/>
              </w:tabs>
              <w:ind w:left="360"/>
              <w:jc w:val="both"/>
              <w:rPr>
                <w:b/>
                <w:color w:val="000000" w:themeColor="text1"/>
                <w:sz w:val="20"/>
                <w:szCs w:val="20"/>
                <w:lang w:val="et-EE"/>
              </w:rPr>
            </w:pPr>
            <w:r w:rsidRPr="0053423A">
              <w:rPr>
                <w:b/>
                <w:color w:val="000000" w:themeColor="text1"/>
                <w:sz w:val="20"/>
                <w:szCs w:val="20"/>
                <w:lang w:val="et-EE"/>
              </w:rPr>
              <w:t xml:space="preserve">1.2. </w:t>
            </w:r>
            <w:r w:rsidRPr="0053423A">
              <w:rPr>
                <w:b/>
                <w:color w:val="000000" w:themeColor="text1"/>
                <w:sz w:val="20"/>
                <w:szCs w:val="20"/>
              </w:rPr>
              <w:t>ա</w:t>
            </w:r>
            <w:r w:rsidRPr="0053423A">
              <w:rPr>
                <w:b/>
                <w:color w:val="000000" w:themeColor="text1"/>
                <w:sz w:val="20"/>
                <w:szCs w:val="20"/>
                <w:lang w:val="hy-AM"/>
              </w:rPr>
              <w:t>ռկա</w:t>
            </w:r>
            <w:r w:rsidRPr="0053423A">
              <w:rPr>
                <w:b/>
                <w:color w:val="000000" w:themeColor="text1"/>
                <w:sz w:val="20"/>
                <w:szCs w:val="20"/>
                <w:lang w:val="af-ZA"/>
              </w:rPr>
              <w:t xml:space="preserve"> </w:t>
            </w:r>
            <w:r w:rsidRPr="0053423A">
              <w:rPr>
                <w:b/>
                <w:color w:val="000000" w:themeColor="text1"/>
                <w:sz w:val="20"/>
                <w:szCs w:val="20"/>
                <w:lang w:val="hy-AM"/>
              </w:rPr>
              <w:t>խնդիրների</w:t>
            </w:r>
            <w:r w:rsidRPr="0053423A">
              <w:rPr>
                <w:b/>
                <w:color w:val="000000" w:themeColor="text1"/>
                <w:sz w:val="20"/>
                <w:szCs w:val="20"/>
                <w:lang w:val="af-ZA"/>
              </w:rPr>
              <w:t xml:space="preserve"> </w:t>
            </w:r>
            <w:r w:rsidRPr="0053423A">
              <w:rPr>
                <w:b/>
                <w:color w:val="000000" w:themeColor="text1"/>
                <w:sz w:val="20"/>
                <w:szCs w:val="20"/>
                <w:lang w:val="hy-AM"/>
              </w:rPr>
              <w:t>առաջարկվող</w:t>
            </w:r>
            <w:r w:rsidRPr="0053423A">
              <w:rPr>
                <w:b/>
                <w:color w:val="000000" w:themeColor="text1"/>
                <w:sz w:val="20"/>
                <w:szCs w:val="20"/>
                <w:lang w:val="af-ZA"/>
              </w:rPr>
              <w:t xml:space="preserve"> </w:t>
            </w:r>
            <w:r w:rsidRPr="0053423A">
              <w:rPr>
                <w:b/>
                <w:color w:val="000000" w:themeColor="text1"/>
                <w:sz w:val="20"/>
                <w:szCs w:val="20"/>
                <w:lang w:val="hy-AM"/>
              </w:rPr>
              <w:t>լուծումները</w:t>
            </w:r>
          </w:p>
          <w:p w:rsidR="00154773" w:rsidRPr="0053423A" w:rsidRDefault="00154773" w:rsidP="00154773">
            <w:pPr>
              <w:tabs>
                <w:tab w:val="left" w:pos="2694"/>
              </w:tabs>
              <w:ind w:firstLine="284"/>
              <w:contextualSpacing/>
              <w:jc w:val="both"/>
              <w:rPr>
                <w:rFonts w:eastAsia="Calibri" w:cs="Sylfaen"/>
                <w:color w:val="000000" w:themeColor="text1"/>
                <w:sz w:val="20"/>
                <w:szCs w:val="20"/>
                <w:shd w:val="clear" w:color="auto" w:fill="FFFFFF"/>
                <w:lang w:val="hy-AM"/>
              </w:rPr>
            </w:pPr>
            <w:r w:rsidRPr="0053423A">
              <w:rPr>
                <w:color w:val="000000" w:themeColor="text1"/>
                <w:sz w:val="20"/>
                <w:szCs w:val="20"/>
              </w:rPr>
              <w:t>Մ</w:t>
            </w:r>
            <w:r w:rsidRPr="0053423A">
              <w:rPr>
                <w:rFonts w:eastAsia="Calibri" w:cs="Sylfaen"/>
                <w:color w:val="000000" w:themeColor="text1"/>
                <w:sz w:val="20"/>
                <w:szCs w:val="20"/>
                <w:shd w:val="clear" w:color="auto" w:fill="FFFFFF"/>
                <w:lang w:val="hy-AM"/>
              </w:rPr>
              <w:t>անկավարժահոգե</w:t>
            </w:r>
            <w:r w:rsidRPr="0053423A">
              <w:rPr>
                <w:rFonts w:eastAsia="Calibri" w:cs="Sylfaen"/>
                <w:color w:val="000000" w:themeColor="text1"/>
                <w:sz w:val="20"/>
                <w:szCs w:val="20"/>
                <w:shd w:val="clear" w:color="auto" w:fill="FFFFFF"/>
                <w:lang w:val="eu-ES"/>
              </w:rPr>
              <w:softHyphen/>
            </w:r>
            <w:r w:rsidRPr="0053423A">
              <w:rPr>
                <w:rFonts w:eastAsia="Calibri" w:cs="Sylfaen"/>
                <w:color w:val="000000" w:themeColor="text1"/>
                <w:sz w:val="20"/>
                <w:szCs w:val="20"/>
                <w:shd w:val="clear" w:color="auto" w:fill="FFFFFF"/>
                <w:lang w:val="hy-AM"/>
              </w:rPr>
              <w:t>բանական</w:t>
            </w:r>
            <w:r w:rsidRPr="0053423A">
              <w:rPr>
                <w:rFonts w:eastAsia="Calibri" w:cs="Sylfaen"/>
                <w:color w:val="000000" w:themeColor="text1"/>
                <w:sz w:val="20"/>
                <w:szCs w:val="20"/>
                <w:shd w:val="clear" w:color="auto" w:fill="FFFFFF"/>
                <w:lang w:val="af-ZA"/>
              </w:rPr>
              <w:t xml:space="preserve"> </w:t>
            </w:r>
            <w:r w:rsidRPr="0053423A">
              <w:rPr>
                <w:rFonts w:eastAsia="Calibri" w:cs="Sylfaen"/>
                <w:color w:val="000000" w:themeColor="text1"/>
                <w:sz w:val="20"/>
                <w:szCs w:val="20"/>
                <w:shd w:val="clear" w:color="auto" w:fill="FFFFFF"/>
                <w:lang w:val="hy-AM"/>
              </w:rPr>
              <w:t>աջակցության</w:t>
            </w:r>
            <w:r w:rsidRPr="0053423A">
              <w:rPr>
                <w:rFonts w:eastAsia="Calibri" w:cs="Sylfaen"/>
                <w:color w:val="000000" w:themeColor="text1"/>
                <w:sz w:val="20"/>
                <w:szCs w:val="20"/>
                <w:shd w:val="clear" w:color="auto" w:fill="FFFFFF"/>
                <w:lang w:val="eu-ES"/>
              </w:rPr>
              <w:t xml:space="preserve"> </w:t>
            </w:r>
            <w:r w:rsidRPr="0053423A">
              <w:rPr>
                <w:rFonts w:eastAsia="Calibri" w:cs="Sylfaen"/>
                <w:color w:val="000000" w:themeColor="text1"/>
                <w:sz w:val="20"/>
                <w:szCs w:val="20"/>
                <w:shd w:val="clear" w:color="auto" w:fill="FFFFFF"/>
                <w:lang w:val="hy-AM"/>
              </w:rPr>
              <w:t>կենտրոնների</w:t>
            </w:r>
            <w:r w:rsidRPr="0053423A">
              <w:rPr>
                <w:rFonts w:eastAsia="Calibri" w:cs="Sylfaen"/>
                <w:color w:val="000000" w:themeColor="text1"/>
                <w:sz w:val="20"/>
                <w:szCs w:val="20"/>
                <w:shd w:val="clear" w:color="auto" w:fill="FFFFFF"/>
                <w:lang w:val="eu-ES"/>
              </w:rPr>
              <w:t xml:space="preserve"> </w:t>
            </w:r>
            <w:r w:rsidRPr="0053423A">
              <w:rPr>
                <w:rFonts w:eastAsia="Calibri" w:cs="Sylfaen"/>
                <w:color w:val="000000" w:themeColor="text1"/>
                <w:sz w:val="20"/>
                <w:szCs w:val="20"/>
                <w:shd w:val="clear" w:color="auto" w:fill="FFFFFF"/>
                <w:lang w:val="hy-AM"/>
              </w:rPr>
              <w:t>մանկավարժական</w:t>
            </w:r>
            <w:r w:rsidRPr="0053423A">
              <w:rPr>
                <w:rFonts w:eastAsia="Calibri" w:cs="Sylfaen"/>
                <w:color w:val="000000" w:themeColor="text1"/>
                <w:sz w:val="20"/>
                <w:szCs w:val="20"/>
                <w:shd w:val="clear" w:color="auto" w:fill="FFFFFF"/>
                <w:lang w:val="eu-ES"/>
              </w:rPr>
              <w:t xml:space="preserve"> </w:t>
            </w:r>
            <w:r w:rsidRPr="0053423A">
              <w:rPr>
                <w:rFonts w:eastAsia="Calibri" w:cs="Sylfaen"/>
                <w:color w:val="000000" w:themeColor="text1"/>
                <w:sz w:val="20"/>
                <w:szCs w:val="20"/>
                <w:shd w:val="clear" w:color="auto" w:fill="FFFFFF"/>
                <w:lang w:val="hy-AM"/>
              </w:rPr>
              <w:t>աշխատողների</w:t>
            </w:r>
            <w:r w:rsidRPr="0053423A">
              <w:rPr>
                <w:rFonts w:eastAsia="Calibri" w:cs="Sylfaen"/>
                <w:color w:val="000000" w:themeColor="text1"/>
                <w:sz w:val="20"/>
                <w:szCs w:val="20"/>
                <w:shd w:val="clear" w:color="auto" w:fill="FFFFFF"/>
                <w:lang w:val="eu-ES"/>
              </w:rPr>
              <w:t xml:space="preserve"> </w:t>
            </w:r>
            <w:r w:rsidRPr="0053423A">
              <w:rPr>
                <w:rFonts w:eastAsia="Calibri" w:cs="Sylfaen"/>
                <w:color w:val="000000" w:themeColor="text1"/>
                <w:sz w:val="20"/>
                <w:szCs w:val="20"/>
                <w:shd w:val="clear" w:color="auto" w:fill="FFFFFF"/>
                <w:lang w:val="hy-AM"/>
              </w:rPr>
              <w:t>վերապատրաստում՝</w:t>
            </w:r>
            <w:r w:rsidRPr="0053423A">
              <w:rPr>
                <w:rFonts w:eastAsia="Calibri" w:cs="Sylfaen"/>
                <w:color w:val="000000" w:themeColor="text1"/>
                <w:sz w:val="20"/>
                <w:szCs w:val="20"/>
                <w:shd w:val="clear" w:color="auto" w:fill="FFFFFF"/>
                <w:lang w:val="eu-ES"/>
              </w:rPr>
              <w:t xml:space="preserve"> Հանրապետական մանկավարժահոգեբանական աջակցության կենտրոնի ռեսուրսների </w:t>
            </w:r>
            <w:r w:rsidRPr="0053423A">
              <w:rPr>
                <w:rFonts w:eastAsia="Calibri" w:cs="Sylfaen"/>
                <w:color w:val="000000" w:themeColor="text1"/>
                <w:sz w:val="20"/>
                <w:szCs w:val="20"/>
                <w:shd w:val="clear" w:color="auto" w:fill="FFFFFF"/>
                <w:lang w:val="hy-AM"/>
              </w:rPr>
              <w:t>և վերապատրաստման ծառայություններ մատուցող այլ կազմակերպություններին պատվիրակելու միջոցով</w:t>
            </w:r>
            <w:r w:rsidRPr="0053423A">
              <w:rPr>
                <w:rFonts w:eastAsia="Calibri" w:cs="Sylfaen"/>
                <w:color w:val="000000" w:themeColor="text1"/>
                <w:sz w:val="20"/>
                <w:szCs w:val="20"/>
                <w:shd w:val="clear" w:color="auto" w:fill="FFFFFF"/>
                <w:lang w:val="eu-ES"/>
              </w:rPr>
              <w:t>:</w:t>
            </w:r>
          </w:p>
          <w:p w:rsidR="00154773" w:rsidRPr="0053423A" w:rsidRDefault="00154773" w:rsidP="00154773">
            <w:pPr>
              <w:tabs>
                <w:tab w:val="left" w:pos="2694"/>
              </w:tabs>
              <w:ind w:left="360"/>
              <w:jc w:val="both"/>
              <w:rPr>
                <w:b/>
                <w:color w:val="000000" w:themeColor="text1"/>
                <w:sz w:val="20"/>
                <w:szCs w:val="20"/>
                <w:lang w:val="et-EE"/>
              </w:rPr>
            </w:pPr>
          </w:p>
          <w:p w:rsidR="00154773" w:rsidRPr="0053423A" w:rsidRDefault="00154773" w:rsidP="00154773">
            <w:pPr>
              <w:tabs>
                <w:tab w:val="left" w:pos="2694"/>
              </w:tabs>
              <w:ind w:firstLine="284"/>
              <w:contextualSpacing/>
              <w:jc w:val="both"/>
              <w:rPr>
                <w:b/>
                <w:color w:val="000000" w:themeColor="text1"/>
                <w:sz w:val="20"/>
                <w:szCs w:val="20"/>
                <w:lang w:val="eu-ES"/>
              </w:rPr>
            </w:pPr>
            <w:r w:rsidRPr="0053423A">
              <w:rPr>
                <w:b/>
                <w:color w:val="000000" w:themeColor="text1"/>
                <w:sz w:val="20"/>
                <w:szCs w:val="20"/>
                <w:lang w:val="hy-AM"/>
              </w:rPr>
              <w:t>2</w:t>
            </w:r>
            <w:r w:rsidRPr="0053423A">
              <w:rPr>
                <w:b/>
                <w:color w:val="000000" w:themeColor="text1"/>
                <w:sz w:val="20"/>
                <w:szCs w:val="20"/>
                <w:lang w:val="eu-ES"/>
              </w:rPr>
              <w:t xml:space="preserve">. </w:t>
            </w:r>
            <w:r w:rsidRPr="0053423A">
              <w:rPr>
                <w:rFonts w:eastAsia="Times New Roman" w:cs="Times New Roman"/>
                <w:b/>
                <w:sz w:val="20"/>
                <w:szCs w:val="20"/>
                <w:lang w:val="hy-AM"/>
              </w:rPr>
              <w:t>Միջոցառման իրականացումից ակնկալվող արդյունքը</w:t>
            </w:r>
          </w:p>
          <w:p w:rsidR="00154773" w:rsidRPr="0053423A" w:rsidRDefault="00154773" w:rsidP="00154773">
            <w:pPr>
              <w:ind w:firstLine="284"/>
              <w:jc w:val="both"/>
              <w:rPr>
                <w:rFonts w:cs="Arial"/>
                <w:color w:val="000000" w:themeColor="text1"/>
                <w:sz w:val="20"/>
                <w:szCs w:val="20"/>
                <w:lang w:val="et-EE"/>
              </w:rPr>
            </w:pPr>
          </w:p>
          <w:p w:rsidR="00154773" w:rsidRPr="0053423A" w:rsidRDefault="00154773" w:rsidP="00154773">
            <w:pPr>
              <w:ind w:firstLine="284"/>
              <w:jc w:val="both"/>
              <w:rPr>
                <w:rFonts w:eastAsia="Calibri" w:cs="Sylfaen"/>
                <w:color w:val="000000" w:themeColor="text1"/>
                <w:spacing w:val="-8"/>
                <w:sz w:val="20"/>
                <w:szCs w:val="20"/>
                <w:lang w:val="et-EE"/>
              </w:rPr>
            </w:pPr>
            <w:r w:rsidRPr="0053423A">
              <w:rPr>
                <w:rFonts w:eastAsia="Calibri" w:cs="Sylfaen"/>
                <w:color w:val="000000" w:themeColor="text1"/>
                <w:spacing w:val="-8"/>
                <w:sz w:val="20"/>
                <w:szCs w:val="20"/>
                <w:lang w:val="hy-AM"/>
              </w:rPr>
              <w:t>Ապահովել կրթության առանձնահատուկ պայմանների կարիք ունեցող սովորողների կրթական կարիքների գնահատման և անհրաժեշտ աջակցող ծառայությունների հասցեականությունը և հասանելիությունը, յուրաքանչյուր երեխայի համար կրթությանն աջակցող ծառայությունների շարունա</w:t>
            </w:r>
            <w:r w:rsidRPr="0053423A">
              <w:rPr>
                <w:rFonts w:eastAsia="Calibri" w:cs="Sylfaen"/>
                <w:color w:val="000000" w:themeColor="text1"/>
                <w:spacing w:val="-8"/>
                <w:sz w:val="20"/>
                <w:szCs w:val="20"/>
                <w:lang w:val="eu-ES"/>
              </w:rPr>
              <w:softHyphen/>
            </w:r>
            <w:r w:rsidRPr="0053423A">
              <w:rPr>
                <w:rFonts w:eastAsia="Calibri" w:cs="Sylfaen"/>
                <w:color w:val="000000" w:themeColor="text1"/>
                <w:spacing w:val="-8"/>
                <w:sz w:val="20"/>
                <w:szCs w:val="20"/>
                <w:lang w:val="hy-AM"/>
              </w:rPr>
              <w:t>կական մատուցումը իր ուսումնական հաստատության կրթական միջավայրում</w:t>
            </w:r>
            <w:r w:rsidRPr="0053423A">
              <w:rPr>
                <w:rFonts w:eastAsia="Calibri" w:cs="Sylfaen"/>
                <w:color w:val="000000" w:themeColor="text1"/>
                <w:spacing w:val="-8"/>
                <w:sz w:val="20"/>
                <w:szCs w:val="20"/>
                <w:lang w:val="et-EE"/>
              </w:rPr>
              <w:t xml:space="preserve"> </w:t>
            </w:r>
            <w:r w:rsidRPr="0053423A">
              <w:rPr>
                <w:rFonts w:eastAsia="Calibri" w:cs="Sylfaen"/>
                <w:color w:val="000000" w:themeColor="text1"/>
                <w:spacing w:val="-8"/>
                <w:sz w:val="20"/>
                <w:szCs w:val="20"/>
              </w:rPr>
              <w:t>որակյալ</w:t>
            </w:r>
            <w:r w:rsidRPr="0053423A">
              <w:rPr>
                <w:rFonts w:eastAsia="Calibri" w:cs="Sylfaen"/>
                <w:color w:val="000000" w:themeColor="text1"/>
                <w:spacing w:val="-8"/>
                <w:sz w:val="20"/>
                <w:szCs w:val="20"/>
                <w:lang w:val="et-EE"/>
              </w:rPr>
              <w:t xml:space="preserve"> </w:t>
            </w:r>
            <w:r w:rsidRPr="0053423A">
              <w:rPr>
                <w:rFonts w:eastAsia="Calibri" w:cs="Sylfaen"/>
                <w:color w:val="000000" w:themeColor="text1"/>
                <w:spacing w:val="-8"/>
                <w:sz w:val="20"/>
                <w:szCs w:val="20"/>
              </w:rPr>
              <w:t>մասնագետների</w:t>
            </w:r>
            <w:r w:rsidRPr="0053423A">
              <w:rPr>
                <w:rFonts w:eastAsia="Calibri" w:cs="Sylfaen"/>
                <w:color w:val="000000" w:themeColor="text1"/>
                <w:spacing w:val="-8"/>
                <w:sz w:val="20"/>
                <w:szCs w:val="20"/>
                <w:lang w:val="et-EE"/>
              </w:rPr>
              <w:t xml:space="preserve"> </w:t>
            </w:r>
            <w:r w:rsidRPr="0053423A">
              <w:rPr>
                <w:rFonts w:eastAsia="Calibri" w:cs="Sylfaen"/>
                <w:color w:val="000000" w:themeColor="text1"/>
                <w:spacing w:val="-8"/>
                <w:sz w:val="20"/>
                <w:szCs w:val="20"/>
              </w:rPr>
              <w:t>կողմից</w:t>
            </w:r>
            <w:r w:rsidRPr="0053423A">
              <w:rPr>
                <w:rFonts w:eastAsia="Calibri" w:cs="Sylfaen"/>
                <w:color w:val="000000" w:themeColor="text1"/>
                <w:spacing w:val="-8"/>
                <w:sz w:val="20"/>
                <w:szCs w:val="20"/>
                <w:lang w:val="et-EE"/>
              </w:rPr>
              <w:t>:</w:t>
            </w:r>
          </w:p>
          <w:p w:rsidR="00154773" w:rsidRPr="0053423A" w:rsidRDefault="00154773" w:rsidP="00154773">
            <w:pPr>
              <w:jc w:val="center"/>
              <w:rPr>
                <w:rFonts w:eastAsia="Times New Roman" w:cs="Times New Roman"/>
                <w:b/>
                <w:sz w:val="20"/>
                <w:szCs w:val="20"/>
                <w:lang w:val="et-EE"/>
              </w:rPr>
            </w:pPr>
          </w:p>
        </w:tc>
      </w:tr>
      <w:tr w:rsidR="00154773" w:rsidRPr="0053423A" w:rsidTr="00154773">
        <w:tc>
          <w:tcPr>
            <w:tcW w:w="720" w:type="dxa"/>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18</w:t>
            </w:r>
          </w:p>
        </w:tc>
        <w:tc>
          <w:tcPr>
            <w:tcW w:w="10620" w:type="dxa"/>
          </w:tcPr>
          <w:p w:rsidR="00154773" w:rsidRPr="0053423A" w:rsidRDefault="00154773" w:rsidP="00154773">
            <w:pPr>
              <w:jc w:val="center"/>
              <w:rPr>
                <w:rFonts w:eastAsia="Times New Roman" w:cs="Times New Roman"/>
                <w:b/>
                <w:sz w:val="20"/>
                <w:szCs w:val="20"/>
                <w:u w:val="single"/>
                <w:lang w:val="hy-AM"/>
              </w:rPr>
            </w:pPr>
            <w:r w:rsidRPr="0053423A">
              <w:rPr>
                <w:rFonts w:eastAsia="Times New Roman" w:cs="Times New Roman"/>
                <w:b/>
                <w:sz w:val="20"/>
                <w:szCs w:val="20"/>
                <w:u w:val="single"/>
                <w:lang w:val="hy-AM"/>
              </w:rPr>
              <w:t>18.1 Ուսանողների ֆինանսական աջակցության պետական ծրագրերի ծավալների ընդլայնում և դրանց ձևերի բազմազանեցում</w:t>
            </w:r>
          </w:p>
          <w:p w:rsidR="00154773" w:rsidRPr="0053423A" w:rsidRDefault="00154773" w:rsidP="00154773">
            <w:pPr>
              <w:rPr>
                <w:b/>
                <w:sz w:val="20"/>
                <w:szCs w:val="20"/>
                <w:u w:val="single"/>
                <w:lang w:val="hy-AM" w:eastAsia="ru-RU"/>
              </w:rPr>
            </w:pPr>
          </w:p>
          <w:p w:rsidR="00154773" w:rsidRPr="0053423A" w:rsidRDefault="00154773" w:rsidP="001F6D5D">
            <w:pPr>
              <w:numPr>
                <w:ilvl w:val="0"/>
                <w:numId w:val="455"/>
              </w:numPr>
              <w:jc w:val="both"/>
              <w:rPr>
                <w:rFonts w:eastAsia="Times New Roman" w:cs="Sylfaen"/>
                <w:sz w:val="20"/>
                <w:szCs w:val="20"/>
              </w:rPr>
            </w:pPr>
            <w:r w:rsidRPr="0053423A">
              <w:rPr>
                <w:rFonts w:eastAsia="Times New Roman" w:cs="Arial"/>
                <w:b/>
                <w:sz w:val="20"/>
                <w:szCs w:val="20"/>
                <w:lang w:val="hy-AM" w:eastAsia="ru-RU"/>
              </w:rPr>
              <w:t>Միջոցառման</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իրակա</w:t>
            </w:r>
            <w:r w:rsidRPr="0053423A">
              <w:rPr>
                <w:rFonts w:eastAsia="Times New Roman" w:cs="Arial"/>
                <w:b/>
                <w:sz w:val="20"/>
                <w:szCs w:val="20"/>
                <w:lang w:eastAsia="ru-RU"/>
              </w:rPr>
              <w:t>նա</w:t>
            </w:r>
            <w:r w:rsidRPr="0053423A">
              <w:rPr>
                <w:rFonts w:eastAsia="Times New Roman" w:cs="Arial"/>
                <w:b/>
                <w:sz w:val="20"/>
                <w:szCs w:val="20"/>
                <w:lang w:val="hy-AM" w:eastAsia="ru-RU"/>
              </w:rPr>
              <w:t>ցման</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անհրաժեշտությունը</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և</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նպատակը</w:t>
            </w:r>
            <w:r w:rsidRPr="0053423A">
              <w:rPr>
                <w:rFonts w:eastAsia="Times New Roman" w:cs="Arial Armenian"/>
                <w:sz w:val="20"/>
                <w:szCs w:val="20"/>
                <w:lang w:val="hy-AM" w:eastAsia="ru-RU"/>
              </w:rPr>
              <w:t xml:space="preserve"> </w:t>
            </w:r>
          </w:p>
          <w:p w:rsidR="00154773" w:rsidRPr="0053423A" w:rsidRDefault="00154773" w:rsidP="00154773">
            <w:pPr>
              <w:ind w:left="720"/>
              <w:jc w:val="both"/>
              <w:rPr>
                <w:rFonts w:eastAsia="Times New Roman" w:cs="Sylfaen"/>
                <w:sz w:val="20"/>
                <w:szCs w:val="20"/>
              </w:rPr>
            </w:pPr>
          </w:p>
          <w:p w:rsidR="00154773" w:rsidRPr="0053423A" w:rsidRDefault="00154773" w:rsidP="00154773">
            <w:pPr>
              <w:ind w:firstLine="284"/>
              <w:contextualSpacing/>
              <w:jc w:val="both"/>
              <w:rPr>
                <w:rFonts w:eastAsia="Times New Roman" w:cs="Sylfaen"/>
                <w:sz w:val="20"/>
                <w:szCs w:val="20"/>
              </w:rPr>
            </w:pPr>
            <w:r w:rsidRPr="0053423A">
              <w:rPr>
                <w:rFonts w:eastAsia="Times New Roman" w:cs="Sylfaen"/>
                <w:sz w:val="20"/>
                <w:szCs w:val="20"/>
              </w:rPr>
              <w:t>Միջոցառման գլխավոր նպատակն է որակյալ կրթության հավասար մատչելիության և ընդգրկվածության ապահովումը:</w:t>
            </w:r>
          </w:p>
          <w:p w:rsidR="00154773" w:rsidRPr="0053423A" w:rsidRDefault="00154773" w:rsidP="00154773">
            <w:pPr>
              <w:ind w:firstLine="270"/>
              <w:jc w:val="both"/>
              <w:rPr>
                <w:rFonts w:eastAsia="Times New Roman" w:cs="Sylfaen"/>
                <w:sz w:val="20"/>
                <w:szCs w:val="20"/>
                <w:lang w:val="et-EE"/>
              </w:rPr>
            </w:pPr>
            <w:r w:rsidRPr="0053423A">
              <w:rPr>
                <w:rFonts w:eastAsia="Times New Roman" w:cs="Times New Roman"/>
                <w:spacing w:val="-4"/>
                <w:sz w:val="20"/>
                <w:szCs w:val="20"/>
                <w:lang w:eastAsia="ru-RU"/>
              </w:rPr>
              <w:t xml:space="preserve">Միջոցառման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lang w:eastAsia="ru-RU"/>
              </w:rPr>
              <w:t>«</w:t>
            </w:r>
            <w:r w:rsidRPr="0053423A">
              <w:rPr>
                <w:rFonts w:eastAsia="Times New Roman" w:cs="Times New Roman"/>
                <w:spacing w:val="-4"/>
                <w:sz w:val="20"/>
                <w:szCs w:val="20"/>
                <w:lang w:eastAsia="ru-RU"/>
              </w:rPr>
              <w:t>4.4 ԿՐԹՈՒԹՅՈՒՆ ԵՎ ԳԻՏՈՒԹՅՈՒՆ</w:t>
            </w:r>
            <w:r w:rsidRPr="0053423A">
              <w:rPr>
                <w:rFonts w:eastAsia="Times New Roman" w:cs="Times New Roman"/>
                <w:sz w:val="20"/>
                <w:szCs w:val="20"/>
                <w:lang w:eastAsia="ru-RU"/>
              </w:rPr>
              <w:t xml:space="preserve">»  </w:t>
            </w:r>
            <w:r w:rsidRPr="0053423A">
              <w:rPr>
                <w:rFonts w:eastAsia="Calibri" w:cs="Sylfaen"/>
                <w:sz w:val="20"/>
                <w:szCs w:val="20"/>
                <w:lang w:val="hy-AM" w:eastAsia="ru-RU"/>
              </w:rPr>
              <w:t>բաժնի</w:t>
            </w:r>
            <w:r w:rsidRPr="0053423A">
              <w:rPr>
                <w:rFonts w:eastAsia="Calibri" w:cs="Sylfaen"/>
                <w:sz w:val="20"/>
                <w:szCs w:val="20"/>
                <w:lang w:eastAsia="ru-RU"/>
              </w:rPr>
              <w:t xml:space="preserve"> </w:t>
            </w:r>
            <w:r w:rsidRPr="0053423A">
              <w:rPr>
                <w:rFonts w:eastAsia="Times New Roman" w:cs="Arian AMU"/>
                <w:sz w:val="20"/>
                <w:szCs w:val="20"/>
                <w:lang w:val="et-EE"/>
              </w:rPr>
              <w:t xml:space="preserve">բարձրագույն կրթության ոլորտի </w:t>
            </w:r>
            <w:r w:rsidRPr="0053423A">
              <w:rPr>
                <w:rFonts w:eastAsia="Times New Roman" w:cs="Sylfaen"/>
                <w:sz w:val="20"/>
                <w:szCs w:val="20"/>
                <w:lang w:val="af-ZA"/>
              </w:rPr>
              <w:t>6-րդ պարբերություն</w:t>
            </w:r>
            <w:r w:rsidRPr="0053423A">
              <w:rPr>
                <w:rFonts w:eastAsia="Times New Roman" w:cs="Sylfaen"/>
                <w:sz w:val="20"/>
                <w:szCs w:val="20"/>
              </w:rPr>
              <w:t>ից</w:t>
            </w:r>
            <w:r w:rsidRPr="0053423A">
              <w:rPr>
                <w:rFonts w:eastAsia="Times New Roman" w:cs="Sylfaen"/>
                <w:sz w:val="20"/>
                <w:szCs w:val="20"/>
                <w:lang w:val="et-EE"/>
              </w:rPr>
              <w:t xml:space="preserve">: </w:t>
            </w:r>
          </w:p>
          <w:p w:rsidR="00154773" w:rsidRPr="0053423A" w:rsidRDefault="00154773" w:rsidP="00154773">
            <w:pPr>
              <w:ind w:firstLine="270"/>
              <w:jc w:val="both"/>
              <w:rPr>
                <w:rFonts w:eastAsia="Times New Roman" w:cs="Sylfaen"/>
                <w:sz w:val="20"/>
                <w:szCs w:val="20"/>
                <w:lang w:val="et-EE"/>
              </w:rPr>
            </w:pPr>
            <w:r w:rsidRPr="0053423A">
              <w:rPr>
                <w:rFonts w:eastAsia="Times New Roman" w:cs="Sylfaen"/>
                <w:sz w:val="20"/>
                <w:szCs w:val="20"/>
                <w:lang w:val="et-EE"/>
              </w:rPr>
              <w:t xml:space="preserve">Միջոցառման նպատակն է հանդիսանում </w:t>
            </w:r>
            <w:r w:rsidRPr="0053423A">
              <w:rPr>
                <w:rFonts w:eastAsia="Times New Roman" w:cs="Sylfaen"/>
                <w:sz w:val="20"/>
                <w:szCs w:val="20"/>
                <w:lang w:eastAsia="ru-RU"/>
              </w:rPr>
              <w:t>բարձրագույն</w:t>
            </w:r>
            <w:r w:rsidRPr="0053423A">
              <w:rPr>
                <w:rFonts w:eastAsia="Times New Roman" w:cs="Sylfaen"/>
                <w:sz w:val="20"/>
                <w:szCs w:val="20"/>
                <w:lang w:val="et-EE" w:eastAsia="ru-RU"/>
              </w:rPr>
              <w:t xml:space="preserve"> </w:t>
            </w:r>
            <w:r w:rsidRPr="0053423A">
              <w:rPr>
                <w:rFonts w:eastAsia="Times New Roman" w:cs="Sylfaen"/>
                <w:sz w:val="20"/>
                <w:szCs w:val="20"/>
                <w:lang w:eastAsia="ru-RU"/>
              </w:rPr>
              <w:t>կրթության</w:t>
            </w:r>
            <w:r w:rsidRPr="0053423A">
              <w:rPr>
                <w:rFonts w:eastAsia="Times New Roman" w:cs="Sylfaen"/>
                <w:sz w:val="20"/>
                <w:szCs w:val="20"/>
                <w:lang w:val="et-EE" w:eastAsia="ru-RU"/>
              </w:rPr>
              <w:t xml:space="preserve"> </w:t>
            </w:r>
            <w:r w:rsidRPr="0053423A">
              <w:rPr>
                <w:rFonts w:eastAsia="Times New Roman" w:cs="Sylfaen"/>
                <w:sz w:val="20"/>
                <w:szCs w:val="20"/>
                <w:lang w:eastAsia="ru-RU"/>
              </w:rPr>
              <w:t>հասանելիության</w:t>
            </w:r>
            <w:r w:rsidRPr="0053423A">
              <w:rPr>
                <w:rFonts w:eastAsia="Times New Roman" w:cs="Sylfaen"/>
                <w:sz w:val="20"/>
                <w:szCs w:val="20"/>
                <w:lang w:val="et-EE" w:eastAsia="ru-RU"/>
              </w:rPr>
              <w:t xml:space="preserve"> </w:t>
            </w:r>
            <w:r w:rsidRPr="0053423A">
              <w:rPr>
                <w:rFonts w:eastAsia="Times New Roman" w:cs="Sylfaen"/>
                <w:sz w:val="20"/>
                <w:szCs w:val="20"/>
                <w:lang w:eastAsia="ru-RU"/>
              </w:rPr>
              <w:t>և</w:t>
            </w:r>
            <w:r w:rsidRPr="0053423A">
              <w:rPr>
                <w:rFonts w:eastAsia="Times New Roman" w:cs="Sylfaen"/>
                <w:sz w:val="20"/>
                <w:szCs w:val="20"/>
                <w:lang w:val="et-EE" w:eastAsia="ru-RU"/>
              </w:rPr>
              <w:t xml:space="preserve"> </w:t>
            </w:r>
            <w:r w:rsidRPr="0053423A">
              <w:rPr>
                <w:rFonts w:eastAsia="Times New Roman" w:cs="Sylfaen"/>
                <w:sz w:val="20"/>
                <w:szCs w:val="20"/>
                <w:lang w:eastAsia="ru-RU"/>
              </w:rPr>
              <w:t>մատչելիության</w:t>
            </w:r>
            <w:r w:rsidRPr="0053423A">
              <w:rPr>
                <w:rFonts w:eastAsia="Times New Roman" w:cs="Sylfaen"/>
                <w:sz w:val="20"/>
                <w:szCs w:val="20"/>
                <w:lang w:val="et-EE" w:eastAsia="ru-RU"/>
              </w:rPr>
              <w:t xml:space="preserve"> </w:t>
            </w:r>
            <w:r w:rsidRPr="0053423A">
              <w:rPr>
                <w:rFonts w:eastAsia="Times New Roman" w:cs="Sylfaen"/>
                <w:sz w:val="20"/>
                <w:szCs w:val="20"/>
                <w:lang w:eastAsia="ru-RU"/>
              </w:rPr>
              <w:t>ապահովումը</w:t>
            </w:r>
            <w:r w:rsidRPr="0053423A">
              <w:rPr>
                <w:rFonts w:eastAsia="Times New Roman" w:cs="Sylfaen"/>
                <w:sz w:val="20"/>
                <w:szCs w:val="20"/>
                <w:lang w:val="et-EE"/>
              </w:rPr>
              <w:t>:</w:t>
            </w:r>
          </w:p>
          <w:p w:rsidR="00154773" w:rsidRPr="0053423A" w:rsidRDefault="00154773" w:rsidP="00154773">
            <w:pPr>
              <w:ind w:firstLine="708"/>
              <w:jc w:val="both"/>
              <w:rPr>
                <w:rFonts w:eastAsia="Times New Roman" w:cs="Sylfaen"/>
                <w:sz w:val="20"/>
                <w:szCs w:val="20"/>
                <w:lang w:val="et-EE"/>
              </w:rPr>
            </w:pPr>
          </w:p>
          <w:p w:rsidR="00154773" w:rsidRPr="0053423A" w:rsidRDefault="00154773" w:rsidP="00154773">
            <w:pPr>
              <w:ind w:firstLine="709"/>
              <w:jc w:val="both"/>
              <w:rPr>
                <w:rFonts w:eastAsia="Times New Roman" w:cs="Arial"/>
                <w:b/>
                <w:sz w:val="20"/>
                <w:szCs w:val="20"/>
                <w:lang w:val="et-EE" w:eastAsia="ru-RU"/>
              </w:rPr>
            </w:pPr>
            <w:r w:rsidRPr="0053423A">
              <w:rPr>
                <w:rFonts w:eastAsia="Times New Roman" w:cs="Times New Roman"/>
                <w:b/>
                <w:sz w:val="20"/>
                <w:szCs w:val="20"/>
                <w:lang w:val="hy-AM" w:eastAsia="ru-RU"/>
              </w:rPr>
              <w:t>1.1.</w:t>
            </w:r>
            <w:r w:rsidRPr="0053423A">
              <w:rPr>
                <w:rFonts w:eastAsia="Times New Roman" w:cs="Times New Roman"/>
                <w:sz w:val="20"/>
                <w:szCs w:val="20"/>
                <w:lang w:val="hy-AM" w:eastAsia="ru-RU"/>
              </w:rPr>
              <w:t xml:space="preserve"> </w:t>
            </w:r>
            <w:r w:rsidRPr="0053423A">
              <w:rPr>
                <w:rFonts w:eastAsia="Times New Roman" w:cs="Arial"/>
                <w:b/>
                <w:sz w:val="20"/>
                <w:szCs w:val="20"/>
                <w:lang w:val="hy-AM" w:eastAsia="ru-RU"/>
              </w:rPr>
              <w:t>կարգավորման</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հարաբերությունների</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ներկա</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վիճակը</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և</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առկա</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խնդիրները</w:t>
            </w:r>
          </w:p>
          <w:p w:rsidR="00154773" w:rsidRPr="0053423A" w:rsidRDefault="00154773" w:rsidP="00154773">
            <w:pPr>
              <w:ind w:firstLine="270"/>
              <w:jc w:val="both"/>
              <w:rPr>
                <w:rFonts w:eastAsia="Times New Roman" w:cs="Sylfaen"/>
                <w:sz w:val="20"/>
                <w:szCs w:val="20"/>
                <w:lang w:val="af-ZA"/>
              </w:rPr>
            </w:pPr>
            <w:r w:rsidRPr="0053423A">
              <w:rPr>
                <w:rFonts w:eastAsia="Times New Roman" w:cs="Times New Roman"/>
                <w:sz w:val="20"/>
                <w:szCs w:val="20"/>
                <w:lang w:val="af-ZA"/>
              </w:rPr>
              <w:t xml:space="preserve">Ներկայումս բարձրագույն մասնագիտական կրթության ոլորտի առաջնային խնդիրներից են </w:t>
            </w:r>
            <w:r w:rsidRPr="0053423A">
              <w:rPr>
                <w:rFonts w:eastAsia="Times New Roman" w:cs="Sylfaen"/>
                <w:sz w:val="20"/>
                <w:szCs w:val="20"/>
                <w:lang w:val="af-ZA"/>
              </w:rPr>
              <w:t xml:space="preserve">կրթության հասանելիության ու մատչելիության ապահովումը, սոցիալական պայմանների կամ աշխարհագրական առանձնահատկությունների հետ կապված խոչընդոտների նվազեցումը: </w:t>
            </w:r>
          </w:p>
          <w:p w:rsidR="00154773" w:rsidRPr="0053423A" w:rsidRDefault="00154773" w:rsidP="00154773">
            <w:pPr>
              <w:ind w:firstLine="708"/>
              <w:jc w:val="both"/>
              <w:rPr>
                <w:rFonts w:eastAsia="Times New Roman" w:cs="Sylfaen"/>
                <w:sz w:val="20"/>
                <w:szCs w:val="20"/>
                <w:lang w:val="af-ZA"/>
              </w:rPr>
            </w:pPr>
          </w:p>
          <w:p w:rsidR="00154773" w:rsidRPr="0053423A" w:rsidRDefault="00154773" w:rsidP="00154773">
            <w:pPr>
              <w:ind w:firstLine="709"/>
              <w:jc w:val="both"/>
              <w:rPr>
                <w:rFonts w:eastAsia="Times New Roman" w:cs="Arial"/>
                <w:b/>
                <w:sz w:val="20"/>
                <w:szCs w:val="20"/>
                <w:lang w:val="af-ZA" w:eastAsia="ru-RU"/>
              </w:rPr>
            </w:pPr>
            <w:r w:rsidRPr="0053423A">
              <w:rPr>
                <w:rFonts w:eastAsia="Times New Roman" w:cs="Times New Roman"/>
                <w:b/>
                <w:sz w:val="20"/>
                <w:szCs w:val="20"/>
                <w:lang w:val="hy-AM" w:eastAsia="ru-RU"/>
              </w:rPr>
              <w:t>1.2</w:t>
            </w:r>
            <w:r w:rsidRPr="0053423A">
              <w:rPr>
                <w:rFonts w:eastAsia="Times New Roman" w:cs="Times New Roman"/>
                <w:sz w:val="20"/>
                <w:szCs w:val="20"/>
                <w:lang w:val="hy-AM" w:eastAsia="ru-RU"/>
              </w:rPr>
              <w:t xml:space="preserve">. </w:t>
            </w:r>
            <w:r w:rsidRPr="0053423A">
              <w:rPr>
                <w:rFonts w:eastAsia="Times New Roman" w:cs="Arial"/>
                <w:b/>
                <w:sz w:val="20"/>
                <w:szCs w:val="20"/>
                <w:lang w:val="hy-AM" w:eastAsia="ru-RU"/>
              </w:rPr>
              <w:t>առկա</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խնդիրների</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առաջարկվող</w:t>
            </w:r>
            <w:r w:rsidRPr="0053423A">
              <w:rPr>
                <w:rFonts w:eastAsia="Times New Roman" w:cs="Arial Armenian"/>
                <w:b/>
                <w:sz w:val="20"/>
                <w:szCs w:val="20"/>
                <w:lang w:val="hy-AM" w:eastAsia="ru-RU"/>
              </w:rPr>
              <w:t xml:space="preserve"> </w:t>
            </w:r>
            <w:r w:rsidRPr="0053423A">
              <w:rPr>
                <w:rFonts w:eastAsia="Times New Roman" w:cs="Arial"/>
                <w:b/>
                <w:sz w:val="20"/>
                <w:szCs w:val="20"/>
                <w:lang w:val="hy-AM" w:eastAsia="ru-RU"/>
              </w:rPr>
              <w:t>լուծումները</w:t>
            </w:r>
          </w:p>
          <w:p w:rsidR="00154773" w:rsidRPr="0053423A" w:rsidRDefault="00154773" w:rsidP="00154773">
            <w:pPr>
              <w:ind w:firstLine="709"/>
              <w:jc w:val="both"/>
              <w:rPr>
                <w:rFonts w:eastAsia="Times New Roman" w:cs="Arial"/>
                <w:b/>
                <w:sz w:val="20"/>
                <w:szCs w:val="20"/>
                <w:lang w:val="af-ZA" w:eastAsia="ru-RU"/>
              </w:rPr>
            </w:pPr>
          </w:p>
          <w:p w:rsidR="00154773" w:rsidRPr="0053423A" w:rsidRDefault="00154773" w:rsidP="00154773">
            <w:pPr>
              <w:ind w:firstLine="270"/>
              <w:jc w:val="both"/>
              <w:rPr>
                <w:rFonts w:eastAsia="Times New Roman" w:cs="Times New Roman"/>
                <w:sz w:val="20"/>
                <w:szCs w:val="20"/>
                <w:lang w:val="af-ZA" w:eastAsia="ru-RU"/>
              </w:rPr>
            </w:pPr>
            <w:r w:rsidRPr="0053423A">
              <w:rPr>
                <w:rFonts w:eastAsia="Times New Roman" w:cs="Sylfaen"/>
                <w:sz w:val="20"/>
                <w:szCs w:val="20"/>
                <w:lang w:val="af-ZA"/>
              </w:rPr>
              <w:t>Միջոցառման շրջանակում նախատեսվում են</w:t>
            </w:r>
            <w:r w:rsidRPr="0053423A">
              <w:rPr>
                <w:rFonts w:eastAsia="Times New Roman" w:cs="Times New Roman"/>
                <w:sz w:val="20"/>
                <w:szCs w:val="20"/>
                <w:lang w:val="hy-AM" w:eastAsia="ru-RU"/>
              </w:rPr>
              <w:t xml:space="preserve"> ֆ</w:t>
            </w:r>
            <w:r w:rsidRPr="0053423A">
              <w:rPr>
                <w:rFonts w:eastAsia="Times New Roman" w:cs="Sylfaen"/>
                <w:sz w:val="20"/>
                <w:szCs w:val="20"/>
                <w:lang w:val="hy-AM" w:eastAsia="ru-RU"/>
              </w:rPr>
              <w:t>ինանսավորման</w:t>
            </w:r>
            <w:r w:rsidRPr="0053423A">
              <w:rPr>
                <w:rFonts w:eastAsia="Times New Roman" w:cs="Times New Roman"/>
                <w:sz w:val="20"/>
                <w:szCs w:val="20"/>
                <w:lang w:val="ro-RO" w:eastAsia="ru-RU"/>
              </w:rPr>
              <w:t xml:space="preserve"> </w:t>
            </w:r>
            <w:r w:rsidRPr="0053423A">
              <w:rPr>
                <w:rFonts w:eastAsia="Times New Roman" w:cs="Sylfaen"/>
                <w:sz w:val="20"/>
                <w:szCs w:val="20"/>
                <w:lang w:val="hy-AM" w:eastAsia="ru-RU"/>
              </w:rPr>
              <w:t>համակարգի</w:t>
            </w:r>
            <w:r w:rsidRPr="0053423A">
              <w:rPr>
                <w:rFonts w:eastAsia="Times New Roman" w:cs="Times New Roman"/>
                <w:sz w:val="20"/>
                <w:szCs w:val="20"/>
                <w:lang w:val="ro-RO" w:eastAsia="ru-RU"/>
              </w:rPr>
              <w:t xml:space="preserve"> </w:t>
            </w:r>
            <w:r w:rsidRPr="0053423A">
              <w:rPr>
                <w:rFonts w:eastAsia="Times New Roman" w:cs="Sylfaen"/>
                <w:sz w:val="20"/>
                <w:szCs w:val="20"/>
                <w:lang w:val="hy-AM" w:eastAsia="ru-RU"/>
              </w:rPr>
              <w:t>բարեփոխման</w:t>
            </w:r>
            <w:r w:rsidRPr="0053423A">
              <w:rPr>
                <w:rFonts w:eastAsia="Times New Roman" w:cs="Times New Roman"/>
                <w:sz w:val="20"/>
                <w:szCs w:val="20"/>
                <w:lang w:val="ro-RO" w:eastAsia="ru-RU"/>
              </w:rPr>
              <w:t xml:space="preserve"> </w:t>
            </w:r>
            <w:r w:rsidRPr="0053423A">
              <w:rPr>
                <w:rFonts w:eastAsia="Times New Roman" w:cs="Sylfaen"/>
                <w:sz w:val="20"/>
                <w:szCs w:val="20"/>
                <w:lang w:val="hy-AM" w:eastAsia="ru-RU"/>
              </w:rPr>
              <w:t>նպատակով</w:t>
            </w:r>
            <w:r w:rsidRPr="0053423A">
              <w:rPr>
                <w:rFonts w:eastAsia="Times New Roman" w:cs="Sylfaen"/>
                <w:sz w:val="20"/>
                <w:szCs w:val="20"/>
                <w:lang w:val="ro-RO" w:eastAsia="ru-RU"/>
              </w:rPr>
              <w:t xml:space="preserve"> </w:t>
            </w:r>
            <w:r w:rsidRPr="0053423A">
              <w:rPr>
                <w:rFonts w:eastAsia="Times New Roman" w:cs="Sylfaen"/>
                <w:sz w:val="20"/>
                <w:szCs w:val="20"/>
                <w:lang w:val="hy-AM" w:eastAsia="ru-RU"/>
              </w:rPr>
              <w:t>մշակել</w:t>
            </w:r>
            <w:r w:rsidRPr="0053423A">
              <w:rPr>
                <w:rFonts w:eastAsia="Times New Roman" w:cs="Sylfaen"/>
                <w:sz w:val="20"/>
                <w:szCs w:val="20"/>
                <w:lang w:val="ro-RO" w:eastAsia="ru-RU"/>
              </w:rPr>
              <w:t xml:space="preserve"> </w:t>
            </w:r>
            <w:r w:rsidRPr="0053423A">
              <w:rPr>
                <w:rFonts w:eastAsia="Times New Roman" w:cs="Sylfaen"/>
                <w:sz w:val="20"/>
                <w:szCs w:val="20"/>
                <w:lang w:val="hy-AM" w:eastAsia="ru-RU"/>
              </w:rPr>
              <w:t>մոդել</w:t>
            </w:r>
            <w:r w:rsidRPr="0053423A">
              <w:rPr>
                <w:rFonts w:eastAsia="Times New Roman" w:cs="Sylfaen"/>
                <w:sz w:val="20"/>
                <w:szCs w:val="20"/>
                <w:lang w:val="ro-RO" w:eastAsia="ru-RU"/>
              </w:rPr>
              <w:t xml:space="preserve">՝ կրթաթոշակային ծրագիր, որը կունենա մի շարք ֆինանսավորման ձևեր՝ </w:t>
            </w:r>
            <w:r w:rsidRPr="0053423A">
              <w:rPr>
                <w:rFonts w:eastAsia="Times New Roman" w:cs="Times New Roman"/>
                <w:sz w:val="20"/>
                <w:szCs w:val="20"/>
                <w:lang w:eastAsia="ru-RU"/>
              </w:rPr>
              <w:t>ա</w:t>
            </w:r>
            <w:r w:rsidRPr="0053423A">
              <w:rPr>
                <w:rFonts w:eastAsia="Times New Roman" w:cs="Times New Roman"/>
                <w:sz w:val="20"/>
                <w:szCs w:val="20"/>
                <w:lang w:val="hy-AM" w:eastAsia="ru-RU"/>
              </w:rPr>
              <w:t>ռաջադիմության վրա հիմնված կրթաթոշակային ծրագիր,</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կ</w:t>
            </w:r>
            <w:r w:rsidRPr="0053423A">
              <w:rPr>
                <w:rFonts w:eastAsia="Times New Roman" w:cs="Sylfaen"/>
                <w:sz w:val="20"/>
                <w:szCs w:val="20"/>
                <w:lang w:val="hy-AM" w:eastAsia="ru-RU"/>
              </w:rPr>
              <w:t>արիքավորության</w:t>
            </w:r>
            <w:r w:rsidRPr="0053423A">
              <w:rPr>
                <w:rFonts w:eastAsia="Times New Roman" w:cs="Times New Roman"/>
                <w:sz w:val="20"/>
                <w:szCs w:val="20"/>
                <w:lang w:val="hy-AM" w:eastAsia="ru-RU"/>
              </w:rPr>
              <w:t xml:space="preserve"> վրա հիմնված կրթաթոշակային ծրագիր</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գ</w:t>
            </w:r>
            <w:r w:rsidRPr="0053423A">
              <w:rPr>
                <w:rFonts w:eastAsia="Times New Roman" w:cs="Sylfaen"/>
                <w:sz w:val="20"/>
                <w:szCs w:val="20"/>
                <w:lang w:val="hy-AM" w:eastAsia="ru-RU"/>
              </w:rPr>
              <w:t>երակա</w:t>
            </w:r>
            <w:r w:rsidRPr="0053423A">
              <w:rPr>
                <w:rFonts w:eastAsia="Times New Roman" w:cs="Times New Roman"/>
                <w:sz w:val="20"/>
                <w:szCs w:val="20"/>
                <w:lang w:val="hy-AM" w:eastAsia="ru-RU"/>
              </w:rPr>
              <w:t xml:space="preserve"> մասնագիտոթյունների գծով կրթաթոշակային ծրագիր,</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կ</w:t>
            </w:r>
            <w:r w:rsidRPr="0053423A">
              <w:rPr>
                <w:rFonts w:eastAsia="Times New Roman" w:cs="Sylfaen"/>
                <w:sz w:val="20"/>
                <w:szCs w:val="20"/>
                <w:lang w:eastAsia="ru-RU"/>
              </w:rPr>
              <w:t>եցության</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նպաստների</w:t>
            </w:r>
            <w:r w:rsidRPr="0053423A">
              <w:rPr>
                <w:rFonts w:eastAsia="Times New Roman" w:cs="Times New Roman"/>
                <w:sz w:val="20"/>
                <w:szCs w:val="20"/>
                <w:lang w:val="af-ZA" w:eastAsia="ru-RU"/>
              </w:rPr>
              <w:t xml:space="preserve"> </w:t>
            </w:r>
            <w:r w:rsidRPr="0053423A">
              <w:rPr>
                <w:rFonts w:eastAsia="Times New Roman" w:cs="Times New Roman"/>
                <w:sz w:val="20"/>
                <w:szCs w:val="20"/>
                <w:lang w:eastAsia="ru-RU"/>
              </w:rPr>
              <w:t>ծրագիր</w:t>
            </w:r>
            <w:r w:rsidRPr="0053423A">
              <w:rPr>
                <w:rFonts w:eastAsia="Times New Roman" w:cs="Times New Roman"/>
                <w:sz w:val="20"/>
                <w:szCs w:val="20"/>
                <w:lang w:val="af-ZA" w:eastAsia="ru-RU"/>
              </w:rPr>
              <w:t>:</w:t>
            </w:r>
          </w:p>
          <w:p w:rsidR="00154773" w:rsidRPr="0053423A" w:rsidRDefault="00154773" w:rsidP="00154773">
            <w:pPr>
              <w:ind w:firstLine="709"/>
              <w:jc w:val="both"/>
              <w:rPr>
                <w:rFonts w:eastAsia="Times New Roman" w:cs="Arial"/>
                <w:b/>
                <w:sz w:val="20"/>
                <w:szCs w:val="20"/>
                <w:lang w:val="af-ZA" w:eastAsia="ru-RU"/>
              </w:rPr>
            </w:pPr>
          </w:p>
          <w:p w:rsidR="00154773" w:rsidRPr="0053423A" w:rsidRDefault="00154773" w:rsidP="001F6D5D">
            <w:pPr>
              <w:numPr>
                <w:ilvl w:val="0"/>
                <w:numId w:val="455"/>
              </w:numPr>
              <w:tabs>
                <w:tab w:val="left" w:pos="318"/>
              </w:tabs>
              <w:contextualSpacing/>
              <w:jc w:val="both"/>
              <w:rPr>
                <w:rFonts w:cs="Arial"/>
                <w:b/>
                <w:sz w:val="20"/>
                <w:szCs w:val="20"/>
              </w:rPr>
            </w:pPr>
            <w:r w:rsidRPr="0053423A">
              <w:rPr>
                <w:rFonts w:cs="Arial"/>
                <w:b/>
                <w:sz w:val="20"/>
                <w:szCs w:val="20"/>
                <w:lang w:val="hy-AM"/>
              </w:rPr>
              <w:t>Միջոցառման</w:t>
            </w:r>
            <w:r w:rsidRPr="0053423A">
              <w:rPr>
                <w:rFonts w:cs="Arial Armenian"/>
                <w:b/>
                <w:sz w:val="20"/>
                <w:szCs w:val="20"/>
                <w:lang w:val="hy-AM"/>
              </w:rPr>
              <w:t xml:space="preserve"> </w:t>
            </w:r>
            <w:r w:rsidRPr="0053423A">
              <w:rPr>
                <w:rFonts w:cs="Arial"/>
                <w:b/>
                <w:sz w:val="20"/>
                <w:szCs w:val="20"/>
                <w:lang w:val="hy-AM"/>
              </w:rPr>
              <w:t>իրականացումից</w:t>
            </w:r>
            <w:r w:rsidRPr="0053423A">
              <w:rPr>
                <w:rFonts w:cs="Arial Armenian"/>
                <w:b/>
                <w:sz w:val="20"/>
                <w:szCs w:val="20"/>
                <w:lang w:val="hy-AM"/>
              </w:rPr>
              <w:t xml:space="preserve"> </w:t>
            </w:r>
            <w:r w:rsidRPr="0053423A">
              <w:rPr>
                <w:rFonts w:cs="Arial"/>
                <w:b/>
                <w:sz w:val="20"/>
                <w:szCs w:val="20"/>
                <w:lang w:val="hy-AM"/>
              </w:rPr>
              <w:t>ակնկալվող</w:t>
            </w:r>
            <w:r w:rsidRPr="0053423A">
              <w:rPr>
                <w:rFonts w:cs="Arial Armenian"/>
                <w:b/>
                <w:sz w:val="20"/>
                <w:szCs w:val="20"/>
                <w:lang w:val="hy-AM"/>
              </w:rPr>
              <w:t xml:space="preserve"> </w:t>
            </w:r>
            <w:r w:rsidRPr="0053423A">
              <w:rPr>
                <w:rFonts w:cs="Arial"/>
                <w:b/>
                <w:sz w:val="20"/>
                <w:szCs w:val="20"/>
                <w:lang w:val="hy-AM"/>
              </w:rPr>
              <w:t>արդյունքը</w:t>
            </w:r>
          </w:p>
          <w:p w:rsidR="00154773" w:rsidRPr="0053423A" w:rsidRDefault="00154773" w:rsidP="00154773">
            <w:pPr>
              <w:tabs>
                <w:tab w:val="left" w:pos="318"/>
              </w:tabs>
              <w:ind w:left="720"/>
              <w:contextualSpacing/>
              <w:jc w:val="both"/>
              <w:rPr>
                <w:rFonts w:cs="Arial"/>
                <w:b/>
                <w:sz w:val="20"/>
                <w:szCs w:val="20"/>
              </w:rPr>
            </w:pPr>
          </w:p>
          <w:p w:rsidR="00154773" w:rsidRPr="0053423A" w:rsidRDefault="00154773" w:rsidP="00154773">
            <w:pPr>
              <w:jc w:val="both"/>
              <w:rPr>
                <w:rFonts w:eastAsia="Times New Roman" w:cs="Times New Roman"/>
                <w:b/>
                <w:sz w:val="20"/>
                <w:szCs w:val="20"/>
                <w:lang w:val="hy-AM"/>
              </w:rPr>
            </w:pPr>
            <w:r w:rsidRPr="0053423A">
              <w:rPr>
                <w:rFonts w:cs="Arial Armenian"/>
                <w:sz w:val="20"/>
                <w:szCs w:val="20"/>
                <w:lang w:val="af-ZA"/>
              </w:rPr>
              <w:t>Միջոցառման կատարման արդյունքում կընդլայնվեն պետության կողմից ուսանողների ֆինանսական աջակցության հասցեականությունը, նպատակայնությունը և ծավալները, ինչպես նաև կապահովի ուսանողների լայն ընդգրկվածությունը բարձրագույն ուսումնական հաստատություններ:</w:t>
            </w:r>
          </w:p>
        </w:tc>
      </w:tr>
      <w:tr w:rsidR="00154773" w:rsidRPr="0053423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19</w:t>
            </w:r>
          </w:p>
        </w:tc>
        <w:tc>
          <w:tcPr>
            <w:tcW w:w="10620" w:type="dxa"/>
          </w:tcPr>
          <w:p w:rsidR="00154773" w:rsidRPr="0053423A" w:rsidRDefault="00154773" w:rsidP="00154773">
            <w:pPr>
              <w:spacing w:before="120" w:after="120"/>
              <w:jc w:val="center"/>
              <w:rPr>
                <w:rFonts w:eastAsia="Times New Roman" w:cs="Times New Roman"/>
                <w:b/>
                <w:sz w:val="20"/>
                <w:szCs w:val="20"/>
                <w:u w:val="single"/>
                <w:lang w:val="hy-AM"/>
              </w:rPr>
            </w:pPr>
            <w:r w:rsidRPr="0053423A">
              <w:rPr>
                <w:rFonts w:eastAsia="Times New Roman" w:cs="Times New Roman"/>
                <w:b/>
                <w:sz w:val="20"/>
                <w:szCs w:val="20"/>
                <w:u w:val="single"/>
                <w:lang w:val="af-ZA"/>
              </w:rPr>
              <w:t>19</w:t>
            </w:r>
            <w:r w:rsidRPr="0053423A">
              <w:rPr>
                <w:rFonts w:eastAsia="Times New Roman" w:cs="Times New Roman"/>
                <w:b/>
                <w:sz w:val="20"/>
                <w:szCs w:val="20"/>
                <w:u w:val="single"/>
                <w:lang w:val="hy-AM"/>
              </w:rPr>
              <w:t>.1.</w:t>
            </w:r>
            <w:r w:rsidRPr="0053423A">
              <w:rPr>
                <w:rFonts w:eastAsia="Times New Roman" w:cs="Times New Roman"/>
                <w:b/>
                <w:sz w:val="20"/>
                <w:szCs w:val="20"/>
                <w:u w:val="single"/>
                <w:lang w:val="af-ZA"/>
              </w:rPr>
              <w:t xml:space="preserve"> </w:t>
            </w:r>
            <w:r w:rsidRPr="0053423A">
              <w:rPr>
                <w:rFonts w:eastAsia="Times New Roman" w:cs="Times New Roman"/>
                <w:b/>
                <w:sz w:val="20"/>
                <w:szCs w:val="20"/>
                <w:u w:val="single"/>
                <w:lang w:val="hy-AM"/>
              </w:rPr>
              <w:t xml:space="preserve"> ՀՀ Արագածոտնի մարզի հանրակրթական դպրոցների ընդգրկում «Կայուն դպրոցական սնունդ» ծրագրում</w:t>
            </w:r>
          </w:p>
          <w:p w:rsidR="00154773" w:rsidRPr="0053423A" w:rsidRDefault="00154773" w:rsidP="00154773">
            <w:pPr>
              <w:spacing w:before="120" w:after="120"/>
              <w:jc w:val="center"/>
              <w:rPr>
                <w:rFonts w:eastAsia="Times New Roman" w:cs="Times New Roman"/>
                <w:b/>
                <w:sz w:val="20"/>
                <w:szCs w:val="20"/>
                <w:u w:val="single"/>
                <w:lang w:val="hy-AM"/>
              </w:rPr>
            </w:pPr>
            <w:r w:rsidRPr="0053423A">
              <w:rPr>
                <w:rFonts w:eastAsia="Times New Roman" w:cs="Times New Roman"/>
                <w:b/>
                <w:sz w:val="20"/>
                <w:szCs w:val="20"/>
                <w:u w:val="single"/>
                <w:lang w:val="hy-AM"/>
              </w:rPr>
              <w:t>19.2. ՀՀ Գեղարքունիքի մարզի հանրակրթական դպրոցների ընդգրկում «Կայուն դպրոցական սնունդ» ծրագրում</w:t>
            </w:r>
          </w:p>
          <w:p w:rsidR="00154773" w:rsidRPr="0053423A" w:rsidRDefault="00154773" w:rsidP="00154773">
            <w:pPr>
              <w:tabs>
                <w:tab w:val="left" w:pos="2694"/>
              </w:tabs>
              <w:ind w:firstLine="284"/>
              <w:contextualSpacing/>
              <w:jc w:val="center"/>
              <w:rPr>
                <w:rFonts w:eastAsia="Times New Roman" w:cs="Times New Roman"/>
                <w:b/>
                <w:sz w:val="20"/>
                <w:szCs w:val="20"/>
                <w:u w:val="single"/>
                <w:lang w:val="hy-AM"/>
              </w:rPr>
            </w:pPr>
            <w:r w:rsidRPr="0053423A">
              <w:rPr>
                <w:rFonts w:eastAsia="Times New Roman" w:cs="Times New Roman"/>
                <w:b/>
                <w:sz w:val="20"/>
                <w:szCs w:val="20"/>
                <w:u w:val="single"/>
                <w:lang w:val="hy-AM"/>
              </w:rPr>
              <w:t>19.3.ՀՀ Լոռու մարզի հանրակրթական դպրոցների ընդգրկում «Կայուն դպրոցական սնունդ ծրագրում</w:t>
            </w:r>
          </w:p>
          <w:p w:rsidR="00154773" w:rsidRPr="0053423A" w:rsidRDefault="00154773" w:rsidP="00154773">
            <w:pPr>
              <w:spacing w:before="120" w:after="120"/>
              <w:jc w:val="center"/>
              <w:rPr>
                <w:rFonts w:eastAsia="Times New Roman" w:cs="Times New Roman"/>
                <w:b/>
                <w:sz w:val="20"/>
                <w:szCs w:val="20"/>
                <w:u w:val="single"/>
                <w:lang w:val="hy-AM"/>
              </w:rPr>
            </w:pPr>
            <w:r w:rsidRPr="0053423A">
              <w:rPr>
                <w:rFonts w:eastAsia="Times New Roman" w:cs="Times New Roman"/>
                <w:b/>
                <w:sz w:val="20"/>
                <w:szCs w:val="20"/>
                <w:u w:val="single"/>
                <w:lang w:val="hy-AM"/>
              </w:rPr>
              <w:t>19.4. ՀՀ Արմավիրի մարզի հանրակրթական դպրոցների ընդգրկում «Կայուն դպրոցական սնունդ» ծրագրում</w:t>
            </w:r>
          </w:p>
          <w:p w:rsidR="00154773" w:rsidRPr="0053423A" w:rsidRDefault="00154773" w:rsidP="00154773">
            <w:pPr>
              <w:spacing w:before="120" w:after="120"/>
              <w:jc w:val="center"/>
              <w:rPr>
                <w:rFonts w:eastAsia="Times New Roman" w:cs="Times New Roman"/>
                <w:b/>
                <w:sz w:val="20"/>
                <w:szCs w:val="20"/>
                <w:u w:val="single"/>
                <w:lang w:val="hy-AM"/>
              </w:rPr>
            </w:pPr>
            <w:r w:rsidRPr="0053423A">
              <w:rPr>
                <w:rFonts w:eastAsia="Times New Roman" w:cs="Times New Roman"/>
                <w:b/>
                <w:sz w:val="20"/>
                <w:szCs w:val="20"/>
                <w:u w:val="single"/>
                <w:lang w:val="hy-AM"/>
              </w:rPr>
              <w:t>19.5. ՀՀ Կոտայքի մարզի հանրակրթական դպրոցների ընդգրկում «Կայուն դպրոցական սնունդ» ծրագրում»</w:t>
            </w:r>
          </w:p>
          <w:p w:rsidR="00154773" w:rsidRPr="0053423A" w:rsidRDefault="00154773" w:rsidP="00154773">
            <w:pPr>
              <w:spacing w:before="120" w:after="120"/>
              <w:rPr>
                <w:rFonts w:eastAsia="Times New Roman" w:cs="Times New Roman"/>
                <w:b/>
                <w:sz w:val="20"/>
                <w:szCs w:val="20"/>
                <w:u w:val="single"/>
                <w:lang w:val="hy-AM"/>
              </w:rPr>
            </w:pPr>
          </w:p>
          <w:p w:rsidR="00154773" w:rsidRPr="0053423A" w:rsidRDefault="00154773" w:rsidP="00154773">
            <w:pPr>
              <w:tabs>
                <w:tab w:val="left" w:pos="2694"/>
              </w:tabs>
              <w:ind w:firstLine="284"/>
              <w:contextualSpacing/>
              <w:rPr>
                <w:b/>
                <w:sz w:val="20"/>
                <w:szCs w:val="20"/>
                <w:lang w:val="et-EE"/>
              </w:rPr>
            </w:pPr>
            <w:r w:rsidRPr="0053423A">
              <w:rPr>
                <w:b/>
                <w:sz w:val="20"/>
                <w:szCs w:val="20"/>
                <w:lang w:val="af-ZA"/>
              </w:rPr>
              <w:t xml:space="preserve">1. </w:t>
            </w:r>
            <w:r w:rsidRPr="0053423A">
              <w:rPr>
                <w:b/>
                <w:sz w:val="20"/>
                <w:szCs w:val="20"/>
                <w:lang w:val="hy-AM"/>
              </w:rPr>
              <w:t>Միջոցառումների</w:t>
            </w:r>
            <w:r w:rsidRPr="0053423A">
              <w:rPr>
                <w:b/>
                <w:sz w:val="20"/>
                <w:szCs w:val="20"/>
                <w:lang w:val="et-EE"/>
              </w:rPr>
              <w:t xml:space="preserve"> </w:t>
            </w:r>
            <w:r w:rsidRPr="0053423A">
              <w:rPr>
                <w:b/>
                <w:sz w:val="20"/>
                <w:szCs w:val="20"/>
                <w:lang w:val="hy-AM"/>
              </w:rPr>
              <w:t>իրականացման</w:t>
            </w:r>
            <w:r w:rsidRPr="0053423A">
              <w:rPr>
                <w:b/>
                <w:sz w:val="20"/>
                <w:szCs w:val="20"/>
                <w:lang w:val="et-EE"/>
              </w:rPr>
              <w:t xml:space="preserve"> </w:t>
            </w:r>
            <w:r w:rsidRPr="0053423A">
              <w:rPr>
                <w:b/>
                <w:sz w:val="20"/>
                <w:szCs w:val="20"/>
                <w:lang w:val="hy-AM"/>
              </w:rPr>
              <w:t>անհրաժեշտությունը</w:t>
            </w:r>
            <w:r w:rsidRPr="0053423A">
              <w:rPr>
                <w:b/>
                <w:sz w:val="20"/>
                <w:szCs w:val="20"/>
                <w:lang w:val="et-EE"/>
              </w:rPr>
              <w:t xml:space="preserve"> </w:t>
            </w:r>
            <w:r w:rsidRPr="0053423A">
              <w:rPr>
                <w:b/>
                <w:sz w:val="20"/>
                <w:szCs w:val="20"/>
                <w:lang w:val="hy-AM"/>
              </w:rPr>
              <w:t>և</w:t>
            </w:r>
            <w:r w:rsidRPr="0053423A">
              <w:rPr>
                <w:b/>
                <w:sz w:val="20"/>
                <w:szCs w:val="20"/>
                <w:lang w:val="et-EE"/>
              </w:rPr>
              <w:t xml:space="preserve"> </w:t>
            </w:r>
            <w:r w:rsidRPr="0053423A">
              <w:rPr>
                <w:b/>
                <w:sz w:val="20"/>
                <w:szCs w:val="20"/>
                <w:lang w:val="hy-AM"/>
              </w:rPr>
              <w:t xml:space="preserve">նպատակը </w:t>
            </w:r>
          </w:p>
          <w:p w:rsidR="00154773" w:rsidRPr="0053423A" w:rsidRDefault="00154773" w:rsidP="00154773">
            <w:pPr>
              <w:tabs>
                <w:tab w:val="left" w:pos="2694"/>
              </w:tabs>
              <w:ind w:firstLine="284"/>
              <w:contextualSpacing/>
              <w:jc w:val="both"/>
              <w:rPr>
                <w:rFonts w:eastAsia="Calibri" w:cs="Sylfaen"/>
                <w:sz w:val="20"/>
                <w:szCs w:val="20"/>
                <w:lang w:val="et-EE"/>
              </w:rPr>
            </w:pPr>
          </w:p>
          <w:p w:rsidR="00154773" w:rsidRPr="0053423A" w:rsidRDefault="00154773" w:rsidP="00154773">
            <w:pPr>
              <w:ind w:firstLine="284"/>
              <w:contextualSpacing/>
              <w:jc w:val="both"/>
              <w:rPr>
                <w:rFonts w:eastAsia="Times New Roman" w:cs="Sylfaen"/>
                <w:sz w:val="20"/>
                <w:szCs w:val="20"/>
                <w:lang w:val="hy-AM"/>
              </w:rPr>
            </w:pPr>
            <w:r w:rsidRPr="0053423A">
              <w:rPr>
                <w:rFonts w:eastAsia="Times New Roman" w:cs="Sylfaen"/>
                <w:sz w:val="20"/>
                <w:szCs w:val="20"/>
                <w:lang w:val="hy-AM"/>
              </w:rPr>
              <w:t>Միջոցառման գլխավոր նպատակն է որակյալ կրթության հավասար մատչելիության և ընդգրկվածության ապահովումը:</w:t>
            </w:r>
          </w:p>
          <w:p w:rsidR="00154773" w:rsidRPr="0053423A" w:rsidRDefault="00154773" w:rsidP="00154773">
            <w:pPr>
              <w:tabs>
                <w:tab w:val="left" w:pos="2694"/>
              </w:tabs>
              <w:ind w:firstLine="284"/>
              <w:contextualSpacing/>
              <w:jc w:val="both"/>
              <w:rPr>
                <w:rFonts w:eastAsia="Calibri" w:cs="Sylfaen"/>
                <w:sz w:val="20"/>
                <w:szCs w:val="20"/>
                <w:lang w:val="hy-AM"/>
              </w:rPr>
            </w:pPr>
            <w:r w:rsidRPr="0053423A">
              <w:rPr>
                <w:rFonts w:eastAsia="Calibri" w:cs="Sylfaen"/>
                <w:sz w:val="20"/>
                <w:szCs w:val="20"/>
                <w:lang w:val="hy-AM"/>
              </w:rPr>
              <w:t>ՀՀ կառավարության 2013 թվականի օգոստոսի 22-ի նիստի N33 արձանագրային որոշմամբ հավանության է արժանացել «Կայուն դպրոցական սնունդ» ծրագրի ռազմավարությունն ու դրա իրականացման միջոցառումների ծրագիրն ու փորձնական ծրագիրը: Ծրագրի ռազմա</w:t>
            </w:r>
            <w:r w:rsidRPr="0053423A">
              <w:rPr>
                <w:rFonts w:eastAsia="Calibri" w:cs="Sylfaen"/>
                <w:sz w:val="20"/>
                <w:szCs w:val="20"/>
                <w:lang w:val="hy-AM"/>
              </w:rPr>
              <w:softHyphen/>
              <w:t>վարության գլխավոր նպատակն է ստեղծել կայուն դպրոցական սննդի համակարգ, որը հնարա</w:t>
            </w:r>
            <w:r w:rsidRPr="0053423A">
              <w:rPr>
                <w:rFonts w:eastAsia="Calibri" w:cs="Sylfaen"/>
                <w:sz w:val="20"/>
                <w:szCs w:val="20"/>
                <w:lang w:val="hy-AM"/>
              </w:rPr>
              <w:softHyphen/>
              <w:t>վորություն կտա ապահովելու ՀՀ բոլոր մարզերի հանրակրթական դպրոցների նախակրթարանների</w:t>
            </w:r>
            <w:r w:rsidRPr="0053423A">
              <w:rPr>
                <w:rFonts w:eastAsia="Calibri" w:cs="Sylfaen"/>
                <w:sz w:val="20"/>
                <w:szCs w:val="20"/>
                <w:lang w:val="et-EE"/>
              </w:rPr>
              <w:t xml:space="preserve"> </w:t>
            </w:r>
            <w:r w:rsidRPr="0053423A">
              <w:rPr>
                <w:rFonts w:eastAsia="Calibri" w:cs="Sylfaen"/>
                <w:sz w:val="20"/>
                <w:szCs w:val="20"/>
                <w:lang w:val="hy-AM"/>
              </w:rPr>
              <w:t>և</w:t>
            </w:r>
            <w:r w:rsidRPr="0053423A">
              <w:rPr>
                <w:rFonts w:eastAsia="Calibri" w:cs="Sylfaen"/>
                <w:sz w:val="20"/>
                <w:szCs w:val="20"/>
                <w:lang w:val="et-EE"/>
              </w:rPr>
              <w:t xml:space="preserve"> </w:t>
            </w:r>
            <w:r w:rsidRPr="0053423A">
              <w:rPr>
                <w:rFonts w:eastAsia="Calibri" w:cs="Sylfaen"/>
                <w:sz w:val="20"/>
                <w:szCs w:val="20"/>
                <w:lang w:val="hy-AM"/>
              </w:rPr>
              <w:t>տարրական դասարանների աշակերտների առողջ սնունդը, բարելավելու նրանց առողջությունն ու հաղթահարելու աղքատու</w:t>
            </w:r>
            <w:r w:rsidRPr="0053423A">
              <w:rPr>
                <w:rFonts w:eastAsia="Calibri" w:cs="Sylfaen"/>
                <w:sz w:val="20"/>
                <w:szCs w:val="20"/>
                <w:lang w:val="hy-AM"/>
              </w:rPr>
              <w:softHyphen/>
              <w:t>թյունը` նպաստելով դպրոցականների հաճախելիու</w:t>
            </w:r>
            <w:r w:rsidRPr="0053423A">
              <w:rPr>
                <w:rFonts w:eastAsia="Calibri" w:cs="Sylfaen"/>
                <w:sz w:val="20"/>
                <w:szCs w:val="20"/>
                <w:lang w:val="hy-AM"/>
              </w:rPr>
              <w:softHyphen/>
              <w:t>թյան բարձրացմանն ու համընդհանուր տարրական կրթության ձեռքբերմանը:</w:t>
            </w:r>
          </w:p>
          <w:p w:rsidR="00154773" w:rsidRPr="0053423A" w:rsidRDefault="00154773" w:rsidP="00154773">
            <w:pPr>
              <w:tabs>
                <w:tab w:val="left" w:pos="2694"/>
              </w:tabs>
              <w:ind w:firstLine="284"/>
              <w:contextualSpacing/>
              <w:jc w:val="both"/>
              <w:rPr>
                <w:rFonts w:eastAsia="Calibri" w:cs="Arian AMU"/>
                <w:sz w:val="20"/>
                <w:szCs w:val="20"/>
                <w:lang w:val="hy-AM"/>
              </w:rPr>
            </w:pPr>
            <w:r w:rsidRPr="0053423A">
              <w:rPr>
                <w:rFonts w:eastAsia="Calibri" w:cs="Sylfaen"/>
                <w:sz w:val="20"/>
                <w:szCs w:val="20"/>
                <w:lang w:val="hy-AM"/>
              </w:rPr>
              <w:t xml:space="preserve">Անհրաժեշտությունը պայմանավորված է ՀՀ կառավարության 2013 թ. օգոստոսի 22-ի նիստի N 33 արձանագրային որոշման N 1 հավելվածի 21-րդ կետով, ինչպես նաև` </w:t>
            </w:r>
            <w:r w:rsidRPr="0053423A">
              <w:rPr>
                <w:spacing w:val="-4"/>
                <w:sz w:val="20"/>
                <w:szCs w:val="20"/>
                <w:lang w:val="hy-AM"/>
              </w:rPr>
              <w:t xml:space="preserve">ՀՀ ԱԺ 2019 թվականի փետրվարի 14-ի ԱԺՈ-002-Ն որոշմամբ հավանության արժանացած ՀՀ կառավարության ծրագրի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xml:space="preserve">»  </w:t>
            </w:r>
            <w:r w:rsidRPr="0053423A">
              <w:rPr>
                <w:rFonts w:eastAsia="Calibri" w:cs="Sylfaen"/>
                <w:sz w:val="20"/>
                <w:szCs w:val="20"/>
                <w:lang w:val="hy-AM"/>
              </w:rPr>
              <w:t>բաժնի</w:t>
            </w:r>
            <w:r w:rsidRPr="0053423A">
              <w:rPr>
                <w:rFonts w:eastAsia="Calibri" w:cs="Arian AMU"/>
                <w:sz w:val="20"/>
                <w:szCs w:val="20"/>
                <w:lang w:val="hy-AM"/>
              </w:rPr>
              <w:t xml:space="preserve">  4-րդ պարբերության 1-ին և 4-րդ ենթակետերով:</w:t>
            </w:r>
          </w:p>
          <w:p w:rsidR="00154773" w:rsidRPr="0053423A" w:rsidRDefault="00154773" w:rsidP="00154773">
            <w:pPr>
              <w:tabs>
                <w:tab w:val="left" w:pos="2694"/>
              </w:tabs>
              <w:ind w:firstLine="284"/>
              <w:contextualSpacing/>
              <w:jc w:val="both"/>
              <w:rPr>
                <w:rFonts w:eastAsia="Calibri" w:cs="Sylfaen"/>
                <w:sz w:val="20"/>
                <w:szCs w:val="20"/>
                <w:lang w:val="hy-AM"/>
              </w:rPr>
            </w:pPr>
          </w:p>
          <w:p w:rsidR="00154773" w:rsidRPr="0053423A" w:rsidRDefault="00154773" w:rsidP="001F6D5D">
            <w:pPr>
              <w:numPr>
                <w:ilvl w:val="1"/>
                <w:numId w:val="446"/>
              </w:numPr>
              <w:tabs>
                <w:tab w:val="left" w:pos="426"/>
                <w:tab w:val="left" w:pos="567"/>
              </w:tabs>
              <w:ind w:hanging="735"/>
              <w:contextualSpacing/>
              <w:rPr>
                <w:b/>
                <w:sz w:val="20"/>
                <w:szCs w:val="20"/>
                <w:lang w:val="hy-AM"/>
              </w:rPr>
            </w:pPr>
            <w:r w:rsidRPr="0053423A">
              <w:rPr>
                <w:b/>
                <w:sz w:val="20"/>
                <w:szCs w:val="20"/>
                <w:lang w:val="hy-AM"/>
              </w:rPr>
              <w:t>կարգավորման հարաբերությունների ներկա վիճակը և առկա խնդիրները</w:t>
            </w:r>
          </w:p>
          <w:p w:rsidR="00154773" w:rsidRPr="0053423A" w:rsidRDefault="00154773" w:rsidP="00154773">
            <w:pPr>
              <w:tabs>
                <w:tab w:val="left" w:pos="2694"/>
              </w:tabs>
              <w:ind w:firstLine="284"/>
              <w:contextualSpacing/>
              <w:jc w:val="both"/>
              <w:rPr>
                <w:rFonts w:eastAsia="Calibri" w:cs="Sylfaen"/>
                <w:sz w:val="20"/>
                <w:szCs w:val="20"/>
                <w:lang w:val="hy-AM"/>
              </w:rPr>
            </w:pPr>
          </w:p>
          <w:p w:rsidR="00154773" w:rsidRPr="0053423A" w:rsidRDefault="00154773" w:rsidP="00154773">
            <w:pPr>
              <w:tabs>
                <w:tab w:val="left" w:pos="2694"/>
              </w:tabs>
              <w:ind w:firstLine="284"/>
              <w:contextualSpacing/>
              <w:jc w:val="both"/>
              <w:rPr>
                <w:rFonts w:eastAsia="Calibri" w:cs="Sylfaen"/>
                <w:sz w:val="20"/>
                <w:szCs w:val="20"/>
                <w:lang w:val="hy-AM"/>
              </w:rPr>
            </w:pPr>
            <w:r w:rsidRPr="0053423A">
              <w:rPr>
                <w:rFonts w:eastAsia="Calibri" w:cs="Sylfaen"/>
                <w:sz w:val="20"/>
                <w:szCs w:val="20"/>
                <w:lang w:val="hy-AM"/>
              </w:rPr>
              <w:t>Հայաստանում ՄԱԿ-ի Պարենի համաշխարհային ծրագրի  /ՊՀԾ/ կողմից իրականացվում է կայուն դպրոցական սննդի ծրագիրը, որում ընդգրկվել են հանրապետության մնացած վեց մարզերի հանրակրթական դպրոց</w:t>
            </w:r>
            <w:r w:rsidRPr="0053423A">
              <w:rPr>
                <w:rFonts w:eastAsia="Calibri" w:cs="Sylfaen"/>
                <w:sz w:val="20"/>
                <w:szCs w:val="20"/>
                <w:lang w:val="hy-AM"/>
              </w:rPr>
              <w:softHyphen/>
              <w:t>ների տարրական դասարանների և նախակրթարանների շուրջ 60000 սովորողներ:  ՄԱԿ-ի ՊՀԾ-ն նախատեսում է շարունակել դպրո</w:t>
            </w:r>
            <w:r w:rsidRPr="0053423A">
              <w:rPr>
                <w:rFonts w:eastAsia="Calibri" w:cs="Sylfaen"/>
                <w:sz w:val="20"/>
                <w:szCs w:val="20"/>
                <w:lang w:val="hy-AM"/>
              </w:rPr>
              <w:softHyphen/>
              <w:t>ցա</w:t>
            </w:r>
            <w:r w:rsidRPr="0053423A">
              <w:rPr>
                <w:rFonts w:eastAsia="Calibri" w:cs="Sylfaen"/>
                <w:sz w:val="20"/>
                <w:szCs w:val="20"/>
                <w:lang w:val="hy-AM"/>
              </w:rPr>
              <w:softHyphen/>
              <w:t>կան սննդի ծրագիրը, աստիճանական, ֆինանսավորումը հանձնելով ՀՀ կառավարությանը՝ ՀՀ պետական բյուջեում ներառելու միջոցով: Մարզերը ՀՀ կառավարությանը հանձնելուց առաջ ՊՀԾ-ն իրականացնում է դպրոցների խոհանոցների վերանորոգման և խոհանոցային սարքավորումների տրամադրման  աշխատանքներ:</w:t>
            </w:r>
          </w:p>
          <w:p w:rsidR="00154773" w:rsidRPr="0053423A" w:rsidRDefault="00154773" w:rsidP="00154773">
            <w:pPr>
              <w:tabs>
                <w:tab w:val="left" w:pos="2694"/>
              </w:tabs>
              <w:ind w:firstLine="284"/>
              <w:contextualSpacing/>
              <w:jc w:val="both"/>
              <w:rPr>
                <w:rFonts w:eastAsia="Calibri" w:cs="Sylfaen"/>
                <w:sz w:val="20"/>
                <w:szCs w:val="20"/>
                <w:lang w:val="hy-AM"/>
              </w:rPr>
            </w:pPr>
            <w:r w:rsidRPr="0053423A">
              <w:rPr>
                <w:rFonts w:eastAsia="Calibri" w:cs="Sylfaen"/>
                <w:sz w:val="20"/>
                <w:szCs w:val="20"/>
                <w:lang w:val="hy-AM"/>
              </w:rPr>
              <w:t>Ներկայումս հինգ մարզերում /Արարատ, Սյունիք, Վայոց Ձոր, Տավուշ, Շիրակ/ իրականացնում են կայուն դպրոցական սննդի ծրագիրը՝ ֆինանսավորվելով ՀՀ պետական բյուջեից: Սնունդը տրամադրվում է նախակրթարաններում և տարրական դասարաններում ընդգրկված երեխաներին օրը մեկ անգամ, դպրոցում: Ծրագիրն իրականացվում է ՀՀ մարզպետարանների միջոցով, որոնք գումարը  բաշխում են իրենց ենթակայության՝ նախակրթարաններ և տարրական դասարաններ ունեցող հանրակրթական ուսումնական հաստատու</w:t>
            </w:r>
            <w:r w:rsidRPr="0053423A">
              <w:rPr>
                <w:rFonts w:eastAsia="Calibri" w:cs="Sylfaen"/>
                <w:sz w:val="20"/>
                <w:szCs w:val="20"/>
                <w:lang w:val="hy-AM"/>
              </w:rPr>
              <w:softHyphen/>
              <w:t xml:space="preserve">թյունների միջև, որոնք էլ իրականացնում են ծրագիրը` հիմք ընդունելով գործող  իրավական ակտերը, այդ թվում` գնումների մասին ՀՀ օրենքի պահանջները: </w:t>
            </w:r>
          </w:p>
          <w:p w:rsidR="00154773" w:rsidRPr="0053423A" w:rsidRDefault="00154773" w:rsidP="00154773">
            <w:pPr>
              <w:tabs>
                <w:tab w:val="left" w:pos="2694"/>
              </w:tabs>
              <w:ind w:firstLine="284"/>
              <w:contextualSpacing/>
              <w:jc w:val="both"/>
              <w:rPr>
                <w:rFonts w:eastAsia="Calibri" w:cs="Sylfaen"/>
                <w:sz w:val="20"/>
                <w:szCs w:val="20"/>
                <w:lang w:val="hy-AM"/>
              </w:rPr>
            </w:pPr>
            <w:r w:rsidRPr="0053423A">
              <w:rPr>
                <w:rFonts w:eastAsia="Calibri" w:cs="Sylfaen"/>
                <w:sz w:val="20"/>
                <w:szCs w:val="20"/>
                <w:lang w:val="hy-AM"/>
              </w:rPr>
              <w:t>ՀՀ կառավարության 2013 թվականի օգոստոսի 22-ի նիստի N33     արձանագրային որոշմամբ հավանության է արժանացել «Կայուն դպրոցական սնունդ» ծրագրի ռազմավարությունն ու դրա իրականացման միջոցառումների ծրագիրն ու փորձնական ծրագիրը: Ծրագրի ռազմա</w:t>
            </w:r>
            <w:r w:rsidRPr="0053423A">
              <w:rPr>
                <w:rFonts w:eastAsia="Calibri" w:cs="Sylfaen"/>
                <w:sz w:val="20"/>
                <w:szCs w:val="20"/>
                <w:lang w:val="hy-AM"/>
              </w:rPr>
              <w:softHyphen/>
              <w:t>վարության գլխավոր նպատակն է ստեղծել կայուն դպրոցական սննդի համակարգ:</w:t>
            </w:r>
          </w:p>
          <w:p w:rsidR="00154773" w:rsidRPr="0053423A" w:rsidRDefault="00154773" w:rsidP="00154773">
            <w:pPr>
              <w:tabs>
                <w:tab w:val="left" w:pos="2694"/>
              </w:tabs>
              <w:ind w:firstLine="284"/>
              <w:contextualSpacing/>
              <w:rPr>
                <w:sz w:val="20"/>
                <w:szCs w:val="20"/>
                <w:lang w:val="hy-AM"/>
              </w:rPr>
            </w:pPr>
          </w:p>
          <w:p w:rsidR="00154773" w:rsidRPr="0053423A" w:rsidRDefault="00154773" w:rsidP="001F6D5D">
            <w:pPr>
              <w:numPr>
                <w:ilvl w:val="1"/>
                <w:numId w:val="446"/>
              </w:numPr>
              <w:tabs>
                <w:tab w:val="left" w:pos="567"/>
                <w:tab w:val="left" w:pos="1589"/>
              </w:tabs>
              <w:ind w:hanging="825"/>
              <w:contextualSpacing/>
              <w:rPr>
                <w:b/>
                <w:sz w:val="20"/>
                <w:szCs w:val="20"/>
              </w:rPr>
            </w:pPr>
            <w:r w:rsidRPr="0053423A">
              <w:rPr>
                <w:b/>
                <w:sz w:val="20"/>
                <w:szCs w:val="20"/>
              </w:rPr>
              <w:t>ա</w:t>
            </w:r>
            <w:r w:rsidRPr="0053423A">
              <w:rPr>
                <w:b/>
                <w:sz w:val="20"/>
                <w:szCs w:val="20"/>
                <w:lang w:val="hy-AM"/>
              </w:rPr>
              <w:t>ռկա խնդիրների առաջարկվող լուծումները</w:t>
            </w:r>
          </w:p>
          <w:p w:rsidR="00154773" w:rsidRPr="0053423A" w:rsidRDefault="00154773" w:rsidP="00154773">
            <w:pPr>
              <w:tabs>
                <w:tab w:val="left" w:pos="2694"/>
              </w:tabs>
              <w:ind w:firstLine="284"/>
              <w:contextualSpacing/>
              <w:rPr>
                <w:rFonts w:eastAsia="Calibri"/>
                <w:sz w:val="20"/>
                <w:szCs w:val="20"/>
                <w:lang w:val="ru-RU"/>
              </w:rPr>
            </w:pPr>
          </w:p>
          <w:p w:rsidR="00154773" w:rsidRPr="0053423A" w:rsidRDefault="00154773" w:rsidP="00154773">
            <w:pPr>
              <w:tabs>
                <w:tab w:val="left" w:pos="2694"/>
              </w:tabs>
              <w:ind w:firstLine="284"/>
              <w:contextualSpacing/>
              <w:jc w:val="both"/>
              <w:rPr>
                <w:rFonts w:eastAsia="Calibri" w:cs="Sylfaen"/>
                <w:sz w:val="20"/>
                <w:szCs w:val="20"/>
                <w:lang w:val="ru-RU"/>
              </w:rPr>
            </w:pPr>
            <w:r w:rsidRPr="0053423A">
              <w:rPr>
                <w:rFonts w:eastAsia="Calibri"/>
                <w:sz w:val="20"/>
                <w:szCs w:val="20"/>
                <w:lang w:val="ru-RU"/>
              </w:rPr>
              <w:t>201</w:t>
            </w:r>
            <w:r w:rsidRPr="0053423A">
              <w:rPr>
                <w:rFonts w:eastAsia="Calibri"/>
                <w:sz w:val="20"/>
                <w:szCs w:val="20"/>
                <w:lang w:val="hy-AM"/>
              </w:rPr>
              <w:t>9</w:t>
            </w:r>
            <w:r w:rsidRPr="0053423A">
              <w:rPr>
                <w:rFonts w:eastAsia="Calibri"/>
                <w:sz w:val="20"/>
                <w:szCs w:val="20"/>
                <w:lang w:val="ru-RU"/>
              </w:rPr>
              <w:t>-202</w:t>
            </w:r>
            <w:r w:rsidRPr="0053423A">
              <w:rPr>
                <w:rFonts w:eastAsia="Calibri"/>
                <w:sz w:val="20"/>
                <w:szCs w:val="20"/>
                <w:lang w:val="hy-AM"/>
              </w:rPr>
              <w:t xml:space="preserve">3 </w:t>
            </w:r>
            <w:r w:rsidRPr="0053423A">
              <w:rPr>
                <w:rFonts w:eastAsia="Calibri"/>
                <w:sz w:val="20"/>
                <w:szCs w:val="20"/>
              </w:rPr>
              <w:t>թվականներին</w:t>
            </w:r>
            <w:r w:rsidRPr="0053423A">
              <w:rPr>
                <w:rFonts w:eastAsia="Calibri"/>
                <w:sz w:val="20"/>
                <w:szCs w:val="20"/>
                <w:lang w:val="ru-RU"/>
              </w:rPr>
              <w:t xml:space="preserve">, </w:t>
            </w:r>
            <w:r w:rsidRPr="0053423A">
              <w:rPr>
                <w:rFonts w:eastAsia="Calibri"/>
                <w:sz w:val="20"/>
                <w:szCs w:val="20"/>
              </w:rPr>
              <w:t>յուրաքանչյուր</w:t>
            </w:r>
            <w:r w:rsidRPr="0053423A">
              <w:rPr>
                <w:rFonts w:eastAsia="Calibri"/>
                <w:sz w:val="20"/>
                <w:szCs w:val="20"/>
                <w:lang w:val="ru-RU"/>
              </w:rPr>
              <w:t xml:space="preserve"> </w:t>
            </w:r>
            <w:r w:rsidRPr="0053423A">
              <w:rPr>
                <w:rFonts w:eastAsia="Calibri"/>
                <w:sz w:val="20"/>
                <w:szCs w:val="20"/>
              </w:rPr>
              <w:t>տարի</w:t>
            </w:r>
            <w:r w:rsidRPr="0053423A">
              <w:rPr>
                <w:rFonts w:eastAsia="Calibri"/>
                <w:sz w:val="20"/>
                <w:szCs w:val="20"/>
                <w:lang w:val="ru-RU"/>
              </w:rPr>
              <w:t xml:space="preserve"> </w:t>
            </w:r>
            <w:r w:rsidRPr="0053423A">
              <w:rPr>
                <w:rFonts w:eastAsia="Calibri"/>
                <w:sz w:val="20"/>
                <w:szCs w:val="20"/>
              </w:rPr>
              <w:t>մեկ</w:t>
            </w:r>
            <w:r w:rsidRPr="0053423A">
              <w:rPr>
                <w:rFonts w:eastAsia="Calibri"/>
                <w:sz w:val="20"/>
                <w:szCs w:val="20"/>
                <w:lang w:val="ru-RU"/>
              </w:rPr>
              <w:t xml:space="preserve"> </w:t>
            </w:r>
            <w:r w:rsidRPr="0053423A">
              <w:rPr>
                <w:rFonts w:eastAsia="Calibri"/>
                <w:sz w:val="20"/>
                <w:szCs w:val="20"/>
              </w:rPr>
              <w:t>մարզ</w:t>
            </w:r>
            <w:r w:rsidRPr="0053423A">
              <w:rPr>
                <w:rFonts w:eastAsia="Calibri"/>
                <w:sz w:val="20"/>
                <w:szCs w:val="20"/>
                <w:lang w:val="ru-RU"/>
              </w:rPr>
              <w:t xml:space="preserve"> </w:t>
            </w:r>
            <w:r w:rsidRPr="0053423A">
              <w:rPr>
                <w:rFonts w:eastAsia="Calibri"/>
                <w:sz w:val="20"/>
                <w:szCs w:val="20"/>
              </w:rPr>
              <w:t>կներառվի</w:t>
            </w:r>
            <w:r w:rsidRPr="0053423A">
              <w:rPr>
                <w:rFonts w:eastAsia="Calibri"/>
                <w:sz w:val="20"/>
                <w:szCs w:val="20"/>
                <w:lang w:val="ru-RU"/>
              </w:rPr>
              <w:t xml:space="preserve">  </w:t>
            </w:r>
            <w:r w:rsidRPr="0053423A">
              <w:rPr>
                <w:rFonts w:eastAsia="Calibri"/>
                <w:sz w:val="20"/>
                <w:szCs w:val="20"/>
              </w:rPr>
              <w:t>ՀՀ</w:t>
            </w:r>
            <w:r w:rsidRPr="0053423A">
              <w:rPr>
                <w:rFonts w:eastAsia="Calibri"/>
                <w:sz w:val="20"/>
                <w:szCs w:val="20"/>
                <w:lang w:val="ru-RU"/>
              </w:rPr>
              <w:t xml:space="preserve"> </w:t>
            </w:r>
            <w:r w:rsidRPr="0053423A">
              <w:rPr>
                <w:rFonts w:eastAsia="Calibri"/>
                <w:sz w:val="20"/>
                <w:szCs w:val="20"/>
              </w:rPr>
              <w:t>պետական</w:t>
            </w:r>
            <w:r w:rsidRPr="0053423A">
              <w:rPr>
                <w:rFonts w:eastAsia="Calibri"/>
                <w:sz w:val="20"/>
                <w:szCs w:val="20"/>
                <w:lang w:val="ru-RU"/>
              </w:rPr>
              <w:t xml:space="preserve"> </w:t>
            </w:r>
            <w:r w:rsidRPr="0053423A">
              <w:rPr>
                <w:rFonts w:eastAsia="Calibri"/>
                <w:sz w:val="20"/>
                <w:szCs w:val="20"/>
              </w:rPr>
              <w:t>բյուջեից</w:t>
            </w:r>
            <w:r w:rsidRPr="0053423A">
              <w:rPr>
                <w:rFonts w:eastAsia="Calibri"/>
                <w:sz w:val="20"/>
                <w:szCs w:val="20"/>
                <w:lang w:val="ru-RU"/>
              </w:rPr>
              <w:t xml:space="preserve">  </w:t>
            </w:r>
            <w:r w:rsidRPr="0053423A">
              <w:rPr>
                <w:rFonts w:eastAsia="Calibri"/>
                <w:sz w:val="20"/>
                <w:szCs w:val="20"/>
              </w:rPr>
              <w:t>ֆինանսավորվող</w:t>
            </w:r>
            <w:r w:rsidRPr="0053423A">
              <w:rPr>
                <w:rFonts w:eastAsia="Calibri"/>
                <w:sz w:val="20"/>
                <w:szCs w:val="20"/>
                <w:lang w:val="ru-RU"/>
              </w:rPr>
              <w:t xml:space="preserve">  </w:t>
            </w:r>
            <w:r w:rsidRPr="0053423A">
              <w:rPr>
                <w:rFonts w:eastAsia="Calibri"/>
                <w:sz w:val="20"/>
                <w:szCs w:val="20"/>
              </w:rPr>
              <w:t>Կայուն</w:t>
            </w:r>
            <w:r w:rsidRPr="0053423A">
              <w:rPr>
                <w:rFonts w:eastAsia="Calibri"/>
                <w:sz w:val="20"/>
                <w:szCs w:val="20"/>
                <w:lang w:val="ru-RU"/>
              </w:rPr>
              <w:t xml:space="preserve"> </w:t>
            </w:r>
            <w:r w:rsidRPr="0053423A">
              <w:rPr>
                <w:rFonts w:eastAsia="Calibri"/>
                <w:sz w:val="20"/>
                <w:szCs w:val="20"/>
              </w:rPr>
              <w:t>դպրոցական</w:t>
            </w:r>
            <w:r w:rsidRPr="0053423A">
              <w:rPr>
                <w:rFonts w:eastAsia="Calibri"/>
                <w:sz w:val="20"/>
                <w:szCs w:val="20"/>
                <w:lang w:val="ru-RU"/>
              </w:rPr>
              <w:t xml:space="preserve"> </w:t>
            </w:r>
            <w:r w:rsidRPr="0053423A">
              <w:rPr>
                <w:rFonts w:eastAsia="Calibri"/>
                <w:sz w:val="20"/>
                <w:szCs w:val="20"/>
              </w:rPr>
              <w:t>սնունդ</w:t>
            </w:r>
            <w:r w:rsidRPr="0053423A">
              <w:rPr>
                <w:rFonts w:eastAsia="Calibri"/>
                <w:sz w:val="20"/>
                <w:szCs w:val="20"/>
                <w:lang w:val="ru-RU"/>
              </w:rPr>
              <w:t xml:space="preserve"> </w:t>
            </w:r>
            <w:r w:rsidRPr="0053423A">
              <w:rPr>
                <w:rFonts w:eastAsia="Calibri"/>
                <w:sz w:val="20"/>
                <w:szCs w:val="20"/>
              </w:rPr>
              <w:t>ծրագրում</w:t>
            </w:r>
            <w:r w:rsidRPr="0053423A">
              <w:rPr>
                <w:rFonts w:eastAsia="Calibri"/>
                <w:sz w:val="20"/>
                <w:szCs w:val="20"/>
                <w:lang w:val="ru-RU"/>
              </w:rPr>
              <w:t>:</w:t>
            </w:r>
            <w:r w:rsidRPr="0053423A">
              <w:rPr>
                <w:rFonts w:eastAsia="Calibri" w:cs="Sylfaen"/>
                <w:sz w:val="20"/>
                <w:szCs w:val="20"/>
                <w:lang w:val="hy-AM"/>
              </w:rPr>
              <w:t xml:space="preserve"> </w:t>
            </w:r>
            <w:r w:rsidRPr="0053423A">
              <w:rPr>
                <w:rFonts w:eastAsia="Calibri" w:cs="Sylfaen"/>
                <w:sz w:val="20"/>
                <w:szCs w:val="20"/>
              </w:rPr>
              <w:t>Ներառված</w:t>
            </w:r>
            <w:r w:rsidRPr="0053423A">
              <w:rPr>
                <w:rFonts w:eastAsia="Calibri" w:cs="Sylfaen"/>
                <w:sz w:val="20"/>
                <w:szCs w:val="20"/>
                <w:lang w:val="ru-RU"/>
              </w:rPr>
              <w:t xml:space="preserve"> </w:t>
            </w:r>
            <w:r w:rsidRPr="0053423A">
              <w:rPr>
                <w:rFonts w:eastAsia="Calibri" w:cs="Sylfaen"/>
                <w:sz w:val="20"/>
                <w:szCs w:val="20"/>
              </w:rPr>
              <w:t>մարզերի</w:t>
            </w:r>
            <w:r w:rsidRPr="0053423A">
              <w:rPr>
                <w:rFonts w:eastAsia="Calibri" w:cs="Sylfaen"/>
                <w:sz w:val="20"/>
                <w:szCs w:val="20"/>
                <w:lang w:val="ru-RU"/>
              </w:rPr>
              <w:t xml:space="preserve"> </w:t>
            </w:r>
            <w:r w:rsidRPr="0053423A">
              <w:rPr>
                <w:rFonts w:eastAsia="Calibri" w:cs="Sylfaen"/>
                <w:sz w:val="20"/>
                <w:szCs w:val="20"/>
              </w:rPr>
              <w:t>ուսումնական</w:t>
            </w:r>
            <w:r w:rsidRPr="0053423A">
              <w:rPr>
                <w:rFonts w:eastAsia="Calibri" w:cs="Sylfaen"/>
                <w:sz w:val="20"/>
                <w:szCs w:val="20"/>
                <w:lang w:val="ru-RU"/>
              </w:rPr>
              <w:t xml:space="preserve"> </w:t>
            </w:r>
            <w:r w:rsidRPr="0053423A">
              <w:rPr>
                <w:rFonts w:eastAsia="Calibri" w:cs="Sylfaen"/>
                <w:sz w:val="20"/>
                <w:szCs w:val="20"/>
              </w:rPr>
              <w:t>հաստատություններն</w:t>
            </w:r>
            <w:r w:rsidRPr="0053423A">
              <w:rPr>
                <w:rFonts w:eastAsia="Calibri" w:cs="Sylfaen"/>
                <w:sz w:val="20"/>
                <w:szCs w:val="20"/>
                <w:lang w:val="ru-RU"/>
              </w:rPr>
              <w:t xml:space="preserve"> </w:t>
            </w:r>
            <w:r w:rsidRPr="0053423A">
              <w:rPr>
                <w:rFonts w:eastAsia="Calibri" w:cs="Sylfaen"/>
                <w:sz w:val="20"/>
                <w:szCs w:val="20"/>
              </w:rPr>
              <w:t>ամբողջովին</w:t>
            </w:r>
            <w:r w:rsidRPr="0053423A">
              <w:rPr>
                <w:rFonts w:eastAsia="Calibri" w:cs="Sylfaen"/>
                <w:sz w:val="20"/>
                <w:szCs w:val="20"/>
                <w:lang w:val="ru-RU"/>
              </w:rPr>
              <w:t xml:space="preserve"> </w:t>
            </w:r>
            <w:r w:rsidRPr="0053423A">
              <w:rPr>
                <w:rFonts w:eastAsia="Calibri" w:cs="Sylfaen"/>
                <w:sz w:val="20"/>
                <w:szCs w:val="20"/>
              </w:rPr>
              <w:t>իրենք</w:t>
            </w:r>
            <w:r w:rsidRPr="0053423A">
              <w:rPr>
                <w:rFonts w:eastAsia="Calibri" w:cs="Sylfaen"/>
                <w:sz w:val="20"/>
                <w:szCs w:val="20"/>
                <w:lang w:val="ru-RU"/>
              </w:rPr>
              <w:t xml:space="preserve"> </w:t>
            </w:r>
            <w:r w:rsidRPr="0053423A">
              <w:rPr>
                <w:rFonts w:eastAsia="Calibri" w:cs="Sylfaen"/>
                <w:sz w:val="20"/>
                <w:szCs w:val="20"/>
              </w:rPr>
              <w:t>կիրականացնեն</w:t>
            </w:r>
            <w:r w:rsidRPr="0053423A">
              <w:rPr>
                <w:rFonts w:eastAsia="Calibri" w:cs="Sylfaen"/>
                <w:sz w:val="20"/>
                <w:szCs w:val="20"/>
                <w:lang w:val="ru-RU"/>
              </w:rPr>
              <w:t xml:space="preserve"> </w:t>
            </w:r>
            <w:r w:rsidRPr="0053423A">
              <w:rPr>
                <w:rFonts w:eastAsia="Calibri" w:cs="Sylfaen"/>
                <w:sz w:val="20"/>
                <w:szCs w:val="20"/>
              </w:rPr>
              <w:t>սննդի</w:t>
            </w:r>
            <w:r w:rsidRPr="0053423A">
              <w:rPr>
                <w:rFonts w:eastAsia="Calibri" w:cs="Sylfaen"/>
                <w:sz w:val="20"/>
                <w:szCs w:val="20"/>
                <w:lang w:val="ru-RU"/>
              </w:rPr>
              <w:t xml:space="preserve"> </w:t>
            </w:r>
            <w:r w:rsidRPr="0053423A">
              <w:rPr>
                <w:rFonts w:eastAsia="Calibri" w:cs="Sylfaen"/>
                <w:sz w:val="20"/>
                <w:szCs w:val="20"/>
              </w:rPr>
              <w:t>ձեռքբերման</w:t>
            </w:r>
            <w:r w:rsidRPr="0053423A">
              <w:rPr>
                <w:rFonts w:eastAsia="Calibri" w:cs="Sylfaen"/>
                <w:sz w:val="20"/>
                <w:szCs w:val="20"/>
                <w:lang w:val="ru-RU"/>
              </w:rPr>
              <w:t xml:space="preserve"> </w:t>
            </w:r>
            <w:r w:rsidRPr="0053423A">
              <w:rPr>
                <w:rFonts w:eastAsia="Calibri" w:cs="Sylfaen"/>
                <w:sz w:val="20"/>
                <w:szCs w:val="20"/>
              </w:rPr>
              <w:t>և</w:t>
            </w:r>
            <w:r w:rsidRPr="0053423A">
              <w:rPr>
                <w:rFonts w:eastAsia="Calibri" w:cs="Sylfaen"/>
                <w:sz w:val="20"/>
                <w:szCs w:val="20"/>
                <w:lang w:val="ru-RU"/>
              </w:rPr>
              <w:t xml:space="preserve"> </w:t>
            </w:r>
            <w:r w:rsidRPr="0053423A">
              <w:rPr>
                <w:rFonts w:eastAsia="Calibri" w:cs="Sylfaen"/>
                <w:sz w:val="20"/>
                <w:szCs w:val="20"/>
              </w:rPr>
              <w:t>կազմակերպման</w:t>
            </w:r>
            <w:r w:rsidRPr="0053423A">
              <w:rPr>
                <w:rFonts w:eastAsia="Calibri" w:cs="Sylfaen"/>
                <w:sz w:val="20"/>
                <w:szCs w:val="20"/>
                <w:lang w:val="ru-RU"/>
              </w:rPr>
              <w:t xml:space="preserve"> </w:t>
            </w:r>
            <w:r w:rsidRPr="0053423A">
              <w:rPr>
                <w:rFonts w:eastAsia="Calibri" w:cs="Sylfaen"/>
                <w:sz w:val="20"/>
                <w:szCs w:val="20"/>
              </w:rPr>
              <w:t>գործընթացը</w:t>
            </w:r>
            <w:r w:rsidRPr="0053423A">
              <w:rPr>
                <w:rFonts w:eastAsia="Calibri" w:cs="Sylfaen"/>
                <w:sz w:val="20"/>
                <w:szCs w:val="20"/>
                <w:lang w:val="ru-RU"/>
              </w:rPr>
              <w:t>:</w:t>
            </w:r>
          </w:p>
          <w:p w:rsidR="00154773" w:rsidRPr="0053423A" w:rsidRDefault="00154773" w:rsidP="00154773">
            <w:pPr>
              <w:tabs>
                <w:tab w:val="left" w:pos="2694"/>
              </w:tabs>
              <w:ind w:firstLine="284"/>
              <w:contextualSpacing/>
              <w:rPr>
                <w:b/>
                <w:sz w:val="20"/>
                <w:szCs w:val="20"/>
                <w:lang w:val="ru-RU"/>
              </w:rPr>
            </w:pPr>
          </w:p>
          <w:p w:rsidR="00154773" w:rsidRPr="0053423A" w:rsidRDefault="00154773" w:rsidP="001F6D5D">
            <w:pPr>
              <w:numPr>
                <w:ilvl w:val="0"/>
                <w:numId w:val="446"/>
              </w:numPr>
              <w:tabs>
                <w:tab w:val="left" w:pos="709"/>
                <w:tab w:val="left" w:pos="953"/>
                <w:tab w:val="left" w:pos="2694"/>
              </w:tabs>
              <w:ind w:hanging="210"/>
              <w:contextualSpacing/>
              <w:rPr>
                <w:b/>
                <w:sz w:val="20"/>
                <w:szCs w:val="20"/>
              </w:rPr>
            </w:pPr>
            <w:r w:rsidRPr="0053423A">
              <w:rPr>
                <w:rFonts w:cs="Sylfaen"/>
                <w:b/>
                <w:sz w:val="20"/>
                <w:szCs w:val="20"/>
                <w:lang w:val="ru-RU"/>
              </w:rPr>
              <w:t xml:space="preserve"> </w:t>
            </w:r>
            <w:r w:rsidRPr="0053423A">
              <w:rPr>
                <w:rFonts w:cs="Sylfaen"/>
                <w:b/>
                <w:sz w:val="20"/>
                <w:szCs w:val="20"/>
              </w:rPr>
              <w:t>Ակնկալվող</w:t>
            </w:r>
            <w:r w:rsidRPr="0053423A">
              <w:rPr>
                <w:b/>
                <w:sz w:val="20"/>
                <w:szCs w:val="20"/>
              </w:rPr>
              <w:t xml:space="preserve"> արդյունքը</w:t>
            </w:r>
          </w:p>
          <w:p w:rsidR="00154773" w:rsidRPr="0053423A" w:rsidRDefault="00154773" w:rsidP="00154773">
            <w:pPr>
              <w:tabs>
                <w:tab w:val="left" w:pos="709"/>
                <w:tab w:val="left" w:pos="953"/>
                <w:tab w:val="left" w:pos="2694"/>
              </w:tabs>
              <w:ind w:left="390"/>
              <w:contextualSpacing/>
              <w:rPr>
                <w:b/>
                <w:sz w:val="20"/>
                <w:szCs w:val="20"/>
              </w:rPr>
            </w:pPr>
          </w:p>
          <w:p w:rsidR="00154773" w:rsidRPr="0053423A" w:rsidRDefault="00154773" w:rsidP="00154773">
            <w:pPr>
              <w:tabs>
                <w:tab w:val="left" w:pos="2694"/>
              </w:tabs>
              <w:ind w:firstLine="284"/>
              <w:contextualSpacing/>
              <w:jc w:val="both"/>
              <w:rPr>
                <w:rFonts w:eastAsia="Calibri" w:cs="Sylfaen"/>
                <w:sz w:val="20"/>
                <w:szCs w:val="20"/>
              </w:rPr>
            </w:pPr>
            <w:r w:rsidRPr="0053423A">
              <w:rPr>
                <w:rFonts w:eastAsia="Calibri" w:cs="Sylfaen"/>
                <w:sz w:val="20"/>
                <w:szCs w:val="20"/>
              </w:rPr>
              <w:t xml:space="preserve">Տարեցտարի կընդլայնվի  ՀՀ պետական բյուջեից </w:t>
            </w:r>
            <w:r w:rsidRPr="0053423A">
              <w:rPr>
                <w:rFonts w:eastAsia="Calibri" w:cs="Sylfaen"/>
                <w:sz w:val="20"/>
                <w:szCs w:val="20"/>
                <w:lang w:val="hy-AM"/>
              </w:rPr>
              <w:t>հանրակրթական դպրոցների</w:t>
            </w:r>
            <w:r w:rsidRPr="0053423A">
              <w:rPr>
                <w:rFonts w:eastAsia="Calibri" w:cs="Sylfaen"/>
                <w:sz w:val="20"/>
                <w:szCs w:val="20"/>
              </w:rPr>
              <w:t xml:space="preserve"> նախակրթարանների և  </w:t>
            </w:r>
            <w:r w:rsidRPr="0053423A">
              <w:rPr>
                <w:rFonts w:eastAsia="Calibri" w:cs="Sylfaen"/>
                <w:sz w:val="20"/>
                <w:szCs w:val="20"/>
                <w:lang w:val="hy-AM"/>
              </w:rPr>
              <w:t xml:space="preserve"> տարրական դասարանների </w:t>
            </w:r>
            <w:r w:rsidRPr="0053423A">
              <w:rPr>
                <w:rFonts w:eastAsia="Calibri" w:cs="Sylfaen"/>
                <w:sz w:val="20"/>
                <w:szCs w:val="20"/>
              </w:rPr>
              <w:t xml:space="preserve">սովորողներին </w:t>
            </w:r>
            <w:r w:rsidRPr="0053423A">
              <w:rPr>
                <w:rFonts w:eastAsia="Calibri" w:cs="Sylfaen"/>
                <w:sz w:val="20"/>
                <w:szCs w:val="20"/>
                <w:lang w:val="hy-AM"/>
              </w:rPr>
              <w:t xml:space="preserve">դպրոցական սննդով ապահովման ծրագիրը, որի արդյունքում </w:t>
            </w:r>
            <w:r w:rsidRPr="0053423A">
              <w:rPr>
                <w:rFonts w:eastAsia="Calibri" w:cs="Sylfaen"/>
                <w:sz w:val="20"/>
                <w:szCs w:val="20"/>
              </w:rPr>
              <w:t xml:space="preserve">2023 թվականին </w:t>
            </w:r>
            <w:r w:rsidRPr="0053423A">
              <w:rPr>
                <w:rFonts w:eastAsia="Calibri" w:cs="Sylfaen"/>
                <w:sz w:val="20"/>
                <w:szCs w:val="20"/>
                <w:lang w:val="hy-AM"/>
              </w:rPr>
              <w:t xml:space="preserve">շահառուների թիվը կկազմի շուրջ </w:t>
            </w:r>
            <w:r w:rsidRPr="0053423A">
              <w:rPr>
                <w:rFonts w:eastAsia="Calibri" w:cs="Sylfaen"/>
                <w:sz w:val="20"/>
                <w:szCs w:val="20"/>
              </w:rPr>
              <w:t>108000: Արդյունքում Հայաստանի Հանրապետության  բոլոր մարզերում  հանրակրթական ուսումնական հաստատություններում սովորողները կստանան առողջ, կայուն և ապահով սնունդ:</w:t>
            </w:r>
          </w:p>
          <w:p w:rsidR="00154773" w:rsidRPr="0053423A" w:rsidRDefault="00154773" w:rsidP="00154773">
            <w:pPr>
              <w:rPr>
                <w:rFonts w:eastAsia="Times New Roman" w:cs="Times New Roman"/>
                <w:b/>
                <w:bCs/>
                <w:sz w:val="20"/>
                <w:szCs w:val="20"/>
                <w:highlight w:val="yellow"/>
                <w:lang w:val="af-ZA"/>
              </w:rPr>
            </w:pPr>
          </w:p>
          <w:p w:rsidR="00154773" w:rsidRPr="0053423A" w:rsidRDefault="00154773" w:rsidP="00154773">
            <w:pPr>
              <w:jc w:val="center"/>
              <w:rPr>
                <w:rFonts w:eastAsia="Times New Roman" w:cs="Times New Roman"/>
                <w:b/>
                <w:sz w:val="20"/>
                <w:szCs w:val="20"/>
                <w:lang w:val="af-ZA"/>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tabs>
                <w:tab w:val="left" w:pos="2694"/>
              </w:tabs>
              <w:ind w:firstLine="284"/>
              <w:contextualSpacing/>
              <w:jc w:val="center"/>
              <w:rPr>
                <w:rFonts w:eastAsia="Times New Roman" w:cs="Times New Roman"/>
                <w:b/>
                <w:sz w:val="20"/>
                <w:szCs w:val="20"/>
                <w:u w:val="single"/>
                <w:lang w:val="hy-AM"/>
              </w:rPr>
            </w:pPr>
            <w:r w:rsidRPr="0053423A">
              <w:rPr>
                <w:rFonts w:eastAsia="Times New Roman" w:cs="Times New Roman"/>
                <w:b/>
                <w:sz w:val="20"/>
                <w:szCs w:val="20"/>
                <w:u w:val="single"/>
                <w:lang w:val="hy-AM"/>
              </w:rPr>
              <w:t>19.6 Վերապատրաստումների իրականացում</w:t>
            </w:r>
          </w:p>
          <w:p w:rsidR="00154773" w:rsidRPr="0053423A" w:rsidRDefault="00154773" w:rsidP="00154773">
            <w:pPr>
              <w:tabs>
                <w:tab w:val="left" w:pos="2694"/>
              </w:tabs>
              <w:ind w:firstLine="284"/>
              <w:contextualSpacing/>
              <w:rPr>
                <w:rFonts w:eastAsia="Times New Roman" w:cs="Times New Roman"/>
                <w:b/>
                <w:sz w:val="20"/>
                <w:szCs w:val="20"/>
                <w:u w:val="single"/>
                <w:lang w:val="hy-AM"/>
              </w:rPr>
            </w:pPr>
          </w:p>
          <w:p w:rsidR="00154773" w:rsidRPr="0053423A" w:rsidRDefault="00154773" w:rsidP="00154773">
            <w:pPr>
              <w:tabs>
                <w:tab w:val="left" w:pos="2694"/>
              </w:tabs>
              <w:ind w:firstLine="284"/>
              <w:contextualSpacing/>
              <w:rPr>
                <w:b/>
                <w:sz w:val="20"/>
                <w:szCs w:val="20"/>
                <w:lang w:val="et-EE"/>
              </w:rPr>
            </w:pPr>
            <w:r w:rsidRPr="0053423A">
              <w:rPr>
                <w:b/>
                <w:sz w:val="20"/>
                <w:szCs w:val="20"/>
                <w:lang w:val="af-ZA"/>
              </w:rPr>
              <w:t xml:space="preserve">1. </w:t>
            </w:r>
            <w:r w:rsidRPr="0053423A">
              <w:rPr>
                <w:b/>
                <w:sz w:val="20"/>
                <w:szCs w:val="20"/>
                <w:lang w:val="hy-AM"/>
              </w:rPr>
              <w:t>Միջոցառման</w:t>
            </w:r>
            <w:r w:rsidRPr="0053423A">
              <w:rPr>
                <w:b/>
                <w:sz w:val="20"/>
                <w:szCs w:val="20"/>
                <w:lang w:val="et-EE"/>
              </w:rPr>
              <w:t xml:space="preserve"> </w:t>
            </w:r>
            <w:r w:rsidRPr="0053423A">
              <w:rPr>
                <w:b/>
                <w:sz w:val="20"/>
                <w:szCs w:val="20"/>
                <w:lang w:val="hy-AM"/>
              </w:rPr>
              <w:t>իրականացման</w:t>
            </w:r>
            <w:r w:rsidRPr="0053423A">
              <w:rPr>
                <w:b/>
                <w:sz w:val="20"/>
                <w:szCs w:val="20"/>
                <w:lang w:val="et-EE"/>
              </w:rPr>
              <w:t xml:space="preserve"> </w:t>
            </w:r>
            <w:r w:rsidRPr="0053423A">
              <w:rPr>
                <w:b/>
                <w:sz w:val="20"/>
                <w:szCs w:val="20"/>
                <w:lang w:val="hy-AM"/>
              </w:rPr>
              <w:t>անհրաժեշտությունը</w:t>
            </w:r>
            <w:r w:rsidRPr="0053423A">
              <w:rPr>
                <w:b/>
                <w:sz w:val="20"/>
                <w:szCs w:val="20"/>
                <w:lang w:val="et-EE"/>
              </w:rPr>
              <w:t xml:space="preserve"> </w:t>
            </w:r>
            <w:r w:rsidRPr="0053423A">
              <w:rPr>
                <w:b/>
                <w:sz w:val="20"/>
                <w:szCs w:val="20"/>
                <w:lang w:val="hy-AM"/>
              </w:rPr>
              <w:t>և</w:t>
            </w:r>
            <w:r w:rsidRPr="0053423A">
              <w:rPr>
                <w:b/>
                <w:sz w:val="20"/>
                <w:szCs w:val="20"/>
                <w:lang w:val="et-EE"/>
              </w:rPr>
              <w:t xml:space="preserve"> </w:t>
            </w:r>
            <w:r w:rsidRPr="0053423A">
              <w:rPr>
                <w:b/>
                <w:sz w:val="20"/>
                <w:szCs w:val="20"/>
                <w:lang w:val="hy-AM"/>
              </w:rPr>
              <w:t>նպատակը</w:t>
            </w:r>
          </w:p>
          <w:p w:rsidR="00154773" w:rsidRPr="0053423A" w:rsidRDefault="00154773" w:rsidP="00154773">
            <w:pPr>
              <w:tabs>
                <w:tab w:val="left" w:pos="2694"/>
              </w:tabs>
              <w:ind w:firstLine="284"/>
              <w:contextualSpacing/>
              <w:jc w:val="both"/>
              <w:rPr>
                <w:rFonts w:eastAsia="Calibri" w:cs="Sylfaen"/>
                <w:sz w:val="20"/>
                <w:szCs w:val="20"/>
                <w:lang w:val="et-EE"/>
              </w:rPr>
            </w:pPr>
          </w:p>
          <w:p w:rsidR="00154773" w:rsidRPr="0053423A" w:rsidRDefault="00154773" w:rsidP="00154773">
            <w:pPr>
              <w:ind w:firstLine="284"/>
              <w:contextualSpacing/>
              <w:jc w:val="both"/>
              <w:rPr>
                <w:rFonts w:eastAsia="Times New Roman" w:cs="Sylfaen"/>
                <w:sz w:val="20"/>
                <w:szCs w:val="20"/>
                <w:lang w:val="et-EE"/>
              </w:rPr>
            </w:pPr>
            <w:r w:rsidRPr="0053423A">
              <w:rPr>
                <w:rFonts w:eastAsia="Times New Roman" w:cs="Sylfaen"/>
                <w:sz w:val="20"/>
                <w:szCs w:val="20"/>
              </w:rPr>
              <w:t>Միջոցառման</w:t>
            </w:r>
            <w:r w:rsidRPr="0053423A">
              <w:rPr>
                <w:rFonts w:eastAsia="Times New Roman" w:cs="Sylfaen"/>
                <w:sz w:val="20"/>
                <w:szCs w:val="20"/>
                <w:lang w:val="et-EE"/>
              </w:rPr>
              <w:t xml:space="preserve"> </w:t>
            </w:r>
            <w:r w:rsidRPr="0053423A">
              <w:rPr>
                <w:rFonts w:eastAsia="Times New Roman" w:cs="Sylfaen"/>
                <w:sz w:val="20"/>
                <w:szCs w:val="20"/>
              </w:rPr>
              <w:t>գլխավոր</w:t>
            </w:r>
            <w:r w:rsidRPr="0053423A">
              <w:rPr>
                <w:rFonts w:eastAsia="Times New Roman" w:cs="Sylfaen"/>
                <w:sz w:val="20"/>
                <w:szCs w:val="20"/>
                <w:lang w:val="et-EE"/>
              </w:rPr>
              <w:t xml:space="preserve"> </w:t>
            </w:r>
            <w:r w:rsidRPr="0053423A">
              <w:rPr>
                <w:rFonts w:eastAsia="Times New Roman" w:cs="Sylfaen"/>
                <w:sz w:val="20"/>
                <w:szCs w:val="20"/>
              </w:rPr>
              <w:t>նպատակն</w:t>
            </w:r>
            <w:r w:rsidRPr="0053423A">
              <w:rPr>
                <w:rFonts w:eastAsia="Times New Roman" w:cs="Sylfaen"/>
                <w:sz w:val="20"/>
                <w:szCs w:val="20"/>
                <w:lang w:val="et-EE"/>
              </w:rPr>
              <w:t xml:space="preserve"> </w:t>
            </w:r>
            <w:r w:rsidRPr="0053423A">
              <w:rPr>
                <w:rFonts w:eastAsia="Times New Roman" w:cs="Sylfaen"/>
                <w:sz w:val="20"/>
                <w:szCs w:val="20"/>
              </w:rPr>
              <w:t>է</w:t>
            </w:r>
            <w:r w:rsidRPr="0053423A">
              <w:rPr>
                <w:rFonts w:eastAsia="Times New Roman" w:cs="Sylfaen"/>
                <w:sz w:val="20"/>
                <w:szCs w:val="20"/>
                <w:lang w:val="et-EE"/>
              </w:rPr>
              <w:t xml:space="preserve"> </w:t>
            </w:r>
            <w:r w:rsidRPr="0053423A">
              <w:rPr>
                <w:rFonts w:eastAsia="Times New Roman" w:cs="Sylfaen"/>
                <w:sz w:val="20"/>
                <w:szCs w:val="20"/>
              </w:rPr>
              <w:t>որակյալ</w:t>
            </w:r>
            <w:r w:rsidRPr="0053423A">
              <w:rPr>
                <w:rFonts w:eastAsia="Times New Roman" w:cs="Sylfaen"/>
                <w:sz w:val="20"/>
                <w:szCs w:val="20"/>
                <w:lang w:val="et-EE"/>
              </w:rPr>
              <w:t xml:space="preserve"> </w:t>
            </w:r>
            <w:r w:rsidRPr="0053423A">
              <w:rPr>
                <w:rFonts w:eastAsia="Times New Roman" w:cs="Sylfaen"/>
                <w:sz w:val="20"/>
                <w:szCs w:val="20"/>
              </w:rPr>
              <w:t>կրթության</w:t>
            </w:r>
            <w:r w:rsidRPr="0053423A">
              <w:rPr>
                <w:rFonts w:eastAsia="Times New Roman" w:cs="Sylfaen"/>
                <w:sz w:val="20"/>
                <w:szCs w:val="20"/>
                <w:lang w:val="et-EE"/>
              </w:rPr>
              <w:t xml:space="preserve"> </w:t>
            </w:r>
            <w:r w:rsidRPr="0053423A">
              <w:rPr>
                <w:rFonts w:eastAsia="Times New Roman" w:cs="Sylfaen"/>
                <w:sz w:val="20"/>
                <w:szCs w:val="20"/>
              </w:rPr>
              <w:t>հավասար</w:t>
            </w:r>
            <w:r w:rsidRPr="0053423A">
              <w:rPr>
                <w:rFonts w:eastAsia="Times New Roman" w:cs="Sylfaen"/>
                <w:sz w:val="20"/>
                <w:szCs w:val="20"/>
                <w:lang w:val="et-EE"/>
              </w:rPr>
              <w:t xml:space="preserve"> </w:t>
            </w:r>
            <w:r w:rsidRPr="0053423A">
              <w:rPr>
                <w:rFonts w:eastAsia="Times New Roman" w:cs="Sylfaen"/>
                <w:sz w:val="20"/>
                <w:szCs w:val="20"/>
              </w:rPr>
              <w:t>մատչելիության</w:t>
            </w:r>
            <w:r w:rsidRPr="0053423A">
              <w:rPr>
                <w:rFonts w:eastAsia="Times New Roman" w:cs="Sylfaen"/>
                <w:sz w:val="20"/>
                <w:szCs w:val="20"/>
                <w:lang w:val="et-EE"/>
              </w:rPr>
              <w:t xml:space="preserve"> </w:t>
            </w:r>
            <w:r w:rsidRPr="0053423A">
              <w:rPr>
                <w:rFonts w:eastAsia="Times New Roman" w:cs="Sylfaen"/>
                <w:sz w:val="20"/>
                <w:szCs w:val="20"/>
              </w:rPr>
              <w:t>և</w:t>
            </w:r>
            <w:r w:rsidRPr="0053423A">
              <w:rPr>
                <w:rFonts w:eastAsia="Times New Roman" w:cs="Sylfaen"/>
                <w:sz w:val="20"/>
                <w:szCs w:val="20"/>
                <w:lang w:val="et-EE"/>
              </w:rPr>
              <w:t xml:space="preserve"> </w:t>
            </w:r>
            <w:r w:rsidRPr="0053423A">
              <w:rPr>
                <w:rFonts w:eastAsia="Times New Roman" w:cs="Sylfaen"/>
                <w:sz w:val="20"/>
                <w:szCs w:val="20"/>
              </w:rPr>
              <w:t>ընդգրկվածության</w:t>
            </w:r>
            <w:r w:rsidRPr="0053423A">
              <w:rPr>
                <w:rFonts w:eastAsia="Times New Roman" w:cs="Sylfaen"/>
                <w:sz w:val="20"/>
                <w:szCs w:val="20"/>
                <w:lang w:val="et-EE"/>
              </w:rPr>
              <w:t xml:space="preserve"> </w:t>
            </w:r>
            <w:r w:rsidRPr="0053423A">
              <w:rPr>
                <w:rFonts w:eastAsia="Times New Roman" w:cs="Sylfaen"/>
                <w:sz w:val="20"/>
                <w:szCs w:val="20"/>
              </w:rPr>
              <w:t>ապահովումը</w:t>
            </w:r>
            <w:r w:rsidRPr="0053423A">
              <w:rPr>
                <w:rFonts w:eastAsia="Times New Roman" w:cs="Sylfaen"/>
                <w:sz w:val="20"/>
                <w:szCs w:val="20"/>
                <w:lang w:val="et-EE"/>
              </w:rPr>
              <w:t>:</w:t>
            </w:r>
          </w:p>
          <w:p w:rsidR="00154773" w:rsidRPr="0053423A" w:rsidRDefault="00154773" w:rsidP="00154773">
            <w:pPr>
              <w:tabs>
                <w:tab w:val="left" w:pos="2694"/>
              </w:tabs>
              <w:ind w:firstLine="284"/>
              <w:contextualSpacing/>
              <w:jc w:val="both"/>
              <w:rPr>
                <w:rFonts w:eastAsia="Calibri" w:cs="Sylfaen"/>
                <w:sz w:val="20"/>
                <w:szCs w:val="20"/>
                <w:lang w:val="hy-AM"/>
              </w:rPr>
            </w:pPr>
            <w:r w:rsidRPr="0053423A">
              <w:rPr>
                <w:rFonts w:eastAsia="Calibri" w:cs="Sylfaen"/>
                <w:sz w:val="20"/>
                <w:szCs w:val="20"/>
                <w:lang w:val="hy-AM"/>
              </w:rPr>
              <w:t>ՀՀ կառավարության 2013 թվականի օգոստոսի 22-ի նիստի N33 արձանագրային որոշմամբ հավանության է արժանացել «Կայուն դպրոցական սնունդ» ծրագրի ռազմավարությունն ու դրա իրականացման միջոցառումների ծրագիրն ու փորձնական ծրագիրը: Ծրագրի ռազմա</w:t>
            </w:r>
            <w:r w:rsidRPr="0053423A">
              <w:rPr>
                <w:rFonts w:eastAsia="Calibri" w:cs="Sylfaen"/>
                <w:sz w:val="20"/>
                <w:szCs w:val="20"/>
                <w:lang w:val="hy-AM"/>
              </w:rPr>
              <w:softHyphen/>
              <w:t>վարության գլխավոր նպատակն է ստեղծել կայուն դպրոցական սննդի համակարգ, որը հնարա</w:t>
            </w:r>
            <w:r w:rsidRPr="0053423A">
              <w:rPr>
                <w:rFonts w:eastAsia="Calibri" w:cs="Sylfaen"/>
                <w:sz w:val="20"/>
                <w:szCs w:val="20"/>
                <w:lang w:val="hy-AM"/>
              </w:rPr>
              <w:softHyphen/>
              <w:t xml:space="preserve">վորություն կտա ապահովելու ՀՀ բոլոր մարզերի հանրակրթական դպրոցների </w:t>
            </w:r>
            <w:r w:rsidRPr="0053423A">
              <w:rPr>
                <w:rFonts w:eastAsia="Calibri" w:cs="Sylfaen"/>
                <w:sz w:val="20"/>
                <w:szCs w:val="20"/>
              </w:rPr>
              <w:t>նախակրթարանների</w:t>
            </w:r>
            <w:r w:rsidRPr="0053423A">
              <w:rPr>
                <w:rFonts w:eastAsia="Calibri" w:cs="Sylfaen"/>
                <w:sz w:val="20"/>
                <w:szCs w:val="20"/>
                <w:lang w:val="et-EE"/>
              </w:rPr>
              <w:t xml:space="preserve"> </w:t>
            </w:r>
            <w:r w:rsidRPr="0053423A">
              <w:rPr>
                <w:rFonts w:eastAsia="Calibri" w:cs="Sylfaen"/>
                <w:sz w:val="20"/>
                <w:szCs w:val="20"/>
              </w:rPr>
              <w:t>և</w:t>
            </w:r>
            <w:r w:rsidRPr="0053423A">
              <w:rPr>
                <w:rFonts w:eastAsia="Calibri" w:cs="Sylfaen"/>
                <w:sz w:val="20"/>
                <w:szCs w:val="20"/>
                <w:lang w:val="et-EE"/>
              </w:rPr>
              <w:t xml:space="preserve"> </w:t>
            </w:r>
            <w:r w:rsidRPr="0053423A">
              <w:rPr>
                <w:rFonts w:eastAsia="Calibri" w:cs="Sylfaen"/>
                <w:sz w:val="20"/>
                <w:szCs w:val="20"/>
                <w:lang w:val="hy-AM"/>
              </w:rPr>
              <w:t>տարրական դասարանների աշակերտների առողջ սնունդը, բարելավելու նրանց առողջությունն ու հաղթահարելու աղքատու</w:t>
            </w:r>
            <w:r w:rsidRPr="0053423A">
              <w:rPr>
                <w:rFonts w:eastAsia="Calibri" w:cs="Sylfaen"/>
                <w:sz w:val="20"/>
                <w:szCs w:val="20"/>
                <w:lang w:val="hy-AM"/>
              </w:rPr>
              <w:softHyphen/>
              <w:t>թյունը` նպաստելով դպրոցականների հաճախելիու</w:t>
            </w:r>
            <w:r w:rsidRPr="0053423A">
              <w:rPr>
                <w:rFonts w:eastAsia="Calibri" w:cs="Sylfaen"/>
                <w:sz w:val="20"/>
                <w:szCs w:val="20"/>
                <w:lang w:val="hy-AM"/>
              </w:rPr>
              <w:softHyphen/>
              <w:t>թյան բարձրացմանն ու համընդհանուր տարրական կրթության ձեռքբերմանը:</w:t>
            </w:r>
          </w:p>
          <w:p w:rsidR="00154773" w:rsidRPr="0053423A" w:rsidRDefault="00154773" w:rsidP="00154773">
            <w:pPr>
              <w:tabs>
                <w:tab w:val="left" w:pos="2694"/>
              </w:tabs>
              <w:ind w:firstLine="284"/>
              <w:contextualSpacing/>
              <w:jc w:val="both"/>
              <w:rPr>
                <w:rFonts w:eastAsia="Calibri" w:cs="Arian AMU"/>
                <w:sz w:val="20"/>
                <w:szCs w:val="20"/>
                <w:lang w:val="hy-AM"/>
              </w:rPr>
            </w:pPr>
            <w:r w:rsidRPr="0053423A">
              <w:rPr>
                <w:rFonts w:eastAsia="Calibri" w:cs="Sylfaen"/>
                <w:sz w:val="20"/>
                <w:szCs w:val="20"/>
                <w:lang w:val="hy-AM"/>
              </w:rPr>
              <w:t xml:space="preserve">Անհրաժեշտությունը պայմանավորված է ՀՀ կառավարության 2013 թ. օգոստոսի 22-ի նիստի N 33 արձանագրային որոշման N 1 հավելվածի 21-րդ կետով, ինչպես նաև` </w:t>
            </w:r>
            <w:r w:rsidRPr="0053423A">
              <w:rPr>
                <w:spacing w:val="-4"/>
                <w:sz w:val="20"/>
                <w:szCs w:val="20"/>
                <w:lang w:val="hy-AM"/>
              </w:rPr>
              <w:t xml:space="preserve">ՀՀ ԱԺ 2019 թվականի փետրվարի 14-ի ԱԺՈ-002-Ն որոշմամբ հավանության արժանացած ՀՀ կառավարության ծրագրի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xml:space="preserve">»  </w:t>
            </w:r>
            <w:r w:rsidRPr="0053423A">
              <w:rPr>
                <w:rFonts w:eastAsia="Calibri" w:cs="Sylfaen"/>
                <w:sz w:val="20"/>
                <w:szCs w:val="20"/>
                <w:lang w:val="hy-AM"/>
              </w:rPr>
              <w:t>բաժնի</w:t>
            </w:r>
            <w:r w:rsidRPr="0053423A">
              <w:rPr>
                <w:rFonts w:eastAsia="Calibri" w:cs="Arian AMU"/>
                <w:sz w:val="20"/>
                <w:szCs w:val="20"/>
                <w:lang w:val="hy-AM"/>
              </w:rPr>
              <w:t xml:space="preserve">  4-րդ պարբերության 1-ին և 4-րդ ենթակետերով:</w:t>
            </w:r>
          </w:p>
          <w:p w:rsidR="00154773" w:rsidRPr="0053423A" w:rsidRDefault="00154773" w:rsidP="00154773">
            <w:pPr>
              <w:tabs>
                <w:tab w:val="left" w:pos="2694"/>
              </w:tabs>
              <w:ind w:firstLine="284"/>
              <w:contextualSpacing/>
              <w:rPr>
                <w:rFonts w:eastAsia="Times New Roman" w:cs="Times New Roman"/>
                <w:b/>
                <w:sz w:val="20"/>
                <w:szCs w:val="20"/>
                <w:u w:val="single"/>
                <w:lang w:val="hy-AM"/>
              </w:rPr>
            </w:pPr>
          </w:p>
          <w:p w:rsidR="00154773" w:rsidRPr="0053423A" w:rsidRDefault="00154773" w:rsidP="00154773">
            <w:pPr>
              <w:tabs>
                <w:tab w:val="left" w:pos="426"/>
                <w:tab w:val="left" w:pos="567"/>
              </w:tabs>
              <w:ind w:left="375"/>
              <w:contextualSpacing/>
              <w:rPr>
                <w:b/>
                <w:sz w:val="20"/>
                <w:szCs w:val="20"/>
                <w:lang w:val="hy-AM"/>
              </w:rPr>
            </w:pPr>
            <w:r w:rsidRPr="0053423A">
              <w:rPr>
                <w:b/>
                <w:sz w:val="20"/>
                <w:szCs w:val="20"/>
                <w:lang w:val="hy-AM"/>
              </w:rPr>
              <w:t>1.1 կարգավորման հարաբերությունների ներկա վիճակը և առկա խնդիրները</w:t>
            </w:r>
          </w:p>
          <w:p w:rsidR="00154773" w:rsidRPr="0053423A" w:rsidRDefault="00154773" w:rsidP="00154773">
            <w:pPr>
              <w:tabs>
                <w:tab w:val="left" w:pos="2694"/>
              </w:tabs>
              <w:ind w:firstLine="284"/>
              <w:contextualSpacing/>
              <w:rPr>
                <w:rFonts w:eastAsia="Times New Roman" w:cs="Times New Roman"/>
                <w:b/>
                <w:sz w:val="20"/>
                <w:szCs w:val="20"/>
                <w:u w:val="single"/>
                <w:lang w:val="hy-AM"/>
              </w:rPr>
            </w:pPr>
          </w:p>
          <w:p w:rsidR="00154773" w:rsidRPr="0053423A" w:rsidRDefault="00154773" w:rsidP="00154773">
            <w:pPr>
              <w:tabs>
                <w:tab w:val="left" w:pos="2694"/>
              </w:tabs>
              <w:ind w:firstLine="284"/>
              <w:contextualSpacing/>
              <w:jc w:val="both"/>
              <w:rPr>
                <w:rFonts w:eastAsia="Calibri" w:cs="Sylfaen"/>
                <w:sz w:val="20"/>
                <w:szCs w:val="20"/>
                <w:lang w:val="hy-AM"/>
              </w:rPr>
            </w:pPr>
            <w:r w:rsidRPr="0053423A">
              <w:rPr>
                <w:rFonts w:eastAsia="Calibri" w:cs="Sylfaen"/>
                <w:sz w:val="20"/>
                <w:szCs w:val="20"/>
                <w:lang w:val="hy-AM"/>
              </w:rPr>
              <w:t>Հայաստանում ՄԱԿ-ի Պարենի համաշխարհային ծրագրի  /ՊՀԾ/ կողմից իրականացվում է կայուն դպրոցական սննդի ծրագիրը, որում ընդգրկվել են հանրապետության մնացած վեց մարզերի հանրակրթական դպրոց</w:t>
            </w:r>
            <w:r w:rsidRPr="0053423A">
              <w:rPr>
                <w:rFonts w:eastAsia="Calibri" w:cs="Sylfaen"/>
                <w:sz w:val="20"/>
                <w:szCs w:val="20"/>
                <w:lang w:val="hy-AM"/>
              </w:rPr>
              <w:softHyphen/>
              <w:t>ների տարրական դասարանների և նախակրթարանների շուրջ 60000 սովորողներ:  ՄԱԿ-ի ՊՀԾ-ն նախատեսում է շարունակել դպրո</w:t>
            </w:r>
            <w:r w:rsidRPr="0053423A">
              <w:rPr>
                <w:rFonts w:eastAsia="Calibri" w:cs="Sylfaen"/>
                <w:sz w:val="20"/>
                <w:szCs w:val="20"/>
                <w:lang w:val="hy-AM"/>
              </w:rPr>
              <w:softHyphen/>
              <w:t>ցա</w:t>
            </w:r>
            <w:r w:rsidRPr="0053423A">
              <w:rPr>
                <w:rFonts w:eastAsia="Calibri" w:cs="Sylfaen"/>
                <w:sz w:val="20"/>
                <w:szCs w:val="20"/>
                <w:lang w:val="hy-AM"/>
              </w:rPr>
              <w:softHyphen/>
              <w:t>կան սննդի ծրագիրը, աստիճանական, ֆինանսավորումը հանձնելով ՀՀ կառավարությանը՝ ՀՀ պետական բյուջեում ներառելու միջոցով: Մարզերը ՀՀ կառավարությանը հանձնելուց առաջ ՊՀԾ-ն իրականացնում է դպրոցների խոհանոցների վերանորոգման և խոհանոցային սարքավորումների տրամադրման  աշխատանքներ: ՀՀ պետական բյուջեից ֆինանսավորման անցման պարագայում դպրոցի անձնակազմը կարիք ունի լրացուցիչ հարցերի լուսաբանման, սեփական ռեսուրսներով սննդի ճիշտ կազմակերպման և այլ հարցերի մասով վերապատրաստման կարիք:</w:t>
            </w:r>
          </w:p>
          <w:p w:rsidR="00154773" w:rsidRPr="0053423A" w:rsidRDefault="00154773" w:rsidP="00154773">
            <w:pPr>
              <w:tabs>
                <w:tab w:val="left" w:pos="2694"/>
              </w:tabs>
              <w:ind w:firstLine="284"/>
              <w:contextualSpacing/>
              <w:jc w:val="both"/>
              <w:rPr>
                <w:rFonts w:eastAsia="Calibri" w:cs="Sylfaen"/>
                <w:sz w:val="20"/>
                <w:szCs w:val="20"/>
                <w:lang w:val="hy-AM"/>
              </w:rPr>
            </w:pPr>
          </w:p>
          <w:p w:rsidR="00154773" w:rsidRPr="0053423A" w:rsidRDefault="00154773" w:rsidP="00154773">
            <w:pPr>
              <w:tabs>
                <w:tab w:val="left" w:pos="2694"/>
              </w:tabs>
              <w:ind w:firstLine="284"/>
              <w:contextualSpacing/>
              <w:jc w:val="both"/>
              <w:rPr>
                <w:rFonts w:eastAsia="Calibri" w:cs="Sylfaen"/>
                <w:sz w:val="20"/>
                <w:szCs w:val="20"/>
                <w:lang w:val="hy-AM"/>
              </w:rPr>
            </w:pPr>
          </w:p>
          <w:p w:rsidR="00154773" w:rsidRPr="0053423A" w:rsidRDefault="00154773" w:rsidP="00154773">
            <w:pPr>
              <w:tabs>
                <w:tab w:val="left" w:pos="567"/>
                <w:tab w:val="left" w:pos="1589"/>
              </w:tabs>
              <w:ind w:left="540"/>
              <w:contextualSpacing/>
              <w:rPr>
                <w:b/>
                <w:sz w:val="20"/>
                <w:szCs w:val="20"/>
                <w:lang w:val="hy-AM"/>
              </w:rPr>
            </w:pPr>
            <w:r w:rsidRPr="0053423A">
              <w:rPr>
                <w:b/>
                <w:sz w:val="20"/>
                <w:szCs w:val="20"/>
                <w:lang w:val="hy-AM"/>
              </w:rPr>
              <w:t xml:space="preserve">1.2 առկա խնդիրների առաջարկվող լուծումները </w:t>
            </w:r>
          </w:p>
          <w:p w:rsidR="00154773" w:rsidRPr="0053423A" w:rsidRDefault="00154773" w:rsidP="00154773">
            <w:pPr>
              <w:tabs>
                <w:tab w:val="left" w:pos="2694"/>
              </w:tabs>
              <w:ind w:firstLine="284"/>
              <w:contextualSpacing/>
              <w:rPr>
                <w:rFonts w:eastAsia="Calibri"/>
                <w:sz w:val="20"/>
                <w:szCs w:val="20"/>
                <w:lang w:val="hy-AM"/>
              </w:rPr>
            </w:pPr>
          </w:p>
          <w:p w:rsidR="00154773" w:rsidRPr="0053423A" w:rsidRDefault="00154773" w:rsidP="00154773">
            <w:pPr>
              <w:tabs>
                <w:tab w:val="left" w:pos="2694"/>
              </w:tabs>
              <w:ind w:firstLine="284"/>
              <w:contextualSpacing/>
              <w:jc w:val="both"/>
              <w:rPr>
                <w:rFonts w:eastAsia="Calibri" w:cs="Sylfaen"/>
                <w:sz w:val="20"/>
                <w:szCs w:val="20"/>
                <w:lang w:val="hy-AM"/>
              </w:rPr>
            </w:pPr>
            <w:r w:rsidRPr="0053423A">
              <w:rPr>
                <w:rFonts w:eastAsia="Calibri"/>
                <w:sz w:val="20"/>
                <w:szCs w:val="20"/>
                <w:lang w:val="hy-AM"/>
              </w:rPr>
              <w:t>2019-2023 թվականներին, յուրաքանչյուր տարի մեկ մարզ կներառվի   ՀՀ պետական բյուջեից  ֆինանսավորվող  Կայուն դպրոցական սնունդ ծրագրում:</w:t>
            </w:r>
            <w:r w:rsidRPr="0053423A">
              <w:rPr>
                <w:rFonts w:eastAsia="Calibri" w:cs="Sylfaen"/>
                <w:sz w:val="20"/>
                <w:szCs w:val="20"/>
                <w:lang w:val="hy-AM"/>
              </w:rPr>
              <w:t xml:space="preserve"> Ներառված մարզերի ուսումնական հաստատություններն ամբողջովին իրենք կիրականացնեն սննդի ձեռքբերման և կազմակերպման գործընթացը: Անձնակազմը կունենա համապատասխան գիտելիքներ՝ սննդի տրամադրման գործընթացը անվտանգ և համակարգված իրականացնելու համար: Վերապատրաստումները նախատեսվում է իրականացնել օրենքով չարգելված այլ աղբյուրների միջոցների հաշվին:</w:t>
            </w:r>
          </w:p>
          <w:p w:rsidR="00154773" w:rsidRPr="0053423A" w:rsidRDefault="00154773" w:rsidP="00154773">
            <w:pPr>
              <w:tabs>
                <w:tab w:val="left" w:pos="2694"/>
              </w:tabs>
              <w:ind w:firstLine="284"/>
              <w:contextualSpacing/>
              <w:jc w:val="both"/>
              <w:rPr>
                <w:rFonts w:eastAsia="Calibri" w:cs="Sylfaen"/>
                <w:sz w:val="20"/>
                <w:szCs w:val="20"/>
                <w:lang w:val="hy-AM"/>
              </w:rPr>
            </w:pPr>
          </w:p>
          <w:p w:rsidR="00154773" w:rsidRPr="0053423A" w:rsidRDefault="00154773" w:rsidP="00154773">
            <w:pPr>
              <w:tabs>
                <w:tab w:val="left" w:pos="709"/>
                <w:tab w:val="left" w:pos="953"/>
                <w:tab w:val="left" w:pos="2694"/>
              </w:tabs>
              <w:ind w:left="390"/>
              <w:contextualSpacing/>
              <w:rPr>
                <w:b/>
                <w:sz w:val="20"/>
                <w:szCs w:val="20"/>
                <w:lang w:val="hy-AM"/>
              </w:rPr>
            </w:pPr>
            <w:r w:rsidRPr="0053423A">
              <w:rPr>
                <w:rFonts w:cs="Sylfaen"/>
                <w:b/>
                <w:sz w:val="20"/>
                <w:szCs w:val="20"/>
                <w:lang w:val="hy-AM"/>
              </w:rPr>
              <w:t>2.Ակնկալվող</w:t>
            </w:r>
            <w:r w:rsidRPr="0053423A">
              <w:rPr>
                <w:b/>
                <w:sz w:val="20"/>
                <w:szCs w:val="20"/>
                <w:lang w:val="hy-AM"/>
              </w:rPr>
              <w:t xml:space="preserve"> արդյունքը</w:t>
            </w:r>
          </w:p>
          <w:p w:rsidR="00154773" w:rsidRPr="0053423A" w:rsidRDefault="00154773" w:rsidP="00154773">
            <w:pPr>
              <w:tabs>
                <w:tab w:val="left" w:pos="709"/>
                <w:tab w:val="left" w:pos="953"/>
                <w:tab w:val="left" w:pos="2694"/>
              </w:tabs>
              <w:ind w:left="390"/>
              <w:contextualSpacing/>
              <w:rPr>
                <w:b/>
                <w:sz w:val="20"/>
                <w:szCs w:val="20"/>
                <w:lang w:val="hy-AM"/>
              </w:rPr>
            </w:pPr>
          </w:p>
          <w:p w:rsidR="00154773" w:rsidRPr="0053423A" w:rsidRDefault="00154773" w:rsidP="00154773">
            <w:pPr>
              <w:tabs>
                <w:tab w:val="left" w:pos="2694"/>
              </w:tabs>
              <w:ind w:firstLine="284"/>
              <w:contextualSpacing/>
              <w:jc w:val="both"/>
              <w:rPr>
                <w:rFonts w:eastAsia="Calibri" w:cs="Sylfaen"/>
                <w:sz w:val="20"/>
                <w:szCs w:val="20"/>
                <w:lang w:val="hy-AM"/>
              </w:rPr>
            </w:pPr>
            <w:r w:rsidRPr="0053423A">
              <w:rPr>
                <w:rFonts w:eastAsia="Calibri" w:cs="Sylfaen"/>
                <w:sz w:val="20"/>
                <w:szCs w:val="20"/>
                <w:lang w:val="hy-AM"/>
              </w:rPr>
              <w:t>Տարեցտարի կընդլայնվի  ՀՀ պետական բյուջեից հանրակրթական դպրոցների նախակրթարանների և   տարրական դասարանների սովորողներին դպրոցական սննդով ապահովման ծրագիրը, որի արդյունքում 2023 թվականին շահառուների թիվը կկազմի շուրջ 108000: Վերապատրաստման արդյունքում  ՀՀ  բոլոր մարզերում  հանրակրթական ուսումնական հաստատությունների համապատասխան անձնակազմը կկարողանա  սովորողներին տրամադրել   առողջ, կայուն և ապահով սնունդ:</w:t>
            </w:r>
          </w:p>
          <w:p w:rsidR="00154773" w:rsidRPr="0053423A" w:rsidRDefault="00154773" w:rsidP="00154773">
            <w:pPr>
              <w:jc w:val="center"/>
              <w:rPr>
                <w:rFonts w:eastAsia="Times New Roman" w:cs="Times New Roman"/>
                <w:b/>
                <w:sz w:val="20"/>
                <w:szCs w:val="20"/>
                <w:lang w:val="hy-AM"/>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tabs>
                <w:tab w:val="left" w:pos="2694"/>
              </w:tabs>
              <w:ind w:firstLine="284"/>
              <w:contextualSpacing/>
              <w:jc w:val="center"/>
              <w:rPr>
                <w:rFonts w:eastAsia="Times New Roman" w:cs="Times New Roman"/>
                <w:b/>
                <w:sz w:val="20"/>
                <w:szCs w:val="20"/>
                <w:u w:val="single"/>
                <w:lang w:val="hy-AM"/>
              </w:rPr>
            </w:pPr>
            <w:r w:rsidRPr="0053423A">
              <w:rPr>
                <w:rFonts w:eastAsia="Times New Roman" w:cs="Times New Roman"/>
                <w:b/>
                <w:sz w:val="20"/>
                <w:szCs w:val="20"/>
                <w:u w:val="single"/>
                <w:lang w:val="hy-AM"/>
              </w:rPr>
              <w:t>19.7. Իրավական դաշտի բարելավում</w:t>
            </w:r>
          </w:p>
          <w:p w:rsidR="00154773" w:rsidRPr="0053423A" w:rsidRDefault="00154773" w:rsidP="00154773">
            <w:pPr>
              <w:tabs>
                <w:tab w:val="left" w:pos="2694"/>
              </w:tabs>
              <w:ind w:firstLine="284"/>
              <w:contextualSpacing/>
              <w:rPr>
                <w:rFonts w:eastAsia="Times New Roman" w:cs="Times New Roman"/>
                <w:b/>
                <w:sz w:val="20"/>
                <w:szCs w:val="20"/>
                <w:u w:val="single"/>
                <w:lang w:val="hy-AM"/>
              </w:rPr>
            </w:pPr>
          </w:p>
          <w:p w:rsidR="00154773" w:rsidRPr="0053423A" w:rsidRDefault="00154773" w:rsidP="00154773">
            <w:pPr>
              <w:tabs>
                <w:tab w:val="left" w:pos="2694"/>
              </w:tabs>
              <w:ind w:firstLine="284"/>
              <w:contextualSpacing/>
              <w:rPr>
                <w:b/>
                <w:sz w:val="20"/>
                <w:szCs w:val="20"/>
                <w:lang w:val="et-EE"/>
              </w:rPr>
            </w:pPr>
            <w:r w:rsidRPr="0053423A">
              <w:rPr>
                <w:b/>
                <w:sz w:val="20"/>
                <w:szCs w:val="20"/>
                <w:lang w:val="af-ZA"/>
              </w:rPr>
              <w:t xml:space="preserve">1. </w:t>
            </w:r>
            <w:r w:rsidRPr="0053423A">
              <w:rPr>
                <w:b/>
                <w:sz w:val="20"/>
                <w:szCs w:val="20"/>
                <w:lang w:val="hy-AM"/>
              </w:rPr>
              <w:t>Միջոցառման</w:t>
            </w:r>
            <w:r w:rsidRPr="0053423A">
              <w:rPr>
                <w:b/>
                <w:sz w:val="20"/>
                <w:szCs w:val="20"/>
                <w:lang w:val="et-EE"/>
              </w:rPr>
              <w:t xml:space="preserve"> </w:t>
            </w:r>
            <w:r w:rsidRPr="0053423A">
              <w:rPr>
                <w:b/>
                <w:sz w:val="20"/>
                <w:szCs w:val="20"/>
                <w:lang w:val="hy-AM"/>
              </w:rPr>
              <w:t>իրականացման</w:t>
            </w:r>
            <w:r w:rsidRPr="0053423A">
              <w:rPr>
                <w:b/>
                <w:sz w:val="20"/>
                <w:szCs w:val="20"/>
                <w:lang w:val="et-EE"/>
              </w:rPr>
              <w:t xml:space="preserve"> </w:t>
            </w:r>
            <w:r w:rsidRPr="0053423A">
              <w:rPr>
                <w:b/>
                <w:sz w:val="20"/>
                <w:szCs w:val="20"/>
                <w:lang w:val="hy-AM"/>
              </w:rPr>
              <w:t>անհրաժեշտությունը</w:t>
            </w:r>
            <w:r w:rsidRPr="0053423A">
              <w:rPr>
                <w:b/>
                <w:sz w:val="20"/>
                <w:szCs w:val="20"/>
                <w:lang w:val="et-EE"/>
              </w:rPr>
              <w:t xml:space="preserve"> </w:t>
            </w:r>
            <w:r w:rsidRPr="0053423A">
              <w:rPr>
                <w:b/>
                <w:sz w:val="20"/>
                <w:szCs w:val="20"/>
                <w:lang w:val="hy-AM"/>
              </w:rPr>
              <w:t>և</w:t>
            </w:r>
            <w:r w:rsidRPr="0053423A">
              <w:rPr>
                <w:b/>
                <w:sz w:val="20"/>
                <w:szCs w:val="20"/>
                <w:lang w:val="et-EE"/>
              </w:rPr>
              <w:t xml:space="preserve"> </w:t>
            </w:r>
            <w:r w:rsidRPr="0053423A">
              <w:rPr>
                <w:b/>
                <w:sz w:val="20"/>
                <w:szCs w:val="20"/>
                <w:lang w:val="hy-AM"/>
              </w:rPr>
              <w:t>նպատակը</w:t>
            </w:r>
          </w:p>
          <w:p w:rsidR="00154773" w:rsidRPr="0053423A" w:rsidRDefault="00154773" w:rsidP="00154773">
            <w:pPr>
              <w:tabs>
                <w:tab w:val="left" w:pos="2694"/>
              </w:tabs>
              <w:ind w:firstLine="284"/>
              <w:contextualSpacing/>
              <w:jc w:val="both"/>
              <w:rPr>
                <w:rFonts w:eastAsia="Calibri" w:cs="Sylfaen"/>
                <w:sz w:val="20"/>
                <w:szCs w:val="20"/>
                <w:lang w:val="et-EE"/>
              </w:rPr>
            </w:pPr>
          </w:p>
          <w:p w:rsidR="00154773" w:rsidRPr="0053423A" w:rsidRDefault="00154773" w:rsidP="00154773">
            <w:pPr>
              <w:ind w:firstLine="284"/>
              <w:contextualSpacing/>
              <w:jc w:val="both"/>
              <w:rPr>
                <w:rFonts w:eastAsia="Times New Roman" w:cs="Sylfaen"/>
                <w:sz w:val="20"/>
                <w:szCs w:val="20"/>
                <w:lang w:val="et-EE"/>
              </w:rPr>
            </w:pPr>
            <w:r w:rsidRPr="0053423A">
              <w:rPr>
                <w:rFonts w:eastAsia="Times New Roman" w:cs="Sylfaen"/>
                <w:sz w:val="20"/>
                <w:szCs w:val="20"/>
              </w:rPr>
              <w:t>Միջոցառման</w:t>
            </w:r>
            <w:r w:rsidRPr="0053423A">
              <w:rPr>
                <w:rFonts w:eastAsia="Times New Roman" w:cs="Sylfaen"/>
                <w:sz w:val="20"/>
                <w:szCs w:val="20"/>
                <w:lang w:val="et-EE"/>
              </w:rPr>
              <w:t xml:space="preserve"> </w:t>
            </w:r>
            <w:r w:rsidRPr="0053423A">
              <w:rPr>
                <w:rFonts w:eastAsia="Times New Roman" w:cs="Sylfaen"/>
                <w:sz w:val="20"/>
                <w:szCs w:val="20"/>
              </w:rPr>
              <w:t>գլխավոր</w:t>
            </w:r>
            <w:r w:rsidRPr="0053423A">
              <w:rPr>
                <w:rFonts w:eastAsia="Times New Roman" w:cs="Sylfaen"/>
                <w:sz w:val="20"/>
                <w:szCs w:val="20"/>
                <w:lang w:val="et-EE"/>
              </w:rPr>
              <w:t xml:space="preserve"> </w:t>
            </w:r>
            <w:r w:rsidRPr="0053423A">
              <w:rPr>
                <w:rFonts w:eastAsia="Times New Roman" w:cs="Sylfaen"/>
                <w:sz w:val="20"/>
                <w:szCs w:val="20"/>
              </w:rPr>
              <w:t>նպատակն</w:t>
            </w:r>
            <w:r w:rsidRPr="0053423A">
              <w:rPr>
                <w:rFonts w:eastAsia="Times New Roman" w:cs="Sylfaen"/>
                <w:sz w:val="20"/>
                <w:szCs w:val="20"/>
                <w:lang w:val="et-EE"/>
              </w:rPr>
              <w:t xml:space="preserve"> </w:t>
            </w:r>
            <w:r w:rsidRPr="0053423A">
              <w:rPr>
                <w:rFonts w:eastAsia="Times New Roman" w:cs="Sylfaen"/>
                <w:sz w:val="20"/>
                <w:szCs w:val="20"/>
              </w:rPr>
              <w:t>է</w:t>
            </w:r>
            <w:r w:rsidRPr="0053423A">
              <w:rPr>
                <w:rFonts w:eastAsia="Times New Roman" w:cs="Sylfaen"/>
                <w:sz w:val="20"/>
                <w:szCs w:val="20"/>
                <w:lang w:val="et-EE"/>
              </w:rPr>
              <w:t xml:space="preserve"> </w:t>
            </w:r>
            <w:r w:rsidRPr="0053423A">
              <w:rPr>
                <w:rFonts w:eastAsia="Times New Roman" w:cs="Sylfaen"/>
                <w:sz w:val="20"/>
                <w:szCs w:val="20"/>
              </w:rPr>
              <w:t>որակյալ</w:t>
            </w:r>
            <w:r w:rsidRPr="0053423A">
              <w:rPr>
                <w:rFonts w:eastAsia="Times New Roman" w:cs="Sylfaen"/>
                <w:sz w:val="20"/>
                <w:szCs w:val="20"/>
                <w:lang w:val="et-EE"/>
              </w:rPr>
              <w:t xml:space="preserve"> </w:t>
            </w:r>
            <w:r w:rsidRPr="0053423A">
              <w:rPr>
                <w:rFonts w:eastAsia="Times New Roman" w:cs="Sylfaen"/>
                <w:sz w:val="20"/>
                <w:szCs w:val="20"/>
              </w:rPr>
              <w:t>կրթության</w:t>
            </w:r>
            <w:r w:rsidRPr="0053423A">
              <w:rPr>
                <w:rFonts w:eastAsia="Times New Roman" w:cs="Sylfaen"/>
                <w:sz w:val="20"/>
                <w:szCs w:val="20"/>
                <w:lang w:val="et-EE"/>
              </w:rPr>
              <w:t xml:space="preserve"> </w:t>
            </w:r>
            <w:r w:rsidRPr="0053423A">
              <w:rPr>
                <w:rFonts w:eastAsia="Times New Roman" w:cs="Sylfaen"/>
                <w:sz w:val="20"/>
                <w:szCs w:val="20"/>
              </w:rPr>
              <w:t>հավասար</w:t>
            </w:r>
            <w:r w:rsidRPr="0053423A">
              <w:rPr>
                <w:rFonts w:eastAsia="Times New Roman" w:cs="Sylfaen"/>
                <w:sz w:val="20"/>
                <w:szCs w:val="20"/>
                <w:lang w:val="et-EE"/>
              </w:rPr>
              <w:t xml:space="preserve"> </w:t>
            </w:r>
            <w:r w:rsidRPr="0053423A">
              <w:rPr>
                <w:rFonts w:eastAsia="Times New Roman" w:cs="Sylfaen"/>
                <w:sz w:val="20"/>
                <w:szCs w:val="20"/>
              </w:rPr>
              <w:t>մատչելիության</w:t>
            </w:r>
            <w:r w:rsidRPr="0053423A">
              <w:rPr>
                <w:rFonts w:eastAsia="Times New Roman" w:cs="Sylfaen"/>
                <w:sz w:val="20"/>
                <w:szCs w:val="20"/>
                <w:lang w:val="et-EE"/>
              </w:rPr>
              <w:t xml:space="preserve"> </w:t>
            </w:r>
            <w:r w:rsidRPr="0053423A">
              <w:rPr>
                <w:rFonts w:eastAsia="Times New Roman" w:cs="Sylfaen"/>
                <w:sz w:val="20"/>
                <w:szCs w:val="20"/>
              </w:rPr>
              <w:t>և</w:t>
            </w:r>
            <w:r w:rsidRPr="0053423A">
              <w:rPr>
                <w:rFonts w:eastAsia="Times New Roman" w:cs="Sylfaen"/>
                <w:sz w:val="20"/>
                <w:szCs w:val="20"/>
                <w:lang w:val="et-EE"/>
              </w:rPr>
              <w:t xml:space="preserve"> </w:t>
            </w:r>
            <w:r w:rsidRPr="0053423A">
              <w:rPr>
                <w:rFonts w:eastAsia="Times New Roman" w:cs="Sylfaen"/>
                <w:sz w:val="20"/>
                <w:szCs w:val="20"/>
              </w:rPr>
              <w:t>ընդգրկվածության</w:t>
            </w:r>
            <w:r w:rsidRPr="0053423A">
              <w:rPr>
                <w:rFonts w:eastAsia="Times New Roman" w:cs="Sylfaen"/>
                <w:sz w:val="20"/>
                <w:szCs w:val="20"/>
                <w:lang w:val="et-EE"/>
              </w:rPr>
              <w:t xml:space="preserve"> </w:t>
            </w:r>
            <w:r w:rsidRPr="0053423A">
              <w:rPr>
                <w:rFonts w:eastAsia="Times New Roman" w:cs="Sylfaen"/>
                <w:sz w:val="20"/>
                <w:szCs w:val="20"/>
              </w:rPr>
              <w:t>ապահովումը</w:t>
            </w:r>
            <w:r w:rsidRPr="0053423A">
              <w:rPr>
                <w:rFonts w:eastAsia="Times New Roman" w:cs="Sylfaen"/>
                <w:sz w:val="20"/>
                <w:szCs w:val="20"/>
                <w:lang w:val="et-EE"/>
              </w:rPr>
              <w:t>:</w:t>
            </w:r>
          </w:p>
          <w:p w:rsidR="00154773" w:rsidRPr="0053423A" w:rsidRDefault="00154773" w:rsidP="00154773">
            <w:pPr>
              <w:tabs>
                <w:tab w:val="left" w:pos="2694"/>
              </w:tabs>
              <w:ind w:firstLine="284"/>
              <w:contextualSpacing/>
              <w:jc w:val="both"/>
              <w:rPr>
                <w:rFonts w:eastAsia="Calibri" w:cs="Sylfaen"/>
                <w:sz w:val="20"/>
                <w:szCs w:val="20"/>
                <w:lang w:val="hy-AM"/>
              </w:rPr>
            </w:pPr>
            <w:r w:rsidRPr="0053423A">
              <w:rPr>
                <w:rFonts w:eastAsia="Calibri" w:cs="Sylfaen"/>
                <w:sz w:val="20"/>
                <w:szCs w:val="20"/>
                <w:lang w:val="hy-AM"/>
              </w:rPr>
              <w:t>ՀՀ կառավարության 2013 թվականի օգոստոսի 22-ի նիստի N33 արձանագրային որոշմամբ հավանության է արժանացել «Կայուն դպրոցական սնունդ» ծրագրի ռազմավարությունն ու դրա իրականացման միջոցառումների ծրագիրն ու փորձնական ծրագիրը: Ծրագրի ռազմա</w:t>
            </w:r>
            <w:r w:rsidRPr="0053423A">
              <w:rPr>
                <w:rFonts w:eastAsia="Calibri" w:cs="Sylfaen"/>
                <w:sz w:val="20"/>
                <w:szCs w:val="20"/>
                <w:lang w:val="hy-AM"/>
              </w:rPr>
              <w:softHyphen/>
              <w:t>վարության գլխավոր նպատակն է ստեղծել կայուն դպրոցական սննդի համակարգ, որը հնարա</w:t>
            </w:r>
            <w:r w:rsidRPr="0053423A">
              <w:rPr>
                <w:rFonts w:eastAsia="Calibri" w:cs="Sylfaen"/>
                <w:sz w:val="20"/>
                <w:szCs w:val="20"/>
                <w:lang w:val="hy-AM"/>
              </w:rPr>
              <w:softHyphen/>
              <w:t xml:space="preserve">վորություն կտա ապահովելու ՀՀ բոլոր մարզերի հանրակրթական դպրոցների </w:t>
            </w:r>
            <w:r w:rsidRPr="0053423A">
              <w:rPr>
                <w:rFonts w:eastAsia="Calibri" w:cs="Sylfaen"/>
                <w:sz w:val="20"/>
                <w:szCs w:val="20"/>
              </w:rPr>
              <w:t>նախակրթարանների</w:t>
            </w:r>
            <w:r w:rsidRPr="0053423A">
              <w:rPr>
                <w:rFonts w:eastAsia="Calibri" w:cs="Sylfaen"/>
                <w:sz w:val="20"/>
                <w:szCs w:val="20"/>
                <w:lang w:val="et-EE"/>
              </w:rPr>
              <w:t xml:space="preserve"> </w:t>
            </w:r>
            <w:r w:rsidRPr="0053423A">
              <w:rPr>
                <w:rFonts w:eastAsia="Calibri" w:cs="Sylfaen"/>
                <w:sz w:val="20"/>
                <w:szCs w:val="20"/>
              </w:rPr>
              <w:t>և</w:t>
            </w:r>
            <w:r w:rsidRPr="0053423A">
              <w:rPr>
                <w:rFonts w:eastAsia="Calibri" w:cs="Sylfaen"/>
                <w:sz w:val="20"/>
                <w:szCs w:val="20"/>
                <w:lang w:val="et-EE"/>
              </w:rPr>
              <w:t xml:space="preserve"> </w:t>
            </w:r>
            <w:r w:rsidRPr="0053423A">
              <w:rPr>
                <w:rFonts w:eastAsia="Calibri" w:cs="Sylfaen"/>
                <w:sz w:val="20"/>
                <w:szCs w:val="20"/>
                <w:lang w:val="hy-AM"/>
              </w:rPr>
              <w:t>տարրական դասարանների աշակերտների առողջ սնունդը, բարելավելու նրանց առողջությունն ու հաղթահարելու աղքատու</w:t>
            </w:r>
            <w:r w:rsidRPr="0053423A">
              <w:rPr>
                <w:rFonts w:eastAsia="Calibri" w:cs="Sylfaen"/>
                <w:sz w:val="20"/>
                <w:szCs w:val="20"/>
                <w:lang w:val="hy-AM"/>
              </w:rPr>
              <w:softHyphen/>
              <w:t>թյունը` նպաստելով դպրոցականների հաճախելիու</w:t>
            </w:r>
            <w:r w:rsidRPr="0053423A">
              <w:rPr>
                <w:rFonts w:eastAsia="Calibri" w:cs="Sylfaen"/>
                <w:sz w:val="20"/>
                <w:szCs w:val="20"/>
                <w:lang w:val="hy-AM"/>
              </w:rPr>
              <w:softHyphen/>
              <w:t>թյան բարձրացմանն ու համընդհանուր տարրական կրթության ձեռքբերմանը:</w:t>
            </w:r>
          </w:p>
          <w:p w:rsidR="00154773" w:rsidRPr="0053423A" w:rsidRDefault="00154773" w:rsidP="00154773">
            <w:pPr>
              <w:tabs>
                <w:tab w:val="left" w:pos="2694"/>
              </w:tabs>
              <w:ind w:firstLine="284"/>
              <w:contextualSpacing/>
              <w:jc w:val="both"/>
              <w:rPr>
                <w:rFonts w:eastAsia="Calibri" w:cs="Arian AMU"/>
                <w:sz w:val="20"/>
                <w:szCs w:val="20"/>
                <w:lang w:val="hy-AM"/>
              </w:rPr>
            </w:pPr>
            <w:r w:rsidRPr="0053423A">
              <w:rPr>
                <w:rFonts w:eastAsia="Calibri" w:cs="Sylfaen"/>
                <w:sz w:val="20"/>
                <w:szCs w:val="20"/>
                <w:lang w:val="hy-AM"/>
              </w:rPr>
              <w:t xml:space="preserve">Անհրաժեշտությունը պայմանավորված է ՀՀ կառավարության 2013թ. օգոստոսի 22-ի նիստի N 33 արձանագրային որոշման N 1 հավելվածի 21-րդ կետով, ինչպես նաև` </w:t>
            </w:r>
            <w:r w:rsidRPr="0053423A">
              <w:rPr>
                <w:spacing w:val="-4"/>
                <w:sz w:val="20"/>
                <w:szCs w:val="20"/>
                <w:lang w:val="hy-AM"/>
              </w:rPr>
              <w:t xml:space="preserve">ՀՀ ԱԺ 2019 թվականի փետրվարի 14-ի ԱԺՈ-002-Ն որոշմամբ հավանության արժանացած ՀՀ կառավարության ծրագրի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xml:space="preserve">»  </w:t>
            </w:r>
            <w:r w:rsidRPr="0053423A">
              <w:rPr>
                <w:rFonts w:eastAsia="Calibri" w:cs="Sylfaen"/>
                <w:sz w:val="20"/>
                <w:szCs w:val="20"/>
                <w:lang w:val="hy-AM"/>
              </w:rPr>
              <w:t>բաժնի</w:t>
            </w:r>
            <w:r w:rsidRPr="0053423A">
              <w:rPr>
                <w:rFonts w:eastAsia="Calibri" w:cs="Arian AMU"/>
                <w:sz w:val="20"/>
                <w:szCs w:val="20"/>
                <w:lang w:val="hy-AM"/>
              </w:rPr>
              <w:t xml:space="preserve">  4-րդ պարբերության 1-ին և 4-րդ ենթակետերով:</w:t>
            </w:r>
          </w:p>
          <w:p w:rsidR="00154773" w:rsidRPr="0053423A" w:rsidRDefault="00154773" w:rsidP="00154773">
            <w:pPr>
              <w:tabs>
                <w:tab w:val="left" w:pos="2694"/>
              </w:tabs>
              <w:ind w:firstLine="284"/>
              <w:contextualSpacing/>
              <w:jc w:val="both"/>
              <w:rPr>
                <w:rFonts w:eastAsia="Calibri" w:cs="Sylfaen"/>
                <w:sz w:val="20"/>
                <w:szCs w:val="20"/>
                <w:lang w:val="hy-AM"/>
              </w:rPr>
            </w:pPr>
          </w:p>
          <w:p w:rsidR="00154773" w:rsidRPr="0053423A" w:rsidRDefault="00154773" w:rsidP="00154773">
            <w:pPr>
              <w:tabs>
                <w:tab w:val="left" w:pos="426"/>
                <w:tab w:val="left" w:pos="567"/>
              </w:tabs>
              <w:ind w:left="450"/>
              <w:contextualSpacing/>
              <w:rPr>
                <w:b/>
                <w:sz w:val="20"/>
                <w:szCs w:val="20"/>
                <w:lang w:val="hy-AM"/>
              </w:rPr>
            </w:pPr>
            <w:r w:rsidRPr="0053423A">
              <w:rPr>
                <w:b/>
                <w:sz w:val="20"/>
                <w:szCs w:val="20"/>
                <w:lang w:val="hy-AM"/>
              </w:rPr>
              <w:t>1.1  կարգավորման հարաբերությունների ներկա վիճակը և առկա խնդիրները</w:t>
            </w:r>
          </w:p>
          <w:p w:rsidR="00154773" w:rsidRPr="0053423A" w:rsidRDefault="00154773" w:rsidP="00154773">
            <w:pPr>
              <w:tabs>
                <w:tab w:val="left" w:pos="2694"/>
              </w:tabs>
              <w:ind w:firstLine="284"/>
              <w:contextualSpacing/>
              <w:jc w:val="both"/>
              <w:rPr>
                <w:rFonts w:eastAsia="Calibri" w:cs="Sylfaen"/>
                <w:sz w:val="20"/>
                <w:szCs w:val="20"/>
                <w:lang w:val="hy-AM"/>
              </w:rPr>
            </w:pPr>
          </w:p>
          <w:p w:rsidR="00154773" w:rsidRPr="0053423A" w:rsidRDefault="00154773" w:rsidP="00154773">
            <w:pPr>
              <w:tabs>
                <w:tab w:val="left" w:pos="2694"/>
              </w:tabs>
              <w:ind w:firstLine="284"/>
              <w:contextualSpacing/>
              <w:jc w:val="both"/>
              <w:rPr>
                <w:rFonts w:eastAsia="Calibri" w:cs="Sylfaen"/>
                <w:sz w:val="20"/>
                <w:szCs w:val="20"/>
                <w:lang w:val="hy-AM"/>
              </w:rPr>
            </w:pPr>
          </w:p>
          <w:p w:rsidR="00154773" w:rsidRPr="0053423A" w:rsidRDefault="00154773" w:rsidP="00154773">
            <w:pPr>
              <w:tabs>
                <w:tab w:val="left" w:pos="2694"/>
              </w:tabs>
              <w:ind w:firstLine="284"/>
              <w:contextualSpacing/>
              <w:jc w:val="both"/>
              <w:rPr>
                <w:rFonts w:eastAsia="Calibri" w:cs="Sylfaen"/>
                <w:sz w:val="20"/>
                <w:szCs w:val="20"/>
                <w:lang w:val="hy-AM"/>
              </w:rPr>
            </w:pPr>
            <w:r w:rsidRPr="0053423A">
              <w:rPr>
                <w:rFonts w:eastAsia="Calibri" w:cs="Sylfaen"/>
                <w:sz w:val="20"/>
                <w:szCs w:val="20"/>
                <w:lang w:val="hy-AM"/>
              </w:rPr>
              <w:t>Ներկայումս հինգ մարզերում /Արարատ, Սյունիք, Վայոց Ձոր, Տավուշ, Շիրակ/ իրականացնում են կայուն դպրոցական սննդի ծրագիրը՝ ֆինանսավորվելով ՀՀ պետական բյուջեից: Սնունդը տրամադրվում է նախակրթարաններում և տարրական դասարաններում ընդգրկված երեխաներին օրը մեկ անգամ, դպրոցում: Ծրագիրն իրականացվում է ՀՀ մարզպետարանների միջոցով, որոնք գումարը  բաշխում են իրենց ենթակայության՝ նախակրթարաններ և տարրական դասարաններ ունեցող հանրակրթական ուսումնական հաստատու</w:t>
            </w:r>
            <w:r w:rsidRPr="0053423A">
              <w:rPr>
                <w:rFonts w:eastAsia="Calibri" w:cs="Sylfaen"/>
                <w:sz w:val="20"/>
                <w:szCs w:val="20"/>
                <w:lang w:val="hy-AM"/>
              </w:rPr>
              <w:softHyphen/>
              <w:t xml:space="preserve">թյունների միջև, որոնք էլ իրականացնում են ծրագիրը` հիմք ընդունելով գործող  իրավական ակտերը, այդ թվում` գնումների մասին ՀՀ օրենքի պահանջները: </w:t>
            </w:r>
          </w:p>
          <w:p w:rsidR="00154773" w:rsidRPr="0053423A" w:rsidRDefault="00154773" w:rsidP="00154773">
            <w:pPr>
              <w:tabs>
                <w:tab w:val="left" w:pos="2694"/>
              </w:tabs>
              <w:ind w:firstLine="284"/>
              <w:contextualSpacing/>
              <w:jc w:val="both"/>
              <w:rPr>
                <w:rFonts w:eastAsia="Calibri" w:cs="Sylfaen"/>
                <w:sz w:val="20"/>
                <w:szCs w:val="20"/>
                <w:lang w:val="hy-AM"/>
              </w:rPr>
            </w:pPr>
            <w:r w:rsidRPr="0053423A">
              <w:rPr>
                <w:rFonts w:eastAsia="Calibri" w:cs="Sylfaen"/>
                <w:sz w:val="20"/>
                <w:szCs w:val="20"/>
                <w:lang w:val="hy-AM"/>
              </w:rPr>
              <w:t>ՀՀ կառավարության 2013 թվականի օգոստոսի 22-ի նիստի N33     արձանագրային որոշմամբ հավանության է արժանացել «Կայուն դպրոցական սնունդ» ծրագրի ռազմավարությունն ու դրա իրականացման միջոցառումների ծրագիրն ու փորձնական ծրագիրը: Ծրագրի ռազմա</w:t>
            </w:r>
            <w:r w:rsidRPr="0053423A">
              <w:rPr>
                <w:rFonts w:eastAsia="Calibri" w:cs="Sylfaen"/>
                <w:sz w:val="20"/>
                <w:szCs w:val="20"/>
                <w:lang w:val="hy-AM"/>
              </w:rPr>
              <w:softHyphen/>
              <w:t>վարության գլխավոր նպատակն է ստեղծել կայուն դպրոցական սննդի համակարգ: Ծրագիրն իրականացնելու համար կա իրավական դաշտի բարելավման հարց, քանի որ գործող իրավական ակտերը լիարժեք չեն կարգավորում դպրոցներում սննդի տրամադրման հետ կապված բոլոր հարցերը:</w:t>
            </w:r>
          </w:p>
          <w:p w:rsidR="00154773" w:rsidRPr="0053423A" w:rsidRDefault="00154773" w:rsidP="00154773">
            <w:pPr>
              <w:tabs>
                <w:tab w:val="left" w:pos="2694"/>
              </w:tabs>
              <w:ind w:firstLine="284"/>
              <w:contextualSpacing/>
              <w:jc w:val="both"/>
              <w:rPr>
                <w:rFonts w:eastAsia="Calibri" w:cs="Sylfaen"/>
                <w:sz w:val="20"/>
                <w:szCs w:val="20"/>
                <w:lang w:val="hy-AM"/>
              </w:rPr>
            </w:pPr>
            <w:r w:rsidRPr="0053423A">
              <w:rPr>
                <w:rFonts w:eastAsia="Calibri" w:cs="Sylfaen"/>
                <w:sz w:val="20"/>
                <w:szCs w:val="20"/>
                <w:lang w:val="hy-AM"/>
              </w:rPr>
              <w:t>Քանի որ կայուն դպրոցական սննդի տրամադրումը ՀՀ պետական բյուջեի միջոցներից սկսվել է 2014 թվականին, իսկ ուսումնական հաստատությունների գործունեությունը կարգավորող հիմնական  իրավական ակտերը ստեղծվել են ավելի վաղ, խնդիր է առաջացնում դրանցում դպրոցական սննդին առնչվող դրույթների բացակայությունը, որի արդյունքում ուսումնական հաստատություններում ծագել են մի շարք հարցեր, որոնց կարգավորումը օրենսդրական ներկա դաշտով հնարավոր չէ:  Միաժամանակ, քանի որ հարցերը բազմազան են, աշխատանքի ընթացքում միայն պարզ կլինի օրենքների և իրավական ակտերի այն փաթեթը, որոնք ստեղծելու,  փոփոխություններ և լրացումներ իրականացնելու անհրաժեշտություն կառաջանա:</w:t>
            </w:r>
          </w:p>
          <w:p w:rsidR="00154773" w:rsidRPr="0053423A" w:rsidRDefault="00154773" w:rsidP="00154773">
            <w:pPr>
              <w:tabs>
                <w:tab w:val="left" w:pos="2694"/>
              </w:tabs>
              <w:ind w:firstLine="284"/>
              <w:contextualSpacing/>
              <w:jc w:val="both"/>
              <w:rPr>
                <w:sz w:val="20"/>
                <w:szCs w:val="20"/>
                <w:lang w:val="hy-AM"/>
              </w:rPr>
            </w:pPr>
          </w:p>
          <w:p w:rsidR="00154773" w:rsidRPr="0053423A" w:rsidRDefault="00154773" w:rsidP="00154773">
            <w:pPr>
              <w:tabs>
                <w:tab w:val="left" w:pos="567"/>
                <w:tab w:val="left" w:pos="1589"/>
              </w:tabs>
              <w:ind w:left="450"/>
              <w:contextualSpacing/>
              <w:jc w:val="both"/>
              <w:rPr>
                <w:b/>
                <w:sz w:val="20"/>
                <w:szCs w:val="20"/>
                <w:lang w:val="hy-AM"/>
              </w:rPr>
            </w:pPr>
            <w:r w:rsidRPr="0053423A">
              <w:rPr>
                <w:b/>
                <w:sz w:val="20"/>
                <w:szCs w:val="20"/>
                <w:lang w:val="hy-AM"/>
              </w:rPr>
              <w:t>1.2 առկա խնդիրների առաջարկվող լուծումները</w:t>
            </w:r>
          </w:p>
          <w:p w:rsidR="00154773" w:rsidRPr="0053423A" w:rsidRDefault="00154773" w:rsidP="00154773">
            <w:pPr>
              <w:tabs>
                <w:tab w:val="left" w:pos="2694"/>
              </w:tabs>
              <w:ind w:firstLine="284"/>
              <w:contextualSpacing/>
              <w:jc w:val="both"/>
              <w:rPr>
                <w:rFonts w:eastAsia="Calibri"/>
                <w:sz w:val="20"/>
                <w:szCs w:val="20"/>
                <w:lang w:val="hy-AM"/>
              </w:rPr>
            </w:pPr>
          </w:p>
          <w:p w:rsidR="00154773" w:rsidRPr="0053423A" w:rsidRDefault="00154773" w:rsidP="00154773">
            <w:pPr>
              <w:tabs>
                <w:tab w:val="left" w:pos="2694"/>
              </w:tabs>
              <w:ind w:firstLine="284"/>
              <w:contextualSpacing/>
              <w:jc w:val="both"/>
              <w:rPr>
                <w:rFonts w:eastAsia="Calibri" w:cs="Sylfaen"/>
                <w:sz w:val="20"/>
                <w:szCs w:val="20"/>
                <w:lang w:val="hy-AM"/>
              </w:rPr>
            </w:pPr>
            <w:r w:rsidRPr="0053423A">
              <w:rPr>
                <w:rFonts w:eastAsia="Calibri"/>
                <w:sz w:val="20"/>
                <w:szCs w:val="20"/>
                <w:lang w:val="hy-AM"/>
              </w:rPr>
              <w:t>2019-2023 թվականներին, յուրաքանչյուր տարի մեկ մարզ կներառվի  ՀՀ  պետական բյուջեից  ֆինանսավորվող  Կայուն դպրոցական սնունդ ծրագրում:</w:t>
            </w:r>
            <w:r w:rsidRPr="0053423A">
              <w:rPr>
                <w:rFonts w:eastAsia="Calibri" w:cs="Sylfaen"/>
                <w:sz w:val="20"/>
                <w:szCs w:val="20"/>
                <w:lang w:val="hy-AM"/>
              </w:rPr>
              <w:t xml:space="preserve"> Ներառված մարզերի ուսումնական հաստատություններն ամբողջովին իրենք կիրականացնեն սննդի ձեռքբերման և կազմակերպման գործընթացը: Իրավական ակտերում կկատարվեն համապատասխան փոփոխություններ և լրացումներ:</w:t>
            </w:r>
          </w:p>
          <w:p w:rsidR="00154773" w:rsidRPr="0053423A" w:rsidRDefault="00154773" w:rsidP="00154773">
            <w:pPr>
              <w:tabs>
                <w:tab w:val="left" w:pos="2694"/>
              </w:tabs>
              <w:ind w:firstLine="284"/>
              <w:contextualSpacing/>
              <w:jc w:val="both"/>
              <w:rPr>
                <w:b/>
                <w:sz w:val="20"/>
                <w:szCs w:val="20"/>
                <w:lang w:val="hy-AM"/>
              </w:rPr>
            </w:pPr>
          </w:p>
          <w:p w:rsidR="00154773" w:rsidRPr="0053423A" w:rsidRDefault="00154773" w:rsidP="00154773">
            <w:pPr>
              <w:tabs>
                <w:tab w:val="left" w:pos="709"/>
                <w:tab w:val="left" w:pos="953"/>
                <w:tab w:val="left" w:pos="2694"/>
              </w:tabs>
              <w:ind w:left="390"/>
              <w:contextualSpacing/>
              <w:jc w:val="both"/>
              <w:rPr>
                <w:b/>
                <w:sz w:val="20"/>
                <w:szCs w:val="20"/>
                <w:lang w:val="hy-AM"/>
              </w:rPr>
            </w:pPr>
            <w:r w:rsidRPr="0053423A">
              <w:rPr>
                <w:rFonts w:cs="Sylfaen"/>
                <w:b/>
                <w:sz w:val="20"/>
                <w:szCs w:val="20"/>
                <w:lang w:val="hy-AM"/>
              </w:rPr>
              <w:t>2. Ակնկալվող</w:t>
            </w:r>
            <w:r w:rsidRPr="0053423A">
              <w:rPr>
                <w:b/>
                <w:sz w:val="20"/>
                <w:szCs w:val="20"/>
                <w:lang w:val="hy-AM"/>
              </w:rPr>
              <w:t xml:space="preserve"> արդյունքը</w:t>
            </w:r>
          </w:p>
          <w:p w:rsidR="00154773" w:rsidRPr="0053423A" w:rsidRDefault="00154773" w:rsidP="00154773">
            <w:pPr>
              <w:tabs>
                <w:tab w:val="left" w:pos="709"/>
                <w:tab w:val="left" w:pos="953"/>
                <w:tab w:val="left" w:pos="2694"/>
              </w:tabs>
              <w:ind w:left="390"/>
              <w:contextualSpacing/>
              <w:jc w:val="both"/>
              <w:rPr>
                <w:b/>
                <w:sz w:val="20"/>
                <w:szCs w:val="20"/>
                <w:lang w:val="hy-AM"/>
              </w:rPr>
            </w:pPr>
          </w:p>
          <w:p w:rsidR="00154773" w:rsidRPr="0053423A" w:rsidRDefault="00154773" w:rsidP="00154773">
            <w:pPr>
              <w:ind w:firstLine="390"/>
              <w:jc w:val="both"/>
              <w:rPr>
                <w:rFonts w:eastAsia="Times New Roman" w:cs="Times New Roman"/>
                <w:bCs/>
                <w:sz w:val="20"/>
                <w:szCs w:val="20"/>
                <w:highlight w:val="yellow"/>
                <w:lang w:val="af-ZA"/>
              </w:rPr>
            </w:pPr>
            <w:r w:rsidRPr="0053423A">
              <w:rPr>
                <w:sz w:val="20"/>
                <w:szCs w:val="20"/>
                <w:lang w:val="hy-AM"/>
              </w:rPr>
              <w:t>Փոփոխված իրավական դաշտի պայմաններում բոլոր դպրոցներում կկիրառվեն միասնական մոտեցումներ, գործընթացնելրը կլինեն ավելի թափանցիկ, հաշվետվողականությունը կլինի համակարգված և մանրամասն:</w:t>
            </w:r>
          </w:p>
          <w:p w:rsidR="00154773" w:rsidRPr="0053423A" w:rsidRDefault="00154773" w:rsidP="00154773">
            <w:pPr>
              <w:jc w:val="center"/>
              <w:rPr>
                <w:rFonts w:eastAsia="Times New Roman" w:cs="Times New Roman"/>
                <w:b/>
                <w:sz w:val="20"/>
                <w:szCs w:val="20"/>
                <w:lang w:val="af-ZA"/>
              </w:rPr>
            </w:pPr>
          </w:p>
        </w:tc>
      </w:tr>
      <w:tr w:rsidR="00154773" w:rsidRPr="00DE2EF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20</w:t>
            </w:r>
          </w:p>
        </w:tc>
        <w:tc>
          <w:tcPr>
            <w:tcW w:w="10620" w:type="dxa"/>
          </w:tcPr>
          <w:p w:rsidR="00154773" w:rsidRPr="0053423A" w:rsidRDefault="00154773" w:rsidP="00154773">
            <w:pPr>
              <w:ind w:left="180" w:firstLine="540"/>
              <w:contextualSpacing/>
              <w:jc w:val="center"/>
              <w:rPr>
                <w:rFonts w:eastAsia="Times New Roman" w:cs="Times New Roman"/>
                <w:b/>
                <w:sz w:val="20"/>
                <w:szCs w:val="20"/>
                <w:u w:val="single"/>
                <w:lang w:val="hy-AM"/>
              </w:rPr>
            </w:pPr>
            <w:r w:rsidRPr="0053423A">
              <w:rPr>
                <w:rFonts w:eastAsia="Times New Roman" w:cs="Times New Roman"/>
                <w:b/>
                <w:sz w:val="20"/>
                <w:szCs w:val="20"/>
                <w:u w:val="single"/>
                <w:lang w:val="et-EE"/>
              </w:rPr>
              <w:t xml:space="preserve">20.1  </w:t>
            </w:r>
            <w:r w:rsidRPr="0053423A">
              <w:rPr>
                <w:rFonts w:eastAsia="Times New Roman" w:cs="Times New Roman"/>
                <w:b/>
                <w:sz w:val="20"/>
                <w:szCs w:val="20"/>
                <w:u w:val="single"/>
                <w:lang w:val="hy-AM"/>
              </w:rPr>
              <w:t>Փոքրաքանակ</w:t>
            </w:r>
            <w:r w:rsidRPr="0053423A">
              <w:rPr>
                <w:rFonts w:eastAsia="Times New Roman" w:cs="Times New Roman"/>
                <w:b/>
                <w:sz w:val="20"/>
                <w:szCs w:val="20"/>
                <w:u w:val="single"/>
                <w:lang w:val="et-EE"/>
              </w:rPr>
              <w:t xml:space="preserve"> </w:t>
            </w:r>
            <w:r w:rsidRPr="0053423A">
              <w:rPr>
                <w:rFonts w:eastAsia="Times New Roman" w:cs="Times New Roman"/>
                <w:b/>
                <w:sz w:val="20"/>
                <w:szCs w:val="20"/>
                <w:u w:val="single"/>
                <w:lang w:val="hy-AM"/>
              </w:rPr>
              <w:t>երեխաներով</w:t>
            </w:r>
            <w:r w:rsidRPr="0053423A">
              <w:rPr>
                <w:rFonts w:eastAsia="Times New Roman" w:cs="Times New Roman"/>
                <w:b/>
                <w:sz w:val="20"/>
                <w:szCs w:val="20"/>
                <w:u w:val="single"/>
                <w:lang w:val="et-EE"/>
              </w:rPr>
              <w:t xml:space="preserve"> </w:t>
            </w:r>
            <w:r w:rsidRPr="0053423A">
              <w:rPr>
                <w:rFonts w:eastAsia="Times New Roman" w:cs="Times New Roman"/>
                <w:b/>
                <w:sz w:val="20"/>
                <w:szCs w:val="20"/>
                <w:u w:val="single"/>
                <w:lang w:val="hy-AM"/>
              </w:rPr>
              <w:t>համալրված</w:t>
            </w:r>
            <w:r w:rsidRPr="0053423A">
              <w:rPr>
                <w:rFonts w:eastAsia="Times New Roman" w:cs="Times New Roman"/>
                <w:b/>
                <w:sz w:val="20"/>
                <w:szCs w:val="20"/>
                <w:u w:val="single"/>
                <w:lang w:val="et-EE"/>
              </w:rPr>
              <w:t xml:space="preserve"> </w:t>
            </w:r>
            <w:r w:rsidRPr="0053423A">
              <w:rPr>
                <w:rFonts w:eastAsia="Times New Roman" w:cs="Times New Roman"/>
                <w:b/>
                <w:sz w:val="20"/>
                <w:szCs w:val="20"/>
                <w:u w:val="single"/>
                <w:lang w:val="hy-AM"/>
              </w:rPr>
              <w:t>հանրակրթական</w:t>
            </w:r>
            <w:r w:rsidRPr="0053423A">
              <w:rPr>
                <w:rFonts w:eastAsia="Times New Roman" w:cs="Times New Roman"/>
                <w:b/>
                <w:sz w:val="20"/>
                <w:szCs w:val="20"/>
                <w:u w:val="single"/>
                <w:lang w:val="et-EE"/>
              </w:rPr>
              <w:t xml:space="preserve"> </w:t>
            </w:r>
            <w:r w:rsidRPr="0053423A">
              <w:rPr>
                <w:rFonts w:eastAsia="Times New Roman" w:cs="Times New Roman"/>
                <w:b/>
                <w:sz w:val="20"/>
                <w:szCs w:val="20"/>
                <w:u w:val="single"/>
                <w:lang w:val="hy-AM"/>
              </w:rPr>
              <w:t>դպրոցների</w:t>
            </w:r>
            <w:r w:rsidRPr="0053423A">
              <w:rPr>
                <w:rFonts w:eastAsia="Times New Roman" w:cs="Times New Roman"/>
                <w:b/>
                <w:sz w:val="20"/>
                <w:szCs w:val="20"/>
                <w:u w:val="single"/>
                <w:lang w:val="et-EE"/>
              </w:rPr>
              <w:t xml:space="preserve"> </w:t>
            </w:r>
            <w:r w:rsidRPr="0053423A">
              <w:rPr>
                <w:rFonts w:eastAsia="Times New Roman" w:cs="Times New Roman"/>
                <w:b/>
                <w:sz w:val="20"/>
                <w:szCs w:val="20"/>
                <w:u w:val="single"/>
                <w:lang w:val="hy-AM"/>
              </w:rPr>
              <w:t>մոդուլային</w:t>
            </w:r>
            <w:r w:rsidRPr="0053423A">
              <w:rPr>
                <w:rFonts w:eastAsia="Times New Roman" w:cs="Times New Roman"/>
                <w:b/>
                <w:sz w:val="20"/>
                <w:szCs w:val="20"/>
                <w:u w:val="single"/>
                <w:lang w:val="et-EE"/>
              </w:rPr>
              <w:t xml:space="preserve"> </w:t>
            </w:r>
            <w:r w:rsidRPr="0053423A">
              <w:rPr>
                <w:rFonts w:eastAsia="Times New Roman" w:cs="Times New Roman"/>
                <w:b/>
                <w:sz w:val="20"/>
                <w:szCs w:val="20"/>
                <w:u w:val="single"/>
                <w:lang w:val="hy-AM"/>
              </w:rPr>
              <w:t>շենքերի</w:t>
            </w:r>
            <w:r w:rsidRPr="0053423A">
              <w:rPr>
                <w:rFonts w:eastAsia="Times New Roman" w:cs="Times New Roman"/>
                <w:b/>
                <w:sz w:val="20"/>
                <w:szCs w:val="20"/>
                <w:u w:val="single"/>
                <w:lang w:val="et-EE"/>
              </w:rPr>
              <w:t xml:space="preserve"> </w:t>
            </w:r>
            <w:r w:rsidRPr="0053423A">
              <w:rPr>
                <w:rFonts w:eastAsia="Times New Roman" w:cs="Times New Roman"/>
                <w:b/>
                <w:sz w:val="20"/>
                <w:szCs w:val="20"/>
                <w:u w:val="single"/>
                <w:lang w:val="hy-AM"/>
              </w:rPr>
              <w:t>կառուցում</w:t>
            </w:r>
          </w:p>
          <w:p w:rsidR="00154773" w:rsidRPr="0053423A" w:rsidRDefault="00154773" w:rsidP="00154773">
            <w:pPr>
              <w:ind w:left="180" w:firstLine="540"/>
              <w:contextualSpacing/>
              <w:jc w:val="center"/>
              <w:rPr>
                <w:rFonts w:eastAsia="Times New Roman" w:cs="Times New Roman"/>
                <w:b/>
                <w:sz w:val="20"/>
                <w:szCs w:val="20"/>
                <w:u w:val="single"/>
                <w:lang w:val="et-EE"/>
              </w:rPr>
            </w:pPr>
          </w:p>
          <w:p w:rsidR="00154773" w:rsidRPr="0053423A" w:rsidRDefault="00154773" w:rsidP="001F6D5D">
            <w:pPr>
              <w:numPr>
                <w:ilvl w:val="0"/>
                <w:numId w:val="460"/>
              </w:numPr>
              <w:tabs>
                <w:tab w:val="left" w:pos="2694"/>
              </w:tabs>
              <w:contextualSpacing/>
              <w:rPr>
                <w:b/>
                <w:sz w:val="20"/>
                <w:szCs w:val="20"/>
                <w:lang w:val="et-EE"/>
              </w:rPr>
            </w:pPr>
            <w:r w:rsidRPr="0053423A">
              <w:rPr>
                <w:b/>
                <w:sz w:val="20"/>
                <w:szCs w:val="20"/>
              </w:rPr>
              <w:t>Միջոցառման</w:t>
            </w:r>
            <w:r w:rsidRPr="0053423A">
              <w:rPr>
                <w:b/>
                <w:sz w:val="20"/>
                <w:szCs w:val="20"/>
                <w:lang w:val="et-EE"/>
              </w:rPr>
              <w:t xml:space="preserve"> </w:t>
            </w:r>
            <w:r w:rsidRPr="0053423A">
              <w:rPr>
                <w:b/>
                <w:sz w:val="20"/>
                <w:szCs w:val="20"/>
              </w:rPr>
              <w:t>իրականացման</w:t>
            </w:r>
            <w:r w:rsidRPr="0053423A">
              <w:rPr>
                <w:b/>
                <w:sz w:val="20"/>
                <w:szCs w:val="20"/>
                <w:lang w:val="et-EE"/>
              </w:rPr>
              <w:t xml:space="preserve"> </w:t>
            </w:r>
            <w:r w:rsidRPr="0053423A">
              <w:rPr>
                <w:b/>
                <w:sz w:val="20"/>
                <w:szCs w:val="20"/>
              </w:rPr>
              <w:t>անհրաժեշտությունը</w:t>
            </w:r>
            <w:r w:rsidRPr="0053423A">
              <w:rPr>
                <w:b/>
                <w:sz w:val="20"/>
                <w:szCs w:val="20"/>
                <w:lang w:val="et-EE"/>
              </w:rPr>
              <w:t xml:space="preserve"> </w:t>
            </w:r>
            <w:r w:rsidRPr="0053423A">
              <w:rPr>
                <w:b/>
                <w:sz w:val="20"/>
                <w:szCs w:val="20"/>
              </w:rPr>
              <w:t>և</w:t>
            </w:r>
            <w:r w:rsidRPr="0053423A">
              <w:rPr>
                <w:b/>
                <w:sz w:val="20"/>
                <w:szCs w:val="20"/>
                <w:lang w:val="et-EE"/>
              </w:rPr>
              <w:t xml:space="preserve"> </w:t>
            </w:r>
            <w:r w:rsidRPr="0053423A">
              <w:rPr>
                <w:b/>
                <w:sz w:val="20"/>
                <w:szCs w:val="20"/>
              </w:rPr>
              <w:t>նպատակը</w:t>
            </w:r>
          </w:p>
          <w:p w:rsidR="00154773" w:rsidRPr="0053423A" w:rsidRDefault="00154773" w:rsidP="00154773">
            <w:pPr>
              <w:tabs>
                <w:tab w:val="left" w:pos="2694"/>
              </w:tabs>
              <w:ind w:left="720"/>
              <w:contextualSpacing/>
              <w:rPr>
                <w:b/>
                <w:sz w:val="20"/>
                <w:szCs w:val="20"/>
                <w:lang w:val="et-EE"/>
              </w:rPr>
            </w:pPr>
          </w:p>
          <w:p w:rsidR="00154773" w:rsidRPr="0053423A" w:rsidRDefault="00154773" w:rsidP="00154773">
            <w:pPr>
              <w:tabs>
                <w:tab w:val="left" w:pos="2694"/>
              </w:tabs>
              <w:ind w:firstLine="180"/>
              <w:contextualSpacing/>
              <w:jc w:val="both"/>
              <w:rPr>
                <w:rFonts w:eastAsia="Calibri" w:cs="Sylfaen"/>
                <w:sz w:val="20"/>
                <w:szCs w:val="20"/>
                <w:lang w:val="et-EE"/>
              </w:rPr>
            </w:pPr>
            <w:r w:rsidRPr="0053423A">
              <w:rPr>
                <w:rFonts w:eastAsia="Calibri" w:cs="Sylfaen"/>
                <w:sz w:val="20"/>
                <w:szCs w:val="20"/>
                <w:lang w:val="et-EE"/>
              </w:rPr>
              <w:t xml:space="preserve">    </w:t>
            </w:r>
            <w:r w:rsidRPr="0053423A">
              <w:rPr>
                <w:rFonts w:eastAsia="Calibri" w:cs="Sylfaen"/>
                <w:sz w:val="20"/>
                <w:szCs w:val="20"/>
                <w:lang w:val="en-GB"/>
              </w:rPr>
              <w:t>Միջոցառման</w:t>
            </w:r>
            <w:r w:rsidRPr="0053423A">
              <w:rPr>
                <w:rFonts w:eastAsia="Calibri" w:cs="Sylfaen"/>
                <w:sz w:val="20"/>
                <w:szCs w:val="20"/>
                <w:lang w:val="et-EE"/>
              </w:rPr>
              <w:t xml:space="preserve"> </w:t>
            </w:r>
            <w:r w:rsidRPr="0053423A">
              <w:rPr>
                <w:rFonts w:eastAsia="Calibri" w:cs="Sylfaen"/>
                <w:sz w:val="20"/>
                <w:szCs w:val="20"/>
                <w:lang w:val="en-GB"/>
              </w:rPr>
              <w:t>գլխավոր</w:t>
            </w:r>
            <w:r w:rsidRPr="0053423A">
              <w:rPr>
                <w:rFonts w:eastAsia="Calibri" w:cs="Sylfaen"/>
                <w:sz w:val="20"/>
                <w:szCs w:val="20"/>
                <w:lang w:val="et-EE"/>
              </w:rPr>
              <w:t xml:space="preserve"> </w:t>
            </w:r>
            <w:r w:rsidRPr="0053423A">
              <w:rPr>
                <w:rFonts w:eastAsia="Calibri" w:cs="Sylfaen"/>
                <w:sz w:val="20"/>
                <w:szCs w:val="20"/>
                <w:lang w:val="en-GB"/>
              </w:rPr>
              <w:t>նպատակն</w:t>
            </w:r>
            <w:r w:rsidRPr="0053423A">
              <w:rPr>
                <w:rFonts w:eastAsia="Calibri" w:cs="Sylfaen"/>
                <w:sz w:val="20"/>
                <w:szCs w:val="20"/>
                <w:lang w:val="et-EE"/>
              </w:rPr>
              <w:t xml:space="preserve"> </w:t>
            </w:r>
            <w:r w:rsidRPr="0053423A">
              <w:rPr>
                <w:rFonts w:eastAsia="Calibri" w:cs="Sylfaen"/>
                <w:sz w:val="20"/>
                <w:szCs w:val="20"/>
                <w:lang w:val="en-GB"/>
              </w:rPr>
              <w:t>է</w:t>
            </w:r>
            <w:r w:rsidRPr="0053423A">
              <w:rPr>
                <w:rFonts w:eastAsia="Calibri" w:cs="Sylfaen"/>
                <w:sz w:val="20"/>
                <w:szCs w:val="20"/>
                <w:lang w:val="et-EE"/>
              </w:rPr>
              <w:t xml:space="preserve"> </w:t>
            </w:r>
            <w:r w:rsidRPr="0053423A">
              <w:rPr>
                <w:rFonts w:eastAsia="Calibri" w:cs="Sylfaen"/>
                <w:sz w:val="20"/>
                <w:szCs w:val="20"/>
                <w:lang w:val="en-GB"/>
              </w:rPr>
              <w:t>ուսումնական</w:t>
            </w:r>
            <w:r w:rsidRPr="0053423A">
              <w:rPr>
                <w:rFonts w:eastAsia="Calibri" w:cs="Sylfaen"/>
                <w:sz w:val="20"/>
                <w:szCs w:val="20"/>
                <w:lang w:val="et-EE"/>
              </w:rPr>
              <w:t xml:space="preserve"> </w:t>
            </w:r>
            <w:r w:rsidRPr="0053423A">
              <w:rPr>
                <w:rFonts w:eastAsia="Calibri" w:cs="Sylfaen"/>
                <w:sz w:val="20"/>
                <w:szCs w:val="20"/>
                <w:lang w:val="en-GB"/>
              </w:rPr>
              <w:t>հաստատությունների</w:t>
            </w:r>
            <w:r w:rsidRPr="0053423A">
              <w:rPr>
                <w:rFonts w:eastAsia="Calibri" w:cs="Sylfaen"/>
                <w:sz w:val="20"/>
                <w:szCs w:val="20"/>
                <w:lang w:val="et-EE"/>
              </w:rPr>
              <w:t xml:space="preserve"> </w:t>
            </w:r>
            <w:r w:rsidRPr="0053423A">
              <w:rPr>
                <w:rFonts w:eastAsia="Calibri" w:cs="Sylfaen"/>
                <w:sz w:val="20"/>
                <w:szCs w:val="20"/>
                <w:lang w:val="en-GB"/>
              </w:rPr>
              <w:t>շենքային</w:t>
            </w:r>
            <w:r w:rsidRPr="0053423A">
              <w:rPr>
                <w:rFonts w:eastAsia="Calibri" w:cs="Sylfaen"/>
                <w:sz w:val="20"/>
                <w:szCs w:val="20"/>
                <w:lang w:val="et-EE"/>
              </w:rPr>
              <w:t xml:space="preserve"> </w:t>
            </w:r>
            <w:r w:rsidRPr="0053423A">
              <w:rPr>
                <w:rFonts w:eastAsia="Calibri" w:cs="Sylfaen"/>
                <w:sz w:val="20"/>
                <w:szCs w:val="20"/>
                <w:lang w:val="en-GB"/>
              </w:rPr>
              <w:t>պայմանների</w:t>
            </w:r>
            <w:r w:rsidRPr="0053423A">
              <w:rPr>
                <w:rFonts w:eastAsia="Calibri" w:cs="Sylfaen"/>
                <w:sz w:val="20"/>
                <w:szCs w:val="20"/>
                <w:lang w:val="et-EE"/>
              </w:rPr>
              <w:t xml:space="preserve"> </w:t>
            </w:r>
            <w:r w:rsidRPr="0053423A">
              <w:rPr>
                <w:rFonts w:eastAsia="Calibri" w:cs="Sylfaen"/>
                <w:sz w:val="20"/>
                <w:szCs w:val="20"/>
                <w:lang w:val="en-GB"/>
              </w:rPr>
              <w:t>բարելավումը</w:t>
            </w:r>
            <w:r w:rsidRPr="0053423A">
              <w:rPr>
                <w:rFonts w:eastAsia="Calibri" w:cs="Sylfaen"/>
                <w:sz w:val="20"/>
                <w:szCs w:val="20"/>
                <w:lang w:val="et-EE"/>
              </w:rPr>
              <w:t xml:space="preserve"> </w:t>
            </w:r>
            <w:r w:rsidRPr="0053423A">
              <w:rPr>
                <w:rFonts w:eastAsia="Calibri" w:cs="Sylfaen"/>
                <w:sz w:val="20"/>
                <w:szCs w:val="20"/>
                <w:lang w:val="en-GB"/>
              </w:rPr>
              <w:t>և</w:t>
            </w:r>
            <w:r w:rsidRPr="0053423A">
              <w:rPr>
                <w:rFonts w:eastAsia="Calibri" w:cs="Sylfaen"/>
                <w:sz w:val="20"/>
                <w:szCs w:val="20"/>
                <w:lang w:val="et-EE"/>
              </w:rPr>
              <w:t xml:space="preserve"> </w:t>
            </w:r>
            <w:r w:rsidRPr="0053423A">
              <w:rPr>
                <w:rFonts w:eastAsia="Calibri" w:cs="Sylfaen"/>
                <w:sz w:val="20"/>
                <w:szCs w:val="20"/>
                <w:lang w:val="en-GB"/>
              </w:rPr>
              <w:t>սպառնացող</w:t>
            </w:r>
            <w:r w:rsidRPr="0053423A">
              <w:rPr>
                <w:rFonts w:eastAsia="Calibri" w:cs="Sylfaen"/>
                <w:sz w:val="20"/>
                <w:szCs w:val="20"/>
                <w:lang w:val="et-EE"/>
              </w:rPr>
              <w:t xml:space="preserve"> </w:t>
            </w:r>
            <w:r w:rsidRPr="0053423A">
              <w:rPr>
                <w:rFonts w:eastAsia="Calibri" w:cs="Sylfaen"/>
                <w:sz w:val="20"/>
                <w:szCs w:val="20"/>
                <w:lang w:val="en-GB"/>
              </w:rPr>
              <w:t>աղետների</w:t>
            </w:r>
            <w:r w:rsidRPr="0053423A">
              <w:rPr>
                <w:rFonts w:eastAsia="Calibri" w:cs="Sylfaen"/>
                <w:sz w:val="20"/>
                <w:szCs w:val="20"/>
                <w:lang w:val="et-EE"/>
              </w:rPr>
              <w:t xml:space="preserve"> </w:t>
            </w:r>
            <w:r w:rsidRPr="0053423A">
              <w:rPr>
                <w:rFonts w:eastAsia="Calibri" w:cs="Sylfaen"/>
                <w:sz w:val="20"/>
                <w:szCs w:val="20"/>
                <w:lang w:val="en-GB"/>
              </w:rPr>
              <w:t>ռիսկի</w:t>
            </w:r>
            <w:r w:rsidRPr="0053423A">
              <w:rPr>
                <w:rFonts w:eastAsia="Calibri" w:cs="Sylfaen"/>
                <w:sz w:val="20"/>
                <w:szCs w:val="20"/>
                <w:lang w:val="et-EE"/>
              </w:rPr>
              <w:t xml:space="preserve"> </w:t>
            </w:r>
            <w:r w:rsidRPr="0053423A">
              <w:rPr>
                <w:rFonts w:eastAsia="Calibri" w:cs="Sylfaen"/>
                <w:sz w:val="20"/>
                <w:szCs w:val="20"/>
                <w:lang w:val="en-GB"/>
              </w:rPr>
              <w:t>կառավարման</w:t>
            </w:r>
            <w:r w:rsidRPr="0053423A">
              <w:rPr>
                <w:rFonts w:eastAsia="Calibri" w:cs="Sylfaen"/>
                <w:sz w:val="20"/>
                <w:szCs w:val="20"/>
                <w:lang w:val="et-EE"/>
              </w:rPr>
              <w:t xml:space="preserve"> </w:t>
            </w:r>
            <w:r w:rsidRPr="0053423A">
              <w:rPr>
                <w:rFonts w:eastAsia="Calibri" w:cs="Sylfaen"/>
                <w:sz w:val="20"/>
                <w:szCs w:val="20"/>
                <w:lang w:val="en-GB"/>
              </w:rPr>
              <w:t>կարողությունների</w:t>
            </w:r>
            <w:r w:rsidRPr="0053423A">
              <w:rPr>
                <w:rFonts w:eastAsia="Calibri" w:cs="Sylfaen"/>
                <w:sz w:val="20"/>
                <w:szCs w:val="20"/>
                <w:lang w:val="et-EE"/>
              </w:rPr>
              <w:t xml:space="preserve"> </w:t>
            </w:r>
            <w:r w:rsidRPr="0053423A">
              <w:rPr>
                <w:rFonts w:eastAsia="Calibri" w:cs="Sylfaen"/>
                <w:sz w:val="20"/>
                <w:szCs w:val="20"/>
                <w:lang w:val="en-GB"/>
              </w:rPr>
              <w:t>հզորացումը</w:t>
            </w:r>
            <w:r w:rsidRPr="0053423A">
              <w:rPr>
                <w:rFonts w:eastAsia="Calibri" w:cs="Sylfaen"/>
                <w:sz w:val="20"/>
                <w:szCs w:val="20"/>
                <w:lang w:val="et-EE"/>
              </w:rPr>
              <w:t>:</w:t>
            </w:r>
          </w:p>
          <w:p w:rsidR="00154773" w:rsidRPr="0053423A" w:rsidRDefault="00154773" w:rsidP="00154773">
            <w:pPr>
              <w:tabs>
                <w:tab w:val="left" w:pos="450"/>
              </w:tabs>
              <w:contextualSpacing/>
              <w:jc w:val="both"/>
              <w:rPr>
                <w:rFonts w:cs="Sylfaen"/>
                <w:sz w:val="20"/>
                <w:szCs w:val="20"/>
                <w:lang w:val="et-EE"/>
              </w:rPr>
            </w:pPr>
            <w:r w:rsidRPr="0053423A">
              <w:rPr>
                <w:spacing w:val="-4"/>
                <w:sz w:val="20"/>
                <w:szCs w:val="20"/>
                <w:lang w:val="et-EE"/>
              </w:rPr>
              <w:tab/>
            </w:r>
            <w:r w:rsidRPr="0053423A">
              <w:rPr>
                <w:spacing w:val="-4"/>
                <w:sz w:val="20"/>
                <w:szCs w:val="20"/>
              </w:rPr>
              <w:t>Միջոցառման</w:t>
            </w:r>
            <w:r w:rsidRPr="0053423A">
              <w:rPr>
                <w:spacing w:val="-4"/>
                <w:sz w:val="20"/>
                <w:szCs w:val="20"/>
                <w:lang w:val="et-EE"/>
              </w:rPr>
              <w:t xml:space="preserve"> </w:t>
            </w:r>
            <w:r w:rsidRPr="0053423A">
              <w:rPr>
                <w:spacing w:val="-4"/>
                <w:sz w:val="20"/>
                <w:szCs w:val="20"/>
              </w:rPr>
              <w:t>անհրաժեշտությունը</w:t>
            </w:r>
            <w:r w:rsidRPr="0053423A">
              <w:rPr>
                <w:spacing w:val="-4"/>
                <w:sz w:val="20"/>
                <w:szCs w:val="20"/>
                <w:lang w:val="et-EE"/>
              </w:rPr>
              <w:t xml:space="preserve"> </w:t>
            </w:r>
            <w:r w:rsidRPr="0053423A">
              <w:rPr>
                <w:spacing w:val="-4"/>
                <w:sz w:val="20"/>
                <w:szCs w:val="20"/>
              </w:rPr>
              <w:t>բխում</w:t>
            </w:r>
            <w:r w:rsidRPr="0053423A">
              <w:rPr>
                <w:spacing w:val="-4"/>
                <w:sz w:val="20"/>
                <w:szCs w:val="20"/>
                <w:lang w:val="et-EE"/>
              </w:rPr>
              <w:t xml:space="preserve"> </w:t>
            </w:r>
            <w:r w:rsidRPr="0053423A">
              <w:rPr>
                <w:spacing w:val="-4"/>
                <w:sz w:val="20"/>
                <w:szCs w:val="20"/>
              </w:rPr>
              <w:t>է</w:t>
            </w:r>
            <w:r w:rsidRPr="0053423A">
              <w:rPr>
                <w:spacing w:val="-4"/>
                <w:sz w:val="20"/>
                <w:szCs w:val="20"/>
                <w:lang w:val="et-EE"/>
              </w:rPr>
              <w:t xml:space="preserve"> </w:t>
            </w:r>
            <w:r w:rsidRPr="0053423A">
              <w:rPr>
                <w:spacing w:val="-4"/>
                <w:sz w:val="20"/>
                <w:szCs w:val="20"/>
              </w:rPr>
              <w:t>ՀՀ</w:t>
            </w:r>
            <w:r w:rsidRPr="0053423A">
              <w:rPr>
                <w:spacing w:val="-4"/>
                <w:sz w:val="20"/>
                <w:szCs w:val="20"/>
                <w:lang w:val="et-EE"/>
              </w:rPr>
              <w:t xml:space="preserve"> </w:t>
            </w:r>
            <w:r w:rsidRPr="0053423A">
              <w:rPr>
                <w:spacing w:val="-4"/>
                <w:sz w:val="20"/>
                <w:szCs w:val="20"/>
              </w:rPr>
              <w:t>ԱԺ</w:t>
            </w:r>
            <w:r w:rsidRPr="0053423A">
              <w:rPr>
                <w:spacing w:val="-4"/>
                <w:sz w:val="20"/>
                <w:szCs w:val="20"/>
                <w:lang w:val="et-EE"/>
              </w:rPr>
              <w:t xml:space="preserve"> 2019 </w:t>
            </w:r>
            <w:r w:rsidRPr="0053423A">
              <w:rPr>
                <w:spacing w:val="-4"/>
                <w:sz w:val="20"/>
                <w:szCs w:val="20"/>
              </w:rPr>
              <w:t>թվականի</w:t>
            </w:r>
            <w:r w:rsidRPr="0053423A">
              <w:rPr>
                <w:spacing w:val="-4"/>
                <w:sz w:val="20"/>
                <w:szCs w:val="20"/>
                <w:lang w:val="et-EE"/>
              </w:rPr>
              <w:t xml:space="preserve"> </w:t>
            </w:r>
            <w:r w:rsidRPr="0053423A">
              <w:rPr>
                <w:spacing w:val="-4"/>
                <w:sz w:val="20"/>
                <w:szCs w:val="20"/>
              </w:rPr>
              <w:t>փետրվարի</w:t>
            </w:r>
            <w:r w:rsidRPr="0053423A">
              <w:rPr>
                <w:spacing w:val="-4"/>
                <w:sz w:val="20"/>
                <w:szCs w:val="20"/>
                <w:lang w:val="et-EE"/>
              </w:rPr>
              <w:t xml:space="preserve"> 14-</w:t>
            </w:r>
            <w:r w:rsidRPr="0053423A">
              <w:rPr>
                <w:spacing w:val="-4"/>
                <w:sz w:val="20"/>
                <w:szCs w:val="20"/>
              </w:rPr>
              <w:t>ի</w:t>
            </w:r>
            <w:r w:rsidRPr="0053423A">
              <w:rPr>
                <w:spacing w:val="-4"/>
                <w:sz w:val="20"/>
                <w:szCs w:val="20"/>
                <w:lang w:val="et-EE"/>
              </w:rPr>
              <w:t xml:space="preserve"> </w:t>
            </w:r>
            <w:r w:rsidRPr="0053423A">
              <w:rPr>
                <w:spacing w:val="-4"/>
                <w:sz w:val="20"/>
                <w:szCs w:val="20"/>
              </w:rPr>
              <w:t>ԱԺՈ</w:t>
            </w:r>
            <w:r w:rsidRPr="0053423A">
              <w:rPr>
                <w:spacing w:val="-4"/>
                <w:sz w:val="20"/>
                <w:szCs w:val="20"/>
                <w:lang w:val="et-EE"/>
              </w:rPr>
              <w:t>-002-</w:t>
            </w:r>
            <w:r w:rsidRPr="0053423A">
              <w:rPr>
                <w:spacing w:val="-4"/>
                <w:sz w:val="20"/>
                <w:szCs w:val="20"/>
              </w:rPr>
              <w:t>Ն</w:t>
            </w:r>
            <w:r w:rsidRPr="0053423A">
              <w:rPr>
                <w:spacing w:val="-4"/>
                <w:sz w:val="20"/>
                <w:szCs w:val="20"/>
                <w:lang w:val="et-EE"/>
              </w:rPr>
              <w:t xml:space="preserve"> </w:t>
            </w:r>
            <w:r w:rsidRPr="0053423A">
              <w:rPr>
                <w:spacing w:val="-4"/>
                <w:sz w:val="20"/>
                <w:szCs w:val="20"/>
              </w:rPr>
              <w:t>որոշմամբ</w:t>
            </w:r>
            <w:r w:rsidRPr="0053423A">
              <w:rPr>
                <w:spacing w:val="-4"/>
                <w:sz w:val="20"/>
                <w:szCs w:val="20"/>
                <w:lang w:val="et-EE"/>
              </w:rPr>
              <w:t xml:space="preserve"> </w:t>
            </w:r>
            <w:r w:rsidRPr="0053423A">
              <w:rPr>
                <w:spacing w:val="-4"/>
                <w:sz w:val="20"/>
                <w:szCs w:val="20"/>
              </w:rPr>
              <w:t>հավանության</w:t>
            </w:r>
            <w:r w:rsidRPr="0053423A">
              <w:rPr>
                <w:spacing w:val="-4"/>
                <w:sz w:val="20"/>
                <w:szCs w:val="20"/>
                <w:lang w:val="et-EE"/>
              </w:rPr>
              <w:t xml:space="preserve"> </w:t>
            </w:r>
            <w:r w:rsidRPr="0053423A">
              <w:rPr>
                <w:spacing w:val="-4"/>
                <w:sz w:val="20"/>
                <w:szCs w:val="20"/>
              </w:rPr>
              <w:t>արժանացած</w:t>
            </w:r>
            <w:r w:rsidRPr="0053423A">
              <w:rPr>
                <w:spacing w:val="-4"/>
                <w:sz w:val="20"/>
                <w:szCs w:val="20"/>
                <w:lang w:val="et-EE"/>
              </w:rPr>
              <w:t xml:space="preserve"> </w:t>
            </w:r>
            <w:r w:rsidRPr="0053423A">
              <w:rPr>
                <w:spacing w:val="-4"/>
                <w:sz w:val="20"/>
                <w:szCs w:val="20"/>
              </w:rPr>
              <w:t>ՀՀ</w:t>
            </w:r>
            <w:r w:rsidRPr="0053423A">
              <w:rPr>
                <w:spacing w:val="-4"/>
                <w:sz w:val="20"/>
                <w:szCs w:val="20"/>
                <w:lang w:val="et-EE"/>
              </w:rPr>
              <w:t xml:space="preserve"> </w:t>
            </w:r>
            <w:r w:rsidRPr="0053423A">
              <w:rPr>
                <w:spacing w:val="-4"/>
                <w:sz w:val="20"/>
                <w:szCs w:val="20"/>
              </w:rPr>
              <w:t>կառավարության</w:t>
            </w:r>
            <w:r w:rsidRPr="0053423A">
              <w:rPr>
                <w:spacing w:val="-4"/>
                <w:sz w:val="20"/>
                <w:szCs w:val="20"/>
                <w:lang w:val="et-EE"/>
              </w:rPr>
              <w:t xml:space="preserve"> </w:t>
            </w:r>
            <w:r w:rsidRPr="0053423A">
              <w:rPr>
                <w:spacing w:val="-4"/>
                <w:sz w:val="20"/>
                <w:szCs w:val="20"/>
              </w:rPr>
              <w:t>ծրագրի</w:t>
            </w:r>
            <w:r w:rsidRPr="0053423A">
              <w:rPr>
                <w:spacing w:val="-4"/>
                <w:sz w:val="20"/>
                <w:szCs w:val="20"/>
                <w:lang w:val="et-EE"/>
              </w:rPr>
              <w:t xml:space="preserve"> </w:t>
            </w:r>
            <w:r w:rsidRPr="0053423A">
              <w:rPr>
                <w:rFonts w:eastAsia="Times New Roman" w:cs="Times New Roman"/>
                <w:sz w:val="20"/>
                <w:szCs w:val="20"/>
                <w:lang w:val="et-EE"/>
              </w:rPr>
              <w:t>«</w:t>
            </w:r>
            <w:r w:rsidRPr="0053423A">
              <w:rPr>
                <w:spacing w:val="-4"/>
                <w:sz w:val="20"/>
                <w:szCs w:val="20"/>
                <w:lang w:val="et-EE"/>
              </w:rPr>
              <w:t xml:space="preserve">4.4 </w:t>
            </w:r>
            <w:r w:rsidRPr="0053423A">
              <w:rPr>
                <w:spacing w:val="-4"/>
                <w:sz w:val="20"/>
                <w:szCs w:val="20"/>
              </w:rPr>
              <w:t>ԿՐԹՈՒԹՅՈՒՆ</w:t>
            </w:r>
            <w:r w:rsidRPr="0053423A">
              <w:rPr>
                <w:spacing w:val="-4"/>
                <w:sz w:val="20"/>
                <w:szCs w:val="20"/>
                <w:lang w:val="et-EE"/>
              </w:rPr>
              <w:t xml:space="preserve"> </w:t>
            </w:r>
            <w:r w:rsidRPr="0053423A">
              <w:rPr>
                <w:spacing w:val="-4"/>
                <w:sz w:val="20"/>
                <w:szCs w:val="20"/>
              </w:rPr>
              <w:t>ԵՎ</w:t>
            </w:r>
            <w:r w:rsidRPr="0053423A">
              <w:rPr>
                <w:spacing w:val="-4"/>
                <w:sz w:val="20"/>
                <w:szCs w:val="20"/>
                <w:lang w:val="et-EE"/>
              </w:rPr>
              <w:t xml:space="preserve"> </w:t>
            </w:r>
            <w:r w:rsidRPr="0053423A">
              <w:rPr>
                <w:spacing w:val="-4"/>
                <w:sz w:val="20"/>
                <w:szCs w:val="20"/>
              </w:rPr>
              <w:t>ԳԻՏՈՒԹՅՈՒՆ</w:t>
            </w:r>
            <w:r w:rsidRPr="0053423A">
              <w:rPr>
                <w:rFonts w:eastAsia="Times New Roman" w:cs="Times New Roman"/>
                <w:sz w:val="20"/>
                <w:szCs w:val="20"/>
                <w:lang w:val="et-EE"/>
              </w:rPr>
              <w:t xml:space="preserve">»  </w:t>
            </w:r>
            <w:r w:rsidRPr="0053423A">
              <w:rPr>
                <w:rFonts w:eastAsia="Calibri" w:cs="Sylfaen"/>
                <w:sz w:val="20"/>
                <w:szCs w:val="20"/>
                <w:lang w:val="hy-AM"/>
              </w:rPr>
              <w:t>բաժնի</w:t>
            </w:r>
            <w:r w:rsidRPr="0053423A">
              <w:rPr>
                <w:rFonts w:eastAsia="Calibri" w:cs="Sylfaen"/>
                <w:sz w:val="20"/>
                <w:szCs w:val="20"/>
                <w:lang w:val="et-EE"/>
              </w:rPr>
              <w:t xml:space="preserve"> </w:t>
            </w:r>
            <w:r w:rsidRPr="0053423A">
              <w:rPr>
                <w:rFonts w:eastAsia="Calibri" w:cs="Arian AMU"/>
                <w:sz w:val="20"/>
                <w:szCs w:val="20"/>
                <w:lang w:val="et-EE"/>
              </w:rPr>
              <w:t>2-</w:t>
            </w:r>
            <w:r w:rsidRPr="0053423A">
              <w:rPr>
                <w:rFonts w:eastAsia="Calibri" w:cs="Arian AMU"/>
                <w:sz w:val="20"/>
                <w:szCs w:val="20"/>
              </w:rPr>
              <w:t>րդ</w:t>
            </w:r>
            <w:r w:rsidRPr="0053423A">
              <w:rPr>
                <w:rFonts w:eastAsia="Calibri" w:cs="Arian AMU"/>
                <w:sz w:val="20"/>
                <w:szCs w:val="20"/>
                <w:lang w:val="et-EE"/>
              </w:rPr>
              <w:t xml:space="preserve"> </w:t>
            </w:r>
            <w:r w:rsidRPr="0053423A">
              <w:rPr>
                <w:rFonts w:eastAsia="Calibri" w:cs="Arian AMU"/>
                <w:sz w:val="20"/>
                <w:szCs w:val="20"/>
              </w:rPr>
              <w:t>պարբերությունից</w:t>
            </w:r>
            <w:r w:rsidRPr="0053423A">
              <w:rPr>
                <w:rFonts w:eastAsia="Calibri" w:cs="Arian AMU"/>
                <w:sz w:val="20"/>
                <w:szCs w:val="20"/>
                <w:lang w:val="et-EE"/>
              </w:rPr>
              <w:t>:</w:t>
            </w:r>
          </w:p>
          <w:p w:rsidR="00154773" w:rsidRPr="0053423A" w:rsidRDefault="00154773" w:rsidP="00154773">
            <w:pPr>
              <w:tabs>
                <w:tab w:val="left" w:pos="450"/>
              </w:tabs>
              <w:contextualSpacing/>
              <w:jc w:val="both"/>
              <w:rPr>
                <w:rFonts w:cs="Sylfaen"/>
                <w:sz w:val="20"/>
                <w:szCs w:val="20"/>
                <w:lang w:val="et-EE"/>
              </w:rPr>
            </w:pPr>
            <w:r w:rsidRPr="0053423A">
              <w:rPr>
                <w:rFonts w:eastAsia="Calibri" w:cs="Arian AMU"/>
                <w:sz w:val="20"/>
                <w:szCs w:val="20"/>
                <w:lang w:val="et-EE"/>
              </w:rPr>
              <w:tab/>
            </w:r>
            <w:r w:rsidRPr="0053423A">
              <w:rPr>
                <w:rFonts w:eastAsia="Calibri" w:cs="Arian AMU"/>
                <w:sz w:val="20"/>
                <w:szCs w:val="20"/>
              </w:rPr>
              <w:t>Ծրագրի</w:t>
            </w:r>
            <w:r w:rsidRPr="0053423A">
              <w:rPr>
                <w:rFonts w:eastAsia="Calibri" w:cs="Arian AMU"/>
                <w:sz w:val="20"/>
                <w:szCs w:val="20"/>
                <w:lang w:val="et-EE"/>
              </w:rPr>
              <w:t xml:space="preserve"> </w:t>
            </w:r>
            <w:r w:rsidRPr="0053423A">
              <w:rPr>
                <w:rFonts w:eastAsia="Calibri" w:cs="Arian AMU"/>
                <w:sz w:val="20"/>
                <w:szCs w:val="20"/>
              </w:rPr>
              <w:t>նպատակն</w:t>
            </w:r>
            <w:r w:rsidRPr="0053423A">
              <w:rPr>
                <w:rFonts w:eastAsia="Calibri" w:cs="Arian AMU"/>
                <w:sz w:val="20"/>
                <w:szCs w:val="20"/>
                <w:lang w:val="et-EE"/>
              </w:rPr>
              <w:t xml:space="preserve"> </w:t>
            </w:r>
            <w:r w:rsidRPr="0053423A">
              <w:rPr>
                <w:rFonts w:eastAsia="Calibri" w:cs="Arian AMU"/>
                <w:sz w:val="20"/>
                <w:szCs w:val="20"/>
              </w:rPr>
              <w:t>է</w:t>
            </w:r>
            <w:r w:rsidRPr="0053423A">
              <w:rPr>
                <w:rFonts w:eastAsia="Calibri" w:cs="Arian AMU"/>
                <w:sz w:val="20"/>
                <w:szCs w:val="20"/>
                <w:lang w:val="et-EE"/>
              </w:rPr>
              <w:t xml:space="preserve"> </w:t>
            </w:r>
            <w:r w:rsidRPr="0053423A">
              <w:rPr>
                <w:rFonts w:eastAsia="Calibri" w:cs="Arian AMU"/>
                <w:sz w:val="20"/>
                <w:szCs w:val="20"/>
              </w:rPr>
              <w:t>գյուղական</w:t>
            </w:r>
            <w:r w:rsidRPr="0053423A">
              <w:rPr>
                <w:rFonts w:eastAsia="Calibri" w:cs="Arian AMU"/>
                <w:sz w:val="20"/>
                <w:szCs w:val="20"/>
                <w:lang w:val="et-EE"/>
              </w:rPr>
              <w:t xml:space="preserve"> </w:t>
            </w:r>
            <w:r w:rsidRPr="0053423A">
              <w:rPr>
                <w:rFonts w:eastAsia="Calibri" w:cs="Arian AMU"/>
                <w:sz w:val="20"/>
                <w:szCs w:val="20"/>
              </w:rPr>
              <w:t>համայնքի</w:t>
            </w:r>
            <w:r w:rsidRPr="0053423A">
              <w:rPr>
                <w:rFonts w:eastAsia="Calibri" w:cs="Arian AMU"/>
                <w:sz w:val="20"/>
                <w:szCs w:val="20"/>
                <w:lang w:val="et-EE"/>
              </w:rPr>
              <w:t xml:space="preserve"> </w:t>
            </w:r>
            <w:r w:rsidRPr="0053423A">
              <w:rPr>
                <w:rFonts w:eastAsia="Calibri" w:cs="Arian AMU"/>
                <w:sz w:val="20"/>
                <w:szCs w:val="20"/>
              </w:rPr>
              <w:t>փոքրաթիվ</w:t>
            </w:r>
            <w:r w:rsidRPr="0053423A">
              <w:rPr>
                <w:rFonts w:eastAsia="Calibri" w:cs="Arian AMU"/>
                <w:sz w:val="20"/>
                <w:szCs w:val="20"/>
                <w:lang w:val="et-EE"/>
              </w:rPr>
              <w:t xml:space="preserve"> </w:t>
            </w:r>
            <w:r w:rsidRPr="0053423A">
              <w:rPr>
                <w:rFonts w:eastAsia="Calibri" w:cs="Arian AMU"/>
                <w:sz w:val="20"/>
                <w:szCs w:val="20"/>
              </w:rPr>
              <w:t>դպրոցները</w:t>
            </w:r>
            <w:r w:rsidRPr="0053423A">
              <w:rPr>
                <w:rFonts w:eastAsia="Calibri" w:cs="Arian AMU"/>
                <w:sz w:val="20"/>
                <w:szCs w:val="20"/>
                <w:lang w:val="et-EE"/>
              </w:rPr>
              <w:t xml:space="preserve"> </w:t>
            </w:r>
            <w:r w:rsidRPr="0053423A">
              <w:rPr>
                <w:rFonts w:eastAsia="Calibri" w:cs="Arian AMU"/>
                <w:sz w:val="20"/>
                <w:szCs w:val="20"/>
              </w:rPr>
              <w:t>վերածել</w:t>
            </w:r>
            <w:r w:rsidRPr="0053423A">
              <w:rPr>
                <w:rFonts w:eastAsia="Calibri" w:cs="Arian AMU"/>
                <w:sz w:val="20"/>
                <w:szCs w:val="20"/>
                <w:lang w:val="et-EE"/>
              </w:rPr>
              <w:t xml:space="preserve"> </w:t>
            </w:r>
            <w:r w:rsidRPr="0053423A">
              <w:rPr>
                <w:rFonts w:eastAsia="Calibri" w:cs="Arian AMU"/>
                <w:sz w:val="20"/>
                <w:szCs w:val="20"/>
              </w:rPr>
              <w:t>կրթամշակութային</w:t>
            </w:r>
            <w:r w:rsidRPr="0053423A">
              <w:rPr>
                <w:rFonts w:eastAsia="Calibri" w:cs="Arian AMU"/>
                <w:sz w:val="20"/>
                <w:szCs w:val="20"/>
                <w:lang w:val="et-EE"/>
              </w:rPr>
              <w:t xml:space="preserve"> </w:t>
            </w:r>
            <w:r w:rsidRPr="0053423A">
              <w:rPr>
                <w:rFonts w:eastAsia="Calibri" w:cs="Arian AMU"/>
                <w:sz w:val="20"/>
                <w:szCs w:val="20"/>
              </w:rPr>
              <w:t>կենտրոնների</w:t>
            </w:r>
            <w:r w:rsidRPr="0053423A">
              <w:rPr>
                <w:rFonts w:eastAsia="Calibri" w:cs="Arian AMU"/>
                <w:sz w:val="20"/>
                <w:szCs w:val="20"/>
                <w:lang w:val="et-EE"/>
              </w:rPr>
              <w:t>,</w:t>
            </w:r>
            <w:r w:rsidRPr="0053423A">
              <w:rPr>
                <w:rFonts w:cs="Sylfaen"/>
                <w:sz w:val="20"/>
                <w:szCs w:val="20"/>
                <w:lang w:val="et-EE"/>
              </w:rPr>
              <w:t xml:space="preserve"> </w:t>
            </w:r>
            <w:r w:rsidRPr="0053423A">
              <w:rPr>
                <w:rFonts w:cs="Sylfaen"/>
                <w:sz w:val="20"/>
                <w:szCs w:val="20"/>
              </w:rPr>
              <w:t>որը</w:t>
            </w:r>
            <w:r w:rsidRPr="0053423A">
              <w:rPr>
                <w:sz w:val="20"/>
                <w:szCs w:val="20"/>
                <w:lang w:val="et-EE"/>
              </w:rPr>
              <w:t xml:space="preserve"> </w:t>
            </w:r>
            <w:r w:rsidRPr="0053423A">
              <w:rPr>
                <w:rFonts w:cs="Sylfaen"/>
                <w:sz w:val="20"/>
                <w:szCs w:val="20"/>
              </w:rPr>
              <w:t>հնարավորություն</w:t>
            </w:r>
            <w:r w:rsidRPr="0053423A">
              <w:rPr>
                <w:sz w:val="20"/>
                <w:szCs w:val="20"/>
                <w:lang w:val="et-EE"/>
              </w:rPr>
              <w:t xml:space="preserve"> </w:t>
            </w:r>
            <w:r w:rsidRPr="0053423A">
              <w:rPr>
                <w:rFonts w:cs="Sylfaen"/>
                <w:sz w:val="20"/>
                <w:szCs w:val="20"/>
              </w:rPr>
              <w:t>կտա</w:t>
            </w:r>
            <w:r w:rsidRPr="0053423A">
              <w:rPr>
                <w:sz w:val="20"/>
                <w:szCs w:val="20"/>
                <w:lang w:val="et-EE"/>
              </w:rPr>
              <w:t xml:space="preserve"> </w:t>
            </w:r>
            <w:r w:rsidRPr="0053423A">
              <w:rPr>
                <w:rFonts w:cs="Sylfaen"/>
                <w:sz w:val="20"/>
                <w:szCs w:val="20"/>
              </w:rPr>
              <w:t>գյուղական</w:t>
            </w:r>
            <w:r w:rsidRPr="0053423A">
              <w:rPr>
                <w:sz w:val="20"/>
                <w:szCs w:val="20"/>
                <w:lang w:val="et-EE"/>
              </w:rPr>
              <w:t xml:space="preserve"> </w:t>
            </w:r>
            <w:r w:rsidRPr="0053423A">
              <w:rPr>
                <w:rFonts w:cs="Sylfaen"/>
                <w:sz w:val="20"/>
                <w:szCs w:val="20"/>
              </w:rPr>
              <w:t>համայնքներում</w:t>
            </w:r>
            <w:r w:rsidRPr="0053423A">
              <w:rPr>
                <w:sz w:val="20"/>
                <w:szCs w:val="20"/>
                <w:lang w:val="et-EE"/>
              </w:rPr>
              <w:t xml:space="preserve"> </w:t>
            </w:r>
            <w:r w:rsidRPr="0053423A">
              <w:rPr>
                <w:rFonts w:cs="Sylfaen"/>
                <w:sz w:val="20"/>
                <w:szCs w:val="20"/>
              </w:rPr>
              <w:t>միաժամանակ</w:t>
            </w:r>
            <w:r w:rsidRPr="0053423A">
              <w:rPr>
                <w:sz w:val="20"/>
                <w:szCs w:val="20"/>
                <w:lang w:val="et-EE"/>
              </w:rPr>
              <w:t xml:space="preserve"> </w:t>
            </w:r>
            <w:r w:rsidRPr="0053423A">
              <w:rPr>
                <w:rFonts w:cs="Sylfaen"/>
                <w:sz w:val="20"/>
                <w:szCs w:val="20"/>
              </w:rPr>
              <w:t>մեկտեղել</w:t>
            </w:r>
            <w:r w:rsidRPr="0053423A">
              <w:rPr>
                <w:sz w:val="20"/>
                <w:szCs w:val="20"/>
                <w:lang w:val="et-EE"/>
              </w:rPr>
              <w:t xml:space="preserve"> </w:t>
            </w:r>
            <w:r w:rsidRPr="0053423A">
              <w:rPr>
                <w:rFonts w:cs="Sylfaen"/>
                <w:sz w:val="20"/>
                <w:szCs w:val="20"/>
              </w:rPr>
              <w:t>նախակրթարանի</w:t>
            </w:r>
            <w:r w:rsidRPr="0053423A">
              <w:rPr>
                <w:sz w:val="20"/>
                <w:szCs w:val="20"/>
                <w:lang w:val="et-EE"/>
              </w:rPr>
              <w:t xml:space="preserve">, </w:t>
            </w:r>
            <w:r w:rsidRPr="0053423A">
              <w:rPr>
                <w:rFonts w:cs="Sylfaen"/>
                <w:sz w:val="20"/>
                <w:szCs w:val="20"/>
              </w:rPr>
              <w:t>դպրոցի</w:t>
            </w:r>
            <w:r w:rsidRPr="0053423A">
              <w:rPr>
                <w:sz w:val="20"/>
                <w:szCs w:val="20"/>
                <w:lang w:val="et-EE"/>
              </w:rPr>
              <w:t xml:space="preserve"> </w:t>
            </w:r>
            <w:r w:rsidRPr="0053423A">
              <w:rPr>
                <w:rFonts w:cs="Sylfaen"/>
                <w:sz w:val="20"/>
                <w:szCs w:val="20"/>
              </w:rPr>
              <w:t>և</w:t>
            </w:r>
            <w:r w:rsidRPr="0053423A">
              <w:rPr>
                <w:sz w:val="20"/>
                <w:szCs w:val="20"/>
                <w:lang w:val="et-EE"/>
              </w:rPr>
              <w:t xml:space="preserve"> </w:t>
            </w:r>
            <w:r w:rsidRPr="0053423A">
              <w:rPr>
                <w:rFonts w:cs="Sylfaen"/>
                <w:sz w:val="20"/>
                <w:szCs w:val="20"/>
              </w:rPr>
              <w:t>մշակութային</w:t>
            </w:r>
            <w:r w:rsidRPr="0053423A">
              <w:rPr>
                <w:sz w:val="20"/>
                <w:szCs w:val="20"/>
                <w:lang w:val="et-EE"/>
              </w:rPr>
              <w:t xml:space="preserve"> </w:t>
            </w:r>
            <w:r w:rsidRPr="0053423A">
              <w:rPr>
                <w:rFonts w:cs="Sylfaen"/>
                <w:sz w:val="20"/>
                <w:szCs w:val="20"/>
              </w:rPr>
              <w:t>կենտրոնի</w:t>
            </w:r>
            <w:r w:rsidRPr="0053423A">
              <w:rPr>
                <w:sz w:val="20"/>
                <w:szCs w:val="20"/>
                <w:lang w:val="et-EE"/>
              </w:rPr>
              <w:t xml:space="preserve"> </w:t>
            </w:r>
            <w:r w:rsidRPr="0053423A">
              <w:rPr>
                <w:rFonts w:cs="Sylfaen"/>
                <w:sz w:val="20"/>
                <w:szCs w:val="20"/>
              </w:rPr>
              <w:t>գործառույթները</w:t>
            </w:r>
            <w:r w:rsidRPr="0053423A">
              <w:rPr>
                <w:rFonts w:cs="Sylfaen"/>
                <w:sz w:val="20"/>
                <w:szCs w:val="20"/>
                <w:lang w:val="et-EE"/>
              </w:rPr>
              <w:t xml:space="preserve">: </w:t>
            </w:r>
            <w:r w:rsidRPr="0053423A">
              <w:rPr>
                <w:rFonts w:cs="Sylfaen"/>
                <w:sz w:val="20"/>
                <w:szCs w:val="20"/>
              </w:rPr>
              <w:t>Միաժամանակ</w:t>
            </w:r>
            <w:r w:rsidRPr="0053423A">
              <w:rPr>
                <w:rFonts w:cs="Sylfaen"/>
                <w:sz w:val="20"/>
                <w:szCs w:val="20"/>
                <w:lang w:val="et-EE"/>
              </w:rPr>
              <w:t xml:space="preserve">, </w:t>
            </w:r>
            <w:r w:rsidRPr="0053423A">
              <w:rPr>
                <w:rFonts w:cs="Sylfaen"/>
                <w:sz w:val="20"/>
                <w:szCs w:val="20"/>
              </w:rPr>
              <w:t>ծրագիրը</w:t>
            </w:r>
            <w:r w:rsidRPr="0053423A">
              <w:rPr>
                <w:rFonts w:cs="Sylfaen"/>
                <w:sz w:val="20"/>
                <w:szCs w:val="20"/>
                <w:lang w:val="et-EE"/>
              </w:rPr>
              <w:t xml:space="preserve"> </w:t>
            </w:r>
            <w:r w:rsidRPr="0053423A">
              <w:rPr>
                <w:rFonts w:cs="Sylfaen"/>
                <w:sz w:val="20"/>
                <w:szCs w:val="20"/>
              </w:rPr>
              <w:t>կլուծի</w:t>
            </w:r>
            <w:r w:rsidRPr="0053423A">
              <w:rPr>
                <w:rFonts w:cs="Sylfaen"/>
                <w:sz w:val="20"/>
                <w:szCs w:val="20"/>
                <w:lang w:val="et-EE"/>
              </w:rPr>
              <w:t xml:space="preserve"> </w:t>
            </w:r>
            <w:r w:rsidRPr="0053423A">
              <w:rPr>
                <w:rFonts w:cs="Sylfaen"/>
                <w:sz w:val="20"/>
                <w:szCs w:val="20"/>
              </w:rPr>
              <w:t>գյուղական</w:t>
            </w:r>
            <w:r w:rsidRPr="0053423A">
              <w:rPr>
                <w:rFonts w:cs="Sylfaen"/>
                <w:sz w:val="20"/>
                <w:szCs w:val="20"/>
                <w:lang w:val="et-EE"/>
              </w:rPr>
              <w:t xml:space="preserve"> </w:t>
            </w:r>
            <w:r w:rsidRPr="0053423A">
              <w:rPr>
                <w:rFonts w:cs="Sylfaen"/>
                <w:sz w:val="20"/>
                <w:szCs w:val="20"/>
              </w:rPr>
              <w:t>համայնքների</w:t>
            </w:r>
            <w:r w:rsidRPr="0053423A">
              <w:rPr>
                <w:rFonts w:cs="Sylfaen"/>
                <w:sz w:val="20"/>
                <w:szCs w:val="20"/>
                <w:lang w:val="et-EE"/>
              </w:rPr>
              <w:t xml:space="preserve"> </w:t>
            </w:r>
            <w:r w:rsidRPr="0053423A">
              <w:rPr>
                <w:rFonts w:cs="Sylfaen"/>
                <w:sz w:val="20"/>
                <w:szCs w:val="20"/>
              </w:rPr>
              <w:t>փոքրաթիվ</w:t>
            </w:r>
            <w:r w:rsidRPr="0053423A">
              <w:rPr>
                <w:rFonts w:cs="Sylfaen"/>
                <w:sz w:val="20"/>
                <w:szCs w:val="20"/>
                <w:lang w:val="et-EE"/>
              </w:rPr>
              <w:t xml:space="preserve"> </w:t>
            </w:r>
            <w:r w:rsidRPr="0053423A">
              <w:rPr>
                <w:rFonts w:cs="Sylfaen"/>
                <w:sz w:val="20"/>
                <w:szCs w:val="20"/>
              </w:rPr>
              <w:t>դպրոցների</w:t>
            </w:r>
            <w:r w:rsidRPr="0053423A">
              <w:rPr>
                <w:rFonts w:cs="Sylfaen"/>
                <w:sz w:val="20"/>
                <w:szCs w:val="20"/>
                <w:lang w:val="et-EE"/>
              </w:rPr>
              <w:t xml:space="preserve"> </w:t>
            </w:r>
            <w:r w:rsidRPr="0053423A">
              <w:rPr>
                <w:rFonts w:cs="Sylfaen"/>
                <w:sz w:val="20"/>
                <w:szCs w:val="20"/>
              </w:rPr>
              <w:t>արդյունավետ</w:t>
            </w:r>
            <w:r w:rsidRPr="0053423A">
              <w:rPr>
                <w:rFonts w:cs="Sylfaen"/>
                <w:sz w:val="20"/>
                <w:szCs w:val="20"/>
                <w:lang w:val="et-EE"/>
              </w:rPr>
              <w:t xml:space="preserve"> </w:t>
            </w:r>
            <w:r w:rsidRPr="0053423A">
              <w:rPr>
                <w:rFonts w:cs="Sylfaen"/>
                <w:sz w:val="20"/>
                <w:szCs w:val="20"/>
              </w:rPr>
              <w:t>կառավարման</w:t>
            </w:r>
            <w:r w:rsidRPr="0053423A">
              <w:rPr>
                <w:rFonts w:cs="Sylfaen"/>
                <w:sz w:val="20"/>
                <w:szCs w:val="20"/>
                <w:lang w:val="et-EE"/>
              </w:rPr>
              <w:t xml:space="preserve"> </w:t>
            </w:r>
            <w:r w:rsidRPr="0053423A">
              <w:rPr>
                <w:rFonts w:cs="Sylfaen"/>
                <w:sz w:val="20"/>
                <w:szCs w:val="20"/>
              </w:rPr>
              <w:t>խնդիրը</w:t>
            </w:r>
            <w:r w:rsidRPr="0053423A">
              <w:rPr>
                <w:rFonts w:cs="Sylfaen"/>
                <w:sz w:val="20"/>
                <w:szCs w:val="20"/>
                <w:lang w:val="et-EE"/>
              </w:rPr>
              <w:t>:</w:t>
            </w:r>
          </w:p>
          <w:p w:rsidR="00154773" w:rsidRPr="0053423A" w:rsidRDefault="00154773" w:rsidP="00154773">
            <w:pPr>
              <w:tabs>
                <w:tab w:val="left" w:pos="450"/>
                <w:tab w:val="left" w:pos="2694"/>
              </w:tabs>
              <w:ind w:firstLine="180"/>
              <w:contextualSpacing/>
              <w:jc w:val="both"/>
              <w:rPr>
                <w:sz w:val="20"/>
                <w:szCs w:val="20"/>
                <w:lang w:val="et-EE"/>
              </w:rPr>
            </w:pPr>
          </w:p>
          <w:p w:rsidR="00154773" w:rsidRPr="0053423A" w:rsidRDefault="00154773" w:rsidP="001F6D5D">
            <w:pPr>
              <w:numPr>
                <w:ilvl w:val="1"/>
                <w:numId w:val="460"/>
              </w:numPr>
              <w:tabs>
                <w:tab w:val="left" w:pos="720"/>
                <w:tab w:val="left" w:pos="900"/>
              </w:tabs>
              <w:contextualSpacing/>
              <w:rPr>
                <w:b/>
                <w:sz w:val="20"/>
                <w:szCs w:val="20"/>
                <w:lang w:val="et-EE"/>
              </w:rPr>
            </w:pPr>
            <w:r w:rsidRPr="0053423A">
              <w:rPr>
                <w:rFonts w:cs="Sylfaen"/>
                <w:b/>
                <w:sz w:val="20"/>
                <w:szCs w:val="20"/>
              </w:rPr>
              <w:t>կ</w:t>
            </w:r>
            <w:r w:rsidRPr="0053423A">
              <w:rPr>
                <w:rFonts w:cs="Sylfaen"/>
                <w:b/>
                <w:sz w:val="20"/>
                <w:szCs w:val="20"/>
                <w:lang w:val="hy-AM"/>
              </w:rPr>
              <w:t>արգավորման</w:t>
            </w:r>
            <w:r w:rsidRPr="0053423A">
              <w:rPr>
                <w:b/>
                <w:sz w:val="20"/>
                <w:szCs w:val="20"/>
                <w:lang w:val="et-EE"/>
              </w:rPr>
              <w:t xml:space="preserve">  </w:t>
            </w:r>
            <w:r w:rsidRPr="0053423A">
              <w:rPr>
                <w:b/>
                <w:sz w:val="20"/>
                <w:szCs w:val="20"/>
                <w:lang w:val="hy-AM"/>
              </w:rPr>
              <w:t xml:space="preserve">հարաբերությունների </w:t>
            </w:r>
            <w:r w:rsidRPr="0053423A">
              <w:rPr>
                <w:b/>
                <w:sz w:val="20"/>
                <w:szCs w:val="20"/>
                <w:lang w:val="et-EE"/>
              </w:rPr>
              <w:t xml:space="preserve"> </w:t>
            </w:r>
            <w:r w:rsidRPr="0053423A">
              <w:rPr>
                <w:b/>
                <w:sz w:val="20"/>
                <w:szCs w:val="20"/>
                <w:lang w:val="hy-AM"/>
              </w:rPr>
              <w:t>ներկա</w:t>
            </w:r>
            <w:r w:rsidRPr="0053423A">
              <w:rPr>
                <w:b/>
                <w:sz w:val="20"/>
                <w:szCs w:val="20"/>
                <w:lang w:val="et-EE"/>
              </w:rPr>
              <w:t xml:space="preserve"> </w:t>
            </w:r>
            <w:r w:rsidRPr="0053423A">
              <w:rPr>
                <w:b/>
                <w:sz w:val="20"/>
                <w:szCs w:val="20"/>
                <w:lang w:val="hy-AM"/>
              </w:rPr>
              <w:t xml:space="preserve"> վիճակը </w:t>
            </w:r>
            <w:r w:rsidRPr="0053423A">
              <w:rPr>
                <w:b/>
                <w:sz w:val="20"/>
                <w:szCs w:val="20"/>
                <w:lang w:val="et-EE"/>
              </w:rPr>
              <w:t xml:space="preserve"> </w:t>
            </w:r>
            <w:r w:rsidRPr="0053423A">
              <w:rPr>
                <w:b/>
                <w:sz w:val="20"/>
                <w:szCs w:val="20"/>
                <w:lang w:val="hy-AM"/>
              </w:rPr>
              <w:t xml:space="preserve">և </w:t>
            </w:r>
            <w:r w:rsidRPr="0053423A">
              <w:rPr>
                <w:b/>
                <w:sz w:val="20"/>
                <w:szCs w:val="20"/>
                <w:lang w:val="et-EE"/>
              </w:rPr>
              <w:t xml:space="preserve"> </w:t>
            </w:r>
            <w:r w:rsidRPr="0053423A">
              <w:rPr>
                <w:b/>
                <w:sz w:val="20"/>
                <w:szCs w:val="20"/>
                <w:lang w:val="hy-AM"/>
              </w:rPr>
              <w:t>առկա</w:t>
            </w:r>
            <w:r w:rsidRPr="0053423A">
              <w:rPr>
                <w:b/>
                <w:sz w:val="20"/>
                <w:szCs w:val="20"/>
                <w:lang w:val="et-EE"/>
              </w:rPr>
              <w:t xml:space="preserve"> </w:t>
            </w:r>
            <w:r w:rsidRPr="0053423A">
              <w:rPr>
                <w:b/>
                <w:sz w:val="20"/>
                <w:szCs w:val="20"/>
                <w:lang w:val="hy-AM"/>
              </w:rPr>
              <w:t xml:space="preserve"> խնդիրները</w:t>
            </w:r>
          </w:p>
          <w:p w:rsidR="00154773" w:rsidRPr="0053423A" w:rsidRDefault="00154773" w:rsidP="00154773">
            <w:pPr>
              <w:tabs>
                <w:tab w:val="left" w:pos="720"/>
                <w:tab w:val="left" w:pos="900"/>
              </w:tabs>
              <w:ind w:left="720"/>
              <w:contextualSpacing/>
              <w:rPr>
                <w:b/>
                <w:sz w:val="20"/>
                <w:szCs w:val="20"/>
                <w:lang w:val="et-EE"/>
              </w:rPr>
            </w:pPr>
          </w:p>
          <w:p w:rsidR="00154773" w:rsidRPr="0053423A" w:rsidRDefault="00154773" w:rsidP="00154773">
            <w:pPr>
              <w:tabs>
                <w:tab w:val="left" w:pos="2694"/>
              </w:tabs>
              <w:ind w:firstLine="360"/>
              <w:jc w:val="both"/>
              <w:rPr>
                <w:rFonts w:eastAsia="Calibri" w:cs="Arian AMU"/>
                <w:sz w:val="20"/>
                <w:szCs w:val="20"/>
                <w:lang w:val="et-EE"/>
              </w:rPr>
            </w:pPr>
            <w:r w:rsidRPr="0053423A">
              <w:rPr>
                <w:rFonts w:cs="Sylfaen"/>
                <w:sz w:val="20"/>
                <w:szCs w:val="20"/>
              </w:rPr>
              <w:t>Փոքրաքանակ</w:t>
            </w:r>
            <w:r w:rsidRPr="0053423A">
              <w:rPr>
                <w:rFonts w:cs="Sylfaen"/>
                <w:sz w:val="20"/>
                <w:szCs w:val="20"/>
                <w:lang w:val="et-EE"/>
              </w:rPr>
              <w:t xml:space="preserve"> </w:t>
            </w:r>
            <w:r w:rsidRPr="0053423A">
              <w:rPr>
                <w:rFonts w:cs="Sylfaen"/>
                <w:sz w:val="20"/>
                <w:szCs w:val="20"/>
              </w:rPr>
              <w:t>երեխաներով</w:t>
            </w:r>
            <w:r w:rsidRPr="0053423A">
              <w:rPr>
                <w:rFonts w:cs="Sylfaen"/>
                <w:sz w:val="20"/>
                <w:szCs w:val="20"/>
                <w:lang w:val="et-EE"/>
              </w:rPr>
              <w:t xml:space="preserve"> </w:t>
            </w:r>
            <w:r w:rsidRPr="0053423A">
              <w:rPr>
                <w:rFonts w:cs="Sylfaen"/>
                <w:sz w:val="20"/>
                <w:szCs w:val="20"/>
              </w:rPr>
              <w:t>համալրված</w:t>
            </w:r>
            <w:r w:rsidRPr="0053423A">
              <w:rPr>
                <w:rFonts w:cs="Sylfaen"/>
                <w:sz w:val="20"/>
                <w:szCs w:val="20"/>
                <w:lang w:val="et-EE"/>
              </w:rPr>
              <w:t xml:space="preserve"> </w:t>
            </w:r>
            <w:r w:rsidRPr="0053423A">
              <w:rPr>
                <w:rFonts w:cs="Sylfaen"/>
                <w:sz w:val="20"/>
                <w:szCs w:val="20"/>
              </w:rPr>
              <w:t>հանրակրթական</w:t>
            </w:r>
            <w:r w:rsidRPr="0053423A">
              <w:rPr>
                <w:rFonts w:cs="Sylfaen"/>
                <w:sz w:val="20"/>
                <w:szCs w:val="20"/>
                <w:lang w:val="et-EE"/>
              </w:rPr>
              <w:t xml:space="preserve"> </w:t>
            </w:r>
            <w:r w:rsidRPr="0053423A">
              <w:rPr>
                <w:rFonts w:cs="Sylfaen"/>
                <w:sz w:val="20"/>
                <w:szCs w:val="20"/>
              </w:rPr>
              <w:t>դպրոցների</w:t>
            </w:r>
            <w:r w:rsidRPr="0053423A">
              <w:rPr>
                <w:rFonts w:cs="Sylfaen"/>
                <w:sz w:val="20"/>
                <w:szCs w:val="20"/>
                <w:lang w:val="et-EE"/>
              </w:rPr>
              <w:t xml:space="preserve"> </w:t>
            </w:r>
            <w:r w:rsidRPr="0053423A">
              <w:rPr>
                <w:rFonts w:cs="Sylfaen"/>
                <w:sz w:val="20"/>
                <w:szCs w:val="20"/>
              </w:rPr>
              <w:t>մոդուլային</w:t>
            </w:r>
            <w:r w:rsidRPr="0053423A">
              <w:rPr>
                <w:rFonts w:cs="Sylfaen"/>
                <w:sz w:val="20"/>
                <w:szCs w:val="20"/>
                <w:lang w:val="et-EE"/>
              </w:rPr>
              <w:t xml:space="preserve"> </w:t>
            </w:r>
            <w:r w:rsidRPr="0053423A">
              <w:rPr>
                <w:rFonts w:cs="Sylfaen"/>
                <w:sz w:val="20"/>
                <w:szCs w:val="20"/>
              </w:rPr>
              <w:t>շենքերի</w:t>
            </w:r>
            <w:r w:rsidRPr="0053423A">
              <w:rPr>
                <w:rFonts w:cs="Sylfaen"/>
                <w:sz w:val="20"/>
                <w:szCs w:val="20"/>
                <w:lang w:val="et-EE"/>
              </w:rPr>
              <w:t xml:space="preserve"> </w:t>
            </w:r>
            <w:r w:rsidRPr="0053423A">
              <w:rPr>
                <w:rFonts w:cs="Sylfaen"/>
                <w:sz w:val="20"/>
                <w:szCs w:val="20"/>
              </w:rPr>
              <w:t>կառուցումը</w:t>
            </w:r>
            <w:r w:rsidRPr="0053423A">
              <w:rPr>
                <w:rFonts w:cs="Sylfaen"/>
                <w:sz w:val="20"/>
                <w:szCs w:val="20"/>
                <w:lang w:val="et-EE"/>
              </w:rPr>
              <w:t xml:space="preserve"> </w:t>
            </w:r>
            <w:r w:rsidRPr="0053423A">
              <w:rPr>
                <w:rFonts w:cs="Sylfaen"/>
                <w:sz w:val="20"/>
                <w:szCs w:val="20"/>
              </w:rPr>
              <w:t>հատկապես</w:t>
            </w:r>
            <w:r w:rsidRPr="0053423A">
              <w:rPr>
                <w:rFonts w:cs="Sylfaen"/>
                <w:sz w:val="20"/>
                <w:szCs w:val="20"/>
                <w:lang w:val="et-EE"/>
              </w:rPr>
              <w:t xml:space="preserve"> </w:t>
            </w:r>
            <w:r w:rsidRPr="0053423A">
              <w:rPr>
                <w:rFonts w:eastAsia="Calibri" w:cs="Arian AMU"/>
                <w:sz w:val="20"/>
                <w:szCs w:val="20"/>
              </w:rPr>
              <w:t>գյուղական</w:t>
            </w:r>
            <w:r w:rsidRPr="0053423A">
              <w:rPr>
                <w:rFonts w:eastAsia="Calibri" w:cs="Arian AMU"/>
                <w:sz w:val="20"/>
                <w:szCs w:val="20"/>
                <w:lang w:val="et-EE"/>
              </w:rPr>
              <w:t xml:space="preserve"> </w:t>
            </w:r>
            <w:r w:rsidRPr="0053423A">
              <w:rPr>
                <w:rFonts w:eastAsia="Calibri" w:cs="Arian AMU"/>
                <w:sz w:val="20"/>
                <w:szCs w:val="20"/>
              </w:rPr>
              <w:t>համայնքներում</w:t>
            </w:r>
            <w:r w:rsidRPr="0053423A">
              <w:rPr>
                <w:rFonts w:eastAsia="Calibri" w:cs="Arian AMU"/>
                <w:sz w:val="20"/>
                <w:szCs w:val="20"/>
                <w:lang w:val="et-EE"/>
              </w:rPr>
              <w:t xml:space="preserve"> </w:t>
            </w:r>
            <w:r w:rsidRPr="0053423A">
              <w:rPr>
                <w:rFonts w:eastAsia="Calibri" w:cs="Arian AMU"/>
                <w:sz w:val="20"/>
                <w:szCs w:val="20"/>
              </w:rPr>
              <w:t>հնարավորություն</w:t>
            </w:r>
            <w:r w:rsidRPr="0053423A">
              <w:rPr>
                <w:rFonts w:eastAsia="Calibri" w:cs="Arian AMU"/>
                <w:sz w:val="20"/>
                <w:szCs w:val="20"/>
                <w:lang w:val="et-EE"/>
              </w:rPr>
              <w:t xml:space="preserve"> </w:t>
            </w:r>
            <w:r w:rsidRPr="0053423A">
              <w:rPr>
                <w:rFonts w:eastAsia="Calibri" w:cs="Arian AMU"/>
                <w:sz w:val="20"/>
                <w:szCs w:val="20"/>
              </w:rPr>
              <w:t>կտա</w:t>
            </w:r>
            <w:r w:rsidRPr="0053423A">
              <w:rPr>
                <w:rFonts w:eastAsia="Calibri" w:cs="Arian AMU"/>
                <w:sz w:val="20"/>
                <w:szCs w:val="20"/>
                <w:lang w:val="et-EE"/>
              </w:rPr>
              <w:t xml:space="preserve"> </w:t>
            </w:r>
            <w:r w:rsidRPr="0053423A">
              <w:rPr>
                <w:rFonts w:eastAsia="Calibri" w:cs="Arian AMU"/>
                <w:sz w:val="20"/>
                <w:szCs w:val="20"/>
              </w:rPr>
              <w:t>այդ</w:t>
            </w:r>
            <w:r w:rsidRPr="0053423A">
              <w:rPr>
                <w:rFonts w:eastAsia="Calibri" w:cs="Arian AMU"/>
                <w:sz w:val="20"/>
                <w:szCs w:val="20"/>
                <w:lang w:val="et-EE"/>
              </w:rPr>
              <w:t xml:space="preserve"> </w:t>
            </w:r>
            <w:r w:rsidRPr="0053423A">
              <w:rPr>
                <w:rFonts w:eastAsia="Calibri" w:cs="Arian AMU"/>
                <w:sz w:val="20"/>
                <w:szCs w:val="20"/>
              </w:rPr>
              <w:t>դպրոցները</w:t>
            </w:r>
            <w:r w:rsidRPr="0053423A">
              <w:rPr>
                <w:rFonts w:eastAsia="Calibri" w:cs="Arian AMU"/>
                <w:sz w:val="20"/>
                <w:szCs w:val="20"/>
                <w:lang w:val="et-EE"/>
              </w:rPr>
              <w:t xml:space="preserve"> </w:t>
            </w:r>
            <w:r w:rsidRPr="0053423A">
              <w:rPr>
                <w:rFonts w:eastAsia="Calibri" w:cs="Arian AMU"/>
                <w:sz w:val="20"/>
                <w:szCs w:val="20"/>
              </w:rPr>
              <w:t>վերածել</w:t>
            </w:r>
            <w:r w:rsidRPr="0053423A">
              <w:rPr>
                <w:rFonts w:eastAsia="Calibri" w:cs="Arian AMU"/>
                <w:sz w:val="20"/>
                <w:szCs w:val="20"/>
                <w:lang w:val="et-EE"/>
              </w:rPr>
              <w:t xml:space="preserve"> </w:t>
            </w:r>
            <w:r w:rsidRPr="0053423A">
              <w:rPr>
                <w:rFonts w:eastAsia="Calibri" w:cs="Arian AMU"/>
                <w:sz w:val="20"/>
                <w:szCs w:val="20"/>
              </w:rPr>
              <w:t>մշակութային</w:t>
            </w:r>
            <w:r w:rsidRPr="0053423A">
              <w:rPr>
                <w:rFonts w:eastAsia="Calibri" w:cs="Arian AMU"/>
                <w:sz w:val="20"/>
                <w:szCs w:val="20"/>
                <w:lang w:val="et-EE"/>
              </w:rPr>
              <w:t xml:space="preserve"> </w:t>
            </w:r>
            <w:r w:rsidRPr="0053423A">
              <w:rPr>
                <w:rFonts w:eastAsia="Calibri" w:cs="Arian AMU"/>
                <w:sz w:val="20"/>
                <w:szCs w:val="20"/>
              </w:rPr>
              <w:t>կենտրոնների՝</w:t>
            </w:r>
            <w:r w:rsidRPr="0053423A">
              <w:rPr>
                <w:rFonts w:eastAsia="Calibri" w:cs="Arian AMU"/>
                <w:sz w:val="20"/>
                <w:szCs w:val="20"/>
                <w:lang w:val="et-EE"/>
              </w:rPr>
              <w:t xml:space="preserve"> </w:t>
            </w:r>
            <w:r w:rsidRPr="0053423A">
              <w:rPr>
                <w:rFonts w:eastAsia="Calibri" w:cs="Arian AMU"/>
                <w:sz w:val="20"/>
                <w:szCs w:val="20"/>
              </w:rPr>
              <w:t>լուծելով</w:t>
            </w:r>
            <w:r w:rsidRPr="0053423A">
              <w:rPr>
                <w:rFonts w:eastAsia="Calibri" w:cs="Arian AMU"/>
                <w:sz w:val="20"/>
                <w:szCs w:val="20"/>
                <w:lang w:val="et-EE"/>
              </w:rPr>
              <w:t xml:space="preserve"> </w:t>
            </w:r>
            <w:r w:rsidRPr="0053423A">
              <w:rPr>
                <w:rFonts w:eastAsia="Calibri" w:cs="Arian AMU"/>
                <w:sz w:val="20"/>
                <w:szCs w:val="20"/>
              </w:rPr>
              <w:t>համայնքի</w:t>
            </w:r>
            <w:r w:rsidRPr="0053423A">
              <w:rPr>
                <w:rFonts w:eastAsia="Calibri" w:cs="Arian AMU"/>
                <w:sz w:val="20"/>
                <w:szCs w:val="20"/>
                <w:lang w:val="et-EE"/>
              </w:rPr>
              <w:t xml:space="preserve"> </w:t>
            </w:r>
            <w:r w:rsidRPr="0053423A">
              <w:rPr>
                <w:rFonts w:eastAsia="Calibri" w:cs="Arian AMU"/>
                <w:sz w:val="20"/>
                <w:szCs w:val="20"/>
              </w:rPr>
              <w:t>համար</w:t>
            </w:r>
            <w:r w:rsidRPr="0053423A">
              <w:rPr>
                <w:rFonts w:eastAsia="Calibri" w:cs="Arian AMU"/>
                <w:sz w:val="20"/>
                <w:szCs w:val="20"/>
                <w:lang w:val="et-EE"/>
              </w:rPr>
              <w:t xml:space="preserve"> </w:t>
            </w:r>
            <w:r w:rsidRPr="0053423A">
              <w:rPr>
                <w:rFonts w:eastAsia="Calibri" w:cs="Arian AMU"/>
                <w:sz w:val="20"/>
                <w:szCs w:val="20"/>
              </w:rPr>
              <w:t>մի</w:t>
            </w:r>
            <w:r w:rsidRPr="0053423A">
              <w:rPr>
                <w:rFonts w:eastAsia="Calibri" w:cs="Arian AMU"/>
                <w:sz w:val="20"/>
                <w:szCs w:val="20"/>
                <w:lang w:val="et-EE"/>
              </w:rPr>
              <w:t xml:space="preserve"> </w:t>
            </w:r>
            <w:r w:rsidRPr="0053423A">
              <w:rPr>
                <w:rFonts w:eastAsia="Calibri" w:cs="Arian AMU"/>
                <w:sz w:val="20"/>
                <w:szCs w:val="20"/>
              </w:rPr>
              <w:t>շարք</w:t>
            </w:r>
            <w:r w:rsidRPr="0053423A">
              <w:rPr>
                <w:rFonts w:eastAsia="Calibri" w:cs="Arian AMU"/>
                <w:sz w:val="20"/>
                <w:szCs w:val="20"/>
                <w:lang w:val="et-EE"/>
              </w:rPr>
              <w:t xml:space="preserve"> </w:t>
            </w:r>
            <w:r w:rsidRPr="0053423A">
              <w:rPr>
                <w:rFonts w:eastAsia="Calibri" w:cs="Arian AMU"/>
                <w:sz w:val="20"/>
                <w:szCs w:val="20"/>
              </w:rPr>
              <w:t>խնդիրներ</w:t>
            </w:r>
            <w:r w:rsidRPr="0053423A">
              <w:rPr>
                <w:rFonts w:eastAsia="Calibri" w:cs="Arian AMU"/>
                <w:sz w:val="20"/>
                <w:szCs w:val="20"/>
                <w:lang w:val="et-EE"/>
              </w:rPr>
              <w:t>:</w:t>
            </w:r>
          </w:p>
          <w:p w:rsidR="00154773" w:rsidRPr="0053423A" w:rsidRDefault="00154773" w:rsidP="00154773">
            <w:pPr>
              <w:tabs>
                <w:tab w:val="left" w:pos="2694"/>
              </w:tabs>
              <w:ind w:left="360"/>
              <w:jc w:val="both"/>
              <w:rPr>
                <w:rFonts w:eastAsia="Calibri" w:cs="Arian AMU"/>
                <w:sz w:val="20"/>
                <w:szCs w:val="20"/>
                <w:lang w:val="et-EE"/>
              </w:rPr>
            </w:pPr>
          </w:p>
          <w:p w:rsidR="00154773" w:rsidRPr="0053423A" w:rsidRDefault="00154773" w:rsidP="00154773">
            <w:pPr>
              <w:tabs>
                <w:tab w:val="left" w:pos="567"/>
                <w:tab w:val="left" w:pos="1589"/>
              </w:tabs>
              <w:rPr>
                <w:b/>
                <w:sz w:val="20"/>
                <w:szCs w:val="20"/>
                <w:lang w:val="et-EE"/>
              </w:rPr>
            </w:pPr>
            <w:r w:rsidRPr="0053423A">
              <w:rPr>
                <w:b/>
                <w:sz w:val="20"/>
                <w:szCs w:val="20"/>
                <w:lang w:val="et-EE"/>
              </w:rPr>
              <w:t xml:space="preserve">           1.2. </w:t>
            </w:r>
            <w:r w:rsidRPr="0053423A">
              <w:rPr>
                <w:b/>
                <w:sz w:val="20"/>
                <w:szCs w:val="20"/>
              </w:rPr>
              <w:t>ա</w:t>
            </w:r>
            <w:r w:rsidRPr="0053423A">
              <w:rPr>
                <w:b/>
                <w:sz w:val="20"/>
                <w:szCs w:val="20"/>
                <w:lang w:val="hy-AM"/>
              </w:rPr>
              <w:t>ռկա խնդիրների</w:t>
            </w:r>
            <w:r w:rsidRPr="0053423A">
              <w:rPr>
                <w:b/>
                <w:sz w:val="20"/>
                <w:szCs w:val="20"/>
                <w:lang w:val="et-EE"/>
              </w:rPr>
              <w:t xml:space="preserve"> </w:t>
            </w:r>
            <w:r w:rsidRPr="0053423A">
              <w:rPr>
                <w:b/>
                <w:sz w:val="20"/>
                <w:szCs w:val="20"/>
                <w:lang w:val="hy-AM"/>
              </w:rPr>
              <w:t xml:space="preserve"> առաջարկվող </w:t>
            </w:r>
            <w:r w:rsidRPr="0053423A">
              <w:rPr>
                <w:b/>
                <w:sz w:val="20"/>
                <w:szCs w:val="20"/>
                <w:lang w:val="et-EE"/>
              </w:rPr>
              <w:t xml:space="preserve"> </w:t>
            </w:r>
            <w:r w:rsidRPr="0053423A">
              <w:rPr>
                <w:b/>
                <w:sz w:val="20"/>
                <w:szCs w:val="20"/>
                <w:lang w:val="en-GB"/>
              </w:rPr>
              <w:t>լ</w:t>
            </w:r>
            <w:r w:rsidRPr="0053423A">
              <w:rPr>
                <w:b/>
                <w:sz w:val="20"/>
                <w:szCs w:val="20"/>
                <w:lang w:val="hy-AM"/>
              </w:rPr>
              <w:t>ուծումները</w:t>
            </w:r>
            <w:r w:rsidRPr="0053423A">
              <w:rPr>
                <w:b/>
                <w:sz w:val="20"/>
                <w:szCs w:val="20"/>
                <w:lang w:val="et-EE"/>
              </w:rPr>
              <w:t xml:space="preserve"> </w:t>
            </w:r>
          </w:p>
          <w:p w:rsidR="00154773" w:rsidRPr="0053423A" w:rsidRDefault="00154773" w:rsidP="00154773">
            <w:pPr>
              <w:tabs>
                <w:tab w:val="left" w:pos="567"/>
                <w:tab w:val="left" w:pos="1589"/>
              </w:tabs>
              <w:ind w:left="720"/>
              <w:contextualSpacing/>
              <w:rPr>
                <w:b/>
                <w:sz w:val="20"/>
                <w:szCs w:val="20"/>
                <w:lang w:val="et-EE"/>
              </w:rPr>
            </w:pPr>
          </w:p>
          <w:p w:rsidR="00154773" w:rsidRPr="0053423A" w:rsidRDefault="00154773" w:rsidP="00154773">
            <w:pPr>
              <w:tabs>
                <w:tab w:val="left" w:pos="2694"/>
              </w:tabs>
              <w:ind w:firstLine="284"/>
              <w:contextualSpacing/>
              <w:rPr>
                <w:rFonts w:eastAsia="Calibri"/>
                <w:sz w:val="20"/>
                <w:szCs w:val="20"/>
                <w:lang w:val="et-EE"/>
              </w:rPr>
            </w:pPr>
          </w:p>
          <w:p w:rsidR="00154773" w:rsidRPr="0053423A" w:rsidRDefault="00154773" w:rsidP="00154773">
            <w:pPr>
              <w:tabs>
                <w:tab w:val="left" w:pos="2694"/>
              </w:tabs>
              <w:ind w:firstLine="360"/>
              <w:contextualSpacing/>
              <w:jc w:val="both"/>
              <w:rPr>
                <w:rFonts w:eastAsia="Calibri"/>
                <w:sz w:val="20"/>
                <w:szCs w:val="20"/>
                <w:lang w:val="et-EE"/>
              </w:rPr>
            </w:pPr>
            <w:r w:rsidRPr="0053423A">
              <w:rPr>
                <w:rFonts w:eastAsia="Calibri"/>
                <w:sz w:val="20"/>
                <w:szCs w:val="20"/>
                <w:lang w:val="et-EE"/>
              </w:rPr>
              <w:t xml:space="preserve"> </w:t>
            </w:r>
            <w:r w:rsidRPr="0053423A">
              <w:rPr>
                <w:rFonts w:eastAsia="Calibri"/>
                <w:sz w:val="20"/>
                <w:szCs w:val="20"/>
                <w:lang w:val="en-GB"/>
              </w:rPr>
              <w:t>ՀՀ</w:t>
            </w:r>
            <w:r w:rsidRPr="0053423A">
              <w:rPr>
                <w:rFonts w:eastAsia="Calibri"/>
                <w:sz w:val="20"/>
                <w:szCs w:val="20"/>
                <w:lang w:val="et-EE"/>
              </w:rPr>
              <w:t xml:space="preserve"> </w:t>
            </w:r>
            <w:r w:rsidRPr="0053423A">
              <w:rPr>
                <w:rFonts w:eastAsia="Calibri"/>
                <w:sz w:val="20"/>
                <w:szCs w:val="20"/>
                <w:lang w:val="en-GB"/>
              </w:rPr>
              <w:t>կրթության</w:t>
            </w:r>
            <w:r w:rsidRPr="0053423A">
              <w:rPr>
                <w:rFonts w:eastAsia="Calibri"/>
                <w:sz w:val="20"/>
                <w:szCs w:val="20"/>
                <w:lang w:val="et-EE"/>
              </w:rPr>
              <w:t xml:space="preserve"> </w:t>
            </w:r>
            <w:r w:rsidRPr="0053423A">
              <w:rPr>
                <w:rFonts w:eastAsia="Calibri"/>
                <w:sz w:val="20"/>
                <w:szCs w:val="20"/>
                <w:lang w:val="en-GB"/>
              </w:rPr>
              <w:t>և</w:t>
            </w:r>
            <w:r w:rsidRPr="0053423A">
              <w:rPr>
                <w:rFonts w:eastAsia="Calibri"/>
                <w:sz w:val="20"/>
                <w:szCs w:val="20"/>
                <w:lang w:val="et-EE"/>
              </w:rPr>
              <w:t xml:space="preserve"> </w:t>
            </w:r>
            <w:r w:rsidRPr="0053423A">
              <w:rPr>
                <w:rFonts w:eastAsia="Calibri"/>
                <w:sz w:val="20"/>
                <w:szCs w:val="20"/>
                <w:lang w:val="en-GB"/>
              </w:rPr>
              <w:t>գիտության</w:t>
            </w:r>
            <w:r w:rsidRPr="0053423A">
              <w:rPr>
                <w:rFonts w:eastAsia="Calibri"/>
                <w:sz w:val="20"/>
                <w:szCs w:val="20"/>
                <w:lang w:val="et-EE"/>
              </w:rPr>
              <w:t xml:space="preserve"> </w:t>
            </w:r>
            <w:r w:rsidRPr="0053423A">
              <w:rPr>
                <w:rFonts w:eastAsia="Calibri"/>
                <w:sz w:val="20"/>
                <w:szCs w:val="20"/>
                <w:lang w:val="en-GB"/>
              </w:rPr>
              <w:t>նախարարության</w:t>
            </w:r>
            <w:r w:rsidRPr="0053423A">
              <w:rPr>
                <w:rFonts w:eastAsia="Calibri"/>
                <w:sz w:val="20"/>
                <w:szCs w:val="20"/>
                <w:lang w:val="et-EE"/>
              </w:rPr>
              <w:t xml:space="preserve"> </w:t>
            </w:r>
            <w:r w:rsidRPr="0053423A">
              <w:rPr>
                <w:rFonts w:eastAsia="Calibri"/>
                <w:sz w:val="20"/>
                <w:szCs w:val="20"/>
                <w:lang w:val="en-GB"/>
              </w:rPr>
              <w:t>կողմից</w:t>
            </w:r>
            <w:r w:rsidRPr="0053423A">
              <w:rPr>
                <w:rFonts w:eastAsia="Calibri"/>
                <w:sz w:val="20"/>
                <w:szCs w:val="20"/>
                <w:lang w:val="et-EE"/>
              </w:rPr>
              <w:t xml:space="preserve"> «</w:t>
            </w:r>
            <w:r w:rsidRPr="0053423A">
              <w:rPr>
                <w:rFonts w:eastAsia="Calibri"/>
                <w:sz w:val="20"/>
                <w:szCs w:val="20"/>
                <w:lang w:val="en-GB"/>
              </w:rPr>
              <w:t>ՀՀ</w:t>
            </w:r>
            <w:r w:rsidRPr="0053423A">
              <w:rPr>
                <w:rFonts w:eastAsia="Calibri"/>
                <w:sz w:val="20"/>
                <w:szCs w:val="20"/>
                <w:lang w:val="et-EE"/>
              </w:rPr>
              <w:t xml:space="preserve"> 2019 </w:t>
            </w:r>
            <w:r w:rsidRPr="0053423A">
              <w:rPr>
                <w:rFonts w:eastAsia="Calibri"/>
                <w:sz w:val="20"/>
                <w:szCs w:val="20"/>
                <w:lang w:val="en-GB"/>
              </w:rPr>
              <w:t>թվականի</w:t>
            </w:r>
            <w:r w:rsidRPr="0053423A">
              <w:rPr>
                <w:rFonts w:eastAsia="Calibri"/>
                <w:sz w:val="20"/>
                <w:szCs w:val="20"/>
                <w:lang w:val="et-EE"/>
              </w:rPr>
              <w:t xml:space="preserve"> </w:t>
            </w:r>
            <w:r w:rsidRPr="0053423A">
              <w:rPr>
                <w:rFonts w:eastAsia="Calibri"/>
                <w:sz w:val="20"/>
                <w:szCs w:val="20"/>
                <w:lang w:val="en-GB"/>
              </w:rPr>
              <w:t>պետական</w:t>
            </w:r>
            <w:r w:rsidRPr="0053423A">
              <w:rPr>
                <w:rFonts w:eastAsia="Calibri"/>
                <w:sz w:val="20"/>
                <w:szCs w:val="20"/>
                <w:lang w:val="et-EE"/>
              </w:rPr>
              <w:t xml:space="preserve"> </w:t>
            </w:r>
            <w:r w:rsidRPr="0053423A">
              <w:rPr>
                <w:rFonts w:eastAsia="Calibri"/>
                <w:sz w:val="20"/>
                <w:szCs w:val="20"/>
                <w:lang w:val="en-GB"/>
              </w:rPr>
              <w:t>բյուջեի</w:t>
            </w:r>
            <w:r w:rsidRPr="0053423A">
              <w:rPr>
                <w:rFonts w:eastAsia="Calibri"/>
                <w:sz w:val="20"/>
                <w:szCs w:val="20"/>
                <w:lang w:val="et-EE"/>
              </w:rPr>
              <w:t xml:space="preserve"> </w:t>
            </w:r>
            <w:r w:rsidRPr="0053423A">
              <w:rPr>
                <w:rFonts w:eastAsia="Calibri"/>
                <w:sz w:val="20"/>
                <w:szCs w:val="20"/>
                <w:lang w:val="en-GB"/>
              </w:rPr>
              <w:t>կատարումն</w:t>
            </w:r>
            <w:r w:rsidRPr="0053423A">
              <w:rPr>
                <w:rFonts w:eastAsia="Calibri"/>
                <w:sz w:val="20"/>
                <w:szCs w:val="20"/>
                <w:lang w:val="et-EE"/>
              </w:rPr>
              <w:t xml:space="preserve"> </w:t>
            </w:r>
            <w:r w:rsidRPr="0053423A">
              <w:rPr>
                <w:rFonts w:eastAsia="Calibri"/>
                <w:sz w:val="20"/>
                <w:szCs w:val="20"/>
                <w:lang w:val="en-GB"/>
              </w:rPr>
              <w:t>ապահովող</w:t>
            </w:r>
            <w:r w:rsidRPr="0053423A">
              <w:rPr>
                <w:rFonts w:eastAsia="Calibri"/>
                <w:sz w:val="20"/>
                <w:szCs w:val="20"/>
                <w:lang w:val="et-EE"/>
              </w:rPr>
              <w:t xml:space="preserve"> </w:t>
            </w:r>
            <w:r w:rsidRPr="0053423A">
              <w:rPr>
                <w:rFonts w:eastAsia="Calibri"/>
                <w:sz w:val="20"/>
                <w:szCs w:val="20"/>
                <w:lang w:val="en-GB"/>
              </w:rPr>
              <w:t>միջոցառումների</w:t>
            </w:r>
            <w:r w:rsidRPr="0053423A">
              <w:rPr>
                <w:rFonts w:eastAsia="Calibri"/>
                <w:sz w:val="20"/>
                <w:szCs w:val="20"/>
                <w:lang w:val="et-EE"/>
              </w:rPr>
              <w:t xml:space="preserve"> </w:t>
            </w:r>
            <w:r w:rsidRPr="0053423A">
              <w:rPr>
                <w:rFonts w:eastAsia="Calibri"/>
                <w:sz w:val="20"/>
                <w:szCs w:val="20"/>
                <w:lang w:val="en-GB"/>
              </w:rPr>
              <w:t>մասին</w:t>
            </w:r>
            <w:r w:rsidRPr="0053423A">
              <w:rPr>
                <w:rFonts w:eastAsia="Calibri"/>
                <w:sz w:val="20"/>
                <w:szCs w:val="20"/>
                <w:lang w:val="et-EE"/>
              </w:rPr>
              <w:t xml:space="preserve">» </w:t>
            </w:r>
            <w:r w:rsidRPr="0053423A">
              <w:rPr>
                <w:rFonts w:eastAsia="Calibri"/>
                <w:sz w:val="20"/>
                <w:szCs w:val="20"/>
                <w:lang w:val="en-GB"/>
              </w:rPr>
              <w:t>ՀՀ</w:t>
            </w:r>
            <w:r w:rsidRPr="0053423A">
              <w:rPr>
                <w:rFonts w:eastAsia="Calibri"/>
                <w:sz w:val="20"/>
                <w:szCs w:val="20"/>
                <w:lang w:val="et-EE"/>
              </w:rPr>
              <w:t xml:space="preserve"> </w:t>
            </w:r>
            <w:r w:rsidRPr="0053423A">
              <w:rPr>
                <w:rFonts w:eastAsia="Calibri"/>
                <w:sz w:val="20"/>
                <w:szCs w:val="20"/>
                <w:lang w:val="en-GB"/>
              </w:rPr>
              <w:t>կառավարության</w:t>
            </w:r>
            <w:r w:rsidRPr="0053423A">
              <w:rPr>
                <w:rFonts w:eastAsia="Calibri"/>
                <w:sz w:val="20"/>
                <w:szCs w:val="20"/>
                <w:lang w:val="et-EE"/>
              </w:rPr>
              <w:t xml:space="preserve"> 2018 </w:t>
            </w:r>
            <w:r w:rsidRPr="0053423A">
              <w:rPr>
                <w:rFonts w:eastAsia="Calibri"/>
                <w:sz w:val="20"/>
                <w:szCs w:val="20"/>
                <w:lang w:val="en-GB"/>
              </w:rPr>
              <w:t>թ</w:t>
            </w:r>
            <w:r w:rsidRPr="0053423A">
              <w:rPr>
                <w:rFonts w:eastAsia="Calibri"/>
                <w:sz w:val="20"/>
                <w:szCs w:val="20"/>
                <w:lang w:val="et-EE"/>
              </w:rPr>
              <w:t>.-</w:t>
            </w:r>
            <w:r w:rsidRPr="0053423A">
              <w:rPr>
                <w:rFonts w:eastAsia="Calibri"/>
                <w:sz w:val="20"/>
                <w:szCs w:val="20"/>
                <w:lang w:val="en-GB"/>
              </w:rPr>
              <w:t>ի</w:t>
            </w:r>
            <w:r w:rsidRPr="0053423A">
              <w:rPr>
                <w:rFonts w:eastAsia="Calibri"/>
                <w:sz w:val="20"/>
                <w:szCs w:val="20"/>
                <w:lang w:val="et-EE"/>
              </w:rPr>
              <w:t xml:space="preserve"> </w:t>
            </w:r>
            <w:r w:rsidRPr="0053423A">
              <w:rPr>
                <w:rFonts w:eastAsia="Calibri"/>
                <w:sz w:val="20"/>
                <w:szCs w:val="20"/>
                <w:lang w:val="en-GB"/>
              </w:rPr>
              <w:t>դեկտեմբերի</w:t>
            </w:r>
            <w:r w:rsidRPr="0053423A">
              <w:rPr>
                <w:rFonts w:eastAsia="Calibri"/>
                <w:sz w:val="20"/>
                <w:szCs w:val="20"/>
                <w:lang w:val="et-EE"/>
              </w:rPr>
              <w:t xml:space="preserve"> 27-</w:t>
            </w:r>
            <w:r w:rsidRPr="0053423A">
              <w:rPr>
                <w:rFonts w:eastAsia="Calibri"/>
                <w:sz w:val="20"/>
                <w:szCs w:val="20"/>
                <w:lang w:val="en-GB"/>
              </w:rPr>
              <w:t>ի</w:t>
            </w:r>
            <w:r w:rsidRPr="0053423A">
              <w:rPr>
                <w:rFonts w:eastAsia="Calibri"/>
                <w:sz w:val="20"/>
                <w:szCs w:val="20"/>
                <w:lang w:val="et-EE"/>
              </w:rPr>
              <w:t xml:space="preserve"> 1515-</w:t>
            </w:r>
            <w:r w:rsidRPr="0053423A">
              <w:rPr>
                <w:rFonts w:eastAsia="Calibri"/>
                <w:sz w:val="20"/>
                <w:szCs w:val="20"/>
                <w:lang w:val="en-GB"/>
              </w:rPr>
              <w:t>Ն</w:t>
            </w:r>
            <w:r w:rsidRPr="0053423A">
              <w:rPr>
                <w:rFonts w:eastAsia="Calibri"/>
                <w:sz w:val="20"/>
                <w:szCs w:val="20"/>
                <w:lang w:val="et-EE"/>
              </w:rPr>
              <w:t xml:space="preserve"> </w:t>
            </w:r>
            <w:r w:rsidRPr="0053423A">
              <w:rPr>
                <w:rFonts w:eastAsia="Calibri"/>
                <w:sz w:val="20"/>
                <w:szCs w:val="20"/>
                <w:lang w:val="en-GB"/>
              </w:rPr>
              <w:t>որոշմամբ</w:t>
            </w:r>
            <w:r w:rsidRPr="0053423A">
              <w:rPr>
                <w:rFonts w:eastAsia="Calibri"/>
                <w:sz w:val="20"/>
                <w:szCs w:val="20"/>
                <w:lang w:val="et-EE"/>
              </w:rPr>
              <w:t xml:space="preserve">  </w:t>
            </w:r>
            <w:r w:rsidRPr="0053423A">
              <w:rPr>
                <w:rFonts w:eastAsia="Calibri"/>
                <w:sz w:val="20"/>
                <w:szCs w:val="20"/>
                <w:lang w:val="en-GB"/>
              </w:rPr>
              <w:t>Քաղաքաշինության</w:t>
            </w:r>
            <w:r w:rsidRPr="0053423A">
              <w:rPr>
                <w:rFonts w:eastAsia="Calibri"/>
                <w:sz w:val="20"/>
                <w:szCs w:val="20"/>
                <w:lang w:val="et-EE"/>
              </w:rPr>
              <w:t xml:space="preserve"> </w:t>
            </w:r>
            <w:r w:rsidRPr="0053423A">
              <w:rPr>
                <w:rFonts w:eastAsia="Calibri"/>
                <w:sz w:val="20"/>
                <w:szCs w:val="20"/>
                <w:lang w:val="en-GB"/>
              </w:rPr>
              <w:t>կոմիտեին</w:t>
            </w:r>
            <w:r w:rsidRPr="0053423A">
              <w:rPr>
                <w:rFonts w:eastAsia="Calibri"/>
                <w:sz w:val="20"/>
                <w:szCs w:val="20"/>
                <w:lang w:val="et-EE"/>
              </w:rPr>
              <w:t xml:space="preserve"> </w:t>
            </w:r>
            <w:r w:rsidRPr="0053423A">
              <w:rPr>
                <w:rFonts w:eastAsia="Calibri"/>
                <w:sz w:val="20"/>
                <w:szCs w:val="20"/>
                <w:lang w:val="en-GB"/>
              </w:rPr>
              <w:t>կտրամադրվի</w:t>
            </w:r>
            <w:r w:rsidRPr="0053423A">
              <w:rPr>
                <w:rFonts w:eastAsia="Calibri"/>
                <w:sz w:val="20"/>
                <w:szCs w:val="20"/>
                <w:lang w:val="et-EE"/>
              </w:rPr>
              <w:t xml:space="preserve"> </w:t>
            </w:r>
            <w:r w:rsidRPr="0053423A">
              <w:rPr>
                <w:rFonts w:eastAsia="Calibri"/>
                <w:sz w:val="20"/>
                <w:szCs w:val="20"/>
                <w:lang w:val="en-GB"/>
              </w:rPr>
              <w:t>բյուջեով</w:t>
            </w:r>
            <w:r w:rsidRPr="0053423A">
              <w:rPr>
                <w:rFonts w:eastAsia="Calibri"/>
                <w:sz w:val="20"/>
                <w:szCs w:val="20"/>
                <w:lang w:val="et-EE"/>
              </w:rPr>
              <w:t xml:space="preserve"> </w:t>
            </w:r>
            <w:r w:rsidRPr="0053423A">
              <w:rPr>
                <w:rFonts w:eastAsia="Calibri"/>
                <w:sz w:val="20"/>
                <w:szCs w:val="20"/>
                <w:lang w:val="en-GB"/>
              </w:rPr>
              <w:t>սահմանված</w:t>
            </w:r>
            <w:r w:rsidRPr="0053423A">
              <w:rPr>
                <w:rFonts w:eastAsia="Calibri"/>
                <w:sz w:val="20"/>
                <w:szCs w:val="20"/>
                <w:lang w:val="et-EE"/>
              </w:rPr>
              <w:t xml:space="preserve"> </w:t>
            </w:r>
            <w:r w:rsidRPr="0053423A">
              <w:rPr>
                <w:rFonts w:eastAsia="Calibri"/>
                <w:sz w:val="20"/>
                <w:szCs w:val="20"/>
                <w:lang w:val="en-GB"/>
              </w:rPr>
              <w:t>գումար</w:t>
            </w:r>
            <w:r w:rsidRPr="0053423A">
              <w:rPr>
                <w:rFonts w:eastAsia="Calibri"/>
                <w:sz w:val="20"/>
                <w:szCs w:val="20"/>
                <w:lang w:val="et-EE"/>
              </w:rPr>
              <w:t xml:space="preserve">` </w:t>
            </w:r>
            <w:r w:rsidRPr="0053423A">
              <w:rPr>
                <w:rFonts w:eastAsia="Calibri"/>
                <w:sz w:val="20"/>
                <w:szCs w:val="20"/>
                <w:lang w:val="en-GB"/>
              </w:rPr>
              <w:t>նախագծահետազոտական</w:t>
            </w:r>
            <w:r w:rsidRPr="0053423A">
              <w:rPr>
                <w:rFonts w:eastAsia="Calibri"/>
                <w:sz w:val="20"/>
                <w:szCs w:val="20"/>
                <w:lang w:val="et-EE"/>
              </w:rPr>
              <w:t xml:space="preserve">, </w:t>
            </w:r>
            <w:r w:rsidRPr="0053423A">
              <w:rPr>
                <w:rFonts w:eastAsia="Calibri"/>
                <w:sz w:val="20"/>
                <w:szCs w:val="20"/>
                <w:lang w:val="en-GB"/>
              </w:rPr>
              <w:t>գեոդեզիա</w:t>
            </w:r>
            <w:r w:rsidRPr="0053423A">
              <w:rPr>
                <w:rFonts w:eastAsia="Calibri"/>
                <w:sz w:val="20"/>
                <w:szCs w:val="20"/>
                <w:lang w:val="et-EE"/>
              </w:rPr>
              <w:t>-</w:t>
            </w:r>
            <w:r w:rsidRPr="0053423A">
              <w:rPr>
                <w:rFonts w:eastAsia="Calibri"/>
                <w:sz w:val="20"/>
                <w:szCs w:val="20"/>
                <w:lang w:val="en-GB"/>
              </w:rPr>
              <w:t>քարտեզագրական</w:t>
            </w:r>
            <w:r w:rsidRPr="0053423A">
              <w:rPr>
                <w:rFonts w:eastAsia="Calibri"/>
                <w:sz w:val="20"/>
                <w:szCs w:val="20"/>
                <w:lang w:val="et-EE"/>
              </w:rPr>
              <w:t xml:space="preserve"> </w:t>
            </w:r>
            <w:r w:rsidRPr="0053423A">
              <w:rPr>
                <w:rFonts w:eastAsia="Calibri"/>
                <w:sz w:val="20"/>
                <w:szCs w:val="20"/>
                <w:lang w:val="en-GB"/>
              </w:rPr>
              <w:t>աշխատանքներ</w:t>
            </w:r>
            <w:r w:rsidRPr="0053423A">
              <w:rPr>
                <w:rFonts w:eastAsia="Calibri"/>
                <w:sz w:val="20"/>
                <w:szCs w:val="20"/>
                <w:lang w:val="et-EE"/>
              </w:rPr>
              <w:t xml:space="preserve"> </w:t>
            </w:r>
            <w:r w:rsidRPr="0053423A">
              <w:rPr>
                <w:rFonts w:eastAsia="Calibri"/>
                <w:sz w:val="20"/>
                <w:szCs w:val="20"/>
                <w:lang w:val="en-GB"/>
              </w:rPr>
              <w:t>իրականացնելու</w:t>
            </w:r>
            <w:r w:rsidRPr="0053423A">
              <w:rPr>
                <w:rFonts w:eastAsia="Calibri"/>
                <w:sz w:val="20"/>
                <w:szCs w:val="20"/>
                <w:lang w:val="et-EE"/>
              </w:rPr>
              <w:t xml:space="preserve"> </w:t>
            </w:r>
            <w:r w:rsidRPr="0053423A">
              <w:rPr>
                <w:rFonts w:eastAsia="Calibri"/>
                <w:sz w:val="20"/>
                <w:szCs w:val="20"/>
                <w:lang w:val="en-GB"/>
              </w:rPr>
              <w:t>նպատակով</w:t>
            </w:r>
            <w:r w:rsidRPr="0053423A">
              <w:rPr>
                <w:rFonts w:eastAsia="Calibri"/>
                <w:sz w:val="20"/>
                <w:szCs w:val="20"/>
                <w:lang w:val="et-EE"/>
              </w:rPr>
              <w:t xml:space="preserve">: </w:t>
            </w:r>
          </w:p>
          <w:p w:rsidR="00154773" w:rsidRPr="0053423A" w:rsidRDefault="00154773" w:rsidP="00154773">
            <w:pPr>
              <w:tabs>
                <w:tab w:val="left" w:pos="2694"/>
              </w:tabs>
              <w:ind w:firstLine="360"/>
              <w:contextualSpacing/>
              <w:jc w:val="both"/>
              <w:rPr>
                <w:rFonts w:eastAsia="Calibri"/>
                <w:sz w:val="20"/>
                <w:szCs w:val="20"/>
                <w:lang w:val="et-EE"/>
              </w:rPr>
            </w:pPr>
            <w:r w:rsidRPr="0053423A">
              <w:rPr>
                <w:rFonts w:eastAsia="Calibri"/>
                <w:sz w:val="20"/>
                <w:szCs w:val="20"/>
                <w:lang w:val="en-GB"/>
              </w:rPr>
              <w:t>Քաղաքաշինության</w:t>
            </w:r>
            <w:r w:rsidRPr="0053423A">
              <w:rPr>
                <w:rFonts w:eastAsia="Calibri"/>
                <w:sz w:val="20"/>
                <w:szCs w:val="20"/>
                <w:lang w:val="et-EE"/>
              </w:rPr>
              <w:t xml:space="preserve"> </w:t>
            </w:r>
            <w:r w:rsidRPr="0053423A">
              <w:rPr>
                <w:rFonts w:eastAsia="Calibri"/>
                <w:sz w:val="20"/>
                <w:szCs w:val="20"/>
                <w:lang w:val="en-GB"/>
              </w:rPr>
              <w:t>կոմիտեի</w:t>
            </w:r>
            <w:r w:rsidRPr="0053423A">
              <w:rPr>
                <w:rFonts w:eastAsia="Calibri"/>
                <w:sz w:val="20"/>
                <w:szCs w:val="20"/>
                <w:lang w:val="et-EE"/>
              </w:rPr>
              <w:t xml:space="preserve"> </w:t>
            </w:r>
            <w:r w:rsidRPr="0053423A">
              <w:rPr>
                <w:rFonts w:eastAsia="Calibri"/>
                <w:sz w:val="20"/>
                <w:szCs w:val="20"/>
                <w:lang w:val="en-GB"/>
              </w:rPr>
              <w:t>համապատասխան</w:t>
            </w:r>
            <w:r w:rsidRPr="0053423A">
              <w:rPr>
                <w:rFonts w:eastAsia="Calibri"/>
                <w:sz w:val="20"/>
                <w:szCs w:val="20"/>
                <w:lang w:val="et-EE"/>
              </w:rPr>
              <w:t xml:space="preserve"> </w:t>
            </w:r>
            <w:r w:rsidRPr="0053423A">
              <w:rPr>
                <w:rFonts w:eastAsia="Calibri"/>
                <w:sz w:val="20"/>
                <w:szCs w:val="20"/>
                <w:lang w:val="en-GB"/>
              </w:rPr>
              <w:t>եզրակացության</w:t>
            </w:r>
            <w:r w:rsidRPr="0053423A">
              <w:rPr>
                <w:rFonts w:eastAsia="Calibri"/>
                <w:sz w:val="20"/>
                <w:szCs w:val="20"/>
                <w:lang w:val="et-EE"/>
              </w:rPr>
              <w:t xml:space="preserve"> </w:t>
            </w:r>
            <w:r w:rsidRPr="0053423A">
              <w:rPr>
                <w:rFonts w:eastAsia="Calibri"/>
                <w:sz w:val="20"/>
                <w:szCs w:val="20"/>
                <w:lang w:val="en-GB"/>
              </w:rPr>
              <w:t>հիման</w:t>
            </w:r>
            <w:r w:rsidRPr="0053423A">
              <w:rPr>
                <w:rFonts w:eastAsia="Calibri"/>
                <w:sz w:val="20"/>
                <w:szCs w:val="20"/>
                <w:lang w:val="et-EE"/>
              </w:rPr>
              <w:t xml:space="preserve"> </w:t>
            </w:r>
            <w:r w:rsidRPr="0053423A">
              <w:rPr>
                <w:rFonts w:eastAsia="Calibri"/>
                <w:sz w:val="20"/>
                <w:szCs w:val="20"/>
                <w:lang w:val="en-GB"/>
              </w:rPr>
              <w:t>վրա</w:t>
            </w:r>
            <w:r w:rsidRPr="0053423A">
              <w:rPr>
                <w:rFonts w:eastAsia="Calibri"/>
                <w:sz w:val="20"/>
                <w:szCs w:val="20"/>
                <w:lang w:val="et-EE"/>
              </w:rPr>
              <w:t xml:space="preserve"> </w:t>
            </w:r>
            <w:r w:rsidRPr="0053423A">
              <w:rPr>
                <w:rFonts w:eastAsia="Calibri"/>
                <w:sz w:val="20"/>
                <w:szCs w:val="20"/>
                <w:lang w:val="en-GB"/>
              </w:rPr>
              <w:t>կիրականացվի</w:t>
            </w:r>
            <w:r w:rsidRPr="0053423A">
              <w:rPr>
                <w:rFonts w:eastAsia="Calibri"/>
                <w:sz w:val="20"/>
                <w:szCs w:val="20"/>
                <w:lang w:val="et-EE"/>
              </w:rPr>
              <w:t xml:space="preserve"> </w:t>
            </w:r>
            <w:r w:rsidRPr="0053423A">
              <w:rPr>
                <w:rFonts w:eastAsia="Calibri"/>
                <w:sz w:val="20"/>
                <w:szCs w:val="20"/>
                <w:lang w:val="en-GB"/>
              </w:rPr>
              <w:t>փոքրաքանակ</w:t>
            </w:r>
            <w:r w:rsidRPr="0053423A">
              <w:rPr>
                <w:rFonts w:eastAsia="Calibri"/>
                <w:sz w:val="20"/>
                <w:szCs w:val="20"/>
                <w:lang w:val="et-EE"/>
              </w:rPr>
              <w:t xml:space="preserve"> </w:t>
            </w:r>
            <w:r w:rsidRPr="0053423A">
              <w:rPr>
                <w:rFonts w:eastAsia="Calibri"/>
                <w:sz w:val="20"/>
                <w:szCs w:val="20"/>
                <w:lang w:val="en-GB"/>
              </w:rPr>
              <w:t>երեխաներով</w:t>
            </w:r>
            <w:r w:rsidRPr="0053423A">
              <w:rPr>
                <w:rFonts w:eastAsia="Calibri"/>
                <w:sz w:val="20"/>
                <w:szCs w:val="20"/>
                <w:lang w:val="et-EE"/>
              </w:rPr>
              <w:t xml:space="preserve"> </w:t>
            </w:r>
            <w:r w:rsidRPr="0053423A">
              <w:rPr>
                <w:rFonts w:eastAsia="Calibri"/>
                <w:sz w:val="20"/>
                <w:szCs w:val="20"/>
                <w:lang w:val="en-GB"/>
              </w:rPr>
              <w:t>համալրված</w:t>
            </w:r>
            <w:r w:rsidRPr="0053423A">
              <w:rPr>
                <w:rFonts w:eastAsia="Calibri"/>
                <w:sz w:val="20"/>
                <w:szCs w:val="20"/>
                <w:lang w:val="et-EE"/>
              </w:rPr>
              <w:t xml:space="preserve"> </w:t>
            </w:r>
            <w:r w:rsidRPr="0053423A">
              <w:rPr>
                <w:rFonts w:eastAsia="Calibri"/>
                <w:sz w:val="20"/>
                <w:szCs w:val="20"/>
                <w:lang w:val="en-GB"/>
              </w:rPr>
              <w:t>հանրակրթական</w:t>
            </w:r>
            <w:r w:rsidRPr="0053423A">
              <w:rPr>
                <w:rFonts w:eastAsia="Calibri"/>
                <w:sz w:val="20"/>
                <w:szCs w:val="20"/>
                <w:lang w:val="et-EE"/>
              </w:rPr>
              <w:t xml:space="preserve"> </w:t>
            </w:r>
            <w:r w:rsidRPr="0053423A">
              <w:rPr>
                <w:rFonts w:eastAsia="Calibri"/>
                <w:sz w:val="20"/>
                <w:szCs w:val="20"/>
                <w:lang w:val="en-GB"/>
              </w:rPr>
              <w:t>դպրոցների</w:t>
            </w:r>
            <w:r w:rsidRPr="0053423A">
              <w:rPr>
                <w:rFonts w:eastAsia="Calibri"/>
                <w:sz w:val="20"/>
                <w:szCs w:val="20"/>
                <w:lang w:val="et-EE"/>
              </w:rPr>
              <w:t xml:space="preserve"> </w:t>
            </w:r>
            <w:r w:rsidRPr="0053423A">
              <w:rPr>
                <w:rFonts w:eastAsia="Calibri"/>
                <w:sz w:val="20"/>
                <w:szCs w:val="20"/>
                <w:lang w:val="en-GB"/>
              </w:rPr>
              <w:t>մոդուլային</w:t>
            </w:r>
            <w:r w:rsidRPr="0053423A">
              <w:rPr>
                <w:rFonts w:eastAsia="Calibri"/>
                <w:sz w:val="20"/>
                <w:szCs w:val="20"/>
                <w:lang w:val="et-EE"/>
              </w:rPr>
              <w:t xml:space="preserve"> </w:t>
            </w:r>
            <w:r w:rsidRPr="0053423A">
              <w:rPr>
                <w:rFonts w:eastAsia="Calibri"/>
                <w:sz w:val="20"/>
                <w:szCs w:val="20"/>
                <w:lang w:val="en-GB"/>
              </w:rPr>
              <w:t>շենքերի</w:t>
            </w:r>
            <w:r w:rsidRPr="0053423A">
              <w:rPr>
                <w:rFonts w:eastAsia="Calibri"/>
                <w:sz w:val="20"/>
                <w:szCs w:val="20"/>
                <w:lang w:val="et-EE"/>
              </w:rPr>
              <w:t xml:space="preserve"> </w:t>
            </w:r>
            <w:r w:rsidRPr="0053423A">
              <w:rPr>
                <w:rFonts w:eastAsia="Calibri"/>
                <w:sz w:val="20"/>
                <w:szCs w:val="20"/>
                <w:lang w:val="en-GB"/>
              </w:rPr>
              <w:t>կառուցում</w:t>
            </w:r>
            <w:r w:rsidRPr="0053423A">
              <w:rPr>
                <w:rFonts w:eastAsia="Calibri"/>
                <w:sz w:val="20"/>
                <w:szCs w:val="20"/>
                <w:lang w:val="et-EE"/>
              </w:rPr>
              <w:t xml:space="preserve"> </w:t>
            </w:r>
            <w:r w:rsidRPr="0053423A">
              <w:rPr>
                <w:rFonts w:eastAsia="Calibri"/>
                <w:sz w:val="20"/>
                <w:szCs w:val="20"/>
                <w:lang w:val="en-GB"/>
              </w:rPr>
              <w:t>կամ</w:t>
            </w:r>
            <w:r w:rsidRPr="0053423A">
              <w:rPr>
                <w:rFonts w:eastAsia="Calibri"/>
                <w:sz w:val="20"/>
                <w:szCs w:val="20"/>
                <w:lang w:val="et-EE"/>
              </w:rPr>
              <w:t xml:space="preserve"> </w:t>
            </w:r>
            <w:r w:rsidRPr="0053423A">
              <w:rPr>
                <w:rFonts w:eastAsia="Calibri"/>
                <w:sz w:val="20"/>
                <w:szCs w:val="20"/>
                <w:lang w:val="en-GB"/>
              </w:rPr>
              <w:t>վերակառուցում</w:t>
            </w:r>
            <w:r w:rsidRPr="0053423A">
              <w:rPr>
                <w:rFonts w:eastAsia="Calibri"/>
                <w:sz w:val="20"/>
                <w:szCs w:val="20"/>
                <w:lang w:val="et-EE"/>
              </w:rPr>
              <w:t>:</w:t>
            </w:r>
          </w:p>
          <w:p w:rsidR="00154773" w:rsidRPr="0053423A" w:rsidRDefault="00154773" w:rsidP="00154773">
            <w:pPr>
              <w:tabs>
                <w:tab w:val="left" w:pos="2694"/>
              </w:tabs>
              <w:ind w:left="720"/>
              <w:contextualSpacing/>
              <w:rPr>
                <w:b/>
                <w:sz w:val="20"/>
                <w:szCs w:val="20"/>
                <w:lang w:val="et-EE"/>
              </w:rPr>
            </w:pPr>
          </w:p>
          <w:p w:rsidR="00154773" w:rsidRPr="0053423A" w:rsidRDefault="00154773" w:rsidP="00154773">
            <w:pPr>
              <w:ind w:left="360" w:firstLine="90"/>
              <w:contextualSpacing/>
              <w:rPr>
                <w:rFonts w:eastAsia="Times New Roman" w:cs="Times New Roman"/>
                <w:b/>
                <w:sz w:val="20"/>
                <w:szCs w:val="20"/>
                <w:lang w:val="et-EE"/>
              </w:rPr>
            </w:pPr>
            <w:r w:rsidRPr="0053423A">
              <w:rPr>
                <w:rFonts w:eastAsia="Times New Roman" w:cs="Times New Roman"/>
                <w:b/>
                <w:sz w:val="20"/>
                <w:szCs w:val="20"/>
                <w:lang w:val="et-EE"/>
              </w:rPr>
              <w:t xml:space="preserve">2. </w:t>
            </w:r>
            <w:r w:rsidRPr="0053423A">
              <w:rPr>
                <w:rFonts w:eastAsia="Times New Roman" w:cs="Times New Roman"/>
                <w:b/>
                <w:sz w:val="20"/>
                <w:szCs w:val="20"/>
                <w:lang w:val="hy-AM"/>
              </w:rPr>
              <w:t>Միջոցառման իրականացումից ակնկալվող արդյունքը</w:t>
            </w:r>
          </w:p>
          <w:p w:rsidR="00154773" w:rsidRPr="0053423A" w:rsidRDefault="00154773" w:rsidP="00154773">
            <w:pPr>
              <w:ind w:left="720"/>
              <w:contextualSpacing/>
              <w:rPr>
                <w:rFonts w:eastAsia="Times New Roman" w:cs="Times New Roman"/>
                <w:b/>
                <w:sz w:val="20"/>
                <w:szCs w:val="20"/>
                <w:lang w:val="et-EE"/>
              </w:rPr>
            </w:pPr>
          </w:p>
          <w:p w:rsidR="00154773" w:rsidRPr="0053423A" w:rsidRDefault="00154773" w:rsidP="00154773">
            <w:pPr>
              <w:ind w:firstLine="375"/>
              <w:rPr>
                <w:rFonts w:eastAsia="Times New Roman" w:cs="Times New Roman"/>
                <w:b/>
                <w:sz w:val="20"/>
                <w:szCs w:val="20"/>
                <w:lang w:val="hy-AM"/>
              </w:rPr>
            </w:pPr>
          </w:p>
          <w:p w:rsidR="00154773" w:rsidRPr="0053423A" w:rsidRDefault="00154773" w:rsidP="00154773">
            <w:pPr>
              <w:tabs>
                <w:tab w:val="left" w:pos="900"/>
              </w:tabs>
              <w:ind w:left="270"/>
              <w:contextualSpacing/>
              <w:jc w:val="both"/>
              <w:rPr>
                <w:rFonts w:cs="Sylfaen"/>
                <w:sz w:val="20"/>
                <w:szCs w:val="20"/>
                <w:lang w:val="et-EE"/>
              </w:rPr>
            </w:pPr>
            <w:r w:rsidRPr="0053423A">
              <w:rPr>
                <w:rFonts w:eastAsia="Times New Roman" w:cs="Courier New"/>
                <w:sz w:val="20"/>
                <w:szCs w:val="20"/>
                <w:lang w:val="et-EE"/>
              </w:rPr>
              <w:tab/>
            </w:r>
            <w:r w:rsidRPr="0053423A">
              <w:rPr>
                <w:rFonts w:eastAsia="Times New Roman" w:cs="Courier New"/>
                <w:sz w:val="20"/>
                <w:szCs w:val="20"/>
              </w:rPr>
              <w:t>Կբարելավվի</w:t>
            </w:r>
            <w:r w:rsidRPr="0053423A">
              <w:rPr>
                <w:rFonts w:eastAsia="Times New Roman" w:cs="Courier New"/>
                <w:sz w:val="20"/>
                <w:szCs w:val="20"/>
                <w:lang w:val="et-EE"/>
              </w:rPr>
              <w:t xml:space="preserve"> </w:t>
            </w:r>
            <w:r w:rsidRPr="0053423A">
              <w:rPr>
                <w:rFonts w:eastAsia="Times New Roman" w:cs="Courier New"/>
                <w:sz w:val="20"/>
                <w:szCs w:val="20"/>
              </w:rPr>
              <w:t>փ</w:t>
            </w:r>
            <w:r w:rsidRPr="0053423A">
              <w:rPr>
                <w:rFonts w:cs="Sylfaen"/>
                <w:sz w:val="20"/>
                <w:szCs w:val="20"/>
              </w:rPr>
              <w:t>ոքրաքանակ</w:t>
            </w:r>
            <w:r w:rsidRPr="0053423A">
              <w:rPr>
                <w:rFonts w:cs="Sylfaen"/>
                <w:sz w:val="20"/>
                <w:szCs w:val="20"/>
                <w:lang w:val="et-EE"/>
              </w:rPr>
              <w:t xml:space="preserve"> </w:t>
            </w:r>
            <w:r w:rsidRPr="0053423A">
              <w:rPr>
                <w:rFonts w:cs="Sylfaen"/>
                <w:sz w:val="20"/>
                <w:szCs w:val="20"/>
              </w:rPr>
              <w:t>երեխաներով</w:t>
            </w:r>
            <w:r w:rsidRPr="0053423A">
              <w:rPr>
                <w:rFonts w:cs="Sylfaen"/>
                <w:sz w:val="20"/>
                <w:szCs w:val="20"/>
                <w:lang w:val="et-EE"/>
              </w:rPr>
              <w:t xml:space="preserve"> </w:t>
            </w:r>
            <w:r w:rsidRPr="0053423A">
              <w:rPr>
                <w:rFonts w:cs="Sylfaen"/>
                <w:sz w:val="20"/>
                <w:szCs w:val="20"/>
              </w:rPr>
              <w:t>համալրված</w:t>
            </w:r>
            <w:r w:rsidRPr="0053423A">
              <w:rPr>
                <w:rFonts w:cs="Sylfaen"/>
                <w:sz w:val="20"/>
                <w:szCs w:val="20"/>
                <w:lang w:val="et-EE"/>
              </w:rPr>
              <w:t xml:space="preserve"> </w:t>
            </w:r>
            <w:r w:rsidRPr="0053423A">
              <w:rPr>
                <w:rFonts w:cs="Sylfaen"/>
                <w:sz w:val="20"/>
                <w:szCs w:val="20"/>
              </w:rPr>
              <w:t>հանրակրթական</w:t>
            </w:r>
            <w:r w:rsidRPr="0053423A">
              <w:rPr>
                <w:rFonts w:cs="Sylfaen"/>
                <w:sz w:val="20"/>
                <w:szCs w:val="20"/>
                <w:lang w:val="et-EE"/>
              </w:rPr>
              <w:t xml:space="preserve"> </w:t>
            </w:r>
            <w:r w:rsidRPr="0053423A">
              <w:rPr>
                <w:rFonts w:cs="Sylfaen"/>
                <w:sz w:val="20"/>
                <w:szCs w:val="20"/>
              </w:rPr>
              <w:t>դպրոցների</w:t>
            </w:r>
            <w:r w:rsidRPr="0053423A">
              <w:rPr>
                <w:rFonts w:cs="Sylfaen"/>
                <w:sz w:val="20"/>
                <w:szCs w:val="20"/>
                <w:lang w:val="et-EE"/>
              </w:rPr>
              <w:t xml:space="preserve"> </w:t>
            </w:r>
            <w:r w:rsidRPr="0053423A">
              <w:rPr>
                <w:rFonts w:cs="Sylfaen"/>
                <w:sz w:val="20"/>
                <w:szCs w:val="20"/>
              </w:rPr>
              <w:t>մոդուլային</w:t>
            </w:r>
            <w:r w:rsidRPr="0053423A">
              <w:rPr>
                <w:rFonts w:cs="Sylfaen"/>
                <w:sz w:val="20"/>
                <w:szCs w:val="20"/>
                <w:lang w:val="et-EE"/>
              </w:rPr>
              <w:t xml:space="preserve"> </w:t>
            </w:r>
            <w:r w:rsidRPr="0053423A">
              <w:rPr>
                <w:rFonts w:cs="Sylfaen"/>
                <w:sz w:val="20"/>
                <w:szCs w:val="20"/>
              </w:rPr>
              <w:t>շենքերի</w:t>
            </w:r>
            <w:r w:rsidRPr="0053423A">
              <w:rPr>
                <w:rFonts w:cs="Sylfaen"/>
                <w:sz w:val="20"/>
                <w:szCs w:val="20"/>
                <w:lang w:val="et-EE"/>
              </w:rPr>
              <w:t xml:space="preserve"> </w:t>
            </w:r>
            <w:r w:rsidRPr="0053423A">
              <w:rPr>
                <w:rFonts w:cs="Sylfaen"/>
                <w:sz w:val="20"/>
                <w:szCs w:val="20"/>
              </w:rPr>
              <w:t>ֆիզիկական</w:t>
            </w:r>
            <w:r w:rsidRPr="0053423A">
              <w:rPr>
                <w:rFonts w:cs="Sylfaen"/>
                <w:sz w:val="20"/>
                <w:szCs w:val="20"/>
                <w:lang w:val="et-EE"/>
              </w:rPr>
              <w:t xml:space="preserve"> </w:t>
            </w:r>
            <w:r w:rsidRPr="0053423A">
              <w:rPr>
                <w:rFonts w:cs="Sylfaen"/>
                <w:sz w:val="20"/>
                <w:szCs w:val="20"/>
              </w:rPr>
              <w:t>վիճակը</w:t>
            </w:r>
            <w:r w:rsidRPr="0053423A">
              <w:rPr>
                <w:rFonts w:cs="Sylfaen"/>
                <w:sz w:val="20"/>
                <w:szCs w:val="20"/>
                <w:lang w:val="et-EE"/>
              </w:rPr>
              <w:t xml:space="preserve">` </w:t>
            </w:r>
            <w:r w:rsidRPr="0053423A">
              <w:rPr>
                <w:rFonts w:cs="Sylfaen"/>
                <w:sz w:val="20"/>
                <w:szCs w:val="20"/>
              </w:rPr>
              <w:t>հետագայում</w:t>
            </w:r>
            <w:r w:rsidRPr="0053423A">
              <w:rPr>
                <w:rFonts w:cs="Sylfaen"/>
                <w:sz w:val="20"/>
                <w:szCs w:val="20"/>
                <w:lang w:val="et-EE"/>
              </w:rPr>
              <w:t xml:space="preserve"> </w:t>
            </w:r>
            <w:r w:rsidRPr="0053423A">
              <w:rPr>
                <w:rFonts w:cs="Sylfaen"/>
                <w:sz w:val="20"/>
                <w:szCs w:val="20"/>
              </w:rPr>
              <w:t>դրանք</w:t>
            </w:r>
            <w:r w:rsidRPr="0053423A">
              <w:rPr>
                <w:rFonts w:cs="Sylfaen"/>
                <w:sz w:val="20"/>
                <w:szCs w:val="20"/>
                <w:lang w:val="et-EE"/>
              </w:rPr>
              <w:t xml:space="preserve"> </w:t>
            </w:r>
            <w:r w:rsidRPr="0053423A">
              <w:rPr>
                <w:rFonts w:cs="Sylfaen"/>
                <w:sz w:val="20"/>
                <w:szCs w:val="20"/>
              </w:rPr>
              <w:t>կրթամշակութային</w:t>
            </w:r>
            <w:r w:rsidRPr="0053423A">
              <w:rPr>
                <w:rFonts w:cs="Sylfaen"/>
                <w:sz w:val="20"/>
                <w:szCs w:val="20"/>
                <w:lang w:val="et-EE"/>
              </w:rPr>
              <w:t xml:space="preserve"> </w:t>
            </w:r>
            <w:r w:rsidRPr="0053423A">
              <w:rPr>
                <w:rFonts w:cs="Sylfaen"/>
                <w:sz w:val="20"/>
                <w:szCs w:val="20"/>
              </w:rPr>
              <w:t>կենտրոնների</w:t>
            </w:r>
            <w:r w:rsidRPr="0053423A">
              <w:rPr>
                <w:rFonts w:cs="Sylfaen"/>
                <w:sz w:val="20"/>
                <w:szCs w:val="20"/>
                <w:lang w:val="et-EE"/>
              </w:rPr>
              <w:t xml:space="preserve"> </w:t>
            </w:r>
            <w:r w:rsidRPr="0053423A">
              <w:rPr>
                <w:rFonts w:cs="Sylfaen"/>
                <w:sz w:val="20"/>
                <w:szCs w:val="20"/>
              </w:rPr>
              <w:t>վերածելու</w:t>
            </w:r>
            <w:r w:rsidRPr="0053423A">
              <w:rPr>
                <w:rFonts w:cs="Sylfaen"/>
                <w:sz w:val="20"/>
                <w:szCs w:val="20"/>
                <w:lang w:val="et-EE"/>
              </w:rPr>
              <w:t xml:space="preserve"> </w:t>
            </w:r>
            <w:r w:rsidRPr="0053423A">
              <w:rPr>
                <w:rFonts w:cs="Sylfaen"/>
                <w:sz w:val="20"/>
                <w:szCs w:val="20"/>
              </w:rPr>
              <w:t>հեռանկարով</w:t>
            </w:r>
            <w:r w:rsidRPr="0053423A">
              <w:rPr>
                <w:rFonts w:cs="Sylfaen"/>
                <w:sz w:val="20"/>
                <w:szCs w:val="20"/>
                <w:lang w:val="et-EE"/>
              </w:rPr>
              <w:t xml:space="preserve">: </w:t>
            </w:r>
            <w:r w:rsidRPr="0053423A">
              <w:rPr>
                <w:rFonts w:cs="Sylfaen"/>
                <w:sz w:val="20"/>
                <w:szCs w:val="20"/>
              </w:rPr>
              <w:t>Տարեցտարի</w:t>
            </w:r>
            <w:r w:rsidRPr="0053423A">
              <w:rPr>
                <w:rFonts w:cs="Sylfaen"/>
                <w:sz w:val="20"/>
                <w:szCs w:val="20"/>
                <w:lang w:val="et-EE"/>
              </w:rPr>
              <w:t xml:space="preserve"> </w:t>
            </w:r>
            <w:r w:rsidRPr="0053423A">
              <w:rPr>
                <w:rFonts w:cs="Sylfaen"/>
                <w:sz w:val="20"/>
                <w:szCs w:val="20"/>
              </w:rPr>
              <w:t>ծրագրի</w:t>
            </w:r>
            <w:r w:rsidRPr="0053423A">
              <w:rPr>
                <w:rFonts w:cs="Sylfaen"/>
                <w:sz w:val="20"/>
                <w:szCs w:val="20"/>
                <w:lang w:val="et-EE"/>
              </w:rPr>
              <w:t xml:space="preserve"> </w:t>
            </w:r>
            <w:r w:rsidRPr="0053423A">
              <w:rPr>
                <w:rFonts w:cs="Sylfaen"/>
                <w:sz w:val="20"/>
                <w:szCs w:val="20"/>
              </w:rPr>
              <w:t>շրջանակը</w:t>
            </w:r>
            <w:r w:rsidRPr="0053423A">
              <w:rPr>
                <w:rFonts w:cs="Sylfaen"/>
                <w:sz w:val="20"/>
                <w:szCs w:val="20"/>
                <w:lang w:val="et-EE"/>
              </w:rPr>
              <w:t xml:space="preserve">  </w:t>
            </w:r>
            <w:r w:rsidRPr="0053423A">
              <w:rPr>
                <w:rFonts w:cs="Sylfaen"/>
                <w:sz w:val="20"/>
                <w:szCs w:val="20"/>
              </w:rPr>
              <w:t>կընդլայնվի</w:t>
            </w:r>
            <w:r w:rsidRPr="0053423A">
              <w:rPr>
                <w:rFonts w:cs="Sylfaen"/>
                <w:sz w:val="20"/>
                <w:szCs w:val="20"/>
                <w:lang w:val="et-EE"/>
              </w:rPr>
              <w:t xml:space="preserve">` </w:t>
            </w:r>
            <w:r w:rsidRPr="0053423A">
              <w:rPr>
                <w:rFonts w:cs="Sylfaen"/>
                <w:sz w:val="20"/>
                <w:szCs w:val="20"/>
              </w:rPr>
              <w:t>ընդգրկելով</w:t>
            </w:r>
            <w:r w:rsidRPr="0053423A">
              <w:rPr>
                <w:rFonts w:cs="Sylfaen"/>
                <w:sz w:val="20"/>
                <w:szCs w:val="20"/>
                <w:lang w:val="et-EE"/>
              </w:rPr>
              <w:t xml:space="preserve"> </w:t>
            </w:r>
            <w:r w:rsidRPr="0053423A">
              <w:rPr>
                <w:rFonts w:eastAsia="Times New Roman" w:cs="Courier New"/>
                <w:sz w:val="20"/>
                <w:szCs w:val="20"/>
              </w:rPr>
              <w:t>փ</w:t>
            </w:r>
            <w:r w:rsidRPr="0053423A">
              <w:rPr>
                <w:rFonts w:cs="Sylfaen"/>
                <w:sz w:val="20"/>
                <w:szCs w:val="20"/>
              </w:rPr>
              <w:t>ոքրաքանակ</w:t>
            </w:r>
            <w:r w:rsidRPr="0053423A">
              <w:rPr>
                <w:rFonts w:cs="Sylfaen"/>
                <w:sz w:val="20"/>
                <w:szCs w:val="20"/>
                <w:lang w:val="et-EE"/>
              </w:rPr>
              <w:t xml:space="preserve"> </w:t>
            </w:r>
            <w:r w:rsidRPr="0053423A">
              <w:rPr>
                <w:rFonts w:cs="Sylfaen"/>
                <w:sz w:val="20"/>
                <w:szCs w:val="20"/>
              </w:rPr>
              <w:t>երեխաներով</w:t>
            </w:r>
            <w:r w:rsidRPr="0053423A">
              <w:rPr>
                <w:rFonts w:cs="Sylfaen"/>
                <w:sz w:val="20"/>
                <w:szCs w:val="20"/>
                <w:lang w:val="et-EE"/>
              </w:rPr>
              <w:t xml:space="preserve"> </w:t>
            </w:r>
            <w:r w:rsidRPr="0053423A">
              <w:rPr>
                <w:rFonts w:cs="Sylfaen"/>
                <w:sz w:val="20"/>
                <w:szCs w:val="20"/>
              </w:rPr>
              <w:t>համալրված</w:t>
            </w:r>
            <w:r w:rsidRPr="0053423A">
              <w:rPr>
                <w:rFonts w:cs="Sylfaen"/>
                <w:sz w:val="20"/>
                <w:szCs w:val="20"/>
                <w:lang w:val="et-EE"/>
              </w:rPr>
              <w:t xml:space="preserve"> </w:t>
            </w:r>
            <w:r w:rsidRPr="0053423A">
              <w:rPr>
                <w:rFonts w:cs="Sylfaen"/>
                <w:sz w:val="20"/>
                <w:szCs w:val="20"/>
              </w:rPr>
              <w:t>ավելի</w:t>
            </w:r>
            <w:r w:rsidRPr="0053423A">
              <w:rPr>
                <w:rFonts w:cs="Sylfaen"/>
                <w:sz w:val="20"/>
                <w:szCs w:val="20"/>
                <w:lang w:val="et-EE"/>
              </w:rPr>
              <w:t xml:space="preserve"> </w:t>
            </w:r>
            <w:r w:rsidRPr="0053423A">
              <w:rPr>
                <w:rFonts w:cs="Sylfaen"/>
                <w:sz w:val="20"/>
                <w:szCs w:val="20"/>
              </w:rPr>
              <w:t>շատ</w:t>
            </w:r>
            <w:r w:rsidRPr="0053423A">
              <w:rPr>
                <w:rFonts w:cs="Sylfaen"/>
                <w:sz w:val="20"/>
                <w:szCs w:val="20"/>
                <w:lang w:val="et-EE"/>
              </w:rPr>
              <w:t xml:space="preserve">  </w:t>
            </w:r>
            <w:r w:rsidRPr="0053423A">
              <w:rPr>
                <w:rFonts w:cs="Sylfaen"/>
                <w:sz w:val="20"/>
                <w:szCs w:val="20"/>
              </w:rPr>
              <w:t>դպրոցներ</w:t>
            </w:r>
            <w:r w:rsidRPr="0053423A">
              <w:rPr>
                <w:rFonts w:cs="Sylfaen"/>
                <w:sz w:val="20"/>
                <w:szCs w:val="20"/>
                <w:lang w:val="et-EE"/>
              </w:rPr>
              <w:t>:</w:t>
            </w:r>
          </w:p>
          <w:p w:rsidR="00154773" w:rsidRPr="0053423A" w:rsidRDefault="00154773" w:rsidP="00154773">
            <w:pPr>
              <w:tabs>
                <w:tab w:val="left" w:pos="393"/>
              </w:tabs>
              <w:rPr>
                <w:rFonts w:eastAsia="Times New Roman" w:cs="Times New Roman"/>
                <w:b/>
                <w:sz w:val="20"/>
                <w:szCs w:val="20"/>
                <w:lang w:val="et-EE"/>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ind w:firstLine="375"/>
              <w:jc w:val="center"/>
              <w:rPr>
                <w:rFonts w:eastAsia="Times New Roman" w:cs="Times New Roman"/>
                <w:b/>
                <w:sz w:val="20"/>
                <w:szCs w:val="20"/>
                <w:u w:val="single"/>
                <w:lang w:val="et-EE"/>
              </w:rPr>
            </w:pPr>
            <w:r w:rsidRPr="0053423A">
              <w:rPr>
                <w:rFonts w:eastAsia="Times New Roman" w:cs="Times New Roman"/>
                <w:b/>
                <w:sz w:val="20"/>
                <w:szCs w:val="20"/>
                <w:u w:val="single"/>
                <w:lang w:val="et-EE"/>
              </w:rPr>
              <w:t>20.2</w:t>
            </w:r>
            <w:r w:rsidRPr="0053423A">
              <w:rPr>
                <w:rFonts w:eastAsia="Times New Roman" w:cs="Times New Roman"/>
                <w:b/>
                <w:sz w:val="20"/>
                <w:szCs w:val="20"/>
                <w:u w:val="single"/>
                <w:lang w:val="hy-AM"/>
              </w:rPr>
              <w:t xml:space="preserve"> Օժանդակություն դպրոցների աղետների ռիսկերի կառավարմանը</w:t>
            </w:r>
          </w:p>
          <w:p w:rsidR="00154773" w:rsidRPr="0053423A" w:rsidRDefault="00154773" w:rsidP="00154773">
            <w:pPr>
              <w:ind w:firstLine="375"/>
              <w:jc w:val="both"/>
              <w:rPr>
                <w:rFonts w:eastAsia="Times New Roman" w:cs="Times New Roman"/>
                <w:b/>
                <w:sz w:val="20"/>
                <w:szCs w:val="20"/>
                <w:lang w:val="et-EE"/>
              </w:rPr>
            </w:pPr>
          </w:p>
          <w:p w:rsidR="00154773" w:rsidRPr="0053423A" w:rsidRDefault="00154773" w:rsidP="00154773">
            <w:pPr>
              <w:tabs>
                <w:tab w:val="left" w:pos="810"/>
                <w:tab w:val="left" w:pos="2694"/>
              </w:tabs>
              <w:ind w:left="720"/>
              <w:contextualSpacing/>
              <w:jc w:val="both"/>
              <w:rPr>
                <w:b/>
                <w:sz w:val="20"/>
                <w:szCs w:val="20"/>
                <w:lang w:val="et-EE"/>
              </w:rPr>
            </w:pPr>
            <w:r w:rsidRPr="0053423A">
              <w:rPr>
                <w:b/>
                <w:sz w:val="20"/>
                <w:szCs w:val="20"/>
                <w:lang w:val="et-EE"/>
              </w:rPr>
              <w:t>1.</w:t>
            </w:r>
            <w:r w:rsidRPr="0053423A">
              <w:rPr>
                <w:b/>
                <w:sz w:val="20"/>
                <w:szCs w:val="20"/>
                <w:lang w:val="hy-AM"/>
              </w:rPr>
              <w:t>Միջոցառման</w:t>
            </w:r>
            <w:r w:rsidRPr="0053423A">
              <w:rPr>
                <w:b/>
                <w:sz w:val="20"/>
                <w:szCs w:val="20"/>
                <w:lang w:val="et-EE"/>
              </w:rPr>
              <w:t xml:space="preserve"> </w:t>
            </w:r>
            <w:r w:rsidRPr="0053423A">
              <w:rPr>
                <w:b/>
                <w:sz w:val="20"/>
                <w:szCs w:val="20"/>
                <w:lang w:val="hy-AM"/>
              </w:rPr>
              <w:t>իրականացման</w:t>
            </w:r>
            <w:r w:rsidRPr="0053423A">
              <w:rPr>
                <w:b/>
                <w:sz w:val="20"/>
                <w:szCs w:val="20"/>
                <w:lang w:val="et-EE"/>
              </w:rPr>
              <w:t xml:space="preserve"> </w:t>
            </w:r>
            <w:r w:rsidRPr="0053423A">
              <w:rPr>
                <w:b/>
                <w:sz w:val="20"/>
                <w:szCs w:val="20"/>
                <w:lang w:val="hy-AM"/>
              </w:rPr>
              <w:t>անհրաժեշտությունը</w:t>
            </w:r>
            <w:r w:rsidRPr="0053423A">
              <w:rPr>
                <w:b/>
                <w:sz w:val="20"/>
                <w:szCs w:val="20"/>
                <w:lang w:val="et-EE"/>
              </w:rPr>
              <w:t xml:space="preserve"> </w:t>
            </w:r>
            <w:r w:rsidRPr="0053423A">
              <w:rPr>
                <w:b/>
                <w:sz w:val="20"/>
                <w:szCs w:val="20"/>
                <w:lang w:val="hy-AM"/>
              </w:rPr>
              <w:t>և</w:t>
            </w:r>
            <w:r w:rsidRPr="0053423A">
              <w:rPr>
                <w:b/>
                <w:sz w:val="20"/>
                <w:szCs w:val="20"/>
                <w:lang w:val="et-EE"/>
              </w:rPr>
              <w:t xml:space="preserve"> </w:t>
            </w:r>
            <w:r w:rsidRPr="0053423A">
              <w:rPr>
                <w:b/>
                <w:sz w:val="20"/>
                <w:szCs w:val="20"/>
                <w:lang w:val="hy-AM"/>
              </w:rPr>
              <w:t>նպատակը</w:t>
            </w:r>
          </w:p>
          <w:p w:rsidR="00154773" w:rsidRPr="0053423A" w:rsidRDefault="00154773" w:rsidP="00154773">
            <w:pPr>
              <w:tabs>
                <w:tab w:val="left" w:pos="2694"/>
              </w:tabs>
              <w:ind w:left="720"/>
              <w:contextualSpacing/>
              <w:rPr>
                <w:b/>
                <w:sz w:val="20"/>
                <w:szCs w:val="20"/>
                <w:lang w:val="et-EE"/>
              </w:rPr>
            </w:pPr>
          </w:p>
          <w:p w:rsidR="00154773" w:rsidRPr="0053423A" w:rsidRDefault="00154773" w:rsidP="00154773">
            <w:pPr>
              <w:tabs>
                <w:tab w:val="left" w:pos="450"/>
              </w:tabs>
              <w:contextualSpacing/>
              <w:jc w:val="both"/>
              <w:rPr>
                <w:rFonts w:eastAsia="Calibri" w:cs="Arian AMU"/>
                <w:sz w:val="20"/>
                <w:szCs w:val="20"/>
                <w:lang w:val="et-EE"/>
              </w:rPr>
            </w:pPr>
            <w:r w:rsidRPr="0053423A">
              <w:rPr>
                <w:spacing w:val="-4"/>
                <w:sz w:val="20"/>
                <w:szCs w:val="20"/>
                <w:lang w:val="et-EE"/>
              </w:rPr>
              <w:tab/>
            </w:r>
            <w:r w:rsidRPr="0053423A">
              <w:rPr>
                <w:spacing w:val="-4"/>
                <w:sz w:val="20"/>
                <w:szCs w:val="20"/>
              </w:rPr>
              <w:t>Միջոցառման</w:t>
            </w:r>
            <w:r w:rsidRPr="0053423A">
              <w:rPr>
                <w:spacing w:val="-4"/>
                <w:sz w:val="20"/>
                <w:szCs w:val="20"/>
                <w:lang w:val="et-EE"/>
              </w:rPr>
              <w:t xml:space="preserve"> </w:t>
            </w:r>
            <w:r w:rsidRPr="0053423A">
              <w:rPr>
                <w:spacing w:val="-4"/>
                <w:sz w:val="20"/>
                <w:szCs w:val="20"/>
              </w:rPr>
              <w:t>անհրաժեշտությունը</w:t>
            </w:r>
            <w:r w:rsidRPr="0053423A">
              <w:rPr>
                <w:spacing w:val="-4"/>
                <w:sz w:val="20"/>
                <w:szCs w:val="20"/>
                <w:lang w:val="et-EE"/>
              </w:rPr>
              <w:t xml:space="preserve"> </w:t>
            </w:r>
            <w:r w:rsidRPr="0053423A">
              <w:rPr>
                <w:spacing w:val="-4"/>
                <w:sz w:val="20"/>
                <w:szCs w:val="20"/>
              </w:rPr>
              <w:t>բխում</w:t>
            </w:r>
            <w:r w:rsidRPr="0053423A">
              <w:rPr>
                <w:spacing w:val="-4"/>
                <w:sz w:val="20"/>
                <w:szCs w:val="20"/>
                <w:lang w:val="et-EE"/>
              </w:rPr>
              <w:t xml:space="preserve"> </w:t>
            </w:r>
            <w:r w:rsidRPr="0053423A">
              <w:rPr>
                <w:spacing w:val="-4"/>
                <w:sz w:val="20"/>
                <w:szCs w:val="20"/>
              </w:rPr>
              <w:t>է</w:t>
            </w:r>
            <w:r w:rsidRPr="0053423A">
              <w:rPr>
                <w:spacing w:val="-4"/>
                <w:sz w:val="20"/>
                <w:szCs w:val="20"/>
                <w:lang w:val="et-EE"/>
              </w:rPr>
              <w:t xml:space="preserve"> </w:t>
            </w:r>
            <w:r w:rsidRPr="0053423A">
              <w:rPr>
                <w:spacing w:val="-4"/>
                <w:sz w:val="20"/>
                <w:szCs w:val="20"/>
              </w:rPr>
              <w:t>ՀՀ</w:t>
            </w:r>
            <w:r w:rsidRPr="0053423A">
              <w:rPr>
                <w:spacing w:val="-4"/>
                <w:sz w:val="20"/>
                <w:szCs w:val="20"/>
                <w:lang w:val="et-EE"/>
              </w:rPr>
              <w:t xml:space="preserve"> </w:t>
            </w:r>
            <w:r w:rsidRPr="0053423A">
              <w:rPr>
                <w:spacing w:val="-4"/>
                <w:sz w:val="20"/>
                <w:szCs w:val="20"/>
              </w:rPr>
              <w:t>ԱԺ</w:t>
            </w:r>
            <w:r w:rsidRPr="0053423A">
              <w:rPr>
                <w:spacing w:val="-4"/>
                <w:sz w:val="20"/>
                <w:szCs w:val="20"/>
                <w:lang w:val="et-EE"/>
              </w:rPr>
              <w:t xml:space="preserve"> 2019 </w:t>
            </w:r>
            <w:r w:rsidRPr="0053423A">
              <w:rPr>
                <w:spacing w:val="-4"/>
                <w:sz w:val="20"/>
                <w:szCs w:val="20"/>
              </w:rPr>
              <w:t>թվականի</w:t>
            </w:r>
            <w:r w:rsidRPr="0053423A">
              <w:rPr>
                <w:spacing w:val="-4"/>
                <w:sz w:val="20"/>
                <w:szCs w:val="20"/>
                <w:lang w:val="et-EE"/>
              </w:rPr>
              <w:t xml:space="preserve"> </w:t>
            </w:r>
            <w:r w:rsidRPr="0053423A">
              <w:rPr>
                <w:spacing w:val="-4"/>
                <w:sz w:val="20"/>
                <w:szCs w:val="20"/>
              </w:rPr>
              <w:t>փետրվարի</w:t>
            </w:r>
            <w:r w:rsidRPr="0053423A">
              <w:rPr>
                <w:spacing w:val="-4"/>
                <w:sz w:val="20"/>
                <w:szCs w:val="20"/>
                <w:lang w:val="et-EE"/>
              </w:rPr>
              <w:t xml:space="preserve"> 14-</w:t>
            </w:r>
            <w:r w:rsidRPr="0053423A">
              <w:rPr>
                <w:spacing w:val="-4"/>
                <w:sz w:val="20"/>
                <w:szCs w:val="20"/>
              </w:rPr>
              <w:t>ի</w:t>
            </w:r>
            <w:r w:rsidRPr="0053423A">
              <w:rPr>
                <w:spacing w:val="-4"/>
                <w:sz w:val="20"/>
                <w:szCs w:val="20"/>
                <w:lang w:val="et-EE"/>
              </w:rPr>
              <w:t xml:space="preserve"> </w:t>
            </w:r>
            <w:r w:rsidRPr="0053423A">
              <w:rPr>
                <w:spacing w:val="-4"/>
                <w:sz w:val="20"/>
                <w:szCs w:val="20"/>
              </w:rPr>
              <w:t>ԱԺՈ</w:t>
            </w:r>
            <w:r w:rsidRPr="0053423A">
              <w:rPr>
                <w:spacing w:val="-4"/>
                <w:sz w:val="20"/>
                <w:szCs w:val="20"/>
                <w:lang w:val="et-EE"/>
              </w:rPr>
              <w:t>-002-</w:t>
            </w:r>
            <w:r w:rsidRPr="0053423A">
              <w:rPr>
                <w:spacing w:val="-4"/>
                <w:sz w:val="20"/>
                <w:szCs w:val="20"/>
              </w:rPr>
              <w:t>Ն</w:t>
            </w:r>
            <w:r w:rsidRPr="0053423A">
              <w:rPr>
                <w:spacing w:val="-4"/>
                <w:sz w:val="20"/>
                <w:szCs w:val="20"/>
                <w:lang w:val="et-EE"/>
              </w:rPr>
              <w:t xml:space="preserve"> </w:t>
            </w:r>
            <w:r w:rsidRPr="0053423A">
              <w:rPr>
                <w:spacing w:val="-4"/>
                <w:sz w:val="20"/>
                <w:szCs w:val="20"/>
              </w:rPr>
              <w:t>որոշմամբ</w:t>
            </w:r>
            <w:r w:rsidRPr="0053423A">
              <w:rPr>
                <w:spacing w:val="-4"/>
                <w:sz w:val="20"/>
                <w:szCs w:val="20"/>
                <w:lang w:val="et-EE"/>
              </w:rPr>
              <w:t xml:space="preserve"> </w:t>
            </w:r>
            <w:r w:rsidRPr="0053423A">
              <w:rPr>
                <w:spacing w:val="-4"/>
                <w:sz w:val="20"/>
                <w:szCs w:val="20"/>
              </w:rPr>
              <w:t>հավանության</w:t>
            </w:r>
            <w:r w:rsidRPr="0053423A">
              <w:rPr>
                <w:spacing w:val="-4"/>
                <w:sz w:val="20"/>
                <w:szCs w:val="20"/>
                <w:lang w:val="et-EE"/>
              </w:rPr>
              <w:t xml:space="preserve"> </w:t>
            </w:r>
            <w:r w:rsidRPr="0053423A">
              <w:rPr>
                <w:spacing w:val="-4"/>
                <w:sz w:val="20"/>
                <w:szCs w:val="20"/>
              </w:rPr>
              <w:t>արժանացած</w:t>
            </w:r>
            <w:r w:rsidRPr="0053423A">
              <w:rPr>
                <w:spacing w:val="-4"/>
                <w:sz w:val="20"/>
                <w:szCs w:val="20"/>
                <w:lang w:val="et-EE"/>
              </w:rPr>
              <w:t xml:space="preserve"> </w:t>
            </w:r>
            <w:r w:rsidRPr="0053423A">
              <w:rPr>
                <w:spacing w:val="-4"/>
                <w:sz w:val="20"/>
                <w:szCs w:val="20"/>
              </w:rPr>
              <w:t>ՀՀ</w:t>
            </w:r>
            <w:r w:rsidRPr="0053423A">
              <w:rPr>
                <w:spacing w:val="-4"/>
                <w:sz w:val="20"/>
                <w:szCs w:val="20"/>
                <w:lang w:val="et-EE"/>
              </w:rPr>
              <w:t xml:space="preserve"> </w:t>
            </w:r>
            <w:r w:rsidRPr="0053423A">
              <w:rPr>
                <w:spacing w:val="-4"/>
                <w:sz w:val="20"/>
                <w:szCs w:val="20"/>
              </w:rPr>
              <w:t>կառավարության</w:t>
            </w:r>
            <w:r w:rsidRPr="0053423A">
              <w:rPr>
                <w:spacing w:val="-4"/>
                <w:sz w:val="20"/>
                <w:szCs w:val="20"/>
                <w:lang w:val="et-EE"/>
              </w:rPr>
              <w:t xml:space="preserve"> </w:t>
            </w:r>
            <w:r w:rsidRPr="0053423A">
              <w:rPr>
                <w:spacing w:val="-4"/>
                <w:sz w:val="20"/>
                <w:szCs w:val="20"/>
              </w:rPr>
              <w:t>ծրագրի</w:t>
            </w:r>
            <w:r w:rsidRPr="0053423A">
              <w:rPr>
                <w:spacing w:val="-4"/>
                <w:sz w:val="20"/>
                <w:szCs w:val="20"/>
                <w:lang w:val="et-EE"/>
              </w:rPr>
              <w:t xml:space="preserve"> </w:t>
            </w:r>
            <w:r w:rsidRPr="0053423A">
              <w:rPr>
                <w:rFonts w:eastAsia="Times New Roman" w:cs="Times New Roman"/>
                <w:sz w:val="20"/>
                <w:szCs w:val="20"/>
                <w:lang w:val="et-EE"/>
              </w:rPr>
              <w:t>«</w:t>
            </w:r>
            <w:r w:rsidRPr="0053423A">
              <w:rPr>
                <w:spacing w:val="-4"/>
                <w:sz w:val="20"/>
                <w:szCs w:val="20"/>
                <w:lang w:val="et-EE"/>
              </w:rPr>
              <w:t xml:space="preserve">4.4 </w:t>
            </w:r>
            <w:r w:rsidRPr="0053423A">
              <w:rPr>
                <w:spacing w:val="-4"/>
                <w:sz w:val="20"/>
                <w:szCs w:val="20"/>
              </w:rPr>
              <w:t>ԿՐԹՈՒԹՅՈՒՆ</w:t>
            </w:r>
            <w:r w:rsidRPr="0053423A">
              <w:rPr>
                <w:spacing w:val="-4"/>
                <w:sz w:val="20"/>
                <w:szCs w:val="20"/>
                <w:lang w:val="et-EE"/>
              </w:rPr>
              <w:t xml:space="preserve"> </w:t>
            </w:r>
            <w:r w:rsidRPr="0053423A">
              <w:rPr>
                <w:spacing w:val="-4"/>
                <w:sz w:val="20"/>
                <w:szCs w:val="20"/>
              </w:rPr>
              <w:t>ԵՎ</w:t>
            </w:r>
            <w:r w:rsidRPr="0053423A">
              <w:rPr>
                <w:spacing w:val="-4"/>
                <w:sz w:val="20"/>
                <w:szCs w:val="20"/>
                <w:lang w:val="et-EE"/>
              </w:rPr>
              <w:t xml:space="preserve"> </w:t>
            </w:r>
            <w:r w:rsidRPr="0053423A">
              <w:rPr>
                <w:spacing w:val="-4"/>
                <w:sz w:val="20"/>
                <w:szCs w:val="20"/>
              </w:rPr>
              <w:t>ԳԻՏՈՒԹՅՈՒՆ</w:t>
            </w:r>
            <w:r w:rsidRPr="0053423A">
              <w:rPr>
                <w:rFonts w:eastAsia="Times New Roman" w:cs="Times New Roman"/>
                <w:sz w:val="20"/>
                <w:szCs w:val="20"/>
                <w:lang w:val="et-EE"/>
              </w:rPr>
              <w:t xml:space="preserve">»  </w:t>
            </w:r>
            <w:r w:rsidRPr="0053423A">
              <w:rPr>
                <w:rFonts w:eastAsia="Calibri" w:cs="Sylfaen"/>
                <w:sz w:val="20"/>
                <w:szCs w:val="20"/>
                <w:lang w:val="hy-AM"/>
              </w:rPr>
              <w:t>բաժնի</w:t>
            </w:r>
            <w:r w:rsidRPr="0053423A">
              <w:rPr>
                <w:rFonts w:eastAsia="Calibri" w:cs="Sylfaen"/>
                <w:sz w:val="20"/>
                <w:szCs w:val="20"/>
                <w:lang w:val="et-EE"/>
              </w:rPr>
              <w:t xml:space="preserve"> </w:t>
            </w:r>
            <w:r w:rsidRPr="0053423A">
              <w:rPr>
                <w:rFonts w:eastAsia="Calibri" w:cs="Arian AMU"/>
                <w:sz w:val="20"/>
                <w:szCs w:val="20"/>
                <w:lang w:val="et-EE"/>
              </w:rPr>
              <w:t>4</w:t>
            </w:r>
            <w:r w:rsidRPr="0053423A">
              <w:rPr>
                <w:rFonts w:eastAsia="Calibri" w:cs="Arian AMU"/>
                <w:sz w:val="20"/>
                <w:szCs w:val="20"/>
                <w:lang w:val="hy-AM"/>
              </w:rPr>
              <w:t xml:space="preserve">.4 </w:t>
            </w:r>
            <w:r w:rsidRPr="0053423A">
              <w:rPr>
                <w:rFonts w:eastAsia="Calibri" w:cs="Arian AMU"/>
                <w:sz w:val="20"/>
                <w:szCs w:val="20"/>
                <w:lang w:val="et-EE"/>
              </w:rPr>
              <w:t xml:space="preserve">  </w:t>
            </w:r>
            <w:r w:rsidRPr="0053423A">
              <w:rPr>
                <w:rFonts w:eastAsia="Calibri" w:cs="Arian AMU"/>
                <w:sz w:val="20"/>
                <w:szCs w:val="20"/>
                <w:lang w:val="hy-AM"/>
              </w:rPr>
              <w:t xml:space="preserve">կետի </w:t>
            </w:r>
            <w:r w:rsidRPr="0053423A">
              <w:rPr>
                <w:rFonts w:eastAsia="Calibri" w:cs="Arian AMU"/>
                <w:sz w:val="20"/>
                <w:szCs w:val="20"/>
                <w:lang w:val="et-EE"/>
              </w:rPr>
              <w:t>2-</w:t>
            </w:r>
            <w:r w:rsidRPr="0053423A">
              <w:rPr>
                <w:rFonts w:eastAsia="Calibri" w:cs="Arian AMU"/>
                <w:sz w:val="20"/>
                <w:szCs w:val="20"/>
              </w:rPr>
              <w:t>րդ</w:t>
            </w:r>
            <w:r w:rsidRPr="0053423A">
              <w:rPr>
                <w:rFonts w:eastAsia="Calibri" w:cs="Arian AMU"/>
                <w:sz w:val="20"/>
                <w:szCs w:val="20"/>
                <w:lang w:val="et-EE"/>
              </w:rPr>
              <w:t xml:space="preserve"> </w:t>
            </w:r>
            <w:r w:rsidRPr="0053423A">
              <w:rPr>
                <w:rFonts w:eastAsia="Calibri" w:cs="Arian AMU"/>
                <w:sz w:val="20"/>
                <w:szCs w:val="20"/>
              </w:rPr>
              <w:t>պարբերությունից</w:t>
            </w:r>
            <w:r w:rsidRPr="0053423A">
              <w:rPr>
                <w:rFonts w:eastAsia="Calibri" w:cs="Arian AMU"/>
                <w:sz w:val="20"/>
                <w:szCs w:val="20"/>
                <w:lang w:val="et-EE"/>
              </w:rPr>
              <w:t>:</w:t>
            </w:r>
          </w:p>
          <w:p w:rsidR="00154773" w:rsidRPr="0053423A" w:rsidRDefault="00154773" w:rsidP="00154773">
            <w:pPr>
              <w:tabs>
                <w:tab w:val="left" w:pos="450"/>
              </w:tabs>
              <w:contextualSpacing/>
              <w:jc w:val="both"/>
              <w:rPr>
                <w:sz w:val="20"/>
                <w:szCs w:val="20"/>
                <w:lang w:val="et-EE"/>
              </w:rPr>
            </w:pPr>
            <w:r w:rsidRPr="0053423A">
              <w:rPr>
                <w:rFonts w:eastAsia="Calibri" w:cs="Arian AMU"/>
                <w:sz w:val="20"/>
                <w:szCs w:val="20"/>
                <w:lang w:val="et-EE"/>
              </w:rPr>
              <w:t xml:space="preserve"> </w:t>
            </w:r>
            <w:r w:rsidRPr="0053423A">
              <w:rPr>
                <w:sz w:val="20"/>
                <w:szCs w:val="20"/>
                <w:lang w:val="et-EE"/>
              </w:rPr>
              <w:t xml:space="preserve">    Օժանդակելով հանրակրթական ուսումնական հաստատություններում ԱՌՆ պլանների իրականացմանը` ծրագիրը կնպաստի հանրակրթական ուսումնական  հաստատությունների` սեյսմիկ աղետներին պատրաստվածության և արձագանքման կարողությունների հզորացմանը:</w:t>
            </w:r>
          </w:p>
          <w:p w:rsidR="00154773" w:rsidRPr="0053423A" w:rsidRDefault="00154773" w:rsidP="00154773">
            <w:pPr>
              <w:tabs>
                <w:tab w:val="left" w:pos="2694"/>
              </w:tabs>
              <w:ind w:firstLine="180"/>
              <w:contextualSpacing/>
              <w:jc w:val="both"/>
              <w:rPr>
                <w:sz w:val="20"/>
                <w:szCs w:val="20"/>
                <w:lang w:val="et-EE"/>
              </w:rPr>
            </w:pPr>
          </w:p>
          <w:p w:rsidR="00154773" w:rsidRPr="0053423A" w:rsidRDefault="00154773" w:rsidP="00154773">
            <w:pPr>
              <w:tabs>
                <w:tab w:val="left" w:pos="2694"/>
              </w:tabs>
              <w:ind w:left="180"/>
              <w:contextualSpacing/>
              <w:jc w:val="both"/>
              <w:rPr>
                <w:rFonts w:eastAsia="Calibri" w:cs="Arian AMU"/>
                <w:sz w:val="20"/>
                <w:szCs w:val="20"/>
                <w:lang w:val="et-EE"/>
              </w:rPr>
            </w:pPr>
          </w:p>
          <w:p w:rsidR="00154773" w:rsidRPr="0053423A" w:rsidRDefault="00154773" w:rsidP="001F6D5D">
            <w:pPr>
              <w:numPr>
                <w:ilvl w:val="1"/>
                <w:numId w:val="472"/>
              </w:numPr>
              <w:tabs>
                <w:tab w:val="left" w:pos="2694"/>
              </w:tabs>
              <w:contextualSpacing/>
              <w:rPr>
                <w:b/>
                <w:sz w:val="20"/>
                <w:szCs w:val="20"/>
                <w:lang w:val="et-EE"/>
              </w:rPr>
            </w:pPr>
            <w:r w:rsidRPr="0053423A">
              <w:rPr>
                <w:rFonts w:cs="Sylfaen"/>
                <w:b/>
                <w:sz w:val="20"/>
                <w:szCs w:val="20"/>
                <w:lang w:val="hy-AM"/>
              </w:rPr>
              <w:t>Կարգավորման</w:t>
            </w:r>
            <w:r w:rsidRPr="0053423A">
              <w:rPr>
                <w:b/>
                <w:sz w:val="20"/>
                <w:szCs w:val="20"/>
                <w:lang w:val="et-EE"/>
              </w:rPr>
              <w:t xml:space="preserve">  </w:t>
            </w:r>
            <w:r w:rsidRPr="0053423A">
              <w:rPr>
                <w:b/>
                <w:sz w:val="20"/>
                <w:szCs w:val="20"/>
                <w:lang w:val="hy-AM"/>
              </w:rPr>
              <w:t xml:space="preserve">հարաբերությունների </w:t>
            </w:r>
            <w:r w:rsidRPr="0053423A">
              <w:rPr>
                <w:b/>
                <w:sz w:val="20"/>
                <w:szCs w:val="20"/>
                <w:lang w:val="et-EE"/>
              </w:rPr>
              <w:t xml:space="preserve"> </w:t>
            </w:r>
            <w:r w:rsidRPr="0053423A">
              <w:rPr>
                <w:b/>
                <w:sz w:val="20"/>
                <w:szCs w:val="20"/>
                <w:lang w:val="hy-AM"/>
              </w:rPr>
              <w:t>ներկա</w:t>
            </w:r>
            <w:r w:rsidRPr="0053423A">
              <w:rPr>
                <w:b/>
                <w:sz w:val="20"/>
                <w:szCs w:val="20"/>
                <w:lang w:val="et-EE"/>
              </w:rPr>
              <w:t xml:space="preserve"> </w:t>
            </w:r>
            <w:r w:rsidRPr="0053423A">
              <w:rPr>
                <w:b/>
                <w:sz w:val="20"/>
                <w:szCs w:val="20"/>
                <w:lang w:val="hy-AM"/>
              </w:rPr>
              <w:t xml:space="preserve"> վիճակը </w:t>
            </w:r>
            <w:r w:rsidRPr="0053423A">
              <w:rPr>
                <w:b/>
                <w:sz w:val="20"/>
                <w:szCs w:val="20"/>
                <w:lang w:val="et-EE"/>
              </w:rPr>
              <w:t xml:space="preserve"> </w:t>
            </w:r>
            <w:r w:rsidRPr="0053423A">
              <w:rPr>
                <w:b/>
                <w:sz w:val="20"/>
                <w:szCs w:val="20"/>
                <w:lang w:val="hy-AM"/>
              </w:rPr>
              <w:t xml:space="preserve">և </w:t>
            </w:r>
            <w:r w:rsidRPr="0053423A">
              <w:rPr>
                <w:b/>
                <w:sz w:val="20"/>
                <w:szCs w:val="20"/>
                <w:lang w:val="et-EE"/>
              </w:rPr>
              <w:t xml:space="preserve"> </w:t>
            </w:r>
            <w:r w:rsidRPr="0053423A">
              <w:rPr>
                <w:b/>
                <w:sz w:val="20"/>
                <w:szCs w:val="20"/>
                <w:lang w:val="hy-AM"/>
              </w:rPr>
              <w:t>առկա</w:t>
            </w:r>
            <w:r w:rsidRPr="0053423A">
              <w:rPr>
                <w:b/>
                <w:sz w:val="20"/>
                <w:szCs w:val="20"/>
                <w:lang w:val="et-EE"/>
              </w:rPr>
              <w:t xml:space="preserve"> </w:t>
            </w:r>
            <w:r w:rsidRPr="0053423A">
              <w:rPr>
                <w:b/>
                <w:sz w:val="20"/>
                <w:szCs w:val="20"/>
                <w:lang w:val="hy-AM"/>
              </w:rPr>
              <w:t xml:space="preserve"> խնդիրները</w:t>
            </w:r>
          </w:p>
          <w:p w:rsidR="00154773" w:rsidRPr="0053423A" w:rsidRDefault="00154773" w:rsidP="00154773">
            <w:pPr>
              <w:tabs>
                <w:tab w:val="left" w:pos="2694"/>
              </w:tabs>
              <w:ind w:left="720"/>
              <w:contextualSpacing/>
              <w:rPr>
                <w:b/>
                <w:sz w:val="20"/>
                <w:szCs w:val="20"/>
                <w:lang w:val="et-EE"/>
              </w:rPr>
            </w:pPr>
          </w:p>
          <w:p w:rsidR="00154773" w:rsidRPr="0053423A" w:rsidRDefault="00154773" w:rsidP="00154773">
            <w:pPr>
              <w:tabs>
                <w:tab w:val="left" w:pos="2694"/>
              </w:tabs>
              <w:ind w:left="720"/>
              <w:contextualSpacing/>
              <w:jc w:val="both"/>
              <w:rPr>
                <w:rFonts w:eastAsia="Calibri" w:cs="Arian AMU"/>
                <w:sz w:val="20"/>
                <w:szCs w:val="20"/>
                <w:lang w:val="et-EE"/>
              </w:rPr>
            </w:pPr>
          </w:p>
          <w:p w:rsidR="00154773" w:rsidRPr="0053423A" w:rsidRDefault="00154773" w:rsidP="00154773">
            <w:pPr>
              <w:tabs>
                <w:tab w:val="left" w:pos="2694"/>
              </w:tabs>
              <w:jc w:val="both"/>
              <w:rPr>
                <w:sz w:val="20"/>
                <w:szCs w:val="20"/>
                <w:lang w:val="et-EE"/>
              </w:rPr>
            </w:pPr>
            <w:r w:rsidRPr="0053423A">
              <w:rPr>
                <w:rFonts w:eastAsia="Times New Roman" w:cs="Times New Roman"/>
                <w:b/>
                <w:sz w:val="20"/>
                <w:szCs w:val="20"/>
                <w:lang w:val="et-EE"/>
              </w:rPr>
              <w:t xml:space="preserve">      </w:t>
            </w:r>
            <w:r w:rsidRPr="0053423A">
              <w:rPr>
                <w:sz w:val="20"/>
                <w:szCs w:val="20"/>
                <w:lang w:val="et-EE"/>
              </w:rPr>
              <w:t xml:space="preserve">Հայաստանի Հանրապետության տարածքը գտնվում է աշխարհի առավել բարձր սեյսմիկ անվտանգության գոտում: Շենքերի և շինությունների, հատկապես հանրակրթական ուսումնական հաստատությունների  սեյսմակայունության բարձրացման միջոցով հնարավոր կլինի նվազեցնել առկա սեյսմիկ ռիսկը և  լուծել բնակչության, մասնավորապես երեխաների անվտանգության ապահովման հիմնախնդիրը: </w:t>
            </w:r>
          </w:p>
          <w:p w:rsidR="00154773" w:rsidRPr="0053423A" w:rsidRDefault="00154773" w:rsidP="00154773">
            <w:pPr>
              <w:tabs>
                <w:tab w:val="left" w:pos="2694"/>
              </w:tabs>
              <w:jc w:val="both"/>
              <w:rPr>
                <w:sz w:val="20"/>
                <w:szCs w:val="20"/>
                <w:lang w:val="et-EE"/>
              </w:rPr>
            </w:pPr>
          </w:p>
          <w:p w:rsidR="00154773" w:rsidRPr="0053423A" w:rsidRDefault="00154773" w:rsidP="00154773">
            <w:pPr>
              <w:tabs>
                <w:tab w:val="left" w:pos="567"/>
                <w:tab w:val="left" w:pos="1589"/>
              </w:tabs>
              <w:ind w:left="1080"/>
              <w:contextualSpacing/>
              <w:rPr>
                <w:b/>
                <w:sz w:val="20"/>
                <w:szCs w:val="20"/>
                <w:lang w:val="et-EE"/>
              </w:rPr>
            </w:pPr>
            <w:r w:rsidRPr="0053423A">
              <w:rPr>
                <w:b/>
                <w:sz w:val="20"/>
                <w:szCs w:val="20"/>
                <w:lang w:val="et-EE"/>
              </w:rPr>
              <w:t xml:space="preserve">1.2 </w:t>
            </w:r>
            <w:r w:rsidRPr="0053423A">
              <w:rPr>
                <w:b/>
                <w:sz w:val="20"/>
                <w:szCs w:val="20"/>
              </w:rPr>
              <w:t>Ա</w:t>
            </w:r>
            <w:r w:rsidRPr="0053423A">
              <w:rPr>
                <w:b/>
                <w:sz w:val="20"/>
                <w:szCs w:val="20"/>
                <w:lang w:val="hy-AM"/>
              </w:rPr>
              <w:t>ռկա խնդիրների</w:t>
            </w:r>
            <w:r w:rsidRPr="0053423A">
              <w:rPr>
                <w:b/>
                <w:sz w:val="20"/>
                <w:szCs w:val="20"/>
                <w:lang w:val="et-EE"/>
              </w:rPr>
              <w:t xml:space="preserve"> </w:t>
            </w:r>
            <w:r w:rsidRPr="0053423A">
              <w:rPr>
                <w:b/>
                <w:sz w:val="20"/>
                <w:szCs w:val="20"/>
                <w:lang w:val="hy-AM"/>
              </w:rPr>
              <w:t xml:space="preserve"> առաջարկվող </w:t>
            </w:r>
            <w:r w:rsidRPr="0053423A">
              <w:rPr>
                <w:b/>
                <w:sz w:val="20"/>
                <w:szCs w:val="20"/>
                <w:lang w:val="et-EE"/>
              </w:rPr>
              <w:t xml:space="preserve"> </w:t>
            </w:r>
            <w:r w:rsidRPr="0053423A">
              <w:rPr>
                <w:b/>
                <w:sz w:val="20"/>
                <w:szCs w:val="20"/>
                <w:lang w:val="en-GB"/>
              </w:rPr>
              <w:t>լ</w:t>
            </w:r>
            <w:r w:rsidRPr="0053423A">
              <w:rPr>
                <w:b/>
                <w:sz w:val="20"/>
                <w:szCs w:val="20"/>
                <w:lang w:val="hy-AM"/>
              </w:rPr>
              <w:t>ուծումները</w:t>
            </w:r>
            <w:r w:rsidRPr="0053423A">
              <w:rPr>
                <w:b/>
                <w:sz w:val="20"/>
                <w:szCs w:val="20"/>
                <w:lang w:val="et-EE"/>
              </w:rPr>
              <w:t xml:space="preserve"> </w:t>
            </w:r>
          </w:p>
          <w:p w:rsidR="00154773" w:rsidRPr="0053423A" w:rsidRDefault="00154773" w:rsidP="00154773">
            <w:pPr>
              <w:ind w:firstLine="375"/>
              <w:jc w:val="both"/>
              <w:rPr>
                <w:rFonts w:eastAsia="Times New Roman" w:cs="Times New Roman"/>
                <w:b/>
                <w:sz w:val="20"/>
                <w:szCs w:val="20"/>
                <w:u w:val="single"/>
                <w:lang w:val="et-EE"/>
              </w:rPr>
            </w:pPr>
          </w:p>
          <w:p w:rsidR="00154773" w:rsidRPr="0053423A" w:rsidRDefault="00154773" w:rsidP="00154773">
            <w:pPr>
              <w:tabs>
                <w:tab w:val="left" w:pos="2694"/>
              </w:tabs>
              <w:ind w:firstLine="360"/>
              <w:contextualSpacing/>
              <w:jc w:val="both"/>
              <w:rPr>
                <w:rFonts w:eastAsia="Calibri"/>
                <w:sz w:val="20"/>
                <w:szCs w:val="20"/>
                <w:lang w:val="et-EE"/>
              </w:rPr>
            </w:pPr>
            <w:r w:rsidRPr="0053423A">
              <w:rPr>
                <w:rFonts w:eastAsia="Calibri"/>
                <w:sz w:val="20"/>
                <w:szCs w:val="20"/>
                <w:lang w:val="en-GB"/>
              </w:rPr>
              <w:t>ՀՀ</w:t>
            </w:r>
            <w:r w:rsidRPr="0053423A">
              <w:rPr>
                <w:rFonts w:eastAsia="Calibri"/>
                <w:sz w:val="20"/>
                <w:szCs w:val="20"/>
                <w:lang w:val="et-EE"/>
              </w:rPr>
              <w:t xml:space="preserve"> </w:t>
            </w:r>
            <w:r w:rsidRPr="0053423A">
              <w:rPr>
                <w:rFonts w:eastAsia="Calibri"/>
                <w:sz w:val="20"/>
                <w:szCs w:val="20"/>
                <w:lang w:val="en-GB"/>
              </w:rPr>
              <w:t>կրթության</w:t>
            </w:r>
            <w:r w:rsidRPr="0053423A">
              <w:rPr>
                <w:rFonts w:eastAsia="Calibri"/>
                <w:sz w:val="20"/>
                <w:szCs w:val="20"/>
                <w:lang w:val="et-EE"/>
              </w:rPr>
              <w:t xml:space="preserve">  </w:t>
            </w:r>
            <w:r w:rsidRPr="0053423A">
              <w:rPr>
                <w:rFonts w:eastAsia="Calibri"/>
                <w:sz w:val="20"/>
                <w:szCs w:val="20"/>
                <w:lang w:val="en-GB"/>
              </w:rPr>
              <w:t>և</w:t>
            </w:r>
            <w:r w:rsidRPr="0053423A">
              <w:rPr>
                <w:rFonts w:eastAsia="Calibri"/>
                <w:sz w:val="20"/>
                <w:szCs w:val="20"/>
                <w:lang w:val="et-EE"/>
              </w:rPr>
              <w:t xml:space="preserve"> </w:t>
            </w:r>
            <w:r w:rsidRPr="0053423A">
              <w:rPr>
                <w:rFonts w:eastAsia="Calibri"/>
                <w:sz w:val="20"/>
                <w:szCs w:val="20"/>
                <w:lang w:val="en-GB"/>
              </w:rPr>
              <w:t>գիտության</w:t>
            </w:r>
            <w:r w:rsidRPr="0053423A">
              <w:rPr>
                <w:rFonts w:eastAsia="Calibri"/>
                <w:sz w:val="20"/>
                <w:szCs w:val="20"/>
                <w:lang w:val="et-EE"/>
              </w:rPr>
              <w:t xml:space="preserve"> </w:t>
            </w:r>
            <w:r w:rsidRPr="0053423A">
              <w:rPr>
                <w:rFonts w:eastAsia="Calibri"/>
                <w:sz w:val="20"/>
                <w:szCs w:val="20"/>
                <w:lang w:val="en-GB"/>
              </w:rPr>
              <w:t>նախարարությունը</w:t>
            </w:r>
            <w:r w:rsidRPr="0053423A">
              <w:rPr>
                <w:rFonts w:eastAsia="Calibri"/>
                <w:sz w:val="20"/>
                <w:szCs w:val="20"/>
                <w:lang w:val="et-EE"/>
              </w:rPr>
              <w:t xml:space="preserve"> </w:t>
            </w:r>
            <w:r w:rsidRPr="0053423A">
              <w:rPr>
                <w:rFonts w:eastAsia="Calibri"/>
                <w:sz w:val="20"/>
                <w:szCs w:val="20"/>
                <w:lang w:val="en-GB"/>
              </w:rPr>
              <w:t>կիրառելով</w:t>
            </w:r>
            <w:r w:rsidRPr="0053423A">
              <w:rPr>
                <w:rFonts w:eastAsia="Calibri"/>
                <w:sz w:val="20"/>
                <w:szCs w:val="20"/>
                <w:lang w:val="et-EE"/>
              </w:rPr>
              <w:t xml:space="preserve"> </w:t>
            </w:r>
            <w:r w:rsidRPr="0053423A">
              <w:rPr>
                <w:rFonts w:eastAsia="Calibri"/>
                <w:sz w:val="20"/>
                <w:szCs w:val="20"/>
                <w:lang w:val="en-GB"/>
              </w:rPr>
              <w:t>ներառական</w:t>
            </w:r>
            <w:r w:rsidRPr="0053423A">
              <w:rPr>
                <w:rFonts w:eastAsia="Calibri"/>
                <w:sz w:val="20"/>
                <w:szCs w:val="20"/>
                <w:lang w:val="et-EE"/>
              </w:rPr>
              <w:t xml:space="preserve"> </w:t>
            </w:r>
            <w:r w:rsidRPr="0053423A">
              <w:rPr>
                <w:rFonts w:eastAsia="Calibri"/>
                <w:sz w:val="20"/>
                <w:szCs w:val="20"/>
                <w:lang w:val="en-GB"/>
              </w:rPr>
              <w:t>և</w:t>
            </w:r>
            <w:r w:rsidRPr="0053423A">
              <w:rPr>
                <w:rFonts w:eastAsia="Calibri"/>
                <w:sz w:val="20"/>
                <w:szCs w:val="20"/>
                <w:lang w:val="et-EE"/>
              </w:rPr>
              <w:t xml:space="preserve"> </w:t>
            </w:r>
            <w:r w:rsidRPr="0053423A">
              <w:rPr>
                <w:rFonts w:eastAsia="Calibri"/>
                <w:sz w:val="20"/>
                <w:szCs w:val="20"/>
                <w:lang w:val="en-GB"/>
              </w:rPr>
              <w:t>երեխայակենտրոն</w:t>
            </w:r>
            <w:r w:rsidRPr="0053423A">
              <w:rPr>
                <w:rFonts w:eastAsia="Calibri"/>
                <w:sz w:val="20"/>
                <w:szCs w:val="20"/>
                <w:lang w:val="et-EE"/>
              </w:rPr>
              <w:t xml:space="preserve"> </w:t>
            </w:r>
            <w:r w:rsidRPr="0053423A">
              <w:rPr>
                <w:rFonts w:eastAsia="Calibri"/>
                <w:sz w:val="20"/>
                <w:szCs w:val="20"/>
                <w:lang w:val="en-GB"/>
              </w:rPr>
              <w:t>մոտեցում</w:t>
            </w:r>
            <w:r w:rsidRPr="0053423A">
              <w:rPr>
                <w:rFonts w:eastAsia="Calibri"/>
                <w:sz w:val="20"/>
                <w:szCs w:val="20"/>
                <w:lang w:val="et-EE"/>
              </w:rPr>
              <w:t xml:space="preserve">` </w:t>
            </w:r>
            <w:r w:rsidRPr="0053423A">
              <w:rPr>
                <w:rFonts w:eastAsia="Calibri"/>
                <w:sz w:val="20"/>
                <w:szCs w:val="20"/>
                <w:lang w:val="en-GB"/>
              </w:rPr>
              <w:t>կօժանդակի</w:t>
            </w:r>
            <w:r w:rsidRPr="0053423A">
              <w:rPr>
                <w:rFonts w:eastAsia="Calibri"/>
                <w:sz w:val="20"/>
                <w:szCs w:val="20"/>
                <w:lang w:val="et-EE"/>
              </w:rPr>
              <w:t xml:space="preserve"> </w:t>
            </w:r>
            <w:r w:rsidRPr="0053423A">
              <w:rPr>
                <w:rFonts w:eastAsia="Calibri"/>
                <w:sz w:val="20"/>
                <w:szCs w:val="20"/>
                <w:lang w:val="en-GB"/>
              </w:rPr>
              <w:t>ՀՀ</w:t>
            </w:r>
            <w:r w:rsidRPr="0053423A">
              <w:rPr>
                <w:rFonts w:eastAsia="Calibri"/>
                <w:sz w:val="20"/>
                <w:szCs w:val="20"/>
                <w:lang w:val="et-EE"/>
              </w:rPr>
              <w:t xml:space="preserve"> </w:t>
            </w:r>
            <w:r w:rsidRPr="0053423A">
              <w:rPr>
                <w:rFonts w:eastAsia="Calibri"/>
                <w:sz w:val="20"/>
                <w:szCs w:val="20"/>
                <w:lang w:val="en-GB"/>
              </w:rPr>
              <w:t>մարզերի</w:t>
            </w:r>
            <w:r w:rsidRPr="0053423A">
              <w:rPr>
                <w:rFonts w:eastAsia="Calibri"/>
                <w:sz w:val="20"/>
                <w:szCs w:val="20"/>
                <w:lang w:val="et-EE"/>
              </w:rPr>
              <w:t xml:space="preserve"> 30 </w:t>
            </w:r>
            <w:r w:rsidRPr="0053423A">
              <w:rPr>
                <w:rFonts w:eastAsia="Calibri"/>
                <w:sz w:val="20"/>
                <w:szCs w:val="20"/>
                <w:lang w:val="en-GB"/>
              </w:rPr>
              <w:t>դպրոցներում</w:t>
            </w:r>
            <w:r w:rsidRPr="0053423A">
              <w:rPr>
                <w:rFonts w:eastAsia="Calibri"/>
                <w:sz w:val="20"/>
                <w:szCs w:val="20"/>
                <w:lang w:val="et-EE"/>
              </w:rPr>
              <w:t xml:space="preserve"> </w:t>
            </w:r>
            <w:r w:rsidRPr="0053423A">
              <w:rPr>
                <w:rFonts w:eastAsia="Calibri"/>
                <w:sz w:val="20"/>
                <w:szCs w:val="20"/>
                <w:lang w:val="en-GB"/>
              </w:rPr>
              <w:t>ԱՌԿ</w:t>
            </w:r>
            <w:r w:rsidRPr="0053423A">
              <w:rPr>
                <w:rFonts w:eastAsia="Calibri"/>
                <w:sz w:val="20"/>
                <w:szCs w:val="20"/>
                <w:lang w:val="et-EE"/>
              </w:rPr>
              <w:t xml:space="preserve"> </w:t>
            </w:r>
            <w:r w:rsidRPr="0053423A">
              <w:rPr>
                <w:rFonts w:eastAsia="Calibri"/>
                <w:sz w:val="20"/>
                <w:szCs w:val="20"/>
                <w:lang w:val="en-GB"/>
              </w:rPr>
              <w:t>պլանների</w:t>
            </w:r>
            <w:r w:rsidRPr="0053423A">
              <w:rPr>
                <w:rFonts w:eastAsia="Calibri"/>
                <w:sz w:val="20"/>
                <w:szCs w:val="20"/>
                <w:lang w:val="et-EE"/>
              </w:rPr>
              <w:t xml:space="preserve"> </w:t>
            </w:r>
            <w:r w:rsidRPr="0053423A">
              <w:rPr>
                <w:rFonts w:eastAsia="Calibri"/>
                <w:sz w:val="20"/>
                <w:szCs w:val="20"/>
                <w:lang w:val="en-GB"/>
              </w:rPr>
              <w:t>ներդնմանն</w:t>
            </w:r>
            <w:r w:rsidRPr="0053423A">
              <w:rPr>
                <w:rFonts w:eastAsia="Calibri"/>
                <w:sz w:val="20"/>
                <w:szCs w:val="20"/>
                <w:lang w:val="et-EE"/>
              </w:rPr>
              <w:t xml:space="preserve">  </w:t>
            </w:r>
            <w:r w:rsidRPr="0053423A">
              <w:rPr>
                <w:rFonts w:eastAsia="Calibri"/>
                <w:sz w:val="20"/>
                <w:szCs w:val="20"/>
                <w:lang w:val="en-GB"/>
              </w:rPr>
              <w:t>ու</w:t>
            </w:r>
            <w:r w:rsidRPr="0053423A">
              <w:rPr>
                <w:rFonts w:eastAsia="Calibri"/>
                <w:sz w:val="20"/>
                <w:szCs w:val="20"/>
                <w:lang w:val="et-EE"/>
              </w:rPr>
              <w:t xml:space="preserve"> </w:t>
            </w:r>
            <w:r w:rsidRPr="0053423A">
              <w:rPr>
                <w:rFonts w:eastAsia="Calibri"/>
                <w:sz w:val="20"/>
                <w:szCs w:val="20"/>
                <w:lang w:val="en-GB"/>
              </w:rPr>
              <w:t>իրականացմանը</w:t>
            </w:r>
            <w:r w:rsidRPr="0053423A">
              <w:rPr>
                <w:rFonts w:eastAsia="Calibri"/>
                <w:sz w:val="20"/>
                <w:szCs w:val="20"/>
                <w:lang w:val="et-EE"/>
              </w:rPr>
              <w:t xml:space="preserve">` </w:t>
            </w:r>
            <w:r w:rsidRPr="0053423A">
              <w:rPr>
                <w:rFonts w:eastAsia="Calibri"/>
                <w:sz w:val="20"/>
                <w:szCs w:val="20"/>
                <w:lang w:val="en-GB"/>
              </w:rPr>
              <w:t>ինչը</w:t>
            </w:r>
            <w:r w:rsidRPr="0053423A">
              <w:rPr>
                <w:rFonts w:eastAsia="Calibri"/>
                <w:sz w:val="20"/>
                <w:szCs w:val="20"/>
                <w:lang w:val="et-EE"/>
              </w:rPr>
              <w:t xml:space="preserve">  </w:t>
            </w:r>
            <w:r w:rsidRPr="0053423A">
              <w:rPr>
                <w:rFonts w:eastAsia="Calibri"/>
                <w:sz w:val="20"/>
                <w:szCs w:val="20"/>
                <w:lang w:val="en-GB"/>
              </w:rPr>
              <w:t>կնպաստի</w:t>
            </w:r>
            <w:r w:rsidRPr="0053423A">
              <w:rPr>
                <w:rFonts w:eastAsia="Calibri"/>
                <w:sz w:val="20"/>
                <w:szCs w:val="20"/>
                <w:lang w:val="et-EE"/>
              </w:rPr>
              <w:t xml:space="preserve"> </w:t>
            </w:r>
            <w:r w:rsidRPr="0053423A">
              <w:rPr>
                <w:rFonts w:eastAsia="Calibri"/>
                <w:sz w:val="20"/>
                <w:szCs w:val="20"/>
                <w:lang w:val="en-GB"/>
              </w:rPr>
              <w:t>դպրոցների</w:t>
            </w:r>
            <w:r w:rsidRPr="0053423A">
              <w:rPr>
                <w:rFonts w:eastAsia="Calibri"/>
                <w:sz w:val="20"/>
                <w:szCs w:val="20"/>
                <w:lang w:val="et-EE"/>
              </w:rPr>
              <w:t xml:space="preserve"> </w:t>
            </w:r>
            <w:r w:rsidRPr="0053423A">
              <w:rPr>
                <w:rFonts w:eastAsia="Calibri"/>
                <w:sz w:val="20"/>
                <w:szCs w:val="20"/>
                <w:lang w:val="en-GB"/>
              </w:rPr>
              <w:t>անձնակազմի</w:t>
            </w:r>
            <w:r w:rsidRPr="0053423A">
              <w:rPr>
                <w:rFonts w:eastAsia="Calibri"/>
                <w:sz w:val="20"/>
                <w:szCs w:val="20"/>
                <w:lang w:val="et-EE"/>
              </w:rPr>
              <w:t xml:space="preserve"> </w:t>
            </w:r>
            <w:r w:rsidRPr="0053423A">
              <w:rPr>
                <w:rFonts w:eastAsia="Calibri"/>
                <w:sz w:val="20"/>
                <w:szCs w:val="20"/>
                <w:lang w:val="en-GB"/>
              </w:rPr>
              <w:t>և</w:t>
            </w:r>
            <w:r w:rsidRPr="0053423A">
              <w:rPr>
                <w:rFonts w:eastAsia="Calibri"/>
                <w:sz w:val="20"/>
                <w:szCs w:val="20"/>
                <w:lang w:val="et-EE"/>
              </w:rPr>
              <w:t xml:space="preserve"> </w:t>
            </w:r>
            <w:r w:rsidRPr="0053423A">
              <w:rPr>
                <w:rFonts w:eastAsia="Calibri"/>
                <w:sz w:val="20"/>
                <w:szCs w:val="20"/>
                <w:lang w:val="en-GB"/>
              </w:rPr>
              <w:t>աշակերտների</w:t>
            </w:r>
            <w:r w:rsidRPr="0053423A">
              <w:rPr>
                <w:rFonts w:eastAsia="Calibri"/>
                <w:sz w:val="20"/>
                <w:szCs w:val="20"/>
                <w:lang w:val="et-EE"/>
              </w:rPr>
              <w:t xml:space="preserve"> </w:t>
            </w:r>
            <w:r w:rsidRPr="0053423A">
              <w:rPr>
                <w:rFonts w:eastAsia="Calibri"/>
                <w:sz w:val="20"/>
                <w:szCs w:val="20"/>
                <w:lang w:val="en-GB"/>
              </w:rPr>
              <w:t>անվտանգության</w:t>
            </w:r>
            <w:r w:rsidRPr="0053423A">
              <w:rPr>
                <w:rFonts w:eastAsia="Calibri"/>
                <w:sz w:val="20"/>
                <w:szCs w:val="20"/>
                <w:lang w:val="et-EE"/>
              </w:rPr>
              <w:t xml:space="preserve"> </w:t>
            </w:r>
            <w:r w:rsidRPr="0053423A">
              <w:rPr>
                <w:rFonts w:eastAsia="Calibri"/>
                <w:sz w:val="20"/>
                <w:szCs w:val="20"/>
                <w:lang w:val="en-GB"/>
              </w:rPr>
              <w:t>ապահովման</w:t>
            </w:r>
            <w:r w:rsidRPr="0053423A">
              <w:rPr>
                <w:rFonts w:eastAsia="Calibri"/>
                <w:sz w:val="20"/>
                <w:szCs w:val="20"/>
                <w:lang w:val="et-EE"/>
              </w:rPr>
              <w:t xml:space="preserve"> </w:t>
            </w:r>
            <w:r w:rsidRPr="0053423A">
              <w:rPr>
                <w:rFonts w:eastAsia="Calibri"/>
                <w:sz w:val="20"/>
                <w:szCs w:val="20"/>
                <w:lang w:val="en-GB"/>
              </w:rPr>
              <w:t>մակարդակի</w:t>
            </w:r>
            <w:r w:rsidRPr="0053423A">
              <w:rPr>
                <w:rFonts w:eastAsia="Calibri"/>
                <w:sz w:val="20"/>
                <w:szCs w:val="20"/>
                <w:lang w:val="et-EE"/>
              </w:rPr>
              <w:t xml:space="preserve"> </w:t>
            </w:r>
            <w:r w:rsidRPr="0053423A">
              <w:rPr>
                <w:rFonts w:eastAsia="Calibri"/>
                <w:sz w:val="20"/>
                <w:szCs w:val="20"/>
                <w:lang w:val="en-GB"/>
              </w:rPr>
              <w:t>բարձրացմանը</w:t>
            </w:r>
            <w:r w:rsidRPr="0053423A">
              <w:rPr>
                <w:rFonts w:eastAsia="Calibri"/>
                <w:sz w:val="20"/>
                <w:szCs w:val="20"/>
                <w:lang w:val="et-EE"/>
              </w:rPr>
              <w:t>:</w:t>
            </w:r>
          </w:p>
          <w:p w:rsidR="00154773" w:rsidRPr="0053423A" w:rsidRDefault="00154773" w:rsidP="00154773">
            <w:pPr>
              <w:tabs>
                <w:tab w:val="left" w:pos="2694"/>
              </w:tabs>
              <w:ind w:left="284" w:firstLine="284"/>
              <w:contextualSpacing/>
              <w:jc w:val="both"/>
              <w:rPr>
                <w:rFonts w:eastAsia="Calibri"/>
                <w:sz w:val="20"/>
                <w:szCs w:val="20"/>
                <w:lang w:val="et-EE"/>
              </w:rPr>
            </w:pPr>
          </w:p>
          <w:p w:rsidR="00154773" w:rsidRPr="0053423A" w:rsidRDefault="00154773" w:rsidP="00154773">
            <w:pPr>
              <w:ind w:left="720"/>
              <w:contextualSpacing/>
              <w:rPr>
                <w:rFonts w:eastAsia="Times New Roman" w:cs="Times New Roman"/>
                <w:b/>
                <w:sz w:val="20"/>
                <w:szCs w:val="20"/>
                <w:lang w:val="et-EE"/>
              </w:rPr>
            </w:pPr>
            <w:r w:rsidRPr="0053423A">
              <w:rPr>
                <w:rFonts w:eastAsia="Times New Roman" w:cs="Times New Roman"/>
                <w:b/>
                <w:sz w:val="20"/>
                <w:szCs w:val="20"/>
                <w:lang w:val="et-EE"/>
              </w:rPr>
              <w:t xml:space="preserve">2. </w:t>
            </w:r>
            <w:r w:rsidRPr="0053423A">
              <w:rPr>
                <w:rFonts w:eastAsia="Times New Roman" w:cs="Times New Roman"/>
                <w:b/>
                <w:sz w:val="20"/>
                <w:szCs w:val="20"/>
                <w:lang w:val="hy-AM"/>
              </w:rPr>
              <w:t>Միջոցառման իրականացումից ակնկալվող արդյունքը</w:t>
            </w:r>
          </w:p>
          <w:p w:rsidR="00154773" w:rsidRPr="0053423A" w:rsidRDefault="00154773" w:rsidP="00154773">
            <w:pPr>
              <w:tabs>
                <w:tab w:val="left" w:pos="2694"/>
              </w:tabs>
              <w:ind w:firstLine="180"/>
              <w:jc w:val="both"/>
              <w:rPr>
                <w:sz w:val="20"/>
                <w:szCs w:val="20"/>
                <w:lang w:val="et-EE"/>
              </w:rPr>
            </w:pPr>
            <w:r w:rsidRPr="0053423A">
              <w:rPr>
                <w:sz w:val="20"/>
                <w:szCs w:val="20"/>
                <w:lang w:val="et-EE"/>
              </w:rPr>
              <w:t>Ծրագիրը ունի շարունակական բնույթ: Տարեցտարի կընդլայնվի ծրագրում ընդգրկված դպրոցների շրջանակը: Միջոցառումը կնպաստի  հանրակրթական ուսումնական հաստատությունների` աղետներին դիմակայունության մակարդակի բարձրացմանը և աղետներին արձագանքման կարողութոյւնների հզորացմանը:</w:t>
            </w:r>
          </w:p>
          <w:p w:rsidR="00154773" w:rsidRPr="0053423A" w:rsidRDefault="00154773" w:rsidP="00154773">
            <w:pPr>
              <w:tabs>
                <w:tab w:val="left" w:pos="435"/>
              </w:tabs>
              <w:rPr>
                <w:rFonts w:eastAsia="Times New Roman" w:cs="Times New Roman"/>
                <w:b/>
                <w:sz w:val="20"/>
                <w:szCs w:val="20"/>
                <w:lang w:val="et-EE"/>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tabs>
                <w:tab w:val="left" w:pos="2694"/>
              </w:tabs>
              <w:ind w:left="180" w:firstLine="465"/>
              <w:jc w:val="center"/>
              <w:rPr>
                <w:b/>
                <w:sz w:val="20"/>
                <w:szCs w:val="20"/>
                <w:u w:val="single"/>
                <w:lang w:val="et-EE"/>
              </w:rPr>
            </w:pPr>
            <w:r w:rsidRPr="0053423A">
              <w:rPr>
                <w:b/>
                <w:sz w:val="20"/>
                <w:szCs w:val="20"/>
                <w:u w:val="single"/>
                <w:lang w:val="et-EE"/>
              </w:rPr>
              <w:t>20.3 ՀՀ մարզերի և Երևան քաղաքի ավագ դպրոցների հիմանորոգում՝ «Կրթության բարելավում» ծրագրի շրջանակում</w:t>
            </w:r>
          </w:p>
          <w:p w:rsidR="00154773" w:rsidRPr="0053423A" w:rsidRDefault="00154773" w:rsidP="00154773">
            <w:pPr>
              <w:tabs>
                <w:tab w:val="left" w:pos="2694"/>
              </w:tabs>
              <w:ind w:left="180" w:firstLine="465"/>
              <w:jc w:val="both"/>
              <w:rPr>
                <w:b/>
                <w:sz w:val="20"/>
                <w:szCs w:val="20"/>
                <w:u w:val="single"/>
                <w:lang w:val="et-EE"/>
              </w:rPr>
            </w:pPr>
          </w:p>
          <w:p w:rsidR="00154773" w:rsidRPr="0053423A" w:rsidRDefault="00154773" w:rsidP="00154773">
            <w:pPr>
              <w:ind w:left="360"/>
              <w:rPr>
                <w:b/>
                <w:sz w:val="20"/>
                <w:szCs w:val="20"/>
                <w:lang w:val="et-EE"/>
              </w:rPr>
            </w:pPr>
            <w:r w:rsidRPr="0053423A">
              <w:rPr>
                <w:b/>
                <w:sz w:val="20"/>
                <w:szCs w:val="20"/>
                <w:lang w:val="et-EE"/>
              </w:rPr>
              <w:t>1.</w:t>
            </w:r>
            <w:r w:rsidRPr="0053423A">
              <w:rPr>
                <w:b/>
                <w:sz w:val="20"/>
                <w:szCs w:val="20"/>
              </w:rPr>
              <w:t>Միջոցառման</w:t>
            </w:r>
            <w:r w:rsidRPr="0053423A">
              <w:rPr>
                <w:b/>
                <w:sz w:val="20"/>
                <w:szCs w:val="20"/>
                <w:lang w:val="et-EE"/>
              </w:rPr>
              <w:t xml:space="preserve"> </w:t>
            </w:r>
            <w:r w:rsidRPr="0053423A">
              <w:rPr>
                <w:b/>
                <w:sz w:val="20"/>
                <w:szCs w:val="20"/>
              </w:rPr>
              <w:t>իրականացման</w:t>
            </w:r>
            <w:r w:rsidRPr="0053423A">
              <w:rPr>
                <w:b/>
                <w:sz w:val="20"/>
                <w:szCs w:val="20"/>
                <w:lang w:val="et-EE"/>
              </w:rPr>
              <w:t xml:space="preserve"> </w:t>
            </w:r>
            <w:r w:rsidRPr="0053423A">
              <w:rPr>
                <w:b/>
                <w:sz w:val="20"/>
                <w:szCs w:val="20"/>
              </w:rPr>
              <w:t>անհրաժեշտությունը</w:t>
            </w:r>
            <w:r w:rsidRPr="0053423A">
              <w:rPr>
                <w:b/>
                <w:sz w:val="20"/>
                <w:szCs w:val="20"/>
                <w:lang w:val="et-EE"/>
              </w:rPr>
              <w:t xml:space="preserve"> </w:t>
            </w:r>
            <w:r w:rsidRPr="0053423A">
              <w:rPr>
                <w:b/>
                <w:sz w:val="20"/>
                <w:szCs w:val="20"/>
              </w:rPr>
              <w:t>և</w:t>
            </w:r>
            <w:r w:rsidRPr="0053423A">
              <w:rPr>
                <w:b/>
                <w:sz w:val="20"/>
                <w:szCs w:val="20"/>
                <w:lang w:val="et-EE"/>
              </w:rPr>
              <w:t xml:space="preserve"> </w:t>
            </w:r>
            <w:r w:rsidRPr="0053423A">
              <w:rPr>
                <w:b/>
                <w:sz w:val="20"/>
                <w:szCs w:val="20"/>
              </w:rPr>
              <w:t>նպատակը</w:t>
            </w:r>
          </w:p>
          <w:p w:rsidR="00154773" w:rsidRPr="0053423A" w:rsidRDefault="00154773" w:rsidP="00154773">
            <w:pPr>
              <w:tabs>
                <w:tab w:val="left" w:pos="2694"/>
              </w:tabs>
              <w:ind w:left="180" w:firstLine="465"/>
              <w:jc w:val="both"/>
              <w:rPr>
                <w:b/>
                <w:sz w:val="20"/>
                <w:szCs w:val="20"/>
                <w:u w:val="single"/>
                <w:lang w:val="et-EE"/>
              </w:rPr>
            </w:pPr>
          </w:p>
          <w:p w:rsidR="00154773" w:rsidRPr="0053423A" w:rsidRDefault="00154773" w:rsidP="00154773">
            <w:pPr>
              <w:tabs>
                <w:tab w:val="left" w:pos="450"/>
              </w:tabs>
              <w:jc w:val="both"/>
              <w:rPr>
                <w:rFonts w:eastAsia="Calibri" w:cs="Sylfaen"/>
                <w:sz w:val="20"/>
                <w:szCs w:val="20"/>
                <w:lang w:val="et-EE"/>
              </w:rPr>
            </w:pPr>
            <w:r w:rsidRPr="0053423A">
              <w:rPr>
                <w:rFonts w:eastAsia="Calibri" w:cs="Sylfaen"/>
                <w:sz w:val="20"/>
                <w:szCs w:val="20"/>
                <w:lang w:val="et-EE"/>
              </w:rPr>
              <w:tab/>
              <w:t xml:space="preserve"> </w:t>
            </w:r>
            <w:r w:rsidRPr="0053423A">
              <w:rPr>
                <w:rFonts w:eastAsia="Calibri" w:cs="Sylfaen"/>
                <w:sz w:val="20"/>
                <w:szCs w:val="20"/>
                <w:lang w:val="en-GB"/>
              </w:rPr>
              <w:t>Միջոցառման</w:t>
            </w:r>
            <w:r w:rsidRPr="0053423A">
              <w:rPr>
                <w:rFonts w:eastAsia="Calibri" w:cs="Sylfaen"/>
                <w:sz w:val="20"/>
                <w:szCs w:val="20"/>
                <w:lang w:val="et-EE"/>
              </w:rPr>
              <w:t xml:space="preserve"> </w:t>
            </w:r>
            <w:r w:rsidRPr="0053423A">
              <w:rPr>
                <w:rFonts w:eastAsia="Calibri" w:cs="Sylfaen"/>
                <w:sz w:val="20"/>
                <w:szCs w:val="20"/>
                <w:lang w:val="en-GB"/>
              </w:rPr>
              <w:t>գլխավոր</w:t>
            </w:r>
            <w:r w:rsidRPr="0053423A">
              <w:rPr>
                <w:rFonts w:eastAsia="Calibri" w:cs="Sylfaen"/>
                <w:sz w:val="20"/>
                <w:szCs w:val="20"/>
                <w:lang w:val="et-EE"/>
              </w:rPr>
              <w:t xml:space="preserve"> </w:t>
            </w:r>
            <w:r w:rsidRPr="0053423A">
              <w:rPr>
                <w:rFonts w:eastAsia="Calibri" w:cs="Sylfaen"/>
                <w:sz w:val="20"/>
                <w:szCs w:val="20"/>
                <w:lang w:val="en-GB"/>
              </w:rPr>
              <w:t>նպատակն</w:t>
            </w:r>
            <w:r w:rsidRPr="0053423A">
              <w:rPr>
                <w:rFonts w:eastAsia="Calibri" w:cs="Sylfaen"/>
                <w:sz w:val="20"/>
                <w:szCs w:val="20"/>
                <w:lang w:val="et-EE"/>
              </w:rPr>
              <w:t xml:space="preserve"> </w:t>
            </w:r>
            <w:r w:rsidRPr="0053423A">
              <w:rPr>
                <w:rFonts w:eastAsia="Calibri" w:cs="Sylfaen"/>
                <w:sz w:val="20"/>
                <w:szCs w:val="20"/>
                <w:lang w:val="en-GB"/>
              </w:rPr>
              <w:t>է</w:t>
            </w:r>
            <w:r w:rsidRPr="0053423A">
              <w:rPr>
                <w:rFonts w:eastAsia="Calibri" w:cs="Sylfaen"/>
                <w:sz w:val="20"/>
                <w:szCs w:val="20"/>
                <w:lang w:val="et-EE"/>
              </w:rPr>
              <w:t xml:space="preserve"> </w:t>
            </w:r>
            <w:r w:rsidRPr="0053423A">
              <w:rPr>
                <w:rFonts w:eastAsia="Calibri" w:cs="Sylfaen"/>
                <w:sz w:val="20"/>
                <w:szCs w:val="20"/>
                <w:lang w:val="en-GB"/>
              </w:rPr>
              <w:t>ուսումնական</w:t>
            </w:r>
            <w:r w:rsidRPr="0053423A">
              <w:rPr>
                <w:rFonts w:eastAsia="Calibri" w:cs="Sylfaen"/>
                <w:sz w:val="20"/>
                <w:szCs w:val="20"/>
                <w:lang w:val="et-EE"/>
              </w:rPr>
              <w:t xml:space="preserve"> </w:t>
            </w:r>
            <w:r w:rsidRPr="0053423A">
              <w:rPr>
                <w:rFonts w:eastAsia="Calibri" w:cs="Sylfaen"/>
                <w:sz w:val="20"/>
                <w:szCs w:val="20"/>
                <w:lang w:val="en-GB"/>
              </w:rPr>
              <w:t>հաստատությունների</w:t>
            </w:r>
            <w:r w:rsidRPr="0053423A">
              <w:rPr>
                <w:rFonts w:eastAsia="Calibri" w:cs="Sylfaen"/>
                <w:sz w:val="20"/>
                <w:szCs w:val="20"/>
                <w:lang w:val="et-EE"/>
              </w:rPr>
              <w:t xml:space="preserve"> </w:t>
            </w:r>
            <w:r w:rsidRPr="0053423A">
              <w:rPr>
                <w:rFonts w:eastAsia="Calibri" w:cs="Sylfaen"/>
                <w:sz w:val="20"/>
                <w:szCs w:val="20"/>
                <w:lang w:val="en-GB"/>
              </w:rPr>
              <w:t>շենքային</w:t>
            </w:r>
            <w:r w:rsidRPr="0053423A">
              <w:rPr>
                <w:rFonts w:eastAsia="Calibri" w:cs="Sylfaen"/>
                <w:sz w:val="20"/>
                <w:szCs w:val="20"/>
                <w:lang w:val="et-EE"/>
              </w:rPr>
              <w:t xml:space="preserve"> </w:t>
            </w:r>
            <w:r w:rsidRPr="0053423A">
              <w:rPr>
                <w:rFonts w:eastAsia="Calibri" w:cs="Sylfaen"/>
                <w:sz w:val="20"/>
                <w:szCs w:val="20"/>
                <w:lang w:val="en-GB"/>
              </w:rPr>
              <w:t>պայմանների</w:t>
            </w:r>
            <w:r w:rsidRPr="0053423A">
              <w:rPr>
                <w:rFonts w:eastAsia="Calibri" w:cs="Sylfaen"/>
                <w:sz w:val="20"/>
                <w:szCs w:val="20"/>
                <w:lang w:val="et-EE"/>
              </w:rPr>
              <w:t xml:space="preserve"> </w:t>
            </w:r>
            <w:r w:rsidRPr="0053423A">
              <w:rPr>
                <w:rFonts w:eastAsia="Calibri" w:cs="Sylfaen"/>
                <w:sz w:val="20"/>
                <w:szCs w:val="20"/>
                <w:lang w:val="en-GB"/>
              </w:rPr>
              <w:t>բարելավումը</w:t>
            </w:r>
            <w:r w:rsidRPr="0053423A">
              <w:rPr>
                <w:rFonts w:eastAsia="Calibri" w:cs="Sylfaen"/>
                <w:sz w:val="20"/>
                <w:szCs w:val="20"/>
                <w:lang w:val="et-EE"/>
              </w:rPr>
              <w:t xml:space="preserve"> </w:t>
            </w:r>
            <w:r w:rsidRPr="0053423A">
              <w:rPr>
                <w:rFonts w:eastAsia="Calibri" w:cs="Sylfaen"/>
                <w:sz w:val="20"/>
                <w:szCs w:val="20"/>
                <w:lang w:val="en-GB"/>
              </w:rPr>
              <w:t>և</w:t>
            </w:r>
            <w:r w:rsidRPr="0053423A">
              <w:rPr>
                <w:rFonts w:eastAsia="Calibri" w:cs="Sylfaen"/>
                <w:sz w:val="20"/>
                <w:szCs w:val="20"/>
                <w:lang w:val="et-EE"/>
              </w:rPr>
              <w:t xml:space="preserve"> </w:t>
            </w:r>
            <w:r w:rsidRPr="0053423A">
              <w:rPr>
                <w:rFonts w:eastAsia="Calibri" w:cs="Sylfaen"/>
                <w:sz w:val="20"/>
                <w:szCs w:val="20"/>
                <w:lang w:val="en-GB"/>
              </w:rPr>
              <w:t>սպառնացող</w:t>
            </w:r>
            <w:r w:rsidRPr="0053423A">
              <w:rPr>
                <w:rFonts w:eastAsia="Calibri" w:cs="Sylfaen"/>
                <w:sz w:val="20"/>
                <w:szCs w:val="20"/>
                <w:lang w:val="et-EE"/>
              </w:rPr>
              <w:t xml:space="preserve"> </w:t>
            </w:r>
            <w:r w:rsidRPr="0053423A">
              <w:rPr>
                <w:rFonts w:eastAsia="Calibri" w:cs="Sylfaen"/>
                <w:sz w:val="20"/>
                <w:szCs w:val="20"/>
                <w:lang w:val="en-GB"/>
              </w:rPr>
              <w:t>աղետների</w:t>
            </w:r>
            <w:r w:rsidRPr="0053423A">
              <w:rPr>
                <w:rFonts w:eastAsia="Calibri" w:cs="Sylfaen"/>
                <w:sz w:val="20"/>
                <w:szCs w:val="20"/>
                <w:lang w:val="et-EE"/>
              </w:rPr>
              <w:t xml:space="preserve"> </w:t>
            </w:r>
            <w:r w:rsidRPr="0053423A">
              <w:rPr>
                <w:rFonts w:eastAsia="Calibri" w:cs="Sylfaen"/>
                <w:sz w:val="20"/>
                <w:szCs w:val="20"/>
                <w:lang w:val="en-GB"/>
              </w:rPr>
              <w:t>ռիսկի</w:t>
            </w:r>
            <w:r w:rsidRPr="0053423A">
              <w:rPr>
                <w:rFonts w:eastAsia="Calibri" w:cs="Sylfaen"/>
                <w:sz w:val="20"/>
                <w:szCs w:val="20"/>
                <w:lang w:val="et-EE"/>
              </w:rPr>
              <w:t xml:space="preserve"> </w:t>
            </w:r>
            <w:r w:rsidRPr="0053423A">
              <w:rPr>
                <w:rFonts w:eastAsia="Calibri" w:cs="Sylfaen"/>
                <w:sz w:val="20"/>
                <w:szCs w:val="20"/>
                <w:lang w:val="en-GB"/>
              </w:rPr>
              <w:t>կառավարման</w:t>
            </w:r>
            <w:r w:rsidRPr="0053423A">
              <w:rPr>
                <w:rFonts w:eastAsia="Calibri" w:cs="Sylfaen"/>
                <w:sz w:val="20"/>
                <w:szCs w:val="20"/>
                <w:lang w:val="et-EE"/>
              </w:rPr>
              <w:t xml:space="preserve"> </w:t>
            </w:r>
            <w:r w:rsidRPr="0053423A">
              <w:rPr>
                <w:rFonts w:eastAsia="Calibri" w:cs="Sylfaen"/>
                <w:sz w:val="20"/>
                <w:szCs w:val="20"/>
                <w:lang w:val="en-GB"/>
              </w:rPr>
              <w:t>կարողությունների</w:t>
            </w:r>
            <w:r w:rsidRPr="0053423A">
              <w:rPr>
                <w:rFonts w:eastAsia="Calibri" w:cs="Sylfaen"/>
                <w:sz w:val="20"/>
                <w:szCs w:val="20"/>
                <w:lang w:val="et-EE"/>
              </w:rPr>
              <w:t xml:space="preserve"> </w:t>
            </w:r>
            <w:r w:rsidRPr="0053423A">
              <w:rPr>
                <w:rFonts w:eastAsia="Calibri" w:cs="Sylfaen"/>
                <w:sz w:val="20"/>
                <w:szCs w:val="20"/>
                <w:lang w:val="en-GB"/>
              </w:rPr>
              <w:t>հզորացումը</w:t>
            </w:r>
            <w:r w:rsidRPr="0053423A">
              <w:rPr>
                <w:rFonts w:eastAsia="Calibri" w:cs="Sylfaen"/>
                <w:sz w:val="20"/>
                <w:szCs w:val="20"/>
                <w:lang w:val="et-EE"/>
              </w:rPr>
              <w:t>:</w:t>
            </w:r>
          </w:p>
          <w:p w:rsidR="00154773" w:rsidRPr="0053423A" w:rsidRDefault="00154773" w:rsidP="00154773">
            <w:pPr>
              <w:tabs>
                <w:tab w:val="left" w:pos="450"/>
              </w:tabs>
              <w:ind w:firstLine="90"/>
              <w:contextualSpacing/>
              <w:jc w:val="both"/>
              <w:rPr>
                <w:rFonts w:eastAsia="Calibri" w:cs="Arian AMU"/>
                <w:sz w:val="20"/>
                <w:szCs w:val="20"/>
                <w:lang w:val="et-EE"/>
              </w:rPr>
            </w:pPr>
            <w:r w:rsidRPr="0053423A">
              <w:rPr>
                <w:spacing w:val="-4"/>
                <w:sz w:val="20"/>
                <w:szCs w:val="20"/>
              </w:rPr>
              <w:t>Միջոցառման</w:t>
            </w:r>
            <w:r w:rsidRPr="0053423A">
              <w:rPr>
                <w:spacing w:val="-4"/>
                <w:sz w:val="20"/>
                <w:szCs w:val="20"/>
                <w:lang w:val="et-EE"/>
              </w:rPr>
              <w:t xml:space="preserve"> </w:t>
            </w:r>
            <w:r w:rsidRPr="0053423A">
              <w:rPr>
                <w:spacing w:val="-4"/>
                <w:sz w:val="20"/>
                <w:szCs w:val="20"/>
              </w:rPr>
              <w:t>անհրաժեշտությունը</w:t>
            </w:r>
            <w:r w:rsidRPr="0053423A">
              <w:rPr>
                <w:spacing w:val="-4"/>
                <w:sz w:val="20"/>
                <w:szCs w:val="20"/>
                <w:lang w:val="et-EE"/>
              </w:rPr>
              <w:t xml:space="preserve"> </w:t>
            </w:r>
            <w:r w:rsidRPr="0053423A">
              <w:rPr>
                <w:spacing w:val="-4"/>
                <w:sz w:val="20"/>
                <w:szCs w:val="20"/>
              </w:rPr>
              <w:t>բխում</w:t>
            </w:r>
            <w:r w:rsidRPr="0053423A">
              <w:rPr>
                <w:spacing w:val="-4"/>
                <w:sz w:val="20"/>
                <w:szCs w:val="20"/>
                <w:lang w:val="et-EE"/>
              </w:rPr>
              <w:t xml:space="preserve"> </w:t>
            </w:r>
            <w:r w:rsidRPr="0053423A">
              <w:rPr>
                <w:spacing w:val="-4"/>
                <w:sz w:val="20"/>
                <w:szCs w:val="20"/>
              </w:rPr>
              <w:t>է</w:t>
            </w:r>
            <w:r w:rsidRPr="0053423A">
              <w:rPr>
                <w:spacing w:val="-4"/>
                <w:sz w:val="20"/>
                <w:szCs w:val="20"/>
                <w:lang w:val="et-EE"/>
              </w:rPr>
              <w:t xml:space="preserve"> </w:t>
            </w:r>
            <w:r w:rsidRPr="0053423A">
              <w:rPr>
                <w:spacing w:val="-4"/>
                <w:sz w:val="20"/>
                <w:szCs w:val="20"/>
              </w:rPr>
              <w:t>ՀՀ</w:t>
            </w:r>
            <w:r w:rsidRPr="0053423A">
              <w:rPr>
                <w:spacing w:val="-4"/>
                <w:sz w:val="20"/>
                <w:szCs w:val="20"/>
                <w:lang w:val="et-EE"/>
              </w:rPr>
              <w:t xml:space="preserve"> </w:t>
            </w:r>
            <w:r w:rsidRPr="0053423A">
              <w:rPr>
                <w:spacing w:val="-4"/>
                <w:sz w:val="20"/>
                <w:szCs w:val="20"/>
              </w:rPr>
              <w:t>ԱԺ</w:t>
            </w:r>
            <w:r w:rsidRPr="0053423A">
              <w:rPr>
                <w:spacing w:val="-4"/>
                <w:sz w:val="20"/>
                <w:szCs w:val="20"/>
                <w:lang w:val="et-EE"/>
              </w:rPr>
              <w:t xml:space="preserve"> 2019 </w:t>
            </w:r>
            <w:r w:rsidRPr="0053423A">
              <w:rPr>
                <w:spacing w:val="-4"/>
                <w:sz w:val="20"/>
                <w:szCs w:val="20"/>
              </w:rPr>
              <w:t>թվականի</w:t>
            </w:r>
            <w:r w:rsidRPr="0053423A">
              <w:rPr>
                <w:spacing w:val="-4"/>
                <w:sz w:val="20"/>
                <w:szCs w:val="20"/>
                <w:lang w:val="et-EE"/>
              </w:rPr>
              <w:t xml:space="preserve"> </w:t>
            </w:r>
            <w:r w:rsidRPr="0053423A">
              <w:rPr>
                <w:spacing w:val="-4"/>
                <w:sz w:val="20"/>
                <w:szCs w:val="20"/>
              </w:rPr>
              <w:t>փետրվարի</w:t>
            </w:r>
            <w:r w:rsidRPr="0053423A">
              <w:rPr>
                <w:spacing w:val="-4"/>
                <w:sz w:val="20"/>
                <w:szCs w:val="20"/>
                <w:lang w:val="et-EE"/>
              </w:rPr>
              <w:t xml:space="preserve"> 14-</w:t>
            </w:r>
            <w:r w:rsidRPr="0053423A">
              <w:rPr>
                <w:spacing w:val="-4"/>
                <w:sz w:val="20"/>
                <w:szCs w:val="20"/>
              </w:rPr>
              <w:t>ի</w:t>
            </w:r>
            <w:r w:rsidRPr="0053423A">
              <w:rPr>
                <w:spacing w:val="-4"/>
                <w:sz w:val="20"/>
                <w:szCs w:val="20"/>
                <w:lang w:val="et-EE"/>
              </w:rPr>
              <w:t xml:space="preserve"> </w:t>
            </w:r>
            <w:r w:rsidRPr="0053423A">
              <w:rPr>
                <w:spacing w:val="-4"/>
                <w:sz w:val="20"/>
                <w:szCs w:val="20"/>
              </w:rPr>
              <w:t>ԱԺՈ</w:t>
            </w:r>
            <w:r w:rsidRPr="0053423A">
              <w:rPr>
                <w:spacing w:val="-4"/>
                <w:sz w:val="20"/>
                <w:szCs w:val="20"/>
                <w:lang w:val="et-EE"/>
              </w:rPr>
              <w:t>-002-</w:t>
            </w:r>
            <w:r w:rsidRPr="0053423A">
              <w:rPr>
                <w:spacing w:val="-4"/>
                <w:sz w:val="20"/>
                <w:szCs w:val="20"/>
              </w:rPr>
              <w:t>Ն</w:t>
            </w:r>
            <w:r w:rsidRPr="0053423A">
              <w:rPr>
                <w:spacing w:val="-4"/>
                <w:sz w:val="20"/>
                <w:szCs w:val="20"/>
                <w:lang w:val="et-EE"/>
              </w:rPr>
              <w:t xml:space="preserve"> </w:t>
            </w:r>
            <w:r w:rsidRPr="0053423A">
              <w:rPr>
                <w:spacing w:val="-4"/>
                <w:sz w:val="20"/>
                <w:szCs w:val="20"/>
              </w:rPr>
              <w:t>որոշմամբ</w:t>
            </w:r>
            <w:r w:rsidRPr="0053423A">
              <w:rPr>
                <w:spacing w:val="-4"/>
                <w:sz w:val="20"/>
                <w:szCs w:val="20"/>
                <w:lang w:val="et-EE"/>
              </w:rPr>
              <w:t xml:space="preserve"> </w:t>
            </w:r>
            <w:r w:rsidRPr="0053423A">
              <w:rPr>
                <w:spacing w:val="-4"/>
                <w:sz w:val="20"/>
                <w:szCs w:val="20"/>
              </w:rPr>
              <w:t>հավանության</w:t>
            </w:r>
            <w:r w:rsidRPr="0053423A">
              <w:rPr>
                <w:spacing w:val="-4"/>
                <w:sz w:val="20"/>
                <w:szCs w:val="20"/>
                <w:lang w:val="et-EE"/>
              </w:rPr>
              <w:t xml:space="preserve"> </w:t>
            </w:r>
            <w:r w:rsidRPr="0053423A">
              <w:rPr>
                <w:spacing w:val="-4"/>
                <w:sz w:val="20"/>
                <w:szCs w:val="20"/>
              </w:rPr>
              <w:t>արժանացած</w:t>
            </w:r>
            <w:r w:rsidRPr="0053423A">
              <w:rPr>
                <w:spacing w:val="-4"/>
                <w:sz w:val="20"/>
                <w:szCs w:val="20"/>
                <w:lang w:val="et-EE"/>
              </w:rPr>
              <w:t xml:space="preserve"> </w:t>
            </w:r>
            <w:r w:rsidRPr="0053423A">
              <w:rPr>
                <w:spacing w:val="-4"/>
                <w:sz w:val="20"/>
                <w:szCs w:val="20"/>
              </w:rPr>
              <w:t>ՀՀ</w:t>
            </w:r>
            <w:r w:rsidRPr="0053423A">
              <w:rPr>
                <w:spacing w:val="-4"/>
                <w:sz w:val="20"/>
                <w:szCs w:val="20"/>
                <w:lang w:val="et-EE"/>
              </w:rPr>
              <w:t xml:space="preserve"> </w:t>
            </w:r>
            <w:r w:rsidRPr="0053423A">
              <w:rPr>
                <w:spacing w:val="-4"/>
                <w:sz w:val="20"/>
                <w:szCs w:val="20"/>
              </w:rPr>
              <w:t>կառավարության</w:t>
            </w:r>
            <w:r w:rsidRPr="0053423A">
              <w:rPr>
                <w:spacing w:val="-4"/>
                <w:sz w:val="20"/>
                <w:szCs w:val="20"/>
                <w:lang w:val="et-EE"/>
              </w:rPr>
              <w:t xml:space="preserve"> </w:t>
            </w:r>
            <w:r w:rsidRPr="0053423A">
              <w:rPr>
                <w:spacing w:val="-4"/>
                <w:sz w:val="20"/>
                <w:szCs w:val="20"/>
              </w:rPr>
              <w:t>ծրագրի</w:t>
            </w:r>
            <w:r w:rsidRPr="0053423A">
              <w:rPr>
                <w:spacing w:val="-4"/>
                <w:sz w:val="20"/>
                <w:szCs w:val="20"/>
                <w:lang w:val="et-EE"/>
              </w:rPr>
              <w:t xml:space="preserve"> </w:t>
            </w:r>
            <w:r w:rsidRPr="0053423A">
              <w:rPr>
                <w:rFonts w:eastAsia="Times New Roman" w:cs="Times New Roman"/>
                <w:sz w:val="20"/>
                <w:szCs w:val="20"/>
                <w:lang w:val="et-EE"/>
              </w:rPr>
              <w:t>«</w:t>
            </w:r>
            <w:r w:rsidRPr="0053423A">
              <w:rPr>
                <w:spacing w:val="-4"/>
                <w:sz w:val="20"/>
                <w:szCs w:val="20"/>
                <w:lang w:val="et-EE"/>
              </w:rPr>
              <w:t xml:space="preserve">4.4 </w:t>
            </w:r>
            <w:r w:rsidRPr="0053423A">
              <w:rPr>
                <w:spacing w:val="-4"/>
                <w:sz w:val="20"/>
                <w:szCs w:val="20"/>
              </w:rPr>
              <w:t>ԿՐԹՈՒԹՅՈՒՆ</w:t>
            </w:r>
            <w:r w:rsidRPr="0053423A">
              <w:rPr>
                <w:spacing w:val="-4"/>
                <w:sz w:val="20"/>
                <w:szCs w:val="20"/>
                <w:lang w:val="et-EE"/>
              </w:rPr>
              <w:t xml:space="preserve"> </w:t>
            </w:r>
            <w:r w:rsidRPr="0053423A">
              <w:rPr>
                <w:spacing w:val="-4"/>
                <w:sz w:val="20"/>
                <w:szCs w:val="20"/>
              </w:rPr>
              <w:t>ԵՎ</w:t>
            </w:r>
            <w:r w:rsidRPr="0053423A">
              <w:rPr>
                <w:spacing w:val="-4"/>
                <w:sz w:val="20"/>
                <w:szCs w:val="20"/>
                <w:lang w:val="et-EE"/>
              </w:rPr>
              <w:t xml:space="preserve"> </w:t>
            </w:r>
            <w:r w:rsidRPr="0053423A">
              <w:rPr>
                <w:spacing w:val="-4"/>
                <w:sz w:val="20"/>
                <w:szCs w:val="20"/>
              </w:rPr>
              <w:t>ԳԻՏՈՒԹՅՈՒՆ</w:t>
            </w:r>
            <w:r w:rsidRPr="0053423A">
              <w:rPr>
                <w:rFonts w:eastAsia="Times New Roman" w:cs="Times New Roman"/>
                <w:sz w:val="20"/>
                <w:szCs w:val="20"/>
                <w:lang w:val="et-EE"/>
              </w:rPr>
              <w:t xml:space="preserve">»  </w:t>
            </w:r>
            <w:r w:rsidRPr="0053423A">
              <w:rPr>
                <w:rFonts w:eastAsia="Calibri" w:cs="Sylfaen"/>
                <w:sz w:val="20"/>
                <w:szCs w:val="20"/>
                <w:lang w:val="hy-AM"/>
              </w:rPr>
              <w:t>բաժնի</w:t>
            </w:r>
            <w:r w:rsidRPr="0053423A">
              <w:rPr>
                <w:rFonts w:eastAsia="Calibri" w:cs="Sylfaen"/>
                <w:sz w:val="20"/>
                <w:szCs w:val="20"/>
                <w:lang w:val="et-EE"/>
              </w:rPr>
              <w:t xml:space="preserve"> </w:t>
            </w:r>
            <w:r w:rsidRPr="0053423A">
              <w:rPr>
                <w:rFonts w:eastAsia="Calibri" w:cs="Arian AMU"/>
                <w:sz w:val="20"/>
                <w:szCs w:val="20"/>
                <w:lang w:val="et-EE"/>
              </w:rPr>
              <w:t>2-</w:t>
            </w:r>
            <w:r w:rsidRPr="0053423A">
              <w:rPr>
                <w:rFonts w:eastAsia="Calibri" w:cs="Arian AMU"/>
                <w:sz w:val="20"/>
                <w:szCs w:val="20"/>
              </w:rPr>
              <w:t>րդ</w:t>
            </w:r>
            <w:r w:rsidRPr="0053423A">
              <w:rPr>
                <w:rFonts w:eastAsia="Calibri" w:cs="Arian AMU"/>
                <w:sz w:val="20"/>
                <w:szCs w:val="20"/>
                <w:lang w:val="et-EE"/>
              </w:rPr>
              <w:t xml:space="preserve"> </w:t>
            </w:r>
            <w:r w:rsidRPr="0053423A">
              <w:rPr>
                <w:rFonts w:eastAsia="Calibri" w:cs="Arian AMU"/>
                <w:sz w:val="20"/>
                <w:szCs w:val="20"/>
              </w:rPr>
              <w:t>պարբերությունից</w:t>
            </w:r>
            <w:r w:rsidRPr="0053423A">
              <w:rPr>
                <w:rFonts w:eastAsia="Calibri" w:cs="Arian AMU"/>
                <w:sz w:val="20"/>
                <w:szCs w:val="20"/>
                <w:lang w:val="et-EE"/>
              </w:rPr>
              <w:t xml:space="preserve">: </w:t>
            </w:r>
          </w:p>
          <w:p w:rsidR="00154773" w:rsidRPr="0053423A" w:rsidRDefault="00154773" w:rsidP="00154773">
            <w:pPr>
              <w:ind w:left="90" w:firstLine="270"/>
              <w:contextualSpacing/>
              <w:jc w:val="both"/>
              <w:rPr>
                <w:rFonts w:eastAsia="Calibri" w:cs="Arian AMU"/>
                <w:sz w:val="20"/>
                <w:szCs w:val="20"/>
                <w:lang w:val="et-EE"/>
              </w:rPr>
            </w:pPr>
            <w:r w:rsidRPr="0053423A">
              <w:rPr>
                <w:rFonts w:eastAsia="Calibri" w:cs="Arian AMU"/>
                <w:sz w:val="20"/>
                <w:szCs w:val="20"/>
              </w:rPr>
              <w:t>Համաշխարհային</w:t>
            </w:r>
            <w:r w:rsidRPr="0053423A">
              <w:rPr>
                <w:rFonts w:eastAsia="Calibri" w:cs="Arian AMU"/>
                <w:sz w:val="20"/>
                <w:szCs w:val="20"/>
                <w:lang w:val="et-EE"/>
              </w:rPr>
              <w:t xml:space="preserve"> </w:t>
            </w:r>
            <w:r w:rsidRPr="0053423A">
              <w:rPr>
                <w:rFonts w:eastAsia="Calibri" w:cs="Arian AMU"/>
                <w:sz w:val="20"/>
                <w:szCs w:val="20"/>
              </w:rPr>
              <w:t>բանկի</w:t>
            </w:r>
            <w:r w:rsidRPr="0053423A">
              <w:rPr>
                <w:rFonts w:eastAsia="Calibri" w:cs="Arian AMU"/>
                <w:sz w:val="20"/>
                <w:szCs w:val="20"/>
                <w:lang w:val="et-EE"/>
              </w:rPr>
              <w:t xml:space="preserve"> </w:t>
            </w:r>
            <w:r w:rsidRPr="0053423A">
              <w:rPr>
                <w:rFonts w:eastAsia="Calibri" w:cs="Arian AMU"/>
                <w:sz w:val="20"/>
                <w:szCs w:val="20"/>
              </w:rPr>
              <w:t>կողմից</w:t>
            </w:r>
            <w:r w:rsidRPr="0053423A">
              <w:rPr>
                <w:rFonts w:eastAsia="Calibri" w:cs="Arian AMU"/>
                <w:sz w:val="20"/>
                <w:szCs w:val="20"/>
                <w:lang w:val="et-EE"/>
              </w:rPr>
              <w:t xml:space="preserve"> </w:t>
            </w:r>
            <w:r w:rsidRPr="0053423A">
              <w:rPr>
                <w:rFonts w:eastAsia="Calibri" w:cs="Arian AMU"/>
                <w:sz w:val="20"/>
                <w:szCs w:val="20"/>
              </w:rPr>
              <w:t>ֆինանսավորվող</w:t>
            </w:r>
            <w:r w:rsidRPr="0053423A">
              <w:rPr>
                <w:rFonts w:eastAsia="Calibri" w:cs="Arian AMU"/>
                <w:sz w:val="20"/>
                <w:szCs w:val="20"/>
                <w:lang w:val="et-EE"/>
              </w:rPr>
              <w:t xml:space="preserve"> «</w:t>
            </w:r>
            <w:r w:rsidRPr="0053423A">
              <w:rPr>
                <w:rFonts w:eastAsia="Calibri" w:cs="Arian AMU"/>
                <w:sz w:val="20"/>
                <w:szCs w:val="20"/>
              </w:rPr>
              <w:t>Կրթության</w:t>
            </w:r>
            <w:r w:rsidRPr="0053423A">
              <w:rPr>
                <w:rFonts w:eastAsia="Calibri" w:cs="Arian AMU"/>
                <w:sz w:val="20"/>
                <w:szCs w:val="20"/>
                <w:lang w:val="et-EE"/>
              </w:rPr>
              <w:t xml:space="preserve"> </w:t>
            </w:r>
            <w:r w:rsidRPr="0053423A">
              <w:rPr>
                <w:rFonts w:eastAsia="Calibri" w:cs="Arian AMU"/>
                <w:sz w:val="20"/>
                <w:szCs w:val="20"/>
              </w:rPr>
              <w:t>բարելավում</w:t>
            </w:r>
            <w:r w:rsidRPr="0053423A">
              <w:rPr>
                <w:rFonts w:eastAsia="Calibri" w:cs="Arian AMU"/>
                <w:sz w:val="20"/>
                <w:szCs w:val="20"/>
                <w:lang w:val="et-EE"/>
              </w:rPr>
              <w:t xml:space="preserve">» </w:t>
            </w:r>
            <w:r w:rsidRPr="0053423A">
              <w:rPr>
                <w:rFonts w:eastAsia="Calibri" w:cs="Arian AMU"/>
                <w:sz w:val="20"/>
                <w:szCs w:val="20"/>
              </w:rPr>
              <w:t>ծրագրի</w:t>
            </w:r>
            <w:r w:rsidRPr="0053423A">
              <w:rPr>
                <w:rFonts w:eastAsia="Calibri" w:cs="Arian AMU"/>
                <w:sz w:val="20"/>
                <w:szCs w:val="20"/>
                <w:lang w:val="et-EE"/>
              </w:rPr>
              <w:t xml:space="preserve"> </w:t>
            </w:r>
            <w:r w:rsidRPr="0053423A">
              <w:rPr>
                <w:rFonts w:eastAsia="Calibri" w:cs="Arian AMU"/>
                <w:sz w:val="20"/>
                <w:szCs w:val="20"/>
              </w:rPr>
              <w:t>նպատակն</w:t>
            </w:r>
            <w:r w:rsidRPr="0053423A">
              <w:rPr>
                <w:rFonts w:eastAsia="Calibri" w:cs="Arian AMU"/>
                <w:sz w:val="20"/>
                <w:szCs w:val="20"/>
                <w:lang w:val="et-EE"/>
              </w:rPr>
              <w:t xml:space="preserve"> </w:t>
            </w:r>
            <w:r w:rsidRPr="0053423A">
              <w:rPr>
                <w:rFonts w:eastAsia="Calibri" w:cs="Arian AMU"/>
                <w:sz w:val="20"/>
                <w:szCs w:val="20"/>
              </w:rPr>
              <w:t>է</w:t>
            </w:r>
            <w:r w:rsidRPr="0053423A">
              <w:rPr>
                <w:rFonts w:eastAsia="Calibri" w:cs="Arian AMU"/>
                <w:sz w:val="20"/>
                <w:szCs w:val="20"/>
                <w:lang w:val="et-EE"/>
              </w:rPr>
              <w:t xml:space="preserve"> </w:t>
            </w:r>
            <w:r w:rsidRPr="0053423A">
              <w:rPr>
                <w:rFonts w:eastAsia="Calibri" w:cs="Arian AMU"/>
                <w:sz w:val="20"/>
                <w:szCs w:val="20"/>
              </w:rPr>
              <w:t>բարձրացնել</w:t>
            </w:r>
            <w:r w:rsidRPr="0053423A">
              <w:rPr>
                <w:rFonts w:eastAsia="Calibri" w:cs="Arian AMU"/>
                <w:sz w:val="20"/>
                <w:szCs w:val="20"/>
                <w:lang w:val="et-EE"/>
              </w:rPr>
              <w:t xml:space="preserve"> </w:t>
            </w:r>
            <w:r w:rsidRPr="0053423A">
              <w:rPr>
                <w:rFonts w:eastAsia="Calibri" w:cs="Arian AMU"/>
                <w:sz w:val="20"/>
                <w:szCs w:val="20"/>
              </w:rPr>
              <w:t>կրթության</w:t>
            </w:r>
            <w:r w:rsidRPr="0053423A">
              <w:rPr>
                <w:rFonts w:eastAsia="Calibri" w:cs="Arian AMU"/>
                <w:sz w:val="20"/>
                <w:szCs w:val="20"/>
                <w:lang w:val="et-EE"/>
              </w:rPr>
              <w:t xml:space="preserve"> </w:t>
            </w:r>
            <w:r w:rsidRPr="0053423A">
              <w:rPr>
                <w:rFonts w:eastAsia="Calibri" w:cs="Arian AMU"/>
                <w:sz w:val="20"/>
                <w:szCs w:val="20"/>
              </w:rPr>
              <w:t>որակը</w:t>
            </w:r>
            <w:r w:rsidRPr="0053423A">
              <w:rPr>
                <w:rFonts w:eastAsia="Calibri" w:cs="Arian AMU"/>
                <w:sz w:val="20"/>
                <w:szCs w:val="20"/>
                <w:lang w:val="et-EE"/>
              </w:rPr>
              <w:t xml:space="preserve"> </w:t>
            </w:r>
            <w:r w:rsidRPr="0053423A">
              <w:rPr>
                <w:rFonts w:eastAsia="Calibri" w:cs="Arian AMU"/>
                <w:sz w:val="20"/>
                <w:szCs w:val="20"/>
              </w:rPr>
              <w:t>և</w:t>
            </w:r>
            <w:r w:rsidRPr="0053423A">
              <w:rPr>
                <w:rFonts w:eastAsia="Calibri" w:cs="Arian AMU"/>
                <w:sz w:val="20"/>
                <w:szCs w:val="20"/>
                <w:lang w:val="et-EE"/>
              </w:rPr>
              <w:t xml:space="preserve"> </w:t>
            </w:r>
            <w:r w:rsidRPr="0053423A">
              <w:rPr>
                <w:rFonts w:eastAsia="Calibri" w:cs="Arian AMU"/>
                <w:sz w:val="20"/>
                <w:szCs w:val="20"/>
              </w:rPr>
              <w:t>համապատասխանությունը</w:t>
            </w:r>
            <w:r w:rsidRPr="0053423A">
              <w:rPr>
                <w:rFonts w:eastAsia="Calibri" w:cs="Arian AMU"/>
                <w:sz w:val="20"/>
                <w:szCs w:val="20"/>
                <w:lang w:val="et-EE"/>
              </w:rPr>
              <w:t xml:space="preserve"> </w:t>
            </w:r>
            <w:r w:rsidRPr="0053423A">
              <w:rPr>
                <w:rFonts w:eastAsia="Calibri" w:cs="Arian AMU"/>
                <w:sz w:val="20"/>
                <w:szCs w:val="20"/>
              </w:rPr>
              <w:t>ավագ</w:t>
            </w:r>
            <w:r w:rsidRPr="0053423A">
              <w:rPr>
                <w:rFonts w:eastAsia="Calibri" w:cs="Arian AMU"/>
                <w:sz w:val="20"/>
                <w:szCs w:val="20"/>
                <w:lang w:val="et-EE"/>
              </w:rPr>
              <w:t xml:space="preserve"> </w:t>
            </w:r>
            <w:r w:rsidRPr="0053423A">
              <w:rPr>
                <w:rFonts w:eastAsia="Calibri" w:cs="Arian AMU"/>
                <w:sz w:val="20"/>
                <w:szCs w:val="20"/>
              </w:rPr>
              <w:t>դպրոցների</w:t>
            </w:r>
            <w:r w:rsidRPr="0053423A">
              <w:rPr>
                <w:rFonts w:eastAsia="Calibri" w:cs="Arian AMU"/>
                <w:sz w:val="20"/>
                <w:szCs w:val="20"/>
                <w:lang w:val="et-EE"/>
              </w:rPr>
              <w:t xml:space="preserve"> </w:t>
            </w:r>
            <w:r w:rsidRPr="0053423A">
              <w:rPr>
                <w:rFonts w:eastAsia="Calibri" w:cs="Arian AMU"/>
                <w:sz w:val="20"/>
                <w:szCs w:val="20"/>
              </w:rPr>
              <w:t>համակարգում</w:t>
            </w:r>
            <w:r w:rsidRPr="0053423A">
              <w:rPr>
                <w:rFonts w:eastAsia="Calibri" w:cs="Arian AMU"/>
                <w:sz w:val="20"/>
                <w:szCs w:val="20"/>
                <w:lang w:val="et-EE"/>
              </w:rPr>
              <w:t xml:space="preserve">, </w:t>
            </w:r>
            <w:r w:rsidRPr="0053423A">
              <w:rPr>
                <w:rFonts w:eastAsia="Calibri" w:cs="Arian AMU"/>
                <w:sz w:val="20"/>
                <w:szCs w:val="20"/>
              </w:rPr>
              <w:t>իրականացնել</w:t>
            </w:r>
            <w:r w:rsidRPr="0053423A">
              <w:rPr>
                <w:rFonts w:eastAsia="Calibri" w:cs="Arian AMU"/>
                <w:sz w:val="20"/>
                <w:szCs w:val="20"/>
                <w:lang w:val="et-EE"/>
              </w:rPr>
              <w:t xml:space="preserve"> </w:t>
            </w:r>
            <w:r w:rsidRPr="0053423A">
              <w:rPr>
                <w:rFonts w:eastAsia="Calibri" w:cs="Arian AMU"/>
                <w:sz w:val="20"/>
                <w:szCs w:val="20"/>
              </w:rPr>
              <w:t>սահմանված</w:t>
            </w:r>
            <w:r w:rsidRPr="0053423A">
              <w:rPr>
                <w:rFonts w:eastAsia="Calibri" w:cs="Arian AMU"/>
                <w:sz w:val="20"/>
                <w:szCs w:val="20"/>
                <w:lang w:val="et-EE"/>
              </w:rPr>
              <w:t xml:space="preserve"> </w:t>
            </w:r>
            <w:r w:rsidRPr="0053423A">
              <w:rPr>
                <w:rFonts w:eastAsia="Calibri" w:cs="Arian AMU"/>
                <w:sz w:val="20"/>
                <w:szCs w:val="20"/>
              </w:rPr>
              <w:t>չափանիշներով</w:t>
            </w:r>
            <w:r w:rsidRPr="0053423A">
              <w:rPr>
                <w:rFonts w:eastAsia="Calibri" w:cs="Arian AMU"/>
                <w:sz w:val="20"/>
                <w:szCs w:val="20"/>
                <w:lang w:val="et-EE"/>
              </w:rPr>
              <w:t xml:space="preserve"> </w:t>
            </w:r>
            <w:r w:rsidRPr="0053423A">
              <w:rPr>
                <w:rFonts w:eastAsia="Calibri" w:cs="Arian AMU"/>
                <w:sz w:val="20"/>
                <w:szCs w:val="20"/>
              </w:rPr>
              <w:t>ընտրված</w:t>
            </w:r>
            <w:r w:rsidRPr="0053423A">
              <w:rPr>
                <w:rFonts w:eastAsia="Calibri" w:cs="Arian AMU"/>
                <w:sz w:val="20"/>
                <w:szCs w:val="20"/>
                <w:lang w:val="et-EE"/>
              </w:rPr>
              <w:t xml:space="preserve"> </w:t>
            </w:r>
            <w:r w:rsidRPr="0053423A">
              <w:rPr>
                <w:rFonts w:eastAsia="Calibri" w:cs="Arian AMU"/>
                <w:sz w:val="20"/>
                <w:szCs w:val="20"/>
              </w:rPr>
              <w:t>ավագ</w:t>
            </w:r>
            <w:r w:rsidRPr="0053423A">
              <w:rPr>
                <w:rFonts w:eastAsia="Calibri" w:cs="Arian AMU"/>
                <w:sz w:val="20"/>
                <w:szCs w:val="20"/>
                <w:lang w:val="et-EE"/>
              </w:rPr>
              <w:t xml:space="preserve"> </w:t>
            </w:r>
            <w:r w:rsidRPr="0053423A">
              <w:rPr>
                <w:rFonts w:eastAsia="Calibri" w:cs="Arian AMU"/>
                <w:sz w:val="20"/>
                <w:szCs w:val="20"/>
              </w:rPr>
              <w:t>դպրոցների</w:t>
            </w:r>
            <w:r w:rsidRPr="0053423A">
              <w:rPr>
                <w:rFonts w:eastAsia="Calibri" w:cs="Arian AMU"/>
                <w:sz w:val="20"/>
                <w:szCs w:val="20"/>
                <w:lang w:val="et-EE"/>
              </w:rPr>
              <w:t xml:space="preserve"> </w:t>
            </w:r>
            <w:r w:rsidRPr="0053423A">
              <w:rPr>
                <w:rFonts w:eastAsia="Calibri" w:cs="Arian AMU"/>
                <w:sz w:val="20"/>
                <w:szCs w:val="20"/>
              </w:rPr>
              <w:t>կարողությունների</w:t>
            </w:r>
            <w:r w:rsidRPr="0053423A">
              <w:rPr>
                <w:rFonts w:eastAsia="Calibri" w:cs="Arian AMU"/>
                <w:sz w:val="20"/>
                <w:szCs w:val="20"/>
                <w:lang w:val="et-EE"/>
              </w:rPr>
              <w:t xml:space="preserve"> </w:t>
            </w:r>
            <w:r w:rsidRPr="0053423A">
              <w:rPr>
                <w:rFonts w:eastAsia="Calibri" w:cs="Arian AMU"/>
                <w:sz w:val="20"/>
                <w:szCs w:val="20"/>
              </w:rPr>
              <w:t>հզորացում</w:t>
            </w:r>
            <w:r w:rsidRPr="0053423A">
              <w:rPr>
                <w:rFonts w:eastAsia="Calibri" w:cs="Arian AMU"/>
                <w:sz w:val="20"/>
                <w:szCs w:val="20"/>
                <w:lang w:val="et-EE"/>
              </w:rPr>
              <w:t xml:space="preserve">: </w:t>
            </w:r>
          </w:p>
          <w:p w:rsidR="00154773" w:rsidRPr="0053423A" w:rsidRDefault="00154773" w:rsidP="00154773">
            <w:pPr>
              <w:tabs>
                <w:tab w:val="left" w:pos="2694"/>
              </w:tabs>
              <w:ind w:left="90"/>
              <w:contextualSpacing/>
              <w:jc w:val="both"/>
              <w:rPr>
                <w:sz w:val="20"/>
                <w:szCs w:val="20"/>
                <w:lang w:val="et-EE"/>
              </w:rPr>
            </w:pPr>
          </w:p>
          <w:p w:rsidR="00154773" w:rsidRPr="0053423A" w:rsidRDefault="00154773" w:rsidP="001F6D5D">
            <w:pPr>
              <w:numPr>
                <w:ilvl w:val="1"/>
                <w:numId w:val="474"/>
              </w:numPr>
              <w:tabs>
                <w:tab w:val="left" w:pos="2694"/>
              </w:tabs>
              <w:contextualSpacing/>
              <w:rPr>
                <w:b/>
                <w:sz w:val="20"/>
                <w:szCs w:val="20"/>
                <w:lang w:val="et-EE"/>
              </w:rPr>
            </w:pPr>
            <w:r w:rsidRPr="0053423A">
              <w:rPr>
                <w:rFonts w:cs="Sylfaen"/>
                <w:b/>
                <w:sz w:val="20"/>
                <w:szCs w:val="20"/>
                <w:lang w:val="hy-AM"/>
              </w:rPr>
              <w:t>Կարգավորման</w:t>
            </w:r>
            <w:r w:rsidRPr="0053423A">
              <w:rPr>
                <w:b/>
                <w:sz w:val="20"/>
                <w:szCs w:val="20"/>
                <w:lang w:val="et-EE"/>
              </w:rPr>
              <w:t xml:space="preserve">  </w:t>
            </w:r>
            <w:r w:rsidRPr="0053423A">
              <w:rPr>
                <w:b/>
                <w:sz w:val="20"/>
                <w:szCs w:val="20"/>
                <w:lang w:val="hy-AM"/>
              </w:rPr>
              <w:t xml:space="preserve">հարաբերությունների </w:t>
            </w:r>
            <w:r w:rsidRPr="0053423A">
              <w:rPr>
                <w:b/>
                <w:sz w:val="20"/>
                <w:szCs w:val="20"/>
                <w:lang w:val="et-EE"/>
              </w:rPr>
              <w:t xml:space="preserve"> </w:t>
            </w:r>
            <w:r w:rsidRPr="0053423A">
              <w:rPr>
                <w:b/>
                <w:sz w:val="20"/>
                <w:szCs w:val="20"/>
                <w:lang w:val="hy-AM"/>
              </w:rPr>
              <w:t>ներկա</w:t>
            </w:r>
            <w:r w:rsidRPr="0053423A">
              <w:rPr>
                <w:b/>
                <w:sz w:val="20"/>
                <w:szCs w:val="20"/>
                <w:lang w:val="et-EE"/>
              </w:rPr>
              <w:t xml:space="preserve"> </w:t>
            </w:r>
            <w:r w:rsidRPr="0053423A">
              <w:rPr>
                <w:b/>
                <w:sz w:val="20"/>
                <w:szCs w:val="20"/>
                <w:lang w:val="hy-AM"/>
              </w:rPr>
              <w:t xml:space="preserve"> վիճակը </w:t>
            </w:r>
            <w:r w:rsidRPr="0053423A">
              <w:rPr>
                <w:b/>
                <w:sz w:val="20"/>
                <w:szCs w:val="20"/>
                <w:lang w:val="et-EE"/>
              </w:rPr>
              <w:t xml:space="preserve"> </w:t>
            </w:r>
            <w:r w:rsidRPr="0053423A">
              <w:rPr>
                <w:b/>
                <w:sz w:val="20"/>
                <w:szCs w:val="20"/>
                <w:lang w:val="hy-AM"/>
              </w:rPr>
              <w:t xml:space="preserve">և </w:t>
            </w:r>
            <w:r w:rsidRPr="0053423A">
              <w:rPr>
                <w:b/>
                <w:sz w:val="20"/>
                <w:szCs w:val="20"/>
                <w:lang w:val="et-EE"/>
              </w:rPr>
              <w:t xml:space="preserve"> </w:t>
            </w:r>
            <w:r w:rsidRPr="0053423A">
              <w:rPr>
                <w:b/>
                <w:sz w:val="20"/>
                <w:szCs w:val="20"/>
                <w:lang w:val="hy-AM"/>
              </w:rPr>
              <w:t>առկա</w:t>
            </w:r>
            <w:r w:rsidRPr="0053423A">
              <w:rPr>
                <w:b/>
                <w:sz w:val="20"/>
                <w:szCs w:val="20"/>
                <w:lang w:val="et-EE"/>
              </w:rPr>
              <w:t xml:space="preserve"> </w:t>
            </w:r>
            <w:r w:rsidRPr="0053423A">
              <w:rPr>
                <w:b/>
                <w:sz w:val="20"/>
                <w:szCs w:val="20"/>
                <w:lang w:val="hy-AM"/>
              </w:rPr>
              <w:t xml:space="preserve"> խնդիրները</w:t>
            </w:r>
          </w:p>
          <w:p w:rsidR="00154773" w:rsidRPr="0053423A" w:rsidRDefault="00154773" w:rsidP="00154773">
            <w:pPr>
              <w:tabs>
                <w:tab w:val="left" w:pos="2694"/>
              </w:tabs>
              <w:ind w:left="180"/>
              <w:contextualSpacing/>
              <w:jc w:val="both"/>
              <w:rPr>
                <w:rFonts w:eastAsia="Calibri" w:cs="Arian AMU"/>
                <w:sz w:val="20"/>
                <w:szCs w:val="20"/>
                <w:lang w:val="et-EE"/>
              </w:rPr>
            </w:pPr>
          </w:p>
          <w:p w:rsidR="00154773" w:rsidRPr="0053423A" w:rsidRDefault="00154773" w:rsidP="00154773">
            <w:pPr>
              <w:tabs>
                <w:tab w:val="left" w:pos="2694"/>
              </w:tabs>
              <w:ind w:left="180" w:firstLine="465"/>
              <w:jc w:val="both"/>
              <w:rPr>
                <w:b/>
                <w:sz w:val="20"/>
                <w:szCs w:val="20"/>
                <w:u w:val="single"/>
                <w:lang w:val="et-EE"/>
              </w:rPr>
            </w:pPr>
          </w:p>
          <w:p w:rsidR="00154773" w:rsidRPr="0053423A" w:rsidRDefault="00154773" w:rsidP="00154773">
            <w:pPr>
              <w:tabs>
                <w:tab w:val="left" w:pos="540"/>
              </w:tabs>
              <w:contextualSpacing/>
              <w:jc w:val="both"/>
              <w:rPr>
                <w:rFonts w:eastAsia="Calibri" w:cs="Arian AMU"/>
                <w:sz w:val="20"/>
                <w:szCs w:val="20"/>
                <w:lang w:val="et-EE"/>
              </w:rPr>
            </w:pPr>
            <w:r w:rsidRPr="0053423A">
              <w:rPr>
                <w:rFonts w:eastAsia="Calibri" w:cs="Arian AMU"/>
                <w:sz w:val="20"/>
                <w:szCs w:val="20"/>
                <w:lang w:val="et-EE"/>
              </w:rPr>
              <w:tab/>
              <w:t xml:space="preserve">2016-2018 </w:t>
            </w:r>
            <w:r w:rsidRPr="0053423A">
              <w:rPr>
                <w:rFonts w:eastAsia="Calibri" w:cs="Arian AMU"/>
                <w:sz w:val="20"/>
                <w:szCs w:val="20"/>
              </w:rPr>
              <w:t>թթ</w:t>
            </w:r>
            <w:r w:rsidRPr="0053423A">
              <w:rPr>
                <w:rFonts w:eastAsia="Calibri" w:cs="Arian AMU"/>
                <w:sz w:val="20"/>
                <w:szCs w:val="20"/>
                <w:lang w:val="et-EE"/>
              </w:rPr>
              <w:t xml:space="preserve">. </w:t>
            </w:r>
            <w:r w:rsidRPr="0053423A">
              <w:rPr>
                <w:rFonts w:eastAsia="Calibri" w:cs="Arian AMU"/>
                <w:sz w:val="20"/>
                <w:szCs w:val="20"/>
              </w:rPr>
              <w:t>ընթացքում</w:t>
            </w:r>
            <w:r w:rsidRPr="0053423A">
              <w:rPr>
                <w:rFonts w:eastAsia="Calibri" w:cs="Arian AMU"/>
                <w:sz w:val="20"/>
                <w:szCs w:val="20"/>
                <w:lang w:val="et-EE"/>
              </w:rPr>
              <w:t xml:space="preserve"> </w:t>
            </w:r>
            <w:r w:rsidRPr="0053423A">
              <w:rPr>
                <w:rFonts w:eastAsia="Calibri" w:cs="Arian AMU"/>
                <w:sz w:val="20"/>
                <w:szCs w:val="20"/>
              </w:rPr>
              <w:t>ծրագրի</w:t>
            </w:r>
            <w:r w:rsidRPr="0053423A">
              <w:rPr>
                <w:rFonts w:eastAsia="Calibri" w:cs="Arian AMU"/>
                <w:sz w:val="20"/>
                <w:szCs w:val="20"/>
                <w:lang w:val="et-EE"/>
              </w:rPr>
              <w:t xml:space="preserve"> </w:t>
            </w:r>
            <w:r w:rsidRPr="0053423A">
              <w:rPr>
                <w:rFonts w:eastAsia="Calibri" w:cs="Arian AMU"/>
                <w:sz w:val="20"/>
                <w:szCs w:val="20"/>
              </w:rPr>
              <w:t>շրջանակներում</w:t>
            </w:r>
            <w:r w:rsidRPr="0053423A">
              <w:rPr>
                <w:rFonts w:eastAsia="Calibri" w:cs="Arian AMU"/>
                <w:sz w:val="20"/>
                <w:szCs w:val="20"/>
                <w:lang w:val="et-EE"/>
              </w:rPr>
              <w:t xml:space="preserve"> </w:t>
            </w:r>
            <w:r w:rsidRPr="0053423A">
              <w:rPr>
                <w:rFonts w:eastAsia="Calibri" w:cs="Arian AMU"/>
                <w:sz w:val="20"/>
                <w:szCs w:val="20"/>
              </w:rPr>
              <w:t>հիմնանորոգվել</w:t>
            </w:r>
            <w:r w:rsidRPr="0053423A">
              <w:rPr>
                <w:rFonts w:eastAsia="Calibri" w:cs="Arian AMU"/>
                <w:sz w:val="20"/>
                <w:szCs w:val="20"/>
                <w:lang w:val="et-EE"/>
              </w:rPr>
              <w:t xml:space="preserve"> </w:t>
            </w:r>
            <w:r w:rsidRPr="0053423A">
              <w:rPr>
                <w:rFonts w:eastAsia="Calibri" w:cs="Arian AMU"/>
                <w:sz w:val="20"/>
                <w:szCs w:val="20"/>
              </w:rPr>
              <w:t>են</w:t>
            </w:r>
            <w:r w:rsidRPr="0053423A">
              <w:rPr>
                <w:rFonts w:eastAsia="Calibri" w:cs="Arian AMU"/>
                <w:sz w:val="20"/>
                <w:szCs w:val="20"/>
                <w:lang w:val="et-EE"/>
              </w:rPr>
              <w:t xml:space="preserve"> </w:t>
            </w:r>
            <w:r w:rsidRPr="0053423A">
              <w:rPr>
                <w:rFonts w:eastAsia="Calibri" w:cs="Arian AMU"/>
                <w:sz w:val="20"/>
                <w:szCs w:val="20"/>
              </w:rPr>
              <w:t>ՀՀ</w:t>
            </w:r>
            <w:r w:rsidRPr="0053423A">
              <w:rPr>
                <w:rFonts w:eastAsia="Calibri" w:cs="Arian AMU"/>
                <w:sz w:val="20"/>
                <w:szCs w:val="20"/>
                <w:lang w:val="et-EE"/>
              </w:rPr>
              <w:t xml:space="preserve"> </w:t>
            </w:r>
            <w:r w:rsidRPr="0053423A">
              <w:rPr>
                <w:rFonts w:eastAsia="Calibri" w:cs="Arian AMU"/>
                <w:sz w:val="20"/>
                <w:szCs w:val="20"/>
              </w:rPr>
              <w:t>մարզերի</w:t>
            </w:r>
            <w:r w:rsidRPr="0053423A">
              <w:rPr>
                <w:rFonts w:eastAsia="Calibri" w:cs="Arian AMU"/>
                <w:sz w:val="20"/>
                <w:szCs w:val="20"/>
                <w:lang w:val="et-EE"/>
              </w:rPr>
              <w:t xml:space="preserve"> 5 </w:t>
            </w:r>
            <w:r w:rsidRPr="0053423A">
              <w:rPr>
                <w:rFonts w:eastAsia="Calibri" w:cs="Arian AMU"/>
                <w:sz w:val="20"/>
                <w:szCs w:val="20"/>
              </w:rPr>
              <w:t>ավագ</w:t>
            </w:r>
            <w:r w:rsidRPr="0053423A">
              <w:rPr>
                <w:rFonts w:eastAsia="Calibri" w:cs="Arian AMU"/>
                <w:sz w:val="20"/>
                <w:szCs w:val="20"/>
                <w:lang w:val="et-EE"/>
              </w:rPr>
              <w:t xml:space="preserve"> </w:t>
            </w:r>
            <w:r w:rsidRPr="0053423A">
              <w:rPr>
                <w:rFonts w:eastAsia="Calibri" w:cs="Arian AMU"/>
                <w:sz w:val="20"/>
                <w:szCs w:val="20"/>
              </w:rPr>
              <w:t>դպրոցներ</w:t>
            </w:r>
            <w:r w:rsidRPr="0053423A">
              <w:rPr>
                <w:rFonts w:eastAsia="Calibri" w:cs="Arian AMU"/>
                <w:sz w:val="20"/>
                <w:szCs w:val="20"/>
                <w:lang w:val="et-EE"/>
              </w:rPr>
              <w:t xml:space="preserve">: </w:t>
            </w:r>
            <w:r w:rsidRPr="0053423A">
              <w:rPr>
                <w:rFonts w:eastAsia="Calibri" w:cs="Arian AMU"/>
                <w:sz w:val="20"/>
                <w:szCs w:val="20"/>
              </w:rPr>
              <w:t>Ավագ</w:t>
            </w:r>
            <w:r w:rsidRPr="0053423A">
              <w:rPr>
                <w:rFonts w:eastAsia="Calibri" w:cs="Arian AMU"/>
                <w:sz w:val="20"/>
                <w:szCs w:val="20"/>
                <w:lang w:val="et-EE"/>
              </w:rPr>
              <w:t xml:space="preserve"> </w:t>
            </w:r>
            <w:r w:rsidRPr="0053423A">
              <w:rPr>
                <w:rFonts w:eastAsia="Calibri" w:cs="Arian AMU"/>
                <w:sz w:val="20"/>
                <w:szCs w:val="20"/>
              </w:rPr>
              <w:t>դպրոցների</w:t>
            </w:r>
            <w:r w:rsidRPr="0053423A">
              <w:rPr>
                <w:rFonts w:eastAsia="Calibri" w:cs="Arian AMU"/>
                <w:sz w:val="20"/>
                <w:szCs w:val="20"/>
                <w:lang w:val="et-EE"/>
              </w:rPr>
              <w:t xml:space="preserve"> </w:t>
            </w:r>
            <w:r w:rsidRPr="0053423A">
              <w:rPr>
                <w:rFonts w:eastAsia="Calibri" w:cs="Arian AMU"/>
                <w:sz w:val="20"/>
                <w:szCs w:val="20"/>
              </w:rPr>
              <w:t>հիմնանորոգմանը</w:t>
            </w:r>
            <w:r w:rsidRPr="0053423A">
              <w:rPr>
                <w:rFonts w:eastAsia="Calibri" w:cs="Arian AMU"/>
                <w:sz w:val="20"/>
                <w:szCs w:val="20"/>
                <w:lang w:val="et-EE"/>
              </w:rPr>
              <w:t xml:space="preserve"> </w:t>
            </w:r>
            <w:r w:rsidRPr="0053423A">
              <w:rPr>
                <w:rFonts w:eastAsia="Calibri" w:cs="Arian AMU"/>
                <w:sz w:val="20"/>
                <w:szCs w:val="20"/>
              </w:rPr>
              <w:t>հաջորդելու</w:t>
            </w:r>
            <w:r w:rsidRPr="0053423A">
              <w:rPr>
                <w:rFonts w:eastAsia="Calibri" w:cs="Arian AMU"/>
                <w:sz w:val="20"/>
                <w:szCs w:val="20"/>
                <w:lang w:val="et-EE"/>
              </w:rPr>
              <w:t xml:space="preserve"> </w:t>
            </w:r>
            <w:r w:rsidRPr="0053423A">
              <w:rPr>
                <w:rFonts w:eastAsia="Calibri" w:cs="Arian AMU"/>
                <w:sz w:val="20"/>
                <w:szCs w:val="20"/>
              </w:rPr>
              <w:t>են</w:t>
            </w:r>
            <w:r w:rsidRPr="0053423A">
              <w:rPr>
                <w:rFonts w:eastAsia="Calibri" w:cs="Arian AMU"/>
                <w:sz w:val="20"/>
                <w:szCs w:val="20"/>
                <w:lang w:val="et-EE"/>
              </w:rPr>
              <w:t xml:space="preserve"> </w:t>
            </w:r>
            <w:r w:rsidRPr="0053423A">
              <w:rPr>
                <w:rFonts w:eastAsia="Calibri" w:cs="Arian AMU"/>
                <w:sz w:val="20"/>
                <w:szCs w:val="20"/>
              </w:rPr>
              <w:t>ավագ</w:t>
            </w:r>
            <w:r w:rsidRPr="0053423A">
              <w:rPr>
                <w:rFonts w:eastAsia="Calibri" w:cs="Arian AMU"/>
                <w:sz w:val="20"/>
                <w:szCs w:val="20"/>
                <w:lang w:val="et-EE"/>
              </w:rPr>
              <w:t xml:space="preserve"> </w:t>
            </w:r>
            <w:r w:rsidRPr="0053423A">
              <w:rPr>
                <w:rFonts w:eastAsia="Calibri" w:cs="Arian AMU"/>
                <w:sz w:val="20"/>
                <w:szCs w:val="20"/>
              </w:rPr>
              <w:t>դպրոցներում</w:t>
            </w:r>
            <w:r w:rsidRPr="0053423A">
              <w:rPr>
                <w:rFonts w:eastAsia="Calibri" w:cs="Arian AMU"/>
                <w:sz w:val="20"/>
                <w:szCs w:val="20"/>
                <w:lang w:val="et-EE"/>
              </w:rPr>
              <w:t xml:space="preserve"> </w:t>
            </w:r>
            <w:r w:rsidRPr="0053423A">
              <w:rPr>
                <w:rFonts w:eastAsia="Calibri" w:cs="Arian AMU"/>
                <w:sz w:val="20"/>
                <w:szCs w:val="20"/>
              </w:rPr>
              <w:t>բնագիտական</w:t>
            </w:r>
            <w:r w:rsidRPr="0053423A">
              <w:rPr>
                <w:rFonts w:eastAsia="Calibri" w:cs="Arian AMU"/>
                <w:sz w:val="20"/>
                <w:szCs w:val="20"/>
                <w:lang w:val="et-EE"/>
              </w:rPr>
              <w:t xml:space="preserve"> </w:t>
            </w:r>
            <w:r w:rsidRPr="0053423A">
              <w:rPr>
                <w:rFonts w:eastAsia="Calibri" w:cs="Arian AMU"/>
                <w:sz w:val="20"/>
                <w:szCs w:val="20"/>
              </w:rPr>
              <w:t>առարկաների</w:t>
            </w:r>
            <w:r w:rsidRPr="0053423A">
              <w:rPr>
                <w:rFonts w:eastAsia="Calibri" w:cs="Arian AMU"/>
                <w:sz w:val="20"/>
                <w:szCs w:val="20"/>
                <w:lang w:val="et-EE"/>
              </w:rPr>
              <w:t xml:space="preserve"> </w:t>
            </w:r>
            <w:r w:rsidRPr="0053423A">
              <w:rPr>
                <w:rFonts w:eastAsia="Calibri" w:cs="Arian AMU"/>
                <w:sz w:val="20"/>
                <w:szCs w:val="20"/>
              </w:rPr>
              <w:t>գծով</w:t>
            </w:r>
            <w:r w:rsidRPr="0053423A">
              <w:rPr>
                <w:rFonts w:eastAsia="Calibri" w:cs="Arian AMU"/>
                <w:sz w:val="20"/>
                <w:szCs w:val="20"/>
                <w:lang w:val="et-EE"/>
              </w:rPr>
              <w:t xml:space="preserve"> </w:t>
            </w:r>
            <w:r w:rsidRPr="0053423A">
              <w:rPr>
                <w:rFonts w:eastAsia="Calibri" w:cs="Arian AMU"/>
                <w:sz w:val="20"/>
                <w:szCs w:val="20"/>
              </w:rPr>
              <w:t>ժամանակակից</w:t>
            </w:r>
            <w:r w:rsidRPr="0053423A">
              <w:rPr>
                <w:rFonts w:eastAsia="Calibri" w:cs="Arian AMU"/>
                <w:sz w:val="20"/>
                <w:szCs w:val="20"/>
                <w:lang w:val="et-EE"/>
              </w:rPr>
              <w:t xml:space="preserve"> </w:t>
            </w:r>
            <w:r w:rsidRPr="0053423A">
              <w:rPr>
                <w:rFonts w:eastAsia="Calibri" w:cs="Arian AMU"/>
                <w:sz w:val="20"/>
                <w:szCs w:val="20"/>
              </w:rPr>
              <w:t>ռեսուրսներով</w:t>
            </w:r>
            <w:r w:rsidRPr="0053423A">
              <w:rPr>
                <w:rFonts w:eastAsia="Calibri" w:cs="Arian AMU"/>
                <w:sz w:val="20"/>
                <w:szCs w:val="20"/>
                <w:lang w:val="et-EE"/>
              </w:rPr>
              <w:t xml:space="preserve"> </w:t>
            </w:r>
            <w:r w:rsidRPr="0053423A">
              <w:rPr>
                <w:rFonts w:eastAsia="Calibri" w:cs="Arian AMU"/>
                <w:sz w:val="20"/>
                <w:szCs w:val="20"/>
              </w:rPr>
              <w:t>և</w:t>
            </w:r>
            <w:r w:rsidRPr="0053423A">
              <w:rPr>
                <w:rFonts w:eastAsia="Calibri" w:cs="Arian AMU"/>
                <w:sz w:val="20"/>
                <w:szCs w:val="20"/>
                <w:lang w:val="et-EE"/>
              </w:rPr>
              <w:t xml:space="preserve"> </w:t>
            </w:r>
            <w:r w:rsidRPr="0053423A">
              <w:rPr>
                <w:rFonts w:eastAsia="Calibri" w:cs="Arian AMU"/>
                <w:sz w:val="20"/>
                <w:szCs w:val="20"/>
              </w:rPr>
              <w:t>կահավորված</w:t>
            </w:r>
            <w:r w:rsidRPr="0053423A">
              <w:rPr>
                <w:rFonts w:eastAsia="Calibri" w:cs="Arian AMU"/>
                <w:sz w:val="20"/>
                <w:szCs w:val="20"/>
                <w:lang w:val="et-EE"/>
              </w:rPr>
              <w:t xml:space="preserve"> </w:t>
            </w:r>
            <w:r w:rsidRPr="0053423A">
              <w:rPr>
                <w:rFonts w:eastAsia="Calibri" w:cs="Arian AMU"/>
                <w:sz w:val="20"/>
                <w:szCs w:val="20"/>
              </w:rPr>
              <w:t>լաբորատորիաների</w:t>
            </w:r>
            <w:r w:rsidRPr="0053423A">
              <w:rPr>
                <w:rFonts w:eastAsia="Calibri" w:cs="Arian AMU"/>
                <w:sz w:val="20"/>
                <w:szCs w:val="20"/>
                <w:lang w:val="et-EE"/>
              </w:rPr>
              <w:t xml:space="preserve"> </w:t>
            </w:r>
            <w:r w:rsidRPr="0053423A">
              <w:rPr>
                <w:rFonts w:eastAsia="Calibri" w:cs="Arian AMU"/>
                <w:sz w:val="20"/>
                <w:szCs w:val="20"/>
              </w:rPr>
              <w:t>հիմնում</w:t>
            </w:r>
            <w:r w:rsidRPr="0053423A">
              <w:rPr>
                <w:rFonts w:eastAsia="Calibri" w:cs="Arian AMU"/>
                <w:sz w:val="20"/>
                <w:szCs w:val="20"/>
                <w:lang w:val="et-EE"/>
              </w:rPr>
              <w:t>:</w:t>
            </w:r>
          </w:p>
          <w:p w:rsidR="00154773" w:rsidRPr="0053423A" w:rsidRDefault="00154773" w:rsidP="00154773">
            <w:pPr>
              <w:tabs>
                <w:tab w:val="left" w:pos="2694"/>
              </w:tabs>
              <w:ind w:left="180" w:firstLine="465"/>
              <w:jc w:val="both"/>
              <w:rPr>
                <w:b/>
                <w:sz w:val="20"/>
                <w:szCs w:val="20"/>
                <w:u w:val="single"/>
                <w:lang w:val="et-EE"/>
              </w:rPr>
            </w:pPr>
          </w:p>
          <w:p w:rsidR="00154773" w:rsidRPr="0053423A" w:rsidRDefault="00154773" w:rsidP="00154773">
            <w:pPr>
              <w:rPr>
                <w:rFonts w:eastAsia="Times New Roman" w:cs="Times New Roman"/>
                <w:color w:val="FF0000"/>
                <w:sz w:val="20"/>
                <w:szCs w:val="20"/>
                <w:lang w:val="et-EE"/>
              </w:rPr>
            </w:pPr>
          </w:p>
          <w:p w:rsidR="00154773" w:rsidRPr="0053423A" w:rsidRDefault="00154773" w:rsidP="00154773">
            <w:pPr>
              <w:tabs>
                <w:tab w:val="left" w:pos="567"/>
                <w:tab w:val="left" w:pos="630"/>
              </w:tabs>
              <w:rPr>
                <w:b/>
                <w:sz w:val="20"/>
                <w:szCs w:val="20"/>
                <w:lang w:val="et-EE"/>
              </w:rPr>
            </w:pPr>
            <w:r w:rsidRPr="0053423A">
              <w:rPr>
                <w:b/>
                <w:sz w:val="20"/>
                <w:szCs w:val="20"/>
                <w:lang w:val="et-EE"/>
              </w:rPr>
              <w:t xml:space="preserve">1.2  </w:t>
            </w:r>
            <w:r w:rsidRPr="0053423A">
              <w:rPr>
                <w:b/>
                <w:sz w:val="20"/>
                <w:szCs w:val="20"/>
              </w:rPr>
              <w:t>Ա</w:t>
            </w:r>
            <w:r w:rsidRPr="0053423A">
              <w:rPr>
                <w:b/>
                <w:sz w:val="20"/>
                <w:szCs w:val="20"/>
                <w:lang w:val="hy-AM"/>
              </w:rPr>
              <w:t>ռկա խնդիրների</w:t>
            </w:r>
            <w:r w:rsidRPr="0053423A">
              <w:rPr>
                <w:b/>
                <w:sz w:val="20"/>
                <w:szCs w:val="20"/>
                <w:lang w:val="et-EE"/>
              </w:rPr>
              <w:t xml:space="preserve"> </w:t>
            </w:r>
            <w:r w:rsidRPr="0053423A">
              <w:rPr>
                <w:b/>
                <w:sz w:val="20"/>
                <w:szCs w:val="20"/>
                <w:lang w:val="hy-AM"/>
              </w:rPr>
              <w:t xml:space="preserve"> առաջարկվող </w:t>
            </w:r>
            <w:r w:rsidRPr="0053423A">
              <w:rPr>
                <w:b/>
                <w:sz w:val="20"/>
                <w:szCs w:val="20"/>
                <w:lang w:val="et-EE"/>
              </w:rPr>
              <w:t xml:space="preserve"> </w:t>
            </w:r>
            <w:r w:rsidRPr="0053423A">
              <w:rPr>
                <w:b/>
                <w:sz w:val="20"/>
                <w:szCs w:val="20"/>
                <w:lang w:val="en-GB"/>
              </w:rPr>
              <w:t>լ</w:t>
            </w:r>
            <w:r w:rsidRPr="0053423A">
              <w:rPr>
                <w:b/>
                <w:sz w:val="20"/>
                <w:szCs w:val="20"/>
                <w:lang w:val="hy-AM"/>
              </w:rPr>
              <w:t>ուծումները</w:t>
            </w:r>
            <w:r w:rsidRPr="0053423A">
              <w:rPr>
                <w:b/>
                <w:sz w:val="20"/>
                <w:szCs w:val="20"/>
                <w:lang w:val="et-EE"/>
              </w:rPr>
              <w:t xml:space="preserve"> </w:t>
            </w:r>
          </w:p>
          <w:p w:rsidR="00154773" w:rsidRPr="0053423A" w:rsidRDefault="00154773" w:rsidP="00154773">
            <w:pPr>
              <w:tabs>
                <w:tab w:val="left" w:pos="567"/>
                <w:tab w:val="left" w:pos="1589"/>
              </w:tabs>
              <w:ind w:left="720"/>
              <w:contextualSpacing/>
              <w:rPr>
                <w:b/>
                <w:sz w:val="20"/>
                <w:szCs w:val="20"/>
                <w:lang w:val="et-EE"/>
              </w:rPr>
            </w:pPr>
          </w:p>
          <w:p w:rsidR="00154773" w:rsidRPr="0053423A" w:rsidRDefault="00154773" w:rsidP="00154773">
            <w:pPr>
              <w:tabs>
                <w:tab w:val="left" w:pos="2694"/>
              </w:tabs>
              <w:ind w:firstLine="360"/>
              <w:contextualSpacing/>
              <w:jc w:val="both"/>
              <w:rPr>
                <w:rFonts w:eastAsia="Calibri"/>
                <w:sz w:val="20"/>
                <w:szCs w:val="20"/>
                <w:lang w:val="et-EE"/>
              </w:rPr>
            </w:pPr>
            <w:r w:rsidRPr="0053423A">
              <w:rPr>
                <w:rFonts w:eastAsia="Calibri"/>
                <w:sz w:val="20"/>
                <w:szCs w:val="20"/>
                <w:lang w:val="et-EE"/>
              </w:rPr>
              <w:t xml:space="preserve">   </w:t>
            </w:r>
            <w:r w:rsidRPr="0053423A">
              <w:rPr>
                <w:rFonts w:eastAsia="Calibri"/>
                <w:sz w:val="20"/>
                <w:szCs w:val="20"/>
                <w:lang w:val="en-GB"/>
              </w:rPr>
              <w:t>Մինչև</w:t>
            </w:r>
            <w:r w:rsidRPr="0053423A">
              <w:rPr>
                <w:rFonts w:eastAsia="Calibri"/>
                <w:sz w:val="20"/>
                <w:szCs w:val="20"/>
                <w:lang w:val="et-EE"/>
              </w:rPr>
              <w:t xml:space="preserve"> 2021 </w:t>
            </w:r>
            <w:r w:rsidRPr="0053423A">
              <w:rPr>
                <w:rFonts w:eastAsia="Calibri"/>
                <w:sz w:val="20"/>
                <w:szCs w:val="20"/>
                <w:lang w:val="en-GB"/>
              </w:rPr>
              <w:t>թվականը</w:t>
            </w:r>
            <w:r w:rsidRPr="0053423A">
              <w:rPr>
                <w:rFonts w:eastAsia="Calibri"/>
                <w:sz w:val="20"/>
                <w:szCs w:val="20"/>
                <w:lang w:val="et-EE"/>
              </w:rPr>
              <w:t xml:space="preserve"> </w:t>
            </w:r>
            <w:r w:rsidRPr="0053423A">
              <w:rPr>
                <w:rFonts w:eastAsia="Calibri"/>
                <w:sz w:val="20"/>
                <w:szCs w:val="20"/>
                <w:lang w:val="en-GB"/>
              </w:rPr>
              <w:t>նախատեսվում</w:t>
            </w:r>
            <w:r w:rsidRPr="0053423A">
              <w:rPr>
                <w:rFonts w:eastAsia="Calibri"/>
                <w:sz w:val="20"/>
                <w:szCs w:val="20"/>
                <w:lang w:val="et-EE"/>
              </w:rPr>
              <w:t xml:space="preserve"> </w:t>
            </w:r>
            <w:r w:rsidRPr="0053423A">
              <w:rPr>
                <w:rFonts w:eastAsia="Calibri"/>
                <w:sz w:val="20"/>
                <w:szCs w:val="20"/>
                <w:lang w:val="en-GB"/>
              </w:rPr>
              <w:t>է</w:t>
            </w:r>
            <w:r w:rsidRPr="0053423A">
              <w:rPr>
                <w:rFonts w:eastAsia="Calibri"/>
                <w:sz w:val="20"/>
                <w:szCs w:val="20"/>
                <w:lang w:val="et-EE"/>
              </w:rPr>
              <w:t xml:space="preserve"> </w:t>
            </w:r>
            <w:r w:rsidRPr="0053423A">
              <w:rPr>
                <w:rFonts w:eastAsia="Calibri"/>
                <w:sz w:val="20"/>
                <w:szCs w:val="20"/>
                <w:lang w:val="en-GB"/>
              </w:rPr>
              <w:t>ավարտել</w:t>
            </w:r>
            <w:r w:rsidRPr="0053423A">
              <w:rPr>
                <w:rFonts w:eastAsia="Calibri"/>
                <w:sz w:val="20"/>
                <w:szCs w:val="20"/>
                <w:lang w:val="et-EE"/>
              </w:rPr>
              <w:t xml:space="preserve"> </w:t>
            </w:r>
            <w:r w:rsidRPr="0053423A">
              <w:rPr>
                <w:rFonts w:eastAsia="Calibri"/>
                <w:sz w:val="20"/>
                <w:szCs w:val="20"/>
                <w:lang w:val="en-GB"/>
              </w:rPr>
              <w:t>Երևան</w:t>
            </w:r>
            <w:r w:rsidRPr="0053423A">
              <w:rPr>
                <w:rFonts w:eastAsia="Calibri"/>
                <w:sz w:val="20"/>
                <w:szCs w:val="20"/>
                <w:lang w:val="et-EE"/>
              </w:rPr>
              <w:t xml:space="preserve"> </w:t>
            </w:r>
            <w:r w:rsidRPr="0053423A">
              <w:rPr>
                <w:rFonts w:eastAsia="Calibri"/>
                <w:sz w:val="20"/>
                <w:szCs w:val="20"/>
                <w:lang w:val="en-GB"/>
              </w:rPr>
              <w:t>քաղաքի</w:t>
            </w:r>
            <w:r w:rsidRPr="0053423A">
              <w:rPr>
                <w:rFonts w:eastAsia="Calibri"/>
                <w:sz w:val="20"/>
                <w:szCs w:val="20"/>
                <w:lang w:val="et-EE"/>
              </w:rPr>
              <w:t xml:space="preserve"> </w:t>
            </w:r>
            <w:r w:rsidRPr="0053423A">
              <w:rPr>
                <w:rFonts w:eastAsia="Calibri"/>
                <w:sz w:val="20"/>
                <w:szCs w:val="20"/>
                <w:lang w:val="en-GB"/>
              </w:rPr>
              <w:t>և</w:t>
            </w:r>
            <w:r w:rsidRPr="0053423A">
              <w:rPr>
                <w:rFonts w:eastAsia="Calibri"/>
                <w:sz w:val="20"/>
                <w:szCs w:val="20"/>
                <w:lang w:val="et-EE"/>
              </w:rPr>
              <w:t xml:space="preserve"> </w:t>
            </w:r>
            <w:r w:rsidRPr="0053423A">
              <w:rPr>
                <w:rFonts w:eastAsia="Calibri"/>
                <w:sz w:val="20"/>
                <w:szCs w:val="20"/>
                <w:lang w:val="en-GB"/>
              </w:rPr>
              <w:t>մարզերի</w:t>
            </w:r>
            <w:r w:rsidRPr="0053423A">
              <w:rPr>
                <w:rFonts w:eastAsia="Calibri"/>
                <w:sz w:val="20"/>
                <w:szCs w:val="20"/>
                <w:lang w:val="et-EE"/>
              </w:rPr>
              <w:t xml:space="preserve"> </w:t>
            </w:r>
            <w:r w:rsidRPr="0053423A">
              <w:rPr>
                <w:rFonts w:eastAsia="Calibri"/>
                <w:sz w:val="20"/>
                <w:szCs w:val="20"/>
                <w:lang w:val="en-GB"/>
              </w:rPr>
              <w:t>ընդհանուր</w:t>
            </w:r>
            <w:r w:rsidRPr="0053423A">
              <w:rPr>
                <w:rFonts w:eastAsia="Calibri"/>
                <w:sz w:val="20"/>
                <w:szCs w:val="20"/>
                <w:lang w:val="et-EE"/>
              </w:rPr>
              <w:t xml:space="preserve"> 7 </w:t>
            </w:r>
            <w:r w:rsidRPr="0053423A">
              <w:rPr>
                <w:rFonts w:eastAsia="Calibri"/>
                <w:sz w:val="20"/>
                <w:szCs w:val="20"/>
                <w:lang w:val="en-GB"/>
              </w:rPr>
              <w:t>դպրոցների</w:t>
            </w:r>
            <w:r w:rsidRPr="0053423A">
              <w:rPr>
                <w:rFonts w:eastAsia="Calibri"/>
                <w:sz w:val="20"/>
                <w:szCs w:val="20"/>
                <w:lang w:val="et-EE"/>
              </w:rPr>
              <w:t xml:space="preserve"> </w:t>
            </w:r>
            <w:r w:rsidRPr="0053423A">
              <w:rPr>
                <w:rFonts w:eastAsia="Calibri"/>
                <w:sz w:val="20"/>
                <w:szCs w:val="20"/>
                <w:lang w:val="en-GB"/>
              </w:rPr>
              <w:t>հիմնանորոգման</w:t>
            </w:r>
            <w:r w:rsidRPr="0053423A">
              <w:rPr>
                <w:rFonts w:eastAsia="Calibri"/>
                <w:sz w:val="20"/>
                <w:szCs w:val="20"/>
                <w:lang w:val="et-EE"/>
              </w:rPr>
              <w:t xml:space="preserve"> </w:t>
            </w:r>
            <w:r w:rsidRPr="0053423A">
              <w:rPr>
                <w:rFonts w:eastAsia="Calibri"/>
                <w:sz w:val="20"/>
                <w:szCs w:val="20"/>
                <w:lang w:val="en-GB"/>
              </w:rPr>
              <w:t>աշխատանքները</w:t>
            </w:r>
            <w:r w:rsidRPr="0053423A">
              <w:rPr>
                <w:rFonts w:eastAsia="Calibri"/>
                <w:sz w:val="20"/>
                <w:szCs w:val="20"/>
                <w:lang w:val="et-EE"/>
              </w:rPr>
              <w:t>:</w:t>
            </w:r>
          </w:p>
          <w:p w:rsidR="00154773" w:rsidRPr="0053423A" w:rsidRDefault="00154773" w:rsidP="00154773">
            <w:pPr>
              <w:ind w:firstLine="375"/>
              <w:rPr>
                <w:rFonts w:eastAsia="Times New Roman" w:cs="Times New Roman"/>
                <w:sz w:val="20"/>
                <w:szCs w:val="20"/>
                <w:lang w:val="et-EE"/>
              </w:rPr>
            </w:pPr>
          </w:p>
          <w:p w:rsidR="00154773" w:rsidRPr="0053423A" w:rsidRDefault="00154773" w:rsidP="001F6D5D">
            <w:pPr>
              <w:numPr>
                <w:ilvl w:val="0"/>
                <w:numId w:val="473"/>
              </w:numPr>
              <w:contextualSpacing/>
              <w:rPr>
                <w:rFonts w:eastAsia="Times New Roman" w:cs="Times New Roman"/>
                <w:b/>
                <w:sz w:val="20"/>
                <w:szCs w:val="20"/>
              </w:rPr>
            </w:pPr>
            <w:r w:rsidRPr="0053423A">
              <w:rPr>
                <w:rFonts w:eastAsia="Times New Roman" w:cs="Times New Roman"/>
                <w:b/>
                <w:sz w:val="20"/>
                <w:szCs w:val="20"/>
                <w:lang w:val="hy-AM"/>
              </w:rPr>
              <w:t>Միջոցառման իրականացումից ակնկալվող արդյունքը</w:t>
            </w:r>
          </w:p>
          <w:p w:rsidR="00154773" w:rsidRPr="0053423A" w:rsidRDefault="00154773" w:rsidP="00154773">
            <w:pPr>
              <w:ind w:left="720"/>
              <w:contextualSpacing/>
              <w:rPr>
                <w:rFonts w:eastAsia="Times New Roman" w:cs="Times New Roman"/>
                <w:b/>
                <w:sz w:val="20"/>
                <w:szCs w:val="20"/>
              </w:rPr>
            </w:pPr>
          </w:p>
          <w:p w:rsidR="00154773" w:rsidRPr="0053423A" w:rsidRDefault="00154773" w:rsidP="00154773">
            <w:pPr>
              <w:tabs>
                <w:tab w:val="left" w:pos="567"/>
                <w:tab w:val="left" w:pos="1589"/>
              </w:tabs>
              <w:contextualSpacing/>
              <w:jc w:val="both"/>
              <w:rPr>
                <w:rFonts w:eastAsia="Times New Roman" w:cs="Times New Roman"/>
                <w:b/>
                <w:sz w:val="20"/>
                <w:szCs w:val="20"/>
                <w:lang w:val="hy-AM"/>
              </w:rPr>
            </w:pPr>
            <w:r w:rsidRPr="0053423A">
              <w:rPr>
                <w:sz w:val="20"/>
                <w:szCs w:val="20"/>
                <w:lang w:val="et-EE"/>
              </w:rPr>
              <w:t xml:space="preserve"> </w:t>
            </w:r>
            <w:r w:rsidRPr="0053423A">
              <w:rPr>
                <w:rFonts w:eastAsia="Times New Roman" w:cs="Times New Roman"/>
                <w:sz w:val="20"/>
                <w:szCs w:val="20"/>
                <w:lang w:val="et-EE"/>
              </w:rPr>
              <w:t xml:space="preserve"> </w:t>
            </w:r>
            <w:r w:rsidRPr="0053423A">
              <w:rPr>
                <w:rFonts w:ascii="Calibri" w:eastAsia="Times New Roman" w:hAnsi="Calibri" w:cs="Calibri"/>
                <w:b/>
                <w:sz w:val="20"/>
                <w:szCs w:val="20"/>
                <w:lang w:val="hy-AM"/>
              </w:rPr>
              <w:t> </w:t>
            </w:r>
          </w:p>
          <w:p w:rsidR="00154773" w:rsidRPr="0053423A" w:rsidRDefault="00154773" w:rsidP="00154773">
            <w:pPr>
              <w:jc w:val="both"/>
              <w:rPr>
                <w:rFonts w:eastAsia="Times New Roman" w:cs="Times New Roman"/>
                <w:b/>
                <w:sz w:val="20"/>
                <w:szCs w:val="20"/>
                <w:lang w:val="hy-AM"/>
              </w:rPr>
            </w:pPr>
            <w:r w:rsidRPr="0053423A">
              <w:rPr>
                <w:spacing w:val="-4"/>
                <w:sz w:val="20"/>
                <w:szCs w:val="20"/>
                <w:lang w:val="hy-AM"/>
              </w:rPr>
              <w:t xml:space="preserve">    Կհիմնանորոգվեն  12 ավագ դպրոցներ` անհրաժեշտ չափանիշներին համապատասխան, ինչը կհանգեցնի ավագ դպրոցների կարողությունների հզորացմանը</w:t>
            </w:r>
            <w:r w:rsidRPr="0053423A">
              <w:rPr>
                <w:rFonts w:eastAsia="Times New Roman" w:cs="Times New Roman"/>
                <w:sz w:val="20"/>
                <w:szCs w:val="20"/>
                <w:lang w:val="hy-AM"/>
              </w:rPr>
              <w:t>:</w:t>
            </w:r>
          </w:p>
        </w:tc>
      </w:tr>
      <w:tr w:rsidR="00154773" w:rsidRPr="00DE2EF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21</w:t>
            </w:r>
          </w:p>
        </w:tc>
        <w:tc>
          <w:tcPr>
            <w:tcW w:w="10620" w:type="dxa"/>
          </w:tcPr>
          <w:p w:rsidR="00154773" w:rsidRPr="0053423A" w:rsidRDefault="00154773" w:rsidP="00154773">
            <w:pPr>
              <w:ind w:firstLine="450"/>
              <w:contextualSpacing/>
              <w:jc w:val="center"/>
              <w:rPr>
                <w:rFonts w:cs="Sylfaen"/>
                <w:b/>
                <w:sz w:val="20"/>
                <w:szCs w:val="20"/>
                <w:u w:val="single"/>
                <w:lang w:val="af-ZA"/>
              </w:rPr>
            </w:pPr>
            <w:r w:rsidRPr="0053423A">
              <w:rPr>
                <w:rFonts w:cs="Sylfaen"/>
                <w:b/>
                <w:sz w:val="20"/>
                <w:szCs w:val="20"/>
                <w:u w:val="single"/>
                <w:lang w:val="af-ZA"/>
              </w:rPr>
              <w:t>21.1 Հանրապետությունում գործող նախնական (արհեստագործական) և միջին մասնագիտական պետական ուսումնական հաստատությունների շենք շինությունների և ենթակառուցվածքների ուսումնասիրություն</w:t>
            </w:r>
            <w:r w:rsidRPr="0053423A">
              <w:rPr>
                <w:sz w:val="20"/>
                <w:szCs w:val="20"/>
              </w:rPr>
              <w:t xml:space="preserve"> </w:t>
            </w:r>
            <w:r w:rsidRPr="0053423A">
              <w:rPr>
                <w:rFonts w:cs="Sylfaen"/>
                <w:b/>
                <w:sz w:val="20"/>
                <w:szCs w:val="20"/>
                <w:u w:val="single"/>
                <w:lang w:val="af-ZA"/>
              </w:rPr>
              <w:t>և նախագծանախահաշվային փաստաթղթերի մշակում</w:t>
            </w:r>
          </w:p>
          <w:p w:rsidR="00154773" w:rsidRPr="0053423A" w:rsidRDefault="00154773" w:rsidP="00154773">
            <w:pPr>
              <w:ind w:firstLine="450"/>
              <w:contextualSpacing/>
              <w:jc w:val="both"/>
              <w:rPr>
                <w:rFonts w:cs="Sylfaen"/>
                <w:b/>
                <w:sz w:val="20"/>
                <w:szCs w:val="20"/>
                <w:u w:val="single"/>
                <w:lang w:val="af-ZA"/>
              </w:rPr>
            </w:pPr>
          </w:p>
          <w:p w:rsidR="00154773" w:rsidRPr="0053423A" w:rsidRDefault="00154773" w:rsidP="001F6D5D">
            <w:pPr>
              <w:numPr>
                <w:ilvl w:val="0"/>
                <w:numId w:val="466"/>
              </w:numPr>
              <w:spacing w:line="360" w:lineRule="auto"/>
              <w:ind w:left="0" w:firstLine="450"/>
              <w:contextualSpacing/>
              <w:jc w:val="both"/>
              <w:rPr>
                <w:rFonts w:eastAsia="Times New Roman" w:cs="Times New Roman"/>
                <w:b/>
                <w:sz w:val="20"/>
                <w:szCs w:val="20"/>
              </w:rPr>
            </w:pPr>
            <w:r w:rsidRPr="0053423A">
              <w:rPr>
                <w:rFonts w:cs="Sylfaen"/>
                <w:b/>
                <w:sz w:val="20"/>
                <w:szCs w:val="20"/>
              </w:rPr>
              <w:t>Միջոցառման</w:t>
            </w:r>
            <w:r w:rsidRPr="0053423A">
              <w:rPr>
                <w:b/>
                <w:sz w:val="20"/>
                <w:szCs w:val="20"/>
                <w:lang w:val="et-EE"/>
              </w:rPr>
              <w:t xml:space="preserve"> </w:t>
            </w:r>
            <w:r w:rsidRPr="0053423A">
              <w:rPr>
                <w:b/>
                <w:sz w:val="20"/>
                <w:szCs w:val="20"/>
              </w:rPr>
              <w:t>իրականացման</w:t>
            </w:r>
            <w:r w:rsidRPr="0053423A">
              <w:rPr>
                <w:b/>
                <w:sz w:val="20"/>
                <w:szCs w:val="20"/>
                <w:lang w:val="et-EE"/>
              </w:rPr>
              <w:t xml:space="preserve"> </w:t>
            </w:r>
            <w:r w:rsidRPr="0053423A">
              <w:rPr>
                <w:b/>
                <w:sz w:val="20"/>
                <w:szCs w:val="20"/>
              </w:rPr>
              <w:t xml:space="preserve">անհրաժեշտությունը </w:t>
            </w:r>
            <w:r w:rsidRPr="0053423A">
              <w:rPr>
                <w:b/>
                <w:sz w:val="20"/>
                <w:szCs w:val="20"/>
                <w:lang w:val="et-EE"/>
              </w:rPr>
              <w:t xml:space="preserve"> </w:t>
            </w:r>
            <w:r w:rsidRPr="0053423A">
              <w:rPr>
                <w:b/>
                <w:sz w:val="20"/>
                <w:szCs w:val="20"/>
              </w:rPr>
              <w:t>և</w:t>
            </w:r>
            <w:r w:rsidRPr="0053423A">
              <w:rPr>
                <w:b/>
                <w:sz w:val="20"/>
                <w:szCs w:val="20"/>
                <w:lang w:val="et-EE"/>
              </w:rPr>
              <w:t xml:space="preserve">  </w:t>
            </w:r>
            <w:r w:rsidRPr="0053423A">
              <w:rPr>
                <w:b/>
                <w:sz w:val="20"/>
                <w:szCs w:val="20"/>
              </w:rPr>
              <w:t>նպատակը</w:t>
            </w:r>
          </w:p>
          <w:p w:rsidR="00154773" w:rsidRPr="0053423A" w:rsidRDefault="00154773" w:rsidP="00154773">
            <w:pPr>
              <w:ind w:firstLine="450"/>
              <w:contextualSpacing/>
              <w:jc w:val="both"/>
              <w:rPr>
                <w:rFonts w:cs="Sylfaen"/>
                <w:b/>
                <w:sz w:val="20"/>
                <w:szCs w:val="20"/>
                <w:u w:val="single"/>
                <w:lang w:val="af-ZA"/>
              </w:rPr>
            </w:pPr>
          </w:p>
          <w:p w:rsidR="00154773" w:rsidRPr="0053423A" w:rsidRDefault="00154773" w:rsidP="00154773">
            <w:pPr>
              <w:ind w:firstLine="450"/>
              <w:contextualSpacing/>
              <w:jc w:val="both"/>
              <w:rPr>
                <w:rFonts w:eastAsia="Calibri" w:cs="Sylfaen"/>
                <w:sz w:val="20"/>
                <w:szCs w:val="20"/>
                <w:lang w:val="af-ZA"/>
              </w:rPr>
            </w:pPr>
            <w:r w:rsidRPr="0053423A">
              <w:rPr>
                <w:rFonts w:eastAsia="Calibri" w:cs="Sylfaen"/>
                <w:sz w:val="20"/>
                <w:szCs w:val="20"/>
                <w:lang w:val="en-GB"/>
              </w:rPr>
              <w:t>Միջոցառման</w:t>
            </w:r>
            <w:r w:rsidRPr="0053423A">
              <w:rPr>
                <w:rFonts w:eastAsia="Calibri" w:cs="Sylfaen"/>
                <w:sz w:val="20"/>
                <w:szCs w:val="20"/>
                <w:lang w:val="af-ZA"/>
              </w:rPr>
              <w:t xml:space="preserve"> </w:t>
            </w:r>
            <w:r w:rsidRPr="0053423A">
              <w:rPr>
                <w:rFonts w:eastAsia="Calibri" w:cs="Sylfaen"/>
                <w:sz w:val="20"/>
                <w:szCs w:val="20"/>
                <w:lang w:val="en-GB"/>
              </w:rPr>
              <w:t>գլխավոր</w:t>
            </w:r>
            <w:r w:rsidRPr="0053423A">
              <w:rPr>
                <w:rFonts w:eastAsia="Calibri" w:cs="Sylfaen"/>
                <w:sz w:val="20"/>
                <w:szCs w:val="20"/>
                <w:lang w:val="af-ZA"/>
              </w:rPr>
              <w:t xml:space="preserve"> </w:t>
            </w:r>
            <w:r w:rsidRPr="0053423A">
              <w:rPr>
                <w:rFonts w:eastAsia="Calibri" w:cs="Sylfaen"/>
                <w:sz w:val="20"/>
                <w:szCs w:val="20"/>
                <w:lang w:val="en-GB"/>
              </w:rPr>
              <w:t>նպատակն</w:t>
            </w:r>
            <w:r w:rsidRPr="0053423A">
              <w:rPr>
                <w:rFonts w:eastAsia="Calibri" w:cs="Sylfaen"/>
                <w:sz w:val="20"/>
                <w:szCs w:val="20"/>
                <w:lang w:val="af-ZA"/>
              </w:rPr>
              <w:t xml:space="preserve"> </w:t>
            </w:r>
            <w:r w:rsidRPr="0053423A">
              <w:rPr>
                <w:rFonts w:eastAsia="Calibri" w:cs="Sylfaen"/>
                <w:sz w:val="20"/>
                <w:szCs w:val="20"/>
                <w:lang w:val="en-GB"/>
              </w:rPr>
              <w:t>է</w:t>
            </w:r>
            <w:r w:rsidRPr="0053423A">
              <w:rPr>
                <w:rFonts w:eastAsia="Calibri" w:cs="Sylfaen"/>
                <w:sz w:val="20"/>
                <w:szCs w:val="20"/>
                <w:lang w:val="af-ZA"/>
              </w:rPr>
              <w:t xml:space="preserve"> </w:t>
            </w:r>
            <w:r w:rsidRPr="0053423A">
              <w:rPr>
                <w:rFonts w:eastAsia="Calibri" w:cs="Sylfaen"/>
                <w:sz w:val="20"/>
                <w:szCs w:val="20"/>
                <w:lang w:val="en-GB"/>
              </w:rPr>
              <w:t>ուսումնական</w:t>
            </w:r>
            <w:r w:rsidRPr="0053423A">
              <w:rPr>
                <w:rFonts w:eastAsia="Calibri" w:cs="Sylfaen"/>
                <w:sz w:val="20"/>
                <w:szCs w:val="20"/>
                <w:lang w:val="af-ZA"/>
              </w:rPr>
              <w:t xml:space="preserve"> </w:t>
            </w:r>
            <w:r w:rsidRPr="0053423A">
              <w:rPr>
                <w:rFonts w:eastAsia="Calibri" w:cs="Sylfaen"/>
                <w:sz w:val="20"/>
                <w:szCs w:val="20"/>
                <w:lang w:val="en-GB"/>
              </w:rPr>
              <w:t>հաստատությունների</w:t>
            </w:r>
            <w:r w:rsidRPr="0053423A">
              <w:rPr>
                <w:rFonts w:eastAsia="Calibri" w:cs="Sylfaen"/>
                <w:sz w:val="20"/>
                <w:szCs w:val="20"/>
                <w:lang w:val="af-ZA"/>
              </w:rPr>
              <w:t xml:space="preserve"> </w:t>
            </w:r>
            <w:r w:rsidRPr="0053423A">
              <w:rPr>
                <w:rFonts w:eastAsia="Calibri" w:cs="Sylfaen"/>
                <w:sz w:val="20"/>
                <w:szCs w:val="20"/>
                <w:lang w:val="en-GB"/>
              </w:rPr>
              <w:t>շենքային</w:t>
            </w:r>
            <w:r w:rsidRPr="0053423A">
              <w:rPr>
                <w:rFonts w:eastAsia="Calibri" w:cs="Sylfaen"/>
                <w:sz w:val="20"/>
                <w:szCs w:val="20"/>
                <w:lang w:val="af-ZA"/>
              </w:rPr>
              <w:t xml:space="preserve"> </w:t>
            </w:r>
            <w:r w:rsidRPr="0053423A">
              <w:rPr>
                <w:rFonts w:eastAsia="Calibri" w:cs="Sylfaen"/>
                <w:sz w:val="20"/>
                <w:szCs w:val="20"/>
                <w:lang w:val="en-GB"/>
              </w:rPr>
              <w:t>պայմանների</w:t>
            </w:r>
            <w:r w:rsidRPr="0053423A">
              <w:rPr>
                <w:rFonts w:eastAsia="Calibri" w:cs="Sylfaen"/>
                <w:sz w:val="20"/>
                <w:szCs w:val="20"/>
                <w:lang w:val="af-ZA"/>
              </w:rPr>
              <w:t xml:space="preserve"> </w:t>
            </w:r>
            <w:r w:rsidRPr="0053423A">
              <w:rPr>
                <w:rFonts w:eastAsia="Calibri" w:cs="Sylfaen"/>
                <w:sz w:val="20"/>
                <w:szCs w:val="20"/>
                <w:lang w:val="en-GB"/>
              </w:rPr>
              <w:t>բարելավումը</w:t>
            </w:r>
            <w:r w:rsidRPr="0053423A">
              <w:rPr>
                <w:rFonts w:eastAsia="Calibri" w:cs="Sylfaen"/>
                <w:sz w:val="20"/>
                <w:szCs w:val="20"/>
                <w:lang w:val="af-ZA"/>
              </w:rPr>
              <w:t xml:space="preserve"> </w:t>
            </w:r>
            <w:r w:rsidRPr="0053423A">
              <w:rPr>
                <w:rFonts w:eastAsia="Calibri" w:cs="Sylfaen"/>
                <w:sz w:val="20"/>
                <w:szCs w:val="20"/>
                <w:lang w:val="en-GB"/>
              </w:rPr>
              <w:t>և</w:t>
            </w:r>
            <w:r w:rsidRPr="0053423A">
              <w:rPr>
                <w:rFonts w:eastAsia="Calibri" w:cs="Sylfaen"/>
                <w:sz w:val="20"/>
                <w:szCs w:val="20"/>
                <w:lang w:val="af-ZA"/>
              </w:rPr>
              <w:t xml:space="preserve"> </w:t>
            </w:r>
            <w:r w:rsidRPr="0053423A">
              <w:rPr>
                <w:rFonts w:eastAsia="Calibri" w:cs="Sylfaen"/>
                <w:sz w:val="20"/>
                <w:szCs w:val="20"/>
                <w:lang w:val="en-GB"/>
              </w:rPr>
              <w:t>սպառնացող</w:t>
            </w:r>
            <w:r w:rsidRPr="0053423A">
              <w:rPr>
                <w:rFonts w:eastAsia="Calibri" w:cs="Sylfaen"/>
                <w:sz w:val="20"/>
                <w:szCs w:val="20"/>
                <w:lang w:val="af-ZA"/>
              </w:rPr>
              <w:t xml:space="preserve"> </w:t>
            </w:r>
            <w:r w:rsidRPr="0053423A">
              <w:rPr>
                <w:rFonts w:eastAsia="Calibri" w:cs="Sylfaen"/>
                <w:sz w:val="20"/>
                <w:szCs w:val="20"/>
                <w:lang w:val="en-GB"/>
              </w:rPr>
              <w:t>աղետների</w:t>
            </w:r>
            <w:r w:rsidRPr="0053423A">
              <w:rPr>
                <w:rFonts w:eastAsia="Calibri" w:cs="Sylfaen"/>
                <w:sz w:val="20"/>
                <w:szCs w:val="20"/>
                <w:lang w:val="af-ZA"/>
              </w:rPr>
              <w:t xml:space="preserve"> </w:t>
            </w:r>
            <w:r w:rsidRPr="0053423A">
              <w:rPr>
                <w:rFonts w:eastAsia="Calibri" w:cs="Sylfaen"/>
                <w:sz w:val="20"/>
                <w:szCs w:val="20"/>
                <w:lang w:val="en-GB"/>
              </w:rPr>
              <w:t>ռիսկի</w:t>
            </w:r>
            <w:r w:rsidRPr="0053423A">
              <w:rPr>
                <w:rFonts w:eastAsia="Calibri" w:cs="Sylfaen"/>
                <w:sz w:val="20"/>
                <w:szCs w:val="20"/>
                <w:lang w:val="af-ZA"/>
              </w:rPr>
              <w:t xml:space="preserve"> </w:t>
            </w:r>
            <w:r w:rsidRPr="0053423A">
              <w:rPr>
                <w:rFonts w:eastAsia="Calibri" w:cs="Sylfaen"/>
                <w:sz w:val="20"/>
                <w:szCs w:val="20"/>
                <w:lang w:val="en-GB"/>
              </w:rPr>
              <w:t>կառավարման</w:t>
            </w:r>
            <w:r w:rsidRPr="0053423A">
              <w:rPr>
                <w:rFonts w:eastAsia="Calibri" w:cs="Sylfaen"/>
                <w:sz w:val="20"/>
                <w:szCs w:val="20"/>
                <w:lang w:val="af-ZA"/>
              </w:rPr>
              <w:t xml:space="preserve"> </w:t>
            </w:r>
            <w:r w:rsidRPr="0053423A">
              <w:rPr>
                <w:rFonts w:eastAsia="Calibri" w:cs="Sylfaen"/>
                <w:sz w:val="20"/>
                <w:szCs w:val="20"/>
                <w:lang w:val="en-GB"/>
              </w:rPr>
              <w:t>կարողությունների</w:t>
            </w:r>
            <w:r w:rsidRPr="0053423A">
              <w:rPr>
                <w:rFonts w:eastAsia="Calibri" w:cs="Sylfaen"/>
                <w:sz w:val="20"/>
                <w:szCs w:val="20"/>
                <w:lang w:val="af-ZA"/>
              </w:rPr>
              <w:t xml:space="preserve"> </w:t>
            </w:r>
            <w:r w:rsidRPr="0053423A">
              <w:rPr>
                <w:rFonts w:eastAsia="Calibri" w:cs="Sylfaen"/>
                <w:sz w:val="20"/>
                <w:szCs w:val="20"/>
                <w:lang w:val="en-GB"/>
              </w:rPr>
              <w:t>հզորացումը</w:t>
            </w:r>
            <w:r w:rsidRPr="0053423A">
              <w:rPr>
                <w:rFonts w:eastAsia="Calibri" w:cs="Sylfaen"/>
                <w:sz w:val="20"/>
                <w:szCs w:val="20"/>
                <w:lang w:val="af-ZA"/>
              </w:rPr>
              <w:t>:</w:t>
            </w:r>
          </w:p>
          <w:p w:rsidR="00154773" w:rsidRPr="0053423A" w:rsidRDefault="00154773" w:rsidP="00154773">
            <w:pPr>
              <w:ind w:firstLine="450"/>
              <w:contextualSpacing/>
              <w:jc w:val="both"/>
              <w:rPr>
                <w:rFonts w:cs="Sylfaen"/>
                <w:sz w:val="20"/>
                <w:szCs w:val="20"/>
                <w:lang w:val="hy-AM"/>
              </w:rPr>
            </w:pPr>
            <w:r w:rsidRPr="0053423A">
              <w:rPr>
                <w:rFonts w:cs="Sylfaen"/>
                <w:sz w:val="20"/>
                <w:szCs w:val="20"/>
                <w:lang w:val="hy-AM"/>
              </w:rPr>
              <w:t xml:space="preserve">Միջոցառման իրականացման անհրաժեշտությունը պայմանավորված է </w:t>
            </w:r>
            <w:r w:rsidRPr="0053423A">
              <w:rPr>
                <w:rFonts w:cs="Sylfaen"/>
                <w:sz w:val="20"/>
                <w:szCs w:val="20"/>
              </w:rPr>
              <w:t>ՀՀ</w:t>
            </w:r>
            <w:r w:rsidRPr="0053423A">
              <w:rPr>
                <w:rFonts w:cs="Sylfaen"/>
                <w:sz w:val="20"/>
                <w:szCs w:val="20"/>
                <w:lang w:val="hy-AM"/>
              </w:rPr>
              <w:t xml:space="preserve"> </w:t>
            </w:r>
            <w:r w:rsidRPr="0053423A">
              <w:rPr>
                <w:rFonts w:cs="Sylfaen"/>
                <w:sz w:val="20"/>
                <w:szCs w:val="20"/>
              </w:rPr>
              <w:t>կառավարության</w:t>
            </w:r>
            <w:r w:rsidRPr="0053423A">
              <w:rPr>
                <w:rFonts w:cs="Sylfaen"/>
                <w:sz w:val="20"/>
                <w:szCs w:val="20"/>
                <w:lang w:val="hy-AM"/>
              </w:rPr>
              <w:t xml:space="preserve"> 2019</w:t>
            </w:r>
            <w:r w:rsidRPr="0053423A">
              <w:rPr>
                <w:rFonts w:cs="Sylfaen"/>
                <w:sz w:val="20"/>
                <w:szCs w:val="20"/>
              </w:rPr>
              <w:t>թ</w:t>
            </w:r>
            <w:r w:rsidRPr="0053423A">
              <w:rPr>
                <w:rFonts w:cs="Sylfaen"/>
                <w:sz w:val="20"/>
                <w:szCs w:val="20"/>
                <w:lang w:val="hy-AM"/>
              </w:rPr>
              <w:t xml:space="preserve">. ծրագրի 4-րդ գլխի 4.4 կետով (5-րդ պարբերություն), </w:t>
            </w:r>
            <w:r w:rsidRPr="0053423A">
              <w:rPr>
                <w:rFonts w:cs="Sylfaen"/>
                <w:sz w:val="20"/>
                <w:szCs w:val="20"/>
                <w:lang w:val="af-ZA"/>
              </w:rPr>
              <w:t>&lt;&lt;</w:t>
            </w:r>
            <w:r w:rsidRPr="0053423A">
              <w:rPr>
                <w:rFonts w:cs="Sylfaen"/>
                <w:sz w:val="20"/>
                <w:szCs w:val="20"/>
              </w:rPr>
              <w:t>Նախնական</w:t>
            </w:r>
            <w:r w:rsidRPr="0053423A">
              <w:rPr>
                <w:rFonts w:cs="Sylfaen"/>
                <w:sz w:val="20"/>
                <w:szCs w:val="20"/>
                <w:lang w:val="af-ZA"/>
              </w:rPr>
              <w:t xml:space="preserve"> </w:t>
            </w:r>
            <w:r w:rsidRPr="0053423A">
              <w:rPr>
                <w:rFonts w:cs="Sylfaen"/>
                <w:sz w:val="20"/>
                <w:szCs w:val="20"/>
              </w:rPr>
              <w:t>մասնագիտական</w:t>
            </w:r>
            <w:r w:rsidRPr="0053423A">
              <w:rPr>
                <w:rFonts w:cs="Sylfaen"/>
                <w:sz w:val="20"/>
                <w:szCs w:val="20"/>
                <w:lang w:val="af-ZA"/>
              </w:rPr>
              <w:t xml:space="preserve"> (</w:t>
            </w:r>
            <w:r w:rsidRPr="0053423A">
              <w:rPr>
                <w:rFonts w:cs="Sylfaen"/>
                <w:sz w:val="20"/>
                <w:szCs w:val="20"/>
              </w:rPr>
              <w:t>արհեստագործական</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միջին</w:t>
            </w:r>
            <w:r w:rsidRPr="0053423A">
              <w:rPr>
                <w:rFonts w:cs="Sylfaen"/>
                <w:sz w:val="20"/>
                <w:szCs w:val="20"/>
                <w:lang w:val="af-ZA"/>
              </w:rPr>
              <w:t xml:space="preserve"> </w:t>
            </w:r>
            <w:r w:rsidRPr="0053423A">
              <w:rPr>
                <w:rFonts w:cs="Sylfaen"/>
                <w:sz w:val="20"/>
                <w:szCs w:val="20"/>
              </w:rPr>
              <w:t>մասնագիտական</w:t>
            </w:r>
            <w:r w:rsidRPr="0053423A">
              <w:rPr>
                <w:rFonts w:cs="Sylfaen"/>
                <w:sz w:val="20"/>
                <w:szCs w:val="20"/>
                <w:lang w:val="af-ZA"/>
              </w:rPr>
              <w:t xml:space="preserve"> </w:t>
            </w:r>
            <w:r w:rsidRPr="0053423A">
              <w:rPr>
                <w:rFonts w:cs="Sylfaen"/>
                <w:sz w:val="20"/>
                <w:szCs w:val="20"/>
              </w:rPr>
              <w:t>կրթության</w:t>
            </w:r>
            <w:r w:rsidRPr="0053423A">
              <w:rPr>
                <w:rFonts w:cs="Sylfaen"/>
                <w:sz w:val="20"/>
                <w:szCs w:val="20"/>
                <w:lang w:val="af-ZA"/>
              </w:rPr>
              <w:t xml:space="preserve"> </w:t>
            </w:r>
            <w:r w:rsidRPr="0053423A">
              <w:rPr>
                <w:rFonts w:cs="Sylfaen"/>
                <w:sz w:val="20"/>
                <w:szCs w:val="20"/>
              </w:rPr>
              <w:t>մասին</w:t>
            </w:r>
            <w:r w:rsidRPr="0053423A">
              <w:rPr>
                <w:rFonts w:cs="Sylfaen"/>
                <w:sz w:val="20"/>
                <w:szCs w:val="20"/>
                <w:lang w:val="af-ZA"/>
              </w:rPr>
              <w:t xml:space="preserve">&gt;&gt; </w:t>
            </w:r>
            <w:r w:rsidRPr="0053423A">
              <w:rPr>
                <w:rFonts w:cs="Sylfaen"/>
                <w:sz w:val="20"/>
                <w:szCs w:val="20"/>
              </w:rPr>
              <w:t>ՀՀ</w:t>
            </w:r>
            <w:r w:rsidRPr="0053423A">
              <w:rPr>
                <w:rFonts w:cs="Sylfaen"/>
                <w:sz w:val="20"/>
                <w:szCs w:val="20"/>
                <w:lang w:val="af-ZA"/>
              </w:rPr>
              <w:t xml:space="preserve"> </w:t>
            </w:r>
            <w:r w:rsidRPr="0053423A">
              <w:rPr>
                <w:rFonts w:cs="Sylfaen"/>
                <w:sz w:val="20"/>
                <w:szCs w:val="20"/>
              </w:rPr>
              <w:t>օրենքի</w:t>
            </w:r>
            <w:r w:rsidRPr="0053423A">
              <w:rPr>
                <w:rFonts w:cs="Sylfaen"/>
                <w:sz w:val="20"/>
                <w:szCs w:val="20"/>
                <w:lang w:val="af-ZA"/>
              </w:rPr>
              <w:t xml:space="preserve"> </w:t>
            </w:r>
            <w:r w:rsidRPr="0053423A">
              <w:rPr>
                <w:rFonts w:cs="Sylfaen"/>
                <w:sz w:val="20"/>
                <w:szCs w:val="20"/>
                <w:lang w:val="hy-AM"/>
              </w:rPr>
              <w:t>23-</w:t>
            </w:r>
            <w:r w:rsidRPr="0053423A">
              <w:rPr>
                <w:rFonts w:cs="Sylfaen"/>
                <w:sz w:val="20"/>
                <w:szCs w:val="20"/>
              </w:rPr>
              <w:t>րդ</w:t>
            </w:r>
            <w:r w:rsidRPr="0053423A">
              <w:rPr>
                <w:rFonts w:cs="Sylfaen"/>
                <w:sz w:val="20"/>
                <w:szCs w:val="20"/>
                <w:lang w:val="af-ZA"/>
              </w:rPr>
              <w:t xml:space="preserve"> </w:t>
            </w:r>
            <w:r w:rsidRPr="0053423A">
              <w:rPr>
                <w:rFonts w:cs="Sylfaen"/>
                <w:sz w:val="20"/>
                <w:szCs w:val="20"/>
              </w:rPr>
              <w:t>հոդվածի</w:t>
            </w:r>
            <w:r w:rsidRPr="0053423A">
              <w:rPr>
                <w:rFonts w:cs="Sylfaen"/>
                <w:sz w:val="20"/>
                <w:szCs w:val="20"/>
                <w:lang w:val="af-ZA"/>
              </w:rPr>
              <w:t xml:space="preserve"> 1-</w:t>
            </w:r>
            <w:r w:rsidRPr="0053423A">
              <w:rPr>
                <w:rFonts w:cs="Sylfaen"/>
                <w:sz w:val="20"/>
                <w:szCs w:val="20"/>
              </w:rPr>
              <w:t>ին</w:t>
            </w:r>
            <w:r w:rsidRPr="0053423A">
              <w:rPr>
                <w:rFonts w:cs="Sylfaen"/>
                <w:sz w:val="20"/>
                <w:szCs w:val="20"/>
                <w:lang w:val="hy-AM"/>
              </w:rPr>
              <w:t xml:space="preserve"> </w:t>
            </w:r>
            <w:r w:rsidRPr="0053423A">
              <w:rPr>
                <w:rFonts w:cs="Sylfaen"/>
                <w:sz w:val="20"/>
                <w:szCs w:val="20"/>
              </w:rPr>
              <w:t>կետով</w:t>
            </w:r>
            <w:r w:rsidRPr="0053423A">
              <w:rPr>
                <w:rFonts w:cs="Sylfaen"/>
                <w:sz w:val="20"/>
                <w:szCs w:val="20"/>
                <w:lang w:val="af-ZA"/>
              </w:rPr>
              <w:t>:</w:t>
            </w:r>
          </w:p>
          <w:p w:rsidR="00154773" w:rsidRPr="0053423A" w:rsidRDefault="00154773" w:rsidP="00154773">
            <w:pPr>
              <w:ind w:firstLine="450"/>
              <w:contextualSpacing/>
              <w:jc w:val="both"/>
              <w:rPr>
                <w:rFonts w:cs="Sylfaen"/>
                <w:sz w:val="20"/>
                <w:szCs w:val="20"/>
                <w:lang w:val="hy-AM"/>
              </w:rPr>
            </w:pPr>
            <w:r w:rsidRPr="0053423A">
              <w:rPr>
                <w:rFonts w:cs="Sylfaen"/>
                <w:sz w:val="20"/>
                <w:szCs w:val="20"/>
                <w:lang w:val="hy-AM"/>
              </w:rPr>
              <w:t>Վերջին տարիներին ՆՄՄԿ ուսումնական հաստատությունների վերակառուցման, վերանորոգման ուղղությամբ էական փոփոխություններ չեն կատարվել: Ուսումնական հաստատությունների ակնհայտ անմխիթար վիճակը հանգեցնում է տնտեսության պահանջների անհամապատասխանության, որն իր հերթին վտանգում է կրթության որակի և արդյունավետության ապահովումը: Ելնելով վերոնշյալից, ինչպես նաև հաշվի առնելով ՆՄՄԿ ուսումնական հաստատությունների օպտիմալացման անհրաժեշտությունը՝ հրատապ է դառնում</w:t>
            </w:r>
            <w:r w:rsidRPr="0053423A">
              <w:rPr>
                <w:rFonts w:cs="Sylfaen"/>
                <w:sz w:val="20"/>
                <w:szCs w:val="20"/>
                <w:lang w:val="it-IT"/>
              </w:rPr>
              <w:t xml:space="preserve"> </w:t>
            </w:r>
            <w:r w:rsidRPr="0053423A">
              <w:rPr>
                <w:rFonts w:cs="Sylfaen"/>
                <w:sz w:val="20"/>
                <w:szCs w:val="20"/>
                <w:lang w:val="hy-AM"/>
              </w:rPr>
              <w:t>համապատասխան</w:t>
            </w:r>
            <w:r w:rsidRPr="0053423A">
              <w:rPr>
                <w:rFonts w:cs="Sylfaen"/>
                <w:sz w:val="20"/>
                <w:szCs w:val="20"/>
                <w:lang w:val="it-IT"/>
              </w:rPr>
              <w:t xml:space="preserve"> </w:t>
            </w:r>
            <w:r w:rsidRPr="0053423A">
              <w:rPr>
                <w:rFonts w:cs="Sylfaen"/>
                <w:sz w:val="20"/>
                <w:szCs w:val="20"/>
                <w:lang w:val="hy-AM"/>
              </w:rPr>
              <w:t>աշխատանքային</w:t>
            </w:r>
            <w:r w:rsidRPr="0053423A">
              <w:rPr>
                <w:rFonts w:cs="Sylfaen"/>
                <w:sz w:val="20"/>
                <w:szCs w:val="20"/>
                <w:lang w:val="it-IT"/>
              </w:rPr>
              <w:t xml:space="preserve"> </w:t>
            </w:r>
            <w:r w:rsidRPr="0053423A">
              <w:rPr>
                <w:rFonts w:cs="Sylfaen"/>
                <w:sz w:val="20"/>
                <w:szCs w:val="20"/>
                <w:lang w:val="hy-AM"/>
              </w:rPr>
              <w:t>խմբի</w:t>
            </w:r>
            <w:r w:rsidRPr="0053423A">
              <w:rPr>
                <w:rFonts w:cs="Sylfaen"/>
                <w:sz w:val="20"/>
                <w:szCs w:val="20"/>
                <w:lang w:val="it-IT"/>
              </w:rPr>
              <w:t xml:space="preserve"> </w:t>
            </w:r>
            <w:r w:rsidRPr="0053423A">
              <w:rPr>
                <w:rFonts w:cs="Sylfaen"/>
                <w:sz w:val="20"/>
                <w:szCs w:val="20"/>
                <w:lang w:val="hy-AM"/>
              </w:rPr>
              <w:t>կողմից</w:t>
            </w:r>
            <w:r w:rsidRPr="0053423A">
              <w:rPr>
                <w:rFonts w:cs="Sylfaen"/>
                <w:sz w:val="20"/>
                <w:szCs w:val="20"/>
                <w:lang w:val="it-IT"/>
              </w:rPr>
              <w:t xml:space="preserve"> </w:t>
            </w:r>
            <w:r w:rsidRPr="0053423A">
              <w:rPr>
                <w:rFonts w:cs="Sylfaen"/>
                <w:sz w:val="20"/>
                <w:szCs w:val="20"/>
                <w:lang w:val="hy-AM"/>
              </w:rPr>
              <w:t xml:space="preserve">հանրապետությունում գործող նախնական (արհեստագործական) և միջին մասնագիտական պետական ուսումնական հաստատությունների շենքային պայմանների ուսումնասիրությունը, շենքերի և ենթակառուցվածքների արդի վիճակի օբյեկտիվ գնահատումը և դրանով պայմանավորված վերանորոգման ենթակա ՆՄՄԿ ուսումնական հաստատությունների առաջնահերթության սահմանումը, համապատասխան շինարարական աշխատանքների նախնական նախագծման, նախագծանախահաշվային փաստաթղթերի մշակումը, </w:t>
            </w:r>
            <w:r w:rsidRPr="0053423A">
              <w:rPr>
                <w:rFonts w:cs="GHEA Grapalat"/>
                <w:sz w:val="20"/>
                <w:szCs w:val="20"/>
                <w:lang w:val="af-ZA"/>
              </w:rPr>
              <w:t>շենքային ոչ բարվոք պայմաններ ունեցող ուսումնական հաստատությունների վերակոմպլեկտավորման կամ այլ հնարավոր լուծումների վերաբերյալ առաջարկությունների մշակումը:</w:t>
            </w:r>
          </w:p>
          <w:p w:rsidR="00154773" w:rsidRPr="0053423A" w:rsidRDefault="00154773" w:rsidP="00154773">
            <w:pPr>
              <w:ind w:firstLine="450"/>
              <w:contextualSpacing/>
              <w:jc w:val="both"/>
              <w:rPr>
                <w:rFonts w:eastAsia="Calibri" w:cs="GHEA Grapalat"/>
                <w:b/>
                <w:color w:val="000000"/>
                <w:sz w:val="20"/>
                <w:szCs w:val="20"/>
                <w:u w:val="single"/>
                <w:lang w:val="it-IT"/>
              </w:rPr>
            </w:pPr>
          </w:p>
          <w:p w:rsidR="00154773" w:rsidRPr="0053423A" w:rsidRDefault="00154773" w:rsidP="00154773">
            <w:pPr>
              <w:ind w:firstLine="450"/>
              <w:contextualSpacing/>
              <w:jc w:val="both"/>
              <w:rPr>
                <w:rFonts w:cs="Sylfaen"/>
                <w:b/>
                <w:sz w:val="20"/>
                <w:szCs w:val="20"/>
                <w:u w:val="single"/>
                <w:lang w:val="af-ZA"/>
              </w:rPr>
            </w:pPr>
          </w:p>
          <w:p w:rsidR="00154773" w:rsidRPr="0053423A" w:rsidRDefault="00154773" w:rsidP="00154773">
            <w:pPr>
              <w:ind w:firstLine="450"/>
              <w:contextualSpacing/>
              <w:jc w:val="both"/>
              <w:rPr>
                <w:b/>
                <w:sz w:val="20"/>
                <w:szCs w:val="20"/>
                <w:lang w:val="af-ZA"/>
              </w:rPr>
            </w:pPr>
            <w:r w:rsidRPr="0053423A">
              <w:rPr>
                <w:b/>
                <w:sz w:val="20"/>
                <w:szCs w:val="20"/>
                <w:lang w:val="af-ZA"/>
              </w:rPr>
              <w:t xml:space="preserve">1.1.  </w:t>
            </w:r>
            <w:r w:rsidRPr="0053423A">
              <w:rPr>
                <w:b/>
                <w:sz w:val="20"/>
                <w:szCs w:val="20"/>
              </w:rPr>
              <w:t>Կ</w:t>
            </w:r>
            <w:r w:rsidRPr="0053423A">
              <w:rPr>
                <w:b/>
                <w:sz w:val="20"/>
                <w:szCs w:val="20"/>
                <w:lang w:val="hy-AM"/>
              </w:rPr>
              <w:t>արգավորման հարաբերությունների</w:t>
            </w:r>
            <w:r w:rsidRPr="0053423A">
              <w:rPr>
                <w:b/>
                <w:sz w:val="20"/>
                <w:szCs w:val="20"/>
                <w:lang w:val="af-ZA"/>
              </w:rPr>
              <w:t xml:space="preserve"> </w:t>
            </w:r>
            <w:r w:rsidRPr="0053423A">
              <w:rPr>
                <w:b/>
                <w:sz w:val="20"/>
                <w:szCs w:val="20"/>
                <w:lang w:val="hy-AM"/>
              </w:rPr>
              <w:t>ներկա վիճակը և առկա խնդիրները</w:t>
            </w:r>
            <w:r w:rsidRPr="0053423A">
              <w:rPr>
                <w:b/>
                <w:sz w:val="20"/>
                <w:szCs w:val="20"/>
                <w:lang w:val="af-ZA"/>
              </w:rPr>
              <w:t>.</w:t>
            </w:r>
          </w:p>
          <w:p w:rsidR="00154773" w:rsidRPr="0053423A" w:rsidRDefault="00154773" w:rsidP="00154773">
            <w:pPr>
              <w:ind w:firstLine="450"/>
              <w:contextualSpacing/>
              <w:jc w:val="both"/>
              <w:rPr>
                <w:b/>
                <w:sz w:val="20"/>
                <w:szCs w:val="20"/>
                <w:lang w:val="af-ZA"/>
              </w:rPr>
            </w:pPr>
          </w:p>
          <w:p w:rsidR="00154773" w:rsidRPr="0053423A" w:rsidRDefault="00154773" w:rsidP="00154773">
            <w:pPr>
              <w:ind w:firstLine="450"/>
              <w:contextualSpacing/>
              <w:jc w:val="both"/>
              <w:rPr>
                <w:rFonts w:eastAsia="Calibri" w:cs="GHEA Grapalat"/>
                <w:color w:val="000000"/>
                <w:sz w:val="20"/>
                <w:szCs w:val="20"/>
                <w:lang w:val="it-IT"/>
              </w:rPr>
            </w:pPr>
            <w:r w:rsidRPr="0053423A">
              <w:rPr>
                <w:rFonts w:eastAsia="Calibri" w:cs="GHEA Grapalat"/>
                <w:color w:val="000000"/>
                <w:sz w:val="20"/>
                <w:szCs w:val="20"/>
                <w:lang w:val="it-IT"/>
              </w:rPr>
              <w:t xml:space="preserve">2019 </w:t>
            </w:r>
            <w:r w:rsidRPr="0053423A">
              <w:rPr>
                <w:rFonts w:eastAsia="Calibri" w:cs="GHEA Grapalat"/>
                <w:color w:val="000000"/>
                <w:sz w:val="20"/>
                <w:szCs w:val="20"/>
              </w:rPr>
              <w:t>թվականի</w:t>
            </w:r>
            <w:r w:rsidRPr="0053423A">
              <w:rPr>
                <w:rFonts w:eastAsia="Calibri" w:cs="GHEA Grapalat"/>
                <w:color w:val="000000"/>
                <w:sz w:val="20"/>
                <w:szCs w:val="20"/>
                <w:lang w:val="af-ZA"/>
              </w:rPr>
              <w:t xml:space="preserve"> </w:t>
            </w:r>
            <w:r w:rsidRPr="0053423A">
              <w:rPr>
                <w:rFonts w:eastAsia="Calibri" w:cs="GHEA Grapalat"/>
                <w:color w:val="000000"/>
                <w:sz w:val="20"/>
                <w:szCs w:val="20"/>
              </w:rPr>
              <w:t>հունվարի</w:t>
            </w:r>
            <w:r w:rsidRPr="0053423A">
              <w:rPr>
                <w:rFonts w:eastAsia="Calibri" w:cs="GHEA Grapalat"/>
                <w:color w:val="000000"/>
                <w:sz w:val="20"/>
                <w:szCs w:val="20"/>
                <w:lang w:val="it-IT"/>
              </w:rPr>
              <w:t xml:space="preserve"> 1-</w:t>
            </w:r>
            <w:r w:rsidRPr="0053423A">
              <w:rPr>
                <w:rFonts w:eastAsia="Calibri" w:cs="GHEA Grapalat"/>
                <w:color w:val="000000"/>
                <w:sz w:val="20"/>
                <w:szCs w:val="20"/>
              </w:rPr>
              <w:t>ի</w:t>
            </w:r>
            <w:r w:rsidRPr="0053423A">
              <w:rPr>
                <w:rFonts w:eastAsia="Calibri" w:cs="GHEA Grapalat"/>
                <w:color w:val="000000"/>
                <w:sz w:val="20"/>
                <w:szCs w:val="20"/>
                <w:lang w:val="af-ZA"/>
              </w:rPr>
              <w:t xml:space="preserve"> </w:t>
            </w:r>
            <w:r w:rsidRPr="0053423A">
              <w:rPr>
                <w:rFonts w:eastAsia="Calibri" w:cs="GHEA Grapalat"/>
                <w:color w:val="000000"/>
                <w:sz w:val="20"/>
                <w:szCs w:val="20"/>
              </w:rPr>
              <w:t>դրությամբ</w:t>
            </w:r>
            <w:r w:rsidRPr="0053423A">
              <w:rPr>
                <w:rFonts w:eastAsia="Calibri" w:cs="GHEA Grapalat"/>
                <w:color w:val="000000"/>
                <w:sz w:val="20"/>
                <w:szCs w:val="20"/>
                <w:lang w:val="af-ZA"/>
              </w:rPr>
              <w:t xml:space="preserve"> </w:t>
            </w:r>
            <w:r w:rsidRPr="0053423A">
              <w:rPr>
                <w:rFonts w:eastAsia="Calibri" w:cs="GHEA Grapalat"/>
                <w:color w:val="000000"/>
                <w:sz w:val="20"/>
                <w:szCs w:val="20"/>
              </w:rPr>
              <w:t>հանրապետությունում</w:t>
            </w:r>
            <w:r w:rsidRPr="0053423A">
              <w:rPr>
                <w:rFonts w:eastAsia="Calibri" w:cs="GHEA Grapalat"/>
                <w:color w:val="000000"/>
                <w:sz w:val="20"/>
                <w:szCs w:val="20"/>
                <w:lang w:val="af-ZA"/>
              </w:rPr>
              <w:t xml:space="preserve"> </w:t>
            </w:r>
            <w:r w:rsidRPr="0053423A">
              <w:rPr>
                <w:rFonts w:eastAsia="Calibri" w:cs="GHEA Grapalat"/>
                <w:color w:val="000000"/>
                <w:sz w:val="20"/>
                <w:szCs w:val="20"/>
              </w:rPr>
              <w:t>նախնական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մասնագիտական</w:t>
            </w:r>
            <w:r w:rsidRPr="0053423A">
              <w:rPr>
                <w:rFonts w:eastAsia="Calibri" w:cs="GHEA Grapalat"/>
                <w:color w:val="000000"/>
                <w:sz w:val="20"/>
                <w:szCs w:val="20"/>
                <w:lang w:val="it-IT"/>
              </w:rPr>
              <w:t xml:space="preserve"> (</w:t>
            </w:r>
            <w:r w:rsidRPr="0053423A">
              <w:rPr>
                <w:rFonts w:eastAsia="Calibri" w:cs="GHEA Grapalat"/>
                <w:color w:val="000000"/>
                <w:sz w:val="20"/>
                <w:szCs w:val="20"/>
              </w:rPr>
              <w:t>արհեստագործական</w:t>
            </w:r>
            <w:r w:rsidRPr="0053423A">
              <w:rPr>
                <w:rFonts w:eastAsia="Calibri" w:cs="GHEA Grapalat"/>
                <w:color w:val="000000"/>
                <w:sz w:val="20"/>
                <w:szCs w:val="20"/>
                <w:lang w:val="it-IT"/>
              </w:rPr>
              <w:t xml:space="preserve">) </w:t>
            </w:r>
            <w:r w:rsidRPr="0053423A">
              <w:rPr>
                <w:rFonts w:eastAsia="Calibri" w:cs="GHEA Grapalat"/>
                <w:color w:val="000000"/>
                <w:sz w:val="20"/>
                <w:szCs w:val="20"/>
              </w:rPr>
              <w:t>ուսումնական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ծրագրեր</w:t>
            </w:r>
            <w:r w:rsidRPr="0053423A">
              <w:rPr>
                <w:rFonts w:eastAsia="Calibri" w:cs="GHEA Grapalat"/>
                <w:color w:val="000000"/>
                <w:sz w:val="20"/>
                <w:szCs w:val="20"/>
                <w:lang w:val="af-ZA"/>
              </w:rPr>
              <w:t xml:space="preserve"> </w:t>
            </w:r>
            <w:r w:rsidRPr="0053423A">
              <w:rPr>
                <w:rFonts w:eastAsia="Calibri" w:cs="GHEA Grapalat"/>
                <w:color w:val="000000"/>
                <w:sz w:val="20"/>
                <w:szCs w:val="20"/>
              </w:rPr>
              <w:t>իրականացվում</w:t>
            </w:r>
            <w:r w:rsidRPr="0053423A">
              <w:rPr>
                <w:rFonts w:eastAsia="Calibri" w:cs="GHEA Grapalat"/>
                <w:color w:val="000000"/>
                <w:sz w:val="20"/>
                <w:szCs w:val="20"/>
                <w:lang w:val="af-ZA"/>
              </w:rPr>
              <w:t xml:space="preserve"> </w:t>
            </w:r>
            <w:r w:rsidRPr="0053423A">
              <w:rPr>
                <w:rFonts w:eastAsia="Calibri" w:cs="GHEA Grapalat"/>
                <w:color w:val="000000"/>
                <w:sz w:val="20"/>
                <w:szCs w:val="20"/>
              </w:rPr>
              <w:t>են</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hy-AM"/>
              </w:rPr>
              <w:t>5</w:t>
            </w:r>
            <w:r w:rsidRPr="0053423A">
              <w:rPr>
                <w:rFonts w:eastAsia="Calibri" w:cs="GHEA Grapalat"/>
                <w:color w:val="000000"/>
                <w:sz w:val="20"/>
                <w:szCs w:val="20"/>
                <w:lang w:val="it-IT"/>
              </w:rPr>
              <w:t xml:space="preserve">6 </w:t>
            </w:r>
            <w:r w:rsidRPr="0053423A">
              <w:rPr>
                <w:rFonts w:eastAsia="Calibri" w:cs="GHEA Grapalat"/>
                <w:color w:val="000000"/>
                <w:sz w:val="20"/>
                <w:szCs w:val="20"/>
              </w:rPr>
              <w:t>պետական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ուսումնական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հաստատություններում</w:t>
            </w:r>
            <w:r w:rsidRPr="0053423A">
              <w:rPr>
                <w:rFonts w:eastAsia="Calibri" w:cs="GHEA Grapalat"/>
                <w:color w:val="000000"/>
                <w:sz w:val="20"/>
                <w:szCs w:val="20"/>
                <w:lang w:val="it-IT"/>
              </w:rPr>
              <w:t xml:space="preserve"> (24 </w:t>
            </w:r>
            <w:r w:rsidRPr="0053423A">
              <w:rPr>
                <w:rFonts w:eastAsia="Calibri" w:cs="GHEA Grapalat"/>
                <w:color w:val="000000"/>
                <w:sz w:val="20"/>
                <w:szCs w:val="20"/>
              </w:rPr>
              <w:t>նախնական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մասնագիտական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ուսումնական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հաստատություն</w:t>
            </w:r>
            <w:r w:rsidRPr="0053423A">
              <w:rPr>
                <w:rFonts w:eastAsia="Calibri" w:cs="GHEA Grapalat"/>
                <w:color w:val="000000"/>
                <w:sz w:val="20"/>
                <w:szCs w:val="20"/>
                <w:lang w:val="it-IT"/>
              </w:rPr>
              <w:t xml:space="preserve">, 26 </w:t>
            </w:r>
            <w:r w:rsidRPr="0053423A">
              <w:rPr>
                <w:rFonts w:eastAsia="Calibri" w:cs="GHEA Grapalat"/>
                <w:color w:val="000000"/>
                <w:sz w:val="20"/>
                <w:szCs w:val="20"/>
              </w:rPr>
              <w:t>միջին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մասնագիտական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ուսումնական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հաստատություն</w:t>
            </w:r>
            <w:r w:rsidRPr="0053423A">
              <w:rPr>
                <w:rFonts w:eastAsia="Calibri" w:cs="GHEA Grapalat"/>
                <w:color w:val="000000"/>
                <w:sz w:val="20"/>
                <w:szCs w:val="20"/>
                <w:lang w:val="it-IT"/>
              </w:rPr>
              <w:t xml:space="preserve">, 4 </w:t>
            </w:r>
            <w:r w:rsidRPr="0053423A">
              <w:rPr>
                <w:rFonts w:eastAsia="Calibri" w:cs="GHEA Grapalat"/>
                <w:color w:val="000000"/>
                <w:sz w:val="20"/>
                <w:szCs w:val="20"/>
              </w:rPr>
              <w:t>կրթահամալիր</w:t>
            </w:r>
            <w:r w:rsidRPr="0053423A">
              <w:rPr>
                <w:rFonts w:eastAsia="Calibri" w:cs="GHEA Grapalat"/>
                <w:color w:val="000000"/>
                <w:sz w:val="20"/>
                <w:szCs w:val="20"/>
                <w:lang w:val="it-IT"/>
              </w:rPr>
              <w:t xml:space="preserve">, 1 </w:t>
            </w:r>
            <w:r w:rsidRPr="0053423A">
              <w:rPr>
                <w:rFonts w:eastAsia="Calibri" w:cs="GHEA Grapalat"/>
                <w:color w:val="000000"/>
                <w:sz w:val="20"/>
                <w:szCs w:val="20"/>
              </w:rPr>
              <w:t>բարձրագույն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ուսումնական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հաստատություն</w:t>
            </w:r>
            <w:r w:rsidRPr="0053423A">
              <w:rPr>
                <w:rFonts w:eastAsia="Calibri" w:cs="GHEA Grapalat"/>
                <w:color w:val="000000"/>
                <w:sz w:val="20"/>
                <w:szCs w:val="20"/>
                <w:lang w:val="it-IT"/>
              </w:rPr>
              <w:t>)</w:t>
            </w:r>
            <w:r w:rsidRPr="0053423A">
              <w:rPr>
                <w:rFonts w:eastAsia="Calibri" w:cs="GHEA Grapalat"/>
                <w:color w:val="000000"/>
                <w:sz w:val="20"/>
                <w:szCs w:val="20"/>
                <w:lang w:val="hy-AM"/>
              </w:rPr>
              <w:t>:</w:t>
            </w:r>
            <w:r w:rsidRPr="0053423A">
              <w:rPr>
                <w:rFonts w:eastAsia="Calibri" w:cs="GHEA Grapalat"/>
                <w:color w:val="000000"/>
                <w:sz w:val="20"/>
                <w:szCs w:val="20"/>
                <w:lang w:val="af-ZA"/>
              </w:rPr>
              <w:t xml:space="preserve"> Մ</w:t>
            </w:r>
            <w:r w:rsidRPr="0053423A">
              <w:rPr>
                <w:rFonts w:eastAsia="Calibri" w:cs="GHEA Grapalat"/>
                <w:color w:val="000000"/>
                <w:sz w:val="20"/>
                <w:szCs w:val="20"/>
              </w:rPr>
              <w:t>իջին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մասնագիտական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կրթական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ծրագրեր</w:t>
            </w:r>
            <w:r w:rsidRPr="0053423A">
              <w:rPr>
                <w:rFonts w:eastAsia="Calibri" w:cs="GHEA Grapalat"/>
                <w:color w:val="000000"/>
                <w:sz w:val="20"/>
                <w:szCs w:val="20"/>
                <w:lang w:val="af-ZA"/>
              </w:rPr>
              <w:t xml:space="preserve"> </w:t>
            </w:r>
            <w:r w:rsidRPr="0053423A">
              <w:rPr>
                <w:rFonts w:eastAsia="Calibri" w:cs="GHEA Grapalat"/>
                <w:color w:val="000000"/>
                <w:sz w:val="20"/>
                <w:szCs w:val="20"/>
              </w:rPr>
              <w:t>իրականացվում</w:t>
            </w:r>
            <w:r w:rsidRPr="0053423A">
              <w:rPr>
                <w:rFonts w:eastAsia="Calibri" w:cs="GHEA Grapalat"/>
                <w:color w:val="000000"/>
                <w:sz w:val="20"/>
                <w:szCs w:val="20"/>
                <w:lang w:val="af-ZA"/>
              </w:rPr>
              <w:t xml:space="preserve"> </w:t>
            </w:r>
            <w:r w:rsidRPr="0053423A">
              <w:rPr>
                <w:rFonts w:eastAsia="Calibri" w:cs="GHEA Grapalat"/>
                <w:color w:val="000000"/>
                <w:sz w:val="20"/>
                <w:szCs w:val="20"/>
              </w:rPr>
              <w:t>են</w:t>
            </w:r>
            <w:r w:rsidRPr="0053423A">
              <w:rPr>
                <w:rFonts w:eastAsia="Calibri" w:cs="GHEA Grapalat"/>
                <w:color w:val="000000"/>
                <w:sz w:val="20"/>
                <w:szCs w:val="20"/>
                <w:lang w:val="af-ZA"/>
              </w:rPr>
              <w:t xml:space="preserve"> </w:t>
            </w:r>
            <w:r w:rsidRPr="0053423A">
              <w:rPr>
                <w:rFonts w:eastAsia="Calibri" w:cs="GHEA Grapalat"/>
                <w:color w:val="000000"/>
                <w:sz w:val="20"/>
                <w:szCs w:val="20"/>
                <w:lang w:val="it-IT"/>
              </w:rPr>
              <w:t xml:space="preserve">81 </w:t>
            </w:r>
            <w:r w:rsidRPr="0053423A">
              <w:rPr>
                <w:rFonts w:eastAsia="Calibri" w:cs="GHEA Grapalat"/>
                <w:color w:val="000000"/>
                <w:sz w:val="20"/>
                <w:szCs w:val="20"/>
              </w:rPr>
              <w:t>պետական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ուսումնական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հաստատություններում</w:t>
            </w:r>
            <w:r w:rsidRPr="0053423A">
              <w:rPr>
                <w:rFonts w:eastAsia="Calibri" w:cs="GHEA Grapalat"/>
                <w:color w:val="000000"/>
                <w:sz w:val="20"/>
                <w:szCs w:val="20"/>
                <w:lang w:val="it-IT"/>
              </w:rPr>
              <w:t xml:space="preserve"> (68 </w:t>
            </w:r>
            <w:r w:rsidRPr="0053423A">
              <w:rPr>
                <w:rFonts w:eastAsia="Calibri" w:cs="GHEA Grapalat"/>
                <w:color w:val="000000"/>
                <w:sz w:val="20"/>
                <w:szCs w:val="20"/>
              </w:rPr>
              <w:t>միջին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մասնագիտական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պետական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ուսումնական</w:t>
            </w:r>
            <w:r w:rsidRPr="0053423A">
              <w:rPr>
                <w:rFonts w:eastAsia="Calibri" w:cs="GHEA Grapalat"/>
                <w:color w:val="000000"/>
                <w:sz w:val="20"/>
                <w:szCs w:val="20"/>
                <w:lang w:val="af-ZA"/>
              </w:rPr>
              <w:t xml:space="preserve"> </w:t>
            </w:r>
            <w:r w:rsidRPr="0053423A">
              <w:rPr>
                <w:rFonts w:eastAsia="Calibri" w:cs="GHEA Grapalat"/>
                <w:color w:val="000000"/>
                <w:sz w:val="20"/>
                <w:szCs w:val="20"/>
              </w:rPr>
              <w:t>հաստատություն</w:t>
            </w:r>
            <w:r w:rsidRPr="0053423A">
              <w:rPr>
                <w:rFonts w:eastAsia="Calibri" w:cs="GHEA Grapalat"/>
                <w:color w:val="000000"/>
                <w:sz w:val="20"/>
                <w:szCs w:val="20"/>
                <w:lang w:val="it-IT"/>
              </w:rPr>
              <w:t xml:space="preserve">, 9 </w:t>
            </w:r>
            <w:r w:rsidRPr="0053423A">
              <w:rPr>
                <w:rFonts w:eastAsia="Calibri" w:cs="GHEA Grapalat"/>
                <w:color w:val="000000"/>
                <w:sz w:val="20"/>
                <w:szCs w:val="20"/>
              </w:rPr>
              <w:t>ԲՈՒՀ</w:t>
            </w:r>
            <w:r w:rsidRPr="0053423A">
              <w:rPr>
                <w:rFonts w:eastAsia="Calibri" w:cs="GHEA Grapalat"/>
                <w:color w:val="000000"/>
                <w:sz w:val="20"/>
                <w:szCs w:val="20"/>
                <w:lang w:val="it-IT"/>
              </w:rPr>
              <w:t xml:space="preserve">, 2 </w:t>
            </w:r>
            <w:r w:rsidRPr="0053423A">
              <w:rPr>
                <w:rFonts w:eastAsia="Calibri" w:cs="GHEA Grapalat"/>
                <w:color w:val="000000"/>
                <w:sz w:val="20"/>
                <w:szCs w:val="20"/>
              </w:rPr>
              <w:t>կրթահամալիր</w:t>
            </w:r>
            <w:r w:rsidRPr="0053423A">
              <w:rPr>
                <w:rFonts w:eastAsia="Calibri" w:cs="GHEA Grapalat"/>
                <w:color w:val="000000"/>
                <w:sz w:val="20"/>
                <w:szCs w:val="20"/>
                <w:lang w:val="it-IT"/>
              </w:rPr>
              <w:t xml:space="preserve">, 1 </w:t>
            </w:r>
            <w:r w:rsidRPr="0053423A">
              <w:rPr>
                <w:rFonts w:eastAsia="Calibri" w:cs="GHEA Grapalat"/>
                <w:color w:val="000000"/>
                <w:sz w:val="20"/>
                <w:szCs w:val="20"/>
              </w:rPr>
              <w:t>հիմնադրամ</w:t>
            </w:r>
            <w:r w:rsidRPr="0053423A">
              <w:rPr>
                <w:rFonts w:eastAsia="Calibri" w:cs="GHEA Grapalat"/>
                <w:color w:val="000000"/>
                <w:sz w:val="20"/>
                <w:szCs w:val="20"/>
                <w:lang w:val="it-IT"/>
              </w:rPr>
              <w:t xml:space="preserve">, 1 </w:t>
            </w:r>
            <w:r w:rsidRPr="0053423A">
              <w:rPr>
                <w:rFonts w:eastAsia="Calibri" w:cs="GHEA Grapalat"/>
                <w:color w:val="000000"/>
                <w:sz w:val="20"/>
                <w:szCs w:val="20"/>
                <w:lang w:val="hy-AM"/>
              </w:rPr>
              <w:t>ՓԲԸ</w:t>
            </w:r>
            <w:r w:rsidRPr="0053423A">
              <w:rPr>
                <w:rFonts w:eastAsia="Calibri" w:cs="GHEA Grapalat"/>
                <w:color w:val="000000"/>
                <w:sz w:val="20"/>
                <w:szCs w:val="20"/>
                <w:lang w:val="it-IT"/>
              </w:rPr>
              <w:t>):</w:t>
            </w:r>
          </w:p>
          <w:p w:rsidR="00154773" w:rsidRPr="0053423A" w:rsidRDefault="00154773" w:rsidP="00154773">
            <w:pPr>
              <w:ind w:firstLine="450"/>
              <w:contextualSpacing/>
              <w:jc w:val="both"/>
              <w:rPr>
                <w:rFonts w:cs="GHEA Grapalat"/>
                <w:sz w:val="20"/>
                <w:szCs w:val="20"/>
                <w:lang w:val="af-ZA"/>
              </w:rPr>
            </w:pPr>
            <w:r w:rsidRPr="0053423A">
              <w:rPr>
                <w:rFonts w:cs="GHEA Grapalat"/>
                <w:sz w:val="20"/>
                <w:szCs w:val="20"/>
                <w:lang w:val="ru-RU"/>
              </w:rPr>
              <w:t>Ներկայումս</w:t>
            </w:r>
            <w:r w:rsidRPr="0053423A">
              <w:rPr>
                <w:rFonts w:cs="GHEA Grapalat"/>
                <w:sz w:val="20"/>
                <w:szCs w:val="20"/>
                <w:lang w:val="af-ZA"/>
              </w:rPr>
              <w:t xml:space="preserve"> </w:t>
            </w:r>
            <w:r w:rsidRPr="0053423A">
              <w:rPr>
                <w:rFonts w:cs="GHEA Grapalat"/>
                <w:sz w:val="20"/>
                <w:szCs w:val="20"/>
                <w:lang w:val="ru-RU"/>
              </w:rPr>
              <w:t>առկա</w:t>
            </w:r>
            <w:r w:rsidRPr="0053423A">
              <w:rPr>
                <w:rFonts w:cs="GHEA Grapalat"/>
                <w:sz w:val="20"/>
                <w:szCs w:val="20"/>
                <w:lang w:val="af-ZA"/>
              </w:rPr>
              <w:t xml:space="preserve"> </w:t>
            </w:r>
            <w:r w:rsidRPr="0053423A">
              <w:rPr>
                <w:rFonts w:cs="GHEA Grapalat"/>
                <w:sz w:val="20"/>
                <w:szCs w:val="20"/>
                <w:lang w:val="ru-RU"/>
              </w:rPr>
              <w:t>չէ</w:t>
            </w:r>
            <w:r w:rsidRPr="0053423A">
              <w:rPr>
                <w:rFonts w:cs="GHEA Grapalat"/>
                <w:sz w:val="20"/>
                <w:szCs w:val="20"/>
                <w:lang w:val="af-ZA"/>
              </w:rPr>
              <w:t xml:space="preserve"> </w:t>
            </w:r>
            <w:r w:rsidRPr="0053423A">
              <w:rPr>
                <w:rFonts w:cs="GHEA Grapalat"/>
                <w:sz w:val="20"/>
                <w:szCs w:val="20"/>
                <w:lang w:val="ru-RU"/>
              </w:rPr>
              <w:t>որևէ</w:t>
            </w:r>
            <w:r w:rsidRPr="0053423A">
              <w:rPr>
                <w:rFonts w:cs="GHEA Grapalat"/>
                <w:sz w:val="20"/>
                <w:szCs w:val="20"/>
                <w:lang w:val="af-ZA"/>
              </w:rPr>
              <w:t xml:space="preserve"> </w:t>
            </w:r>
            <w:r w:rsidRPr="0053423A">
              <w:rPr>
                <w:rFonts w:cs="GHEA Grapalat"/>
                <w:sz w:val="20"/>
                <w:szCs w:val="20"/>
                <w:lang w:val="ru-RU"/>
              </w:rPr>
              <w:t>ուսումնասիրություն</w:t>
            </w:r>
            <w:r w:rsidRPr="0053423A">
              <w:rPr>
                <w:rFonts w:cs="GHEA Grapalat"/>
                <w:sz w:val="20"/>
                <w:szCs w:val="20"/>
                <w:lang w:val="af-ZA"/>
              </w:rPr>
              <w:t xml:space="preserve">, </w:t>
            </w:r>
            <w:r w:rsidRPr="0053423A">
              <w:rPr>
                <w:rFonts w:cs="GHEA Grapalat"/>
                <w:sz w:val="20"/>
                <w:szCs w:val="20"/>
                <w:lang w:val="ru-RU"/>
              </w:rPr>
              <w:t>որը</w:t>
            </w:r>
            <w:r w:rsidRPr="0053423A">
              <w:rPr>
                <w:rFonts w:cs="GHEA Grapalat"/>
                <w:sz w:val="20"/>
                <w:szCs w:val="20"/>
                <w:lang w:val="af-ZA"/>
              </w:rPr>
              <w:t xml:space="preserve"> </w:t>
            </w:r>
            <w:r w:rsidRPr="0053423A">
              <w:rPr>
                <w:rFonts w:cs="GHEA Grapalat"/>
                <w:sz w:val="20"/>
                <w:szCs w:val="20"/>
                <w:lang w:val="ru-RU"/>
              </w:rPr>
              <w:t>թույլ</w:t>
            </w:r>
            <w:r w:rsidRPr="0053423A">
              <w:rPr>
                <w:rFonts w:cs="GHEA Grapalat"/>
                <w:sz w:val="20"/>
                <w:szCs w:val="20"/>
                <w:lang w:val="af-ZA"/>
              </w:rPr>
              <w:t xml:space="preserve"> </w:t>
            </w:r>
            <w:r w:rsidRPr="0053423A">
              <w:rPr>
                <w:rFonts w:cs="GHEA Grapalat"/>
                <w:sz w:val="20"/>
                <w:szCs w:val="20"/>
                <w:lang w:val="ru-RU"/>
              </w:rPr>
              <w:t>կտա</w:t>
            </w:r>
            <w:r w:rsidRPr="0053423A">
              <w:rPr>
                <w:rFonts w:cs="GHEA Grapalat"/>
                <w:sz w:val="20"/>
                <w:szCs w:val="20"/>
                <w:lang w:val="af-ZA"/>
              </w:rPr>
              <w:t xml:space="preserve"> </w:t>
            </w:r>
            <w:r w:rsidRPr="0053423A">
              <w:rPr>
                <w:rFonts w:cs="GHEA Grapalat"/>
                <w:sz w:val="20"/>
                <w:szCs w:val="20"/>
                <w:lang w:val="ru-RU"/>
              </w:rPr>
              <w:t>առավել</w:t>
            </w:r>
            <w:r w:rsidRPr="0053423A">
              <w:rPr>
                <w:rFonts w:cs="GHEA Grapalat"/>
                <w:sz w:val="20"/>
                <w:szCs w:val="20"/>
                <w:lang w:val="af-ZA"/>
              </w:rPr>
              <w:t xml:space="preserve"> </w:t>
            </w:r>
            <w:r w:rsidRPr="0053423A">
              <w:rPr>
                <w:rFonts w:cs="GHEA Grapalat"/>
                <w:sz w:val="20"/>
                <w:szCs w:val="20"/>
                <w:lang w:val="ru-RU"/>
              </w:rPr>
              <w:t>առարկայական</w:t>
            </w:r>
            <w:r w:rsidRPr="0053423A">
              <w:rPr>
                <w:rFonts w:cs="GHEA Grapalat"/>
                <w:sz w:val="20"/>
                <w:szCs w:val="20"/>
                <w:lang w:val="af-ZA"/>
              </w:rPr>
              <w:t xml:space="preserve"> </w:t>
            </w:r>
            <w:r w:rsidRPr="0053423A">
              <w:rPr>
                <w:rFonts w:cs="GHEA Grapalat"/>
                <w:sz w:val="20"/>
                <w:szCs w:val="20"/>
                <w:lang w:val="ru-RU"/>
              </w:rPr>
              <w:t>պատկերացում</w:t>
            </w:r>
            <w:r w:rsidRPr="0053423A">
              <w:rPr>
                <w:rFonts w:cs="GHEA Grapalat"/>
                <w:sz w:val="20"/>
                <w:szCs w:val="20"/>
                <w:lang w:val="af-ZA"/>
              </w:rPr>
              <w:t xml:space="preserve"> </w:t>
            </w:r>
            <w:r w:rsidRPr="0053423A">
              <w:rPr>
                <w:rFonts w:cs="GHEA Grapalat"/>
                <w:sz w:val="20"/>
                <w:szCs w:val="20"/>
                <w:lang w:val="ru-RU"/>
              </w:rPr>
              <w:t>կազմել</w:t>
            </w:r>
            <w:r w:rsidRPr="0053423A">
              <w:rPr>
                <w:rFonts w:cs="GHEA Grapalat"/>
                <w:sz w:val="20"/>
                <w:szCs w:val="20"/>
                <w:lang w:val="af-ZA"/>
              </w:rPr>
              <w:t xml:space="preserve"> </w:t>
            </w:r>
            <w:r w:rsidRPr="0053423A">
              <w:rPr>
                <w:rFonts w:cs="GHEA Grapalat"/>
                <w:sz w:val="20"/>
                <w:szCs w:val="20"/>
                <w:lang w:val="ru-RU"/>
              </w:rPr>
              <w:t>հանրապետությունում</w:t>
            </w:r>
            <w:r w:rsidRPr="0053423A">
              <w:rPr>
                <w:rFonts w:cs="GHEA Grapalat"/>
                <w:sz w:val="20"/>
                <w:szCs w:val="20"/>
                <w:lang w:val="af-ZA"/>
              </w:rPr>
              <w:t xml:space="preserve"> </w:t>
            </w:r>
            <w:r w:rsidRPr="0053423A">
              <w:rPr>
                <w:rFonts w:cs="GHEA Grapalat"/>
                <w:sz w:val="20"/>
                <w:szCs w:val="20"/>
                <w:lang w:val="ru-RU"/>
              </w:rPr>
              <w:t>գործող</w:t>
            </w:r>
            <w:r w:rsidRPr="0053423A">
              <w:rPr>
                <w:rFonts w:cs="GHEA Grapalat"/>
                <w:sz w:val="20"/>
                <w:szCs w:val="20"/>
                <w:lang w:val="af-ZA"/>
              </w:rPr>
              <w:t xml:space="preserve"> </w:t>
            </w:r>
            <w:r w:rsidRPr="0053423A">
              <w:rPr>
                <w:rFonts w:cs="GHEA Grapalat"/>
                <w:sz w:val="20"/>
                <w:szCs w:val="20"/>
                <w:lang w:val="ru-RU"/>
              </w:rPr>
              <w:t>ՆՄՄԿ</w:t>
            </w:r>
            <w:r w:rsidRPr="0053423A">
              <w:rPr>
                <w:rFonts w:cs="GHEA Grapalat"/>
                <w:sz w:val="20"/>
                <w:szCs w:val="20"/>
                <w:lang w:val="af-ZA"/>
              </w:rPr>
              <w:t xml:space="preserve"> </w:t>
            </w:r>
            <w:r w:rsidRPr="0053423A">
              <w:rPr>
                <w:rFonts w:cs="GHEA Grapalat"/>
                <w:sz w:val="20"/>
                <w:szCs w:val="20"/>
                <w:lang w:val="ru-RU"/>
              </w:rPr>
              <w:t>ուսումնական</w:t>
            </w:r>
            <w:r w:rsidRPr="0053423A">
              <w:rPr>
                <w:rFonts w:cs="GHEA Grapalat"/>
                <w:sz w:val="20"/>
                <w:szCs w:val="20"/>
                <w:lang w:val="af-ZA"/>
              </w:rPr>
              <w:t xml:space="preserve"> </w:t>
            </w:r>
            <w:r w:rsidRPr="0053423A">
              <w:rPr>
                <w:rFonts w:cs="GHEA Grapalat"/>
                <w:sz w:val="20"/>
                <w:szCs w:val="20"/>
                <w:lang w:val="ru-RU"/>
              </w:rPr>
              <w:t>հաստատությունների</w:t>
            </w:r>
            <w:r w:rsidRPr="0053423A">
              <w:rPr>
                <w:rFonts w:cs="GHEA Grapalat"/>
                <w:sz w:val="20"/>
                <w:szCs w:val="20"/>
                <w:lang w:val="af-ZA"/>
              </w:rPr>
              <w:t xml:space="preserve"> </w:t>
            </w:r>
            <w:r w:rsidRPr="0053423A">
              <w:rPr>
                <w:rFonts w:cs="GHEA Grapalat"/>
                <w:sz w:val="20"/>
                <w:szCs w:val="20"/>
                <w:lang w:val="ru-RU"/>
              </w:rPr>
              <w:t>շենքային</w:t>
            </w:r>
            <w:r w:rsidRPr="0053423A">
              <w:rPr>
                <w:rFonts w:cs="GHEA Grapalat"/>
                <w:sz w:val="20"/>
                <w:szCs w:val="20"/>
                <w:lang w:val="af-ZA"/>
              </w:rPr>
              <w:t xml:space="preserve"> </w:t>
            </w:r>
            <w:r w:rsidRPr="0053423A">
              <w:rPr>
                <w:rFonts w:cs="GHEA Grapalat"/>
                <w:sz w:val="20"/>
                <w:szCs w:val="20"/>
                <w:lang w:val="ru-RU"/>
              </w:rPr>
              <w:t>պայմանների</w:t>
            </w:r>
            <w:r w:rsidRPr="0053423A">
              <w:rPr>
                <w:rFonts w:cs="GHEA Grapalat"/>
                <w:sz w:val="20"/>
                <w:szCs w:val="20"/>
                <w:lang w:val="af-ZA"/>
              </w:rPr>
              <w:t xml:space="preserve"> </w:t>
            </w:r>
            <w:r w:rsidRPr="0053423A">
              <w:rPr>
                <w:rFonts w:cs="GHEA Grapalat"/>
                <w:sz w:val="20"/>
                <w:szCs w:val="20"/>
                <w:lang w:val="ru-RU"/>
              </w:rPr>
              <w:t>և</w:t>
            </w:r>
            <w:r w:rsidRPr="0053423A">
              <w:rPr>
                <w:rFonts w:cs="GHEA Grapalat"/>
                <w:sz w:val="20"/>
                <w:szCs w:val="20"/>
                <w:lang w:val="af-ZA"/>
              </w:rPr>
              <w:t xml:space="preserve"> </w:t>
            </w:r>
            <w:r w:rsidRPr="0053423A">
              <w:rPr>
                <w:rFonts w:cs="GHEA Grapalat"/>
                <w:sz w:val="20"/>
                <w:szCs w:val="20"/>
                <w:lang w:val="ru-RU"/>
              </w:rPr>
              <w:t>ենթակառուցվքածների</w:t>
            </w:r>
            <w:r w:rsidRPr="0053423A">
              <w:rPr>
                <w:rFonts w:cs="GHEA Grapalat"/>
                <w:sz w:val="20"/>
                <w:szCs w:val="20"/>
                <w:lang w:val="af-ZA"/>
              </w:rPr>
              <w:t xml:space="preserve"> </w:t>
            </w:r>
            <w:r w:rsidRPr="0053423A">
              <w:rPr>
                <w:rFonts w:cs="GHEA Grapalat"/>
                <w:sz w:val="20"/>
                <w:szCs w:val="20"/>
                <w:lang w:val="ru-RU"/>
              </w:rPr>
              <w:t>արդի</w:t>
            </w:r>
            <w:r w:rsidRPr="0053423A">
              <w:rPr>
                <w:rFonts w:cs="GHEA Grapalat"/>
                <w:sz w:val="20"/>
                <w:szCs w:val="20"/>
                <w:lang w:val="af-ZA"/>
              </w:rPr>
              <w:t xml:space="preserve"> </w:t>
            </w:r>
            <w:r w:rsidRPr="0053423A">
              <w:rPr>
                <w:rFonts w:cs="GHEA Grapalat"/>
                <w:sz w:val="20"/>
                <w:szCs w:val="20"/>
                <w:lang w:val="ru-RU"/>
              </w:rPr>
              <w:t>վիճակի</w:t>
            </w:r>
            <w:r w:rsidRPr="0053423A">
              <w:rPr>
                <w:rFonts w:cs="GHEA Grapalat"/>
                <w:sz w:val="20"/>
                <w:szCs w:val="20"/>
                <w:lang w:val="af-ZA"/>
              </w:rPr>
              <w:t xml:space="preserve"> </w:t>
            </w:r>
            <w:r w:rsidRPr="0053423A">
              <w:rPr>
                <w:rFonts w:cs="GHEA Grapalat"/>
                <w:sz w:val="20"/>
                <w:szCs w:val="20"/>
                <w:lang w:val="ru-RU"/>
              </w:rPr>
              <w:t>մասին</w:t>
            </w:r>
            <w:r w:rsidRPr="0053423A">
              <w:rPr>
                <w:rFonts w:cs="GHEA Grapalat"/>
                <w:sz w:val="20"/>
                <w:szCs w:val="20"/>
                <w:lang w:val="af-ZA"/>
              </w:rPr>
              <w:t xml:space="preserve">: </w:t>
            </w:r>
          </w:p>
          <w:p w:rsidR="00154773" w:rsidRPr="0053423A" w:rsidRDefault="00154773" w:rsidP="00154773">
            <w:pPr>
              <w:ind w:firstLine="450"/>
              <w:contextualSpacing/>
              <w:jc w:val="both"/>
              <w:rPr>
                <w:rFonts w:cs="GHEA Grapalat"/>
                <w:sz w:val="20"/>
                <w:szCs w:val="20"/>
                <w:lang w:val="af-ZA"/>
              </w:rPr>
            </w:pPr>
          </w:p>
          <w:p w:rsidR="00154773" w:rsidRPr="0053423A" w:rsidRDefault="00154773" w:rsidP="00154773">
            <w:pPr>
              <w:ind w:left="735"/>
              <w:rPr>
                <w:rFonts w:eastAsia="Times New Roman" w:cs="Times New Roman"/>
                <w:b/>
                <w:sz w:val="20"/>
                <w:szCs w:val="20"/>
                <w:lang w:val="af-ZA"/>
              </w:rPr>
            </w:pPr>
            <w:r w:rsidRPr="0053423A">
              <w:rPr>
                <w:rFonts w:eastAsia="Times New Roman" w:cs="Times New Roman"/>
                <w:b/>
                <w:sz w:val="20"/>
                <w:szCs w:val="20"/>
                <w:lang w:val="af-ZA"/>
              </w:rPr>
              <w:t xml:space="preserve">1.2. </w:t>
            </w:r>
            <w:r w:rsidRPr="0053423A">
              <w:rPr>
                <w:rFonts w:eastAsia="Times New Roman" w:cs="Times New Roman"/>
                <w:b/>
                <w:sz w:val="20"/>
                <w:szCs w:val="20"/>
                <w:lang w:val="hy-AM"/>
              </w:rPr>
              <w:t>առկա խնդիրների առաջարկվող լուծումները</w:t>
            </w:r>
          </w:p>
          <w:p w:rsidR="00154773" w:rsidRPr="0053423A" w:rsidRDefault="00154773" w:rsidP="00154773">
            <w:pPr>
              <w:ind w:firstLine="450"/>
              <w:contextualSpacing/>
              <w:jc w:val="both"/>
              <w:rPr>
                <w:rFonts w:cs="GHEA Grapalat"/>
                <w:sz w:val="20"/>
                <w:szCs w:val="20"/>
                <w:lang w:val="af-ZA"/>
              </w:rPr>
            </w:pPr>
            <w:r w:rsidRPr="0053423A">
              <w:rPr>
                <w:rFonts w:cs="Sylfaen"/>
                <w:sz w:val="20"/>
                <w:szCs w:val="20"/>
                <w:lang w:val="hy-AM"/>
              </w:rPr>
              <w:t xml:space="preserve">ՀՀ  կրթության և գիտության նախարարության, քաղաքաշինության պետական կոմիտեի, մարզպետարանների ներկայացուցիչների, ինչպես նաև անկախ փորձագետների ընդգրկմամբ համապատասխան աշխատանքային խմբի ձևավորում, </w:t>
            </w:r>
            <w:r w:rsidRPr="0053423A">
              <w:rPr>
                <w:rFonts w:cs="Sylfaen"/>
                <w:sz w:val="20"/>
                <w:szCs w:val="20"/>
              </w:rPr>
              <w:t>վերջինիս</w:t>
            </w:r>
            <w:r w:rsidRPr="0053423A">
              <w:rPr>
                <w:rFonts w:cs="Sylfaen"/>
                <w:sz w:val="20"/>
                <w:szCs w:val="20"/>
                <w:lang w:val="af-ZA"/>
              </w:rPr>
              <w:t xml:space="preserve"> </w:t>
            </w:r>
            <w:r w:rsidRPr="0053423A">
              <w:rPr>
                <w:rFonts w:cs="Sylfaen"/>
                <w:sz w:val="20"/>
                <w:szCs w:val="20"/>
              </w:rPr>
              <w:t>կողմից</w:t>
            </w:r>
            <w:r w:rsidRPr="0053423A">
              <w:rPr>
                <w:rFonts w:cs="Sylfaen"/>
                <w:sz w:val="20"/>
                <w:szCs w:val="20"/>
                <w:lang w:val="af-ZA"/>
              </w:rPr>
              <w:t xml:space="preserve"> </w:t>
            </w:r>
            <w:r w:rsidRPr="0053423A">
              <w:rPr>
                <w:rFonts w:cs="Sylfaen"/>
                <w:sz w:val="20"/>
                <w:szCs w:val="20"/>
                <w:lang w:val="hy-AM"/>
              </w:rPr>
              <w:t>նախնական (արհեստագործական) և միջին մասնագիտական պետական ուսումնական հաստատությունների շենքային պայմանների վերաբերյալ տեղեկատվության հավաքագրում, վերանորոգման ենթակա ՆՄՄԿ ուսումնական հաստատությունների առաջնահերթության սահմանում, ուսումնասիրության արդյունքում ընտրված ՆՄՄԿ ուսումնական հաստատությունների և դրանց ենթակառուցվածքների Էներգաարդյունավետ, կրթության առանձնահատուկ պայմանների կարիք ունեցող անձանց համար ՄԿՈՒ հաստատությունների հասանելիության ապահովման. համապատասխան շինարարական աշխատանքների նախնական նախագծման, նախագծանախահաշվային փաստաթղթերի մշակ</w:t>
            </w:r>
            <w:r w:rsidRPr="0053423A">
              <w:rPr>
                <w:rFonts w:cs="Sylfaen"/>
                <w:sz w:val="20"/>
                <w:szCs w:val="20"/>
              </w:rPr>
              <w:t>ում</w:t>
            </w:r>
            <w:r w:rsidRPr="0053423A">
              <w:rPr>
                <w:rFonts w:cs="Sylfaen"/>
                <w:sz w:val="20"/>
                <w:szCs w:val="20"/>
                <w:lang w:val="hy-AM"/>
              </w:rPr>
              <w:t>, նախագծանախահաշվային փաստաթղթերի փորձաքննության, շենքերի տեխնիկական վիճակի հետազննության իրականացում</w:t>
            </w:r>
            <w:r w:rsidRPr="0053423A">
              <w:rPr>
                <w:rFonts w:cs="Sylfaen"/>
                <w:sz w:val="20"/>
                <w:szCs w:val="20"/>
                <w:lang w:val="af-ZA"/>
              </w:rPr>
              <w:t xml:space="preserve">, </w:t>
            </w:r>
            <w:r w:rsidRPr="0053423A">
              <w:rPr>
                <w:rFonts w:cs="GHEA Grapalat"/>
                <w:sz w:val="20"/>
                <w:szCs w:val="20"/>
                <w:lang w:val="af-ZA"/>
              </w:rPr>
              <w:t xml:space="preserve">շենքային ոչ բարվոք պայմաններ ունեցող ուսումնական հաստատությունների վերակոմպլեկտավորման կամ այլ հնարավոր լուծումների վերաբերյալ առաջարկությունների մշակում: </w:t>
            </w:r>
          </w:p>
          <w:p w:rsidR="00154773" w:rsidRPr="0053423A" w:rsidRDefault="00154773" w:rsidP="00154773">
            <w:pPr>
              <w:ind w:firstLine="450"/>
              <w:contextualSpacing/>
              <w:jc w:val="both"/>
              <w:rPr>
                <w:rFonts w:cs="Sylfaen"/>
                <w:sz w:val="20"/>
                <w:szCs w:val="20"/>
                <w:lang w:val="af-ZA"/>
              </w:rPr>
            </w:pPr>
          </w:p>
          <w:p w:rsidR="00154773" w:rsidRPr="0053423A" w:rsidRDefault="00154773" w:rsidP="00154773">
            <w:pPr>
              <w:ind w:firstLine="450"/>
              <w:contextualSpacing/>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firstLine="450"/>
              <w:contextualSpacing/>
              <w:jc w:val="both"/>
              <w:rPr>
                <w:rFonts w:cs="Sylfaen"/>
                <w:b/>
                <w:sz w:val="20"/>
                <w:szCs w:val="20"/>
                <w:u w:val="single"/>
                <w:lang w:val="af-ZA"/>
              </w:rPr>
            </w:pPr>
          </w:p>
          <w:p w:rsidR="00154773" w:rsidRPr="0053423A" w:rsidRDefault="00154773" w:rsidP="00154773">
            <w:pPr>
              <w:jc w:val="both"/>
              <w:rPr>
                <w:rFonts w:eastAsia="Times New Roman" w:cs="Times New Roman"/>
                <w:b/>
                <w:sz w:val="20"/>
                <w:szCs w:val="20"/>
                <w:lang w:val="hy-AM"/>
              </w:rPr>
            </w:pPr>
            <w:r w:rsidRPr="0053423A">
              <w:rPr>
                <w:rFonts w:cs="GHEA Grapalat"/>
                <w:color w:val="000000"/>
                <w:sz w:val="20"/>
                <w:szCs w:val="20"/>
                <w:lang w:val="hy-AM"/>
              </w:rPr>
              <w:t>Միջոցառման իրականացման արդյունքում</w:t>
            </w:r>
            <w:r w:rsidRPr="0053423A">
              <w:rPr>
                <w:rFonts w:cs="GHEA Grapalat"/>
                <w:color w:val="000000"/>
                <w:sz w:val="20"/>
                <w:szCs w:val="20"/>
                <w:lang w:val="af-ZA"/>
              </w:rPr>
              <w:t xml:space="preserve"> </w:t>
            </w:r>
            <w:r w:rsidRPr="0053423A">
              <w:rPr>
                <w:rFonts w:cs="GHEA Grapalat"/>
                <w:sz w:val="20"/>
                <w:szCs w:val="20"/>
              </w:rPr>
              <w:t>կունենանք</w:t>
            </w:r>
            <w:r w:rsidRPr="0053423A">
              <w:rPr>
                <w:rFonts w:cs="GHEA Grapalat"/>
                <w:sz w:val="20"/>
                <w:szCs w:val="20"/>
                <w:lang w:val="af-ZA"/>
              </w:rPr>
              <w:t xml:space="preserve"> </w:t>
            </w:r>
            <w:r w:rsidRPr="0053423A">
              <w:rPr>
                <w:rFonts w:cs="GHEA Grapalat"/>
                <w:sz w:val="20"/>
                <w:szCs w:val="20"/>
                <w:lang w:val="ru-RU"/>
              </w:rPr>
              <w:t>ուսումնասիրություն</w:t>
            </w:r>
            <w:r w:rsidRPr="0053423A">
              <w:rPr>
                <w:rFonts w:cs="GHEA Grapalat"/>
                <w:sz w:val="20"/>
                <w:szCs w:val="20"/>
                <w:lang w:val="af-ZA"/>
              </w:rPr>
              <w:t xml:space="preserve">, </w:t>
            </w:r>
            <w:r w:rsidRPr="0053423A">
              <w:rPr>
                <w:rFonts w:cs="GHEA Grapalat"/>
                <w:sz w:val="20"/>
                <w:szCs w:val="20"/>
                <w:lang w:val="ru-RU"/>
              </w:rPr>
              <w:t>որը</w:t>
            </w:r>
            <w:r w:rsidRPr="0053423A">
              <w:rPr>
                <w:rFonts w:cs="GHEA Grapalat"/>
                <w:sz w:val="20"/>
                <w:szCs w:val="20"/>
                <w:lang w:val="af-ZA"/>
              </w:rPr>
              <w:t xml:space="preserve"> </w:t>
            </w:r>
            <w:r w:rsidRPr="0053423A">
              <w:rPr>
                <w:rFonts w:cs="GHEA Grapalat"/>
                <w:sz w:val="20"/>
                <w:szCs w:val="20"/>
                <w:lang w:val="ru-RU"/>
              </w:rPr>
              <w:t>թույլ</w:t>
            </w:r>
            <w:r w:rsidRPr="0053423A">
              <w:rPr>
                <w:rFonts w:cs="GHEA Grapalat"/>
                <w:sz w:val="20"/>
                <w:szCs w:val="20"/>
                <w:lang w:val="af-ZA"/>
              </w:rPr>
              <w:t xml:space="preserve"> </w:t>
            </w:r>
            <w:r w:rsidRPr="0053423A">
              <w:rPr>
                <w:rFonts w:cs="GHEA Grapalat"/>
                <w:sz w:val="20"/>
                <w:szCs w:val="20"/>
                <w:lang w:val="ru-RU"/>
              </w:rPr>
              <w:t>կտա</w:t>
            </w:r>
            <w:r w:rsidRPr="0053423A">
              <w:rPr>
                <w:rFonts w:cs="GHEA Grapalat"/>
                <w:sz w:val="20"/>
                <w:szCs w:val="20"/>
                <w:lang w:val="af-ZA"/>
              </w:rPr>
              <w:t xml:space="preserve"> </w:t>
            </w:r>
            <w:r w:rsidRPr="0053423A">
              <w:rPr>
                <w:rFonts w:cs="GHEA Grapalat"/>
                <w:sz w:val="20"/>
                <w:szCs w:val="20"/>
                <w:lang w:val="ru-RU"/>
              </w:rPr>
              <w:t>առավել</w:t>
            </w:r>
            <w:r w:rsidRPr="0053423A">
              <w:rPr>
                <w:rFonts w:cs="GHEA Grapalat"/>
                <w:sz w:val="20"/>
                <w:szCs w:val="20"/>
                <w:lang w:val="af-ZA"/>
              </w:rPr>
              <w:t xml:space="preserve"> </w:t>
            </w:r>
            <w:r w:rsidRPr="0053423A">
              <w:rPr>
                <w:rFonts w:cs="GHEA Grapalat"/>
                <w:sz w:val="20"/>
                <w:szCs w:val="20"/>
                <w:lang w:val="ru-RU"/>
              </w:rPr>
              <w:t>առարկայական</w:t>
            </w:r>
            <w:r w:rsidRPr="0053423A">
              <w:rPr>
                <w:rFonts w:cs="GHEA Grapalat"/>
                <w:sz w:val="20"/>
                <w:szCs w:val="20"/>
                <w:lang w:val="af-ZA"/>
              </w:rPr>
              <w:t xml:space="preserve"> </w:t>
            </w:r>
            <w:r w:rsidRPr="0053423A">
              <w:rPr>
                <w:rFonts w:cs="GHEA Grapalat"/>
                <w:sz w:val="20"/>
                <w:szCs w:val="20"/>
                <w:lang w:val="ru-RU"/>
              </w:rPr>
              <w:t>պատկերացում</w:t>
            </w:r>
            <w:r w:rsidRPr="0053423A">
              <w:rPr>
                <w:rFonts w:cs="GHEA Grapalat"/>
                <w:sz w:val="20"/>
                <w:szCs w:val="20"/>
                <w:lang w:val="af-ZA"/>
              </w:rPr>
              <w:t xml:space="preserve"> </w:t>
            </w:r>
            <w:r w:rsidRPr="0053423A">
              <w:rPr>
                <w:rFonts w:cs="GHEA Grapalat"/>
                <w:sz w:val="20"/>
                <w:szCs w:val="20"/>
                <w:lang w:val="ru-RU"/>
              </w:rPr>
              <w:t>կազմել</w:t>
            </w:r>
            <w:r w:rsidRPr="0053423A">
              <w:rPr>
                <w:rFonts w:cs="GHEA Grapalat"/>
                <w:sz w:val="20"/>
                <w:szCs w:val="20"/>
                <w:lang w:val="af-ZA"/>
              </w:rPr>
              <w:t xml:space="preserve"> </w:t>
            </w:r>
            <w:r w:rsidRPr="0053423A">
              <w:rPr>
                <w:rFonts w:cs="GHEA Grapalat"/>
                <w:sz w:val="20"/>
                <w:szCs w:val="20"/>
                <w:lang w:val="ru-RU"/>
              </w:rPr>
              <w:t>հանրապետությունում</w:t>
            </w:r>
            <w:r w:rsidRPr="0053423A">
              <w:rPr>
                <w:rFonts w:cs="GHEA Grapalat"/>
                <w:sz w:val="20"/>
                <w:szCs w:val="20"/>
              </w:rPr>
              <w:t>՝</w:t>
            </w:r>
            <w:r w:rsidRPr="0053423A">
              <w:rPr>
                <w:rFonts w:cs="GHEA Grapalat"/>
                <w:sz w:val="20"/>
                <w:szCs w:val="20"/>
                <w:lang w:val="af-ZA"/>
              </w:rPr>
              <w:t xml:space="preserve"> </w:t>
            </w:r>
            <w:r w:rsidRPr="0053423A">
              <w:rPr>
                <w:rFonts w:cs="GHEA Grapalat"/>
                <w:sz w:val="20"/>
                <w:szCs w:val="20"/>
              </w:rPr>
              <w:t>մասնավորապես</w:t>
            </w:r>
            <w:r w:rsidRPr="0053423A">
              <w:rPr>
                <w:rFonts w:cs="GHEA Grapalat"/>
                <w:sz w:val="20"/>
                <w:szCs w:val="20"/>
                <w:lang w:val="af-ZA"/>
              </w:rPr>
              <w:t xml:space="preserve"> </w:t>
            </w:r>
            <w:r w:rsidRPr="0053423A">
              <w:rPr>
                <w:rFonts w:cs="GHEA Grapalat"/>
                <w:sz w:val="20"/>
                <w:szCs w:val="20"/>
              </w:rPr>
              <w:t>մարզերում</w:t>
            </w:r>
            <w:r w:rsidRPr="0053423A">
              <w:rPr>
                <w:rFonts w:cs="GHEA Grapalat"/>
                <w:sz w:val="20"/>
                <w:szCs w:val="20"/>
                <w:lang w:val="af-ZA"/>
              </w:rPr>
              <w:t xml:space="preserve">, </w:t>
            </w:r>
            <w:r w:rsidRPr="0053423A">
              <w:rPr>
                <w:rFonts w:cs="GHEA Grapalat"/>
                <w:sz w:val="20"/>
                <w:szCs w:val="20"/>
                <w:lang w:val="ru-RU"/>
              </w:rPr>
              <w:t>գործող</w:t>
            </w:r>
            <w:r w:rsidRPr="0053423A">
              <w:rPr>
                <w:rFonts w:cs="GHEA Grapalat"/>
                <w:sz w:val="20"/>
                <w:szCs w:val="20"/>
                <w:lang w:val="af-ZA"/>
              </w:rPr>
              <w:t xml:space="preserve"> </w:t>
            </w:r>
            <w:r w:rsidRPr="0053423A">
              <w:rPr>
                <w:rFonts w:cs="GHEA Grapalat"/>
                <w:sz w:val="20"/>
                <w:szCs w:val="20"/>
                <w:lang w:val="ru-RU"/>
              </w:rPr>
              <w:t>ՆՄՄԿ</w:t>
            </w:r>
            <w:r w:rsidRPr="0053423A">
              <w:rPr>
                <w:rFonts w:cs="GHEA Grapalat"/>
                <w:sz w:val="20"/>
                <w:szCs w:val="20"/>
                <w:lang w:val="af-ZA"/>
              </w:rPr>
              <w:t xml:space="preserve"> </w:t>
            </w:r>
            <w:r w:rsidRPr="0053423A">
              <w:rPr>
                <w:rFonts w:cs="GHEA Grapalat"/>
                <w:sz w:val="20"/>
                <w:szCs w:val="20"/>
                <w:lang w:val="ru-RU"/>
              </w:rPr>
              <w:t>ուսումնական</w:t>
            </w:r>
            <w:r w:rsidRPr="0053423A">
              <w:rPr>
                <w:rFonts w:cs="GHEA Grapalat"/>
                <w:sz w:val="20"/>
                <w:szCs w:val="20"/>
                <w:lang w:val="af-ZA"/>
              </w:rPr>
              <w:t xml:space="preserve"> </w:t>
            </w:r>
            <w:r w:rsidRPr="0053423A">
              <w:rPr>
                <w:rFonts w:cs="GHEA Grapalat"/>
                <w:sz w:val="20"/>
                <w:szCs w:val="20"/>
                <w:lang w:val="ru-RU"/>
              </w:rPr>
              <w:t>հաստատությունների</w:t>
            </w:r>
            <w:r w:rsidRPr="0053423A">
              <w:rPr>
                <w:rFonts w:cs="GHEA Grapalat"/>
                <w:sz w:val="20"/>
                <w:szCs w:val="20"/>
                <w:lang w:val="af-ZA"/>
              </w:rPr>
              <w:t xml:space="preserve"> </w:t>
            </w:r>
            <w:r w:rsidRPr="0053423A">
              <w:rPr>
                <w:rFonts w:cs="GHEA Grapalat"/>
                <w:sz w:val="20"/>
                <w:szCs w:val="20"/>
                <w:lang w:val="ru-RU"/>
              </w:rPr>
              <w:t>շենքային</w:t>
            </w:r>
            <w:r w:rsidRPr="0053423A">
              <w:rPr>
                <w:rFonts w:cs="GHEA Grapalat"/>
                <w:sz w:val="20"/>
                <w:szCs w:val="20"/>
                <w:lang w:val="af-ZA"/>
              </w:rPr>
              <w:t xml:space="preserve"> </w:t>
            </w:r>
            <w:r w:rsidRPr="0053423A">
              <w:rPr>
                <w:rFonts w:cs="GHEA Grapalat"/>
                <w:sz w:val="20"/>
                <w:szCs w:val="20"/>
                <w:lang w:val="ru-RU"/>
              </w:rPr>
              <w:t>պայմանների</w:t>
            </w:r>
            <w:r w:rsidRPr="0053423A">
              <w:rPr>
                <w:rFonts w:cs="GHEA Grapalat"/>
                <w:sz w:val="20"/>
                <w:szCs w:val="20"/>
                <w:lang w:val="af-ZA"/>
              </w:rPr>
              <w:t xml:space="preserve"> </w:t>
            </w:r>
            <w:r w:rsidRPr="0053423A">
              <w:rPr>
                <w:rFonts w:cs="GHEA Grapalat"/>
                <w:sz w:val="20"/>
                <w:szCs w:val="20"/>
                <w:lang w:val="ru-RU"/>
              </w:rPr>
              <w:t>և</w:t>
            </w:r>
            <w:r w:rsidRPr="0053423A">
              <w:rPr>
                <w:rFonts w:cs="GHEA Grapalat"/>
                <w:sz w:val="20"/>
                <w:szCs w:val="20"/>
                <w:lang w:val="af-ZA"/>
              </w:rPr>
              <w:t xml:space="preserve"> </w:t>
            </w:r>
            <w:r w:rsidRPr="0053423A">
              <w:rPr>
                <w:rFonts w:cs="GHEA Grapalat"/>
                <w:sz w:val="20"/>
                <w:szCs w:val="20"/>
                <w:lang w:val="ru-RU"/>
              </w:rPr>
              <w:t>ենթակառուցվքածների</w:t>
            </w:r>
            <w:r w:rsidRPr="0053423A">
              <w:rPr>
                <w:rFonts w:cs="GHEA Grapalat"/>
                <w:sz w:val="20"/>
                <w:szCs w:val="20"/>
                <w:lang w:val="af-ZA"/>
              </w:rPr>
              <w:t xml:space="preserve"> </w:t>
            </w:r>
            <w:r w:rsidRPr="0053423A">
              <w:rPr>
                <w:rFonts w:cs="GHEA Grapalat"/>
                <w:sz w:val="20"/>
                <w:szCs w:val="20"/>
              </w:rPr>
              <w:t>ներկայիս</w:t>
            </w:r>
            <w:r w:rsidRPr="0053423A">
              <w:rPr>
                <w:rFonts w:cs="GHEA Grapalat"/>
                <w:sz w:val="20"/>
                <w:szCs w:val="20"/>
                <w:lang w:val="af-ZA"/>
              </w:rPr>
              <w:t xml:space="preserve"> </w:t>
            </w:r>
            <w:r w:rsidRPr="0053423A">
              <w:rPr>
                <w:rFonts w:cs="GHEA Grapalat"/>
                <w:sz w:val="20"/>
                <w:szCs w:val="20"/>
                <w:lang w:val="ru-RU"/>
              </w:rPr>
              <w:t>վիճակի</w:t>
            </w:r>
            <w:r w:rsidRPr="0053423A">
              <w:rPr>
                <w:rFonts w:cs="GHEA Grapalat"/>
                <w:sz w:val="20"/>
                <w:szCs w:val="20"/>
                <w:lang w:val="af-ZA"/>
              </w:rPr>
              <w:t xml:space="preserve"> </w:t>
            </w:r>
            <w:r w:rsidRPr="0053423A">
              <w:rPr>
                <w:rFonts w:cs="GHEA Grapalat"/>
                <w:sz w:val="20"/>
                <w:szCs w:val="20"/>
                <w:lang w:val="ru-RU"/>
              </w:rPr>
              <w:t>մասին</w:t>
            </w:r>
            <w:r w:rsidRPr="0053423A">
              <w:rPr>
                <w:rFonts w:cs="GHEA Grapalat"/>
                <w:sz w:val="20"/>
                <w:szCs w:val="20"/>
                <w:lang w:val="af-ZA"/>
              </w:rPr>
              <w:t>, ՆՄՄԿ ուսումնական հաստատությունների վերանորոգման գործընթացն իրականացնելիս առաջնորդվել համապատասխան աշխատանքային խմբի կողմից ձևավորված վերանորոգման ենթակա ՆՄՄԿ ուսումնական հաստատությունների առաջնահերթության ժամանակացույցով, ունենալ շինարարական աշխատանքների իրականացման համար անհրաժեշտ ֆինանսական միջոցների ճշտգրիտ չափը:</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ind w:firstLine="450"/>
              <w:contextualSpacing/>
              <w:jc w:val="center"/>
              <w:rPr>
                <w:rFonts w:cs="Sylfaen"/>
                <w:b/>
                <w:sz w:val="20"/>
                <w:szCs w:val="20"/>
                <w:u w:val="single"/>
                <w:lang w:val="af-ZA"/>
              </w:rPr>
            </w:pPr>
            <w:r w:rsidRPr="0053423A">
              <w:rPr>
                <w:rFonts w:eastAsia="Calibri" w:cs="GHEA Grapalat"/>
                <w:b/>
                <w:color w:val="000000"/>
                <w:sz w:val="20"/>
                <w:szCs w:val="20"/>
                <w:u w:val="single"/>
                <w:lang w:val="af-ZA"/>
              </w:rPr>
              <w:t>21.2</w:t>
            </w:r>
            <w:r w:rsidRPr="0053423A">
              <w:rPr>
                <w:rFonts w:cs="Sylfaen"/>
                <w:b/>
                <w:sz w:val="20"/>
                <w:szCs w:val="20"/>
                <w:u w:val="single"/>
                <w:lang w:val="af-ZA"/>
              </w:rPr>
              <w:t xml:space="preserve"> ՆՄՄԿ ուսումնական հաստատությունների վերակառուցում, վերանորոգում</w:t>
            </w:r>
          </w:p>
          <w:p w:rsidR="00154773" w:rsidRPr="0053423A" w:rsidRDefault="00154773" w:rsidP="00154773">
            <w:pPr>
              <w:ind w:firstLine="450"/>
              <w:contextualSpacing/>
              <w:jc w:val="both"/>
              <w:rPr>
                <w:rFonts w:cs="Sylfaen"/>
                <w:b/>
                <w:sz w:val="20"/>
                <w:szCs w:val="20"/>
                <w:u w:val="single"/>
                <w:lang w:val="af-ZA"/>
              </w:rPr>
            </w:pPr>
          </w:p>
          <w:p w:rsidR="00154773" w:rsidRPr="0053423A" w:rsidRDefault="00154773" w:rsidP="00154773">
            <w:pPr>
              <w:spacing w:line="360" w:lineRule="auto"/>
              <w:ind w:left="450"/>
              <w:contextualSpacing/>
              <w:jc w:val="both"/>
              <w:rPr>
                <w:rFonts w:eastAsia="Times New Roman" w:cs="Times New Roman"/>
                <w:b/>
                <w:sz w:val="20"/>
                <w:szCs w:val="20"/>
                <w:lang w:val="af-ZA"/>
              </w:rPr>
            </w:pPr>
            <w:r w:rsidRPr="0053423A">
              <w:rPr>
                <w:rFonts w:cs="Sylfaen"/>
                <w:b/>
                <w:sz w:val="20"/>
                <w:szCs w:val="20"/>
                <w:lang w:val="af-ZA"/>
              </w:rPr>
              <w:t>1.</w:t>
            </w:r>
            <w:r w:rsidRPr="0053423A">
              <w:rPr>
                <w:rFonts w:cs="Sylfaen"/>
                <w:b/>
                <w:sz w:val="20"/>
                <w:szCs w:val="20"/>
                <w:lang w:val="hy-AM"/>
              </w:rPr>
              <w:t>Միջոցառման</w:t>
            </w:r>
            <w:r w:rsidRPr="0053423A">
              <w:rPr>
                <w:b/>
                <w:sz w:val="20"/>
                <w:szCs w:val="20"/>
                <w:lang w:val="et-EE"/>
              </w:rPr>
              <w:t xml:space="preserve"> </w:t>
            </w:r>
            <w:r w:rsidRPr="0053423A">
              <w:rPr>
                <w:b/>
                <w:sz w:val="20"/>
                <w:szCs w:val="20"/>
                <w:lang w:val="hy-AM"/>
              </w:rPr>
              <w:t>իրականացման</w:t>
            </w:r>
            <w:r w:rsidRPr="0053423A">
              <w:rPr>
                <w:b/>
                <w:sz w:val="20"/>
                <w:szCs w:val="20"/>
                <w:lang w:val="et-EE"/>
              </w:rPr>
              <w:t xml:space="preserve"> </w:t>
            </w:r>
            <w:r w:rsidRPr="0053423A">
              <w:rPr>
                <w:b/>
                <w:sz w:val="20"/>
                <w:szCs w:val="20"/>
                <w:lang w:val="hy-AM"/>
              </w:rPr>
              <w:t>անհրաժեշտությունը</w:t>
            </w:r>
            <w:r w:rsidRPr="0053423A">
              <w:rPr>
                <w:b/>
                <w:sz w:val="20"/>
                <w:szCs w:val="20"/>
                <w:lang w:val="af-ZA"/>
              </w:rPr>
              <w:t xml:space="preserve"> </w:t>
            </w:r>
            <w:r w:rsidRPr="0053423A">
              <w:rPr>
                <w:b/>
                <w:sz w:val="20"/>
                <w:szCs w:val="20"/>
                <w:lang w:val="et-EE"/>
              </w:rPr>
              <w:t xml:space="preserve"> </w:t>
            </w:r>
            <w:r w:rsidRPr="0053423A">
              <w:rPr>
                <w:b/>
                <w:sz w:val="20"/>
                <w:szCs w:val="20"/>
                <w:lang w:val="hy-AM"/>
              </w:rPr>
              <w:t>և</w:t>
            </w:r>
            <w:r w:rsidRPr="0053423A">
              <w:rPr>
                <w:b/>
                <w:sz w:val="20"/>
                <w:szCs w:val="20"/>
                <w:lang w:val="et-EE"/>
              </w:rPr>
              <w:t xml:space="preserve">  </w:t>
            </w:r>
            <w:r w:rsidRPr="0053423A">
              <w:rPr>
                <w:b/>
                <w:sz w:val="20"/>
                <w:szCs w:val="20"/>
                <w:lang w:val="hy-AM"/>
              </w:rPr>
              <w:t>նպատակը</w:t>
            </w:r>
          </w:p>
          <w:p w:rsidR="00154773" w:rsidRPr="0053423A" w:rsidRDefault="00154773" w:rsidP="00154773">
            <w:pPr>
              <w:ind w:firstLine="450"/>
              <w:contextualSpacing/>
              <w:jc w:val="both"/>
              <w:rPr>
                <w:rFonts w:eastAsia="Times New Roman" w:cs="Times New Roman"/>
                <w:b/>
                <w:sz w:val="20"/>
                <w:szCs w:val="20"/>
                <w:u w:val="single"/>
                <w:lang w:val="af-ZA"/>
              </w:rPr>
            </w:pPr>
          </w:p>
          <w:p w:rsidR="00154773" w:rsidRPr="0053423A" w:rsidRDefault="00154773" w:rsidP="00154773">
            <w:pPr>
              <w:ind w:firstLine="450"/>
              <w:contextualSpacing/>
              <w:jc w:val="both"/>
              <w:rPr>
                <w:rFonts w:eastAsia="Calibri" w:cs="Sylfaen"/>
                <w:sz w:val="20"/>
                <w:szCs w:val="20"/>
                <w:lang w:val="af-ZA"/>
              </w:rPr>
            </w:pPr>
            <w:r w:rsidRPr="0053423A">
              <w:rPr>
                <w:rFonts w:eastAsia="Calibri" w:cs="Sylfaen"/>
                <w:sz w:val="20"/>
                <w:szCs w:val="20"/>
                <w:lang w:val="en-GB"/>
              </w:rPr>
              <w:t>Միջոցառման</w:t>
            </w:r>
            <w:r w:rsidRPr="0053423A">
              <w:rPr>
                <w:rFonts w:eastAsia="Calibri" w:cs="Sylfaen"/>
                <w:sz w:val="20"/>
                <w:szCs w:val="20"/>
                <w:lang w:val="af-ZA"/>
              </w:rPr>
              <w:t xml:space="preserve"> </w:t>
            </w:r>
            <w:r w:rsidRPr="0053423A">
              <w:rPr>
                <w:rFonts w:eastAsia="Calibri" w:cs="Sylfaen"/>
                <w:sz w:val="20"/>
                <w:szCs w:val="20"/>
                <w:lang w:val="en-GB"/>
              </w:rPr>
              <w:t>գլխավոր</w:t>
            </w:r>
            <w:r w:rsidRPr="0053423A">
              <w:rPr>
                <w:rFonts w:eastAsia="Calibri" w:cs="Sylfaen"/>
                <w:sz w:val="20"/>
                <w:szCs w:val="20"/>
                <w:lang w:val="af-ZA"/>
              </w:rPr>
              <w:t xml:space="preserve"> </w:t>
            </w:r>
            <w:r w:rsidRPr="0053423A">
              <w:rPr>
                <w:rFonts w:eastAsia="Calibri" w:cs="Sylfaen"/>
                <w:sz w:val="20"/>
                <w:szCs w:val="20"/>
                <w:lang w:val="en-GB"/>
              </w:rPr>
              <w:t>նպատակն</w:t>
            </w:r>
            <w:r w:rsidRPr="0053423A">
              <w:rPr>
                <w:rFonts w:eastAsia="Calibri" w:cs="Sylfaen"/>
                <w:sz w:val="20"/>
                <w:szCs w:val="20"/>
                <w:lang w:val="af-ZA"/>
              </w:rPr>
              <w:t xml:space="preserve"> </w:t>
            </w:r>
            <w:r w:rsidRPr="0053423A">
              <w:rPr>
                <w:rFonts w:eastAsia="Calibri" w:cs="Sylfaen"/>
                <w:sz w:val="20"/>
                <w:szCs w:val="20"/>
                <w:lang w:val="en-GB"/>
              </w:rPr>
              <w:t>է</w:t>
            </w:r>
            <w:r w:rsidRPr="0053423A">
              <w:rPr>
                <w:rFonts w:eastAsia="Calibri" w:cs="Sylfaen"/>
                <w:sz w:val="20"/>
                <w:szCs w:val="20"/>
                <w:lang w:val="af-ZA"/>
              </w:rPr>
              <w:t xml:space="preserve"> </w:t>
            </w:r>
            <w:r w:rsidRPr="0053423A">
              <w:rPr>
                <w:rFonts w:eastAsia="Calibri" w:cs="Sylfaen"/>
                <w:sz w:val="20"/>
                <w:szCs w:val="20"/>
                <w:lang w:val="en-GB"/>
              </w:rPr>
              <w:t>ուսումնական</w:t>
            </w:r>
            <w:r w:rsidRPr="0053423A">
              <w:rPr>
                <w:rFonts w:eastAsia="Calibri" w:cs="Sylfaen"/>
                <w:sz w:val="20"/>
                <w:szCs w:val="20"/>
                <w:lang w:val="af-ZA"/>
              </w:rPr>
              <w:t xml:space="preserve"> </w:t>
            </w:r>
            <w:r w:rsidRPr="0053423A">
              <w:rPr>
                <w:rFonts w:eastAsia="Calibri" w:cs="Sylfaen"/>
                <w:sz w:val="20"/>
                <w:szCs w:val="20"/>
                <w:lang w:val="en-GB"/>
              </w:rPr>
              <w:t>հաստատությունների</w:t>
            </w:r>
            <w:r w:rsidRPr="0053423A">
              <w:rPr>
                <w:rFonts w:eastAsia="Calibri" w:cs="Sylfaen"/>
                <w:sz w:val="20"/>
                <w:szCs w:val="20"/>
                <w:lang w:val="af-ZA"/>
              </w:rPr>
              <w:t xml:space="preserve"> </w:t>
            </w:r>
            <w:r w:rsidRPr="0053423A">
              <w:rPr>
                <w:rFonts w:eastAsia="Calibri" w:cs="Sylfaen"/>
                <w:sz w:val="20"/>
                <w:szCs w:val="20"/>
                <w:lang w:val="en-GB"/>
              </w:rPr>
              <w:t>շենքային</w:t>
            </w:r>
            <w:r w:rsidRPr="0053423A">
              <w:rPr>
                <w:rFonts w:eastAsia="Calibri" w:cs="Sylfaen"/>
                <w:sz w:val="20"/>
                <w:szCs w:val="20"/>
                <w:lang w:val="af-ZA"/>
              </w:rPr>
              <w:t xml:space="preserve"> </w:t>
            </w:r>
            <w:r w:rsidRPr="0053423A">
              <w:rPr>
                <w:rFonts w:eastAsia="Calibri" w:cs="Sylfaen"/>
                <w:sz w:val="20"/>
                <w:szCs w:val="20"/>
                <w:lang w:val="en-GB"/>
              </w:rPr>
              <w:t>պայմանների</w:t>
            </w:r>
            <w:r w:rsidRPr="0053423A">
              <w:rPr>
                <w:rFonts w:eastAsia="Calibri" w:cs="Sylfaen"/>
                <w:sz w:val="20"/>
                <w:szCs w:val="20"/>
                <w:lang w:val="af-ZA"/>
              </w:rPr>
              <w:t xml:space="preserve"> </w:t>
            </w:r>
            <w:r w:rsidRPr="0053423A">
              <w:rPr>
                <w:rFonts w:eastAsia="Calibri" w:cs="Sylfaen"/>
                <w:sz w:val="20"/>
                <w:szCs w:val="20"/>
                <w:lang w:val="en-GB"/>
              </w:rPr>
              <w:t>բարելավումը</w:t>
            </w:r>
            <w:r w:rsidRPr="0053423A">
              <w:rPr>
                <w:rFonts w:eastAsia="Calibri" w:cs="Sylfaen"/>
                <w:sz w:val="20"/>
                <w:szCs w:val="20"/>
                <w:lang w:val="af-ZA"/>
              </w:rPr>
              <w:t xml:space="preserve"> </w:t>
            </w:r>
            <w:r w:rsidRPr="0053423A">
              <w:rPr>
                <w:rFonts w:eastAsia="Calibri" w:cs="Sylfaen"/>
                <w:sz w:val="20"/>
                <w:szCs w:val="20"/>
                <w:lang w:val="en-GB"/>
              </w:rPr>
              <w:t>և</w:t>
            </w:r>
            <w:r w:rsidRPr="0053423A">
              <w:rPr>
                <w:rFonts w:eastAsia="Calibri" w:cs="Sylfaen"/>
                <w:sz w:val="20"/>
                <w:szCs w:val="20"/>
                <w:lang w:val="af-ZA"/>
              </w:rPr>
              <w:t xml:space="preserve"> </w:t>
            </w:r>
            <w:r w:rsidRPr="0053423A">
              <w:rPr>
                <w:rFonts w:eastAsia="Calibri" w:cs="Sylfaen"/>
                <w:sz w:val="20"/>
                <w:szCs w:val="20"/>
                <w:lang w:val="en-GB"/>
              </w:rPr>
              <w:t>սպառնացող</w:t>
            </w:r>
            <w:r w:rsidRPr="0053423A">
              <w:rPr>
                <w:rFonts w:eastAsia="Calibri" w:cs="Sylfaen"/>
                <w:sz w:val="20"/>
                <w:szCs w:val="20"/>
                <w:lang w:val="af-ZA"/>
              </w:rPr>
              <w:t xml:space="preserve"> </w:t>
            </w:r>
            <w:r w:rsidRPr="0053423A">
              <w:rPr>
                <w:rFonts w:eastAsia="Calibri" w:cs="Sylfaen"/>
                <w:sz w:val="20"/>
                <w:szCs w:val="20"/>
                <w:lang w:val="en-GB"/>
              </w:rPr>
              <w:t>աղետների</w:t>
            </w:r>
            <w:r w:rsidRPr="0053423A">
              <w:rPr>
                <w:rFonts w:eastAsia="Calibri" w:cs="Sylfaen"/>
                <w:sz w:val="20"/>
                <w:szCs w:val="20"/>
                <w:lang w:val="af-ZA"/>
              </w:rPr>
              <w:t xml:space="preserve"> </w:t>
            </w:r>
            <w:r w:rsidRPr="0053423A">
              <w:rPr>
                <w:rFonts w:eastAsia="Calibri" w:cs="Sylfaen"/>
                <w:sz w:val="20"/>
                <w:szCs w:val="20"/>
                <w:lang w:val="en-GB"/>
              </w:rPr>
              <w:t>ռիսկի</w:t>
            </w:r>
            <w:r w:rsidRPr="0053423A">
              <w:rPr>
                <w:rFonts w:eastAsia="Calibri" w:cs="Sylfaen"/>
                <w:sz w:val="20"/>
                <w:szCs w:val="20"/>
                <w:lang w:val="af-ZA"/>
              </w:rPr>
              <w:t xml:space="preserve"> </w:t>
            </w:r>
            <w:r w:rsidRPr="0053423A">
              <w:rPr>
                <w:rFonts w:eastAsia="Calibri" w:cs="Sylfaen"/>
                <w:sz w:val="20"/>
                <w:szCs w:val="20"/>
                <w:lang w:val="en-GB"/>
              </w:rPr>
              <w:t>կառավարման</w:t>
            </w:r>
            <w:r w:rsidRPr="0053423A">
              <w:rPr>
                <w:rFonts w:eastAsia="Calibri" w:cs="Sylfaen"/>
                <w:sz w:val="20"/>
                <w:szCs w:val="20"/>
                <w:lang w:val="af-ZA"/>
              </w:rPr>
              <w:t xml:space="preserve"> </w:t>
            </w:r>
            <w:r w:rsidRPr="0053423A">
              <w:rPr>
                <w:rFonts w:eastAsia="Calibri" w:cs="Sylfaen"/>
                <w:sz w:val="20"/>
                <w:szCs w:val="20"/>
                <w:lang w:val="en-GB"/>
              </w:rPr>
              <w:t>կարողությունների</w:t>
            </w:r>
            <w:r w:rsidRPr="0053423A">
              <w:rPr>
                <w:rFonts w:eastAsia="Calibri" w:cs="Sylfaen"/>
                <w:sz w:val="20"/>
                <w:szCs w:val="20"/>
                <w:lang w:val="af-ZA"/>
              </w:rPr>
              <w:t xml:space="preserve"> </w:t>
            </w:r>
            <w:r w:rsidRPr="0053423A">
              <w:rPr>
                <w:rFonts w:eastAsia="Calibri" w:cs="Sylfaen"/>
                <w:sz w:val="20"/>
                <w:szCs w:val="20"/>
                <w:lang w:val="en-GB"/>
              </w:rPr>
              <w:t>հզորացումը</w:t>
            </w:r>
            <w:r w:rsidRPr="0053423A">
              <w:rPr>
                <w:rFonts w:eastAsia="Calibri" w:cs="Sylfaen"/>
                <w:sz w:val="20"/>
                <w:szCs w:val="20"/>
                <w:lang w:val="af-ZA"/>
              </w:rPr>
              <w:t>:</w:t>
            </w:r>
          </w:p>
          <w:p w:rsidR="00154773" w:rsidRPr="0053423A" w:rsidRDefault="00154773" w:rsidP="00154773">
            <w:pPr>
              <w:ind w:firstLine="450"/>
              <w:contextualSpacing/>
              <w:jc w:val="both"/>
              <w:rPr>
                <w:b/>
                <w:sz w:val="20"/>
                <w:szCs w:val="20"/>
                <w:u w:val="single"/>
                <w:lang w:val="hy-AM"/>
              </w:rPr>
            </w:pPr>
            <w:r w:rsidRPr="0053423A">
              <w:rPr>
                <w:rFonts w:eastAsia="Times New Roman" w:cs="Times New Roman"/>
                <w:sz w:val="20"/>
                <w:szCs w:val="20"/>
                <w:lang w:val="hy-AM"/>
              </w:rPr>
              <w:t xml:space="preserve">Միջոցառման իրականացման անհրաժեշտությունը պայմանավորված է </w:t>
            </w:r>
            <w:r w:rsidRPr="0053423A">
              <w:rPr>
                <w:rFonts w:cs="Arial"/>
                <w:color w:val="000000"/>
                <w:sz w:val="20"/>
                <w:szCs w:val="20"/>
                <w:lang w:val="hy-AM"/>
              </w:rPr>
              <w:t>ՀՀ</w:t>
            </w:r>
            <w:r w:rsidRPr="0053423A">
              <w:rPr>
                <w:rFonts w:cs="Arial"/>
                <w:color w:val="000000"/>
                <w:sz w:val="20"/>
                <w:szCs w:val="20"/>
                <w:lang w:val="af-ZA"/>
              </w:rPr>
              <w:t xml:space="preserve"> </w:t>
            </w:r>
            <w:r w:rsidRPr="0053423A">
              <w:rPr>
                <w:rFonts w:cs="Arial"/>
                <w:color w:val="000000"/>
                <w:sz w:val="20"/>
                <w:szCs w:val="20"/>
                <w:lang w:val="hy-AM"/>
              </w:rPr>
              <w:t>կառավարության</w:t>
            </w:r>
            <w:r w:rsidRPr="0053423A">
              <w:rPr>
                <w:rFonts w:cs="Arial"/>
                <w:color w:val="000000"/>
                <w:sz w:val="20"/>
                <w:szCs w:val="20"/>
                <w:lang w:val="af-ZA"/>
              </w:rPr>
              <w:t xml:space="preserve"> 2019</w:t>
            </w:r>
            <w:r w:rsidRPr="0053423A">
              <w:rPr>
                <w:rFonts w:cs="Arial"/>
                <w:color w:val="000000"/>
                <w:sz w:val="20"/>
                <w:szCs w:val="20"/>
                <w:lang w:val="hy-AM"/>
              </w:rPr>
              <w:t>թ</w:t>
            </w:r>
            <w:r w:rsidRPr="0053423A">
              <w:rPr>
                <w:rFonts w:cs="Arial"/>
                <w:color w:val="000000"/>
                <w:sz w:val="20"/>
                <w:szCs w:val="20"/>
                <w:lang w:val="af-ZA"/>
              </w:rPr>
              <w:t xml:space="preserve">. ծրագրի 4-րդ գլխի 4.4 կետով (5-րդ պարբերություն), </w:t>
            </w:r>
            <w:r w:rsidRPr="0053423A">
              <w:rPr>
                <w:sz w:val="20"/>
                <w:szCs w:val="20"/>
                <w:lang w:val="hy-AM"/>
              </w:rPr>
              <w:t xml:space="preserve">&lt;&lt;Նախնական մասնագիտական (արհեստագործական) և միջին մասնագիտական կրթության մասին&gt;&gt; ՀՀ օրենքի </w:t>
            </w:r>
            <w:r w:rsidRPr="0053423A">
              <w:rPr>
                <w:sz w:val="20"/>
                <w:szCs w:val="20"/>
                <w:lang w:val="af-ZA"/>
              </w:rPr>
              <w:t>23-</w:t>
            </w:r>
            <w:r w:rsidRPr="0053423A">
              <w:rPr>
                <w:sz w:val="20"/>
                <w:szCs w:val="20"/>
                <w:lang w:val="hy-AM"/>
              </w:rPr>
              <w:t>րդ հոդվածի 1-ին</w:t>
            </w:r>
            <w:r w:rsidRPr="0053423A">
              <w:rPr>
                <w:sz w:val="20"/>
                <w:szCs w:val="20"/>
                <w:lang w:val="af-ZA"/>
              </w:rPr>
              <w:t xml:space="preserve"> </w:t>
            </w:r>
            <w:r w:rsidRPr="0053423A">
              <w:rPr>
                <w:sz w:val="20"/>
                <w:szCs w:val="20"/>
                <w:lang w:val="hy-AM"/>
              </w:rPr>
              <w:t>կետով:</w:t>
            </w:r>
          </w:p>
          <w:p w:rsidR="00154773" w:rsidRPr="0053423A" w:rsidRDefault="00154773" w:rsidP="00154773">
            <w:pPr>
              <w:ind w:firstLine="450"/>
              <w:contextualSpacing/>
              <w:jc w:val="both"/>
              <w:rPr>
                <w:rFonts w:cs="Sylfaen"/>
                <w:sz w:val="20"/>
                <w:szCs w:val="20"/>
                <w:lang w:val="hy-AM"/>
              </w:rPr>
            </w:pPr>
            <w:r w:rsidRPr="0053423A">
              <w:rPr>
                <w:rFonts w:cs="Sylfaen"/>
                <w:sz w:val="20"/>
                <w:szCs w:val="20"/>
                <w:lang w:val="hy-AM"/>
              </w:rPr>
              <w:t>Վերջին տարիներին ՆՄՄԿ ուսումնական հաստատությունների վերակառուցման, վերանորոգման ուղղությամբ էական փոփոխություններ չեն կատարվել: Ուսումնական հաստատությունների ակնհայտ անմխիթար վիճակը հանգեցնում է տնտեսության պահանջների անհամապատասխանության, որն իր հերթին վտանգում է կրթության որակի և արդյունավետության ապահովումը:</w:t>
            </w:r>
            <w:r w:rsidRPr="0053423A">
              <w:rPr>
                <w:rFonts w:cs="Sylfaen"/>
                <w:sz w:val="20"/>
                <w:szCs w:val="20"/>
                <w:lang w:val="af-ZA"/>
              </w:rPr>
              <w:t xml:space="preserve"> </w:t>
            </w:r>
            <w:r w:rsidRPr="0053423A">
              <w:rPr>
                <w:rFonts w:cs="Sylfaen"/>
                <w:sz w:val="20"/>
                <w:szCs w:val="20"/>
                <w:lang w:val="hy-AM"/>
              </w:rPr>
              <w:t>Հ</w:t>
            </w:r>
            <w:r w:rsidRPr="0053423A">
              <w:rPr>
                <w:rFonts w:cs="GHEA Grapalat"/>
                <w:color w:val="000000"/>
                <w:sz w:val="20"/>
                <w:szCs w:val="20"/>
                <w:lang w:val="hy-AM"/>
              </w:rPr>
              <w:t>ամապատասխան կրթական միջավայրի</w:t>
            </w:r>
            <w:r w:rsidRPr="0053423A">
              <w:rPr>
                <w:rFonts w:cs="GHEA Grapalat"/>
                <w:color w:val="000000"/>
                <w:sz w:val="20"/>
                <w:szCs w:val="20"/>
                <w:lang w:val="af-ZA"/>
              </w:rPr>
              <w:t xml:space="preserve"> </w:t>
            </w:r>
            <w:r w:rsidRPr="0053423A">
              <w:rPr>
                <w:rFonts w:cs="GHEA Grapalat"/>
                <w:color w:val="000000"/>
                <w:sz w:val="20"/>
                <w:szCs w:val="20"/>
                <w:lang w:val="hy-AM"/>
              </w:rPr>
              <w:t>ստեղծումը</w:t>
            </w:r>
            <w:r w:rsidRPr="0053423A">
              <w:rPr>
                <w:rFonts w:cs="GHEA Grapalat"/>
                <w:color w:val="000000"/>
                <w:sz w:val="20"/>
                <w:szCs w:val="20"/>
                <w:lang w:val="af-ZA"/>
              </w:rPr>
              <w:t xml:space="preserve"> </w:t>
            </w:r>
            <w:r w:rsidRPr="0053423A">
              <w:rPr>
                <w:rFonts w:cs="GHEA Grapalat"/>
                <w:color w:val="000000"/>
                <w:sz w:val="20"/>
                <w:szCs w:val="20"/>
                <w:lang w:val="hy-AM"/>
              </w:rPr>
              <w:t>կնպաստի</w:t>
            </w:r>
            <w:r w:rsidRPr="0053423A">
              <w:rPr>
                <w:rFonts w:cs="Sylfaen"/>
                <w:sz w:val="20"/>
                <w:szCs w:val="20"/>
                <w:lang w:val="hy-AM"/>
              </w:rPr>
              <w:t xml:space="preserve"> համակարգի շարունակական զարգացմանը, ՆՄՄԿ ոլորտում մասնագիտական կրթության և ուսուցման արդիականացմանը, մասնավորապես, մասնագիտական ներուժի կարողությունների հզորացմանը, մասնագիտական կրթության և ուսուցման հեղինակության և վարկանիշի բարձրացմանը:</w:t>
            </w:r>
          </w:p>
          <w:p w:rsidR="00154773" w:rsidRPr="0053423A" w:rsidRDefault="00154773" w:rsidP="00154773">
            <w:pPr>
              <w:ind w:firstLine="450"/>
              <w:contextualSpacing/>
              <w:rPr>
                <w:rFonts w:cs="Sylfaen"/>
                <w:sz w:val="20"/>
                <w:szCs w:val="20"/>
                <w:lang w:val="hy-AM"/>
              </w:rPr>
            </w:pPr>
          </w:p>
          <w:p w:rsidR="00154773" w:rsidRPr="0053423A" w:rsidRDefault="00154773" w:rsidP="00154773">
            <w:pPr>
              <w:ind w:firstLine="450"/>
              <w:contextualSpacing/>
              <w:jc w:val="both"/>
              <w:rPr>
                <w:b/>
                <w:sz w:val="20"/>
                <w:szCs w:val="20"/>
                <w:lang w:val="af-ZA"/>
              </w:rPr>
            </w:pPr>
            <w:r w:rsidRPr="0053423A">
              <w:rPr>
                <w:b/>
                <w:sz w:val="20"/>
                <w:szCs w:val="20"/>
                <w:lang w:val="hy-AM"/>
              </w:rPr>
              <w:t>1.1.  Կարգավորման հարաբերությունների</w:t>
            </w:r>
            <w:r w:rsidRPr="0053423A">
              <w:rPr>
                <w:b/>
                <w:sz w:val="20"/>
                <w:szCs w:val="20"/>
                <w:lang w:val="af-ZA"/>
              </w:rPr>
              <w:t xml:space="preserve"> </w:t>
            </w:r>
            <w:r w:rsidRPr="0053423A">
              <w:rPr>
                <w:b/>
                <w:sz w:val="20"/>
                <w:szCs w:val="20"/>
                <w:lang w:val="hy-AM"/>
              </w:rPr>
              <w:t>ներկա վիճակը և առկա խնդիրները</w:t>
            </w:r>
            <w:r w:rsidRPr="0053423A">
              <w:rPr>
                <w:b/>
                <w:sz w:val="20"/>
                <w:szCs w:val="20"/>
                <w:lang w:val="af-ZA"/>
              </w:rPr>
              <w:t>.</w:t>
            </w:r>
          </w:p>
          <w:p w:rsidR="00154773" w:rsidRPr="0053423A" w:rsidRDefault="00154773" w:rsidP="00154773">
            <w:pPr>
              <w:shd w:val="clear" w:color="auto" w:fill="FFFFFF"/>
              <w:tabs>
                <w:tab w:val="left" w:pos="1560"/>
                <w:tab w:val="left" w:pos="2694"/>
                <w:tab w:val="left" w:pos="2977"/>
              </w:tabs>
              <w:ind w:firstLine="450"/>
              <w:jc w:val="both"/>
              <w:rPr>
                <w:rFonts w:eastAsia="Times New Roman" w:cs="Sylfaen"/>
                <w:b/>
                <w:sz w:val="20"/>
                <w:szCs w:val="20"/>
                <w:u w:val="single"/>
                <w:lang w:val="af-ZA"/>
              </w:rPr>
            </w:pPr>
          </w:p>
          <w:p w:rsidR="00154773" w:rsidRPr="0053423A" w:rsidRDefault="00154773" w:rsidP="00154773">
            <w:pPr>
              <w:autoSpaceDE w:val="0"/>
              <w:autoSpaceDN w:val="0"/>
              <w:adjustRightInd w:val="0"/>
              <w:ind w:firstLine="450"/>
              <w:contextualSpacing/>
              <w:jc w:val="both"/>
              <w:rPr>
                <w:b/>
                <w:sz w:val="20"/>
                <w:szCs w:val="20"/>
                <w:u w:val="single"/>
                <w:lang w:val="hy-AM"/>
              </w:rPr>
            </w:pPr>
            <w:r w:rsidRPr="0053423A">
              <w:rPr>
                <w:color w:val="000000"/>
                <w:sz w:val="20"/>
                <w:szCs w:val="20"/>
                <w:shd w:val="clear" w:color="auto" w:fill="FCFBF8"/>
              </w:rPr>
              <w:t>Վերջին</w:t>
            </w:r>
            <w:r w:rsidRPr="0053423A">
              <w:rPr>
                <w:color w:val="000000"/>
                <w:sz w:val="20"/>
                <w:szCs w:val="20"/>
                <w:shd w:val="clear" w:color="auto" w:fill="FCFBF8"/>
                <w:lang w:val="af-ZA"/>
              </w:rPr>
              <w:t xml:space="preserve"> տարիների </w:t>
            </w:r>
            <w:r w:rsidRPr="0053423A">
              <w:rPr>
                <w:color w:val="000000"/>
                <w:sz w:val="20"/>
                <w:szCs w:val="20"/>
                <w:shd w:val="clear" w:color="auto" w:fill="FCFBF8"/>
              </w:rPr>
              <w:t>ընթացքում</w:t>
            </w:r>
            <w:r w:rsidRPr="0053423A">
              <w:rPr>
                <w:color w:val="000000"/>
                <w:sz w:val="20"/>
                <w:szCs w:val="20"/>
                <w:shd w:val="clear" w:color="auto" w:fill="FCFBF8"/>
                <w:lang w:val="af-ZA"/>
              </w:rPr>
              <w:t xml:space="preserve"> </w:t>
            </w:r>
            <w:r w:rsidRPr="0053423A">
              <w:rPr>
                <w:color w:val="000000"/>
                <w:sz w:val="20"/>
                <w:szCs w:val="20"/>
                <w:shd w:val="clear" w:color="auto" w:fill="FCFBF8"/>
              </w:rPr>
              <w:t>քայքայվել</w:t>
            </w:r>
            <w:r w:rsidRPr="0053423A">
              <w:rPr>
                <w:color w:val="000000"/>
                <w:sz w:val="20"/>
                <w:szCs w:val="20"/>
                <w:shd w:val="clear" w:color="auto" w:fill="FCFBF8"/>
                <w:lang w:val="af-ZA"/>
              </w:rPr>
              <w:t xml:space="preserve"> </w:t>
            </w:r>
            <w:r w:rsidRPr="0053423A">
              <w:rPr>
                <w:color w:val="000000"/>
                <w:sz w:val="20"/>
                <w:szCs w:val="20"/>
                <w:shd w:val="clear" w:color="auto" w:fill="FCFBF8"/>
              </w:rPr>
              <w:t>է</w:t>
            </w:r>
            <w:r w:rsidRPr="0053423A">
              <w:rPr>
                <w:color w:val="000000"/>
                <w:sz w:val="20"/>
                <w:szCs w:val="20"/>
                <w:shd w:val="clear" w:color="auto" w:fill="FCFBF8"/>
                <w:lang w:val="af-ZA"/>
              </w:rPr>
              <w:t xml:space="preserve"> </w:t>
            </w:r>
            <w:r w:rsidRPr="0053423A">
              <w:rPr>
                <w:color w:val="000000"/>
                <w:sz w:val="20"/>
                <w:szCs w:val="20"/>
                <w:shd w:val="clear" w:color="auto" w:fill="FCFBF8"/>
              </w:rPr>
              <w:t>կրթության</w:t>
            </w:r>
            <w:r w:rsidRPr="0053423A">
              <w:rPr>
                <w:color w:val="000000"/>
                <w:sz w:val="20"/>
                <w:szCs w:val="20"/>
                <w:shd w:val="clear" w:color="auto" w:fill="FCFBF8"/>
                <w:lang w:val="af-ZA"/>
              </w:rPr>
              <w:t xml:space="preserve"> </w:t>
            </w:r>
            <w:r w:rsidRPr="0053423A">
              <w:rPr>
                <w:color w:val="000000"/>
                <w:sz w:val="20"/>
                <w:szCs w:val="20"/>
                <w:shd w:val="clear" w:color="auto" w:fill="FCFBF8"/>
              </w:rPr>
              <w:t>համակարգի</w:t>
            </w:r>
            <w:r w:rsidRPr="0053423A">
              <w:rPr>
                <w:color w:val="000000"/>
                <w:sz w:val="20"/>
                <w:szCs w:val="20"/>
                <w:shd w:val="clear" w:color="auto" w:fill="FCFBF8"/>
                <w:lang w:val="af-ZA"/>
              </w:rPr>
              <w:t xml:space="preserve"> </w:t>
            </w:r>
            <w:r w:rsidRPr="0053423A">
              <w:rPr>
                <w:color w:val="000000"/>
                <w:sz w:val="20"/>
                <w:szCs w:val="20"/>
                <w:shd w:val="clear" w:color="auto" w:fill="FCFBF8"/>
              </w:rPr>
              <w:t>շենքային</w:t>
            </w:r>
            <w:r w:rsidRPr="0053423A">
              <w:rPr>
                <w:color w:val="000000"/>
                <w:sz w:val="20"/>
                <w:szCs w:val="20"/>
                <w:shd w:val="clear" w:color="auto" w:fill="FCFBF8"/>
                <w:lang w:val="af-ZA"/>
              </w:rPr>
              <w:t xml:space="preserve"> </w:t>
            </w:r>
            <w:r w:rsidRPr="0053423A">
              <w:rPr>
                <w:color w:val="000000"/>
                <w:sz w:val="20"/>
                <w:szCs w:val="20"/>
                <w:shd w:val="clear" w:color="auto" w:fill="FCFBF8"/>
              </w:rPr>
              <w:t>հիմքը</w:t>
            </w:r>
            <w:r w:rsidRPr="0053423A">
              <w:rPr>
                <w:color w:val="000000"/>
                <w:sz w:val="20"/>
                <w:szCs w:val="20"/>
                <w:shd w:val="clear" w:color="auto" w:fill="FCFBF8"/>
                <w:lang w:val="af-ZA"/>
              </w:rPr>
              <w:t xml:space="preserve">: </w:t>
            </w:r>
            <w:r w:rsidRPr="0053423A">
              <w:rPr>
                <w:rFonts w:cs="GHEA Grapalat"/>
                <w:sz w:val="20"/>
                <w:szCs w:val="20"/>
                <w:lang w:val="hy-AM"/>
              </w:rPr>
              <w:t xml:space="preserve">Հարկ է նշել, որ </w:t>
            </w:r>
            <w:r w:rsidRPr="0053423A">
              <w:rPr>
                <w:rFonts w:cs="GHEA Grapalat"/>
                <w:sz w:val="20"/>
                <w:szCs w:val="20"/>
              </w:rPr>
              <w:t>ՆՄ</w:t>
            </w:r>
            <w:r w:rsidRPr="0053423A">
              <w:rPr>
                <w:rFonts w:cs="GHEA Grapalat"/>
                <w:sz w:val="20"/>
                <w:szCs w:val="20"/>
                <w:lang w:val="hy-AM"/>
              </w:rPr>
              <w:t>Մ</w:t>
            </w:r>
            <w:r w:rsidRPr="0053423A">
              <w:rPr>
                <w:rFonts w:cs="GHEA Grapalat"/>
                <w:sz w:val="20"/>
                <w:szCs w:val="20"/>
              </w:rPr>
              <w:t>Կ</w:t>
            </w:r>
            <w:r w:rsidRPr="0053423A">
              <w:rPr>
                <w:rFonts w:cs="GHEA Grapalat"/>
                <w:sz w:val="20"/>
                <w:szCs w:val="20"/>
                <w:lang w:val="hy-AM"/>
              </w:rPr>
              <w:t xml:space="preserve"> ուսումնական հաստատությունների շենքերը վերջին 15-20 տարիներին, հիմնականում ֆինանսական միջոցների բացակայության պատճառով, չեն վերանորոգվել կամ վերականգնվել</w:t>
            </w:r>
            <w:r w:rsidRPr="0053423A">
              <w:rPr>
                <w:rFonts w:cs="GHEA Grapalat"/>
                <w:sz w:val="20"/>
                <w:szCs w:val="20"/>
                <w:lang w:val="af-ZA"/>
              </w:rPr>
              <w:t xml:space="preserve">՝ </w:t>
            </w:r>
            <w:r w:rsidRPr="0053423A">
              <w:rPr>
                <w:color w:val="000000"/>
                <w:sz w:val="20"/>
                <w:szCs w:val="20"/>
                <w:shd w:val="clear" w:color="auto" w:fill="FCFBF8"/>
              </w:rPr>
              <w:t>դառնալով</w:t>
            </w:r>
            <w:r w:rsidRPr="0053423A">
              <w:rPr>
                <w:color w:val="000000"/>
                <w:sz w:val="20"/>
                <w:szCs w:val="20"/>
                <w:shd w:val="clear" w:color="auto" w:fill="FCFBF8"/>
                <w:lang w:val="af-ZA"/>
              </w:rPr>
              <w:t xml:space="preserve"> </w:t>
            </w:r>
            <w:r w:rsidRPr="0053423A">
              <w:rPr>
                <w:color w:val="000000"/>
                <w:sz w:val="20"/>
                <w:szCs w:val="20"/>
                <w:shd w:val="clear" w:color="auto" w:fill="FCFBF8"/>
              </w:rPr>
              <w:t>վթարային</w:t>
            </w:r>
            <w:r w:rsidRPr="0053423A">
              <w:rPr>
                <w:color w:val="000000"/>
                <w:sz w:val="20"/>
                <w:szCs w:val="20"/>
                <w:shd w:val="clear" w:color="auto" w:fill="FCFBF8"/>
                <w:lang w:val="af-ZA"/>
              </w:rPr>
              <w:t xml:space="preserve">, </w:t>
            </w:r>
            <w:r w:rsidRPr="0053423A">
              <w:rPr>
                <w:color w:val="000000"/>
                <w:sz w:val="20"/>
                <w:szCs w:val="20"/>
                <w:shd w:val="clear" w:color="auto" w:fill="FCFBF8"/>
              </w:rPr>
              <w:t>չ</w:t>
            </w:r>
            <w:r w:rsidRPr="0053423A">
              <w:rPr>
                <w:rFonts w:cs="GHEA Grapalat"/>
                <w:sz w:val="20"/>
                <w:szCs w:val="20"/>
                <w:lang w:val="hy-AM"/>
              </w:rPr>
              <w:t>ապահով</w:t>
            </w:r>
            <w:r w:rsidRPr="0053423A">
              <w:rPr>
                <w:rFonts w:cs="GHEA Grapalat"/>
                <w:sz w:val="20"/>
                <w:szCs w:val="20"/>
              </w:rPr>
              <w:t>ելով</w:t>
            </w:r>
            <w:r w:rsidRPr="0053423A">
              <w:rPr>
                <w:rFonts w:cs="GHEA Grapalat"/>
                <w:sz w:val="20"/>
                <w:szCs w:val="20"/>
                <w:lang w:val="af-ZA"/>
              </w:rPr>
              <w:t xml:space="preserve"> </w:t>
            </w:r>
            <w:r w:rsidRPr="0053423A">
              <w:rPr>
                <w:rFonts w:cs="GHEA Grapalat"/>
                <w:sz w:val="20"/>
                <w:szCs w:val="20"/>
                <w:lang w:val="hy-AM"/>
              </w:rPr>
              <w:t xml:space="preserve">համապատասխան կրթական միջավայր: </w:t>
            </w:r>
            <w:r w:rsidRPr="0053423A">
              <w:rPr>
                <w:color w:val="000000"/>
                <w:sz w:val="20"/>
                <w:szCs w:val="20"/>
                <w:shd w:val="clear" w:color="auto" w:fill="FCFBF8"/>
              </w:rPr>
              <w:t>Դրանց</w:t>
            </w:r>
            <w:r w:rsidRPr="0053423A">
              <w:rPr>
                <w:color w:val="000000"/>
                <w:sz w:val="20"/>
                <w:szCs w:val="20"/>
                <w:shd w:val="clear" w:color="auto" w:fill="FCFBF8"/>
                <w:lang w:val="af-ZA"/>
              </w:rPr>
              <w:t xml:space="preserve"> </w:t>
            </w:r>
            <w:r w:rsidRPr="0053423A">
              <w:rPr>
                <w:color w:val="000000"/>
                <w:sz w:val="20"/>
                <w:szCs w:val="20"/>
                <w:shd w:val="clear" w:color="auto" w:fill="FCFBF8"/>
              </w:rPr>
              <w:t>մի</w:t>
            </w:r>
            <w:r w:rsidRPr="0053423A">
              <w:rPr>
                <w:color w:val="000000"/>
                <w:sz w:val="20"/>
                <w:szCs w:val="20"/>
                <w:shd w:val="clear" w:color="auto" w:fill="FCFBF8"/>
                <w:lang w:val="af-ZA"/>
              </w:rPr>
              <w:t xml:space="preserve"> </w:t>
            </w:r>
            <w:r w:rsidRPr="0053423A">
              <w:rPr>
                <w:color w:val="000000"/>
                <w:sz w:val="20"/>
                <w:szCs w:val="20"/>
                <w:shd w:val="clear" w:color="auto" w:fill="FCFBF8"/>
              </w:rPr>
              <w:t>մասը</w:t>
            </w:r>
            <w:r w:rsidRPr="0053423A">
              <w:rPr>
                <w:color w:val="000000"/>
                <w:sz w:val="20"/>
                <w:szCs w:val="20"/>
                <w:shd w:val="clear" w:color="auto" w:fill="FCFBF8"/>
                <w:lang w:val="af-ZA"/>
              </w:rPr>
              <w:t xml:space="preserve"> </w:t>
            </w:r>
            <w:r w:rsidRPr="0053423A">
              <w:rPr>
                <w:color w:val="000000"/>
                <w:sz w:val="20"/>
                <w:szCs w:val="20"/>
                <w:shd w:val="clear" w:color="auto" w:fill="FCFBF8"/>
              </w:rPr>
              <w:t>վերջին</w:t>
            </w:r>
            <w:r w:rsidRPr="0053423A">
              <w:rPr>
                <w:color w:val="000000"/>
                <w:sz w:val="20"/>
                <w:szCs w:val="20"/>
                <w:shd w:val="clear" w:color="auto" w:fill="FCFBF8"/>
                <w:lang w:val="af-ZA"/>
              </w:rPr>
              <w:t xml:space="preserve"> </w:t>
            </w:r>
            <w:r w:rsidRPr="0053423A">
              <w:rPr>
                <w:color w:val="000000"/>
                <w:sz w:val="20"/>
                <w:szCs w:val="20"/>
                <w:shd w:val="clear" w:color="auto" w:fill="FCFBF8"/>
              </w:rPr>
              <w:t>տարիներին</w:t>
            </w:r>
            <w:r w:rsidRPr="0053423A">
              <w:rPr>
                <w:color w:val="000000"/>
                <w:sz w:val="20"/>
                <w:szCs w:val="20"/>
                <w:shd w:val="clear" w:color="auto" w:fill="FCFBF8"/>
                <w:lang w:val="af-ZA"/>
              </w:rPr>
              <w:t xml:space="preserve"> </w:t>
            </w:r>
            <w:r w:rsidRPr="0053423A">
              <w:rPr>
                <w:color w:val="000000"/>
                <w:sz w:val="20"/>
                <w:szCs w:val="20"/>
                <w:shd w:val="clear" w:color="auto" w:fill="FCFBF8"/>
              </w:rPr>
              <w:t>վերականգնվել</w:t>
            </w:r>
            <w:r w:rsidRPr="0053423A">
              <w:rPr>
                <w:color w:val="000000"/>
                <w:sz w:val="20"/>
                <w:szCs w:val="20"/>
                <w:shd w:val="clear" w:color="auto" w:fill="FCFBF8"/>
                <w:lang w:val="af-ZA"/>
              </w:rPr>
              <w:t xml:space="preserve"> </w:t>
            </w:r>
            <w:r w:rsidRPr="0053423A">
              <w:rPr>
                <w:color w:val="000000"/>
                <w:sz w:val="20"/>
                <w:szCs w:val="20"/>
                <w:shd w:val="clear" w:color="auto" w:fill="FCFBF8"/>
              </w:rPr>
              <w:t>է</w:t>
            </w:r>
            <w:r w:rsidRPr="0053423A">
              <w:rPr>
                <w:color w:val="000000"/>
                <w:sz w:val="20"/>
                <w:szCs w:val="20"/>
                <w:shd w:val="clear" w:color="auto" w:fill="FCFBF8"/>
                <w:lang w:val="af-ZA"/>
              </w:rPr>
              <w:t xml:space="preserve"> </w:t>
            </w:r>
            <w:r w:rsidRPr="0053423A">
              <w:rPr>
                <w:color w:val="000000"/>
                <w:sz w:val="20"/>
                <w:szCs w:val="20"/>
                <w:shd w:val="clear" w:color="auto" w:fill="FCFBF8"/>
              </w:rPr>
              <w:t>պետական</w:t>
            </w:r>
            <w:r w:rsidRPr="0053423A">
              <w:rPr>
                <w:color w:val="000000"/>
                <w:sz w:val="20"/>
                <w:szCs w:val="20"/>
                <w:shd w:val="clear" w:color="auto" w:fill="FCFBF8"/>
                <w:lang w:val="af-ZA"/>
              </w:rPr>
              <w:t xml:space="preserve"> </w:t>
            </w:r>
            <w:r w:rsidRPr="0053423A">
              <w:rPr>
                <w:color w:val="000000"/>
                <w:sz w:val="20"/>
                <w:szCs w:val="20"/>
                <w:shd w:val="clear" w:color="auto" w:fill="FCFBF8"/>
              </w:rPr>
              <w:t>բյուջեի</w:t>
            </w:r>
            <w:r w:rsidRPr="0053423A">
              <w:rPr>
                <w:color w:val="000000"/>
                <w:sz w:val="20"/>
                <w:szCs w:val="20"/>
                <w:shd w:val="clear" w:color="auto" w:fill="FCFBF8"/>
                <w:lang w:val="af-ZA"/>
              </w:rPr>
              <w:t xml:space="preserve"> </w:t>
            </w:r>
            <w:r w:rsidRPr="0053423A">
              <w:rPr>
                <w:color w:val="000000"/>
                <w:sz w:val="20"/>
                <w:szCs w:val="20"/>
                <w:shd w:val="clear" w:color="auto" w:fill="FCFBF8"/>
              </w:rPr>
              <w:t>և</w:t>
            </w:r>
            <w:r w:rsidRPr="0053423A">
              <w:rPr>
                <w:color w:val="000000"/>
                <w:sz w:val="20"/>
                <w:szCs w:val="20"/>
                <w:shd w:val="clear" w:color="auto" w:fill="FCFBF8"/>
                <w:lang w:val="af-ZA"/>
              </w:rPr>
              <w:t xml:space="preserve"> </w:t>
            </w:r>
            <w:r w:rsidRPr="0053423A">
              <w:rPr>
                <w:color w:val="000000"/>
                <w:sz w:val="20"/>
                <w:szCs w:val="20"/>
                <w:shd w:val="clear" w:color="auto" w:fill="FCFBF8"/>
              </w:rPr>
              <w:t>միջազգային</w:t>
            </w:r>
            <w:r w:rsidRPr="0053423A">
              <w:rPr>
                <w:color w:val="000000"/>
                <w:sz w:val="20"/>
                <w:szCs w:val="20"/>
                <w:shd w:val="clear" w:color="auto" w:fill="FCFBF8"/>
                <w:lang w:val="af-ZA"/>
              </w:rPr>
              <w:t xml:space="preserve"> </w:t>
            </w:r>
            <w:r w:rsidRPr="0053423A">
              <w:rPr>
                <w:color w:val="000000"/>
                <w:sz w:val="20"/>
                <w:szCs w:val="20"/>
                <w:shd w:val="clear" w:color="auto" w:fill="FCFBF8"/>
              </w:rPr>
              <w:t>կազմակերպությունների</w:t>
            </w:r>
            <w:r w:rsidRPr="0053423A">
              <w:rPr>
                <w:color w:val="000000"/>
                <w:sz w:val="20"/>
                <w:szCs w:val="20"/>
                <w:shd w:val="clear" w:color="auto" w:fill="FCFBF8"/>
                <w:lang w:val="af-ZA"/>
              </w:rPr>
              <w:t xml:space="preserve"> </w:t>
            </w:r>
            <w:r w:rsidRPr="0053423A">
              <w:rPr>
                <w:color w:val="000000"/>
                <w:sz w:val="20"/>
                <w:szCs w:val="20"/>
                <w:shd w:val="clear" w:color="auto" w:fill="FCFBF8"/>
              </w:rPr>
              <w:t>միջոցներով</w:t>
            </w:r>
            <w:r w:rsidRPr="0053423A">
              <w:rPr>
                <w:color w:val="000000"/>
                <w:sz w:val="20"/>
                <w:szCs w:val="20"/>
                <w:shd w:val="clear" w:color="auto" w:fill="FCFBF8"/>
                <w:lang w:val="af-ZA"/>
              </w:rPr>
              <w:t xml:space="preserve">: Սակայն ՆՄՄԿ </w:t>
            </w:r>
            <w:r w:rsidRPr="0053423A">
              <w:rPr>
                <w:color w:val="000000"/>
                <w:sz w:val="20"/>
                <w:szCs w:val="20"/>
                <w:shd w:val="clear" w:color="auto" w:fill="FCFBF8"/>
              </w:rPr>
              <w:t>շատ</w:t>
            </w:r>
            <w:r w:rsidRPr="0053423A">
              <w:rPr>
                <w:color w:val="000000"/>
                <w:sz w:val="20"/>
                <w:szCs w:val="20"/>
                <w:shd w:val="clear" w:color="auto" w:fill="FCFBF8"/>
                <w:lang w:val="af-ZA"/>
              </w:rPr>
              <w:t xml:space="preserve"> </w:t>
            </w:r>
            <w:r w:rsidRPr="0053423A">
              <w:rPr>
                <w:color w:val="000000"/>
                <w:sz w:val="20"/>
                <w:szCs w:val="20"/>
                <w:shd w:val="clear" w:color="auto" w:fill="FCFBF8"/>
              </w:rPr>
              <w:t>կրթօջախներ</w:t>
            </w:r>
            <w:r w:rsidRPr="0053423A">
              <w:rPr>
                <w:color w:val="000000"/>
                <w:sz w:val="20"/>
                <w:szCs w:val="20"/>
                <w:shd w:val="clear" w:color="auto" w:fill="FCFBF8"/>
                <w:lang w:val="af-ZA"/>
              </w:rPr>
              <w:t xml:space="preserve"> </w:t>
            </w:r>
            <w:r w:rsidRPr="0053423A">
              <w:rPr>
                <w:color w:val="000000"/>
                <w:sz w:val="20"/>
                <w:szCs w:val="20"/>
                <w:shd w:val="clear" w:color="auto" w:fill="FCFBF8"/>
              </w:rPr>
              <w:t>չունեն</w:t>
            </w:r>
            <w:r w:rsidRPr="0053423A">
              <w:rPr>
                <w:color w:val="000000"/>
                <w:sz w:val="20"/>
                <w:szCs w:val="20"/>
                <w:shd w:val="clear" w:color="auto" w:fill="FCFBF8"/>
                <w:lang w:val="af-ZA"/>
              </w:rPr>
              <w:t xml:space="preserve"> </w:t>
            </w:r>
            <w:r w:rsidRPr="0053423A">
              <w:rPr>
                <w:color w:val="000000"/>
                <w:sz w:val="20"/>
                <w:szCs w:val="20"/>
                <w:shd w:val="clear" w:color="auto" w:fill="FCFBF8"/>
              </w:rPr>
              <w:t>շենքային</w:t>
            </w:r>
            <w:r w:rsidRPr="0053423A">
              <w:rPr>
                <w:color w:val="000000"/>
                <w:sz w:val="20"/>
                <w:szCs w:val="20"/>
                <w:shd w:val="clear" w:color="auto" w:fill="FCFBF8"/>
                <w:lang w:val="af-ZA"/>
              </w:rPr>
              <w:t xml:space="preserve"> </w:t>
            </w:r>
            <w:r w:rsidRPr="0053423A">
              <w:rPr>
                <w:color w:val="000000"/>
                <w:sz w:val="20"/>
                <w:szCs w:val="20"/>
                <w:shd w:val="clear" w:color="auto" w:fill="FCFBF8"/>
              </w:rPr>
              <w:t>բավարար</w:t>
            </w:r>
            <w:r w:rsidRPr="0053423A">
              <w:rPr>
                <w:color w:val="000000"/>
                <w:sz w:val="20"/>
                <w:szCs w:val="20"/>
                <w:shd w:val="clear" w:color="auto" w:fill="FCFBF8"/>
                <w:lang w:val="af-ZA"/>
              </w:rPr>
              <w:t xml:space="preserve"> </w:t>
            </w:r>
            <w:r w:rsidRPr="0053423A">
              <w:rPr>
                <w:color w:val="000000"/>
                <w:sz w:val="20"/>
                <w:szCs w:val="20"/>
                <w:shd w:val="clear" w:color="auto" w:fill="FCFBF8"/>
              </w:rPr>
              <w:t>պայմաններ</w:t>
            </w:r>
            <w:r w:rsidRPr="0053423A">
              <w:rPr>
                <w:color w:val="000000"/>
                <w:sz w:val="20"/>
                <w:szCs w:val="20"/>
                <w:shd w:val="clear" w:color="auto" w:fill="FCFBF8"/>
                <w:lang w:val="af-ZA"/>
              </w:rPr>
              <w:t xml:space="preserve">, </w:t>
            </w:r>
            <w:r w:rsidRPr="0053423A">
              <w:rPr>
                <w:rFonts w:cs="GHEA Grapalat"/>
                <w:sz w:val="20"/>
                <w:szCs w:val="20"/>
                <w:lang w:val="af-ZA"/>
              </w:rPr>
              <w:t xml:space="preserve"> մասնավորապես, հրատապ է </w:t>
            </w:r>
            <w:r w:rsidRPr="0053423A">
              <w:rPr>
                <w:color w:val="000000"/>
                <w:sz w:val="20"/>
                <w:szCs w:val="20"/>
                <w:shd w:val="clear" w:color="auto" w:fill="FFFFFF"/>
                <w:lang w:val="hy-AM"/>
              </w:rPr>
              <w:t>տանիքների, կոյուղագծերի և սանհանգույցների նորոգ</w:t>
            </w:r>
            <w:r w:rsidRPr="0053423A">
              <w:rPr>
                <w:color w:val="000000"/>
                <w:sz w:val="20"/>
                <w:szCs w:val="20"/>
                <w:shd w:val="clear" w:color="auto" w:fill="FFFFFF"/>
              </w:rPr>
              <w:t>ումը</w:t>
            </w:r>
            <w:r w:rsidRPr="0053423A">
              <w:rPr>
                <w:color w:val="000000"/>
                <w:sz w:val="20"/>
                <w:szCs w:val="20"/>
                <w:shd w:val="clear" w:color="auto" w:fill="FFFFFF"/>
                <w:lang w:val="af-ZA"/>
              </w:rPr>
              <w:t>:</w:t>
            </w:r>
            <w:r w:rsidRPr="0053423A">
              <w:rPr>
                <w:rFonts w:ascii="Calibri" w:hAnsi="Calibri" w:cs="Calibri"/>
                <w:color w:val="000000"/>
                <w:sz w:val="20"/>
                <w:szCs w:val="20"/>
                <w:shd w:val="clear" w:color="auto" w:fill="FFFFFF"/>
                <w:lang w:val="hy-AM"/>
              </w:rPr>
              <w:t> </w:t>
            </w:r>
          </w:p>
          <w:p w:rsidR="00154773" w:rsidRPr="0053423A" w:rsidRDefault="00154773" w:rsidP="00154773">
            <w:pPr>
              <w:ind w:firstLine="450"/>
              <w:contextualSpacing/>
              <w:jc w:val="both"/>
              <w:rPr>
                <w:rFonts w:cs="Sylfaen"/>
                <w:sz w:val="20"/>
                <w:szCs w:val="20"/>
                <w:lang w:val="hy-AM"/>
              </w:rPr>
            </w:pPr>
            <w:r w:rsidRPr="0053423A">
              <w:rPr>
                <w:rFonts w:cs="Sylfaen"/>
                <w:sz w:val="20"/>
                <w:szCs w:val="20"/>
                <w:lang w:val="hy-AM"/>
              </w:rPr>
              <w:t>Ուսումնական հաստատությունների ակնհայտ անմխիթար վիճակը հանգեցնում է տնտեսության պահանջների անհամապատասխանության, որն իր հերթին վտանգում է կրթության որակի և արդյունավետության ապահովումը: Ելնելով վերոգրյալից՝ առաջնային խնդիր է դառնում ապահով և անվտանգ միջավայրի ստեղծումը, մասնավորապես, ըստ գնահատված կարիքների՝ շենքերի հիմ</w:t>
            </w:r>
            <w:r w:rsidRPr="0053423A">
              <w:rPr>
                <w:rFonts w:cs="Sylfaen"/>
                <w:sz w:val="20"/>
                <w:szCs w:val="20"/>
                <w:lang w:val="hy-AM"/>
              </w:rPr>
              <w:softHyphen/>
              <w:t>նա</w:t>
            </w:r>
            <w:r w:rsidRPr="0053423A">
              <w:rPr>
                <w:rFonts w:cs="Sylfaen"/>
                <w:sz w:val="20"/>
                <w:szCs w:val="20"/>
                <w:lang w:val="hy-AM"/>
              </w:rPr>
              <w:softHyphen/>
              <w:t>նորոգումը, սեյսմակայունացումը՝ հաշվի առնելով կրթության նորացող մեթոդաբանությունը, անվտանգության և համընդհանուր մատչելիության չափանիշները:</w:t>
            </w:r>
          </w:p>
          <w:p w:rsidR="00154773" w:rsidRPr="0053423A" w:rsidRDefault="00154773" w:rsidP="00154773">
            <w:pPr>
              <w:ind w:firstLine="450"/>
              <w:contextualSpacing/>
              <w:jc w:val="both"/>
              <w:rPr>
                <w:rFonts w:cs="Sylfaen"/>
                <w:sz w:val="20"/>
                <w:szCs w:val="20"/>
                <w:lang w:val="hy-AM"/>
              </w:rPr>
            </w:pPr>
          </w:p>
          <w:p w:rsidR="00154773" w:rsidRPr="0053423A" w:rsidRDefault="00154773" w:rsidP="00154773">
            <w:pPr>
              <w:autoSpaceDE w:val="0"/>
              <w:autoSpaceDN w:val="0"/>
              <w:adjustRightInd w:val="0"/>
              <w:ind w:firstLine="450"/>
              <w:contextualSpacing/>
              <w:jc w:val="both"/>
              <w:rPr>
                <w:rFonts w:cs="Sylfaen"/>
                <w:b/>
                <w:sz w:val="20"/>
                <w:szCs w:val="20"/>
                <w:u w:val="single"/>
                <w:lang w:val="af-ZA"/>
              </w:rPr>
            </w:pPr>
          </w:p>
          <w:p w:rsidR="00154773" w:rsidRPr="0053423A" w:rsidRDefault="00154773" w:rsidP="00154773">
            <w:pPr>
              <w:ind w:left="735"/>
              <w:rPr>
                <w:rFonts w:eastAsia="Times New Roman" w:cs="Times New Roman"/>
                <w:b/>
                <w:sz w:val="20"/>
                <w:szCs w:val="20"/>
                <w:lang w:val="af-ZA"/>
              </w:rPr>
            </w:pPr>
            <w:r w:rsidRPr="0053423A">
              <w:rPr>
                <w:rFonts w:eastAsia="Times New Roman" w:cs="Times New Roman"/>
                <w:b/>
                <w:sz w:val="20"/>
                <w:szCs w:val="20"/>
                <w:lang w:val="af-ZA"/>
              </w:rPr>
              <w:t xml:space="preserve">1.2. </w:t>
            </w:r>
            <w:r w:rsidRPr="0053423A">
              <w:rPr>
                <w:rFonts w:eastAsia="Times New Roman" w:cs="Times New Roman"/>
                <w:b/>
                <w:sz w:val="20"/>
                <w:szCs w:val="20"/>
                <w:lang w:val="hy-AM"/>
              </w:rPr>
              <w:t>առկա խնդիրների առաջարկվող լուծումները</w:t>
            </w:r>
          </w:p>
          <w:p w:rsidR="00154773" w:rsidRPr="0053423A" w:rsidRDefault="00154773" w:rsidP="00154773">
            <w:pPr>
              <w:ind w:firstLine="450"/>
              <w:contextualSpacing/>
              <w:jc w:val="both"/>
              <w:rPr>
                <w:rFonts w:cs="Sylfaen"/>
                <w:sz w:val="20"/>
                <w:szCs w:val="20"/>
                <w:lang w:val="af-ZA"/>
              </w:rPr>
            </w:pPr>
            <w:r w:rsidRPr="0053423A">
              <w:rPr>
                <w:rFonts w:cs="Sylfaen"/>
                <w:sz w:val="20"/>
                <w:szCs w:val="20"/>
              </w:rPr>
              <w:t>Համապատասխան</w:t>
            </w:r>
            <w:r w:rsidRPr="0053423A">
              <w:rPr>
                <w:rFonts w:cs="Sylfaen"/>
                <w:sz w:val="20"/>
                <w:szCs w:val="20"/>
                <w:lang w:val="af-ZA"/>
              </w:rPr>
              <w:t xml:space="preserve"> </w:t>
            </w:r>
            <w:r w:rsidRPr="0053423A">
              <w:rPr>
                <w:rFonts w:cs="Sylfaen"/>
                <w:sz w:val="20"/>
                <w:szCs w:val="20"/>
              </w:rPr>
              <w:t>կրթական</w:t>
            </w:r>
            <w:r w:rsidRPr="0053423A">
              <w:rPr>
                <w:rFonts w:cs="Sylfaen"/>
                <w:sz w:val="20"/>
                <w:szCs w:val="20"/>
                <w:lang w:val="af-ZA"/>
              </w:rPr>
              <w:t xml:space="preserve"> </w:t>
            </w:r>
            <w:r w:rsidRPr="0053423A">
              <w:rPr>
                <w:rFonts w:cs="Sylfaen"/>
                <w:sz w:val="20"/>
                <w:szCs w:val="20"/>
              </w:rPr>
              <w:t>միջավայրի</w:t>
            </w:r>
            <w:r w:rsidRPr="0053423A">
              <w:rPr>
                <w:rFonts w:cs="Sylfaen"/>
                <w:sz w:val="20"/>
                <w:szCs w:val="20"/>
                <w:lang w:val="af-ZA"/>
              </w:rPr>
              <w:t xml:space="preserve"> </w:t>
            </w:r>
            <w:r w:rsidRPr="0053423A">
              <w:rPr>
                <w:rFonts w:cs="Sylfaen"/>
                <w:sz w:val="20"/>
                <w:szCs w:val="20"/>
              </w:rPr>
              <w:t>ստեղծումը</w:t>
            </w:r>
            <w:r w:rsidRPr="0053423A">
              <w:rPr>
                <w:rFonts w:cs="Sylfaen"/>
                <w:sz w:val="20"/>
                <w:szCs w:val="20"/>
                <w:lang w:val="af-ZA"/>
              </w:rPr>
              <w:t xml:space="preserve"> </w:t>
            </w:r>
            <w:r w:rsidRPr="0053423A">
              <w:rPr>
                <w:rFonts w:cs="Sylfaen"/>
                <w:sz w:val="20"/>
                <w:szCs w:val="20"/>
              </w:rPr>
              <w:t>կնպաստի</w:t>
            </w:r>
            <w:r w:rsidRPr="0053423A">
              <w:rPr>
                <w:rFonts w:cs="Sylfaen"/>
                <w:sz w:val="20"/>
                <w:szCs w:val="20"/>
                <w:lang w:val="af-ZA"/>
              </w:rPr>
              <w:t xml:space="preserve"> </w:t>
            </w:r>
            <w:r w:rsidRPr="0053423A">
              <w:rPr>
                <w:rFonts w:cs="Sylfaen"/>
                <w:sz w:val="20"/>
                <w:szCs w:val="20"/>
              </w:rPr>
              <w:t>համակարգի</w:t>
            </w:r>
            <w:r w:rsidRPr="0053423A">
              <w:rPr>
                <w:rFonts w:cs="Sylfaen"/>
                <w:sz w:val="20"/>
                <w:szCs w:val="20"/>
                <w:lang w:val="af-ZA"/>
              </w:rPr>
              <w:t xml:space="preserve"> </w:t>
            </w:r>
            <w:r w:rsidRPr="0053423A">
              <w:rPr>
                <w:rFonts w:cs="Sylfaen"/>
                <w:sz w:val="20"/>
                <w:szCs w:val="20"/>
              </w:rPr>
              <w:t>շարունակական</w:t>
            </w:r>
            <w:r w:rsidRPr="0053423A">
              <w:rPr>
                <w:rFonts w:cs="Sylfaen"/>
                <w:sz w:val="20"/>
                <w:szCs w:val="20"/>
                <w:lang w:val="af-ZA"/>
              </w:rPr>
              <w:t xml:space="preserve"> </w:t>
            </w:r>
            <w:r w:rsidRPr="0053423A">
              <w:rPr>
                <w:rFonts w:cs="Sylfaen"/>
                <w:sz w:val="20"/>
                <w:szCs w:val="20"/>
              </w:rPr>
              <w:t>զարգացմանը</w:t>
            </w:r>
            <w:r w:rsidRPr="0053423A">
              <w:rPr>
                <w:rFonts w:cs="Sylfaen"/>
                <w:sz w:val="20"/>
                <w:szCs w:val="20"/>
                <w:lang w:val="af-ZA"/>
              </w:rPr>
              <w:t xml:space="preserve">, </w:t>
            </w:r>
            <w:r w:rsidRPr="0053423A">
              <w:rPr>
                <w:rFonts w:cs="Sylfaen"/>
                <w:sz w:val="20"/>
                <w:szCs w:val="20"/>
              </w:rPr>
              <w:t>մասնագիտական</w:t>
            </w:r>
            <w:r w:rsidRPr="0053423A">
              <w:rPr>
                <w:rFonts w:cs="Sylfaen"/>
                <w:sz w:val="20"/>
                <w:szCs w:val="20"/>
                <w:lang w:val="af-ZA"/>
              </w:rPr>
              <w:t xml:space="preserve"> </w:t>
            </w:r>
            <w:r w:rsidRPr="0053423A">
              <w:rPr>
                <w:rFonts w:cs="Sylfaen"/>
                <w:sz w:val="20"/>
                <w:szCs w:val="20"/>
              </w:rPr>
              <w:t>կրթության</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ուսուցման</w:t>
            </w:r>
            <w:r w:rsidRPr="0053423A">
              <w:rPr>
                <w:rFonts w:cs="Sylfaen"/>
                <w:sz w:val="20"/>
                <w:szCs w:val="20"/>
                <w:lang w:val="af-ZA"/>
              </w:rPr>
              <w:t xml:space="preserve"> </w:t>
            </w:r>
            <w:r w:rsidRPr="0053423A">
              <w:rPr>
                <w:rFonts w:cs="Sylfaen"/>
                <w:sz w:val="20"/>
                <w:szCs w:val="20"/>
              </w:rPr>
              <w:t>արդիականացմանը</w:t>
            </w:r>
            <w:r w:rsidRPr="0053423A">
              <w:rPr>
                <w:rFonts w:cs="Sylfaen"/>
                <w:sz w:val="20"/>
                <w:szCs w:val="20"/>
                <w:lang w:val="af-ZA"/>
              </w:rPr>
              <w:t xml:space="preserve">, </w:t>
            </w:r>
            <w:r w:rsidRPr="0053423A">
              <w:rPr>
                <w:rFonts w:cs="Sylfaen"/>
                <w:sz w:val="20"/>
                <w:szCs w:val="20"/>
              </w:rPr>
              <w:t>մասնավորապես</w:t>
            </w:r>
            <w:r w:rsidRPr="0053423A">
              <w:rPr>
                <w:rFonts w:cs="Sylfaen"/>
                <w:sz w:val="20"/>
                <w:szCs w:val="20"/>
                <w:lang w:val="af-ZA"/>
              </w:rPr>
              <w:t xml:space="preserve">, </w:t>
            </w:r>
            <w:r w:rsidRPr="0053423A">
              <w:rPr>
                <w:rFonts w:cs="Sylfaen"/>
                <w:sz w:val="20"/>
                <w:szCs w:val="20"/>
              </w:rPr>
              <w:t>աշխատաշուկայի</w:t>
            </w:r>
            <w:r w:rsidRPr="0053423A">
              <w:rPr>
                <w:rFonts w:cs="Sylfaen"/>
                <w:sz w:val="20"/>
                <w:szCs w:val="20"/>
                <w:lang w:val="af-ZA"/>
              </w:rPr>
              <w:t xml:space="preserve"> </w:t>
            </w:r>
            <w:r w:rsidRPr="0053423A">
              <w:rPr>
                <w:rFonts w:cs="Sylfaen"/>
                <w:sz w:val="20"/>
                <w:szCs w:val="20"/>
              </w:rPr>
              <w:t>պահանջներին</w:t>
            </w:r>
            <w:r w:rsidRPr="0053423A">
              <w:rPr>
                <w:rFonts w:cs="Sylfaen"/>
                <w:sz w:val="20"/>
                <w:szCs w:val="20"/>
                <w:lang w:val="af-ZA"/>
              </w:rPr>
              <w:t xml:space="preserve"> </w:t>
            </w:r>
            <w:r w:rsidRPr="0053423A">
              <w:rPr>
                <w:rFonts w:cs="Sylfaen"/>
                <w:sz w:val="20"/>
                <w:szCs w:val="20"/>
              </w:rPr>
              <w:t>համապատասխան</w:t>
            </w:r>
            <w:r w:rsidRPr="0053423A">
              <w:rPr>
                <w:rFonts w:cs="Sylfaen"/>
                <w:sz w:val="20"/>
                <w:szCs w:val="20"/>
                <w:lang w:val="af-ZA"/>
              </w:rPr>
              <w:t xml:space="preserve"> </w:t>
            </w:r>
            <w:r w:rsidRPr="0053423A">
              <w:rPr>
                <w:rFonts w:cs="Sylfaen"/>
                <w:sz w:val="20"/>
                <w:szCs w:val="20"/>
              </w:rPr>
              <w:t>մասնագիտական</w:t>
            </w:r>
            <w:r w:rsidRPr="0053423A">
              <w:rPr>
                <w:rFonts w:cs="Sylfaen"/>
                <w:sz w:val="20"/>
                <w:szCs w:val="20"/>
                <w:lang w:val="af-ZA"/>
              </w:rPr>
              <w:t xml:space="preserve"> </w:t>
            </w:r>
            <w:r w:rsidRPr="0053423A">
              <w:rPr>
                <w:rFonts w:cs="Sylfaen"/>
                <w:sz w:val="20"/>
                <w:szCs w:val="20"/>
              </w:rPr>
              <w:t>ներուժի</w:t>
            </w:r>
            <w:r w:rsidRPr="0053423A">
              <w:rPr>
                <w:rFonts w:cs="Sylfaen"/>
                <w:sz w:val="20"/>
                <w:szCs w:val="20"/>
                <w:lang w:val="af-ZA"/>
              </w:rPr>
              <w:t xml:space="preserve"> </w:t>
            </w:r>
            <w:r w:rsidRPr="0053423A">
              <w:rPr>
                <w:rFonts w:cs="Sylfaen"/>
                <w:sz w:val="20"/>
                <w:szCs w:val="20"/>
              </w:rPr>
              <w:t>կարողությունների</w:t>
            </w:r>
            <w:r w:rsidRPr="0053423A">
              <w:rPr>
                <w:rFonts w:cs="Sylfaen"/>
                <w:sz w:val="20"/>
                <w:szCs w:val="20"/>
                <w:lang w:val="af-ZA"/>
              </w:rPr>
              <w:t xml:space="preserve"> </w:t>
            </w:r>
            <w:r w:rsidRPr="0053423A">
              <w:rPr>
                <w:rFonts w:cs="Sylfaen"/>
                <w:sz w:val="20"/>
                <w:szCs w:val="20"/>
              </w:rPr>
              <w:t>հզորացմանը</w:t>
            </w:r>
            <w:r w:rsidRPr="0053423A">
              <w:rPr>
                <w:rFonts w:cs="Sylfaen"/>
                <w:sz w:val="20"/>
                <w:szCs w:val="20"/>
                <w:lang w:val="af-ZA"/>
              </w:rPr>
              <w:t xml:space="preserve">, </w:t>
            </w:r>
            <w:r w:rsidRPr="0053423A">
              <w:rPr>
                <w:rFonts w:cs="Sylfaen"/>
                <w:sz w:val="20"/>
                <w:szCs w:val="20"/>
              </w:rPr>
              <w:t>հաշմանդամություն</w:t>
            </w:r>
            <w:r w:rsidRPr="0053423A">
              <w:rPr>
                <w:rFonts w:cs="Sylfaen"/>
                <w:sz w:val="20"/>
                <w:szCs w:val="20"/>
                <w:lang w:val="af-ZA"/>
              </w:rPr>
              <w:t xml:space="preserve"> </w:t>
            </w:r>
            <w:r w:rsidRPr="0053423A">
              <w:rPr>
                <w:rFonts w:cs="Sylfaen"/>
                <w:sz w:val="20"/>
                <w:szCs w:val="20"/>
              </w:rPr>
              <w:t>ունեցող</w:t>
            </w:r>
            <w:r w:rsidRPr="0053423A">
              <w:rPr>
                <w:rFonts w:cs="Sylfaen"/>
                <w:sz w:val="20"/>
                <w:szCs w:val="20"/>
                <w:lang w:val="af-ZA"/>
              </w:rPr>
              <w:t xml:space="preserve"> </w:t>
            </w:r>
            <w:r w:rsidRPr="0053423A">
              <w:rPr>
                <w:rFonts w:cs="Sylfaen"/>
                <w:sz w:val="20"/>
                <w:szCs w:val="20"/>
              </w:rPr>
              <w:t>անձանց</w:t>
            </w:r>
            <w:r w:rsidRPr="0053423A">
              <w:rPr>
                <w:rFonts w:cs="Sylfaen"/>
                <w:sz w:val="20"/>
                <w:szCs w:val="20"/>
                <w:lang w:val="af-ZA"/>
              </w:rPr>
              <w:t xml:space="preserve"> </w:t>
            </w:r>
            <w:r w:rsidRPr="0053423A">
              <w:rPr>
                <w:rFonts w:cs="Sylfaen"/>
                <w:sz w:val="20"/>
                <w:szCs w:val="20"/>
              </w:rPr>
              <w:t>համար</w:t>
            </w:r>
            <w:r w:rsidRPr="0053423A">
              <w:rPr>
                <w:rFonts w:cs="Sylfaen"/>
                <w:sz w:val="20"/>
                <w:szCs w:val="20"/>
                <w:lang w:val="af-ZA"/>
              </w:rPr>
              <w:t xml:space="preserve"> </w:t>
            </w:r>
            <w:r w:rsidRPr="0053423A">
              <w:rPr>
                <w:rFonts w:cs="Sylfaen"/>
                <w:sz w:val="20"/>
                <w:szCs w:val="20"/>
              </w:rPr>
              <w:t>լիարժեք</w:t>
            </w:r>
            <w:r w:rsidRPr="0053423A">
              <w:rPr>
                <w:rFonts w:cs="Sylfaen"/>
                <w:sz w:val="20"/>
                <w:szCs w:val="20"/>
                <w:lang w:val="af-ZA"/>
              </w:rPr>
              <w:t xml:space="preserve"> </w:t>
            </w:r>
            <w:r w:rsidRPr="0053423A">
              <w:rPr>
                <w:rFonts w:cs="Sylfaen"/>
                <w:sz w:val="20"/>
                <w:szCs w:val="20"/>
              </w:rPr>
              <w:t>ֆիզիկական</w:t>
            </w:r>
            <w:r w:rsidRPr="0053423A">
              <w:rPr>
                <w:rFonts w:cs="Sylfaen"/>
                <w:sz w:val="20"/>
                <w:szCs w:val="20"/>
                <w:lang w:val="af-ZA"/>
              </w:rPr>
              <w:t xml:space="preserve"> </w:t>
            </w:r>
            <w:r w:rsidRPr="0053423A">
              <w:rPr>
                <w:rFonts w:cs="Sylfaen"/>
                <w:sz w:val="20"/>
                <w:szCs w:val="20"/>
              </w:rPr>
              <w:t>մատչելիության</w:t>
            </w:r>
            <w:r w:rsidRPr="0053423A">
              <w:rPr>
                <w:rFonts w:cs="Sylfaen"/>
                <w:sz w:val="20"/>
                <w:szCs w:val="20"/>
                <w:lang w:val="af-ZA"/>
              </w:rPr>
              <w:t xml:space="preserve">,  </w:t>
            </w:r>
            <w:r w:rsidRPr="0053423A">
              <w:rPr>
                <w:rFonts w:cs="Sylfaen"/>
                <w:sz w:val="20"/>
                <w:szCs w:val="20"/>
              </w:rPr>
              <w:t>շրջանավարտների</w:t>
            </w:r>
            <w:r w:rsidRPr="0053423A">
              <w:rPr>
                <w:rFonts w:cs="Sylfaen"/>
                <w:sz w:val="20"/>
                <w:szCs w:val="20"/>
                <w:lang w:val="af-ZA"/>
              </w:rPr>
              <w:t xml:space="preserve"> </w:t>
            </w:r>
            <w:r w:rsidRPr="0053423A">
              <w:rPr>
                <w:rFonts w:cs="Sylfaen"/>
                <w:sz w:val="20"/>
                <w:szCs w:val="20"/>
              </w:rPr>
              <w:t>զբաղվածության</w:t>
            </w:r>
            <w:r w:rsidRPr="0053423A">
              <w:rPr>
                <w:rFonts w:cs="Sylfaen"/>
                <w:sz w:val="20"/>
                <w:szCs w:val="20"/>
                <w:lang w:val="af-ZA"/>
              </w:rPr>
              <w:t xml:space="preserve"> </w:t>
            </w:r>
            <w:r w:rsidRPr="0053423A">
              <w:rPr>
                <w:rFonts w:cs="Sylfaen"/>
                <w:sz w:val="20"/>
                <w:szCs w:val="20"/>
              </w:rPr>
              <w:t>ապահովմանը</w:t>
            </w:r>
            <w:r w:rsidRPr="0053423A">
              <w:rPr>
                <w:rFonts w:cs="Sylfaen"/>
                <w:sz w:val="20"/>
                <w:szCs w:val="20"/>
                <w:lang w:val="af-ZA"/>
              </w:rPr>
              <w:t xml:space="preserve">, </w:t>
            </w:r>
            <w:r w:rsidRPr="0053423A">
              <w:rPr>
                <w:rFonts w:cs="Sylfaen"/>
                <w:sz w:val="20"/>
                <w:szCs w:val="20"/>
              </w:rPr>
              <w:t>մասնագիտական</w:t>
            </w:r>
            <w:r w:rsidRPr="0053423A">
              <w:rPr>
                <w:rFonts w:cs="Sylfaen"/>
                <w:sz w:val="20"/>
                <w:szCs w:val="20"/>
                <w:lang w:val="af-ZA"/>
              </w:rPr>
              <w:t xml:space="preserve"> </w:t>
            </w:r>
            <w:r w:rsidRPr="0053423A">
              <w:rPr>
                <w:rFonts w:cs="Sylfaen"/>
                <w:sz w:val="20"/>
                <w:szCs w:val="20"/>
              </w:rPr>
              <w:t>կրթության</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ուսուցման</w:t>
            </w:r>
            <w:r w:rsidRPr="0053423A">
              <w:rPr>
                <w:rFonts w:cs="Sylfaen"/>
                <w:sz w:val="20"/>
                <w:szCs w:val="20"/>
                <w:lang w:val="af-ZA"/>
              </w:rPr>
              <w:t xml:space="preserve"> </w:t>
            </w:r>
            <w:r w:rsidRPr="0053423A">
              <w:rPr>
                <w:rFonts w:cs="Sylfaen"/>
                <w:sz w:val="20"/>
                <w:szCs w:val="20"/>
              </w:rPr>
              <w:t>հեղինակության</w:t>
            </w:r>
            <w:r w:rsidRPr="0053423A">
              <w:rPr>
                <w:rFonts w:cs="Sylfaen"/>
                <w:sz w:val="20"/>
                <w:szCs w:val="20"/>
                <w:lang w:val="af-ZA"/>
              </w:rPr>
              <w:t xml:space="preserve">, </w:t>
            </w:r>
            <w:r w:rsidRPr="0053423A">
              <w:rPr>
                <w:rFonts w:cs="Sylfaen"/>
                <w:sz w:val="20"/>
                <w:szCs w:val="20"/>
              </w:rPr>
              <w:t>որակի</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վարկանիշի</w:t>
            </w:r>
            <w:r w:rsidRPr="0053423A">
              <w:rPr>
                <w:rFonts w:cs="Sylfaen"/>
                <w:sz w:val="20"/>
                <w:szCs w:val="20"/>
                <w:lang w:val="af-ZA"/>
              </w:rPr>
              <w:t xml:space="preserve"> </w:t>
            </w:r>
            <w:r w:rsidRPr="0053423A">
              <w:rPr>
                <w:rFonts w:cs="Sylfaen"/>
                <w:sz w:val="20"/>
                <w:szCs w:val="20"/>
              </w:rPr>
              <w:t>բարձրացմանը</w:t>
            </w:r>
            <w:r w:rsidRPr="0053423A">
              <w:rPr>
                <w:rFonts w:cs="Sylfaen"/>
                <w:sz w:val="20"/>
                <w:szCs w:val="20"/>
                <w:lang w:val="af-ZA"/>
              </w:rPr>
              <w:t>:</w:t>
            </w:r>
          </w:p>
          <w:p w:rsidR="00154773" w:rsidRPr="0053423A" w:rsidRDefault="00154773" w:rsidP="00154773">
            <w:pPr>
              <w:ind w:firstLine="450"/>
              <w:contextualSpacing/>
              <w:jc w:val="both"/>
              <w:rPr>
                <w:rFonts w:cs="Sylfaen"/>
                <w:sz w:val="20"/>
                <w:szCs w:val="20"/>
                <w:lang w:val="af-ZA"/>
              </w:rPr>
            </w:pPr>
          </w:p>
          <w:p w:rsidR="00154773" w:rsidRPr="0053423A" w:rsidRDefault="00154773" w:rsidP="00154773">
            <w:pPr>
              <w:ind w:firstLine="450"/>
              <w:contextualSpacing/>
              <w:jc w:val="both"/>
              <w:rPr>
                <w:rFonts w:cs="Sylfaen"/>
                <w:b/>
                <w:sz w:val="20"/>
                <w:szCs w:val="20"/>
                <w:u w:val="single"/>
                <w:lang w:val="af-ZA"/>
              </w:rPr>
            </w:pPr>
          </w:p>
          <w:p w:rsidR="00154773" w:rsidRPr="0053423A" w:rsidRDefault="00154773" w:rsidP="00154773">
            <w:pPr>
              <w:ind w:firstLine="450"/>
              <w:contextualSpacing/>
              <w:rPr>
                <w:rFonts w:eastAsia="Times New Roman" w:cs="Times New Roman"/>
                <w:b/>
                <w:sz w:val="20"/>
                <w:szCs w:val="20"/>
                <w:lang w:val="af-ZA"/>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firstLine="450"/>
              <w:contextualSpacing/>
              <w:rPr>
                <w:rFonts w:eastAsia="Times New Roman" w:cs="Times New Roman"/>
                <w:b/>
                <w:sz w:val="20"/>
                <w:szCs w:val="20"/>
                <w:lang w:val="af-ZA"/>
              </w:rPr>
            </w:pPr>
          </w:p>
          <w:p w:rsidR="00154773" w:rsidRPr="0053423A" w:rsidRDefault="00154773" w:rsidP="00154773">
            <w:pPr>
              <w:rPr>
                <w:rFonts w:eastAsia="Times New Roman" w:cs="Times New Roman"/>
                <w:b/>
                <w:sz w:val="20"/>
                <w:szCs w:val="20"/>
                <w:lang w:val="hy-AM"/>
              </w:rPr>
            </w:pPr>
            <w:r w:rsidRPr="0053423A">
              <w:rPr>
                <w:rFonts w:cs="GHEA Grapalat"/>
                <w:color w:val="000000"/>
                <w:sz w:val="20"/>
                <w:szCs w:val="20"/>
                <w:lang w:val="hy-AM"/>
              </w:rPr>
              <w:t xml:space="preserve">Միջոցառման իրականացման արդյունքում </w:t>
            </w:r>
            <w:r w:rsidRPr="0053423A">
              <w:rPr>
                <w:rFonts w:cs="GHEA Grapalat"/>
                <w:color w:val="000000"/>
                <w:sz w:val="20"/>
                <w:szCs w:val="20"/>
                <w:lang w:val="af-ZA"/>
              </w:rPr>
              <w:t>2023</w:t>
            </w:r>
            <w:r w:rsidRPr="0053423A">
              <w:rPr>
                <w:rFonts w:cs="GHEA Grapalat"/>
                <w:color w:val="000000"/>
                <w:sz w:val="20"/>
                <w:szCs w:val="20"/>
              </w:rPr>
              <w:t>թ</w:t>
            </w:r>
            <w:r w:rsidRPr="0053423A">
              <w:rPr>
                <w:rFonts w:cs="GHEA Grapalat"/>
                <w:color w:val="000000"/>
                <w:sz w:val="20"/>
                <w:szCs w:val="20"/>
                <w:lang w:val="af-ZA"/>
              </w:rPr>
              <w:t>. դրությամբ</w:t>
            </w:r>
            <w:r w:rsidRPr="0053423A">
              <w:rPr>
                <w:rFonts w:cs="GHEA Grapalat"/>
                <w:color w:val="000000"/>
                <w:sz w:val="20"/>
                <w:szCs w:val="20"/>
                <w:lang w:val="hy-AM"/>
              </w:rPr>
              <w:t xml:space="preserve"> կվերանորոգվեն, կվերակառուցվեն թվով </w:t>
            </w:r>
            <w:r w:rsidRPr="0053423A">
              <w:rPr>
                <w:rFonts w:cs="GHEA Grapalat"/>
                <w:color w:val="000000"/>
                <w:sz w:val="20"/>
                <w:szCs w:val="20"/>
                <w:lang w:val="af-ZA"/>
              </w:rPr>
              <w:t>6</w:t>
            </w:r>
            <w:r w:rsidRPr="0053423A">
              <w:rPr>
                <w:rFonts w:cs="GHEA Grapalat"/>
                <w:color w:val="000000"/>
                <w:sz w:val="20"/>
                <w:szCs w:val="20"/>
                <w:lang w:val="hy-AM"/>
              </w:rPr>
              <w:t xml:space="preserve"> ՆՄՄԿ ուսումնական հաստատություն: Համապատասխան կրթական միջավայրի ստեղծումը կնպաստի համակարգի շարունակական զարգացմանը, </w:t>
            </w:r>
            <w:r w:rsidRPr="0053423A">
              <w:rPr>
                <w:rFonts w:cs="GHEA Grapalat"/>
                <w:color w:val="000000"/>
                <w:sz w:val="20"/>
                <w:szCs w:val="20"/>
              </w:rPr>
              <w:t>սահմանափակ</w:t>
            </w:r>
            <w:r w:rsidRPr="0053423A">
              <w:rPr>
                <w:rFonts w:cs="GHEA Grapalat"/>
                <w:color w:val="000000"/>
                <w:sz w:val="20"/>
                <w:szCs w:val="20"/>
                <w:lang w:val="af-ZA"/>
              </w:rPr>
              <w:t xml:space="preserve"> </w:t>
            </w:r>
            <w:r w:rsidRPr="0053423A">
              <w:rPr>
                <w:rFonts w:cs="GHEA Grapalat"/>
                <w:color w:val="000000"/>
                <w:sz w:val="20"/>
                <w:szCs w:val="20"/>
              </w:rPr>
              <w:t>կարողոթյուններ</w:t>
            </w:r>
            <w:r w:rsidRPr="0053423A">
              <w:rPr>
                <w:rFonts w:cs="GHEA Grapalat"/>
                <w:color w:val="000000"/>
                <w:sz w:val="20"/>
                <w:szCs w:val="20"/>
                <w:lang w:val="af-ZA"/>
              </w:rPr>
              <w:t xml:space="preserve"> </w:t>
            </w:r>
            <w:r w:rsidRPr="0053423A">
              <w:rPr>
                <w:rFonts w:cs="GHEA Grapalat"/>
                <w:color w:val="000000"/>
                <w:sz w:val="20"/>
                <w:szCs w:val="20"/>
              </w:rPr>
              <w:t>ունեցող</w:t>
            </w:r>
            <w:r w:rsidRPr="0053423A">
              <w:rPr>
                <w:rFonts w:cs="GHEA Grapalat"/>
                <w:color w:val="000000"/>
                <w:sz w:val="20"/>
                <w:szCs w:val="20"/>
                <w:lang w:val="af-ZA"/>
              </w:rPr>
              <w:t xml:space="preserve"> </w:t>
            </w:r>
            <w:r w:rsidRPr="0053423A">
              <w:rPr>
                <w:rFonts w:cs="GHEA Grapalat"/>
                <w:color w:val="000000"/>
                <w:sz w:val="20"/>
                <w:szCs w:val="20"/>
              </w:rPr>
              <w:t>անձանց</w:t>
            </w:r>
            <w:r w:rsidRPr="0053423A">
              <w:rPr>
                <w:rFonts w:cs="GHEA Grapalat"/>
                <w:color w:val="000000"/>
                <w:sz w:val="20"/>
                <w:szCs w:val="20"/>
                <w:lang w:val="af-ZA"/>
              </w:rPr>
              <w:t xml:space="preserve"> </w:t>
            </w:r>
            <w:r w:rsidRPr="0053423A">
              <w:rPr>
                <w:rFonts w:cs="GHEA Grapalat"/>
                <w:color w:val="000000"/>
                <w:sz w:val="20"/>
                <w:szCs w:val="20"/>
              </w:rPr>
              <w:t>համար</w:t>
            </w:r>
            <w:r w:rsidRPr="0053423A">
              <w:rPr>
                <w:rFonts w:cs="GHEA Grapalat"/>
                <w:color w:val="000000"/>
                <w:sz w:val="20"/>
                <w:szCs w:val="20"/>
                <w:lang w:val="af-ZA"/>
              </w:rPr>
              <w:t xml:space="preserve"> </w:t>
            </w:r>
            <w:r w:rsidRPr="0053423A">
              <w:rPr>
                <w:rFonts w:cs="GHEA Grapalat"/>
                <w:color w:val="000000"/>
                <w:sz w:val="20"/>
                <w:szCs w:val="20"/>
              </w:rPr>
              <w:t>կրթության</w:t>
            </w:r>
            <w:r w:rsidRPr="0053423A">
              <w:rPr>
                <w:rFonts w:cs="GHEA Grapalat"/>
                <w:color w:val="000000"/>
                <w:sz w:val="20"/>
                <w:szCs w:val="20"/>
                <w:lang w:val="af-ZA"/>
              </w:rPr>
              <w:t xml:space="preserve"> </w:t>
            </w:r>
            <w:r w:rsidRPr="0053423A">
              <w:rPr>
                <w:rFonts w:cs="GHEA Grapalat"/>
                <w:color w:val="000000"/>
                <w:sz w:val="20"/>
                <w:szCs w:val="20"/>
              </w:rPr>
              <w:t>մատչելիության</w:t>
            </w:r>
            <w:r w:rsidRPr="0053423A">
              <w:rPr>
                <w:rFonts w:cs="GHEA Grapalat"/>
                <w:color w:val="000000"/>
                <w:sz w:val="20"/>
                <w:szCs w:val="20"/>
                <w:lang w:val="af-ZA"/>
              </w:rPr>
              <w:t xml:space="preserve"> </w:t>
            </w:r>
            <w:r w:rsidRPr="0053423A">
              <w:rPr>
                <w:rFonts w:cs="GHEA Grapalat"/>
                <w:color w:val="000000"/>
                <w:sz w:val="20"/>
                <w:szCs w:val="20"/>
              </w:rPr>
              <w:t>ապահովմանը</w:t>
            </w:r>
            <w:r w:rsidRPr="0053423A">
              <w:rPr>
                <w:rFonts w:cs="GHEA Grapalat"/>
                <w:color w:val="000000"/>
                <w:sz w:val="20"/>
                <w:szCs w:val="20"/>
                <w:lang w:val="af-ZA"/>
              </w:rPr>
              <w:t xml:space="preserve">, </w:t>
            </w:r>
            <w:r w:rsidRPr="0053423A">
              <w:rPr>
                <w:rFonts w:cs="GHEA Grapalat"/>
                <w:color w:val="000000"/>
                <w:sz w:val="20"/>
                <w:szCs w:val="20"/>
                <w:lang w:val="hy-AM"/>
              </w:rPr>
              <w:t>ՆՄՄԿ ոլորտում մասնագիտական կրթության և ուսուցման արդիականացմանը, մասնավորապես, մասնագիտական ներուժի կարողությունների հզորացմանը, մասնագիտական կրթության և ուսուցման հեղինակության և վարկանիշի բարձրացմանը:</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spacing w:after="200"/>
              <w:ind w:firstLine="450"/>
              <w:contextualSpacing/>
              <w:jc w:val="center"/>
              <w:rPr>
                <w:rFonts w:cs="GHEA Grapalat"/>
                <w:b/>
                <w:sz w:val="20"/>
                <w:szCs w:val="20"/>
                <w:u w:val="single"/>
                <w:lang w:val="hy-AM"/>
              </w:rPr>
            </w:pPr>
            <w:r w:rsidRPr="0053423A">
              <w:rPr>
                <w:rFonts w:eastAsia="Calibri" w:cs="GHEA Grapalat"/>
                <w:b/>
                <w:color w:val="000000"/>
                <w:sz w:val="20"/>
                <w:szCs w:val="20"/>
                <w:u w:val="single"/>
                <w:lang w:val="af-ZA"/>
              </w:rPr>
              <w:t>21</w:t>
            </w:r>
            <w:r w:rsidRPr="0053423A">
              <w:rPr>
                <w:rFonts w:eastAsia="Calibri" w:cs="GHEA Grapalat"/>
                <w:b/>
                <w:color w:val="000000"/>
                <w:sz w:val="20"/>
                <w:szCs w:val="20"/>
                <w:u w:val="single"/>
                <w:lang w:val="hy-AM"/>
              </w:rPr>
              <w:t>.3</w:t>
            </w:r>
            <w:r w:rsidRPr="0053423A">
              <w:rPr>
                <w:rFonts w:cs="GHEA Grapalat"/>
                <w:sz w:val="20"/>
                <w:szCs w:val="20"/>
                <w:u w:val="single"/>
                <w:lang w:val="hy-AM"/>
              </w:rPr>
              <w:t xml:space="preserve"> </w:t>
            </w:r>
            <w:r w:rsidRPr="0053423A">
              <w:rPr>
                <w:rFonts w:cs="Sylfaen"/>
                <w:b/>
                <w:sz w:val="20"/>
                <w:szCs w:val="20"/>
                <w:u w:val="single"/>
                <w:lang w:val="af-ZA"/>
              </w:rPr>
              <w:t>ՆՄՄԿ ուսումնական hաստատությունների համալրում և հագեցում համապատասխան գույքով և սարքավորումներով</w:t>
            </w:r>
          </w:p>
          <w:p w:rsidR="00154773" w:rsidRPr="0053423A" w:rsidRDefault="00154773" w:rsidP="00154773">
            <w:pPr>
              <w:ind w:firstLine="450"/>
              <w:contextualSpacing/>
              <w:rPr>
                <w:rFonts w:cs="GHEA Grapalat"/>
                <w:b/>
                <w:sz w:val="20"/>
                <w:szCs w:val="20"/>
                <w:lang w:val="af-ZA"/>
              </w:rPr>
            </w:pPr>
          </w:p>
          <w:p w:rsidR="00154773" w:rsidRPr="0053423A" w:rsidRDefault="00154773" w:rsidP="00154773">
            <w:pPr>
              <w:spacing w:line="360" w:lineRule="auto"/>
              <w:ind w:left="450"/>
              <w:contextualSpacing/>
              <w:jc w:val="both"/>
              <w:rPr>
                <w:rFonts w:eastAsia="Times New Roman" w:cs="Times New Roman"/>
                <w:b/>
                <w:sz w:val="20"/>
                <w:szCs w:val="20"/>
                <w:lang w:val="af-ZA"/>
              </w:rPr>
            </w:pPr>
            <w:r w:rsidRPr="0053423A">
              <w:rPr>
                <w:rFonts w:cs="Sylfaen"/>
                <w:b/>
                <w:sz w:val="20"/>
                <w:szCs w:val="20"/>
                <w:lang w:val="af-ZA"/>
              </w:rPr>
              <w:t>1.</w:t>
            </w:r>
            <w:r w:rsidRPr="0053423A">
              <w:rPr>
                <w:rFonts w:cs="Sylfaen"/>
                <w:b/>
                <w:sz w:val="20"/>
                <w:szCs w:val="20"/>
              </w:rPr>
              <w:t>Միջոցառման</w:t>
            </w:r>
            <w:r w:rsidRPr="0053423A">
              <w:rPr>
                <w:b/>
                <w:sz w:val="20"/>
                <w:szCs w:val="20"/>
                <w:lang w:val="et-EE"/>
              </w:rPr>
              <w:t xml:space="preserve"> </w:t>
            </w:r>
            <w:r w:rsidRPr="0053423A">
              <w:rPr>
                <w:b/>
                <w:sz w:val="20"/>
                <w:szCs w:val="20"/>
              </w:rPr>
              <w:t>իրականացման</w:t>
            </w:r>
            <w:r w:rsidRPr="0053423A">
              <w:rPr>
                <w:b/>
                <w:sz w:val="20"/>
                <w:szCs w:val="20"/>
                <w:lang w:val="et-EE"/>
              </w:rPr>
              <w:t xml:space="preserve"> </w:t>
            </w:r>
            <w:r w:rsidRPr="0053423A">
              <w:rPr>
                <w:b/>
                <w:sz w:val="20"/>
                <w:szCs w:val="20"/>
              </w:rPr>
              <w:t>անհրաժեշտությունը</w:t>
            </w:r>
            <w:r w:rsidRPr="0053423A">
              <w:rPr>
                <w:b/>
                <w:sz w:val="20"/>
                <w:szCs w:val="20"/>
                <w:lang w:val="af-ZA"/>
              </w:rPr>
              <w:t xml:space="preserve"> </w:t>
            </w:r>
            <w:r w:rsidRPr="0053423A">
              <w:rPr>
                <w:b/>
                <w:sz w:val="20"/>
                <w:szCs w:val="20"/>
                <w:lang w:val="et-EE"/>
              </w:rPr>
              <w:t xml:space="preserve"> </w:t>
            </w:r>
            <w:r w:rsidRPr="0053423A">
              <w:rPr>
                <w:b/>
                <w:sz w:val="20"/>
                <w:szCs w:val="20"/>
              </w:rPr>
              <w:t>և</w:t>
            </w:r>
            <w:r w:rsidRPr="0053423A">
              <w:rPr>
                <w:b/>
                <w:sz w:val="20"/>
                <w:szCs w:val="20"/>
                <w:lang w:val="et-EE"/>
              </w:rPr>
              <w:t xml:space="preserve">  </w:t>
            </w:r>
            <w:r w:rsidRPr="0053423A">
              <w:rPr>
                <w:b/>
                <w:sz w:val="20"/>
                <w:szCs w:val="20"/>
              </w:rPr>
              <w:t>նպատակը</w:t>
            </w:r>
          </w:p>
          <w:p w:rsidR="00154773" w:rsidRPr="0053423A" w:rsidRDefault="00154773" w:rsidP="00154773">
            <w:pPr>
              <w:ind w:firstLine="450"/>
              <w:contextualSpacing/>
              <w:rPr>
                <w:rFonts w:cs="GHEA Grapalat"/>
                <w:b/>
                <w:sz w:val="20"/>
                <w:szCs w:val="20"/>
                <w:lang w:val="af-ZA"/>
              </w:rPr>
            </w:pPr>
          </w:p>
          <w:p w:rsidR="00154773" w:rsidRPr="0053423A" w:rsidRDefault="00154773" w:rsidP="00154773">
            <w:pPr>
              <w:ind w:firstLine="450"/>
              <w:contextualSpacing/>
              <w:jc w:val="both"/>
              <w:rPr>
                <w:rFonts w:eastAsia="Calibri" w:cs="Sylfaen"/>
                <w:sz w:val="20"/>
                <w:szCs w:val="20"/>
                <w:lang w:val="af-ZA"/>
              </w:rPr>
            </w:pPr>
            <w:r w:rsidRPr="0053423A">
              <w:rPr>
                <w:rFonts w:eastAsia="Calibri" w:cs="Sylfaen"/>
                <w:sz w:val="20"/>
                <w:szCs w:val="20"/>
                <w:lang w:val="en-GB"/>
              </w:rPr>
              <w:t>Միջոցառման</w:t>
            </w:r>
            <w:r w:rsidRPr="0053423A">
              <w:rPr>
                <w:rFonts w:eastAsia="Calibri" w:cs="Sylfaen"/>
                <w:sz w:val="20"/>
                <w:szCs w:val="20"/>
                <w:lang w:val="af-ZA"/>
              </w:rPr>
              <w:t xml:space="preserve"> </w:t>
            </w:r>
            <w:r w:rsidRPr="0053423A">
              <w:rPr>
                <w:rFonts w:eastAsia="Calibri" w:cs="Sylfaen"/>
                <w:sz w:val="20"/>
                <w:szCs w:val="20"/>
                <w:lang w:val="en-GB"/>
              </w:rPr>
              <w:t>գլխավոր</w:t>
            </w:r>
            <w:r w:rsidRPr="0053423A">
              <w:rPr>
                <w:rFonts w:eastAsia="Calibri" w:cs="Sylfaen"/>
                <w:sz w:val="20"/>
                <w:szCs w:val="20"/>
                <w:lang w:val="af-ZA"/>
              </w:rPr>
              <w:t xml:space="preserve"> </w:t>
            </w:r>
            <w:r w:rsidRPr="0053423A">
              <w:rPr>
                <w:rFonts w:eastAsia="Calibri" w:cs="Sylfaen"/>
                <w:sz w:val="20"/>
                <w:szCs w:val="20"/>
                <w:lang w:val="en-GB"/>
              </w:rPr>
              <w:t>նպատակն</w:t>
            </w:r>
            <w:r w:rsidRPr="0053423A">
              <w:rPr>
                <w:rFonts w:eastAsia="Calibri" w:cs="Sylfaen"/>
                <w:sz w:val="20"/>
                <w:szCs w:val="20"/>
                <w:lang w:val="af-ZA"/>
              </w:rPr>
              <w:t xml:space="preserve"> </w:t>
            </w:r>
            <w:r w:rsidRPr="0053423A">
              <w:rPr>
                <w:rFonts w:eastAsia="Calibri" w:cs="Sylfaen"/>
                <w:sz w:val="20"/>
                <w:szCs w:val="20"/>
                <w:lang w:val="en-GB"/>
              </w:rPr>
              <w:t>է</w:t>
            </w:r>
            <w:r w:rsidRPr="0053423A">
              <w:rPr>
                <w:rFonts w:eastAsia="Calibri" w:cs="Sylfaen"/>
                <w:sz w:val="20"/>
                <w:szCs w:val="20"/>
                <w:lang w:val="af-ZA"/>
              </w:rPr>
              <w:t xml:space="preserve"> </w:t>
            </w:r>
            <w:r w:rsidRPr="0053423A">
              <w:rPr>
                <w:rFonts w:eastAsia="Calibri" w:cs="Sylfaen"/>
                <w:sz w:val="20"/>
                <w:szCs w:val="20"/>
                <w:lang w:val="en-GB"/>
              </w:rPr>
              <w:t>ուսումնական</w:t>
            </w:r>
            <w:r w:rsidRPr="0053423A">
              <w:rPr>
                <w:rFonts w:eastAsia="Calibri" w:cs="Sylfaen"/>
                <w:sz w:val="20"/>
                <w:szCs w:val="20"/>
                <w:lang w:val="af-ZA"/>
              </w:rPr>
              <w:t xml:space="preserve"> </w:t>
            </w:r>
            <w:r w:rsidRPr="0053423A">
              <w:rPr>
                <w:rFonts w:eastAsia="Calibri" w:cs="Sylfaen"/>
                <w:sz w:val="20"/>
                <w:szCs w:val="20"/>
                <w:lang w:val="en-GB"/>
              </w:rPr>
              <w:t>հաստատությունների</w:t>
            </w:r>
            <w:r w:rsidRPr="0053423A">
              <w:rPr>
                <w:rFonts w:eastAsia="Calibri" w:cs="Sylfaen"/>
                <w:sz w:val="20"/>
                <w:szCs w:val="20"/>
                <w:lang w:val="af-ZA"/>
              </w:rPr>
              <w:t xml:space="preserve"> </w:t>
            </w:r>
            <w:r w:rsidRPr="0053423A">
              <w:rPr>
                <w:rFonts w:eastAsia="Calibri" w:cs="Sylfaen"/>
                <w:sz w:val="20"/>
                <w:szCs w:val="20"/>
                <w:lang w:val="en-GB"/>
              </w:rPr>
              <w:t>շենքային</w:t>
            </w:r>
            <w:r w:rsidRPr="0053423A">
              <w:rPr>
                <w:rFonts w:eastAsia="Calibri" w:cs="Sylfaen"/>
                <w:sz w:val="20"/>
                <w:szCs w:val="20"/>
                <w:lang w:val="af-ZA"/>
              </w:rPr>
              <w:t xml:space="preserve"> </w:t>
            </w:r>
            <w:r w:rsidRPr="0053423A">
              <w:rPr>
                <w:rFonts w:eastAsia="Calibri" w:cs="Sylfaen"/>
                <w:sz w:val="20"/>
                <w:szCs w:val="20"/>
                <w:lang w:val="en-GB"/>
              </w:rPr>
              <w:t>պայմանների</w:t>
            </w:r>
            <w:r w:rsidRPr="0053423A">
              <w:rPr>
                <w:rFonts w:eastAsia="Calibri" w:cs="Sylfaen"/>
                <w:sz w:val="20"/>
                <w:szCs w:val="20"/>
                <w:lang w:val="af-ZA"/>
              </w:rPr>
              <w:t xml:space="preserve"> </w:t>
            </w:r>
            <w:r w:rsidRPr="0053423A">
              <w:rPr>
                <w:rFonts w:eastAsia="Calibri" w:cs="Sylfaen"/>
                <w:sz w:val="20"/>
                <w:szCs w:val="20"/>
                <w:lang w:val="en-GB"/>
              </w:rPr>
              <w:t>բարելավումը</w:t>
            </w:r>
            <w:r w:rsidRPr="0053423A">
              <w:rPr>
                <w:rFonts w:eastAsia="Calibri" w:cs="Sylfaen"/>
                <w:sz w:val="20"/>
                <w:szCs w:val="20"/>
                <w:lang w:val="af-ZA"/>
              </w:rPr>
              <w:t xml:space="preserve"> </w:t>
            </w:r>
            <w:r w:rsidRPr="0053423A">
              <w:rPr>
                <w:rFonts w:eastAsia="Calibri" w:cs="Sylfaen"/>
                <w:sz w:val="20"/>
                <w:szCs w:val="20"/>
                <w:lang w:val="en-GB"/>
              </w:rPr>
              <w:t>և</w:t>
            </w:r>
            <w:r w:rsidRPr="0053423A">
              <w:rPr>
                <w:rFonts w:eastAsia="Calibri" w:cs="Sylfaen"/>
                <w:sz w:val="20"/>
                <w:szCs w:val="20"/>
                <w:lang w:val="af-ZA"/>
              </w:rPr>
              <w:t xml:space="preserve"> </w:t>
            </w:r>
            <w:r w:rsidRPr="0053423A">
              <w:rPr>
                <w:rFonts w:eastAsia="Calibri" w:cs="Sylfaen"/>
                <w:sz w:val="20"/>
                <w:szCs w:val="20"/>
                <w:lang w:val="en-GB"/>
              </w:rPr>
              <w:t>սպառնացող</w:t>
            </w:r>
            <w:r w:rsidRPr="0053423A">
              <w:rPr>
                <w:rFonts w:eastAsia="Calibri" w:cs="Sylfaen"/>
                <w:sz w:val="20"/>
                <w:szCs w:val="20"/>
                <w:lang w:val="af-ZA"/>
              </w:rPr>
              <w:t xml:space="preserve"> </w:t>
            </w:r>
            <w:r w:rsidRPr="0053423A">
              <w:rPr>
                <w:rFonts w:eastAsia="Calibri" w:cs="Sylfaen"/>
                <w:sz w:val="20"/>
                <w:szCs w:val="20"/>
                <w:lang w:val="en-GB"/>
              </w:rPr>
              <w:t>աղետների</w:t>
            </w:r>
            <w:r w:rsidRPr="0053423A">
              <w:rPr>
                <w:rFonts w:eastAsia="Calibri" w:cs="Sylfaen"/>
                <w:sz w:val="20"/>
                <w:szCs w:val="20"/>
                <w:lang w:val="af-ZA"/>
              </w:rPr>
              <w:t xml:space="preserve"> </w:t>
            </w:r>
            <w:r w:rsidRPr="0053423A">
              <w:rPr>
                <w:rFonts w:eastAsia="Calibri" w:cs="Sylfaen"/>
                <w:sz w:val="20"/>
                <w:szCs w:val="20"/>
                <w:lang w:val="en-GB"/>
              </w:rPr>
              <w:t>ռիսկի</w:t>
            </w:r>
            <w:r w:rsidRPr="0053423A">
              <w:rPr>
                <w:rFonts w:eastAsia="Calibri" w:cs="Sylfaen"/>
                <w:sz w:val="20"/>
                <w:szCs w:val="20"/>
                <w:lang w:val="af-ZA"/>
              </w:rPr>
              <w:t xml:space="preserve"> </w:t>
            </w:r>
            <w:r w:rsidRPr="0053423A">
              <w:rPr>
                <w:rFonts w:eastAsia="Calibri" w:cs="Sylfaen"/>
                <w:sz w:val="20"/>
                <w:szCs w:val="20"/>
                <w:lang w:val="en-GB"/>
              </w:rPr>
              <w:t>կառավարման</w:t>
            </w:r>
            <w:r w:rsidRPr="0053423A">
              <w:rPr>
                <w:rFonts w:eastAsia="Calibri" w:cs="Sylfaen"/>
                <w:sz w:val="20"/>
                <w:szCs w:val="20"/>
                <w:lang w:val="af-ZA"/>
              </w:rPr>
              <w:t xml:space="preserve"> </w:t>
            </w:r>
            <w:r w:rsidRPr="0053423A">
              <w:rPr>
                <w:rFonts w:eastAsia="Calibri" w:cs="Sylfaen"/>
                <w:sz w:val="20"/>
                <w:szCs w:val="20"/>
                <w:lang w:val="en-GB"/>
              </w:rPr>
              <w:t>կարողությունների</w:t>
            </w:r>
            <w:r w:rsidRPr="0053423A">
              <w:rPr>
                <w:rFonts w:eastAsia="Calibri" w:cs="Sylfaen"/>
                <w:sz w:val="20"/>
                <w:szCs w:val="20"/>
                <w:lang w:val="af-ZA"/>
              </w:rPr>
              <w:t xml:space="preserve"> </w:t>
            </w:r>
            <w:r w:rsidRPr="0053423A">
              <w:rPr>
                <w:rFonts w:eastAsia="Calibri" w:cs="Sylfaen"/>
                <w:sz w:val="20"/>
                <w:szCs w:val="20"/>
                <w:lang w:val="en-GB"/>
              </w:rPr>
              <w:t>հզորացումը</w:t>
            </w:r>
            <w:r w:rsidRPr="0053423A">
              <w:rPr>
                <w:rFonts w:eastAsia="Calibri" w:cs="Sylfaen"/>
                <w:sz w:val="20"/>
                <w:szCs w:val="20"/>
                <w:lang w:val="af-ZA"/>
              </w:rPr>
              <w:t>:</w:t>
            </w:r>
          </w:p>
          <w:p w:rsidR="00154773" w:rsidRPr="0053423A" w:rsidRDefault="00154773" w:rsidP="00154773">
            <w:pPr>
              <w:ind w:firstLine="450"/>
              <w:contextualSpacing/>
              <w:jc w:val="both"/>
              <w:rPr>
                <w:b/>
                <w:sz w:val="20"/>
                <w:szCs w:val="20"/>
                <w:u w:val="single"/>
                <w:lang w:val="hy-AM"/>
              </w:rPr>
            </w:pPr>
            <w:r w:rsidRPr="0053423A">
              <w:rPr>
                <w:rFonts w:eastAsia="Times New Roman" w:cs="Times New Roman"/>
                <w:sz w:val="20"/>
                <w:szCs w:val="20"/>
                <w:lang w:val="hy-AM"/>
              </w:rPr>
              <w:t xml:space="preserve">Միջոցառման իրականացման անհրաժեշտությունը պայմանավորված է </w:t>
            </w:r>
            <w:r w:rsidRPr="0053423A">
              <w:rPr>
                <w:rFonts w:cs="Arial"/>
                <w:color w:val="000000"/>
                <w:sz w:val="20"/>
                <w:szCs w:val="20"/>
                <w:lang w:val="hy-AM"/>
              </w:rPr>
              <w:t>ՀՀ</w:t>
            </w:r>
            <w:r w:rsidRPr="0053423A">
              <w:rPr>
                <w:rFonts w:cs="Arial"/>
                <w:color w:val="000000"/>
                <w:sz w:val="20"/>
                <w:szCs w:val="20"/>
                <w:lang w:val="af-ZA"/>
              </w:rPr>
              <w:t xml:space="preserve"> </w:t>
            </w:r>
            <w:r w:rsidRPr="0053423A">
              <w:rPr>
                <w:rFonts w:cs="Arial"/>
                <w:color w:val="000000"/>
                <w:sz w:val="20"/>
                <w:szCs w:val="20"/>
                <w:lang w:val="hy-AM"/>
              </w:rPr>
              <w:t>կառավարության</w:t>
            </w:r>
            <w:r w:rsidRPr="0053423A">
              <w:rPr>
                <w:rFonts w:cs="Arial"/>
                <w:color w:val="000000"/>
                <w:sz w:val="20"/>
                <w:szCs w:val="20"/>
                <w:lang w:val="af-ZA"/>
              </w:rPr>
              <w:t xml:space="preserve"> 2019</w:t>
            </w:r>
            <w:r w:rsidRPr="0053423A">
              <w:rPr>
                <w:rFonts w:cs="Arial"/>
                <w:color w:val="000000"/>
                <w:sz w:val="20"/>
                <w:szCs w:val="20"/>
                <w:lang w:val="hy-AM"/>
              </w:rPr>
              <w:t>թ</w:t>
            </w:r>
            <w:r w:rsidRPr="0053423A">
              <w:rPr>
                <w:rFonts w:cs="Arial"/>
                <w:color w:val="000000"/>
                <w:sz w:val="20"/>
                <w:szCs w:val="20"/>
                <w:lang w:val="af-ZA"/>
              </w:rPr>
              <w:t xml:space="preserve">. ծրագրի 4-րդ գլխի 4.4 կետով (3-րդ և 5-րդ պարբերություններ), </w:t>
            </w:r>
            <w:r w:rsidRPr="0053423A">
              <w:rPr>
                <w:sz w:val="20"/>
                <w:szCs w:val="20"/>
                <w:lang w:val="hy-AM"/>
              </w:rPr>
              <w:t xml:space="preserve">&lt;&lt;Նախնական մասնագիտական (արհեստագործական) և միջին մասնագիտական կրթության մասին&gt;&gt; ՀՀ օրենքի </w:t>
            </w:r>
            <w:r w:rsidRPr="0053423A">
              <w:rPr>
                <w:sz w:val="20"/>
                <w:szCs w:val="20"/>
                <w:lang w:val="af-ZA"/>
              </w:rPr>
              <w:t>23-</w:t>
            </w:r>
            <w:r w:rsidRPr="0053423A">
              <w:rPr>
                <w:sz w:val="20"/>
                <w:szCs w:val="20"/>
                <w:lang w:val="hy-AM"/>
              </w:rPr>
              <w:t>րդ հոդվածի 1-ին</w:t>
            </w:r>
            <w:r w:rsidRPr="0053423A">
              <w:rPr>
                <w:sz w:val="20"/>
                <w:szCs w:val="20"/>
                <w:lang w:val="af-ZA"/>
              </w:rPr>
              <w:t xml:space="preserve"> </w:t>
            </w:r>
            <w:r w:rsidRPr="0053423A">
              <w:rPr>
                <w:sz w:val="20"/>
                <w:szCs w:val="20"/>
                <w:lang w:val="hy-AM"/>
              </w:rPr>
              <w:t>կետով:</w:t>
            </w:r>
          </w:p>
          <w:p w:rsidR="00154773" w:rsidRPr="0053423A" w:rsidRDefault="00154773" w:rsidP="00154773">
            <w:pPr>
              <w:ind w:firstLine="450"/>
              <w:contextualSpacing/>
              <w:jc w:val="both"/>
              <w:rPr>
                <w:rFonts w:cs="Sylfaen"/>
                <w:sz w:val="20"/>
                <w:szCs w:val="20"/>
                <w:lang w:val="af-ZA"/>
              </w:rPr>
            </w:pPr>
            <w:r w:rsidRPr="0053423A">
              <w:rPr>
                <w:rFonts w:cs="GHEA Grapalat"/>
                <w:sz w:val="20"/>
                <w:szCs w:val="20"/>
                <w:lang w:val="hy-AM"/>
              </w:rPr>
              <w:t>Նյութատեխնիկական</w:t>
            </w:r>
            <w:r w:rsidRPr="0053423A">
              <w:rPr>
                <w:rFonts w:cs="GHEA Grapalat"/>
                <w:sz w:val="20"/>
                <w:szCs w:val="20"/>
                <w:lang w:val="af-ZA"/>
              </w:rPr>
              <w:t xml:space="preserve"> </w:t>
            </w:r>
            <w:r w:rsidRPr="0053423A">
              <w:rPr>
                <w:rFonts w:cs="GHEA Grapalat"/>
                <w:sz w:val="20"/>
                <w:szCs w:val="20"/>
                <w:lang w:val="hy-AM"/>
              </w:rPr>
              <w:t>և</w:t>
            </w:r>
            <w:r w:rsidRPr="0053423A">
              <w:rPr>
                <w:rFonts w:cs="GHEA Grapalat"/>
                <w:sz w:val="20"/>
                <w:szCs w:val="20"/>
                <w:lang w:val="af-ZA"/>
              </w:rPr>
              <w:t xml:space="preserve"> </w:t>
            </w:r>
            <w:r w:rsidRPr="0053423A">
              <w:rPr>
                <w:rFonts w:cs="GHEA Grapalat"/>
                <w:sz w:val="20"/>
                <w:szCs w:val="20"/>
                <w:lang w:val="hy-AM"/>
              </w:rPr>
              <w:t>ուսումնաարտադրական</w:t>
            </w:r>
            <w:r w:rsidRPr="0053423A">
              <w:rPr>
                <w:rFonts w:cs="GHEA Grapalat"/>
                <w:sz w:val="20"/>
                <w:szCs w:val="20"/>
                <w:lang w:val="af-ZA"/>
              </w:rPr>
              <w:t xml:space="preserve"> </w:t>
            </w:r>
            <w:r w:rsidRPr="0053423A">
              <w:rPr>
                <w:rFonts w:cs="GHEA Grapalat"/>
                <w:sz w:val="20"/>
                <w:szCs w:val="20"/>
                <w:lang w:val="hy-AM"/>
              </w:rPr>
              <w:t>բազայի</w:t>
            </w:r>
            <w:r w:rsidRPr="0053423A">
              <w:rPr>
                <w:rFonts w:cs="GHEA Grapalat"/>
                <w:sz w:val="20"/>
                <w:szCs w:val="20"/>
                <w:lang w:val="af-ZA"/>
              </w:rPr>
              <w:t xml:space="preserve"> </w:t>
            </w:r>
            <w:r w:rsidRPr="0053423A">
              <w:rPr>
                <w:rFonts w:cs="GHEA Grapalat"/>
                <w:sz w:val="20"/>
                <w:szCs w:val="20"/>
                <w:lang w:val="hy-AM"/>
              </w:rPr>
              <w:t>ակնհայտ</w:t>
            </w:r>
            <w:r w:rsidRPr="0053423A">
              <w:rPr>
                <w:rFonts w:cs="GHEA Grapalat"/>
                <w:sz w:val="20"/>
                <w:szCs w:val="20"/>
                <w:lang w:val="af-ZA"/>
              </w:rPr>
              <w:t xml:space="preserve"> </w:t>
            </w:r>
            <w:r w:rsidRPr="0053423A">
              <w:rPr>
                <w:rFonts w:cs="GHEA Grapalat"/>
                <w:sz w:val="20"/>
                <w:szCs w:val="20"/>
                <w:lang w:val="hy-AM"/>
              </w:rPr>
              <w:t>ետ</w:t>
            </w:r>
            <w:r w:rsidRPr="0053423A">
              <w:rPr>
                <w:rFonts w:cs="GHEA Grapalat"/>
                <w:sz w:val="20"/>
                <w:szCs w:val="20"/>
                <w:lang w:val="af-ZA"/>
              </w:rPr>
              <w:t xml:space="preserve"> </w:t>
            </w:r>
            <w:r w:rsidRPr="0053423A">
              <w:rPr>
                <w:rFonts w:cs="GHEA Grapalat"/>
                <w:sz w:val="20"/>
                <w:szCs w:val="20"/>
                <w:lang w:val="hy-AM"/>
              </w:rPr>
              <w:t>մնալը</w:t>
            </w:r>
            <w:r w:rsidRPr="0053423A">
              <w:rPr>
                <w:rFonts w:cs="GHEA Grapalat"/>
                <w:sz w:val="20"/>
                <w:szCs w:val="20"/>
                <w:lang w:val="af-ZA"/>
              </w:rPr>
              <w:t xml:space="preserve"> </w:t>
            </w:r>
            <w:r w:rsidRPr="0053423A">
              <w:rPr>
                <w:rFonts w:cs="GHEA Grapalat"/>
                <w:sz w:val="20"/>
                <w:szCs w:val="20"/>
                <w:lang w:val="hy-AM"/>
              </w:rPr>
              <w:t>ժամանակակից</w:t>
            </w:r>
            <w:r w:rsidRPr="0053423A">
              <w:rPr>
                <w:rFonts w:cs="GHEA Grapalat"/>
                <w:sz w:val="20"/>
                <w:szCs w:val="20"/>
                <w:lang w:val="af-ZA"/>
              </w:rPr>
              <w:t xml:space="preserve"> </w:t>
            </w:r>
            <w:r w:rsidRPr="0053423A">
              <w:rPr>
                <w:rFonts w:cs="GHEA Grapalat"/>
                <w:sz w:val="20"/>
                <w:szCs w:val="20"/>
                <w:lang w:val="hy-AM"/>
              </w:rPr>
              <w:t>բարձր</w:t>
            </w:r>
            <w:r w:rsidRPr="0053423A">
              <w:rPr>
                <w:rFonts w:cs="GHEA Grapalat"/>
                <w:sz w:val="20"/>
                <w:szCs w:val="20"/>
                <w:lang w:val="af-ZA"/>
              </w:rPr>
              <w:t xml:space="preserve"> </w:t>
            </w:r>
            <w:r w:rsidRPr="0053423A">
              <w:rPr>
                <w:rFonts w:cs="GHEA Grapalat"/>
                <w:sz w:val="20"/>
                <w:szCs w:val="20"/>
                <w:lang w:val="hy-AM"/>
              </w:rPr>
              <w:t>տեխնոլոգիական</w:t>
            </w:r>
            <w:r w:rsidRPr="0053423A">
              <w:rPr>
                <w:rFonts w:cs="GHEA Grapalat"/>
                <w:sz w:val="20"/>
                <w:szCs w:val="20"/>
                <w:lang w:val="af-ZA"/>
              </w:rPr>
              <w:t xml:space="preserve"> </w:t>
            </w:r>
            <w:r w:rsidRPr="0053423A">
              <w:rPr>
                <w:rFonts w:cs="GHEA Grapalat"/>
                <w:sz w:val="20"/>
                <w:szCs w:val="20"/>
                <w:lang w:val="hy-AM"/>
              </w:rPr>
              <w:t>արդյունաբերությունից</w:t>
            </w:r>
            <w:r w:rsidRPr="0053423A">
              <w:rPr>
                <w:rFonts w:cs="GHEA Grapalat"/>
                <w:sz w:val="20"/>
                <w:szCs w:val="20"/>
                <w:lang w:val="af-ZA"/>
              </w:rPr>
              <w:t xml:space="preserve"> </w:t>
            </w:r>
            <w:r w:rsidRPr="0053423A">
              <w:rPr>
                <w:rFonts w:cs="GHEA Grapalat"/>
                <w:sz w:val="20"/>
                <w:szCs w:val="20"/>
                <w:lang w:val="hy-AM"/>
              </w:rPr>
              <w:t>հանգեցնում</w:t>
            </w:r>
            <w:r w:rsidRPr="0053423A">
              <w:rPr>
                <w:rFonts w:cs="GHEA Grapalat"/>
                <w:sz w:val="20"/>
                <w:szCs w:val="20"/>
                <w:lang w:val="af-ZA"/>
              </w:rPr>
              <w:t xml:space="preserve"> </w:t>
            </w:r>
            <w:r w:rsidRPr="0053423A">
              <w:rPr>
                <w:rFonts w:cs="GHEA Grapalat"/>
                <w:sz w:val="20"/>
                <w:szCs w:val="20"/>
                <w:lang w:val="hy-AM"/>
              </w:rPr>
              <w:t>է</w:t>
            </w:r>
            <w:r w:rsidRPr="0053423A">
              <w:rPr>
                <w:rFonts w:cs="GHEA Grapalat"/>
                <w:sz w:val="20"/>
                <w:szCs w:val="20"/>
                <w:lang w:val="af-ZA"/>
              </w:rPr>
              <w:t xml:space="preserve"> </w:t>
            </w:r>
            <w:r w:rsidRPr="0053423A">
              <w:rPr>
                <w:rFonts w:cs="GHEA Grapalat"/>
                <w:sz w:val="20"/>
                <w:szCs w:val="20"/>
                <w:lang w:val="hy-AM"/>
              </w:rPr>
              <w:t>տնտեսության</w:t>
            </w:r>
            <w:r w:rsidRPr="0053423A">
              <w:rPr>
                <w:rFonts w:cs="GHEA Grapalat"/>
                <w:sz w:val="20"/>
                <w:szCs w:val="20"/>
                <w:lang w:val="af-ZA"/>
              </w:rPr>
              <w:t xml:space="preserve"> </w:t>
            </w:r>
            <w:r w:rsidRPr="0053423A">
              <w:rPr>
                <w:rFonts w:cs="GHEA Grapalat"/>
                <w:sz w:val="20"/>
                <w:szCs w:val="20"/>
                <w:lang w:val="hy-AM"/>
              </w:rPr>
              <w:t>պահանջների</w:t>
            </w:r>
            <w:r w:rsidRPr="0053423A">
              <w:rPr>
                <w:rFonts w:cs="GHEA Grapalat"/>
                <w:sz w:val="20"/>
                <w:szCs w:val="20"/>
                <w:lang w:val="af-ZA"/>
              </w:rPr>
              <w:t xml:space="preserve"> </w:t>
            </w:r>
            <w:r w:rsidRPr="0053423A">
              <w:rPr>
                <w:rFonts w:cs="GHEA Grapalat"/>
                <w:sz w:val="20"/>
                <w:szCs w:val="20"/>
                <w:lang w:val="hy-AM"/>
              </w:rPr>
              <w:t>անհամապատասխանության</w:t>
            </w:r>
            <w:r w:rsidRPr="0053423A">
              <w:rPr>
                <w:rFonts w:cs="GHEA Grapalat"/>
                <w:sz w:val="20"/>
                <w:szCs w:val="20"/>
                <w:lang w:val="af-ZA"/>
              </w:rPr>
              <w:t xml:space="preserve">, </w:t>
            </w:r>
            <w:r w:rsidRPr="0053423A">
              <w:rPr>
                <w:rFonts w:cs="GHEA Grapalat"/>
                <w:sz w:val="20"/>
                <w:szCs w:val="20"/>
                <w:lang w:val="hy-AM"/>
              </w:rPr>
              <w:t>որն</w:t>
            </w:r>
            <w:r w:rsidRPr="0053423A">
              <w:rPr>
                <w:rFonts w:cs="GHEA Grapalat"/>
                <w:sz w:val="20"/>
                <w:szCs w:val="20"/>
                <w:lang w:val="af-ZA"/>
              </w:rPr>
              <w:t xml:space="preserve"> </w:t>
            </w:r>
            <w:r w:rsidRPr="0053423A">
              <w:rPr>
                <w:rFonts w:cs="GHEA Grapalat"/>
                <w:sz w:val="20"/>
                <w:szCs w:val="20"/>
                <w:lang w:val="hy-AM"/>
              </w:rPr>
              <w:t>իր</w:t>
            </w:r>
            <w:r w:rsidRPr="0053423A">
              <w:rPr>
                <w:rFonts w:cs="GHEA Grapalat"/>
                <w:sz w:val="20"/>
                <w:szCs w:val="20"/>
                <w:lang w:val="af-ZA"/>
              </w:rPr>
              <w:t xml:space="preserve"> </w:t>
            </w:r>
            <w:r w:rsidRPr="0053423A">
              <w:rPr>
                <w:rFonts w:cs="GHEA Grapalat"/>
                <w:sz w:val="20"/>
                <w:szCs w:val="20"/>
                <w:lang w:val="hy-AM"/>
              </w:rPr>
              <w:t>հերթին</w:t>
            </w:r>
            <w:r w:rsidRPr="0053423A">
              <w:rPr>
                <w:rFonts w:cs="GHEA Grapalat"/>
                <w:sz w:val="20"/>
                <w:szCs w:val="20"/>
                <w:lang w:val="af-ZA"/>
              </w:rPr>
              <w:t xml:space="preserve"> </w:t>
            </w:r>
            <w:r w:rsidRPr="0053423A">
              <w:rPr>
                <w:rFonts w:cs="GHEA Grapalat"/>
                <w:sz w:val="20"/>
                <w:szCs w:val="20"/>
                <w:lang w:val="hy-AM"/>
              </w:rPr>
              <w:t>վտանգում</w:t>
            </w:r>
            <w:r w:rsidRPr="0053423A">
              <w:rPr>
                <w:rFonts w:cs="GHEA Grapalat"/>
                <w:sz w:val="20"/>
                <w:szCs w:val="20"/>
                <w:lang w:val="af-ZA"/>
              </w:rPr>
              <w:t xml:space="preserve"> </w:t>
            </w:r>
            <w:r w:rsidRPr="0053423A">
              <w:rPr>
                <w:rFonts w:cs="GHEA Grapalat"/>
                <w:sz w:val="20"/>
                <w:szCs w:val="20"/>
                <w:lang w:val="hy-AM"/>
              </w:rPr>
              <w:t>է</w:t>
            </w:r>
            <w:r w:rsidRPr="0053423A">
              <w:rPr>
                <w:rFonts w:cs="GHEA Grapalat"/>
                <w:sz w:val="20"/>
                <w:szCs w:val="20"/>
                <w:lang w:val="af-ZA"/>
              </w:rPr>
              <w:t xml:space="preserve"> </w:t>
            </w:r>
            <w:r w:rsidRPr="0053423A">
              <w:rPr>
                <w:rFonts w:cs="GHEA Grapalat"/>
                <w:sz w:val="20"/>
                <w:szCs w:val="20"/>
                <w:lang w:val="hy-AM"/>
              </w:rPr>
              <w:t>կրթության</w:t>
            </w:r>
            <w:r w:rsidRPr="0053423A">
              <w:rPr>
                <w:rFonts w:cs="GHEA Grapalat"/>
                <w:sz w:val="20"/>
                <w:szCs w:val="20"/>
                <w:lang w:val="af-ZA"/>
              </w:rPr>
              <w:t xml:space="preserve"> </w:t>
            </w:r>
            <w:r w:rsidRPr="0053423A">
              <w:rPr>
                <w:rFonts w:cs="GHEA Grapalat"/>
                <w:sz w:val="20"/>
                <w:szCs w:val="20"/>
                <w:lang w:val="hy-AM"/>
              </w:rPr>
              <w:t>որակի</w:t>
            </w:r>
            <w:r w:rsidRPr="0053423A">
              <w:rPr>
                <w:rFonts w:cs="GHEA Grapalat"/>
                <w:sz w:val="20"/>
                <w:szCs w:val="20"/>
                <w:lang w:val="af-ZA"/>
              </w:rPr>
              <w:t xml:space="preserve">, </w:t>
            </w:r>
            <w:r w:rsidRPr="0053423A">
              <w:rPr>
                <w:rFonts w:cs="GHEA Grapalat"/>
                <w:sz w:val="20"/>
                <w:szCs w:val="20"/>
                <w:lang w:val="hy-AM"/>
              </w:rPr>
              <w:t>արդյունավետության</w:t>
            </w:r>
            <w:r w:rsidRPr="0053423A">
              <w:rPr>
                <w:rFonts w:cs="GHEA Grapalat"/>
                <w:sz w:val="20"/>
                <w:szCs w:val="20"/>
                <w:lang w:val="af-ZA"/>
              </w:rPr>
              <w:t xml:space="preserve">, </w:t>
            </w:r>
            <w:r w:rsidRPr="0053423A">
              <w:rPr>
                <w:rFonts w:cs="GHEA Grapalat"/>
                <w:sz w:val="20"/>
                <w:szCs w:val="20"/>
                <w:lang w:val="hy-AM"/>
              </w:rPr>
              <w:t>հետևաբար</w:t>
            </w:r>
            <w:r w:rsidRPr="0053423A">
              <w:rPr>
                <w:rFonts w:cs="GHEA Grapalat"/>
                <w:sz w:val="20"/>
                <w:szCs w:val="20"/>
                <w:lang w:val="af-ZA"/>
              </w:rPr>
              <w:t xml:space="preserve">  </w:t>
            </w:r>
            <w:r w:rsidRPr="0053423A">
              <w:rPr>
                <w:rFonts w:cs="GHEA Grapalat"/>
                <w:sz w:val="20"/>
                <w:szCs w:val="20"/>
                <w:lang w:val="hy-AM"/>
              </w:rPr>
              <w:t>որակյալ</w:t>
            </w:r>
            <w:r w:rsidRPr="0053423A">
              <w:rPr>
                <w:rFonts w:cs="GHEA Grapalat"/>
                <w:sz w:val="20"/>
                <w:szCs w:val="20"/>
                <w:lang w:val="af-ZA"/>
              </w:rPr>
              <w:t xml:space="preserve"> </w:t>
            </w:r>
            <w:r w:rsidRPr="0053423A">
              <w:rPr>
                <w:rFonts w:cs="GHEA Grapalat"/>
                <w:sz w:val="20"/>
                <w:szCs w:val="20"/>
                <w:lang w:val="hy-AM"/>
              </w:rPr>
              <w:t>մասնագիտական</w:t>
            </w:r>
            <w:r w:rsidRPr="0053423A">
              <w:rPr>
                <w:rFonts w:cs="GHEA Grapalat"/>
                <w:sz w:val="20"/>
                <w:szCs w:val="20"/>
                <w:lang w:val="af-ZA"/>
              </w:rPr>
              <w:t xml:space="preserve"> </w:t>
            </w:r>
            <w:r w:rsidRPr="0053423A">
              <w:rPr>
                <w:rFonts w:cs="GHEA Grapalat"/>
                <w:sz w:val="20"/>
                <w:szCs w:val="20"/>
                <w:lang w:val="hy-AM"/>
              </w:rPr>
              <w:t>կադրերի</w:t>
            </w:r>
            <w:r w:rsidRPr="0053423A">
              <w:rPr>
                <w:rFonts w:cs="GHEA Grapalat"/>
                <w:sz w:val="20"/>
                <w:szCs w:val="20"/>
                <w:lang w:val="af-ZA"/>
              </w:rPr>
              <w:t xml:space="preserve"> </w:t>
            </w:r>
            <w:r w:rsidRPr="0053423A">
              <w:rPr>
                <w:rFonts w:cs="GHEA Grapalat"/>
                <w:sz w:val="20"/>
                <w:szCs w:val="20"/>
                <w:lang w:val="hy-AM"/>
              </w:rPr>
              <w:t>պատրաստման</w:t>
            </w:r>
            <w:r w:rsidRPr="0053423A">
              <w:rPr>
                <w:rFonts w:cs="GHEA Grapalat"/>
                <w:sz w:val="20"/>
                <w:szCs w:val="20"/>
                <w:lang w:val="af-ZA"/>
              </w:rPr>
              <w:t xml:space="preserve"> </w:t>
            </w:r>
            <w:r w:rsidRPr="0053423A">
              <w:rPr>
                <w:rFonts w:cs="GHEA Grapalat"/>
                <w:sz w:val="20"/>
                <w:szCs w:val="20"/>
                <w:lang w:val="hy-AM"/>
              </w:rPr>
              <w:t>ապահովումը</w:t>
            </w:r>
            <w:r w:rsidRPr="0053423A">
              <w:rPr>
                <w:rFonts w:cs="GHEA Grapalat"/>
                <w:sz w:val="20"/>
                <w:szCs w:val="20"/>
                <w:lang w:val="af-ZA"/>
              </w:rPr>
              <w:t>:</w:t>
            </w:r>
          </w:p>
          <w:p w:rsidR="00154773" w:rsidRPr="0053423A" w:rsidRDefault="00154773" w:rsidP="00154773">
            <w:pPr>
              <w:ind w:firstLine="450"/>
              <w:contextualSpacing/>
              <w:jc w:val="both"/>
              <w:rPr>
                <w:rFonts w:cs="GHEA Grapalat"/>
                <w:sz w:val="20"/>
                <w:szCs w:val="20"/>
                <w:lang w:val="af-ZA"/>
              </w:rPr>
            </w:pPr>
            <w:r w:rsidRPr="0053423A">
              <w:rPr>
                <w:sz w:val="20"/>
                <w:szCs w:val="20"/>
                <w:lang w:val="af-ZA"/>
              </w:rPr>
              <w:t xml:space="preserve"> </w:t>
            </w:r>
            <w:r w:rsidRPr="0053423A">
              <w:rPr>
                <w:sz w:val="20"/>
                <w:szCs w:val="20"/>
              </w:rPr>
              <w:t>Ուսումնական</w:t>
            </w:r>
            <w:r w:rsidRPr="0053423A">
              <w:rPr>
                <w:sz w:val="20"/>
                <w:szCs w:val="20"/>
                <w:lang w:val="af-ZA"/>
              </w:rPr>
              <w:t xml:space="preserve"> </w:t>
            </w:r>
            <w:r w:rsidRPr="0053423A">
              <w:rPr>
                <w:sz w:val="20"/>
                <w:szCs w:val="20"/>
              </w:rPr>
              <w:t>հաստատությունների</w:t>
            </w:r>
            <w:r w:rsidRPr="0053423A">
              <w:rPr>
                <w:sz w:val="20"/>
                <w:szCs w:val="20"/>
                <w:lang w:val="af-ZA"/>
              </w:rPr>
              <w:t xml:space="preserve"> </w:t>
            </w:r>
            <w:r w:rsidRPr="0053423A">
              <w:rPr>
                <w:sz w:val="20"/>
                <w:szCs w:val="20"/>
              </w:rPr>
              <w:t>համալրումը</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համապատասխան</w:t>
            </w:r>
            <w:r w:rsidRPr="0053423A">
              <w:rPr>
                <w:sz w:val="20"/>
                <w:szCs w:val="20"/>
                <w:lang w:val="af-ZA"/>
              </w:rPr>
              <w:t xml:space="preserve"> </w:t>
            </w:r>
            <w:r w:rsidRPr="0053423A">
              <w:rPr>
                <w:sz w:val="20"/>
                <w:szCs w:val="20"/>
              </w:rPr>
              <w:t>գույքով</w:t>
            </w:r>
            <w:r w:rsidRPr="0053423A">
              <w:rPr>
                <w:sz w:val="20"/>
                <w:szCs w:val="20"/>
                <w:lang w:val="af-ZA"/>
              </w:rPr>
              <w:t xml:space="preserve"> </w:t>
            </w:r>
            <w:r w:rsidRPr="0053423A">
              <w:rPr>
                <w:sz w:val="20"/>
                <w:szCs w:val="20"/>
              </w:rPr>
              <w:t>ու</w:t>
            </w:r>
            <w:r w:rsidRPr="0053423A">
              <w:rPr>
                <w:sz w:val="20"/>
                <w:szCs w:val="20"/>
                <w:lang w:val="af-ZA"/>
              </w:rPr>
              <w:t xml:space="preserve"> </w:t>
            </w:r>
            <w:r w:rsidRPr="0053423A">
              <w:rPr>
                <w:sz w:val="20"/>
                <w:szCs w:val="20"/>
              </w:rPr>
              <w:t>սարքավորումներով</w:t>
            </w:r>
            <w:r w:rsidRPr="0053423A">
              <w:rPr>
                <w:sz w:val="20"/>
                <w:szCs w:val="20"/>
                <w:lang w:val="af-ZA"/>
              </w:rPr>
              <w:t xml:space="preserve"> </w:t>
            </w:r>
            <w:r w:rsidRPr="0053423A">
              <w:rPr>
                <w:sz w:val="20"/>
                <w:szCs w:val="20"/>
              </w:rPr>
              <w:t>հագեցումը</w:t>
            </w:r>
            <w:r w:rsidRPr="0053423A">
              <w:rPr>
                <w:b/>
                <w:sz w:val="20"/>
                <w:szCs w:val="20"/>
                <w:lang w:val="af-ZA"/>
              </w:rPr>
              <w:t xml:space="preserve"> </w:t>
            </w:r>
            <w:r w:rsidRPr="0053423A">
              <w:rPr>
                <w:rFonts w:cs="GHEA Grapalat"/>
                <w:sz w:val="20"/>
                <w:szCs w:val="20"/>
              </w:rPr>
              <w:t>կ</w:t>
            </w:r>
            <w:r w:rsidRPr="0053423A">
              <w:rPr>
                <w:rFonts w:cs="GHEA Grapalat"/>
                <w:sz w:val="20"/>
                <w:szCs w:val="20"/>
                <w:lang w:val="ru-RU"/>
              </w:rPr>
              <w:t>նպաստ</w:t>
            </w:r>
            <w:r w:rsidRPr="0053423A">
              <w:rPr>
                <w:rFonts w:cs="GHEA Grapalat"/>
                <w:sz w:val="20"/>
                <w:szCs w:val="20"/>
              </w:rPr>
              <w:t>են</w:t>
            </w:r>
            <w:r w:rsidRPr="0053423A">
              <w:rPr>
                <w:rFonts w:cs="GHEA Grapalat"/>
                <w:sz w:val="20"/>
                <w:szCs w:val="20"/>
                <w:lang w:val="af-ZA"/>
              </w:rPr>
              <w:t xml:space="preserve"> </w:t>
            </w:r>
            <w:r w:rsidRPr="0053423A">
              <w:rPr>
                <w:rFonts w:cs="GHEA Grapalat"/>
                <w:sz w:val="20"/>
                <w:szCs w:val="20"/>
                <w:lang w:val="ru-RU"/>
              </w:rPr>
              <w:t>համակարգի</w:t>
            </w:r>
            <w:r w:rsidRPr="0053423A">
              <w:rPr>
                <w:rFonts w:cs="GHEA Grapalat"/>
                <w:sz w:val="20"/>
                <w:szCs w:val="20"/>
                <w:lang w:val="af-ZA"/>
              </w:rPr>
              <w:t xml:space="preserve"> </w:t>
            </w:r>
            <w:r w:rsidRPr="0053423A">
              <w:rPr>
                <w:rFonts w:cs="GHEA Grapalat"/>
                <w:sz w:val="20"/>
                <w:szCs w:val="20"/>
                <w:lang w:val="ru-RU"/>
              </w:rPr>
              <w:t>շարունակական</w:t>
            </w:r>
            <w:r w:rsidRPr="0053423A">
              <w:rPr>
                <w:rFonts w:cs="GHEA Grapalat"/>
                <w:sz w:val="20"/>
                <w:szCs w:val="20"/>
                <w:lang w:val="af-ZA"/>
              </w:rPr>
              <w:t xml:space="preserve"> </w:t>
            </w:r>
            <w:r w:rsidRPr="0053423A">
              <w:rPr>
                <w:rFonts w:cs="GHEA Grapalat"/>
                <w:sz w:val="20"/>
                <w:szCs w:val="20"/>
                <w:lang w:val="ru-RU"/>
              </w:rPr>
              <w:t>զարգացմանը</w:t>
            </w:r>
            <w:r w:rsidRPr="0053423A">
              <w:rPr>
                <w:rFonts w:cs="GHEA Grapalat"/>
                <w:sz w:val="20"/>
                <w:szCs w:val="20"/>
                <w:lang w:val="af-ZA"/>
              </w:rPr>
              <w:t xml:space="preserve">, </w:t>
            </w:r>
            <w:r w:rsidRPr="0053423A">
              <w:rPr>
                <w:sz w:val="20"/>
                <w:szCs w:val="20"/>
                <w:lang w:val="ru-RU"/>
              </w:rPr>
              <w:t>սարքավորումների</w:t>
            </w:r>
            <w:r w:rsidRPr="0053423A">
              <w:rPr>
                <w:sz w:val="20"/>
                <w:szCs w:val="20"/>
                <w:lang w:val="af-ZA"/>
              </w:rPr>
              <w:t xml:space="preserve"> </w:t>
            </w:r>
            <w:r w:rsidRPr="0053423A">
              <w:rPr>
                <w:sz w:val="20"/>
                <w:szCs w:val="20"/>
                <w:lang w:val="ru-RU"/>
              </w:rPr>
              <w:t>և</w:t>
            </w:r>
            <w:r w:rsidRPr="0053423A">
              <w:rPr>
                <w:sz w:val="20"/>
                <w:szCs w:val="20"/>
                <w:lang w:val="af-ZA"/>
              </w:rPr>
              <w:t xml:space="preserve"> </w:t>
            </w:r>
            <w:r w:rsidRPr="0053423A">
              <w:rPr>
                <w:sz w:val="20"/>
                <w:szCs w:val="20"/>
                <w:lang w:val="ru-RU"/>
              </w:rPr>
              <w:t>ենթակառուցվածքների</w:t>
            </w:r>
            <w:r w:rsidRPr="0053423A">
              <w:rPr>
                <w:sz w:val="20"/>
                <w:szCs w:val="20"/>
                <w:lang w:val="af-ZA"/>
              </w:rPr>
              <w:t xml:space="preserve"> </w:t>
            </w:r>
            <w:r w:rsidRPr="0053423A">
              <w:rPr>
                <w:rFonts w:cs="GHEA Grapalat"/>
                <w:sz w:val="20"/>
                <w:szCs w:val="20"/>
              </w:rPr>
              <w:t>արդիականացմանը</w:t>
            </w:r>
            <w:r w:rsidRPr="0053423A">
              <w:rPr>
                <w:rFonts w:cs="GHEA Grapalat"/>
                <w:sz w:val="20"/>
                <w:szCs w:val="20"/>
                <w:lang w:val="af-ZA"/>
              </w:rPr>
              <w:t xml:space="preserve">, </w:t>
            </w:r>
            <w:r w:rsidRPr="0053423A">
              <w:rPr>
                <w:rFonts w:cs="GHEA Grapalat"/>
                <w:sz w:val="20"/>
                <w:szCs w:val="20"/>
                <w:lang w:val="ru-RU"/>
              </w:rPr>
              <w:t>մասնագիտական</w:t>
            </w:r>
            <w:r w:rsidRPr="0053423A">
              <w:rPr>
                <w:rFonts w:cs="GHEA Grapalat"/>
                <w:sz w:val="20"/>
                <w:szCs w:val="20"/>
                <w:lang w:val="af-ZA"/>
              </w:rPr>
              <w:t xml:space="preserve"> </w:t>
            </w:r>
            <w:r w:rsidRPr="0053423A">
              <w:rPr>
                <w:rFonts w:cs="GHEA Grapalat"/>
                <w:sz w:val="20"/>
                <w:szCs w:val="20"/>
                <w:lang w:val="ru-RU"/>
              </w:rPr>
              <w:t>ներուժի</w:t>
            </w:r>
            <w:r w:rsidRPr="0053423A">
              <w:rPr>
                <w:rFonts w:cs="GHEA Grapalat"/>
                <w:sz w:val="20"/>
                <w:szCs w:val="20"/>
                <w:lang w:val="af-ZA"/>
              </w:rPr>
              <w:t xml:space="preserve"> </w:t>
            </w:r>
            <w:r w:rsidRPr="0053423A">
              <w:rPr>
                <w:rFonts w:cs="GHEA Grapalat"/>
                <w:sz w:val="20"/>
                <w:szCs w:val="20"/>
                <w:lang w:val="ru-RU"/>
              </w:rPr>
              <w:t>կարողությունների</w:t>
            </w:r>
            <w:r w:rsidRPr="0053423A">
              <w:rPr>
                <w:rFonts w:cs="GHEA Grapalat"/>
                <w:sz w:val="20"/>
                <w:szCs w:val="20"/>
                <w:lang w:val="af-ZA"/>
              </w:rPr>
              <w:t xml:space="preserve"> </w:t>
            </w:r>
            <w:r w:rsidRPr="0053423A">
              <w:rPr>
                <w:rFonts w:cs="GHEA Grapalat"/>
                <w:sz w:val="20"/>
                <w:szCs w:val="20"/>
                <w:lang w:val="ru-RU"/>
              </w:rPr>
              <w:t>հզորացմ</w:t>
            </w:r>
            <w:r w:rsidRPr="0053423A">
              <w:rPr>
                <w:rFonts w:cs="GHEA Grapalat"/>
                <w:sz w:val="20"/>
                <w:szCs w:val="20"/>
              </w:rPr>
              <w:t>անը</w:t>
            </w:r>
            <w:r w:rsidRPr="0053423A">
              <w:rPr>
                <w:rFonts w:cs="GHEA Grapalat"/>
                <w:sz w:val="20"/>
                <w:szCs w:val="20"/>
                <w:lang w:val="af-ZA"/>
              </w:rPr>
              <w:t xml:space="preserve">: </w:t>
            </w:r>
            <w:r w:rsidRPr="0053423A">
              <w:rPr>
                <w:rFonts w:cs="GHEA Grapalat"/>
                <w:sz w:val="20"/>
                <w:szCs w:val="20"/>
              </w:rPr>
              <w:t>Այն</w:t>
            </w:r>
            <w:r w:rsidRPr="0053423A">
              <w:rPr>
                <w:rFonts w:cs="GHEA Grapalat"/>
                <w:sz w:val="20"/>
                <w:szCs w:val="20"/>
                <w:lang w:val="af-ZA"/>
              </w:rPr>
              <w:t xml:space="preserve"> </w:t>
            </w:r>
            <w:r w:rsidRPr="0053423A">
              <w:rPr>
                <w:rFonts w:cs="GHEA Grapalat"/>
                <w:sz w:val="20"/>
                <w:szCs w:val="20"/>
              </w:rPr>
              <w:t>հնարավորություն</w:t>
            </w:r>
            <w:r w:rsidRPr="0053423A">
              <w:rPr>
                <w:rFonts w:cs="GHEA Grapalat"/>
                <w:sz w:val="20"/>
                <w:szCs w:val="20"/>
                <w:lang w:val="af-ZA"/>
              </w:rPr>
              <w:t xml:space="preserve"> </w:t>
            </w:r>
            <w:r w:rsidRPr="0053423A">
              <w:rPr>
                <w:sz w:val="20"/>
                <w:szCs w:val="20"/>
                <w:lang w:val="ru-RU"/>
              </w:rPr>
              <w:t>կընձեռի</w:t>
            </w:r>
            <w:r w:rsidRPr="0053423A">
              <w:rPr>
                <w:sz w:val="20"/>
                <w:szCs w:val="20"/>
                <w:lang w:val="af-ZA"/>
              </w:rPr>
              <w:t xml:space="preserve"> </w:t>
            </w:r>
            <w:r w:rsidRPr="0053423A">
              <w:rPr>
                <w:sz w:val="20"/>
                <w:szCs w:val="20"/>
                <w:lang w:val="ru-RU"/>
              </w:rPr>
              <w:t>առավել</w:t>
            </w:r>
            <w:r w:rsidRPr="0053423A">
              <w:rPr>
                <w:sz w:val="20"/>
                <w:szCs w:val="20"/>
                <w:lang w:val="af-ZA"/>
              </w:rPr>
              <w:t xml:space="preserve"> </w:t>
            </w:r>
            <w:r w:rsidRPr="0053423A">
              <w:rPr>
                <w:sz w:val="20"/>
                <w:szCs w:val="20"/>
                <w:lang w:val="ru-RU"/>
              </w:rPr>
              <w:t>արդյունավետ</w:t>
            </w:r>
            <w:r w:rsidRPr="0053423A">
              <w:rPr>
                <w:sz w:val="20"/>
                <w:szCs w:val="20"/>
                <w:lang w:val="af-ZA"/>
              </w:rPr>
              <w:t xml:space="preserve"> </w:t>
            </w:r>
            <w:r w:rsidRPr="0053423A">
              <w:rPr>
                <w:sz w:val="20"/>
                <w:szCs w:val="20"/>
                <w:lang w:val="ru-RU"/>
              </w:rPr>
              <w:t>կազմակերպել</w:t>
            </w:r>
            <w:r w:rsidRPr="0053423A">
              <w:rPr>
                <w:sz w:val="20"/>
                <w:szCs w:val="20"/>
                <w:lang w:val="af-ZA"/>
              </w:rPr>
              <w:t xml:space="preserve"> </w:t>
            </w:r>
            <w:r w:rsidRPr="0053423A">
              <w:rPr>
                <w:sz w:val="20"/>
                <w:szCs w:val="20"/>
                <w:lang w:val="ru-RU"/>
              </w:rPr>
              <w:t>մասնագիտական</w:t>
            </w:r>
            <w:r w:rsidRPr="0053423A">
              <w:rPr>
                <w:sz w:val="20"/>
                <w:szCs w:val="20"/>
                <w:lang w:val="af-ZA"/>
              </w:rPr>
              <w:t xml:space="preserve"> </w:t>
            </w:r>
            <w:r w:rsidRPr="0053423A">
              <w:rPr>
                <w:sz w:val="20"/>
                <w:szCs w:val="20"/>
                <w:lang w:val="ru-RU"/>
              </w:rPr>
              <w:t>կրթությունը</w:t>
            </w:r>
            <w:r w:rsidRPr="0053423A">
              <w:rPr>
                <w:sz w:val="20"/>
                <w:szCs w:val="20"/>
                <w:lang w:val="af-ZA"/>
              </w:rPr>
              <w:t xml:space="preserve"> </w:t>
            </w:r>
            <w:r w:rsidRPr="0053423A">
              <w:rPr>
                <w:sz w:val="20"/>
                <w:szCs w:val="20"/>
                <w:lang w:val="ru-RU"/>
              </w:rPr>
              <w:t>և</w:t>
            </w:r>
            <w:r w:rsidRPr="0053423A">
              <w:rPr>
                <w:sz w:val="20"/>
                <w:szCs w:val="20"/>
                <w:lang w:val="af-ZA"/>
              </w:rPr>
              <w:t xml:space="preserve"> </w:t>
            </w:r>
            <w:r w:rsidRPr="0053423A">
              <w:rPr>
                <w:sz w:val="20"/>
                <w:szCs w:val="20"/>
                <w:lang w:val="ru-RU"/>
              </w:rPr>
              <w:t>ուսուցումը</w:t>
            </w:r>
            <w:r w:rsidRPr="0053423A">
              <w:rPr>
                <w:sz w:val="20"/>
                <w:szCs w:val="20"/>
                <w:lang w:val="af-ZA"/>
              </w:rPr>
              <w:t xml:space="preserve">, </w:t>
            </w:r>
            <w:r w:rsidRPr="0053423A">
              <w:rPr>
                <w:sz w:val="20"/>
                <w:szCs w:val="20"/>
                <w:lang w:val="ru-RU"/>
              </w:rPr>
              <w:t>բարելավել</w:t>
            </w:r>
            <w:r w:rsidRPr="0053423A">
              <w:rPr>
                <w:sz w:val="20"/>
                <w:szCs w:val="20"/>
                <w:lang w:val="af-ZA"/>
              </w:rPr>
              <w:t xml:space="preserve"> </w:t>
            </w:r>
            <w:r w:rsidRPr="0053423A">
              <w:rPr>
                <w:sz w:val="20"/>
                <w:szCs w:val="20"/>
                <w:lang w:val="ru-RU"/>
              </w:rPr>
              <w:t>շրջանավարտների</w:t>
            </w:r>
            <w:r w:rsidRPr="0053423A">
              <w:rPr>
                <w:sz w:val="20"/>
                <w:szCs w:val="20"/>
                <w:lang w:val="af-ZA"/>
              </w:rPr>
              <w:t xml:space="preserve"> </w:t>
            </w:r>
            <w:r w:rsidRPr="0053423A">
              <w:rPr>
                <w:sz w:val="20"/>
                <w:szCs w:val="20"/>
                <w:lang w:val="ru-RU"/>
              </w:rPr>
              <w:t>զբաղունակությունը</w:t>
            </w:r>
            <w:r w:rsidRPr="0053423A">
              <w:rPr>
                <w:sz w:val="20"/>
                <w:szCs w:val="20"/>
                <w:lang w:val="af-ZA"/>
              </w:rPr>
              <w:t xml:space="preserve">, </w:t>
            </w:r>
            <w:r w:rsidRPr="0053423A">
              <w:rPr>
                <w:sz w:val="20"/>
                <w:szCs w:val="20"/>
              </w:rPr>
              <w:t>մասնագիտական</w:t>
            </w:r>
            <w:r w:rsidRPr="0053423A">
              <w:rPr>
                <w:sz w:val="20"/>
                <w:szCs w:val="20"/>
                <w:lang w:val="af-ZA"/>
              </w:rPr>
              <w:t xml:space="preserve"> </w:t>
            </w:r>
            <w:r w:rsidRPr="0053423A">
              <w:rPr>
                <w:sz w:val="20"/>
                <w:szCs w:val="20"/>
                <w:lang w:val="ru-RU"/>
              </w:rPr>
              <w:t>հմտություններն</w:t>
            </w:r>
            <w:r w:rsidRPr="0053423A">
              <w:rPr>
                <w:sz w:val="20"/>
                <w:szCs w:val="20"/>
                <w:lang w:val="af-ZA"/>
              </w:rPr>
              <w:t xml:space="preserve"> </w:t>
            </w:r>
            <w:r w:rsidRPr="0053423A">
              <w:rPr>
                <w:sz w:val="20"/>
                <w:szCs w:val="20"/>
                <w:lang w:val="ru-RU"/>
              </w:rPr>
              <w:t>ու</w:t>
            </w:r>
            <w:r w:rsidRPr="0053423A">
              <w:rPr>
                <w:sz w:val="20"/>
                <w:szCs w:val="20"/>
                <w:lang w:val="af-ZA"/>
              </w:rPr>
              <w:t xml:space="preserve"> </w:t>
            </w:r>
            <w:r w:rsidRPr="0053423A">
              <w:rPr>
                <w:sz w:val="20"/>
                <w:szCs w:val="20"/>
                <w:lang w:val="ru-RU"/>
              </w:rPr>
              <w:t>կարողությունները՝</w:t>
            </w:r>
            <w:r w:rsidRPr="0053423A">
              <w:rPr>
                <w:sz w:val="20"/>
                <w:szCs w:val="20"/>
                <w:lang w:val="af-ZA"/>
              </w:rPr>
              <w:t xml:space="preserve"> </w:t>
            </w:r>
            <w:r w:rsidRPr="0053423A">
              <w:rPr>
                <w:sz w:val="20"/>
                <w:szCs w:val="20"/>
                <w:lang w:val="ru-RU"/>
              </w:rPr>
              <w:t>համապատասխանեցնելով</w:t>
            </w:r>
            <w:r w:rsidRPr="0053423A">
              <w:rPr>
                <w:sz w:val="20"/>
                <w:szCs w:val="20"/>
                <w:lang w:val="af-ZA"/>
              </w:rPr>
              <w:t xml:space="preserve"> </w:t>
            </w:r>
            <w:r w:rsidRPr="0053423A">
              <w:rPr>
                <w:sz w:val="20"/>
                <w:szCs w:val="20"/>
              </w:rPr>
              <w:t>դրանք</w:t>
            </w:r>
            <w:r w:rsidRPr="0053423A">
              <w:rPr>
                <w:sz w:val="20"/>
                <w:szCs w:val="20"/>
                <w:lang w:val="af-ZA"/>
              </w:rPr>
              <w:t xml:space="preserve"> </w:t>
            </w:r>
            <w:r w:rsidRPr="0053423A">
              <w:rPr>
                <w:sz w:val="20"/>
                <w:szCs w:val="20"/>
                <w:lang w:val="ru-RU"/>
              </w:rPr>
              <w:t>աշխատաշուկայի</w:t>
            </w:r>
            <w:r w:rsidRPr="0053423A">
              <w:rPr>
                <w:sz w:val="20"/>
                <w:szCs w:val="20"/>
                <w:lang w:val="af-ZA"/>
              </w:rPr>
              <w:t xml:space="preserve"> </w:t>
            </w:r>
            <w:r w:rsidRPr="0053423A">
              <w:rPr>
                <w:sz w:val="20"/>
                <w:szCs w:val="20"/>
                <w:lang w:val="ru-RU"/>
              </w:rPr>
              <w:t>պահանջներին</w:t>
            </w:r>
            <w:r w:rsidRPr="0053423A">
              <w:rPr>
                <w:sz w:val="20"/>
                <w:szCs w:val="20"/>
                <w:lang w:val="af-ZA"/>
              </w:rPr>
              <w:t xml:space="preserve">, </w:t>
            </w:r>
            <w:r w:rsidRPr="0053423A">
              <w:rPr>
                <w:rFonts w:cs="GHEA Grapalat"/>
                <w:sz w:val="20"/>
                <w:szCs w:val="20"/>
              </w:rPr>
              <w:t>նպաստելով</w:t>
            </w:r>
            <w:r w:rsidRPr="0053423A">
              <w:rPr>
                <w:rFonts w:cs="GHEA Grapalat"/>
                <w:sz w:val="20"/>
                <w:szCs w:val="20"/>
                <w:lang w:val="af-ZA"/>
              </w:rPr>
              <w:t xml:space="preserve"> </w:t>
            </w:r>
            <w:r w:rsidRPr="0053423A">
              <w:rPr>
                <w:rFonts w:cs="GHEA Grapalat"/>
                <w:sz w:val="20"/>
                <w:szCs w:val="20"/>
                <w:lang w:val="ru-RU"/>
              </w:rPr>
              <w:t>մասնագիտական</w:t>
            </w:r>
            <w:r w:rsidRPr="0053423A">
              <w:rPr>
                <w:rFonts w:cs="GHEA Grapalat"/>
                <w:sz w:val="20"/>
                <w:szCs w:val="20"/>
                <w:lang w:val="af-ZA"/>
              </w:rPr>
              <w:t xml:space="preserve"> </w:t>
            </w:r>
            <w:r w:rsidRPr="0053423A">
              <w:rPr>
                <w:rFonts w:cs="GHEA Grapalat"/>
                <w:sz w:val="20"/>
                <w:szCs w:val="20"/>
                <w:lang w:val="ru-RU"/>
              </w:rPr>
              <w:t>կրթության</w:t>
            </w:r>
            <w:r w:rsidRPr="0053423A">
              <w:rPr>
                <w:rFonts w:cs="GHEA Grapalat"/>
                <w:sz w:val="20"/>
                <w:szCs w:val="20"/>
                <w:lang w:val="af-ZA"/>
              </w:rPr>
              <w:t xml:space="preserve"> </w:t>
            </w:r>
            <w:r w:rsidRPr="0053423A">
              <w:rPr>
                <w:rFonts w:cs="GHEA Grapalat"/>
                <w:sz w:val="20"/>
                <w:szCs w:val="20"/>
                <w:lang w:val="ru-RU"/>
              </w:rPr>
              <w:t>և</w:t>
            </w:r>
            <w:r w:rsidRPr="0053423A">
              <w:rPr>
                <w:rFonts w:cs="GHEA Grapalat"/>
                <w:sz w:val="20"/>
                <w:szCs w:val="20"/>
                <w:lang w:val="af-ZA"/>
              </w:rPr>
              <w:t xml:space="preserve"> </w:t>
            </w:r>
            <w:r w:rsidRPr="0053423A">
              <w:rPr>
                <w:rFonts w:cs="GHEA Grapalat"/>
                <w:sz w:val="20"/>
                <w:szCs w:val="20"/>
                <w:lang w:val="ru-RU"/>
              </w:rPr>
              <w:t>ուսուցման</w:t>
            </w:r>
            <w:r w:rsidRPr="0053423A">
              <w:rPr>
                <w:rFonts w:cs="GHEA Grapalat"/>
                <w:sz w:val="20"/>
                <w:szCs w:val="20"/>
                <w:lang w:val="af-ZA"/>
              </w:rPr>
              <w:t xml:space="preserve"> </w:t>
            </w:r>
            <w:r w:rsidRPr="0053423A">
              <w:rPr>
                <w:rFonts w:cs="GHEA Grapalat"/>
                <w:sz w:val="20"/>
                <w:szCs w:val="20"/>
                <w:lang w:val="ru-RU"/>
              </w:rPr>
              <w:t>հեղինակության</w:t>
            </w:r>
            <w:r w:rsidRPr="0053423A">
              <w:rPr>
                <w:rFonts w:cs="GHEA Grapalat"/>
                <w:sz w:val="20"/>
                <w:szCs w:val="20"/>
                <w:lang w:val="af-ZA"/>
              </w:rPr>
              <w:t xml:space="preserve"> </w:t>
            </w:r>
            <w:r w:rsidRPr="0053423A">
              <w:rPr>
                <w:rFonts w:cs="GHEA Grapalat"/>
                <w:sz w:val="20"/>
                <w:szCs w:val="20"/>
                <w:lang w:val="ru-RU"/>
              </w:rPr>
              <w:t>և</w:t>
            </w:r>
            <w:r w:rsidRPr="0053423A">
              <w:rPr>
                <w:rFonts w:cs="GHEA Grapalat"/>
                <w:sz w:val="20"/>
                <w:szCs w:val="20"/>
                <w:lang w:val="af-ZA"/>
              </w:rPr>
              <w:t xml:space="preserve"> </w:t>
            </w:r>
            <w:r w:rsidRPr="0053423A">
              <w:rPr>
                <w:rFonts w:cs="GHEA Grapalat"/>
                <w:sz w:val="20"/>
                <w:szCs w:val="20"/>
                <w:lang w:val="ru-RU"/>
              </w:rPr>
              <w:t>վարկանիշի</w:t>
            </w:r>
            <w:r w:rsidRPr="0053423A">
              <w:rPr>
                <w:rFonts w:cs="GHEA Grapalat"/>
                <w:sz w:val="20"/>
                <w:szCs w:val="20"/>
                <w:lang w:val="af-ZA"/>
              </w:rPr>
              <w:t xml:space="preserve"> </w:t>
            </w:r>
            <w:r w:rsidRPr="0053423A">
              <w:rPr>
                <w:rFonts w:cs="GHEA Grapalat"/>
                <w:sz w:val="20"/>
                <w:szCs w:val="20"/>
                <w:lang w:val="ru-RU"/>
              </w:rPr>
              <w:t>բարձրացմանը</w:t>
            </w:r>
            <w:r w:rsidRPr="0053423A">
              <w:rPr>
                <w:rFonts w:cs="GHEA Grapalat"/>
                <w:sz w:val="20"/>
                <w:szCs w:val="20"/>
                <w:lang w:val="af-ZA"/>
              </w:rPr>
              <w:t>:</w:t>
            </w:r>
          </w:p>
          <w:p w:rsidR="00154773" w:rsidRPr="0053423A" w:rsidRDefault="00154773" w:rsidP="00154773">
            <w:pPr>
              <w:shd w:val="clear" w:color="auto" w:fill="FFFFFF"/>
              <w:tabs>
                <w:tab w:val="left" w:pos="1560"/>
                <w:tab w:val="left" w:pos="2694"/>
                <w:tab w:val="left" w:pos="2977"/>
              </w:tabs>
              <w:ind w:firstLine="450"/>
              <w:jc w:val="both"/>
              <w:rPr>
                <w:rFonts w:eastAsia="Times New Roman" w:cs="Times New Roman"/>
                <w:color w:val="333333"/>
                <w:sz w:val="20"/>
                <w:szCs w:val="20"/>
                <w:lang w:val="af-ZA"/>
              </w:rPr>
            </w:pPr>
            <w:r w:rsidRPr="0053423A">
              <w:rPr>
                <w:rFonts w:eastAsia="Times New Roman" w:cs="Times New Roman"/>
                <w:color w:val="333333"/>
                <w:sz w:val="20"/>
                <w:szCs w:val="20"/>
                <w:lang w:val="hy-AM"/>
              </w:rPr>
              <w:br/>
            </w:r>
          </w:p>
          <w:p w:rsidR="00154773" w:rsidRPr="0053423A" w:rsidRDefault="00154773" w:rsidP="00154773">
            <w:pPr>
              <w:ind w:firstLine="450"/>
              <w:contextualSpacing/>
              <w:jc w:val="both"/>
              <w:rPr>
                <w:b/>
                <w:sz w:val="20"/>
                <w:szCs w:val="20"/>
                <w:lang w:val="af-ZA"/>
              </w:rPr>
            </w:pPr>
            <w:r w:rsidRPr="0053423A">
              <w:rPr>
                <w:b/>
                <w:sz w:val="20"/>
                <w:szCs w:val="20"/>
                <w:lang w:val="af-ZA"/>
              </w:rPr>
              <w:t xml:space="preserve">1.1.  </w:t>
            </w:r>
            <w:r w:rsidRPr="0053423A">
              <w:rPr>
                <w:b/>
                <w:sz w:val="20"/>
                <w:szCs w:val="20"/>
              </w:rPr>
              <w:t>Կ</w:t>
            </w:r>
            <w:r w:rsidRPr="0053423A">
              <w:rPr>
                <w:b/>
                <w:sz w:val="20"/>
                <w:szCs w:val="20"/>
                <w:lang w:val="hy-AM"/>
              </w:rPr>
              <w:t>արգավորման հարաբերությունների</w:t>
            </w:r>
            <w:r w:rsidRPr="0053423A">
              <w:rPr>
                <w:b/>
                <w:sz w:val="20"/>
                <w:szCs w:val="20"/>
                <w:lang w:val="af-ZA"/>
              </w:rPr>
              <w:t xml:space="preserve"> </w:t>
            </w:r>
            <w:r w:rsidRPr="0053423A">
              <w:rPr>
                <w:b/>
                <w:sz w:val="20"/>
                <w:szCs w:val="20"/>
                <w:lang w:val="hy-AM"/>
              </w:rPr>
              <w:t>ներկա վիճակը և առկա խնդիրները</w:t>
            </w:r>
            <w:r w:rsidRPr="0053423A">
              <w:rPr>
                <w:b/>
                <w:sz w:val="20"/>
                <w:szCs w:val="20"/>
                <w:lang w:val="af-ZA"/>
              </w:rPr>
              <w:t>.</w:t>
            </w:r>
          </w:p>
          <w:p w:rsidR="00154773" w:rsidRPr="0053423A" w:rsidRDefault="00154773" w:rsidP="00154773">
            <w:pPr>
              <w:ind w:firstLine="450"/>
              <w:contextualSpacing/>
              <w:jc w:val="both"/>
              <w:rPr>
                <w:b/>
                <w:sz w:val="20"/>
                <w:szCs w:val="20"/>
                <w:lang w:val="af-ZA"/>
              </w:rPr>
            </w:pPr>
          </w:p>
          <w:p w:rsidR="00154773" w:rsidRPr="0053423A" w:rsidRDefault="00154773" w:rsidP="00154773">
            <w:pPr>
              <w:ind w:firstLine="450"/>
              <w:contextualSpacing/>
              <w:jc w:val="both"/>
              <w:rPr>
                <w:rFonts w:cs="GHEA Grapalat"/>
                <w:sz w:val="20"/>
                <w:szCs w:val="20"/>
                <w:lang w:val="hy-AM"/>
              </w:rPr>
            </w:pPr>
            <w:r w:rsidRPr="0053423A">
              <w:rPr>
                <w:rFonts w:cs="GHEA Grapalat"/>
                <w:sz w:val="20"/>
                <w:szCs w:val="20"/>
                <w:lang w:val="hy-AM"/>
              </w:rPr>
              <w:t>Հարկ է նշել, որ ՄԿՈւ ուսումնական հաստատությունների շենքերը վերջին 15-20 տարիներին, հիմնականում ֆինանսական միջոցների բացակայության պատճառով, չեն վերանորոգվել կամ վերականգնվել և հետևաբար չեն հագեցվել համապատասխան սարքավորումներով, գույքով և չունեն անհրաժեշտ ենթակառուցվածք, այդ իսկ պատճառով էլ ուսումնարանները/քոլեջները չեն ապահովում համապատասխան կրթական միջավայր և կարողությունների և հմտությունների ձևավորմանը միտված որակյալ կրթություն:</w:t>
            </w:r>
          </w:p>
          <w:p w:rsidR="00154773" w:rsidRPr="0053423A" w:rsidRDefault="00154773" w:rsidP="00154773">
            <w:pPr>
              <w:ind w:firstLine="450"/>
              <w:contextualSpacing/>
              <w:jc w:val="both"/>
              <w:rPr>
                <w:rFonts w:eastAsia="Calibri" w:cs="Times New Roman"/>
                <w:sz w:val="20"/>
                <w:szCs w:val="20"/>
                <w:lang w:val="hy-AM"/>
              </w:rPr>
            </w:pPr>
            <w:r w:rsidRPr="0053423A">
              <w:rPr>
                <w:sz w:val="20"/>
                <w:szCs w:val="20"/>
                <w:lang w:val="hy-AM"/>
              </w:rPr>
              <w:t xml:space="preserve">Գործարար ոլորտում տեխնոլոգիաների արագ զարգացումները, նոր մասնագիտությունների ի հայտ գալը, որակյալ, աշխատաշուկայի պահանջներին համապատասխան մասնագիտական կադրերի պատրաստումը, աշխատանքի վրա հիմնված ուսուցման կազմակերպումն ընդլայնելու, տեսականին զուգահեռ գործնական ուսուցում կազմակերպելու, </w:t>
            </w:r>
            <w:r w:rsidRPr="0053423A">
              <w:rPr>
                <w:rFonts w:eastAsia="Calibri" w:cs="Sylfaen"/>
                <w:iCs/>
                <w:sz w:val="20"/>
                <w:szCs w:val="20"/>
                <w:lang w:val="hy-AM"/>
              </w:rPr>
              <w:t>կարողութենամետ</w:t>
            </w:r>
            <w:r w:rsidRPr="0053423A">
              <w:rPr>
                <w:rFonts w:eastAsia="Calibri" w:cs="Arial Armenian"/>
                <w:iCs/>
                <w:sz w:val="20"/>
                <w:szCs w:val="20"/>
                <w:lang w:val="hy-AM"/>
              </w:rPr>
              <w:t xml:space="preserve"> </w:t>
            </w:r>
            <w:r w:rsidRPr="0053423A">
              <w:rPr>
                <w:rFonts w:eastAsia="Calibri" w:cs="Sylfaen"/>
                <w:iCs/>
                <w:sz w:val="20"/>
                <w:szCs w:val="20"/>
                <w:lang w:val="hy-AM"/>
              </w:rPr>
              <w:t>նոր</w:t>
            </w:r>
            <w:r w:rsidRPr="0053423A">
              <w:rPr>
                <w:rFonts w:eastAsia="Calibri" w:cs="Arial Armenian"/>
                <w:iCs/>
                <w:sz w:val="20"/>
                <w:szCs w:val="20"/>
                <w:lang w:val="hy-AM"/>
              </w:rPr>
              <w:t xml:space="preserve"> </w:t>
            </w:r>
            <w:r w:rsidRPr="0053423A">
              <w:rPr>
                <w:rFonts w:eastAsia="Calibri" w:cs="Sylfaen"/>
                <w:iCs/>
                <w:sz w:val="20"/>
                <w:szCs w:val="20"/>
                <w:lang w:val="hy-AM"/>
              </w:rPr>
              <w:t>մոդուլային</w:t>
            </w:r>
            <w:r w:rsidRPr="0053423A">
              <w:rPr>
                <w:rFonts w:eastAsia="Calibri" w:cs="Arial Armenian"/>
                <w:iCs/>
                <w:sz w:val="20"/>
                <w:szCs w:val="20"/>
                <w:lang w:val="hy-AM"/>
              </w:rPr>
              <w:t xml:space="preserve"> </w:t>
            </w:r>
            <w:r w:rsidRPr="0053423A">
              <w:rPr>
                <w:rFonts w:eastAsia="Calibri" w:cs="Sylfaen"/>
                <w:iCs/>
                <w:sz w:val="20"/>
                <w:szCs w:val="20"/>
                <w:lang w:val="hy-AM"/>
              </w:rPr>
              <w:t>ուսումնական</w:t>
            </w:r>
            <w:r w:rsidRPr="0053423A">
              <w:rPr>
                <w:rFonts w:eastAsia="Calibri" w:cs="Arial Armenian"/>
                <w:iCs/>
                <w:sz w:val="20"/>
                <w:szCs w:val="20"/>
                <w:lang w:val="hy-AM"/>
              </w:rPr>
              <w:t xml:space="preserve"> </w:t>
            </w:r>
            <w:r w:rsidRPr="0053423A">
              <w:rPr>
                <w:rFonts w:eastAsia="Calibri" w:cs="Sylfaen"/>
                <w:iCs/>
                <w:sz w:val="20"/>
                <w:szCs w:val="20"/>
                <w:lang w:val="hy-AM"/>
              </w:rPr>
              <w:t>պլանների իրականացման</w:t>
            </w:r>
            <w:r w:rsidRPr="0053423A">
              <w:rPr>
                <w:sz w:val="20"/>
                <w:szCs w:val="20"/>
                <w:lang w:val="hy-AM"/>
              </w:rPr>
              <w:t xml:space="preserve"> անհրաժեշտությունը </w:t>
            </w:r>
            <w:r w:rsidRPr="0053423A">
              <w:rPr>
                <w:rFonts w:cs="Sylfaen"/>
                <w:iCs/>
                <w:sz w:val="20"/>
                <w:szCs w:val="20"/>
                <w:lang w:val="hy-AM"/>
              </w:rPr>
              <w:t>հրատապ են դարձ</w:t>
            </w:r>
            <w:r w:rsidRPr="0053423A">
              <w:rPr>
                <w:sz w:val="20"/>
                <w:szCs w:val="20"/>
                <w:lang w:val="hy-AM"/>
              </w:rPr>
              <w:t>նում ՆՄՄԿ ուսումնական hաստատությունների համալրման և համապատասխան գույքով և սարքավորումներով հագեցման միջոցառման իրականացումը</w:t>
            </w:r>
            <w:r w:rsidRPr="0053423A">
              <w:rPr>
                <w:rFonts w:eastAsia="Calibri" w:cs="Times New Roman"/>
                <w:sz w:val="20"/>
                <w:szCs w:val="20"/>
                <w:lang w:val="hy-AM"/>
              </w:rPr>
              <w:t>:</w:t>
            </w:r>
          </w:p>
          <w:p w:rsidR="00154773" w:rsidRPr="0053423A" w:rsidRDefault="00154773" w:rsidP="00154773">
            <w:pPr>
              <w:ind w:firstLine="450"/>
              <w:contextualSpacing/>
              <w:jc w:val="both"/>
              <w:rPr>
                <w:rFonts w:eastAsia="Calibri" w:cs="Times New Roman"/>
                <w:sz w:val="20"/>
                <w:szCs w:val="20"/>
                <w:lang w:val="hy-AM"/>
              </w:rPr>
            </w:pPr>
          </w:p>
          <w:p w:rsidR="00154773" w:rsidRPr="0053423A" w:rsidRDefault="00154773" w:rsidP="00154773">
            <w:pPr>
              <w:ind w:left="735"/>
              <w:rPr>
                <w:rFonts w:eastAsia="Times New Roman" w:cs="Times New Roman"/>
                <w:b/>
                <w:sz w:val="20"/>
                <w:szCs w:val="20"/>
                <w:lang w:val="hy-AM"/>
              </w:rPr>
            </w:pPr>
            <w:r w:rsidRPr="0053423A">
              <w:rPr>
                <w:rFonts w:eastAsia="Times New Roman" w:cs="Times New Roman"/>
                <w:b/>
                <w:sz w:val="20"/>
                <w:szCs w:val="20"/>
                <w:lang w:val="hy-AM"/>
              </w:rPr>
              <w:t>1.2. առկա խնդիրների առաջարկվող լուծումները</w:t>
            </w:r>
          </w:p>
          <w:p w:rsidR="00154773" w:rsidRPr="0053423A" w:rsidRDefault="00154773" w:rsidP="00154773">
            <w:pPr>
              <w:ind w:firstLine="450"/>
              <w:contextualSpacing/>
              <w:jc w:val="both"/>
              <w:rPr>
                <w:rFonts w:cs="Sylfaen"/>
                <w:sz w:val="20"/>
                <w:szCs w:val="20"/>
                <w:lang w:val="af-ZA"/>
              </w:rPr>
            </w:pPr>
            <w:r w:rsidRPr="0053423A">
              <w:rPr>
                <w:rFonts w:cs="Sylfaen"/>
                <w:sz w:val="20"/>
                <w:szCs w:val="20"/>
                <w:lang w:val="hy-AM"/>
              </w:rPr>
              <w:t>Հ</w:t>
            </w:r>
            <w:r w:rsidRPr="0053423A">
              <w:rPr>
                <w:rFonts w:cs="GHEA Grapalat"/>
                <w:color w:val="000000"/>
                <w:sz w:val="20"/>
                <w:szCs w:val="20"/>
                <w:lang w:val="hy-AM"/>
              </w:rPr>
              <w:t>ամապատասխան կրթական միջավայրի</w:t>
            </w:r>
            <w:r w:rsidRPr="0053423A">
              <w:rPr>
                <w:rFonts w:cs="GHEA Grapalat"/>
                <w:color w:val="000000"/>
                <w:sz w:val="20"/>
                <w:szCs w:val="20"/>
                <w:lang w:val="af-ZA"/>
              </w:rPr>
              <w:t xml:space="preserve"> </w:t>
            </w:r>
            <w:r w:rsidRPr="0053423A">
              <w:rPr>
                <w:rFonts w:cs="GHEA Grapalat"/>
                <w:color w:val="000000"/>
                <w:sz w:val="20"/>
                <w:szCs w:val="20"/>
                <w:lang w:val="hy-AM"/>
              </w:rPr>
              <w:t>ստեղծումը</w:t>
            </w:r>
            <w:r w:rsidRPr="0053423A">
              <w:rPr>
                <w:rFonts w:cs="GHEA Grapalat"/>
                <w:color w:val="000000"/>
                <w:sz w:val="20"/>
                <w:szCs w:val="20"/>
                <w:lang w:val="af-ZA"/>
              </w:rPr>
              <w:t xml:space="preserve"> </w:t>
            </w:r>
            <w:r w:rsidRPr="0053423A">
              <w:rPr>
                <w:rFonts w:cs="GHEA Grapalat"/>
                <w:color w:val="000000"/>
                <w:sz w:val="20"/>
                <w:szCs w:val="20"/>
                <w:lang w:val="hy-AM"/>
              </w:rPr>
              <w:t>կնպաստի</w:t>
            </w:r>
            <w:r w:rsidRPr="0053423A">
              <w:rPr>
                <w:rFonts w:cs="Sylfaen"/>
                <w:sz w:val="20"/>
                <w:szCs w:val="20"/>
                <w:lang w:val="hy-AM"/>
              </w:rPr>
              <w:t xml:space="preserve"> համակարգի շարունակական զարգացմանը, մասնագիտական կրթության և ուսուցման արդիականացմանը, մասնավորապես, աշխատաշուկայի</w:t>
            </w:r>
            <w:r w:rsidRPr="0053423A">
              <w:rPr>
                <w:rFonts w:cs="Sylfaen"/>
                <w:sz w:val="20"/>
                <w:szCs w:val="20"/>
                <w:lang w:val="af-ZA"/>
              </w:rPr>
              <w:t xml:space="preserve"> </w:t>
            </w:r>
            <w:r w:rsidRPr="0053423A">
              <w:rPr>
                <w:rFonts w:cs="Sylfaen"/>
                <w:sz w:val="20"/>
                <w:szCs w:val="20"/>
                <w:lang w:val="hy-AM"/>
              </w:rPr>
              <w:t>պահանջներին</w:t>
            </w:r>
            <w:r w:rsidRPr="0053423A">
              <w:rPr>
                <w:rFonts w:cs="Sylfaen"/>
                <w:sz w:val="20"/>
                <w:szCs w:val="20"/>
                <w:lang w:val="af-ZA"/>
              </w:rPr>
              <w:t xml:space="preserve"> </w:t>
            </w:r>
            <w:r w:rsidRPr="0053423A">
              <w:rPr>
                <w:rFonts w:cs="Sylfaen"/>
                <w:sz w:val="20"/>
                <w:szCs w:val="20"/>
                <w:lang w:val="hy-AM"/>
              </w:rPr>
              <w:t>համապատասխան</w:t>
            </w:r>
            <w:r w:rsidRPr="0053423A">
              <w:rPr>
                <w:rFonts w:cs="Sylfaen"/>
                <w:sz w:val="20"/>
                <w:szCs w:val="20"/>
                <w:lang w:val="af-ZA"/>
              </w:rPr>
              <w:t xml:space="preserve"> </w:t>
            </w:r>
            <w:r w:rsidRPr="0053423A">
              <w:rPr>
                <w:rFonts w:cs="Sylfaen"/>
                <w:sz w:val="20"/>
                <w:szCs w:val="20"/>
                <w:lang w:val="hy-AM"/>
              </w:rPr>
              <w:t>մասնագիտական ներուժի կարողությունների հզորացմանը, շրջանավարտների</w:t>
            </w:r>
            <w:r w:rsidRPr="0053423A">
              <w:rPr>
                <w:rFonts w:cs="Sylfaen"/>
                <w:sz w:val="20"/>
                <w:szCs w:val="20"/>
                <w:lang w:val="af-ZA"/>
              </w:rPr>
              <w:t xml:space="preserve"> </w:t>
            </w:r>
            <w:r w:rsidRPr="0053423A">
              <w:rPr>
                <w:rFonts w:cs="Sylfaen"/>
                <w:sz w:val="20"/>
                <w:szCs w:val="20"/>
                <w:lang w:val="hy-AM"/>
              </w:rPr>
              <w:t>զբաղունակության</w:t>
            </w:r>
            <w:r w:rsidRPr="0053423A">
              <w:rPr>
                <w:rFonts w:cs="Sylfaen"/>
                <w:sz w:val="20"/>
                <w:szCs w:val="20"/>
                <w:lang w:val="af-ZA"/>
              </w:rPr>
              <w:t xml:space="preserve">, </w:t>
            </w:r>
            <w:r w:rsidRPr="0053423A">
              <w:rPr>
                <w:rFonts w:cs="Sylfaen"/>
                <w:sz w:val="20"/>
                <w:szCs w:val="20"/>
                <w:lang w:val="hy-AM"/>
              </w:rPr>
              <w:t>մասնագիտական</w:t>
            </w:r>
            <w:r w:rsidRPr="0053423A">
              <w:rPr>
                <w:rFonts w:cs="Sylfaen"/>
                <w:sz w:val="20"/>
                <w:szCs w:val="20"/>
                <w:lang w:val="af-ZA"/>
              </w:rPr>
              <w:t xml:space="preserve"> </w:t>
            </w:r>
            <w:r w:rsidRPr="0053423A">
              <w:rPr>
                <w:rFonts w:cs="Sylfaen"/>
                <w:sz w:val="20"/>
                <w:szCs w:val="20"/>
                <w:lang w:val="hy-AM"/>
              </w:rPr>
              <w:t>հմտությունների</w:t>
            </w:r>
            <w:r w:rsidRPr="0053423A">
              <w:rPr>
                <w:rFonts w:cs="Sylfaen"/>
                <w:sz w:val="20"/>
                <w:szCs w:val="20"/>
                <w:lang w:val="af-ZA"/>
              </w:rPr>
              <w:t xml:space="preserve"> </w:t>
            </w:r>
            <w:r w:rsidRPr="0053423A">
              <w:rPr>
                <w:rFonts w:cs="Sylfaen"/>
                <w:sz w:val="20"/>
                <w:szCs w:val="20"/>
                <w:lang w:val="hy-AM"/>
              </w:rPr>
              <w:t>և</w:t>
            </w:r>
            <w:r w:rsidRPr="0053423A">
              <w:rPr>
                <w:rFonts w:cs="Sylfaen"/>
                <w:sz w:val="20"/>
                <w:szCs w:val="20"/>
                <w:lang w:val="af-ZA"/>
              </w:rPr>
              <w:t xml:space="preserve"> </w:t>
            </w:r>
            <w:r w:rsidRPr="0053423A">
              <w:rPr>
                <w:rFonts w:cs="Sylfaen"/>
                <w:sz w:val="20"/>
                <w:szCs w:val="20"/>
                <w:lang w:val="hy-AM"/>
              </w:rPr>
              <w:t>կարողությունների</w:t>
            </w:r>
            <w:r w:rsidRPr="0053423A">
              <w:rPr>
                <w:rFonts w:cs="Sylfaen"/>
                <w:sz w:val="20"/>
                <w:szCs w:val="20"/>
                <w:lang w:val="af-ZA"/>
              </w:rPr>
              <w:t xml:space="preserve"> </w:t>
            </w:r>
            <w:r w:rsidRPr="0053423A">
              <w:rPr>
                <w:rFonts w:cs="Sylfaen"/>
                <w:sz w:val="20"/>
                <w:szCs w:val="20"/>
                <w:lang w:val="hy-AM"/>
              </w:rPr>
              <w:t>բարելավմանը</w:t>
            </w:r>
            <w:r w:rsidRPr="0053423A">
              <w:rPr>
                <w:rFonts w:cs="Sylfaen"/>
                <w:sz w:val="20"/>
                <w:szCs w:val="20"/>
                <w:lang w:val="af-ZA"/>
              </w:rPr>
              <w:t xml:space="preserve">, </w:t>
            </w:r>
            <w:r w:rsidRPr="0053423A">
              <w:rPr>
                <w:rFonts w:cs="Sylfaen"/>
                <w:sz w:val="20"/>
                <w:szCs w:val="20"/>
                <w:lang w:val="hy-AM"/>
              </w:rPr>
              <w:t>մասնագիտական կրթության և ուսուցման հեղինակության</w:t>
            </w:r>
            <w:r w:rsidRPr="0053423A">
              <w:rPr>
                <w:rFonts w:cs="Sylfaen"/>
                <w:sz w:val="20"/>
                <w:szCs w:val="20"/>
                <w:lang w:val="af-ZA"/>
              </w:rPr>
              <w:t xml:space="preserve">, </w:t>
            </w:r>
            <w:r w:rsidRPr="0053423A">
              <w:rPr>
                <w:rFonts w:cs="Sylfaen"/>
                <w:sz w:val="20"/>
                <w:szCs w:val="20"/>
                <w:lang w:val="hy-AM"/>
              </w:rPr>
              <w:t>որակի և վարկանիշի բարձրացմանը:</w:t>
            </w:r>
          </w:p>
          <w:p w:rsidR="00154773" w:rsidRPr="0053423A" w:rsidRDefault="00154773" w:rsidP="00154773">
            <w:pPr>
              <w:ind w:firstLine="450"/>
              <w:contextualSpacing/>
              <w:jc w:val="both"/>
              <w:rPr>
                <w:rFonts w:cs="Sylfaen"/>
                <w:sz w:val="20"/>
                <w:szCs w:val="20"/>
                <w:lang w:val="af-ZA"/>
              </w:rPr>
            </w:pPr>
          </w:p>
          <w:p w:rsidR="00154773" w:rsidRPr="0053423A" w:rsidRDefault="00154773" w:rsidP="00154773">
            <w:pPr>
              <w:ind w:firstLine="450"/>
              <w:contextualSpacing/>
              <w:rPr>
                <w:rFonts w:eastAsia="Times New Roman" w:cs="Times New Roman"/>
                <w:b/>
                <w:sz w:val="20"/>
                <w:szCs w:val="20"/>
                <w:lang w:val="af-ZA"/>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firstLine="450"/>
              <w:contextualSpacing/>
              <w:rPr>
                <w:rFonts w:eastAsia="Times New Roman" w:cs="Times New Roman"/>
                <w:b/>
                <w:sz w:val="20"/>
                <w:szCs w:val="20"/>
                <w:lang w:val="af-ZA"/>
              </w:rPr>
            </w:pPr>
          </w:p>
          <w:p w:rsidR="00154773" w:rsidRPr="0053423A" w:rsidRDefault="00154773" w:rsidP="00154773">
            <w:pPr>
              <w:ind w:firstLine="522"/>
              <w:jc w:val="both"/>
              <w:rPr>
                <w:rFonts w:cs="GHEA Grapalat"/>
                <w:color w:val="000000"/>
                <w:sz w:val="20"/>
                <w:szCs w:val="20"/>
                <w:lang w:val="hy-AM"/>
              </w:rPr>
            </w:pPr>
            <w:r w:rsidRPr="0053423A">
              <w:rPr>
                <w:rFonts w:cs="GHEA Grapalat"/>
                <w:color w:val="000000"/>
                <w:sz w:val="20"/>
                <w:szCs w:val="20"/>
                <w:lang w:val="hy-AM"/>
              </w:rPr>
              <w:t xml:space="preserve">Միջոցառման իրականացման արդյունքում </w:t>
            </w:r>
            <w:r w:rsidRPr="0053423A">
              <w:rPr>
                <w:rFonts w:cs="GHEA Grapalat"/>
                <w:color w:val="000000"/>
                <w:sz w:val="20"/>
                <w:szCs w:val="20"/>
                <w:lang w:val="af-ZA"/>
              </w:rPr>
              <w:t>2023</w:t>
            </w:r>
            <w:r w:rsidRPr="0053423A">
              <w:rPr>
                <w:rFonts w:cs="GHEA Grapalat"/>
                <w:color w:val="000000"/>
                <w:sz w:val="20"/>
                <w:szCs w:val="20"/>
              </w:rPr>
              <w:t>թ</w:t>
            </w:r>
            <w:r w:rsidRPr="0053423A">
              <w:rPr>
                <w:rFonts w:cs="GHEA Grapalat"/>
                <w:color w:val="000000"/>
                <w:sz w:val="20"/>
                <w:szCs w:val="20"/>
                <w:lang w:val="af-ZA"/>
              </w:rPr>
              <w:t>. դրությամբ</w:t>
            </w:r>
            <w:r w:rsidRPr="0053423A">
              <w:rPr>
                <w:rFonts w:cs="GHEA Grapalat"/>
                <w:color w:val="000000"/>
                <w:sz w:val="20"/>
                <w:szCs w:val="20"/>
                <w:lang w:val="hy-AM"/>
              </w:rPr>
              <w:t xml:space="preserve"> թվով </w:t>
            </w:r>
            <w:r w:rsidRPr="0053423A">
              <w:rPr>
                <w:rFonts w:cs="GHEA Grapalat"/>
                <w:color w:val="000000"/>
                <w:sz w:val="20"/>
                <w:szCs w:val="20"/>
                <w:lang w:val="af-ZA"/>
              </w:rPr>
              <w:t>6</w:t>
            </w:r>
            <w:r w:rsidRPr="0053423A">
              <w:rPr>
                <w:rFonts w:cs="GHEA Grapalat"/>
                <w:color w:val="000000"/>
                <w:sz w:val="20"/>
                <w:szCs w:val="20"/>
                <w:lang w:val="hy-AM"/>
              </w:rPr>
              <w:t xml:space="preserve"> ՆՄՄԿ ուսումնական հաստատություն կհամալրվի և կհագեցվի համապատասխան գույքով և սարքավորումներով</w:t>
            </w:r>
            <w:r w:rsidRPr="0053423A">
              <w:rPr>
                <w:rFonts w:cs="GHEA Grapalat"/>
                <w:color w:val="000000"/>
                <w:sz w:val="20"/>
                <w:szCs w:val="20"/>
                <w:lang w:val="af-ZA"/>
              </w:rPr>
              <w:t xml:space="preserve">, </w:t>
            </w:r>
            <w:r w:rsidRPr="0053423A">
              <w:rPr>
                <w:rFonts w:cs="GHEA Grapalat"/>
                <w:color w:val="000000"/>
                <w:sz w:val="20"/>
                <w:szCs w:val="20"/>
              </w:rPr>
              <w:t>ինչը</w:t>
            </w:r>
            <w:r w:rsidRPr="0053423A">
              <w:rPr>
                <w:rFonts w:cs="GHEA Grapalat"/>
                <w:color w:val="000000"/>
                <w:sz w:val="20"/>
                <w:szCs w:val="20"/>
                <w:lang w:val="hy-AM"/>
              </w:rPr>
              <w:t xml:space="preserve"> կնպաստ</w:t>
            </w:r>
            <w:r w:rsidRPr="0053423A">
              <w:rPr>
                <w:rFonts w:cs="GHEA Grapalat"/>
                <w:color w:val="000000"/>
                <w:sz w:val="20"/>
                <w:szCs w:val="20"/>
              </w:rPr>
              <w:t>ի</w:t>
            </w:r>
            <w:r w:rsidRPr="0053423A">
              <w:rPr>
                <w:rFonts w:cs="GHEA Grapalat"/>
                <w:color w:val="000000"/>
                <w:sz w:val="20"/>
                <w:szCs w:val="20"/>
                <w:lang w:val="hy-AM"/>
              </w:rPr>
              <w:t xml:space="preserve"> համակարգի շարունակական զարգացմանը, սարքավորումների և ենթակառուցվածքների արդիականացմանը, մասնագիտական ներուժի կարողությունների հզորացմանը</w:t>
            </w:r>
            <w:r w:rsidRPr="0053423A">
              <w:rPr>
                <w:rFonts w:cs="GHEA Grapalat"/>
                <w:color w:val="000000"/>
                <w:sz w:val="20"/>
                <w:szCs w:val="20"/>
                <w:lang w:val="af-ZA"/>
              </w:rPr>
              <w:t xml:space="preserve">, </w:t>
            </w:r>
            <w:r w:rsidRPr="0053423A">
              <w:rPr>
                <w:rFonts w:cs="GHEA Grapalat"/>
                <w:color w:val="000000"/>
                <w:sz w:val="20"/>
                <w:szCs w:val="20"/>
              </w:rPr>
              <w:t>մ</w:t>
            </w:r>
            <w:r w:rsidRPr="0053423A">
              <w:rPr>
                <w:rFonts w:cs="GHEA Grapalat"/>
                <w:color w:val="000000"/>
                <w:sz w:val="20"/>
                <w:szCs w:val="20"/>
                <w:lang w:val="hy-AM"/>
              </w:rPr>
              <w:t>ասնագիտական կրթությ</w:t>
            </w:r>
            <w:r w:rsidRPr="0053423A">
              <w:rPr>
                <w:rFonts w:cs="GHEA Grapalat"/>
                <w:color w:val="000000"/>
                <w:sz w:val="20"/>
                <w:szCs w:val="20"/>
              </w:rPr>
              <w:t>ան</w:t>
            </w:r>
            <w:r w:rsidRPr="0053423A">
              <w:rPr>
                <w:rFonts w:cs="GHEA Grapalat"/>
                <w:color w:val="000000"/>
                <w:sz w:val="20"/>
                <w:szCs w:val="20"/>
                <w:lang w:val="hy-AM"/>
              </w:rPr>
              <w:t xml:space="preserve"> և ուսուց</w:t>
            </w:r>
            <w:r w:rsidRPr="0053423A">
              <w:rPr>
                <w:rFonts w:cs="GHEA Grapalat"/>
                <w:color w:val="000000"/>
                <w:sz w:val="20"/>
                <w:szCs w:val="20"/>
              </w:rPr>
              <w:t>ման</w:t>
            </w:r>
            <w:r w:rsidRPr="0053423A">
              <w:rPr>
                <w:rFonts w:cs="GHEA Grapalat"/>
                <w:color w:val="000000"/>
                <w:sz w:val="20"/>
                <w:szCs w:val="20"/>
                <w:lang w:val="af-ZA"/>
              </w:rPr>
              <w:t xml:space="preserve"> </w:t>
            </w:r>
            <w:r w:rsidRPr="0053423A">
              <w:rPr>
                <w:rFonts w:cs="GHEA Grapalat"/>
                <w:color w:val="000000"/>
                <w:sz w:val="20"/>
                <w:szCs w:val="20"/>
                <w:lang w:val="hy-AM"/>
              </w:rPr>
              <w:t>առավել արդյունավետ կազմակերպ</w:t>
            </w:r>
            <w:r w:rsidRPr="0053423A">
              <w:rPr>
                <w:rFonts w:cs="GHEA Grapalat"/>
                <w:color w:val="000000"/>
                <w:sz w:val="20"/>
                <w:szCs w:val="20"/>
              </w:rPr>
              <w:t>մանը</w:t>
            </w:r>
            <w:r w:rsidRPr="0053423A">
              <w:rPr>
                <w:rFonts w:cs="GHEA Grapalat"/>
                <w:color w:val="000000"/>
                <w:sz w:val="20"/>
                <w:szCs w:val="20"/>
                <w:lang w:val="hy-AM"/>
              </w:rPr>
              <w:t>, շրջանավարտների զբաղունակությ</w:t>
            </w:r>
            <w:r w:rsidRPr="0053423A">
              <w:rPr>
                <w:rFonts w:cs="GHEA Grapalat"/>
                <w:color w:val="000000"/>
                <w:sz w:val="20"/>
                <w:szCs w:val="20"/>
              </w:rPr>
              <w:t>ան</w:t>
            </w:r>
            <w:r w:rsidRPr="0053423A">
              <w:rPr>
                <w:rFonts w:cs="GHEA Grapalat"/>
                <w:color w:val="000000"/>
                <w:sz w:val="20"/>
                <w:szCs w:val="20"/>
                <w:lang w:val="af-ZA"/>
              </w:rPr>
              <w:t xml:space="preserve"> </w:t>
            </w:r>
            <w:r w:rsidRPr="0053423A">
              <w:rPr>
                <w:rFonts w:cs="GHEA Grapalat"/>
                <w:color w:val="000000"/>
                <w:sz w:val="20"/>
                <w:szCs w:val="20"/>
                <w:lang w:val="hy-AM"/>
              </w:rPr>
              <w:t>բարելավ</w:t>
            </w:r>
            <w:r w:rsidRPr="0053423A">
              <w:rPr>
                <w:rFonts w:cs="GHEA Grapalat"/>
                <w:color w:val="000000"/>
                <w:sz w:val="20"/>
                <w:szCs w:val="20"/>
              </w:rPr>
              <w:t>մանը</w:t>
            </w:r>
            <w:r w:rsidRPr="0053423A">
              <w:rPr>
                <w:rFonts w:cs="GHEA Grapalat"/>
                <w:color w:val="000000"/>
                <w:sz w:val="20"/>
                <w:szCs w:val="20"/>
                <w:lang w:val="hy-AM"/>
              </w:rPr>
              <w:t>, մասնագիտական կրթության և ուսուցման հեղինակության և վարկանիշի բարձրացմանը:</w:t>
            </w:r>
          </w:p>
          <w:p w:rsidR="00154773" w:rsidRPr="0053423A" w:rsidRDefault="00154773" w:rsidP="00154773">
            <w:pPr>
              <w:ind w:firstLine="522"/>
              <w:jc w:val="both"/>
              <w:rPr>
                <w:rFonts w:eastAsia="Times New Roman" w:cs="Times New Roman"/>
                <w:b/>
                <w:sz w:val="20"/>
                <w:szCs w:val="20"/>
                <w:lang w:val="hy-AM"/>
              </w:rPr>
            </w:pPr>
          </w:p>
        </w:tc>
      </w:tr>
      <w:tr w:rsidR="00154773" w:rsidRPr="0053423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22</w:t>
            </w:r>
          </w:p>
        </w:tc>
        <w:tc>
          <w:tcPr>
            <w:tcW w:w="10620" w:type="dxa"/>
          </w:tcPr>
          <w:p w:rsidR="00154773" w:rsidRPr="0053423A" w:rsidRDefault="00154773" w:rsidP="00154773">
            <w:pPr>
              <w:jc w:val="center"/>
              <w:rPr>
                <w:b/>
                <w:spacing w:val="-4"/>
                <w:sz w:val="20"/>
                <w:szCs w:val="20"/>
                <w:u w:val="single"/>
                <w:lang w:val="hy-AM"/>
              </w:rPr>
            </w:pPr>
            <w:r w:rsidRPr="0053423A">
              <w:rPr>
                <w:b/>
                <w:spacing w:val="-4"/>
                <w:sz w:val="20"/>
                <w:szCs w:val="20"/>
                <w:u w:val="single"/>
                <w:lang w:val="hy-AM"/>
              </w:rPr>
              <w:t>22.1 Գիտական կազմակերպությունների և բուհերի գիտական ստորաբաժանումների գիտական և գիտատեխնիկական գործունեության արդյունավետության գնահատման մեխանիզմների մշակում</w:t>
            </w:r>
          </w:p>
          <w:p w:rsidR="00154773" w:rsidRPr="0053423A" w:rsidRDefault="00154773" w:rsidP="00154773">
            <w:pPr>
              <w:jc w:val="center"/>
              <w:rPr>
                <w:b/>
                <w:spacing w:val="-4"/>
                <w:sz w:val="20"/>
                <w:szCs w:val="20"/>
                <w:u w:val="single"/>
                <w:lang w:val="hy-AM"/>
              </w:rPr>
            </w:pPr>
          </w:p>
          <w:p w:rsidR="00154773" w:rsidRPr="0053423A" w:rsidRDefault="00154773" w:rsidP="00154773">
            <w:pPr>
              <w:jc w:val="center"/>
              <w:rPr>
                <w:rFonts w:eastAsia="Times New Roman" w:cs="Times New Roman"/>
                <w:b/>
                <w:sz w:val="20"/>
                <w:szCs w:val="20"/>
                <w:u w:val="single"/>
                <w:lang w:val="hy-AM"/>
              </w:rPr>
            </w:pPr>
            <w:r w:rsidRPr="0053423A">
              <w:rPr>
                <w:b/>
                <w:spacing w:val="-4"/>
                <w:sz w:val="20"/>
                <w:szCs w:val="20"/>
                <w:u w:val="single"/>
                <w:lang w:val="hy-AM"/>
              </w:rPr>
              <w:t>22.2 Գիտական և գիտատեխնիկական գործունեության բնագավառում կատարողականի վրա հիմնված պետական ֆինանսավորման մեխանիզմների ներդրում</w:t>
            </w:r>
          </w:p>
          <w:p w:rsidR="00154773" w:rsidRPr="0053423A" w:rsidRDefault="00154773" w:rsidP="00154773">
            <w:pPr>
              <w:ind w:firstLine="360"/>
              <w:jc w:val="both"/>
              <w:rPr>
                <w:b/>
                <w:spacing w:val="-4"/>
                <w:sz w:val="20"/>
                <w:szCs w:val="20"/>
                <w:u w:val="single"/>
                <w:lang w:val="hy-AM"/>
              </w:rPr>
            </w:pPr>
          </w:p>
          <w:p w:rsidR="00154773" w:rsidRPr="0053423A" w:rsidRDefault="00154773" w:rsidP="001F6D5D">
            <w:pPr>
              <w:numPr>
                <w:ilvl w:val="0"/>
                <w:numId w:val="471"/>
              </w:numPr>
              <w:contextualSpacing/>
              <w:rPr>
                <w:rFonts w:eastAsia="Times New Roman" w:cs="Times New Roman"/>
                <w:sz w:val="20"/>
                <w:szCs w:val="20"/>
              </w:rPr>
            </w:pPr>
            <w:r w:rsidRPr="0053423A">
              <w:rPr>
                <w:rFonts w:eastAsia="Times New Roman" w:cs="Times New Roman"/>
                <w:b/>
                <w:sz w:val="20"/>
                <w:szCs w:val="20"/>
                <w:lang w:val="hy-AM"/>
              </w:rPr>
              <w:t>Միջոցառման իրակա</w:t>
            </w:r>
            <w:r w:rsidRPr="0053423A">
              <w:rPr>
                <w:rFonts w:eastAsia="Times New Roman" w:cs="Times New Roman"/>
                <w:b/>
                <w:sz w:val="20"/>
                <w:szCs w:val="20"/>
              </w:rPr>
              <w:t>նա</w:t>
            </w:r>
            <w:r w:rsidRPr="0053423A">
              <w:rPr>
                <w:rFonts w:eastAsia="Times New Roman" w:cs="Times New Roman"/>
                <w:b/>
                <w:sz w:val="20"/>
                <w:szCs w:val="20"/>
                <w:lang w:val="hy-AM"/>
              </w:rPr>
              <w:t>ցման անհրաժեշտությունը և նպատակը</w:t>
            </w:r>
            <w:r w:rsidRPr="0053423A">
              <w:rPr>
                <w:rFonts w:eastAsia="Times New Roman" w:cs="Times New Roman"/>
                <w:sz w:val="20"/>
                <w:szCs w:val="20"/>
                <w:lang w:val="hy-AM"/>
              </w:rPr>
              <w:t xml:space="preserve"> </w:t>
            </w:r>
          </w:p>
          <w:p w:rsidR="00154773" w:rsidRPr="0053423A" w:rsidRDefault="00154773" w:rsidP="00154773">
            <w:pPr>
              <w:ind w:left="734"/>
              <w:contextualSpacing/>
              <w:rPr>
                <w:rFonts w:eastAsia="Times New Roman" w:cs="Times New Roman"/>
                <w:sz w:val="20"/>
                <w:szCs w:val="20"/>
              </w:rPr>
            </w:pPr>
          </w:p>
          <w:p w:rsidR="00154773" w:rsidRPr="0053423A" w:rsidRDefault="00154773" w:rsidP="00154773">
            <w:pPr>
              <w:ind w:firstLine="360"/>
              <w:jc w:val="both"/>
              <w:rPr>
                <w:rFonts w:eastAsia="Times New Roman" w:cs="Times New Roman"/>
                <w:sz w:val="20"/>
                <w:szCs w:val="20"/>
              </w:rPr>
            </w:pPr>
            <w:r w:rsidRPr="0053423A">
              <w:rPr>
                <w:rFonts w:eastAsia="Times New Roman" w:cs="Times New Roman"/>
                <w:sz w:val="20"/>
                <w:szCs w:val="20"/>
              </w:rPr>
              <w:t xml:space="preserve">Միջոցառման գլխավոր նպատակն է գիտության ոլորտում իրականացվող ծրագրերի և միջոցառումների համապատասխանեցումը երկրի տնտեսության կարիքներին, հետազոտությունների իրականացման միջազգային արդի պահանջներին և սկզբունքներին: </w:t>
            </w:r>
          </w:p>
          <w:p w:rsidR="00154773" w:rsidRPr="0053423A" w:rsidRDefault="00154773" w:rsidP="00154773">
            <w:pPr>
              <w:ind w:firstLine="374"/>
              <w:jc w:val="both"/>
              <w:rPr>
                <w:spacing w:val="-4"/>
                <w:sz w:val="20"/>
                <w:szCs w:val="20"/>
              </w:rPr>
            </w:pPr>
            <w:r w:rsidRPr="0053423A">
              <w:rPr>
                <w:rFonts w:eastAsia="Times New Roman" w:cs="Times New Roman"/>
                <w:sz w:val="20"/>
                <w:szCs w:val="20"/>
              </w:rPr>
              <w:t>Միջոցառումների անհրաժեշտությունը բխում է ՀՀ ԱԺ 2019 թվականի փետրվարի 14-ի ԱԺՈ-002-Ն որոշմամբ հավանության արժանացած ՀՀ կառավարության ծրագրի «4.4 ԿՐԹՈՒԹՅՈՒՆ ԵՎ ԳԻՏՈՒԹՅՈՒՆ» կետի «Գիտության ոլորտին» վերաբերող բաժնի 1-ին և 5-րդ պարբերություններից</w:t>
            </w:r>
            <w:r w:rsidRPr="0053423A">
              <w:rPr>
                <w:spacing w:val="-4"/>
                <w:sz w:val="20"/>
                <w:szCs w:val="20"/>
              </w:rPr>
              <w:t xml:space="preserve">՝ նպատակ ունենալով գնահատել գիտական կազմակերպությունների և բուհերի գիտական ստորաբաժանումների գիտական և գիտատեխնիկական գործունեության արդյունավետությունը և ներդնել գիտական և գիտատեխնիկական գործունեության բնագավառում կատարողականի վրա հիմնված պետական ֆինանսավորման մեխանիզմներ: </w:t>
            </w:r>
          </w:p>
          <w:p w:rsidR="00154773" w:rsidRPr="0053423A" w:rsidRDefault="00154773" w:rsidP="00154773">
            <w:pPr>
              <w:ind w:firstLine="374"/>
              <w:jc w:val="both"/>
              <w:rPr>
                <w:spacing w:val="-4"/>
                <w:sz w:val="20"/>
                <w:szCs w:val="20"/>
              </w:rPr>
            </w:pPr>
          </w:p>
          <w:p w:rsidR="00154773" w:rsidRPr="0053423A" w:rsidRDefault="00154773" w:rsidP="001F6D5D">
            <w:pPr>
              <w:numPr>
                <w:ilvl w:val="1"/>
                <w:numId w:val="479"/>
              </w:numPr>
              <w:contextualSpacing/>
              <w:jc w:val="both"/>
              <w:rPr>
                <w:rFonts w:eastAsia="Times New Roman" w:cs="Times New Roman"/>
                <w:sz w:val="20"/>
                <w:szCs w:val="20"/>
              </w:rPr>
            </w:pPr>
            <w:r w:rsidRPr="0053423A">
              <w:rPr>
                <w:rFonts w:eastAsia="Times New Roman" w:cs="Times New Roman"/>
                <w:b/>
                <w:sz w:val="20"/>
                <w:szCs w:val="20"/>
                <w:lang w:val="hy-AM"/>
              </w:rPr>
              <w:t>կարգավորման հարաբերությունների ներկա վիճակը և առկա խնդիրները</w:t>
            </w:r>
            <w:r w:rsidRPr="0053423A">
              <w:rPr>
                <w:rFonts w:eastAsia="Times New Roman" w:cs="Times New Roman"/>
                <w:sz w:val="20"/>
                <w:szCs w:val="20"/>
                <w:lang w:val="hy-AM"/>
              </w:rPr>
              <w:t xml:space="preserve"> </w:t>
            </w:r>
          </w:p>
          <w:p w:rsidR="00154773" w:rsidRPr="0053423A" w:rsidRDefault="00154773" w:rsidP="00154773">
            <w:pPr>
              <w:ind w:firstLine="375"/>
              <w:jc w:val="both"/>
              <w:rPr>
                <w:b/>
                <w:spacing w:val="-4"/>
                <w:sz w:val="20"/>
                <w:szCs w:val="20"/>
              </w:rPr>
            </w:pPr>
          </w:p>
          <w:p w:rsidR="00154773" w:rsidRPr="0053423A" w:rsidRDefault="00154773" w:rsidP="00154773">
            <w:pPr>
              <w:ind w:firstLine="360"/>
              <w:jc w:val="both"/>
              <w:rPr>
                <w:rFonts w:cs="Sylfaen"/>
                <w:sz w:val="20"/>
                <w:szCs w:val="20"/>
              </w:rPr>
            </w:pPr>
            <w:r w:rsidRPr="0053423A">
              <w:rPr>
                <w:rFonts w:cs="Arial Armenian"/>
                <w:sz w:val="20"/>
                <w:szCs w:val="20"/>
              </w:rPr>
              <w:t xml:space="preserve">Ներկայումս </w:t>
            </w:r>
            <w:r w:rsidRPr="0053423A">
              <w:rPr>
                <w:rFonts w:cs="Sylfaen"/>
                <w:sz w:val="20"/>
                <w:szCs w:val="20"/>
              </w:rPr>
              <w:t>գիտական կազմակերպությունների ֆ</w:t>
            </w:r>
            <w:r w:rsidRPr="0053423A">
              <w:rPr>
                <w:rFonts w:cs="Sylfaen"/>
                <w:sz w:val="20"/>
                <w:szCs w:val="20"/>
                <w:lang w:val="ru-RU"/>
              </w:rPr>
              <w:t>ինանսավորման</w:t>
            </w:r>
            <w:r w:rsidRPr="0053423A">
              <w:rPr>
                <w:rFonts w:cs="Sylfaen"/>
                <w:sz w:val="20"/>
                <w:szCs w:val="20"/>
              </w:rPr>
              <w:t xml:space="preserve"> </w:t>
            </w:r>
            <w:r w:rsidRPr="0053423A">
              <w:rPr>
                <w:rFonts w:cs="Sylfaen"/>
                <w:sz w:val="20"/>
                <w:szCs w:val="20"/>
                <w:lang w:val="ru-RU"/>
              </w:rPr>
              <w:t>զգալի</w:t>
            </w:r>
            <w:r w:rsidRPr="0053423A">
              <w:rPr>
                <w:rFonts w:cs="Sylfaen"/>
                <w:sz w:val="20"/>
                <w:szCs w:val="20"/>
              </w:rPr>
              <w:t xml:space="preserve"> </w:t>
            </w:r>
            <w:r w:rsidRPr="0053423A">
              <w:rPr>
                <w:rFonts w:cs="Sylfaen"/>
                <w:sz w:val="20"/>
                <w:szCs w:val="20"/>
                <w:lang w:val="ru-RU"/>
              </w:rPr>
              <w:t>մասը</w:t>
            </w:r>
            <w:r w:rsidRPr="0053423A">
              <w:rPr>
                <w:rFonts w:cs="Sylfaen"/>
                <w:sz w:val="20"/>
                <w:szCs w:val="20"/>
              </w:rPr>
              <w:t xml:space="preserve"> (</w:t>
            </w:r>
            <w:r w:rsidRPr="0053423A">
              <w:rPr>
                <w:rFonts w:cs="Sylfaen"/>
                <w:sz w:val="20"/>
                <w:szCs w:val="20"/>
                <w:lang w:val="ru-RU"/>
              </w:rPr>
              <w:t>մոտ</w:t>
            </w:r>
            <w:r w:rsidRPr="0053423A">
              <w:rPr>
                <w:rFonts w:cs="Sylfaen"/>
                <w:sz w:val="20"/>
                <w:szCs w:val="20"/>
              </w:rPr>
              <w:t xml:space="preserve"> 75%) </w:t>
            </w:r>
            <w:r w:rsidRPr="0053423A">
              <w:rPr>
                <w:rFonts w:cs="Sylfaen"/>
                <w:sz w:val="20"/>
                <w:szCs w:val="20"/>
                <w:lang w:val="ru-RU"/>
              </w:rPr>
              <w:t>իրականացվում</w:t>
            </w:r>
            <w:r w:rsidRPr="0053423A">
              <w:rPr>
                <w:rFonts w:cs="Sylfaen"/>
                <w:sz w:val="20"/>
                <w:szCs w:val="20"/>
              </w:rPr>
              <w:t xml:space="preserve"> </w:t>
            </w:r>
            <w:r w:rsidRPr="0053423A">
              <w:rPr>
                <w:rFonts w:cs="Sylfaen"/>
                <w:sz w:val="20"/>
                <w:szCs w:val="20"/>
                <w:lang w:val="ru-RU"/>
              </w:rPr>
              <w:t>է</w:t>
            </w:r>
            <w:r w:rsidRPr="0053423A">
              <w:rPr>
                <w:rFonts w:cs="Sylfaen"/>
                <w:sz w:val="20"/>
                <w:szCs w:val="20"/>
              </w:rPr>
              <w:t xml:space="preserve"> </w:t>
            </w:r>
            <w:r w:rsidRPr="0053423A">
              <w:rPr>
                <w:rFonts w:cs="Sylfaen"/>
                <w:sz w:val="20"/>
                <w:szCs w:val="20"/>
                <w:lang w:val="ru-RU"/>
              </w:rPr>
              <w:t>բազային</w:t>
            </w:r>
            <w:r w:rsidRPr="0053423A">
              <w:rPr>
                <w:rFonts w:cs="Sylfaen"/>
                <w:sz w:val="20"/>
                <w:szCs w:val="20"/>
              </w:rPr>
              <w:t xml:space="preserve"> </w:t>
            </w:r>
            <w:r w:rsidRPr="0053423A">
              <w:rPr>
                <w:rFonts w:cs="Sylfaen"/>
                <w:sz w:val="20"/>
                <w:szCs w:val="20"/>
                <w:lang w:val="ru-RU"/>
              </w:rPr>
              <w:t>ֆինանսավորման</w:t>
            </w:r>
            <w:r w:rsidRPr="0053423A">
              <w:rPr>
                <w:rFonts w:cs="Sylfaen"/>
                <w:sz w:val="20"/>
                <w:szCs w:val="20"/>
              </w:rPr>
              <w:t xml:space="preserve"> </w:t>
            </w:r>
            <w:r w:rsidRPr="0053423A">
              <w:rPr>
                <w:rFonts w:cs="Sylfaen"/>
                <w:sz w:val="20"/>
                <w:szCs w:val="20"/>
                <w:lang w:val="ru-RU"/>
              </w:rPr>
              <w:t>ձևով՝</w:t>
            </w:r>
            <w:r w:rsidRPr="0053423A">
              <w:rPr>
                <w:rFonts w:cs="Sylfaen"/>
                <w:sz w:val="20"/>
                <w:szCs w:val="20"/>
              </w:rPr>
              <w:t xml:space="preserve"> </w:t>
            </w:r>
            <w:r w:rsidRPr="0053423A">
              <w:rPr>
                <w:rFonts w:cs="Sylfaen"/>
                <w:sz w:val="20"/>
                <w:szCs w:val="20"/>
                <w:lang w:val="ru-RU"/>
              </w:rPr>
              <w:t>ծրագրային</w:t>
            </w:r>
            <w:r w:rsidRPr="0053423A">
              <w:rPr>
                <w:rFonts w:cs="Sylfaen"/>
                <w:sz w:val="20"/>
                <w:szCs w:val="20"/>
              </w:rPr>
              <w:t xml:space="preserve"> </w:t>
            </w:r>
            <w:r w:rsidRPr="0053423A">
              <w:rPr>
                <w:rFonts w:cs="Sylfaen"/>
                <w:sz w:val="20"/>
                <w:szCs w:val="20"/>
                <w:lang w:val="ru-RU"/>
              </w:rPr>
              <w:t>հիմունքներով</w:t>
            </w:r>
            <w:r w:rsidRPr="0053423A">
              <w:rPr>
                <w:rFonts w:cs="Sylfaen"/>
                <w:sz w:val="20"/>
                <w:szCs w:val="20"/>
              </w:rPr>
              <w:t xml:space="preserve">: </w:t>
            </w:r>
            <w:r w:rsidRPr="0053423A">
              <w:rPr>
                <w:rFonts w:cs="Sylfaen"/>
                <w:sz w:val="20"/>
                <w:szCs w:val="20"/>
                <w:lang w:val="ru-RU"/>
              </w:rPr>
              <w:t>Այսինքն</w:t>
            </w:r>
            <w:r w:rsidRPr="0053423A">
              <w:rPr>
                <w:rFonts w:cs="Sylfaen"/>
                <w:sz w:val="20"/>
                <w:szCs w:val="20"/>
              </w:rPr>
              <w:t xml:space="preserve">, </w:t>
            </w:r>
            <w:r w:rsidRPr="0053423A">
              <w:rPr>
                <w:rFonts w:cs="Sylfaen"/>
                <w:sz w:val="20"/>
                <w:szCs w:val="20"/>
                <w:lang w:val="ru-RU"/>
              </w:rPr>
              <w:t>ֆինանսավորման</w:t>
            </w:r>
            <w:r w:rsidRPr="0053423A">
              <w:rPr>
                <w:rFonts w:cs="Sylfaen"/>
                <w:sz w:val="20"/>
                <w:szCs w:val="20"/>
              </w:rPr>
              <w:t xml:space="preserve"> </w:t>
            </w:r>
            <w:r w:rsidRPr="0053423A">
              <w:rPr>
                <w:rFonts w:cs="Sylfaen"/>
                <w:sz w:val="20"/>
                <w:szCs w:val="20"/>
                <w:lang w:val="ru-RU"/>
              </w:rPr>
              <w:t>ժամանակ</w:t>
            </w:r>
            <w:r w:rsidRPr="0053423A">
              <w:rPr>
                <w:rFonts w:cs="Sylfaen"/>
                <w:sz w:val="20"/>
                <w:szCs w:val="20"/>
              </w:rPr>
              <w:t xml:space="preserve"> </w:t>
            </w:r>
            <w:r w:rsidRPr="0053423A">
              <w:rPr>
                <w:rFonts w:cs="Sylfaen"/>
                <w:sz w:val="20"/>
                <w:szCs w:val="20"/>
                <w:lang w:val="ru-RU"/>
              </w:rPr>
              <w:t>հաշվի</w:t>
            </w:r>
            <w:r w:rsidRPr="0053423A">
              <w:rPr>
                <w:rFonts w:cs="Sylfaen"/>
                <w:sz w:val="20"/>
                <w:szCs w:val="20"/>
              </w:rPr>
              <w:t xml:space="preserve"> </w:t>
            </w:r>
            <w:r w:rsidRPr="0053423A">
              <w:rPr>
                <w:rFonts w:cs="Sylfaen"/>
                <w:sz w:val="20"/>
                <w:szCs w:val="20"/>
                <w:lang w:val="ru-RU"/>
              </w:rPr>
              <w:t>է</w:t>
            </w:r>
            <w:r w:rsidRPr="0053423A">
              <w:rPr>
                <w:rFonts w:cs="Sylfaen"/>
                <w:sz w:val="20"/>
                <w:szCs w:val="20"/>
              </w:rPr>
              <w:t xml:space="preserve"> </w:t>
            </w:r>
            <w:r w:rsidRPr="0053423A">
              <w:rPr>
                <w:rFonts w:cs="Sylfaen"/>
                <w:sz w:val="20"/>
                <w:szCs w:val="20"/>
                <w:lang w:val="ru-RU"/>
              </w:rPr>
              <w:t>առնվում</w:t>
            </w:r>
            <w:r w:rsidRPr="0053423A">
              <w:rPr>
                <w:rFonts w:cs="Sylfaen"/>
                <w:sz w:val="20"/>
                <w:szCs w:val="20"/>
              </w:rPr>
              <w:t xml:space="preserve"> </w:t>
            </w:r>
            <w:r w:rsidRPr="0053423A">
              <w:rPr>
                <w:rFonts w:cs="Sylfaen"/>
                <w:sz w:val="20"/>
                <w:szCs w:val="20"/>
                <w:lang w:val="ru-RU"/>
              </w:rPr>
              <w:t>կազմակերպությունում</w:t>
            </w:r>
            <w:r w:rsidRPr="0053423A">
              <w:rPr>
                <w:rFonts w:cs="Sylfaen"/>
                <w:sz w:val="20"/>
                <w:szCs w:val="20"/>
              </w:rPr>
              <w:t xml:space="preserve"> </w:t>
            </w:r>
            <w:r w:rsidRPr="0053423A">
              <w:rPr>
                <w:rFonts w:cs="Sylfaen"/>
                <w:sz w:val="20"/>
                <w:szCs w:val="20"/>
                <w:lang w:val="ru-RU"/>
              </w:rPr>
              <w:t>իրականացվող</w:t>
            </w:r>
            <w:r w:rsidRPr="0053423A">
              <w:rPr>
                <w:rFonts w:cs="Sylfaen"/>
                <w:sz w:val="20"/>
                <w:szCs w:val="20"/>
              </w:rPr>
              <w:t xml:space="preserve"> </w:t>
            </w:r>
            <w:r w:rsidRPr="0053423A">
              <w:rPr>
                <w:rFonts w:cs="Sylfaen"/>
                <w:sz w:val="20"/>
                <w:szCs w:val="20"/>
                <w:lang w:val="ru-RU"/>
              </w:rPr>
              <w:t>ծրագիրը</w:t>
            </w:r>
            <w:r w:rsidRPr="0053423A">
              <w:rPr>
                <w:rFonts w:cs="Sylfaen"/>
                <w:sz w:val="20"/>
                <w:szCs w:val="20"/>
              </w:rPr>
              <w:t xml:space="preserve">, </w:t>
            </w:r>
            <w:r w:rsidRPr="0053423A">
              <w:rPr>
                <w:rFonts w:cs="Sylfaen"/>
                <w:sz w:val="20"/>
                <w:szCs w:val="20"/>
                <w:lang w:val="ru-RU"/>
              </w:rPr>
              <w:t>աշխատողների</w:t>
            </w:r>
            <w:r w:rsidRPr="0053423A">
              <w:rPr>
                <w:rFonts w:cs="Sylfaen"/>
                <w:sz w:val="20"/>
                <w:szCs w:val="20"/>
              </w:rPr>
              <w:t xml:space="preserve"> </w:t>
            </w:r>
            <w:r w:rsidRPr="0053423A">
              <w:rPr>
                <w:rFonts w:cs="Sylfaen"/>
                <w:sz w:val="20"/>
                <w:szCs w:val="20"/>
                <w:lang w:val="ru-RU"/>
              </w:rPr>
              <w:t>թվաքանակը</w:t>
            </w:r>
            <w:r w:rsidRPr="0053423A">
              <w:rPr>
                <w:rFonts w:cs="Sylfaen"/>
                <w:sz w:val="20"/>
                <w:szCs w:val="20"/>
              </w:rPr>
              <w:t xml:space="preserve">, </w:t>
            </w:r>
            <w:r w:rsidRPr="0053423A">
              <w:rPr>
                <w:rFonts w:cs="Sylfaen"/>
                <w:sz w:val="20"/>
                <w:szCs w:val="20"/>
                <w:lang w:val="ru-RU"/>
              </w:rPr>
              <w:t>նախկինում</w:t>
            </w:r>
            <w:r w:rsidRPr="0053423A">
              <w:rPr>
                <w:rFonts w:cs="Sylfaen"/>
                <w:sz w:val="20"/>
                <w:szCs w:val="20"/>
              </w:rPr>
              <w:t xml:space="preserve"> </w:t>
            </w:r>
            <w:r w:rsidRPr="0053423A">
              <w:rPr>
                <w:rFonts w:cs="Sylfaen"/>
                <w:sz w:val="20"/>
                <w:szCs w:val="20"/>
                <w:lang w:val="ru-RU"/>
              </w:rPr>
              <w:t>ձևավորված</w:t>
            </w:r>
            <w:r w:rsidRPr="0053423A">
              <w:rPr>
                <w:rFonts w:cs="Sylfaen"/>
                <w:sz w:val="20"/>
                <w:szCs w:val="20"/>
              </w:rPr>
              <w:t xml:space="preserve"> ավանդույթ</w:t>
            </w:r>
            <w:r w:rsidRPr="0053423A">
              <w:rPr>
                <w:rFonts w:cs="Sylfaen"/>
                <w:sz w:val="20"/>
                <w:szCs w:val="20"/>
                <w:lang w:val="ru-RU"/>
              </w:rPr>
              <w:t>ները</w:t>
            </w:r>
            <w:r w:rsidRPr="0053423A">
              <w:rPr>
                <w:rFonts w:cs="Sylfaen"/>
                <w:sz w:val="20"/>
                <w:szCs w:val="20"/>
              </w:rPr>
              <w:t xml:space="preserve"> </w:t>
            </w:r>
            <w:r w:rsidRPr="0053423A">
              <w:rPr>
                <w:rFonts w:cs="Sylfaen"/>
                <w:sz w:val="20"/>
                <w:szCs w:val="20"/>
                <w:lang w:val="ru-RU"/>
              </w:rPr>
              <w:t>և</w:t>
            </w:r>
            <w:r w:rsidRPr="0053423A">
              <w:rPr>
                <w:rFonts w:cs="Sylfaen"/>
                <w:sz w:val="20"/>
                <w:szCs w:val="20"/>
              </w:rPr>
              <w:t xml:space="preserve"> </w:t>
            </w:r>
            <w:r w:rsidRPr="0053423A">
              <w:rPr>
                <w:rFonts w:cs="Sylfaen"/>
                <w:sz w:val="20"/>
                <w:szCs w:val="20"/>
                <w:lang w:val="ru-RU"/>
              </w:rPr>
              <w:t>այլն</w:t>
            </w:r>
            <w:r w:rsidRPr="0053423A">
              <w:rPr>
                <w:rFonts w:cs="Sylfaen"/>
                <w:sz w:val="20"/>
                <w:szCs w:val="20"/>
              </w:rPr>
              <w:t>: Հ</w:t>
            </w:r>
            <w:r w:rsidRPr="0053423A">
              <w:rPr>
                <w:rFonts w:cs="Sylfaen"/>
                <w:sz w:val="20"/>
                <w:szCs w:val="20"/>
                <w:lang w:val="ru-RU"/>
              </w:rPr>
              <w:t>աշվի</w:t>
            </w:r>
            <w:r w:rsidRPr="0053423A">
              <w:rPr>
                <w:rFonts w:cs="Sylfaen"/>
                <w:sz w:val="20"/>
                <w:szCs w:val="20"/>
              </w:rPr>
              <w:t xml:space="preserve"> </w:t>
            </w:r>
            <w:r w:rsidRPr="0053423A">
              <w:rPr>
                <w:rFonts w:cs="Sylfaen"/>
                <w:sz w:val="20"/>
                <w:szCs w:val="20"/>
                <w:lang w:val="ru-RU"/>
              </w:rPr>
              <w:t>չ</w:t>
            </w:r>
            <w:r w:rsidRPr="0053423A">
              <w:rPr>
                <w:rFonts w:cs="Sylfaen"/>
                <w:sz w:val="20"/>
                <w:szCs w:val="20"/>
              </w:rPr>
              <w:t xml:space="preserve">են </w:t>
            </w:r>
            <w:r w:rsidRPr="0053423A">
              <w:rPr>
                <w:rFonts w:cs="Sylfaen"/>
                <w:sz w:val="20"/>
                <w:szCs w:val="20"/>
                <w:lang w:val="ru-RU"/>
              </w:rPr>
              <w:t>առնվում</w:t>
            </w:r>
            <w:r w:rsidRPr="0053423A">
              <w:rPr>
                <w:rFonts w:cs="Sylfaen"/>
                <w:sz w:val="20"/>
                <w:szCs w:val="20"/>
              </w:rPr>
              <w:t xml:space="preserve"> </w:t>
            </w:r>
            <w:r w:rsidRPr="0053423A">
              <w:rPr>
                <w:rFonts w:cs="Sylfaen"/>
                <w:sz w:val="20"/>
                <w:szCs w:val="20"/>
                <w:lang w:val="ru-RU"/>
              </w:rPr>
              <w:t>կազմակերպության</w:t>
            </w:r>
            <w:r w:rsidRPr="0053423A">
              <w:rPr>
                <w:rFonts w:cs="Sylfaen"/>
                <w:sz w:val="20"/>
                <w:szCs w:val="20"/>
              </w:rPr>
              <w:t xml:space="preserve"> </w:t>
            </w:r>
            <w:r w:rsidRPr="0053423A">
              <w:rPr>
                <w:rFonts w:cs="Sylfaen"/>
                <w:sz w:val="20"/>
                <w:szCs w:val="20"/>
                <w:lang w:val="ru-RU"/>
              </w:rPr>
              <w:t>ունեցած</w:t>
            </w:r>
            <w:r w:rsidRPr="0053423A">
              <w:rPr>
                <w:rFonts w:cs="Sylfaen"/>
                <w:sz w:val="20"/>
                <w:szCs w:val="20"/>
              </w:rPr>
              <w:t xml:space="preserve"> </w:t>
            </w:r>
            <w:r w:rsidRPr="0053423A">
              <w:rPr>
                <w:rFonts w:cs="Sylfaen"/>
                <w:sz w:val="20"/>
                <w:szCs w:val="20"/>
                <w:lang w:val="ru-RU"/>
              </w:rPr>
              <w:t>ձեռ</w:t>
            </w:r>
            <w:r w:rsidRPr="0053423A">
              <w:rPr>
                <w:rFonts w:cs="Sylfaen"/>
                <w:sz w:val="20"/>
                <w:szCs w:val="20"/>
              </w:rPr>
              <w:t>ք</w:t>
            </w:r>
            <w:r w:rsidRPr="0053423A">
              <w:rPr>
                <w:rFonts w:cs="Sylfaen"/>
                <w:sz w:val="20"/>
                <w:szCs w:val="20"/>
                <w:lang w:val="ru-RU"/>
              </w:rPr>
              <w:t>բերումները</w:t>
            </w:r>
            <w:r w:rsidRPr="0053423A">
              <w:rPr>
                <w:rFonts w:cs="Sylfaen"/>
                <w:sz w:val="20"/>
                <w:szCs w:val="20"/>
              </w:rPr>
              <w:t xml:space="preserve"> </w:t>
            </w:r>
            <w:r w:rsidRPr="0053423A">
              <w:rPr>
                <w:rFonts w:cs="Sylfaen"/>
                <w:sz w:val="20"/>
                <w:szCs w:val="20"/>
                <w:lang w:val="ru-RU"/>
              </w:rPr>
              <w:t>և</w:t>
            </w:r>
            <w:r w:rsidRPr="0053423A">
              <w:rPr>
                <w:rFonts w:cs="Sylfaen"/>
                <w:sz w:val="20"/>
                <w:szCs w:val="20"/>
              </w:rPr>
              <w:t xml:space="preserve"> </w:t>
            </w:r>
            <w:r w:rsidRPr="0053423A">
              <w:rPr>
                <w:rFonts w:cs="Sylfaen"/>
                <w:sz w:val="20"/>
                <w:szCs w:val="20"/>
                <w:lang w:val="ru-RU"/>
              </w:rPr>
              <w:t>ֆինանսավոր</w:t>
            </w:r>
            <w:r w:rsidRPr="0053423A">
              <w:rPr>
                <w:rFonts w:cs="Sylfaen"/>
                <w:sz w:val="20"/>
                <w:szCs w:val="20"/>
              </w:rPr>
              <w:t xml:space="preserve">ումը փաստորեն իրականացվում է </w:t>
            </w:r>
            <w:r w:rsidRPr="0053423A">
              <w:rPr>
                <w:rFonts w:cs="Sylfaen"/>
                <w:sz w:val="20"/>
                <w:szCs w:val="20"/>
                <w:lang w:val="ru-RU"/>
              </w:rPr>
              <w:t>համահարթեցման</w:t>
            </w:r>
            <w:r w:rsidRPr="0053423A">
              <w:rPr>
                <w:rFonts w:cs="Sylfaen"/>
                <w:sz w:val="20"/>
                <w:szCs w:val="20"/>
              </w:rPr>
              <w:t xml:space="preserve"> սկզբունքով, </w:t>
            </w:r>
            <w:r w:rsidRPr="0053423A">
              <w:rPr>
                <w:rFonts w:cs="Sylfaen"/>
                <w:sz w:val="20"/>
                <w:szCs w:val="20"/>
                <w:lang w:val="ru-RU"/>
              </w:rPr>
              <w:t>այն</w:t>
            </w:r>
            <w:r w:rsidRPr="0053423A">
              <w:rPr>
                <w:rFonts w:cs="Sylfaen"/>
                <w:sz w:val="20"/>
                <w:szCs w:val="20"/>
              </w:rPr>
              <w:t xml:space="preserve"> </w:t>
            </w:r>
            <w:r w:rsidRPr="0053423A">
              <w:rPr>
                <w:rFonts w:cs="Sylfaen"/>
                <w:sz w:val="20"/>
                <w:szCs w:val="20"/>
                <w:lang w:val="ru-RU"/>
              </w:rPr>
              <w:t>է</w:t>
            </w:r>
            <w:r w:rsidRPr="0053423A">
              <w:rPr>
                <w:rFonts w:cs="Sylfaen"/>
                <w:sz w:val="20"/>
                <w:szCs w:val="20"/>
              </w:rPr>
              <w:t xml:space="preserve">` </w:t>
            </w:r>
            <w:r w:rsidRPr="0053423A">
              <w:rPr>
                <w:rFonts w:cs="Sylfaen"/>
                <w:sz w:val="20"/>
                <w:szCs w:val="20"/>
                <w:lang w:val="ru-RU"/>
              </w:rPr>
              <w:t>մեկ</w:t>
            </w:r>
            <w:r w:rsidRPr="0053423A">
              <w:rPr>
                <w:rFonts w:cs="Sylfaen"/>
                <w:sz w:val="20"/>
                <w:szCs w:val="20"/>
              </w:rPr>
              <w:t xml:space="preserve"> </w:t>
            </w:r>
            <w:r w:rsidRPr="0053423A">
              <w:rPr>
                <w:rFonts w:cs="Sylfaen"/>
                <w:sz w:val="20"/>
                <w:szCs w:val="20"/>
                <w:lang w:val="ru-RU"/>
              </w:rPr>
              <w:t>պայմանական</w:t>
            </w:r>
            <w:r w:rsidRPr="0053423A">
              <w:rPr>
                <w:rFonts w:cs="Sylfaen"/>
                <w:sz w:val="20"/>
                <w:szCs w:val="20"/>
              </w:rPr>
              <w:t xml:space="preserve"> </w:t>
            </w:r>
            <w:r w:rsidRPr="0053423A">
              <w:rPr>
                <w:rFonts w:cs="Sylfaen"/>
                <w:sz w:val="20"/>
                <w:szCs w:val="20"/>
                <w:lang w:val="ru-RU"/>
              </w:rPr>
              <w:t>միավորի</w:t>
            </w:r>
            <w:r w:rsidRPr="0053423A">
              <w:rPr>
                <w:rFonts w:cs="Sylfaen"/>
                <w:sz w:val="20"/>
                <w:szCs w:val="20"/>
              </w:rPr>
              <w:t xml:space="preserve"> </w:t>
            </w:r>
            <w:r w:rsidRPr="0053423A">
              <w:rPr>
                <w:rFonts w:cs="Sylfaen"/>
                <w:sz w:val="20"/>
                <w:szCs w:val="20"/>
                <w:lang w:val="ru-RU"/>
              </w:rPr>
              <w:t>հաշվարկով</w:t>
            </w:r>
            <w:r w:rsidRPr="0053423A">
              <w:rPr>
                <w:rFonts w:cs="Sylfaen"/>
                <w:sz w:val="20"/>
                <w:szCs w:val="20"/>
              </w:rPr>
              <w:t xml:space="preserve"> </w:t>
            </w:r>
            <w:r w:rsidRPr="0053423A">
              <w:rPr>
                <w:rFonts w:cs="Sylfaen"/>
                <w:sz w:val="20"/>
                <w:szCs w:val="20"/>
                <w:lang w:val="ru-RU"/>
              </w:rPr>
              <w:t>նույն</w:t>
            </w:r>
            <w:r w:rsidRPr="0053423A">
              <w:rPr>
                <w:rFonts w:cs="Sylfaen"/>
                <w:sz w:val="20"/>
                <w:szCs w:val="20"/>
              </w:rPr>
              <w:t xml:space="preserve"> </w:t>
            </w:r>
            <w:r w:rsidRPr="0053423A">
              <w:rPr>
                <w:rFonts w:cs="Sylfaen"/>
                <w:sz w:val="20"/>
                <w:szCs w:val="20"/>
                <w:lang w:val="ru-RU"/>
              </w:rPr>
              <w:t>չափի</w:t>
            </w:r>
            <w:r w:rsidRPr="0053423A">
              <w:rPr>
                <w:rFonts w:cs="Sylfaen"/>
                <w:sz w:val="20"/>
                <w:szCs w:val="20"/>
              </w:rPr>
              <w:t xml:space="preserve"> </w:t>
            </w:r>
            <w:r w:rsidRPr="0053423A">
              <w:rPr>
                <w:rFonts w:cs="Sylfaen"/>
                <w:sz w:val="20"/>
                <w:szCs w:val="20"/>
                <w:lang w:val="ru-RU"/>
              </w:rPr>
              <w:t>պետական</w:t>
            </w:r>
            <w:r w:rsidRPr="0053423A">
              <w:rPr>
                <w:rFonts w:cs="Sylfaen"/>
                <w:sz w:val="20"/>
                <w:szCs w:val="20"/>
              </w:rPr>
              <w:t xml:space="preserve"> </w:t>
            </w:r>
            <w:r w:rsidRPr="0053423A">
              <w:rPr>
                <w:rFonts w:cs="Sylfaen"/>
                <w:sz w:val="20"/>
                <w:szCs w:val="20"/>
                <w:lang w:val="ru-RU"/>
              </w:rPr>
              <w:t>ֆինանսավորում</w:t>
            </w:r>
            <w:r w:rsidRPr="0053423A">
              <w:rPr>
                <w:rFonts w:cs="Sylfaen"/>
                <w:sz w:val="20"/>
                <w:szCs w:val="20"/>
              </w:rPr>
              <w:t xml:space="preserve"> </w:t>
            </w:r>
            <w:r w:rsidRPr="0053423A">
              <w:rPr>
                <w:rFonts w:cs="Sylfaen"/>
                <w:sz w:val="20"/>
                <w:szCs w:val="20"/>
                <w:lang w:val="ru-RU"/>
              </w:rPr>
              <w:t>են</w:t>
            </w:r>
            <w:r w:rsidRPr="0053423A">
              <w:rPr>
                <w:rFonts w:cs="Sylfaen"/>
                <w:sz w:val="20"/>
                <w:szCs w:val="20"/>
              </w:rPr>
              <w:t xml:space="preserve"> </w:t>
            </w:r>
            <w:r w:rsidRPr="0053423A">
              <w:rPr>
                <w:rFonts w:cs="Sylfaen"/>
                <w:sz w:val="20"/>
                <w:szCs w:val="20"/>
                <w:lang w:val="ru-RU"/>
              </w:rPr>
              <w:t>ստանում</w:t>
            </w:r>
            <w:r w:rsidRPr="0053423A">
              <w:rPr>
                <w:rFonts w:cs="Sylfaen"/>
                <w:sz w:val="20"/>
                <w:szCs w:val="20"/>
              </w:rPr>
              <w:t xml:space="preserve"> </w:t>
            </w:r>
            <w:r w:rsidRPr="0053423A">
              <w:rPr>
                <w:rFonts w:cs="Sylfaen"/>
                <w:sz w:val="20"/>
                <w:szCs w:val="20"/>
                <w:lang w:val="ru-RU"/>
              </w:rPr>
              <w:t>և</w:t>
            </w:r>
            <w:r w:rsidRPr="0053423A">
              <w:rPr>
                <w:sz w:val="20"/>
                <w:szCs w:val="20"/>
                <w:lang w:val="hy-AM"/>
              </w:rPr>
              <w:t>՛</w:t>
            </w:r>
            <w:r w:rsidRPr="0053423A">
              <w:rPr>
                <w:rFonts w:cs="Sylfaen"/>
                <w:sz w:val="20"/>
                <w:szCs w:val="20"/>
              </w:rPr>
              <w:t xml:space="preserve"> </w:t>
            </w:r>
            <w:r w:rsidRPr="0053423A">
              <w:rPr>
                <w:rFonts w:cs="Sylfaen"/>
                <w:sz w:val="20"/>
                <w:szCs w:val="20"/>
                <w:lang w:val="ru-RU"/>
              </w:rPr>
              <w:t>բարձր</w:t>
            </w:r>
            <w:r w:rsidRPr="0053423A">
              <w:rPr>
                <w:rFonts w:cs="Sylfaen"/>
                <w:sz w:val="20"/>
                <w:szCs w:val="20"/>
              </w:rPr>
              <w:t xml:space="preserve">, </w:t>
            </w:r>
            <w:r w:rsidRPr="0053423A">
              <w:rPr>
                <w:rFonts w:cs="Sylfaen"/>
                <w:sz w:val="20"/>
                <w:szCs w:val="20"/>
                <w:lang w:val="ru-RU"/>
              </w:rPr>
              <w:t>և</w:t>
            </w:r>
            <w:r w:rsidRPr="0053423A">
              <w:rPr>
                <w:sz w:val="20"/>
                <w:szCs w:val="20"/>
                <w:lang w:val="hy-AM"/>
              </w:rPr>
              <w:t>՛</w:t>
            </w:r>
            <w:r w:rsidRPr="0053423A">
              <w:rPr>
                <w:rFonts w:cs="Sylfaen"/>
                <w:sz w:val="20"/>
                <w:szCs w:val="20"/>
              </w:rPr>
              <w:t xml:space="preserve"> </w:t>
            </w:r>
            <w:r w:rsidRPr="0053423A">
              <w:rPr>
                <w:rFonts w:cs="Sylfaen"/>
                <w:sz w:val="20"/>
                <w:szCs w:val="20"/>
                <w:lang w:val="ru-RU"/>
              </w:rPr>
              <w:t>ցածր</w:t>
            </w:r>
            <w:r w:rsidRPr="0053423A">
              <w:rPr>
                <w:rFonts w:cs="Sylfaen"/>
                <w:sz w:val="20"/>
                <w:szCs w:val="20"/>
              </w:rPr>
              <w:t xml:space="preserve"> </w:t>
            </w:r>
            <w:r w:rsidRPr="0053423A">
              <w:rPr>
                <w:rFonts w:cs="Sylfaen"/>
                <w:sz w:val="20"/>
                <w:szCs w:val="20"/>
                <w:lang w:val="ru-RU"/>
              </w:rPr>
              <w:t>արդյունավետությամբ</w:t>
            </w:r>
            <w:r w:rsidRPr="0053423A">
              <w:rPr>
                <w:rFonts w:cs="Sylfaen"/>
                <w:sz w:val="20"/>
                <w:szCs w:val="20"/>
              </w:rPr>
              <w:t xml:space="preserve"> </w:t>
            </w:r>
            <w:r w:rsidRPr="0053423A">
              <w:rPr>
                <w:rFonts w:cs="Sylfaen"/>
                <w:sz w:val="20"/>
                <w:szCs w:val="20"/>
                <w:lang w:val="ru-RU"/>
              </w:rPr>
              <w:t>աշխատող</w:t>
            </w:r>
            <w:r w:rsidRPr="0053423A">
              <w:rPr>
                <w:rFonts w:cs="Sylfaen"/>
                <w:sz w:val="20"/>
                <w:szCs w:val="20"/>
              </w:rPr>
              <w:t xml:space="preserve"> </w:t>
            </w:r>
            <w:r w:rsidRPr="0053423A">
              <w:rPr>
                <w:rFonts w:cs="Sylfaen"/>
                <w:sz w:val="20"/>
                <w:szCs w:val="20"/>
                <w:lang w:val="ru-RU"/>
              </w:rPr>
              <w:t>կազմակերպություններ</w:t>
            </w:r>
            <w:r w:rsidRPr="0053423A">
              <w:rPr>
                <w:rFonts w:cs="Sylfaen"/>
                <w:sz w:val="20"/>
                <w:szCs w:val="20"/>
              </w:rPr>
              <w:t xml:space="preserve">, այդ թվում </w:t>
            </w:r>
            <w:r w:rsidRPr="0053423A">
              <w:rPr>
                <w:rFonts w:cs="Sylfaen"/>
                <w:sz w:val="20"/>
                <w:szCs w:val="20"/>
                <w:lang w:val="ru-RU"/>
              </w:rPr>
              <w:t>բացակայում</w:t>
            </w:r>
            <w:r w:rsidRPr="0053423A">
              <w:rPr>
                <w:rFonts w:cs="Sylfaen"/>
                <w:sz w:val="20"/>
                <w:szCs w:val="20"/>
              </w:rPr>
              <w:t xml:space="preserve"> են բարձր արդյունավետության խրախուսումը և </w:t>
            </w:r>
            <w:r w:rsidRPr="0053423A">
              <w:rPr>
                <w:rFonts w:cs="Sylfaen"/>
                <w:sz w:val="20"/>
                <w:szCs w:val="20"/>
                <w:lang w:val="ru-RU"/>
              </w:rPr>
              <w:t>մրցակցային</w:t>
            </w:r>
            <w:r w:rsidRPr="0053423A">
              <w:rPr>
                <w:rFonts w:cs="Sylfaen"/>
                <w:sz w:val="20"/>
                <w:szCs w:val="20"/>
              </w:rPr>
              <w:t xml:space="preserve"> </w:t>
            </w:r>
            <w:r w:rsidRPr="0053423A">
              <w:rPr>
                <w:rFonts w:cs="Sylfaen"/>
                <w:sz w:val="20"/>
                <w:szCs w:val="20"/>
                <w:lang w:val="ru-RU"/>
              </w:rPr>
              <w:t>միջավայրը</w:t>
            </w:r>
            <w:r w:rsidRPr="0053423A">
              <w:rPr>
                <w:rFonts w:cs="Sylfaen"/>
                <w:sz w:val="20"/>
                <w:szCs w:val="20"/>
              </w:rPr>
              <w:t xml:space="preserve">: </w:t>
            </w:r>
          </w:p>
          <w:p w:rsidR="00154773" w:rsidRPr="0053423A" w:rsidRDefault="00154773" w:rsidP="00154773">
            <w:pPr>
              <w:ind w:firstLine="800"/>
              <w:jc w:val="both"/>
              <w:rPr>
                <w:rFonts w:cs="Sylfaen"/>
                <w:sz w:val="20"/>
                <w:szCs w:val="20"/>
              </w:rPr>
            </w:pPr>
          </w:p>
          <w:p w:rsidR="00154773" w:rsidRPr="0053423A" w:rsidRDefault="00154773" w:rsidP="00154773">
            <w:pPr>
              <w:ind w:firstLine="465"/>
              <w:jc w:val="both"/>
              <w:rPr>
                <w:b/>
                <w:spacing w:val="-4"/>
                <w:sz w:val="20"/>
                <w:szCs w:val="20"/>
              </w:rPr>
            </w:pPr>
          </w:p>
          <w:p w:rsidR="00154773" w:rsidRPr="0053423A" w:rsidRDefault="00154773" w:rsidP="00154773">
            <w:pPr>
              <w:ind w:firstLine="360"/>
              <w:jc w:val="both"/>
              <w:rPr>
                <w:rFonts w:eastAsia="Times New Roman" w:cs="Times New Roman"/>
                <w:b/>
                <w:sz w:val="20"/>
                <w:szCs w:val="20"/>
              </w:rPr>
            </w:pPr>
            <w:r w:rsidRPr="0053423A">
              <w:rPr>
                <w:rFonts w:eastAsia="Times New Roman" w:cs="Times New Roman"/>
                <w:b/>
                <w:sz w:val="20"/>
                <w:szCs w:val="20"/>
              </w:rPr>
              <w:t>1.2.</w:t>
            </w:r>
            <w:r w:rsidRPr="0053423A">
              <w:rPr>
                <w:rFonts w:eastAsia="Times New Roman" w:cs="Times New Roman"/>
                <w:b/>
                <w:sz w:val="20"/>
                <w:szCs w:val="20"/>
                <w:lang w:val="hy-AM"/>
              </w:rPr>
              <w:t>առկա խնդիրների առաջարկվող լուծումները</w:t>
            </w:r>
          </w:p>
          <w:p w:rsidR="00154773" w:rsidRPr="0053423A" w:rsidRDefault="00154773" w:rsidP="00154773">
            <w:pPr>
              <w:ind w:firstLine="360"/>
              <w:jc w:val="both"/>
              <w:rPr>
                <w:rFonts w:eastAsia="Times New Roman" w:cs="Times New Roman"/>
                <w:b/>
                <w:sz w:val="20"/>
                <w:szCs w:val="20"/>
              </w:rPr>
            </w:pPr>
          </w:p>
          <w:p w:rsidR="00154773" w:rsidRPr="0053423A" w:rsidRDefault="00154773" w:rsidP="00154773">
            <w:pPr>
              <w:ind w:firstLine="360"/>
              <w:jc w:val="both"/>
              <w:rPr>
                <w:rFonts w:cs="Arial Armenian"/>
                <w:sz w:val="20"/>
                <w:szCs w:val="20"/>
              </w:rPr>
            </w:pPr>
            <w:r w:rsidRPr="0053423A">
              <w:rPr>
                <w:rFonts w:eastAsia="Times New Roman" w:cs="Times New Roman"/>
                <w:sz w:val="20"/>
                <w:szCs w:val="20"/>
                <w:lang w:val="hy-AM"/>
              </w:rPr>
              <w:t xml:space="preserve"> </w:t>
            </w:r>
            <w:r w:rsidRPr="0053423A">
              <w:rPr>
                <w:rFonts w:cs="Arial Armenian"/>
                <w:sz w:val="20"/>
                <w:szCs w:val="20"/>
              </w:rPr>
              <w:t xml:space="preserve">Առաջարկվում է գնահատել գիտական կազմակերպությունների և բուհերի գիտական ստորաբաժանումների արդյունավետությունը, ներդնել դրա և պետական ֆինանսավորման ծավալների համապատասխանության հստակ մեխանիզմները: </w:t>
            </w:r>
          </w:p>
          <w:p w:rsidR="00154773" w:rsidRPr="0053423A" w:rsidRDefault="00154773" w:rsidP="00154773">
            <w:pPr>
              <w:ind w:firstLine="360"/>
              <w:jc w:val="both"/>
              <w:rPr>
                <w:rFonts w:cs="Arial Armenian"/>
                <w:sz w:val="20"/>
                <w:szCs w:val="20"/>
              </w:rPr>
            </w:pPr>
          </w:p>
          <w:p w:rsidR="00154773" w:rsidRPr="0053423A" w:rsidRDefault="00154773" w:rsidP="00154773">
            <w:pPr>
              <w:ind w:firstLine="360"/>
              <w:jc w:val="both"/>
              <w:rPr>
                <w:rFonts w:cs="Arial Armenian"/>
                <w:sz w:val="20"/>
                <w:szCs w:val="20"/>
              </w:rPr>
            </w:pPr>
          </w:p>
          <w:p w:rsidR="00154773" w:rsidRPr="0053423A" w:rsidRDefault="00154773" w:rsidP="00154773">
            <w:pPr>
              <w:ind w:left="420"/>
              <w:contextualSpacing/>
              <w:rPr>
                <w:rFonts w:eastAsia="Times New Roman" w:cs="Times New Roman"/>
                <w:b/>
                <w:sz w:val="20"/>
                <w:szCs w:val="20"/>
              </w:rPr>
            </w:pPr>
            <w:r w:rsidRPr="0053423A">
              <w:rPr>
                <w:rFonts w:eastAsia="Times New Roman" w:cs="Times New Roman"/>
                <w:b/>
                <w:sz w:val="20"/>
                <w:szCs w:val="20"/>
              </w:rPr>
              <w:t>2.</w:t>
            </w:r>
            <w:r w:rsidRPr="0053423A">
              <w:rPr>
                <w:rFonts w:eastAsia="Times New Roman" w:cs="Times New Roman"/>
                <w:b/>
                <w:sz w:val="20"/>
                <w:szCs w:val="20"/>
                <w:lang w:val="hy-AM"/>
              </w:rPr>
              <w:t>Միջոցառման իրականացումից ակնկալվող արդյունքը</w:t>
            </w:r>
          </w:p>
          <w:p w:rsidR="00154773" w:rsidRPr="0053423A" w:rsidRDefault="00154773" w:rsidP="00154773">
            <w:pPr>
              <w:ind w:left="420"/>
              <w:contextualSpacing/>
              <w:rPr>
                <w:rFonts w:eastAsia="Times New Roman" w:cs="Times New Roman"/>
                <w:b/>
                <w:sz w:val="20"/>
                <w:szCs w:val="20"/>
              </w:rPr>
            </w:pPr>
          </w:p>
          <w:p w:rsidR="00154773" w:rsidRPr="0053423A" w:rsidRDefault="00154773" w:rsidP="00154773">
            <w:pPr>
              <w:ind w:left="420"/>
              <w:contextualSpacing/>
              <w:rPr>
                <w:rFonts w:eastAsia="Times New Roman" w:cs="Times New Roman"/>
                <w:b/>
                <w:sz w:val="20"/>
                <w:szCs w:val="20"/>
              </w:rPr>
            </w:pPr>
          </w:p>
          <w:p w:rsidR="00154773" w:rsidRPr="0053423A" w:rsidRDefault="00154773" w:rsidP="00154773">
            <w:pPr>
              <w:ind w:firstLine="342"/>
              <w:jc w:val="both"/>
              <w:rPr>
                <w:rFonts w:eastAsia="Times New Roman" w:cs="Times New Roman"/>
                <w:b/>
                <w:sz w:val="20"/>
                <w:szCs w:val="20"/>
                <w:lang w:val="hy-AM"/>
              </w:rPr>
            </w:pPr>
            <w:r w:rsidRPr="0053423A">
              <w:rPr>
                <w:spacing w:val="-4"/>
                <w:sz w:val="20"/>
                <w:szCs w:val="20"/>
              </w:rPr>
              <w:t>Միջոցառումների իրականացման արդյունքում կբարձրանա գիտական հետազոտությունների արդյունավետությունը, գիտական կազմակերպությունների և բուհերի գիտական ստորաբաժանումների պետական ֆինանսավորման ծավալները կհամապատասխանեցվեն իրականացվող աշխատանքների արդյունավետությանը:</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ind w:left="432" w:firstLine="375"/>
              <w:jc w:val="center"/>
              <w:rPr>
                <w:rFonts w:eastAsia="Times New Roman" w:cs="Times New Roman"/>
                <w:b/>
                <w:sz w:val="20"/>
                <w:szCs w:val="20"/>
                <w:u w:val="single"/>
                <w:lang w:val="hy-AM"/>
              </w:rPr>
            </w:pPr>
            <w:r w:rsidRPr="0053423A">
              <w:rPr>
                <w:rFonts w:eastAsia="Times New Roman" w:cs="Times New Roman"/>
                <w:b/>
                <w:sz w:val="20"/>
                <w:szCs w:val="20"/>
                <w:u w:val="single"/>
                <w:lang w:val="hy-AM"/>
              </w:rPr>
              <w:t>22.3 Գիտության ոլորտի օպտիմալացման և կառուցվածքային բարեփոխումների ծրագրի  մշակում և իրականացում</w:t>
            </w:r>
          </w:p>
          <w:p w:rsidR="00154773" w:rsidRPr="0053423A" w:rsidRDefault="00154773" w:rsidP="00154773">
            <w:pPr>
              <w:ind w:left="432"/>
              <w:rPr>
                <w:rFonts w:eastAsia="Times New Roman" w:cs="Times New Roman"/>
                <w:sz w:val="20"/>
                <w:szCs w:val="20"/>
                <w:u w:val="single"/>
                <w:lang w:val="hy-AM"/>
              </w:rPr>
            </w:pPr>
          </w:p>
          <w:p w:rsidR="00154773" w:rsidRPr="0053423A" w:rsidRDefault="00154773" w:rsidP="00154773">
            <w:pPr>
              <w:tabs>
                <w:tab w:val="left" w:pos="360"/>
              </w:tabs>
              <w:ind w:firstLine="374"/>
              <w:rPr>
                <w:rFonts w:eastAsia="Times New Roman" w:cs="Times New Roman"/>
                <w:sz w:val="20"/>
                <w:szCs w:val="20"/>
                <w:lang w:val="hy-AM"/>
              </w:rPr>
            </w:pPr>
            <w:r w:rsidRPr="0053423A">
              <w:rPr>
                <w:rFonts w:eastAsia="Times New Roman" w:cs="Times New Roman"/>
                <w:b/>
                <w:sz w:val="20"/>
                <w:szCs w:val="20"/>
                <w:lang w:val="hy-AM"/>
              </w:rPr>
              <w:t>1. Միջոցառման իրակացման անհրաժեշտությունը և նպատակը</w:t>
            </w:r>
            <w:r w:rsidRPr="0053423A">
              <w:rPr>
                <w:rFonts w:eastAsia="Times New Roman" w:cs="Times New Roman"/>
                <w:sz w:val="20"/>
                <w:szCs w:val="20"/>
                <w:lang w:val="hy-AM"/>
              </w:rPr>
              <w:t xml:space="preserve"> </w:t>
            </w:r>
          </w:p>
          <w:p w:rsidR="00154773" w:rsidRPr="0053423A" w:rsidRDefault="00154773" w:rsidP="00154773">
            <w:pPr>
              <w:tabs>
                <w:tab w:val="left" w:pos="360"/>
              </w:tabs>
              <w:ind w:firstLine="374"/>
              <w:rPr>
                <w:rFonts w:eastAsia="Times New Roman" w:cs="Times New Roman"/>
                <w:sz w:val="20"/>
                <w:szCs w:val="20"/>
                <w:lang w:val="hy-AM"/>
              </w:rPr>
            </w:pPr>
          </w:p>
          <w:p w:rsidR="00154773" w:rsidRPr="0053423A" w:rsidRDefault="00154773" w:rsidP="00154773">
            <w:pPr>
              <w:tabs>
                <w:tab w:val="left" w:pos="360"/>
              </w:tabs>
              <w:ind w:firstLine="374"/>
              <w:jc w:val="both"/>
              <w:rPr>
                <w:spacing w:val="-4"/>
                <w:sz w:val="20"/>
                <w:szCs w:val="20"/>
                <w:lang w:val="hy-AM"/>
              </w:rPr>
            </w:pPr>
            <w:r w:rsidRPr="0053423A">
              <w:rPr>
                <w:spacing w:val="-4"/>
                <w:sz w:val="20"/>
                <w:szCs w:val="20"/>
                <w:lang w:val="hy-AM"/>
              </w:rPr>
              <w:t xml:space="preserve">Միջոցառման անհրաժեշտությունը բխում է ՀՀ 2019 թվականի փետրվարի 14-ի ԱԺՈ-002-Ն որոշմամբ հավանության արժանացած ՀՀ կառավարության ծրագրի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բաժնի  Գիտության ոլորտի 1-ին և 5-րդ պարբերություններից</w:t>
            </w:r>
            <w:r w:rsidRPr="0053423A">
              <w:rPr>
                <w:spacing w:val="-4"/>
                <w:sz w:val="20"/>
                <w:szCs w:val="20"/>
                <w:lang w:val="hy-AM"/>
              </w:rPr>
              <w:t xml:space="preserve">՝ նպատակ ունենալով օպտիմալացնել գիտության ոլորտը, այդ թվում՝ անհրաժեշտության դեպքում միավորելով միևնույն գիտական ուղղության պետական գիտական կազմակերպությունները կամ բուհերի կազմում ընդգրկել այս կամ այն գիտական կազմակերպությունը, ինչպես նաև </w:t>
            </w:r>
            <w:r w:rsidRPr="0053423A">
              <w:rPr>
                <w:sz w:val="20"/>
                <w:szCs w:val="20"/>
                <w:lang w:val="hy-AM"/>
              </w:rPr>
              <w:t>ՀՀ</w:t>
            </w:r>
            <w:r w:rsidRPr="0053423A">
              <w:rPr>
                <w:sz w:val="20"/>
                <w:szCs w:val="20"/>
                <w:lang w:val="pt-BR"/>
              </w:rPr>
              <w:t xml:space="preserve"> </w:t>
            </w:r>
            <w:r w:rsidRPr="0053423A">
              <w:rPr>
                <w:sz w:val="20"/>
                <w:szCs w:val="20"/>
                <w:lang w:val="hy-AM"/>
              </w:rPr>
              <w:t>գիտության</w:t>
            </w:r>
            <w:r w:rsidRPr="0053423A">
              <w:rPr>
                <w:sz w:val="20"/>
                <w:szCs w:val="20"/>
                <w:lang w:val="pt-BR"/>
              </w:rPr>
              <w:t xml:space="preserve"> </w:t>
            </w:r>
            <w:r w:rsidRPr="0053423A">
              <w:rPr>
                <w:sz w:val="20"/>
                <w:szCs w:val="20"/>
                <w:lang w:val="hy-AM"/>
              </w:rPr>
              <w:t>ոլորտում</w:t>
            </w:r>
            <w:r w:rsidRPr="0053423A">
              <w:rPr>
                <w:sz w:val="20"/>
                <w:szCs w:val="20"/>
                <w:lang w:val="pt-BR"/>
              </w:rPr>
              <w:t xml:space="preserve"> </w:t>
            </w:r>
            <w:r w:rsidRPr="0053423A">
              <w:rPr>
                <w:sz w:val="20"/>
                <w:szCs w:val="20"/>
                <w:lang w:val="hy-AM"/>
              </w:rPr>
              <w:t>ներդնելով</w:t>
            </w:r>
            <w:r w:rsidRPr="0053423A">
              <w:rPr>
                <w:sz w:val="20"/>
                <w:szCs w:val="20"/>
                <w:lang w:val="pt-BR"/>
              </w:rPr>
              <w:t xml:space="preserve"> </w:t>
            </w:r>
            <w:r w:rsidRPr="0053423A">
              <w:rPr>
                <w:sz w:val="20"/>
                <w:szCs w:val="20"/>
                <w:lang w:val="hy-AM"/>
              </w:rPr>
              <w:t>գիտական</w:t>
            </w:r>
            <w:r w:rsidRPr="0053423A">
              <w:rPr>
                <w:sz w:val="20"/>
                <w:szCs w:val="20"/>
                <w:lang w:val="pt-BR"/>
              </w:rPr>
              <w:t xml:space="preserve"> </w:t>
            </w:r>
            <w:r w:rsidRPr="0053423A">
              <w:rPr>
                <w:sz w:val="20"/>
                <w:szCs w:val="20"/>
                <w:lang w:val="hy-AM"/>
              </w:rPr>
              <w:t>և</w:t>
            </w:r>
            <w:r w:rsidRPr="0053423A">
              <w:rPr>
                <w:sz w:val="20"/>
                <w:szCs w:val="20"/>
                <w:lang w:val="pt-BR"/>
              </w:rPr>
              <w:t xml:space="preserve"> </w:t>
            </w:r>
            <w:r w:rsidRPr="0053423A">
              <w:rPr>
                <w:sz w:val="20"/>
                <w:szCs w:val="20"/>
                <w:lang w:val="hy-AM"/>
              </w:rPr>
              <w:t>գիտատեխնիկական</w:t>
            </w:r>
            <w:r w:rsidRPr="0053423A">
              <w:rPr>
                <w:sz w:val="20"/>
                <w:szCs w:val="20"/>
                <w:lang w:val="pt-BR"/>
              </w:rPr>
              <w:t xml:space="preserve"> </w:t>
            </w:r>
            <w:r w:rsidRPr="0053423A">
              <w:rPr>
                <w:sz w:val="20"/>
                <w:szCs w:val="20"/>
                <w:lang w:val="hy-AM"/>
              </w:rPr>
              <w:t>գործունեության</w:t>
            </w:r>
            <w:r w:rsidRPr="0053423A">
              <w:rPr>
                <w:sz w:val="20"/>
                <w:szCs w:val="20"/>
                <w:lang w:val="pt-BR"/>
              </w:rPr>
              <w:t xml:space="preserve"> </w:t>
            </w:r>
            <w:r w:rsidRPr="0053423A">
              <w:rPr>
                <w:sz w:val="20"/>
                <w:szCs w:val="20"/>
                <w:lang w:val="hy-AM"/>
              </w:rPr>
              <w:t>ոլորտի</w:t>
            </w:r>
            <w:r w:rsidRPr="0053423A">
              <w:rPr>
                <w:sz w:val="20"/>
                <w:szCs w:val="20"/>
                <w:lang w:val="pt-BR"/>
              </w:rPr>
              <w:t xml:space="preserve"> </w:t>
            </w:r>
            <w:r w:rsidRPr="0053423A">
              <w:rPr>
                <w:sz w:val="20"/>
                <w:szCs w:val="20"/>
                <w:lang w:val="hy-AM"/>
              </w:rPr>
              <w:t>կառավարման</w:t>
            </w:r>
            <w:r w:rsidRPr="0053423A">
              <w:rPr>
                <w:sz w:val="20"/>
                <w:szCs w:val="20"/>
                <w:lang w:val="pt-BR"/>
              </w:rPr>
              <w:t xml:space="preserve"> </w:t>
            </w:r>
            <w:r w:rsidRPr="0053423A">
              <w:rPr>
                <w:sz w:val="20"/>
                <w:szCs w:val="20"/>
                <w:lang w:val="hy-AM"/>
              </w:rPr>
              <w:t>ու</w:t>
            </w:r>
            <w:r w:rsidRPr="0053423A">
              <w:rPr>
                <w:sz w:val="20"/>
                <w:szCs w:val="20"/>
                <w:lang w:val="pt-BR"/>
              </w:rPr>
              <w:t xml:space="preserve"> </w:t>
            </w:r>
            <w:r w:rsidRPr="0053423A">
              <w:rPr>
                <w:sz w:val="20"/>
                <w:szCs w:val="20"/>
                <w:lang w:val="hy-AM"/>
              </w:rPr>
              <w:t>աշխատանքների</w:t>
            </w:r>
            <w:r w:rsidRPr="0053423A">
              <w:rPr>
                <w:sz w:val="20"/>
                <w:szCs w:val="20"/>
                <w:lang w:val="pt-BR"/>
              </w:rPr>
              <w:t xml:space="preserve"> </w:t>
            </w:r>
            <w:r w:rsidRPr="0053423A">
              <w:rPr>
                <w:sz w:val="20"/>
                <w:szCs w:val="20"/>
                <w:lang w:val="hy-AM"/>
              </w:rPr>
              <w:t>կազմակերպման</w:t>
            </w:r>
            <w:r w:rsidRPr="0053423A">
              <w:rPr>
                <w:sz w:val="20"/>
                <w:szCs w:val="20"/>
                <w:lang w:val="pt-BR"/>
              </w:rPr>
              <w:t xml:space="preserve"> </w:t>
            </w:r>
            <w:r w:rsidRPr="0053423A">
              <w:rPr>
                <w:sz w:val="20"/>
                <w:szCs w:val="20"/>
                <w:lang w:val="hy-AM"/>
              </w:rPr>
              <w:t>ժամանակակից</w:t>
            </w:r>
            <w:r w:rsidRPr="0053423A">
              <w:rPr>
                <w:sz w:val="20"/>
                <w:szCs w:val="20"/>
                <w:lang w:val="pt-BR"/>
              </w:rPr>
              <w:t xml:space="preserve"> </w:t>
            </w:r>
            <w:r w:rsidRPr="0053423A">
              <w:rPr>
                <w:sz w:val="20"/>
                <w:szCs w:val="20"/>
                <w:lang w:val="hy-AM"/>
              </w:rPr>
              <w:t>համակարգ</w:t>
            </w:r>
            <w:r w:rsidRPr="0053423A">
              <w:rPr>
                <w:spacing w:val="-4"/>
                <w:sz w:val="20"/>
                <w:szCs w:val="20"/>
                <w:lang w:val="hy-AM"/>
              </w:rPr>
              <w:t>:</w:t>
            </w:r>
          </w:p>
          <w:p w:rsidR="00154773" w:rsidRPr="0053423A" w:rsidRDefault="00154773" w:rsidP="00154773">
            <w:pPr>
              <w:tabs>
                <w:tab w:val="left" w:pos="360"/>
              </w:tabs>
              <w:ind w:firstLine="374"/>
              <w:jc w:val="both"/>
              <w:rPr>
                <w:spacing w:val="-4"/>
                <w:sz w:val="20"/>
                <w:szCs w:val="20"/>
                <w:lang w:val="hy-AM"/>
              </w:rPr>
            </w:pPr>
          </w:p>
          <w:p w:rsidR="00154773" w:rsidRPr="0053423A" w:rsidRDefault="00154773" w:rsidP="00154773">
            <w:pPr>
              <w:tabs>
                <w:tab w:val="left" w:pos="360"/>
              </w:tabs>
              <w:ind w:firstLine="374"/>
              <w:rPr>
                <w:rFonts w:eastAsia="Times New Roman" w:cs="Times New Roman"/>
                <w:sz w:val="20"/>
                <w:szCs w:val="20"/>
                <w:lang w:val="hy-AM"/>
              </w:rPr>
            </w:pPr>
            <w:r w:rsidRPr="0053423A">
              <w:rPr>
                <w:rFonts w:eastAsia="Times New Roman" w:cs="Times New Roman"/>
                <w:b/>
                <w:sz w:val="20"/>
                <w:szCs w:val="20"/>
                <w:lang w:val="hy-AM"/>
              </w:rPr>
              <w:t>1.1. կարգավորման հարաբերությունների ներկա վիճակը և առկա խնդիրները</w:t>
            </w:r>
            <w:r w:rsidRPr="0053423A">
              <w:rPr>
                <w:rFonts w:eastAsia="Times New Roman" w:cs="Times New Roman"/>
                <w:sz w:val="20"/>
                <w:szCs w:val="20"/>
                <w:lang w:val="hy-AM"/>
              </w:rPr>
              <w:t xml:space="preserve"> </w:t>
            </w:r>
          </w:p>
          <w:p w:rsidR="00154773" w:rsidRPr="0053423A" w:rsidRDefault="00154773" w:rsidP="00154773">
            <w:pPr>
              <w:tabs>
                <w:tab w:val="left" w:pos="360"/>
              </w:tabs>
              <w:ind w:firstLine="374"/>
              <w:rPr>
                <w:rFonts w:eastAsia="Times New Roman" w:cs="Times New Roman"/>
                <w:sz w:val="20"/>
                <w:szCs w:val="20"/>
                <w:lang w:val="hy-AM"/>
              </w:rPr>
            </w:pPr>
          </w:p>
          <w:p w:rsidR="00154773" w:rsidRPr="0053423A" w:rsidRDefault="00154773" w:rsidP="00154773">
            <w:pPr>
              <w:tabs>
                <w:tab w:val="left" w:pos="360"/>
              </w:tabs>
              <w:ind w:firstLine="374"/>
              <w:jc w:val="both"/>
              <w:rPr>
                <w:spacing w:val="-4"/>
                <w:sz w:val="20"/>
                <w:szCs w:val="20"/>
                <w:lang w:val="hy-AM"/>
              </w:rPr>
            </w:pPr>
            <w:r w:rsidRPr="0053423A">
              <w:rPr>
                <w:spacing w:val="-4"/>
                <w:sz w:val="20"/>
                <w:szCs w:val="20"/>
                <w:lang w:val="hy-AM"/>
              </w:rPr>
              <w:t>Գիտական և գիտատեխնիկական գործունեության բնագավառում դանդաղ են իրականացվում կառուցվածքային բարեփոխումները, գիտական կազմակերպություններում ներդրված չէ աշխատանքների կազմակերպման ու ղեկավարման ժամանակակից համակարգը:</w:t>
            </w:r>
          </w:p>
          <w:p w:rsidR="00154773" w:rsidRPr="0053423A" w:rsidRDefault="00154773" w:rsidP="00154773">
            <w:pPr>
              <w:tabs>
                <w:tab w:val="left" w:pos="360"/>
              </w:tabs>
              <w:ind w:firstLine="374"/>
              <w:jc w:val="both"/>
              <w:rPr>
                <w:spacing w:val="-4"/>
                <w:sz w:val="20"/>
                <w:szCs w:val="20"/>
                <w:lang w:val="hy-AM"/>
              </w:rPr>
            </w:pPr>
          </w:p>
          <w:p w:rsidR="00154773" w:rsidRPr="0053423A" w:rsidRDefault="00154773" w:rsidP="00154773">
            <w:pPr>
              <w:tabs>
                <w:tab w:val="left" w:pos="360"/>
              </w:tabs>
              <w:ind w:firstLine="374"/>
              <w:jc w:val="both"/>
              <w:rPr>
                <w:rFonts w:eastAsia="Times New Roman" w:cs="Times New Roman"/>
                <w:sz w:val="20"/>
                <w:szCs w:val="20"/>
                <w:lang w:val="hy-AM"/>
              </w:rPr>
            </w:pPr>
            <w:r w:rsidRPr="0053423A">
              <w:rPr>
                <w:rFonts w:eastAsia="Times New Roman" w:cs="Times New Roman"/>
                <w:b/>
                <w:sz w:val="20"/>
                <w:szCs w:val="20"/>
                <w:lang w:val="hy-AM"/>
              </w:rPr>
              <w:t>1.2. առկա խնդիրների առաջարկվող լուծումները</w:t>
            </w:r>
            <w:r w:rsidRPr="0053423A">
              <w:rPr>
                <w:rFonts w:eastAsia="Times New Roman" w:cs="Times New Roman"/>
                <w:sz w:val="20"/>
                <w:szCs w:val="20"/>
                <w:lang w:val="hy-AM"/>
              </w:rPr>
              <w:t xml:space="preserve"> </w:t>
            </w:r>
          </w:p>
          <w:p w:rsidR="00154773" w:rsidRPr="0053423A" w:rsidRDefault="00154773" w:rsidP="00154773">
            <w:pPr>
              <w:tabs>
                <w:tab w:val="left" w:pos="360"/>
              </w:tabs>
              <w:ind w:firstLine="374"/>
              <w:jc w:val="both"/>
              <w:rPr>
                <w:bCs/>
                <w:sz w:val="20"/>
                <w:szCs w:val="20"/>
                <w:lang w:val="hy-AM"/>
              </w:rPr>
            </w:pPr>
          </w:p>
          <w:p w:rsidR="00154773" w:rsidRPr="0053423A" w:rsidRDefault="00154773" w:rsidP="00154773">
            <w:pPr>
              <w:tabs>
                <w:tab w:val="left" w:pos="360"/>
              </w:tabs>
              <w:ind w:firstLine="374"/>
              <w:jc w:val="both"/>
              <w:rPr>
                <w:spacing w:val="-4"/>
                <w:sz w:val="20"/>
                <w:szCs w:val="20"/>
                <w:lang w:val="hy-AM"/>
              </w:rPr>
            </w:pPr>
            <w:r w:rsidRPr="0053423A">
              <w:rPr>
                <w:spacing w:val="-4"/>
                <w:sz w:val="20"/>
                <w:szCs w:val="20"/>
                <w:lang w:val="hy-AM"/>
              </w:rPr>
              <w:t>Առաջարկվում է գիտության բնագավառի ոլորտային և միջոլորտային մոտեցմամբ օպտիմալացման և կառուցվածքային բարեփոխումների իրականացում, այդ թվում` անհրաժեշտության դեպքում, անկախ գերատեսչական պատկանելությունից, միևնույն գիտական ուղղության պետական գիտական կազմակերպությունների միավորմանը:</w:t>
            </w:r>
          </w:p>
          <w:p w:rsidR="00154773" w:rsidRPr="0053423A" w:rsidRDefault="00154773" w:rsidP="00154773">
            <w:pPr>
              <w:tabs>
                <w:tab w:val="left" w:pos="360"/>
              </w:tabs>
              <w:ind w:firstLine="374"/>
              <w:jc w:val="both"/>
              <w:rPr>
                <w:spacing w:val="-4"/>
                <w:sz w:val="20"/>
                <w:szCs w:val="20"/>
                <w:lang w:val="hy-AM"/>
              </w:rPr>
            </w:pPr>
          </w:p>
          <w:p w:rsidR="00154773" w:rsidRPr="0053423A" w:rsidRDefault="00154773" w:rsidP="00154773">
            <w:pPr>
              <w:tabs>
                <w:tab w:val="left" w:pos="360"/>
              </w:tabs>
              <w:ind w:firstLine="374"/>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tabs>
                <w:tab w:val="left" w:pos="360"/>
              </w:tabs>
              <w:ind w:firstLine="374"/>
              <w:rPr>
                <w:rFonts w:eastAsia="Times New Roman" w:cs="Times New Roman"/>
                <w:b/>
                <w:sz w:val="20"/>
                <w:szCs w:val="20"/>
                <w:lang w:val="hy-AM"/>
              </w:rPr>
            </w:pPr>
          </w:p>
          <w:p w:rsidR="00154773" w:rsidRPr="0053423A" w:rsidRDefault="00154773" w:rsidP="00154773">
            <w:pPr>
              <w:ind w:firstLine="342"/>
              <w:jc w:val="both"/>
              <w:rPr>
                <w:rFonts w:eastAsia="Times New Roman" w:cs="Times New Roman"/>
                <w:b/>
                <w:sz w:val="20"/>
                <w:szCs w:val="20"/>
                <w:lang w:val="hy-AM"/>
              </w:rPr>
            </w:pPr>
            <w:r w:rsidRPr="0053423A">
              <w:rPr>
                <w:rFonts w:ascii="Calibri" w:hAnsi="Calibri" w:cs="Calibri"/>
                <w:spacing w:val="-4"/>
                <w:sz w:val="20"/>
                <w:szCs w:val="20"/>
                <w:lang w:val="hy-AM"/>
              </w:rPr>
              <w:t> </w:t>
            </w:r>
            <w:r w:rsidRPr="0053423A">
              <w:rPr>
                <w:spacing w:val="-4"/>
                <w:sz w:val="20"/>
                <w:szCs w:val="20"/>
                <w:lang w:val="hy-AM"/>
              </w:rPr>
              <w:t>Ծրագրի իրականացումը հնարավորություն կտա ՀՀ գիտության ոլորտում ներդնել գիտական և գիտատեխնիկական գործունեության ոլորտի կառավարման ու աշխատանքների կազմակերպման ժամանակակից համակարգ, որն էլ իր հերթին կբարձրացնի գիտական հետազոտությունների արդյունավետությունը:</w:t>
            </w:r>
            <w:r w:rsidRPr="0053423A">
              <w:rPr>
                <w:rFonts w:ascii="Calibri" w:hAnsi="Calibri" w:cs="Calibri"/>
                <w:spacing w:val="-4"/>
                <w:sz w:val="20"/>
                <w:szCs w:val="20"/>
                <w:lang w:val="hy-AM"/>
              </w:rPr>
              <w:t> </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ind w:firstLine="360"/>
              <w:jc w:val="center"/>
              <w:rPr>
                <w:rFonts w:eastAsia="Times New Roman" w:cs="Times New Roman"/>
                <w:b/>
                <w:sz w:val="20"/>
                <w:szCs w:val="20"/>
                <w:u w:val="single"/>
                <w:lang w:val="hy-AM"/>
              </w:rPr>
            </w:pPr>
            <w:r w:rsidRPr="0053423A">
              <w:rPr>
                <w:rFonts w:eastAsia="Times New Roman" w:cs="Times New Roman"/>
                <w:b/>
                <w:sz w:val="20"/>
                <w:szCs w:val="20"/>
                <w:u w:val="single"/>
                <w:lang w:val="hy-AM"/>
              </w:rPr>
              <w:t>22.4 «Հայաստանի Հանրապետության գիտության ոլորտի զարգացման 2021-2025 թվականների ռազմավարական ծրագիրը և դրա իրականացման միջոցառումների ժամանակացույցը հաստատելու մասին» ՀՀ կառավարության որոշման նախագծի մշակում և ներկայացում ՀՀ վարչապետի աշխատակազմ</w:t>
            </w:r>
          </w:p>
          <w:p w:rsidR="00154773" w:rsidRPr="0053423A" w:rsidRDefault="00154773" w:rsidP="00154773">
            <w:pPr>
              <w:ind w:firstLine="360"/>
              <w:jc w:val="both"/>
              <w:rPr>
                <w:rFonts w:eastAsia="Times New Roman" w:cs="Times New Roman"/>
                <w:b/>
                <w:sz w:val="20"/>
                <w:szCs w:val="20"/>
                <w:u w:val="single"/>
                <w:lang w:val="hy-AM"/>
              </w:rPr>
            </w:pPr>
          </w:p>
          <w:p w:rsidR="00154773" w:rsidRPr="0053423A" w:rsidRDefault="00154773" w:rsidP="00154773">
            <w:pPr>
              <w:ind w:left="734"/>
              <w:contextualSpacing/>
              <w:rPr>
                <w:rFonts w:eastAsia="Times New Roman" w:cs="Times New Roman"/>
                <w:sz w:val="20"/>
                <w:szCs w:val="20"/>
                <w:lang w:val="hy-AM"/>
              </w:rPr>
            </w:pPr>
            <w:r w:rsidRPr="0053423A">
              <w:rPr>
                <w:rFonts w:eastAsia="Times New Roman" w:cs="Times New Roman"/>
                <w:b/>
                <w:sz w:val="20"/>
                <w:szCs w:val="20"/>
                <w:lang w:val="hy-AM"/>
              </w:rPr>
              <w:t>1.Միջոցառման իրականացման անհրաժեշտությունը և նպատակը</w:t>
            </w:r>
            <w:r w:rsidRPr="0053423A">
              <w:rPr>
                <w:rFonts w:eastAsia="Times New Roman" w:cs="Times New Roman"/>
                <w:sz w:val="20"/>
                <w:szCs w:val="20"/>
                <w:lang w:val="hy-AM"/>
              </w:rPr>
              <w:t xml:space="preserve"> </w:t>
            </w:r>
          </w:p>
          <w:p w:rsidR="00154773" w:rsidRPr="0053423A" w:rsidRDefault="00154773" w:rsidP="00154773">
            <w:pPr>
              <w:ind w:firstLine="360"/>
              <w:rPr>
                <w:rFonts w:eastAsia="Times New Roman" w:cs="Times New Roman"/>
                <w:sz w:val="20"/>
                <w:szCs w:val="20"/>
                <w:u w:val="single"/>
                <w:lang w:val="hy-AM"/>
              </w:rPr>
            </w:pPr>
          </w:p>
          <w:p w:rsidR="00154773" w:rsidRPr="0053423A" w:rsidRDefault="00154773" w:rsidP="00154773">
            <w:pPr>
              <w:ind w:firstLine="360"/>
              <w:jc w:val="both"/>
              <w:rPr>
                <w:rFonts w:eastAsia="Times New Roman" w:cs="Times New Roman"/>
                <w:sz w:val="20"/>
                <w:szCs w:val="20"/>
                <w:lang w:val="hy-AM"/>
              </w:rPr>
            </w:pPr>
            <w:r w:rsidRPr="0053423A">
              <w:rPr>
                <w:rFonts w:eastAsia="Times New Roman" w:cs="Times New Roman"/>
                <w:sz w:val="20"/>
                <w:szCs w:val="20"/>
                <w:lang w:val="hy-AM"/>
              </w:rPr>
              <w:t xml:space="preserve">Միջոցառման գլխավոր նպատակն է գիտության ոլորտում իրականացվող ծրագրերի և միջոցառումների համապատասխանեցումը երկրի տնտեսության կարիքներին, հետազոտությունների իրականացման միջազգային արդի պահանջներին և սկզբունքներին: </w:t>
            </w:r>
          </w:p>
          <w:p w:rsidR="00154773" w:rsidRPr="0053423A" w:rsidRDefault="00154773" w:rsidP="00154773">
            <w:pPr>
              <w:ind w:firstLine="360"/>
              <w:jc w:val="both"/>
              <w:rPr>
                <w:spacing w:val="-4"/>
                <w:sz w:val="20"/>
                <w:szCs w:val="20"/>
                <w:lang w:val="hy-AM"/>
              </w:rPr>
            </w:pPr>
            <w:r w:rsidRPr="0053423A">
              <w:rPr>
                <w:spacing w:val="-4"/>
                <w:sz w:val="20"/>
                <w:szCs w:val="20"/>
                <w:lang w:val="hy-AM"/>
              </w:rPr>
              <w:t xml:space="preserve">Միջոցառման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կետի «Գիտության ոլորտին» վերաբերող բաժնի 1-ին և 5-րդ պարբերություններից</w:t>
            </w:r>
            <w:r w:rsidRPr="0053423A">
              <w:rPr>
                <w:spacing w:val="-4"/>
                <w:sz w:val="20"/>
                <w:szCs w:val="20"/>
                <w:lang w:val="hy-AM"/>
              </w:rPr>
              <w:t>՝ նպատակ ունենալով ամրագրել ՀՀ գիտական և գիտատեխնիկական գործունեության բնագավառում 2021-2025</w:t>
            </w:r>
            <w:r w:rsidRPr="0053423A">
              <w:rPr>
                <w:rFonts w:ascii="Calibri" w:hAnsi="Calibri" w:cs="Calibri"/>
                <w:spacing w:val="-4"/>
                <w:sz w:val="20"/>
                <w:szCs w:val="20"/>
                <w:lang w:val="hy-AM"/>
              </w:rPr>
              <w:t> </w:t>
            </w:r>
            <w:r w:rsidRPr="0053423A">
              <w:rPr>
                <w:spacing w:val="-4"/>
                <w:sz w:val="20"/>
                <w:szCs w:val="20"/>
                <w:lang w:val="hy-AM"/>
              </w:rPr>
              <w:t xml:space="preserve">թվականներին իրականացվելիք պետական քաղաքականության հիմնական ուղղությունները, նպատակները, այդ նպատակների ձեռքբերմանն ուղղված մարտավարություններն ու </w:t>
            </w:r>
            <w:r w:rsidRPr="0053423A">
              <w:rPr>
                <w:rFonts w:eastAsia="Calibri"/>
                <w:sz w:val="20"/>
                <w:szCs w:val="20"/>
                <w:lang w:val="hy-AM"/>
              </w:rPr>
              <w:t>դրանց պատասխաններին ուղղված հիմնական լուծումներն ու  այդ լուծումներով պայմանավորված միջոցառումները</w:t>
            </w:r>
            <w:r w:rsidRPr="0053423A">
              <w:rPr>
                <w:spacing w:val="-4"/>
                <w:sz w:val="20"/>
                <w:szCs w:val="20"/>
                <w:lang w:val="hy-AM"/>
              </w:rPr>
              <w:t>:</w:t>
            </w:r>
          </w:p>
          <w:p w:rsidR="00154773" w:rsidRPr="0053423A" w:rsidRDefault="00154773" w:rsidP="00154773">
            <w:pPr>
              <w:ind w:left="426" w:firstLine="374"/>
              <w:jc w:val="both"/>
              <w:rPr>
                <w:spacing w:val="-4"/>
                <w:sz w:val="20"/>
                <w:szCs w:val="20"/>
                <w:lang w:val="hy-AM"/>
              </w:rPr>
            </w:pPr>
          </w:p>
          <w:p w:rsidR="00154773" w:rsidRPr="0053423A" w:rsidRDefault="00154773" w:rsidP="00154773">
            <w:pPr>
              <w:ind w:left="426"/>
              <w:rPr>
                <w:rFonts w:eastAsia="Times New Roman" w:cs="Times New Roman"/>
                <w:sz w:val="20"/>
                <w:szCs w:val="20"/>
                <w:u w:val="single"/>
                <w:lang w:val="hy-AM"/>
              </w:rPr>
            </w:pPr>
          </w:p>
          <w:p w:rsidR="00154773" w:rsidRPr="0053423A" w:rsidRDefault="00154773" w:rsidP="001F6D5D">
            <w:pPr>
              <w:numPr>
                <w:ilvl w:val="1"/>
                <w:numId w:val="482"/>
              </w:numPr>
              <w:contextualSpacing/>
              <w:jc w:val="both"/>
              <w:rPr>
                <w:rFonts w:eastAsia="Times New Roman" w:cs="Times New Roman"/>
                <w:sz w:val="20"/>
                <w:szCs w:val="20"/>
                <w:lang w:val="hy-AM"/>
              </w:rPr>
            </w:pPr>
            <w:r w:rsidRPr="0053423A">
              <w:rPr>
                <w:rFonts w:eastAsia="Times New Roman" w:cs="Times New Roman"/>
                <w:b/>
                <w:sz w:val="20"/>
                <w:szCs w:val="20"/>
                <w:lang w:val="hy-AM"/>
              </w:rPr>
              <w:t>կարգավորման հարաբերությունների ներկա վիճակը և առկա խնդիրները</w:t>
            </w:r>
            <w:r w:rsidRPr="0053423A">
              <w:rPr>
                <w:rFonts w:eastAsia="Times New Roman" w:cs="Times New Roman"/>
                <w:sz w:val="20"/>
                <w:szCs w:val="20"/>
                <w:lang w:val="hy-AM"/>
              </w:rPr>
              <w:t xml:space="preserve"> </w:t>
            </w:r>
          </w:p>
          <w:p w:rsidR="00154773" w:rsidRPr="0053423A" w:rsidRDefault="00154773" w:rsidP="00154773">
            <w:pPr>
              <w:ind w:left="1280"/>
              <w:contextualSpacing/>
              <w:jc w:val="both"/>
              <w:rPr>
                <w:rFonts w:eastAsia="Times New Roman" w:cs="Times New Roman"/>
                <w:sz w:val="20"/>
                <w:szCs w:val="20"/>
                <w:lang w:val="hy-AM"/>
              </w:rPr>
            </w:pPr>
          </w:p>
          <w:p w:rsidR="00154773" w:rsidRPr="0053423A" w:rsidRDefault="00154773" w:rsidP="00154773">
            <w:pPr>
              <w:ind w:firstLine="450"/>
              <w:jc w:val="both"/>
              <w:rPr>
                <w:rFonts w:eastAsia="Calibri"/>
                <w:sz w:val="20"/>
                <w:szCs w:val="20"/>
                <w:lang w:val="fr-FR"/>
              </w:rPr>
            </w:pPr>
            <w:r w:rsidRPr="0053423A">
              <w:rPr>
                <w:rFonts w:eastAsia="Calibri"/>
                <w:sz w:val="20"/>
                <w:szCs w:val="20"/>
                <w:lang w:val="fr-FR"/>
              </w:rPr>
              <w:t xml:space="preserve">ՀՀ </w:t>
            </w:r>
            <w:r w:rsidRPr="0053423A">
              <w:rPr>
                <w:rFonts w:eastAsia="Calibri"/>
                <w:sz w:val="20"/>
                <w:szCs w:val="20"/>
                <w:lang w:val="hy-AM"/>
              </w:rPr>
              <w:t xml:space="preserve">գիտական և գիտատեխնիկական գործունեության բնագավառում </w:t>
            </w:r>
            <w:r w:rsidRPr="0053423A">
              <w:rPr>
                <w:rFonts w:cs="Sylfaen"/>
                <w:sz w:val="20"/>
                <w:szCs w:val="20"/>
                <w:lang w:val="hy-AM"/>
              </w:rPr>
              <w:t>2017-2020</w:t>
            </w:r>
            <w:r w:rsidRPr="0053423A">
              <w:rPr>
                <w:rFonts w:ascii="Calibri" w:hAnsi="Calibri" w:cs="Calibri"/>
                <w:sz w:val="20"/>
                <w:szCs w:val="20"/>
                <w:lang w:val="af-ZA"/>
              </w:rPr>
              <w:t> </w:t>
            </w:r>
            <w:r w:rsidRPr="0053423A">
              <w:rPr>
                <w:rFonts w:cs="Sylfaen"/>
                <w:sz w:val="20"/>
                <w:szCs w:val="20"/>
                <w:lang w:val="hy-AM"/>
              </w:rPr>
              <w:t xml:space="preserve">թվականներին իրականացվելիք պետական քաղաքականության հիմնական ուղղությունները, նպատակները և դրանց ձեռքբերմանն ուղղված միջոցառումներն </w:t>
            </w:r>
            <w:r w:rsidRPr="0053423A">
              <w:rPr>
                <w:rFonts w:eastAsia="Calibri"/>
                <w:sz w:val="20"/>
                <w:szCs w:val="20"/>
                <w:lang w:val="fr-FR"/>
              </w:rPr>
              <w:t>ամրագրված են ՀՀ գիտության ոլորտի զարգացման 2017-2020</w:t>
            </w:r>
            <w:r w:rsidRPr="0053423A">
              <w:rPr>
                <w:rFonts w:ascii="Calibri" w:eastAsia="Calibri" w:hAnsi="Calibri" w:cs="Calibri"/>
                <w:sz w:val="20"/>
                <w:szCs w:val="20"/>
                <w:lang w:val="fr-FR"/>
              </w:rPr>
              <w:t> </w:t>
            </w:r>
            <w:r w:rsidRPr="0053423A">
              <w:rPr>
                <w:rFonts w:eastAsia="Calibri"/>
                <w:sz w:val="20"/>
                <w:szCs w:val="20"/>
                <w:lang w:val="fr-FR"/>
              </w:rPr>
              <w:t xml:space="preserve">թվականների ռազմավարական ծրագրով, որը հավանության է արժանացել </w:t>
            </w:r>
            <w:r w:rsidRPr="0053423A">
              <w:rPr>
                <w:spacing w:val="-4"/>
                <w:sz w:val="20"/>
                <w:szCs w:val="20"/>
                <w:lang w:val="hy-AM"/>
              </w:rPr>
              <w:t>ՀՀ կառավարության 2017 թվականի օգոստոսի 17-ի նիստի N 35 արձանագրային որոշմամբ</w:t>
            </w:r>
            <w:r w:rsidRPr="0053423A">
              <w:rPr>
                <w:rFonts w:eastAsia="Calibri"/>
                <w:sz w:val="20"/>
                <w:szCs w:val="20"/>
                <w:lang w:val="fr-FR"/>
              </w:rPr>
              <w:t xml:space="preserve">: Ռազմավարական ծրագրով նախատեսվում են ՀՀ գիտության ոլորտի առջև ներկայումս ծառացած հիմնախնդիրների լուծմանն ուղղված միջոցառումներ՝ հստակ ժամկետներով, պատասխանատու կատարողներով, ակնկալվող արդյունքներով և վերջիններիս գնահատման գիտաչափական մեխանիզմներով: Ռազմավարական ծրագիրը 2021 թվականից դադարելու է գործել: </w:t>
            </w:r>
          </w:p>
          <w:p w:rsidR="00154773" w:rsidRPr="0053423A" w:rsidRDefault="00154773" w:rsidP="00154773">
            <w:pPr>
              <w:ind w:firstLine="450"/>
              <w:jc w:val="both"/>
              <w:rPr>
                <w:rFonts w:eastAsia="Calibri"/>
                <w:sz w:val="20"/>
                <w:szCs w:val="20"/>
                <w:lang w:val="fr-FR"/>
              </w:rPr>
            </w:pPr>
          </w:p>
          <w:p w:rsidR="00154773" w:rsidRPr="0053423A" w:rsidRDefault="00154773" w:rsidP="00154773">
            <w:pPr>
              <w:ind w:firstLine="360"/>
              <w:jc w:val="both"/>
              <w:rPr>
                <w:rFonts w:eastAsia="Times New Roman" w:cs="Times New Roman"/>
                <w:b/>
                <w:sz w:val="20"/>
                <w:szCs w:val="20"/>
                <w:lang w:val="fr-FR"/>
              </w:rPr>
            </w:pPr>
            <w:r w:rsidRPr="0053423A">
              <w:rPr>
                <w:rFonts w:eastAsia="Times New Roman" w:cs="Times New Roman"/>
                <w:b/>
                <w:sz w:val="20"/>
                <w:szCs w:val="20"/>
                <w:lang w:val="fr-FR"/>
              </w:rPr>
              <w:t>1.2.</w:t>
            </w:r>
            <w:r w:rsidRPr="0053423A">
              <w:rPr>
                <w:rFonts w:eastAsia="Times New Roman" w:cs="Times New Roman"/>
                <w:b/>
                <w:sz w:val="20"/>
                <w:szCs w:val="20"/>
                <w:lang w:val="hy-AM"/>
              </w:rPr>
              <w:t>առկա խնդիրների առաջարկվող լուծումները</w:t>
            </w:r>
          </w:p>
          <w:p w:rsidR="00154773" w:rsidRPr="0053423A" w:rsidRDefault="00154773" w:rsidP="00154773">
            <w:pPr>
              <w:ind w:firstLine="360"/>
              <w:jc w:val="both"/>
              <w:rPr>
                <w:rFonts w:eastAsia="Times New Roman" w:cs="Times New Roman"/>
                <w:b/>
                <w:sz w:val="20"/>
                <w:szCs w:val="20"/>
                <w:lang w:val="fr-FR"/>
              </w:rPr>
            </w:pPr>
          </w:p>
          <w:p w:rsidR="00154773" w:rsidRPr="0053423A" w:rsidRDefault="00154773" w:rsidP="00154773">
            <w:pPr>
              <w:ind w:firstLine="360"/>
              <w:jc w:val="both"/>
              <w:rPr>
                <w:rFonts w:eastAsia="Calibri"/>
                <w:sz w:val="20"/>
                <w:szCs w:val="20"/>
                <w:lang w:val="fr-FR"/>
              </w:rPr>
            </w:pPr>
            <w:r w:rsidRPr="0053423A">
              <w:rPr>
                <w:spacing w:val="-4"/>
                <w:sz w:val="20"/>
                <w:szCs w:val="20"/>
              </w:rPr>
              <w:t>Առաջարկվում</w:t>
            </w:r>
            <w:r w:rsidRPr="0053423A">
              <w:rPr>
                <w:spacing w:val="-4"/>
                <w:sz w:val="20"/>
                <w:szCs w:val="20"/>
                <w:lang w:val="fr-FR"/>
              </w:rPr>
              <w:t xml:space="preserve"> </w:t>
            </w:r>
            <w:r w:rsidRPr="0053423A">
              <w:rPr>
                <w:spacing w:val="-4"/>
                <w:sz w:val="20"/>
                <w:szCs w:val="20"/>
              </w:rPr>
              <w:t>է</w:t>
            </w:r>
            <w:r w:rsidRPr="0053423A">
              <w:rPr>
                <w:spacing w:val="-4"/>
                <w:sz w:val="20"/>
                <w:szCs w:val="20"/>
                <w:lang w:val="fr-FR"/>
              </w:rPr>
              <w:t xml:space="preserve"> </w:t>
            </w:r>
            <w:r w:rsidRPr="0053423A">
              <w:rPr>
                <w:spacing w:val="-4"/>
                <w:sz w:val="20"/>
                <w:szCs w:val="20"/>
              </w:rPr>
              <w:t>հիմք</w:t>
            </w:r>
            <w:r w:rsidRPr="0053423A">
              <w:rPr>
                <w:spacing w:val="-4"/>
                <w:sz w:val="20"/>
                <w:szCs w:val="20"/>
                <w:lang w:val="fr-FR"/>
              </w:rPr>
              <w:t xml:space="preserve"> </w:t>
            </w:r>
            <w:r w:rsidRPr="0053423A">
              <w:rPr>
                <w:spacing w:val="-4"/>
                <w:sz w:val="20"/>
                <w:szCs w:val="20"/>
              </w:rPr>
              <w:t>ընդունելով</w:t>
            </w:r>
            <w:r w:rsidRPr="0053423A">
              <w:rPr>
                <w:spacing w:val="-4"/>
                <w:sz w:val="20"/>
                <w:szCs w:val="20"/>
                <w:lang w:val="fr-FR"/>
              </w:rPr>
              <w:t xml:space="preserve"> </w:t>
            </w:r>
            <w:r w:rsidRPr="0053423A">
              <w:rPr>
                <w:rFonts w:eastAsia="Calibri"/>
                <w:sz w:val="20"/>
                <w:szCs w:val="20"/>
                <w:lang w:val="fr-FR"/>
              </w:rPr>
              <w:t>ՀՀ գիտության ոլորտի զարգացման 2017-2020</w:t>
            </w:r>
            <w:r w:rsidRPr="0053423A">
              <w:rPr>
                <w:rFonts w:ascii="Calibri" w:eastAsia="Calibri" w:hAnsi="Calibri" w:cs="Calibri"/>
                <w:sz w:val="20"/>
                <w:szCs w:val="20"/>
                <w:lang w:val="fr-FR"/>
              </w:rPr>
              <w:t> </w:t>
            </w:r>
            <w:r w:rsidRPr="0053423A">
              <w:rPr>
                <w:rFonts w:eastAsia="Calibri"/>
                <w:sz w:val="20"/>
                <w:szCs w:val="20"/>
                <w:lang w:val="fr-FR"/>
              </w:rPr>
              <w:t>թվականների ռազմավարական ծրագրով ամրագրված միջոցառումների կատարման ընթացքը, ընթացիկ և վերջնական արդյունքները՝ մշակել ՀՀ գիտության ոլորտի զարգացման 2021-2025 թվականների ռազմավարական ծրագիրը և դրա իրականացման միջոցառումների ժամանակացույցը:</w:t>
            </w:r>
          </w:p>
          <w:p w:rsidR="00154773" w:rsidRPr="0053423A" w:rsidRDefault="00154773" w:rsidP="00154773">
            <w:pPr>
              <w:ind w:left="426" w:firstLine="374"/>
              <w:jc w:val="both"/>
              <w:rPr>
                <w:rFonts w:eastAsia="Calibri"/>
                <w:sz w:val="20"/>
                <w:szCs w:val="20"/>
                <w:lang w:val="fr-FR"/>
              </w:rPr>
            </w:pPr>
          </w:p>
          <w:p w:rsidR="00154773" w:rsidRPr="0053423A" w:rsidRDefault="00154773" w:rsidP="00154773">
            <w:pPr>
              <w:ind w:left="426" w:firstLine="374"/>
              <w:rPr>
                <w:rFonts w:eastAsia="Times New Roman" w:cs="Times New Roman"/>
                <w:b/>
                <w:sz w:val="20"/>
                <w:szCs w:val="20"/>
                <w:lang w:val="fr-FR"/>
              </w:rPr>
            </w:pPr>
          </w:p>
          <w:p w:rsidR="00154773" w:rsidRPr="0053423A" w:rsidRDefault="00154773" w:rsidP="00154773">
            <w:pPr>
              <w:ind w:firstLine="450"/>
              <w:jc w:val="both"/>
              <w:rPr>
                <w:spacing w:val="-4"/>
                <w:sz w:val="20"/>
                <w:szCs w:val="20"/>
                <w:lang w:val="fr-FR"/>
              </w:rPr>
            </w:pPr>
            <w:r w:rsidRPr="0053423A">
              <w:rPr>
                <w:rFonts w:eastAsia="Times New Roman" w:cs="Times New Roman"/>
                <w:b/>
                <w:sz w:val="20"/>
                <w:szCs w:val="20"/>
                <w:lang w:val="fr-FR"/>
              </w:rPr>
              <w:t>2.</w:t>
            </w:r>
            <w:r w:rsidRPr="0053423A">
              <w:rPr>
                <w:rFonts w:eastAsia="Times New Roman" w:cs="Times New Roman"/>
                <w:b/>
                <w:sz w:val="20"/>
                <w:szCs w:val="20"/>
                <w:lang w:val="hy-AM"/>
              </w:rPr>
              <w:t>Միջոցառման իրականացումից ակնկալվող արդյունքը</w:t>
            </w:r>
            <w:r w:rsidRPr="0053423A">
              <w:rPr>
                <w:spacing w:val="-4"/>
                <w:sz w:val="20"/>
                <w:szCs w:val="20"/>
                <w:lang w:val="fr-FR"/>
              </w:rPr>
              <w:t xml:space="preserve"> </w:t>
            </w:r>
          </w:p>
          <w:p w:rsidR="00154773" w:rsidRPr="0053423A" w:rsidRDefault="00154773" w:rsidP="00154773">
            <w:pPr>
              <w:ind w:firstLine="450"/>
              <w:jc w:val="both"/>
              <w:rPr>
                <w:spacing w:val="-4"/>
                <w:sz w:val="20"/>
                <w:szCs w:val="20"/>
                <w:lang w:val="fr-FR"/>
              </w:rPr>
            </w:pPr>
          </w:p>
          <w:p w:rsidR="00154773" w:rsidRPr="0053423A" w:rsidRDefault="00154773" w:rsidP="00154773">
            <w:pPr>
              <w:tabs>
                <w:tab w:val="left" w:pos="469"/>
              </w:tabs>
              <w:rPr>
                <w:rFonts w:eastAsia="Times New Roman" w:cs="Times New Roman"/>
                <w:b/>
                <w:sz w:val="20"/>
                <w:szCs w:val="20"/>
                <w:lang w:val="hy-AM"/>
              </w:rPr>
            </w:pPr>
            <w:r w:rsidRPr="0053423A">
              <w:rPr>
                <w:spacing w:val="-4"/>
                <w:sz w:val="20"/>
                <w:szCs w:val="20"/>
              </w:rPr>
              <w:t>ՀՀ</w:t>
            </w:r>
            <w:r w:rsidRPr="0053423A">
              <w:rPr>
                <w:spacing w:val="-4"/>
                <w:sz w:val="20"/>
                <w:szCs w:val="20"/>
                <w:lang w:val="fr-FR"/>
              </w:rPr>
              <w:t xml:space="preserve"> </w:t>
            </w:r>
            <w:r w:rsidRPr="0053423A">
              <w:rPr>
                <w:spacing w:val="-4"/>
                <w:sz w:val="20"/>
                <w:szCs w:val="20"/>
              </w:rPr>
              <w:t>գիտական</w:t>
            </w:r>
            <w:r w:rsidRPr="0053423A">
              <w:rPr>
                <w:spacing w:val="-4"/>
                <w:sz w:val="20"/>
                <w:szCs w:val="20"/>
                <w:lang w:val="fr-FR"/>
              </w:rPr>
              <w:t xml:space="preserve"> </w:t>
            </w:r>
            <w:r w:rsidRPr="0053423A">
              <w:rPr>
                <w:spacing w:val="-4"/>
                <w:sz w:val="20"/>
                <w:szCs w:val="20"/>
              </w:rPr>
              <w:t>և</w:t>
            </w:r>
            <w:r w:rsidRPr="0053423A">
              <w:rPr>
                <w:spacing w:val="-4"/>
                <w:sz w:val="20"/>
                <w:szCs w:val="20"/>
                <w:lang w:val="fr-FR"/>
              </w:rPr>
              <w:t xml:space="preserve"> </w:t>
            </w:r>
            <w:r w:rsidRPr="0053423A">
              <w:rPr>
                <w:spacing w:val="-4"/>
                <w:sz w:val="20"/>
                <w:szCs w:val="20"/>
              </w:rPr>
              <w:t>գիտատեխնիկական</w:t>
            </w:r>
            <w:r w:rsidRPr="0053423A">
              <w:rPr>
                <w:spacing w:val="-4"/>
                <w:sz w:val="20"/>
                <w:szCs w:val="20"/>
                <w:lang w:val="fr-FR"/>
              </w:rPr>
              <w:t xml:space="preserve"> </w:t>
            </w:r>
            <w:r w:rsidRPr="0053423A">
              <w:rPr>
                <w:spacing w:val="-4"/>
                <w:sz w:val="20"/>
                <w:szCs w:val="20"/>
              </w:rPr>
              <w:t>գործունեության</w:t>
            </w:r>
            <w:r w:rsidRPr="0053423A">
              <w:rPr>
                <w:spacing w:val="-4"/>
                <w:sz w:val="20"/>
                <w:szCs w:val="20"/>
                <w:lang w:val="fr-FR"/>
              </w:rPr>
              <w:t xml:space="preserve"> </w:t>
            </w:r>
            <w:r w:rsidRPr="0053423A">
              <w:rPr>
                <w:spacing w:val="-4"/>
                <w:sz w:val="20"/>
                <w:szCs w:val="20"/>
              </w:rPr>
              <w:t>բնագավառում</w:t>
            </w:r>
            <w:r w:rsidRPr="0053423A">
              <w:rPr>
                <w:spacing w:val="-4"/>
                <w:sz w:val="20"/>
                <w:szCs w:val="20"/>
                <w:lang w:val="fr-FR"/>
              </w:rPr>
              <w:t xml:space="preserve"> 2021-2025</w:t>
            </w:r>
            <w:r w:rsidRPr="0053423A">
              <w:rPr>
                <w:rFonts w:ascii="Calibri" w:hAnsi="Calibri" w:cs="Calibri"/>
                <w:spacing w:val="-4"/>
                <w:sz w:val="20"/>
                <w:szCs w:val="20"/>
                <w:lang w:val="fr-FR"/>
              </w:rPr>
              <w:t> </w:t>
            </w:r>
            <w:r w:rsidRPr="0053423A">
              <w:rPr>
                <w:spacing w:val="-4"/>
                <w:sz w:val="20"/>
                <w:szCs w:val="20"/>
              </w:rPr>
              <w:t>թվականներին</w:t>
            </w:r>
            <w:r w:rsidRPr="0053423A">
              <w:rPr>
                <w:spacing w:val="-4"/>
                <w:sz w:val="20"/>
                <w:szCs w:val="20"/>
                <w:lang w:val="fr-FR"/>
              </w:rPr>
              <w:t xml:space="preserve"> </w:t>
            </w:r>
            <w:r w:rsidRPr="0053423A">
              <w:rPr>
                <w:spacing w:val="-4"/>
                <w:sz w:val="20"/>
                <w:szCs w:val="20"/>
              </w:rPr>
              <w:t>իրականացվելիք</w:t>
            </w:r>
            <w:r w:rsidRPr="0053423A">
              <w:rPr>
                <w:spacing w:val="-4"/>
                <w:sz w:val="20"/>
                <w:szCs w:val="20"/>
                <w:lang w:val="fr-FR"/>
              </w:rPr>
              <w:t xml:space="preserve"> </w:t>
            </w:r>
            <w:r w:rsidRPr="0053423A">
              <w:rPr>
                <w:spacing w:val="-4"/>
                <w:sz w:val="20"/>
                <w:szCs w:val="20"/>
              </w:rPr>
              <w:t>պետական</w:t>
            </w:r>
            <w:r w:rsidRPr="0053423A">
              <w:rPr>
                <w:spacing w:val="-4"/>
                <w:sz w:val="20"/>
                <w:szCs w:val="20"/>
                <w:lang w:val="fr-FR"/>
              </w:rPr>
              <w:t xml:space="preserve"> </w:t>
            </w:r>
            <w:r w:rsidRPr="0053423A">
              <w:rPr>
                <w:spacing w:val="-4"/>
                <w:sz w:val="20"/>
                <w:szCs w:val="20"/>
              </w:rPr>
              <w:t>քաղաքականության</w:t>
            </w:r>
            <w:r w:rsidRPr="0053423A">
              <w:rPr>
                <w:spacing w:val="-4"/>
                <w:sz w:val="20"/>
                <w:szCs w:val="20"/>
                <w:lang w:val="fr-FR"/>
              </w:rPr>
              <w:t xml:space="preserve"> </w:t>
            </w:r>
            <w:r w:rsidRPr="0053423A">
              <w:rPr>
                <w:spacing w:val="-4"/>
                <w:sz w:val="20"/>
                <w:szCs w:val="20"/>
              </w:rPr>
              <w:t>հիմնական</w:t>
            </w:r>
            <w:r w:rsidRPr="0053423A">
              <w:rPr>
                <w:spacing w:val="-4"/>
                <w:sz w:val="20"/>
                <w:szCs w:val="20"/>
                <w:lang w:val="fr-FR"/>
              </w:rPr>
              <w:t xml:space="preserve"> </w:t>
            </w:r>
            <w:r w:rsidRPr="0053423A">
              <w:rPr>
                <w:spacing w:val="-4"/>
                <w:sz w:val="20"/>
                <w:szCs w:val="20"/>
              </w:rPr>
              <w:t>ուղղությունների</w:t>
            </w:r>
            <w:r w:rsidRPr="0053423A">
              <w:rPr>
                <w:spacing w:val="-4"/>
                <w:sz w:val="20"/>
                <w:szCs w:val="20"/>
                <w:lang w:val="fr-FR"/>
              </w:rPr>
              <w:t xml:space="preserve">, </w:t>
            </w:r>
            <w:r w:rsidRPr="0053423A">
              <w:rPr>
                <w:spacing w:val="-4"/>
                <w:sz w:val="20"/>
                <w:szCs w:val="20"/>
              </w:rPr>
              <w:t>նպատակների</w:t>
            </w:r>
            <w:r w:rsidRPr="0053423A">
              <w:rPr>
                <w:spacing w:val="-4"/>
                <w:sz w:val="20"/>
                <w:szCs w:val="20"/>
                <w:lang w:val="fr-FR"/>
              </w:rPr>
              <w:t xml:space="preserve"> </w:t>
            </w:r>
            <w:r w:rsidRPr="0053423A">
              <w:rPr>
                <w:spacing w:val="-4"/>
                <w:sz w:val="20"/>
                <w:szCs w:val="20"/>
              </w:rPr>
              <w:t>և</w:t>
            </w:r>
            <w:r w:rsidRPr="0053423A">
              <w:rPr>
                <w:spacing w:val="-4"/>
                <w:sz w:val="20"/>
                <w:szCs w:val="20"/>
                <w:lang w:val="fr-FR"/>
              </w:rPr>
              <w:t xml:space="preserve"> </w:t>
            </w:r>
            <w:r w:rsidRPr="0053423A">
              <w:rPr>
                <w:spacing w:val="-4"/>
                <w:sz w:val="20"/>
                <w:szCs w:val="20"/>
              </w:rPr>
              <w:t>այդ</w:t>
            </w:r>
            <w:r w:rsidRPr="0053423A">
              <w:rPr>
                <w:spacing w:val="-4"/>
                <w:sz w:val="20"/>
                <w:szCs w:val="20"/>
                <w:lang w:val="fr-FR"/>
              </w:rPr>
              <w:t xml:space="preserve"> </w:t>
            </w:r>
            <w:r w:rsidRPr="0053423A">
              <w:rPr>
                <w:spacing w:val="-4"/>
                <w:sz w:val="20"/>
                <w:szCs w:val="20"/>
              </w:rPr>
              <w:t>նպատակների</w:t>
            </w:r>
            <w:r w:rsidRPr="0053423A">
              <w:rPr>
                <w:spacing w:val="-4"/>
                <w:sz w:val="20"/>
                <w:szCs w:val="20"/>
                <w:lang w:val="fr-FR"/>
              </w:rPr>
              <w:t xml:space="preserve"> </w:t>
            </w:r>
            <w:r w:rsidRPr="0053423A">
              <w:rPr>
                <w:spacing w:val="-4"/>
                <w:sz w:val="20"/>
                <w:szCs w:val="20"/>
              </w:rPr>
              <w:t>ձեռքբերմանն</w:t>
            </w:r>
            <w:r w:rsidRPr="0053423A">
              <w:rPr>
                <w:spacing w:val="-4"/>
                <w:sz w:val="20"/>
                <w:szCs w:val="20"/>
                <w:lang w:val="fr-FR"/>
              </w:rPr>
              <w:t xml:space="preserve"> </w:t>
            </w:r>
            <w:r w:rsidRPr="0053423A">
              <w:rPr>
                <w:spacing w:val="-4"/>
                <w:sz w:val="20"/>
                <w:szCs w:val="20"/>
              </w:rPr>
              <w:t>ուղղված</w:t>
            </w:r>
            <w:r w:rsidRPr="0053423A">
              <w:rPr>
                <w:spacing w:val="-4"/>
                <w:sz w:val="20"/>
                <w:szCs w:val="20"/>
                <w:lang w:val="fr-FR"/>
              </w:rPr>
              <w:t xml:space="preserve"> </w:t>
            </w:r>
            <w:r w:rsidRPr="0053423A">
              <w:rPr>
                <w:spacing w:val="-4"/>
                <w:sz w:val="20"/>
                <w:szCs w:val="20"/>
              </w:rPr>
              <w:t>մարտավարությունների</w:t>
            </w:r>
            <w:r w:rsidRPr="0053423A">
              <w:rPr>
                <w:spacing w:val="-4"/>
                <w:sz w:val="20"/>
                <w:szCs w:val="20"/>
                <w:lang w:val="fr-FR"/>
              </w:rPr>
              <w:t xml:space="preserve"> </w:t>
            </w:r>
            <w:r w:rsidRPr="0053423A">
              <w:rPr>
                <w:spacing w:val="-4"/>
                <w:sz w:val="20"/>
                <w:szCs w:val="20"/>
              </w:rPr>
              <w:t>ամրագրում</w:t>
            </w:r>
            <w:r w:rsidRPr="0053423A">
              <w:rPr>
                <w:spacing w:val="-4"/>
                <w:sz w:val="20"/>
                <w:szCs w:val="20"/>
                <w:lang w:val="fr-FR"/>
              </w:rPr>
              <w:t xml:space="preserve">, </w:t>
            </w:r>
            <w:r w:rsidRPr="0053423A">
              <w:rPr>
                <w:spacing w:val="-4"/>
                <w:sz w:val="20"/>
                <w:szCs w:val="20"/>
              </w:rPr>
              <w:t>մարտավարություններին</w:t>
            </w:r>
            <w:r w:rsidRPr="0053423A">
              <w:rPr>
                <w:spacing w:val="-4"/>
                <w:sz w:val="20"/>
                <w:szCs w:val="20"/>
                <w:lang w:val="fr-FR"/>
              </w:rPr>
              <w:t xml:space="preserve"> </w:t>
            </w:r>
            <w:r w:rsidRPr="0053423A">
              <w:rPr>
                <w:spacing w:val="-4"/>
                <w:sz w:val="20"/>
                <w:szCs w:val="20"/>
              </w:rPr>
              <w:t>համապատասխան</w:t>
            </w:r>
            <w:r w:rsidRPr="0053423A">
              <w:rPr>
                <w:spacing w:val="-4"/>
                <w:sz w:val="20"/>
                <w:szCs w:val="20"/>
                <w:lang w:val="fr-FR"/>
              </w:rPr>
              <w:t xml:space="preserve"> </w:t>
            </w:r>
            <w:r w:rsidRPr="0053423A">
              <w:rPr>
                <w:spacing w:val="-4"/>
                <w:sz w:val="20"/>
                <w:szCs w:val="20"/>
              </w:rPr>
              <w:t>միջոցառումների</w:t>
            </w:r>
            <w:r w:rsidRPr="0053423A">
              <w:rPr>
                <w:spacing w:val="-4"/>
                <w:sz w:val="20"/>
                <w:szCs w:val="20"/>
                <w:lang w:val="fr-FR"/>
              </w:rPr>
              <w:t xml:space="preserve"> </w:t>
            </w:r>
            <w:r w:rsidRPr="0053423A">
              <w:rPr>
                <w:spacing w:val="-4"/>
                <w:sz w:val="20"/>
                <w:szCs w:val="20"/>
              </w:rPr>
              <w:t>և</w:t>
            </w:r>
            <w:r w:rsidRPr="0053423A">
              <w:rPr>
                <w:spacing w:val="-4"/>
                <w:sz w:val="20"/>
                <w:szCs w:val="20"/>
                <w:lang w:val="fr-FR"/>
              </w:rPr>
              <w:t xml:space="preserve"> </w:t>
            </w:r>
            <w:r w:rsidRPr="0053423A">
              <w:rPr>
                <w:spacing w:val="-4"/>
                <w:sz w:val="20"/>
                <w:szCs w:val="20"/>
              </w:rPr>
              <w:t>արդյունքների</w:t>
            </w:r>
            <w:r w:rsidRPr="0053423A">
              <w:rPr>
                <w:spacing w:val="-4"/>
                <w:sz w:val="20"/>
                <w:szCs w:val="20"/>
                <w:lang w:val="fr-FR"/>
              </w:rPr>
              <w:t xml:space="preserve"> </w:t>
            </w:r>
            <w:r w:rsidRPr="0053423A">
              <w:rPr>
                <w:spacing w:val="-4"/>
                <w:sz w:val="20"/>
                <w:szCs w:val="20"/>
              </w:rPr>
              <w:t>գնահատման</w:t>
            </w:r>
            <w:r w:rsidRPr="0053423A">
              <w:rPr>
                <w:spacing w:val="-4"/>
                <w:sz w:val="20"/>
                <w:szCs w:val="20"/>
                <w:lang w:val="fr-FR"/>
              </w:rPr>
              <w:t xml:space="preserve"> </w:t>
            </w:r>
            <w:r w:rsidRPr="0053423A">
              <w:rPr>
                <w:spacing w:val="-4"/>
                <w:sz w:val="20"/>
                <w:szCs w:val="20"/>
              </w:rPr>
              <w:t>առանցքային</w:t>
            </w:r>
            <w:r w:rsidRPr="0053423A">
              <w:rPr>
                <w:spacing w:val="-4"/>
                <w:sz w:val="20"/>
                <w:szCs w:val="20"/>
                <w:lang w:val="fr-FR"/>
              </w:rPr>
              <w:t xml:space="preserve"> </w:t>
            </w:r>
            <w:r w:rsidRPr="0053423A">
              <w:rPr>
                <w:spacing w:val="-4"/>
                <w:sz w:val="20"/>
                <w:szCs w:val="20"/>
              </w:rPr>
              <w:t>ցուցանիշների</w:t>
            </w:r>
            <w:r w:rsidRPr="0053423A">
              <w:rPr>
                <w:spacing w:val="-4"/>
                <w:sz w:val="20"/>
                <w:szCs w:val="20"/>
                <w:lang w:val="fr-FR"/>
              </w:rPr>
              <w:t xml:space="preserve"> </w:t>
            </w:r>
            <w:r w:rsidRPr="0053423A">
              <w:rPr>
                <w:spacing w:val="-4"/>
                <w:sz w:val="20"/>
                <w:szCs w:val="20"/>
              </w:rPr>
              <w:t>առկայություն</w:t>
            </w:r>
            <w:r w:rsidRPr="0053423A">
              <w:rPr>
                <w:spacing w:val="-4"/>
                <w:sz w:val="20"/>
                <w:szCs w:val="20"/>
                <w:lang w:val="fr-FR"/>
              </w:rPr>
              <w:t>:</w:t>
            </w: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ind w:firstLine="360"/>
              <w:jc w:val="both"/>
              <w:rPr>
                <w:rFonts w:cs="Arial Armenian"/>
                <w:b/>
                <w:sz w:val="20"/>
                <w:szCs w:val="20"/>
                <w:u w:val="single"/>
                <w:lang w:val="fr-FR"/>
              </w:rPr>
            </w:pPr>
            <w:r w:rsidRPr="0053423A">
              <w:rPr>
                <w:rFonts w:cs="Arial Armenian"/>
                <w:b/>
                <w:sz w:val="20"/>
                <w:szCs w:val="20"/>
                <w:u w:val="single"/>
                <w:lang w:val="fr-FR"/>
              </w:rPr>
              <w:t>22.5 «</w:t>
            </w:r>
            <w:r w:rsidRPr="0053423A">
              <w:rPr>
                <w:rFonts w:cs="Arial Armenian"/>
                <w:b/>
                <w:sz w:val="20"/>
                <w:szCs w:val="20"/>
                <w:u w:val="single"/>
                <w:lang w:val="hy-AM"/>
              </w:rPr>
              <w:t>Հայաստանի</w:t>
            </w:r>
            <w:r w:rsidRPr="0053423A">
              <w:rPr>
                <w:rFonts w:cs="Arial Armenian"/>
                <w:b/>
                <w:sz w:val="20"/>
                <w:szCs w:val="20"/>
                <w:u w:val="single"/>
                <w:lang w:val="fr-FR"/>
              </w:rPr>
              <w:t xml:space="preserve"> </w:t>
            </w:r>
            <w:r w:rsidRPr="0053423A">
              <w:rPr>
                <w:rFonts w:cs="Arial Armenian"/>
                <w:b/>
                <w:sz w:val="20"/>
                <w:szCs w:val="20"/>
                <w:u w:val="single"/>
                <w:lang w:val="hy-AM"/>
              </w:rPr>
              <w:t>Հանրապետությունում</w:t>
            </w:r>
            <w:r w:rsidRPr="0053423A">
              <w:rPr>
                <w:rFonts w:cs="Arial Armenian"/>
                <w:b/>
                <w:sz w:val="20"/>
                <w:szCs w:val="20"/>
                <w:u w:val="single"/>
                <w:lang w:val="fr-FR"/>
              </w:rPr>
              <w:t xml:space="preserve"> </w:t>
            </w:r>
            <w:r w:rsidRPr="0053423A">
              <w:rPr>
                <w:rFonts w:cs="Arial Armenian"/>
                <w:b/>
                <w:sz w:val="20"/>
                <w:szCs w:val="20"/>
                <w:u w:val="single"/>
                <w:lang w:val="hy-AM"/>
              </w:rPr>
              <w:t>գիտության</w:t>
            </w:r>
            <w:r w:rsidRPr="0053423A">
              <w:rPr>
                <w:rFonts w:cs="Arial Armenian"/>
                <w:b/>
                <w:sz w:val="20"/>
                <w:szCs w:val="20"/>
                <w:u w:val="single"/>
                <w:lang w:val="fr-FR"/>
              </w:rPr>
              <w:t xml:space="preserve"> </w:t>
            </w:r>
            <w:r w:rsidRPr="0053423A">
              <w:rPr>
                <w:rFonts w:cs="Arial Armenian"/>
                <w:b/>
                <w:sz w:val="20"/>
                <w:szCs w:val="20"/>
                <w:u w:val="single"/>
                <w:lang w:val="hy-AM"/>
              </w:rPr>
              <w:t>և</w:t>
            </w:r>
            <w:r w:rsidRPr="0053423A">
              <w:rPr>
                <w:rFonts w:cs="Arial Armenian"/>
                <w:b/>
                <w:sz w:val="20"/>
                <w:szCs w:val="20"/>
                <w:u w:val="single"/>
                <w:lang w:val="fr-FR"/>
              </w:rPr>
              <w:t xml:space="preserve"> </w:t>
            </w:r>
            <w:r w:rsidRPr="0053423A">
              <w:rPr>
                <w:rFonts w:cs="Arial Armenian"/>
                <w:b/>
                <w:sz w:val="20"/>
                <w:szCs w:val="20"/>
                <w:u w:val="single"/>
                <w:lang w:val="hy-AM"/>
              </w:rPr>
              <w:t>տեխնիկայի</w:t>
            </w:r>
            <w:r w:rsidRPr="0053423A">
              <w:rPr>
                <w:rFonts w:cs="Arial Armenian"/>
                <w:b/>
                <w:sz w:val="20"/>
                <w:szCs w:val="20"/>
                <w:u w:val="single"/>
                <w:lang w:val="fr-FR"/>
              </w:rPr>
              <w:t xml:space="preserve"> </w:t>
            </w:r>
            <w:r w:rsidRPr="0053423A">
              <w:rPr>
                <w:rFonts w:cs="Arial Armenian"/>
                <w:b/>
                <w:sz w:val="20"/>
                <w:szCs w:val="20"/>
                <w:u w:val="single"/>
                <w:lang w:val="hy-AM"/>
              </w:rPr>
              <w:t>զարգացման</w:t>
            </w:r>
            <w:r w:rsidRPr="0053423A">
              <w:rPr>
                <w:rFonts w:cs="Arial Armenian"/>
                <w:b/>
                <w:sz w:val="20"/>
                <w:szCs w:val="20"/>
                <w:u w:val="single"/>
                <w:lang w:val="fr-FR"/>
              </w:rPr>
              <w:t xml:space="preserve"> 2020-2024 </w:t>
            </w:r>
            <w:r w:rsidRPr="0053423A">
              <w:rPr>
                <w:rFonts w:cs="Arial Armenian"/>
                <w:b/>
                <w:sz w:val="20"/>
                <w:szCs w:val="20"/>
                <w:u w:val="single"/>
                <w:lang w:val="hy-AM"/>
              </w:rPr>
              <w:t>թվականների</w:t>
            </w:r>
            <w:r w:rsidRPr="0053423A">
              <w:rPr>
                <w:rFonts w:cs="Arial Armenian"/>
                <w:b/>
                <w:sz w:val="20"/>
                <w:szCs w:val="20"/>
                <w:u w:val="single"/>
                <w:lang w:val="fr-FR"/>
              </w:rPr>
              <w:t xml:space="preserve"> </w:t>
            </w:r>
            <w:r w:rsidRPr="0053423A">
              <w:rPr>
                <w:rFonts w:cs="Arial Armenian"/>
                <w:b/>
                <w:sz w:val="20"/>
                <w:szCs w:val="20"/>
                <w:u w:val="single"/>
                <w:lang w:val="hy-AM"/>
              </w:rPr>
              <w:t>գերակայությունները</w:t>
            </w:r>
            <w:r w:rsidRPr="0053423A">
              <w:rPr>
                <w:rFonts w:cs="Arial Armenian"/>
                <w:b/>
                <w:sz w:val="20"/>
                <w:szCs w:val="20"/>
                <w:u w:val="single"/>
                <w:lang w:val="fr-FR"/>
              </w:rPr>
              <w:t xml:space="preserve"> </w:t>
            </w:r>
            <w:r w:rsidRPr="0053423A">
              <w:rPr>
                <w:rFonts w:cs="Arial Armenian"/>
                <w:b/>
                <w:sz w:val="20"/>
                <w:szCs w:val="20"/>
                <w:u w:val="single"/>
                <w:lang w:val="hy-AM"/>
              </w:rPr>
              <w:t>սահմանելու</w:t>
            </w:r>
            <w:r w:rsidRPr="0053423A">
              <w:rPr>
                <w:rFonts w:cs="Arial Armenian"/>
                <w:b/>
                <w:sz w:val="20"/>
                <w:szCs w:val="20"/>
                <w:u w:val="single"/>
                <w:lang w:val="fr-FR"/>
              </w:rPr>
              <w:t xml:space="preserve"> </w:t>
            </w:r>
            <w:r w:rsidRPr="0053423A">
              <w:rPr>
                <w:rFonts w:cs="Arial Armenian"/>
                <w:b/>
                <w:sz w:val="20"/>
                <w:szCs w:val="20"/>
                <w:u w:val="single"/>
                <w:lang w:val="hy-AM"/>
              </w:rPr>
              <w:t>մասին</w:t>
            </w:r>
            <w:r w:rsidRPr="0053423A">
              <w:rPr>
                <w:rFonts w:cs="Arial Armenian"/>
                <w:b/>
                <w:sz w:val="20"/>
                <w:szCs w:val="20"/>
                <w:u w:val="single"/>
                <w:lang w:val="fr-FR"/>
              </w:rPr>
              <w:t xml:space="preserve">» </w:t>
            </w:r>
            <w:r w:rsidRPr="0053423A">
              <w:rPr>
                <w:rFonts w:cs="Arial Armenian"/>
                <w:b/>
                <w:sz w:val="20"/>
                <w:szCs w:val="20"/>
                <w:u w:val="single"/>
                <w:lang w:val="hy-AM"/>
              </w:rPr>
              <w:t>ՀՀ</w:t>
            </w:r>
            <w:r w:rsidRPr="0053423A">
              <w:rPr>
                <w:rFonts w:cs="Arial Armenian"/>
                <w:b/>
                <w:sz w:val="20"/>
                <w:szCs w:val="20"/>
                <w:u w:val="single"/>
                <w:lang w:val="fr-FR"/>
              </w:rPr>
              <w:t xml:space="preserve"> </w:t>
            </w:r>
            <w:r w:rsidRPr="0053423A">
              <w:rPr>
                <w:rFonts w:cs="Arial Armenian"/>
                <w:b/>
                <w:sz w:val="20"/>
                <w:szCs w:val="20"/>
                <w:u w:val="single"/>
                <w:lang w:val="hy-AM"/>
              </w:rPr>
              <w:t>կառավարության</w:t>
            </w:r>
            <w:r w:rsidRPr="0053423A">
              <w:rPr>
                <w:rFonts w:cs="Arial Armenian"/>
                <w:b/>
                <w:sz w:val="20"/>
                <w:szCs w:val="20"/>
                <w:u w:val="single"/>
                <w:lang w:val="fr-FR"/>
              </w:rPr>
              <w:t xml:space="preserve"> </w:t>
            </w:r>
            <w:r w:rsidRPr="0053423A">
              <w:rPr>
                <w:rFonts w:cs="Arial Armenian"/>
                <w:b/>
                <w:sz w:val="20"/>
                <w:szCs w:val="20"/>
                <w:u w:val="single"/>
                <w:lang w:val="hy-AM"/>
              </w:rPr>
              <w:t>որոշման</w:t>
            </w:r>
            <w:r w:rsidRPr="0053423A">
              <w:rPr>
                <w:rFonts w:cs="Arial Armenian"/>
                <w:b/>
                <w:sz w:val="20"/>
                <w:szCs w:val="20"/>
                <w:u w:val="single"/>
                <w:lang w:val="fr-FR"/>
              </w:rPr>
              <w:t xml:space="preserve"> </w:t>
            </w:r>
            <w:r w:rsidRPr="0053423A">
              <w:rPr>
                <w:rFonts w:cs="Arial Armenian"/>
                <w:b/>
                <w:sz w:val="20"/>
                <w:szCs w:val="20"/>
                <w:u w:val="single"/>
                <w:lang w:val="hy-AM"/>
              </w:rPr>
              <w:t>նախագծի</w:t>
            </w:r>
            <w:r w:rsidRPr="0053423A">
              <w:rPr>
                <w:rFonts w:cs="Arial Armenian"/>
                <w:b/>
                <w:sz w:val="20"/>
                <w:szCs w:val="20"/>
                <w:u w:val="single"/>
                <w:lang w:val="fr-FR"/>
              </w:rPr>
              <w:t xml:space="preserve"> </w:t>
            </w:r>
            <w:r w:rsidRPr="0053423A">
              <w:rPr>
                <w:rFonts w:cs="Arial Armenian"/>
                <w:b/>
                <w:sz w:val="20"/>
                <w:szCs w:val="20"/>
                <w:u w:val="single"/>
                <w:lang w:val="hy-AM"/>
              </w:rPr>
              <w:t>մշակում</w:t>
            </w:r>
            <w:r w:rsidRPr="0053423A">
              <w:rPr>
                <w:rFonts w:cs="Arial Armenian"/>
                <w:b/>
                <w:sz w:val="20"/>
                <w:szCs w:val="20"/>
                <w:u w:val="single"/>
                <w:lang w:val="fr-FR"/>
              </w:rPr>
              <w:t xml:space="preserve"> </w:t>
            </w:r>
            <w:r w:rsidRPr="0053423A">
              <w:rPr>
                <w:rFonts w:cs="Arial Armenian"/>
                <w:b/>
                <w:sz w:val="20"/>
                <w:szCs w:val="20"/>
                <w:u w:val="single"/>
                <w:lang w:val="hy-AM"/>
              </w:rPr>
              <w:t>և</w:t>
            </w:r>
            <w:r w:rsidRPr="0053423A">
              <w:rPr>
                <w:rFonts w:cs="Arial Armenian"/>
                <w:b/>
                <w:sz w:val="20"/>
                <w:szCs w:val="20"/>
                <w:u w:val="single"/>
                <w:lang w:val="fr-FR"/>
              </w:rPr>
              <w:t xml:space="preserve"> </w:t>
            </w:r>
            <w:r w:rsidRPr="0053423A">
              <w:rPr>
                <w:rFonts w:cs="Arial Armenian"/>
                <w:b/>
                <w:sz w:val="20"/>
                <w:szCs w:val="20"/>
                <w:u w:val="single"/>
                <w:lang w:val="hy-AM"/>
              </w:rPr>
              <w:t>ներկայացում</w:t>
            </w:r>
            <w:r w:rsidRPr="0053423A">
              <w:rPr>
                <w:rFonts w:cs="Arial Armenian"/>
                <w:b/>
                <w:sz w:val="20"/>
                <w:szCs w:val="20"/>
                <w:u w:val="single"/>
                <w:lang w:val="fr-FR"/>
              </w:rPr>
              <w:t xml:space="preserve"> </w:t>
            </w:r>
            <w:r w:rsidRPr="0053423A">
              <w:rPr>
                <w:rFonts w:cs="Arial Armenian"/>
                <w:b/>
                <w:sz w:val="20"/>
                <w:szCs w:val="20"/>
                <w:u w:val="single"/>
                <w:lang w:val="hy-AM"/>
              </w:rPr>
              <w:t>ՀՀ</w:t>
            </w:r>
            <w:r w:rsidRPr="0053423A">
              <w:rPr>
                <w:rFonts w:cs="Arial Armenian"/>
                <w:b/>
                <w:sz w:val="20"/>
                <w:szCs w:val="20"/>
                <w:u w:val="single"/>
                <w:lang w:val="fr-FR"/>
              </w:rPr>
              <w:t xml:space="preserve"> </w:t>
            </w:r>
            <w:r w:rsidRPr="0053423A">
              <w:rPr>
                <w:rFonts w:cs="Arial Armenian"/>
                <w:b/>
                <w:sz w:val="20"/>
                <w:szCs w:val="20"/>
                <w:u w:val="single"/>
                <w:lang w:val="hy-AM"/>
              </w:rPr>
              <w:t>վարչապետի</w:t>
            </w:r>
            <w:r w:rsidRPr="0053423A">
              <w:rPr>
                <w:rFonts w:cs="Arial Armenian"/>
                <w:b/>
                <w:sz w:val="20"/>
                <w:szCs w:val="20"/>
                <w:u w:val="single"/>
                <w:lang w:val="fr-FR"/>
              </w:rPr>
              <w:t xml:space="preserve"> </w:t>
            </w:r>
            <w:r w:rsidRPr="0053423A">
              <w:rPr>
                <w:rFonts w:cs="Arial Armenian"/>
                <w:b/>
                <w:sz w:val="20"/>
                <w:szCs w:val="20"/>
                <w:u w:val="single"/>
                <w:lang w:val="hy-AM"/>
              </w:rPr>
              <w:t>աշխատակազմ</w:t>
            </w:r>
          </w:p>
          <w:p w:rsidR="00154773" w:rsidRPr="0053423A" w:rsidRDefault="00154773" w:rsidP="00154773">
            <w:pPr>
              <w:ind w:firstLine="360"/>
              <w:rPr>
                <w:rFonts w:eastAsia="Times New Roman" w:cs="Times New Roman"/>
                <w:sz w:val="20"/>
                <w:szCs w:val="20"/>
                <w:lang w:val="fr-FR"/>
              </w:rPr>
            </w:pPr>
          </w:p>
          <w:p w:rsidR="00154773" w:rsidRPr="0053423A" w:rsidRDefault="00154773" w:rsidP="001F6D5D">
            <w:pPr>
              <w:numPr>
                <w:ilvl w:val="0"/>
                <w:numId w:val="480"/>
              </w:numPr>
              <w:contextualSpacing/>
              <w:rPr>
                <w:rFonts w:eastAsia="Times New Roman" w:cs="Times New Roman"/>
                <w:sz w:val="20"/>
                <w:szCs w:val="20"/>
              </w:rPr>
            </w:pPr>
            <w:r w:rsidRPr="0053423A">
              <w:rPr>
                <w:rFonts w:eastAsia="Times New Roman" w:cs="Times New Roman"/>
                <w:b/>
                <w:sz w:val="20"/>
                <w:szCs w:val="20"/>
                <w:lang w:val="hy-AM"/>
              </w:rPr>
              <w:t>Միջոցառման իրակա</w:t>
            </w:r>
            <w:r w:rsidRPr="0053423A">
              <w:rPr>
                <w:rFonts w:eastAsia="Times New Roman" w:cs="Times New Roman"/>
                <w:b/>
                <w:sz w:val="20"/>
                <w:szCs w:val="20"/>
              </w:rPr>
              <w:t>նա</w:t>
            </w:r>
            <w:r w:rsidRPr="0053423A">
              <w:rPr>
                <w:rFonts w:eastAsia="Times New Roman" w:cs="Times New Roman"/>
                <w:b/>
                <w:sz w:val="20"/>
                <w:szCs w:val="20"/>
                <w:lang w:val="hy-AM"/>
              </w:rPr>
              <w:t>ցման անհրաժեշտությունը և նպատակը</w:t>
            </w:r>
            <w:r w:rsidRPr="0053423A">
              <w:rPr>
                <w:rFonts w:eastAsia="Times New Roman" w:cs="Times New Roman"/>
                <w:sz w:val="20"/>
                <w:szCs w:val="20"/>
                <w:lang w:val="hy-AM"/>
              </w:rPr>
              <w:t xml:space="preserve"> </w:t>
            </w:r>
          </w:p>
          <w:p w:rsidR="00154773" w:rsidRPr="0053423A" w:rsidRDefault="00154773" w:rsidP="00154773">
            <w:pPr>
              <w:ind w:left="734"/>
              <w:contextualSpacing/>
              <w:rPr>
                <w:rFonts w:eastAsia="Times New Roman" w:cs="Times New Roman"/>
                <w:sz w:val="20"/>
                <w:szCs w:val="20"/>
              </w:rPr>
            </w:pPr>
          </w:p>
          <w:p w:rsidR="00154773" w:rsidRPr="0053423A" w:rsidRDefault="00154773" w:rsidP="00154773">
            <w:pPr>
              <w:ind w:firstLine="360"/>
              <w:jc w:val="both"/>
              <w:rPr>
                <w:rFonts w:eastAsia="Times New Roman" w:cs="Times New Roman"/>
                <w:sz w:val="20"/>
                <w:szCs w:val="20"/>
              </w:rPr>
            </w:pPr>
            <w:r w:rsidRPr="0053423A">
              <w:rPr>
                <w:rFonts w:eastAsia="Times New Roman" w:cs="Times New Roman"/>
                <w:sz w:val="20"/>
                <w:szCs w:val="20"/>
              </w:rPr>
              <w:t xml:space="preserve">Միջոցառման գլխավոր նպատակն է գիտության ոլորտում իրականացվող ծրագրերի և միջոցառումների համապատասխանեցումը երկրի տնտեսության կարիքներին, հետազոտությունների իրականացման միջազգային արդի պահանջներին և սկզբունքներին: </w:t>
            </w:r>
          </w:p>
          <w:p w:rsidR="00154773" w:rsidRPr="0053423A" w:rsidRDefault="00154773" w:rsidP="00154773">
            <w:pPr>
              <w:ind w:firstLine="360"/>
              <w:jc w:val="both"/>
              <w:rPr>
                <w:spacing w:val="-4"/>
                <w:sz w:val="20"/>
                <w:szCs w:val="20"/>
              </w:rPr>
            </w:pPr>
            <w:r w:rsidRPr="0053423A">
              <w:rPr>
                <w:spacing w:val="-4"/>
                <w:sz w:val="20"/>
                <w:szCs w:val="20"/>
              </w:rPr>
              <w:t xml:space="preserve">Միջոցառման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rPr>
              <w:t>«</w:t>
            </w:r>
            <w:r w:rsidRPr="0053423A">
              <w:rPr>
                <w:spacing w:val="-4"/>
                <w:sz w:val="20"/>
                <w:szCs w:val="20"/>
              </w:rPr>
              <w:t>4.4 ԿՐԹՈՒԹՅՈՒՆ ԵՎ ԳԻՏՈՒԹՅՈՒՆ</w:t>
            </w:r>
            <w:r w:rsidRPr="0053423A">
              <w:rPr>
                <w:rFonts w:eastAsia="Times New Roman" w:cs="Times New Roman"/>
                <w:sz w:val="20"/>
                <w:szCs w:val="20"/>
              </w:rPr>
              <w:t>» բաժնի 3-րդ պարբերությունը, «</w:t>
            </w:r>
            <w:r w:rsidRPr="0053423A">
              <w:rPr>
                <w:spacing w:val="-4"/>
                <w:sz w:val="20"/>
                <w:szCs w:val="20"/>
              </w:rPr>
              <w:t>Գիտության ոլորտին» վերաբերող բաժնի 1-ին և 5-րդ պարբերություններից՝ նպատակ ունենալով վերասահմանել ՀՀ գիտության և տեխնիկայի զարգացման 2020-2024 թվականների գերակայությունները:</w:t>
            </w:r>
          </w:p>
          <w:p w:rsidR="00154773" w:rsidRPr="0053423A" w:rsidRDefault="00154773" w:rsidP="00154773">
            <w:pPr>
              <w:ind w:left="426" w:firstLine="374"/>
              <w:jc w:val="both"/>
              <w:rPr>
                <w:spacing w:val="-4"/>
                <w:sz w:val="20"/>
                <w:szCs w:val="20"/>
              </w:rPr>
            </w:pPr>
          </w:p>
          <w:p w:rsidR="00154773" w:rsidRPr="0053423A" w:rsidRDefault="00154773" w:rsidP="00154773">
            <w:pPr>
              <w:jc w:val="both"/>
              <w:rPr>
                <w:rFonts w:eastAsia="Times New Roman" w:cs="Times New Roman"/>
                <w:sz w:val="20"/>
                <w:szCs w:val="20"/>
              </w:rPr>
            </w:pPr>
            <w:r w:rsidRPr="0053423A">
              <w:rPr>
                <w:rFonts w:eastAsia="Times New Roman" w:cs="Times New Roman"/>
                <w:b/>
                <w:sz w:val="20"/>
                <w:szCs w:val="20"/>
              </w:rPr>
              <w:t xml:space="preserve">     1.1. </w:t>
            </w:r>
            <w:r w:rsidRPr="0053423A">
              <w:rPr>
                <w:rFonts w:eastAsia="Times New Roman" w:cs="Times New Roman"/>
                <w:b/>
                <w:sz w:val="20"/>
                <w:szCs w:val="20"/>
                <w:lang w:val="hy-AM"/>
              </w:rPr>
              <w:t>կարգավորման հարաբերությունների ներկա վիճակը և առկա խնդիրները</w:t>
            </w:r>
            <w:r w:rsidRPr="0053423A">
              <w:rPr>
                <w:rFonts w:eastAsia="Times New Roman" w:cs="Times New Roman"/>
                <w:sz w:val="20"/>
                <w:szCs w:val="20"/>
                <w:lang w:val="hy-AM"/>
              </w:rPr>
              <w:t xml:space="preserve"> </w:t>
            </w:r>
          </w:p>
          <w:p w:rsidR="00154773" w:rsidRPr="0053423A" w:rsidRDefault="00154773" w:rsidP="00154773">
            <w:pPr>
              <w:jc w:val="both"/>
              <w:rPr>
                <w:rFonts w:eastAsia="Times New Roman" w:cs="Times New Roman"/>
                <w:sz w:val="20"/>
                <w:szCs w:val="20"/>
              </w:rPr>
            </w:pPr>
          </w:p>
          <w:p w:rsidR="00154773" w:rsidRPr="0053423A" w:rsidRDefault="00154773" w:rsidP="00154773">
            <w:pPr>
              <w:ind w:firstLine="360"/>
              <w:jc w:val="both"/>
              <w:rPr>
                <w:spacing w:val="-4"/>
                <w:sz w:val="20"/>
                <w:szCs w:val="20"/>
              </w:rPr>
            </w:pPr>
            <w:r w:rsidRPr="0053423A">
              <w:rPr>
                <w:rFonts w:eastAsia="Calibri" w:cs="Times New Roman"/>
                <w:spacing w:val="-4"/>
                <w:sz w:val="20"/>
                <w:szCs w:val="20"/>
              </w:rPr>
              <w:t xml:space="preserve">ՀՀ գիտության և տեխնիկայի զարգացման ներկայումս գործող </w:t>
            </w:r>
            <w:r w:rsidRPr="0053423A">
              <w:rPr>
                <w:spacing w:val="-4"/>
                <w:sz w:val="20"/>
                <w:szCs w:val="20"/>
              </w:rPr>
              <w:t>2015-2019</w:t>
            </w:r>
            <w:r w:rsidRPr="0053423A">
              <w:rPr>
                <w:rFonts w:eastAsia="Calibri" w:cs="Times New Roman"/>
                <w:spacing w:val="-4"/>
                <w:sz w:val="20"/>
                <w:szCs w:val="20"/>
              </w:rPr>
              <w:t xml:space="preserve"> թվականներ</w:t>
            </w:r>
            <w:r w:rsidRPr="0053423A">
              <w:rPr>
                <w:spacing w:val="-4"/>
                <w:sz w:val="20"/>
                <w:szCs w:val="20"/>
              </w:rPr>
              <w:t xml:space="preserve">ի </w:t>
            </w:r>
            <w:r w:rsidRPr="0053423A">
              <w:rPr>
                <w:rFonts w:eastAsia="Calibri" w:cs="Times New Roman"/>
                <w:spacing w:val="-4"/>
                <w:sz w:val="20"/>
                <w:szCs w:val="20"/>
              </w:rPr>
              <w:t>գերակայությունները սահմանվել են ՀՀ կառավարության</w:t>
            </w:r>
            <w:r w:rsidRPr="0053423A">
              <w:rPr>
                <w:spacing w:val="-4"/>
                <w:sz w:val="20"/>
                <w:szCs w:val="20"/>
              </w:rPr>
              <w:t xml:space="preserve"> 2014</w:t>
            </w:r>
            <w:r w:rsidRPr="0053423A">
              <w:rPr>
                <w:rFonts w:eastAsia="Calibri" w:cs="Times New Roman"/>
                <w:spacing w:val="-4"/>
                <w:sz w:val="20"/>
                <w:szCs w:val="20"/>
              </w:rPr>
              <w:t xml:space="preserve"> թվականի </w:t>
            </w:r>
            <w:r w:rsidRPr="0053423A">
              <w:rPr>
                <w:spacing w:val="-4"/>
                <w:sz w:val="20"/>
                <w:szCs w:val="20"/>
              </w:rPr>
              <w:t>դեկտեմբերի</w:t>
            </w:r>
            <w:r w:rsidRPr="0053423A">
              <w:rPr>
                <w:rFonts w:eastAsia="Calibri" w:cs="Times New Roman"/>
                <w:spacing w:val="-4"/>
                <w:sz w:val="20"/>
                <w:szCs w:val="20"/>
              </w:rPr>
              <w:t xml:space="preserve"> 2</w:t>
            </w:r>
            <w:r w:rsidRPr="0053423A">
              <w:rPr>
                <w:spacing w:val="-4"/>
                <w:sz w:val="20"/>
                <w:szCs w:val="20"/>
              </w:rPr>
              <w:t>5</w:t>
            </w:r>
            <w:r w:rsidRPr="0053423A">
              <w:rPr>
                <w:rFonts w:eastAsia="Calibri" w:cs="Times New Roman"/>
                <w:spacing w:val="-4"/>
                <w:sz w:val="20"/>
                <w:szCs w:val="20"/>
              </w:rPr>
              <w:t xml:space="preserve">-ի N </w:t>
            </w:r>
            <w:r w:rsidRPr="0053423A">
              <w:rPr>
                <w:spacing w:val="-4"/>
                <w:sz w:val="20"/>
                <w:szCs w:val="20"/>
              </w:rPr>
              <w:t>54 արձանագրային</w:t>
            </w:r>
            <w:r w:rsidRPr="0053423A">
              <w:rPr>
                <w:rFonts w:eastAsia="Calibri" w:cs="Times New Roman"/>
                <w:spacing w:val="-4"/>
                <w:sz w:val="20"/>
                <w:szCs w:val="20"/>
              </w:rPr>
              <w:t xml:space="preserve"> որոշմամբ և հետևյալներն են</w:t>
            </w:r>
            <w:r w:rsidRPr="0053423A">
              <w:rPr>
                <w:spacing w:val="-4"/>
                <w:sz w:val="20"/>
                <w:szCs w:val="20"/>
              </w:rPr>
              <w:t>՝</w:t>
            </w:r>
          </w:p>
          <w:p w:rsidR="00154773" w:rsidRPr="0053423A" w:rsidRDefault="00154773" w:rsidP="001F6D5D">
            <w:pPr>
              <w:numPr>
                <w:ilvl w:val="0"/>
                <w:numId w:val="461"/>
              </w:numPr>
              <w:tabs>
                <w:tab w:val="left" w:pos="851"/>
                <w:tab w:val="left" w:pos="1134"/>
              </w:tabs>
              <w:ind w:left="0" w:firstLine="360"/>
              <w:jc w:val="both"/>
              <w:rPr>
                <w:rFonts w:eastAsia="Calibri" w:cs="Sylfaen"/>
                <w:sz w:val="20"/>
                <w:szCs w:val="20"/>
              </w:rPr>
            </w:pPr>
            <w:r w:rsidRPr="0053423A">
              <w:rPr>
                <w:rFonts w:eastAsia="Calibri" w:cs="Sylfaen"/>
                <w:sz w:val="20"/>
                <w:szCs w:val="20"/>
              </w:rPr>
              <w:t>հայագիտություն</w:t>
            </w:r>
            <w:r w:rsidRPr="0053423A">
              <w:rPr>
                <w:rFonts w:eastAsia="Calibri" w:cs="Times New Roman"/>
                <w:sz w:val="20"/>
                <w:szCs w:val="20"/>
              </w:rPr>
              <w:t xml:space="preserve">, </w:t>
            </w:r>
          </w:p>
          <w:p w:rsidR="00154773" w:rsidRPr="0053423A" w:rsidRDefault="00154773" w:rsidP="001F6D5D">
            <w:pPr>
              <w:numPr>
                <w:ilvl w:val="0"/>
                <w:numId w:val="461"/>
              </w:numPr>
              <w:tabs>
                <w:tab w:val="left" w:pos="851"/>
                <w:tab w:val="left" w:pos="1134"/>
              </w:tabs>
              <w:ind w:left="0" w:firstLine="360"/>
              <w:jc w:val="both"/>
              <w:rPr>
                <w:rFonts w:eastAsia="Calibri" w:cs="Times New Roman"/>
                <w:sz w:val="20"/>
                <w:szCs w:val="20"/>
              </w:rPr>
            </w:pPr>
            <w:r w:rsidRPr="0053423A">
              <w:rPr>
                <w:rFonts w:eastAsia="Calibri" w:cs="Sylfaen"/>
                <w:sz w:val="20"/>
                <w:szCs w:val="20"/>
              </w:rPr>
              <w:t>գիտություններ կյանքի մասին,</w:t>
            </w:r>
          </w:p>
          <w:p w:rsidR="00154773" w:rsidRPr="0053423A" w:rsidRDefault="00154773" w:rsidP="001F6D5D">
            <w:pPr>
              <w:numPr>
                <w:ilvl w:val="0"/>
                <w:numId w:val="461"/>
              </w:numPr>
              <w:tabs>
                <w:tab w:val="left" w:pos="851"/>
                <w:tab w:val="left" w:pos="1134"/>
              </w:tabs>
              <w:ind w:left="0" w:firstLine="360"/>
              <w:jc w:val="both"/>
              <w:rPr>
                <w:rFonts w:eastAsia="Calibri" w:cs="Times New Roman"/>
                <w:sz w:val="20"/>
                <w:szCs w:val="20"/>
              </w:rPr>
            </w:pPr>
            <w:r w:rsidRPr="0053423A">
              <w:rPr>
                <w:rFonts w:cs="Sylfaen"/>
                <w:sz w:val="20"/>
                <w:szCs w:val="20"/>
              </w:rPr>
              <w:t xml:space="preserve">արդյունավետ և անվտանգ </w:t>
            </w:r>
            <w:r w:rsidRPr="0053423A">
              <w:rPr>
                <w:rFonts w:eastAsia="Calibri" w:cs="Sylfaen"/>
                <w:sz w:val="20"/>
                <w:szCs w:val="20"/>
              </w:rPr>
              <w:t>էներգետիկա,</w:t>
            </w:r>
          </w:p>
          <w:p w:rsidR="00154773" w:rsidRPr="0053423A" w:rsidRDefault="00154773" w:rsidP="001F6D5D">
            <w:pPr>
              <w:numPr>
                <w:ilvl w:val="0"/>
                <w:numId w:val="461"/>
              </w:numPr>
              <w:tabs>
                <w:tab w:val="left" w:pos="851"/>
                <w:tab w:val="left" w:pos="1134"/>
              </w:tabs>
              <w:ind w:left="0" w:firstLine="360"/>
              <w:jc w:val="both"/>
              <w:rPr>
                <w:rFonts w:eastAsia="Calibri" w:cs="Sylfaen"/>
                <w:sz w:val="20"/>
                <w:szCs w:val="20"/>
              </w:rPr>
            </w:pPr>
            <w:r w:rsidRPr="0053423A">
              <w:rPr>
                <w:rFonts w:cs="Sylfaen"/>
                <w:sz w:val="20"/>
                <w:szCs w:val="20"/>
              </w:rPr>
              <w:t>հիմնական արդյունավետ տեխնոլոգիաներ, տեղեկատվական և հաղորդակցական տեխնոլոգիաներ</w:t>
            </w:r>
            <w:r w:rsidRPr="0053423A">
              <w:rPr>
                <w:rFonts w:eastAsia="Calibri" w:cs="Sylfaen"/>
                <w:sz w:val="20"/>
                <w:szCs w:val="20"/>
              </w:rPr>
              <w:t>,</w:t>
            </w:r>
          </w:p>
          <w:p w:rsidR="00154773" w:rsidRPr="0053423A" w:rsidRDefault="00154773" w:rsidP="001F6D5D">
            <w:pPr>
              <w:numPr>
                <w:ilvl w:val="0"/>
                <w:numId w:val="461"/>
              </w:numPr>
              <w:tabs>
                <w:tab w:val="left" w:pos="851"/>
                <w:tab w:val="left" w:pos="1134"/>
              </w:tabs>
              <w:ind w:left="0" w:firstLine="360"/>
              <w:jc w:val="both"/>
              <w:rPr>
                <w:rFonts w:cs="Sylfaen"/>
                <w:sz w:val="20"/>
                <w:szCs w:val="20"/>
              </w:rPr>
            </w:pPr>
            <w:r w:rsidRPr="0053423A">
              <w:rPr>
                <w:rFonts w:cs="Sylfaen"/>
                <w:sz w:val="20"/>
                <w:szCs w:val="20"/>
              </w:rPr>
              <w:t>տիեզերքի ուսումնասիրություն,</w:t>
            </w:r>
            <w:r w:rsidRPr="0053423A">
              <w:rPr>
                <w:rFonts w:ascii="Calibri" w:hAnsi="Calibri" w:cs="Calibri"/>
                <w:sz w:val="20"/>
                <w:szCs w:val="20"/>
              </w:rPr>
              <w:t> </w:t>
            </w:r>
            <w:r w:rsidRPr="0053423A">
              <w:rPr>
                <w:rFonts w:cs="Sylfaen"/>
                <w:sz w:val="20"/>
                <w:szCs w:val="20"/>
              </w:rPr>
              <w:t>երկրի մասին գիտություններ,</w:t>
            </w:r>
            <w:r w:rsidRPr="0053423A">
              <w:rPr>
                <w:rFonts w:ascii="Calibri" w:hAnsi="Calibri" w:cs="Calibri"/>
                <w:sz w:val="20"/>
                <w:szCs w:val="20"/>
              </w:rPr>
              <w:t> </w:t>
            </w:r>
            <w:r w:rsidRPr="0053423A">
              <w:rPr>
                <w:rFonts w:cs="Sylfaen"/>
                <w:sz w:val="20"/>
                <w:szCs w:val="20"/>
              </w:rPr>
              <w:t>խնայողական բնօգտագործում</w:t>
            </w:r>
            <w:r w:rsidRPr="0053423A">
              <w:rPr>
                <w:rFonts w:eastAsia="Calibri" w:cs="Sylfaen"/>
                <w:sz w:val="20"/>
                <w:szCs w:val="20"/>
              </w:rPr>
              <w:t>,</w:t>
            </w:r>
          </w:p>
          <w:p w:rsidR="00154773" w:rsidRPr="0053423A" w:rsidRDefault="00154773" w:rsidP="001F6D5D">
            <w:pPr>
              <w:numPr>
                <w:ilvl w:val="0"/>
                <w:numId w:val="461"/>
              </w:numPr>
              <w:tabs>
                <w:tab w:val="left" w:pos="851"/>
                <w:tab w:val="left" w:pos="1134"/>
              </w:tabs>
              <w:ind w:left="0" w:firstLine="360"/>
              <w:jc w:val="both"/>
              <w:rPr>
                <w:rFonts w:cs="Sylfaen"/>
                <w:sz w:val="20"/>
                <w:szCs w:val="20"/>
              </w:rPr>
            </w:pPr>
            <w:r w:rsidRPr="0053423A">
              <w:rPr>
                <w:rFonts w:cs="Sylfaen"/>
                <w:sz w:val="20"/>
                <w:szCs w:val="20"/>
              </w:rPr>
              <w:t>գիտատեխնիկական և սոցիալ-տնտեսական զարգացման կարևորագույն հիմնախնդիրների լուծմանն ուղղված հիմնարար հետազոտություններ:</w:t>
            </w:r>
          </w:p>
          <w:p w:rsidR="00154773" w:rsidRPr="0053423A" w:rsidRDefault="00154773" w:rsidP="00154773">
            <w:pPr>
              <w:ind w:firstLine="360"/>
              <w:jc w:val="both"/>
              <w:rPr>
                <w:spacing w:val="-4"/>
                <w:sz w:val="20"/>
                <w:szCs w:val="20"/>
              </w:rPr>
            </w:pPr>
            <w:r w:rsidRPr="0053423A">
              <w:rPr>
                <w:rFonts w:eastAsia="Calibri" w:cs="Times New Roman"/>
                <w:spacing w:val="-4"/>
                <w:sz w:val="20"/>
                <w:szCs w:val="20"/>
              </w:rPr>
              <w:t xml:space="preserve">ՀՀ գիտության և տեխնիկայի զարգացման ներկայումս գործող </w:t>
            </w:r>
            <w:r w:rsidRPr="0053423A">
              <w:rPr>
                <w:spacing w:val="-4"/>
                <w:sz w:val="20"/>
                <w:szCs w:val="20"/>
              </w:rPr>
              <w:t>2015-2019</w:t>
            </w:r>
            <w:r w:rsidRPr="0053423A">
              <w:rPr>
                <w:rFonts w:eastAsia="Calibri" w:cs="Times New Roman"/>
                <w:spacing w:val="-4"/>
                <w:sz w:val="20"/>
                <w:szCs w:val="20"/>
              </w:rPr>
              <w:t xml:space="preserve"> թվականներ</w:t>
            </w:r>
            <w:r w:rsidRPr="0053423A">
              <w:rPr>
                <w:spacing w:val="-4"/>
                <w:sz w:val="20"/>
                <w:szCs w:val="20"/>
              </w:rPr>
              <w:t xml:space="preserve">ի </w:t>
            </w:r>
            <w:r w:rsidRPr="0053423A">
              <w:rPr>
                <w:rFonts w:eastAsia="Calibri" w:cs="Times New Roman"/>
                <w:spacing w:val="-4"/>
                <w:sz w:val="20"/>
                <w:szCs w:val="20"/>
              </w:rPr>
              <w:t>գերակայությունները</w:t>
            </w:r>
            <w:r w:rsidRPr="0053423A">
              <w:rPr>
                <w:spacing w:val="-4"/>
                <w:sz w:val="20"/>
                <w:szCs w:val="20"/>
              </w:rPr>
              <w:t xml:space="preserve"> 2020 թվականից դադարելու է գործել:</w:t>
            </w:r>
          </w:p>
          <w:p w:rsidR="00154773" w:rsidRPr="0053423A" w:rsidRDefault="00154773" w:rsidP="00154773">
            <w:pPr>
              <w:ind w:firstLine="360"/>
              <w:jc w:val="both"/>
              <w:rPr>
                <w:rFonts w:eastAsia="Calibri"/>
                <w:sz w:val="20"/>
                <w:szCs w:val="20"/>
                <w:lang w:val="fr-FR"/>
              </w:rPr>
            </w:pPr>
          </w:p>
          <w:p w:rsidR="00154773" w:rsidRPr="0053423A" w:rsidRDefault="00154773" w:rsidP="00154773">
            <w:pPr>
              <w:ind w:firstLine="360"/>
              <w:jc w:val="both"/>
              <w:rPr>
                <w:rFonts w:eastAsia="Times New Roman" w:cs="Times New Roman"/>
                <w:b/>
                <w:sz w:val="20"/>
                <w:szCs w:val="20"/>
                <w:lang w:val="fr-FR"/>
              </w:rPr>
            </w:pPr>
            <w:r w:rsidRPr="0053423A">
              <w:rPr>
                <w:rFonts w:eastAsia="Times New Roman" w:cs="Times New Roman"/>
                <w:b/>
                <w:sz w:val="20"/>
                <w:szCs w:val="20"/>
                <w:lang w:val="fr-FR"/>
              </w:rPr>
              <w:t>1.2.</w:t>
            </w:r>
            <w:r w:rsidRPr="0053423A">
              <w:rPr>
                <w:rFonts w:eastAsia="Times New Roman" w:cs="Times New Roman"/>
                <w:b/>
                <w:sz w:val="20"/>
                <w:szCs w:val="20"/>
                <w:lang w:val="hy-AM"/>
              </w:rPr>
              <w:t>առկա խնդիրների առաջարկվող լուծումները</w:t>
            </w:r>
          </w:p>
          <w:p w:rsidR="00154773" w:rsidRPr="0053423A" w:rsidRDefault="00154773" w:rsidP="00154773">
            <w:pPr>
              <w:ind w:firstLine="360"/>
              <w:jc w:val="both"/>
              <w:rPr>
                <w:rFonts w:eastAsia="Times New Roman" w:cs="Times New Roman"/>
                <w:b/>
                <w:sz w:val="20"/>
                <w:szCs w:val="20"/>
                <w:lang w:val="fr-FR"/>
              </w:rPr>
            </w:pPr>
          </w:p>
          <w:p w:rsidR="00154773" w:rsidRPr="0053423A" w:rsidRDefault="00154773" w:rsidP="00154773">
            <w:pPr>
              <w:ind w:firstLine="360"/>
              <w:jc w:val="both"/>
              <w:rPr>
                <w:spacing w:val="-4"/>
                <w:sz w:val="20"/>
                <w:szCs w:val="20"/>
                <w:lang w:val="fr-FR"/>
              </w:rPr>
            </w:pPr>
            <w:r w:rsidRPr="0053423A">
              <w:rPr>
                <w:spacing w:val="-4"/>
                <w:sz w:val="20"/>
                <w:szCs w:val="20"/>
              </w:rPr>
              <w:t>Առաջարկվում</w:t>
            </w:r>
            <w:r w:rsidRPr="0053423A">
              <w:rPr>
                <w:spacing w:val="-4"/>
                <w:sz w:val="20"/>
                <w:szCs w:val="20"/>
                <w:lang w:val="fr-FR"/>
              </w:rPr>
              <w:t xml:space="preserve"> </w:t>
            </w:r>
            <w:r w:rsidRPr="0053423A">
              <w:rPr>
                <w:spacing w:val="-4"/>
                <w:sz w:val="20"/>
                <w:szCs w:val="20"/>
              </w:rPr>
              <w:t>է</w:t>
            </w:r>
            <w:r w:rsidRPr="0053423A">
              <w:rPr>
                <w:spacing w:val="-4"/>
                <w:sz w:val="20"/>
                <w:szCs w:val="20"/>
                <w:lang w:val="fr-FR"/>
              </w:rPr>
              <w:t xml:space="preserve"> </w:t>
            </w:r>
            <w:r w:rsidRPr="0053423A">
              <w:rPr>
                <w:spacing w:val="-4"/>
                <w:sz w:val="20"/>
                <w:szCs w:val="20"/>
              </w:rPr>
              <w:t>հիմք</w:t>
            </w:r>
            <w:r w:rsidRPr="0053423A">
              <w:rPr>
                <w:spacing w:val="-4"/>
                <w:sz w:val="20"/>
                <w:szCs w:val="20"/>
                <w:lang w:val="fr-FR"/>
              </w:rPr>
              <w:t xml:space="preserve"> </w:t>
            </w:r>
            <w:r w:rsidRPr="0053423A">
              <w:rPr>
                <w:spacing w:val="-4"/>
                <w:sz w:val="20"/>
                <w:szCs w:val="20"/>
              </w:rPr>
              <w:t>ընդունելով</w:t>
            </w:r>
            <w:r w:rsidRPr="0053423A">
              <w:rPr>
                <w:spacing w:val="-4"/>
                <w:sz w:val="20"/>
                <w:szCs w:val="20"/>
                <w:lang w:val="fr-FR"/>
              </w:rPr>
              <w:t xml:space="preserve"> </w:t>
            </w:r>
            <w:r w:rsidRPr="0053423A">
              <w:rPr>
                <w:rFonts w:eastAsia="Calibri" w:cs="Times New Roman"/>
                <w:spacing w:val="-4"/>
                <w:sz w:val="20"/>
                <w:szCs w:val="20"/>
              </w:rPr>
              <w:t>ՀՀ</w:t>
            </w:r>
            <w:r w:rsidRPr="0053423A">
              <w:rPr>
                <w:rFonts w:eastAsia="Calibri" w:cs="Times New Roman"/>
                <w:spacing w:val="-4"/>
                <w:sz w:val="20"/>
                <w:szCs w:val="20"/>
                <w:lang w:val="fr-FR"/>
              </w:rPr>
              <w:t xml:space="preserve"> </w:t>
            </w:r>
            <w:r w:rsidRPr="0053423A">
              <w:rPr>
                <w:rFonts w:eastAsia="Calibri" w:cs="Times New Roman"/>
                <w:spacing w:val="-4"/>
                <w:sz w:val="20"/>
                <w:szCs w:val="20"/>
              </w:rPr>
              <w:t>կառավարության</w:t>
            </w:r>
            <w:r w:rsidRPr="0053423A">
              <w:rPr>
                <w:rFonts w:eastAsia="Calibri" w:cs="Times New Roman"/>
                <w:spacing w:val="-4"/>
                <w:sz w:val="20"/>
                <w:szCs w:val="20"/>
                <w:lang w:val="fr-FR"/>
              </w:rPr>
              <w:t xml:space="preserve"> 2008 </w:t>
            </w:r>
            <w:r w:rsidRPr="0053423A">
              <w:rPr>
                <w:rFonts w:eastAsia="Calibri" w:cs="Times New Roman"/>
                <w:spacing w:val="-4"/>
                <w:sz w:val="20"/>
                <w:szCs w:val="20"/>
              </w:rPr>
              <w:t>թվականի</w:t>
            </w:r>
            <w:r w:rsidRPr="0053423A">
              <w:rPr>
                <w:rFonts w:eastAsia="Calibri" w:cs="Times New Roman"/>
                <w:spacing w:val="-4"/>
                <w:sz w:val="20"/>
                <w:szCs w:val="20"/>
                <w:lang w:val="fr-FR"/>
              </w:rPr>
              <w:t xml:space="preserve"> </w:t>
            </w:r>
            <w:r w:rsidRPr="0053423A">
              <w:rPr>
                <w:rFonts w:eastAsia="Calibri" w:cs="Times New Roman"/>
                <w:spacing w:val="-4"/>
                <w:sz w:val="20"/>
                <w:szCs w:val="20"/>
              </w:rPr>
              <w:t>դեկտեմբերի</w:t>
            </w:r>
            <w:r w:rsidRPr="0053423A">
              <w:rPr>
                <w:rFonts w:eastAsia="Calibri" w:cs="Times New Roman"/>
                <w:spacing w:val="-4"/>
                <w:sz w:val="20"/>
                <w:szCs w:val="20"/>
                <w:lang w:val="fr-FR"/>
              </w:rPr>
              <w:t xml:space="preserve"> 25-</w:t>
            </w:r>
            <w:r w:rsidRPr="0053423A">
              <w:rPr>
                <w:rFonts w:eastAsia="Calibri" w:cs="Times New Roman"/>
                <w:spacing w:val="-4"/>
                <w:sz w:val="20"/>
                <w:szCs w:val="20"/>
              </w:rPr>
              <w:t>ի</w:t>
            </w:r>
            <w:r w:rsidRPr="0053423A">
              <w:rPr>
                <w:rFonts w:eastAsia="Calibri" w:cs="Times New Roman"/>
                <w:spacing w:val="-4"/>
                <w:sz w:val="20"/>
                <w:szCs w:val="20"/>
                <w:lang w:val="fr-FR"/>
              </w:rPr>
              <w:t xml:space="preserve"> N 1558-</w:t>
            </w:r>
            <w:r w:rsidRPr="0053423A">
              <w:rPr>
                <w:rFonts w:eastAsia="Calibri" w:cs="Times New Roman"/>
                <w:spacing w:val="-4"/>
                <w:sz w:val="20"/>
                <w:szCs w:val="20"/>
              </w:rPr>
              <w:t>Ն</w:t>
            </w:r>
            <w:r w:rsidRPr="0053423A">
              <w:rPr>
                <w:rFonts w:eastAsia="Calibri" w:cs="Times New Roman"/>
                <w:spacing w:val="-4"/>
                <w:sz w:val="20"/>
                <w:szCs w:val="20"/>
                <w:lang w:val="fr-FR"/>
              </w:rPr>
              <w:t xml:space="preserve"> </w:t>
            </w:r>
            <w:r w:rsidRPr="0053423A">
              <w:rPr>
                <w:rFonts w:eastAsia="Calibri" w:cs="Times New Roman"/>
                <w:spacing w:val="-4"/>
                <w:sz w:val="20"/>
                <w:szCs w:val="20"/>
              </w:rPr>
              <w:t>որոշմամբ</w:t>
            </w:r>
            <w:r w:rsidRPr="0053423A">
              <w:rPr>
                <w:rFonts w:eastAsia="Calibri" w:cs="Times New Roman"/>
                <w:spacing w:val="-4"/>
                <w:sz w:val="20"/>
                <w:szCs w:val="20"/>
                <w:lang w:val="fr-FR"/>
              </w:rPr>
              <w:t xml:space="preserve"> </w:t>
            </w:r>
            <w:r w:rsidRPr="0053423A">
              <w:rPr>
                <w:rFonts w:eastAsia="Calibri" w:cs="Times New Roman"/>
                <w:spacing w:val="-4"/>
                <w:sz w:val="20"/>
                <w:szCs w:val="20"/>
              </w:rPr>
              <w:t>հաստատված</w:t>
            </w:r>
            <w:r w:rsidRPr="0053423A">
              <w:rPr>
                <w:rFonts w:eastAsia="Calibri" w:cs="Times New Roman"/>
                <w:spacing w:val="-4"/>
                <w:sz w:val="20"/>
                <w:szCs w:val="20"/>
                <w:lang w:val="fr-FR"/>
              </w:rPr>
              <w:t xml:space="preserve"> </w:t>
            </w:r>
            <w:r w:rsidRPr="0053423A">
              <w:rPr>
                <w:rFonts w:eastAsia="Calibri" w:cs="Times New Roman"/>
                <w:spacing w:val="-4"/>
                <w:sz w:val="20"/>
                <w:szCs w:val="20"/>
              </w:rPr>
              <w:t>սկզբունքները</w:t>
            </w:r>
            <w:r w:rsidRPr="0053423A">
              <w:rPr>
                <w:rFonts w:eastAsia="Calibri" w:cs="Times New Roman"/>
                <w:spacing w:val="-4"/>
                <w:sz w:val="20"/>
                <w:szCs w:val="20"/>
                <w:lang w:val="fr-FR"/>
              </w:rPr>
              <w:t xml:space="preserve"> </w:t>
            </w:r>
            <w:r w:rsidRPr="0053423A">
              <w:rPr>
                <w:rFonts w:eastAsia="Calibri" w:cs="Times New Roman"/>
                <w:spacing w:val="-4"/>
                <w:sz w:val="20"/>
                <w:szCs w:val="20"/>
              </w:rPr>
              <w:t>և</w:t>
            </w:r>
            <w:r w:rsidRPr="0053423A">
              <w:rPr>
                <w:rFonts w:eastAsia="Calibri" w:cs="Times New Roman"/>
                <w:spacing w:val="-4"/>
                <w:sz w:val="20"/>
                <w:szCs w:val="20"/>
                <w:lang w:val="fr-FR"/>
              </w:rPr>
              <w:t xml:space="preserve"> </w:t>
            </w:r>
            <w:r w:rsidRPr="0053423A">
              <w:rPr>
                <w:rFonts w:eastAsia="Calibri" w:cs="Times New Roman"/>
                <w:spacing w:val="-4"/>
                <w:sz w:val="20"/>
                <w:szCs w:val="20"/>
              </w:rPr>
              <w:t>չափանիշները</w:t>
            </w:r>
            <w:r w:rsidRPr="0053423A">
              <w:rPr>
                <w:rFonts w:eastAsia="Calibri" w:cs="Times New Roman"/>
                <w:spacing w:val="-4"/>
                <w:sz w:val="20"/>
                <w:szCs w:val="20"/>
                <w:lang w:val="fr-FR"/>
              </w:rPr>
              <w:t xml:space="preserve">, </w:t>
            </w:r>
            <w:r w:rsidRPr="0053423A">
              <w:rPr>
                <w:rFonts w:eastAsia="Calibri" w:cs="Times New Roman"/>
                <w:spacing w:val="-4"/>
                <w:sz w:val="20"/>
                <w:szCs w:val="20"/>
              </w:rPr>
              <w:t>ՀՀ</w:t>
            </w:r>
            <w:r w:rsidRPr="0053423A">
              <w:rPr>
                <w:rFonts w:eastAsia="Calibri" w:cs="Times New Roman"/>
                <w:spacing w:val="-4"/>
                <w:sz w:val="20"/>
                <w:szCs w:val="20"/>
                <w:lang w:val="fr-FR"/>
              </w:rPr>
              <w:t xml:space="preserve"> </w:t>
            </w:r>
            <w:r w:rsidRPr="0053423A">
              <w:rPr>
                <w:rFonts w:eastAsia="Calibri" w:cs="Times New Roman"/>
                <w:spacing w:val="-4"/>
                <w:sz w:val="20"/>
                <w:szCs w:val="20"/>
              </w:rPr>
              <w:t>տնտեսության</w:t>
            </w:r>
            <w:r w:rsidRPr="0053423A">
              <w:rPr>
                <w:rFonts w:eastAsia="Calibri" w:cs="Times New Roman"/>
                <w:spacing w:val="-4"/>
                <w:sz w:val="20"/>
                <w:szCs w:val="20"/>
                <w:lang w:val="fr-FR"/>
              </w:rPr>
              <w:t xml:space="preserve"> </w:t>
            </w:r>
            <w:r w:rsidRPr="0053423A">
              <w:rPr>
                <w:rFonts w:eastAsia="Calibri" w:cs="Times New Roman"/>
                <w:spacing w:val="-4"/>
                <w:sz w:val="20"/>
                <w:szCs w:val="20"/>
              </w:rPr>
              <w:t>տարբեր</w:t>
            </w:r>
            <w:r w:rsidRPr="0053423A">
              <w:rPr>
                <w:rFonts w:eastAsia="Calibri" w:cs="Times New Roman"/>
                <w:spacing w:val="-4"/>
                <w:sz w:val="20"/>
                <w:szCs w:val="20"/>
                <w:lang w:val="fr-FR"/>
              </w:rPr>
              <w:t xml:space="preserve"> </w:t>
            </w:r>
            <w:r w:rsidRPr="0053423A">
              <w:rPr>
                <w:rFonts w:eastAsia="Calibri" w:cs="Times New Roman"/>
                <w:spacing w:val="-4"/>
                <w:sz w:val="20"/>
                <w:szCs w:val="20"/>
              </w:rPr>
              <w:t>ոլորտների</w:t>
            </w:r>
            <w:r w:rsidRPr="0053423A">
              <w:rPr>
                <w:rFonts w:eastAsia="Calibri" w:cs="Times New Roman"/>
                <w:spacing w:val="-4"/>
                <w:sz w:val="20"/>
                <w:szCs w:val="20"/>
                <w:lang w:val="fr-FR"/>
              </w:rPr>
              <w:t xml:space="preserve"> </w:t>
            </w:r>
            <w:r w:rsidRPr="0053423A">
              <w:rPr>
                <w:rFonts w:eastAsia="Calibri" w:cs="Times New Roman"/>
                <w:spacing w:val="-4"/>
                <w:sz w:val="20"/>
                <w:szCs w:val="20"/>
              </w:rPr>
              <w:t>զարգացման</w:t>
            </w:r>
            <w:r w:rsidRPr="0053423A">
              <w:rPr>
                <w:rFonts w:eastAsia="Calibri" w:cs="Times New Roman"/>
                <w:spacing w:val="-4"/>
                <w:sz w:val="20"/>
                <w:szCs w:val="20"/>
                <w:lang w:val="fr-FR"/>
              </w:rPr>
              <w:t xml:space="preserve"> </w:t>
            </w:r>
            <w:r w:rsidRPr="0053423A">
              <w:rPr>
                <w:rFonts w:eastAsia="Calibri" w:cs="Times New Roman"/>
                <w:spacing w:val="-4"/>
                <w:sz w:val="20"/>
                <w:szCs w:val="20"/>
              </w:rPr>
              <w:t>ռազմավարությունները</w:t>
            </w:r>
            <w:r w:rsidRPr="0053423A">
              <w:rPr>
                <w:rFonts w:eastAsia="Calibri" w:cs="Times New Roman"/>
                <w:spacing w:val="-4"/>
                <w:sz w:val="20"/>
                <w:szCs w:val="20"/>
                <w:lang w:val="fr-FR"/>
              </w:rPr>
              <w:t xml:space="preserve"> </w:t>
            </w:r>
            <w:r w:rsidRPr="0053423A">
              <w:rPr>
                <w:rFonts w:eastAsia="Calibri" w:cs="Times New Roman"/>
                <w:spacing w:val="-4"/>
                <w:sz w:val="20"/>
                <w:szCs w:val="20"/>
              </w:rPr>
              <w:t>և</w:t>
            </w:r>
            <w:r w:rsidRPr="0053423A">
              <w:rPr>
                <w:rFonts w:eastAsia="Calibri" w:cs="Times New Roman"/>
                <w:spacing w:val="-4"/>
                <w:sz w:val="20"/>
                <w:szCs w:val="20"/>
                <w:lang w:val="fr-FR"/>
              </w:rPr>
              <w:t xml:space="preserve"> </w:t>
            </w:r>
            <w:r w:rsidRPr="0053423A">
              <w:rPr>
                <w:rFonts w:eastAsia="Calibri" w:cs="Times New Roman"/>
                <w:spacing w:val="-4"/>
                <w:sz w:val="20"/>
                <w:szCs w:val="20"/>
              </w:rPr>
              <w:t>հայեցակարգերը</w:t>
            </w:r>
            <w:r w:rsidRPr="0053423A">
              <w:rPr>
                <w:rFonts w:eastAsia="Calibri" w:cs="Times New Roman"/>
                <w:spacing w:val="-4"/>
                <w:sz w:val="20"/>
                <w:szCs w:val="20"/>
                <w:lang w:val="fr-FR"/>
              </w:rPr>
              <w:t>,</w:t>
            </w:r>
            <w:r w:rsidRPr="0053423A">
              <w:rPr>
                <w:spacing w:val="-4"/>
                <w:sz w:val="20"/>
                <w:szCs w:val="20"/>
                <w:lang w:val="fr-FR"/>
              </w:rPr>
              <w:t xml:space="preserve"> </w:t>
            </w:r>
            <w:r w:rsidRPr="0053423A">
              <w:rPr>
                <w:rFonts w:eastAsia="Calibri" w:cs="Times New Roman"/>
                <w:spacing w:val="-4"/>
                <w:sz w:val="20"/>
                <w:szCs w:val="20"/>
              </w:rPr>
              <w:t>ՀՀ</w:t>
            </w:r>
            <w:r w:rsidRPr="0053423A">
              <w:rPr>
                <w:rFonts w:eastAsia="Calibri" w:cs="Times New Roman"/>
                <w:spacing w:val="-4"/>
                <w:sz w:val="20"/>
                <w:szCs w:val="20"/>
                <w:lang w:val="fr-FR"/>
              </w:rPr>
              <w:t xml:space="preserve"> </w:t>
            </w:r>
            <w:r w:rsidRPr="0053423A">
              <w:rPr>
                <w:rFonts w:eastAsia="Calibri" w:cs="Times New Roman"/>
                <w:spacing w:val="-4"/>
                <w:sz w:val="20"/>
                <w:szCs w:val="20"/>
              </w:rPr>
              <w:t>գիտական</w:t>
            </w:r>
            <w:r w:rsidRPr="0053423A">
              <w:rPr>
                <w:rFonts w:eastAsia="Calibri" w:cs="Times New Roman"/>
                <w:spacing w:val="-4"/>
                <w:sz w:val="20"/>
                <w:szCs w:val="20"/>
                <w:lang w:val="fr-FR"/>
              </w:rPr>
              <w:t xml:space="preserve"> </w:t>
            </w:r>
            <w:r w:rsidRPr="0053423A">
              <w:rPr>
                <w:rFonts w:eastAsia="Calibri" w:cs="Times New Roman"/>
                <w:spacing w:val="-4"/>
                <w:sz w:val="20"/>
                <w:szCs w:val="20"/>
              </w:rPr>
              <w:t>և</w:t>
            </w:r>
            <w:r w:rsidRPr="0053423A">
              <w:rPr>
                <w:rFonts w:eastAsia="Calibri" w:cs="Times New Roman"/>
                <w:spacing w:val="-4"/>
                <w:sz w:val="20"/>
                <w:szCs w:val="20"/>
                <w:lang w:val="fr-FR"/>
              </w:rPr>
              <w:t xml:space="preserve"> </w:t>
            </w:r>
            <w:r w:rsidRPr="0053423A">
              <w:rPr>
                <w:rFonts w:eastAsia="Calibri" w:cs="Times New Roman"/>
                <w:spacing w:val="-4"/>
                <w:sz w:val="20"/>
                <w:szCs w:val="20"/>
              </w:rPr>
              <w:t>գիտատեխնիկական</w:t>
            </w:r>
            <w:r w:rsidRPr="0053423A">
              <w:rPr>
                <w:rFonts w:eastAsia="Calibri" w:cs="Times New Roman"/>
                <w:spacing w:val="-4"/>
                <w:sz w:val="20"/>
                <w:szCs w:val="20"/>
                <w:lang w:val="fr-FR"/>
              </w:rPr>
              <w:t xml:space="preserve"> </w:t>
            </w:r>
            <w:r w:rsidRPr="0053423A">
              <w:rPr>
                <w:rFonts w:eastAsia="Calibri" w:cs="Times New Roman"/>
                <w:spacing w:val="-4"/>
                <w:sz w:val="20"/>
                <w:szCs w:val="20"/>
              </w:rPr>
              <w:t>գործունեության</w:t>
            </w:r>
            <w:r w:rsidRPr="0053423A">
              <w:rPr>
                <w:rFonts w:eastAsia="Calibri" w:cs="Times New Roman"/>
                <w:spacing w:val="-4"/>
                <w:sz w:val="20"/>
                <w:szCs w:val="20"/>
                <w:lang w:val="fr-FR"/>
              </w:rPr>
              <w:t xml:space="preserve"> </w:t>
            </w:r>
            <w:r w:rsidRPr="0053423A">
              <w:rPr>
                <w:rFonts w:eastAsia="Calibri" w:cs="Times New Roman"/>
                <w:spacing w:val="-4"/>
                <w:sz w:val="20"/>
                <w:szCs w:val="20"/>
              </w:rPr>
              <w:t>բնագավառի</w:t>
            </w:r>
            <w:r w:rsidRPr="0053423A">
              <w:rPr>
                <w:rFonts w:eastAsia="Calibri" w:cs="Times New Roman"/>
                <w:spacing w:val="-4"/>
                <w:sz w:val="20"/>
                <w:szCs w:val="20"/>
                <w:lang w:val="fr-FR"/>
              </w:rPr>
              <w:t xml:space="preserve"> 201</w:t>
            </w:r>
            <w:r w:rsidRPr="0053423A">
              <w:rPr>
                <w:spacing w:val="-4"/>
                <w:sz w:val="20"/>
                <w:szCs w:val="20"/>
                <w:lang w:val="fr-FR"/>
              </w:rPr>
              <w:t>4</w:t>
            </w:r>
            <w:r w:rsidRPr="0053423A">
              <w:rPr>
                <w:rFonts w:eastAsia="Calibri" w:cs="Times New Roman"/>
                <w:spacing w:val="-4"/>
                <w:sz w:val="20"/>
                <w:szCs w:val="20"/>
                <w:lang w:val="fr-FR"/>
              </w:rPr>
              <w:t>-201</w:t>
            </w:r>
            <w:r w:rsidRPr="0053423A">
              <w:rPr>
                <w:spacing w:val="-4"/>
                <w:sz w:val="20"/>
                <w:szCs w:val="20"/>
                <w:lang w:val="fr-FR"/>
              </w:rPr>
              <w:t>8</w:t>
            </w:r>
            <w:r w:rsidRPr="0053423A">
              <w:rPr>
                <w:rFonts w:eastAsia="Calibri" w:cs="Times New Roman"/>
                <w:spacing w:val="-4"/>
                <w:sz w:val="20"/>
                <w:szCs w:val="20"/>
                <w:lang w:val="fr-FR"/>
              </w:rPr>
              <w:t xml:space="preserve"> </w:t>
            </w:r>
            <w:r w:rsidRPr="0053423A">
              <w:rPr>
                <w:rFonts w:eastAsia="Calibri" w:cs="Times New Roman"/>
                <w:spacing w:val="-4"/>
                <w:sz w:val="20"/>
                <w:szCs w:val="20"/>
              </w:rPr>
              <w:t>թվականների</w:t>
            </w:r>
            <w:r w:rsidRPr="0053423A">
              <w:rPr>
                <w:rFonts w:eastAsia="Calibri" w:cs="Times New Roman"/>
                <w:spacing w:val="-4"/>
                <w:sz w:val="20"/>
                <w:szCs w:val="20"/>
                <w:lang w:val="fr-FR"/>
              </w:rPr>
              <w:t xml:space="preserve"> </w:t>
            </w:r>
            <w:r w:rsidRPr="0053423A">
              <w:rPr>
                <w:rFonts w:eastAsia="Calibri" w:cs="Times New Roman"/>
                <w:spacing w:val="-4"/>
                <w:sz w:val="20"/>
                <w:szCs w:val="20"/>
              </w:rPr>
              <w:t>արդյունքները</w:t>
            </w:r>
            <w:r w:rsidRPr="0053423A">
              <w:rPr>
                <w:rFonts w:eastAsia="Calibri" w:cs="Times New Roman"/>
                <w:spacing w:val="-4"/>
                <w:sz w:val="20"/>
                <w:szCs w:val="20"/>
                <w:lang w:val="fr-FR"/>
              </w:rPr>
              <w:t xml:space="preserve">, </w:t>
            </w:r>
            <w:r w:rsidRPr="0053423A">
              <w:rPr>
                <w:rFonts w:eastAsia="Calibri" w:cs="Times New Roman"/>
                <w:spacing w:val="-4"/>
                <w:sz w:val="20"/>
                <w:szCs w:val="20"/>
              </w:rPr>
              <w:t>այդ</w:t>
            </w:r>
            <w:r w:rsidRPr="0053423A">
              <w:rPr>
                <w:rFonts w:eastAsia="Calibri" w:cs="Times New Roman"/>
                <w:spacing w:val="-4"/>
                <w:sz w:val="20"/>
                <w:szCs w:val="20"/>
                <w:lang w:val="fr-FR"/>
              </w:rPr>
              <w:t xml:space="preserve"> </w:t>
            </w:r>
            <w:r w:rsidRPr="0053423A">
              <w:rPr>
                <w:rFonts w:eastAsia="Calibri" w:cs="Times New Roman"/>
                <w:spacing w:val="-4"/>
                <w:sz w:val="20"/>
                <w:szCs w:val="20"/>
              </w:rPr>
              <w:t>թվում</w:t>
            </w:r>
            <w:r w:rsidRPr="0053423A">
              <w:rPr>
                <w:rFonts w:eastAsia="Calibri" w:cs="Times New Roman"/>
                <w:spacing w:val="-4"/>
                <w:sz w:val="20"/>
                <w:szCs w:val="20"/>
                <w:lang w:val="fr-FR"/>
              </w:rPr>
              <w:t xml:space="preserve">` </w:t>
            </w:r>
            <w:r w:rsidRPr="0053423A">
              <w:rPr>
                <w:rFonts w:eastAsia="Calibri" w:cs="Times New Roman"/>
                <w:spacing w:val="-4"/>
                <w:sz w:val="20"/>
                <w:szCs w:val="20"/>
              </w:rPr>
              <w:t>միջազգային</w:t>
            </w:r>
            <w:r w:rsidRPr="0053423A">
              <w:rPr>
                <w:rFonts w:eastAsia="Calibri" w:cs="Times New Roman"/>
                <w:spacing w:val="-4"/>
                <w:sz w:val="20"/>
                <w:szCs w:val="20"/>
                <w:lang w:val="fr-FR"/>
              </w:rPr>
              <w:t xml:space="preserve"> </w:t>
            </w:r>
            <w:r w:rsidRPr="0053423A">
              <w:rPr>
                <w:rFonts w:eastAsia="Calibri" w:cs="Times New Roman"/>
                <w:spacing w:val="-4"/>
                <w:sz w:val="20"/>
                <w:szCs w:val="20"/>
              </w:rPr>
              <w:t>առաջատար</w:t>
            </w:r>
            <w:r w:rsidRPr="0053423A">
              <w:rPr>
                <w:rFonts w:eastAsia="Calibri" w:cs="Times New Roman"/>
                <w:spacing w:val="-4"/>
                <w:sz w:val="20"/>
                <w:szCs w:val="20"/>
                <w:lang w:val="fr-FR"/>
              </w:rPr>
              <w:t xml:space="preserve"> </w:t>
            </w:r>
            <w:r w:rsidRPr="0053423A">
              <w:rPr>
                <w:rFonts w:eastAsia="Calibri" w:cs="Times New Roman"/>
                <w:spacing w:val="-4"/>
                <w:sz w:val="20"/>
                <w:szCs w:val="20"/>
              </w:rPr>
              <w:t>գիտատեղեկատվական</w:t>
            </w:r>
            <w:r w:rsidRPr="0053423A">
              <w:rPr>
                <w:rFonts w:eastAsia="Calibri" w:cs="Times New Roman"/>
                <w:spacing w:val="-4"/>
                <w:sz w:val="20"/>
                <w:szCs w:val="20"/>
                <w:lang w:val="fr-FR"/>
              </w:rPr>
              <w:t xml:space="preserve"> </w:t>
            </w:r>
            <w:r w:rsidRPr="0053423A">
              <w:rPr>
                <w:rFonts w:eastAsia="Calibri" w:cs="Times New Roman"/>
                <w:spacing w:val="-4"/>
                <w:sz w:val="20"/>
                <w:szCs w:val="20"/>
              </w:rPr>
              <w:t>շտեմարաններում</w:t>
            </w:r>
            <w:r w:rsidRPr="0053423A">
              <w:rPr>
                <w:rFonts w:eastAsia="Calibri" w:cs="Times New Roman"/>
                <w:spacing w:val="-4"/>
                <w:sz w:val="20"/>
                <w:szCs w:val="20"/>
                <w:lang w:val="fr-FR"/>
              </w:rPr>
              <w:t xml:space="preserve"> </w:t>
            </w:r>
            <w:r w:rsidRPr="0053423A">
              <w:rPr>
                <w:rFonts w:eastAsia="Calibri" w:cs="Times New Roman"/>
                <w:spacing w:val="-4"/>
                <w:sz w:val="20"/>
                <w:szCs w:val="20"/>
              </w:rPr>
              <w:t>ընդգրկված</w:t>
            </w:r>
            <w:r w:rsidRPr="0053423A">
              <w:rPr>
                <w:rFonts w:eastAsia="Calibri" w:cs="Times New Roman"/>
                <w:spacing w:val="-4"/>
                <w:sz w:val="20"/>
                <w:szCs w:val="20"/>
                <w:lang w:val="fr-FR"/>
              </w:rPr>
              <w:t xml:space="preserve"> </w:t>
            </w:r>
            <w:r w:rsidRPr="0053423A">
              <w:rPr>
                <w:rFonts w:eastAsia="Calibri" w:cs="Times New Roman"/>
                <w:spacing w:val="-4"/>
                <w:sz w:val="20"/>
                <w:szCs w:val="20"/>
              </w:rPr>
              <w:t>հրապարակումները</w:t>
            </w:r>
            <w:r w:rsidRPr="0053423A">
              <w:rPr>
                <w:rFonts w:eastAsia="Calibri" w:cs="Times New Roman"/>
                <w:spacing w:val="-4"/>
                <w:sz w:val="20"/>
                <w:szCs w:val="20"/>
                <w:lang w:val="fr-FR"/>
              </w:rPr>
              <w:t xml:space="preserve">, </w:t>
            </w:r>
            <w:r w:rsidRPr="0053423A">
              <w:rPr>
                <w:rFonts w:eastAsia="Calibri" w:cs="Times New Roman"/>
                <w:spacing w:val="-4"/>
                <w:sz w:val="20"/>
                <w:szCs w:val="20"/>
              </w:rPr>
              <w:t>հանրապետությունում</w:t>
            </w:r>
            <w:r w:rsidRPr="0053423A">
              <w:rPr>
                <w:rFonts w:eastAsia="Calibri" w:cs="Times New Roman"/>
                <w:spacing w:val="-4"/>
                <w:sz w:val="20"/>
                <w:szCs w:val="20"/>
                <w:lang w:val="fr-FR"/>
              </w:rPr>
              <w:t xml:space="preserve"> </w:t>
            </w:r>
            <w:r w:rsidRPr="0053423A">
              <w:rPr>
                <w:rFonts w:eastAsia="Calibri" w:cs="Times New Roman"/>
                <w:spacing w:val="-4"/>
                <w:sz w:val="20"/>
                <w:szCs w:val="20"/>
              </w:rPr>
              <w:t>առկա</w:t>
            </w:r>
            <w:r w:rsidRPr="0053423A">
              <w:rPr>
                <w:rFonts w:eastAsia="Calibri" w:cs="Times New Roman"/>
                <w:spacing w:val="-4"/>
                <w:sz w:val="20"/>
                <w:szCs w:val="20"/>
                <w:lang w:val="fr-FR"/>
              </w:rPr>
              <w:t xml:space="preserve"> </w:t>
            </w:r>
            <w:r w:rsidRPr="0053423A">
              <w:rPr>
                <w:rFonts w:eastAsia="Calibri" w:cs="Times New Roman"/>
                <w:spacing w:val="-4"/>
                <w:sz w:val="20"/>
                <w:szCs w:val="20"/>
              </w:rPr>
              <w:t>գիտական</w:t>
            </w:r>
            <w:r w:rsidRPr="0053423A">
              <w:rPr>
                <w:rFonts w:eastAsia="Calibri" w:cs="Times New Roman"/>
                <w:spacing w:val="-4"/>
                <w:sz w:val="20"/>
                <w:szCs w:val="20"/>
                <w:lang w:val="fr-FR"/>
              </w:rPr>
              <w:t xml:space="preserve"> </w:t>
            </w:r>
            <w:r w:rsidRPr="0053423A">
              <w:rPr>
                <w:rFonts w:eastAsia="Calibri" w:cs="Times New Roman"/>
                <w:spacing w:val="-4"/>
                <w:sz w:val="20"/>
                <w:szCs w:val="20"/>
              </w:rPr>
              <w:t>ներուժի</w:t>
            </w:r>
            <w:r w:rsidRPr="0053423A">
              <w:rPr>
                <w:rFonts w:eastAsia="Calibri" w:cs="Times New Roman"/>
                <w:spacing w:val="-4"/>
                <w:sz w:val="20"/>
                <w:szCs w:val="20"/>
                <w:lang w:val="fr-FR"/>
              </w:rPr>
              <w:t xml:space="preserve"> </w:t>
            </w:r>
            <w:r w:rsidRPr="0053423A">
              <w:rPr>
                <w:rFonts w:eastAsia="Calibri" w:cs="Times New Roman"/>
                <w:spacing w:val="-4"/>
                <w:sz w:val="20"/>
                <w:szCs w:val="20"/>
              </w:rPr>
              <w:t>և</w:t>
            </w:r>
            <w:r w:rsidRPr="0053423A">
              <w:rPr>
                <w:rFonts w:eastAsia="Calibri" w:cs="Times New Roman"/>
                <w:spacing w:val="-4"/>
                <w:sz w:val="20"/>
                <w:szCs w:val="20"/>
                <w:lang w:val="fr-FR"/>
              </w:rPr>
              <w:t xml:space="preserve"> </w:t>
            </w:r>
            <w:r w:rsidRPr="0053423A">
              <w:rPr>
                <w:rFonts w:eastAsia="Calibri" w:cs="Times New Roman"/>
                <w:spacing w:val="-4"/>
                <w:sz w:val="20"/>
                <w:szCs w:val="20"/>
              </w:rPr>
              <w:t>ենթակառուցվածքների</w:t>
            </w:r>
            <w:r w:rsidRPr="0053423A">
              <w:rPr>
                <w:rFonts w:eastAsia="Calibri" w:cs="Times New Roman"/>
                <w:spacing w:val="-4"/>
                <w:sz w:val="20"/>
                <w:szCs w:val="20"/>
                <w:lang w:val="fr-FR"/>
              </w:rPr>
              <w:t xml:space="preserve"> </w:t>
            </w:r>
            <w:r w:rsidRPr="0053423A">
              <w:rPr>
                <w:rFonts w:eastAsia="Calibri" w:cs="Times New Roman"/>
                <w:spacing w:val="-4"/>
                <w:sz w:val="20"/>
                <w:szCs w:val="20"/>
              </w:rPr>
              <w:t>գնահատականը</w:t>
            </w:r>
            <w:r w:rsidRPr="0053423A">
              <w:rPr>
                <w:rFonts w:eastAsia="Calibri" w:cs="Times New Roman"/>
                <w:spacing w:val="-4"/>
                <w:sz w:val="20"/>
                <w:szCs w:val="20"/>
                <w:lang w:val="fr-FR"/>
              </w:rPr>
              <w:t xml:space="preserve">, </w:t>
            </w:r>
            <w:r w:rsidRPr="0053423A">
              <w:rPr>
                <w:rFonts w:eastAsia="Calibri" w:cs="Times New Roman"/>
                <w:spacing w:val="-4"/>
                <w:sz w:val="20"/>
                <w:szCs w:val="20"/>
              </w:rPr>
              <w:t>պետական</w:t>
            </w:r>
            <w:r w:rsidRPr="0053423A">
              <w:rPr>
                <w:rFonts w:eastAsia="Calibri" w:cs="Times New Roman"/>
                <w:spacing w:val="-4"/>
                <w:sz w:val="20"/>
                <w:szCs w:val="20"/>
                <w:lang w:val="fr-FR"/>
              </w:rPr>
              <w:t xml:space="preserve"> </w:t>
            </w:r>
            <w:r w:rsidRPr="0053423A">
              <w:rPr>
                <w:rFonts w:eastAsia="Calibri" w:cs="Times New Roman"/>
                <w:spacing w:val="-4"/>
                <w:sz w:val="20"/>
                <w:szCs w:val="20"/>
              </w:rPr>
              <w:t>գիտական</w:t>
            </w:r>
            <w:r w:rsidRPr="0053423A">
              <w:rPr>
                <w:rFonts w:eastAsia="Calibri" w:cs="Times New Roman"/>
                <w:spacing w:val="-4"/>
                <w:sz w:val="20"/>
                <w:szCs w:val="20"/>
                <w:lang w:val="fr-FR"/>
              </w:rPr>
              <w:t xml:space="preserve"> </w:t>
            </w:r>
            <w:r w:rsidRPr="0053423A">
              <w:rPr>
                <w:rFonts w:eastAsia="Calibri" w:cs="Times New Roman"/>
                <w:spacing w:val="-4"/>
                <w:sz w:val="20"/>
                <w:szCs w:val="20"/>
              </w:rPr>
              <w:t>ծրագրերի</w:t>
            </w:r>
            <w:r w:rsidRPr="0053423A">
              <w:rPr>
                <w:rFonts w:eastAsia="Calibri" w:cs="Times New Roman"/>
                <w:spacing w:val="-4"/>
                <w:sz w:val="20"/>
                <w:szCs w:val="20"/>
                <w:lang w:val="fr-FR"/>
              </w:rPr>
              <w:t xml:space="preserve"> </w:t>
            </w:r>
            <w:r w:rsidRPr="0053423A">
              <w:rPr>
                <w:rFonts w:eastAsia="Calibri" w:cs="Times New Roman"/>
                <w:spacing w:val="-4"/>
                <w:sz w:val="20"/>
                <w:szCs w:val="20"/>
              </w:rPr>
              <w:t>և</w:t>
            </w:r>
            <w:r w:rsidRPr="0053423A">
              <w:rPr>
                <w:rFonts w:eastAsia="Calibri" w:cs="Times New Roman"/>
                <w:spacing w:val="-4"/>
                <w:sz w:val="20"/>
                <w:szCs w:val="20"/>
                <w:lang w:val="fr-FR"/>
              </w:rPr>
              <w:t xml:space="preserve"> </w:t>
            </w:r>
            <w:r w:rsidRPr="0053423A">
              <w:rPr>
                <w:rFonts w:eastAsia="Calibri" w:cs="Times New Roman"/>
                <w:spacing w:val="-4"/>
                <w:sz w:val="20"/>
                <w:szCs w:val="20"/>
              </w:rPr>
              <w:t>թեմաների</w:t>
            </w:r>
            <w:r w:rsidRPr="0053423A">
              <w:rPr>
                <w:rFonts w:eastAsia="Calibri" w:cs="Times New Roman"/>
                <w:spacing w:val="-4"/>
                <w:sz w:val="20"/>
                <w:szCs w:val="20"/>
                <w:lang w:val="fr-FR"/>
              </w:rPr>
              <w:t xml:space="preserve"> </w:t>
            </w:r>
            <w:r w:rsidRPr="0053423A">
              <w:rPr>
                <w:rFonts w:eastAsia="Calibri" w:cs="Times New Roman"/>
                <w:spacing w:val="-4"/>
                <w:sz w:val="20"/>
                <w:szCs w:val="20"/>
              </w:rPr>
              <w:t>արդյունքները</w:t>
            </w:r>
            <w:r w:rsidRPr="0053423A">
              <w:rPr>
                <w:rFonts w:eastAsia="Calibri" w:cs="Times New Roman"/>
                <w:spacing w:val="-4"/>
                <w:sz w:val="20"/>
                <w:szCs w:val="20"/>
                <w:lang w:val="fr-FR"/>
              </w:rPr>
              <w:t>,</w:t>
            </w:r>
            <w:r w:rsidRPr="0053423A">
              <w:rPr>
                <w:spacing w:val="-4"/>
                <w:sz w:val="20"/>
                <w:szCs w:val="20"/>
                <w:lang w:val="fr-FR"/>
              </w:rPr>
              <w:t xml:space="preserve"> </w:t>
            </w:r>
            <w:r w:rsidRPr="0053423A">
              <w:rPr>
                <w:spacing w:val="-4"/>
                <w:sz w:val="20"/>
                <w:szCs w:val="20"/>
              </w:rPr>
              <w:t>ինչպես</w:t>
            </w:r>
            <w:r w:rsidRPr="0053423A">
              <w:rPr>
                <w:spacing w:val="-4"/>
                <w:sz w:val="20"/>
                <w:szCs w:val="20"/>
                <w:lang w:val="fr-FR"/>
              </w:rPr>
              <w:t xml:space="preserve"> </w:t>
            </w:r>
            <w:r w:rsidRPr="0053423A">
              <w:rPr>
                <w:spacing w:val="-4"/>
                <w:sz w:val="20"/>
                <w:szCs w:val="20"/>
              </w:rPr>
              <w:t>նաև</w:t>
            </w:r>
            <w:r w:rsidRPr="0053423A">
              <w:rPr>
                <w:spacing w:val="-4"/>
                <w:sz w:val="20"/>
                <w:szCs w:val="20"/>
                <w:lang w:val="fr-FR"/>
              </w:rPr>
              <w:t xml:space="preserve"> </w:t>
            </w:r>
            <w:r w:rsidRPr="0053423A">
              <w:rPr>
                <w:rFonts w:eastAsia="Calibri" w:cs="Times New Roman"/>
                <w:spacing w:val="-4"/>
                <w:sz w:val="20"/>
                <w:szCs w:val="20"/>
              </w:rPr>
              <w:t>միջազգային</w:t>
            </w:r>
            <w:r w:rsidRPr="0053423A">
              <w:rPr>
                <w:rFonts w:eastAsia="Calibri" w:cs="Times New Roman"/>
                <w:spacing w:val="-4"/>
                <w:sz w:val="20"/>
                <w:szCs w:val="20"/>
                <w:lang w:val="fr-FR"/>
              </w:rPr>
              <w:t xml:space="preserve"> </w:t>
            </w:r>
            <w:r w:rsidRPr="0053423A">
              <w:rPr>
                <w:rFonts w:eastAsia="Calibri" w:cs="Times New Roman"/>
                <w:spacing w:val="-4"/>
                <w:sz w:val="20"/>
                <w:szCs w:val="20"/>
              </w:rPr>
              <w:t>փորձը</w:t>
            </w:r>
            <w:r w:rsidRPr="0053423A">
              <w:rPr>
                <w:rFonts w:eastAsia="Calibri" w:cs="Times New Roman"/>
                <w:spacing w:val="-4"/>
                <w:sz w:val="20"/>
                <w:szCs w:val="20"/>
                <w:lang w:val="fr-FR"/>
              </w:rPr>
              <w:t xml:space="preserve">` </w:t>
            </w:r>
            <w:r w:rsidRPr="0053423A">
              <w:rPr>
                <w:rFonts w:eastAsia="Calibri" w:cs="Times New Roman"/>
                <w:spacing w:val="-4"/>
                <w:sz w:val="20"/>
                <w:szCs w:val="20"/>
              </w:rPr>
              <w:t>առաջին</w:t>
            </w:r>
            <w:r w:rsidRPr="0053423A">
              <w:rPr>
                <w:rFonts w:eastAsia="Calibri" w:cs="Times New Roman"/>
                <w:spacing w:val="-4"/>
                <w:sz w:val="20"/>
                <w:szCs w:val="20"/>
                <w:lang w:val="fr-FR"/>
              </w:rPr>
              <w:t xml:space="preserve"> </w:t>
            </w:r>
            <w:r w:rsidRPr="0053423A">
              <w:rPr>
                <w:rFonts w:eastAsia="Calibri" w:cs="Times New Roman"/>
                <w:spacing w:val="-4"/>
                <w:sz w:val="20"/>
                <w:szCs w:val="20"/>
              </w:rPr>
              <w:t>հերթին</w:t>
            </w:r>
            <w:r w:rsidRPr="0053423A">
              <w:rPr>
                <w:rFonts w:eastAsia="Calibri" w:cs="Times New Roman"/>
                <w:spacing w:val="-4"/>
                <w:sz w:val="20"/>
                <w:szCs w:val="20"/>
                <w:lang w:val="fr-FR"/>
              </w:rPr>
              <w:t xml:space="preserve"> </w:t>
            </w:r>
            <w:r w:rsidRPr="0053423A">
              <w:rPr>
                <w:rFonts w:eastAsia="Calibri" w:cs="Times New Roman"/>
                <w:spacing w:val="-4"/>
                <w:sz w:val="20"/>
                <w:szCs w:val="20"/>
              </w:rPr>
              <w:t>գիտության</w:t>
            </w:r>
            <w:r w:rsidRPr="0053423A">
              <w:rPr>
                <w:rFonts w:eastAsia="Calibri" w:cs="Times New Roman"/>
                <w:spacing w:val="-4"/>
                <w:sz w:val="20"/>
                <w:szCs w:val="20"/>
                <w:lang w:val="fr-FR"/>
              </w:rPr>
              <w:t xml:space="preserve"> </w:t>
            </w:r>
            <w:r w:rsidRPr="0053423A">
              <w:rPr>
                <w:rFonts w:eastAsia="Calibri" w:cs="Times New Roman"/>
                <w:spacing w:val="-4"/>
                <w:sz w:val="20"/>
                <w:szCs w:val="20"/>
              </w:rPr>
              <w:t>և</w:t>
            </w:r>
            <w:r w:rsidRPr="0053423A">
              <w:rPr>
                <w:rFonts w:eastAsia="Calibri" w:cs="Times New Roman"/>
                <w:spacing w:val="-4"/>
                <w:sz w:val="20"/>
                <w:szCs w:val="20"/>
                <w:lang w:val="fr-FR"/>
              </w:rPr>
              <w:t xml:space="preserve"> </w:t>
            </w:r>
            <w:r w:rsidRPr="0053423A">
              <w:rPr>
                <w:rFonts w:eastAsia="Calibri" w:cs="Times New Roman"/>
                <w:spacing w:val="-4"/>
                <w:sz w:val="20"/>
                <w:szCs w:val="20"/>
              </w:rPr>
              <w:t>նորարարության</w:t>
            </w:r>
            <w:r w:rsidRPr="0053423A">
              <w:rPr>
                <w:rFonts w:eastAsia="Calibri" w:cs="Times New Roman"/>
                <w:spacing w:val="-4"/>
                <w:sz w:val="20"/>
                <w:szCs w:val="20"/>
                <w:lang w:val="fr-FR"/>
              </w:rPr>
              <w:t xml:space="preserve"> </w:t>
            </w:r>
            <w:r w:rsidRPr="0053423A">
              <w:rPr>
                <w:rFonts w:eastAsia="Calibri" w:cs="Times New Roman"/>
                <w:spacing w:val="-4"/>
                <w:sz w:val="20"/>
                <w:szCs w:val="20"/>
              </w:rPr>
              <w:t>բնագավառում</w:t>
            </w:r>
            <w:r w:rsidRPr="0053423A">
              <w:rPr>
                <w:rFonts w:eastAsia="Calibri" w:cs="Times New Roman"/>
                <w:spacing w:val="-4"/>
                <w:sz w:val="20"/>
                <w:szCs w:val="20"/>
                <w:lang w:val="fr-FR"/>
              </w:rPr>
              <w:t xml:space="preserve"> </w:t>
            </w:r>
            <w:r w:rsidRPr="0053423A">
              <w:rPr>
                <w:rFonts w:eastAsia="Calibri" w:cs="Times New Roman"/>
                <w:spacing w:val="-4"/>
                <w:sz w:val="20"/>
                <w:szCs w:val="20"/>
              </w:rPr>
              <w:t>Եվրամիության</w:t>
            </w:r>
            <w:r w:rsidRPr="0053423A">
              <w:rPr>
                <w:rFonts w:eastAsia="Calibri" w:cs="Times New Roman"/>
                <w:spacing w:val="-4"/>
                <w:sz w:val="20"/>
                <w:szCs w:val="20"/>
                <w:lang w:val="fr-FR"/>
              </w:rPr>
              <w:t xml:space="preserve"> «</w:t>
            </w:r>
            <w:r w:rsidRPr="0053423A">
              <w:rPr>
                <w:rFonts w:eastAsia="Calibri" w:cs="Times New Roman"/>
                <w:spacing w:val="-4"/>
                <w:sz w:val="20"/>
                <w:szCs w:val="20"/>
              </w:rPr>
              <w:t>Հորիզոն</w:t>
            </w:r>
            <w:r w:rsidRPr="0053423A">
              <w:rPr>
                <w:rFonts w:eastAsia="Calibri" w:cs="Times New Roman"/>
                <w:spacing w:val="-4"/>
                <w:sz w:val="20"/>
                <w:szCs w:val="20"/>
                <w:lang w:val="fr-FR"/>
              </w:rPr>
              <w:t xml:space="preserve"> 2020» </w:t>
            </w:r>
            <w:r w:rsidRPr="0053423A">
              <w:rPr>
                <w:rFonts w:eastAsia="Calibri" w:cs="Times New Roman"/>
                <w:spacing w:val="-4"/>
                <w:sz w:val="20"/>
                <w:szCs w:val="20"/>
              </w:rPr>
              <w:t>շրջանակային</w:t>
            </w:r>
            <w:r w:rsidRPr="0053423A">
              <w:rPr>
                <w:rFonts w:eastAsia="Calibri" w:cs="Times New Roman"/>
                <w:spacing w:val="-4"/>
                <w:sz w:val="20"/>
                <w:szCs w:val="20"/>
                <w:lang w:val="fr-FR"/>
              </w:rPr>
              <w:t xml:space="preserve"> </w:t>
            </w:r>
            <w:r w:rsidRPr="0053423A">
              <w:rPr>
                <w:rFonts w:eastAsia="Calibri" w:cs="Times New Roman"/>
                <w:spacing w:val="-4"/>
                <w:sz w:val="20"/>
                <w:szCs w:val="20"/>
              </w:rPr>
              <w:t>ծրագրի</w:t>
            </w:r>
            <w:r w:rsidRPr="0053423A">
              <w:rPr>
                <w:rFonts w:eastAsia="Calibri" w:cs="Times New Roman"/>
                <w:spacing w:val="-4"/>
                <w:sz w:val="20"/>
                <w:szCs w:val="20"/>
                <w:lang w:val="fr-FR"/>
              </w:rPr>
              <w:t xml:space="preserve"> </w:t>
            </w:r>
            <w:r w:rsidRPr="0053423A">
              <w:rPr>
                <w:rFonts w:eastAsia="Calibri" w:cs="Times New Roman"/>
                <w:spacing w:val="-4"/>
                <w:sz w:val="20"/>
                <w:szCs w:val="20"/>
              </w:rPr>
              <w:t>գերակայությունները</w:t>
            </w:r>
            <w:r w:rsidRPr="0053423A">
              <w:rPr>
                <w:spacing w:val="-4"/>
                <w:sz w:val="20"/>
                <w:szCs w:val="20"/>
              </w:rPr>
              <w:t>՝</w:t>
            </w:r>
            <w:r w:rsidRPr="0053423A">
              <w:rPr>
                <w:spacing w:val="-4"/>
                <w:sz w:val="20"/>
                <w:szCs w:val="20"/>
                <w:lang w:val="fr-FR"/>
              </w:rPr>
              <w:t xml:space="preserve"> </w:t>
            </w:r>
            <w:r w:rsidRPr="0053423A">
              <w:rPr>
                <w:spacing w:val="-4"/>
                <w:sz w:val="20"/>
                <w:szCs w:val="20"/>
              </w:rPr>
              <w:t>սահմանել</w:t>
            </w:r>
            <w:r w:rsidRPr="0053423A">
              <w:rPr>
                <w:spacing w:val="-4"/>
                <w:sz w:val="20"/>
                <w:szCs w:val="20"/>
                <w:lang w:val="fr-FR"/>
              </w:rPr>
              <w:t xml:space="preserve"> </w:t>
            </w:r>
            <w:r w:rsidRPr="0053423A">
              <w:rPr>
                <w:spacing w:val="-4"/>
                <w:sz w:val="20"/>
                <w:szCs w:val="20"/>
              </w:rPr>
              <w:t>ՀՀ</w:t>
            </w:r>
            <w:r w:rsidRPr="0053423A">
              <w:rPr>
                <w:spacing w:val="-4"/>
                <w:sz w:val="20"/>
                <w:szCs w:val="20"/>
                <w:lang w:val="fr-FR"/>
              </w:rPr>
              <w:t>-</w:t>
            </w:r>
            <w:r w:rsidRPr="0053423A">
              <w:rPr>
                <w:spacing w:val="-4"/>
                <w:sz w:val="20"/>
                <w:szCs w:val="20"/>
              </w:rPr>
              <w:t>ում</w:t>
            </w:r>
            <w:r w:rsidRPr="0053423A">
              <w:rPr>
                <w:spacing w:val="-4"/>
                <w:sz w:val="20"/>
                <w:szCs w:val="20"/>
                <w:lang w:val="fr-FR"/>
              </w:rPr>
              <w:t xml:space="preserve"> </w:t>
            </w:r>
            <w:r w:rsidRPr="0053423A">
              <w:rPr>
                <w:spacing w:val="-4"/>
                <w:sz w:val="20"/>
                <w:szCs w:val="20"/>
              </w:rPr>
              <w:t>գ</w:t>
            </w:r>
            <w:r w:rsidRPr="0053423A">
              <w:rPr>
                <w:rFonts w:eastAsia="Calibri" w:cs="Times New Roman"/>
                <w:spacing w:val="-4"/>
                <w:sz w:val="20"/>
                <w:szCs w:val="20"/>
              </w:rPr>
              <w:t>իտության</w:t>
            </w:r>
            <w:r w:rsidRPr="0053423A">
              <w:rPr>
                <w:rFonts w:eastAsia="Calibri" w:cs="Times New Roman"/>
                <w:spacing w:val="-4"/>
                <w:sz w:val="20"/>
                <w:szCs w:val="20"/>
                <w:lang w:val="fr-FR"/>
              </w:rPr>
              <w:t xml:space="preserve"> </w:t>
            </w:r>
            <w:r w:rsidRPr="0053423A">
              <w:rPr>
                <w:rFonts w:eastAsia="Calibri" w:cs="Times New Roman"/>
                <w:spacing w:val="-4"/>
                <w:sz w:val="20"/>
                <w:szCs w:val="20"/>
              </w:rPr>
              <w:t>և</w:t>
            </w:r>
            <w:r w:rsidRPr="0053423A">
              <w:rPr>
                <w:rFonts w:eastAsia="Calibri" w:cs="Times New Roman"/>
                <w:spacing w:val="-4"/>
                <w:sz w:val="20"/>
                <w:szCs w:val="20"/>
                <w:lang w:val="fr-FR"/>
              </w:rPr>
              <w:t xml:space="preserve"> </w:t>
            </w:r>
            <w:r w:rsidRPr="0053423A">
              <w:rPr>
                <w:rFonts w:eastAsia="Calibri" w:cs="Times New Roman"/>
                <w:spacing w:val="-4"/>
                <w:sz w:val="20"/>
                <w:szCs w:val="20"/>
              </w:rPr>
              <w:t>տեխնիկայի</w:t>
            </w:r>
            <w:r w:rsidRPr="0053423A">
              <w:rPr>
                <w:rFonts w:eastAsia="Calibri" w:cs="Times New Roman"/>
                <w:spacing w:val="-4"/>
                <w:sz w:val="20"/>
                <w:szCs w:val="20"/>
                <w:lang w:val="fr-FR"/>
              </w:rPr>
              <w:t xml:space="preserve"> </w:t>
            </w:r>
            <w:r w:rsidRPr="0053423A">
              <w:rPr>
                <w:rFonts w:eastAsia="Calibri" w:cs="Times New Roman"/>
                <w:spacing w:val="-4"/>
                <w:sz w:val="20"/>
                <w:szCs w:val="20"/>
              </w:rPr>
              <w:t>զարգացման</w:t>
            </w:r>
            <w:r w:rsidRPr="0053423A">
              <w:rPr>
                <w:rFonts w:eastAsia="Calibri" w:cs="Times New Roman"/>
                <w:spacing w:val="-4"/>
                <w:sz w:val="20"/>
                <w:szCs w:val="20"/>
                <w:lang w:val="fr-FR"/>
              </w:rPr>
              <w:t xml:space="preserve"> 20</w:t>
            </w:r>
            <w:r w:rsidRPr="0053423A">
              <w:rPr>
                <w:spacing w:val="-4"/>
                <w:sz w:val="20"/>
                <w:szCs w:val="20"/>
                <w:lang w:val="fr-FR"/>
              </w:rPr>
              <w:t>20</w:t>
            </w:r>
            <w:r w:rsidRPr="0053423A">
              <w:rPr>
                <w:rFonts w:eastAsia="Calibri" w:cs="Times New Roman"/>
                <w:spacing w:val="-4"/>
                <w:sz w:val="20"/>
                <w:szCs w:val="20"/>
                <w:lang w:val="fr-FR"/>
              </w:rPr>
              <w:t>-202</w:t>
            </w:r>
            <w:r w:rsidRPr="0053423A">
              <w:rPr>
                <w:spacing w:val="-4"/>
                <w:sz w:val="20"/>
                <w:szCs w:val="20"/>
                <w:lang w:val="fr-FR"/>
              </w:rPr>
              <w:t>4</w:t>
            </w:r>
            <w:r w:rsidRPr="0053423A">
              <w:rPr>
                <w:rFonts w:eastAsia="Calibri" w:cs="Times New Roman"/>
                <w:spacing w:val="-4"/>
                <w:sz w:val="20"/>
                <w:szCs w:val="20"/>
                <w:lang w:val="fr-FR"/>
              </w:rPr>
              <w:t xml:space="preserve"> </w:t>
            </w:r>
            <w:r w:rsidRPr="0053423A">
              <w:rPr>
                <w:rFonts w:eastAsia="Calibri" w:cs="Times New Roman"/>
                <w:spacing w:val="-4"/>
                <w:sz w:val="20"/>
                <w:szCs w:val="20"/>
              </w:rPr>
              <w:t>թվականների</w:t>
            </w:r>
            <w:r w:rsidRPr="0053423A">
              <w:rPr>
                <w:rFonts w:eastAsia="Calibri" w:cs="Times New Roman"/>
                <w:spacing w:val="-4"/>
                <w:sz w:val="20"/>
                <w:szCs w:val="20"/>
                <w:lang w:val="fr-FR"/>
              </w:rPr>
              <w:t xml:space="preserve"> </w:t>
            </w:r>
            <w:r w:rsidRPr="0053423A">
              <w:rPr>
                <w:rFonts w:eastAsia="Calibri" w:cs="Times New Roman"/>
                <w:spacing w:val="-4"/>
                <w:sz w:val="20"/>
                <w:szCs w:val="20"/>
              </w:rPr>
              <w:t>գերակայություններ</w:t>
            </w:r>
            <w:r w:rsidRPr="0053423A">
              <w:rPr>
                <w:spacing w:val="-4"/>
                <w:sz w:val="20"/>
                <w:szCs w:val="20"/>
              </w:rPr>
              <w:t>ը</w:t>
            </w:r>
            <w:r w:rsidRPr="0053423A">
              <w:rPr>
                <w:rFonts w:eastAsia="Calibri" w:cs="Times New Roman"/>
                <w:spacing w:val="-4"/>
                <w:sz w:val="20"/>
                <w:szCs w:val="20"/>
                <w:lang w:val="fr-FR"/>
              </w:rPr>
              <w:t xml:space="preserve">, </w:t>
            </w:r>
            <w:r w:rsidRPr="0053423A">
              <w:rPr>
                <w:spacing w:val="-4"/>
                <w:sz w:val="20"/>
                <w:szCs w:val="20"/>
              </w:rPr>
              <w:t>ապահովել</w:t>
            </w:r>
            <w:r w:rsidRPr="0053423A">
              <w:rPr>
                <w:spacing w:val="-4"/>
                <w:sz w:val="20"/>
                <w:szCs w:val="20"/>
                <w:lang w:val="fr-FR"/>
              </w:rPr>
              <w:t xml:space="preserve"> </w:t>
            </w:r>
            <w:r w:rsidRPr="0053423A">
              <w:rPr>
                <w:rFonts w:eastAsia="Calibri" w:cs="Times New Roman"/>
                <w:spacing w:val="-4"/>
                <w:sz w:val="20"/>
                <w:szCs w:val="20"/>
              </w:rPr>
              <w:t>հանրապետության</w:t>
            </w:r>
            <w:r w:rsidRPr="0053423A">
              <w:rPr>
                <w:rFonts w:eastAsia="Calibri" w:cs="Times New Roman"/>
                <w:spacing w:val="-4"/>
                <w:sz w:val="20"/>
                <w:szCs w:val="20"/>
                <w:lang w:val="fr-FR"/>
              </w:rPr>
              <w:t xml:space="preserve"> </w:t>
            </w:r>
            <w:r w:rsidRPr="0053423A">
              <w:rPr>
                <w:rFonts w:eastAsia="Calibri" w:cs="Times New Roman"/>
                <w:spacing w:val="-4"/>
                <w:sz w:val="20"/>
                <w:szCs w:val="20"/>
              </w:rPr>
              <w:t>տնտեսության</w:t>
            </w:r>
            <w:r w:rsidRPr="0053423A">
              <w:rPr>
                <w:rFonts w:eastAsia="Calibri" w:cs="Times New Roman"/>
                <w:spacing w:val="-4"/>
                <w:sz w:val="20"/>
                <w:szCs w:val="20"/>
                <w:lang w:val="fr-FR"/>
              </w:rPr>
              <w:t xml:space="preserve"> </w:t>
            </w:r>
            <w:r w:rsidRPr="0053423A">
              <w:rPr>
                <w:rFonts w:eastAsia="Calibri" w:cs="Times New Roman"/>
                <w:spacing w:val="-4"/>
                <w:sz w:val="20"/>
                <w:szCs w:val="20"/>
              </w:rPr>
              <w:t>պահանջներից</w:t>
            </w:r>
            <w:r w:rsidRPr="0053423A">
              <w:rPr>
                <w:rFonts w:eastAsia="Calibri" w:cs="Times New Roman"/>
                <w:spacing w:val="-4"/>
                <w:sz w:val="20"/>
                <w:szCs w:val="20"/>
                <w:lang w:val="fr-FR"/>
              </w:rPr>
              <w:t xml:space="preserve"> </w:t>
            </w:r>
            <w:r w:rsidRPr="0053423A">
              <w:rPr>
                <w:rFonts w:eastAsia="Calibri" w:cs="Times New Roman"/>
                <w:spacing w:val="-4"/>
                <w:sz w:val="20"/>
                <w:szCs w:val="20"/>
              </w:rPr>
              <w:t>բխող</w:t>
            </w:r>
            <w:r w:rsidRPr="0053423A">
              <w:rPr>
                <w:rFonts w:eastAsia="Calibri" w:cs="Times New Roman"/>
                <w:spacing w:val="-4"/>
                <w:sz w:val="20"/>
                <w:szCs w:val="20"/>
                <w:lang w:val="fr-FR"/>
              </w:rPr>
              <w:t xml:space="preserve"> </w:t>
            </w:r>
            <w:r w:rsidRPr="0053423A">
              <w:rPr>
                <w:rFonts w:eastAsia="Calibri" w:cs="Times New Roman"/>
                <w:spacing w:val="-4"/>
                <w:sz w:val="20"/>
                <w:szCs w:val="20"/>
              </w:rPr>
              <w:t>և</w:t>
            </w:r>
            <w:r w:rsidRPr="0053423A">
              <w:rPr>
                <w:rFonts w:eastAsia="Calibri" w:cs="Times New Roman"/>
                <w:spacing w:val="-4"/>
                <w:sz w:val="20"/>
                <w:szCs w:val="20"/>
                <w:lang w:val="fr-FR"/>
              </w:rPr>
              <w:t xml:space="preserve"> (</w:t>
            </w:r>
            <w:r w:rsidRPr="0053423A">
              <w:rPr>
                <w:rFonts w:eastAsia="Calibri" w:cs="Times New Roman"/>
                <w:spacing w:val="-4"/>
                <w:sz w:val="20"/>
                <w:szCs w:val="20"/>
              </w:rPr>
              <w:t>կամ</w:t>
            </w:r>
            <w:r w:rsidRPr="0053423A">
              <w:rPr>
                <w:rFonts w:eastAsia="Calibri" w:cs="Times New Roman"/>
                <w:spacing w:val="-4"/>
                <w:sz w:val="20"/>
                <w:szCs w:val="20"/>
                <w:lang w:val="fr-FR"/>
              </w:rPr>
              <w:t xml:space="preserve">) </w:t>
            </w:r>
            <w:r w:rsidRPr="0053423A">
              <w:rPr>
                <w:rFonts w:eastAsia="Calibri" w:cs="Times New Roman"/>
                <w:spacing w:val="-4"/>
                <w:sz w:val="20"/>
                <w:szCs w:val="20"/>
              </w:rPr>
              <w:t>միջազգայնորեն</w:t>
            </w:r>
            <w:r w:rsidRPr="0053423A">
              <w:rPr>
                <w:rFonts w:eastAsia="Calibri" w:cs="Times New Roman"/>
                <w:spacing w:val="-4"/>
                <w:sz w:val="20"/>
                <w:szCs w:val="20"/>
                <w:lang w:val="fr-FR"/>
              </w:rPr>
              <w:t xml:space="preserve"> </w:t>
            </w:r>
            <w:r w:rsidRPr="0053423A">
              <w:rPr>
                <w:rFonts w:eastAsia="Calibri" w:cs="Times New Roman"/>
                <w:spacing w:val="-4"/>
                <w:sz w:val="20"/>
                <w:szCs w:val="20"/>
              </w:rPr>
              <w:t>արդիական</w:t>
            </w:r>
            <w:r w:rsidRPr="0053423A">
              <w:rPr>
                <w:rFonts w:eastAsia="Calibri" w:cs="Times New Roman"/>
                <w:spacing w:val="-4"/>
                <w:sz w:val="20"/>
                <w:szCs w:val="20"/>
                <w:lang w:val="fr-FR"/>
              </w:rPr>
              <w:t xml:space="preserve"> </w:t>
            </w:r>
            <w:r w:rsidRPr="0053423A">
              <w:rPr>
                <w:rFonts w:eastAsia="Calibri" w:cs="Times New Roman"/>
                <w:spacing w:val="-4"/>
                <w:sz w:val="20"/>
                <w:szCs w:val="20"/>
              </w:rPr>
              <w:t>համարվող</w:t>
            </w:r>
            <w:r w:rsidRPr="0053423A">
              <w:rPr>
                <w:rFonts w:eastAsia="Calibri" w:cs="Times New Roman"/>
                <w:spacing w:val="-4"/>
                <w:sz w:val="20"/>
                <w:szCs w:val="20"/>
                <w:lang w:val="fr-FR"/>
              </w:rPr>
              <w:t xml:space="preserve"> </w:t>
            </w:r>
            <w:r w:rsidRPr="0053423A">
              <w:rPr>
                <w:rFonts w:eastAsia="Calibri" w:cs="Times New Roman"/>
                <w:spacing w:val="-4"/>
                <w:sz w:val="20"/>
                <w:szCs w:val="20"/>
              </w:rPr>
              <w:t>գիտահետազոտական</w:t>
            </w:r>
            <w:r w:rsidRPr="0053423A">
              <w:rPr>
                <w:rFonts w:eastAsia="Calibri" w:cs="Times New Roman"/>
                <w:spacing w:val="-4"/>
                <w:sz w:val="20"/>
                <w:szCs w:val="20"/>
                <w:lang w:val="fr-FR"/>
              </w:rPr>
              <w:t xml:space="preserve"> </w:t>
            </w:r>
            <w:r w:rsidRPr="0053423A">
              <w:rPr>
                <w:rFonts w:eastAsia="Calibri" w:cs="Times New Roman"/>
                <w:spacing w:val="-4"/>
                <w:sz w:val="20"/>
                <w:szCs w:val="20"/>
              </w:rPr>
              <w:t>աշխատանքների</w:t>
            </w:r>
            <w:r w:rsidRPr="0053423A">
              <w:rPr>
                <w:rFonts w:eastAsia="Calibri" w:cs="Times New Roman"/>
                <w:spacing w:val="-4"/>
                <w:sz w:val="20"/>
                <w:szCs w:val="20"/>
                <w:lang w:val="fr-FR"/>
              </w:rPr>
              <w:t xml:space="preserve"> </w:t>
            </w:r>
            <w:r w:rsidRPr="0053423A">
              <w:rPr>
                <w:rFonts w:eastAsia="Calibri" w:cs="Times New Roman"/>
                <w:spacing w:val="-4"/>
                <w:sz w:val="20"/>
                <w:szCs w:val="20"/>
              </w:rPr>
              <w:t>պետական</w:t>
            </w:r>
            <w:r w:rsidRPr="0053423A">
              <w:rPr>
                <w:rFonts w:eastAsia="Calibri" w:cs="Times New Roman"/>
                <w:spacing w:val="-4"/>
                <w:sz w:val="20"/>
                <w:szCs w:val="20"/>
                <w:lang w:val="fr-FR"/>
              </w:rPr>
              <w:t xml:space="preserve"> </w:t>
            </w:r>
            <w:r w:rsidRPr="0053423A">
              <w:rPr>
                <w:rFonts w:eastAsia="Calibri" w:cs="Times New Roman"/>
                <w:spacing w:val="-4"/>
                <w:sz w:val="20"/>
                <w:szCs w:val="20"/>
              </w:rPr>
              <w:t>ֆինանսավորման</w:t>
            </w:r>
            <w:r w:rsidRPr="0053423A">
              <w:rPr>
                <w:rFonts w:eastAsia="Calibri" w:cs="Times New Roman"/>
                <w:spacing w:val="-4"/>
                <w:sz w:val="20"/>
                <w:szCs w:val="20"/>
                <w:lang w:val="fr-FR"/>
              </w:rPr>
              <w:t xml:space="preserve"> </w:t>
            </w:r>
            <w:r w:rsidRPr="0053423A">
              <w:rPr>
                <w:rFonts w:eastAsia="Calibri" w:cs="Times New Roman"/>
                <w:spacing w:val="-4"/>
                <w:sz w:val="20"/>
                <w:szCs w:val="20"/>
              </w:rPr>
              <w:t>առաջնահերթութ</w:t>
            </w:r>
            <w:r w:rsidRPr="0053423A">
              <w:rPr>
                <w:spacing w:val="-4"/>
                <w:sz w:val="20"/>
                <w:szCs w:val="20"/>
              </w:rPr>
              <w:t>յունները</w:t>
            </w:r>
            <w:r w:rsidRPr="0053423A">
              <w:rPr>
                <w:spacing w:val="-4"/>
                <w:sz w:val="20"/>
                <w:szCs w:val="20"/>
                <w:lang w:val="fr-FR"/>
              </w:rPr>
              <w:t>:</w:t>
            </w:r>
          </w:p>
          <w:p w:rsidR="00154773" w:rsidRPr="0053423A" w:rsidRDefault="00154773" w:rsidP="00154773">
            <w:pPr>
              <w:ind w:left="426" w:firstLine="374"/>
              <w:rPr>
                <w:rFonts w:eastAsia="Times New Roman" w:cs="Times New Roman"/>
                <w:b/>
                <w:sz w:val="20"/>
                <w:szCs w:val="20"/>
                <w:lang w:val="fr-FR"/>
              </w:rPr>
            </w:pPr>
          </w:p>
          <w:p w:rsidR="00154773" w:rsidRPr="0053423A" w:rsidRDefault="00154773" w:rsidP="00154773">
            <w:pPr>
              <w:ind w:firstLine="450"/>
              <w:jc w:val="both"/>
              <w:rPr>
                <w:rFonts w:cs="Arial Armenian"/>
                <w:b/>
                <w:sz w:val="20"/>
                <w:szCs w:val="20"/>
                <w:u w:val="single"/>
                <w:lang w:val="fr-FR"/>
              </w:rPr>
            </w:pPr>
          </w:p>
          <w:p w:rsidR="00154773" w:rsidRPr="0053423A" w:rsidRDefault="00154773" w:rsidP="00154773">
            <w:pPr>
              <w:ind w:firstLine="450"/>
              <w:jc w:val="both"/>
              <w:rPr>
                <w:spacing w:val="-4"/>
                <w:sz w:val="20"/>
                <w:szCs w:val="20"/>
                <w:lang w:val="fr-FR"/>
              </w:rPr>
            </w:pPr>
            <w:r w:rsidRPr="0053423A">
              <w:rPr>
                <w:rFonts w:eastAsia="Times New Roman" w:cs="Times New Roman"/>
                <w:b/>
                <w:sz w:val="20"/>
                <w:szCs w:val="20"/>
                <w:lang w:val="fr-FR"/>
              </w:rPr>
              <w:t>2.</w:t>
            </w:r>
            <w:r w:rsidRPr="0053423A">
              <w:rPr>
                <w:rFonts w:eastAsia="Times New Roman" w:cs="Times New Roman"/>
                <w:b/>
                <w:sz w:val="20"/>
                <w:szCs w:val="20"/>
                <w:lang w:val="hy-AM"/>
              </w:rPr>
              <w:t>Միջոցառման իրականացումից ակնկալվող արդյունքը</w:t>
            </w:r>
            <w:r w:rsidRPr="0053423A">
              <w:rPr>
                <w:spacing w:val="-4"/>
                <w:sz w:val="20"/>
                <w:szCs w:val="20"/>
                <w:lang w:val="fr-FR"/>
              </w:rPr>
              <w:t xml:space="preserve"> </w:t>
            </w:r>
          </w:p>
          <w:p w:rsidR="00154773" w:rsidRPr="0053423A" w:rsidRDefault="00154773" w:rsidP="00154773">
            <w:pPr>
              <w:ind w:firstLine="450"/>
              <w:jc w:val="both"/>
              <w:rPr>
                <w:spacing w:val="-4"/>
                <w:sz w:val="20"/>
                <w:szCs w:val="20"/>
                <w:lang w:val="fr-FR"/>
              </w:rPr>
            </w:pPr>
          </w:p>
          <w:p w:rsidR="00154773" w:rsidRPr="0053423A" w:rsidRDefault="00154773" w:rsidP="00154773">
            <w:pPr>
              <w:ind w:firstLine="342"/>
              <w:jc w:val="both"/>
              <w:rPr>
                <w:rFonts w:eastAsia="Times New Roman" w:cs="Times New Roman"/>
                <w:b/>
                <w:sz w:val="20"/>
                <w:szCs w:val="20"/>
                <w:lang w:val="hy-AM"/>
              </w:rPr>
            </w:pPr>
            <w:r w:rsidRPr="0053423A">
              <w:rPr>
                <w:spacing w:val="-4"/>
                <w:sz w:val="20"/>
                <w:szCs w:val="20"/>
                <w:lang w:val="fr-FR"/>
              </w:rPr>
              <w:t xml:space="preserve">2020-2024 </w:t>
            </w:r>
            <w:r w:rsidRPr="0053423A">
              <w:rPr>
                <w:spacing w:val="-4"/>
                <w:sz w:val="20"/>
                <w:szCs w:val="20"/>
              </w:rPr>
              <w:t>թվականներին</w:t>
            </w:r>
            <w:r w:rsidRPr="0053423A">
              <w:rPr>
                <w:spacing w:val="-4"/>
                <w:sz w:val="20"/>
                <w:szCs w:val="20"/>
                <w:lang w:val="fr-FR"/>
              </w:rPr>
              <w:t xml:space="preserve"> </w:t>
            </w:r>
            <w:r w:rsidRPr="0053423A">
              <w:rPr>
                <w:spacing w:val="-4"/>
                <w:sz w:val="20"/>
                <w:szCs w:val="20"/>
              </w:rPr>
              <w:t>իրականացվելիք</w:t>
            </w:r>
            <w:r w:rsidRPr="0053423A">
              <w:rPr>
                <w:spacing w:val="-4"/>
                <w:sz w:val="20"/>
                <w:szCs w:val="20"/>
                <w:lang w:val="fr-FR"/>
              </w:rPr>
              <w:t xml:space="preserve"> </w:t>
            </w:r>
            <w:r w:rsidRPr="0053423A">
              <w:rPr>
                <w:spacing w:val="-4"/>
                <w:sz w:val="20"/>
                <w:szCs w:val="20"/>
              </w:rPr>
              <w:t>գիտական</w:t>
            </w:r>
            <w:r w:rsidRPr="0053423A">
              <w:rPr>
                <w:spacing w:val="-4"/>
                <w:sz w:val="20"/>
                <w:szCs w:val="20"/>
                <w:lang w:val="fr-FR"/>
              </w:rPr>
              <w:t xml:space="preserve"> </w:t>
            </w:r>
            <w:r w:rsidRPr="0053423A">
              <w:rPr>
                <w:spacing w:val="-4"/>
                <w:sz w:val="20"/>
                <w:szCs w:val="20"/>
              </w:rPr>
              <w:t>և</w:t>
            </w:r>
            <w:r w:rsidRPr="0053423A">
              <w:rPr>
                <w:spacing w:val="-4"/>
                <w:sz w:val="20"/>
                <w:szCs w:val="20"/>
                <w:lang w:val="fr-FR"/>
              </w:rPr>
              <w:t xml:space="preserve"> </w:t>
            </w:r>
            <w:r w:rsidRPr="0053423A">
              <w:rPr>
                <w:spacing w:val="-4"/>
                <w:sz w:val="20"/>
                <w:szCs w:val="20"/>
              </w:rPr>
              <w:t>գիտատեխնիկական</w:t>
            </w:r>
            <w:r w:rsidRPr="0053423A">
              <w:rPr>
                <w:spacing w:val="-4"/>
                <w:sz w:val="20"/>
                <w:szCs w:val="20"/>
                <w:lang w:val="fr-FR"/>
              </w:rPr>
              <w:t xml:space="preserve"> </w:t>
            </w:r>
            <w:r w:rsidRPr="0053423A">
              <w:rPr>
                <w:spacing w:val="-4"/>
                <w:sz w:val="20"/>
                <w:szCs w:val="20"/>
              </w:rPr>
              <w:t>գործունեության</w:t>
            </w:r>
            <w:r w:rsidRPr="0053423A">
              <w:rPr>
                <w:spacing w:val="-4"/>
                <w:sz w:val="20"/>
                <w:szCs w:val="20"/>
                <w:lang w:val="fr-FR"/>
              </w:rPr>
              <w:t xml:space="preserve"> </w:t>
            </w:r>
            <w:r w:rsidRPr="0053423A">
              <w:rPr>
                <w:spacing w:val="-4"/>
                <w:sz w:val="20"/>
                <w:szCs w:val="20"/>
              </w:rPr>
              <w:t>պետական</w:t>
            </w:r>
            <w:r w:rsidRPr="0053423A">
              <w:rPr>
                <w:spacing w:val="-4"/>
                <w:sz w:val="20"/>
                <w:szCs w:val="20"/>
                <w:lang w:val="fr-FR"/>
              </w:rPr>
              <w:t xml:space="preserve"> </w:t>
            </w:r>
            <w:r w:rsidRPr="0053423A">
              <w:rPr>
                <w:spacing w:val="-4"/>
                <w:sz w:val="20"/>
                <w:szCs w:val="20"/>
              </w:rPr>
              <w:t>ծրագրերի</w:t>
            </w:r>
            <w:r w:rsidRPr="0053423A">
              <w:rPr>
                <w:spacing w:val="-4"/>
                <w:sz w:val="20"/>
                <w:szCs w:val="20"/>
                <w:lang w:val="fr-FR"/>
              </w:rPr>
              <w:t xml:space="preserve"> </w:t>
            </w:r>
            <w:r w:rsidRPr="0053423A">
              <w:rPr>
                <w:spacing w:val="-4"/>
                <w:sz w:val="20"/>
                <w:szCs w:val="20"/>
              </w:rPr>
              <w:t>և</w:t>
            </w:r>
            <w:r w:rsidRPr="0053423A">
              <w:rPr>
                <w:spacing w:val="-4"/>
                <w:sz w:val="20"/>
                <w:szCs w:val="20"/>
                <w:lang w:val="fr-FR"/>
              </w:rPr>
              <w:t xml:space="preserve"> </w:t>
            </w:r>
            <w:r w:rsidRPr="0053423A">
              <w:rPr>
                <w:spacing w:val="-4"/>
                <w:sz w:val="20"/>
                <w:szCs w:val="20"/>
              </w:rPr>
              <w:t>թեմաների</w:t>
            </w:r>
            <w:r w:rsidRPr="0053423A">
              <w:rPr>
                <w:spacing w:val="-4"/>
                <w:sz w:val="20"/>
                <w:szCs w:val="20"/>
                <w:lang w:val="fr-FR"/>
              </w:rPr>
              <w:t xml:space="preserve"> </w:t>
            </w:r>
            <w:r w:rsidRPr="0053423A">
              <w:rPr>
                <w:spacing w:val="-4"/>
                <w:sz w:val="20"/>
                <w:szCs w:val="20"/>
              </w:rPr>
              <w:t>համապատասխանեցում</w:t>
            </w:r>
            <w:r w:rsidRPr="0053423A">
              <w:rPr>
                <w:spacing w:val="-4"/>
                <w:sz w:val="20"/>
                <w:szCs w:val="20"/>
                <w:lang w:val="fr-FR"/>
              </w:rPr>
              <w:t xml:space="preserve"> </w:t>
            </w:r>
            <w:r w:rsidRPr="0053423A">
              <w:rPr>
                <w:spacing w:val="-4"/>
                <w:sz w:val="20"/>
                <w:szCs w:val="20"/>
              </w:rPr>
              <w:t>հանրապետության</w:t>
            </w:r>
            <w:r w:rsidRPr="0053423A">
              <w:rPr>
                <w:spacing w:val="-4"/>
                <w:sz w:val="20"/>
                <w:szCs w:val="20"/>
                <w:lang w:val="fr-FR"/>
              </w:rPr>
              <w:t xml:space="preserve"> </w:t>
            </w:r>
            <w:r w:rsidRPr="0053423A">
              <w:rPr>
                <w:spacing w:val="-4"/>
                <w:sz w:val="20"/>
                <w:szCs w:val="20"/>
              </w:rPr>
              <w:t>գիտական</w:t>
            </w:r>
            <w:r w:rsidRPr="0053423A">
              <w:rPr>
                <w:spacing w:val="-4"/>
                <w:sz w:val="20"/>
                <w:szCs w:val="20"/>
                <w:lang w:val="fr-FR"/>
              </w:rPr>
              <w:t xml:space="preserve"> </w:t>
            </w:r>
            <w:r w:rsidRPr="0053423A">
              <w:rPr>
                <w:spacing w:val="-4"/>
                <w:sz w:val="20"/>
                <w:szCs w:val="20"/>
              </w:rPr>
              <w:t>ներուժի</w:t>
            </w:r>
            <w:r w:rsidRPr="0053423A">
              <w:rPr>
                <w:spacing w:val="-4"/>
                <w:sz w:val="20"/>
                <w:szCs w:val="20"/>
                <w:lang w:val="fr-FR"/>
              </w:rPr>
              <w:t xml:space="preserve"> </w:t>
            </w:r>
            <w:r w:rsidRPr="0053423A">
              <w:rPr>
                <w:spacing w:val="-4"/>
                <w:sz w:val="20"/>
                <w:szCs w:val="20"/>
              </w:rPr>
              <w:t>առկա</w:t>
            </w:r>
            <w:r w:rsidRPr="0053423A">
              <w:rPr>
                <w:spacing w:val="-4"/>
                <w:sz w:val="20"/>
                <w:szCs w:val="20"/>
                <w:lang w:val="fr-FR"/>
              </w:rPr>
              <w:t xml:space="preserve"> </w:t>
            </w:r>
            <w:r w:rsidRPr="0053423A">
              <w:rPr>
                <w:spacing w:val="-4"/>
                <w:sz w:val="20"/>
                <w:szCs w:val="20"/>
              </w:rPr>
              <w:t>հնարավորություններին</w:t>
            </w:r>
            <w:r w:rsidRPr="0053423A">
              <w:rPr>
                <w:spacing w:val="-4"/>
                <w:sz w:val="20"/>
                <w:szCs w:val="20"/>
                <w:lang w:val="fr-FR"/>
              </w:rPr>
              <w:t xml:space="preserve"> </w:t>
            </w:r>
            <w:r w:rsidRPr="0053423A">
              <w:rPr>
                <w:spacing w:val="-4"/>
                <w:sz w:val="20"/>
                <w:szCs w:val="20"/>
              </w:rPr>
              <w:t>և</w:t>
            </w:r>
            <w:r w:rsidRPr="0053423A">
              <w:rPr>
                <w:spacing w:val="-4"/>
                <w:sz w:val="20"/>
                <w:szCs w:val="20"/>
                <w:lang w:val="fr-FR"/>
              </w:rPr>
              <w:t xml:space="preserve"> </w:t>
            </w:r>
            <w:r w:rsidRPr="0053423A">
              <w:rPr>
                <w:spacing w:val="-4"/>
                <w:sz w:val="20"/>
                <w:szCs w:val="20"/>
              </w:rPr>
              <w:t>ունեցած</w:t>
            </w:r>
            <w:r w:rsidRPr="0053423A">
              <w:rPr>
                <w:spacing w:val="-4"/>
                <w:sz w:val="20"/>
                <w:szCs w:val="20"/>
                <w:lang w:val="fr-FR"/>
              </w:rPr>
              <w:t xml:space="preserve"> </w:t>
            </w:r>
            <w:r w:rsidRPr="0053423A">
              <w:rPr>
                <w:spacing w:val="-4"/>
                <w:sz w:val="20"/>
                <w:szCs w:val="20"/>
              </w:rPr>
              <w:t>ձեռքբերումներին</w:t>
            </w:r>
            <w:r w:rsidRPr="0053423A">
              <w:rPr>
                <w:spacing w:val="-4"/>
                <w:sz w:val="20"/>
                <w:szCs w:val="20"/>
                <w:lang w:val="fr-FR"/>
              </w:rPr>
              <w:t xml:space="preserve">, </w:t>
            </w:r>
            <w:r w:rsidRPr="0053423A">
              <w:rPr>
                <w:spacing w:val="-4"/>
                <w:sz w:val="20"/>
                <w:szCs w:val="20"/>
              </w:rPr>
              <w:t>ինչպես</w:t>
            </w:r>
            <w:r w:rsidRPr="0053423A">
              <w:rPr>
                <w:spacing w:val="-4"/>
                <w:sz w:val="20"/>
                <w:szCs w:val="20"/>
                <w:lang w:val="fr-FR"/>
              </w:rPr>
              <w:t xml:space="preserve"> </w:t>
            </w:r>
            <w:r w:rsidRPr="0053423A">
              <w:rPr>
                <w:spacing w:val="-4"/>
                <w:sz w:val="20"/>
                <w:szCs w:val="20"/>
              </w:rPr>
              <w:t>նաև</w:t>
            </w:r>
            <w:r w:rsidRPr="0053423A">
              <w:rPr>
                <w:spacing w:val="-4"/>
                <w:sz w:val="20"/>
                <w:szCs w:val="20"/>
                <w:lang w:val="fr-FR"/>
              </w:rPr>
              <w:t xml:space="preserve"> </w:t>
            </w:r>
            <w:r w:rsidRPr="0053423A">
              <w:rPr>
                <w:spacing w:val="-4"/>
                <w:sz w:val="20"/>
                <w:szCs w:val="20"/>
              </w:rPr>
              <w:t>գիտության</w:t>
            </w:r>
            <w:r w:rsidRPr="0053423A">
              <w:rPr>
                <w:spacing w:val="-4"/>
                <w:sz w:val="20"/>
                <w:szCs w:val="20"/>
                <w:lang w:val="fr-FR"/>
              </w:rPr>
              <w:t xml:space="preserve"> </w:t>
            </w:r>
            <w:r w:rsidRPr="0053423A">
              <w:rPr>
                <w:spacing w:val="-4"/>
                <w:sz w:val="20"/>
                <w:szCs w:val="20"/>
              </w:rPr>
              <w:t>և</w:t>
            </w:r>
            <w:r w:rsidRPr="0053423A">
              <w:rPr>
                <w:spacing w:val="-4"/>
                <w:sz w:val="20"/>
                <w:szCs w:val="20"/>
                <w:lang w:val="fr-FR"/>
              </w:rPr>
              <w:t xml:space="preserve"> </w:t>
            </w:r>
            <w:r w:rsidRPr="0053423A">
              <w:rPr>
                <w:spacing w:val="-4"/>
                <w:sz w:val="20"/>
                <w:szCs w:val="20"/>
              </w:rPr>
              <w:t>տեխնիկայի</w:t>
            </w:r>
            <w:r w:rsidRPr="0053423A">
              <w:rPr>
                <w:spacing w:val="-4"/>
                <w:sz w:val="20"/>
                <w:szCs w:val="20"/>
                <w:lang w:val="fr-FR"/>
              </w:rPr>
              <w:t xml:space="preserve"> </w:t>
            </w:r>
            <w:r w:rsidRPr="0053423A">
              <w:rPr>
                <w:spacing w:val="-4"/>
                <w:sz w:val="20"/>
                <w:szCs w:val="20"/>
              </w:rPr>
              <w:t>զարգացման</w:t>
            </w:r>
            <w:r w:rsidRPr="0053423A">
              <w:rPr>
                <w:spacing w:val="-4"/>
                <w:sz w:val="20"/>
                <w:szCs w:val="20"/>
                <w:lang w:val="fr-FR"/>
              </w:rPr>
              <w:t xml:space="preserve"> </w:t>
            </w:r>
            <w:r w:rsidRPr="0053423A">
              <w:rPr>
                <w:spacing w:val="-4"/>
                <w:sz w:val="20"/>
                <w:szCs w:val="20"/>
              </w:rPr>
              <w:t>համաշխարհային</w:t>
            </w:r>
            <w:r w:rsidRPr="0053423A">
              <w:rPr>
                <w:spacing w:val="-4"/>
                <w:sz w:val="20"/>
                <w:szCs w:val="20"/>
                <w:lang w:val="fr-FR"/>
              </w:rPr>
              <w:t xml:space="preserve"> </w:t>
            </w:r>
            <w:r w:rsidRPr="0053423A">
              <w:rPr>
                <w:spacing w:val="-4"/>
                <w:sz w:val="20"/>
                <w:szCs w:val="20"/>
              </w:rPr>
              <w:t>միտումներին</w:t>
            </w:r>
            <w:r w:rsidRPr="0053423A">
              <w:rPr>
                <w:spacing w:val="-4"/>
                <w:sz w:val="20"/>
                <w:szCs w:val="20"/>
                <w:lang w:val="fr-FR"/>
              </w:rPr>
              <w:t xml:space="preserve">: </w:t>
            </w:r>
            <w:r w:rsidRPr="0053423A">
              <w:rPr>
                <w:spacing w:val="-4"/>
                <w:sz w:val="20"/>
                <w:szCs w:val="20"/>
              </w:rPr>
              <w:t>Հասցեական</w:t>
            </w:r>
            <w:r w:rsidRPr="0053423A">
              <w:rPr>
                <w:spacing w:val="-4"/>
                <w:sz w:val="20"/>
                <w:szCs w:val="20"/>
                <w:lang w:val="fr-FR"/>
              </w:rPr>
              <w:t xml:space="preserve">, </w:t>
            </w:r>
            <w:r w:rsidRPr="0053423A">
              <w:rPr>
                <w:spacing w:val="-4"/>
                <w:sz w:val="20"/>
                <w:szCs w:val="20"/>
              </w:rPr>
              <w:t>այդ</w:t>
            </w:r>
            <w:r w:rsidRPr="0053423A">
              <w:rPr>
                <w:spacing w:val="-4"/>
                <w:sz w:val="20"/>
                <w:szCs w:val="20"/>
                <w:lang w:val="fr-FR"/>
              </w:rPr>
              <w:t xml:space="preserve"> </w:t>
            </w:r>
            <w:r w:rsidRPr="0053423A">
              <w:rPr>
                <w:spacing w:val="-4"/>
                <w:sz w:val="20"/>
                <w:szCs w:val="20"/>
              </w:rPr>
              <w:t>թվում</w:t>
            </w:r>
            <w:r w:rsidRPr="0053423A">
              <w:rPr>
                <w:spacing w:val="-4"/>
                <w:sz w:val="20"/>
                <w:szCs w:val="20"/>
                <w:lang w:val="fr-FR"/>
              </w:rPr>
              <w:t xml:space="preserve">` </w:t>
            </w:r>
            <w:r w:rsidRPr="0053423A">
              <w:rPr>
                <w:spacing w:val="-4"/>
                <w:sz w:val="20"/>
                <w:szCs w:val="20"/>
              </w:rPr>
              <w:t>նաև</w:t>
            </w:r>
            <w:r w:rsidRPr="0053423A">
              <w:rPr>
                <w:spacing w:val="-4"/>
                <w:sz w:val="20"/>
                <w:szCs w:val="20"/>
                <w:lang w:val="fr-FR"/>
              </w:rPr>
              <w:t xml:space="preserve"> </w:t>
            </w:r>
            <w:r w:rsidRPr="0053423A">
              <w:rPr>
                <w:spacing w:val="-4"/>
                <w:sz w:val="20"/>
                <w:szCs w:val="20"/>
              </w:rPr>
              <w:t>հանրապետության</w:t>
            </w:r>
            <w:r w:rsidRPr="0053423A">
              <w:rPr>
                <w:spacing w:val="-4"/>
                <w:sz w:val="20"/>
                <w:szCs w:val="20"/>
                <w:lang w:val="fr-FR"/>
              </w:rPr>
              <w:t xml:space="preserve"> </w:t>
            </w:r>
            <w:r w:rsidRPr="0053423A">
              <w:rPr>
                <w:spacing w:val="-4"/>
                <w:sz w:val="20"/>
                <w:szCs w:val="20"/>
              </w:rPr>
              <w:t>տնտեսության</w:t>
            </w:r>
            <w:r w:rsidRPr="0053423A">
              <w:rPr>
                <w:spacing w:val="-4"/>
                <w:sz w:val="20"/>
                <w:szCs w:val="20"/>
                <w:lang w:val="fr-FR"/>
              </w:rPr>
              <w:t xml:space="preserve"> </w:t>
            </w:r>
            <w:r w:rsidRPr="0053423A">
              <w:rPr>
                <w:spacing w:val="-4"/>
                <w:sz w:val="20"/>
                <w:szCs w:val="20"/>
              </w:rPr>
              <w:t>պահանջներից</w:t>
            </w:r>
            <w:r w:rsidRPr="0053423A">
              <w:rPr>
                <w:spacing w:val="-4"/>
                <w:sz w:val="20"/>
                <w:szCs w:val="20"/>
                <w:lang w:val="fr-FR"/>
              </w:rPr>
              <w:t xml:space="preserve"> </w:t>
            </w:r>
            <w:r w:rsidRPr="0053423A">
              <w:rPr>
                <w:spacing w:val="-4"/>
                <w:sz w:val="20"/>
                <w:szCs w:val="20"/>
              </w:rPr>
              <w:t>բխող</w:t>
            </w:r>
            <w:r w:rsidRPr="0053423A">
              <w:rPr>
                <w:spacing w:val="-4"/>
                <w:sz w:val="20"/>
                <w:szCs w:val="20"/>
                <w:lang w:val="fr-FR"/>
              </w:rPr>
              <w:t xml:space="preserve">, </w:t>
            </w:r>
            <w:r w:rsidRPr="0053423A">
              <w:rPr>
                <w:spacing w:val="-4"/>
                <w:sz w:val="20"/>
                <w:szCs w:val="20"/>
              </w:rPr>
              <w:t>հետազոտությունների</w:t>
            </w:r>
            <w:r w:rsidRPr="0053423A">
              <w:rPr>
                <w:spacing w:val="-4"/>
                <w:sz w:val="20"/>
                <w:szCs w:val="20"/>
                <w:lang w:val="fr-FR"/>
              </w:rPr>
              <w:t xml:space="preserve"> </w:t>
            </w:r>
            <w:r w:rsidRPr="0053423A">
              <w:rPr>
                <w:spacing w:val="-4"/>
                <w:sz w:val="20"/>
                <w:szCs w:val="20"/>
              </w:rPr>
              <w:t>և</w:t>
            </w:r>
            <w:r w:rsidRPr="0053423A">
              <w:rPr>
                <w:spacing w:val="-4"/>
                <w:sz w:val="20"/>
                <w:szCs w:val="20"/>
                <w:lang w:val="fr-FR"/>
              </w:rPr>
              <w:t xml:space="preserve"> </w:t>
            </w:r>
            <w:r w:rsidRPr="0053423A">
              <w:rPr>
                <w:spacing w:val="-4"/>
                <w:sz w:val="20"/>
                <w:szCs w:val="20"/>
              </w:rPr>
              <w:t>մշակումների</w:t>
            </w:r>
            <w:r w:rsidRPr="0053423A">
              <w:rPr>
                <w:spacing w:val="-4"/>
                <w:sz w:val="20"/>
                <w:szCs w:val="20"/>
                <w:lang w:val="fr-FR"/>
              </w:rPr>
              <w:t xml:space="preserve"> </w:t>
            </w:r>
            <w:r w:rsidRPr="0053423A">
              <w:rPr>
                <w:spacing w:val="-4"/>
                <w:sz w:val="20"/>
                <w:szCs w:val="20"/>
              </w:rPr>
              <w:t>իրականացում</w:t>
            </w:r>
            <w:r w:rsidRPr="0053423A">
              <w:rPr>
                <w:spacing w:val="-4"/>
                <w:sz w:val="20"/>
                <w:szCs w:val="20"/>
                <w:lang w:val="fr-FR"/>
              </w:rPr>
              <w:t xml:space="preserve">, </w:t>
            </w:r>
            <w:r w:rsidRPr="0053423A">
              <w:rPr>
                <w:spacing w:val="-4"/>
                <w:sz w:val="20"/>
                <w:szCs w:val="20"/>
              </w:rPr>
              <w:t>արդյունքում</w:t>
            </w:r>
            <w:r w:rsidRPr="0053423A">
              <w:rPr>
                <w:spacing w:val="-4"/>
                <w:sz w:val="20"/>
                <w:szCs w:val="20"/>
                <w:lang w:val="fr-FR"/>
              </w:rPr>
              <w:t xml:space="preserve">` </w:t>
            </w:r>
            <w:r w:rsidRPr="0053423A">
              <w:rPr>
                <w:spacing w:val="-4"/>
                <w:sz w:val="20"/>
                <w:szCs w:val="20"/>
              </w:rPr>
              <w:t>պետական</w:t>
            </w:r>
            <w:r w:rsidRPr="0053423A">
              <w:rPr>
                <w:spacing w:val="-4"/>
                <w:sz w:val="20"/>
                <w:szCs w:val="20"/>
                <w:lang w:val="fr-FR"/>
              </w:rPr>
              <w:t xml:space="preserve"> </w:t>
            </w:r>
            <w:r w:rsidRPr="0053423A">
              <w:rPr>
                <w:spacing w:val="-4"/>
                <w:sz w:val="20"/>
                <w:szCs w:val="20"/>
              </w:rPr>
              <w:t>բյուջեից</w:t>
            </w:r>
            <w:r w:rsidRPr="0053423A">
              <w:rPr>
                <w:spacing w:val="-4"/>
                <w:sz w:val="20"/>
                <w:szCs w:val="20"/>
                <w:lang w:val="fr-FR"/>
              </w:rPr>
              <w:t xml:space="preserve"> </w:t>
            </w:r>
            <w:r w:rsidRPr="0053423A">
              <w:rPr>
                <w:spacing w:val="-4"/>
                <w:sz w:val="20"/>
                <w:szCs w:val="20"/>
              </w:rPr>
              <w:t>հատկացվող</w:t>
            </w:r>
            <w:r w:rsidRPr="0053423A">
              <w:rPr>
                <w:spacing w:val="-4"/>
                <w:sz w:val="20"/>
                <w:szCs w:val="20"/>
                <w:lang w:val="fr-FR"/>
              </w:rPr>
              <w:t xml:space="preserve"> </w:t>
            </w:r>
            <w:r w:rsidRPr="0053423A">
              <w:rPr>
                <w:spacing w:val="-4"/>
                <w:sz w:val="20"/>
                <w:szCs w:val="20"/>
              </w:rPr>
              <w:t>ֆինանսական</w:t>
            </w:r>
            <w:r w:rsidRPr="0053423A">
              <w:rPr>
                <w:spacing w:val="-4"/>
                <w:sz w:val="20"/>
                <w:szCs w:val="20"/>
                <w:lang w:val="fr-FR"/>
              </w:rPr>
              <w:t xml:space="preserve"> </w:t>
            </w:r>
            <w:r w:rsidRPr="0053423A">
              <w:rPr>
                <w:spacing w:val="-4"/>
                <w:sz w:val="20"/>
                <w:szCs w:val="20"/>
              </w:rPr>
              <w:t>միջոցների</w:t>
            </w:r>
            <w:r w:rsidRPr="0053423A">
              <w:rPr>
                <w:spacing w:val="-4"/>
                <w:sz w:val="20"/>
                <w:szCs w:val="20"/>
                <w:lang w:val="fr-FR"/>
              </w:rPr>
              <w:t xml:space="preserve"> </w:t>
            </w:r>
            <w:r w:rsidRPr="0053423A">
              <w:rPr>
                <w:spacing w:val="-4"/>
                <w:sz w:val="20"/>
                <w:szCs w:val="20"/>
              </w:rPr>
              <w:t>օգտագործման</w:t>
            </w:r>
            <w:r w:rsidRPr="0053423A">
              <w:rPr>
                <w:spacing w:val="-4"/>
                <w:sz w:val="20"/>
                <w:szCs w:val="20"/>
                <w:lang w:val="fr-FR"/>
              </w:rPr>
              <w:t xml:space="preserve"> </w:t>
            </w:r>
            <w:r w:rsidRPr="0053423A">
              <w:rPr>
                <w:spacing w:val="-4"/>
                <w:sz w:val="20"/>
                <w:szCs w:val="20"/>
              </w:rPr>
              <w:t>արդյունավետության</w:t>
            </w:r>
            <w:r w:rsidRPr="0053423A">
              <w:rPr>
                <w:spacing w:val="-4"/>
                <w:sz w:val="20"/>
                <w:szCs w:val="20"/>
                <w:lang w:val="fr-FR"/>
              </w:rPr>
              <w:t xml:space="preserve"> </w:t>
            </w:r>
            <w:r w:rsidRPr="0053423A">
              <w:rPr>
                <w:spacing w:val="-4"/>
                <w:sz w:val="20"/>
                <w:szCs w:val="20"/>
              </w:rPr>
              <w:t>բարձրացում</w:t>
            </w:r>
            <w:r w:rsidRPr="0053423A">
              <w:rPr>
                <w:spacing w:val="-4"/>
                <w:sz w:val="20"/>
                <w:szCs w:val="20"/>
                <w:lang w:val="fr-FR"/>
              </w:rPr>
              <w:t>:</w:t>
            </w:r>
          </w:p>
        </w:tc>
      </w:tr>
      <w:tr w:rsidR="00154773" w:rsidRPr="0053423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ind w:firstLine="360"/>
              <w:jc w:val="center"/>
              <w:rPr>
                <w:rFonts w:eastAsia="Times New Roman" w:cs="Times New Roman"/>
                <w:b/>
                <w:sz w:val="20"/>
                <w:szCs w:val="20"/>
                <w:lang w:val="fr-FR"/>
              </w:rPr>
            </w:pPr>
            <w:r w:rsidRPr="0053423A">
              <w:rPr>
                <w:rFonts w:eastAsia="Times New Roman" w:cs="Times New Roman"/>
                <w:b/>
                <w:sz w:val="20"/>
                <w:szCs w:val="20"/>
                <w:u w:val="single"/>
                <w:lang w:val="fr-FR"/>
              </w:rPr>
              <w:t xml:space="preserve">22.6 </w:t>
            </w:r>
            <w:r w:rsidRPr="0053423A">
              <w:rPr>
                <w:rFonts w:eastAsia="Times New Roman" w:cs="Times New Roman"/>
                <w:b/>
                <w:sz w:val="20"/>
                <w:szCs w:val="20"/>
                <w:u w:val="single"/>
                <w:lang w:val="hy-AM"/>
              </w:rPr>
              <w:t>Տնտեսության</w:t>
            </w:r>
            <w:r w:rsidRPr="0053423A">
              <w:rPr>
                <w:rFonts w:eastAsia="Times New Roman" w:cs="Times New Roman"/>
                <w:b/>
                <w:sz w:val="20"/>
                <w:szCs w:val="20"/>
                <w:u w:val="single"/>
                <w:lang w:val="fr-FR"/>
              </w:rPr>
              <w:t xml:space="preserve"> </w:t>
            </w:r>
            <w:r w:rsidRPr="0053423A">
              <w:rPr>
                <w:rFonts w:eastAsia="Times New Roman" w:cs="Times New Roman"/>
                <w:b/>
                <w:sz w:val="20"/>
                <w:szCs w:val="20"/>
                <w:u w:val="single"/>
                <w:lang w:val="hy-AM"/>
              </w:rPr>
              <w:t>պահանջներից</w:t>
            </w:r>
            <w:r w:rsidRPr="0053423A">
              <w:rPr>
                <w:rFonts w:eastAsia="Times New Roman" w:cs="Times New Roman"/>
                <w:b/>
                <w:sz w:val="20"/>
                <w:szCs w:val="20"/>
                <w:u w:val="single"/>
                <w:lang w:val="fr-FR"/>
              </w:rPr>
              <w:t xml:space="preserve"> </w:t>
            </w:r>
            <w:r w:rsidRPr="0053423A">
              <w:rPr>
                <w:rFonts w:eastAsia="Times New Roman" w:cs="Times New Roman"/>
                <w:b/>
                <w:sz w:val="20"/>
                <w:szCs w:val="20"/>
                <w:u w:val="single"/>
                <w:lang w:val="hy-AM"/>
              </w:rPr>
              <w:t>բխող</w:t>
            </w:r>
            <w:r w:rsidRPr="0053423A">
              <w:rPr>
                <w:rFonts w:eastAsia="Times New Roman" w:cs="Times New Roman"/>
                <w:b/>
                <w:sz w:val="20"/>
                <w:szCs w:val="20"/>
                <w:u w:val="single"/>
                <w:lang w:val="fr-FR"/>
              </w:rPr>
              <w:t xml:space="preserve">, </w:t>
            </w:r>
            <w:r w:rsidRPr="0053423A">
              <w:rPr>
                <w:rFonts w:eastAsia="Times New Roman" w:cs="Times New Roman"/>
                <w:b/>
                <w:sz w:val="20"/>
                <w:szCs w:val="20"/>
                <w:u w:val="single"/>
                <w:lang w:val="hy-AM"/>
              </w:rPr>
              <w:t>ինչպես</w:t>
            </w:r>
            <w:r w:rsidRPr="0053423A">
              <w:rPr>
                <w:rFonts w:eastAsia="Times New Roman" w:cs="Times New Roman"/>
                <w:b/>
                <w:sz w:val="20"/>
                <w:szCs w:val="20"/>
                <w:u w:val="single"/>
                <w:lang w:val="fr-FR"/>
              </w:rPr>
              <w:t xml:space="preserve"> </w:t>
            </w:r>
            <w:r w:rsidRPr="0053423A">
              <w:rPr>
                <w:rFonts w:eastAsia="Times New Roman" w:cs="Times New Roman"/>
                <w:b/>
                <w:sz w:val="20"/>
                <w:szCs w:val="20"/>
                <w:u w:val="single"/>
                <w:lang w:val="hy-AM"/>
              </w:rPr>
              <w:t>նաև</w:t>
            </w:r>
            <w:r w:rsidRPr="0053423A">
              <w:rPr>
                <w:rFonts w:eastAsia="Times New Roman" w:cs="Times New Roman"/>
                <w:b/>
                <w:sz w:val="20"/>
                <w:szCs w:val="20"/>
                <w:u w:val="single"/>
                <w:lang w:val="fr-FR"/>
              </w:rPr>
              <w:t xml:space="preserve"> </w:t>
            </w:r>
            <w:r w:rsidRPr="0053423A">
              <w:rPr>
                <w:rFonts w:eastAsia="Times New Roman" w:cs="Times New Roman"/>
                <w:b/>
                <w:sz w:val="20"/>
                <w:szCs w:val="20"/>
                <w:u w:val="single"/>
                <w:lang w:val="hy-AM"/>
              </w:rPr>
              <w:t>երկակի</w:t>
            </w:r>
            <w:r w:rsidRPr="0053423A">
              <w:rPr>
                <w:rFonts w:eastAsia="Times New Roman" w:cs="Times New Roman"/>
                <w:b/>
                <w:sz w:val="20"/>
                <w:szCs w:val="20"/>
                <w:u w:val="single"/>
                <w:lang w:val="fr-FR"/>
              </w:rPr>
              <w:t xml:space="preserve"> </w:t>
            </w:r>
            <w:r w:rsidRPr="0053423A">
              <w:rPr>
                <w:rFonts w:eastAsia="Times New Roman" w:cs="Times New Roman"/>
                <w:b/>
                <w:sz w:val="20"/>
                <w:szCs w:val="20"/>
                <w:u w:val="single"/>
                <w:lang w:val="hy-AM"/>
              </w:rPr>
              <w:t>նշանակության</w:t>
            </w:r>
            <w:r w:rsidRPr="0053423A">
              <w:rPr>
                <w:rFonts w:eastAsia="Times New Roman" w:cs="Times New Roman"/>
                <w:b/>
                <w:sz w:val="20"/>
                <w:szCs w:val="20"/>
                <w:u w:val="single"/>
                <w:lang w:val="fr-FR"/>
              </w:rPr>
              <w:t xml:space="preserve"> </w:t>
            </w:r>
            <w:r w:rsidRPr="0053423A">
              <w:rPr>
                <w:rFonts w:eastAsia="Times New Roman" w:cs="Times New Roman"/>
                <w:b/>
                <w:sz w:val="20"/>
                <w:szCs w:val="20"/>
                <w:u w:val="single"/>
                <w:lang w:val="hy-AM"/>
              </w:rPr>
              <w:t>բարձր</w:t>
            </w:r>
            <w:r w:rsidRPr="0053423A">
              <w:rPr>
                <w:rFonts w:eastAsia="Times New Roman" w:cs="Times New Roman"/>
                <w:b/>
                <w:sz w:val="20"/>
                <w:szCs w:val="20"/>
                <w:u w:val="single"/>
                <w:lang w:val="fr-FR"/>
              </w:rPr>
              <w:t xml:space="preserve"> </w:t>
            </w:r>
            <w:r w:rsidRPr="0053423A">
              <w:rPr>
                <w:rFonts w:eastAsia="Times New Roman" w:cs="Times New Roman"/>
                <w:b/>
                <w:sz w:val="20"/>
                <w:szCs w:val="20"/>
                <w:u w:val="single"/>
                <w:lang w:val="hy-AM"/>
              </w:rPr>
              <w:t>տեխնոլոգիական</w:t>
            </w:r>
            <w:r w:rsidRPr="0053423A">
              <w:rPr>
                <w:rFonts w:eastAsia="Times New Roman" w:cs="Times New Roman"/>
                <w:b/>
                <w:sz w:val="20"/>
                <w:szCs w:val="20"/>
                <w:u w:val="single"/>
                <w:lang w:val="fr-FR"/>
              </w:rPr>
              <w:t xml:space="preserve"> </w:t>
            </w:r>
            <w:r w:rsidRPr="0053423A">
              <w:rPr>
                <w:rFonts w:eastAsia="Times New Roman" w:cs="Times New Roman"/>
                <w:b/>
                <w:sz w:val="20"/>
                <w:szCs w:val="20"/>
                <w:u w:val="single"/>
                <w:lang w:val="hy-AM"/>
              </w:rPr>
              <w:t>մրցունակ</w:t>
            </w:r>
            <w:r w:rsidRPr="0053423A">
              <w:rPr>
                <w:rFonts w:eastAsia="Times New Roman" w:cs="Times New Roman"/>
                <w:b/>
                <w:sz w:val="20"/>
                <w:szCs w:val="20"/>
                <w:u w:val="single"/>
                <w:lang w:val="fr-FR"/>
              </w:rPr>
              <w:t xml:space="preserve"> </w:t>
            </w:r>
            <w:r w:rsidRPr="0053423A">
              <w:rPr>
                <w:rFonts w:eastAsia="Times New Roman" w:cs="Times New Roman"/>
                <w:b/>
                <w:sz w:val="20"/>
                <w:szCs w:val="20"/>
                <w:u w:val="single"/>
                <w:lang w:val="hy-AM"/>
              </w:rPr>
              <w:t>արտադրանքի</w:t>
            </w:r>
            <w:r w:rsidRPr="0053423A">
              <w:rPr>
                <w:rFonts w:eastAsia="Times New Roman" w:cs="Times New Roman"/>
                <w:b/>
                <w:sz w:val="20"/>
                <w:szCs w:val="20"/>
                <w:u w:val="single"/>
                <w:lang w:val="fr-FR"/>
              </w:rPr>
              <w:t xml:space="preserve"> </w:t>
            </w:r>
            <w:r w:rsidRPr="0053423A">
              <w:rPr>
                <w:rFonts w:eastAsia="Times New Roman" w:cs="Times New Roman"/>
                <w:b/>
                <w:sz w:val="20"/>
                <w:szCs w:val="20"/>
                <w:u w:val="single"/>
                <w:lang w:val="hy-AM"/>
              </w:rPr>
              <w:t>ստեղծմանն</w:t>
            </w:r>
            <w:r w:rsidRPr="0053423A">
              <w:rPr>
                <w:rFonts w:eastAsia="Times New Roman" w:cs="Times New Roman"/>
                <w:b/>
                <w:sz w:val="20"/>
                <w:szCs w:val="20"/>
                <w:u w:val="single"/>
                <w:lang w:val="fr-FR"/>
              </w:rPr>
              <w:t xml:space="preserve"> </w:t>
            </w:r>
            <w:r w:rsidRPr="0053423A">
              <w:rPr>
                <w:rFonts w:eastAsia="Times New Roman" w:cs="Times New Roman"/>
                <w:b/>
                <w:sz w:val="20"/>
                <w:szCs w:val="20"/>
                <w:u w:val="single"/>
                <w:lang w:val="hy-AM"/>
              </w:rPr>
              <w:t>ուղղված</w:t>
            </w:r>
            <w:r w:rsidRPr="0053423A">
              <w:rPr>
                <w:rFonts w:eastAsia="Times New Roman" w:cs="Times New Roman"/>
                <w:b/>
                <w:sz w:val="20"/>
                <w:szCs w:val="20"/>
                <w:u w:val="single"/>
                <w:lang w:val="fr-FR"/>
              </w:rPr>
              <w:t xml:space="preserve"> </w:t>
            </w:r>
            <w:r w:rsidRPr="0053423A">
              <w:rPr>
                <w:rFonts w:eastAsia="Times New Roman" w:cs="Times New Roman"/>
                <w:b/>
                <w:sz w:val="20"/>
                <w:szCs w:val="20"/>
                <w:u w:val="single"/>
                <w:lang w:val="hy-AM"/>
              </w:rPr>
              <w:t>մեխանիզմների</w:t>
            </w:r>
            <w:r w:rsidRPr="0053423A">
              <w:rPr>
                <w:rFonts w:eastAsia="Times New Roman" w:cs="Times New Roman"/>
                <w:b/>
                <w:sz w:val="20"/>
                <w:szCs w:val="20"/>
                <w:u w:val="single"/>
                <w:lang w:val="fr-FR"/>
              </w:rPr>
              <w:t xml:space="preserve"> </w:t>
            </w:r>
            <w:r w:rsidRPr="0053423A">
              <w:rPr>
                <w:rFonts w:eastAsia="Times New Roman" w:cs="Times New Roman"/>
                <w:b/>
                <w:sz w:val="20"/>
                <w:szCs w:val="20"/>
                <w:u w:val="single"/>
                <w:lang w:val="hy-AM"/>
              </w:rPr>
              <w:t>մշակում</w:t>
            </w:r>
            <w:r w:rsidRPr="0053423A">
              <w:rPr>
                <w:rFonts w:eastAsia="Times New Roman" w:cs="Times New Roman"/>
                <w:b/>
                <w:sz w:val="20"/>
                <w:szCs w:val="20"/>
                <w:u w:val="single"/>
                <w:lang w:val="fr-FR"/>
              </w:rPr>
              <w:t xml:space="preserve"> </w:t>
            </w:r>
            <w:r w:rsidRPr="0053423A">
              <w:rPr>
                <w:rFonts w:eastAsia="Times New Roman" w:cs="Times New Roman"/>
                <w:b/>
                <w:sz w:val="20"/>
                <w:szCs w:val="20"/>
                <w:u w:val="single"/>
                <w:lang w:val="hy-AM"/>
              </w:rPr>
              <w:t>և</w:t>
            </w:r>
            <w:r w:rsidRPr="0053423A">
              <w:rPr>
                <w:rFonts w:eastAsia="Times New Roman" w:cs="Times New Roman"/>
                <w:b/>
                <w:sz w:val="20"/>
                <w:szCs w:val="20"/>
                <w:u w:val="single"/>
                <w:lang w:val="fr-FR"/>
              </w:rPr>
              <w:t xml:space="preserve"> </w:t>
            </w:r>
            <w:r w:rsidRPr="0053423A">
              <w:rPr>
                <w:rFonts w:eastAsia="Times New Roman" w:cs="Times New Roman"/>
                <w:b/>
                <w:sz w:val="20"/>
                <w:szCs w:val="20"/>
                <w:u w:val="single"/>
                <w:lang w:val="hy-AM"/>
              </w:rPr>
              <w:t>ներդրում</w:t>
            </w:r>
          </w:p>
          <w:p w:rsidR="00154773" w:rsidRPr="0053423A" w:rsidRDefault="00154773" w:rsidP="00154773">
            <w:pPr>
              <w:ind w:firstLine="360"/>
              <w:jc w:val="both"/>
              <w:rPr>
                <w:rFonts w:eastAsia="Times New Roman" w:cs="Times New Roman"/>
                <w:b/>
                <w:sz w:val="20"/>
                <w:szCs w:val="20"/>
                <w:lang w:val="fr-FR"/>
              </w:rPr>
            </w:pPr>
          </w:p>
          <w:p w:rsidR="00154773" w:rsidRPr="0053423A" w:rsidRDefault="00154773" w:rsidP="001F6D5D">
            <w:pPr>
              <w:numPr>
                <w:ilvl w:val="0"/>
                <w:numId w:val="481"/>
              </w:numPr>
              <w:contextualSpacing/>
              <w:rPr>
                <w:rFonts w:eastAsia="Times New Roman" w:cs="Times New Roman"/>
                <w:sz w:val="20"/>
                <w:szCs w:val="20"/>
              </w:rPr>
            </w:pPr>
            <w:r w:rsidRPr="0053423A">
              <w:rPr>
                <w:rFonts w:eastAsia="Times New Roman" w:cs="Times New Roman"/>
                <w:b/>
                <w:sz w:val="20"/>
                <w:szCs w:val="20"/>
                <w:lang w:val="hy-AM"/>
              </w:rPr>
              <w:t>Միջոցառման իրակա</w:t>
            </w:r>
            <w:r w:rsidRPr="0053423A">
              <w:rPr>
                <w:rFonts w:eastAsia="Times New Roman" w:cs="Times New Roman"/>
                <w:b/>
                <w:sz w:val="20"/>
                <w:szCs w:val="20"/>
              </w:rPr>
              <w:t>նա</w:t>
            </w:r>
            <w:r w:rsidRPr="0053423A">
              <w:rPr>
                <w:rFonts w:eastAsia="Times New Roman" w:cs="Times New Roman"/>
                <w:b/>
                <w:sz w:val="20"/>
                <w:szCs w:val="20"/>
                <w:lang w:val="hy-AM"/>
              </w:rPr>
              <w:t>ցման անհրաժեշտությունը և նպատակը</w:t>
            </w:r>
            <w:r w:rsidRPr="0053423A">
              <w:rPr>
                <w:rFonts w:eastAsia="Times New Roman" w:cs="Times New Roman"/>
                <w:sz w:val="20"/>
                <w:szCs w:val="20"/>
                <w:lang w:val="hy-AM"/>
              </w:rPr>
              <w:t xml:space="preserve"> </w:t>
            </w:r>
          </w:p>
          <w:p w:rsidR="00154773" w:rsidRPr="0053423A" w:rsidRDefault="00154773" w:rsidP="00154773">
            <w:pPr>
              <w:ind w:firstLine="360"/>
              <w:contextualSpacing/>
              <w:jc w:val="both"/>
              <w:rPr>
                <w:spacing w:val="-4"/>
                <w:sz w:val="20"/>
                <w:szCs w:val="20"/>
              </w:rPr>
            </w:pPr>
          </w:p>
          <w:p w:rsidR="00154773" w:rsidRPr="0053423A" w:rsidRDefault="00154773" w:rsidP="00154773">
            <w:pPr>
              <w:ind w:firstLine="360"/>
              <w:jc w:val="both"/>
              <w:rPr>
                <w:rFonts w:eastAsia="Times New Roman" w:cs="Times New Roman"/>
                <w:sz w:val="20"/>
                <w:szCs w:val="20"/>
              </w:rPr>
            </w:pPr>
            <w:r w:rsidRPr="0053423A">
              <w:rPr>
                <w:rFonts w:eastAsia="Times New Roman" w:cs="Times New Roman"/>
                <w:sz w:val="20"/>
                <w:szCs w:val="20"/>
              </w:rPr>
              <w:t xml:space="preserve">Միջոցառման գլխավոր նպատակն է գիտության ոլորտում իրականացվող ծրագրերի և միջոցառումների համապատասխանեցումը երկրի տնտեսության կարիքներին, հետազոտությունների իրականացման միջազգային արդի պահանջներին և սկզբունքներին: </w:t>
            </w:r>
          </w:p>
          <w:p w:rsidR="00154773" w:rsidRPr="0053423A" w:rsidRDefault="00154773" w:rsidP="00154773">
            <w:pPr>
              <w:ind w:firstLine="360"/>
              <w:contextualSpacing/>
              <w:jc w:val="both"/>
              <w:rPr>
                <w:spacing w:val="-4"/>
                <w:sz w:val="20"/>
                <w:szCs w:val="20"/>
              </w:rPr>
            </w:pPr>
            <w:r w:rsidRPr="0053423A">
              <w:rPr>
                <w:spacing w:val="-4"/>
                <w:sz w:val="20"/>
                <w:szCs w:val="20"/>
              </w:rPr>
              <w:t xml:space="preserve">Միջոցառման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rPr>
              <w:t>«</w:t>
            </w:r>
            <w:r w:rsidRPr="0053423A">
              <w:rPr>
                <w:spacing w:val="-4"/>
                <w:sz w:val="20"/>
                <w:szCs w:val="20"/>
              </w:rPr>
              <w:t>4.4 ԿՐԹՈՒԹՅՈՒՆ ԵՎ ԳԻՏՈՒԹՅՈՒՆ</w:t>
            </w:r>
            <w:r w:rsidRPr="0053423A">
              <w:rPr>
                <w:rFonts w:eastAsia="Times New Roman" w:cs="Times New Roman"/>
                <w:sz w:val="20"/>
                <w:szCs w:val="20"/>
              </w:rPr>
              <w:t xml:space="preserve">» բաժնի  3-րդ պարբերությունը  </w:t>
            </w:r>
            <w:r w:rsidRPr="0053423A">
              <w:rPr>
                <w:spacing w:val="-4"/>
                <w:sz w:val="20"/>
                <w:szCs w:val="20"/>
              </w:rPr>
              <w:t>Գիտության ոլորտի  1-ին և 5-րդ պարբերություններից՝ նպատակ ունենալով աջակցել և խթանել տնտեսության պահանջներից բխող, ինչպես նաև երկակի նշանակություն ունեցող գիտական արդյունքի ձեռքբերմանն ուղղված ծրագրերը:</w:t>
            </w:r>
          </w:p>
          <w:p w:rsidR="00154773" w:rsidRPr="0053423A" w:rsidRDefault="00154773" w:rsidP="00154773">
            <w:pPr>
              <w:ind w:left="426" w:firstLine="374"/>
              <w:jc w:val="both"/>
              <w:rPr>
                <w:spacing w:val="-4"/>
                <w:sz w:val="20"/>
                <w:szCs w:val="20"/>
              </w:rPr>
            </w:pPr>
          </w:p>
          <w:p w:rsidR="00154773" w:rsidRPr="0053423A" w:rsidRDefault="00154773" w:rsidP="00154773">
            <w:pPr>
              <w:spacing w:after="200" w:line="276" w:lineRule="auto"/>
              <w:rPr>
                <w:b/>
                <w:sz w:val="20"/>
                <w:szCs w:val="20"/>
              </w:rPr>
            </w:pPr>
            <w:r w:rsidRPr="0053423A">
              <w:rPr>
                <w:rFonts w:eastAsia="Times New Roman" w:cs="Times New Roman"/>
                <w:b/>
                <w:sz w:val="20"/>
                <w:szCs w:val="20"/>
              </w:rPr>
              <w:t xml:space="preserve">        1.1  </w:t>
            </w:r>
            <w:r w:rsidRPr="0053423A">
              <w:rPr>
                <w:rFonts w:cs="Sylfaen"/>
                <w:b/>
                <w:sz w:val="20"/>
                <w:szCs w:val="20"/>
                <w:lang w:val="hy-AM"/>
              </w:rPr>
              <w:t>կարգավորման</w:t>
            </w:r>
            <w:r w:rsidRPr="0053423A">
              <w:rPr>
                <w:b/>
                <w:sz w:val="20"/>
                <w:szCs w:val="20"/>
                <w:lang w:val="hy-AM"/>
              </w:rPr>
              <w:t xml:space="preserve"> </w:t>
            </w:r>
            <w:r w:rsidRPr="0053423A">
              <w:rPr>
                <w:rFonts w:cs="Sylfaen"/>
                <w:b/>
                <w:sz w:val="20"/>
                <w:szCs w:val="20"/>
                <w:lang w:val="hy-AM"/>
              </w:rPr>
              <w:t>հարաբերությունների</w:t>
            </w:r>
            <w:r w:rsidRPr="0053423A">
              <w:rPr>
                <w:b/>
                <w:sz w:val="20"/>
                <w:szCs w:val="20"/>
                <w:lang w:val="hy-AM"/>
              </w:rPr>
              <w:t xml:space="preserve"> </w:t>
            </w:r>
            <w:r w:rsidRPr="0053423A">
              <w:rPr>
                <w:rFonts w:cs="Sylfaen"/>
                <w:b/>
                <w:sz w:val="20"/>
                <w:szCs w:val="20"/>
                <w:lang w:val="hy-AM"/>
              </w:rPr>
              <w:t>ներկա</w:t>
            </w:r>
            <w:r w:rsidRPr="0053423A">
              <w:rPr>
                <w:b/>
                <w:sz w:val="20"/>
                <w:szCs w:val="20"/>
                <w:lang w:val="hy-AM"/>
              </w:rPr>
              <w:t xml:space="preserve"> </w:t>
            </w:r>
            <w:r w:rsidRPr="0053423A">
              <w:rPr>
                <w:rFonts w:cs="Sylfaen"/>
                <w:b/>
                <w:sz w:val="20"/>
                <w:szCs w:val="20"/>
                <w:lang w:val="hy-AM"/>
              </w:rPr>
              <w:t>վիճակը</w:t>
            </w:r>
            <w:r w:rsidRPr="0053423A">
              <w:rPr>
                <w:b/>
                <w:sz w:val="20"/>
                <w:szCs w:val="20"/>
                <w:lang w:val="hy-AM"/>
              </w:rPr>
              <w:t xml:space="preserve"> </w:t>
            </w:r>
            <w:r w:rsidRPr="0053423A">
              <w:rPr>
                <w:rFonts w:cs="Sylfaen"/>
                <w:b/>
                <w:sz w:val="20"/>
                <w:szCs w:val="20"/>
                <w:lang w:val="hy-AM"/>
              </w:rPr>
              <w:t>և</w:t>
            </w:r>
            <w:r w:rsidRPr="0053423A">
              <w:rPr>
                <w:b/>
                <w:sz w:val="20"/>
                <w:szCs w:val="20"/>
                <w:lang w:val="hy-AM"/>
              </w:rPr>
              <w:t xml:space="preserve"> </w:t>
            </w:r>
            <w:r w:rsidRPr="0053423A">
              <w:rPr>
                <w:rFonts w:cs="Sylfaen"/>
                <w:b/>
                <w:sz w:val="20"/>
                <w:szCs w:val="20"/>
                <w:lang w:val="hy-AM"/>
              </w:rPr>
              <w:t>առկա</w:t>
            </w:r>
            <w:r w:rsidRPr="0053423A">
              <w:rPr>
                <w:b/>
                <w:sz w:val="20"/>
                <w:szCs w:val="20"/>
                <w:lang w:val="hy-AM"/>
              </w:rPr>
              <w:t xml:space="preserve"> </w:t>
            </w:r>
            <w:r w:rsidRPr="0053423A">
              <w:rPr>
                <w:rFonts w:cs="Sylfaen"/>
                <w:b/>
                <w:sz w:val="20"/>
                <w:szCs w:val="20"/>
                <w:lang w:val="hy-AM"/>
              </w:rPr>
              <w:t>խնդիրները</w:t>
            </w:r>
            <w:r w:rsidRPr="0053423A">
              <w:rPr>
                <w:b/>
                <w:sz w:val="20"/>
                <w:szCs w:val="20"/>
                <w:lang w:val="hy-AM"/>
              </w:rPr>
              <w:t xml:space="preserve"> </w:t>
            </w:r>
          </w:p>
          <w:p w:rsidR="00154773" w:rsidRPr="0053423A" w:rsidRDefault="00154773" w:rsidP="00154773">
            <w:pPr>
              <w:ind w:firstLine="360"/>
              <w:jc w:val="both"/>
              <w:rPr>
                <w:rFonts w:eastAsia="Times New Roman" w:cs="Times New Roman"/>
                <w:b/>
                <w:sz w:val="20"/>
                <w:szCs w:val="20"/>
              </w:rPr>
            </w:pPr>
          </w:p>
          <w:p w:rsidR="00154773" w:rsidRPr="0053423A" w:rsidRDefault="00154773" w:rsidP="00154773">
            <w:pPr>
              <w:ind w:firstLine="360"/>
              <w:contextualSpacing/>
              <w:jc w:val="both"/>
              <w:rPr>
                <w:spacing w:val="-4"/>
                <w:sz w:val="20"/>
                <w:szCs w:val="20"/>
              </w:rPr>
            </w:pPr>
            <w:r w:rsidRPr="0053423A">
              <w:rPr>
                <w:spacing w:val="-4"/>
                <w:sz w:val="20"/>
                <w:szCs w:val="20"/>
              </w:rPr>
              <w:t xml:space="preserve">Ներկայումս գիտական և գիտատեխնիկական գործունեության պայմանագրային (թեմատիկ) ֆինանսավորման շրջանակներում իրականացվում են երկակի նշանակության և կիրառական արդյունքի ձեռքբերմանն ուղղված մրցույթներ, որոնք նպատակաուղղված են տնտեսության պահանջներից բխող հետազոտությունների խրախուսմանը: Սակայն, այսօր ժամանակի հրամայականն է, որպեսզի ՀՀ գիտության ոլորտը լինի միջազգայնորեն մրցունակ և երկրի տնտեսության կարիքներից բխող, ինչպես նաև երկակի նշանակության  հետազոտություններում գերազանցությունը խթանող համակարգ, որի համար անհրաժեշտ է քայլեր ձեռնարկել այդ ուղղություններում հետազոտությունների քանակն ավելացնելու նպատակով:  </w:t>
            </w:r>
          </w:p>
          <w:p w:rsidR="00154773" w:rsidRPr="0053423A" w:rsidRDefault="00154773" w:rsidP="00154773">
            <w:pPr>
              <w:ind w:firstLine="360"/>
              <w:jc w:val="both"/>
              <w:rPr>
                <w:rFonts w:cs="Arial Armenian"/>
                <w:sz w:val="20"/>
                <w:szCs w:val="20"/>
              </w:rPr>
            </w:pPr>
          </w:p>
          <w:p w:rsidR="00154773" w:rsidRPr="0053423A" w:rsidRDefault="00154773" w:rsidP="00154773">
            <w:pPr>
              <w:ind w:firstLine="360"/>
              <w:jc w:val="both"/>
              <w:rPr>
                <w:rFonts w:eastAsia="Times New Roman" w:cs="Times New Roman"/>
                <w:b/>
                <w:sz w:val="20"/>
                <w:szCs w:val="20"/>
              </w:rPr>
            </w:pPr>
            <w:r w:rsidRPr="0053423A">
              <w:rPr>
                <w:rFonts w:eastAsia="Times New Roman" w:cs="Times New Roman"/>
                <w:b/>
                <w:sz w:val="20"/>
                <w:szCs w:val="20"/>
              </w:rPr>
              <w:t>1.2.</w:t>
            </w:r>
            <w:r w:rsidRPr="0053423A">
              <w:rPr>
                <w:rFonts w:eastAsia="Times New Roman" w:cs="Times New Roman"/>
                <w:b/>
                <w:sz w:val="20"/>
                <w:szCs w:val="20"/>
                <w:lang w:val="hy-AM"/>
              </w:rPr>
              <w:t>առկա խնդիրների առաջարկվող լուծումները</w:t>
            </w:r>
          </w:p>
          <w:p w:rsidR="00154773" w:rsidRPr="0053423A" w:rsidRDefault="00154773" w:rsidP="00154773">
            <w:pPr>
              <w:ind w:firstLine="360"/>
              <w:jc w:val="both"/>
              <w:rPr>
                <w:rFonts w:eastAsia="Times New Roman" w:cs="Times New Roman"/>
                <w:b/>
                <w:sz w:val="20"/>
                <w:szCs w:val="20"/>
              </w:rPr>
            </w:pPr>
          </w:p>
          <w:p w:rsidR="00154773" w:rsidRPr="0053423A" w:rsidRDefault="00154773" w:rsidP="00154773">
            <w:pPr>
              <w:ind w:firstLine="360"/>
              <w:jc w:val="both"/>
              <w:rPr>
                <w:rFonts w:eastAsia="Times New Roman" w:cs="Times New Roman"/>
                <w:b/>
                <w:sz w:val="20"/>
                <w:szCs w:val="20"/>
              </w:rPr>
            </w:pPr>
            <w:r w:rsidRPr="0053423A">
              <w:rPr>
                <w:spacing w:val="-4"/>
                <w:sz w:val="20"/>
                <w:szCs w:val="20"/>
              </w:rPr>
              <w:t>Անհրաժեշտ է մշակել և ներդնել տնտեսության պահանջներից բխող, ինչպես նաև երկակի նշանակության բարձր տեխնոլոգիական մրցունակ արտադրանքի ստեղծմանն ուղղված մեխանիզմներ՝ այդ ուղղություններում իրականացվող հետազոտությունների քանակի ավելացման նպատակով:</w:t>
            </w:r>
          </w:p>
          <w:p w:rsidR="00154773" w:rsidRPr="0053423A" w:rsidRDefault="00154773" w:rsidP="00154773">
            <w:pPr>
              <w:ind w:left="426" w:firstLine="374"/>
              <w:jc w:val="both"/>
              <w:rPr>
                <w:rFonts w:cs="Arial Armenian"/>
                <w:sz w:val="20"/>
                <w:szCs w:val="20"/>
              </w:rPr>
            </w:pPr>
          </w:p>
          <w:p w:rsidR="00154773" w:rsidRPr="0053423A" w:rsidRDefault="00154773" w:rsidP="00154773">
            <w:pPr>
              <w:ind w:firstLine="450"/>
              <w:contextualSpacing/>
              <w:jc w:val="both"/>
              <w:rPr>
                <w:spacing w:val="-4"/>
                <w:sz w:val="20"/>
                <w:szCs w:val="20"/>
              </w:rPr>
            </w:pPr>
            <w:r w:rsidRPr="0053423A">
              <w:rPr>
                <w:rFonts w:eastAsia="Times New Roman" w:cs="Times New Roman"/>
                <w:b/>
                <w:sz w:val="20"/>
                <w:szCs w:val="20"/>
              </w:rPr>
              <w:t>2.</w:t>
            </w:r>
            <w:r w:rsidRPr="0053423A">
              <w:rPr>
                <w:rFonts w:eastAsia="Times New Roman" w:cs="Times New Roman"/>
                <w:b/>
                <w:sz w:val="20"/>
                <w:szCs w:val="20"/>
                <w:lang w:val="hy-AM"/>
              </w:rPr>
              <w:t>Միջոցառման իրականացումից ակնկալվող արդյունքը</w:t>
            </w:r>
            <w:r w:rsidRPr="0053423A">
              <w:rPr>
                <w:spacing w:val="-4"/>
                <w:sz w:val="20"/>
                <w:szCs w:val="20"/>
              </w:rPr>
              <w:t xml:space="preserve"> </w:t>
            </w:r>
          </w:p>
          <w:p w:rsidR="00154773" w:rsidRPr="0053423A" w:rsidRDefault="00154773" w:rsidP="00154773">
            <w:pPr>
              <w:ind w:firstLine="450"/>
              <w:contextualSpacing/>
              <w:jc w:val="both"/>
              <w:rPr>
                <w:spacing w:val="-4"/>
                <w:sz w:val="20"/>
                <w:szCs w:val="20"/>
              </w:rPr>
            </w:pPr>
          </w:p>
          <w:p w:rsidR="00154773" w:rsidRPr="0053423A" w:rsidRDefault="00154773" w:rsidP="00154773">
            <w:pPr>
              <w:tabs>
                <w:tab w:val="left" w:pos="184"/>
              </w:tabs>
              <w:rPr>
                <w:rFonts w:eastAsia="Times New Roman" w:cs="Times New Roman"/>
                <w:b/>
                <w:sz w:val="20"/>
                <w:szCs w:val="20"/>
                <w:lang w:val="hy-AM"/>
              </w:rPr>
            </w:pPr>
            <w:r w:rsidRPr="0053423A">
              <w:rPr>
                <w:spacing w:val="-4"/>
                <w:sz w:val="20"/>
                <w:szCs w:val="20"/>
              </w:rPr>
              <w:t xml:space="preserve">Տնտեսության պահանջներից բխող հետազոտությունների պատվերների ձևավորման մեխանիզմների առկայություն, </w:t>
            </w:r>
            <w:r w:rsidRPr="0053423A">
              <w:rPr>
                <w:rFonts w:cs="Sylfaen"/>
                <w:spacing w:val="-4"/>
                <w:sz w:val="20"/>
                <w:szCs w:val="20"/>
              </w:rPr>
              <w:t>ե</w:t>
            </w:r>
            <w:r w:rsidRPr="0053423A">
              <w:rPr>
                <w:spacing w:val="-4"/>
                <w:sz w:val="20"/>
                <w:szCs w:val="20"/>
              </w:rPr>
              <w:t>րկակի նշանակություն ունեցող գիտական արդյունքի ձեռքբերմանն ուղղված հետազոտությունների խրախուսման մեխանիզմների առկայություն:</w:t>
            </w:r>
          </w:p>
        </w:tc>
      </w:tr>
      <w:tr w:rsidR="00154773" w:rsidRPr="0053423A" w:rsidTr="00154773">
        <w:tc>
          <w:tcPr>
            <w:tcW w:w="720" w:type="dxa"/>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23</w:t>
            </w:r>
          </w:p>
        </w:tc>
        <w:tc>
          <w:tcPr>
            <w:tcW w:w="10620" w:type="dxa"/>
          </w:tcPr>
          <w:p w:rsidR="00154773" w:rsidRPr="0053423A" w:rsidRDefault="00154773" w:rsidP="00154773">
            <w:pPr>
              <w:ind w:left="426" w:firstLine="375"/>
              <w:jc w:val="center"/>
              <w:rPr>
                <w:rFonts w:eastAsia="Times New Roman" w:cs="Times New Roman"/>
                <w:b/>
                <w:sz w:val="20"/>
                <w:szCs w:val="20"/>
                <w:u w:val="single"/>
              </w:rPr>
            </w:pPr>
            <w:r w:rsidRPr="0053423A">
              <w:rPr>
                <w:rFonts w:eastAsia="Times New Roman" w:cs="Times New Roman"/>
                <w:b/>
                <w:sz w:val="20"/>
                <w:szCs w:val="20"/>
                <w:u w:val="single"/>
              </w:rPr>
              <w:t>23.1 «Գիտության ոլորտ երիտասարդ կադրերի ներգրավման ծրագիրը և ծրագրի իրականացման միջոցառումների ժամանակացույցը հաստատելու մասին» ՀՀ կառավարության որոշման նախագծի մշակում և ներկայացում ՀՀ վարչապետի աշխատակազմ</w:t>
            </w:r>
          </w:p>
          <w:p w:rsidR="00154773" w:rsidRPr="0053423A" w:rsidRDefault="00154773" w:rsidP="00154773">
            <w:pPr>
              <w:ind w:left="426" w:firstLine="375"/>
              <w:jc w:val="center"/>
              <w:rPr>
                <w:rFonts w:eastAsia="Times New Roman" w:cs="Times New Roman"/>
                <w:b/>
                <w:sz w:val="20"/>
                <w:szCs w:val="20"/>
                <w:u w:val="single"/>
              </w:rPr>
            </w:pPr>
          </w:p>
          <w:p w:rsidR="00154773" w:rsidRPr="0053423A" w:rsidRDefault="00154773" w:rsidP="00154773">
            <w:pPr>
              <w:ind w:left="426" w:firstLine="375"/>
              <w:jc w:val="center"/>
              <w:rPr>
                <w:b/>
                <w:sz w:val="20"/>
                <w:szCs w:val="20"/>
                <w:u w:val="single"/>
                <w:shd w:val="clear" w:color="auto" w:fill="FFFFFF"/>
              </w:rPr>
            </w:pPr>
            <w:r w:rsidRPr="0053423A">
              <w:rPr>
                <w:b/>
                <w:sz w:val="20"/>
                <w:szCs w:val="20"/>
                <w:u w:val="single"/>
              </w:rPr>
              <w:t xml:space="preserve">23.2 </w:t>
            </w:r>
            <w:r w:rsidRPr="0053423A">
              <w:rPr>
                <w:rFonts w:eastAsia="Times New Roman" w:cs="Times New Roman"/>
                <w:b/>
                <w:sz w:val="20"/>
                <w:szCs w:val="20"/>
                <w:u w:val="single"/>
              </w:rPr>
              <w:t>Օտարերկրյա պետություններում աշխատող</w:t>
            </w:r>
            <w:r w:rsidRPr="0053423A">
              <w:rPr>
                <w:b/>
                <w:sz w:val="20"/>
                <w:szCs w:val="20"/>
                <w:u w:val="single"/>
              </w:rPr>
              <w:t xml:space="preserve"> գիտական և (կամ) գիտակրթական կադրերի վերաինտեգրման ծրագրերի իրականացում</w:t>
            </w:r>
          </w:p>
          <w:p w:rsidR="00154773" w:rsidRPr="0053423A" w:rsidRDefault="00154773" w:rsidP="00154773">
            <w:pPr>
              <w:ind w:left="426"/>
              <w:rPr>
                <w:rFonts w:eastAsia="Times New Roman" w:cs="Times New Roman"/>
                <w:sz w:val="20"/>
                <w:szCs w:val="20"/>
              </w:rPr>
            </w:pPr>
          </w:p>
          <w:p w:rsidR="00154773" w:rsidRPr="0053423A" w:rsidRDefault="00154773" w:rsidP="00154773">
            <w:pPr>
              <w:spacing w:line="360" w:lineRule="auto"/>
              <w:ind w:left="426" w:firstLine="374"/>
              <w:rPr>
                <w:rFonts w:eastAsia="Times New Roman" w:cs="Times New Roman"/>
                <w:sz w:val="20"/>
                <w:szCs w:val="20"/>
              </w:rPr>
            </w:pPr>
            <w:r w:rsidRPr="0053423A">
              <w:rPr>
                <w:rFonts w:eastAsia="Times New Roman" w:cs="Times New Roman"/>
                <w:b/>
                <w:sz w:val="20"/>
                <w:szCs w:val="20"/>
                <w:lang w:val="hy-AM"/>
              </w:rPr>
              <w:t>1. Միջոցառման իրականացման անհրաժեշտությունը և նպատակը</w:t>
            </w:r>
            <w:r w:rsidRPr="0053423A">
              <w:rPr>
                <w:rFonts w:eastAsia="Times New Roman" w:cs="Times New Roman"/>
                <w:sz w:val="20"/>
                <w:szCs w:val="20"/>
                <w:lang w:val="hy-AM"/>
              </w:rPr>
              <w:t xml:space="preserve"> </w:t>
            </w:r>
          </w:p>
          <w:p w:rsidR="00154773" w:rsidRPr="0053423A" w:rsidRDefault="00154773" w:rsidP="00154773">
            <w:pPr>
              <w:ind w:firstLine="360"/>
              <w:jc w:val="both"/>
              <w:rPr>
                <w:rFonts w:eastAsia="Times New Roman" w:cs="Times New Roman"/>
                <w:sz w:val="20"/>
                <w:szCs w:val="20"/>
              </w:rPr>
            </w:pPr>
            <w:r w:rsidRPr="0053423A">
              <w:rPr>
                <w:rFonts w:eastAsia="Times New Roman" w:cs="Times New Roman"/>
                <w:sz w:val="20"/>
                <w:szCs w:val="20"/>
              </w:rPr>
              <w:t xml:space="preserve">Միջոցառման գլխավոր նպատակն է գիտության ոլորտում իրականացվող ծրագրերի և միջոցառումների համապատասխանեցումը երկրի տնտեսության կարիքներին, հետազոտությունների իրականացման միջազգային արդի պահանջներին և սկզբունքներին: </w:t>
            </w:r>
          </w:p>
          <w:p w:rsidR="00154773" w:rsidRPr="0053423A" w:rsidRDefault="00154773" w:rsidP="00154773">
            <w:pPr>
              <w:ind w:firstLine="360"/>
              <w:jc w:val="both"/>
              <w:rPr>
                <w:spacing w:val="-4"/>
                <w:sz w:val="20"/>
                <w:szCs w:val="20"/>
              </w:rPr>
            </w:pPr>
            <w:r w:rsidRPr="0053423A">
              <w:rPr>
                <w:rFonts w:eastAsia="Times New Roman" w:cs="Times New Roman"/>
                <w:sz w:val="20"/>
                <w:szCs w:val="20"/>
              </w:rPr>
              <w:t>«23.1. «Գիտության ոլորտ երիտասարդ կադրերի ներգրավման ծրագիրը և ծրագրի իրականացման միջոցառումների ժամանակացույցը հաստատելու մասին» ՀՀ կառավարության որոշման նախագծի մշակում և ներկայացում ՀՀ վարչապետի աշխատակազմ», 23.2. Օտարերկրյա պետություններում աշխատող գիտական և (կամ) գիտակրթական կադրերի վերաինտեգրման ծրագրերի իրականացում» մ</w:t>
            </w:r>
            <w:r w:rsidRPr="0053423A">
              <w:rPr>
                <w:spacing w:val="-4"/>
                <w:sz w:val="20"/>
                <w:szCs w:val="20"/>
              </w:rPr>
              <w:t xml:space="preserve">իջոցառումների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rPr>
              <w:t>«</w:t>
            </w:r>
            <w:r w:rsidRPr="0053423A">
              <w:rPr>
                <w:spacing w:val="-4"/>
                <w:sz w:val="20"/>
                <w:szCs w:val="20"/>
              </w:rPr>
              <w:t>4.4 ԿՐԹՈՒԹՅՈՒՆ ԵՎ ԳԻՏՈՒԹՅՈՒՆ</w:t>
            </w:r>
            <w:r w:rsidRPr="0053423A">
              <w:rPr>
                <w:rFonts w:eastAsia="Times New Roman" w:cs="Times New Roman"/>
                <w:sz w:val="20"/>
                <w:szCs w:val="20"/>
              </w:rPr>
              <w:t>» կետի «</w:t>
            </w:r>
            <w:r w:rsidRPr="0053423A">
              <w:rPr>
                <w:spacing w:val="-4"/>
                <w:sz w:val="20"/>
                <w:szCs w:val="20"/>
              </w:rPr>
              <w:t>Գիտության ոլորտին» վերաբերող բաժնի 2-րդ պարբերությունից, ինչպես նաև ՀՀ կառավարության 2017 թվականի օգոստոսի 17-ի նիստի N 35 արձանագրային որոշմամբ հավանության արժանացած ՀՀ գիտության ոլորտի զարգացման 2017-2020 թվականների ռազմավարական ծրագրից՝ նպատակ ունենալով երիտասարդ գիտնականների համար Հայաստանում ստեղծել ապրելու և ստեղծագործելու ժամանակակից պայմաններ, Հայաստանի զարգացման ծրագրերում ներգրավել օտարերկրյա պետություններում գտնվող հայ գիտնականներին:</w:t>
            </w:r>
          </w:p>
          <w:p w:rsidR="00154773" w:rsidRPr="0053423A" w:rsidRDefault="00154773" w:rsidP="00154773">
            <w:pPr>
              <w:ind w:left="426" w:firstLine="294"/>
              <w:contextualSpacing/>
              <w:jc w:val="both"/>
              <w:rPr>
                <w:spacing w:val="-4"/>
                <w:sz w:val="20"/>
                <w:szCs w:val="20"/>
              </w:rPr>
            </w:pPr>
          </w:p>
          <w:p w:rsidR="00154773" w:rsidRPr="0053423A" w:rsidRDefault="00154773" w:rsidP="001F6D5D">
            <w:pPr>
              <w:numPr>
                <w:ilvl w:val="1"/>
                <w:numId w:val="462"/>
              </w:numPr>
              <w:ind w:left="1170" w:hanging="540"/>
              <w:contextualSpacing/>
              <w:rPr>
                <w:rFonts w:eastAsia="Times New Roman" w:cs="Times New Roman"/>
                <w:sz w:val="20"/>
                <w:szCs w:val="20"/>
              </w:rPr>
            </w:pPr>
            <w:r w:rsidRPr="0053423A">
              <w:rPr>
                <w:rFonts w:eastAsia="Times New Roman" w:cs="Times New Roman"/>
                <w:b/>
                <w:sz w:val="20"/>
                <w:szCs w:val="20"/>
                <w:lang w:val="hy-AM"/>
              </w:rPr>
              <w:t>կարգավորման հարաբերությունների ներկա վիճակը և առկա խնդիրները</w:t>
            </w:r>
            <w:r w:rsidRPr="0053423A">
              <w:rPr>
                <w:rFonts w:eastAsia="Times New Roman" w:cs="Times New Roman"/>
                <w:sz w:val="20"/>
                <w:szCs w:val="20"/>
                <w:lang w:val="hy-AM"/>
              </w:rPr>
              <w:t xml:space="preserve"> </w:t>
            </w:r>
          </w:p>
          <w:p w:rsidR="00154773" w:rsidRPr="0053423A" w:rsidRDefault="00154773" w:rsidP="00154773">
            <w:pPr>
              <w:ind w:left="1520"/>
              <w:contextualSpacing/>
              <w:rPr>
                <w:rFonts w:eastAsia="Times New Roman" w:cs="Times New Roman"/>
                <w:sz w:val="20"/>
                <w:szCs w:val="20"/>
              </w:rPr>
            </w:pPr>
          </w:p>
          <w:p w:rsidR="00154773" w:rsidRPr="0053423A" w:rsidRDefault="00154773" w:rsidP="00154773">
            <w:pPr>
              <w:ind w:firstLine="294"/>
              <w:contextualSpacing/>
              <w:jc w:val="both"/>
              <w:rPr>
                <w:spacing w:val="-4"/>
                <w:sz w:val="20"/>
                <w:szCs w:val="20"/>
              </w:rPr>
            </w:pPr>
            <w:r w:rsidRPr="0053423A">
              <w:rPr>
                <w:spacing w:val="-4"/>
                <w:sz w:val="20"/>
                <w:szCs w:val="20"/>
              </w:rPr>
              <w:t>Ներկայումս իրականացվում են մի շարք միջոցառումներ` նպատակաուղղված երիտասարդ գիտնականների և  նրանց կողմից կատարվող հետազոտությունների աջակցմանը: Մասնավորապես, պետական բյուջեի ֆինանսավորմամբ իրականացվող պայմանագրային (թեմատիկ) գիտական թեմաների հայտերի մրցույթների ժամանակ սահմանվել են երիտասարդ կատարողների  (ասպիրանտներ և մագիստրանտներ) մասնակցության նվազագույն սահմանը, իրականացվում են ասպիրանտների և երիտասարդ գիտնականների աջակցության, բարձր արդյունավետությամբ աշխատող երիտասարդ գիտաշխատողների խրախուսման, ինչպես նաև շարժունակության ապահովման ծրագրեր: Սակայն դրանք բավարար չեն գիտական և գիտամանկավարժական կադրերի արդյունավետ վերարտադրության և բնագավառի կադրային կազմի տարիքային կառուցվածքի անհրաժեշտ փոփոխությունն ապահովելու համար: Ներկայումս գիտության ոլորտի առջև ծառացած կարևորագույն հիմնախնդիրներից է գիտական կադրերի արդյունավետ վերարտադրության հարցը: Շարունակվում է գիտական կադրերի, առաջին հերթին, երիտասարդների զգալի արտահոսք գիտության ոլորտից, այդ թվում նաև` օտարերկրյա պետություններ: Արդյունքում` գիտության ոլորտի կադրային կազմի այդպիսի փոփոխությունները բերեցին գիտության արագ «ծերացման», գիտական հետազոտությունների մասնագիտական մակարդակի որակական փոփոխության, խախտվեցին գիտական և գիտամանկավարժական դպրոցների շարունակականությունը, սերնդափոխության սահուն ընթացքը: Նպատակին կարելի է հասնել միայն պետական ծրագրային քաղաքականության միջոցով, որի արդյունավետությունը պայմանավորված է համակարգային բնույթով և, որը հնարավորություն կտա կենտրոնացնել ռեսուրսները` բնագավառը երիտասարդ կադրերով համալրելու և ամրապնդելու առաջնայնությունների վրա:</w:t>
            </w:r>
          </w:p>
          <w:p w:rsidR="00154773" w:rsidRPr="0053423A" w:rsidRDefault="00154773" w:rsidP="00154773">
            <w:pPr>
              <w:ind w:left="426" w:firstLine="294"/>
              <w:contextualSpacing/>
              <w:jc w:val="both"/>
              <w:rPr>
                <w:spacing w:val="-4"/>
                <w:sz w:val="20"/>
                <w:szCs w:val="20"/>
              </w:rPr>
            </w:pPr>
          </w:p>
          <w:p w:rsidR="00154773" w:rsidRPr="0053423A" w:rsidRDefault="00154773" w:rsidP="001F6D5D">
            <w:pPr>
              <w:numPr>
                <w:ilvl w:val="1"/>
                <w:numId w:val="462"/>
              </w:numPr>
              <w:contextualSpacing/>
              <w:jc w:val="both"/>
              <w:rPr>
                <w:rFonts w:eastAsia="Times New Roman" w:cs="Times New Roman"/>
                <w:sz w:val="20"/>
                <w:szCs w:val="20"/>
              </w:rPr>
            </w:pPr>
            <w:r w:rsidRPr="0053423A">
              <w:rPr>
                <w:rFonts w:eastAsia="Times New Roman" w:cs="Times New Roman"/>
                <w:b/>
                <w:sz w:val="20"/>
                <w:szCs w:val="20"/>
                <w:lang w:val="hy-AM"/>
              </w:rPr>
              <w:t>առկա խնդիրների առաջարկվող լուծումները</w:t>
            </w:r>
            <w:r w:rsidRPr="0053423A">
              <w:rPr>
                <w:rFonts w:eastAsia="Times New Roman" w:cs="Times New Roman"/>
                <w:sz w:val="20"/>
                <w:szCs w:val="20"/>
                <w:lang w:val="hy-AM"/>
              </w:rPr>
              <w:t xml:space="preserve"> </w:t>
            </w:r>
          </w:p>
          <w:p w:rsidR="00154773" w:rsidRPr="0053423A" w:rsidRDefault="00154773" w:rsidP="00154773">
            <w:pPr>
              <w:ind w:left="1520"/>
              <w:contextualSpacing/>
              <w:jc w:val="both"/>
              <w:rPr>
                <w:rFonts w:eastAsia="Times New Roman" w:cs="Times New Roman"/>
                <w:sz w:val="20"/>
                <w:szCs w:val="20"/>
              </w:rPr>
            </w:pPr>
          </w:p>
          <w:p w:rsidR="00154773" w:rsidRPr="0053423A" w:rsidRDefault="00154773" w:rsidP="00154773">
            <w:pPr>
              <w:ind w:left="90" w:firstLine="270"/>
              <w:contextualSpacing/>
              <w:jc w:val="both"/>
              <w:rPr>
                <w:spacing w:val="-4"/>
                <w:sz w:val="20"/>
                <w:szCs w:val="20"/>
              </w:rPr>
            </w:pPr>
            <w:r w:rsidRPr="0053423A">
              <w:rPr>
                <w:spacing w:val="-4"/>
                <w:sz w:val="20"/>
                <w:szCs w:val="20"/>
              </w:rPr>
              <w:t>Միջոցառումների կատարումը նպատա</w:t>
            </w:r>
            <w:r w:rsidRPr="0053423A">
              <w:rPr>
                <w:spacing w:val="-4"/>
                <w:sz w:val="20"/>
                <w:szCs w:val="20"/>
              </w:rPr>
              <w:softHyphen/>
              <w:t>կաուղղված են գիտության ոլորտում այնպիսի միջոցառումների մշակմանն ու իրականացմանը, որոնց արդյունքում հնարավոր կլինի ներդնել ոլորտում երիտասարդ կադրերի ներգրավման և հաստատման մեխանիզմներ, մեծացնել երիտասարդների դերը ոլորտի զարգացման գործում, բարձրացնել գիտական աշխատողի վարկանիշը և հետաքրքրություն առաջացնել երիտասարդների մեջ գիտության նկատմամբ:</w:t>
            </w:r>
          </w:p>
          <w:p w:rsidR="00154773" w:rsidRPr="0053423A" w:rsidRDefault="00154773" w:rsidP="00154773">
            <w:pPr>
              <w:ind w:left="90" w:firstLine="270"/>
              <w:contextualSpacing/>
              <w:jc w:val="both"/>
              <w:rPr>
                <w:spacing w:val="-4"/>
                <w:sz w:val="20"/>
                <w:szCs w:val="20"/>
              </w:rPr>
            </w:pPr>
          </w:p>
          <w:p w:rsidR="00154773" w:rsidRPr="0053423A" w:rsidRDefault="00154773" w:rsidP="00154773">
            <w:pPr>
              <w:ind w:left="426" w:firstLine="374"/>
              <w:rPr>
                <w:rFonts w:eastAsia="Times New Roman" w:cs="Times New Roman"/>
                <w:b/>
                <w:sz w:val="20"/>
                <w:szCs w:val="20"/>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left="426" w:firstLine="374"/>
              <w:rPr>
                <w:rFonts w:eastAsia="Times New Roman" w:cs="Times New Roman"/>
                <w:b/>
                <w:sz w:val="20"/>
                <w:szCs w:val="20"/>
              </w:rPr>
            </w:pPr>
          </w:p>
          <w:p w:rsidR="00154773" w:rsidRPr="0053423A" w:rsidRDefault="00154773" w:rsidP="00154773">
            <w:pPr>
              <w:ind w:firstLine="360"/>
              <w:contextualSpacing/>
              <w:jc w:val="both"/>
              <w:rPr>
                <w:spacing w:val="-4"/>
                <w:sz w:val="20"/>
                <w:szCs w:val="20"/>
              </w:rPr>
            </w:pPr>
            <w:r w:rsidRPr="0053423A">
              <w:rPr>
                <w:spacing w:val="-4"/>
                <w:sz w:val="20"/>
                <w:szCs w:val="20"/>
              </w:rPr>
              <w:t>Միջոցառումների  իրականացումը հնարավորություն կտա ՀՀ գիտության ոլորտում ներդնել գիտական ու գիտամանկավարժական կադրերի պատրաստման ժամանա</w:t>
            </w:r>
            <w:r w:rsidRPr="0053423A">
              <w:rPr>
                <w:spacing w:val="-4"/>
                <w:sz w:val="20"/>
                <w:szCs w:val="20"/>
              </w:rPr>
              <w:softHyphen/>
              <w:t xml:space="preserve">կակից եղանակներ, կնպաստի գիտության ոլորտը երիտասարդ կադրերով համալրելու խնդրի լուծմանը, կբերի գիտական կադրերի վերարտադրության արդյունավետության բարձրացմանը: Համապատասխան ծրագրերը </w:t>
            </w:r>
            <w:r w:rsidRPr="0053423A">
              <w:rPr>
                <w:rFonts w:cs="Sylfaen"/>
                <w:spacing w:val="-4"/>
                <w:sz w:val="20"/>
                <w:szCs w:val="20"/>
              </w:rPr>
              <w:t>կներառեն</w:t>
            </w:r>
            <w:r w:rsidRPr="0053423A">
              <w:rPr>
                <w:spacing w:val="-4"/>
                <w:sz w:val="20"/>
                <w:szCs w:val="20"/>
              </w:rPr>
              <w:t xml:space="preserve"> տաղանդավոր երիտասարդներին գիտության ասպարեզ ներգրավումը խթանող, օտարերկրյա պետություններում աշխատող կամ բուհերում սովորող հայ երիտասարդների վերադարձին նպաստող մասնագիտական ու սոցիալական պատշաճ պայմանների ստեղծման նախադրյալներ:</w:t>
            </w:r>
          </w:p>
          <w:p w:rsidR="00154773" w:rsidRPr="0053423A" w:rsidRDefault="00154773" w:rsidP="00154773">
            <w:pPr>
              <w:ind w:firstLine="360"/>
              <w:contextualSpacing/>
              <w:jc w:val="both"/>
              <w:rPr>
                <w:spacing w:val="-4"/>
                <w:sz w:val="20"/>
                <w:szCs w:val="20"/>
              </w:rPr>
            </w:pPr>
            <w:r w:rsidRPr="0053423A">
              <w:rPr>
                <w:spacing w:val="-4"/>
                <w:sz w:val="20"/>
                <w:szCs w:val="20"/>
              </w:rPr>
              <w:t>Արդյունքում կունենանք օտարերկրյա պետություններում աշխատող բարձր վարկանիշ ունեցող հայազգի գիտնականների ՀՀ-ում հետազոտական միավորի ղեկավարման և միջազգային չափանիշներին համապատասխան աշխատանքային պայմանների ձևավորման համապատասխան մեխանիզմներ, ինչպես նաև գիտական աշխատողների 35-50 տարիքային միջակայքի մասնաբաժնի ավելացում ընդհանուրի մեջ:</w:t>
            </w:r>
          </w:p>
          <w:p w:rsidR="00154773" w:rsidRPr="0053423A" w:rsidRDefault="00154773" w:rsidP="00154773">
            <w:pPr>
              <w:jc w:val="center"/>
              <w:rPr>
                <w:rFonts w:eastAsia="Times New Roman" w:cs="Times New Roman"/>
                <w:b/>
                <w:sz w:val="20"/>
                <w:szCs w:val="20"/>
              </w:rPr>
            </w:pPr>
          </w:p>
        </w:tc>
      </w:tr>
      <w:tr w:rsidR="00154773" w:rsidRPr="0053423A" w:rsidTr="00154773">
        <w:tc>
          <w:tcPr>
            <w:tcW w:w="720" w:type="dxa"/>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24</w:t>
            </w:r>
          </w:p>
        </w:tc>
        <w:tc>
          <w:tcPr>
            <w:tcW w:w="10620" w:type="dxa"/>
          </w:tcPr>
          <w:p w:rsidR="00154773" w:rsidRPr="0053423A" w:rsidRDefault="00154773" w:rsidP="00154773">
            <w:pPr>
              <w:ind w:left="426" w:firstLine="375"/>
              <w:jc w:val="center"/>
              <w:rPr>
                <w:rFonts w:eastAsia="Times New Roman" w:cs="Times New Roman"/>
                <w:b/>
                <w:sz w:val="20"/>
                <w:szCs w:val="20"/>
                <w:u w:val="single"/>
              </w:rPr>
            </w:pPr>
            <w:r w:rsidRPr="0053423A">
              <w:rPr>
                <w:rFonts w:eastAsia="Times New Roman" w:cs="Times New Roman"/>
                <w:b/>
                <w:sz w:val="20"/>
                <w:szCs w:val="20"/>
                <w:u w:val="single"/>
              </w:rPr>
              <w:t>24.1 Միջազգային չափանիշներին համապատասխան գիտական հետազոտություններ իրականացնելու պայմանների ձևավորման մեխանիզմների մշակում և ներդրում</w:t>
            </w:r>
          </w:p>
          <w:p w:rsidR="00154773" w:rsidRPr="0053423A" w:rsidRDefault="00154773" w:rsidP="00154773">
            <w:pPr>
              <w:ind w:left="426" w:firstLine="375"/>
              <w:jc w:val="center"/>
              <w:rPr>
                <w:rFonts w:eastAsia="Times New Roman" w:cs="Times New Roman"/>
                <w:b/>
                <w:sz w:val="20"/>
                <w:szCs w:val="20"/>
                <w:u w:val="single"/>
              </w:rPr>
            </w:pPr>
          </w:p>
          <w:p w:rsidR="00154773" w:rsidRPr="0053423A" w:rsidRDefault="00154773" w:rsidP="00154773">
            <w:pPr>
              <w:ind w:left="426" w:firstLine="375"/>
              <w:jc w:val="center"/>
              <w:rPr>
                <w:rFonts w:eastAsia="Times New Roman" w:cs="Times New Roman"/>
                <w:b/>
                <w:sz w:val="20"/>
                <w:szCs w:val="20"/>
                <w:u w:val="single"/>
              </w:rPr>
            </w:pPr>
            <w:r w:rsidRPr="0053423A">
              <w:rPr>
                <w:rFonts w:eastAsia="Times New Roman" w:cs="Times New Roman"/>
                <w:b/>
                <w:sz w:val="20"/>
                <w:szCs w:val="20"/>
                <w:u w:val="single"/>
              </w:rPr>
              <w:t>24.2 Գիտանորարարական ենթակառուցվածքների ստեղծման աջակցության մեխանիզմներ</w:t>
            </w:r>
          </w:p>
          <w:p w:rsidR="00154773" w:rsidRPr="0053423A" w:rsidRDefault="00154773" w:rsidP="00154773">
            <w:pPr>
              <w:ind w:left="426" w:firstLine="375"/>
              <w:jc w:val="center"/>
              <w:rPr>
                <w:rFonts w:eastAsia="Times New Roman" w:cs="Times New Roman"/>
                <w:b/>
                <w:sz w:val="20"/>
                <w:szCs w:val="20"/>
                <w:u w:val="single"/>
              </w:rPr>
            </w:pPr>
          </w:p>
          <w:p w:rsidR="00154773" w:rsidRPr="0053423A" w:rsidRDefault="00154773" w:rsidP="00154773">
            <w:pPr>
              <w:ind w:left="426" w:firstLine="375"/>
              <w:jc w:val="center"/>
              <w:rPr>
                <w:rFonts w:eastAsia="Times New Roman" w:cs="Times New Roman"/>
                <w:b/>
                <w:sz w:val="20"/>
                <w:szCs w:val="20"/>
                <w:u w:val="single"/>
              </w:rPr>
            </w:pPr>
            <w:r w:rsidRPr="0053423A">
              <w:rPr>
                <w:rFonts w:eastAsia="Times New Roman" w:cs="Times New Roman"/>
                <w:b/>
                <w:sz w:val="20"/>
                <w:szCs w:val="20"/>
                <w:u w:val="single"/>
              </w:rPr>
              <w:t>24.3 Եվրոպական հետազոտական տարածքում խելացի մասնագիտացման տիրույթի ձեռքբերմանն ուղղված ծրագրերի իրականացում</w:t>
            </w:r>
          </w:p>
          <w:p w:rsidR="00154773" w:rsidRPr="0053423A" w:rsidRDefault="00154773" w:rsidP="00154773">
            <w:pPr>
              <w:ind w:left="426" w:firstLine="375"/>
              <w:jc w:val="center"/>
              <w:rPr>
                <w:rFonts w:eastAsia="Times New Roman" w:cs="Times New Roman"/>
                <w:b/>
                <w:sz w:val="20"/>
                <w:szCs w:val="20"/>
              </w:rPr>
            </w:pPr>
          </w:p>
          <w:p w:rsidR="00154773" w:rsidRPr="0053423A" w:rsidRDefault="00154773" w:rsidP="00154773">
            <w:pPr>
              <w:ind w:left="426" w:firstLine="374"/>
              <w:rPr>
                <w:rFonts w:eastAsia="Times New Roman" w:cs="Times New Roman"/>
                <w:sz w:val="20"/>
                <w:szCs w:val="20"/>
              </w:rPr>
            </w:pPr>
            <w:r w:rsidRPr="0053423A">
              <w:rPr>
                <w:rFonts w:eastAsia="Times New Roman" w:cs="Times New Roman"/>
                <w:b/>
                <w:sz w:val="20"/>
                <w:szCs w:val="20"/>
                <w:lang w:val="hy-AM"/>
              </w:rPr>
              <w:t>1. Միջոցառման իրականացման անհրաժեշտությունը և նպատակը</w:t>
            </w:r>
            <w:r w:rsidRPr="0053423A">
              <w:rPr>
                <w:rFonts w:eastAsia="Times New Roman" w:cs="Times New Roman"/>
                <w:sz w:val="20"/>
                <w:szCs w:val="20"/>
                <w:lang w:val="hy-AM"/>
              </w:rPr>
              <w:t xml:space="preserve"> </w:t>
            </w:r>
          </w:p>
          <w:p w:rsidR="00154773" w:rsidRPr="0053423A" w:rsidRDefault="00154773" w:rsidP="00154773">
            <w:pPr>
              <w:ind w:left="426" w:firstLine="374"/>
              <w:rPr>
                <w:rFonts w:eastAsia="Times New Roman" w:cs="Times New Roman"/>
                <w:sz w:val="20"/>
                <w:szCs w:val="20"/>
              </w:rPr>
            </w:pPr>
          </w:p>
          <w:p w:rsidR="00154773" w:rsidRPr="0053423A" w:rsidRDefault="00154773" w:rsidP="00154773">
            <w:pPr>
              <w:ind w:firstLine="360"/>
              <w:jc w:val="both"/>
              <w:rPr>
                <w:rFonts w:eastAsia="Times New Roman" w:cs="Times New Roman"/>
                <w:sz w:val="20"/>
                <w:szCs w:val="20"/>
              </w:rPr>
            </w:pPr>
            <w:r w:rsidRPr="0053423A">
              <w:rPr>
                <w:rFonts w:eastAsia="Times New Roman" w:cs="Times New Roman"/>
                <w:sz w:val="20"/>
                <w:szCs w:val="20"/>
              </w:rPr>
              <w:t xml:space="preserve">Միջոցառման գլխավոր նպատակն է գիտության ոլորտում իրականացվող ծրագրերի և միջոցառումների համապատասխանեցումը երկրի տնտեսության կարիքներին, հետազոտությունների իրականացման միջազգային արդի պահանջներին և սկզբունքներին: </w:t>
            </w:r>
          </w:p>
          <w:p w:rsidR="00154773" w:rsidRPr="0053423A" w:rsidRDefault="00154773" w:rsidP="00154773">
            <w:pPr>
              <w:ind w:firstLine="360"/>
              <w:jc w:val="both"/>
              <w:rPr>
                <w:spacing w:val="-4"/>
                <w:sz w:val="20"/>
                <w:szCs w:val="20"/>
              </w:rPr>
            </w:pPr>
            <w:r w:rsidRPr="0053423A">
              <w:rPr>
                <w:rFonts w:eastAsia="Times New Roman" w:cs="Times New Roman"/>
                <w:sz w:val="20"/>
                <w:szCs w:val="20"/>
              </w:rPr>
              <w:t xml:space="preserve">«24.1 Միջազգային չափանիշներին համապատասխան գիտական հետազոտություններ իրականացնելու պայմանների ձևավորման մեխանիզմների մշակում և ներդրում», «24.2.Գիտանորարարական ենթակառուցվածքների ստեղծման աջակցության մեխանիզմներ», «24.3.Եվրոպական հետազոտական տարածքում խելացի մասնագիտացման տիրույթի ձեռքբերմանն ուղղված ծրագրերի իրականացում» </w:t>
            </w:r>
            <w:r w:rsidRPr="0053423A">
              <w:rPr>
                <w:spacing w:val="-4"/>
                <w:sz w:val="20"/>
                <w:szCs w:val="20"/>
              </w:rPr>
              <w:t xml:space="preserve">միջոցառումների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rPr>
              <w:t>«</w:t>
            </w:r>
            <w:r w:rsidRPr="0053423A">
              <w:rPr>
                <w:spacing w:val="-4"/>
                <w:sz w:val="20"/>
                <w:szCs w:val="20"/>
              </w:rPr>
              <w:t>4.4 ԿՐԹՈՒԹՅՈՒՆ ԵՎ ԳԻՏՈՒԹՅՈՒՆ</w:t>
            </w:r>
            <w:r w:rsidRPr="0053423A">
              <w:rPr>
                <w:rFonts w:eastAsia="Times New Roman" w:cs="Times New Roman"/>
                <w:sz w:val="20"/>
                <w:szCs w:val="20"/>
              </w:rPr>
              <w:t xml:space="preserve">»  բաժնի </w:t>
            </w:r>
            <w:r w:rsidRPr="0053423A">
              <w:rPr>
                <w:spacing w:val="-4"/>
                <w:sz w:val="20"/>
                <w:szCs w:val="20"/>
              </w:rPr>
              <w:t>3-րդ պարբերությունից,</w:t>
            </w:r>
            <w:r w:rsidRPr="0053423A">
              <w:rPr>
                <w:rFonts w:eastAsia="Times New Roman" w:cs="Times New Roman"/>
                <w:sz w:val="20"/>
                <w:szCs w:val="20"/>
              </w:rPr>
              <w:t xml:space="preserve"> </w:t>
            </w:r>
            <w:r w:rsidRPr="0053423A">
              <w:rPr>
                <w:spacing w:val="-4"/>
                <w:sz w:val="20"/>
                <w:szCs w:val="20"/>
              </w:rPr>
              <w:t xml:space="preserve">Գիտության ոլորտին վերաբերող բաժնի 3-րդ և 4-րդ պարբերություններից՝ նպատակ ունենալով նպաստել </w:t>
            </w:r>
            <w:r w:rsidRPr="0053423A">
              <w:rPr>
                <w:rFonts w:cs="Sylfaen"/>
                <w:sz w:val="20"/>
                <w:szCs w:val="20"/>
              </w:rPr>
              <w:t>գիտական</w:t>
            </w:r>
            <w:r w:rsidRPr="0053423A">
              <w:rPr>
                <w:sz w:val="20"/>
                <w:szCs w:val="20"/>
              </w:rPr>
              <w:t xml:space="preserve"> </w:t>
            </w:r>
            <w:r w:rsidRPr="0053423A">
              <w:rPr>
                <w:rFonts w:cs="Sylfaen"/>
                <w:sz w:val="20"/>
                <w:szCs w:val="20"/>
              </w:rPr>
              <w:t>և</w:t>
            </w:r>
            <w:r w:rsidRPr="0053423A">
              <w:rPr>
                <w:sz w:val="20"/>
                <w:szCs w:val="20"/>
              </w:rPr>
              <w:t xml:space="preserve"> </w:t>
            </w:r>
            <w:r w:rsidRPr="0053423A">
              <w:rPr>
                <w:rFonts w:cs="Sylfaen"/>
                <w:sz w:val="20"/>
                <w:szCs w:val="20"/>
              </w:rPr>
              <w:t>գիտատեխնիկական</w:t>
            </w:r>
            <w:r w:rsidRPr="0053423A">
              <w:rPr>
                <w:sz w:val="20"/>
                <w:szCs w:val="20"/>
              </w:rPr>
              <w:t xml:space="preserve"> </w:t>
            </w:r>
            <w:r w:rsidRPr="0053423A">
              <w:rPr>
                <w:rFonts w:cs="Sylfaen"/>
                <w:sz w:val="20"/>
                <w:szCs w:val="20"/>
              </w:rPr>
              <w:t>գործունեության</w:t>
            </w:r>
            <w:r w:rsidRPr="0053423A">
              <w:rPr>
                <w:sz w:val="20"/>
                <w:szCs w:val="20"/>
              </w:rPr>
              <w:t xml:space="preserve"> </w:t>
            </w:r>
            <w:r w:rsidRPr="0053423A">
              <w:rPr>
                <w:rFonts w:cs="Sylfaen"/>
                <w:sz w:val="20"/>
                <w:szCs w:val="20"/>
              </w:rPr>
              <w:t>բնագավառում</w:t>
            </w:r>
            <w:r w:rsidRPr="0053423A">
              <w:rPr>
                <w:sz w:val="20"/>
                <w:szCs w:val="20"/>
              </w:rPr>
              <w:t xml:space="preserve"> </w:t>
            </w:r>
            <w:r w:rsidRPr="0053423A">
              <w:rPr>
                <w:rFonts w:cs="Sylfaen"/>
                <w:sz w:val="20"/>
                <w:szCs w:val="20"/>
              </w:rPr>
              <w:t>գերազանցության</w:t>
            </w:r>
            <w:r w:rsidRPr="0053423A">
              <w:rPr>
                <w:sz w:val="20"/>
                <w:szCs w:val="20"/>
              </w:rPr>
              <w:t xml:space="preserve"> </w:t>
            </w:r>
            <w:r w:rsidRPr="0053423A">
              <w:rPr>
                <w:rFonts w:cs="Sylfaen"/>
                <w:sz w:val="20"/>
                <w:szCs w:val="20"/>
              </w:rPr>
              <w:t>խթանմանը</w:t>
            </w:r>
            <w:r w:rsidRPr="0053423A">
              <w:rPr>
                <w:sz w:val="20"/>
                <w:szCs w:val="20"/>
              </w:rPr>
              <w:t xml:space="preserve">, ինչպես նաև </w:t>
            </w:r>
            <w:r w:rsidRPr="0053423A">
              <w:rPr>
                <w:rFonts w:cs="Sylfaen"/>
                <w:sz w:val="20"/>
                <w:szCs w:val="20"/>
              </w:rPr>
              <w:t>միջազգային</w:t>
            </w:r>
            <w:r w:rsidRPr="0053423A">
              <w:rPr>
                <w:sz w:val="20"/>
                <w:szCs w:val="20"/>
              </w:rPr>
              <w:t xml:space="preserve"> </w:t>
            </w:r>
            <w:r w:rsidRPr="0053423A">
              <w:rPr>
                <w:rFonts w:cs="Sylfaen"/>
                <w:sz w:val="20"/>
                <w:szCs w:val="20"/>
              </w:rPr>
              <w:t>ասպարեզում</w:t>
            </w:r>
            <w:r w:rsidRPr="0053423A">
              <w:rPr>
                <w:sz w:val="20"/>
                <w:szCs w:val="20"/>
              </w:rPr>
              <w:t xml:space="preserve">, </w:t>
            </w:r>
            <w:r w:rsidRPr="0053423A">
              <w:rPr>
                <w:rFonts w:cs="Sylfaen"/>
                <w:sz w:val="20"/>
                <w:szCs w:val="20"/>
              </w:rPr>
              <w:t>այդ թվում՝</w:t>
            </w:r>
            <w:r w:rsidRPr="0053423A">
              <w:rPr>
                <w:sz w:val="20"/>
                <w:szCs w:val="20"/>
              </w:rPr>
              <w:t xml:space="preserve"> </w:t>
            </w:r>
            <w:r w:rsidRPr="0053423A">
              <w:rPr>
                <w:rFonts w:cs="Sylfaen"/>
                <w:sz w:val="20"/>
                <w:szCs w:val="20"/>
              </w:rPr>
              <w:t>Եվրոպական</w:t>
            </w:r>
            <w:r w:rsidRPr="0053423A">
              <w:rPr>
                <w:sz w:val="20"/>
                <w:szCs w:val="20"/>
              </w:rPr>
              <w:t xml:space="preserve"> </w:t>
            </w:r>
            <w:r w:rsidRPr="0053423A">
              <w:rPr>
                <w:rFonts w:cs="Sylfaen"/>
                <w:sz w:val="20"/>
                <w:szCs w:val="20"/>
              </w:rPr>
              <w:t>հետազոտական</w:t>
            </w:r>
            <w:r w:rsidRPr="0053423A">
              <w:rPr>
                <w:sz w:val="20"/>
                <w:szCs w:val="20"/>
              </w:rPr>
              <w:t xml:space="preserve"> </w:t>
            </w:r>
            <w:r w:rsidRPr="0053423A">
              <w:rPr>
                <w:rFonts w:cs="Sylfaen"/>
                <w:sz w:val="20"/>
                <w:szCs w:val="20"/>
              </w:rPr>
              <w:t>տարածքում</w:t>
            </w:r>
            <w:r w:rsidRPr="0053423A">
              <w:rPr>
                <w:sz w:val="20"/>
                <w:szCs w:val="20"/>
              </w:rPr>
              <w:t xml:space="preserve"> </w:t>
            </w:r>
            <w:r w:rsidRPr="0053423A">
              <w:rPr>
                <w:rFonts w:cs="Sylfaen"/>
                <w:sz w:val="20"/>
                <w:szCs w:val="20"/>
              </w:rPr>
              <w:t>մրցունակ</w:t>
            </w:r>
            <w:r w:rsidRPr="0053423A">
              <w:rPr>
                <w:sz w:val="20"/>
                <w:szCs w:val="20"/>
              </w:rPr>
              <w:t xml:space="preserve"> </w:t>
            </w:r>
            <w:r w:rsidRPr="0053423A">
              <w:rPr>
                <w:rFonts w:cs="Sylfaen"/>
                <w:sz w:val="20"/>
                <w:szCs w:val="20"/>
              </w:rPr>
              <w:t>ազգային</w:t>
            </w:r>
            <w:r w:rsidRPr="0053423A">
              <w:rPr>
                <w:sz w:val="20"/>
                <w:szCs w:val="20"/>
              </w:rPr>
              <w:t xml:space="preserve"> </w:t>
            </w:r>
            <w:r w:rsidRPr="0053423A">
              <w:rPr>
                <w:rFonts w:cs="Sylfaen"/>
                <w:sz w:val="20"/>
                <w:szCs w:val="20"/>
              </w:rPr>
              <w:t>գիտահետազոտական</w:t>
            </w:r>
            <w:r w:rsidRPr="0053423A">
              <w:rPr>
                <w:sz w:val="20"/>
                <w:szCs w:val="20"/>
              </w:rPr>
              <w:t xml:space="preserve"> </w:t>
            </w:r>
            <w:r w:rsidRPr="0053423A">
              <w:rPr>
                <w:rFonts w:cs="Sylfaen"/>
                <w:sz w:val="20"/>
                <w:szCs w:val="20"/>
              </w:rPr>
              <w:t>համակարգ</w:t>
            </w:r>
            <w:r w:rsidRPr="0053423A">
              <w:rPr>
                <w:sz w:val="20"/>
                <w:szCs w:val="20"/>
              </w:rPr>
              <w:t xml:space="preserve"> </w:t>
            </w:r>
            <w:r w:rsidRPr="0053423A">
              <w:rPr>
                <w:rFonts w:cs="Sylfaen"/>
                <w:sz w:val="20"/>
                <w:szCs w:val="20"/>
              </w:rPr>
              <w:t>ստեղծելուն</w:t>
            </w:r>
            <w:r w:rsidRPr="0053423A">
              <w:rPr>
                <w:spacing w:val="-4"/>
                <w:sz w:val="20"/>
                <w:szCs w:val="20"/>
              </w:rPr>
              <w:t>:</w:t>
            </w:r>
          </w:p>
          <w:p w:rsidR="00154773" w:rsidRPr="0053423A" w:rsidRDefault="00154773" w:rsidP="00154773">
            <w:pPr>
              <w:ind w:left="426" w:firstLine="375"/>
              <w:jc w:val="both"/>
              <w:rPr>
                <w:spacing w:val="-4"/>
                <w:sz w:val="20"/>
                <w:szCs w:val="20"/>
              </w:rPr>
            </w:pPr>
          </w:p>
          <w:p w:rsidR="00154773" w:rsidRPr="0053423A" w:rsidRDefault="00154773" w:rsidP="001F6D5D">
            <w:pPr>
              <w:numPr>
                <w:ilvl w:val="1"/>
                <w:numId w:val="463"/>
              </w:numPr>
              <w:ind w:left="1170" w:hanging="370"/>
              <w:contextualSpacing/>
              <w:rPr>
                <w:rFonts w:eastAsia="Times New Roman" w:cs="Times New Roman"/>
                <w:sz w:val="20"/>
                <w:szCs w:val="20"/>
              </w:rPr>
            </w:pPr>
            <w:r w:rsidRPr="0053423A">
              <w:rPr>
                <w:rFonts w:eastAsia="Times New Roman" w:cs="Times New Roman"/>
                <w:b/>
                <w:sz w:val="20"/>
                <w:szCs w:val="20"/>
                <w:lang w:val="hy-AM"/>
              </w:rPr>
              <w:t>կարգավորման հարաբերությունների ներկա վիճակը և առկա խնդիրները</w:t>
            </w:r>
            <w:r w:rsidRPr="0053423A">
              <w:rPr>
                <w:rFonts w:eastAsia="Times New Roman" w:cs="Times New Roman"/>
                <w:sz w:val="20"/>
                <w:szCs w:val="20"/>
                <w:lang w:val="hy-AM"/>
              </w:rPr>
              <w:t xml:space="preserve"> </w:t>
            </w:r>
          </w:p>
          <w:p w:rsidR="00154773" w:rsidRPr="0053423A" w:rsidRDefault="00154773" w:rsidP="00154773">
            <w:pPr>
              <w:ind w:left="1520"/>
              <w:contextualSpacing/>
              <w:rPr>
                <w:rFonts w:eastAsia="Times New Roman" w:cs="Times New Roman"/>
                <w:sz w:val="20"/>
                <w:szCs w:val="20"/>
              </w:rPr>
            </w:pPr>
          </w:p>
          <w:p w:rsidR="00154773" w:rsidRPr="0053423A" w:rsidRDefault="00154773" w:rsidP="00154773">
            <w:pPr>
              <w:ind w:firstLine="360"/>
              <w:contextualSpacing/>
              <w:jc w:val="both"/>
              <w:rPr>
                <w:spacing w:val="-4"/>
                <w:sz w:val="20"/>
                <w:szCs w:val="20"/>
              </w:rPr>
            </w:pPr>
            <w:r w:rsidRPr="0053423A">
              <w:rPr>
                <w:spacing w:val="-4"/>
                <w:sz w:val="20"/>
                <w:szCs w:val="20"/>
              </w:rPr>
              <w:t xml:space="preserve">Ոլորտի առկա խնդիրներից է կրթության և գիտության կապերի ամրապնդումը: Ներկայումս գոյություն ունեն և առանձին գործում են բարձրագույն ուսումնական հաստատություններ և գիտահետազոտական ինստիտուտներ, այդ թվում՝ ՀՀ գիտությունների ազգային ակադեմիայի համակարգում: Շատ կարևոր է բարձրագույն կրթության մեջ գիտական բաղադրիչի ներգրավումն ու մեծացումը, հատկապես մագիստրոսական և հետբուհական կրթական ծրագրերում, ինչը հնարավորություն կստեղծի բարձրագույն և հետբուհական կրթության համակարգում օգտագործել գիտական հետազոտական ներուժը: Գիտական և գիատեխնիկական գործունեությամբ զբաղվող առաջադեմ և արդյունավետ հետազոտողների անմիջական մասնակցությունն ու ներգրավումը կրթական գործընթացներում կբարձրացնի բուհերում հետազոտական և գործնական հատվածը: </w:t>
            </w:r>
          </w:p>
          <w:p w:rsidR="00154773" w:rsidRPr="0053423A" w:rsidRDefault="00154773" w:rsidP="00154773">
            <w:pPr>
              <w:ind w:left="426" w:firstLine="294"/>
              <w:contextualSpacing/>
              <w:jc w:val="both"/>
              <w:rPr>
                <w:spacing w:val="-4"/>
                <w:sz w:val="20"/>
                <w:szCs w:val="20"/>
              </w:rPr>
            </w:pPr>
          </w:p>
          <w:p w:rsidR="00154773" w:rsidRPr="0053423A" w:rsidRDefault="00154773" w:rsidP="001F6D5D">
            <w:pPr>
              <w:numPr>
                <w:ilvl w:val="1"/>
                <w:numId w:val="463"/>
              </w:numPr>
              <w:ind w:left="1260" w:hanging="460"/>
              <w:contextualSpacing/>
              <w:jc w:val="both"/>
              <w:rPr>
                <w:rFonts w:eastAsia="Times New Roman" w:cs="Times New Roman"/>
                <w:sz w:val="20"/>
                <w:szCs w:val="20"/>
              </w:rPr>
            </w:pPr>
            <w:r w:rsidRPr="0053423A">
              <w:rPr>
                <w:rFonts w:eastAsia="Times New Roman" w:cs="Times New Roman"/>
                <w:b/>
                <w:sz w:val="20"/>
                <w:szCs w:val="20"/>
                <w:lang w:val="hy-AM"/>
              </w:rPr>
              <w:t>առկա խնդիրների առաջարկվող լուծումները</w:t>
            </w:r>
            <w:r w:rsidRPr="0053423A">
              <w:rPr>
                <w:rFonts w:eastAsia="Times New Roman" w:cs="Times New Roman"/>
                <w:sz w:val="20"/>
                <w:szCs w:val="20"/>
                <w:lang w:val="hy-AM"/>
              </w:rPr>
              <w:t xml:space="preserve"> </w:t>
            </w:r>
          </w:p>
          <w:p w:rsidR="00154773" w:rsidRPr="0053423A" w:rsidRDefault="00154773" w:rsidP="00154773">
            <w:pPr>
              <w:ind w:left="1520"/>
              <w:contextualSpacing/>
              <w:jc w:val="both"/>
              <w:rPr>
                <w:rFonts w:eastAsia="Times New Roman" w:cs="Times New Roman"/>
                <w:sz w:val="20"/>
                <w:szCs w:val="20"/>
              </w:rPr>
            </w:pPr>
          </w:p>
          <w:p w:rsidR="00154773" w:rsidRPr="0053423A" w:rsidRDefault="00154773" w:rsidP="00154773">
            <w:pPr>
              <w:ind w:firstLine="360"/>
              <w:contextualSpacing/>
              <w:jc w:val="both"/>
              <w:rPr>
                <w:spacing w:val="-4"/>
                <w:sz w:val="20"/>
                <w:szCs w:val="20"/>
              </w:rPr>
            </w:pPr>
            <w:r w:rsidRPr="0053423A">
              <w:rPr>
                <w:rFonts w:cs="Times New Roman"/>
                <w:sz w:val="20"/>
                <w:szCs w:val="20"/>
              </w:rPr>
              <w:t>Անհրաժեշտ է նաև գիտության ֆինանսավորման մեջ արտաբյուջետային միջոցների ներգրավումը և տնտեսության կարիքներից բխող կիրառական արդյունքի ձեռքբերմանն ուղղված գիտական հետազոտություններին  աջակցությունը: Այն ոչ միայն կնպաստի բարձրագույն կրթության, գիտության և արտադրության կապի ձևավորմանն ու զարգացմանը, այլև կծառայի տնտեսության կոնկրետ խնդիրների լուծման համար գիտակրթական ներուժի օգտագործմանը: Տ</w:t>
            </w:r>
            <w:r w:rsidRPr="0053423A">
              <w:rPr>
                <w:rFonts w:cs="Sylfaen"/>
                <w:sz w:val="20"/>
                <w:szCs w:val="20"/>
              </w:rPr>
              <w:t>եխնոլոգիաների փոխանցմանն աջակցելու համար կ</w:t>
            </w:r>
            <w:r w:rsidRPr="0053423A">
              <w:rPr>
                <w:rFonts w:cs="Times New Roman"/>
                <w:sz w:val="20"/>
                <w:szCs w:val="20"/>
              </w:rPr>
              <w:t xml:space="preserve">արևոր է նաև </w:t>
            </w:r>
            <w:r w:rsidRPr="0053423A">
              <w:rPr>
                <w:rFonts w:cs="Sylfaen"/>
                <w:sz w:val="20"/>
                <w:szCs w:val="20"/>
              </w:rPr>
              <w:t>պետական</w:t>
            </w:r>
            <w:r w:rsidRPr="0053423A">
              <w:rPr>
                <w:sz w:val="20"/>
                <w:szCs w:val="20"/>
              </w:rPr>
              <w:t xml:space="preserve"> </w:t>
            </w:r>
            <w:r w:rsidRPr="0053423A">
              <w:rPr>
                <w:rFonts w:cs="Sylfaen"/>
                <w:sz w:val="20"/>
                <w:szCs w:val="20"/>
              </w:rPr>
              <w:t>և</w:t>
            </w:r>
            <w:r w:rsidRPr="0053423A">
              <w:rPr>
                <w:sz w:val="20"/>
                <w:szCs w:val="20"/>
              </w:rPr>
              <w:t xml:space="preserve"> </w:t>
            </w:r>
            <w:r w:rsidRPr="0053423A">
              <w:rPr>
                <w:rFonts w:cs="Sylfaen"/>
                <w:sz w:val="20"/>
                <w:szCs w:val="20"/>
              </w:rPr>
              <w:t>ոչ</w:t>
            </w:r>
            <w:r w:rsidRPr="0053423A">
              <w:rPr>
                <w:sz w:val="20"/>
                <w:szCs w:val="20"/>
              </w:rPr>
              <w:t xml:space="preserve"> </w:t>
            </w:r>
            <w:r w:rsidRPr="0053423A">
              <w:rPr>
                <w:rFonts w:cs="Sylfaen"/>
                <w:sz w:val="20"/>
                <w:szCs w:val="20"/>
              </w:rPr>
              <w:t>պետական</w:t>
            </w:r>
            <w:r w:rsidRPr="0053423A">
              <w:rPr>
                <w:sz w:val="20"/>
                <w:szCs w:val="20"/>
              </w:rPr>
              <w:t xml:space="preserve"> </w:t>
            </w:r>
            <w:r w:rsidRPr="0053423A">
              <w:rPr>
                <w:rFonts w:cs="Sylfaen"/>
                <w:sz w:val="20"/>
                <w:szCs w:val="20"/>
              </w:rPr>
              <w:t>գիտահետազոտական</w:t>
            </w:r>
            <w:r w:rsidRPr="0053423A">
              <w:rPr>
                <w:sz w:val="20"/>
                <w:szCs w:val="20"/>
              </w:rPr>
              <w:t xml:space="preserve"> </w:t>
            </w:r>
            <w:r w:rsidRPr="0053423A">
              <w:rPr>
                <w:rFonts w:cs="Sylfaen"/>
                <w:sz w:val="20"/>
                <w:szCs w:val="20"/>
              </w:rPr>
              <w:t>կազմակերպությունների</w:t>
            </w:r>
            <w:r w:rsidRPr="0053423A">
              <w:rPr>
                <w:sz w:val="20"/>
                <w:szCs w:val="20"/>
              </w:rPr>
              <w:t xml:space="preserve"> </w:t>
            </w:r>
            <w:r w:rsidRPr="0053423A">
              <w:rPr>
                <w:rFonts w:cs="Sylfaen"/>
                <w:sz w:val="20"/>
                <w:szCs w:val="20"/>
              </w:rPr>
              <w:t>հիմքի</w:t>
            </w:r>
            <w:r w:rsidRPr="0053423A">
              <w:rPr>
                <w:sz w:val="20"/>
                <w:szCs w:val="20"/>
              </w:rPr>
              <w:t xml:space="preserve"> </w:t>
            </w:r>
            <w:r w:rsidRPr="0053423A">
              <w:rPr>
                <w:rFonts w:cs="Sylfaen"/>
                <w:sz w:val="20"/>
                <w:szCs w:val="20"/>
              </w:rPr>
              <w:t>վրա գիտական</w:t>
            </w:r>
            <w:r w:rsidRPr="0053423A">
              <w:rPr>
                <w:sz w:val="20"/>
                <w:szCs w:val="20"/>
              </w:rPr>
              <w:t xml:space="preserve"> </w:t>
            </w:r>
            <w:r w:rsidRPr="0053423A">
              <w:rPr>
                <w:rFonts w:cs="Sylfaen"/>
                <w:sz w:val="20"/>
                <w:szCs w:val="20"/>
              </w:rPr>
              <w:t>նորամուծությունների և գերազանցության կենտրոնների</w:t>
            </w:r>
            <w:r w:rsidRPr="0053423A">
              <w:rPr>
                <w:sz w:val="20"/>
                <w:szCs w:val="20"/>
              </w:rPr>
              <w:t xml:space="preserve"> </w:t>
            </w:r>
            <w:r w:rsidRPr="0053423A">
              <w:rPr>
                <w:rFonts w:cs="Sylfaen"/>
                <w:sz w:val="20"/>
                <w:szCs w:val="20"/>
              </w:rPr>
              <w:t>ստեղծումը</w:t>
            </w:r>
            <w:r w:rsidRPr="0053423A">
              <w:rPr>
                <w:spacing w:val="-4"/>
                <w:sz w:val="20"/>
                <w:szCs w:val="20"/>
              </w:rPr>
              <w:t>:</w:t>
            </w:r>
          </w:p>
          <w:p w:rsidR="00154773" w:rsidRPr="0053423A" w:rsidRDefault="00154773" w:rsidP="00154773">
            <w:pPr>
              <w:ind w:left="426" w:firstLine="294"/>
              <w:contextualSpacing/>
              <w:jc w:val="both"/>
              <w:rPr>
                <w:spacing w:val="-4"/>
                <w:sz w:val="20"/>
                <w:szCs w:val="20"/>
              </w:rPr>
            </w:pPr>
          </w:p>
          <w:p w:rsidR="00154773" w:rsidRPr="0053423A" w:rsidRDefault="00154773" w:rsidP="00154773">
            <w:pPr>
              <w:ind w:left="426" w:firstLine="374"/>
              <w:rPr>
                <w:rFonts w:eastAsia="Times New Roman" w:cs="Times New Roman"/>
                <w:b/>
                <w:sz w:val="20"/>
                <w:szCs w:val="20"/>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left="426" w:firstLine="374"/>
              <w:rPr>
                <w:rFonts w:eastAsia="Times New Roman" w:cs="Times New Roman"/>
                <w:b/>
                <w:sz w:val="20"/>
                <w:szCs w:val="20"/>
              </w:rPr>
            </w:pPr>
          </w:p>
          <w:p w:rsidR="00154773" w:rsidRPr="0053423A" w:rsidRDefault="00154773" w:rsidP="00154773">
            <w:pPr>
              <w:rPr>
                <w:rFonts w:eastAsia="Times New Roman" w:cs="Times New Roman"/>
                <w:b/>
                <w:sz w:val="20"/>
                <w:szCs w:val="20"/>
                <w:lang w:val="hy-AM"/>
              </w:rPr>
            </w:pPr>
            <w:r w:rsidRPr="0053423A">
              <w:rPr>
                <w:rFonts w:cs="Times New Roman"/>
                <w:sz w:val="20"/>
                <w:szCs w:val="20"/>
              </w:rPr>
              <w:t>Բնագիտության և ճարտարագիտության բնագավառներում միջազգային չափանիշներին համապատասխան գիտական հետազոտություններ իրականացնող գիտական կենտրոնների առկայություն, գիտական կազմակերպություններում և բուհերում գիտանորարարական միավորների առկայություն, Եվրոպական հետազոտական տարածքում խելացի մասնագիտացման տիրույթի ձեռքբերմանն ուղղված ծրագրերի իրականացում:</w:t>
            </w:r>
            <w:r w:rsidRPr="0053423A">
              <w:rPr>
                <w:rFonts w:ascii="Calibri" w:hAnsi="Calibri" w:cs="Calibri"/>
                <w:sz w:val="20"/>
                <w:szCs w:val="20"/>
              </w:rPr>
              <w:t> </w:t>
            </w:r>
          </w:p>
        </w:tc>
      </w:tr>
      <w:tr w:rsidR="00154773" w:rsidRPr="0053423A" w:rsidTr="00154773">
        <w:tc>
          <w:tcPr>
            <w:tcW w:w="720" w:type="dxa"/>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25</w:t>
            </w:r>
          </w:p>
        </w:tc>
        <w:tc>
          <w:tcPr>
            <w:tcW w:w="10620" w:type="dxa"/>
          </w:tcPr>
          <w:p w:rsidR="00154773" w:rsidRPr="0053423A" w:rsidRDefault="00154773" w:rsidP="00154773">
            <w:pPr>
              <w:ind w:left="426" w:firstLine="375"/>
              <w:jc w:val="center"/>
              <w:rPr>
                <w:rFonts w:eastAsia="Times New Roman" w:cs="Times New Roman"/>
                <w:b/>
                <w:sz w:val="20"/>
                <w:szCs w:val="20"/>
                <w:u w:val="single"/>
              </w:rPr>
            </w:pPr>
            <w:r w:rsidRPr="0053423A">
              <w:rPr>
                <w:rFonts w:eastAsia="Times New Roman" w:cs="Times New Roman"/>
                <w:b/>
                <w:sz w:val="20"/>
                <w:szCs w:val="20"/>
                <w:u w:val="single"/>
              </w:rPr>
              <w:t>25.1 Հայագիտական հետազոտությունների առաջանցիկ զարգացման ապահովում, այդ թվում` միջազգային համագործակցության զարգացման մակարդակի բարձրացում</w:t>
            </w:r>
          </w:p>
          <w:p w:rsidR="00154773" w:rsidRPr="0053423A" w:rsidRDefault="00154773" w:rsidP="00154773">
            <w:pPr>
              <w:ind w:left="426" w:firstLine="375"/>
              <w:jc w:val="center"/>
              <w:rPr>
                <w:rFonts w:eastAsia="Times New Roman" w:cs="Times New Roman"/>
                <w:sz w:val="20"/>
                <w:szCs w:val="20"/>
              </w:rPr>
            </w:pPr>
          </w:p>
          <w:p w:rsidR="00154773" w:rsidRPr="0053423A" w:rsidRDefault="00154773" w:rsidP="00154773">
            <w:pPr>
              <w:ind w:left="426" w:firstLine="374"/>
              <w:rPr>
                <w:rFonts w:eastAsia="Times New Roman" w:cs="Times New Roman"/>
                <w:sz w:val="20"/>
                <w:szCs w:val="20"/>
              </w:rPr>
            </w:pPr>
            <w:r w:rsidRPr="0053423A">
              <w:rPr>
                <w:rFonts w:eastAsia="Times New Roman" w:cs="Times New Roman"/>
                <w:b/>
                <w:sz w:val="20"/>
                <w:szCs w:val="20"/>
                <w:lang w:val="hy-AM"/>
              </w:rPr>
              <w:t>1. Միջոցառման իրականացման անհրաժեշտությունը և նպատակը</w:t>
            </w:r>
            <w:r w:rsidRPr="0053423A">
              <w:rPr>
                <w:rFonts w:eastAsia="Times New Roman" w:cs="Times New Roman"/>
                <w:sz w:val="20"/>
                <w:szCs w:val="20"/>
                <w:lang w:val="hy-AM"/>
              </w:rPr>
              <w:t xml:space="preserve"> </w:t>
            </w:r>
          </w:p>
          <w:p w:rsidR="00154773" w:rsidRPr="0053423A" w:rsidRDefault="00154773" w:rsidP="00154773">
            <w:pPr>
              <w:ind w:left="426" w:firstLine="374"/>
              <w:rPr>
                <w:rFonts w:eastAsia="Times New Roman" w:cs="Times New Roman"/>
                <w:sz w:val="20"/>
                <w:szCs w:val="20"/>
              </w:rPr>
            </w:pPr>
          </w:p>
          <w:p w:rsidR="00154773" w:rsidRPr="0053423A" w:rsidRDefault="00154773" w:rsidP="00154773">
            <w:pPr>
              <w:ind w:firstLine="360"/>
              <w:jc w:val="both"/>
              <w:rPr>
                <w:rFonts w:eastAsia="Times New Roman" w:cs="Times New Roman"/>
                <w:sz w:val="20"/>
                <w:szCs w:val="20"/>
              </w:rPr>
            </w:pPr>
            <w:r w:rsidRPr="0053423A">
              <w:rPr>
                <w:rFonts w:eastAsia="Times New Roman" w:cs="Times New Roman"/>
                <w:sz w:val="20"/>
                <w:szCs w:val="20"/>
              </w:rPr>
              <w:t xml:space="preserve">Միջոցառման գլխավոր նպատակն է գիտության ոլորտում իրականացվող ծրագրերի և միջոցառումների համապատասխանեցումը երկրի տնտեսության կարիքներին, հետազոտությունների իրականացման միջազգային արդի պահանջներին և սկզբունքներին: </w:t>
            </w:r>
          </w:p>
          <w:p w:rsidR="00154773" w:rsidRPr="0053423A" w:rsidRDefault="00154773" w:rsidP="00154773">
            <w:pPr>
              <w:ind w:firstLine="360"/>
              <w:jc w:val="both"/>
              <w:rPr>
                <w:spacing w:val="-4"/>
                <w:sz w:val="20"/>
                <w:szCs w:val="20"/>
              </w:rPr>
            </w:pPr>
            <w:r w:rsidRPr="0053423A">
              <w:rPr>
                <w:rFonts w:eastAsia="Times New Roman" w:cs="Times New Roman"/>
                <w:sz w:val="20"/>
                <w:szCs w:val="20"/>
              </w:rPr>
              <w:t>«4.1 «Հայագիտական հետազոտությունների առաջանցիկ զարգացման ապահովում, այդ թվում` միջազգային համագործակցության զարգացման մակարդակի բարձրացում» մ</w:t>
            </w:r>
            <w:r w:rsidRPr="0053423A">
              <w:rPr>
                <w:spacing w:val="-4"/>
                <w:sz w:val="20"/>
                <w:szCs w:val="20"/>
              </w:rPr>
              <w:t xml:space="preserve">իջոցառման անհրաժեշտությունը բխում է ՀՀ  ԱԺ 2019 թվականի փետրվարի 14-ի ԱԺՈ-002-Ն որոշմամբ հավանության արժանացած ՀՀ կառավարության ծրագրի </w:t>
            </w:r>
            <w:r w:rsidRPr="0053423A">
              <w:rPr>
                <w:rFonts w:eastAsia="Times New Roman" w:cs="Times New Roman"/>
                <w:sz w:val="20"/>
                <w:szCs w:val="20"/>
              </w:rPr>
              <w:t>«</w:t>
            </w:r>
            <w:r w:rsidRPr="0053423A">
              <w:rPr>
                <w:spacing w:val="-4"/>
                <w:sz w:val="20"/>
                <w:szCs w:val="20"/>
              </w:rPr>
              <w:t>4.4 ԿՐԹՈՒԹՅՈՒՆ ԵՎ ԳԻՏՈՒԹՅՈՒՆ</w:t>
            </w:r>
            <w:r w:rsidRPr="0053423A">
              <w:rPr>
                <w:rFonts w:eastAsia="Times New Roman" w:cs="Times New Roman"/>
                <w:sz w:val="20"/>
                <w:szCs w:val="20"/>
              </w:rPr>
              <w:t>» կետի «</w:t>
            </w:r>
            <w:r w:rsidRPr="0053423A">
              <w:rPr>
                <w:spacing w:val="-4"/>
                <w:sz w:val="20"/>
                <w:szCs w:val="20"/>
              </w:rPr>
              <w:t>Գիտության ոլորտին» վերաբերող բաժնի 6-րդ պարբերությունից՝ նպատակ ունենալով ապահովել հայագիտության ոլորտի առաջանցիկ զարգացումը:</w:t>
            </w:r>
          </w:p>
          <w:p w:rsidR="00154773" w:rsidRPr="0053423A" w:rsidRDefault="00154773" w:rsidP="00154773">
            <w:pPr>
              <w:ind w:firstLine="360"/>
              <w:jc w:val="both"/>
              <w:rPr>
                <w:spacing w:val="-4"/>
                <w:sz w:val="20"/>
                <w:szCs w:val="20"/>
              </w:rPr>
            </w:pPr>
          </w:p>
          <w:p w:rsidR="00154773" w:rsidRPr="0053423A" w:rsidRDefault="00154773" w:rsidP="001F6D5D">
            <w:pPr>
              <w:numPr>
                <w:ilvl w:val="1"/>
                <w:numId w:val="465"/>
              </w:numPr>
              <w:contextualSpacing/>
              <w:rPr>
                <w:rFonts w:eastAsia="Times New Roman" w:cs="Times New Roman"/>
                <w:sz w:val="20"/>
                <w:szCs w:val="20"/>
              </w:rPr>
            </w:pPr>
            <w:r w:rsidRPr="0053423A">
              <w:rPr>
                <w:rFonts w:eastAsia="Times New Roman" w:cs="Times New Roman"/>
                <w:b/>
                <w:sz w:val="20"/>
                <w:szCs w:val="20"/>
                <w:lang w:val="hy-AM"/>
              </w:rPr>
              <w:t>կարգավորման հարաբերությունների ներկա վիճակը և առկա խնդիրները</w:t>
            </w:r>
            <w:r w:rsidRPr="0053423A">
              <w:rPr>
                <w:rFonts w:eastAsia="Times New Roman" w:cs="Times New Roman"/>
                <w:sz w:val="20"/>
                <w:szCs w:val="20"/>
                <w:lang w:val="hy-AM"/>
              </w:rPr>
              <w:t xml:space="preserve"> </w:t>
            </w:r>
          </w:p>
          <w:p w:rsidR="00154773" w:rsidRPr="0053423A" w:rsidRDefault="00154773" w:rsidP="00154773">
            <w:pPr>
              <w:ind w:left="1160"/>
              <w:contextualSpacing/>
              <w:rPr>
                <w:rFonts w:eastAsia="Times New Roman" w:cs="Times New Roman"/>
                <w:sz w:val="20"/>
                <w:szCs w:val="20"/>
              </w:rPr>
            </w:pPr>
          </w:p>
          <w:p w:rsidR="00154773" w:rsidRPr="0053423A" w:rsidRDefault="00154773" w:rsidP="00154773">
            <w:pPr>
              <w:ind w:firstLine="360"/>
              <w:contextualSpacing/>
              <w:jc w:val="both"/>
              <w:rPr>
                <w:rFonts w:eastAsia="Calibri" w:cs="Times New Roman"/>
                <w:sz w:val="20"/>
                <w:szCs w:val="20"/>
                <w:lang w:val="af-ZA"/>
              </w:rPr>
            </w:pPr>
            <w:r w:rsidRPr="0053423A">
              <w:rPr>
                <w:sz w:val="20"/>
                <w:szCs w:val="20"/>
              </w:rPr>
              <w:t>Հայագիտական հետազոտությունների առաջանցիկ</w:t>
            </w:r>
            <w:r w:rsidRPr="0053423A">
              <w:rPr>
                <w:rFonts w:eastAsia="Calibri" w:cs="Times New Roman"/>
                <w:sz w:val="20"/>
                <w:szCs w:val="20"/>
              </w:rPr>
              <w:t xml:space="preserve"> զարգացման </w:t>
            </w:r>
            <w:r w:rsidRPr="0053423A">
              <w:rPr>
                <w:sz w:val="20"/>
                <w:szCs w:val="20"/>
              </w:rPr>
              <w:t>ապահովումը</w:t>
            </w:r>
            <w:r w:rsidRPr="0053423A">
              <w:rPr>
                <w:rFonts w:eastAsia="Calibri" w:cs="Times New Roman"/>
                <w:sz w:val="20"/>
                <w:szCs w:val="20"/>
              </w:rPr>
              <w:t xml:space="preserve"> պետական քաղաքականության գերակա ուղղություններից է և կոչված է պահպանելու ժողովրդի ազգային նկարագիրը, իրականացնելու սերունդներին կրթելու, հայեցի դաստիարակելու և Հայրենիքին նվիրված քաղաքացիներ պատրաստելու գործը` նպատակաուղղված պետականության հզորացմանը, հայոց ազգային գաղափարախոսության ձևավորմանը</w:t>
            </w:r>
            <w:r w:rsidRPr="0053423A">
              <w:rPr>
                <w:sz w:val="20"/>
                <w:szCs w:val="20"/>
              </w:rPr>
              <w:t xml:space="preserve">: </w:t>
            </w:r>
            <w:r w:rsidRPr="0053423A">
              <w:rPr>
                <w:rFonts w:eastAsia="Calibri" w:cs="Sylfaen"/>
                <w:sz w:val="20"/>
                <w:szCs w:val="20"/>
              </w:rPr>
              <w:t>Աշխարհի</w:t>
            </w:r>
            <w:r w:rsidRPr="0053423A">
              <w:rPr>
                <w:rFonts w:eastAsia="Calibri" w:cs="Times New Roman"/>
                <w:sz w:val="20"/>
                <w:szCs w:val="20"/>
              </w:rPr>
              <w:t xml:space="preserve"> </w:t>
            </w:r>
            <w:r w:rsidRPr="0053423A">
              <w:rPr>
                <w:rFonts w:eastAsia="Calibri" w:cs="Sylfaen"/>
                <w:sz w:val="20"/>
                <w:szCs w:val="20"/>
              </w:rPr>
              <w:t>տարբեր</w:t>
            </w:r>
            <w:r w:rsidRPr="0053423A">
              <w:rPr>
                <w:rFonts w:eastAsia="Calibri" w:cs="Times New Roman"/>
                <w:sz w:val="20"/>
                <w:szCs w:val="20"/>
              </w:rPr>
              <w:t xml:space="preserve"> </w:t>
            </w:r>
            <w:r w:rsidRPr="0053423A">
              <w:rPr>
                <w:rFonts w:eastAsia="Calibri" w:cs="Sylfaen"/>
                <w:sz w:val="20"/>
                <w:szCs w:val="20"/>
              </w:rPr>
              <w:t>երկրներում</w:t>
            </w:r>
            <w:r w:rsidRPr="0053423A">
              <w:rPr>
                <w:rFonts w:eastAsia="Calibri" w:cs="Times New Roman"/>
                <w:sz w:val="20"/>
                <w:szCs w:val="20"/>
              </w:rPr>
              <w:t xml:space="preserve"> </w:t>
            </w:r>
            <w:r w:rsidRPr="0053423A">
              <w:rPr>
                <w:rFonts w:eastAsia="Calibri" w:cs="Sylfaen"/>
                <w:sz w:val="20"/>
                <w:szCs w:val="20"/>
              </w:rPr>
              <w:t>եղել</w:t>
            </w:r>
            <w:r w:rsidRPr="0053423A">
              <w:rPr>
                <w:rFonts w:eastAsia="Calibri" w:cs="Times New Roman"/>
                <w:sz w:val="20"/>
                <w:szCs w:val="20"/>
              </w:rPr>
              <w:t xml:space="preserve"> </w:t>
            </w:r>
            <w:r w:rsidRPr="0053423A">
              <w:rPr>
                <w:rFonts w:eastAsia="Calibri" w:cs="Sylfaen"/>
                <w:sz w:val="20"/>
                <w:szCs w:val="20"/>
              </w:rPr>
              <w:t>ու</w:t>
            </w:r>
            <w:r w:rsidRPr="0053423A">
              <w:rPr>
                <w:rFonts w:eastAsia="Calibri" w:cs="Times New Roman"/>
                <w:sz w:val="20"/>
                <w:szCs w:val="20"/>
              </w:rPr>
              <w:t xml:space="preserve"> գ</w:t>
            </w:r>
            <w:r w:rsidRPr="0053423A">
              <w:rPr>
                <w:rFonts w:eastAsia="Calibri" w:cs="Sylfaen"/>
                <w:sz w:val="20"/>
                <w:szCs w:val="20"/>
              </w:rPr>
              <w:t>ործում</w:t>
            </w:r>
            <w:r w:rsidRPr="0053423A">
              <w:rPr>
                <w:rFonts w:eastAsia="Calibri" w:cs="Times New Roman"/>
                <w:sz w:val="20"/>
                <w:szCs w:val="20"/>
              </w:rPr>
              <w:t xml:space="preserve"> </w:t>
            </w:r>
            <w:r w:rsidRPr="0053423A">
              <w:rPr>
                <w:rFonts w:eastAsia="Calibri" w:cs="Sylfaen"/>
                <w:sz w:val="20"/>
                <w:szCs w:val="20"/>
              </w:rPr>
              <w:t>են</w:t>
            </w:r>
            <w:r w:rsidRPr="0053423A">
              <w:rPr>
                <w:rFonts w:eastAsia="Calibri" w:cs="Times New Roman"/>
                <w:sz w:val="20"/>
                <w:szCs w:val="20"/>
              </w:rPr>
              <w:t xml:space="preserve"> </w:t>
            </w:r>
            <w:r w:rsidRPr="0053423A">
              <w:rPr>
                <w:rFonts w:eastAsia="Calibri" w:cs="Sylfaen"/>
                <w:sz w:val="20"/>
                <w:szCs w:val="20"/>
              </w:rPr>
              <w:t>հայա</w:t>
            </w:r>
            <w:r w:rsidRPr="0053423A">
              <w:rPr>
                <w:rFonts w:eastAsia="Calibri" w:cs="Times New Roman"/>
                <w:sz w:val="20"/>
                <w:szCs w:val="20"/>
              </w:rPr>
              <w:t>գ</w:t>
            </w:r>
            <w:r w:rsidRPr="0053423A">
              <w:rPr>
                <w:rFonts w:eastAsia="Calibri" w:cs="Sylfaen"/>
                <w:sz w:val="20"/>
                <w:szCs w:val="20"/>
              </w:rPr>
              <w:t>իտական</w:t>
            </w:r>
            <w:r w:rsidRPr="0053423A">
              <w:rPr>
                <w:rFonts w:eastAsia="Calibri" w:cs="Times New Roman"/>
                <w:sz w:val="20"/>
                <w:szCs w:val="20"/>
              </w:rPr>
              <w:t xml:space="preserve"> </w:t>
            </w:r>
            <w:r w:rsidRPr="0053423A">
              <w:rPr>
                <w:rFonts w:eastAsia="Calibri" w:cs="Sylfaen"/>
                <w:sz w:val="20"/>
                <w:szCs w:val="20"/>
              </w:rPr>
              <w:t>կենտրոններ</w:t>
            </w:r>
            <w:r w:rsidRPr="0053423A">
              <w:rPr>
                <w:rFonts w:eastAsia="Calibri" w:cs="Times New Roman"/>
                <w:sz w:val="20"/>
                <w:szCs w:val="20"/>
              </w:rPr>
              <w:t xml:space="preserve">, </w:t>
            </w:r>
            <w:r w:rsidRPr="0053423A">
              <w:rPr>
                <w:rFonts w:eastAsia="Calibri" w:cs="Sylfaen"/>
                <w:sz w:val="20"/>
                <w:szCs w:val="20"/>
              </w:rPr>
              <w:t>բայց</w:t>
            </w:r>
            <w:r w:rsidRPr="0053423A">
              <w:rPr>
                <w:rFonts w:eastAsia="Calibri" w:cs="Times New Roman"/>
                <w:sz w:val="20"/>
                <w:szCs w:val="20"/>
              </w:rPr>
              <w:t xml:space="preserve">  </w:t>
            </w:r>
            <w:r w:rsidRPr="0053423A">
              <w:rPr>
                <w:rFonts w:eastAsia="Calibri" w:cs="Sylfaen"/>
                <w:sz w:val="20"/>
                <w:szCs w:val="20"/>
              </w:rPr>
              <w:t>հայա</w:t>
            </w:r>
            <w:r w:rsidRPr="0053423A">
              <w:rPr>
                <w:rFonts w:eastAsia="Calibri" w:cs="Times New Roman"/>
                <w:sz w:val="20"/>
                <w:szCs w:val="20"/>
              </w:rPr>
              <w:t>գ</w:t>
            </w:r>
            <w:r w:rsidRPr="0053423A">
              <w:rPr>
                <w:rFonts w:eastAsia="Calibri" w:cs="Sylfaen"/>
                <w:sz w:val="20"/>
                <w:szCs w:val="20"/>
              </w:rPr>
              <w:t>իտության</w:t>
            </w:r>
            <w:r w:rsidRPr="0053423A">
              <w:rPr>
                <w:rFonts w:eastAsia="Calibri" w:cs="Times New Roman"/>
                <w:sz w:val="20"/>
                <w:szCs w:val="20"/>
              </w:rPr>
              <w:t xml:space="preserve"> </w:t>
            </w:r>
            <w:r w:rsidRPr="0053423A">
              <w:rPr>
                <w:rFonts w:eastAsia="Calibri" w:cs="Sylfaen"/>
                <w:sz w:val="20"/>
                <w:szCs w:val="20"/>
              </w:rPr>
              <w:t>զար</w:t>
            </w:r>
            <w:r w:rsidRPr="0053423A">
              <w:rPr>
                <w:rFonts w:eastAsia="Calibri" w:cs="Times New Roman"/>
                <w:sz w:val="20"/>
                <w:szCs w:val="20"/>
              </w:rPr>
              <w:t>գ</w:t>
            </w:r>
            <w:r w:rsidRPr="0053423A">
              <w:rPr>
                <w:rFonts w:eastAsia="Calibri" w:cs="Sylfaen"/>
                <w:sz w:val="20"/>
                <w:szCs w:val="20"/>
              </w:rPr>
              <w:t>ացման</w:t>
            </w:r>
            <w:r w:rsidRPr="0053423A">
              <w:rPr>
                <w:rFonts w:eastAsia="Calibri" w:cs="Times New Roman"/>
                <w:sz w:val="20"/>
                <w:szCs w:val="20"/>
              </w:rPr>
              <w:t xml:space="preserve"> գ</w:t>
            </w:r>
            <w:r w:rsidRPr="0053423A">
              <w:rPr>
                <w:rFonts w:eastAsia="Calibri" w:cs="Sylfaen"/>
                <w:sz w:val="20"/>
                <w:szCs w:val="20"/>
              </w:rPr>
              <w:t>լխավոր</w:t>
            </w:r>
            <w:r w:rsidRPr="0053423A">
              <w:rPr>
                <w:rFonts w:eastAsia="Calibri" w:cs="Times New Roman"/>
                <w:sz w:val="20"/>
                <w:szCs w:val="20"/>
              </w:rPr>
              <w:t xml:space="preserve"> </w:t>
            </w:r>
            <w:r w:rsidRPr="0053423A">
              <w:rPr>
                <w:rFonts w:eastAsia="Calibri" w:cs="Sylfaen"/>
                <w:sz w:val="20"/>
                <w:szCs w:val="20"/>
              </w:rPr>
              <w:t>կենտրոնն</w:t>
            </w:r>
            <w:r w:rsidRPr="0053423A">
              <w:rPr>
                <w:rFonts w:eastAsia="Calibri" w:cs="Times New Roman"/>
                <w:sz w:val="20"/>
                <w:szCs w:val="20"/>
              </w:rPr>
              <w:t xml:space="preserve"> </w:t>
            </w:r>
            <w:r w:rsidRPr="0053423A">
              <w:rPr>
                <w:rFonts w:eastAsia="Calibri" w:cs="Sylfaen"/>
                <w:sz w:val="20"/>
                <w:szCs w:val="20"/>
              </w:rPr>
              <w:t>այսօր</w:t>
            </w:r>
            <w:r w:rsidRPr="0053423A">
              <w:rPr>
                <w:rFonts w:eastAsia="Calibri" w:cs="Times New Roman"/>
                <w:sz w:val="20"/>
                <w:szCs w:val="20"/>
              </w:rPr>
              <w:t xml:space="preserve"> </w:t>
            </w:r>
            <w:r w:rsidRPr="0053423A">
              <w:rPr>
                <w:rFonts w:eastAsia="Calibri" w:cs="Sylfaen"/>
                <w:sz w:val="20"/>
                <w:szCs w:val="20"/>
              </w:rPr>
              <w:t>ՀՀ-ն</w:t>
            </w:r>
            <w:r w:rsidRPr="0053423A">
              <w:rPr>
                <w:rFonts w:eastAsia="Calibri" w:cs="Times New Roman"/>
                <w:sz w:val="20"/>
                <w:szCs w:val="20"/>
              </w:rPr>
              <w:t xml:space="preserve"> </w:t>
            </w:r>
            <w:r w:rsidRPr="0053423A">
              <w:rPr>
                <w:rFonts w:eastAsia="Calibri" w:cs="Sylfaen"/>
                <w:sz w:val="20"/>
                <w:szCs w:val="20"/>
              </w:rPr>
              <w:t>է</w:t>
            </w:r>
            <w:r w:rsidRPr="0053423A">
              <w:rPr>
                <w:rFonts w:eastAsia="Calibri" w:cs="Times New Roman"/>
                <w:sz w:val="20"/>
                <w:szCs w:val="20"/>
              </w:rPr>
              <w:t xml:space="preserve">, </w:t>
            </w:r>
            <w:r w:rsidRPr="0053423A">
              <w:rPr>
                <w:rFonts w:eastAsia="Calibri" w:cs="Sylfaen"/>
                <w:sz w:val="20"/>
                <w:szCs w:val="20"/>
              </w:rPr>
              <w:t>ուր</w:t>
            </w:r>
            <w:r w:rsidRPr="0053423A">
              <w:rPr>
                <w:rFonts w:eastAsia="Calibri" w:cs="Times New Roman"/>
                <w:sz w:val="20"/>
                <w:szCs w:val="20"/>
              </w:rPr>
              <w:t xml:space="preserve"> </w:t>
            </w:r>
            <w:r w:rsidRPr="0053423A">
              <w:rPr>
                <w:rFonts w:eastAsia="Calibri" w:cs="Sylfaen"/>
                <w:sz w:val="20"/>
                <w:szCs w:val="20"/>
              </w:rPr>
              <w:t>հայա</w:t>
            </w:r>
            <w:r w:rsidRPr="0053423A">
              <w:rPr>
                <w:rFonts w:eastAsia="Calibri" w:cs="Times New Roman"/>
                <w:sz w:val="20"/>
                <w:szCs w:val="20"/>
              </w:rPr>
              <w:t>գ</w:t>
            </w:r>
            <w:r w:rsidRPr="0053423A">
              <w:rPr>
                <w:rFonts w:eastAsia="Calibri" w:cs="Sylfaen"/>
                <w:sz w:val="20"/>
                <w:szCs w:val="20"/>
              </w:rPr>
              <w:t>իտության</w:t>
            </w:r>
            <w:r w:rsidRPr="0053423A">
              <w:rPr>
                <w:rFonts w:eastAsia="Calibri" w:cs="Times New Roman"/>
                <w:sz w:val="20"/>
                <w:szCs w:val="20"/>
              </w:rPr>
              <w:t xml:space="preserve"> </w:t>
            </w:r>
            <w:r w:rsidRPr="0053423A">
              <w:rPr>
                <w:rFonts w:eastAsia="Calibri" w:cs="Sylfaen"/>
                <w:sz w:val="20"/>
                <w:szCs w:val="20"/>
              </w:rPr>
              <w:t>ներ</w:t>
            </w:r>
            <w:r w:rsidRPr="0053423A">
              <w:rPr>
                <w:rFonts w:eastAsia="Calibri" w:cs="Sylfaen"/>
                <w:sz w:val="20"/>
                <w:szCs w:val="20"/>
              </w:rPr>
              <w:softHyphen/>
              <w:t>դաշ</w:t>
            </w:r>
            <w:r w:rsidRPr="0053423A">
              <w:rPr>
                <w:rFonts w:eastAsia="Calibri" w:cs="Sylfaen"/>
                <w:sz w:val="20"/>
                <w:szCs w:val="20"/>
              </w:rPr>
              <w:softHyphen/>
              <w:t>նակ</w:t>
            </w:r>
            <w:r w:rsidRPr="0053423A">
              <w:rPr>
                <w:rFonts w:eastAsia="Calibri" w:cs="Times New Roman"/>
                <w:sz w:val="20"/>
                <w:szCs w:val="20"/>
              </w:rPr>
              <w:t xml:space="preserve"> </w:t>
            </w:r>
            <w:r w:rsidRPr="0053423A">
              <w:rPr>
                <w:rFonts w:eastAsia="Calibri" w:cs="Sylfaen"/>
                <w:sz w:val="20"/>
                <w:szCs w:val="20"/>
              </w:rPr>
              <w:t>և</w:t>
            </w:r>
            <w:r w:rsidRPr="0053423A">
              <w:rPr>
                <w:rFonts w:eastAsia="Calibri" w:cs="Times New Roman"/>
                <w:sz w:val="20"/>
                <w:szCs w:val="20"/>
              </w:rPr>
              <w:t xml:space="preserve"> </w:t>
            </w:r>
            <w:r w:rsidRPr="0053423A">
              <w:rPr>
                <w:rFonts w:eastAsia="Calibri" w:cs="Sylfaen"/>
                <w:sz w:val="20"/>
                <w:szCs w:val="20"/>
              </w:rPr>
              <w:t>համակողմանի</w:t>
            </w:r>
            <w:r w:rsidRPr="0053423A">
              <w:rPr>
                <w:rFonts w:eastAsia="Calibri" w:cs="Times New Roman"/>
                <w:sz w:val="20"/>
                <w:szCs w:val="20"/>
              </w:rPr>
              <w:t xml:space="preserve"> </w:t>
            </w:r>
            <w:r w:rsidRPr="0053423A">
              <w:rPr>
                <w:rFonts w:eastAsia="Calibri" w:cs="Sylfaen"/>
                <w:sz w:val="20"/>
                <w:szCs w:val="20"/>
              </w:rPr>
              <w:t>զար</w:t>
            </w:r>
            <w:r w:rsidRPr="0053423A">
              <w:rPr>
                <w:rFonts w:eastAsia="Calibri" w:cs="Times New Roman"/>
                <w:sz w:val="20"/>
                <w:szCs w:val="20"/>
              </w:rPr>
              <w:t>գ</w:t>
            </w:r>
            <w:r w:rsidRPr="0053423A">
              <w:rPr>
                <w:rFonts w:eastAsia="Calibri" w:cs="Sylfaen"/>
                <w:sz w:val="20"/>
                <w:szCs w:val="20"/>
              </w:rPr>
              <w:t>ացումն</w:t>
            </w:r>
            <w:r w:rsidRPr="0053423A">
              <w:rPr>
                <w:rFonts w:eastAsia="Calibri" w:cs="Times New Roman"/>
                <w:sz w:val="20"/>
                <w:szCs w:val="20"/>
              </w:rPr>
              <w:t xml:space="preserve"> </w:t>
            </w:r>
            <w:r w:rsidRPr="0053423A">
              <w:rPr>
                <w:rFonts w:eastAsia="Calibri" w:cs="Sylfaen"/>
                <w:sz w:val="20"/>
                <w:szCs w:val="20"/>
              </w:rPr>
              <w:t>ապահովվում</w:t>
            </w:r>
            <w:r w:rsidRPr="0053423A">
              <w:rPr>
                <w:rFonts w:eastAsia="Calibri" w:cs="Times New Roman"/>
                <w:sz w:val="20"/>
                <w:szCs w:val="20"/>
              </w:rPr>
              <w:t xml:space="preserve"> </w:t>
            </w:r>
            <w:r w:rsidRPr="0053423A">
              <w:rPr>
                <w:rFonts w:eastAsia="Calibri" w:cs="Sylfaen"/>
                <w:sz w:val="20"/>
                <w:szCs w:val="20"/>
              </w:rPr>
              <w:t>է</w:t>
            </w:r>
            <w:r w:rsidRPr="0053423A">
              <w:rPr>
                <w:rFonts w:eastAsia="Calibri" w:cs="Times New Roman"/>
                <w:sz w:val="20"/>
                <w:szCs w:val="20"/>
              </w:rPr>
              <w:t xml:space="preserve"> </w:t>
            </w:r>
            <w:r w:rsidRPr="0053423A">
              <w:rPr>
                <w:rFonts w:eastAsia="Calibri" w:cs="Sylfaen"/>
                <w:sz w:val="20"/>
                <w:szCs w:val="20"/>
              </w:rPr>
              <w:t>պետության</w:t>
            </w:r>
            <w:r w:rsidRPr="0053423A">
              <w:rPr>
                <w:rFonts w:eastAsia="Calibri" w:cs="Times New Roman"/>
                <w:sz w:val="20"/>
                <w:szCs w:val="20"/>
              </w:rPr>
              <w:t xml:space="preserve"> </w:t>
            </w:r>
            <w:r w:rsidRPr="0053423A">
              <w:rPr>
                <w:rFonts w:eastAsia="Calibri" w:cs="Sylfaen"/>
                <w:sz w:val="20"/>
                <w:szCs w:val="20"/>
              </w:rPr>
              <w:t>մշտական</w:t>
            </w:r>
            <w:r w:rsidRPr="0053423A">
              <w:rPr>
                <w:rFonts w:eastAsia="Calibri" w:cs="Times New Roman"/>
                <w:sz w:val="20"/>
                <w:szCs w:val="20"/>
              </w:rPr>
              <w:t xml:space="preserve"> </w:t>
            </w:r>
            <w:r w:rsidRPr="0053423A">
              <w:rPr>
                <w:rFonts w:eastAsia="Calibri" w:cs="Sylfaen"/>
                <w:sz w:val="20"/>
                <w:szCs w:val="20"/>
              </w:rPr>
              <w:t>օժանդա</w:t>
            </w:r>
            <w:r w:rsidRPr="0053423A">
              <w:rPr>
                <w:rFonts w:eastAsia="Calibri" w:cs="Sylfaen"/>
                <w:sz w:val="20"/>
                <w:szCs w:val="20"/>
              </w:rPr>
              <w:softHyphen/>
              <w:t>կու</w:t>
            </w:r>
            <w:r w:rsidRPr="0053423A">
              <w:rPr>
                <w:rFonts w:eastAsia="Calibri" w:cs="Sylfaen"/>
                <w:sz w:val="20"/>
                <w:szCs w:val="20"/>
              </w:rPr>
              <w:softHyphen/>
              <w:t>թյամբ</w:t>
            </w:r>
            <w:r w:rsidRPr="0053423A">
              <w:rPr>
                <w:rFonts w:eastAsia="Calibri" w:cs="Times New Roman"/>
                <w:sz w:val="20"/>
                <w:szCs w:val="20"/>
              </w:rPr>
              <w:t xml:space="preserve"> </w:t>
            </w:r>
            <w:r w:rsidRPr="0053423A">
              <w:rPr>
                <w:rFonts w:eastAsia="Calibri" w:cs="Sylfaen"/>
                <w:sz w:val="20"/>
                <w:szCs w:val="20"/>
              </w:rPr>
              <w:t>ու</w:t>
            </w:r>
            <w:r w:rsidRPr="0053423A">
              <w:rPr>
                <w:rFonts w:eastAsia="Calibri" w:cs="Times New Roman"/>
                <w:sz w:val="20"/>
                <w:szCs w:val="20"/>
              </w:rPr>
              <w:t xml:space="preserve"> </w:t>
            </w:r>
            <w:r w:rsidRPr="0053423A">
              <w:rPr>
                <w:rFonts w:eastAsia="Calibri" w:cs="Sylfaen"/>
                <w:sz w:val="20"/>
                <w:szCs w:val="20"/>
              </w:rPr>
              <w:t>հո</w:t>
            </w:r>
            <w:r w:rsidRPr="0053423A">
              <w:rPr>
                <w:rFonts w:eastAsia="Calibri" w:cs="Times New Roman"/>
                <w:sz w:val="20"/>
                <w:szCs w:val="20"/>
              </w:rPr>
              <w:t>գ</w:t>
            </w:r>
            <w:r w:rsidRPr="0053423A">
              <w:rPr>
                <w:rFonts w:eastAsia="Calibri" w:cs="Sylfaen"/>
                <w:sz w:val="20"/>
                <w:szCs w:val="20"/>
              </w:rPr>
              <w:t>ածությամբ</w:t>
            </w:r>
            <w:r w:rsidRPr="0053423A">
              <w:rPr>
                <w:spacing w:val="-4"/>
                <w:sz w:val="20"/>
                <w:szCs w:val="20"/>
              </w:rPr>
              <w:t xml:space="preserve">: </w:t>
            </w:r>
            <w:r w:rsidRPr="0053423A">
              <w:rPr>
                <w:rFonts w:eastAsia="Calibri" w:cs="Times New Roman"/>
                <w:sz w:val="20"/>
                <w:szCs w:val="20"/>
              </w:rPr>
              <w:t>Հայագիտության ոլորտում այսօր հրատապ խնդիրներ</w:t>
            </w:r>
            <w:r w:rsidRPr="0053423A">
              <w:rPr>
                <w:sz w:val="20"/>
                <w:szCs w:val="20"/>
              </w:rPr>
              <w:t xml:space="preserve">ից է, մասնավորապես, </w:t>
            </w:r>
            <w:r w:rsidRPr="0053423A">
              <w:rPr>
                <w:rFonts w:eastAsia="Calibri" w:cs="Times New Roman"/>
                <w:sz w:val="20"/>
                <w:szCs w:val="20"/>
                <w:lang w:val="af-ZA"/>
              </w:rPr>
              <w:t>օտարալեզու լսարանին հասու աշխատանքներ</w:t>
            </w:r>
            <w:r w:rsidRPr="0053423A">
              <w:rPr>
                <w:sz w:val="20"/>
                <w:szCs w:val="20"/>
                <w:lang w:val="af-ZA"/>
              </w:rPr>
              <w:t xml:space="preserve">ի սակավությունը, քանի որ </w:t>
            </w:r>
            <w:r w:rsidRPr="0053423A">
              <w:rPr>
                <w:rFonts w:eastAsia="Calibri" w:cs="Times New Roman"/>
                <w:sz w:val="20"/>
                <w:szCs w:val="20"/>
                <w:lang w:val="af-ZA"/>
              </w:rPr>
              <w:t>հայագիտության ոլորտի գիտական աշխատանքները հիմնականում</w:t>
            </w:r>
            <w:r w:rsidRPr="0053423A">
              <w:rPr>
                <w:sz w:val="20"/>
                <w:szCs w:val="20"/>
                <w:lang w:val="af-ZA"/>
              </w:rPr>
              <w:t xml:space="preserve"> տպագրվում են</w:t>
            </w:r>
            <w:r w:rsidRPr="0053423A">
              <w:rPr>
                <w:rFonts w:eastAsia="Calibri" w:cs="Times New Roman"/>
                <w:sz w:val="20"/>
                <w:szCs w:val="20"/>
                <w:lang w:val="af-ZA"/>
              </w:rPr>
              <w:t xml:space="preserve"> հայերեն լեզվով</w:t>
            </w:r>
            <w:r w:rsidRPr="0053423A">
              <w:rPr>
                <w:sz w:val="20"/>
                <w:szCs w:val="20"/>
                <w:lang w:val="af-ZA"/>
              </w:rPr>
              <w:t xml:space="preserve">: </w:t>
            </w:r>
            <w:r w:rsidRPr="0053423A">
              <w:rPr>
                <w:rFonts w:eastAsia="Calibri" w:cs="Times New Roman"/>
                <w:sz w:val="20"/>
                <w:szCs w:val="20"/>
                <w:lang w:val="af-ZA"/>
              </w:rPr>
              <w:t xml:space="preserve"> </w:t>
            </w:r>
          </w:p>
          <w:p w:rsidR="00154773" w:rsidRPr="0053423A" w:rsidRDefault="00154773" w:rsidP="00154773">
            <w:pPr>
              <w:ind w:left="426" w:firstLine="294"/>
              <w:contextualSpacing/>
              <w:jc w:val="both"/>
              <w:rPr>
                <w:sz w:val="20"/>
                <w:szCs w:val="20"/>
              </w:rPr>
            </w:pPr>
          </w:p>
          <w:p w:rsidR="00154773" w:rsidRPr="0053423A" w:rsidRDefault="00154773" w:rsidP="001F6D5D">
            <w:pPr>
              <w:numPr>
                <w:ilvl w:val="1"/>
                <w:numId w:val="465"/>
              </w:numPr>
              <w:contextualSpacing/>
              <w:jc w:val="both"/>
              <w:rPr>
                <w:rFonts w:eastAsia="Times New Roman" w:cs="Times New Roman"/>
                <w:sz w:val="20"/>
                <w:szCs w:val="20"/>
              </w:rPr>
            </w:pPr>
            <w:r w:rsidRPr="0053423A">
              <w:rPr>
                <w:rFonts w:eastAsia="Times New Roman" w:cs="Times New Roman"/>
                <w:b/>
                <w:sz w:val="20"/>
                <w:szCs w:val="20"/>
                <w:lang w:val="hy-AM"/>
              </w:rPr>
              <w:t>առկա խնդիրների առաջարկվող լուծումները</w:t>
            </w:r>
            <w:r w:rsidRPr="0053423A">
              <w:rPr>
                <w:rFonts w:eastAsia="Times New Roman" w:cs="Times New Roman"/>
                <w:sz w:val="20"/>
                <w:szCs w:val="20"/>
                <w:lang w:val="hy-AM"/>
              </w:rPr>
              <w:t xml:space="preserve"> </w:t>
            </w:r>
          </w:p>
          <w:p w:rsidR="00154773" w:rsidRPr="0053423A" w:rsidRDefault="00154773" w:rsidP="00154773">
            <w:pPr>
              <w:ind w:left="1160"/>
              <w:contextualSpacing/>
              <w:jc w:val="both"/>
              <w:rPr>
                <w:rFonts w:eastAsia="Times New Roman" w:cs="Times New Roman"/>
                <w:sz w:val="20"/>
                <w:szCs w:val="20"/>
              </w:rPr>
            </w:pPr>
          </w:p>
          <w:p w:rsidR="00154773" w:rsidRPr="0053423A" w:rsidRDefault="00154773" w:rsidP="00154773">
            <w:pPr>
              <w:ind w:firstLine="360"/>
              <w:contextualSpacing/>
              <w:jc w:val="both"/>
              <w:rPr>
                <w:spacing w:val="-4"/>
                <w:sz w:val="20"/>
                <w:szCs w:val="20"/>
              </w:rPr>
            </w:pPr>
            <w:r w:rsidRPr="0053423A">
              <w:rPr>
                <w:spacing w:val="-4"/>
                <w:sz w:val="20"/>
                <w:szCs w:val="20"/>
              </w:rPr>
              <w:t>Անհրաժեշտ է մշակել միջազգային համագործակցությունը խթանող մեխանիզմներ, ինչպես նաև ապահովել այլ պետությունների գիտական կառույցների հետ համագործակցության իրականացումը:</w:t>
            </w:r>
          </w:p>
          <w:p w:rsidR="00154773" w:rsidRPr="0053423A" w:rsidRDefault="00154773" w:rsidP="00154773">
            <w:pPr>
              <w:ind w:left="426" w:firstLine="294"/>
              <w:contextualSpacing/>
              <w:jc w:val="both"/>
              <w:rPr>
                <w:spacing w:val="-4"/>
                <w:sz w:val="20"/>
                <w:szCs w:val="20"/>
              </w:rPr>
            </w:pPr>
          </w:p>
          <w:p w:rsidR="00154773" w:rsidRPr="0053423A" w:rsidRDefault="00154773" w:rsidP="00154773">
            <w:pPr>
              <w:ind w:left="426" w:firstLine="374"/>
              <w:rPr>
                <w:rFonts w:eastAsia="Times New Roman" w:cs="Times New Roman"/>
                <w:b/>
                <w:sz w:val="20"/>
                <w:szCs w:val="20"/>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left="426" w:firstLine="374"/>
              <w:rPr>
                <w:rFonts w:eastAsia="Times New Roman" w:cs="Times New Roman"/>
                <w:b/>
                <w:sz w:val="20"/>
                <w:szCs w:val="20"/>
              </w:rPr>
            </w:pPr>
          </w:p>
          <w:p w:rsidR="00154773" w:rsidRPr="0053423A" w:rsidRDefault="00154773" w:rsidP="00154773">
            <w:pPr>
              <w:rPr>
                <w:rFonts w:eastAsia="Times New Roman" w:cs="Times New Roman"/>
                <w:b/>
                <w:sz w:val="20"/>
                <w:szCs w:val="20"/>
                <w:lang w:val="hy-AM"/>
              </w:rPr>
            </w:pPr>
            <w:r w:rsidRPr="0053423A">
              <w:rPr>
                <w:spacing w:val="-4"/>
                <w:sz w:val="20"/>
                <w:szCs w:val="20"/>
              </w:rPr>
              <w:t>Միջազգային մակարդակին համապատասխան հայագիտական հետազոտություն իրականացնող գիտական միավորների առկայություն, հայագիտական հետազոտությունների միջազգային տեսանելիության մակարդակի բարձրացում:</w:t>
            </w:r>
            <w:r w:rsidRPr="0053423A">
              <w:rPr>
                <w:rFonts w:ascii="Calibri" w:hAnsi="Calibri" w:cs="Calibri"/>
                <w:spacing w:val="-4"/>
                <w:sz w:val="20"/>
                <w:szCs w:val="20"/>
              </w:rPr>
              <w:t> </w:t>
            </w:r>
          </w:p>
        </w:tc>
      </w:tr>
      <w:tr w:rsidR="00154773" w:rsidRPr="0053423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26</w:t>
            </w:r>
          </w:p>
        </w:tc>
        <w:tc>
          <w:tcPr>
            <w:tcW w:w="10620" w:type="dxa"/>
          </w:tcPr>
          <w:p w:rsidR="00154773" w:rsidRPr="0053423A" w:rsidRDefault="00154773" w:rsidP="00154773">
            <w:pPr>
              <w:tabs>
                <w:tab w:val="left" w:pos="7803"/>
              </w:tabs>
              <w:ind w:left="360"/>
              <w:jc w:val="both"/>
              <w:rPr>
                <w:rFonts w:eastAsia="Times New Roman" w:cs="Times New Roman"/>
                <w:b/>
                <w:sz w:val="20"/>
                <w:szCs w:val="20"/>
                <w:u w:val="single"/>
                <w:lang w:val="hy-AM"/>
              </w:rPr>
            </w:pPr>
            <w:r w:rsidRPr="0053423A">
              <w:rPr>
                <w:rFonts w:eastAsia="Times New Roman" w:cs="Times New Roman"/>
                <w:b/>
                <w:sz w:val="20"/>
                <w:szCs w:val="20"/>
                <w:u w:val="single"/>
                <w:lang w:val="hy-AM"/>
              </w:rPr>
              <w:t>26.1 ՀՀ կառավարության 09</w:t>
            </w:r>
            <w:r w:rsidRPr="0053423A">
              <w:rPr>
                <w:rFonts w:ascii="Cambria Math" w:eastAsia="Times New Roman" w:hAnsi="Cambria Math" w:cs="Cambria Math"/>
                <w:b/>
                <w:sz w:val="20"/>
                <w:szCs w:val="20"/>
                <w:u w:val="single"/>
                <w:lang w:val="hy-AM"/>
              </w:rPr>
              <w:t>․</w:t>
            </w:r>
            <w:r w:rsidRPr="0053423A">
              <w:rPr>
                <w:rFonts w:eastAsia="Times New Roman" w:cs="Times New Roman"/>
                <w:b/>
                <w:sz w:val="20"/>
                <w:szCs w:val="20"/>
                <w:u w:val="single"/>
                <w:lang w:val="hy-AM"/>
              </w:rPr>
              <w:t>07</w:t>
            </w:r>
            <w:r w:rsidRPr="0053423A">
              <w:rPr>
                <w:rFonts w:ascii="Cambria Math" w:eastAsia="Times New Roman" w:hAnsi="Cambria Math" w:cs="Cambria Math"/>
                <w:b/>
                <w:sz w:val="20"/>
                <w:szCs w:val="20"/>
                <w:u w:val="single"/>
                <w:lang w:val="hy-AM"/>
              </w:rPr>
              <w:t>․</w:t>
            </w:r>
            <w:r w:rsidRPr="0053423A">
              <w:rPr>
                <w:rFonts w:eastAsia="Times New Roman" w:cs="Times New Roman"/>
                <w:b/>
                <w:sz w:val="20"/>
                <w:szCs w:val="20"/>
                <w:u w:val="single"/>
                <w:lang w:val="hy-AM"/>
              </w:rPr>
              <w:t>2001</w:t>
            </w:r>
            <w:r w:rsidRPr="0053423A">
              <w:rPr>
                <w:rFonts w:eastAsia="Times New Roman" w:cs="GHEA Grapalat"/>
                <w:b/>
                <w:sz w:val="20"/>
                <w:szCs w:val="20"/>
                <w:u w:val="single"/>
                <w:lang w:val="hy-AM"/>
              </w:rPr>
              <w:t>թ</w:t>
            </w:r>
            <w:r w:rsidRPr="0053423A">
              <w:rPr>
                <w:rFonts w:ascii="Cambria Math" w:eastAsia="Times New Roman" w:hAnsi="Cambria Math" w:cs="Cambria Math"/>
                <w:b/>
                <w:sz w:val="20"/>
                <w:szCs w:val="20"/>
                <w:u w:val="single"/>
                <w:lang w:val="hy-AM"/>
              </w:rPr>
              <w:t>․</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թիվ</w:t>
            </w:r>
            <w:r w:rsidRPr="0053423A">
              <w:rPr>
                <w:rFonts w:eastAsia="Times New Roman" w:cs="Times New Roman"/>
                <w:b/>
                <w:sz w:val="20"/>
                <w:szCs w:val="20"/>
                <w:u w:val="single"/>
                <w:lang w:val="hy-AM"/>
              </w:rPr>
              <w:t xml:space="preserve"> 615 </w:t>
            </w:r>
            <w:r w:rsidRPr="0053423A">
              <w:rPr>
                <w:rFonts w:eastAsia="Times New Roman" w:cs="GHEA Grapalat"/>
                <w:b/>
                <w:sz w:val="20"/>
                <w:szCs w:val="20"/>
                <w:u w:val="single"/>
                <w:lang w:val="hy-AM"/>
              </w:rPr>
              <w:t>որոշմամբ</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հաստատված</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ՀՀ</w:t>
            </w:r>
            <w:r w:rsidRPr="0053423A">
              <w:rPr>
                <w:rFonts w:eastAsia="Times New Roman" w:cs="Times New Roman"/>
                <w:b/>
                <w:sz w:val="20"/>
                <w:szCs w:val="20"/>
                <w:u w:val="single"/>
                <w:lang w:val="hy-AM"/>
              </w:rPr>
              <w:t>-</w:t>
            </w:r>
            <w:r w:rsidRPr="0053423A">
              <w:rPr>
                <w:rFonts w:eastAsia="Times New Roman" w:cs="GHEA Grapalat"/>
                <w:b/>
                <w:sz w:val="20"/>
                <w:szCs w:val="20"/>
                <w:u w:val="single"/>
                <w:lang w:val="hy-AM"/>
              </w:rPr>
              <w:t>ում</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գիտամանկավարժական</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կադրերին</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պրոֆեսորի</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և</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դոցենտի</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գիտական</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կոչումներ</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շնորհելու</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կարգ</w:t>
            </w:r>
            <w:r w:rsidRPr="0053423A">
              <w:rPr>
                <w:rFonts w:eastAsia="Times New Roman" w:cs="Times New Roman"/>
                <w:b/>
                <w:sz w:val="20"/>
                <w:szCs w:val="20"/>
                <w:u w:val="single"/>
                <w:lang w:val="hy-AM"/>
              </w:rPr>
              <w:t>-</w:t>
            </w:r>
            <w:r w:rsidRPr="0053423A">
              <w:rPr>
                <w:rFonts w:eastAsia="Times New Roman" w:cs="GHEA Grapalat"/>
                <w:b/>
                <w:sz w:val="20"/>
                <w:szCs w:val="20"/>
                <w:u w:val="single"/>
                <w:lang w:val="hy-AM"/>
              </w:rPr>
              <w:t>ի</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փոփոխությունների</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նախա</w:t>
            </w:r>
            <w:r w:rsidRPr="0053423A">
              <w:rPr>
                <w:rFonts w:eastAsia="Times New Roman" w:cs="Times New Roman"/>
                <w:b/>
                <w:sz w:val="20"/>
                <w:szCs w:val="20"/>
                <w:u w:val="single"/>
                <w:lang w:val="hy-AM"/>
              </w:rPr>
              <w:t>-</w:t>
            </w:r>
            <w:r w:rsidRPr="0053423A">
              <w:rPr>
                <w:rFonts w:eastAsia="Times New Roman" w:cs="GHEA Grapalat"/>
                <w:b/>
                <w:sz w:val="20"/>
                <w:szCs w:val="20"/>
                <w:u w:val="single"/>
                <w:lang w:val="hy-AM"/>
              </w:rPr>
              <w:t>գծի</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ներկայացում</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ՀՀ</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վարչապետի</w:t>
            </w:r>
            <w:r w:rsidRPr="0053423A">
              <w:rPr>
                <w:rFonts w:eastAsia="Times New Roman" w:cs="Times New Roman"/>
                <w:b/>
                <w:sz w:val="20"/>
                <w:szCs w:val="20"/>
                <w:u w:val="single"/>
                <w:lang w:val="hy-AM"/>
              </w:rPr>
              <w:t xml:space="preserve"> </w:t>
            </w:r>
            <w:r w:rsidRPr="0053423A">
              <w:rPr>
                <w:rFonts w:eastAsia="Times New Roman" w:cs="GHEA Grapalat"/>
                <w:b/>
                <w:sz w:val="20"/>
                <w:szCs w:val="20"/>
                <w:u w:val="single"/>
                <w:lang w:val="hy-AM"/>
              </w:rPr>
              <w:t>աշխատակազմ</w:t>
            </w:r>
          </w:p>
          <w:p w:rsidR="00154773" w:rsidRPr="0053423A" w:rsidRDefault="00154773" w:rsidP="00154773">
            <w:pPr>
              <w:ind w:firstLine="375"/>
              <w:rPr>
                <w:rFonts w:eastAsia="Times New Roman" w:cs="Times New Roman"/>
                <w:b/>
                <w:sz w:val="20"/>
                <w:szCs w:val="20"/>
                <w:lang w:val="hy-AM"/>
              </w:rPr>
            </w:pPr>
            <w:r w:rsidRPr="0053423A">
              <w:rPr>
                <w:rFonts w:ascii="Calibri" w:eastAsia="Times New Roman" w:hAnsi="Calibri" w:cs="Calibri"/>
                <w:b/>
                <w:sz w:val="20"/>
                <w:szCs w:val="20"/>
                <w:lang w:val="hy-AM"/>
              </w:rPr>
              <w:t> </w:t>
            </w:r>
          </w:p>
          <w:p w:rsidR="00154773" w:rsidRPr="0053423A" w:rsidRDefault="00154773" w:rsidP="001F6D5D">
            <w:pPr>
              <w:numPr>
                <w:ilvl w:val="0"/>
                <w:numId w:val="503"/>
              </w:numPr>
              <w:contextualSpacing/>
              <w:rPr>
                <w:rFonts w:eastAsia="Times New Roman" w:cs="Times New Roman"/>
                <w:sz w:val="20"/>
                <w:szCs w:val="20"/>
              </w:rPr>
            </w:pPr>
            <w:r w:rsidRPr="0053423A">
              <w:rPr>
                <w:rFonts w:eastAsia="Times New Roman" w:cs="Times New Roman"/>
                <w:b/>
                <w:sz w:val="20"/>
                <w:szCs w:val="20"/>
                <w:lang w:val="hy-AM"/>
              </w:rPr>
              <w:t>Միջոցառման իրականացման անհրաժեշտությունը և նպատակը</w:t>
            </w:r>
            <w:r w:rsidRPr="0053423A">
              <w:rPr>
                <w:rFonts w:eastAsia="Times New Roman" w:cs="Times New Roman"/>
                <w:sz w:val="20"/>
                <w:szCs w:val="20"/>
                <w:lang w:val="hy-AM"/>
              </w:rPr>
              <w:t xml:space="preserve"> </w:t>
            </w:r>
          </w:p>
          <w:p w:rsidR="00154773" w:rsidRPr="0053423A" w:rsidRDefault="00154773" w:rsidP="00154773">
            <w:pPr>
              <w:ind w:left="734"/>
              <w:contextualSpacing/>
              <w:rPr>
                <w:rFonts w:eastAsia="Times New Roman" w:cs="Times New Roman"/>
                <w:sz w:val="20"/>
                <w:szCs w:val="20"/>
              </w:rPr>
            </w:pPr>
          </w:p>
          <w:p w:rsidR="00154773" w:rsidRPr="0053423A" w:rsidRDefault="00154773" w:rsidP="00154773">
            <w:pPr>
              <w:tabs>
                <w:tab w:val="center" w:pos="0"/>
                <w:tab w:val="center" w:pos="4680"/>
                <w:tab w:val="right" w:pos="9360"/>
              </w:tabs>
              <w:ind w:right="86" w:firstLine="709"/>
              <w:jc w:val="both"/>
              <w:rPr>
                <w:sz w:val="20"/>
                <w:szCs w:val="20"/>
                <w:lang w:val="hy-AM"/>
              </w:rPr>
            </w:pPr>
            <w:r w:rsidRPr="0053423A">
              <w:rPr>
                <w:rFonts w:eastAsia="Times New Roman" w:cs="Times New Roman"/>
                <w:sz w:val="20"/>
                <w:szCs w:val="20"/>
                <w:lang w:val="hy-AM"/>
              </w:rPr>
              <w:t>Միջոցառման գլխավոր նպատակն է գիտության ոլորտում իրականացվող ծրագրերի և միջոցառումների համապատասխանեցումը երկրի տնտեսության կարիքներին, հետազոտությունների իրականացման միջազգային արդի պահանջներին և սկզբունքներին</w:t>
            </w:r>
            <w:r w:rsidRPr="0053423A">
              <w:rPr>
                <w:sz w:val="20"/>
                <w:szCs w:val="20"/>
                <w:lang w:val="hy-AM"/>
              </w:rPr>
              <w:t>:</w:t>
            </w:r>
          </w:p>
          <w:p w:rsidR="00154773" w:rsidRPr="0053423A" w:rsidRDefault="00154773" w:rsidP="00154773">
            <w:pPr>
              <w:tabs>
                <w:tab w:val="center" w:pos="0"/>
                <w:tab w:val="center" w:pos="4680"/>
                <w:tab w:val="right" w:pos="9360"/>
              </w:tabs>
              <w:ind w:right="86" w:firstLine="709"/>
              <w:jc w:val="both"/>
              <w:rPr>
                <w:rFonts w:cs="GHEA Grapalat"/>
                <w:sz w:val="20"/>
                <w:szCs w:val="20"/>
              </w:rPr>
            </w:pPr>
            <w:r w:rsidRPr="0053423A">
              <w:rPr>
                <w:spacing w:val="-4"/>
                <w:sz w:val="20"/>
                <w:szCs w:val="20"/>
                <w:lang w:val="hy-AM"/>
              </w:rPr>
              <w:t xml:space="preserve">Իրավական ակտի անհրաժեշտությունը բխում է </w:t>
            </w:r>
            <w:r w:rsidRPr="0053423A">
              <w:rPr>
                <w:sz w:val="20"/>
                <w:szCs w:val="20"/>
                <w:lang w:val="af-ZA"/>
              </w:rPr>
              <w:t xml:space="preserve">2018 </w:t>
            </w:r>
            <w:r w:rsidRPr="0053423A">
              <w:rPr>
                <w:sz w:val="20"/>
                <w:szCs w:val="20"/>
                <w:lang w:val="hy-AM"/>
              </w:rPr>
              <w:t>թվականի</w:t>
            </w:r>
            <w:r w:rsidRPr="0053423A">
              <w:rPr>
                <w:sz w:val="20"/>
                <w:szCs w:val="20"/>
                <w:lang w:val="af-ZA"/>
              </w:rPr>
              <w:t xml:space="preserve"> </w:t>
            </w:r>
            <w:r w:rsidRPr="0053423A">
              <w:rPr>
                <w:sz w:val="20"/>
                <w:szCs w:val="20"/>
                <w:lang w:val="hy-AM"/>
              </w:rPr>
              <w:t>հունվարի</w:t>
            </w:r>
            <w:r w:rsidRPr="0053423A">
              <w:rPr>
                <w:sz w:val="20"/>
                <w:szCs w:val="20"/>
                <w:lang w:val="af-ZA"/>
              </w:rPr>
              <w:t xml:space="preserve"> 18-</w:t>
            </w:r>
            <w:r w:rsidRPr="0053423A">
              <w:rPr>
                <w:sz w:val="20"/>
                <w:szCs w:val="20"/>
                <w:lang w:val="hy-AM"/>
              </w:rPr>
              <w:t>ի</w:t>
            </w:r>
            <w:r w:rsidRPr="0053423A">
              <w:rPr>
                <w:sz w:val="20"/>
                <w:szCs w:val="20"/>
                <w:lang w:val="af-ZA"/>
              </w:rPr>
              <w:t xml:space="preserve"> «</w:t>
            </w:r>
            <w:r w:rsidRPr="0053423A">
              <w:rPr>
                <w:sz w:val="20"/>
                <w:szCs w:val="20"/>
                <w:lang w:val="hy-AM"/>
              </w:rPr>
              <w:t>Հայաստանի</w:t>
            </w:r>
            <w:r w:rsidRPr="0053423A">
              <w:rPr>
                <w:sz w:val="20"/>
                <w:szCs w:val="20"/>
                <w:lang w:val="af-ZA"/>
              </w:rPr>
              <w:t xml:space="preserve"> </w:t>
            </w:r>
            <w:r w:rsidRPr="0053423A">
              <w:rPr>
                <w:sz w:val="20"/>
                <w:szCs w:val="20"/>
                <w:lang w:val="hy-AM"/>
              </w:rPr>
              <w:t>Հանրապետության</w:t>
            </w:r>
            <w:r w:rsidRPr="0053423A">
              <w:rPr>
                <w:sz w:val="20"/>
                <w:szCs w:val="20"/>
                <w:lang w:val="af-ZA"/>
              </w:rPr>
              <w:t xml:space="preserve"> </w:t>
            </w:r>
            <w:r w:rsidRPr="0053423A">
              <w:rPr>
                <w:sz w:val="20"/>
                <w:szCs w:val="20"/>
                <w:lang w:val="hy-AM"/>
              </w:rPr>
              <w:t>կառավարության</w:t>
            </w:r>
            <w:r w:rsidRPr="0053423A">
              <w:rPr>
                <w:sz w:val="20"/>
                <w:szCs w:val="20"/>
                <w:lang w:val="af-ZA"/>
              </w:rPr>
              <w:t xml:space="preserve"> 2015 </w:t>
            </w:r>
            <w:r w:rsidRPr="0053423A">
              <w:rPr>
                <w:sz w:val="20"/>
                <w:szCs w:val="20"/>
                <w:lang w:val="hy-AM"/>
              </w:rPr>
              <w:t>թվականի</w:t>
            </w:r>
            <w:r w:rsidRPr="0053423A">
              <w:rPr>
                <w:sz w:val="20"/>
                <w:szCs w:val="20"/>
                <w:lang w:val="af-ZA"/>
              </w:rPr>
              <w:t xml:space="preserve"> </w:t>
            </w:r>
            <w:r w:rsidRPr="0053423A">
              <w:rPr>
                <w:sz w:val="20"/>
                <w:szCs w:val="20"/>
                <w:lang w:val="hy-AM"/>
              </w:rPr>
              <w:t>սեպտեմբերի</w:t>
            </w:r>
            <w:r w:rsidRPr="0053423A">
              <w:rPr>
                <w:sz w:val="20"/>
                <w:szCs w:val="20"/>
                <w:lang w:val="af-ZA"/>
              </w:rPr>
              <w:t xml:space="preserve"> 25-</w:t>
            </w:r>
            <w:r w:rsidRPr="0053423A">
              <w:rPr>
                <w:sz w:val="20"/>
                <w:szCs w:val="20"/>
                <w:lang w:val="hy-AM"/>
              </w:rPr>
              <w:t>ի</w:t>
            </w:r>
            <w:r w:rsidRPr="0053423A">
              <w:rPr>
                <w:sz w:val="20"/>
                <w:szCs w:val="20"/>
                <w:lang w:val="af-ZA"/>
              </w:rPr>
              <w:t xml:space="preserve"> N 1141-</w:t>
            </w:r>
            <w:r w:rsidRPr="0053423A">
              <w:rPr>
                <w:sz w:val="20"/>
                <w:szCs w:val="20"/>
                <w:lang w:val="hy-AM"/>
              </w:rPr>
              <w:t>Ն</w:t>
            </w:r>
            <w:r w:rsidRPr="0053423A">
              <w:rPr>
                <w:sz w:val="20"/>
                <w:szCs w:val="20"/>
                <w:lang w:val="af-ZA"/>
              </w:rPr>
              <w:t xml:space="preserve"> </w:t>
            </w:r>
            <w:r w:rsidRPr="0053423A">
              <w:rPr>
                <w:sz w:val="20"/>
                <w:szCs w:val="20"/>
                <w:lang w:val="hy-AM"/>
              </w:rPr>
              <w:t>որոշման</w:t>
            </w:r>
            <w:r w:rsidRPr="0053423A">
              <w:rPr>
                <w:sz w:val="20"/>
                <w:szCs w:val="20"/>
                <w:lang w:val="af-ZA"/>
              </w:rPr>
              <w:t xml:space="preserve"> </w:t>
            </w:r>
            <w:r w:rsidRPr="0053423A">
              <w:rPr>
                <w:sz w:val="20"/>
                <w:szCs w:val="20"/>
                <w:lang w:val="hy-AM"/>
              </w:rPr>
              <w:t>մեջ</w:t>
            </w:r>
            <w:r w:rsidRPr="0053423A">
              <w:rPr>
                <w:sz w:val="20"/>
                <w:szCs w:val="20"/>
                <w:lang w:val="af-ZA"/>
              </w:rPr>
              <w:t xml:space="preserve"> </w:t>
            </w:r>
            <w:r w:rsidRPr="0053423A">
              <w:rPr>
                <w:sz w:val="20"/>
                <w:szCs w:val="20"/>
                <w:lang w:val="hy-AM"/>
              </w:rPr>
              <w:t>լրացումներ</w:t>
            </w:r>
            <w:r w:rsidRPr="0053423A">
              <w:rPr>
                <w:sz w:val="20"/>
                <w:szCs w:val="20"/>
                <w:lang w:val="af-ZA"/>
              </w:rPr>
              <w:t xml:space="preserve"> </w:t>
            </w:r>
            <w:r w:rsidRPr="0053423A">
              <w:rPr>
                <w:sz w:val="20"/>
                <w:szCs w:val="20"/>
                <w:lang w:val="hy-AM"/>
              </w:rPr>
              <w:t>կատարելու</w:t>
            </w:r>
            <w:r w:rsidRPr="0053423A">
              <w:rPr>
                <w:sz w:val="20"/>
                <w:szCs w:val="20"/>
                <w:lang w:val="af-ZA"/>
              </w:rPr>
              <w:t xml:space="preserve"> </w:t>
            </w:r>
            <w:r w:rsidRPr="0053423A">
              <w:rPr>
                <w:sz w:val="20"/>
                <w:szCs w:val="20"/>
                <w:lang w:val="hy-AM"/>
              </w:rPr>
              <w:t>մասին</w:t>
            </w:r>
            <w:r w:rsidRPr="0053423A">
              <w:rPr>
                <w:sz w:val="20"/>
                <w:szCs w:val="20"/>
                <w:lang w:val="af-ZA"/>
              </w:rPr>
              <w:t>» N 133-</w:t>
            </w:r>
            <w:r w:rsidRPr="0053423A">
              <w:rPr>
                <w:sz w:val="20"/>
                <w:szCs w:val="20"/>
                <w:lang w:val="hy-AM"/>
              </w:rPr>
              <w:t>Ն</w:t>
            </w:r>
            <w:r w:rsidRPr="0053423A">
              <w:rPr>
                <w:sz w:val="20"/>
                <w:szCs w:val="20"/>
                <w:lang w:val="af-ZA"/>
              </w:rPr>
              <w:t xml:space="preserve"> </w:t>
            </w:r>
            <w:r w:rsidRPr="0053423A">
              <w:rPr>
                <w:sz w:val="20"/>
                <w:szCs w:val="20"/>
                <w:lang w:val="hy-AM"/>
              </w:rPr>
              <w:t>որոշմամբ</w:t>
            </w:r>
            <w:r w:rsidRPr="0053423A">
              <w:rPr>
                <w:sz w:val="20"/>
                <w:szCs w:val="20"/>
                <w:lang w:val="af-ZA"/>
              </w:rPr>
              <w:t xml:space="preserve"> </w:t>
            </w:r>
            <w:r w:rsidRPr="0053423A">
              <w:rPr>
                <w:sz w:val="20"/>
                <w:szCs w:val="20"/>
                <w:lang w:val="hy-AM"/>
              </w:rPr>
              <w:t>հաստատված</w:t>
            </w:r>
            <w:r w:rsidRPr="0053423A">
              <w:rPr>
                <w:sz w:val="20"/>
                <w:szCs w:val="20"/>
                <w:lang w:val="af-ZA"/>
              </w:rPr>
              <w:t xml:space="preserve"> «</w:t>
            </w:r>
            <w:r w:rsidRPr="0053423A">
              <w:rPr>
                <w:sz w:val="20"/>
                <w:szCs w:val="20"/>
                <w:lang w:val="hy-AM"/>
              </w:rPr>
              <w:t>Կրթության</w:t>
            </w:r>
            <w:r w:rsidRPr="0053423A">
              <w:rPr>
                <w:sz w:val="20"/>
                <w:szCs w:val="20"/>
                <w:lang w:val="af-ZA"/>
              </w:rPr>
              <w:t xml:space="preserve"> </w:t>
            </w:r>
            <w:r w:rsidRPr="0053423A">
              <w:rPr>
                <w:sz w:val="20"/>
                <w:szCs w:val="20"/>
                <w:lang w:val="hy-AM"/>
              </w:rPr>
              <w:t>ոլորտում</w:t>
            </w:r>
            <w:r w:rsidRPr="0053423A">
              <w:rPr>
                <w:sz w:val="20"/>
                <w:szCs w:val="20"/>
                <w:lang w:val="af-ZA"/>
              </w:rPr>
              <w:t xml:space="preserve"> </w:t>
            </w:r>
            <w:r w:rsidRPr="0053423A">
              <w:rPr>
                <w:sz w:val="20"/>
                <w:szCs w:val="20"/>
                <w:lang w:val="hy-AM"/>
              </w:rPr>
              <w:t>հայտնաբերված</w:t>
            </w:r>
            <w:r w:rsidRPr="0053423A">
              <w:rPr>
                <w:sz w:val="20"/>
                <w:szCs w:val="20"/>
                <w:lang w:val="af-ZA"/>
              </w:rPr>
              <w:t xml:space="preserve"> </w:t>
            </w:r>
            <w:r w:rsidRPr="0053423A">
              <w:rPr>
                <w:sz w:val="20"/>
                <w:szCs w:val="20"/>
                <w:lang w:val="hy-AM"/>
              </w:rPr>
              <w:t>կոռուպցիոն</w:t>
            </w:r>
            <w:r w:rsidRPr="0053423A">
              <w:rPr>
                <w:sz w:val="20"/>
                <w:szCs w:val="20"/>
                <w:lang w:val="af-ZA"/>
              </w:rPr>
              <w:t xml:space="preserve"> </w:t>
            </w:r>
            <w:r w:rsidRPr="0053423A">
              <w:rPr>
                <w:sz w:val="20"/>
                <w:szCs w:val="20"/>
                <w:lang w:val="hy-AM"/>
              </w:rPr>
              <w:t>ռիսկերի</w:t>
            </w:r>
            <w:r w:rsidRPr="0053423A">
              <w:rPr>
                <w:sz w:val="20"/>
                <w:szCs w:val="20"/>
                <w:lang w:val="af-ZA"/>
              </w:rPr>
              <w:t xml:space="preserve"> </w:t>
            </w:r>
            <w:r w:rsidRPr="0053423A">
              <w:rPr>
                <w:sz w:val="20"/>
                <w:szCs w:val="20"/>
                <w:lang w:val="hy-AM"/>
              </w:rPr>
              <w:t>և</w:t>
            </w:r>
            <w:r w:rsidRPr="0053423A">
              <w:rPr>
                <w:sz w:val="20"/>
                <w:szCs w:val="20"/>
                <w:lang w:val="af-ZA"/>
              </w:rPr>
              <w:t xml:space="preserve"> </w:t>
            </w:r>
            <w:r w:rsidRPr="0053423A">
              <w:rPr>
                <w:sz w:val="20"/>
                <w:szCs w:val="20"/>
                <w:lang w:val="hy-AM"/>
              </w:rPr>
              <w:t>դրանց</w:t>
            </w:r>
            <w:r w:rsidRPr="0053423A">
              <w:rPr>
                <w:sz w:val="20"/>
                <w:szCs w:val="20"/>
                <w:lang w:val="af-ZA"/>
              </w:rPr>
              <w:t xml:space="preserve"> </w:t>
            </w:r>
            <w:r w:rsidRPr="0053423A">
              <w:rPr>
                <w:sz w:val="20"/>
                <w:szCs w:val="20"/>
                <w:lang w:val="hy-AM"/>
              </w:rPr>
              <w:t>չեզոքացմանը</w:t>
            </w:r>
            <w:r w:rsidRPr="0053423A">
              <w:rPr>
                <w:sz w:val="20"/>
                <w:szCs w:val="20"/>
                <w:lang w:val="af-ZA"/>
              </w:rPr>
              <w:t xml:space="preserve"> </w:t>
            </w:r>
            <w:r w:rsidRPr="0053423A">
              <w:rPr>
                <w:sz w:val="20"/>
                <w:szCs w:val="20"/>
                <w:lang w:val="hy-AM"/>
              </w:rPr>
              <w:t>և</w:t>
            </w:r>
            <w:r w:rsidRPr="0053423A">
              <w:rPr>
                <w:sz w:val="20"/>
                <w:szCs w:val="20"/>
                <w:lang w:val="af-ZA"/>
              </w:rPr>
              <w:t xml:space="preserve"> (</w:t>
            </w:r>
            <w:r w:rsidRPr="0053423A">
              <w:rPr>
                <w:sz w:val="20"/>
                <w:szCs w:val="20"/>
                <w:lang w:val="hy-AM"/>
              </w:rPr>
              <w:t>կամ</w:t>
            </w:r>
            <w:r w:rsidRPr="0053423A">
              <w:rPr>
                <w:sz w:val="20"/>
                <w:szCs w:val="20"/>
                <w:lang w:val="af-ZA"/>
              </w:rPr>
              <w:t xml:space="preserve">) </w:t>
            </w:r>
            <w:r w:rsidRPr="0053423A">
              <w:rPr>
                <w:sz w:val="20"/>
                <w:szCs w:val="20"/>
                <w:lang w:val="hy-AM"/>
              </w:rPr>
              <w:t>նվազեցմանն</w:t>
            </w:r>
            <w:r w:rsidRPr="0053423A">
              <w:rPr>
                <w:sz w:val="20"/>
                <w:szCs w:val="20"/>
                <w:lang w:val="af-ZA"/>
              </w:rPr>
              <w:t xml:space="preserve"> </w:t>
            </w:r>
            <w:r w:rsidRPr="0053423A">
              <w:rPr>
                <w:sz w:val="20"/>
                <w:szCs w:val="20"/>
                <w:lang w:val="hy-AM"/>
              </w:rPr>
              <w:t>ուղղված</w:t>
            </w:r>
            <w:r w:rsidRPr="0053423A">
              <w:rPr>
                <w:sz w:val="20"/>
                <w:szCs w:val="20"/>
                <w:lang w:val="af-ZA"/>
              </w:rPr>
              <w:t xml:space="preserve"> </w:t>
            </w:r>
            <w:r w:rsidRPr="0053423A">
              <w:rPr>
                <w:sz w:val="20"/>
                <w:szCs w:val="20"/>
                <w:lang w:val="hy-AM"/>
              </w:rPr>
              <w:t>միջոցառումների</w:t>
            </w:r>
            <w:r w:rsidRPr="0053423A">
              <w:rPr>
                <w:sz w:val="20"/>
                <w:szCs w:val="20"/>
                <w:lang w:val="af-ZA"/>
              </w:rPr>
              <w:t xml:space="preserve">» </w:t>
            </w:r>
            <w:r w:rsidRPr="0053423A">
              <w:rPr>
                <w:sz w:val="20"/>
                <w:szCs w:val="20"/>
                <w:lang w:val="hy-AM"/>
              </w:rPr>
              <w:t>ծրագրի</w:t>
            </w:r>
            <w:r w:rsidRPr="0053423A">
              <w:rPr>
                <w:sz w:val="20"/>
                <w:szCs w:val="20"/>
                <w:lang w:val="af-ZA"/>
              </w:rPr>
              <w:t xml:space="preserve"> 26-</w:t>
            </w:r>
            <w:r w:rsidRPr="0053423A">
              <w:rPr>
                <w:sz w:val="20"/>
                <w:szCs w:val="20"/>
                <w:lang w:val="hy-AM"/>
              </w:rPr>
              <w:t>րդ</w:t>
            </w:r>
            <w:r w:rsidRPr="0053423A">
              <w:rPr>
                <w:sz w:val="20"/>
                <w:szCs w:val="20"/>
                <w:lang w:val="af-ZA"/>
              </w:rPr>
              <w:t xml:space="preserve">  </w:t>
            </w:r>
            <w:r w:rsidRPr="0053423A">
              <w:rPr>
                <w:sz w:val="20"/>
                <w:szCs w:val="20"/>
                <w:lang w:val="hy-AM"/>
              </w:rPr>
              <w:t xml:space="preserve">կետի կատարման պահանջից և </w:t>
            </w:r>
            <w:r w:rsidRPr="0053423A">
              <w:rPr>
                <w:spacing w:val="-4"/>
                <w:sz w:val="20"/>
                <w:szCs w:val="20"/>
                <w:lang w:val="hy-AM"/>
              </w:rPr>
              <w:t xml:space="preserve">ՀՀ 2019 թվականի փետրվարի 14-ի ԱԺՈ-002-Ն որոշմամբ հավանության արժանացած ՀՀ կառավարության ծրագրից ( </w:t>
            </w:r>
            <w:r w:rsidRPr="0053423A">
              <w:rPr>
                <w:sz w:val="20"/>
                <w:szCs w:val="20"/>
                <w:lang w:val="hy-AM"/>
              </w:rPr>
              <w:t>«</w:t>
            </w:r>
            <w:r w:rsidRPr="0053423A">
              <w:rPr>
                <w:spacing w:val="-4"/>
                <w:sz w:val="20"/>
                <w:szCs w:val="20"/>
                <w:lang w:val="hy-AM"/>
              </w:rPr>
              <w:t>4.4 ԿՐԹՈՒԹՅՈՒՆ ԵՎ ԳԻՏՈՒԹՅՈՒՆ</w:t>
            </w:r>
            <w:r w:rsidRPr="0053423A">
              <w:rPr>
                <w:sz w:val="20"/>
                <w:szCs w:val="20"/>
                <w:lang w:val="hy-AM"/>
              </w:rPr>
              <w:t>» կետի «Գիտության ոլորտին» վերաբերող բաժնի վերջին պարբերություն)։</w:t>
            </w:r>
            <w:r w:rsidRPr="0053423A">
              <w:rPr>
                <w:sz w:val="20"/>
                <w:szCs w:val="20"/>
                <w:lang w:val="af-ZA"/>
              </w:rPr>
              <w:t xml:space="preserve"> </w:t>
            </w:r>
            <w:r w:rsidRPr="0053423A">
              <w:rPr>
                <w:sz w:val="20"/>
                <w:szCs w:val="20"/>
                <w:lang w:val="hy-AM"/>
              </w:rPr>
              <w:t>Կանոնակարգի վերանայման և փոփոխման անհրաժեշտությունը պայմանավորված է մի շարք հանգամանքներով։ Կ</w:t>
            </w:r>
            <w:r w:rsidRPr="0053423A">
              <w:rPr>
                <w:rFonts w:cs="GHEA Grapalat"/>
                <w:sz w:val="20"/>
                <w:szCs w:val="20"/>
                <w:lang w:val="hy-AM"/>
              </w:rPr>
              <w:t>անոնակարգում</w:t>
            </w:r>
            <w:r w:rsidRPr="0053423A">
              <w:rPr>
                <w:sz w:val="20"/>
                <w:szCs w:val="20"/>
                <w:lang w:val="hy-AM"/>
              </w:rPr>
              <w:t xml:space="preserve"> </w:t>
            </w:r>
            <w:r w:rsidRPr="0053423A">
              <w:rPr>
                <w:rFonts w:cs="GHEA Grapalat"/>
                <w:sz w:val="20"/>
                <w:szCs w:val="20"/>
                <w:lang w:val="hy-AM"/>
              </w:rPr>
              <w:t>գիտական</w:t>
            </w:r>
            <w:r w:rsidRPr="0053423A">
              <w:rPr>
                <w:sz w:val="20"/>
                <w:szCs w:val="20"/>
                <w:lang w:val="hy-AM"/>
              </w:rPr>
              <w:t xml:space="preserve"> </w:t>
            </w:r>
            <w:r w:rsidRPr="0053423A">
              <w:rPr>
                <w:rFonts w:cs="GHEA Grapalat"/>
                <w:sz w:val="20"/>
                <w:szCs w:val="20"/>
                <w:lang w:val="hy-AM"/>
              </w:rPr>
              <w:t>կոչման</w:t>
            </w:r>
            <w:r w:rsidRPr="0053423A">
              <w:rPr>
                <w:sz w:val="20"/>
                <w:szCs w:val="20"/>
                <w:lang w:val="hy-AM"/>
              </w:rPr>
              <w:t xml:space="preserve"> </w:t>
            </w:r>
            <w:r w:rsidRPr="0053423A">
              <w:rPr>
                <w:rFonts w:cs="GHEA Grapalat"/>
                <w:sz w:val="20"/>
                <w:szCs w:val="20"/>
                <w:lang w:val="hy-AM"/>
              </w:rPr>
              <w:t>շնորհման</w:t>
            </w:r>
            <w:r w:rsidRPr="0053423A">
              <w:rPr>
                <w:sz w:val="20"/>
                <w:szCs w:val="20"/>
                <w:lang w:val="hy-AM"/>
              </w:rPr>
              <w:t xml:space="preserve"> </w:t>
            </w:r>
            <w:r w:rsidRPr="0053423A">
              <w:rPr>
                <w:rFonts w:cs="GHEA Grapalat"/>
                <w:sz w:val="20"/>
                <w:szCs w:val="20"/>
                <w:lang w:val="hy-AM"/>
              </w:rPr>
              <w:t>համար</w:t>
            </w:r>
            <w:r w:rsidRPr="0053423A">
              <w:rPr>
                <w:sz w:val="20"/>
                <w:szCs w:val="20"/>
                <w:lang w:val="hy-AM"/>
              </w:rPr>
              <w:t xml:space="preserve"> </w:t>
            </w:r>
            <w:r w:rsidRPr="0053423A">
              <w:rPr>
                <w:rFonts w:cs="GHEA Grapalat"/>
                <w:sz w:val="20"/>
                <w:szCs w:val="20"/>
                <w:lang w:val="hy-AM"/>
              </w:rPr>
              <w:t>անհրաժեշտ</w:t>
            </w:r>
            <w:r w:rsidRPr="0053423A">
              <w:rPr>
                <w:sz w:val="20"/>
                <w:szCs w:val="20"/>
                <w:lang w:val="hy-AM"/>
              </w:rPr>
              <w:t xml:space="preserve"> </w:t>
            </w:r>
            <w:r w:rsidRPr="0053423A">
              <w:rPr>
                <w:rFonts w:cs="GHEA Grapalat"/>
                <w:sz w:val="20"/>
                <w:szCs w:val="20"/>
                <w:lang w:val="hy-AM"/>
              </w:rPr>
              <w:t>պայմաններից</w:t>
            </w:r>
            <w:r w:rsidRPr="0053423A">
              <w:rPr>
                <w:sz w:val="20"/>
                <w:szCs w:val="20"/>
                <w:lang w:val="hy-AM"/>
              </w:rPr>
              <w:t xml:space="preserve"> </w:t>
            </w:r>
            <w:r w:rsidRPr="0053423A">
              <w:rPr>
                <w:rFonts w:cs="GHEA Grapalat"/>
                <w:sz w:val="20"/>
                <w:szCs w:val="20"/>
                <w:lang w:val="hy-AM"/>
              </w:rPr>
              <w:t>մեկը</w:t>
            </w:r>
            <w:r w:rsidRPr="0053423A">
              <w:rPr>
                <w:sz w:val="20"/>
                <w:szCs w:val="20"/>
                <w:lang w:val="hy-AM"/>
              </w:rPr>
              <w:t xml:space="preserve"> </w:t>
            </w:r>
            <w:r w:rsidRPr="0053423A">
              <w:rPr>
                <w:rFonts w:cs="GHEA Grapalat"/>
                <w:sz w:val="20"/>
                <w:szCs w:val="20"/>
                <w:lang w:val="hy-AM"/>
              </w:rPr>
              <w:t></w:t>
            </w:r>
            <w:r w:rsidRPr="0053423A">
              <w:rPr>
                <w:sz w:val="20"/>
                <w:szCs w:val="20"/>
                <w:lang w:val="hy-AM"/>
              </w:rPr>
              <w:t>գիտամանկավարժական ստաժի առկայությունն է։ Վերջինս խնդրահարույց է այն առումով, որ գիտամանկավարժական ստաժ հասկացությունը սահմանված չէ որևէ իրավական ակտով և հաշվարկման համար հիմք է տալիս սուբյեկտիվ մոտեցման և տարակարծության համար։ Գ</w:t>
            </w:r>
            <w:r w:rsidRPr="0053423A">
              <w:rPr>
                <w:rFonts w:cs="GHEA Grapalat"/>
                <w:sz w:val="20"/>
                <w:szCs w:val="20"/>
                <w:lang w:val="hy-AM"/>
              </w:rPr>
              <w:t>իտական</w:t>
            </w:r>
            <w:r w:rsidRPr="0053423A">
              <w:rPr>
                <w:sz w:val="20"/>
                <w:szCs w:val="20"/>
                <w:lang w:val="hy-AM"/>
              </w:rPr>
              <w:t xml:space="preserve"> </w:t>
            </w:r>
            <w:r w:rsidRPr="0053423A">
              <w:rPr>
                <w:rFonts w:cs="GHEA Grapalat"/>
                <w:sz w:val="20"/>
                <w:szCs w:val="20"/>
                <w:lang w:val="hy-AM"/>
              </w:rPr>
              <w:t>կոչման</w:t>
            </w:r>
            <w:r w:rsidRPr="0053423A">
              <w:rPr>
                <w:sz w:val="20"/>
                <w:szCs w:val="20"/>
                <w:lang w:val="hy-AM"/>
              </w:rPr>
              <w:t xml:space="preserve"> </w:t>
            </w:r>
            <w:r w:rsidRPr="0053423A">
              <w:rPr>
                <w:rFonts w:cs="GHEA Grapalat"/>
                <w:sz w:val="20"/>
                <w:szCs w:val="20"/>
                <w:lang w:val="hy-AM"/>
              </w:rPr>
              <w:t>շնորհման</w:t>
            </w:r>
            <w:r w:rsidRPr="0053423A">
              <w:rPr>
                <w:sz w:val="20"/>
                <w:szCs w:val="20"/>
                <w:lang w:val="hy-AM"/>
              </w:rPr>
              <w:t xml:space="preserve"> </w:t>
            </w:r>
            <w:r w:rsidRPr="0053423A">
              <w:rPr>
                <w:rFonts w:cs="GHEA Grapalat"/>
                <w:sz w:val="20"/>
                <w:szCs w:val="20"/>
                <w:lang w:val="hy-AM"/>
              </w:rPr>
              <w:t>չափանիշները</w:t>
            </w:r>
            <w:r w:rsidRPr="0053423A">
              <w:rPr>
                <w:sz w:val="20"/>
                <w:szCs w:val="20"/>
                <w:lang w:val="hy-AM"/>
              </w:rPr>
              <w:t xml:space="preserve"> </w:t>
            </w:r>
            <w:r w:rsidRPr="0053423A">
              <w:rPr>
                <w:rFonts w:cs="GHEA Grapalat"/>
                <w:sz w:val="20"/>
                <w:szCs w:val="20"/>
                <w:lang w:val="hy-AM"/>
              </w:rPr>
              <w:t>ընդհ</w:t>
            </w:r>
            <w:r w:rsidRPr="0053423A">
              <w:rPr>
                <w:sz w:val="20"/>
                <w:szCs w:val="20"/>
                <w:lang w:val="hy-AM"/>
              </w:rPr>
              <w:t>անուր առմամաբ ունեն վերանայման կարիք, սակայն որոշ բնագավառներ՝ մշակույթ, սպորտ, ճարտարապետություն, կարգավորվում են տարբերակված չափանիշների հիման վրա։ Վերջիններս ունեն լուրջ վերանայման և հստակեցման կարիք։ Կարգում առհասարակ բացակայում է ռազմական գիտությունների բնագավառը, ինչն էլ այս պահին խոչընդոտ է հանդիսանում ռազմական գիտությունների բնագավառում գիտական կոչումների շնորհման գործընթացում։ Վ</w:t>
            </w:r>
            <w:r w:rsidRPr="0053423A">
              <w:rPr>
                <w:rFonts w:cs="GHEA Grapalat"/>
                <w:sz w:val="20"/>
                <w:szCs w:val="20"/>
                <w:lang w:val="hy-AM"/>
              </w:rPr>
              <w:t>երանայման</w:t>
            </w:r>
            <w:r w:rsidRPr="0053423A">
              <w:rPr>
                <w:sz w:val="20"/>
                <w:szCs w:val="20"/>
                <w:lang w:val="hy-AM"/>
              </w:rPr>
              <w:t xml:space="preserve"> </w:t>
            </w:r>
            <w:r w:rsidRPr="0053423A">
              <w:rPr>
                <w:rFonts w:cs="GHEA Grapalat"/>
                <w:sz w:val="20"/>
                <w:szCs w:val="20"/>
                <w:lang w:val="hy-AM"/>
              </w:rPr>
              <w:t>կարիք</w:t>
            </w:r>
            <w:r w:rsidRPr="0053423A">
              <w:rPr>
                <w:sz w:val="20"/>
                <w:szCs w:val="20"/>
                <w:lang w:val="hy-AM"/>
              </w:rPr>
              <w:t xml:space="preserve"> </w:t>
            </w:r>
            <w:r w:rsidRPr="0053423A">
              <w:rPr>
                <w:rFonts w:cs="GHEA Grapalat"/>
                <w:sz w:val="20"/>
                <w:szCs w:val="20"/>
                <w:lang w:val="hy-AM"/>
              </w:rPr>
              <w:t>ունի</w:t>
            </w:r>
            <w:r w:rsidRPr="0053423A">
              <w:rPr>
                <w:sz w:val="20"/>
                <w:szCs w:val="20"/>
                <w:lang w:val="hy-AM"/>
              </w:rPr>
              <w:t xml:space="preserve"> </w:t>
            </w:r>
            <w:r w:rsidRPr="0053423A">
              <w:rPr>
                <w:rFonts w:cs="GHEA Grapalat"/>
                <w:sz w:val="20"/>
                <w:szCs w:val="20"/>
                <w:lang w:val="hy-AM"/>
              </w:rPr>
              <w:t>կոչումների</w:t>
            </w:r>
            <w:r w:rsidRPr="0053423A">
              <w:rPr>
                <w:sz w:val="20"/>
                <w:szCs w:val="20"/>
                <w:lang w:val="hy-AM"/>
              </w:rPr>
              <w:t xml:space="preserve"> </w:t>
            </w:r>
            <w:r w:rsidRPr="0053423A">
              <w:rPr>
                <w:rFonts w:cs="GHEA Grapalat"/>
                <w:sz w:val="20"/>
                <w:szCs w:val="20"/>
                <w:lang w:val="hy-AM"/>
              </w:rPr>
              <w:t>շնորհման</w:t>
            </w:r>
            <w:r w:rsidRPr="0053423A">
              <w:rPr>
                <w:sz w:val="20"/>
                <w:szCs w:val="20"/>
                <w:lang w:val="hy-AM"/>
              </w:rPr>
              <w:t xml:space="preserve"> </w:t>
            </w:r>
            <w:r w:rsidRPr="0053423A">
              <w:rPr>
                <w:rFonts w:cs="GHEA Grapalat"/>
                <w:sz w:val="20"/>
                <w:szCs w:val="20"/>
                <w:lang w:val="hy-AM"/>
              </w:rPr>
              <w:t>ընթացակարգը։</w:t>
            </w:r>
          </w:p>
          <w:p w:rsidR="00154773" w:rsidRPr="0053423A" w:rsidRDefault="00154773" w:rsidP="00154773">
            <w:pPr>
              <w:tabs>
                <w:tab w:val="center" w:pos="0"/>
                <w:tab w:val="center" w:pos="4680"/>
                <w:tab w:val="right" w:pos="9360"/>
              </w:tabs>
              <w:ind w:right="86" w:firstLine="709"/>
              <w:jc w:val="both"/>
              <w:rPr>
                <w:rFonts w:cs="GHEA Grapalat"/>
                <w:sz w:val="20"/>
                <w:szCs w:val="20"/>
              </w:rPr>
            </w:pPr>
          </w:p>
          <w:p w:rsidR="00154773" w:rsidRPr="0053423A" w:rsidRDefault="00154773" w:rsidP="001F6D5D">
            <w:pPr>
              <w:numPr>
                <w:ilvl w:val="1"/>
                <w:numId w:val="503"/>
              </w:numPr>
              <w:contextualSpacing/>
              <w:rPr>
                <w:rFonts w:eastAsia="Times New Roman" w:cs="Times New Roman"/>
                <w:sz w:val="20"/>
                <w:szCs w:val="20"/>
              </w:rPr>
            </w:pPr>
            <w:r w:rsidRPr="0053423A">
              <w:rPr>
                <w:rFonts w:eastAsia="Times New Roman" w:cs="Times New Roman"/>
                <w:b/>
                <w:sz w:val="20"/>
                <w:szCs w:val="20"/>
              </w:rPr>
              <w:t>կ</w:t>
            </w:r>
            <w:r w:rsidRPr="0053423A">
              <w:rPr>
                <w:rFonts w:eastAsia="Times New Roman" w:cs="Times New Roman"/>
                <w:b/>
                <w:sz w:val="20"/>
                <w:szCs w:val="20"/>
                <w:lang w:val="hy-AM"/>
              </w:rPr>
              <w:t>արգավորման հարաբերությունների ներկա վիճակը և առկա խնդիրները</w:t>
            </w:r>
            <w:r w:rsidRPr="0053423A">
              <w:rPr>
                <w:rFonts w:eastAsia="Times New Roman" w:cs="Times New Roman"/>
                <w:sz w:val="20"/>
                <w:szCs w:val="20"/>
                <w:lang w:val="hy-AM"/>
              </w:rPr>
              <w:t xml:space="preserve"> </w:t>
            </w:r>
          </w:p>
          <w:p w:rsidR="00154773" w:rsidRPr="0053423A" w:rsidRDefault="00154773" w:rsidP="00154773">
            <w:pPr>
              <w:ind w:left="734"/>
              <w:contextualSpacing/>
              <w:rPr>
                <w:spacing w:val="-4"/>
                <w:sz w:val="20"/>
                <w:szCs w:val="20"/>
              </w:rPr>
            </w:pPr>
          </w:p>
          <w:p w:rsidR="00154773" w:rsidRPr="0053423A" w:rsidRDefault="00154773" w:rsidP="00154773">
            <w:pPr>
              <w:ind w:firstLine="374"/>
              <w:jc w:val="both"/>
              <w:rPr>
                <w:rFonts w:eastAsia="Times New Roman" w:cs="Times New Roman"/>
                <w:sz w:val="20"/>
                <w:szCs w:val="20"/>
              </w:rPr>
            </w:pPr>
            <w:r w:rsidRPr="0053423A">
              <w:rPr>
                <w:rFonts w:eastAsia="Times New Roman" w:cs="Times New Roman"/>
                <w:sz w:val="20"/>
                <w:szCs w:val="20"/>
                <w:lang w:val="hy-AM"/>
              </w:rPr>
              <w:t>Այսօր անհրաժեշտություն կա վերանայելու նշված կարգը՝ կոչումների շնորհման չափանիշները հստակեցնելու, կարգում նոր ձևակերպումներ տալու, դրույթների սուբյեկտիվ մեկնաբանման և կոռուպցիոն ռիսկերի նվազեցման առումով։</w:t>
            </w:r>
          </w:p>
          <w:p w:rsidR="00154773" w:rsidRPr="0053423A" w:rsidRDefault="00154773" w:rsidP="00154773">
            <w:pPr>
              <w:ind w:firstLine="374"/>
              <w:jc w:val="both"/>
              <w:rPr>
                <w:rFonts w:eastAsia="Times New Roman" w:cs="Times New Roman"/>
                <w:sz w:val="20"/>
                <w:szCs w:val="20"/>
              </w:rPr>
            </w:pPr>
          </w:p>
          <w:p w:rsidR="00154773" w:rsidRPr="0053423A" w:rsidRDefault="00154773" w:rsidP="001F6D5D">
            <w:pPr>
              <w:numPr>
                <w:ilvl w:val="1"/>
                <w:numId w:val="503"/>
              </w:numPr>
              <w:contextualSpacing/>
              <w:jc w:val="both"/>
              <w:rPr>
                <w:rFonts w:eastAsia="Times New Roman" w:cs="Times New Roman"/>
                <w:sz w:val="20"/>
                <w:szCs w:val="20"/>
              </w:rPr>
            </w:pPr>
            <w:r w:rsidRPr="0053423A">
              <w:rPr>
                <w:rFonts w:eastAsia="Times New Roman" w:cs="Times New Roman"/>
                <w:b/>
                <w:sz w:val="20"/>
                <w:szCs w:val="20"/>
              </w:rPr>
              <w:t>ա</w:t>
            </w:r>
            <w:r w:rsidRPr="0053423A">
              <w:rPr>
                <w:rFonts w:eastAsia="Times New Roman" w:cs="Times New Roman"/>
                <w:b/>
                <w:sz w:val="20"/>
                <w:szCs w:val="20"/>
                <w:lang w:val="hy-AM"/>
              </w:rPr>
              <w:t>ռկա խնդիրների առաջարկվող լուծումները</w:t>
            </w:r>
            <w:r w:rsidRPr="0053423A">
              <w:rPr>
                <w:rFonts w:eastAsia="Times New Roman" w:cs="Times New Roman"/>
                <w:sz w:val="20"/>
                <w:szCs w:val="20"/>
                <w:lang w:val="hy-AM"/>
              </w:rPr>
              <w:t xml:space="preserve"> </w:t>
            </w:r>
          </w:p>
          <w:p w:rsidR="00154773" w:rsidRPr="0053423A" w:rsidRDefault="00154773" w:rsidP="00154773">
            <w:pPr>
              <w:ind w:left="734"/>
              <w:contextualSpacing/>
              <w:jc w:val="both"/>
              <w:rPr>
                <w:bCs/>
                <w:sz w:val="20"/>
                <w:szCs w:val="20"/>
              </w:rPr>
            </w:pPr>
          </w:p>
          <w:p w:rsidR="00154773" w:rsidRPr="0053423A" w:rsidRDefault="00154773" w:rsidP="00154773">
            <w:pPr>
              <w:ind w:firstLine="374"/>
              <w:jc w:val="both"/>
              <w:rPr>
                <w:spacing w:val="-4"/>
                <w:sz w:val="20"/>
                <w:szCs w:val="20"/>
              </w:rPr>
            </w:pPr>
            <w:r w:rsidRPr="0053423A">
              <w:rPr>
                <w:spacing w:val="-4"/>
                <w:sz w:val="20"/>
                <w:szCs w:val="20"/>
                <w:lang w:val="hy-AM"/>
              </w:rPr>
              <w:t>Բուհերի, գիտական կազմակերպությունների և անհատ գիտնականների ներգրավմաբ հարկավոր է մշակել կոչումների շնորհման նոր չափանիշներ, որոնք կլրացնեն գործող կարգում առկա բացերն ու հակասությունները։</w:t>
            </w:r>
          </w:p>
          <w:p w:rsidR="00154773" w:rsidRPr="0053423A" w:rsidRDefault="00154773" w:rsidP="00154773">
            <w:pPr>
              <w:ind w:firstLine="374"/>
              <w:jc w:val="both"/>
              <w:rPr>
                <w:spacing w:val="-4"/>
                <w:sz w:val="20"/>
                <w:szCs w:val="20"/>
              </w:rPr>
            </w:pPr>
          </w:p>
          <w:p w:rsidR="00154773" w:rsidRPr="0053423A" w:rsidRDefault="00154773" w:rsidP="001F6D5D">
            <w:pPr>
              <w:numPr>
                <w:ilvl w:val="0"/>
                <w:numId w:val="503"/>
              </w:numPr>
              <w:contextualSpacing/>
              <w:rPr>
                <w:rFonts w:eastAsia="Times New Roman" w:cs="Times New Roman"/>
                <w:b/>
                <w:sz w:val="20"/>
                <w:szCs w:val="20"/>
              </w:rPr>
            </w:pPr>
            <w:r w:rsidRPr="0053423A">
              <w:rPr>
                <w:rFonts w:eastAsia="Times New Roman" w:cs="Times New Roman"/>
                <w:b/>
                <w:sz w:val="20"/>
                <w:szCs w:val="20"/>
                <w:lang w:val="hy-AM"/>
              </w:rPr>
              <w:t>Միջոցառման իրականացումից ակնկալվող արդյունքը</w:t>
            </w:r>
          </w:p>
          <w:p w:rsidR="00154773" w:rsidRPr="0053423A" w:rsidRDefault="00154773" w:rsidP="00154773">
            <w:pPr>
              <w:ind w:left="734"/>
              <w:contextualSpacing/>
              <w:rPr>
                <w:rFonts w:eastAsia="Times New Roman" w:cs="Times New Roman"/>
                <w:b/>
                <w:sz w:val="20"/>
                <w:szCs w:val="20"/>
              </w:rPr>
            </w:pPr>
          </w:p>
          <w:p w:rsidR="00154773" w:rsidRPr="0053423A" w:rsidRDefault="00154773" w:rsidP="00154773">
            <w:pPr>
              <w:ind w:firstLine="374"/>
              <w:jc w:val="both"/>
              <w:rPr>
                <w:spacing w:val="-4"/>
                <w:sz w:val="20"/>
                <w:szCs w:val="20"/>
                <w:lang w:val="hy-AM"/>
              </w:rPr>
            </w:pPr>
            <w:r w:rsidRPr="0053423A">
              <w:rPr>
                <w:spacing w:val="-4"/>
                <w:sz w:val="20"/>
                <w:szCs w:val="20"/>
                <w:lang w:val="hy-AM"/>
              </w:rPr>
              <w:t>Միջոցառումների արդյունքում նախատեսվում է ունենալ Հայաստանի Հանրապետությունում գիտամանկավարժական կադրերին պրոֆեսորի և դոցենտի գիտական կոչումներ շնորհելու նոր կարգ, որտեղ չափանիշները սահմանված կլինեն ըստ բնագավառների յուրահատկությունների:</w:t>
            </w:r>
          </w:p>
          <w:p w:rsidR="00154773" w:rsidRPr="0053423A" w:rsidRDefault="00154773" w:rsidP="00154773">
            <w:pPr>
              <w:jc w:val="center"/>
              <w:rPr>
                <w:rFonts w:eastAsia="Times New Roman" w:cs="Times New Roman"/>
                <w:b/>
                <w:sz w:val="20"/>
                <w:szCs w:val="20"/>
                <w:lang w:val="hy-AM"/>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tabs>
                <w:tab w:val="left" w:pos="7803"/>
              </w:tabs>
              <w:jc w:val="center"/>
              <w:rPr>
                <w:rFonts w:eastAsia="Times New Roman" w:cs="Times New Roman"/>
                <w:b/>
                <w:sz w:val="20"/>
                <w:szCs w:val="20"/>
                <w:u w:val="single"/>
                <w:lang w:val="hy-AM"/>
              </w:rPr>
            </w:pPr>
            <w:r w:rsidRPr="0053423A">
              <w:rPr>
                <w:rFonts w:eastAsia="Times New Roman" w:cs="Times New Roman"/>
                <w:b/>
                <w:sz w:val="20"/>
                <w:szCs w:val="20"/>
                <w:u w:val="single"/>
                <w:lang w:val="hy-AM"/>
              </w:rPr>
              <w:t>26.2</w:t>
            </w:r>
            <w:r w:rsidRPr="0053423A">
              <w:rPr>
                <w:rFonts w:eastAsia="Times New Roman" w:cs="Times New Roman"/>
                <w:sz w:val="20"/>
                <w:szCs w:val="20"/>
                <w:u w:val="single"/>
                <w:lang w:val="hy-AM"/>
              </w:rPr>
              <w:t xml:space="preserve"> </w:t>
            </w:r>
            <w:r w:rsidRPr="0053423A">
              <w:rPr>
                <w:rFonts w:eastAsia="Times New Roman" w:cs="Times New Roman"/>
                <w:b/>
                <w:sz w:val="20"/>
                <w:szCs w:val="20"/>
                <w:u w:val="single"/>
                <w:lang w:val="hy-AM"/>
              </w:rPr>
              <w:t>Գիտական աստիճանների և գիտամանկավարժական կոչումների շնորհման անվանացանկերի վերանայում</w:t>
            </w:r>
          </w:p>
          <w:p w:rsidR="00154773" w:rsidRPr="0053423A" w:rsidRDefault="00154773" w:rsidP="00154773">
            <w:pPr>
              <w:tabs>
                <w:tab w:val="left" w:pos="7803"/>
              </w:tabs>
              <w:jc w:val="both"/>
              <w:rPr>
                <w:rFonts w:eastAsia="Times New Roman" w:cs="Times New Roman"/>
                <w:sz w:val="20"/>
                <w:szCs w:val="20"/>
                <w:lang w:val="hy-AM"/>
              </w:rPr>
            </w:pPr>
          </w:p>
          <w:p w:rsidR="00154773" w:rsidRPr="0053423A" w:rsidRDefault="00154773" w:rsidP="00154773">
            <w:pPr>
              <w:ind w:firstLine="374"/>
              <w:rPr>
                <w:sz w:val="20"/>
                <w:szCs w:val="20"/>
                <w:lang w:val="hy-AM"/>
              </w:rPr>
            </w:pPr>
            <w:r w:rsidRPr="0053423A">
              <w:rPr>
                <w:rFonts w:eastAsia="Times New Roman" w:cs="Times New Roman"/>
                <w:b/>
                <w:sz w:val="20"/>
                <w:szCs w:val="20"/>
                <w:lang w:val="hy-AM"/>
              </w:rPr>
              <w:t>1. Միջոցառման իրակացման անհրաժեշտությունը և նպատակը</w:t>
            </w:r>
            <w:r w:rsidRPr="0053423A">
              <w:rPr>
                <w:rFonts w:eastAsia="Times New Roman" w:cs="Times New Roman"/>
                <w:sz w:val="20"/>
                <w:szCs w:val="20"/>
                <w:lang w:val="hy-AM"/>
              </w:rPr>
              <w:t xml:space="preserve"> </w:t>
            </w:r>
            <w:r w:rsidRPr="0053423A">
              <w:rPr>
                <w:sz w:val="20"/>
                <w:szCs w:val="20"/>
                <w:lang w:val="hy-AM"/>
              </w:rPr>
              <w:t xml:space="preserve">  </w:t>
            </w:r>
          </w:p>
          <w:p w:rsidR="00154773" w:rsidRPr="0053423A" w:rsidRDefault="00154773" w:rsidP="00154773">
            <w:pPr>
              <w:ind w:firstLine="374"/>
              <w:rPr>
                <w:sz w:val="20"/>
                <w:szCs w:val="20"/>
                <w:lang w:val="hy-AM"/>
              </w:rPr>
            </w:pPr>
          </w:p>
          <w:p w:rsidR="00154773" w:rsidRPr="0053423A" w:rsidRDefault="00154773" w:rsidP="00154773">
            <w:pPr>
              <w:tabs>
                <w:tab w:val="center" w:pos="0"/>
                <w:tab w:val="center" w:pos="4680"/>
                <w:tab w:val="right" w:pos="9360"/>
              </w:tabs>
              <w:ind w:right="86" w:firstLine="709"/>
              <w:jc w:val="both"/>
              <w:rPr>
                <w:sz w:val="20"/>
                <w:szCs w:val="20"/>
                <w:lang w:val="hy-AM"/>
              </w:rPr>
            </w:pPr>
            <w:r w:rsidRPr="0053423A">
              <w:rPr>
                <w:rFonts w:eastAsia="Times New Roman" w:cs="Times New Roman"/>
                <w:sz w:val="20"/>
                <w:szCs w:val="20"/>
                <w:lang w:val="hy-AM"/>
              </w:rPr>
              <w:t>Միջոցառման գլխավոր նպատակն է գիտության ոլորտում իրականացվող ծրագրերի և միջոցառումների համապատասխանեցումը երկրի տնտեսության կարիքներին, հետազոտությունների իրականացման միջազգային արդի պահանջներին և սկզբունքներին</w:t>
            </w:r>
            <w:r w:rsidRPr="0053423A">
              <w:rPr>
                <w:sz w:val="20"/>
                <w:szCs w:val="20"/>
                <w:lang w:val="hy-AM"/>
              </w:rPr>
              <w:t>:</w:t>
            </w:r>
          </w:p>
          <w:p w:rsidR="00154773" w:rsidRPr="0053423A" w:rsidRDefault="00154773" w:rsidP="00154773">
            <w:pPr>
              <w:tabs>
                <w:tab w:val="center" w:pos="0"/>
                <w:tab w:val="center" w:pos="4680"/>
                <w:tab w:val="right" w:pos="9360"/>
              </w:tabs>
              <w:ind w:right="86" w:firstLine="709"/>
              <w:jc w:val="both"/>
              <w:rPr>
                <w:sz w:val="20"/>
                <w:szCs w:val="20"/>
                <w:lang w:val="hy-AM"/>
              </w:rPr>
            </w:pPr>
            <w:r w:rsidRPr="0053423A">
              <w:rPr>
                <w:sz w:val="20"/>
                <w:szCs w:val="20"/>
                <w:lang w:val="hy-AM"/>
              </w:rPr>
              <w:t xml:space="preserve">Միջոցառման անհրաժեշտությունը բխում է </w:t>
            </w:r>
            <w:r w:rsidRPr="0053423A">
              <w:rPr>
                <w:spacing w:val="-4"/>
                <w:sz w:val="20"/>
                <w:szCs w:val="20"/>
                <w:lang w:val="hy-AM"/>
              </w:rPr>
              <w:t xml:space="preserve">ՀՀ 2019 թվականի փետրվարի 14-ի ԱԺՈ-002-Ն որոշմամբ հավանության արժանացած ՀՀ կառավարության ծրագրից ( </w:t>
            </w:r>
            <w:r w:rsidRPr="0053423A">
              <w:rPr>
                <w:sz w:val="20"/>
                <w:szCs w:val="20"/>
                <w:lang w:val="hy-AM"/>
              </w:rPr>
              <w:t>«</w:t>
            </w:r>
            <w:r w:rsidRPr="0053423A">
              <w:rPr>
                <w:spacing w:val="-4"/>
                <w:sz w:val="20"/>
                <w:szCs w:val="20"/>
                <w:lang w:val="hy-AM"/>
              </w:rPr>
              <w:t>4.4 ԿՐԹՈՒԹՅՈՒՆ ԵՎ ԳԻՏՈՒԹՅՈՒՆ</w:t>
            </w:r>
            <w:r w:rsidRPr="0053423A">
              <w:rPr>
                <w:sz w:val="20"/>
                <w:szCs w:val="20"/>
                <w:lang w:val="hy-AM"/>
              </w:rPr>
              <w:t>» կետի «Գիտության ոլորտին» վերաբերող բաժնի վերջին պարբերություն): Գիտական աստիճանների և գիտամանկավարժական կոչումների շնորհման անվանացանկերի վերնայումը թելադրված է ժամանակի պահանջով, ըստ որի գիտության ճյուղերի անընդհատ զարգացումը բերում է արդի գիտահետազոտական ուղղությունների և աստիճանաշնորհման ու կոչումների շնորհման անվանացանկի անհամապատասխանության և վերջիններիս վերանայումն ու լրացումը անհրաժեշտ են դառնում գործընթացի կազմակերպման արդյունավետության բարձրացման տեսանկյունից։</w:t>
            </w:r>
          </w:p>
          <w:p w:rsidR="00154773" w:rsidRPr="0053423A" w:rsidRDefault="00154773" w:rsidP="00154773">
            <w:pPr>
              <w:tabs>
                <w:tab w:val="center" w:pos="0"/>
                <w:tab w:val="center" w:pos="4680"/>
                <w:tab w:val="right" w:pos="9360"/>
              </w:tabs>
              <w:ind w:right="86" w:firstLine="709"/>
              <w:jc w:val="both"/>
              <w:rPr>
                <w:sz w:val="20"/>
                <w:szCs w:val="20"/>
                <w:lang w:val="hy-AM"/>
              </w:rPr>
            </w:pPr>
          </w:p>
          <w:p w:rsidR="00154773" w:rsidRPr="0053423A" w:rsidRDefault="00154773" w:rsidP="00154773">
            <w:pPr>
              <w:ind w:firstLine="374"/>
              <w:rPr>
                <w:spacing w:val="-4"/>
                <w:sz w:val="20"/>
                <w:szCs w:val="20"/>
                <w:lang w:val="hy-AM"/>
              </w:rPr>
            </w:pPr>
            <w:r w:rsidRPr="0053423A">
              <w:rPr>
                <w:rFonts w:eastAsia="Times New Roman" w:cs="Times New Roman"/>
                <w:b/>
                <w:sz w:val="20"/>
                <w:szCs w:val="20"/>
                <w:lang w:val="hy-AM"/>
              </w:rPr>
              <w:t>1.1. Կարգավորման հարաբերությունների ներկա վիճակը և առկա խնդիրները</w:t>
            </w:r>
            <w:r w:rsidRPr="0053423A">
              <w:rPr>
                <w:rFonts w:eastAsia="Times New Roman" w:cs="Times New Roman"/>
                <w:sz w:val="20"/>
                <w:szCs w:val="20"/>
                <w:lang w:val="hy-AM"/>
              </w:rPr>
              <w:t xml:space="preserve"> </w:t>
            </w:r>
          </w:p>
          <w:p w:rsidR="00154773" w:rsidRPr="0053423A" w:rsidRDefault="00154773" w:rsidP="00154773">
            <w:pPr>
              <w:ind w:firstLine="374"/>
              <w:jc w:val="both"/>
              <w:rPr>
                <w:sz w:val="20"/>
                <w:szCs w:val="20"/>
                <w:lang w:val="hy-AM"/>
              </w:rPr>
            </w:pPr>
            <w:r w:rsidRPr="0053423A">
              <w:rPr>
                <w:rFonts w:eastAsia="Times New Roman" w:cs="Times New Roman"/>
                <w:sz w:val="20"/>
                <w:szCs w:val="20"/>
                <w:lang w:val="hy-AM"/>
              </w:rPr>
              <w:t>Անհրաժեշտ է վերանայել և արդիականացնել գ</w:t>
            </w:r>
            <w:r w:rsidRPr="0053423A">
              <w:rPr>
                <w:sz w:val="20"/>
                <w:szCs w:val="20"/>
                <w:lang w:val="hy-AM"/>
              </w:rPr>
              <w:t>իտական աստիճանների և գիտամանկավարժական կոչումների շնորհման անվանացանկերը՝ մասնագիտական խորհուրդներում մասնագիտության թվանիշին համապատասխան մասնագիտական կազմ հաստատելու և գիտական թեմաները ճշգրիտ թվանիշով հաստատելու նպատակով: Ներկա պահին այս հարցը աստիճանաշնորհման գործընթացում հաճախ հանդիպող խնդիրներից է:</w:t>
            </w:r>
          </w:p>
          <w:p w:rsidR="00154773" w:rsidRPr="0053423A" w:rsidRDefault="00154773" w:rsidP="00154773">
            <w:pPr>
              <w:ind w:firstLine="374"/>
              <w:jc w:val="both"/>
              <w:rPr>
                <w:sz w:val="20"/>
                <w:szCs w:val="20"/>
                <w:lang w:val="hy-AM"/>
              </w:rPr>
            </w:pPr>
          </w:p>
          <w:p w:rsidR="00154773" w:rsidRPr="0053423A" w:rsidRDefault="00154773" w:rsidP="00154773">
            <w:pPr>
              <w:ind w:firstLine="374"/>
              <w:jc w:val="both"/>
              <w:rPr>
                <w:rFonts w:eastAsia="Times New Roman" w:cs="Times New Roman"/>
                <w:sz w:val="20"/>
                <w:szCs w:val="20"/>
                <w:lang w:val="hy-AM"/>
              </w:rPr>
            </w:pPr>
            <w:r w:rsidRPr="0053423A">
              <w:rPr>
                <w:rFonts w:eastAsia="Times New Roman" w:cs="Times New Roman"/>
                <w:b/>
                <w:sz w:val="20"/>
                <w:szCs w:val="20"/>
                <w:lang w:val="hy-AM"/>
              </w:rPr>
              <w:t>1.2. Առկա խնդիրների առաջարկվող լուծումները</w:t>
            </w:r>
            <w:r w:rsidRPr="0053423A">
              <w:rPr>
                <w:rFonts w:eastAsia="Times New Roman" w:cs="Times New Roman"/>
                <w:sz w:val="20"/>
                <w:szCs w:val="20"/>
                <w:lang w:val="hy-AM"/>
              </w:rPr>
              <w:t xml:space="preserve"> </w:t>
            </w:r>
          </w:p>
          <w:p w:rsidR="00154773" w:rsidRPr="0053423A" w:rsidRDefault="00154773" w:rsidP="00154773">
            <w:pPr>
              <w:ind w:firstLine="374"/>
              <w:jc w:val="both"/>
              <w:rPr>
                <w:bCs/>
                <w:sz w:val="20"/>
                <w:szCs w:val="20"/>
                <w:lang w:val="hy-AM"/>
              </w:rPr>
            </w:pPr>
          </w:p>
          <w:p w:rsidR="00154773" w:rsidRPr="0053423A" w:rsidRDefault="00154773" w:rsidP="00154773">
            <w:pPr>
              <w:ind w:firstLine="374"/>
              <w:jc w:val="both"/>
              <w:rPr>
                <w:sz w:val="20"/>
                <w:szCs w:val="20"/>
                <w:lang w:val="hy-AM"/>
              </w:rPr>
            </w:pPr>
            <w:r w:rsidRPr="0053423A">
              <w:rPr>
                <w:rFonts w:eastAsia="Times New Roman" w:cs="Times New Roman"/>
                <w:sz w:val="20"/>
                <w:szCs w:val="20"/>
                <w:lang w:val="hy-AM"/>
              </w:rPr>
              <w:t>Վերանայել և վերահաստատել գ</w:t>
            </w:r>
            <w:r w:rsidRPr="0053423A">
              <w:rPr>
                <w:sz w:val="20"/>
                <w:szCs w:val="20"/>
                <w:lang w:val="hy-AM"/>
              </w:rPr>
              <w:t>իտական աստիճանների և գիտամանկավարժական կոչումների շնորհման անվանացանկերը:</w:t>
            </w:r>
          </w:p>
          <w:p w:rsidR="00154773" w:rsidRPr="0053423A" w:rsidRDefault="00154773" w:rsidP="00154773">
            <w:pPr>
              <w:ind w:firstLine="374"/>
              <w:jc w:val="both"/>
              <w:rPr>
                <w:sz w:val="20"/>
                <w:szCs w:val="20"/>
                <w:lang w:val="hy-AM"/>
              </w:rPr>
            </w:pPr>
          </w:p>
          <w:p w:rsidR="00154773" w:rsidRPr="0053423A" w:rsidRDefault="00154773" w:rsidP="00154773">
            <w:pPr>
              <w:ind w:firstLine="374"/>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firstLine="374"/>
              <w:rPr>
                <w:rFonts w:eastAsia="Times New Roman" w:cs="Times New Roman"/>
                <w:b/>
                <w:sz w:val="20"/>
                <w:szCs w:val="20"/>
                <w:lang w:val="hy-AM"/>
              </w:rPr>
            </w:pPr>
          </w:p>
          <w:p w:rsidR="00154773" w:rsidRPr="0053423A" w:rsidRDefault="00154773" w:rsidP="00154773">
            <w:pPr>
              <w:ind w:firstLine="374"/>
              <w:jc w:val="both"/>
              <w:rPr>
                <w:sz w:val="20"/>
                <w:szCs w:val="20"/>
                <w:lang w:val="hy-AM"/>
              </w:rPr>
            </w:pPr>
            <w:r w:rsidRPr="0053423A">
              <w:rPr>
                <w:spacing w:val="-4"/>
                <w:sz w:val="20"/>
                <w:szCs w:val="20"/>
                <w:lang w:val="hy-AM"/>
              </w:rPr>
              <w:t>Միջոցառումների արդյունքում նախատեսվում է ունենալ Հայաստանի Հանրապետությունում գ</w:t>
            </w:r>
            <w:r w:rsidRPr="0053423A">
              <w:rPr>
                <w:sz w:val="20"/>
                <w:szCs w:val="20"/>
                <w:lang w:val="hy-AM"/>
              </w:rPr>
              <w:t>իտական աստիճանների և գիտամանկավարժական կոչումների շնորհման նոր անվանացանկեր:</w:t>
            </w:r>
          </w:p>
          <w:p w:rsidR="00154773" w:rsidRPr="0053423A" w:rsidRDefault="00154773" w:rsidP="00154773">
            <w:pPr>
              <w:jc w:val="center"/>
              <w:rPr>
                <w:rFonts w:eastAsia="Times New Roman" w:cs="Times New Roman"/>
                <w:b/>
                <w:sz w:val="20"/>
                <w:szCs w:val="20"/>
                <w:lang w:val="hy-AM"/>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tabs>
                <w:tab w:val="center" w:pos="0"/>
                <w:tab w:val="center" w:pos="4680"/>
                <w:tab w:val="right" w:pos="9360"/>
              </w:tabs>
              <w:spacing w:line="360" w:lineRule="auto"/>
              <w:ind w:right="86" w:firstLine="709"/>
              <w:jc w:val="center"/>
              <w:rPr>
                <w:rFonts w:cs="GHEA Grapalat"/>
                <w:b/>
                <w:sz w:val="20"/>
                <w:szCs w:val="20"/>
                <w:u w:val="single"/>
                <w:lang w:val="hy-AM"/>
              </w:rPr>
            </w:pPr>
            <w:r w:rsidRPr="0053423A">
              <w:rPr>
                <w:b/>
                <w:sz w:val="20"/>
                <w:szCs w:val="20"/>
                <w:u w:val="single"/>
                <w:lang w:val="hy-AM"/>
              </w:rPr>
              <w:t>26.3 Մ</w:t>
            </w:r>
            <w:r w:rsidRPr="0053423A">
              <w:rPr>
                <w:rFonts w:cs="GHEA Grapalat"/>
                <w:b/>
                <w:sz w:val="20"/>
                <w:szCs w:val="20"/>
                <w:u w:val="single"/>
                <w:lang w:val="hy-AM"/>
              </w:rPr>
              <w:t>ասնագիտական</w:t>
            </w:r>
            <w:r w:rsidRPr="0053423A">
              <w:rPr>
                <w:b/>
                <w:sz w:val="20"/>
                <w:szCs w:val="20"/>
                <w:u w:val="single"/>
                <w:lang w:val="hy-AM"/>
              </w:rPr>
              <w:t xml:space="preserve"> </w:t>
            </w:r>
            <w:r w:rsidRPr="0053423A">
              <w:rPr>
                <w:rFonts w:cs="GHEA Grapalat"/>
                <w:b/>
                <w:sz w:val="20"/>
                <w:szCs w:val="20"/>
                <w:u w:val="single"/>
                <w:lang w:val="hy-AM"/>
              </w:rPr>
              <w:t>որակավորման</w:t>
            </w:r>
            <w:r w:rsidRPr="0053423A">
              <w:rPr>
                <w:b/>
                <w:sz w:val="20"/>
                <w:szCs w:val="20"/>
                <w:u w:val="single"/>
                <w:lang w:val="hy-AM"/>
              </w:rPr>
              <w:t xml:space="preserve"> </w:t>
            </w:r>
            <w:r w:rsidRPr="0053423A">
              <w:rPr>
                <w:rFonts w:cs="GHEA Grapalat"/>
                <w:b/>
                <w:sz w:val="20"/>
                <w:szCs w:val="20"/>
                <w:u w:val="single"/>
                <w:lang w:val="hy-AM"/>
              </w:rPr>
              <w:t>քննություների</w:t>
            </w:r>
            <w:r w:rsidRPr="0053423A">
              <w:rPr>
                <w:b/>
                <w:sz w:val="20"/>
                <w:szCs w:val="20"/>
                <w:u w:val="single"/>
                <w:lang w:val="hy-AM"/>
              </w:rPr>
              <w:t xml:space="preserve"> </w:t>
            </w:r>
            <w:r w:rsidRPr="0053423A">
              <w:rPr>
                <w:rFonts w:cs="GHEA Grapalat"/>
                <w:b/>
                <w:sz w:val="20"/>
                <w:szCs w:val="20"/>
                <w:u w:val="single"/>
                <w:lang w:val="hy-AM"/>
              </w:rPr>
              <w:t>ծրագրերի</w:t>
            </w:r>
            <w:r w:rsidRPr="0053423A">
              <w:rPr>
                <w:b/>
                <w:sz w:val="20"/>
                <w:szCs w:val="20"/>
                <w:u w:val="single"/>
                <w:lang w:val="hy-AM"/>
              </w:rPr>
              <w:t xml:space="preserve"> </w:t>
            </w:r>
            <w:r w:rsidRPr="0053423A">
              <w:rPr>
                <w:rFonts w:cs="GHEA Grapalat"/>
                <w:b/>
                <w:sz w:val="20"/>
                <w:szCs w:val="20"/>
                <w:u w:val="single"/>
                <w:lang w:val="hy-AM"/>
              </w:rPr>
              <w:t>ընդգրկման</w:t>
            </w:r>
            <w:r w:rsidRPr="0053423A">
              <w:rPr>
                <w:b/>
                <w:sz w:val="20"/>
                <w:szCs w:val="20"/>
                <w:u w:val="single"/>
                <w:lang w:val="hy-AM"/>
              </w:rPr>
              <w:t xml:space="preserve"> </w:t>
            </w:r>
            <w:r w:rsidRPr="0053423A">
              <w:rPr>
                <w:rFonts w:cs="GHEA Grapalat"/>
                <w:b/>
                <w:sz w:val="20"/>
                <w:szCs w:val="20"/>
                <w:u w:val="single"/>
                <w:lang w:val="hy-AM"/>
              </w:rPr>
              <w:t>վերանայում՝</w:t>
            </w:r>
            <w:r w:rsidRPr="0053423A">
              <w:rPr>
                <w:b/>
                <w:sz w:val="20"/>
                <w:szCs w:val="20"/>
                <w:u w:val="single"/>
                <w:lang w:val="hy-AM"/>
              </w:rPr>
              <w:t xml:space="preserve"> </w:t>
            </w:r>
            <w:r w:rsidRPr="0053423A">
              <w:rPr>
                <w:rFonts w:cs="GHEA Grapalat"/>
                <w:b/>
                <w:sz w:val="20"/>
                <w:szCs w:val="20"/>
                <w:u w:val="single"/>
                <w:lang w:val="hy-AM"/>
              </w:rPr>
              <w:t>ըստ</w:t>
            </w:r>
            <w:r w:rsidRPr="0053423A">
              <w:rPr>
                <w:b/>
                <w:sz w:val="20"/>
                <w:szCs w:val="20"/>
                <w:u w:val="single"/>
                <w:lang w:val="hy-AM"/>
              </w:rPr>
              <w:t xml:space="preserve"> </w:t>
            </w:r>
            <w:r w:rsidRPr="0053423A">
              <w:rPr>
                <w:rFonts w:cs="GHEA Grapalat"/>
                <w:b/>
                <w:sz w:val="20"/>
                <w:szCs w:val="20"/>
                <w:u w:val="single"/>
                <w:lang w:val="hy-AM"/>
              </w:rPr>
              <w:t>նոր</w:t>
            </w:r>
            <w:r w:rsidRPr="0053423A">
              <w:rPr>
                <w:b/>
                <w:sz w:val="20"/>
                <w:szCs w:val="20"/>
                <w:u w:val="single"/>
                <w:lang w:val="hy-AM"/>
              </w:rPr>
              <w:t xml:space="preserve"> </w:t>
            </w:r>
            <w:r w:rsidRPr="0053423A">
              <w:rPr>
                <w:rFonts w:cs="GHEA Grapalat"/>
                <w:b/>
                <w:sz w:val="20"/>
                <w:szCs w:val="20"/>
                <w:u w:val="single"/>
                <w:lang w:val="hy-AM"/>
              </w:rPr>
              <w:t>անվանացանկի</w:t>
            </w:r>
          </w:p>
          <w:p w:rsidR="00154773" w:rsidRPr="0053423A" w:rsidRDefault="00154773" w:rsidP="00154773">
            <w:pPr>
              <w:tabs>
                <w:tab w:val="center" w:pos="0"/>
                <w:tab w:val="center" w:pos="4680"/>
                <w:tab w:val="right" w:pos="9360"/>
              </w:tabs>
              <w:spacing w:line="360" w:lineRule="auto"/>
              <w:ind w:right="86" w:firstLine="709"/>
              <w:jc w:val="both"/>
              <w:rPr>
                <w:rFonts w:cs="GHEA Grapalat"/>
                <w:b/>
                <w:sz w:val="20"/>
                <w:szCs w:val="20"/>
                <w:u w:val="single"/>
                <w:lang w:val="hy-AM"/>
              </w:rPr>
            </w:pPr>
          </w:p>
          <w:p w:rsidR="00154773" w:rsidRPr="0053423A" w:rsidRDefault="00154773" w:rsidP="00154773">
            <w:pPr>
              <w:tabs>
                <w:tab w:val="center" w:pos="0"/>
                <w:tab w:val="center" w:pos="4680"/>
                <w:tab w:val="right" w:pos="9360"/>
              </w:tabs>
              <w:spacing w:line="360" w:lineRule="auto"/>
              <w:ind w:right="86" w:firstLine="709"/>
              <w:jc w:val="both"/>
              <w:rPr>
                <w:sz w:val="20"/>
                <w:szCs w:val="20"/>
                <w:lang w:val="hy-AM"/>
              </w:rPr>
            </w:pPr>
            <w:r w:rsidRPr="0053423A">
              <w:rPr>
                <w:b/>
                <w:sz w:val="20"/>
                <w:szCs w:val="20"/>
                <w:lang w:val="hy-AM"/>
              </w:rPr>
              <w:t>1. Միջոցառման իրակացման անհրաժեշտությունը և նպատակը</w:t>
            </w:r>
            <w:r w:rsidRPr="0053423A">
              <w:rPr>
                <w:sz w:val="20"/>
                <w:szCs w:val="20"/>
                <w:lang w:val="hy-AM"/>
              </w:rPr>
              <w:t xml:space="preserve">  </w:t>
            </w:r>
          </w:p>
          <w:p w:rsidR="00154773" w:rsidRPr="0053423A" w:rsidRDefault="00154773" w:rsidP="00154773">
            <w:pPr>
              <w:tabs>
                <w:tab w:val="center" w:pos="0"/>
                <w:tab w:val="center" w:pos="4680"/>
                <w:tab w:val="right" w:pos="9360"/>
              </w:tabs>
              <w:ind w:right="86" w:firstLine="709"/>
              <w:jc w:val="both"/>
              <w:rPr>
                <w:sz w:val="20"/>
                <w:szCs w:val="20"/>
                <w:lang w:val="hy-AM"/>
              </w:rPr>
            </w:pPr>
            <w:r w:rsidRPr="0053423A">
              <w:rPr>
                <w:sz w:val="20"/>
                <w:szCs w:val="20"/>
                <w:lang w:val="hy-AM"/>
              </w:rPr>
              <w:t xml:space="preserve">Միջոցառման անհրաժեշտությունը բխում է </w:t>
            </w:r>
            <w:r w:rsidRPr="0053423A">
              <w:rPr>
                <w:spacing w:val="-4"/>
                <w:sz w:val="20"/>
                <w:szCs w:val="20"/>
                <w:lang w:val="hy-AM"/>
              </w:rPr>
              <w:t>ՀՀ 2019 թվականի փետրվարի 14-ի ԱԺՈ-002-Ն որոշմամբ հավանության արժանացած ՀՀ կառավարության ծրագրից (</w:t>
            </w:r>
            <w:r w:rsidRPr="0053423A">
              <w:rPr>
                <w:sz w:val="20"/>
                <w:szCs w:val="20"/>
                <w:lang w:val="hy-AM"/>
              </w:rPr>
              <w:t>«</w:t>
            </w:r>
            <w:r w:rsidRPr="0053423A">
              <w:rPr>
                <w:spacing w:val="-4"/>
                <w:sz w:val="20"/>
                <w:szCs w:val="20"/>
                <w:lang w:val="hy-AM"/>
              </w:rPr>
              <w:t>4.4 ԿՐԹՈՒԹՅՈՒՆ ԵՎ ԳԻՏՈՒԹՅՈՒՆ</w:t>
            </w:r>
            <w:r w:rsidRPr="0053423A">
              <w:rPr>
                <w:sz w:val="20"/>
                <w:szCs w:val="20"/>
                <w:lang w:val="hy-AM"/>
              </w:rPr>
              <w:t>» կետի «Գիտության ոլորտին» վերաբերող բաժնի վերջին պարբերություն): Մասնագիտական որակավորման քննությունների ծրագրերի վերանայման անհրաժեշտությունը բխում է մասնագիտությունների ընդգրկմանը համապատասխանեցված որակավորման քնությունների արդիականացված ծրագրերի և աստիճանաշնորհման անվանացանկին համապատասխանեցնելու անհրաժեշտությունից։ Գիտությունը անընդհատ զարգանում և համալրվում է նոր դրույթներով, իսկ զարգացումները չեն արտահայատվում քննական ծրագրերում։</w:t>
            </w:r>
          </w:p>
          <w:p w:rsidR="00154773" w:rsidRPr="0053423A" w:rsidRDefault="00154773" w:rsidP="00154773">
            <w:pPr>
              <w:ind w:firstLine="374"/>
              <w:rPr>
                <w:spacing w:val="-4"/>
                <w:sz w:val="20"/>
                <w:szCs w:val="20"/>
                <w:lang w:val="hy-AM"/>
              </w:rPr>
            </w:pPr>
            <w:r w:rsidRPr="0053423A">
              <w:rPr>
                <w:rFonts w:eastAsia="Times New Roman" w:cs="Times New Roman"/>
                <w:b/>
                <w:sz w:val="20"/>
                <w:szCs w:val="20"/>
                <w:lang w:val="hy-AM"/>
              </w:rPr>
              <w:t>1.1. Կարգավորման հարաբերությունների ներկա վիճակը և առկա խնդիրները</w:t>
            </w:r>
            <w:r w:rsidRPr="0053423A">
              <w:rPr>
                <w:rFonts w:eastAsia="Times New Roman" w:cs="Times New Roman"/>
                <w:sz w:val="20"/>
                <w:szCs w:val="20"/>
                <w:lang w:val="hy-AM"/>
              </w:rPr>
              <w:t xml:space="preserve"> </w:t>
            </w:r>
          </w:p>
          <w:p w:rsidR="00154773" w:rsidRPr="0053423A" w:rsidRDefault="00154773" w:rsidP="00154773">
            <w:pPr>
              <w:ind w:firstLine="374"/>
              <w:jc w:val="both"/>
              <w:rPr>
                <w:sz w:val="20"/>
                <w:szCs w:val="20"/>
                <w:lang w:val="hy-AM"/>
              </w:rPr>
            </w:pPr>
            <w:r w:rsidRPr="0053423A">
              <w:rPr>
                <w:rFonts w:eastAsia="Times New Roman" w:cs="Times New Roman"/>
                <w:sz w:val="20"/>
                <w:szCs w:val="20"/>
                <w:lang w:val="hy-AM"/>
              </w:rPr>
              <w:t xml:space="preserve">Անհրաժեշտ է վերանայել և արդիականացնել </w:t>
            </w:r>
            <w:r w:rsidRPr="0053423A">
              <w:rPr>
                <w:sz w:val="20"/>
                <w:szCs w:val="20"/>
                <w:lang w:val="hy-AM"/>
              </w:rPr>
              <w:t>մասնագիտական որակավորման քննությունների ծրագրերը։ Գիտության դաշտ մտնող ապագա գիտնականների մասնագիտական պատրաստվածության և որակի չափորոշիչներից մեկը մասնագիտական որակավորման քննությունների արդյունքներն են, իսկ վերջիններս պետք է հիմնվեն գիտության զարգացմանը համընթաց թարմացվող և համալրվող ծրագրերի վրա:</w:t>
            </w:r>
          </w:p>
          <w:p w:rsidR="00154773" w:rsidRPr="0053423A" w:rsidRDefault="00154773" w:rsidP="00154773">
            <w:pPr>
              <w:ind w:firstLine="374"/>
              <w:jc w:val="both"/>
              <w:rPr>
                <w:rFonts w:eastAsia="Times New Roman" w:cs="Times New Roman"/>
                <w:b/>
                <w:sz w:val="20"/>
                <w:szCs w:val="20"/>
                <w:lang w:val="hy-AM"/>
              </w:rPr>
            </w:pPr>
          </w:p>
          <w:p w:rsidR="00154773" w:rsidRPr="0053423A" w:rsidRDefault="00154773" w:rsidP="00154773">
            <w:pPr>
              <w:ind w:firstLine="374"/>
              <w:jc w:val="both"/>
              <w:rPr>
                <w:bCs/>
                <w:sz w:val="20"/>
                <w:szCs w:val="20"/>
                <w:lang w:val="hy-AM"/>
              </w:rPr>
            </w:pPr>
            <w:r w:rsidRPr="0053423A">
              <w:rPr>
                <w:rFonts w:eastAsia="Times New Roman" w:cs="Times New Roman"/>
                <w:b/>
                <w:sz w:val="20"/>
                <w:szCs w:val="20"/>
                <w:lang w:val="hy-AM"/>
              </w:rPr>
              <w:t>1.2. Առկա խնդիրների առաջարկվող լուծումները</w:t>
            </w:r>
            <w:r w:rsidRPr="0053423A">
              <w:rPr>
                <w:rFonts w:eastAsia="Times New Roman" w:cs="Times New Roman"/>
                <w:sz w:val="20"/>
                <w:szCs w:val="20"/>
                <w:lang w:val="hy-AM"/>
              </w:rPr>
              <w:t xml:space="preserve"> </w:t>
            </w:r>
          </w:p>
          <w:p w:rsidR="00154773" w:rsidRPr="0053423A" w:rsidRDefault="00154773" w:rsidP="00154773">
            <w:pPr>
              <w:ind w:firstLine="374"/>
              <w:jc w:val="both"/>
              <w:rPr>
                <w:sz w:val="20"/>
                <w:szCs w:val="20"/>
                <w:lang w:val="hy-AM"/>
              </w:rPr>
            </w:pPr>
            <w:r w:rsidRPr="0053423A">
              <w:rPr>
                <w:sz w:val="20"/>
                <w:szCs w:val="20"/>
                <w:lang w:val="hy-AM"/>
              </w:rPr>
              <w:t>Վերանայել և վերահաստատել մասնագիտական որակավորման քննությունների ծրագրերը:</w:t>
            </w:r>
          </w:p>
          <w:p w:rsidR="00154773" w:rsidRPr="0053423A" w:rsidRDefault="00154773" w:rsidP="00154773">
            <w:pPr>
              <w:ind w:firstLine="374"/>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firstLine="374"/>
              <w:jc w:val="both"/>
              <w:rPr>
                <w:sz w:val="20"/>
                <w:szCs w:val="20"/>
                <w:lang w:val="hy-AM"/>
              </w:rPr>
            </w:pPr>
            <w:r w:rsidRPr="0053423A">
              <w:rPr>
                <w:spacing w:val="-4"/>
                <w:sz w:val="20"/>
                <w:szCs w:val="20"/>
                <w:lang w:val="hy-AM"/>
              </w:rPr>
              <w:t xml:space="preserve">Միջոցառումների արդյունքում նախատեսվում է ունենալ </w:t>
            </w:r>
            <w:r w:rsidRPr="0053423A">
              <w:rPr>
                <w:sz w:val="20"/>
                <w:szCs w:val="20"/>
                <w:lang w:val="hy-AM"/>
              </w:rPr>
              <w:t xml:space="preserve">մասնագիտական որակավորման քննությունների արդիական ծրագրեր։ </w:t>
            </w:r>
          </w:p>
          <w:p w:rsidR="00154773" w:rsidRPr="0053423A" w:rsidRDefault="00154773" w:rsidP="00154773">
            <w:pPr>
              <w:jc w:val="center"/>
              <w:rPr>
                <w:rFonts w:eastAsia="Times New Roman" w:cs="Times New Roman"/>
                <w:b/>
                <w:sz w:val="20"/>
                <w:szCs w:val="20"/>
                <w:lang w:val="hy-AM"/>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tabs>
                <w:tab w:val="center" w:pos="0"/>
                <w:tab w:val="center" w:pos="4680"/>
                <w:tab w:val="right" w:pos="9360"/>
              </w:tabs>
              <w:ind w:right="86" w:firstLine="709"/>
              <w:jc w:val="center"/>
              <w:rPr>
                <w:b/>
                <w:sz w:val="20"/>
                <w:szCs w:val="20"/>
                <w:u w:val="single"/>
                <w:lang w:val="hy-AM"/>
              </w:rPr>
            </w:pPr>
            <w:r w:rsidRPr="0053423A">
              <w:rPr>
                <w:b/>
                <w:sz w:val="20"/>
                <w:szCs w:val="20"/>
                <w:u w:val="single"/>
                <w:lang w:val="hy-AM"/>
              </w:rPr>
              <w:t>26.4  Հայաստանի Հանրապետությունում հրատարակվող գիտական պարբերականների գնահատման չափանիշների մշակում</w:t>
            </w:r>
          </w:p>
          <w:p w:rsidR="00154773" w:rsidRPr="0053423A" w:rsidRDefault="00154773" w:rsidP="00154773">
            <w:pPr>
              <w:tabs>
                <w:tab w:val="center" w:pos="0"/>
                <w:tab w:val="center" w:pos="4680"/>
                <w:tab w:val="right" w:pos="9360"/>
              </w:tabs>
              <w:ind w:right="86" w:firstLine="709"/>
              <w:jc w:val="center"/>
              <w:rPr>
                <w:b/>
                <w:sz w:val="20"/>
                <w:szCs w:val="20"/>
                <w:u w:val="single"/>
                <w:lang w:val="hy-AM"/>
              </w:rPr>
            </w:pPr>
          </w:p>
          <w:p w:rsidR="00154773" w:rsidRPr="0053423A" w:rsidRDefault="00154773" w:rsidP="00154773">
            <w:pPr>
              <w:tabs>
                <w:tab w:val="center" w:pos="0"/>
                <w:tab w:val="center" w:pos="4680"/>
                <w:tab w:val="right" w:pos="9360"/>
              </w:tabs>
              <w:ind w:right="86" w:firstLine="709"/>
              <w:jc w:val="both"/>
              <w:rPr>
                <w:sz w:val="20"/>
                <w:szCs w:val="20"/>
                <w:lang w:val="hy-AM"/>
              </w:rPr>
            </w:pPr>
            <w:r w:rsidRPr="0053423A">
              <w:rPr>
                <w:b/>
                <w:sz w:val="20"/>
                <w:szCs w:val="20"/>
                <w:lang w:val="hy-AM"/>
              </w:rPr>
              <w:t>1. Միջոցառման իրականացման անհրաժեշտությունը և նպատակը</w:t>
            </w:r>
            <w:r w:rsidRPr="0053423A">
              <w:rPr>
                <w:sz w:val="20"/>
                <w:szCs w:val="20"/>
                <w:lang w:val="hy-AM"/>
              </w:rPr>
              <w:t xml:space="preserve"> </w:t>
            </w:r>
          </w:p>
          <w:p w:rsidR="00154773" w:rsidRPr="0053423A" w:rsidRDefault="00154773" w:rsidP="00154773">
            <w:pPr>
              <w:tabs>
                <w:tab w:val="center" w:pos="0"/>
                <w:tab w:val="center" w:pos="4680"/>
                <w:tab w:val="right" w:pos="9360"/>
              </w:tabs>
              <w:ind w:right="86" w:firstLine="709"/>
              <w:jc w:val="both"/>
              <w:rPr>
                <w:sz w:val="20"/>
                <w:szCs w:val="20"/>
                <w:lang w:val="hy-AM"/>
              </w:rPr>
            </w:pPr>
            <w:r w:rsidRPr="0053423A">
              <w:rPr>
                <w:rFonts w:eastAsia="Times New Roman" w:cs="Times New Roman"/>
                <w:sz w:val="20"/>
                <w:szCs w:val="20"/>
                <w:lang w:val="hy-AM"/>
              </w:rPr>
              <w:t>Միջոցառման գլխավոր նպատակն է գիտության ոլորտում իրականացվող ծրագրերի և միջոցառումների համապատասխանեցումը երկրի տնտեսության կարիքներին, հետազոտությունների իրականացման միջազգային արդի պահանջներին և սկզբունքներին</w:t>
            </w:r>
            <w:r w:rsidRPr="0053423A">
              <w:rPr>
                <w:sz w:val="20"/>
                <w:szCs w:val="20"/>
                <w:lang w:val="hy-AM"/>
              </w:rPr>
              <w:t>:</w:t>
            </w:r>
          </w:p>
          <w:p w:rsidR="00154773" w:rsidRPr="0053423A" w:rsidRDefault="00154773" w:rsidP="00154773">
            <w:pPr>
              <w:tabs>
                <w:tab w:val="center" w:pos="0"/>
                <w:tab w:val="center" w:pos="4680"/>
                <w:tab w:val="right" w:pos="9360"/>
              </w:tabs>
              <w:ind w:right="86" w:firstLine="709"/>
              <w:jc w:val="both"/>
              <w:rPr>
                <w:sz w:val="20"/>
                <w:szCs w:val="20"/>
                <w:lang w:val="hy-AM"/>
              </w:rPr>
            </w:pPr>
            <w:r w:rsidRPr="0053423A">
              <w:rPr>
                <w:sz w:val="20"/>
                <w:szCs w:val="20"/>
                <w:lang w:val="hy-AM"/>
              </w:rPr>
              <w:t xml:space="preserve">Միջոցառման անհրաժեշտությունը բխում է </w:t>
            </w:r>
            <w:r w:rsidRPr="0053423A">
              <w:rPr>
                <w:spacing w:val="-4"/>
                <w:sz w:val="20"/>
                <w:szCs w:val="20"/>
                <w:lang w:val="hy-AM"/>
              </w:rPr>
              <w:t>ՀՀ 2019 թվականի փետրվարի 14-ի ԱԺՈ-002-Ն որոշմամբ հավանության արժանացած ՀՀ կառավարության ծրագրից (</w:t>
            </w:r>
            <w:r w:rsidRPr="0053423A">
              <w:rPr>
                <w:sz w:val="20"/>
                <w:szCs w:val="20"/>
                <w:lang w:val="hy-AM"/>
              </w:rPr>
              <w:t>«</w:t>
            </w:r>
            <w:r w:rsidRPr="0053423A">
              <w:rPr>
                <w:spacing w:val="-4"/>
                <w:sz w:val="20"/>
                <w:szCs w:val="20"/>
                <w:lang w:val="hy-AM"/>
              </w:rPr>
              <w:t>4.4 ԿՐԹՈՒԹՅՈՒՆ ԵՎ ԳԻՏՈՒԹՅՈՒՆ</w:t>
            </w:r>
            <w:r w:rsidRPr="0053423A">
              <w:rPr>
                <w:sz w:val="20"/>
                <w:szCs w:val="20"/>
                <w:lang w:val="hy-AM"/>
              </w:rPr>
              <w:t xml:space="preserve">» կետի «Գիտության ոլորտին» վերաբերող բաժնի վերջին պարբերություն): Ատենախոսությունների հիմնական դրույթների արտացոլման համար ընդունելի գիտական պարբերականների գնահատման համար բացակայում են գնահատման մշակված չափանիշներներ, որոնք հնարավոր կդարձնեն միջազգային չափորոշիչներին համապատասխան գիտական պարբերականների ցանկի ստեղծումը։ </w:t>
            </w:r>
          </w:p>
          <w:p w:rsidR="00154773" w:rsidRPr="0053423A" w:rsidRDefault="00154773" w:rsidP="00154773">
            <w:pPr>
              <w:ind w:firstLine="374"/>
              <w:rPr>
                <w:spacing w:val="-4"/>
                <w:sz w:val="20"/>
                <w:szCs w:val="20"/>
                <w:lang w:val="hy-AM"/>
              </w:rPr>
            </w:pPr>
            <w:r w:rsidRPr="0053423A">
              <w:rPr>
                <w:rFonts w:eastAsia="Times New Roman" w:cs="Times New Roman"/>
                <w:b/>
                <w:sz w:val="20"/>
                <w:szCs w:val="20"/>
                <w:lang w:val="hy-AM"/>
              </w:rPr>
              <w:t>1.1. Կարգավորման հարաբերությունների ներկա վիճակը և առկա խնդիրները</w:t>
            </w:r>
            <w:r w:rsidRPr="0053423A">
              <w:rPr>
                <w:rFonts w:eastAsia="Times New Roman" w:cs="Times New Roman"/>
                <w:sz w:val="20"/>
                <w:szCs w:val="20"/>
                <w:lang w:val="hy-AM"/>
              </w:rPr>
              <w:t xml:space="preserve"> </w:t>
            </w:r>
          </w:p>
          <w:p w:rsidR="00154773" w:rsidRPr="0053423A" w:rsidRDefault="00154773" w:rsidP="00154773">
            <w:pPr>
              <w:ind w:firstLine="374"/>
              <w:jc w:val="both"/>
              <w:rPr>
                <w:sz w:val="20"/>
                <w:szCs w:val="20"/>
                <w:lang w:val="hy-AM"/>
              </w:rPr>
            </w:pPr>
            <w:r w:rsidRPr="0053423A">
              <w:rPr>
                <w:sz w:val="20"/>
                <w:szCs w:val="20"/>
                <w:lang w:val="hy-AM"/>
              </w:rPr>
              <w:t xml:space="preserve">Հրատապ է նաև ՀՀ-ում հրատարակվող գիտական պարբերականների գնահատման չափանիշների մշակման անհրաժեշտությունը, քանի որ ատենախոսությունների հիմնական դրույթների արտացոլման համար ընդունելի գիտական պարբերականների գնահատման գործընթացը պետք է հիմնված լինի գիտական հանրույթի մասնակցությամբ մշակված չափորոշիչների վրա։ </w:t>
            </w:r>
          </w:p>
          <w:p w:rsidR="00154773" w:rsidRPr="0053423A" w:rsidRDefault="00154773" w:rsidP="00154773">
            <w:pPr>
              <w:ind w:firstLine="374"/>
              <w:jc w:val="both"/>
              <w:rPr>
                <w:sz w:val="20"/>
                <w:szCs w:val="20"/>
                <w:lang w:val="hy-AM"/>
              </w:rPr>
            </w:pPr>
          </w:p>
          <w:p w:rsidR="00154773" w:rsidRPr="0053423A" w:rsidRDefault="00154773" w:rsidP="00154773">
            <w:pPr>
              <w:ind w:firstLine="374"/>
              <w:jc w:val="both"/>
              <w:rPr>
                <w:rFonts w:eastAsia="Times New Roman" w:cs="Times New Roman"/>
                <w:sz w:val="20"/>
                <w:szCs w:val="20"/>
                <w:lang w:val="hy-AM"/>
              </w:rPr>
            </w:pPr>
            <w:r w:rsidRPr="0053423A">
              <w:rPr>
                <w:rFonts w:eastAsia="Times New Roman" w:cs="Times New Roman"/>
                <w:b/>
                <w:sz w:val="20"/>
                <w:szCs w:val="20"/>
                <w:lang w:val="hy-AM"/>
              </w:rPr>
              <w:t>1.2. Առկա խնդիրների առաջարկվող լուծումները</w:t>
            </w:r>
            <w:r w:rsidRPr="0053423A">
              <w:rPr>
                <w:rFonts w:eastAsia="Times New Roman" w:cs="Times New Roman"/>
                <w:sz w:val="20"/>
                <w:szCs w:val="20"/>
                <w:lang w:val="hy-AM"/>
              </w:rPr>
              <w:t xml:space="preserve"> </w:t>
            </w:r>
          </w:p>
          <w:p w:rsidR="00154773" w:rsidRPr="0053423A" w:rsidRDefault="00154773" w:rsidP="00154773">
            <w:pPr>
              <w:ind w:firstLine="374"/>
              <w:jc w:val="both"/>
              <w:rPr>
                <w:bCs/>
                <w:sz w:val="20"/>
                <w:szCs w:val="20"/>
                <w:lang w:val="hy-AM"/>
              </w:rPr>
            </w:pPr>
          </w:p>
          <w:p w:rsidR="00154773" w:rsidRPr="0053423A" w:rsidRDefault="00154773" w:rsidP="00154773">
            <w:pPr>
              <w:ind w:firstLine="374"/>
              <w:jc w:val="both"/>
              <w:rPr>
                <w:spacing w:val="-4"/>
                <w:sz w:val="20"/>
                <w:szCs w:val="20"/>
                <w:lang w:val="hy-AM"/>
              </w:rPr>
            </w:pPr>
            <w:r w:rsidRPr="0053423A">
              <w:rPr>
                <w:sz w:val="20"/>
                <w:szCs w:val="20"/>
                <w:lang w:val="hy-AM"/>
              </w:rPr>
              <w:t>Գիտական պարբերականների գնահատման չափանիշների մշակումը հարկավոր է ապահովել մասնագետների լայն ընդգրկմամբ կազմված աշխատանքային խմբի շրջանակներում։</w:t>
            </w:r>
            <w:r w:rsidRPr="0053423A">
              <w:rPr>
                <w:spacing w:val="-4"/>
                <w:sz w:val="20"/>
                <w:szCs w:val="20"/>
                <w:lang w:val="hy-AM"/>
              </w:rPr>
              <w:t xml:space="preserve"> </w:t>
            </w:r>
          </w:p>
          <w:p w:rsidR="00154773" w:rsidRPr="0053423A" w:rsidRDefault="00154773" w:rsidP="00154773">
            <w:pPr>
              <w:ind w:firstLine="374"/>
              <w:jc w:val="both"/>
              <w:rPr>
                <w:spacing w:val="-4"/>
                <w:sz w:val="20"/>
                <w:szCs w:val="20"/>
                <w:lang w:val="hy-AM"/>
              </w:rPr>
            </w:pPr>
          </w:p>
          <w:p w:rsidR="00154773" w:rsidRPr="0053423A" w:rsidRDefault="00154773" w:rsidP="00154773">
            <w:pPr>
              <w:ind w:firstLine="374"/>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firstLine="374"/>
              <w:rPr>
                <w:rFonts w:eastAsia="Times New Roman" w:cs="Times New Roman"/>
                <w:b/>
                <w:sz w:val="20"/>
                <w:szCs w:val="20"/>
                <w:lang w:val="hy-AM"/>
              </w:rPr>
            </w:pPr>
          </w:p>
          <w:p w:rsidR="00154773" w:rsidRPr="0053423A" w:rsidRDefault="00154773" w:rsidP="00154773">
            <w:pPr>
              <w:ind w:firstLine="374"/>
              <w:jc w:val="both"/>
              <w:rPr>
                <w:sz w:val="20"/>
                <w:szCs w:val="20"/>
                <w:lang w:val="hy-AM"/>
              </w:rPr>
            </w:pPr>
            <w:r w:rsidRPr="0053423A">
              <w:rPr>
                <w:sz w:val="20"/>
                <w:szCs w:val="20"/>
                <w:lang w:val="hy-AM"/>
              </w:rPr>
              <w:t>Գիտական պարբերականների գնահատման չափորոշիչները կնպաստեն անկողմնակալ և օբյեկտիվ գնահատման արդյունքում հաստատված ատենախոսությունների հիմնական դրույթների արտացոլման համար ընդունելի գիտական պարբերականների ցանկի ստեղծմանը։</w:t>
            </w:r>
          </w:p>
          <w:p w:rsidR="00154773" w:rsidRPr="0053423A" w:rsidRDefault="00154773" w:rsidP="00154773">
            <w:pPr>
              <w:jc w:val="center"/>
              <w:rPr>
                <w:rFonts w:eastAsia="Times New Roman" w:cs="Times New Roman"/>
                <w:b/>
                <w:sz w:val="20"/>
                <w:szCs w:val="20"/>
                <w:lang w:val="hy-AM"/>
              </w:rPr>
            </w:pPr>
          </w:p>
        </w:tc>
      </w:tr>
      <w:tr w:rsidR="00154773" w:rsidRPr="00DE2EF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tabs>
                <w:tab w:val="left" w:pos="7803"/>
              </w:tabs>
              <w:jc w:val="center"/>
              <w:rPr>
                <w:rFonts w:eastAsia="Times New Roman" w:cs="Times New Roman"/>
                <w:b/>
                <w:sz w:val="20"/>
                <w:szCs w:val="20"/>
                <w:u w:val="single"/>
                <w:lang w:val="hy-AM"/>
              </w:rPr>
            </w:pPr>
            <w:r w:rsidRPr="0053423A">
              <w:rPr>
                <w:b/>
                <w:spacing w:val="-4"/>
                <w:sz w:val="20"/>
                <w:szCs w:val="20"/>
                <w:u w:val="single"/>
                <w:lang w:val="hy-AM"/>
              </w:rPr>
              <w:t xml:space="preserve">26.5  </w:t>
            </w:r>
            <w:r w:rsidRPr="0053423A">
              <w:rPr>
                <w:rFonts w:eastAsia="Times New Roman" w:cs="Times New Roman"/>
                <w:b/>
                <w:sz w:val="20"/>
                <w:szCs w:val="20"/>
                <w:u w:val="single"/>
                <w:lang w:val="hy-AM"/>
              </w:rPr>
              <w:t>Գիտական աստիճանի հայցման նպատակով գիտահետազոտական գործընթացի կազմակերպման արդյունավետության բարձրացման և գործող կարգերի պահպանման նպատակով ասպիրանտների, հայցորդների և գիտական ղեկավարման իրավունք ունեցողների համար գործընթացի լուսաբանման, գիտական աշխատանքի իրականացման տեխնոլոգիաների պարզաբանման սեմինարներ և վերապատրաստման դասընթացներ</w:t>
            </w:r>
          </w:p>
          <w:p w:rsidR="00154773" w:rsidRPr="0053423A" w:rsidRDefault="00154773" w:rsidP="00154773">
            <w:pPr>
              <w:tabs>
                <w:tab w:val="left" w:pos="7803"/>
              </w:tabs>
              <w:jc w:val="center"/>
              <w:rPr>
                <w:sz w:val="20"/>
                <w:szCs w:val="20"/>
                <w:lang w:val="hy-AM"/>
              </w:rPr>
            </w:pPr>
          </w:p>
          <w:p w:rsidR="00154773" w:rsidRPr="0053423A" w:rsidRDefault="00154773" w:rsidP="00154773">
            <w:pPr>
              <w:tabs>
                <w:tab w:val="center" w:pos="0"/>
                <w:tab w:val="center" w:pos="4680"/>
                <w:tab w:val="right" w:pos="9360"/>
              </w:tabs>
              <w:ind w:right="86" w:firstLine="709"/>
              <w:jc w:val="both"/>
              <w:rPr>
                <w:sz w:val="20"/>
                <w:szCs w:val="20"/>
                <w:lang w:val="hy-AM"/>
              </w:rPr>
            </w:pPr>
            <w:r w:rsidRPr="0053423A">
              <w:rPr>
                <w:b/>
                <w:sz w:val="20"/>
                <w:szCs w:val="20"/>
                <w:lang w:val="hy-AM"/>
              </w:rPr>
              <w:t>1. Միջոցառման իրականացման անհրաժեշտությունը և նպատակը</w:t>
            </w:r>
          </w:p>
          <w:p w:rsidR="00154773" w:rsidRPr="0053423A" w:rsidRDefault="00154773" w:rsidP="00154773">
            <w:pPr>
              <w:tabs>
                <w:tab w:val="center" w:pos="0"/>
                <w:tab w:val="center" w:pos="4680"/>
                <w:tab w:val="right" w:pos="9360"/>
              </w:tabs>
              <w:ind w:right="85" w:firstLine="709"/>
              <w:jc w:val="both"/>
              <w:rPr>
                <w:sz w:val="20"/>
                <w:szCs w:val="20"/>
                <w:lang w:val="hy-AM"/>
              </w:rPr>
            </w:pPr>
            <w:r w:rsidRPr="0053423A">
              <w:rPr>
                <w:rFonts w:eastAsia="Times New Roman" w:cs="Times New Roman"/>
                <w:sz w:val="20"/>
                <w:szCs w:val="20"/>
                <w:lang w:val="hy-AM"/>
              </w:rPr>
              <w:t>Միջոցառման գլխավոր նպատակն է գիտության ոլորտում իրականացվող ծրագրերի և միջոցառումների համապատասխանեցումը երկրի տնտեսության կարիքներին, հետազոտությունների իրականացման միջազգային արդի պահանջներին և սկզբունքներին</w:t>
            </w:r>
            <w:r w:rsidRPr="0053423A">
              <w:rPr>
                <w:sz w:val="20"/>
                <w:szCs w:val="20"/>
                <w:lang w:val="hy-AM"/>
              </w:rPr>
              <w:t>:</w:t>
            </w:r>
          </w:p>
          <w:p w:rsidR="00154773" w:rsidRPr="0053423A" w:rsidRDefault="00154773" w:rsidP="00154773">
            <w:pPr>
              <w:tabs>
                <w:tab w:val="center" w:pos="0"/>
                <w:tab w:val="center" w:pos="4680"/>
                <w:tab w:val="right" w:pos="9360"/>
              </w:tabs>
              <w:ind w:right="86" w:firstLine="709"/>
              <w:jc w:val="both"/>
              <w:rPr>
                <w:sz w:val="20"/>
                <w:szCs w:val="20"/>
                <w:lang w:val="hy-AM"/>
              </w:rPr>
            </w:pPr>
            <w:r w:rsidRPr="0053423A">
              <w:rPr>
                <w:sz w:val="20"/>
                <w:szCs w:val="20"/>
                <w:lang w:val="hy-AM"/>
              </w:rPr>
              <w:t xml:space="preserve">Միջոցառման անհրաժեշտությունը բխում է </w:t>
            </w:r>
            <w:r w:rsidRPr="0053423A">
              <w:rPr>
                <w:spacing w:val="-4"/>
                <w:sz w:val="20"/>
                <w:szCs w:val="20"/>
                <w:lang w:val="hy-AM"/>
              </w:rPr>
              <w:t>ՀՀ 2019 թվականի փետրվարի 14-ի ԱԺՈ-002-Ն որոշմամբ հավանության արժանացած ՀՀ կառավարության ծրագրից (</w:t>
            </w:r>
            <w:r w:rsidRPr="0053423A">
              <w:rPr>
                <w:sz w:val="20"/>
                <w:szCs w:val="20"/>
                <w:lang w:val="hy-AM"/>
              </w:rPr>
              <w:t>«</w:t>
            </w:r>
            <w:r w:rsidRPr="0053423A">
              <w:rPr>
                <w:spacing w:val="-4"/>
                <w:sz w:val="20"/>
                <w:szCs w:val="20"/>
                <w:lang w:val="hy-AM"/>
              </w:rPr>
              <w:t>4.4 ԿՐԹՈՒԹՅՈՒՆ ԵՎ ԳԻՏՈՒԹՅՈՒՆ</w:t>
            </w:r>
            <w:r w:rsidRPr="0053423A">
              <w:rPr>
                <w:sz w:val="20"/>
                <w:szCs w:val="20"/>
                <w:lang w:val="hy-AM"/>
              </w:rPr>
              <w:t xml:space="preserve">» կետի «Գիտության ոլորտին» վերաբերող բաժնի վերջին պարբերություն): Ելնելով աստիճանաշնորհման գործընթացում անընդհատ ծագող խնդիրների բնույթից և ծավալից, կարելի է հստակ արձանագրել, որ խնդիրների գերակշիռ մասը իրազեկվածության պակասի արդյունք են։ Ասպիրանտները, հայցորդները և գիտական ղեկավարման իրավունք ունեցողները լիարժեք չեն տիրապետում ինչպես աստիճանաշնորհման գործող կարգին և իրականացվող փոփոխություններին, այնպես էլ գիտահետազոտական գործընթացի պատշաճ կազմակերպման կառուցակարգերին և էթիկայի նորմերին։ Ոչ ճիշտ կազմակերպված գիտահետազոտական աշխատանքի արդյունքում տեղի է ունենում ռեսուրսների վատնում, ինչի արդյունքում տուժում են ասպիրանտներն ու հայցորդները։ </w:t>
            </w:r>
          </w:p>
          <w:p w:rsidR="00154773" w:rsidRPr="0053423A" w:rsidRDefault="00154773" w:rsidP="00154773">
            <w:pPr>
              <w:ind w:firstLine="374"/>
              <w:rPr>
                <w:spacing w:val="-4"/>
                <w:sz w:val="20"/>
                <w:szCs w:val="20"/>
                <w:lang w:val="hy-AM"/>
              </w:rPr>
            </w:pPr>
            <w:r w:rsidRPr="0053423A">
              <w:rPr>
                <w:rFonts w:eastAsia="Times New Roman" w:cs="Times New Roman"/>
                <w:b/>
                <w:sz w:val="20"/>
                <w:szCs w:val="20"/>
                <w:lang w:val="hy-AM"/>
              </w:rPr>
              <w:t>1.1. Կարգավորման հարաբերությունների ներկա վիճակը և առկա խնդիրները</w:t>
            </w:r>
            <w:r w:rsidRPr="0053423A">
              <w:rPr>
                <w:rFonts w:eastAsia="Times New Roman" w:cs="Times New Roman"/>
                <w:sz w:val="20"/>
                <w:szCs w:val="20"/>
                <w:lang w:val="hy-AM"/>
              </w:rPr>
              <w:t xml:space="preserve"> </w:t>
            </w:r>
          </w:p>
          <w:p w:rsidR="00154773" w:rsidRPr="0053423A" w:rsidRDefault="00154773" w:rsidP="00154773">
            <w:pPr>
              <w:ind w:firstLine="374"/>
              <w:jc w:val="both"/>
              <w:rPr>
                <w:sz w:val="20"/>
                <w:szCs w:val="20"/>
                <w:lang w:val="hy-AM"/>
              </w:rPr>
            </w:pPr>
            <w:r w:rsidRPr="0053423A">
              <w:rPr>
                <w:sz w:val="20"/>
                <w:szCs w:val="20"/>
                <w:lang w:val="hy-AM"/>
              </w:rPr>
              <w:t>Անհրաժեշտություն կա բարձրացնելու ասպիրանտների, հայցորդների և գիտական ղեկավարների իրազեկվածության մակարդակը։ Հարկավոր է ստեղծել և կայացնել աստիճանաշնորհման գործընթացի լուսաբանման կայուն ինստիտուտ։</w:t>
            </w:r>
          </w:p>
          <w:p w:rsidR="00154773" w:rsidRPr="0053423A" w:rsidRDefault="00154773" w:rsidP="00154773">
            <w:pPr>
              <w:ind w:firstLine="374"/>
              <w:jc w:val="both"/>
              <w:rPr>
                <w:sz w:val="20"/>
                <w:szCs w:val="20"/>
                <w:lang w:val="hy-AM"/>
              </w:rPr>
            </w:pPr>
          </w:p>
          <w:p w:rsidR="00154773" w:rsidRPr="0053423A" w:rsidRDefault="00154773" w:rsidP="00154773">
            <w:pPr>
              <w:ind w:firstLine="374"/>
              <w:jc w:val="both"/>
              <w:rPr>
                <w:rFonts w:eastAsia="Times New Roman" w:cs="Times New Roman"/>
                <w:sz w:val="20"/>
                <w:szCs w:val="20"/>
                <w:lang w:val="hy-AM"/>
              </w:rPr>
            </w:pPr>
            <w:r w:rsidRPr="0053423A">
              <w:rPr>
                <w:rFonts w:eastAsia="Times New Roman" w:cs="Times New Roman"/>
                <w:b/>
                <w:sz w:val="20"/>
                <w:szCs w:val="20"/>
                <w:lang w:val="hy-AM"/>
              </w:rPr>
              <w:t>1.2. Առկա խնդիրների առաջարկվող լուծումները</w:t>
            </w:r>
            <w:r w:rsidRPr="0053423A">
              <w:rPr>
                <w:rFonts w:eastAsia="Times New Roman" w:cs="Times New Roman"/>
                <w:sz w:val="20"/>
                <w:szCs w:val="20"/>
                <w:lang w:val="hy-AM"/>
              </w:rPr>
              <w:t xml:space="preserve"> </w:t>
            </w:r>
          </w:p>
          <w:p w:rsidR="00154773" w:rsidRPr="0053423A" w:rsidRDefault="00154773" w:rsidP="00154773">
            <w:pPr>
              <w:ind w:firstLine="374"/>
              <w:jc w:val="both"/>
              <w:rPr>
                <w:bCs/>
                <w:sz w:val="20"/>
                <w:szCs w:val="20"/>
                <w:lang w:val="hy-AM"/>
              </w:rPr>
            </w:pPr>
          </w:p>
          <w:p w:rsidR="00154773" w:rsidRPr="0053423A" w:rsidRDefault="00154773" w:rsidP="00154773">
            <w:pPr>
              <w:ind w:firstLine="374"/>
              <w:jc w:val="both"/>
              <w:rPr>
                <w:spacing w:val="-4"/>
                <w:sz w:val="20"/>
                <w:szCs w:val="20"/>
                <w:lang w:val="hy-AM"/>
              </w:rPr>
            </w:pPr>
            <w:r w:rsidRPr="0053423A">
              <w:rPr>
                <w:rFonts w:eastAsia="Times New Roman" w:cs="Times New Roman"/>
                <w:sz w:val="20"/>
                <w:szCs w:val="20"/>
                <w:lang w:val="hy-AM"/>
              </w:rPr>
              <w:t>Իրազեկված ատենախոսների և գիտական ղեկավարների հանրության ձևավորումը հնարավոր է փ</w:t>
            </w:r>
            <w:r w:rsidRPr="0053423A">
              <w:rPr>
                <w:rFonts w:eastAsia="Times New Roman" w:cs="GHEA Grapalat"/>
                <w:sz w:val="20"/>
                <w:szCs w:val="20"/>
                <w:lang w:val="hy-AM"/>
              </w:rPr>
              <w:t>ոխշահավետ</w:t>
            </w:r>
            <w:r w:rsidRPr="0053423A">
              <w:rPr>
                <w:rFonts w:eastAsia="Times New Roman" w:cs="Times New Roman"/>
                <w:sz w:val="20"/>
                <w:szCs w:val="20"/>
                <w:lang w:val="hy-AM"/>
              </w:rPr>
              <w:t xml:space="preserve"> </w:t>
            </w:r>
            <w:r w:rsidRPr="0053423A">
              <w:rPr>
                <w:rFonts w:eastAsia="Times New Roman" w:cs="GHEA Grapalat"/>
                <w:sz w:val="20"/>
                <w:szCs w:val="20"/>
                <w:lang w:val="hy-AM"/>
              </w:rPr>
              <w:t>համագործակցային</w:t>
            </w:r>
            <w:r w:rsidRPr="0053423A">
              <w:rPr>
                <w:rFonts w:eastAsia="Times New Roman" w:cs="Times New Roman"/>
                <w:sz w:val="20"/>
                <w:szCs w:val="20"/>
                <w:lang w:val="hy-AM"/>
              </w:rPr>
              <w:t xml:space="preserve"> </w:t>
            </w:r>
            <w:r w:rsidRPr="0053423A">
              <w:rPr>
                <w:rFonts w:eastAsia="Times New Roman" w:cs="GHEA Grapalat"/>
                <w:sz w:val="20"/>
                <w:szCs w:val="20"/>
                <w:lang w:val="hy-AM"/>
              </w:rPr>
              <w:t>կապի</w:t>
            </w:r>
            <w:r w:rsidRPr="0053423A">
              <w:rPr>
                <w:rFonts w:eastAsia="Times New Roman" w:cs="Times New Roman"/>
                <w:sz w:val="20"/>
                <w:szCs w:val="20"/>
                <w:lang w:val="hy-AM"/>
              </w:rPr>
              <w:t xml:space="preserve"> </w:t>
            </w:r>
            <w:r w:rsidRPr="0053423A">
              <w:rPr>
                <w:rFonts w:eastAsia="Times New Roman" w:cs="GHEA Grapalat"/>
                <w:sz w:val="20"/>
                <w:szCs w:val="20"/>
                <w:lang w:val="hy-AM"/>
              </w:rPr>
              <w:t>ստեղծմամբ և</w:t>
            </w:r>
            <w:r w:rsidRPr="0053423A">
              <w:rPr>
                <w:rFonts w:eastAsia="Times New Roman" w:cs="Times New Roman"/>
                <w:sz w:val="20"/>
                <w:szCs w:val="20"/>
                <w:lang w:val="hy-AM"/>
              </w:rPr>
              <w:t xml:space="preserve"> </w:t>
            </w:r>
            <w:r w:rsidRPr="0053423A">
              <w:rPr>
                <w:rFonts w:eastAsia="Times New Roman" w:cs="GHEA Grapalat"/>
                <w:sz w:val="20"/>
                <w:szCs w:val="20"/>
                <w:lang w:val="hy-AM"/>
              </w:rPr>
              <w:t>հրատապ</w:t>
            </w:r>
            <w:r w:rsidRPr="0053423A">
              <w:rPr>
                <w:rFonts w:eastAsia="Times New Roman" w:cs="Times New Roman"/>
                <w:sz w:val="20"/>
                <w:szCs w:val="20"/>
                <w:lang w:val="hy-AM"/>
              </w:rPr>
              <w:t xml:space="preserve"> </w:t>
            </w:r>
            <w:r w:rsidRPr="0053423A">
              <w:rPr>
                <w:rFonts w:eastAsia="Times New Roman" w:cs="GHEA Grapalat"/>
                <w:sz w:val="20"/>
                <w:szCs w:val="20"/>
                <w:lang w:val="hy-AM"/>
              </w:rPr>
              <w:t>լուծման</w:t>
            </w:r>
            <w:r w:rsidRPr="0053423A">
              <w:rPr>
                <w:rFonts w:eastAsia="Times New Roman" w:cs="Times New Roman"/>
                <w:sz w:val="20"/>
                <w:szCs w:val="20"/>
                <w:lang w:val="hy-AM"/>
              </w:rPr>
              <w:t xml:space="preserve"> </w:t>
            </w:r>
            <w:r w:rsidRPr="0053423A">
              <w:rPr>
                <w:rFonts w:eastAsia="Times New Roman" w:cs="GHEA Grapalat"/>
                <w:sz w:val="20"/>
                <w:szCs w:val="20"/>
                <w:lang w:val="hy-AM"/>
              </w:rPr>
              <w:t>կարիք</w:t>
            </w:r>
            <w:r w:rsidRPr="0053423A">
              <w:rPr>
                <w:rFonts w:eastAsia="Times New Roman" w:cs="Times New Roman"/>
                <w:sz w:val="20"/>
                <w:szCs w:val="20"/>
                <w:lang w:val="hy-AM"/>
              </w:rPr>
              <w:t xml:space="preserve"> </w:t>
            </w:r>
            <w:r w:rsidRPr="0053423A">
              <w:rPr>
                <w:rFonts w:eastAsia="Times New Roman" w:cs="GHEA Grapalat"/>
                <w:sz w:val="20"/>
                <w:szCs w:val="20"/>
                <w:lang w:val="hy-AM"/>
              </w:rPr>
              <w:t>ունեցող</w:t>
            </w:r>
            <w:r w:rsidRPr="0053423A">
              <w:rPr>
                <w:rFonts w:eastAsia="Times New Roman" w:cs="Times New Roman"/>
                <w:sz w:val="20"/>
                <w:szCs w:val="20"/>
                <w:lang w:val="hy-AM"/>
              </w:rPr>
              <w:t xml:space="preserve"> </w:t>
            </w:r>
            <w:r w:rsidRPr="0053423A">
              <w:rPr>
                <w:rFonts w:eastAsia="Times New Roman" w:cs="GHEA Grapalat"/>
                <w:sz w:val="20"/>
                <w:szCs w:val="20"/>
                <w:lang w:val="hy-AM"/>
              </w:rPr>
              <w:t>խնդիրների</w:t>
            </w:r>
            <w:r w:rsidRPr="0053423A">
              <w:rPr>
                <w:rFonts w:eastAsia="Times New Roman" w:cs="Times New Roman"/>
                <w:sz w:val="20"/>
                <w:szCs w:val="20"/>
                <w:lang w:val="hy-AM"/>
              </w:rPr>
              <w:t xml:space="preserve"> </w:t>
            </w:r>
            <w:r w:rsidRPr="0053423A">
              <w:rPr>
                <w:rFonts w:eastAsia="Times New Roman" w:cs="GHEA Grapalat"/>
                <w:sz w:val="20"/>
                <w:szCs w:val="20"/>
                <w:lang w:val="hy-AM"/>
              </w:rPr>
              <w:t>որոշակիացմամբ։</w:t>
            </w:r>
            <w:r w:rsidRPr="0053423A">
              <w:rPr>
                <w:spacing w:val="-4"/>
                <w:sz w:val="20"/>
                <w:szCs w:val="20"/>
                <w:lang w:val="hy-AM"/>
              </w:rPr>
              <w:t xml:space="preserve"> </w:t>
            </w:r>
          </w:p>
          <w:p w:rsidR="00154773" w:rsidRPr="0053423A" w:rsidRDefault="00154773" w:rsidP="00154773">
            <w:pPr>
              <w:ind w:firstLine="374"/>
              <w:rPr>
                <w:rFonts w:eastAsia="Times New Roman" w:cs="Times New Roman"/>
                <w:b/>
                <w:sz w:val="20"/>
                <w:szCs w:val="20"/>
                <w:lang w:val="hy-AM"/>
              </w:rPr>
            </w:pPr>
          </w:p>
          <w:p w:rsidR="00154773" w:rsidRPr="0053423A" w:rsidRDefault="00154773" w:rsidP="00154773">
            <w:pPr>
              <w:ind w:firstLine="374"/>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154773" w:rsidRPr="0053423A" w:rsidRDefault="00154773" w:rsidP="00154773">
            <w:pPr>
              <w:ind w:firstLine="374"/>
              <w:rPr>
                <w:rFonts w:eastAsia="Times New Roman" w:cs="Times New Roman"/>
                <w:b/>
                <w:sz w:val="20"/>
                <w:szCs w:val="20"/>
                <w:lang w:val="hy-AM"/>
              </w:rPr>
            </w:pPr>
          </w:p>
          <w:p w:rsidR="00154773" w:rsidRPr="0053423A" w:rsidRDefault="00154773" w:rsidP="00154773">
            <w:pPr>
              <w:jc w:val="center"/>
              <w:rPr>
                <w:rFonts w:eastAsia="Times New Roman" w:cs="Times New Roman"/>
                <w:b/>
                <w:sz w:val="20"/>
                <w:szCs w:val="20"/>
                <w:lang w:val="hy-AM"/>
              </w:rPr>
            </w:pPr>
            <w:r w:rsidRPr="0053423A">
              <w:rPr>
                <w:rFonts w:eastAsia="Times New Roman" w:cs="GHEA Grapalat"/>
                <w:sz w:val="20"/>
                <w:szCs w:val="20"/>
                <w:lang w:val="hy-AM"/>
              </w:rPr>
              <w:t>Քննարկումների, սեմինարների և պարբերական բնույթ կրող հանդիպումների ընթացքում գիտական</w:t>
            </w:r>
            <w:r w:rsidRPr="0053423A">
              <w:rPr>
                <w:rFonts w:eastAsia="Times New Roman" w:cs="Times New Roman"/>
                <w:sz w:val="20"/>
                <w:szCs w:val="20"/>
                <w:lang w:val="hy-AM"/>
              </w:rPr>
              <w:t xml:space="preserve"> </w:t>
            </w:r>
            <w:r w:rsidRPr="0053423A">
              <w:rPr>
                <w:rFonts w:eastAsia="Times New Roman" w:cs="GHEA Grapalat"/>
                <w:sz w:val="20"/>
                <w:szCs w:val="20"/>
                <w:lang w:val="hy-AM"/>
              </w:rPr>
              <w:t>աստիճանի</w:t>
            </w:r>
            <w:r w:rsidRPr="0053423A">
              <w:rPr>
                <w:rFonts w:eastAsia="Times New Roman" w:cs="Times New Roman"/>
                <w:sz w:val="20"/>
                <w:szCs w:val="20"/>
                <w:lang w:val="hy-AM"/>
              </w:rPr>
              <w:t xml:space="preserve"> </w:t>
            </w:r>
            <w:r w:rsidRPr="0053423A">
              <w:rPr>
                <w:rFonts w:eastAsia="Times New Roman" w:cs="GHEA Grapalat"/>
                <w:sz w:val="20"/>
                <w:szCs w:val="20"/>
                <w:lang w:val="hy-AM"/>
              </w:rPr>
              <w:t>հայցման</w:t>
            </w:r>
            <w:r w:rsidRPr="0053423A">
              <w:rPr>
                <w:rFonts w:eastAsia="Times New Roman" w:cs="Times New Roman"/>
                <w:sz w:val="20"/>
                <w:szCs w:val="20"/>
                <w:lang w:val="hy-AM"/>
              </w:rPr>
              <w:t xml:space="preserve"> </w:t>
            </w:r>
            <w:r w:rsidRPr="0053423A">
              <w:rPr>
                <w:rFonts w:eastAsia="Times New Roman" w:cs="GHEA Grapalat"/>
                <w:sz w:val="20"/>
                <w:szCs w:val="20"/>
                <w:lang w:val="hy-AM"/>
              </w:rPr>
              <w:t>նպատակով</w:t>
            </w:r>
            <w:r w:rsidRPr="0053423A">
              <w:rPr>
                <w:rFonts w:eastAsia="Times New Roman" w:cs="Times New Roman"/>
                <w:sz w:val="20"/>
                <w:szCs w:val="20"/>
                <w:lang w:val="hy-AM"/>
              </w:rPr>
              <w:t xml:space="preserve"> գիտահետազոտական գործընթացը կկազմակերպվի</w:t>
            </w:r>
            <w:r w:rsidRPr="0053423A">
              <w:rPr>
                <w:rFonts w:eastAsia="Times New Roman" w:cs="GHEA Grapalat"/>
                <w:sz w:val="20"/>
                <w:szCs w:val="20"/>
                <w:lang w:val="hy-AM"/>
              </w:rPr>
              <w:t xml:space="preserve"> գործող</w:t>
            </w:r>
            <w:r w:rsidRPr="0053423A">
              <w:rPr>
                <w:rFonts w:eastAsia="Times New Roman" w:cs="Times New Roman"/>
                <w:sz w:val="20"/>
                <w:szCs w:val="20"/>
                <w:lang w:val="hy-AM"/>
              </w:rPr>
              <w:t xml:space="preserve"> </w:t>
            </w:r>
            <w:r w:rsidRPr="0053423A">
              <w:rPr>
                <w:rFonts w:eastAsia="Times New Roman" w:cs="GHEA Grapalat"/>
                <w:sz w:val="20"/>
                <w:szCs w:val="20"/>
                <w:lang w:val="hy-AM"/>
              </w:rPr>
              <w:t>կարգերին</w:t>
            </w:r>
            <w:r w:rsidRPr="0053423A">
              <w:rPr>
                <w:rFonts w:eastAsia="Times New Roman" w:cs="Times New Roman"/>
                <w:sz w:val="20"/>
                <w:szCs w:val="20"/>
                <w:lang w:val="hy-AM"/>
              </w:rPr>
              <w:t xml:space="preserve"> </w:t>
            </w:r>
            <w:r w:rsidRPr="0053423A">
              <w:rPr>
                <w:rFonts w:eastAsia="Times New Roman" w:cs="GHEA Grapalat"/>
                <w:sz w:val="20"/>
                <w:szCs w:val="20"/>
                <w:lang w:val="hy-AM"/>
              </w:rPr>
              <w:t>համարժեք</w:t>
            </w:r>
            <w:r w:rsidRPr="0053423A">
              <w:rPr>
                <w:rFonts w:eastAsia="Times New Roman" w:cs="Times New Roman"/>
                <w:sz w:val="20"/>
                <w:szCs w:val="20"/>
                <w:lang w:val="hy-AM"/>
              </w:rPr>
              <w:t xml:space="preserve"> և կձևավորվի իրազեկված ատենախոսների և գիտական ղեկավարների հանրույթ։</w:t>
            </w:r>
          </w:p>
        </w:tc>
      </w:tr>
      <w:tr w:rsidR="00154773" w:rsidRPr="0053423A" w:rsidTr="00154773">
        <w:tc>
          <w:tcPr>
            <w:tcW w:w="720" w:type="dxa"/>
            <w:vMerge w:val="restart"/>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27</w:t>
            </w:r>
          </w:p>
        </w:tc>
        <w:tc>
          <w:tcPr>
            <w:tcW w:w="10620" w:type="dxa"/>
          </w:tcPr>
          <w:p w:rsidR="00154773" w:rsidRPr="0053423A" w:rsidRDefault="00154773" w:rsidP="00154773">
            <w:pPr>
              <w:tabs>
                <w:tab w:val="left" w:pos="432"/>
                <w:tab w:val="left" w:pos="5670"/>
                <w:tab w:val="left" w:pos="5812"/>
                <w:tab w:val="left" w:pos="7803"/>
              </w:tabs>
              <w:contextualSpacing/>
              <w:jc w:val="center"/>
              <w:rPr>
                <w:rFonts w:eastAsia="Times New Roman" w:cs="Times New Roman"/>
                <w:b/>
                <w:sz w:val="20"/>
                <w:szCs w:val="20"/>
                <w:u w:val="single"/>
                <w:lang w:val="hy-AM"/>
              </w:rPr>
            </w:pPr>
            <w:r w:rsidRPr="0053423A">
              <w:rPr>
                <w:rFonts w:eastAsia="Times New Roman" w:cs="Times New Roman"/>
                <w:b/>
                <w:sz w:val="20"/>
                <w:szCs w:val="20"/>
                <w:u w:val="single"/>
                <w:lang w:val="hy-AM"/>
              </w:rPr>
              <w:t>27.1 Հայաստանի Հանրապետությունում գիտական կադրերի տվյալների միասնական էլեկտրոնային շտեմարանի ստեղծում</w:t>
            </w:r>
          </w:p>
          <w:p w:rsidR="00154773" w:rsidRPr="0053423A" w:rsidRDefault="00154773" w:rsidP="00154773">
            <w:pPr>
              <w:tabs>
                <w:tab w:val="left" w:pos="432"/>
                <w:tab w:val="left" w:pos="5670"/>
                <w:tab w:val="left" w:pos="5812"/>
                <w:tab w:val="left" w:pos="7803"/>
              </w:tabs>
              <w:contextualSpacing/>
              <w:jc w:val="both"/>
              <w:rPr>
                <w:rFonts w:eastAsia="Times New Roman" w:cs="Times New Roman"/>
                <w:b/>
                <w:sz w:val="20"/>
                <w:szCs w:val="20"/>
                <w:u w:val="single"/>
                <w:lang w:val="hy-AM"/>
              </w:rPr>
            </w:pPr>
          </w:p>
          <w:p w:rsidR="00154773" w:rsidRPr="0053423A" w:rsidRDefault="00154773" w:rsidP="001F6D5D">
            <w:pPr>
              <w:numPr>
                <w:ilvl w:val="0"/>
                <w:numId w:val="500"/>
              </w:numPr>
              <w:tabs>
                <w:tab w:val="center" w:pos="0"/>
                <w:tab w:val="center" w:pos="4680"/>
                <w:tab w:val="right" w:pos="9360"/>
              </w:tabs>
              <w:ind w:right="86"/>
              <w:jc w:val="both"/>
              <w:rPr>
                <w:b/>
                <w:sz w:val="20"/>
                <w:szCs w:val="20"/>
              </w:rPr>
            </w:pPr>
            <w:r w:rsidRPr="0053423A">
              <w:rPr>
                <w:b/>
                <w:sz w:val="20"/>
                <w:szCs w:val="20"/>
                <w:lang w:val="hy-AM"/>
              </w:rPr>
              <w:t>Միջոցառման իրականացման անհրաժեշտությունը և նպատակը</w:t>
            </w:r>
          </w:p>
          <w:p w:rsidR="00154773" w:rsidRPr="0053423A" w:rsidRDefault="00154773" w:rsidP="00154773">
            <w:pPr>
              <w:tabs>
                <w:tab w:val="center" w:pos="0"/>
                <w:tab w:val="center" w:pos="4680"/>
                <w:tab w:val="right" w:pos="9360"/>
              </w:tabs>
              <w:ind w:left="1069" w:right="86"/>
              <w:jc w:val="both"/>
              <w:rPr>
                <w:sz w:val="20"/>
                <w:szCs w:val="20"/>
              </w:rPr>
            </w:pPr>
          </w:p>
          <w:p w:rsidR="00154773" w:rsidRPr="0053423A" w:rsidRDefault="00154773" w:rsidP="00154773">
            <w:pPr>
              <w:tabs>
                <w:tab w:val="center" w:pos="0"/>
                <w:tab w:val="center" w:pos="4680"/>
                <w:tab w:val="right" w:pos="9360"/>
              </w:tabs>
              <w:ind w:right="85" w:firstLine="709"/>
              <w:jc w:val="both"/>
              <w:rPr>
                <w:sz w:val="20"/>
                <w:szCs w:val="20"/>
                <w:lang w:val="hy-AM"/>
              </w:rPr>
            </w:pPr>
            <w:r w:rsidRPr="0053423A">
              <w:rPr>
                <w:rFonts w:eastAsia="Times New Roman" w:cs="Times New Roman"/>
                <w:sz w:val="20"/>
                <w:szCs w:val="20"/>
                <w:lang w:val="hy-AM"/>
              </w:rPr>
              <w:t>Միջոցառման գլխավոր նպատակն է գիտության ոլորտում իրականացվող ծրագրերի և միջոցառումների համապատասխանեցումը երկրի տնտեսության կարիքներին, հետազոտությունների իրականացման միջազգային արդի պահանջներին և սկզբունքներին</w:t>
            </w:r>
            <w:r w:rsidRPr="0053423A">
              <w:rPr>
                <w:sz w:val="20"/>
                <w:szCs w:val="20"/>
                <w:lang w:val="hy-AM"/>
              </w:rPr>
              <w:t>:</w:t>
            </w:r>
          </w:p>
          <w:p w:rsidR="00154773" w:rsidRPr="0053423A" w:rsidRDefault="00154773" w:rsidP="00154773">
            <w:pPr>
              <w:tabs>
                <w:tab w:val="left" w:pos="432"/>
                <w:tab w:val="left" w:pos="5670"/>
                <w:tab w:val="left" w:pos="5812"/>
                <w:tab w:val="left" w:pos="7803"/>
              </w:tabs>
              <w:contextualSpacing/>
              <w:jc w:val="both"/>
              <w:rPr>
                <w:spacing w:val="-4"/>
                <w:sz w:val="20"/>
                <w:szCs w:val="20"/>
                <w:lang w:val="hy-AM"/>
              </w:rPr>
            </w:pPr>
            <w:r w:rsidRPr="0053423A">
              <w:rPr>
                <w:spacing w:val="-4"/>
                <w:sz w:val="20"/>
                <w:szCs w:val="20"/>
              </w:rPr>
              <w:tab/>
            </w:r>
            <w:r w:rsidRPr="0053423A">
              <w:rPr>
                <w:spacing w:val="-4"/>
                <w:sz w:val="20"/>
                <w:szCs w:val="20"/>
                <w:lang w:val="hy-AM"/>
              </w:rPr>
              <w:t xml:space="preserve">Միջոցառման իրականացման անհրաժեշտությունը բխում է ՀՀ Ազգային Ժողովի 2019 թվականի փետրվարի 14-ի ԱԺՈ-002-Ն որոշմամբ հավանության արժանացած ՀՀ կառավարության ծրագրից (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կետի «Գիտության ոլորտին» վերաբերող բաժնի 2-րդ պարբերություն)</w:t>
            </w:r>
            <w:r w:rsidRPr="0053423A">
              <w:rPr>
                <w:spacing w:val="-4"/>
                <w:sz w:val="20"/>
                <w:szCs w:val="20"/>
                <w:lang w:val="hy-AM"/>
              </w:rPr>
              <w:t xml:space="preserve">։ Էլեկտրոնային հարթակի ստեղծման նպատակն է գիտության ոլորտի կադրային բազայի ստեղծումը: </w:t>
            </w:r>
          </w:p>
          <w:p w:rsidR="00154773" w:rsidRPr="0053423A" w:rsidRDefault="00154773" w:rsidP="00154773">
            <w:pPr>
              <w:tabs>
                <w:tab w:val="left" w:pos="432"/>
                <w:tab w:val="left" w:pos="5670"/>
                <w:tab w:val="left" w:pos="5812"/>
                <w:tab w:val="left" w:pos="7803"/>
              </w:tabs>
              <w:contextualSpacing/>
              <w:jc w:val="both"/>
              <w:rPr>
                <w:spacing w:val="-4"/>
                <w:sz w:val="20"/>
                <w:szCs w:val="20"/>
                <w:lang w:val="hy-AM"/>
              </w:rPr>
            </w:pPr>
          </w:p>
          <w:p w:rsidR="00154773" w:rsidRPr="0053423A" w:rsidRDefault="00154773" w:rsidP="001F6D5D">
            <w:pPr>
              <w:numPr>
                <w:ilvl w:val="1"/>
                <w:numId w:val="459"/>
              </w:numPr>
              <w:ind w:left="1080"/>
              <w:contextualSpacing/>
              <w:rPr>
                <w:rFonts w:eastAsia="Times New Roman" w:cs="Times New Roman"/>
                <w:sz w:val="20"/>
                <w:szCs w:val="20"/>
                <w:lang w:val="hy-AM"/>
              </w:rPr>
            </w:pPr>
            <w:r w:rsidRPr="0053423A">
              <w:rPr>
                <w:rFonts w:eastAsia="Times New Roman" w:cs="Times New Roman"/>
                <w:b/>
                <w:sz w:val="20"/>
                <w:szCs w:val="20"/>
                <w:lang w:val="hy-AM"/>
              </w:rPr>
              <w:t>կարգավորման հարաբերությունների ներկա վիճակը և առկա խնդիրները</w:t>
            </w:r>
            <w:r w:rsidRPr="0053423A">
              <w:rPr>
                <w:rFonts w:eastAsia="Times New Roman" w:cs="Times New Roman"/>
                <w:sz w:val="20"/>
                <w:szCs w:val="20"/>
                <w:lang w:val="hy-AM"/>
              </w:rPr>
              <w:t xml:space="preserve"> </w:t>
            </w:r>
          </w:p>
          <w:p w:rsidR="00154773" w:rsidRPr="0053423A" w:rsidRDefault="00154773" w:rsidP="00154773">
            <w:pPr>
              <w:ind w:left="1080"/>
              <w:contextualSpacing/>
              <w:rPr>
                <w:rFonts w:eastAsia="Times New Roman" w:cs="Times New Roman"/>
                <w:sz w:val="20"/>
                <w:szCs w:val="20"/>
                <w:lang w:val="hy-AM"/>
              </w:rPr>
            </w:pPr>
          </w:p>
          <w:p w:rsidR="00154773" w:rsidRPr="0053423A" w:rsidRDefault="00154773" w:rsidP="00154773">
            <w:pPr>
              <w:ind w:firstLine="374"/>
              <w:jc w:val="both"/>
              <w:rPr>
                <w:spacing w:val="-4"/>
                <w:sz w:val="20"/>
                <w:szCs w:val="20"/>
                <w:lang w:val="hy-AM"/>
              </w:rPr>
            </w:pPr>
            <w:r w:rsidRPr="0053423A">
              <w:rPr>
                <w:spacing w:val="-4"/>
                <w:sz w:val="20"/>
                <w:szCs w:val="20"/>
                <w:lang w:val="hy-AM"/>
              </w:rPr>
              <w:t>Միջազգայնորեն մրցունակ գիտության, գիտական կադրերի և վերջիններիս սերնդափոխության ապահովման հնարավոր ճանապարհներից մեկը գիտական աստիճանաշնորհման և կոչումների շնորհման գործընթացի թափանցիկության, հանրայնացման, արդյունավետության բարձրացման, հանրային վերահսկողության ապահովման տարբերակն է։</w:t>
            </w:r>
          </w:p>
          <w:p w:rsidR="00154773" w:rsidRPr="0053423A" w:rsidRDefault="00154773" w:rsidP="00154773">
            <w:pPr>
              <w:ind w:firstLine="374"/>
              <w:jc w:val="both"/>
              <w:rPr>
                <w:spacing w:val="-4"/>
                <w:sz w:val="20"/>
                <w:szCs w:val="20"/>
                <w:lang w:val="hy-AM"/>
              </w:rPr>
            </w:pPr>
            <w:r w:rsidRPr="0053423A">
              <w:rPr>
                <w:spacing w:val="-4"/>
                <w:sz w:val="20"/>
                <w:szCs w:val="20"/>
                <w:lang w:val="hy-AM"/>
              </w:rPr>
              <w:t xml:space="preserve">Գիտական կադրերի շրջանում խիստ արդիական խնդիրներից մեկը՝ կադրերի արտահոսքը, բերեց մրցունակ և ներուժ ունեցող կադրային կազմի պակասի։ </w:t>
            </w:r>
          </w:p>
          <w:p w:rsidR="00154773" w:rsidRPr="0053423A" w:rsidRDefault="00154773" w:rsidP="00154773">
            <w:pPr>
              <w:ind w:firstLine="374"/>
              <w:jc w:val="both"/>
              <w:rPr>
                <w:spacing w:val="-4"/>
                <w:sz w:val="20"/>
                <w:szCs w:val="20"/>
                <w:lang w:val="hy-AM"/>
              </w:rPr>
            </w:pPr>
            <w:r w:rsidRPr="0053423A">
              <w:rPr>
                <w:spacing w:val="-4"/>
                <w:sz w:val="20"/>
                <w:szCs w:val="20"/>
                <w:lang w:val="hy-AM"/>
              </w:rPr>
              <w:t xml:space="preserve">   Երկրում գործող անհատ գիտնականների մեծամասնությունը չունի հնարավորություն իր գիտական գործունեության վերաբերյալ ամբողջական տեղեկատվության հանրայնացման համար։ Սա ապագա ասպիրանտների և հայցորդների համար առաջացնում է խնդիր իրենց հետազոտական ուղղվածությանը համապատասխան գիտական ղեկավարների ընտրության հարցում։</w:t>
            </w:r>
          </w:p>
          <w:p w:rsidR="00154773" w:rsidRPr="0053423A" w:rsidRDefault="00154773" w:rsidP="00154773">
            <w:pPr>
              <w:ind w:firstLine="374"/>
              <w:jc w:val="both"/>
              <w:rPr>
                <w:spacing w:val="-4"/>
                <w:sz w:val="20"/>
                <w:szCs w:val="20"/>
                <w:lang w:val="hy-AM"/>
              </w:rPr>
            </w:pPr>
          </w:p>
          <w:p w:rsidR="00154773" w:rsidRPr="0053423A" w:rsidRDefault="00154773" w:rsidP="00154773">
            <w:pPr>
              <w:ind w:left="420"/>
              <w:contextualSpacing/>
              <w:jc w:val="both"/>
              <w:rPr>
                <w:rFonts w:eastAsia="Times New Roman" w:cs="Times New Roman"/>
                <w:sz w:val="20"/>
                <w:szCs w:val="20"/>
                <w:lang w:val="hy-AM"/>
              </w:rPr>
            </w:pPr>
            <w:r w:rsidRPr="0053423A">
              <w:rPr>
                <w:rFonts w:eastAsia="Times New Roman" w:cs="Times New Roman"/>
                <w:b/>
                <w:sz w:val="20"/>
                <w:szCs w:val="20"/>
                <w:lang w:val="hy-AM"/>
              </w:rPr>
              <w:t>1.2.Առկա խնդիրների առաջարկվող լուծումները</w:t>
            </w:r>
            <w:r w:rsidRPr="0053423A">
              <w:rPr>
                <w:rFonts w:eastAsia="Times New Roman" w:cs="Times New Roman"/>
                <w:sz w:val="20"/>
                <w:szCs w:val="20"/>
                <w:lang w:val="hy-AM"/>
              </w:rPr>
              <w:t xml:space="preserve"> </w:t>
            </w:r>
          </w:p>
          <w:p w:rsidR="00154773" w:rsidRPr="0053423A" w:rsidRDefault="00154773" w:rsidP="00154773">
            <w:pPr>
              <w:ind w:left="420"/>
              <w:contextualSpacing/>
              <w:jc w:val="both"/>
              <w:rPr>
                <w:bCs/>
                <w:sz w:val="20"/>
                <w:szCs w:val="20"/>
                <w:lang w:val="hy-AM"/>
              </w:rPr>
            </w:pPr>
          </w:p>
          <w:p w:rsidR="00154773" w:rsidRPr="0053423A" w:rsidRDefault="00154773" w:rsidP="00154773">
            <w:pPr>
              <w:ind w:firstLine="374"/>
              <w:jc w:val="both"/>
              <w:rPr>
                <w:spacing w:val="-4"/>
                <w:sz w:val="20"/>
                <w:szCs w:val="20"/>
                <w:lang w:val="hy-AM"/>
              </w:rPr>
            </w:pPr>
            <w:r w:rsidRPr="0053423A">
              <w:rPr>
                <w:spacing w:val="-4"/>
                <w:sz w:val="20"/>
                <w:szCs w:val="20"/>
                <w:lang w:val="hy-AM"/>
              </w:rPr>
              <w:t>Էլեկտրոնային Գիտական հարթակ – ի ստեղծում։ Հարթակի ստեղծմամբ տեխնիկական աջակցություն է ցուցաբերվում անհատ գիտանականներին:</w:t>
            </w:r>
          </w:p>
          <w:p w:rsidR="00154773" w:rsidRPr="0053423A" w:rsidRDefault="00154773" w:rsidP="00154773">
            <w:pPr>
              <w:ind w:firstLine="374"/>
              <w:jc w:val="both"/>
              <w:rPr>
                <w:spacing w:val="-4"/>
                <w:sz w:val="20"/>
                <w:szCs w:val="20"/>
                <w:lang w:val="hy-AM"/>
              </w:rPr>
            </w:pPr>
          </w:p>
          <w:p w:rsidR="00154773" w:rsidRPr="0053423A" w:rsidRDefault="00154773" w:rsidP="001F6D5D">
            <w:pPr>
              <w:numPr>
                <w:ilvl w:val="0"/>
                <w:numId w:val="459"/>
              </w:numPr>
              <w:contextualSpacing/>
              <w:rPr>
                <w:rFonts w:eastAsia="Times New Roman" w:cs="Times New Roman"/>
                <w:b/>
                <w:sz w:val="20"/>
                <w:szCs w:val="20"/>
              </w:rPr>
            </w:pPr>
            <w:r w:rsidRPr="0053423A">
              <w:rPr>
                <w:rFonts w:eastAsia="Times New Roman" w:cs="Times New Roman"/>
                <w:b/>
                <w:sz w:val="20"/>
                <w:szCs w:val="20"/>
                <w:lang w:val="hy-AM"/>
              </w:rPr>
              <w:t>Միջոցառման իրականացումից ակնկալվող արդյունքը</w:t>
            </w:r>
          </w:p>
          <w:p w:rsidR="00154773" w:rsidRPr="0053423A" w:rsidRDefault="00154773" w:rsidP="00154773">
            <w:pPr>
              <w:ind w:left="420"/>
              <w:contextualSpacing/>
              <w:rPr>
                <w:rFonts w:eastAsia="Times New Roman" w:cs="Times New Roman"/>
                <w:b/>
                <w:sz w:val="20"/>
                <w:szCs w:val="20"/>
              </w:rPr>
            </w:pPr>
          </w:p>
          <w:p w:rsidR="00154773" w:rsidRPr="0053423A" w:rsidRDefault="00154773" w:rsidP="00154773">
            <w:pPr>
              <w:ind w:firstLine="374"/>
              <w:jc w:val="both"/>
              <w:rPr>
                <w:rFonts w:eastAsia="Times New Roman" w:cs="Times New Roman"/>
                <w:b/>
                <w:sz w:val="20"/>
                <w:szCs w:val="20"/>
                <w:u w:val="single"/>
                <w:lang w:val="hy-AM"/>
              </w:rPr>
            </w:pPr>
            <w:r w:rsidRPr="0053423A">
              <w:rPr>
                <w:spacing w:val="-4"/>
                <w:sz w:val="20"/>
                <w:szCs w:val="20"/>
                <w:lang w:val="hy-AM"/>
              </w:rPr>
              <w:t>Միջոցառման արդյունքում նախատեսվում է ունենալ միջազգային չափանիշներին համապատասխան, բաց հասանելիությամբ, եռալեզու հարթակ, որտեղ համատեղված կլինեն Հայաստանում և Հայաստանից դուրս գործող գիտնականների անհատական պլատֆորմները:</w:t>
            </w:r>
          </w:p>
          <w:p w:rsidR="00154773" w:rsidRPr="0053423A" w:rsidRDefault="00154773" w:rsidP="00154773">
            <w:pPr>
              <w:jc w:val="center"/>
              <w:rPr>
                <w:rFonts w:eastAsia="Times New Roman" w:cs="Times New Roman"/>
                <w:b/>
                <w:sz w:val="20"/>
                <w:szCs w:val="20"/>
                <w:lang w:val="hy-AM"/>
              </w:rPr>
            </w:pPr>
          </w:p>
        </w:tc>
      </w:tr>
      <w:tr w:rsidR="00154773" w:rsidRPr="0053423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tabs>
                <w:tab w:val="left" w:pos="7803"/>
              </w:tabs>
              <w:jc w:val="center"/>
              <w:rPr>
                <w:rFonts w:eastAsia="Times New Roman" w:cs="Times New Roman"/>
                <w:b/>
                <w:sz w:val="20"/>
                <w:szCs w:val="20"/>
                <w:u w:val="single"/>
                <w:lang w:val="hy-AM"/>
              </w:rPr>
            </w:pPr>
            <w:r w:rsidRPr="0053423A">
              <w:rPr>
                <w:rFonts w:eastAsia="Times New Roman" w:cs="Times New Roman"/>
                <w:b/>
                <w:sz w:val="20"/>
                <w:szCs w:val="20"/>
                <w:u w:val="single"/>
                <w:lang w:val="hy-AM"/>
              </w:rPr>
              <w:t>27.2 Հայաստանի Հանրապետությունում հրատարակվող գիտական պարբերականների հարթակից օգտվելու աջակցություն</w:t>
            </w:r>
          </w:p>
          <w:p w:rsidR="00154773" w:rsidRPr="0053423A" w:rsidRDefault="00154773" w:rsidP="00154773">
            <w:pPr>
              <w:tabs>
                <w:tab w:val="left" w:pos="7803"/>
              </w:tabs>
              <w:jc w:val="both"/>
              <w:rPr>
                <w:rFonts w:eastAsia="Times New Roman" w:cs="Times New Roman"/>
                <w:b/>
                <w:sz w:val="20"/>
                <w:szCs w:val="20"/>
                <w:u w:val="single"/>
                <w:lang w:val="hy-AM"/>
              </w:rPr>
            </w:pPr>
          </w:p>
          <w:p w:rsidR="00154773" w:rsidRPr="0053423A" w:rsidRDefault="00154773" w:rsidP="001F6D5D">
            <w:pPr>
              <w:numPr>
                <w:ilvl w:val="0"/>
                <w:numId w:val="501"/>
              </w:numPr>
              <w:contextualSpacing/>
              <w:rPr>
                <w:rFonts w:eastAsia="Times New Roman" w:cs="Times New Roman"/>
                <w:sz w:val="20"/>
                <w:szCs w:val="20"/>
              </w:rPr>
            </w:pPr>
            <w:r w:rsidRPr="0053423A">
              <w:rPr>
                <w:rFonts w:eastAsia="Times New Roman" w:cs="Times New Roman"/>
                <w:b/>
                <w:sz w:val="20"/>
                <w:szCs w:val="20"/>
                <w:lang w:val="hy-AM"/>
              </w:rPr>
              <w:t>Միջոցառման իրականացման անհրաժեշտությունը և նպատակը</w:t>
            </w:r>
            <w:r w:rsidRPr="0053423A">
              <w:rPr>
                <w:rFonts w:eastAsia="Times New Roman" w:cs="Times New Roman"/>
                <w:sz w:val="20"/>
                <w:szCs w:val="20"/>
                <w:lang w:val="hy-AM"/>
              </w:rPr>
              <w:t xml:space="preserve"> </w:t>
            </w:r>
          </w:p>
          <w:p w:rsidR="00154773" w:rsidRPr="0053423A" w:rsidRDefault="00154773" w:rsidP="00154773">
            <w:pPr>
              <w:ind w:left="734"/>
              <w:contextualSpacing/>
              <w:rPr>
                <w:rFonts w:eastAsia="Times New Roman" w:cs="Times New Roman"/>
                <w:sz w:val="20"/>
                <w:szCs w:val="20"/>
              </w:rPr>
            </w:pPr>
          </w:p>
          <w:p w:rsidR="00154773" w:rsidRPr="0053423A" w:rsidRDefault="00154773" w:rsidP="00154773">
            <w:pPr>
              <w:tabs>
                <w:tab w:val="center" w:pos="0"/>
                <w:tab w:val="center" w:pos="4680"/>
                <w:tab w:val="right" w:pos="9360"/>
              </w:tabs>
              <w:ind w:right="85" w:firstLine="709"/>
              <w:jc w:val="both"/>
              <w:rPr>
                <w:sz w:val="20"/>
                <w:szCs w:val="20"/>
                <w:lang w:val="hy-AM"/>
              </w:rPr>
            </w:pPr>
            <w:r w:rsidRPr="0053423A">
              <w:rPr>
                <w:rFonts w:eastAsia="Times New Roman" w:cs="Times New Roman"/>
                <w:sz w:val="20"/>
                <w:szCs w:val="20"/>
                <w:lang w:val="hy-AM"/>
              </w:rPr>
              <w:t>Միջոցառման գլխավոր նպատակն է գիտության ոլորտում իրականացվող ծրագրերի և միջոցառումների համապատասխանեցումը երկրի տնտեսության կարիքներին, հետազոտությունների իրականացման միջազգային արդի պահանջներին և սկզբունքներին</w:t>
            </w:r>
            <w:r w:rsidRPr="0053423A">
              <w:rPr>
                <w:sz w:val="20"/>
                <w:szCs w:val="20"/>
                <w:lang w:val="hy-AM"/>
              </w:rPr>
              <w:t>:</w:t>
            </w:r>
          </w:p>
          <w:p w:rsidR="00154773" w:rsidRPr="0053423A" w:rsidRDefault="00154773" w:rsidP="00154773">
            <w:pPr>
              <w:ind w:firstLine="374"/>
              <w:jc w:val="both"/>
              <w:rPr>
                <w:spacing w:val="-4"/>
                <w:sz w:val="20"/>
                <w:szCs w:val="20"/>
                <w:lang w:val="hy-AM"/>
              </w:rPr>
            </w:pPr>
            <w:r w:rsidRPr="0053423A">
              <w:rPr>
                <w:spacing w:val="-4"/>
                <w:sz w:val="20"/>
                <w:szCs w:val="20"/>
                <w:lang w:val="hy-AM"/>
              </w:rPr>
              <w:t xml:space="preserve">Միջոցառման իրականացման անհրաժեշտությունը բխում է ՀՀ Ազգային Ժողովի 2019 թվականի փետրվարի 14-ի ԱԺՈ-002-Ն որոշմամբ հավանության արժանացած ՀՀ կառավարության ծրագրից (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կետի «Գիտության ոլորտին» վերաբերող բաժնի 2-րդ պարբերություն)</w:t>
            </w:r>
            <w:r w:rsidRPr="0053423A">
              <w:rPr>
                <w:spacing w:val="-4"/>
                <w:sz w:val="20"/>
                <w:szCs w:val="20"/>
                <w:lang w:val="hy-AM"/>
              </w:rPr>
              <w:t xml:space="preserve">։ Էլեկտրոնային հարթակի ստեղծման նպատակն է հրապարակվող գիտական պարբերականների կայքի ձևավորման, պահպանման և վարման տեսանկյունից աջակցության ցուցաբերումը, հրատարակվող գիտական նյութերի լայն հասանելիության և միջազգայնացման ապահովումը: </w:t>
            </w:r>
          </w:p>
          <w:p w:rsidR="00154773" w:rsidRPr="0053423A" w:rsidRDefault="00154773" w:rsidP="00154773">
            <w:pPr>
              <w:ind w:firstLine="374"/>
              <w:jc w:val="both"/>
              <w:rPr>
                <w:spacing w:val="-4"/>
                <w:sz w:val="20"/>
                <w:szCs w:val="20"/>
                <w:lang w:val="hy-AM"/>
              </w:rPr>
            </w:pPr>
          </w:p>
          <w:p w:rsidR="00154773" w:rsidRPr="0053423A" w:rsidRDefault="00154773" w:rsidP="001F6D5D">
            <w:pPr>
              <w:numPr>
                <w:ilvl w:val="1"/>
                <w:numId w:val="501"/>
              </w:numPr>
              <w:contextualSpacing/>
              <w:rPr>
                <w:rFonts w:eastAsia="Times New Roman" w:cs="Times New Roman"/>
                <w:sz w:val="20"/>
                <w:szCs w:val="20"/>
                <w:lang w:val="hy-AM"/>
              </w:rPr>
            </w:pPr>
            <w:r w:rsidRPr="0053423A">
              <w:rPr>
                <w:rFonts w:eastAsia="Times New Roman" w:cs="Times New Roman"/>
                <w:b/>
                <w:sz w:val="20"/>
                <w:szCs w:val="20"/>
                <w:lang w:val="hy-AM"/>
              </w:rPr>
              <w:t>կարգավորման հարաբերությունների ներկա վիճակը և առկա խնդիրները</w:t>
            </w:r>
            <w:r w:rsidRPr="0053423A">
              <w:rPr>
                <w:rFonts w:eastAsia="Times New Roman" w:cs="Times New Roman"/>
                <w:sz w:val="20"/>
                <w:szCs w:val="20"/>
                <w:lang w:val="hy-AM"/>
              </w:rPr>
              <w:t xml:space="preserve"> </w:t>
            </w:r>
          </w:p>
          <w:p w:rsidR="00154773" w:rsidRPr="0053423A" w:rsidRDefault="00154773" w:rsidP="00154773">
            <w:pPr>
              <w:ind w:left="990"/>
              <w:contextualSpacing/>
              <w:rPr>
                <w:rFonts w:eastAsia="Times New Roman" w:cs="Times New Roman"/>
                <w:sz w:val="20"/>
                <w:szCs w:val="20"/>
                <w:lang w:val="hy-AM"/>
              </w:rPr>
            </w:pPr>
          </w:p>
          <w:p w:rsidR="00154773" w:rsidRPr="0053423A" w:rsidRDefault="00154773" w:rsidP="00154773">
            <w:pPr>
              <w:ind w:firstLine="374"/>
              <w:jc w:val="both"/>
              <w:rPr>
                <w:spacing w:val="-4"/>
                <w:sz w:val="20"/>
                <w:szCs w:val="20"/>
                <w:lang w:val="hy-AM"/>
              </w:rPr>
            </w:pPr>
            <w:r w:rsidRPr="0053423A">
              <w:rPr>
                <w:spacing w:val="-4"/>
                <w:sz w:val="20"/>
                <w:szCs w:val="20"/>
                <w:lang w:val="hy-AM"/>
              </w:rPr>
              <w:t>Գիտական պարբերականները ֆինանսական սղության պատճառով չեն ապահովում կամ մասամբ են ապահովում պարբերականի էլեկտրոնային կայք էջի գործարկումը, ինչն էլ խոչընդոտում է գիտական նյութերի հասանելիությանը, հանրայնացմանը և միջազգայնացմանը։ Որոշ դեպքերում կայքերի պահպանության համար պահանջվող ֆինանսական միջոցների ապահովման նպատակով հոդվածները պարբերականներում տպագրվում են վճարովի հիմունքներով։</w:t>
            </w:r>
          </w:p>
          <w:p w:rsidR="00154773" w:rsidRPr="0053423A" w:rsidRDefault="00154773" w:rsidP="00154773">
            <w:pPr>
              <w:ind w:firstLine="374"/>
              <w:jc w:val="both"/>
              <w:rPr>
                <w:spacing w:val="-4"/>
                <w:sz w:val="20"/>
                <w:szCs w:val="20"/>
                <w:lang w:val="hy-AM"/>
              </w:rPr>
            </w:pPr>
            <w:r w:rsidRPr="0053423A">
              <w:rPr>
                <w:spacing w:val="-4"/>
                <w:sz w:val="20"/>
                <w:szCs w:val="20"/>
                <w:lang w:val="hy-AM"/>
              </w:rPr>
              <w:t xml:space="preserve">     </w:t>
            </w:r>
          </w:p>
          <w:p w:rsidR="00154773" w:rsidRPr="0053423A" w:rsidRDefault="00154773" w:rsidP="001F6D5D">
            <w:pPr>
              <w:numPr>
                <w:ilvl w:val="1"/>
                <w:numId w:val="501"/>
              </w:numPr>
              <w:contextualSpacing/>
              <w:jc w:val="both"/>
              <w:rPr>
                <w:rFonts w:eastAsia="Times New Roman" w:cs="Times New Roman"/>
                <w:sz w:val="20"/>
                <w:szCs w:val="20"/>
              </w:rPr>
            </w:pPr>
            <w:r w:rsidRPr="0053423A">
              <w:rPr>
                <w:rFonts w:eastAsia="Times New Roman" w:cs="Times New Roman"/>
                <w:b/>
                <w:sz w:val="20"/>
                <w:szCs w:val="20"/>
                <w:lang w:val="hy-AM"/>
              </w:rPr>
              <w:t>առկա խնդիրների առաջարկվող լուծումները</w:t>
            </w:r>
            <w:r w:rsidRPr="0053423A">
              <w:rPr>
                <w:rFonts w:eastAsia="Times New Roman" w:cs="Times New Roman"/>
                <w:sz w:val="20"/>
                <w:szCs w:val="20"/>
                <w:lang w:val="hy-AM"/>
              </w:rPr>
              <w:t xml:space="preserve"> </w:t>
            </w:r>
          </w:p>
          <w:p w:rsidR="00154773" w:rsidRPr="0053423A" w:rsidRDefault="00154773" w:rsidP="00154773">
            <w:pPr>
              <w:ind w:left="990"/>
              <w:contextualSpacing/>
              <w:jc w:val="both"/>
              <w:rPr>
                <w:bCs/>
                <w:sz w:val="20"/>
                <w:szCs w:val="20"/>
              </w:rPr>
            </w:pPr>
          </w:p>
          <w:p w:rsidR="00154773" w:rsidRPr="0053423A" w:rsidRDefault="00154773" w:rsidP="00154773">
            <w:pPr>
              <w:ind w:firstLine="375"/>
              <w:jc w:val="both"/>
              <w:rPr>
                <w:spacing w:val="-4"/>
                <w:sz w:val="20"/>
                <w:szCs w:val="20"/>
                <w:lang w:val="hy-AM"/>
              </w:rPr>
            </w:pPr>
            <w:r w:rsidRPr="0053423A">
              <w:rPr>
                <w:spacing w:val="-4"/>
                <w:sz w:val="20"/>
                <w:szCs w:val="20"/>
                <w:lang w:val="hy-AM"/>
              </w:rPr>
              <w:t>Հարթակի ստեղծմամբ տեխնիկական աջակցություն է ցուցաբերվում ոչ միայն անհատ գիտնականներին, այլ նաև գիտական պարբերականներին։ Հարթակը կծառայի որպես գիտության դաշտում ակտիվ գործող գիտնականների և վերջիններիս հրապարակումների վերաբերյալ տեղեկատվության  գեներացման միջավայր:</w:t>
            </w:r>
          </w:p>
          <w:p w:rsidR="00154773" w:rsidRPr="0053423A" w:rsidRDefault="00154773" w:rsidP="00154773">
            <w:pPr>
              <w:ind w:firstLine="375"/>
              <w:jc w:val="both"/>
              <w:rPr>
                <w:spacing w:val="-4"/>
                <w:sz w:val="20"/>
                <w:szCs w:val="20"/>
                <w:lang w:val="hy-AM"/>
              </w:rPr>
            </w:pPr>
          </w:p>
          <w:p w:rsidR="00154773" w:rsidRPr="0053423A" w:rsidRDefault="00154773" w:rsidP="001F6D5D">
            <w:pPr>
              <w:numPr>
                <w:ilvl w:val="0"/>
                <w:numId w:val="501"/>
              </w:numPr>
              <w:contextualSpacing/>
              <w:rPr>
                <w:rFonts w:eastAsia="Times New Roman" w:cs="Times New Roman"/>
                <w:b/>
                <w:sz w:val="20"/>
                <w:szCs w:val="20"/>
              </w:rPr>
            </w:pPr>
            <w:r w:rsidRPr="0053423A">
              <w:rPr>
                <w:rFonts w:eastAsia="Times New Roman" w:cs="Times New Roman"/>
                <w:b/>
                <w:sz w:val="20"/>
                <w:szCs w:val="20"/>
                <w:lang w:val="hy-AM"/>
              </w:rPr>
              <w:t>Միջոցառման իրականացումից ակնկալվող արդյունքը</w:t>
            </w:r>
          </w:p>
          <w:p w:rsidR="00154773" w:rsidRPr="0053423A" w:rsidRDefault="00154773" w:rsidP="00154773">
            <w:pPr>
              <w:ind w:left="734"/>
              <w:contextualSpacing/>
              <w:rPr>
                <w:rFonts w:eastAsia="Times New Roman" w:cs="Times New Roman"/>
                <w:b/>
                <w:sz w:val="20"/>
                <w:szCs w:val="20"/>
              </w:rPr>
            </w:pPr>
          </w:p>
          <w:p w:rsidR="00154773" w:rsidRPr="0053423A" w:rsidRDefault="00154773" w:rsidP="00154773">
            <w:pPr>
              <w:ind w:firstLine="374"/>
              <w:jc w:val="both"/>
              <w:rPr>
                <w:rFonts w:eastAsia="Times New Roman" w:cs="Times New Roman"/>
                <w:b/>
                <w:sz w:val="20"/>
                <w:szCs w:val="20"/>
                <w:u w:val="single"/>
                <w:lang w:val="hy-AM"/>
              </w:rPr>
            </w:pPr>
            <w:r w:rsidRPr="0053423A">
              <w:rPr>
                <w:spacing w:val="-4"/>
                <w:sz w:val="20"/>
                <w:szCs w:val="20"/>
                <w:lang w:val="hy-AM"/>
              </w:rPr>
              <w:t xml:space="preserve">Միջոցառման արդյունքում գիտական պարբերականները կունենան անվճար սպասարկվող կայք և տպագրվող նյութերի ավելի լայն հասանելիություն: </w:t>
            </w:r>
          </w:p>
          <w:p w:rsidR="00154773" w:rsidRPr="0053423A" w:rsidRDefault="00154773" w:rsidP="00154773">
            <w:pPr>
              <w:jc w:val="center"/>
              <w:rPr>
                <w:rFonts w:eastAsia="Times New Roman" w:cs="Times New Roman"/>
                <w:b/>
                <w:sz w:val="20"/>
                <w:szCs w:val="20"/>
                <w:lang w:val="hy-AM"/>
              </w:rPr>
            </w:pPr>
          </w:p>
        </w:tc>
      </w:tr>
      <w:tr w:rsidR="00154773" w:rsidRPr="0053423A" w:rsidTr="00154773">
        <w:tc>
          <w:tcPr>
            <w:tcW w:w="720" w:type="dxa"/>
            <w:vMerge/>
          </w:tcPr>
          <w:p w:rsidR="00154773" w:rsidRPr="0053423A" w:rsidRDefault="00154773" w:rsidP="00154773">
            <w:pPr>
              <w:jc w:val="center"/>
              <w:rPr>
                <w:rFonts w:eastAsia="Times New Roman" w:cs="Times New Roman"/>
                <w:b/>
                <w:sz w:val="20"/>
                <w:szCs w:val="20"/>
                <w:lang w:val="hy-AM"/>
              </w:rPr>
            </w:pPr>
          </w:p>
        </w:tc>
        <w:tc>
          <w:tcPr>
            <w:tcW w:w="10620" w:type="dxa"/>
          </w:tcPr>
          <w:p w:rsidR="00154773" w:rsidRPr="0053423A" w:rsidRDefault="00154773" w:rsidP="00154773">
            <w:pPr>
              <w:tabs>
                <w:tab w:val="left" w:pos="432"/>
                <w:tab w:val="left" w:pos="5670"/>
                <w:tab w:val="left" w:pos="5812"/>
                <w:tab w:val="left" w:pos="7803"/>
              </w:tabs>
              <w:contextualSpacing/>
              <w:jc w:val="center"/>
              <w:rPr>
                <w:rFonts w:eastAsia="Times New Roman" w:cs="Courier New"/>
                <w:b/>
                <w:color w:val="FF0000"/>
                <w:sz w:val="20"/>
                <w:szCs w:val="20"/>
                <w:u w:val="single"/>
                <w:lang w:val="hy-AM"/>
              </w:rPr>
            </w:pPr>
            <w:r w:rsidRPr="0053423A">
              <w:rPr>
                <w:rFonts w:eastAsia="Times New Roman" w:cs="Times New Roman"/>
                <w:b/>
                <w:sz w:val="20"/>
                <w:szCs w:val="20"/>
                <w:u w:val="single"/>
                <w:lang w:val="hy-AM"/>
              </w:rPr>
              <w:t>27.3 Գիտական աստիճանի հայցման համար ատենախոսությունների պաշտպանության գործընթացի լուսաբանում Գիտական հարթակում</w:t>
            </w:r>
          </w:p>
          <w:p w:rsidR="00154773" w:rsidRPr="0053423A" w:rsidRDefault="00154773" w:rsidP="00154773">
            <w:pPr>
              <w:ind w:firstLine="375"/>
              <w:rPr>
                <w:rFonts w:eastAsia="Times New Roman" w:cs="Times New Roman"/>
                <w:b/>
                <w:color w:val="FF0000"/>
                <w:sz w:val="20"/>
                <w:szCs w:val="20"/>
                <w:lang w:val="hy-AM"/>
              </w:rPr>
            </w:pPr>
            <w:r w:rsidRPr="0053423A">
              <w:rPr>
                <w:rFonts w:ascii="Calibri" w:eastAsia="Times New Roman" w:hAnsi="Calibri" w:cs="Calibri"/>
                <w:b/>
                <w:color w:val="FF0000"/>
                <w:sz w:val="20"/>
                <w:szCs w:val="20"/>
                <w:lang w:val="hy-AM"/>
              </w:rPr>
              <w:t> </w:t>
            </w:r>
          </w:p>
          <w:p w:rsidR="00154773" w:rsidRPr="0053423A" w:rsidRDefault="00154773" w:rsidP="001F6D5D">
            <w:pPr>
              <w:numPr>
                <w:ilvl w:val="0"/>
                <w:numId w:val="502"/>
              </w:numPr>
              <w:contextualSpacing/>
              <w:rPr>
                <w:rFonts w:eastAsia="Times New Roman" w:cs="Times New Roman"/>
                <w:sz w:val="20"/>
                <w:szCs w:val="20"/>
              </w:rPr>
            </w:pPr>
            <w:r w:rsidRPr="0053423A">
              <w:rPr>
                <w:rFonts w:eastAsia="Times New Roman" w:cs="Times New Roman"/>
                <w:b/>
                <w:sz w:val="20"/>
                <w:szCs w:val="20"/>
                <w:lang w:val="hy-AM"/>
              </w:rPr>
              <w:t>Միջոցառման իրականացման անհրաժեշտությունը և նպատակը</w:t>
            </w:r>
            <w:r w:rsidRPr="0053423A">
              <w:rPr>
                <w:rFonts w:eastAsia="Times New Roman" w:cs="Times New Roman"/>
                <w:sz w:val="20"/>
                <w:szCs w:val="20"/>
                <w:lang w:val="hy-AM"/>
              </w:rPr>
              <w:t xml:space="preserve"> </w:t>
            </w:r>
          </w:p>
          <w:p w:rsidR="00154773" w:rsidRPr="0053423A" w:rsidRDefault="00154773" w:rsidP="00154773">
            <w:pPr>
              <w:ind w:left="734"/>
              <w:contextualSpacing/>
              <w:rPr>
                <w:rFonts w:eastAsia="Times New Roman" w:cs="Times New Roman"/>
                <w:sz w:val="20"/>
                <w:szCs w:val="20"/>
              </w:rPr>
            </w:pPr>
          </w:p>
          <w:p w:rsidR="00154773" w:rsidRPr="0053423A" w:rsidRDefault="00154773" w:rsidP="00154773">
            <w:pPr>
              <w:ind w:firstLine="374"/>
              <w:jc w:val="both"/>
              <w:rPr>
                <w:rFonts w:eastAsia="Times New Roman" w:cs="Times New Roman"/>
                <w:sz w:val="20"/>
                <w:szCs w:val="20"/>
                <w:lang w:val="hy-AM"/>
              </w:rPr>
            </w:pPr>
            <w:r w:rsidRPr="0053423A">
              <w:rPr>
                <w:rFonts w:eastAsia="Times New Roman" w:cs="Times New Roman"/>
                <w:sz w:val="20"/>
                <w:szCs w:val="20"/>
                <w:lang w:val="hy-AM"/>
              </w:rPr>
              <w:t>Միջոցառման գլխավոր նպատակն է գիտության ոլորտում իրականացվող ծրագրերի և միջոցառումների համապատասխանեցումը երկրի տնտեսության կարիքներին, հետազոտությունների իրականացման միջազգային արդի պահանջներին և սկզբունքներին:</w:t>
            </w:r>
          </w:p>
          <w:p w:rsidR="00154773" w:rsidRPr="0053423A" w:rsidRDefault="00154773" w:rsidP="00154773">
            <w:pPr>
              <w:ind w:firstLine="374"/>
              <w:jc w:val="both"/>
              <w:rPr>
                <w:spacing w:val="-4"/>
                <w:sz w:val="20"/>
                <w:szCs w:val="20"/>
                <w:lang w:val="hy-AM"/>
              </w:rPr>
            </w:pPr>
            <w:r w:rsidRPr="0053423A">
              <w:rPr>
                <w:spacing w:val="-4"/>
                <w:sz w:val="20"/>
                <w:szCs w:val="20"/>
                <w:lang w:val="hy-AM"/>
              </w:rPr>
              <w:t xml:space="preserve">Միջոցառման իրականացման անհրաժեշտությունը բխում է ՀՀ Ազգային Ժողովի 2019 թվականի փետրվարի 14-ի ԱԺՈ-002-Ն որոշմամբ հավանության արժանացած ՀՀ կառավարության ծրագրից (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կետի «Գիտության ոլորտին» վերաբերող բաժնի 2-րդ պարբերություն)</w:t>
            </w:r>
            <w:r w:rsidRPr="0053423A">
              <w:rPr>
                <w:spacing w:val="-4"/>
                <w:sz w:val="20"/>
                <w:szCs w:val="20"/>
                <w:lang w:val="hy-AM"/>
              </w:rPr>
              <w:t>։ Միջոցառման իրականացման անհրաժեշտությունը գիտական աստիճանի հայցման համար ատենախոսությունների գործընթացի լուսաբանումն է։</w:t>
            </w:r>
          </w:p>
          <w:p w:rsidR="00154773" w:rsidRPr="0053423A" w:rsidRDefault="00154773" w:rsidP="00154773">
            <w:pPr>
              <w:ind w:firstLine="374"/>
              <w:jc w:val="both"/>
              <w:rPr>
                <w:spacing w:val="-4"/>
                <w:sz w:val="20"/>
                <w:szCs w:val="20"/>
                <w:lang w:val="hy-AM"/>
              </w:rPr>
            </w:pPr>
          </w:p>
          <w:p w:rsidR="00154773" w:rsidRPr="0053423A" w:rsidRDefault="00154773" w:rsidP="001F6D5D">
            <w:pPr>
              <w:numPr>
                <w:ilvl w:val="1"/>
                <w:numId w:val="498"/>
              </w:numPr>
              <w:contextualSpacing/>
              <w:rPr>
                <w:rFonts w:eastAsia="Times New Roman" w:cs="Times New Roman"/>
                <w:sz w:val="20"/>
                <w:szCs w:val="20"/>
                <w:lang w:val="hy-AM"/>
              </w:rPr>
            </w:pPr>
            <w:r w:rsidRPr="0053423A">
              <w:rPr>
                <w:rFonts w:eastAsia="Times New Roman" w:cs="Times New Roman"/>
                <w:b/>
                <w:sz w:val="20"/>
                <w:szCs w:val="20"/>
                <w:lang w:val="hy-AM"/>
              </w:rPr>
              <w:t>կարգավորման հարաբերությունների ներկա վիճակը և առկա խնդիրները</w:t>
            </w:r>
            <w:r w:rsidRPr="0053423A">
              <w:rPr>
                <w:rFonts w:eastAsia="Times New Roman" w:cs="Times New Roman"/>
                <w:sz w:val="20"/>
                <w:szCs w:val="20"/>
                <w:lang w:val="hy-AM"/>
              </w:rPr>
              <w:t xml:space="preserve"> </w:t>
            </w:r>
          </w:p>
          <w:p w:rsidR="00154773" w:rsidRPr="0053423A" w:rsidRDefault="00154773" w:rsidP="00154773">
            <w:pPr>
              <w:ind w:left="1080"/>
              <w:contextualSpacing/>
              <w:rPr>
                <w:rFonts w:eastAsia="Times New Roman" w:cs="Times New Roman"/>
                <w:sz w:val="20"/>
                <w:szCs w:val="20"/>
                <w:lang w:val="hy-AM"/>
              </w:rPr>
            </w:pPr>
          </w:p>
          <w:p w:rsidR="00154773" w:rsidRPr="0053423A" w:rsidRDefault="00154773" w:rsidP="00154773">
            <w:pPr>
              <w:ind w:firstLine="374"/>
              <w:jc w:val="both"/>
              <w:rPr>
                <w:rFonts w:eastAsia="Times New Roman" w:cs="Times New Roman"/>
                <w:sz w:val="20"/>
                <w:szCs w:val="20"/>
                <w:lang w:val="hy-AM"/>
              </w:rPr>
            </w:pPr>
            <w:r w:rsidRPr="0053423A">
              <w:rPr>
                <w:rFonts w:eastAsia="Times New Roman" w:cs="Times New Roman"/>
                <w:sz w:val="20"/>
                <w:szCs w:val="20"/>
                <w:lang w:val="hy-AM"/>
              </w:rPr>
              <w:t xml:space="preserve">Գիտական աստիճանաշնորհման գործընթացի կազմակերպման համար խնդրահարույց է ոչ միայն լիազոր մարմնի կողմից գործող կարգերի վերաբերյալ համալրված տեղեկատվության տրամադրումը, այլ նաև վերջիններիս վերաբերյալ գիտական հանրույթի կողմից արձագանքի և կարծիքների ստացման հնարավորությունը: </w:t>
            </w:r>
          </w:p>
          <w:p w:rsidR="00154773" w:rsidRPr="0053423A" w:rsidRDefault="00154773" w:rsidP="00154773">
            <w:pPr>
              <w:ind w:firstLine="374"/>
              <w:jc w:val="both"/>
              <w:rPr>
                <w:rFonts w:eastAsia="Times New Roman" w:cs="Times New Roman"/>
                <w:sz w:val="20"/>
                <w:szCs w:val="20"/>
                <w:lang w:val="hy-AM"/>
              </w:rPr>
            </w:pPr>
          </w:p>
          <w:p w:rsidR="00154773" w:rsidRPr="0053423A" w:rsidRDefault="00154773" w:rsidP="001F6D5D">
            <w:pPr>
              <w:numPr>
                <w:ilvl w:val="1"/>
                <w:numId w:val="498"/>
              </w:numPr>
              <w:contextualSpacing/>
              <w:jc w:val="both"/>
              <w:rPr>
                <w:rFonts w:eastAsia="Times New Roman" w:cs="Times New Roman"/>
                <w:sz w:val="20"/>
                <w:szCs w:val="20"/>
              </w:rPr>
            </w:pPr>
            <w:r w:rsidRPr="0053423A">
              <w:rPr>
                <w:rFonts w:eastAsia="Times New Roman" w:cs="Times New Roman"/>
                <w:b/>
                <w:sz w:val="20"/>
                <w:szCs w:val="20"/>
                <w:lang w:val="hy-AM"/>
              </w:rPr>
              <w:t>առկա խնդիրների առաջարկվող լուծումները</w:t>
            </w:r>
            <w:r w:rsidRPr="0053423A">
              <w:rPr>
                <w:rFonts w:eastAsia="Times New Roman" w:cs="Times New Roman"/>
                <w:sz w:val="20"/>
                <w:szCs w:val="20"/>
                <w:lang w:val="hy-AM"/>
              </w:rPr>
              <w:t xml:space="preserve"> </w:t>
            </w:r>
          </w:p>
          <w:p w:rsidR="00154773" w:rsidRPr="0053423A" w:rsidRDefault="00154773" w:rsidP="00154773">
            <w:pPr>
              <w:ind w:left="1080"/>
              <w:contextualSpacing/>
              <w:jc w:val="both"/>
              <w:rPr>
                <w:bCs/>
                <w:sz w:val="20"/>
                <w:szCs w:val="20"/>
              </w:rPr>
            </w:pPr>
          </w:p>
          <w:p w:rsidR="00154773" w:rsidRPr="0053423A" w:rsidRDefault="00154773" w:rsidP="00154773">
            <w:pPr>
              <w:ind w:firstLine="375"/>
              <w:jc w:val="both"/>
              <w:rPr>
                <w:spacing w:val="-4"/>
                <w:sz w:val="20"/>
                <w:szCs w:val="20"/>
                <w:lang w:val="hy-AM"/>
              </w:rPr>
            </w:pPr>
            <w:r w:rsidRPr="0053423A">
              <w:rPr>
                <w:spacing w:val="-4"/>
                <w:sz w:val="20"/>
                <w:szCs w:val="20"/>
                <w:lang w:val="hy-AM"/>
              </w:rPr>
              <w:t xml:space="preserve">Էլեկտրոնային Գիտական հարթակ – ի ստեղծմամբ տեխնիկական աջակցություն է ցուցաբերվում ոչ միայն անհատ գիտնականներին և գիտական պարբերականներին, այլ նաև վերջինիս միջոցով հնրավոր է դառնում աստիճանաշնորհման գործընթացի լիազոր մարմնի և գիտական հանրույթի միջև հետադարձ և անընդհատ կապի ապահովումը:   </w:t>
            </w:r>
          </w:p>
          <w:p w:rsidR="00154773" w:rsidRPr="0053423A" w:rsidRDefault="00154773" w:rsidP="00154773">
            <w:pPr>
              <w:ind w:firstLine="375"/>
              <w:jc w:val="both"/>
              <w:rPr>
                <w:spacing w:val="-4"/>
                <w:sz w:val="20"/>
                <w:szCs w:val="20"/>
                <w:lang w:val="hy-AM"/>
              </w:rPr>
            </w:pPr>
            <w:r w:rsidRPr="0053423A">
              <w:rPr>
                <w:spacing w:val="-4"/>
                <w:sz w:val="20"/>
                <w:szCs w:val="20"/>
                <w:lang w:val="hy-AM"/>
              </w:rPr>
              <w:t>Հարթակը կնպաստի նաև գիտական կադրերի համալրմանը՝ գիտական ատենախոսությունների պաշտպանության գործընթացում հարթակում կազմակերպվող հեռահար քննարկումներում արտասահմանում գործող հայ գիտնականների ներգրավմամբ ։</w:t>
            </w:r>
          </w:p>
          <w:p w:rsidR="00154773" w:rsidRPr="0053423A" w:rsidRDefault="00154773" w:rsidP="00154773">
            <w:pPr>
              <w:ind w:firstLine="374"/>
              <w:jc w:val="both"/>
              <w:rPr>
                <w:spacing w:val="-4"/>
                <w:sz w:val="20"/>
                <w:szCs w:val="20"/>
                <w:lang w:val="hy-AM"/>
              </w:rPr>
            </w:pPr>
          </w:p>
          <w:p w:rsidR="00154773" w:rsidRPr="0053423A" w:rsidRDefault="00154773" w:rsidP="001F6D5D">
            <w:pPr>
              <w:numPr>
                <w:ilvl w:val="0"/>
                <w:numId w:val="498"/>
              </w:numPr>
              <w:contextualSpacing/>
              <w:rPr>
                <w:rFonts w:eastAsia="Times New Roman" w:cs="Times New Roman"/>
                <w:b/>
                <w:sz w:val="20"/>
                <w:szCs w:val="20"/>
              </w:rPr>
            </w:pPr>
            <w:r w:rsidRPr="0053423A">
              <w:rPr>
                <w:rFonts w:eastAsia="Times New Roman" w:cs="Times New Roman"/>
                <w:b/>
                <w:sz w:val="20"/>
                <w:szCs w:val="20"/>
                <w:lang w:val="hy-AM"/>
              </w:rPr>
              <w:t>Միջոցառման իրականացումից ակնկալվող արդյունքը</w:t>
            </w:r>
          </w:p>
          <w:p w:rsidR="00154773" w:rsidRPr="0053423A" w:rsidRDefault="00154773" w:rsidP="00154773">
            <w:pPr>
              <w:ind w:left="360"/>
              <w:contextualSpacing/>
              <w:rPr>
                <w:rFonts w:eastAsia="Times New Roman" w:cs="Times New Roman"/>
                <w:b/>
                <w:sz w:val="20"/>
                <w:szCs w:val="20"/>
              </w:rPr>
            </w:pPr>
          </w:p>
          <w:p w:rsidR="00154773" w:rsidRPr="0053423A" w:rsidRDefault="00154773" w:rsidP="00154773">
            <w:pPr>
              <w:ind w:firstLine="374"/>
              <w:jc w:val="both"/>
              <w:rPr>
                <w:spacing w:val="-4"/>
                <w:sz w:val="20"/>
                <w:szCs w:val="20"/>
                <w:lang w:val="hy-AM"/>
              </w:rPr>
            </w:pPr>
            <w:r w:rsidRPr="0053423A">
              <w:rPr>
                <w:spacing w:val="-4"/>
                <w:sz w:val="20"/>
                <w:szCs w:val="20"/>
                <w:lang w:val="hy-AM"/>
              </w:rPr>
              <w:t>Միջոցառման արդյունքում նախատեսվում է ունենալ միջազգային չափանիշներին համապատասխան, բաց հասանելիությամբ, եռալեզու հարթակ, որտեղ համատեղված կլինեն Հայաստանում և Հայաստանից դուրս գործող գիտնականների անհատական պլատֆորմները, հրատարակվող գիտական պարբերականները և համակողմանի լուսաբանվող գիտական ատենախոսությունների պաշտպանության գործընթացը՝ ներառյալ հեռահար քննարկումները։</w:t>
            </w:r>
          </w:p>
          <w:p w:rsidR="00154773" w:rsidRPr="0053423A" w:rsidRDefault="00154773" w:rsidP="00154773">
            <w:pPr>
              <w:jc w:val="center"/>
              <w:rPr>
                <w:rFonts w:eastAsia="Times New Roman" w:cs="Times New Roman"/>
                <w:b/>
                <w:sz w:val="20"/>
                <w:szCs w:val="20"/>
                <w:lang w:val="hy-AM"/>
              </w:rPr>
            </w:pPr>
          </w:p>
        </w:tc>
      </w:tr>
      <w:tr w:rsidR="00154773" w:rsidRPr="0053423A" w:rsidTr="00154773">
        <w:tc>
          <w:tcPr>
            <w:tcW w:w="720" w:type="dxa"/>
          </w:tcPr>
          <w:p w:rsidR="00154773" w:rsidRPr="0053423A" w:rsidRDefault="00154773" w:rsidP="00154773">
            <w:pPr>
              <w:jc w:val="center"/>
              <w:rPr>
                <w:rFonts w:eastAsia="Times New Roman" w:cs="Times New Roman"/>
                <w:b/>
                <w:sz w:val="20"/>
                <w:szCs w:val="20"/>
              </w:rPr>
            </w:pPr>
            <w:r w:rsidRPr="0053423A">
              <w:rPr>
                <w:rFonts w:eastAsia="Times New Roman" w:cs="Times New Roman"/>
                <w:b/>
                <w:sz w:val="20"/>
                <w:szCs w:val="20"/>
              </w:rPr>
              <w:t>28</w:t>
            </w:r>
          </w:p>
        </w:tc>
        <w:tc>
          <w:tcPr>
            <w:tcW w:w="10620" w:type="dxa"/>
          </w:tcPr>
          <w:p w:rsidR="00154773" w:rsidRPr="0053423A" w:rsidRDefault="00154773" w:rsidP="00154773">
            <w:pPr>
              <w:ind w:firstLine="375"/>
              <w:jc w:val="center"/>
              <w:rPr>
                <w:rFonts w:eastAsia="Times New Roman" w:cs="Times New Roman"/>
                <w:sz w:val="20"/>
                <w:szCs w:val="20"/>
                <w:lang w:val="hy-AM"/>
              </w:rPr>
            </w:pPr>
            <w:r w:rsidRPr="0053423A">
              <w:rPr>
                <w:rFonts w:eastAsia="Times New Roman" w:cs="Times New Roman"/>
                <w:b/>
                <w:sz w:val="20"/>
                <w:szCs w:val="20"/>
                <w:u w:val="single"/>
                <w:lang w:val="hy-AM"/>
              </w:rPr>
              <w:t>28.1 Հայաստանի Հանրապետության գերատեսչությունների հետ համատեղ գիտական հետազոտության անհրաժեշտություն ունեցող թեմաների առաջադրում</w:t>
            </w:r>
          </w:p>
          <w:p w:rsidR="00154773" w:rsidRPr="0053423A" w:rsidRDefault="00154773" w:rsidP="00154773">
            <w:pPr>
              <w:spacing w:line="360" w:lineRule="auto"/>
              <w:ind w:firstLine="375"/>
              <w:jc w:val="both"/>
              <w:rPr>
                <w:rFonts w:eastAsia="Times New Roman" w:cs="Times New Roman"/>
                <w:b/>
                <w:sz w:val="20"/>
                <w:szCs w:val="20"/>
                <w:lang w:val="hy-AM"/>
              </w:rPr>
            </w:pPr>
          </w:p>
          <w:p w:rsidR="00154773" w:rsidRPr="0053423A" w:rsidRDefault="00154773" w:rsidP="001F6D5D">
            <w:pPr>
              <w:numPr>
                <w:ilvl w:val="0"/>
                <w:numId w:val="499"/>
              </w:numPr>
              <w:spacing w:line="360" w:lineRule="auto"/>
              <w:contextualSpacing/>
              <w:rPr>
                <w:rFonts w:eastAsia="Times New Roman" w:cs="Times New Roman"/>
                <w:sz w:val="20"/>
                <w:szCs w:val="20"/>
              </w:rPr>
            </w:pPr>
            <w:r w:rsidRPr="0053423A">
              <w:rPr>
                <w:rFonts w:eastAsia="Times New Roman" w:cs="Times New Roman"/>
                <w:b/>
                <w:sz w:val="20"/>
                <w:szCs w:val="20"/>
                <w:lang w:val="hy-AM"/>
              </w:rPr>
              <w:t>Միջոցառման իրականացման անհրաժեշտությունը և նպատակը</w:t>
            </w:r>
            <w:r w:rsidRPr="0053423A">
              <w:rPr>
                <w:rFonts w:eastAsia="Times New Roman" w:cs="Times New Roman"/>
                <w:sz w:val="20"/>
                <w:szCs w:val="20"/>
                <w:lang w:val="hy-AM"/>
              </w:rPr>
              <w:t xml:space="preserve"> </w:t>
            </w:r>
          </w:p>
          <w:p w:rsidR="00154773" w:rsidRPr="0053423A" w:rsidRDefault="00154773" w:rsidP="00154773">
            <w:pPr>
              <w:spacing w:line="360" w:lineRule="auto"/>
              <w:ind w:left="734"/>
              <w:contextualSpacing/>
              <w:rPr>
                <w:rFonts w:eastAsia="Times New Roman" w:cs="Times New Roman"/>
                <w:sz w:val="20"/>
                <w:szCs w:val="20"/>
              </w:rPr>
            </w:pPr>
          </w:p>
          <w:p w:rsidR="00154773" w:rsidRPr="0053423A" w:rsidRDefault="00154773" w:rsidP="00154773">
            <w:pPr>
              <w:ind w:firstLine="374"/>
              <w:jc w:val="both"/>
              <w:rPr>
                <w:rFonts w:eastAsia="Times New Roman" w:cs="Times New Roman"/>
                <w:sz w:val="20"/>
                <w:szCs w:val="20"/>
                <w:lang w:val="hy-AM"/>
              </w:rPr>
            </w:pPr>
            <w:r w:rsidRPr="0053423A">
              <w:rPr>
                <w:rFonts w:eastAsia="Times New Roman" w:cs="Times New Roman"/>
                <w:sz w:val="20"/>
                <w:szCs w:val="20"/>
                <w:lang w:val="hy-AM"/>
              </w:rPr>
              <w:t>Միջոցառման գլխավոր նպատակն է գիտության ոլորտում իրականացվող ծրագրերի և միջոցառումների համապատասխանեցումը երկրի տնտեսության կարիքներին, հետազոտությունների իրականացման միջազգային արդի պահանջներին և սկզբունքներին:</w:t>
            </w:r>
          </w:p>
          <w:p w:rsidR="00154773" w:rsidRPr="0053423A" w:rsidRDefault="00154773" w:rsidP="00154773">
            <w:pPr>
              <w:ind w:firstLine="374"/>
              <w:jc w:val="both"/>
              <w:rPr>
                <w:spacing w:val="-4"/>
                <w:sz w:val="20"/>
                <w:szCs w:val="20"/>
                <w:lang w:val="hy-AM"/>
              </w:rPr>
            </w:pPr>
            <w:r w:rsidRPr="0053423A">
              <w:rPr>
                <w:spacing w:val="-4"/>
                <w:sz w:val="20"/>
                <w:szCs w:val="20"/>
                <w:lang w:val="hy-AM"/>
              </w:rPr>
              <w:t xml:space="preserve">Միջոցառման իրականացման անհրաժեշտությունը բխում է ՀՀ Ազգային Ժողովի 2019 թվականի փետրվարի 14-ի ԱԺՈ-002-Ն որոշմամբ հավանության արժանացած ՀՀ կառավարության ծրագրից ( </w:t>
            </w:r>
            <w:r w:rsidRPr="0053423A">
              <w:rPr>
                <w:rFonts w:eastAsia="Times New Roman" w:cs="Times New Roman"/>
                <w:sz w:val="20"/>
                <w:szCs w:val="20"/>
                <w:lang w:val="hy-AM"/>
              </w:rPr>
              <w:t>«</w:t>
            </w:r>
            <w:r w:rsidRPr="0053423A">
              <w:rPr>
                <w:spacing w:val="-4"/>
                <w:sz w:val="20"/>
                <w:szCs w:val="20"/>
                <w:lang w:val="hy-AM"/>
              </w:rPr>
              <w:t>4.4 ԿՐԹՈՒԹՅՈՒՆ ԵՎ ԳԻՏՈՒԹՅՈՒՆ</w:t>
            </w:r>
            <w:r w:rsidRPr="0053423A">
              <w:rPr>
                <w:rFonts w:eastAsia="Times New Roman" w:cs="Times New Roman"/>
                <w:sz w:val="20"/>
                <w:szCs w:val="20"/>
                <w:lang w:val="hy-AM"/>
              </w:rPr>
              <w:t>» կետի «Գիտության ոլորտին» վերաբերող բաժնի 1-ին պարբերություն)</w:t>
            </w:r>
            <w:r w:rsidRPr="0053423A">
              <w:rPr>
                <w:spacing w:val="-4"/>
                <w:sz w:val="20"/>
                <w:szCs w:val="20"/>
                <w:lang w:val="hy-AM"/>
              </w:rPr>
              <w:t>։ Միջոցառման նպատակն է աջակցել Հայաստանի Հանրապետությունում գիտական հետազոտությունների ուղղությունների արդիականացմանը, արդի պահանջներին համապատասխանող գիտական թեմաների հստակեցմանը և գիտության բնագավառում պետական ֆինանսավորման արդյունավետության բարձրացմանը։</w:t>
            </w:r>
          </w:p>
          <w:p w:rsidR="00154773" w:rsidRPr="0053423A" w:rsidRDefault="00154773" w:rsidP="00154773">
            <w:pPr>
              <w:ind w:firstLine="374"/>
              <w:jc w:val="both"/>
              <w:rPr>
                <w:spacing w:val="-4"/>
                <w:sz w:val="20"/>
                <w:szCs w:val="20"/>
                <w:lang w:val="hy-AM"/>
              </w:rPr>
            </w:pPr>
          </w:p>
          <w:p w:rsidR="00154773" w:rsidRPr="0053423A" w:rsidRDefault="00154773" w:rsidP="00154773">
            <w:pPr>
              <w:ind w:left="374"/>
              <w:rPr>
                <w:rFonts w:eastAsia="Times New Roman" w:cs="Times New Roman"/>
                <w:sz w:val="20"/>
                <w:szCs w:val="20"/>
                <w:lang w:val="hy-AM"/>
              </w:rPr>
            </w:pPr>
            <w:r w:rsidRPr="0053423A">
              <w:rPr>
                <w:rFonts w:eastAsia="Times New Roman" w:cs="Times New Roman"/>
                <w:b/>
                <w:sz w:val="20"/>
                <w:szCs w:val="20"/>
                <w:lang w:val="hy-AM"/>
              </w:rPr>
              <w:t>1</w:t>
            </w:r>
            <w:r w:rsidRPr="0053423A">
              <w:rPr>
                <w:rFonts w:ascii="Cambria Math" w:eastAsia="MS Mincho" w:hAnsi="Cambria Math" w:cs="Cambria Math"/>
                <w:b/>
                <w:sz w:val="20"/>
                <w:szCs w:val="20"/>
                <w:lang w:val="hy-AM"/>
              </w:rPr>
              <w:t>․</w:t>
            </w:r>
            <w:r w:rsidRPr="0053423A">
              <w:rPr>
                <w:rFonts w:eastAsia="Times New Roman" w:cs="Times New Roman"/>
                <w:b/>
                <w:sz w:val="20"/>
                <w:szCs w:val="20"/>
                <w:lang w:val="hy-AM"/>
              </w:rPr>
              <w:t>1. կարգավորման հարաբերությունների ներկա վիճակը և առկա խնդիրները</w:t>
            </w:r>
            <w:r w:rsidRPr="0053423A">
              <w:rPr>
                <w:rFonts w:eastAsia="Times New Roman" w:cs="Times New Roman"/>
                <w:sz w:val="20"/>
                <w:szCs w:val="20"/>
                <w:lang w:val="hy-AM"/>
              </w:rPr>
              <w:t xml:space="preserve"> </w:t>
            </w:r>
          </w:p>
          <w:p w:rsidR="00154773" w:rsidRPr="0053423A" w:rsidRDefault="00154773" w:rsidP="00154773">
            <w:pPr>
              <w:ind w:left="374"/>
              <w:rPr>
                <w:rFonts w:eastAsia="Times New Roman" w:cs="Times New Roman"/>
                <w:sz w:val="20"/>
                <w:szCs w:val="20"/>
                <w:lang w:val="hy-AM"/>
              </w:rPr>
            </w:pPr>
          </w:p>
          <w:p w:rsidR="00154773" w:rsidRPr="0053423A" w:rsidRDefault="00154773" w:rsidP="00154773">
            <w:pPr>
              <w:ind w:firstLine="374"/>
              <w:jc w:val="both"/>
              <w:rPr>
                <w:spacing w:val="-4"/>
                <w:sz w:val="20"/>
                <w:szCs w:val="20"/>
                <w:lang w:val="hy-AM"/>
              </w:rPr>
            </w:pPr>
            <w:r w:rsidRPr="0053423A">
              <w:rPr>
                <w:spacing w:val="-4"/>
                <w:sz w:val="20"/>
                <w:szCs w:val="20"/>
                <w:lang w:val="hy-AM"/>
              </w:rPr>
              <w:t>Բուհերում և գիտական կազմակերպություններում հետազոտությունների թեմաները հաճախ ընտրվում և հաստատվում են առանց հաշվի առնելու տվյալ ուղղությամբ հետազոտման անհրաժեշտության և ընտրված թեմաների արդիականության գործոնները։</w:t>
            </w:r>
          </w:p>
          <w:p w:rsidR="00154773" w:rsidRPr="0053423A" w:rsidRDefault="00154773" w:rsidP="00154773">
            <w:pPr>
              <w:ind w:firstLine="374"/>
              <w:jc w:val="both"/>
              <w:rPr>
                <w:spacing w:val="-4"/>
                <w:sz w:val="20"/>
                <w:szCs w:val="20"/>
                <w:lang w:val="hy-AM"/>
              </w:rPr>
            </w:pPr>
            <w:r w:rsidRPr="0053423A">
              <w:rPr>
                <w:spacing w:val="-4"/>
                <w:sz w:val="20"/>
                <w:szCs w:val="20"/>
                <w:lang w:val="hy-AM"/>
              </w:rPr>
              <w:t xml:space="preserve">Հաճախ գիտական հետազոտությունների համար պետական միջոցներից տրամադրվող ռեսուրսները չեն ուղղվում երկրի տնտեսության և այլ ոլորտների կարիքների բավարարմանը։   </w:t>
            </w:r>
          </w:p>
          <w:p w:rsidR="00154773" w:rsidRPr="0053423A" w:rsidRDefault="00154773" w:rsidP="00154773">
            <w:pPr>
              <w:ind w:firstLine="374"/>
              <w:jc w:val="both"/>
              <w:rPr>
                <w:rFonts w:eastAsia="Times New Roman" w:cs="Times New Roman"/>
                <w:b/>
                <w:sz w:val="20"/>
                <w:szCs w:val="20"/>
                <w:lang w:val="hy-AM"/>
              </w:rPr>
            </w:pPr>
          </w:p>
          <w:p w:rsidR="00154773" w:rsidRPr="0053423A" w:rsidRDefault="00154773" w:rsidP="001F6D5D">
            <w:pPr>
              <w:numPr>
                <w:ilvl w:val="1"/>
                <w:numId w:val="499"/>
              </w:numPr>
              <w:contextualSpacing/>
              <w:jc w:val="both"/>
              <w:rPr>
                <w:rFonts w:eastAsia="Times New Roman" w:cs="Times New Roman"/>
                <w:sz w:val="20"/>
                <w:szCs w:val="20"/>
              </w:rPr>
            </w:pPr>
            <w:r w:rsidRPr="0053423A">
              <w:rPr>
                <w:rFonts w:eastAsia="Times New Roman" w:cs="Times New Roman"/>
                <w:b/>
                <w:sz w:val="20"/>
                <w:szCs w:val="20"/>
                <w:lang w:val="hy-AM"/>
              </w:rPr>
              <w:t>առկա խնդիրների առաջարկվող լուծումները</w:t>
            </w:r>
          </w:p>
          <w:p w:rsidR="00154773" w:rsidRPr="0053423A" w:rsidRDefault="00154773" w:rsidP="00154773">
            <w:pPr>
              <w:ind w:left="749"/>
              <w:contextualSpacing/>
              <w:jc w:val="both"/>
              <w:rPr>
                <w:bCs/>
                <w:sz w:val="20"/>
                <w:szCs w:val="20"/>
              </w:rPr>
            </w:pPr>
          </w:p>
          <w:p w:rsidR="00154773" w:rsidRPr="0053423A" w:rsidRDefault="00154773" w:rsidP="00154773">
            <w:pPr>
              <w:ind w:firstLine="374"/>
              <w:jc w:val="both"/>
              <w:rPr>
                <w:spacing w:val="-4"/>
                <w:sz w:val="20"/>
                <w:szCs w:val="20"/>
                <w:lang w:val="hy-AM"/>
              </w:rPr>
            </w:pPr>
            <w:r w:rsidRPr="0053423A">
              <w:rPr>
                <w:spacing w:val="-4"/>
                <w:sz w:val="20"/>
                <w:szCs w:val="20"/>
                <w:lang w:val="hy-AM"/>
              </w:rPr>
              <w:t>Հայաստանի Հանրապետության գերատեսչությունների, պետական այլ մարմինների և շահագրգիռ կողմերի մասնակցությամբ գիտական հետազոտության անհրաժեշտություն ունեցող թեմաների առաջադրումը կնպաստի ասպիրանտական թեմաների վերանայմանը և համապատասխանեցմանը գիտական հետազություններ և նոր լուծումներ պահանջող առկա խնդիրներին։  Թեմաների առաջադրումից հետո միայն հնարավոր կլինի պարզել հասցեատեր համակատարող պետական մարմիններին:</w:t>
            </w:r>
          </w:p>
          <w:p w:rsidR="00154773" w:rsidRPr="0053423A" w:rsidRDefault="00154773" w:rsidP="00154773">
            <w:pPr>
              <w:ind w:firstLine="374"/>
              <w:jc w:val="both"/>
              <w:rPr>
                <w:spacing w:val="-4"/>
                <w:sz w:val="20"/>
                <w:szCs w:val="20"/>
                <w:lang w:val="hy-AM"/>
              </w:rPr>
            </w:pPr>
          </w:p>
          <w:p w:rsidR="00154773" w:rsidRPr="0053423A" w:rsidRDefault="00154773" w:rsidP="001F6D5D">
            <w:pPr>
              <w:numPr>
                <w:ilvl w:val="0"/>
                <w:numId w:val="499"/>
              </w:numPr>
              <w:contextualSpacing/>
              <w:rPr>
                <w:rFonts w:eastAsia="Times New Roman" w:cs="Times New Roman"/>
                <w:b/>
                <w:sz w:val="20"/>
                <w:szCs w:val="20"/>
              </w:rPr>
            </w:pPr>
            <w:r w:rsidRPr="0053423A">
              <w:rPr>
                <w:rFonts w:eastAsia="Times New Roman" w:cs="Times New Roman"/>
                <w:b/>
                <w:sz w:val="20"/>
                <w:szCs w:val="20"/>
                <w:lang w:val="hy-AM"/>
              </w:rPr>
              <w:t>Միջոցառման իրականացումից ակնկալվող արդյունքը</w:t>
            </w:r>
          </w:p>
          <w:p w:rsidR="00154773" w:rsidRPr="0053423A" w:rsidRDefault="00154773" w:rsidP="00154773">
            <w:pPr>
              <w:ind w:left="734"/>
              <w:contextualSpacing/>
              <w:rPr>
                <w:rFonts w:eastAsia="Times New Roman" w:cs="Times New Roman"/>
                <w:b/>
                <w:sz w:val="20"/>
                <w:szCs w:val="20"/>
              </w:rPr>
            </w:pPr>
          </w:p>
          <w:p w:rsidR="00154773" w:rsidRPr="0053423A" w:rsidRDefault="00154773" w:rsidP="00154773">
            <w:pPr>
              <w:ind w:firstLine="374"/>
              <w:jc w:val="both"/>
              <w:rPr>
                <w:spacing w:val="-4"/>
                <w:sz w:val="20"/>
                <w:szCs w:val="20"/>
                <w:lang w:val="hy-AM"/>
              </w:rPr>
            </w:pPr>
            <w:r w:rsidRPr="0053423A">
              <w:rPr>
                <w:spacing w:val="-4"/>
                <w:sz w:val="20"/>
                <w:szCs w:val="20"/>
                <w:lang w:val="hy-AM"/>
              </w:rPr>
              <w:t>Միջոցառման համատեղ և համակարգված իրականացումը կաջակցի գիտահետազոտական գործունեության պետական ֆինանսավորման արդյունավետության բարձրացմանը, երկրի տնտեսության կարիքներից բխող մասնագիտություններով արդի պահանջներին համապատասխանող գիտահետազոտական գործունեության կազմակերպմանը։</w:t>
            </w:r>
          </w:p>
          <w:p w:rsidR="00154773" w:rsidRPr="0053423A" w:rsidRDefault="00154773" w:rsidP="00154773">
            <w:pPr>
              <w:jc w:val="center"/>
              <w:rPr>
                <w:rFonts w:eastAsia="Times New Roman" w:cs="Times New Roman"/>
                <w:b/>
                <w:sz w:val="20"/>
                <w:szCs w:val="20"/>
                <w:lang w:val="hy-AM"/>
              </w:rPr>
            </w:pPr>
          </w:p>
        </w:tc>
      </w:tr>
    </w:tbl>
    <w:p w:rsidR="006D2AD6" w:rsidRPr="0053423A" w:rsidRDefault="006D2AD6" w:rsidP="00A67858">
      <w:pPr>
        <w:spacing w:after="0" w:line="276" w:lineRule="auto"/>
        <w:rPr>
          <w:sz w:val="20"/>
          <w:szCs w:val="20"/>
          <w:lang w:val="hy-AM"/>
        </w:rPr>
      </w:pPr>
    </w:p>
    <w:tbl>
      <w:tblPr>
        <w:tblStyle w:val="TableGrid"/>
        <w:tblW w:w="11491" w:type="dxa"/>
        <w:tblInd w:w="137" w:type="dxa"/>
        <w:shd w:val="clear" w:color="auto" w:fill="FFFF00"/>
        <w:tblLook w:val="04A0" w:firstRow="1" w:lastRow="0" w:firstColumn="1" w:lastColumn="0" w:noHBand="0" w:noVBand="1"/>
      </w:tblPr>
      <w:tblGrid>
        <w:gridCol w:w="11491"/>
      </w:tblGrid>
      <w:tr w:rsidR="006D2AD6" w:rsidRPr="0053423A" w:rsidTr="006D2AD6">
        <w:tc>
          <w:tcPr>
            <w:tcW w:w="11491" w:type="dxa"/>
            <w:shd w:val="clear" w:color="auto" w:fill="FFFF00"/>
          </w:tcPr>
          <w:p w:rsidR="006D2AD6" w:rsidRPr="0053423A" w:rsidRDefault="006D2AD6" w:rsidP="00A67858">
            <w:pPr>
              <w:spacing w:line="276" w:lineRule="auto"/>
              <w:jc w:val="center"/>
              <w:rPr>
                <w:rFonts w:cs="Sylfaen"/>
                <w:b/>
                <w:lang w:val="hy-AM" w:eastAsia="en-GB"/>
              </w:rPr>
            </w:pPr>
            <w:r w:rsidRPr="0053423A">
              <w:rPr>
                <w:rFonts w:cs="Sylfaen"/>
                <w:b/>
                <w:lang w:val="hy-AM" w:eastAsia="en-GB"/>
              </w:rPr>
              <w:t>Մշակույթի</w:t>
            </w:r>
            <w:r w:rsidRPr="0053423A">
              <w:rPr>
                <w:b/>
                <w:lang w:val="hy-AM"/>
              </w:rPr>
              <w:t xml:space="preserve"> </w:t>
            </w:r>
            <w:r w:rsidRPr="0053423A">
              <w:rPr>
                <w:rFonts w:cs="Arial Unicode"/>
                <w:b/>
                <w:lang w:val="hy-AM"/>
              </w:rPr>
              <w:t>նախարարություն</w:t>
            </w:r>
          </w:p>
        </w:tc>
      </w:tr>
    </w:tbl>
    <w:p w:rsidR="00A67B6B" w:rsidRPr="0053423A" w:rsidRDefault="00A67B6B" w:rsidP="00A67858">
      <w:pPr>
        <w:tabs>
          <w:tab w:val="left" w:pos="993"/>
          <w:tab w:val="left" w:pos="1418"/>
        </w:tabs>
        <w:spacing w:after="0" w:line="276" w:lineRule="auto"/>
        <w:ind w:left="142" w:firstLine="851"/>
        <w:jc w:val="center"/>
        <w:rPr>
          <w:rFonts w:eastAsia="Times New Roman" w:cs="Times New Roman"/>
          <w:b/>
          <w:bCs/>
          <w:sz w:val="20"/>
          <w:szCs w:val="20"/>
        </w:rPr>
      </w:pPr>
    </w:p>
    <w:tbl>
      <w:tblPr>
        <w:tblW w:w="11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0980"/>
      </w:tblGrid>
      <w:tr w:rsidR="00A67B6B" w:rsidRPr="0053423A" w:rsidTr="00A67B6B">
        <w:tc>
          <w:tcPr>
            <w:tcW w:w="540" w:type="dxa"/>
            <w:shd w:val="clear" w:color="auto" w:fill="auto"/>
          </w:tcPr>
          <w:p w:rsidR="00A67B6B" w:rsidRPr="0053423A" w:rsidRDefault="00A67B6B" w:rsidP="00A67858">
            <w:pPr>
              <w:tabs>
                <w:tab w:val="left" w:pos="1418"/>
              </w:tabs>
              <w:spacing w:after="0" w:line="276" w:lineRule="auto"/>
              <w:ind w:left="-55"/>
              <w:jc w:val="center"/>
              <w:rPr>
                <w:rFonts w:eastAsia="Calibri" w:cs="Times New Roman"/>
                <w:caps/>
                <w:sz w:val="20"/>
                <w:szCs w:val="20"/>
                <w:lang w:val="hy-AM"/>
              </w:rPr>
            </w:pPr>
            <w:r w:rsidRPr="0053423A">
              <w:rPr>
                <w:rFonts w:eastAsia="Calibri" w:cs="Times New Roman"/>
                <w:caps/>
                <w:sz w:val="20"/>
                <w:szCs w:val="20"/>
                <w:lang w:val="hy-AM"/>
              </w:rPr>
              <w:t>1</w:t>
            </w:r>
          </w:p>
        </w:tc>
        <w:tc>
          <w:tcPr>
            <w:tcW w:w="10980" w:type="dxa"/>
            <w:shd w:val="clear" w:color="auto" w:fill="auto"/>
          </w:tcPr>
          <w:p w:rsidR="00A67B6B" w:rsidRPr="0053423A" w:rsidRDefault="00A67B6B" w:rsidP="00A67858">
            <w:pPr>
              <w:tabs>
                <w:tab w:val="left" w:pos="508"/>
              </w:tabs>
              <w:spacing w:after="0" w:line="276" w:lineRule="auto"/>
              <w:jc w:val="center"/>
              <w:rPr>
                <w:rFonts w:eastAsia="Times New Roman" w:cs="Times New Roman"/>
                <w:b/>
                <w:sz w:val="20"/>
                <w:szCs w:val="20"/>
                <w:lang w:val="hy-AM"/>
              </w:rPr>
            </w:pPr>
          </w:p>
          <w:p w:rsidR="00A67B6B" w:rsidRPr="0053423A" w:rsidRDefault="00A67B6B" w:rsidP="00A67858">
            <w:pPr>
              <w:tabs>
                <w:tab w:val="left" w:pos="508"/>
              </w:tabs>
              <w:spacing w:after="0" w:line="276" w:lineRule="auto"/>
              <w:jc w:val="center"/>
              <w:rPr>
                <w:rFonts w:eastAsia="Times New Roman" w:cs="Times New Roman"/>
                <w:b/>
                <w:sz w:val="20"/>
                <w:szCs w:val="20"/>
                <w:lang w:val="hy-AM"/>
              </w:rPr>
            </w:pPr>
            <w:r w:rsidRPr="0053423A">
              <w:rPr>
                <w:rFonts w:eastAsia="Times New Roman" w:cs="Times New Roman"/>
                <w:b/>
                <w:sz w:val="20"/>
                <w:szCs w:val="20"/>
                <w:lang w:val="hy-AM"/>
              </w:rPr>
              <w:t>1.1 «Մշակույթի  պահպանման, տարածման և զարգացման հեռանկարային ծրագրի» ներկայացում Հայաստանի Հանրապետության վարչապետի աշխատակազմ</w:t>
            </w:r>
          </w:p>
          <w:p w:rsidR="00A67B6B" w:rsidRPr="0053423A" w:rsidRDefault="00A67B6B" w:rsidP="00A67858">
            <w:pPr>
              <w:tabs>
                <w:tab w:val="left" w:pos="508"/>
              </w:tabs>
              <w:spacing w:after="0" w:line="276" w:lineRule="auto"/>
              <w:jc w:val="center"/>
              <w:rPr>
                <w:rFonts w:eastAsia="Times New Roman" w:cs="Times New Roman"/>
                <w:b/>
                <w:sz w:val="20"/>
                <w:szCs w:val="20"/>
                <w:lang w:val="hy-AM"/>
              </w:rPr>
            </w:pPr>
          </w:p>
          <w:p w:rsidR="00A67B6B" w:rsidRPr="0053423A" w:rsidRDefault="00A67B6B" w:rsidP="001F6D5D">
            <w:pPr>
              <w:numPr>
                <w:ilvl w:val="0"/>
                <w:numId w:val="244"/>
              </w:numPr>
              <w:tabs>
                <w:tab w:val="left" w:pos="508"/>
              </w:tabs>
              <w:spacing w:after="0" w:line="276" w:lineRule="auto"/>
              <w:contextualSpacing/>
              <w:jc w:val="both"/>
              <w:rPr>
                <w:rFonts w:eastAsia="Calibri" w:cs="Times New Roman"/>
                <w:b/>
                <w:sz w:val="20"/>
                <w:szCs w:val="20"/>
                <w:lang w:val="hy-AM"/>
              </w:rPr>
            </w:pPr>
            <w:r w:rsidRPr="0053423A">
              <w:rPr>
                <w:rFonts w:eastAsia="Calibri" w:cs="Sylfaen"/>
                <w:b/>
                <w:sz w:val="20"/>
                <w:szCs w:val="20"/>
                <w:lang w:val="hy-AM"/>
              </w:rPr>
              <w:t>Միջոցառման</w:t>
            </w:r>
            <w:r w:rsidRPr="0053423A">
              <w:rPr>
                <w:rFonts w:eastAsia="Calibri" w:cs="Times New Roman"/>
                <w:b/>
                <w:sz w:val="20"/>
                <w:szCs w:val="20"/>
                <w:lang w:val="hy-AM"/>
              </w:rPr>
              <w:t xml:space="preserve"> իրականացման անհրաժեշտությունը և 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Sylfaen"/>
                <w:sz w:val="20"/>
                <w:szCs w:val="20"/>
                <w:lang w:val="hy-AM"/>
              </w:rPr>
              <w:t>ՀՀ</w:t>
            </w:r>
            <w:r w:rsidRPr="0053423A">
              <w:rPr>
                <w:rFonts w:eastAsia="Calibri" w:cs="Times New Roman"/>
                <w:sz w:val="20"/>
                <w:szCs w:val="20"/>
                <w:lang w:val="af-ZA"/>
              </w:rPr>
              <w:t xml:space="preserve"> </w:t>
            </w:r>
            <w:r w:rsidRPr="0053423A">
              <w:rPr>
                <w:rFonts w:eastAsia="Calibri" w:cs="Times New Roman"/>
                <w:sz w:val="20"/>
                <w:szCs w:val="20"/>
                <w:lang w:val="hy-AM"/>
              </w:rPr>
              <w:t>կ</w:t>
            </w:r>
            <w:r w:rsidRPr="0053423A">
              <w:rPr>
                <w:rFonts w:eastAsia="Calibri" w:cs="Sylfaen"/>
                <w:sz w:val="20"/>
                <w:szCs w:val="20"/>
                <w:lang w:val="hy-AM"/>
              </w:rPr>
              <w:t>առավարության</w:t>
            </w:r>
            <w:r w:rsidRPr="0053423A">
              <w:rPr>
                <w:rFonts w:eastAsia="Calibri" w:cs="Times New Roman"/>
                <w:sz w:val="20"/>
                <w:szCs w:val="20"/>
                <w:lang w:val="af-ZA"/>
              </w:rPr>
              <w:t xml:space="preserve"> </w:t>
            </w:r>
            <w:r w:rsidRPr="0053423A">
              <w:rPr>
                <w:rFonts w:eastAsia="Calibri" w:cs="Sylfaen"/>
                <w:sz w:val="20"/>
                <w:szCs w:val="20"/>
                <w:lang w:val="hy-AM"/>
              </w:rPr>
              <w:t>վարած</w:t>
            </w:r>
            <w:r w:rsidRPr="0053423A">
              <w:rPr>
                <w:rFonts w:eastAsia="Calibri" w:cs="Times New Roman"/>
                <w:sz w:val="20"/>
                <w:szCs w:val="20"/>
                <w:lang w:val="af-ZA"/>
              </w:rPr>
              <w:t xml:space="preserve"> </w:t>
            </w:r>
            <w:r w:rsidRPr="0053423A">
              <w:rPr>
                <w:rFonts w:eastAsia="Calibri" w:cs="Sylfaen"/>
                <w:sz w:val="20"/>
                <w:szCs w:val="20"/>
                <w:lang w:val="hy-AM"/>
              </w:rPr>
              <w:t>մշակութային</w:t>
            </w:r>
            <w:r w:rsidRPr="0053423A">
              <w:rPr>
                <w:rFonts w:eastAsia="Calibri" w:cs="Times New Roman"/>
                <w:sz w:val="20"/>
                <w:szCs w:val="20"/>
                <w:lang w:val="af-ZA"/>
              </w:rPr>
              <w:t xml:space="preserve"> </w:t>
            </w:r>
            <w:r w:rsidRPr="0053423A">
              <w:rPr>
                <w:rFonts w:eastAsia="Calibri" w:cs="Sylfaen"/>
                <w:sz w:val="20"/>
                <w:szCs w:val="20"/>
                <w:lang w:val="hy-AM"/>
              </w:rPr>
              <w:t>քաղաքականությանը</w:t>
            </w:r>
            <w:r w:rsidRPr="0053423A">
              <w:rPr>
                <w:rFonts w:eastAsia="Calibri" w:cs="Times New Roman"/>
                <w:sz w:val="20"/>
                <w:szCs w:val="20"/>
                <w:lang w:val="af-ZA"/>
              </w:rPr>
              <w:t xml:space="preserve"> </w:t>
            </w:r>
            <w:r w:rsidRPr="0053423A">
              <w:rPr>
                <w:rFonts w:eastAsia="Calibri" w:cs="Sylfaen"/>
                <w:sz w:val="20"/>
                <w:szCs w:val="20"/>
                <w:lang w:val="hy-AM"/>
              </w:rPr>
              <w:t>համապա</w:t>
            </w:r>
            <w:r w:rsidRPr="0053423A">
              <w:rPr>
                <w:rFonts w:eastAsia="Calibri" w:cs="Sylfaen"/>
                <w:sz w:val="20"/>
                <w:szCs w:val="20"/>
                <w:lang w:val="af-ZA"/>
              </w:rPr>
              <w:softHyphen/>
            </w:r>
            <w:r w:rsidRPr="0053423A">
              <w:rPr>
                <w:rFonts w:eastAsia="Calibri" w:cs="Sylfaen"/>
                <w:sz w:val="20"/>
                <w:szCs w:val="20"/>
                <w:lang w:val="hy-AM"/>
              </w:rPr>
              <w:t>տասխան</w:t>
            </w:r>
            <w:r w:rsidRPr="0053423A">
              <w:rPr>
                <w:rFonts w:eastAsia="Calibri" w:cs="Times New Roman"/>
                <w:sz w:val="20"/>
                <w:szCs w:val="20"/>
                <w:lang w:val="af-ZA"/>
              </w:rPr>
              <w:t xml:space="preserve">, </w:t>
            </w:r>
            <w:r w:rsidRPr="0053423A">
              <w:rPr>
                <w:rFonts w:eastAsia="Calibri" w:cs="Sylfaen"/>
                <w:sz w:val="20"/>
                <w:szCs w:val="20"/>
                <w:lang w:val="hy-AM"/>
              </w:rPr>
              <w:t>մշակութային</w:t>
            </w:r>
            <w:r w:rsidRPr="0053423A">
              <w:rPr>
                <w:rFonts w:eastAsia="Calibri" w:cs="Times New Roman"/>
                <w:sz w:val="20"/>
                <w:szCs w:val="20"/>
                <w:lang w:val="af-ZA"/>
              </w:rPr>
              <w:t xml:space="preserve"> </w:t>
            </w:r>
            <w:r w:rsidRPr="0053423A">
              <w:rPr>
                <w:rFonts w:eastAsia="Calibri" w:cs="Sylfaen"/>
                <w:sz w:val="20"/>
                <w:szCs w:val="20"/>
                <w:lang w:val="hy-AM"/>
              </w:rPr>
              <w:t>ժառանգության</w:t>
            </w:r>
            <w:r w:rsidRPr="0053423A">
              <w:rPr>
                <w:rFonts w:eastAsia="Calibri" w:cs="Times New Roman"/>
                <w:sz w:val="20"/>
                <w:szCs w:val="20"/>
                <w:lang w:val="af-ZA"/>
              </w:rPr>
              <w:t xml:space="preserve"> (</w:t>
            </w:r>
            <w:r w:rsidRPr="0053423A">
              <w:rPr>
                <w:rFonts w:eastAsia="Calibri" w:cs="Sylfaen"/>
                <w:sz w:val="20"/>
                <w:szCs w:val="20"/>
                <w:lang w:val="hy-AM"/>
              </w:rPr>
              <w:t>նյութական</w:t>
            </w:r>
            <w:r w:rsidRPr="0053423A">
              <w:rPr>
                <w:rFonts w:eastAsia="Calibri" w:cs="Times New Roman"/>
                <w:sz w:val="20"/>
                <w:szCs w:val="20"/>
                <w:lang w:val="af-ZA"/>
              </w:rPr>
              <w:t xml:space="preserve"> </w:t>
            </w:r>
            <w:r w:rsidRPr="0053423A">
              <w:rPr>
                <w:rFonts w:eastAsia="Calibri" w:cs="Sylfaen"/>
                <w:sz w:val="20"/>
                <w:szCs w:val="20"/>
                <w:lang w:val="hy-AM"/>
              </w:rPr>
              <w:t>և</w:t>
            </w:r>
            <w:r w:rsidRPr="0053423A">
              <w:rPr>
                <w:rFonts w:eastAsia="Calibri" w:cs="Times New Roman"/>
                <w:sz w:val="20"/>
                <w:szCs w:val="20"/>
                <w:lang w:val="af-ZA"/>
              </w:rPr>
              <w:t xml:space="preserve"> </w:t>
            </w:r>
            <w:r w:rsidRPr="0053423A">
              <w:rPr>
                <w:rFonts w:eastAsia="Calibri" w:cs="Sylfaen"/>
                <w:sz w:val="20"/>
                <w:szCs w:val="20"/>
                <w:lang w:val="hy-AM"/>
              </w:rPr>
              <w:t>ոչ</w:t>
            </w:r>
            <w:r w:rsidRPr="0053423A">
              <w:rPr>
                <w:rFonts w:eastAsia="Calibri" w:cs="Times New Roman"/>
                <w:sz w:val="20"/>
                <w:szCs w:val="20"/>
                <w:lang w:val="af-ZA"/>
              </w:rPr>
              <w:t xml:space="preserve"> </w:t>
            </w:r>
            <w:r w:rsidRPr="0053423A">
              <w:rPr>
                <w:rFonts w:eastAsia="Calibri" w:cs="Sylfaen"/>
                <w:sz w:val="20"/>
                <w:szCs w:val="20"/>
                <w:lang w:val="hy-AM"/>
              </w:rPr>
              <w:t>նյութական</w:t>
            </w:r>
            <w:r w:rsidRPr="0053423A">
              <w:rPr>
                <w:rFonts w:eastAsia="Calibri" w:cs="Times New Roman"/>
                <w:sz w:val="20"/>
                <w:szCs w:val="20"/>
                <w:lang w:val="af-ZA"/>
              </w:rPr>
              <w:t xml:space="preserve">) </w:t>
            </w:r>
            <w:r w:rsidRPr="0053423A">
              <w:rPr>
                <w:rFonts w:eastAsia="Calibri" w:cs="Sylfaen"/>
                <w:sz w:val="20"/>
                <w:szCs w:val="20"/>
                <w:lang w:val="hy-AM"/>
              </w:rPr>
              <w:t>պահպանության</w:t>
            </w:r>
            <w:r w:rsidRPr="0053423A">
              <w:rPr>
                <w:rFonts w:eastAsia="Calibri" w:cs="Times New Roman"/>
                <w:sz w:val="20"/>
                <w:szCs w:val="20"/>
                <w:lang w:val="af-ZA"/>
              </w:rPr>
              <w:t xml:space="preserve">, </w:t>
            </w:r>
            <w:r w:rsidRPr="0053423A">
              <w:rPr>
                <w:rFonts w:eastAsia="Calibri" w:cs="Sylfaen"/>
                <w:sz w:val="20"/>
                <w:szCs w:val="20"/>
                <w:lang w:val="hy-AM"/>
              </w:rPr>
              <w:t>պաշտպանության</w:t>
            </w:r>
            <w:r w:rsidRPr="0053423A">
              <w:rPr>
                <w:rFonts w:eastAsia="Calibri" w:cs="Times New Roman"/>
                <w:sz w:val="20"/>
                <w:szCs w:val="20"/>
                <w:lang w:val="af-ZA"/>
              </w:rPr>
              <w:t xml:space="preserve">, </w:t>
            </w:r>
            <w:r w:rsidRPr="0053423A">
              <w:rPr>
                <w:rFonts w:eastAsia="Calibri" w:cs="Sylfaen"/>
                <w:sz w:val="20"/>
                <w:szCs w:val="20"/>
                <w:lang w:val="hy-AM"/>
              </w:rPr>
              <w:t>ուսումնասիրության</w:t>
            </w:r>
            <w:r w:rsidRPr="0053423A">
              <w:rPr>
                <w:rFonts w:eastAsia="Calibri" w:cs="Times New Roman"/>
                <w:sz w:val="20"/>
                <w:szCs w:val="20"/>
                <w:lang w:val="af-ZA"/>
              </w:rPr>
              <w:t xml:space="preserve">, </w:t>
            </w:r>
            <w:r w:rsidRPr="0053423A">
              <w:rPr>
                <w:rFonts w:eastAsia="Calibri" w:cs="Sylfaen"/>
                <w:sz w:val="20"/>
                <w:szCs w:val="20"/>
                <w:lang w:val="hy-AM"/>
              </w:rPr>
              <w:t>ազգային</w:t>
            </w:r>
            <w:r w:rsidRPr="0053423A">
              <w:rPr>
                <w:rFonts w:eastAsia="Calibri" w:cs="Sylfaen"/>
                <w:sz w:val="20"/>
                <w:szCs w:val="20"/>
                <w:lang w:val="af-ZA"/>
              </w:rPr>
              <w:t xml:space="preserve"> </w:t>
            </w:r>
            <w:r w:rsidRPr="0053423A">
              <w:rPr>
                <w:rFonts w:eastAsia="Calibri" w:cs="Sylfaen"/>
                <w:sz w:val="20"/>
                <w:szCs w:val="20"/>
                <w:lang w:val="hy-AM"/>
              </w:rPr>
              <w:t>արվեստների</w:t>
            </w:r>
            <w:r w:rsidRPr="0053423A">
              <w:rPr>
                <w:rFonts w:eastAsia="Calibri" w:cs="Sylfaen"/>
                <w:sz w:val="20"/>
                <w:szCs w:val="20"/>
                <w:lang w:val="af-ZA"/>
              </w:rPr>
              <w:t xml:space="preserve"> </w:t>
            </w:r>
            <w:r w:rsidRPr="0053423A">
              <w:rPr>
                <w:rFonts w:eastAsia="Calibri" w:cs="Sylfaen"/>
                <w:sz w:val="20"/>
                <w:szCs w:val="20"/>
                <w:lang w:val="hy-AM"/>
              </w:rPr>
              <w:t>հենքի</w:t>
            </w:r>
            <w:r w:rsidRPr="0053423A">
              <w:rPr>
                <w:rFonts w:eastAsia="Calibri" w:cs="Sylfaen"/>
                <w:sz w:val="20"/>
                <w:szCs w:val="20"/>
                <w:lang w:val="af-ZA"/>
              </w:rPr>
              <w:t xml:space="preserve"> </w:t>
            </w:r>
            <w:r w:rsidRPr="0053423A">
              <w:rPr>
                <w:rFonts w:eastAsia="Calibri" w:cs="Sylfaen"/>
                <w:sz w:val="20"/>
                <w:szCs w:val="20"/>
                <w:lang w:val="hy-AM"/>
              </w:rPr>
              <w:t>և</w:t>
            </w:r>
            <w:r w:rsidRPr="0053423A">
              <w:rPr>
                <w:rFonts w:eastAsia="Calibri" w:cs="Sylfaen"/>
                <w:sz w:val="20"/>
                <w:szCs w:val="20"/>
                <w:lang w:val="af-ZA"/>
              </w:rPr>
              <w:t xml:space="preserve"> </w:t>
            </w:r>
            <w:r w:rsidRPr="0053423A">
              <w:rPr>
                <w:rFonts w:eastAsia="Calibri" w:cs="Sylfaen"/>
                <w:sz w:val="20"/>
                <w:szCs w:val="20"/>
                <w:lang w:val="hy-AM"/>
              </w:rPr>
              <w:t>ավանդույթների</w:t>
            </w:r>
            <w:r w:rsidRPr="0053423A">
              <w:rPr>
                <w:rFonts w:eastAsia="Calibri" w:cs="Sylfaen"/>
                <w:sz w:val="20"/>
                <w:szCs w:val="20"/>
                <w:lang w:val="af-ZA"/>
              </w:rPr>
              <w:t xml:space="preserve"> հիմքի </w:t>
            </w:r>
            <w:r w:rsidRPr="0053423A">
              <w:rPr>
                <w:rFonts w:eastAsia="Calibri" w:cs="Sylfaen"/>
                <w:sz w:val="20"/>
                <w:szCs w:val="20"/>
                <w:lang w:val="hy-AM"/>
              </w:rPr>
              <w:t>վրա</w:t>
            </w:r>
            <w:r w:rsidRPr="0053423A">
              <w:rPr>
                <w:rFonts w:eastAsia="Calibri" w:cs="Sylfaen"/>
                <w:sz w:val="20"/>
                <w:szCs w:val="20"/>
                <w:lang w:val="af-ZA"/>
              </w:rPr>
              <w:t xml:space="preserve"> </w:t>
            </w:r>
            <w:r w:rsidRPr="0053423A">
              <w:rPr>
                <w:rFonts w:eastAsia="Calibri" w:cs="Sylfaen"/>
                <w:sz w:val="20"/>
                <w:szCs w:val="20"/>
                <w:lang w:val="hy-AM"/>
              </w:rPr>
              <w:t>ժամանակակից</w:t>
            </w:r>
            <w:r w:rsidRPr="0053423A">
              <w:rPr>
                <w:rFonts w:eastAsia="Calibri" w:cs="Sylfaen"/>
                <w:sz w:val="20"/>
                <w:szCs w:val="20"/>
                <w:lang w:val="af-ZA"/>
              </w:rPr>
              <w:t xml:space="preserve"> </w:t>
            </w:r>
            <w:r w:rsidRPr="0053423A">
              <w:rPr>
                <w:rFonts w:eastAsia="Calibri" w:cs="Sylfaen"/>
                <w:sz w:val="20"/>
                <w:szCs w:val="20"/>
                <w:lang w:val="hy-AM"/>
              </w:rPr>
              <w:t>մարդու</w:t>
            </w:r>
            <w:r w:rsidRPr="0053423A">
              <w:rPr>
                <w:rFonts w:eastAsia="Calibri" w:cs="Sylfaen"/>
                <w:sz w:val="20"/>
                <w:szCs w:val="20"/>
                <w:lang w:val="af-ZA"/>
              </w:rPr>
              <w:t xml:space="preserve"> </w:t>
            </w:r>
            <w:r w:rsidRPr="0053423A">
              <w:rPr>
                <w:rFonts w:eastAsia="Calibri" w:cs="Sylfaen"/>
                <w:sz w:val="20"/>
                <w:szCs w:val="20"/>
                <w:lang w:val="hy-AM"/>
              </w:rPr>
              <w:t>ընկալումներին</w:t>
            </w:r>
            <w:r w:rsidRPr="0053423A">
              <w:rPr>
                <w:rFonts w:eastAsia="Calibri" w:cs="Sylfaen"/>
                <w:sz w:val="20"/>
                <w:szCs w:val="20"/>
                <w:lang w:val="af-ZA"/>
              </w:rPr>
              <w:t xml:space="preserve"> </w:t>
            </w:r>
            <w:r w:rsidRPr="0053423A">
              <w:rPr>
                <w:rFonts w:eastAsia="Calibri" w:cs="Sylfaen"/>
                <w:sz w:val="20"/>
                <w:szCs w:val="20"/>
                <w:lang w:val="hy-AM"/>
              </w:rPr>
              <w:t>ու</w:t>
            </w:r>
            <w:r w:rsidRPr="0053423A">
              <w:rPr>
                <w:rFonts w:eastAsia="Calibri" w:cs="Sylfaen"/>
                <w:sz w:val="20"/>
                <w:szCs w:val="20"/>
                <w:lang w:val="af-ZA"/>
              </w:rPr>
              <w:t xml:space="preserve"> </w:t>
            </w:r>
            <w:r w:rsidRPr="0053423A">
              <w:rPr>
                <w:rFonts w:eastAsia="Calibri" w:cs="Sylfaen"/>
                <w:sz w:val="20"/>
                <w:szCs w:val="20"/>
                <w:lang w:val="hy-AM"/>
              </w:rPr>
              <w:t>ձգտումներին</w:t>
            </w:r>
            <w:r w:rsidRPr="0053423A">
              <w:rPr>
                <w:rFonts w:eastAsia="Calibri" w:cs="Sylfaen"/>
                <w:sz w:val="20"/>
                <w:szCs w:val="20"/>
                <w:lang w:val="af-ZA"/>
              </w:rPr>
              <w:t xml:space="preserve"> </w:t>
            </w:r>
            <w:r w:rsidRPr="0053423A">
              <w:rPr>
                <w:rFonts w:eastAsia="Calibri" w:cs="Sylfaen"/>
                <w:sz w:val="20"/>
                <w:szCs w:val="20"/>
                <w:lang w:val="hy-AM"/>
              </w:rPr>
              <w:t>համահունչ</w:t>
            </w:r>
            <w:r w:rsidRPr="0053423A">
              <w:rPr>
                <w:rFonts w:eastAsia="Calibri" w:cs="Sylfaen"/>
                <w:sz w:val="20"/>
                <w:szCs w:val="20"/>
                <w:lang w:val="af-ZA"/>
              </w:rPr>
              <w:t xml:space="preserve"> </w:t>
            </w:r>
            <w:r w:rsidRPr="0053423A">
              <w:rPr>
                <w:rFonts w:eastAsia="Calibri" w:cs="Sylfaen"/>
                <w:sz w:val="20"/>
                <w:szCs w:val="20"/>
                <w:lang w:val="hy-AM"/>
              </w:rPr>
              <w:t>ժամանակակից</w:t>
            </w:r>
            <w:r w:rsidRPr="0053423A">
              <w:rPr>
                <w:rFonts w:eastAsia="Calibri" w:cs="Sylfaen"/>
                <w:sz w:val="20"/>
                <w:szCs w:val="20"/>
                <w:lang w:val="af-ZA"/>
              </w:rPr>
              <w:t xml:space="preserve"> </w:t>
            </w:r>
            <w:r w:rsidRPr="0053423A">
              <w:rPr>
                <w:rFonts w:eastAsia="Calibri" w:cs="Sylfaen"/>
                <w:sz w:val="20"/>
                <w:szCs w:val="20"/>
                <w:lang w:val="hy-AM"/>
              </w:rPr>
              <w:t>ար</w:t>
            </w:r>
            <w:r w:rsidRPr="0053423A">
              <w:rPr>
                <w:rFonts w:eastAsia="Calibri" w:cs="Sylfaen"/>
                <w:sz w:val="20"/>
                <w:szCs w:val="20"/>
                <w:lang w:val="af-ZA"/>
              </w:rPr>
              <w:softHyphen/>
            </w:r>
            <w:r w:rsidRPr="0053423A">
              <w:rPr>
                <w:rFonts w:eastAsia="Calibri" w:cs="Sylfaen"/>
                <w:sz w:val="20"/>
                <w:szCs w:val="20"/>
                <w:lang w:val="hy-AM"/>
              </w:rPr>
              <w:t>վեստի</w:t>
            </w:r>
            <w:r w:rsidRPr="0053423A">
              <w:rPr>
                <w:rFonts w:eastAsia="Calibri" w:cs="Sylfaen"/>
                <w:sz w:val="20"/>
                <w:szCs w:val="20"/>
                <w:lang w:val="af-ZA"/>
              </w:rPr>
              <w:t xml:space="preserve"> </w:t>
            </w:r>
            <w:r w:rsidRPr="0053423A">
              <w:rPr>
                <w:rFonts w:eastAsia="Calibri" w:cs="Sylfaen"/>
                <w:sz w:val="20"/>
                <w:szCs w:val="20"/>
                <w:lang w:val="hy-AM"/>
              </w:rPr>
              <w:t>ստեղծման</w:t>
            </w:r>
            <w:r w:rsidRPr="0053423A">
              <w:rPr>
                <w:rFonts w:eastAsia="Calibri" w:cs="Sylfaen"/>
                <w:sz w:val="20"/>
                <w:szCs w:val="20"/>
                <w:lang w:val="af-ZA"/>
              </w:rPr>
              <w:t xml:space="preserve"> </w:t>
            </w:r>
            <w:r w:rsidRPr="0053423A">
              <w:rPr>
                <w:rFonts w:eastAsia="Calibri" w:cs="Sylfaen"/>
                <w:sz w:val="20"/>
                <w:szCs w:val="20"/>
                <w:lang w:val="hy-AM"/>
              </w:rPr>
              <w:t>և</w:t>
            </w:r>
            <w:r w:rsidRPr="0053423A">
              <w:rPr>
                <w:rFonts w:eastAsia="Calibri" w:cs="Sylfaen"/>
                <w:sz w:val="20"/>
                <w:szCs w:val="20"/>
                <w:lang w:val="af-ZA"/>
              </w:rPr>
              <w:t xml:space="preserve"> </w:t>
            </w:r>
            <w:r w:rsidRPr="0053423A">
              <w:rPr>
                <w:rFonts w:eastAsia="Calibri" w:cs="Sylfaen"/>
                <w:sz w:val="20"/>
                <w:szCs w:val="20"/>
                <w:lang w:val="hy-AM"/>
              </w:rPr>
              <w:t>տարածման</w:t>
            </w:r>
            <w:r w:rsidRPr="0053423A">
              <w:rPr>
                <w:rFonts w:eastAsia="Calibri" w:cs="Sylfaen"/>
                <w:sz w:val="20"/>
                <w:szCs w:val="20"/>
                <w:lang w:val="af-ZA"/>
              </w:rPr>
              <w:t xml:space="preserve">, </w:t>
            </w:r>
            <w:r w:rsidRPr="0053423A">
              <w:rPr>
                <w:rFonts w:eastAsia="Calibri" w:cs="Sylfaen"/>
                <w:sz w:val="20"/>
                <w:szCs w:val="20"/>
                <w:lang w:val="hy-AM"/>
              </w:rPr>
              <w:t>ազգաբնակչության</w:t>
            </w:r>
            <w:r w:rsidRPr="0053423A">
              <w:rPr>
                <w:rFonts w:eastAsia="Calibri" w:cs="Sylfaen"/>
                <w:sz w:val="20"/>
                <w:szCs w:val="20"/>
                <w:lang w:val="af-ZA"/>
              </w:rPr>
              <w:t xml:space="preserve"> </w:t>
            </w:r>
            <w:r w:rsidRPr="0053423A">
              <w:rPr>
                <w:rFonts w:eastAsia="Calibri" w:cs="Sylfaen"/>
                <w:sz w:val="20"/>
                <w:szCs w:val="20"/>
                <w:lang w:val="hy-AM"/>
              </w:rPr>
              <w:t>ստեղծագործական</w:t>
            </w:r>
            <w:r w:rsidRPr="0053423A">
              <w:rPr>
                <w:rFonts w:eastAsia="Calibri" w:cs="Sylfaen"/>
                <w:sz w:val="20"/>
                <w:szCs w:val="20"/>
                <w:lang w:val="af-ZA"/>
              </w:rPr>
              <w:t xml:space="preserve"> </w:t>
            </w:r>
            <w:r w:rsidRPr="0053423A">
              <w:rPr>
                <w:rFonts w:eastAsia="Calibri" w:cs="Sylfaen"/>
                <w:sz w:val="20"/>
                <w:szCs w:val="20"/>
                <w:lang w:val="hy-AM"/>
              </w:rPr>
              <w:t>ներուժի</w:t>
            </w:r>
            <w:r w:rsidRPr="0053423A">
              <w:rPr>
                <w:rFonts w:eastAsia="Calibri" w:cs="Sylfaen"/>
                <w:sz w:val="20"/>
                <w:szCs w:val="20"/>
                <w:lang w:val="af-ZA"/>
              </w:rPr>
              <w:t xml:space="preserve"> </w:t>
            </w:r>
            <w:r w:rsidRPr="0053423A">
              <w:rPr>
                <w:rFonts w:eastAsia="Calibri" w:cs="Sylfaen"/>
                <w:sz w:val="20"/>
                <w:szCs w:val="20"/>
                <w:lang w:val="hy-AM"/>
              </w:rPr>
              <w:t>խթանման</w:t>
            </w:r>
            <w:r w:rsidRPr="0053423A">
              <w:rPr>
                <w:rFonts w:eastAsia="Calibri" w:cs="Sylfaen"/>
                <w:sz w:val="20"/>
                <w:szCs w:val="20"/>
                <w:lang w:val="af-ZA"/>
              </w:rPr>
              <w:t xml:space="preserve">, </w:t>
            </w:r>
            <w:r w:rsidRPr="0053423A">
              <w:rPr>
                <w:rFonts w:eastAsia="Calibri" w:cs="Sylfaen"/>
                <w:sz w:val="20"/>
                <w:szCs w:val="20"/>
                <w:lang w:val="hy-AM"/>
              </w:rPr>
              <w:t>նոր</w:t>
            </w:r>
            <w:r w:rsidRPr="0053423A">
              <w:rPr>
                <w:rFonts w:eastAsia="Calibri" w:cs="Sylfaen"/>
                <w:sz w:val="20"/>
                <w:szCs w:val="20"/>
                <w:lang w:val="af-ZA"/>
              </w:rPr>
              <w:t xml:space="preserve"> </w:t>
            </w:r>
            <w:r w:rsidRPr="0053423A">
              <w:rPr>
                <w:rFonts w:eastAsia="Calibri" w:cs="Sylfaen"/>
                <w:sz w:val="20"/>
                <w:szCs w:val="20"/>
                <w:lang w:val="hy-AM"/>
              </w:rPr>
              <w:t>մտահղացումների</w:t>
            </w:r>
            <w:r w:rsidRPr="0053423A">
              <w:rPr>
                <w:rFonts w:eastAsia="Calibri" w:cs="Sylfaen"/>
                <w:sz w:val="20"/>
                <w:szCs w:val="20"/>
                <w:lang w:val="af-ZA"/>
              </w:rPr>
              <w:t xml:space="preserve"> </w:t>
            </w:r>
            <w:r w:rsidRPr="0053423A">
              <w:rPr>
                <w:rFonts w:eastAsia="Calibri" w:cs="Sylfaen"/>
                <w:sz w:val="20"/>
                <w:szCs w:val="20"/>
                <w:lang w:val="hy-AM"/>
              </w:rPr>
              <w:t>ու</w:t>
            </w:r>
            <w:r w:rsidRPr="0053423A">
              <w:rPr>
                <w:rFonts w:eastAsia="Calibri" w:cs="Sylfaen"/>
                <w:sz w:val="20"/>
                <w:szCs w:val="20"/>
                <w:lang w:val="af-ZA"/>
              </w:rPr>
              <w:t xml:space="preserve"> </w:t>
            </w:r>
            <w:r w:rsidRPr="0053423A">
              <w:rPr>
                <w:rFonts w:eastAsia="Calibri" w:cs="Sylfaen"/>
                <w:sz w:val="20"/>
                <w:szCs w:val="20"/>
                <w:lang w:val="hy-AM"/>
              </w:rPr>
              <w:t>գաղափարների</w:t>
            </w:r>
            <w:r w:rsidRPr="0053423A">
              <w:rPr>
                <w:rFonts w:eastAsia="Calibri" w:cs="Sylfaen"/>
                <w:sz w:val="20"/>
                <w:szCs w:val="20"/>
                <w:lang w:val="af-ZA"/>
              </w:rPr>
              <w:t xml:space="preserve"> </w:t>
            </w:r>
            <w:r w:rsidRPr="0053423A">
              <w:rPr>
                <w:rFonts w:eastAsia="Calibri" w:cs="Sylfaen"/>
                <w:sz w:val="20"/>
                <w:szCs w:val="20"/>
                <w:lang w:val="hy-AM"/>
              </w:rPr>
              <w:t>ներդրման</w:t>
            </w:r>
            <w:r w:rsidRPr="0053423A">
              <w:rPr>
                <w:rFonts w:eastAsia="Calibri" w:cs="Sylfaen"/>
                <w:sz w:val="20"/>
                <w:szCs w:val="20"/>
                <w:lang w:val="af-ZA"/>
              </w:rPr>
              <w:t xml:space="preserve"> </w:t>
            </w:r>
            <w:r w:rsidRPr="0053423A">
              <w:rPr>
                <w:rFonts w:eastAsia="Calibri" w:cs="Sylfaen"/>
                <w:sz w:val="20"/>
                <w:szCs w:val="20"/>
                <w:lang w:val="hy-AM"/>
              </w:rPr>
              <w:t>անհրաժեշտ</w:t>
            </w:r>
            <w:r w:rsidRPr="0053423A">
              <w:rPr>
                <w:rFonts w:eastAsia="Calibri" w:cs="Sylfaen"/>
                <w:sz w:val="20"/>
                <w:szCs w:val="20"/>
                <w:lang w:val="af-ZA"/>
              </w:rPr>
              <w:t xml:space="preserve"> </w:t>
            </w:r>
            <w:r w:rsidRPr="0053423A">
              <w:rPr>
                <w:rFonts w:eastAsia="Calibri" w:cs="Sylfaen"/>
                <w:sz w:val="20"/>
                <w:szCs w:val="20"/>
                <w:lang w:val="hy-AM"/>
              </w:rPr>
              <w:t>պայմանների</w:t>
            </w:r>
            <w:r w:rsidRPr="0053423A">
              <w:rPr>
                <w:rFonts w:eastAsia="Calibri" w:cs="Sylfaen"/>
                <w:sz w:val="20"/>
                <w:szCs w:val="20"/>
                <w:lang w:val="af-ZA"/>
              </w:rPr>
              <w:t xml:space="preserve"> </w:t>
            </w:r>
            <w:r w:rsidRPr="0053423A">
              <w:rPr>
                <w:rFonts w:eastAsia="Calibri" w:cs="Sylfaen"/>
                <w:sz w:val="20"/>
                <w:szCs w:val="20"/>
                <w:lang w:val="hy-AM"/>
              </w:rPr>
              <w:t>ապահովման</w:t>
            </w:r>
            <w:r w:rsidRPr="0053423A">
              <w:rPr>
                <w:rFonts w:eastAsia="Calibri" w:cs="Sylfaen"/>
                <w:sz w:val="20"/>
                <w:szCs w:val="20"/>
                <w:lang w:val="af-ZA"/>
              </w:rPr>
              <w:t xml:space="preserve">, </w:t>
            </w:r>
            <w:r w:rsidRPr="0053423A">
              <w:rPr>
                <w:rFonts w:eastAsia="Calibri" w:cs="Sylfaen"/>
                <w:sz w:val="20"/>
                <w:szCs w:val="20"/>
                <w:lang w:val="hy-AM"/>
              </w:rPr>
              <w:t>ժամանակակից</w:t>
            </w:r>
            <w:r w:rsidRPr="0053423A">
              <w:rPr>
                <w:rFonts w:eastAsia="Calibri" w:cs="Sylfaen"/>
                <w:sz w:val="20"/>
                <w:szCs w:val="20"/>
                <w:lang w:val="af-ZA"/>
              </w:rPr>
              <w:t xml:space="preserve"> </w:t>
            </w:r>
            <w:r w:rsidRPr="0053423A">
              <w:rPr>
                <w:rFonts w:eastAsia="Calibri" w:cs="Sylfaen"/>
                <w:sz w:val="20"/>
                <w:szCs w:val="20"/>
                <w:lang w:val="hy-AM"/>
              </w:rPr>
              <w:t>մշա</w:t>
            </w:r>
            <w:r w:rsidRPr="0053423A">
              <w:rPr>
                <w:rFonts w:eastAsia="Calibri" w:cs="Sylfaen"/>
                <w:sz w:val="20"/>
                <w:szCs w:val="20"/>
                <w:lang w:val="af-ZA"/>
              </w:rPr>
              <w:softHyphen/>
            </w:r>
            <w:r w:rsidRPr="0053423A">
              <w:rPr>
                <w:rFonts w:eastAsia="Calibri" w:cs="Sylfaen"/>
                <w:sz w:val="20"/>
                <w:szCs w:val="20"/>
                <w:lang w:val="hy-AM"/>
              </w:rPr>
              <w:t>կութային</w:t>
            </w:r>
            <w:r w:rsidRPr="0053423A">
              <w:rPr>
                <w:rFonts w:eastAsia="Calibri" w:cs="Sylfaen"/>
                <w:sz w:val="20"/>
                <w:szCs w:val="20"/>
                <w:lang w:val="af-ZA"/>
              </w:rPr>
              <w:t xml:space="preserve"> </w:t>
            </w:r>
            <w:r w:rsidRPr="0053423A">
              <w:rPr>
                <w:rFonts w:eastAsia="Calibri" w:cs="Sylfaen"/>
                <w:sz w:val="20"/>
                <w:szCs w:val="20"/>
                <w:lang w:val="hy-AM"/>
              </w:rPr>
              <w:t>մրցունակ</w:t>
            </w:r>
            <w:r w:rsidRPr="0053423A">
              <w:rPr>
                <w:rFonts w:eastAsia="Calibri" w:cs="Sylfaen"/>
                <w:sz w:val="20"/>
                <w:szCs w:val="20"/>
                <w:lang w:val="af-ZA"/>
              </w:rPr>
              <w:t xml:space="preserve"> </w:t>
            </w:r>
            <w:r w:rsidRPr="0053423A">
              <w:rPr>
                <w:rFonts w:eastAsia="Calibri" w:cs="Sylfaen"/>
                <w:sz w:val="20"/>
                <w:szCs w:val="20"/>
                <w:lang w:val="hy-AM"/>
              </w:rPr>
              <w:t>արտադրանքի</w:t>
            </w:r>
            <w:r w:rsidRPr="0053423A">
              <w:rPr>
                <w:rFonts w:eastAsia="Calibri" w:cs="Sylfaen"/>
                <w:sz w:val="20"/>
                <w:szCs w:val="20"/>
                <w:lang w:val="af-ZA"/>
              </w:rPr>
              <w:t xml:space="preserve"> </w:t>
            </w:r>
            <w:r w:rsidRPr="0053423A">
              <w:rPr>
                <w:rFonts w:eastAsia="Calibri" w:cs="Sylfaen"/>
                <w:sz w:val="20"/>
                <w:szCs w:val="20"/>
                <w:lang w:val="hy-AM"/>
              </w:rPr>
              <w:t>ստեղծման</w:t>
            </w:r>
            <w:r w:rsidRPr="0053423A">
              <w:rPr>
                <w:rFonts w:eastAsia="Calibri" w:cs="Sylfaen"/>
                <w:sz w:val="20"/>
                <w:szCs w:val="20"/>
                <w:lang w:val="af-ZA"/>
              </w:rPr>
              <w:t xml:space="preserve">, </w:t>
            </w:r>
            <w:r w:rsidRPr="0053423A">
              <w:rPr>
                <w:rFonts w:eastAsia="Calibri" w:cs="Sylfaen"/>
                <w:sz w:val="20"/>
                <w:szCs w:val="20"/>
                <w:lang w:val="hy-AM"/>
              </w:rPr>
              <w:t>մշակութային</w:t>
            </w:r>
            <w:r w:rsidRPr="0053423A">
              <w:rPr>
                <w:rFonts w:eastAsia="Calibri" w:cs="Times New Roman"/>
                <w:sz w:val="20"/>
                <w:szCs w:val="20"/>
                <w:lang w:val="af-ZA"/>
              </w:rPr>
              <w:t xml:space="preserve"> </w:t>
            </w:r>
            <w:r w:rsidRPr="0053423A">
              <w:rPr>
                <w:rFonts w:eastAsia="Calibri" w:cs="Sylfaen"/>
                <w:sz w:val="20"/>
                <w:szCs w:val="20"/>
                <w:lang w:val="hy-AM"/>
              </w:rPr>
              <w:t>միջոցառում</w:t>
            </w:r>
            <w:r w:rsidRPr="0053423A">
              <w:rPr>
                <w:rFonts w:eastAsia="Calibri" w:cs="Sylfaen"/>
                <w:sz w:val="20"/>
                <w:szCs w:val="20"/>
                <w:lang w:val="es-ES"/>
              </w:rPr>
              <w:softHyphen/>
            </w:r>
            <w:r w:rsidRPr="0053423A">
              <w:rPr>
                <w:rFonts w:eastAsia="Calibri" w:cs="Sylfaen"/>
                <w:sz w:val="20"/>
                <w:szCs w:val="20"/>
                <w:lang w:val="hy-AM"/>
              </w:rPr>
              <w:t>ների</w:t>
            </w:r>
            <w:r w:rsidRPr="0053423A">
              <w:rPr>
                <w:rFonts w:eastAsia="Calibri" w:cs="Times New Roman"/>
                <w:sz w:val="20"/>
                <w:szCs w:val="20"/>
                <w:lang w:val="af-ZA"/>
              </w:rPr>
              <w:t xml:space="preserve"> </w:t>
            </w:r>
            <w:r w:rsidRPr="0053423A">
              <w:rPr>
                <w:rFonts w:eastAsia="Calibri" w:cs="Sylfaen"/>
                <w:sz w:val="20"/>
                <w:szCs w:val="20"/>
                <w:lang w:val="hy-AM"/>
              </w:rPr>
              <w:t>իրակա</w:t>
            </w:r>
            <w:r w:rsidRPr="0053423A">
              <w:rPr>
                <w:rFonts w:eastAsia="Calibri" w:cs="Sylfaen"/>
                <w:sz w:val="20"/>
                <w:szCs w:val="20"/>
                <w:lang w:val="af-ZA"/>
              </w:rPr>
              <w:softHyphen/>
            </w:r>
            <w:r w:rsidRPr="0053423A">
              <w:rPr>
                <w:rFonts w:eastAsia="Calibri" w:cs="Sylfaen"/>
                <w:sz w:val="20"/>
                <w:szCs w:val="20"/>
                <w:lang w:val="hy-AM"/>
              </w:rPr>
              <w:t>նաց</w:t>
            </w:r>
            <w:r w:rsidRPr="0053423A">
              <w:rPr>
                <w:rFonts w:eastAsia="Calibri" w:cs="Sylfaen"/>
                <w:sz w:val="20"/>
                <w:szCs w:val="20"/>
                <w:lang w:val="af-ZA"/>
              </w:rPr>
              <w:softHyphen/>
            </w:r>
            <w:r w:rsidRPr="0053423A">
              <w:rPr>
                <w:rFonts w:eastAsia="Calibri" w:cs="Sylfaen"/>
                <w:sz w:val="20"/>
                <w:szCs w:val="20"/>
                <w:lang w:val="hy-AM"/>
              </w:rPr>
              <w:t>ման</w:t>
            </w:r>
            <w:r w:rsidRPr="0053423A">
              <w:rPr>
                <w:rFonts w:eastAsia="Calibri" w:cs="Times New Roman"/>
                <w:sz w:val="20"/>
                <w:szCs w:val="20"/>
                <w:lang w:val="af-ZA"/>
              </w:rPr>
              <w:t xml:space="preserve"> </w:t>
            </w:r>
            <w:r w:rsidRPr="0053423A">
              <w:rPr>
                <w:rFonts w:eastAsia="Calibri" w:cs="Sylfaen"/>
                <w:sz w:val="20"/>
                <w:szCs w:val="20"/>
                <w:lang w:val="hy-AM"/>
              </w:rPr>
              <w:t>և</w:t>
            </w:r>
            <w:r w:rsidRPr="0053423A">
              <w:rPr>
                <w:rFonts w:eastAsia="Calibri" w:cs="Times New Roman"/>
                <w:sz w:val="20"/>
                <w:szCs w:val="20"/>
                <w:lang w:val="af-ZA"/>
              </w:rPr>
              <w:t xml:space="preserve"> </w:t>
            </w:r>
            <w:r w:rsidRPr="0053423A">
              <w:rPr>
                <w:rFonts w:eastAsia="Calibri" w:cs="Sylfaen"/>
                <w:sz w:val="20"/>
                <w:szCs w:val="20"/>
                <w:lang w:val="hy-AM"/>
              </w:rPr>
              <w:t>այլ</w:t>
            </w:r>
            <w:r w:rsidRPr="0053423A">
              <w:rPr>
                <w:rFonts w:eastAsia="Calibri" w:cs="Times New Roman"/>
                <w:sz w:val="20"/>
                <w:szCs w:val="20"/>
                <w:lang w:val="af-ZA"/>
              </w:rPr>
              <w:t xml:space="preserve"> </w:t>
            </w:r>
            <w:r w:rsidRPr="0053423A">
              <w:rPr>
                <w:rFonts w:eastAsia="Calibri" w:cs="Sylfaen"/>
                <w:sz w:val="20"/>
                <w:szCs w:val="20"/>
                <w:lang w:val="hy-AM"/>
              </w:rPr>
              <w:t>ծառայու</w:t>
            </w:r>
            <w:r w:rsidRPr="0053423A">
              <w:rPr>
                <w:rFonts w:eastAsia="Calibri" w:cs="Sylfaen"/>
                <w:sz w:val="20"/>
                <w:szCs w:val="20"/>
                <w:lang w:val="af-ZA"/>
              </w:rPr>
              <w:softHyphen/>
            </w:r>
            <w:r w:rsidRPr="0053423A">
              <w:rPr>
                <w:rFonts w:eastAsia="Calibri" w:cs="Sylfaen"/>
                <w:sz w:val="20"/>
                <w:szCs w:val="20"/>
                <w:lang w:val="hy-AM"/>
              </w:rPr>
              <w:t>թյուն</w:t>
            </w:r>
            <w:r w:rsidRPr="0053423A">
              <w:rPr>
                <w:rFonts w:eastAsia="Calibri" w:cs="Sylfaen"/>
                <w:sz w:val="20"/>
                <w:szCs w:val="20"/>
                <w:lang w:val="af-ZA"/>
              </w:rPr>
              <w:softHyphen/>
            </w:r>
            <w:r w:rsidRPr="0053423A">
              <w:rPr>
                <w:rFonts w:eastAsia="Calibri" w:cs="Sylfaen"/>
                <w:sz w:val="20"/>
                <w:szCs w:val="20"/>
                <w:lang w:val="hy-AM"/>
              </w:rPr>
              <w:t xml:space="preserve">ների ապահովումն է: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w:t>
            </w:r>
            <w:r w:rsidRPr="0053423A">
              <w:rPr>
                <w:rFonts w:eastAsia="Calibri" w:cs="Times New Roman"/>
                <w:sz w:val="20"/>
                <w:szCs w:val="20"/>
              </w:rPr>
              <w:t>Մշակույթ» բաժին</w:t>
            </w:r>
            <w:r w:rsidRPr="0053423A">
              <w:rPr>
                <w:rFonts w:eastAsia="Calibri" w:cs="Times New Roman"/>
                <w:sz w:val="20"/>
                <w:szCs w:val="20"/>
                <w:lang w:val="hy-AM"/>
              </w:rPr>
              <w:t xml:space="preserve">: </w:t>
            </w:r>
          </w:p>
          <w:p w:rsidR="00A67B6B" w:rsidRPr="0053423A" w:rsidRDefault="00A67B6B" w:rsidP="00A67858">
            <w:pPr>
              <w:tabs>
                <w:tab w:val="left" w:pos="508"/>
              </w:tabs>
              <w:spacing w:after="0" w:line="276" w:lineRule="auto"/>
              <w:jc w:val="center"/>
              <w:rPr>
                <w:rFonts w:eastAsia="Times New Roman" w:cs="Times New Roman"/>
                <w:b/>
                <w:sz w:val="20"/>
                <w:szCs w:val="20"/>
                <w:lang w:val="ru-RU"/>
              </w:rPr>
            </w:pPr>
          </w:p>
          <w:p w:rsidR="00A67B6B" w:rsidRPr="0053423A" w:rsidRDefault="00A67B6B" w:rsidP="001F6D5D">
            <w:pPr>
              <w:numPr>
                <w:ilvl w:val="1"/>
                <w:numId w:val="244"/>
              </w:numPr>
              <w:tabs>
                <w:tab w:val="left" w:pos="508"/>
              </w:tabs>
              <w:spacing w:after="0" w:line="276" w:lineRule="auto"/>
              <w:contextualSpacing/>
              <w:jc w:val="both"/>
              <w:rPr>
                <w:rFonts w:eastAsia="Calibri" w:cs="Times New Roman"/>
                <w:b/>
                <w:sz w:val="20"/>
                <w:szCs w:val="20"/>
                <w:lang w:val="ru-RU"/>
              </w:rPr>
            </w:pPr>
            <w:r w:rsidRPr="0053423A">
              <w:rPr>
                <w:rFonts w:eastAsia="Calibri" w:cs="Sylfaen"/>
                <w:b/>
                <w:sz w:val="20"/>
                <w:szCs w:val="20"/>
                <w:lang w:val="hy-AM"/>
              </w:rPr>
              <w:t xml:space="preserve">Կարգավորման </w:t>
            </w:r>
            <w:r w:rsidRPr="0053423A">
              <w:rPr>
                <w:rFonts w:eastAsia="Calibri" w:cs="Times New Roman"/>
                <w:b/>
                <w:sz w:val="20"/>
                <w:szCs w:val="20"/>
                <w:lang w:val="hy-AM"/>
              </w:rPr>
              <w:t>հարաբերությունների ներկա վիճակը և առկա խնդիրները</w:t>
            </w:r>
          </w:p>
          <w:p w:rsidR="00A67B6B" w:rsidRPr="0053423A" w:rsidRDefault="00A67B6B" w:rsidP="00A67858">
            <w:pPr>
              <w:widowControl w:val="0"/>
              <w:spacing w:after="0" w:line="276" w:lineRule="auto"/>
              <w:jc w:val="both"/>
              <w:rPr>
                <w:rFonts w:eastAsia="Calibri" w:cs="Times Armenian"/>
                <w:iCs/>
                <w:sz w:val="20"/>
                <w:szCs w:val="20"/>
                <w:lang w:val="ru-RU"/>
              </w:rPr>
            </w:pPr>
            <w:r w:rsidRPr="0053423A">
              <w:rPr>
                <w:rFonts w:eastAsia="Calibri" w:cs="Times New Roman"/>
                <w:sz w:val="20"/>
                <w:szCs w:val="20"/>
                <w:lang w:val="ru-RU" w:eastAsia="ru-RU"/>
              </w:rPr>
              <w:t>Ներկայում մ</w:t>
            </w:r>
            <w:r w:rsidRPr="0053423A">
              <w:rPr>
                <w:rFonts w:eastAsia="Calibri" w:cs="Times New Roman"/>
                <w:sz w:val="20"/>
                <w:szCs w:val="20"/>
                <w:lang w:eastAsia="ru-RU"/>
              </w:rPr>
              <w:t>շակույթի</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ոլորտը</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կարգավորվում</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է</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Մշակու</w:t>
            </w:r>
            <w:r w:rsidRPr="0053423A">
              <w:rPr>
                <w:rFonts w:eastAsia="Calibri" w:cs="Times New Roman"/>
                <w:sz w:val="20"/>
                <w:szCs w:val="20"/>
                <w:lang w:val="af-ZA" w:eastAsia="ru-RU"/>
              </w:rPr>
              <w:softHyphen/>
            </w:r>
            <w:r w:rsidRPr="0053423A">
              <w:rPr>
                <w:rFonts w:eastAsia="Calibri" w:cs="Times New Roman"/>
                <w:sz w:val="20"/>
                <w:szCs w:val="20"/>
                <w:lang w:eastAsia="ru-RU"/>
              </w:rPr>
              <w:t>թային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օրենսդրության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հիմունքների</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մասին</w:t>
            </w:r>
            <w:r w:rsidRPr="0053423A">
              <w:rPr>
                <w:rFonts w:eastAsia="Calibri" w:cs="Times New Roman"/>
                <w:sz w:val="20"/>
                <w:szCs w:val="20"/>
                <w:lang w:val="af-ZA" w:eastAsia="ru-RU"/>
              </w:rPr>
              <w:t>», «</w:t>
            </w:r>
            <w:r w:rsidRPr="0053423A">
              <w:rPr>
                <w:rFonts w:eastAsia="Calibri" w:cs="Times New Roman"/>
                <w:sz w:val="20"/>
                <w:szCs w:val="20"/>
                <w:lang w:eastAsia="ru-RU"/>
              </w:rPr>
              <w:t>Մշակութային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արժեքների</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արտա</w:t>
            </w:r>
            <w:r w:rsidRPr="0053423A">
              <w:rPr>
                <w:rFonts w:eastAsia="Calibri" w:cs="Times New Roman"/>
                <w:sz w:val="20"/>
                <w:szCs w:val="20"/>
                <w:lang w:val="af-ZA" w:eastAsia="ru-RU"/>
              </w:rPr>
              <w:softHyphen/>
            </w:r>
            <w:r w:rsidRPr="0053423A">
              <w:rPr>
                <w:rFonts w:eastAsia="Calibri" w:cs="Times New Roman"/>
                <w:sz w:val="20"/>
                <w:szCs w:val="20"/>
                <w:lang w:eastAsia="ru-RU"/>
              </w:rPr>
              <w:t>հան</w:t>
            </w:r>
            <w:r w:rsidRPr="0053423A">
              <w:rPr>
                <w:rFonts w:eastAsia="Calibri" w:cs="Times New Roman"/>
                <w:sz w:val="20"/>
                <w:szCs w:val="20"/>
                <w:lang w:val="af-ZA" w:eastAsia="ru-RU"/>
              </w:rPr>
              <w:softHyphen/>
            </w:r>
            <w:r w:rsidRPr="0053423A">
              <w:rPr>
                <w:rFonts w:eastAsia="Calibri" w:cs="Times New Roman"/>
                <w:sz w:val="20"/>
                <w:szCs w:val="20"/>
                <w:lang w:eastAsia="ru-RU"/>
              </w:rPr>
              <w:t>ման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և</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ներմուծ</w:t>
            </w:r>
            <w:r w:rsidRPr="0053423A">
              <w:rPr>
                <w:rFonts w:eastAsia="Calibri" w:cs="Times New Roman"/>
                <w:sz w:val="20"/>
                <w:szCs w:val="20"/>
                <w:lang w:val="af-ZA" w:eastAsia="ru-RU"/>
              </w:rPr>
              <w:softHyphen/>
            </w:r>
            <w:r w:rsidRPr="0053423A">
              <w:rPr>
                <w:rFonts w:eastAsia="Calibri" w:cs="Times New Roman"/>
                <w:sz w:val="20"/>
                <w:szCs w:val="20"/>
                <w:lang w:eastAsia="ru-RU"/>
              </w:rPr>
              <w:t>ման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մասին</w:t>
            </w:r>
            <w:r w:rsidRPr="0053423A">
              <w:rPr>
                <w:rFonts w:eastAsia="Calibri" w:cs="Times New Roman"/>
                <w:sz w:val="20"/>
                <w:szCs w:val="20"/>
                <w:lang w:val="af-ZA" w:eastAsia="ru-RU"/>
              </w:rPr>
              <w:t>», «</w:t>
            </w:r>
            <w:r w:rsidRPr="0053423A">
              <w:rPr>
                <w:rFonts w:eastAsia="Calibri" w:cs="Times New Roman"/>
                <w:sz w:val="20"/>
                <w:szCs w:val="20"/>
                <w:lang w:eastAsia="ru-RU"/>
              </w:rPr>
              <w:t>Ոչ</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նյութական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մշակութային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ժառանգության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պահպանության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մասին</w:t>
            </w:r>
            <w:r w:rsidRPr="0053423A">
              <w:rPr>
                <w:rFonts w:eastAsia="Calibri" w:cs="Times New Roman"/>
                <w:sz w:val="20"/>
                <w:szCs w:val="20"/>
                <w:lang w:val="af-ZA" w:eastAsia="ru-RU"/>
              </w:rPr>
              <w:t>», «</w:t>
            </w:r>
            <w:r w:rsidRPr="0053423A">
              <w:rPr>
                <w:rFonts w:eastAsia="Calibri" w:cs="Times New Roman"/>
                <w:sz w:val="20"/>
                <w:szCs w:val="20"/>
                <w:lang w:eastAsia="ru-RU"/>
              </w:rPr>
              <w:t>Հեղինակային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իրավունքի</w:t>
            </w:r>
            <w:r w:rsidRPr="0053423A">
              <w:rPr>
                <w:rFonts w:eastAsia="Calibri" w:cs="Times New Roman"/>
                <w:sz w:val="20"/>
                <w:szCs w:val="20"/>
                <w:lang w:val="af-ZA" w:eastAsia="ru-RU"/>
              </w:rPr>
              <w:t xml:space="preserve"> </w:t>
            </w:r>
            <w:r w:rsidRPr="0053423A">
              <w:rPr>
                <w:rFonts w:eastAsia="Calibri" w:cs="Times New Roman"/>
                <w:sz w:val="20"/>
                <w:szCs w:val="20"/>
                <w:lang w:eastAsia="ru-RU"/>
              </w:rPr>
              <w:t>և</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հարակից</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իրավունքների</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մասին</w:t>
            </w:r>
            <w:r w:rsidRPr="0053423A">
              <w:rPr>
                <w:rFonts w:eastAsia="Calibri" w:cs="Times New Roman"/>
                <w:sz w:val="20"/>
                <w:szCs w:val="20"/>
                <w:lang w:val="af-ZA" w:eastAsia="ru-RU"/>
              </w:rPr>
              <w:t>», «</w:t>
            </w:r>
            <w:r w:rsidRPr="0053423A">
              <w:rPr>
                <w:rFonts w:eastAsia="Calibri" w:cs="Times New Roman"/>
                <w:sz w:val="20"/>
                <w:szCs w:val="20"/>
                <w:lang w:eastAsia="ru-RU"/>
              </w:rPr>
              <w:t>Պատմության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և</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մշակույթի</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անշարժ</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հուշար</w:t>
            </w:r>
            <w:r w:rsidRPr="0053423A">
              <w:rPr>
                <w:rFonts w:eastAsia="Calibri" w:cs="Times New Roman"/>
                <w:sz w:val="20"/>
                <w:szCs w:val="20"/>
                <w:lang w:val="af-ZA" w:eastAsia="ru-RU"/>
              </w:rPr>
              <w:softHyphen/>
            </w:r>
            <w:r w:rsidRPr="0053423A">
              <w:rPr>
                <w:rFonts w:eastAsia="Calibri" w:cs="Times New Roman"/>
                <w:sz w:val="20"/>
                <w:szCs w:val="20"/>
                <w:lang w:eastAsia="ru-RU"/>
              </w:rPr>
              <w:t>ձան</w:t>
            </w:r>
            <w:r w:rsidRPr="0053423A">
              <w:rPr>
                <w:rFonts w:eastAsia="Calibri" w:cs="Times New Roman"/>
                <w:sz w:val="20"/>
                <w:szCs w:val="20"/>
                <w:lang w:val="af-ZA" w:eastAsia="ru-RU"/>
              </w:rPr>
              <w:softHyphen/>
            </w:r>
            <w:r w:rsidRPr="0053423A">
              <w:rPr>
                <w:rFonts w:eastAsia="Calibri" w:cs="Times New Roman"/>
                <w:sz w:val="20"/>
                <w:szCs w:val="20"/>
                <w:lang w:eastAsia="ru-RU"/>
              </w:rPr>
              <w:t>ների</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ու</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պատմական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միջավայրի</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պահ</w:t>
            </w:r>
            <w:r w:rsidRPr="0053423A">
              <w:rPr>
                <w:rFonts w:eastAsia="Calibri" w:cs="Times New Roman"/>
                <w:sz w:val="20"/>
                <w:szCs w:val="20"/>
                <w:lang w:val="af-ZA" w:eastAsia="ru-RU"/>
              </w:rPr>
              <w:softHyphen/>
            </w:r>
            <w:r w:rsidRPr="0053423A">
              <w:rPr>
                <w:rFonts w:eastAsia="Calibri" w:cs="Times New Roman"/>
                <w:sz w:val="20"/>
                <w:szCs w:val="20"/>
                <w:lang w:eastAsia="ru-RU"/>
              </w:rPr>
              <w:t>պա</w:t>
            </w:r>
            <w:r w:rsidRPr="0053423A">
              <w:rPr>
                <w:rFonts w:eastAsia="Calibri" w:cs="Times New Roman"/>
                <w:sz w:val="20"/>
                <w:szCs w:val="20"/>
                <w:lang w:val="af-ZA" w:eastAsia="ru-RU"/>
              </w:rPr>
              <w:softHyphen/>
            </w:r>
            <w:r w:rsidRPr="0053423A">
              <w:rPr>
                <w:rFonts w:eastAsia="Calibri" w:cs="Times New Roman"/>
                <w:sz w:val="20"/>
                <w:szCs w:val="20"/>
                <w:lang w:eastAsia="ru-RU"/>
              </w:rPr>
              <w:t>նության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և</w:t>
            </w:r>
            <w:r w:rsidRPr="0053423A">
              <w:rPr>
                <w:rFonts w:eastAsia="Calibri" w:cs="Times New Roman"/>
                <w:sz w:val="20"/>
                <w:szCs w:val="20"/>
                <w:lang w:val="af-ZA" w:eastAsia="ru-RU"/>
              </w:rPr>
              <w:t xml:space="preserve"> </w:t>
            </w:r>
            <w:r w:rsidRPr="0053423A">
              <w:rPr>
                <w:rFonts w:eastAsia="Calibri" w:cs="Times New Roman"/>
                <w:sz w:val="20"/>
                <w:szCs w:val="20"/>
                <w:lang w:eastAsia="ru-RU"/>
              </w:rPr>
              <w:t>օգտագործման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մասին</w:t>
            </w:r>
            <w:r w:rsidRPr="0053423A">
              <w:rPr>
                <w:rFonts w:eastAsia="Calibri" w:cs="Times New Roman"/>
                <w:sz w:val="20"/>
                <w:szCs w:val="20"/>
                <w:lang w:val="af-ZA" w:eastAsia="ru-RU"/>
              </w:rPr>
              <w:t>», «</w:t>
            </w:r>
            <w:r w:rsidRPr="0053423A">
              <w:rPr>
                <w:rFonts w:eastAsia="Calibri" w:cs="Times New Roman"/>
                <w:sz w:val="20"/>
                <w:szCs w:val="20"/>
                <w:lang w:eastAsia="ru-RU"/>
              </w:rPr>
              <w:t>Հայաստանի</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Հան</w:t>
            </w:r>
            <w:r w:rsidRPr="0053423A">
              <w:rPr>
                <w:rFonts w:eastAsia="Calibri" w:cs="Times New Roman"/>
                <w:sz w:val="20"/>
                <w:szCs w:val="20"/>
                <w:lang w:val="af-ZA" w:eastAsia="ru-RU"/>
              </w:rPr>
              <w:softHyphen/>
            </w:r>
            <w:r w:rsidRPr="0053423A">
              <w:rPr>
                <w:rFonts w:eastAsia="Calibri" w:cs="Times New Roman"/>
                <w:sz w:val="20"/>
                <w:szCs w:val="20"/>
                <w:lang w:eastAsia="ru-RU"/>
              </w:rPr>
              <w:t>րապե</w:t>
            </w:r>
            <w:r w:rsidRPr="0053423A">
              <w:rPr>
                <w:rFonts w:eastAsia="Calibri" w:cs="Times New Roman"/>
                <w:sz w:val="20"/>
                <w:szCs w:val="20"/>
                <w:lang w:val="af-ZA" w:eastAsia="ru-RU"/>
              </w:rPr>
              <w:softHyphen/>
            </w:r>
            <w:r w:rsidRPr="0053423A">
              <w:rPr>
                <w:rFonts w:eastAsia="Calibri" w:cs="Times New Roman"/>
                <w:sz w:val="20"/>
                <w:szCs w:val="20"/>
                <w:lang w:eastAsia="ru-RU"/>
              </w:rPr>
              <w:t>տության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պետական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սեփականու</w:t>
            </w:r>
            <w:r w:rsidRPr="0053423A">
              <w:rPr>
                <w:rFonts w:eastAsia="Calibri" w:cs="Times New Roman"/>
                <w:sz w:val="20"/>
                <w:szCs w:val="20"/>
                <w:lang w:val="af-ZA" w:eastAsia="ru-RU"/>
              </w:rPr>
              <w:softHyphen/>
            </w:r>
            <w:r w:rsidRPr="0053423A">
              <w:rPr>
                <w:rFonts w:eastAsia="Calibri" w:cs="Times New Roman"/>
                <w:sz w:val="20"/>
                <w:szCs w:val="20"/>
                <w:lang w:eastAsia="ru-RU"/>
              </w:rPr>
              <w:t>թյուն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համարվող</w:t>
            </w:r>
            <w:r w:rsidRPr="0053423A">
              <w:rPr>
                <w:rFonts w:eastAsia="Calibri" w:cs="Times New Roman"/>
                <w:sz w:val="20"/>
                <w:szCs w:val="20"/>
                <w:lang w:val="af-ZA" w:eastAsia="ru-RU"/>
              </w:rPr>
              <w:t xml:space="preserve"> </w:t>
            </w:r>
            <w:r w:rsidRPr="0053423A">
              <w:rPr>
                <w:rFonts w:eastAsia="Calibri" w:cs="Times New Roman"/>
                <w:sz w:val="20"/>
                <w:szCs w:val="20"/>
                <w:lang w:eastAsia="ru-RU"/>
              </w:rPr>
              <w:t>և</w:t>
            </w:r>
            <w:r w:rsidRPr="0053423A">
              <w:rPr>
                <w:rFonts w:eastAsia="Calibri" w:cs="Times New Roman"/>
                <w:sz w:val="20"/>
                <w:szCs w:val="20"/>
                <w:lang w:val="af-ZA" w:eastAsia="ru-RU"/>
              </w:rPr>
              <w:t xml:space="preserve"> </w:t>
            </w:r>
            <w:r w:rsidRPr="0053423A">
              <w:rPr>
                <w:rFonts w:eastAsia="Calibri" w:cs="Times New Roman"/>
                <w:sz w:val="20"/>
                <w:szCs w:val="20"/>
                <w:lang w:eastAsia="ru-RU"/>
              </w:rPr>
              <w:t>օտար</w:t>
            </w:r>
            <w:r w:rsidRPr="0053423A">
              <w:rPr>
                <w:rFonts w:eastAsia="Calibri" w:cs="Times New Roman"/>
                <w:sz w:val="20"/>
                <w:szCs w:val="20"/>
                <w:lang w:val="af-ZA" w:eastAsia="ru-RU"/>
              </w:rPr>
              <w:softHyphen/>
            </w:r>
            <w:r w:rsidRPr="0053423A">
              <w:rPr>
                <w:rFonts w:eastAsia="Calibri" w:cs="Times New Roman"/>
                <w:sz w:val="20"/>
                <w:szCs w:val="20"/>
                <w:lang w:eastAsia="ru-RU"/>
              </w:rPr>
              <w:t>ման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ոչ</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ենթակա</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պատմության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և</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մշակույթի</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անշարժ</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հուշարձանների</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մասին</w:t>
            </w:r>
            <w:r w:rsidRPr="0053423A">
              <w:rPr>
                <w:rFonts w:eastAsia="Calibri" w:cs="Times New Roman"/>
                <w:sz w:val="20"/>
                <w:szCs w:val="20"/>
                <w:lang w:val="af-ZA" w:eastAsia="ru-RU"/>
              </w:rPr>
              <w:t>», «</w:t>
            </w:r>
            <w:r w:rsidRPr="0053423A">
              <w:rPr>
                <w:rFonts w:eastAsia="Calibri" w:cs="Times New Roman"/>
                <w:sz w:val="20"/>
                <w:szCs w:val="20"/>
                <w:lang w:eastAsia="ru-RU"/>
              </w:rPr>
              <w:t>Արխի</w:t>
            </w:r>
            <w:r w:rsidRPr="0053423A">
              <w:rPr>
                <w:rFonts w:eastAsia="Calibri" w:cs="Times New Roman"/>
                <w:sz w:val="20"/>
                <w:szCs w:val="20"/>
                <w:lang w:val="af-ZA" w:eastAsia="ru-RU"/>
              </w:rPr>
              <w:softHyphen/>
            </w:r>
            <w:r w:rsidRPr="0053423A">
              <w:rPr>
                <w:rFonts w:eastAsia="Calibri" w:cs="Times New Roman"/>
                <w:sz w:val="20"/>
                <w:szCs w:val="20"/>
                <w:lang w:eastAsia="ru-RU"/>
              </w:rPr>
              <w:t>վային</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գործի</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մասին</w:t>
            </w:r>
            <w:r w:rsidRPr="0053423A">
              <w:rPr>
                <w:rFonts w:eastAsia="Calibri" w:cs="Times New Roman"/>
                <w:sz w:val="20"/>
                <w:szCs w:val="20"/>
                <w:lang w:val="af-ZA" w:eastAsia="ru-RU"/>
              </w:rPr>
              <w:t>», «</w:t>
            </w:r>
            <w:r w:rsidRPr="0053423A">
              <w:rPr>
                <w:rFonts w:eastAsia="Calibri" w:cs="Times New Roman"/>
                <w:sz w:val="20"/>
                <w:szCs w:val="20"/>
                <w:lang w:eastAsia="ru-RU"/>
              </w:rPr>
              <w:t>Փաստաթղթերի</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վավե</w:t>
            </w:r>
            <w:r w:rsidRPr="0053423A">
              <w:rPr>
                <w:rFonts w:eastAsia="Calibri" w:cs="Times New Roman"/>
                <w:sz w:val="20"/>
                <w:szCs w:val="20"/>
                <w:lang w:val="af-ZA" w:eastAsia="ru-RU"/>
              </w:rPr>
              <w:softHyphen/>
            </w:r>
            <w:r w:rsidRPr="0053423A">
              <w:rPr>
                <w:rFonts w:eastAsia="Calibri" w:cs="Times New Roman"/>
                <w:sz w:val="20"/>
                <w:szCs w:val="20"/>
                <w:lang w:eastAsia="ru-RU"/>
              </w:rPr>
              <w:t>րագրերի</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պարտադիր</w:t>
            </w:r>
            <w:r w:rsidRPr="0053423A">
              <w:rPr>
                <w:rFonts w:eastAsia="Calibri" w:cs="Times New Roman"/>
                <w:sz w:val="20"/>
                <w:szCs w:val="20"/>
                <w:lang w:val="af-ZA" w:eastAsia="ru-RU"/>
              </w:rPr>
              <w:t xml:space="preserve"> </w:t>
            </w:r>
            <w:r w:rsidRPr="0053423A">
              <w:rPr>
                <w:rFonts w:eastAsia="Calibri" w:cs="Times New Roman"/>
                <w:sz w:val="20"/>
                <w:szCs w:val="20"/>
                <w:lang w:eastAsia="ru-RU"/>
              </w:rPr>
              <w:t>օրինակի</w:t>
            </w:r>
            <w:r w:rsidRPr="0053423A">
              <w:rPr>
                <w:rFonts w:eastAsia="Calibri" w:cs="Times New Roman"/>
                <w:sz w:val="20"/>
                <w:szCs w:val="20"/>
                <w:lang w:val="af-ZA" w:eastAsia="ru-RU"/>
              </w:rPr>
              <w:t xml:space="preserve"> </w:t>
            </w:r>
            <w:r w:rsidRPr="0053423A">
              <w:rPr>
                <w:rFonts w:eastAsia="Calibri" w:cs="Times New Roman"/>
                <w:sz w:val="20"/>
                <w:szCs w:val="20"/>
                <w:lang w:eastAsia="ru-RU"/>
              </w:rPr>
              <w:t>մասին</w:t>
            </w:r>
            <w:r w:rsidRPr="0053423A">
              <w:rPr>
                <w:rFonts w:eastAsia="Calibri" w:cs="Times New Roman"/>
                <w:sz w:val="20"/>
                <w:szCs w:val="20"/>
                <w:lang w:val="af-ZA" w:eastAsia="ru-RU"/>
              </w:rPr>
              <w:t xml:space="preserve">», </w:t>
            </w:r>
            <w:r w:rsidRPr="0053423A">
              <w:rPr>
                <w:rFonts w:eastAsia="Calibri" w:cs="Sylfaen"/>
                <w:iCs/>
                <w:sz w:val="20"/>
                <w:szCs w:val="20"/>
                <w:lang w:val="af-ZA"/>
              </w:rPr>
              <w:t>«Գրադարանների և գրադարանային գործի մասին» ՀՀ օրենքներով</w:t>
            </w:r>
            <w:r w:rsidRPr="0053423A">
              <w:rPr>
                <w:rFonts w:eastAsia="Calibri" w:cs="Times Armenian"/>
                <w:iCs/>
                <w:sz w:val="20"/>
                <w:szCs w:val="20"/>
                <w:lang w:val="af-ZA"/>
              </w:rPr>
              <w:t>:</w:t>
            </w:r>
            <w:r w:rsidRPr="0053423A">
              <w:rPr>
                <w:rFonts w:eastAsia="Calibri" w:cs="Times Armenian"/>
                <w:iCs/>
                <w:sz w:val="20"/>
                <w:szCs w:val="20"/>
                <w:lang w:val="ru-RU"/>
              </w:rPr>
              <w:t xml:space="preserve"> </w:t>
            </w:r>
          </w:p>
          <w:p w:rsidR="00A67B6B" w:rsidRPr="0053423A" w:rsidRDefault="00A67B6B" w:rsidP="00A67858">
            <w:pPr>
              <w:widowControl w:val="0"/>
              <w:spacing w:after="0" w:line="276" w:lineRule="auto"/>
              <w:ind w:firstLine="601"/>
              <w:jc w:val="both"/>
              <w:rPr>
                <w:rFonts w:eastAsia="Calibri" w:cs="Times New Roman"/>
                <w:sz w:val="20"/>
                <w:szCs w:val="20"/>
                <w:lang w:val="ru-RU" w:eastAsia="ru-RU"/>
              </w:rPr>
            </w:pPr>
            <w:r w:rsidRPr="0053423A">
              <w:rPr>
                <w:rFonts w:eastAsia="Calibri" w:cs="Times New Roman"/>
                <w:sz w:val="20"/>
                <w:szCs w:val="20"/>
                <w:lang w:eastAsia="ru-RU"/>
              </w:rPr>
              <w:t>Մշակույթի</w:t>
            </w:r>
            <w:r w:rsidRPr="0053423A">
              <w:rPr>
                <w:rFonts w:eastAsia="Calibri" w:cs="Times New Roman"/>
                <w:sz w:val="20"/>
                <w:szCs w:val="20"/>
                <w:lang w:val="ru-RU" w:eastAsia="ru-RU"/>
              </w:rPr>
              <w:t xml:space="preserve"> </w:t>
            </w:r>
            <w:r w:rsidRPr="0053423A">
              <w:rPr>
                <w:rFonts w:eastAsia="Calibri" w:cs="Times New Roman"/>
                <w:sz w:val="20"/>
                <w:szCs w:val="20"/>
                <w:lang w:eastAsia="ru-RU"/>
              </w:rPr>
              <w:t>ոլորտի</w:t>
            </w:r>
            <w:r w:rsidRPr="0053423A">
              <w:rPr>
                <w:rFonts w:eastAsia="Calibri" w:cs="Times New Roman"/>
                <w:sz w:val="20"/>
                <w:szCs w:val="20"/>
                <w:lang w:val="ru-RU" w:eastAsia="ru-RU"/>
              </w:rPr>
              <w:t xml:space="preserve"> </w:t>
            </w:r>
            <w:r w:rsidRPr="0053423A">
              <w:rPr>
                <w:rFonts w:eastAsia="Calibri" w:cs="Times New Roman"/>
                <w:sz w:val="20"/>
                <w:szCs w:val="20"/>
                <w:lang w:eastAsia="ru-RU"/>
              </w:rPr>
              <w:t>խնդիրներն</w:t>
            </w:r>
            <w:r w:rsidRPr="0053423A">
              <w:rPr>
                <w:rFonts w:eastAsia="Calibri" w:cs="Times New Roman"/>
                <w:sz w:val="20"/>
                <w:szCs w:val="20"/>
                <w:lang w:val="ru-RU" w:eastAsia="ru-RU"/>
              </w:rPr>
              <w:t xml:space="preserve"> </w:t>
            </w:r>
            <w:r w:rsidRPr="0053423A">
              <w:rPr>
                <w:rFonts w:eastAsia="Calibri" w:cs="Times New Roman"/>
                <w:sz w:val="20"/>
                <w:szCs w:val="20"/>
                <w:lang w:eastAsia="ru-RU"/>
              </w:rPr>
              <w:t>են</w:t>
            </w:r>
            <w:r w:rsidRPr="0053423A">
              <w:rPr>
                <w:rFonts w:eastAsia="Calibri" w:cs="Times New Roman"/>
                <w:sz w:val="20"/>
                <w:szCs w:val="20"/>
                <w:lang w:val="ru-RU" w:eastAsia="ru-RU"/>
              </w:rPr>
              <w:t>.</w:t>
            </w:r>
          </w:p>
          <w:p w:rsidR="00A67B6B" w:rsidRPr="0053423A" w:rsidRDefault="00A67B6B" w:rsidP="00A67858">
            <w:pPr>
              <w:shd w:val="clear" w:color="auto" w:fill="FFFFFF"/>
              <w:spacing w:after="0" w:line="276" w:lineRule="auto"/>
              <w:ind w:right="150" w:firstLine="450"/>
              <w:jc w:val="both"/>
              <w:rPr>
                <w:rFonts w:eastAsia="Times New Roman" w:cs="Times New Roman"/>
                <w:sz w:val="20"/>
                <w:szCs w:val="20"/>
                <w:lang w:val="ru-RU"/>
              </w:rPr>
            </w:pPr>
            <w:r w:rsidRPr="0053423A">
              <w:rPr>
                <w:rFonts w:eastAsia="Times New Roman" w:cs="Times New Roman"/>
                <w:sz w:val="20"/>
                <w:szCs w:val="20"/>
                <w:lang w:val="ru-RU" w:eastAsia="ru-RU"/>
              </w:rPr>
              <w:t>- մ</w:t>
            </w:r>
            <w:r w:rsidRPr="0053423A">
              <w:rPr>
                <w:rFonts w:eastAsia="Times New Roman" w:cs="Times New Roman"/>
                <w:sz w:val="20"/>
                <w:szCs w:val="20"/>
                <w:lang w:val="ru-RU"/>
              </w:rPr>
              <w:t xml:space="preserve">շակույթի ոլորտի իրավական դաշտի կատարելագործումը, </w:t>
            </w:r>
          </w:p>
          <w:p w:rsidR="00A67B6B" w:rsidRPr="0053423A" w:rsidRDefault="00A67B6B" w:rsidP="00A67858">
            <w:pPr>
              <w:shd w:val="clear" w:color="auto" w:fill="FFFFFF"/>
              <w:spacing w:after="0" w:line="276" w:lineRule="auto"/>
              <w:ind w:right="150" w:firstLine="450"/>
              <w:jc w:val="both"/>
              <w:rPr>
                <w:rFonts w:eastAsia="Times New Roman" w:cs="Times New Roman"/>
                <w:sz w:val="20"/>
                <w:szCs w:val="20"/>
                <w:lang w:val="ru-RU" w:eastAsia="ru-RU"/>
              </w:rPr>
            </w:pP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թանգարանային</w:t>
            </w:r>
            <w:r w:rsidRPr="0053423A">
              <w:rPr>
                <w:rFonts w:eastAsia="Times New Roman" w:cs="Times New Roman"/>
                <w:sz w:val="20"/>
                <w:szCs w:val="20"/>
                <w:lang w:val="ru-RU" w:eastAsia="ru-RU"/>
              </w:rPr>
              <w:t xml:space="preserve"> և </w:t>
            </w:r>
            <w:r w:rsidRPr="0053423A">
              <w:rPr>
                <w:rFonts w:eastAsia="Times New Roman" w:cs="Times New Roman"/>
                <w:sz w:val="20"/>
                <w:szCs w:val="20"/>
                <w:lang w:eastAsia="ru-RU"/>
              </w:rPr>
              <w:t>գրադարանային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հավաքածուների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պահպանվածության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ապահովումը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համալր</w:t>
            </w:r>
            <w:r w:rsidRPr="0053423A">
              <w:rPr>
                <w:rFonts w:eastAsia="Times New Roman" w:cs="Times New Roman"/>
                <w:sz w:val="20"/>
                <w:szCs w:val="20"/>
                <w:lang w:val="ru-RU" w:eastAsia="ru-RU"/>
              </w:rPr>
              <w:t xml:space="preserve">ումը, </w:t>
            </w:r>
            <w:r w:rsidRPr="0053423A">
              <w:rPr>
                <w:rFonts w:eastAsia="Times New Roman" w:cs="Times New Roman"/>
                <w:sz w:val="20"/>
                <w:szCs w:val="20"/>
                <w:lang w:eastAsia="ru-RU"/>
              </w:rPr>
              <w:t>անվտանգության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համակարգերի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ստեղծումը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ժամանակակից</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տեխնոլոգիական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և</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տեխնիկական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միջոցների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օգտագործմամբ</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թանգարանային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ժամանակակից</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ցուցադրությունների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կազմակերպումը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հանրահռչակման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և</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պետական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հաշվառման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համակարգում</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ժամանակակից</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տեղեկատվական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տեխնոլոգիաների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ներդրումը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գրադարանային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տեղեկատվական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համակարգի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կատարելագործումը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մշակութային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արժեքների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վերականգնողական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աշխատանքներ</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իրականացնող</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կադրերի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պատրաստումն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ու</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վերապատրաստումը</w:t>
            </w:r>
            <w:r w:rsidRPr="0053423A">
              <w:rPr>
                <w:rFonts w:eastAsia="Times New Roman" w:cs="Times New Roman"/>
                <w:sz w:val="20"/>
                <w:szCs w:val="20"/>
                <w:lang w:val="ru-RU" w:eastAsia="ru-RU"/>
              </w:rPr>
              <w:t xml:space="preserve">, </w:t>
            </w:r>
          </w:p>
          <w:p w:rsidR="00A67B6B" w:rsidRPr="0053423A" w:rsidRDefault="00A67B6B" w:rsidP="00A67858">
            <w:pPr>
              <w:shd w:val="clear" w:color="auto" w:fill="FFFFFF"/>
              <w:spacing w:after="0" w:line="276" w:lineRule="auto"/>
              <w:ind w:right="150" w:firstLine="450"/>
              <w:jc w:val="both"/>
              <w:rPr>
                <w:rFonts w:eastAsia="Times New Roman" w:cs="Times New Roman"/>
                <w:sz w:val="20"/>
                <w:szCs w:val="20"/>
                <w:lang w:val="ru-RU" w:eastAsia="ru-RU"/>
              </w:rPr>
            </w:pP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պատմամշակութային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անշարժ</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հուշարձանների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պետական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հաշվառումը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պահպանական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գոտիների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նախագծերի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կազմումը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և</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հուշարձանների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պետական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կադաստրի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վարումը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ուսումնասիրումը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վկայագրումը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պետական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ցուցակների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կազմումը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և</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տեղեկատվական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բազայի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ստեղծումը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զբոսաշրջության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երթուղիներում</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ընդգրկված</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հուշարձանների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բարեկարգումը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այցելուների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սպասարկման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կազմակերպումը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համապատասխան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ուղեցույցների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և</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տեղեկատու</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վահանակների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ապահովումը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պատմամշակութային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և</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բնապատմական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արգելոցների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արգելոցների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թանգարանների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ֆոնդերի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համալրումը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հուշարձանների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հետազոտման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ամրակայման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և</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վերականգնման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ծրագրի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մշակումը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միջազգային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դրամաշնորհների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և</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հովանավորչական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ու</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նվիրատվական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ֆինանսավորմամբ</w:t>
            </w:r>
            <w:r w:rsidRPr="0053423A">
              <w:rPr>
                <w:rFonts w:eastAsia="Times New Roman" w:cs="Times New Roman"/>
                <w:sz w:val="20"/>
                <w:szCs w:val="20"/>
                <w:lang w:val="ru-RU" w:eastAsia="ru-RU"/>
              </w:rPr>
              <w:t xml:space="preserve">, </w:t>
            </w:r>
          </w:p>
          <w:p w:rsidR="00A67B6B" w:rsidRPr="0053423A" w:rsidRDefault="00A67B6B" w:rsidP="00A67858">
            <w:pPr>
              <w:shd w:val="clear" w:color="auto" w:fill="FFFFFF"/>
              <w:spacing w:after="0" w:line="276" w:lineRule="auto"/>
              <w:ind w:right="150" w:firstLine="450"/>
              <w:jc w:val="both"/>
              <w:rPr>
                <w:rFonts w:eastAsia="Times New Roman" w:cs="Times New Roman"/>
                <w:sz w:val="20"/>
                <w:szCs w:val="20"/>
                <w:lang w:val="ru-RU" w:eastAsia="ru-RU"/>
              </w:rPr>
            </w:pP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թատրոնների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երաժշտական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համույթների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համերգային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կազմակերպությունների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գործունեության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ապահովում</w:t>
            </w:r>
            <w:r w:rsidRPr="0053423A">
              <w:rPr>
                <w:rFonts w:eastAsia="Times New Roman" w:cs="Times New Roman"/>
                <w:sz w:val="20"/>
                <w:szCs w:val="20"/>
                <w:lang w:val="ru-RU" w:eastAsia="ru-RU"/>
              </w:rPr>
              <w:t xml:space="preserve">ը, </w:t>
            </w:r>
            <w:r w:rsidRPr="0053423A">
              <w:rPr>
                <w:rFonts w:eastAsia="Times New Roman" w:cs="Times New Roman"/>
                <w:sz w:val="20"/>
                <w:szCs w:val="20"/>
                <w:lang w:eastAsia="ru-RU"/>
              </w:rPr>
              <w:t>թատերարվեստի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և</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երաժշտարվեստի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զարգացման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խթանում</w:t>
            </w:r>
            <w:r w:rsidRPr="0053423A">
              <w:rPr>
                <w:rFonts w:eastAsia="Times New Roman" w:cs="Times New Roman"/>
                <w:sz w:val="20"/>
                <w:szCs w:val="20"/>
                <w:lang w:val="ru-RU" w:eastAsia="ru-RU"/>
              </w:rPr>
              <w:t xml:space="preserve">ը, </w:t>
            </w:r>
            <w:r w:rsidRPr="0053423A">
              <w:rPr>
                <w:rFonts w:eastAsia="Times New Roman" w:cs="Times New Roman"/>
                <w:sz w:val="20"/>
                <w:szCs w:val="20"/>
                <w:lang w:eastAsia="ru-RU"/>
              </w:rPr>
              <w:t>ազատ</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ժամանցի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կազմակերպում</w:t>
            </w:r>
            <w:r w:rsidRPr="0053423A">
              <w:rPr>
                <w:rFonts w:eastAsia="Times New Roman" w:cs="Times New Roman"/>
                <w:sz w:val="20"/>
                <w:szCs w:val="20"/>
                <w:lang w:val="ru-RU" w:eastAsia="ru-RU"/>
              </w:rPr>
              <w:t xml:space="preserve">ը, </w:t>
            </w:r>
            <w:r w:rsidRPr="0053423A">
              <w:rPr>
                <w:rFonts w:eastAsia="Times New Roman" w:cs="Times New Roman"/>
                <w:sz w:val="20"/>
                <w:szCs w:val="20"/>
                <w:lang w:eastAsia="ru-RU"/>
              </w:rPr>
              <w:t>պետական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ոչ</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առևտրային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կազմակերպությունների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գործունեության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ապահովումը</w:t>
            </w:r>
            <w:r w:rsidRPr="0053423A">
              <w:rPr>
                <w:rFonts w:eastAsia="Times New Roman" w:cs="Times New Roman"/>
                <w:sz w:val="20"/>
                <w:szCs w:val="20"/>
                <w:lang w:val="ru-RU" w:eastAsia="ru-RU"/>
              </w:rPr>
              <w:t>,</w:t>
            </w:r>
            <w:r w:rsidRPr="0053423A">
              <w:rPr>
                <w:rFonts w:ascii="Calibri" w:eastAsia="Times New Roman" w:hAnsi="Calibri" w:cs="Calibri"/>
                <w:sz w:val="20"/>
                <w:szCs w:val="20"/>
                <w:lang w:eastAsia="ru-RU"/>
              </w:rPr>
              <w:t> </w:t>
            </w:r>
          </w:p>
          <w:p w:rsidR="00A67B6B" w:rsidRPr="0053423A" w:rsidRDefault="00A67B6B" w:rsidP="00A67858">
            <w:pPr>
              <w:shd w:val="clear" w:color="auto" w:fill="FFFFFF"/>
              <w:spacing w:after="0" w:line="276" w:lineRule="auto"/>
              <w:ind w:right="150" w:firstLine="450"/>
              <w:jc w:val="both"/>
              <w:rPr>
                <w:rFonts w:eastAsia="Times New Roman" w:cs="Times New Roman"/>
                <w:sz w:val="20"/>
                <w:szCs w:val="20"/>
                <w:lang w:val="ru-RU" w:eastAsia="ru-RU"/>
              </w:rPr>
            </w:pP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կինոարվեստի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զարգացման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համար</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պայմանների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ստեղծումը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այդ</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թվում</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խաղարկային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մուլտիպլիկացիոն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վավերագրական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կինոնկարների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արտադրությունը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կինոշուկաներին</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մասնակցությունը</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կինո</w:t>
            </w:r>
            <w:r w:rsidRPr="0053423A">
              <w:rPr>
                <w:rFonts w:eastAsia="Times New Roman" w:cs="Times New Roman"/>
                <w:sz w:val="20"/>
                <w:szCs w:val="20"/>
                <w:lang w:val="ru-RU" w:eastAsia="ru-RU"/>
              </w:rPr>
              <w:t>-</w:t>
            </w:r>
            <w:r w:rsidRPr="0053423A">
              <w:rPr>
                <w:rFonts w:eastAsia="Times New Roman" w:cs="Times New Roman"/>
                <w:sz w:val="20"/>
                <w:szCs w:val="20"/>
                <w:lang w:eastAsia="ru-RU"/>
              </w:rPr>
              <w:t>ֆոտո</w:t>
            </w:r>
            <w:r w:rsidRPr="0053423A">
              <w:rPr>
                <w:rFonts w:eastAsia="Times New Roman" w:cs="Times New Roman"/>
                <w:sz w:val="20"/>
                <w:szCs w:val="20"/>
                <w:lang w:val="ru-RU" w:eastAsia="ru-RU"/>
              </w:rPr>
              <w:t>-</w:t>
            </w:r>
            <w:r w:rsidRPr="0053423A">
              <w:rPr>
                <w:rFonts w:eastAsia="Times New Roman" w:cs="Times New Roman"/>
                <w:sz w:val="20"/>
                <w:szCs w:val="20"/>
                <w:lang w:eastAsia="ru-RU"/>
              </w:rPr>
              <w:t>ֆոնո</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հավաքածուի</w:t>
            </w:r>
            <w:r w:rsidRPr="0053423A">
              <w:rPr>
                <w:rFonts w:eastAsia="Times New Roman" w:cs="Times New Roman"/>
                <w:sz w:val="20"/>
                <w:szCs w:val="20"/>
                <w:lang w:val="ru-RU" w:eastAsia="ru-RU"/>
              </w:rPr>
              <w:t xml:space="preserve"> </w:t>
            </w:r>
            <w:r w:rsidRPr="0053423A">
              <w:rPr>
                <w:rFonts w:eastAsia="Times New Roman" w:cs="Times New Roman"/>
                <w:sz w:val="20"/>
                <w:szCs w:val="20"/>
                <w:lang w:eastAsia="ru-RU"/>
              </w:rPr>
              <w:t>պահպանումը</w:t>
            </w:r>
            <w:r w:rsidRPr="0053423A">
              <w:rPr>
                <w:rFonts w:eastAsia="Times New Roman" w:cs="Times New Roman"/>
                <w:sz w:val="20"/>
                <w:szCs w:val="20"/>
                <w:lang w:val="ru-RU" w:eastAsia="ru-RU"/>
              </w:rPr>
              <w:t>:</w:t>
            </w:r>
          </w:p>
          <w:p w:rsidR="00A67B6B" w:rsidRPr="0053423A" w:rsidRDefault="00A67B6B" w:rsidP="00A67858">
            <w:pPr>
              <w:widowControl w:val="0"/>
              <w:spacing w:after="0" w:line="276" w:lineRule="auto"/>
              <w:jc w:val="both"/>
              <w:rPr>
                <w:rFonts w:eastAsia="Calibri" w:cs="Times New Roman"/>
                <w:sz w:val="20"/>
                <w:szCs w:val="20"/>
                <w:lang w:val="ru-RU" w:eastAsia="ru-RU"/>
              </w:rPr>
            </w:pPr>
            <w:r w:rsidRPr="0053423A">
              <w:rPr>
                <w:rFonts w:eastAsia="Calibri" w:cs="Times New Roman"/>
                <w:sz w:val="20"/>
                <w:szCs w:val="20"/>
                <w:lang w:val="ru-RU" w:eastAsia="ru-RU"/>
              </w:rPr>
              <w:t xml:space="preserve">      - ոլորտի </w:t>
            </w:r>
            <w:r w:rsidRPr="0053423A">
              <w:rPr>
                <w:rFonts w:eastAsia="Calibri" w:cs="Times New Roman"/>
                <w:sz w:val="20"/>
                <w:szCs w:val="20"/>
                <w:lang w:eastAsia="ru-RU"/>
              </w:rPr>
              <w:t>զարգացմանը</w:t>
            </w:r>
            <w:r w:rsidRPr="0053423A">
              <w:rPr>
                <w:rFonts w:eastAsia="Calibri" w:cs="Times New Roman"/>
                <w:sz w:val="20"/>
                <w:szCs w:val="20"/>
                <w:lang w:val="ru-RU" w:eastAsia="ru-RU"/>
              </w:rPr>
              <w:t xml:space="preserve"> </w:t>
            </w:r>
            <w:r w:rsidRPr="0053423A">
              <w:rPr>
                <w:rFonts w:eastAsia="Calibri" w:cs="Times New Roman"/>
                <w:sz w:val="20"/>
                <w:szCs w:val="20"/>
                <w:lang w:eastAsia="ru-RU"/>
              </w:rPr>
              <w:t>նպաստող</w:t>
            </w:r>
            <w:r w:rsidRPr="0053423A">
              <w:rPr>
                <w:rFonts w:eastAsia="Calibri" w:cs="Times New Roman"/>
                <w:sz w:val="20"/>
                <w:szCs w:val="20"/>
                <w:lang w:val="ru-RU" w:eastAsia="ru-RU"/>
              </w:rPr>
              <w:t xml:space="preserve"> </w:t>
            </w:r>
            <w:r w:rsidRPr="0053423A">
              <w:rPr>
                <w:rFonts w:eastAsia="Calibri" w:cs="Times New Roman"/>
                <w:sz w:val="20"/>
                <w:szCs w:val="20"/>
                <w:lang w:eastAsia="ru-RU"/>
              </w:rPr>
              <w:t>տարածաշրջանային</w:t>
            </w:r>
            <w:r w:rsidRPr="0053423A">
              <w:rPr>
                <w:rFonts w:eastAsia="Calibri" w:cs="Times New Roman"/>
                <w:sz w:val="20"/>
                <w:szCs w:val="20"/>
                <w:lang w:val="ru-RU" w:eastAsia="ru-RU"/>
              </w:rPr>
              <w:t xml:space="preserve">, </w:t>
            </w:r>
            <w:r w:rsidRPr="0053423A">
              <w:rPr>
                <w:rFonts w:eastAsia="Calibri" w:cs="Times New Roman"/>
                <w:sz w:val="20"/>
                <w:szCs w:val="20"/>
                <w:lang w:eastAsia="ru-RU"/>
              </w:rPr>
              <w:t>միջազգային</w:t>
            </w:r>
            <w:r w:rsidRPr="0053423A">
              <w:rPr>
                <w:rFonts w:eastAsia="Calibri" w:cs="Times New Roman"/>
                <w:sz w:val="20"/>
                <w:szCs w:val="20"/>
                <w:lang w:val="ru-RU" w:eastAsia="ru-RU"/>
              </w:rPr>
              <w:t xml:space="preserve"> </w:t>
            </w:r>
            <w:r w:rsidRPr="0053423A">
              <w:rPr>
                <w:rFonts w:eastAsia="Calibri" w:cs="Times New Roman"/>
                <w:sz w:val="20"/>
                <w:szCs w:val="20"/>
                <w:lang w:eastAsia="ru-RU"/>
              </w:rPr>
              <w:t>ծրագրերին</w:t>
            </w:r>
            <w:r w:rsidRPr="0053423A">
              <w:rPr>
                <w:rFonts w:eastAsia="Calibri" w:cs="Times New Roman"/>
                <w:sz w:val="20"/>
                <w:szCs w:val="20"/>
                <w:lang w:val="ru-RU" w:eastAsia="ru-RU"/>
              </w:rPr>
              <w:t xml:space="preserve"> </w:t>
            </w:r>
            <w:r w:rsidRPr="0053423A">
              <w:rPr>
                <w:rFonts w:eastAsia="Calibri" w:cs="Times New Roman"/>
                <w:sz w:val="20"/>
                <w:szCs w:val="20"/>
                <w:lang w:eastAsia="ru-RU"/>
              </w:rPr>
              <w:t>մասնակցությունը</w:t>
            </w:r>
            <w:r w:rsidRPr="0053423A">
              <w:rPr>
                <w:rFonts w:eastAsia="Calibri" w:cs="Times New Roman"/>
                <w:sz w:val="20"/>
                <w:szCs w:val="20"/>
                <w:lang w:val="ru-RU" w:eastAsia="ru-RU"/>
              </w:rPr>
              <w:t xml:space="preserve"> </w:t>
            </w:r>
            <w:r w:rsidRPr="0053423A">
              <w:rPr>
                <w:rFonts w:eastAsia="Calibri" w:cs="Times New Roman"/>
                <w:sz w:val="20"/>
                <w:szCs w:val="20"/>
                <w:lang w:eastAsia="ru-RU"/>
              </w:rPr>
              <w:t>և</w:t>
            </w:r>
            <w:r w:rsidRPr="0053423A">
              <w:rPr>
                <w:rFonts w:eastAsia="Calibri" w:cs="Times New Roman"/>
                <w:sz w:val="20"/>
                <w:szCs w:val="20"/>
                <w:lang w:val="ru-RU" w:eastAsia="ru-RU"/>
              </w:rPr>
              <w:t xml:space="preserve"> </w:t>
            </w:r>
            <w:r w:rsidRPr="0053423A">
              <w:rPr>
                <w:rFonts w:eastAsia="Calibri" w:cs="Times New Roman"/>
                <w:sz w:val="20"/>
                <w:szCs w:val="20"/>
                <w:lang w:eastAsia="ru-RU"/>
              </w:rPr>
              <w:t>համագործակցության</w:t>
            </w:r>
            <w:r w:rsidRPr="0053423A">
              <w:rPr>
                <w:rFonts w:eastAsia="Calibri" w:cs="Times New Roman"/>
                <w:sz w:val="20"/>
                <w:szCs w:val="20"/>
                <w:lang w:val="ru-RU" w:eastAsia="ru-RU"/>
              </w:rPr>
              <w:t xml:space="preserve"> ընդլայնում</w:t>
            </w:r>
            <w:r w:rsidRPr="0053423A">
              <w:rPr>
                <w:rFonts w:eastAsia="Calibri" w:cs="Times New Roman"/>
                <w:sz w:val="20"/>
                <w:szCs w:val="20"/>
                <w:lang w:eastAsia="ru-RU"/>
              </w:rPr>
              <w:t>ը</w:t>
            </w:r>
            <w:r w:rsidRPr="0053423A">
              <w:rPr>
                <w:rFonts w:eastAsia="Calibri" w:cs="Times New Roman"/>
                <w:sz w:val="20"/>
                <w:szCs w:val="20"/>
                <w:lang w:val="ru-RU" w:eastAsia="ru-RU"/>
              </w:rPr>
              <w:t>:</w:t>
            </w:r>
          </w:p>
          <w:p w:rsidR="00A67B6B" w:rsidRPr="0053423A" w:rsidRDefault="00A67B6B" w:rsidP="00A67858">
            <w:pPr>
              <w:widowControl w:val="0"/>
              <w:spacing w:after="0" w:line="276" w:lineRule="auto"/>
              <w:jc w:val="both"/>
              <w:rPr>
                <w:rFonts w:eastAsia="Calibri" w:cs="Times New Roman"/>
                <w:iCs/>
                <w:sz w:val="20"/>
                <w:szCs w:val="20"/>
                <w:lang w:val="ru-RU"/>
              </w:rPr>
            </w:pPr>
          </w:p>
          <w:p w:rsidR="00A67B6B" w:rsidRPr="0053423A" w:rsidRDefault="00A67B6B" w:rsidP="001F6D5D">
            <w:pPr>
              <w:numPr>
                <w:ilvl w:val="1"/>
                <w:numId w:val="244"/>
              </w:numPr>
              <w:tabs>
                <w:tab w:val="left" w:pos="508"/>
              </w:tabs>
              <w:spacing w:after="0" w:line="276" w:lineRule="auto"/>
              <w:contextualSpacing/>
              <w:rPr>
                <w:rFonts w:eastAsia="Calibri" w:cs="Times New Roman"/>
                <w:b/>
                <w:sz w:val="20"/>
                <w:szCs w:val="20"/>
              </w:rPr>
            </w:pPr>
            <w:r w:rsidRPr="0053423A">
              <w:rPr>
                <w:rFonts w:eastAsia="Calibri" w:cs="Times New Roman"/>
                <w:b/>
                <w:sz w:val="20"/>
                <w:szCs w:val="20"/>
              </w:rPr>
              <w:t>Առկա խնդիրների առաջարկվող լուծումները</w:t>
            </w:r>
          </w:p>
          <w:p w:rsidR="00A67B6B" w:rsidRPr="0053423A" w:rsidRDefault="00A67B6B" w:rsidP="00A67858">
            <w:pPr>
              <w:tabs>
                <w:tab w:val="left" w:pos="508"/>
              </w:tabs>
              <w:spacing w:after="0" w:line="276" w:lineRule="auto"/>
              <w:contextualSpacing/>
              <w:jc w:val="both"/>
              <w:rPr>
                <w:rFonts w:eastAsia="Calibri" w:cs="Sylfaen"/>
                <w:sz w:val="20"/>
                <w:szCs w:val="20"/>
                <w:lang w:val="hy-AM"/>
              </w:rPr>
            </w:pPr>
            <w:r w:rsidRPr="0053423A">
              <w:rPr>
                <w:rFonts w:eastAsia="Calibri" w:cs="Sylfaen"/>
                <w:sz w:val="20"/>
                <w:szCs w:val="20"/>
                <w:lang w:val="hy-AM"/>
              </w:rPr>
              <w:t xml:space="preserve">Ոլորտում առկա խնդիրների լուծման կարևոր մեխանիզմը օրենսդրական դաշտի կարգավորումն է, </w:t>
            </w:r>
            <w:r w:rsidRPr="0053423A">
              <w:rPr>
                <w:rFonts w:eastAsia="Times New Roman" w:cs="Times New Roman"/>
                <w:sz w:val="20"/>
                <w:szCs w:val="20"/>
                <w:lang w:val="ru-RU"/>
              </w:rPr>
              <w:t>կառավարման</w:t>
            </w:r>
            <w:r w:rsidRPr="0053423A">
              <w:rPr>
                <w:rFonts w:eastAsia="Times New Roman" w:cs="Times New Roman"/>
                <w:sz w:val="20"/>
                <w:szCs w:val="20"/>
              </w:rPr>
              <w:t xml:space="preserve"> </w:t>
            </w:r>
            <w:r w:rsidRPr="0053423A">
              <w:rPr>
                <w:rFonts w:eastAsia="Times New Roman" w:cs="Times New Roman"/>
                <w:sz w:val="20"/>
                <w:szCs w:val="20"/>
                <w:lang w:val="ru-RU"/>
              </w:rPr>
              <w:t>ժամանակակից</w:t>
            </w:r>
            <w:r w:rsidRPr="0053423A">
              <w:rPr>
                <w:rFonts w:eastAsia="Times New Roman" w:cs="Times New Roman"/>
                <w:sz w:val="20"/>
                <w:szCs w:val="20"/>
              </w:rPr>
              <w:t xml:space="preserve"> </w:t>
            </w:r>
            <w:r w:rsidRPr="0053423A">
              <w:rPr>
                <w:rFonts w:eastAsia="Times New Roman" w:cs="Times New Roman"/>
                <w:sz w:val="20"/>
                <w:szCs w:val="20"/>
                <w:lang w:val="ru-RU"/>
              </w:rPr>
              <w:t>համակարգերի</w:t>
            </w:r>
            <w:r w:rsidRPr="0053423A">
              <w:rPr>
                <w:rFonts w:eastAsia="Times New Roman" w:cs="Times New Roman"/>
                <w:sz w:val="20"/>
                <w:szCs w:val="20"/>
              </w:rPr>
              <w:t xml:space="preserve"> </w:t>
            </w:r>
            <w:r w:rsidRPr="0053423A">
              <w:rPr>
                <w:rFonts w:eastAsia="Times New Roman" w:cs="Times New Roman"/>
                <w:sz w:val="20"/>
                <w:szCs w:val="20"/>
                <w:lang w:val="ru-RU"/>
              </w:rPr>
              <w:t>ներդրումը</w:t>
            </w:r>
            <w:r w:rsidRPr="0053423A">
              <w:rPr>
                <w:rFonts w:eastAsia="Times New Roman" w:cs="Times New Roman"/>
                <w:sz w:val="20"/>
                <w:szCs w:val="20"/>
              </w:rPr>
              <w:t xml:space="preserve">, </w:t>
            </w:r>
            <w:r w:rsidRPr="0053423A">
              <w:rPr>
                <w:rFonts w:eastAsia="Times New Roman" w:cs="Times New Roman"/>
                <w:sz w:val="20"/>
                <w:szCs w:val="20"/>
                <w:lang w:val="ru-RU"/>
              </w:rPr>
              <w:t>հայ</w:t>
            </w:r>
            <w:r w:rsidRPr="0053423A">
              <w:rPr>
                <w:rFonts w:eastAsia="Times New Roman" w:cs="Times New Roman"/>
                <w:sz w:val="20"/>
                <w:szCs w:val="20"/>
              </w:rPr>
              <w:t xml:space="preserve"> </w:t>
            </w:r>
            <w:r w:rsidRPr="0053423A">
              <w:rPr>
                <w:rFonts w:eastAsia="Times New Roman" w:cs="Times New Roman"/>
                <w:sz w:val="20"/>
                <w:szCs w:val="20"/>
                <w:lang w:val="ru-RU"/>
              </w:rPr>
              <w:t>մշակույթի</w:t>
            </w:r>
            <w:r w:rsidRPr="0053423A">
              <w:rPr>
                <w:rFonts w:eastAsia="Times New Roman" w:cs="Times New Roman"/>
                <w:sz w:val="20"/>
                <w:szCs w:val="20"/>
              </w:rPr>
              <w:t xml:space="preserve"> </w:t>
            </w:r>
            <w:r w:rsidRPr="0053423A">
              <w:rPr>
                <w:rFonts w:eastAsia="Times New Roman" w:cs="Times New Roman"/>
                <w:sz w:val="20"/>
                <w:szCs w:val="20"/>
                <w:lang w:val="ru-RU"/>
              </w:rPr>
              <w:t>հանրահռչակումը</w:t>
            </w:r>
            <w:r w:rsidRPr="0053423A">
              <w:rPr>
                <w:rFonts w:eastAsia="Times New Roman" w:cs="Times New Roman"/>
                <w:sz w:val="20"/>
                <w:szCs w:val="20"/>
              </w:rPr>
              <w:t xml:space="preserve">, </w:t>
            </w:r>
            <w:r w:rsidRPr="0053423A">
              <w:rPr>
                <w:rFonts w:eastAsia="Times New Roman" w:cs="Times New Roman"/>
                <w:sz w:val="20"/>
                <w:szCs w:val="20"/>
                <w:lang w:val="ru-RU"/>
              </w:rPr>
              <w:t>մշակութային</w:t>
            </w:r>
            <w:r w:rsidRPr="0053423A">
              <w:rPr>
                <w:rFonts w:eastAsia="Times New Roman" w:cs="Times New Roman"/>
                <w:sz w:val="20"/>
                <w:szCs w:val="20"/>
              </w:rPr>
              <w:t xml:space="preserve"> </w:t>
            </w:r>
            <w:r w:rsidRPr="0053423A">
              <w:rPr>
                <w:rFonts w:eastAsia="Times New Roman" w:cs="Times New Roman"/>
                <w:sz w:val="20"/>
                <w:szCs w:val="20"/>
                <w:lang w:val="ru-RU"/>
              </w:rPr>
              <w:t>կյանքի</w:t>
            </w:r>
            <w:r w:rsidRPr="0053423A">
              <w:rPr>
                <w:rFonts w:eastAsia="Times New Roman" w:cs="Times New Roman"/>
                <w:sz w:val="20"/>
                <w:szCs w:val="20"/>
              </w:rPr>
              <w:t xml:space="preserve"> </w:t>
            </w:r>
            <w:r w:rsidRPr="0053423A">
              <w:rPr>
                <w:rFonts w:eastAsia="Times New Roman" w:cs="Times New Roman"/>
                <w:sz w:val="20"/>
                <w:szCs w:val="20"/>
                <w:lang w:val="ru-RU"/>
              </w:rPr>
              <w:t>մատչելիության</w:t>
            </w:r>
            <w:r w:rsidRPr="0053423A">
              <w:rPr>
                <w:rFonts w:eastAsia="Times New Roman" w:cs="Times New Roman"/>
                <w:sz w:val="20"/>
                <w:szCs w:val="20"/>
              </w:rPr>
              <w:t xml:space="preserve"> </w:t>
            </w:r>
            <w:r w:rsidRPr="0053423A">
              <w:rPr>
                <w:rFonts w:eastAsia="Times New Roman" w:cs="Times New Roman"/>
                <w:sz w:val="20"/>
                <w:szCs w:val="20"/>
                <w:lang w:val="ru-RU"/>
              </w:rPr>
              <w:t>և</w:t>
            </w:r>
            <w:r w:rsidRPr="0053423A">
              <w:rPr>
                <w:rFonts w:eastAsia="Times New Roman" w:cs="Times New Roman"/>
                <w:sz w:val="20"/>
                <w:szCs w:val="20"/>
              </w:rPr>
              <w:t xml:space="preserve"> </w:t>
            </w:r>
            <w:r w:rsidRPr="0053423A">
              <w:rPr>
                <w:rFonts w:eastAsia="Times New Roman" w:cs="Times New Roman"/>
                <w:sz w:val="20"/>
                <w:szCs w:val="20"/>
                <w:lang w:val="ru-RU"/>
              </w:rPr>
              <w:t>հանրային</w:t>
            </w:r>
            <w:r w:rsidRPr="0053423A">
              <w:rPr>
                <w:rFonts w:eastAsia="Times New Roman" w:cs="Times New Roman"/>
                <w:sz w:val="20"/>
                <w:szCs w:val="20"/>
              </w:rPr>
              <w:t xml:space="preserve"> </w:t>
            </w:r>
            <w:r w:rsidRPr="0053423A">
              <w:rPr>
                <w:rFonts w:eastAsia="Times New Roman" w:cs="Times New Roman"/>
                <w:sz w:val="20"/>
                <w:szCs w:val="20"/>
                <w:lang w:val="ru-RU"/>
              </w:rPr>
              <w:t>լայն</w:t>
            </w:r>
            <w:r w:rsidRPr="0053423A">
              <w:rPr>
                <w:rFonts w:eastAsia="Times New Roman" w:cs="Times New Roman"/>
                <w:sz w:val="20"/>
                <w:szCs w:val="20"/>
              </w:rPr>
              <w:t xml:space="preserve"> </w:t>
            </w:r>
            <w:r w:rsidRPr="0053423A">
              <w:rPr>
                <w:rFonts w:eastAsia="Times New Roman" w:cs="Times New Roman"/>
                <w:sz w:val="20"/>
                <w:szCs w:val="20"/>
                <w:lang w:val="ru-RU"/>
              </w:rPr>
              <w:t>մասնակցության</w:t>
            </w:r>
            <w:r w:rsidRPr="0053423A">
              <w:rPr>
                <w:rFonts w:eastAsia="Times New Roman" w:cs="Times New Roman"/>
                <w:sz w:val="20"/>
                <w:szCs w:val="20"/>
              </w:rPr>
              <w:t xml:space="preserve"> </w:t>
            </w:r>
            <w:r w:rsidRPr="0053423A">
              <w:rPr>
                <w:rFonts w:eastAsia="Times New Roman" w:cs="Times New Roman"/>
                <w:sz w:val="20"/>
                <w:szCs w:val="20"/>
                <w:lang w:val="ru-RU"/>
              </w:rPr>
              <w:t>ապահովումը</w:t>
            </w:r>
            <w:r w:rsidRPr="0053423A">
              <w:rPr>
                <w:rFonts w:eastAsia="Times New Roman" w:cs="Times New Roman"/>
                <w:sz w:val="20"/>
                <w:szCs w:val="20"/>
              </w:rPr>
              <w:t xml:space="preserve">, </w:t>
            </w:r>
            <w:r w:rsidRPr="0053423A">
              <w:rPr>
                <w:rFonts w:eastAsia="Times New Roman" w:cs="Times New Roman"/>
                <w:sz w:val="20"/>
                <w:szCs w:val="20"/>
                <w:lang w:val="ru-RU"/>
              </w:rPr>
              <w:t>մշակույթի</w:t>
            </w:r>
            <w:r w:rsidRPr="0053423A">
              <w:rPr>
                <w:rFonts w:eastAsia="Times New Roman" w:cs="Times New Roman"/>
                <w:sz w:val="20"/>
                <w:szCs w:val="20"/>
              </w:rPr>
              <w:t xml:space="preserve"> </w:t>
            </w:r>
            <w:r w:rsidRPr="0053423A">
              <w:rPr>
                <w:rFonts w:eastAsia="Times New Roman" w:cs="Times New Roman"/>
                <w:sz w:val="20"/>
                <w:szCs w:val="20"/>
                <w:lang w:val="ru-RU"/>
              </w:rPr>
              <w:t>և</w:t>
            </w:r>
            <w:r w:rsidRPr="0053423A">
              <w:rPr>
                <w:rFonts w:eastAsia="Times New Roman" w:cs="Times New Roman"/>
                <w:sz w:val="20"/>
                <w:szCs w:val="20"/>
              </w:rPr>
              <w:t xml:space="preserve"> </w:t>
            </w:r>
            <w:r w:rsidRPr="0053423A">
              <w:rPr>
                <w:rFonts w:eastAsia="Times New Roman" w:cs="Times New Roman"/>
                <w:sz w:val="20"/>
                <w:szCs w:val="20"/>
                <w:lang w:val="ru-RU"/>
              </w:rPr>
              <w:t>կրթության</w:t>
            </w:r>
            <w:r w:rsidRPr="0053423A">
              <w:rPr>
                <w:rFonts w:eastAsia="Times New Roman" w:cs="Times New Roman"/>
                <w:sz w:val="20"/>
                <w:szCs w:val="20"/>
              </w:rPr>
              <w:t xml:space="preserve"> </w:t>
            </w:r>
            <w:r w:rsidRPr="0053423A">
              <w:rPr>
                <w:rFonts w:eastAsia="Times New Roman" w:cs="Times New Roman"/>
                <w:sz w:val="20"/>
                <w:szCs w:val="20"/>
                <w:lang w:val="ru-RU"/>
              </w:rPr>
              <w:t>կապի</w:t>
            </w:r>
            <w:r w:rsidRPr="0053423A">
              <w:rPr>
                <w:rFonts w:eastAsia="Times New Roman" w:cs="Times New Roman"/>
                <w:sz w:val="20"/>
                <w:szCs w:val="20"/>
              </w:rPr>
              <w:t xml:space="preserve"> </w:t>
            </w:r>
            <w:r w:rsidRPr="0053423A">
              <w:rPr>
                <w:rFonts w:eastAsia="Times New Roman" w:cs="Times New Roman"/>
                <w:sz w:val="20"/>
                <w:szCs w:val="20"/>
                <w:lang w:val="ru-RU"/>
              </w:rPr>
              <w:t>խթանումը</w:t>
            </w:r>
            <w:r w:rsidRPr="0053423A">
              <w:rPr>
                <w:rFonts w:eastAsia="Times New Roman" w:cs="Times New Roman"/>
                <w:sz w:val="20"/>
                <w:szCs w:val="20"/>
              </w:rPr>
              <w:t xml:space="preserve">,  </w:t>
            </w:r>
            <w:r w:rsidRPr="0053423A">
              <w:rPr>
                <w:rFonts w:eastAsia="Times New Roman" w:cs="Times New Roman"/>
                <w:sz w:val="20"/>
                <w:szCs w:val="20"/>
                <w:lang w:val="ru-RU"/>
              </w:rPr>
              <w:t>ՀՀ</w:t>
            </w:r>
            <w:r w:rsidRPr="0053423A">
              <w:rPr>
                <w:rFonts w:eastAsia="Times New Roman" w:cs="Times New Roman"/>
                <w:sz w:val="20"/>
                <w:szCs w:val="20"/>
              </w:rPr>
              <w:t xml:space="preserve"> </w:t>
            </w:r>
            <w:r w:rsidRPr="0053423A">
              <w:rPr>
                <w:rFonts w:eastAsia="Times New Roman" w:cs="Times New Roman"/>
                <w:sz w:val="20"/>
                <w:szCs w:val="20"/>
                <w:lang w:val="ru-RU"/>
              </w:rPr>
              <w:t>մարզերում</w:t>
            </w:r>
            <w:r w:rsidRPr="0053423A">
              <w:rPr>
                <w:rFonts w:eastAsia="Times New Roman" w:cs="Times New Roman"/>
                <w:sz w:val="20"/>
                <w:szCs w:val="20"/>
              </w:rPr>
              <w:t xml:space="preserve"> </w:t>
            </w:r>
            <w:r w:rsidRPr="0053423A">
              <w:rPr>
                <w:rFonts w:eastAsia="Times New Roman" w:cs="Times New Roman"/>
                <w:sz w:val="20"/>
                <w:szCs w:val="20"/>
                <w:lang w:val="ru-RU"/>
              </w:rPr>
              <w:t>մշակութային</w:t>
            </w:r>
            <w:r w:rsidRPr="0053423A">
              <w:rPr>
                <w:rFonts w:eastAsia="Times New Roman" w:cs="Times New Roman"/>
                <w:sz w:val="20"/>
                <w:szCs w:val="20"/>
              </w:rPr>
              <w:t xml:space="preserve"> </w:t>
            </w:r>
            <w:r w:rsidRPr="0053423A">
              <w:rPr>
                <w:rFonts w:eastAsia="Times New Roman" w:cs="Times New Roman"/>
                <w:sz w:val="20"/>
                <w:szCs w:val="20"/>
                <w:lang w:val="ru-RU"/>
              </w:rPr>
              <w:t>ծառայությունների</w:t>
            </w:r>
            <w:r w:rsidRPr="0053423A">
              <w:rPr>
                <w:rFonts w:eastAsia="Times New Roman" w:cs="Times New Roman"/>
                <w:sz w:val="20"/>
                <w:szCs w:val="20"/>
              </w:rPr>
              <w:t xml:space="preserve"> </w:t>
            </w:r>
            <w:r w:rsidRPr="0053423A">
              <w:rPr>
                <w:rFonts w:eastAsia="Times New Roman" w:cs="Times New Roman"/>
                <w:sz w:val="20"/>
                <w:szCs w:val="20"/>
                <w:lang w:val="ru-RU"/>
              </w:rPr>
              <w:t>համաչափության</w:t>
            </w:r>
            <w:r w:rsidRPr="0053423A">
              <w:rPr>
                <w:rFonts w:eastAsia="Times New Roman" w:cs="Times New Roman"/>
                <w:sz w:val="20"/>
                <w:szCs w:val="20"/>
              </w:rPr>
              <w:t xml:space="preserve">, </w:t>
            </w:r>
            <w:r w:rsidRPr="0053423A">
              <w:rPr>
                <w:rFonts w:eastAsia="Times New Roman" w:cs="Times New Roman"/>
                <w:sz w:val="20"/>
                <w:szCs w:val="20"/>
                <w:lang w:val="ru-RU"/>
              </w:rPr>
              <w:t>մատչելիության</w:t>
            </w:r>
            <w:r w:rsidRPr="0053423A">
              <w:rPr>
                <w:rFonts w:eastAsia="Times New Roman" w:cs="Times New Roman"/>
                <w:sz w:val="20"/>
                <w:szCs w:val="20"/>
              </w:rPr>
              <w:t xml:space="preserve"> </w:t>
            </w:r>
            <w:r w:rsidRPr="0053423A">
              <w:rPr>
                <w:rFonts w:eastAsia="Times New Roman" w:cs="Times New Roman"/>
                <w:sz w:val="20"/>
                <w:szCs w:val="20"/>
                <w:lang w:val="ru-RU"/>
              </w:rPr>
              <w:t>և</w:t>
            </w:r>
            <w:r w:rsidRPr="0053423A">
              <w:rPr>
                <w:rFonts w:eastAsia="Times New Roman" w:cs="Times New Roman"/>
                <w:sz w:val="20"/>
                <w:szCs w:val="20"/>
              </w:rPr>
              <w:t xml:space="preserve"> </w:t>
            </w:r>
            <w:r w:rsidRPr="0053423A">
              <w:rPr>
                <w:rFonts w:eastAsia="Times New Roman" w:cs="Times New Roman"/>
                <w:sz w:val="20"/>
                <w:szCs w:val="20"/>
                <w:lang w:val="ru-RU"/>
              </w:rPr>
              <w:t>հասանելիության</w:t>
            </w:r>
            <w:r w:rsidRPr="0053423A">
              <w:rPr>
                <w:rFonts w:eastAsia="Times New Roman" w:cs="Times New Roman"/>
                <w:sz w:val="20"/>
                <w:szCs w:val="20"/>
              </w:rPr>
              <w:t xml:space="preserve"> </w:t>
            </w:r>
            <w:r w:rsidRPr="0053423A">
              <w:rPr>
                <w:rFonts w:eastAsia="Times New Roman" w:cs="Times New Roman"/>
                <w:sz w:val="20"/>
                <w:szCs w:val="20"/>
                <w:lang w:val="ru-RU"/>
              </w:rPr>
              <w:t>ապահովումը</w:t>
            </w:r>
            <w:r w:rsidRPr="0053423A">
              <w:rPr>
                <w:rFonts w:eastAsia="Times New Roman" w:cs="Times New Roman"/>
                <w:sz w:val="20"/>
                <w:szCs w:val="20"/>
              </w:rPr>
              <w:t xml:space="preserve">, </w:t>
            </w:r>
            <w:r w:rsidRPr="0053423A">
              <w:rPr>
                <w:rFonts w:eastAsia="Times New Roman" w:cs="Times New Roman"/>
                <w:sz w:val="20"/>
                <w:szCs w:val="20"/>
                <w:lang w:val="hy-AM"/>
              </w:rPr>
              <w:t>Ստեղծագործական կարողությունների լիարժեք արտահայտման և իրացման համար բարենպաստ միջավայրի ապահովում</w:t>
            </w:r>
            <w:r w:rsidRPr="0053423A">
              <w:rPr>
                <w:rFonts w:eastAsia="Times New Roman" w:cs="Times New Roman"/>
                <w:sz w:val="20"/>
                <w:szCs w:val="20"/>
                <w:lang w:val="ru-RU"/>
              </w:rPr>
              <w:t>ը</w:t>
            </w:r>
            <w:r w:rsidRPr="0053423A">
              <w:rPr>
                <w:rFonts w:eastAsia="Times New Roman" w:cs="Times New Roman"/>
                <w:sz w:val="20"/>
                <w:szCs w:val="20"/>
              </w:rPr>
              <w:t xml:space="preserve">, </w:t>
            </w:r>
            <w:r w:rsidRPr="0053423A">
              <w:rPr>
                <w:rFonts w:eastAsia="Calibri" w:cs="Sylfaen"/>
                <w:sz w:val="20"/>
                <w:szCs w:val="20"/>
                <w:lang w:val="hy-AM"/>
              </w:rPr>
              <w:t xml:space="preserve">որը հնարավոր է «Մշակույթի  պահպանման, տարածման և զարգացման հեռանկարային ծրագրի»  ընդունմամբ: </w:t>
            </w:r>
          </w:p>
          <w:p w:rsidR="00A67B6B" w:rsidRPr="0053423A" w:rsidRDefault="00A67B6B" w:rsidP="00A67858">
            <w:pPr>
              <w:tabs>
                <w:tab w:val="left" w:pos="508"/>
              </w:tabs>
              <w:spacing w:after="0" w:line="276" w:lineRule="auto"/>
              <w:contextualSpacing/>
              <w:jc w:val="both"/>
              <w:rPr>
                <w:rFonts w:eastAsia="Calibri" w:cs="Sylfaen"/>
                <w:sz w:val="20"/>
                <w:szCs w:val="20"/>
                <w:lang w:val="hy-AM"/>
              </w:rPr>
            </w:pPr>
          </w:p>
          <w:p w:rsidR="00A67B6B" w:rsidRPr="0053423A" w:rsidRDefault="00A67B6B" w:rsidP="001F6D5D">
            <w:pPr>
              <w:numPr>
                <w:ilvl w:val="0"/>
                <w:numId w:val="244"/>
              </w:numPr>
              <w:tabs>
                <w:tab w:val="left" w:pos="508"/>
              </w:tabs>
              <w:spacing w:after="0" w:line="276" w:lineRule="auto"/>
              <w:contextualSpacing/>
              <w:rPr>
                <w:rFonts w:eastAsia="Calibri" w:cs="Times New Roman"/>
                <w:b/>
                <w:sz w:val="20"/>
                <w:szCs w:val="20"/>
              </w:rPr>
            </w:pPr>
            <w:r w:rsidRPr="0053423A">
              <w:rPr>
                <w:rFonts w:eastAsia="Calibri" w:cs="Times New Roman"/>
                <w:b/>
                <w:sz w:val="20"/>
                <w:szCs w:val="20"/>
              </w:rPr>
              <w:t>Միջոցառման իրակա</w:t>
            </w:r>
            <w:r w:rsidRPr="0053423A">
              <w:rPr>
                <w:rFonts w:eastAsia="Calibri" w:cs="Times New Roman"/>
                <w:b/>
                <w:sz w:val="20"/>
                <w:szCs w:val="20"/>
                <w:lang w:val="hy-AM"/>
              </w:rPr>
              <w:t>նա</w:t>
            </w:r>
            <w:r w:rsidRPr="0053423A">
              <w:rPr>
                <w:rFonts w:eastAsia="Calibri" w:cs="Times New Roman"/>
                <w:b/>
                <w:sz w:val="20"/>
                <w:szCs w:val="20"/>
              </w:rPr>
              <w:t>ցումից ակնկալվող արդյունքը</w:t>
            </w:r>
          </w:p>
          <w:p w:rsidR="00A67B6B" w:rsidRPr="0053423A" w:rsidRDefault="00A67B6B" w:rsidP="00A67858">
            <w:pPr>
              <w:shd w:val="clear" w:color="auto" w:fill="FFFFFF"/>
              <w:spacing w:after="0" w:line="276" w:lineRule="auto"/>
              <w:ind w:right="150"/>
              <w:jc w:val="both"/>
              <w:rPr>
                <w:rFonts w:eastAsia="Times New Roman" w:cs="Times New Roman"/>
                <w:b/>
                <w:sz w:val="20"/>
                <w:szCs w:val="20"/>
              </w:rPr>
            </w:pPr>
            <w:r w:rsidRPr="0053423A">
              <w:rPr>
                <w:rFonts w:eastAsia="Times New Roman" w:cs="Sylfaen"/>
                <w:sz w:val="20"/>
                <w:szCs w:val="20"/>
                <w:lang w:val="ru-RU"/>
              </w:rPr>
              <w:t>Ծրագրի</w:t>
            </w:r>
            <w:r w:rsidRPr="0053423A">
              <w:rPr>
                <w:rFonts w:eastAsia="Times New Roman" w:cs="Sylfaen"/>
                <w:sz w:val="20"/>
                <w:szCs w:val="20"/>
              </w:rPr>
              <w:t xml:space="preserve"> </w:t>
            </w:r>
            <w:r w:rsidRPr="0053423A">
              <w:rPr>
                <w:rFonts w:eastAsia="Times New Roman" w:cs="Sylfaen"/>
                <w:sz w:val="20"/>
                <w:szCs w:val="20"/>
                <w:lang w:val="ru-RU"/>
              </w:rPr>
              <w:t>իրականացման</w:t>
            </w:r>
            <w:r w:rsidRPr="0053423A">
              <w:rPr>
                <w:rFonts w:eastAsia="Times New Roman" w:cs="Sylfaen"/>
                <w:sz w:val="20"/>
                <w:szCs w:val="20"/>
              </w:rPr>
              <w:t xml:space="preserve"> </w:t>
            </w:r>
            <w:r w:rsidRPr="0053423A">
              <w:rPr>
                <w:rFonts w:eastAsia="Times New Roman" w:cs="Sylfaen"/>
                <w:sz w:val="20"/>
                <w:szCs w:val="20"/>
                <w:lang w:val="hy-AM"/>
              </w:rPr>
              <w:t>արդյունքում</w:t>
            </w:r>
            <w:r w:rsidRPr="0053423A">
              <w:rPr>
                <w:rFonts w:eastAsia="Times New Roman" w:cs="Times New Roman"/>
                <w:sz w:val="20"/>
                <w:szCs w:val="20"/>
                <w:lang w:eastAsia="ru-RU"/>
              </w:rPr>
              <w:t xml:space="preserve"> </w:t>
            </w:r>
            <w:r w:rsidRPr="0053423A">
              <w:rPr>
                <w:rFonts w:eastAsia="Times New Roman" w:cs="Times New Roman"/>
                <w:sz w:val="20"/>
                <w:szCs w:val="20"/>
                <w:lang w:val="ru-RU" w:eastAsia="ru-RU"/>
              </w:rPr>
              <w:t>կապահովվի</w:t>
            </w:r>
            <w:r w:rsidRPr="0053423A">
              <w:rPr>
                <w:rFonts w:eastAsia="Times New Roman" w:cs="Times New Roman"/>
                <w:sz w:val="20"/>
                <w:szCs w:val="20"/>
                <w:lang w:eastAsia="ru-RU"/>
              </w:rPr>
              <w:t xml:space="preserve"> </w:t>
            </w:r>
            <w:r w:rsidRPr="0053423A">
              <w:rPr>
                <w:rFonts w:eastAsia="Times New Roman" w:cs="Times New Roman"/>
                <w:sz w:val="20"/>
                <w:szCs w:val="20"/>
                <w:lang w:val="ru-RU" w:eastAsia="ru-RU"/>
              </w:rPr>
              <w:t>մ</w:t>
            </w:r>
            <w:r w:rsidRPr="0053423A">
              <w:rPr>
                <w:rFonts w:eastAsia="Times New Roman" w:cs="Times New Roman"/>
                <w:sz w:val="20"/>
                <w:szCs w:val="20"/>
                <w:lang w:eastAsia="ru-RU"/>
              </w:rPr>
              <w:t>շակութային ժառանգության շարունակական պահպանություն</w:t>
            </w:r>
            <w:r w:rsidRPr="0053423A">
              <w:rPr>
                <w:rFonts w:eastAsia="Times New Roman" w:cs="Times New Roman"/>
                <w:sz w:val="20"/>
                <w:szCs w:val="20"/>
                <w:lang w:val="ru-RU" w:eastAsia="ru-RU"/>
              </w:rPr>
              <w:t>ը</w:t>
            </w:r>
            <w:r w:rsidRPr="0053423A">
              <w:rPr>
                <w:rFonts w:eastAsia="Times New Roman" w:cs="Times New Roman"/>
                <w:sz w:val="20"/>
                <w:szCs w:val="20"/>
                <w:lang w:eastAsia="ru-RU"/>
              </w:rPr>
              <w:t>, մշակութային զբոսաշրջության զարգացում</w:t>
            </w:r>
            <w:r w:rsidRPr="0053423A">
              <w:rPr>
                <w:rFonts w:eastAsia="Times New Roman" w:cs="Times New Roman"/>
                <w:sz w:val="20"/>
                <w:szCs w:val="20"/>
                <w:lang w:val="ru-RU" w:eastAsia="ru-RU"/>
              </w:rPr>
              <w:t>ը</w:t>
            </w:r>
            <w:r w:rsidRPr="0053423A">
              <w:rPr>
                <w:rFonts w:eastAsia="Times New Roman" w:cs="Times New Roman"/>
                <w:sz w:val="20"/>
                <w:szCs w:val="20"/>
                <w:lang w:eastAsia="ru-RU"/>
              </w:rPr>
              <w:t xml:space="preserve"> և խթանում</w:t>
            </w:r>
            <w:r w:rsidRPr="0053423A">
              <w:rPr>
                <w:rFonts w:eastAsia="Times New Roman" w:cs="Times New Roman"/>
                <w:sz w:val="20"/>
                <w:szCs w:val="20"/>
                <w:lang w:val="ru-RU" w:eastAsia="ru-RU"/>
              </w:rPr>
              <w:t>ը</w:t>
            </w:r>
            <w:r w:rsidRPr="0053423A">
              <w:rPr>
                <w:rFonts w:eastAsia="Times New Roman" w:cs="Times New Roman"/>
                <w:sz w:val="20"/>
                <w:szCs w:val="20"/>
                <w:lang w:eastAsia="ru-RU"/>
              </w:rPr>
              <w:t xml:space="preserve">, </w:t>
            </w:r>
            <w:r w:rsidRPr="0053423A">
              <w:rPr>
                <w:rFonts w:eastAsia="Times New Roman" w:cs="Times New Roman"/>
                <w:sz w:val="20"/>
                <w:szCs w:val="20"/>
                <w:lang w:val="ru-RU" w:eastAsia="ru-RU"/>
              </w:rPr>
              <w:t>գ</w:t>
            </w:r>
            <w:r w:rsidRPr="0053423A">
              <w:rPr>
                <w:rFonts w:eastAsia="Times New Roman" w:cs="Times New Roman"/>
                <w:sz w:val="20"/>
                <w:szCs w:val="20"/>
                <w:lang w:eastAsia="ru-RU"/>
              </w:rPr>
              <w:t>րքի և գրական արտադրանքի բազմազանության ապահովում</w:t>
            </w:r>
            <w:r w:rsidRPr="0053423A">
              <w:rPr>
                <w:rFonts w:eastAsia="Times New Roman" w:cs="Times New Roman"/>
                <w:sz w:val="20"/>
                <w:szCs w:val="20"/>
                <w:lang w:val="ru-RU" w:eastAsia="ru-RU"/>
              </w:rPr>
              <w:t>ը</w:t>
            </w:r>
            <w:r w:rsidRPr="0053423A">
              <w:rPr>
                <w:rFonts w:eastAsia="Times New Roman" w:cs="Times New Roman"/>
                <w:sz w:val="20"/>
                <w:szCs w:val="20"/>
                <w:lang w:eastAsia="ru-RU"/>
              </w:rPr>
              <w:t>, ստեղծագործական գործընթացների խթանում</w:t>
            </w:r>
            <w:r w:rsidRPr="0053423A">
              <w:rPr>
                <w:rFonts w:eastAsia="Times New Roman" w:cs="Times New Roman"/>
                <w:sz w:val="20"/>
                <w:szCs w:val="20"/>
                <w:lang w:val="ru-RU" w:eastAsia="ru-RU"/>
              </w:rPr>
              <w:t>ը</w:t>
            </w:r>
            <w:r w:rsidRPr="0053423A">
              <w:rPr>
                <w:rFonts w:eastAsia="Times New Roman" w:cs="Times New Roman"/>
                <w:sz w:val="20"/>
                <w:szCs w:val="20"/>
                <w:lang w:eastAsia="ru-RU"/>
              </w:rPr>
              <w:t xml:space="preserve">, </w:t>
            </w:r>
            <w:r w:rsidRPr="0053423A">
              <w:rPr>
                <w:rFonts w:eastAsia="Times New Roman" w:cs="Times New Roman"/>
                <w:sz w:val="20"/>
                <w:szCs w:val="20"/>
                <w:lang w:val="ru-RU" w:eastAsia="ru-RU"/>
              </w:rPr>
              <w:t>մ</w:t>
            </w:r>
            <w:r w:rsidRPr="0053423A">
              <w:rPr>
                <w:rFonts w:eastAsia="Times New Roman" w:cs="Times New Roman"/>
                <w:sz w:val="20"/>
                <w:szCs w:val="20"/>
                <w:lang w:eastAsia="ru-RU"/>
              </w:rPr>
              <w:t>րցունակ արվեստային արտադրանքի ստեղծում</w:t>
            </w:r>
            <w:r w:rsidRPr="0053423A">
              <w:rPr>
                <w:rFonts w:eastAsia="Times New Roman" w:cs="Times New Roman"/>
                <w:sz w:val="20"/>
                <w:szCs w:val="20"/>
                <w:lang w:val="ru-RU" w:eastAsia="ru-RU"/>
              </w:rPr>
              <w:t>ը</w:t>
            </w:r>
            <w:r w:rsidRPr="0053423A">
              <w:rPr>
                <w:rFonts w:eastAsia="Times New Roman" w:cs="Times New Roman"/>
                <w:sz w:val="20"/>
                <w:szCs w:val="20"/>
                <w:lang w:eastAsia="ru-RU"/>
              </w:rPr>
              <w:t>, ստեղծագործական գործընթացների խթանում</w:t>
            </w:r>
            <w:r w:rsidRPr="0053423A">
              <w:rPr>
                <w:rFonts w:eastAsia="Times New Roman" w:cs="Times New Roman"/>
                <w:sz w:val="20"/>
                <w:szCs w:val="20"/>
                <w:lang w:val="ru-RU" w:eastAsia="ru-RU"/>
              </w:rPr>
              <w:t>ը</w:t>
            </w:r>
            <w:r w:rsidRPr="0053423A">
              <w:rPr>
                <w:rFonts w:eastAsia="Times New Roman" w:cs="Times New Roman"/>
                <w:sz w:val="20"/>
                <w:szCs w:val="20"/>
                <w:lang w:eastAsia="ru-RU"/>
              </w:rPr>
              <w:t>, արվեստի նոր նախագծերի ներդրում</w:t>
            </w:r>
            <w:r w:rsidRPr="0053423A">
              <w:rPr>
                <w:rFonts w:eastAsia="Times New Roman" w:cs="Times New Roman"/>
                <w:sz w:val="20"/>
                <w:szCs w:val="20"/>
                <w:lang w:val="ru-RU" w:eastAsia="ru-RU"/>
              </w:rPr>
              <w:t>ը</w:t>
            </w:r>
            <w:r w:rsidRPr="0053423A">
              <w:rPr>
                <w:rFonts w:eastAsia="Times New Roman" w:cs="Times New Roman"/>
                <w:sz w:val="20"/>
                <w:szCs w:val="20"/>
                <w:lang w:eastAsia="ru-RU"/>
              </w:rPr>
              <w:t xml:space="preserve"> և մշակութային կյանքին հասարակության ներգրավում</w:t>
            </w:r>
            <w:r w:rsidRPr="0053423A">
              <w:rPr>
                <w:rFonts w:eastAsia="Times New Roman" w:cs="Times New Roman"/>
                <w:sz w:val="20"/>
                <w:szCs w:val="20"/>
                <w:lang w:val="ru-RU" w:eastAsia="ru-RU"/>
              </w:rPr>
              <w:t>ը</w:t>
            </w:r>
            <w:r w:rsidRPr="0053423A">
              <w:rPr>
                <w:rFonts w:eastAsia="Times New Roman" w:cs="Times New Roman"/>
                <w:sz w:val="20"/>
                <w:szCs w:val="20"/>
                <w:lang w:eastAsia="ru-RU"/>
              </w:rPr>
              <w:t>, կինոարտադրության ընդլայնում</w:t>
            </w:r>
            <w:r w:rsidRPr="0053423A">
              <w:rPr>
                <w:rFonts w:eastAsia="Times New Roman" w:cs="Times New Roman"/>
                <w:sz w:val="20"/>
                <w:szCs w:val="20"/>
                <w:lang w:val="ru-RU" w:eastAsia="ru-RU"/>
              </w:rPr>
              <w:t>ն</w:t>
            </w:r>
            <w:r w:rsidRPr="0053423A">
              <w:rPr>
                <w:rFonts w:eastAsia="Times New Roman" w:cs="Times New Roman"/>
                <w:sz w:val="20"/>
                <w:szCs w:val="20"/>
                <w:lang w:eastAsia="ru-RU"/>
              </w:rPr>
              <w:t xml:space="preserve"> </w:t>
            </w:r>
            <w:r w:rsidRPr="0053423A">
              <w:rPr>
                <w:rFonts w:eastAsia="Times New Roman" w:cs="Times New Roman"/>
                <w:sz w:val="20"/>
                <w:szCs w:val="20"/>
                <w:lang w:val="ru-RU" w:eastAsia="ru-RU"/>
              </w:rPr>
              <w:t>ու</w:t>
            </w:r>
            <w:r w:rsidRPr="0053423A">
              <w:rPr>
                <w:rFonts w:eastAsia="Times New Roman" w:cs="Times New Roman"/>
                <w:sz w:val="20"/>
                <w:szCs w:val="20"/>
                <w:lang w:eastAsia="ru-RU"/>
              </w:rPr>
              <w:t xml:space="preserve"> տարածում</w:t>
            </w:r>
            <w:r w:rsidRPr="0053423A">
              <w:rPr>
                <w:rFonts w:eastAsia="Times New Roman" w:cs="Times New Roman"/>
                <w:sz w:val="20"/>
                <w:szCs w:val="20"/>
                <w:lang w:val="ru-RU" w:eastAsia="ru-RU"/>
              </w:rPr>
              <w:t>ը</w:t>
            </w:r>
            <w:r w:rsidRPr="0053423A">
              <w:rPr>
                <w:rFonts w:eastAsia="Times New Roman" w:cs="Times New Roman"/>
                <w:sz w:val="20"/>
                <w:szCs w:val="20"/>
                <w:lang w:eastAsia="ru-RU"/>
              </w:rPr>
              <w:t xml:space="preserve">, </w:t>
            </w:r>
            <w:r w:rsidRPr="0053423A">
              <w:rPr>
                <w:rFonts w:eastAsia="Times New Roman" w:cs="Times New Roman"/>
                <w:sz w:val="20"/>
                <w:szCs w:val="20"/>
                <w:lang w:val="ru-RU" w:eastAsia="ru-RU"/>
              </w:rPr>
              <w:t>ՀՀ</w:t>
            </w:r>
            <w:r w:rsidRPr="0053423A">
              <w:rPr>
                <w:rFonts w:eastAsia="Times New Roman" w:cs="Times New Roman"/>
                <w:sz w:val="20"/>
                <w:szCs w:val="20"/>
                <w:lang w:eastAsia="ru-RU"/>
              </w:rPr>
              <w:t xml:space="preserve"> </w:t>
            </w:r>
            <w:r w:rsidRPr="0053423A">
              <w:rPr>
                <w:rFonts w:eastAsia="Times New Roman" w:cs="Times New Roman"/>
                <w:sz w:val="20"/>
                <w:szCs w:val="20"/>
                <w:lang w:val="ru-RU" w:eastAsia="ru-RU"/>
              </w:rPr>
              <w:t>մարզերում</w:t>
            </w:r>
            <w:r w:rsidRPr="0053423A">
              <w:rPr>
                <w:rFonts w:eastAsia="Times New Roman" w:cs="Times New Roman"/>
                <w:sz w:val="20"/>
                <w:szCs w:val="20"/>
                <w:lang w:eastAsia="ru-RU"/>
              </w:rPr>
              <w:t xml:space="preserve"> մշակույթի հասանելիության և մշակութային կյանքին մարզային բնակչության ընդգրկվածության ընդլայնում</w:t>
            </w:r>
            <w:r w:rsidRPr="0053423A">
              <w:rPr>
                <w:rFonts w:eastAsia="Times New Roman" w:cs="Times New Roman"/>
                <w:sz w:val="20"/>
                <w:szCs w:val="20"/>
                <w:lang w:val="ru-RU" w:eastAsia="ru-RU"/>
              </w:rPr>
              <w:t>ը</w:t>
            </w:r>
            <w:r w:rsidRPr="0053423A">
              <w:rPr>
                <w:rFonts w:eastAsia="Times New Roman" w:cs="Times New Roman"/>
                <w:sz w:val="20"/>
                <w:szCs w:val="20"/>
                <w:lang w:eastAsia="ru-RU"/>
              </w:rPr>
              <w:t xml:space="preserve">, </w:t>
            </w:r>
            <w:r w:rsidRPr="0053423A">
              <w:rPr>
                <w:rFonts w:eastAsia="Times New Roman" w:cs="Times New Roman"/>
                <w:sz w:val="20"/>
                <w:szCs w:val="20"/>
                <w:lang w:val="ru-RU" w:eastAsia="ru-RU"/>
              </w:rPr>
              <w:t>ս</w:t>
            </w:r>
            <w:r w:rsidRPr="0053423A">
              <w:rPr>
                <w:rFonts w:eastAsia="Times New Roman" w:cs="Times New Roman"/>
                <w:sz w:val="20"/>
                <w:szCs w:val="20"/>
                <w:lang w:eastAsia="ru-RU"/>
              </w:rPr>
              <w:t>տեղծագործական ունակությունների ձևավորում</w:t>
            </w:r>
            <w:r w:rsidRPr="0053423A">
              <w:rPr>
                <w:rFonts w:eastAsia="Times New Roman" w:cs="Times New Roman"/>
                <w:sz w:val="20"/>
                <w:szCs w:val="20"/>
                <w:lang w:val="ru-RU" w:eastAsia="ru-RU"/>
              </w:rPr>
              <w:t>ը</w:t>
            </w:r>
            <w:r w:rsidRPr="0053423A">
              <w:rPr>
                <w:rFonts w:eastAsia="Times New Roman" w:cs="Times New Roman"/>
                <w:sz w:val="20"/>
                <w:szCs w:val="20"/>
                <w:lang w:eastAsia="ru-RU"/>
              </w:rPr>
              <w:t xml:space="preserve"> և զարգացում</w:t>
            </w:r>
            <w:r w:rsidRPr="0053423A">
              <w:rPr>
                <w:rFonts w:eastAsia="Times New Roman" w:cs="Times New Roman"/>
                <w:sz w:val="20"/>
                <w:szCs w:val="20"/>
                <w:lang w:val="ru-RU" w:eastAsia="ru-RU"/>
              </w:rPr>
              <w:t>ը</w:t>
            </w:r>
            <w:r w:rsidRPr="0053423A">
              <w:rPr>
                <w:rFonts w:eastAsia="Times New Roman" w:cs="Times New Roman"/>
                <w:sz w:val="20"/>
                <w:szCs w:val="20"/>
                <w:lang w:eastAsia="ru-RU"/>
              </w:rPr>
              <w:t xml:space="preserve">, </w:t>
            </w:r>
            <w:r w:rsidRPr="0053423A">
              <w:rPr>
                <w:rFonts w:eastAsia="Times New Roman" w:cs="Times New Roman"/>
                <w:sz w:val="20"/>
                <w:szCs w:val="20"/>
                <w:lang w:val="ru-RU" w:eastAsia="ru-RU"/>
              </w:rPr>
              <w:t>Հայաստանում</w:t>
            </w:r>
            <w:r w:rsidRPr="0053423A">
              <w:rPr>
                <w:rFonts w:eastAsia="Times New Roman" w:cs="Times New Roman"/>
                <w:sz w:val="20"/>
                <w:szCs w:val="20"/>
                <w:lang w:eastAsia="ru-RU"/>
              </w:rPr>
              <w:t xml:space="preserve"> </w:t>
            </w:r>
            <w:r w:rsidRPr="0053423A">
              <w:rPr>
                <w:rFonts w:eastAsia="Times New Roman" w:cs="Times New Roman"/>
                <w:sz w:val="20"/>
                <w:szCs w:val="20"/>
                <w:lang w:val="ru-RU" w:eastAsia="ru-RU"/>
              </w:rPr>
              <w:t>և</w:t>
            </w:r>
            <w:r w:rsidRPr="0053423A">
              <w:rPr>
                <w:rFonts w:eastAsia="Times New Roman" w:cs="Times New Roman"/>
                <w:sz w:val="20"/>
                <w:szCs w:val="20"/>
                <w:lang w:eastAsia="ru-RU"/>
              </w:rPr>
              <w:t xml:space="preserve"> </w:t>
            </w:r>
            <w:r w:rsidRPr="0053423A">
              <w:rPr>
                <w:rFonts w:eastAsia="Times New Roman" w:cs="Times New Roman"/>
                <w:sz w:val="20"/>
                <w:szCs w:val="20"/>
                <w:lang w:val="ru-RU" w:eastAsia="ru-RU"/>
              </w:rPr>
              <w:t>նրա</w:t>
            </w:r>
            <w:r w:rsidRPr="0053423A">
              <w:rPr>
                <w:rFonts w:eastAsia="Times New Roman" w:cs="Times New Roman"/>
                <w:sz w:val="20"/>
                <w:szCs w:val="20"/>
                <w:lang w:eastAsia="ru-RU"/>
              </w:rPr>
              <w:t xml:space="preserve"> </w:t>
            </w:r>
            <w:r w:rsidRPr="0053423A">
              <w:rPr>
                <w:rFonts w:eastAsia="Times New Roman" w:cs="Times New Roman"/>
                <w:sz w:val="20"/>
                <w:szCs w:val="20"/>
                <w:lang w:val="ru-RU" w:eastAsia="ru-RU"/>
              </w:rPr>
              <w:t>սահմաններից</w:t>
            </w:r>
            <w:r w:rsidRPr="0053423A">
              <w:rPr>
                <w:rFonts w:eastAsia="Times New Roman" w:cs="Times New Roman"/>
                <w:sz w:val="20"/>
                <w:szCs w:val="20"/>
                <w:lang w:eastAsia="ru-RU"/>
              </w:rPr>
              <w:t xml:space="preserve"> </w:t>
            </w:r>
            <w:r w:rsidRPr="0053423A">
              <w:rPr>
                <w:rFonts w:eastAsia="Times New Roman" w:cs="Times New Roman"/>
                <w:sz w:val="20"/>
                <w:szCs w:val="20"/>
                <w:lang w:val="ru-RU" w:eastAsia="ru-RU"/>
              </w:rPr>
              <w:t>դուրս</w:t>
            </w:r>
            <w:r w:rsidRPr="0053423A">
              <w:rPr>
                <w:rFonts w:eastAsia="Times New Roman" w:cs="Times New Roman"/>
                <w:sz w:val="20"/>
                <w:szCs w:val="20"/>
                <w:lang w:eastAsia="ru-RU"/>
              </w:rPr>
              <w:t xml:space="preserve"> </w:t>
            </w:r>
            <w:r w:rsidRPr="0053423A">
              <w:rPr>
                <w:rFonts w:eastAsia="Times New Roman" w:cs="Times New Roman"/>
                <w:sz w:val="20"/>
                <w:szCs w:val="20"/>
                <w:lang w:val="ru-RU" w:eastAsia="ru-RU"/>
              </w:rPr>
              <w:t>հայկական</w:t>
            </w:r>
            <w:r w:rsidRPr="0053423A">
              <w:rPr>
                <w:rFonts w:eastAsia="Times New Roman" w:cs="Times New Roman"/>
                <w:sz w:val="20"/>
                <w:szCs w:val="20"/>
                <w:lang w:eastAsia="ru-RU"/>
              </w:rPr>
              <w:t xml:space="preserve"> </w:t>
            </w:r>
            <w:r w:rsidRPr="0053423A">
              <w:rPr>
                <w:rFonts w:eastAsia="Times New Roman" w:cs="Times New Roman"/>
                <w:sz w:val="20"/>
                <w:szCs w:val="20"/>
                <w:lang w:val="ru-RU" w:eastAsia="ru-RU"/>
              </w:rPr>
              <w:t>մշակույթի</w:t>
            </w:r>
            <w:r w:rsidRPr="0053423A">
              <w:rPr>
                <w:rFonts w:eastAsia="Times New Roman" w:cs="Times New Roman"/>
                <w:sz w:val="20"/>
                <w:szCs w:val="20"/>
                <w:lang w:eastAsia="ru-RU"/>
              </w:rPr>
              <w:t xml:space="preserve"> </w:t>
            </w:r>
            <w:r w:rsidRPr="0053423A">
              <w:rPr>
                <w:rFonts w:eastAsia="Times New Roman" w:cs="Times New Roman"/>
                <w:sz w:val="20"/>
                <w:szCs w:val="20"/>
                <w:lang w:val="ru-RU" w:eastAsia="ru-RU"/>
              </w:rPr>
              <w:t>ճանաչելիության</w:t>
            </w:r>
            <w:r w:rsidRPr="0053423A">
              <w:rPr>
                <w:rFonts w:eastAsia="Times New Roman" w:cs="Times New Roman"/>
                <w:sz w:val="20"/>
                <w:szCs w:val="20"/>
                <w:lang w:eastAsia="ru-RU"/>
              </w:rPr>
              <w:t xml:space="preserve"> </w:t>
            </w:r>
            <w:r w:rsidRPr="0053423A">
              <w:rPr>
                <w:rFonts w:eastAsia="Times New Roman" w:cs="Times New Roman"/>
                <w:sz w:val="20"/>
                <w:szCs w:val="20"/>
                <w:lang w:val="ru-RU" w:eastAsia="ru-RU"/>
              </w:rPr>
              <w:t>բարձրացումը</w:t>
            </w:r>
            <w:r w:rsidRPr="0053423A">
              <w:rPr>
                <w:rFonts w:eastAsia="Times New Roman" w:cs="Times New Roman"/>
                <w:sz w:val="20"/>
                <w:szCs w:val="20"/>
                <w:lang w:eastAsia="ru-RU"/>
              </w:rPr>
              <w:t>:</w:t>
            </w:r>
          </w:p>
        </w:tc>
      </w:tr>
      <w:tr w:rsidR="00A67B6B" w:rsidRPr="00DE2EFA" w:rsidTr="00A67B6B">
        <w:tc>
          <w:tcPr>
            <w:tcW w:w="540" w:type="dxa"/>
            <w:shd w:val="clear" w:color="auto" w:fill="auto"/>
          </w:tcPr>
          <w:p w:rsidR="00A67B6B" w:rsidRPr="0053423A" w:rsidRDefault="00A67B6B" w:rsidP="00A67858">
            <w:pPr>
              <w:tabs>
                <w:tab w:val="left" w:pos="1418"/>
              </w:tabs>
              <w:spacing w:after="0" w:line="276" w:lineRule="auto"/>
              <w:jc w:val="center"/>
              <w:rPr>
                <w:rFonts w:eastAsia="Calibri" w:cs="Times New Roman"/>
                <w:caps/>
                <w:sz w:val="20"/>
                <w:szCs w:val="20"/>
                <w:lang w:val="hy-AM"/>
              </w:rPr>
            </w:pPr>
            <w:r w:rsidRPr="0053423A">
              <w:rPr>
                <w:rFonts w:eastAsia="Calibri" w:cs="Times New Roman"/>
                <w:caps/>
                <w:sz w:val="20"/>
                <w:szCs w:val="20"/>
                <w:lang w:val="hy-AM"/>
              </w:rPr>
              <w:t>2</w:t>
            </w:r>
          </w:p>
        </w:tc>
        <w:tc>
          <w:tcPr>
            <w:tcW w:w="10980" w:type="dxa"/>
            <w:shd w:val="clear" w:color="auto" w:fill="auto"/>
          </w:tcPr>
          <w:p w:rsidR="00A67B6B" w:rsidRPr="0053423A" w:rsidRDefault="00A67B6B" w:rsidP="00A67858">
            <w:pPr>
              <w:tabs>
                <w:tab w:val="left" w:pos="508"/>
              </w:tabs>
              <w:spacing w:after="0" w:line="276" w:lineRule="auto"/>
              <w:jc w:val="center"/>
              <w:rPr>
                <w:rFonts w:eastAsia="Times New Roman" w:cs="Times New Roman"/>
                <w:b/>
                <w:sz w:val="20"/>
                <w:szCs w:val="20"/>
                <w:lang w:val="hy-AM"/>
              </w:rPr>
            </w:pPr>
          </w:p>
          <w:p w:rsidR="00A67B6B" w:rsidRPr="0053423A" w:rsidRDefault="00A67B6B" w:rsidP="00A67858">
            <w:pPr>
              <w:tabs>
                <w:tab w:val="left" w:pos="508"/>
              </w:tabs>
              <w:spacing w:after="0" w:line="276" w:lineRule="auto"/>
              <w:jc w:val="center"/>
              <w:rPr>
                <w:rFonts w:eastAsia="Times New Roman" w:cs="Times New Roman"/>
                <w:b/>
                <w:sz w:val="20"/>
                <w:szCs w:val="20"/>
                <w:lang w:val="hy-AM"/>
              </w:rPr>
            </w:pPr>
            <w:r w:rsidRPr="0053423A">
              <w:rPr>
                <w:rFonts w:eastAsia="Times New Roman" w:cs="Times New Roman"/>
                <w:b/>
                <w:sz w:val="20"/>
                <w:szCs w:val="20"/>
                <w:lang w:val="hy-AM"/>
              </w:rPr>
              <w:t xml:space="preserve">2.1 </w:t>
            </w:r>
            <w:r w:rsidRPr="0053423A">
              <w:rPr>
                <w:rFonts w:eastAsia="Times New Roman" w:cs="Calibri"/>
                <w:b/>
                <w:sz w:val="20"/>
                <w:szCs w:val="20"/>
                <w:lang w:val="hy-AM"/>
              </w:rPr>
              <w:t>Թանգարանային ոլորտի օրենսդրական դաշտի մշակում և ներկայացում Հայաստանի Հանրապետության վարչապետի աշխատակազմ</w:t>
            </w:r>
          </w:p>
          <w:p w:rsidR="00A67B6B" w:rsidRPr="0053423A" w:rsidRDefault="00A67B6B" w:rsidP="00A67858">
            <w:pPr>
              <w:tabs>
                <w:tab w:val="left" w:pos="508"/>
              </w:tabs>
              <w:spacing w:after="0" w:line="276" w:lineRule="auto"/>
              <w:contextualSpacing/>
              <w:rPr>
                <w:rFonts w:eastAsia="Times New Roman" w:cs="Sylfaen"/>
                <w:b/>
                <w:sz w:val="20"/>
                <w:szCs w:val="20"/>
                <w:lang w:val="hy-AM"/>
              </w:rPr>
            </w:pPr>
          </w:p>
          <w:p w:rsidR="00A67B6B" w:rsidRPr="0053423A" w:rsidRDefault="00A67B6B" w:rsidP="001F6D5D">
            <w:pPr>
              <w:numPr>
                <w:ilvl w:val="1"/>
                <w:numId w:val="195"/>
              </w:numPr>
              <w:tabs>
                <w:tab w:val="left" w:pos="508"/>
              </w:tabs>
              <w:spacing w:after="0" w:line="276" w:lineRule="auto"/>
              <w:ind w:left="438"/>
              <w:contextualSpacing/>
              <w:jc w:val="both"/>
              <w:rPr>
                <w:rFonts w:eastAsia="Calibri" w:cs="Times New Roman"/>
                <w:b/>
                <w:sz w:val="20"/>
                <w:szCs w:val="20"/>
                <w:lang w:val="hy-AM"/>
              </w:rPr>
            </w:pPr>
            <w:r w:rsidRPr="0053423A">
              <w:rPr>
                <w:rFonts w:eastAsia="Calibri" w:cs="Times New Roman"/>
                <w:b/>
                <w:sz w:val="20"/>
                <w:szCs w:val="20"/>
                <w:lang w:val="hy-AM"/>
              </w:rPr>
              <w:t>Միջոցառման իրականացման անհրաժեշտությունը և 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Հայաստանի Հանրապետության թանգարանների մասին» Հայաստանի Հանրապետության օրենքի նախագծի մշակումը </w:t>
            </w:r>
            <w:r w:rsidRPr="0053423A">
              <w:rPr>
                <w:rFonts w:eastAsia="Calibri" w:cs="GHEA Grapalat"/>
                <w:sz w:val="20"/>
                <w:szCs w:val="20"/>
                <w:lang w:val="hy-AM"/>
              </w:rPr>
              <w:t>պայմանավորված</w:t>
            </w:r>
            <w:r w:rsidRPr="0053423A">
              <w:rPr>
                <w:rFonts w:eastAsia="Calibri" w:cs="GHEA Grapalat"/>
                <w:sz w:val="20"/>
                <w:szCs w:val="20"/>
                <w:lang w:val="tr-TR"/>
              </w:rPr>
              <w:t xml:space="preserve"> է</w:t>
            </w:r>
            <w:r w:rsidRPr="0053423A">
              <w:rPr>
                <w:rFonts w:eastAsia="Calibri" w:cs="Times New Roman"/>
                <w:sz w:val="20"/>
                <w:szCs w:val="20"/>
                <w:lang w:val="hy-AM"/>
              </w:rPr>
              <w:t xml:space="preserve"> թանգարան</w:t>
            </w:r>
            <w:r w:rsidRPr="0053423A">
              <w:rPr>
                <w:rFonts w:eastAsia="Calibri" w:cs="Times New Roman"/>
                <w:sz w:val="20"/>
                <w:szCs w:val="20"/>
                <w:lang w:val="hy-AM"/>
              </w:rPr>
              <w:softHyphen/>
              <w:t>ների ստեղծման, գործունեության, գործունեության դադարեցման և հավատար</w:t>
            </w:r>
            <w:r w:rsidRPr="0053423A">
              <w:rPr>
                <w:rFonts w:eastAsia="Calibri" w:cs="Times New Roman"/>
                <w:sz w:val="20"/>
                <w:szCs w:val="20"/>
                <w:lang w:val="hy-AM"/>
              </w:rPr>
              <w:softHyphen/>
              <w:t xml:space="preserve">մագրման հետ կապված հարաբերությունները կարգավորելու, ինչպես նաև թանգարանների տեսակները, գործառույթները սահմանելու, հանրապետության թանգարանային ֆոնդի ձեւավորման, համալրման, հաշվառման, պահպանության և անվտանգության օրենսդրական հիմքերն ապահովելու անհրաժեշտությամբ: 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w:t>
            </w:r>
            <w:r w:rsidRPr="0053423A">
              <w:rPr>
                <w:rFonts w:eastAsia="Calibri" w:cs="Times New Roman"/>
                <w:sz w:val="20"/>
                <w:szCs w:val="20"/>
              </w:rPr>
              <w:t>Մշակույթ» բաժին</w:t>
            </w:r>
            <w:r w:rsidRPr="0053423A">
              <w:rPr>
                <w:rFonts w:eastAsia="Calibri" w:cs="Times New Roman"/>
                <w:sz w:val="20"/>
                <w:szCs w:val="20"/>
                <w:lang w:val="hy-AM"/>
              </w:rPr>
              <w:t xml:space="preserve">: </w:t>
            </w:r>
          </w:p>
          <w:p w:rsidR="00A67B6B" w:rsidRPr="0053423A" w:rsidRDefault="00A67B6B" w:rsidP="00A67858">
            <w:pPr>
              <w:tabs>
                <w:tab w:val="left" w:pos="508"/>
              </w:tabs>
              <w:spacing w:after="0" w:line="276" w:lineRule="auto"/>
              <w:contextualSpacing/>
              <w:rPr>
                <w:rFonts w:eastAsia="Calibri" w:cs="Times New Roman"/>
                <w:sz w:val="20"/>
                <w:szCs w:val="20"/>
                <w:lang w:val="hy-AM"/>
              </w:rPr>
            </w:pPr>
          </w:p>
          <w:p w:rsidR="00A67B6B" w:rsidRPr="0053423A" w:rsidRDefault="00A67B6B" w:rsidP="001F6D5D">
            <w:pPr>
              <w:numPr>
                <w:ilvl w:val="1"/>
                <w:numId w:val="196"/>
              </w:numPr>
              <w:tabs>
                <w:tab w:val="left" w:pos="508"/>
              </w:tabs>
              <w:spacing w:after="0" w:line="276" w:lineRule="auto"/>
              <w:ind w:left="0" w:firstLine="0"/>
              <w:contextualSpacing/>
              <w:rPr>
                <w:rFonts w:eastAsia="Calibri" w:cs="Times New Roman"/>
                <w:b/>
                <w:sz w:val="20"/>
                <w:szCs w:val="20"/>
                <w:lang w:val="af-ZA"/>
              </w:rPr>
            </w:pPr>
            <w:r w:rsidRPr="0053423A">
              <w:rPr>
                <w:rFonts w:eastAsia="Calibri" w:cs="Sylfaen"/>
                <w:b/>
                <w:sz w:val="20"/>
                <w:szCs w:val="20"/>
                <w:lang w:val="hy-AM"/>
              </w:rPr>
              <w:t xml:space="preserve">Կարգավորման </w:t>
            </w:r>
            <w:r w:rsidRPr="0053423A">
              <w:rPr>
                <w:rFonts w:eastAsia="Calibri" w:cs="Times New Roman"/>
                <w:b/>
                <w:sz w:val="20"/>
                <w:szCs w:val="20"/>
                <w:lang w:val="hy-AM"/>
              </w:rPr>
              <w:t>հարաբերությունների ներկա վիճակը և առկա խնդիրները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hy-AM"/>
              </w:rPr>
              <w:t>Նյութական և ոչ նյութական մշակութային ժառանգության վերաբերյալ արդեն ընդունվել են Հայաստանի Հանրապետության օրենքներ («Պատմության և մշակույթի անշարժ հուշարձանների ու պատմական միջավայրի պահպանության և օգտագործման մասին», «Մշակութային արժեքների արտահանման և ներմուծման մասին», «Արխիվային գործի մասին»), որոնք կարգավորում են մեր մշակութային ժառանգության որոշակի բնագավառները: Սակայն ներկայում կարգավորված չեն մշակութային ժառանգու</w:t>
            </w:r>
            <w:r w:rsidRPr="0053423A">
              <w:rPr>
                <w:rFonts w:eastAsia="Calibri" w:cs="Times New Roman"/>
                <w:sz w:val="20"/>
                <w:szCs w:val="20"/>
                <w:lang w:val="hy-AM"/>
              </w:rPr>
              <w:softHyphen/>
              <w:t>թյան մաս կազմող Հայաստանի Հանրապետության թանգարանային ֆոնդի, ինչպես նաև յուրաքանչյուր թանգարանի ֆոնդի օգտա</w:t>
            </w:r>
            <w:r w:rsidRPr="0053423A">
              <w:rPr>
                <w:rFonts w:eastAsia="Calibri" w:cs="Times New Roman"/>
                <w:sz w:val="20"/>
                <w:szCs w:val="20"/>
                <w:lang w:val="hy-AM"/>
              </w:rPr>
              <w:softHyphen/>
              <w:t>գործման, տնօրինման, թանգարանների ստեղծ</w:t>
            </w:r>
            <w:r w:rsidRPr="0053423A">
              <w:rPr>
                <w:rFonts w:eastAsia="Calibri" w:cs="Times New Roman"/>
                <w:sz w:val="20"/>
                <w:szCs w:val="20"/>
                <w:lang w:val="hy-AM"/>
              </w:rPr>
              <w:softHyphen/>
              <w:t xml:space="preserve">ման (անկախ սեփականության ձևից), հավատարմագրման և այլ խնդիրները: Ներկայում ՀՀ մշակույթի նախարարության համակարգի թանգարանների գործունեությունը կարգավորվում է ՀՀ մշակույթի նախարարի հրամաններով հաստատած իրավական ակտերով: Կիրարկման մեջ են թվով 6 հրամաններ: </w:t>
            </w:r>
          </w:p>
          <w:p w:rsidR="00A67B6B" w:rsidRPr="0053423A" w:rsidRDefault="00A67B6B" w:rsidP="00A67858">
            <w:pPr>
              <w:spacing w:after="0" w:line="276" w:lineRule="auto"/>
              <w:ind w:firstLine="708"/>
              <w:jc w:val="both"/>
              <w:rPr>
                <w:rFonts w:eastAsia="Times New Roman" w:cs="Times New Roman"/>
                <w:sz w:val="20"/>
                <w:szCs w:val="20"/>
                <w:lang w:val="hy-AM" w:eastAsia="ru-RU"/>
              </w:rPr>
            </w:pPr>
          </w:p>
          <w:p w:rsidR="00A67B6B" w:rsidRPr="0053423A" w:rsidRDefault="00A67B6B" w:rsidP="001F6D5D">
            <w:pPr>
              <w:numPr>
                <w:ilvl w:val="1"/>
                <w:numId w:val="196"/>
              </w:numPr>
              <w:tabs>
                <w:tab w:val="left" w:pos="508"/>
              </w:tabs>
              <w:spacing w:after="0" w:line="276" w:lineRule="auto"/>
              <w:ind w:left="0" w:firstLine="0"/>
              <w:contextualSpacing/>
              <w:rPr>
                <w:rFonts w:eastAsia="Calibri" w:cs="Times New Roman"/>
                <w:b/>
                <w:sz w:val="20"/>
                <w:szCs w:val="20"/>
              </w:rPr>
            </w:pPr>
            <w:r w:rsidRPr="0053423A">
              <w:rPr>
                <w:rFonts w:eastAsia="Calibri" w:cs="Times New Roman"/>
                <w:b/>
                <w:sz w:val="20"/>
                <w:szCs w:val="20"/>
              </w:rPr>
              <w:t>Առկա խնդիրների առաջարկվող լուծումները</w:t>
            </w:r>
          </w:p>
          <w:p w:rsidR="00A67B6B" w:rsidRPr="0053423A" w:rsidRDefault="00A67B6B" w:rsidP="00A67858">
            <w:pPr>
              <w:tabs>
                <w:tab w:val="left" w:pos="508"/>
              </w:tabs>
              <w:spacing w:after="0" w:line="276" w:lineRule="auto"/>
              <w:contextualSpacing/>
              <w:jc w:val="both"/>
              <w:rPr>
                <w:rFonts w:eastAsia="Calibri" w:cs="Sylfaen"/>
                <w:sz w:val="20"/>
                <w:szCs w:val="20"/>
                <w:lang w:val="hy-AM"/>
              </w:rPr>
            </w:pPr>
            <w:r w:rsidRPr="0053423A">
              <w:rPr>
                <w:rFonts w:eastAsia="Calibri" w:cs="Sylfaen"/>
                <w:sz w:val="20"/>
                <w:szCs w:val="20"/>
                <w:lang w:val="hy-AM"/>
              </w:rPr>
              <w:t>Ոլորտում առկա խնդիրների լուծման կարևոր մեխանիզմը օրենսդրական դաշտի կարգավորումն է, որը հնարավոր է «Հայաստանի Հանրապետության թանգարանների մասին» Հայաստանի Հանրապետության օրենքի ընդուն</w:t>
            </w:r>
            <w:r w:rsidRPr="0053423A">
              <w:rPr>
                <w:rFonts w:eastAsia="Calibri" w:cs="Sylfaen"/>
                <w:sz w:val="20"/>
                <w:szCs w:val="20"/>
              </w:rPr>
              <w:t>մամբ</w:t>
            </w:r>
            <w:r w:rsidRPr="0053423A">
              <w:rPr>
                <w:rFonts w:eastAsia="Calibri" w:cs="Sylfaen"/>
                <w:sz w:val="20"/>
                <w:szCs w:val="20"/>
                <w:lang w:val="hy-AM"/>
              </w:rPr>
              <w:t>:</w:t>
            </w:r>
            <w:r w:rsidRPr="0053423A">
              <w:rPr>
                <w:rFonts w:eastAsia="Calibri" w:cs="Sylfaen"/>
                <w:sz w:val="20"/>
                <w:szCs w:val="20"/>
              </w:rPr>
              <w:t xml:space="preserve"> </w:t>
            </w:r>
            <w:r w:rsidRPr="0053423A">
              <w:rPr>
                <w:rFonts w:eastAsia="Calibri" w:cs="Sylfaen"/>
                <w:sz w:val="20"/>
                <w:szCs w:val="20"/>
                <w:lang w:val="hy-AM"/>
              </w:rPr>
              <w:t>Կկարգավոր</w:t>
            </w:r>
            <w:r w:rsidRPr="0053423A">
              <w:rPr>
                <w:rFonts w:eastAsia="Calibri" w:cs="Sylfaen"/>
                <w:sz w:val="20"/>
                <w:szCs w:val="20"/>
              </w:rPr>
              <w:t>են</w:t>
            </w:r>
            <w:r w:rsidRPr="0053423A">
              <w:rPr>
                <w:rFonts w:eastAsia="Calibri" w:cs="Sylfaen"/>
                <w:sz w:val="20"/>
                <w:szCs w:val="20"/>
                <w:lang w:val="hy-AM"/>
              </w:rPr>
              <w:t xml:space="preserve"> թանգարաններում հաշվառված մշակութային ժառանգության պահպանության գործընթացներում ծագող իրավահարաբերությունները, ներառյալ՝ մշակութային արժեքների նույնականացման, փաստաթղթավորման, հետազոտման, կիրառման, վերականգնման, այդ արժեքների նկատմամբ սեփականության իրավունքի պաշտպանությունը: </w:t>
            </w:r>
          </w:p>
          <w:p w:rsidR="00A67B6B" w:rsidRPr="0053423A" w:rsidRDefault="00A67B6B" w:rsidP="001F6D5D">
            <w:pPr>
              <w:numPr>
                <w:ilvl w:val="0"/>
                <w:numId w:val="196"/>
              </w:numPr>
              <w:tabs>
                <w:tab w:val="left" w:pos="508"/>
              </w:tabs>
              <w:spacing w:after="0" w:line="276" w:lineRule="auto"/>
              <w:ind w:left="0" w:firstLine="0"/>
              <w:contextualSpacing/>
              <w:rPr>
                <w:rFonts w:eastAsia="Calibri" w:cs="Times New Roman"/>
                <w:b/>
                <w:sz w:val="20"/>
                <w:szCs w:val="20"/>
              </w:rPr>
            </w:pPr>
            <w:r w:rsidRPr="0053423A">
              <w:rPr>
                <w:rFonts w:eastAsia="Calibri" w:cs="Times New Roman"/>
                <w:b/>
                <w:sz w:val="20"/>
                <w:szCs w:val="20"/>
              </w:rPr>
              <w:t>Միջոցառման իրակա</w:t>
            </w:r>
            <w:r w:rsidRPr="0053423A">
              <w:rPr>
                <w:rFonts w:eastAsia="Calibri" w:cs="Times New Roman"/>
                <w:b/>
                <w:sz w:val="20"/>
                <w:szCs w:val="20"/>
                <w:lang w:val="hy-AM"/>
              </w:rPr>
              <w:t>նա</w:t>
            </w:r>
            <w:r w:rsidRPr="0053423A">
              <w:rPr>
                <w:rFonts w:eastAsia="Calibri" w:cs="Times New Roman"/>
                <w:b/>
                <w:sz w:val="20"/>
                <w:szCs w:val="20"/>
              </w:rPr>
              <w:t>ցումից ակնկալվող արդյունքը</w:t>
            </w:r>
          </w:p>
          <w:p w:rsidR="00A67B6B" w:rsidRPr="0053423A" w:rsidRDefault="00A67B6B" w:rsidP="00A67858">
            <w:pPr>
              <w:tabs>
                <w:tab w:val="left" w:pos="508"/>
              </w:tabs>
              <w:spacing w:after="0" w:line="276" w:lineRule="auto"/>
              <w:contextualSpacing/>
              <w:jc w:val="both"/>
              <w:rPr>
                <w:rFonts w:eastAsia="Calibri" w:cs="Sylfaen"/>
                <w:sz w:val="20"/>
                <w:szCs w:val="20"/>
                <w:lang w:val="hy-AM"/>
              </w:rPr>
            </w:pPr>
            <w:r w:rsidRPr="0053423A">
              <w:rPr>
                <w:rFonts w:eastAsia="Calibri" w:cs="Sylfaen"/>
                <w:sz w:val="20"/>
                <w:szCs w:val="20"/>
                <w:lang w:val="hy-AM"/>
              </w:rPr>
              <w:t>Նախագծի ընդունման արդյունքում կապահովվի թանգարանային բնագավառում պետական միասնական քաղաքականության կիրարկումը, թանգարանների ստեղծման, գործունեության, գործունեության դադարեցման հետ կապված իրավահարաբերությունների կարգավորում, թանգարանների տիպաբանության սահմանում, թանգարանային առարկաների համալրման, հաշվառման, պահպանության և պաշտպանության իրավական հիմքերի կարգավորում: Օրենքը կսահմանի այդ ոլորտում ֆիզիկական ու իրավաբանական անձանց իրավունքներն ու պարտականությունները, ինչպես նաև պետական մարմինների իրավասությունները։</w:t>
            </w:r>
          </w:p>
          <w:p w:rsidR="00A67B6B" w:rsidRPr="0053423A" w:rsidRDefault="00A67B6B" w:rsidP="00A67858">
            <w:pPr>
              <w:tabs>
                <w:tab w:val="left" w:pos="508"/>
              </w:tabs>
              <w:spacing w:after="0" w:line="276" w:lineRule="auto"/>
              <w:contextualSpacing/>
              <w:rPr>
                <w:rFonts w:eastAsia="Calibri" w:cs="Sylfaen"/>
                <w:sz w:val="20"/>
                <w:szCs w:val="20"/>
              </w:rPr>
            </w:pPr>
          </w:p>
          <w:p w:rsidR="00A67B6B" w:rsidRPr="0053423A" w:rsidRDefault="00A67B6B" w:rsidP="00A67858">
            <w:pPr>
              <w:tabs>
                <w:tab w:val="left" w:pos="508"/>
              </w:tabs>
              <w:spacing w:after="0" w:line="276" w:lineRule="auto"/>
              <w:jc w:val="center"/>
              <w:rPr>
                <w:rFonts w:eastAsia="Calibri" w:cs="Calibri"/>
                <w:b/>
                <w:sz w:val="20"/>
                <w:szCs w:val="20"/>
                <w:lang w:val="af-ZA"/>
              </w:rPr>
            </w:pPr>
            <w:r w:rsidRPr="0053423A">
              <w:rPr>
                <w:rFonts w:eastAsia="Calibri" w:cs="GHEA Grapalat"/>
                <w:b/>
                <w:bCs/>
                <w:sz w:val="20"/>
                <w:szCs w:val="20"/>
              </w:rPr>
              <w:t>2</w:t>
            </w:r>
            <w:r w:rsidRPr="0053423A">
              <w:rPr>
                <w:rFonts w:eastAsia="Calibri" w:cs="GHEA Grapalat"/>
                <w:b/>
                <w:bCs/>
                <w:sz w:val="20"/>
                <w:szCs w:val="20"/>
                <w:lang w:val="pt-PT"/>
              </w:rPr>
              <w:t>.2</w:t>
            </w:r>
            <w:r w:rsidRPr="0053423A">
              <w:rPr>
                <w:rFonts w:eastAsia="Calibri" w:cs="GHEA Grapalat"/>
                <w:b/>
                <w:bCs/>
                <w:sz w:val="20"/>
                <w:szCs w:val="20"/>
              </w:rPr>
              <w:t xml:space="preserve"> </w:t>
            </w:r>
            <w:r w:rsidRPr="0053423A">
              <w:rPr>
                <w:rFonts w:eastAsia="Calibri" w:cs="Calibri"/>
                <w:b/>
                <w:sz w:val="20"/>
                <w:szCs w:val="20"/>
                <w:lang w:val="af-ZA"/>
              </w:rPr>
              <w:t xml:space="preserve">Պատմության և մշակույթի անշարժ հուշարձանների ու պատմական միջավայրի պահպանության և </w:t>
            </w:r>
            <w:r w:rsidRPr="0053423A">
              <w:rPr>
                <w:rFonts w:eastAsia="Calibri" w:cs="Calibri"/>
                <w:b/>
                <w:sz w:val="20"/>
                <w:szCs w:val="20"/>
                <w:lang w:val="hy-AM"/>
              </w:rPr>
              <w:t xml:space="preserve"> </w:t>
            </w:r>
            <w:r w:rsidRPr="0053423A">
              <w:rPr>
                <w:rFonts w:eastAsia="Calibri" w:cs="Calibri"/>
                <w:b/>
                <w:sz w:val="20"/>
                <w:szCs w:val="20"/>
                <w:lang w:val="af-ZA"/>
              </w:rPr>
              <w:t xml:space="preserve">օգտագործման </w:t>
            </w:r>
            <w:r w:rsidRPr="0053423A">
              <w:rPr>
                <w:rFonts w:eastAsia="Calibri" w:cs="Calibri"/>
                <w:b/>
                <w:sz w:val="20"/>
                <w:szCs w:val="20"/>
                <w:lang w:val="ru-RU"/>
              </w:rPr>
              <w:t>ոլորտում</w:t>
            </w:r>
            <w:r w:rsidRPr="0053423A">
              <w:rPr>
                <w:rFonts w:eastAsia="Calibri" w:cs="Calibri"/>
                <w:b/>
                <w:sz w:val="20"/>
                <w:szCs w:val="20"/>
              </w:rPr>
              <w:t xml:space="preserve">  </w:t>
            </w:r>
            <w:r w:rsidRPr="0053423A">
              <w:rPr>
                <w:rFonts w:eastAsia="Calibri" w:cs="Calibri"/>
                <w:b/>
                <w:sz w:val="20"/>
                <w:szCs w:val="20"/>
                <w:lang w:val="ru-RU"/>
              </w:rPr>
              <w:t>օրենսդրական</w:t>
            </w:r>
            <w:r w:rsidRPr="0053423A">
              <w:rPr>
                <w:rFonts w:eastAsia="Calibri" w:cs="Calibri"/>
                <w:b/>
                <w:sz w:val="20"/>
                <w:szCs w:val="20"/>
              </w:rPr>
              <w:t xml:space="preserve"> </w:t>
            </w:r>
            <w:r w:rsidRPr="0053423A">
              <w:rPr>
                <w:rFonts w:eastAsia="Calibri" w:cs="Calibri"/>
                <w:b/>
                <w:sz w:val="20"/>
                <w:szCs w:val="20"/>
                <w:lang w:val="ru-RU"/>
              </w:rPr>
              <w:t>դաշտի</w:t>
            </w:r>
            <w:r w:rsidRPr="0053423A">
              <w:rPr>
                <w:rFonts w:eastAsia="Calibri" w:cs="Calibri"/>
                <w:b/>
                <w:sz w:val="20"/>
                <w:szCs w:val="20"/>
              </w:rPr>
              <w:t xml:space="preserve"> </w:t>
            </w:r>
            <w:r w:rsidRPr="0053423A">
              <w:rPr>
                <w:rFonts w:eastAsia="Calibri" w:cs="Calibri"/>
                <w:b/>
                <w:sz w:val="20"/>
                <w:szCs w:val="20"/>
                <w:lang w:val="af-ZA"/>
              </w:rPr>
              <w:t>փոփոխություն</w:t>
            </w:r>
            <w:r w:rsidRPr="0053423A">
              <w:rPr>
                <w:rFonts w:eastAsia="Calibri" w:cs="Calibri"/>
                <w:b/>
                <w:sz w:val="20"/>
                <w:szCs w:val="20"/>
                <w:lang w:val="ru-RU"/>
              </w:rPr>
              <w:t>ների</w:t>
            </w:r>
            <w:r w:rsidRPr="0053423A">
              <w:rPr>
                <w:rFonts w:eastAsia="Calibri" w:cs="Calibri"/>
                <w:b/>
                <w:sz w:val="20"/>
                <w:szCs w:val="20"/>
              </w:rPr>
              <w:t xml:space="preserve"> </w:t>
            </w:r>
            <w:r w:rsidRPr="0053423A">
              <w:rPr>
                <w:rFonts w:eastAsia="Calibri" w:cs="Calibri"/>
                <w:b/>
                <w:sz w:val="20"/>
                <w:szCs w:val="20"/>
                <w:lang w:val="af-ZA"/>
              </w:rPr>
              <w:t xml:space="preserve"> </w:t>
            </w:r>
            <w:r w:rsidRPr="0053423A">
              <w:rPr>
                <w:rFonts w:eastAsia="Calibri" w:cs="Calibri"/>
                <w:b/>
                <w:sz w:val="20"/>
                <w:szCs w:val="20"/>
                <w:lang w:val="ru-RU"/>
              </w:rPr>
              <w:t>փաթեթի</w:t>
            </w:r>
            <w:r w:rsidRPr="0053423A">
              <w:rPr>
                <w:rFonts w:eastAsia="Calibri" w:cs="Calibri"/>
                <w:b/>
                <w:sz w:val="20"/>
                <w:szCs w:val="20"/>
                <w:lang w:val="af-ZA"/>
              </w:rPr>
              <w:t xml:space="preserve"> մշակում և ներկայացում Հայաստանի Հանրապետության վարչապետի աշխատակազմ</w:t>
            </w:r>
          </w:p>
          <w:p w:rsidR="00A67B6B" w:rsidRPr="0053423A" w:rsidRDefault="00A67B6B" w:rsidP="00A67858">
            <w:pPr>
              <w:tabs>
                <w:tab w:val="left" w:pos="508"/>
              </w:tabs>
              <w:spacing w:after="0" w:line="276" w:lineRule="auto"/>
              <w:jc w:val="center"/>
              <w:rPr>
                <w:rFonts w:eastAsia="Calibri" w:cs="GHEA Grapalat"/>
                <w:bCs/>
                <w:sz w:val="20"/>
                <w:szCs w:val="20"/>
                <w:lang w:val="pt-PT"/>
              </w:rPr>
            </w:pPr>
          </w:p>
          <w:p w:rsidR="00A67B6B" w:rsidRPr="0053423A" w:rsidRDefault="00A67B6B" w:rsidP="001F6D5D">
            <w:pPr>
              <w:numPr>
                <w:ilvl w:val="0"/>
                <w:numId w:val="197"/>
              </w:numPr>
              <w:tabs>
                <w:tab w:val="left" w:pos="508"/>
              </w:tabs>
              <w:spacing w:after="0" w:line="276" w:lineRule="auto"/>
              <w:contextualSpacing/>
              <w:rPr>
                <w:rFonts w:eastAsia="Calibri" w:cs="Times New Roman"/>
                <w:b/>
                <w:sz w:val="20"/>
                <w:szCs w:val="20"/>
                <w:lang w:val="af-ZA"/>
              </w:rPr>
            </w:pPr>
            <w:r w:rsidRPr="0053423A">
              <w:rPr>
                <w:rFonts w:eastAsia="Calibri" w:cs="Sylfaen"/>
                <w:b/>
                <w:sz w:val="20"/>
                <w:szCs w:val="20"/>
              </w:rPr>
              <w:t>Միջոցառման</w:t>
            </w:r>
            <w:r w:rsidRPr="0053423A">
              <w:rPr>
                <w:rFonts w:eastAsia="Calibri" w:cs="Times New Roman"/>
                <w:b/>
                <w:sz w:val="20"/>
                <w:szCs w:val="20"/>
                <w:lang w:val="af-ZA"/>
              </w:rPr>
              <w:t xml:space="preserve"> </w:t>
            </w:r>
            <w:r w:rsidRPr="0053423A">
              <w:rPr>
                <w:rFonts w:eastAsia="Calibri" w:cs="Times New Roman"/>
                <w:b/>
                <w:sz w:val="20"/>
                <w:szCs w:val="20"/>
              </w:rPr>
              <w:t>իրակա</w:t>
            </w:r>
            <w:r w:rsidRPr="0053423A">
              <w:rPr>
                <w:rFonts w:eastAsia="Calibri" w:cs="Times New Roman"/>
                <w:b/>
                <w:sz w:val="20"/>
                <w:szCs w:val="20"/>
                <w:lang w:val="hy-AM"/>
              </w:rPr>
              <w:t>նա</w:t>
            </w:r>
            <w:r w:rsidRPr="0053423A">
              <w:rPr>
                <w:rFonts w:eastAsia="Calibri" w:cs="Times New Roman"/>
                <w:b/>
                <w:sz w:val="20"/>
                <w:szCs w:val="20"/>
              </w:rPr>
              <w:t>ցման</w:t>
            </w:r>
            <w:r w:rsidRPr="0053423A">
              <w:rPr>
                <w:rFonts w:eastAsia="Calibri" w:cs="Times New Roman"/>
                <w:b/>
                <w:sz w:val="20"/>
                <w:szCs w:val="20"/>
                <w:lang w:val="af-ZA"/>
              </w:rPr>
              <w:t xml:space="preserve"> </w:t>
            </w:r>
            <w:r w:rsidRPr="0053423A">
              <w:rPr>
                <w:rFonts w:eastAsia="Calibri" w:cs="Times New Roman"/>
                <w:b/>
                <w:sz w:val="20"/>
                <w:szCs w:val="20"/>
              </w:rPr>
              <w:t>անհրաժեշտությունը</w:t>
            </w:r>
            <w:r w:rsidRPr="0053423A">
              <w:rPr>
                <w:rFonts w:eastAsia="Calibri" w:cs="Times New Roman"/>
                <w:b/>
                <w:sz w:val="20"/>
                <w:szCs w:val="20"/>
                <w:lang w:val="af-ZA"/>
              </w:rPr>
              <w:t xml:space="preserve"> </w:t>
            </w:r>
            <w:r w:rsidRPr="0053423A">
              <w:rPr>
                <w:rFonts w:eastAsia="Calibri" w:cs="Times New Roman"/>
                <w:b/>
                <w:sz w:val="20"/>
                <w:szCs w:val="20"/>
              </w:rPr>
              <w:t>և</w:t>
            </w:r>
            <w:r w:rsidRPr="0053423A">
              <w:rPr>
                <w:rFonts w:eastAsia="Calibri" w:cs="Times New Roman"/>
                <w:b/>
                <w:sz w:val="20"/>
                <w:szCs w:val="20"/>
                <w:lang w:val="af-ZA"/>
              </w:rPr>
              <w:t xml:space="preserve"> </w:t>
            </w:r>
            <w:r w:rsidRPr="0053423A">
              <w:rPr>
                <w:rFonts w:eastAsia="Calibri" w:cs="Times New Roman"/>
                <w:b/>
                <w:sz w:val="20"/>
                <w:szCs w:val="20"/>
              </w:rPr>
              <w:t>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hy-AM"/>
              </w:rPr>
              <w:t xml:space="preserve">Բնագավառի կայունության ապահովման համար անհրաժեշտ է հստակեցնել օրենքների բովանդակությունը, օրենքներում առկա բացերը նվազագույնի հասցնելու և միջազգային լավագույն փորձին մոտեցնելու նպատակով պետք է իրականացվեն մի շարք միջոցառումներ և ստեղծվեն իրավական հիմքեր՝ օրենքից բխող մի շարք ենթաօրենսդրական ակտեր ընդունելու համար, որոնք թույլ կտան ամբողջությամբ կանոնակարգել բնագավառի իրավական դաշտը: 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w:t>
            </w:r>
            <w:r w:rsidRPr="0053423A">
              <w:rPr>
                <w:rFonts w:eastAsia="Calibri" w:cs="Times New Roman"/>
                <w:sz w:val="20"/>
                <w:szCs w:val="20"/>
              </w:rPr>
              <w:t>Մշակույթ» բաժին</w:t>
            </w:r>
            <w:r w:rsidRPr="0053423A">
              <w:rPr>
                <w:rFonts w:eastAsia="Calibri" w:cs="Times New Roman"/>
                <w:sz w:val="20"/>
                <w:szCs w:val="20"/>
                <w:lang w:val="hy-AM"/>
              </w:rPr>
              <w:t xml:space="preserve">: </w:t>
            </w:r>
          </w:p>
          <w:p w:rsidR="00A67B6B" w:rsidRPr="0053423A" w:rsidRDefault="00A67B6B" w:rsidP="00A67858">
            <w:pPr>
              <w:tabs>
                <w:tab w:val="left" w:pos="508"/>
                <w:tab w:val="left" w:pos="8494"/>
              </w:tabs>
              <w:spacing w:after="0" w:line="276" w:lineRule="auto"/>
              <w:jc w:val="both"/>
              <w:rPr>
                <w:rFonts w:eastAsia="Calibri" w:cs="Sylfaen"/>
                <w:sz w:val="20"/>
                <w:szCs w:val="20"/>
                <w:lang w:val="af-ZA"/>
              </w:rPr>
            </w:pPr>
          </w:p>
          <w:p w:rsidR="00A67B6B" w:rsidRPr="0053423A" w:rsidRDefault="00A67B6B" w:rsidP="001F6D5D">
            <w:pPr>
              <w:numPr>
                <w:ilvl w:val="1"/>
                <w:numId w:val="197"/>
              </w:numPr>
              <w:tabs>
                <w:tab w:val="left" w:pos="508"/>
              </w:tabs>
              <w:spacing w:after="0" w:line="276" w:lineRule="auto"/>
              <w:contextualSpacing/>
              <w:rPr>
                <w:rFonts w:eastAsia="Calibri" w:cs="Sylfaen"/>
                <w:b/>
                <w:sz w:val="20"/>
                <w:szCs w:val="20"/>
                <w:lang w:val="af-ZA"/>
              </w:rPr>
            </w:pPr>
            <w:r w:rsidRPr="0053423A">
              <w:rPr>
                <w:rFonts w:eastAsia="Calibri" w:cs="Sylfaen"/>
                <w:b/>
                <w:sz w:val="20"/>
                <w:szCs w:val="20"/>
                <w:lang w:val="hy-AM"/>
              </w:rPr>
              <w:t>Կարգավորման</w:t>
            </w:r>
            <w:r w:rsidRPr="0053423A">
              <w:rPr>
                <w:rFonts w:eastAsia="Calibri" w:cs="Times New Roman"/>
                <w:b/>
                <w:sz w:val="20"/>
                <w:szCs w:val="20"/>
                <w:lang w:val="af-ZA"/>
              </w:rPr>
              <w:t xml:space="preserve"> </w:t>
            </w:r>
            <w:r w:rsidRPr="0053423A">
              <w:rPr>
                <w:rFonts w:eastAsia="Calibri" w:cs="Times New Roman"/>
                <w:b/>
                <w:sz w:val="20"/>
                <w:szCs w:val="20"/>
                <w:lang w:val="hy-AM"/>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lang w:val="hy-AM"/>
              </w:rPr>
              <w:t>ներկա</w:t>
            </w:r>
            <w:r w:rsidRPr="0053423A">
              <w:rPr>
                <w:rFonts w:eastAsia="Calibri" w:cs="Times New Roman"/>
                <w:b/>
                <w:sz w:val="20"/>
                <w:szCs w:val="20"/>
                <w:lang w:val="af-ZA"/>
              </w:rPr>
              <w:t xml:space="preserve"> </w:t>
            </w:r>
            <w:r w:rsidRPr="0053423A">
              <w:rPr>
                <w:rFonts w:eastAsia="Calibri" w:cs="Times New Roman"/>
                <w:b/>
                <w:sz w:val="20"/>
                <w:szCs w:val="20"/>
                <w:lang w:val="hy-AM"/>
              </w:rPr>
              <w:t>վիճակը</w:t>
            </w:r>
            <w:r w:rsidRPr="0053423A">
              <w:rPr>
                <w:rFonts w:eastAsia="Calibri" w:cs="Times New Roman"/>
                <w:b/>
                <w:sz w:val="20"/>
                <w:szCs w:val="20"/>
                <w:lang w:val="af-ZA"/>
              </w:rPr>
              <w:t xml:space="preserve"> </w:t>
            </w:r>
            <w:r w:rsidRPr="0053423A">
              <w:rPr>
                <w:rFonts w:eastAsia="Calibri" w:cs="Times New Roman"/>
                <w:b/>
                <w:sz w:val="20"/>
                <w:szCs w:val="20"/>
                <w:lang w:val="hy-AM"/>
              </w:rPr>
              <w:t>և</w:t>
            </w:r>
            <w:r w:rsidRPr="0053423A">
              <w:rPr>
                <w:rFonts w:eastAsia="Calibri" w:cs="Times New Roman"/>
                <w:b/>
                <w:sz w:val="20"/>
                <w:szCs w:val="20"/>
                <w:lang w:val="af-ZA"/>
              </w:rPr>
              <w:t xml:space="preserve"> </w:t>
            </w:r>
            <w:r w:rsidRPr="0053423A">
              <w:rPr>
                <w:rFonts w:eastAsia="Calibri" w:cs="Times New Roman"/>
                <w:b/>
                <w:sz w:val="20"/>
                <w:szCs w:val="20"/>
                <w:lang w:val="hy-AM"/>
              </w:rPr>
              <w:t>առկա</w:t>
            </w:r>
            <w:r w:rsidRPr="0053423A">
              <w:rPr>
                <w:rFonts w:eastAsia="Calibri" w:cs="Times New Roman"/>
                <w:b/>
                <w:sz w:val="20"/>
                <w:szCs w:val="20"/>
                <w:lang w:val="af-ZA"/>
              </w:rPr>
              <w:t xml:space="preserve"> </w:t>
            </w:r>
            <w:r w:rsidRPr="0053423A">
              <w:rPr>
                <w:rFonts w:eastAsia="Calibri" w:cs="Times New Roman"/>
                <w:b/>
                <w:sz w:val="20"/>
                <w:szCs w:val="20"/>
                <w:lang w:val="hy-AM"/>
              </w:rPr>
              <w:t>խնդիրները</w:t>
            </w:r>
          </w:p>
          <w:p w:rsidR="00A67B6B" w:rsidRPr="0053423A" w:rsidRDefault="00A67B6B" w:rsidP="00A67858">
            <w:pPr>
              <w:tabs>
                <w:tab w:val="left" w:pos="508"/>
              </w:tabs>
              <w:spacing w:after="0" w:line="276" w:lineRule="auto"/>
              <w:jc w:val="both"/>
              <w:rPr>
                <w:rFonts w:eastAsia="Calibri" w:cs="GHEA Grapalat"/>
                <w:sz w:val="20"/>
                <w:szCs w:val="20"/>
                <w:lang w:val="af-ZA"/>
              </w:rPr>
            </w:pPr>
            <w:r w:rsidRPr="0053423A">
              <w:rPr>
                <w:rFonts w:eastAsia="Calibri" w:cs="GHEA Grapalat"/>
                <w:sz w:val="20"/>
                <w:szCs w:val="20"/>
                <w:lang w:val="af-ZA"/>
              </w:rPr>
              <w:t>Գործող օրենքն ընդունվել է 1998 թվականին, որից հետո ընդունվ</w:t>
            </w:r>
            <w:r w:rsidRPr="0053423A">
              <w:rPr>
                <w:rFonts w:eastAsia="Calibri" w:cs="GHEA Grapalat"/>
                <w:sz w:val="20"/>
                <w:szCs w:val="20"/>
              </w:rPr>
              <w:t>ել</w:t>
            </w:r>
            <w:r w:rsidRPr="0053423A">
              <w:rPr>
                <w:rFonts w:eastAsia="Calibri" w:cs="GHEA Grapalat"/>
                <w:sz w:val="20"/>
                <w:szCs w:val="20"/>
                <w:lang w:val="af-ZA"/>
              </w:rPr>
              <w:t xml:space="preserve"> են մի շարք նոր օրենքներ` </w:t>
            </w:r>
            <w:r w:rsidRPr="0053423A">
              <w:rPr>
                <w:rFonts w:eastAsia="Calibri" w:cs="Sylfaen"/>
                <w:spacing w:val="-2"/>
                <w:sz w:val="20"/>
                <w:szCs w:val="20"/>
                <w:lang w:val="pt-BR"/>
              </w:rPr>
              <w:t>«</w:t>
            </w:r>
            <w:r w:rsidRPr="0053423A">
              <w:rPr>
                <w:rFonts w:eastAsia="Calibri" w:cs="Sylfaen"/>
                <w:sz w:val="20"/>
                <w:szCs w:val="20"/>
                <w:lang w:val="pt-PT"/>
              </w:rPr>
              <w:t>Իրավական ակտերի մասին</w:t>
            </w:r>
            <w:r w:rsidRPr="0053423A">
              <w:rPr>
                <w:rFonts w:eastAsia="Calibri" w:cs="Sylfaen"/>
                <w:sz w:val="20"/>
                <w:szCs w:val="20"/>
                <w:lang w:val="af-ZA"/>
              </w:rPr>
              <w:t>»</w:t>
            </w:r>
            <w:r w:rsidRPr="0053423A">
              <w:rPr>
                <w:rFonts w:eastAsia="Calibri" w:cs="Sylfaen"/>
                <w:sz w:val="20"/>
                <w:szCs w:val="20"/>
                <w:lang w:val="pt-PT"/>
              </w:rPr>
              <w:t xml:space="preserve"> </w:t>
            </w:r>
            <w:r w:rsidRPr="0053423A">
              <w:rPr>
                <w:rFonts w:eastAsia="Calibri" w:cs="Times New Roman"/>
                <w:sz w:val="20"/>
                <w:szCs w:val="20"/>
                <w:lang w:val="hy-AM"/>
              </w:rPr>
              <w:t>Հայաստանի Հանրապետության</w:t>
            </w:r>
            <w:r w:rsidRPr="0053423A">
              <w:rPr>
                <w:rFonts w:eastAsia="Calibri" w:cs="Sylfaen"/>
                <w:sz w:val="20"/>
                <w:szCs w:val="20"/>
                <w:lang w:val="pt-PT"/>
              </w:rPr>
              <w:t xml:space="preserve"> օրենք, </w:t>
            </w:r>
            <w:r w:rsidRPr="0053423A">
              <w:rPr>
                <w:rFonts w:eastAsia="Calibri" w:cs="Sylfaen"/>
                <w:spacing w:val="-2"/>
                <w:sz w:val="20"/>
                <w:szCs w:val="20"/>
                <w:lang w:val="pt-BR"/>
              </w:rPr>
              <w:t>«</w:t>
            </w:r>
            <w:r w:rsidRPr="0053423A">
              <w:rPr>
                <w:rFonts w:eastAsia="Calibri" w:cs="Sylfaen"/>
                <w:sz w:val="20"/>
                <w:szCs w:val="20"/>
                <w:lang w:val="pt-PT"/>
              </w:rPr>
              <w:t>Տեղական ինքնակառավարման մասին</w:t>
            </w:r>
            <w:r w:rsidRPr="0053423A">
              <w:rPr>
                <w:rFonts w:eastAsia="Calibri" w:cs="Sylfaen"/>
                <w:sz w:val="20"/>
                <w:szCs w:val="20"/>
                <w:lang w:val="af-ZA"/>
              </w:rPr>
              <w:t>»</w:t>
            </w:r>
            <w:r w:rsidRPr="0053423A">
              <w:rPr>
                <w:rFonts w:eastAsia="Calibri" w:cs="Sylfaen"/>
                <w:sz w:val="20"/>
                <w:szCs w:val="20"/>
                <w:lang w:val="pt-PT"/>
              </w:rPr>
              <w:t xml:space="preserve"> </w:t>
            </w:r>
            <w:r w:rsidRPr="0053423A">
              <w:rPr>
                <w:rFonts w:eastAsia="Calibri" w:cs="Times New Roman"/>
                <w:sz w:val="20"/>
                <w:szCs w:val="20"/>
                <w:lang w:val="hy-AM"/>
              </w:rPr>
              <w:t>Հայաստանի Հանրապետության</w:t>
            </w:r>
            <w:r w:rsidRPr="0053423A">
              <w:rPr>
                <w:rFonts w:eastAsia="Calibri" w:cs="Sylfaen"/>
                <w:sz w:val="20"/>
                <w:szCs w:val="20"/>
                <w:lang w:val="pt-PT"/>
              </w:rPr>
              <w:t xml:space="preserve"> օրենք,</w:t>
            </w:r>
            <w:r w:rsidRPr="0053423A">
              <w:rPr>
                <w:rFonts w:eastAsia="Calibri" w:cs="Sylfaen"/>
                <w:spacing w:val="-2"/>
                <w:sz w:val="20"/>
                <w:szCs w:val="20"/>
                <w:lang w:val="pt-BR"/>
              </w:rPr>
              <w:t xml:space="preserve"> «Լիցենզավորման մասին</w:t>
            </w:r>
            <w:r w:rsidRPr="0053423A">
              <w:rPr>
                <w:rFonts w:eastAsia="Calibri" w:cs="Sylfaen"/>
                <w:sz w:val="20"/>
                <w:szCs w:val="20"/>
                <w:lang w:val="af-ZA"/>
              </w:rPr>
              <w:t xml:space="preserve">» </w:t>
            </w:r>
            <w:r w:rsidRPr="0053423A">
              <w:rPr>
                <w:rFonts w:eastAsia="Calibri" w:cs="Times New Roman"/>
                <w:sz w:val="20"/>
                <w:szCs w:val="20"/>
                <w:lang w:val="hy-AM"/>
              </w:rPr>
              <w:t>Հայաստանի Հանրապետության</w:t>
            </w:r>
            <w:r w:rsidRPr="0053423A">
              <w:rPr>
                <w:rFonts w:eastAsia="Calibri" w:cs="Sylfaen"/>
                <w:sz w:val="20"/>
                <w:szCs w:val="20"/>
                <w:lang w:val="af-ZA"/>
              </w:rPr>
              <w:t xml:space="preserve"> օրենք</w:t>
            </w:r>
            <w:r w:rsidRPr="0053423A">
              <w:rPr>
                <w:rFonts w:eastAsia="Calibri" w:cs="Sylfaen"/>
                <w:sz w:val="20"/>
                <w:szCs w:val="20"/>
                <w:lang w:val="pt-PT"/>
              </w:rPr>
              <w:t xml:space="preserve"> և այլն,</w:t>
            </w:r>
            <w:r w:rsidRPr="0053423A">
              <w:rPr>
                <w:rFonts w:eastAsia="Calibri" w:cs="GHEA Grapalat"/>
                <w:sz w:val="20"/>
                <w:szCs w:val="20"/>
                <w:lang w:val="af-ZA"/>
              </w:rPr>
              <w:t xml:space="preserve"> որոնք ուղղակի կամ անուղղակի առնչվում են պատմամշակութային անշարժ ժառանգության պահպանությանը և օգտագործմանը:</w:t>
            </w:r>
            <w:r w:rsidRPr="0053423A">
              <w:rPr>
                <w:rFonts w:eastAsia="Calibri" w:cs="GHEA Grapalat"/>
                <w:sz w:val="20"/>
                <w:szCs w:val="20"/>
                <w:lang w:val="hy-AM"/>
              </w:rPr>
              <w:t xml:space="preserve"> </w:t>
            </w:r>
            <w:r w:rsidRPr="0053423A">
              <w:rPr>
                <w:rFonts w:eastAsia="Calibri" w:cs="GHEA Grapalat"/>
                <w:sz w:val="20"/>
                <w:szCs w:val="20"/>
              </w:rPr>
              <w:t>Միևնույն</w:t>
            </w:r>
            <w:r w:rsidRPr="0053423A">
              <w:rPr>
                <w:rFonts w:eastAsia="Calibri" w:cs="GHEA Grapalat"/>
                <w:sz w:val="20"/>
                <w:szCs w:val="20"/>
                <w:lang w:val="af-ZA"/>
              </w:rPr>
              <w:t xml:space="preserve"> </w:t>
            </w:r>
            <w:r w:rsidRPr="0053423A">
              <w:rPr>
                <w:rFonts w:eastAsia="Calibri" w:cs="GHEA Grapalat"/>
                <w:sz w:val="20"/>
                <w:szCs w:val="20"/>
              </w:rPr>
              <w:t>ժամանակ</w:t>
            </w:r>
            <w:r w:rsidRPr="0053423A">
              <w:rPr>
                <w:rFonts w:eastAsia="Calibri" w:cs="GHEA Grapalat"/>
                <w:sz w:val="20"/>
                <w:szCs w:val="20"/>
                <w:lang w:val="af-ZA"/>
              </w:rPr>
              <w:t xml:space="preserve"> </w:t>
            </w:r>
            <w:r w:rsidRPr="0053423A">
              <w:rPr>
                <w:rFonts w:eastAsia="Calibri" w:cs="GHEA Grapalat"/>
                <w:sz w:val="20"/>
                <w:szCs w:val="20"/>
                <w:lang w:val="hy-AM"/>
              </w:rPr>
              <w:t xml:space="preserve">վավերացվել են </w:t>
            </w:r>
            <w:r w:rsidRPr="0053423A">
              <w:rPr>
                <w:rFonts w:eastAsia="Calibri" w:cs="GHEA Grapalat"/>
                <w:spacing w:val="-2"/>
                <w:sz w:val="20"/>
                <w:szCs w:val="20"/>
                <w:lang w:val="pt-BR"/>
              </w:rPr>
              <w:t>«</w:t>
            </w:r>
            <w:r w:rsidRPr="0053423A">
              <w:rPr>
                <w:rFonts w:eastAsia="Calibri" w:cs="GHEA Grapalat"/>
                <w:sz w:val="20"/>
                <w:szCs w:val="20"/>
                <w:lang w:val="af-ZA"/>
              </w:rPr>
              <w:t>Եվրոպայի ճարտարապե</w:t>
            </w:r>
            <w:r w:rsidRPr="0053423A">
              <w:rPr>
                <w:rFonts w:eastAsia="Calibri" w:cs="GHEA Grapalat"/>
                <w:sz w:val="20"/>
                <w:szCs w:val="20"/>
                <w:lang w:val="af-ZA"/>
              </w:rPr>
              <w:softHyphen/>
              <w:t>տական ժա</w:t>
            </w:r>
            <w:r w:rsidRPr="0053423A">
              <w:rPr>
                <w:rFonts w:eastAsia="Calibri" w:cs="GHEA Grapalat"/>
                <w:sz w:val="20"/>
                <w:szCs w:val="20"/>
                <w:lang w:val="af-ZA"/>
              </w:rPr>
              <w:softHyphen/>
              <w:t>ռանգու</w:t>
            </w:r>
            <w:r w:rsidRPr="0053423A">
              <w:rPr>
                <w:rFonts w:eastAsia="Calibri" w:cs="GHEA Grapalat"/>
                <w:sz w:val="20"/>
                <w:szCs w:val="20"/>
                <w:lang w:val="af-ZA"/>
              </w:rPr>
              <w:softHyphen/>
              <w:t>թյան պահպանության մասին</w:t>
            </w:r>
            <w:r w:rsidRPr="0053423A">
              <w:rPr>
                <w:rFonts w:eastAsia="Calibri" w:cs="Sylfaen"/>
                <w:sz w:val="20"/>
                <w:szCs w:val="20"/>
                <w:lang w:val="af-ZA"/>
              </w:rPr>
              <w:t>»</w:t>
            </w:r>
            <w:r w:rsidRPr="0053423A">
              <w:rPr>
                <w:rFonts w:eastAsia="Calibri" w:cs="Sylfaen"/>
                <w:spacing w:val="-2"/>
                <w:sz w:val="20"/>
                <w:szCs w:val="20"/>
                <w:lang w:val="hy-AM"/>
              </w:rPr>
              <w:t xml:space="preserve"> </w:t>
            </w:r>
            <w:r w:rsidRPr="0053423A">
              <w:rPr>
                <w:rFonts w:eastAsia="Calibri" w:cs="GHEA Grapalat"/>
                <w:sz w:val="20"/>
                <w:szCs w:val="20"/>
                <w:lang w:val="af-ZA"/>
              </w:rPr>
              <w:t>և</w:t>
            </w:r>
            <w:r w:rsidRPr="0053423A">
              <w:rPr>
                <w:rFonts w:eastAsia="Calibri" w:cs="GHEA Grapalat"/>
                <w:sz w:val="20"/>
                <w:szCs w:val="20"/>
                <w:lang w:val="hy-AM"/>
              </w:rPr>
              <w:t xml:space="preserve"> </w:t>
            </w:r>
            <w:r w:rsidRPr="0053423A">
              <w:rPr>
                <w:rFonts w:eastAsia="Calibri" w:cs="GHEA Grapalat"/>
                <w:spacing w:val="-2"/>
                <w:sz w:val="20"/>
                <w:szCs w:val="20"/>
                <w:lang w:val="pt-BR"/>
              </w:rPr>
              <w:t>«</w:t>
            </w:r>
            <w:r w:rsidRPr="0053423A">
              <w:rPr>
                <w:rFonts w:eastAsia="Calibri" w:cs="GHEA Grapalat"/>
                <w:sz w:val="20"/>
                <w:szCs w:val="20"/>
                <w:lang w:val="af-ZA"/>
              </w:rPr>
              <w:t>Հնագիտական ժառանգության պահ</w:t>
            </w:r>
            <w:r w:rsidRPr="0053423A">
              <w:rPr>
                <w:rFonts w:eastAsia="Calibri" w:cs="GHEA Grapalat"/>
                <w:sz w:val="20"/>
                <w:szCs w:val="20"/>
                <w:lang w:val="af-ZA"/>
              </w:rPr>
              <w:softHyphen/>
              <w:t>պա</w:t>
            </w:r>
            <w:r w:rsidRPr="0053423A">
              <w:rPr>
                <w:rFonts w:eastAsia="Calibri" w:cs="GHEA Grapalat"/>
                <w:sz w:val="20"/>
                <w:szCs w:val="20"/>
                <w:lang w:val="af-ZA"/>
              </w:rPr>
              <w:softHyphen/>
            </w:r>
            <w:r w:rsidRPr="0053423A">
              <w:rPr>
                <w:rFonts w:eastAsia="Calibri" w:cs="GHEA Grapalat"/>
                <w:sz w:val="20"/>
                <w:szCs w:val="20"/>
                <w:lang w:val="af-ZA"/>
              </w:rPr>
              <w:softHyphen/>
              <w:t>նության մասին</w:t>
            </w:r>
            <w:r w:rsidRPr="0053423A">
              <w:rPr>
                <w:rFonts w:eastAsia="Calibri" w:cs="Sylfaen"/>
                <w:sz w:val="20"/>
                <w:szCs w:val="20"/>
                <w:lang w:val="af-ZA"/>
              </w:rPr>
              <w:t>»</w:t>
            </w:r>
            <w:r w:rsidRPr="0053423A">
              <w:rPr>
                <w:rFonts w:eastAsia="Calibri" w:cs="Sylfaen"/>
                <w:spacing w:val="-2"/>
                <w:sz w:val="20"/>
                <w:szCs w:val="20"/>
                <w:lang w:val="hy-AM"/>
              </w:rPr>
              <w:t xml:space="preserve"> </w:t>
            </w:r>
            <w:r w:rsidRPr="0053423A">
              <w:rPr>
                <w:rFonts w:eastAsia="Calibri" w:cs="GHEA Grapalat"/>
                <w:sz w:val="20"/>
                <w:szCs w:val="20"/>
              </w:rPr>
              <w:t>եվրոպական</w:t>
            </w:r>
            <w:r w:rsidRPr="0053423A">
              <w:rPr>
                <w:rFonts w:eastAsia="Calibri" w:cs="GHEA Grapalat"/>
                <w:sz w:val="20"/>
                <w:szCs w:val="20"/>
                <w:lang w:val="af-ZA"/>
              </w:rPr>
              <w:t xml:space="preserve"> կոն</w:t>
            </w:r>
            <w:r w:rsidRPr="0053423A">
              <w:rPr>
                <w:rFonts w:eastAsia="Calibri" w:cs="GHEA Grapalat"/>
                <w:sz w:val="20"/>
                <w:szCs w:val="20"/>
                <w:lang w:val="af-ZA"/>
              </w:rPr>
              <w:softHyphen/>
              <w:t>վենցիա</w:t>
            </w:r>
            <w:r w:rsidRPr="0053423A">
              <w:rPr>
                <w:rFonts w:eastAsia="Calibri" w:cs="GHEA Grapalat"/>
                <w:sz w:val="20"/>
                <w:szCs w:val="20"/>
                <w:lang w:val="hy-AM"/>
              </w:rPr>
              <w:t>ն</w:t>
            </w:r>
            <w:r w:rsidRPr="0053423A">
              <w:rPr>
                <w:rFonts w:eastAsia="Calibri" w:cs="GHEA Grapalat"/>
                <w:sz w:val="20"/>
                <w:szCs w:val="20"/>
              </w:rPr>
              <w:t>երը</w:t>
            </w:r>
            <w:r w:rsidRPr="0053423A">
              <w:rPr>
                <w:rFonts w:eastAsia="Calibri" w:cs="GHEA Grapalat"/>
                <w:sz w:val="20"/>
                <w:szCs w:val="20"/>
                <w:lang w:val="af-ZA"/>
              </w:rPr>
              <w:t>:</w:t>
            </w:r>
          </w:p>
          <w:p w:rsidR="00A67B6B" w:rsidRPr="0053423A" w:rsidRDefault="00A67B6B" w:rsidP="00A67858">
            <w:pPr>
              <w:tabs>
                <w:tab w:val="left" w:pos="508"/>
              </w:tabs>
              <w:spacing w:after="0" w:line="276" w:lineRule="auto"/>
              <w:jc w:val="both"/>
              <w:rPr>
                <w:rFonts w:eastAsia="Calibri" w:cs="GHEA Grapalat"/>
                <w:sz w:val="20"/>
                <w:szCs w:val="20"/>
                <w:lang w:val="af-ZA"/>
              </w:rPr>
            </w:pPr>
          </w:p>
          <w:p w:rsidR="00A67B6B" w:rsidRPr="0053423A" w:rsidRDefault="00A67B6B" w:rsidP="001F6D5D">
            <w:pPr>
              <w:numPr>
                <w:ilvl w:val="1"/>
                <w:numId w:val="197"/>
              </w:numPr>
              <w:tabs>
                <w:tab w:val="left" w:pos="508"/>
              </w:tabs>
              <w:spacing w:after="0" w:line="276" w:lineRule="auto"/>
              <w:contextualSpacing/>
              <w:rPr>
                <w:rFonts w:eastAsia="Calibri" w:cs="Times New Roman"/>
                <w:b/>
                <w:sz w:val="20"/>
                <w:szCs w:val="20"/>
              </w:rPr>
            </w:pPr>
            <w:r w:rsidRPr="0053423A">
              <w:rPr>
                <w:rFonts w:eastAsia="Calibri" w:cs="Times New Roman"/>
                <w:b/>
                <w:sz w:val="20"/>
                <w:szCs w:val="20"/>
              </w:rPr>
              <w:t>Առկա խնդիրների առաջարկվող լուծումները</w:t>
            </w:r>
          </w:p>
          <w:p w:rsidR="00A67B6B" w:rsidRPr="0053423A" w:rsidRDefault="00A67B6B" w:rsidP="00A67858">
            <w:pPr>
              <w:tabs>
                <w:tab w:val="left" w:pos="508"/>
              </w:tabs>
              <w:spacing w:after="0" w:line="276" w:lineRule="auto"/>
              <w:jc w:val="both"/>
              <w:rPr>
                <w:rFonts w:eastAsia="Calibri" w:cs="Times New Roman"/>
                <w:sz w:val="20"/>
                <w:szCs w:val="20"/>
                <w:lang w:val="af-ZA"/>
              </w:rPr>
            </w:pPr>
            <w:r w:rsidRPr="0053423A">
              <w:rPr>
                <w:rFonts w:eastAsia="Calibri" w:cs="Sylfaen"/>
                <w:sz w:val="20"/>
                <w:szCs w:val="20"/>
              </w:rPr>
              <w:t>Օրենքի</w:t>
            </w:r>
            <w:r w:rsidRPr="0053423A">
              <w:rPr>
                <w:rFonts w:eastAsia="Calibri" w:cs="Times New Roman"/>
                <w:sz w:val="20"/>
                <w:szCs w:val="20"/>
                <w:lang w:val="af-ZA"/>
              </w:rPr>
              <w:t xml:space="preserve"> </w:t>
            </w:r>
            <w:r w:rsidRPr="0053423A">
              <w:rPr>
                <w:rFonts w:eastAsia="Calibri" w:cs="Sylfaen"/>
                <w:sz w:val="20"/>
                <w:szCs w:val="20"/>
              </w:rPr>
              <w:t>նախագծում</w:t>
            </w:r>
            <w:r w:rsidRPr="0053423A">
              <w:rPr>
                <w:rFonts w:eastAsia="Calibri" w:cs="Times New Roman"/>
                <w:sz w:val="20"/>
                <w:szCs w:val="20"/>
                <w:lang w:val="af-ZA"/>
              </w:rPr>
              <w:t xml:space="preserve"> </w:t>
            </w:r>
            <w:r w:rsidRPr="0053423A">
              <w:rPr>
                <w:rFonts w:eastAsia="Calibri" w:cs="Sylfaen"/>
                <w:sz w:val="20"/>
                <w:szCs w:val="20"/>
              </w:rPr>
              <w:t>առաջարկվում</w:t>
            </w:r>
            <w:r w:rsidRPr="0053423A">
              <w:rPr>
                <w:rFonts w:eastAsia="Calibri" w:cs="Times New Roman"/>
                <w:sz w:val="20"/>
                <w:szCs w:val="20"/>
                <w:lang w:val="af-ZA"/>
              </w:rPr>
              <w:t xml:space="preserve"> </w:t>
            </w:r>
            <w:r w:rsidRPr="0053423A">
              <w:rPr>
                <w:rFonts w:eastAsia="Calibri" w:cs="Sylfaen"/>
                <w:sz w:val="20"/>
                <w:szCs w:val="20"/>
              </w:rPr>
              <w:t>է</w:t>
            </w:r>
            <w:r w:rsidRPr="0053423A">
              <w:rPr>
                <w:rFonts w:eastAsia="Calibri" w:cs="Times New Roman"/>
                <w:sz w:val="20"/>
                <w:szCs w:val="20"/>
                <w:lang w:val="af-ZA"/>
              </w:rPr>
              <w:t>`</w:t>
            </w:r>
          </w:p>
          <w:p w:rsidR="00A67B6B" w:rsidRPr="0053423A" w:rsidRDefault="00A67B6B" w:rsidP="001F6D5D">
            <w:pPr>
              <w:numPr>
                <w:ilvl w:val="0"/>
                <w:numId w:val="198"/>
              </w:numPr>
              <w:tabs>
                <w:tab w:val="left" w:pos="508"/>
              </w:tabs>
              <w:spacing w:after="0" w:line="276" w:lineRule="auto"/>
              <w:ind w:left="0" w:firstLine="0"/>
              <w:jc w:val="both"/>
              <w:rPr>
                <w:rFonts w:eastAsia="Calibri" w:cs="GHEA Grapalat"/>
                <w:sz w:val="20"/>
                <w:szCs w:val="20"/>
                <w:lang w:val="af-ZA"/>
              </w:rPr>
            </w:pPr>
            <w:r w:rsidRPr="0053423A">
              <w:rPr>
                <w:rFonts w:eastAsia="Calibri" w:cs="GHEA Grapalat"/>
                <w:sz w:val="20"/>
                <w:szCs w:val="20"/>
                <w:lang w:val="hy-AM"/>
              </w:rPr>
              <w:t>ս</w:t>
            </w:r>
            <w:r w:rsidRPr="0053423A">
              <w:rPr>
                <w:rFonts w:eastAsia="Calibri" w:cs="GHEA Grapalat"/>
                <w:sz w:val="20"/>
                <w:szCs w:val="20"/>
              </w:rPr>
              <w:t>ահմանել</w:t>
            </w:r>
            <w:r w:rsidRPr="0053423A">
              <w:rPr>
                <w:rFonts w:eastAsia="Calibri" w:cs="GHEA Grapalat"/>
                <w:sz w:val="20"/>
                <w:szCs w:val="20"/>
                <w:lang w:val="af-ZA"/>
              </w:rPr>
              <w:t xml:space="preserve"> պատմամշակութային անշարժ ժառանգության պահպանությանը և օգտագործմանը վերաբերող </w:t>
            </w:r>
            <w:r w:rsidRPr="0053423A">
              <w:rPr>
                <w:rFonts w:eastAsia="Calibri" w:cs="GHEA Grapalat"/>
                <w:sz w:val="20"/>
                <w:szCs w:val="20"/>
              </w:rPr>
              <w:t>հասկացությունները</w:t>
            </w:r>
            <w:r w:rsidRPr="0053423A">
              <w:rPr>
                <w:rFonts w:eastAsia="Calibri" w:cs="GHEA Grapalat"/>
                <w:sz w:val="20"/>
                <w:szCs w:val="20"/>
                <w:lang w:val="af-ZA"/>
              </w:rPr>
              <w:t>,</w:t>
            </w:r>
          </w:p>
          <w:p w:rsidR="00A67B6B" w:rsidRPr="0053423A" w:rsidRDefault="00A67B6B" w:rsidP="001F6D5D">
            <w:pPr>
              <w:numPr>
                <w:ilvl w:val="0"/>
                <w:numId w:val="198"/>
              </w:numPr>
              <w:tabs>
                <w:tab w:val="left" w:pos="508"/>
              </w:tabs>
              <w:spacing w:after="0" w:line="276" w:lineRule="auto"/>
              <w:ind w:left="0" w:firstLine="0"/>
              <w:jc w:val="both"/>
              <w:rPr>
                <w:rFonts w:eastAsia="Calibri" w:cs="GHEA Grapalat"/>
                <w:sz w:val="20"/>
                <w:szCs w:val="20"/>
                <w:lang w:val="af-ZA"/>
              </w:rPr>
            </w:pPr>
            <w:r w:rsidRPr="0053423A">
              <w:rPr>
                <w:rFonts w:eastAsia="Calibri" w:cs="Sylfaen"/>
                <w:sz w:val="20"/>
                <w:szCs w:val="20"/>
                <w:lang w:val="af-ZA"/>
              </w:rPr>
              <w:t xml:space="preserve">հստակ սահմանել լիազոր մարմնի </w:t>
            </w:r>
            <w:r w:rsidRPr="0053423A">
              <w:rPr>
                <w:rFonts w:eastAsia="Calibri" w:cs="GHEA Grapalat"/>
                <w:sz w:val="20"/>
                <w:szCs w:val="20"/>
                <w:lang w:val="hy-AM"/>
              </w:rPr>
              <w:t>լիազորությունները</w:t>
            </w:r>
            <w:r w:rsidRPr="0053423A">
              <w:rPr>
                <w:rFonts w:eastAsia="Calibri" w:cs="GHEA Grapalat"/>
                <w:sz w:val="20"/>
                <w:szCs w:val="20"/>
                <w:lang w:val="af-ZA"/>
              </w:rPr>
              <w:t>,</w:t>
            </w:r>
          </w:p>
          <w:p w:rsidR="00A67B6B" w:rsidRPr="0053423A" w:rsidRDefault="00A67B6B" w:rsidP="001F6D5D">
            <w:pPr>
              <w:numPr>
                <w:ilvl w:val="0"/>
                <w:numId w:val="198"/>
              </w:numPr>
              <w:tabs>
                <w:tab w:val="left" w:pos="508"/>
              </w:tabs>
              <w:spacing w:after="0" w:line="276" w:lineRule="auto"/>
              <w:ind w:left="0" w:firstLine="0"/>
              <w:jc w:val="both"/>
              <w:rPr>
                <w:rFonts w:eastAsia="Calibri" w:cs="GHEA Grapalat"/>
                <w:sz w:val="20"/>
                <w:szCs w:val="20"/>
                <w:lang w:val="af-ZA"/>
              </w:rPr>
            </w:pPr>
            <w:r w:rsidRPr="0053423A">
              <w:rPr>
                <w:rFonts w:eastAsia="Calibri" w:cs="Sylfaen"/>
                <w:sz w:val="20"/>
                <w:szCs w:val="20"/>
              </w:rPr>
              <w:t>ներդնել</w:t>
            </w:r>
            <w:r w:rsidRPr="0053423A">
              <w:rPr>
                <w:rFonts w:eastAsia="Calibri" w:cs="Sylfaen"/>
                <w:sz w:val="20"/>
                <w:szCs w:val="20"/>
                <w:lang w:val="af-ZA"/>
              </w:rPr>
              <w:t xml:space="preserve"> </w:t>
            </w:r>
            <w:r w:rsidRPr="0053423A">
              <w:rPr>
                <w:rFonts w:eastAsia="Calibri" w:cs="Sylfaen"/>
                <w:sz w:val="20"/>
                <w:szCs w:val="20"/>
              </w:rPr>
              <w:t>հուշարձանների</w:t>
            </w:r>
            <w:r w:rsidRPr="0053423A">
              <w:rPr>
                <w:rFonts w:eastAsia="Calibri" w:cs="Times New Roman"/>
                <w:sz w:val="20"/>
                <w:szCs w:val="20"/>
                <w:lang w:val="pt-PT"/>
              </w:rPr>
              <w:t xml:space="preserve"> </w:t>
            </w:r>
            <w:r w:rsidRPr="0053423A">
              <w:rPr>
                <w:rFonts w:eastAsia="Calibri" w:cs="Sylfaen"/>
                <w:sz w:val="20"/>
                <w:szCs w:val="20"/>
              </w:rPr>
              <w:t>պահպանության</w:t>
            </w:r>
            <w:r w:rsidRPr="0053423A">
              <w:rPr>
                <w:rFonts w:eastAsia="Calibri" w:cs="Times New Roman"/>
                <w:sz w:val="20"/>
                <w:szCs w:val="20"/>
                <w:lang w:val="pt-PT"/>
              </w:rPr>
              <w:t xml:space="preserve"> </w:t>
            </w:r>
            <w:r w:rsidRPr="0053423A">
              <w:rPr>
                <w:rFonts w:eastAsia="Calibri" w:cs="Sylfaen"/>
                <w:sz w:val="20"/>
                <w:szCs w:val="20"/>
              </w:rPr>
              <w:t>և</w:t>
            </w:r>
            <w:r w:rsidRPr="0053423A">
              <w:rPr>
                <w:rFonts w:eastAsia="Calibri" w:cs="Times New Roman"/>
                <w:sz w:val="20"/>
                <w:szCs w:val="20"/>
                <w:lang w:val="pt-PT"/>
              </w:rPr>
              <w:t xml:space="preserve"> </w:t>
            </w:r>
            <w:r w:rsidRPr="0053423A">
              <w:rPr>
                <w:rFonts w:eastAsia="Calibri" w:cs="Sylfaen"/>
                <w:sz w:val="20"/>
                <w:szCs w:val="20"/>
              </w:rPr>
              <w:t>օգտագործման</w:t>
            </w:r>
            <w:r w:rsidRPr="0053423A">
              <w:rPr>
                <w:rFonts w:eastAsia="Calibri" w:cs="Times New Roman"/>
                <w:sz w:val="20"/>
                <w:szCs w:val="20"/>
                <w:lang w:val="af-ZA"/>
              </w:rPr>
              <w:t xml:space="preserve"> բնագավառում մասնագետների հավաստագրման կամ լիցենզավորման կարգը</w:t>
            </w:r>
            <w:r w:rsidRPr="0053423A">
              <w:rPr>
                <w:rFonts w:eastAsia="Calibri" w:cs="Times New Roman"/>
                <w:sz w:val="20"/>
                <w:szCs w:val="20"/>
                <w:lang w:val="pt-PT"/>
              </w:rPr>
              <w:t>,</w:t>
            </w:r>
          </w:p>
          <w:p w:rsidR="00A67B6B" w:rsidRPr="0053423A" w:rsidRDefault="00A67B6B" w:rsidP="001F6D5D">
            <w:pPr>
              <w:numPr>
                <w:ilvl w:val="0"/>
                <w:numId w:val="198"/>
              </w:numPr>
              <w:tabs>
                <w:tab w:val="left" w:pos="508"/>
              </w:tabs>
              <w:spacing w:after="0" w:line="276" w:lineRule="auto"/>
              <w:ind w:left="0" w:firstLine="0"/>
              <w:jc w:val="both"/>
              <w:rPr>
                <w:rFonts w:eastAsia="Calibri" w:cs="Times New Roman"/>
                <w:sz w:val="20"/>
                <w:szCs w:val="20"/>
                <w:lang w:val="af-ZA"/>
              </w:rPr>
            </w:pPr>
            <w:r w:rsidRPr="0053423A">
              <w:rPr>
                <w:rFonts w:eastAsia="Calibri" w:cs="GHEA Grapalat"/>
                <w:sz w:val="20"/>
                <w:szCs w:val="20"/>
                <w:lang w:val="af-ZA"/>
              </w:rPr>
              <w:t xml:space="preserve">սահմանել </w:t>
            </w:r>
            <w:r w:rsidRPr="0053423A">
              <w:rPr>
                <w:rFonts w:eastAsia="Calibri" w:cs="GHEA Grapalat"/>
                <w:sz w:val="20"/>
                <w:szCs w:val="20"/>
              </w:rPr>
              <w:t>հուշարձանների</w:t>
            </w:r>
            <w:r w:rsidRPr="0053423A">
              <w:rPr>
                <w:rFonts w:eastAsia="Calibri" w:cs="GHEA Grapalat"/>
                <w:sz w:val="20"/>
                <w:szCs w:val="20"/>
                <w:lang w:val="af-ZA"/>
              </w:rPr>
              <w:t xml:space="preserve"> </w:t>
            </w:r>
            <w:r w:rsidRPr="0053423A">
              <w:rPr>
                <w:rFonts w:eastAsia="Calibri" w:cs="GHEA Grapalat"/>
                <w:sz w:val="20"/>
                <w:szCs w:val="20"/>
              </w:rPr>
              <w:t>հաշվառման</w:t>
            </w:r>
            <w:r w:rsidRPr="0053423A">
              <w:rPr>
                <w:rFonts w:eastAsia="Calibri" w:cs="GHEA Grapalat"/>
                <w:sz w:val="20"/>
                <w:szCs w:val="20"/>
                <w:lang w:val="af-ZA"/>
              </w:rPr>
              <w:t xml:space="preserve">, </w:t>
            </w:r>
            <w:r w:rsidRPr="0053423A">
              <w:rPr>
                <w:rFonts w:eastAsia="Calibri" w:cs="GHEA Grapalat"/>
                <w:sz w:val="20"/>
                <w:szCs w:val="20"/>
              </w:rPr>
              <w:t>նորահայտ</w:t>
            </w:r>
            <w:r w:rsidRPr="0053423A">
              <w:rPr>
                <w:rFonts w:eastAsia="Calibri" w:cs="GHEA Grapalat"/>
                <w:sz w:val="20"/>
                <w:szCs w:val="20"/>
                <w:lang w:val="af-ZA"/>
              </w:rPr>
              <w:t xml:space="preserve"> </w:t>
            </w:r>
            <w:r w:rsidRPr="0053423A">
              <w:rPr>
                <w:rFonts w:eastAsia="Calibri" w:cs="GHEA Grapalat"/>
                <w:sz w:val="20"/>
                <w:szCs w:val="20"/>
              </w:rPr>
              <w:t>օբյեկտը</w:t>
            </w:r>
            <w:r w:rsidRPr="0053423A">
              <w:rPr>
                <w:rFonts w:eastAsia="Calibri" w:cs="GHEA Grapalat"/>
                <w:sz w:val="20"/>
                <w:szCs w:val="20"/>
                <w:lang w:val="af-ZA"/>
              </w:rPr>
              <w:t xml:space="preserve"> </w:t>
            </w:r>
            <w:r w:rsidRPr="0053423A">
              <w:rPr>
                <w:rFonts w:eastAsia="Calibri" w:cs="GHEA Grapalat"/>
                <w:sz w:val="20"/>
                <w:szCs w:val="20"/>
              </w:rPr>
              <w:t>պետական</w:t>
            </w:r>
            <w:r w:rsidRPr="0053423A">
              <w:rPr>
                <w:rFonts w:eastAsia="Calibri" w:cs="GHEA Grapalat"/>
                <w:sz w:val="20"/>
                <w:szCs w:val="20"/>
                <w:lang w:val="af-ZA"/>
              </w:rPr>
              <w:t xml:space="preserve"> </w:t>
            </w:r>
            <w:r w:rsidRPr="0053423A">
              <w:rPr>
                <w:rFonts w:eastAsia="Calibri" w:cs="GHEA Grapalat"/>
                <w:sz w:val="20"/>
                <w:szCs w:val="20"/>
              </w:rPr>
              <w:t>ցուցակում</w:t>
            </w:r>
            <w:r w:rsidRPr="0053423A">
              <w:rPr>
                <w:rFonts w:eastAsia="Calibri" w:cs="GHEA Grapalat"/>
                <w:sz w:val="20"/>
                <w:szCs w:val="20"/>
                <w:lang w:val="af-ZA"/>
              </w:rPr>
              <w:t xml:space="preserve"> </w:t>
            </w:r>
            <w:r w:rsidRPr="0053423A">
              <w:rPr>
                <w:rFonts w:eastAsia="Calibri" w:cs="GHEA Grapalat"/>
                <w:sz w:val="20"/>
                <w:szCs w:val="20"/>
                <w:lang w:val="pt-PT"/>
              </w:rPr>
              <w:t>ընդգրկելու կ</w:t>
            </w:r>
            <w:r w:rsidRPr="0053423A">
              <w:rPr>
                <w:rFonts w:eastAsia="Calibri" w:cs="GHEA Grapalat"/>
                <w:sz w:val="20"/>
                <w:szCs w:val="20"/>
              </w:rPr>
              <w:t>արգը</w:t>
            </w:r>
            <w:r w:rsidRPr="0053423A">
              <w:rPr>
                <w:rFonts w:eastAsia="Calibri" w:cs="GHEA Grapalat"/>
                <w:sz w:val="20"/>
                <w:szCs w:val="20"/>
                <w:lang w:val="af-ZA"/>
              </w:rPr>
              <w:t>,</w:t>
            </w:r>
          </w:p>
          <w:p w:rsidR="00A67B6B" w:rsidRPr="0053423A" w:rsidRDefault="00A67B6B" w:rsidP="001F6D5D">
            <w:pPr>
              <w:numPr>
                <w:ilvl w:val="0"/>
                <w:numId w:val="198"/>
              </w:numPr>
              <w:tabs>
                <w:tab w:val="left" w:pos="508"/>
              </w:tabs>
              <w:spacing w:after="0" w:line="276" w:lineRule="auto"/>
              <w:ind w:left="0" w:firstLine="0"/>
              <w:jc w:val="both"/>
              <w:rPr>
                <w:rFonts w:eastAsia="Calibri" w:cs="Times New Roman"/>
                <w:sz w:val="20"/>
                <w:szCs w:val="20"/>
                <w:lang w:val="af-ZA"/>
              </w:rPr>
            </w:pPr>
            <w:r w:rsidRPr="0053423A">
              <w:rPr>
                <w:rFonts w:eastAsia="Calibri" w:cs="GHEA Grapalat"/>
                <w:sz w:val="20"/>
                <w:szCs w:val="20"/>
                <w:lang w:val="hy-AM"/>
              </w:rPr>
              <w:t>հ</w:t>
            </w:r>
            <w:r w:rsidRPr="0053423A">
              <w:rPr>
                <w:rFonts w:eastAsia="Calibri" w:cs="GHEA Grapalat"/>
                <w:sz w:val="20"/>
                <w:szCs w:val="20"/>
                <w:lang w:val="af-ZA"/>
              </w:rPr>
              <w:t xml:space="preserve">ստակ սահմանել հնագիտական </w:t>
            </w:r>
            <w:r w:rsidRPr="0053423A">
              <w:rPr>
                <w:rFonts w:eastAsia="Calibri" w:cs="GHEA Grapalat"/>
                <w:sz w:val="20"/>
                <w:szCs w:val="20"/>
                <w:lang w:val="pt-PT"/>
              </w:rPr>
              <w:t>հետախուզ</w:t>
            </w:r>
            <w:r w:rsidRPr="0053423A">
              <w:rPr>
                <w:rFonts w:eastAsia="Calibri" w:cs="GHEA Grapalat"/>
                <w:sz w:val="20"/>
                <w:szCs w:val="20"/>
                <w:lang w:val="hy-AM"/>
              </w:rPr>
              <w:t>ական աշխատանքների</w:t>
            </w:r>
            <w:r w:rsidRPr="0053423A">
              <w:rPr>
                <w:rFonts w:eastAsia="Calibri" w:cs="GHEA Grapalat"/>
                <w:sz w:val="20"/>
                <w:szCs w:val="20"/>
                <w:lang w:val="pt-PT"/>
              </w:rPr>
              <w:t xml:space="preserve"> և հնագիտական պեղումների ղեկավարի իրավունքներն ու պարտականությունները</w:t>
            </w:r>
            <w:r w:rsidRPr="0053423A">
              <w:rPr>
                <w:rFonts w:eastAsia="Calibri" w:cs="GHEA Grapalat"/>
                <w:sz w:val="20"/>
                <w:szCs w:val="20"/>
                <w:lang w:val="af-ZA"/>
              </w:rPr>
              <w:t>,</w:t>
            </w:r>
          </w:p>
          <w:p w:rsidR="00A67B6B" w:rsidRPr="0053423A" w:rsidRDefault="00A67B6B" w:rsidP="001F6D5D">
            <w:pPr>
              <w:numPr>
                <w:ilvl w:val="0"/>
                <w:numId w:val="198"/>
              </w:numPr>
              <w:tabs>
                <w:tab w:val="left" w:pos="508"/>
              </w:tabs>
              <w:spacing w:after="0" w:line="276" w:lineRule="auto"/>
              <w:ind w:left="0" w:firstLine="0"/>
              <w:jc w:val="both"/>
              <w:rPr>
                <w:rFonts w:eastAsia="Calibri" w:cs="Times New Roman"/>
                <w:sz w:val="20"/>
                <w:szCs w:val="20"/>
                <w:lang w:val="af-ZA"/>
              </w:rPr>
            </w:pPr>
            <w:r w:rsidRPr="0053423A">
              <w:rPr>
                <w:rFonts w:eastAsia="Calibri" w:cs="GHEA Grapalat"/>
                <w:sz w:val="20"/>
                <w:szCs w:val="20"/>
                <w:lang w:val="hy-AM"/>
              </w:rPr>
              <w:t xml:space="preserve">արձանագրել </w:t>
            </w:r>
            <w:r w:rsidRPr="0053423A">
              <w:rPr>
                <w:rFonts w:eastAsia="Calibri" w:cs="GHEA Grapalat"/>
                <w:sz w:val="20"/>
                <w:szCs w:val="20"/>
                <w:lang w:val="tr-TR"/>
              </w:rPr>
              <w:t>անշարժ գույքի սեփականության վկայականներում հուշարձան լինելու մասին փաստը:</w:t>
            </w:r>
          </w:p>
          <w:p w:rsidR="00A67B6B" w:rsidRPr="0053423A" w:rsidRDefault="00A67B6B" w:rsidP="00A67858">
            <w:pPr>
              <w:tabs>
                <w:tab w:val="left" w:pos="508"/>
              </w:tabs>
              <w:spacing w:after="0" w:line="276" w:lineRule="auto"/>
              <w:ind w:firstLine="268"/>
              <w:jc w:val="both"/>
              <w:rPr>
                <w:rFonts w:eastAsia="Calibri" w:cs="GHEA Grapalat"/>
                <w:sz w:val="20"/>
                <w:szCs w:val="20"/>
                <w:lang w:val="af-ZA"/>
              </w:rPr>
            </w:pPr>
            <w:r w:rsidRPr="0053423A">
              <w:rPr>
                <w:rFonts w:eastAsia="Calibri" w:cs="GHEA Grapalat"/>
                <w:sz w:val="20"/>
                <w:szCs w:val="20"/>
              </w:rPr>
              <w:t>Նախագիծը</w:t>
            </w:r>
            <w:r w:rsidRPr="0053423A">
              <w:rPr>
                <w:rFonts w:eastAsia="Calibri" w:cs="GHEA Grapalat"/>
                <w:sz w:val="20"/>
                <w:szCs w:val="20"/>
                <w:lang w:val="af-ZA"/>
              </w:rPr>
              <w:t xml:space="preserve"> </w:t>
            </w:r>
            <w:r w:rsidRPr="0053423A">
              <w:rPr>
                <w:rFonts w:eastAsia="Calibri" w:cs="GHEA Grapalat"/>
                <w:sz w:val="20"/>
                <w:szCs w:val="20"/>
                <w:lang w:val="hy-AM"/>
              </w:rPr>
              <w:t>նպատակ</w:t>
            </w:r>
            <w:r w:rsidRPr="0053423A">
              <w:rPr>
                <w:rFonts w:eastAsia="Calibri" w:cs="GHEA Grapalat"/>
                <w:sz w:val="20"/>
                <w:szCs w:val="20"/>
                <w:lang w:val="it-IT"/>
              </w:rPr>
              <w:t xml:space="preserve"> </w:t>
            </w:r>
            <w:r w:rsidRPr="0053423A">
              <w:rPr>
                <w:rFonts w:eastAsia="Calibri" w:cs="GHEA Grapalat"/>
                <w:sz w:val="20"/>
                <w:szCs w:val="20"/>
                <w:lang w:val="hy-AM"/>
              </w:rPr>
              <w:t>ունի</w:t>
            </w:r>
            <w:r w:rsidRPr="0053423A">
              <w:rPr>
                <w:rFonts w:eastAsia="Calibri" w:cs="GHEA Grapalat"/>
                <w:sz w:val="20"/>
                <w:szCs w:val="20"/>
                <w:lang w:val="it-IT"/>
              </w:rPr>
              <w:t xml:space="preserve"> ամբողջությամբ կանոնակարգելու </w:t>
            </w:r>
            <w:r w:rsidRPr="0053423A">
              <w:rPr>
                <w:rFonts w:eastAsia="Calibri" w:cs="GHEA Grapalat"/>
                <w:sz w:val="20"/>
                <w:szCs w:val="20"/>
                <w:lang w:val="hy-AM"/>
              </w:rPr>
              <w:t>բնագավառի</w:t>
            </w:r>
            <w:r w:rsidRPr="0053423A">
              <w:rPr>
                <w:rFonts w:eastAsia="Calibri" w:cs="GHEA Grapalat"/>
                <w:sz w:val="20"/>
                <w:szCs w:val="20"/>
                <w:lang w:val="it-IT"/>
              </w:rPr>
              <w:t xml:space="preserve"> </w:t>
            </w:r>
            <w:r w:rsidRPr="0053423A">
              <w:rPr>
                <w:rFonts w:eastAsia="Calibri" w:cs="GHEA Grapalat"/>
                <w:sz w:val="20"/>
                <w:szCs w:val="20"/>
                <w:lang w:val="hy-AM"/>
              </w:rPr>
              <w:t>իրավական դաշտը</w:t>
            </w:r>
            <w:r w:rsidRPr="0053423A">
              <w:rPr>
                <w:rFonts w:eastAsia="Calibri" w:cs="GHEA Grapalat"/>
                <w:sz w:val="20"/>
                <w:szCs w:val="20"/>
                <w:lang w:val="pt-PT"/>
              </w:rPr>
              <w:t>,</w:t>
            </w:r>
            <w:r w:rsidRPr="0053423A">
              <w:rPr>
                <w:rFonts w:eastAsia="Calibri" w:cs="GHEA Grapalat"/>
                <w:sz w:val="20"/>
                <w:szCs w:val="20"/>
                <w:lang w:val="it-IT"/>
              </w:rPr>
              <w:t xml:space="preserve"> սահմանելու</w:t>
            </w:r>
            <w:r w:rsidRPr="0053423A">
              <w:rPr>
                <w:rFonts w:eastAsia="Calibri" w:cs="GHEA Grapalat"/>
                <w:sz w:val="20"/>
                <w:szCs w:val="20"/>
                <w:lang w:val="af-ZA"/>
              </w:rPr>
              <w:t xml:space="preserve"> պատմամշակութային անշարժ ժառանգությանը վերաբերող </w:t>
            </w:r>
            <w:r w:rsidRPr="0053423A">
              <w:rPr>
                <w:rFonts w:eastAsia="Calibri" w:cs="GHEA Grapalat"/>
                <w:sz w:val="20"/>
                <w:szCs w:val="20"/>
                <w:lang w:val="hy-AM"/>
              </w:rPr>
              <w:t>հասկացությունները</w:t>
            </w:r>
            <w:r w:rsidRPr="0053423A">
              <w:rPr>
                <w:rFonts w:eastAsia="Calibri" w:cs="GHEA Grapalat"/>
                <w:sz w:val="20"/>
                <w:szCs w:val="20"/>
                <w:lang w:val="af-ZA"/>
              </w:rPr>
              <w:t xml:space="preserve">, </w:t>
            </w:r>
            <w:r w:rsidRPr="0053423A">
              <w:rPr>
                <w:rFonts w:eastAsia="Calibri" w:cs="GHEA Grapalat"/>
                <w:sz w:val="20"/>
                <w:szCs w:val="20"/>
                <w:lang w:val="it-IT"/>
              </w:rPr>
              <w:t>հուշարձանների հաշվառման, ուսումնասիրման, պահպանության, օգտագործման, ամրակայման, նորոգման, վերականգնման</w:t>
            </w:r>
            <w:r w:rsidRPr="0053423A">
              <w:rPr>
                <w:rFonts w:eastAsia="Calibri" w:cs="GHEA Grapalat"/>
                <w:sz w:val="20"/>
                <w:szCs w:val="20"/>
                <w:lang w:val="hy-AM"/>
              </w:rPr>
              <w:t xml:space="preserve"> բնագավառի</w:t>
            </w:r>
            <w:r w:rsidRPr="0053423A">
              <w:rPr>
                <w:rFonts w:eastAsia="Calibri" w:cs="GHEA Grapalat"/>
                <w:sz w:val="20"/>
                <w:szCs w:val="20"/>
                <w:lang w:val="it-IT"/>
              </w:rPr>
              <w:t xml:space="preserve"> </w:t>
            </w:r>
            <w:r w:rsidRPr="0053423A">
              <w:rPr>
                <w:rFonts w:eastAsia="Calibri" w:cs="GHEA Grapalat"/>
                <w:sz w:val="20"/>
                <w:szCs w:val="20"/>
                <w:lang w:val="hy-AM"/>
              </w:rPr>
              <w:t>սուբյեկտների</w:t>
            </w:r>
            <w:r w:rsidRPr="0053423A">
              <w:rPr>
                <w:rFonts w:eastAsia="Calibri" w:cs="GHEA Grapalat"/>
                <w:sz w:val="20"/>
                <w:szCs w:val="20"/>
                <w:lang w:val="it-IT"/>
              </w:rPr>
              <w:t xml:space="preserve"> </w:t>
            </w:r>
            <w:r w:rsidRPr="0053423A">
              <w:rPr>
                <w:rFonts w:eastAsia="Calibri" w:cs="GHEA Grapalat"/>
                <w:sz w:val="20"/>
                <w:szCs w:val="20"/>
                <w:lang w:val="hy-AM"/>
              </w:rPr>
              <w:t>լիազորությունները</w:t>
            </w:r>
            <w:r w:rsidRPr="0053423A">
              <w:rPr>
                <w:rFonts w:eastAsia="Calibri" w:cs="GHEA Grapalat"/>
                <w:sz w:val="20"/>
                <w:szCs w:val="20"/>
                <w:lang w:val="it-IT"/>
              </w:rPr>
              <w:t xml:space="preserve"> </w:t>
            </w:r>
            <w:r w:rsidRPr="0053423A">
              <w:rPr>
                <w:rFonts w:eastAsia="Calibri" w:cs="GHEA Grapalat"/>
                <w:sz w:val="20"/>
                <w:szCs w:val="20"/>
                <w:lang w:val="hy-AM"/>
              </w:rPr>
              <w:t>և</w:t>
            </w:r>
            <w:r w:rsidRPr="0053423A">
              <w:rPr>
                <w:rFonts w:eastAsia="Calibri" w:cs="GHEA Grapalat"/>
                <w:sz w:val="20"/>
                <w:szCs w:val="20"/>
                <w:lang w:val="it-IT"/>
              </w:rPr>
              <w:t xml:space="preserve"> </w:t>
            </w:r>
            <w:r w:rsidRPr="0053423A">
              <w:rPr>
                <w:rFonts w:eastAsia="Calibri" w:cs="GHEA Grapalat"/>
                <w:sz w:val="20"/>
                <w:szCs w:val="20"/>
                <w:lang w:val="hy-AM"/>
              </w:rPr>
              <w:t>պարտականությունները</w:t>
            </w:r>
            <w:r w:rsidRPr="0053423A">
              <w:rPr>
                <w:rFonts w:eastAsia="Calibri" w:cs="GHEA Grapalat"/>
                <w:sz w:val="20"/>
                <w:szCs w:val="20"/>
                <w:lang w:val="it-IT"/>
              </w:rPr>
              <w:t>, հնագիտական հետազոտությունների իրականացման գործընթացը,</w:t>
            </w:r>
            <w:r w:rsidRPr="0053423A">
              <w:rPr>
                <w:rFonts w:eastAsia="Calibri" w:cs="GHEA Grapalat"/>
                <w:sz w:val="20"/>
                <w:szCs w:val="20"/>
                <w:lang w:val="tr-TR"/>
              </w:rPr>
              <w:t xml:space="preserve"> հուշարձանին վնաս պատճառելու դեպքում հնարավոր փոխհատուց</w:t>
            </w:r>
            <w:r w:rsidRPr="0053423A">
              <w:rPr>
                <w:rFonts w:eastAsia="Calibri" w:cs="GHEA Grapalat"/>
                <w:sz w:val="20"/>
                <w:szCs w:val="20"/>
                <w:lang w:val="hy-AM"/>
              </w:rPr>
              <w:t>ման</w:t>
            </w:r>
            <w:r w:rsidRPr="0053423A">
              <w:rPr>
                <w:rFonts w:eastAsia="Calibri" w:cs="GHEA Grapalat"/>
                <w:sz w:val="20"/>
                <w:szCs w:val="20"/>
                <w:lang w:val="tr-TR"/>
              </w:rPr>
              <w:t xml:space="preserve"> սկզբունքները, մասնագետների լիցենզավորման պայմանները և այլն: Նախագծով նախատեսվում է </w:t>
            </w:r>
            <w:r w:rsidRPr="0053423A">
              <w:rPr>
                <w:rFonts w:eastAsia="Calibri" w:cs="GHEA Grapalat"/>
                <w:sz w:val="20"/>
                <w:szCs w:val="20"/>
                <w:lang w:val="hy-AM"/>
              </w:rPr>
              <w:t>ներդ</w:t>
            </w:r>
            <w:r w:rsidRPr="0053423A">
              <w:rPr>
                <w:rFonts w:eastAsia="Calibri" w:cs="GHEA Grapalat"/>
                <w:sz w:val="20"/>
                <w:szCs w:val="20"/>
              </w:rPr>
              <w:t>նել</w:t>
            </w:r>
            <w:r w:rsidRPr="0053423A">
              <w:rPr>
                <w:rFonts w:eastAsia="Calibri" w:cs="GHEA Grapalat"/>
                <w:sz w:val="20"/>
                <w:szCs w:val="20"/>
                <w:lang w:val="hy-AM"/>
              </w:rPr>
              <w:t xml:space="preserve"> </w:t>
            </w:r>
            <w:r w:rsidRPr="0053423A">
              <w:rPr>
                <w:rFonts w:eastAsia="Calibri" w:cs="GHEA Grapalat"/>
                <w:sz w:val="20"/>
                <w:szCs w:val="20"/>
              </w:rPr>
              <w:t>բնագավառում</w:t>
            </w:r>
            <w:r w:rsidRPr="0053423A">
              <w:rPr>
                <w:rFonts w:eastAsia="Calibri" w:cs="GHEA Grapalat"/>
                <w:sz w:val="20"/>
                <w:szCs w:val="20"/>
                <w:lang w:val="tr-TR"/>
              </w:rPr>
              <w:t xml:space="preserve"> </w:t>
            </w:r>
            <w:r w:rsidRPr="0053423A">
              <w:rPr>
                <w:rFonts w:eastAsia="Calibri" w:cs="GHEA Grapalat"/>
                <w:sz w:val="20"/>
                <w:szCs w:val="20"/>
                <w:lang w:val="hy-AM"/>
              </w:rPr>
              <w:t xml:space="preserve">առկա խնդիրների համապարփակ լուծման մեխանիզմներ: </w:t>
            </w:r>
            <w:r w:rsidRPr="0053423A">
              <w:rPr>
                <w:rFonts w:eastAsia="Calibri" w:cs="GHEA Grapalat"/>
                <w:sz w:val="20"/>
                <w:szCs w:val="20"/>
                <w:lang w:val="af-ZA"/>
              </w:rPr>
              <w:t>Մ</w:t>
            </w:r>
            <w:r w:rsidRPr="0053423A">
              <w:rPr>
                <w:rFonts w:eastAsia="Calibri" w:cs="GHEA Grapalat"/>
                <w:sz w:val="20"/>
                <w:szCs w:val="20"/>
              </w:rPr>
              <w:t>իաժամանակ</w:t>
            </w:r>
            <w:r w:rsidRPr="0053423A">
              <w:rPr>
                <w:rFonts w:eastAsia="Calibri" w:cs="GHEA Grapalat"/>
                <w:sz w:val="20"/>
                <w:szCs w:val="20"/>
                <w:lang w:val="af-ZA"/>
              </w:rPr>
              <w:t>, պատմամշակութային անշարժ ժառանգության օրենսդրության կատարելագործումը միտված է բնագավառի միջազգային կոնվենցիաների պահանջներին և չափանիշներին գործող օրենքը համապատասխանեցնելու</w:t>
            </w:r>
            <w:r w:rsidRPr="0053423A">
              <w:rPr>
                <w:rFonts w:eastAsia="Calibri" w:cs="GHEA Grapalat"/>
                <w:sz w:val="20"/>
                <w:szCs w:val="20"/>
                <w:lang w:val="hy-AM"/>
              </w:rPr>
              <w:t>ն</w:t>
            </w:r>
            <w:r w:rsidRPr="0053423A">
              <w:rPr>
                <w:rFonts w:eastAsia="Calibri" w:cs="GHEA Grapalat"/>
                <w:sz w:val="20"/>
                <w:szCs w:val="20"/>
                <w:lang w:val="af-ZA"/>
              </w:rPr>
              <w:t>:</w:t>
            </w:r>
          </w:p>
          <w:p w:rsidR="00A67B6B" w:rsidRPr="0053423A" w:rsidRDefault="00A67B6B" w:rsidP="00A67858">
            <w:pPr>
              <w:tabs>
                <w:tab w:val="left" w:pos="508"/>
              </w:tabs>
              <w:spacing w:after="0" w:line="276" w:lineRule="auto"/>
              <w:ind w:firstLine="268"/>
              <w:jc w:val="both"/>
              <w:rPr>
                <w:rFonts w:eastAsia="Calibri" w:cs="GHEA Grapalat"/>
                <w:sz w:val="20"/>
                <w:szCs w:val="20"/>
                <w:lang w:val="hy-AM"/>
              </w:rPr>
            </w:pPr>
            <w:r w:rsidRPr="0053423A">
              <w:rPr>
                <w:rFonts w:eastAsia="Calibri" w:cs="GHEA Grapalat"/>
                <w:sz w:val="20"/>
                <w:szCs w:val="20"/>
                <w:lang w:val="pt-PT"/>
              </w:rPr>
              <w:t>Օրենքի նախագծի մշակման ընթացքում ա</w:t>
            </w:r>
            <w:r w:rsidRPr="0053423A">
              <w:rPr>
                <w:rFonts w:eastAsia="Calibri" w:cs="Times New Roman"/>
                <w:sz w:val="20"/>
                <w:szCs w:val="20"/>
              </w:rPr>
              <w:t>ռաջացած</w:t>
            </w:r>
            <w:r w:rsidRPr="0053423A">
              <w:rPr>
                <w:rFonts w:eastAsia="Calibri" w:cs="Times Armenian"/>
                <w:sz w:val="20"/>
                <w:szCs w:val="20"/>
                <w:lang w:val="af-ZA"/>
              </w:rPr>
              <w:t xml:space="preserve"> </w:t>
            </w:r>
            <w:r w:rsidRPr="0053423A">
              <w:rPr>
                <w:rFonts w:eastAsia="Calibri" w:cs="Times New Roman"/>
                <w:sz w:val="20"/>
                <w:szCs w:val="20"/>
              </w:rPr>
              <w:t>խնդիրների</w:t>
            </w:r>
            <w:r w:rsidRPr="0053423A">
              <w:rPr>
                <w:rFonts w:eastAsia="Calibri" w:cs="Times Armenian"/>
                <w:sz w:val="20"/>
                <w:szCs w:val="20"/>
                <w:lang w:val="af-ZA"/>
              </w:rPr>
              <w:t xml:space="preserve"> </w:t>
            </w:r>
            <w:r w:rsidRPr="0053423A">
              <w:rPr>
                <w:rFonts w:eastAsia="Calibri" w:cs="Times New Roman"/>
                <w:sz w:val="20"/>
                <w:szCs w:val="20"/>
              </w:rPr>
              <w:t>լուծումները</w:t>
            </w:r>
            <w:r w:rsidRPr="0053423A">
              <w:rPr>
                <w:rFonts w:eastAsia="Calibri" w:cs="Times Armenian"/>
                <w:sz w:val="20"/>
                <w:szCs w:val="20"/>
                <w:lang w:val="af-ZA"/>
              </w:rPr>
              <w:t xml:space="preserve"> </w:t>
            </w:r>
            <w:r w:rsidRPr="0053423A">
              <w:rPr>
                <w:rFonts w:eastAsia="Calibri" w:cs="Times New Roman"/>
                <w:sz w:val="20"/>
                <w:szCs w:val="20"/>
              </w:rPr>
              <w:t>գտնելու</w:t>
            </w:r>
            <w:r w:rsidRPr="0053423A">
              <w:rPr>
                <w:rFonts w:eastAsia="Calibri" w:cs="Times Armenian"/>
                <w:sz w:val="20"/>
                <w:szCs w:val="20"/>
                <w:lang w:val="af-ZA"/>
              </w:rPr>
              <w:t xml:space="preserve"> </w:t>
            </w:r>
            <w:r w:rsidRPr="0053423A">
              <w:rPr>
                <w:rFonts w:eastAsia="Calibri" w:cs="Times New Roman"/>
                <w:sz w:val="20"/>
                <w:szCs w:val="20"/>
              </w:rPr>
              <w:t>նպատակով</w:t>
            </w:r>
            <w:r w:rsidRPr="0053423A">
              <w:rPr>
                <w:rFonts w:eastAsia="Calibri" w:cs="Times Armenian"/>
                <w:sz w:val="20"/>
                <w:szCs w:val="20"/>
                <w:lang w:val="af-ZA"/>
              </w:rPr>
              <w:t xml:space="preserve"> </w:t>
            </w:r>
            <w:r w:rsidRPr="0053423A">
              <w:rPr>
                <w:rFonts w:eastAsia="Calibri" w:cs="Times New Roman"/>
                <w:sz w:val="20"/>
                <w:szCs w:val="20"/>
              </w:rPr>
              <w:t>ուսումնասիրվել</w:t>
            </w:r>
            <w:r w:rsidRPr="0053423A">
              <w:rPr>
                <w:rFonts w:eastAsia="Calibri" w:cs="Times Armenian"/>
                <w:sz w:val="20"/>
                <w:szCs w:val="20"/>
                <w:lang w:val="af-ZA"/>
              </w:rPr>
              <w:t xml:space="preserve"> </w:t>
            </w:r>
            <w:r w:rsidRPr="0053423A">
              <w:rPr>
                <w:rFonts w:eastAsia="Calibri" w:cs="Times New Roman"/>
                <w:sz w:val="20"/>
                <w:szCs w:val="20"/>
              </w:rPr>
              <w:t>է</w:t>
            </w:r>
            <w:r w:rsidRPr="0053423A">
              <w:rPr>
                <w:rFonts w:eastAsia="Calibri" w:cs="Times Armenian"/>
                <w:sz w:val="20"/>
                <w:szCs w:val="20"/>
                <w:lang w:val="af-ZA"/>
              </w:rPr>
              <w:t xml:space="preserve"> </w:t>
            </w:r>
            <w:r w:rsidRPr="0053423A">
              <w:rPr>
                <w:rFonts w:eastAsia="Calibri" w:cs="GHEA Grapalat"/>
                <w:sz w:val="20"/>
                <w:szCs w:val="20"/>
                <w:lang w:val="hy-AM"/>
              </w:rPr>
              <w:t xml:space="preserve">հուշարձանների </w:t>
            </w:r>
            <w:r w:rsidRPr="0053423A">
              <w:rPr>
                <w:rFonts w:eastAsia="Calibri" w:cs="GHEA Grapalat"/>
                <w:sz w:val="20"/>
                <w:szCs w:val="20"/>
                <w:lang w:val="pt-PT"/>
              </w:rPr>
              <w:t>վերաբերյալ</w:t>
            </w:r>
            <w:r w:rsidRPr="0053423A">
              <w:rPr>
                <w:rFonts w:eastAsia="Calibri" w:cs="GHEA Grapalat"/>
                <w:sz w:val="20"/>
                <w:szCs w:val="20"/>
                <w:lang w:val="hy-AM"/>
              </w:rPr>
              <w:t xml:space="preserve"> </w:t>
            </w:r>
            <w:r w:rsidRPr="0053423A">
              <w:rPr>
                <w:rFonts w:eastAsia="Calibri" w:cs="GHEA Grapalat"/>
                <w:sz w:val="20"/>
                <w:szCs w:val="20"/>
                <w:lang w:val="pt-PT"/>
              </w:rPr>
              <w:t xml:space="preserve">միջազգային առաջավոր փորձը՝ </w:t>
            </w:r>
            <w:r w:rsidRPr="0053423A">
              <w:rPr>
                <w:rFonts w:eastAsia="Calibri" w:cs="GHEA Grapalat"/>
                <w:sz w:val="20"/>
                <w:szCs w:val="20"/>
                <w:lang w:val="hy-AM"/>
              </w:rPr>
              <w:t>Ֆրանսիա</w:t>
            </w:r>
            <w:r w:rsidRPr="0053423A">
              <w:rPr>
                <w:rFonts w:eastAsia="Calibri" w:cs="GHEA Grapalat"/>
                <w:sz w:val="20"/>
                <w:szCs w:val="20"/>
              </w:rPr>
              <w:t>յի</w:t>
            </w:r>
            <w:r w:rsidRPr="0053423A">
              <w:rPr>
                <w:rFonts w:eastAsia="Calibri" w:cs="GHEA Grapalat"/>
                <w:sz w:val="20"/>
                <w:szCs w:val="20"/>
                <w:lang w:val="hy-AM"/>
              </w:rPr>
              <w:t xml:space="preserve">, </w:t>
            </w:r>
            <w:r w:rsidRPr="0053423A">
              <w:rPr>
                <w:rFonts w:eastAsia="Calibri" w:cs="GHEA Grapalat"/>
                <w:sz w:val="20"/>
                <w:szCs w:val="20"/>
              </w:rPr>
              <w:t>Իտալիայի</w:t>
            </w:r>
            <w:r w:rsidRPr="0053423A">
              <w:rPr>
                <w:rFonts w:eastAsia="Calibri" w:cs="GHEA Grapalat"/>
                <w:sz w:val="20"/>
                <w:szCs w:val="20"/>
                <w:lang w:val="af-ZA"/>
              </w:rPr>
              <w:t xml:space="preserve">, </w:t>
            </w:r>
            <w:r w:rsidRPr="0053423A">
              <w:rPr>
                <w:rFonts w:eastAsia="Calibri" w:cs="GHEA Grapalat"/>
                <w:sz w:val="20"/>
                <w:szCs w:val="20"/>
                <w:lang w:val="pt-PT"/>
              </w:rPr>
              <w:t>Ռուսաստանի Դաշնությ</w:t>
            </w:r>
            <w:r w:rsidRPr="0053423A">
              <w:rPr>
                <w:rFonts w:eastAsia="Calibri" w:cs="GHEA Grapalat"/>
                <w:sz w:val="20"/>
                <w:szCs w:val="20"/>
              </w:rPr>
              <w:t>ա</w:t>
            </w:r>
            <w:r w:rsidRPr="0053423A">
              <w:rPr>
                <w:rFonts w:eastAsia="Calibri" w:cs="GHEA Grapalat"/>
                <w:sz w:val="20"/>
                <w:szCs w:val="20"/>
                <w:lang w:val="pt-PT"/>
              </w:rPr>
              <w:t>ն, Ղազախստան</w:t>
            </w:r>
            <w:r w:rsidRPr="0053423A">
              <w:rPr>
                <w:rFonts w:eastAsia="Calibri" w:cs="GHEA Grapalat"/>
                <w:sz w:val="20"/>
                <w:szCs w:val="20"/>
              </w:rPr>
              <w:t>ի</w:t>
            </w:r>
            <w:r w:rsidRPr="0053423A">
              <w:rPr>
                <w:rFonts w:eastAsia="Calibri" w:cs="GHEA Grapalat"/>
                <w:sz w:val="20"/>
                <w:szCs w:val="20"/>
                <w:lang w:val="hy-AM"/>
              </w:rPr>
              <w:t>,</w:t>
            </w:r>
            <w:r w:rsidRPr="0053423A">
              <w:rPr>
                <w:rFonts w:eastAsia="Calibri" w:cs="GHEA Grapalat"/>
                <w:sz w:val="20"/>
                <w:szCs w:val="20"/>
                <w:lang w:val="pt-PT"/>
              </w:rPr>
              <w:t xml:space="preserve"> </w:t>
            </w:r>
            <w:r w:rsidRPr="0053423A">
              <w:rPr>
                <w:rFonts w:eastAsia="Calibri" w:cs="GHEA Grapalat"/>
                <w:sz w:val="20"/>
                <w:szCs w:val="20"/>
                <w:lang w:val="hy-AM"/>
              </w:rPr>
              <w:t>Գերմանիա</w:t>
            </w:r>
            <w:r w:rsidRPr="0053423A">
              <w:rPr>
                <w:rFonts w:eastAsia="Calibri" w:cs="GHEA Grapalat"/>
                <w:sz w:val="20"/>
                <w:szCs w:val="20"/>
              </w:rPr>
              <w:t>յի</w:t>
            </w:r>
            <w:r w:rsidRPr="0053423A">
              <w:rPr>
                <w:rFonts w:eastAsia="Calibri" w:cs="GHEA Grapalat"/>
                <w:sz w:val="20"/>
                <w:szCs w:val="20"/>
                <w:lang w:val="hy-AM"/>
              </w:rPr>
              <w:t>,</w:t>
            </w:r>
            <w:r w:rsidRPr="0053423A">
              <w:rPr>
                <w:rFonts w:eastAsia="Calibri" w:cs="GHEA Grapalat"/>
                <w:sz w:val="20"/>
                <w:szCs w:val="20"/>
                <w:lang w:val="pt-PT"/>
              </w:rPr>
              <w:t xml:space="preserve"> </w:t>
            </w:r>
            <w:r w:rsidRPr="0053423A">
              <w:rPr>
                <w:rFonts w:eastAsia="Calibri" w:cs="GHEA Grapalat"/>
                <w:sz w:val="20"/>
                <w:szCs w:val="20"/>
                <w:lang w:val="hy-AM"/>
              </w:rPr>
              <w:t>Լեհաստան</w:t>
            </w:r>
            <w:r w:rsidRPr="0053423A">
              <w:rPr>
                <w:rFonts w:eastAsia="Calibri" w:cs="GHEA Grapalat"/>
                <w:sz w:val="20"/>
                <w:szCs w:val="20"/>
              </w:rPr>
              <w:t>ի</w:t>
            </w:r>
            <w:r w:rsidRPr="0053423A">
              <w:rPr>
                <w:rFonts w:eastAsia="Calibri" w:cs="GHEA Grapalat"/>
                <w:sz w:val="20"/>
                <w:szCs w:val="20"/>
                <w:lang w:val="pt-PT"/>
              </w:rPr>
              <w:t>, Լատվիա</w:t>
            </w:r>
            <w:r w:rsidRPr="0053423A">
              <w:rPr>
                <w:rFonts w:eastAsia="Calibri" w:cs="GHEA Grapalat"/>
                <w:sz w:val="20"/>
                <w:szCs w:val="20"/>
              </w:rPr>
              <w:t>յի</w:t>
            </w:r>
            <w:r w:rsidRPr="0053423A">
              <w:rPr>
                <w:rFonts w:eastAsia="Calibri" w:cs="GHEA Grapalat"/>
                <w:sz w:val="20"/>
                <w:szCs w:val="20"/>
                <w:lang w:val="hy-AM"/>
              </w:rPr>
              <w:t>,</w:t>
            </w:r>
            <w:r w:rsidRPr="0053423A">
              <w:rPr>
                <w:rFonts w:eastAsia="Calibri" w:cs="GHEA Grapalat"/>
                <w:sz w:val="20"/>
                <w:szCs w:val="20"/>
                <w:lang w:val="pt-PT"/>
              </w:rPr>
              <w:t xml:space="preserve"> Ուկրաինայի</w:t>
            </w:r>
            <w:r w:rsidRPr="0053423A">
              <w:rPr>
                <w:rFonts w:eastAsia="Calibri" w:cs="Times New Roman"/>
                <w:sz w:val="20"/>
                <w:szCs w:val="20"/>
                <w:lang w:val="af-ZA"/>
              </w:rPr>
              <w:t xml:space="preserve"> պատմության և մշակույթի պահպանության և օգտագործման բնագավառը </w:t>
            </w:r>
            <w:r w:rsidRPr="0053423A">
              <w:rPr>
                <w:rFonts w:eastAsia="Calibri" w:cs="Times New Roman"/>
                <w:sz w:val="20"/>
                <w:szCs w:val="20"/>
              </w:rPr>
              <w:t>կարգա</w:t>
            </w:r>
            <w:r w:rsidRPr="0053423A">
              <w:rPr>
                <w:rFonts w:eastAsia="Calibri" w:cs="Times Armenian"/>
                <w:sz w:val="20"/>
                <w:szCs w:val="20"/>
                <w:lang w:val="af-ZA"/>
              </w:rPr>
              <w:softHyphen/>
            </w:r>
            <w:r w:rsidRPr="0053423A">
              <w:rPr>
                <w:rFonts w:eastAsia="Calibri" w:cs="Times New Roman"/>
                <w:sz w:val="20"/>
                <w:szCs w:val="20"/>
              </w:rPr>
              <w:t>վո</w:t>
            </w:r>
            <w:r w:rsidRPr="0053423A">
              <w:rPr>
                <w:rFonts w:eastAsia="Calibri" w:cs="Times Armenian"/>
                <w:sz w:val="20"/>
                <w:szCs w:val="20"/>
                <w:lang w:val="af-ZA"/>
              </w:rPr>
              <w:softHyphen/>
            </w:r>
            <w:r w:rsidRPr="0053423A">
              <w:rPr>
                <w:rFonts w:eastAsia="Calibri" w:cs="Times New Roman"/>
                <w:sz w:val="20"/>
                <w:szCs w:val="20"/>
              </w:rPr>
              <w:t>րող</w:t>
            </w:r>
            <w:r w:rsidRPr="0053423A">
              <w:rPr>
                <w:rFonts w:eastAsia="Calibri" w:cs="Times Armenian"/>
                <w:sz w:val="20"/>
                <w:szCs w:val="20"/>
                <w:lang w:val="af-ZA"/>
              </w:rPr>
              <w:t xml:space="preserve"> </w:t>
            </w:r>
            <w:r w:rsidRPr="0053423A">
              <w:rPr>
                <w:rFonts w:eastAsia="Calibri" w:cs="Times New Roman"/>
                <w:sz w:val="20"/>
                <w:szCs w:val="20"/>
              </w:rPr>
              <w:t>օրենսդրությունը</w:t>
            </w:r>
            <w:r w:rsidRPr="0053423A">
              <w:rPr>
                <w:rFonts w:eastAsia="Calibri" w:cs="Times Armenian"/>
                <w:sz w:val="20"/>
                <w:szCs w:val="20"/>
                <w:lang w:val="af-ZA"/>
              </w:rPr>
              <w:t>` մ</w:t>
            </w:r>
            <w:r w:rsidRPr="0053423A">
              <w:rPr>
                <w:rFonts w:eastAsia="Calibri" w:cs="GHEA Grapalat"/>
                <w:sz w:val="20"/>
                <w:szCs w:val="20"/>
              </w:rPr>
              <w:t>ասնավորապես</w:t>
            </w:r>
            <w:r w:rsidRPr="0053423A">
              <w:rPr>
                <w:rFonts w:eastAsia="Calibri" w:cs="GHEA Grapalat"/>
                <w:sz w:val="20"/>
                <w:szCs w:val="20"/>
                <w:lang w:val="af-ZA"/>
              </w:rPr>
              <w:t xml:space="preserve"> </w:t>
            </w:r>
            <w:r w:rsidRPr="0053423A">
              <w:rPr>
                <w:rFonts w:eastAsia="Calibri" w:cs="GHEA Grapalat"/>
                <w:sz w:val="20"/>
                <w:szCs w:val="20"/>
              </w:rPr>
              <w:t>կիրառվող</w:t>
            </w:r>
            <w:r w:rsidRPr="0053423A">
              <w:rPr>
                <w:rFonts w:eastAsia="Calibri" w:cs="GHEA Grapalat"/>
                <w:sz w:val="20"/>
                <w:szCs w:val="20"/>
                <w:lang w:val="af-ZA"/>
              </w:rPr>
              <w:t xml:space="preserve"> </w:t>
            </w:r>
            <w:r w:rsidRPr="0053423A">
              <w:rPr>
                <w:rFonts w:eastAsia="Calibri" w:cs="GHEA Grapalat"/>
                <w:sz w:val="20"/>
                <w:szCs w:val="20"/>
              </w:rPr>
              <w:t>հասկացությունները</w:t>
            </w:r>
            <w:r w:rsidRPr="0053423A">
              <w:rPr>
                <w:rFonts w:eastAsia="Calibri" w:cs="GHEA Grapalat"/>
                <w:sz w:val="20"/>
                <w:szCs w:val="20"/>
                <w:lang w:val="af-ZA"/>
              </w:rPr>
              <w:t xml:space="preserve">, </w:t>
            </w:r>
            <w:r w:rsidRPr="0053423A">
              <w:rPr>
                <w:rFonts w:eastAsia="Calibri" w:cs="GHEA Grapalat"/>
                <w:sz w:val="20"/>
                <w:szCs w:val="20"/>
                <w:lang w:val="it-IT"/>
              </w:rPr>
              <w:t>հանրապետական գործադիր իշխանությանը` կառավարության</w:t>
            </w:r>
            <w:r w:rsidRPr="0053423A">
              <w:rPr>
                <w:rFonts w:eastAsia="Calibri" w:cs="GHEA Grapalat"/>
                <w:sz w:val="20"/>
                <w:szCs w:val="20"/>
                <w:lang w:val="hy-AM"/>
              </w:rPr>
              <w:t xml:space="preserve"> </w:t>
            </w:r>
            <w:r w:rsidRPr="0053423A">
              <w:rPr>
                <w:rFonts w:eastAsia="Calibri" w:cs="GHEA Grapalat"/>
                <w:sz w:val="20"/>
                <w:szCs w:val="20"/>
              </w:rPr>
              <w:t>և</w:t>
            </w:r>
            <w:r w:rsidRPr="0053423A">
              <w:rPr>
                <w:rFonts w:eastAsia="Calibri" w:cs="GHEA Grapalat"/>
                <w:sz w:val="20"/>
                <w:szCs w:val="20"/>
                <w:lang w:val="af-ZA"/>
              </w:rPr>
              <w:t xml:space="preserve"> </w:t>
            </w:r>
            <w:r w:rsidRPr="0053423A">
              <w:rPr>
                <w:rFonts w:eastAsia="Calibri" w:cs="GHEA Grapalat"/>
                <w:sz w:val="20"/>
                <w:szCs w:val="20"/>
              </w:rPr>
              <w:t>տարածքային</w:t>
            </w:r>
            <w:r w:rsidRPr="0053423A">
              <w:rPr>
                <w:rFonts w:eastAsia="Calibri" w:cs="GHEA Grapalat"/>
                <w:sz w:val="20"/>
                <w:szCs w:val="20"/>
                <w:lang w:val="af-ZA"/>
              </w:rPr>
              <w:t xml:space="preserve"> </w:t>
            </w:r>
            <w:r w:rsidRPr="0053423A">
              <w:rPr>
                <w:rFonts w:eastAsia="Calibri" w:cs="GHEA Grapalat"/>
                <w:sz w:val="20"/>
                <w:szCs w:val="20"/>
                <w:lang w:val="hy-AM"/>
              </w:rPr>
              <w:t>կառավարման մարմինների</w:t>
            </w:r>
            <w:r w:rsidRPr="0053423A">
              <w:rPr>
                <w:rFonts w:eastAsia="Calibri" w:cs="GHEA Grapalat"/>
                <w:sz w:val="20"/>
                <w:szCs w:val="20"/>
                <w:lang w:val="af-ZA"/>
              </w:rPr>
              <w:t xml:space="preserve"> </w:t>
            </w:r>
            <w:r w:rsidRPr="0053423A">
              <w:rPr>
                <w:rFonts w:eastAsia="Calibri" w:cs="GHEA Grapalat"/>
                <w:sz w:val="20"/>
                <w:szCs w:val="20"/>
              </w:rPr>
              <w:t>լիազորությունները</w:t>
            </w:r>
            <w:r w:rsidRPr="0053423A">
              <w:rPr>
                <w:rFonts w:eastAsia="Calibri" w:cs="GHEA Grapalat"/>
                <w:sz w:val="20"/>
                <w:szCs w:val="20"/>
                <w:lang w:val="af-ZA"/>
              </w:rPr>
              <w:t xml:space="preserve"> </w:t>
            </w:r>
            <w:r w:rsidRPr="0053423A">
              <w:rPr>
                <w:rFonts w:eastAsia="Calibri" w:cs="GHEA Grapalat"/>
                <w:sz w:val="20"/>
                <w:szCs w:val="20"/>
              </w:rPr>
              <w:t>և</w:t>
            </w:r>
            <w:r w:rsidRPr="0053423A">
              <w:rPr>
                <w:rFonts w:eastAsia="Calibri" w:cs="GHEA Grapalat"/>
                <w:sz w:val="20"/>
                <w:szCs w:val="20"/>
                <w:lang w:val="af-ZA"/>
              </w:rPr>
              <w:t xml:space="preserve"> </w:t>
            </w:r>
            <w:r w:rsidRPr="0053423A">
              <w:rPr>
                <w:rFonts w:eastAsia="Calibri" w:cs="GHEA Grapalat"/>
                <w:sz w:val="20"/>
                <w:szCs w:val="20"/>
              </w:rPr>
              <w:t>այլն</w:t>
            </w:r>
            <w:r w:rsidRPr="0053423A">
              <w:rPr>
                <w:rFonts w:eastAsia="Calibri" w:cs="GHEA Grapalat"/>
                <w:sz w:val="20"/>
                <w:szCs w:val="20"/>
                <w:lang w:val="hy-AM"/>
              </w:rPr>
              <w:t xml:space="preserve">: </w:t>
            </w:r>
          </w:p>
          <w:p w:rsidR="00A67B6B" w:rsidRPr="0053423A" w:rsidRDefault="00A67B6B" w:rsidP="00A67858">
            <w:pPr>
              <w:tabs>
                <w:tab w:val="left" w:pos="508"/>
              </w:tabs>
              <w:spacing w:after="0" w:line="276" w:lineRule="auto"/>
              <w:ind w:firstLine="268"/>
              <w:jc w:val="both"/>
              <w:rPr>
                <w:rFonts w:eastAsia="Calibri" w:cs="GHEA Grapalat"/>
                <w:sz w:val="20"/>
                <w:szCs w:val="20"/>
                <w:lang w:val="af-ZA"/>
              </w:rPr>
            </w:pPr>
          </w:p>
          <w:p w:rsidR="00A67B6B" w:rsidRPr="0053423A" w:rsidRDefault="00A67B6B" w:rsidP="001F6D5D">
            <w:pPr>
              <w:numPr>
                <w:ilvl w:val="0"/>
                <w:numId w:val="197"/>
              </w:numPr>
              <w:tabs>
                <w:tab w:val="left" w:pos="508"/>
              </w:tabs>
              <w:spacing w:after="0" w:line="276" w:lineRule="auto"/>
              <w:contextualSpacing/>
              <w:rPr>
                <w:rFonts w:eastAsia="Calibri" w:cs="Times New Roman"/>
                <w:b/>
                <w:sz w:val="20"/>
                <w:szCs w:val="20"/>
              </w:rPr>
            </w:pPr>
            <w:r w:rsidRPr="0053423A">
              <w:rPr>
                <w:rFonts w:eastAsia="Calibri" w:cs="Times New Roman"/>
                <w:b/>
                <w:sz w:val="20"/>
                <w:szCs w:val="20"/>
              </w:rPr>
              <w:t>Միջոցառման իրակա</w:t>
            </w:r>
            <w:r w:rsidRPr="0053423A">
              <w:rPr>
                <w:rFonts w:eastAsia="Calibri" w:cs="Times New Roman"/>
                <w:b/>
                <w:sz w:val="20"/>
                <w:szCs w:val="20"/>
                <w:lang w:val="hy-AM"/>
              </w:rPr>
              <w:t>նա</w:t>
            </w:r>
            <w:r w:rsidRPr="0053423A">
              <w:rPr>
                <w:rFonts w:eastAsia="Calibri" w:cs="Times New Roman"/>
                <w:b/>
                <w:sz w:val="20"/>
                <w:szCs w:val="20"/>
              </w:rPr>
              <w:t>ցումից ակնկալվող արդյունքը</w:t>
            </w:r>
          </w:p>
          <w:p w:rsidR="00A67B6B" w:rsidRPr="0053423A" w:rsidRDefault="00A67B6B" w:rsidP="00A67858">
            <w:pPr>
              <w:tabs>
                <w:tab w:val="left" w:pos="508"/>
              </w:tabs>
              <w:spacing w:after="0" w:line="276" w:lineRule="auto"/>
              <w:contextualSpacing/>
              <w:jc w:val="both"/>
              <w:rPr>
                <w:rFonts w:eastAsia="Calibri" w:cs="GHEA Grapalat"/>
                <w:sz w:val="20"/>
                <w:szCs w:val="20"/>
              </w:rPr>
            </w:pPr>
            <w:r w:rsidRPr="0053423A">
              <w:rPr>
                <w:rFonts w:eastAsia="Calibri" w:cs="Times New Roman"/>
                <w:sz w:val="20"/>
                <w:szCs w:val="20"/>
                <w:lang w:val="hy-AM"/>
              </w:rPr>
              <w:t>Հայաստանի Հանրապետության</w:t>
            </w:r>
            <w:r w:rsidRPr="0053423A">
              <w:rPr>
                <w:rFonts w:eastAsia="Calibri" w:cs="Times New Roman"/>
                <w:sz w:val="20"/>
                <w:szCs w:val="20"/>
                <w:lang w:val="af-ZA"/>
              </w:rPr>
              <w:t xml:space="preserve"> </w:t>
            </w:r>
            <w:r w:rsidRPr="0053423A">
              <w:rPr>
                <w:rFonts w:eastAsia="Calibri" w:cs="Times New Roman"/>
                <w:sz w:val="20"/>
                <w:szCs w:val="20"/>
              </w:rPr>
              <w:t>օրենքի</w:t>
            </w:r>
            <w:r w:rsidRPr="0053423A">
              <w:rPr>
                <w:rFonts w:eastAsia="Calibri" w:cs="Times New Roman"/>
                <w:sz w:val="20"/>
                <w:szCs w:val="20"/>
                <w:lang w:val="af-ZA"/>
              </w:rPr>
              <w:t xml:space="preserve"> </w:t>
            </w:r>
            <w:r w:rsidRPr="0053423A">
              <w:rPr>
                <w:rFonts w:eastAsia="Calibri" w:cs="Times New Roman"/>
                <w:sz w:val="20"/>
                <w:szCs w:val="20"/>
              </w:rPr>
              <w:t>ընդունմամբ</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կիրարկմամբ</w:t>
            </w:r>
            <w:r w:rsidRPr="0053423A">
              <w:rPr>
                <w:rFonts w:eastAsia="Calibri" w:cs="Times New Roman"/>
                <w:sz w:val="20"/>
                <w:szCs w:val="20"/>
                <w:lang w:val="af-ZA"/>
              </w:rPr>
              <w:t xml:space="preserve"> </w:t>
            </w:r>
            <w:r w:rsidRPr="0053423A">
              <w:rPr>
                <w:rFonts w:eastAsia="Calibri" w:cs="Times New Roman"/>
                <w:sz w:val="20"/>
                <w:szCs w:val="20"/>
              </w:rPr>
              <w:t>կապահովվ</w:t>
            </w:r>
            <w:r w:rsidRPr="0053423A">
              <w:rPr>
                <w:rFonts w:eastAsia="Calibri" w:cs="Times New Roman"/>
                <w:sz w:val="20"/>
                <w:szCs w:val="20"/>
                <w:lang w:val="hy-AM"/>
              </w:rPr>
              <w:t>ի</w:t>
            </w:r>
            <w:r w:rsidRPr="0053423A">
              <w:rPr>
                <w:rFonts w:eastAsia="Calibri" w:cs="Times New Roman"/>
                <w:sz w:val="20"/>
                <w:szCs w:val="20"/>
                <w:lang w:val="af-ZA"/>
              </w:rPr>
              <w:t xml:space="preserve"> հուշարձանների պահպանության, ուսումնասիրման, վերականգնման, ամրակայման, նորոգման, օգտագործման գործառույթների կանոնակարգումը,, </w:t>
            </w:r>
            <w:r w:rsidRPr="0053423A">
              <w:rPr>
                <w:rFonts w:eastAsia="Calibri" w:cs="Times New Roman"/>
                <w:sz w:val="20"/>
                <w:szCs w:val="20"/>
                <w:lang w:val="tr-TR"/>
              </w:rPr>
              <w:t>իրավական դաշտը միաժամանակ</w:t>
            </w:r>
            <w:r w:rsidRPr="0053423A">
              <w:rPr>
                <w:rFonts w:eastAsia="Calibri" w:cs="GHEA Grapalat"/>
                <w:sz w:val="20"/>
                <w:szCs w:val="20"/>
                <w:lang w:val="hy-AM"/>
              </w:rPr>
              <w:t xml:space="preserve"> կնպաստի պատմության և մշակույթի հուշարձանների բնագավառում իրականացվող մշակութային գործունեության նկատմամբ պատասխանատվության բարձրացմանը` էապես </w:t>
            </w:r>
            <w:r w:rsidRPr="0053423A">
              <w:rPr>
                <w:rFonts w:eastAsia="Calibri" w:cs="GHEA Grapalat"/>
                <w:sz w:val="20"/>
                <w:szCs w:val="20"/>
              </w:rPr>
              <w:t>նպաստելով</w:t>
            </w:r>
            <w:r w:rsidRPr="0053423A">
              <w:rPr>
                <w:rFonts w:eastAsia="Calibri" w:cs="GHEA Grapalat"/>
                <w:sz w:val="20"/>
                <w:szCs w:val="20"/>
                <w:lang w:val="af-ZA"/>
              </w:rPr>
              <w:t xml:space="preserve"> </w:t>
            </w:r>
            <w:r w:rsidRPr="0053423A">
              <w:rPr>
                <w:rFonts w:eastAsia="Calibri" w:cs="GHEA Grapalat"/>
                <w:sz w:val="20"/>
                <w:szCs w:val="20"/>
                <w:lang w:val="hy-AM"/>
              </w:rPr>
              <w:t>համակարգում առկա հիմնախնդիրների լուծման արդյունավետությ</w:t>
            </w:r>
            <w:r w:rsidRPr="0053423A">
              <w:rPr>
                <w:rFonts w:eastAsia="Calibri" w:cs="GHEA Grapalat"/>
                <w:sz w:val="20"/>
                <w:szCs w:val="20"/>
              </w:rPr>
              <w:t>ա</w:t>
            </w:r>
            <w:r w:rsidRPr="0053423A">
              <w:rPr>
                <w:rFonts w:eastAsia="Calibri" w:cs="GHEA Grapalat"/>
                <w:sz w:val="20"/>
                <w:szCs w:val="20"/>
                <w:lang w:val="hy-AM"/>
              </w:rPr>
              <w:t>նը</w:t>
            </w:r>
            <w:r w:rsidRPr="0053423A">
              <w:rPr>
                <w:rFonts w:eastAsia="Calibri" w:cs="GHEA Grapalat"/>
                <w:sz w:val="20"/>
                <w:szCs w:val="20"/>
                <w:lang w:val="af-ZA"/>
              </w:rPr>
              <w:t xml:space="preserve">, </w:t>
            </w:r>
            <w:r w:rsidRPr="0053423A">
              <w:rPr>
                <w:rFonts w:eastAsia="Calibri" w:cs="GHEA Grapalat"/>
                <w:sz w:val="20"/>
                <w:szCs w:val="20"/>
              </w:rPr>
              <w:t>ինչպես</w:t>
            </w:r>
            <w:r w:rsidRPr="0053423A">
              <w:rPr>
                <w:rFonts w:eastAsia="Calibri" w:cs="GHEA Grapalat"/>
                <w:sz w:val="20"/>
                <w:szCs w:val="20"/>
                <w:lang w:val="af-ZA"/>
              </w:rPr>
              <w:t xml:space="preserve"> </w:t>
            </w:r>
            <w:r w:rsidRPr="0053423A">
              <w:rPr>
                <w:rFonts w:eastAsia="Calibri" w:cs="GHEA Grapalat"/>
                <w:sz w:val="20"/>
                <w:szCs w:val="20"/>
              </w:rPr>
              <w:t>նաև</w:t>
            </w:r>
            <w:r w:rsidRPr="0053423A">
              <w:rPr>
                <w:rFonts w:eastAsia="Calibri" w:cs="GHEA Grapalat"/>
                <w:sz w:val="20"/>
                <w:szCs w:val="20"/>
                <w:lang w:val="af-ZA"/>
              </w:rPr>
              <w:t xml:space="preserve"> </w:t>
            </w:r>
            <w:r w:rsidRPr="0053423A">
              <w:rPr>
                <w:rFonts w:eastAsia="Calibri" w:cs="GHEA Grapalat"/>
                <w:sz w:val="20"/>
                <w:szCs w:val="20"/>
                <w:lang w:val="hy-AM"/>
              </w:rPr>
              <w:t>պատմության և մշակույթի հուշարձանների պահպանության ոլորտում միասնական պետական քաղաքականությ</w:t>
            </w:r>
            <w:r w:rsidRPr="0053423A">
              <w:rPr>
                <w:rFonts w:eastAsia="Calibri" w:cs="GHEA Grapalat"/>
                <w:sz w:val="20"/>
                <w:szCs w:val="20"/>
                <w:lang w:val="af-ZA"/>
              </w:rPr>
              <w:t>ա</w:t>
            </w:r>
            <w:r w:rsidRPr="0053423A">
              <w:rPr>
                <w:rFonts w:eastAsia="Calibri" w:cs="GHEA Grapalat"/>
                <w:sz w:val="20"/>
                <w:szCs w:val="20"/>
                <w:lang w:val="hy-AM"/>
              </w:rPr>
              <w:t>ն</w:t>
            </w:r>
            <w:r w:rsidRPr="0053423A">
              <w:rPr>
                <w:rFonts w:eastAsia="Calibri" w:cs="GHEA Grapalat"/>
                <w:sz w:val="20"/>
                <w:szCs w:val="20"/>
                <w:lang w:val="af-ZA"/>
              </w:rPr>
              <w:t xml:space="preserve"> </w:t>
            </w:r>
            <w:r w:rsidRPr="0053423A">
              <w:rPr>
                <w:rFonts w:eastAsia="Calibri" w:cs="GHEA Grapalat"/>
                <w:sz w:val="20"/>
                <w:szCs w:val="20"/>
              </w:rPr>
              <w:t>մշակմանն ու իրականացմանը</w:t>
            </w:r>
            <w:r w:rsidRPr="0053423A">
              <w:rPr>
                <w:rFonts w:eastAsia="Calibri" w:cs="GHEA Grapalat"/>
                <w:sz w:val="20"/>
                <w:szCs w:val="20"/>
                <w:lang w:val="af-ZA"/>
              </w:rPr>
              <w:t>:</w:t>
            </w:r>
          </w:p>
          <w:p w:rsidR="00A67B6B" w:rsidRPr="0053423A" w:rsidRDefault="00A67B6B" w:rsidP="00A67858">
            <w:pPr>
              <w:tabs>
                <w:tab w:val="left" w:pos="1855"/>
              </w:tabs>
              <w:spacing w:after="0" w:line="276" w:lineRule="auto"/>
              <w:contextualSpacing/>
              <w:jc w:val="both"/>
              <w:rPr>
                <w:rFonts w:eastAsia="Calibri" w:cs="GHEA Grapalat"/>
                <w:sz w:val="20"/>
                <w:szCs w:val="20"/>
              </w:rPr>
            </w:pPr>
            <w:r w:rsidRPr="0053423A">
              <w:rPr>
                <w:rFonts w:eastAsia="Calibri" w:cs="GHEA Grapalat"/>
                <w:sz w:val="20"/>
                <w:szCs w:val="20"/>
              </w:rPr>
              <w:tab/>
            </w:r>
          </w:p>
          <w:p w:rsidR="00A67B6B" w:rsidRPr="0053423A" w:rsidRDefault="00A67B6B" w:rsidP="00A67858">
            <w:pPr>
              <w:spacing w:after="0" w:line="276" w:lineRule="auto"/>
              <w:jc w:val="center"/>
              <w:rPr>
                <w:rFonts w:eastAsia="Calibri" w:cs="Times New Roman"/>
                <w:b/>
                <w:sz w:val="20"/>
                <w:szCs w:val="20"/>
              </w:rPr>
            </w:pPr>
            <w:r w:rsidRPr="0053423A">
              <w:rPr>
                <w:rFonts w:eastAsia="Calibri" w:cs="Calibri"/>
                <w:b/>
                <w:sz w:val="20"/>
                <w:szCs w:val="20"/>
              </w:rPr>
              <w:t>2.3 Կին</w:t>
            </w:r>
            <w:r w:rsidRPr="0053423A">
              <w:rPr>
                <w:rFonts w:eastAsia="Calibri" w:cs="Calibri"/>
                <w:b/>
                <w:sz w:val="20"/>
                <w:szCs w:val="20"/>
                <w:lang w:val="ru-RU"/>
              </w:rPr>
              <w:t>ոարվեստի</w:t>
            </w:r>
            <w:r w:rsidRPr="0053423A">
              <w:rPr>
                <w:rFonts w:eastAsia="Calibri" w:cs="Calibri"/>
                <w:b/>
                <w:sz w:val="20"/>
                <w:szCs w:val="20"/>
                <w:lang w:val="af-ZA"/>
              </w:rPr>
              <w:t xml:space="preserve"> </w:t>
            </w:r>
            <w:r w:rsidRPr="0053423A">
              <w:rPr>
                <w:rFonts w:eastAsia="Calibri" w:cs="Calibri"/>
                <w:b/>
                <w:sz w:val="20"/>
                <w:szCs w:val="20"/>
                <w:lang w:val="ru-RU"/>
              </w:rPr>
              <w:t>ոլորտում</w:t>
            </w:r>
            <w:r w:rsidRPr="0053423A">
              <w:rPr>
                <w:rFonts w:eastAsia="Calibri" w:cs="Calibri"/>
                <w:b/>
                <w:sz w:val="20"/>
                <w:szCs w:val="20"/>
                <w:lang w:val="af-ZA"/>
              </w:rPr>
              <w:t xml:space="preserve">  </w:t>
            </w:r>
            <w:r w:rsidRPr="0053423A">
              <w:rPr>
                <w:rFonts w:eastAsia="Calibri" w:cs="Calibri"/>
                <w:b/>
                <w:sz w:val="20"/>
                <w:szCs w:val="20"/>
                <w:lang w:val="ru-RU"/>
              </w:rPr>
              <w:t>օրենսդրական</w:t>
            </w:r>
            <w:r w:rsidRPr="0053423A">
              <w:rPr>
                <w:rFonts w:eastAsia="Calibri" w:cs="Calibri"/>
                <w:b/>
                <w:sz w:val="20"/>
                <w:szCs w:val="20"/>
                <w:lang w:val="af-ZA"/>
              </w:rPr>
              <w:t xml:space="preserve"> </w:t>
            </w:r>
            <w:r w:rsidRPr="0053423A">
              <w:rPr>
                <w:rFonts w:eastAsia="Calibri" w:cs="Calibri"/>
                <w:b/>
                <w:sz w:val="20"/>
                <w:szCs w:val="20"/>
                <w:lang w:val="ru-RU"/>
              </w:rPr>
              <w:t>դաշտի</w:t>
            </w:r>
            <w:r w:rsidRPr="0053423A">
              <w:rPr>
                <w:rFonts w:eastAsia="Calibri" w:cs="Calibri"/>
                <w:b/>
                <w:sz w:val="20"/>
                <w:szCs w:val="20"/>
                <w:lang w:val="af-ZA"/>
              </w:rPr>
              <w:t xml:space="preserve"> </w:t>
            </w:r>
            <w:r w:rsidRPr="0053423A">
              <w:rPr>
                <w:rFonts w:eastAsia="Calibri" w:cs="Calibri"/>
                <w:b/>
                <w:sz w:val="20"/>
                <w:szCs w:val="20"/>
              </w:rPr>
              <w:t>մշակում</w:t>
            </w:r>
            <w:r w:rsidRPr="0053423A">
              <w:rPr>
                <w:rFonts w:eastAsia="Calibri" w:cs="Calibri"/>
                <w:b/>
                <w:sz w:val="20"/>
                <w:szCs w:val="20"/>
                <w:lang w:val="af-ZA"/>
              </w:rPr>
              <w:t xml:space="preserve"> </w:t>
            </w:r>
            <w:r w:rsidRPr="0053423A">
              <w:rPr>
                <w:rFonts w:eastAsia="Calibri" w:cs="Calibri"/>
                <w:b/>
                <w:sz w:val="20"/>
                <w:szCs w:val="20"/>
              </w:rPr>
              <w:t>և</w:t>
            </w:r>
            <w:r w:rsidRPr="0053423A">
              <w:rPr>
                <w:rFonts w:eastAsia="Calibri" w:cs="Calibri"/>
                <w:b/>
                <w:sz w:val="20"/>
                <w:szCs w:val="20"/>
                <w:lang w:val="af-ZA"/>
              </w:rPr>
              <w:t xml:space="preserve"> </w:t>
            </w:r>
            <w:r w:rsidRPr="0053423A">
              <w:rPr>
                <w:rFonts w:eastAsia="Calibri" w:cs="Calibri"/>
                <w:b/>
                <w:sz w:val="20"/>
                <w:szCs w:val="20"/>
              </w:rPr>
              <w:t>ներկայացում</w:t>
            </w:r>
            <w:r w:rsidRPr="0053423A">
              <w:rPr>
                <w:rFonts w:eastAsia="Calibri" w:cs="Calibri"/>
                <w:b/>
                <w:sz w:val="20"/>
                <w:szCs w:val="20"/>
                <w:lang w:val="af-ZA"/>
              </w:rPr>
              <w:t xml:space="preserve"> </w:t>
            </w:r>
            <w:r w:rsidRPr="0053423A">
              <w:rPr>
                <w:rFonts w:eastAsia="Calibri" w:cs="Calibri"/>
                <w:b/>
                <w:sz w:val="20"/>
                <w:szCs w:val="20"/>
              </w:rPr>
              <w:t>Հայաստանի</w:t>
            </w:r>
            <w:r w:rsidRPr="0053423A">
              <w:rPr>
                <w:rFonts w:eastAsia="Calibri" w:cs="Calibri"/>
                <w:b/>
                <w:sz w:val="20"/>
                <w:szCs w:val="20"/>
                <w:lang w:val="af-ZA"/>
              </w:rPr>
              <w:t xml:space="preserve"> </w:t>
            </w:r>
            <w:r w:rsidRPr="0053423A">
              <w:rPr>
                <w:rFonts w:eastAsia="Calibri" w:cs="Calibri"/>
                <w:b/>
                <w:sz w:val="20"/>
                <w:szCs w:val="20"/>
              </w:rPr>
              <w:t>Հանրապետության</w:t>
            </w:r>
            <w:r w:rsidRPr="0053423A">
              <w:rPr>
                <w:rFonts w:eastAsia="Calibri" w:cs="Calibri"/>
                <w:b/>
                <w:sz w:val="20"/>
                <w:szCs w:val="20"/>
                <w:lang w:val="af-ZA"/>
              </w:rPr>
              <w:t xml:space="preserve"> </w:t>
            </w:r>
            <w:r w:rsidRPr="0053423A">
              <w:rPr>
                <w:rFonts w:eastAsia="Calibri" w:cs="Calibri"/>
                <w:b/>
                <w:sz w:val="20"/>
                <w:szCs w:val="20"/>
              </w:rPr>
              <w:t>վարչապետի</w:t>
            </w:r>
            <w:r w:rsidRPr="0053423A">
              <w:rPr>
                <w:rFonts w:eastAsia="Calibri" w:cs="Calibri"/>
                <w:b/>
                <w:sz w:val="20"/>
                <w:szCs w:val="20"/>
                <w:lang w:val="af-ZA"/>
              </w:rPr>
              <w:t xml:space="preserve"> </w:t>
            </w:r>
            <w:r w:rsidRPr="0053423A">
              <w:rPr>
                <w:rFonts w:eastAsia="Calibri" w:cs="Calibri"/>
                <w:b/>
                <w:sz w:val="20"/>
                <w:szCs w:val="20"/>
              </w:rPr>
              <w:t>աշխատակազմ</w:t>
            </w:r>
          </w:p>
          <w:p w:rsidR="00A67B6B" w:rsidRPr="0053423A" w:rsidRDefault="00A67B6B" w:rsidP="00A67858">
            <w:pPr>
              <w:spacing w:after="0" w:line="276" w:lineRule="auto"/>
              <w:jc w:val="center"/>
              <w:rPr>
                <w:rFonts w:eastAsia="Calibri" w:cs="GHEA Grapalat"/>
                <w:sz w:val="20"/>
                <w:szCs w:val="20"/>
                <w:lang w:val="af-ZA"/>
              </w:rPr>
            </w:pPr>
          </w:p>
          <w:p w:rsidR="00A67B6B" w:rsidRPr="0053423A" w:rsidRDefault="00A67B6B" w:rsidP="00A67858">
            <w:pPr>
              <w:tabs>
                <w:tab w:val="left" w:pos="508"/>
              </w:tabs>
              <w:spacing w:after="0" w:line="276" w:lineRule="auto"/>
              <w:jc w:val="both"/>
              <w:rPr>
                <w:rFonts w:eastAsia="Calibri" w:cs="Times New Roman"/>
                <w:b/>
                <w:sz w:val="20"/>
                <w:szCs w:val="20"/>
                <w:lang w:val="af-ZA"/>
              </w:rPr>
            </w:pPr>
            <w:r w:rsidRPr="0053423A">
              <w:rPr>
                <w:rFonts w:eastAsia="Calibri" w:cs="Sylfaen"/>
                <w:b/>
                <w:sz w:val="20"/>
                <w:szCs w:val="20"/>
                <w:lang w:val="af-ZA"/>
              </w:rPr>
              <w:t xml:space="preserve">1. </w:t>
            </w:r>
            <w:r w:rsidRPr="0053423A">
              <w:rPr>
                <w:rFonts w:eastAsia="Calibri" w:cs="Sylfaen"/>
                <w:b/>
                <w:sz w:val="20"/>
                <w:szCs w:val="20"/>
                <w:lang w:val="hy-AM"/>
              </w:rPr>
              <w:t>Միջոցառման</w:t>
            </w:r>
            <w:r w:rsidRPr="0053423A">
              <w:rPr>
                <w:rFonts w:eastAsia="Calibri" w:cs="Times New Roman"/>
                <w:b/>
                <w:sz w:val="20"/>
                <w:szCs w:val="20"/>
                <w:lang w:val="af-ZA"/>
              </w:rPr>
              <w:t xml:space="preserve"> </w:t>
            </w:r>
            <w:r w:rsidRPr="0053423A">
              <w:rPr>
                <w:rFonts w:eastAsia="Calibri" w:cs="Times New Roman"/>
                <w:b/>
                <w:sz w:val="20"/>
                <w:szCs w:val="20"/>
              </w:rPr>
              <w:t>իրակա</w:t>
            </w:r>
            <w:r w:rsidRPr="0053423A">
              <w:rPr>
                <w:rFonts w:eastAsia="Calibri" w:cs="Times New Roman"/>
                <w:b/>
                <w:sz w:val="20"/>
                <w:szCs w:val="20"/>
                <w:lang w:val="hy-AM"/>
              </w:rPr>
              <w:t>նա</w:t>
            </w:r>
            <w:r w:rsidRPr="0053423A">
              <w:rPr>
                <w:rFonts w:eastAsia="Calibri" w:cs="Times New Roman"/>
                <w:b/>
                <w:sz w:val="20"/>
                <w:szCs w:val="20"/>
              </w:rPr>
              <w:t>ցման</w:t>
            </w:r>
            <w:r w:rsidRPr="0053423A">
              <w:rPr>
                <w:rFonts w:eastAsia="Calibri" w:cs="Times New Roman"/>
                <w:b/>
                <w:sz w:val="20"/>
                <w:szCs w:val="20"/>
                <w:lang w:val="af-ZA"/>
              </w:rPr>
              <w:t xml:space="preserve"> </w:t>
            </w:r>
            <w:r w:rsidRPr="0053423A">
              <w:rPr>
                <w:rFonts w:eastAsia="Calibri" w:cs="Times New Roman"/>
                <w:b/>
                <w:sz w:val="20"/>
                <w:szCs w:val="20"/>
              </w:rPr>
              <w:t>անհրաժեշտությունը</w:t>
            </w:r>
            <w:r w:rsidRPr="0053423A">
              <w:rPr>
                <w:rFonts w:eastAsia="Calibri" w:cs="Times New Roman"/>
                <w:b/>
                <w:sz w:val="20"/>
                <w:szCs w:val="20"/>
                <w:lang w:val="af-ZA"/>
              </w:rPr>
              <w:t xml:space="preserve"> </w:t>
            </w:r>
            <w:r w:rsidRPr="0053423A">
              <w:rPr>
                <w:rFonts w:eastAsia="Calibri" w:cs="Times New Roman"/>
                <w:b/>
                <w:sz w:val="20"/>
                <w:szCs w:val="20"/>
              </w:rPr>
              <w:t>և</w:t>
            </w:r>
            <w:r w:rsidRPr="0053423A">
              <w:rPr>
                <w:rFonts w:eastAsia="Calibri" w:cs="Times New Roman"/>
                <w:b/>
                <w:sz w:val="20"/>
                <w:szCs w:val="20"/>
                <w:lang w:val="af-ZA"/>
              </w:rPr>
              <w:t xml:space="preserve"> </w:t>
            </w:r>
            <w:r w:rsidRPr="0053423A">
              <w:rPr>
                <w:rFonts w:eastAsia="Calibri" w:cs="Times New Roman"/>
                <w:b/>
                <w:sz w:val="20"/>
                <w:szCs w:val="20"/>
              </w:rPr>
              <w:t>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hy-AM"/>
              </w:rPr>
              <w:t xml:space="preserve">Նախագծի մշակումը համապատասխանում է պետական քաղաքականության հայեցակարգային նպատակներին և խնդիրներին, ուղղված է հուշարձանների պահպանության, օգտագործման ամրապնդմանն ու բարձրացմանը, համաչափ տարածքային տնտեսական զարգացմանը, պետություն-մասնավոր համագործակցության ակտիվացմանը, որի իրականացումը կնպաստի ոլորտի զարգացմանը, առաջիկա տարիներին  ներդրումների աճի ապահովմանը: 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Հայասատանի Հանրապետության կառավարության ծրագրի մասին» N 65-Ա որոշման «4.5. Մշակույթ</w:t>
            </w:r>
            <w:r w:rsidRPr="0053423A">
              <w:rPr>
                <w:rFonts w:eastAsia="Calibri" w:cs="Times New Roman"/>
                <w:sz w:val="20"/>
                <w:szCs w:val="20"/>
                <w:lang w:val="af-ZA"/>
              </w:rPr>
              <w:t xml:space="preserve">» </w:t>
            </w:r>
            <w:r w:rsidRPr="0053423A">
              <w:rPr>
                <w:rFonts w:eastAsia="Calibri" w:cs="Times New Roman"/>
                <w:sz w:val="20"/>
                <w:szCs w:val="20"/>
                <w:lang w:val="hy-AM"/>
              </w:rPr>
              <w:t xml:space="preserve">բաժին: </w:t>
            </w:r>
          </w:p>
          <w:p w:rsidR="00A67B6B" w:rsidRPr="0053423A" w:rsidRDefault="00A67B6B" w:rsidP="00A67858">
            <w:pPr>
              <w:spacing w:after="0" w:line="276" w:lineRule="auto"/>
              <w:jc w:val="both"/>
              <w:rPr>
                <w:rFonts w:eastAsia="Calibri" w:cs="Sylfaen"/>
                <w:sz w:val="20"/>
                <w:szCs w:val="20"/>
                <w:lang w:val="tr-TR"/>
              </w:rPr>
            </w:pPr>
          </w:p>
          <w:p w:rsidR="00A67B6B" w:rsidRPr="0053423A" w:rsidRDefault="00A67B6B" w:rsidP="00A67858">
            <w:pPr>
              <w:tabs>
                <w:tab w:val="left" w:pos="508"/>
              </w:tabs>
              <w:spacing w:after="0" w:line="276" w:lineRule="auto"/>
              <w:jc w:val="both"/>
              <w:rPr>
                <w:rFonts w:eastAsia="Calibri" w:cs="GHEA Grapalat"/>
                <w:b/>
                <w:sz w:val="20"/>
                <w:szCs w:val="20"/>
                <w:shd w:val="clear" w:color="auto" w:fill="FFFFFF"/>
                <w:lang w:val="hy-AM"/>
              </w:rPr>
            </w:pPr>
            <w:r w:rsidRPr="0053423A">
              <w:rPr>
                <w:rFonts w:eastAsia="Calibri" w:cs="GHEA Grapalat"/>
                <w:b/>
                <w:sz w:val="20"/>
                <w:szCs w:val="20"/>
                <w:shd w:val="clear" w:color="auto" w:fill="FFFFFF"/>
                <w:lang w:val="af-ZA"/>
              </w:rPr>
              <w:t xml:space="preserve">1.1 </w:t>
            </w:r>
            <w:r w:rsidRPr="0053423A">
              <w:rPr>
                <w:rFonts w:eastAsia="Calibri" w:cs="Sylfaen"/>
                <w:b/>
                <w:sz w:val="20"/>
                <w:szCs w:val="20"/>
                <w:lang w:val="hy-AM"/>
              </w:rPr>
              <w:t>Կարգավորման</w:t>
            </w:r>
            <w:r w:rsidRPr="0053423A">
              <w:rPr>
                <w:rFonts w:eastAsia="Calibri" w:cs="Times New Roman"/>
                <w:b/>
                <w:sz w:val="20"/>
                <w:szCs w:val="20"/>
                <w:lang w:val="af-ZA"/>
              </w:rPr>
              <w:t xml:space="preserve"> </w:t>
            </w:r>
            <w:r w:rsidRPr="0053423A">
              <w:rPr>
                <w:rFonts w:eastAsia="Calibri" w:cs="Times New Roman"/>
                <w:b/>
                <w:sz w:val="20"/>
                <w:szCs w:val="20"/>
                <w:lang w:val="hy-AM"/>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lang w:val="hy-AM"/>
              </w:rPr>
              <w:t>ներկա</w:t>
            </w:r>
            <w:r w:rsidRPr="0053423A">
              <w:rPr>
                <w:rFonts w:eastAsia="Calibri" w:cs="Times New Roman"/>
                <w:b/>
                <w:sz w:val="20"/>
                <w:szCs w:val="20"/>
                <w:lang w:val="af-ZA"/>
              </w:rPr>
              <w:t xml:space="preserve"> </w:t>
            </w:r>
            <w:r w:rsidRPr="0053423A">
              <w:rPr>
                <w:rFonts w:eastAsia="Calibri" w:cs="Times New Roman"/>
                <w:b/>
                <w:sz w:val="20"/>
                <w:szCs w:val="20"/>
                <w:lang w:val="hy-AM"/>
              </w:rPr>
              <w:t>վիճակը</w:t>
            </w:r>
            <w:r w:rsidRPr="0053423A">
              <w:rPr>
                <w:rFonts w:eastAsia="Calibri" w:cs="Times New Roman"/>
                <w:b/>
                <w:sz w:val="20"/>
                <w:szCs w:val="20"/>
                <w:lang w:val="af-ZA"/>
              </w:rPr>
              <w:t xml:space="preserve"> </w:t>
            </w:r>
            <w:r w:rsidRPr="0053423A">
              <w:rPr>
                <w:rFonts w:eastAsia="Calibri" w:cs="Times New Roman"/>
                <w:b/>
                <w:sz w:val="20"/>
                <w:szCs w:val="20"/>
                <w:lang w:val="hy-AM"/>
              </w:rPr>
              <w:t>և</w:t>
            </w:r>
            <w:r w:rsidRPr="0053423A">
              <w:rPr>
                <w:rFonts w:eastAsia="Calibri" w:cs="Times New Roman"/>
                <w:b/>
                <w:sz w:val="20"/>
                <w:szCs w:val="20"/>
                <w:lang w:val="af-ZA"/>
              </w:rPr>
              <w:t xml:space="preserve"> </w:t>
            </w:r>
            <w:r w:rsidRPr="0053423A">
              <w:rPr>
                <w:rFonts w:eastAsia="Calibri" w:cs="Times New Roman"/>
                <w:b/>
                <w:sz w:val="20"/>
                <w:szCs w:val="20"/>
                <w:lang w:val="hy-AM"/>
              </w:rPr>
              <w:t>առկա</w:t>
            </w:r>
            <w:r w:rsidRPr="0053423A">
              <w:rPr>
                <w:rFonts w:eastAsia="Calibri" w:cs="Times New Roman"/>
                <w:b/>
                <w:sz w:val="20"/>
                <w:szCs w:val="20"/>
                <w:lang w:val="af-ZA"/>
              </w:rPr>
              <w:t xml:space="preserve"> </w:t>
            </w:r>
            <w:r w:rsidRPr="0053423A">
              <w:rPr>
                <w:rFonts w:eastAsia="Calibri" w:cs="Times New Roman"/>
                <w:b/>
                <w:sz w:val="20"/>
                <w:szCs w:val="20"/>
                <w:lang w:val="hy-AM"/>
              </w:rPr>
              <w:t>խնդիրները</w:t>
            </w:r>
          </w:p>
          <w:p w:rsidR="00A67B6B" w:rsidRPr="0053423A" w:rsidRDefault="00A67B6B" w:rsidP="00A67858">
            <w:pPr>
              <w:spacing w:after="0" w:line="276" w:lineRule="auto"/>
              <w:jc w:val="both"/>
              <w:rPr>
                <w:rFonts w:eastAsia="Calibri" w:cs="Times Armenian"/>
                <w:sz w:val="20"/>
                <w:szCs w:val="20"/>
                <w:lang w:val="hy-AM"/>
              </w:rPr>
            </w:pPr>
            <w:r w:rsidRPr="0053423A">
              <w:rPr>
                <w:rFonts w:eastAsia="Calibri" w:cs="Times Armenian"/>
                <w:sz w:val="20"/>
                <w:szCs w:val="20"/>
                <w:lang w:val="hy-AM"/>
              </w:rPr>
              <w:t xml:space="preserve">Ներկայում գործող օրենսդրությունը ամբողջությամբ թույլ չի տալիս հստակորեն առանց որևէ խնդրի հուշարձանները տրամադրել օգտագործման: Բացակայում են հուշարձանների օգտագործման տրամադրման մեխանիզմները, տրամադրվելիք արտոնությունները և այլն: </w:t>
            </w:r>
          </w:p>
          <w:p w:rsidR="00A67B6B" w:rsidRPr="0053423A" w:rsidRDefault="00A67B6B" w:rsidP="00A67858">
            <w:pPr>
              <w:spacing w:after="0" w:line="276" w:lineRule="auto"/>
              <w:jc w:val="both"/>
              <w:rPr>
                <w:rFonts w:eastAsia="Calibri" w:cs="Times Armenian"/>
                <w:sz w:val="20"/>
                <w:szCs w:val="20"/>
                <w:lang w:val="hy-AM"/>
              </w:rPr>
            </w:pPr>
          </w:p>
          <w:p w:rsidR="00A67B6B" w:rsidRPr="0053423A" w:rsidRDefault="00A67B6B" w:rsidP="001F6D5D">
            <w:pPr>
              <w:numPr>
                <w:ilvl w:val="1"/>
                <w:numId w:val="211"/>
              </w:numPr>
              <w:tabs>
                <w:tab w:val="left" w:pos="508"/>
              </w:tabs>
              <w:spacing w:after="0" w:line="276" w:lineRule="auto"/>
              <w:contextualSpacing/>
              <w:rPr>
                <w:rFonts w:eastAsia="Calibri" w:cs="Times New Roman"/>
                <w:b/>
                <w:sz w:val="20"/>
                <w:szCs w:val="20"/>
              </w:rPr>
            </w:pPr>
            <w:r w:rsidRPr="0053423A">
              <w:rPr>
                <w:rFonts w:eastAsia="Calibri" w:cs="Times New Roman"/>
                <w:b/>
                <w:sz w:val="20"/>
                <w:szCs w:val="20"/>
              </w:rPr>
              <w:t>Առկա խնդիրների առաջարկվող լուծումները</w:t>
            </w:r>
          </w:p>
          <w:p w:rsidR="00A67B6B" w:rsidRPr="0053423A" w:rsidRDefault="00A67B6B" w:rsidP="00A67858">
            <w:pPr>
              <w:spacing w:after="0" w:line="276" w:lineRule="auto"/>
              <w:jc w:val="both"/>
              <w:rPr>
                <w:rFonts w:eastAsia="Calibri" w:cs="Times Armenian"/>
                <w:sz w:val="20"/>
                <w:szCs w:val="20"/>
                <w:lang w:val="hy-AM"/>
              </w:rPr>
            </w:pPr>
            <w:r w:rsidRPr="0053423A">
              <w:rPr>
                <w:rFonts w:eastAsia="Calibri" w:cs="Times Armenian"/>
                <w:sz w:val="20"/>
                <w:szCs w:val="20"/>
                <w:lang w:val="hy-AM"/>
              </w:rPr>
              <w:t>«Պատմության և մշակույթի անշարժ հուշարձանների ու պատմական միջավայրի պահպանության և օգտագործման մասին» Հայաստանի Հանրապետության օրենքում փոփոխություն կատարելու մասին» Հայաստանի Հանրապետության օրենքի և հարակից այլ օրենքների նախագծին հավանություն տալու մասին» Հայաստանի Հանրապետության օրենքի ընդունումից հետո կմշակվի ՀՀ կառավարության որոշման նախագիծ, որով կսահմանվի հուշարձանների օգտագործման մեխանիզմները:</w:t>
            </w:r>
          </w:p>
          <w:p w:rsidR="00A67B6B" w:rsidRPr="0053423A" w:rsidRDefault="00A67B6B" w:rsidP="00A67858">
            <w:pPr>
              <w:tabs>
                <w:tab w:val="left" w:pos="508"/>
              </w:tabs>
              <w:spacing w:after="0" w:line="276" w:lineRule="auto"/>
              <w:contextualSpacing/>
              <w:rPr>
                <w:rFonts w:eastAsia="Calibri" w:cs="Times New Roman"/>
                <w:sz w:val="20"/>
                <w:szCs w:val="20"/>
              </w:rPr>
            </w:pPr>
          </w:p>
          <w:p w:rsidR="00A67B6B" w:rsidRPr="0053423A" w:rsidRDefault="00A67B6B" w:rsidP="00A67858">
            <w:pPr>
              <w:tabs>
                <w:tab w:val="left" w:pos="508"/>
              </w:tabs>
              <w:spacing w:after="0" w:line="276" w:lineRule="auto"/>
              <w:contextualSpacing/>
              <w:rPr>
                <w:rFonts w:eastAsia="Calibri" w:cs="Times New Roman"/>
                <w:b/>
                <w:sz w:val="20"/>
                <w:szCs w:val="20"/>
              </w:rPr>
            </w:pPr>
            <w:r w:rsidRPr="0053423A">
              <w:rPr>
                <w:rFonts w:eastAsia="Calibri" w:cs="Times New Roman"/>
                <w:b/>
                <w:sz w:val="20"/>
                <w:szCs w:val="20"/>
              </w:rPr>
              <w:t>2. Միջոցառման իրակա</w:t>
            </w:r>
            <w:r w:rsidRPr="0053423A">
              <w:rPr>
                <w:rFonts w:eastAsia="Calibri" w:cs="Times New Roman"/>
                <w:b/>
                <w:sz w:val="20"/>
                <w:szCs w:val="20"/>
                <w:lang w:val="hy-AM"/>
              </w:rPr>
              <w:t>նա</w:t>
            </w:r>
            <w:r w:rsidRPr="0053423A">
              <w:rPr>
                <w:rFonts w:eastAsia="Calibri" w:cs="Times New Roman"/>
                <w:b/>
                <w:sz w:val="20"/>
                <w:szCs w:val="20"/>
              </w:rPr>
              <w:t>ցումից ակնկալվող արդյունքը</w:t>
            </w:r>
          </w:p>
          <w:p w:rsidR="00A67B6B" w:rsidRPr="0053423A" w:rsidRDefault="00A67B6B" w:rsidP="00A67858">
            <w:pPr>
              <w:spacing w:after="0" w:line="276" w:lineRule="auto"/>
              <w:jc w:val="both"/>
              <w:rPr>
                <w:rFonts w:eastAsia="Calibri" w:cs="Sylfaen"/>
                <w:sz w:val="20"/>
                <w:szCs w:val="20"/>
                <w:lang w:val="tr-TR"/>
              </w:rPr>
            </w:pPr>
            <w:r w:rsidRPr="0053423A">
              <w:rPr>
                <w:rFonts w:eastAsia="Calibri" w:cs="Times New Roman"/>
                <w:sz w:val="20"/>
                <w:szCs w:val="20"/>
                <w:lang w:val="tr-TR"/>
              </w:rPr>
              <w:t>Որոշման ը</w:t>
            </w:r>
            <w:r w:rsidRPr="0053423A">
              <w:rPr>
                <w:rFonts w:eastAsia="Calibri" w:cs="Times New Roman"/>
                <w:sz w:val="20"/>
                <w:szCs w:val="20"/>
                <w:lang w:val="hy-AM"/>
              </w:rPr>
              <w:t>նդունում</w:t>
            </w:r>
            <w:r w:rsidRPr="0053423A">
              <w:rPr>
                <w:rFonts w:eastAsia="Calibri" w:cs="Times New Roman"/>
                <w:sz w:val="20"/>
                <w:szCs w:val="20"/>
              </w:rPr>
              <w:t>ը</w:t>
            </w:r>
            <w:r w:rsidRPr="0053423A">
              <w:rPr>
                <w:rFonts w:eastAsia="Calibri" w:cs="Times New Roman"/>
                <w:sz w:val="20"/>
                <w:szCs w:val="20"/>
                <w:lang w:val="hy-AM"/>
              </w:rPr>
              <w:t xml:space="preserve"> </w:t>
            </w:r>
            <w:r w:rsidRPr="0053423A">
              <w:rPr>
                <w:rFonts w:eastAsia="Calibri" w:cs="Times New Roman"/>
                <w:sz w:val="20"/>
                <w:szCs w:val="20"/>
                <w:lang w:val="tr-TR"/>
              </w:rPr>
              <w:t xml:space="preserve">կնպաստի </w:t>
            </w:r>
            <w:r w:rsidRPr="0053423A">
              <w:rPr>
                <w:rFonts w:eastAsia="Calibri" w:cs="Times New Roman"/>
                <w:sz w:val="20"/>
                <w:szCs w:val="20"/>
                <w:lang w:val="hy-AM"/>
              </w:rPr>
              <w:t xml:space="preserve">պետական </w:t>
            </w:r>
            <w:r w:rsidRPr="0053423A">
              <w:rPr>
                <w:rFonts w:eastAsia="Calibri" w:cs="Times New Roman"/>
                <w:sz w:val="20"/>
                <w:szCs w:val="20"/>
              </w:rPr>
              <w:t>և</w:t>
            </w:r>
            <w:r w:rsidRPr="0053423A">
              <w:rPr>
                <w:rFonts w:eastAsia="Calibri" w:cs="Times New Roman"/>
                <w:sz w:val="20"/>
                <w:szCs w:val="20"/>
                <w:lang w:val="hy-AM"/>
              </w:rPr>
              <w:t xml:space="preserve"> տեղական ինքնակառավարման  եկամուտների էական ավելաց</w:t>
            </w:r>
            <w:r w:rsidRPr="0053423A">
              <w:rPr>
                <w:rFonts w:eastAsia="Calibri" w:cs="Times New Roman"/>
                <w:sz w:val="20"/>
                <w:szCs w:val="20"/>
                <w:lang w:val="tr-TR"/>
              </w:rPr>
              <w:t xml:space="preserve">մանը, </w:t>
            </w:r>
            <w:r w:rsidRPr="0053423A">
              <w:rPr>
                <w:rFonts w:eastAsia="Calibri" w:cs="Calibri"/>
                <w:bCs/>
                <w:sz w:val="20"/>
                <w:szCs w:val="20"/>
                <w:lang w:val="hy-AM" w:eastAsia="en-GB"/>
              </w:rPr>
              <w:t>պատմամշակութային և բնական ժառանգության պահպանությանը, զարգացմանը և պատշաճ ներկայացման</w:t>
            </w:r>
            <w:r w:rsidRPr="0053423A">
              <w:rPr>
                <w:rFonts w:eastAsia="Calibri" w:cs="Calibri"/>
                <w:bCs/>
                <w:sz w:val="20"/>
                <w:szCs w:val="20"/>
                <w:lang w:eastAsia="en-GB"/>
              </w:rPr>
              <w:t>ը</w:t>
            </w:r>
            <w:r w:rsidRPr="0053423A">
              <w:rPr>
                <w:rFonts w:eastAsia="Calibri" w:cs="Calibri"/>
                <w:bCs/>
                <w:sz w:val="20"/>
                <w:szCs w:val="20"/>
                <w:lang w:val="tr-TR" w:eastAsia="en-GB"/>
              </w:rPr>
              <w:t xml:space="preserve">: </w:t>
            </w:r>
            <w:r w:rsidRPr="0053423A">
              <w:rPr>
                <w:rFonts w:eastAsia="Calibri" w:cs="Times New Roman"/>
                <w:sz w:val="20"/>
                <w:szCs w:val="20"/>
                <w:lang w:val="hy-AM"/>
              </w:rPr>
              <w:t>Արտոնության առկայությունը լուրջ խթան կհանդիսանա նոր ներդրումային ծրագրերի իրականացման և որպես հետևանք նոր աշխատատեղերի ստեղծման, ներդրումների ներգրավման</w:t>
            </w:r>
            <w:r w:rsidRPr="0053423A">
              <w:rPr>
                <w:rFonts w:eastAsia="Calibri" w:cs="Times New Roman"/>
                <w:sz w:val="20"/>
                <w:szCs w:val="20"/>
                <w:lang w:val="tr-TR"/>
              </w:rPr>
              <w:t xml:space="preserve"> </w:t>
            </w:r>
            <w:r w:rsidRPr="0053423A">
              <w:rPr>
                <w:rFonts w:eastAsia="Calibri" w:cs="Times New Roman"/>
                <w:sz w:val="20"/>
                <w:szCs w:val="20"/>
              </w:rPr>
              <w:t>համար</w:t>
            </w:r>
            <w:r w:rsidRPr="0053423A">
              <w:rPr>
                <w:rFonts w:eastAsia="Calibri" w:cs="Times New Roman"/>
                <w:sz w:val="20"/>
                <w:szCs w:val="20"/>
                <w:lang w:val="hy-AM"/>
              </w:rPr>
              <w:t>:</w:t>
            </w:r>
          </w:p>
          <w:p w:rsidR="00A67B6B" w:rsidRPr="0053423A" w:rsidRDefault="00A67B6B" w:rsidP="00A67858">
            <w:pPr>
              <w:tabs>
                <w:tab w:val="left" w:pos="508"/>
              </w:tabs>
              <w:spacing w:after="0" w:line="276" w:lineRule="auto"/>
              <w:contextualSpacing/>
              <w:rPr>
                <w:rFonts w:eastAsia="Calibri" w:cs="Sylfaen"/>
                <w:sz w:val="20"/>
                <w:szCs w:val="20"/>
                <w:lang w:val="tr-TR"/>
              </w:rPr>
            </w:pPr>
          </w:p>
          <w:p w:rsidR="00A67B6B" w:rsidRPr="0053423A" w:rsidRDefault="00A67B6B" w:rsidP="00A67858">
            <w:pPr>
              <w:tabs>
                <w:tab w:val="left" w:pos="508"/>
              </w:tabs>
              <w:spacing w:after="0" w:line="276" w:lineRule="auto"/>
              <w:jc w:val="center"/>
              <w:rPr>
                <w:rFonts w:eastAsia="Calibri" w:cs="Times New Roman"/>
                <w:b/>
                <w:sz w:val="20"/>
                <w:szCs w:val="20"/>
                <w:lang w:val="tr-TR"/>
              </w:rPr>
            </w:pPr>
            <w:r w:rsidRPr="0053423A">
              <w:rPr>
                <w:rFonts w:eastAsia="Times New Roman" w:cs="Times New Roman"/>
                <w:b/>
                <w:sz w:val="20"/>
                <w:szCs w:val="20"/>
                <w:lang w:val="tr-TR"/>
              </w:rPr>
              <w:t xml:space="preserve">2.4 </w:t>
            </w:r>
            <w:r w:rsidRPr="0053423A">
              <w:rPr>
                <w:rFonts w:eastAsia="Times New Roman" w:cs="Times New Roman"/>
                <w:b/>
                <w:sz w:val="20"/>
                <w:szCs w:val="20"/>
                <w:lang w:val="ru-RU"/>
              </w:rPr>
              <w:t>Թատերարվեստի</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և</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երաժշտարվեստի</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ոլորտներում</w:t>
            </w:r>
            <w:r w:rsidRPr="0053423A">
              <w:rPr>
                <w:rFonts w:eastAsia="Times New Roman" w:cs="Times New Roman"/>
                <w:b/>
                <w:sz w:val="20"/>
                <w:szCs w:val="20"/>
                <w:lang w:val="tr-TR"/>
              </w:rPr>
              <w:t xml:space="preserve"> </w:t>
            </w:r>
            <w:r w:rsidRPr="0053423A">
              <w:rPr>
                <w:rFonts w:eastAsia="Calibri" w:cs="Calibri"/>
                <w:b/>
                <w:sz w:val="20"/>
                <w:szCs w:val="20"/>
                <w:lang w:val="tr-TR"/>
              </w:rPr>
              <w:t xml:space="preserve"> </w:t>
            </w:r>
            <w:r w:rsidRPr="0053423A">
              <w:rPr>
                <w:rFonts w:eastAsia="Calibri" w:cs="Calibri"/>
                <w:b/>
                <w:sz w:val="20"/>
                <w:szCs w:val="20"/>
                <w:lang w:val="ru-RU"/>
              </w:rPr>
              <w:t>օրենսդրական</w:t>
            </w:r>
            <w:r w:rsidRPr="0053423A">
              <w:rPr>
                <w:rFonts w:eastAsia="Calibri" w:cs="Calibri"/>
                <w:b/>
                <w:sz w:val="20"/>
                <w:szCs w:val="20"/>
                <w:lang w:val="tr-TR"/>
              </w:rPr>
              <w:t xml:space="preserve"> </w:t>
            </w:r>
            <w:r w:rsidRPr="0053423A">
              <w:rPr>
                <w:rFonts w:eastAsia="Calibri" w:cs="Calibri"/>
                <w:b/>
                <w:sz w:val="20"/>
                <w:szCs w:val="20"/>
                <w:lang w:val="ru-RU"/>
              </w:rPr>
              <w:t>դաշտի</w:t>
            </w:r>
            <w:r w:rsidRPr="0053423A">
              <w:rPr>
                <w:rFonts w:eastAsia="Calibri" w:cs="Calibri"/>
                <w:b/>
                <w:sz w:val="20"/>
                <w:szCs w:val="20"/>
                <w:lang w:val="tr-TR"/>
              </w:rPr>
              <w:t xml:space="preserve"> </w:t>
            </w:r>
            <w:r w:rsidRPr="0053423A">
              <w:rPr>
                <w:rFonts w:eastAsia="Calibri" w:cs="Calibri"/>
                <w:b/>
                <w:sz w:val="20"/>
                <w:szCs w:val="20"/>
              </w:rPr>
              <w:t>մշակում</w:t>
            </w:r>
            <w:r w:rsidRPr="0053423A">
              <w:rPr>
                <w:rFonts w:eastAsia="Calibri" w:cs="Calibri"/>
                <w:b/>
                <w:sz w:val="20"/>
                <w:szCs w:val="20"/>
                <w:lang w:val="tr-TR"/>
              </w:rPr>
              <w:t xml:space="preserve"> </w:t>
            </w:r>
            <w:r w:rsidRPr="0053423A">
              <w:rPr>
                <w:rFonts w:eastAsia="Calibri" w:cs="Calibri"/>
                <w:b/>
                <w:sz w:val="20"/>
                <w:szCs w:val="20"/>
              </w:rPr>
              <w:t>և</w:t>
            </w:r>
            <w:r w:rsidRPr="0053423A">
              <w:rPr>
                <w:rFonts w:eastAsia="Calibri" w:cs="Calibri"/>
                <w:b/>
                <w:sz w:val="20"/>
                <w:szCs w:val="20"/>
                <w:lang w:val="tr-TR"/>
              </w:rPr>
              <w:t xml:space="preserve"> </w:t>
            </w:r>
            <w:r w:rsidRPr="0053423A">
              <w:rPr>
                <w:rFonts w:eastAsia="Calibri" w:cs="Calibri"/>
                <w:b/>
                <w:sz w:val="20"/>
                <w:szCs w:val="20"/>
                <w:lang w:val="ru-RU"/>
              </w:rPr>
              <w:t>գործող</w:t>
            </w:r>
            <w:r w:rsidRPr="0053423A">
              <w:rPr>
                <w:rFonts w:eastAsia="Calibri" w:cs="Calibri"/>
                <w:b/>
                <w:sz w:val="20"/>
                <w:szCs w:val="20"/>
                <w:lang w:val="tr-TR"/>
              </w:rPr>
              <w:t xml:space="preserve"> </w:t>
            </w:r>
            <w:r w:rsidRPr="0053423A">
              <w:rPr>
                <w:rFonts w:eastAsia="Calibri" w:cs="Calibri"/>
                <w:b/>
                <w:sz w:val="20"/>
                <w:szCs w:val="20"/>
                <w:lang w:val="ru-RU"/>
              </w:rPr>
              <w:t>իրավական</w:t>
            </w:r>
            <w:r w:rsidRPr="0053423A">
              <w:rPr>
                <w:rFonts w:eastAsia="Calibri" w:cs="Calibri"/>
                <w:b/>
                <w:sz w:val="20"/>
                <w:szCs w:val="20"/>
                <w:lang w:val="tr-TR"/>
              </w:rPr>
              <w:t xml:space="preserve"> </w:t>
            </w:r>
            <w:r w:rsidRPr="0053423A">
              <w:rPr>
                <w:rFonts w:eastAsia="Calibri" w:cs="Calibri"/>
                <w:b/>
                <w:sz w:val="20"/>
                <w:szCs w:val="20"/>
                <w:lang w:val="ru-RU"/>
              </w:rPr>
              <w:t>ակտերում</w:t>
            </w:r>
            <w:r w:rsidRPr="0053423A">
              <w:rPr>
                <w:rFonts w:eastAsia="Calibri" w:cs="Calibri"/>
                <w:b/>
                <w:sz w:val="20"/>
                <w:szCs w:val="20"/>
                <w:lang w:val="tr-TR"/>
              </w:rPr>
              <w:t xml:space="preserve"> </w:t>
            </w:r>
            <w:r w:rsidRPr="0053423A">
              <w:rPr>
                <w:rFonts w:eastAsia="Calibri" w:cs="Calibri"/>
                <w:b/>
                <w:sz w:val="20"/>
                <w:szCs w:val="20"/>
                <w:lang w:val="ru-RU"/>
              </w:rPr>
              <w:t>փոփոխությունների</w:t>
            </w:r>
            <w:r w:rsidRPr="0053423A">
              <w:rPr>
                <w:rFonts w:eastAsia="Calibri" w:cs="Calibri"/>
                <w:b/>
                <w:sz w:val="20"/>
                <w:szCs w:val="20"/>
                <w:lang w:val="tr-TR"/>
              </w:rPr>
              <w:t xml:space="preserve"> </w:t>
            </w:r>
            <w:r w:rsidRPr="0053423A">
              <w:rPr>
                <w:rFonts w:eastAsia="Calibri" w:cs="Calibri"/>
                <w:b/>
                <w:sz w:val="20"/>
                <w:szCs w:val="20"/>
                <w:lang w:val="ru-RU"/>
              </w:rPr>
              <w:t>և</w:t>
            </w:r>
            <w:r w:rsidRPr="0053423A">
              <w:rPr>
                <w:rFonts w:eastAsia="Calibri" w:cs="Calibri"/>
                <w:b/>
                <w:sz w:val="20"/>
                <w:szCs w:val="20"/>
                <w:lang w:val="tr-TR"/>
              </w:rPr>
              <w:t xml:space="preserve"> </w:t>
            </w:r>
            <w:r w:rsidRPr="0053423A">
              <w:rPr>
                <w:rFonts w:eastAsia="Calibri" w:cs="Calibri"/>
                <w:b/>
                <w:sz w:val="20"/>
                <w:szCs w:val="20"/>
                <w:lang w:val="ru-RU"/>
              </w:rPr>
              <w:t>լրացումների</w:t>
            </w:r>
            <w:r w:rsidRPr="0053423A">
              <w:rPr>
                <w:rFonts w:eastAsia="Calibri" w:cs="Calibri"/>
                <w:b/>
                <w:sz w:val="20"/>
                <w:szCs w:val="20"/>
                <w:lang w:val="tr-TR"/>
              </w:rPr>
              <w:t xml:space="preserve"> </w:t>
            </w:r>
            <w:r w:rsidRPr="0053423A">
              <w:rPr>
                <w:rFonts w:eastAsia="Calibri" w:cs="Calibri"/>
                <w:b/>
                <w:sz w:val="20"/>
                <w:szCs w:val="20"/>
                <w:lang w:val="ru-RU"/>
              </w:rPr>
              <w:t>փաթեթի</w:t>
            </w:r>
            <w:r w:rsidRPr="0053423A">
              <w:rPr>
                <w:rFonts w:eastAsia="Calibri" w:cs="Calibri"/>
                <w:b/>
                <w:sz w:val="20"/>
                <w:szCs w:val="20"/>
                <w:lang w:val="tr-TR"/>
              </w:rPr>
              <w:t xml:space="preserve"> </w:t>
            </w:r>
            <w:r w:rsidRPr="0053423A">
              <w:rPr>
                <w:rFonts w:eastAsia="Calibri" w:cs="Calibri"/>
                <w:b/>
                <w:sz w:val="20"/>
                <w:szCs w:val="20"/>
              </w:rPr>
              <w:t>ներկայացում</w:t>
            </w:r>
            <w:r w:rsidRPr="0053423A">
              <w:rPr>
                <w:rFonts w:eastAsia="Calibri" w:cs="Calibri"/>
                <w:b/>
                <w:sz w:val="20"/>
                <w:szCs w:val="20"/>
                <w:lang w:val="tr-TR"/>
              </w:rPr>
              <w:t xml:space="preserve"> </w:t>
            </w:r>
            <w:r w:rsidRPr="0053423A">
              <w:rPr>
                <w:rFonts w:eastAsia="Calibri" w:cs="Calibri"/>
                <w:b/>
                <w:sz w:val="20"/>
                <w:szCs w:val="20"/>
              </w:rPr>
              <w:t>Հայաստանի</w:t>
            </w:r>
            <w:r w:rsidRPr="0053423A">
              <w:rPr>
                <w:rFonts w:eastAsia="Calibri" w:cs="Calibri"/>
                <w:b/>
                <w:sz w:val="20"/>
                <w:szCs w:val="20"/>
                <w:lang w:val="tr-TR"/>
              </w:rPr>
              <w:t xml:space="preserve"> </w:t>
            </w:r>
            <w:r w:rsidRPr="0053423A">
              <w:rPr>
                <w:rFonts w:eastAsia="Calibri" w:cs="Calibri"/>
                <w:b/>
                <w:sz w:val="20"/>
                <w:szCs w:val="20"/>
              </w:rPr>
              <w:t>Հանրապետության</w:t>
            </w:r>
            <w:r w:rsidRPr="0053423A">
              <w:rPr>
                <w:rFonts w:eastAsia="Calibri" w:cs="Calibri"/>
                <w:b/>
                <w:sz w:val="20"/>
                <w:szCs w:val="20"/>
                <w:lang w:val="tr-TR"/>
              </w:rPr>
              <w:t xml:space="preserve"> </w:t>
            </w:r>
            <w:r w:rsidRPr="0053423A">
              <w:rPr>
                <w:rFonts w:eastAsia="Calibri" w:cs="Calibri"/>
                <w:b/>
                <w:sz w:val="20"/>
                <w:szCs w:val="20"/>
              </w:rPr>
              <w:t>վարչապետի</w:t>
            </w:r>
            <w:r w:rsidRPr="0053423A">
              <w:rPr>
                <w:rFonts w:eastAsia="Calibri" w:cs="Calibri"/>
                <w:b/>
                <w:sz w:val="20"/>
                <w:szCs w:val="20"/>
                <w:lang w:val="tr-TR"/>
              </w:rPr>
              <w:t xml:space="preserve"> </w:t>
            </w:r>
            <w:r w:rsidRPr="0053423A">
              <w:rPr>
                <w:rFonts w:eastAsia="Calibri" w:cs="Calibri"/>
                <w:b/>
                <w:sz w:val="20"/>
                <w:szCs w:val="20"/>
              </w:rPr>
              <w:t>աշխատակազմ</w:t>
            </w:r>
          </w:p>
          <w:p w:rsidR="00A67B6B" w:rsidRPr="0053423A" w:rsidRDefault="00A67B6B" w:rsidP="00A67858">
            <w:pPr>
              <w:tabs>
                <w:tab w:val="left" w:pos="508"/>
              </w:tabs>
              <w:spacing w:after="0" w:line="276" w:lineRule="auto"/>
              <w:ind w:left="360"/>
              <w:contextualSpacing/>
              <w:rPr>
                <w:rFonts w:eastAsia="Calibri" w:cs="Times New Roman"/>
                <w:sz w:val="20"/>
                <w:szCs w:val="20"/>
                <w:lang w:val="tr-TR"/>
              </w:rPr>
            </w:pPr>
          </w:p>
          <w:p w:rsidR="00A67B6B" w:rsidRPr="0053423A" w:rsidRDefault="00A67B6B" w:rsidP="001F6D5D">
            <w:pPr>
              <w:numPr>
                <w:ilvl w:val="0"/>
                <w:numId w:val="194"/>
              </w:numPr>
              <w:tabs>
                <w:tab w:val="left" w:pos="508"/>
              </w:tabs>
              <w:spacing w:after="0" w:line="276" w:lineRule="auto"/>
              <w:contextualSpacing/>
              <w:rPr>
                <w:rFonts w:eastAsia="Calibri" w:cs="Times New Roman"/>
                <w:b/>
                <w:sz w:val="20"/>
                <w:szCs w:val="20"/>
                <w:lang w:val="af-ZA"/>
              </w:rPr>
            </w:pPr>
            <w:r w:rsidRPr="0053423A">
              <w:rPr>
                <w:rFonts w:eastAsia="Calibri" w:cs="Times New Roman"/>
                <w:b/>
                <w:sz w:val="20"/>
                <w:szCs w:val="20"/>
              </w:rPr>
              <w:t>Միջոցառման</w:t>
            </w:r>
            <w:r w:rsidRPr="0053423A">
              <w:rPr>
                <w:rFonts w:eastAsia="Calibri" w:cs="Times New Roman"/>
                <w:b/>
                <w:sz w:val="20"/>
                <w:szCs w:val="20"/>
                <w:lang w:val="af-ZA"/>
              </w:rPr>
              <w:t xml:space="preserve"> </w:t>
            </w:r>
            <w:r w:rsidRPr="0053423A">
              <w:rPr>
                <w:rFonts w:eastAsia="Calibri" w:cs="Times New Roman"/>
                <w:b/>
                <w:sz w:val="20"/>
                <w:szCs w:val="20"/>
              </w:rPr>
              <w:t>իրակա</w:t>
            </w:r>
            <w:r w:rsidRPr="0053423A">
              <w:rPr>
                <w:rFonts w:eastAsia="Calibri" w:cs="Times New Roman"/>
                <w:b/>
                <w:sz w:val="20"/>
                <w:szCs w:val="20"/>
                <w:lang w:val="hy-AM"/>
              </w:rPr>
              <w:t>նա</w:t>
            </w:r>
            <w:r w:rsidRPr="0053423A">
              <w:rPr>
                <w:rFonts w:eastAsia="Calibri" w:cs="Times New Roman"/>
                <w:b/>
                <w:sz w:val="20"/>
                <w:szCs w:val="20"/>
              </w:rPr>
              <w:t>ցման</w:t>
            </w:r>
            <w:r w:rsidRPr="0053423A">
              <w:rPr>
                <w:rFonts w:eastAsia="Calibri" w:cs="Times New Roman"/>
                <w:b/>
                <w:sz w:val="20"/>
                <w:szCs w:val="20"/>
                <w:lang w:val="af-ZA"/>
              </w:rPr>
              <w:t xml:space="preserve"> </w:t>
            </w:r>
            <w:r w:rsidRPr="0053423A">
              <w:rPr>
                <w:rFonts w:eastAsia="Calibri" w:cs="Times New Roman"/>
                <w:b/>
                <w:sz w:val="20"/>
                <w:szCs w:val="20"/>
              </w:rPr>
              <w:t>անհրաժեշտությունը</w:t>
            </w:r>
            <w:r w:rsidRPr="0053423A">
              <w:rPr>
                <w:rFonts w:eastAsia="Calibri" w:cs="Times New Roman"/>
                <w:b/>
                <w:sz w:val="20"/>
                <w:szCs w:val="20"/>
                <w:lang w:val="af-ZA"/>
              </w:rPr>
              <w:t xml:space="preserve"> </w:t>
            </w:r>
            <w:r w:rsidRPr="0053423A">
              <w:rPr>
                <w:rFonts w:eastAsia="Calibri" w:cs="Times New Roman"/>
                <w:b/>
                <w:sz w:val="20"/>
                <w:szCs w:val="20"/>
              </w:rPr>
              <w:t>և</w:t>
            </w:r>
            <w:r w:rsidRPr="0053423A">
              <w:rPr>
                <w:rFonts w:eastAsia="Calibri" w:cs="Times New Roman"/>
                <w:b/>
                <w:sz w:val="20"/>
                <w:szCs w:val="20"/>
                <w:lang w:val="af-ZA"/>
              </w:rPr>
              <w:t xml:space="preserve"> </w:t>
            </w:r>
            <w:r w:rsidRPr="0053423A">
              <w:rPr>
                <w:rFonts w:eastAsia="Calibri" w:cs="Times New Roman"/>
                <w:b/>
                <w:sz w:val="20"/>
                <w:szCs w:val="20"/>
              </w:rPr>
              <w:t>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Sylfaen"/>
                <w:sz w:val="20"/>
                <w:szCs w:val="20"/>
              </w:rPr>
              <w:t>Կինեմատոգրաֆիայի</w:t>
            </w:r>
            <w:r w:rsidRPr="0053423A">
              <w:rPr>
                <w:rFonts w:eastAsia="Calibri" w:cs="Times New Roman"/>
                <w:sz w:val="20"/>
                <w:szCs w:val="20"/>
                <w:lang w:val="af-ZA"/>
              </w:rPr>
              <w:t xml:space="preserve"> </w:t>
            </w:r>
            <w:r w:rsidRPr="0053423A">
              <w:rPr>
                <w:rFonts w:eastAsia="Calibri" w:cs="Times New Roman"/>
                <w:sz w:val="20"/>
                <w:szCs w:val="20"/>
              </w:rPr>
              <w:t>օրենքի</w:t>
            </w:r>
            <w:r w:rsidRPr="0053423A">
              <w:rPr>
                <w:rFonts w:eastAsia="Calibri" w:cs="Times New Roman"/>
                <w:sz w:val="20"/>
                <w:szCs w:val="20"/>
                <w:lang w:val="af-ZA"/>
              </w:rPr>
              <w:t xml:space="preserve"> </w:t>
            </w:r>
            <w:r w:rsidRPr="0053423A">
              <w:rPr>
                <w:rFonts w:eastAsia="Calibri" w:cs="Times New Roman"/>
                <w:sz w:val="20"/>
                <w:szCs w:val="20"/>
              </w:rPr>
              <w:t>նախագծի</w:t>
            </w:r>
            <w:r w:rsidRPr="0053423A">
              <w:rPr>
                <w:rFonts w:eastAsia="Calibri" w:cs="Times New Roman"/>
                <w:sz w:val="20"/>
                <w:szCs w:val="20"/>
                <w:lang w:val="af-ZA"/>
              </w:rPr>
              <w:t xml:space="preserve"> </w:t>
            </w:r>
            <w:r w:rsidRPr="0053423A">
              <w:rPr>
                <w:rFonts w:eastAsia="Calibri" w:cs="Times New Roman"/>
                <w:sz w:val="20"/>
                <w:szCs w:val="20"/>
              </w:rPr>
              <w:t>ընդունումը</w:t>
            </w:r>
            <w:r w:rsidRPr="0053423A">
              <w:rPr>
                <w:rFonts w:eastAsia="Calibri" w:cs="Times New Roman"/>
                <w:sz w:val="20"/>
                <w:szCs w:val="20"/>
                <w:lang w:val="af-ZA"/>
              </w:rPr>
              <w:t xml:space="preserve"> </w:t>
            </w:r>
            <w:r w:rsidRPr="0053423A">
              <w:rPr>
                <w:rFonts w:eastAsia="Calibri" w:cs="Times New Roman"/>
                <w:sz w:val="20"/>
                <w:szCs w:val="20"/>
              </w:rPr>
              <w:t>պայմանավորված</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կինոոլորտի</w:t>
            </w:r>
            <w:r w:rsidRPr="0053423A">
              <w:rPr>
                <w:rFonts w:eastAsia="Calibri" w:cs="Times New Roman"/>
                <w:sz w:val="20"/>
                <w:szCs w:val="20"/>
                <w:lang w:val="af-ZA"/>
              </w:rPr>
              <w:t xml:space="preserve"> </w:t>
            </w:r>
            <w:r w:rsidRPr="0053423A">
              <w:rPr>
                <w:rFonts w:eastAsia="Calibri" w:cs="Times New Roman"/>
                <w:sz w:val="20"/>
                <w:szCs w:val="20"/>
              </w:rPr>
              <w:t>համապարփակ</w:t>
            </w:r>
            <w:r w:rsidRPr="0053423A">
              <w:rPr>
                <w:rFonts w:eastAsia="Calibri" w:cs="Times New Roman"/>
                <w:sz w:val="20"/>
                <w:szCs w:val="20"/>
                <w:lang w:val="af-ZA"/>
              </w:rPr>
              <w:t xml:space="preserve"> </w:t>
            </w:r>
            <w:r w:rsidRPr="0053423A">
              <w:rPr>
                <w:rFonts w:eastAsia="Calibri" w:cs="Times New Roman"/>
                <w:sz w:val="20"/>
                <w:szCs w:val="20"/>
              </w:rPr>
              <w:t>կարգավորման</w:t>
            </w:r>
            <w:r w:rsidRPr="0053423A">
              <w:rPr>
                <w:rFonts w:eastAsia="Calibri" w:cs="Times New Roman"/>
                <w:sz w:val="20"/>
                <w:szCs w:val="20"/>
                <w:lang w:val="af-ZA"/>
              </w:rPr>
              <w:t xml:space="preserve"> </w:t>
            </w:r>
            <w:r w:rsidRPr="0053423A">
              <w:rPr>
                <w:rFonts w:eastAsia="Calibri" w:cs="Times New Roman"/>
                <w:sz w:val="20"/>
                <w:szCs w:val="20"/>
              </w:rPr>
              <w:t>անհրաժեշտությամբ</w:t>
            </w:r>
            <w:r w:rsidRPr="0053423A">
              <w:rPr>
                <w:rFonts w:eastAsia="Calibri" w:cs="Times New Roman"/>
                <w:sz w:val="20"/>
                <w:szCs w:val="20"/>
                <w:lang w:val="af-ZA"/>
              </w:rPr>
              <w:t xml:space="preserve">: </w:t>
            </w:r>
            <w:r w:rsidRPr="0053423A">
              <w:rPr>
                <w:rFonts w:eastAsia="Calibri" w:cs="Times New Roman"/>
                <w:sz w:val="20"/>
                <w:szCs w:val="20"/>
                <w:lang w:val="hy-AM"/>
              </w:rPr>
              <w:t>Մասնավորապես, անհրաժեշտ է կանոնակարգել կինեմատոգրաֆիայի ոլորտի զարգացման պետական քաղաքականության սկզբունքները և ձևերը, դրա գործունեության հետ կապված իրավական, կազմակերպական և ֆինանսական հարաբերութունները</w:t>
            </w:r>
            <w:r w:rsidRPr="0053423A">
              <w:rPr>
                <w:rFonts w:eastAsia="Calibri" w:cs="Times New Roman"/>
                <w:sz w:val="20"/>
                <w:szCs w:val="20"/>
                <w:lang w:val="af-ZA"/>
              </w:rPr>
              <w:t xml:space="preserve">, </w:t>
            </w:r>
            <w:r w:rsidRPr="0053423A">
              <w:rPr>
                <w:rFonts w:eastAsia="Calibri" w:cs="Times New Roman"/>
                <w:sz w:val="20"/>
                <w:szCs w:val="20"/>
                <w:lang w:val="hy-AM"/>
              </w:rPr>
              <w:t>պետական կառավարման և այլ մարմինների լիազորությունները</w:t>
            </w:r>
            <w:r w:rsidRPr="0053423A">
              <w:rPr>
                <w:rFonts w:eastAsia="Calibri" w:cs="Times New Roman"/>
                <w:sz w:val="20"/>
                <w:szCs w:val="20"/>
              </w:rPr>
              <w:t>՝</w:t>
            </w:r>
            <w:r w:rsidRPr="0053423A">
              <w:rPr>
                <w:rFonts w:eastAsia="Calibri" w:cs="Times New Roman"/>
                <w:sz w:val="20"/>
                <w:szCs w:val="20"/>
                <w:lang w:val="af-ZA"/>
              </w:rPr>
              <w:t xml:space="preserve"> </w:t>
            </w:r>
            <w:r w:rsidRPr="0053423A">
              <w:rPr>
                <w:rFonts w:eastAsia="Calibri" w:cs="Times New Roman"/>
                <w:sz w:val="20"/>
                <w:szCs w:val="20"/>
                <w:lang w:val="hy-AM"/>
              </w:rPr>
              <w:t>որոնք մասնակցություն կունենան ֆիլմարտադրության աջակց</w:t>
            </w:r>
            <w:r w:rsidRPr="0053423A">
              <w:rPr>
                <w:rFonts w:eastAsia="Calibri" w:cs="Times New Roman"/>
                <w:sz w:val="20"/>
                <w:szCs w:val="20"/>
              </w:rPr>
              <w:t>ության</w:t>
            </w:r>
            <w:r w:rsidRPr="0053423A">
              <w:rPr>
                <w:rFonts w:eastAsia="Calibri" w:cs="Times New Roman"/>
                <w:sz w:val="20"/>
                <w:szCs w:val="20"/>
                <w:lang w:val="af-ZA"/>
              </w:rPr>
              <w:t>, միջազգային համագործակցության ընդլայնման</w:t>
            </w:r>
            <w:r w:rsidRPr="0053423A">
              <w:rPr>
                <w:rFonts w:eastAsia="Calibri" w:cs="Times New Roman"/>
                <w:sz w:val="20"/>
                <w:szCs w:val="20"/>
                <w:lang w:val="hy-AM"/>
              </w:rPr>
              <w:t xml:space="preserve"> և կինեմատոգրաֆիայի ոլորտի զարգացման ծրագրերն առավել արդյունավետ իրականացնելու գործընթացում:</w:t>
            </w:r>
            <w:r w:rsidRPr="0053423A">
              <w:rPr>
                <w:rFonts w:eastAsia="Calibri" w:cs="Times New Roman"/>
                <w:sz w:val="20"/>
                <w:szCs w:val="20"/>
                <w:lang w:val="af-ZA"/>
              </w:rPr>
              <w:t xml:space="preserve">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w:t>
            </w:r>
            <w:r w:rsidRPr="0053423A">
              <w:rPr>
                <w:rFonts w:eastAsia="Calibri" w:cs="Times New Roman"/>
                <w:sz w:val="20"/>
                <w:szCs w:val="20"/>
              </w:rPr>
              <w:t>Մշակույթ» բաժին</w:t>
            </w:r>
            <w:r w:rsidRPr="0053423A">
              <w:rPr>
                <w:rFonts w:eastAsia="Calibri" w:cs="Times New Roman"/>
                <w:sz w:val="20"/>
                <w:szCs w:val="20"/>
                <w:lang w:val="hy-AM"/>
              </w:rPr>
              <w:t xml:space="preserve">: </w:t>
            </w:r>
          </w:p>
          <w:p w:rsidR="00A67B6B" w:rsidRPr="0053423A" w:rsidRDefault="00A67B6B" w:rsidP="00A67858">
            <w:pPr>
              <w:tabs>
                <w:tab w:val="left" w:pos="508"/>
              </w:tabs>
              <w:spacing w:after="0" w:line="276" w:lineRule="auto"/>
              <w:jc w:val="both"/>
              <w:rPr>
                <w:rFonts w:eastAsia="Calibri" w:cs="Times New Roman"/>
                <w:sz w:val="20"/>
                <w:szCs w:val="20"/>
              </w:rPr>
            </w:pPr>
          </w:p>
          <w:p w:rsidR="00A67B6B" w:rsidRPr="0053423A" w:rsidRDefault="00A67B6B" w:rsidP="001F6D5D">
            <w:pPr>
              <w:numPr>
                <w:ilvl w:val="1"/>
                <w:numId w:val="194"/>
              </w:numPr>
              <w:tabs>
                <w:tab w:val="left" w:pos="508"/>
              </w:tabs>
              <w:spacing w:after="0" w:line="276" w:lineRule="auto"/>
              <w:ind w:hanging="1004"/>
              <w:contextualSpacing/>
              <w:rPr>
                <w:rFonts w:eastAsia="Calibri" w:cs="Times New Roman"/>
                <w:b/>
                <w:sz w:val="20"/>
                <w:szCs w:val="20"/>
                <w:lang w:val="af-ZA"/>
              </w:rPr>
            </w:pPr>
            <w:r w:rsidRPr="0053423A">
              <w:rPr>
                <w:rFonts w:eastAsia="Calibri" w:cs="Times New Roman"/>
                <w:b/>
                <w:sz w:val="20"/>
                <w:szCs w:val="20"/>
              </w:rPr>
              <w:t>Կարգավորման</w:t>
            </w:r>
            <w:r w:rsidRPr="0053423A">
              <w:rPr>
                <w:rFonts w:eastAsia="Calibri" w:cs="Times New Roman"/>
                <w:b/>
                <w:sz w:val="20"/>
                <w:szCs w:val="20"/>
                <w:lang w:val="af-ZA"/>
              </w:rPr>
              <w:t xml:space="preserve"> </w:t>
            </w:r>
            <w:r w:rsidRPr="0053423A">
              <w:rPr>
                <w:rFonts w:eastAsia="Calibri" w:cs="Times New Roman"/>
                <w:b/>
                <w:sz w:val="20"/>
                <w:szCs w:val="20"/>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rPr>
              <w:t>ներկա</w:t>
            </w:r>
            <w:r w:rsidRPr="0053423A">
              <w:rPr>
                <w:rFonts w:eastAsia="Calibri" w:cs="Times New Roman"/>
                <w:b/>
                <w:sz w:val="20"/>
                <w:szCs w:val="20"/>
                <w:lang w:val="af-ZA"/>
              </w:rPr>
              <w:t xml:space="preserve"> </w:t>
            </w:r>
            <w:r w:rsidRPr="0053423A">
              <w:rPr>
                <w:rFonts w:eastAsia="Calibri" w:cs="Times New Roman"/>
                <w:b/>
                <w:sz w:val="20"/>
                <w:szCs w:val="20"/>
              </w:rPr>
              <w:t>վիճակը</w:t>
            </w:r>
            <w:r w:rsidRPr="0053423A">
              <w:rPr>
                <w:rFonts w:eastAsia="Calibri" w:cs="Times New Roman"/>
                <w:b/>
                <w:sz w:val="20"/>
                <w:szCs w:val="20"/>
                <w:lang w:val="af-ZA"/>
              </w:rPr>
              <w:t xml:space="preserve"> </w:t>
            </w:r>
            <w:r w:rsidRPr="0053423A">
              <w:rPr>
                <w:rFonts w:eastAsia="Calibri" w:cs="Times New Roman"/>
                <w:b/>
                <w:sz w:val="20"/>
                <w:szCs w:val="20"/>
              </w:rPr>
              <w:t>և</w:t>
            </w:r>
            <w:r w:rsidRPr="0053423A">
              <w:rPr>
                <w:rFonts w:eastAsia="Calibri" w:cs="Times New Roman"/>
                <w:b/>
                <w:sz w:val="20"/>
                <w:szCs w:val="20"/>
                <w:lang w:val="af-ZA"/>
              </w:rPr>
              <w:t xml:space="preserve"> </w:t>
            </w:r>
            <w:r w:rsidRPr="0053423A">
              <w:rPr>
                <w:rFonts w:eastAsia="Calibri" w:cs="Times New Roman"/>
                <w:b/>
                <w:sz w:val="20"/>
                <w:szCs w:val="20"/>
              </w:rPr>
              <w:t>առկա</w:t>
            </w:r>
            <w:r w:rsidRPr="0053423A">
              <w:rPr>
                <w:rFonts w:eastAsia="Calibri" w:cs="Times New Roman"/>
                <w:b/>
                <w:sz w:val="20"/>
                <w:szCs w:val="20"/>
                <w:lang w:val="af-ZA"/>
              </w:rPr>
              <w:t xml:space="preserve"> </w:t>
            </w:r>
            <w:r w:rsidRPr="0053423A">
              <w:rPr>
                <w:rFonts w:eastAsia="Calibri" w:cs="Times New Roman"/>
                <w:b/>
                <w:sz w:val="20"/>
                <w:szCs w:val="20"/>
              </w:rPr>
              <w:t>խնդիրները</w:t>
            </w:r>
          </w:p>
          <w:p w:rsidR="00A67B6B" w:rsidRPr="0053423A" w:rsidRDefault="00A67B6B" w:rsidP="00A67858">
            <w:pPr>
              <w:tabs>
                <w:tab w:val="left" w:pos="508"/>
              </w:tabs>
              <w:spacing w:after="0" w:line="276" w:lineRule="auto"/>
              <w:jc w:val="both"/>
              <w:rPr>
                <w:rFonts w:eastAsia="Calibri" w:cs="Times New Roman"/>
                <w:sz w:val="20"/>
                <w:szCs w:val="20"/>
                <w:lang w:val="af-ZA"/>
              </w:rPr>
            </w:pPr>
            <w:r w:rsidRPr="0053423A">
              <w:rPr>
                <w:rFonts w:eastAsia="Calibri" w:cs="Sylfaen"/>
                <w:sz w:val="20"/>
                <w:szCs w:val="20"/>
              </w:rPr>
              <w:t>Ներկայումս</w:t>
            </w:r>
            <w:r w:rsidRPr="0053423A">
              <w:rPr>
                <w:rFonts w:eastAsia="Calibri" w:cs="Times New Roman"/>
                <w:sz w:val="20"/>
                <w:szCs w:val="20"/>
                <w:lang w:val="af-ZA"/>
              </w:rPr>
              <w:t xml:space="preserve"> </w:t>
            </w:r>
            <w:r w:rsidRPr="0053423A">
              <w:rPr>
                <w:rFonts w:eastAsia="Calibri" w:cs="Times New Roman"/>
                <w:sz w:val="20"/>
                <w:szCs w:val="20"/>
              </w:rPr>
              <w:t>Հայաստանում</w:t>
            </w:r>
            <w:r w:rsidRPr="0053423A">
              <w:rPr>
                <w:rFonts w:eastAsia="Calibri" w:cs="Times New Roman"/>
                <w:sz w:val="20"/>
                <w:szCs w:val="20"/>
                <w:lang w:val="af-ZA"/>
              </w:rPr>
              <w:t xml:space="preserve"> </w:t>
            </w:r>
            <w:r w:rsidRPr="0053423A">
              <w:rPr>
                <w:rFonts w:eastAsia="Calibri" w:cs="Times New Roman"/>
                <w:sz w:val="20"/>
                <w:szCs w:val="20"/>
              </w:rPr>
              <w:t>իրականացվում</w:t>
            </w:r>
            <w:r w:rsidRPr="0053423A">
              <w:rPr>
                <w:rFonts w:eastAsia="Calibri" w:cs="Times New Roman"/>
                <w:sz w:val="20"/>
                <w:szCs w:val="20"/>
                <w:lang w:val="af-ZA"/>
              </w:rPr>
              <w:t xml:space="preserve"> </w:t>
            </w:r>
            <w:r w:rsidRPr="0053423A">
              <w:rPr>
                <w:rFonts w:eastAsia="Calibri" w:cs="Times New Roman"/>
                <w:sz w:val="20"/>
                <w:szCs w:val="20"/>
              </w:rPr>
              <w:t>են</w:t>
            </w:r>
            <w:r w:rsidRPr="0053423A">
              <w:rPr>
                <w:rFonts w:eastAsia="Calibri" w:cs="Times New Roman"/>
                <w:sz w:val="20"/>
                <w:szCs w:val="20"/>
                <w:lang w:val="af-ZA"/>
              </w:rPr>
              <w:t xml:space="preserve"> </w:t>
            </w:r>
            <w:r w:rsidRPr="0053423A">
              <w:rPr>
                <w:rFonts w:eastAsia="Calibri" w:cs="Times New Roman"/>
                <w:sz w:val="20"/>
                <w:szCs w:val="20"/>
              </w:rPr>
              <w:t>կինոոլորտի</w:t>
            </w:r>
            <w:r w:rsidRPr="0053423A">
              <w:rPr>
                <w:rFonts w:eastAsia="Calibri" w:cs="Times New Roman"/>
                <w:sz w:val="20"/>
                <w:szCs w:val="20"/>
                <w:lang w:val="af-ZA"/>
              </w:rPr>
              <w:t xml:space="preserve"> </w:t>
            </w:r>
            <w:r w:rsidRPr="0053423A">
              <w:rPr>
                <w:rFonts w:eastAsia="Calibri" w:cs="Times New Roman"/>
                <w:sz w:val="20"/>
                <w:szCs w:val="20"/>
              </w:rPr>
              <w:t>բարեփոխման</w:t>
            </w:r>
            <w:r w:rsidRPr="0053423A">
              <w:rPr>
                <w:rFonts w:eastAsia="Calibri" w:cs="Times New Roman"/>
                <w:sz w:val="20"/>
                <w:szCs w:val="20"/>
                <w:lang w:val="af-ZA"/>
              </w:rPr>
              <w:t xml:space="preserve"> </w:t>
            </w:r>
            <w:r w:rsidRPr="0053423A">
              <w:rPr>
                <w:rFonts w:eastAsia="Calibri" w:cs="Times New Roman"/>
                <w:sz w:val="20"/>
                <w:szCs w:val="20"/>
              </w:rPr>
              <w:t>տարբեր</w:t>
            </w:r>
            <w:r w:rsidRPr="0053423A">
              <w:rPr>
                <w:rFonts w:eastAsia="Calibri" w:cs="Times New Roman"/>
                <w:sz w:val="20"/>
                <w:szCs w:val="20"/>
                <w:lang w:val="af-ZA"/>
              </w:rPr>
              <w:t xml:space="preserve"> </w:t>
            </w:r>
            <w:r w:rsidRPr="0053423A">
              <w:rPr>
                <w:rFonts w:eastAsia="Calibri" w:cs="Times New Roman"/>
                <w:sz w:val="20"/>
                <w:szCs w:val="20"/>
              </w:rPr>
              <w:t>ծրագրեր</w:t>
            </w:r>
            <w:r w:rsidRPr="0053423A">
              <w:rPr>
                <w:rFonts w:eastAsia="Calibri" w:cs="Times New Roman"/>
                <w:sz w:val="20"/>
                <w:szCs w:val="20"/>
                <w:lang w:val="af-ZA"/>
              </w:rPr>
              <w:t xml:space="preserve">, </w:t>
            </w:r>
            <w:r w:rsidRPr="0053423A">
              <w:rPr>
                <w:rFonts w:eastAsia="Calibri" w:cs="Times New Roman"/>
                <w:sz w:val="20"/>
                <w:szCs w:val="20"/>
              </w:rPr>
              <w:t>միջազգային</w:t>
            </w:r>
            <w:r w:rsidRPr="0053423A">
              <w:rPr>
                <w:rFonts w:eastAsia="Calibri" w:cs="Times New Roman"/>
                <w:sz w:val="20"/>
                <w:szCs w:val="20"/>
                <w:lang w:val="af-ZA"/>
              </w:rPr>
              <w:t xml:space="preserve"> </w:t>
            </w:r>
            <w:r w:rsidRPr="0053423A">
              <w:rPr>
                <w:rFonts w:eastAsia="Calibri" w:cs="Times New Roman"/>
                <w:sz w:val="20"/>
                <w:szCs w:val="20"/>
              </w:rPr>
              <w:t>համագործակցության</w:t>
            </w:r>
            <w:r w:rsidRPr="0053423A">
              <w:rPr>
                <w:rFonts w:eastAsia="Calibri" w:cs="Times New Roman"/>
                <w:sz w:val="20"/>
                <w:szCs w:val="20"/>
                <w:lang w:val="af-ZA"/>
              </w:rPr>
              <w:t xml:space="preserve"> </w:t>
            </w:r>
            <w:r w:rsidRPr="0053423A">
              <w:rPr>
                <w:rFonts w:eastAsia="Calibri" w:cs="Times New Roman"/>
                <w:sz w:val="20"/>
                <w:szCs w:val="20"/>
              </w:rPr>
              <w:t>երկխոսության</w:t>
            </w:r>
            <w:r w:rsidRPr="0053423A">
              <w:rPr>
                <w:rFonts w:eastAsia="Calibri" w:cs="Times New Roman"/>
                <w:sz w:val="20"/>
                <w:szCs w:val="20"/>
                <w:lang w:val="af-ZA"/>
              </w:rPr>
              <w:t xml:space="preserve"> </w:t>
            </w:r>
            <w:r w:rsidRPr="0053423A">
              <w:rPr>
                <w:rFonts w:eastAsia="Calibri" w:cs="Times New Roman"/>
                <w:sz w:val="20"/>
                <w:szCs w:val="20"/>
              </w:rPr>
              <w:t>նախաձեռնություններ</w:t>
            </w:r>
            <w:r w:rsidRPr="0053423A">
              <w:rPr>
                <w:rFonts w:eastAsia="Calibri" w:cs="Times New Roman"/>
                <w:sz w:val="20"/>
                <w:szCs w:val="20"/>
                <w:lang w:val="af-ZA"/>
              </w:rPr>
              <w:t xml:space="preserve">, </w:t>
            </w:r>
            <w:r w:rsidRPr="0053423A">
              <w:rPr>
                <w:rFonts w:eastAsia="Calibri" w:cs="Times New Roman"/>
                <w:sz w:val="20"/>
                <w:szCs w:val="20"/>
              </w:rPr>
              <w:t>միջոցառումներ</w:t>
            </w:r>
            <w:r w:rsidRPr="0053423A">
              <w:rPr>
                <w:rFonts w:eastAsia="Calibri" w:cs="Times New Roman"/>
                <w:sz w:val="20"/>
                <w:szCs w:val="20"/>
                <w:lang w:val="af-ZA"/>
              </w:rPr>
              <w:t xml:space="preserve">, </w:t>
            </w:r>
            <w:r w:rsidRPr="0053423A">
              <w:rPr>
                <w:rFonts w:eastAsia="Calibri" w:cs="Times New Roman"/>
                <w:sz w:val="20"/>
                <w:szCs w:val="20"/>
              </w:rPr>
              <w:t>փառատոներ</w:t>
            </w:r>
            <w:r w:rsidRPr="0053423A">
              <w:rPr>
                <w:rFonts w:eastAsia="Calibri" w:cs="Times New Roman"/>
                <w:sz w:val="20"/>
                <w:szCs w:val="20"/>
                <w:lang w:val="af-ZA"/>
              </w:rPr>
              <w:t xml:space="preserve">, </w:t>
            </w:r>
            <w:r w:rsidRPr="0053423A">
              <w:rPr>
                <w:rFonts w:eastAsia="Calibri" w:cs="Times New Roman"/>
                <w:sz w:val="20"/>
                <w:szCs w:val="20"/>
              </w:rPr>
              <w:t>սակայն</w:t>
            </w:r>
            <w:r w:rsidRPr="0053423A">
              <w:rPr>
                <w:rFonts w:eastAsia="Calibri" w:cs="Times New Roman"/>
                <w:sz w:val="20"/>
                <w:szCs w:val="20"/>
                <w:lang w:val="af-ZA"/>
              </w:rPr>
              <w:t xml:space="preserve"> </w:t>
            </w:r>
            <w:r w:rsidRPr="0053423A">
              <w:rPr>
                <w:rFonts w:eastAsia="Calibri" w:cs="Times New Roman"/>
                <w:sz w:val="20"/>
                <w:szCs w:val="20"/>
              </w:rPr>
              <w:t>կինեմատոգրաֆիայի</w:t>
            </w:r>
            <w:r w:rsidRPr="0053423A">
              <w:rPr>
                <w:rFonts w:eastAsia="Calibri" w:cs="Times New Roman"/>
                <w:sz w:val="20"/>
                <w:szCs w:val="20"/>
                <w:lang w:val="af-ZA"/>
              </w:rPr>
              <w:t xml:space="preserve"> </w:t>
            </w:r>
            <w:r w:rsidRPr="0053423A">
              <w:rPr>
                <w:rFonts w:eastAsia="Calibri" w:cs="Times New Roman"/>
                <w:sz w:val="20"/>
                <w:szCs w:val="20"/>
              </w:rPr>
              <w:t>օրենքի</w:t>
            </w:r>
            <w:r w:rsidRPr="0053423A">
              <w:rPr>
                <w:rFonts w:eastAsia="Calibri" w:cs="Times New Roman"/>
                <w:sz w:val="20"/>
                <w:szCs w:val="20"/>
                <w:lang w:val="af-ZA"/>
              </w:rPr>
              <w:t xml:space="preserve"> </w:t>
            </w:r>
            <w:r w:rsidRPr="0053423A">
              <w:rPr>
                <w:rFonts w:eastAsia="Calibri" w:cs="Times New Roman"/>
                <w:sz w:val="20"/>
                <w:szCs w:val="20"/>
              </w:rPr>
              <w:t>բացակայության</w:t>
            </w:r>
            <w:r w:rsidRPr="0053423A">
              <w:rPr>
                <w:rFonts w:eastAsia="Calibri" w:cs="Times New Roman"/>
                <w:sz w:val="20"/>
                <w:szCs w:val="20"/>
                <w:lang w:val="af-ZA"/>
              </w:rPr>
              <w:t xml:space="preserve"> </w:t>
            </w:r>
            <w:r w:rsidRPr="0053423A">
              <w:rPr>
                <w:rFonts w:eastAsia="Calibri" w:cs="Times New Roman"/>
                <w:sz w:val="20"/>
                <w:szCs w:val="20"/>
              </w:rPr>
              <w:t>պատճառով</w:t>
            </w:r>
            <w:r w:rsidRPr="0053423A">
              <w:rPr>
                <w:rFonts w:eastAsia="Calibri" w:cs="Times New Roman"/>
                <w:sz w:val="20"/>
                <w:szCs w:val="20"/>
                <w:lang w:val="af-ZA"/>
              </w:rPr>
              <w:t xml:space="preserve"> </w:t>
            </w:r>
            <w:r w:rsidRPr="0053423A">
              <w:rPr>
                <w:rFonts w:eastAsia="Calibri" w:cs="Times New Roman"/>
                <w:sz w:val="20"/>
                <w:szCs w:val="20"/>
              </w:rPr>
              <w:t>կ</w:t>
            </w:r>
            <w:r w:rsidRPr="0053423A">
              <w:rPr>
                <w:rFonts w:eastAsia="Calibri" w:cs="Times New Roman"/>
                <w:sz w:val="20"/>
                <w:szCs w:val="20"/>
                <w:lang w:val="hy-AM"/>
              </w:rPr>
              <w:t>արգավորված չեն ֆիլմարտադրության,</w:t>
            </w:r>
            <w:r w:rsidRPr="0053423A">
              <w:rPr>
                <w:rFonts w:eastAsia="Calibri" w:cs="Times New Roman"/>
                <w:sz w:val="20"/>
                <w:szCs w:val="20"/>
                <w:lang w:val="af-ZA"/>
              </w:rPr>
              <w:t xml:space="preserve"> </w:t>
            </w:r>
            <w:r w:rsidRPr="0053423A">
              <w:rPr>
                <w:rFonts w:eastAsia="Calibri" w:cs="Times New Roman"/>
                <w:sz w:val="20"/>
                <w:szCs w:val="20"/>
                <w:lang w:val="hy-AM"/>
              </w:rPr>
              <w:t>ցուցադրման</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տարածման</w:t>
            </w:r>
            <w:r w:rsidRPr="0053423A">
              <w:rPr>
                <w:rFonts w:eastAsia="Calibri" w:cs="Times New Roman"/>
                <w:sz w:val="20"/>
                <w:szCs w:val="20"/>
                <w:lang w:val="hy-AM"/>
              </w:rPr>
              <w:t>,</w:t>
            </w:r>
            <w:r w:rsidRPr="0053423A">
              <w:rPr>
                <w:rFonts w:eastAsia="Calibri" w:cs="Times New Roman"/>
                <w:sz w:val="20"/>
                <w:szCs w:val="20"/>
                <w:lang w:val="af-ZA"/>
              </w:rPr>
              <w:t xml:space="preserve"> </w:t>
            </w:r>
            <w:r w:rsidRPr="0053423A">
              <w:rPr>
                <w:rFonts w:eastAsia="Calibri" w:cs="Times New Roman"/>
                <w:sz w:val="20"/>
                <w:szCs w:val="20"/>
                <w:lang w:val="hy-AM"/>
              </w:rPr>
              <w:t>հեղինակային</w:t>
            </w:r>
            <w:r w:rsidRPr="0053423A">
              <w:rPr>
                <w:rFonts w:eastAsia="Calibri" w:cs="Times New Roman"/>
                <w:sz w:val="20"/>
                <w:szCs w:val="20"/>
                <w:lang w:val="af-ZA"/>
              </w:rPr>
              <w:t xml:space="preserve"> </w:t>
            </w:r>
            <w:r w:rsidRPr="0053423A">
              <w:rPr>
                <w:rFonts w:eastAsia="Calibri" w:cs="Times New Roman"/>
                <w:sz w:val="20"/>
                <w:szCs w:val="20"/>
                <w:lang w:val="hy-AM"/>
              </w:rPr>
              <w:t>իրավունքների</w:t>
            </w:r>
            <w:r w:rsidRPr="0053423A">
              <w:rPr>
                <w:rFonts w:eastAsia="Calibri" w:cs="Times New Roman"/>
                <w:sz w:val="20"/>
                <w:szCs w:val="20"/>
                <w:lang w:val="af-ZA"/>
              </w:rPr>
              <w:t>, կինոժառանգության պահպանման, հայոց լեզվի կիրառման, ազգային կինոյի քաղաքականության,</w:t>
            </w:r>
            <w:r w:rsidRPr="0053423A">
              <w:rPr>
                <w:rFonts w:eastAsia="Calibri" w:cs="Times New Roman"/>
                <w:sz w:val="20"/>
                <w:szCs w:val="20"/>
                <w:lang w:val="hy-AM"/>
              </w:rPr>
              <w:t xml:space="preserve"> միջազգային</w:t>
            </w:r>
            <w:r w:rsidRPr="0053423A">
              <w:rPr>
                <w:rFonts w:eastAsia="Calibri" w:cs="Times New Roman"/>
                <w:sz w:val="20"/>
                <w:szCs w:val="20"/>
                <w:lang w:val="af-ZA"/>
              </w:rPr>
              <w:t xml:space="preserve"> </w:t>
            </w:r>
            <w:r w:rsidRPr="0053423A">
              <w:rPr>
                <w:rFonts w:eastAsia="Calibri" w:cs="Times New Roman"/>
                <w:sz w:val="20"/>
                <w:szCs w:val="20"/>
                <w:lang w:val="hy-AM"/>
              </w:rPr>
              <w:t>համագործակցության</w:t>
            </w:r>
            <w:r w:rsidRPr="0053423A">
              <w:rPr>
                <w:rFonts w:eastAsia="Calibri" w:cs="Times New Roman"/>
                <w:sz w:val="20"/>
                <w:szCs w:val="20"/>
                <w:lang w:val="af-ZA"/>
              </w:rPr>
              <w:t xml:space="preserve">, ներդրումային ծրագրերի, </w:t>
            </w:r>
            <w:r w:rsidRPr="0053423A">
              <w:rPr>
                <w:rFonts w:eastAsia="Calibri" w:cs="Times New Roman"/>
                <w:sz w:val="20"/>
                <w:szCs w:val="20"/>
                <w:lang w:val="hy-AM"/>
              </w:rPr>
              <w:t>կինոփառատոների և կինոշուկաների մասնակացության պետական ֆինանսավորման և պետական աջակցության այլ ձևեր</w:t>
            </w:r>
            <w:r w:rsidRPr="0053423A">
              <w:rPr>
                <w:rFonts w:eastAsia="Calibri" w:cs="Times New Roman"/>
                <w:sz w:val="20"/>
                <w:szCs w:val="20"/>
                <w:lang w:val="af-ZA"/>
              </w:rPr>
              <w:t>:</w:t>
            </w:r>
          </w:p>
          <w:p w:rsidR="00A67B6B" w:rsidRPr="0053423A" w:rsidRDefault="00A67B6B" w:rsidP="00A67858">
            <w:pPr>
              <w:tabs>
                <w:tab w:val="left" w:pos="508"/>
              </w:tabs>
              <w:spacing w:after="0" w:line="276" w:lineRule="auto"/>
              <w:jc w:val="both"/>
              <w:rPr>
                <w:rFonts w:eastAsia="Calibri" w:cs="Times New Roman"/>
                <w:sz w:val="20"/>
                <w:szCs w:val="20"/>
                <w:lang w:val="af-ZA"/>
              </w:rPr>
            </w:pPr>
          </w:p>
          <w:p w:rsidR="00A67B6B" w:rsidRPr="0053423A" w:rsidRDefault="00A67B6B" w:rsidP="001F6D5D">
            <w:pPr>
              <w:numPr>
                <w:ilvl w:val="1"/>
                <w:numId w:val="194"/>
              </w:numPr>
              <w:tabs>
                <w:tab w:val="left" w:pos="508"/>
              </w:tabs>
              <w:spacing w:after="0" w:line="276" w:lineRule="auto"/>
              <w:ind w:hanging="1004"/>
              <w:contextualSpacing/>
              <w:rPr>
                <w:rFonts w:eastAsia="Calibri" w:cs="Times New Roman"/>
                <w:b/>
                <w:sz w:val="20"/>
                <w:szCs w:val="20"/>
              </w:rPr>
            </w:pPr>
            <w:r w:rsidRPr="0053423A">
              <w:rPr>
                <w:rFonts w:eastAsia="Calibri" w:cs="Times New Roman"/>
                <w:b/>
                <w:sz w:val="20"/>
                <w:szCs w:val="20"/>
              </w:rPr>
              <w:t>Առկա խնդիրների առաջարկվող լուծումները</w:t>
            </w:r>
          </w:p>
          <w:p w:rsidR="00A67B6B" w:rsidRPr="0053423A" w:rsidRDefault="00A67B6B" w:rsidP="00A67858">
            <w:pPr>
              <w:tabs>
                <w:tab w:val="left" w:pos="508"/>
              </w:tabs>
              <w:spacing w:after="0" w:line="276" w:lineRule="auto"/>
              <w:jc w:val="both"/>
              <w:rPr>
                <w:rFonts w:eastAsia="Calibri" w:cs="Times New Roman"/>
                <w:sz w:val="20"/>
                <w:szCs w:val="20"/>
                <w:lang w:val="hy-AM"/>
              </w:rPr>
            </w:pPr>
            <w:r w:rsidRPr="0053423A">
              <w:rPr>
                <w:rFonts w:eastAsia="Calibri" w:cs="Sylfaen"/>
                <w:sz w:val="20"/>
                <w:szCs w:val="20"/>
                <w:lang w:val="hy-AM"/>
              </w:rPr>
              <w:t>Ապահովել</w:t>
            </w:r>
            <w:r w:rsidRPr="0053423A">
              <w:rPr>
                <w:rFonts w:eastAsia="Calibri" w:cs="Times New Roman"/>
                <w:sz w:val="20"/>
                <w:szCs w:val="20"/>
                <w:lang w:val="hy-AM"/>
              </w:rPr>
              <w:t xml:space="preserve"> Կինեմատոգրաֆիայի մասին ՀՀ օրենքի նախագծի մշակման արդյունավետ գործընթացը, հստակեցնել կինեմատոգրաֆիայի ոլորտում պետական քաղաքականության սկզբունքները, պետական կառավարման մարմինների լիազորությունները, կինեմատոգրաֆիայի ազգային մարմնի գործառույթները</w:t>
            </w:r>
            <w:r w:rsidRPr="0053423A">
              <w:rPr>
                <w:rFonts w:eastAsia="Calibri" w:cs="Times New Roman"/>
                <w:sz w:val="20"/>
                <w:szCs w:val="20"/>
              </w:rPr>
              <w:t>: Մ</w:t>
            </w:r>
            <w:r w:rsidRPr="0053423A">
              <w:rPr>
                <w:rFonts w:eastAsia="Calibri" w:cs="Times New Roman"/>
                <w:sz w:val="20"/>
                <w:szCs w:val="20"/>
                <w:lang w:val="hy-AM"/>
              </w:rPr>
              <w:t>իջազգային համագործակցությունը խթանելու համար ապահովել միջազգային մասնագիտական կառույցների հետ անդամակցությունը</w:t>
            </w:r>
            <w:r w:rsidRPr="0053423A">
              <w:rPr>
                <w:rFonts w:eastAsia="Calibri" w:cs="Times New Roman"/>
                <w:sz w:val="20"/>
                <w:szCs w:val="20"/>
              </w:rPr>
              <w:t xml:space="preserve"> և իրականացնել միջմշակութային կապերի ամրապնդման</w:t>
            </w:r>
            <w:r w:rsidRPr="0053423A">
              <w:rPr>
                <w:rFonts w:eastAsia="Calibri" w:cs="Times New Roman"/>
                <w:sz w:val="20"/>
                <w:szCs w:val="20"/>
                <w:lang w:val="hy-AM"/>
              </w:rPr>
              <w:t>,</w:t>
            </w:r>
            <w:r w:rsidRPr="0053423A">
              <w:rPr>
                <w:rFonts w:eastAsia="Calibri" w:cs="Times New Roman"/>
                <w:sz w:val="20"/>
                <w:szCs w:val="20"/>
              </w:rPr>
              <w:t xml:space="preserve"> զարգացման ծրագրեր:</w:t>
            </w:r>
            <w:r w:rsidRPr="0053423A">
              <w:rPr>
                <w:rFonts w:eastAsia="Calibri" w:cs="Times New Roman"/>
                <w:sz w:val="20"/>
                <w:szCs w:val="20"/>
                <w:lang w:val="hy-AM"/>
              </w:rPr>
              <w:t xml:space="preserve"> </w:t>
            </w:r>
            <w:r w:rsidRPr="0053423A">
              <w:rPr>
                <w:rFonts w:eastAsia="Calibri" w:cs="Times New Roman"/>
                <w:sz w:val="20"/>
                <w:szCs w:val="20"/>
              </w:rPr>
              <w:t>Ս</w:t>
            </w:r>
            <w:r w:rsidRPr="0053423A">
              <w:rPr>
                <w:rFonts w:eastAsia="Calibri" w:cs="Times New Roman"/>
                <w:sz w:val="20"/>
                <w:szCs w:val="20"/>
                <w:lang w:val="hy-AM"/>
              </w:rPr>
              <w:t>ահմանել ֆիլմարտադրության և հայ կինոյի հանրահռչակման համար անհրաժեշտ ստեղծագործական ծրագրերի, իրավական կարգավորումների գործընթացը</w:t>
            </w:r>
            <w:r w:rsidRPr="0053423A">
              <w:rPr>
                <w:rFonts w:eastAsia="Calibri" w:cs="Times New Roman"/>
                <w:sz w:val="20"/>
                <w:szCs w:val="20"/>
              </w:rPr>
              <w:t xml:space="preserve">, ինչպես նաև </w:t>
            </w:r>
            <w:r w:rsidRPr="0053423A">
              <w:rPr>
                <w:rFonts w:eastAsia="Calibri" w:cs="Times New Roman"/>
                <w:sz w:val="20"/>
                <w:szCs w:val="20"/>
                <w:lang w:val="hy-AM"/>
              </w:rPr>
              <w:t>կինեմատոգրաֆիայի ոլորտում առաջարկություններ ներկայացնելու համար ներգրավել մասնագիտական կառույցներին</w:t>
            </w:r>
            <w:r w:rsidRPr="0053423A">
              <w:rPr>
                <w:rFonts w:eastAsia="Calibri" w:cs="Times New Roman"/>
                <w:sz w:val="20"/>
                <w:szCs w:val="20"/>
              </w:rPr>
              <w:t xml:space="preserve">: </w:t>
            </w:r>
            <w:r w:rsidRPr="0053423A">
              <w:rPr>
                <w:rFonts w:eastAsia="Calibri" w:cs="Times New Roman"/>
                <w:sz w:val="20"/>
                <w:szCs w:val="20"/>
                <w:lang w:val="hy-AM"/>
              </w:rPr>
              <w:t>Օրենքի նախագծի ընդունումը պայմանավորված է կինեմատոգրաֆայի ոլորտում իրավահարաբերությունների կարգավորման և ոլորտի զարգացման անհրաժեշտությամբ, որը կապահովի նորմատիվ դաշտում օգտագործվող եզրույթների միասնականությունը և հիմք կհանդիսանա այլ իրավական ակտերի մշակման և կիրա</w:t>
            </w:r>
            <w:r w:rsidRPr="0053423A">
              <w:rPr>
                <w:rFonts w:eastAsia="Calibri" w:cs="Times New Roman"/>
                <w:sz w:val="20"/>
                <w:szCs w:val="20"/>
              </w:rPr>
              <w:t>ռ</w:t>
            </w:r>
            <w:r w:rsidRPr="0053423A">
              <w:rPr>
                <w:rFonts w:eastAsia="Calibri" w:cs="Times New Roman"/>
                <w:sz w:val="20"/>
                <w:szCs w:val="20"/>
                <w:lang w:val="hy-AM"/>
              </w:rPr>
              <w:t>ման համար:</w:t>
            </w:r>
          </w:p>
          <w:p w:rsidR="00A67B6B" w:rsidRPr="0053423A" w:rsidRDefault="00A67B6B" w:rsidP="00A67858">
            <w:pPr>
              <w:tabs>
                <w:tab w:val="left" w:pos="508"/>
              </w:tabs>
              <w:spacing w:after="0" w:line="276" w:lineRule="auto"/>
              <w:jc w:val="both"/>
              <w:rPr>
                <w:rFonts w:eastAsia="Calibri" w:cs="Times New Roman"/>
                <w:b/>
                <w:sz w:val="20"/>
                <w:szCs w:val="20"/>
                <w:lang w:val="hy-AM"/>
              </w:rPr>
            </w:pPr>
          </w:p>
          <w:p w:rsidR="00A67B6B" w:rsidRPr="0053423A" w:rsidRDefault="00A67B6B" w:rsidP="001F6D5D">
            <w:pPr>
              <w:numPr>
                <w:ilvl w:val="0"/>
                <w:numId w:val="194"/>
              </w:numPr>
              <w:tabs>
                <w:tab w:val="left" w:pos="508"/>
              </w:tabs>
              <w:spacing w:after="0" w:line="276" w:lineRule="auto"/>
              <w:ind w:hanging="644"/>
              <w:contextualSpacing/>
              <w:rPr>
                <w:rFonts w:eastAsia="Calibri" w:cs="Times New Roman"/>
                <w:b/>
                <w:sz w:val="20"/>
                <w:szCs w:val="20"/>
              </w:rPr>
            </w:pPr>
            <w:r w:rsidRPr="0053423A">
              <w:rPr>
                <w:rFonts w:eastAsia="Calibri" w:cs="Times New Roman"/>
                <w:b/>
                <w:sz w:val="20"/>
                <w:szCs w:val="20"/>
              </w:rPr>
              <w:t>Միջոցառման իրականացումից ակնկալվող արդյունքը</w:t>
            </w:r>
          </w:p>
          <w:p w:rsidR="00A67B6B" w:rsidRPr="0053423A" w:rsidRDefault="00A67B6B" w:rsidP="00A67858">
            <w:pPr>
              <w:tabs>
                <w:tab w:val="left" w:pos="508"/>
              </w:tabs>
              <w:spacing w:after="0" w:line="276" w:lineRule="auto"/>
              <w:contextualSpacing/>
              <w:jc w:val="both"/>
              <w:rPr>
                <w:rFonts w:eastAsia="Times New Roman" w:cs="Times New Roman"/>
                <w:sz w:val="20"/>
                <w:szCs w:val="20"/>
              </w:rPr>
            </w:pPr>
            <w:r w:rsidRPr="0053423A">
              <w:rPr>
                <w:rFonts w:eastAsia="Calibri" w:cs="Sylfaen"/>
                <w:sz w:val="20"/>
                <w:szCs w:val="20"/>
              </w:rPr>
              <w:t>Հայ</w:t>
            </w:r>
            <w:r w:rsidRPr="0053423A">
              <w:rPr>
                <w:rFonts w:eastAsia="Calibri" w:cs="Times New Roman"/>
                <w:sz w:val="20"/>
                <w:szCs w:val="20"/>
              </w:rPr>
              <w:t xml:space="preserve">կական ֆիլմարտադրության զարգացում և միջազգայնացում, </w:t>
            </w:r>
            <w:r w:rsidRPr="0053423A">
              <w:rPr>
                <w:rFonts w:eastAsia="Calibri" w:cs="Times New Roman"/>
                <w:sz w:val="20"/>
                <w:szCs w:val="20"/>
                <w:lang w:val="hy-AM"/>
              </w:rPr>
              <w:t>կինեմատոգրաֆիայի պետական ֆինանսավորման և աջակցության այլ ձևերի արդյունավետության բարձրաց</w:t>
            </w:r>
            <w:r w:rsidRPr="0053423A">
              <w:rPr>
                <w:rFonts w:eastAsia="Calibri" w:cs="Times New Roman"/>
                <w:sz w:val="20"/>
                <w:szCs w:val="20"/>
              </w:rPr>
              <w:t>ում</w:t>
            </w:r>
            <w:r w:rsidRPr="0053423A">
              <w:rPr>
                <w:rFonts w:eastAsia="Calibri" w:cs="Times New Roman"/>
                <w:sz w:val="20"/>
                <w:szCs w:val="20"/>
                <w:lang w:val="hy-AM"/>
              </w:rPr>
              <w:t>,</w:t>
            </w:r>
            <w:r w:rsidRPr="0053423A">
              <w:rPr>
                <w:rFonts w:eastAsia="Calibri" w:cs="Times New Roman"/>
                <w:sz w:val="20"/>
                <w:szCs w:val="20"/>
              </w:rPr>
              <w:t xml:space="preserve"> </w:t>
            </w:r>
            <w:r w:rsidRPr="0053423A">
              <w:rPr>
                <w:rFonts w:eastAsia="Calibri" w:cs="Times New Roman"/>
                <w:sz w:val="20"/>
                <w:szCs w:val="20"/>
                <w:lang w:val="hy-AM"/>
              </w:rPr>
              <w:t>նյութատեխնիկական</w:t>
            </w:r>
            <w:r w:rsidRPr="0053423A">
              <w:rPr>
                <w:rFonts w:eastAsia="Calibri" w:cs="Times New Roman"/>
                <w:sz w:val="20"/>
                <w:szCs w:val="20"/>
              </w:rPr>
              <w:t xml:space="preserve"> </w:t>
            </w:r>
            <w:r w:rsidRPr="0053423A">
              <w:rPr>
                <w:rFonts w:eastAsia="Calibri" w:cs="Times New Roman"/>
                <w:sz w:val="20"/>
                <w:szCs w:val="20"/>
                <w:lang w:val="hy-AM"/>
              </w:rPr>
              <w:t>ենթակառուցվածների զարգաց</w:t>
            </w:r>
            <w:r w:rsidRPr="0053423A">
              <w:rPr>
                <w:rFonts w:eastAsia="Calibri" w:cs="Times New Roman"/>
                <w:sz w:val="20"/>
                <w:szCs w:val="20"/>
              </w:rPr>
              <w:t xml:space="preserve">ում, </w:t>
            </w:r>
            <w:r w:rsidRPr="0053423A">
              <w:rPr>
                <w:rFonts w:eastAsia="Calibri" w:cs="Times New Roman"/>
                <w:sz w:val="20"/>
                <w:szCs w:val="20"/>
                <w:lang w:val="hy-AM"/>
              </w:rPr>
              <w:t>տեղական և օտարերկրյա ներդրումների ներգրավ</w:t>
            </w:r>
            <w:r w:rsidRPr="0053423A">
              <w:rPr>
                <w:rFonts w:eastAsia="Calibri" w:cs="Times New Roman"/>
                <w:sz w:val="20"/>
                <w:szCs w:val="20"/>
              </w:rPr>
              <w:t xml:space="preserve">ում, </w:t>
            </w:r>
            <w:r w:rsidRPr="0053423A">
              <w:rPr>
                <w:rFonts w:eastAsia="Calibri" w:cs="Times New Roman"/>
                <w:sz w:val="20"/>
                <w:szCs w:val="20"/>
                <w:lang w:val="hy-AM"/>
              </w:rPr>
              <w:t>հեղինակային</w:t>
            </w:r>
            <w:r w:rsidRPr="0053423A">
              <w:rPr>
                <w:rFonts w:eastAsia="Calibri" w:cs="Times New Roman"/>
                <w:sz w:val="20"/>
                <w:szCs w:val="20"/>
                <w:lang w:val="af-ZA"/>
              </w:rPr>
              <w:t xml:space="preserve"> </w:t>
            </w:r>
            <w:r w:rsidRPr="0053423A">
              <w:rPr>
                <w:rFonts w:eastAsia="Calibri" w:cs="Times New Roman"/>
                <w:sz w:val="20"/>
                <w:szCs w:val="20"/>
                <w:lang w:val="hy-AM"/>
              </w:rPr>
              <w:t>իրավունքների հստակեց</w:t>
            </w:r>
            <w:r w:rsidRPr="0053423A">
              <w:rPr>
                <w:rFonts w:eastAsia="Calibri" w:cs="Times New Roman"/>
                <w:sz w:val="20"/>
                <w:szCs w:val="20"/>
              </w:rPr>
              <w:t>ում</w:t>
            </w:r>
            <w:r w:rsidRPr="0053423A">
              <w:rPr>
                <w:rFonts w:eastAsia="Calibri" w:cs="Times New Roman"/>
                <w:sz w:val="20"/>
                <w:szCs w:val="20"/>
                <w:lang w:val="hy-AM"/>
              </w:rPr>
              <w:t xml:space="preserve"> և </w:t>
            </w:r>
            <w:r w:rsidRPr="0053423A">
              <w:rPr>
                <w:rFonts w:eastAsia="Calibri" w:cs="Times New Roman"/>
                <w:sz w:val="20"/>
                <w:szCs w:val="20"/>
                <w:lang w:val="af-ZA"/>
              </w:rPr>
              <w:t>ազգային կինոյի քաղաքականության ձևավորում, կինոժառանգության պահպանման և հանրահռչակման գործընթացի կարգավորում</w:t>
            </w:r>
            <w:r w:rsidRPr="0053423A">
              <w:rPr>
                <w:rFonts w:eastAsia="Calibri" w:cs="Times New Roman"/>
                <w:sz w:val="20"/>
                <w:szCs w:val="20"/>
              </w:rPr>
              <w:t xml:space="preserve">, </w:t>
            </w:r>
            <w:r w:rsidRPr="0053423A">
              <w:rPr>
                <w:rFonts w:eastAsia="Calibri" w:cs="Times New Roman"/>
                <w:sz w:val="20"/>
                <w:szCs w:val="20"/>
                <w:lang w:val="af-ZA"/>
              </w:rPr>
              <w:t>հայոց լեզվի կիրառման կարգավորում՝ տեղական և արտասահմանյան ֆիլմերի տարածման գործընթացում,</w:t>
            </w:r>
            <w:r w:rsidRPr="0053423A">
              <w:rPr>
                <w:rFonts w:eastAsia="Calibri" w:cs="Times New Roman"/>
                <w:sz w:val="20"/>
                <w:szCs w:val="20"/>
              </w:rPr>
              <w:t xml:space="preserve"> մ</w:t>
            </w:r>
            <w:r w:rsidRPr="0053423A">
              <w:rPr>
                <w:rFonts w:eastAsia="Calibri" w:cs="Times New Roman"/>
                <w:sz w:val="20"/>
                <w:szCs w:val="20"/>
                <w:lang w:val="hy-AM"/>
              </w:rPr>
              <w:t>իջազգային համագործակցության զարգաց</w:t>
            </w:r>
            <w:r w:rsidRPr="0053423A">
              <w:rPr>
                <w:rFonts w:eastAsia="Calibri" w:cs="Times New Roman"/>
                <w:sz w:val="20"/>
                <w:szCs w:val="20"/>
              </w:rPr>
              <w:t>ում</w:t>
            </w:r>
            <w:r w:rsidRPr="0053423A">
              <w:rPr>
                <w:rFonts w:eastAsia="Calibri" w:cs="Times New Roman"/>
                <w:sz w:val="20"/>
                <w:szCs w:val="20"/>
                <w:lang w:val="hy-AM"/>
              </w:rPr>
              <w:t>, այդ թվում՝ ֆիլմների համատեղ արտադրությ</w:t>
            </w:r>
            <w:r w:rsidRPr="0053423A">
              <w:rPr>
                <w:rFonts w:eastAsia="Calibri" w:cs="Times New Roman"/>
                <w:sz w:val="20"/>
                <w:szCs w:val="20"/>
              </w:rPr>
              <w:t xml:space="preserve">ուն, հանրահռչակում, </w:t>
            </w:r>
            <w:r w:rsidRPr="0053423A">
              <w:rPr>
                <w:rFonts w:eastAsia="Times New Roman" w:cs="Times New Roman"/>
                <w:sz w:val="20"/>
                <w:szCs w:val="20"/>
              </w:rPr>
              <w:t>փորձի փոխանակման հարթակների ստեղծում, միջազգային չափորոշիչներին համապատասխան կինոարդյունաբերական և կրթական ծրագրերի իրականացում:</w:t>
            </w:r>
          </w:p>
          <w:p w:rsidR="00A67B6B" w:rsidRPr="0053423A" w:rsidRDefault="00A67B6B" w:rsidP="00A67858">
            <w:pPr>
              <w:tabs>
                <w:tab w:val="left" w:pos="508"/>
              </w:tabs>
              <w:spacing w:after="0" w:line="276" w:lineRule="auto"/>
              <w:contextualSpacing/>
              <w:jc w:val="both"/>
              <w:rPr>
                <w:rFonts w:eastAsia="Calibri" w:cs="Sylfaen"/>
                <w:sz w:val="20"/>
                <w:szCs w:val="20"/>
              </w:rPr>
            </w:pPr>
          </w:p>
          <w:p w:rsidR="00A67B6B" w:rsidRPr="0053423A" w:rsidRDefault="00A67B6B" w:rsidP="00A67858">
            <w:pPr>
              <w:tabs>
                <w:tab w:val="left" w:pos="508"/>
              </w:tabs>
              <w:spacing w:after="0" w:line="276" w:lineRule="auto"/>
              <w:jc w:val="center"/>
              <w:rPr>
                <w:rFonts w:eastAsia="Calibri" w:cs="Calibri"/>
                <w:b/>
                <w:sz w:val="20"/>
                <w:szCs w:val="20"/>
                <w:lang w:val="af-ZA"/>
              </w:rPr>
            </w:pPr>
            <w:r w:rsidRPr="0053423A">
              <w:rPr>
                <w:rFonts w:eastAsia="Calibri" w:cs="Calibri"/>
                <w:b/>
                <w:sz w:val="20"/>
                <w:szCs w:val="20"/>
              </w:rPr>
              <w:t xml:space="preserve">2.5 </w:t>
            </w:r>
            <w:r w:rsidRPr="0053423A">
              <w:rPr>
                <w:rFonts w:eastAsia="Calibri" w:cs="Calibri"/>
                <w:b/>
                <w:sz w:val="20"/>
                <w:szCs w:val="20"/>
                <w:lang w:val="af-ZA"/>
              </w:rPr>
              <w:t>Գրադարան</w:t>
            </w:r>
            <w:r w:rsidRPr="0053423A">
              <w:rPr>
                <w:rFonts w:eastAsia="Calibri" w:cs="Calibri"/>
                <w:b/>
                <w:sz w:val="20"/>
                <w:szCs w:val="20"/>
                <w:lang w:val="ru-RU"/>
              </w:rPr>
              <w:t>ային</w:t>
            </w:r>
            <w:r w:rsidRPr="0053423A">
              <w:rPr>
                <w:rFonts w:eastAsia="Calibri" w:cs="Calibri"/>
                <w:b/>
                <w:sz w:val="20"/>
                <w:szCs w:val="20"/>
              </w:rPr>
              <w:t xml:space="preserve"> </w:t>
            </w:r>
            <w:r w:rsidRPr="0053423A">
              <w:rPr>
                <w:rFonts w:eastAsia="Calibri" w:cs="Calibri"/>
                <w:b/>
                <w:sz w:val="20"/>
                <w:szCs w:val="20"/>
                <w:lang w:val="ru-RU"/>
              </w:rPr>
              <w:t>ոլորտի</w:t>
            </w:r>
            <w:r w:rsidRPr="0053423A">
              <w:rPr>
                <w:rFonts w:eastAsia="Calibri" w:cs="Calibri"/>
                <w:b/>
                <w:sz w:val="20"/>
                <w:szCs w:val="20"/>
              </w:rPr>
              <w:t xml:space="preserve">  </w:t>
            </w:r>
            <w:r w:rsidRPr="0053423A">
              <w:rPr>
                <w:rFonts w:eastAsia="Calibri" w:cs="Calibri"/>
                <w:b/>
                <w:sz w:val="20"/>
                <w:szCs w:val="20"/>
                <w:lang w:val="ru-RU"/>
              </w:rPr>
              <w:t>օրենսդրական</w:t>
            </w:r>
            <w:r w:rsidRPr="0053423A">
              <w:rPr>
                <w:rFonts w:eastAsia="Calibri" w:cs="Calibri"/>
                <w:b/>
                <w:sz w:val="20"/>
                <w:szCs w:val="20"/>
              </w:rPr>
              <w:t xml:space="preserve"> </w:t>
            </w:r>
            <w:r w:rsidRPr="0053423A">
              <w:rPr>
                <w:rFonts w:eastAsia="Calibri" w:cs="Calibri"/>
                <w:b/>
                <w:sz w:val="20"/>
                <w:szCs w:val="20"/>
                <w:lang w:val="ru-RU"/>
              </w:rPr>
              <w:t>դաշտի</w:t>
            </w:r>
            <w:r w:rsidRPr="0053423A">
              <w:rPr>
                <w:rFonts w:eastAsia="Calibri" w:cs="Calibri"/>
                <w:b/>
                <w:sz w:val="20"/>
                <w:szCs w:val="20"/>
              </w:rPr>
              <w:t xml:space="preserve"> </w:t>
            </w:r>
            <w:r w:rsidRPr="0053423A">
              <w:rPr>
                <w:rFonts w:eastAsia="Calibri" w:cs="Calibri"/>
                <w:b/>
                <w:sz w:val="20"/>
                <w:szCs w:val="20"/>
                <w:lang w:val="af-ZA"/>
              </w:rPr>
              <w:t>փոփոխություն</w:t>
            </w:r>
            <w:r w:rsidRPr="0053423A">
              <w:rPr>
                <w:rFonts w:eastAsia="Calibri" w:cs="Calibri"/>
                <w:b/>
                <w:sz w:val="20"/>
                <w:szCs w:val="20"/>
                <w:lang w:val="ru-RU"/>
              </w:rPr>
              <w:t>ների</w:t>
            </w:r>
            <w:r w:rsidRPr="0053423A">
              <w:rPr>
                <w:rFonts w:eastAsia="Calibri" w:cs="Calibri"/>
                <w:b/>
                <w:sz w:val="20"/>
                <w:szCs w:val="20"/>
              </w:rPr>
              <w:t xml:space="preserve"> </w:t>
            </w:r>
            <w:r w:rsidRPr="0053423A">
              <w:rPr>
                <w:rFonts w:eastAsia="Calibri" w:cs="Calibri"/>
                <w:b/>
                <w:sz w:val="20"/>
                <w:szCs w:val="20"/>
                <w:lang w:val="af-ZA"/>
              </w:rPr>
              <w:t xml:space="preserve"> </w:t>
            </w:r>
            <w:r w:rsidRPr="0053423A">
              <w:rPr>
                <w:rFonts w:eastAsia="Calibri" w:cs="Calibri"/>
                <w:b/>
                <w:sz w:val="20"/>
                <w:szCs w:val="20"/>
                <w:lang w:val="ru-RU"/>
              </w:rPr>
              <w:t>փաթեթի</w:t>
            </w:r>
            <w:r w:rsidRPr="0053423A">
              <w:rPr>
                <w:rFonts w:eastAsia="Calibri" w:cs="Calibri"/>
                <w:b/>
                <w:sz w:val="20"/>
                <w:szCs w:val="20"/>
                <w:lang w:val="af-ZA"/>
              </w:rPr>
              <w:t xml:space="preserve"> մշակում և ներկայացում Հայաստանի Հանրապետության վարչապետի աշխատակազմ</w:t>
            </w:r>
          </w:p>
          <w:p w:rsidR="00A67B6B" w:rsidRPr="0053423A" w:rsidRDefault="00A67B6B" w:rsidP="00A67858">
            <w:pPr>
              <w:tabs>
                <w:tab w:val="left" w:pos="508"/>
              </w:tabs>
              <w:spacing w:after="0" w:line="276" w:lineRule="auto"/>
              <w:jc w:val="center"/>
              <w:rPr>
                <w:rFonts w:eastAsia="Calibri" w:cs="Times New Roman"/>
                <w:sz w:val="20"/>
                <w:szCs w:val="20"/>
                <w:lang w:val="af-ZA"/>
              </w:rPr>
            </w:pPr>
          </w:p>
          <w:p w:rsidR="00A67B6B" w:rsidRPr="0053423A" w:rsidRDefault="00A67B6B" w:rsidP="001F6D5D">
            <w:pPr>
              <w:numPr>
                <w:ilvl w:val="0"/>
                <w:numId w:val="204"/>
              </w:numPr>
              <w:tabs>
                <w:tab w:val="left" w:pos="289"/>
                <w:tab w:val="left" w:pos="508"/>
                <w:tab w:val="left" w:pos="1276"/>
              </w:tabs>
              <w:spacing w:after="0" w:line="276" w:lineRule="auto"/>
              <w:ind w:left="0" w:firstLine="0"/>
              <w:contextualSpacing/>
              <w:rPr>
                <w:rFonts w:eastAsia="Calibri" w:cs="Times New Roman"/>
                <w:b/>
                <w:sz w:val="20"/>
                <w:szCs w:val="20"/>
                <w:lang w:val="hy-AM"/>
              </w:rPr>
            </w:pPr>
            <w:r w:rsidRPr="0053423A">
              <w:rPr>
                <w:rFonts w:eastAsia="Calibri" w:cs="Times New Roman"/>
                <w:b/>
                <w:sz w:val="20"/>
                <w:szCs w:val="20"/>
                <w:lang w:val="hy-AM"/>
              </w:rPr>
              <w:t>Միջոցառման իրականացման անհրաժեշտությունը և 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hy-AM"/>
              </w:rPr>
              <w:t xml:space="preserve">Օրենքների նախագծերի ընդունումը պայմանավորված է կատարողական արվեստների (թատրոն, պարարվեստ, երաժշտարվեստ, կրկես և ներկայացման այլ տեսակներ) ոլորտների գործունեության կարգավորման անհրաժեշտությամբ, մասնավորապես, անհրաժեշտ է կանոնակարգել կատարողական արվեստների զարգացման պետական քաղաքականության սկզբունքները և ձևերը, դրա գործունեության հետ կապված իրավական, կազմակերպական և ֆինանսական հարաբերությունները: Նախատեսվում է կանոնակարգել ոլորտի պետական կառավարման և այլ մարմինների լիազորությունները, որոնք մասնակցություն կունենան մշակութային գործունեության ողջ դաշտն առավել արդյունավետ ներկայացնելու գործընթացում: 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p>
          <w:p w:rsidR="00A67B6B" w:rsidRPr="0053423A" w:rsidRDefault="00A67B6B" w:rsidP="00A67858">
            <w:pPr>
              <w:tabs>
                <w:tab w:val="left" w:pos="508"/>
              </w:tabs>
              <w:spacing w:after="0" w:line="276" w:lineRule="auto"/>
              <w:contextualSpacing/>
              <w:rPr>
                <w:rFonts w:eastAsia="Calibri" w:cs="Times New Roman"/>
                <w:b/>
                <w:sz w:val="20"/>
                <w:szCs w:val="20"/>
                <w:lang w:val="hy-AM"/>
              </w:rPr>
            </w:pPr>
            <w:r w:rsidRPr="0053423A">
              <w:rPr>
                <w:rFonts w:eastAsia="Calibri" w:cs="Times New Roman"/>
                <w:b/>
                <w:sz w:val="20"/>
                <w:szCs w:val="20"/>
                <w:lang w:val="hy-AM"/>
              </w:rPr>
              <w:t>1.1. Կարգավորման հարաբերությունների ներկա վիճակը և առկա խնդիրները</w:t>
            </w:r>
          </w:p>
          <w:p w:rsidR="00A67B6B" w:rsidRPr="0053423A" w:rsidRDefault="00A67B6B" w:rsidP="00A67858">
            <w:pPr>
              <w:tabs>
                <w:tab w:val="left" w:pos="508"/>
              </w:tabs>
              <w:spacing w:after="0" w:line="276" w:lineRule="auto"/>
              <w:jc w:val="both"/>
              <w:rPr>
                <w:rFonts w:eastAsia="Calibri" w:cs="Times New Roman"/>
                <w:sz w:val="20"/>
                <w:szCs w:val="20"/>
                <w:lang w:val="hy-AM"/>
              </w:rPr>
            </w:pPr>
            <w:r w:rsidRPr="0053423A">
              <w:rPr>
                <w:rFonts w:eastAsia="Calibri" w:cs="Times New Roman"/>
                <w:sz w:val="20"/>
                <w:szCs w:val="20"/>
                <w:lang w:val="hy-AM"/>
              </w:rPr>
              <w:t>Հայաստանի Հանրապետությունում բացակայում է կատարողական արվեստների գործունեության ոլորտը կարգավորող օրենք, որի արդյունքում մի շարք կարևոր հարաբերություններ օրենսդրական կարգավորում չեն ստացել, իսկ առկա կարգավորումները չեն ապահովում եզրույթների օգտագործման միասնականությունը: Կարգավորված չէ կատարողական արվեստների գործունեությանը վերաբերող որևէ դրույթ՝ մասնավորապես պետական և ոչ պետական կազմակերպությունների օրենսդրական դաշտը, անհատ ստեղծագործողի և մշակութային կազմակերպությունում գործող աշխատակցի փոխհարաբերությունները գործատուի և պետության հետ, և այլ նույնատիպ խնդիրներ:</w:t>
            </w:r>
          </w:p>
          <w:p w:rsidR="00A67B6B" w:rsidRPr="0053423A" w:rsidRDefault="00A67B6B" w:rsidP="00A67858">
            <w:pPr>
              <w:tabs>
                <w:tab w:val="left" w:pos="508"/>
              </w:tabs>
              <w:spacing w:after="0" w:line="276" w:lineRule="auto"/>
              <w:jc w:val="both"/>
              <w:rPr>
                <w:rFonts w:eastAsia="Calibri" w:cs="Times New Roman"/>
                <w:sz w:val="20"/>
                <w:szCs w:val="20"/>
                <w:lang w:val="hy-AM"/>
              </w:rPr>
            </w:pPr>
          </w:p>
          <w:p w:rsidR="00A67B6B" w:rsidRPr="0053423A" w:rsidRDefault="00A67B6B" w:rsidP="00A67858">
            <w:pPr>
              <w:tabs>
                <w:tab w:val="left" w:pos="508"/>
              </w:tabs>
              <w:spacing w:after="0" w:line="276" w:lineRule="auto"/>
              <w:contextualSpacing/>
              <w:rPr>
                <w:rFonts w:eastAsia="Calibri" w:cs="Times New Roman"/>
                <w:b/>
                <w:sz w:val="20"/>
                <w:szCs w:val="20"/>
                <w:lang w:val="hy-AM"/>
              </w:rPr>
            </w:pPr>
            <w:r w:rsidRPr="0053423A">
              <w:rPr>
                <w:rFonts w:eastAsia="Calibri" w:cs="Times New Roman"/>
                <w:b/>
                <w:sz w:val="20"/>
                <w:szCs w:val="20"/>
                <w:lang w:val="hy-AM"/>
              </w:rPr>
              <w:t>1.2. Առկա խնդիրների առաջարկվող լուծումները</w:t>
            </w:r>
          </w:p>
          <w:p w:rsidR="00A67B6B" w:rsidRPr="0053423A" w:rsidRDefault="00A67B6B" w:rsidP="00A67858">
            <w:pPr>
              <w:tabs>
                <w:tab w:val="left" w:pos="508"/>
              </w:tabs>
              <w:spacing w:after="0" w:line="276" w:lineRule="auto"/>
              <w:jc w:val="both"/>
              <w:rPr>
                <w:rFonts w:eastAsia="Calibri" w:cs="Times New Roman"/>
                <w:sz w:val="20"/>
                <w:szCs w:val="20"/>
                <w:lang w:val="hy-AM"/>
              </w:rPr>
            </w:pPr>
            <w:r w:rsidRPr="0053423A">
              <w:rPr>
                <w:rFonts w:eastAsia="Calibri" w:cs="Times New Roman"/>
                <w:sz w:val="20"/>
                <w:szCs w:val="20"/>
                <w:lang w:val="hy-AM"/>
              </w:rPr>
              <w:t>Օրենքների նախագծերի ընդունմամբ կհստակեցվեն կատարողական արվեստների գործունեության ոլորտում պետական քաղաքականության սկզբունքները, պետական կառավարման մարմինների մշակութային դաշտում գործող անկախ կազմակերպությունների լիազորությունները, արվեստների գործունեության տեսակները, դաշտում ներգրավված կազմակերպությունների իրավահարաբերությունները և սահմանելու Հայաստանի Հանրապետությունում կատարողական արվեստների արտադրանքի պարտադիր դասակարգումը: Օրենքների նախագծերի ընդունումը պայմանավորված է կատարողական արվեստների գործունեության ոլորտում իրավահարաբերությունների կարգավորման և ոլորտի զարգացման անհրաժեշտությամբ, որը կապահովի նորմատիվ դաշտում օգտագործվող եզրույթների միասնականությունը և հիմք կհանդիսանա այլ իրավական ակտերի մշակման և կիրառման համար: Կատարողական արվեստների մասին օրենքի նախագծի մշակման նպատակով ստեղծվել է հանձնաժողով:</w:t>
            </w:r>
          </w:p>
          <w:p w:rsidR="00A67B6B" w:rsidRPr="0053423A" w:rsidRDefault="00A67B6B" w:rsidP="00A67858">
            <w:pPr>
              <w:tabs>
                <w:tab w:val="left" w:pos="508"/>
              </w:tabs>
              <w:spacing w:after="0" w:line="276" w:lineRule="auto"/>
              <w:jc w:val="both"/>
              <w:rPr>
                <w:rFonts w:eastAsia="Calibri" w:cs="Times New Roman"/>
                <w:sz w:val="20"/>
                <w:szCs w:val="20"/>
                <w:lang w:val="hy-AM"/>
              </w:rPr>
            </w:pPr>
            <w:r w:rsidRPr="0053423A">
              <w:rPr>
                <w:rFonts w:eastAsia="Calibri" w:cs="Times New Roman"/>
                <w:sz w:val="20"/>
                <w:szCs w:val="20"/>
                <w:lang w:val="hy-AM"/>
              </w:rPr>
              <w:t>Միջազգային փորձի ուսումնասիրությունների հիման վրա կմշակվի նախագիծը, որում հատկապես կկարևորվի պետական աջակցության, լիազորությունների, միջազգային համագործակցության և մի շարք այլ հարցեր:</w:t>
            </w:r>
          </w:p>
          <w:p w:rsidR="00A67B6B" w:rsidRPr="0053423A" w:rsidRDefault="00A67B6B" w:rsidP="00A67858">
            <w:pPr>
              <w:tabs>
                <w:tab w:val="left" w:pos="508"/>
              </w:tabs>
              <w:spacing w:after="0" w:line="276" w:lineRule="auto"/>
              <w:jc w:val="both"/>
              <w:rPr>
                <w:rFonts w:eastAsia="Calibri" w:cs="Times New Roman"/>
                <w:b/>
                <w:sz w:val="20"/>
                <w:szCs w:val="20"/>
                <w:lang w:val="hy-AM"/>
              </w:rPr>
            </w:pPr>
          </w:p>
          <w:p w:rsidR="00A67B6B" w:rsidRPr="0053423A" w:rsidRDefault="00A67B6B" w:rsidP="001F6D5D">
            <w:pPr>
              <w:numPr>
                <w:ilvl w:val="0"/>
                <w:numId w:val="204"/>
              </w:numPr>
              <w:tabs>
                <w:tab w:val="left" w:pos="508"/>
                <w:tab w:val="left" w:pos="1276"/>
              </w:tabs>
              <w:spacing w:after="0" w:line="276" w:lineRule="auto"/>
              <w:ind w:left="0" w:firstLine="0"/>
              <w:contextualSpacing/>
              <w:rPr>
                <w:rFonts w:eastAsia="Calibri" w:cs="Times New Roman"/>
                <w:b/>
                <w:sz w:val="20"/>
                <w:szCs w:val="20"/>
                <w:lang w:val="hy-AM"/>
              </w:rPr>
            </w:pPr>
            <w:r w:rsidRPr="0053423A">
              <w:rPr>
                <w:rFonts w:eastAsia="Calibri" w:cs="Times New Roman"/>
                <w:b/>
                <w:sz w:val="20"/>
                <w:szCs w:val="20"/>
                <w:lang w:val="hy-AM"/>
              </w:rPr>
              <w:t>Միջոցառման իրականացումից ակնկալվող արդյունքը</w:t>
            </w:r>
          </w:p>
          <w:p w:rsidR="00A67B6B" w:rsidRPr="0053423A" w:rsidRDefault="00A67B6B" w:rsidP="00A67858">
            <w:pPr>
              <w:tabs>
                <w:tab w:val="left" w:pos="508"/>
              </w:tabs>
              <w:spacing w:after="0" w:line="276" w:lineRule="auto"/>
              <w:jc w:val="both"/>
              <w:rPr>
                <w:rFonts w:eastAsia="Calibri" w:cs="Times New Roman"/>
                <w:sz w:val="20"/>
                <w:szCs w:val="20"/>
                <w:lang w:val="hy-AM"/>
              </w:rPr>
            </w:pPr>
            <w:r w:rsidRPr="0053423A">
              <w:rPr>
                <w:rFonts w:eastAsia="Calibri" w:cs="Times New Roman"/>
                <w:sz w:val="20"/>
                <w:szCs w:val="20"/>
                <w:lang w:val="hy-AM"/>
              </w:rPr>
              <w:t>Հայաստանի Հանրապետությունում կատարողական արվեստների գործունեության զարգացում, մշակութային կազմակերպությունների և մշակութային արտադրանքի պետական ֆինանսավորման, ինչպես նաև աջակցության այլ ձևերի արդյունավետության և մշակութային գործունեության եկամտաբերության բարձրացում, նյութատեխնիկական ու ենթակառուցվածների զարգացում, կատարողական արվեստի դաշտում հավասար մեկնարկային պայմանների ապահովում:</w:t>
            </w:r>
          </w:p>
          <w:p w:rsidR="00A67B6B" w:rsidRPr="0053423A" w:rsidRDefault="00A67B6B" w:rsidP="00A67858">
            <w:pPr>
              <w:tabs>
                <w:tab w:val="left" w:pos="508"/>
              </w:tabs>
              <w:spacing w:after="0" w:line="276" w:lineRule="auto"/>
              <w:jc w:val="both"/>
              <w:rPr>
                <w:rFonts w:eastAsia="Calibri" w:cs="Times New Roman"/>
                <w:sz w:val="20"/>
                <w:szCs w:val="20"/>
                <w:lang w:val="hy-AM"/>
              </w:rPr>
            </w:pPr>
          </w:p>
          <w:p w:rsidR="00A67B6B" w:rsidRPr="0053423A" w:rsidRDefault="00A67B6B" w:rsidP="00A67858">
            <w:pPr>
              <w:tabs>
                <w:tab w:val="left" w:pos="508"/>
              </w:tabs>
              <w:spacing w:after="0" w:line="276" w:lineRule="auto"/>
              <w:jc w:val="both"/>
              <w:rPr>
                <w:rFonts w:eastAsia="Calibri" w:cs="Times New Roman"/>
                <w:sz w:val="20"/>
                <w:szCs w:val="20"/>
                <w:lang w:val="hy-AM"/>
              </w:rPr>
            </w:pPr>
          </w:p>
          <w:p w:rsidR="00A67B6B" w:rsidRPr="0053423A" w:rsidRDefault="00A67B6B" w:rsidP="00A67858">
            <w:pPr>
              <w:tabs>
                <w:tab w:val="left" w:pos="993"/>
                <w:tab w:val="left" w:pos="1560"/>
                <w:tab w:val="left" w:pos="1843"/>
              </w:tabs>
              <w:spacing w:after="0" w:line="276" w:lineRule="auto"/>
              <w:ind w:firstLine="375"/>
              <w:contextualSpacing/>
              <w:jc w:val="center"/>
              <w:rPr>
                <w:rFonts w:eastAsia="Calibri" w:cs="Calibri"/>
                <w:b/>
                <w:sz w:val="20"/>
                <w:szCs w:val="20"/>
                <w:lang w:val="hy-AM"/>
              </w:rPr>
            </w:pPr>
            <w:r w:rsidRPr="0053423A">
              <w:rPr>
                <w:rFonts w:eastAsia="Calibri" w:cs="Times New Roman"/>
                <w:b/>
                <w:sz w:val="20"/>
                <w:szCs w:val="20"/>
                <w:lang w:val="hy-AM"/>
              </w:rPr>
              <w:t xml:space="preserve">2.6 </w:t>
            </w:r>
            <w:r w:rsidRPr="0053423A">
              <w:rPr>
                <w:rFonts w:eastAsia="Calibri" w:cs="Calibri"/>
                <w:b/>
                <w:sz w:val="20"/>
                <w:szCs w:val="20"/>
                <w:lang w:val="hy-AM"/>
              </w:rPr>
              <w:t>Սոցիալական գ</w:t>
            </w:r>
            <w:r w:rsidRPr="0053423A">
              <w:rPr>
                <w:rFonts w:eastAsia="Calibri" w:cs="Calibri"/>
                <w:b/>
                <w:sz w:val="20"/>
                <w:szCs w:val="20"/>
                <w:lang w:val="af-ZA"/>
              </w:rPr>
              <w:t>ովազդի</w:t>
            </w:r>
            <w:r w:rsidRPr="0053423A">
              <w:rPr>
                <w:rFonts w:eastAsia="Calibri" w:cs="Calibri"/>
                <w:b/>
                <w:sz w:val="20"/>
                <w:szCs w:val="20"/>
                <w:lang w:val="hy-AM"/>
              </w:rPr>
              <w:t xml:space="preserve"> </w:t>
            </w:r>
            <w:r w:rsidRPr="0053423A">
              <w:rPr>
                <w:rFonts w:eastAsia="Calibri" w:cs="Calibri"/>
                <w:b/>
                <w:sz w:val="20"/>
                <w:szCs w:val="20"/>
                <w:lang w:val="af-ZA"/>
              </w:rPr>
              <w:t xml:space="preserve">ոլորտում </w:t>
            </w:r>
            <w:r w:rsidRPr="0053423A">
              <w:rPr>
                <w:rFonts w:eastAsia="Calibri" w:cs="Calibri"/>
                <w:b/>
                <w:sz w:val="20"/>
                <w:szCs w:val="20"/>
                <w:lang w:val="hy-AM"/>
              </w:rPr>
              <w:t xml:space="preserve"> օրենսդրական դաշտի </w:t>
            </w:r>
            <w:r w:rsidRPr="0053423A">
              <w:rPr>
                <w:rFonts w:eastAsia="Calibri" w:cs="Calibri"/>
                <w:b/>
                <w:sz w:val="20"/>
                <w:szCs w:val="20"/>
                <w:lang w:val="af-ZA"/>
              </w:rPr>
              <w:t>փոփոխություն</w:t>
            </w:r>
            <w:r w:rsidRPr="0053423A">
              <w:rPr>
                <w:rFonts w:eastAsia="Calibri" w:cs="Calibri"/>
                <w:b/>
                <w:sz w:val="20"/>
                <w:szCs w:val="20"/>
                <w:lang w:val="hy-AM"/>
              </w:rPr>
              <w:t xml:space="preserve">ների </w:t>
            </w:r>
            <w:r w:rsidRPr="0053423A">
              <w:rPr>
                <w:rFonts w:eastAsia="Calibri" w:cs="Calibri"/>
                <w:b/>
                <w:sz w:val="20"/>
                <w:szCs w:val="20"/>
                <w:lang w:val="af-ZA"/>
              </w:rPr>
              <w:t xml:space="preserve"> </w:t>
            </w:r>
            <w:r w:rsidRPr="0053423A">
              <w:rPr>
                <w:rFonts w:eastAsia="Calibri" w:cs="Calibri"/>
                <w:b/>
                <w:sz w:val="20"/>
                <w:szCs w:val="20"/>
                <w:lang w:val="hy-AM"/>
              </w:rPr>
              <w:t>փաթեթի</w:t>
            </w:r>
            <w:r w:rsidRPr="0053423A">
              <w:rPr>
                <w:rFonts w:eastAsia="Calibri" w:cs="Calibri"/>
                <w:b/>
                <w:sz w:val="20"/>
                <w:szCs w:val="20"/>
                <w:lang w:val="af-ZA"/>
              </w:rPr>
              <w:t xml:space="preserve"> մշակում և ներկայացում Հայաստանի Հանրապետության վարչապետի աշխատակազմ</w:t>
            </w:r>
          </w:p>
          <w:p w:rsidR="00A67B6B" w:rsidRPr="0053423A" w:rsidRDefault="00A67B6B" w:rsidP="00A67858">
            <w:pPr>
              <w:tabs>
                <w:tab w:val="left" w:pos="993"/>
                <w:tab w:val="left" w:pos="1560"/>
                <w:tab w:val="left" w:pos="1843"/>
              </w:tabs>
              <w:spacing w:after="0" w:line="276" w:lineRule="auto"/>
              <w:ind w:firstLine="375"/>
              <w:contextualSpacing/>
              <w:jc w:val="center"/>
              <w:rPr>
                <w:rFonts w:eastAsia="Calibri" w:cs="Times New Roman"/>
                <w:sz w:val="20"/>
                <w:szCs w:val="20"/>
                <w:lang w:val="hy-AM"/>
              </w:rPr>
            </w:pPr>
          </w:p>
          <w:p w:rsidR="00A67B6B" w:rsidRPr="0053423A" w:rsidRDefault="00A67B6B" w:rsidP="001F6D5D">
            <w:pPr>
              <w:numPr>
                <w:ilvl w:val="0"/>
                <w:numId w:val="207"/>
              </w:numPr>
              <w:tabs>
                <w:tab w:val="left" w:pos="542"/>
                <w:tab w:val="left" w:pos="993"/>
                <w:tab w:val="left" w:pos="1560"/>
                <w:tab w:val="left" w:pos="1843"/>
              </w:tabs>
              <w:spacing w:after="0" w:line="276" w:lineRule="auto"/>
              <w:ind w:hanging="1427"/>
              <w:contextualSpacing/>
              <w:jc w:val="both"/>
              <w:rPr>
                <w:rFonts w:eastAsia="Times New Roman" w:cs="Times New Roman"/>
                <w:b/>
                <w:sz w:val="20"/>
                <w:szCs w:val="20"/>
                <w:lang w:val="ru-RU"/>
              </w:rPr>
            </w:pPr>
            <w:r w:rsidRPr="0053423A">
              <w:rPr>
                <w:rFonts w:eastAsia="Times New Roman" w:cs="Sylfaen"/>
                <w:b/>
                <w:sz w:val="20"/>
                <w:szCs w:val="20"/>
                <w:lang w:val="ru-RU"/>
              </w:rPr>
              <w:t>Միջոցառման</w:t>
            </w:r>
            <w:r w:rsidRPr="0053423A">
              <w:rPr>
                <w:rFonts w:eastAsia="Times New Roman" w:cs="Times New Roman"/>
                <w:b/>
                <w:sz w:val="20"/>
                <w:szCs w:val="20"/>
                <w:lang w:val="ru-RU"/>
              </w:rPr>
              <w:t xml:space="preserve"> իրականացման անհրաժեշտությունը և 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Calibri"/>
                <w:sz w:val="20"/>
                <w:szCs w:val="20"/>
                <w:lang w:val="af-ZA"/>
              </w:rPr>
              <w:t xml:space="preserve">Գրադարանային ոլորտի համաչափ զարգացման, համայնքային և պետական գրադարանների միջև խզված կապերի վերականգնման, ինչպես նաև համահայաստանյան գրացուցակների ամբողջացման, գրադարանային առարկաների համալրման, հաշվառման, պահպանության և պաշտպանության հետ կապված օրենսդրական դաշտի կատարելագործում: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993"/>
                <w:tab w:val="left" w:pos="1560"/>
                <w:tab w:val="left" w:pos="1843"/>
              </w:tabs>
              <w:spacing w:after="0" w:line="276" w:lineRule="auto"/>
              <w:jc w:val="both"/>
              <w:rPr>
                <w:rFonts w:eastAsia="Times New Roman" w:cs="Times New Roman"/>
                <w:b/>
                <w:sz w:val="20"/>
                <w:szCs w:val="20"/>
                <w:lang w:val="hy-AM"/>
              </w:rPr>
            </w:pPr>
          </w:p>
          <w:p w:rsidR="00A67B6B" w:rsidRPr="0053423A" w:rsidRDefault="00A67B6B" w:rsidP="00A67858">
            <w:pPr>
              <w:tabs>
                <w:tab w:val="left" w:pos="993"/>
                <w:tab w:val="left" w:pos="1560"/>
                <w:tab w:val="left" w:pos="1843"/>
              </w:tabs>
              <w:spacing w:after="0" w:line="276" w:lineRule="auto"/>
              <w:rPr>
                <w:rFonts w:eastAsia="Times New Roman" w:cs="Times New Roman"/>
                <w:b/>
                <w:sz w:val="20"/>
                <w:szCs w:val="20"/>
                <w:lang w:val="hy-AM"/>
              </w:rPr>
            </w:pPr>
            <w:r w:rsidRPr="0053423A">
              <w:rPr>
                <w:rFonts w:eastAsia="Times New Roman" w:cs="Sylfaen"/>
                <w:b/>
                <w:sz w:val="20"/>
                <w:szCs w:val="20"/>
                <w:lang w:val="hy-AM"/>
              </w:rPr>
              <w:t>1.1.Կարգավորման</w:t>
            </w:r>
            <w:r w:rsidRPr="0053423A">
              <w:rPr>
                <w:rFonts w:eastAsia="Times New Roman" w:cs="Times New Roman"/>
                <w:b/>
                <w:sz w:val="20"/>
                <w:szCs w:val="20"/>
                <w:lang w:val="hy-AM"/>
              </w:rPr>
              <w:t xml:space="preserve"> հարաբերությունների ներկա վիճակը և առկա խնդիրները</w:t>
            </w:r>
          </w:p>
          <w:p w:rsidR="00A67B6B" w:rsidRPr="0053423A" w:rsidRDefault="00A67B6B" w:rsidP="00A67858">
            <w:pPr>
              <w:spacing w:after="0" w:line="276" w:lineRule="auto"/>
              <w:jc w:val="both"/>
              <w:rPr>
                <w:rFonts w:eastAsia="Calibri" w:cs="Times New Roman"/>
                <w:sz w:val="20"/>
                <w:szCs w:val="20"/>
                <w:lang w:val="hy-AM"/>
              </w:rPr>
            </w:pPr>
            <w:r w:rsidRPr="0053423A">
              <w:rPr>
                <w:rFonts w:eastAsia="Calibri" w:cs="Sylfaen"/>
                <w:sz w:val="20"/>
                <w:szCs w:val="20"/>
                <w:lang w:val="hy-AM"/>
              </w:rPr>
              <w:t>ՀՀ մշակույթի նախարարության ենթակայությամբ գործում են 2 ազգային և 10 մարզային գրադարան, որոնք հիմնականում  ապահովված են համապատասխան գույքով ու տեխնիկայով, սակայն ժամանակակից տեխնիկական հնարավորությունները և լուրջ մարտահրավերներն ազդարարում են գրադարանների տեղում չդոփելու, այլ ժամանակին համահունչ փոփոխությունների իրականացում և զարգացում, ինչպես նաև նոր ծրագրերի և նոր գաղափարների իրագործում: Գրադարանային ոլորտը այսօր Հայաստանում խիստ անհամաչափ է զարգանում, մի կողմից ունենք ժամանակակից թվայնացվող էլեկտրոնային գրադարանների աճ, լայն հնարավորություններով` աշխարհին ներկայացվող գրավոր ժառանգության հայատառ, ինչպես նաև Հայաստանի և հայերի մասին էլեկտրոնային շտեմարաններից օգտվելու հնարավորություն, մյուս կողմից` ունենք ոչ բարվոք պայմաններ ունեցող, օրեցօր կրճատվող քանակով` փակվող կամ լուծարվող համայնքային գրադարաններ, չհամալրվող, չթարմացվող գրքային հավաքածուներով:</w:t>
            </w:r>
            <w:r w:rsidRPr="0053423A">
              <w:rPr>
                <w:rFonts w:eastAsia="Calibri" w:cs="Times New Roman"/>
                <w:sz w:val="20"/>
                <w:szCs w:val="20"/>
                <w:lang w:val="hy-AM"/>
              </w:rPr>
              <w:t xml:space="preserve"> Վտանգված են նաև համայնքային գրադարանների գրքային հավաքածուները: Մոտավոր հաշվարկներով խոսքը մինչև 10 միլիոն գրադարանային հավաքածուների մասին է. գրադարանը փակվելուց հետո դրանք ենթակա են կամայական վերաբերմունքի: Հավաքածուները գույքագրված չեն և սահմանված կարգով հաշվառված չեն: </w:t>
            </w:r>
          </w:p>
          <w:p w:rsidR="00A67B6B" w:rsidRPr="0053423A" w:rsidRDefault="00A67B6B" w:rsidP="00A67858">
            <w:pPr>
              <w:tabs>
                <w:tab w:val="left" w:pos="993"/>
                <w:tab w:val="left" w:pos="1560"/>
                <w:tab w:val="left" w:pos="1843"/>
              </w:tabs>
              <w:spacing w:after="0" w:line="276" w:lineRule="auto"/>
              <w:jc w:val="both"/>
              <w:rPr>
                <w:rFonts w:eastAsia="Times New Roman" w:cs="Times New Roman"/>
                <w:b/>
                <w:sz w:val="20"/>
                <w:szCs w:val="20"/>
                <w:lang w:val="hy-AM"/>
              </w:rPr>
            </w:pPr>
          </w:p>
          <w:p w:rsidR="00A67B6B" w:rsidRPr="0053423A" w:rsidRDefault="00A67B6B" w:rsidP="00A67858">
            <w:pPr>
              <w:tabs>
                <w:tab w:val="left" w:pos="993"/>
                <w:tab w:val="left" w:pos="1560"/>
                <w:tab w:val="left" w:pos="1843"/>
              </w:tabs>
              <w:spacing w:after="0" w:line="276" w:lineRule="auto"/>
              <w:jc w:val="both"/>
              <w:rPr>
                <w:rFonts w:eastAsia="Times New Roman" w:cs="Times New Roman"/>
                <w:b/>
                <w:sz w:val="20"/>
                <w:szCs w:val="20"/>
                <w:lang w:val="hy-AM"/>
              </w:rPr>
            </w:pPr>
            <w:r w:rsidRPr="0053423A">
              <w:rPr>
                <w:rFonts w:eastAsia="Times New Roman" w:cs="Sylfaen"/>
                <w:b/>
                <w:sz w:val="20"/>
                <w:szCs w:val="20"/>
                <w:lang w:val="hy-AM"/>
              </w:rPr>
              <w:t>1.2. Առկա</w:t>
            </w:r>
            <w:r w:rsidRPr="0053423A">
              <w:rPr>
                <w:rFonts w:eastAsia="Times New Roman" w:cs="Times New Roman"/>
                <w:b/>
                <w:sz w:val="20"/>
                <w:szCs w:val="20"/>
                <w:lang w:val="hy-AM"/>
              </w:rPr>
              <w:t xml:space="preserve"> խնդիրների առաջարկվող լուծումները</w:t>
            </w:r>
          </w:p>
          <w:p w:rsidR="00A67B6B" w:rsidRPr="0053423A" w:rsidRDefault="00A67B6B" w:rsidP="00A67858">
            <w:pPr>
              <w:tabs>
                <w:tab w:val="left" w:pos="993"/>
                <w:tab w:val="left" w:pos="1560"/>
                <w:tab w:val="left" w:pos="1843"/>
              </w:tabs>
              <w:spacing w:after="0" w:line="276" w:lineRule="auto"/>
              <w:jc w:val="both"/>
              <w:rPr>
                <w:rFonts w:eastAsia="Calibri" w:cs="Calibri"/>
                <w:sz w:val="20"/>
                <w:szCs w:val="20"/>
                <w:lang w:val="af-ZA"/>
              </w:rPr>
            </w:pPr>
            <w:r w:rsidRPr="0053423A">
              <w:rPr>
                <w:rFonts w:eastAsia="Times New Roman" w:cs="Times New Roman"/>
                <w:sz w:val="20"/>
                <w:szCs w:val="20"/>
                <w:lang w:val="hy-AM"/>
              </w:rPr>
              <w:t xml:space="preserve">Առկա խնդիրները կարող են լուծվել միայն օրենսդրական դաշտում փոփոխություններ կատարելով` հստակ սահմանելով համայնքային </w:t>
            </w:r>
            <w:r w:rsidRPr="0053423A">
              <w:rPr>
                <w:rFonts w:eastAsia="Calibri" w:cs="Calibri"/>
                <w:sz w:val="20"/>
                <w:szCs w:val="20"/>
                <w:lang w:val="af-ZA"/>
              </w:rPr>
              <w:t xml:space="preserve">գրադարանային առարկաների համալրման, հաշվառման, պահպանության և պաշտպանության, գրավոր ժառանգության ֆոնդերի թվայնացման, ինչպես նաև համահայաստանյան գրացուցակների ամբողջացման </w:t>
            </w:r>
            <w:r w:rsidRPr="0053423A">
              <w:rPr>
                <w:rFonts w:eastAsia="Times New Roman" w:cs="Times New Roman"/>
                <w:sz w:val="20"/>
                <w:szCs w:val="20"/>
                <w:lang w:val="hy-AM"/>
              </w:rPr>
              <w:t>կարգ</w:t>
            </w:r>
            <w:r w:rsidRPr="0053423A">
              <w:rPr>
                <w:rFonts w:eastAsia="Calibri" w:cs="Calibri"/>
                <w:sz w:val="20"/>
                <w:szCs w:val="20"/>
                <w:lang w:val="af-ZA"/>
              </w:rPr>
              <w:t>:</w:t>
            </w:r>
          </w:p>
          <w:p w:rsidR="00A67B6B" w:rsidRPr="0053423A" w:rsidRDefault="00A67B6B" w:rsidP="00A67858">
            <w:pPr>
              <w:tabs>
                <w:tab w:val="left" w:pos="993"/>
                <w:tab w:val="left" w:pos="1560"/>
                <w:tab w:val="left" w:pos="1843"/>
              </w:tabs>
              <w:spacing w:after="0" w:line="276" w:lineRule="auto"/>
              <w:jc w:val="both"/>
              <w:rPr>
                <w:rFonts w:eastAsia="Calibri" w:cs="Calibri"/>
                <w:sz w:val="20"/>
                <w:szCs w:val="20"/>
                <w:lang w:val="af-ZA"/>
              </w:rPr>
            </w:pPr>
          </w:p>
          <w:p w:rsidR="00A67B6B" w:rsidRPr="0053423A" w:rsidRDefault="00A67B6B" w:rsidP="001F6D5D">
            <w:pPr>
              <w:numPr>
                <w:ilvl w:val="0"/>
                <w:numId w:val="207"/>
              </w:numPr>
              <w:tabs>
                <w:tab w:val="left" w:pos="409"/>
                <w:tab w:val="left" w:pos="1843"/>
              </w:tabs>
              <w:spacing w:after="0" w:line="276" w:lineRule="auto"/>
              <w:ind w:left="409"/>
              <w:contextualSpacing/>
              <w:jc w:val="both"/>
              <w:rPr>
                <w:rFonts w:eastAsia="Times New Roman" w:cs="Times New Roman"/>
                <w:b/>
                <w:sz w:val="20"/>
                <w:szCs w:val="20"/>
                <w:lang w:val="ru-RU"/>
              </w:rPr>
            </w:pPr>
            <w:r w:rsidRPr="0053423A">
              <w:rPr>
                <w:rFonts w:eastAsia="Times New Roman" w:cs="Times New Roman"/>
                <w:b/>
                <w:sz w:val="20"/>
                <w:szCs w:val="20"/>
                <w:lang w:val="ru-RU"/>
              </w:rPr>
              <w:t xml:space="preserve">Միջոցառման իրականացումից </w:t>
            </w:r>
            <w:r w:rsidRPr="0053423A">
              <w:rPr>
                <w:rFonts w:eastAsia="Times New Roman" w:cs="Times New Roman"/>
                <w:b/>
                <w:sz w:val="20"/>
                <w:szCs w:val="20"/>
              </w:rPr>
              <w:t>ակնկալվող</w:t>
            </w:r>
            <w:r w:rsidRPr="0053423A">
              <w:rPr>
                <w:rFonts w:eastAsia="Times New Roman" w:cs="Times New Roman"/>
                <w:b/>
                <w:sz w:val="20"/>
                <w:szCs w:val="20"/>
                <w:lang w:val="ru-RU"/>
              </w:rPr>
              <w:t xml:space="preserve"> </w:t>
            </w:r>
            <w:r w:rsidRPr="0053423A">
              <w:rPr>
                <w:rFonts w:eastAsia="Times New Roman" w:cs="Times New Roman"/>
                <w:b/>
                <w:sz w:val="20"/>
                <w:szCs w:val="20"/>
              </w:rPr>
              <w:t>արդյունքը</w:t>
            </w:r>
            <w:r w:rsidRPr="0053423A">
              <w:rPr>
                <w:rFonts w:eastAsia="Times New Roman" w:cs="Times New Roman"/>
                <w:b/>
                <w:sz w:val="20"/>
                <w:szCs w:val="20"/>
                <w:lang w:val="ru-RU"/>
              </w:rPr>
              <w:t xml:space="preserve"> </w:t>
            </w:r>
          </w:p>
          <w:p w:rsidR="00A67B6B" w:rsidRPr="0053423A" w:rsidRDefault="00A67B6B" w:rsidP="00A67858">
            <w:pPr>
              <w:spacing w:after="0" w:line="276" w:lineRule="auto"/>
              <w:ind w:firstLine="360"/>
              <w:jc w:val="both"/>
              <w:rPr>
                <w:rFonts w:eastAsia="Calibri" w:cs="Calibri"/>
                <w:sz w:val="20"/>
                <w:szCs w:val="20"/>
                <w:lang w:val="af-ZA"/>
              </w:rPr>
            </w:pPr>
            <w:r w:rsidRPr="0053423A">
              <w:rPr>
                <w:rFonts w:eastAsia="Calibri" w:cs="Arial"/>
                <w:sz w:val="20"/>
                <w:szCs w:val="20"/>
              </w:rPr>
              <w:t>Իրավական</w:t>
            </w:r>
            <w:r w:rsidRPr="0053423A">
              <w:rPr>
                <w:rFonts w:eastAsia="Calibri" w:cs="Arial"/>
                <w:sz w:val="20"/>
                <w:szCs w:val="20"/>
                <w:lang w:val="ru-RU"/>
              </w:rPr>
              <w:t xml:space="preserve"> </w:t>
            </w:r>
            <w:r w:rsidRPr="0053423A">
              <w:rPr>
                <w:rFonts w:eastAsia="Calibri" w:cs="Arial"/>
                <w:sz w:val="20"/>
                <w:szCs w:val="20"/>
              </w:rPr>
              <w:t>դաշտի</w:t>
            </w:r>
            <w:r w:rsidRPr="0053423A">
              <w:rPr>
                <w:rFonts w:eastAsia="Calibri" w:cs="Arial"/>
                <w:sz w:val="20"/>
                <w:szCs w:val="20"/>
                <w:lang w:val="ru-RU"/>
              </w:rPr>
              <w:t xml:space="preserve"> </w:t>
            </w:r>
            <w:r w:rsidRPr="0053423A">
              <w:rPr>
                <w:rFonts w:eastAsia="Calibri" w:cs="Arial"/>
                <w:sz w:val="20"/>
                <w:szCs w:val="20"/>
              </w:rPr>
              <w:t>կարգավորումը</w:t>
            </w:r>
            <w:r w:rsidRPr="0053423A">
              <w:rPr>
                <w:rFonts w:eastAsia="Calibri" w:cs="Arial"/>
                <w:sz w:val="20"/>
                <w:szCs w:val="20"/>
                <w:lang w:val="ru-RU"/>
              </w:rPr>
              <w:t xml:space="preserve"> </w:t>
            </w:r>
            <w:r w:rsidRPr="0053423A">
              <w:rPr>
                <w:rFonts w:eastAsia="Calibri" w:cs="Arial"/>
                <w:sz w:val="20"/>
                <w:szCs w:val="20"/>
              </w:rPr>
              <w:t>կբացառի</w:t>
            </w:r>
            <w:r w:rsidRPr="0053423A">
              <w:rPr>
                <w:rFonts w:eastAsia="Calibri" w:cs="Arial"/>
                <w:sz w:val="20"/>
                <w:szCs w:val="20"/>
                <w:lang w:val="ru-RU"/>
              </w:rPr>
              <w:t xml:space="preserve"> </w:t>
            </w:r>
            <w:r w:rsidRPr="0053423A">
              <w:rPr>
                <w:rFonts w:eastAsia="Calibri" w:cs="Arial"/>
                <w:sz w:val="20"/>
                <w:szCs w:val="20"/>
              </w:rPr>
              <w:t>սուբյեկտիվ</w:t>
            </w:r>
            <w:r w:rsidRPr="0053423A">
              <w:rPr>
                <w:rFonts w:eastAsia="Calibri" w:cs="Arial"/>
                <w:sz w:val="20"/>
                <w:szCs w:val="20"/>
                <w:lang w:val="ru-RU"/>
              </w:rPr>
              <w:t xml:space="preserve"> </w:t>
            </w:r>
            <w:r w:rsidRPr="0053423A">
              <w:rPr>
                <w:rFonts w:eastAsia="Calibri" w:cs="Arial"/>
                <w:sz w:val="20"/>
                <w:szCs w:val="20"/>
              </w:rPr>
              <w:t>վերաբերմունքի</w:t>
            </w:r>
            <w:r w:rsidRPr="0053423A">
              <w:rPr>
                <w:rFonts w:eastAsia="Calibri" w:cs="Arial"/>
                <w:sz w:val="20"/>
                <w:szCs w:val="20"/>
                <w:lang w:val="ru-RU"/>
              </w:rPr>
              <w:t xml:space="preserve"> </w:t>
            </w:r>
            <w:r w:rsidRPr="0053423A">
              <w:rPr>
                <w:rFonts w:eastAsia="Calibri" w:cs="Arial"/>
                <w:sz w:val="20"/>
                <w:szCs w:val="20"/>
              </w:rPr>
              <w:t>դերը</w:t>
            </w:r>
            <w:r w:rsidRPr="0053423A">
              <w:rPr>
                <w:rFonts w:eastAsia="Calibri" w:cs="Arial"/>
                <w:sz w:val="20"/>
                <w:szCs w:val="20"/>
                <w:lang w:val="ru-RU"/>
              </w:rPr>
              <w:t xml:space="preserve"> </w:t>
            </w:r>
            <w:r w:rsidRPr="0053423A">
              <w:rPr>
                <w:rFonts w:eastAsia="Calibri" w:cs="Arial"/>
                <w:sz w:val="20"/>
                <w:szCs w:val="20"/>
              </w:rPr>
              <w:t>համայնքային</w:t>
            </w:r>
            <w:r w:rsidRPr="0053423A">
              <w:rPr>
                <w:rFonts w:eastAsia="Calibri" w:cs="Arial"/>
                <w:sz w:val="20"/>
                <w:szCs w:val="20"/>
                <w:lang w:val="ru-RU"/>
              </w:rPr>
              <w:t xml:space="preserve"> </w:t>
            </w:r>
            <w:r w:rsidRPr="0053423A">
              <w:rPr>
                <w:rFonts w:eastAsia="Calibri" w:cs="Arial"/>
                <w:sz w:val="20"/>
                <w:szCs w:val="20"/>
              </w:rPr>
              <w:t>գրադարանների</w:t>
            </w:r>
            <w:r w:rsidRPr="0053423A">
              <w:rPr>
                <w:rFonts w:eastAsia="Calibri" w:cs="Arial"/>
                <w:sz w:val="20"/>
                <w:szCs w:val="20"/>
                <w:lang w:val="ru-RU"/>
              </w:rPr>
              <w:t xml:space="preserve"> </w:t>
            </w:r>
            <w:r w:rsidRPr="0053423A">
              <w:rPr>
                <w:rFonts w:eastAsia="Calibri" w:cs="Arial"/>
                <w:sz w:val="20"/>
                <w:szCs w:val="20"/>
              </w:rPr>
              <w:t>գրադարանային</w:t>
            </w:r>
            <w:r w:rsidRPr="0053423A">
              <w:rPr>
                <w:rFonts w:eastAsia="Calibri" w:cs="Arial"/>
                <w:sz w:val="20"/>
                <w:szCs w:val="20"/>
                <w:lang w:val="ru-RU"/>
              </w:rPr>
              <w:t xml:space="preserve"> </w:t>
            </w:r>
            <w:r w:rsidRPr="0053423A">
              <w:rPr>
                <w:rFonts w:eastAsia="Calibri" w:cs="Arial"/>
                <w:sz w:val="20"/>
                <w:szCs w:val="20"/>
              </w:rPr>
              <w:t>հավաքածուների</w:t>
            </w:r>
            <w:r w:rsidRPr="0053423A">
              <w:rPr>
                <w:rFonts w:eastAsia="Calibri" w:cs="Arial"/>
                <w:sz w:val="20"/>
                <w:szCs w:val="20"/>
                <w:lang w:val="ru-RU"/>
              </w:rPr>
              <w:t xml:space="preserve"> </w:t>
            </w:r>
            <w:r w:rsidRPr="0053423A">
              <w:rPr>
                <w:rFonts w:eastAsia="Calibri" w:cs="Arial"/>
                <w:sz w:val="20"/>
                <w:szCs w:val="20"/>
              </w:rPr>
              <w:t>պահպանության</w:t>
            </w:r>
            <w:r w:rsidRPr="0053423A">
              <w:rPr>
                <w:rFonts w:eastAsia="Calibri" w:cs="Arial"/>
                <w:sz w:val="20"/>
                <w:szCs w:val="20"/>
                <w:lang w:val="ru-RU"/>
              </w:rPr>
              <w:t xml:space="preserve"> </w:t>
            </w:r>
            <w:r w:rsidRPr="0053423A">
              <w:rPr>
                <w:rFonts w:eastAsia="Calibri" w:cs="Arial"/>
                <w:sz w:val="20"/>
                <w:szCs w:val="20"/>
              </w:rPr>
              <w:t>և</w:t>
            </w:r>
            <w:r w:rsidRPr="0053423A">
              <w:rPr>
                <w:rFonts w:eastAsia="Calibri" w:cs="Arial"/>
                <w:sz w:val="20"/>
                <w:szCs w:val="20"/>
                <w:lang w:val="ru-RU"/>
              </w:rPr>
              <w:t xml:space="preserve"> </w:t>
            </w:r>
            <w:r w:rsidRPr="0053423A">
              <w:rPr>
                <w:rFonts w:eastAsia="Calibri" w:cs="Arial"/>
                <w:sz w:val="20"/>
                <w:szCs w:val="20"/>
              </w:rPr>
              <w:t>նրանց</w:t>
            </w:r>
            <w:r w:rsidRPr="0053423A">
              <w:rPr>
                <w:rFonts w:eastAsia="Calibri" w:cs="Arial"/>
                <w:sz w:val="20"/>
                <w:szCs w:val="20"/>
                <w:lang w:val="ru-RU"/>
              </w:rPr>
              <w:t xml:space="preserve"> </w:t>
            </w:r>
            <w:r w:rsidRPr="0053423A">
              <w:rPr>
                <w:rFonts w:eastAsia="Calibri" w:cs="Arial"/>
                <w:sz w:val="20"/>
                <w:szCs w:val="20"/>
              </w:rPr>
              <w:t>հետագա</w:t>
            </w:r>
            <w:r w:rsidRPr="0053423A">
              <w:rPr>
                <w:rFonts w:eastAsia="Calibri" w:cs="Arial"/>
                <w:sz w:val="20"/>
                <w:szCs w:val="20"/>
                <w:lang w:val="ru-RU"/>
              </w:rPr>
              <w:t xml:space="preserve"> </w:t>
            </w:r>
            <w:r w:rsidRPr="0053423A">
              <w:rPr>
                <w:rFonts w:eastAsia="Calibri" w:cs="Arial"/>
                <w:sz w:val="20"/>
                <w:szCs w:val="20"/>
              </w:rPr>
              <w:t>բնականոն</w:t>
            </w:r>
            <w:r w:rsidRPr="0053423A">
              <w:rPr>
                <w:rFonts w:eastAsia="Calibri" w:cs="Arial"/>
                <w:sz w:val="20"/>
                <w:szCs w:val="20"/>
                <w:lang w:val="ru-RU"/>
              </w:rPr>
              <w:t xml:space="preserve"> </w:t>
            </w:r>
            <w:r w:rsidRPr="0053423A">
              <w:rPr>
                <w:rFonts w:eastAsia="Calibri" w:cs="Arial"/>
                <w:sz w:val="20"/>
                <w:szCs w:val="20"/>
              </w:rPr>
              <w:t>առաջընթացն</w:t>
            </w:r>
            <w:r w:rsidRPr="0053423A">
              <w:rPr>
                <w:rFonts w:eastAsia="Calibri" w:cs="Arial"/>
                <w:sz w:val="20"/>
                <w:szCs w:val="20"/>
                <w:lang w:val="ru-RU"/>
              </w:rPr>
              <w:t xml:space="preserve"> </w:t>
            </w:r>
            <w:r w:rsidRPr="0053423A">
              <w:rPr>
                <w:rFonts w:eastAsia="Calibri" w:cs="Arial"/>
                <w:sz w:val="20"/>
                <w:szCs w:val="20"/>
              </w:rPr>
              <w:t>ապահովելու</w:t>
            </w:r>
            <w:r w:rsidRPr="0053423A">
              <w:rPr>
                <w:rFonts w:eastAsia="Calibri" w:cs="Arial"/>
                <w:sz w:val="20"/>
                <w:szCs w:val="20"/>
                <w:lang w:val="ru-RU"/>
              </w:rPr>
              <w:t xml:space="preserve"> </w:t>
            </w:r>
            <w:r w:rsidRPr="0053423A">
              <w:rPr>
                <w:rFonts w:eastAsia="Calibri" w:cs="Arial"/>
                <w:sz w:val="20"/>
                <w:szCs w:val="20"/>
              </w:rPr>
              <w:t>գործում</w:t>
            </w:r>
            <w:r w:rsidRPr="0053423A">
              <w:rPr>
                <w:rFonts w:eastAsia="Calibri" w:cs="Arial"/>
                <w:sz w:val="20"/>
                <w:szCs w:val="20"/>
                <w:lang w:val="ru-RU"/>
              </w:rPr>
              <w:t xml:space="preserve">, </w:t>
            </w:r>
            <w:r w:rsidRPr="0053423A">
              <w:rPr>
                <w:rFonts w:eastAsia="Calibri" w:cs="Arial"/>
                <w:sz w:val="20"/>
                <w:szCs w:val="20"/>
              </w:rPr>
              <w:t>ինչպես</w:t>
            </w:r>
            <w:r w:rsidRPr="0053423A">
              <w:rPr>
                <w:rFonts w:eastAsia="Calibri" w:cs="Arial"/>
                <w:sz w:val="20"/>
                <w:szCs w:val="20"/>
                <w:lang w:val="ru-RU"/>
              </w:rPr>
              <w:t xml:space="preserve"> </w:t>
            </w:r>
            <w:r w:rsidRPr="0053423A">
              <w:rPr>
                <w:rFonts w:eastAsia="Calibri" w:cs="Arial"/>
                <w:sz w:val="20"/>
                <w:szCs w:val="20"/>
              </w:rPr>
              <w:t>նաև</w:t>
            </w:r>
            <w:r w:rsidRPr="0053423A">
              <w:rPr>
                <w:rFonts w:eastAsia="Calibri" w:cs="Arial"/>
                <w:sz w:val="20"/>
                <w:szCs w:val="20"/>
                <w:lang w:val="ru-RU"/>
              </w:rPr>
              <w:t xml:space="preserve"> </w:t>
            </w:r>
            <w:r w:rsidRPr="0053423A">
              <w:rPr>
                <w:rFonts w:eastAsia="Calibri" w:cs="Calibri"/>
                <w:sz w:val="20"/>
                <w:szCs w:val="20"/>
                <w:lang w:val="af-ZA"/>
              </w:rPr>
              <w:t>համահայաստանյան գրացուցակների ամբողջացման հետ կապված գործառույթներում:</w:t>
            </w:r>
          </w:p>
        </w:tc>
      </w:tr>
      <w:tr w:rsidR="00A67B6B" w:rsidRPr="00DE2EFA" w:rsidTr="00A67B6B">
        <w:tc>
          <w:tcPr>
            <w:tcW w:w="540" w:type="dxa"/>
            <w:shd w:val="clear" w:color="auto" w:fill="auto"/>
          </w:tcPr>
          <w:p w:rsidR="00A67B6B" w:rsidRPr="0053423A" w:rsidRDefault="00A67B6B" w:rsidP="001F6D5D">
            <w:pPr>
              <w:numPr>
                <w:ilvl w:val="0"/>
                <w:numId w:val="243"/>
              </w:numPr>
              <w:tabs>
                <w:tab w:val="left" w:pos="1418"/>
              </w:tabs>
              <w:spacing w:after="0" w:line="276" w:lineRule="auto"/>
              <w:jc w:val="center"/>
              <w:rPr>
                <w:rFonts w:eastAsia="Calibri" w:cs="Times New Roman"/>
                <w:caps/>
                <w:sz w:val="20"/>
                <w:szCs w:val="20"/>
                <w:lang w:val="ru-RU"/>
              </w:rPr>
            </w:pPr>
          </w:p>
        </w:tc>
        <w:tc>
          <w:tcPr>
            <w:tcW w:w="10980" w:type="dxa"/>
            <w:shd w:val="clear" w:color="auto" w:fill="auto"/>
          </w:tcPr>
          <w:p w:rsidR="00A67B6B" w:rsidRPr="0053423A" w:rsidRDefault="00A67B6B" w:rsidP="00A67858">
            <w:pPr>
              <w:tabs>
                <w:tab w:val="left" w:pos="508"/>
              </w:tabs>
              <w:spacing w:after="0" w:line="276" w:lineRule="auto"/>
              <w:jc w:val="center"/>
              <w:rPr>
                <w:rFonts w:eastAsia="Times New Roman" w:cs="Times New Roman"/>
                <w:b/>
                <w:sz w:val="20"/>
                <w:szCs w:val="20"/>
                <w:lang w:val="ru-RU"/>
              </w:rPr>
            </w:pPr>
          </w:p>
        </w:tc>
      </w:tr>
      <w:tr w:rsidR="00A67B6B" w:rsidRPr="0053423A" w:rsidTr="00A67B6B">
        <w:tc>
          <w:tcPr>
            <w:tcW w:w="540" w:type="dxa"/>
            <w:shd w:val="clear" w:color="auto" w:fill="auto"/>
          </w:tcPr>
          <w:p w:rsidR="00A67B6B" w:rsidRPr="0053423A" w:rsidRDefault="00A67B6B" w:rsidP="00A67858">
            <w:pPr>
              <w:tabs>
                <w:tab w:val="left" w:pos="1418"/>
              </w:tabs>
              <w:spacing w:after="0" w:line="276" w:lineRule="auto"/>
              <w:jc w:val="center"/>
              <w:rPr>
                <w:rFonts w:eastAsia="Calibri" w:cs="Times New Roman"/>
                <w:b/>
                <w:caps/>
                <w:sz w:val="20"/>
                <w:szCs w:val="20"/>
                <w:lang w:val="hy-AM"/>
              </w:rPr>
            </w:pPr>
            <w:r w:rsidRPr="0053423A">
              <w:rPr>
                <w:rFonts w:eastAsia="Calibri" w:cs="Times New Roman"/>
                <w:b/>
                <w:caps/>
                <w:sz w:val="20"/>
                <w:szCs w:val="20"/>
                <w:lang w:val="ru-RU"/>
              </w:rPr>
              <w:t>3</w:t>
            </w:r>
          </w:p>
        </w:tc>
        <w:tc>
          <w:tcPr>
            <w:tcW w:w="10980" w:type="dxa"/>
            <w:shd w:val="clear" w:color="auto" w:fill="auto"/>
          </w:tcPr>
          <w:p w:rsidR="00A67B6B" w:rsidRPr="0053423A" w:rsidRDefault="00A67B6B" w:rsidP="00A67858">
            <w:pPr>
              <w:tabs>
                <w:tab w:val="left" w:pos="508"/>
              </w:tabs>
              <w:spacing w:after="0" w:line="276" w:lineRule="auto"/>
              <w:contextualSpacing/>
              <w:jc w:val="center"/>
              <w:rPr>
                <w:rFonts w:eastAsia="Times New Roman" w:cs="Times New Roman"/>
                <w:b/>
                <w:sz w:val="20"/>
                <w:szCs w:val="20"/>
                <w:lang w:val="hy-AM"/>
              </w:rPr>
            </w:pPr>
          </w:p>
          <w:p w:rsidR="00A67B6B" w:rsidRPr="0053423A" w:rsidRDefault="00A67B6B" w:rsidP="00A67858">
            <w:pPr>
              <w:spacing w:after="0" w:line="276" w:lineRule="auto"/>
              <w:jc w:val="center"/>
              <w:rPr>
                <w:rFonts w:eastAsia="Times New Roman" w:cs="Times New Roman"/>
                <w:b/>
                <w:sz w:val="20"/>
                <w:szCs w:val="20"/>
                <w:lang w:val="hy-AM"/>
              </w:rPr>
            </w:pPr>
            <w:r w:rsidRPr="0053423A">
              <w:rPr>
                <w:rFonts w:eastAsia="Times New Roman" w:cs="Times New Roman"/>
                <w:b/>
                <w:sz w:val="20"/>
                <w:szCs w:val="20"/>
                <w:lang w:val="hy-AM"/>
              </w:rPr>
              <w:t xml:space="preserve">3.1 </w:t>
            </w:r>
            <w:r w:rsidRPr="0053423A">
              <w:rPr>
                <w:rFonts w:eastAsia="Calibri" w:cs="Calibri"/>
                <w:b/>
                <w:sz w:val="20"/>
                <w:szCs w:val="20"/>
                <w:lang w:val="hy-AM"/>
              </w:rPr>
              <w:t>Հուշար</w:t>
            </w:r>
            <w:r w:rsidRPr="0053423A">
              <w:rPr>
                <w:rFonts w:eastAsia="Calibri" w:cs="Calibri"/>
                <w:b/>
                <w:sz w:val="20"/>
                <w:szCs w:val="20"/>
                <w:lang w:val="hy-AM"/>
              </w:rPr>
              <w:softHyphen/>
              <w:t>ձան</w:t>
            </w:r>
            <w:r w:rsidRPr="0053423A">
              <w:rPr>
                <w:rFonts w:eastAsia="Calibri" w:cs="Calibri"/>
                <w:b/>
                <w:sz w:val="20"/>
                <w:szCs w:val="20"/>
                <w:lang w:val="hy-AM"/>
              </w:rPr>
              <w:softHyphen/>
              <w:t>ների և դրանց տարածքների տնօրինման, տիրապետման, օգտագործման և պահպանությանն ուղղված միջոցառումների լիարժեք կազմակերպում</w:t>
            </w:r>
          </w:p>
          <w:p w:rsidR="00A67B6B" w:rsidRPr="0053423A" w:rsidRDefault="00A67B6B" w:rsidP="00A67858">
            <w:pPr>
              <w:spacing w:after="0" w:line="276" w:lineRule="auto"/>
              <w:jc w:val="both"/>
              <w:rPr>
                <w:rFonts w:eastAsia="Times New Roman" w:cs="Calibri"/>
                <w:sz w:val="20"/>
                <w:szCs w:val="20"/>
                <w:lang w:val="af-ZA"/>
              </w:rPr>
            </w:pPr>
          </w:p>
          <w:p w:rsidR="00A67B6B" w:rsidRPr="0053423A" w:rsidRDefault="00A67B6B" w:rsidP="001F6D5D">
            <w:pPr>
              <w:numPr>
                <w:ilvl w:val="2"/>
                <w:numId w:val="195"/>
              </w:numPr>
              <w:tabs>
                <w:tab w:val="left" w:pos="508"/>
                <w:tab w:val="num" w:pos="693"/>
              </w:tabs>
              <w:spacing w:after="0" w:line="276" w:lineRule="auto"/>
              <w:ind w:left="976" w:hanging="963"/>
              <w:contextualSpacing/>
              <w:rPr>
                <w:rFonts w:eastAsia="Calibri" w:cs="Times New Roman"/>
                <w:b/>
                <w:sz w:val="20"/>
                <w:szCs w:val="20"/>
                <w:lang w:val="hy-AM"/>
              </w:rPr>
            </w:pPr>
            <w:r w:rsidRPr="0053423A">
              <w:rPr>
                <w:rFonts w:eastAsia="Calibri" w:cs="Times New Roman"/>
                <w:b/>
                <w:sz w:val="20"/>
                <w:szCs w:val="20"/>
                <w:lang w:val="hy-AM"/>
              </w:rPr>
              <w:t>Միջոցառման իրականացման անհրաժեշտությունը և 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af-ZA"/>
              </w:rPr>
              <w:t xml:space="preserve">ՀՀ պատմության և մշակույթի անշարժ հուշարձանների կադաստրի ստեղծման նպատակով հաշվառման աշխատանքների իրականացումը հնարավորություն կտա ապահովել </w:t>
            </w:r>
            <w:r w:rsidRPr="0053423A">
              <w:rPr>
                <w:rFonts w:eastAsia="Times New Roman" w:cs="Sylfaen"/>
                <w:sz w:val="20"/>
                <w:szCs w:val="20"/>
                <w:lang w:val="af-ZA"/>
              </w:rPr>
              <w:t>ՀՀ</w:t>
            </w:r>
            <w:r w:rsidRPr="0053423A">
              <w:rPr>
                <w:rFonts w:eastAsia="Times New Roman" w:cs="Calibri"/>
                <w:sz w:val="20"/>
                <w:szCs w:val="20"/>
                <w:lang w:val="af-ZA"/>
              </w:rPr>
              <w:t xml:space="preserve"> </w:t>
            </w:r>
            <w:r w:rsidRPr="0053423A">
              <w:rPr>
                <w:rFonts w:eastAsia="Times New Roman" w:cs="Sylfaen"/>
                <w:sz w:val="20"/>
                <w:szCs w:val="20"/>
                <w:lang w:val="af-ZA"/>
              </w:rPr>
              <w:t>կառավարության</w:t>
            </w:r>
            <w:r w:rsidRPr="0053423A">
              <w:rPr>
                <w:rFonts w:eastAsia="Times New Roman" w:cs="Calibri"/>
                <w:sz w:val="20"/>
                <w:szCs w:val="20"/>
                <w:lang w:val="af-ZA"/>
              </w:rPr>
              <w:t xml:space="preserve"> 2002 </w:t>
            </w:r>
            <w:r w:rsidRPr="0053423A">
              <w:rPr>
                <w:rFonts w:eastAsia="Times New Roman" w:cs="Sylfaen"/>
                <w:sz w:val="20"/>
                <w:szCs w:val="20"/>
                <w:lang w:val="af-ZA"/>
              </w:rPr>
              <w:t>թ</w:t>
            </w:r>
            <w:r w:rsidRPr="0053423A">
              <w:rPr>
                <w:rFonts w:eastAsia="Times New Roman" w:cs="Calibri"/>
                <w:sz w:val="20"/>
                <w:szCs w:val="20"/>
                <w:lang w:val="af-ZA"/>
              </w:rPr>
              <w:t xml:space="preserve">. </w:t>
            </w:r>
            <w:r w:rsidRPr="0053423A">
              <w:rPr>
                <w:rFonts w:eastAsia="Times New Roman" w:cs="Sylfaen"/>
                <w:sz w:val="20"/>
                <w:szCs w:val="20"/>
                <w:lang w:val="af-ZA"/>
              </w:rPr>
              <w:t>ապրիլի</w:t>
            </w:r>
            <w:r w:rsidRPr="0053423A">
              <w:rPr>
                <w:rFonts w:eastAsia="Times New Roman" w:cs="Calibri"/>
                <w:sz w:val="20"/>
                <w:szCs w:val="20"/>
                <w:lang w:val="af-ZA"/>
              </w:rPr>
              <w:t xml:space="preserve"> 20-</w:t>
            </w:r>
            <w:r w:rsidRPr="0053423A">
              <w:rPr>
                <w:rFonts w:eastAsia="Times New Roman" w:cs="Sylfaen"/>
                <w:sz w:val="20"/>
                <w:szCs w:val="20"/>
                <w:lang w:val="af-ZA"/>
              </w:rPr>
              <w:t>ի</w:t>
            </w:r>
            <w:r w:rsidRPr="0053423A">
              <w:rPr>
                <w:rFonts w:eastAsia="Times New Roman" w:cs="Calibri"/>
                <w:sz w:val="20"/>
                <w:szCs w:val="20"/>
                <w:lang w:val="af-ZA"/>
              </w:rPr>
              <w:t xml:space="preserve"> «</w:t>
            </w:r>
            <w:r w:rsidRPr="0053423A">
              <w:rPr>
                <w:rFonts w:eastAsia="Times New Roman" w:cs="Sylfaen"/>
                <w:sz w:val="20"/>
                <w:szCs w:val="20"/>
                <w:lang w:val="af-ZA"/>
              </w:rPr>
              <w:t>Պատմության</w:t>
            </w:r>
            <w:r w:rsidRPr="0053423A">
              <w:rPr>
                <w:rFonts w:eastAsia="Times New Roman" w:cs="Calibri"/>
                <w:sz w:val="20"/>
                <w:szCs w:val="20"/>
                <w:lang w:val="af-ZA"/>
              </w:rPr>
              <w:t xml:space="preserve"> </w:t>
            </w:r>
            <w:r w:rsidRPr="0053423A">
              <w:rPr>
                <w:rFonts w:eastAsia="Times New Roman" w:cs="Sylfaen"/>
                <w:sz w:val="20"/>
                <w:szCs w:val="20"/>
                <w:lang w:val="af-ZA"/>
              </w:rPr>
              <w:t>և</w:t>
            </w:r>
            <w:r w:rsidRPr="0053423A">
              <w:rPr>
                <w:rFonts w:eastAsia="Times New Roman" w:cs="Calibri"/>
                <w:sz w:val="20"/>
                <w:szCs w:val="20"/>
                <w:lang w:val="af-ZA"/>
              </w:rPr>
              <w:t xml:space="preserve"> </w:t>
            </w:r>
            <w:r w:rsidRPr="0053423A">
              <w:rPr>
                <w:rFonts w:eastAsia="Times New Roman" w:cs="Sylfaen"/>
                <w:sz w:val="20"/>
                <w:szCs w:val="20"/>
                <w:lang w:val="af-ZA"/>
              </w:rPr>
              <w:t>մշակույթի</w:t>
            </w:r>
            <w:r w:rsidRPr="0053423A">
              <w:rPr>
                <w:rFonts w:eastAsia="Times New Roman" w:cs="Calibri"/>
                <w:sz w:val="20"/>
                <w:szCs w:val="20"/>
                <w:lang w:val="af-ZA"/>
              </w:rPr>
              <w:t xml:space="preserve"> </w:t>
            </w:r>
            <w:r w:rsidRPr="0053423A">
              <w:rPr>
                <w:rFonts w:eastAsia="Times New Roman" w:cs="Sylfaen"/>
                <w:sz w:val="20"/>
                <w:szCs w:val="20"/>
                <w:lang w:val="af-ZA"/>
              </w:rPr>
              <w:t>անշարժ</w:t>
            </w:r>
            <w:r w:rsidRPr="0053423A">
              <w:rPr>
                <w:rFonts w:eastAsia="Times New Roman" w:cs="Calibri"/>
                <w:sz w:val="20"/>
                <w:szCs w:val="20"/>
                <w:lang w:val="af-ZA"/>
              </w:rPr>
              <w:t xml:space="preserve"> </w:t>
            </w:r>
            <w:r w:rsidRPr="0053423A">
              <w:rPr>
                <w:rFonts w:eastAsia="Times New Roman" w:cs="Sylfaen"/>
                <w:sz w:val="20"/>
                <w:szCs w:val="20"/>
                <w:lang w:val="af-ZA"/>
              </w:rPr>
              <w:t>հուշարձանների</w:t>
            </w:r>
            <w:r w:rsidRPr="0053423A">
              <w:rPr>
                <w:rFonts w:eastAsia="Times New Roman" w:cs="Calibri"/>
                <w:sz w:val="20"/>
                <w:szCs w:val="20"/>
                <w:lang w:val="af-ZA"/>
              </w:rPr>
              <w:t xml:space="preserve"> </w:t>
            </w:r>
            <w:r w:rsidRPr="0053423A">
              <w:rPr>
                <w:rFonts w:eastAsia="Times New Roman" w:cs="Sylfaen"/>
                <w:sz w:val="20"/>
                <w:szCs w:val="20"/>
                <w:lang w:val="af-ZA"/>
              </w:rPr>
              <w:t>պետական</w:t>
            </w:r>
            <w:r w:rsidRPr="0053423A">
              <w:rPr>
                <w:rFonts w:eastAsia="Times New Roman" w:cs="Calibri"/>
                <w:sz w:val="20"/>
                <w:szCs w:val="20"/>
                <w:lang w:val="af-ZA"/>
              </w:rPr>
              <w:t xml:space="preserve"> </w:t>
            </w:r>
            <w:r w:rsidRPr="0053423A">
              <w:rPr>
                <w:rFonts w:eastAsia="Times New Roman" w:cs="Sylfaen"/>
                <w:sz w:val="20"/>
                <w:szCs w:val="20"/>
                <w:lang w:val="af-ZA"/>
              </w:rPr>
              <w:t>հաշվառման</w:t>
            </w:r>
            <w:r w:rsidRPr="0053423A">
              <w:rPr>
                <w:rFonts w:eastAsia="Times New Roman" w:cs="Calibri"/>
                <w:sz w:val="20"/>
                <w:szCs w:val="20"/>
                <w:lang w:val="af-ZA"/>
              </w:rPr>
              <w:t xml:space="preserve">, </w:t>
            </w:r>
            <w:r w:rsidRPr="0053423A">
              <w:rPr>
                <w:rFonts w:eastAsia="Times New Roman" w:cs="Sylfaen"/>
                <w:sz w:val="20"/>
                <w:szCs w:val="20"/>
                <w:lang w:val="af-ZA"/>
              </w:rPr>
              <w:t>ուսումնասիրման</w:t>
            </w:r>
            <w:r w:rsidRPr="0053423A">
              <w:rPr>
                <w:rFonts w:eastAsia="Times New Roman" w:cs="Calibri"/>
                <w:sz w:val="20"/>
                <w:szCs w:val="20"/>
                <w:lang w:val="af-ZA"/>
              </w:rPr>
              <w:t xml:space="preserve">, </w:t>
            </w:r>
            <w:r w:rsidRPr="0053423A">
              <w:rPr>
                <w:rFonts w:eastAsia="Times New Roman" w:cs="Sylfaen"/>
                <w:sz w:val="20"/>
                <w:szCs w:val="20"/>
                <w:lang w:val="af-ZA"/>
              </w:rPr>
              <w:t>պահպանության</w:t>
            </w:r>
            <w:r w:rsidRPr="0053423A">
              <w:rPr>
                <w:rFonts w:eastAsia="Times New Roman" w:cs="Calibri"/>
                <w:sz w:val="20"/>
                <w:szCs w:val="20"/>
                <w:lang w:val="af-ZA"/>
              </w:rPr>
              <w:t xml:space="preserve">, </w:t>
            </w:r>
            <w:r w:rsidRPr="0053423A">
              <w:rPr>
                <w:rFonts w:eastAsia="Times New Roman" w:cs="Sylfaen"/>
                <w:sz w:val="20"/>
                <w:szCs w:val="20"/>
                <w:lang w:val="af-ZA"/>
              </w:rPr>
              <w:t>ամրակայման</w:t>
            </w:r>
            <w:r w:rsidRPr="0053423A">
              <w:rPr>
                <w:rFonts w:eastAsia="Times New Roman" w:cs="Calibri"/>
                <w:sz w:val="20"/>
                <w:szCs w:val="20"/>
                <w:lang w:val="af-ZA"/>
              </w:rPr>
              <w:t xml:space="preserve">, </w:t>
            </w:r>
            <w:r w:rsidRPr="0053423A">
              <w:rPr>
                <w:rFonts w:eastAsia="Times New Roman" w:cs="Sylfaen"/>
                <w:sz w:val="20"/>
                <w:szCs w:val="20"/>
                <w:lang w:val="af-ZA"/>
              </w:rPr>
              <w:t>նորոգման</w:t>
            </w:r>
            <w:r w:rsidRPr="0053423A">
              <w:rPr>
                <w:rFonts w:eastAsia="Times New Roman" w:cs="Calibri"/>
                <w:sz w:val="20"/>
                <w:szCs w:val="20"/>
                <w:lang w:val="af-ZA"/>
              </w:rPr>
              <w:t xml:space="preserve">, </w:t>
            </w:r>
            <w:r w:rsidRPr="0053423A">
              <w:rPr>
                <w:rFonts w:eastAsia="Times New Roman" w:cs="Sylfaen"/>
                <w:sz w:val="20"/>
                <w:szCs w:val="20"/>
                <w:lang w:val="af-ZA"/>
              </w:rPr>
              <w:t>վերականգնման</w:t>
            </w:r>
            <w:r w:rsidRPr="0053423A">
              <w:rPr>
                <w:rFonts w:eastAsia="Times New Roman" w:cs="Calibri"/>
                <w:sz w:val="20"/>
                <w:szCs w:val="20"/>
                <w:lang w:val="af-ZA"/>
              </w:rPr>
              <w:t xml:space="preserve"> </w:t>
            </w:r>
            <w:r w:rsidRPr="0053423A">
              <w:rPr>
                <w:rFonts w:eastAsia="Times New Roman" w:cs="Sylfaen"/>
                <w:sz w:val="20"/>
                <w:szCs w:val="20"/>
                <w:lang w:val="af-ZA"/>
              </w:rPr>
              <w:t>և</w:t>
            </w:r>
            <w:r w:rsidRPr="0053423A">
              <w:rPr>
                <w:rFonts w:eastAsia="Times New Roman" w:cs="Calibri"/>
                <w:sz w:val="20"/>
                <w:szCs w:val="20"/>
                <w:lang w:val="af-ZA"/>
              </w:rPr>
              <w:t xml:space="preserve"> </w:t>
            </w:r>
            <w:r w:rsidRPr="0053423A">
              <w:rPr>
                <w:rFonts w:eastAsia="Times New Roman" w:cs="Sylfaen"/>
                <w:sz w:val="20"/>
                <w:szCs w:val="20"/>
                <w:lang w:val="af-ZA"/>
              </w:rPr>
              <w:t>օգտագործման</w:t>
            </w:r>
            <w:r w:rsidRPr="0053423A">
              <w:rPr>
                <w:rFonts w:eastAsia="Times New Roman" w:cs="Calibri"/>
                <w:sz w:val="20"/>
                <w:szCs w:val="20"/>
                <w:lang w:val="af-ZA"/>
              </w:rPr>
              <w:t xml:space="preserve"> </w:t>
            </w:r>
            <w:r w:rsidRPr="0053423A">
              <w:rPr>
                <w:rFonts w:eastAsia="Times New Roman" w:cs="Sylfaen"/>
                <w:sz w:val="20"/>
                <w:szCs w:val="20"/>
                <w:lang w:val="af-ZA"/>
              </w:rPr>
              <w:t>կարգը</w:t>
            </w:r>
            <w:r w:rsidRPr="0053423A">
              <w:rPr>
                <w:rFonts w:eastAsia="Times New Roman" w:cs="Calibri"/>
                <w:sz w:val="20"/>
                <w:szCs w:val="20"/>
                <w:lang w:val="af-ZA"/>
              </w:rPr>
              <w:t xml:space="preserve"> </w:t>
            </w:r>
            <w:r w:rsidRPr="0053423A">
              <w:rPr>
                <w:rFonts w:eastAsia="Times New Roman" w:cs="Sylfaen"/>
                <w:sz w:val="20"/>
                <w:szCs w:val="20"/>
                <w:lang w:val="af-ZA"/>
              </w:rPr>
              <w:t>հաստատելու</w:t>
            </w:r>
            <w:r w:rsidRPr="0053423A">
              <w:rPr>
                <w:rFonts w:eastAsia="Times New Roman" w:cs="Calibri"/>
                <w:sz w:val="20"/>
                <w:szCs w:val="20"/>
                <w:lang w:val="af-ZA"/>
              </w:rPr>
              <w:t xml:space="preserve"> </w:t>
            </w:r>
            <w:r w:rsidRPr="0053423A">
              <w:rPr>
                <w:rFonts w:eastAsia="Times New Roman" w:cs="Sylfaen"/>
                <w:sz w:val="20"/>
                <w:szCs w:val="20"/>
                <w:lang w:val="af-ZA"/>
              </w:rPr>
              <w:t>մասին</w:t>
            </w:r>
            <w:r w:rsidRPr="0053423A">
              <w:rPr>
                <w:rFonts w:eastAsia="Times New Roman" w:cs="Calibri"/>
                <w:sz w:val="20"/>
                <w:szCs w:val="20"/>
                <w:lang w:val="af-ZA"/>
              </w:rPr>
              <w:t xml:space="preserve">» N 438 </w:t>
            </w:r>
            <w:r w:rsidRPr="0053423A">
              <w:rPr>
                <w:rFonts w:eastAsia="Times New Roman" w:cs="Sylfaen"/>
                <w:sz w:val="20"/>
                <w:szCs w:val="20"/>
                <w:lang w:val="af-ZA"/>
              </w:rPr>
              <w:t>որոշմամբ</w:t>
            </w:r>
            <w:r w:rsidRPr="0053423A">
              <w:rPr>
                <w:rFonts w:eastAsia="Times New Roman" w:cs="Calibri"/>
                <w:sz w:val="20"/>
                <w:szCs w:val="20"/>
                <w:lang w:val="af-ZA"/>
              </w:rPr>
              <w:t xml:space="preserve"> </w:t>
            </w:r>
            <w:r w:rsidRPr="0053423A">
              <w:rPr>
                <w:rFonts w:eastAsia="Times New Roman" w:cs="Sylfaen"/>
                <w:sz w:val="20"/>
                <w:szCs w:val="20"/>
                <w:lang w:val="af-ZA"/>
              </w:rPr>
              <w:t>հաստատված</w:t>
            </w:r>
            <w:r w:rsidRPr="0053423A">
              <w:rPr>
                <w:rFonts w:eastAsia="Times New Roman" w:cs="Calibri"/>
                <w:sz w:val="20"/>
                <w:szCs w:val="20"/>
                <w:lang w:val="af-ZA"/>
              </w:rPr>
              <w:t xml:space="preserve"> </w:t>
            </w:r>
            <w:r w:rsidRPr="0053423A">
              <w:rPr>
                <w:rFonts w:eastAsia="Times New Roman" w:cs="Sylfaen"/>
                <w:sz w:val="20"/>
                <w:szCs w:val="20"/>
                <w:lang w:val="af-ZA"/>
              </w:rPr>
              <w:t>կարգի</w:t>
            </w:r>
            <w:r w:rsidRPr="0053423A">
              <w:rPr>
                <w:rFonts w:eastAsia="Times New Roman" w:cs="Calibri"/>
                <w:sz w:val="20"/>
                <w:szCs w:val="20"/>
                <w:lang w:val="af-ZA"/>
              </w:rPr>
              <w:t xml:space="preserve"> 21-26-</w:t>
            </w:r>
            <w:r w:rsidRPr="0053423A">
              <w:rPr>
                <w:rFonts w:eastAsia="Times New Roman" w:cs="Sylfaen"/>
                <w:sz w:val="20"/>
                <w:szCs w:val="20"/>
                <w:lang w:val="af-ZA"/>
              </w:rPr>
              <w:t>րդ</w:t>
            </w:r>
            <w:r w:rsidRPr="0053423A">
              <w:rPr>
                <w:rFonts w:eastAsia="Times New Roman" w:cs="Calibri"/>
                <w:sz w:val="20"/>
                <w:szCs w:val="20"/>
                <w:lang w:val="af-ZA"/>
              </w:rPr>
              <w:t xml:space="preserve"> </w:t>
            </w:r>
            <w:r w:rsidRPr="0053423A">
              <w:rPr>
                <w:rFonts w:eastAsia="Times New Roman" w:cs="Sylfaen"/>
                <w:sz w:val="20"/>
                <w:szCs w:val="20"/>
                <w:lang w:val="af-ZA"/>
              </w:rPr>
              <w:t xml:space="preserve">կետերով նախատեսված գործընթացները՝ </w:t>
            </w:r>
            <w:r w:rsidRPr="0053423A">
              <w:rPr>
                <w:rFonts w:eastAsia="Calibri" w:cs="Times New Roman"/>
                <w:sz w:val="20"/>
                <w:szCs w:val="20"/>
                <w:lang w:val="af-ZA"/>
              </w:rPr>
              <w:t xml:space="preserve">լիարժեք հաշվառել հատուկ պահպանվող հողերի մակերեսները և կարգավիճակը, ճշտել պահպանական գոտիների տարածքներում գտնվող հողատեսքերը, դրանց մակերեսները, գույքային իրավունքի գրանցման դեպքերը, սեփականության իրավունքի փոփոխությունները, վարել հուշարձանների կադաստրը, ապահովել հուշարձանների կադաստրի վերաբերյալ մատչելի տեղեկատվությունը, ձեռք բերել </w:t>
            </w:r>
            <w:r w:rsidRPr="0053423A">
              <w:rPr>
                <w:rFonts w:eastAsia="Times New Roman" w:cs="Times New Roman"/>
                <w:sz w:val="20"/>
                <w:szCs w:val="20"/>
                <w:lang w:val="hy-AM"/>
              </w:rPr>
              <w:t>հուշարձանների</w:t>
            </w:r>
            <w:r w:rsidRPr="0053423A">
              <w:rPr>
                <w:rFonts w:eastAsia="Times New Roman" w:cs="Times New Roman"/>
                <w:sz w:val="20"/>
                <w:szCs w:val="20"/>
                <w:lang w:val="af-ZA"/>
              </w:rPr>
              <w:t xml:space="preserve"> </w:t>
            </w:r>
            <w:r w:rsidRPr="0053423A">
              <w:rPr>
                <w:rFonts w:eastAsia="Times New Roman" w:cs="Times New Roman"/>
                <w:sz w:val="20"/>
                <w:szCs w:val="20"/>
                <w:lang w:val="hy-AM"/>
              </w:rPr>
              <w:t>և</w:t>
            </w:r>
            <w:r w:rsidRPr="0053423A">
              <w:rPr>
                <w:rFonts w:eastAsia="Times New Roman" w:cs="Times New Roman"/>
                <w:sz w:val="20"/>
                <w:szCs w:val="20"/>
                <w:lang w:val="af-ZA"/>
              </w:rPr>
              <w:t xml:space="preserve"> </w:t>
            </w:r>
            <w:r w:rsidRPr="0053423A">
              <w:rPr>
                <w:rFonts w:eastAsia="Times New Roman" w:cs="Times New Roman"/>
                <w:sz w:val="20"/>
                <w:szCs w:val="20"/>
                <w:lang w:val="hy-AM"/>
              </w:rPr>
              <w:t>դրանց</w:t>
            </w:r>
            <w:r w:rsidRPr="0053423A">
              <w:rPr>
                <w:rFonts w:eastAsia="Times New Roman" w:cs="Times New Roman"/>
                <w:sz w:val="20"/>
                <w:szCs w:val="20"/>
                <w:lang w:val="af-ZA"/>
              </w:rPr>
              <w:t xml:space="preserve"> </w:t>
            </w:r>
            <w:r w:rsidRPr="0053423A">
              <w:rPr>
                <w:rFonts w:eastAsia="Times New Roman" w:cs="Times New Roman"/>
                <w:sz w:val="20"/>
                <w:szCs w:val="20"/>
                <w:lang w:val="hy-AM"/>
              </w:rPr>
              <w:t>տարածքների</w:t>
            </w:r>
            <w:r w:rsidRPr="0053423A">
              <w:rPr>
                <w:rFonts w:eastAsia="Calibri" w:cs="Times New Roman"/>
                <w:sz w:val="20"/>
                <w:szCs w:val="20"/>
                <w:lang w:val="af-ZA"/>
              </w:rPr>
              <w:t xml:space="preserve"> գույքային իրավունքի վկայական</w:t>
            </w:r>
            <w:r w:rsidRPr="0053423A">
              <w:rPr>
                <w:rFonts w:eastAsia="Calibri" w:cs="Times New Roman"/>
                <w:sz w:val="20"/>
                <w:szCs w:val="20"/>
                <w:lang w:val="af-ZA"/>
              </w:rPr>
              <w:softHyphen/>
              <w:t xml:space="preserve">ները, հուշարձանների կադաստրը ներառել Հայաստանի Հանրապետության պետական կադաստրային համակարգի մեջ: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w:t>
            </w:r>
            <w:r w:rsidRPr="0053423A">
              <w:rPr>
                <w:rFonts w:eastAsia="Calibri" w:cs="Times New Roman"/>
                <w:sz w:val="20"/>
                <w:szCs w:val="20"/>
              </w:rPr>
              <w:t>Մշակույթ» բաժին</w:t>
            </w:r>
            <w:r w:rsidRPr="0053423A">
              <w:rPr>
                <w:rFonts w:eastAsia="Calibri" w:cs="Times New Roman"/>
                <w:sz w:val="20"/>
                <w:szCs w:val="20"/>
                <w:lang w:val="hy-AM"/>
              </w:rPr>
              <w:t xml:space="preserve">: </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p>
          <w:p w:rsidR="00A67B6B" w:rsidRPr="0053423A" w:rsidRDefault="00A67B6B" w:rsidP="001F6D5D">
            <w:pPr>
              <w:numPr>
                <w:ilvl w:val="1"/>
                <w:numId w:val="209"/>
              </w:numPr>
              <w:tabs>
                <w:tab w:val="left" w:pos="508"/>
              </w:tabs>
              <w:spacing w:after="0" w:line="276" w:lineRule="auto"/>
              <w:contextualSpacing/>
              <w:rPr>
                <w:rFonts w:eastAsia="Calibri" w:cs="Times New Roman"/>
                <w:b/>
                <w:sz w:val="20"/>
                <w:szCs w:val="20"/>
                <w:lang w:val="af-ZA"/>
              </w:rPr>
            </w:pPr>
            <w:r w:rsidRPr="0053423A">
              <w:rPr>
                <w:rFonts w:eastAsia="Calibri" w:cs="Sylfaen"/>
                <w:b/>
                <w:sz w:val="20"/>
                <w:szCs w:val="20"/>
                <w:lang w:val="hy-AM"/>
              </w:rPr>
              <w:t>Կարգավորման</w:t>
            </w:r>
            <w:r w:rsidRPr="0053423A">
              <w:rPr>
                <w:rFonts w:eastAsia="Calibri" w:cs="Sylfaen"/>
                <w:b/>
                <w:sz w:val="20"/>
                <w:szCs w:val="20"/>
                <w:lang w:val="af-ZA"/>
              </w:rPr>
              <w:t xml:space="preserve"> </w:t>
            </w:r>
            <w:r w:rsidRPr="0053423A">
              <w:rPr>
                <w:rFonts w:eastAsia="Calibri" w:cs="Times New Roman"/>
                <w:b/>
                <w:sz w:val="20"/>
                <w:szCs w:val="20"/>
                <w:lang w:val="hy-AM"/>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lang w:val="hy-AM"/>
              </w:rPr>
              <w:t>ներկա</w:t>
            </w:r>
            <w:r w:rsidRPr="0053423A">
              <w:rPr>
                <w:rFonts w:eastAsia="Calibri" w:cs="Times New Roman"/>
                <w:b/>
                <w:sz w:val="20"/>
                <w:szCs w:val="20"/>
                <w:lang w:val="af-ZA"/>
              </w:rPr>
              <w:t xml:space="preserve"> </w:t>
            </w:r>
            <w:r w:rsidRPr="0053423A">
              <w:rPr>
                <w:rFonts w:eastAsia="Calibri" w:cs="Times New Roman"/>
                <w:b/>
                <w:sz w:val="20"/>
                <w:szCs w:val="20"/>
                <w:lang w:val="hy-AM"/>
              </w:rPr>
              <w:t>վիճակը</w:t>
            </w:r>
            <w:r w:rsidRPr="0053423A">
              <w:rPr>
                <w:rFonts w:eastAsia="Calibri" w:cs="Times New Roman"/>
                <w:b/>
                <w:sz w:val="20"/>
                <w:szCs w:val="20"/>
                <w:lang w:val="af-ZA"/>
              </w:rPr>
              <w:t xml:space="preserve"> </w:t>
            </w:r>
            <w:r w:rsidRPr="0053423A">
              <w:rPr>
                <w:rFonts w:eastAsia="Calibri" w:cs="Times New Roman"/>
                <w:b/>
                <w:sz w:val="20"/>
                <w:szCs w:val="20"/>
                <w:lang w:val="hy-AM"/>
              </w:rPr>
              <w:t>և</w:t>
            </w:r>
            <w:r w:rsidRPr="0053423A">
              <w:rPr>
                <w:rFonts w:eastAsia="Calibri" w:cs="Times New Roman"/>
                <w:b/>
                <w:sz w:val="20"/>
                <w:szCs w:val="20"/>
                <w:lang w:val="af-ZA"/>
              </w:rPr>
              <w:t xml:space="preserve"> </w:t>
            </w:r>
            <w:r w:rsidRPr="0053423A">
              <w:rPr>
                <w:rFonts w:eastAsia="Calibri" w:cs="Times New Roman"/>
                <w:b/>
                <w:sz w:val="20"/>
                <w:szCs w:val="20"/>
                <w:lang w:val="hy-AM"/>
              </w:rPr>
              <w:t>առկա</w:t>
            </w:r>
            <w:r w:rsidRPr="0053423A">
              <w:rPr>
                <w:rFonts w:eastAsia="Calibri" w:cs="Times New Roman"/>
                <w:b/>
                <w:sz w:val="20"/>
                <w:szCs w:val="20"/>
                <w:lang w:val="af-ZA"/>
              </w:rPr>
              <w:t xml:space="preserve"> </w:t>
            </w:r>
            <w:r w:rsidRPr="0053423A">
              <w:rPr>
                <w:rFonts w:eastAsia="Calibri" w:cs="Times New Roman"/>
                <w:b/>
                <w:sz w:val="20"/>
                <w:szCs w:val="20"/>
                <w:lang w:val="hy-AM"/>
              </w:rPr>
              <w:t>խնդիրները</w:t>
            </w: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r w:rsidRPr="0053423A">
              <w:rPr>
                <w:rFonts w:eastAsia="Calibri" w:cs="Times New Roman"/>
                <w:sz w:val="20"/>
                <w:szCs w:val="20"/>
                <w:lang w:val="af-ZA"/>
              </w:rPr>
              <w:t>ՀՀ պատմության և մշակույթի անշարժ հուշարձանների և դրանց տարածքների վերաբերյալ ներկայում բացակայում է ճշգրիտ տեղեկատվությունը, անհրաժեշտության դեպքում հնարավոր չէ հստակեցնել դրանց նկատմամբ գույքային իրավունքի գրանցումների առկայությունը և սեփականության սուբյեկտին, սեփականության ձևի փոփոխությունների վերաբերյալ տեղեկատվությունը: Հուշարձանների կադաստրի ստեղծման հետաձգումը հնարավորություն չի տալիս կատարել դրանց ու զբաղեցրած տարածքների տարածքների գույքային իրավունքի վկայականների ձեռք բերումը, ինչը վտանգում է նորահայտ հուշարձանների և պետական ցուցակներում ընդգրկված, սակայն կադաստրային քարեզագրական նյութերից զանազան պատճառներով դուրս թողնված հուշարձանների պահպանությունը: Միաժամանակ, հուշարձանների պահպանական գոտիների տարածքներում գտնվող և անձանց սեփականություն համարվող հողերի նպատակային նշանակության վերաբերյալ տեղեկատվության գրեթե բացակայությունը խիստ դժվարեցնում է հողերը օգտագործողների հետ հուշարձանների պահպանական միջոցառումների իրականացումը և դրանցում հնարավոր հնագիտական շերտերի պահպանությունը:</w:t>
            </w: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p>
          <w:p w:rsidR="00A67B6B" w:rsidRPr="0053423A" w:rsidRDefault="00A67B6B" w:rsidP="001F6D5D">
            <w:pPr>
              <w:numPr>
                <w:ilvl w:val="1"/>
                <w:numId w:val="209"/>
              </w:numPr>
              <w:tabs>
                <w:tab w:val="left" w:pos="508"/>
              </w:tabs>
              <w:spacing w:after="0" w:line="276" w:lineRule="auto"/>
              <w:ind w:hanging="707"/>
              <w:contextualSpacing/>
              <w:rPr>
                <w:rFonts w:eastAsia="Calibri" w:cs="Times New Roman"/>
                <w:b/>
                <w:sz w:val="20"/>
                <w:szCs w:val="20"/>
              </w:rPr>
            </w:pPr>
            <w:r w:rsidRPr="0053423A">
              <w:rPr>
                <w:rFonts w:eastAsia="Calibri" w:cs="Times New Roman"/>
                <w:b/>
                <w:sz w:val="20"/>
                <w:szCs w:val="20"/>
              </w:rPr>
              <w:t>Առկա խնդիրների առաջարկվող լուծումները</w:t>
            </w: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r w:rsidRPr="0053423A">
              <w:rPr>
                <w:rFonts w:eastAsia="Calibri" w:cs="Times New Roman"/>
                <w:sz w:val="20"/>
                <w:szCs w:val="20"/>
              </w:rPr>
              <w:t>Պատմության և մշակույթի անշարժ</w:t>
            </w:r>
            <w:r w:rsidRPr="0053423A">
              <w:rPr>
                <w:rFonts w:eastAsia="Calibri" w:cs="Times New Roman"/>
                <w:b/>
                <w:sz w:val="20"/>
                <w:szCs w:val="20"/>
              </w:rPr>
              <w:t xml:space="preserve"> հ</w:t>
            </w:r>
            <w:r w:rsidRPr="0053423A">
              <w:rPr>
                <w:rFonts w:eastAsia="Calibri" w:cs="Times New Roman"/>
                <w:sz w:val="20"/>
                <w:szCs w:val="20"/>
              </w:rPr>
              <w:t>ուշարձանների, դրանց զբաղեցրած և պահպանական գոտիների տարածքներում իրականացնել գույքային պատկանելության հաշվառման աշխատանքներ՝ հստակեց</w:t>
            </w:r>
            <w:r w:rsidRPr="0053423A">
              <w:rPr>
                <w:rFonts w:eastAsia="Calibri" w:cs="Times New Roman"/>
                <w:sz w:val="20"/>
                <w:szCs w:val="20"/>
              </w:rPr>
              <w:softHyphen/>
              <w:t xml:space="preserve">նելով դրանց նկատմամբ կադաստրային գրանցումների առկայությունը և օգտագործման բնույթը՝ հուշարձանների և դրանց տարածքների օգտագործման պայմանակարգերը ճշտելու, դրանց և տարածքներում առկա հնագիտական շերտերը անխաթար պահպանելու և պատմագեղարվեստական արժանիքների կորուստը կանխելու նպատակով:       Հուշարձանների կադաստրի ստեղծում, դրանց և տարածքների սահմանների հստակեցում, գույքային իրավունքի գրանցում և վկայականների ձեռքբերում՝  հուշարձանների կադաստրի ներառում </w:t>
            </w:r>
            <w:r w:rsidRPr="0053423A">
              <w:rPr>
                <w:rFonts w:eastAsia="Calibri" w:cs="Times New Roman"/>
                <w:sz w:val="20"/>
                <w:szCs w:val="20"/>
                <w:lang w:val="af-ZA"/>
              </w:rPr>
              <w:t>Հայաստանի Հանրապետության պետական կադաստրային համակարգի մեջ՝ դրանց տարածքներից հողերի օտարումը կամ օգտագործման հանձնումը կանխելու, դրանց նկատմամբ գույքային այլ բնույթի գրանցումները կանխելու, անխաթար պահպանությունն ապահովելու նպատակով:</w:t>
            </w: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p>
          <w:p w:rsidR="00A67B6B" w:rsidRPr="0053423A" w:rsidRDefault="00A67B6B" w:rsidP="001F6D5D">
            <w:pPr>
              <w:numPr>
                <w:ilvl w:val="0"/>
                <w:numId w:val="209"/>
              </w:numPr>
              <w:tabs>
                <w:tab w:val="left" w:pos="296"/>
                <w:tab w:val="left" w:pos="508"/>
              </w:tabs>
              <w:spacing w:after="0" w:line="276" w:lineRule="auto"/>
              <w:ind w:hanging="611"/>
              <w:contextualSpacing/>
              <w:jc w:val="both"/>
              <w:rPr>
                <w:rFonts w:eastAsia="Calibri" w:cs="Times New Roman"/>
                <w:b/>
                <w:sz w:val="20"/>
                <w:szCs w:val="20"/>
                <w:lang w:val="af-ZA"/>
              </w:rPr>
            </w:pPr>
            <w:r w:rsidRPr="0053423A">
              <w:rPr>
                <w:rFonts w:eastAsia="Calibri" w:cs="Times New Roman"/>
                <w:b/>
                <w:sz w:val="20"/>
                <w:szCs w:val="20"/>
              </w:rPr>
              <w:t>Միջոցառման</w:t>
            </w:r>
            <w:r w:rsidRPr="0053423A">
              <w:rPr>
                <w:rFonts w:eastAsia="Calibri" w:cs="Times New Roman"/>
                <w:b/>
                <w:sz w:val="20"/>
                <w:szCs w:val="20"/>
                <w:lang w:val="af-ZA"/>
              </w:rPr>
              <w:t xml:space="preserve"> </w:t>
            </w:r>
            <w:r w:rsidRPr="0053423A">
              <w:rPr>
                <w:rFonts w:eastAsia="Calibri" w:cs="Times New Roman"/>
                <w:b/>
                <w:sz w:val="20"/>
                <w:szCs w:val="20"/>
              </w:rPr>
              <w:t>իրակա</w:t>
            </w:r>
            <w:r w:rsidRPr="0053423A">
              <w:rPr>
                <w:rFonts w:eastAsia="Calibri" w:cs="Times New Roman"/>
                <w:b/>
                <w:sz w:val="20"/>
                <w:szCs w:val="20"/>
                <w:lang w:val="hy-AM"/>
              </w:rPr>
              <w:t>նա</w:t>
            </w:r>
            <w:r w:rsidRPr="0053423A">
              <w:rPr>
                <w:rFonts w:eastAsia="Calibri" w:cs="Times New Roman"/>
                <w:b/>
                <w:sz w:val="20"/>
                <w:szCs w:val="20"/>
              </w:rPr>
              <w:t>ցումից</w:t>
            </w:r>
            <w:r w:rsidRPr="0053423A">
              <w:rPr>
                <w:rFonts w:eastAsia="Calibri" w:cs="Times New Roman"/>
                <w:b/>
                <w:sz w:val="20"/>
                <w:szCs w:val="20"/>
                <w:lang w:val="af-ZA"/>
              </w:rPr>
              <w:t xml:space="preserve"> </w:t>
            </w:r>
            <w:r w:rsidRPr="0053423A">
              <w:rPr>
                <w:rFonts w:eastAsia="Calibri" w:cs="Times New Roman"/>
                <w:b/>
                <w:sz w:val="20"/>
                <w:szCs w:val="20"/>
              </w:rPr>
              <w:t>ակնկալվող</w:t>
            </w:r>
            <w:r w:rsidRPr="0053423A">
              <w:rPr>
                <w:rFonts w:eastAsia="Calibri" w:cs="Times New Roman"/>
                <w:b/>
                <w:sz w:val="20"/>
                <w:szCs w:val="20"/>
                <w:lang w:val="af-ZA"/>
              </w:rPr>
              <w:t xml:space="preserve"> </w:t>
            </w:r>
            <w:r w:rsidRPr="0053423A">
              <w:rPr>
                <w:rFonts w:eastAsia="Calibri" w:cs="Times New Roman"/>
                <w:b/>
                <w:sz w:val="20"/>
                <w:szCs w:val="20"/>
              </w:rPr>
              <w:t>արդյունքը</w:t>
            </w:r>
            <w:r w:rsidRPr="0053423A">
              <w:rPr>
                <w:rFonts w:eastAsia="Calibri" w:cs="Times New Roman"/>
                <w:b/>
                <w:sz w:val="20"/>
                <w:szCs w:val="20"/>
                <w:lang w:val="af-ZA"/>
              </w:rPr>
              <w:t xml:space="preserve">   </w:t>
            </w: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r w:rsidRPr="0053423A">
              <w:rPr>
                <w:rFonts w:eastAsia="Calibri" w:cs="Times New Roman"/>
                <w:sz w:val="20"/>
                <w:szCs w:val="20"/>
                <w:lang w:val="af-ZA"/>
              </w:rPr>
              <w:t>Գործընթացների իրականացման դեպքում կճշտվեն հուշարձանների և զբաղեցրած տարածքների, դրանց պահպանական գոտիների տարածքների գույքային պատկա</w:t>
            </w:r>
            <w:r w:rsidRPr="0053423A">
              <w:rPr>
                <w:rFonts w:eastAsia="Calibri" w:cs="Times New Roman"/>
                <w:sz w:val="20"/>
                <w:szCs w:val="20"/>
                <w:lang w:val="af-ZA"/>
              </w:rPr>
              <w:softHyphen/>
              <w:t>նելիության հարցերը, ձեռք կբերվեն գույքային իրավունքի վկայականներ, հուշարձանների և զբաղեցրած, ինչպես նաև պահպանական գոտիների տարածքները կնկներառվեն կադաստրային քարտեզներում և կարտահայտվեն քաղաքաշինական շրագրային փաստաթղթերում՝ դրանց առնչվող բոլոր գործընթացները լիազորված մարմնի հսկողության տակ վերցնելու և հուշարձանների ու պատմական միջավայրի անխաթար պահպանությունն ապահովելու համար:</w:t>
            </w: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p>
          <w:p w:rsidR="00A67B6B" w:rsidRPr="0053423A" w:rsidRDefault="00A67B6B" w:rsidP="00A67858">
            <w:pPr>
              <w:spacing w:after="0" w:line="276" w:lineRule="auto"/>
              <w:jc w:val="center"/>
              <w:rPr>
                <w:rFonts w:eastAsia="Calibri" w:cs="Times New Roman"/>
                <w:b/>
                <w:sz w:val="20"/>
                <w:szCs w:val="20"/>
                <w:lang w:val="hy-AM"/>
              </w:rPr>
            </w:pPr>
            <w:r w:rsidRPr="0053423A">
              <w:rPr>
                <w:rFonts w:eastAsia="Times New Roman" w:cs="Times New Roman"/>
                <w:b/>
                <w:sz w:val="20"/>
                <w:szCs w:val="20"/>
                <w:lang w:val="af-ZA"/>
              </w:rPr>
              <w:t xml:space="preserve">3.2 </w:t>
            </w:r>
            <w:r w:rsidRPr="0053423A">
              <w:rPr>
                <w:rFonts w:eastAsia="Times New Roman" w:cs="Times New Roman"/>
                <w:b/>
                <w:sz w:val="20"/>
                <w:szCs w:val="20"/>
              </w:rPr>
              <w:t>Մասնավոր</w:t>
            </w:r>
            <w:r w:rsidRPr="0053423A">
              <w:rPr>
                <w:rFonts w:eastAsia="Times New Roman" w:cs="Times New Roman"/>
                <w:b/>
                <w:sz w:val="20"/>
                <w:szCs w:val="20"/>
                <w:lang w:val="af-ZA"/>
              </w:rPr>
              <w:t xml:space="preserve"> </w:t>
            </w:r>
            <w:r w:rsidRPr="0053423A">
              <w:rPr>
                <w:rFonts w:eastAsia="Times New Roman" w:cs="Times New Roman"/>
                <w:b/>
                <w:sz w:val="20"/>
                <w:szCs w:val="20"/>
              </w:rPr>
              <w:t>ներդրողների</w:t>
            </w:r>
            <w:r w:rsidRPr="0053423A">
              <w:rPr>
                <w:rFonts w:eastAsia="Times New Roman" w:cs="Times New Roman"/>
                <w:b/>
                <w:sz w:val="20"/>
                <w:szCs w:val="20"/>
                <w:lang w:val="af-ZA"/>
              </w:rPr>
              <w:t xml:space="preserve"> </w:t>
            </w:r>
            <w:r w:rsidRPr="0053423A">
              <w:rPr>
                <w:rFonts w:eastAsia="Times New Roman" w:cs="Times New Roman"/>
                <w:b/>
                <w:sz w:val="20"/>
                <w:szCs w:val="20"/>
              </w:rPr>
              <w:t>կողմից</w:t>
            </w:r>
            <w:r w:rsidRPr="0053423A">
              <w:rPr>
                <w:rFonts w:eastAsia="Times New Roman" w:cs="Times New Roman"/>
                <w:b/>
                <w:sz w:val="20"/>
                <w:szCs w:val="20"/>
                <w:lang w:val="af-ZA"/>
              </w:rPr>
              <w:t xml:space="preserve"> </w:t>
            </w:r>
            <w:r w:rsidRPr="0053423A">
              <w:rPr>
                <w:rFonts w:eastAsia="Times New Roman" w:cs="Times New Roman"/>
                <w:b/>
                <w:sz w:val="20"/>
                <w:szCs w:val="20"/>
              </w:rPr>
              <w:t>հուշարձանների</w:t>
            </w:r>
            <w:r w:rsidRPr="0053423A">
              <w:rPr>
                <w:rFonts w:eastAsia="Times New Roman" w:cs="Times New Roman"/>
                <w:b/>
                <w:sz w:val="20"/>
                <w:szCs w:val="20"/>
                <w:lang w:val="af-ZA"/>
              </w:rPr>
              <w:t xml:space="preserve"> </w:t>
            </w:r>
            <w:r w:rsidRPr="0053423A">
              <w:rPr>
                <w:rFonts w:eastAsia="Times New Roman" w:cs="Times New Roman"/>
                <w:b/>
                <w:sz w:val="20"/>
                <w:szCs w:val="20"/>
              </w:rPr>
              <w:t>վերականգնողական</w:t>
            </w:r>
            <w:r w:rsidRPr="0053423A">
              <w:rPr>
                <w:rFonts w:eastAsia="Times New Roman" w:cs="Times New Roman"/>
                <w:b/>
                <w:sz w:val="20"/>
                <w:szCs w:val="20"/>
                <w:lang w:val="af-ZA"/>
              </w:rPr>
              <w:t xml:space="preserve"> </w:t>
            </w:r>
            <w:r w:rsidRPr="0053423A">
              <w:rPr>
                <w:rFonts w:eastAsia="Times New Roman" w:cs="Times New Roman"/>
                <w:b/>
                <w:sz w:val="20"/>
                <w:szCs w:val="20"/>
              </w:rPr>
              <w:t>աշխատանքների</w:t>
            </w:r>
            <w:r w:rsidRPr="0053423A">
              <w:rPr>
                <w:rFonts w:eastAsia="Times New Roman" w:cs="Times New Roman"/>
                <w:b/>
                <w:sz w:val="20"/>
                <w:szCs w:val="20"/>
                <w:lang w:val="af-ZA"/>
              </w:rPr>
              <w:t xml:space="preserve"> </w:t>
            </w:r>
            <w:r w:rsidRPr="0053423A">
              <w:rPr>
                <w:rFonts w:eastAsia="Times New Roman" w:cs="Times New Roman"/>
                <w:b/>
                <w:sz w:val="20"/>
                <w:szCs w:val="20"/>
              </w:rPr>
              <w:t>նախաձեռնության</w:t>
            </w:r>
            <w:r w:rsidRPr="0053423A">
              <w:rPr>
                <w:rFonts w:eastAsia="Times New Roman" w:cs="Times New Roman"/>
                <w:b/>
                <w:sz w:val="20"/>
                <w:szCs w:val="20"/>
                <w:lang w:val="af-ZA"/>
              </w:rPr>
              <w:t xml:space="preserve"> </w:t>
            </w:r>
            <w:r w:rsidRPr="0053423A">
              <w:rPr>
                <w:rFonts w:eastAsia="Times New Roman" w:cs="Times New Roman"/>
                <w:b/>
                <w:sz w:val="20"/>
                <w:szCs w:val="20"/>
              </w:rPr>
              <w:t>դեպքում</w:t>
            </w:r>
            <w:r w:rsidRPr="0053423A">
              <w:rPr>
                <w:rFonts w:eastAsia="Times New Roman" w:cs="Times New Roman"/>
                <w:b/>
                <w:sz w:val="20"/>
                <w:szCs w:val="20"/>
                <w:lang w:val="hy-AM"/>
              </w:rPr>
              <w:t>՝</w:t>
            </w:r>
            <w:r w:rsidRPr="0053423A">
              <w:rPr>
                <w:rFonts w:eastAsia="Times New Roman" w:cs="Times New Roman"/>
                <w:b/>
                <w:sz w:val="20"/>
                <w:szCs w:val="20"/>
                <w:lang w:val="af-ZA"/>
              </w:rPr>
              <w:t xml:space="preserve"> </w:t>
            </w:r>
            <w:r w:rsidRPr="0053423A">
              <w:rPr>
                <w:rFonts w:eastAsia="Times New Roman" w:cs="Times New Roman"/>
                <w:b/>
                <w:sz w:val="20"/>
                <w:szCs w:val="20"/>
                <w:lang w:val="hy-AM"/>
              </w:rPr>
              <w:t>պետության կողմից դրանց</w:t>
            </w:r>
            <w:r w:rsidRPr="0053423A">
              <w:rPr>
                <w:rFonts w:eastAsia="Times New Roman" w:cs="Times New Roman"/>
                <w:b/>
                <w:sz w:val="20"/>
                <w:szCs w:val="20"/>
                <w:lang w:val="af-ZA"/>
              </w:rPr>
              <w:t xml:space="preserve"> </w:t>
            </w:r>
            <w:r w:rsidRPr="0053423A">
              <w:rPr>
                <w:rFonts w:eastAsia="Times New Roman" w:cs="Times New Roman"/>
                <w:b/>
                <w:sz w:val="20"/>
                <w:szCs w:val="20"/>
              </w:rPr>
              <w:t>նախագծերի</w:t>
            </w:r>
            <w:r w:rsidRPr="0053423A">
              <w:rPr>
                <w:rFonts w:eastAsia="Times New Roman" w:cs="Times New Roman"/>
                <w:b/>
                <w:sz w:val="20"/>
                <w:szCs w:val="20"/>
                <w:lang w:val="af-ZA"/>
              </w:rPr>
              <w:t xml:space="preserve"> </w:t>
            </w:r>
            <w:r w:rsidRPr="0053423A">
              <w:rPr>
                <w:rFonts w:eastAsia="Times New Roman" w:cs="Times New Roman"/>
                <w:b/>
                <w:sz w:val="20"/>
                <w:szCs w:val="20"/>
                <w:lang w:val="hy-AM"/>
              </w:rPr>
              <w:t>կազմում և տրամադրում</w:t>
            </w:r>
          </w:p>
          <w:p w:rsidR="00A67B6B" w:rsidRPr="0053423A" w:rsidRDefault="00A67B6B" w:rsidP="00A67858">
            <w:pPr>
              <w:spacing w:after="0" w:line="276" w:lineRule="auto"/>
              <w:rPr>
                <w:rFonts w:eastAsia="Calibri" w:cs="Times New Roman"/>
                <w:sz w:val="20"/>
                <w:szCs w:val="20"/>
                <w:lang w:val="af-ZA"/>
              </w:rPr>
            </w:pPr>
          </w:p>
          <w:p w:rsidR="00A67B6B" w:rsidRPr="0053423A" w:rsidRDefault="00A67B6B" w:rsidP="001F6D5D">
            <w:pPr>
              <w:numPr>
                <w:ilvl w:val="0"/>
                <w:numId w:val="237"/>
              </w:numPr>
              <w:tabs>
                <w:tab w:val="left" w:pos="508"/>
              </w:tabs>
              <w:spacing w:after="0" w:line="276" w:lineRule="auto"/>
              <w:ind w:hanging="707"/>
              <w:contextualSpacing/>
              <w:rPr>
                <w:rFonts w:eastAsia="Calibri" w:cs="Times New Roman"/>
                <w:b/>
                <w:sz w:val="20"/>
                <w:szCs w:val="20"/>
              </w:rPr>
            </w:pPr>
            <w:r w:rsidRPr="0053423A">
              <w:rPr>
                <w:rFonts w:eastAsia="Calibri" w:cs="Sylfaen"/>
                <w:b/>
                <w:sz w:val="20"/>
                <w:szCs w:val="20"/>
                <w:lang w:val="hy-AM"/>
              </w:rPr>
              <w:t>Միջոցառման</w:t>
            </w:r>
            <w:r w:rsidRPr="0053423A">
              <w:rPr>
                <w:rFonts w:eastAsia="Calibri" w:cs="Times New Roman"/>
                <w:b/>
                <w:sz w:val="20"/>
                <w:szCs w:val="20"/>
                <w:lang w:val="hy-AM"/>
              </w:rPr>
              <w:t xml:space="preserve"> իրականացման անհրաժեշտությունը և նպատակը</w:t>
            </w:r>
          </w:p>
          <w:p w:rsidR="00A67B6B" w:rsidRPr="0053423A" w:rsidRDefault="00A67B6B" w:rsidP="00A67858">
            <w:pPr>
              <w:shd w:val="clear" w:color="auto" w:fill="FFFFFF"/>
              <w:spacing w:after="0" w:line="276" w:lineRule="auto"/>
              <w:ind w:firstLine="708"/>
              <w:jc w:val="both"/>
              <w:rPr>
                <w:rFonts w:eastAsia="Times New Roman" w:cs="Times New Roman"/>
                <w:sz w:val="20"/>
                <w:szCs w:val="20"/>
                <w:lang w:val="hy-AM"/>
              </w:rPr>
            </w:pPr>
            <w:r w:rsidRPr="0053423A">
              <w:rPr>
                <w:rFonts w:eastAsia="Times New Roman" w:cs="Times New Roman"/>
                <w:sz w:val="20"/>
                <w:szCs w:val="20"/>
                <w:lang w:val="hy-AM"/>
              </w:rPr>
              <w:t xml:space="preserve">Ներկայում պետական բյուջեի սահմանափակ քանակի պայմաններում տարեկան հատկացվող գումարը չի բավարարում ՀՀ տարածքում առկա 24 հազարից շատ հուշարձանների վերականգնմանն ուղղել: Այդ պայմաններում տարիներ շարունակ առաջնահերթության կարգով նախապատվությունը տրվում է առավել վտանգված և վաղ միջնադարյան հուշարձանների վերականգնմանը: Սակայն անգամ տարեկան մի քանի հուշարձանների վերականգնումը ամբողջությամբ չի կարողանում իրականացվել՝ ելնելով սուղ ֆինանսական միջոցներից: Ուստի պետություն-մասնավոր համագործակցությունը կնպաստի վերականգնման ենթակա հուշարձանների թվաքանակի ավելացմանը և կնվազեցնի պետական հոգածության բեռը: Հիմքՙ Հայաստանի Հանրապետության կառավարության 2019 թվականի փետրվարի 8-ի «Հայասատանի Հանրապետության կառավարության ծրագրի մասին» N 65-Ա որոշման «4.5. Մշակույթ» բաժին: </w:t>
            </w:r>
          </w:p>
          <w:p w:rsidR="00A67B6B" w:rsidRPr="0053423A" w:rsidRDefault="00A67B6B" w:rsidP="00A67858">
            <w:pPr>
              <w:shd w:val="clear" w:color="auto" w:fill="FFFFFF"/>
              <w:spacing w:after="0" w:line="276" w:lineRule="auto"/>
              <w:jc w:val="both"/>
              <w:rPr>
                <w:rFonts w:eastAsia="Times New Roman" w:cs="Times New Roman"/>
                <w:sz w:val="20"/>
                <w:szCs w:val="20"/>
                <w:lang w:val="hy-AM"/>
              </w:rPr>
            </w:pPr>
          </w:p>
          <w:p w:rsidR="00A67B6B" w:rsidRPr="0053423A" w:rsidRDefault="00A67B6B" w:rsidP="00A67858">
            <w:pPr>
              <w:tabs>
                <w:tab w:val="left" w:pos="508"/>
              </w:tabs>
              <w:spacing w:after="0" w:line="276" w:lineRule="auto"/>
              <w:contextualSpacing/>
              <w:rPr>
                <w:rFonts w:eastAsia="Calibri" w:cs="Times New Roman"/>
                <w:b/>
                <w:sz w:val="20"/>
                <w:szCs w:val="20"/>
                <w:lang w:val="af-ZA"/>
              </w:rPr>
            </w:pPr>
            <w:r w:rsidRPr="0053423A">
              <w:rPr>
                <w:rFonts w:eastAsia="Calibri" w:cs="Sylfaen"/>
                <w:b/>
                <w:sz w:val="20"/>
                <w:szCs w:val="20"/>
                <w:lang w:val="hy-AM"/>
              </w:rPr>
              <w:t>1.1 Կարգավորման</w:t>
            </w:r>
            <w:r w:rsidRPr="0053423A">
              <w:rPr>
                <w:rFonts w:eastAsia="Calibri" w:cs="Sylfaen"/>
                <w:b/>
                <w:sz w:val="20"/>
                <w:szCs w:val="20"/>
                <w:lang w:val="af-ZA"/>
              </w:rPr>
              <w:t xml:space="preserve"> </w:t>
            </w:r>
            <w:r w:rsidRPr="0053423A">
              <w:rPr>
                <w:rFonts w:eastAsia="Calibri" w:cs="Times New Roman"/>
                <w:b/>
                <w:sz w:val="20"/>
                <w:szCs w:val="20"/>
                <w:lang w:val="hy-AM"/>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lang w:val="hy-AM"/>
              </w:rPr>
              <w:t>ներկա</w:t>
            </w:r>
            <w:r w:rsidRPr="0053423A">
              <w:rPr>
                <w:rFonts w:eastAsia="Calibri" w:cs="Times New Roman"/>
                <w:b/>
                <w:sz w:val="20"/>
                <w:szCs w:val="20"/>
                <w:lang w:val="af-ZA"/>
              </w:rPr>
              <w:t xml:space="preserve"> </w:t>
            </w:r>
            <w:r w:rsidRPr="0053423A">
              <w:rPr>
                <w:rFonts w:eastAsia="Calibri" w:cs="Times New Roman"/>
                <w:b/>
                <w:sz w:val="20"/>
                <w:szCs w:val="20"/>
                <w:lang w:val="hy-AM"/>
              </w:rPr>
              <w:t>վիճակը</w:t>
            </w:r>
            <w:r w:rsidRPr="0053423A">
              <w:rPr>
                <w:rFonts w:eastAsia="Calibri" w:cs="Times New Roman"/>
                <w:b/>
                <w:sz w:val="20"/>
                <w:szCs w:val="20"/>
                <w:lang w:val="af-ZA"/>
              </w:rPr>
              <w:t xml:space="preserve"> </w:t>
            </w:r>
            <w:r w:rsidRPr="0053423A">
              <w:rPr>
                <w:rFonts w:eastAsia="Calibri" w:cs="Times New Roman"/>
                <w:b/>
                <w:sz w:val="20"/>
                <w:szCs w:val="20"/>
                <w:lang w:val="hy-AM"/>
              </w:rPr>
              <w:t>և</w:t>
            </w:r>
            <w:r w:rsidRPr="0053423A">
              <w:rPr>
                <w:rFonts w:eastAsia="Calibri" w:cs="Times New Roman"/>
                <w:b/>
                <w:sz w:val="20"/>
                <w:szCs w:val="20"/>
                <w:lang w:val="af-ZA"/>
              </w:rPr>
              <w:t xml:space="preserve"> </w:t>
            </w:r>
            <w:r w:rsidRPr="0053423A">
              <w:rPr>
                <w:rFonts w:eastAsia="Calibri" w:cs="Times New Roman"/>
                <w:b/>
                <w:sz w:val="20"/>
                <w:szCs w:val="20"/>
                <w:lang w:val="hy-AM"/>
              </w:rPr>
              <w:t>առկա</w:t>
            </w:r>
            <w:r w:rsidRPr="0053423A">
              <w:rPr>
                <w:rFonts w:eastAsia="Calibri" w:cs="Times New Roman"/>
                <w:b/>
                <w:sz w:val="20"/>
                <w:szCs w:val="20"/>
                <w:lang w:val="af-ZA"/>
              </w:rPr>
              <w:t xml:space="preserve"> </w:t>
            </w:r>
            <w:r w:rsidRPr="0053423A">
              <w:rPr>
                <w:rFonts w:eastAsia="Calibri" w:cs="Times New Roman"/>
                <w:b/>
                <w:sz w:val="20"/>
                <w:szCs w:val="20"/>
                <w:lang w:val="hy-AM"/>
              </w:rPr>
              <w:t>խնդիրները</w:t>
            </w:r>
          </w:p>
          <w:p w:rsidR="00A67B6B" w:rsidRPr="0053423A" w:rsidRDefault="00A67B6B" w:rsidP="00A67858">
            <w:pPr>
              <w:shd w:val="clear" w:color="auto" w:fill="FFFFFF"/>
              <w:spacing w:after="0" w:line="276" w:lineRule="auto"/>
              <w:ind w:firstLine="708"/>
              <w:jc w:val="both"/>
              <w:rPr>
                <w:rFonts w:eastAsia="Times New Roman" w:cs="Times New Roman"/>
                <w:sz w:val="20"/>
                <w:szCs w:val="20"/>
                <w:lang w:val="af-ZA"/>
              </w:rPr>
            </w:pPr>
            <w:r w:rsidRPr="0053423A">
              <w:rPr>
                <w:rFonts w:eastAsia="Times New Roman" w:cs="Times New Roman"/>
                <w:sz w:val="20"/>
                <w:szCs w:val="20"/>
                <w:lang w:val="hy-AM"/>
              </w:rPr>
              <w:t>Ներկայում</w:t>
            </w:r>
            <w:r w:rsidRPr="0053423A">
              <w:rPr>
                <w:rFonts w:eastAsia="Times New Roman" w:cs="Times New Roman"/>
                <w:sz w:val="20"/>
                <w:szCs w:val="20"/>
                <w:lang w:val="af-ZA"/>
              </w:rPr>
              <w:t xml:space="preserve"> </w:t>
            </w:r>
            <w:r w:rsidRPr="0053423A">
              <w:rPr>
                <w:rFonts w:eastAsia="Times New Roman" w:cs="Times New Roman"/>
                <w:sz w:val="20"/>
                <w:szCs w:val="20"/>
                <w:lang w:val="hy-AM"/>
              </w:rPr>
              <w:t>լիազոր</w:t>
            </w:r>
            <w:r w:rsidRPr="0053423A">
              <w:rPr>
                <w:rFonts w:eastAsia="Times New Roman" w:cs="Times New Roman"/>
                <w:sz w:val="20"/>
                <w:szCs w:val="20"/>
                <w:lang w:val="af-ZA"/>
              </w:rPr>
              <w:t xml:space="preserve"> </w:t>
            </w:r>
            <w:r w:rsidRPr="0053423A">
              <w:rPr>
                <w:rFonts w:eastAsia="Times New Roman" w:cs="Times New Roman"/>
                <w:sz w:val="20"/>
                <w:szCs w:val="20"/>
                <w:lang w:val="hy-AM"/>
              </w:rPr>
              <w:t>մարմինը</w:t>
            </w:r>
            <w:r w:rsidRPr="0053423A">
              <w:rPr>
                <w:rFonts w:eastAsia="Times New Roman" w:cs="Times New Roman"/>
                <w:sz w:val="20"/>
                <w:szCs w:val="20"/>
                <w:lang w:val="af-ZA"/>
              </w:rPr>
              <w:t xml:space="preserve">, </w:t>
            </w:r>
            <w:r w:rsidRPr="0053423A">
              <w:rPr>
                <w:rFonts w:eastAsia="Times New Roman" w:cs="Times New Roman"/>
                <w:sz w:val="20"/>
                <w:szCs w:val="20"/>
                <w:lang w:val="hy-AM"/>
              </w:rPr>
              <w:t>բացի</w:t>
            </w:r>
            <w:r w:rsidRPr="0053423A">
              <w:rPr>
                <w:rFonts w:eastAsia="Times New Roman" w:cs="Times New Roman"/>
                <w:sz w:val="20"/>
                <w:szCs w:val="20"/>
                <w:lang w:val="af-ZA"/>
              </w:rPr>
              <w:t xml:space="preserve"> </w:t>
            </w:r>
            <w:r w:rsidRPr="0053423A">
              <w:rPr>
                <w:rFonts w:eastAsia="Times New Roman" w:cs="Times New Roman"/>
                <w:sz w:val="20"/>
                <w:szCs w:val="20"/>
                <w:lang w:val="hy-AM"/>
              </w:rPr>
              <w:t>տարեկան</w:t>
            </w:r>
            <w:r w:rsidRPr="0053423A">
              <w:rPr>
                <w:rFonts w:eastAsia="Times New Roman" w:cs="Times New Roman"/>
                <w:sz w:val="20"/>
                <w:szCs w:val="20"/>
                <w:lang w:val="af-ZA"/>
              </w:rPr>
              <w:t xml:space="preserve"> </w:t>
            </w:r>
            <w:r w:rsidRPr="0053423A">
              <w:rPr>
                <w:rFonts w:eastAsia="Times New Roman" w:cs="Times New Roman"/>
                <w:sz w:val="20"/>
                <w:szCs w:val="20"/>
                <w:lang w:val="hy-AM"/>
              </w:rPr>
              <w:t>պետական</w:t>
            </w:r>
            <w:r w:rsidRPr="0053423A">
              <w:rPr>
                <w:rFonts w:eastAsia="Times New Roman" w:cs="Times New Roman"/>
                <w:sz w:val="20"/>
                <w:szCs w:val="20"/>
                <w:lang w:val="af-ZA"/>
              </w:rPr>
              <w:t xml:space="preserve"> </w:t>
            </w:r>
            <w:r w:rsidRPr="0053423A">
              <w:rPr>
                <w:rFonts w:eastAsia="Times New Roman" w:cs="Times New Roman"/>
                <w:sz w:val="20"/>
                <w:szCs w:val="20"/>
                <w:lang w:val="hy-AM"/>
              </w:rPr>
              <w:t>բյուջեի</w:t>
            </w:r>
            <w:r w:rsidRPr="0053423A">
              <w:rPr>
                <w:rFonts w:eastAsia="Times New Roman" w:cs="Times New Roman"/>
                <w:sz w:val="20"/>
                <w:szCs w:val="20"/>
                <w:lang w:val="af-ZA"/>
              </w:rPr>
              <w:t xml:space="preserve"> </w:t>
            </w:r>
            <w:r w:rsidRPr="0053423A">
              <w:rPr>
                <w:rFonts w:eastAsia="Times New Roman" w:cs="Times New Roman"/>
                <w:sz w:val="20"/>
                <w:szCs w:val="20"/>
                <w:lang w:val="hy-AM"/>
              </w:rPr>
              <w:t>միջոցներով</w:t>
            </w:r>
            <w:r w:rsidRPr="0053423A">
              <w:rPr>
                <w:rFonts w:eastAsia="Times New Roman" w:cs="Times New Roman"/>
                <w:sz w:val="20"/>
                <w:szCs w:val="20"/>
                <w:lang w:val="af-ZA"/>
              </w:rPr>
              <w:t xml:space="preserve"> </w:t>
            </w:r>
            <w:r w:rsidRPr="0053423A">
              <w:rPr>
                <w:rFonts w:eastAsia="Times New Roman" w:cs="Times New Roman"/>
                <w:sz w:val="20"/>
                <w:szCs w:val="20"/>
                <w:lang w:val="hy-AM"/>
              </w:rPr>
              <w:t>նախատեսված</w:t>
            </w:r>
            <w:r w:rsidRPr="0053423A">
              <w:rPr>
                <w:rFonts w:eastAsia="Times New Roman" w:cs="Times New Roman"/>
                <w:sz w:val="20"/>
                <w:szCs w:val="20"/>
                <w:lang w:val="af-ZA"/>
              </w:rPr>
              <w:t xml:space="preserve"> </w:t>
            </w:r>
            <w:r w:rsidRPr="0053423A">
              <w:rPr>
                <w:rFonts w:eastAsia="Times New Roman" w:cs="Times New Roman"/>
                <w:sz w:val="20"/>
                <w:szCs w:val="20"/>
                <w:lang w:val="hy-AM"/>
              </w:rPr>
              <w:t>հատկացումներով</w:t>
            </w:r>
            <w:r w:rsidRPr="0053423A">
              <w:rPr>
                <w:rFonts w:eastAsia="Times New Roman" w:cs="Times New Roman"/>
                <w:sz w:val="20"/>
                <w:szCs w:val="20"/>
                <w:lang w:val="af-ZA"/>
              </w:rPr>
              <w:t xml:space="preserve"> </w:t>
            </w:r>
            <w:r w:rsidRPr="0053423A">
              <w:rPr>
                <w:rFonts w:eastAsia="Times New Roman" w:cs="Times New Roman"/>
                <w:sz w:val="20"/>
                <w:szCs w:val="20"/>
                <w:lang w:val="hy-AM"/>
              </w:rPr>
              <w:t>նախատեսված</w:t>
            </w:r>
            <w:r w:rsidRPr="0053423A">
              <w:rPr>
                <w:rFonts w:eastAsia="Times New Roman" w:cs="Times New Roman"/>
                <w:sz w:val="20"/>
                <w:szCs w:val="20"/>
                <w:lang w:val="af-ZA"/>
              </w:rPr>
              <w:t xml:space="preserve"> </w:t>
            </w:r>
            <w:r w:rsidRPr="0053423A">
              <w:rPr>
                <w:rFonts w:eastAsia="Times New Roman" w:cs="Times New Roman"/>
                <w:sz w:val="20"/>
                <w:szCs w:val="20"/>
                <w:lang w:val="hy-AM"/>
              </w:rPr>
              <w:t>հուշարձանների</w:t>
            </w:r>
            <w:r w:rsidRPr="0053423A">
              <w:rPr>
                <w:rFonts w:eastAsia="Times New Roman" w:cs="Times New Roman"/>
                <w:sz w:val="20"/>
                <w:szCs w:val="20"/>
                <w:lang w:val="af-ZA"/>
              </w:rPr>
              <w:t xml:space="preserve"> </w:t>
            </w:r>
            <w:r w:rsidRPr="0053423A">
              <w:rPr>
                <w:rFonts w:eastAsia="Times New Roman" w:cs="Times New Roman"/>
                <w:sz w:val="20"/>
                <w:szCs w:val="20"/>
                <w:lang w:val="hy-AM"/>
              </w:rPr>
              <w:t>ամրակայման</w:t>
            </w:r>
            <w:r w:rsidRPr="0053423A">
              <w:rPr>
                <w:rFonts w:eastAsia="Times New Roman" w:cs="Times New Roman"/>
                <w:sz w:val="20"/>
                <w:szCs w:val="20"/>
                <w:lang w:val="af-ZA"/>
              </w:rPr>
              <w:t xml:space="preserve">, </w:t>
            </w:r>
            <w:r w:rsidRPr="0053423A">
              <w:rPr>
                <w:rFonts w:eastAsia="Times New Roman" w:cs="Times New Roman"/>
                <w:sz w:val="20"/>
                <w:szCs w:val="20"/>
                <w:lang w:val="hy-AM"/>
              </w:rPr>
              <w:t>նորոգման</w:t>
            </w:r>
            <w:r w:rsidRPr="0053423A">
              <w:rPr>
                <w:rFonts w:eastAsia="Times New Roman" w:cs="Times New Roman"/>
                <w:sz w:val="20"/>
                <w:szCs w:val="20"/>
                <w:lang w:val="af-ZA"/>
              </w:rPr>
              <w:t xml:space="preserve"> </w:t>
            </w:r>
            <w:r w:rsidRPr="0053423A">
              <w:rPr>
                <w:rFonts w:eastAsia="Times New Roman" w:cs="Times New Roman"/>
                <w:sz w:val="20"/>
                <w:szCs w:val="20"/>
                <w:lang w:val="hy-AM"/>
              </w:rPr>
              <w:t>ու</w:t>
            </w:r>
            <w:r w:rsidRPr="0053423A">
              <w:rPr>
                <w:rFonts w:eastAsia="Times New Roman" w:cs="Times New Roman"/>
                <w:sz w:val="20"/>
                <w:szCs w:val="20"/>
                <w:lang w:val="af-ZA"/>
              </w:rPr>
              <w:t xml:space="preserve"> </w:t>
            </w:r>
            <w:r w:rsidRPr="0053423A">
              <w:rPr>
                <w:rFonts w:eastAsia="Times New Roman" w:cs="Times New Roman"/>
                <w:sz w:val="20"/>
                <w:szCs w:val="20"/>
                <w:lang w:val="hy-AM"/>
              </w:rPr>
              <w:t>վերականգնման</w:t>
            </w:r>
            <w:r w:rsidRPr="0053423A">
              <w:rPr>
                <w:rFonts w:eastAsia="Times New Roman" w:cs="Times New Roman"/>
                <w:sz w:val="20"/>
                <w:szCs w:val="20"/>
                <w:lang w:val="af-ZA"/>
              </w:rPr>
              <w:t xml:space="preserve"> </w:t>
            </w:r>
            <w:r w:rsidRPr="0053423A">
              <w:rPr>
                <w:rFonts w:eastAsia="Times New Roman" w:cs="Times New Roman"/>
                <w:sz w:val="20"/>
                <w:szCs w:val="20"/>
                <w:lang w:val="hy-AM"/>
              </w:rPr>
              <w:t>գործընթացն</w:t>
            </w:r>
            <w:r w:rsidRPr="0053423A">
              <w:rPr>
                <w:rFonts w:eastAsia="Times New Roman" w:cs="Times New Roman"/>
                <w:sz w:val="20"/>
                <w:szCs w:val="20"/>
                <w:lang w:val="af-ZA"/>
              </w:rPr>
              <w:t xml:space="preserve"> </w:t>
            </w:r>
            <w:r w:rsidRPr="0053423A">
              <w:rPr>
                <w:rFonts w:eastAsia="Times New Roman" w:cs="Times New Roman"/>
                <w:sz w:val="20"/>
                <w:szCs w:val="20"/>
                <w:lang w:val="hy-AM"/>
              </w:rPr>
              <w:t>իրականացնելուց</w:t>
            </w:r>
            <w:r w:rsidRPr="0053423A">
              <w:rPr>
                <w:rFonts w:eastAsia="Times New Roman" w:cs="Times New Roman"/>
                <w:sz w:val="20"/>
                <w:szCs w:val="20"/>
                <w:lang w:val="af-ZA"/>
              </w:rPr>
              <w:t xml:space="preserve">, </w:t>
            </w:r>
            <w:r w:rsidRPr="0053423A">
              <w:rPr>
                <w:rFonts w:eastAsia="Times New Roman" w:cs="Times New Roman"/>
                <w:sz w:val="20"/>
                <w:szCs w:val="20"/>
                <w:lang w:val="hy-AM"/>
              </w:rPr>
              <w:t>խնդիր</w:t>
            </w:r>
            <w:r w:rsidRPr="0053423A">
              <w:rPr>
                <w:rFonts w:eastAsia="Times New Roman" w:cs="Times New Roman"/>
                <w:sz w:val="20"/>
                <w:szCs w:val="20"/>
                <w:lang w:val="af-ZA"/>
              </w:rPr>
              <w:t xml:space="preserve"> </w:t>
            </w:r>
            <w:r w:rsidRPr="0053423A">
              <w:rPr>
                <w:rFonts w:eastAsia="Times New Roman" w:cs="Times New Roman"/>
                <w:sz w:val="20"/>
                <w:szCs w:val="20"/>
                <w:lang w:val="hy-AM"/>
              </w:rPr>
              <w:t>ունի</w:t>
            </w:r>
            <w:r w:rsidRPr="0053423A">
              <w:rPr>
                <w:rFonts w:eastAsia="Times New Roman" w:cs="Times New Roman"/>
                <w:sz w:val="20"/>
                <w:szCs w:val="20"/>
                <w:lang w:val="af-ZA"/>
              </w:rPr>
              <w:t xml:space="preserve"> </w:t>
            </w:r>
            <w:r w:rsidRPr="0053423A">
              <w:rPr>
                <w:rFonts w:eastAsia="Times New Roman" w:cs="Times New Roman"/>
                <w:sz w:val="20"/>
                <w:szCs w:val="20"/>
                <w:lang w:val="hy-AM"/>
              </w:rPr>
              <w:t>առավել</w:t>
            </w:r>
            <w:r w:rsidRPr="0053423A">
              <w:rPr>
                <w:rFonts w:eastAsia="Times New Roman" w:cs="Times New Roman"/>
                <w:sz w:val="20"/>
                <w:szCs w:val="20"/>
                <w:lang w:val="af-ZA"/>
              </w:rPr>
              <w:t xml:space="preserve"> </w:t>
            </w:r>
            <w:r w:rsidRPr="0053423A">
              <w:rPr>
                <w:rFonts w:eastAsia="Times New Roman" w:cs="Times New Roman"/>
                <w:sz w:val="20"/>
                <w:szCs w:val="20"/>
                <w:lang w:val="hy-AM"/>
              </w:rPr>
              <w:t>շատ</w:t>
            </w:r>
            <w:r w:rsidRPr="0053423A">
              <w:rPr>
                <w:rFonts w:eastAsia="Times New Roman" w:cs="Times New Roman"/>
                <w:sz w:val="20"/>
                <w:szCs w:val="20"/>
                <w:lang w:val="af-ZA"/>
              </w:rPr>
              <w:t xml:space="preserve"> </w:t>
            </w:r>
            <w:r w:rsidRPr="0053423A">
              <w:rPr>
                <w:rFonts w:eastAsia="Times New Roman" w:cs="Times New Roman"/>
                <w:sz w:val="20"/>
                <w:szCs w:val="20"/>
                <w:lang w:val="hy-AM"/>
              </w:rPr>
              <w:t>հուշարձաններ</w:t>
            </w:r>
            <w:r w:rsidRPr="0053423A">
              <w:rPr>
                <w:rFonts w:eastAsia="Times New Roman" w:cs="Times New Roman"/>
                <w:sz w:val="20"/>
                <w:szCs w:val="20"/>
                <w:lang w:val="af-ZA"/>
              </w:rPr>
              <w:t xml:space="preserve"> </w:t>
            </w:r>
            <w:r w:rsidRPr="0053423A">
              <w:rPr>
                <w:rFonts w:eastAsia="Times New Roman" w:cs="Times New Roman"/>
                <w:sz w:val="20"/>
                <w:szCs w:val="20"/>
                <w:lang w:val="hy-AM"/>
              </w:rPr>
              <w:t>վերականգնել</w:t>
            </w:r>
            <w:r w:rsidRPr="0053423A">
              <w:rPr>
                <w:rFonts w:eastAsia="Times New Roman" w:cs="Times New Roman"/>
                <w:sz w:val="20"/>
                <w:szCs w:val="20"/>
                <w:lang w:val="af-ZA"/>
              </w:rPr>
              <w:t xml:space="preserve">: </w:t>
            </w:r>
            <w:r w:rsidRPr="0053423A">
              <w:rPr>
                <w:rFonts w:eastAsia="Times New Roman" w:cs="Times New Roman"/>
                <w:sz w:val="20"/>
                <w:szCs w:val="20"/>
                <w:lang w:val="hy-AM"/>
              </w:rPr>
              <w:t>Յուրաքանչյուր</w:t>
            </w:r>
            <w:r w:rsidRPr="0053423A">
              <w:rPr>
                <w:rFonts w:eastAsia="Times New Roman" w:cs="Times New Roman"/>
                <w:sz w:val="20"/>
                <w:szCs w:val="20"/>
                <w:lang w:val="af-ZA"/>
              </w:rPr>
              <w:t xml:space="preserve"> </w:t>
            </w:r>
            <w:r w:rsidRPr="0053423A">
              <w:rPr>
                <w:rFonts w:eastAsia="Times New Roman" w:cs="Times New Roman"/>
                <w:sz w:val="20"/>
                <w:szCs w:val="20"/>
                <w:lang w:val="hy-AM"/>
              </w:rPr>
              <w:t>տարի</w:t>
            </w:r>
            <w:r w:rsidRPr="0053423A">
              <w:rPr>
                <w:rFonts w:eastAsia="Times New Roman" w:cs="Times New Roman"/>
                <w:sz w:val="20"/>
                <w:szCs w:val="20"/>
                <w:lang w:val="af-ZA"/>
              </w:rPr>
              <w:t xml:space="preserve"> </w:t>
            </w:r>
            <w:r w:rsidRPr="0053423A">
              <w:rPr>
                <w:rFonts w:eastAsia="Times New Roman" w:cs="Times New Roman"/>
                <w:sz w:val="20"/>
                <w:szCs w:val="20"/>
                <w:lang w:val="hy-AM"/>
              </w:rPr>
              <w:t>բազմաթիվ</w:t>
            </w:r>
            <w:r w:rsidRPr="0053423A">
              <w:rPr>
                <w:rFonts w:eastAsia="Times New Roman" w:cs="Times New Roman"/>
                <w:sz w:val="20"/>
                <w:szCs w:val="20"/>
                <w:lang w:val="af-ZA"/>
              </w:rPr>
              <w:t xml:space="preserve"> </w:t>
            </w:r>
            <w:r w:rsidRPr="0053423A">
              <w:rPr>
                <w:rFonts w:eastAsia="Times New Roman" w:cs="Times New Roman"/>
                <w:sz w:val="20"/>
                <w:szCs w:val="20"/>
                <w:lang w:val="hy-AM"/>
              </w:rPr>
              <w:t>քաղաքացիներ</w:t>
            </w:r>
            <w:r w:rsidRPr="0053423A">
              <w:rPr>
                <w:rFonts w:eastAsia="Times New Roman" w:cs="Times New Roman"/>
                <w:sz w:val="20"/>
                <w:szCs w:val="20"/>
                <w:lang w:val="af-ZA"/>
              </w:rPr>
              <w:t xml:space="preserve">, </w:t>
            </w:r>
            <w:r w:rsidRPr="0053423A">
              <w:rPr>
                <w:rFonts w:eastAsia="Times New Roman" w:cs="Times New Roman"/>
                <w:sz w:val="20"/>
                <w:szCs w:val="20"/>
                <w:lang w:val="hy-AM"/>
              </w:rPr>
              <w:t>համայնքներ</w:t>
            </w:r>
            <w:r w:rsidRPr="0053423A">
              <w:rPr>
                <w:rFonts w:eastAsia="Times New Roman" w:cs="Times New Roman"/>
                <w:sz w:val="20"/>
                <w:szCs w:val="20"/>
                <w:lang w:val="af-ZA"/>
              </w:rPr>
              <w:t xml:space="preserve">, </w:t>
            </w:r>
            <w:r w:rsidRPr="0053423A">
              <w:rPr>
                <w:rFonts w:eastAsia="Times New Roman" w:cs="Times New Roman"/>
                <w:sz w:val="20"/>
                <w:szCs w:val="20"/>
                <w:lang w:val="hy-AM"/>
              </w:rPr>
              <w:t>մարզպետարաններ</w:t>
            </w:r>
            <w:r w:rsidRPr="0053423A">
              <w:rPr>
                <w:rFonts w:eastAsia="Times New Roman" w:cs="Times New Roman"/>
                <w:sz w:val="20"/>
                <w:szCs w:val="20"/>
                <w:lang w:val="af-ZA"/>
              </w:rPr>
              <w:t xml:space="preserve"> </w:t>
            </w:r>
            <w:r w:rsidRPr="0053423A">
              <w:rPr>
                <w:rFonts w:eastAsia="Times New Roman" w:cs="Times New Roman"/>
                <w:sz w:val="20"/>
                <w:szCs w:val="20"/>
                <w:lang w:val="hy-AM"/>
              </w:rPr>
              <w:t>դիմում</w:t>
            </w:r>
            <w:r w:rsidRPr="0053423A">
              <w:rPr>
                <w:rFonts w:eastAsia="Times New Roman" w:cs="Times New Roman"/>
                <w:sz w:val="20"/>
                <w:szCs w:val="20"/>
                <w:lang w:val="af-ZA"/>
              </w:rPr>
              <w:t xml:space="preserve"> </w:t>
            </w:r>
            <w:r w:rsidRPr="0053423A">
              <w:rPr>
                <w:rFonts w:eastAsia="Times New Roman" w:cs="Times New Roman"/>
                <w:sz w:val="20"/>
                <w:szCs w:val="20"/>
                <w:lang w:val="hy-AM"/>
              </w:rPr>
              <w:t>են</w:t>
            </w:r>
            <w:r w:rsidRPr="0053423A">
              <w:rPr>
                <w:rFonts w:eastAsia="Times New Roman" w:cs="Times New Roman"/>
                <w:sz w:val="20"/>
                <w:szCs w:val="20"/>
                <w:lang w:val="af-ZA"/>
              </w:rPr>
              <w:t xml:space="preserve"> </w:t>
            </w:r>
            <w:r w:rsidRPr="0053423A">
              <w:rPr>
                <w:rFonts w:eastAsia="Times New Roman" w:cs="Times New Roman"/>
                <w:sz w:val="20"/>
                <w:szCs w:val="20"/>
                <w:lang w:val="hy-AM"/>
              </w:rPr>
              <w:t>ՀՀ</w:t>
            </w:r>
            <w:r w:rsidRPr="0053423A">
              <w:rPr>
                <w:rFonts w:eastAsia="Times New Roman" w:cs="Times New Roman"/>
                <w:sz w:val="20"/>
                <w:szCs w:val="20"/>
                <w:lang w:val="af-ZA"/>
              </w:rPr>
              <w:t xml:space="preserve"> </w:t>
            </w:r>
            <w:r w:rsidRPr="0053423A">
              <w:rPr>
                <w:rFonts w:eastAsia="Times New Roman" w:cs="Times New Roman"/>
                <w:sz w:val="20"/>
                <w:szCs w:val="20"/>
                <w:lang w:val="hy-AM"/>
              </w:rPr>
              <w:t>մշակույթի</w:t>
            </w:r>
            <w:r w:rsidRPr="0053423A">
              <w:rPr>
                <w:rFonts w:eastAsia="Times New Roman" w:cs="Times New Roman"/>
                <w:sz w:val="20"/>
                <w:szCs w:val="20"/>
                <w:lang w:val="af-ZA"/>
              </w:rPr>
              <w:t xml:space="preserve"> </w:t>
            </w:r>
            <w:r w:rsidRPr="0053423A">
              <w:rPr>
                <w:rFonts w:eastAsia="Times New Roman" w:cs="Times New Roman"/>
                <w:sz w:val="20"/>
                <w:szCs w:val="20"/>
                <w:lang w:val="hy-AM"/>
              </w:rPr>
              <w:t>նախարարությանը՝</w:t>
            </w:r>
            <w:r w:rsidRPr="0053423A">
              <w:rPr>
                <w:rFonts w:eastAsia="Times New Roman" w:cs="Times New Roman"/>
                <w:sz w:val="20"/>
                <w:szCs w:val="20"/>
                <w:lang w:val="af-ZA"/>
              </w:rPr>
              <w:t xml:space="preserve"> </w:t>
            </w:r>
            <w:r w:rsidRPr="0053423A">
              <w:rPr>
                <w:rFonts w:eastAsia="Times New Roman" w:cs="Times New Roman"/>
                <w:sz w:val="20"/>
                <w:szCs w:val="20"/>
                <w:lang w:val="hy-AM"/>
              </w:rPr>
              <w:t>այս</w:t>
            </w:r>
            <w:r w:rsidRPr="0053423A">
              <w:rPr>
                <w:rFonts w:eastAsia="Times New Roman" w:cs="Times New Roman"/>
                <w:sz w:val="20"/>
                <w:szCs w:val="20"/>
                <w:lang w:val="af-ZA"/>
              </w:rPr>
              <w:t xml:space="preserve"> </w:t>
            </w:r>
            <w:r w:rsidRPr="0053423A">
              <w:rPr>
                <w:rFonts w:eastAsia="Times New Roman" w:cs="Times New Roman"/>
                <w:sz w:val="20"/>
                <w:szCs w:val="20"/>
                <w:lang w:val="hy-AM"/>
              </w:rPr>
              <w:t>կամ</w:t>
            </w:r>
            <w:r w:rsidRPr="0053423A">
              <w:rPr>
                <w:rFonts w:eastAsia="Times New Roman" w:cs="Times New Roman"/>
                <w:sz w:val="20"/>
                <w:szCs w:val="20"/>
                <w:lang w:val="af-ZA"/>
              </w:rPr>
              <w:t xml:space="preserve"> </w:t>
            </w:r>
            <w:r w:rsidRPr="0053423A">
              <w:rPr>
                <w:rFonts w:eastAsia="Times New Roman" w:cs="Times New Roman"/>
                <w:sz w:val="20"/>
                <w:szCs w:val="20"/>
                <w:lang w:val="hy-AM"/>
              </w:rPr>
              <w:t>այն</w:t>
            </w:r>
            <w:r w:rsidRPr="0053423A">
              <w:rPr>
                <w:rFonts w:eastAsia="Times New Roman" w:cs="Times New Roman"/>
                <w:sz w:val="20"/>
                <w:szCs w:val="20"/>
                <w:lang w:val="af-ZA"/>
              </w:rPr>
              <w:t xml:space="preserve"> </w:t>
            </w:r>
            <w:r w:rsidRPr="0053423A">
              <w:rPr>
                <w:rFonts w:eastAsia="Times New Roman" w:cs="Times New Roman"/>
                <w:sz w:val="20"/>
                <w:szCs w:val="20"/>
                <w:lang w:val="hy-AM"/>
              </w:rPr>
              <w:t>հուշարջանը</w:t>
            </w:r>
            <w:r w:rsidRPr="0053423A">
              <w:rPr>
                <w:rFonts w:eastAsia="Times New Roman" w:cs="Times New Roman"/>
                <w:sz w:val="20"/>
                <w:szCs w:val="20"/>
                <w:lang w:val="af-ZA"/>
              </w:rPr>
              <w:t xml:space="preserve"> </w:t>
            </w:r>
            <w:r w:rsidRPr="0053423A">
              <w:rPr>
                <w:rFonts w:eastAsia="Times New Roman" w:cs="Times New Roman"/>
                <w:sz w:val="20"/>
                <w:szCs w:val="20"/>
                <w:lang w:val="hy-AM"/>
              </w:rPr>
              <w:t>վերականգնելու</w:t>
            </w:r>
            <w:r w:rsidRPr="0053423A">
              <w:rPr>
                <w:rFonts w:eastAsia="Times New Roman" w:cs="Times New Roman"/>
                <w:sz w:val="20"/>
                <w:szCs w:val="20"/>
                <w:lang w:val="af-ZA"/>
              </w:rPr>
              <w:t xml:space="preserve"> </w:t>
            </w:r>
            <w:r w:rsidRPr="0053423A">
              <w:rPr>
                <w:rFonts w:eastAsia="Times New Roman" w:cs="Times New Roman"/>
                <w:sz w:val="20"/>
                <w:szCs w:val="20"/>
                <w:lang w:val="hy-AM"/>
              </w:rPr>
              <w:t>խնդրանքով</w:t>
            </w:r>
            <w:r w:rsidRPr="0053423A">
              <w:rPr>
                <w:rFonts w:eastAsia="Times New Roman" w:cs="Times New Roman"/>
                <w:sz w:val="20"/>
                <w:szCs w:val="20"/>
                <w:lang w:val="af-ZA"/>
              </w:rPr>
              <w:t xml:space="preserve">: </w:t>
            </w:r>
            <w:r w:rsidRPr="0053423A">
              <w:rPr>
                <w:rFonts w:eastAsia="Times New Roman" w:cs="Times New Roman"/>
                <w:sz w:val="20"/>
                <w:szCs w:val="20"/>
                <w:lang w:val="hy-AM"/>
              </w:rPr>
              <w:t>Սակայն</w:t>
            </w:r>
            <w:r w:rsidRPr="0053423A">
              <w:rPr>
                <w:rFonts w:eastAsia="Times New Roman" w:cs="Times New Roman"/>
                <w:sz w:val="20"/>
                <w:szCs w:val="20"/>
                <w:lang w:val="af-ZA"/>
              </w:rPr>
              <w:t xml:space="preserve"> </w:t>
            </w:r>
            <w:r w:rsidRPr="0053423A">
              <w:rPr>
                <w:rFonts w:eastAsia="Times New Roman" w:cs="Times New Roman"/>
                <w:sz w:val="20"/>
                <w:szCs w:val="20"/>
                <w:lang w:val="hy-AM"/>
              </w:rPr>
              <w:t>ոչ</w:t>
            </w:r>
            <w:r w:rsidRPr="0053423A">
              <w:rPr>
                <w:rFonts w:eastAsia="Times New Roman" w:cs="Times New Roman"/>
                <w:sz w:val="20"/>
                <w:szCs w:val="20"/>
                <w:lang w:val="af-ZA"/>
              </w:rPr>
              <w:t xml:space="preserve"> </w:t>
            </w:r>
            <w:r w:rsidRPr="0053423A">
              <w:rPr>
                <w:rFonts w:eastAsia="Times New Roman" w:cs="Times New Roman"/>
                <w:sz w:val="20"/>
                <w:szCs w:val="20"/>
                <w:lang w:val="hy-AM"/>
              </w:rPr>
              <w:t>բավարար</w:t>
            </w:r>
            <w:r w:rsidRPr="0053423A">
              <w:rPr>
                <w:rFonts w:eastAsia="Times New Roman" w:cs="Times New Roman"/>
                <w:sz w:val="20"/>
                <w:szCs w:val="20"/>
                <w:lang w:val="af-ZA"/>
              </w:rPr>
              <w:t xml:space="preserve"> </w:t>
            </w:r>
            <w:r w:rsidRPr="0053423A">
              <w:rPr>
                <w:rFonts w:eastAsia="Times New Roman" w:cs="Times New Roman"/>
                <w:sz w:val="20"/>
                <w:szCs w:val="20"/>
                <w:lang w:val="hy-AM"/>
              </w:rPr>
              <w:t>միջոցները</w:t>
            </w:r>
            <w:r w:rsidRPr="0053423A">
              <w:rPr>
                <w:rFonts w:eastAsia="Times New Roman" w:cs="Times New Roman"/>
                <w:sz w:val="20"/>
                <w:szCs w:val="20"/>
                <w:lang w:val="af-ZA"/>
              </w:rPr>
              <w:t xml:space="preserve"> </w:t>
            </w:r>
            <w:r w:rsidRPr="0053423A">
              <w:rPr>
                <w:rFonts w:eastAsia="Times New Roman" w:cs="Times New Roman"/>
                <w:sz w:val="20"/>
                <w:szCs w:val="20"/>
                <w:lang w:val="hy-AM"/>
              </w:rPr>
              <w:t>թույլ</w:t>
            </w:r>
            <w:r w:rsidRPr="0053423A">
              <w:rPr>
                <w:rFonts w:eastAsia="Times New Roman" w:cs="Times New Roman"/>
                <w:sz w:val="20"/>
                <w:szCs w:val="20"/>
                <w:lang w:val="af-ZA"/>
              </w:rPr>
              <w:t xml:space="preserve"> </w:t>
            </w:r>
            <w:r w:rsidRPr="0053423A">
              <w:rPr>
                <w:rFonts w:eastAsia="Times New Roman" w:cs="Times New Roman"/>
                <w:sz w:val="20"/>
                <w:szCs w:val="20"/>
                <w:lang w:val="hy-AM"/>
              </w:rPr>
              <w:t>չեն</w:t>
            </w:r>
            <w:r w:rsidRPr="0053423A">
              <w:rPr>
                <w:rFonts w:eastAsia="Times New Roman" w:cs="Times New Roman"/>
                <w:sz w:val="20"/>
                <w:szCs w:val="20"/>
                <w:lang w:val="af-ZA"/>
              </w:rPr>
              <w:t xml:space="preserve"> </w:t>
            </w:r>
            <w:r w:rsidRPr="0053423A">
              <w:rPr>
                <w:rFonts w:eastAsia="Times New Roman" w:cs="Times New Roman"/>
                <w:sz w:val="20"/>
                <w:szCs w:val="20"/>
                <w:lang w:val="hy-AM"/>
              </w:rPr>
              <w:t>տալիս</w:t>
            </w:r>
            <w:r w:rsidRPr="0053423A">
              <w:rPr>
                <w:rFonts w:eastAsia="Times New Roman" w:cs="Times New Roman"/>
                <w:sz w:val="20"/>
                <w:szCs w:val="20"/>
                <w:lang w:val="af-ZA"/>
              </w:rPr>
              <w:t xml:space="preserve"> </w:t>
            </w:r>
            <w:r w:rsidRPr="0053423A">
              <w:rPr>
                <w:rFonts w:eastAsia="Times New Roman" w:cs="Times New Roman"/>
                <w:sz w:val="20"/>
                <w:szCs w:val="20"/>
                <w:lang w:val="hy-AM"/>
              </w:rPr>
              <w:t>լուծելու</w:t>
            </w:r>
            <w:r w:rsidRPr="0053423A">
              <w:rPr>
                <w:rFonts w:eastAsia="Times New Roman" w:cs="Times New Roman"/>
                <w:sz w:val="20"/>
                <w:szCs w:val="20"/>
                <w:lang w:val="af-ZA"/>
              </w:rPr>
              <w:t xml:space="preserve"> </w:t>
            </w:r>
            <w:r w:rsidRPr="0053423A">
              <w:rPr>
                <w:rFonts w:eastAsia="Times New Roman" w:cs="Times New Roman"/>
                <w:sz w:val="20"/>
                <w:szCs w:val="20"/>
                <w:lang w:val="hy-AM"/>
              </w:rPr>
              <w:t>այդ</w:t>
            </w:r>
            <w:r w:rsidRPr="0053423A">
              <w:rPr>
                <w:rFonts w:eastAsia="Times New Roman" w:cs="Times New Roman"/>
                <w:sz w:val="20"/>
                <w:szCs w:val="20"/>
                <w:lang w:val="af-ZA"/>
              </w:rPr>
              <w:t xml:space="preserve"> </w:t>
            </w:r>
            <w:r w:rsidRPr="0053423A">
              <w:rPr>
                <w:rFonts w:eastAsia="Times New Roman" w:cs="Times New Roman"/>
                <w:sz w:val="20"/>
                <w:szCs w:val="20"/>
                <w:lang w:val="hy-AM"/>
              </w:rPr>
              <w:t>խնդիրները</w:t>
            </w:r>
            <w:r w:rsidRPr="0053423A">
              <w:rPr>
                <w:rFonts w:eastAsia="Times New Roman" w:cs="Times New Roman"/>
                <w:sz w:val="20"/>
                <w:szCs w:val="20"/>
                <w:lang w:val="af-ZA"/>
              </w:rPr>
              <w:t xml:space="preserve">, </w:t>
            </w:r>
            <w:r w:rsidRPr="0053423A">
              <w:rPr>
                <w:rFonts w:eastAsia="Times New Roman" w:cs="Times New Roman"/>
                <w:sz w:val="20"/>
                <w:szCs w:val="20"/>
                <w:lang w:val="hy-AM"/>
              </w:rPr>
              <w:t>որի</w:t>
            </w:r>
            <w:r w:rsidRPr="0053423A">
              <w:rPr>
                <w:rFonts w:eastAsia="Times New Roman" w:cs="Times New Roman"/>
                <w:sz w:val="20"/>
                <w:szCs w:val="20"/>
                <w:lang w:val="af-ZA"/>
              </w:rPr>
              <w:t xml:space="preserve"> </w:t>
            </w:r>
            <w:r w:rsidRPr="0053423A">
              <w:rPr>
                <w:rFonts w:eastAsia="Times New Roman" w:cs="Times New Roman"/>
                <w:sz w:val="20"/>
                <w:szCs w:val="20"/>
                <w:lang w:val="hy-AM"/>
              </w:rPr>
              <w:t>հետևանքով</w:t>
            </w:r>
            <w:r w:rsidRPr="0053423A">
              <w:rPr>
                <w:rFonts w:eastAsia="Times New Roman" w:cs="Times New Roman"/>
                <w:sz w:val="20"/>
                <w:szCs w:val="20"/>
                <w:lang w:val="af-ZA"/>
              </w:rPr>
              <w:t xml:space="preserve"> </w:t>
            </w:r>
            <w:r w:rsidRPr="0053423A">
              <w:rPr>
                <w:rFonts w:eastAsia="Times New Roman" w:cs="Times New Roman"/>
                <w:sz w:val="20"/>
                <w:szCs w:val="20"/>
                <w:lang w:val="hy-AM"/>
              </w:rPr>
              <w:t>մեր</w:t>
            </w:r>
            <w:r w:rsidRPr="0053423A">
              <w:rPr>
                <w:rFonts w:eastAsia="Times New Roman" w:cs="Times New Roman"/>
                <w:sz w:val="20"/>
                <w:szCs w:val="20"/>
                <w:lang w:val="af-ZA"/>
              </w:rPr>
              <w:t xml:space="preserve"> </w:t>
            </w:r>
            <w:r w:rsidRPr="0053423A">
              <w:rPr>
                <w:rFonts w:eastAsia="Times New Roman" w:cs="Times New Roman"/>
                <w:sz w:val="20"/>
                <w:szCs w:val="20"/>
                <w:lang w:val="hy-AM"/>
              </w:rPr>
              <w:t>պատմամշակութային</w:t>
            </w:r>
            <w:r w:rsidRPr="0053423A">
              <w:rPr>
                <w:rFonts w:eastAsia="Times New Roman" w:cs="Times New Roman"/>
                <w:sz w:val="20"/>
                <w:szCs w:val="20"/>
                <w:lang w:val="af-ZA"/>
              </w:rPr>
              <w:t xml:space="preserve"> </w:t>
            </w:r>
            <w:r w:rsidRPr="0053423A">
              <w:rPr>
                <w:rFonts w:eastAsia="Times New Roman" w:cs="Times New Roman"/>
                <w:sz w:val="20"/>
                <w:szCs w:val="20"/>
                <w:lang w:val="hy-AM"/>
              </w:rPr>
              <w:t>ժառանգությունը</w:t>
            </w:r>
            <w:r w:rsidRPr="0053423A">
              <w:rPr>
                <w:rFonts w:eastAsia="Times New Roman" w:cs="Times New Roman"/>
                <w:sz w:val="20"/>
                <w:szCs w:val="20"/>
                <w:lang w:val="af-ZA"/>
              </w:rPr>
              <w:t xml:space="preserve"> </w:t>
            </w:r>
            <w:r w:rsidRPr="0053423A">
              <w:rPr>
                <w:rFonts w:eastAsia="Times New Roman" w:cs="Times New Roman"/>
                <w:sz w:val="20"/>
                <w:szCs w:val="20"/>
                <w:lang w:val="hy-AM"/>
              </w:rPr>
              <w:t>գնում</w:t>
            </w:r>
            <w:r w:rsidRPr="0053423A">
              <w:rPr>
                <w:rFonts w:eastAsia="Times New Roman" w:cs="Times New Roman"/>
                <w:sz w:val="20"/>
                <w:szCs w:val="20"/>
                <w:lang w:val="af-ZA"/>
              </w:rPr>
              <w:t xml:space="preserve"> </w:t>
            </w:r>
            <w:r w:rsidRPr="0053423A">
              <w:rPr>
                <w:rFonts w:eastAsia="Times New Roman" w:cs="Times New Roman"/>
                <w:sz w:val="20"/>
                <w:szCs w:val="20"/>
                <w:lang w:val="hy-AM"/>
              </w:rPr>
              <w:t>է</w:t>
            </w:r>
            <w:r w:rsidRPr="0053423A">
              <w:rPr>
                <w:rFonts w:eastAsia="Times New Roman" w:cs="Times New Roman"/>
                <w:sz w:val="20"/>
                <w:szCs w:val="20"/>
                <w:lang w:val="af-ZA"/>
              </w:rPr>
              <w:t xml:space="preserve"> </w:t>
            </w:r>
            <w:r w:rsidRPr="0053423A">
              <w:rPr>
                <w:rFonts w:eastAsia="Times New Roman" w:cs="Times New Roman"/>
                <w:sz w:val="20"/>
                <w:szCs w:val="20"/>
                <w:lang w:val="hy-AM"/>
              </w:rPr>
              <w:t>կործանման</w:t>
            </w:r>
            <w:r w:rsidRPr="0053423A">
              <w:rPr>
                <w:rFonts w:eastAsia="Times New Roman" w:cs="Times New Roman"/>
                <w:sz w:val="20"/>
                <w:szCs w:val="20"/>
                <w:lang w:val="af-ZA"/>
              </w:rPr>
              <w:t>:</w:t>
            </w:r>
          </w:p>
          <w:p w:rsidR="00A67B6B" w:rsidRPr="0053423A" w:rsidRDefault="00A67B6B" w:rsidP="00A67858">
            <w:pPr>
              <w:shd w:val="clear" w:color="auto" w:fill="FFFFFF"/>
              <w:spacing w:after="0" w:line="276" w:lineRule="auto"/>
              <w:ind w:firstLine="708"/>
              <w:jc w:val="both"/>
              <w:rPr>
                <w:rFonts w:eastAsia="Times New Roman" w:cs="Times New Roman"/>
                <w:sz w:val="20"/>
                <w:szCs w:val="20"/>
                <w:lang w:val="af-ZA"/>
              </w:rPr>
            </w:pPr>
          </w:p>
          <w:p w:rsidR="00A67B6B" w:rsidRPr="0053423A" w:rsidRDefault="00A67B6B" w:rsidP="001F6D5D">
            <w:pPr>
              <w:numPr>
                <w:ilvl w:val="1"/>
                <w:numId w:val="237"/>
              </w:numPr>
              <w:tabs>
                <w:tab w:val="left" w:pos="508"/>
              </w:tabs>
              <w:spacing w:after="0" w:line="276" w:lineRule="auto"/>
              <w:contextualSpacing/>
              <w:rPr>
                <w:rFonts w:eastAsia="Calibri" w:cs="Times New Roman"/>
                <w:b/>
                <w:sz w:val="20"/>
                <w:szCs w:val="20"/>
              </w:rPr>
            </w:pPr>
            <w:r w:rsidRPr="0053423A">
              <w:rPr>
                <w:rFonts w:eastAsia="Calibri" w:cs="Sylfaen"/>
                <w:b/>
                <w:sz w:val="20"/>
                <w:szCs w:val="20"/>
              </w:rPr>
              <w:t>Առկա</w:t>
            </w:r>
            <w:r w:rsidRPr="0053423A">
              <w:rPr>
                <w:rFonts w:eastAsia="Calibri" w:cs="Times New Roman"/>
                <w:b/>
                <w:sz w:val="20"/>
                <w:szCs w:val="20"/>
              </w:rPr>
              <w:t xml:space="preserve"> խնդիրների առաջարկվող լուծումները</w:t>
            </w:r>
          </w:p>
          <w:p w:rsidR="00A67B6B" w:rsidRPr="0053423A" w:rsidRDefault="00A67B6B" w:rsidP="00A67858">
            <w:pPr>
              <w:spacing w:after="0" w:line="276" w:lineRule="auto"/>
              <w:jc w:val="both"/>
              <w:rPr>
                <w:rFonts w:eastAsia="Calibri" w:cs="Times New Roman"/>
                <w:b/>
                <w:sz w:val="20"/>
                <w:szCs w:val="20"/>
              </w:rPr>
            </w:pPr>
            <w:r w:rsidRPr="0053423A">
              <w:rPr>
                <w:rFonts w:eastAsia="Calibri" w:cs="Times New Roman"/>
                <w:sz w:val="20"/>
                <w:szCs w:val="20"/>
                <w:lang w:val="af-ZA"/>
              </w:rPr>
              <w:t>Ծրագրի իրականացման գործընթացում առաջարկվում է համագործակցություն մասնավոր ներդնողների հետ, ինչի շրջանակներում կթոթափվի պետական հոգածությունը հուշարձանների ամրակայման, նորոգման և վերականգնման բնագավառում: Համագործակցությունը մասնավոր ներդրողների հետ կնայի այնպես էլ ոչ բավարար պետական բյուջեից տրամադրվող գումարները, ինչպես նաև կխթանի վերականգնող հուշարձանների և դրանց հարակից տարածքներում ենթակառուցվածքների ու զբոսաշրջության զարգացմանը: Պետություն-մասնավոր համագործակցության շրջանակներում նախկին փորձը կարող է պիլոտային համարվել հետագա նման համագործակցության համար:</w:t>
            </w:r>
          </w:p>
          <w:p w:rsidR="00A67B6B" w:rsidRPr="0053423A" w:rsidRDefault="00A67B6B" w:rsidP="00A67858">
            <w:pPr>
              <w:spacing w:after="0" w:line="276" w:lineRule="auto"/>
              <w:jc w:val="both"/>
              <w:rPr>
                <w:rFonts w:eastAsia="Times New Roman" w:cs="Times New Roman"/>
                <w:sz w:val="20"/>
                <w:szCs w:val="20"/>
                <w:lang w:val="hy-AM"/>
              </w:rPr>
            </w:pPr>
            <w:r w:rsidRPr="0053423A">
              <w:rPr>
                <w:rFonts w:eastAsia="Times New Roman" w:cs="Times New Roman"/>
                <w:sz w:val="20"/>
                <w:szCs w:val="20"/>
              </w:rPr>
              <w:t>Նշյալ</w:t>
            </w:r>
            <w:r w:rsidRPr="0053423A">
              <w:rPr>
                <w:rFonts w:eastAsia="Times New Roman" w:cs="Times New Roman"/>
                <w:sz w:val="20"/>
                <w:szCs w:val="20"/>
                <w:lang w:val="hy-AM"/>
              </w:rPr>
              <w:t xml:space="preserve"> գործնթացը հնարավորություն կընձեռի պետության պարտավորությունների շրջանակում վերականգնվող հուշարձանների թվաքանակի ավելացմանը և պետական հոգածության թեթևացմանը: Պետական բյուջեի միջոցների հաշվին կատարված ուսումնասիրությունների և նախագծանախահաշվային փաստաթղթերի առկայությամբ</w:t>
            </w:r>
            <w:r w:rsidRPr="0053423A">
              <w:rPr>
                <w:rFonts w:eastAsia="Times New Roman" w:cs="Times New Roman"/>
                <w:sz w:val="20"/>
                <w:szCs w:val="20"/>
              </w:rPr>
              <w:t xml:space="preserve"> (տեխնիկական վիճակի վերաբերյալ ակտ, նախագծային առաջադրանք, էսքիզային նախագիծ)</w:t>
            </w:r>
            <w:r w:rsidRPr="0053423A">
              <w:rPr>
                <w:rFonts w:eastAsia="Times New Roman" w:cs="Times New Roman"/>
                <w:sz w:val="20"/>
                <w:szCs w:val="20"/>
                <w:lang w:val="hy-AM"/>
              </w:rPr>
              <w:t xml:space="preserve"> մասնավոր </w:t>
            </w:r>
            <w:r w:rsidRPr="0053423A">
              <w:rPr>
                <w:rFonts w:eastAsia="Times New Roman" w:cs="Times New Roman"/>
                <w:sz w:val="20"/>
                <w:szCs w:val="20"/>
              </w:rPr>
              <w:t>ներդրումների շնորհիվ ավելի շատ</w:t>
            </w:r>
            <w:r w:rsidRPr="0053423A">
              <w:rPr>
                <w:rFonts w:eastAsia="Times New Roman" w:cs="Times New Roman"/>
                <w:sz w:val="20"/>
                <w:szCs w:val="20"/>
                <w:lang w:val="hy-AM"/>
              </w:rPr>
              <w:t xml:space="preserve"> ֆինանսական միջոցներ կհատկացվեն մշակված փաստաթղթերի հիման վրա իրականացվող վերականգնողական աշխատանքների</w:t>
            </w:r>
            <w:r w:rsidRPr="0053423A">
              <w:rPr>
                <w:rFonts w:eastAsia="Times New Roman" w:cs="Times New Roman"/>
                <w:sz w:val="20"/>
                <w:szCs w:val="20"/>
              </w:rPr>
              <w:t xml:space="preserve"> իրականացմանը և</w:t>
            </w:r>
            <w:r w:rsidRPr="0053423A">
              <w:rPr>
                <w:rFonts w:eastAsia="Times New Roman" w:cs="Times New Roman"/>
                <w:sz w:val="20"/>
                <w:szCs w:val="20"/>
                <w:lang w:val="hy-AM"/>
              </w:rPr>
              <w:t xml:space="preserve"> </w:t>
            </w:r>
            <w:r w:rsidRPr="0053423A">
              <w:rPr>
                <w:rFonts w:eastAsia="Times New Roman" w:cs="Times New Roman"/>
                <w:sz w:val="20"/>
                <w:szCs w:val="20"/>
              </w:rPr>
              <w:t>կ</w:t>
            </w:r>
            <w:r w:rsidRPr="0053423A">
              <w:rPr>
                <w:rFonts w:eastAsia="Times New Roman" w:cs="Times New Roman"/>
                <w:sz w:val="20"/>
                <w:szCs w:val="20"/>
                <w:lang w:val="hy-AM"/>
              </w:rPr>
              <w:t xml:space="preserve">ընդլայնվեն պատմամշակութային անշարժ ժառանգության պահպանմանը </w:t>
            </w:r>
            <w:r w:rsidRPr="0053423A">
              <w:rPr>
                <w:rFonts w:eastAsia="Times New Roman" w:cs="Times New Roman"/>
                <w:sz w:val="20"/>
                <w:szCs w:val="20"/>
              </w:rPr>
              <w:t xml:space="preserve">միտված </w:t>
            </w:r>
            <w:r w:rsidRPr="0053423A">
              <w:rPr>
                <w:rFonts w:eastAsia="Times New Roman" w:cs="Times New Roman"/>
                <w:sz w:val="20"/>
                <w:szCs w:val="20"/>
                <w:lang w:val="hy-AM"/>
              </w:rPr>
              <w:t>վերականգն</w:t>
            </w:r>
            <w:r w:rsidRPr="0053423A">
              <w:rPr>
                <w:rFonts w:eastAsia="Times New Roman" w:cs="Times New Roman"/>
                <w:sz w:val="20"/>
                <w:szCs w:val="20"/>
              </w:rPr>
              <w:t>ման</w:t>
            </w:r>
            <w:r w:rsidRPr="0053423A">
              <w:rPr>
                <w:rFonts w:eastAsia="Times New Roman" w:cs="Times New Roman"/>
                <w:sz w:val="20"/>
                <w:szCs w:val="20"/>
                <w:lang w:val="hy-AM"/>
              </w:rPr>
              <w:t xml:space="preserve"> գործընթացները, </w:t>
            </w:r>
            <w:r w:rsidRPr="0053423A">
              <w:rPr>
                <w:rFonts w:eastAsia="Times New Roman" w:cs="Times New Roman"/>
                <w:sz w:val="20"/>
                <w:szCs w:val="20"/>
              </w:rPr>
              <w:t xml:space="preserve">ինչպես նաև </w:t>
            </w:r>
            <w:r w:rsidRPr="0053423A">
              <w:rPr>
                <w:rFonts w:eastAsia="Times New Roman" w:cs="Times New Roman"/>
                <w:sz w:val="20"/>
                <w:szCs w:val="20"/>
                <w:lang w:val="hy-AM"/>
              </w:rPr>
              <w:t xml:space="preserve">իրականացվող ծրագրերի </w:t>
            </w:r>
            <w:r w:rsidRPr="0053423A">
              <w:rPr>
                <w:rFonts w:eastAsia="Times New Roman" w:cs="Times New Roman"/>
                <w:sz w:val="20"/>
                <w:szCs w:val="20"/>
              </w:rPr>
              <w:t xml:space="preserve">շրջանակներում </w:t>
            </w:r>
            <w:r w:rsidRPr="0053423A">
              <w:rPr>
                <w:rFonts w:eastAsia="Times New Roman" w:cs="Times New Roman"/>
                <w:sz w:val="20"/>
                <w:szCs w:val="20"/>
                <w:lang w:val="hy-AM"/>
              </w:rPr>
              <w:t xml:space="preserve">շահառուների </w:t>
            </w:r>
            <w:r w:rsidRPr="0053423A">
              <w:rPr>
                <w:rFonts w:eastAsia="Times New Roman" w:cs="Times New Roman"/>
                <w:sz w:val="20"/>
                <w:szCs w:val="20"/>
              </w:rPr>
              <w:t>քանակը</w:t>
            </w:r>
            <w:r w:rsidRPr="0053423A">
              <w:rPr>
                <w:rFonts w:eastAsia="Times New Roman" w:cs="Times New Roman"/>
                <w:sz w:val="20"/>
                <w:szCs w:val="20"/>
                <w:lang w:val="hy-AM"/>
              </w:rPr>
              <w:t xml:space="preserve">, կբարձրանա հասարակական, միջազգային կազմակերպությունների, անհատ բարերարների, համայնքի բնակչության ներգրավվածության և մասնակցության </w:t>
            </w:r>
            <w:r w:rsidRPr="0053423A">
              <w:rPr>
                <w:rFonts w:eastAsia="Times New Roman" w:cs="Times New Roman"/>
                <w:sz w:val="20"/>
                <w:szCs w:val="20"/>
              </w:rPr>
              <w:t>մակարդակը</w:t>
            </w:r>
            <w:r w:rsidRPr="0053423A">
              <w:rPr>
                <w:rFonts w:eastAsia="Times New Roman" w:cs="Times New Roman"/>
                <w:sz w:val="20"/>
                <w:szCs w:val="20"/>
                <w:lang w:val="hy-AM"/>
              </w:rPr>
              <w:t xml:space="preserve">: </w:t>
            </w:r>
          </w:p>
          <w:p w:rsidR="00A67B6B" w:rsidRPr="0053423A" w:rsidRDefault="00A67B6B" w:rsidP="00A67858">
            <w:pPr>
              <w:spacing w:after="0" w:line="276" w:lineRule="auto"/>
              <w:jc w:val="both"/>
              <w:rPr>
                <w:rFonts w:eastAsia="Calibri" w:cs="Times New Roman"/>
                <w:sz w:val="20"/>
                <w:szCs w:val="20"/>
                <w:lang w:val="hy-AM"/>
              </w:rPr>
            </w:pPr>
            <w:r w:rsidRPr="0053423A">
              <w:rPr>
                <w:rFonts w:eastAsia="Times New Roman" w:cs="Times New Roman"/>
                <w:sz w:val="20"/>
                <w:szCs w:val="20"/>
                <w:lang w:val="hy-AM"/>
              </w:rPr>
              <w:t>Ծրագիրը կնպաստի պատմամշակութային հուշարձանների նպատակային օգտագործմանը, հանրահռչակմանը, զբոսաշրջությանը զարգացմանը:</w:t>
            </w: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r w:rsidRPr="0053423A">
              <w:rPr>
                <w:rFonts w:eastAsia="Calibri" w:cs="Times New Roman"/>
                <w:b/>
                <w:sz w:val="20"/>
                <w:szCs w:val="20"/>
                <w:lang w:val="af-ZA"/>
              </w:rPr>
              <w:t xml:space="preserve">2. </w:t>
            </w:r>
            <w:r w:rsidRPr="0053423A">
              <w:rPr>
                <w:rFonts w:eastAsia="Calibri" w:cs="Times New Roman"/>
                <w:b/>
                <w:sz w:val="20"/>
                <w:szCs w:val="20"/>
              </w:rPr>
              <w:t>Միջոցառման</w:t>
            </w:r>
            <w:r w:rsidRPr="0053423A">
              <w:rPr>
                <w:rFonts w:eastAsia="Calibri" w:cs="Times New Roman"/>
                <w:b/>
                <w:sz w:val="20"/>
                <w:szCs w:val="20"/>
                <w:lang w:val="af-ZA"/>
              </w:rPr>
              <w:t xml:space="preserve"> </w:t>
            </w:r>
            <w:r w:rsidRPr="0053423A">
              <w:rPr>
                <w:rFonts w:eastAsia="Calibri" w:cs="Times New Roman"/>
                <w:b/>
                <w:sz w:val="20"/>
                <w:szCs w:val="20"/>
              </w:rPr>
              <w:t>իրակա</w:t>
            </w:r>
            <w:r w:rsidRPr="0053423A">
              <w:rPr>
                <w:rFonts w:eastAsia="Calibri" w:cs="Times New Roman"/>
                <w:b/>
                <w:sz w:val="20"/>
                <w:szCs w:val="20"/>
                <w:lang w:val="hy-AM"/>
              </w:rPr>
              <w:t>նա</w:t>
            </w:r>
            <w:r w:rsidRPr="0053423A">
              <w:rPr>
                <w:rFonts w:eastAsia="Calibri" w:cs="Times New Roman"/>
                <w:b/>
                <w:sz w:val="20"/>
                <w:szCs w:val="20"/>
              </w:rPr>
              <w:t>ցումից</w:t>
            </w:r>
            <w:r w:rsidRPr="0053423A">
              <w:rPr>
                <w:rFonts w:eastAsia="Calibri" w:cs="Times New Roman"/>
                <w:b/>
                <w:sz w:val="20"/>
                <w:szCs w:val="20"/>
                <w:lang w:val="af-ZA"/>
              </w:rPr>
              <w:t xml:space="preserve"> </w:t>
            </w:r>
            <w:r w:rsidRPr="0053423A">
              <w:rPr>
                <w:rFonts w:eastAsia="Calibri" w:cs="Times New Roman"/>
                <w:b/>
                <w:sz w:val="20"/>
                <w:szCs w:val="20"/>
              </w:rPr>
              <w:t>ակնկալվող</w:t>
            </w:r>
            <w:r w:rsidRPr="0053423A">
              <w:rPr>
                <w:rFonts w:eastAsia="Calibri" w:cs="Times New Roman"/>
                <w:b/>
                <w:sz w:val="20"/>
                <w:szCs w:val="20"/>
                <w:lang w:val="af-ZA"/>
              </w:rPr>
              <w:t xml:space="preserve"> </w:t>
            </w:r>
            <w:r w:rsidRPr="0053423A">
              <w:rPr>
                <w:rFonts w:eastAsia="Calibri" w:cs="Times New Roman"/>
                <w:b/>
                <w:sz w:val="20"/>
                <w:szCs w:val="20"/>
              </w:rPr>
              <w:t>արդյունքը</w:t>
            </w:r>
            <w:r w:rsidRPr="0053423A">
              <w:rPr>
                <w:rFonts w:eastAsia="Calibri" w:cs="Times New Roman"/>
                <w:sz w:val="20"/>
                <w:szCs w:val="20"/>
                <w:lang w:val="af-ZA"/>
              </w:rPr>
              <w:t xml:space="preserve"> </w:t>
            </w: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r w:rsidRPr="0053423A">
              <w:rPr>
                <w:rFonts w:eastAsia="Calibri" w:cs="Sylfaen"/>
                <w:sz w:val="20"/>
                <w:szCs w:val="20"/>
                <w:lang w:val="af-ZA"/>
              </w:rPr>
              <w:t>Պետություն</w:t>
            </w:r>
            <w:r w:rsidRPr="0053423A">
              <w:rPr>
                <w:rFonts w:eastAsia="Calibri" w:cs="Times New Roman"/>
                <w:sz w:val="20"/>
                <w:szCs w:val="20"/>
                <w:lang w:val="af-ZA"/>
              </w:rPr>
              <w:t>-մասնավոր համագործակցության զարգացում, պետական հոգածության թոթափում, վերականգնվող հուշարձանների թվաքանակի ավելացում, հուշարձանների հանրահռչակում, ենթակառուցվածքների զարգացում, զբոսաշրջության խթանում, շահառուների ընդգրկվածություն, նոր աշխատատեղերի ստեղծում, արտագաղթի կանխում:</w:t>
            </w:r>
          </w:p>
          <w:p w:rsidR="00A67B6B" w:rsidRPr="0053423A" w:rsidRDefault="00A67B6B" w:rsidP="00A67858">
            <w:pPr>
              <w:tabs>
                <w:tab w:val="left" w:pos="426"/>
                <w:tab w:val="left" w:pos="508"/>
              </w:tabs>
              <w:spacing w:after="0" w:line="276" w:lineRule="auto"/>
              <w:rPr>
                <w:rFonts w:eastAsia="Times New Roman" w:cs="Times New Roman"/>
                <w:b/>
                <w:sz w:val="20"/>
                <w:szCs w:val="20"/>
                <w:lang w:val="af-ZA"/>
              </w:rPr>
            </w:pPr>
          </w:p>
          <w:p w:rsidR="00A67B6B" w:rsidRPr="0053423A" w:rsidRDefault="00A67B6B" w:rsidP="00A67858">
            <w:pPr>
              <w:tabs>
                <w:tab w:val="left" w:pos="426"/>
                <w:tab w:val="left" w:pos="508"/>
              </w:tabs>
              <w:spacing w:after="0" w:line="276" w:lineRule="auto"/>
              <w:jc w:val="center"/>
              <w:rPr>
                <w:rFonts w:eastAsia="Times New Roman" w:cs="Times New Roman"/>
                <w:b/>
                <w:sz w:val="20"/>
                <w:szCs w:val="20"/>
                <w:lang w:val="af-ZA"/>
              </w:rPr>
            </w:pPr>
            <w:r w:rsidRPr="0053423A">
              <w:rPr>
                <w:rFonts w:eastAsia="Times New Roman" w:cs="Times New Roman"/>
                <w:b/>
                <w:sz w:val="20"/>
                <w:szCs w:val="20"/>
                <w:lang w:val="af-ZA"/>
              </w:rPr>
              <w:t xml:space="preserve">3.3 </w:t>
            </w:r>
            <w:r w:rsidRPr="0053423A">
              <w:rPr>
                <w:rFonts w:eastAsia="Calibri" w:cs="Times New Roman"/>
                <w:b/>
                <w:sz w:val="20"/>
                <w:szCs w:val="20"/>
                <w:lang w:val="ru-RU"/>
              </w:rPr>
              <w:t>Կինոարվեստի</w:t>
            </w:r>
            <w:r w:rsidRPr="0053423A">
              <w:rPr>
                <w:rFonts w:eastAsia="Calibri" w:cs="Times New Roman"/>
                <w:b/>
                <w:sz w:val="20"/>
                <w:szCs w:val="20"/>
                <w:lang w:val="af-ZA"/>
              </w:rPr>
              <w:t xml:space="preserve"> </w:t>
            </w:r>
            <w:r w:rsidRPr="0053423A">
              <w:rPr>
                <w:rFonts w:eastAsia="Calibri" w:cs="Times New Roman"/>
                <w:b/>
                <w:sz w:val="20"/>
                <w:szCs w:val="20"/>
                <w:lang w:val="ru-RU"/>
              </w:rPr>
              <w:t>ոլորտում</w:t>
            </w:r>
            <w:r w:rsidRPr="0053423A">
              <w:rPr>
                <w:rFonts w:eastAsia="Calibri" w:cs="Times New Roman"/>
                <w:b/>
                <w:sz w:val="20"/>
                <w:szCs w:val="20"/>
                <w:lang w:val="af-ZA"/>
              </w:rPr>
              <w:t xml:space="preserve"> </w:t>
            </w:r>
            <w:r w:rsidRPr="0053423A">
              <w:rPr>
                <w:rFonts w:eastAsia="Calibri" w:cs="Times New Roman"/>
                <w:b/>
                <w:sz w:val="20"/>
                <w:szCs w:val="20"/>
                <w:lang w:val="ru-RU"/>
              </w:rPr>
              <w:t>կառավարման</w:t>
            </w:r>
            <w:r w:rsidRPr="0053423A">
              <w:rPr>
                <w:rFonts w:eastAsia="Calibri" w:cs="Times New Roman"/>
                <w:b/>
                <w:sz w:val="20"/>
                <w:szCs w:val="20"/>
                <w:lang w:val="af-ZA"/>
              </w:rPr>
              <w:t xml:space="preserve"> </w:t>
            </w:r>
            <w:r w:rsidRPr="0053423A">
              <w:rPr>
                <w:rFonts w:eastAsia="Calibri" w:cs="Times New Roman"/>
                <w:b/>
                <w:sz w:val="20"/>
                <w:szCs w:val="20"/>
                <w:lang w:val="ru-RU"/>
              </w:rPr>
              <w:t>մեխանիզմների</w:t>
            </w:r>
            <w:r w:rsidRPr="0053423A">
              <w:rPr>
                <w:rFonts w:eastAsia="Calibri" w:cs="Times New Roman"/>
                <w:b/>
                <w:sz w:val="20"/>
                <w:szCs w:val="20"/>
                <w:lang w:val="af-ZA"/>
              </w:rPr>
              <w:t xml:space="preserve"> </w:t>
            </w:r>
            <w:r w:rsidRPr="0053423A">
              <w:rPr>
                <w:rFonts w:eastAsia="Calibri" w:cs="Times New Roman"/>
                <w:b/>
                <w:sz w:val="20"/>
                <w:szCs w:val="20"/>
                <w:lang w:val="ru-RU"/>
              </w:rPr>
              <w:t>բարելավմանն</w:t>
            </w:r>
            <w:r w:rsidRPr="0053423A">
              <w:rPr>
                <w:rFonts w:eastAsia="Calibri" w:cs="Times New Roman"/>
                <w:b/>
                <w:sz w:val="20"/>
                <w:szCs w:val="20"/>
                <w:lang w:val="af-ZA"/>
              </w:rPr>
              <w:t xml:space="preserve"> </w:t>
            </w:r>
            <w:r w:rsidRPr="0053423A">
              <w:rPr>
                <w:rFonts w:eastAsia="Calibri" w:cs="Times New Roman"/>
                <w:b/>
                <w:sz w:val="20"/>
                <w:szCs w:val="20"/>
                <w:lang w:val="ru-RU"/>
              </w:rPr>
              <w:t>ուղղված</w:t>
            </w:r>
            <w:r w:rsidRPr="0053423A">
              <w:rPr>
                <w:rFonts w:eastAsia="Calibri" w:cs="Times New Roman"/>
                <w:b/>
                <w:sz w:val="20"/>
                <w:szCs w:val="20"/>
                <w:lang w:val="af-ZA"/>
              </w:rPr>
              <w:t xml:space="preserve"> </w:t>
            </w:r>
            <w:r w:rsidRPr="0053423A">
              <w:rPr>
                <w:rFonts w:eastAsia="Calibri" w:cs="Times New Roman"/>
                <w:b/>
                <w:sz w:val="20"/>
                <w:szCs w:val="20"/>
                <w:lang w:val="ru-RU"/>
              </w:rPr>
              <w:t>ծրագրերի</w:t>
            </w:r>
            <w:r w:rsidRPr="0053423A">
              <w:rPr>
                <w:rFonts w:eastAsia="Calibri" w:cs="Times New Roman"/>
                <w:b/>
                <w:sz w:val="20"/>
                <w:szCs w:val="20"/>
                <w:lang w:val="af-ZA"/>
              </w:rPr>
              <w:t xml:space="preserve"> </w:t>
            </w:r>
            <w:r w:rsidRPr="0053423A">
              <w:rPr>
                <w:rFonts w:eastAsia="Calibri" w:cs="Times New Roman"/>
                <w:b/>
                <w:sz w:val="20"/>
                <w:szCs w:val="20"/>
                <w:lang w:val="ru-RU"/>
              </w:rPr>
              <w:t>իրականացում</w:t>
            </w:r>
          </w:p>
          <w:p w:rsidR="00A67B6B" w:rsidRPr="0053423A" w:rsidRDefault="00A67B6B" w:rsidP="00A67858">
            <w:pPr>
              <w:tabs>
                <w:tab w:val="left" w:pos="426"/>
                <w:tab w:val="left" w:pos="508"/>
              </w:tabs>
              <w:spacing w:after="0" w:line="276" w:lineRule="auto"/>
              <w:jc w:val="center"/>
              <w:rPr>
                <w:rFonts w:eastAsia="Times New Roman" w:cs="Times New Roman"/>
                <w:sz w:val="20"/>
                <w:szCs w:val="20"/>
                <w:lang w:val="af-ZA"/>
              </w:rPr>
            </w:pPr>
          </w:p>
          <w:p w:rsidR="00A67B6B" w:rsidRPr="0053423A" w:rsidRDefault="00A67B6B" w:rsidP="001F6D5D">
            <w:pPr>
              <w:numPr>
                <w:ilvl w:val="0"/>
                <w:numId w:val="223"/>
              </w:numPr>
              <w:tabs>
                <w:tab w:val="left" w:pos="508"/>
              </w:tabs>
              <w:spacing w:after="0" w:line="276" w:lineRule="auto"/>
              <w:contextualSpacing/>
              <w:rPr>
                <w:rFonts w:eastAsia="Calibri" w:cs="Times New Roman"/>
                <w:b/>
                <w:sz w:val="20"/>
                <w:szCs w:val="20"/>
                <w:lang w:val="af-ZA"/>
              </w:rPr>
            </w:pPr>
            <w:r w:rsidRPr="0053423A">
              <w:rPr>
                <w:rFonts w:eastAsia="Calibri" w:cs="Times New Roman"/>
                <w:b/>
                <w:sz w:val="20"/>
                <w:szCs w:val="20"/>
              </w:rPr>
              <w:t>Միջոցառման</w:t>
            </w:r>
            <w:r w:rsidRPr="0053423A">
              <w:rPr>
                <w:rFonts w:eastAsia="Calibri" w:cs="Times New Roman"/>
                <w:b/>
                <w:sz w:val="20"/>
                <w:szCs w:val="20"/>
                <w:lang w:val="af-ZA"/>
              </w:rPr>
              <w:t xml:space="preserve"> </w:t>
            </w:r>
            <w:r w:rsidRPr="0053423A">
              <w:rPr>
                <w:rFonts w:eastAsia="Calibri" w:cs="Times New Roman"/>
                <w:b/>
                <w:sz w:val="20"/>
                <w:szCs w:val="20"/>
              </w:rPr>
              <w:t>իրակա</w:t>
            </w:r>
            <w:r w:rsidRPr="0053423A">
              <w:rPr>
                <w:rFonts w:eastAsia="Calibri" w:cs="Times New Roman"/>
                <w:b/>
                <w:sz w:val="20"/>
                <w:szCs w:val="20"/>
                <w:lang w:val="hy-AM"/>
              </w:rPr>
              <w:t>նա</w:t>
            </w:r>
            <w:r w:rsidRPr="0053423A">
              <w:rPr>
                <w:rFonts w:eastAsia="Calibri" w:cs="Times New Roman"/>
                <w:b/>
                <w:sz w:val="20"/>
                <w:szCs w:val="20"/>
              </w:rPr>
              <w:t>ցման</w:t>
            </w:r>
            <w:r w:rsidRPr="0053423A">
              <w:rPr>
                <w:rFonts w:eastAsia="Calibri" w:cs="Times New Roman"/>
                <w:b/>
                <w:sz w:val="20"/>
                <w:szCs w:val="20"/>
                <w:lang w:val="af-ZA"/>
              </w:rPr>
              <w:t xml:space="preserve"> </w:t>
            </w:r>
            <w:r w:rsidRPr="0053423A">
              <w:rPr>
                <w:rFonts w:eastAsia="Calibri" w:cs="Times New Roman"/>
                <w:b/>
                <w:sz w:val="20"/>
                <w:szCs w:val="20"/>
              </w:rPr>
              <w:t>անհրաժեշտությունը</w:t>
            </w:r>
            <w:r w:rsidRPr="0053423A">
              <w:rPr>
                <w:rFonts w:eastAsia="Calibri" w:cs="Times New Roman"/>
                <w:b/>
                <w:sz w:val="20"/>
                <w:szCs w:val="20"/>
                <w:lang w:val="af-ZA"/>
              </w:rPr>
              <w:t xml:space="preserve"> </w:t>
            </w:r>
            <w:r w:rsidRPr="0053423A">
              <w:rPr>
                <w:rFonts w:eastAsia="Calibri" w:cs="Times New Roman"/>
                <w:b/>
                <w:sz w:val="20"/>
                <w:szCs w:val="20"/>
              </w:rPr>
              <w:t>և</w:t>
            </w:r>
            <w:r w:rsidRPr="0053423A">
              <w:rPr>
                <w:rFonts w:eastAsia="Calibri" w:cs="Times New Roman"/>
                <w:b/>
                <w:sz w:val="20"/>
                <w:szCs w:val="20"/>
                <w:lang w:val="af-ZA"/>
              </w:rPr>
              <w:t xml:space="preserve"> </w:t>
            </w:r>
            <w:r w:rsidRPr="0053423A">
              <w:rPr>
                <w:rFonts w:eastAsia="Calibri" w:cs="Times New Roman"/>
                <w:b/>
                <w:sz w:val="20"/>
                <w:szCs w:val="20"/>
              </w:rPr>
              <w:t>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Sylfaen"/>
                <w:sz w:val="20"/>
                <w:szCs w:val="20"/>
              </w:rPr>
              <w:t>Հայաստանում</w:t>
            </w:r>
            <w:r w:rsidRPr="0053423A">
              <w:rPr>
                <w:rFonts w:eastAsia="Calibri" w:cs="Times New Roman"/>
                <w:sz w:val="20"/>
                <w:szCs w:val="20"/>
                <w:lang w:val="af-ZA"/>
              </w:rPr>
              <w:t xml:space="preserve"> </w:t>
            </w:r>
            <w:r w:rsidRPr="0053423A">
              <w:rPr>
                <w:rFonts w:eastAsia="Calibri" w:cs="Times New Roman"/>
                <w:sz w:val="20"/>
                <w:szCs w:val="20"/>
              </w:rPr>
              <w:t>կինոարտադրության</w:t>
            </w:r>
            <w:r w:rsidRPr="0053423A">
              <w:rPr>
                <w:rFonts w:eastAsia="Calibri" w:cs="Times New Roman"/>
                <w:sz w:val="20"/>
                <w:szCs w:val="20"/>
                <w:lang w:val="af-ZA"/>
              </w:rPr>
              <w:t xml:space="preserve"> </w:t>
            </w:r>
            <w:r w:rsidRPr="0053423A">
              <w:rPr>
                <w:rFonts w:eastAsia="Calibri" w:cs="Times New Roman"/>
                <w:sz w:val="20"/>
                <w:szCs w:val="20"/>
              </w:rPr>
              <w:t>զարգացման</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մշակութային</w:t>
            </w:r>
            <w:r w:rsidRPr="0053423A">
              <w:rPr>
                <w:rFonts w:eastAsia="Calibri" w:cs="Times New Roman"/>
                <w:sz w:val="20"/>
                <w:szCs w:val="20"/>
                <w:lang w:val="af-ZA"/>
              </w:rPr>
              <w:t xml:space="preserve"> </w:t>
            </w:r>
            <w:r w:rsidRPr="0053423A">
              <w:rPr>
                <w:rFonts w:eastAsia="Calibri" w:cs="Times New Roman"/>
                <w:sz w:val="20"/>
                <w:szCs w:val="20"/>
              </w:rPr>
              <w:t>տնտեսավարման</w:t>
            </w:r>
            <w:r w:rsidRPr="0053423A">
              <w:rPr>
                <w:rFonts w:eastAsia="Calibri" w:cs="Times New Roman"/>
                <w:sz w:val="20"/>
                <w:szCs w:val="20"/>
                <w:lang w:val="af-ZA"/>
              </w:rPr>
              <w:t xml:space="preserve"> </w:t>
            </w:r>
            <w:r w:rsidRPr="0053423A">
              <w:rPr>
                <w:rFonts w:eastAsia="Calibri" w:cs="Times New Roman"/>
                <w:sz w:val="20"/>
                <w:szCs w:val="20"/>
              </w:rPr>
              <w:t>գործընթացը</w:t>
            </w:r>
            <w:r w:rsidRPr="0053423A">
              <w:rPr>
                <w:rFonts w:eastAsia="Calibri" w:cs="Times New Roman"/>
                <w:sz w:val="20"/>
                <w:szCs w:val="20"/>
                <w:lang w:val="af-ZA"/>
              </w:rPr>
              <w:t xml:space="preserve"> </w:t>
            </w:r>
            <w:r w:rsidRPr="0053423A">
              <w:rPr>
                <w:rFonts w:eastAsia="Calibri" w:cs="Times New Roman"/>
                <w:sz w:val="20"/>
                <w:szCs w:val="20"/>
              </w:rPr>
              <w:t>խթանելու</w:t>
            </w:r>
            <w:r w:rsidRPr="0053423A">
              <w:rPr>
                <w:rFonts w:eastAsia="Calibri" w:cs="Times New Roman"/>
                <w:sz w:val="20"/>
                <w:szCs w:val="20"/>
                <w:lang w:val="af-ZA"/>
              </w:rPr>
              <w:t xml:space="preserve"> </w:t>
            </w:r>
            <w:r w:rsidRPr="0053423A">
              <w:rPr>
                <w:rFonts w:eastAsia="Calibri" w:cs="Times New Roman"/>
                <w:sz w:val="20"/>
                <w:szCs w:val="20"/>
              </w:rPr>
              <w:t>համար</w:t>
            </w:r>
            <w:r w:rsidRPr="0053423A">
              <w:rPr>
                <w:rFonts w:eastAsia="Calibri" w:cs="Times New Roman"/>
                <w:sz w:val="20"/>
                <w:szCs w:val="20"/>
                <w:lang w:val="af-ZA"/>
              </w:rPr>
              <w:t xml:space="preserve"> </w:t>
            </w:r>
            <w:r w:rsidRPr="0053423A">
              <w:rPr>
                <w:rFonts w:eastAsia="Calibri" w:cs="Times New Roman"/>
                <w:sz w:val="20"/>
                <w:szCs w:val="20"/>
              </w:rPr>
              <w:t>անհրաժեշտ</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ստեղծել</w:t>
            </w:r>
            <w:r w:rsidRPr="0053423A">
              <w:rPr>
                <w:rFonts w:eastAsia="Calibri" w:cs="Times New Roman"/>
                <w:sz w:val="20"/>
                <w:szCs w:val="20"/>
                <w:lang w:val="af-ZA"/>
              </w:rPr>
              <w:t xml:space="preserve"> </w:t>
            </w:r>
            <w:r w:rsidRPr="0053423A">
              <w:rPr>
                <w:rFonts w:eastAsia="Calibri" w:cs="Times New Roman"/>
                <w:sz w:val="20"/>
                <w:szCs w:val="20"/>
              </w:rPr>
              <w:t>մեկ</w:t>
            </w:r>
            <w:r w:rsidRPr="0053423A">
              <w:rPr>
                <w:rFonts w:eastAsia="Calibri" w:cs="Times New Roman"/>
                <w:sz w:val="20"/>
                <w:szCs w:val="20"/>
                <w:lang w:val="af-ZA"/>
              </w:rPr>
              <w:t xml:space="preserve"> </w:t>
            </w:r>
            <w:r w:rsidRPr="0053423A">
              <w:rPr>
                <w:rFonts w:eastAsia="Calibri" w:cs="Times New Roman"/>
                <w:sz w:val="20"/>
                <w:szCs w:val="20"/>
              </w:rPr>
              <w:t>կառույց</w:t>
            </w:r>
            <w:r w:rsidRPr="0053423A">
              <w:rPr>
                <w:rFonts w:eastAsia="Calibri" w:cs="Times New Roman"/>
                <w:sz w:val="20"/>
                <w:szCs w:val="20"/>
                <w:lang w:val="af-ZA"/>
              </w:rPr>
              <w:t xml:space="preserve"> «</w:t>
            </w:r>
            <w:r w:rsidRPr="0053423A">
              <w:rPr>
                <w:rFonts w:eastAsia="Calibri" w:cs="Times New Roman"/>
                <w:sz w:val="20"/>
                <w:szCs w:val="20"/>
              </w:rPr>
              <w:t>ՀԱՅՖԻԼՄ</w:t>
            </w:r>
            <w:r w:rsidRPr="0053423A">
              <w:rPr>
                <w:rFonts w:eastAsia="Calibri" w:cs="Times New Roman"/>
                <w:sz w:val="20"/>
                <w:szCs w:val="20"/>
                <w:lang w:val="af-ZA"/>
              </w:rPr>
              <w:t xml:space="preserve">» </w:t>
            </w:r>
            <w:r w:rsidRPr="0053423A">
              <w:rPr>
                <w:rFonts w:eastAsia="Calibri" w:cs="Times New Roman"/>
                <w:sz w:val="20"/>
                <w:szCs w:val="20"/>
              </w:rPr>
              <w:t>հիմնադրամ</w:t>
            </w:r>
            <w:r w:rsidRPr="0053423A">
              <w:rPr>
                <w:rFonts w:eastAsia="Calibri" w:cs="Times New Roman"/>
                <w:sz w:val="20"/>
                <w:szCs w:val="20"/>
                <w:lang w:val="af-ZA"/>
              </w:rPr>
              <w:t xml:space="preserve">, </w:t>
            </w:r>
            <w:r w:rsidRPr="0053423A">
              <w:rPr>
                <w:rFonts w:eastAsia="Calibri" w:cs="Times New Roman"/>
                <w:sz w:val="20"/>
                <w:szCs w:val="20"/>
              </w:rPr>
              <w:t>որը</w:t>
            </w:r>
            <w:r w:rsidRPr="0053423A">
              <w:rPr>
                <w:rFonts w:eastAsia="Calibri" w:cs="Times New Roman"/>
                <w:sz w:val="20"/>
                <w:szCs w:val="20"/>
                <w:lang w:val="af-ZA"/>
              </w:rPr>
              <w:t xml:space="preserve"> </w:t>
            </w:r>
            <w:r w:rsidRPr="0053423A">
              <w:rPr>
                <w:rFonts w:eastAsia="Calibri" w:cs="Times New Roman"/>
                <w:sz w:val="20"/>
                <w:szCs w:val="20"/>
              </w:rPr>
              <w:t>կիրականացնի</w:t>
            </w:r>
            <w:r w:rsidRPr="0053423A">
              <w:rPr>
                <w:rFonts w:eastAsia="Calibri" w:cs="Times New Roman"/>
                <w:sz w:val="20"/>
                <w:szCs w:val="20"/>
                <w:lang w:val="af-ZA"/>
              </w:rPr>
              <w:t xml:space="preserve"> </w:t>
            </w:r>
            <w:r w:rsidRPr="0053423A">
              <w:rPr>
                <w:rFonts w:eastAsia="Calibri" w:cs="Times New Roman"/>
                <w:sz w:val="20"/>
                <w:szCs w:val="20"/>
              </w:rPr>
              <w:t>Հայաստանում</w:t>
            </w:r>
            <w:r w:rsidRPr="0053423A">
              <w:rPr>
                <w:rFonts w:eastAsia="Calibri" w:cs="Times New Roman"/>
                <w:sz w:val="20"/>
                <w:szCs w:val="20"/>
                <w:lang w:val="af-ZA"/>
              </w:rPr>
              <w:t xml:space="preserve"> </w:t>
            </w:r>
            <w:r w:rsidRPr="0053423A">
              <w:rPr>
                <w:rFonts w:eastAsia="Calibri" w:cs="Times New Roman"/>
                <w:sz w:val="20"/>
                <w:szCs w:val="20"/>
              </w:rPr>
              <w:t>կինոոլորտի</w:t>
            </w:r>
            <w:r w:rsidRPr="0053423A">
              <w:rPr>
                <w:rFonts w:eastAsia="Calibri" w:cs="Times New Roman"/>
                <w:sz w:val="20"/>
                <w:szCs w:val="20"/>
                <w:lang w:val="af-ZA"/>
              </w:rPr>
              <w:t xml:space="preserve"> </w:t>
            </w:r>
            <w:r w:rsidRPr="0053423A">
              <w:rPr>
                <w:rFonts w:eastAsia="Calibri" w:cs="Times New Roman"/>
                <w:sz w:val="20"/>
                <w:szCs w:val="20"/>
              </w:rPr>
              <w:t>պետական</w:t>
            </w:r>
            <w:r w:rsidRPr="0053423A">
              <w:rPr>
                <w:rFonts w:eastAsia="Calibri" w:cs="Times New Roman"/>
                <w:sz w:val="20"/>
                <w:szCs w:val="20"/>
                <w:lang w:val="af-ZA"/>
              </w:rPr>
              <w:t xml:space="preserve"> </w:t>
            </w:r>
            <w:r w:rsidRPr="0053423A">
              <w:rPr>
                <w:rFonts w:eastAsia="Calibri" w:cs="Times New Roman"/>
                <w:sz w:val="20"/>
                <w:szCs w:val="20"/>
              </w:rPr>
              <w:t>ռազմավարական</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կառավարման</w:t>
            </w:r>
            <w:r w:rsidRPr="0053423A">
              <w:rPr>
                <w:rFonts w:eastAsia="Calibri" w:cs="Times New Roman"/>
                <w:sz w:val="20"/>
                <w:szCs w:val="20"/>
                <w:lang w:val="af-ZA"/>
              </w:rPr>
              <w:t xml:space="preserve"> </w:t>
            </w:r>
            <w:r w:rsidRPr="0053423A">
              <w:rPr>
                <w:rFonts w:eastAsia="Calibri" w:cs="Times New Roman"/>
                <w:sz w:val="20"/>
                <w:szCs w:val="20"/>
              </w:rPr>
              <w:t>գործառույթները</w:t>
            </w:r>
            <w:r w:rsidRPr="0053423A">
              <w:rPr>
                <w:rFonts w:eastAsia="Calibri" w:cs="Times New Roman"/>
                <w:sz w:val="20"/>
                <w:szCs w:val="20"/>
                <w:lang w:val="af-ZA"/>
              </w:rPr>
              <w:t xml:space="preserve">, </w:t>
            </w:r>
            <w:r w:rsidRPr="0053423A">
              <w:rPr>
                <w:rFonts w:eastAsia="Calibri" w:cs="Times New Roman"/>
                <w:sz w:val="20"/>
                <w:szCs w:val="20"/>
              </w:rPr>
              <w:t>ինչպես</w:t>
            </w:r>
            <w:r w:rsidRPr="0053423A">
              <w:rPr>
                <w:rFonts w:eastAsia="Calibri" w:cs="Times New Roman"/>
                <w:sz w:val="20"/>
                <w:szCs w:val="20"/>
                <w:lang w:val="af-ZA"/>
              </w:rPr>
              <w:t xml:space="preserve"> </w:t>
            </w:r>
            <w:r w:rsidRPr="0053423A">
              <w:rPr>
                <w:rFonts w:eastAsia="Calibri" w:cs="Times New Roman"/>
                <w:sz w:val="20"/>
                <w:szCs w:val="20"/>
              </w:rPr>
              <w:t>նաև</w:t>
            </w:r>
            <w:r w:rsidRPr="0053423A">
              <w:rPr>
                <w:rFonts w:eastAsia="Calibri" w:cs="Times New Roman"/>
                <w:sz w:val="20"/>
                <w:szCs w:val="20"/>
                <w:lang w:val="af-ZA"/>
              </w:rPr>
              <w:t xml:space="preserve"> </w:t>
            </w:r>
            <w:r w:rsidRPr="0053423A">
              <w:rPr>
                <w:rFonts w:eastAsia="Calibri" w:cs="Times New Roman"/>
                <w:sz w:val="20"/>
                <w:szCs w:val="20"/>
              </w:rPr>
              <w:t>կնպաստի</w:t>
            </w:r>
            <w:r w:rsidRPr="0053423A">
              <w:rPr>
                <w:rFonts w:eastAsia="Calibri" w:cs="Times New Roman"/>
                <w:sz w:val="20"/>
                <w:szCs w:val="20"/>
                <w:lang w:val="af-ZA"/>
              </w:rPr>
              <w:t xml:space="preserve"> </w:t>
            </w:r>
            <w:r w:rsidRPr="0053423A">
              <w:rPr>
                <w:rFonts w:eastAsia="Calibri" w:cs="Times New Roman"/>
                <w:sz w:val="20"/>
                <w:szCs w:val="20"/>
              </w:rPr>
              <w:t>ոլորտում</w:t>
            </w:r>
            <w:r w:rsidRPr="0053423A">
              <w:rPr>
                <w:rFonts w:eastAsia="Calibri" w:cs="Times New Roman"/>
                <w:sz w:val="20"/>
                <w:szCs w:val="20"/>
                <w:lang w:val="af-ZA"/>
              </w:rPr>
              <w:t xml:space="preserve"> </w:t>
            </w:r>
            <w:r w:rsidRPr="0053423A">
              <w:rPr>
                <w:rFonts w:eastAsia="Calibri" w:cs="Times New Roman"/>
                <w:sz w:val="20"/>
                <w:szCs w:val="20"/>
              </w:rPr>
              <w:t>միջազգային</w:t>
            </w:r>
            <w:r w:rsidRPr="0053423A">
              <w:rPr>
                <w:rFonts w:eastAsia="Calibri" w:cs="Times New Roman"/>
                <w:sz w:val="20"/>
                <w:szCs w:val="20"/>
                <w:lang w:val="af-ZA"/>
              </w:rPr>
              <w:t xml:space="preserve"> </w:t>
            </w:r>
            <w:r w:rsidRPr="0053423A">
              <w:rPr>
                <w:rFonts w:eastAsia="Calibri" w:cs="Times New Roman"/>
                <w:sz w:val="20"/>
                <w:szCs w:val="20"/>
              </w:rPr>
              <w:t>համագործակցության</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մասնավոր</w:t>
            </w:r>
            <w:r w:rsidRPr="0053423A">
              <w:rPr>
                <w:rFonts w:eastAsia="Calibri" w:cs="Times New Roman"/>
                <w:sz w:val="20"/>
                <w:szCs w:val="20"/>
                <w:lang w:val="af-ZA"/>
              </w:rPr>
              <w:t xml:space="preserve"> </w:t>
            </w:r>
            <w:r w:rsidRPr="0053423A">
              <w:rPr>
                <w:rFonts w:eastAsia="Calibri" w:cs="Times New Roman"/>
                <w:sz w:val="20"/>
                <w:szCs w:val="20"/>
              </w:rPr>
              <w:t>ներդրումային</w:t>
            </w:r>
            <w:r w:rsidRPr="0053423A">
              <w:rPr>
                <w:rFonts w:eastAsia="Calibri" w:cs="Times New Roman"/>
                <w:sz w:val="20"/>
                <w:szCs w:val="20"/>
                <w:lang w:val="af-ZA"/>
              </w:rPr>
              <w:t xml:space="preserve"> </w:t>
            </w:r>
            <w:r w:rsidRPr="0053423A">
              <w:rPr>
                <w:rFonts w:eastAsia="Calibri" w:cs="Times New Roman"/>
                <w:sz w:val="20"/>
                <w:szCs w:val="20"/>
              </w:rPr>
              <w:t>ծրագրերի</w:t>
            </w:r>
            <w:r w:rsidRPr="0053423A">
              <w:rPr>
                <w:rFonts w:eastAsia="Calibri" w:cs="Times New Roman"/>
                <w:sz w:val="20"/>
                <w:szCs w:val="20"/>
                <w:lang w:val="af-ZA"/>
              </w:rPr>
              <w:t xml:space="preserve"> </w:t>
            </w:r>
            <w:r w:rsidRPr="0053423A">
              <w:rPr>
                <w:rFonts w:eastAsia="Calibri" w:cs="Times New Roman"/>
                <w:sz w:val="20"/>
                <w:szCs w:val="20"/>
              </w:rPr>
              <w:t>իրականացմանը</w:t>
            </w:r>
            <w:r w:rsidRPr="0053423A">
              <w:rPr>
                <w:rFonts w:eastAsia="Calibri" w:cs="Times New Roman"/>
                <w:sz w:val="20"/>
                <w:szCs w:val="20"/>
                <w:lang w:val="af-ZA"/>
              </w:rPr>
              <w:t>:</w:t>
            </w:r>
            <w:r w:rsidRPr="0053423A">
              <w:rPr>
                <w:rFonts w:eastAsia="Calibri" w:cs="Times New Roman"/>
                <w:sz w:val="20"/>
                <w:szCs w:val="20"/>
                <w:lang w:val="hy-AM"/>
              </w:rPr>
              <w:t xml:space="preserve"> 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w:t>
            </w:r>
            <w:r w:rsidRPr="0053423A">
              <w:rPr>
                <w:rFonts w:eastAsia="Calibri" w:cs="Times New Roman"/>
                <w:sz w:val="20"/>
                <w:szCs w:val="20"/>
              </w:rPr>
              <w:t>Մշակույթ» բաժին</w:t>
            </w:r>
            <w:r w:rsidRPr="0053423A">
              <w:rPr>
                <w:rFonts w:eastAsia="Calibri" w:cs="Times New Roman"/>
                <w:sz w:val="20"/>
                <w:szCs w:val="20"/>
                <w:lang w:val="hy-AM"/>
              </w:rPr>
              <w:t xml:space="preserve">: </w:t>
            </w:r>
          </w:p>
          <w:p w:rsidR="00A67B6B" w:rsidRPr="0053423A" w:rsidRDefault="00A67B6B" w:rsidP="00A67858">
            <w:pPr>
              <w:spacing w:after="0" w:line="276" w:lineRule="auto"/>
              <w:jc w:val="both"/>
              <w:rPr>
                <w:rFonts w:eastAsia="Calibri" w:cs="Times New Roman"/>
                <w:sz w:val="20"/>
                <w:szCs w:val="20"/>
                <w:lang w:val="af-ZA"/>
              </w:rPr>
            </w:pPr>
          </w:p>
          <w:p w:rsidR="00A67B6B" w:rsidRPr="0053423A" w:rsidRDefault="00A67B6B" w:rsidP="001F6D5D">
            <w:pPr>
              <w:numPr>
                <w:ilvl w:val="1"/>
                <w:numId w:val="223"/>
              </w:numPr>
              <w:tabs>
                <w:tab w:val="left" w:pos="508"/>
              </w:tabs>
              <w:spacing w:after="0" w:line="276" w:lineRule="auto"/>
              <w:ind w:hanging="1004"/>
              <w:contextualSpacing/>
              <w:rPr>
                <w:rFonts w:eastAsia="Calibri" w:cs="Times New Roman"/>
                <w:b/>
                <w:sz w:val="20"/>
                <w:szCs w:val="20"/>
                <w:lang w:val="af-ZA"/>
              </w:rPr>
            </w:pPr>
            <w:r w:rsidRPr="0053423A">
              <w:rPr>
                <w:rFonts w:eastAsia="Calibri" w:cs="Times New Roman"/>
                <w:b/>
                <w:sz w:val="20"/>
                <w:szCs w:val="20"/>
              </w:rPr>
              <w:t>Կարգավորման</w:t>
            </w:r>
            <w:r w:rsidRPr="0053423A">
              <w:rPr>
                <w:rFonts w:eastAsia="Calibri" w:cs="Times New Roman"/>
                <w:b/>
                <w:sz w:val="20"/>
                <w:szCs w:val="20"/>
                <w:lang w:val="af-ZA"/>
              </w:rPr>
              <w:t xml:space="preserve"> </w:t>
            </w:r>
            <w:r w:rsidRPr="0053423A">
              <w:rPr>
                <w:rFonts w:eastAsia="Calibri" w:cs="Times New Roman"/>
                <w:b/>
                <w:sz w:val="20"/>
                <w:szCs w:val="20"/>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rPr>
              <w:t>ներկա</w:t>
            </w:r>
            <w:r w:rsidRPr="0053423A">
              <w:rPr>
                <w:rFonts w:eastAsia="Calibri" w:cs="Times New Roman"/>
                <w:b/>
                <w:sz w:val="20"/>
                <w:szCs w:val="20"/>
                <w:lang w:val="af-ZA"/>
              </w:rPr>
              <w:t xml:space="preserve"> </w:t>
            </w:r>
            <w:r w:rsidRPr="0053423A">
              <w:rPr>
                <w:rFonts w:eastAsia="Calibri" w:cs="Times New Roman"/>
                <w:b/>
                <w:sz w:val="20"/>
                <w:szCs w:val="20"/>
              </w:rPr>
              <w:t>վիճակը</w:t>
            </w:r>
            <w:r w:rsidRPr="0053423A">
              <w:rPr>
                <w:rFonts w:eastAsia="Calibri" w:cs="Times New Roman"/>
                <w:b/>
                <w:sz w:val="20"/>
                <w:szCs w:val="20"/>
                <w:lang w:val="af-ZA"/>
              </w:rPr>
              <w:t xml:space="preserve"> </w:t>
            </w:r>
            <w:r w:rsidRPr="0053423A">
              <w:rPr>
                <w:rFonts w:eastAsia="Calibri" w:cs="Times New Roman"/>
                <w:b/>
                <w:sz w:val="20"/>
                <w:szCs w:val="20"/>
              </w:rPr>
              <w:t>և</w:t>
            </w:r>
            <w:r w:rsidRPr="0053423A">
              <w:rPr>
                <w:rFonts w:eastAsia="Calibri" w:cs="Times New Roman"/>
                <w:b/>
                <w:sz w:val="20"/>
                <w:szCs w:val="20"/>
                <w:lang w:val="af-ZA"/>
              </w:rPr>
              <w:t xml:space="preserve"> </w:t>
            </w:r>
            <w:r w:rsidRPr="0053423A">
              <w:rPr>
                <w:rFonts w:eastAsia="Calibri" w:cs="Times New Roman"/>
                <w:b/>
                <w:sz w:val="20"/>
                <w:szCs w:val="20"/>
              </w:rPr>
              <w:t>առկա</w:t>
            </w:r>
            <w:r w:rsidRPr="0053423A">
              <w:rPr>
                <w:rFonts w:eastAsia="Calibri" w:cs="Times New Roman"/>
                <w:b/>
                <w:sz w:val="20"/>
                <w:szCs w:val="20"/>
                <w:lang w:val="af-ZA"/>
              </w:rPr>
              <w:t xml:space="preserve"> </w:t>
            </w:r>
            <w:r w:rsidRPr="0053423A">
              <w:rPr>
                <w:rFonts w:eastAsia="Calibri" w:cs="Times New Roman"/>
                <w:b/>
                <w:sz w:val="20"/>
                <w:szCs w:val="20"/>
              </w:rPr>
              <w:t>խնդիրները</w:t>
            </w:r>
          </w:p>
          <w:p w:rsidR="00A67B6B" w:rsidRPr="0053423A" w:rsidRDefault="00A67B6B" w:rsidP="00A67858">
            <w:pPr>
              <w:tabs>
                <w:tab w:val="left" w:pos="508"/>
              </w:tabs>
              <w:spacing w:after="0" w:line="276" w:lineRule="auto"/>
              <w:jc w:val="both"/>
              <w:rPr>
                <w:rFonts w:eastAsia="Calibri" w:cs="Times New Roman"/>
                <w:sz w:val="20"/>
                <w:szCs w:val="20"/>
                <w:lang w:val="af-ZA"/>
              </w:rPr>
            </w:pPr>
            <w:r w:rsidRPr="0053423A">
              <w:rPr>
                <w:rFonts w:eastAsia="Calibri" w:cs="Sylfaen"/>
                <w:sz w:val="20"/>
                <w:szCs w:val="20"/>
              </w:rPr>
              <w:t>Հայաստան</w:t>
            </w:r>
            <w:r w:rsidRPr="0053423A">
              <w:rPr>
                <w:rFonts w:eastAsia="Calibri" w:cs="Times New Roman"/>
                <w:sz w:val="20"/>
                <w:szCs w:val="20"/>
              </w:rPr>
              <w:t>ում</w:t>
            </w:r>
            <w:r w:rsidRPr="0053423A">
              <w:rPr>
                <w:rFonts w:eastAsia="Calibri" w:cs="Times New Roman"/>
                <w:sz w:val="20"/>
                <w:szCs w:val="20"/>
                <w:lang w:val="af-ZA"/>
              </w:rPr>
              <w:t xml:space="preserve"> </w:t>
            </w:r>
            <w:r w:rsidRPr="0053423A">
              <w:rPr>
                <w:rFonts w:eastAsia="Calibri" w:cs="Times New Roman"/>
                <w:sz w:val="20"/>
                <w:szCs w:val="20"/>
              </w:rPr>
              <w:t>գործում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կինեմատոգրաֆիայի կարգավորումների </w:t>
            </w:r>
            <w:r w:rsidRPr="0053423A">
              <w:rPr>
                <w:rFonts w:eastAsia="Calibri" w:cs="Times New Roman"/>
                <w:sz w:val="20"/>
                <w:szCs w:val="20"/>
              </w:rPr>
              <w:t>երկու</w:t>
            </w:r>
            <w:r w:rsidRPr="0053423A">
              <w:rPr>
                <w:rFonts w:eastAsia="Calibri" w:cs="Times New Roman"/>
                <w:sz w:val="20"/>
                <w:szCs w:val="20"/>
                <w:lang w:val="af-ZA"/>
              </w:rPr>
              <w:t xml:space="preserve"> </w:t>
            </w:r>
            <w:r w:rsidRPr="0053423A">
              <w:rPr>
                <w:rFonts w:eastAsia="Calibri" w:cs="Times New Roman"/>
                <w:sz w:val="20"/>
                <w:szCs w:val="20"/>
              </w:rPr>
              <w:t>պետական</w:t>
            </w:r>
            <w:r w:rsidRPr="0053423A">
              <w:rPr>
                <w:rFonts w:eastAsia="Calibri" w:cs="Times New Roman"/>
                <w:sz w:val="20"/>
                <w:szCs w:val="20"/>
                <w:lang w:val="af-ZA"/>
              </w:rPr>
              <w:t xml:space="preserve"> ոչ առևտրային կազմակերպություն, </w:t>
            </w:r>
            <w:r w:rsidRPr="0053423A">
              <w:rPr>
                <w:rFonts w:eastAsia="Calibri" w:cs="Times New Roman"/>
                <w:sz w:val="20"/>
                <w:szCs w:val="20"/>
              </w:rPr>
              <w:t>որոնք</w:t>
            </w:r>
            <w:r w:rsidRPr="0053423A">
              <w:rPr>
                <w:rFonts w:eastAsia="Calibri" w:cs="Times New Roman"/>
                <w:sz w:val="20"/>
                <w:szCs w:val="20"/>
                <w:lang w:val="af-ZA"/>
              </w:rPr>
              <w:t xml:space="preserve"> </w:t>
            </w:r>
            <w:r w:rsidRPr="0053423A">
              <w:rPr>
                <w:rFonts w:eastAsia="Calibri" w:cs="Times New Roman"/>
                <w:sz w:val="20"/>
                <w:szCs w:val="20"/>
              </w:rPr>
              <w:t>իրականացնում</w:t>
            </w:r>
            <w:r w:rsidRPr="0053423A">
              <w:rPr>
                <w:rFonts w:eastAsia="Calibri" w:cs="Times New Roman"/>
                <w:sz w:val="20"/>
                <w:szCs w:val="20"/>
                <w:lang w:val="af-ZA"/>
              </w:rPr>
              <w:t xml:space="preserve"> </w:t>
            </w:r>
            <w:r w:rsidRPr="0053423A">
              <w:rPr>
                <w:rFonts w:eastAsia="Calibri" w:cs="Times New Roman"/>
                <w:sz w:val="20"/>
                <w:szCs w:val="20"/>
              </w:rPr>
              <w:t>են</w:t>
            </w:r>
            <w:r w:rsidRPr="0053423A">
              <w:rPr>
                <w:rFonts w:eastAsia="Calibri" w:cs="Times New Roman"/>
                <w:sz w:val="20"/>
                <w:szCs w:val="20"/>
                <w:lang w:val="af-ZA"/>
              </w:rPr>
              <w:t xml:space="preserve"> </w:t>
            </w:r>
            <w:r w:rsidRPr="0053423A">
              <w:rPr>
                <w:rFonts w:eastAsia="Calibri" w:cs="Times New Roman"/>
                <w:sz w:val="20"/>
                <w:szCs w:val="20"/>
              </w:rPr>
              <w:t>կինոոլորտի</w:t>
            </w:r>
            <w:r w:rsidRPr="0053423A">
              <w:rPr>
                <w:rFonts w:eastAsia="Calibri" w:cs="Times New Roman"/>
                <w:sz w:val="20"/>
                <w:szCs w:val="20"/>
                <w:lang w:val="af-ZA"/>
              </w:rPr>
              <w:t xml:space="preserve"> </w:t>
            </w:r>
            <w:r w:rsidRPr="0053423A">
              <w:rPr>
                <w:rFonts w:eastAsia="Calibri" w:cs="Times New Roman"/>
                <w:sz w:val="20"/>
                <w:szCs w:val="20"/>
              </w:rPr>
              <w:t>աջակցության</w:t>
            </w:r>
            <w:r w:rsidRPr="0053423A">
              <w:rPr>
                <w:rFonts w:eastAsia="Calibri" w:cs="Times New Roman"/>
                <w:sz w:val="20"/>
                <w:szCs w:val="20"/>
                <w:lang w:val="af-ZA"/>
              </w:rPr>
              <w:t xml:space="preserve">, կինոարտադրության, միջոցառումների կազմակերպման, միջազգային համագործակցության խթանման, կինոժառանգության պահպանման գործառույթներ, սակայն ոլորտում պետական ռազմավարական գործընթացների հստակ ձևաչափի, կրթական համակարգի, ինչպես նաև ֆինանսական հատկացումների փոքրաթիվ և անարդյունավետ կառավարման արդյունքում հայկական կինոարտադրությունը դեռևս մրցունակ չէ միջազգային շուկայում: </w:t>
            </w:r>
            <w:r w:rsidRPr="0053423A">
              <w:rPr>
                <w:rFonts w:eastAsia="Calibri" w:cs="Sylfaen"/>
                <w:sz w:val="20"/>
                <w:szCs w:val="20"/>
              </w:rPr>
              <w:t>Ներկայումս</w:t>
            </w:r>
            <w:r w:rsidRPr="0053423A">
              <w:rPr>
                <w:rFonts w:eastAsia="Calibri" w:cs="Sylfaen"/>
                <w:sz w:val="20"/>
                <w:szCs w:val="20"/>
                <w:lang w:val="af-ZA"/>
              </w:rPr>
              <w:t xml:space="preserve"> </w:t>
            </w:r>
            <w:r w:rsidRPr="0053423A">
              <w:rPr>
                <w:rFonts w:eastAsia="Calibri" w:cs="Sylfaen"/>
                <w:sz w:val="20"/>
                <w:szCs w:val="20"/>
              </w:rPr>
              <w:t>Հայասատանում</w:t>
            </w:r>
            <w:r w:rsidRPr="0053423A">
              <w:rPr>
                <w:rFonts w:eastAsia="Calibri" w:cs="Sylfaen"/>
                <w:sz w:val="20"/>
                <w:szCs w:val="20"/>
                <w:lang w:val="af-ZA"/>
              </w:rPr>
              <w:t xml:space="preserve"> </w:t>
            </w:r>
            <w:r w:rsidRPr="0053423A">
              <w:rPr>
                <w:rFonts w:eastAsia="Calibri" w:cs="Sylfaen"/>
                <w:sz w:val="20"/>
                <w:szCs w:val="20"/>
              </w:rPr>
              <w:t>գործող</w:t>
            </w:r>
            <w:r w:rsidRPr="0053423A">
              <w:rPr>
                <w:rFonts w:eastAsia="Calibri" w:cs="Sylfaen"/>
                <w:sz w:val="20"/>
                <w:szCs w:val="20"/>
                <w:lang w:val="af-ZA"/>
              </w:rPr>
              <w:t xml:space="preserve"> </w:t>
            </w:r>
            <w:r w:rsidRPr="0053423A">
              <w:rPr>
                <w:rFonts w:eastAsia="Calibri" w:cs="Sylfaen"/>
                <w:sz w:val="20"/>
                <w:szCs w:val="20"/>
              </w:rPr>
              <w:t>կինեմատոգրաֆիայի</w:t>
            </w:r>
            <w:r w:rsidRPr="0053423A">
              <w:rPr>
                <w:rFonts w:eastAsia="Calibri" w:cs="Sylfaen"/>
                <w:sz w:val="20"/>
                <w:szCs w:val="20"/>
                <w:lang w:val="af-ZA"/>
              </w:rPr>
              <w:t xml:space="preserve"> </w:t>
            </w:r>
            <w:r w:rsidRPr="0053423A">
              <w:rPr>
                <w:rFonts w:eastAsia="Calibri" w:cs="Sylfaen"/>
                <w:sz w:val="20"/>
                <w:szCs w:val="20"/>
              </w:rPr>
              <w:t>կառավարման</w:t>
            </w:r>
            <w:r w:rsidRPr="0053423A">
              <w:rPr>
                <w:rFonts w:eastAsia="Calibri" w:cs="Sylfaen"/>
                <w:sz w:val="20"/>
                <w:szCs w:val="20"/>
                <w:lang w:val="af-ZA"/>
              </w:rPr>
              <w:t xml:space="preserve"> </w:t>
            </w:r>
            <w:r w:rsidRPr="0053423A">
              <w:rPr>
                <w:rFonts w:eastAsia="Calibri" w:cs="Sylfaen"/>
                <w:sz w:val="20"/>
                <w:szCs w:val="20"/>
              </w:rPr>
              <w:t>համակարգը</w:t>
            </w:r>
            <w:r w:rsidRPr="0053423A">
              <w:rPr>
                <w:rFonts w:eastAsia="Calibri" w:cs="Sylfaen"/>
                <w:sz w:val="20"/>
                <w:szCs w:val="20"/>
                <w:lang w:val="af-ZA"/>
              </w:rPr>
              <w:t xml:space="preserve"> </w:t>
            </w:r>
            <w:r w:rsidRPr="0053423A">
              <w:rPr>
                <w:rFonts w:eastAsia="Calibri" w:cs="Sylfaen"/>
                <w:sz w:val="20"/>
                <w:szCs w:val="20"/>
              </w:rPr>
              <w:t>և</w:t>
            </w:r>
            <w:r w:rsidRPr="0053423A">
              <w:rPr>
                <w:rFonts w:eastAsia="Calibri" w:cs="Sylfaen"/>
                <w:sz w:val="20"/>
                <w:szCs w:val="20"/>
                <w:lang w:val="af-ZA"/>
              </w:rPr>
              <w:t xml:space="preserve"> </w:t>
            </w:r>
            <w:r w:rsidRPr="0053423A">
              <w:rPr>
                <w:rFonts w:eastAsia="Calibri" w:cs="Sylfaen"/>
                <w:sz w:val="20"/>
                <w:szCs w:val="20"/>
              </w:rPr>
              <w:t>ֆիլմարտադրության</w:t>
            </w:r>
            <w:r w:rsidRPr="0053423A">
              <w:rPr>
                <w:rFonts w:eastAsia="Calibri" w:cs="Sylfaen"/>
                <w:sz w:val="20"/>
                <w:szCs w:val="20"/>
                <w:lang w:val="af-ZA"/>
              </w:rPr>
              <w:t xml:space="preserve"> </w:t>
            </w:r>
            <w:r w:rsidRPr="0053423A">
              <w:rPr>
                <w:rFonts w:eastAsia="Calibri" w:cs="Sylfaen"/>
                <w:sz w:val="20"/>
                <w:szCs w:val="20"/>
              </w:rPr>
              <w:t>համար</w:t>
            </w:r>
            <w:r w:rsidRPr="0053423A">
              <w:rPr>
                <w:rFonts w:eastAsia="Calibri" w:cs="Sylfaen"/>
                <w:sz w:val="20"/>
                <w:szCs w:val="20"/>
                <w:lang w:val="af-ZA"/>
              </w:rPr>
              <w:t xml:space="preserve"> </w:t>
            </w:r>
            <w:r w:rsidRPr="0053423A">
              <w:rPr>
                <w:rFonts w:eastAsia="Calibri" w:cs="Sylfaen"/>
                <w:sz w:val="20"/>
                <w:szCs w:val="20"/>
              </w:rPr>
              <w:t>նախատեսված</w:t>
            </w:r>
            <w:r w:rsidRPr="0053423A">
              <w:rPr>
                <w:rFonts w:eastAsia="Calibri" w:cs="Sylfaen"/>
                <w:sz w:val="20"/>
                <w:szCs w:val="20"/>
                <w:lang w:val="af-ZA"/>
              </w:rPr>
              <w:t xml:space="preserve"> </w:t>
            </w:r>
            <w:r w:rsidRPr="0053423A">
              <w:rPr>
                <w:rFonts w:eastAsia="Calibri" w:cs="Sylfaen"/>
                <w:sz w:val="20"/>
                <w:szCs w:val="20"/>
              </w:rPr>
              <w:t>բյուջետային</w:t>
            </w:r>
            <w:r w:rsidRPr="0053423A">
              <w:rPr>
                <w:rFonts w:eastAsia="Calibri" w:cs="Sylfaen"/>
                <w:sz w:val="20"/>
                <w:szCs w:val="20"/>
                <w:lang w:val="af-ZA"/>
              </w:rPr>
              <w:t xml:space="preserve"> </w:t>
            </w:r>
            <w:r w:rsidRPr="0053423A">
              <w:rPr>
                <w:rFonts w:eastAsia="Calibri" w:cs="Sylfaen"/>
                <w:sz w:val="20"/>
                <w:szCs w:val="20"/>
              </w:rPr>
              <w:t>հատկացումները</w:t>
            </w:r>
            <w:r w:rsidRPr="0053423A">
              <w:rPr>
                <w:rFonts w:eastAsia="Calibri" w:cs="Sylfaen"/>
                <w:sz w:val="20"/>
                <w:szCs w:val="20"/>
                <w:lang w:val="af-ZA"/>
              </w:rPr>
              <w:t xml:space="preserve"> </w:t>
            </w:r>
            <w:r w:rsidRPr="0053423A">
              <w:rPr>
                <w:rFonts w:eastAsia="Calibri" w:cs="Sylfaen"/>
                <w:sz w:val="20"/>
                <w:szCs w:val="20"/>
              </w:rPr>
              <w:t>ենթակա</w:t>
            </w:r>
            <w:r w:rsidRPr="0053423A">
              <w:rPr>
                <w:rFonts w:eastAsia="Calibri" w:cs="Sylfaen"/>
                <w:sz w:val="20"/>
                <w:szCs w:val="20"/>
                <w:lang w:val="af-ZA"/>
              </w:rPr>
              <w:t xml:space="preserve"> </w:t>
            </w:r>
            <w:r w:rsidRPr="0053423A">
              <w:rPr>
                <w:rFonts w:eastAsia="Calibri" w:cs="Sylfaen"/>
                <w:sz w:val="20"/>
                <w:szCs w:val="20"/>
              </w:rPr>
              <w:t>են</w:t>
            </w:r>
            <w:r w:rsidRPr="0053423A">
              <w:rPr>
                <w:rFonts w:eastAsia="Calibri" w:cs="Sylfaen"/>
                <w:sz w:val="20"/>
                <w:szCs w:val="20"/>
                <w:lang w:val="af-ZA"/>
              </w:rPr>
              <w:t xml:space="preserve"> </w:t>
            </w:r>
            <w:r w:rsidRPr="0053423A">
              <w:rPr>
                <w:rFonts w:eastAsia="Calibri" w:cs="Sylfaen"/>
                <w:sz w:val="20"/>
                <w:szCs w:val="20"/>
              </w:rPr>
              <w:t>նպատակային</w:t>
            </w:r>
            <w:r w:rsidRPr="0053423A">
              <w:rPr>
                <w:rFonts w:eastAsia="Calibri" w:cs="Sylfaen"/>
                <w:sz w:val="20"/>
                <w:szCs w:val="20"/>
                <w:lang w:val="af-ZA"/>
              </w:rPr>
              <w:t xml:space="preserve"> </w:t>
            </w:r>
            <w:r w:rsidRPr="0053423A">
              <w:rPr>
                <w:rFonts w:eastAsia="Calibri" w:cs="Sylfaen"/>
                <w:sz w:val="20"/>
                <w:szCs w:val="20"/>
              </w:rPr>
              <w:t>կարգավորումների</w:t>
            </w:r>
            <w:r w:rsidRPr="0053423A">
              <w:rPr>
                <w:rFonts w:eastAsia="Calibri" w:cs="Sylfaen"/>
                <w:sz w:val="20"/>
                <w:szCs w:val="20"/>
                <w:lang w:val="af-ZA"/>
              </w:rPr>
              <w:t xml:space="preserve">: </w:t>
            </w:r>
            <w:r w:rsidRPr="0053423A">
              <w:rPr>
                <w:rFonts w:eastAsia="Calibri" w:cs="Times New Roman"/>
                <w:sz w:val="20"/>
                <w:szCs w:val="20"/>
                <w:lang w:val="af-ZA"/>
              </w:rPr>
              <w:t xml:space="preserve">Կինոոլորտի </w:t>
            </w:r>
            <w:r w:rsidRPr="0053423A">
              <w:rPr>
                <w:rFonts w:eastAsia="Calibri" w:cs="Times New Roman"/>
                <w:sz w:val="20"/>
                <w:szCs w:val="20"/>
                <w:lang w:val="hy-AM"/>
              </w:rPr>
              <w:t>զարգացման</w:t>
            </w:r>
            <w:r w:rsidRPr="0053423A">
              <w:rPr>
                <w:rFonts w:eastAsia="Calibri" w:cs="Times New Roman"/>
                <w:sz w:val="20"/>
                <w:szCs w:val="20"/>
                <w:lang w:val="af-ZA"/>
              </w:rPr>
              <w:t>,</w:t>
            </w:r>
            <w:r w:rsidRPr="0053423A">
              <w:rPr>
                <w:rFonts w:eastAsia="Calibri" w:cs="Times New Roman"/>
                <w:sz w:val="20"/>
                <w:szCs w:val="20"/>
                <w:lang w:val="hy-AM"/>
              </w:rPr>
              <w:t xml:space="preserve"> իրավահարաբերությունների կարգավորման և </w:t>
            </w:r>
            <w:r w:rsidRPr="0053423A">
              <w:rPr>
                <w:rFonts w:eastAsia="Calibri" w:cs="Times New Roman"/>
                <w:sz w:val="20"/>
                <w:szCs w:val="20"/>
              </w:rPr>
              <w:t>միջազգային</w:t>
            </w:r>
            <w:r w:rsidRPr="0053423A">
              <w:rPr>
                <w:rFonts w:eastAsia="Calibri" w:cs="Times New Roman"/>
                <w:sz w:val="20"/>
                <w:szCs w:val="20"/>
                <w:lang w:val="af-ZA"/>
              </w:rPr>
              <w:t xml:space="preserve"> </w:t>
            </w:r>
            <w:r w:rsidRPr="0053423A">
              <w:rPr>
                <w:rFonts w:eastAsia="Calibri" w:cs="Times New Roman"/>
                <w:sz w:val="20"/>
                <w:szCs w:val="20"/>
              </w:rPr>
              <w:t>համագործակցության</w:t>
            </w:r>
            <w:r w:rsidRPr="0053423A">
              <w:rPr>
                <w:rFonts w:eastAsia="Calibri" w:cs="Times New Roman"/>
                <w:sz w:val="20"/>
                <w:szCs w:val="20"/>
                <w:lang w:val="af-ZA"/>
              </w:rPr>
              <w:t xml:space="preserve"> </w:t>
            </w:r>
            <w:r w:rsidRPr="0053423A">
              <w:rPr>
                <w:rFonts w:eastAsia="Calibri" w:cs="Times New Roman"/>
                <w:sz w:val="20"/>
                <w:szCs w:val="20"/>
              </w:rPr>
              <w:t>արդյունավետության</w:t>
            </w:r>
            <w:r w:rsidRPr="0053423A">
              <w:rPr>
                <w:rFonts w:eastAsia="Calibri" w:cs="Times New Roman"/>
                <w:sz w:val="20"/>
                <w:szCs w:val="20"/>
                <w:lang w:val="af-ZA"/>
              </w:rPr>
              <w:t xml:space="preserve"> </w:t>
            </w:r>
            <w:r w:rsidRPr="0053423A">
              <w:rPr>
                <w:rFonts w:eastAsia="Calibri" w:cs="Times New Roman"/>
                <w:sz w:val="20"/>
                <w:szCs w:val="20"/>
              </w:rPr>
              <w:t>համար</w:t>
            </w:r>
            <w:r w:rsidRPr="0053423A">
              <w:rPr>
                <w:rFonts w:eastAsia="Calibri" w:cs="Times New Roman"/>
                <w:sz w:val="20"/>
                <w:szCs w:val="20"/>
                <w:lang w:val="af-ZA"/>
              </w:rPr>
              <w:t xml:space="preserve"> </w:t>
            </w:r>
            <w:r w:rsidRPr="0053423A">
              <w:rPr>
                <w:rFonts w:eastAsia="Calibri" w:cs="Times New Roman"/>
                <w:sz w:val="20"/>
                <w:szCs w:val="20"/>
              </w:rPr>
              <w:t>անհրաժեշտ</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նաև</w:t>
            </w:r>
            <w:r w:rsidRPr="0053423A">
              <w:rPr>
                <w:rFonts w:eastAsia="Calibri" w:cs="Times New Roman"/>
                <w:sz w:val="20"/>
                <w:szCs w:val="20"/>
                <w:lang w:val="af-ZA"/>
              </w:rPr>
              <w:t xml:space="preserve"> ՀՀ կինոմատոգրաֆիայի մասին օրենքի առկայությունը, որը առավելագույնս կխթանի կինոյի ոլորտում պետություն-մասնավոր հատվածի համագործակցությունը: </w:t>
            </w:r>
          </w:p>
          <w:p w:rsidR="00A67B6B" w:rsidRPr="0053423A" w:rsidRDefault="00A67B6B" w:rsidP="001F6D5D">
            <w:pPr>
              <w:numPr>
                <w:ilvl w:val="1"/>
                <w:numId w:val="223"/>
              </w:numPr>
              <w:tabs>
                <w:tab w:val="left" w:pos="508"/>
              </w:tabs>
              <w:spacing w:after="0" w:line="276" w:lineRule="auto"/>
              <w:ind w:hanging="991"/>
              <w:contextualSpacing/>
              <w:rPr>
                <w:rFonts w:eastAsia="Calibri" w:cs="Times New Roman"/>
                <w:b/>
                <w:sz w:val="20"/>
                <w:szCs w:val="20"/>
              </w:rPr>
            </w:pPr>
            <w:r w:rsidRPr="0053423A">
              <w:rPr>
                <w:rFonts w:eastAsia="Calibri" w:cs="Times New Roman"/>
                <w:b/>
                <w:sz w:val="20"/>
                <w:szCs w:val="20"/>
              </w:rPr>
              <w:t>Առկա խնդիրների առաջարկվող լուծումները</w:t>
            </w:r>
          </w:p>
          <w:p w:rsidR="00A67B6B" w:rsidRPr="0053423A" w:rsidRDefault="00A67B6B" w:rsidP="00A67858">
            <w:pPr>
              <w:spacing w:after="0" w:line="276" w:lineRule="auto"/>
              <w:jc w:val="both"/>
              <w:rPr>
                <w:rFonts w:eastAsia="Calibri" w:cs="Times New Roman"/>
                <w:sz w:val="20"/>
                <w:szCs w:val="20"/>
              </w:rPr>
            </w:pPr>
            <w:r w:rsidRPr="0053423A">
              <w:rPr>
                <w:rFonts w:eastAsia="Calibri" w:cs="Sylfaen"/>
                <w:sz w:val="20"/>
                <w:szCs w:val="20"/>
              </w:rPr>
              <w:t xml:space="preserve">Ոլորտի բարեփոխման համար անհրաժեշտ է </w:t>
            </w:r>
            <w:r w:rsidRPr="0053423A">
              <w:rPr>
                <w:rFonts w:eastAsia="Calibri" w:cs="Times New Roman"/>
                <w:sz w:val="20"/>
                <w:szCs w:val="20"/>
              </w:rPr>
              <w:t xml:space="preserve">միավորել ներկայումս ՀՀ մշակույթի նախարարության ենթակայությամբ գործող երկու ՊՈԱԿ-ները՝ «Հայաստանի ազգային կինոկենտրոն», «Փաստավավերագրական ֆիլմերի «Հայկ» կինոստուդիա» և Գույքի պետական կառավարման կոմիտեյի ենթակայությամբ գործող «Հայֆիլմ» ՓԲԸ-ն՝ ստեղծելով «ՀԱՅՖԻԼՄ» հիմնադրամ: Հիմնադրամի ներսում անհրաժեշտ է ստեղծել կինոարտադրության ենթակառուցվածքների համար անհրաժեշտ հետարտադրական աշխատանքների և նկարահանումների տաղավարներ, կինոարխիվի պահպանման նպատակով թվայնացման և վերականգնման լաբորատոիրա, նկարահանման տեխնիկական սարքավորումների բազա, նկարահանող խմբերի աշխատանքների և միջազգային նախագծերի կազմակերպման համար համապատասխան ծառայությունների հնարավորություններՙ ՀՀ կառավարության պահուստային ֆոնդի և մասնավոր ներդրումների հաշվին: </w:t>
            </w:r>
          </w:p>
          <w:p w:rsidR="00A67B6B" w:rsidRPr="0053423A" w:rsidRDefault="00A67B6B" w:rsidP="00A67858">
            <w:pPr>
              <w:spacing w:after="0" w:line="276" w:lineRule="auto"/>
              <w:jc w:val="both"/>
              <w:rPr>
                <w:rFonts w:eastAsia="Calibri" w:cs="Times New Roman"/>
                <w:sz w:val="20"/>
                <w:szCs w:val="20"/>
              </w:rPr>
            </w:pPr>
          </w:p>
          <w:p w:rsidR="00A67B6B" w:rsidRPr="0053423A" w:rsidRDefault="00A67B6B" w:rsidP="001F6D5D">
            <w:pPr>
              <w:numPr>
                <w:ilvl w:val="0"/>
                <w:numId w:val="223"/>
              </w:numPr>
              <w:tabs>
                <w:tab w:val="left" w:pos="508"/>
              </w:tabs>
              <w:spacing w:after="0" w:line="276" w:lineRule="auto"/>
              <w:ind w:hanging="644"/>
              <w:contextualSpacing/>
              <w:rPr>
                <w:rFonts w:eastAsia="Calibri" w:cs="Times New Roman"/>
                <w:b/>
                <w:sz w:val="20"/>
                <w:szCs w:val="20"/>
              </w:rPr>
            </w:pPr>
            <w:r w:rsidRPr="0053423A">
              <w:rPr>
                <w:rFonts w:eastAsia="Calibri" w:cs="Times New Roman"/>
                <w:b/>
                <w:sz w:val="20"/>
                <w:szCs w:val="20"/>
              </w:rPr>
              <w:t xml:space="preserve"> Միջոցառման իրականացումից ակնկալվող արդյունքը</w:t>
            </w:r>
          </w:p>
          <w:p w:rsidR="00A67B6B" w:rsidRPr="0053423A" w:rsidRDefault="00A67B6B" w:rsidP="00A67858">
            <w:pPr>
              <w:tabs>
                <w:tab w:val="left" w:pos="426"/>
                <w:tab w:val="left" w:pos="508"/>
              </w:tabs>
              <w:spacing w:after="0" w:line="276" w:lineRule="auto"/>
              <w:jc w:val="both"/>
              <w:rPr>
                <w:rFonts w:eastAsia="Calibri" w:cs="Times New Roman"/>
                <w:sz w:val="20"/>
                <w:szCs w:val="20"/>
              </w:rPr>
            </w:pPr>
            <w:r w:rsidRPr="0053423A">
              <w:rPr>
                <w:rFonts w:eastAsia="Calibri" w:cs="Times New Roman"/>
                <w:sz w:val="20"/>
                <w:szCs w:val="20"/>
                <w:lang w:val="af-ZA"/>
              </w:rPr>
              <w:t>«</w:t>
            </w:r>
            <w:r w:rsidRPr="0053423A">
              <w:rPr>
                <w:rFonts w:eastAsia="Calibri" w:cs="Times New Roman"/>
                <w:sz w:val="20"/>
                <w:szCs w:val="20"/>
              </w:rPr>
              <w:t>ՀԱՅՖԻԼՄ</w:t>
            </w:r>
            <w:r w:rsidRPr="0053423A">
              <w:rPr>
                <w:rFonts w:eastAsia="Calibri" w:cs="Times New Roman"/>
                <w:sz w:val="20"/>
                <w:szCs w:val="20"/>
                <w:lang w:val="af-ZA"/>
              </w:rPr>
              <w:t xml:space="preserve">» </w:t>
            </w:r>
            <w:r w:rsidRPr="0053423A">
              <w:rPr>
                <w:rFonts w:eastAsia="Calibri" w:cs="Times New Roman"/>
                <w:sz w:val="20"/>
                <w:szCs w:val="20"/>
              </w:rPr>
              <w:t>հիմնադրամի ստեղծման արդյունքում հնարավոր կլինի կարգավորել ՀՀ պետական բյուջեյից կինեմատոգրաֆիայի հատկացումների արդյունավետ կառավարումը, միջազգային համագործակցության լայն ծրագրերի իրականացումը, պետություն և մասնավոր համագործակցության շնորհիվ ստեղծել կինոոլորտի զարգացման համար անհրաժեշտ ենթակառուցվածքներ, որոնք կնպաստեն Հայաստանում կինոարտադրության նոր մեխանիզմների կիրառմանը, կինոարտադրության արտաբյուջեյի ձևավորմանը, որը կուղղվի ոլորտի անհրաժեշտ նյութական բարելավումների ծրագրերին, ինչպես նաև միջազգային դրամաշնորհային ծրագրերի շնորհիվ կստեղծվի կինոժառանգության պահպանման և վերականգնման հնարավորություն, միջմշակութային կապերի ամրապնդում:</w:t>
            </w:r>
          </w:p>
        </w:tc>
      </w:tr>
      <w:tr w:rsidR="00A67B6B" w:rsidRPr="0053423A" w:rsidTr="00A67B6B">
        <w:tc>
          <w:tcPr>
            <w:tcW w:w="540" w:type="dxa"/>
            <w:shd w:val="clear" w:color="auto" w:fill="auto"/>
          </w:tcPr>
          <w:p w:rsidR="00A67B6B" w:rsidRPr="0053423A" w:rsidRDefault="00A67B6B" w:rsidP="00A67858">
            <w:pPr>
              <w:tabs>
                <w:tab w:val="left" w:pos="1418"/>
              </w:tabs>
              <w:spacing w:after="0" w:line="276" w:lineRule="auto"/>
              <w:jc w:val="center"/>
              <w:rPr>
                <w:rFonts w:eastAsia="Calibri" w:cs="Times New Roman"/>
                <w:caps/>
                <w:sz w:val="20"/>
                <w:szCs w:val="20"/>
                <w:lang w:val="hy-AM"/>
              </w:rPr>
            </w:pPr>
            <w:r w:rsidRPr="0053423A">
              <w:rPr>
                <w:rFonts w:eastAsia="Calibri" w:cs="Times New Roman"/>
                <w:caps/>
                <w:sz w:val="20"/>
                <w:szCs w:val="20"/>
                <w:lang w:val="ru-RU"/>
              </w:rPr>
              <w:t>4</w:t>
            </w:r>
          </w:p>
        </w:tc>
        <w:tc>
          <w:tcPr>
            <w:tcW w:w="10980" w:type="dxa"/>
            <w:shd w:val="clear" w:color="auto" w:fill="auto"/>
          </w:tcPr>
          <w:p w:rsidR="00A67B6B" w:rsidRPr="0053423A" w:rsidRDefault="00A67B6B" w:rsidP="00A67858">
            <w:pPr>
              <w:tabs>
                <w:tab w:val="left" w:pos="508"/>
              </w:tabs>
              <w:spacing w:after="0" w:line="276" w:lineRule="auto"/>
              <w:contextualSpacing/>
              <w:jc w:val="center"/>
              <w:rPr>
                <w:rFonts w:eastAsia="Times New Roman" w:cs="Times New Roman"/>
                <w:b/>
                <w:sz w:val="20"/>
                <w:szCs w:val="20"/>
                <w:lang w:val="hy-AM"/>
              </w:rPr>
            </w:pPr>
          </w:p>
          <w:p w:rsidR="00A67B6B" w:rsidRPr="0053423A" w:rsidRDefault="00A67B6B" w:rsidP="00A67858">
            <w:pPr>
              <w:spacing w:after="0" w:line="276" w:lineRule="auto"/>
              <w:jc w:val="center"/>
              <w:rPr>
                <w:rFonts w:eastAsia="Calibri" w:cs="Calibri"/>
                <w:b/>
                <w:sz w:val="20"/>
                <w:szCs w:val="20"/>
                <w:lang w:val="hy-AM"/>
              </w:rPr>
            </w:pPr>
            <w:r w:rsidRPr="0053423A">
              <w:rPr>
                <w:rFonts w:eastAsia="Calibri" w:cs="Calibri"/>
                <w:b/>
                <w:sz w:val="20"/>
                <w:szCs w:val="20"/>
                <w:lang w:val="hy-AM"/>
              </w:rPr>
              <w:t>4.1 Հայաստանում  միջազգային և հանրապետական փառատոների և մրցույթների, հեղինակավոր նախագծերի, ցուցահանդեսների իրականացում</w:t>
            </w:r>
          </w:p>
          <w:p w:rsidR="00A67B6B" w:rsidRPr="0053423A" w:rsidRDefault="00A67B6B" w:rsidP="00A67858">
            <w:pPr>
              <w:spacing w:after="0" w:line="276" w:lineRule="auto"/>
              <w:jc w:val="center"/>
              <w:rPr>
                <w:rFonts w:eastAsia="Calibri" w:cs="Calibri"/>
                <w:b/>
                <w:sz w:val="20"/>
                <w:szCs w:val="20"/>
                <w:lang w:val="hy-AM"/>
              </w:rPr>
            </w:pPr>
          </w:p>
          <w:p w:rsidR="00A67B6B" w:rsidRPr="0053423A" w:rsidRDefault="00A67B6B" w:rsidP="001F6D5D">
            <w:pPr>
              <w:numPr>
                <w:ilvl w:val="0"/>
                <w:numId w:val="212"/>
              </w:numPr>
              <w:spacing w:after="0" w:line="276" w:lineRule="auto"/>
              <w:contextualSpacing/>
              <w:rPr>
                <w:rFonts w:eastAsia="Times New Roman" w:cs="Times New Roman"/>
                <w:b/>
                <w:sz w:val="20"/>
                <w:szCs w:val="20"/>
                <w:lang w:val="hy-AM"/>
              </w:rPr>
            </w:pPr>
            <w:r w:rsidRPr="0053423A">
              <w:rPr>
                <w:rFonts w:eastAsia="Times New Roman" w:cs="Times New Roman"/>
                <w:b/>
                <w:sz w:val="20"/>
                <w:szCs w:val="20"/>
                <w:lang w:val="hy-AM"/>
              </w:rPr>
              <w:t xml:space="preserve">Միջոցառման իրակացման անհրաժեշտությունը և նպատակը </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Times New Roman" w:cs="Times New Roman"/>
                <w:sz w:val="20"/>
                <w:szCs w:val="20"/>
                <w:lang w:val="hy-AM"/>
              </w:rPr>
              <w:t xml:space="preserve">Միջոցառման իրականացման անհրաժեշտությունը պայմանավորված է համաշխարհային մշակույթի, տեսարվեստի և կատարողական արվեստների ժամանակակից միտումները հայ հանդիսատեսին ներկայացման, միջմշակութային առնչությունների, փորձի փոխանակման և ստեղծագործական համագործակցության ամրապնդման, ինչպես նաև հանրության մշակութային կրթության մակարդակի բարձրացման անհրաժեշտությամբ: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jc w:val="both"/>
              <w:rPr>
                <w:rFonts w:eastAsia="Times New Roman" w:cs="Times New Roman"/>
                <w:sz w:val="20"/>
                <w:szCs w:val="20"/>
                <w:lang w:val="hy-AM"/>
              </w:rPr>
            </w:pPr>
          </w:p>
          <w:p w:rsidR="00A67B6B" w:rsidRPr="0053423A" w:rsidRDefault="00A67B6B" w:rsidP="00A67858">
            <w:pPr>
              <w:spacing w:after="0" w:line="276" w:lineRule="auto"/>
              <w:rPr>
                <w:rFonts w:eastAsia="Times New Roman" w:cs="Times New Roman"/>
                <w:b/>
                <w:sz w:val="20"/>
                <w:szCs w:val="20"/>
                <w:lang w:val="hy-AM"/>
              </w:rPr>
            </w:pPr>
            <w:r w:rsidRPr="0053423A">
              <w:rPr>
                <w:rFonts w:eastAsia="Times New Roman" w:cs="Times New Roman"/>
                <w:b/>
                <w:sz w:val="20"/>
                <w:szCs w:val="20"/>
                <w:lang w:val="hy-AM"/>
              </w:rPr>
              <w:t xml:space="preserve">1.1. Կարգավորման հարաբերությունների ներկա վիճակը և առկա խնդիրները </w:t>
            </w:r>
          </w:p>
          <w:p w:rsidR="00A67B6B" w:rsidRPr="0053423A" w:rsidRDefault="00A67B6B" w:rsidP="00A67858">
            <w:pPr>
              <w:tabs>
                <w:tab w:val="left" w:pos="508"/>
              </w:tabs>
              <w:spacing w:after="0" w:line="276" w:lineRule="auto"/>
              <w:contextualSpacing/>
              <w:jc w:val="both"/>
              <w:rPr>
                <w:rFonts w:eastAsia="Times New Roman" w:cs="Times New Roman"/>
                <w:sz w:val="20"/>
                <w:szCs w:val="20"/>
                <w:lang w:val="hy-AM"/>
              </w:rPr>
            </w:pPr>
            <w:r w:rsidRPr="0053423A">
              <w:rPr>
                <w:rFonts w:eastAsia="Times New Roman" w:cs="Times New Roman"/>
                <w:sz w:val="20"/>
                <w:szCs w:val="20"/>
                <w:lang w:val="hy-AM"/>
              </w:rPr>
              <w:t>Ներկայում Հայաստանում իրականացվում են տարբեր մշակութային միջազգային ծրագրեր, միջոցառումներ, փառատոներ, որոնք մեծ դերակատարություն ունեն հայ մշակույթի զարգացման և միջազգայնացման, հայկական արվեստի և մշակույթի հանրահռչակման գործում: Սակայն բավարար չէ ծրագրերի միջազգային ճանաչումը, հանրային ուշադրությունը իրականացվող միջոցառումների նկատմամբ, զբոսաշրջության ներգրավումը, հանրության լայն շերտերի հաղորդակցումը, ինչպես նաև ծրագրերի ֆինանսավորումը:</w:t>
            </w:r>
          </w:p>
          <w:p w:rsidR="00A67B6B" w:rsidRPr="0053423A" w:rsidRDefault="00A67B6B" w:rsidP="00A67858">
            <w:pPr>
              <w:tabs>
                <w:tab w:val="left" w:pos="508"/>
              </w:tabs>
              <w:spacing w:after="0" w:line="276" w:lineRule="auto"/>
              <w:contextualSpacing/>
              <w:jc w:val="both"/>
              <w:rPr>
                <w:rFonts w:eastAsia="Times New Roman" w:cs="Times New Roman"/>
                <w:sz w:val="20"/>
                <w:szCs w:val="20"/>
                <w:lang w:val="hy-AM"/>
              </w:rPr>
            </w:pPr>
          </w:p>
          <w:p w:rsidR="00A67B6B" w:rsidRPr="0053423A" w:rsidRDefault="00A67B6B" w:rsidP="00A67858">
            <w:pPr>
              <w:spacing w:after="0" w:line="276" w:lineRule="auto"/>
              <w:jc w:val="both"/>
              <w:rPr>
                <w:rFonts w:eastAsia="Calibri" w:cs="Times New Roman"/>
                <w:b/>
                <w:bCs/>
                <w:sz w:val="20"/>
                <w:szCs w:val="20"/>
                <w:lang w:val="hy-AM"/>
              </w:rPr>
            </w:pPr>
            <w:r w:rsidRPr="0053423A">
              <w:rPr>
                <w:rFonts w:eastAsia="Times New Roman" w:cs="Times New Roman"/>
                <w:b/>
                <w:sz w:val="20"/>
                <w:szCs w:val="20"/>
                <w:lang w:val="hy-AM"/>
              </w:rPr>
              <w:t xml:space="preserve">1.2. Առկա խնդիրների առաջարկվող լուծումները </w:t>
            </w:r>
          </w:p>
          <w:p w:rsidR="00A67B6B" w:rsidRPr="0053423A" w:rsidRDefault="00A67B6B" w:rsidP="00A67858">
            <w:pPr>
              <w:tabs>
                <w:tab w:val="left" w:pos="508"/>
              </w:tabs>
              <w:spacing w:after="0" w:line="276" w:lineRule="auto"/>
              <w:jc w:val="both"/>
              <w:rPr>
                <w:rFonts w:eastAsia="Times New Roman" w:cs="Times New Roman"/>
                <w:sz w:val="20"/>
                <w:szCs w:val="20"/>
                <w:lang w:val="hy-AM"/>
              </w:rPr>
            </w:pPr>
            <w:r w:rsidRPr="0053423A">
              <w:rPr>
                <w:rFonts w:eastAsia="Times New Roman" w:cs="Times New Roman"/>
                <w:sz w:val="20"/>
                <w:szCs w:val="20"/>
                <w:lang w:val="hy-AM"/>
              </w:rPr>
              <w:t>Ապահովել միջազգային նախագծերի իրականացման շարունակականությունն ու գեղարվեստական ընդլայնումը, միջազգային հեղինակավոր կառույցների անդամակցության գործընթացի ապահովումը, անցկացվող ծրագրերի աշխարհագրության ընդլայնումը, ծրագրերում աշխարհահռչակ արվեստագետների ներգրավումը, բարձր նշաձողով ստեղծագործական նոր ծրագերրի իրականացումը, մշակութային զբոսաշրջության զարգացման գործընթացում միջազգային նախագծերի ներուժի ամբողջական օգտագործումը, հասարակության լայն շերտերի համար իրականացվող ծրագրերի հասանելիության ապահովումը:</w:t>
            </w:r>
          </w:p>
          <w:p w:rsidR="00A67B6B" w:rsidRPr="0053423A" w:rsidRDefault="00A67B6B" w:rsidP="00A67858">
            <w:pPr>
              <w:tabs>
                <w:tab w:val="left" w:pos="508"/>
              </w:tabs>
              <w:spacing w:after="0" w:line="276" w:lineRule="auto"/>
              <w:jc w:val="both"/>
              <w:rPr>
                <w:rFonts w:eastAsia="Times New Roman" w:cs="Times New Roman"/>
                <w:sz w:val="20"/>
                <w:szCs w:val="20"/>
                <w:lang w:val="hy-AM"/>
              </w:rPr>
            </w:pPr>
          </w:p>
          <w:p w:rsidR="00A67B6B" w:rsidRPr="0053423A" w:rsidRDefault="00A67B6B" w:rsidP="001F6D5D">
            <w:pPr>
              <w:numPr>
                <w:ilvl w:val="0"/>
                <w:numId w:val="212"/>
              </w:numPr>
              <w:spacing w:after="0" w:line="276" w:lineRule="auto"/>
              <w:ind w:left="296" w:hanging="283"/>
              <w:rPr>
                <w:rFonts w:eastAsia="Times New Roman" w:cs="Times New Roman"/>
                <w:b/>
                <w:sz w:val="20"/>
                <w:szCs w:val="20"/>
                <w:lang w:val="hy-AM"/>
              </w:rPr>
            </w:pPr>
            <w:r w:rsidRPr="0053423A">
              <w:rPr>
                <w:rFonts w:eastAsia="Times New Roman" w:cs="Times New Roman"/>
                <w:b/>
                <w:sz w:val="20"/>
                <w:szCs w:val="20"/>
                <w:lang w:val="hy-AM"/>
              </w:rPr>
              <w:t>Միջոցառման իրականացումից ակնկալվող արդյունքը</w:t>
            </w:r>
          </w:p>
          <w:p w:rsidR="00A67B6B" w:rsidRPr="0053423A" w:rsidRDefault="00A67B6B" w:rsidP="00A67858">
            <w:pPr>
              <w:tabs>
                <w:tab w:val="left" w:pos="508"/>
              </w:tabs>
              <w:spacing w:after="0" w:line="276" w:lineRule="auto"/>
              <w:contextualSpacing/>
              <w:jc w:val="both"/>
              <w:rPr>
                <w:rFonts w:eastAsia="Times New Roman" w:cs="Times New Roman"/>
                <w:sz w:val="20"/>
                <w:szCs w:val="20"/>
                <w:lang w:val="hy-AM"/>
              </w:rPr>
            </w:pPr>
            <w:r w:rsidRPr="0053423A">
              <w:rPr>
                <w:rFonts w:eastAsia="Times New Roman" w:cs="Times New Roman"/>
                <w:sz w:val="20"/>
                <w:szCs w:val="20"/>
                <w:lang w:val="hy-AM"/>
              </w:rPr>
              <w:t>Հայկական մշակույթի և ժամանակակից արվեստների հանրահռչակում, համաշխարհային մշակութային գործընթացներում հայաստանյան մշակույթի ներկայացում, հայկական մշակութային միջավայրի բարձր նշաձողի ապահովում, հայ արվեստագետների, մշակույթի գործիչների արժևորում և հանրահռչակում, մշակութային զբոսաշրջության զարգացում, արվեստի տարբեր բնագավառների համաչափ զարգացում, փորձի փոխանակման հարթակի ստեղծում, համաշխարհային մշակութային գործընթացներին ինտեգրում, մշակութային տնտեսության զարգացում:</w:t>
            </w:r>
          </w:p>
          <w:p w:rsidR="00A67B6B" w:rsidRPr="0053423A" w:rsidRDefault="00A67B6B" w:rsidP="00A67858">
            <w:pPr>
              <w:tabs>
                <w:tab w:val="left" w:pos="508"/>
              </w:tabs>
              <w:spacing w:after="0" w:line="276" w:lineRule="auto"/>
              <w:contextualSpacing/>
              <w:jc w:val="both"/>
              <w:rPr>
                <w:rFonts w:eastAsia="Times New Roman" w:cs="Times New Roman"/>
                <w:sz w:val="20"/>
                <w:szCs w:val="20"/>
                <w:lang w:val="hy-AM"/>
              </w:rPr>
            </w:pPr>
          </w:p>
          <w:p w:rsidR="00A67B6B" w:rsidRPr="0053423A" w:rsidRDefault="00A67B6B" w:rsidP="00A67858">
            <w:pPr>
              <w:tabs>
                <w:tab w:val="left" w:pos="508"/>
              </w:tabs>
              <w:spacing w:after="0" w:line="276" w:lineRule="auto"/>
              <w:contextualSpacing/>
              <w:jc w:val="center"/>
              <w:rPr>
                <w:rFonts w:eastAsia="Calibri" w:cs="Times New Roman"/>
                <w:b/>
                <w:sz w:val="20"/>
                <w:szCs w:val="20"/>
                <w:lang w:val="hy-AM"/>
              </w:rPr>
            </w:pPr>
            <w:r w:rsidRPr="0053423A">
              <w:rPr>
                <w:rFonts w:eastAsia="Calibri" w:cs="Times New Roman"/>
                <w:b/>
                <w:sz w:val="20"/>
                <w:szCs w:val="20"/>
                <w:lang w:val="hy-AM"/>
              </w:rPr>
              <w:t xml:space="preserve">4.2 </w:t>
            </w:r>
            <w:r w:rsidRPr="0053423A">
              <w:rPr>
                <w:rFonts w:eastAsia="Times New Roman" w:cs="Times New Roman"/>
                <w:b/>
                <w:sz w:val="20"/>
                <w:szCs w:val="20"/>
                <w:lang w:val="hy-AM"/>
              </w:rPr>
              <w:t>Թանգարաններում</w:t>
            </w:r>
            <w:r w:rsidRPr="0053423A">
              <w:rPr>
                <w:rFonts w:eastAsia="Times New Roman" w:cs="Times New Roman"/>
                <w:b/>
                <w:sz w:val="20"/>
                <w:szCs w:val="20"/>
                <w:lang w:val="af-ZA"/>
              </w:rPr>
              <w:t xml:space="preserve"> </w:t>
            </w:r>
            <w:r w:rsidRPr="0053423A">
              <w:rPr>
                <w:rFonts w:eastAsia="Times New Roman" w:cs="Times New Roman"/>
                <w:b/>
                <w:sz w:val="20"/>
                <w:szCs w:val="20"/>
                <w:lang w:val="hy-AM"/>
              </w:rPr>
              <w:t>և</w:t>
            </w:r>
            <w:r w:rsidRPr="0053423A">
              <w:rPr>
                <w:rFonts w:eastAsia="Times New Roman" w:cs="Times New Roman"/>
                <w:b/>
                <w:sz w:val="20"/>
                <w:szCs w:val="20"/>
                <w:lang w:val="af-ZA"/>
              </w:rPr>
              <w:t xml:space="preserve"> </w:t>
            </w:r>
            <w:r w:rsidRPr="0053423A">
              <w:rPr>
                <w:rFonts w:eastAsia="Times New Roman" w:cs="Times New Roman"/>
                <w:b/>
                <w:sz w:val="20"/>
                <w:szCs w:val="20"/>
                <w:lang w:val="hy-AM"/>
              </w:rPr>
              <w:t>գրադարաններում</w:t>
            </w:r>
            <w:r w:rsidRPr="0053423A">
              <w:rPr>
                <w:rFonts w:eastAsia="Times New Roman" w:cs="Times New Roman"/>
                <w:b/>
                <w:sz w:val="20"/>
                <w:szCs w:val="20"/>
                <w:lang w:val="af-ZA"/>
              </w:rPr>
              <w:t xml:space="preserve"> </w:t>
            </w:r>
            <w:r w:rsidRPr="0053423A">
              <w:rPr>
                <w:rFonts w:eastAsia="Times New Roman" w:cs="Times New Roman"/>
                <w:b/>
                <w:sz w:val="20"/>
                <w:szCs w:val="20"/>
                <w:lang w:val="hy-AM"/>
              </w:rPr>
              <w:t xml:space="preserve"> ընդհանուր</w:t>
            </w:r>
            <w:r w:rsidRPr="0053423A">
              <w:rPr>
                <w:rFonts w:eastAsia="Times New Roman" w:cs="Times New Roman"/>
                <w:b/>
                <w:sz w:val="20"/>
                <w:szCs w:val="20"/>
                <w:lang w:val="af-ZA"/>
              </w:rPr>
              <w:t xml:space="preserve"> </w:t>
            </w:r>
            <w:r w:rsidRPr="0053423A">
              <w:rPr>
                <w:rFonts w:eastAsia="Times New Roman" w:cs="Times New Roman"/>
                <w:b/>
                <w:sz w:val="20"/>
                <w:szCs w:val="20"/>
                <w:lang w:val="hy-AM"/>
              </w:rPr>
              <w:t xml:space="preserve"> գիտակրթական</w:t>
            </w:r>
            <w:r w:rsidRPr="0053423A">
              <w:rPr>
                <w:rFonts w:eastAsia="Times New Roman" w:cs="Times New Roman"/>
                <w:b/>
                <w:sz w:val="20"/>
                <w:szCs w:val="20"/>
                <w:lang w:val="af-ZA"/>
              </w:rPr>
              <w:t xml:space="preserve"> </w:t>
            </w:r>
            <w:r w:rsidRPr="0053423A">
              <w:rPr>
                <w:rFonts w:eastAsia="Times New Roman" w:cs="Times New Roman"/>
                <w:b/>
                <w:sz w:val="20"/>
                <w:szCs w:val="20"/>
                <w:lang w:val="hy-AM"/>
              </w:rPr>
              <w:t>ծրագրերի</w:t>
            </w:r>
            <w:r w:rsidRPr="0053423A">
              <w:rPr>
                <w:rFonts w:eastAsia="Times New Roman" w:cs="Times New Roman"/>
                <w:b/>
                <w:sz w:val="20"/>
                <w:szCs w:val="20"/>
                <w:lang w:val="af-ZA"/>
              </w:rPr>
              <w:t xml:space="preserve"> </w:t>
            </w:r>
            <w:r w:rsidRPr="0053423A">
              <w:rPr>
                <w:rFonts w:eastAsia="Times New Roman" w:cs="Times New Roman"/>
                <w:b/>
                <w:sz w:val="20"/>
                <w:szCs w:val="20"/>
                <w:lang w:val="hy-AM"/>
              </w:rPr>
              <w:t>իրականացում</w:t>
            </w:r>
          </w:p>
          <w:p w:rsidR="00A67B6B" w:rsidRPr="0053423A" w:rsidRDefault="00A67B6B" w:rsidP="00A67858">
            <w:pPr>
              <w:tabs>
                <w:tab w:val="left" w:pos="508"/>
              </w:tabs>
              <w:spacing w:after="0" w:line="276" w:lineRule="auto"/>
              <w:contextualSpacing/>
              <w:jc w:val="center"/>
              <w:rPr>
                <w:rFonts w:eastAsia="Calibri" w:cs="GHEA Grapalat"/>
                <w:sz w:val="20"/>
                <w:szCs w:val="20"/>
                <w:lang w:val="af-ZA"/>
              </w:rPr>
            </w:pPr>
          </w:p>
          <w:p w:rsidR="00A67B6B" w:rsidRPr="0053423A" w:rsidRDefault="00A67B6B" w:rsidP="001F6D5D">
            <w:pPr>
              <w:numPr>
                <w:ilvl w:val="0"/>
                <w:numId w:val="205"/>
              </w:numPr>
              <w:tabs>
                <w:tab w:val="left" w:pos="508"/>
              </w:tabs>
              <w:spacing w:after="0" w:line="276" w:lineRule="auto"/>
              <w:ind w:left="0" w:firstLine="0"/>
              <w:contextualSpacing/>
              <w:rPr>
                <w:rFonts w:eastAsia="Calibri" w:cs="Times New Roman"/>
                <w:b/>
                <w:sz w:val="20"/>
                <w:szCs w:val="20"/>
                <w:lang w:val="af-ZA"/>
              </w:rPr>
            </w:pPr>
            <w:r w:rsidRPr="0053423A">
              <w:rPr>
                <w:rFonts w:eastAsia="Calibri" w:cs="Times New Roman"/>
                <w:b/>
                <w:sz w:val="20"/>
                <w:szCs w:val="20"/>
              </w:rPr>
              <w:t>Միջոցառման</w:t>
            </w:r>
            <w:r w:rsidRPr="0053423A">
              <w:rPr>
                <w:rFonts w:eastAsia="Calibri" w:cs="Times New Roman"/>
                <w:b/>
                <w:sz w:val="20"/>
                <w:szCs w:val="20"/>
                <w:lang w:val="hy-AM"/>
              </w:rPr>
              <w:t xml:space="preserve"> </w:t>
            </w:r>
            <w:r w:rsidRPr="0053423A">
              <w:rPr>
                <w:rFonts w:eastAsia="Calibri" w:cs="Times New Roman"/>
                <w:b/>
                <w:sz w:val="20"/>
                <w:szCs w:val="20"/>
              </w:rPr>
              <w:t>իրակա</w:t>
            </w:r>
            <w:r w:rsidRPr="0053423A">
              <w:rPr>
                <w:rFonts w:eastAsia="Calibri" w:cs="Times New Roman"/>
                <w:b/>
                <w:sz w:val="20"/>
                <w:szCs w:val="20"/>
                <w:lang w:val="hy-AM"/>
              </w:rPr>
              <w:t>նա</w:t>
            </w:r>
            <w:r w:rsidRPr="0053423A">
              <w:rPr>
                <w:rFonts w:eastAsia="Calibri" w:cs="Times New Roman"/>
                <w:b/>
                <w:sz w:val="20"/>
                <w:szCs w:val="20"/>
              </w:rPr>
              <w:t>ցման</w:t>
            </w:r>
            <w:r w:rsidRPr="0053423A">
              <w:rPr>
                <w:rFonts w:eastAsia="Calibri" w:cs="Times New Roman"/>
                <w:b/>
                <w:sz w:val="20"/>
                <w:szCs w:val="20"/>
                <w:lang w:val="hy-AM"/>
              </w:rPr>
              <w:t xml:space="preserve"> </w:t>
            </w:r>
            <w:r w:rsidRPr="0053423A">
              <w:rPr>
                <w:rFonts w:eastAsia="Calibri" w:cs="Times New Roman"/>
                <w:b/>
                <w:sz w:val="20"/>
                <w:szCs w:val="20"/>
              </w:rPr>
              <w:t>անհրաժեշտությունը</w:t>
            </w:r>
            <w:r w:rsidRPr="0053423A">
              <w:rPr>
                <w:rFonts w:eastAsia="Calibri" w:cs="Times New Roman"/>
                <w:b/>
                <w:sz w:val="20"/>
                <w:szCs w:val="20"/>
                <w:lang w:val="hy-AM"/>
              </w:rPr>
              <w:t xml:space="preserve"> </w:t>
            </w:r>
            <w:r w:rsidRPr="0053423A">
              <w:rPr>
                <w:rFonts w:eastAsia="Calibri" w:cs="Times New Roman"/>
                <w:b/>
                <w:sz w:val="20"/>
                <w:szCs w:val="20"/>
              </w:rPr>
              <w:t>և</w:t>
            </w:r>
            <w:r w:rsidRPr="0053423A">
              <w:rPr>
                <w:rFonts w:eastAsia="Calibri" w:cs="Times New Roman"/>
                <w:b/>
                <w:sz w:val="20"/>
                <w:szCs w:val="20"/>
                <w:lang w:val="hy-AM"/>
              </w:rPr>
              <w:t xml:space="preserve"> </w:t>
            </w:r>
            <w:r w:rsidRPr="0053423A">
              <w:rPr>
                <w:rFonts w:eastAsia="Calibri" w:cs="Times New Roman"/>
                <w:b/>
                <w:sz w:val="20"/>
                <w:szCs w:val="20"/>
              </w:rPr>
              <w:t>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hy-AM"/>
              </w:rPr>
              <w:t>Արդի թանգարաններն ու գրադարանները զուտ ցուցադրական կամ ընթերցանության կազմակերպման տարածքներ չեն, այլև մշակութային գիտակրթական հաստատություններ են, որոնք որպես սոցիալ-մշակութային համակարգ իրականացնում են մշակույթին հաղորդակցության ապահովման և մշակութային ժառանգության փոխանցաման գործառույթ: Միջոցառման իրականացումը պայմանավորված է հասարակության տարբեր շերտերին՝ անկախ տարիքից և սոցիալական  խմբից մշակութային արժեքների վերաբերյալ գիտելիքների փոխանցման, թանգարաններում և գրադարաններում մշակութային կրթության իրացման անհրաժեշտությամբ:</w:t>
            </w:r>
            <w:r w:rsidRPr="0053423A">
              <w:rPr>
                <w:rFonts w:eastAsia="Calibri" w:cs="Times New Roman"/>
                <w:sz w:val="20"/>
                <w:szCs w:val="20"/>
                <w:lang w:val="af-ZA"/>
              </w:rPr>
              <w:t xml:space="preserve">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p>
          <w:p w:rsidR="00A67B6B" w:rsidRPr="0053423A" w:rsidRDefault="00A67B6B" w:rsidP="00A67858">
            <w:pPr>
              <w:tabs>
                <w:tab w:val="left" w:pos="508"/>
              </w:tabs>
              <w:spacing w:after="0" w:line="276" w:lineRule="auto"/>
              <w:contextualSpacing/>
              <w:rPr>
                <w:rFonts w:eastAsia="Calibri" w:cs="Times New Roman"/>
                <w:b/>
                <w:sz w:val="20"/>
                <w:szCs w:val="20"/>
                <w:lang w:val="af-ZA"/>
              </w:rPr>
            </w:pPr>
            <w:r w:rsidRPr="0053423A">
              <w:rPr>
                <w:rFonts w:eastAsia="Calibri" w:cs="Sylfaen"/>
                <w:b/>
                <w:sz w:val="20"/>
                <w:szCs w:val="20"/>
                <w:lang w:val="hy-AM"/>
              </w:rPr>
              <w:t xml:space="preserve">1.1 Կարգավորման </w:t>
            </w:r>
            <w:r w:rsidRPr="0053423A">
              <w:rPr>
                <w:rFonts w:eastAsia="Calibri" w:cs="Times New Roman"/>
                <w:b/>
                <w:sz w:val="20"/>
                <w:szCs w:val="20"/>
                <w:lang w:val="hy-AM"/>
              </w:rPr>
              <w:t>հարաբերությունների ներկա վիճակը և առկա խնդիրները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hy-AM"/>
              </w:rPr>
              <w:t xml:space="preserve">Ներկայում թանգարնների և գրադարանների սոցիալական դերի վերաարժևորման և նրանց դերի վերաիմաստավորման գործընթացներ են իրականացվում, ինչը առաջ է բերում հասարակություն-թանգարան/գրադարան հարաբերությունների նոր մոդելների մշակման անհրաժեշտություն: </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p>
          <w:p w:rsidR="00A67B6B" w:rsidRPr="0053423A" w:rsidRDefault="00A67B6B" w:rsidP="00A67858">
            <w:pPr>
              <w:tabs>
                <w:tab w:val="left" w:pos="-5400"/>
              </w:tabs>
              <w:spacing w:after="0" w:line="276" w:lineRule="auto"/>
              <w:contextualSpacing/>
              <w:jc w:val="both"/>
              <w:rPr>
                <w:rFonts w:eastAsia="Calibri" w:cs="Times New Roman"/>
                <w:b/>
                <w:sz w:val="20"/>
                <w:szCs w:val="20"/>
                <w:lang w:val="hy-AM"/>
              </w:rPr>
            </w:pPr>
            <w:r w:rsidRPr="0053423A">
              <w:rPr>
                <w:rFonts w:eastAsia="Calibri" w:cs="Times New Roman"/>
                <w:b/>
                <w:sz w:val="20"/>
                <w:szCs w:val="20"/>
                <w:lang w:val="hy-AM"/>
              </w:rPr>
              <w:t>1.2. Առկա խնդիրների առաջարկվող լուծումները</w:t>
            </w:r>
          </w:p>
          <w:p w:rsidR="00A67B6B" w:rsidRPr="0053423A" w:rsidRDefault="00A67B6B" w:rsidP="00A67858">
            <w:pPr>
              <w:tabs>
                <w:tab w:val="left" w:pos="508"/>
              </w:tabs>
              <w:spacing w:after="0" w:line="276" w:lineRule="auto"/>
              <w:contextualSpacing/>
              <w:jc w:val="both"/>
              <w:rPr>
                <w:rFonts w:eastAsia="Calibri" w:cs="GHEA Grapalat"/>
                <w:bCs/>
                <w:iCs/>
                <w:sz w:val="20"/>
                <w:szCs w:val="20"/>
                <w:lang w:val="tr-TR"/>
              </w:rPr>
            </w:pPr>
            <w:r w:rsidRPr="0053423A">
              <w:rPr>
                <w:rFonts w:eastAsia="Calibri" w:cs="GHEA Grapalat"/>
                <w:sz w:val="20"/>
                <w:szCs w:val="20"/>
                <w:lang w:val="hy-AM"/>
              </w:rPr>
              <w:t xml:space="preserve">Թանգարաններում և գրադարաններում ընդհանուր գիտակրթական ծրագրերի իրականացումը միտված է հասարակության մշակութային կրթության ապահովմանը և թանգարանների, գրադարանների գիտակրթական ներուժի կիրարկմանը: Թանգարանային և գրադարանային հավաքածուների </w:t>
            </w:r>
            <w:r w:rsidRPr="0053423A">
              <w:rPr>
                <w:rFonts w:eastAsia="Calibri" w:cs="GHEA Grapalat"/>
                <w:bCs/>
                <w:iCs/>
                <w:sz w:val="20"/>
                <w:szCs w:val="20"/>
                <w:lang w:val="tr-TR"/>
              </w:rPr>
              <w:t xml:space="preserve">հանրահռչակման բնագավառում արդյունավետության, </w:t>
            </w:r>
            <w:r w:rsidRPr="0053423A">
              <w:rPr>
                <w:rFonts w:eastAsia="Calibri" w:cs="GHEA Grapalat"/>
                <w:bCs/>
                <w:iCs/>
                <w:sz w:val="20"/>
                <w:szCs w:val="20"/>
                <w:lang w:val="hy-AM"/>
              </w:rPr>
              <w:t>որպես գիտական և կրթական հաստատություններ վերջիններիս գրավչության մեծացում</w:t>
            </w:r>
            <w:r w:rsidRPr="0053423A">
              <w:rPr>
                <w:rFonts w:eastAsia="Calibri" w:cs="GHEA Grapalat"/>
                <w:bCs/>
                <w:iCs/>
                <w:sz w:val="20"/>
                <w:szCs w:val="20"/>
                <w:lang w:val="tr-TR"/>
              </w:rPr>
              <w:t>:</w:t>
            </w:r>
          </w:p>
          <w:p w:rsidR="00A67B6B" w:rsidRPr="0053423A" w:rsidRDefault="00A67B6B" w:rsidP="00A67858">
            <w:pPr>
              <w:tabs>
                <w:tab w:val="left" w:pos="508"/>
              </w:tabs>
              <w:spacing w:after="0" w:line="276" w:lineRule="auto"/>
              <w:contextualSpacing/>
              <w:jc w:val="both"/>
              <w:rPr>
                <w:rFonts w:eastAsia="Calibri" w:cs="GHEA Grapalat"/>
                <w:bCs/>
                <w:iCs/>
                <w:sz w:val="20"/>
                <w:szCs w:val="20"/>
                <w:lang w:val="tr-TR"/>
              </w:rPr>
            </w:pPr>
          </w:p>
          <w:p w:rsidR="00A67B6B" w:rsidRPr="0053423A" w:rsidRDefault="00A67B6B" w:rsidP="00A67858">
            <w:pPr>
              <w:spacing w:after="0" w:line="276" w:lineRule="auto"/>
              <w:contextualSpacing/>
              <w:rPr>
                <w:rFonts w:eastAsia="Calibri" w:cs="Times New Roman"/>
                <w:b/>
                <w:sz w:val="20"/>
                <w:szCs w:val="20"/>
                <w:lang w:val="tr-TR"/>
              </w:rPr>
            </w:pPr>
            <w:r w:rsidRPr="0053423A">
              <w:rPr>
                <w:rFonts w:eastAsia="Calibri" w:cs="Times New Roman"/>
                <w:b/>
                <w:sz w:val="20"/>
                <w:szCs w:val="20"/>
                <w:lang w:val="tr-TR"/>
              </w:rPr>
              <w:t>2</w:t>
            </w:r>
            <w:r w:rsidRPr="0053423A">
              <w:rPr>
                <w:rFonts w:eastAsia="Calibri" w:cs="Times New Roman"/>
                <w:b/>
                <w:sz w:val="20"/>
                <w:szCs w:val="20"/>
                <w:lang w:val="hy-AM"/>
              </w:rPr>
              <w:t xml:space="preserve">. </w:t>
            </w:r>
            <w:r w:rsidRPr="0053423A">
              <w:rPr>
                <w:rFonts w:eastAsia="Calibri" w:cs="Times New Roman"/>
                <w:b/>
                <w:sz w:val="20"/>
                <w:szCs w:val="20"/>
              </w:rPr>
              <w:t>Միջոցառման</w:t>
            </w:r>
            <w:r w:rsidRPr="0053423A">
              <w:rPr>
                <w:rFonts w:eastAsia="Calibri" w:cs="Times New Roman"/>
                <w:b/>
                <w:sz w:val="20"/>
                <w:szCs w:val="20"/>
                <w:lang w:val="hy-AM"/>
              </w:rPr>
              <w:t xml:space="preserve"> </w:t>
            </w:r>
            <w:r w:rsidRPr="0053423A">
              <w:rPr>
                <w:rFonts w:eastAsia="Calibri" w:cs="Times New Roman"/>
                <w:b/>
                <w:sz w:val="20"/>
                <w:szCs w:val="20"/>
              </w:rPr>
              <w:t>իրականացումից</w:t>
            </w:r>
            <w:r w:rsidRPr="0053423A">
              <w:rPr>
                <w:rFonts w:eastAsia="Calibri" w:cs="Times New Roman"/>
                <w:b/>
                <w:sz w:val="20"/>
                <w:szCs w:val="20"/>
                <w:lang w:val="hy-AM"/>
              </w:rPr>
              <w:t xml:space="preserve"> </w:t>
            </w:r>
            <w:r w:rsidRPr="0053423A">
              <w:rPr>
                <w:rFonts w:eastAsia="Calibri" w:cs="Times New Roman"/>
                <w:b/>
                <w:sz w:val="20"/>
                <w:szCs w:val="20"/>
              </w:rPr>
              <w:t>ակնկալվող</w:t>
            </w:r>
            <w:r w:rsidRPr="0053423A">
              <w:rPr>
                <w:rFonts w:eastAsia="Calibri" w:cs="Times New Roman"/>
                <w:b/>
                <w:sz w:val="20"/>
                <w:szCs w:val="20"/>
                <w:lang w:val="hy-AM"/>
              </w:rPr>
              <w:t xml:space="preserve"> </w:t>
            </w:r>
            <w:r w:rsidRPr="0053423A">
              <w:rPr>
                <w:rFonts w:eastAsia="Calibri" w:cs="Times New Roman"/>
                <w:b/>
                <w:sz w:val="20"/>
                <w:szCs w:val="20"/>
              </w:rPr>
              <w:t>արդյունքը</w:t>
            </w:r>
          </w:p>
          <w:p w:rsidR="00A67B6B" w:rsidRPr="0053423A" w:rsidRDefault="00A67B6B" w:rsidP="00A67858">
            <w:pPr>
              <w:spacing w:after="0" w:line="276" w:lineRule="auto"/>
              <w:jc w:val="both"/>
              <w:rPr>
                <w:rFonts w:eastAsia="Calibri" w:cs="GHEA Grapalat"/>
                <w:sz w:val="20"/>
                <w:szCs w:val="20"/>
                <w:lang w:val="hy-AM"/>
              </w:rPr>
            </w:pPr>
            <w:r w:rsidRPr="0053423A">
              <w:rPr>
                <w:rFonts w:eastAsia="Calibri" w:cs="GHEA Grapalat"/>
                <w:sz w:val="20"/>
                <w:szCs w:val="20"/>
                <w:lang w:val="hy-AM"/>
              </w:rPr>
              <w:t>Ծրագրերի իրականացման ընդունման արդյունքում կապահովվի մշակութային ժառանգության պահպանության կարևորության գիտակցության բարձրացումը, կմեծանա թանգարանային և գրադարանային գործունեության նկատմամբ ճանաչողությունը, կբարձրանա հասարակակն կյանքում թանգարանների և գրադարանների դերն ու նշանակությունը</w:t>
            </w:r>
            <w:r w:rsidRPr="0053423A">
              <w:rPr>
                <w:rFonts w:eastAsia="Calibri" w:cs="GHEA Grapalat"/>
                <w:sz w:val="20"/>
                <w:szCs w:val="20"/>
                <w:lang w:val="tr-TR"/>
              </w:rPr>
              <w:t>, ընթերցանության խրախուսում</w:t>
            </w:r>
            <w:r w:rsidRPr="0053423A">
              <w:rPr>
                <w:rFonts w:eastAsia="Calibri" w:cs="GHEA Grapalat"/>
                <w:sz w:val="20"/>
                <w:szCs w:val="20"/>
                <w:lang w:val="hy-AM"/>
              </w:rPr>
              <w:t xml:space="preserve">: </w:t>
            </w:r>
          </w:p>
          <w:p w:rsidR="00A67B6B" w:rsidRPr="0053423A" w:rsidRDefault="00A67B6B" w:rsidP="00A67858">
            <w:pPr>
              <w:spacing w:after="0" w:line="276" w:lineRule="auto"/>
              <w:jc w:val="both"/>
              <w:rPr>
                <w:rFonts w:eastAsia="Calibri" w:cs="GHEA Grapalat"/>
                <w:sz w:val="20"/>
                <w:szCs w:val="20"/>
                <w:lang w:val="tr-TR"/>
              </w:rPr>
            </w:pPr>
          </w:p>
          <w:p w:rsidR="00A67B6B" w:rsidRPr="0053423A" w:rsidRDefault="00A67B6B" w:rsidP="00A67858">
            <w:pPr>
              <w:spacing w:after="0" w:line="276" w:lineRule="auto"/>
              <w:jc w:val="center"/>
              <w:rPr>
                <w:rFonts w:eastAsia="Times New Roman" w:cs="Times New Roman"/>
                <w:b/>
                <w:sz w:val="20"/>
                <w:szCs w:val="20"/>
                <w:lang w:val="af-ZA"/>
              </w:rPr>
            </w:pPr>
            <w:r w:rsidRPr="0053423A">
              <w:rPr>
                <w:rFonts w:eastAsia="Times New Roman" w:cs="Times New Roman"/>
                <w:b/>
                <w:sz w:val="20"/>
                <w:szCs w:val="20"/>
                <w:lang w:val="tr-TR"/>
              </w:rPr>
              <w:t xml:space="preserve">4.3 </w:t>
            </w:r>
            <w:r w:rsidRPr="0053423A">
              <w:rPr>
                <w:rFonts w:eastAsia="Times New Roman" w:cs="Times New Roman"/>
                <w:b/>
                <w:sz w:val="20"/>
                <w:szCs w:val="20"/>
              </w:rPr>
              <w:t>Բացօթյա</w:t>
            </w:r>
            <w:r w:rsidRPr="0053423A">
              <w:rPr>
                <w:rFonts w:eastAsia="Times New Roman" w:cs="Times New Roman"/>
                <w:b/>
                <w:sz w:val="20"/>
                <w:szCs w:val="20"/>
                <w:lang w:val="af-ZA"/>
              </w:rPr>
              <w:t xml:space="preserve"> </w:t>
            </w:r>
            <w:r w:rsidRPr="0053423A">
              <w:rPr>
                <w:rFonts w:eastAsia="Times New Roman" w:cs="Times New Roman"/>
                <w:b/>
                <w:sz w:val="20"/>
                <w:szCs w:val="20"/>
              </w:rPr>
              <w:t>միջոցառումների</w:t>
            </w:r>
            <w:r w:rsidRPr="0053423A">
              <w:rPr>
                <w:rFonts w:eastAsia="Times New Roman" w:cs="Times New Roman"/>
                <w:b/>
                <w:sz w:val="20"/>
                <w:szCs w:val="20"/>
                <w:lang w:val="af-ZA"/>
              </w:rPr>
              <w:t xml:space="preserve"> (</w:t>
            </w:r>
            <w:r w:rsidRPr="0053423A">
              <w:rPr>
                <w:rFonts w:eastAsia="Times New Roman" w:cs="Times New Roman"/>
                <w:b/>
                <w:sz w:val="20"/>
                <w:szCs w:val="20"/>
              </w:rPr>
              <w:t>այդ</w:t>
            </w:r>
            <w:r w:rsidRPr="0053423A">
              <w:rPr>
                <w:rFonts w:eastAsia="Times New Roman" w:cs="Times New Roman"/>
                <w:b/>
                <w:sz w:val="20"/>
                <w:szCs w:val="20"/>
                <w:lang w:val="af-ZA"/>
              </w:rPr>
              <w:t xml:space="preserve"> </w:t>
            </w:r>
            <w:r w:rsidRPr="0053423A">
              <w:rPr>
                <w:rFonts w:eastAsia="Times New Roman" w:cs="Times New Roman"/>
                <w:b/>
                <w:sz w:val="20"/>
                <w:szCs w:val="20"/>
              </w:rPr>
              <w:t>թվում՝</w:t>
            </w:r>
            <w:r w:rsidRPr="0053423A">
              <w:rPr>
                <w:rFonts w:eastAsia="Times New Roman" w:cs="Times New Roman"/>
                <w:b/>
                <w:sz w:val="20"/>
                <w:szCs w:val="20"/>
                <w:lang w:val="af-ZA"/>
              </w:rPr>
              <w:t xml:space="preserve"> </w:t>
            </w:r>
            <w:r w:rsidRPr="0053423A">
              <w:rPr>
                <w:rFonts w:eastAsia="Times New Roman" w:cs="Times New Roman"/>
                <w:b/>
                <w:sz w:val="20"/>
                <w:szCs w:val="20"/>
              </w:rPr>
              <w:t>օտարերկրյա</w:t>
            </w:r>
            <w:r w:rsidRPr="0053423A">
              <w:rPr>
                <w:rFonts w:eastAsia="Times New Roman" w:cs="Times New Roman"/>
                <w:b/>
                <w:sz w:val="20"/>
                <w:szCs w:val="20"/>
                <w:lang w:val="af-ZA"/>
              </w:rPr>
              <w:t xml:space="preserve">) </w:t>
            </w:r>
            <w:r w:rsidRPr="0053423A">
              <w:rPr>
                <w:rFonts w:eastAsia="Times New Roman" w:cs="Times New Roman"/>
                <w:b/>
                <w:sz w:val="20"/>
                <w:szCs w:val="20"/>
              </w:rPr>
              <w:t>իրականացում</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պ</w:t>
            </w:r>
            <w:r w:rsidRPr="0053423A">
              <w:rPr>
                <w:rFonts w:eastAsia="Times New Roman" w:cs="Times New Roman"/>
                <w:b/>
                <w:sz w:val="20"/>
                <w:szCs w:val="20"/>
              </w:rPr>
              <w:t>ատմա</w:t>
            </w:r>
            <w:r w:rsidRPr="0053423A">
              <w:rPr>
                <w:rFonts w:eastAsia="Times New Roman" w:cs="Times New Roman"/>
                <w:b/>
                <w:sz w:val="20"/>
                <w:szCs w:val="20"/>
                <w:lang w:val="af-ZA"/>
              </w:rPr>
              <w:softHyphen/>
            </w:r>
            <w:r w:rsidRPr="0053423A">
              <w:rPr>
                <w:rFonts w:eastAsia="Times New Roman" w:cs="Times New Roman"/>
                <w:b/>
                <w:sz w:val="20"/>
                <w:szCs w:val="20"/>
              </w:rPr>
              <w:t>մշա</w:t>
            </w:r>
            <w:r w:rsidRPr="0053423A">
              <w:rPr>
                <w:rFonts w:eastAsia="Times New Roman" w:cs="Times New Roman"/>
                <w:b/>
                <w:sz w:val="20"/>
                <w:szCs w:val="20"/>
                <w:lang w:val="af-ZA"/>
              </w:rPr>
              <w:softHyphen/>
            </w:r>
            <w:r w:rsidRPr="0053423A">
              <w:rPr>
                <w:rFonts w:eastAsia="Times New Roman" w:cs="Times New Roman"/>
                <w:b/>
                <w:sz w:val="20"/>
                <w:szCs w:val="20"/>
              </w:rPr>
              <w:t>կութային</w:t>
            </w:r>
            <w:r w:rsidRPr="0053423A">
              <w:rPr>
                <w:rFonts w:eastAsia="Times New Roman" w:cs="Times New Roman"/>
                <w:b/>
                <w:sz w:val="20"/>
                <w:szCs w:val="20"/>
                <w:lang w:val="af-ZA"/>
              </w:rPr>
              <w:t xml:space="preserve"> </w:t>
            </w:r>
            <w:r w:rsidRPr="0053423A">
              <w:rPr>
                <w:rFonts w:eastAsia="Times New Roman" w:cs="Times New Roman"/>
                <w:b/>
                <w:sz w:val="20"/>
                <w:szCs w:val="20"/>
              </w:rPr>
              <w:t>բարձրարժեք</w:t>
            </w:r>
            <w:r w:rsidRPr="0053423A">
              <w:rPr>
                <w:rFonts w:eastAsia="Times New Roman" w:cs="Times New Roman"/>
                <w:b/>
                <w:sz w:val="20"/>
                <w:szCs w:val="20"/>
                <w:lang w:val="af-ZA"/>
              </w:rPr>
              <w:t xml:space="preserve"> </w:t>
            </w:r>
            <w:r w:rsidRPr="0053423A">
              <w:rPr>
                <w:rFonts w:eastAsia="Times New Roman" w:cs="Times New Roman"/>
                <w:b/>
                <w:sz w:val="20"/>
                <w:szCs w:val="20"/>
              </w:rPr>
              <w:t>հուշարձանների</w:t>
            </w:r>
            <w:r w:rsidRPr="0053423A">
              <w:rPr>
                <w:rFonts w:eastAsia="Times New Roman" w:cs="Times New Roman"/>
                <w:b/>
                <w:sz w:val="20"/>
                <w:szCs w:val="20"/>
                <w:lang w:val="af-ZA"/>
              </w:rPr>
              <w:t xml:space="preserve"> </w:t>
            </w:r>
            <w:r w:rsidRPr="0053423A">
              <w:rPr>
                <w:rFonts w:eastAsia="Times New Roman" w:cs="Times New Roman"/>
                <w:b/>
                <w:sz w:val="20"/>
                <w:szCs w:val="20"/>
              </w:rPr>
              <w:t>տարածքներում</w:t>
            </w:r>
          </w:p>
          <w:p w:rsidR="00A67B6B" w:rsidRPr="0053423A" w:rsidRDefault="00A67B6B" w:rsidP="00A67858">
            <w:pPr>
              <w:spacing w:after="0" w:line="276" w:lineRule="auto"/>
              <w:jc w:val="both"/>
              <w:rPr>
                <w:rFonts w:eastAsia="Calibri" w:cs="Times New Roman"/>
                <w:sz w:val="20"/>
                <w:szCs w:val="20"/>
                <w:lang w:val="af-ZA"/>
              </w:rPr>
            </w:pPr>
          </w:p>
          <w:p w:rsidR="00A67B6B" w:rsidRPr="0053423A" w:rsidRDefault="00A67B6B" w:rsidP="00A67858">
            <w:pPr>
              <w:tabs>
                <w:tab w:val="left" w:pos="508"/>
              </w:tabs>
              <w:spacing w:after="0" w:line="276" w:lineRule="auto"/>
              <w:contextualSpacing/>
              <w:rPr>
                <w:rFonts w:eastAsia="Calibri" w:cs="Times New Roman"/>
                <w:b/>
                <w:sz w:val="20"/>
                <w:szCs w:val="20"/>
                <w:lang w:val="af-ZA"/>
              </w:rPr>
            </w:pPr>
            <w:r w:rsidRPr="0053423A">
              <w:rPr>
                <w:rFonts w:eastAsia="Calibri" w:cs="Times New Roman"/>
                <w:b/>
                <w:sz w:val="20"/>
                <w:szCs w:val="20"/>
                <w:lang w:val="af-ZA"/>
              </w:rPr>
              <w:t xml:space="preserve">1. </w:t>
            </w:r>
            <w:r w:rsidRPr="0053423A">
              <w:rPr>
                <w:rFonts w:eastAsia="Calibri" w:cs="Times New Roman"/>
                <w:b/>
                <w:sz w:val="20"/>
                <w:szCs w:val="20"/>
                <w:lang w:val="hy-AM"/>
              </w:rPr>
              <w:t>Միջոցառման իրականացման անհրաժեշտությունը և նպատակը</w:t>
            </w:r>
          </w:p>
          <w:p w:rsidR="00A67B6B" w:rsidRPr="0053423A" w:rsidRDefault="00A67B6B" w:rsidP="00A67858">
            <w:pPr>
              <w:spacing w:after="0" w:line="276" w:lineRule="auto"/>
              <w:jc w:val="both"/>
              <w:rPr>
                <w:rFonts w:eastAsia="Times New Roman" w:cs="Times New Roman"/>
                <w:sz w:val="20"/>
                <w:szCs w:val="20"/>
                <w:lang w:val="af-ZA"/>
              </w:rPr>
            </w:pPr>
            <w:r w:rsidRPr="0053423A">
              <w:rPr>
                <w:rFonts w:eastAsia="Calibri" w:cs="Times New Roman"/>
                <w:sz w:val="20"/>
                <w:szCs w:val="20"/>
                <w:lang w:val="ru-RU"/>
              </w:rPr>
              <w:t>Պ</w:t>
            </w:r>
            <w:r w:rsidRPr="0053423A">
              <w:rPr>
                <w:rFonts w:eastAsia="Times New Roman" w:cs="Times New Roman"/>
                <w:sz w:val="20"/>
                <w:szCs w:val="20"/>
              </w:rPr>
              <w:t>ատմ</w:t>
            </w:r>
            <w:r w:rsidRPr="0053423A">
              <w:rPr>
                <w:rFonts w:eastAsia="Times New Roman" w:cs="Times New Roman"/>
                <w:sz w:val="20"/>
                <w:szCs w:val="20"/>
                <w:lang w:val="ru-RU"/>
              </w:rPr>
              <w:t>ության</w:t>
            </w:r>
            <w:r w:rsidRPr="0053423A">
              <w:rPr>
                <w:rFonts w:eastAsia="Times New Roman" w:cs="Times New Roman"/>
                <w:sz w:val="20"/>
                <w:szCs w:val="20"/>
                <w:lang w:val="af-ZA"/>
              </w:rPr>
              <w:t xml:space="preserve"> </w:t>
            </w:r>
            <w:r w:rsidRPr="0053423A">
              <w:rPr>
                <w:rFonts w:eastAsia="Times New Roman" w:cs="Times New Roman"/>
                <w:sz w:val="20"/>
                <w:szCs w:val="20"/>
                <w:lang w:val="ru-RU"/>
              </w:rPr>
              <w:t>և</w:t>
            </w:r>
            <w:r w:rsidRPr="0053423A">
              <w:rPr>
                <w:rFonts w:eastAsia="Times New Roman" w:cs="Times New Roman"/>
                <w:sz w:val="20"/>
                <w:szCs w:val="20"/>
                <w:lang w:val="af-ZA"/>
              </w:rPr>
              <w:t xml:space="preserve"> </w:t>
            </w:r>
            <w:r w:rsidRPr="0053423A">
              <w:rPr>
                <w:rFonts w:eastAsia="Times New Roman" w:cs="Times New Roman"/>
                <w:sz w:val="20"/>
                <w:szCs w:val="20"/>
                <w:lang w:val="af-ZA"/>
              </w:rPr>
              <w:softHyphen/>
            </w:r>
            <w:r w:rsidRPr="0053423A">
              <w:rPr>
                <w:rFonts w:eastAsia="Times New Roman" w:cs="Times New Roman"/>
                <w:sz w:val="20"/>
                <w:szCs w:val="20"/>
              </w:rPr>
              <w:t>մշա</w:t>
            </w:r>
            <w:r w:rsidRPr="0053423A">
              <w:rPr>
                <w:rFonts w:eastAsia="Times New Roman" w:cs="Times New Roman"/>
                <w:sz w:val="20"/>
                <w:szCs w:val="20"/>
                <w:lang w:val="af-ZA"/>
              </w:rPr>
              <w:softHyphen/>
            </w:r>
            <w:r w:rsidRPr="0053423A">
              <w:rPr>
                <w:rFonts w:eastAsia="Times New Roman" w:cs="Times New Roman"/>
                <w:sz w:val="20"/>
                <w:szCs w:val="20"/>
              </w:rPr>
              <w:t>կու</w:t>
            </w:r>
            <w:r w:rsidRPr="0053423A">
              <w:rPr>
                <w:rFonts w:eastAsia="Times New Roman" w:cs="Times New Roman"/>
                <w:sz w:val="20"/>
                <w:szCs w:val="20"/>
                <w:lang w:val="ru-RU"/>
              </w:rPr>
              <w:t>յ</w:t>
            </w:r>
            <w:r w:rsidRPr="0053423A">
              <w:rPr>
                <w:rFonts w:eastAsia="Times New Roman" w:cs="Times New Roman"/>
                <w:sz w:val="20"/>
                <w:szCs w:val="20"/>
              </w:rPr>
              <w:t>թի</w:t>
            </w:r>
            <w:r w:rsidRPr="0053423A">
              <w:rPr>
                <w:rFonts w:eastAsia="Times New Roman" w:cs="Times New Roman"/>
                <w:sz w:val="20"/>
                <w:szCs w:val="20"/>
                <w:lang w:val="af-ZA"/>
              </w:rPr>
              <w:t xml:space="preserve"> </w:t>
            </w:r>
            <w:r w:rsidRPr="0053423A">
              <w:rPr>
                <w:rFonts w:eastAsia="Times New Roman" w:cs="Times New Roman"/>
                <w:sz w:val="20"/>
                <w:szCs w:val="20"/>
              </w:rPr>
              <w:t>բարձրարժեք</w:t>
            </w:r>
            <w:r w:rsidRPr="0053423A">
              <w:rPr>
                <w:rFonts w:eastAsia="Times New Roman" w:cs="Times New Roman"/>
                <w:sz w:val="20"/>
                <w:szCs w:val="20"/>
                <w:lang w:val="af-ZA"/>
              </w:rPr>
              <w:t xml:space="preserve"> </w:t>
            </w:r>
            <w:r w:rsidRPr="0053423A">
              <w:rPr>
                <w:rFonts w:eastAsia="Times New Roman" w:cs="Times New Roman"/>
                <w:sz w:val="20"/>
                <w:szCs w:val="20"/>
              </w:rPr>
              <w:t>հուշարձանների</w:t>
            </w:r>
            <w:r w:rsidRPr="0053423A">
              <w:rPr>
                <w:rFonts w:eastAsia="Times New Roman" w:cs="Times New Roman"/>
                <w:sz w:val="20"/>
                <w:szCs w:val="20"/>
                <w:lang w:val="af-ZA"/>
              </w:rPr>
              <w:t xml:space="preserve"> </w:t>
            </w:r>
            <w:r w:rsidRPr="0053423A">
              <w:rPr>
                <w:rFonts w:eastAsia="Times New Roman" w:cs="Times New Roman"/>
                <w:sz w:val="20"/>
                <w:szCs w:val="20"/>
              </w:rPr>
              <w:t>տարածքներում</w:t>
            </w:r>
            <w:r w:rsidRPr="0053423A">
              <w:rPr>
                <w:rFonts w:eastAsia="Times New Roman" w:cs="Times New Roman"/>
                <w:sz w:val="20"/>
                <w:szCs w:val="20"/>
                <w:lang w:val="af-ZA"/>
              </w:rPr>
              <w:t xml:space="preserve"> </w:t>
            </w:r>
            <w:r w:rsidRPr="0053423A">
              <w:rPr>
                <w:rFonts w:eastAsia="Times New Roman" w:cs="Times New Roman"/>
                <w:sz w:val="20"/>
                <w:szCs w:val="20"/>
                <w:lang w:val="ru-RU"/>
              </w:rPr>
              <w:t>բաց</w:t>
            </w:r>
            <w:r w:rsidRPr="0053423A">
              <w:rPr>
                <w:rFonts w:eastAsia="Times New Roman" w:cs="Times New Roman"/>
                <w:sz w:val="20"/>
                <w:szCs w:val="20"/>
                <w:lang w:val="af-ZA"/>
              </w:rPr>
              <w:softHyphen/>
            </w:r>
            <w:r w:rsidRPr="0053423A">
              <w:rPr>
                <w:rFonts w:eastAsia="Times New Roman" w:cs="Times New Roman"/>
                <w:sz w:val="20"/>
                <w:szCs w:val="20"/>
                <w:lang w:val="ru-RU"/>
              </w:rPr>
              <w:t>օթյա</w:t>
            </w:r>
            <w:r w:rsidRPr="0053423A">
              <w:rPr>
                <w:rFonts w:eastAsia="Times New Roman" w:cs="Times New Roman"/>
                <w:sz w:val="20"/>
                <w:szCs w:val="20"/>
                <w:lang w:val="af-ZA"/>
              </w:rPr>
              <w:t xml:space="preserve"> </w:t>
            </w:r>
            <w:r w:rsidRPr="0053423A">
              <w:rPr>
                <w:rFonts w:eastAsia="Times New Roman" w:cs="Times New Roman"/>
                <w:sz w:val="20"/>
                <w:szCs w:val="20"/>
                <w:lang w:val="ru-RU"/>
              </w:rPr>
              <w:t>միջոցառումների</w:t>
            </w:r>
            <w:r w:rsidRPr="0053423A">
              <w:rPr>
                <w:rFonts w:eastAsia="Times New Roman" w:cs="Times New Roman"/>
                <w:sz w:val="20"/>
                <w:szCs w:val="20"/>
                <w:lang w:val="af-ZA"/>
              </w:rPr>
              <w:t xml:space="preserve"> </w:t>
            </w:r>
            <w:r w:rsidRPr="0053423A">
              <w:rPr>
                <w:rFonts w:eastAsia="Times New Roman" w:cs="Times New Roman"/>
                <w:sz w:val="20"/>
                <w:szCs w:val="20"/>
                <w:lang w:val="ru-RU"/>
              </w:rPr>
              <w:t>իրականացումը</w:t>
            </w:r>
            <w:r w:rsidRPr="0053423A">
              <w:rPr>
                <w:rFonts w:eastAsia="Times New Roman" w:cs="Times New Roman"/>
                <w:sz w:val="20"/>
                <w:szCs w:val="20"/>
                <w:lang w:val="af-ZA"/>
              </w:rPr>
              <w:t xml:space="preserve"> </w:t>
            </w:r>
            <w:r w:rsidRPr="0053423A">
              <w:rPr>
                <w:rFonts w:eastAsia="Times New Roman" w:cs="Times New Roman"/>
                <w:sz w:val="20"/>
                <w:szCs w:val="20"/>
                <w:lang w:val="ru-RU"/>
              </w:rPr>
              <w:t>հնարավորություն</w:t>
            </w:r>
            <w:r w:rsidRPr="0053423A">
              <w:rPr>
                <w:rFonts w:eastAsia="Times New Roman" w:cs="Times New Roman"/>
                <w:sz w:val="20"/>
                <w:szCs w:val="20"/>
                <w:lang w:val="af-ZA"/>
              </w:rPr>
              <w:t xml:space="preserve"> </w:t>
            </w:r>
            <w:r w:rsidRPr="0053423A">
              <w:rPr>
                <w:rFonts w:eastAsia="Times New Roman" w:cs="Times New Roman"/>
                <w:sz w:val="20"/>
                <w:szCs w:val="20"/>
                <w:lang w:val="ru-RU"/>
              </w:rPr>
              <w:t>կտա</w:t>
            </w:r>
            <w:r w:rsidRPr="0053423A">
              <w:rPr>
                <w:rFonts w:eastAsia="Times New Roman" w:cs="Times New Roman"/>
                <w:sz w:val="20"/>
                <w:szCs w:val="20"/>
                <w:lang w:val="af-ZA"/>
              </w:rPr>
              <w:t xml:space="preserve"> </w:t>
            </w:r>
            <w:r w:rsidRPr="0053423A">
              <w:rPr>
                <w:rFonts w:eastAsia="Times New Roman" w:cs="Times New Roman"/>
                <w:sz w:val="20"/>
                <w:szCs w:val="20"/>
                <w:lang w:val="ru-RU"/>
              </w:rPr>
              <w:t>ապահովել</w:t>
            </w:r>
            <w:r w:rsidRPr="0053423A">
              <w:rPr>
                <w:rFonts w:eastAsia="Times New Roman" w:cs="Times New Roman"/>
                <w:sz w:val="20"/>
                <w:szCs w:val="20"/>
                <w:lang w:val="af-ZA"/>
              </w:rPr>
              <w:t xml:space="preserve"> «</w:t>
            </w:r>
            <w:r w:rsidRPr="0053423A">
              <w:rPr>
                <w:rFonts w:eastAsia="Times New Roman" w:cs="Times New Roman"/>
                <w:sz w:val="20"/>
                <w:szCs w:val="20"/>
                <w:lang w:val="ru-RU"/>
              </w:rPr>
              <w:t>Պատմու</w:t>
            </w:r>
            <w:r w:rsidRPr="0053423A">
              <w:rPr>
                <w:rFonts w:eastAsia="Times New Roman" w:cs="Times New Roman"/>
                <w:sz w:val="20"/>
                <w:szCs w:val="20"/>
                <w:lang w:val="af-ZA"/>
              </w:rPr>
              <w:softHyphen/>
            </w:r>
            <w:r w:rsidRPr="0053423A">
              <w:rPr>
                <w:rFonts w:eastAsia="Times New Roman" w:cs="Times New Roman"/>
                <w:sz w:val="20"/>
                <w:szCs w:val="20"/>
                <w:lang w:val="ru-RU"/>
              </w:rPr>
              <w:t>թյան</w:t>
            </w:r>
            <w:r w:rsidRPr="0053423A">
              <w:rPr>
                <w:rFonts w:eastAsia="Times New Roman" w:cs="Times New Roman"/>
                <w:sz w:val="20"/>
                <w:szCs w:val="20"/>
                <w:lang w:val="af-ZA"/>
              </w:rPr>
              <w:t xml:space="preserve"> </w:t>
            </w:r>
            <w:r w:rsidRPr="0053423A">
              <w:rPr>
                <w:rFonts w:eastAsia="Times New Roman" w:cs="Times New Roman"/>
                <w:sz w:val="20"/>
                <w:szCs w:val="20"/>
                <w:lang w:val="ru-RU"/>
              </w:rPr>
              <w:t>և</w:t>
            </w:r>
            <w:r w:rsidRPr="0053423A">
              <w:rPr>
                <w:rFonts w:eastAsia="Times New Roman" w:cs="Times New Roman"/>
                <w:sz w:val="20"/>
                <w:szCs w:val="20"/>
                <w:lang w:val="af-ZA"/>
              </w:rPr>
              <w:t xml:space="preserve"> </w:t>
            </w:r>
            <w:r w:rsidRPr="0053423A">
              <w:rPr>
                <w:rFonts w:eastAsia="Times New Roman" w:cs="Times New Roman"/>
                <w:sz w:val="20"/>
                <w:szCs w:val="20"/>
                <w:lang w:val="ru-RU"/>
              </w:rPr>
              <w:t>մշակույթի</w:t>
            </w:r>
            <w:r w:rsidRPr="0053423A">
              <w:rPr>
                <w:rFonts w:eastAsia="Times New Roman" w:cs="Times New Roman"/>
                <w:sz w:val="20"/>
                <w:szCs w:val="20"/>
                <w:lang w:val="af-ZA"/>
              </w:rPr>
              <w:t xml:space="preserve"> </w:t>
            </w:r>
            <w:r w:rsidRPr="0053423A">
              <w:rPr>
                <w:rFonts w:eastAsia="Times New Roman" w:cs="Times New Roman"/>
                <w:sz w:val="20"/>
                <w:szCs w:val="20"/>
                <w:lang w:val="ru-RU"/>
              </w:rPr>
              <w:t>անշարժ</w:t>
            </w:r>
            <w:r w:rsidRPr="0053423A">
              <w:rPr>
                <w:rFonts w:eastAsia="Times New Roman" w:cs="Times New Roman"/>
                <w:sz w:val="20"/>
                <w:szCs w:val="20"/>
                <w:lang w:val="af-ZA"/>
              </w:rPr>
              <w:t xml:space="preserve"> </w:t>
            </w:r>
            <w:r w:rsidRPr="0053423A">
              <w:rPr>
                <w:rFonts w:eastAsia="Times New Roman" w:cs="Times New Roman"/>
                <w:sz w:val="20"/>
                <w:szCs w:val="20"/>
                <w:lang w:val="ru-RU"/>
              </w:rPr>
              <w:t>հուշարձանների</w:t>
            </w:r>
            <w:r w:rsidRPr="0053423A">
              <w:rPr>
                <w:rFonts w:eastAsia="Times New Roman" w:cs="Times New Roman"/>
                <w:sz w:val="20"/>
                <w:szCs w:val="20"/>
                <w:lang w:val="af-ZA"/>
              </w:rPr>
              <w:t xml:space="preserve"> </w:t>
            </w:r>
            <w:r w:rsidRPr="0053423A">
              <w:rPr>
                <w:rFonts w:eastAsia="Times New Roman" w:cs="Times New Roman"/>
                <w:sz w:val="20"/>
                <w:szCs w:val="20"/>
                <w:lang w:val="ru-RU"/>
              </w:rPr>
              <w:t>ու</w:t>
            </w:r>
            <w:r w:rsidRPr="0053423A">
              <w:rPr>
                <w:rFonts w:eastAsia="Times New Roman" w:cs="Times New Roman"/>
                <w:sz w:val="20"/>
                <w:szCs w:val="20"/>
                <w:lang w:val="af-ZA"/>
              </w:rPr>
              <w:t xml:space="preserve"> </w:t>
            </w:r>
            <w:r w:rsidRPr="0053423A">
              <w:rPr>
                <w:rFonts w:eastAsia="Times New Roman" w:cs="Times New Roman"/>
                <w:sz w:val="20"/>
                <w:szCs w:val="20"/>
                <w:lang w:val="ru-RU"/>
              </w:rPr>
              <w:t>պատմական</w:t>
            </w:r>
            <w:r w:rsidRPr="0053423A">
              <w:rPr>
                <w:rFonts w:eastAsia="Times New Roman" w:cs="Times New Roman"/>
                <w:sz w:val="20"/>
                <w:szCs w:val="20"/>
                <w:lang w:val="af-ZA"/>
              </w:rPr>
              <w:t xml:space="preserve"> </w:t>
            </w:r>
            <w:r w:rsidRPr="0053423A">
              <w:rPr>
                <w:rFonts w:eastAsia="Times New Roman" w:cs="Times New Roman"/>
                <w:sz w:val="20"/>
                <w:szCs w:val="20"/>
                <w:lang w:val="ru-RU"/>
              </w:rPr>
              <w:t>միջավայրի</w:t>
            </w:r>
            <w:r w:rsidRPr="0053423A">
              <w:rPr>
                <w:rFonts w:eastAsia="Times New Roman" w:cs="Times New Roman"/>
                <w:sz w:val="20"/>
                <w:szCs w:val="20"/>
                <w:lang w:val="af-ZA"/>
              </w:rPr>
              <w:t xml:space="preserve"> </w:t>
            </w:r>
            <w:r w:rsidRPr="0053423A">
              <w:rPr>
                <w:rFonts w:eastAsia="Times New Roman" w:cs="Times New Roman"/>
                <w:sz w:val="20"/>
                <w:szCs w:val="20"/>
                <w:lang w:val="ru-RU"/>
              </w:rPr>
              <w:t>պահպա</w:t>
            </w:r>
            <w:r w:rsidRPr="0053423A">
              <w:rPr>
                <w:rFonts w:eastAsia="Times New Roman" w:cs="Times New Roman"/>
                <w:sz w:val="20"/>
                <w:szCs w:val="20"/>
                <w:lang w:val="af-ZA"/>
              </w:rPr>
              <w:softHyphen/>
            </w:r>
            <w:r w:rsidRPr="0053423A">
              <w:rPr>
                <w:rFonts w:eastAsia="Times New Roman" w:cs="Times New Roman"/>
                <w:sz w:val="20"/>
                <w:szCs w:val="20"/>
                <w:lang w:val="ru-RU"/>
              </w:rPr>
              <w:t>նության</w:t>
            </w:r>
            <w:r w:rsidRPr="0053423A">
              <w:rPr>
                <w:rFonts w:eastAsia="Times New Roman" w:cs="Times New Roman"/>
                <w:sz w:val="20"/>
                <w:szCs w:val="20"/>
                <w:lang w:val="af-ZA"/>
              </w:rPr>
              <w:t xml:space="preserve"> </w:t>
            </w:r>
            <w:r w:rsidRPr="0053423A">
              <w:rPr>
                <w:rFonts w:eastAsia="Times New Roman" w:cs="Times New Roman"/>
                <w:sz w:val="20"/>
                <w:szCs w:val="20"/>
                <w:lang w:val="ru-RU"/>
              </w:rPr>
              <w:t>և</w:t>
            </w:r>
            <w:r w:rsidRPr="0053423A">
              <w:rPr>
                <w:rFonts w:eastAsia="Times New Roman" w:cs="Times New Roman"/>
                <w:sz w:val="20"/>
                <w:szCs w:val="20"/>
                <w:lang w:val="af-ZA"/>
              </w:rPr>
              <w:t xml:space="preserve"> </w:t>
            </w:r>
            <w:r w:rsidRPr="0053423A">
              <w:rPr>
                <w:rFonts w:eastAsia="Times New Roman" w:cs="Times New Roman"/>
                <w:sz w:val="20"/>
                <w:szCs w:val="20"/>
                <w:lang w:val="ru-RU"/>
              </w:rPr>
              <w:t>օգտագործման</w:t>
            </w:r>
            <w:r w:rsidRPr="0053423A">
              <w:rPr>
                <w:rFonts w:eastAsia="Times New Roman" w:cs="Times New Roman"/>
                <w:sz w:val="20"/>
                <w:szCs w:val="20"/>
                <w:lang w:val="af-ZA"/>
              </w:rPr>
              <w:t xml:space="preserve"> </w:t>
            </w:r>
            <w:r w:rsidRPr="0053423A">
              <w:rPr>
                <w:rFonts w:eastAsia="Times New Roman" w:cs="Times New Roman"/>
                <w:sz w:val="20"/>
                <w:szCs w:val="20"/>
                <w:lang w:val="ru-RU"/>
              </w:rPr>
              <w:t>մասին</w:t>
            </w:r>
            <w:r w:rsidRPr="0053423A">
              <w:rPr>
                <w:rFonts w:eastAsia="Times New Roman" w:cs="Times New Roman"/>
                <w:sz w:val="20"/>
                <w:szCs w:val="20"/>
                <w:lang w:val="af-ZA"/>
              </w:rPr>
              <w:t xml:space="preserve">» </w:t>
            </w:r>
            <w:r w:rsidRPr="0053423A">
              <w:rPr>
                <w:rFonts w:eastAsia="Times New Roman" w:cs="Times New Roman"/>
                <w:sz w:val="20"/>
                <w:szCs w:val="20"/>
                <w:lang w:val="ru-RU"/>
              </w:rPr>
              <w:t>ՀՀ</w:t>
            </w:r>
            <w:r w:rsidRPr="0053423A">
              <w:rPr>
                <w:rFonts w:eastAsia="Times New Roman" w:cs="Times New Roman"/>
                <w:sz w:val="20"/>
                <w:szCs w:val="20"/>
                <w:lang w:val="af-ZA"/>
              </w:rPr>
              <w:t xml:space="preserve"> </w:t>
            </w:r>
            <w:r w:rsidRPr="0053423A">
              <w:rPr>
                <w:rFonts w:eastAsia="Times New Roman" w:cs="Times New Roman"/>
                <w:sz w:val="20"/>
                <w:szCs w:val="20"/>
                <w:lang w:val="ru-RU"/>
              </w:rPr>
              <w:t>օրենքի</w:t>
            </w:r>
            <w:r w:rsidRPr="0053423A">
              <w:rPr>
                <w:rFonts w:eastAsia="Times New Roman" w:cs="Times New Roman"/>
                <w:sz w:val="20"/>
                <w:szCs w:val="20"/>
                <w:lang w:val="af-ZA"/>
              </w:rPr>
              <w:t xml:space="preserve"> 15-</w:t>
            </w:r>
            <w:r w:rsidRPr="0053423A">
              <w:rPr>
                <w:rFonts w:eastAsia="Times New Roman" w:cs="Times New Roman"/>
                <w:sz w:val="20"/>
                <w:szCs w:val="20"/>
                <w:lang w:val="ru-RU"/>
              </w:rPr>
              <w:t>րդ</w:t>
            </w:r>
            <w:r w:rsidRPr="0053423A">
              <w:rPr>
                <w:rFonts w:eastAsia="Times New Roman" w:cs="Times New Roman"/>
                <w:sz w:val="20"/>
                <w:szCs w:val="20"/>
                <w:lang w:val="af-ZA"/>
              </w:rPr>
              <w:t xml:space="preserve"> </w:t>
            </w:r>
            <w:r w:rsidRPr="0053423A">
              <w:rPr>
                <w:rFonts w:eastAsia="Times New Roman" w:cs="Times New Roman"/>
                <w:sz w:val="20"/>
                <w:szCs w:val="20"/>
                <w:lang w:val="ru-RU"/>
              </w:rPr>
              <w:t>հոդվածի</w:t>
            </w:r>
            <w:r w:rsidRPr="0053423A">
              <w:rPr>
                <w:rFonts w:eastAsia="Times New Roman" w:cs="Times New Roman"/>
                <w:sz w:val="20"/>
                <w:szCs w:val="20"/>
                <w:lang w:val="af-ZA"/>
              </w:rPr>
              <w:t xml:space="preserve"> </w:t>
            </w:r>
            <w:r w:rsidRPr="0053423A">
              <w:rPr>
                <w:rFonts w:eastAsia="Times New Roman" w:cs="Times New Roman"/>
                <w:sz w:val="20"/>
                <w:szCs w:val="20"/>
                <w:lang w:val="ru-RU"/>
              </w:rPr>
              <w:t>ը</w:t>
            </w:r>
            <w:r w:rsidRPr="0053423A">
              <w:rPr>
                <w:rFonts w:eastAsia="Times New Roman" w:cs="Times New Roman"/>
                <w:sz w:val="20"/>
                <w:szCs w:val="20"/>
                <w:lang w:val="af-ZA"/>
              </w:rPr>
              <w:t xml:space="preserve">) </w:t>
            </w:r>
            <w:r w:rsidRPr="0053423A">
              <w:rPr>
                <w:rFonts w:eastAsia="Times New Roman" w:cs="Times New Roman"/>
                <w:sz w:val="20"/>
                <w:szCs w:val="20"/>
                <w:lang w:val="ru-RU"/>
              </w:rPr>
              <w:t>կետով</w:t>
            </w:r>
            <w:r w:rsidRPr="0053423A">
              <w:rPr>
                <w:rFonts w:eastAsia="Times New Roman" w:cs="Times New Roman"/>
                <w:sz w:val="20"/>
                <w:szCs w:val="20"/>
                <w:lang w:val="af-ZA"/>
              </w:rPr>
              <w:t xml:space="preserve"> </w:t>
            </w:r>
            <w:r w:rsidRPr="0053423A">
              <w:rPr>
                <w:rFonts w:eastAsia="Times New Roman" w:cs="Times New Roman"/>
                <w:sz w:val="20"/>
                <w:szCs w:val="20"/>
                <w:lang w:val="ru-RU"/>
              </w:rPr>
              <w:t>նախատեսված</w:t>
            </w:r>
            <w:r w:rsidRPr="0053423A">
              <w:rPr>
                <w:rFonts w:eastAsia="Times New Roman" w:cs="Times New Roman"/>
                <w:sz w:val="20"/>
                <w:szCs w:val="20"/>
                <w:lang w:val="af-ZA"/>
              </w:rPr>
              <w:t xml:space="preserve"> </w:t>
            </w:r>
            <w:r w:rsidRPr="0053423A">
              <w:rPr>
                <w:rFonts w:eastAsia="Times New Roman" w:cs="Times New Roman"/>
                <w:sz w:val="20"/>
                <w:szCs w:val="20"/>
                <w:lang w:val="ru-RU"/>
              </w:rPr>
              <w:t>հուշարձանների</w:t>
            </w:r>
            <w:r w:rsidRPr="0053423A">
              <w:rPr>
                <w:rFonts w:eastAsia="Times New Roman" w:cs="Times New Roman"/>
                <w:sz w:val="20"/>
                <w:szCs w:val="20"/>
                <w:lang w:val="af-ZA"/>
              </w:rPr>
              <w:t xml:space="preserve"> </w:t>
            </w:r>
            <w:r w:rsidRPr="0053423A">
              <w:rPr>
                <w:rFonts w:eastAsia="Times New Roman" w:cs="Times New Roman"/>
                <w:sz w:val="20"/>
                <w:szCs w:val="20"/>
                <w:lang w:val="ru-RU"/>
              </w:rPr>
              <w:t>պահպանության</w:t>
            </w:r>
            <w:r w:rsidRPr="0053423A">
              <w:rPr>
                <w:rFonts w:eastAsia="Times New Roman" w:cs="Times New Roman"/>
                <w:sz w:val="20"/>
                <w:szCs w:val="20"/>
                <w:lang w:val="af-ZA"/>
              </w:rPr>
              <w:t xml:space="preserve"> </w:t>
            </w:r>
            <w:r w:rsidRPr="0053423A">
              <w:rPr>
                <w:rFonts w:eastAsia="Times New Roman" w:cs="Times New Roman"/>
                <w:sz w:val="20"/>
                <w:szCs w:val="20"/>
                <w:lang w:val="ru-RU"/>
              </w:rPr>
              <w:t>քարոզչությունն</w:t>
            </w:r>
            <w:r w:rsidRPr="0053423A">
              <w:rPr>
                <w:rFonts w:eastAsia="Times New Roman" w:cs="Times New Roman"/>
                <w:sz w:val="20"/>
                <w:szCs w:val="20"/>
                <w:lang w:val="af-ZA"/>
              </w:rPr>
              <w:t xml:space="preserve"> </w:t>
            </w:r>
            <w:r w:rsidRPr="0053423A">
              <w:rPr>
                <w:rFonts w:eastAsia="Times New Roman" w:cs="Times New Roman"/>
                <w:sz w:val="20"/>
                <w:szCs w:val="20"/>
                <w:lang w:val="ru-RU"/>
              </w:rPr>
              <w:t>ապահովելու</w:t>
            </w:r>
            <w:r w:rsidRPr="0053423A">
              <w:rPr>
                <w:rFonts w:eastAsia="Times New Roman" w:cs="Times New Roman"/>
                <w:sz w:val="20"/>
                <w:szCs w:val="20"/>
                <w:lang w:val="af-ZA"/>
              </w:rPr>
              <w:t xml:space="preserve"> </w:t>
            </w:r>
            <w:r w:rsidRPr="0053423A">
              <w:rPr>
                <w:rFonts w:eastAsia="Times New Roman" w:cs="Times New Roman"/>
                <w:sz w:val="20"/>
                <w:szCs w:val="20"/>
                <w:lang w:val="ru-RU"/>
              </w:rPr>
              <w:t>նպատակով</w:t>
            </w:r>
            <w:r w:rsidRPr="0053423A">
              <w:rPr>
                <w:rFonts w:eastAsia="Times New Roman" w:cs="Times New Roman"/>
                <w:sz w:val="20"/>
                <w:szCs w:val="20"/>
                <w:lang w:val="af-ZA"/>
              </w:rPr>
              <w:t xml:space="preserve">: </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Times New Roman" w:cs="Times New Roman"/>
                <w:sz w:val="20"/>
                <w:szCs w:val="20"/>
                <w:lang w:val="ru-RU"/>
              </w:rPr>
              <w:t>Հայ</w:t>
            </w:r>
            <w:r w:rsidRPr="0053423A">
              <w:rPr>
                <w:rFonts w:eastAsia="Times New Roman" w:cs="Times New Roman"/>
                <w:sz w:val="20"/>
                <w:szCs w:val="20"/>
                <w:lang w:val="af-ZA"/>
              </w:rPr>
              <w:t xml:space="preserve"> </w:t>
            </w:r>
            <w:r w:rsidRPr="0053423A">
              <w:rPr>
                <w:rFonts w:eastAsia="Times New Roman" w:cs="Times New Roman"/>
                <w:sz w:val="20"/>
                <w:szCs w:val="20"/>
                <w:lang w:val="ru-RU"/>
              </w:rPr>
              <w:t>ժողովրդի</w:t>
            </w:r>
            <w:r w:rsidRPr="0053423A">
              <w:rPr>
                <w:rFonts w:eastAsia="Times New Roman" w:cs="Times New Roman"/>
                <w:sz w:val="20"/>
                <w:szCs w:val="20"/>
                <w:lang w:val="af-ZA"/>
              </w:rPr>
              <w:t xml:space="preserve"> </w:t>
            </w:r>
            <w:r w:rsidRPr="0053423A">
              <w:rPr>
                <w:rFonts w:eastAsia="Times New Roman" w:cs="Times New Roman"/>
                <w:sz w:val="20"/>
                <w:szCs w:val="20"/>
                <w:lang w:val="ru-RU"/>
              </w:rPr>
              <w:t>հարուստ</w:t>
            </w:r>
            <w:r w:rsidRPr="0053423A">
              <w:rPr>
                <w:rFonts w:eastAsia="Times New Roman" w:cs="Times New Roman"/>
                <w:sz w:val="20"/>
                <w:szCs w:val="20"/>
                <w:lang w:val="af-ZA"/>
              </w:rPr>
              <w:t xml:space="preserve"> </w:t>
            </w:r>
            <w:r w:rsidRPr="0053423A">
              <w:rPr>
                <w:rFonts w:eastAsia="Times New Roman" w:cs="Times New Roman"/>
                <w:sz w:val="20"/>
                <w:szCs w:val="20"/>
                <w:lang w:val="ru-RU"/>
              </w:rPr>
              <w:t>մշակութային</w:t>
            </w:r>
            <w:r w:rsidRPr="0053423A">
              <w:rPr>
                <w:rFonts w:eastAsia="Times New Roman" w:cs="Times New Roman"/>
                <w:sz w:val="20"/>
                <w:szCs w:val="20"/>
                <w:lang w:val="af-ZA"/>
              </w:rPr>
              <w:t xml:space="preserve"> </w:t>
            </w:r>
            <w:r w:rsidRPr="0053423A">
              <w:rPr>
                <w:rFonts w:eastAsia="Times New Roman" w:cs="Times New Roman"/>
                <w:sz w:val="20"/>
                <w:szCs w:val="20"/>
                <w:lang w:val="ru-RU"/>
              </w:rPr>
              <w:t>ժառանգությունը</w:t>
            </w:r>
            <w:r w:rsidRPr="0053423A">
              <w:rPr>
                <w:rFonts w:eastAsia="Times New Roman" w:cs="Times New Roman"/>
                <w:sz w:val="20"/>
                <w:szCs w:val="20"/>
                <w:lang w:val="af-ZA"/>
              </w:rPr>
              <w:t xml:space="preserve"> </w:t>
            </w:r>
            <w:r w:rsidRPr="0053423A">
              <w:rPr>
                <w:rFonts w:eastAsia="Times New Roman" w:cs="Times New Roman"/>
                <w:sz w:val="20"/>
                <w:szCs w:val="20"/>
                <w:lang w:val="ru-RU"/>
              </w:rPr>
              <w:t>որպես</w:t>
            </w:r>
            <w:r w:rsidRPr="0053423A">
              <w:rPr>
                <w:rFonts w:eastAsia="Times New Roman" w:cs="Times New Roman"/>
                <w:sz w:val="20"/>
                <w:szCs w:val="20"/>
                <w:lang w:val="af-ZA"/>
              </w:rPr>
              <w:t xml:space="preserve"> </w:t>
            </w:r>
            <w:r w:rsidRPr="0053423A">
              <w:rPr>
                <w:rFonts w:eastAsia="Times New Roman" w:cs="Times New Roman"/>
                <w:sz w:val="20"/>
                <w:szCs w:val="20"/>
                <w:lang w:val="ru-RU"/>
              </w:rPr>
              <w:t>ժողովրդի</w:t>
            </w:r>
            <w:r w:rsidRPr="0053423A">
              <w:rPr>
                <w:rFonts w:eastAsia="Times New Roman" w:cs="Times New Roman"/>
                <w:sz w:val="20"/>
                <w:szCs w:val="20"/>
                <w:lang w:val="af-ZA"/>
              </w:rPr>
              <w:t xml:space="preserve"> </w:t>
            </w:r>
            <w:r w:rsidRPr="0053423A">
              <w:rPr>
                <w:rFonts w:eastAsia="Times New Roman" w:cs="Times New Roman"/>
                <w:sz w:val="20"/>
                <w:szCs w:val="20"/>
                <w:lang w:val="ru-RU"/>
              </w:rPr>
              <w:t>մտավոր</w:t>
            </w:r>
            <w:r w:rsidRPr="0053423A">
              <w:rPr>
                <w:rFonts w:eastAsia="Times New Roman" w:cs="Times New Roman"/>
                <w:sz w:val="20"/>
                <w:szCs w:val="20"/>
                <w:lang w:val="af-ZA"/>
              </w:rPr>
              <w:t xml:space="preserve"> </w:t>
            </w:r>
            <w:r w:rsidRPr="0053423A">
              <w:rPr>
                <w:rFonts w:eastAsia="Times New Roman" w:cs="Times New Roman"/>
                <w:sz w:val="20"/>
                <w:szCs w:val="20"/>
                <w:lang w:val="ru-RU"/>
              </w:rPr>
              <w:t>հարստության՝</w:t>
            </w:r>
            <w:r w:rsidRPr="0053423A">
              <w:rPr>
                <w:rFonts w:eastAsia="Times New Roman" w:cs="Times New Roman"/>
                <w:sz w:val="20"/>
                <w:szCs w:val="20"/>
                <w:lang w:val="af-ZA"/>
              </w:rPr>
              <w:t xml:space="preserve"> </w:t>
            </w:r>
            <w:r w:rsidRPr="0053423A">
              <w:rPr>
                <w:rFonts w:eastAsia="Times New Roman" w:cs="Times New Roman"/>
                <w:sz w:val="20"/>
                <w:szCs w:val="20"/>
                <w:lang w:val="ru-RU"/>
              </w:rPr>
              <w:t>գիտական</w:t>
            </w:r>
            <w:r w:rsidRPr="0053423A">
              <w:rPr>
                <w:rFonts w:eastAsia="Times New Roman" w:cs="Times New Roman"/>
                <w:sz w:val="20"/>
                <w:szCs w:val="20"/>
                <w:lang w:val="af-ZA"/>
              </w:rPr>
              <w:t xml:space="preserve"> </w:t>
            </w:r>
            <w:r w:rsidRPr="0053423A">
              <w:rPr>
                <w:rFonts w:eastAsia="Times New Roman" w:cs="Times New Roman"/>
                <w:sz w:val="20"/>
                <w:szCs w:val="20"/>
                <w:lang w:val="ru-RU"/>
              </w:rPr>
              <w:t>և</w:t>
            </w:r>
            <w:r w:rsidRPr="0053423A">
              <w:rPr>
                <w:rFonts w:eastAsia="Times New Roman" w:cs="Times New Roman"/>
                <w:sz w:val="20"/>
                <w:szCs w:val="20"/>
                <w:lang w:val="af-ZA"/>
              </w:rPr>
              <w:t xml:space="preserve"> </w:t>
            </w:r>
            <w:r w:rsidRPr="0053423A">
              <w:rPr>
                <w:rFonts w:eastAsia="Times New Roman" w:cs="Times New Roman"/>
                <w:sz w:val="20"/>
                <w:szCs w:val="20"/>
                <w:lang w:val="ru-RU"/>
              </w:rPr>
              <w:t>ստեղծագործական</w:t>
            </w:r>
            <w:r w:rsidRPr="0053423A">
              <w:rPr>
                <w:rFonts w:eastAsia="Times New Roman" w:cs="Times New Roman"/>
                <w:sz w:val="20"/>
                <w:szCs w:val="20"/>
                <w:lang w:val="af-ZA"/>
              </w:rPr>
              <w:t xml:space="preserve"> </w:t>
            </w:r>
            <w:r w:rsidRPr="0053423A">
              <w:rPr>
                <w:rFonts w:eastAsia="Times New Roman" w:cs="Times New Roman"/>
                <w:sz w:val="20"/>
                <w:szCs w:val="20"/>
                <w:lang w:val="ru-RU"/>
              </w:rPr>
              <w:t>մտքի</w:t>
            </w:r>
            <w:r w:rsidRPr="0053423A">
              <w:rPr>
                <w:rFonts w:eastAsia="Times New Roman" w:cs="Times New Roman"/>
                <w:sz w:val="20"/>
                <w:szCs w:val="20"/>
                <w:lang w:val="af-ZA"/>
              </w:rPr>
              <w:t xml:space="preserve"> </w:t>
            </w:r>
            <w:r w:rsidRPr="0053423A">
              <w:rPr>
                <w:rFonts w:eastAsia="Times New Roman" w:cs="Times New Roman"/>
                <w:sz w:val="20"/>
                <w:szCs w:val="20"/>
                <w:lang w:val="ru-RU"/>
              </w:rPr>
              <w:t>նվաճում</w:t>
            </w:r>
            <w:r w:rsidRPr="0053423A">
              <w:rPr>
                <w:rFonts w:eastAsia="Times New Roman" w:cs="Times New Roman"/>
                <w:sz w:val="20"/>
                <w:szCs w:val="20"/>
                <w:lang w:val="af-ZA"/>
              </w:rPr>
              <w:t xml:space="preserve"> </w:t>
            </w:r>
            <w:r w:rsidRPr="0053423A">
              <w:rPr>
                <w:rFonts w:eastAsia="Times New Roman" w:cs="Times New Roman"/>
                <w:sz w:val="20"/>
                <w:szCs w:val="20"/>
                <w:lang w:val="ru-RU"/>
              </w:rPr>
              <w:t>լիարժեք</w:t>
            </w:r>
            <w:r w:rsidRPr="0053423A">
              <w:rPr>
                <w:rFonts w:eastAsia="Times New Roman" w:cs="Times New Roman"/>
                <w:sz w:val="20"/>
                <w:szCs w:val="20"/>
                <w:lang w:val="af-ZA"/>
              </w:rPr>
              <w:t xml:space="preserve"> </w:t>
            </w:r>
            <w:r w:rsidRPr="0053423A">
              <w:rPr>
                <w:rFonts w:eastAsia="Times New Roman" w:cs="Times New Roman"/>
                <w:sz w:val="20"/>
                <w:szCs w:val="20"/>
                <w:lang w:val="ru-RU"/>
              </w:rPr>
              <w:t>և</w:t>
            </w:r>
            <w:r w:rsidRPr="0053423A">
              <w:rPr>
                <w:rFonts w:eastAsia="Times New Roman" w:cs="Times New Roman"/>
                <w:sz w:val="20"/>
                <w:szCs w:val="20"/>
                <w:lang w:val="af-ZA"/>
              </w:rPr>
              <w:t xml:space="preserve"> </w:t>
            </w:r>
            <w:r w:rsidRPr="0053423A">
              <w:rPr>
                <w:rFonts w:eastAsia="Times New Roman" w:cs="Times New Roman"/>
                <w:sz w:val="20"/>
                <w:szCs w:val="20"/>
                <w:lang w:val="ru-RU"/>
              </w:rPr>
              <w:t>ամբող</w:t>
            </w:r>
            <w:r w:rsidRPr="0053423A">
              <w:rPr>
                <w:rFonts w:eastAsia="Times New Roman" w:cs="Times New Roman"/>
                <w:sz w:val="20"/>
                <w:szCs w:val="20"/>
                <w:lang w:val="af-ZA"/>
              </w:rPr>
              <w:softHyphen/>
            </w:r>
            <w:r w:rsidRPr="0053423A">
              <w:rPr>
                <w:rFonts w:eastAsia="Times New Roman" w:cs="Times New Roman"/>
                <w:sz w:val="20"/>
                <w:szCs w:val="20"/>
                <w:lang w:val="ru-RU"/>
              </w:rPr>
              <w:t>ջությամբ</w:t>
            </w:r>
            <w:r w:rsidRPr="0053423A">
              <w:rPr>
                <w:rFonts w:eastAsia="Times New Roman" w:cs="Times New Roman"/>
                <w:sz w:val="20"/>
                <w:szCs w:val="20"/>
                <w:lang w:val="af-ZA"/>
              </w:rPr>
              <w:t xml:space="preserve"> </w:t>
            </w:r>
            <w:r w:rsidRPr="0053423A">
              <w:rPr>
                <w:rFonts w:eastAsia="Times New Roman" w:cs="Times New Roman"/>
                <w:sz w:val="20"/>
                <w:szCs w:val="20"/>
                <w:lang w:val="ru-RU"/>
              </w:rPr>
              <w:t>չի</w:t>
            </w:r>
            <w:r w:rsidRPr="0053423A">
              <w:rPr>
                <w:rFonts w:eastAsia="Times New Roman" w:cs="Times New Roman"/>
                <w:sz w:val="20"/>
                <w:szCs w:val="20"/>
                <w:lang w:val="af-ZA"/>
              </w:rPr>
              <w:t xml:space="preserve"> </w:t>
            </w:r>
            <w:r w:rsidRPr="0053423A">
              <w:rPr>
                <w:rFonts w:eastAsia="Times New Roman" w:cs="Times New Roman"/>
                <w:sz w:val="20"/>
                <w:szCs w:val="20"/>
                <w:lang w:val="ru-RU"/>
              </w:rPr>
              <w:t>ներկայացված</w:t>
            </w:r>
            <w:r w:rsidRPr="0053423A">
              <w:rPr>
                <w:rFonts w:eastAsia="Times New Roman" w:cs="Times New Roman"/>
                <w:sz w:val="20"/>
                <w:szCs w:val="20"/>
                <w:lang w:val="af-ZA"/>
              </w:rPr>
              <w:t xml:space="preserve"> </w:t>
            </w:r>
            <w:r w:rsidRPr="0053423A">
              <w:rPr>
                <w:rFonts w:eastAsia="Times New Roman" w:cs="Times New Roman"/>
                <w:sz w:val="20"/>
                <w:szCs w:val="20"/>
                <w:lang w:val="ru-RU"/>
              </w:rPr>
              <w:t>հանրությանը</w:t>
            </w:r>
            <w:r w:rsidRPr="0053423A">
              <w:rPr>
                <w:rFonts w:eastAsia="Times New Roman" w:cs="Times New Roman"/>
                <w:sz w:val="20"/>
                <w:szCs w:val="20"/>
                <w:lang w:val="af-ZA"/>
              </w:rPr>
              <w:t xml:space="preserve">, </w:t>
            </w:r>
            <w:r w:rsidRPr="0053423A">
              <w:rPr>
                <w:rFonts w:eastAsia="Times New Roman" w:cs="Times New Roman"/>
                <w:sz w:val="20"/>
                <w:szCs w:val="20"/>
                <w:lang w:val="ru-RU"/>
              </w:rPr>
              <w:t>թույլ</w:t>
            </w:r>
            <w:r w:rsidRPr="0053423A">
              <w:rPr>
                <w:rFonts w:eastAsia="Times New Roman" w:cs="Times New Roman"/>
                <w:sz w:val="20"/>
                <w:szCs w:val="20"/>
                <w:lang w:val="af-ZA"/>
              </w:rPr>
              <w:t xml:space="preserve"> </w:t>
            </w:r>
            <w:r w:rsidRPr="0053423A">
              <w:rPr>
                <w:rFonts w:eastAsia="Times New Roman" w:cs="Times New Roman"/>
                <w:sz w:val="20"/>
                <w:szCs w:val="20"/>
                <w:lang w:val="ru-RU"/>
              </w:rPr>
              <w:t>է</w:t>
            </w:r>
            <w:r w:rsidRPr="0053423A">
              <w:rPr>
                <w:rFonts w:eastAsia="Times New Roman" w:cs="Times New Roman"/>
                <w:sz w:val="20"/>
                <w:szCs w:val="20"/>
                <w:lang w:val="af-ZA"/>
              </w:rPr>
              <w:t xml:space="preserve"> </w:t>
            </w:r>
            <w:r w:rsidRPr="0053423A">
              <w:rPr>
                <w:rFonts w:eastAsia="Times New Roman" w:cs="Times New Roman"/>
                <w:sz w:val="20"/>
                <w:szCs w:val="20"/>
                <w:lang w:val="ru-RU"/>
              </w:rPr>
              <w:t>կամ</w:t>
            </w:r>
            <w:r w:rsidRPr="0053423A">
              <w:rPr>
                <w:rFonts w:eastAsia="Times New Roman" w:cs="Times New Roman"/>
                <w:sz w:val="20"/>
                <w:szCs w:val="20"/>
                <w:lang w:val="af-ZA"/>
              </w:rPr>
              <w:t xml:space="preserve"> </w:t>
            </w:r>
            <w:r w:rsidRPr="0053423A">
              <w:rPr>
                <w:rFonts w:eastAsia="Times New Roman" w:cs="Times New Roman"/>
                <w:sz w:val="20"/>
                <w:szCs w:val="20"/>
                <w:lang w:val="ru-RU"/>
              </w:rPr>
              <w:t>բացակայում</w:t>
            </w:r>
            <w:r w:rsidRPr="0053423A">
              <w:rPr>
                <w:rFonts w:eastAsia="Times New Roman" w:cs="Times New Roman"/>
                <w:sz w:val="20"/>
                <w:szCs w:val="20"/>
                <w:lang w:val="af-ZA"/>
              </w:rPr>
              <w:t xml:space="preserve"> </w:t>
            </w:r>
            <w:r w:rsidRPr="0053423A">
              <w:rPr>
                <w:rFonts w:eastAsia="Times New Roman" w:cs="Times New Roman"/>
                <w:sz w:val="20"/>
                <w:szCs w:val="20"/>
                <w:lang w:val="ru-RU"/>
              </w:rPr>
              <w:t>է</w:t>
            </w:r>
            <w:r w:rsidRPr="0053423A">
              <w:rPr>
                <w:rFonts w:eastAsia="Times New Roman" w:cs="Times New Roman"/>
                <w:sz w:val="20"/>
                <w:szCs w:val="20"/>
                <w:lang w:val="af-ZA"/>
              </w:rPr>
              <w:t xml:space="preserve"> </w:t>
            </w:r>
            <w:r w:rsidRPr="0053423A">
              <w:rPr>
                <w:rFonts w:eastAsia="Times New Roman" w:cs="Times New Roman"/>
                <w:sz w:val="20"/>
                <w:szCs w:val="20"/>
                <w:lang w:val="ru-RU"/>
              </w:rPr>
              <w:t>հետաքրքրությունը</w:t>
            </w:r>
            <w:r w:rsidRPr="0053423A">
              <w:rPr>
                <w:rFonts w:eastAsia="Times New Roman" w:cs="Times New Roman"/>
                <w:sz w:val="20"/>
                <w:szCs w:val="20"/>
                <w:lang w:val="af-ZA"/>
              </w:rPr>
              <w:t xml:space="preserve"> </w:t>
            </w:r>
            <w:r w:rsidRPr="0053423A">
              <w:rPr>
                <w:rFonts w:eastAsia="Times New Roman" w:cs="Times New Roman"/>
                <w:sz w:val="20"/>
                <w:szCs w:val="20"/>
                <w:lang w:val="ru-RU"/>
              </w:rPr>
              <w:t>և</w:t>
            </w:r>
            <w:r w:rsidRPr="0053423A">
              <w:rPr>
                <w:rFonts w:eastAsia="Times New Roman" w:cs="Times New Roman"/>
                <w:sz w:val="20"/>
                <w:szCs w:val="20"/>
                <w:lang w:val="af-ZA"/>
              </w:rPr>
              <w:t xml:space="preserve"> </w:t>
            </w:r>
            <w:r w:rsidRPr="0053423A">
              <w:rPr>
                <w:rFonts w:eastAsia="Times New Roman" w:cs="Times New Roman"/>
                <w:sz w:val="20"/>
                <w:szCs w:val="20"/>
                <w:lang w:val="ru-RU"/>
              </w:rPr>
              <w:t>սրտացավ</w:t>
            </w:r>
            <w:r w:rsidRPr="0053423A">
              <w:rPr>
                <w:rFonts w:eastAsia="Times New Roman" w:cs="Times New Roman"/>
                <w:sz w:val="20"/>
                <w:szCs w:val="20"/>
                <w:lang w:val="af-ZA"/>
              </w:rPr>
              <w:t xml:space="preserve"> </w:t>
            </w:r>
            <w:r w:rsidRPr="0053423A">
              <w:rPr>
                <w:rFonts w:eastAsia="Times New Roman" w:cs="Times New Roman"/>
                <w:sz w:val="20"/>
                <w:szCs w:val="20"/>
                <w:lang w:val="ru-RU"/>
              </w:rPr>
              <w:t>վերաբերմունքը</w:t>
            </w:r>
            <w:r w:rsidRPr="0053423A">
              <w:rPr>
                <w:rFonts w:eastAsia="Times New Roman" w:cs="Times New Roman"/>
                <w:sz w:val="20"/>
                <w:szCs w:val="20"/>
                <w:lang w:val="af-ZA"/>
              </w:rPr>
              <w:t xml:space="preserve"> </w:t>
            </w:r>
            <w:r w:rsidRPr="0053423A">
              <w:rPr>
                <w:rFonts w:eastAsia="Times New Roman" w:cs="Times New Roman"/>
                <w:sz w:val="20"/>
                <w:szCs w:val="20"/>
                <w:lang w:val="ru-RU"/>
              </w:rPr>
              <w:t>հուշարձանների</w:t>
            </w:r>
            <w:r w:rsidRPr="0053423A">
              <w:rPr>
                <w:rFonts w:eastAsia="Times New Roman" w:cs="Times New Roman"/>
                <w:sz w:val="20"/>
                <w:szCs w:val="20"/>
                <w:lang w:val="af-ZA"/>
              </w:rPr>
              <w:t xml:space="preserve"> </w:t>
            </w:r>
            <w:r w:rsidRPr="0053423A">
              <w:rPr>
                <w:rFonts w:eastAsia="Times New Roman" w:cs="Times New Roman"/>
                <w:sz w:val="20"/>
                <w:szCs w:val="20"/>
                <w:lang w:val="ru-RU"/>
              </w:rPr>
              <w:t>նկատմամբ</w:t>
            </w:r>
            <w:r w:rsidRPr="0053423A">
              <w:rPr>
                <w:rFonts w:eastAsia="Times New Roman" w:cs="Times New Roman"/>
                <w:sz w:val="20"/>
                <w:szCs w:val="20"/>
                <w:lang w:val="af-ZA"/>
              </w:rPr>
              <w:t xml:space="preserve">, </w:t>
            </w:r>
            <w:r w:rsidRPr="0053423A">
              <w:rPr>
                <w:rFonts w:eastAsia="Times New Roman" w:cs="Times New Roman"/>
                <w:sz w:val="20"/>
                <w:szCs w:val="20"/>
              </w:rPr>
              <w:t>մինչդեռ</w:t>
            </w:r>
            <w:r w:rsidRPr="0053423A">
              <w:rPr>
                <w:rFonts w:eastAsia="Times New Roman" w:cs="Times New Roman"/>
                <w:sz w:val="20"/>
                <w:szCs w:val="20"/>
                <w:lang w:val="af-ZA"/>
              </w:rPr>
              <w:t xml:space="preserve"> </w:t>
            </w:r>
            <w:r w:rsidRPr="0053423A">
              <w:rPr>
                <w:rFonts w:eastAsia="Times New Roman" w:cs="Times New Roman"/>
                <w:sz w:val="20"/>
                <w:szCs w:val="20"/>
              </w:rPr>
              <w:t>առավել</w:t>
            </w:r>
            <w:r w:rsidRPr="0053423A">
              <w:rPr>
                <w:rFonts w:eastAsia="Times New Roman" w:cs="Times New Roman"/>
                <w:sz w:val="20"/>
                <w:szCs w:val="20"/>
                <w:lang w:val="af-ZA"/>
              </w:rPr>
              <w:t xml:space="preserve"> </w:t>
            </w:r>
            <w:r w:rsidRPr="0053423A">
              <w:rPr>
                <w:rFonts w:eastAsia="Times New Roman" w:cs="Times New Roman"/>
                <w:sz w:val="20"/>
                <w:szCs w:val="20"/>
              </w:rPr>
              <w:t>բարձր</w:t>
            </w:r>
            <w:r w:rsidRPr="0053423A">
              <w:rPr>
                <w:rFonts w:eastAsia="Times New Roman" w:cs="Times New Roman"/>
                <w:sz w:val="20"/>
                <w:szCs w:val="20"/>
                <w:lang w:val="af-ZA"/>
              </w:rPr>
              <w:softHyphen/>
            </w:r>
            <w:r w:rsidRPr="0053423A">
              <w:rPr>
                <w:rFonts w:eastAsia="Times New Roman" w:cs="Times New Roman"/>
                <w:sz w:val="20"/>
                <w:szCs w:val="20"/>
              </w:rPr>
              <w:t>արժեք</w:t>
            </w:r>
            <w:r w:rsidRPr="0053423A">
              <w:rPr>
                <w:rFonts w:eastAsia="Times New Roman" w:cs="Times New Roman"/>
                <w:sz w:val="20"/>
                <w:szCs w:val="20"/>
                <w:lang w:val="af-ZA"/>
              </w:rPr>
              <w:t xml:space="preserve"> </w:t>
            </w:r>
            <w:r w:rsidRPr="0053423A">
              <w:rPr>
                <w:rFonts w:eastAsia="Times New Roman" w:cs="Times New Roman"/>
                <w:sz w:val="20"/>
                <w:szCs w:val="20"/>
              </w:rPr>
              <w:t>հուշարձանները</w:t>
            </w:r>
            <w:r w:rsidRPr="0053423A">
              <w:rPr>
                <w:rFonts w:eastAsia="Times New Roman" w:cs="Times New Roman"/>
                <w:sz w:val="20"/>
                <w:szCs w:val="20"/>
                <w:lang w:val="af-ZA"/>
              </w:rPr>
              <w:t xml:space="preserve"> </w:t>
            </w:r>
            <w:r w:rsidRPr="0053423A">
              <w:rPr>
                <w:rFonts w:eastAsia="Times New Roman" w:cs="Times New Roman"/>
                <w:sz w:val="20"/>
                <w:szCs w:val="20"/>
              </w:rPr>
              <w:t>հանրահռչակելու</w:t>
            </w:r>
            <w:r w:rsidRPr="0053423A">
              <w:rPr>
                <w:rFonts w:eastAsia="Times New Roman" w:cs="Times New Roman"/>
                <w:sz w:val="20"/>
                <w:szCs w:val="20"/>
                <w:lang w:val="af-ZA"/>
              </w:rPr>
              <w:t xml:space="preserve"> </w:t>
            </w:r>
            <w:r w:rsidRPr="0053423A">
              <w:rPr>
                <w:rFonts w:eastAsia="Times New Roman" w:cs="Times New Roman"/>
                <w:sz w:val="20"/>
                <w:szCs w:val="20"/>
              </w:rPr>
              <w:t>և</w:t>
            </w:r>
            <w:r w:rsidRPr="0053423A">
              <w:rPr>
                <w:rFonts w:eastAsia="Times New Roman" w:cs="Times New Roman"/>
                <w:sz w:val="20"/>
                <w:szCs w:val="20"/>
                <w:lang w:val="af-ZA"/>
              </w:rPr>
              <w:t xml:space="preserve"> </w:t>
            </w:r>
            <w:r w:rsidRPr="0053423A">
              <w:rPr>
                <w:rFonts w:eastAsia="Times New Roman" w:cs="Times New Roman"/>
                <w:sz w:val="20"/>
                <w:szCs w:val="20"/>
              </w:rPr>
              <w:t>դրանց</w:t>
            </w:r>
            <w:r w:rsidRPr="0053423A">
              <w:rPr>
                <w:rFonts w:eastAsia="Times New Roman" w:cs="Times New Roman"/>
                <w:sz w:val="20"/>
                <w:szCs w:val="20"/>
                <w:lang w:val="af-ZA"/>
              </w:rPr>
              <w:t xml:space="preserve"> </w:t>
            </w:r>
            <w:r w:rsidRPr="0053423A">
              <w:rPr>
                <w:rFonts w:eastAsia="Times New Roman" w:cs="Times New Roman"/>
                <w:sz w:val="20"/>
                <w:szCs w:val="20"/>
              </w:rPr>
              <w:t>պահպանության</w:t>
            </w:r>
            <w:r w:rsidRPr="0053423A">
              <w:rPr>
                <w:rFonts w:eastAsia="Times New Roman" w:cs="Times New Roman"/>
                <w:sz w:val="20"/>
                <w:szCs w:val="20"/>
                <w:lang w:val="af-ZA"/>
              </w:rPr>
              <w:t xml:space="preserve"> </w:t>
            </w:r>
            <w:r w:rsidRPr="0053423A">
              <w:rPr>
                <w:rFonts w:eastAsia="Times New Roman" w:cs="Times New Roman"/>
                <w:sz w:val="20"/>
                <w:szCs w:val="20"/>
              </w:rPr>
              <w:t>գործ</w:t>
            </w:r>
            <w:r w:rsidRPr="0053423A">
              <w:rPr>
                <w:rFonts w:eastAsia="Times New Roman" w:cs="Times New Roman"/>
                <w:sz w:val="20"/>
                <w:szCs w:val="20"/>
                <w:lang w:val="af-ZA"/>
              </w:rPr>
              <w:softHyphen/>
            </w:r>
            <w:r w:rsidRPr="0053423A">
              <w:rPr>
                <w:rFonts w:eastAsia="Times New Roman" w:cs="Times New Roman"/>
                <w:sz w:val="20"/>
                <w:szCs w:val="20"/>
              </w:rPr>
              <w:t>ընթացների</w:t>
            </w:r>
            <w:r w:rsidRPr="0053423A">
              <w:rPr>
                <w:rFonts w:eastAsia="Times New Roman" w:cs="Times New Roman"/>
                <w:sz w:val="20"/>
                <w:szCs w:val="20"/>
                <w:lang w:val="af-ZA"/>
              </w:rPr>
              <w:t xml:space="preserve"> </w:t>
            </w:r>
            <w:r w:rsidRPr="0053423A">
              <w:rPr>
                <w:rFonts w:eastAsia="Times New Roman" w:cs="Times New Roman"/>
                <w:sz w:val="20"/>
                <w:szCs w:val="20"/>
              </w:rPr>
              <w:t>նկատմամբ</w:t>
            </w:r>
            <w:r w:rsidRPr="0053423A">
              <w:rPr>
                <w:rFonts w:eastAsia="Times New Roman" w:cs="Times New Roman"/>
                <w:sz w:val="20"/>
                <w:szCs w:val="20"/>
                <w:lang w:val="af-ZA"/>
              </w:rPr>
              <w:t xml:space="preserve"> </w:t>
            </w:r>
            <w:r w:rsidRPr="0053423A">
              <w:rPr>
                <w:rFonts w:eastAsia="Times New Roman" w:cs="Times New Roman"/>
                <w:sz w:val="20"/>
                <w:szCs w:val="20"/>
              </w:rPr>
              <w:t>հոգատար</w:t>
            </w:r>
            <w:r w:rsidRPr="0053423A">
              <w:rPr>
                <w:rFonts w:eastAsia="Times New Roman" w:cs="Times New Roman"/>
                <w:sz w:val="20"/>
                <w:szCs w:val="20"/>
                <w:lang w:val="af-ZA"/>
              </w:rPr>
              <w:t xml:space="preserve"> </w:t>
            </w:r>
            <w:r w:rsidRPr="0053423A">
              <w:rPr>
                <w:rFonts w:eastAsia="Times New Roman" w:cs="Times New Roman"/>
                <w:sz w:val="20"/>
                <w:szCs w:val="20"/>
              </w:rPr>
              <w:t>վերաբերմունք</w:t>
            </w:r>
            <w:r w:rsidRPr="0053423A">
              <w:rPr>
                <w:rFonts w:eastAsia="Times New Roman" w:cs="Times New Roman"/>
                <w:sz w:val="20"/>
                <w:szCs w:val="20"/>
                <w:lang w:val="af-ZA"/>
              </w:rPr>
              <w:t xml:space="preserve"> </w:t>
            </w:r>
            <w:r w:rsidRPr="0053423A">
              <w:rPr>
                <w:rFonts w:eastAsia="Times New Roman" w:cs="Times New Roman"/>
                <w:sz w:val="20"/>
                <w:szCs w:val="20"/>
              </w:rPr>
              <w:t>ձևավորելու</w:t>
            </w:r>
            <w:r w:rsidRPr="0053423A">
              <w:rPr>
                <w:rFonts w:eastAsia="Times New Roman" w:cs="Times New Roman"/>
                <w:sz w:val="20"/>
                <w:szCs w:val="20"/>
                <w:lang w:val="af-ZA"/>
              </w:rPr>
              <w:t xml:space="preserve"> </w:t>
            </w:r>
            <w:r w:rsidRPr="0053423A">
              <w:rPr>
                <w:rFonts w:eastAsia="Times New Roman" w:cs="Times New Roman"/>
                <w:sz w:val="20"/>
                <w:szCs w:val="20"/>
              </w:rPr>
              <w:t>անհրաժեշտություն</w:t>
            </w:r>
            <w:r w:rsidRPr="0053423A">
              <w:rPr>
                <w:rFonts w:eastAsia="Times New Roman" w:cs="Times New Roman"/>
                <w:sz w:val="20"/>
                <w:szCs w:val="20"/>
                <w:lang w:val="af-ZA"/>
              </w:rPr>
              <w:t xml:space="preserve"> </w:t>
            </w:r>
            <w:r w:rsidRPr="0053423A">
              <w:rPr>
                <w:rFonts w:eastAsia="Times New Roman" w:cs="Times New Roman"/>
                <w:sz w:val="20"/>
                <w:szCs w:val="20"/>
              </w:rPr>
              <w:t>կա</w:t>
            </w:r>
            <w:r w:rsidRPr="0053423A">
              <w:rPr>
                <w:rFonts w:eastAsia="Times New Roman" w:cs="Times New Roman"/>
                <w:sz w:val="20"/>
                <w:szCs w:val="20"/>
                <w:lang w:val="af-ZA"/>
              </w:rPr>
              <w:t xml:space="preserve">, ինչպես նաևՙ ժամանակակից մշակութային կյանքը և արվեստները  մշակութային ժառանգության հետ մոտեցնելու խնդիր կա: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spacing w:after="0" w:line="276" w:lineRule="auto"/>
              <w:jc w:val="both"/>
              <w:rPr>
                <w:rFonts w:eastAsia="Times New Roman" w:cs="Times New Roman"/>
                <w:sz w:val="20"/>
                <w:szCs w:val="20"/>
                <w:lang w:val="af-ZA"/>
              </w:rPr>
            </w:pPr>
          </w:p>
          <w:p w:rsidR="00A67B6B" w:rsidRPr="0053423A" w:rsidRDefault="00A67B6B" w:rsidP="00A67858">
            <w:pPr>
              <w:tabs>
                <w:tab w:val="left" w:pos="508"/>
              </w:tabs>
              <w:spacing w:after="0" w:line="276" w:lineRule="auto"/>
              <w:contextualSpacing/>
              <w:rPr>
                <w:rFonts w:eastAsia="Calibri" w:cs="Times New Roman"/>
                <w:b/>
                <w:sz w:val="20"/>
                <w:szCs w:val="20"/>
                <w:lang w:val="af-ZA"/>
              </w:rPr>
            </w:pPr>
            <w:r w:rsidRPr="0053423A">
              <w:rPr>
                <w:rFonts w:eastAsia="Calibri" w:cs="Sylfaen"/>
                <w:b/>
                <w:sz w:val="20"/>
                <w:szCs w:val="20"/>
                <w:lang w:val="af-ZA"/>
              </w:rPr>
              <w:t xml:space="preserve">1.1. </w:t>
            </w:r>
            <w:r w:rsidRPr="0053423A">
              <w:rPr>
                <w:rFonts w:eastAsia="Calibri" w:cs="Sylfaen"/>
                <w:b/>
                <w:sz w:val="20"/>
                <w:szCs w:val="20"/>
                <w:lang w:val="hy-AM"/>
              </w:rPr>
              <w:t>Կարգավորման</w:t>
            </w:r>
            <w:r w:rsidRPr="0053423A">
              <w:rPr>
                <w:rFonts w:eastAsia="Calibri" w:cs="Sylfaen"/>
                <w:b/>
                <w:sz w:val="20"/>
                <w:szCs w:val="20"/>
                <w:lang w:val="af-ZA"/>
              </w:rPr>
              <w:t xml:space="preserve"> </w:t>
            </w:r>
            <w:r w:rsidRPr="0053423A">
              <w:rPr>
                <w:rFonts w:eastAsia="Calibri" w:cs="Times New Roman"/>
                <w:b/>
                <w:sz w:val="20"/>
                <w:szCs w:val="20"/>
                <w:lang w:val="hy-AM"/>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lang w:val="hy-AM"/>
              </w:rPr>
              <w:t>ներկա</w:t>
            </w:r>
            <w:r w:rsidRPr="0053423A">
              <w:rPr>
                <w:rFonts w:eastAsia="Calibri" w:cs="Times New Roman"/>
                <w:b/>
                <w:sz w:val="20"/>
                <w:szCs w:val="20"/>
                <w:lang w:val="af-ZA"/>
              </w:rPr>
              <w:t xml:space="preserve"> </w:t>
            </w:r>
            <w:r w:rsidRPr="0053423A">
              <w:rPr>
                <w:rFonts w:eastAsia="Calibri" w:cs="Times New Roman"/>
                <w:b/>
                <w:sz w:val="20"/>
                <w:szCs w:val="20"/>
                <w:lang w:val="hy-AM"/>
              </w:rPr>
              <w:t>վիճակը</w:t>
            </w:r>
            <w:r w:rsidRPr="0053423A">
              <w:rPr>
                <w:rFonts w:eastAsia="Calibri" w:cs="Times New Roman"/>
                <w:b/>
                <w:sz w:val="20"/>
                <w:szCs w:val="20"/>
                <w:lang w:val="af-ZA"/>
              </w:rPr>
              <w:t xml:space="preserve"> </w:t>
            </w:r>
            <w:r w:rsidRPr="0053423A">
              <w:rPr>
                <w:rFonts w:eastAsia="Calibri" w:cs="Times New Roman"/>
                <w:b/>
                <w:sz w:val="20"/>
                <w:szCs w:val="20"/>
                <w:lang w:val="hy-AM"/>
              </w:rPr>
              <w:t>և</w:t>
            </w:r>
            <w:r w:rsidRPr="0053423A">
              <w:rPr>
                <w:rFonts w:eastAsia="Calibri" w:cs="Times New Roman"/>
                <w:b/>
                <w:sz w:val="20"/>
                <w:szCs w:val="20"/>
                <w:lang w:val="af-ZA"/>
              </w:rPr>
              <w:t xml:space="preserve"> </w:t>
            </w:r>
            <w:r w:rsidRPr="0053423A">
              <w:rPr>
                <w:rFonts w:eastAsia="Calibri" w:cs="Times New Roman"/>
                <w:b/>
                <w:sz w:val="20"/>
                <w:szCs w:val="20"/>
                <w:lang w:val="hy-AM"/>
              </w:rPr>
              <w:t>առկա</w:t>
            </w:r>
            <w:r w:rsidRPr="0053423A">
              <w:rPr>
                <w:rFonts w:eastAsia="Calibri" w:cs="Times New Roman"/>
                <w:b/>
                <w:sz w:val="20"/>
                <w:szCs w:val="20"/>
                <w:lang w:val="af-ZA"/>
              </w:rPr>
              <w:t xml:space="preserve"> </w:t>
            </w:r>
            <w:r w:rsidRPr="0053423A">
              <w:rPr>
                <w:rFonts w:eastAsia="Calibri" w:cs="Times New Roman"/>
                <w:b/>
                <w:sz w:val="20"/>
                <w:szCs w:val="20"/>
                <w:lang w:val="hy-AM"/>
              </w:rPr>
              <w:t>խնդիրները</w:t>
            </w: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r w:rsidRPr="0053423A">
              <w:rPr>
                <w:rFonts w:eastAsia="Calibri" w:cs="Times New Roman"/>
                <w:sz w:val="20"/>
                <w:szCs w:val="20"/>
                <w:lang w:val="hy-AM"/>
              </w:rPr>
              <w:t>Պատմության</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w:t>
            </w:r>
            <w:r w:rsidRPr="0053423A">
              <w:rPr>
                <w:rFonts w:eastAsia="Calibri" w:cs="Times New Roman"/>
                <w:sz w:val="20"/>
                <w:szCs w:val="20"/>
                <w:lang w:val="hy-AM"/>
              </w:rPr>
              <w:t>մշակույթի</w:t>
            </w:r>
            <w:r w:rsidRPr="0053423A">
              <w:rPr>
                <w:rFonts w:eastAsia="Calibri" w:cs="Times New Roman"/>
                <w:sz w:val="20"/>
                <w:szCs w:val="20"/>
                <w:lang w:val="af-ZA"/>
              </w:rPr>
              <w:t xml:space="preserve"> </w:t>
            </w:r>
            <w:r w:rsidRPr="0053423A">
              <w:rPr>
                <w:rFonts w:eastAsia="Calibri" w:cs="Times New Roman"/>
                <w:sz w:val="20"/>
                <w:szCs w:val="20"/>
                <w:lang w:val="hy-AM"/>
              </w:rPr>
              <w:t>անշարժ</w:t>
            </w:r>
            <w:r w:rsidRPr="0053423A">
              <w:rPr>
                <w:rFonts w:eastAsia="Calibri" w:cs="Times New Roman"/>
                <w:sz w:val="20"/>
                <w:szCs w:val="20"/>
                <w:lang w:val="af-ZA"/>
              </w:rPr>
              <w:t xml:space="preserve"> </w:t>
            </w:r>
            <w:r w:rsidRPr="0053423A">
              <w:rPr>
                <w:rFonts w:eastAsia="Calibri" w:cs="Times New Roman"/>
                <w:sz w:val="20"/>
                <w:szCs w:val="20"/>
                <w:lang w:val="hy-AM"/>
              </w:rPr>
              <w:t>հուշարձանների</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w:t>
            </w:r>
            <w:r w:rsidRPr="0053423A">
              <w:rPr>
                <w:rFonts w:eastAsia="Calibri" w:cs="Times New Roman"/>
                <w:sz w:val="20"/>
                <w:szCs w:val="20"/>
                <w:lang w:val="hy-AM"/>
              </w:rPr>
              <w:t>դրանց</w:t>
            </w:r>
            <w:r w:rsidRPr="0053423A">
              <w:rPr>
                <w:rFonts w:eastAsia="Calibri" w:cs="Times New Roman"/>
                <w:sz w:val="20"/>
                <w:szCs w:val="20"/>
                <w:lang w:val="af-ZA"/>
              </w:rPr>
              <w:t xml:space="preserve"> </w:t>
            </w:r>
            <w:r w:rsidRPr="0053423A">
              <w:rPr>
                <w:rFonts w:eastAsia="Calibri" w:cs="Times New Roman"/>
                <w:sz w:val="20"/>
                <w:szCs w:val="20"/>
                <w:lang w:val="hy-AM"/>
              </w:rPr>
              <w:t>պահպանության</w:t>
            </w:r>
            <w:r w:rsidRPr="0053423A">
              <w:rPr>
                <w:rFonts w:eastAsia="Calibri" w:cs="Times New Roman"/>
                <w:sz w:val="20"/>
                <w:szCs w:val="20"/>
                <w:lang w:val="af-ZA"/>
              </w:rPr>
              <w:t xml:space="preserve"> </w:t>
            </w:r>
            <w:r w:rsidRPr="0053423A">
              <w:rPr>
                <w:rFonts w:eastAsia="Calibri" w:cs="Times New Roman"/>
                <w:sz w:val="20"/>
                <w:szCs w:val="20"/>
                <w:lang w:val="hy-AM"/>
              </w:rPr>
              <w:t>անհրաժեշտության</w:t>
            </w:r>
            <w:r w:rsidRPr="0053423A">
              <w:rPr>
                <w:rFonts w:eastAsia="Calibri" w:cs="Times New Roman"/>
                <w:sz w:val="20"/>
                <w:szCs w:val="20"/>
                <w:lang w:val="af-ZA"/>
              </w:rPr>
              <w:t xml:space="preserve"> </w:t>
            </w:r>
            <w:r w:rsidRPr="0053423A">
              <w:rPr>
                <w:rFonts w:eastAsia="Calibri" w:cs="Times New Roman"/>
                <w:sz w:val="20"/>
                <w:szCs w:val="20"/>
                <w:lang w:val="hy-AM"/>
              </w:rPr>
              <w:t>քարողչությունն</w:t>
            </w:r>
            <w:r w:rsidRPr="0053423A">
              <w:rPr>
                <w:rFonts w:eastAsia="Calibri" w:cs="Times New Roman"/>
                <w:sz w:val="20"/>
                <w:szCs w:val="20"/>
                <w:lang w:val="af-ZA"/>
              </w:rPr>
              <w:t xml:space="preserve"> </w:t>
            </w:r>
            <w:r w:rsidRPr="0053423A">
              <w:rPr>
                <w:rFonts w:eastAsia="Calibri" w:cs="Times New Roman"/>
                <w:sz w:val="20"/>
                <w:szCs w:val="20"/>
                <w:lang w:val="hy-AM"/>
              </w:rPr>
              <w:t>իրականացվում</w:t>
            </w:r>
            <w:r w:rsidRPr="0053423A">
              <w:rPr>
                <w:rFonts w:eastAsia="Calibri" w:cs="Times New Roman"/>
                <w:sz w:val="20"/>
                <w:szCs w:val="20"/>
                <w:lang w:val="af-ZA"/>
              </w:rPr>
              <w:t xml:space="preserve"> </w:t>
            </w:r>
            <w:r w:rsidRPr="0053423A">
              <w:rPr>
                <w:rFonts w:eastAsia="Calibri" w:cs="Times New Roman"/>
                <w:sz w:val="20"/>
                <w:szCs w:val="20"/>
                <w:lang w:val="hy-AM"/>
              </w:rPr>
              <w:t>է</w:t>
            </w:r>
            <w:r w:rsidRPr="0053423A">
              <w:rPr>
                <w:rFonts w:eastAsia="Calibri" w:cs="Times New Roman"/>
                <w:sz w:val="20"/>
                <w:szCs w:val="20"/>
                <w:lang w:val="af-ZA"/>
              </w:rPr>
              <w:t xml:space="preserve"> </w:t>
            </w:r>
            <w:r w:rsidRPr="0053423A">
              <w:rPr>
                <w:rFonts w:eastAsia="Calibri" w:cs="Times New Roman"/>
                <w:sz w:val="20"/>
                <w:szCs w:val="20"/>
                <w:lang w:val="hy-AM"/>
              </w:rPr>
              <w:t>հեռուստատեսային</w:t>
            </w:r>
            <w:r w:rsidRPr="0053423A">
              <w:rPr>
                <w:rFonts w:eastAsia="Calibri" w:cs="Times New Roman"/>
                <w:sz w:val="20"/>
                <w:szCs w:val="20"/>
                <w:lang w:val="af-ZA"/>
              </w:rPr>
              <w:t xml:space="preserve"> </w:t>
            </w:r>
            <w:r w:rsidRPr="0053423A">
              <w:rPr>
                <w:rFonts w:eastAsia="Calibri" w:cs="Times New Roman"/>
                <w:sz w:val="20"/>
                <w:szCs w:val="20"/>
                <w:lang w:val="hy-AM"/>
              </w:rPr>
              <w:t>մեկ</w:t>
            </w:r>
            <w:r w:rsidRPr="0053423A">
              <w:rPr>
                <w:rFonts w:eastAsia="Calibri" w:cs="Times New Roman"/>
                <w:sz w:val="20"/>
                <w:szCs w:val="20"/>
                <w:lang w:val="af-ZA"/>
              </w:rPr>
              <w:t xml:space="preserve"> </w:t>
            </w:r>
            <w:r w:rsidRPr="0053423A">
              <w:rPr>
                <w:rFonts w:eastAsia="Calibri" w:cs="Times New Roman"/>
                <w:sz w:val="20"/>
                <w:szCs w:val="20"/>
                <w:lang w:val="hy-AM"/>
              </w:rPr>
              <w:t>կամ</w:t>
            </w:r>
            <w:r w:rsidRPr="0053423A">
              <w:rPr>
                <w:rFonts w:eastAsia="Calibri" w:cs="Times New Roman"/>
                <w:sz w:val="20"/>
                <w:szCs w:val="20"/>
                <w:lang w:val="af-ZA"/>
              </w:rPr>
              <w:t xml:space="preserve"> </w:t>
            </w:r>
            <w:r w:rsidRPr="0053423A">
              <w:rPr>
                <w:rFonts w:eastAsia="Calibri" w:cs="Times New Roman"/>
                <w:sz w:val="20"/>
                <w:szCs w:val="20"/>
                <w:lang w:val="hy-AM"/>
              </w:rPr>
              <w:t>երկու</w:t>
            </w:r>
            <w:r w:rsidRPr="0053423A">
              <w:rPr>
                <w:rFonts w:eastAsia="Calibri" w:cs="Times New Roman"/>
                <w:sz w:val="20"/>
                <w:szCs w:val="20"/>
                <w:lang w:val="af-ZA"/>
              </w:rPr>
              <w:t xml:space="preserve"> </w:t>
            </w:r>
            <w:r w:rsidRPr="0053423A">
              <w:rPr>
                <w:rFonts w:eastAsia="Calibri" w:cs="Times New Roman"/>
                <w:sz w:val="20"/>
                <w:szCs w:val="20"/>
                <w:lang w:val="hy-AM"/>
              </w:rPr>
              <w:t>ալիքներով</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w:t>
            </w:r>
            <w:r w:rsidRPr="0053423A">
              <w:rPr>
                <w:rFonts w:eastAsia="Calibri" w:cs="Times New Roman"/>
                <w:sz w:val="20"/>
                <w:szCs w:val="20"/>
                <w:lang w:val="hy-AM"/>
              </w:rPr>
              <w:t>դիպվածային</w:t>
            </w:r>
            <w:r w:rsidRPr="0053423A">
              <w:rPr>
                <w:rFonts w:eastAsia="Calibri" w:cs="Times New Roman"/>
                <w:sz w:val="20"/>
                <w:szCs w:val="20"/>
                <w:lang w:val="af-ZA"/>
              </w:rPr>
              <w:t xml:space="preserve"> </w:t>
            </w:r>
            <w:r w:rsidRPr="0053423A">
              <w:rPr>
                <w:rFonts w:eastAsia="Calibri" w:cs="Times New Roman"/>
                <w:sz w:val="20"/>
                <w:szCs w:val="20"/>
                <w:lang w:val="hy-AM"/>
              </w:rPr>
              <w:t>հաղորդումների</w:t>
            </w:r>
            <w:r w:rsidRPr="0053423A">
              <w:rPr>
                <w:rFonts w:eastAsia="Calibri" w:cs="Times New Roman"/>
                <w:sz w:val="20"/>
                <w:szCs w:val="20"/>
                <w:lang w:val="af-ZA"/>
              </w:rPr>
              <w:t xml:space="preserve"> </w:t>
            </w:r>
            <w:r w:rsidRPr="0053423A">
              <w:rPr>
                <w:rFonts w:eastAsia="Calibri" w:cs="Times New Roman"/>
                <w:sz w:val="20"/>
                <w:szCs w:val="20"/>
                <w:lang w:val="hy-AM"/>
              </w:rPr>
              <w:t>միջոցով</w:t>
            </w:r>
            <w:r w:rsidRPr="0053423A">
              <w:rPr>
                <w:rFonts w:eastAsia="Calibri" w:cs="Times New Roman"/>
                <w:sz w:val="20"/>
                <w:szCs w:val="20"/>
                <w:lang w:val="af-ZA"/>
              </w:rPr>
              <w:t xml:space="preserve">, </w:t>
            </w:r>
            <w:r w:rsidRPr="0053423A">
              <w:rPr>
                <w:rFonts w:eastAsia="Calibri" w:cs="Times New Roman"/>
                <w:sz w:val="20"/>
                <w:szCs w:val="20"/>
                <w:lang w:val="hy-AM"/>
              </w:rPr>
              <w:t>որոնք</w:t>
            </w:r>
            <w:r w:rsidRPr="0053423A">
              <w:rPr>
                <w:rFonts w:eastAsia="Calibri" w:cs="Times New Roman"/>
                <w:sz w:val="20"/>
                <w:szCs w:val="20"/>
                <w:lang w:val="af-ZA"/>
              </w:rPr>
              <w:t xml:space="preserve"> </w:t>
            </w:r>
            <w:r w:rsidRPr="0053423A">
              <w:rPr>
                <w:rFonts w:eastAsia="Calibri" w:cs="Times New Roman"/>
                <w:sz w:val="20"/>
                <w:szCs w:val="20"/>
                <w:lang w:val="hy-AM"/>
              </w:rPr>
              <w:t>երբեմն</w:t>
            </w:r>
            <w:r w:rsidRPr="0053423A">
              <w:rPr>
                <w:rFonts w:eastAsia="Calibri" w:cs="Times New Roman"/>
                <w:sz w:val="20"/>
                <w:szCs w:val="20"/>
                <w:lang w:val="af-ZA"/>
              </w:rPr>
              <w:t xml:space="preserve"> </w:t>
            </w:r>
            <w:r w:rsidRPr="0053423A">
              <w:rPr>
                <w:rFonts w:eastAsia="Calibri" w:cs="Times New Roman"/>
                <w:sz w:val="20"/>
                <w:szCs w:val="20"/>
                <w:lang w:val="hy-AM"/>
              </w:rPr>
              <w:t>անհասա</w:t>
            </w:r>
            <w:r w:rsidRPr="0053423A">
              <w:rPr>
                <w:rFonts w:eastAsia="Calibri" w:cs="Times New Roman"/>
                <w:sz w:val="20"/>
                <w:szCs w:val="20"/>
                <w:lang w:val="af-ZA"/>
              </w:rPr>
              <w:softHyphen/>
            </w:r>
            <w:r w:rsidRPr="0053423A">
              <w:rPr>
                <w:rFonts w:eastAsia="Calibri" w:cs="Times New Roman"/>
                <w:sz w:val="20"/>
                <w:szCs w:val="20"/>
                <w:lang w:val="hy-AM"/>
              </w:rPr>
              <w:t>նելի</w:t>
            </w:r>
            <w:r w:rsidRPr="0053423A">
              <w:rPr>
                <w:rFonts w:eastAsia="Calibri" w:cs="Times New Roman"/>
                <w:sz w:val="20"/>
                <w:szCs w:val="20"/>
                <w:lang w:val="af-ZA"/>
              </w:rPr>
              <w:t xml:space="preserve"> </w:t>
            </w:r>
            <w:r w:rsidRPr="0053423A">
              <w:rPr>
                <w:rFonts w:eastAsia="Calibri" w:cs="Times New Roman"/>
                <w:sz w:val="20"/>
                <w:szCs w:val="20"/>
                <w:lang w:val="hy-AM"/>
              </w:rPr>
              <w:t>են</w:t>
            </w:r>
            <w:r w:rsidRPr="0053423A">
              <w:rPr>
                <w:rFonts w:eastAsia="Calibri" w:cs="Times New Roman"/>
                <w:sz w:val="20"/>
                <w:szCs w:val="20"/>
                <w:lang w:val="af-ZA"/>
              </w:rPr>
              <w:t xml:space="preserve"> </w:t>
            </w:r>
            <w:r w:rsidRPr="0053423A">
              <w:rPr>
                <w:rFonts w:eastAsia="Calibri" w:cs="Times New Roman"/>
                <w:sz w:val="20"/>
                <w:szCs w:val="20"/>
                <w:lang w:val="hy-AM"/>
              </w:rPr>
              <w:t>հանրությանը</w:t>
            </w:r>
            <w:r w:rsidRPr="0053423A">
              <w:rPr>
                <w:rFonts w:eastAsia="Calibri" w:cs="Times New Roman"/>
                <w:sz w:val="20"/>
                <w:szCs w:val="20"/>
                <w:lang w:val="af-ZA"/>
              </w:rPr>
              <w:t xml:space="preserve">, </w:t>
            </w:r>
            <w:r w:rsidRPr="0053423A">
              <w:rPr>
                <w:rFonts w:eastAsia="Calibri" w:cs="Times New Roman"/>
                <w:sz w:val="20"/>
                <w:szCs w:val="20"/>
                <w:lang w:val="hy-AM"/>
              </w:rPr>
              <w:t>կրում</w:t>
            </w:r>
            <w:r w:rsidRPr="0053423A">
              <w:rPr>
                <w:rFonts w:eastAsia="Calibri" w:cs="Times New Roman"/>
                <w:sz w:val="20"/>
                <w:szCs w:val="20"/>
                <w:lang w:val="af-ZA"/>
              </w:rPr>
              <w:t xml:space="preserve"> </w:t>
            </w:r>
            <w:r w:rsidRPr="0053423A">
              <w:rPr>
                <w:rFonts w:eastAsia="Calibri" w:cs="Times New Roman"/>
                <w:sz w:val="20"/>
                <w:szCs w:val="20"/>
                <w:lang w:val="hy-AM"/>
              </w:rPr>
              <w:t>են</w:t>
            </w:r>
            <w:r w:rsidRPr="0053423A">
              <w:rPr>
                <w:rFonts w:eastAsia="Calibri" w:cs="Times New Roman"/>
                <w:sz w:val="20"/>
                <w:szCs w:val="20"/>
                <w:lang w:val="af-ZA"/>
              </w:rPr>
              <w:t xml:space="preserve"> </w:t>
            </w:r>
            <w:r w:rsidRPr="0053423A">
              <w:rPr>
                <w:rFonts w:eastAsia="Calibri" w:cs="Times New Roman"/>
                <w:sz w:val="20"/>
                <w:szCs w:val="20"/>
                <w:lang w:val="hy-AM"/>
              </w:rPr>
              <w:t>միայն</w:t>
            </w:r>
            <w:r w:rsidRPr="0053423A">
              <w:rPr>
                <w:rFonts w:eastAsia="Calibri" w:cs="Times New Roman"/>
                <w:sz w:val="20"/>
                <w:szCs w:val="20"/>
                <w:lang w:val="af-ZA"/>
              </w:rPr>
              <w:t xml:space="preserve"> </w:t>
            </w:r>
            <w:r w:rsidRPr="0053423A">
              <w:rPr>
                <w:rFonts w:eastAsia="Calibri" w:cs="Times New Roman"/>
                <w:sz w:val="20"/>
                <w:szCs w:val="20"/>
                <w:lang w:val="hy-AM"/>
              </w:rPr>
              <w:t>ճանաչողական</w:t>
            </w:r>
            <w:r w:rsidRPr="0053423A">
              <w:rPr>
                <w:rFonts w:eastAsia="Calibri" w:cs="Times New Roman"/>
                <w:sz w:val="20"/>
                <w:szCs w:val="20"/>
                <w:lang w:val="af-ZA"/>
              </w:rPr>
              <w:t xml:space="preserve"> </w:t>
            </w:r>
            <w:r w:rsidRPr="0053423A">
              <w:rPr>
                <w:rFonts w:eastAsia="Calibri" w:cs="Times New Roman"/>
                <w:sz w:val="20"/>
                <w:szCs w:val="20"/>
                <w:lang w:val="hy-AM"/>
              </w:rPr>
              <w:t>բնույթ</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w:t>
            </w:r>
            <w:r w:rsidRPr="0053423A">
              <w:rPr>
                <w:rFonts w:eastAsia="Calibri" w:cs="Times New Roman"/>
                <w:sz w:val="20"/>
                <w:szCs w:val="20"/>
                <w:lang w:val="hy-AM"/>
              </w:rPr>
              <w:t>կրում</w:t>
            </w:r>
            <w:r w:rsidRPr="0053423A">
              <w:rPr>
                <w:rFonts w:eastAsia="Calibri" w:cs="Times New Roman"/>
                <w:sz w:val="20"/>
                <w:szCs w:val="20"/>
                <w:lang w:val="af-ZA"/>
              </w:rPr>
              <w:t xml:space="preserve"> </w:t>
            </w:r>
            <w:r w:rsidRPr="0053423A">
              <w:rPr>
                <w:rFonts w:eastAsia="Calibri" w:cs="Times New Roman"/>
                <w:sz w:val="20"/>
                <w:szCs w:val="20"/>
                <w:lang w:val="hy-AM"/>
              </w:rPr>
              <w:t>են</w:t>
            </w:r>
            <w:r w:rsidRPr="0053423A">
              <w:rPr>
                <w:rFonts w:eastAsia="Calibri" w:cs="Times New Roman"/>
                <w:sz w:val="20"/>
                <w:szCs w:val="20"/>
                <w:lang w:val="af-ZA"/>
              </w:rPr>
              <w:t xml:space="preserve"> </w:t>
            </w:r>
            <w:r w:rsidRPr="0053423A">
              <w:rPr>
                <w:rFonts w:eastAsia="Calibri" w:cs="Times New Roman"/>
                <w:sz w:val="20"/>
                <w:szCs w:val="20"/>
                <w:lang w:val="hy-AM"/>
              </w:rPr>
              <w:t>տեղեկատ</w:t>
            </w:r>
            <w:r w:rsidRPr="0053423A">
              <w:rPr>
                <w:rFonts w:eastAsia="Calibri" w:cs="Times New Roman"/>
                <w:sz w:val="20"/>
                <w:szCs w:val="20"/>
                <w:lang w:val="af-ZA"/>
              </w:rPr>
              <w:softHyphen/>
            </w:r>
            <w:r w:rsidRPr="0053423A">
              <w:rPr>
                <w:rFonts w:eastAsia="Calibri" w:cs="Times New Roman"/>
                <w:sz w:val="20"/>
                <w:szCs w:val="20"/>
                <w:lang w:val="hy-AM"/>
              </w:rPr>
              <w:t>վություն</w:t>
            </w:r>
            <w:r w:rsidRPr="0053423A">
              <w:rPr>
                <w:rFonts w:eastAsia="Calibri" w:cs="Times New Roman"/>
                <w:sz w:val="20"/>
                <w:szCs w:val="20"/>
                <w:lang w:val="af-ZA"/>
              </w:rPr>
              <w:t xml:space="preserve"> </w:t>
            </w:r>
            <w:r w:rsidRPr="0053423A">
              <w:rPr>
                <w:rFonts w:eastAsia="Calibri" w:cs="Times New Roman"/>
                <w:sz w:val="20"/>
                <w:szCs w:val="20"/>
                <w:lang w:val="hy-AM"/>
              </w:rPr>
              <w:t>տրամադրելու</w:t>
            </w:r>
            <w:r w:rsidRPr="0053423A">
              <w:rPr>
                <w:rFonts w:eastAsia="Calibri" w:cs="Times New Roman"/>
                <w:sz w:val="20"/>
                <w:szCs w:val="20"/>
                <w:lang w:val="af-ZA"/>
              </w:rPr>
              <w:t xml:space="preserve"> </w:t>
            </w:r>
            <w:r w:rsidRPr="0053423A">
              <w:rPr>
                <w:rFonts w:eastAsia="Calibri" w:cs="Times New Roman"/>
                <w:sz w:val="20"/>
                <w:szCs w:val="20"/>
                <w:lang w:val="hy-AM"/>
              </w:rPr>
              <w:t>նպատակ</w:t>
            </w:r>
            <w:r w:rsidRPr="0053423A">
              <w:rPr>
                <w:rFonts w:eastAsia="Calibri" w:cs="Times New Roman"/>
                <w:sz w:val="20"/>
                <w:szCs w:val="20"/>
                <w:lang w:val="af-ZA"/>
              </w:rPr>
              <w:t xml:space="preserve">: </w:t>
            </w:r>
          </w:p>
          <w:p w:rsidR="00A67B6B" w:rsidRPr="0053423A" w:rsidRDefault="00A67B6B" w:rsidP="00A67858">
            <w:pPr>
              <w:tabs>
                <w:tab w:val="left" w:pos="508"/>
              </w:tabs>
              <w:spacing w:after="0" w:line="276" w:lineRule="auto"/>
              <w:contextualSpacing/>
              <w:jc w:val="both"/>
              <w:rPr>
                <w:rFonts w:eastAsia="Times New Roman" w:cs="Times New Roman"/>
                <w:sz w:val="20"/>
                <w:szCs w:val="20"/>
                <w:lang w:val="af-ZA"/>
              </w:rPr>
            </w:pPr>
            <w:r w:rsidRPr="0053423A">
              <w:rPr>
                <w:rFonts w:eastAsia="Calibri" w:cs="Times New Roman"/>
                <w:sz w:val="20"/>
                <w:szCs w:val="20"/>
              </w:rPr>
              <w:t>Հուշարձանների</w:t>
            </w:r>
            <w:r w:rsidRPr="0053423A">
              <w:rPr>
                <w:rFonts w:eastAsia="Calibri" w:cs="Times New Roman"/>
                <w:sz w:val="20"/>
                <w:szCs w:val="20"/>
                <w:lang w:val="af-ZA"/>
              </w:rPr>
              <w:t xml:space="preserve"> </w:t>
            </w:r>
            <w:r w:rsidRPr="0053423A">
              <w:rPr>
                <w:rFonts w:eastAsia="Calibri" w:cs="Times New Roman"/>
                <w:sz w:val="20"/>
                <w:szCs w:val="20"/>
              </w:rPr>
              <w:t>տարածքներում</w:t>
            </w:r>
            <w:r w:rsidRPr="0053423A">
              <w:rPr>
                <w:rFonts w:eastAsia="Calibri" w:cs="Times New Roman"/>
                <w:sz w:val="20"/>
                <w:szCs w:val="20"/>
                <w:lang w:val="af-ZA"/>
              </w:rPr>
              <w:t xml:space="preserve"> </w:t>
            </w:r>
            <w:r w:rsidRPr="0053423A">
              <w:rPr>
                <w:rFonts w:eastAsia="Calibri" w:cs="Times New Roman"/>
                <w:sz w:val="20"/>
                <w:szCs w:val="20"/>
              </w:rPr>
              <w:t>մշակութային</w:t>
            </w:r>
            <w:r w:rsidRPr="0053423A">
              <w:rPr>
                <w:rFonts w:eastAsia="Calibri" w:cs="Times New Roman"/>
                <w:sz w:val="20"/>
                <w:szCs w:val="20"/>
                <w:lang w:val="af-ZA"/>
              </w:rPr>
              <w:t xml:space="preserve"> </w:t>
            </w:r>
            <w:r w:rsidRPr="0053423A">
              <w:rPr>
                <w:rFonts w:eastAsia="Calibri" w:cs="Times New Roman"/>
                <w:sz w:val="20"/>
                <w:szCs w:val="20"/>
              </w:rPr>
              <w:t>միջոցառումները</w:t>
            </w:r>
            <w:r w:rsidRPr="0053423A">
              <w:rPr>
                <w:rFonts w:eastAsia="Calibri" w:cs="Times New Roman"/>
                <w:sz w:val="20"/>
                <w:szCs w:val="20"/>
                <w:lang w:val="af-ZA"/>
              </w:rPr>
              <w:t xml:space="preserve"> </w:t>
            </w:r>
            <w:r w:rsidRPr="0053423A">
              <w:rPr>
                <w:rFonts w:eastAsia="Calibri" w:cs="Times New Roman"/>
                <w:sz w:val="20"/>
                <w:szCs w:val="20"/>
              </w:rPr>
              <w:t>սակավաթիվ</w:t>
            </w:r>
            <w:r w:rsidRPr="0053423A">
              <w:rPr>
                <w:rFonts w:eastAsia="Calibri" w:cs="Times New Roman"/>
                <w:sz w:val="20"/>
                <w:szCs w:val="20"/>
                <w:lang w:val="af-ZA"/>
              </w:rPr>
              <w:t xml:space="preserve"> </w:t>
            </w:r>
            <w:r w:rsidRPr="0053423A">
              <w:rPr>
                <w:rFonts w:eastAsia="Calibri" w:cs="Times New Roman"/>
                <w:sz w:val="20"/>
                <w:szCs w:val="20"/>
              </w:rPr>
              <w:t>են</w:t>
            </w:r>
            <w:r w:rsidRPr="0053423A">
              <w:rPr>
                <w:rFonts w:eastAsia="Calibri" w:cs="Times New Roman"/>
                <w:sz w:val="20"/>
                <w:szCs w:val="20"/>
                <w:lang w:val="af-ZA"/>
              </w:rPr>
              <w:t xml:space="preserve">, </w:t>
            </w:r>
            <w:r w:rsidRPr="0053423A">
              <w:rPr>
                <w:rFonts w:eastAsia="Calibri" w:cs="Times New Roman"/>
                <w:sz w:val="20"/>
                <w:szCs w:val="20"/>
              </w:rPr>
              <w:t>ինչի</w:t>
            </w:r>
            <w:r w:rsidRPr="0053423A">
              <w:rPr>
                <w:rFonts w:eastAsia="Calibri" w:cs="Times New Roman"/>
                <w:sz w:val="20"/>
                <w:szCs w:val="20"/>
                <w:lang w:val="af-ZA"/>
              </w:rPr>
              <w:t xml:space="preserve"> </w:t>
            </w:r>
            <w:r w:rsidRPr="0053423A">
              <w:rPr>
                <w:rFonts w:eastAsia="Calibri" w:cs="Times New Roman"/>
                <w:sz w:val="20"/>
                <w:szCs w:val="20"/>
              </w:rPr>
              <w:t>պատճառով</w:t>
            </w:r>
            <w:r w:rsidRPr="0053423A">
              <w:rPr>
                <w:rFonts w:eastAsia="Calibri" w:cs="Times New Roman"/>
                <w:sz w:val="20"/>
                <w:szCs w:val="20"/>
                <w:lang w:val="af-ZA"/>
              </w:rPr>
              <w:t xml:space="preserve"> </w:t>
            </w:r>
            <w:r w:rsidRPr="0053423A">
              <w:rPr>
                <w:rFonts w:eastAsia="Calibri" w:cs="Times New Roman"/>
                <w:sz w:val="20"/>
                <w:szCs w:val="20"/>
              </w:rPr>
              <w:t>բացակայում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ակտիվ</w:t>
            </w:r>
            <w:r w:rsidRPr="0053423A">
              <w:rPr>
                <w:rFonts w:eastAsia="Calibri" w:cs="Times New Roman"/>
                <w:sz w:val="20"/>
                <w:szCs w:val="20"/>
                <w:lang w:val="af-ZA"/>
              </w:rPr>
              <w:t xml:space="preserve"> </w:t>
            </w:r>
            <w:r w:rsidRPr="0053423A">
              <w:rPr>
                <w:rFonts w:eastAsia="Calibri" w:cs="Times New Roman"/>
                <w:sz w:val="20"/>
                <w:szCs w:val="20"/>
              </w:rPr>
              <w:t>հետաքրքրությունը</w:t>
            </w:r>
            <w:r w:rsidRPr="0053423A">
              <w:rPr>
                <w:rFonts w:eastAsia="Calibri" w:cs="Times New Roman"/>
                <w:sz w:val="20"/>
                <w:szCs w:val="20"/>
                <w:lang w:val="af-ZA"/>
              </w:rPr>
              <w:t xml:space="preserve"> </w:t>
            </w:r>
            <w:r w:rsidRPr="0053423A">
              <w:rPr>
                <w:rFonts w:eastAsia="Calibri" w:cs="Times New Roman"/>
                <w:sz w:val="20"/>
                <w:szCs w:val="20"/>
              </w:rPr>
              <w:t>հայկական</w:t>
            </w:r>
            <w:r w:rsidRPr="0053423A">
              <w:rPr>
                <w:rFonts w:eastAsia="Calibri" w:cs="Times New Roman"/>
                <w:sz w:val="20"/>
                <w:szCs w:val="20"/>
                <w:lang w:val="af-ZA"/>
              </w:rPr>
              <w:t xml:space="preserve"> </w:t>
            </w:r>
            <w:r w:rsidRPr="0053423A">
              <w:rPr>
                <w:rFonts w:eastAsia="Calibri" w:cs="Times New Roman"/>
                <w:sz w:val="20"/>
                <w:szCs w:val="20"/>
              </w:rPr>
              <w:t>հարուստ</w:t>
            </w:r>
            <w:r w:rsidRPr="0053423A">
              <w:rPr>
                <w:rFonts w:eastAsia="Calibri" w:cs="Times New Roman"/>
                <w:sz w:val="20"/>
                <w:szCs w:val="20"/>
                <w:lang w:val="af-ZA"/>
              </w:rPr>
              <w:t xml:space="preserve"> </w:t>
            </w:r>
            <w:r w:rsidRPr="0053423A">
              <w:rPr>
                <w:rFonts w:eastAsia="Calibri" w:cs="Times New Roman"/>
                <w:sz w:val="20"/>
                <w:szCs w:val="20"/>
              </w:rPr>
              <w:t>մշակութային</w:t>
            </w:r>
            <w:r w:rsidRPr="0053423A">
              <w:rPr>
                <w:rFonts w:eastAsia="Calibri" w:cs="Times New Roman"/>
                <w:sz w:val="20"/>
                <w:szCs w:val="20"/>
                <w:lang w:val="af-ZA"/>
              </w:rPr>
              <w:t xml:space="preserve"> </w:t>
            </w:r>
            <w:r w:rsidRPr="0053423A">
              <w:rPr>
                <w:rFonts w:eastAsia="Calibri" w:cs="Times New Roman"/>
                <w:sz w:val="20"/>
                <w:szCs w:val="20"/>
              </w:rPr>
              <w:t>ժառանգության</w:t>
            </w:r>
            <w:r w:rsidRPr="0053423A">
              <w:rPr>
                <w:rFonts w:eastAsia="Calibri" w:cs="Times New Roman"/>
                <w:sz w:val="20"/>
                <w:szCs w:val="20"/>
                <w:lang w:val="af-ZA"/>
              </w:rPr>
              <w:t xml:space="preserve">  </w:t>
            </w:r>
            <w:r w:rsidRPr="0053423A">
              <w:rPr>
                <w:rFonts w:eastAsia="Calibri" w:cs="Times New Roman"/>
                <w:sz w:val="20"/>
                <w:szCs w:val="20"/>
              </w:rPr>
              <w:t>նկատմամբ</w:t>
            </w:r>
            <w:r w:rsidRPr="0053423A">
              <w:rPr>
                <w:rFonts w:eastAsia="Calibri" w:cs="Times New Roman"/>
                <w:sz w:val="20"/>
                <w:szCs w:val="20"/>
                <w:lang w:val="af-ZA"/>
              </w:rPr>
              <w:t xml:space="preserve">, </w:t>
            </w:r>
            <w:r w:rsidRPr="0053423A">
              <w:rPr>
                <w:rFonts w:eastAsia="Calibri" w:cs="Times New Roman"/>
                <w:sz w:val="20"/>
                <w:szCs w:val="20"/>
              </w:rPr>
              <w:t>գրեթե</w:t>
            </w:r>
            <w:r w:rsidRPr="0053423A">
              <w:rPr>
                <w:rFonts w:eastAsia="Calibri" w:cs="Times New Roman"/>
                <w:sz w:val="20"/>
                <w:szCs w:val="20"/>
                <w:lang w:val="af-ZA"/>
              </w:rPr>
              <w:t xml:space="preserve"> </w:t>
            </w:r>
            <w:r w:rsidRPr="0053423A">
              <w:rPr>
                <w:rFonts w:eastAsia="Times New Roman" w:cs="Times New Roman"/>
                <w:sz w:val="20"/>
                <w:szCs w:val="20"/>
              </w:rPr>
              <w:t>բացակայում</w:t>
            </w:r>
            <w:r w:rsidRPr="0053423A">
              <w:rPr>
                <w:rFonts w:eastAsia="Times New Roman" w:cs="Times New Roman"/>
                <w:sz w:val="20"/>
                <w:szCs w:val="20"/>
                <w:lang w:val="af-ZA"/>
              </w:rPr>
              <w:t xml:space="preserve"> </w:t>
            </w:r>
            <w:r w:rsidRPr="0053423A">
              <w:rPr>
                <w:rFonts w:eastAsia="Times New Roman" w:cs="Times New Roman"/>
                <w:sz w:val="20"/>
                <w:szCs w:val="20"/>
              </w:rPr>
              <w:t>է</w:t>
            </w:r>
            <w:r w:rsidRPr="0053423A">
              <w:rPr>
                <w:rFonts w:eastAsia="Times New Roman" w:cs="Times New Roman"/>
                <w:sz w:val="20"/>
                <w:szCs w:val="20"/>
                <w:lang w:val="af-ZA"/>
              </w:rPr>
              <w:t xml:space="preserve">  </w:t>
            </w:r>
            <w:r w:rsidRPr="0053423A">
              <w:rPr>
                <w:rFonts w:eastAsia="Times New Roman" w:cs="Times New Roman"/>
                <w:sz w:val="20"/>
                <w:szCs w:val="20"/>
              </w:rPr>
              <w:t>դրանց</w:t>
            </w:r>
            <w:r w:rsidRPr="0053423A">
              <w:rPr>
                <w:rFonts w:eastAsia="Times New Roman" w:cs="Times New Roman"/>
                <w:sz w:val="20"/>
                <w:szCs w:val="20"/>
                <w:lang w:val="af-ZA"/>
              </w:rPr>
              <w:t xml:space="preserve"> </w:t>
            </w:r>
            <w:r w:rsidRPr="0053423A">
              <w:rPr>
                <w:rFonts w:eastAsia="Times New Roman" w:cs="Times New Roman"/>
                <w:sz w:val="20"/>
                <w:szCs w:val="20"/>
              </w:rPr>
              <w:t>պահպանու</w:t>
            </w:r>
            <w:r w:rsidRPr="0053423A">
              <w:rPr>
                <w:rFonts w:eastAsia="Times New Roman" w:cs="Times New Roman"/>
                <w:sz w:val="20"/>
                <w:szCs w:val="20"/>
                <w:lang w:val="af-ZA"/>
              </w:rPr>
              <w:softHyphen/>
            </w:r>
            <w:r w:rsidRPr="0053423A">
              <w:rPr>
                <w:rFonts w:eastAsia="Times New Roman" w:cs="Times New Roman"/>
                <w:sz w:val="20"/>
                <w:szCs w:val="20"/>
              </w:rPr>
              <w:t>թյան</w:t>
            </w:r>
            <w:r w:rsidRPr="0053423A">
              <w:rPr>
                <w:rFonts w:eastAsia="Times New Roman" w:cs="Times New Roman"/>
                <w:sz w:val="20"/>
                <w:szCs w:val="20"/>
                <w:lang w:val="af-ZA"/>
              </w:rPr>
              <w:t xml:space="preserve"> </w:t>
            </w:r>
            <w:r w:rsidRPr="0053423A">
              <w:rPr>
                <w:rFonts w:eastAsia="Times New Roman" w:cs="Times New Roman"/>
                <w:sz w:val="20"/>
                <w:szCs w:val="20"/>
              </w:rPr>
              <w:t>գործընթացներին</w:t>
            </w:r>
            <w:r w:rsidRPr="0053423A">
              <w:rPr>
                <w:rFonts w:eastAsia="Times New Roman" w:cs="Times New Roman"/>
                <w:sz w:val="20"/>
                <w:szCs w:val="20"/>
                <w:lang w:val="af-ZA"/>
              </w:rPr>
              <w:t xml:space="preserve"> </w:t>
            </w:r>
            <w:r w:rsidRPr="0053423A">
              <w:rPr>
                <w:rFonts w:eastAsia="Times New Roman" w:cs="Times New Roman"/>
                <w:sz w:val="20"/>
                <w:szCs w:val="20"/>
              </w:rPr>
              <w:t>մասնակցելու</w:t>
            </w:r>
            <w:r w:rsidRPr="0053423A">
              <w:rPr>
                <w:rFonts w:eastAsia="Times New Roman" w:cs="Times New Roman"/>
                <w:sz w:val="20"/>
                <w:szCs w:val="20"/>
                <w:lang w:val="af-ZA"/>
              </w:rPr>
              <w:t xml:space="preserve"> </w:t>
            </w:r>
            <w:r w:rsidRPr="0053423A">
              <w:rPr>
                <w:rFonts w:eastAsia="Times New Roman" w:cs="Times New Roman"/>
                <w:sz w:val="20"/>
                <w:szCs w:val="20"/>
              </w:rPr>
              <w:t>ցանկությունը</w:t>
            </w:r>
            <w:r w:rsidRPr="0053423A">
              <w:rPr>
                <w:rFonts w:eastAsia="Times New Roman" w:cs="Times New Roman"/>
                <w:sz w:val="20"/>
                <w:szCs w:val="20"/>
                <w:lang w:val="af-ZA"/>
              </w:rPr>
              <w:t xml:space="preserve">, </w:t>
            </w:r>
            <w:r w:rsidRPr="0053423A">
              <w:rPr>
                <w:rFonts w:eastAsia="Times New Roman" w:cs="Times New Roman"/>
                <w:sz w:val="20"/>
                <w:szCs w:val="20"/>
              </w:rPr>
              <w:t>փոքրաթիվ</w:t>
            </w:r>
            <w:r w:rsidRPr="0053423A">
              <w:rPr>
                <w:rFonts w:eastAsia="Times New Roman" w:cs="Times New Roman"/>
                <w:sz w:val="20"/>
                <w:szCs w:val="20"/>
                <w:lang w:val="af-ZA"/>
              </w:rPr>
              <w:t xml:space="preserve"> </w:t>
            </w:r>
            <w:r w:rsidRPr="0053423A">
              <w:rPr>
                <w:rFonts w:eastAsia="Times New Roman" w:cs="Times New Roman"/>
                <w:sz w:val="20"/>
                <w:szCs w:val="20"/>
              </w:rPr>
              <w:t>են</w:t>
            </w:r>
            <w:r w:rsidRPr="0053423A">
              <w:rPr>
                <w:rFonts w:eastAsia="Times New Roman" w:cs="Times New Roman"/>
                <w:sz w:val="20"/>
                <w:szCs w:val="20"/>
                <w:lang w:val="af-ZA"/>
              </w:rPr>
              <w:t xml:space="preserve"> </w:t>
            </w:r>
            <w:r w:rsidRPr="0053423A">
              <w:rPr>
                <w:rFonts w:eastAsia="Times New Roman" w:cs="Times New Roman"/>
                <w:sz w:val="20"/>
                <w:szCs w:val="20"/>
              </w:rPr>
              <w:t>այդ</w:t>
            </w:r>
            <w:r w:rsidRPr="0053423A">
              <w:rPr>
                <w:rFonts w:eastAsia="Times New Roman" w:cs="Times New Roman"/>
                <w:sz w:val="20"/>
                <w:szCs w:val="20"/>
                <w:lang w:val="af-ZA"/>
              </w:rPr>
              <w:t xml:space="preserve"> </w:t>
            </w:r>
            <w:r w:rsidRPr="0053423A">
              <w:rPr>
                <w:rFonts w:eastAsia="Times New Roman" w:cs="Times New Roman"/>
                <w:sz w:val="20"/>
                <w:szCs w:val="20"/>
              </w:rPr>
              <w:t>ուղղությամբ</w:t>
            </w:r>
            <w:r w:rsidRPr="0053423A">
              <w:rPr>
                <w:rFonts w:eastAsia="Times New Roman" w:cs="Times New Roman"/>
                <w:sz w:val="20"/>
                <w:szCs w:val="20"/>
                <w:lang w:val="af-ZA"/>
              </w:rPr>
              <w:t xml:space="preserve">  </w:t>
            </w:r>
            <w:r w:rsidRPr="0053423A">
              <w:rPr>
                <w:rFonts w:eastAsia="Times New Roman" w:cs="Times New Roman"/>
                <w:sz w:val="20"/>
                <w:szCs w:val="20"/>
              </w:rPr>
              <w:t>նախաձեռնությունները</w:t>
            </w:r>
            <w:r w:rsidRPr="0053423A">
              <w:rPr>
                <w:rFonts w:eastAsia="Times New Roman" w:cs="Times New Roman"/>
                <w:sz w:val="20"/>
                <w:szCs w:val="20"/>
                <w:lang w:val="af-ZA"/>
              </w:rPr>
              <w:t xml:space="preserve"> </w:t>
            </w:r>
            <w:r w:rsidRPr="0053423A">
              <w:rPr>
                <w:rFonts w:eastAsia="Times New Roman" w:cs="Times New Roman"/>
                <w:sz w:val="20"/>
                <w:szCs w:val="20"/>
              </w:rPr>
              <w:t>և</w:t>
            </w:r>
            <w:r w:rsidRPr="0053423A">
              <w:rPr>
                <w:rFonts w:eastAsia="Times New Roman" w:cs="Times New Roman"/>
                <w:sz w:val="20"/>
                <w:szCs w:val="20"/>
                <w:lang w:val="af-ZA"/>
              </w:rPr>
              <w:t xml:space="preserve"> </w:t>
            </w:r>
            <w:r w:rsidRPr="0053423A">
              <w:rPr>
                <w:rFonts w:eastAsia="Times New Roman" w:cs="Times New Roman"/>
                <w:sz w:val="20"/>
                <w:szCs w:val="20"/>
                <w:lang w:val="ru-RU"/>
              </w:rPr>
              <w:t>մասնակցությունը</w:t>
            </w:r>
            <w:r w:rsidRPr="0053423A">
              <w:rPr>
                <w:rFonts w:eastAsia="Times New Roman" w:cs="Times New Roman"/>
                <w:sz w:val="20"/>
                <w:szCs w:val="20"/>
                <w:lang w:val="af-ZA"/>
              </w:rPr>
              <w:t xml:space="preserve"> </w:t>
            </w:r>
            <w:r w:rsidRPr="0053423A">
              <w:rPr>
                <w:rFonts w:eastAsia="Times New Roman" w:cs="Times New Roman"/>
                <w:sz w:val="20"/>
                <w:szCs w:val="20"/>
              </w:rPr>
              <w:t>հուշարձանների</w:t>
            </w:r>
            <w:r w:rsidRPr="0053423A">
              <w:rPr>
                <w:rFonts w:eastAsia="Times New Roman" w:cs="Times New Roman"/>
                <w:sz w:val="20"/>
                <w:szCs w:val="20"/>
                <w:lang w:val="af-ZA"/>
              </w:rPr>
              <w:t xml:space="preserve"> </w:t>
            </w:r>
            <w:r w:rsidRPr="0053423A">
              <w:rPr>
                <w:rFonts w:eastAsia="Times New Roman" w:cs="Times New Roman"/>
                <w:sz w:val="20"/>
                <w:szCs w:val="20"/>
                <w:lang w:val="ru-RU"/>
              </w:rPr>
              <w:t>պահպանության</w:t>
            </w:r>
            <w:r w:rsidRPr="0053423A">
              <w:rPr>
                <w:rFonts w:eastAsia="Times New Roman" w:cs="Times New Roman"/>
                <w:sz w:val="20"/>
                <w:szCs w:val="20"/>
                <w:lang w:val="af-ZA"/>
              </w:rPr>
              <w:t xml:space="preserve"> </w:t>
            </w:r>
            <w:r w:rsidRPr="0053423A">
              <w:rPr>
                <w:rFonts w:eastAsia="Times New Roman" w:cs="Times New Roman"/>
                <w:sz w:val="20"/>
                <w:szCs w:val="20"/>
                <w:lang w:val="ru-RU"/>
              </w:rPr>
              <w:t>գործ</w:t>
            </w:r>
            <w:r w:rsidRPr="0053423A">
              <w:rPr>
                <w:rFonts w:eastAsia="Times New Roman" w:cs="Times New Roman"/>
                <w:sz w:val="20"/>
                <w:szCs w:val="20"/>
                <w:lang w:val="af-ZA"/>
              </w:rPr>
              <w:softHyphen/>
            </w:r>
            <w:r w:rsidRPr="0053423A">
              <w:rPr>
                <w:rFonts w:eastAsia="Times New Roman" w:cs="Times New Roman"/>
                <w:sz w:val="20"/>
                <w:szCs w:val="20"/>
                <w:lang w:val="ru-RU"/>
              </w:rPr>
              <w:t>ընթացներին</w:t>
            </w:r>
            <w:r w:rsidRPr="0053423A">
              <w:rPr>
                <w:rFonts w:eastAsia="Times New Roman" w:cs="Times New Roman"/>
                <w:sz w:val="20"/>
                <w:szCs w:val="20"/>
                <w:lang w:val="af-ZA"/>
              </w:rPr>
              <w:t xml:space="preserve">, </w:t>
            </w:r>
            <w:r w:rsidRPr="0053423A">
              <w:rPr>
                <w:rFonts w:eastAsia="Times New Roman" w:cs="Times New Roman"/>
                <w:sz w:val="20"/>
                <w:szCs w:val="20"/>
              </w:rPr>
              <w:t>շատերը</w:t>
            </w:r>
            <w:r w:rsidRPr="0053423A">
              <w:rPr>
                <w:rFonts w:eastAsia="Times New Roman" w:cs="Times New Roman"/>
                <w:sz w:val="20"/>
                <w:szCs w:val="20"/>
                <w:lang w:val="af-ZA"/>
              </w:rPr>
              <w:t xml:space="preserve"> </w:t>
            </w:r>
            <w:r w:rsidRPr="0053423A">
              <w:rPr>
                <w:rFonts w:eastAsia="Times New Roman" w:cs="Times New Roman"/>
                <w:sz w:val="20"/>
                <w:szCs w:val="20"/>
              </w:rPr>
              <w:t>բոլորովին</w:t>
            </w:r>
            <w:r w:rsidRPr="0053423A">
              <w:rPr>
                <w:rFonts w:eastAsia="Times New Roman" w:cs="Times New Roman"/>
                <w:sz w:val="20"/>
                <w:szCs w:val="20"/>
                <w:lang w:val="af-ZA"/>
              </w:rPr>
              <w:t xml:space="preserve"> </w:t>
            </w:r>
            <w:r w:rsidRPr="0053423A">
              <w:rPr>
                <w:rFonts w:eastAsia="Times New Roman" w:cs="Times New Roman"/>
                <w:sz w:val="20"/>
                <w:szCs w:val="20"/>
              </w:rPr>
              <w:t>տեղյակ</w:t>
            </w:r>
            <w:r w:rsidRPr="0053423A">
              <w:rPr>
                <w:rFonts w:eastAsia="Times New Roman" w:cs="Times New Roman"/>
                <w:sz w:val="20"/>
                <w:szCs w:val="20"/>
                <w:lang w:val="af-ZA"/>
              </w:rPr>
              <w:t xml:space="preserve"> </w:t>
            </w:r>
            <w:r w:rsidRPr="0053423A">
              <w:rPr>
                <w:rFonts w:eastAsia="Times New Roman" w:cs="Times New Roman"/>
                <w:sz w:val="20"/>
                <w:szCs w:val="20"/>
              </w:rPr>
              <w:t>չեն</w:t>
            </w:r>
            <w:r w:rsidRPr="0053423A">
              <w:rPr>
                <w:rFonts w:eastAsia="Times New Roman" w:cs="Times New Roman"/>
                <w:sz w:val="20"/>
                <w:szCs w:val="20"/>
                <w:lang w:val="af-ZA"/>
              </w:rPr>
              <w:t xml:space="preserve"> </w:t>
            </w:r>
            <w:r w:rsidRPr="0053423A">
              <w:rPr>
                <w:rFonts w:eastAsia="Times New Roman" w:cs="Times New Roman"/>
                <w:sz w:val="20"/>
                <w:szCs w:val="20"/>
              </w:rPr>
              <w:t>հանրապետության</w:t>
            </w:r>
            <w:r w:rsidRPr="0053423A">
              <w:rPr>
                <w:rFonts w:eastAsia="Times New Roman" w:cs="Times New Roman"/>
                <w:sz w:val="20"/>
                <w:szCs w:val="20"/>
                <w:lang w:val="af-ZA"/>
              </w:rPr>
              <w:t xml:space="preserve"> </w:t>
            </w:r>
            <w:r w:rsidRPr="0053423A">
              <w:rPr>
                <w:rFonts w:eastAsia="Times New Roman" w:cs="Times New Roman"/>
                <w:sz w:val="20"/>
                <w:szCs w:val="20"/>
              </w:rPr>
              <w:t>տարածքում</w:t>
            </w:r>
            <w:r w:rsidRPr="0053423A">
              <w:rPr>
                <w:rFonts w:eastAsia="Times New Roman" w:cs="Times New Roman"/>
                <w:sz w:val="20"/>
                <w:szCs w:val="20"/>
                <w:lang w:val="af-ZA"/>
              </w:rPr>
              <w:t xml:space="preserve"> </w:t>
            </w:r>
            <w:r w:rsidRPr="0053423A">
              <w:rPr>
                <w:rFonts w:eastAsia="Times New Roman" w:cs="Times New Roman"/>
                <w:sz w:val="20"/>
                <w:szCs w:val="20"/>
              </w:rPr>
              <w:t>գտնվող</w:t>
            </w:r>
            <w:r w:rsidRPr="0053423A">
              <w:rPr>
                <w:rFonts w:eastAsia="Times New Roman" w:cs="Times New Roman"/>
                <w:sz w:val="20"/>
                <w:szCs w:val="20"/>
                <w:lang w:val="af-ZA"/>
              </w:rPr>
              <w:t xml:space="preserve"> </w:t>
            </w:r>
            <w:r w:rsidRPr="0053423A">
              <w:rPr>
                <w:rFonts w:eastAsia="Times New Roman" w:cs="Times New Roman"/>
                <w:sz w:val="20"/>
                <w:szCs w:val="20"/>
              </w:rPr>
              <w:t>հուշարձանների</w:t>
            </w:r>
            <w:r w:rsidRPr="0053423A">
              <w:rPr>
                <w:rFonts w:eastAsia="Times New Roman" w:cs="Times New Roman"/>
                <w:sz w:val="20"/>
                <w:szCs w:val="20"/>
                <w:lang w:val="af-ZA"/>
              </w:rPr>
              <w:t xml:space="preserve"> </w:t>
            </w:r>
            <w:r w:rsidRPr="0053423A">
              <w:rPr>
                <w:rFonts w:eastAsia="Times New Roman" w:cs="Times New Roman"/>
                <w:sz w:val="20"/>
                <w:szCs w:val="20"/>
              </w:rPr>
              <w:t>մասին</w:t>
            </w:r>
            <w:r w:rsidRPr="0053423A">
              <w:rPr>
                <w:rFonts w:eastAsia="Times New Roman" w:cs="Times New Roman"/>
                <w:sz w:val="20"/>
                <w:szCs w:val="20"/>
                <w:lang w:val="af-ZA"/>
              </w:rPr>
              <w:t xml:space="preserve">, </w:t>
            </w:r>
            <w:r w:rsidRPr="0053423A">
              <w:rPr>
                <w:rFonts w:eastAsia="Times New Roman" w:cs="Times New Roman"/>
                <w:sz w:val="20"/>
                <w:szCs w:val="20"/>
              </w:rPr>
              <w:t>հուշարձանների</w:t>
            </w:r>
            <w:r w:rsidRPr="0053423A">
              <w:rPr>
                <w:rFonts w:eastAsia="Times New Roman" w:cs="Times New Roman"/>
                <w:sz w:val="20"/>
                <w:szCs w:val="20"/>
                <w:lang w:val="af-ZA"/>
              </w:rPr>
              <w:t xml:space="preserve"> </w:t>
            </w:r>
            <w:r w:rsidRPr="0053423A">
              <w:rPr>
                <w:rFonts w:eastAsia="Times New Roman" w:cs="Times New Roman"/>
                <w:sz w:val="20"/>
                <w:szCs w:val="20"/>
              </w:rPr>
              <w:t>պահպանության</w:t>
            </w:r>
            <w:r w:rsidRPr="0053423A">
              <w:rPr>
                <w:rFonts w:eastAsia="Times New Roman" w:cs="Times New Roman"/>
                <w:sz w:val="20"/>
                <w:szCs w:val="20"/>
                <w:lang w:val="af-ZA"/>
              </w:rPr>
              <w:t xml:space="preserve"> </w:t>
            </w:r>
            <w:r w:rsidRPr="0053423A">
              <w:rPr>
                <w:rFonts w:eastAsia="Times New Roman" w:cs="Times New Roman"/>
                <w:sz w:val="20"/>
                <w:szCs w:val="20"/>
              </w:rPr>
              <w:t>գորընթացին</w:t>
            </w:r>
            <w:r w:rsidRPr="0053423A">
              <w:rPr>
                <w:rFonts w:eastAsia="Times New Roman" w:cs="Times New Roman"/>
                <w:sz w:val="20"/>
                <w:szCs w:val="20"/>
                <w:lang w:val="af-ZA"/>
              </w:rPr>
              <w:t xml:space="preserve"> </w:t>
            </w:r>
            <w:r w:rsidRPr="0053423A">
              <w:rPr>
                <w:rFonts w:eastAsia="Times New Roman" w:cs="Times New Roman"/>
                <w:sz w:val="20"/>
                <w:szCs w:val="20"/>
              </w:rPr>
              <w:t>վերաբերում</w:t>
            </w:r>
            <w:r w:rsidRPr="0053423A">
              <w:rPr>
                <w:rFonts w:eastAsia="Times New Roman" w:cs="Times New Roman"/>
                <w:sz w:val="20"/>
                <w:szCs w:val="20"/>
                <w:lang w:val="af-ZA"/>
              </w:rPr>
              <w:t xml:space="preserve"> </w:t>
            </w:r>
            <w:r w:rsidRPr="0053423A">
              <w:rPr>
                <w:rFonts w:eastAsia="Times New Roman" w:cs="Times New Roman"/>
                <w:sz w:val="20"/>
                <w:szCs w:val="20"/>
              </w:rPr>
              <w:t>են</w:t>
            </w:r>
            <w:r w:rsidRPr="0053423A">
              <w:rPr>
                <w:rFonts w:eastAsia="Times New Roman" w:cs="Times New Roman"/>
                <w:sz w:val="20"/>
                <w:szCs w:val="20"/>
                <w:lang w:val="af-ZA"/>
              </w:rPr>
              <w:t xml:space="preserve"> </w:t>
            </w:r>
            <w:r w:rsidRPr="0053423A">
              <w:rPr>
                <w:rFonts w:eastAsia="Times New Roman" w:cs="Times New Roman"/>
                <w:sz w:val="20"/>
                <w:szCs w:val="20"/>
              </w:rPr>
              <w:t>անձնական</w:t>
            </w:r>
            <w:r w:rsidRPr="0053423A">
              <w:rPr>
                <w:rFonts w:eastAsia="Times New Roman" w:cs="Times New Roman"/>
                <w:sz w:val="20"/>
                <w:szCs w:val="20"/>
                <w:lang w:val="af-ZA"/>
              </w:rPr>
              <w:t xml:space="preserve"> </w:t>
            </w:r>
            <w:r w:rsidRPr="0053423A">
              <w:rPr>
                <w:rFonts w:eastAsia="Times New Roman" w:cs="Times New Roman"/>
                <w:sz w:val="20"/>
                <w:szCs w:val="20"/>
              </w:rPr>
              <w:t>շահերի</w:t>
            </w:r>
            <w:r w:rsidRPr="0053423A">
              <w:rPr>
                <w:rFonts w:eastAsia="Times New Roman" w:cs="Times New Roman"/>
                <w:sz w:val="20"/>
                <w:szCs w:val="20"/>
                <w:lang w:val="af-ZA"/>
              </w:rPr>
              <w:t xml:space="preserve"> </w:t>
            </w:r>
            <w:r w:rsidRPr="0053423A">
              <w:rPr>
                <w:rFonts w:eastAsia="Times New Roman" w:cs="Times New Roman"/>
                <w:sz w:val="20"/>
                <w:szCs w:val="20"/>
              </w:rPr>
              <w:t>պաշտպանության</w:t>
            </w:r>
            <w:r w:rsidRPr="0053423A">
              <w:rPr>
                <w:rFonts w:eastAsia="Times New Roman" w:cs="Times New Roman"/>
                <w:sz w:val="20"/>
                <w:szCs w:val="20"/>
                <w:lang w:val="af-ZA"/>
              </w:rPr>
              <w:t xml:space="preserve"> </w:t>
            </w:r>
            <w:r w:rsidRPr="0053423A">
              <w:rPr>
                <w:rFonts w:eastAsia="Times New Roman" w:cs="Times New Roman"/>
                <w:sz w:val="20"/>
                <w:szCs w:val="20"/>
              </w:rPr>
              <w:t>տեսանկյունից</w:t>
            </w:r>
            <w:r w:rsidRPr="0053423A">
              <w:rPr>
                <w:rFonts w:eastAsia="Times New Roman" w:cs="Times New Roman"/>
                <w:sz w:val="20"/>
                <w:szCs w:val="20"/>
                <w:lang w:val="af-ZA"/>
              </w:rPr>
              <w:t xml:space="preserve">, </w:t>
            </w:r>
            <w:r w:rsidRPr="0053423A">
              <w:rPr>
                <w:rFonts w:eastAsia="Times New Roman" w:cs="Times New Roman"/>
                <w:sz w:val="20"/>
                <w:szCs w:val="20"/>
              </w:rPr>
              <w:t>ինչի</w:t>
            </w:r>
            <w:r w:rsidRPr="0053423A">
              <w:rPr>
                <w:rFonts w:eastAsia="Times New Roman" w:cs="Times New Roman"/>
                <w:sz w:val="20"/>
                <w:szCs w:val="20"/>
                <w:lang w:val="af-ZA"/>
              </w:rPr>
              <w:t xml:space="preserve"> </w:t>
            </w:r>
            <w:r w:rsidRPr="0053423A">
              <w:rPr>
                <w:rFonts w:eastAsia="Times New Roman" w:cs="Times New Roman"/>
                <w:sz w:val="20"/>
                <w:szCs w:val="20"/>
              </w:rPr>
              <w:t>պատճառով</w:t>
            </w:r>
            <w:r w:rsidRPr="0053423A">
              <w:rPr>
                <w:rFonts w:eastAsia="Times New Roman" w:cs="Times New Roman"/>
                <w:sz w:val="20"/>
                <w:szCs w:val="20"/>
                <w:lang w:val="af-ZA"/>
              </w:rPr>
              <w:t xml:space="preserve"> </w:t>
            </w:r>
            <w:r w:rsidRPr="0053423A">
              <w:rPr>
                <w:rFonts w:eastAsia="Times New Roman" w:cs="Times New Roman"/>
                <w:sz w:val="20"/>
                <w:szCs w:val="20"/>
              </w:rPr>
              <w:t>վնասում</w:t>
            </w:r>
            <w:r w:rsidRPr="0053423A">
              <w:rPr>
                <w:rFonts w:eastAsia="Times New Roman" w:cs="Times New Roman"/>
                <w:sz w:val="20"/>
                <w:szCs w:val="20"/>
                <w:lang w:val="af-ZA"/>
              </w:rPr>
              <w:t xml:space="preserve">, </w:t>
            </w:r>
            <w:r w:rsidRPr="0053423A">
              <w:rPr>
                <w:rFonts w:eastAsia="Times New Roman" w:cs="Times New Roman"/>
                <w:sz w:val="20"/>
                <w:szCs w:val="20"/>
              </w:rPr>
              <w:t>քանդում</w:t>
            </w:r>
            <w:r w:rsidRPr="0053423A">
              <w:rPr>
                <w:rFonts w:eastAsia="Times New Roman" w:cs="Times New Roman"/>
                <w:sz w:val="20"/>
                <w:szCs w:val="20"/>
                <w:lang w:val="af-ZA"/>
              </w:rPr>
              <w:t xml:space="preserve"> </w:t>
            </w:r>
            <w:r w:rsidRPr="0053423A">
              <w:rPr>
                <w:rFonts w:eastAsia="Times New Roman" w:cs="Times New Roman"/>
                <w:sz w:val="20"/>
                <w:szCs w:val="20"/>
              </w:rPr>
              <w:t>կորստյան</w:t>
            </w:r>
            <w:r w:rsidRPr="0053423A">
              <w:rPr>
                <w:rFonts w:eastAsia="Times New Roman" w:cs="Times New Roman"/>
                <w:sz w:val="20"/>
                <w:szCs w:val="20"/>
                <w:lang w:val="af-ZA"/>
              </w:rPr>
              <w:t xml:space="preserve"> </w:t>
            </w:r>
            <w:r w:rsidRPr="0053423A">
              <w:rPr>
                <w:rFonts w:eastAsia="Times New Roman" w:cs="Times New Roman"/>
                <w:sz w:val="20"/>
                <w:szCs w:val="20"/>
              </w:rPr>
              <w:t>են</w:t>
            </w:r>
            <w:r w:rsidRPr="0053423A">
              <w:rPr>
                <w:rFonts w:eastAsia="Times New Roman" w:cs="Times New Roman"/>
                <w:sz w:val="20"/>
                <w:szCs w:val="20"/>
                <w:lang w:val="af-ZA"/>
              </w:rPr>
              <w:t xml:space="preserve"> </w:t>
            </w:r>
            <w:r w:rsidRPr="0053423A">
              <w:rPr>
                <w:rFonts w:eastAsia="Times New Roman" w:cs="Times New Roman"/>
                <w:sz w:val="20"/>
                <w:szCs w:val="20"/>
              </w:rPr>
              <w:t>մատնում</w:t>
            </w:r>
            <w:r w:rsidRPr="0053423A">
              <w:rPr>
                <w:rFonts w:eastAsia="Times New Roman" w:cs="Times New Roman"/>
                <w:sz w:val="20"/>
                <w:szCs w:val="20"/>
                <w:lang w:val="af-ZA"/>
              </w:rPr>
              <w:t xml:space="preserve"> </w:t>
            </w:r>
            <w:r w:rsidRPr="0053423A">
              <w:rPr>
                <w:rFonts w:eastAsia="Times New Roman" w:cs="Times New Roman"/>
                <w:sz w:val="20"/>
                <w:szCs w:val="20"/>
              </w:rPr>
              <w:t>հատկապես</w:t>
            </w:r>
            <w:r w:rsidRPr="0053423A">
              <w:rPr>
                <w:rFonts w:eastAsia="Times New Roman" w:cs="Times New Roman"/>
                <w:sz w:val="20"/>
                <w:szCs w:val="20"/>
                <w:lang w:val="af-ZA"/>
              </w:rPr>
              <w:t xml:space="preserve"> </w:t>
            </w:r>
            <w:r w:rsidRPr="0053423A">
              <w:rPr>
                <w:rFonts w:eastAsia="Times New Roman" w:cs="Times New Roman"/>
                <w:sz w:val="20"/>
                <w:szCs w:val="20"/>
              </w:rPr>
              <w:t>բարձրաժծեք</w:t>
            </w:r>
            <w:r w:rsidRPr="0053423A">
              <w:rPr>
                <w:rFonts w:eastAsia="Times New Roman" w:cs="Times New Roman"/>
                <w:sz w:val="20"/>
                <w:szCs w:val="20"/>
                <w:lang w:val="af-ZA"/>
              </w:rPr>
              <w:t xml:space="preserve"> </w:t>
            </w:r>
            <w:r w:rsidRPr="0053423A">
              <w:rPr>
                <w:rFonts w:eastAsia="Times New Roman" w:cs="Times New Roman"/>
                <w:sz w:val="20"/>
                <w:szCs w:val="20"/>
              </w:rPr>
              <w:t>հնագիտական</w:t>
            </w:r>
            <w:r w:rsidRPr="0053423A">
              <w:rPr>
                <w:rFonts w:eastAsia="Times New Roman" w:cs="Times New Roman"/>
                <w:sz w:val="20"/>
                <w:szCs w:val="20"/>
                <w:lang w:val="af-ZA"/>
              </w:rPr>
              <w:t xml:space="preserve"> </w:t>
            </w:r>
            <w:r w:rsidRPr="0053423A">
              <w:rPr>
                <w:rFonts w:eastAsia="Times New Roman" w:cs="Times New Roman"/>
                <w:sz w:val="20"/>
                <w:szCs w:val="20"/>
              </w:rPr>
              <w:t>հուշարձանները</w:t>
            </w:r>
            <w:r w:rsidRPr="0053423A">
              <w:rPr>
                <w:rFonts w:eastAsia="Times New Roman" w:cs="Times New Roman"/>
                <w:sz w:val="20"/>
                <w:szCs w:val="20"/>
                <w:lang w:val="af-ZA"/>
              </w:rPr>
              <w:t xml:space="preserve"> </w:t>
            </w:r>
            <w:r w:rsidRPr="0053423A">
              <w:rPr>
                <w:rFonts w:eastAsia="Times New Roman" w:cs="Times New Roman"/>
                <w:sz w:val="20"/>
                <w:szCs w:val="20"/>
              </w:rPr>
              <w:t>և</w:t>
            </w:r>
            <w:r w:rsidRPr="0053423A">
              <w:rPr>
                <w:rFonts w:eastAsia="Times New Roman" w:cs="Times New Roman"/>
                <w:sz w:val="20"/>
                <w:szCs w:val="20"/>
                <w:lang w:val="af-ZA"/>
              </w:rPr>
              <w:t xml:space="preserve"> </w:t>
            </w:r>
            <w:r w:rsidRPr="0053423A">
              <w:rPr>
                <w:rFonts w:eastAsia="Times New Roman" w:cs="Times New Roman"/>
                <w:sz w:val="20"/>
                <w:szCs w:val="20"/>
              </w:rPr>
              <w:t>մշակութային</w:t>
            </w:r>
            <w:r w:rsidRPr="0053423A">
              <w:rPr>
                <w:rFonts w:eastAsia="Times New Roman" w:cs="Times New Roman"/>
                <w:sz w:val="20"/>
                <w:szCs w:val="20"/>
                <w:lang w:val="af-ZA"/>
              </w:rPr>
              <w:t xml:space="preserve"> </w:t>
            </w:r>
            <w:r w:rsidRPr="0053423A">
              <w:rPr>
                <w:rFonts w:eastAsia="Times New Roman" w:cs="Times New Roman"/>
                <w:sz w:val="20"/>
                <w:szCs w:val="20"/>
              </w:rPr>
              <w:t>շերտերը</w:t>
            </w:r>
            <w:r w:rsidRPr="0053423A">
              <w:rPr>
                <w:rFonts w:eastAsia="Times New Roman" w:cs="Times New Roman"/>
                <w:sz w:val="20"/>
                <w:szCs w:val="20"/>
                <w:lang w:val="af-ZA"/>
              </w:rPr>
              <w:t>:</w:t>
            </w: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p>
          <w:p w:rsidR="00A67B6B" w:rsidRPr="0053423A" w:rsidRDefault="00A67B6B" w:rsidP="00A67858">
            <w:pPr>
              <w:tabs>
                <w:tab w:val="left" w:pos="508"/>
              </w:tabs>
              <w:spacing w:after="0" w:line="276" w:lineRule="auto"/>
              <w:ind w:left="270"/>
              <w:contextualSpacing/>
              <w:rPr>
                <w:rFonts w:eastAsia="Calibri" w:cs="Times New Roman"/>
                <w:b/>
                <w:sz w:val="20"/>
                <w:szCs w:val="20"/>
                <w:lang w:val="af-ZA"/>
              </w:rPr>
            </w:pPr>
            <w:r w:rsidRPr="0053423A">
              <w:rPr>
                <w:rFonts w:eastAsia="Calibri" w:cs="Times New Roman"/>
                <w:b/>
                <w:sz w:val="20"/>
                <w:szCs w:val="20"/>
                <w:lang w:val="af-ZA"/>
              </w:rPr>
              <w:t xml:space="preserve">1.2. </w:t>
            </w:r>
            <w:r w:rsidRPr="0053423A">
              <w:rPr>
                <w:rFonts w:eastAsia="Calibri" w:cs="Times New Roman"/>
                <w:b/>
                <w:sz w:val="20"/>
                <w:szCs w:val="20"/>
              </w:rPr>
              <w:t>Առկա</w:t>
            </w:r>
            <w:r w:rsidRPr="0053423A">
              <w:rPr>
                <w:rFonts w:eastAsia="Calibri" w:cs="Times New Roman"/>
                <w:b/>
                <w:sz w:val="20"/>
                <w:szCs w:val="20"/>
                <w:lang w:val="af-ZA"/>
              </w:rPr>
              <w:t xml:space="preserve"> </w:t>
            </w:r>
            <w:r w:rsidRPr="0053423A">
              <w:rPr>
                <w:rFonts w:eastAsia="Calibri" w:cs="Times New Roman"/>
                <w:b/>
                <w:sz w:val="20"/>
                <w:szCs w:val="20"/>
              </w:rPr>
              <w:t>խնդիրների</w:t>
            </w:r>
            <w:r w:rsidRPr="0053423A">
              <w:rPr>
                <w:rFonts w:eastAsia="Calibri" w:cs="Times New Roman"/>
                <w:b/>
                <w:sz w:val="20"/>
                <w:szCs w:val="20"/>
                <w:lang w:val="af-ZA"/>
              </w:rPr>
              <w:t xml:space="preserve"> </w:t>
            </w:r>
            <w:r w:rsidRPr="0053423A">
              <w:rPr>
                <w:rFonts w:eastAsia="Calibri" w:cs="Times New Roman"/>
                <w:b/>
                <w:sz w:val="20"/>
                <w:szCs w:val="20"/>
              </w:rPr>
              <w:t>առաջարկվող</w:t>
            </w:r>
            <w:r w:rsidRPr="0053423A">
              <w:rPr>
                <w:rFonts w:eastAsia="Calibri" w:cs="Times New Roman"/>
                <w:b/>
                <w:sz w:val="20"/>
                <w:szCs w:val="20"/>
                <w:lang w:val="af-ZA"/>
              </w:rPr>
              <w:t xml:space="preserve"> </w:t>
            </w:r>
            <w:r w:rsidRPr="0053423A">
              <w:rPr>
                <w:rFonts w:eastAsia="Calibri" w:cs="Times New Roman"/>
                <w:b/>
                <w:sz w:val="20"/>
                <w:szCs w:val="20"/>
              </w:rPr>
              <w:t>լուծումները</w:t>
            </w: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r w:rsidRPr="0053423A">
              <w:rPr>
                <w:rFonts w:eastAsia="Calibri" w:cs="Times New Roman"/>
                <w:sz w:val="20"/>
                <w:szCs w:val="20"/>
              </w:rPr>
              <w:t>Պատմության</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մշակույթի անշարժ բարձրարժեք հուշարձանների հանրա</w:t>
            </w:r>
            <w:r w:rsidRPr="0053423A">
              <w:rPr>
                <w:rFonts w:eastAsia="Calibri" w:cs="Times New Roman"/>
                <w:sz w:val="20"/>
                <w:szCs w:val="20"/>
                <w:lang w:val="af-ZA"/>
              </w:rPr>
              <w:softHyphen/>
              <w:t>հռչա</w:t>
            </w:r>
            <w:r w:rsidRPr="0053423A">
              <w:rPr>
                <w:rFonts w:eastAsia="Calibri" w:cs="Times New Roman"/>
                <w:sz w:val="20"/>
                <w:szCs w:val="20"/>
                <w:lang w:val="af-ZA"/>
              </w:rPr>
              <w:softHyphen/>
              <w:t>կումը, բարձրարժեք հուշարձանների տարածքներում բացօթյա միջոցառումների կազմակերպումը հուշարձանների հանրահռչակման, դրանց պահպանությանը մաս</w:t>
            </w:r>
            <w:r w:rsidRPr="0053423A">
              <w:rPr>
                <w:rFonts w:eastAsia="Calibri" w:cs="Times New Roman"/>
                <w:sz w:val="20"/>
                <w:szCs w:val="20"/>
                <w:lang w:val="af-ZA"/>
              </w:rPr>
              <w:softHyphen/>
              <w:t>նակ</w:t>
            </w:r>
            <w:r w:rsidRPr="0053423A">
              <w:rPr>
                <w:rFonts w:eastAsia="Calibri" w:cs="Times New Roman"/>
                <w:sz w:val="20"/>
                <w:szCs w:val="20"/>
                <w:lang w:val="af-ZA"/>
              </w:rPr>
              <w:softHyphen/>
              <w:t>ցելու հոգատար վերաբերմունքի դրսևորման պատճառ կարող են դառնալ:</w:t>
            </w: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r w:rsidRPr="0053423A">
              <w:rPr>
                <w:rFonts w:eastAsia="Calibri" w:cs="Times New Roman"/>
                <w:sz w:val="20"/>
                <w:szCs w:val="20"/>
                <w:lang w:val="af-ZA"/>
              </w:rPr>
              <w:t>Զբոսաշրջիկների մասնակցությունը նման միջոցառումներին կարող է կրել ոչ միայն ճանաչողական բնույթ, այլև հանրահռչակել դրանք, ինչպես նաև դրանց պահա</w:t>
            </w:r>
            <w:r w:rsidRPr="0053423A">
              <w:rPr>
                <w:rFonts w:eastAsia="Calibri" w:cs="Times New Roman"/>
                <w:sz w:val="20"/>
                <w:szCs w:val="20"/>
                <w:lang w:val="af-ZA"/>
              </w:rPr>
              <w:softHyphen/>
              <w:t>նությանը նպատակա</w:t>
            </w:r>
            <w:r w:rsidRPr="0053423A">
              <w:rPr>
                <w:rFonts w:eastAsia="Calibri" w:cs="Times New Roman"/>
                <w:sz w:val="20"/>
                <w:szCs w:val="20"/>
                <w:lang w:val="af-ZA"/>
              </w:rPr>
              <w:softHyphen/>
              <w:t>ուղղված համատեղ հետազոտական ծրագրերի, վերա</w:t>
            </w:r>
            <w:r w:rsidRPr="0053423A">
              <w:rPr>
                <w:rFonts w:eastAsia="Calibri" w:cs="Times New Roman"/>
                <w:sz w:val="20"/>
                <w:szCs w:val="20"/>
                <w:lang w:val="af-ZA"/>
              </w:rPr>
              <w:softHyphen/>
              <w:t>կանգնման նպատակով լուրջ ներդրումների միջոց հանդիսանալ՝ գործընթաներին մասնակիցների շրջանակը ընդլայնելու հնարավորություն ստեղծելով, ինչպես նաև օտարերկրյա գիտական կազմակերպություններին Հայաստանի Հանրապետություն ներգրավելու և համատեղ ծրագրեր իրականացնելու համար: Բարձրարժեք հուշարձանների տարածքներում բացօթյա միջոցառումների կազմակերպումը հնարավորություն կտա հանրահռչակել հայկական մեծարժեք հուշարձանները, ապահովել հուշարձանների պահպանությանը միտված քարոզչու</w:t>
            </w:r>
            <w:r w:rsidRPr="0053423A">
              <w:rPr>
                <w:rFonts w:eastAsia="Calibri" w:cs="Times New Roman"/>
                <w:sz w:val="20"/>
                <w:szCs w:val="20"/>
                <w:lang w:val="af-ZA"/>
              </w:rPr>
              <w:softHyphen/>
              <w:t xml:space="preserve">թյունը, հանրությանը հրավիրել մասնակցելու հուշարձանների պահպանության գորընթացներին:  </w:t>
            </w:r>
          </w:p>
          <w:p w:rsidR="00A67B6B" w:rsidRPr="0053423A" w:rsidRDefault="00A67B6B" w:rsidP="00A67858">
            <w:pPr>
              <w:tabs>
                <w:tab w:val="left" w:pos="508"/>
              </w:tabs>
              <w:spacing w:after="0" w:line="276" w:lineRule="auto"/>
              <w:contextualSpacing/>
              <w:jc w:val="both"/>
              <w:rPr>
                <w:rFonts w:eastAsia="Calibri" w:cs="Times New Roman"/>
                <w:b/>
                <w:sz w:val="20"/>
                <w:szCs w:val="20"/>
                <w:lang w:val="af-ZA"/>
              </w:rPr>
            </w:pPr>
          </w:p>
          <w:p w:rsidR="00A67B6B" w:rsidRPr="0053423A" w:rsidRDefault="00A67B6B" w:rsidP="00A67858">
            <w:pPr>
              <w:tabs>
                <w:tab w:val="left" w:pos="508"/>
              </w:tabs>
              <w:spacing w:after="0" w:line="276" w:lineRule="auto"/>
              <w:contextualSpacing/>
              <w:jc w:val="both"/>
              <w:rPr>
                <w:rFonts w:eastAsia="Calibri" w:cs="Times New Roman"/>
                <w:b/>
                <w:sz w:val="20"/>
                <w:szCs w:val="20"/>
                <w:lang w:val="af-ZA"/>
              </w:rPr>
            </w:pPr>
            <w:r w:rsidRPr="0053423A">
              <w:rPr>
                <w:rFonts w:eastAsia="Calibri" w:cs="Times New Roman"/>
                <w:b/>
                <w:sz w:val="20"/>
                <w:szCs w:val="20"/>
                <w:lang w:val="af-ZA"/>
              </w:rPr>
              <w:t xml:space="preserve">2. </w:t>
            </w:r>
            <w:r w:rsidRPr="0053423A">
              <w:rPr>
                <w:rFonts w:eastAsia="Calibri" w:cs="Times New Roman"/>
                <w:b/>
                <w:sz w:val="20"/>
                <w:szCs w:val="20"/>
              </w:rPr>
              <w:t>Միջոցառման</w:t>
            </w:r>
            <w:r w:rsidRPr="0053423A">
              <w:rPr>
                <w:rFonts w:eastAsia="Calibri" w:cs="Times New Roman"/>
                <w:b/>
                <w:sz w:val="20"/>
                <w:szCs w:val="20"/>
                <w:lang w:val="af-ZA"/>
              </w:rPr>
              <w:t xml:space="preserve"> </w:t>
            </w:r>
            <w:r w:rsidRPr="0053423A">
              <w:rPr>
                <w:rFonts w:eastAsia="Calibri" w:cs="Times New Roman"/>
                <w:b/>
                <w:sz w:val="20"/>
                <w:szCs w:val="20"/>
              </w:rPr>
              <w:t>իրակա</w:t>
            </w:r>
            <w:r w:rsidRPr="0053423A">
              <w:rPr>
                <w:rFonts w:eastAsia="Calibri" w:cs="Times New Roman"/>
                <w:b/>
                <w:sz w:val="20"/>
                <w:szCs w:val="20"/>
                <w:lang w:val="hy-AM"/>
              </w:rPr>
              <w:t>նա</w:t>
            </w:r>
            <w:r w:rsidRPr="0053423A">
              <w:rPr>
                <w:rFonts w:eastAsia="Calibri" w:cs="Times New Roman"/>
                <w:b/>
                <w:sz w:val="20"/>
                <w:szCs w:val="20"/>
              </w:rPr>
              <w:t>ցումից</w:t>
            </w:r>
            <w:r w:rsidRPr="0053423A">
              <w:rPr>
                <w:rFonts w:eastAsia="Calibri" w:cs="Times New Roman"/>
                <w:b/>
                <w:sz w:val="20"/>
                <w:szCs w:val="20"/>
                <w:lang w:val="af-ZA"/>
              </w:rPr>
              <w:t xml:space="preserve"> </w:t>
            </w:r>
            <w:r w:rsidRPr="0053423A">
              <w:rPr>
                <w:rFonts w:eastAsia="Calibri" w:cs="Times New Roman"/>
                <w:b/>
                <w:sz w:val="20"/>
                <w:szCs w:val="20"/>
              </w:rPr>
              <w:t>ակնկալվող</w:t>
            </w:r>
            <w:r w:rsidRPr="0053423A">
              <w:rPr>
                <w:rFonts w:eastAsia="Calibri" w:cs="Times New Roman"/>
                <w:b/>
                <w:sz w:val="20"/>
                <w:szCs w:val="20"/>
                <w:lang w:val="af-ZA"/>
              </w:rPr>
              <w:t xml:space="preserve"> </w:t>
            </w:r>
            <w:r w:rsidRPr="0053423A">
              <w:rPr>
                <w:rFonts w:eastAsia="Calibri" w:cs="Times New Roman"/>
                <w:b/>
                <w:sz w:val="20"/>
                <w:szCs w:val="20"/>
              </w:rPr>
              <w:t>արդյունքը</w:t>
            </w:r>
            <w:r w:rsidRPr="0053423A">
              <w:rPr>
                <w:rFonts w:eastAsia="Calibri" w:cs="Times New Roman"/>
                <w:b/>
                <w:sz w:val="20"/>
                <w:szCs w:val="20"/>
                <w:lang w:val="af-ZA"/>
              </w:rPr>
              <w:t xml:space="preserve"> </w:t>
            </w:r>
          </w:p>
          <w:p w:rsidR="00A67B6B" w:rsidRPr="0053423A" w:rsidRDefault="00A67B6B" w:rsidP="00A67858">
            <w:pPr>
              <w:tabs>
                <w:tab w:val="left" w:pos="508"/>
              </w:tabs>
              <w:spacing w:after="0" w:line="276" w:lineRule="auto"/>
              <w:contextualSpacing/>
              <w:jc w:val="both"/>
              <w:rPr>
                <w:rFonts w:eastAsia="Calibri" w:cs="GHEA Grapalat"/>
                <w:sz w:val="20"/>
                <w:szCs w:val="20"/>
                <w:lang w:val="hy-AM"/>
              </w:rPr>
            </w:pPr>
            <w:r w:rsidRPr="0053423A">
              <w:rPr>
                <w:rFonts w:eastAsia="Calibri" w:cs="Times New Roman"/>
                <w:sz w:val="20"/>
                <w:szCs w:val="20"/>
                <w:lang w:val="af-ZA"/>
              </w:rPr>
              <w:t>Բարձրարժեք հուշարձանների տարածքներում բացօթյա միջոցառումների արդյունքում հնարավոր կլինի ապահովել հայ մշակութային ժառանգության պահպա</w:t>
            </w:r>
            <w:r w:rsidRPr="0053423A">
              <w:rPr>
                <w:rFonts w:eastAsia="Calibri" w:cs="Times New Roman"/>
                <w:sz w:val="20"/>
                <w:szCs w:val="20"/>
                <w:lang w:val="af-ZA"/>
              </w:rPr>
              <w:softHyphen/>
              <w:t>նության գործընթացներին հանրության մասնակցությունը, մեծացնել օտարեր</w:t>
            </w:r>
            <w:r w:rsidRPr="0053423A">
              <w:rPr>
                <w:rFonts w:eastAsia="Calibri" w:cs="Times New Roman"/>
                <w:sz w:val="20"/>
                <w:szCs w:val="20"/>
                <w:lang w:val="af-ZA"/>
              </w:rPr>
              <w:softHyphen/>
              <w:t>կրյա զբոսաշրջիկների այցելությունների թվաքանակը, հանրահռչակել հայ պատմա</w:t>
            </w:r>
            <w:r w:rsidRPr="0053423A">
              <w:rPr>
                <w:rFonts w:eastAsia="Calibri" w:cs="Times New Roman"/>
                <w:sz w:val="20"/>
                <w:szCs w:val="20"/>
                <w:lang w:val="af-ZA"/>
              </w:rPr>
              <w:softHyphen/>
              <w:t>մշա</w:t>
            </w:r>
            <w:r w:rsidRPr="0053423A">
              <w:rPr>
                <w:rFonts w:eastAsia="Calibri" w:cs="Times New Roman"/>
                <w:sz w:val="20"/>
                <w:szCs w:val="20"/>
                <w:lang w:val="af-ZA"/>
              </w:rPr>
              <w:softHyphen/>
              <w:t>կութային ժառանգությունը, իրականացնել համատեղ ծրագրեր հուշարձանների պահպանության ուղղությամբ:</w:t>
            </w:r>
            <w:r w:rsidRPr="0053423A">
              <w:rPr>
                <w:rFonts w:eastAsia="Calibri" w:cs="GHEA Grapalat"/>
                <w:sz w:val="20"/>
                <w:szCs w:val="20"/>
                <w:lang w:val="hy-AM"/>
              </w:rPr>
              <w:t xml:space="preserve"> </w:t>
            </w:r>
          </w:p>
          <w:p w:rsidR="00A67B6B" w:rsidRPr="0053423A" w:rsidRDefault="00A67B6B" w:rsidP="00A67858">
            <w:pPr>
              <w:tabs>
                <w:tab w:val="left" w:pos="508"/>
              </w:tabs>
              <w:spacing w:after="0" w:line="276" w:lineRule="auto"/>
              <w:contextualSpacing/>
              <w:jc w:val="both"/>
              <w:rPr>
                <w:rFonts w:eastAsia="Calibri" w:cs="GHEA Grapalat"/>
                <w:sz w:val="20"/>
                <w:szCs w:val="20"/>
                <w:lang w:val="af-ZA"/>
              </w:rPr>
            </w:pPr>
          </w:p>
          <w:p w:rsidR="00A67B6B" w:rsidRPr="0053423A" w:rsidRDefault="00A67B6B" w:rsidP="00A67858">
            <w:pPr>
              <w:tabs>
                <w:tab w:val="left" w:pos="508"/>
              </w:tabs>
              <w:spacing w:after="0" w:line="276" w:lineRule="auto"/>
              <w:ind w:right="-981"/>
              <w:contextualSpacing/>
              <w:jc w:val="center"/>
              <w:rPr>
                <w:rFonts w:eastAsia="Times New Roman" w:cs="GHEA Grapalat"/>
                <w:b/>
                <w:bCs/>
                <w:sz w:val="20"/>
                <w:szCs w:val="20"/>
                <w:lang w:val="af-ZA" w:eastAsia="zh-CN"/>
              </w:rPr>
            </w:pPr>
            <w:r w:rsidRPr="0053423A">
              <w:rPr>
                <w:rFonts w:eastAsia="Times New Roman" w:cs="GHEA Grapalat"/>
                <w:b/>
                <w:bCs/>
                <w:sz w:val="20"/>
                <w:szCs w:val="20"/>
                <w:lang w:val="af-ZA" w:eastAsia="zh-CN"/>
              </w:rPr>
              <w:t xml:space="preserve">4.4 </w:t>
            </w:r>
            <w:r w:rsidRPr="0053423A">
              <w:rPr>
                <w:rFonts w:eastAsia="Times New Roman" w:cs="GHEA Grapalat"/>
                <w:b/>
                <w:bCs/>
                <w:sz w:val="20"/>
                <w:szCs w:val="20"/>
                <w:lang w:eastAsia="zh-CN"/>
              </w:rPr>
              <w:t>Ո</w:t>
            </w:r>
            <w:r w:rsidRPr="0053423A">
              <w:rPr>
                <w:rFonts w:eastAsia="Times New Roman" w:cs="GHEA Grapalat"/>
                <w:b/>
                <w:bCs/>
                <w:sz w:val="20"/>
                <w:szCs w:val="20"/>
                <w:lang w:val="hy-AM" w:eastAsia="zh-CN"/>
              </w:rPr>
              <w:t>չ նյութական</w:t>
            </w:r>
            <w:r w:rsidRPr="0053423A">
              <w:rPr>
                <w:rFonts w:eastAsia="Times New Roman" w:cs="GHEA Grapalat"/>
                <w:b/>
                <w:bCs/>
                <w:sz w:val="20"/>
                <w:szCs w:val="20"/>
                <w:lang w:val="af-ZA" w:eastAsia="zh-CN"/>
              </w:rPr>
              <w:t xml:space="preserve"> մշակութային </w:t>
            </w:r>
            <w:r w:rsidRPr="0053423A">
              <w:rPr>
                <w:rFonts w:eastAsia="Times New Roman" w:cs="GHEA Grapalat"/>
                <w:b/>
                <w:bCs/>
                <w:sz w:val="20"/>
                <w:szCs w:val="20"/>
                <w:lang w:val="hy-AM" w:eastAsia="zh-CN"/>
              </w:rPr>
              <w:t>ժառանգության շտեմարանի</w:t>
            </w:r>
            <w:r w:rsidRPr="0053423A">
              <w:rPr>
                <w:rFonts w:eastAsia="Times New Roman" w:cs="GHEA Grapalat"/>
                <w:b/>
                <w:bCs/>
                <w:sz w:val="20"/>
                <w:szCs w:val="20"/>
                <w:lang w:val="af-ZA" w:eastAsia="zh-CN"/>
              </w:rPr>
              <w:t xml:space="preserve"> </w:t>
            </w:r>
            <w:r w:rsidRPr="0053423A">
              <w:rPr>
                <w:rFonts w:eastAsia="Times New Roman" w:cs="GHEA Grapalat"/>
                <w:b/>
                <w:bCs/>
                <w:sz w:val="20"/>
                <w:szCs w:val="20"/>
                <w:lang w:val="hy-AM" w:eastAsia="zh-CN"/>
              </w:rPr>
              <w:t>ստեղծ</w:t>
            </w:r>
            <w:r w:rsidRPr="0053423A">
              <w:rPr>
                <w:rFonts w:eastAsia="Times New Roman" w:cs="GHEA Grapalat"/>
                <w:b/>
                <w:bCs/>
                <w:sz w:val="20"/>
                <w:szCs w:val="20"/>
                <w:lang w:eastAsia="zh-CN"/>
              </w:rPr>
              <w:t>ում</w:t>
            </w:r>
          </w:p>
          <w:p w:rsidR="00A67B6B" w:rsidRPr="0053423A" w:rsidRDefault="00A67B6B" w:rsidP="00A67858">
            <w:pPr>
              <w:tabs>
                <w:tab w:val="left" w:pos="508"/>
              </w:tabs>
              <w:spacing w:after="0" w:line="276" w:lineRule="auto"/>
              <w:ind w:right="-981"/>
              <w:contextualSpacing/>
              <w:jc w:val="center"/>
              <w:rPr>
                <w:rFonts w:eastAsia="Times New Roman" w:cs="GHEA Grapalat"/>
                <w:bCs/>
                <w:sz w:val="20"/>
                <w:szCs w:val="20"/>
                <w:lang w:val="af-ZA" w:eastAsia="zh-CN"/>
              </w:rPr>
            </w:pPr>
          </w:p>
          <w:p w:rsidR="00A67B6B" w:rsidRPr="0053423A" w:rsidRDefault="00A67B6B" w:rsidP="001F6D5D">
            <w:pPr>
              <w:numPr>
                <w:ilvl w:val="0"/>
                <w:numId w:val="210"/>
              </w:numPr>
              <w:tabs>
                <w:tab w:val="left" w:pos="508"/>
              </w:tabs>
              <w:spacing w:after="0" w:line="276" w:lineRule="auto"/>
              <w:ind w:right="-981" w:hanging="720"/>
              <w:contextualSpacing/>
              <w:rPr>
                <w:rFonts w:eastAsia="Calibri" w:cs="Times New Roman"/>
                <w:b/>
                <w:sz w:val="20"/>
                <w:szCs w:val="20"/>
                <w:lang w:val="hy-AM"/>
              </w:rPr>
            </w:pPr>
            <w:r w:rsidRPr="0053423A">
              <w:rPr>
                <w:rFonts w:eastAsia="Calibri" w:cs="Sylfaen"/>
                <w:b/>
                <w:sz w:val="20"/>
                <w:szCs w:val="20"/>
                <w:lang w:val="hy-AM"/>
              </w:rPr>
              <w:t>Միջոցառման</w:t>
            </w:r>
            <w:r w:rsidRPr="0053423A">
              <w:rPr>
                <w:rFonts w:eastAsia="Calibri" w:cs="Times New Roman"/>
                <w:b/>
                <w:sz w:val="20"/>
                <w:szCs w:val="20"/>
                <w:lang w:val="hy-AM"/>
              </w:rPr>
              <w:t xml:space="preserve"> իրականացման անհրաժեշտությունը և նպատակը</w:t>
            </w:r>
          </w:p>
          <w:p w:rsidR="00A67B6B" w:rsidRPr="0053423A" w:rsidRDefault="00A67B6B" w:rsidP="00A67858">
            <w:pPr>
              <w:tabs>
                <w:tab w:val="left" w:pos="810"/>
              </w:tabs>
              <w:spacing w:after="0" w:line="276" w:lineRule="auto"/>
              <w:jc w:val="both"/>
              <w:rPr>
                <w:rFonts w:eastAsia="Calibri" w:cs="Sylfaen"/>
                <w:sz w:val="20"/>
                <w:szCs w:val="20"/>
                <w:lang w:val="hy-AM"/>
              </w:rPr>
            </w:pPr>
            <w:r w:rsidRPr="0053423A">
              <w:rPr>
                <w:rFonts w:eastAsia="Calibri" w:cs="Sylfaen"/>
                <w:sz w:val="20"/>
                <w:szCs w:val="20"/>
                <w:lang w:val="hy-AM"/>
              </w:rPr>
              <w:t xml:space="preserve">«Հայաստանի Հանրապետության ոչ նյութական մշակութային ժառանգություն» կայքէջը հասանելի է </w:t>
            </w:r>
            <w:hyperlink r:id="rId10" w:history="1">
              <w:r w:rsidRPr="0053423A">
                <w:rPr>
                  <w:rFonts w:eastAsia="Calibri" w:cs="Sylfaen"/>
                  <w:sz w:val="20"/>
                  <w:szCs w:val="20"/>
                  <w:u w:val="single"/>
                  <w:lang w:val="hy-AM"/>
                </w:rPr>
                <w:t>www.int-heritage.am</w:t>
              </w:r>
            </w:hyperlink>
            <w:r w:rsidRPr="0053423A">
              <w:rPr>
                <w:rFonts w:eastAsia="Calibri" w:cs="Sylfaen"/>
                <w:sz w:val="20"/>
                <w:szCs w:val="20"/>
                <w:lang w:val="hy-AM"/>
              </w:rPr>
              <w:t xml:space="preserve"> հղումով: Կայքէջի գործարկման անհրաժեշտությունը պայմանավորված</w:t>
            </w:r>
            <w:r w:rsidRPr="0053423A">
              <w:rPr>
                <w:rFonts w:eastAsia="Calibri" w:cs="Sylfaen"/>
                <w:sz w:val="20"/>
                <w:szCs w:val="20"/>
                <w:lang w:val="fr-FR"/>
              </w:rPr>
              <w:t xml:space="preserve"> </w:t>
            </w:r>
            <w:r w:rsidRPr="0053423A">
              <w:rPr>
                <w:rFonts w:eastAsia="Calibri" w:cs="Sylfaen"/>
                <w:sz w:val="20"/>
                <w:szCs w:val="20"/>
                <w:lang w:val="hy-AM"/>
              </w:rPr>
              <w:t>է</w:t>
            </w:r>
            <w:r w:rsidRPr="0053423A">
              <w:rPr>
                <w:rFonts w:eastAsia="Calibri" w:cs="Sylfaen"/>
                <w:sz w:val="20"/>
                <w:szCs w:val="20"/>
                <w:lang w:val="fr-FR"/>
              </w:rPr>
              <w:t xml:space="preserve"> </w:t>
            </w:r>
            <w:r w:rsidRPr="0053423A">
              <w:rPr>
                <w:rFonts w:eastAsia="Calibri" w:cs="Times New Roman"/>
                <w:sz w:val="20"/>
                <w:szCs w:val="20"/>
                <w:lang w:val="hy-AM"/>
              </w:rPr>
              <w:t>ՅՈՒՆԵՍԿՕ</w:t>
            </w:r>
            <w:r w:rsidRPr="0053423A">
              <w:rPr>
                <w:rFonts w:eastAsia="Calibri" w:cs="Times New Roman"/>
                <w:sz w:val="20"/>
                <w:szCs w:val="20"/>
                <w:lang w:val="af-ZA"/>
              </w:rPr>
              <w:t>-</w:t>
            </w:r>
            <w:r w:rsidRPr="0053423A">
              <w:rPr>
                <w:rFonts w:eastAsia="Calibri" w:cs="Times New Roman"/>
                <w:sz w:val="20"/>
                <w:szCs w:val="20"/>
                <w:lang w:val="hy-AM"/>
              </w:rPr>
              <w:t>ի</w:t>
            </w:r>
            <w:r w:rsidRPr="0053423A">
              <w:rPr>
                <w:rFonts w:eastAsia="Calibri" w:cs="Times New Roman"/>
                <w:sz w:val="20"/>
                <w:szCs w:val="20"/>
                <w:lang w:val="af-ZA"/>
              </w:rPr>
              <w:t xml:space="preserve"> «</w:t>
            </w:r>
            <w:r w:rsidRPr="0053423A">
              <w:rPr>
                <w:rFonts w:eastAsia="Calibri" w:cs="Times New Roman"/>
                <w:sz w:val="20"/>
                <w:szCs w:val="20"/>
                <w:lang w:val="hy-AM"/>
              </w:rPr>
              <w:t>Ոչ</w:t>
            </w:r>
            <w:r w:rsidRPr="0053423A">
              <w:rPr>
                <w:rFonts w:eastAsia="Calibri" w:cs="Times New Roman"/>
                <w:sz w:val="20"/>
                <w:szCs w:val="20"/>
                <w:lang w:val="af-ZA"/>
              </w:rPr>
              <w:t xml:space="preserve"> </w:t>
            </w:r>
            <w:r w:rsidRPr="0053423A">
              <w:rPr>
                <w:rFonts w:eastAsia="Calibri" w:cs="Times New Roman"/>
                <w:sz w:val="20"/>
                <w:szCs w:val="20"/>
                <w:lang w:val="hy-AM"/>
              </w:rPr>
              <w:t>նյութական</w:t>
            </w:r>
            <w:r w:rsidRPr="0053423A">
              <w:rPr>
                <w:rFonts w:eastAsia="Calibri" w:cs="Times New Roman"/>
                <w:sz w:val="20"/>
                <w:szCs w:val="20"/>
                <w:lang w:val="af-ZA"/>
              </w:rPr>
              <w:t xml:space="preserve"> </w:t>
            </w:r>
            <w:r w:rsidRPr="0053423A">
              <w:rPr>
                <w:rFonts w:eastAsia="Calibri" w:cs="Times New Roman"/>
                <w:sz w:val="20"/>
                <w:szCs w:val="20"/>
                <w:lang w:val="hy-AM"/>
              </w:rPr>
              <w:t>մշակութային</w:t>
            </w:r>
            <w:r w:rsidRPr="0053423A">
              <w:rPr>
                <w:rFonts w:eastAsia="Calibri" w:cs="Times New Roman"/>
                <w:sz w:val="20"/>
                <w:szCs w:val="20"/>
                <w:lang w:val="af-ZA"/>
              </w:rPr>
              <w:t xml:space="preserve"> </w:t>
            </w:r>
            <w:r w:rsidRPr="0053423A">
              <w:rPr>
                <w:rFonts w:eastAsia="Calibri" w:cs="Times New Roman"/>
                <w:sz w:val="20"/>
                <w:szCs w:val="20"/>
                <w:lang w:val="hy-AM"/>
              </w:rPr>
              <w:t>ժառանգության</w:t>
            </w:r>
            <w:r w:rsidRPr="0053423A">
              <w:rPr>
                <w:rFonts w:eastAsia="Calibri" w:cs="Times New Roman"/>
                <w:sz w:val="20"/>
                <w:szCs w:val="20"/>
                <w:lang w:val="af-ZA"/>
              </w:rPr>
              <w:t xml:space="preserve"> </w:t>
            </w:r>
            <w:r w:rsidRPr="0053423A">
              <w:rPr>
                <w:rFonts w:eastAsia="Calibri" w:cs="Times New Roman"/>
                <w:sz w:val="20"/>
                <w:szCs w:val="20"/>
                <w:lang w:val="hy-AM"/>
              </w:rPr>
              <w:t>պաշտպանության</w:t>
            </w:r>
            <w:r w:rsidRPr="0053423A">
              <w:rPr>
                <w:rFonts w:eastAsia="Calibri" w:cs="Times New Roman"/>
                <w:sz w:val="20"/>
                <w:szCs w:val="20"/>
                <w:lang w:val="af-ZA"/>
              </w:rPr>
              <w:t xml:space="preserve"> </w:t>
            </w:r>
            <w:r w:rsidRPr="0053423A">
              <w:rPr>
                <w:rFonts w:eastAsia="Calibri" w:cs="Times New Roman"/>
                <w:sz w:val="20"/>
                <w:szCs w:val="20"/>
                <w:lang w:val="hy-AM"/>
              </w:rPr>
              <w:t>մասին</w:t>
            </w:r>
            <w:r w:rsidRPr="0053423A">
              <w:rPr>
                <w:rFonts w:eastAsia="Calibri" w:cs="Times New Roman"/>
                <w:sz w:val="20"/>
                <w:szCs w:val="20"/>
                <w:lang w:val="af-ZA"/>
              </w:rPr>
              <w:t xml:space="preserve">» </w:t>
            </w:r>
            <w:r w:rsidRPr="0053423A">
              <w:rPr>
                <w:rFonts w:eastAsia="Calibri" w:cs="Times New Roman"/>
                <w:sz w:val="20"/>
                <w:szCs w:val="20"/>
                <w:lang w:val="hy-AM"/>
              </w:rPr>
              <w:t>կոնվենցիայի</w:t>
            </w:r>
            <w:r w:rsidRPr="0053423A">
              <w:rPr>
                <w:rFonts w:eastAsia="Calibri" w:cs="Times New Roman"/>
                <w:sz w:val="20"/>
                <w:szCs w:val="20"/>
                <w:lang w:val="fr-FR"/>
              </w:rPr>
              <w:t xml:space="preserve">, </w:t>
            </w:r>
            <w:r w:rsidRPr="0053423A">
              <w:rPr>
                <w:rFonts w:eastAsia="Calibri" w:cs="Times New Roman"/>
                <w:sz w:val="20"/>
                <w:szCs w:val="20"/>
                <w:lang w:val="af-ZA"/>
              </w:rPr>
              <w:t>«</w:t>
            </w:r>
            <w:r w:rsidRPr="0053423A">
              <w:rPr>
                <w:rFonts w:eastAsia="Calibri" w:cs="Times New Roman"/>
                <w:sz w:val="20"/>
                <w:szCs w:val="20"/>
                <w:lang w:val="hy-AM"/>
              </w:rPr>
              <w:t>Ոչ</w:t>
            </w:r>
            <w:r w:rsidRPr="0053423A">
              <w:rPr>
                <w:rFonts w:eastAsia="Calibri" w:cs="Times New Roman"/>
                <w:sz w:val="20"/>
                <w:szCs w:val="20"/>
                <w:lang w:val="af-ZA"/>
              </w:rPr>
              <w:t xml:space="preserve"> </w:t>
            </w:r>
            <w:r w:rsidRPr="0053423A">
              <w:rPr>
                <w:rFonts w:eastAsia="Calibri" w:cs="Times New Roman"/>
                <w:sz w:val="20"/>
                <w:szCs w:val="20"/>
                <w:lang w:val="hy-AM"/>
              </w:rPr>
              <w:t>նյութական</w:t>
            </w:r>
            <w:r w:rsidRPr="0053423A">
              <w:rPr>
                <w:rFonts w:eastAsia="Calibri" w:cs="Times New Roman"/>
                <w:sz w:val="20"/>
                <w:szCs w:val="20"/>
                <w:lang w:val="af-ZA"/>
              </w:rPr>
              <w:t xml:space="preserve"> </w:t>
            </w:r>
            <w:r w:rsidRPr="0053423A">
              <w:rPr>
                <w:rFonts w:eastAsia="Calibri" w:cs="Times New Roman"/>
                <w:sz w:val="20"/>
                <w:szCs w:val="20"/>
                <w:lang w:val="hy-AM"/>
              </w:rPr>
              <w:t>մշակութային</w:t>
            </w:r>
            <w:r w:rsidRPr="0053423A">
              <w:rPr>
                <w:rFonts w:eastAsia="Calibri" w:cs="Times New Roman"/>
                <w:sz w:val="20"/>
                <w:szCs w:val="20"/>
                <w:lang w:val="af-ZA"/>
              </w:rPr>
              <w:t xml:space="preserve"> </w:t>
            </w:r>
            <w:r w:rsidRPr="0053423A">
              <w:rPr>
                <w:rFonts w:eastAsia="Calibri" w:cs="Times New Roman"/>
                <w:sz w:val="20"/>
                <w:szCs w:val="20"/>
                <w:lang w:val="hy-AM"/>
              </w:rPr>
              <w:t>ժառանգության</w:t>
            </w:r>
            <w:r w:rsidRPr="0053423A">
              <w:rPr>
                <w:rFonts w:eastAsia="Calibri" w:cs="Times New Roman"/>
                <w:sz w:val="20"/>
                <w:szCs w:val="20"/>
                <w:lang w:val="af-ZA"/>
              </w:rPr>
              <w:t xml:space="preserve"> </w:t>
            </w:r>
            <w:r w:rsidRPr="0053423A">
              <w:rPr>
                <w:rFonts w:eastAsia="Calibri" w:cs="Times New Roman"/>
                <w:sz w:val="20"/>
                <w:szCs w:val="20"/>
                <w:lang w:val="hy-AM"/>
              </w:rPr>
              <w:t>մասին</w:t>
            </w:r>
            <w:r w:rsidRPr="0053423A">
              <w:rPr>
                <w:rFonts w:eastAsia="Calibri" w:cs="Times New Roman"/>
                <w:sz w:val="20"/>
                <w:szCs w:val="20"/>
                <w:lang w:val="af-ZA"/>
              </w:rPr>
              <w:t xml:space="preserve">» </w:t>
            </w:r>
            <w:r w:rsidRPr="0053423A">
              <w:rPr>
                <w:rFonts w:eastAsia="Calibri" w:cs="Times New Roman"/>
                <w:sz w:val="20"/>
                <w:szCs w:val="20"/>
                <w:lang w:val="hy-AM"/>
              </w:rPr>
              <w:t>ՀՀ</w:t>
            </w:r>
            <w:r w:rsidRPr="0053423A">
              <w:rPr>
                <w:rFonts w:eastAsia="Calibri" w:cs="Times New Roman"/>
                <w:sz w:val="20"/>
                <w:szCs w:val="20"/>
                <w:lang w:val="af-ZA"/>
              </w:rPr>
              <w:t xml:space="preserve"> </w:t>
            </w:r>
            <w:r w:rsidRPr="0053423A">
              <w:rPr>
                <w:rFonts w:eastAsia="Calibri" w:cs="Times New Roman"/>
                <w:sz w:val="20"/>
                <w:szCs w:val="20"/>
                <w:lang w:val="hy-AM"/>
              </w:rPr>
              <w:t>օրենքի</w:t>
            </w:r>
            <w:r w:rsidRPr="0053423A">
              <w:rPr>
                <w:rFonts w:eastAsia="Calibri" w:cs="Times New Roman"/>
                <w:sz w:val="20"/>
                <w:szCs w:val="20"/>
                <w:lang w:val="fr-FR"/>
              </w:rPr>
              <w:t xml:space="preserve"> </w:t>
            </w:r>
            <w:r w:rsidRPr="0053423A">
              <w:rPr>
                <w:rFonts w:eastAsia="Calibri" w:cs="Times New Roman"/>
                <w:sz w:val="20"/>
                <w:szCs w:val="20"/>
                <w:lang w:val="hy-AM"/>
              </w:rPr>
              <w:t>և</w:t>
            </w:r>
            <w:r w:rsidRPr="0053423A">
              <w:rPr>
                <w:rFonts w:eastAsia="Calibri" w:cs="Sylfaen"/>
                <w:sz w:val="20"/>
                <w:szCs w:val="20"/>
                <w:lang w:val="fr-FR"/>
              </w:rPr>
              <w:t xml:space="preserve"> </w:t>
            </w:r>
            <w:r w:rsidRPr="0053423A">
              <w:rPr>
                <w:rFonts w:eastAsia="Calibri" w:cs="Sylfaen"/>
                <w:sz w:val="20"/>
                <w:szCs w:val="20"/>
                <w:lang w:val="hy-AM"/>
              </w:rPr>
              <w:t>ՀՀ</w:t>
            </w:r>
            <w:r w:rsidRPr="0053423A">
              <w:rPr>
                <w:rFonts w:eastAsia="Calibri" w:cs="Sylfaen"/>
                <w:sz w:val="20"/>
                <w:szCs w:val="20"/>
                <w:lang w:val="fr-FR"/>
              </w:rPr>
              <w:t xml:space="preserve"> </w:t>
            </w:r>
            <w:r w:rsidRPr="0053423A">
              <w:rPr>
                <w:rFonts w:eastAsia="Calibri" w:cs="Sylfaen"/>
                <w:sz w:val="20"/>
                <w:szCs w:val="20"/>
                <w:lang w:val="hy-AM"/>
              </w:rPr>
              <w:t>կառավարության</w:t>
            </w:r>
            <w:r w:rsidRPr="0053423A">
              <w:rPr>
                <w:rFonts w:eastAsia="Calibri" w:cs="Sylfaen"/>
                <w:sz w:val="20"/>
                <w:szCs w:val="20"/>
                <w:lang w:val="fr-FR"/>
              </w:rPr>
              <w:t xml:space="preserve"> 2010 </w:t>
            </w:r>
            <w:r w:rsidRPr="0053423A">
              <w:rPr>
                <w:rFonts w:eastAsia="Calibri" w:cs="Sylfaen"/>
                <w:sz w:val="20"/>
                <w:szCs w:val="20"/>
                <w:lang w:val="hy-AM"/>
              </w:rPr>
              <w:t>թվականի</w:t>
            </w:r>
            <w:r w:rsidRPr="0053423A">
              <w:rPr>
                <w:rFonts w:eastAsia="Calibri" w:cs="Sylfaen"/>
                <w:sz w:val="20"/>
                <w:szCs w:val="20"/>
                <w:lang w:val="fr-FR"/>
              </w:rPr>
              <w:t xml:space="preserve"> </w:t>
            </w:r>
            <w:r w:rsidRPr="0053423A">
              <w:rPr>
                <w:rFonts w:eastAsia="Calibri" w:cs="Sylfaen"/>
                <w:sz w:val="20"/>
                <w:szCs w:val="20"/>
                <w:lang w:val="hy-AM"/>
              </w:rPr>
              <w:t>սեպտեմբերի</w:t>
            </w:r>
            <w:r w:rsidRPr="0053423A">
              <w:rPr>
                <w:rFonts w:eastAsia="Calibri" w:cs="Sylfaen"/>
                <w:sz w:val="20"/>
                <w:szCs w:val="20"/>
                <w:lang w:val="fr-FR"/>
              </w:rPr>
              <w:t xml:space="preserve"> 3-</w:t>
            </w:r>
            <w:r w:rsidRPr="0053423A">
              <w:rPr>
                <w:rFonts w:eastAsia="Calibri" w:cs="Sylfaen"/>
                <w:sz w:val="20"/>
                <w:szCs w:val="20"/>
                <w:lang w:val="hy-AM"/>
              </w:rPr>
              <w:t>ի</w:t>
            </w:r>
            <w:r w:rsidRPr="0053423A">
              <w:rPr>
                <w:rFonts w:eastAsia="Calibri" w:cs="Sylfaen"/>
                <w:sz w:val="20"/>
                <w:szCs w:val="20"/>
                <w:lang w:val="fr-FR"/>
              </w:rPr>
              <w:t xml:space="preserve"> N 1173-</w:t>
            </w:r>
            <w:r w:rsidRPr="0053423A">
              <w:rPr>
                <w:rFonts w:eastAsia="Calibri" w:cs="Sylfaen"/>
                <w:sz w:val="20"/>
                <w:szCs w:val="20"/>
                <w:lang w:val="hy-AM"/>
              </w:rPr>
              <w:t>Ն</w:t>
            </w:r>
            <w:r w:rsidRPr="0053423A">
              <w:rPr>
                <w:rFonts w:eastAsia="Calibri" w:cs="Sylfaen"/>
                <w:sz w:val="20"/>
                <w:szCs w:val="20"/>
                <w:lang w:val="fr-FR"/>
              </w:rPr>
              <w:t xml:space="preserve"> «</w:t>
            </w:r>
            <w:r w:rsidRPr="0053423A">
              <w:rPr>
                <w:rFonts w:eastAsia="Calibri" w:cs="Sylfaen"/>
                <w:sz w:val="20"/>
                <w:szCs w:val="20"/>
                <w:lang w:val="hy-AM"/>
              </w:rPr>
              <w:t>Ոչ</w:t>
            </w:r>
            <w:r w:rsidRPr="0053423A">
              <w:rPr>
                <w:rFonts w:eastAsia="Calibri" w:cs="Sylfaen"/>
                <w:sz w:val="20"/>
                <w:szCs w:val="20"/>
                <w:lang w:val="fr-FR"/>
              </w:rPr>
              <w:t xml:space="preserve"> </w:t>
            </w:r>
            <w:r w:rsidRPr="0053423A">
              <w:rPr>
                <w:rFonts w:eastAsia="Calibri" w:cs="Sylfaen"/>
                <w:sz w:val="20"/>
                <w:szCs w:val="20"/>
                <w:lang w:val="hy-AM"/>
              </w:rPr>
              <w:t>նյութական</w:t>
            </w:r>
            <w:r w:rsidRPr="0053423A">
              <w:rPr>
                <w:rFonts w:eastAsia="Calibri" w:cs="Sylfaen"/>
                <w:sz w:val="20"/>
                <w:szCs w:val="20"/>
                <w:lang w:val="fr-FR"/>
              </w:rPr>
              <w:t xml:space="preserve"> </w:t>
            </w:r>
            <w:r w:rsidRPr="0053423A">
              <w:rPr>
                <w:rFonts w:eastAsia="Calibri" w:cs="Sylfaen"/>
                <w:sz w:val="20"/>
                <w:szCs w:val="20"/>
                <w:lang w:val="hy-AM"/>
              </w:rPr>
              <w:t>մշակութային</w:t>
            </w:r>
            <w:r w:rsidRPr="0053423A">
              <w:rPr>
                <w:rFonts w:eastAsia="Calibri" w:cs="Sylfaen"/>
                <w:sz w:val="20"/>
                <w:szCs w:val="20"/>
                <w:lang w:val="fr-FR"/>
              </w:rPr>
              <w:t xml:space="preserve"> </w:t>
            </w:r>
            <w:r w:rsidRPr="0053423A">
              <w:rPr>
                <w:rFonts w:eastAsia="Calibri" w:cs="Sylfaen"/>
                <w:sz w:val="20"/>
                <w:szCs w:val="20"/>
                <w:lang w:val="hy-AM"/>
              </w:rPr>
              <w:t>արժեքների</w:t>
            </w:r>
            <w:r w:rsidRPr="0053423A">
              <w:rPr>
                <w:rFonts w:eastAsia="Calibri" w:cs="Sylfaen"/>
                <w:sz w:val="20"/>
                <w:szCs w:val="20"/>
                <w:lang w:val="fr-FR"/>
              </w:rPr>
              <w:t xml:space="preserve"> </w:t>
            </w:r>
            <w:r w:rsidRPr="0053423A">
              <w:rPr>
                <w:rFonts w:eastAsia="Calibri" w:cs="Sylfaen"/>
                <w:sz w:val="20"/>
                <w:szCs w:val="20"/>
                <w:lang w:val="hy-AM"/>
              </w:rPr>
              <w:t>նույնականացման</w:t>
            </w:r>
            <w:r w:rsidRPr="0053423A">
              <w:rPr>
                <w:rFonts w:eastAsia="Calibri" w:cs="Sylfaen"/>
                <w:sz w:val="20"/>
                <w:szCs w:val="20"/>
                <w:lang w:val="fr-FR"/>
              </w:rPr>
              <w:t xml:space="preserve">, </w:t>
            </w:r>
            <w:r w:rsidRPr="0053423A">
              <w:rPr>
                <w:rFonts w:eastAsia="Calibri" w:cs="Sylfaen"/>
                <w:sz w:val="20"/>
                <w:szCs w:val="20"/>
                <w:lang w:val="hy-AM"/>
              </w:rPr>
              <w:t>փաստաթղթավորման</w:t>
            </w:r>
            <w:r w:rsidRPr="0053423A">
              <w:rPr>
                <w:rFonts w:eastAsia="Calibri" w:cs="Sylfaen"/>
                <w:sz w:val="20"/>
                <w:szCs w:val="20"/>
                <w:lang w:val="fr-FR"/>
              </w:rPr>
              <w:t xml:space="preserve">, </w:t>
            </w:r>
            <w:r w:rsidRPr="0053423A">
              <w:rPr>
                <w:rFonts w:eastAsia="Calibri" w:cs="Sylfaen"/>
                <w:sz w:val="20"/>
                <w:szCs w:val="20"/>
                <w:lang w:val="hy-AM"/>
              </w:rPr>
              <w:t>պահպանության</w:t>
            </w:r>
            <w:r w:rsidRPr="0053423A">
              <w:rPr>
                <w:rFonts w:eastAsia="Calibri" w:cs="Sylfaen"/>
                <w:sz w:val="20"/>
                <w:szCs w:val="20"/>
                <w:lang w:val="fr-FR"/>
              </w:rPr>
              <w:t xml:space="preserve"> </w:t>
            </w:r>
            <w:r w:rsidRPr="0053423A">
              <w:rPr>
                <w:rFonts w:eastAsia="Calibri" w:cs="Sylfaen"/>
                <w:sz w:val="20"/>
                <w:szCs w:val="20"/>
                <w:lang w:val="hy-AM"/>
              </w:rPr>
              <w:t>և</w:t>
            </w:r>
            <w:r w:rsidRPr="0053423A">
              <w:rPr>
                <w:rFonts w:eastAsia="Calibri" w:cs="Sylfaen"/>
                <w:sz w:val="20"/>
                <w:szCs w:val="20"/>
                <w:lang w:val="fr-FR"/>
              </w:rPr>
              <w:t xml:space="preserve"> </w:t>
            </w:r>
            <w:r w:rsidRPr="0053423A">
              <w:rPr>
                <w:rFonts w:eastAsia="Calibri" w:cs="Sylfaen"/>
                <w:sz w:val="20"/>
                <w:szCs w:val="20"/>
                <w:lang w:val="hy-AM"/>
              </w:rPr>
              <w:t>տեղեկատվության</w:t>
            </w:r>
            <w:r w:rsidRPr="0053423A">
              <w:rPr>
                <w:rFonts w:eastAsia="Calibri" w:cs="Sylfaen"/>
                <w:sz w:val="20"/>
                <w:szCs w:val="20"/>
                <w:lang w:val="fr-FR"/>
              </w:rPr>
              <w:t xml:space="preserve"> </w:t>
            </w:r>
            <w:r w:rsidRPr="0053423A">
              <w:rPr>
                <w:rFonts w:eastAsia="Calibri" w:cs="Sylfaen"/>
                <w:sz w:val="20"/>
                <w:szCs w:val="20"/>
                <w:lang w:val="hy-AM"/>
              </w:rPr>
              <w:t>փոխանակման</w:t>
            </w:r>
            <w:r w:rsidRPr="0053423A">
              <w:rPr>
                <w:rFonts w:eastAsia="Calibri" w:cs="Sylfaen"/>
                <w:sz w:val="20"/>
                <w:szCs w:val="20"/>
                <w:lang w:val="fr-FR"/>
              </w:rPr>
              <w:t xml:space="preserve"> </w:t>
            </w:r>
            <w:r w:rsidRPr="0053423A">
              <w:rPr>
                <w:rFonts w:eastAsia="Calibri" w:cs="Sylfaen"/>
                <w:sz w:val="20"/>
                <w:szCs w:val="20"/>
                <w:lang w:val="hy-AM"/>
              </w:rPr>
              <w:t>կարգը</w:t>
            </w:r>
            <w:r w:rsidRPr="0053423A">
              <w:rPr>
                <w:rFonts w:eastAsia="Calibri" w:cs="Sylfaen"/>
                <w:sz w:val="20"/>
                <w:szCs w:val="20"/>
                <w:lang w:val="fr-FR"/>
              </w:rPr>
              <w:t xml:space="preserve"> </w:t>
            </w:r>
            <w:r w:rsidRPr="0053423A">
              <w:rPr>
                <w:rFonts w:eastAsia="Calibri" w:cs="Sylfaen"/>
                <w:sz w:val="20"/>
                <w:szCs w:val="20"/>
                <w:lang w:val="hy-AM"/>
              </w:rPr>
              <w:t>ու</w:t>
            </w:r>
            <w:r w:rsidRPr="0053423A">
              <w:rPr>
                <w:rFonts w:eastAsia="Calibri" w:cs="Sylfaen"/>
                <w:sz w:val="20"/>
                <w:szCs w:val="20"/>
                <w:lang w:val="fr-FR"/>
              </w:rPr>
              <w:t xml:space="preserve"> </w:t>
            </w:r>
            <w:r w:rsidRPr="0053423A">
              <w:rPr>
                <w:rFonts w:eastAsia="Calibri" w:cs="Sylfaen"/>
                <w:sz w:val="20"/>
                <w:szCs w:val="20"/>
                <w:lang w:val="hy-AM"/>
              </w:rPr>
              <w:t>ոչ</w:t>
            </w:r>
            <w:r w:rsidRPr="0053423A">
              <w:rPr>
                <w:rFonts w:eastAsia="Calibri" w:cs="Sylfaen"/>
                <w:sz w:val="20"/>
                <w:szCs w:val="20"/>
                <w:lang w:val="fr-FR"/>
              </w:rPr>
              <w:t xml:space="preserve"> </w:t>
            </w:r>
            <w:r w:rsidRPr="0053423A">
              <w:rPr>
                <w:rFonts w:eastAsia="Calibri" w:cs="Sylfaen"/>
                <w:sz w:val="20"/>
                <w:szCs w:val="20"/>
                <w:lang w:val="hy-AM"/>
              </w:rPr>
              <w:t>նյութական</w:t>
            </w:r>
            <w:r w:rsidRPr="0053423A">
              <w:rPr>
                <w:rFonts w:eastAsia="Calibri" w:cs="Sylfaen"/>
                <w:sz w:val="20"/>
                <w:szCs w:val="20"/>
                <w:lang w:val="fr-FR"/>
              </w:rPr>
              <w:t xml:space="preserve"> </w:t>
            </w:r>
            <w:r w:rsidRPr="0053423A">
              <w:rPr>
                <w:rFonts w:eastAsia="Calibri" w:cs="Sylfaen"/>
                <w:sz w:val="20"/>
                <w:szCs w:val="20"/>
                <w:lang w:val="hy-AM"/>
              </w:rPr>
              <w:t>մշակութային</w:t>
            </w:r>
            <w:r w:rsidRPr="0053423A">
              <w:rPr>
                <w:rFonts w:eastAsia="Calibri" w:cs="Sylfaen"/>
                <w:sz w:val="20"/>
                <w:szCs w:val="20"/>
                <w:lang w:val="fr-FR"/>
              </w:rPr>
              <w:t xml:space="preserve"> </w:t>
            </w:r>
            <w:r w:rsidRPr="0053423A">
              <w:rPr>
                <w:rFonts w:eastAsia="Calibri" w:cs="Sylfaen"/>
                <w:sz w:val="20"/>
                <w:szCs w:val="20"/>
                <w:lang w:val="hy-AM"/>
              </w:rPr>
              <w:t>արժեքի</w:t>
            </w:r>
            <w:r w:rsidRPr="0053423A">
              <w:rPr>
                <w:rFonts w:eastAsia="Calibri" w:cs="Sylfaen"/>
                <w:sz w:val="20"/>
                <w:szCs w:val="20"/>
                <w:lang w:val="fr-FR"/>
              </w:rPr>
              <w:t xml:space="preserve"> </w:t>
            </w:r>
            <w:r w:rsidRPr="0053423A">
              <w:rPr>
                <w:rFonts w:eastAsia="Calibri" w:cs="Sylfaen"/>
                <w:sz w:val="20"/>
                <w:szCs w:val="20"/>
                <w:lang w:val="hy-AM"/>
              </w:rPr>
              <w:t>վկայագրի</w:t>
            </w:r>
            <w:r w:rsidRPr="0053423A">
              <w:rPr>
                <w:rFonts w:eastAsia="Calibri" w:cs="Sylfaen"/>
                <w:sz w:val="20"/>
                <w:szCs w:val="20"/>
                <w:lang w:val="fr-FR"/>
              </w:rPr>
              <w:t xml:space="preserve"> </w:t>
            </w:r>
            <w:r w:rsidRPr="0053423A">
              <w:rPr>
                <w:rFonts w:eastAsia="Calibri" w:cs="Sylfaen"/>
                <w:sz w:val="20"/>
                <w:szCs w:val="20"/>
                <w:lang w:val="hy-AM"/>
              </w:rPr>
              <w:t>ձևը</w:t>
            </w:r>
            <w:r w:rsidRPr="0053423A">
              <w:rPr>
                <w:rFonts w:eastAsia="Calibri" w:cs="Sylfaen"/>
                <w:sz w:val="20"/>
                <w:szCs w:val="20"/>
                <w:lang w:val="fr-FR"/>
              </w:rPr>
              <w:t xml:space="preserve"> </w:t>
            </w:r>
            <w:r w:rsidRPr="0053423A">
              <w:rPr>
                <w:rFonts w:eastAsia="Calibri" w:cs="Sylfaen"/>
                <w:sz w:val="20"/>
                <w:szCs w:val="20"/>
                <w:lang w:val="hy-AM"/>
              </w:rPr>
              <w:t>հաստատելու</w:t>
            </w:r>
            <w:r w:rsidRPr="0053423A">
              <w:rPr>
                <w:rFonts w:eastAsia="Calibri" w:cs="Sylfaen"/>
                <w:sz w:val="20"/>
                <w:szCs w:val="20"/>
                <w:lang w:val="fr-FR"/>
              </w:rPr>
              <w:t xml:space="preserve"> </w:t>
            </w:r>
            <w:r w:rsidRPr="0053423A">
              <w:rPr>
                <w:rFonts w:eastAsia="Calibri" w:cs="Sylfaen"/>
                <w:sz w:val="20"/>
                <w:szCs w:val="20"/>
                <w:lang w:val="hy-AM"/>
              </w:rPr>
              <w:t>մասին</w:t>
            </w:r>
            <w:r w:rsidRPr="0053423A">
              <w:rPr>
                <w:rFonts w:eastAsia="Calibri" w:cs="Sylfaen"/>
                <w:sz w:val="20"/>
                <w:szCs w:val="20"/>
                <w:lang w:val="fr-FR"/>
              </w:rPr>
              <w:t xml:space="preserve">» </w:t>
            </w:r>
            <w:r w:rsidRPr="0053423A">
              <w:rPr>
                <w:rFonts w:eastAsia="Calibri" w:cs="Sylfaen"/>
                <w:sz w:val="20"/>
                <w:szCs w:val="20"/>
                <w:lang w:val="hy-AM"/>
              </w:rPr>
              <w:t>որոշման</w:t>
            </w:r>
            <w:r w:rsidRPr="0053423A">
              <w:rPr>
                <w:rFonts w:eastAsia="Calibri" w:cs="Sylfaen"/>
                <w:sz w:val="20"/>
                <w:szCs w:val="20"/>
                <w:lang w:val="fr-FR"/>
              </w:rPr>
              <w:t xml:space="preserve"> </w:t>
            </w:r>
            <w:r w:rsidRPr="0053423A">
              <w:rPr>
                <w:rFonts w:eastAsia="Calibri" w:cs="Sylfaen"/>
                <w:sz w:val="20"/>
                <w:szCs w:val="20"/>
                <w:lang w:val="hy-AM"/>
              </w:rPr>
              <w:t>պահանջների</w:t>
            </w:r>
            <w:r w:rsidRPr="0053423A">
              <w:rPr>
                <w:rFonts w:eastAsia="Calibri" w:cs="Sylfaen"/>
                <w:sz w:val="20"/>
                <w:szCs w:val="20"/>
                <w:lang w:val="fr-FR"/>
              </w:rPr>
              <w:t xml:space="preserve"> </w:t>
            </w:r>
            <w:r w:rsidRPr="0053423A">
              <w:rPr>
                <w:rFonts w:eastAsia="Calibri" w:cs="Sylfaen"/>
                <w:sz w:val="20"/>
                <w:szCs w:val="20"/>
                <w:lang w:val="hy-AM"/>
              </w:rPr>
              <w:t>կատարմամբ</w:t>
            </w:r>
            <w:r w:rsidRPr="0053423A">
              <w:rPr>
                <w:rFonts w:eastAsia="Calibri" w:cs="Sylfaen"/>
                <w:sz w:val="20"/>
                <w:szCs w:val="20"/>
                <w:lang w:val="fr-FR"/>
              </w:rPr>
              <w:t>:</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Armenian"/>
                <w:sz w:val="20"/>
                <w:szCs w:val="20"/>
                <w:lang w:val="fr-FR"/>
              </w:rPr>
              <w:t>«</w:t>
            </w:r>
            <w:r w:rsidRPr="0053423A">
              <w:rPr>
                <w:rFonts w:eastAsia="Calibri" w:cs="Sylfaen"/>
                <w:sz w:val="20"/>
                <w:szCs w:val="20"/>
                <w:lang w:val="hy-AM"/>
              </w:rPr>
              <w:t>Հայաստանի</w:t>
            </w:r>
            <w:r w:rsidRPr="0053423A">
              <w:rPr>
                <w:rFonts w:eastAsia="Calibri" w:cs="Calibri"/>
                <w:sz w:val="20"/>
                <w:szCs w:val="20"/>
                <w:lang w:val="fr-FR"/>
              </w:rPr>
              <w:t xml:space="preserve"> </w:t>
            </w:r>
            <w:r w:rsidRPr="0053423A">
              <w:rPr>
                <w:rFonts w:eastAsia="Calibri" w:cs="Sylfaen"/>
                <w:spacing w:val="-2"/>
                <w:sz w:val="20"/>
                <w:szCs w:val="20"/>
                <w:lang w:val="hy-AM"/>
              </w:rPr>
              <w:t>Հանրապետության</w:t>
            </w:r>
            <w:r w:rsidRPr="0053423A">
              <w:rPr>
                <w:rFonts w:eastAsia="Calibri" w:cs="Sylfaen"/>
                <w:sz w:val="20"/>
                <w:szCs w:val="20"/>
                <w:lang w:val="fr-FR"/>
              </w:rPr>
              <w:t xml:space="preserve"> </w:t>
            </w:r>
            <w:r w:rsidRPr="0053423A">
              <w:rPr>
                <w:rFonts w:eastAsia="Calibri" w:cs="Sylfaen"/>
                <w:sz w:val="20"/>
                <w:szCs w:val="20"/>
                <w:lang w:val="hy-AM"/>
              </w:rPr>
              <w:t>ոչ</w:t>
            </w:r>
            <w:r w:rsidRPr="0053423A">
              <w:rPr>
                <w:rFonts w:eastAsia="Calibri" w:cs="Calibri"/>
                <w:sz w:val="20"/>
                <w:szCs w:val="20"/>
                <w:lang w:val="fr-FR"/>
              </w:rPr>
              <w:t xml:space="preserve"> </w:t>
            </w:r>
            <w:r w:rsidRPr="0053423A">
              <w:rPr>
                <w:rFonts w:eastAsia="Calibri" w:cs="Sylfaen"/>
                <w:sz w:val="20"/>
                <w:szCs w:val="20"/>
                <w:lang w:val="hy-AM"/>
              </w:rPr>
              <w:t>նյութական</w:t>
            </w:r>
            <w:r w:rsidRPr="0053423A">
              <w:rPr>
                <w:rFonts w:eastAsia="Calibri" w:cs="Calibri"/>
                <w:sz w:val="20"/>
                <w:szCs w:val="20"/>
                <w:lang w:val="fr-FR"/>
              </w:rPr>
              <w:t xml:space="preserve"> </w:t>
            </w:r>
            <w:r w:rsidRPr="0053423A">
              <w:rPr>
                <w:rFonts w:eastAsia="Calibri" w:cs="Sylfaen"/>
                <w:sz w:val="20"/>
                <w:szCs w:val="20"/>
                <w:lang w:val="hy-AM"/>
              </w:rPr>
              <w:t>մշակութային</w:t>
            </w:r>
            <w:r w:rsidRPr="0053423A">
              <w:rPr>
                <w:rFonts w:eastAsia="Calibri" w:cs="Calibri"/>
                <w:sz w:val="20"/>
                <w:szCs w:val="20"/>
                <w:lang w:val="fr-FR"/>
              </w:rPr>
              <w:t xml:space="preserve"> </w:t>
            </w:r>
            <w:r w:rsidRPr="0053423A">
              <w:rPr>
                <w:rFonts w:eastAsia="Calibri" w:cs="Sylfaen"/>
                <w:sz w:val="20"/>
                <w:szCs w:val="20"/>
                <w:lang w:val="hy-AM"/>
              </w:rPr>
              <w:t>ժառանգություն</w:t>
            </w:r>
            <w:r w:rsidRPr="0053423A">
              <w:rPr>
                <w:rFonts w:eastAsia="Calibri" w:cs="Arial Armenian"/>
                <w:sz w:val="20"/>
                <w:szCs w:val="20"/>
                <w:lang w:val="fr-FR"/>
              </w:rPr>
              <w:t>»</w:t>
            </w:r>
            <w:r w:rsidRPr="0053423A">
              <w:rPr>
                <w:rFonts w:eastAsia="Calibri" w:cs="Sylfaen"/>
                <w:sz w:val="20"/>
                <w:szCs w:val="20"/>
                <w:lang w:val="hy-AM"/>
              </w:rPr>
              <w:t xml:space="preserve"> </w:t>
            </w:r>
            <w:r w:rsidRPr="0053423A">
              <w:rPr>
                <w:rFonts w:eastAsia="Calibri" w:cs="Sylfaen"/>
                <w:bCs/>
                <w:sz w:val="20"/>
                <w:szCs w:val="20"/>
                <w:lang w:val="hy-AM"/>
              </w:rPr>
              <w:t>կայքէջը</w:t>
            </w:r>
            <w:r w:rsidRPr="0053423A">
              <w:rPr>
                <w:rFonts w:eastAsia="Calibri" w:cs="Sylfaen"/>
                <w:bCs/>
                <w:sz w:val="20"/>
                <w:szCs w:val="20"/>
                <w:lang w:val="fr-FR"/>
              </w:rPr>
              <w:t xml:space="preserve"> </w:t>
            </w:r>
            <w:r w:rsidRPr="0053423A">
              <w:rPr>
                <w:rFonts w:eastAsia="Calibri" w:cs="Sylfaen"/>
                <w:bCs/>
                <w:sz w:val="20"/>
                <w:szCs w:val="20"/>
                <w:lang w:val="hy-AM"/>
              </w:rPr>
              <w:t>ՀՀ</w:t>
            </w:r>
            <w:r w:rsidRPr="0053423A">
              <w:rPr>
                <w:rFonts w:eastAsia="Calibri" w:cs="Sylfaen"/>
                <w:bCs/>
                <w:sz w:val="20"/>
                <w:szCs w:val="20"/>
                <w:lang w:val="fr-FR"/>
              </w:rPr>
              <w:t xml:space="preserve"> </w:t>
            </w:r>
            <w:r w:rsidRPr="0053423A">
              <w:rPr>
                <w:rFonts w:eastAsia="Calibri" w:cs="Sylfaen"/>
                <w:bCs/>
                <w:sz w:val="20"/>
                <w:szCs w:val="20"/>
                <w:lang w:val="hy-AM"/>
              </w:rPr>
              <w:t>ո</w:t>
            </w:r>
            <w:r w:rsidRPr="0053423A">
              <w:rPr>
                <w:rFonts w:eastAsia="Calibri" w:cs="Sylfaen"/>
                <w:sz w:val="20"/>
                <w:szCs w:val="20"/>
                <w:lang w:val="hy-AM"/>
              </w:rPr>
              <w:t>չ</w:t>
            </w:r>
            <w:r w:rsidRPr="0053423A">
              <w:rPr>
                <w:rFonts w:eastAsia="Calibri" w:cs="Sylfaen"/>
                <w:sz w:val="20"/>
                <w:szCs w:val="20"/>
                <w:lang w:val="fr-FR"/>
              </w:rPr>
              <w:t xml:space="preserve"> </w:t>
            </w:r>
            <w:r w:rsidRPr="0053423A">
              <w:rPr>
                <w:rFonts w:eastAsia="Calibri" w:cs="Sylfaen"/>
                <w:sz w:val="20"/>
                <w:szCs w:val="20"/>
                <w:lang w:val="hy-AM"/>
              </w:rPr>
              <w:t>նյութական</w:t>
            </w:r>
            <w:r w:rsidRPr="0053423A">
              <w:rPr>
                <w:rFonts w:eastAsia="Calibri" w:cs="Sylfaen"/>
                <w:sz w:val="20"/>
                <w:szCs w:val="20"/>
                <w:lang w:val="fr-FR"/>
              </w:rPr>
              <w:t xml:space="preserve"> </w:t>
            </w:r>
            <w:r w:rsidRPr="0053423A">
              <w:rPr>
                <w:rFonts w:eastAsia="Calibri" w:cs="Sylfaen"/>
                <w:sz w:val="20"/>
                <w:szCs w:val="20"/>
                <w:lang w:val="hy-AM"/>
              </w:rPr>
              <w:t>մշակութային</w:t>
            </w:r>
            <w:r w:rsidRPr="0053423A">
              <w:rPr>
                <w:rFonts w:eastAsia="Calibri" w:cs="Sylfaen"/>
                <w:sz w:val="20"/>
                <w:szCs w:val="20"/>
                <w:lang w:val="fr-FR"/>
              </w:rPr>
              <w:t xml:space="preserve"> </w:t>
            </w:r>
            <w:r w:rsidRPr="0053423A">
              <w:rPr>
                <w:rFonts w:eastAsia="Calibri" w:cs="Sylfaen"/>
                <w:sz w:val="20"/>
                <w:szCs w:val="20"/>
                <w:lang w:val="hy-AM"/>
              </w:rPr>
              <w:t>ժառանգության</w:t>
            </w:r>
            <w:r w:rsidRPr="0053423A">
              <w:rPr>
                <w:rFonts w:eastAsia="Calibri" w:cs="Sylfaen"/>
                <w:sz w:val="20"/>
                <w:szCs w:val="20"/>
                <w:lang w:val="fr-FR"/>
              </w:rPr>
              <w:t xml:space="preserve"> </w:t>
            </w:r>
            <w:r w:rsidRPr="0053423A">
              <w:rPr>
                <w:rFonts w:eastAsia="Calibri" w:cs="Sylfaen"/>
                <w:sz w:val="20"/>
                <w:szCs w:val="20"/>
                <w:lang w:val="hy-AM"/>
              </w:rPr>
              <w:t>տեղեկատվական</w:t>
            </w:r>
            <w:r w:rsidRPr="0053423A">
              <w:rPr>
                <w:rFonts w:eastAsia="Calibri" w:cs="Sylfaen"/>
                <w:sz w:val="20"/>
                <w:szCs w:val="20"/>
                <w:lang w:val="fr-FR"/>
              </w:rPr>
              <w:t xml:space="preserve"> </w:t>
            </w:r>
            <w:r w:rsidRPr="0053423A">
              <w:rPr>
                <w:rFonts w:eastAsia="Calibri" w:cs="Sylfaen"/>
                <w:sz w:val="20"/>
                <w:szCs w:val="20"/>
                <w:lang w:val="hy-AM"/>
              </w:rPr>
              <w:t>համակարգ</w:t>
            </w:r>
            <w:r w:rsidRPr="0053423A">
              <w:rPr>
                <w:rFonts w:eastAsia="Calibri" w:cs="Sylfaen"/>
                <w:sz w:val="20"/>
                <w:szCs w:val="20"/>
                <w:lang w:val="fr-FR"/>
              </w:rPr>
              <w:t xml:space="preserve"> </w:t>
            </w:r>
            <w:r w:rsidRPr="0053423A">
              <w:rPr>
                <w:rFonts w:eastAsia="Calibri" w:cs="Sylfaen"/>
                <w:sz w:val="20"/>
                <w:szCs w:val="20"/>
                <w:lang w:val="hy-AM"/>
              </w:rPr>
              <w:t>է</w:t>
            </w:r>
            <w:r w:rsidRPr="0053423A">
              <w:rPr>
                <w:rFonts w:eastAsia="Calibri" w:cs="Sylfaen"/>
                <w:sz w:val="20"/>
                <w:szCs w:val="20"/>
                <w:lang w:val="fr-FR"/>
              </w:rPr>
              <w:t xml:space="preserve">, </w:t>
            </w:r>
            <w:r w:rsidRPr="0053423A">
              <w:rPr>
                <w:rFonts w:eastAsia="Calibri" w:cs="Sylfaen"/>
                <w:sz w:val="20"/>
                <w:szCs w:val="20"/>
                <w:lang w:val="hy-AM"/>
              </w:rPr>
              <w:t>որի նպատակն է</w:t>
            </w:r>
            <w:r w:rsidRPr="0053423A">
              <w:rPr>
                <w:rFonts w:eastAsia="Calibri" w:cs="Sylfaen"/>
                <w:sz w:val="20"/>
                <w:szCs w:val="20"/>
                <w:lang w:val="fr-FR"/>
              </w:rPr>
              <w:t xml:space="preserve"> </w:t>
            </w:r>
            <w:r w:rsidRPr="0053423A">
              <w:rPr>
                <w:rFonts w:eastAsia="Calibri" w:cs="Sylfaen"/>
                <w:sz w:val="20"/>
                <w:szCs w:val="20"/>
                <w:lang w:val="hy-AM"/>
              </w:rPr>
              <w:t>ոչ</w:t>
            </w:r>
            <w:r w:rsidRPr="0053423A">
              <w:rPr>
                <w:rFonts w:eastAsia="Calibri" w:cs="Sylfaen"/>
                <w:sz w:val="20"/>
                <w:szCs w:val="20"/>
                <w:lang w:val="fr-FR"/>
              </w:rPr>
              <w:t xml:space="preserve"> </w:t>
            </w:r>
            <w:r w:rsidRPr="0053423A">
              <w:rPr>
                <w:rFonts w:eastAsia="Calibri" w:cs="Sylfaen"/>
                <w:sz w:val="20"/>
                <w:szCs w:val="20"/>
                <w:lang w:val="hy-AM"/>
              </w:rPr>
              <w:t>նյութական</w:t>
            </w:r>
            <w:r w:rsidRPr="0053423A">
              <w:rPr>
                <w:rFonts w:eastAsia="Calibri" w:cs="Sylfaen"/>
                <w:sz w:val="20"/>
                <w:szCs w:val="20"/>
                <w:lang w:val="fr-FR"/>
              </w:rPr>
              <w:t xml:space="preserve"> </w:t>
            </w:r>
            <w:r w:rsidRPr="0053423A">
              <w:rPr>
                <w:rFonts w:eastAsia="Calibri" w:cs="Sylfaen"/>
                <w:sz w:val="20"/>
                <w:szCs w:val="20"/>
                <w:lang w:val="hy-AM"/>
              </w:rPr>
              <w:t>մշակութային</w:t>
            </w:r>
            <w:r w:rsidRPr="0053423A">
              <w:rPr>
                <w:rFonts w:eastAsia="Calibri" w:cs="Sylfaen"/>
                <w:sz w:val="20"/>
                <w:szCs w:val="20"/>
                <w:lang w:val="fr-FR"/>
              </w:rPr>
              <w:t xml:space="preserve"> ժառանգության </w:t>
            </w:r>
            <w:r w:rsidRPr="0053423A">
              <w:rPr>
                <w:rFonts w:eastAsia="Calibri" w:cs="Sylfaen"/>
                <w:sz w:val="20"/>
                <w:szCs w:val="20"/>
                <w:lang w:val="hy-AM"/>
              </w:rPr>
              <w:t>արժեքների</w:t>
            </w:r>
            <w:r w:rsidRPr="0053423A">
              <w:rPr>
                <w:rFonts w:eastAsia="Calibri" w:cs="Sylfaen"/>
                <w:sz w:val="20"/>
                <w:szCs w:val="20"/>
                <w:lang w:val="fr-FR"/>
              </w:rPr>
              <w:t xml:space="preserve"> մասին</w:t>
            </w:r>
            <w:r w:rsidRPr="0053423A">
              <w:rPr>
                <w:rFonts w:eastAsia="Calibri" w:cs="Sylfaen"/>
                <w:sz w:val="20"/>
                <w:szCs w:val="20"/>
                <w:lang w:val="hy-AM"/>
              </w:rPr>
              <w:t xml:space="preserve"> համապարփակ</w:t>
            </w:r>
            <w:r w:rsidRPr="0053423A">
              <w:rPr>
                <w:rFonts w:eastAsia="Calibri" w:cs="Sylfaen"/>
                <w:sz w:val="20"/>
                <w:szCs w:val="20"/>
                <w:lang w:val="fr-FR"/>
              </w:rPr>
              <w:t xml:space="preserve"> </w:t>
            </w:r>
            <w:r w:rsidRPr="0053423A">
              <w:rPr>
                <w:rFonts w:eastAsia="Calibri" w:cs="Sylfaen"/>
                <w:sz w:val="20"/>
                <w:szCs w:val="20"/>
                <w:lang w:val="hy-AM"/>
              </w:rPr>
              <w:t>տեղեկատվության</w:t>
            </w:r>
            <w:r w:rsidRPr="0053423A">
              <w:rPr>
                <w:rFonts w:eastAsia="Calibri" w:cs="Sylfaen"/>
                <w:sz w:val="20"/>
                <w:szCs w:val="20"/>
                <w:lang w:val="fr-FR"/>
              </w:rPr>
              <w:t xml:space="preserve"> </w:t>
            </w:r>
            <w:r w:rsidRPr="0053423A">
              <w:rPr>
                <w:rFonts w:eastAsia="Calibri" w:cs="Sylfaen"/>
                <w:sz w:val="20"/>
                <w:szCs w:val="20"/>
                <w:lang w:val="hy-AM"/>
              </w:rPr>
              <w:t>ապահովումը</w:t>
            </w:r>
            <w:r w:rsidRPr="0053423A">
              <w:rPr>
                <w:rFonts w:eastAsia="Calibri" w:cs="Sylfaen"/>
                <w:sz w:val="20"/>
                <w:szCs w:val="20"/>
                <w:lang w:val="fr-FR"/>
              </w:rPr>
              <w:t>,</w:t>
            </w:r>
            <w:r w:rsidRPr="0053423A">
              <w:rPr>
                <w:rFonts w:eastAsia="Calibri" w:cs="Sylfaen"/>
                <w:sz w:val="20"/>
                <w:szCs w:val="20"/>
                <w:lang w:val="hy-AM"/>
              </w:rPr>
              <w:t xml:space="preserve"> ոչ</w:t>
            </w:r>
            <w:r w:rsidRPr="0053423A">
              <w:rPr>
                <w:rFonts w:eastAsia="Calibri" w:cs="Sylfaen"/>
                <w:sz w:val="20"/>
                <w:szCs w:val="20"/>
                <w:lang w:val="fr-FR"/>
              </w:rPr>
              <w:t xml:space="preserve"> </w:t>
            </w:r>
            <w:r w:rsidRPr="0053423A">
              <w:rPr>
                <w:rFonts w:eastAsia="Calibri" w:cs="Sylfaen"/>
                <w:sz w:val="20"/>
                <w:szCs w:val="20"/>
                <w:lang w:val="hy-AM"/>
              </w:rPr>
              <w:t>նյութական</w:t>
            </w:r>
            <w:r w:rsidRPr="0053423A">
              <w:rPr>
                <w:rFonts w:eastAsia="Calibri" w:cs="Sylfaen"/>
                <w:sz w:val="20"/>
                <w:szCs w:val="20"/>
                <w:lang w:val="fr-FR"/>
              </w:rPr>
              <w:t xml:space="preserve"> </w:t>
            </w:r>
            <w:r w:rsidRPr="0053423A">
              <w:rPr>
                <w:rFonts w:eastAsia="Calibri" w:cs="Sylfaen"/>
                <w:sz w:val="20"/>
                <w:szCs w:val="20"/>
                <w:lang w:val="hy-AM"/>
              </w:rPr>
              <w:t>մշակութային</w:t>
            </w:r>
            <w:r w:rsidRPr="0053423A">
              <w:rPr>
                <w:rFonts w:eastAsia="Calibri" w:cs="Sylfaen"/>
                <w:sz w:val="20"/>
                <w:szCs w:val="20"/>
                <w:lang w:val="fr-FR"/>
              </w:rPr>
              <w:t xml:space="preserve"> </w:t>
            </w:r>
            <w:r w:rsidRPr="0053423A">
              <w:rPr>
                <w:rFonts w:eastAsia="Calibri" w:cs="Sylfaen"/>
                <w:sz w:val="20"/>
                <w:szCs w:val="20"/>
                <w:lang w:val="hy-AM"/>
              </w:rPr>
              <w:t>ժառանգության</w:t>
            </w:r>
            <w:r w:rsidRPr="0053423A">
              <w:rPr>
                <w:rFonts w:eastAsia="Calibri" w:cs="Sylfaen"/>
                <w:sz w:val="20"/>
                <w:szCs w:val="20"/>
                <w:lang w:val="fr-FR"/>
              </w:rPr>
              <w:t xml:space="preserve"> </w:t>
            </w:r>
            <w:r w:rsidRPr="0053423A">
              <w:rPr>
                <w:rFonts w:eastAsia="Calibri" w:cs="Sylfaen"/>
                <w:sz w:val="20"/>
                <w:szCs w:val="20"/>
                <w:lang w:val="hy-AM"/>
              </w:rPr>
              <w:t>ոլորտի իրավական</w:t>
            </w:r>
            <w:r w:rsidRPr="0053423A">
              <w:rPr>
                <w:rFonts w:eastAsia="Calibri" w:cs="GHEA Grapalat"/>
                <w:sz w:val="20"/>
                <w:szCs w:val="20"/>
                <w:shd w:val="clear" w:color="auto" w:fill="FFFFFF"/>
                <w:lang w:val="hy-AM"/>
              </w:rPr>
              <w:t xml:space="preserve"> դաշտի զարգացումների, միջազգային համագործակցության</w:t>
            </w:r>
            <w:r w:rsidRPr="0053423A">
              <w:rPr>
                <w:rFonts w:eastAsia="Calibri" w:cs="Sylfaen"/>
                <w:sz w:val="20"/>
                <w:szCs w:val="20"/>
                <w:lang w:val="hy-AM"/>
              </w:rPr>
              <w:t xml:space="preserve"> ծրագրերի</w:t>
            </w:r>
            <w:r w:rsidRPr="0053423A">
              <w:rPr>
                <w:rFonts w:eastAsia="Calibri" w:cs="Sylfaen"/>
                <w:sz w:val="20"/>
                <w:szCs w:val="20"/>
                <w:lang w:val="fr-FR"/>
              </w:rPr>
              <w:t>,</w:t>
            </w:r>
            <w:r w:rsidRPr="0053423A">
              <w:rPr>
                <w:rFonts w:eastAsia="Calibri" w:cs="GHEA Grapalat"/>
                <w:sz w:val="20"/>
                <w:szCs w:val="20"/>
                <w:shd w:val="clear" w:color="auto" w:fill="FFFFFF"/>
                <w:lang w:val="hy-AM"/>
              </w:rPr>
              <w:t xml:space="preserve"> ՅՈՒՆԵՍԿՕ-ի հետ իրականացվող գործընթացների, համապատասխան ցանկերի բովանդակության, ինչպես նաև ոլորտի գիտահանրամատչելի նյութերի ներկայացման, նախատեսվող ծրագրերի վերաբերյալ հայտարարությունների տարածման ապահովումը: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810"/>
              </w:tabs>
              <w:spacing w:after="0" w:line="276" w:lineRule="auto"/>
              <w:jc w:val="both"/>
              <w:rPr>
                <w:rFonts w:eastAsia="Calibri" w:cs="Sylfaen"/>
                <w:bCs/>
                <w:sz w:val="20"/>
                <w:szCs w:val="20"/>
                <w:lang w:val="hy-AM"/>
              </w:rPr>
            </w:pPr>
          </w:p>
          <w:p w:rsidR="00A67B6B" w:rsidRPr="0053423A" w:rsidRDefault="00A67B6B" w:rsidP="001F6D5D">
            <w:pPr>
              <w:numPr>
                <w:ilvl w:val="1"/>
                <w:numId w:val="210"/>
              </w:numPr>
              <w:tabs>
                <w:tab w:val="left" w:pos="508"/>
              </w:tabs>
              <w:spacing w:after="0" w:line="276" w:lineRule="auto"/>
              <w:ind w:right="-81"/>
              <w:contextualSpacing/>
              <w:rPr>
                <w:rFonts w:eastAsia="Calibri" w:cs="Times New Roman"/>
                <w:b/>
                <w:sz w:val="20"/>
                <w:szCs w:val="20"/>
                <w:lang w:val="af-ZA"/>
              </w:rPr>
            </w:pPr>
            <w:r w:rsidRPr="0053423A">
              <w:rPr>
                <w:rFonts w:eastAsia="Calibri" w:cs="Sylfaen"/>
                <w:b/>
                <w:sz w:val="20"/>
                <w:szCs w:val="20"/>
                <w:lang w:val="hy-AM"/>
              </w:rPr>
              <w:t xml:space="preserve">Կարգավորման </w:t>
            </w:r>
            <w:r w:rsidRPr="0053423A">
              <w:rPr>
                <w:rFonts w:eastAsia="Calibri" w:cs="Times New Roman"/>
                <w:b/>
                <w:sz w:val="20"/>
                <w:szCs w:val="20"/>
                <w:lang w:val="hy-AM"/>
              </w:rPr>
              <w:t>հարաբերությունների ներկա վիճակը և առկա խնդիրները</w:t>
            </w: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r w:rsidRPr="0053423A">
              <w:rPr>
                <w:rFonts w:eastAsia="Calibri" w:cs="Times New Roman"/>
                <w:sz w:val="20"/>
                <w:szCs w:val="20"/>
                <w:lang w:val="af-ZA"/>
              </w:rPr>
              <w:t>Տեղեկատվական դաշտի միջոցով ոչ նյութական մշակութային ժառանգության ոլորտի և դրա պահպանության, պաշտպանության, փոխանցման և տարածման ծրագրերի իրականացման մասին տեղեկությունների տարածում, ոլորտի ձեռքբերումների հանրահռչակում:</w:t>
            </w: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p>
          <w:p w:rsidR="00A67B6B" w:rsidRPr="0053423A" w:rsidRDefault="00A67B6B" w:rsidP="001F6D5D">
            <w:pPr>
              <w:numPr>
                <w:ilvl w:val="1"/>
                <w:numId w:val="210"/>
              </w:numPr>
              <w:tabs>
                <w:tab w:val="left" w:pos="508"/>
              </w:tabs>
              <w:spacing w:after="0" w:line="276" w:lineRule="auto"/>
              <w:ind w:right="-81" w:hanging="849"/>
              <w:contextualSpacing/>
              <w:rPr>
                <w:rFonts w:eastAsia="Calibri" w:cs="Times New Roman"/>
                <w:b/>
                <w:sz w:val="20"/>
                <w:szCs w:val="20"/>
              </w:rPr>
            </w:pPr>
            <w:r w:rsidRPr="0053423A">
              <w:rPr>
                <w:rFonts w:eastAsia="Calibri" w:cs="Times New Roman"/>
                <w:b/>
                <w:sz w:val="20"/>
                <w:szCs w:val="20"/>
              </w:rPr>
              <w:t>Առկա խնդիրների առաջարկվող լուծումները</w:t>
            </w:r>
          </w:p>
          <w:p w:rsidR="00A67B6B" w:rsidRPr="0053423A" w:rsidRDefault="00A67B6B" w:rsidP="00A67858">
            <w:pPr>
              <w:tabs>
                <w:tab w:val="left" w:pos="508"/>
              </w:tabs>
              <w:spacing w:after="0" w:line="276" w:lineRule="auto"/>
              <w:jc w:val="both"/>
              <w:rPr>
                <w:rFonts w:eastAsia="Times New Roman" w:cs="Sylfaen"/>
                <w:sz w:val="20"/>
                <w:szCs w:val="20"/>
                <w:lang w:val="en-GB"/>
              </w:rPr>
            </w:pPr>
            <w:r w:rsidRPr="0053423A">
              <w:rPr>
                <w:rFonts w:eastAsia="Calibri" w:cs="Calibri"/>
                <w:sz w:val="20"/>
                <w:szCs w:val="20"/>
              </w:rPr>
              <w:t>«</w:t>
            </w:r>
            <w:r w:rsidRPr="0053423A">
              <w:rPr>
                <w:rFonts w:eastAsia="Calibri" w:cs="Calibri"/>
                <w:sz w:val="20"/>
                <w:szCs w:val="20"/>
                <w:lang w:val="hy-AM"/>
              </w:rPr>
              <w:t xml:space="preserve">Հայաստանի Հանրապետության ոչ նյութական մշակութային ժառանգություն» կայքէջի գոյությունն ու ակտիվ գործունեությունը </w:t>
            </w:r>
            <w:r w:rsidRPr="0053423A">
              <w:rPr>
                <w:rFonts w:eastAsia="Calibri" w:cs="Calibri"/>
                <w:sz w:val="20"/>
                <w:szCs w:val="20"/>
              </w:rPr>
              <w:t>միտված է</w:t>
            </w:r>
            <w:r w:rsidRPr="0053423A">
              <w:rPr>
                <w:rFonts w:eastAsia="Calibri" w:cs="Calibri"/>
                <w:sz w:val="20"/>
                <w:szCs w:val="20"/>
                <w:lang w:val="hy-AM"/>
              </w:rPr>
              <w:t xml:space="preserve"> այդ ժառանգության մասին տեղեկատվության </w:t>
            </w:r>
            <w:r w:rsidRPr="0053423A">
              <w:rPr>
                <w:rFonts w:eastAsia="Calibri" w:cs="Calibri"/>
                <w:sz w:val="20"/>
                <w:szCs w:val="20"/>
              </w:rPr>
              <w:t xml:space="preserve">տարածմանը, թվային տարածքում համակարգմանն ու դասակարգմանը, ինչպես նաև հասարակության մեջ ոչ նյութական մշակութային </w:t>
            </w:r>
            <w:r w:rsidRPr="0053423A">
              <w:rPr>
                <w:rFonts w:eastAsia="Calibri" w:cs="Calibri"/>
                <w:sz w:val="20"/>
                <w:szCs w:val="20"/>
                <w:lang w:val="hy-AM"/>
              </w:rPr>
              <w:t>ժառանգության ճանաչելության բարձրացմանը</w:t>
            </w:r>
            <w:r w:rsidRPr="0053423A">
              <w:rPr>
                <w:rFonts w:eastAsia="Calibri" w:cs="Calibri"/>
                <w:sz w:val="20"/>
                <w:szCs w:val="20"/>
              </w:rPr>
              <w:t xml:space="preserve">, </w:t>
            </w:r>
            <w:r w:rsidRPr="0053423A">
              <w:rPr>
                <w:rFonts w:eastAsia="Calibri" w:cs="Calibri"/>
                <w:sz w:val="20"/>
                <w:szCs w:val="20"/>
                <w:lang w:val="hy-AM"/>
              </w:rPr>
              <w:t>տեղի ու դերի կարևորմանը:</w:t>
            </w:r>
            <w:r w:rsidRPr="0053423A">
              <w:rPr>
                <w:rFonts w:eastAsia="Calibri" w:cs="Calibri"/>
                <w:sz w:val="20"/>
                <w:szCs w:val="20"/>
              </w:rPr>
              <w:t xml:space="preserve"> </w:t>
            </w:r>
            <w:r w:rsidRPr="0053423A">
              <w:rPr>
                <w:rFonts w:eastAsia="Times New Roman" w:cs="Sylfaen"/>
                <w:sz w:val="20"/>
                <w:szCs w:val="20"/>
              </w:rPr>
              <w:t>«</w:t>
            </w:r>
            <w:r w:rsidRPr="0053423A">
              <w:rPr>
                <w:rFonts w:eastAsia="Times New Roman" w:cs="Sylfaen"/>
                <w:sz w:val="20"/>
                <w:szCs w:val="20"/>
                <w:lang w:val="en-GB"/>
              </w:rPr>
              <w:t>Հայաստանի</w:t>
            </w:r>
            <w:r w:rsidRPr="0053423A">
              <w:rPr>
                <w:rFonts w:eastAsia="Times New Roman" w:cs="Sylfaen"/>
                <w:sz w:val="20"/>
                <w:szCs w:val="20"/>
              </w:rPr>
              <w:t xml:space="preserve"> </w:t>
            </w:r>
            <w:r w:rsidRPr="0053423A">
              <w:rPr>
                <w:rFonts w:eastAsia="Times New Roman" w:cs="Sylfaen"/>
                <w:sz w:val="20"/>
                <w:szCs w:val="20"/>
                <w:lang w:val="en-GB"/>
              </w:rPr>
              <w:t>Հանրապետության</w:t>
            </w:r>
            <w:r w:rsidRPr="0053423A">
              <w:rPr>
                <w:rFonts w:eastAsia="Times New Roman" w:cs="Sylfaen"/>
                <w:sz w:val="20"/>
                <w:szCs w:val="20"/>
              </w:rPr>
              <w:t xml:space="preserve"> </w:t>
            </w:r>
            <w:r w:rsidRPr="0053423A">
              <w:rPr>
                <w:rFonts w:eastAsia="Times New Roman" w:cs="Sylfaen"/>
                <w:sz w:val="20"/>
                <w:szCs w:val="20"/>
                <w:lang w:val="en-GB"/>
              </w:rPr>
              <w:t>ոչ</w:t>
            </w:r>
            <w:r w:rsidRPr="0053423A">
              <w:rPr>
                <w:rFonts w:eastAsia="Times New Roman" w:cs="Sylfaen"/>
                <w:sz w:val="20"/>
                <w:szCs w:val="20"/>
              </w:rPr>
              <w:t xml:space="preserve"> </w:t>
            </w:r>
            <w:r w:rsidRPr="0053423A">
              <w:rPr>
                <w:rFonts w:eastAsia="Times New Roman" w:cs="Sylfaen"/>
                <w:sz w:val="20"/>
                <w:szCs w:val="20"/>
                <w:lang w:val="en-GB"/>
              </w:rPr>
              <w:t>նյութական</w:t>
            </w:r>
            <w:r w:rsidRPr="0053423A">
              <w:rPr>
                <w:rFonts w:eastAsia="Times New Roman" w:cs="Sylfaen"/>
                <w:sz w:val="20"/>
                <w:szCs w:val="20"/>
              </w:rPr>
              <w:t xml:space="preserve"> </w:t>
            </w:r>
            <w:r w:rsidRPr="0053423A">
              <w:rPr>
                <w:rFonts w:eastAsia="Times New Roman" w:cs="Sylfaen"/>
                <w:sz w:val="20"/>
                <w:szCs w:val="20"/>
                <w:lang w:val="en-GB"/>
              </w:rPr>
              <w:t>մշակութային</w:t>
            </w:r>
            <w:r w:rsidRPr="0053423A">
              <w:rPr>
                <w:rFonts w:eastAsia="Times New Roman" w:cs="Sylfaen"/>
                <w:sz w:val="20"/>
                <w:szCs w:val="20"/>
              </w:rPr>
              <w:t xml:space="preserve"> </w:t>
            </w:r>
            <w:r w:rsidRPr="0053423A">
              <w:rPr>
                <w:rFonts w:eastAsia="Times New Roman" w:cs="Sylfaen"/>
                <w:sz w:val="20"/>
                <w:szCs w:val="20"/>
                <w:lang w:val="en-GB"/>
              </w:rPr>
              <w:t>ժառանգություն</w:t>
            </w:r>
            <w:r w:rsidRPr="0053423A">
              <w:rPr>
                <w:rFonts w:eastAsia="Times New Roman" w:cs="Sylfaen"/>
                <w:sz w:val="20"/>
                <w:szCs w:val="20"/>
              </w:rPr>
              <w:t xml:space="preserve">» </w:t>
            </w:r>
            <w:r w:rsidRPr="0053423A">
              <w:rPr>
                <w:rFonts w:eastAsia="Times New Roman" w:cs="Sylfaen"/>
                <w:sz w:val="20"/>
                <w:szCs w:val="20"/>
                <w:lang w:val="en-GB"/>
              </w:rPr>
              <w:t>կայքէջի</w:t>
            </w:r>
            <w:r w:rsidRPr="0053423A">
              <w:rPr>
                <w:rFonts w:eastAsia="Times New Roman" w:cs="Sylfaen"/>
                <w:sz w:val="20"/>
                <w:szCs w:val="20"/>
              </w:rPr>
              <w:t xml:space="preserve"> </w:t>
            </w:r>
            <w:r w:rsidRPr="0053423A">
              <w:rPr>
                <w:rFonts w:eastAsia="Times New Roman" w:cs="Sylfaen"/>
                <w:sz w:val="20"/>
                <w:szCs w:val="20"/>
                <w:lang w:val="en-GB"/>
              </w:rPr>
              <w:t>գոյությունն</w:t>
            </w:r>
            <w:r w:rsidRPr="0053423A">
              <w:rPr>
                <w:rFonts w:eastAsia="Times New Roman" w:cs="Sylfaen"/>
                <w:sz w:val="20"/>
                <w:szCs w:val="20"/>
              </w:rPr>
              <w:t xml:space="preserve"> </w:t>
            </w:r>
            <w:r w:rsidRPr="0053423A">
              <w:rPr>
                <w:rFonts w:eastAsia="Times New Roman" w:cs="Sylfaen"/>
                <w:sz w:val="20"/>
                <w:szCs w:val="20"/>
                <w:lang w:val="en-GB"/>
              </w:rPr>
              <w:t>ու</w:t>
            </w:r>
            <w:r w:rsidRPr="0053423A">
              <w:rPr>
                <w:rFonts w:eastAsia="Times New Roman" w:cs="Sylfaen"/>
                <w:sz w:val="20"/>
                <w:szCs w:val="20"/>
              </w:rPr>
              <w:t xml:space="preserve"> </w:t>
            </w:r>
            <w:r w:rsidRPr="0053423A">
              <w:rPr>
                <w:rFonts w:eastAsia="Times New Roman" w:cs="Sylfaen"/>
                <w:sz w:val="20"/>
                <w:szCs w:val="20"/>
                <w:lang w:val="en-GB"/>
              </w:rPr>
              <w:t>ակտիվ</w:t>
            </w:r>
            <w:r w:rsidRPr="0053423A">
              <w:rPr>
                <w:rFonts w:eastAsia="Times New Roman" w:cs="Sylfaen"/>
                <w:sz w:val="20"/>
                <w:szCs w:val="20"/>
              </w:rPr>
              <w:t xml:space="preserve"> </w:t>
            </w:r>
            <w:r w:rsidRPr="0053423A">
              <w:rPr>
                <w:rFonts w:eastAsia="Times New Roman" w:cs="Sylfaen"/>
                <w:sz w:val="20"/>
                <w:szCs w:val="20"/>
                <w:lang w:val="en-GB"/>
              </w:rPr>
              <w:t>գործունեությունը</w:t>
            </w:r>
            <w:r w:rsidRPr="0053423A">
              <w:rPr>
                <w:rFonts w:eastAsia="Times New Roman" w:cs="Sylfaen"/>
                <w:sz w:val="20"/>
                <w:szCs w:val="20"/>
              </w:rPr>
              <w:t xml:space="preserve"> ապահովում է </w:t>
            </w:r>
            <w:r w:rsidRPr="0053423A">
              <w:rPr>
                <w:rFonts w:eastAsia="Times New Roman" w:cs="Sylfaen"/>
                <w:sz w:val="20"/>
                <w:szCs w:val="20"/>
                <w:lang w:val="en-GB"/>
              </w:rPr>
              <w:t>ոլորտի վերաբերյալ հասարակության շրջանում տեղեկատվության տարածման ընդլայնումը,</w:t>
            </w:r>
            <w:r w:rsidRPr="0053423A">
              <w:rPr>
                <w:rFonts w:eastAsia="Times New Roman" w:cs="Sylfaen"/>
                <w:sz w:val="20"/>
                <w:szCs w:val="20"/>
              </w:rPr>
              <w:t xml:space="preserve"> ժառանգության պահպանության, պաշտպանության և փոխանցման ծրագրերի, կրողների, </w:t>
            </w:r>
            <w:r w:rsidRPr="0053423A">
              <w:rPr>
                <w:rFonts w:eastAsia="Times New Roman" w:cs="Sylfaen"/>
                <w:sz w:val="20"/>
                <w:szCs w:val="20"/>
                <w:lang w:val="en-GB"/>
              </w:rPr>
              <w:t>ոլորտի</w:t>
            </w:r>
            <w:r w:rsidRPr="0053423A">
              <w:rPr>
                <w:rFonts w:eastAsia="Times New Roman" w:cs="Sylfaen"/>
                <w:sz w:val="20"/>
                <w:szCs w:val="20"/>
              </w:rPr>
              <w:t xml:space="preserve"> </w:t>
            </w:r>
            <w:r w:rsidRPr="0053423A">
              <w:rPr>
                <w:rFonts w:eastAsia="Times New Roman" w:cs="Sylfaen"/>
                <w:sz w:val="20"/>
                <w:szCs w:val="20"/>
                <w:lang w:val="en-GB"/>
              </w:rPr>
              <w:t>նորությունների</w:t>
            </w:r>
            <w:r w:rsidRPr="0053423A">
              <w:rPr>
                <w:rFonts w:eastAsia="Times New Roman" w:cs="Sylfaen"/>
                <w:sz w:val="20"/>
                <w:szCs w:val="20"/>
              </w:rPr>
              <w:t xml:space="preserve">, </w:t>
            </w:r>
            <w:r w:rsidRPr="0053423A">
              <w:rPr>
                <w:rFonts w:eastAsia="Times New Roman" w:cs="Sylfaen"/>
                <w:sz w:val="20"/>
                <w:szCs w:val="20"/>
                <w:lang w:val="en-GB"/>
              </w:rPr>
              <w:t>տեղական և միջազգային միջոցառումների մասին տեղեկությունների տարածումը:</w:t>
            </w:r>
          </w:p>
          <w:p w:rsidR="00A67B6B" w:rsidRPr="0053423A" w:rsidRDefault="00A67B6B" w:rsidP="00A67858">
            <w:pPr>
              <w:tabs>
                <w:tab w:val="left" w:pos="508"/>
              </w:tabs>
              <w:spacing w:after="0" w:line="276" w:lineRule="auto"/>
              <w:jc w:val="both"/>
              <w:rPr>
                <w:rFonts w:eastAsia="Times New Roman" w:cs="Sylfaen"/>
                <w:sz w:val="20"/>
                <w:szCs w:val="20"/>
                <w:lang w:val="en-GB"/>
              </w:rPr>
            </w:pPr>
          </w:p>
          <w:p w:rsidR="00A67B6B" w:rsidRPr="0053423A" w:rsidRDefault="00A67B6B" w:rsidP="001F6D5D">
            <w:pPr>
              <w:numPr>
                <w:ilvl w:val="0"/>
                <w:numId w:val="210"/>
              </w:numPr>
              <w:tabs>
                <w:tab w:val="left" w:pos="508"/>
              </w:tabs>
              <w:spacing w:after="0" w:line="276" w:lineRule="auto"/>
              <w:ind w:right="-81" w:hanging="707"/>
              <w:contextualSpacing/>
              <w:rPr>
                <w:rFonts w:eastAsia="Calibri" w:cs="Times New Roman"/>
                <w:b/>
                <w:sz w:val="20"/>
                <w:szCs w:val="20"/>
              </w:rPr>
            </w:pPr>
            <w:r w:rsidRPr="0053423A">
              <w:rPr>
                <w:rFonts w:eastAsia="Calibri" w:cs="Times New Roman"/>
                <w:b/>
                <w:sz w:val="20"/>
                <w:szCs w:val="20"/>
              </w:rPr>
              <w:t>Միջոցառման իրակա</w:t>
            </w:r>
            <w:r w:rsidRPr="0053423A">
              <w:rPr>
                <w:rFonts w:eastAsia="Calibri" w:cs="Times New Roman"/>
                <w:b/>
                <w:sz w:val="20"/>
                <w:szCs w:val="20"/>
                <w:lang w:val="hy-AM"/>
              </w:rPr>
              <w:t>նա</w:t>
            </w:r>
            <w:r w:rsidRPr="0053423A">
              <w:rPr>
                <w:rFonts w:eastAsia="Calibri" w:cs="Times New Roman"/>
                <w:b/>
                <w:sz w:val="20"/>
                <w:szCs w:val="20"/>
              </w:rPr>
              <w:t>ցումից ակնկալվող արդյունքը</w:t>
            </w:r>
          </w:p>
          <w:p w:rsidR="00A67B6B" w:rsidRPr="0053423A" w:rsidRDefault="00A67B6B" w:rsidP="00A67858">
            <w:pPr>
              <w:tabs>
                <w:tab w:val="left" w:pos="508"/>
              </w:tabs>
              <w:spacing w:after="0" w:line="276" w:lineRule="auto"/>
              <w:contextualSpacing/>
              <w:jc w:val="both"/>
              <w:rPr>
                <w:rFonts w:eastAsia="Calibri" w:cs="GHEA Grapalat"/>
                <w:b/>
                <w:bCs/>
                <w:sz w:val="20"/>
                <w:szCs w:val="20"/>
                <w:lang w:val="af-ZA"/>
              </w:rPr>
            </w:pPr>
            <w:r w:rsidRPr="0053423A">
              <w:rPr>
                <w:rFonts w:eastAsia="Calibri" w:cs="Sylfaen"/>
                <w:sz w:val="20"/>
                <w:szCs w:val="20"/>
              </w:rPr>
              <w:t>«</w:t>
            </w:r>
            <w:r w:rsidRPr="0053423A">
              <w:rPr>
                <w:rFonts w:eastAsia="Calibri" w:cs="Sylfaen"/>
                <w:sz w:val="20"/>
                <w:szCs w:val="20"/>
                <w:lang w:val="en-GB"/>
              </w:rPr>
              <w:t>Հայաստանի</w:t>
            </w:r>
            <w:r w:rsidRPr="0053423A">
              <w:rPr>
                <w:rFonts w:eastAsia="Calibri" w:cs="Sylfaen"/>
                <w:sz w:val="20"/>
                <w:szCs w:val="20"/>
              </w:rPr>
              <w:t xml:space="preserve"> </w:t>
            </w:r>
            <w:r w:rsidRPr="0053423A">
              <w:rPr>
                <w:rFonts w:eastAsia="Calibri" w:cs="Sylfaen"/>
                <w:sz w:val="20"/>
                <w:szCs w:val="20"/>
                <w:lang w:val="en-GB"/>
              </w:rPr>
              <w:t>Հանրապետության</w:t>
            </w:r>
            <w:r w:rsidRPr="0053423A">
              <w:rPr>
                <w:rFonts w:eastAsia="Calibri" w:cs="Sylfaen"/>
                <w:sz w:val="20"/>
                <w:szCs w:val="20"/>
              </w:rPr>
              <w:t xml:space="preserve"> </w:t>
            </w:r>
            <w:r w:rsidRPr="0053423A">
              <w:rPr>
                <w:rFonts w:eastAsia="Calibri" w:cs="Sylfaen"/>
                <w:sz w:val="20"/>
                <w:szCs w:val="20"/>
                <w:lang w:val="en-GB"/>
              </w:rPr>
              <w:t>ոչ</w:t>
            </w:r>
            <w:r w:rsidRPr="0053423A">
              <w:rPr>
                <w:rFonts w:eastAsia="Calibri" w:cs="Sylfaen"/>
                <w:sz w:val="20"/>
                <w:szCs w:val="20"/>
              </w:rPr>
              <w:t xml:space="preserve"> </w:t>
            </w:r>
            <w:r w:rsidRPr="0053423A">
              <w:rPr>
                <w:rFonts w:eastAsia="Calibri" w:cs="Sylfaen"/>
                <w:sz w:val="20"/>
                <w:szCs w:val="20"/>
                <w:lang w:val="en-GB"/>
              </w:rPr>
              <w:t>նյութական</w:t>
            </w:r>
            <w:r w:rsidRPr="0053423A">
              <w:rPr>
                <w:rFonts w:eastAsia="Calibri" w:cs="Sylfaen"/>
                <w:sz w:val="20"/>
                <w:szCs w:val="20"/>
              </w:rPr>
              <w:t xml:space="preserve"> </w:t>
            </w:r>
            <w:r w:rsidRPr="0053423A">
              <w:rPr>
                <w:rFonts w:eastAsia="Calibri" w:cs="Sylfaen"/>
                <w:sz w:val="20"/>
                <w:szCs w:val="20"/>
                <w:lang w:val="en-GB"/>
              </w:rPr>
              <w:t>մշակութային</w:t>
            </w:r>
            <w:r w:rsidRPr="0053423A">
              <w:rPr>
                <w:rFonts w:eastAsia="Calibri" w:cs="Sylfaen"/>
                <w:sz w:val="20"/>
                <w:szCs w:val="20"/>
              </w:rPr>
              <w:t xml:space="preserve"> </w:t>
            </w:r>
            <w:r w:rsidRPr="0053423A">
              <w:rPr>
                <w:rFonts w:eastAsia="Calibri" w:cs="Sylfaen"/>
                <w:sz w:val="20"/>
                <w:szCs w:val="20"/>
                <w:lang w:val="en-GB"/>
              </w:rPr>
              <w:t>ժառանգություն</w:t>
            </w:r>
            <w:r w:rsidRPr="0053423A">
              <w:rPr>
                <w:rFonts w:eastAsia="Calibri" w:cs="Sylfaen"/>
                <w:sz w:val="20"/>
                <w:szCs w:val="20"/>
              </w:rPr>
              <w:t xml:space="preserve">» </w:t>
            </w:r>
            <w:r w:rsidRPr="0053423A">
              <w:rPr>
                <w:rFonts w:eastAsia="Calibri" w:cs="Sylfaen"/>
                <w:sz w:val="20"/>
                <w:szCs w:val="20"/>
                <w:lang w:val="en-GB"/>
              </w:rPr>
              <w:t>կայքէջի</w:t>
            </w:r>
            <w:r w:rsidRPr="0053423A">
              <w:rPr>
                <w:rFonts w:eastAsia="Calibri" w:cs="Sylfaen"/>
                <w:sz w:val="20"/>
                <w:szCs w:val="20"/>
              </w:rPr>
              <w:t xml:space="preserve"> </w:t>
            </w:r>
            <w:r w:rsidRPr="0053423A">
              <w:rPr>
                <w:rFonts w:eastAsia="Calibri" w:cs="Sylfaen"/>
                <w:sz w:val="20"/>
                <w:szCs w:val="20"/>
                <w:lang w:val="en-GB"/>
              </w:rPr>
              <w:t>գոյությունն</w:t>
            </w:r>
            <w:r w:rsidRPr="0053423A">
              <w:rPr>
                <w:rFonts w:eastAsia="Calibri" w:cs="Sylfaen"/>
                <w:sz w:val="20"/>
                <w:szCs w:val="20"/>
              </w:rPr>
              <w:t xml:space="preserve"> </w:t>
            </w:r>
            <w:r w:rsidRPr="0053423A">
              <w:rPr>
                <w:rFonts w:eastAsia="Calibri" w:cs="Sylfaen"/>
                <w:sz w:val="20"/>
                <w:szCs w:val="20"/>
                <w:lang w:val="en-GB"/>
              </w:rPr>
              <w:t>ու</w:t>
            </w:r>
            <w:r w:rsidRPr="0053423A">
              <w:rPr>
                <w:rFonts w:eastAsia="Calibri" w:cs="Sylfaen"/>
                <w:sz w:val="20"/>
                <w:szCs w:val="20"/>
              </w:rPr>
              <w:t xml:space="preserve"> </w:t>
            </w:r>
            <w:r w:rsidRPr="0053423A">
              <w:rPr>
                <w:rFonts w:eastAsia="Calibri" w:cs="Sylfaen"/>
                <w:sz w:val="20"/>
                <w:szCs w:val="20"/>
                <w:lang w:val="en-GB"/>
              </w:rPr>
              <w:t>ակտիվ</w:t>
            </w:r>
            <w:r w:rsidRPr="0053423A">
              <w:rPr>
                <w:rFonts w:eastAsia="Calibri" w:cs="Sylfaen"/>
                <w:sz w:val="20"/>
                <w:szCs w:val="20"/>
              </w:rPr>
              <w:t xml:space="preserve"> </w:t>
            </w:r>
            <w:r w:rsidRPr="0053423A">
              <w:rPr>
                <w:rFonts w:eastAsia="Calibri" w:cs="Sylfaen"/>
                <w:sz w:val="20"/>
                <w:szCs w:val="20"/>
                <w:lang w:val="en-GB"/>
              </w:rPr>
              <w:t>գործունեությունը</w:t>
            </w:r>
            <w:r w:rsidRPr="0053423A">
              <w:rPr>
                <w:rFonts w:eastAsia="Calibri" w:cs="Sylfaen"/>
                <w:sz w:val="20"/>
                <w:szCs w:val="20"/>
              </w:rPr>
              <w:t xml:space="preserve"> </w:t>
            </w:r>
            <w:r w:rsidRPr="0053423A">
              <w:rPr>
                <w:rFonts w:eastAsia="Calibri" w:cs="Sylfaen"/>
                <w:sz w:val="20"/>
                <w:szCs w:val="20"/>
                <w:lang w:val="en-GB"/>
              </w:rPr>
              <w:t>հնարավորություն</w:t>
            </w:r>
            <w:r w:rsidRPr="0053423A">
              <w:rPr>
                <w:rFonts w:eastAsia="Calibri" w:cs="Sylfaen"/>
                <w:sz w:val="20"/>
                <w:szCs w:val="20"/>
              </w:rPr>
              <w:t xml:space="preserve"> </w:t>
            </w:r>
            <w:r w:rsidRPr="0053423A">
              <w:rPr>
                <w:rFonts w:eastAsia="Calibri" w:cs="Sylfaen"/>
                <w:sz w:val="20"/>
                <w:szCs w:val="20"/>
                <w:lang w:val="en-GB"/>
              </w:rPr>
              <w:t>կստեղծի</w:t>
            </w:r>
            <w:r w:rsidRPr="0053423A">
              <w:rPr>
                <w:rFonts w:eastAsia="Calibri" w:cs="Sylfaen"/>
                <w:sz w:val="20"/>
                <w:szCs w:val="20"/>
              </w:rPr>
              <w:t xml:space="preserve"> </w:t>
            </w:r>
            <w:r w:rsidRPr="0053423A">
              <w:rPr>
                <w:rFonts w:eastAsia="Calibri" w:cs="Sylfaen"/>
                <w:sz w:val="20"/>
                <w:szCs w:val="20"/>
                <w:lang w:val="en-GB"/>
              </w:rPr>
              <w:t>լայն</w:t>
            </w:r>
            <w:r w:rsidRPr="0053423A">
              <w:rPr>
                <w:rFonts w:eastAsia="Calibri" w:cs="Sylfaen"/>
                <w:sz w:val="20"/>
                <w:szCs w:val="20"/>
              </w:rPr>
              <w:t xml:space="preserve"> </w:t>
            </w:r>
            <w:r w:rsidRPr="0053423A">
              <w:rPr>
                <w:rFonts w:eastAsia="Calibri" w:cs="Sylfaen"/>
                <w:sz w:val="20"/>
                <w:szCs w:val="20"/>
                <w:lang w:val="en-GB"/>
              </w:rPr>
              <w:t>հասարակությանը</w:t>
            </w:r>
            <w:r w:rsidRPr="0053423A">
              <w:rPr>
                <w:rFonts w:eastAsia="Calibri" w:cs="Sylfaen"/>
                <w:sz w:val="20"/>
                <w:szCs w:val="20"/>
              </w:rPr>
              <w:t xml:space="preserve"> </w:t>
            </w:r>
            <w:r w:rsidRPr="0053423A">
              <w:rPr>
                <w:rFonts w:eastAsia="Calibri" w:cs="Sylfaen"/>
                <w:sz w:val="20"/>
                <w:szCs w:val="20"/>
                <w:lang w:val="en-GB"/>
              </w:rPr>
              <w:t>ծանոթանալու</w:t>
            </w:r>
            <w:r w:rsidRPr="0053423A">
              <w:rPr>
                <w:rFonts w:eastAsia="Calibri" w:cs="Sylfaen"/>
                <w:sz w:val="20"/>
                <w:szCs w:val="20"/>
              </w:rPr>
              <w:t xml:space="preserve"> </w:t>
            </w:r>
            <w:r w:rsidRPr="0053423A">
              <w:rPr>
                <w:rFonts w:eastAsia="Calibri" w:cs="Sylfaen"/>
                <w:sz w:val="20"/>
                <w:szCs w:val="20"/>
                <w:lang w:val="en-GB"/>
              </w:rPr>
              <w:t>ՀՀ</w:t>
            </w:r>
            <w:r w:rsidRPr="0053423A">
              <w:rPr>
                <w:rFonts w:eastAsia="Calibri" w:cs="Sylfaen"/>
                <w:sz w:val="20"/>
                <w:szCs w:val="20"/>
              </w:rPr>
              <w:t xml:space="preserve"> </w:t>
            </w:r>
            <w:r w:rsidRPr="0053423A">
              <w:rPr>
                <w:rFonts w:eastAsia="Calibri" w:cs="Sylfaen"/>
                <w:sz w:val="20"/>
                <w:szCs w:val="20"/>
                <w:lang w:val="en-GB"/>
              </w:rPr>
              <w:t>ոչ</w:t>
            </w:r>
            <w:r w:rsidRPr="0053423A">
              <w:rPr>
                <w:rFonts w:eastAsia="Calibri" w:cs="Sylfaen"/>
                <w:sz w:val="20"/>
                <w:szCs w:val="20"/>
              </w:rPr>
              <w:t xml:space="preserve"> </w:t>
            </w:r>
            <w:r w:rsidRPr="0053423A">
              <w:rPr>
                <w:rFonts w:eastAsia="Calibri" w:cs="Sylfaen"/>
                <w:sz w:val="20"/>
                <w:szCs w:val="20"/>
                <w:lang w:val="en-GB"/>
              </w:rPr>
              <w:t>նյութական</w:t>
            </w:r>
            <w:r w:rsidRPr="0053423A">
              <w:rPr>
                <w:rFonts w:eastAsia="Calibri" w:cs="Sylfaen"/>
                <w:sz w:val="20"/>
                <w:szCs w:val="20"/>
              </w:rPr>
              <w:t xml:space="preserve"> </w:t>
            </w:r>
            <w:r w:rsidRPr="0053423A">
              <w:rPr>
                <w:rFonts w:eastAsia="Calibri" w:cs="Sylfaen"/>
                <w:sz w:val="20"/>
                <w:szCs w:val="20"/>
                <w:lang w:val="en-GB"/>
              </w:rPr>
              <w:t>մշակութային</w:t>
            </w:r>
            <w:r w:rsidRPr="0053423A">
              <w:rPr>
                <w:rFonts w:eastAsia="Calibri" w:cs="Sylfaen"/>
                <w:sz w:val="20"/>
                <w:szCs w:val="20"/>
              </w:rPr>
              <w:t xml:space="preserve"> </w:t>
            </w:r>
            <w:r w:rsidRPr="0053423A">
              <w:rPr>
                <w:rFonts w:eastAsia="Calibri" w:cs="Sylfaen"/>
                <w:sz w:val="20"/>
                <w:szCs w:val="20"/>
                <w:lang w:val="en-GB"/>
              </w:rPr>
              <w:t>ժառանգությանը</w:t>
            </w:r>
            <w:r w:rsidRPr="0053423A">
              <w:rPr>
                <w:rFonts w:eastAsia="Calibri" w:cs="Sylfaen"/>
                <w:sz w:val="20"/>
                <w:szCs w:val="20"/>
              </w:rPr>
              <w:t xml:space="preserve">, </w:t>
            </w:r>
            <w:r w:rsidRPr="0053423A">
              <w:rPr>
                <w:rFonts w:eastAsia="Calibri" w:cs="Sylfaen"/>
                <w:sz w:val="20"/>
                <w:szCs w:val="20"/>
                <w:lang w:val="en-GB"/>
              </w:rPr>
              <w:t>ոլորտի</w:t>
            </w:r>
            <w:r w:rsidRPr="0053423A">
              <w:rPr>
                <w:rFonts w:eastAsia="Calibri" w:cs="Sylfaen"/>
                <w:sz w:val="20"/>
                <w:szCs w:val="20"/>
              </w:rPr>
              <w:t xml:space="preserve"> </w:t>
            </w:r>
            <w:r w:rsidRPr="0053423A">
              <w:rPr>
                <w:rFonts w:eastAsia="Calibri" w:cs="Sylfaen"/>
                <w:sz w:val="20"/>
                <w:szCs w:val="20"/>
                <w:lang w:val="en-GB"/>
              </w:rPr>
              <w:t>նորություններին</w:t>
            </w:r>
            <w:r w:rsidRPr="0053423A">
              <w:rPr>
                <w:rFonts w:eastAsia="Calibri" w:cs="Sylfaen"/>
                <w:sz w:val="20"/>
                <w:szCs w:val="20"/>
              </w:rPr>
              <w:t xml:space="preserve">, </w:t>
            </w:r>
            <w:r w:rsidRPr="0053423A">
              <w:rPr>
                <w:rFonts w:eastAsia="Calibri" w:cs="Sylfaen"/>
                <w:sz w:val="20"/>
                <w:szCs w:val="20"/>
                <w:lang w:val="en-GB"/>
              </w:rPr>
              <w:t>ՅՈՒՆԵՍԿՕ-ի հետ իրականացվող ծրագրերին և</w:t>
            </w:r>
            <w:r w:rsidRPr="0053423A">
              <w:rPr>
                <w:rFonts w:eastAsia="Calibri" w:cs="Sylfaen"/>
                <w:sz w:val="20"/>
                <w:szCs w:val="20"/>
              </w:rPr>
              <w:t xml:space="preserve"> </w:t>
            </w:r>
            <w:r w:rsidRPr="0053423A">
              <w:rPr>
                <w:rFonts w:eastAsia="Calibri" w:cs="Sylfaen"/>
                <w:sz w:val="20"/>
                <w:szCs w:val="20"/>
                <w:lang w:val="en-GB"/>
              </w:rPr>
              <w:t>գրանցված</w:t>
            </w:r>
            <w:r w:rsidRPr="0053423A">
              <w:rPr>
                <w:rFonts w:eastAsia="Calibri" w:cs="Times New Roman"/>
                <w:sz w:val="20"/>
                <w:szCs w:val="20"/>
              </w:rPr>
              <w:t xml:space="preserve"> </w:t>
            </w:r>
            <w:r w:rsidRPr="0053423A">
              <w:rPr>
                <w:rFonts w:eastAsia="Calibri" w:cs="Sylfaen"/>
                <w:sz w:val="20"/>
                <w:szCs w:val="20"/>
                <w:lang w:val="en-GB"/>
              </w:rPr>
              <w:t>ոչ</w:t>
            </w:r>
            <w:r w:rsidRPr="0053423A">
              <w:rPr>
                <w:rFonts w:eastAsia="Calibri" w:cs="Sylfaen"/>
                <w:sz w:val="20"/>
                <w:szCs w:val="20"/>
              </w:rPr>
              <w:t xml:space="preserve"> </w:t>
            </w:r>
            <w:r w:rsidRPr="0053423A">
              <w:rPr>
                <w:rFonts w:eastAsia="Calibri" w:cs="Sylfaen"/>
                <w:sz w:val="20"/>
                <w:szCs w:val="20"/>
                <w:lang w:val="en-GB"/>
              </w:rPr>
              <w:t>նյութական</w:t>
            </w:r>
            <w:r w:rsidRPr="0053423A">
              <w:rPr>
                <w:rFonts w:eastAsia="Calibri" w:cs="Sylfaen"/>
                <w:sz w:val="20"/>
                <w:szCs w:val="20"/>
              </w:rPr>
              <w:t xml:space="preserve"> </w:t>
            </w:r>
            <w:r w:rsidRPr="0053423A">
              <w:rPr>
                <w:rFonts w:eastAsia="Calibri" w:cs="Sylfaen"/>
                <w:sz w:val="20"/>
                <w:szCs w:val="20"/>
                <w:lang w:val="en-GB"/>
              </w:rPr>
              <w:t>մշակութային</w:t>
            </w:r>
            <w:r w:rsidRPr="0053423A">
              <w:rPr>
                <w:rFonts w:eastAsia="Calibri" w:cs="Sylfaen"/>
                <w:sz w:val="20"/>
                <w:szCs w:val="20"/>
              </w:rPr>
              <w:t xml:space="preserve"> </w:t>
            </w:r>
            <w:r w:rsidRPr="0053423A">
              <w:rPr>
                <w:rFonts w:eastAsia="Calibri" w:cs="Sylfaen"/>
                <w:sz w:val="20"/>
                <w:szCs w:val="20"/>
                <w:lang w:val="en-GB"/>
              </w:rPr>
              <w:t>ժառանգության արժեքների պահպանության գործընթացներին</w:t>
            </w:r>
            <w:r w:rsidRPr="0053423A">
              <w:rPr>
                <w:rFonts w:eastAsia="Calibri" w:cs="Sylfaen"/>
                <w:sz w:val="20"/>
                <w:szCs w:val="20"/>
              </w:rPr>
              <w:t xml:space="preserve">: </w:t>
            </w:r>
            <w:r w:rsidRPr="0053423A">
              <w:rPr>
                <w:rFonts w:eastAsia="Calibri" w:cs="Sylfaen"/>
                <w:sz w:val="20"/>
                <w:szCs w:val="20"/>
                <w:lang w:val="en-GB"/>
              </w:rPr>
              <w:t>Կայքի</w:t>
            </w:r>
            <w:r w:rsidRPr="0053423A">
              <w:rPr>
                <w:rFonts w:eastAsia="Calibri" w:cs="Sylfaen"/>
                <w:sz w:val="20"/>
                <w:szCs w:val="20"/>
              </w:rPr>
              <w:t xml:space="preserve"> </w:t>
            </w:r>
            <w:r w:rsidRPr="0053423A">
              <w:rPr>
                <w:rFonts w:eastAsia="Calibri" w:cs="Sylfaen"/>
                <w:sz w:val="20"/>
                <w:szCs w:val="20"/>
                <w:lang w:val="en-GB"/>
              </w:rPr>
              <w:t>կառուցվածքն</w:t>
            </w:r>
            <w:r w:rsidRPr="0053423A">
              <w:rPr>
                <w:rFonts w:eastAsia="Calibri" w:cs="Sylfaen"/>
                <w:sz w:val="20"/>
                <w:szCs w:val="20"/>
              </w:rPr>
              <w:t xml:space="preserve"> </w:t>
            </w:r>
            <w:r w:rsidRPr="0053423A">
              <w:rPr>
                <w:rFonts w:eastAsia="Calibri" w:cs="Sylfaen"/>
                <w:sz w:val="20"/>
                <w:szCs w:val="20"/>
                <w:lang w:val="en-GB"/>
              </w:rPr>
              <w:t>ու</w:t>
            </w:r>
            <w:r w:rsidRPr="0053423A">
              <w:rPr>
                <w:rFonts w:eastAsia="Calibri" w:cs="Sylfaen"/>
                <w:sz w:val="20"/>
                <w:szCs w:val="20"/>
              </w:rPr>
              <w:t xml:space="preserve"> </w:t>
            </w:r>
            <w:r w:rsidRPr="0053423A">
              <w:rPr>
                <w:rFonts w:eastAsia="Calibri" w:cs="Sylfaen"/>
                <w:sz w:val="20"/>
                <w:szCs w:val="20"/>
                <w:lang w:val="en-GB"/>
              </w:rPr>
              <w:t>ձևավորումը</w:t>
            </w:r>
            <w:r w:rsidRPr="0053423A">
              <w:rPr>
                <w:rFonts w:eastAsia="Calibri" w:cs="Sylfaen"/>
                <w:sz w:val="20"/>
                <w:szCs w:val="20"/>
              </w:rPr>
              <w:t xml:space="preserve">, </w:t>
            </w:r>
            <w:r w:rsidRPr="0053423A">
              <w:rPr>
                <w:rFonts w:eastAsia="Calibri" w:cs="Sylfaen"/>
                <w:sz w:val="20"/>
                <w:szCs w:val="20"/>
                <w:lang w:val="en-GB"/>
              </w:rPr>
              <w:t>նյութերի</w:t>
            </w:r>
            <w:r w:rsidRPr="0053423A">
              <w:rPr>
                <w:rFonts w:eastAsia="Calibri" w:cs="Sylfaen"/>
                <w:sz w:val="20"/>
                <w:szCs w:val="20"/>
              </w:rPr>
              <w:t xml:space="preserve"> </w:t>
            </w:r>
            <w:r w:rsidRPr="0053423A">
              <w:rPr>
                <w:rFonts w:eastAsia="Calibri" w:cs="Sylfaen"/>
                <w:sz w:val="20"/>
                <w:szCs w:val="20"/>
                <w:lang w:val="en-GB"/>
              </w:rPr>
              <w:t>ռուսերեն</w:t>
            </w:r>
            <w:r w:rsidRPr="0053423A">
              <w:rPr>
                <w:rFonts w:eastAsia="Calibri" w:cs="Sylfaen"/>
                <w:sz w:val="20"/>
                <w:szCs w:val="20"/>
              </w:rPr>
              <w:t xml:space="preserve"> </w:t>
            </w:r>
            <w:r w:rsidRPr="0053423A">
              <w:rPr>
                <w:rFonts w:eastAsia="Calibri" w:cs="Sylfaen"/>
                <w:sz w:val="20"/>
                <w:szCs w:val="20"/>
                <w:lang w:val="en-GB"/>
              </w:rPr>
              <w:t>և</w:t>
            </w:r>
            <w:r w:rsidRPr="0053423A">
              <w:rPr>
                <w:rFonts w:eastAsia="Calibri" w:cs="Sylfaen"/>
                <w:sz w:val="20"/>
                <w:szCs w:val="20"/>
              </w:rPr>
              <w:t xml:space="preserve"> </w:t>
            </w:r>
            <w:r w:rsidRPr="0053423A">
              <w:rPr>
                <w:rFonts w:eastAsia="Calibri" w:cs="Sylfaen"/>
                <w:sz w:val="20"/>
                <w:szCs w:val="20"/>
                <w:lang w:val="en-GB"/>
              </w:rPr>
              <w:t>անգլերեն թագմանությունները</w:t>
            </w:r>
            <w:r w:rsidRPr="0053423A">
              <w:rPr>
                <w:rFonts w:eastAsia="Calibri" w:cs="Sylfaen"/>
                <w:sz w:val="20"/>
                <w:szCs w:val="20"/>
              </w:rPr>
              <w:t xml:space="preserve">, </w:t>
            </w:r>
            <w:r w:rsidRPr="0053423A">
              <w:rPr>
                <w:rFonts w:eastAsia="Calibri" w:cs="Sylfaen"/>
                <w:sz w:val="20"/>
                <w:szCs w:val="20"/>
                <w:lang w:val="en-GB"/>
              </w:rPr>
              <w:t>ինչպես</w:t>
            </w:r>
            <w:r w:rsidRPr="0053423A">
              <w:rPr>
                <w:rFonts w:eastAsia="Calibri" w:cs="Sylfaen"/>
                <w:sz w:val="20"/>
                <w:szCs w:val="20"/>
              </w:rPr>
              <w:t xml:space="preserve"> </w:t>
            </w:r>
            <w:r w:rsidRPr="0053423A">
              <w:rPr>
                <w:rFonts w:eastAsia="Calibri" w:cs="Sylfaen"/>
                <w:sz w:val="20"/>
                <w:szCs w:val="20"/>
                <w:lang w:val="en-GB"/>
              </w:rPr>
              <w:t>նաև</w:t>
            </w:r>
            <w:r w:rsidRPr="0053423A">
              <w:rPr>
                <w:rFonts w:eastAsia="Calibri" w:cs="Sylfaen"/>
                <w:sz w:val="20"/>
                <w:szCs w:val="20"/>
              </w:rPr>
              <w:t xml:space="preserve"> </w:t>
            </w:r>
            <w:r w:rsidRPr="0053423A">
              <w:rPr>
                <w:rFonts w:eastAsia="Calibri" w:cs="Sylfaen"/>
                <w:sz w:val="20"/>
                <w:szCs w:val="20"/>
                <w:lang w:val="en-GB"/>
              </w:rPr>
              <w:t>սոցցանցերում</w:t>
            </w:r>
            <w:r w:rsidRPr="0053423A">
              <w:rPr>
                <w:rFonts w:eastAsia="Calibri" w:cs="Sylfaen"/>
                <w:sz w:val="20"/>
                <w:szCs w:val="20"/>
              </w:rPr>
              <w:t xml:space="preserve"> </w:t>
            </w:r>
            <w:r w:rsidRPr="0053423A">
              <w:rPr>
                <w:rFonts w:eastAsia="Calibri" w:cs="Sylfaen"/>
                <w:sz w:val="20"/>
                <w:szCs w:val="20"/>
                <w:lang w:val="en-GB"/>
              </w:rPr>
              <w:t>համապատասխան</w:t>
            </w:r>
            <w:r w:rsidRPr="0053423A">
              <w:rPr>
                <w:rFonts w:eastAsia="Calibri" w:cs="Sylfaen"/>
                <w:sz w:val="20"/>
                <w:szCs w:val="20"/>
              </w:rPr>
              <w:t xml:space="preserve"> </w:t>
            </w:r>
            <w:r w:rsidRPr="0053423A">
              <w:rPr>
                <w:rFonts w:eastAsia="Calibri" w:cs="Sylfaen"/>
                <w:sz w:val="20"/>
                <w:szCs w:val="20"/>
                <w:lang w:val="en-GB"/>
              </w:rPr>
              <w:t>հղումների</w:t>
            </w:r>
            <w:r w:rsidRPr="0053423A">
              <w:rPr>
                <w:rFonts w:eastAsia="Calibri" w:cs="Sylfaen"/>
                <w:sz w:val="20"/>
                <w:szCs w:val="20"/>
              </w:rPr>
              <w:t xml:space="preserve"> </w:t>
            </w:r>
            <w:r w:rsidRPr="0053423A">
              <w:rPr>
                <w:rFonts w:eastAsia="Calibri" w:cs="Sylfaen"/>
                <w:sz w:val="20"/>
                <w:szCs w:val="20"/>
                <w:lang w:val="en-GB"/>
              </w:rPr>
              <w:t>առկայությունը</w:t>
            </w:r>
            <w:r w:rsidRPr="0053423A">
              <w:rPr>
                <w:rFonts w:eastAsia="Calibri" w:cs="Sylfaen"/>
                <w:sz w:val="20"/>
                <w:szCs w:val="20"/>
              </w:rPr>
              <w:t xml:space="preserve"> </w:t>
            </w:r>
            <w:r w:rsidRPr="0053423A">
              <w:rPr>
                <w:rFonts w:eastAsia="Calibri" w:cs="Sylfaen"/>
                <w:sz w:val="20"/>
                <w:szCs w:val="20"/>
                <w:lang w:val="en-GB"/>
              </w:rPr>
              <w:t>էապես</w:t>
            </w:r>
            <w:r w:rsidRPr="0053423A">
              <w:rPr>
                <w:rFonts w:eastAsia="Calibri" w:cs="Sylfaen"/>
                <w:sz w:val="20"/>
                <w:szCs w:val="20"/>
              </w:rPr>
              <w:t xml:space="preserve"> </w:t>
            </w:r>
            <w:r w:rsidRPr="0053423A">
              <w:rPr>
                <w:rFonts w:eastAsia="Calibri" w:cs="Sylfaen"/>
                <w:sz w:val="20"/>
                <w:szCs w:val="20"/>
                <w:lang w:val="en-GB"/>
              </w:rPr>
              <w:t>նպաստելու</w:t>
            </w:r>
            <w:r w:rsidRPr="0053423A">
              <w:rPr>
                <w:rFonts w:eastAsia="Calibri" w:cs="Sylfaen"/>
                <w:sz w:val="20"/>
                <w:szCs w:val="20"/>
              </w:rPr>
              <w:t xml:space="preserve"> </w:t>
            </w:r>
            <w:r w:rsidRPr="0053423A">
              <w:rPr>
                <w:rFonts w:eastAsia="Calibri" w:cs="Sylfaen"/>
                <w:sz w:val="20"/>
                <w:szCs w:val="20"/>
                <w:lang w:val="en-GB"/>
              </w:rPr>
              <w:t>է</w:t>
            </w:r>
            <w:r w:rsidRPr="0053423A">
              <w:rPr>
                <w:rFonts w:eastAsia="Calibri" w:cs="Sylfaen"/>
                <w:sz w:val="20"/>
                <w:szCs w:val="20"/>
              </w:rPr>
              <w:t xml:space="preserve"> </w:t>
            </w:r>
            <w:r w:rsidRPr="0053423A">
              <w:rPr>
                <w:rFonts w:eastAsia="Calibri" w:cs="Sylfaen"/>
                <w:sz w:val="20"/>
                <w:szCs w:val="20"/>
                <w:lang w:val="en-GB"/>
              </w:rPr>
              <w:t>ոչ նյութական մշակութային ժառանգության մասին հասարակության ճանաչելության բարձրացմանը և գնահատանքին</w:t>
            </w:r>
            <w:r w:rsidRPr="0053423A">
              <w:rPr>
                <w:rFonts w:eastAsia="Calibri" w:cs="Sylfaen"/>
                <w:sz w:val="20"/>
                <w:szCs w:val="20"/>
              </w:rPr>
              <w:t>:</w:t>
            </w:r>
          </w:p>
        </w:tc>
      </w:tr>
      <w:tr w:rsidR="00A67B6B" w:rsidRPr="00DE2EFA" w:rsidTr="00A67B6B">
        <w:tc>
          <w:tcPr>
            <w:tcW w:w="540" w:type="dxa"/>
            <w:shd w:val="clear" w:color="auto" w:fill="auto"/>
          </w:tcPr>
          <w:p w:rsidR="00A67B6B" w:rsidRPr="0053423A" w:rsidRDefault="00A67B6B" w:rsidP="00A67858">
            <w:pPr>
              <w:tabs>
                <w:tab w:val="left" w:pos="1418"/>
              </w:tabs>
              <w:spacing w:after="0" w:line="276" w:lineRule="auto"/>
              <w:jc w:val="center"/>
              <w:rPr>
                <w:rFonts w:eastAsia="Calibri" w:cs="Times New Roman"/>
                <w:caps/>
                <w:sz w:val="20"/>
                <w:szCs w:val="20"/>
                <w:lang w:val="ru-RU"/>
              </w:rPr>
            </w:pPr>
            <w:r w:rsidRPr="0053423A">
              <w:rPr>
                <w:rFonts w:eastAsia="Calibri" w:cs="Times New Roman"/>
                <w:caps/>
                <w:sz w:val="20"/>
                <w:szCs w:val="20"/>
                <w:lang w:val="ru-RU"/>
              </w:rPr>
              <w:t>5</w:t>
            </w:r>
          </w:p>
        </w:tc>
        <w:tc>
          <w:tcPr>
            <w:tcW w:w="10980" w:type="dxa"/>
            <w:shd w:val="clear" w:color="auto" w:fill="auto"/>
          </w:tcPr>
          <w:p w:rsidR="00A67B6B" w:rsidRPr="0053423A" w:rsidRDefault="00A67B6B" w:rsidP="00A67858">
            <w:pPr>
              <w:tabs>
                <w:tab w:val="left" w:pos="508"/>
              </w:tabs>
              <w:spacing w:after="0" w:line="276" w:lineRule="auto"/>
              <w:contextualSpacing/>
              <w:jc w:val="center"/>
              <w:rPr>
                <w:rFonts w:eastAsia="Times New Roman" w:cs="Times New Roman"/>
                <w:b/>
                <w:sz w:val="20"/>
                <w:szCs w:val="20"/>
                <w:lang w:val="ru-RU"/>
              </w:rPr>
            </w:pPr>
          </w:p>
          <w:p w:rsidR="00A67B6B" w:rsidRPr="0053423A" w:rsidRDefault="00A67B6B" w:rsidP="00A67858">
            <w:pPr>
              <w:spacing w:after="0" w:line="276" w:lineRule="auto"/>
              <w:jc w:val="center"/>
              <w:rPr>
                <w:rFonts w:eastAsia="Times New Roman" w:cs="Times New Roman"/>
                <w:b/>
                <w:sz w:val="20"/>
                <w:szCs w:val="20"/>
                <w:lang w:val="ru-RU"/>
              </w:rPr>
            </w:pPr>
            <w:r w:rsidRPr="0053423A">
              <w:rPr>
                <w:rFonts w:eastAsia="Times New Roman" w:cs="Times New Roman"/>
                <w:b/>
                <w:sz w:val="20"/>
                <w:szCs w:val="20"/>
                <w:lang w:val="ru-RU"/>
              </w:rPr>
              <w:t>5.1 «</w:t>
            </w:r>
            <w:r w:rsidRPr="0053423A">
              <w:rPr>
                <w:rFonts w:eastAsia="Times New Roman" w:cs="Times New Roman"/>
                <w:b/>
                <w:sz w:val="20"/>
                <w:szCs w:val="20"/>
              </w:rPr>
              <w:t>Քո</w:t>
            </w:r>
            <w:r w:rsidRPr="0053423A">
              <w:rPr>
                <w:rFonts w:eastAsia="Times New Roman" w:cs="Times New Roman"/>
                <w:b/>
                <w:sz w:val="20"/>
                <w:szCs w:val="20"/>
                <w:lang w:val="ru-RU"/>
              </w:rPr>
              <w:t xml:space="preserve"> </w:t>
            </w:r>
            <w:r w:rsidRPr="0053423A">
              <w:rPr>
                <w:rFonts w:eastAsia="Times New Roman" w:cs="Times New Roman"/>
                <w:b/>
                <w:sz w:val="20"/>
                <w:szCs w:val="20"/>
              </w:rPr>
              <w:t>արվեստը</w:t>
            </w:r>
            <w:r w:rsidRPr="0053423A">
              <w:rPr>
                <w:rFonts w:eastAsia="Times New Roman" w:cs="Times New Roman"/>
                <w:b/>
                <w:sz w:val="20"/>
                <w:szCs w:val="20"/>
                <w:lang w:val="ru-RU"/>
              </w:rPr>
              <w:t xml:space="preserve"> </w:t>
            </w:r>
            <w:r w:rsidRPr="0053423A">
              <w:rPr>
                <w:rFonts w:eastAsia="Times New Roman" w:cs="Times New Roman"/>
                <w:b/>
                <w:sz w:val="20"/>
                <w:szCs w:val="20"/>
              </w:rPr>
              <w:t>դպրոցում</w:t>
            </w:r>
            <w:r w:rsidRPr="0053423A">
              <w:rPr>
                <w:rFonts w:eastAsia="Times New Roman" w:cs="Times New Roman"/>
                <w:b/>
                <w:sz w:val="20"/>
                <w:szCs w:val="20"/>
                <w:lang w:val="ru-RU"/>
              </w:rPr>
              <w:t xml:space="preserve">» </w:t>
            </w:r>
            <w:r w:rsidRPr="0053423A">
              <w:rPr>
                <w:rFonts w:eastAsia="Times New Roman" w:cs="Times New Roman"/>
                <w:b/>
                <w:sz w:val="20"/>
                <w:szCs w:val="20"/>
              </w:rPr>
              <w:t>դրամաշնորհային</w:t>
            </w:r>
            <w:r w:rsidRPr="0053423A">
              <w:rPr>
                <w:rFonts w:eastAsia="Times New Roman" w:cs="Times New Roman"/>
                <w:b/>
                <w:sz w:val="20"/>
                <w:szCs w:val="20"/>
                <w:lang w:val="ru-RU"/>
              </w:rPr>
              <w:t xml:space="preserve"> </w:t>
            </w:r>
            <w:r w:rsidRPr="0053423A">
              <w:rPr>
                <w:rFonts w:eastAsia="Times New Roman" w:cs="Times New Roman"/>
                <w:b/>
                <w:sz w:val="20"/>
                <w:szCs w:val="20"/>
              </w:rPr>
              <w:t>ծրագրի</w:t>
            </w:r>
            <w:r w:rsidRPr="0053423A">
              <w:rPr>
                <w:rFonts w:eastAsia="Times New Roman" w:cs="Times New Roman"/>
                <w:b/>
                <w:sz w:val="20"/>
                <w:szCs w:val="20"/>
                <w:lang w:val="ru-RU"/>
              </w:rPr>
              <w:t xml:space="preserve"> </w:t>
            </w:r>
            <w:r w:rsidRPr="0053423A">
              <w:rPr>
                <w:rFonts w:eastAsia="Times New Roman" w:cs="Times New Roman"/>
                <w:b/>
                <w:sz w:val="20"/>
                <w:szCs w:val="20"/>
              </w:rPr>
              <w:t>իրականացում</w:t>
            </w:r>
          </w:p>
          <w:p w:rsidR="00A67B6B" w:rsidRPr="0053423A" w:rsidRDefault="00A67B6B" w:rsidP="00A67858">
            <w:pPr>
              <w:spacing w:after="0" w:line="276" w:lineRule="auto"/>
              <w:jc w:val="center"/>
              <w:rPr>
                <w:rFonts w:eastAsia="Calibri" w:cs="GHEA Grapalat"/>
                <w:b/>
                <w:bCs/>
                <w:sz w:val="20"/>
                <w:szCs w:val="20"/>
                <w:lang w:val="hy-AM"/>
              </w:rPr>
            </w:pPr>
          </w:p>
          <w:p w:rsidR="00A67B6B" w:rsidRPr="0053423A" w:rsidRDefault="00A67B6B" w:rsidP="001F6D5D">
            <w:pPr>
              <w:numPr>
                <w:ilvl w:val="0"/>
                <w:numId w:val="203"/>
              </w:numPr>
              <w:tabs>
                <w:tab w:val="left" w:pos="508"/>
              </w:tabs>
              <w:spacing w:after="0" w:line="276" w:lineRule="auto"/>
              <w:ind w:left="0" w:firstLine="0"/>
              <w:contextualSpacing/>
              <w:rPr>
                <w:rFonts w:eastAsia="Calibri" w:cs="Times New Roman"/>
                <w:b/>
                <w:sz w:val="20"/>
                <w:szCs w:val="20"/>
                <w:lang w:val="hy-AM"/>
              </w:rPr>
            </w:pPr>
            <w:r w:rsidRPr="0053423A">
              <w:rPr>
                <w:rFonts w:eastAsia="Calibri" w:cs="Times New Roman"/>
                <w:b/>
                <w:sz w:val="20"/>
                <w:szCs w:val="20"/>
                <w:lang w:val="hy-AM"/>
              </w:rPr>
              <w:t>Միջոցառման իրականացման անհրաժեշտությունը և 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hy-AM"/>
              </w:rPr>
              <w:t xml:space="preserve">Ծրագրի իրականացումը պայմանավորված է մատաղ սերնդի գեղագիտական դաստիարակության խնդիրների լուծման անհրաժեշտությամբ, նպատակ ունի սիրելի և հասանելի դարձնելու ազգային և համաշխարհային արվեստն ու մշակույթը դպրոցականներին ներգրավվելու մշակութային կյանքում, դաստիարակելու վաղվա բարձրաճաշակ և արվեստասեր քաղաքացուն: 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p>
          <w:p w:rsidR="00A67B6B" w:rsidRPr="0053423A" w:rsidRDefault="00A67B6B" w:rsidP="00A67858">
            <w:pPr>
              <w:tabs>
                <w:tab w:val="left" w:pos="508"/>
              </w:tabs>
              <w:spacing w:after="0" w:line="276" w:lineRule="auto"/>
              <w:contextualSpacing/>
              <w:rPr>
                <w:rFonts w:eastAsia="Calibri" w:cs="Times New Roman"/>
                <w:b/>
                <w:sz w:val="20"/>
                <w:szCs w:val="20"/>
                <w:lang w:val="hy-AM"/>
              </w:rPr>
            </w:pPr>
            <w:r w:rsidRPr="0053423A">
              <w:rPr>
                <w:rFonts w:eastAsia="Calibri" w:cs="Times New Roman"/>
                <w:b/>
                <w:sz w:val="20"/>
                <w:szCs w:val="20"/>
                <w:lang w:val="hy-AM"/>
              </w:rPr>
              <w:t>1.1 Կարգավորման հարաբերությունների ներկա վիճակը և առկա խնդիրները</w:t>
            </w:r>
          </w:p>
          <w:p w:rsidR="00A67B6B" w:rsidRPr="0053423A" w:rsidRDefault="00A67B6B" w:rsidP="00A67858">
            <w:pPr>
              <w:tabs>
                <w:tab w:val="left" w:pos="508"/>
              </w:tabs>
              <w:spacing w:after="0" w:line="276" w:lineRule="auto"/>
              <w:jc w:val="both"/>
              <w:rPr>
                <w:rFonts w:eastAsia="Calibri" w:cs="Times New Roman"/>
                <w:sz w:val="20"/>
                <w:szCs w:val="20"/>
                <w:lang w:val="hy-AM"/>
              </w:rPr>
            </w:pPr>
            <w:r w:rsidRPr="0053423A">
              <w:rPr>
                <w:rFonts w:eastAsia="Calibri" w:cs="Times New Roman"/>
                <w:sz w:val="20"/>
                <w:szCs w:val="20"/>
                <w:lang w:val="hy-AM"/>
              </w:rPr>
              <w:t xml:space="preserve">Ներկայում հանրապետությունում հանրակրթական դպրոցներում սովորող շուրջ 350000 աշակերտներից չնչին տոկոսն է մշտապես հաղորդկացվում արվեստի տարբեր բնագավառներին և մշակութային կյանքին ընդհանրապես, որն իր հերթին մեծապես խոչընդոտում է անձի ներդաշնակ զարգացման գործընթացին: Ոլորտում կատարված հետազոտությունները վկայում են, որ արվեստի և մշակույթի հետ պարբերաբար առնչություն ունեցող երեխաները զգալիորեն տարբերվում են իրենց հասակակիցներից, առավել հաջողակ են ուսուցման և դասընկալման գործընթացներում: </w:t>
            </w:r>
          </w:p>
          <w:p w:rsidR="00A67B6B" w:rsidRPr="0053423A" w:rsidRDefault="00A67B6B" w:rsidP="00A67858">
            <w:pPr>
              <w:tabs>
                <w:tab w:val="left" w:pos="508"/>
              </w:tabs>
              <w:spacing w:after="0" w:line="276" w:lineRule="auto"/>
              <w:jc w:val="both"/>
              <w:rPr>
                <w:rFonts w:eastAsia="Calibri" w:cs="Times New Roman"/>
                <w:sz w:val="20"/>
                <w:szCs w:val="20"/>
                <w:lang w:val="hy-AM"/>
              </w:rPr>
            </w:pPr>
          </w:p>
          <w:p w:rsidR="00A67B6B" w:rsidRPr="0053423A" w:rsidRDefault="00A67B6B" w:rsidP="00A67858">
            <w:pPr>
              <w:tabs>
                <w:tab w:val="left" w:pos="508"/>
              </w:tabs>
              <w:spacing w:after="0" w:line="276" w:lineRule="auto"/>
              <w:rPr>
                <w:rFonts w:eastAsia="Calibri" w:cs="Sylfaen"/>
                <w:b/>
                <w:bCs/>
                <w:sz w:val="20"/>
                <w:szCs w:val="20"/>
                <w:lang w:val="hy-AM"/>
              </w:rPr>
            </w:pPr>
            <w:r w:rsidRPr="0053423A">
              <w:rPr>
                <w:rFonts w:eastAsia="Calibri" w:cs="Times New Roman"/>
                <w:b/>
                <w:bCs/>
                <w:sz w:val="20"/>
                <w:szCs w:val="20"/>
                <w:lang w:val="af-ZA"/>
              </w:rPr>
              <w:t xml:space="preserve">1.2. </w:t>
            </w:r>
            <w:r w:rsidRPr="0053423A">
              <w:rPr>
                <w:rFonts w:eastAsia="Calibri" w:cs="Sylfaen"/>
                <w:b/>
                <w:bCs/>
                <w:sz w:val="20"/>
                <w:szCs w:val="20"/>
                <w:lang w:val="hy-AM"/>
              </w:rPr>
              <w:t>Առկա</w:t>
            </w:r>
            <w:r w:rsidRPr="0053423A">
              <w:rPr>
                <w:rFonts w:eastAsia="Calibri" w:cs="Times New Roman"/>
                <w:b/>
                <w:bCs/>
                <w:sz w:val="20"/>
                <w:szCs w:val="20"/>
                <w:lang w:val="af-ZA"/>
              </w:rPr>
              <w:t xml:space="preserve"> </w:t>
            </w:r>
            <w:r w:rsidRPr="0053423A">
              <w:rPr>
                <w:rFonts w:eastAsia="Calibri" w:cs="Sylfaen"/>
                <w:b/>
                <w:bCs/>
                <w:sz w:val="20"/>
                <w:szCs w:val="20"/>
                <w:lang w:val="hy-AM"/>
              </w:rPr>
              <w:t>խնդիրների</w:t>
            </w:r>
            <w:r w:rsidRPr="0053423A">
              <w:rPr>
                <w:rFonts w:eastAsia="Calibri" w:cs="Times New Roman"/>
                <w:b/>
                <w:bCs/>
                <w:sz w:val="20"/>
                <w:szCs w:val="20"/>
                <w:lang w:val="af-ZA"/>
              </w:rPr>
              <w:t xml:space="preserve"> </w:t>
            </w:r>
            <w:r w:rsidRPr="0053423A">
              <w:rPr>
                <w:rFonts w:eastAsia="Calibri" w:cs="Sylfaen"/>
                <w:b/>
                <w:bCs/>
                <w:sz w:val="20"/>
                <w:szCs w:val="20"/>
                <w:lang w:val="hy-AM"/>
              </w:rPr>
              <w:t>առաջարկվող</w:t>
            </w:r>
            <w:r w:rsidRPr="0053423A">
              <w:rPr>
                <w:rFonts w:eastAsia="Calibri" w:cs="Times New Roman"/>
                <w:b/>
                <w:bCs/>
                <w:sz w:val="20"/>
                <w:szCs w:val="20"/>
                <w:lang w:val="af-ZA"/>
              </w:rPr>
              <w:t xml:space="preserve"> </w:t>
            </w:r>
            <w:r w:rsidRPr="0053423A">
              <w:rPr>
                <w:rFonts w:eastAsia="Calibri" w:cs="Sylfaen"/>
                <w:b/>
                <w:bCs/>
                <w:sz w:val="20"/>
                <w:szCs w:val="20"/>
                <w:lang w:val="hy-AM"/>
              </w:rPr>
              <w:t>լուծումները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hy-AM"/>
              </w:rPr>
              <w:t xml:space="preserve">Առաջարկվում է իրականացնել «Քո արվեստը» ծրագիրը, </w:t>
            </w:r>
            <w:r w:rsidRPr="0053423A">
              <w:rPr>
                <w:rFonts w:eastAsia="Calibri" w:cs="Sylfaen"/>
                <w:bCs/>
                <w:sz w:val="20"/>
                <w:szCs w:val="20"/>
                <w:lang w:val="hy-AM"/>
              </w:rPr>
              <w:t xml:space="preserve">որը թույլ կտա ապահովել գեղագիտական դաստիարակության բնականոն զարգացման գործընթացը, ապահովել հայկական և համաշխարհային մշակույթի հանրահռչակման գործընթացը հանրակրթության ոլորտում հաղորդակցումը ժամանակակից արվեստագետների հետ: </w:t>
            </w:r>
            <w:r w:rsidRPr="0053423A">
              <w:rPr>
                <w:rFonts w:eastAsia="Calibri" w:cs="Times New Roman"/>
                <w:sz w:val="20"/>
                <w:szCs w:val="20"/>
                <w:lang w:val="hy-AM"/>
              </w:rPr>
              <w:t>Հանրակրթական դպրոցներում արվեստին նվիրված դասընթացների իրականացում, արվեստագետների վարպետության դասերի կազմակերպում, մշակույթ-կրթություն կապերի ամրապնդում:</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p>
          <w:p w:rsidR="00A67B6B" w:rsidRPr="0053423A" w:rsidRDefault="00A67B6B" w:rsidP="001F6D5D">
            <w:pPr>
              <w:numPr>
                <w:ilvl w:val="0"/>
                <w:numId w:val="203"/>
              </w:numPr>
              <w:tabs>
                <w:tab w:val="left" w:pos="508"/>
              </w:tabs>
              <w:spacing w:after="0" w:line="276" w:lineRule="auto"/>
              <w:contextualSpacing/>
              <w:rPr>
                <w:rFonts w:eastAsia="Calibri" w:cs="Times New Roman"/>
                <w:b/>
                <w:sz w:val="20"/>
                <w:szCs w:val="20"/>
                <w:lang w:val="hy-AM"/>
              </w:rPr>
            </w:pPr>
            <w:r w:rsidRPr="0053423A">
              <w:rPr>
                <w:rFonts w:eastAsia="Calibri" w:cs="Times New Roman"/>
                <w:b/>
                <w:sz w:val="20"/>
                <w:szCs w:val="20"/>
                <w:lang w:val="hy-AM"/>
              </w:rPr>
              <w:t xml:space="preserve">Միջոցառման </w:t>
            </w:r>
            <w:r w:rsidRPr="0053423A">
              <w:rPr>
                <w:rFonts w:eastAsia="Calibri" w:cs="Sylfaen"/>
                <w:b/>
                <w:sz w:val="20"/>
                <w:szCs w:val="20"/>
                <w:lang w:val="hy-AM"/>
              </w:rPr>
              <w:t>իրակա</w:t>
            </w:r>
            <w:r w:rsidRPr="0053423A">
              <w:rPr>
                <w:rFonts w:eastAsia="Calibri" w:cs="Times New Roman"/>
                <w:b/>
                <w:sz w:val="20"/>
                <w:szCs w:val="20"/>
                <w:lang w:val="hy-AM"/>
              </w:rPr>
              <w:t>նա</w:t>
            </w:r>
            <w:r w:rsidRPr="0053423A">
              <w:rPr>
                <w:rFonts w:eastAsia="Calibri" w:cs="Sylfaen"/>
                <w:b/>
                <w:sz w:val="20"/>
                <w:szCs w:val="20"/>
                <w:lang w:val="hy-AM"/>
              </w:rPr>
              <w:t>ցումից</w:t>
            </w:r>
            <w:r w:rsidRPr="0053423A">
              <w:rPr>
                <w:rFonts w:eastAsia="Calibri" w:cs="Times New Roman"/>
                <w:b/>
                <w:sz w:val="20"/>
                <w:szCs w:val="20"/>
                <w:lang w:val="hy-AM"/>
              </w:rPr>
              <w:t xml:space="preserve"> ակնկալվող արդյունքը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Arial"/>
                <w:sz w:val="20"/>
                <w:szCs w:val="20"/>
                <w:lang w:val="hy-AM"/>
              </w:rPr>
              <w:t>Կրթական հաստատություններում քննադատական, վերլուծական և ստեղծագործ մտքի զարգացում, ընթերցանության, դասական երաժշտության և կերպարվեստի նկատմամբ հետաքրքրության մեծացում, ժամանակակից արվեստագետների արժևորում, նրանց գործունեության հանրահռչակում</w:t>
            </w:r>
            <w:r w:rsidRPr="0053423A">
              <w:rPr>
                <w:rFonts w:eastAsia="Calibri" w:cs="Times New Roman"/>
                <w:sz w:val="20"/>
                <w:szCs w:val="20"/>
                <w:lang w:val="hy-AM"/>
              </w:rPr>
              <w:t xml:space="preserve"> արվեստագետ-աշակերտ անմիջական կապի և շփման ստեղծում:</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p>
          <w:p w:rsidR="00A67B6B" w:rsidRPr="0053423A" w:rsidRDefault="00A67B6B" w:rsidP="00A67858">
            <w:pPr>
              <w:tabs>
                <w:tab w:val="left" w:pos="508"/>
              </w:tabs>
              <w:spacing w:after="0" w:line="276" w:lineRule="auto"/>
              <w:jc w:val="center"/>
              <w:rPr>
                <w:rFonts w:eastAsia="Calibri" w:cs="GHEA Grapalat"/>
                <w:b/>
                <w:bCs/>
                <w:sz w:val="20"/>
                <w:szCs w:val="20"/>
                <w:lang w:val="hy-AM"/>
              </w:rPr>
            </w:pPr>
            <w:r w:rsidRPr="0053423A">
              <w:rPr>
                <w:rFonts w:eastAsia="Calibri" w:cs="GHEA Grapalat"/>
                <w:b/>
                <w:bCs/>
                <w:sz w:val="20"/>
                <w:szCs w:val="20"/>
                <w:lang w:val="hy-AM"/>
              </w:rPr>
              <w:t>5.2 «</w:t>
            </w:r>
            <w:r w:rsidRPr="0053423A">
              <w:rPr>
                <w:rFonts w:eastAsia="Times New Roman" w:cs="Times New Roman"/>
                <w:b/>
                <w:sz w:val="20"/>
                <w:szCs w:val="20"/>
                <w:lang w:val="hy-AM"/>
              </w:rPr>
              <w:t>Բաժանորդային համակարգի ներդրման» ծրագրի իրականացում</w:t>
            </w:r>
          </w:p>
          <w:p w:rsidR="00A67B6B" w:rsidRPr="0053423A" w:rsidRDefault="00A67B6B" w:rsidP="00A67858">
            <w:pPr>
              <w:tabs>
                <w:tab w:val="left" w:pos="508"/>
              </w:tabs>
              <w:spacing w:after="0" w:line="276" w:lineRule="auto"/>
              <w:jc w:val="center"/>
              <w:rPr>
                <w:rFonts w:eastAsia="Calibri" w:cs="GHEA Grapalat"/>
                <w:bCs/>
                <w:sz w:val="20"/>
                <w:szCs w:val="20"/>
                <w:lang w:val="hy-AM"/>
              </w:rPr>
            </w:pPr>
          </w:p>
          <w:p w:rsidR="00A67B6B" w:rsidRPr="0053423A" w:rsidRDefault="00A67B6B" w:rsidP="00A67858">
            <w:pPr>
              <w:tabs>
                <w:tab w:val="left" w:pos="508"/>
              </w:tabs>
              <w:spacing w:after="0" w:line="276" w:lineRule="auto"/>
              <w:contextualSpacing/>
              <w:rPr>
                <w:rFonts w:eastAsia="Calibri" w:cs="Times New Roman"/>
                <w:b/>
                <w:sz w:val="20"/>
                <w:szCs w:val="20"/>
                <w:lang w:val="hy-AM"/>
              </w:rPr>
            </w:pPr>
            <w:r w:rsidRPr="0053423A">
              <w:rPr>
                <w:rFonts w:eastAsia="Calibri" w:cs="Times New Roman"/>
                <w:b/>
                <w:sz w:val="20"/>
                <w:szCs w:val="20"/>
                <w:lang w:val="hy-AM"/>
              </w:rPr>
              <w:t>1. Միջոցառման իրականացման անհրաժեշտությունը և 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hy-AM"/>
              </w:rPr>
              <w:t>Բաժանորդային համակարգի ներդրումն ապահովում է ամեն հերթական ուսումնական տարվա բոլոր աշակերտների մշակութային հաստատություններ անվճար այցելելու հնարավորությունը և մշակութային կյանքով ապրելու իրավունքը։ Թեև ներկայումս նախատեսվում են որոշ ներառման մեխանիզմներ, որոնք ապահովում են աշակերտների կամ ուսանողների անվճար կամ նվազեցված տոմսարժեքով մուտքը մշակութային հաստատություններ, սակայն կարիք կա համապետական մասշտաբով իրականացվող քաղաքականության, որը Հայաստանի Հանրապետության յուրաքանչյուր աշակերտին թույլ կտա տարվա ընթացքում մեկ անգան անվճար մուտք գործել թատրոն, համերգասրահ կամ թանգարան։ Ծրագրի նպատակներն են մշակութային միջոցառումներին հաղորդակցվելու հնարավորություն ստեղծելը, վաղ հասակից մշակութային հաստատություն այցելելու ավանդույթի ձևավորումը, մշակութային հաստատությունների աշխուժացումը և դրանց համար մրցակցային պայմաններ ստեղծելը՝ խթանելով մասնագտական աճի ձգտումը։</w:t>
            </w:r>
          </w:p>
          <w:p w:rsidR="00A67B6B" w:rsidRPr="0053423A" w:rsidRDefault="00A67B6B" w:rsidP="00A67858">
            <w:pPr>
              <w:tabs>
                <w:tab w:val="left" w:pos="508"/>
              </w:tabs>
              <w:spacing w:after="0" w:line="276" w:lineRule="auto"/>
              <w:contextualSpacing/>
              <w:rPr>
                <w:rFonts w:eastAsia="Calibri" w:cs="Times New Roman"/>
                <w:b/>
                <w:sz w:val="20"/>
                <w:szCs w:val="20"/>
                <w:lang w:val="hy-AM"/>
              </w:rPr>
            </w:pPr>
            <w:r w:rsidRPr="0053423A">
              <w:rPr>
                <w:rFonts w:eastAsia="Calibri" w:cs="Times New Roman"/>
                <w:b/>
                <w:sz w:val="20"/>
                <w:szCs w:val="20"/>
                <w:lang w:val="hy-AM"/>
              </w:rPr>
              <w:tab/>
              <w:t>1.1. Կարգավորման հարաբերությունների ներկա վիճակը և առկա խնդիրները</w:t>
            </w:r>
          </w:p>
          <w:p w:rsidR="00A67B6B" w:rsidRPr="0053423A" w:rsidRDefault="00A67B6B" w:rsidP="00A67858">
            <w:pPr>
              <w:tabs>
                <w:tab w:val="left" w:pos="508"/>
              </w:tabs>
              <w:spacing w:after="0" w:line="276" w:lineRule="auto"/>
              <w:jc w:val="both"/>
              <w:rPr>
                <w:rFonts w:eastAsia="Calibri" w:cs="Times New Roman"/>
                <w:sz w:val="20"/>
                <w:szCs w:val="20"/>
                <w:lang w:val="hy-AM"/>
              </w:rPr>
            </w:pPr>
            <w:r w:rsidRPr="0053423A">
              <w:rPr>
                <w:rFonts w:eastAsia="Calibri" w:cs="Times New Roman"/>
                <w:sz w:val="20"/>
                <w:szCs w:val="20"/>
                <w:lang w:val="hy-AM"/>
              </w:rPr>
              <w:t>Մարզային և հատկապես հեռակա համայնքների բնակիչները և հատկապես դպրոցահասակները առավել հազվադեպ են այցելում մշակութային հաստատություններ, ինչի պատճառներից են մշակութային հաստատությունների անհավասար բաշխվածությունը, ինչպես նաև սոցիալական անբավարար հնարավորությունները։ Մի շարք համայնքներում և նույնիսկ մարզերում առկա չեն թատրոններ, համերգասրահներ կամ թանգարաններ, իսկ միջհամայնքային կամ միջքաղաքային փոխադրումները հավելյալ ֆինանսական բեռ են ծնողների համար։ Մյուս կողմից հատկապես մարզային մշակութային հաստատությունները կարիք ունեն նոր հանդիսատեսի հոսքերի և մրցակցային միջավայրի ձևավորման, ինչն ապահովվում է աբոնեմենտային համակարգի ներդրմամբ։</w:t>
            </w:r>
          </w:p>
          <w:p w:rsidR="00A67B6B" w:rsidRPr="0053423A" w:rsidRDefault="00A67B6B" w:rsidP="00A67858">
            <w:pPr>
              <w:tabs>
                <w:tab w:val="left" w:pos="508"/>
              </w:tabs>
              <w:spacing w:after="0" w:line="276" w:lineRule="auto"/>
              <w:rPr>
                <w:rFonts w:eastAsia="Calibri" w:cs="Sylfaen"/>
                <w:b/>
                <w:bCs/>
                <w:sz w:val="20"/>
                <w:szCs w:val="20"/>
                <w:lang w:val="hy-AM"/>
              </w:rPr>
            </w:pPr>
            <w:r w:rsidRPr="0053423A">
              <w:rPr>
                <w:rFonts w:eastAsia="Calibri" w:cs="Times New Roman"/>
                <w:b/>
                <w:bCs/>
                <w:sz w:val="20"/>
                <w:szCs w:val="20"/>
                <w:lang w:val="af-ZA"/>
              </w:rPr>
              <w:tab/>
              <w:t xml:space="preserve">1.2. </w:t>
            </w:r>
            <w:r w:rsidRPr="0053423A">
              <w:rPr>
                <w:rFonts w:eastAsia="Calibri" w:cs="Sylfaen"/>
                <w:b/>
                <w:bCs/>
                <w:sz w:val="20"/>
                <w:szCs w:val="20"/>
                <w:lang w:val="hy-AM"/>
              </w:rPr>
              <w:t>Առկա</w:t>
            </w:r>
            <w:r w:rsidRPr="0053423A">
              <w:rPr>
                <w:rFonts w:eastAsia="Calibri" w:cs="Times New Roman"/>
                <w:b/>
                <w:bCs/>
                <w:sz w:val="20"/>
                <w:szCs w:val="20"/>
                <w:lang w:val="af-ZA"/>
              </w:rPr>
              <w:t xml:space="preserve"> </w:t>
            </w:r>
            <w:r w:rsidRPr="0053423A">
              <w:rPr>
                <w:rFonts w:eastAsia="Calibri" w:cs="Sylfaen"/>
                <w:b/>
                <w:bCs/>
                <w:sz w:val="20"/>
                <w:szCs w:val="20"/>
                <w:lang w:val="hy-AM"/>
              </w:rPr>
              <w:t>խնդիրների</w:t>
            </w:r>
            <w:r w:rsidRPr="0053423A">
              <w:rPr>
                <w:rFonts w:eastAsia="Calibri" w:cs="Times New Roman"/>
                <w:b/>
                <w:bCs/>
                <w:sz w:val="20"/>
                <w:szCs w:val="20"/>
                <w:lang w:val="af-ZA"/>
              </w:rPr>
              <w:t xml:space="preserve"> </w:t>
            </w:r>
            <w:r w:rsidRPr="0053423A">
              <w:rPr>
                <w:rFonts w:eastAsia="Calibri" w:cs="Sylfaen"/>
                <w:b/>
                <w:bCs/>
                <w:sz w:val="20"/>
                <w:szCs w:val="20"/>
                <w:lang w:val="hy-AM"/>
              </w:rPr>
              <w:t>առաջարկվող</w:t>
            </w:r>
            <w:r w:rsidRPr="0053423A">
              <w:rPr>
                <w:rFonts w:eastAsia="Calibri" w:cs="Times New Roman"/>
                <w:b/>
                <w:bCs/>
                <w:sz w:val="20"/>
                <w:szCs w:val="20"/>
                <w:lang w:val="af-ZA"/>
              </w:rPr>
              <w:t xml:space="preserve"> </w:t>
            </w:r>
            <w:r w:rsidRPr="0053423A">
              <w:rPr>
                <w:rFonts w:eastAsia="Calibri" w:cs="Sylfaen"/>
                <w:b/>
                <w:bCs/>
                <w:sz w:val="20"/>
                <w:szCs w:val="20"/>
                <w:lang w:val="hy-AM"/>
              </w:rPr>
              <w:t>լուծումները</w:t>
            </w:r>
          </w:p>
          <w:p w:rsidR="00A67B6B" w:rsidRPr="0053423A" w:rsidRDefault="00A67B6B" w:rsidP="00A67858">
            <w:pPr>
              <w:tabs>
                <w:tab w:val="left" w:pos="508"/>
              </w:tabs>
              <w:spacing w:after="0" w:line="276" w:lineRule="auto"/>
              <w:jc w:val="both"/>
              <w:rPr>
                <w:rFonts w:eastAsia="Calibri" w:cs="Times New Roman"/>
                <w:sz w:val="20"/>
                <w:szCs w:val="20"/>
                <w:lang w:val="hy-AM"/>
              </w:rPr>
            </w:pPr>
            <w:r w:rsidRPr="0053423A">
              <w:rPr>
                <w:rFonts w:eastAsia="Calibri" w:cs="Times New Roman"/>
                <w:sz w:val="20"/>
                <w:szCs w:val="20"/>
                <w:lang w:val="hy-AM"/>
              </w:rPr>
              <w:t xml:space="preserve">Ներդնել </w:t>
            </w:r>
            <w:r w:rsidRPr="0053423A">
              <w:rPr>
                <w:rFonts w:eastAsia="Calibri" w:cs="Times New Roman"/>
                <w:sz w:val="20"/>
                <w:szCs w:val="20"/>
              </w:rPr>
              <w:t>բաժանորդային</w:t>
            </w:r>
            <w:r w:rsidRPr="0053423A">
              <w:rPr>
                <w:rFonts w:eastAsia="Calibri" w:cs="Times New Roman"/>
                <w:sz w:val="20"/>
                <w:szCs w:val="20"/>
                <w:lang w:val="hy-AM"/>
              </w:rPr>
              <w:t xml:space="preserve"> համակարգ</w:t>
            </w:r>
            <w:r w:rsidRPr="0053423A">
              <w:rPr>
                <w:rFonts w:eastAsia="Calibri" w:cs="Times New Roman"/>
                <w:sz w:val="20"/>
                <w:szCs w:val="20"/>
              </w:rPr>
              <w:t>ի</w:t>
            </w:r>
            <w:r w:rsidRPr="0053423A">
              <w:rPr>
                <w:rFonts w:eastAsia="Calibri" w:cs="Times New Roman"/>
                <w:sz w:val="20"/>
                <w:szCs w:val="20"/>
                <w:lang w:val="af-ZA"/>
              </w:rPr>
              <w:t xml:space="preserve"> </w:t>
            </w:r>
            <w:r w:rsidRPr="0053423A">
              <w:rPr>
                <w:rFonts w:eastAsia="Calibri" w:cs="Times New Roman"/>
                <w:sz w:val="20"/>
                <w:szCs w:val="20"/>
              </w:rPr>
              <w:t>ծրագիր</w:t>
            </w:r>
            <w:r w:rsidRPr="0053423A">
              <w:rPr>
                <w:rFonts w:eastAsia="Calibri" w:cs="Times New Roman"/>
                <w:sz w:val="20"/>
                <w:szCs w:val="20"/>
                <w:lang w:val="hy-AM"/>
              </w:rPr>
              <w:t xml:space="preserve"> բոլոր դպրոցների աշակերտների համար մշակութային հաստատությունների եռակի մուտքի հնարավորությամբ՝ հիմնված «dasaran.am»-ում ստեղծված միասնական տոմսային համակարգի, խաղացանկի և սոցիալական հարթակի վրա։ Բաժանորդային համակարգի ներդրման ծրագիրը հնարավորություն է տալիս մոտ 380,000 աշակերտի՝ անկախ սոցիալական ծագուցից, բնակության վայրից և մշակութային հաստատության հասանելիությունից, մասնակցել իր համայնքի կամ ցանկացած այլ քաղաքի մշակութային միջոցառմանը։ Ծրագիրը երաշխավորում է դպրոցահասակների մշակութային իրավունքի իրացման նվազագույն հնարավորությունը՝ միաժամանակ մշակութային հաստատություններին ընձեռելով նոր թիրախային խմբեր և մրցակցային հնարավորություններ։ Վերջինս առավել կարևոր է հատկապես ճգտնաժամային վիճակում գտնվող մարզային հաստատությունների համար, քանի որ երաշխավորում է ամբողջական դահլիճի վարձավճարը՝ անկախ հանդիսատեսի քանակից։</w:t>
            </w:r>
          </w:p>
          <w:p w:rsidR="00A67B6B" w:rsidRPr="0053423A" w:rsidRDefault="00A67B6B" w:rsidP="00A67858">
            <w:pPr>
              <w:tabs>
                <w:tab w:val="left" w:pos="508"/>
              </w:tabs>
              <w:spacing w:after="0" w:line="276" w:lineRule="auto"/>
              <w:contextualSpacing/>
              <w:rPr>
                <w:rFonts w:eastAsia="Calibri" w:cs="Times New Roman"/>
                <w:b/>
                <w:sz w:val="20"/>
                <w:szCs w:val="20"/>
                <w:lang w:val="hy-AM"/>
              </w:rPr>
            </w:pPr>
            <w:r w:rsidRPr="0053423A">
              <w:rPr>
                <w:rFonts w:eastAsia="Calibri" w:cs="Times New Roman"/>
                <w:b/>
                <w:sz w:val="20"/>
                <w:szCs w:val="20"/>
                <w:lang w:val="hy-AM"/>
              </w:rPr>
              <w:t xml:space="preserve">2. Միջոցառման </w:t>
            </w:r>
            <w:r w:rsidRPr="0053423A">
              <w:rPr>
                <w:rFonts w:eastAsia="Calibri" w:cs="Sylfaen"/>
                <w:b/>
                <w:sz w:val="20"/>
                <w:szCs w:val="20"/>
                <w:lang w:val="hy-AM"/>
              </w:rPr>
              <w:t>իրակա</w:t>
            </w:r>
            <w:r w:rsidRPr="0053423A">
              <w:rPr>
                <w:rFonts w:eastAsia="Calibri" w:cs="Times New Roman"/>
                <w:b/>
                <w:sz w:val="20"/>
                <w:szCs w:val="20"/>
                <w:lang w:val="hy-AM"/>
              </w:rPr>
              <w:t>նա</w:t>
            </w:r>
            <w:r w:rsidRPr="0053423A">
              <w:rPr>
                <w:rFonts w:eastAsia="Calibri" w:cs="Sylfaen"/>
                <w:b/>
                <w:sz w:val="20"/>
                <w:szCs w:val="20"/>
                <w:lang w:val="hy-AM"/>
              </w:rPr>
              <w:t>ցումից</w:t>
            </w:r>
            <w:r w:rsidRPr="0053423A">
              <w:rPr>
                <w:rFonts w:eastAsia="Calibri" w:cs="Times New Roman"/>
                <w:b/>
                <w:sz w:val="20"/>
                <w:szCs w:val="20"/>
                <w:lang w:val="hy-AM"/>
              </w:rPr>
              <w:t xml:space="preserve"> ակնկալվող արդյունքը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hy-AM"/>
              </w:rPr>
              <w:t>Միջոցառման հիմնական արդյունքներն են՝ աշակերտների պարբերական այցերը մշակութային հաստատություններ, մշակութային հաստատությունից օգտվելու ավանդույթի ձևավորումը վաղ հասակից, ճաշակի ձևավորումը դպրոցահասկաների շրջանում, մշակութային գիտելիքների և տեղեկության տրամադրումը՝ օգտագործելով ժամանակակից տեխնոլոգիական միջոցները, հատկապես մարզային մշակութային կյանքի ակտիվացումը՝ ի հաշիվ նոր հանդիսատեսների հոսքի, մրցակցային միջավայրի ձևավորումը և դրա արդյունքում առավել բարձրորակ մշակութային արտադրանքի տրամադրումը։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p>
          <w:p w:rsidR="00A67B6B" w:rsidRPr="0053423A" w:rsidRDefault="00A67B6B" w:rsidP="00A67858">
            <w:pPr>
              <w:spacing w:after="0" w:line="276" w:lineRule="auto"/>
              <w:jc w:val="center"/>
              <w:rPr>
                <w:rFonts w:eastAsia="Times New Roman" w:cs="Times New Roman"/>
                <w:b/>
                <w:sz w:val="20"/>
                <w:szCs w:val="20"/>
                <w:lang w:val="hy-AM"/>
              </w:rPr>
            </w:pPr>
            <w:r w:rsidRPr="0053423A">
              <w:rPr>
                <w:rFonts w:eastAsia="Times New Roman" w:cs="Times New Roman"/>
                <w:b/>
                <w:sz w:val="20"/>
                <w:szCs w:val="20"/>
                <w:lang w:val="hy-AM"/>
              </w:rPr>
              <w:t xml:space="preserve">5.3 </w:t>
            </w:r>
            <w:r w:rsidRPr="0053423A">
              <w:rPr>
                <w:rFonts w:eastAsia="Calibri" w:cs="Arian AMU"/>
                <w:b/>
                <w:sz w:val="20"/>
                <w:szCs w:val="20"/>
                <w:lang w:val="hy-AM"/>
              </w:rPr>
              <w:t>Հայաստանի Հանրապետությունում տաղանդավոր պատանի երաժիշտ-կատարողների զարգացման, կատարելագործման և խրախուսման նպատակային ծրագրի իրականացում</w:t>
            </w:r>
          </w:p>
          <w:p w:rsidR="00A67B6B" w:rsidRPr="0053423A" w:rsidRDefault="00A67B6B" w:rsidP="00A67858">
            <w:pPr>
              <w:spacing w:after="0" w:line="276" w:lineRule="auto"/>
              <w:ind w:firstLine="375"/>
              <w:rPr>
                <w:rFonts w:eastAsia="Times New Roman" w:cs="Times New Roman"/>
                <w:sz w:val="20"/>
                <w:szCs w:val="20"/>
                <w:lang w:val="hy-AM"/>
              </w:rPr>
            </w:pPr>
          </w:p>
          <w:p w:rsidR="00A67B6B" w:rsidRPr="0053423A" w:rsidRDefault="00A67B6B" w:rsidP="00A67858">
            <w:pPr>
              <w:spacing w:after="0" w:line="276" w:lineRule="auto"/>
              <w:ind w:left="374"/>
              <w:rPr>
                <w:rFonts w:eastAsia="Times New Roman" w:cs="Times New Roman"/>
                <w:b/>
                <w:sz w:val="20"/>
                <w:szCs w:val="20"/>
                <w:lang w:val="hy-AM"/>
              </w:rPr>
            </w:pPr>
            <w:r w:rsidRPr="0053423A">
              <w:rPr>
                <w:rFonts w:eastAsia="Times New Roman" w:cs="Times New Roman"/>
                <w:b/>
                <w:sz w:val="20"/>
                <w:szCs w:val="20"/>
                <w:lang w:val="hy-AM"/>
              </w:rPr>
              <w:t xml:space="preserve">1. Միջոցառման իրակացման անհրաժեշտությունը և նպատակը </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pacing w:val="-4"/>
                <w:sz w:val="20"/>
                <w:szCs w:val="20"/>
                <w:lang w:val="hy-AM"/>
              </w:rPr>
              <w:t>Միջոցառումն</w:t>
            </w:r>
            <w:r w:rsidRPr="0053423A">
              <w:rPr>
                <w:rFonts w:eastAsia="Times New Roman" w:cs="Times New Roman"/>
                <w:sz w:val="20"/>
                <w:szCs w:val="20"/>
                <w:lang w:val="hy-AM"/>
              </w:rPr>
              <w:t xml:space="preserve"> ուղղված է 11-20 տարեկան առավել տաղանդավոր պատանի երաժիշտ-կատարողների (դասական երաժշտական գործիքներ՝ դաշնամուր, ջութակ, թավջութակ) զարգացմանը, կատարելագործմանը և խրախուսմանը` հետագայում միջազգային ասպարեզում հայկական կատարողական արվեստը ներկայացնելու նպատակով:</w:t>
            </w:r>
            <w:r w:rsidRPr="0053423A">
              <w:rPr>
                <w:rFonts w:eastAsia="Cambria" w:cs="Times New Roman"/>
                <w:sz w:val="20"/>
                <w:szCs w:val="20"/>
                <w:lang w:val="hy-AM"/>
              </w:rPr>
              <w:t xml:space="preserve">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spacing w:after="0" w:line="276" w:lineRule="auto"/>
              <w:jc w:val="both"/>
              <w:rPr>
                <w:rFonts w:eastAsia="Calibri" w:cs="Sylfaen"/>
                <w:sz w:val="20"/>
                <w:szCs w:val="20"/>
                <w:lang w:val="hy-AM"/>
              </w:rPr>
            </w:pPr>
          </w:p>
          <w:p w:rsidR="00A67B6B" w:rsidRPr="0053423A" w:rsidRDefault="00A67B6B" w:rsidP="00A67858">
            <w:pPr>
              <w:spacing w:after="0" w:line="276" w:lineRule="auto"/>
              <w:rPr>
                <w:rFonts w:eastAsia="Times New Roman" w:cs="Times New Roman"/>
                <w:b/>
                <w:sz w:val="20"/>
                <w:szCs w:val="20"/>
                <w:lang w:val="hy-AM"/>
              </w:rPr>
            </w:pPr>
            <w:r w:rsidRPr="0053423A">
              <w:rPr>
                <w:rFonts w:eastAsia="Times New Roman" w:cs="Times New Roman"/>
                <w:b/>
                <w:sz w:val="20"/>
                <w:szCs w:val="20"/>
                <w:lang w:val="hy-AM"/>
              </w:rPr>
              <w:t xml:space="preserve">1.1. Կարգավորման հարաբերությունների ներկա վիճակը և առկա խնդիրները </w:t>
            </w:r>
          </w:p>
          <w:p w:rsidR="00A67B6B" w:rsidRPr="0053423A" w:rsidRDefault="00A67B6B" w:rsidP="00A67858">
            <w:pPr>
              <w:spacing w:after="0" w:line="276" w:lineRule="auto"/>
              <w:jc w:val="both"/>
              <w:rPr>
                <w:rFonts w:eastAsia="Times New Roman" w:cs="Times New Roman"/>
                <w:sz w:val="20"/>
                <w:szCs w:val="20"/>
                <w:lang w:val="hy-AM"/>
              </w:rPr>
            </w:pPr>
            <w:r w:rsidRPr="0053423A">
              <w:rPr>
                <w:rFonts w:eastAsia="Times New Roman" w:cs="Times New Roman"/>
                <w:sz w:val="20"/>
                <w:szCs w:val="20"/>
                <w:lang w:val="hy-AM"/>
              </w:rPr>
              <w:t>Մշակութային կրթության ոլորտում իրականացվող ծրագրերն ու միջոցառումներն ուղղված են ոլորտի կայուն զարգացմանն ու մշակութային կրթության և գեղագիտական դաստիարակության մատչելիության և կրթական ծառայությունների համահարթեցման ապահովմանը, որը սակայն, չի ապահովում օժտված երեխաների և պատանիների բացահայտման, նրանց հետագա կատարելագործման և նպատակային զարգացման բավարար պայմանները: Մշակութային կրթության գործող համակարգը թերի է՝ օժտված և տաղանդավոր երեխաների բացահայտման, նրանց մասնագիտական զարգացման, խորացված ուսուցման կազմակերպման և կատարողական արվեստների բնագավառում անհրաժեշտ այլ կարողություններ և  հմտություններ փոխանցելու գործառույթներում:</w:t>
            </w:r>
          </w:p>
          <w:p w:rsidR="00A67B6B" w:rsidRPr="0053423A" w:rsidRDefault="00A67B6B" w:rsidP="00A67858">
            <w:pPr>
              <w:spacing w:after="0" w:line="276" w:lineRule="auto"/>
              <w:jc w:val="both"/>
              <w:rPr>
                <w:rFonts w:eastAsia="Times New Roman" w:cs="Times New Roman"/>
                <w:sz w:val="20"/>
                <w:szCs w:val="20"/>
                <w:lang w:val="hy-AM"/>
              </w:rPr>
            </w:pPr>
          </w:p>
          <w:p w:rsidR="00A67B6B" w:rsidRPr="0053423A" w:rsidRDefault="00A67B6B" w:rsidP="001F6D5D">
            <w:pPr>
              <w:numPr>
                <w:ilvl w:val="1"/>
                <w:numId w:val="213"/>
              </w:numPr>
              <w:tabs>
                <w:tab w:val="left" w:pos="605"/>
              </w:tabs>
              <w:spacing w:after="0" w:line="276" w:lineRule="auto"/>
              <w:ind w:hanging="1080"/>
              <w:contextualSpacing/>
              <w:jc w:val="both"/>
              <w:rPr>
                <w:rFonts w:eastAsia="Calibri" w:cs="Times New Roman"/>
                <w:b/>
                <w:bCs/>
                <w:sz w:val="20"/>
                <w:szCs w:val="20"/>
              </w:rPr>
            </w:pPr>
            <w:r w:rsidRPr="0053423A">
              <w:rPr>
                <w:rFonts w:eastAsia="Times New Roman" w:cs="Times New Roman"/>
                <w:b/>
                <w:sz w:val="20"/>
                <w:szCs w:val="20"/>
              </w:rPr>
              <w:t>Ա</w:t>
            </w:r>
            <w:r w:rsidRPr="0053423A">
              <w:rPr>
                <w:rFonts w:eastAsia="Times New Roman" w:cs="Times New Roman"/>
                <w:b/>
                <w:sz w:val="20"/>
                <w:szCs w:val="20"/>
                <w:lang w:val="hy-AM"/>
              </w:rPr>
              <w:t xml:space="preserve">ռկա խնդիրների առաջարկվող լուծումները </w:t>
            </w:r>
          </w:p>
          <w:p w:rsidR="00A67B6B" w:rsidRPr="0053423A" w:rsidRDefault="00A67B6B" w:rsidP="00A67858">
            <w:pPr>
              <w:spacing w:after="0" w:line="276" w:lineRule="auto"/>
              <w:jc w:val="both"/>
              <w:rPr>
                <w:rFonts w:eastAsia="Calibri" w:cs="Times New Roman"/>
                <w:sz w:val="20"/>
                <w:szCs w:val="20"/>
              </w:rPr>
            </w:pPr>
            <w:r w:rsidRPr="0053423A">
              <w:rPr>
                <w:rFonts w:eastAsia="Calibri" w:cs="Times New Roman"/>
                <w:spacing w:val="-4"/>
                <w:sz w:val="20"/>
                <w:szCs w:val="20"/>
              </w:rPr>
              <w:t xml:space="preserve">Ծրագրի իրականացումը կստեղծի </w:t>
            </w:r>
            <w:r w:rsidRPr="0053423A">
              <w:rPr>
                <w:rFonts w:eastAsia="Calibri" w:cs="Times New Roman"/>
                <w:sz w:val="20"/>
                <w:szCs w:val="20"/>
              </w:rPr>
              <w:t>համապատասխան հարթակներ, որը</w:t>
            </w:r>
            <w:r w:rsidRPr="0053423A">
              <w:rPr>
                <w:rFonts w:eastAsia="Calibri" w:cs="Times New Roman"/>
                <w:spacing w:val="-4"/>
                <w:sz w:val="20"/>
                <w:szCs w:val="20"/>
              </w:rPr>
              <w:t xml:space="preserve"> հնարավորություն կտա </w:t>
            </w:r>
            <w:r w:rsidRPr="0053423A">
              <w:rPr>
                <w:rFonts w:eastAsia="Calibri" w:cs="Times New Roman"/>
                <w:sz w:val="20"/>
                <w:szCs w:val="20"/>
              </w:rPr>
              <w:t>ապահովվել ուսուցման նոր մեթոդիկայի, կատարելագործման և ունակությունների զարգացման հատուկ պլան, որի շնորհիվ շահառուները հնարավորություն են կստանա առավել նպաստավոր պայմաններում զարգացել մասնագիտական կարողություններն ու տաղանդը, ձեռք բերել բեմական փորձ, միջազգային շփումներ, մասնակցել վարպետության դասերի աշխարհի լավագույն մանկավարժների և երաժիշտների մոտ:</w:t>
            </w:r>
          </w:p>
          <w:p w:rsidR="00A67B6B" w:rsidRPr="0053423A" w:rsidRDefault="00A67B6B" w:rsidP="00A67858">
            <w:pPr>
              <w:spacing w:after="0" w:line="276" w:lineRule="auto"/>
              <w:ind w:firstLine="720"/>
              <w:jc w:val="both"/>
              <w:rPr>
                <w:rFonts w:eastAsia="Calibri" w:cs="Times New Roman"/>
                <w:sz w:val="20"/>
                <w:szCs w:val="20"/>
              </w:rPr>
            </w:pPr>
          </w:p>
          <w:p w:rsidR="00A67B6B" w:rsidRPr="0053423A" w:rsidRDefault="00A67B6B" w:rsidP="001F6D5D">
            <w:pPr>
              <w:numPr>
                <w:ilvl w:val="0"/>
                <w:numId w:val="213"/>
              </w:numPr>
              <w:tabs>
                <w:tab w:val="left" w:pos="395"/>
              </w:tabs>
              <w:spacing w:after="0" w:line="276" w:lineRule="auto"/>
              <w:ind w:hanging="720"/>
              <w:contextualSpacing/>
              <w:rPr>
                <w:rFonts w:eastAsia="Times New Roman" w:cs="Times New Roman"/>
                <w:b/>
                <w:sz w:val="20"/>
                <w:szCs w:val="20"/>
                <w:lang w:val="hy-AM"/>
              </w:rPr>
            </w:pPr>
            <w:r w:rsidRPr="0053423A">
              <w:rPr>
                <w:rFonts w:eastAsia="Times New Roman" w:cs="Times New Roman"/>
                <w:b/>
                <w:sz w:val="20"/>
                <w:szCs w:val="20"/>
                <w:lang w:val="hy-AM"/>
              </w:rPr>
              <w:t>Միջոցառման իրականացումից ակնկալվող արդյունքը</w:t>
            </w:r>
          </w:p>
          <w:p w:rsidR="00A67B6B" w:rsidRPr="0053423A" w:rsidRDefault="00A67B6B" w:rsidP="00A67858">
            <w:pPr>
              <w:tabs>
                <w:tab w:val="left" w:pos="508"/>
              </w:tabs>
              <w:spacing w:after="0" w:line="276" w:lineRule="auto"/>
              <w:contextualSpacing/>
              <w:jc w:val="both"/>
              <w:rPr>
                <w:rFonts w:eastAsia="Calibri" w:cs="Sylfaen"/>
                <w:spacing w:val="-4"/>
                <w:sz w:val="20"/>
                <w:szCs w:val="20"/>
                <w:lang w:val="hy-AM"/>
              </w:rPr>
            </w:pPr>
            <w:r w:rsidRPr="0053423A">
              <w:rPr>
                <w:rFonts w:eastAsia="Calibri" w:cs="Sylfaen"/>
                <w:spacing w:val="-4"/>
                <w:sz w:val="20"/>
                <w:szCs w:val="20"/>
                <w:lang w:val="hy-AM"/>
              </w:rPr>
              <w:t>Ծրագրի մասնակիցների պրոֆեսիոնալ աճ և զարգացում, դասական կատարողական արվեստի ոլորտում բնականոն սերնդափոխության հիմքերի ձևավորում, միջազգային ասպարեզում և մշակութային շուկայում հայ կատարողական արվեստի մրցունակության ապահովում, ազգային և համամարդկային հոգևոր-մշակութային արժեքների պահպանում, զարգացում և հանրահռչակում, մշակութային համաչափ զարգացում, հայկական կատարողական դպրոցի լավագույն ավանդույթների պահպանում և փոխանցում:</w:t>
            </w:r>
          </w:p>
          <w:p w:rsidR="00A67B6B" w:rsidRPr="0053423A" w:rsidRDefault="00A67B6B" w:rsidP="00A67858">
            <w:pPr>
              <w:tabs>
                <w:tab w:val="left" w:pos="508"/>
              </w:tabs>
              <w:spacing w:after="0" w:line="276" w:lineRule="auto"/>
              <w:contextualSpacing/>
              <w:jc w:val="both"/>
              <w:rPr>
                <w:rFonts w:eastAsia="Calibri" w:cs="Sylfaen"/>
                <w:spacing w:val="-4"/>
                <w:sz w:val="20"/>
                <w:szCs w:val="20"/>
                <w:lang w:val="hy-AM"/>
              </w:rPr>
            </w:pPr>
          </w:p>
          <w:p w:rsidR="00A67B6B" w:rsidRPr="0053423A" w:rsidRDefault="00A67B6B" w:rsidP="00A67858">
            <w:pPr>
              <w:tabs>
                <w:tab w:val="left" w:pos="508"/>
              </w:tabs>
              <w:spacing w:after="0" w:line="276" w:lineRule="auto"/>
              <w:contextualSpacing/>
              <w:jc w:val="center"/>
              <w:rPr>
                <w:rFonts w:eastAsia="Calibri" w:cs="Times New Roman"/>
                <w:b/>
                <w:sz w:val="20"/>
                <w:szCs w:val="20"/>
                <w:lang w:val="hy-AM"/>
              </w:rPr>
            </w:pPr>
            <w:r w:rsidRPr="0053423A">
              <w:rPr>
                <w:rFonts w:eastAsia="Calibri" w:cs="Times New Roman"/>
                <w:b/>
                <w:sz w:val="20"/>
                <w:szCs w:val="20"/>
                <w:lang w:val="hy-AM"/>
              </w:rPr>
              <w:t>5.4 Թանգարանային գիտակրթական ծրագրերում հանրակրթական դպրոցների ուսումնական ծրագրերի բաղադրիչի ներառում</w:t>
            </w:r>
          </w:p>
          <w:p w:rsidR="00A67B6B" w:rsidRPr="0053423A" w:rsidRDefault="00A67B6B" w:rsidP="00A67858">
            <w:pPr>
              <w:tabs>
                <w:tab w:val="left" w:pos="508"/>
              </w:tabs>
              <w:spacing w:after="0" w:line="276" w:lineRule="auto"/>
              <w:contextualSpacing/>
              <w:jc w:val="center"/>
              <w:rPr>
                <w:rFonts w:eastAsia="Calibri" w:cs="Times New Roman"/>
                <w:sz w:val="20"/>
                <w:szCs w:val="20"/>
                <w:lang w:val="hy-AM"/>
              </w:rPr>
            </w:pPr>
          </w:p>
          <w:p w:rsidR="00A67B6B" w:rsidRPr="0053423A" w:rsidRDefault="00A67B6B" w:rsidP="00A67858">
            <w:pPr>
              <w:spacing w:after="0" w:line="276" w:lineRule="auto"/>
              <w:contextualSpacing/>
              <w:rPr>
                <w:rFonts w:eastAsia="Calibri" w:cs="Times New Roman"/>
                <w:b/>
                <w:sz w:val="20"/>
                <w:szCs w:val="20"/>
                <w:lang w:val="hy-AM"/>
              </w:rPr>
            </w:pPr>
            <w:r w:rsidRPr="0053423A">
              <w:rPr>
                <w:rFonts w:eastAsia="Calibri" w:cs="Times New Roman"/>
                <w:b/>
                <w:sz w:val="20"/>
                <w:szCs w:val="20"/>
                <w:lang w:val="hy-AM"/>
              </w:rPr>
              <w:t>1. Միջոցառման իրականացման անհրաժեշտությունը և 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hy-AM"/>
              </w:rPr>
              <w:t xml:space="preserve">«Թանգարանային գիտակրթական ծրագրերում հանրակրթական դպրոցների ուսումնական ծրագրերի բաղադրիչի ներառում» ծրագրի իրականացումը պայմանավորված է թանգարան-դպրոց կրթական գործընթացների ինտեգրման անհրաժեշտությամբ: 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p>
          <w:p w:rsidR="00A67B6B" w:rsidRPr="0053423A" w:rsidRDefault="00A67B6B" w:rsidP="00A67858">
            <w:pPr>
              <w:tabs>
                <w:tab w:val="left" w:pos="508"/>
              </w:tabs>
              <w:spacing w:after="0" w:line="276" w:lineRule="auto"/>
              <w:ind w:left="90"/>
              <w:contextualSpacing/>
              <w:rPr>
                <w:rFonts w:eastAsia="Calibri" w:cs="Times New Roman"/>
                <w:b/>
                <w:sz w:val="20"/>
                <w:szCs w:val="20"/>
                <w:lang w:val="af-ZA"/>
              </w:rPr>
            </w:pPr>
            <w:r w:rsidRPr="0053423A">
              <w:rPr>
                <w:rFonts w:eastAsia="Calibri" w:cs="Sylfaen"/>
                <w:b/>
                <w:sz w:val="20"/>
                <w:szCs w:val="20"/>
                <w:lang w:val="hy-AM"/>
              </w:rPr>
              <w:t xml:space="preserve">1.1 Կարգավորման </w:t>
            </w:r>
            <w:r w:rsidRPr="0053423A">
              <w:rPr>
                <w:rFonts w:eastAsia="Calibri" w:cs="Times New Roman"/>
                <w:b/>
                <w:sz w:val="20"/>
                <w:szCs w:val="20"/>
                <w:lang w:val="hy-AM"/>
              </w:rPr>
              <w:t>հարաբերությունների ներկա վիճակը և առկա խնդիրները</w:t>
            </w:r>
          </w:p>
          <w:p w:rsidR="00A67B6B" w:rsidRPr="0053423A" w:rsidRDefault="00A67B6B" w:rsidP="00A67858">
            <w:pPr>
              <w:tabs>
                <w:tab w:val="left" w:pos="508"/>
              </w:tabs>
              <w:spacing w:after="0" w:line="276" w:lineRule="auto"/>
              <w:contextualSpacing/>
              <w:jc w:val="both"/>
              <w:rPr>
                <w:rFonts w:eastAsia="Calibri" w:cs="GHEA Grapalat"/>
                <w:bCs/>
                <w:sz w:val="20"/>
                <w:szCs w:val="20"/>
                <w:lang w:val="hy-AM"/>
              </w:rPr>
            </w:pPr>
            <w:r w:rsidRPr="0053423A">
              <w:rPr>
                <w:rFonts w:eastAsia="Calibri" w:cs="GHEA Grapalat"/>
                <w:bCs/>
                <w:sz w:val="20"/>
                <w:szCs w:val="20"/>
                <w:lang w:val="hy-AM"/>
              </w:rPr>
              <w:t>Ներկայում ՀՀ մշակույթի նախարարության ենթակայության բոլոր թանգարաններն ի թիվս այլ գործառույթների իրականացնում են նաև կրթական բազմաբնույթ ծրագրեր, որոնք ապահովում են երեխաների մշակութային գիտելիքների և ճանաչողության ընդլայնումը: Այդ կրթական ծրագրերը հիմնականում տվյալ թանգարանի բնույթին և հավաքածուի ընձեռած հնարավությունների շրաջանակում են իրականացվում և անկախ են երեխայի պարտադիր կրթական ծրագրից: Գիտակրթական ծրագրերում հանրակրթական ուսումնական ծրագրերի բաղադրիչի ներառումը կօգնի դպրոցական պարտադիր ծրագրի ճիշտ և արդյունավետ ընկալմանը:</w:t>
            </w:r>
          </w:p>
          <w:p w:rsidR="00A67B6B" w:rsidRPr="0053423A" w:rsidRDefault="00A67B6B" w:rsidP="00A67858">
            <w:pPr>
              <w:tabs>
                <w:tab w:val="left" w:pos="508"/>
              </w:tabs>
              <w:spacing w:after="0" w:line="276" w:lineRule="auto"/>
              <w:contextualSpacing/>
              <w:jc w:val="both"/>
              <w:rPr>
                <w:rFonts w:eastAsia="Calibri" w:cs="Sylfaen"/>
                <w:b/>
                <w:sz w:val="20"/>
                <w:szCs w:val="20"/>
                <w:lang w:val="hy-AM"/>
              </w:rPr>
            </w:pPr>
          </w:p>
          <w:p w:rsidR="00A67B6B" w:rsidRPr="0053423A" w:rsidRDefault="00A67B6B" w:rsidP="00A67858">
            <w:pPr>
              <w:spacing w:after="0" w:line="276" w:lineRule="auto"/>
              <w:contextualSpacing/>
              <w:rPr>
                <w:rFonts w:eastAsia="Calibri" w:cs="Times New Roman"/>
                <w:b/>
                <w:sz w:val="20"/>
                <w:szCs w:val="20"/>
                <w:lang w:val="fr-FR"/>
              </w:rPr>
            </w:pPr>
            <w:r w:rsidRPr="0053423A">
              <w:rPr>
                <w:rFonts w:eastAsia="Calibri" w:cs="Times New Roman"/>
                <w:b/>
                <w:sz w:val="20"/>
                <w:szCs w:val="20"/>
                <w:lang w:val="hy-AM"/>
              </w:rPr>
              <w:t>1.2. Առկա</w:t>
            </w:r>
            <w:r w:rsidRPr="0053423A">
              <w:rPr>
                <w:rFonts w:eastAsia="Calibri" w:cs="Times New Roman"/>
                <w:b/>
                <w:sz w:val="20"/>
                <w:szCs w:val="20"/>
                <w:lang w:val="fr-FR"/>
              </w:rPr>
              <w:t xml:space="preserve"> </w:t>
            </w:r>
            <w:r w:rsidRPr="0053423A">
              <w:rPr>
                <w:rFonts w:eastAsia="Calibri" w:cs="Times New Roman"/>
                <w:b/>
                <w:sz w:val="20"/>
                <w:szCs w:val="20"/>
                <w:lang w:val="hy-AM"/>
              </w:rPr>
              <w:t>խնդիրների</w:t>
            </w:r>
            <w:r w:rsidRPr="0053423A">
              <w:rPr>
                <w:rFonts w:eastAsia="Calibri" w:cs="Times New Roman"/>
                <w:b/>
                <w:sz w:val="20"/>
                <w:szCs w:val="20"/>
                <w:lang w:val="fr-FR"/>
              </w:rPr>
              <w:t xml:space="preserve"> </w:t>
            </w:r>
            <w:r w:rsidRPr="0053423A">
              <w:rPr>
                <w:rFonts w:eastAsia="Calibri" w:cs="Times New Roman"/>
                <w:b/>
                <w:sz w:val="20"/>
                <w:szCs w:val="20"/>
                <w:lang w:val="hy-AM"/>
              </w:rPr>
              <w:t>առաջարկվող</w:t>
            </w:r>
            <w:r w:rsidRPr="0053423A">
              <w:rPr>
                <w:rFonts w:eastAsia="Calibri" w:cs="Times New Roman"/>
                <w:b/>
                <w:sz w:val="20"/>
                <w:szCs w:val="20"/>
                <w:lang w:val="fr-FR"/>
              </w:rPr>
              <w:t xml:space="preserve"> </w:t>
            </w:r>
            <w:r w:rsidRPr="0053423A">
              <w:rPr>
                <w:rFonts w:eastAsia="Calibri" w:cs="Times New Roman"/>
                <w:b/>
                <w:sz w:val="20"/>
                <w:szCs w:val="20"/>
                <w:lang w:val="hy-AM"/>
              </w:rPr>
              <w:t>լուծումները</w:t>
            </w:r>
          </w:p>
          <w:p w:rsidR="00A67B6B" w:rsidRPr="0053423A" w:rsidRDefault="00A67B6B" w:rsidP="00A67858">
            <w:pPr>
              <w:tabs>
                <w:tab w:val="left" w:pos="508"/>
              </w:tabs>
              <w:spacing w:after="0" w:line="276" w:lineRule="auto"/>
              <w:jc w:val="both"/>
              <w:rPr>
                <w:rFonts w:eastAsia="Calibri" w:cs="GHEA Grapalat"/>
                <w:sz w:val="20"/>
                <w:szCs w:val="20"/>
                <w:lang w:val="hy-AM"/>
              </w:rPr>
            </w:pPr>
            <w:r w:rsidRPr="0053423A">
              <w:rPr>
                <w:rFonts w:eastAsia="Calibri" w:cs="GHEA Grapalat"/>
                <w:bCs/>
                <w:sz w:val="20"/>
                <w:szCs w:val="20"/>
                <w:lang w:val="hy-AM"/>
              </w:rPr>
              <w:t>Գիտակրթական ծրագրերում հանրակրթական ուսումնական ծրագրերի բաղադրիչի ներառումը կօգնի դպրոցական պարտադիր ծրագրի ճիշտ և արդյունավետ ընկալմանը:</w:t>
            </w:r>
            <w:r w:rsidRPr="0053423A">
              <w:rPr>
                <w:rFonts w:eastAsia="Calibri" w:cs="Sylfaen"/>
                <w:b/>
                <w:sz w:val="20"/>
                <w:szCs w:val="20"/>
                <w:lang w:val="fr-FR"/>
              </w:rPr>
              <w:t xml:space="preserve"> </w:t>
            </w:r>
            <w:r w:rsidRPr="0053423A">
              <w:rPr>
                <w:rFonts w:eastAsia="Calibri" w:cs="GHEA Grapalat"/>
                <w:sz w:val="20"/>
                <w:szCs w:val="20"/>
                <w:lang w:val="hy-AM"/>
              </w:rPr>
              <w:t>Ծրագրի կարգավորման առարկան թանգարան-հանրակրթական հաստատություն կապի սերտացումն է, նոր հարաբերությունների մոդելի կիրառումը երեխայի ընդհանուր գիտելիքների ստացման պրոցեսում:</w:t>
            </w:r>
          </w:p>
          <w:p w:rsidR="00A67B6B" w:rsidRPr="0053423A" w:rsidRDefault="00A67B6B" w:rsidP="00A67858">
            <w:pPr>
              <w:tabs>
                <w:tab w:val="left" w:pos="508"/>
              </w:tabs>
              <w:spacing w:after="0" w:line="276" w:lineRule="auto"/>
              <w:jc w:val="both"/>
              <w:rPr>
                <w:rFonts w:eastAsia="Calibri" w:cs="Sylfaen"/>
                <w:b/>
                <w:sz w:val="20"/>
                <w:szCs w:val="20"/>
                <w:lang w:val="hy-AM"/>
              </w:rPr>
            </w:pPr>
          </w:p>
          <w:p w:rsidR="00A67B6B" w:rsidRPr="0053423A" w:rsidRDefault="00A67B6B" w:rsidP="00A67858">
            <w:pPr>
              <w:tabs>
                <w:tab w:val="left" w:pos="508"/>
              </w:tabs>
              <w:spacing w:after="0" w:line="276" w:lineRule="auto"/>
              <w:contextualSpacing/>
              <w:rPr>
                <w:rFonts w:eastAsia="Calibri" w:cs="Times New Roman"/>
                <w:b/>
                <w:sz w:val="20"/>
                <w:szCs w:val="20"/>
                <w:lang w:val="hy-AM"/>
              </w:rPr>
            </w:pPr>
            <w:r w:rsidRPr="0053423A">
              <w:rPr>
                <w:rFonts w:eastAsia="Calibri" w:cs="Times New Roman"/>
                <w:b/>
                <w:sz w:val="20"/>
                <w:szCs w:val="20"/>
                <w:lang w:val="hy-AM"/>
              </w:rPr>
              <w:t>2. Միջոցառման իրականացումից ակնկալվող արդյունքը</w:t>
            </w:r>
          </w:p>
          <w:p w:rsidR="00A67B6B" w:rsidRPr="0053423A" w:rsidRDefault="00A67B6B" w:rsidP="00A67858">
            <w:pPr>
              <w:tabs>
                <w:tab w:val="left" w:pos="508"/>
              </w:tabs>
              <w:spacing w:after="0" w:line="276" w:lineRule="auto"/>
              <w:contextualSpacing/>
              <w:jc w:val="both"/>
              <w:rPr>
                <w:rFonts w:eastAsia="Calibri" w:cs="GHEA Grapalat"/>
                <w:sz w:val="20"/>
                <w:szCs w:val="20"/>
                <w:lang w:val="af-ZA"/>
              </w:rPr>
            </w:pPr>
            <w:r w:rsidRPr="0053423A">
              <w:rPr>
                <w:rFonts w:eastAsia="Calibri" w:cs="GHEA Grapalat"/>
                <w:sz w:val="20"/>
                <w:szCs w:val="20"/>
                <w:lang w:val="hy-AM"/>
              </w:rPr>
              <w:t>Ծրագրի իրականացմամբ կապահովվի դպրոցական կրթական պրոցեսները թանգարանային միջավայրում առավել համընդգրկուն իրականացնելուն և կրթական ծրագիրը արդյունավետ յուրացնելուն</w:t>
            </w:r>
            <w:r w:rsidRPr="0053423A">
              <w:rPr>
                <w:rFonts w:eastAsia="Calibri" w:cs="GHEA Grapalat"/>
                <w:sz w:val="20"/>
                <w:szCs w:val="20"/>
                <w:lang w:val="af-ZA"/>
              </w:rPr>
              <w:t>:</w:t>
            </w:r>
          </w:p>
        </w:tc>
      </w:tr>
      <w:tr w:rsidR="00A67B6B" w:rsidRPr="00DE2EFA" w:rsidTr="00A67B6B">
        <w:tc>
          <w:tcPr>
            <w:tcW w:w="540" w:type="dxa"/>
            <w:shd w:val="clear" w:color="auto" w:fill="auto"/>
          </w:tcPr>
          <w:p w:rsidR="00A67B6B" w:rsidRPr="0053423A" w:rsidRDefault="00A67B6B" w:rsidP="00A67858">
            <w:pPr>
              <w:tabs>
                <w:tab w:val="left" w:pos="1418"/>
              </w:tabs>
              <w:spacing w:after="0" w:line="276" w:lineRule="auto"/>
              <w:jc w:val="center"/>
              <w:rPr>
                <w:rFonts w:eastAsia="Calibri" w:cs="Times New Roman"/>
                <w:caps/>
                <w:sz w:val="20"/>
                <w:szCs w:val="20"/>
                <w:lang w:val="tr-TR"/>
              </w:rPr>
            </w:pPr>
            <w:r w:rsidRPr="0053423A">
              <w:rPr>
                <w:rFonts w:eastAsia="Calibri" w:cs="Times New Roman"/>
                <w:caps/>
                <w:sz w:val="20"/>
                <w:szCs w:val="20"/>
                <w:lang w:val="ru-RU"/>
              </w:rPr>
              <w:t>6</w:t>
            </w:r>
          </w:p>
        </w:tc>
        <w:tc>
          <w:tcPr>
            <w:tcW w:w="10980" w:type="dxa"/>
            <w:shd w:val="clear" w:color="auto" w:fill="auto"/>
          </w:tcPr>
          <w:p w:rsidR="00A67B6B" w:rsidRPr="0053423A" w:rsidRDefault="00A67B6B" w:rsidP="00A67858">
            <w:pPr>
              <w:tabs>
                <w:tab w:val="left" w:pos="508"/>
              </w:tabs>
              <w:spacing w:after="0" w:line="276" w:lineRule="auto"/>
              <w:jc w:val="center"/>
              <w:rPr>
                <w:rFonts w:eastAsia="Times New Roman" w:cs="Times New Roman"/>
                <w:b/>
                <w:sz w:val="20"/>
                <w:szCs w:val="20"/>
                <w:lang w:val="tr-TR"/>
              </w:rPr>
            </w:pPr>
          </w:p>
          <w:p w:rsidR="00A67B6B" w:rsidRPr="0053423A" w:rsidRDefault="00A67B6B" w:rsidP="00A67858">
            <w:pPr>
              <w:tabs>
                <w:tab w:val="left" w:pos="508"/>
              </w:tabs>
              <w:spacing w:after="0" w:line="276" w:lineRule="auto"/>
              <w:ind w:right="-81"/>
              <w:contextualSpacing/>
              <w:jc w:val="center"/>
              <w:rPr>
                <w:rFonts w:eastAsia="Arial Unicode MS" w:cs="Arial Unicode MS"/>
                <w:b/>
                <w:sz w:val="20"/>
                <w:szCs w:val="20"/>
                <w:lang w:val="tr-TR"/>
              </w:rPr>
            </w:pPr>
            <w:r w:rsidRPr="0053423A">
              <w:rPr>
                <w:rFonts w:eastAsia="Times New Roman" w:cs="Sylfaen"/>
                <w:b/>
                <w:sz w:val="20"/>
                <w:szCs w:val="20"/>
                <w:lang w:val="tr-TR"/>
              </w:rPr>
              <w:t xml:space="preserve">6.1 </w:t>
            </w:r>
            <w:r w:rsidRPr="0053423A">
              <w:rPr>
                <w:rFonts w:eastAsia="Times New Roman" w:cs="Sylfaen"/>
                <w:b/>
                <w:sz w:val="20"/>
                <w:szCs w:val="20"/>
              </w:rPr>
              <w:t>Համայնքներում</w:t>
            </w:r>
            <w:r w:rsidRPr="0053423A">
              <w:rPr>
                <w:rFonts w:eastAsia="Times New Roman" w:cs="Calibri"/>
                <w:b/>
                <w:sz w:val="20"/>
                <w:szCs w:val="20"/>
                <w:lang w:val="tr-TR"/>
              </w:rPr>
              <w:t xml:space="preserve"> </w:t>
            </w:r>
            <w:r w:rsidRPr="0053423A">
              <w:rPr>
                <w:rFonts w:eastAsia="Times New Roman" w:cs="Sylfaen"/>
                <w:b/>
                <w:sz w:val="20"/>
                <w:szCs w:val="20"/>
              </w:rPr>
              <w:t>ոչ</w:t>
            </w:r>
            <w:r w:rsidRPr="0053423A">
              <w:rPr>
                <w:rFonts w:eastAsia="Times New Roman" w:cs="Calibri"/>
                <w:b/>
                <w:sz w:val="20"/>
                <w:szCs w:val="20"/>
                <w:lang w:val="tr-TR"/>
              </w:rPr>
              <w:t xml:space="preserve"> </w:t>
            </w:r>
            <w:r w:rsidRPr="0053423A">
              <w:rPr>
                <w:rFonts w:eastAsia="Times New Roman" w:cs="Sylfaen"/>
                <w:b/>
                <w:sz w:val="20"/>
                <w:szCs w:val="20"/>
              </w:rPr>
              <w:t>նյութական</w:t>
            </w:r>
            <w:r w:rsidRPr="0053423A">
              <w:rPr>
                <w:rFonts w:eastAsia="Times New Roman" w:cs="Calibri"/>
                <w:b/>
                <w:sz w:val="20"/>
                <w:szCs w:val="20"/>
                <w:lang w:val="tr-TR"/>
              </w:rPr>
              <w:t xml:space="preserve"> </w:t>
            </w:r>
            <w:r w:rsidRPr="0053423A">
              <w:rPr>
                <w:rFonts w:eastAsia="Times New Roman" w:cs="Sylfaen"/>
                <w:b/>
                <w:sz w:val="20"/>
                <w:szCs w:val="20"/>
              </w:rPr>
              <w:t>մշակութային</w:t>
            </w:r>
            <w:r w:rsidRPr="0053423A">
              <w:rPr>
                <w:rFonts w:eastAsia="Times New Roman" w:cs="Calibri"/>
                <w:b/>
                <w:sz w:val="20"/>
                <w:szCs w:val="20"/>
                <w:lang w:val="tr-TR"/>
              </w:rPr>
              <w:t xml:space="preserve"> </w:t>
            </w:r>
            <w:r w:rsidRPr="0053423A">
              <w:rPr>
                <w:rFonts w:eastAsia="Times New Roman" w:cs="Sylfaen"/>
                <w:b/>
                <w:sz w:val="20"/>
                <w:szCs w:val="20"/>
              </w:rPr>
              <w:t>ժառանգության</w:t>
            </w:r>
            <w:r w:rsidRPr="0053423A">
              <w:rPr>
                <w:rFonts w:eastAsia="Times New Roman" w:cs="Calibri"/>
                <w:b/>
                <w:sz w:val="20"/>
                <w:szCs w:val="20"/>
                <w:lang w:val="tr-TR"/>
              </w:rPr>
              <w:t xml:space="preserve"> </w:t>
            </w:r>
            <w:r w:rsidRPr="0053423A">
              <w:rPr>
                <w:rFonts w:eastAsia="Times New Roman" w:cs="Sylfaen"/>
                <w:b/>
                <w:sz w:val="20"/>
                <w:szCs w:val="20"/>
              </w:rPr>
              <w:t>ծրագրերի</w:t>
            </w:r>
            <w:r w:rsidRPr="0053423A">
              <w:rPr>
                <w:rFonts w:eastAsia="Times New Roman" w:cs="Calibri"/>
                <w:b/>
                <w:sz w:val="20"/>
                <w:szCs w:val="20"/>
                <w:lang w:val="tr-TR"/>
              </w:rPr>
              <w:t xml:space="preserve"> </w:t>
            </w:r>
            <w:r w:rsidRPr="0053423A">
              <w:rPr>
                <w:rFonts w:eastAsia="Times New Roman" w:cs="Sylfaen"/>
                <w:b/>
                <w:sz w:val="20"/>
                <w:szCs w:val="20"/>
              </w:rPr>
              <w:t>իրականացում</w:t>
            </w:r>
            <w:r w:rsidRPr="0053423A">
              <w:rPr>
                <w:rFonts w:eastAsia="Times New Roman" w:cs="Calibri"/>
                <w:b/>
                <w:sz w:val="20"/>
                <w:szCs w:val="20"/>
                <w:lang w:val="tr-TR"/>
              </w:rPr>
              <w:t xml:space="preserve"> </w:t>
            </w:r>
          </w:p>
          <w:p w:rsidR="00A67B6B" w:rsidRPr="0053423A" w:rsidRDefault="00A67B6B" w:rsidP="00A67858">
            <w:pPr>
              <w:tabs>
                <w:tab w:val="left" w:pos="508"/>
              </w:tabs>
              <w:spacing w:after="0" w:line="276" w:lineRule="auto"/>
              <w:ind w:right="-81"/>
              <w:contextualSpacing/>
              <w:jc w:val="center"/>
              <w:rPr>
                <w:rFonts w:eastAsia="Calibri" w:cs="GHEA Grapalat"/>
                <w:sz w:val="20"/>
                <w:szCs w:val="20"/>
                <w:lang w:val="af-ZA"/>
              </w:rPr>
            </w:pPr>
          </w:p>
          <w:p w:rsidR="00A67B6B" w:rsidRPr="0053423A" w:rsidRDefault="00A67B6B" w:rsidP="001F6D5D">
            <w:pPr>
              <w:numPr>
                <w:ilvl w:val="0"/>
                <w:numId w:val="215"/>
              </w:numPr>
              <w:tabs>
                <w:tab w:val="left" w:pos="508"/>
              </w:tabs>
              <w:spacing w:after="0" w:line="276" w:lineRule="auto"/>
              <w:ind w:left="0" w:right="-81" w:firstLine="90"/>
              <w:contextualSpacing/>
              <w:rPr>
                <w:rFonts w:eastAsia="Calibri" w:cs="Times New Roman"/>
                <w:b/>
                <w:sz w:val="20"/>
                <w:szCs w:val="20"/>
                <w:lang w:val="af-ZA"/>
              </w:rPr>
            </w:pPr>
            <w:r w:rsidRPr="0053423A">
              <w:rPr>
                <w:rFonts w:eastAsia="Calibri" w:cs="Sylfaen"/>
                <w:b/>
                <w:sz w:val="20"/>
                <w:szCs w:val="20"/>
              </w:rPr>
              <w:t>Միջոցառման</w:t>
            </w:r>
            <w:r w:rsidRPr="0053423A">
              <w:rPr>
                <w:rFonts w:eastAsia="Calibri" w:cs="Sylfaen"/>
                <w:b/>
                <w:sz w:val="20"/>
                <w:szCs w:val="20"/>
                <w:lang w:val="af-ZA"/>
              </w:rPr>
              <w:t xml:space="preserve"> </w:t>
            </w:r>
            <w:r w:rsidRPr="0053423A">
              <w:rPr>
                <w:rFonts w:eastAsia="Calibri" w:cs="Sylfaen"/>
                <w:b/>
                <w:sz w:val="20"/>
                <w:szCs w:val="20"/>
              </w:rPr>
              <w:t>իրակա</w:t>
            </w:r>
            <w:r w:rsidRPr="0053423A">
              <w:rPr>
                <w:rFonts w:eastAsia="Calibri" w:cs="Times New Roman"/>
                <w:b/>
                <w:sz w:val="20"/>
                <w:szCs w:val="20"/>
                <w:lang w:val="hy-AM"/>
              </w:rPr>
              <w:t>նա</w:t>
            </w:r>
            <w:r w:rsidRPr="0053423A">
              <w:rPr>
                <w:rFonts w:eastAsia="Calibri" w:cs="Times New Roman"/>
                <w:b/>
                <w:sz w:val="20"/>
                <w:szCs w:val="20"/>
              </w:rPr>
              <w:t>ցման</w:t>
            </w:r>
            <w:r w:rsidRPr="0053423A">
              <w:rPr>
                <w:rFonts w:eastAsia="Calibri" w:cs="Times New Roman"/>
                <w:b/>
                <w:sz w:val="20"/>
                <w:szCs w:val="20"/>
                <w:lang w:val="af-ZA"/>
              </w:rPr>
              <w:t xml:space="preserve"> </w:t>
            </w:r>
            <w:r w:rsidRPr="0053423A">
              <w:rPr>
                <w:rFonts w:eastAsia="Calibri" w:cs="Times New Roman"/>
                <w:b/>
                <w:sz w:val="20"/>
                <w:szCs w:val="20"/>
              </w:rPr>
              <w:t>անհրաժեշտությունը</w:t>
            </w:r>
            <w:r w:rsidRPr="0053423A">
              <w:rPr>
                <w:rFonts w:eastAsia="Calibri" w:cs="Times New Roman"/>
                <w:b/>
                <w:sz w:val="20"/>
                <w:szCs w:val="20"/>
                <w:lang w:val="af-ZA"/>
              </w:rPr>
              <w:t xml:space="preserve"> </w:t>
            </w:r>
            <w:r w:rsidRPr="0053423A">
              <w:rPr>
                <w:rFonts w:eastAsia="Calibri" w:cs="Times New Roman"/>
                <w:b/>
                <w:sz w:val="20"/>
                <w:szCs w:val="20"/>
              </w:rPr>
              <w:t>և</w:t>
            </w:r>
            <w:r w:rsidRPr="0053423A">
              <w:rPr>
                <w:rFonts w:eastAsia="Calibri" w:cs="Times New Roman"/>
                <w:b/>
                <w:sz w:val="20"/>
                <w:szCs w:val="20"/>
                <w:lang w:val="af-ZA"/>
              </w:rPr>
              <w:t xml:space="preserve"> </w:t>
            </w:r>
            <w:r w:rsidRPr="0053423A">
              <w:rPr>
                <w:rFonts w:eastAsia="Calibri" w:cs="Times New Roman"/>
                <w:b/>
                <w:sz w:val="20"/>
                <w:szCs w:val="20"/>
              </w:rPr>
              <w:t>նպատակը</w:t>
            </w:r>
          </w:p>
          <w:p w:rsidR="00A67B6B" w:rsidRPr="0053423A" w:rsidRDefault="00A67B6B" w:rsidP="00A67858">
            <w:pPr>
              <w:shd w:val="clear" w:color="auto" w:fill="FFFFFF"/>
              <w:spacing w:after="0" w:line="276" w:lineRule="auto"/>
              <w:ind w:right="-81"/>
              <w:jc w:val="both"/>
              <w:rPr>
                <w:rFonts w:eastAsia="Times New Roman" w:cs="Times New Roman"/>
                <w:sz w:val="20"/>
                <w:szCs w:val="20"/>
                <w:lang w:val="hy-AM"/>
              </w:rPr>
            </w:pPr>
            <w:r w:rsidRPr="0053423A">
              <w:rPr>
                <w:rFonts w:eastAsia="Times New Roman" w:cs="Times New Roman"/>
                <w:sz w:val="20"/>
                <w:szCs w:val="20"/>
                <w:lang w:val="hy-AM"/>
              </w:rPr>
              <w:t>«Արար». ազգային մշակույթի պահպանման, տարածման, զարգացման և հանրահռչակման» ծրագիրն իրականացվում է Հայաստանի Հանրապետության 6 մարզերի 27 համայնքներում՝ Կոտայքում (Եղվարդ, Թեղենիք, Քարաշամբ, Հացավան, Գեղադիր համայնքներ), Տավուշում (Նոյեմբերյան, Այրում, Բերդավան, Բաղանիս, Դովեղ, Ջուջևան, Լճկաձոր, Պտղավան, Ոսկեվան համայնքներ), Արմավիրում (Հացիկ, Մյասնիկյան, Խանջյան, Վանանդ, Երվանդաշատ, Բագարան,</w:t>
            </w:r>
            <w:r w:rsidRPr="0053423A">
              <w:rPr>
                <w:rFonts w:eastAsia="Times New Roman" w:cs="GHEA Grapalat"/>
                <w:sz w:val="20"/>
                <w:szCs w:val="20"/>
                <w:lang w:val="hy-AM"/>
              </w:rPr>
              <w:t>Կողբավան,</w:t>
            </w:r>
            <w:r w:rsidRPr="0053423A">
              <w:rPr>
                <w:rFonts w:eastAsia="Times New Roman" w:cs="Times New Roman"/>
                <w:sz w:val="20"/>
                <w:szCs w:val="20"/>
                <w:lang w:val="hy-AM"/>
              </w:rPr>
              <w:t xml:space="preserve"> Արտամետ, Տալվորիկ համայնքներ), Վայոց Ձորում (Խաչիկ համայնք), Արարատում (Դվին, Ջրահովիտ համայնքներ), Սյունիքում (Տեղ համայնք) ուր ստեղծվել են հայ արվեստի 18 «Արար» կենտրոններ: Տեղաբնակ 14 մասնագետներ դասավանդում են ավանդական երգ ու պար, ազգային նվագարաններ, կերպարվեստ, գորգագործություն ու կարպե</w:t>
            </w:r>
            <w:r w:rsidRPr="0053423A">
              <w:rPr>
                <w:rFonts w:eastAsia="Times New Roman" w:cs="Times New Roman"/>
                <w:sz w:val="20"/>
                <w:szCs w:val="20"/>
                <w:lang w:val="af-ZA"/>
              </w:rPr>
              <w:softHyphen/>
            </w:r>
            <w:r w:rsidRPr="0053423A">
              <w:rPr>
                <w:rFonts w:eastAsia="Times New Roman" w:cs="Times New Roman"/>
                <w:sz w:val="20"/>
                <w:szCs w:val="20"/>
                <w:lang w:val="hy-AM"/>
              </w:rPr>
              <w:t>տագործություն, ժանեկագործություն ու ասեղնագործություն, խեցեգործություն, քարի, փայտի և մետաղի գեղարվեստական մշակում, խաչքարագործություն։ Դասընթացներում ներգրավված են 500 մասնակիցներ:</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Times New Roman" w:cs="Times New Roman"/>
                <w:sz w:val="20"/>
                <w:szCs w:val="20"/>
                <w:lang w:val="hy-AM"/>
              </w:rPr>
              <w:t xml:space="preserve">Ծրագրի նպատակն է ոչ նյութական մշակութային ժառանգության պահպանության, պաշտպանության և տարածման ապահովումը ՀՀ մարզերում, ազգային ոչ նյութական մշակութային ժառանգության հանդեպ հասարակության հոգածության և հարգանքի արմատավորումը, ոչ նյութական մշակութային ժառանգության կիրառման ապահովումը և ոչ նյութական մշակութային ժառանգության փոխանցումը սերունդներին: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shd w:val="clear" w:color="auto" w:fill="FFFFFF"/>
              <w:spacing w:after="0" w:line="276" w:lineRule="auto"/>
              <w:ind w:right="-81" w:firstLine="708"/>
              <w:jc w:val="both"/>
              <w:rPr>
                <w:rFonts w:eastAsia="Times New Roman" w:cs="Times New Roman"/>
                <w:sz w:val="20"/>
                <w:szCs w:val="20"/>
              </w:rPr>
            </w:pPr>
          </w:p>
          <w:p w:rsidR="00A67B6B" w:rsidRPr="0053423A" w:rsidRDefault="00A67B6B" w:rsidP="001F6D5D">
            <w:pPr>
              <w:numPr>
                <w:ilvl w:val="1"/>
                <w:numId w:val="214"/>
              </w:numPr>
              <w:tabs>
                <w:tab w:val="left" w:pos="508"/>
              </w:tabs>
              <w:spacing w:after="0" w:line="276" w:lineRule="auto"/>
              <w:ind w:left="0" w:right="-81" w:firstLine="0"/>
              <w:contextualSpacing/>
              <w:jc w:val="both"/>
              <w:rPr>
                <w:rFonts w:eastAsia="Calibri" w:cs="Times New Roman"/>
                <w:b/>
                <w:sz w:val="20"/>
                <w:szCs w:val="20"/>
                <w:lang w:val="af-ZA"/>
              </w:rPr>
            </w:pPr>
            <w:r w:rsidRPr="0053423A">
              <w:rPr>
                <w:rFonts w:eastAsia="Calibri" w:cs="Sylfaen"/>
                <w:b/>
                <w:sz w:val="20"/>
                <w:szCs w:val="20"/>
                <w:lang w:val="hy-AM"/>
              </w:rPr>
              <w:t xml:space="preserve">Կարգավորման </w:t>
            </w:r>
            <w:r w:rsidRPr="0053423A">
              <w:rPr>
                <w:rFonts w:eastAsia="Calibri" w:cs="Times New Roman"/>
                <w:b/>
                <w:sz w:val="20"/>
                <w:szCs w:val="20"/>
                <w:lang w:val="hy-AM"/>
              </w:rPr>
              <w:t>հարաբերությունների ներկա վիճակը և առկա խնդիրները</w:t>
            </w:r>
          </w:p>
          <w:p w:rsidR="00A67B6B" w:rsidRPr="0053423A" w:rsidRDefault="00A67B6B" w:rsidP="00A67858">
            <w:pPr>
              <w:shd w:val="clear" w:color="auto" w:fill="FFFFFF"/>
              <w:spacing w:after="0" w:line="276" w:lineRule="auto"/>
              <w:ind w:right="-81"/>
              <w:jc w:val="both"/>
              <w:rPr>
                <w:rFonts w:eastAsia="Arial Unicode MS" w:cs="Arial Unicode MS"/>
                <w:sz w:val="20"/>
                <w:szCs w:val="20"/>
                <w:lang w:val="af-ZA"/>
              </w:rPr>
            </w:pPr>
            <w:r w:rsidRPr="0053423A">
              <w:rPr>
                <w:rFonts w:eastAsia="Arial Unicode MS" w:cs="Arial Unicode MS"/>
                <w:sz w:val="20"/>
                <w:szCs w:val="20"/>
              </w:rPr>
              <w:t>Ծրագրի</w:t>
            </w:r>
            <w:r w:rsidRPr="0053423A">
              <w:rPr>
                <w:rFonts w:eastAsia="Arial Unicode MS" w:cs="Arial Unicode MS"/>
                <w:sz w:val="20"/>
                <w:szCs w:val="20"/>
                <w:lang w:val="af-ZA"/>
              </w:rPr>
              <w:t xml:space="preserve"> </w:t>
            </w:r>
            <w:r w:rsidRPr="0053423A">
              <w:rPr>
                <w:rFonts w:eastAsia="Arial Unicode MS" w:cs="Arial Unicode MS"/>
                <w:sz w:val="20"/>
                <w:szCs w:val="20"/>
              </w:rPr>
              <w:t>իրականացումը</w:t>
            </w:r>
            <w:r w:rsidRPr="0053423A">
              <w:rPr>
                <w:rFonts w:eastAsia="Arial Unicode MS" w:cs="Arial Unicode MS"/>
                <w:sz w:val="20"/>
                <w:szCs w:val="20"/>
                <w:lang w:val="af-ZA"/>
              </w:rPr>
              <w:t xml:space="preserve"> </w:t>
            </w:r>
            <w:r w:rsidRPr="0053423A">
              <w:rPr>
                <w:rFonts w:eastAsia="Arial Unicode MS" w:cs="Arial Unicode MS"/>
                <w:sz w:val="20"/>
                <w:szCs w:val="20"/>
              </w:rPr>
              <w:t>միտված</w:t>
            </w:r>
            <w:r w:rsidRPr="0053423A">
              <w:rPr>
                <w:rFonts w:eastAsia="Arial Unicode MS" w:cs="Arial Unicode MS"/>
                <w:sz w:val="20"/>
                <w:szCs w:val="20"/>
                <w:lang w:val="af-ZA"/>
              </w:rPr>
              <w:t xml:space="preserve"> </w:t>
            </w:r>
            <w:r w:rsidRPr="0053423A">
              <w:rPr>
                <w:rFonts w:eastAsia="Arial Unicode MS" w:cs="Arial Unicode MS"/>
                <w:sz w:val="20"/>
                <w:szCs w:val="20"/>
              </w:rPr>
              <w:t>է</w:t>
            </w:r>
            <w:r w:rsidRPr="0053423A">
              <w:rPr>
                <w:rFonts w:eastAsia="Arial Unicode MS" w:cs="Arial Unicode MS"/>
                <w:sz w:val="20"/>
                <w:szCs w:val="20"/>
                <w:lang w:val="af-ZA"/>
              </w:rPr>
              <w:t xml:space="preserve"> </w:t>
            </w:r>
            <w:r w:rsidRPr="0053423A">
              <w:rPr>
                <w:rFonts w:eastAsia="Arial Unicode MS" w:cs="Arial Unicode MS"/>
                <w:sz w:val="20"/>
                <w:szCs w:val="20"/>
              </w:rPr>
              <w:t>մշակութային</w:t>
            </w:r>
            <w:r w:rsidRPr="0053423A">
              <w:rPr>
                <w:rFonts w:eastAsia="Arial Unicode MS" w:cs="Arial Unicode MS"/>
                <w:sz w:val="20"/>
                <w:szCs w:val="20"/>
                <w:lang w:val="af-ZA"/>
              </w:rPr>
              <w:t xml:space="preserve"> </w:t>
            </w:r>
            <w:r w:rsidRPr="0053423A">
              <w:rPr>
                <w:rFonts w:eastAsia="Arial Unicode MS" w:cs="Arial Unicode MS"/>
                <w:sz w:val="20"/>
                <w:szCs w:val="20"/>
              </w:rPr>
              <w:t>ժառանգության</w:t>
            </w:r>
            <w:r w:rsidRPr="0053423A">
              <w:rPr>
                <w:rFonts w:eastAsia="Arial Unicode MS" w:cs="Arial Unicode MS"/>
                <w:sz w:val="20"/>
                <w:szCs w:val="20"/>
                <w:lang w:val="af-ZA"/>
              </w:rPr>
              <w:t xml:space="preserve"> </w:t>
            </w:r>
            <w:r w:rsidRPr="0053423A">
              <w:rPr>
                <w:rFonts w:eastAsia="Arial Unicode MS" w:cs="Arial Unicode MS"/>
                <w:sz w:val="20"/>
                <w:szCs w:val="20"/>
              </w:rPr>
              <w:t>պահպանության</w:t>
            </w:r>
            <w:r w:rsidRPr="0053423A">
              <w:rPr>
                <w:rFonts w:eastAsia="Arial Unicode MS" w:cs="Arial Unicode MS"/>
                <w:sz w:val="20"/>
                <w:szCs w:val="20"/>
                <w:lang w:val="af-ZA"/>
              </w:rPr>
              <w:t xml:space="preserve"> </w:t>
            </w:r>
            <w:r w:rsidRPr="0053423A">
              <w:rPr>
                <w:rFonts w:eastAsia="Arial Unicode MS" w:cs="Arial Unicode MS"/>
                <w:sz w:val="20"/>
                <w:szCs w:val="20"/>
              </w:rPr>
              <w:t>արդի</w:t>
            </w:r>
            <w:r w:rsidRPr="0053423A">
              <w:rPr>
                <w:rFonts w:eastAsia="Arial Unicode MS" w:cs="Arial Unicode MS"/>
                <w:sz w:val="20"/>
                <w:szCs w:val="20"/>
                <w:lang w:val="af-ZA"/>
              </w:rPr>
              <w:t xml:space="preserve"> </w:t>
            </w:r>
            <w:r w:rsidRPr="0053423A">
              <w:rPr>
                <w:rFonts w:eastAsia="Arial Unicode MS" w:cs="Arial Unicode MS"/>
                <w:sz w:val="20"/>
                <w:szCs w:val="20"/>
              </w:rPr>
              <w:t>մարտահրավերներին</w:t>
            </w:r>
            <w:r w:rsidRPr="0053423A">
              <w:rPr>
                <w:rFonts w:eastAsia="Arial Unicode MS" w:cs="Arial Unicode MS"/>
                <w:sz w:val="20"/>
                <w:szCs w:val="20"/>
                <w:lang w:val="af-ZA"/>
              </w:rPr>
              <w:t xml:space="preserve"> </w:t>
            </w:r>
            <w:r w:rsidRPr="0053423A">
              <w:rPr>
                <w:rFonts w:eastAsia="Arial Unicode MS" w:cs="Arial Unicode MS"/>
                <w:sz w:val="20"/>
                <w:szCs w:val="20"/>
              </w:rPr>
              <w:t>համընթաց</w:t>
            </w:r>
            <w:r w:rsidRPr="0053423A">
              <w:rPr>
                <w:rFonts w:eastAsia="Arial Unicode MS" w:cs="Arial Unicode MS"/>
                <w:sz w:val="20"/>
                <w:szCs w:val="20"/>
                <w:lang w:val="af-ZA"/>
              </w:rPr>
              <w:t xml:space="preserve"> </w:t>
            </w:r>
            <w:r w:rsidRPr="0053423A">
              <w:rPr>
                <w:rFonts w:eastAsia="Arial Unicode MS" w:cs="Arial Unicode MS"/>
                <w:sz w:val="20"/>
                <w:szCs w:val="20"/>
              </w:rPr>
              <w:t>գործընթացների</w:t>
            </w:r>
            <w:r w:rsidRPr="0053423A">
              <w:rPr>
                <w:rFonts w:eastAsia="Arial Unicode MS" w:cs="Arial Unicode MS"/>
                <w:sz w:val="20"/>
                <w:szCs w:val="20"/>
                <w:lang w:val="af-ZA"/>
              </w:rPr>
              <w:t xml:space="preserve"> </w:t>
            </w:r>
            <w:r w:rsidRPr="0053423A">
              <w:rPr>
                <w:rFonts w:eastAsia="Arial Unicode MS" w:cs="Arial Unicode MS"/>
                <w:sz w:val="20"/>
                <w:szCs w:val="20"/>
              </w:rPr>
              <w:t>արդյունավետության</w:t>
            </w:r>
            <w:r w:rsidRPr="0053423A">
              <w:rPr>
                <w:rFonts w:eastAsia="Arial Unicode MS" w:cs="Arial Unicode MS"/>
                <w:sz w:val="20"/>
                <w:szCs w:val="20"/>
                <w:lang w:val="af-ZA"/>
              </w:rPr>
              <w:t xml:space="preserve"> </w:t>
            </w:r>
            <w:r w:rsidRPr="0053423A">
              <w:rPr>
                <w:rFonts w:eastAsia="Arial Unicode MS" w:cs="Arial Unicode MS"/>
                <w:sz w:val="20"/>
                <w:szCs w:val="20"/>
              </w:rPr>
              <w:t>ապահովմանը</w:t>
            </w:r>
            <w:r w:rsidRPr="0053423A">
              <w:rPr>
                <w:rFonts w:eastAsia="Arial Unicode MS" w:cs="Arial Unicode MS"/>
                <w:sz w:val="20"/>
                <w:szCs w:val="20"/>
                <w:lang w:val="af-ZA"/>
              </w:rPr>
              <w:t xml:space="preserve"> </w:t>
            </w:r>
            <w:r w:rsidRPr="0053423A">
              <w:rPr>
                <w:rFonts w:eastAsia="Arial Unicode MS" w:cs="Arial Unicode MS"/>
                <w:sz w:val="20"/>
                <w:szCs w:val="20"/>
              </w:rPr>
              <w:t>և</w:t>
            </w:r>
            <w:r w:rsidRPr="0053423A">
              <w:rPr>
                <w:rFonts w:eastAsia="Arial Unicode MS" w:cs="Arial Unicode MS"/>
                <w:sz w:val="20"/>
                <w:szCs w:val="20"/>
                <w:lang w:val="af-ZA"/>
              </w:rPr>
              <w:t xml:space="preserve"> </w:t>
            </w:r>
            <w:r w:rsidRPr="0053423A">
              <w:rPr>
                <w:rFonts w:eastAsia="Arial Unicode MS" w:cs="Arial Unicode MS"/>
                <w:sz w:val="20"/>
                <w:szCs w:val="20"/>
              </w:rPr>
              <w:t>այդ</w:t>
            </w:r>
            <w:r w:rsidRPr="0053423A">
              <w:rPr>
                <w:rFonts w:eastAsia="Arial Unicode MS" w:cs="Arial Unicode MS"/>
                <w:sz w:val="20"/>
                <w:szCs w:val="20"/>
                <w:lang w:val="af-ZA"/>
              </w:rPr>
              <w:t xml:space="preserve"> </w:t>
            </w:r>
            <w:r w:rsidRPr="0053423A">
              <w:rPr>
                <w:rFonts w:eastAsia="Arial Unicode MS" w:cs="Arial Unicode MS"/>
                <w:sz w:val="20"/>
                <w:szCs w:val="20"/>
              </w:rPr>
              <w:t>խնդրի</w:t>
            </w:r>
            <w:r w:rsidRPr="0053423A">
              <w:rPr>
                <w:rFonts w:eastAsia="Arial Unicode MS" w:cs="Arial Unicode MS"/>
                <w:sz w:val="20"/>
                <w:szCs w:val="20"/>
                <w:lang w:val="af-ZA"/>
              </w:rPr>
              <w:t xml:space="preserve"> </w:t>
            </w:r>
            <w:r w:rsidRPr="0053423A">
              <w:rPr>
                <w:rFonts w:eastAsia="Arial Unicode MS" w:cs="Arial Unicode MS"/>
                <w:sz w:val="20"/>
                <w:szCs w:val="20"/>
              </w:rPr>
              <w:t>ապահովման</w:t>
            </w:r>
            <w:r w:rsidRPr="0053423A">
              <w:rPr>
                <w:rFonts w:eastAsia="Arial Unicode MS" w:cs="Arial Unicode MS"/>
                <w:sz w:val="20"/>
                <w:szCs w:val="20"/>
                <w:lang w:val="af-ZA"/>
              </w:rPr>
              <w:t xml:space="preserve"> </w:t>
            </w:r>
            <w:r w:rsidRPr="0053423A">
              <w:rPr>
                <w:rFonts w:eastAsia="Arial Unicode MS" w:cs="Arial Unicode MS"/>
                <w:sz w:val="20"/>
                <w:szCs w:val="20"/>
              </w:rPr>
              <w:t>համար</w:t>
            </w:r>
            <w:r w:rsidRPr="0053423A">
              <w:rPr>
                <w:rFonts w:eastAsia="Arial Unicode MS" w:cs="Arial Unicode MS"/>
                <w:sz w:val="20"/>
                <w:szCs w:val="20"/>
                <w:lang w:val="af-ZA"/>
              </w:rPr>
              <w:t xml:space="preserve"> </w:t>
            </w:r>
            <w:r w:rsidRPr="0053423A">
              <w:rPr>
                <w:rFonts w:eastAsia="Arial Unicode MS" w:cs="Arial Unicode MS"/>
                <w:sz w:val="20"/>
                <w:szCs w:val="20"/>
              </w:rPr>
              <w:t>հատկացված</w:t>
            </w:r>
            <w:r w:rsidRPr="0053423A">
              <w:rPr>
                <w:rFonts w:eastAsia="Arial Unicode MS" w:cs="Arial Unicode MS"/>
                <w:sz w:val="20"/>
                <w:szCs w:val="20"/>
                <w:lang w:val="af-ZA"/>
              </w:rPr>
              <w:t xml:space="preserve"> </w:t>
            </w:r>
            <w:r w:rsidRPr="0053423A">
              <w:rPr>
                <w:rFonts w:eastAsia="Arial Unicode MS" w:cs="Arial Unicode MS"/>
                <w:sz w:val="20"/>
                <w:szCs w:val="20"/>
              </w:rPr>
              <w:t>ֆինանսական</w:t>
            </w:r>
            <w:r w:rsidRPr="0053423A">
              <w:rPr>
                <w:rFonts w:eastAsia="Arial Unicode MS" w:cs="Arial Unicode MS"/>
                <w:sz w:val="20"/>
                <w:szCs w:val="20"/>
                <w:lang w:val="af-ZA"/>
              </w:rPr>
              <w:t xml:space="preserve"> </w:t>
            </w:r>
            <w:r w:rsidRPr="0053423A">
              <w:rPr>
                <w:rFonts w:eastAsia="Arial Unicode MS" w:cs="Arial Unicode MS"/>
                <w:sz w:val="20"/>
                <w:szCs w:val="20"/>
              </w:rPr>
              <w:t>միջոցների</w:t>
            </w:r>
            <w:r w:rsidRPr="0053423A">
              <w:rPr>
                <w:rFonts w:eastAsia="Arial Unicode MS" w:cs="Arial Unicode MS"/>
                <w:sz w:val="20"/>
                <w:szCs w:val="20"/>
                <w:lang w:val="af-ZA"/>
              </w:rPr>
              <w:t xml:space="preserve"> </w:t>
            </w:r>
            <w:r w:rsidRPr="0053423A">
              <w:rPr>
                <w:rFonts w:eastAsia="Arial Unicode MS" w:cs="Arial Unicode MS"/>
                <w:sz w:val="20"/>
                <w:szCs w:val="20"/>
              </w:rPr>
              <w:t>նպատակային</w:t>
            </w:r>
            <w:r w:rsidRPr="0053423A">
              <w:rPr>
                <w:rFonts w:eastAsia="Arial Unicode MS" w:cs="Arial Unicode MS"/>
                <w:sz w:val="20"/>
                <w:szCs w:val="20"/>
                <w:lang w:val="af-ZA"/>
              </w:rPr>
              <w:t xml:space="preserve"> </w:t>
            </w:r>
            <w:r w:rsidRPr="0053423A">
              <w:rPr>
                <w:rFonts w:eastAsia="Arial Unicode MS" w:cs="Arial Unicode MS"/>
                <w:sz w:val="20"/>
                <w:szCs w:val="20"/>
              </w:rPr>
              <w:t>տնօրինմանը։</w:t>
            </w:r>
          </w:p>
          <w:p w:rsidR="00A67B6B" w:rsidRPr="0053423A" w:rsidRDefault="00A67B6B" w:rsidP="00A67858">
            <w:pPr>
              <w:shd w:val="clear" w:color="auto" w:fill="FFFFFF"/>
              <w:spacing w:after="0" w:line="276" w:lineRule="auto"/>
              <w:ind w:right="-81" w:firstLine="708"/>
              <w:jc w:val="both"/>
              <w:rPr>
                <w:rFonts w:eastAsia="Times New Roman" w:cs="Times New Roman"/>
                <w:sz w:val="20"/>
                <w:szCs w:val="20"/>
                <w:lang w:val="af-ZA"/>
              </w:rPr>
            </w:pPr>
          </w:p>
          <w:p w:rsidR="00A67B6B" w:rsidRPr="0053423A" w:rsidRDefault="00A67B6B" w:rsidP="00A67858">
            <w:pPr>
              <w:tabs>
                <w:tab w:val="left" w:pos="508"/>
              </w:tabs>
              <w:spacing w:after="0" w:line="276" w:lineRule="auto"/>
              <w:ind w:right="-81"/>
              <w:contextualSpacing/>
              <w:jc w:val="both"/>
              <w:rPr>
                <w:rFonts w:eastAsia="Calibri" w:cs="Times New Roman"/>
                <w:b/>
                <w:sz w:val="20"/>
                <w:szCs w:val="20"/>
                <w:lang w:val="af-ZA"/>
              </w:rPr>
            </w:pPr>
            <w:r w:rsidRPr="0053423A">
              <w:rPr>
                <w:rFonts w:eastAsia="Calibri" w:cs="Times New Roman"/>
                <w:b/>
                <w:sz w:val="20"/>
                <w:szCs w:val="20"/>
                <w:lang w:val="af-ZA"/>
              </w:rPr>
              <w:t xml:space="preserve">1.2. </w:t>
            </w:r>
            <w:r w:rsidRPr="0053423A">
              <w:rPr>
                <w:rFonts w:eastAsia="Calibri" w:cs="Times New Roman"/>
                <w:b/>
                <w:sz w:val="20"/>
                <w:szCs w:val="20"/>
              </w:rPr>
              <w:t>Առկա</w:t>
            </w:r>
            <w:r w:rsidRPr="0053423A">
              <w:rPr>
                <w:rFonts w:eastAsia="Calibri" w:cs="Times New Roman"/>
                <w:b/>
                <w:sz w:val="20"/>
                <w:szCs w:val="20"/>
                <w:lang w:val="af-ZA"/>
              </w:rPr>
              <w:t xml:space="preserve"> </w:t>
            </w:r>
            <w:r w:rsidRPr="0053423A">
              <w:rPr>
                <w:rFonts w:eastAsia="Calibri" w:cs="Times New Roman"/>
                <w:b/>
                <w:sz w:val="20"/>
                <w:szCs w:val="20"/>
              </w:rPr>
              <w:t>խնդիրների</w:t>
            </w:r>
            <w:r w:rsidRPr="0053423A">
              <w:rPr>
                <w:rFonts w:eastAsia="Calibri" w:cs="Times New Roman"/>
                <w:b/>
                <w:sz w:val="20"/>
                <w:szCs w:val="20"/>
                <w:lang w:val="af-ZA"/>
              </w:rPr>
              <w:t xml:space="preserve"> </w:t>
            </w:r>
            <w:r w:rsidRPr="0053423A">
              <w:rPr>
                <w:rFonts w:eastAsia="Calibri" w:cs="Times New Roman"/>
                <w:b/>
                <w:sz w:val="20"/>
                <w:szCs w:val="20"/>
              </w:rPr>
              <w:t>առաջարկվող</w:t>
            </w:r>
            <w:r w:rsidRPr="0053423A">
              <w:rPr>
                <w:rFonts w:eastAsia="Calibri" w:cs="Times New Roman"/>
                <w:b/>
                <w:sz w:val="20"/>
                <w:szCs w:val="20"/>
                <w:lang w:val="af-ZA"/>
              </w:rPr>
              <w:t xml:space="preserve"> </w:t>
            </w:r>
            <w:r w:rsidRPr="0053423A">
              <w:rPr>
                <w:rFonts w:eastAsia="Calibri" w:cs="Times New Roman"/>
                <w:b/>
                <w:sz w:val="20"/>
                <w:szCs w:val="20"/>
              </w:rPr>
              <w:t>լուծումները</w:t>
            </w:r>
          </w:p>
          <w:p w:rsidR="00A67B6B" w:rsidRPr="0053423A" w:rsidRDefault="00A67B6B" w:rsidP="00A67858">
            <w:pPr>
              <w:spacing w:after="0" w:line="276" w:lineRule="auto"/>
              <w:jc w:val="both"/>
              <w:rPr>
                <w:rFonts w:eastAsia="Arial Unicode MS" w:cs="Arial Unicode MS"/>
                <w:bCs/>
                <w:kern w:val="32"/>
                <w:sz w:val="20"/>
                <w:szCs w:val="20"/>
                <w:lang w:val="af-ZA" w:eastAsia="en-GB"/>
              </w:rPr>
            </w:pPr>
            <w:r w:rsidRPr="0053423A">
              <w:rPr>
                <w:rFonts w:eastAsia="Times New Roman" w:cs="Times New Roman"/>
                <w:sz w:val="20"/>
                <w:szCs w:val="20"/>
                <w:lang w:val="hy-AM"/>
              </w:rPr>
              <w:t>«Արար». ազգային մշակույթի պահպանման, տարածման, զարգացման և հանրահռչակման» ծրագ</w:t>
            </w:r>
            <w:r w:rsidRPr="0053423A">
              <w:rPr>
                <w:rFonts w:eastAsia="Times New Roman" w:cs="Times New Roman"/>
                <w:sz w:val="20"/>
                <w:szCs w:val="20"/>
              </w:rPr>
              <w:t>րի</w:t>
            </w:r>
            <w:r w:rsidRPr="0053423A">
              <w:rPr>
                <w:rFonts w:eastAsia="Times New Roman" w:cs="Times New Roman"/>
                <w:sz w:val="20"/>
                <w:szCs w:val="20"/>
                <w:lang w:val="af-ZA"/>
              </w:rPr>
              <w:t xml:space="preserve"> </w:t>
            </w:r>
            <w:r w:rsidRPr="0053423A">
              <w:rPr>
                <w:rFonts w:eastAsia="Times New Roman" w:cs="Times New Roman"/>
                <w:sz w:val="20"/>
                <w:szCs w:val="20"/>
              </w:rPr>
              <w:t>ընդլայնում</w:t>
            </w:r>
            <w:r w:rsidRPr="0053423A">
              <w:rPr>
                <w:rFonts w:eastAsia="Times New Roman" w:cs="Times New Roman"/>
                <w:sz w:val="20"/>
                <w:szCs w:val="20"/>
                <w:lang w:val="af-ZA"/>
              </w:rPr>
              <w:t xml:space="preserve">, </w:t>
            </w:r>
            <w:r w:rsidRPr="0053423A">
              <w:rPr>
                <w:rFonts w:eastAsia="Times New Roman" w:cs="Times New Roman"/>
                <w:sz w:val="20"/>
                <w:szCs w:val="20"/>
              </w:rPr>
              <w:t>նոր</w:t>
            </w:r>
            <w:r w:rsidRPr="0053423A">
              <w:rPr>
                <w:rFonts w:eastAsia="Times New Roman" w:cs="Times New Roman"/>
                <w:sz w:val="20"/>
                <w:szCs w:val="20"/>
                <w:lang w:val="af-ZA"/>
              </w:rPr>
              <w:t xml:space="preserve"> </w:t>
            </w:r>
            <w:r w:rsidRPr="0053423A">
              <w:rPr>
                <w:rFonts w:eastAsia="Times New Roman" w:cs="Times New Roman"/>
                <w:sz w:val="20"/>
                <w:szCs w:val="20"/>
              </w:rPr>
              <w:t>համայնքների</w:t>
            </w:r>
            <w:r w:rsidRPr="0053423A">
              <w:rPr>
                <w:rFonts w:eastAsia="Times New Roman" w:cs="Times New Roman"/>
                <w:sz w:val="20"/>
                <w:szCs w:val="20"/>
                <w:lang w:val="af-ZA"/>
              </w:rPr>
              <w:t xml:space="preserve"> </w:t>
            </w:r>
            <w:r w:rsidRPr="0053423A">
              <w:rPr>
                <w:rFonts w:eastAsia="Times New Roman" w:cs="Times New Roman"/>
                <w:sz w:val="20"/>
                <w:szCs w:val="20"/>
              </w:rPr>
              <w:t>ընդգրկում</w:t>
            </w:r>
            <w:r w:rsidRPr="0053423A">
              <w:rPr>
                <w:rFonts w:eastAsia="Times New Roman" w:cs="Times New Roman"/>
                <w:sz w:val="20"/>
                <w:szCs w:val="20"/>
                <w:lang w:val="af-ZA"/>
              </w:rPr>
              <w:t xml:space="preserve">, </w:t>
            </w:r>
            <w:r w:rsidRPr="0053423A">
              <w:rPr>
                <w:rFonts w:eastAsia="Times New Roman" w:cs="Times New Roman"/>
                <w:sz w:val="20"/>
                <w:szCs w:val="20"/>
              </w:rPr>
              <w:t>ծրագրում</w:t>
            </w:r>
            <w:r w:rsidRPr="0053423A">
              <w:rPr>
                <w:rFonts w:eastAsia="Times New Roman" w:cs="Times New Roman"/>
                <w:sz w:val="20"/>
                <w:szCs w:val="20"/>
                <w:lang w:val="af-ZA"/>
              </w:rPr>
              <w:t xml:space="preserve"> </w:t>
            </w:r>
            <w:r w:rsidRPr="0053423A">
              <w:rPr>
                <w:rFonts w:eastAsia="Times New Roman" w:cs="Times New Roman"/>
                <w:sz w:val="20"/>
                <w:szCs w:val="20"/>
              </w:rPr>
              <w:t>ընդգրկված</w:t>
            </w:r>
            <w:r w:rsidRPr="0053423A">
              <w:rPr>
                <w:rFonts w:eastAsia="Times New Roman" w:cs="Times New Roman"/>
                <w:sz w:val="20"/>
                <w:szCs w:val="20"/>
                <w:lang w:val="af-ZA"/>
              </w:rPr>
              <w:t xml:space="preserve"> </w:t>
            </w:r>
            <w:r w:rsidRPr="0053423A">
              <w:rPr>
                <w:rFonts w:eastAsia="Times New Roman" w:cs="Times New Roman"/>
                <w:sz w:val="20"/>
                <w:szCs w:val="20"/>
              </w:rPr>
              <w:t>շահառուների</w:t>
            </w:r>
            <w:r w:rsidRPr="0053423A">
              <w:rPr>
                <w:rFonts w:eastAsia="Times New Roman" w:cs="Times New Roman"/>
                <w:sz w:val="20"/>
                <w:szCs w:val="20"/>
                <w:lang w:val="af-ZA"/>
              </w:rPr>
              <w:t xml:space="preserve"> </w:t>
            </w:r>
            <w:r w:rsidRPr="0053423A">
              <w:rPr>
                <w:rFonts w:eastAsia="Times New Roman" w:cs="Times New Roman"/>
                <w:sz w:val="20"/>
                <w:szCs w:val="20"/>
              </w:rPr>
              <w:t>թվաքանակի</w:t>
            </w:r>
            <w:r w:rsidRPr="0053423A">
              <w:rPr>
                <w:rFonts w:eastAsia="Times New Roman" w:cs="Times New Roman"/>
                <w:sz w:val="20"/>
                <w:szCs w:val="20"/>
                <w:lang w:val="af-ZA"/>
              </w:rPr>
              <w:t xml:space="preserve"> </w:t>
            </w:r>
            <w:r w:rsidRPr="0053423A">
              <w:rPr>
                <w:rFonts w:eastAsia="Times New Roman" w:cs="Times New Roman"/>
                <w:sz w:val="20"/>
                <w:szCs w:val="20"/>
              </w:rPr>
              <w:t>մեծացում</w:t>
            </w:r>
            <w:r w:rsidRPr="0053423A">
              <w:rPr>
                <w:rFonts w:eastAsia="Times New Roman" w:cs="Times New Roman"/>
                <w:sz w:val="20"/>
                <w:szCs w:val="20"/>
                <w:lang w:val="af-ZA"/>
              </w:rPr>
              <w:t xml:space="preserve">, </w:t>
            </w:r>
            <w:r w:rsidRPr="0053423A">
              <w:rPr>
                <w:rFonts w:eastAsia="Times New Roman" w:cs="Times New Roman"/>
                <w:sz w:val="20"/>
                <w:szCs w:val="20"/>
              </w:rPr>
              <w:t>որը</w:t>
            </w:r>
            <w:r w:rsidRPr="0053423A">
              <w:rPr>
                <w:rFonts w:eastAsia="Times New Roman" w:cs="Times New Roman"/>
                <w:sz w:val="20"/>
                <w:szCs w:val="20"/>
                <w:lang w:val="af-ZA"/>
              </w:rPr>
              <w:t xml:space="preserve"> </w:t>
            </w:r>
            <w:r w:rsidRPr="0053423A">
              <w:rPr>
                <w:rFonts w:eastAsia="Times New Roman" w:cs="Times New Roman"/>
                <w:sz w:val="20"/>
                <w:szCs w:val="20"/>
              </w:rPr>
              <w:t>միտված</w:t>
            </w:r>
            <w:r w:rsidRPr="0053423A">
              <w:rPr>
                <w:rFonts w:eastAsia="Times New Roman" w:cs="Times New Roman"/>
                <w:sz w:val="20"/>
                <w:szCs w:val="20"/>
                <w:lang w:val="af-ZA"/>
              </w:rPr>
              <w:t xml:space="preserve"> </w:t>
            </w:r>
            <w:r w:rsidRPr="0053423A">
              <w:rPr>
                <w:rFonts w:eastAsia="Times New Roman" w:cs="Times New Roman"/>
                <w:sz w:val="20"/>
                <w:szCs w:val="20"/>
              </w:rPr>
              <w:t>է</w:t>
            </w:r>
            <w:r w:rsidRPr="0053423A">
              <w:rPr>
                <w:rFonts w:eastAsia="Times New Roman" w:cs="Times New Roman"/>
                <w:sz w:val="20"/>
                <w:szCs w:val="20"/>
                <w:lang w:val="hy-AM"/>
              </w:rPr>
              <w:t xml:space="preserve"> </w:t>
            </w:r>
            <w:r w:rsidRPr="0053423A">
              <w:rPr>
                <w:rFonts w:eastAsia="Calibri" w:cs="Times New Roman"/>
                <w:sz w:val="20"/>
                <w:szCs w:val="20"/>
              </w:rPr>
              <w:t>մշակութային</w:t>
            </w:r>
            <w:r w:rsidRPr="0053423A">
              <w:rPr>
                <w:rFonts w:eastAsia="Calibri" w:cs="Times New Roman"/>
                <w:sz w:val="20"/>
                <w:szCs w:val="20"/>
                <w:lang w:val="af-ZA"/>
              </w:rPr>
              <w:t xml:space="preserve"> </w:t>
            </w:r>
            <w:r w:rsidRPr="0053423A">
              <w:rPr>
                <w:rFonts w:eastAsia="Calibri" w:cs="Times New Roman"/>
                <w:sz w:val="20"/>
                <w:szCs w:val="20"/>
              </w:rPr>
              <w:t>ծառայությունների</w:t>
            </w:r>
            <w:r w:rsidRPr="0053423A">
              <w:rPr>
                <w:rFonts w:eastAsia="Calibri" w:cs="Times New Roman"/>
                <w:sz w:val="20"/>
                <w:szCs w:val="20"/>
                <w:lang w:val="af-ZA"/>
              </w:rPr>
              <w:t xml:space="preserve"> </w:t>
            </w:r>
            <w:r w:rsidRPr="0053423A">
              <w:rPr>
                <w:rFonts w:eastAsia="Calibri" w:cs="Times New Roman"/>
                <w:sz w:val="20"/>
                <w:szCs w:val="20"/>
              </w:rPr>
              <w:t>ապակենտրոնացմանը՝</w:t>
            </w:r>
            <w:r w:rsidRPr="0053423A">
              <w:rPr>
                <w:rFonts w:eastAsia="Calibri" w:cs="Times New Roman"/>
                <w:sz w:val="20"/>
                <w:szCs w:val="20"/>
                <w:lang w:val="af-ZA"/>
              </w:rPr>
              <w:t xml:space="preserve"> </w:t>
            </w:r>
            <w:r w:rsidRPr="0053423A">
              <w:rPr>
                <w:rFonts w:eastAsia="Calibri" w:cs="Times New Roman"/>
                <w:sz w:val="20"/>
                <w:szCs w:val="20"/>
              </w:rPr>
              <w:t>մարզերի</w:t>
            </w:r>
            <w:r w:rsidRPr="0053423A">
              <w:rPr>
                <w:rFonts w:eastAsia="Calibri" w:cs="Times New Roman"/>
                <w:sz w:val="20"/>
                <w:szCs w:val="20"/>
                <w:lang w:val="af-ZA"/>
              </w:rPr>
              <w:t xml:space="preserve"> </w:t>
            </w:r>
            <w:r w:rsidRPr="0053423A">
              <w:rPr>
                <w:rFonts w:eastAsia="Calibri" w:cs="Times New Roman"/>
                <w:sz w:val="20"/>
                <w:szCs w:val="20"/>
              </w:rPr>
              <w:t>մշակութային</w:t>
            </w:r>
            <w:r w:rsidRPr="0053423A">
              <w:rPr>
                <w:rFonts w:eastAsia="Calibri" w:cs="Times New Roman"/>
                <w:sz w:val="20"/>
                <w:szCs w:val="20"/>
                <w:lang w:val="af-ZA"/>
              </w:rPr>
              <w:t xml:space="preserve"> </w:t>
            </w:r>
            <w:r w:rsidRPr="0053423A">
              <w:rPr>
                <w:rFonts w:eastAsia="Calibri" w:cs="Times New Roman"/>
                <w:sz w:val="20"/>
                <w:szCs w:val="20"/>
              </w:rPr>
              <w:t>կյանքը</w:t>
            </w:r>
            <w:r w:rsidRPr="0053423A">
              <w:rPr>
                <w:rFonts w:eastAsia="Calibri" w:cs="Times New Roman"/>
                <w:sz w:val="20"/>
                <w:szCs w:val="20"/>
                <w:lang w:val="af-ZA"/>
              </w:rPr>
              <w:t xml:space="preserve"> </w:t>
            </w:r>
            <w:r w:rsidRPr="0053423A">
              <w:rPr>
                <w:rFonts w:eastAsia="Calibri" w:cs="Times New Roman"/>
                <w:sz w:val="20"/>
                <w:szCs w:val="20"/>
              </w:rPr>
              <w:t>աշխուժացնելու</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համաչափ</w:t>
            </w:r>
            <w:r w:rsidRPr="0053423A">
              <w:rPr>
                <w:rFonts w:eastAsia="Calibri" w:cs="Times New Roman"/>
                <w:sz w:val="20"/>
                <w:szCs w:val="20"/>
                <w:lang w:val="af-ZA"/>
              </w:rPr>
              <w:t xml:space="preserve"> </w:t>
            </w:r>
            <w:r w:rsidRPr="0053423A">
              <w:rPr>
                <w:rFonts w:eastAsia="Calibri" w:cs="Times New Roman"/>
                <w:sz w:val="20"/>
                <w:szCs w:val="20"/>
              </w:rPr>
              <w:t>զարգացման</w:t>
            </w:r>
            <w:r w:rsidRPr="0053423A">
              <w:rPr>
                <w:rFonts w:eastAsia="Calibri" w:cs="Times New Roman"/>
                <w:sz w:val="20"/>
                <w:szCs w:val="20"/>
                <w:lang w:val="af-ZA"/>
              </w:rPr>
              <w:t xml:space="preserve"> </w:t>
            </w:r>
            <w:r w:rsidRPr="0053423A">
              <w:rPr>
                <w:rFonts w:eastAsia="Calibri" w:cs="Times New Roman"/>
                <w:sz w:val="20"/>
                <w:szCs w:val="20"/>
              </w:rPr>
              <w:t>համար</w:t>
            </w:r>
            <w:r w:rsidRPr="0053423A">
              <w:rPr>
                <w:rFonts w:eastAsia="Calibri" w:cs="Times New Roman"/>
                <w:sz w:val="20"/>
                <w:szCs w:val="20"/>
                <w:lang w:val="af-ZA"/>
              </w:rPr>
              <w:t xml:space="preserve">: </w:t>
            </w:r>
            <w:r w:rsidRPr="0053423A">
              <w:rPr>
                <w:rFonts w:eastAsia="Arial Unicode MS" w:cs="Arial Unicode MS"/>
                <w:bCs/>
                <w:kern w:val="32"/>
                <w:sz w:val="20"/>
                <w:szCs w:val="20"/>
                <w:lang w:eastAsia="en-GB"/>
              </w:rPr>
              <w:t>Ոչ</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նյութական</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մշակութային</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ժառանգության</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պահպանության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պաշտպանության</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և</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տարածման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ապահովում</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ՀՀ</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մարզերում</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ազգային</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ոչ</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նյութական</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մշակութային</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ժառանգության</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հանդեպ</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հասարակության</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հոգածության</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և</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հարգանքի</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արմատավորում</w:t>
            </w:r>
            <w:r w:rsidRPr="0053423A">
              <w:rPr>
                <w:rFonts w:eastAsia="Arial Unicode MS" w:cs="Arial Unicode MS"/>
                <w:bCs/>
                <w:kern w:val="32"/>
                <w:sz w:val="20"/>
                <w:szCs w:val="20"/>
                <w:lang w:val="sv-FI" w:eastAsia="en-GB"/>
              </w:rPr>
              <w:t xml:space="preserve">, </w:t>
            </w:r>
            <w:r w:rsidRPr="0053423A">
              <w:rPr>
                <w:rFonts w:eastAsia="Arial Unicode MS" w:cs="Arial Unicode MS"/>
                <w:bCs/>
                <w:kern w:val="32"/>
                <w:sz w:val="20"/>
                <w:szCs w:val="20"/>
                <w:lang w:eastAsia="en-GB"/>
              </w:rPr>
              <w:t>ոչ</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նյութական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մշակութային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ժառանգության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կիրառման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ապահովում</w:t>
            </w:r>
            <w:r w:rsidRPr="0053423A">
              <w:rPr>
                <w:rFonts w:eastAsia="Arial Unicode MS" w:cs="Arial Unicode MS"/>
                <w:bCs/>
                <w:kern w:val="32"/>
                <w:sz w:val="20"/>
                <w:szCs w:val="20"/>
                <w:lang w:val="af-ZA" w:eastAsia="en-GB"/>
              </w:rPr>
              <w:t xml:space="preserve"> և </w:t>
            </w:r>
            <w:r w:rsidRPr="0053423A">
              <w:rPr>
                <w:rFonts w:eastAsia="Arial Unicode MS" w:cs="Arial Unicode MS"/>
                <w:bCs/>
                <w:kern w:val="32"/>
                <w:sz w:val="20"/>
                <w:szCs w:val="20"/>
                <w:lang w:eastAsia="en-GB"/>
              </w:rPr>
              <w:t>ոչ</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նյութական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մշակութային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ժառանգության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փոխանցում</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սերունդներին</w:t>
            </w:r>
            <w:r w:rsidRPr="0053423A">
              <w:rPr>
                <w:rFonts w:eastAsia="Arial Unicode MS" w:cs="Arial Unicode MS"/>
                <w:bCs/>
                <w:kern w:val="32"/>
                <w:sz w:val="20"/>
                <w:szCs w:val="20"/>
                <w:lang w:val="af-ZA" w:eastAsia="en-GB"/>
              </w:rPr>
              <w:t>:</w:t>
            </w:r>
          </w:p>
          <w:p w:rsidR="00A67B6B" w:rsidRPr="0053423A" w:rsidRDefault="00A67B6B" w:rsidP="00A67858">
            <w:pPr>
              <w:spacing w:after="0" w:line="276" w:lineRule="auto"/>
              <w:jc w:val="both"/>
              <w:rPr>
                <w:rFonts w:eastAsia="Calibri" w:cs="Times New Roman"/>
                <w:b/>
                <w:sz w:val="20"/>
                <w:szCs w:val="20"/>
                <w:lang w:val="af-ZA"/>
              </w:rPr>
            </w:pPr>
          </w:p>
          <w:p w:rsidR="00A67B6B" w:rsidRPr="0053423A" w:rsidRDefault="00A67B6B" w:rsidP="001F6D5D">
            <w:pPr>
              <w:numPr>
                <w:ilvl w:val="0"/>
                <w:numId w:val="215"/>
              </w:numPr>
              <w:tabs>
                <w:tab w:val="left" w:pos="508"/>
              </w:tabs>
              <w:spacing w:after="0" w:line="276" w:lineRule="auto"/>
              <w:ind w:left="0" w:right="-81" w:firstLine="0"/>
              <w:contextualSpacing/>
              <w:rPr>
                <w:rFonts w:eastAsia="Calibri" w:cs="Times New Roman"/>
                <w:b/>
                <w:sz w:val="20"/>
                <w:szCs w:val="20"/>
                <w:lang w:val="tr-TR"/>
              </w:rPr>
            </w:pPr>
            <w:r w:rsidRPr="0053423A">
              <w:rPr>
                <w:rFonts w:eastAsia="Calibri" w:cs="Times New Roman"/>
                <w:b/>
                <w:sz w:val="20"/>
                <w:szCs w:val="20"/>
              </w:rPr>
              <w:t>Միջոցառման իրականացումից ակնկալվող արդյունքը</w:t>
            </w:r>
          </w:p>
          <w:p w:rsidR="00A67B6B" w:rsidRPr="0053423A" w:rsidRDefault="00A67B6B" w:rsidP="00A67858">
            <w:pPr>
              <w:spacing w:after="0" w:line="276" w:lineRule="auto"/>
              <w:ind w:right="-81"/>
              <w:jc w:val="both"/>
              <w:rPr>
                <w:rFonts w:eastAsia="Arial Unicode MS" w:cs="Arial Unicode MS"/>
                <w:bCs/>
                <w:kern w:val="32"/>
                <w:sz w:val="20"/>
                <w:szCs w:val="20"/>
                <w:lang w:val="af-ZA" w:eastAsia="en-GB"/>
              </w:rPr>
            </w:pPr>
            <w:r w:rsidRPr="0053423A">
              <w:rPr>
                <w:rFonts w:eastAsia="Arial Unicode MS" w:cs="Arial Unicode MS"/>
                <w:sz w:val="20"/>
                <w:szCs w:val="20"/>
                <w:lang w:val="hy-AM"/>
              </w:rPr>
              <w:t xml:space="preserve">Ծրագրի իրականացման արդյունքում ապահովվում է ոչ նյութական մշակութային ժառանգության պահպանության, վերականգնման ու փոխանցման գործընթացում </w:t>
            </w:r>
            <w:r w:rsidRPr="0053423A">
              <w:rPr>
                <w:rFonts w:eastAsia="Arial Unicode MS" w:cs="Arial Unicode MS"/>
                <w:sz w:val="20"/>
                <w:szCs w:val="20"/>
              </w:rPr>
              <w:t>համայնքների</w:t>
            </w:r>
            <w:r w:rsidRPr="0053423A">
              <w:rPr>
                <w:rFonts w:eastAsia="Arial Unicode MS" w:cs="Arial Unicode MS"/>
                <w:sz w:val="20"/>
                <w:szCs w:val="20"/>
                <w:lang w:val="hy-AM"/>
              </w:rPr>
              <w:t xml:space="preserve"> մասնակցությունը: Աշխատանքներում մարզաբնակ մասնագետների ներգրավմամբ աշխուժանում է մարզային մշակութային կյանքը, նպաստավոր պայմաններ են ստեղծվում ոչ նյութական մշակութային ժառանգության ճանաչելիության, համայնքների կյանքում դրա տեղի ու դերի</w:t>
            </w:r>
            <w:r w:rsidRPr="0053423A">
              <w:rPr>
                <w:rFonts w:eastAsia="Arial Unicode MS" w:cs="Arial Unicode MS"/>
                <w:sz w:val="20"/>
                <w:szCs w:val="20"/>
                <w:lang w:val="tr-TR"/>
              </w:rPr>
              <w:t xml:space="preserve"> </w:t>
            </w:r>
            <w:r w:rsidRPr="0053423A">
              <w:rPr>
                <w:rFonts w:eastAsia="Arial Unicode MS" w:cs="Arial Unicode MS"/>
                <w:sz w:val="20"/>
                <w:szCs w:val="20"/>
              </w:rPr>
              <w:t>կարևորման</w:t>
            </w:r>
            <w:r w:rsidRPr="0053423A">
              <w:rPr>
                <w:rFonts w:eastAsia="Arial Unicode MS" w:cs="Arial Unicode MS"/>
                <w:sz w:val="20"/>
                <w:szCs w:val="20"/>
                <w:lang w:val="tr-TR"/>
              </w:rPr>
              <w:t xml:space="preserve"> </w:t>
            </w:r>
            <w:r w:rsidRPr="0053423A">
              <w:rPr>
                <w:rFonts w:eastAsia="Arial Unicode MS" w:cs="Arial Unicode MS"/>
                <w:sz w:val="20"/>
                <w:szCs w:val="20"/>
              </w:rPr>
              <w:t>առումով։</w:t>
            </w:r>
            <w:r w:rsidRPr="0053423A">
              <w:rPr>
                <w:rFonts w:eastAsia="Arial Unicode MS" w:cs="Arial Unicode MS"/>
                <w:sz w:val="20"/>
                <w:szCs w:val="20"/>
                <w:lang w:val="tr-TR"/>
              </w:rPr>
              <w:t xml:space="preserve"> </w:t>
            </w:r>
            <w:r w:rsidRPr="0053423A">
              <w:rPr>
                <w:rFonts w:eastAsia="Arial Unicode MS" w:cs="Arial Unicode MS"/>
                <w:bCs/>
                <w:kern w:val="32"/>
                <w:sz w:val="20"/>
                <w:szCs w:val="20"/>
                <w:lang w:eastAsia="en-GB"/>
              </w:rPr>
              <w:t>Ծրագիրը</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կընդլայնի</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մարզերի</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բնակչության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ներգրավվածությունը</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ոչ</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նյութական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մշակութային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ժառանգության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պահպանության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տարածման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զարգացման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ու</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հանրահռչակման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գործում</w:t>
            </w:r>
            <w:r w:rsidRPr="0053423A">
              <w:rPr>
                <w:rFonts w:eastAsia="Arial Unicode MS" w:cs="Arial Unicode MS"/>
                <w:bCs/>
                <w:kern w:val="32"/>
                <w:sz w:val="20"/>
                <w:szCs w:val="20"/>
                <w:lang w:val="af-ZA" w:eastAsia="en-GB"/>
              </w:rPr>
              <w:t>:</w:t>
            </w:r>
          </w:p>
          <w:p w:rsidR="00A67B6B" w:rsidRPr="0053423A" w:rsidRDefault="00A67B6B" w:rsidP="00A67858">
            <w:pPr>
              <w:spacing w:after="0" w:line="276" w:lineRule="auto"/>
              <w:ind w:right="141" w:firstLine="851"/>
              <w:jc w:val="both"/>
              <w:rPr>
                <w:rFonts w:eastAsia="Arial Unicode MS" w:cs="Arial Unicode MS"/>
                <w:bCs/>
                <w:kern w:val="32"/>
                <w:sz w:val="20"/>
                <w:szCs w:val="20"/>
                <w:lang w:val="af-ZA" w:eastAsia="en-GB"/>
              </w:rPr>
            </w:pPr>
            <w:r w:rsidRPr="0053423A">
              <w:rPr>
                <w:rFonts w:eastAsia="Arial Unicode MS" w:cs="Arial Unicode MS"/>
                <w:bCs/>
                <w:kern w:val="32"/>
                <w:sz w:val="20"/>
                <w:szCs w:val="20"/>
                <w:lang w:eastAsia="en-GB"/>
              </w:rPr>
              <w:t>Ծրագրի</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արդյունքում</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կենտրոնի</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սաների</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կողմից</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ստեղծված</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ազգային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մշակույթի</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նմուշները</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նշանակալի</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տեղ</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ու</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դեր</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կունենան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համայնքի</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մշակութային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կյանքում</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ձևավորելով</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տեղական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մշակութային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առանձնահատկությունների</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համահավաք</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պատկերը</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և</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այդ</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կերպ</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նպաստելով</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մշակութային</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տուրիզմի</w:t>
            </w:r>
            <w:r w:rsidRPr="0053423A">
              <w:rPr>
                <w:rFonts w:eastAsia="Arial Unicode MS" w:cs="Arial Unicode MS"/>
                <w:bCs/>
                <w:kern w:val="32"/>
                <w:sz w:val="20"/>
                <w:szCs w:val="20"/>
                <w:lang w:val="af-ZA" w:eastAsia="en-GB"/>
              </w:rPr>
              <w:t xml:space="preserve"> </w:t>
            </w:r>
            <w:r w:rsidRPr="0053423A">
              <w:rPr>
                <w:rFonts w:eastAsia="Arial Unicode MS" w:cs="Arial Unicode MS"/>
                <w:bCs/>
                <w:kern w:val="32"/>
                <w:sz w:val="20"/>
                <w:szCs w:val="20"/>
                <w:lang w:eastAsia="en-GB"/>
              </w:rPr>
              <w:t>զարգացմանը</w:t>
            </w:r>
            <w:r w:rsidRPr="0053423A">
              <w:rPr>
                <w:rFonts w:eastAsia="Arial Unicode MS" w:cs="Arial Unicode MS"/>
                <w:bCs/>
                <w:kern w:val="32"/>
                <w:sz w:val="20"/>
                <w:szCs w:val="20"/>
                <w:lang w:val="af-ZA" w:eastAsia="en-GB"/>
              </w:rPr>
              <w:t>:</w:t>
            </w:r>
          </w:p>
          <w:p w:rsidR="00A67B6B" w:rsidRPr="0053423A" w:rsidRDefault="00A67B6B" w:rsidP="00A67858">
            <w:pPr>
              <w:spacing w:after="0" w:line="276" w:lineRule="auto"/>
              <w:ind w:right="141" w:firstLine="851"/>
              <w:jc w:val="both"/>
              <w:rPr>
                <w:rFonts w:eastAsia="Arial Unicode MS" w:cs="Arial Unicode MS"/>
                <w:bCs/>
                <w:kern w:val="32"/>
                <w:sz w:val="20"/>
                <w:szCs w:val="20"/>
                <w:lang w:val="af-ZA" w:eastAsia="en-GB"/>
              </w:rPr>
            </w:pPr>
          </w:p>
          <w:p w:rsidR="00A67B6B" w:rsidRPr="0053423A" w:rsidRDefault="00A67B6B" w:rsidP="00A67858">
            <w:pPr>
              <w:spacing w:after="0" w:line="276" w:lineRule="auto"/>
              <w:ind w:right="141" w:firstLine="851"/>
              <w:jc w:val="center"/>
              <w:rPr>
                <w:rFonts w:eastAsia="Calibri" w:cs="Calibri"/>
                <w:b/>
                <w:sz w:val="20"/>
                <w:szCs w:val="20"/>
                <w:lang w:val="pt-BR"/>
              </w:rPr>
            </w:pPr>
            <w:r w:rsidRPr="0053423A">
              <w:rPr>
                <w:rFonts w:eastAsia="Times New Roman" w:cs="Times New Roman"/>
                <w:b/>
                <w:sz w:val="20"/>
                <w:szCs w:val="20"/>
                <w:lang w:val="af-ZA"/>
              </w:rPr>
              <w:t>6.2</w:t>
            </w:r>
            <w:r w:rsidRPr="0053423A">
              <w:rPr>
                <w:rFonts w:eastAsia="Calibri" w:cs="Calibri"/>
                <w:b/>
                <w:sz w:val="20"/>
                <w:szCs w:val="20"/>
                <w:lang w:val="pt-BR"/>
              </w:rPr>
              <w:t xml:space="preserve"> Մարզային կենտրոններում և համայնքներում առկա մշակույթի տների   արդիականացման </w:t>
            </w:r>
            <w:r w:rsidRPr="0053423A">
              <w:rPr>
                <w:rFonts w:eastAsia="Calibri" w:cs="Calibri"/>
                <w:b/>
                <w:sz w:val="20"/>
                <w:szCs w:val="20"/>
                <w:lang w:val="ru-RU"/>
              </w:rPr>
              <w:t>մեխանիզմների</w:t>
            </w:r>
            <w:r w:rsidRPr="0053423A">
              <w:rPr>
                <w:rFonts w:eastAsia="Calibri" w:cs="Calibri"/>
                <w:b/>
                <w:sz w:val="20"/>
                <w:szCs w:val="20"/>
                <w:lang w:val="af-ZA"/>
              </w:rPr>
              <w:t xml:space="preserve"> </w:t>
            </w:r>
            <w:r w:rsidRPr="0053423A">
              <w:rPr>
                <w:rFonts w:eastAsia="Calibri" w:cs="Calibri"/>
                <w:b/>
                <w:sz w:val="20"/>
                <w:szCs w:val="20"/>
                <w:lang w:val="ru-RU"/>
              </w:rPr>
              <w:t>մշակում</w:t>
            </w:r>
          </w:p>
          <w:p w:rsidR="00A67B6B" w:rsidRPr="0053423A" w:rsidRDefault="00A67B6B" w:rsidP="00A67858">
            <w:pPr>
              <w:spacing w:after="0" w:line="276" w:lineRule="auto"/>
              <w:ind w:right="141" w:firstLine="851"/>
              <w:jc w:val="center"/>
              <w:rPr>
                <w:rFonts w:eastAsia="Calibri" w:cs="Times New Roman"/>
                <w:b/>
                <w:sz w:val="20"/>
                <w:szCs w:val="20"/>
                <w:lang w:val="af-ZA"/>
              </w:rPr>
            </w:pPr>
          </w:p>
          <w:p w:rsidR="00A67B6B" w:rsidRPr="0053423A" w:rsidRDefault="00A67B6B" w:rsidP="001F6D5D">
            <w:pPr>
              <w:numPr>
                <w:ilvl w:val="0"/>
                <w:numId w:val="224"/>
              </w:numPr>
              <w:tabs>
                <w:tab w:val="left" w:pos="410"/>
              </w:tabs>
              <w:spacing w:after="0" w:line="276" w:lineRule="auto"/>
              <w:ind w:hanging="1094"/>
              <w:contextualSpacing/>
              <w:rPr>
                <w:rFonts w:eastAsia="Times New Roman" w:cs="Times New Roman"/>
                <w:sz w:val="20"/>
                <w:szCs w:val="20"/>
              </w:rPr>
            </w:pPr>
            <w:r w:rsidRPr="0053423A">
              <w:rPr>
                <w:rFonts w:eastAsia="Times New Roman" w:cs="Times New Roman"/>
                <w:b/>
                <w:sz w:val="20"/>
                <w:szCs w:val="20"/>
                <w:lang w:val="hy-AM"/>
              </w:rPr>
              <w:t>Միջոցառման իրակացման անհրաժեշտությունը և նպատակը</w:t>
            </w:r>
            <w:r w:rsidRPr="0053423A">
              <w:rPr>
                <w:rFonts w:eastAsia="Times New Roman" w:cs="Times New Roman"/>
                <w:sz w:val="20"/>
                <w:szCs w:val="20"/>
                <w:lang w:val="hy-AM"/>
              </w:rPr>
              <w:t xml:space="preserve"> </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Times New Roman" w:cs="Times New Roman"/>
                <w:sz w:val="20"/>
                <w:szCs w:val="20"/>
              </w:rPr>
              <w:t>Մարզային կենտրոններում և համայնքներում առկա մշակույթի տների վերագործարկման ծրագրի անհրաժեշտությունը պայմանավորված է մշակույթի ապակենտրոնացման, մշակույթի տարածքային համաչափ զարգացման և մարզաբնակչության՝ երկրի մշակութային կյանքի լիիրավ մասնակցության ապահովման, մարզերում ստեղծարար արտադրությունների զարգացման և մշակութային տնտեսության խթանման անհրաժեշտությամբ: Ռ</w:t>
            </w:r>
            <w:r w:rsidRPr="0053423A">
              <w:rPr>
                <w:rFonts w:eastAsia="Times New Roman" w:cs="Times New Roman"/>
                <w:sz w:val="20"/>
                <w:szCs w:val="20"/>
                <w:lang w:val="hy-AM"/>
              </w:rPr>
              <w:t>ազմավարական խնդիր է դիտարկվում ոչ միայն տարբեր միջոցառումների կազմակերպումը մարզերում, այլև մշակութային տներում տեղի մշակութային և արվեստային գործունեության կազմակերպումը, մշակութային, կրթության, ժամանցի, զբոսաշրջության և ստեղծագործ ներուժի լիարժեք դրսևորման, ստեղծարար արտադրության հիմնման և դրանք մշակութային կենտրոնների վերածելու տեսլականը:</w:t>
            </w:r>
            <w:r w:rsidRPr="0053423A">
              <w:rPr>
                <w:rFonts w:eastAsia="Times New Roman" w:cs="Times New Roman"/>
                <w:sz w:val="20"/>
                <w:szCs w:val="20"/>
              </w:rPr>
              <w:t xml:space="preserve">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spacing w:after="0" w:line="276" w:lineRule="auto"/>
              <w:jc w:val="both"/>
              <w:rPr>
                <w:rFonts w:eastAsia="Times New Roman" w:cs="Times New Roman"/>
                <w:sz w:val="20"/>
                <w:szCs w:val="20"/>
                <w:lang w:val="hy-AM"/>
              </w:rPr>
            </w:pPr>
          </w:p>
          <w:p w:rsidR="00A67B6B" w:rsidRPr="0053423A" w:rsidRDefault="00A67B6B" w:rsidP="00A67858">
            <w:pPr>
              <w:tabs>
                <w:tab w:val="left" w:pos="508"/>
              </w:tabs>
              <w:spacing w:after="0" w:line="276" w:lineRule="auto"/>
              <w:contextualSpacing/>
              <w:rPr>
                <w:rFonts w:eastAsia="Calibri" w:cs="Times New Roman"/>
                <w:b/>
                <w:sz w:val="20"/>
                <w:szCs w:val="20"/>
                <w:lang w:val="hy-AM"/>
              </w:rPr>
            </w:pPr>
            <w:r w:rsidRPr="0053423A">
              <w:rPr>
                <w:rFonts w:eastAsia="Times New Roman" w:cs="Times New Roman"/>
                <w:b/>
                <w:sz w:val="20"/>
                <w:szCs w:val="20"/>
                <w:lang w:val="hy-AM"/>
              </w:rPr>
              <w:t>1.1 Կարգավորման հարաբերությունների ներկա վիճակը և առկա խնդիրները</w:t>
            </w:r>
          </w:p>
          <w:p w:rsidR="00A67B6B" w:rsidRPr="0053423A" w:rsidRDefault="00A67B6B" w:rsidP="00A67858">
            <w:pPr>
              <w:tabs>
                <w:tab w:val="left" w:pos="508"/>
              </w:tabs>
              <w:spacing w:after="0" w:line="276" w:lineRule="auto"/>
              <w:jc w:val="both"/>
              <w:rPr>
                <w:rFonts w:eastAsia="Times New Roman" w:cs="Times New Roman"/>
                <w:sz w:val="20"/>
                <w:szCs w:val="20"/>
                <w:lang w:val="hy-AM"/>
              </w:rPr>
            </w:pPr>
            <w:r w:rsidRPr="0053423A">
              <w:rPr>
                <w:rFonts w:eastAsia="Times New Roman" w:cs="Times New Roman"/>
                <w:sz w:val="20"/>
                <w:szCs w:val="20"/>
                <w:lang w:val="hy-AM"/>
              </w:rPr>
              <w:t>Ներկայում պետության մշակութային կյանքը կենտրոնացած է առավելապես մայրաքաղաքում, մեծամասշտաբ և միջազգային մակարդակով մշակութային միջոցառումները իրականացվում են Երևանում և, ըստ այդմ, մարզերում ապրող քաղաքացիներին հասանելի չեն մշակութային բարիքները, մշակութային բարձրարժեք արտադրանքն ու ծառայությունները: Բազմաթիվ սոցիալ-տնտեսական խնդիրներով պայմանավորված՝ մարզերի և համայնքների մշակութային օջախները մղվել են հետին պլան, այլևս չեն կատարում նախկին դերակատարությունը, բարոյապես և ֆիզիկապես մաշվել են շենք-շինությունները:</w:t>
            </w:r>
          </w:p>
          <w:p w:rsidR="00A67B6B" w:rsidRPr="0053423A" w:rsidRDefault="00A67B6B" w:rsidP="00A67858">
            <w:pPr>
              <w:tabs>
                <w:tab w:val="left" w:pos="508"/>
              </w:tabs>
              <w:spacing w:after="0" w:line="276" w:lineRule="auto"/>
              <w:jc w:val="both"/>
              <w:rPr>
                <w:rFonts w:eastAsia="Times New Roman" w:cs="Times New Roman"/>
                <w:sz w:val="20"/>
                <w:szCs w:val="20"/>
                <w:lang w:val="hy-AM"/>
              </w:rPr>
            </w:pPr>
          </w:p>
          <w:p w:rsidR="00A67B6B" w:rsidRPr="0053423A" w:rsidRDefault="00A67B6B" w:rsidP="00A67858">
            <w:pPr>
              <w:tabs>
                <w:tab w:val="left" w:pos="508"/>
              </w:tabs>
              <w:spacing w:after="0" w:line="276" w:lineRule="auto"/>
              <w:rPr>
                <w:rFonts w:eastAsia="Times New Roman" w:cs="Times New Roman"/>
                <w:b/>
                <w:sz w:val="20"/>
                <w:szCs w:val="20"/>
                <w:lang w:val="hy-AM"/>
              </w:rPr>
            </w:pPr>
            <w:r w:rsidRPr="0053423A">
              <w:rPr>
                <w:rFonts w:eastAsia="Times New Roman" w:cs="Times New Roman"/>
                <w:b/>
                <w:sz w:val="20"/>
                <w:szCs w:val="20"/>
                <w:lang w:val="hy-AM"/>
              </w:rPr>
              <w:t>1.2. Առկա խնդիրների առաջարկվող լուծումները</w:t>
            </w:r>
          </w:p>
          <w:p w:rsidR="00A67B6B" w:rsidRPr="0053423A" w:rsidRDefault="00A67B6B" w:rsidP="00A67858">
            <w:pPr>
              <w:tabs>
                <w:tab w:val="left" w:pos="508"/>
              </w:tabs>
              <w:spacing w:after="0" w:line="276" w:lineRule="auto"/>
              <w:jc w:val="both"/>
              <w:rPr>
                <w:rFonts w:eastAsia="Times New Roman" w:cs="Times New Roman"/>
                <w:sz w:val="20"/>
                <w:szCs w:val="20"/>
                <w:lang w:val="hy-AM"/>
              </w:rPr>
            </w:pPr>
            <w:r w:rsidRPr="0053423A">
              <w:rPr>
                <w:rFonts w:eastAsia="Times New Roman" w:cs="Times New Roman"/>
                <w:sz w:val="20"/>
                <w:szCs w:val="20"/>
                <w:lang w:val="hy-AM"/>
              </w:rPr>
              <w:t>Առաջարկվող ծրագրով նախատեսվում է իրականացնել մարզային կենտրոններում և համայնքներում առկա մշակույթի տների վերագործարկման համալիր ծրագիրը, որը կիրականցվի փուլերով: 2019-2020 թթ. առաջին փուլով կկատարվեն ուսումնասիրություններ և քարտեզագրում, կմշակվի վերագործարկամն և մշակութային կյանքի աշխուժացման հայեցակարգ-նախագիծը՝</w:t>
            </w:r>
            <w:r w:rsidRPr="0053423A">
              <w:rPr>
                <w:rFonts w:eastAsia="Calibri" w:cs="Calibri"/>
                <w:sz w:val="20"/>
                <w:szCs w:val="20"/>
                <w:lang w:val="pt-BR"/>
              </w:rPr>
              <w:t xml:space="preserve"> համապատասխան արդիականացման կոնցեպտուալ մոդելների</w:t>
            </w:r>
            <w:r w:rsidRPr="0053423A">
              <w:rPr>
                <w:rFonts w:eastAsia="Times New Roman" w:cs="Times New Roman"/>
                <w:sz w:val="20"/>
                <w:szCs w:val="20"/>
                <w:lang w:val="hy-AM"/>
              </w:rPr>
              <w:t>, որը հնարավորությունն կտա ամբողջապես տիրապետել մշակույթի տների վերագործարկման հետ կապված խնդիրներն ու առաջարկվող լուծումներըՙ հաշվի առնելով տարածաշրջանային առանձնահատկությունները:</w:t>
            </w:r>
          </w:p>
          <w:p w:rsidR="00A67B6B" w:rsidRPr="0053423A" w:rsidRDefault="00A67B6B" w:rsidP="00A67858">
            <w:pPr>
              <w:shd w:val="clear" w:color="auto" w:fill="FFFFFF"/>
              <w:spacing w:after="0" w:line="276" w:lineRule="auto"/>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A67B6B" w:rsidRPr="0053423A" w:rsidRDefault="00A67B6B" w:rsidP="00A67858">
            <w:pPr>
              <w:tabs>
                <w:tab w:val="left" w:pos="508"/>
              </w:tabs>
              <w:spacing w:after="0" w:line="276" w:lineRule="auto"/>
              <w:jc w:val="both"/>
              <w:rPr>
                <w:rFonts w:eastAsia="Times New Roman" w:cs="GHEA Grapalat"/>
                <w:b/>
                <w:bCs/>
                <w:sz w:val="20"/>
                <w:szCs w:val="20"/>
                <w:lang w:val="hy-AM"/>
              </w:rPr>
            </w:pPr>
            <w:r w:rsidRPr="0053423A">
              <w:rPr>
                <w:rFonts w:eastAsia="Times New Roman" w:cs="Calibri"/>
                <w:sz w:val="20"/>
                <w:szCs w:val="20"/>
                <w:lang w:val="pt-BR"/>
              </w:rPr>
              <w:t xml:space="preserve">Միասնական մշակութային հարթակի ձևավորում </w:t>
            </w:r>
            <w:r w:rsidRPr="0053423A">
              <w:rPr>
                <w:rFonts w:eastAsia="Times New Roman" w:cs="Calibri"/>
                <w:sz w:val="20"/>
                <w:szCs w:val="20"/>
                <w:lang w:val="hy-AM"/>
              </w:rPr>
              <w:t>ՀՀ</w:t>
            </w:r>
            <w:r w:rsidRPr="0053423A">
              <w:rPr>
                <w:rFonts w:eastAsia="Times New Roman" w:cs="Calibri"/>
                <w:sz w:val="20"/>
                <w:szCs w:val="20"/>
                <w:lang w:val="af-ZA"/>
              </w:rPr>
              <w:t xml:space="preserve"> </w:t>
            </w:r>
            <w:r w:rsidRPr="0053423A">
              <w:rPr>
                <w:rFonts w:eastAsia="Times New Roman" w:cs="Calibri"/>
                <w:sz w:val="20"/>
                <w:szCs w:val="20"/>
                <w:lang w:val="pt-BR"/>
              </w:rPr>
              <w:t xml:space="preserve">մարզերում, որի միջոցով կիրականացվի միասնական </w:t>
            </w:r>
            <w:r w:rsidRPr="0053423A">
              <w:rPr>
                <w:rFonts w:eastAsia="Times New Roman" w:cs="Calibri"/>
                <w:sz w:val="20"/>
                <w:szCs w:val="20"/>
                <w:lang w:val="hy-AM"/>
              </w:rPr>
              <w:t>մշակութային</w:t>
            </w:r>
            <w:r w:rsidRPr="0053423A">
              <w:rPr>
                <w:rFonts w:eastAsia="Times New Roman" w:cs="Calibri"/>
                <w:sz w:val="20"/>
                <w:szCs w:val="20"/>
                <w:lang w:val="af-ZA"/>
              </w:rPr>
              <w:t xml:space="preserve"> </w:t>
            </w:r>
            <w:r w:rsidRPr="0053423A">
              <w:rPr>
                <w:rFonts w:eastAsia="Times New Roman" w:cs="Calibri"/>
                <w:sz w:val="20"/>
                <w:szCs w:val="20"/>
                <w:lang w:val="hy-AM"/>
              </w:rPr>
              <w:t>քաղաքականությունը</w:t>
            </w:r>
            <w:r w:rsidRPr="0053423A">
              <w:rPr>
                <w:rFonts w:eastAsia="Times New Roman" w:cs="Calibri"/>
                <w:sz w:val="20"/>
                <w:szCs w:val="20"/>
                <w:lang w:val="af-ZA"/>
              </w:rPr>
              <w:t xml:space="preserve">, </w:t>
            </w:r>
            <w:r w:rsidRPr="0053423A">
              <w:rPr>
                <w:rFonts w:eastAsia="Times New Roman" w:cs="Calibri"/>
                <w:sz w:val="20"/>
                <w:szCs w:val="20"/>
                <w:lang w:val="pt-BR"/>
              </w:rPr>
              <w:t>բնակչության մշակութային կրթության և ժամանցի որակի բարելավում, մարզային մշակութային զբոսաշրջության զարգացում, հանրապետական և միջազգային մշակութային նախագծերի իրականացման հնարավորության մշակութային ինքնավարության  ապահովում</w:t>
            </w:r>
            <w:r w:rsidRPr="0053423A">
              <w:rPr>
                <w:rFonts w:eastAsia="Times New Roman" w:cs="Calibri"/>
                <w:sz w:val="20"/>
                <w:szCs w:val="20"/>
                <w:lang w:val="af-ZA"/>
              </w:rPr>
              <w:t xml:space="preserve">, </w:t>
            </w:r>
            <w:r w:rsidRPr="0053423A">
              <w:rPr>
                <w:rFonts w:eastAsia="Times New Roman" w:cs="Calibri"/>
                <w:sz w:val="20"/>
                <w:szCs w:val="20"/>
                <w:lang w:val="hy-AM"/>
              </w:rPr>
              <w:t>ստեղծագործ</w:t>
            </w:r>
            <w:r w:rsidRPr="0053423A">
              <w:rPr>
                <w:rFonts w:eastAsia="Times New Roman" w:cs="Calibri"/>
                <w:sz w:val="20"/>
                <w:szCs w:val="20"/>
                <w:lang w:val="af-ZA"/>
              </w:rPr>
              <w:t xml:space="preserve"> </w:t>
            </w:r>
            <w:r w:rsidRPr="0053423A">
              <w:rPr>
                <w:rFonts w:eastAsia="Times New Roman" w:cs="Calibri"/>
                <w:sz w:val="20"/>
                <w:szCs w:val="20"/>
                <w:lang w:val="hy-AM"/>
              </w:rPr>
              <w:t>կարողությունների</w:t>
            </w:r>
            <w:r w:rsidRPr="0053423A">
              <w:rPr>
                <w:rFonts w:eastAsia="Times New Roman" w:cs="Calibri"/>
                <w:sz w:val="20"/>
                <w:szCs w:val="20"/>
                <w:lang w:val="af-ZA"/>
              </w:rPr>
              <w:t xml:space="preserve"> </w:t>
            </w:r>
            <w:r w:rsidRPr="0053423A">
              <w:rPr>
                <w:rFonts w:eastAsia="Times New Roman" w:cs="Calibri"/>
                <w:sz w:val="20"/>
                <w:szCs w:val="20"/>
                <w:lang w:val="hy-AM"/>
              </w:rPr>
              <w:t>զարգացում, ներուժի վերհանում, ստեղծարար արտադրությունների հիմնումՙ մշակութային տնտեսության խթանում:</w:t>
            </w:r>
          </w:p>
          <w:p w:rsidR="00A67B6B" w:rsidRPr="0053423A" w:rsidRDefault="00A67B6B" w:rsidP="00A67858">
            <w:pPr>
              <w:tabs>
                <w:tab w:val="left" w:pos="508"/>
              </w:tabs>
              <w:spacing w:after="0" w:line="276" w:lineRule="auto"/>
              <w:rPr>
                <w:rFonts w:eastAsia="Times New Roman" w:cs="GHEA Grapalat"/>
                <w:b/>
                <w:bCs/>
                <w:sz w:val="20"/>
                <w:szCs w:val="20"/>
                <w:lang w:val="hy-AM"/>
              </w:rPr>
            </w:pPr>
          </w:p>
          <w:p w:rsidR="00A67B6B" w:rsidRPr="0053423A" w:rsidRDefault="00A67B6B" w:rsidP="00A67858">
            <w:pPr>
              <w:tabs>
                <w:tab w:val="left" w:pos="508"/>
              </w:tabs>
              <w:spacing w:after="0" w:line="276" w:lineRule="auto"/>
              <w:jc w:val="center"/>
              <w:rPr>
                <w:rFonts w:eastAsia="Times New Roman" w:cs="Calibri"/>
                <w:b/>
                <w:sz w:val="20"/>
                <w:szCs w:val="20"/>
                <w:lang w:val="hy-AM"/>
              </w:rPr>
            </w:pPr>
            <w:r w:rsidRPr="0053423A">
              <w:rPr>
                <w:rFonts w:eastAsia="Times New Roman" w:cs="Times New Roman"/>
                <w:b/>
                <w:sz w:val="20"/>
                <w:szCs w:val="20"/>
                <w:lang w:val="hy-AM"/>
              </w:rPr>
              <w:t>6.3</w:t>
            </w:r>
            <w:r w:rsidRPr="0053423A">
              <w:rPr>
                <w:rFonts w:eastAsia="Times New Roman" w:cs="Calibri"/>
                <w:b/>
                <w:sz w:val="20"/>
                <w:szCs w:val="20"/>
                <w:lang w:val="hy-AM"/>
              </w:rPr>
              <w:t xml:space="preserve"> </w:t>
            </w:r>
            <w:r w:rsidRPr="0053423A">
              <w:rPr>
                <w:rFonts w:eastAsia="Times New Roman" w:cs="Times New Roman"/>
                <w:b/>
                <w:sz w:val="20"/>
                <w:szCs w:val="20"/>
                <w:lang w:val="hy-AM" w:eastAsia="ru-RU"/>
              </w:rPr>
              <w:t>«</w:t>
            </w:r>
            <w:r w:rsidRPr="0053423A">
              <w:rPr>
                <w:rFonts w:eastAsia="Times New Roman" w:cs="Calibri"/>
                <w:b/>
                <w:sz w:val="20"/>
                <w:szCs w:val="20"/>
                <w:lang w:val="hy-AM"/>
              </w:rPr>
              <w:t>Հանրապետության երաժշտական և արվեստի դպրոցների համար երաժշտական գործիքների ձեռքբերման» ծրագրի իրականացում</w:t>
            </w:r>
          </w:p>
          <w:p w:rsidR="00A67B6B" w:rsidRPr="0053423A" w:rsidRDefault="00A67B6B" w:rsidP="00A67858">
            <w:pPr>
              <w:tabs>
                <w:tab w:val="left" w:pos="508"/>
              </w:tabs>
              <w:spacing w:after="0" w:line="276" w:lineRule="auto"/>
              <w:jc w:val="center"/>
              <w:rPr>
                <w:rFonts w:eastAsia="Times New Roman" w:cs="Calibri"/>
                <w:sz w:val="20"/>
                <w:szCs w:val="20"/>
                <w:lang w:val="hy-AM"/>
              </w:rPr>
            </w:pPr>
          </w:p>
          <w:p w:rsidR="00A67B6B" w:rsidRPr="0053423A" w:rsidRDefault="00A67B6B" w:rsidP="001F6D5D">
            <w:pPr>
              <w:numPr>
                <w:ilvl w:val="0"/>
                <w:numId w:val="216"/>
              </w:numPr>
              <w:tabs>
                <w:tab w:val="left" w:pos="365"/>
              </w:tabs>
              <w:spacing w:after="0" w:line="276" w:lineRule="auto"/>
              <w:ind w:hanging="1094"/>
              <w:contextualSpacing/>
              <w:rPr>
                <w:rFonts w:eastAsia="Times New Roman" w:cs="Times New Roman"/>
                <w:sz w:val="20"/>
                <w:szCs w:val="20"/>
                <w:lang w:val="ru-RU"/>
              </w:rPr>
            </w:pPr>
            <w:r w:rsidRPr="0053423A">
              <w:rPr>
                <w:rFonts w:eastAsia="Times New Roman" w:cs="Times New Roman"/>
                <w:b/>
                <w:sz w:val="20"/>
                <w:szCs w:val="20"/>
                <w:lang w:val="hy-AM"/>
              </w:rPr>
              <w:t>Միջոցառման իրակացման անհրաժեշտությունը և նպատակը</w:t>
            </w:r>
            <w:r w:rsidRPr="0053423A">
              <w:rPr>
                <w:rFonts w:eastAsia="Times New Roman" w:cs="Times New Roman"/>
                <w:sz w:val="20"/>
                <w:szCs w:val="20"/>
                <w:lang w:val="hy-AM"/>
              </w:rPr>
              <w:t xml:space="preserve"> </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rPr>
              <w:t>Միջոցառման</w:t>
            </w:r>
            <w:r w:rsidRPr="0053423A">
              <w:rPr>
                <w:rFonts w:eastAsia="Calibri" w:cs="Times New Roman"/>
                <w:sz w:val="20"/>
                <w:szCs w:val="20"/>
                <w:lang w:val="ru-RU"/>
              </w:rPr>
              <w:t xml:space="preserve"> </w:t>
            </w:r>
            <w:r w:rsidRPr="0053423A">
              <w:rPr>
                <w:rFonts w:eastAsia="Calibri" w:cs="Times New Roman"/>
                <w:sz w:val="20"/>
                <w:szCs w:val="20"/>
              </w:rPr>
              <w:t>իրականացման</w:t>
            </w:r>
            <w:r w:rsidRPr="0053423A">
              <w:rPr>
                <w:rFonts w:eastAsia="Calibri" w:cs="Times New Roman"/>
                <w:sz w:val="20"/>
                <w:szCs w:val="20"/>
                <w:lang w:val="ru-RU"/>
              </w:rPr>
              <w:t xml:space="preserve"> </w:t>
            </w:r>
            <w:r w:rsidRPr="0053423A">
              <w:rPr>
                <w:rFonts w:eastAsia="Calibri" w:cs="Times New Roman"/>
                <w:sz w:val="20"/>
                <w:szCs w:val="20"/>
              </w:rPr>
              <w:t>նպատակն</w:t>
            </w:r>
            <w:r w:rsidRPr="0053423A">
              <w:rPr>
                <w:rFonts w:eastAsia="Calibri" w:cs="Times New Roman"/>
                <w:sz w:val="20"/>
                <w:szCs w:val="20"/>
                <w:lang w:val="ru-RU"/>
              </w:rPr>
              <w:t xml:space="preserve"> </w:t>
            </w:r>
            <w:r w:rsidRPr="0053423A">
              <w:rPr>
                <w:rFonts w:eastAsia="Calibri" w:cs="Times New Roman"/>
                <w:sz w:val="20"/>
                <w:szCs w:val="20"/>
              </w:rPr>
              <w:t>է</w:t>
            </w:r>
            <w:r w:rsidRPr="0053423A">
              <w:rPr>
                <w:rFonts w:eastAsia="Calibri" w:cs="Times New Roman"/>
                <w:sz w:val="20"/>
                <w:szCs w:val="20"/>
                <w:lang w:val="ru-RU"/>
              </w:rPr>
              <w:t xml:space="preserve"> </w:t>
            </w:r>
            <w:r w:rsidRPr="0053423A">
              <w:rPr>
                <w:rFonts w:eastAsia="Calibri" w:cs="Times New Roman"/>
                <w:sz w:val="20"/>
                <w:szCs w:val="20"/>
              </w:rPr>
              <w:t>ապահովել</w:t>
            </w:r>
            <w:r w:rsidRPr="0053423A">
              <w:rPr>
                <w:rFonts w:eastAsia="Calibri" w:cs="Times New Roman"/>
                <w:sz w:val="20"/>
                <w:szCs w:val="20"/>
                <w:lang w:val="ru-RU"/>
              </w:rPr>
              <w:t xml:space="preserve"> </w:t>
            </w:r>
            <w:r w:rsidRPr="0053423A">
              <w:rPr>
                <w:rFonts w:eastAsia="Calibri" w:cs="Times New Roman"/>
                <w:sz w:val="20"/>
                <w:szCs w:val="20"/>
              </w:rPr>
              <w:t>հանրապետության</w:t>
            </w:r>
            <w:r w:rsidRPr="0053423A">
              <w:rPr>
                <w:rFonts w:eastAsia="Calibri" w:cs="Times New Roman"/>
                <w:sz w:val="20"/>
                <w:szCs w:val="20"/>
                <w:lang w:val="ru-RU"/>
              </w:rPr>
              <w:t xml:space="preserve"> </w:t>
            </w:r>
            <w:r w:rsidRPr="0053423A">
              <w:rPr>
                <w:rFonts w:eastAsia="Calibri" w:cs="Times New Roman"/>
                <w:sz w:val="20"/>
                <w:szCs w:val="20"/>
              </w:rPr>
              <w:t>տարածքում</w:t>
            </w:r>
            <w:r w:rsidRPr="0053423A">
              <w:rPr>
                <w:rFonts w:eastAsia="Calibri" w:cs="Times New Roman"/>
                <w:sz w:val="20"/>
                <w:szCs w:val="20"/>
                <w:lang w:val="ru-RU"/>
              </w:rPr>
              <w:t xml:space="preserve"> </w:t>
            </w:r>
            <w:r w:rsidRPr="0053423A">
              <w:rPr>
                <w:rFonts w:eastAsia="Calibri" w:cs="Times New Roman"/>
                <w:sz w:val="20"/>
                <w:szCs w:val="20"/>
              </w:rPr>
              <w:t>գործող</w:t>
            </w:r>
            <w:r w:rsidRPr="0053423A">
              <w:rPr>
                <w:rFonts w:eastAsia="Calibri" w:cs="Times New Roman"/>
                <w:sz w:val="20"/>
                <w:szCs w:val="20"/>
                <w:lang w:val="ru-RU"/>
              </w:rPr>
              <w:t xml:space="preserve"> </w:t>
            </w:r>
            <w:r w:rsidRPr="0053423A">
              <w:rPr>
                <w:rFonts w:eastAsia="Calibri" w:cs="Times New Roman"/>
                <w:sz w:val="20"/>
                <w:szCs w:val="20"/>
              </w:rPr>
              <w:t>երաժշտական</w:t>
            </w:r>
            <w:r w:rsidRPr="0053423A">
              <w:rPr>
                <w:rFonts w:eastAsia="Calibri" w:cs="Times New Roman"/>
                <w:sz w:val="20"/>
                <w:szCs w:val="20"/>
                <w:lang w:val="ru-RU"/>
              </w:rPr>
              <w:t xml:space="preserve"> </w:t>
            </w:r>
            <w:r w:rsidRPr="0053423A">
              <w:rPr>
                <w:rFonts w:eastAsia="Calibri" w:cs="Times New Roman"/>
                <w:sz w:val="20"/>
                <w:szCs w:val="20"/>
              </w:rPr>
              <w:t>կրթօջախների</w:t>
            </w:r>
            <w:r w:rsidRPr="0053423A">
              <w:rPr>
                <w:rFonts w:eastAsia="Calibri" w:cs="Times New Roman"/>
                <w:sz w:val="20"/>
                <w:szCs w:val="20"/>
                <w:lang w:val="ru-RU"/>
              </w:rPr>
              <w:t xml:space="preserve"> </w:t>
            </w:r>
            <w:r w:rsidRPr="0053423A">
              <w:rPr>
                <w:rFonts w:eastAsia="Calibri" w:cs="Times New Roman"/>
                <w:sz w:val="20"/>
                <w:szCs w:val="20"/>
              </w:rPr>
              <w:t>նյութատեխնիկական</w:t>
            </w:r>
            <w:r w:rsidRPr="0053423A">
              <w:rPr>
                <w:rFonts w:eastAsia="Calibri" w:cs="Times New Roman"/>
                <w:sz w:val="20"/>
                <w:szCs w:val="20"/>
                <w:lang w:val="ru-RU"/>
              </w:rPr>
              <w:t xml:space="preserve"> </w:t>
            </w:r>
            <w:r w:rsidRPr="0053423A">
              <w:rPr>
                <w:rFonts w:eastAsia="Calibri" w:cs="Times New Roman"/>
                <w:sz w:val="20"/>
                <w:szCs w:val="20"/>
              </w:rPr>
              <w:t>հագեցվածությունը</w:t>
            </w:r>
            <w:r w:rsidRPr="0053423A">
              <w:rPr>
                <w:rFonts w:eastAsia="Calibri" w:cs="Times New Roman"/>
                <w:sz w:val="20"/>
                <w:szCs w:val="20"/>
                <w:lang w:val="ru-RU"/>
              </w:rPr>
              <w:t xml:space="preserve">, </w:t>
            </w:r>
            <w:r w:rsidRPr="0053423A">
              <w:rPr>
                <w:rFonts w:eastAsia="Calibri" w:cs="Times New Roman"/>
                <w:sz w:val="20"/>
                <w:szCs w:val="20"/>
              </w:rPr>
              <w:t>որն</w:t>
            </w:r>
            <w:r w:rsidRPr="0053423A">
              <w:rPr>
                <w:rFonts w:eastAsia="Calibri" w:cs="Times New Roman"/>
                <w:sz w:val="20"/>
                <w:szCs w:val="20"/>
                <w:lang w:val="ru-RU"/>
              </w:rPr>
              <w:t xml:space="preserve"> </w:t>
            </w:r>
            <w:r w:rsidRPr="0053423A">
              <w:rPr>
                <w:rFonts w:eastAsia="Calibri" w:cs="Times New Roman"/>
                <w:sz w:val="20"/>
                <w:szCs w:val="20"/>
              </w:rPr>
              <w:t>իր</w:t>
            </w:r>
            <w:r w:rsidRPr="0053423A">
              <w:rPr>
                <w:rFonts w:eastAsia="Calibri" w:cs="Times New Roman"/>
                <w:sz w:val="20"/>
                <w:szCs w:val="20"/>
                <w:lang w:val="ru-RU"/>
              </w:rPr>
              <w:t xml:space="preserve"> </w:t>
            </w:r>
            <w:r w:rsidRPr="0053423A">
              <w:rPr>
                <w:rFonts w:eastAsia="Calibri" w:cs="Times New Roman"/>
                <w:sz w:val="20"/>
                <w:szCs w:val="20"/>
              </w:rPr>
              <w:t>հերթին</w:t>
            </w:r>
            <w:r w:rsidRPr="0053423A">
              <w:rPr>
                <w:rFonts w:eastAsia="Calibri" w:cs="Times New Roman"/>
                <w:sz w:val="20"/>
                <w:szCs w:val="20"/>
                <w:lang w:val="ru-RU"/>
              </w:rPr>
              <w:t xml:space="preserve"> </w:t>
            </w:r>
            <w:r w:rsidRPr="0053423A">
              <w:rPr>
                <w:rFonts w:eastAsia="Calibri" w:cs="Times New Roman"/>
                <w:sz w:val="20"/>
                <w:szCs w:val="20"/>
              </w:rPr>
              <w:t>թույլ</w:t>
            </w:r>
            <w:r w:rsidRPr="0053423A">
              <w:rPr>
                <w:rFonts w:eastAsia="Calibri" w:cs="Times New Roman"/>
                <w:sz w:val="20"/>
                <w:szCs w:val="20"/>
                <w:lang w:val="ru-RU"/>
              </w:rPr>
              <w:t xml:space="preserve"> </w:t>
            </w:r>
            <w:r w:rsidRPr="0053423A">
              <w:rPr>
                <w:rFonts w:eastAsia="Calibri" w:cs="Times New Roman"/>
                <w:sz w:val="20"/>
                <w:szCs w:val="20"/>
              </w:rPr>
              <w:t>կտա</w:t>
            </w:r>
            <w:r w:rsidRPr="0053423A">
              <w:rPr>
                <w:rFonts w:eastAsia="Calibri" w:cs="Times New Roman"/>
                <w:sz w:val="20"/>
                <w:szCs w:val="20"/>
                <w:lang w:val="ru-RU"/>
              </w:rPr>
              <w:t xml:space="preserve"> </w:t>
            </w:r>
            <w:r w:rsidRPr="0053423A">
              <w:rPr>
                <w:rFonts w:eastAsia="Calibri" w:cs="Times New Roman"/>
                <w:sz w:val="20"/>
                <w:szCs w:val="20"/>
              </w:rPr>
              <w:t>ներգրավել</w:t>
            </w:r>
            <w:r w:rsidRPr="0053423A">
              <w:rPr>
                <w:rFonts w:eastAsia="Calibri" w:cs="Times New Roman"/>
                <w:sz w:val="20"/>
                <w:szCs w:val="20"/>
                <w:lang w:val="ru-RU"/>
              </w:rPr>
              <w:t xml:space="preserve"> </w:t>
            </w:r>
            <w:r w:rsidRPr="0053423A">
              <w:rPr>
                <w:rFonts w:eastAsia="Calibri" w:cs="Times New Roman"/>
                <w:sz w:val="20"/>
                <w:szCs w:val="20"/>
              </w:rPr>
              <w:t>աշակերտների</w:t>
            </w:r>
            <w:r w:rsidRPr="0053423A">
              <w:rPr>
                <w:rFonts w:eastAsia="Calibri" w:cs="Times New Roman"/>
                <w:sz w:val="20"/>
                <w:szCs w:val="20"/>
                <w:lang w:val="ru-RU"/>
              </w:rPr>
              <w:t xml:space="preserve"> </w:t>
            </w:r>
            <w:r w:rsidRPr="0053423A">
              <w:rPr>
                <w:rFonts w:eastAsia="Calibri" w:cs="Times New Roman"/>
                <w:sz w:val="20"/>
                <w:szCs w:val="20"/>
              </w:rPr>
              <w:t>մեծ</w:t>
            </w:r>
            <w:r w:rsidRPr="0053423A">
              <w:rPr>
                <w:rFonts w:eastAsia="Calibri" w:cs="Times New Roman"/>
                <w:sz w:val="20"/>
                <w:szCs w:val="20"/>
                <w:lang w:val="ru-RU"/>
              </w:rPr>
              <w:t xml:space="preserve"> </w:t>
            </w:r>
            <w:r w:rsidRPr="0053423A">
              <w:rPr>
                <w:rFonts w:eastAsia="Calibri" w:cs="Times New Roman"/>
                <w:sz w:val="20"/>
                <w:szCs w:val="20"/>
              </w:rPr>
              <w:t>թվով</w:t>
            </w:r>
            <w:r w:rsidRPr="0053423A">
              <w:rPr>
                <w:rFonts w:eastAsia="Calibri" w:cs="Times New Roman"/>
                <w:sz w:val="20"/>
                <w:szCs w:val="20"/>
                <w:lang w:val="ru-RU"/>
              </w:rPr>
              <w:t xml:space="preserve"> </w:t>
            </w:r>
            <w:r w:rsidRPr="0053423A">
              <w:rPr>
                <w:rFonts w:eastAsia="Calibri" w:cs="Times New Roman"/>
                <w:sz w:val="20"/>
                <w:szCs w:val="20"/>
              </w:rPr>
              <w:t>համակազմ</w:t>
            </w:r>
            <w:r w:rsidRPr="0053423A">
              <w:rPr>
                <w:rFonts w:eastAsia="Calibri" w:cs="Times New Roman"/>
                <w:sz w:val="20"/>
                <w:szCs w:val="20"/>
                <w:lang w:val="ru-RU"/>
              </w:rPr>
              <w:t xml:space="preserve">` </w:t>
            </w:r>
            <w:r w:rsidRPr="0053423A">
              <w:rPr>
                <w:rFonts w:eastAsia="Calibri" w:cs="Times New Roman"/>
                <w:sz w:val="20"/>
                <w:szCs w:val="20"/>
              </w:rPr>
              <w:t>նպաստելով</w:t>
            </w:r>
            <w:r w:rsidRPr="0053423A">
              <w:rPr>
                <w:rFonts w:eastAsia="Calibri" w:cs="Times New Roman"/>
                <w:sz w:val="20"/>
                <w:szCs w:val="20"/>
                <w:lang w:val="ru-RU"/>
              </w:rPr>
              <w:t xml:space="preserve"> </w:t>
            </w:r>
            <w:r w:rsidRPr="0053423A">
              <w:rPr>
                <w:rFonts w:eastAsia="Calibri" w:cs="Times New Roman"/>
                <w:sz w:val="20"/>
                <w:szCs w:val="20"/>
              </w:rPr>
              <w:t>մանուկների</w:t>
            </w:r>
            <w:r w:rsidRPr="0053423A">
              <w:rPr>
                <w:rFonts w:eastAsia="Calibri" w:cs="Times New Roman"/>
                <w:sz w:val="20"/>
                <w:szCs w:val="20"/>
                <w:lang w:val="ru-RU"/>
              </w:rPr>
              <w:t xml:space="preserve"> </w:t>
            </w:r>
            <w:r w:rsidRPr="0053423A">
              <w:rPr>
                <w:rFonts w:eastAsia="Calibri" w:cs="Times New Roman"/>
                <w:sz w:val="20"/>
                <w:szCs w:val="20"/>
              </w:rPr>
              <w:t>ու</w:t>
            </w:r>
            <w:r w:rsidRPr="0053423A">
              <w:rPr>
                <w:rFonts w:eastAsia="Calibri" w:cs="Times New Roman"/>
                <w:sz w:val="20"/>
                <w:szCs w:val="20"/>
                <w:lang w:val="ru-RU"/>
              </w:rPr>
              <w:t xml:space="preserve"> </w:t>
            </w:r>
            <w:r w:rsidRPr="0053423A">
              <w:rPr>
                <w:rFonts w:eastAsia="Calibri" w:cs="Times New Roman"/>
                <w:sz w:val="20"/>
                <w:szCs w:val="20"/>
              </w:rPr>
              <w:t>պատանիների</w:t>
            </w:r>
            <w:r w:rsidRPr="0053423A">
              <w:rPr>
                <w:rFonts w:eastAsia="Calibri" w:cs="Times New Roman"/>
                <w:sz w:val="20"/>
                <w:szCs w:val="20"/>
                <w:lang w:val="ru-RU"/>
              </w:rPr>
              <w:t xml:space="preserve"> </w:t>
            </w:r>
            <w:r w:rsidRPr="0053423A">
              <w:rPr>
                <w:rFonts w:eastAsia="Calibri" w:cs="Times New Roman"/>
                <w:sz w:val="20"/>
                <w:szCs w:val="20"/>
              </w:rPr>
              <w:t>գեղարվեստական</w:t>
            </w:r>
            <w:r w:rsidRPr="0053423A">
              <w:rPr>
                <w:rFonts w:eastAsia="Calibri" w:cs="Times New Roman"/>
                <w:sz w:val="20"/>
                <w:szCs w:val="20"/>
                <w:lang w:val="ru-RU"/>
              </w:rPr>
              <w:t xml:space="preserve"> </w:t>
            </w:r>
            <w:r w:rsidRPr="0053423A">
              <w:rPr>
                <w:rFonts w:eastAsia="Calibri" w:cs="Times New Roman"/>
                <w:sz w:val="20"/>
                <w:szCs w:val="20"/>
              </w:rPr>
              <w:t>կրթությանը</w:t>
            </w:r>
            <w:r w:rsidRPr="0053423A">
              <w:rPr>
                <w:rFonts w:eastAsia="Calibri" w:cs="Times New Roman"/>
                <w:sz w:val="20"/>
                <w:szCs w:val="20"/>
                <w:lang w:val="ru-RU"/>
              </w:rPr>
              <w:t xml:space="preserve">: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spacing w:after="0" w:line="276" w:lineRule="auto"/>
              <w:jc w:val="both"/>
              <w:rPr>
                <w:rFonts w:eastAsia="Calibri" w:cs="Times New Roman"/>
                <w:sz w:val="20"/>
                <w:szCs w:val="20"/>
                <w:lang w:val="hy-AM"/>
              </w:rPr>
            </w:pPr>
          </w:p>
          <w:p w:rsidR="00A67B6B" w:rsidRPr="0053423A" w:rsidRDefault="00A67B6B" w:rsidP="00A67858">
            <w:pPr>
              <w:spacing w:after="0" w:line="276" w:lineRule="auto"/>
              <w:rPr>
                <w:rFonts w:eastAsia="Times New Roman" w:cs="Times New Roman"/>
                <w:sz w:val="20"/>
                <w:szCs w:val="20"/>
                <w:lang w:val="hy-AM"/>
              </w:rPr>
            </w:pPr>
            <w:r w:rsidRPr="0053423A">
              <w:rPr>
                <w:rFonts w:eastAsia="Times New Roman" w:cs="Times New Roman"/>
                <w:b/>
                <w:sz w:val="20"/>
                <w:szCs w:val="20"/>
                <w:lang w:val="hy-AM"/>
              </w:rPr>
              <w:t>1.1. Կարգավորման հարաբերությունների ներկա վիճակը և առկա խնդիրները</w:t>
            </w:r>
            <w:r w:rsidRPr="0053423A">
              <w:rPr>
                <w:rFonts w:eastAsia="Times New Roman" w:cs="Times New Roman"/>
                <w:sz w:val="20"/>
                <w:szCs w:val="20"/>
                <w:lang w:val="hy-AM"/>
              </w:rPr>
              <w:t xml:space="preserve"> </w:t>
            </w:r>
          </w:p>
          <w:p w:rsidR="00A67B6B" w:rsidRPr="0053423A" w:rsidRDefault="00A67B6B" w:rsidP="00A67858">
            <w:pPr>
              <w:tabs>
                <w:tab w:val="left" w:pos="508"/>
              </w:tabs>
              <w:autoSpaceDE w:val="0"/>
              <w:autoSpaceDN w:val="0"/>
              <w:spacing w:after="0" w:line="276" w:lineRule="auto"/>
              <w:jc w:val="both"/>
              <w:rPr>
                <w:rFonts w:eastAsia="Times New Roman" w:cs="Times New Roman"/>
                <w:sz w:val="20"/>
                <w:szCs w:val="20"/>
                <w:lang w:val="hy-AM"/>
              </w:rPr>
            </w:pPr>
            <w:r w:rsidRPr="0053423A">
              <w:rPr>
                <w:rFonts w:eastAsia="Times New Roman" w:cs="Times New Roman"/>
                <w:sz w:val="20"/>
                <w:szCs w:val="20"/>
                <w:lang w:val="hy-AM"/>
              </w:rPr>
              <w:t>1996 թվականին մշակութային կազմակերպությունները, այդ թվում նաև գեղարվեստական կրթություն իրականացնող ուսումնական հաստատությունները՝ երաժշտական, արվեստի և գեղարվեստի դպրոցները անցան տեղական ինքնակառավարման մարմինների ենթակայության: Համայնքային բյուջեները մեծ դժվարությամբ են կարողանում ապահովել ամենաանհրաժեշտ պահպանման ծախսերի միայն մի մասը: Անհրաժեշտ իրավական դաշտի բացակայությունը, համայնքների ոչ բավարար տնտեսական ներուժը, ոչ բավարար բարոյահոգեբանական պատրաստվածությունը, առկա սոցիալ-տնտեսական պայմանները, ընդհանուր չափորոշիչների բացակայությունը առաջացրեցին մի շարք նոր հիմնախնդիրներ (կառավարման, ֆինանսավորման, կադրային ապահովման, կրթության մատչելիության, նյութատեխնիկական հագեցվածության, ուսումնամեթոդական ապահովվածության ոլորտներում):</w:t>
            </w:r>
            <w:r w:rsidRPr="0053423A">
              <w:rPr>
                <w:rFonts w:eastAsia="Times New Roman" w:cs="Times New Roman"/>
                <w:sz w:val="20"/>
                <w:szCs w:val="20"/>
                <w:lang w:val="hy-AM"/>
              </w:rPr>
              <w:tab/>
              <w:t>Անբավարար են նաև գույքային պայմանները, եղած գործիքները բարոյապես և ֆիզիկապես մաշված են, որը բացասաբար է անդրադառնում ուսումնական գործընթացի վրա: Երաժշտական, արվեստի դպրոցներում հատկապես մեծ է դաշնամուրի, հարվածային, ժողովրդական, փողային և լարային գործիքների պահանջարկը:</w:t>
            </w:r>
          </w:p>
          <w:p w:rsidR="00A67B6B" w:rsidRPr="0053423A" w:rsidRDefault="00A67B6B" w:rsidP="00A67858">
            <w:pPr>
              <w:tabs>
                <w:tab w:val="left" w:pos="508"/>
              </w:tabs>
              <w:autoSpaceDE w:val="0"/>
              <w:autoSpaceDN w:val="0"/>
              <w:spacing w:after="0" w:line="276" w:lineRule="auto"/>
              <w:jc w:val="both"/>
              <w:rPr>
                <w:rFonts w:eastAsia="Times New Roman" w:cs="Times New Roman"/>
                <w:sz w:val="20"/>
                <w:szCs w:val="20"/>
                <w:lang w:val="hy-AM"/>
              </w:rPr>
            </w:pPr>
          </w:p>
          <w:p w:rsidR="00A67B6B" w:rsidRPr="0053423A" w:rsidRDefault="00A67B6B" w:rsidP="00A67858">
            <w:pPr>
              <w:spacing w:after="0" w:line="276" w:lineRule="auto"/>
              <w:jc w:val="both"/>
              <w:rPr>
                <w:rFonts w:eastAsia="Calibri" w:cs="Times New Roman"/>
                <w:bCs/>
                <w:sz w:val="20"/>
                <w:szCs w:val="20"/>
                <w:lang w:val="hy-AM"/>
              </w:rPr>
            </w:pPr>
            <w:r w:rsidRPr="0053423A">
              <w:rPr>
                <w:rFonts w:eastAsia="Times New Roman" w:cs="Times New Roman"/>
                <w:b/>
                <w:sz w:val="20"/>
                <w:szCs w:val="20"/>
                <w:lang w:val="hy-AM"/>
              </w:rPr>
              <w:t>1.2. Առկա խնդիրների առաջարկվող լուծումները</w:t>
            </w:r>
            <w:r w:rsidRPr="0053423A">
              <w:rPr>
                <w:rFonts w:eastAsia="Times New Roman" w:cs="Times New Roman"/>
                <w:sz w:val="20"/>
                <w:szCs w:val="20"/>
                <w:lang w:val="hy-AM"/>
              </w:rPr>
              <w:t xml:space="preserve"> </w:t>
            </w:r>
          </w:p>
          <w:p w:rsidR="00A67B6B" w:rsidRPr="0053423A" w:rsidRDefault="00A67B6B" w:rsidP="00A67858">
            <w:pPr>
              <w:tabs>
                <w:tab w:val="left" w:pos="508"/>
              </w:tabs>
              <w:autoSpaceDE w:val="0"/>
              <w:autoSpaceDN w:val="0"/>
              <w:spacing w:after="0" w:line="276" w:lineRule="auto"/>
              <w:jc w:val="both"/>
              <w:rPr>
                <w:rFonts w:eastAsia="Calibri" w:cs="Calibri"/>
                <w:sz w:val="20"/>
                <w:szCs w:val="20"/>
                <w:lang w:val="hy-AM"/>
              </w:rPr>
            </w:pPr>
            <w:r w:rsidRPr="0053423A">
              <w:rPr>
                <w:rFonts w:eastAsia="Calibri" w:cs="Calibri"/>
                <w:sz w:val="20"/>
                <w:szCs w:val="20"/>
                <w:lang w:val="hy-AM"/>
              </w:rPr>
              <w:t xml:space="preserve">Առաջարկվում է շարունակաբար իրականացնել երաժշտական գործիքների տրամադրման գործընթացը, կատարելագործել գործիքների գնման և հանձնման ընթացակարգերի թափանցիկությունը, առավել հասցեական դարձնել գործիքների բաշխումը՝ հիմնական շեշտադրումը կատարելով մարզերում նոր մասնագիտական դասարանների ձևավորմանն ու շնորհալի երեխաների կատարողական ունակությունների քաջալերմանն ու խթանմանը: </w:t>
            </w:r>
          </w:p>
          <w:p w:rsidR="00A67B6B" w:rsidRPr="0053423A" w:rsidRDefault="00A67B6B" w:rsidP="00A67858">
            <w:pPr>
              <w:tabs>
                <w:tab w:val="left" w:pos="508"/>
              </w:tabs>
              <w:autoSpaceDE w:val="0"/>
              <w:autoSpaceDN w:val="0"/>
              <w:spacing w:after="0" w:line="276" w:lineRule="auto"/>
              <w:jc w:val="both"/>
              <w:rPr>
                <w:rFonts w:eastAsia="Calibri" w:cs="Calibri"/>
                <w:sz w:val="20"/>
                <w:szCs w:val="20"/>
                <w:lang w:val="hy-AM"/>
              </w:rPr>
            </w:pPr>
          </w:p>
          <w:p w:rsidR="00A67B6B" w:rsidRPr="0053423A" w:rsidRDefault="00A67B6B" w:rsidP="001F6D5D">
            <w:pPr>
              <w:numPr>
                <w:ilvl w:val="0"/>
                <w:numId w:val="216"/>
              </w:numPr>
              <w:tabs>
                <w:tab w:val="left" w:pos="296"/>
              </w:tabs>
              <w:spacing w:after="0" w:line="276" w:lineRule="auto"/>
              <w:ind w:hanging="1094"/>
              <w:contextualSpacing/>
              <w:rPr>
                <w:rFonts w:eastAsia="Times New Roman" w:cs="Times New Roman"/>
                <w:b/>
                <w:sz w:val="20"/>
                <w:szCs w:val="20"/>
                <w:lang w:val="hy-AM"/>
              </w:rPr>
            </w:pPr>
            <w:r w:rsidRPr="0053423A">
              <w:rPr>
                <w:rFonts w:eastAsia="Times New Roman" w:cs="Times New Roman"/>
                <w:b/>
                <w:sz w:val="20"/>
                <w:szCs w:val="20"/>
                <w:lang w:val="hy-AM"/>
              </w:rPr>
              <w:t>Միջոցառման իրականացումից ակնկալվող արդյունքը</w:t>
            </w:r>
          </w:p>
          <w:p w:rsidR="00A67B6B" w:rsidRPr="0053423A" w:rsidRDefault="00A67B6B" w:rsidP="00A67858">
            <w:pPr>
              <w:tabs>
                <w:tab w:val="left" w:pos="508"/>
              </w:tabs>
              <w:autoSpaceDE w:val="0"/>
              <w:autoSpaceDN w:val="0"/>
              <w:spacing w:after="0" w:line="276" w:lineRule="auto"/>
              <w:jc w:val="both"/>
              <w:rPr>
                <w:rFonts w:eastAsia="Calibri" w:cs="Calibri"/>
                <w:sz w:val="20"/>
                <w:szCs w:val="20"/>
                <w:lang w:val="hy-AM"/>
              </w:rPr>
            </w:pPr>
            <w:r w:rsidRPr="0053423A">
              <w:rPr>
                <w:rFonts w:eastAsia="Calibri" w:cs="Calibri"/>
                <w:sz w:val="20"/>
                <w:szCs w:val="20"/>
                <w:lang w:val="hy-AM"/>
              </w:rPr>
              <w:t>Երաժշտական և արվեստի դպրոցների նյութատեխնիկական բազայի համալրում, նոր մասնագիտական դասարանների ձևավորում, մարզերի շնորհալի երեխաների համար ուսուցման մատչելի և որակյալ պայմանների ապահովում:</w:t>
            </w:r>
          </w:p>
          <w:p w:rsidR="00A67B6B" w:rsidRPr="0053423A" w:rsidRDefault="00A67B6B" w:rsidP="00A67858">
            <w:pPr>
              <w:tabs>
                <w:tab w:val="left" w:pos="508"/>
              </w:tabs>
              <w:autoSpaceDE w:val="0"/>
              <w:autoSpaceDN w:val="0"/>
              <w:spacing w:after="0" w:line="276" w:lineRule="auto"/>
              <w:jc w:val="both"/>
              <w:rPr>
                <w:rFonts w:eastAsia="Calibri" w:cs="Calibri"/>
                <w:sz w:val="20"/>
                <w:szCs w:val="20"/>
                <w:lang w:val="hy-AM"/>
              </w:rPr>
            </w:pPr>
          </w:p>
          <w:p w:rsidR="00A67B6B" w:rsidRPr="0053423A" w:rsidRDefault="00A67B6B" w:rsidP="00A67858">
            <w:pPr>
              <w:tabs>
                <w:tab w:val="left" w:pos="508"/>
              </w:tabs>
              <w:autoSpaceDE w:val="0"/>
              <w:autoSpaceDN w:val="0"/>
              <w:spacing w:after="0" w:line="276" w:lineRule="auto"/>
              <w:jc w:val="center"/>
              <w:rPr>
                <w:rFonts w:eastAsia="Calibri" w:cs="Calibri"/>
                <w:b/>
                <w:sz w:val="20"/>
                <w:szCs w:val="20"/>
                <w:lang w:val="hy-AM"/>
              </w:rPr>
            </w:pPr>
            <w:r w:rsidRPr="0053423A">
              <w:rPr>
                <w:rFonts w:eastAsia="Times New Roman" w:cs="Times New Roman"/>
                <w:b/>
                <w:sz w:val="20"/>
                <w:szCs w:val="20"/>
                <w:lang w:val="hy-AM"/>
              </w:rPr>
              <w:t xml:space="preserve">6.4 </w:t>
            </w:r>
            <w:r w:rsidRPr="0053423A">
              <w:rPr>
                <w:rFonts w:eastAsia="Calibri" w:cs="Calibri"/>
                <w:b/>
                <w:sz w:val="20"/>
                <w:szCs w:val="20"/>
                <w:lang w:val="hy-AM"/>
              </w:rPr>
              <w:t>«Երաժշտական և արվեստի դպրոցների համար ուսումնամեթոդական գրականության մշակում և հրատարակման» ծրագրի իրականացում</w:t>
            </w:r>
          </w:p>
          <w:p w:rsidR="00A67B6B" w:rsidRPr="0053423A" w:rsidRDefault="00A67B6B" w:rsidP="00A67858">
            <w:pPr>
              <w:tabs>
                <w:tab w:val="left" w:pos="508"/>
              </w:tabs>
              <w:autoSpaceDE w:val="0"/>
              <w:autoSpaceDN w:val="0"/>
              <w:spacing w:after="0" w:line="276" w:lineRule="auto"/>
              <w:jc w:val="center"/>
              <w:rPr>
                <w:rFonts w:eastAsia="Calibri" w:cs="Calibri"/>
                <w:sz w:val="20"/>
                <w:szCs w:val="20"/>
                <w:lang w:val="hy-AM"/>
              </w:rPr>
            </w:pPr>
          </w:p>
          <w:p w:rsidR="00A67B6B" w:rsidRPr="0053423A" w:rsidRDefault="00A67B6B" w:rsidP="001F6D5D">
            <w:pPr>
              <w:numPr>
                <w:ilvl w:val="0"/>
                <w:numId w:val="217"/>
              </w:numPr>
              <w:tabs>
                <w:tab w:val="left" w:pos="438"/>
              </w:tabs>
              <w:spacing w:after="0" w:line="276" w:lineRule="auto"/>
              <w:ind w:hanging="1081"/>
              <w:contextualSpacing/>
              <w:rPr>
                <w:rFonts w:eastAsia="Times New Roman" w:cs="Times New Roman"/>
                <w:sz w:val="20"/>
                <w:szCs w:val="20"/>
              </w:rPr>
            </w:pPr>
            <w:r w:rsidRPr="0053423A">
              <w:rPr>
                <w:rFonts w:eastAsia="Times New Roman" w:cs="Times New Roman"/>
                <w:b/>
                <w:sz w:val="20"/>
                <w:szCs w:val="20"/>
                <w:lang w:val="hy-AM"/>
              </w:rPr>
              <w:t>Միջոցառման իրակացման անհրաժեշտությունը և նպատակը</w:t>
            </w:r>
            <w:r w:rsidRPr="0053423A">
              <w:rPr>
                <w:rFonts w:eastAsia="Times New Roman" w:cs="Times New Roman"/>
                <w:sz w:val="20"/>
                <w:szCs w:val="20"/>
                <w:lang w:val="hy-AM"/>
              </w:rPr>
              <w:t xml:space="preserve"> </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Times New Roman" w:cs="Times New Roman"/>
                <w:sz w:val="20"/>
                <w:szCs w:val="20"/>
              </w:rPr>
              <w:t xml:space="preserve">Միջոցառման իրականացումը պայմանավորված է մշակութային կրթության որակի բարելավման, ժամանակակից պահանջներին համահունչ  ուսումնամեթոդական ձեռնարկների, առարկայական ծրագրերի, աշխատանքային տետրերի, դասագրքերի, ժողովածուների և ուղեցույցների մշակման և կիրառման, դպրոցների գրադարանների համալրման, դասական և ժամանակակից արվեստագետների ստեղծագործությունների և պրակտիկ նյութերի տարածման և հանրահռչակման անհրաժեշտությամբ: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contextualSpacing/>
              <w:jc w:val="both"/>
              <w:rPr>
                <w:rFonts w:eastAsia="Times New Roman" w:cs="Times New Roman"/>
                <w:sz w:val="20"/>
                <w:szCs w:val="20"/>
                <w:lang w:val="hy-AM"/>
              </w:rPr>
            </w:pPr>
          </w:p>
          <w:p w:rsidR="00A67B6B" w:rsidRPr="0053423A" w:rsidRDefault="00A67B6B" w:rsidP="00A67858">
            <w:pPr>
              <w:spacing w:after="0" w:line="276" w:lineRule="auto"/>
              <w:rPr>
                <w:rFonts w:eastAsia="Times New Roman" w:cs="Times New Roman"/>
                <w:sz w:val="20"/>
                <w:szCs w:val="20"/>
                <w:lang w:val="hy-AM"/>
              </w:rPr>
            </w:pPr>
            <w:r w:rsidRPr="0053423A">
              <w:rPr>
                <w:rFonts w:eastAsia="Times New Roman" w:cs="Times New Roman"/>
                <w:b/>
                <w:sz w:val="20"/>
                <w:szCs w:val="20"/>
                <w:lang w:val="hy-AM"/>
              </w:rPr>
              <w:t>1.1. Կարգավորման հարաբերությունների ներկա վիճակը և առկա խնդիրները</w:t>
            </w:r>
            <w:r w:rsidRPr="0053423A">
              <w:rPr>
                <w:rFonts w:eastAsia="Times New Roman" w:cs="Times New Roman"/>
                <w:sz w:val="20"/>
                <w:szCs w:val="20"/>
                <w:lang w:val="hy-AM"/>
              </w:rPr>
              <w:t xml:space="preserve"> </w:t>
            </w:r>
          </w:p>
          <w:p w:rsidR="00A67B6B" w:rsidRPr="0053423A" w:rsidRDefault="00A67B6B" w:rsidP="00A67858">
            <w:pPr>
              <w:spacing w:after="0" w:line="276" w:lineRule="auto"/>
              <w:jc w:val="both"/>
              <w:rPr>
                <w:rFonts w:eastAsia="Times New Roman" w:cs="Times New Roman"/>
                <w:sz w:val="20"/>
                <w:szCs w:val="20"/>
                <w:lang w:val="hy-AM"/>
              </w:rPr>
            </w:pPr>
            <w:r w:rsidRPr="0053423A">
              <w:rPr>
                <w:rFonts w:eastAsia="Times New Roman" w:cs="Times New Roman"/>
                <w:sz w:val="20"/>
                <w:szCs w:val="20"/>
                <w:lang w:val="hy-AM"/>
              </w:rPr>
              <w:t>Ներկայում Հայաստանում գործող երաժշտական, արվեստի, գեղարվեստի և պարարվեստի 207 դպրոցները երկար տարիներ չեն համալրվել անհրաժեշտ գրականությամբ և ուսւոմնամեթոդական ձեռնարկներով, որն, իր հերթին բացասաբար է անդրադառնում կրթության կազմակերպման գործընթացին: Մշակութային կրթության հաստատությունների ուսուցիչները հնարավորություն չունեն ծանոթանալու դասավանդման ժամանակակից մեթոդներին, արդի գրականությանը: Եղած ուսւոմնամեթոդական գրականությունը հիմնականում ռուսերեն է, և հայալեզու գրականության պակասը ոլորտի հիմնական խնդիրներից է:</w:t>
            </w:r>
          </w:p>
          <w:p w:rsidR="00A67B6B" w:rsidRPr="0053423A" w:rsidRDefault="00A67B6B" w:rsidP="00A67858">
            <w:pPr>
              <w:spacing w:after="0"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1.2. Առկա խնդիրների առաջարկվող լուծումները </w:t>
            </w:r>
          </w:p>
          <w:p w:rsidR="00A67B6B" w:rsidRPr="0053423A" w:rsidRDefault="00A67B6B" w:rsidP="00A67858">
            <w:pPr>
              <w:tabs>
                <w:tab w:val="left" w:pos="508"/>
              </w:tabs>
              <w:spacing w:after="0" w:line="276" w:lineRule="auto"/>
              <w:jc w:val="both"/>
              <w:rPr>
                <w:rFonts w:eastAsia="Times New Roman" w:cs="Times New Roman"/>
                <w:sz w:val="20"/>
                <w:szCs w:val="20"/>
                <w:lang w:val="hy-AM"/>
              </w:rPr>
            </w:pPr>
            <w:r w:rsidRPr="0053423A">
              <w:rPr>
                <w:rFonts w:eastAsia="Times New Roman" w:cs="Times New Roman"/>
                <w:sz w:val="20"/>
                <w:szCs w:val="20"/>
                <w:lang w:val="hy-AM"/>
              </w:rPr>
              <w:t>Ծրագրի իրականացմամբ լուծվում է հայալեզու գրականության հրատարակման և տարածման խնդիրը, ապահովվում է մասնագիտական նոր դասագրքերի, ժողովածուների և գրականության հասանելիությունն ու մատչելիությունը:</w:t>
            </w:r>
          </w:p>
          <w:p w:rsidR="00A67B6B" w:rsidRPr="0053423A" w:rsidRDefault="00A67B6B" w:rsidP="00A67858">
            <w:pPr>
              <w:tabs>
                <w:tab w:val="left" w:pos="508"/>
              </w:tabs>
              <w:spacing w:after="0" w:line="276" w:lineRule="auto"/>
              <w:jc w:val="both"/>
              <w:rPr>
                <w:rFonts w:eastAsia="Times New Roman" w:cs="Times New Roman"/>
                <w:sz w:val="20"/>
                <w:szCs w:val="20"/>
                <w:lang w:val="hy-AM"/>
              </w:rPr>
            </w:pPr>
          </w:p>
          <w:p w:rsidR="00A67B6B" w:rsidRPr="0053423A" w:rsidRDefault="00A67B6B" w:rsidP="001F6D5D">
            <w:pPr>
              <w:numPr>
                <w:ilvl w:val="0"/>
                <w:numId w:val="217"/>
              </w:numPr>
              <w:shd w:val="clear" w:color="auto" w:fill="FFFFFF"/>
              <w:tabs>
                <w:tab w:val="left" w:pos="245"/>
              </w:tabs>
              <w:spacing w:after="0" w:line="276" w:lineRule="auto"/>
              <w:ind w:hanging="1223"/>
              <w:contextualSpacing/>
              <w:jc w:val="both"/>
              <w:rPr>
                <w:rFonts w:eastAsia="Times New Roman" w:cs="Times New Roman"/>
                <w:b/>
                <w:sz w:val="20"/>
                <w:szCs w:val="20"/>
                <w:lang w:val="hy-AM"/>
              </w:rPr>
            </w:pPr>
            <w:r w:rsidRPr="0053423A">
              <w:rPr>
                <w:rFonts w:eastAsia="Times New Roman" w:cs="Times New Roman"/>
                <w:b/>
                <w:sz w:val="20"/>
                <w:szCs w:val="20"/>
                <w:lang w:val="hy-AM"/>
              </w:rPr>
              <w:t>Միջոցառման իրականացումից ակնկալվող արդյունքը</w:t>
            </w:r>
          </w:p>
          <w:p w:rsidR="00A67B6B" w:rsidRPr="0053423A" w:rsidRDefault="00A67B6B" w:rsidP="00A67858">
            <w:pPr>
              <w:tabs>
                <w:tab w:val="left" w:pos="508"/>
              </w:tabs>
              <w:autoSpaceDE w:val="0"/>
              <w:autoSpaceDN w:val="0"/>
              <w:spacing w:after="0" w:line="276" w:lineRule="auto"/>
              <w:jc w:val="both"/>
              <w:rPr>
                <w:rFonts w:eastAsia="Times New Roman" w:cs="Times New Roman"/>
                <w:sz w:val="20"/>
                <w:szCs w:val="20"/>
                <w:lang w:val="hy-AM"/>
              </w:rPr>
            </w:pPr>
            <w:r w:rsidRPr="0053423A">
              <w:rPr>
                <w:rFonts w:eastAsia="Times New Roman" w:cs="Times New Roman"/>
                <w:sz w:val="20"/>
                <w:szCs w:val="20"/>
                <w:lang w:val="hy-AM"/>
              </w:rPr>
              <w:t>Երաժշտական, արվեստի, գեղարվեստի և պարարվեստի դպրոցների մասնագիտական գրականության անվճար բաշխում, նոր ուսումնական ձեռնարկների, դասագրքերի, ժողովածուների ստեղծում, մշակութային կրթության իրականացնող հաստատություններում ուսումնառության որակի բարձրացում:</w:t>
            </w:r>
          </w:p>
          <w:p w:rsidR="00A67B6B" w:rsidRPr="0053423A" w:rsidRDefault="00A67B6B" w:rsidP="00A67858">
            <w:pPr>
              <w:tabs>
                <w:tab w:val="left" w:pos="508"/>
              </w:tabs>
              <w:autoSpaceDE w:val="0"/>
              <w:autoSpaceDN w:val="0"/>
              <w:spacing w:after="0" w:line="276" w:lineRule="auto"/>
              <w:jc w:val="both"/>
              <w:rPr>
                <w:rFonts w:eastAsia="Times New Roman" w:cs="Times New Roman"/>
                <w:sz w:val="20"/>
                <w:szCs w:val="20"/>
                <w:lang w:val="hy-AM"/>
              </w:rPr>
            </w:pPr>
          </w:p>
          <w:p w:rsidR="00A67B6B" w:rsidRPr="0053423A" w:rsidRDefault="00A67B6B" w:rsidP="00A67858">
            <w:pPr>
              <w:tabs>
                <w:tab w:val="left" w:pos="508"/>
              </w:tabs>
              <w:autoSpaceDE w:val="0"/>
              <w:autoSpaceDN w:val="0"/>
              <w:spacing w:after="0" w:line="276" w:lineRule="auto"/>
              <w:jc w:val="center"/>
              <w:rPr>
                <w:rFonts w:eastAsia="Calibri" w:cs="Calibri"/>
                <w:b/>
                <w:sz w:val="20"/>
                <w:szCs w:val="20"/>
                <w:lang w:val="hy-AM"/>
              </w:rPr>
            </w:pPr>
            <w:r w:rsidRPr="0053423A">
              <w:rPr>
                <w:rFonts w:eastAsia="Times New Roman" w:cs="Times New Roman"/>
                <w:b/>
                <w:sz w:val="20"/>
                <w:szCs w:val="20"/>
                <w:lang w:val="hy-AM"/>
              </w:rPr>
              <w:t>6.5</w:t>
            </w:r>
            <w:r w:rsidRPr="0053423A">
              <w:rPr>
                <w:rFonts w:eastAsia="Calibri" w:cs="Calibri"/>
                <w:b/>
                <w:sz w:val="20"/>
                <w:szCs w:val="20"/>
                <w:lang w:val="hy-AM"/>
              </w:rPr>
              <w:t xml:space="preserve"> Շրջայցերի և հանդիպում-քննարկումների կազմակերպում մարզերի ոլորտի, ինչպես նաև արվեստի, երաժշտական և գեղարվեստի դպրոցների պատասխանատուների հետ</w:t>
            </w:r>
          </w:p>
          <w:p w:rsidR="00A67B6B" w:rsidRPr="0053423A" w:rsidRDefault="00A67B6B" w:rsidP="00A67858">
            <w:pPr>
              <w:tabs>
                <w:tab w:val="left" w:pos="508"/>
              </w:tabs>
              <w:autoSpaceDE w:val="0"/>
              <w:autoSpaceDN w:val="0"/>
              <w:spacing w:after="0" w:line="276" w:lineRule="auto"/>
              <w:jc w:val="center"/>
              <w:rPr>
                <w:rFonts w:eastAsia="Calibri" w:cs="Calibri"/>
                <w:sz w:val="20"/>
                <w:szCs w:val="20"/>
                <w:lang w:val="hy-AM"/>
              </w:rPr>
            </w:pPr>
          </w:p>
          <w:p w:rsidR="00A67B6B" w:rsidRPr="0053423A" w:rsidRDefault="00A67B6B" w:rsidP="001F6D5D">
            <w:pPr>
              <w:numPr>
                <w:ilvl w:val="0"/>
                <w:numId w:val="218"/>
              </w:numPr>
              <w:tabs>
                <w:tab w:val="left" w:pos="296"/>
              </w:tabs>
              <w:spacing w:after="0" w:line="276" w:lineRule="auto"/>
              <w:ind w:hanging="1094"/>
              <w:contextualSpacing/>
              <w:rPr>
                <w:rFonts w:eastAsia="Times New Roman" w:cs="Times New Roman"/>
                <w:sz w:val="20"/>
                <w:szCs w:val="20"/>
                <w:lang w:val="ru-RU"/>
              </w:rPr>
            </w:pPr>
            <w:r w:rsidRPr="0053423A">
              <w:rPr>
                <w:rFonts w:eastAsia="Times New Roman" w:cs="Times New Roman"/>
                <w:b/>
                <w:sz w:val="20"/>
                <w:szCs w:val="20"/>
                <w:lang w:val="hy-AM"/>
              </w:rPr>
              <w:t>Միջոցառման իրակացման անհրաժեշտությունը և նպատակը</w:t>
            </w:r>
            <w:r w:rsidRPr="0053423A">
              <w:rPr>
                <w:rFonts w:eastAsia="Times New Roman" w:cs="Times New Roman"/>
                <w:sz w:val="20"/>
                <w:szCs w:val="20"/>
                <w:lang w:val="hy-AM"/>
              </w:rPr>
              <w:t xml:space="preserve"> </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Times New Roman" w:cs="Times New Roman"/>
                <w:sz w:val="20"/>
                <w:szCs w:val="20"/>
              </w:rPr>
              <w:t>Միջոցառման</w:t>
            </w:r>
            <w:r w:rsidRPr="0053423A">
              <w:rPr>
                <w:rFonts w:eastAsia="Times New Roman" w:cs="Times New Roman"/>
                <w:sz w:val="20"/>
                <w:szCs w:val="20"/>
                <w:lang w:val="ru-RU"/>
              </w:rPr>
              <w:t xml:space="preserve"> </w:t>
            </w:r>
            <w:r w:rsidRPr="0053423A">
              <w:rPr>
                <w:rFonts w:eastAsia="Times New Roman" w:cs="Times New Roman"/>
                <w:sz w:val="20"/>
                <w:szCs w:val="20"/>
              </w:rPr>
              <w:t>իրականացման</w:t>
            </w:r>
            <w:r w:rsidRPr="0053423A">
              <w:rPr>
                <w:rFonts w:eastAsia="Times New Roman" w:cs="Times New Roman"/>
                <w:sz w:val="20"/>
                <w:szCs w:val="20"/>
                <w:lang w:val="ru-RU"/>
              </w:rPr>
              <w:t xml:space="preserve"> </w:t>
            </w:r>
            <w:r w:rsidRPr="0053423A">
              <w:rPr>
                <w:rFonts w:eastAsia="Times New Roman" w:cs="Times New Roman"/>
                <w:sz w:val="20"/>
                <w:szCs w:val="20"/>
              </w:rPr>
              <w:t>անհրաժեշտությունը</w:t>
            </w:r>
            <w:r w:rsidRPr="0053423A">
              <w:rPr>
                <w:rFonts w:eastAsia="Times New Roman" w:cs="Times New Roman"/>
                <w:sz w:val="20"/>
                <w:szCs w:val="20"/>
                <w:lang w:val="ru-RU"/>
              </w:rPr>
              <w:t xml:space="preserve"> </w:t>
            </w:r>
            <w:r w:rsidRPr="0053423A">
              <w:rPr>
                <w:rFonts w:eastAsia="Times New Roman" w:cs="Times New Roman"/>
                <w:sz w:val="20"/>
                <w:szCs w:val="20"/>
              </w:rPr>
              <w:t>պայմանավորված</w:t>
            </w:r>
            <w:r w:rsidRPr="0053423A">
              <w:rPr>
                <w:rFonts w:eastAsia="Times New Roman" w:cs="Times New Roman"/>
                <w:sz w:val="20"/>
                <w:szCs w:val="20"/>
                <w:lang w:val="ru-RU"/>
              </w:rPr>
              <w:t xml:space="preserve"> </w:t>
            </w:r>
            <w:r w:rsidRPr="0053423A">
              <w:rPr>
                <w:rFonts w:eastAsia="Times New Roman" w:cs="Times New Roman"/>
                <w:sz w:val="20"/>
                <w:szCs w:val="20"/>
              </w:rPr>
              <w:t>է</w:t>
            </w:r>
            <w:r w:rsidRPr="0053423A">
              <w:rPr>
                <w:rFonts w:eastAsia="Times New Roman" w:cs="Times New Roman"/>
                <w:sz w:val="20"/>
                <w:szCs w:val="20"/>
                <w:lang w:val="ru-RU"/>
              </w:rPr>
              <w:t xml:space="preserve"> </w:t>
            </w:r>
            <w:r w:rsidRPr="0053423A">
              <w:rPr>
                <w:rFonts w:eastAsia="Times New Roman" w:cs="Times New Roman"/>
                <w:sz w:val="20"/>
                <w:szCs w:val="20"/>
              </w:rPr>
              <w:t>մարզերում</w:t>
            </w:r>
            <w:r w:rsidRPr="0053423A">
              <w:rPr>
                <w:rFonts w:eastAsia="Times New Roman" w:cs="Times New Roman"/>
                <w:sz w:val="20"/>
                <w:szCs w:val="20"/>
                <w:lang w:val="ru-RU"/>
              </w:rPr>
              <w:t xml:space="preserve"> </w:t>
            </w:r>
            <w:r w:rsidRPr="0053423A">
              <w:rPr>
                <w:rFonts w:eastAsia="Times New Roman" w:cs="Times New Roman"/>
                <w:sz w:val="20"/>
                <w:szCs w:val="20"/>
              </w:rPr>
              <w:t>երաժշտական</w:t>
            </w:r>
            <w:r w:rsidRPr="0053423A">
              <w:rPr>
                <w:rFonts w:eastAsia="Times New Roman" w:cs="Times New Roman"/>
                <w:sz w:val="20"/>
                <w:szCs w:val="20"/>
                <w:lang w:val="ru-RU"/>
              </w:rPr>
              <w:t xml:space="preserve">, </w:t>
            </w:r>
            <w:r w:rsidRPr="0053423A">
              <w:rPr>
                <w:rFonts w:eastAsia="Times New Roman" w:cs="Times New Roman"/>
                <w:sz w:val="20"/>
                <w:szCs w:val="20"/>
              </w:rPr>
              <w:t>գեղարվեստի</w:t>
            </w:r>
            <w:r w:rsidRPr="0053423A">
              <w:rPr>
                <w:rFonts w:eastAsia="Times New Roman" w:cs="Times New Roman"/>
                <w:sz w:val="20"/>
                <w:szCs w:val="20"/>
                <w:lang w:val="ru-RU"/>
              </w:rPr>
              <w:t xml:space="preserve"> </w:t>
            </w:r>
            <w:r w:rsidRPr="0053423A">
              <w:rPr>
                <w:rFonts w:eastAsia="Times New Roman" w:cs="Times New Roman"/>
                <w:sz w:val="20"/>
                <w:szCs w:val="20"/>
              </w:rPr>
              <w:t>և</w:t>
            </w:r>
            <w:r w:rsidRPr="0053423A">
              <w:rPr>
                <w:rFonts w:eastAsia="Times New Roman" w:cs="Times New Roman"/>
                <w:sz w:val="20"/>
                <w:szCs w:val="20"/>
                <w:lang w:val="ru-RU"/>
              </w:rPr>
              <w:t xml:space="preserve"> </w:t>
            </w:r>
            <w:r w:rsidRPr="0053423A">
              <w:rPr>
                <w:rFonts w:eastAsia="Times New Roman" w:cs="Times New Roman"/>
                <w:sz w:val="20"/>
                <w:szCs w:val="20"/>
              </w:rPr>
              <w:t>արվեստի</w:t>
            </w:r>
            <w:r w:rsidRPr="0053423A">
              <w:rPr>
                <w:rFonts w:eastAsia="Times New Roman" w:cs="Times New Roman"/>
                <w:sz w:val="20"/>
                <w:szCs w:val="20"/>
                <w:lang w:val="ru-RU"/>
              </w:rPr>
              <w:t xml:space="preserve"> </w:t>
            </w:r>
            <w:r w:rsidRPr="0053423A">
              <w:rPr>
                <w:rFonts w:eastAsia="Times New Roman" w:cs="Times New Roman"/>
                <w:sz w:val="20"/>
                <w:szCs w:val="20"/>
              </w:rPr>
              <w:t>դպրոցների</w:t>
            </w:r>
            <w:r w:rsidRPr="0053423A">
              <w:rPr>
                <w:rFonts w:eastAsia="Times New Roman" w:cs="Times New Roman"/>
                <w:sz w:val="20"/>
                <w:szCs w:val="20"/>
                <w:lang w:val="ru-RU"/>
              </w:rPr>
              <w:t xml:space="preserve"> </w:t>
            </w:r>
            <w:r w:rsidRPr="0053423A">
              <w:rPr>
                <w:rFonts w:eastAsia="Times New Roman" w:cs="Times New Roman"/>
                <w:sz w:val="20"/>
                <w:szCs w:val="20"/>
              </w:rPr>
              <w:t>գործունեության</w:t>
            </w:r>
            <w:r w:rsidRPr="0053423A">
              <w:rPr>
                <w:rFonts w:eastAsia="Times New Roman" w:cs="Times New Roman"/>
                <w:sz w:val="20"/>
                <w:szCs w:val="20"/>
                <w:lang w:val="ru-RU"/>
              </w:rPr>
              <w:t xml:space="preserve"> </w:t>
            </w:r>
            <w:r w:rsidRPr="0053423A">
              <w:rPr>
                <w:rFonts w:eastAsia="Times New Roman" w:cs="Times New Roman"/>
                <w:sz w:val="20"/>
                <w:szCs w:val="20"/>
              </w:rPr>
              <w:t>և</w:t>
            </w:r>
            <w:r w:rsidRPr="0053423A">
              <w:rPr>
                <w:rFonts w:eastAsia="Times New Roman" w:cs="Times New Roman"/>
                <w:sz w:val="20"/>
                <w:szCs w:val="20"/>
                <w:lang w:val="ru-RU"/>
              </w:rPr>
              <w:t xml:space="preserve"> </w:t>
            </w:r>
            <w:r w:rsidRPr="0053423A">
              <w:rPr>
                <w:rFonts w:eastAsia="Times New Roman" w:cs="Times New Roman"/>
                <w:sz w:val="20"/>
                <w:szCs w:val="20"/>
              </w:rPr>
              <w:t>զարգացման</w:t>
            </w:r>
            <w:r w:rsidRPr="0053423A">
              <w:rPr>
                <w:rFonts w:eastAsia="Times New Roman" w:cs="Times New Roman"/>
                <w:sz w:val="20"/>
                <w:szCs w:val="20"/>
                <w:lang w:val="ru-RU"/>
              </w:rPr>
              <w:t xml:space="preserve">, </w:t>
            </w:r>
            <w:r w:rsidRPr="0053423A">
              <w:rPr>
                <w:rFonts w:eastAsia="Times New Roman" w:cs="Times New Roman"/>
                <w:sz w:val="20"/>
                <w:szCs w:val="20"/>
              </w:rPr>
              <w:t>մարզերի</w:t>
            </w:r>
            <w:r w:rsidRPr="0053423A">
              <w:rPr>
                <w:rFonts w:eastAsia="Times New Roman" w:cs="Times New Roman"/>
                <w:sz w:val="20"/>
                <w:szCs w:val="20"/>
                <w:lang w:val="ru-RU"/>
              </w:rPr>
              <w:t xml:space="preserve"> </w:t>
            </w:r>
            <w:r w:rsidRPr="0053423A">
              <w:rPr>
                <w:rFonts w:eastAsia="Times New Roman" w:cs="Times New Roman"/>
                <w:sz w:val="20"/>
                <w:szCs w:val="20"/>
              </w:rPr>
              <w:t>մշակութային</w:t>
            </w:r>
            <w:r w:rsidRPr="0053423A">
              <w:rPr>
                <w:rFonts w:eastAsia="Times New Roman" w:cs="Times New Roman"/>
                <w:sz w:val="20"/>
                <w:szCs w:val="20"/>
                <w:lang w:val="ru-RU"/>
              </w:rPr>
              <w:t xml:space="preserve"> </w:t>
            </w:r>
            <w:r w:rsidRPr="0053423A">
              <w:rPr>
                <w:rFonts w:eastAsia="Times New Roman" w:cs="Times New Roman"/>
                <w:sz w:val="20"/>
                <w:szCs w:val="20"/>
              </w:rPr>
              <w:t>կյանքում</w:t>
            </w:r>
            <w:r w:rsidRPr="0053423A">
              <w:rPr>
                <w:rFonts w:eastAsia="Times New Roman" w:cs="Times New Roman"/>
                <w:sz w:val="20"/>
                <w:szCs w:val="20"/>
                <w:lang w:val="ru-RU"/>
              </w:rPr>
              <w:t xml:space="preserve"> </w:t>
            </w:r>
            <w:r w:rsidRPr="0053423A">
              <w:rPr>
                <w:rFonts w:eastAsia="Times New Roman" w:cs="Times New Roman"/>
                <w:sz w:val="20"/>
                <w:szCs w:val="20"/>
              </w:rPr>
              <w:t>մշակութային</w:t>
            </w:r>
            <w:r w:rsidRPr="0053423A">
              <w:rPr>
                <w:rFonts w:eastAsia="Times New Roman" w:cs="Times New Roman"/>
                <w:sz w:val="20"/>
                <w:szCs w:val="20"/>
                <w:lang w:val="ru-RU"/>
              </w:rPr>
              <w:t xml:space="preserve"> </w:t>
            </w:r>
            <w:r w:rsidRPr="0053423A">
              <w:rPr>
                <w:rFonts w:eastAsia="Times New Roman" w:cs="Times New Roman"/>
                <w:sz w:val="20"/>
                <w:szCs w:val="20"/>
              </w:rPr>
              <w:t>ուսումնական</w:t>
            </w:r>
            <w:r w:rsidRPr="0053423A">
              <w:rPr>
                <w:rFonts w:eastAsia="Times New Roman" w:cs="Times New Roman"/>
                <w:sz w:val="20"/>
                <w:szCs w:val="20"/>
                <w:lang w:val="ru-RU"/>
              </w:rPr>
              <w:t xml:space="preserve"> </w:t>
            </w:r>
            <w:r w:rsidRPr="0053423A">
              <w:rPr>
                <w:rFonts w:eastAsia="Times New Roman" w:cs="Times New Roman"/>
                <w:sz w:val="20"/>
                <w:szCs w:val="20"/>
              </w:rPr>
              <w:t>հաստատությունների</w:t>
            </w:r>
            <w:r w:rsidRPr="0053423A">
              <w:rPr>
                <w:rFonts w:eastAsia="Times New Roman" w:cs="Times New Roman"/>
                <w:sz w:val="20"/>
                <w:szCs w:val="20"/>
                <w:lang w:val="ru-RU"/>
              </w:rPr>
              <w:t xml:space="preserve"> </w:t>
            </w:r>
            <w:r w:rsidRPr="0053423A">
              <w:rPr>
                <w:rFonts w:eastAsia="Times New Roman" w:cs="Times New Roman"/>
                <w:sz w:val="20"/>
                <w:szCs w:val="20"/>
              </w:rPr>
              <w:t>դերակատարության</w:t>
            </w:r>
            <w:r w:rsidRPr="0053423A">
              <w:rPr>
                <w:rFonts w:eastAsia="Times New Roman" w:cs="Times New Roman"/>
                <w:sz w:val="20"/>
                <w:szCs w:val="20"/>
                <w:lang w:val="ru-RU"/>
              </w:rPr>
              <w:t xml:space="preserve"> </w:t>
            </w:r>
            <w:r w:rsidRPr="0053423A">
              <w:rPr>
                <w:rFonts w:eastAsia="Times New Roman" w:cs="Times New Roman"/>
                <w:sz w:val="20"/>
                <w:szCs w:val="20"/>
              </w:rPr>
              <w:t>բարձրացման</w:t>
            </w:r>
            <w:r w:rsidRPr="0053423A">
              <w:rPr>
                <w:rFonts w:eastAsia="Times New Roman" w:cs="Times New Roman"/>
                <w:sz w:val="20"/>
                <w:szCs w:val="20"/>
                <w:lang w:val="ru-RU"/>
              </w:rPr>
              <w:t xml:space="preserve">, </w:t>
            </w:r>
            <w:r w:rsidRPr="0053423A">
              <w:rPr>
                <w:rFonts w:eastAsia="Times New Roman" w:cs="Times New Roman"/>
                <w:sz w:val="20"/>
                <w:szCs w:val="20"/>
              </w:rPr>
              <w:t>մշակութային</w:t>
            </w:r>
            <w:r w:rsidRPr="0053423A">
              <w:rPr>
                <w:rFonts w:eastAsia="Times New Roman" w:cs="Times New Roman"/>
                <w:sz w:val="20"/>
                <w:szCs w:val="20"/>
                <w:lang w:val="ru-RU"/>
              </w:rPr>
              <w:t xml:space="preserve"> </w:t>
            </w:r>
            <w:r w:rsidRPr="0053423A">
              <w:rPr>
                <w:rFonts w:eastAsia="Times New Roman" w:cs="Times New Roman"/>
                <w:sz w:val="20"/>
                <w:szCs w:val="20"/>
              </w:rPr>
              <w:t>և</w:t>
            </w:r>
            <w:r w:rsidRPr="0053423A">
              <w:rPr>
                <w:rFonts w:eastAsia="Times New Roman" w:cs="Times New Roman"/>
                <w:sz w:val="20"/>
                <w:szCs w:val="20"/>
                <w:lang w:val="ru-RU"/>
              </w:rPr>
              <w:t xml:space="preserve"> </w:t>
            </w:r>
            <w:r w:rsidRPr="0053423A">
              <w:rPr>
                <w:rFonts w:eastAsia="Times New Roman" w:cs="Times New Roman"/>
                <w:sz w:val="20"/>
                <w:szCs w:val="20"/>
              </w:rPr>
              <w:t>գեղարվեստական</w:t>
            </w:r>
            <w:r w:rsidRPr="0053423A">
              <w:rPr>
                <w:rFonts w:eastAsia="Times New Roman" w:cs="Times New Roman"/>
                <w:sz w:val="20"/>
                <w:szCs w:val="20"/>
                <w:lang w:val="ru-RU"/>
              </w:rPr>
              <w:t xml:space="preserve"> </w:t>
            </w:r>
            <w:r w:rsidRPr="0053423A">
              <w:rPr>
                <w:rFonts w:eastAsia="Times New Roman" w:cs="Times New Roman"/>
                <w:sz w:val="20"/>
                <w:szCs w:val="20"/>
              </w:rPr>
              <w:t>կրթություն</w:t>
            </w:r>
            <w:r w:rsidRPr="0053423A">
              <w:rPr>
                <w:rFonts w:eastAsia="Times New Roman" w:cs="Times New Roman"/>
                <w:sz w:val="20"/>
                <w:szCs w:val="20"/>
                <w:lang w:val="ru-RU"/>
              </w:rPr>
              <w:t xml:space="preserve"> </w:t>
            </w:r>
            <w:r w:rsidRPr="0053423A">
              <w:rPr>
                <w:rFonts w:eastAsia="Times New Roman" w:cs="Times New Roman"/>
                <w:sz w:val="20"/>
                <w:szCs w:val="20"/>
              </w:rPr>
              <w:t>ստանալու</w:t>
            </w:r>
            <w:r w:rsidRPr="0053423A">
              <w:rPr>
                <w:rFonts w:eastAsia="Times New Roman" w:cs="Times New Roman"/>
                <w:sz w:val="20"/>
                <w:szCs w:val="20"/>
                <w:lang w:val="ru-RU"/>
              </w:rPr>
              <w:t xml:space="preserve"> </w:t>
            </w:r>
            <w:r w:rsidRPr="0053423A">
              <w:rPr>
                <w:rFonts w:eastAsia="Times New Roman" w:cs="Times New Roman"/>
                <w:sz w:val="20"/>
                <w:szCs w:val="20"/>
              </w:rPr>
              <w:t>իրավունքի</w:t>
            </w:r>
            <w:r w:rsidRPr="0053423A">
              <w:rPr>
                <w:rFonts w:eastAsia="Times New Roman" w:cs="Times New Roman"/>
                <w:sz w:val="20"/>
                <w:szCs w:val="20"/>
                <w:lang w:val="ru-RU"/>
              </w:rPr>
              <w:t xml:space="preserve"> </w:t>
            </w:r>
            <w:r w:rsidRPr="0053423A">
              <w:rPr>
                <w:rFonts w:eastAsia="Times New Roman" w:cs="Times New Roman"/>
                <w:sz w:val="20"/>
                <w:szCs w:val="20"/>
              </w:rPr>
              <w:t>ապահովման</w:t>
            </w:r>
            <w:r w:rsidRPr="0053423A">
              <w:rPr>
                <w:rFonts w:eastAsia="Times New Roman" w:cs="Times New Roman"/>
                <w:sz w:val="20"/>
                <w:szCs w:val="20"/>
                <w:lang w:val="ru-RU"/>
              </w:rPr>
              <w:t xml:space="preserve"> </w:t>
            </w:r>
            <w:r w:rsidRPr="0053423A">
              <w:rPr>
                <w:rFonts w:eastAsia="Times New Roman" w:cs="Times New Roman"/>
                <w:sz w:val="20"/>
                <w:szCs w:val="20"/>
              </w:rPr>
              <w:t>անհրաժեշտությամբ</w:t>
            </w:r>
            <w:r w:rsidRPr="0053423A">
              <w:rPr>
                <w:rFonts w:eastAsia="Times New Roman" w:cs="Times New Roman"/>
                <w:sz w:val="20"/>
                <w:szCs w:val="20"/>
                <w:lang w:val="ru-RU"/>
              </w:rPr>
              <w:t xml:space="preserve">: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spacing w:after="0" w:line="276" w:lineRule="auto"/>
              <w:jc w:val="both"/>
              <w:rPr>
                <w:rFonts w:eastAsia="Times New Roman" w:cs="Times New Roman"/>
                <w:sz w:val="20"/>
                <w:szCs w:val="20"/>
                <w:lang w:val="hy-AM"/>
              </w:rPr>
            </w:pPr>
          </w:p>
          <w:p w:rsidR="00A67B6B" w:rsidRPr="0053423A" w:rsidRDefault="00A67B6B" w:rsidP="00A67858">
            <w:pPr>
              <w:tabs>
                <w:tab w:val="left" w:pos="508"/>
              </w:tabs>
              <w:spacing w:after="0" w:line="276" w:lineRule="auto"/>
              <w:contextualSpacing/>
              <w:rPr>
                <w:rFonts w:eastAsia="Calibri" w:cs="Times New Roman"/>
                <w:b/>
                <w:sz w:val="20"/>
                <w:szCs w:val="20"/>
                <w:lang w:val="hy-AM"/>
              </w:rPr>
            </w:pPr>
            <w:r w:rsidRPr="0053423A">
              <w:rPr>
                <w:rFonts w:eastAsia="Times New Roman" w:cs="Times New Roman"/>
                <w:b/>
                <w:sz w:val="20"/>
                <w:szCs w:val="20"/>
                <w:lang w:val="hy-AM"/>
              </w:rPr>
              <w:t>1.1 Կարգավորման հարաբերությունների ներկա վիճակը և առկա խնդիրները</w:t>
            </w:r>
          </w:p>
          <w:p w:rsidR="00A67B6B" w:rsidRPr="0053423A" w:rsidRDefault="00A67B6B" w:rsidP="00A67858">
            <w:pPr>
              <w:tabs>
                <w:tab w:val="left" w:pos="508"/>
              </w:tabs>
              <w:spacing w:after="0" w:line="276" w:lineRule="auto"/>
              <w:jc w:val="both"/>
              <w:rPr>
                <w:rFonts w:eastAsia="Calibri" w:cs="Times New Roman"/>
                <w:sz w:val="20"/>
                <w:szCs w:val="20"/>
                <w:lang w:val="hy-AM"/>
              </w:rPr>
            </w:pPr>
            <w:r w:rsidRPr="0053423A">
              <w:rPr>
                <w:rFonts w:eastAsia="Calibri" w:cs="Times New Roman"/>
                <w:sz w:val="20"/>
                <w:szCs w:val="20"/>
                <w:lang w:val="hy-AM"/>
              </w:rPr>
              <w:t>Համայնքային ենթակայության մշակութային ուսումնական հաստատություններն ունեն բազում խնդիրներ.</w:t>
            </w:r>
          </w:p>
          <w:p w:rsidR="00A67B6B" w:rsidRPr="0053423A" w:rsidRDefault="00A67B6B" w:rsidP="00A67858">
            <w:pPr>
              <w:tabs>
                <w:tab w:val="left" w:pos="508"/>
              </w:tabs>
              <w:spacing w:after="0" w:line="276" w:lineRule="auto"/>
              <w:jc w:val="both"/>
              <w:rPr>
                <w:rFonts w:eastAsia="Calibri" w:cs="Times New Roman"/>
                <w:sz w:val="20"/>
                <w:szCs w:val="20"/>
                <w:lang w:val="hy-AM"/>
              </w:rPr>
            </w:pPr>
            <w:r w:rsidRPr="0053423A">
              <w:rPr>
                <w:rFonts w:eastAsia="Calibri" w:cs="Times New Roman"/>
                <w:sz w:val="20"/>
                <w:szCs w:val="20"/>
                <w:lang w:val="hy-AM"/>
              </w:rPr>
              <w:t>- շենքային պայմանների բարելավումՙ որոշ համայնքներում գեղարվեստական կրթություն և գեղագիտական դաստիարակություն իրականացնող հաստատությունները տեղակայված են մշակույթի տներում և ակումբներում, որոնց մի մասը ներկայում լիարժեք չեն գործում և ունեն հիմնանորոգման կարիք,</w:t>
            </w:r>
          </w:p>
          <w:p w:rsidR="00A67B6B" w:rsidRPr="0053423A" w:rsidRDefault="00A67B6B" w:rsidP="00A67858">
            <w:pPr>
              <w:tabs>
                <w:tab w:val="left" w:pos="508"/>
              </w:tabs>
              <w:spacing w:after="0" w:line="276" w:lineRule="auto"/>
              <w:jc w:val="both"/>
              <w:rPr>
                <w:rFonts w:eastAsia="Calibri" w:cs="Times New Roman"/>
                <w:sz w:val="20"/>
                <w:szCs w:val="20"/>
                <w:lang w:val="hy-AM"/>
              </w:rPr>
            </w:pPr>
            <w:r w:rsidRPr="0053423A">
              <w:rPr>
                <w:rFonts w:eastAsia="Calibri" w:cs="Times New Roman"/>
                <w:sz w:val="20"/>
                <w:szCs w:val="20"/>
                <w:lang w:val="hy-AM"/>
              </w:rPr>
              <w:t>- համայնքային բյուջեները դժվարությամբ են կարողանում ապահովել պահպանման ծախսերի միայն մի մասը: Անբավարար են նաև գույքային պայմանները, եղած գործիքները, նկարչական պարագաները, դրանք բարոյապես և ֆիզիկապես մաշված են, որը բացասաբար է անդրադառնում ուսումնական գործընթացի վրա: Բացի այդ, լուծված չեն ուսումնական հաստատությունների և մանկավարժների կարգավիճակի,  պետության կողմից իրականացվող սոցիալական ծրագրերում նրանց ներառման, արժանապատիվ վարձատրության, ինչպես նաև մշակութային կրթության ոլորտում ժամանակակից կրթական տեխնոլոգիաների ներդրման խնդիրները,</w:t>
            </w:r>
          </w:p>
          <w:p w:rsidR="00A67B6B" w:rsidRPr="0053423A" w:rsidRDefault="00A67B6B" w:rsidP="00A67858">
            <w:pPr>
              <w:tabs>
                <w:tab w:val="left" w:pos="508"/>
              </w:tabs>
              <w:spacing w:after="0" w:line="276" w:lineRule="auto"/>
              <w:jc w:val="both"/>
              <w:rPr>
                <w:rFonts w:eastAsia="Calibri" w:cs="Times New Roman"/>
                <w:sz w:val="20"/>
                <w:szCs w:val="20"/>
                <w:lang w:val="hy-AM"/>
              </w:rPr>
            </w:pPr>
            <w:r w:rsidRPr="0053423A">
              <w:rPr>
                <w:rFonts w:eastAsia="Calibri" w:cs="Times New Roman"/>
                <w:sz w:val="20"/>
                <w:szCs w:val="20"/>
                <w:lang w:val="hy-AM"/>
              </w:rPr>
              <w:t>- հաստատությունների մեծ մասն ունի կադրային խնդիր, մասնագետ-մանկավարժների պակաս, ինչպես նաև որոշ հաստատություններում չեն գործում մասնագիտական  դասարաններ:</w:t>
            </w:r>
          </w:p>
          <w:p w:rsidR="00A67B6B" w:rsidRPr="0053423A" w:rsidRDefault="00A67B6B" w:rsidP="00A67858">
            <w:pPr>
              <w:tabs>
                <w:tab w:val="left" w:pos="508"/>
              </w:tabs>
              <w:spacing w:after="0" w:line="276" w:lineRule="auto"/>
              <w:jc w:val="both"/>
              <w:rPr>
                <w:rFonts w:eastAsia="Calibri" w:cs="Times New Roman"/>
                <w:sz w:val="20"/>
                <w:szCs w:val="20"/>
                <w:lang w:val="hy-AM"/>
              </w:rPr>
            </w:pPr>
          </w:p>
          <w:p w:rsidR="00A67B6B" w:rsidRPr="0053423A" w:rsidRDefault="00A67B6B" w:rsidP="00A67858">
            <w:pPr>
              <w:spacing w:after="0"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1.2. Առկա խնդիրների առաջարկվող լուծումները </w:t>
            </w:r>
          </w:p>
          <w:p w:rsidR="00A67B6B" w:rsidRPr="0053423A" w:rsidRDefault="00A67B6B" w:rsidP="00A67858">
            <w:pPr>
              <w:shd w:val="clear" w:color="auto" w:fill="FFFFFF"/>
              <w:spacing w:after="0" w:line="276" w:lineRule="auto"/>
              <w:jc w:val="both"/>
              <w:rPr>
                <w:rFonts w:eastAsia="Times New Roman" w:cs="Times New Roman"/>
                <w:b/>
                <w:sz w:val="20"/>
                <w:szCs w:val="20"/>
                <w:lang w:val="hy-AM"/>
              </w:rPr>
            </w:pPr>
            <w:r w:rsidRPr="0053423A">
              <w:rPr>
                <w:rFonts w:eastAsia="Calibri" w:cs="Times New Roman"/>
                <w:sz w:val="20"/>
                <w:szCs w:val="20"/>
                <w:lang w:val="hy-AM"/>
              </w:rPr>
              <w:t xml:space="preserve">ՀՀ մարզերում ՀՀ մշակույթի նախարարության նոր քաղաքականությունն ու մարզային մշակութային կյանքի զարգացման նոր տեսլականի ներկայացում, քարտեզագրում, իրական խնդիրների և կարիքների գնահատում, համապատասխան լուծումների առաջադրում, </w:t>
            </w:r>
            <w:r w:rsidRPr="0053423A">
              <w:rPr>
                <w:rFonts w:eastAsia="Times New Roman" w:cs="Times New Roman"/>
                <w:sz w:val="20"/>
                <w:szCs w:val="20"/>
                <w:lang w:val="hy-AM"/>
              </w:rPr>
              <w:t>մշակութային կրթության հաստատությունների միջև կապերի ամրապնդում, փորձի փոխանակման նոր հարթակների ստեղծում:</w:t>
            </w:r>
            <w:r w:rsidRPr="0053423A">
              <w:rPr>
                <w:rFonts w:eastAsia="Times New Roman" w:cs="Times New Roman"/>
                <w:b/>
                <w:sz w:val="20"/>
                <w:szCs w:val="20"/>
                <w:lang w:val="hy-AM"/>
              </w:rPr>
              <w:t xml:space="preserve"> </w:t>
            </w:r>
          </w:p>
          <w:p w:rsidR="00A67B6B" w:rsidRPr="0053423A" w:rsidRDefault="00A67B6B" w:rsidP="00A67858">
            <w:pPr>
              <w:shd w:val="clear" w:color="auto" w:fill="FFFFFF"/>
              <w:spacing w:after="0" w:line="276" w:lineRule="auto"/>
              <w:jc w:val="both"/>
              <w:rPr>
                <w:rFonts w:eastAsia="Times New Roman" w:cs="Times New Roman"/>
                <w:b/>
                <w:sz w:val="20"/>
                <w:szCs w:val="20"/>
                <w:lang w:val="hy-AM"/>
              </w:rPr>
            </w:pPr>
          </w:p>
          <w:p w:rsidR="00A67B6B" w:rsidRPr="0053423A" w:rsidRDefault="00A67B6B" w:rsidP="00A67858">
            <w:pPr>
              <w:shd w:val="clear" w:color="auto" w:fill="FFFFFF"/>
              <w:spacing w:after="0" w:line="276" w:lineRule="auto"/>
              <w:jc w:val="both"/>
              <w:rPr>
                <w:rFonts w:eastAsia="Times New Roman" w:cs="Times New Roman"/>
                <w:b/>
                <w:sz w:val="20"/>
                <w:szCs w:val="20"/>
                <w:lang w:val="hy-AM"/>
              </w:rPr>
            </w:pPr>
            <w:r w:rsidRPr="0053423A">
              <w:rPr>
                <w:rFonts w:eastAsia="Times New Roman" w:cs="Times New Roman"/>
                <w:b/>
                <w:sz w:val="20"/>
                <w:szCs w:val="20"/>
                <w:lang w:val="hy-AM"/>
              </w:rPr>
              <w:t>2.Միջոցառման իրականացումից ակնկալվող արդյունքը</w:t>
            </w:r>
          </w:p>
          <w:p w:rsidR="00A67B6B" w:rsidRPr="0053423A" w:rsidRDefault="00A67B6B" w:rsidP="00A67858">
            <w:pPr>
              <w:shd w:val="clear" w:color="auto" w:fill="FFFFFF"/>
              <w:spacing w:after="0" w:line="276" w:lineRule="auto"/>
              <w:jc w:val="both"/>
              <w:rPr>
                <w:rFonts w:eastAsia="Calibri" w:cs="Times New Roman"/>
                <w:sz w:val="20"/>
                <w:szCs w:val="20"/>
                <w:lang w:val="hy-AM"/>
              </w:rPr>
            </w:pPr>
            <w:r w:rsidRPr="0053423A">
              <w:rPr>
                <w:rFonts w:eastAsia="Calibri" w:cs="Calibri"/>
                <w:sz w:val="20"/>
                <w:szCs w:val="20"/>
                <w:lang w:val="hy-AM"/>
              </w:rPr>
              <w:t xml:space="preserve">Գեղարվեստական կրթություն իրականացնող կրթական հաստատությունների </w:t>
            </w:r>
            <w:r w:rsidRPr="0053423A">
              <w:rPr>
                <w:rFonts w:eastAsia="Calibri" w:cs="Times New Roman"/>
                <w:sz w:val="20"/>
                <w:szCs w:val="20"/>
                <w:lang w:val="hy-AM"/>
              </w:rPr>
              <w:t>նյութատեխնիկական</w:t>
            </w:r>
            <w:r w:rsidRPr="0053423A">
              <w:rPr>
                <w:rFonts w:eastAsia="Calibri" w:cs="Calibri"/>
                <w:sz w:val="20"/>
                <w:szCs w:val="20"/>
                <w:lang w:val="hy-AM"/>
              </w:rPr>
              <w:t xml:space="preserve"> բազայի և մասնագետների պահանջարկի ադեկվատ բավարարում, ոլորտում առկա տեղական խնդիրների լուծում, գեղարվեստական կրթություն իրականցնող հաստատությունների դերի բարձրացում, </w:t>
            </w:r>
            <w:r w:rsidRPr="0053423A">
              <w:rPr>
                <w:rFonts w:eastAsia="Calibri" w:cs="Times New Roman"/>
                <w:sz w:val="20"/>
                <w:szCs w:val="20"/>
                <w:lang w:val="hy-AM"/>
              </w:rPr>
              <w:t>մշակութային կրթություն իրականացնող ուսումնական հաստա</w:t>
            </w:r>
            <w:r w:rsidRPr="0053423A">
              <w:rPr>
                <w:rFonts w:eastAsia="Calibri" w:cs="Times New Roman"/>
                <w:sz w:val="20"/>
                <w:szCs w:val="20"/>
                <w:lang w:val="hy-AM"/>
              </w:rPr>
              <w:softHyphen/>
              <w:t>տու</w:t>
            </w:r>
            <w:r w:rsidRPr="0053423A">
              <w:rPr>
                <w:rFonts w:eastAsia="Calibri" w:cs="Times New Roman"/>
                <w:sz w:val="20"/>
                <w:szCs w:val="20"/>
                <w:lang w:val="hy-AM"/>
              </w:rPr>
              <w:softHyphen/>
              <w:t>թյունների և շտեմարանի ստեղծում, միջմարզային դպրոցական կապերի ամրապնդում, գործունեության բարելավում,  որակի  բարձրացում:</w:t>
            </w:r>
          </w:p>
          <w:p w:rsidR="00A67B6B" w:rsidRPr="0053423A" w:rsidRDefault="00A67B6B" w:rsidP="00A67858">
            <w:pPr>
              <w:shd w:val="clear" w:color="auto" w:fill="FFFFFF"/>
              <w:spacing w:after="0" w:line="276" w:lineRule="auto"/>
              <w:jc w:val="both"/>
              <w:rPr>
                <w:rFonts w:eastAsia="Calibri" w:cs="Times New Roman"/>
                <w:sz w:val="20"/>
                <w:szCs w:val="20"/>
                <w:lang w:val="hy-AM"/>
              </w:rPr>
            </w:pPr>
          </w:p>
          <w:p w:rsidR="00A67B6B" w:rsidRPr="0053423A" w:rsidRDefault="00A67B6B" w:rsidP="00A67858">
            <w:pPr>
              <w:spacing w:after="0" w:line="276" w:lineRule="auto"/>
              <w:jc w:val="center"/>
              <w:rPr>
                <w:rFonts w:eastAsia="Times New Roman" w:cs="Times New Roman"/>
                <w:b/>
                <w:sz w:val="20"/>
                <w:szCs w:val="20"/>
                <w:lang w:val="hy-AM"/>
              </w:rPr>
            </w:pPr>
            <w:r w:rsidRPr="0053423A">
              <w:rPr>
                <w:rFonts w:eastAsia="Times New Roman" w:cs="Times New Roman"/>
                <w:b/>
                <w:sz w:val="20"/>
                <w:szCs w:val="20"/>
                <w:lang w:val="hy-AM"/>
              </w:rPr>
              <w:t xml:space="preserve">6.6 </w:t>
            </w:r>
            <w:r w:rsidRPr="0053423A">
              <w:rPr>
                <w:rFonts w:eastAsia="Calibri" w:cs="Calibri"/>
                <w:b/>
                <w:sz w:val="20"/>
                <w:szCs w:val="20"/>
                <w:lang w:val="hy-AM"/>
              </w:rPr>
              <w:t>Հուշարձանների տարածքներում ենթակառուցվածքների զարգացում</w:t>
            </w:r>
          </w:p>
          <w:p w:rsidR="00A67B6B" w:rsidRPr="0053423A" w:rsidRDefault="00A67B6B" w:rsidP="00A67858">
            <w:pPr>
              <w:spacing w:after="0" w:line="276" w:lineRule="auto"/>
              <w:jc w:val="both"/>
              <w:rPr>
                <w:rFonts w:eastAsia="Calibri" w:cs="Calibri"/>
                <w:sz w:val="20"/>
                <w:szCs w:val="20"/>
                <w:lang w:val="hy-AM"/>
              </w:rPr>
            </w:pPr>
          </w:p>
          <w:p w:rsidR="00A67B6B" w:rsidRPr="0053423A" w:rsidRDefault="00A67B6B" w:rsidP="00A67858">
            <w:pPr>
              <w:tabs>
                <w:tab w:val="left" w:pos="508"/>
              </w:tabs>
              <w:spacing w:after="0" w:line="276" w:lineRule="auto"/>
              <w:contextualSpacing/>
              <w:rPr>
                <w:rFonts w:eastAsia="Calibri" w:cs="Times New Roman"/>
                <w:b/>
                <w:sz w:val="20"/>
                <w:szCs w:val="20"/>
                <w:lang w:val="hy-AM"/>
              </w:rPr>
            </w:pPr>
            <w:r w:rsidRPr="0053423A">
              <w:rPr>
                <w:rFonts w:eastAsia="Calibri" w:cs="Times New Roman"/>
                <w:b/>
                <w:sz w:val="20"/>
                <w:szCs w:val="20"/>
                <w:lang w:val="hy-AM"/>
              </w:rPr>
              <w:t xml:space="preserve"> 1. Միջոցառման իրականացման անհրաժեշտությունը և 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af-ZA"/>
              </w:rPr>
              <w:t xml:space="preserve">Հուշարձաններն առավել մատչելի, գրավիչ և զբոսաշրջության զարգացման համար ավելի այցելելի դարձնելու նպատակով հրատապ անհրաժեշտություն է առաջացել դրանց շուրջ ենթակառուցվածքներ զարգացնելը՝ ապահովելով նվազագույն պահանջները: Նշյալ խնդիրներից ելնելով՝ անհրաժեշտ է նորոգել և բարեկարգել դեպի հուշարձաններ տանող մայրուղիները և մոտեցման ճանապարհները, զարգացնել հարակից համայնքների ենթակառուցվածքները, ստեղծել հարմարավետ և բարենպաստ պայմաններ տեղի բնակչության, աշխատանքի, կյանքի և կենսամակարդակի բարձրացման համար՝ ստեղծելով մատչելի պայմաններ այցելուների քանակի ավելացման համար, ինչով հուշարձանները կկարողանան հանրահռչակվել որ միայն Հայաստանում, այլ նաև Հայաստանի սահմաններից դուրս: Այդ նպատակով անհրաժեշտություն է դարձել կայանատեղիների, սանհանգույցների, սննդի կետերի, հանգստի վայրերի և այլնի ստեղծումը հուշարձանների պահպանական գոտիներից դուրս: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spacing w:after="0" w:line="276" w:lineRule="auto"/>
              <w:jc w:val="both"/>
              <w:rPr>
                <w:rFonts w:eastAsia="Calibri" w:cs="Times New Roman"/>
                <w:sz w:val="20"/>
                <w:szCs w:val="20"/>
                <w:lang w:val="af-ZA"/>
              </w:rPr>
            </w:pPr>
            <w:r w:rsidRPr="0053423A">
              <w:rPr>
                <w:rFonts w:eastAsia="Calibri" w:cs="Times New Roman"/>
                <w:sz w:val="20"/>
                <w:szCs w:val="20"/>
                <w:lang w:val="af-ZA"/>
              </w:rPr>
              <w:tab/>
            </w:r>
          </w:p>
          <w:p w:rsidR="00A67B6B" w:rsidRPr="0053423A" w:rsidRDefault="00A67B6B" w:rsidP="001F6D5D">
            <w:pPr>
              <w:numPr>
                <w:ilvl w:val="1"/>
                <w:numId w:val="218"/>
              </w:numPr>
              <w:tabs>
                <w:tab w:val="left" w:pos="508"/>
              </w:tabs>
              <w:spacing w:after="0" w:line="276" w:lineRule="auto"/>
              <w:ind w:hanging="1094"/>
              <w:contextualSpacing/>
              <w:rPr>
                <w:rFonts w:eastAsia="Calibri" w:cs="Times New Roman"/>
                <w:b/>
                <w:sz w:val="20"/>
                <w:szCs w:val="20"/>
                <w:lang w:val="af-ZA"/>
              </w:rPr>
            </w:pPr>
            <w:r w:rsidRPr="0053423A">
              <w:rPr>
                <w:rFonts w:eastAsia="Calibri" w:cs="Sylfaen"/>
                <w:b/>
                <w:sz w:val="20"/>
                <w:szCs w:val="20"/>
                <w:lang w:val="hy-AM"/>
              </w:rPr>
              <w:t>Կարգավորման</w:t>
            </w:r>
            <w:r w:rsidRPr="0053423A">
              <w:rPr>
                <w:rFonts w:eastAsia="Calibri" w:cs="Sylfaen"/>
                <w:b/>
                <w:sz w:val="20"/>
                <w:szCs w:val="20"/>
                <w:lang w:val="af-ZA"/>
              </w:rPr>
              <w:t xml:space="preserve"> </w:t>
            </w:r>
            <w:r w:rsidRPr="0053423A">
              <w:rPr>
                <w:rFonts w:eastAsia="Calibri" w:cs="Times New Roman"/>
                <w:b/>
                <w:sz w:val="20"/>
                <w:szCs w:val="20"/>
                <w:lang w:val="hy-AM"/>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lang w:val="hy-AM"/>
              </w:rPr>
              <w:t>ներկա</w:t>
            </w:r>
            <w:r w:rsidRPr="0053423A">
              <w:rPr>
                <w:rFonts w:eastAsia="Calibri" w:cs="Times New Roman"/>
                <w:b/>
                <w:sz w:val="20"/>
                <w:szCs w:val="20"/>
                <w:lang w:val="af-ZA"/>
              </w:rPr>
              <w:t xml:space="preserve"> </w:t>
            </w:r>
            <w:r w:rsidRPr="0053423A">
              <w:rPr>
                <w:rFonts w:eastAsia="Calibri" w:cs="Times New Roman"/>
                <w:b/>
                <w:sz w:val="20"/>
                <w:szCs w:val="20"/>
                <w:lang w:val="hy-AM"/>
              </w:rPr>
              <w:t>վիճակը</w:t>
            </w:r>
            <w:r w:rsidRPr="0053423A">
              <w:rPr>
                <w:rFonts w:eastAsia="Calibri" w:cs="Times New Roman"/>
                <w:b/>
                <w:sz w:val="20"/>
                <w:szCs w:val="20"/>
                <w:lang w:val="af-ZA"/>
              </w:rPr>
              <w:t xml:space="preserve"> </w:t>
            </w:r>
            <w:r w:rsidRPr="0053423A">
              <w:rPr>
                <w:rFonts w:eastAsia="Calibri" w:cs="Times New Roman"/>
                <w:b/>
                <w:sz w:val="20"/>
                <w:szCs w:val="20"/>
                <w:lang w:val="hy-AM"/>
              </w:rPr>
              <w:t>և</w:t>
            </w:r>
            <w:r w:rsidRPr="0053423A">
              <w:rPr>
                <w:rFonts w:eastAsia="Calibri" w:cs="Times New Roman"/>
                <w:b/>
                <w:sz w:val="20"/>
                <w:szCs w:val="20"/>
                <w:lang w:val="af-ZA"/>
              </w:rPr>
              <w:t xml:space="preserve"> </w:t>
            </w:r>
            <w:r w:rsidRPr="0053423A">
              <w:rPr>
                <w:rFonts w:eastAsia="Calibri" w:cs="Times New Roman"/>
                <w:b/>
                <w:sz w:val="20"/>
                <w:szCs w:val="20"/>
                <w:lang w:val="hy-AM"/>
              </w:rPr>
              <w:t>առկա</w:t>
            </w:r>
            <w:r w:rsidRPr="0053423A">
              <w:rPr>
                <w:rFonts w:eastAsia="Calibri" w:cs="Times New Roman"/>
                <w:b/>
                <w:sz w:val="20"/>
                <w:szCs w:val="20"/>
                <w:lang w:val="af-ZA"/>
              </w:rPr>
              <w:t xml:space="preserve"> </w:t>
            </w:r>
            <w:r w:rsidRPr="0053423A">
              <w:rPr>
                <w:rFonts w:eastAsia="Calibri" w:cs="Times New Roman"/>
                <w:b/>
                <w:sz w:val="20"/>
                <w:szCs w:val="20"/>
                <w:lang w:val="hy-AM"/>
              </w:rPr>
              <w:t>խնդիրները</w:t>
            </w: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r w:rsidRPr="0053423A">
              <w:rPr>
                <w:rFonts w:eastAsia="Calibri" w:cs="Sylfaen"/>
                <w:sz w:val="20"/>
                <w:szCs w:val="20"/>
                <w:lang w:val="af-ZA"/>
              </w:rPr>
              <w:t>Ներկայում</w:t>
            </w:r>
            <w:r w:rsidRPr="0053423A">
              <w:rPr>
                <w:rFonts w:eastAsia="Calibri" w:cs="Sylfaen"/>
                <w:b/>
                <w:sz w:val="20"/>
                <w:szCs w:val="20"/>
                <w:lang w:val="af-ZA"/>
              </w:rPr>
              <w:t xml:space="preserve"> </w:t>
            </w:r>
            <w:r w:rsidRPr="0053423A">
              <w:rPr>
                <w:rFonts w:eastAsia="Calibri" w:cs="Times New Roman"/>
                <w:sz w:val="20"/>
                <w:szCs w:val="20"/>
                <w:lang w:val="af-ZA"/>
              </w:rPr>
              <w:t>ՀՀ տարածքում խնդիր կա հասնել հուշարձաններին՝ թե հիմնական մայրուղիներով, թե մոտեցման ճանապարհներով: Առկա վիճակը խիստ կրճատում է այցելուների քանակը՝ հատկապես ձմեռային, գարնանային և աշնանային եղանակներին: Բացի ճանապարհների խնդիրներից բացակայում են հուշարձանապատկան տարածքներում տարրական ենթակառուցվածքները՝ սանհանգույցները, սննդի կետերը, կայանատեղիները, հանգստյան գոտիները և այլն, որոնք ոչ միայն նվազեցնում են հուշարձաններ այցելուների քանակը, այլև նպաստում տեղի բնակչության արտագաղթին:</w:t>
            </w:r>
          </w:p>
          <w:p w:rsidR="00A67B6B" w:rsidRPr="0053423A" w:rsidRDefault="00A67B6B" w:rsidP="00A67858">
            <w:pPr>
              <w:spacing w:after="0" w:line="276" w:lineRule="auto"/>
              <w:ind w:firstLine="288"/>
              <w:jc w:val="both"/>
              <w:rPr>
                <w:rFonts w:eastAsia="Calibri" w:cs="Times New Roman"/>
                <w:sz w:val="20"/>
                <w:szCs w:val="20"/>
                <w:lang w:val="af-ZA"/>
              </w:rPr>
            </w:pPr>
            <w:r w:rsidRPr="0053423A">
              <w:rPr>
                <w:rFonts w:eastAsia="Calibri" w:cs="Times New Roman"/>
                <w:sz w:val="20"/>
                <w:szCs w:val="20"/>
                <w:lang w:val="af-ZA"/>
              </w:rPr>
              <w:t>Հուշարձանի պատշաճ պահպանության և հատկապես զբոսաշրջային ներուժի լիարժեք օգտագործման առումով առկա են մի շարք խնդիրներ, որոնցից առանձնացվում են.</w:t>
            </w:r>
          </w:p>
          <w:p w:rsidR="00A67B6B" w:rsidRPr="0053423A" w:rsidRDefault="00A67B6B" w:rsidP="001F6D5D">
            <w:pPr>
              <w:numPr>
                <w:ilvl w:val="0"/>
                <w:numId w:val="239"/>
              </w:numPr>
              <w:spacing w:after="0" w:line="276" w:lineRule="auto"/>
              <w:ind w:left="288" w:right="41"/>
              <w:contextualSpacing/>
              <w:jc w:val="both"/>
              <w:rPr>
                <w:rFonts w:eastAsia="Times New Roman" w:cs="Times New Roman"/>
                <w:sz w:val="20"/>
                <w:szCs w:val="20"/>
                <w:lang w:val="af-ZA"/>
              </w:rPr>
            </w:pPr>
            <w:r w:rsidRPr="0053423A">
              <w:rPr>
                <w:rFonts w:eastAsia="Times New Roman" w:cs="Times New Roman"/>
                <w:sz w:val="20"/>
                <w:szCs w:val="20"/>
                <w:lang w:val="af-ZA"/>
              </w:rPr>
              <w:t xml:space="preserve">այցելուների սպասարկման, հանգստի կազմակերպման անբավարար պայմանները, </w:t>
            </w:r>
          </w:p>
          <w:p w:rsidR="00A67B6B" w:rsidRPr="0053423A" w:rsidRDefault="00A67B6B" w:rsidP="001F6D5D">
            <w:pPr>
              <w:numPr>
                <w:ilvl w:val="0"/>
                <w:numId w:val="239"/>
              </w:numPr>
              <w:spacing w:after="0" w:line="276" w:lineRule="auto"/>
              <w:ind w:left="288" w:right="41"/>
              <w:contextualSpacing/>
              <w:jc w:val="both"/>
              <w:rPr>
                <w:rFonts w:eastAsia="Times New Roman" w:cs="Times New Roman"/>
                <w:sz w:val="20"/>
                <w:szCs w:val="20"/>
                <w:lang w:val="af-ZA"/>
              </w:rPr>
            </w:pPr>
            <w:r w:rsidRPr="0053423A">
              <w:rPr>
                <w:rFonts w:eastAsia="Times New Roman" w:cs="Times New Roman"/>
                <w:sz w:val="20"/>
                <w:szCs w:val="20"/>
                <w:lang w:val="af-ZA"/>
              </w:rPr>
              <w:t xml:space="preserve">համալիրի պատմամշակութային արժեքների հետ հաղորդակցման և պահպանության համար անձնակազմի բացակայությունը և միջոցների պակասը, </w:t>
            </w:r>
          </w:p>
          <w:p w:rsidR="00A67B6B" w:rsidRPr="0053423A" w:rsidRDefault="00A67B6B" w:rsidP="001F6D5D">
            <w:pPr>
              <w:numPr>
                <w:ilvl w:val="0"/>
                <w:numId w:val="239"/>
              </w:numPr>
              <w:spacing w:after="0" w:line="276" w:lineRule="auto"/>
              <w:ind w:left="288" w:right="41"/>
              <w:contextualSpacing/>
              <w:jc w:val="both"/>
              <w:rPr>
                <w:rFonts w:eastAsia="Times New Roman" w:cs="Times New Roman"/>
                <w:sz w:val="20"/>
                <w:szCs w:val="20"/>
                <w:lang w:val="af-ZA"/>
              </w:rPr>
            </w:pPr>
            <w:r w:rsidRPr="0053423A">
              <w:rPr>
                <w:rFonts w:eastAsia="Times New Roman" w:cs="Times New Roman"/>
                <w:sz w:val="20"/>
                <w:szCs w:val="20"/>
                <w:lang w:val="af-ZA"/>
              </w:rPr>
              <w:t xml:space="preserve">համալիրի զբոսաշրջային ներուժի չօգտագործված լինելը, </w:t>
            </w:r>
          </w:p>
          <w:p w:rsidR="00A67B6B" w:rsidRPr="0053423A" w:rsidRDefault="00A67B6B" w:rsidP="001F6D5D">
            <w:pPr>
              <w:numPr>
                <w:ilvl w:val="0"/>
                <w:numId w:val="239"/>
              </w:numPr>
              <w:spacing w:after="0" w:line="276" w:lineRule="auto"/>
              <w:ind w:left="288" w:right="41"/>
              <w:contextualSpacing/>
              <w:jc w:val="both"/>
              <w:rPr>
                <w:rFonts w:eastAsia="Times New Roman" w:cs="Times New Roman"/>
                <w:sz w:val="20"/>
                <w:szCs w:val="20"/>
                <w:lang w:val="af-ZA"/>
              </w:rPr>
            </w:pPr>
            <w:r w:rsidRPr="0053423A">
              <w:rPr>
                <w:rFonts w:eastAsia="Times New Roman" w:cs="Times New Roman"/>
                <w:sz w:val="20"/>
                <w:szCs w:val="20"/>
                <w:lang w:val="af-ZA"/>
              </w:rPr>
              <w:t xml:space="preserve">հուշարձանների </w:t>
            </w:r>
            <w:r w:rsidRPr="0053423A">
              <w:rPr>
                <w:rFonts w:eastAsia="Calibri" w:cs="Times New Roman"/>
                <w:sz w:val="20"/>
                <w:szCs w:val="20"/>
                <w:lang w:val="af-ZA"/>
              </w:rPr>
              <w:t>տարածքում մշակութային միջոցառումների կազմակերպման համար պայմանների բացակայությունը և այլն:</w:t>
            </w: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r w:rsidRPr="0053423A">
              <w:rPr>
                <w:rFonts w:eastAsia="Calibri" w:cs="Times New Roman"/>
                <w:sz w:val="20"/>
                <w:szCs w:val="20"/>
                <w:lang w:val="af-ZA"/>
              </w:rPr>
              <w:t xml:space="preserve"> </w:t>
            </w:r>
          </w:p>
          <w:p w:rsidR="00A67B6B" w:rsidRPr="0053423A" w:rsidRDefault="00A67B6B" w:rsidP="001F6D5D">
            <w:pPr>
              <w:numPr>
                <w:ilvl w:val="1"/>
                <w:numId w:val="218"/>
              </w:numPr>
              <w:tabs>
                <w:tab w:val="left" w:pos="508"/>
              </w:tabs>
              <w:spacing w:after="0" w:line="276" w:lineRule="auto"/>
              <w:ind w:hanging="1094"/>
              <w:contextualSpacing/>
              <w:rPr>
                <w:rFonts w:eastAsia="Calibri" w:cs="Times New Roman"/>
                <w:b/>
                <w:sz w:val="20"/>
                <w:szCs w:val="20"/>
              </w:rPr>
            </w:pPr>
            <w:r w:rsidRPr="0053423A">
              <w:rPr>
                <w:rFonts w:eastAsia="Calibri" w:cs="Times New Roman"/>
                <w:b/>
                <w:sz w:val="20"/>
                <w:szCs w:val="20"/>
              </w:rPr>
              <w:t>Առկա խնդիրների առաջարկվող լուծումները</w:t>
            </w:r>
          </w:p>
          <w:p w:rsidR="00A67B6B" w:rsidRPr="0053423A" w:rsidRDefault="00A67B6B" w:rsidP="00A67858">
            <w:pPr>
              <w:spacing w:after="0" w:line="276" w:lineRule="auto"/>
              <w:jc w:val="both"/>
              <w:rPr>
                <w:rFonts w:eastAsia="Calibri" w:cs="Times New Roman"/>
                <w:sz w:val="20"/>
                <w:szCs w:val="20"/>
                <w:lang w:val="af-ZA"/>
              </w:rPr>
            </w:pPr>
            <w:r w:rsidRPr="0053423A">
              <w:rPr>
                <w:rFonts w:eastAsia="Calibri" w:cs="Times New Roman"/>
                <w:sz w:val="20"/>
                <w:szCs w:val="20"/>
                <w:lang w:val="af-ZA"/>
              </w:rPr>
              <w:t>Ծրագրի իրականացման գործընթացում առաջարկվում է ՀՀ մշակույթի նախարարության և շահագրգիռ բոլոր մարմինների/կազմակերպությունների միջև համագործակցություն, մասնավոր ներդրումների ներգրավում հուշարձանների օգտագործման ոլորտում: Ենթադրվում է երկու հիմնական փուլեր՝  նախապատրաստական և իրականացման: Առաջին փուլում կազմվելու է ծրագրային փաստաթղթերի փաթեթը, ներկայացվելու քննարկման, ապա հաստատման (ըստ համապատասխան ընթացակարգի): Այս փուլում է ձևավորվելու նաև աշխատանքային խումբը:</w:t>
            </w:r>
          </w:p>
          <w:p w:rsidR="00A67B6B" w:rsidRPr="0053423A" w:rsidRDefault="00A67B6B" w:rsidP="00A67858">
            <w:pPr>
              <w:spacing w:after="0" w:line="276" w:lineRule="auto"/>
              <w:ind w:firstLine="360"/>
              <w:jc w:val="both"/>
              <w:rPr>
                <w:rFonts w:eastAsia="Calibri" w:cs="Times New Roman"/>
                <w:sz w:val="20"/>
                <w:szCs w:val="20"/>
                <w:lang w:val="af-ZA"/>
              </w:rPr>
            </w:pPr>
            <w:r w:rsidRPr="0053423A">
              <w:rPr>
                <w:rFonts w:eastAsia="Calibri" w:cs="Times New Roman"/>
                <w:sz w:val="20"/>
                <w:szCs w:val="20"/>
                <w:lang w:val="af-ZA"/>
              </w:rPr>
              <w:t xml:space="preserve">Ըստ վերոհիշյալ նպատակների և խնդիրների՝ իրականացման փուլում նախատեսվում են հետևյալ հիմնական աշխատանքների իրականացումը. </w:t>
            </w:r>
          </w:p>
          <w:p w:rsidR="00A67B6B" w:rsidRPr="0053423A" w:rsidRDefault="00A67B6B" w:rsidP="001F6D5D">
            <w:pPr>
              <w:numPr>
                <w:ilvl w:val="0"/>
                <w:numId w:val="238"/>
              </w:numPr>
              <w:tabs>
                <w:tab w:val="left" w:pos="450"/>
              </w:tabs>
              <w:spacing w:after="0" w:line="276" w:lineRule="auto"/>
              <w:contextualSpacing/>
              <w:jc w:val="both"/>
              <w:rPr>
                <w:rFonts w:eastAsia="Times New Roman" w:cs="Times New Roman"/>
                <w:sz w:val="20"/>
                <w:szCs w:val="20"/>
                <w:lang w:val="af-ZA"/>
              </w:rPr>
            </w:pPr>
            <w:r w:rsidRPr="0053423A">
              <w:rPr>
                <w:rFonts w:eastAsia="Times New Roman" w:cs="Times New Roman"/>
                <w:sz w:val="20"/>
                <w:szCs w:val="20"/>
                <w:lang w:val="af-ZA"/>
              </w:rPr>
              <w:t>դեպի հուշարձան տանող և մոտեցման ճանապարհների նորոգում և բարեկարգում,</w:t>
            </w:r>
          </w:p>
          <w:p w:rsidR="00A67B6B" w:rsidRPr="0053423A" w:rsidRDefault="00A67B6B" w:rsidP="001F6D5D">
            <w:pPr>
              <w:numPr>
                <w:ilvl w:val="0"/>
                <w:numId w:val="238"/>
              </w:numPr>
              <w:tabs>
                <w:tab w:val="left" w:pos="450"/>
              </w:tabs>
              <w:spacing w:after="0" w:line="276" w:lineRule="auto"/>
              <w:contextualSpacing/>
              <w:jc w:val="both"/>
              <w:rPr>
                <w:rFonts w:eastAsia="Times New Roman" w:cs="Times New Roman"/>
                <w:sz w:val="20"/>
                <w:szCs w:val="20"/>
                <w:lang w:val="af-ZA"/>
              </w:rPr>
            </w:pPr>
            <w:r w:rsidRPr="0053423A">
              <w:rPr>
                <w:rFonts w:eastAsia="Times New Roman" w:cs="Times New Roman"/>
                <w:sz w:val="20"/>
                <w:szCs w:val="20"/>
                <w:lang w:val="af-ZA"/>
              </w:rPr>
              <w:t>հուշարձանների համալիրների համապատասխան վայրերում աղբամանների տեղադրում, կանոնավոր աղբահանություն ապահովում, կանաչապատման և բնական լանդշաֆտի ձևավորման աշխատանքների կատարում, այդ թվում հանգստի գոտիների առանձնացում,</w:t>
            </w:r>
          </w:p>
          <w:p w:rsidR="00A67B6B" w:rsidRPr="0053423A" w:rsidRDefault="00A67B6B" w:rsidP="001F6D5D">
            <w:pPr>
              <w:numPr>
                <w:ilvl w:val="0"/>
                <w:numId w:val="238"/>
              </w:numPr>
              <w:tabs>
                <w:tab w:val="left" w:pos="450"/>
              </w:tabs>
              <w:spacing w:after="0" w:line="276" w:lineRule="auto"/>
              <w:contextualSpacing/>
              <w:jc w:val="both"/>
              <w:rPr>
                <w:rFonts w:eastAsia="Times New Roman" w:cs="Times New Roman"/>
                <w:sz w:val="20"/>
                <w:szCs w:val="20"/>
                <w:lang w:val="af-ZA"/>
              </w:rPr>
            </w:pPr>
            <w:r w:rsidRPr="0053423A">
              <w:rPr>
                <w:rFonts w:eastAsia="Times New Roman" w:cs="Times New Roman"/>
                <w:sz w:val="20"/>
                <w:szCs w:val="20"/>
                <w:lang w:val="af-ZA"/>
              </w:rPr>
              <w:t>այցելուների կենտրոնի կառուցում և զբոսավարների ու սպասարկման ոլորտի աշխատակիցների խմբերի ձևավորում՝ պայմանագրային և կամավոր-հասարակական հիմունքներով,</w:t>
            </w:r>
          </w:p>
          <w:p w:rsidR="00A67B6B" w:rsidRPr="0053423A" w:rsidRDefault="00A67B6B" w:rsidP="001F6D5D">
            <w:pPr>
              <w:numPr>
                <w:ilvl w:val="0"/>
                <w:numId w:val="238"/>
              </w:numPr>
              <w:tabs>
                <w:tab w:val="left" w:pos="450"/>
              </w:tabs>
              <w:spacing w:after="0" w:line="276" w:lineRule="auto"/>
              <w:contextualSpacing/>
              <w:jc w:val="both"/>
              <w:rPr>
                <w:rFonts w:eastAsia="Times New Roman" w:cs="Times New Roman"/>
                <w:sz w:val="20"/>
                <w:szCs w:val="20"/>
                <w:lang w:val="af-ZA"/>
              </w:rPr>
            </w:pPr>
            <w:r w:rsidRPr="0053423A">
              <w:rPr>
                <w:rFonts w:eastAsia="Times New Roman" w:cs="Times New Roman"/>
                <w:sz w:val="20"/>
                <w:szCs w:val="20"/>
                <w:lang w:val="af-ZA"/>
              </w:rPr>
              <w:t>համալիրի մերձակա տարածքում՝ պահպանական գոտիներից դուրս, սանհանգույցների և կայանատեղիների կառուցում,</w:t>
            </w:r>
          </w:p>
          <w:p w:rsidR="00A67B6B" w:rsidRPr="0053423A" w:rsidRDefault="00A67B6B" w:rsidP="001F6D5D">
            <w:pPr>
              <w:numPr>
                <w:ilvl w:val="0"/>
                <w:numId w:val="238"/>
              </w:numPr>
              <w:tabs>
                <w:tab w:val="left" w:pos="450"/>
              </w:tabs>
              <w:spacing w:after="0" w:line="276" w:lineRule="auto"/>
              <w:contextualSpacing/>
              <w:jc w:val="both"/>
              <w:rPr>
                <w:rFonts w:eastAsia="Times New Roman" w:cs="Times New Roman"/>
                <w:sz w:val="20"/>
                <w:szCs w:val="20"/>
                <w:lang w:val="af-ZA"/>
              </w:rPr>
            </w:pPr>
            <w:r w:rsidRPr="0053423A">
              <w:rPr>
                <w:rFonts w:eastAsia="Times New Roman" w:cs="Times New Roman"/>
                <w:sz w:val="20"/>
                <w:szCs w:val="20"/>
                <w:lang w:val="af-ZA"/>
              </w:rPr>
              <w:t xml:space="preserve"> պարբերաբար ազգագրական, մշակութային միջոցառումների, ժողովրդական արհեստների և արվեստների ցուցահանդես-վաճառքների կազմակերպում, </w:t>
            </w:r>
          </w:p>
          <w:p w:rsidR="00A67B6B" w:rsidRPr="0053423A" w:rsidRDefault="00A67B6B" w:rsidP="001F6D5D">
            <w:pPr>
              <w:numPr>
                <w:ilvl w:val="0"/>
                <w:numId w:val="238"/>
              </w:numPr>
              <w:tabs>
                <w:tab w:val="left" w:pos="450"/>
              </w:tabs>
              <w:spacing w:after="0" w:line="276" w:lineRule="auto"/>
              <w:contextualSpacing/>
              <w:jc w:val="both"/>
              <w:rPr>
                <w:rFonts w:eastAsia="Times New Roman" w:cs="Times New Roman"/>
                <w:sz w:val="20"/>
                <w:szCs w:val="20"/>
                <w:lang w:val="af-ZA"/>
              </w:rPr>
            </w:pPr>
            <w:r w:rsidRPr="0053423A">
              <w:rPr>
                <w:rFonts w:eastAsia="Times New Roman" w:cs="Times New Roman"/>
                <w:sz w:val="20"/>
                <w:szCs w:val="20"/>
                <w:lang w:val="af-ZA"/>
              </w:rPr>
              <w:t xml:space="preserve">հուշարձանների տարածքում էլեկտրականության ապահովում և գիշերային լուսավորում, </w:t>
            </w:r>
          </w:p>
          <w:p w:rsidR="00A67B6B" w:rsidRPr="0053423A" w:rsidRDefault="00A67B6B" w:rsidP="001F6D5D">
            <w:pPr>
              <w:numPr>
                <w:ilvl w:val="0"/>
                <w:numId w:val="238"/>
              </w:numPr>
              <w:spacing w:after="0" w:line="276" w:lineRule="auto"/>
              <w:contextualSpacing/>
              <w:jc w:val="both"/>
              <w:rPr>
                <w:rFonts w:eastAsia="Times New Roman" w:cs="Times New Roman"/>
                <w:sz w:val="20"/>
                <w:szCs w:val="20"/>
                <w:lang w:val="af-ZA"/>
              </w:rPr>
            </w:pPr>
            <w:r w:rsidRPr="0053423A">
              <w:rPr>
                <w:rFonts w:eastAsia="Times New Roman" w:cs="Times New Roman"/>
                <w:sz w:val="20"/>
                <w:szCs w:val="20"/>
                <w:lang w:val="af-ZA"/>
              </w:rPr>
              <w:t>պատմական միջավայրին հարիր սննդի կետերի կառուցում, ազգային ուտեստների պատրաստում և մատուցում,</w:t>
            </w:r>
          </w:p>
          <w:p w:rsidR="00A67B6B" w:rsidRPr="0053423A" w:rsidRDefault="00A67B6B" w:rsidP="001F6D5D">
            <w:pPr>
              <w:numPr>
                <w:ilvl w:val="0"/>
                <w:numId w:val="238"/>
              </w:numPr>
              <w:tabs>
                <w:tab w:val="left" w:pos="450"/>
              </w:tabs>
              <w:spacing w:after="0" w:line="276" w:lineRule="auto"/>
              <w:contextualSpacing/>
              <w:jc w:val="both"/>
              <w:rPr>
                <w:rFonts w:eastAsia="Times New Roman" w:cs="Times New Roman"/>
                <w:sz w:val="20"/>
                <w:szCs w:val="20"/>
                <w:lang w:val="af-ZA"/>
              </w:rPr>
            </w:pPr>
            <w:r w:rsidRPr="0053423A">
              <w:rPr>
                <w:rFonts w:eastAsia="Times New Roman" w:cs="Times New Roman"/>
                <w:sz w:val="20"/>
                <w:szCs w:val="20"/>
                <w:lang w:val="af-ZA"/>
              </w:rPr>
              <w:t>ըստ պահանջի՝ այցելուներին մոտակա հանգստի գոտիների վերաբերյալ տեղեկատվության, վրանների ու քննապարկերի տրամադրում:</w:t>
            </w:r>
          </w:p>
          <w:p w:rsidR="00A67B6B" w:rsidRPr="0053423A" w:rsidRDefault="00A67B6B" w:rsidP="00A67858">
            <w:pPr>
              <w:spacing w:after="0" w:line="276" w:lineRule="auto"/>
              <w:jc w:val="both"/>
              <w:rPr>
                <w:rFonts w:eastAsia="Calibri" w:cs="Times New Roman"/>
                <w:sz w:val="20"/>
                <w:szCs w:val="20"/>
                <w:lang w:val="af-ZA"/>
              </w:rPr>
            </w:pPr>
          </w:p>
          <w:p w:rsidR="00A67B6B" w:rsidRPr="0053423A" w:rsidRDefault="00A67B6B" w:rsidP="00A67858">
            <w:pPr>
              <w:tabs>
                <w:tab w:val="left" w:pos="508"/>
              </w:tabs>
              <w:spacing w:after="0" w:line="276" w:lineRule="auto"/>
              <w:contextualSpacing/>
              <w:jc w:val="both"/>
              <w:rPr>
                <w:rFonts w:eastAsia="Calibri" w:cs="Times New Roman"/>
                <w:sz w:val="20"/>
                <w:szCs w:val="20"/>
                <w:lang w:val="af-ZA"/>
              </w:rPr>
            </w:pPr>
            <w:r w:rsidRPr="0053423A">
              <w:rPr>
                <w:rFonts w:eastAsia="Calibri" w:cs="Times New Roman"/>
                <w:b/>
                <w:sz w:val="20"/>
                <w:szCs w:val="20"/>
                <w:lang w:val="af-ZA"/>
              </w:rPr>
              <w:t xml:space="preserve">2. </w:t>
            </w:r>
            <w:r w:rsidRPr="0053423A">
              <w:rPr>
                <w:rFonts w:eastAsia="Calibri" w:cs="Times New Roman"/>
                <w:b/>
                <w:sz w:val="20"/>
                <w:szCs w:val="20"/>
              </w:rPr>
              <w:t>Միջոցառման</w:t>
            </w:r>
            <w:r w:rsidRPr="0053423A">
              <w:rPr>
                <w:rFonts w:eastAsia="Calibri" w:cs="Times New Roman"/>
                <w:b/>
                <w:sz w:val="20"/>
                <w:szCs w:val="20"/>
                <w:lang w:val="af-ZA"/>
              </w:rPr>
              <w:t xml:space="preserve"> </w:t>
            </w:r>
            <w:r w:rsidRPr="0053423A">
              <w:rPr>
                <w:rFonts w:eastAsia="Calibri" w:cs="Times New Roman"/>
                <w:b/>
                <w:sz w:val="20"/>
                <w:szCs w:val="20"/>
              </w:rPr>
              <w:t>իրակա</w:t>
            </w:r>
            <w:r w:rsidRPr="0053423A">
              <w:rPr>
                <w:rFonts w:eastAsia="Calibri" w:cs="Times New Roman"/>
                <w:b/>
                <w:sz w:val="20"/>
                <w:szCs w:val="20"/>
                <w:lang w:val="hy-AM"/>
              </w:rPr>
              <w:t>նա</w:t>
            </w:r>
            <w:r w:rsidRPr="0053423A">
              <w:rPr>
                <w:rFonts w:eastAsia="Calibri" w:cs="Times New Roman"/>
                <w:b/>
                <w:sz w:val="20"/>
                <w:szCs w:val="20"/>
              </w:rPr>
              <w:t>ցումից</w:t>
            </w:r>
            <w:r w:rsidRPr="0053423A">
              <w:rPr>
                <w:rFonts w:eastAsia="Calibri" w:cs="Times New Roman"/>
                <w:b/>
                <w:sz w:val="20"/>
                <w:szCs w:val="20"/>
                <w:lang w:val="af-ZA"/>
              </w:rPr>
              <w:t xml:space="preserve"> </w:t>
            </w:r>
            <w:r w:rsidRPr="0053423A">
              <w:rPr>
                <w:rFonts w:eastAsia="Calibri" w:cs="Times New Roman"/>
                <w:b/>
                <w:sz w:val="20"/>
                <w:szCs w:val="20"/>
              </w:rPr>
              <w:t>ակնկալվող</w:t>
            </w:r>
            <w:r w:rsidRPr="0053423A">
              <w:rPr>
                <w:rFonts w:eastAsia="Calibri" w:cs="Times New Roman"/>
                <w:b/>
                <w:sz w:val="20"/>
                <w:szCs w:val="20"/>
                <w:lang w:val="af-ZA"/>
              </w:rPr>
              <w:t xml:space="preserve"> </w:t>
            </w:r>
            <w:r w:rsidRPr="0053423A">
              <w:rPr>
                <w:rFonts w:eastAsia="Calibri" w:cs="Times New Roman"/>
                <w:b/>
                <w:sz w:val="20"/>
                <w:szCs w:val="20"/>
              </w:rPr>
              <w:t>արդյունքը</w:t>
            </w:r>
            <w:r w:rsidRPr="0053423A">
              <w:rPr>
                <w:rFonts w:eastAsia="Calibri" w:cs="Times New Roman"/>
                <w:sz w:val="20"/>
                <w:szCs w:val="20"/>
                <w:lang w:val="af-ZA"/>
              </w:rPr>
              <w:t xml:space="preserve">   </w:t>
            </w:r>
          </w:p>
          <w:p w:rsidR="00A67B6B" w:rsidRPr="0053423A" w:rsidRDefault="00A67B6B" w:rsidP="00A67858">
            <w:pPr>
              <w:spacing w:after="0" w:line="276" w:lineRule="auto"/>
              <w:jc w:val="both"/>
              <w:rPr>
                <w:rFonts w:eastAsia="Calibri" w:cs="Times New Roman"/>
                <w:sz w:val="20"/>
                <w:szCs w:val="20"/>
                <w:lang w:val="af-ZA"/>
              </w:rPr>
            </w:pPr>
            <w:r w:rsidRPr="0053423A">
              <w:rPr>
                <w:rFonts w:eastAsia="Calibri" w:cs="Times New Roman"/>
                <w:sz w:val="20"/>
                <w:szCs w:val="20"/>
                <w:lang w:val="af-ZA"/>
              </w:rPr>
              <w:t xml:space="preserve">Գործընթացների իրականացման դեպքում կավելանա հուշարձաններ այցելուների թվաքանակը, կզարգանան զբոսաշրջությունն ու ենթակառուցվածքները, կբարեկարգվեն ճանապարհները, կբացվեն նոր աշխատատեղեր և կկանխվի արտագաղթը: </w:t>
            </w:r>
          </w:p>
          <w:p w:rsidR="00A67B6B" w:rsidRPr="0053423A" w:rsidRDefault="00A67B6B" w:rsidP="00A67858">
            <w:pPr>
              <w:spacing w:after="0" w:line="276" w:lineRule="auto"/>
              <w:jc w:val="both"/>
              <w:rPr>
                <w:rFonts w:eastAsia="Calibri" w:cs="Times New Roman"/>
                <w:sz w:val="20"/>
                <w:szCs w:val="20"/>
                <w:lang w:val="af-ZA"/>
              </w:rPr>
            </w:pPr>
          </w:p>
          <w:p w:rsidR="00A67B6B" w:rsidRPr="0053423A" w:rsidRDefault="00A67B6B" w:rsidP="00A67858">
            <w:pPr>
              <w:spacing w:after="0" w:line="276" w:lineRule="auto"/>
              <w:jc w:val="center"/>
              <w:rPr>
                <w:rFonts w:eastAsia="Calibri" w:cs="Arial"/>
                <w:b/>
                <w:sz w:val="20"/>
                <w:szCs w:val="20"/>
                <w:lang w:val="af-ZA"/>
              </w:rPr>
            </w:pPr>
            <w:r w:rsidRPr="0053423A">
              <w:rPr>
                <w:rFonts w:eastAsia="Calibri" w:cs="Arial"/>
                <w:b/>
                <w:sz w:val="20"/>
                <w:szCs w:val="20"/>
                <w:lang w:val="af-ZA"/>
              </w:rPr>
              <w:t xml:space="preserve">6.7 </w:t>
            </w:r>
            <w:r w:rsidRPr="0053423A">
              <w:rPr>
                <w:rFonts w:eastAsia="Calibri" w:cs="Calibri"/>
                <w:b/>
                <w:sz w:val="20"/>
                <w:szCs w:val="20"/>
                <w:lang w:val="hy-AM"/>
              </w:rPr>
              <w:t>Հուշարձանների ու պատմական միջավայրի պահպանության և օգտագործման բնագավառի ծառայությունների մատուցման ընդլայնում՝  ՀՀ մարզկենտրոններում մեկ պատուհանի ներդրում</w:t>
            </w:r>
          </w:p>
          <w:p w:rsidR="00A67B6B" w:rsidRPr="0053423A" w:rsidRDefault="00A67B6B" w:rsidP="00A67858">
            <w:pPr>
              <w:spacing w:after="0" w:line="276" w:lineRule="auto"/>
              <w:jc w:val="center"/>
              <w:rPr>
                <w:rFonts w:eastAsia="Calibri" w:cs="Arial"/>
                <w:sz w:val="20"/>
                <w:szCs w:val="20"/>
                <w:lang w:val="af-ZA"/>
              </w:rPr>
            </w:pPr>
          </w:p>
          <w:p w:rsidR="00A67B6B" w:rsidRPr="0053423A" w:rsidRDefault="00A67B6B" w:rsidP="00A67858">
            <w:pPr>
              <w:tabs>
                <w:tab w:val="left" w:pos="508"/>
                <w:tab w:val="left" w:pos="900"/>
              </w:tabs>
              <w:spacing w:after="0" w:line="276" w:lineRule="auto"/>
              <w:contextualSpacing/>
              <w:rPr>
                <w:rFonts w:eastAsia="Calibri" w:cs="Times New Roman"/>
                <w:b/>
                <w:sz w:val="20"/>
                <w:szCs w:val="20"/>
                <w:lang w:val="hy-AM"/>
              </w:rPr>
            </w:pPr>
            <w:r w:rsidRPr="0053423A">
              <w:rPr>
                <w:rFonts w:eastAsia="Calibri" w:cs="Arial"/>
                <w:b/>
                <w:sz w:val="20"/>
                <w:szCs w:val="20"/>
                <w:lang w:val="hy-AM"/>
              </w:rPr>
              <w:t>1. Միջոցառման</w:t>
            </w:r>
            <w:r w:rsidRPr="0053423A">
              <w:rPr>
                <w:rFonts w:eastAsia="Calibri" w:cs="Times New Roman"/>
                <w:b/>
                <w:sz w:val="20"/>
                <w:szCs w:val="20"/>
                <w:lang w:val="hy-AM"/>
              </w:rPr>
              <w:t xml:space="preserve"> իրականացման անհրաժեշտությունը և 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af-ZA"/>
              </w:rPr>
              <w:t xml:space="preserve">Ելնելով պատմության և մշակույթի անշարժ հուշարձանների ոլորտում քաղաքացիներին սպասարկման շահերից, ինչպես նաև ՀՀ մարզերում տարածաշրանային խնդիրների և տեղական մարմինների հետ խնդիրների լուծումների կազմակերպման նպատակով՝ անհրաժեշտություն է առաջացել ծառայությունների մատուցման՝ Մեկ պատուհան համակարգի ներդրումը, ինչը նվազագույնի կհասցնի քաղաքացու առնչությունը պետական լիազոր մարմնի հետ, երկուստեք կնպաստի  ժամանակի, միջոցների և ռեսուրսների խնայմանն ու  տվյալների տրամադրման մատչելիությանը: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spacing w:after="0" w:line="276" w:lineRule="auto"/>
              <w:jc w:val="both"/>
              <w:rPr>
                <w:rFonts w:eastAsia="Calibri" w:cs="Times New Roman"/>
                <w:sz w:val="20"/>
                <w:szCs w:val="20"/>
                <w:lang w:val="af-ZA"/>
              </w:rPr>
            </w:pPr>
          </w:p>
          <w:p w:rsidR="00A67B6B" w:rsidRPr="0053423A" w:rsidRDefault="00A67B6B" w:rsidP="00A67858">
            <w:pPr>
              <w:tabs>
                <w:tab w:val="left" w:pos="508"/>
                <w:tab w:val="left" w:pos="990"/>
              </w:tabs>
              <w:spacing w:after="0" w:line="276" w:lineRule="auto"/>
              <w:contextualSpacing/>
              <w:rPr>
                <w:rFonts w:eastAsia="Calibri" w:cs="Times New Roman"/>
                <w:b/>
                <w:sz w:val="20"/>
                <w:szCs w:val="20"/>
                <w:lang w:val="af-ZA"/>
              </w:rPr>
            </w:pPr>
            <w:r w:rsidRPr="0053423A">
              <w:rPr>
                <w:rFonts w:eastAsia="Calibri" w:cs="Sylfaen"/>
                <w:b/>
                <w:sz w:val="20"/>
                <w:szCs w:val="20"/>
                <w:lang w:val="af-ZA"/>
              </w:rPr>
              <w:t xml:space="preserve">1.1 </w:t>
            </w:r>
            <w:r w:rsidRPr="0053423A">
              <w:rPr>
                <w:rFonts w:eastAsia="Calibri" w:cs="Sylfaen"/>
                <w:b/>
                <w:sz w:val="20"/>
                <w:szCs w:val="20"/>
                <w:lang w:val="hy-AM"/>
              </w:rPr>
              <w:t>Կարգավորման</w:t>
            </w:r>
            <w:r w:rsidRPr="0053423A">
              <w:rPr>
                <w:rFonts w:eastAsia="Calibri" w:cs="Sylfaen"/>
                <w:b/>
                <w:sz w:val="20"/>
                <w:szCs w:val="20"/>
                <w:lang w:val="af-ZA"/>
              </w:rPr>
              <w:t xml:space="preserve"> </w:t>
            </w:r>
            <w:r w:rsidRPr="0053423A">
              <w:rPr>
                <w:rFonts w:eastAsia="Calibri" w:cs="Times New Roman"/>
                <w:b/>
                <w:sz w:val="20"/>
                <w:szCs w:val="20"/>
                <w:lang w:val="hy-AM"/>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lang w:val="hy-AM"/>
              </w:rPr>
              <w:t>ներկա</w:t>
            </w:r>
            <w:r w:rsidRPr="0053423A">
              <w:rPr>
                <w:rFonts w:eastAsia="Calibri" w:cs="Times New Roman"/>
                <w:b/>
                <w:sz w:val="20"/>
                <w:szCs w:val="20"/>
                <w:lang w:val="af-ZA"/>
              </w:rPr>
              <w:t xml:space="preserve"> </w:t>
            </w:r>
            <w:r w:rsidRPr="0053423A">
              <w:rPr>
                <w:rFonts w:eastAsia="Calibri" w:cs="Times New Roman"/>
                <w:b/>
                <w:sz w:val="20"/>
                <w:szCs w:val="20"/>
                <w:lang w:val="hy-AM"/>
              </w:rPr>
              <w:t>վիճակը</w:t>
            </w:r>
            <w:r w:rsidRPr="0053423A">
              <w:rPr>
                <w:rFonts w:eastAsia="Calibri" w:cs="Times New Roman"/>
                <w:b/>
                <w:sz w:val="20"/>
                <w:szCs w:val="20"/>
                <w:lang w:val="af-ZA"/>
              </w:rPr>
              <w:t xml:space="preserve"> </w:t>
            </w:r>
            <w:r w:rsidRPr="0053423A">
              <w:rPr>
                <w:rFonts w:eastAsia="Calibri" w:cs="Times New Roman"/>
                <w:b/>
                <w:sz w:val="20"/>
                <w:szCs w:val="20"/>
                <w:lang w:val="hy-AM"/>
              </w:rPr>
              <w:t>և</w:t>
            </w:r>
            <w:r w:rsidRPr="0053423A">
              <w:rPr>
                <w:rFonts w:eastAsia="Calibri" w:cs="Times New Roman"/>
                <w:b/>
                <w:sz w:val="20"/>
                <w:szCs w:val="20"/>
                <w:lang w:val="af-ZA"/>
              </w:rPr>
              <w:t xml:space="preserve"> </w:t>
            </w:r>
            <w:r w:rsidRPr="0053423A">
              <w:rPr>
                <w:rFonts w:eastAsia="Calibri" w:cs="Times New Roman"/>
                <w:b/>
                <w:sz w:val="20"/>
                <w:szCs w:val="20"/>
                <w:lang w:val="hy-AM"/>
              </w:rPr>
              <w:t>առկա</w:t>
            </w:r>
            <w:r w:rsidRPr="0053423A">
              <w:rPr>
                <w:rFonts w:eastAsia="Calibri" w:cs="Times New Roman"/>
                <w:b/>
                <w:sz w:val="20"/>
                <w:szCs w:val="20"/>
                <w:lang w:val="af-ZA"/>
              </w:rPr>
              <w:t xml:space="preserve"> </w:t>
            </w:r>
            <w:r w:rsidRPr="0053423A">
              <w:rPr>
                <w:rFonts w:eastAsia="Calibri" w:cs="Times New Roman"/>
                <w:b/>
                <w:sz w:val="20"/>
                <w:szCs w:val="20"/>
                <w:lang w:val="hy-AM"/>
              </w:rPr>
              <w:t>խնդիրները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Sylfaen"/>
                <w:sz w:val="20"/>
                <w:szCs w:val="20"/>
                <w:lang w:val="af-ZA"/>
              </w:rPr>
              <w:t>Ներկայում</w:t>
            </w:r>
            <w:r w:rsidRPr="0053423A">
              <w:rPr>
                <w:rFonts w:eastAsia="Calibri" w:cs="Sylfaen"/>
                <w:b/>
                <w:sz w:val="20"/>
                <w:szCs w:val="20"/>
                <w:lang w:val="af-ZA"/>
              </w:rPr>
              <w:t xml:space="preserve"> </w:t>
            </w:r>
            <w:r w:rsidRPr="0053423A">
              <w:rPr>
                <w:rFonts w:eastAsia="Calibri" w:cs="Times New Roman"/>
                <w:sz w:val="20"/>
                <w:szCs w:val="20"/>
                <w:lang w:val="af-ZA"/>
              </w:rPr>
              <w:t>ՀՀ հուշարձանների</w:t>
            </w:r>
            <w:r w:rsidRPr="0053423A">
              <w:rPr>
                <w:rFonts w:eastAsia="Calibri" w:cs="Times New Roman"/>
                <w:sz w:val="20"/>
                <w:szCs w:val="20"/>
                <w:lang w:val="hy-AM"/>
              </w:rPr>
              <w:t xml:space="preserve"> սեփականատերերը իրազեկված չեն իրենց իրավունքների ու պարտականությունների մասին։</w:t>
            </w:r>
            <w:r w:rsidRPr="0053423A">
              <w:rPr>
                <w:rFonts w:eastAsia="Calibri" w:cs="Times New Roman"/>
                <w:sz w:val="20"/>
                <w:szCs w:val="20"/>
                <w:lang w:val="af-ZA"/>
              </w:rPr>
              <w:t xml:space="preserve"> Հուշարձանի պատշաճ պահպանության օգտագործման առումով առկա են մի շարք խնդիրներ, որոնցից առանձնացվում են.</w:t>
            </w:r>
          </w:p>
          <w:p w:rsidR="00A67B6B" w:rsidRPr="0053423A" w:rsidRDefault="00A67B6B" w:rsidP="001F6D5D">
            <w:pPr>
              <w:numPr>
                <w:ilvl w:val="0"/>
                <w:numId w:val="239"/>
              </w:numPr>
              <w:spacing w:after="0" w:line="276" w:lineRule="auto"/>
              <w:ind w:left="288" w:right="41"/>
              <w:contextualSpacing/>
              <w:jc w:val="both"/>
              <w:rPr>
                <w:rFonts w:eastAsia="Calibri" w:cs="Times New Roman"/>
                <w:sz w:val="20"/>
                <w:szCs w:val="20"/>
                <w:lang w:val="af-ZA"/>
              </w:rPr>
            </w:pPr>
            <w:r w:rsidRPr="0053423A">
              <w:rPr>
                <w:rFonts w:eastAsia="Calibri" w:cs="Times New Roman"/>
                <w:sz w:val="20"/>
                <w:szCs w:val="20"/>
                <w:lang w:val="af-ZA"/>
              </w:rPr>
              <w:t>ՀՀ հուշարձանի</w:t>
            </w:r>
            <w:r w:rsidRPr="0053423A">
              <w:rPr>
                <w:rFonts w:eastAsia="Calibri" w:cs="Times New Roman"/>
                <w:sz w:val="20"/>
                <w:szCs w:val="20"/>
                <w:lang w:val="hy-AM"/>
              </w:rPr>
              <w:t xml:space="preserve"> սեփականատերոջ անիրազեկ լինելը հուշարձան կառույցի հանդեպ իր իրավունքների ու պարտականությունների մասին և խորհրդատվության պակաս։</w:t>
            </w:r>
          </w:p>
          <w:p w:rsidR="00A67B6B" w:rsidRPr="0053423A" w:rsidRDefault="00A67B6B" w:rsidP="001F6D5D">
            <w:pPr>
              <w:numPr>
                <w:ilvl w:val="0"/>
                <w:numId w:val="239"/>
              </w:numPr>
              <w:spacing w:after="0" w:line="276" w:lineRule="auto"/>
              <w:ind w:left="288" w:right="41"/>
              <w:contextualSpacing/>
              <w:jc w:val="both"/>
              <w:rPr>
                <w:rFonts w:eastAsia="Calibri" w:cs="Times New Roman"/>
                <w:sz w:val="20"/>
                <w:szCs w:val="20"/>
                <w:lang w:val="af-ZA"/>
              </w:rPr>
            </w:pPr>
            <w:r w:rsidRPr="0053423A">
              <w:rPr>
                <w:rFonts w:eastAsia="Calibri" w:cs="Times New Roman"/>
                <w:sz w:val="20"/>
                <w:szCs w:val="20"/>
                <w:lang w:val="af-ZA"/>
              </w:rPr>
              <w:t>համալիրի պատմամշակութային արժեքների հետ հաղորդակցման և  պահպանության համար անձնակազմի բացակայությունը և միջոցների պակա</w:t>
            </w:r>
            <w:r w:rsidRPr="0053423A">
              <w:rPr>
                <w:rFonts w:eastAsia="Calibri" w:cs="Times New Roman"/>
                <w:sz w:val="20"/>
                <w:szCs w:val="20"/>
                <w:lang w:val="hy-AM"/>
              </w:rPr>
              <w:t>ս։</w:t>
            </w:r>
          </w:p>
          <w:p w:rsidR="00A67B6B" w:rsidRPr="0053423A" w:rsidRDefault="00A67B6B" w:rsidP="00A67858">
            <w:pPr>
              <w:spacing w:after="0" w:line="276" w:lineRule="auto"/>
              <w:ind w:left="-72" w:right="41"/>
              <w:jc w:val="both"/>
              <w:rPr>
                <w:rFonts w:eastAsia="Calibri" w:cs="Times New Roman"/>
                <w:sz w:val="20"/>
                <w:szCs w:val="20"/>
                <w:lang w:val="hy-AM"/>
              </w:rPr>
            </w:pPr>
          </w:p>
          <w:p w:rsidR="00A67B6B" w:rsidRPr="0053423A" w:rsidRDefault="00A67B6B" w:rsidP="001F6D5D">
            <w:pPr>
              <w:numPr>
                <w:ilvl w:val="1"/>
                <w:numId w:val="218"/>
              </w:numPr>
              <w:tabs>
                <w:tab w:val="left" w:pos="508"/>
              </w:tabs>
              <w:spacing w:after="0" w:line="276" w:lineRule="auto"/>
              <w:ind w:hanging="1081"/>
              <w:contextualSpacing/>
              <w:rPr>
                <w:rFonts w:eastAsia="Calibri" w:cs="Times New Roman"/>
                <w:b/>
                <w:sz w:val="20"/>
                <w:szCs w:val="20"/>
                <w:lang w:val="hy-AM"/>
              </w:rPr>
            </w:pPr>
            <w:r w:rsidRPr="0053423A">
              <w:rPr>
                <w:rFonts w:eastAsia="Calibri" w:cs="Arial"/>
                <w:b/>
                <w:sz w:val="20"/>
                <w:szCs w:val="20"/>
                <w:lang w:val="hy-AM"/>
              </w:rPr>
              <w:t>Առկա</w:t>
            </w:r>
            <w:r w:rsidRPr="0053423A">
              <w:rPr>
                <w:rFonts w:eastAsia="Calibri" w:cs="Times New Roman"/>
                <w:b/>
                <w:sz w:val="20"/>
                <w:szCs w:val="20"/>
                <w:lang w:val="hy-AM"/>
              </w:rPr>
              <w:t xml:space="preserve"> խնդիրների առաջարկվող լուծումները</w:t>
            </w:r>
          </w:p>
          <w:p w:rsidR="00A67B6B" w:rsidRPr="0053423A" w:rsidRDefault="00A67B6B" w:rsidP="00A67858">
            <w:pPr>
              <w:spacing w:after="0" w:line="276" w:lineRule="auto"/>
              <w:jc w:val="both"/>
              <w:rPr>
                <w:rFonts w:eastAsia="Calibri" w:cs="Times New Roman"/>
                <w:sz w:val="20"/>
                <w:szCs w:val="20"/>
                <w:lang w:val="af-ZA"/>
              </w:rPr>
            </w:pPr>
            <w:r w:rsidRPr="0053423A">
              <w:rPr>
                <w:rFonts w:eastAsia="Calibri" w:cs="Times New Roman"/>
                <w:sz w:val="20"/>
                <w:szCs w:val="20"/>
                <w:lang w:val="af-ZA"/>
              </w:rPr>
              <w:t>Մեկ պատուհան ծառայության համակարգի ներդր</w:t>
            </w:r>
            <w:r w:rsidRPr="0053423A">
              <w:rPr>
                <w:rFonts w:eastAsia="Calibri" w:cs="Times New Roman"/>
                <w:sz w:val="20"/>
                <w:szCs w:val="20"/>
                <w:lang w:val="hy-AM"/>
              </w:rPr>
              <w:t>ու</w:t>
            </w:r>
            <w:r w:rsidRPr="0053423A">
              <w:rPr>
                <w:rFonts w:eastAsia="Calibri" w:cs="Times New Roman"/>
                <w:sz w:val="20"/>
                <w:szCs w:val="20"/>
                <w:lang w:val="af-ZA"/>
              </w:rPr>
              <w:t xml:space="preserve">մը ենթադրում է էլեկտրոնային կայքի ձևաչափ՝ առանց ֆինանսավորման, և յուրաքանչյուր մարզպետարանում /ՄԵԿ ՊԱՏՈՒՀԱՆ/  գույքային և տեխնիկական հագեցվածություն (10 մարզ </w:t>
            </w:r>
            <w:r w:rsidRPr="0053423A">
              <w:rPr>
                <w:rFonts w:eastAsia="Calibri" w:cs="Times New Roman"/>
                <w:sz w:val="20"/>
                <w:szCs w:val="20"/>
                <w:lang w:val="hy-AM"/>
              </w:rPr>
              <w:t>և</w:t>
            </w:r>
            <w:r w:rsidRPr="0053423A">
              <w:rPr>
                <w:rFonts w:eastAsia="Calibri" w:cs="Times New Roman"/>
                <w:sz w:val="20"/>
                <w:szCs w:val="20"/>
                <w:lang w:val="af-ZA"/>
              </w:rPr>
              <w:t xml:space="preserve"> Երևան քաղաք) պետական միջոցների հաշվին: Ծախսերը նախատեսվում է իրականացնել առաջին տարում:</w:t>
            </w:r>
            <w:r w:rsidRPr="0053423A">
              <w:rPr>
                <w:rFonts w:eastAsia="Calibri" w:cs="Times New Roman"/>
                <w:sz w:val="20"/>
                <w:szCs w:val="20"/>
                <w:lang w:val="hy-AM"/>
              </w:rPr>
              <w:t xml:space="preserve"> </w:t>
            </w:r>
            <w:r w:rsidRPr="0053423A">
              <w:rPr>
                <w:rFonts w:eastAsia="Calibri" w:cs="Times New Roman"/>
                <w:sz w:val="20"/>
                <w:szCs w:val="20"/>
                <w:lang w:val="af-ZA"/>
              </w:rPr>
              <w:t>Մեկ պատուհան-ի  ներդրմամբ հուշարձանների ու պատմական միջավայրի պահպանության և օգտագործման բնագավառի ծառայությունների մատուցման ընդլայնում, ժամանակի, ռեսուրսների խնայում:</w:t>
            </w:r>
          </w:p>
          <w:p w:rsidR="00A67B6B" w:rsidRPr="0053423A" w:rsidRDefault="00A67B6B" w:rsidP="00A67858">
            <w:pPr>
              <w:spacing w:after="0" w:line="276" w:lineRule="auto"/>
              <w:jc w:val="both"/>
              <w:rPr>
                <w:rFonts w:eastAsia="Calibri" w:cs="Times New Roman"/>
                <w:sz w:val="20"/>
                <w:szCs w:val="20"/>
                <w:lang w:val="af-ZA"/>
              </w:rPr>
            </w:pPr>
          </w:p>
          <w:p w:rsidR="00A67B6B" w:rsidRPr="0053423A" w:rsidRDefault="00A67B6B" w:rsidP="001F6D5D">
            <w:pPr>
              <w:numPr>
                <w:ilvl w:val="0"/>
                <w:numId w:val="218"/>
              </w:numPr>
              <w:tabs>
                <w:tab w:val="left" w:pos="508"/>
              </w:tabs>
              <w:spacing w:after="0" w:line="276" w:lineRule="auto"/>
              <w:ind w:hanging="1094"/>
              <w:contextualSpacing/>
              <w:jc w:val="both"/>
              <w:rPr>
                <w:rFonts w:eastAsia="Calibri" w:cs="Times New Roman"/>
                <w:b/>
                <w:sz w:val="20"/>
                <w:szCs w:val="20"/>
                <w:lang w:val="af-ZA"/>
              </w:rPr>
            </w:pPr>
            <w:r w:rsidRPr="0053423A">
              <w:rPr>
                <w:rFonts w:eastAsia="Calibri" w:cs="Arial"/>
                <w:b/>
                <w:sz w:val="20"/>
                <w:szCs w:val="20"/>
              </w:rPr>
              <w:t>Միջոցառման</w:t>
            </w:r>
            <w:r w:rsidRPr="0053423A">
              <w:rPr>
                <w:rFonts w:eastAsia="Calibri" w:cs="Times New Roman"/>
                <w:b/>
                <w:sz w:val="20"/>
                <w:szCs w:val="20"/>
                <w:lang w:val="af-ZA"/>
              </w:rPr>
              <w:t xml:space="preserve"> </w:t>
            </w:r>
            <w:r w:rsidRPr="0053423A">
              <w:rPr>
                <w:rFonts w:eastAsia="Calibri" w:cs="Times New Roman"/>
                <w:b/>
                <w:sz w:val="20"/>
                <w:szCs w:val="20"/>
              </w:rPr>
              <w:t>իրակա</w:t>
            </w:r>
            <w:r w:rsidRPr="0053423A">
              <w:rPr>
                <w:rFonts w:eastAsia="Calibri" w:cs="Times New Roman"/>
                <w:b/>
                <w:sz w:val="20"/>
                <w:szCs w:val="20"/>
                <w:lang w:val="hy-AM"/>
              </w:rPr>
              <w:t>նա</w:t>
            </w:r>
            <w:r w:rsidRPr="0053423A">
              <w:rPr>
                <w:rFonts w:eastAsia="Calibri" w:cs="Times New Roman"/>
                <w:b/>
                <w:sz w:val="20"/>
                <w:szCs w:val="20"/>
              </w:rPr>
              <w:t>ցումից</w:t>
            </w:r>
            <w:r w:rsidRPr="0053423A">
              <w:rPr>
                <w:rFonts w:eastAsia="Calibri" w:cs="Times New Roman"/>
                <w:b/>
                <w:sz w:val="20"/>
                <w:szCs w:val="20"/>
                <w:lang w:val="af-ZA"/>
              </w:rPr>
              <w:t xml:space="preserve"> </w:t>
            </w:r>
            <w:r w:rsidRPr="0053423A">
              <w:rPr>
                <w:rFonts w:eastAsia="Calibri" w:cs="Times New Roman"/>
                <w:b/>
                <w:sz w:val="20"/>
                <w:szCs w:val="20"/>
              </w:rPr>
              <w:t>ակնկալվող</w:t>
            </w:r>
            <w:r w:rsidRPr="0053423A">
              <w:rPr>
                <w:rFonts w:eastAsia="Calibri" w:cs="Times New Roman"/>
                <w:b/>
                <w:sz w:val="20"/>
                <w:szCs w:val="20"/>
                <w:lang w:val="af-ZA"/>
              </w:rPr>
              <w:t xml:space="preserve"> </w:t>
            </w:r>
            <w:r w:rsidRPr="0053423A">
              <w:rPr>
                <w:rFonts w:eastAsia="Calibri" w:cs="Times New Roman"/>
                <w:b/>
                <w:sz w:val="20"/>
                <w:szCs w:val="20"/>
              </w:rPr>
              <w:t>արդյունքը</w:t>
            </w:r>
            <w:r w:rsidRPr="0053423A">
              <w:rPr>
                <w:rFonts w:eastAsia="Calibri" w:cs="Times New Roman"/>
                <w:b/>
                <w:sz w:val="20"/>
                <w:szCs w:val="20"/>
                <w:lang w:val="af-ZA"/>
              </w:rPr>
              <w:t xml:space="preserve">   </w:t>
            </w:r>
          </w:p>
          <w:p w:rsidR="00A67B6B" w:rsidRPr="0053423A" w:rsidRDefault="00A67B6B" w:rsidP="00A67858">
            <w:pPr>
              <w:spacing w:after="0" w:line="276" w:lineRule="auto"/>
              <w:jc w:val="both"/>
              <w:rPr>
                <w:rFonts w:eastAsia="Calibri" w:cs="GHEA Grapalat"/>
                <w:b/>
                <w:bCs/>
                <w:sz w:val="20"/>
                <w:szCs w:val="20"/>
                <w:lang w:val="af-ZA"/>
              </w:rPr>
            </w:pPr>
            <w:r w:rsidRPr="0053423A">
              <w:rPr>
                <w:rFonts w:eastAsia="Calibri" w:cs="Times New Roman"/>
                <w:sz w:val="20"/>
                <w:szCs w:val="20"/>
                <w:lang w:val="af-ZA"/>
              </w:rPr>
              <w:t>Մեկ պատուհանի համակարգի ներդրումը նվազագույնի կհասցնի քաղաքացու առնչությունը պետական լիազոր մարմնի հետ, կնպաստի  ժամանակի, միջոցների և ռեսուրսների խնայմանն ու  տվյալների տրամադրման մատչելիությանը, կբարձրացնի քաղաքացիների իրազեկվածությունըՙ հուշարձանի պահպանման և օգտագործման վերաբերյալ օրենսդրության առումով</w:t>
            </w:r>
            <w:r w:rsidRPr="0053423A">
              <w:rPr>
                <w:rFonts w:eastAsia="Calibri" w:cs="Times New Roman"/>
                <w:sz w:val="20"/>
                <w:szCs w:val="20"/>
                <w:lang w:val="hy-AM"/>
              </w:rPr>
              <w:t>։</w:t>
            </w:r>
          </w:p>
        </w:tc>
      </w:tr>
      <w:tr w:rsidR="00A67B6B" w:rsidRPr="00DE2EFA" w:rsidTr="00A67B6B">
        <w:tc>
          <w:tcPr>
            <w:tcW w:w="540" w:type="dxa"/>
            <w:shd w:val="clear" w:color="auto" w:fill="auto"/>
          </w:tcPr>
          <w:p w:rsidR="00A67B6B" w:rsidRPr="0053423A" w:rsidRDefault="00A67B6B" w:rsidP="00A67858">
            <w:pPr>
              <w:tabs>
                <w:tab w:val="left" w:pos="1418"/>
              </w:tabs>
              <w:spacing w:after="0" w:line="276" w:lineRule="auto"/>
              <w:jc w:val="center"/>
              <w:rPr>
                <w:rFonts w:eastAsia="Calibri" w:cs="Times New Roman"/>
                <w:caps/>
                <w:sz w:val="20"/>
                <w:szCs w:val="20"/>
                <w:lang w:val="ru-RU"/>
              </w:rPr>
            </w:pPr>
            <w:r w:rsidRPr="0053423A">
              <w:rPr>
                <w:rFonts w:eastAsia="Calibri" w:cs="Times New Roman"/>
                <w:caps/>
                <w:sz w:val="20"/>
                <w:szCs w:val="20"/>
                <w:lang w:val="ru-RU"/>
              </w:rPr>
              <w:t>7</w:t>
            </w:r>
          </w:p>
        </w:tc>
        <w:tc>
          <w:tcPr>
            <w:tcW w:w="10980" w:type="dxa"/>
            <w:shd w:val="clear" w:color="auto" w:fill="auto"/>
          </w:tcPr>
          <w:p w:rsidR="00A67B6B" w:rsidRPr="0053423A" w:rsidRDefault="00A67B6B" w:rsidP="00A67858">
            <w:pPr>
              <w:tabs>
                <w:tab w:val="left" w:pos="508"/>
              </w:tabs>
              <w:spacing w:after="0" w:line="276" w:lineRule="auto"/>
              <w:jc w:val="center"/>
              <w:rPr>
                <w:rFonts w:eastAsia="Times New Roman" w:cs="Calibri"/>
                <w:b/>
                <w:sz w:val="20"/>
                <w:szCs w:val="20"/>
                <w:lang w:val="hy-AM"/>
              </w:rPr>
            </w:pPr>
            <w:r w:rsidRPr="0053423A">
              <w:rPr>
                <w:rFonts w:eastAsia="Times New Roman" w:cs="Calibri"/>
                <w:b/>
                <w:sz w:val="20"/>
                <w:szCs w:val="20"/>
                <w:lang w:val="ru-RU"/>
              </w:rPr>
              <w:t xml:space="preserve">7.1 </w:t>
            </w:r>
            <w:r w:rsidRPr="0053423A">
              <w:rPr>
                <w:rFonts w:eastAsia="Times New Roman" w:cs="Calibri"/>
                <w:b/>
                <w:sz w:val="20"/>
                <w:szCs w:val="20"/>
                <w:lang w:val="hy-AM"/>
              </w:rPr>
              <w:t>Մշակույթի տարբեր ոլորտներում ստեղծագործական ծրագրերի աջակցություն՝ դրամաշնորհների հատկացման բաց-մրցութային համակարգի միջոցով</w:t>
            </w:r>
          </w:p>
          <w:p w:rsidR="00A67B6B" w:rsidRPr="0053423A" w:rsidRDefault="00A67B6B" w:rsidP="00A67858">
            <w:pPr>
              <w:tabs>
                <w:tab w:val="left" w:pos="508"/>
              </w:tabs>
              <w:spacing w:after="0" w:line="276" w:lineRule="auto"/>
              <w:jc w:val="center"/>
              <w:rPr>
                <w:rFonts w:eastAsia="Times New Roman" w:cs="Calibri"/>
                <w:sz w:val="20"/>
                <w:szCs w:val="20"/>
                <w:lang w:val="hy-AM"/>
              </w:rPr>
            </w:pPr>
          </w:p>
          <w:p w:rsidR="00A67B6B" w:rsidRPr="0053423A" w:rsidRDefault="00A67B6B" w:rsidP="001F6D5D">
            <w:pPr>
              <w:numPr>
                <w:ilvl w:val="0"/>
                <w:numId w:val="220"/>
              </w:numPr>
              <w:tabs>
                <w:tab w:val="left" w:pos="350"/>
              </w:tabs>
              <w:spacing w:after="0" w:line="276" w:lineRule="auto"/>
              <w:ind w:hanging="707"/>
              <w:contextualSpacing/>
              <w:rPr>
                <w:rFonts w:eastAsia="Times New Roman" w:cs="Times New Roman"/>
                <w:sz w:val="20"/>
                <w:szCs w:val="20"/>
                <w:lang w:val="hy-AM"/>
              </w:rPr>
            </w:pPr>
            <w:r w:rsidRPr="0053423A">
              <w:rPr>
                <w:rFonts w:eastAsia="Times New Roman" w:cs="Times New Roman"/>
                <w:b/>
                <w:sz w:val="20"/>
                <w:szCs w:val="20"/>
                <w:lang w:val="hy-AM"/>
              </w:rPr>
              <w:t>Միջոցառման իրակացման անհրաժեշտությունը և նպատակը</w:t>
            </w:r>
            <w:r w:rsidRPr="0053423A">
              <w:rPr>
                <w:rFonts w:eastAsia="Times New Roman" w:cs="Times New Roman"/>
                <w:sz w:val="20"/>
                <w:szCs w:val="20"/>
                <w:lang w:val="hy-AM"/>
              </w:rPr>
              <w:t xml:space="preserve"> </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Times New Roman" w:cs="Times New Roman"/>
                <w:sz w:val="20"/>
                <w:szCs w:val="20"/>
                <w:lang w:val="hy-AM"/>
              </w:rPr>
              <w:t xml:space="preserve">Միջոցառման իրականացման անհրաժեշտությունը պայմանավորված է մրցակցային, արդարացի և թափանցիկ սկզբունքի կիրառման անհրաժեշտությամբ, արվեստի տարբեր ոլորտներում որակի և արդյունավետության բարձրացմանը, ինչպես նաև ոլորտներում ստեղծագործական, պետական, ոչ պետական կազմակերպությունների և անհատ ստեղծագործողների հավասար մեկնարկային պայմանների ապահովմանը: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contextualSpacing/>
              <w:rPr>
                <w:rFonts w:eastAsia="Calibri" w:cs="Times New Roman"/>
                <w:b/>
                <w:sz w:val="20"/>
                <w:szCs w:val="20"/>
                <w:lang w:val="hy-AM"/>
              </w:rPr>
            </w:pPr>
            <w:r w:rsidRPr="0053423A">
              <w:rPr>
                <w:rFonts w:eastAsia="Times New Roman" w:cs="Times New Roman"/>
                <w:b/>
                <w:sz w:val="20"/>
                <w:szCs w:val="20"/>
                <w:lang w:val="hy-AM"/>
              </w:rPr>
              <w:t>1.1 Կարգավորման հարաբերությունների ներկա վիճակը և առկա խնդիրները</w:t>
            </w:r>
          </w:p>
          <w:p w:rsidR="00A67B6B" w:rsidRPr="0053423A" w:rsidRDefault="00A67B6B" w:rsidP="00A67858">
            <w:pPr>
              <w:tabs>
                <w:tab w:val="left" w:pos="0"/>
                <w:tab w:val="left" w:pos="508"/>
              </w:tabs>
              <w:spacing w:after="0" w:line="276" w:lineRule="auto"/>
              <w:jc w:val="both"/>
              <w:rPr>
                <w:rFonts w:eastAsia="Times New Roman" w:cs="Times New Roman"/>
                <w:sz w:val="20"/>
                <w:szCs w:val="20"/>
                <w:lang w:val="hy-AM"/>
              </w:rPr>
            </w:pPr>
            <w:r w:rsidRPr="0053423A">
              <w:rPr>
                <w:rFonts w:eastAsia="Times New Roman" w:cs="Times New Roman"/>
                <w:sz w:val="20"/>
                <w:szCs w:val="20"/>
                <w:lang w:val="hy-AM"/>
              </w:rPr>
              <w:t xml:space="preserve">Արվեստի պետական աջակցության ծրագրերի շրջանակներում ժամանակակից արվեստի զարգացմանն ուղղված և մշակութային միջոցառումների աջակցության նպատակով պետության կողմից հատկացվող դրամաշնորհները մինչև 2019 թվականը բաշխվել են սահմանված ընթացակարգով, որը, սակայն, չի ապահովել գործընթացի թափանցիկությունն ու մրցակցային բնույթը, պարունակում է կոռուպցիոն ռիսկեր՝ բացասական ազդեցություն ունենալով պետական միջոցների բաշխման արդյունավետության և հաշվետվողականության ողջ գործընթացի վրա: Դրամաշնորհների բաշխման ընթացակարգը, որոշումների կայացման կենտրոնացվածությամբ և վարչահրամայական բնույթով պայմանավորված, առաջ էր բերում մի շարք խնդիրներ, մասնավորապես՝ արվեստի տարբեր բնագավառների ոչ համաչափ զարգացում, ստեղծագործող անհատների, միավորումների և մշակութային կազմակերպությունների համար մրցակցային դաշտի բացակայություն, մշակութային արտադրանքի ստեղծման և իրացման գործընթացներում անհավասար պայմանների առկայություն: </w:t>
            </w:r>
          </w:p>
          <w:p w:rsidR="00A67B6B" w:rsidRPr="0053423A" w:rsidRDefault="00A67B6B" w:rsidP="00A67858">
            <w:pPr>
              <w:tabs>
                <w:tab w:val="left" w:pos="0"/>
                <w:tab w:val="left" w:pos="508"/>
              </w:tabs>
              <w:spacing w:after="0" w:line="276" w:lineRule="auto"/>
              <w:jc w:val="both"/>
              <w:rPr>
                <w:rFonts w:eastAsia="Times New Roman" w:cs="Times New Roman"/>
                <w:sz w:val="20"/>
                <w:szCs w:val="20"/>
                <w:lang w:val="hy-AM"/>
              </w:rPr>
            </w:pPr>
          </w:p>
          <w:p w:rsidR="00A67B6B" w:rsidRPr="0053423A" w:rsidRDefault="00A67B6B" w:rsidP="00A67858">
            <w:pPr>
              <w:spacing w:after="0" w:line="276" w:lineRule="auto"/>
              <w:jc w:val="both"/>
              <w:rPr>
                <w:rFonts w:eastAsia="Times New Roman" w:cs="Times New Roman"/>
                <w:b/>
                <w:sz w:val="20"/>
                <w:szCs w:val="20"/>
                <w:lang w:val="hy-AM"/>
              </w:rPr>
            </w:pPr>
            <w:r w:rsidRPr="0053423A">
              <w:rPr>
                <w:rFonts w:eastAsia="Times New Roman" w:cs="Times New Roman"/>
                <w:b/>
                <w:sz w:val="20"/>
                <w:szCs w:val="20"/>
                <w:lang w:val="hy-AM"/>
              </w:rPr>
              <w:t xml:space="preserve">1.2. Առկա խնդիրների առաջարկվող լուծումները </w:t>
            </w:r>
          </w:p>
          <w:p w:rsidR="00A67B6B" w:rsidRPr="0053423A" w:rsidRDefault="00A67B6B" w:rsidP="00A67858">
            <w:pPr>
              <w:tabs>
                <w:tab w:val="left" w:pos="0"/>
                <w:tab w:val="left" w:pos="508"/>
              </w:tabs>
              <w:spacing w:after="0" w:line="276" w:lineRule="auto"/>
              <w:jc w:val="both"/>
              <w:rPr>
                <w:rFonts w:eastAsia="Times New Roman" w:cs="Times New Roman"/>
                <w:sz w:val="20"/>
                <w:szCs w:val="20"/>
                <w:lang w:val="hy-AM"/>
              </w:rPr>
            </w:pPr>
            <w:r w:rsidRPr="0053423A">
              <w:rPr>
                <w:rFonts w:eastAsia="Times New Roman" w:cs="Times New Roman"/>
                <w:sz w:val="20"/>
                <w:szCs w:val="20"/>
                <w:lang w:val="hy-AM"/>
              </w:rPr>
              <w:t>2019 թվականի համար ներդվեց դրամաշնորհների տրամադրման նոր ընթացակարգ, որով կանոնակարգվեց պետական միջոցների տրամադրման ողջ գործընթացը: Դրամաշնորհների տրամադրման նոր ընթացակարգում սկբունքային դերակատարություն է վերապահվելու հատուկ ձևավորված մրցութային հանձնախմբերին, որոնց միջոցով կտրվի մասնագիտական եզրակացություն յուրաքանչյուր ստացված հայտի վերաբերյալ և ըստ այդմ, որոշիչ դերակատարություն կունենան դրամաշնորհների բաշխման գործընթացում՝ ապահովելով ողջ գործընթացի բաց-հրապարակային և բնույթն ու թափանցիկությունը:</w:t>
            </w:r>
          </w:p>
          <w:p w:rsidR="00A67B6B" w:rsidRPr="0053423A" w:rsidRDefault="00A67B6B" w:rsidP="00A67858">
            <w:pPr>
              <w:tabs>
                <w:tab w:val="left" w:pos="0"/>
                <w:tab w:val="left" w:pos="508"/>
              </w:tabs>
              <w:spacing w:after="0" w:line="276" w:lineRule="auto"/>
              <w:jc w:val="both"/>
              <w:rPr>
                <w:rFonts w:eastAsia="Times New Roman" w:cs="Times New Roman"/>
                <w:sz w:val="20"/>
                <w:szCs w:val="20"/>
                <w:lang w:val="hy-AM"/>
              </w:rPr>
            </w:pPr>
          </w:p>
          <w:p w:rsidR="00A67B6B" w:rsidRPr="0053423A" w:rsidRDefault="00A67B6B" w:rsidP="00A67858">
            <w:pPr>
              <w:shd w:val="clear" w:color="auto" w:fill="FFFFFF"/>
              <w:spacing w:after="0" w:line="276" w:lineRule="auto"/>
              <w:jc w:val="both"/>
              <w:rPr>
                <w:rFonts w:eastAsia="Times New Roman" w:cs="Times New Roman"/>
                <w:b/>
                <w:sz w:val="20"/>
                <w:szCs w:val="20"/>
                <w:lang w:val="hy-AM"/>
              </w:rPr>
            </w:pPr>
            <w:r w:rsidRPr="0053423A">
              <w:rPr>
                <w:rFonts w:eastAsia="Times New Roman" w:cs="Times New Roman"/>
                <w:b/>
                <w:sz w:val="20"/>
                <w:szCs w:val="20"/>
                <w:lang w:val="hy-AM"/>
              </w:rPr>
              <w:t>2. Միջոցառման իրականացումից ակնկալվող արդյունքը</w:t>
            </w:r>
          </w:p>
          <w:p w:rsidR="00A67B6B" w:rsidRPr="0053423A" w:rsidRDefault="00A67B6B" w:rsidP="00A67858">
            <w:pPr>
              <w:tabs>
                <w:tab w:val="left" w:pos="0"/>
                <w:tab w:val="left" w:pos="508"/>
              </w:tabs>
              <w:spacing w:after="0" w:line="276" w:lineRule="auto"/>
              <w:jc w:val="both"/>
              <w:rPr>
                <w:rFonts w:eastAsia="Calibri" w:cs="Calibri"/>
                <w:sz w:val="20"/>
                <w:szCs w:val="20"/>
                <w:lang w:val="hy-AM"/>
              </w:rPr>
            </w:pPr>
            <w:r w:rsidRPr="0053423A">
              <w:rPr>
                <w:rFonts w:eastAsia="Calibri" w:cs="Calibri"/>
                <w:sz w:val="20"/>
                <w:szCs w:val="20"/>
                <w:lang w:val="hy-AM"/>
              </w:rPr>
              <w:t xml:space="preserve">Մշակույթի ոլորտում գործունեություն իրականացնող անհատների և </w:t>
            </w:r>
            <w:r w:rsidRPr="0053423A">
              <w:rPr>
                <w:rFonts w:eastAsia="Times New Roman" w:cs="Times New Roman"/>
                <w:sz w:val="20"/>
                <w:szCs w:val="20"/>
                <w:lang w:val="hy-AM"/>
              </w:rPr>
              <w:t>կազմակերպությունների</w:t>
            </w:r>
            <w:r w:rsidRPr="0053423A">
              <w:rPr>
                <w:rFonts w:eastAsia="Calibri" w:cs="Calibri"/>
                <w:sz w:val="20"/>
                <w:szCs w:val="20"/>
                <w:lang w:val="hy-AM"/>
              </w:rPr>
              <w:t xml:space="preserve"> համար պետական աջակցության ծրագրերի մասնակցության հավասար մեկնարկային պայմանների ապահովում, արվեստի տարբեր բնագավառների համաչափ զարգացում, մշակութային միջոցառումների բազմազանության և ստեղծագործական բարձր նշաձողի ապահովում, պետական միջոցների բաշխման թափանցիկության ապահովում:</w:t>
            </w:r>
          </w:p>
          <w:p w:rsidR="00A67B6B" w:rsidRPr="0053423A" w:rsidRDefault="00A67B6B" w:rsidP="00A67858">
            <w:pPr>
              <w:tabs>
                <w:tab w:val="left" w:pos="508"/>
              </w:tabs>
              <w:spacing w:after="0" w:line="276" w:lineRule="auto"/>
              <w:jc w:val="center"/>
              <w:rPr>
                <w:rFonts w:eastAsia="Calibri" w:cs="Calibri"/>
                <w:sz w:val="20"/>
                <w:szCs w:val="20"/>
                <w:lang w:val="hy-AM"/>
              </w:rPr>
            </w:pPr>
          </w:p>
          <w:p w:rsidR="00A67B6B" w:rsidRPr="0053423A" w:rsidRDefault="00A67B6B" w:rsidP="00A67858">
            <w:pPr>
              <w:tabs>
                <w:tab w:val="left" w:pos="508"/>
              </w:tabs>
              <w:spacing w:after="0" w:line="276" w:lineRule="auto"/>
              <w:jc w:val="center"/>
              <w:rPr>
                <w:rFonts w:eastAsia="Calibri" w:cs="Calibri"/>
                <w:b/>
                <w:sz w:val="20"/>
                <w:szCs w:val="20"/>
                <w:lang w:val="hy-AM"/>
              </w:rPr>
            </w:pPr>
            <w:r w:rsidRPr="0053423A">
              <w:rPr>
                <w:rFonts w:eastAsia="Calibri" w:cs="Calibri"/>
                <w:b/>
                <w:sz w:val="20"/>
                <w:szCs w:val="20"/>
                <w:lang w:val="hy-AM"/>
              </w:rPr>
              <w:t>7.2. Օտարերկրյա պետությունների հետ թիրախավորված համագործակցություն՝ մշակութային կոնկրետ ուղղությունների զարգացման, փորձի փոխանակման համար</w:t>
            </w:r>
          </w:p>
          <w:p w:rsidR="00A67B6B" w:rsidRPr="0053423A" w:rsidRDefault="00A67B6B" w:rsidP="00A67858">
            <w:pPr>
              <w:tabs>
                <w:tab w:val="left" w:pos="508"/>
              </w:tabs>
              <w:spacing w:after="0" w:line="276" w:lineRule="auto"/>
              <w:jc w:val="center"/>
              <w:rPr>
                <w:rFonts w:eastAsia="Calibri" w:cs="Calibri"/>
                <w:sz w:val="20"/>
                <w:szCs w:val="20"/>
                <w:lang w:val="hy-AM"/>
              </w:rPr>
            </w:pPr>
          </w:p>
          <w:p w:rsidR="00A67B6B" w:rsidRPr="0053423A" w:rsidRDefault="00A67B6B" w:rsidP="001F6D5D">
            <w:pPr>
              <w:numPr>
                <w:ilvl w:val="0"/>
                <w:numId w:val="226"/>
              </w:numPr>
              <w:tabs>
                <w:tab w:val="left" w:pos="508"/>
              </w:tabs>
              <w:spacing w:after="0" w:line="276" w:lineRule="auto"/>
              <w:ind w:hanging="720"/>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իրականացման</w:t>
            </w:r>
            <w:r w:rsidRPr="0053423A">
              <w:rPr>
                <w:rFonts w:eastAsia="Calibri" w:cs="Calibri"/>
                <w:b/>
                <w:sz w:val="20"/>
                <w:szCs w:val="20"/>
                <w:lang w:val="tr-TR"/>
              </w:rPr>
              <w:t xml:space="preserve"> </w:t>
            </w:r>
            <w:r w:rsidRPr="0053423A">
              <w:rPr>
                <w:rFonts w:eastAsia="Calibri" w:cs="Calibri"/>
                <w:b/>
                <w:sz w:val="20"/>
                <w:szCs w:val="20"/>
              </w:rPr>
              <w:t>անհրաժեշտությունը</w:t>
            </w:r>
            <w:r w:rsidRPr="0053423A">
              <w:rPr>
                <w:rFonts w:eastAsia="Calibri" w:cs="Calibri"/>
                <w:b/>
                <w:sz w:val="20"/>
                <w:szCs w:val="20"/>
                <w:lang w:val="tr-TR"/>
              </w:rPr>
              <w:t xml:space="preserve"> </w:t>
            </w:r>
            <w:r w:rsidRPr="0053423A">
              <w:rPr>
                <w:rFonts w:eastAsia="Calibri" w:cs="Calibri"/>
                <w:b/>
                <w:sz w:val="20"/>
                <w:szCs w:val="20"/>
              </w:rPr>
              <w:t>և</w:t>
            </w:r>
            <w:r w:rsidRPr="0053423A">
              <w:rPr>
                <w:rFonts w:eastAsia="Calibri" w:cs="Calibri"/>
                <w:b/>
                <w:sz w:val="20"/>
                <w:szCs w:val="20"/>
                <w:lang w:val="tr-TR"/>
              </w:rPr>
              <w:t xml:space="preserve"> </w:t>
            </w:r>
            <w:r w:rsidRPr="0053423A">
              <w:rPr>
                <w:rFonts w:eastAsia="Calibri" w:cs="Calibri"/>
                <w:b/>
                <w:sz w:val="20"/>
                <w:szCs w:val="20"/>
              </w:rPr>
              <w:t>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Calibri"/>
                <w:sz w:val="20"/>
                <w:szCs w:val="20"/>
              </w:rPr>
              <w:t>Մշակույթի</w:t>
            </w:r>
            <w:r w:rsidRPr="0053423A">
              <w:rPr>
                <w:rFonts w:eastAsia="Calibri" w:cs="Calibri"/>
                <w:sz w:val="20"/>
                <w:szCs w:val="20"/>
                <w:lang w:val="tr-TR"/>
              </w:rPr>
              <w:t xml:space="preserve"> </w:t>
            </w:r>
            <w:r w:rsidRPr="0053423A">
              <w:rPr>
                <w:rFonts w:eastAsia="Calibri" w:cs="Calibri"/>
                <w:sz w:val="20"/>
                <w:szCs w:val="20"/>
              </w:rPr>
              <w:t>զարգացման</w:t>
            </w:r>
            <w:r w:rsidRPr="0053423A">
              <w:rPr>
                <w:rFonts w:eastAsia="Calibri" w:cs="Calibri"/>
                <w:sz w:val="20"/>
                <w:szCs w:val="20"/>
                <w:lang w:val="tr-TR"/>
              </w:rPr>
              <w:t xml:space="preserve">, </w:t>
            </w:r>
            <w:r w:rsidRPr="0053423A">
              <w:rPr>
                <w:rFonts w:eastAsia="Calibri" w:cs="Calibri"/>
                <w:sz w:val="20"/>
                <w:szCs w:val="20"/>
              </w:rPr>
              <w:t>պահպանման</w:t>
            </w:r>
            <w:r w:rsidRPr="0053423A">
              <w:rPr>
                <w:rFonts w:eastAsia="Calibri" w:cs="Calibri"/>
                <w:sz w:val="20"/>
                <w:szCs w:val="20"/>
                <w:lang w:val="tr-TR"/>
              </w:rPr>
              <w:t xml:space="preserve">, </w:t>
            </w:r>
            <w:r w:rsidRPr="0053423A">
              <w:rPr>
                <w:rFonts w:eastAsia="Calibri" w:cs="Calibri"/>
                <w:sz w:val="20"/>
                <w:szCs w:val="20"/>
              </w:rPr>
              <w:t>ստեղծարար</w:t>
            </w:r>
            <w:r w:rsidRPr="0053423A">
              <w:rPr>
                <w:rFonts w:eastAsia="Calibri" w:cs="Calibri"/>
                <w:sz w:val="20"/>
                <w:szCs w:val="20"/>
                <w:lang w:val="tr-TR"/>
              </w:rPr>
              <w:t xml:space="preserve"> </w:t>
            </w:r>
            <w:r w:rsidRPr="0053423A">
              <w:rPr>
                <w:rFonts w:eastAsia="Calibri" w:cs="Calibri"/>
                <w:sz w:val="20"/>
                <w:szCs w:val="20"/>
              </w:rPr>
              <w:t>ոլորտների</w:t>
            </w:r>
            <w:r w:rsidRPr="0053423A">
              <w:rPr>
                <w:rFonts w:eastAsia="Calibri" w:cs="Calibri"/>
                <w:sz w:val="20"/>
                <w:szCs w:val="20"/>
                <w:lang w:val="tr-TR"/>
              </w:rPr>
              <w:t xml:space="preserve"> </w:t>
            </w:r>
            <w:r w:rsidRPr="0053423A">
              <w:rPr>
                <w:rFonts w:eastAsia="Calibri" w:cs="Calibri"/>
                <w:sz w:val="20"/>
                <w:szCs w:val="20"/>
              </w:rPr>
              <w:t>աշխատանքների</w:t>
            </w:r>
            <w:r w:rsidRPr="0053423A">
              <w:rPr>
                <w:rFonts w:eastAsia="Calibri" w:cs="Calibri"/>
                <w:sz w:val="20"/>
                <w:szCs w:val="20"/>
                <w:lang w:val="tr-TR"/>
              </w:rPr>
              <w:t xml:space="preserve"> </w:t>
            </w:r>
            <w:r w:rsidRPr="0053423A">
              <w:rPr>
                <w:rFonts w:eastAsia="Calibri" w:cs="Calibri"/>
                <w:sz w:val="20"/>
                <w:szCs w:val="20"/>
              </w:rPr>
              <w:t>խթանման</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դաշտի</w:t>
            </w:r>
            <w:r w:rsidRPr="0053423A">
              <w:rPr>
                <w:rFonts w:eastAsia="Calibri" w:cs="Calibri"/>
                <w:sz w:val="20"/>
                <w:szCs w:val="20"/>
                <w:lang w:val="tr-TR"/>
              </w:rPr>
              <w:t xml:space="preserve"> </w:t>
            </w:r>
            <w:r w:rsidRPr="0053423A">
              <w:rPr>
                <w:rFonts w:eastAsia="Calibri" w:cs="Calibri"/>
                <w:sz w:val="20"/>
                <w:szCs w:val="20"/>
              </w:rPr>
              <w:t>մասնագիտական</w:t>
            </w:r>
            <w:r w:rsidRPr="0053423A">
              <w:rPr>
                <w:rFonts w:eastAsia="Calibri" w:cs="Calibri"/>
                <w:sz w:val="20"/>
                <w:szCs w:val="20"/>
                <w:lang w:val="tr-TR"/>
              </w:rPr>
              <w:t xml:space="preserve"> </w:t>
            </w:r>
            <w:r w:rsidRPr="0053423A">
              <w:rPr>
                <w:rFonts w:eastAsia="Calibri" w:cs="Calibri"/>
                <w:sz w:val="20"/>
                <w:szCs w:val="20"/>
              </w:rPr>
              <w:t>որակների</w:t>
            </w:r>
            <w:r w:rsidRPr="0053423A">
              <w:rPr>
                <w:rFonts w:eastAsia="Calibri" w:cs="Calibri"/>
                <w:sz w:val="20"/>
                <w:szCs w:val="20"/>
                <w:lang w:val="tr-TR"/>
              </w:rPr>
              <w:t xml:space="preserve"> </w:t>
            </w:r>
            <w:r w:rsidRPr="0053423A">
              <w:rPr>
                <w:rFonts w:eastAsia="Calibri" w:cs="Calibri"/>
                <w:sz w:val="20"/>
                <w:szCs w:val="20"/>
              </w:rPr>
              <w:t>զարգացման</w:t>
            </w:r>
            <w:r w:rsidRPr="0053423A">
              <w:rPr>
                <w:rFonts w:eastAsia="Calibri" w:cs="Calibri"/>
                <w:sz w:val="20"/>
                <w:szCs w:val="20"/>
                <w:lang w:val="tr-TR"/>
              </w:rPr>
              <w:t xml:space="preserve">,  </w:t>
            </w:r>
            <w:r w:rsidRPr="0053423A">
              <w:rPr>
                <w:rFonts w:eastAsia="Calibri" w:cs="Calibri"/>
                <w:sz w:val="20"/>
                <w:szCs w:val="20"/>
              </w:rPr>
              <w:t>լավագույն</w:t>
            </w:r>
            <w:r w:rsidRPr="0053423A">
              <w:rPr>
                <w:rFonts w:eastAsia="Calibri" w:cs="Calibri"/>
                <w:sz w:val="20"/>
                <w:szCs w:val="20"/>
                <w:lang w:val="tr-TR"/>
              </w:rPr>
              <w:t xml:space="preserve"> </w:t>
            </w:r>
            <w:r w:rsidRPr="0053423A">
              <w:rPr>
                <w:rFonts w:eastAsia="Calibri" w:cs="Calibri"/>
                <w:sz w:val="20"/>
                <w:szCs w:val="20"/>
              </w:rPr>
              <w:t>փորձի</w:t>
            </w:r>
            <w:r w:rsidRPr="0053423A">
              <w:rPr>
                <w:rFonts w:eastAsia="Calibri" w:cs="Calibri"/>
                <w:sz w:val="20"/>
                <w:szCs w:val="20"/>
                <w:lang w:val="tr-TR"/>
              </w:rPr>
              <w:t xml:space="preserve"> </w:t>
            </w:r>
            <w:r w:rsidRPr="0053423A">
              <w:rPr>
                <w:rFonts w:eastAsia="Calibri" w:cs="Calibri"/>
                <w:sz w:val="20"/>
                <w:szCs w:val="20"/>
              </w:rPr>
              <w:t>ներդրման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միջազգային</w:t>
            </w:r>
            <w:r w:rsidRPr="0053423A">
              <w:rPr>
                <w:rFonts w:eastAsia="Calibri" w:cs="Calibri"/>
                <w:sz w:val="20"/>
                <w:szCs w:val="20"/>
                <w:lang w:val="tr-TR"/>
              </w:rPr>
              <w:t xml:space="preserve"> </w:t>
            </w:r>
            <w:r w:rsidRPr="0053423A">
              <w:rPr>
                <w:rFonts w:eastAsia="Calibri" w:cs="Calibri"/>
                <w:sz w:val="20"/>
                <w:szCs w:val="20"/>
              </w:rPr>
              <w:t>ստանդարտներին</w:t>
            </w:r>
            <w:r w:rsidRPr="0053423A">
              <w:rPr>
                <w:rFonts w:eastAsia="Calibri" w:cs="Calibri"/>
                <w:sz w:val="20"/>
                <w:szCs w:val="20"/>
                <w:lang w:val="tr-TR"/>
              </w:rPr>
              <w:t xml:space="preserve"> </w:t>
            </w:r>
            <w:r w:rsidRPr="0053423A">
              <w:rPr>
                <w:rFonts w:eastAsia="Calibri" w:cs="Calibri"/>
                <w:sz w:val="20"/>
                <w:szCs w:val="20"/>
              </w:rPr>
              <w:t>համապատասխանելու</w:t>
            </w:r>
            <w:r w:rsidRPr="0053423A">
              <w:rPr>
                <w:rFonts w:eastAsia="Calibri" w:cs="Calibri"/>
                <w:sz w:val="20"/>
                <w:szCs w:val="20"/>
                <w:lang w:val="tr-TR"/>
              </w:rPr>
              <w:t xml:space="preserve"> </w:t>
            </w:r>
            <w:r w:rsidRPr="0053423A">
              <w:rPr>
                <w:rFonts w:eastAsia="Calibri" w:cs="Calibri"/>
                <w:sz w:val="20"/>
                <w:szCs w:val="20"/>
              </w:rPr>
              <w:t>նպատակով</w:t>
            </w:r>
            <w:r w:rsidRPr="0053423A">
              <w:rPr>
                <w:rFonts w:eastAsia="Calibri" w:cs="Calibri"/>
                <w:sz w:val="20"/>
                <w:szCs w:val="20"/>
                <w:lang w:val="tr-TR"/>
              </w:rPr>
              <w:t xml:space="preserve"> </w:t>
            </w:r>
            <w:r w:rsidRPr="0053423A">
              <w:rPr>
                <w:rFonts w:eastAsia="Calibri" w:cs="Calibri"/>
                <w:sz w:val="20"/>
                <w:szCs w:val="20"/>
              </w:rPr>
              <w:t>կոնկրետ</w:t>
            </w:r>
            <w:r w:rsidRPr="0053423A">
              <w:rPr>
                <w:rFonts w:eastAsia="Calibri" w:cs="Calibri"/>
                <w:sz w:val="20"/>
                <w:szCs w:val="20"/>
                <w:lang w:val="tr-TR"/>
              </w:rPr>
              <w:t xml:space="preserve"> </w:t>
            </w:r>
            <w:r w:rsidRPr="0053423A">
              <w:rPr>
                <w:rFonts w:eastAsia="Calibri" w:cs="Calibri"/>
                <w:sz w:val="20"/>
                <w:szCs w:val="20"/>
              </w:rPr>
              <w:t>պետությունների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կազմակերպությունների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անհրաժեշտ</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իրականացնել</w:t>
            </w:r>
            <w:r w:rsidRPr="0053423A">
              <w:rPr>
                <w:rFonts w:eastAsia="Calibri" w:cs="Calibri"/>
                <w:sz w:val="20"/>
                <w:szCs w:val="20"/>
                <w:lang w:val="tr-TR"/>
              </w:rPr>
              <w:t xml:space="preserve"> </w:t>
            </w:r>
            <w:r w:rsidRPr="0053423A">
              <w:rPr>
                <w:rFonts w:eastAsia="Calibri" w:cs="Calibri"/>
                <w:sz w:val="20"/>
                <w:szCs w:val="20"/>
              </w:rPr>
              <w:t>ծրագրեր</w:t>
            </w:r>
            <w:r w:rsidRPr="0053423A">
              <w:rPr>
                <w:rFonts w:eastAsia="Calibri" w:cs="Calibri"/>
                <w:sz w:val="20"/>
                <w:szCs w:val="20"/>
                <w:lang w:val="tr-TR"/>
              </w:rPr>
              <w:t xml:space="preserve">` </w:t>
            </w:r>
            <w:r w:rsidRPr="0053423A">
              <w:rPr>
                <w:rFonts w:eastAsia="Calibri" w:cs="Calibri"/>
                <w:sz w:val="20"/>
                <w:szCs w:val="20"/>
              </w:rPr>
              <w:t>մասնագետների</w:t>
            </w:r>
            <w:r w:rsidRPr="0053423A">
              <w:rPr>
                <w:rFonts w:eastAsia="Calibri" w:cs="Calibri"/>
                <w:sz w:val="20"/>
                <w:szCs w:val="20"/>
                <w:lang w:val="tr-TR"/>
              </w:rPr>
              <w:t xml:space="preserve"> </w:t>
            </w:r>
            <w:r w:rsidRPr="0053423A">
              <w:rPr>
                <w:rFonts w:eastAsia="Calibri" w:cs="Calibri"/>
                <w:sz w:val="20"/>
                <w:szCs w:val="20"/>
              </w:rPr>
              <w:t>փոխանակման</w:t>
            </w:r>
            <w:r w:rsidRPr="0053423A">
              <w:rPr>
                <w:rFonts w:eastAsia="Calibri" w:cs="Calibri"/>
                <w:sz w:val="20"/>
                <w:szCs w:val="20"/>
                <w:lang w:val="tr-TR"/>
              </w:rPr>
              <w:t xml:space="preserve">, </w:t>
            </w:r>
            <w:r w:rsidRPr="0053423A">
              <w:rPr>
                <w:rFonts w:eastAsia="Calibri" w:cs="Calibri"/>
                <w:sz w:val="20"/>
                <w:szCs w:val="20"/>
              </w:rPr>
              <w:t>ուսուցման</w:t>
            </w:r>
            <w:r w:rsidRPr="0053423A">
              <w:rPr>
                <w:rFonts w:eastAsia="Calibri" w:cs="Calibri"/>
                <w:sz w:val="20"/>
                <w:szCs w:val="20"/>
                <w:lang w:val="tr-TR"/>
              </w:rPr>
              <w:t xml:space="preserve">, </w:t>
            </w:r>
            <w:r w:rsidRPr="0053423A">
              <w:rPr>
                <w:rFonts w:eastAsia="Calibri" w:cs="Calibri"/>
                <w:sz w:val="20"/>
                <w:szCs w:val="20"/>
              </w:rPr>
              <w:t>փորձագիտական</w:t>
            </w:r>
            <w:r w:rsidRPr="0053423A">
              <w:rPr>
                <w:rFonts w:eastAsia="Calibri" w:cs="Calibri"/>
                <w:sz w:val="20"/>
                <w:szCs w:val="20"/>
                <w:lang w:val="tr-TR"/>
              </w:rPr>
              <w:t xml:space="preserve"> </w:t>
            </w:r>
            <w:r w:rsidRPr="0053423A">
              <w:rPr>
                <w:rFonts w:eastAsia="Calibri" w:cs="Calibri"/>
                <w:sz w:val="20"/>
                <w:szCs w:val="20"/>
              </w:rPr>
              <w:t>աջակցության</w:t>
            </w:r>
            <w:r w:rsidRPr="0053423A">
              <w:rPr>
                <w:rFonts w:eastAsia="Calibri" w:cs="Calibri"/>
                <w:sz w:val="20"/>
                <w:szCs w:val="20"/>
                <w:lang w:val="tr-TR"/>
              </w:rPr>
              <w:t xml:space="preserve">, </w:t>
            </w:r>
            <w:r w:rsidRPr="0053423A">
              <w:rPr>
                <w:rFonts w:eastAsia="Calibri" w:cs="Calibri"/>
                <w:sz w:val="20"/>
                <w:szCs w:val="20"/>
              </w:rPr>
              <w:t>վարպետության</w:t>
            </w:r>
            <w:r w:rsidRPr="0053423A">
              <w:rPr>
                <w:rFonts w:eastAsia="Calibri" w:cs="Calibri"/>
                <w:sz w:val="20"/>
                <w:szCs w:val="20"/>
                <w:lang w:val="tr-TR"/>
              </w:rPr>
              <w:t xml:space="preserve"> </w:t>
            </w:r>
            <w:r w:rsidRPr="0053423A">
              <w:rPr>
                <w:rFonts w:eastAsia="Calibri" w:cs="Calibri"/>
                <w:sz w:val="20"/>
                <w:szCs w:val="20"/>
              </w:rPr>
              <w:t>դասընթացների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խորհրդատվությունների</w:t>
            </w:r>
            <w:r w:rsidRPr="0053423A">
              <w:rPr>
                <w:rFonts w:eastAsia="Calibri" w:cs="Calibri"/>
                <w:sz w:val="20"/>
                <w:szCs w:val="20"/>
                <w:lang w:val="tr-TR"/>
              </w:rPr>
              <w:t xml:space="preserve"> </w:t>
            </w:r>
            <w:r w:rsidRPr="0053423A">
              <w:rPr>
                <w:rFonts w:eastAsia="Calibri" w:cs="Calibri"/>
                <w:sz w:val="20"/>
                <w:szCs w:val="20"/>
              </w:rPr>
              <w:t>միջոցով</w:t>
            </w:r>
            <w:r w:rsidRPr="0053423A">
              <w:rPr>
                <w:rFonts w:eastAsia="Calibri" w:cs="Calibri"/>
                <w:sz w:val="20"/>
                <w:szCs w:val="20"/>
                <w:lang w:val="tr-TR"/>
              </w:rPr>
              <w:t xml:space="preserve">: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jc w:val="both"/>
              <w:rPr>
                <w:rFonts w:eastAsia="Calibri" w:cs="Calibri"/>
                <w:sz w:val="20"/>
                <w:szCs w:val="20"/>
                <w:lang w:val="tr-TR"/>
              </w:rPr>
            </w:pPr>
          </w:p>
          <w:p w:rsidR="00A67B6B" w:rsidRPr="0053423A" w:rsidRDefault="00A67B6B" w:rsidP="00A67858">
            <w:pPr>
              <w:tabs>
                <w:tab w:val="left" w:pos="508"/>
              </w:tabs>
              <w:spacing w:after="0" w:line="276" w:lineRule="auto"/>
              <w:jc w:val="both"/>
              <w:rPr>
                <w:rFonts w:eastAsia="Calibri" w:cs="Calibri"/>
                <w:b/>
                <w:sz w:val="20"/>
                <w:szCs w:val="20"/>
                <w:lang w:val="tr-TR"/>
              </w:rPr>
            </w:pPr>
            <w:r w:rsidRPr="0053423A">
              <w:rPr>
                <w:rFonts w:eastAsia="Calibri" w:cs="Calibri"/>
                <w:b/>
                <w:sz w:val="20"/>
                <w:szCs w:val="20"/>
                <w:lang w:val="tr-TR"/>
              </w:rPr>
              <w:t xml:space="preserve">1.1 </w:t>
            </w:r>
            <w:r w:rsidRPr="0053423A">
              <w:rPr>
                <w:rFonts w:eastAsia="Calibri" w:cs="Calibri"/>
                <w:b/>
                <w:sz w:val="20"/>
                <w:szCs w:val="20"/>
                <w:lang w:val="hy-AM"/>
              </w:rPr>
              <w:t>Կարգավորման</w:t>
            </w:r>
            <w:r w:rsidRPr="0053423A">
              <w:rPr>
                <w:rFonts w:eastAsia="Calibri" w:cs="Calibri"/>
                <w:b/>
                <w:sz w:val="20"/>
                <w:szCs w:val="20"/>
                <w:lang w:val="tr-TR"/>
              </w:rPr>
              <w:t xml:space="preserve"> </w:t>
            </w:r>
            <w:r w:rsidRPr="0053423A">
              <w:rPr>
                <w:rFonts w:eastAsia="Calibri" w:cs="Calibri"/>
                <w:b/>
                <w:sz w:val="20"/>
                <w:szCs w:val="20"/>
                <w:lang w:val="hy-AM"/>
              </w:rPr>
              <w:t>հարաբերությունների</w:t>
            </w:r>
            <w:r w:rsidRPr="0053423A">
              <w:rPr>
                <w:rFonts w:eastAsia="Calibri" w:cs="Calibri"/>
                <w:b/>
                <w:sz w:val="20"/>
                <w:szCs w:val="20"/>
                <w:lang w:val="tr-TR"/>
              </w:rPr>
              <w:t xml:space="preserve"> </w:t>
            </w:r>
            <w:r w:rsidRPr="0053423A">
              <w:rPr>
                <w:rFonts w:eastAsia="Calibri" w:cs="Calibri"/>
                <w:b/>
                <w:sz w:val="20"/>
                <w:szCs w:val="20"/>
                <w:lang w:val="hy-AM"/>
              </w:rPr>
              <w:t>ներկա</w:t>
            </w:r>
            <w:r w:rsidRPr="0053423A">
              <w:rPr>
                <w:rFonts w:eastAsia="Calibri" w:cs="Calibri"/>
                <w:b/>
                <w:sz w:val="20"/>
                <w:szCs w:val="20"/>
                <w:lang w:val="tr-TR"/>
              </w:rPr>
              <w:t xml:space="preserve"> </w:t>
            </w:r>
            <w:r w:rsidRPr="0053423A">
              <w:rPr>
                <w:rFonts w:eastAsia="Calibri" w:cs="Calibri"/>
                <w:b/>
                <w:sz w:val="20"/>
                <w:szCs w:val="20"/>
                <w:lang w:val="hy-AM"/>
              </w:rPr>
              <w:t>վիճակը</w:t>
            </w:r>
            <w:r w:rsidRPr="0053423A">
              <w:rPr>
                <w:rFonts w:eastAsia="Calibri" w:cs="Calibri"/>
                <w:b/>
                <w:sz w:val="20"/>
                <w:szCs w:val="20"/>
                <w:lang w:val="tr-TR"/>
              </w:rPr>
              <w:t xml:space="preserve"> </w:t>
            </w:r>
            <w:r w:rsidRPr="0053423A">
              <w:rPr>
                <w:rFonts w:eastAsia="Calibri" w:cs="Calibri"/>
                <w:b/>
                <w:sz w:val="20"/>
                <w:szCs w:val="20"/>
                <w:lang w:val="hy-AM"/>
              </w:rPr>
              <w:t>և</w:t>
            </w:r>
            <w:r w:rsidRPr="0053423A">
              <w:rPr>
                <w:rFonts w:eastAsia="Calibri" w:cs="Calibri"/>
                <w:b/>
                <w:sz w:val="20"/>
                <w:szCs w:val="20"/>
                <w:lang w:val="tr-TR"/>
              </w:rPr>
              <w:t xml:space="preserve"> </w:t>
            </w:r>
            <w:r w:rsidRPr="0053423A">
              <w:rPr>
                <w:rFonts w:eastAsia="Calibri" w:cs="Calibri"/>
                <w:b/>
                <w:sz w:val="20"/>
                <w:szCs w:val="20"/>
                <w:lang w:val="hy-AM"/>
              </w:rPr>
              <w:t>առկա</w:t>
            </w:r>
            <w:r w:rsidRPr="0053423A">
              <w:rPr>
                <w:rFonts w:eastAsia="Calibri" w:cs="Calibri"/>
                <w:b/>
                <w:sz w:val="20"/>
                <w:szCs w:val="20"/>
                <w:lang w:val="tr-TR"/>
              </w:rPr>
              <w:t xml:space="preserve"> </w:t>
            </w:r>
            <w:r w:rsidRPr="0053423A">
              <w:rPr>
                <w:rFonts w:eastAsia="Calibri" w:cs="Calibri"/>
                <w:b/>
                <w:sz w:val="20"/>
                <w:szCs w:val="20"/>
                <w:lang w:val="hy-AM"/>
              </w:rPr>
              <w:t>խնդիրները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lang w:val="tr-TR"/>
              </w:rPr>
              <w:t xml:space="preserve">Հաշվի առնելով այն հանգամանքը, որ </w:t>
            </w:r>
            <w:r w:rsidRPr="0053423A">
              <w:rPr>
                <w:rFonts w:eastAsia="Calibri" w:cs="Calibri"/>
                <w:sz w:val="20"/>
                <w:szCs w:val="20"/>
                <w:lang w:val="hy-AM"/>
              </w:rPr>
              <w:t>մշակույթի</w:t>
            </w:r>
            <w:r w:rsidRPr="0053423A">
              <w:rPr>
                <w:rFonts w:eastAsia="Calibri" w:cs="Calibri"/>
                <w:sz w:val="20"/>
                <w:szCs w:val="20"/>
                <w:lang w:val="tr-TR"/>
              </w:rPr>
              <w:t xml:space="preserve"> </w:t>
            </w:r>
            <w:r w:rsidRPr="0053423A">
              <w:rPr>
                <w:rFonts w:eastAsia="Calibri" w:cs="Calibri"/>
                <w:sz w:val="20"/>
                <w:szCs w:val="20"/>
                <w:lang w:val="hy-AM"/>
              </w:rPr>
              <w:t>բոլոր</w:t>
            </w:r>
            <w:r w:rsidRPr="0053423A">
              <w:rPr>
                <w:rFonts w:eastAsia="Calibri" w:cs="Calibri"/>
                <w:sz w:val="20"/>
                <w:szCs w:val="20"/>
                <w:lang w:val="tr-TR"/>
              </w:rPr>
              <w:t xml:space="preserve"> </w:t>
            </w:r>
            <w:r w:rsidRPr="0053423A">
              <w:rPr>
                <w:rFonts w:eastAsia="Calibri" w:cs="Calibri"/>
                <w:sz w:val="20"/>
                <w:szCs w:val="20"/>
                <w:lang w:val="hy-AM"/>
              </w:rPr>
              <w:t>ոլորտներում</w:t>
            </w:r>
            <w:r w:rsidRPr="0053423A">
              <w:rPr>
                <w:rFonts w:eastAsia="Calibri" w:cs="Calibri"/>
                <w:sz w:val="20"/>
                <w:szCs w:val="20"/>
                <w:lang w:val="tr-TR"/>
              </w:rPr>
              <w:t xml:space="preserve"> կա մ</w:t>
            </w:r>
            <w:r w:rsidRPr="0053423A">
              <w:rPr>
                <w:rFonts w:eastAsia="Calibri" w:cs="Calibri"/>
                <w:sz w:val="20"/>
                <w:szCs w:val="20"/>
                <w:lang w:val="hy-AM"/>
              </w:rPr>
              <w:t>իջազգային</w:t>
            </w:r>
            <w:r w:rsidRPr="0053423A">
              <w:rPr>
                <w:rFonts w:eastAsia="Calibri" w:cs="Calibri"/>
                <w:sz w:val="20"/>
                <w:szCs w:val="20"/>
                <w:lang w:val="tr-TR"/>
              </w:rPr>
              <w:t xml:space="preserve"> </w:t>
            </w:r>
            <w:r w:rsidRPr="0053423A">
              <w:rPr>
                <w:rFonts w:eastAsia="Calibri" w:cs="Calibri"/>
                <w:sz w:val="20"/>
                <w:szCs w:val="20"/>
                <w:lang w:val="hy-AM"/>
              </w:rPr>
              <w:t>չափորոշիչներին</w:t>
            </w:r>
            <w:r w:rsidRPr="0053423A">
              <w:rPr>
                <w:rFonts w:eastAsia="Calibri" w:cs="Calibri"/>
                <w:sz w:val="20"/>
                <w:szCs w:val="20"/>
                <w:lang w:val="tr-TR"/>
              </w:rPr>
              <w:t xml:space="preserve"> </w:t>
            </w:r>
            <w:r w:rsidRPr="0053423A">
              <w:rPr>
                <w:rFonts w:eastAsia="Calibri" w:cs="Calibri"/>
                <w:sz w:val="20"/>
                <w:szCs w:val="20"/>
                <w:lang w:val="hy-AM"/>
              </w:rPr>
              <w:t>համապատասխան</w:t>
            </w:r>
            <w:r w:rsidRPr="0053423A">
              <w:rPr>
                <w:rFonts w:eastAsia="Calibri" w:cs="Calibri"/>
                <w:sz w:val="20"/>
                <w:szCs w:val="20"/>
                <w:lang w:val="tr-TR"/>
              </w:rPr>
              <w:t xml:space="preserve"> </w:t>
            </w:r>
            <w:r w:rsidRPr="0053423A">
              <w:rPr>
                <w:rFonts w:eastAsia="Calibri" w:cs="Calibri"/>
                <w:sz w:val="20"/>
                <w:szCs w:val="20"/>
                <w:lang w:val="hy-AM"/>
              </w:rPr>
              <w:t>մրցունակ</w:t>
            </w:r>
            <w:r w:rsidRPr="0053423A">
              <w:rPr>
                <w:rFonts w:eastAsia="Calibri" w:cs="Calibri"/>
                <w:sz w:val="20"/>
                <w:szCs w:val="20"/>
                <w:lang w:val="tr-TR"/>
              </w:rPr>
              <w:t xml:space="preserve"> </w:t>
            </w:r>
            <w:r w:rsidRPr="0053423A">
              <w:rPr>
                <w:rFonts w:eastAsia="Calibri" w:cs="Calibri"/>
                <w:sz w:val="20"/>
                <w:szCs w:val="20"/>
                <w:lang w:val="hy-AM"/>
              </w:rPr>
              <w:t>ստեղծարար</w:t>
            </w:r>
            <w:r w:rsidRPr="0053423A">
              <w:rPr>
                <w:rFonts w:eastAsia="Calibri" w:cs="Calibri"/>
                <w:sz w:val="20"/>
                <w:szCs w:val="20"/>
                <w:lang w:val="tr-TR"/>
              </w:rPr>
              <w:t xml:space="preserve"> </w:t>
            </w:r>
            <w:r w:rsidRPr="0053423A">
              <w:rPr>
                <w:rFonts w:eastAsia="Calibri" w:cs="Calibri"/>
                <w:sz w:val="20"/>
                <w:szCs w:val="20"/>
                <w:lang w:val="hy-AM"/>
              </w:rPr>
              <w:t>արտադրանքի</w:t>
            </w:r>
            <w:r w:rsidRPr="0053423A">
              <w:rPr>
                <w:rFonts w:eastAsia="Calibri" w:cs="Calibri"/>
                <w:sz w:val="20"/>
                <w:szCs w:val="20"/>
                <w:lang w:val="tr-TR"/>
              </w:rPr>
              <w:t xml:space="preserve"> </w:t>
            </w:r>
            <w:r w:rsidRPr="0053423A">
              <w:rPr>
                <w:rFonts w:eastAsia="Calibri" w:cs="Calibri"/>
                <w:sz w:val="20"/>
                <w:szCs w:val="20"/>
                <w:lang w:val="hy-AM"/>
              </w:rPr>
              <w:t>և</w:t>
            </w:r>
            <w:r w:rsidRPr="0053423A">
              <w:rPr>
                <w:rFonts w:eastAsia="Calibri" w:cs="Calibri"/>
                <w:sz w:val="20"/>
                <w:szCs w:val="20"/>
                <w:lang w:val="tr-TR"/>
              </w:rPr>
              <w:t xml:space="preserve"> </w:t>
            </w:r>
            <w:r w:rsidRPr="0053423A">
              <w:rPr>
                <w:rFonts w:eastAsia="Calibri" w:cs="Calibri"/>
                <w:sz w:val="20"/>
                <w:szCs w:val="20"/>
                <w:lang w:val="hy-AM"/>
              </w:rPr>
              <w:t>ոլորտի</w:t>
            </w:r>
            <w:r w:rsidRPr="0053423A">
              <w:rPr>
                <w:rFonts w:eastAsia="Calibri" w:cs="Calibri"/>
                <w:sz w:val="20"/>
                <w:szCs w:val="20"/>
                <w:lang w:val="tr-TR"/>
              </w:rPr>
              <w:t xml:space="preserve"> </w:t>
            </w:r>
            <w:r w:rsidRPr="0053423A">
              <w:rPr>
                <w:rFonts w:eastAsia="Calibri" w:cs="Calibri"/>
                <w:sz w:val="20"/>
                <w:szCs w:val="20"/>
                <w:lang w:val="hy-AM"/>
              </w:rPr>
              <w:t>թարմացման</w:t>
            </w:r>
            <w:r w:rsidRPr="0053423A">
              <w:rPr>
                <w:rFonts w:eastAsia="Calibri" w:cs="Calibri"/>
                <w:sz w:val="20"/>
                <w:szCs w:val="20"/>
                <w:lang w:val="tr-TR"/>
              </w:rPr>
              <w:t xml:space="preserve"> </w:t>
            </w:r>
            <w:r w:rsidRPr="0053423A">
              <w:rPr>
                <w:rFonts w:eastAsia="Calibri" w:cs="Calibri"/>
                <w:sz w:val="20"/>
                <w:szCs w:val="20"/>
                <w:lang w:val="hy-AM"/>
              </w:rPr>
              <w:t>ու</w:t>
            </w:r>
            <w:r w:rsidRPr="0053423A">
              <w:rPr>
                <w:rFonts w:eastAsia="Calibri" w:cs="Calibri"/>
                <w:sz w:val="20"/>
                <w:szCs w:val="20"/>
                <w:lang w:val="tr-TR"/>
              </w:rPr>
              <w:t xml:space="preserve"> </w:t>
            </w:r>
            <w:r w:rsidRPr="0053423A">
              <w:rPr>
                <w:rFonts w:eastAsia="Calibri" w:cs="Calibri"/>
                <w:sz w:val="20"/>
                <w:szCs w:val="20"/>
                <w:lang w:val="hy-AM"/>
              </w:rPr>
              <w:t>նոր</w:t>
            </w:r>
            <w:r w:rsidRPr="0053423A">
              <w:rPr>
                <w:rFonts w:eastAsia="Calibri" w:cs="Calibri"/>
                <w:sz w:val="20"/>
                <w:szCs w:val="20"/>
                <w:lang w:val="tr-TR"/>
              </w:rPr>
              <w:t xml:space="preserve"> </w:t>
            </w:r>
            <w:r w:rsidRPr="0053423A">
              <w:rPr>
                <w:rFonts w:eastAsia="Calibri" w:cs="Calibri"/>
                <w:sz w:val="20"/>
                <w:szCs w:val="20"/>
                <w:lang w:val="hy-AM"/>
              </w:rPr>
              <w:t>մասնագիտական</w:t>
            </w:r>
            <w:r w:rsidRPr="0053423A">
              <w:rPr>
                <w:rFonts w:eastAsia="Calibri" w:cs="Calibri"/>
                <w:sz w:val="20"/>
                <w:szCs w:val="20"/>
                <w:lang w:val="tr-TR"/>
              </w:rPr>
              <w:t xml:space="preserve"> </w:t>
            </w:r>
            <w:r w:rsidRPr="0053423A">
              <w:rPr>
                <w:rFonts w:eastAsia="Calibri" w:cs="Calibri"/>
                <w:sz w:val="20"/>
                <w:szCs w:val="20"/>
                <w:lang w:val="hy-AM"/>
              </w:rPr>
              <w:t>հայացքների</w:t>
            </w:r>
            <w:r w:rsidRPr="0053423A">
              <w:rPr>
                <w:rFonts w:eastAsia="Calibri" w:cs="Calibri"/>
                <w:sz w:val="20"/>
                <w:szCs w:val="20"/>
                <w:lang w:val="tr-TR"/>
              </w:rPr>
              <w:t xml:space="preserve"> </w:t>
            </w:r>
            <w:r w:rsidRPr="0053423A">
              <w:rPr>
                <w:rFonts w:eastAsia="Calibri" w:cs="Calibri"/>
                <w:sz w:val="20"/>
                <w:szCs w:val="20"/>
                <w:lang w:val="hy-AM"/>
              </w:rPr>
              <w:t>անհրաժեշտություն</w:t>
            </w:r>
            <w:r w:rsidRPr="0053423A">
              <w:rPr>
                <w:rFonts w:eastAsia="Calibri" w:cs="Calibri"/>
                <w:sz w:val="20"/>
                <w:szCs w:val="20"/>
                <w:lang w:val="tr-TR"/>
              </w:rPr>
              <w:t xml:space="preserve"> </w:t>
            </w:r>
            <w:r w:rsidRPr="0053423A">
              <w:rPr>
                <w:rFonts w:eastAsia="Calibri" w:cs="Calibri"/>
                <w:sz w:val="20"/>
                <w:szCs w:val="20"/>
                <w:lang w:val="hy-AM"/>
              </w:rPr>
              <w:t>և</w:t>
            </w:r>
            <w:r w:rsidRPr="0053423A">
              <w:rPr>
                <w:rFonts w:eastAsia="Calibri" w:cs="Calibri"/>
                <w:sz w:val="20"/>
                <w:szCs w:val="20"/>
                <w:lang w:val="tr-TR"/>
              </w:rPr>
              <w:t xml:space="preserve"> </w:t>
            </w:r>
            <w:r w:rsidRPr="0053423A">
              <w:rPr>
                <w:rFonts w:eastAsia="Calibri" w:cs="Calibri"/>
                <w:sz w:val="20"/>
                <w:szCs w:val="20"/>
                <w:lang w:val="hy-AM"/>
              </w:rPr>
              <w:t>լիարժեք</w:t>
            </w:r>
            <w:r w:rsidRPr="0053423A">
              <w:rPr>
                <w:rFonts w:eastAsia="Calibri" w:cs="Calibri"/>
                <w:sz w:val="20"/>
                <w:szCs w:val="20"/>
                <w:lang w:val="tr-TR"/>
              </w:rPr>
              <w:t xml:space="preserve"> </w:t>
            </w:r>
            <w:r w:rsidRPr="0053423A">
              <w:rPr>
                <w:rFonts w:eastAsia="Calibri" w:cs="Calibri"/>
                <w:sz w:val="20"/>
                <w:szCs w:val="20"/>
                <w:lang w:val="hy-AM"/>
              </w:rPr>
              <w:t>չէ</w:t>
            </w:r>
            <w:r w:rsidRPr="0053423A">
              <w:rPr>
                <w:rFonts w:eastAsia="Calibri" w:cs="Calibri"/>
                <w:sz w:val="20"/>
                <w:szCs w:val="20"/>
                <w:lang w:val="tr-TR"/>
              </w:rPr>
              <w:t xml:space="preserve"> </w:t>
            </w:r>
            <w:r w:rsidRPr="0053423A">
              <w:rPr>
                <w:rFonts w:eastAsia="Calibri" w:cs="Calibri"/>
                <w:sz w:val="20"/>
                <w:szCs w:val="20"/>
                <w:lang w:val="hy-AM"/>
              </w:rPr>
              <w:t>ոլորտում</w:t>
            </w:r>
            <w:r w:rsidRPr="0053423A">
              <w:rPr>
                <w:rFonts w:eastAsia="Calibri" w:cs="Calibri"/>
                <w:sz w:val="20"/>
                <w:szCs w:val="20"/>
                <w:lang w:val="tr-TR"/>
              </w:rPr>
              <w:t xml:space="preserve"> </w:t>
            </w:r>
            <w:r w:rsidRPr="0053423A">
              <w:rPr>
                <w:rFonts w:eastAsia="Calibri" w:cs="Calibri"/>
                <w:sz w:val="20"/>
                <w:szCs w:val="20"/>
                <w:lang w:val="hy-AM"/>
              </w:rPr>
              <w:t>կառավարման</w:t>
            </w:r>
            <w:r w:rsidRPr="0053423A">
              <w:rPr>
                <w:rFonts w:eastAsia="Calibri" w:cs="Calibri"/>
                <w:sz w:val="20"/>
                <w:szCs w:val="20"/>
                <w:lang w:val="tr-TR"/>
              </w:rPr>
              <w:t xml:space="preserve"> </w:t>
            </w:r>
            <w:r w:rsidRPr="0053423A">
              <w:rPr>
                <w:rFonts w:eastAsia="Calibri" w:cs="Calibri"/>
                <w:sz w:val="20"/>
                <w:szCs w:val="20"/>
                <w:lang w:val="hy-AM"/>
              </w:rPr>
              <w:t>արդյունավետության</w:t>
            </w:r>
            <w:r w:rsidRPr="0053423A">
              <w:rPr>
                <w:rFonts w:eastAsia="Calibri" w:cs="Calibri"/>
                <w:sz w:val="20"/>
                <w:szCs w:val="20"/>
                <w:lang w:val="tr-TR"/>
              </w:rPr>
              <w:t xml:space="preserve">, </w:t>
            </w:r>
            <w:r w:rsidRPr="0053423A">
              <w:rPr>
                <w:rFonts w:eastAsia="Calibri" w:cs="Calibri"/>
                <w:sz w:val="20"/>
                <w:szCs w:val="20"/>
                <w:lang w:val="hy-AM"/>
              </w:rPr>
              <w:t>նոր</w:t>
            </w:r>
            <w:r w:rsidRPr="0053423A">
              <w:rPr>
                <w:rFonts w:eastAsia="Calibri" w:cs="Calibri"/>
                <w:sz w:val="20"/>
                <w:szCs w:val="20"/>
                <w:lang w:val="tr-TR"/>
              </w:rPr>
              <w:t xml:space="preserve"> </w:t>
            </w:r>
            <w:r w:rsidRPr="0053423A">
              <w:rPr>
                <w:rFonts w:eastAsia="Calibri" w:cs="Calibri"/>
                <w:sz w:val="20"/>
                <w:szCs w:val="20"/>
                <w:lang w:val="hy-AM"/>
              </w:rPr>
              <w:t>տեխնոլոգիաների</w:t>
            </w:r>
            <w:r w:rsidRPr="0053423A">
              <w:rPr>
                <w:rFonts w:eastAsia="Calibri" w:cs="Calibri"/>
                <w:sz w:val="20"/>
                <w:szCs w:val="20"/>
                <w:lang w:val="tr-TR"/>
              </w:rPr>
              <w:t xml:space="preserve"> </w:t>
            </w:r>
            <w:r w:rsidRPr="0053423A">
              <w:rPr>
                <w:rFonts w:eastAsia="Calibri" w:cs="Calibri"/>
                <w:sz w:val="20"/>
                <w:szCs w:val="20"/>
                <w:lang w:val="hy-AM"/>
              </w:rPr>
              <w:t>ճիշտ</w:t>
            </w:r>
            <w:r w:rsidRPr="0053423A">
              <w:rPr>
                <w:rFonts w:eastAsia="Calibri" w:cs="Calibri"/>
                <w:sz w:val="20"/>
                <w:szCs w:val="20"/>
                <w:lang w:val="tr-TR"/>
              </w:rPr>
              <w:t xml:space="preserve"> </w:t>
            </w:r>
            <w:r w:rsidRPr="0053423A">
              <w:rPr>
                <w:rFonts w:eastAsia="Calibri" w:cs="Calibri"/>
                <w:sz w:val="20"/>
                <w:szCs w:val="20"/>
                <w:lang w:val="hy-AM"/>
              </w:rPr>
              <w:t>կիրառման</w:t>
            </w:r>
            <w:r w:rsidRPr="0053423A">
              <w:rPr>
                <w:rFonts w:eastAsia="Calibri" w:cs="Calibri"/>
                <w:sz w:val="20"/>
                <w:szCs w:val="20"/>
                <w:lang w:val="tr-TR"/>
              </w:rPr>
              <w:t xml:space="preserve"> </w:t>
            </w:r>
            <w:r w:rsidRPr="0053423A">
              <w:rPr>
                <w:rFonts w:eastAsia="Calibri" w:cs="Calibri"/>
                <w:sz w:val="20"/>
                <w:szCs w:val="20"/>
                <w:lang w:val="hy-AM"/>
              </w:rPr>
              <w:t>և</w:t>
            </w:r>
            <w:r w:rsidRPr="0053423A">
              <w:rPr>
                <w:rFonts w:eastAsia="Calibri" w:cs="Calibri"/>
                <w:sz w:val="20"/>
                <w:szCs w:val="20"/>
                <w:lang w:val="tr-TR"/>
              </w:rPr>
              <w:t xml:space="preserve"> </w:t>
            </w:r>
            <w:r w:rsidRPr="0053423A">
              <w:rPr>
                <w:rFonts w:eastAsia="Calibri" w:cs="Calibri"/>
                <w:sz w:val="20"/>
                <w:szCs w:val="20"/>
                <w:lang w:val="hy-AM"/>
              </w:rPr>
              <w:t>մշակութային</w:t>
            </w:r>
            <w:r w:rsidRPr="0053423A">
              <w:rPr>
                <w:rFonts w:eastAsia="Calibri" w:cs="Calibri"/>
                <w:sz w:val="20"/>
                <w:szCs w:val="20"/>
                <w:lang w:val="tr-TR"/>
              </w:rPr>
              <w:t xml:space="preserve"> </w:t>
            </w:r>
            <w:r w:rsidRPr="0053423A">
              <w:rPr>
                <w:rFonts w:eastAsia="Calibri" w:cs="Calibri"/>
                <w:sz w:val="20"/>
                <w:szCs w:val="20"/>
                <w:lang w:val="hy-AM"/>
              </w:rPr>
              <w:t>արտադրանքի</w:t>
            </w:r>
            <w:r w:rsidRPr="0053423A">
              <w:rPr>
                <w:rFonts w:eastAsia="Calibri" w:cs="Calibri"/>
                <w:sz w:val="20"/>
                <w:szCs w:val="20"/>
                <w:lang w:val="tr-TR"/>
              </w:rPr>
              <w:t xml:space="preserve"> </w:t>
            </w:r>
            <w:r w:rsidRPr="0053423A">
              <w:rPr>
                <w:rFonts w:eastAsia="Calibri" w:cs="Calibri"/>
                <w:sz w:val="20"/>
                <w:szCs w:val="20"/>
                <w:lang w:val="hy-AM"/>
              </w:rPr>
              <w:t>և</w:t>
            </w:r>
            <w:r w:rsidRPr="0053423A">
              <w:rPr>
                <w:rFonts w:eastAsia="Calibri" w:cs="Calibri"/>
                <w:sz w:val="20"/>
                <w:szCs w:val="20"/>
                <w:lang w:val="tr-TR"/>
              </w:rPr>
              <w:t xml:space="preserve"> </w:t>
            </w:r>
            <w:r w:rsidRPr="0053423A">
              <w:rPr>
                <w:rFonts w:eastAsia="Calibri" w:cs="Calibri"/>
                <w:sz w:val="20"/>
                <w:szCs w:val="20"/>
                <w:lang w:val="hy-AM"/>
              </w:rPr>
              <w:t>ծառայությունների</w:t>
            </w:r>
            <w:r w:rsidRPr="0053423A">
              <w:rPr>
                <w:rFonts w:eastAsia="Calibri" w:cs="Calibri"/>
                <w:sz w:val="20"/>
                <w:szCs w:val="20"/>
                <w:lang w:val="tr-TR"/>
              </w:rPr>
              <w:t xml:space="preserve"> </w:t>
            </w:r>
            <w:r w:rsidRPr="0053423A">
              <w:rPr>
                <w:rFonts w:eastAsia="Calibri" w:cs="Calibri"/>
                <w:sz w:val="20"/>
                <w:szCs w:val="20"/>
                <w:lang w:val="hy-AM"/>
              </w:rPr>
              <w:t>մատուցման</w:t>
            </w:r>
            <w:r w:rsidRPr="0053423A">
              <w:rPr>
                <w:rFonts w:eastAsia="Calibri" w:cs="Calibri"/>
                <w:sz w:val="20"/>
                <w:szCs w:val="20"/>
                <w:lang w:val="tr-TR"/>
              </w:rPr>
              <w:t xml:space="preserve"> </w:t>
            </w:r>
            <w:r w:rsidRPr="0053423A">
              <w:rPr>
                <w:rFonts w:eastAsia="Calibri" w:cs="Calibri"/>
                <w:sz w:val="20"/>
                <w:szCs w:val="20"/>
                <w:lang w:val="hy-AM"/>
              </w:rPr>
              <w:t>որակի</w:t>
            </w:r>
            <w:r w:rsidRPr="0053423A">
              <w:rPr>
                <w:rFonts w:eastAsia="Calibri" w:cs="Calibri"/>
                <w:sz w:val="20"/>
                <w:szCs w:val="20"/>
                <w:lang w:val="tr-TR"/>
              </w:rPr>
              <w:t xml:space="preserve"> </w:t>
            </w:r>
            <w:r w:rsidRPr="0053423A">
              <w:rPr>
                <w:rFonts w:eastAsia="Calibri" w:cs="Calibri"/>
                <w:sz w:val="20"/>
                <w:szCs w:val="20"/>
                <w:lang w:val="hy-AM"/>
              </w:rPr>
              <w:t>բարձրացմանն</w:t>
            </w:r>
            <w:r w:rsidRPr="0053423A">
              <w:rPr>
                <w:rFonts w:eastAsia="Calibri" w:cs="Calibri"/>
                <w:sz w:val="20"/>
                <w:szCs w:val="20"/>
                <w:lang w:val="tr-TR"/>
              </w:rPr>
              <w:t xml:space="preserve"> </w:t>
            </w:r>
            <w:r w:rsidRPr="0053423A">
              <w:rPr>
                <w:rFonts w:eastAsia="Calibri" w:cs="Calibri"/>
                <w:sz w:val="20"/>
                <w:szCs w:val="20"/>
                <w:lang w:val="hy-AM"/>
              </w:rPr>
              <w:t>ուղղված</w:t>
            </w:r>
            <w:r w:rsidRPr="0053423A">
              <w:rPr>
                <w:rFonts w:eastAsia="Calibri" w:cs="Calibri"/>
                <w:sz w:val="20"/>
                <w:szCs w:val="20"/>
                <w:lang w:val="tr-TR"/>
              </w:rPr>
              <w:t xml:space="preserve"> ծրագրերը, </w:t>
            </w:r>
            <w:r w:rsidRPr="0053423A">
              <w:rPr>
                <w:rFonts w:eastAsia="Calibri" w:cs="Calibri"/>
                <w:sz w:val="20"/>
                <w:szCs w:val="20"/>
                <w:lang w:val="hy-AM"/>
              </w:rPr>
              <w:t>անհրաժեշտ</w:t>
            </w:r>
            <w:r w:rsidRPr="0053423A">
              <w:rPr>
                <w:rFonts w:eastAsia="Calibri" w:cs="Calibri"/>
                <w:sz w:val="20"/>
                <w:szCs w:val="20"/>
                <w:lang w:val="tr-TR"/>
              </w:rPr>
              <w:t xml:space="preserve"> </w:t>
            </w:r>
            <w:r w:rsidRPr="0053423A">
              <w:rPr>
                <w:rFonts w:eastAsia="Calibri" w:cs="Calibri"/>
                <w:sz w:val="20"/>
                <w:szCs w:val="20"/>
                <w:lang w:val="hy-AM"/>
              </w:rPr>
              <w:t>է</w:t>
            </w:r>
            <w:r w:rsidRPr="0053423A">
              <w:rPr>
                <w:rFonts w:eastAsia="Calibri" w:cs="Calibri"/>
                <w:sz w:val="20"/>
                <w:szCs w:val="20"/>
                <w:lang w:val="tr-TR"/>
              </w:rPr>
              <w:t xml:space="preserve"> </w:t>
            </w:r>
            <w:r w:rsidRPr="0053423A">
              <w:rPr>
                <w:rFonts w:eastAsia="Calibri" w:cs="Calibri"/>
                <w:sz w:val="20"/>
                <w:szCs w:val="20"/>
                <w:lang w:val="hy-AM"/>
              </w:rPr>
              <w:t>իրականացնել</w:t>
            </w:r>
            <w:r w:rsidRPr="0053423A">
              <w:rPr>
                <w:rFonts w:eastAsia="Calibri" w:cs="Calibri"/>
                <w:sz w:val="20"/>
                <w:szCs w:val="20"/>
                <w:lang w:val="tr-TR"/>
              </w:rPr>
              <w:t xml:space="preserve"> </w:t>
            </w:r>
            <w:r w:rsidRPr="0053423A">
              <w:rPr>
                <w:rFonts w:eastAsia="Calibri" w:cs="Calibri"/>
                <w:sz w:val="20"/>
                <w:szCs w:val="20"/>
                <w:lang w:val="hy-AM"/>
              </w:rPr>
              <w:t>նպատակաուղղված</w:t>
            </w:r>
            <w:r w:rsidRPr="0053423A">
              <w:rPr>
                <w:rFonts w:eastAsia="Calibri" w:cs="Calibri"/>
                <w:sz w:val="20"/>
                <w:szCs w:val="20"/>
                <w:lang w:val="tr-TR"/>
              </w:rPr>
              <w:t xml:space="preserve"> </w:t>
            </w:r>
            <w:r w:rsidRPr="0053423A">
              <w:rPr>
                <w:rFonts w:eastAsia="Calibri" w:cs="Calibri"/>
                <w:sz w:val="20"/>
                <w:szCs w:val="20"/>
                <w:lang w:val="hy-AM"/>
              </w:rPr>
              <w:t>քայլեր</w:t>
            </w:r>
            <w:r w:rsidRPr="0053423A">
              <w:rPr>
                <w:rFonts w:eastAsia="Calibri" w:cs="Calibri"/>
                <w:sz w:val="20"/>
                <w:szCs w:val="20"/>
                <w:lang w:val="tr-TR"/>
              </w:rPr>
              <w:t xml:space="preserve">, մասնավորապեսՙ </w:t>
            </w:r>
            <w:r w:rsidRPr="0053423A">
              <w:rPr>
                <w:rFonts w:eastAsia="Calibri" w:cs="Calibri"/>
                <w:sz w:val="20"/>
                <w:szCs w:val="20"/>
                <w:lang w:val="hy-AM"/>
              </w:rPr>
              <w:t>մշակութային</w:t>
            </w:r>
            <w:r w:rsidRPr="0053423A">
              <w:rPr>
                <w:rFonts w:eastAsia="Calibri" w:cs="Calibri"/>
                <w:sz w:val="20"/>
                <w:szCs w:val="20"/>
                <w:lang w:val="tr-TR"/>
              </w:rPr>
              <w:t xml:space="preserve"> </w:t>
            </w:r>
            <w:r w:rsidRPr="0053423A">
              <w:rPr>
                <w:rFonts w:eastAsia="Calibri" w:cs="Calibri"/>
                <w:sz w:val="20"/>
                <w:szCs w:val="20"/>
                <w:lang w:val="hy-AM"/>
              </w:rPr>
              <w:t>ժառանգության</w:t>
            </w:r>
            <w:r w:rsidRPr="0053423A">
              <w:rPr>
                <w:rFonts w:eastAsia="Calibri" w:cs="Calibri"/>
                <w:sz w:val="20"/>
                <w:szCs w:val="20"/>
                <w:lang w:val="tr-TR"/>
              </w:rPr>
              <w:t xml:space="preserve"> </w:t>
            </w:r>
            <w:r w:rsidRPr="0053423A">
              <w:rPr>
                <w:rFonts w:eastAsia="Calibri" w:cs="Calibri"/>
                <w:sz w:val="20"/>
                <w:szCs w:val="20"/>
                <w:lang w:val="hy-AM"/>
              </w:rPr>
              <w:t>պահպանության</w:t>
            </w:r>
            <w:r w:rsidRPr="0053423A">
              <w:rPr>
                <w:rFonts w:eastAsia="Calibri" w:cs="Calibri"/>
                <w:sz w:val="20"/>
                <w:szCs w:val="20"/>
                <w:lang w:val="tr-TR"/>
              </w:rPr>
              <w:t xml:space="preserve">, </w:t>
            </w:r>
            <w:r w:rsidRPr="0053423A">
              <w:rPr>
                <w:rFonts w:eastAsia="Calibri" w:cs="Calibri"/>
                <w:sz w:val="20"/>
                <w:szCs w:val="20"/>
                <w:lang w:val="hy-AM"/>
              </w:rPr>
              <w:t>վերականգնման</w:t>
            </w:r>
            <w:r w:rsidRPr="0053423A">
              <w:rPr>
                <w:rFonts w:eastAsia="Calibri" w:cs="Calibri"/>
                <w:sz w:val="20"/>
                <w:szCs w:val="20"/>
                <w:lang w:val="tr-TR"/>
              </w:rPr>
              <w:t xml:space="preserve">, </w:t>
            </w:r>
            <w:r w:rsidRPr="0053423A">
              <w:rPr>
                <w:rFonts w:eastAsia="Calibri" w:cs="Calibri"/>
                <w:sz w:val="20"/>
                <w:szCs w:val="20"/>
                <w:lang w:val="hy-AM"/>
              </w:rPr>
              <w:t>թանգարանային</w:t>
            </w:r>
            <w:r w:rsidRPr="0053423A">
              <w:rPr>
                <w:rFonts w:eastAsia="Calibri" w:cs="Calibri"/>
                <w:sz w:val="20"/>
                <w:szCs w:val="20"/>
                <w:lang w:val="tr-TR"/>
              </w:rPr>
              <w:t xml:space="preserve"> </w:t>
            </w:r>
            <w:r w:rsidRPr="0053423A">
              <w:rPr>
                <w:rFonts w:eastAsia="Calibri" w:cs="Calibri"/>
                <w:sz w:val="20"/>
                <w:szCs w:val="20"/>
                <w:lang w:val="hy-AM"/>
              </w:rPr>
              <w:t>գործի</w:t>
            </w:r>
            <w:r w:rsidRPr="0053423A">
              <w:rPr>
                <w:rFonts w:eastAsia="Calibri" w:cs="Calibri"/>
                <w:sz w:val="20"/>
                <w:szCs w:val="20"/>
                <w:lang w:val="tr-TR"/>
              </w:rPr>
              <w:t xml:space="preserve"> </w:t>
            </w:r>
            <w:r w:rsidRPr="0053423A">
              <w:rPr>
                <w:rFonts w:eastAsia="Calibri" w:cs="Calibri"/>
                <w:sz w:val="20"/>
                <w:szCs w:val="20"/>
                <w:lang w:val="hy-AM"/>
              </w:rPr>
              <w:t>կազմակերպման</w:t>
            </w:r>
            <w:r w:rsidRPr="0053423A">
              <w:rPr>
                <w:rFonts w:eastAsia="Calibri" w:cs="Calibri"/>
                <w:sz w:val="20"/>
                <w:szCs w:val="20"/>
                <w:lang w:val="tr-TR"/>
              </w:rPr>
              <w:t xml:space="preserve">, </w:t>
            </w:r>
            <w:r w:rsidRPr="0053423A">
              <w:rPr>
                <w:rFonts w:eastAsia="Calibri" w:cs="Calibri"/>
                <w:sz w:val="20"/>
                <w:szCs w:val="20"/>
                <w:lang w:val="hy-AM"/>
              </w:rPr>
              <w:t>գիդերի</w:t>
            </w:r>
            <w:r w:rsidRPr="0053423A">
              <w:rPr>
                <w:rFonts w:eastAsia="Calibri" w:cs="Calibri"/>
                <w:sz w:val="20"/>
                <w:szCs w:val="20"/>
                <w:lang w:val="tr-TR"/>
              </w:rPr>
              <w:t xml:space="preserve"> </w:t>
            </w:r>
            <w:r w:rsidRPr="0053423A">
              <w:rPr>
                <w:rFonts w:eastAsia="Calibri" w:cs="Calibri"/>
                <w:sz w:val="20"/>
                <w:szCs w:val="20"/>
                <w:lang w:val="hy-AM"/>
              </w:rPr>
              <w:t>վերապատրաստման</w:t>
            </w:r>
            <w:r w:rsidRPr="0053423A">
              <w:rPr>
                <w:rFonts w:eastAsia="Calibri" w:cs="Calibri"/>
                <w:sz w:val="20"/>
                <w:szCs w:val="20"/>
                <w:lang w:val="tr-TR"/>
              </w:rPr>
              <w:t xml:space="preserve">, </w:t>
            </w:r>
            <w:r w:rsidRPr="0053423A">
              <w:rPr>
                <w:rFonts w:eastAsia="Calibri" w:cs="Calibri"/>
                <w:sz w:val="20"/>
                <w:szCs w:val="20"/>
                <w:lang w:val="hy-AM"/>
              </w:rPr>
              <w:t>տեսողական</w:t>
            </w:r>
            <w:r w:rsidRPr="0053423A">
              <w:rPr>
                <w:rFonts w:eastAsia="Calibri" w:cs="Calibri"/>
                <w:sz w:val="20"/>
                <w:szCs w:val="20"/>
                <w:lang w:val="tr-TR"/>
              </w:rPr>
              <w:t xml:space="preserve">, </w:t>
            </w:r>
            <w:r w:rsidRPr="0053423A">
              <w:rPr>
                <w:rFonts w:eastAsia="Calibri" w:cs="Calibri"/>
                <w:sz w:val="20"/>
                <w:szCs w:val="20"/>
                <w:lang w:val="hy-AM"/>
              </w:rPr>
              <w:t>լսողական</w:t>
            </w:r>
            <w:r w:rsidRPr="0053423A">
              <w:rPr>
                <w:rFonts w:eastAsia="Calibri" w:cs="Calibri"/>
                <w:sz w:val="20"/>
                <w:szCs w:val="20"/>
                <w:lang w:val="tr-TR"/>
              </w:rPr>
              <w:t xml:space="preserve">, </w:t>
            </w:r>
            <w:r w:rsidRPr="0053423A">
              <w:rPr>
                <w:rFonts w:eastAsia="Calibri" w:cs="Calibri"/>
                <w:sz w:val="20"/>
                <w:szCs w:val="20"/>
                <w:lang w:val="hy-AM"/>
              </w:rPr>
              <w:t>կատարողական</w:t>
            </w:r>
            <w:r w:rsidRPr="0053423A">
              <w:rPr>
                <w:rFonts w:eastAsia="Calibri" w:cs="Calibri"/>
                <w:sz w:val="20"/>
                <w:szCs w:val="20"/>
                <w:lang w:val="tr-TR"/>
              </w:rPr>
              <w:t xml:space="preserve"> </w:t>
            </w:r>
            <w:r w:rsidRPr="0053423A">
              <w:rPr>
                <w:rFonts w:eastAsia="Calibri" w:cs="Calibri"/>
                <w:sz w:val="20"/>
                <w:szCs w:val="20"/>
                <w:lang w:val="hy-AM"/>
              </w:rPr>
              <w:t>արվեստների</w:t>
            </w:r>
            <w:r w:rsidRPr="0053423A">
              <w:rPr>
                <w:rFonts w:eastAsia="Calibri" w:cs="Calibri"/>
                <w:sz w:val="20"/>
                <w:szCs w:val="20"/>
                <w:lang w:val="tr-TR"/>
              </w:rPr>
              <w:t xml:space="preserve">, </w:t>
            </w:r>
            <w:r w:rsidRPr="0053423A">
              <w:rPr>
                <w:rFonts w:eastAsia="Calibri" w:cs="Calibri"/>
                <w:sz w:val="20"/>
                <w:szCs w:val="20"/>
                <w:lang w:val="hy-AM"/>
              </w:rPr>
              <w:t>գրահրատարակչության</w:t>
            </w:r>
            <w:r w:rsidRPr="0053423A">
              <w:rPr>
                <w:rFonts w:eastAsia="Calibri" w:cs="Calibri"/>
                <w:sz w:val="20"/>
                <w:szCs w:val="20"/>
                <w:lang w:val="tr-TR"/>
              </w:rPr>
              <w:t xml:space="preserve"> </w:t>
            </w:r>
            <w:r w:rsidRPr="0053423A">
              <w:rPr>
                <w:rFonts w:eastAsia="Calibri" w:cs="Calibri"/>
                <w:sz w:val="20"/>
                <w:szCs w:val="20"/>
                <w:lang w:val="hy-AM"/>
              </w:rPr>
              <w:t>և</w:t>
            </w:r>
            <w:r w:rsidRPr="0053423A">
              <w:rPr>
                <w:rFonts w:eastAsia="Calibri" w:cs="Calibri"/>
                <w:sz w:val="20"/>
                <w:szCs w:val="20"/>
                <w:lang w:val="tr-TR"/>
              </w:rPr>
              <w:t xml:space="preserve"> </w:t>
            </w:r>
            <w:r w:rsidRPr="0053423A">
              <w:rPr>
                <w:rFonts w:eastAsia="Calibri" w:cs="Calibri"/>
                <w:sz w:val="20"/>
                <w:szCs w:val="20"/>
                <w:lang w:val="hy-AM"/>
              </w:rPr>
              <w:t>այլ</w:t>
            </w:r>
            <w:r w:rsidRPr="0053423A">
              <w:rPr>
                <w:rFonts w:eastAsia="Calibri" w:cs="Calibri"/>
                <w:sz w:val="20"/>
                <w:szCs w:val="20"/>
                <w:lang w:val="tr-TR"/>
              </w:rPr>
              <w:t xml:space="preserve"> </w:t>
            </w:r>
            <w:r w:rsidRPr="0053423A">
              <w:rPr>
                <w:rFonts w:eastAsia="Calibri" w:cs="Calibri"/>
                <w:sz w:val="20"/>
                <w:szCs w:val="20"/>
                <w:lang w:val="hy-AM"/>
              </w:rPr>
              <w:t>ոլորտներում</w:t>
            </w:r>
            <w:r w:rsidRPr="0053423A">
              <w:rPr>
                <w:rFonts w:eastAsia="Calibri" w:cs="Calibri"/>
                <w:sz w:val="20"/>
                <w:szCs w:val="20"/>
                <w:lang w:val="tr-TR"/>
              </w:rPr>
              <w:t>:</w:t>
            </w:r>
          </w:p>
          <w:p w:rsidR="00A67B6B" w:rsidRPr="0053423A" w:rsidRDefault="00A67B6B" w:rsidP="00A67858">
            <w:pPr>
              <w:tabs>
                <w:tab w:val="left" w:pos="508"/>
              </w:tabs>
              <w:spacing w:after="0" w:line="276" w:lineRule="auto"/>
              <w:jc w:val="both"/>
              <w:rPr>
                <w:rFonts w:eastAsia="Calibri" w:cs="Calibri"/>
                <w:sz w:val="20"/>
                <w:szCs w:val="20"/>
                <w:lang w:val="tr-TR"/>
              </w:rPr>
            </w:pPr>
          </w:p>
          <w:p w:rsidR="00A67B6B" w:rsidRPr="0053423A" w:rsidRDefault="00A67B6B" w:rsidP="001F6D5D">
            <w:pPr>
              <w:numPr>
                <w:ilvl w:val="1"/>
                <w:numId w:val="226"/>
              </w:numPr>
              <w:tabs>
                <w:tab w:val="left" w:pos="508"/>
              </w:tabs>
              <w:spacing w:after="0" w:line="276" w:lineRule="auto"/>
              <w:ind w:hanging="720"/>
              <w:jc w:val="both"/>
              <w:rPr>
                <w:rFonts w:eastAsia="Calibri" w:cs="Calibri"/>
                <w:b/>
                <w:sz w:val="20"/>
                <w:szCs w:val="20"/>
                <w:lang w:val="tr-TR"/>
              </w:rPr>
            </w:pPr>
            <w:r w:rsidRPr="0053423A">
              <w:rPr>
                <w:rFonts w:eastAsia="Calibri" w:cs="Calibri"/>
                <w:b/>
                <w:sz w:val="20"/>
                <w:szCs w:val="20"/>
              </w:rPr>
              <w:t>Առկա</w:t>
            </w:r>
            <w:r w:rsidRPr="0053423A">
              <w:rPr>
                <w:rFonts w:eastAsia="Calibri" w:cs="Calibri"/>
                <w:b/>
                <w:sz w:val="20"/>
                <w:szCs w:val="20"/>
                <w:lang w:val="tr-TR"/>
              </w:rPr>
              <w:t xml:space="preserve"> </w:t>
            </w:r>
            <w:r w:rsidRPr="0053423A">
              <w:rPr>
                <w:rFonts w:eastAsia="Calibri" w:cs="Calibri"/>
                <w:b/>
                <w:sz w:val="20"/>
                <w:szCs w:val="20"/>
              </w:rPr>
              <w:t>խնդիրների</w:t>
            </w:r>
            <w:r w:rsidRPr="0053423A">
              <w:rPr>
                <w:rFonts w:eastAsia="Calibri" w:cs="Calibri"/>
                <w:b/>
                <w:sz w:val="20"/>
                <w:szCs w:val="20"/>
                <w:lang w:val="tr-TR"/>
              </w:rPr>
              <w:t xml:space="preserve"> </w:t>
            </w:r>
            <w:r w:rsidRPr="0053423A">
              <w:rPr>
                <w:rFonts w:eastAsia="Calibri" w:cs="Calibri"/>
                <w:b/>
                <w:sz w:val="20"/>
                <w:szCs w:val="20"/>
              </w:rPr>
              <w:t>առաջարկվող</w:t>
            </w:r>
            <w:r w:rsidRPr="0053423A">
              <w:rPr>
                <w:rFonts w:eastAsia="Calibri" w:cs="Calibri"/>
                <w:b/>
                <w:sz w:val="20"/>
                <w:szCs w:val="20"/>
                <w:lang w:val="tr-TR"/>
              </w:rPr>
              <w:t xml:space="preserve"> </w:t>
            </w:r>
            <w:r w:rsidRPr="0053423A">
              <w:rPr>
                <w:rFonts w:eastAsia="Calibri" w:cs="Calibri"/>
                <w:b/>
                <w:sz w:val="20"/>
                <w:szCs w:val="20"/>
              </w:rPr>
              <w:t>լուծումները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Մասնագիտական</w:t>
            </w:r>
            <w:r w:rsidRPr="0053423A">
              <w:rPr>
                <w:rFonts w:eastAsia="Calibri" w:cs="Calibri"/>
                <w:sz w:val="20"/>
                <w:szCs w:val="20"/>
                <w:lang w:val="tr-TR"/>
              </w:rPr>
              <w:t xml:space="preserve">, </w:t>
            </w:r>
            <w:r w:rsidRPr="0053423A">
              <w:rPr>
                <w:rFonts w:eastAsia="Calibri" w:cs="Calibri"/>
                <w:sz w:val="20"/>
                <w:szCs w:val="20"/>
              </w:rPr>
              <w:t>տեխնիկական</w:t>
            </w:r>
            <w:r w:rsidRPr="0053423A">
              <w:rPr>
                <w:rFonts w:eastAsia="Calibri" w:cs="Calibri"/>
                <w:sz w:val="20"/>
                <w:szCs w:val="20"/>
                <w:lang w:val="tr-TR"/>
              </w:rPr>
              <w:t xml:space="preserve"> </w:t>
            </w:r>
            <w:r w:rsidRPr="0053423A">
              <w:rPr>
                <w:rFonts w:eastAsia="Calibri" w:cs="Calibri"/>
                <w:sz w:val="20"/>
                <w:szCs w:val="20"/>
              </w:rPr>
              <w:t>նորագույն</w:t>
            </w:r>
            <w:r w:rsidRPr="0053423A">
              <w:rPr>
                <w:rFonts w:eastAsia="Calibri" w:cs="Calibri"/>
                <w:sz w:val="20"/>
                <w:szCs w:val="20"/>
                <w:lang w:val="tr-TR"/>
              </w:rPr>
              <w:t xml:space="preserve"> </w:t>
            </w:r>
            <w:r w:rsidRPr="0053423A">
              <w:rPr>
                <w:rFonts w:eastAsia="Calibri" w:cs="Calibri"/>
                <w:sz w:val="20"/>
                <w:szCs w:val="20"/>
              </w:rPr>
              <w:t>մեթոդներին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նորագույն</w:t>
            </w:r>
            <w:r w:rsidRPr="0053423A">
              <w:rPr>
                <w:rFonts w:eastAsia="Calibri" w:cs="Calibri"/>
                <w:sz w:val="20"/>
                <w:szCs w:val="20"/>
                <w:lang w:val="tr-TR"/>
              </w:rPr>
              <w:t xml:space="preserve"> </w:t>
            </w:r>
            <w:r w:rsidRPr="0053423A">
              <w:rPr>
                <w:rFonts w:eastAsia="Calibri" w:cs="Calibri"/>
                <w:sz w:val="20"/>
                <w:szCs w:val="20"/>
              </w:rPr>
              <w:t>տենդենցներին</w:t>
            </w:r>
            <w:r w:rsidRPr="0053423A">
              <w:rPr>
                <w:rFonts w:eastAsia="Calibri" w:cs="Calibri"/>
                <w:sz w:val="20"/>
                <w:szCs w:val="20"/>
                <w:lang w:val="tr-TR"/>
              </w:rPr>
              <w:t xml:space="preserve"> </w:t>
            </w:r>
            <w:r w:rsidRPr="0053423A">
              <w:rPr>
                <w:rFonts w:eastAsia="Calibri" w:cs="Calibri"/>
                <w:sz w:val="20"/>
                <w:szCs w:val="20"/>
              </w:rPr>
              <w:t>հնարավորինս</w:t>
            </w:r>
            <w:r w:rsidRPr="0053423A">
              <w:rPr>
                <w:rFonts w:eastAsia="Calibri" w:cs="Calibri"/>
                <w:sz w:val="20"/>
                <w:szCs w:val="20"/>
                <w:lang w:val="tr-TR"/>
              </w:rPr>
              <w:t xml:space="preserve"> </w:t>
            </w:r>
            <w:r w:rsidRPr="0053423A">
              <w:rPr>
                <w:rFonts w:eastAsia="Calibri" w:cs="Calibri"/>
                <w:sz w:val="20"/>
                <w:szCs w:val="20"/>
              </w:rPr>
              <w:t>մոտենալու</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կիրառելու</w:t>
            </w:r>
            <w:r w:rsidRPr="0053423A">
              <w:rPr>
                <w:rFonts w:eastAsia="Calibri" w:cs="Calibri"/>
                <w:sz w:val="20"/>
                <w:szCs w:val="20"/>
                <w:lang w:val="tr-TR"/>
              </w:rPr>
              <w:t xml:space="preserve"> </w:t>
            </w:r>
            <w:r w:rsidRPr="0053423A">
              <w:rPr>
                <w:rFonts w:eastAsia="Calibri" w:cs="Calibri"/>
                <w:sz w:val="20"/>
                <w:szCs w:val="20"/>
              </w:rPr>
              <w:t>նպատակով</w:t>
            </w:r>
            <w:r w:rsidRPr="0053423A">
              <w:rPr>
                <w:rFonts w:eastAsia="Calibri" w:cs="Calibri"/>
                <w:sz w:val="20"/>
                <w:szCs w:val="20"/>
                <w:lang w:val="tr-TR"/>
              </w:rPr>
              <w:t xml:space="preserve"> </w:t>
            </w:r>
            <w:r w:rsidRPr="0053423A">
              <w:rPr>
                <w:rFonts w:eastAsia="Calibri" w:cs="Calibri"/>
                <w:sz w:val="20"/>
                <w:szCs w:val="20"/>
              </w:rPr>
              <w:t>իրականացվում</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բոլոր</w:t>
            </w:r>
            <w:r w:rsidRPr="0053423A">
              <w:rPr>
                <w:rFonts w:eastAsia="Calibri" w:cs="Calibri"/>
                <w:sz w:val="20"/>
                <w:szCs w:val="20"/>
                <w:lang w:val="tr-TR"/>
              </w:rPr>
              <w:t xml:space="preserve"> </w:t>
            </w:r>
            <w:r w:rsidRPr="0053423A">
              <w:rPr>
                <w:rFonts w:eastAsia="Calibri" w:cs="Calibri"/>
                <w:sz w:val="20"/>
                <w:szCs w:val="20"/>
              </w:rPr>
              <w:t>ոլորտներում</w:t>
            </w:r>
            <w:r w:rsidRPr="0053423A">
              <w:rPr>
                <w:rFonts w:eastAsia="Calibri" w:cs="Calibri"/>
                <w:sz w:val="20"/>
                <w:szCs w:val="20"/>
                <w:lang w:val="tr-TR"/>
              </w:rPr>
              <w:t xml:space="preserve"> </w:t>
            </w:r>
            <w:r w:rsidRPr="0053423A">
              <w:rPr>
                <w:rFonts w:eastAsia="Calibri" w:cs="Calibri"/>
                <w:sz w:val="20"/>
                <w:szCs w:val="20"/>
              </w:rPr>
              <w:t>որակավորման</w:t>
            </w:r>
            <w:r w:rsidRPr="0053423A">
              <w:rPr>
                <w:rFonts w:eastAsia="Calibri" w:cs="Calibri"/>
                <w:sz w:val="20"/>
                <w:szCs w:val="20"/>
                <w:lang w:val="tr-TR"/>
              </w:rPr>
              <w:t xml:space="preserve"> </w:t>
            </w:r>
            <w:r w:rsidRPr="0053423A">
              <w:rPr>
                <w:rFonts w:eastAsia="Calibri" w:cs="Calibri"/>
                <w:sz w:val="20"/>
                <w:szCs w:val="20"/>
              </w:rPr>
              <w:t>բարձրացման</w:t>
            </w:r>
            <w:r w:rsidRPr="0053423A">
              <w:rPr>
                <w:rFonts w:eastAsia="Calibri" w:cs="Calibri"/>
                <w:sz w:val="20"/>
                <w:szCs w:val="20"/>
                <w:lang w:val="tr-TR"/>
              </w:rPr>
              <w:t xml:space="preserve">  </w:t>
            </w:r>
            <w:r w:rsidRPr="0053423A">
              <w:rPr>
                <w:rFonts w:eastAsia="Calibri" w:cs="Calibri"/>
                <w:sz w:val="20"/>
                <w:szCs w:val="20"/>
              </w:rPr>
              <w:t>ուսումնասիրություն</w:t>
            </w:r>
            <w:r w:rsidRPr="0053423A">
              <w:rPr>
                <w:rFonts w:eastAsia="Calibri" w:cs="Calibri"/>
                <w:sz w:val="20"/>
                <w:szCs w:val="20"/>
                <w:lang w:val="tr-TR"/>
              </w:rPr>
              <w:t xml:space="preserve">: </w:t>
            </w:r>
            <w:r w:rsidRPr="0053423A">
              <w:rPr>
                <w:rFonts w:eastAsia="Calibri" w:cs="Calibri"/>
                <w:sz w:val="20"/>
                <w:szCs w:val="20"/>
              </w:rPr>
              <w:t>Խնդիրների</w:t>
            </w:r>
            <w:r w:rsidRPr="0053423A">
              <w:rPr>
                <w:rFonts w:eastAsia="Calibri" w:cs="Calibri"/>
                <w:sz w:val="20"/>
                <w:szCs w:val="20"/>
                <w:lang w:val="tr-TR"/>
              </w:rPr>
              <w:t xml:space="preserve"> </w:t>
            </w:r>
            <w:r w:rsidRPr="0053423A">
              <w:rPr>
                <w:rFonts w:eastAsia="Calibri" w:cs="Calibri"/>
                <w:sz w:val="20"/>
                <w:szCs w:val="20"/>
              </w:rPr>
              <w:t>լուծման</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 xml:space="preserve"> </w:t>
            </w:r>
            <w:r w:rsidRPr="0053423A">
              <w:rPr>
                <w:rFonts w:eastAsia="Calibri" w:cs="Calibri"/>
                <w:sz w:val="20"/>
                <w:szCs w:val="20"/>
              </w:rPr>
              <w:t>դիտարկվում</w:t>
            </w:r>
            <w:r w:rsidRPr="0053423A">
              <w:rPr>
                <w:rFonts w:eastAsia="Calibri" w:cs="Calibri"/>
                <w:sz w:val="20"/>
                <w:szCs w:val="20"/>
                <w:lang w:val="tr-TR"/>
              </w:rPr>
              <w:t xml:space="preserve"> </w:t>
            </w:r>
            <w:r w:rsidRPr="0053423A">
              <w:rPr>
                <w:rFonts w:eastAsia="Calibri" w:cs="Calibri"/>
                <w:sz w:val="20"/>
                <w:szCs w:val="20"/>
              </w:rPr>
              <w:t>են</w:t>
            </w:r>
            <w:r w:rsidRPr="0053423A">
              <w:rPr>
                <w:rFonts w:eastAsia="Calibri" w:cs="Calibri"/>
                <w:sz w:val="20"/>
                <w:szCs w:val="20"/>
                <w:lang w:val="tr-TR"/>
              </w:rPr>
              <w:t xml:space="preserve"> </w:t>
            </w:r>
            <w:r w:rsidRPr="0053423A">
              <w:rPr>
                <w:rFonts w:eastAsia="Calibri" w:cs="Calibri"/>
                <w:sz w:val="20"/>
                <w:szCs w:val="20"/>
              </w:rPr>
              <w:t>Հայաստանի</w:t>
            </w:r>
            <w:r w:rsidRPr="0053423A">
              <w:rPr>
                <w:rFonts w:eastAsia="Calibri" w:cs="Calibri"/>
                <w:sz w:val="20"/>
                <w:szCs w:val="20"/>
                <w:lang w:val="tr-TR"/>
              </w:rPr>
              <w:t xml:space="preserve"> </w:t>
            </w:r>
            <w:r w:rsidRPr="0053423A">
              <w:rPr>
                <w:rFonts w:eastAsia="Calibri" w:cs="Calibri"/>
                <w:sz w:val="20"/>
                <w:szCs w:val="20"/>
              </w:rPr>
              <w:t>Հանրապետության</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երկկողմ</w:t>
            </w:r>
            <w:r w:rsidRPr="0053423A">
              <w:rPr>
                <w:rFonts w:eastAsia="Calibri" w:cs="Calibri"/>
                <w:sz w:val="20"/>
                <w:szCs w:val="20"/>
                <w:lang w:val="tr-TR"/>
              </w:rPr>
              <w:t xml:space="preserve"> </w:t>
            </w:r>
            <w:r w:rsidRPr="0053423A">
              <w:rPr>
                <w:rFonts w:eastAsia="Calibri" w:cs="Calibri"/>
                <w:sz w:val="20"/>
                <w:szCs w:val="20"/>
              </w:rPr>
              <w:t>ակտիվ</w:t>
            </w:r>
            <w:r w:rsidRPr="0053423A">
              <w:rPr>
                <w:rFonts w:eastAsia="Calibri" w:cs="Calibri"/>
                <w:sz w:val="20"/>
                <w:szCs w:val="20"/>
                <w:lang w:val="tr-TR"/>
              </w:rPr>
              <w:t xml:space="preserve"> </w:t>
            </w:r>
            <w:r w:rsidRPr="0053423A">
              <w:rPr>
                <w:rFonts w:eastAsia="Calibri" w:cs="Calibri"/>
                <w:sz w:val="20"/>
                <w:szCs w:val="20"/>
              </w:rPr>
              <w:t>հարաբերություններ</w:t>
            </w:r>
            <w:r w:rsidRPr="0053423A">
              <w:rPr>
                <w:rFonts w:eastAsia="Calibri" w:cs="Calibri"/>
                <w:sz w:val="20"/>
                <w:szCs w:val="20"/>
                <w:lang w:val="tr-TR"/>
              </w:rPr>
              <w:t xml:space="preserve"> </w:t>
            </w:r>
            <w:r w:rsidRPr="0053423A">
              <w:rPr>
                <w:rFonts w:eastAsia="Calibri" w:cs="Calibri"/>
                <w:sz w:val="20"/>
                <w:szCs w:val="20"/>
              </w:rPr>
              <w:t>ունեցող</w:t>
            </w:r>
            <w:r w:rsidRPr="0053423A">
              <w:rPr>
                <w:rFonts w:eastAsia="Calibri" w:cs="Calibri"/>
                <w:sz w:val="20"/>
                <w:szCs w:val="20"/>
                <w:lang w:val="tr-TR"/>
              </w:rPr>
              <w:t xml:space="preserve">, </w:t>
            </w:r>
            <w:r w:rsidRPr="0053423A">
              <w:rPr>
                <w:rFonts w:eastAsia="Calibri" w:cs="Calibri"/>
                <w:sz w:val="20"/>
                <w:szCs w:val="20"/>
              </w:rPr>
              <w:t>վավերացված</w:t>
            </w:r>
            <w:r w:rsidRPr="0053423A">
              <w:rPr>
                <w:rFonts w:eastAsia="Calibri" w:cs="Calibri"/>
                <w:sz w:val="20"/>
                <w:szCs w:val="20"/>
                <w:lang w:val="tr-TR"/>
              </w:rPr>
              <w:t xml:space="preserve"> </w:t>
            </w:r>
            <w:r w:rsidRPr="0053423A">
              <w:rPr>
                <w:rFonts w:eastAsia="Calibri" w:cs="Calibri"/>
                <w:sz w:val="20"/>
                <w:szCs w:val="20"/>
              </w:rPr>
              <w:t>միջպետական</w:t>
            </w:r>
            <w:r w:rsidRPr="0053423A">
              <w:rPr>
                <w:rFonts w:eastAsia="Calibri" w:cs="Calibri"/>
                <w:sz w:val="20"/>
                <w:szCs w:val="20"/>
                <w:lang w:val="tr-TR"/>
              </w:rPr>
              <w:t xml:space="preserve"> </w:t>
            </w:r>
            <w:r w:rsidRPr="0053423A">
              <w:rPr>
                <w:rFonts w:eastAsia="Calibri" w:cs="Calibri"/>
                <w:sz w:val="20"/>
                <w:szCs w:val="20"/>
              </w:rPr>
              <w:t>կամ</w:t>
            </w:r>
            <w:r w:rsidRPr="0053423A">
              <w:rPr>
                <w:rFonts w:eastAsia="Calibri" w:cs="Calibri"/>
                <w:sz w:val="20"/>
                <w:szCs w:val="20"/>
                <w:lang w:val="tr-TR"/>
              </w:rPr>
              <w:t xml:space="preserve"> </w:t>
            </w:r>
            <w:r w:rsidRPr="0053423A">
              <w:rPr>
                <w:rFonts w:eastAsia="Calibri" w:cs="Calibri"/>
                <w:sz w:val="20"/>
                <w:szCs w:val="20"/>
              </w:rPr>
              <w:t>միջգերատեսչական</w:t>
            </w:r>
            <w:r w:rsidRPr="0053423A">
              <w:rPr>
                <w:rFonts w:eastAsia="Calibri" w:cs="Calibri"/>
                <w:sz w:val="20"/>
                <w:szCs w:val="20"/>
                <w:lang w:val="tr-TR"/>
              </w:rPr>
              <w:t xml:space="preserve"> </w:t>
            </w:r>
            <w:r w:rsidRPr="0053423A">
              <w:rPr>
                <w:rFonts w:eastAsia="Calibri" w:cs="Calibri"/>
                <w:sz w:val="20"/>
                <w:szCs w:val="20"/>
              </w:rPr>
              <w:t>փաստթղթերի</w:t>
            </w:r>
            <w:r w:rsidRPr="0053423A">
              <w:rPr>
                <w:rFonts w:eastAsia="Calibri" w:cs="Calibri"/>
                <w:sz w:val="20"/>
                <w:szCs w:val="20"/>
                <w:lang w:val="tr-TR"/>
              </w:rPr>
              <w:t xml:space="preserve"> </w:t>
            </w:r>
            <w:r w:rsidRPr="0053423A">
              <w:rPr>
                <w:rFonts w:eastAsia="Calibri" w:cs="Calibri"/>
                <w:sz w:val="20"/>
                <w:szCs w:val="20"/>
              </w:rPr>
              <w:t>շրջանակներում</w:t>
            </w:r>
            <w:r w:rsidRPr="0053423A">
              <w:rPr>
                <w:rFonts w:eastAsia="Calibri" w:cs="Calibri"/>
                <w:sz w:val="20"/>
                <w:szCs w:val="20"/>
                <w:lang w:val="tr-TR"/>
              </w:rPr>
              <w:t xml:space="preserve"> </w:t>
            </w:r>
            <w:r w:rsidRPr="0053423A">
              <w:rPr>
                <w:rFonts w:eastAsia="Calibri" w:cs="Calibri"/>
                <w:sz w:val="20"/>
                <w:szCs w:val="20"/>
              </w:rPr>
              <w:t>համագործակցող</w:t>
            </w:r>
            <w:r w:rsidRPr="0053423A">
              <w:rPr>
                <w:rFonts w:eastAsia="Calibri" w:cs="Calibri"/>
                <w:sz w:val="20"/>
                <w:szCs w:val="20"/>
                <w:lang w:val="tr-TR"/>
              </w:rPr>
              <w:t xml:space="preserve"> </w:t>
            </w:r>
            <w:r w:rsidRPr="0053423A">
              <w:rPr>
                <w:rFonts w:eastAsia="Calibri" w:cs="Calibri"/>
                <w:sz w:val="20"/>
                <w:szCs w:val="20"/>
              </w:rPr>
              <w:t>պետությունները</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միջազգային</w:t>
            </w:r>
            <w:r w:rsidRPr="0053423A">
              <w:rPr>
                <w:rFonts w:eastAsia="Calibri" w:cs="Calibri"/>
                <w:sz w:val="20"/>
                <w:szCs w:val="20"/>
                <w:lang w:val="tr-TR"/>
              </w:rPr>
              <w:t xml:space="preserve"> </w:t>
            </w:r>
            <w:r w:rsidRPr="0053423A">
              <w:rPr>
                <w:rFonts w:eastAsia="Calibri" w:cs="Calibri"/>
                <w:sz w:val="20"/>
                <w:szCs w:val="20"/>
              </w:rPr>
              <w:t>կազմակերպությունները</w:t>
            </w:r>
            <w:r w:rsidRPr="0053423A">
              <w:rPr>
                <w:rFonts w:eastAsia="Calibri" w:cs="Calibri"/>
                <w:sz w:val="20"/>
                <w:szCs w:val="20"/>
                <w:lang w:val="tr-TR"/>
              </w:rPr>
              <w:t xml:space="preserve">: </w:t>
            </w:r>
            <w:r w:rsidRPr="0053423A">
              <w:rPr>
                <w:rFonts w:eastAsia="Calibri" w:cs="Calibri"/>
                <w:sz w:val="20"/>
                <w:szCs w:val="20"/>
              </w:rPr>
              <w:t>Կոնկրետ</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ոլորտի</w:t>
            </w:r>
            <w:r w:rsidRPr="0053423A">
              <w:rPr>
                <w:rFonts w:eastAsia="Calibri" w:cs="Calibri"/>
                <w:sz w:val="20"/>
                <w:szCs w:val="20"/>
                <w:lang w:val="tr-TR"/>
              </w:rPr>
              <w:t xml:space="preserve"> </w:t>
            </w:r>
            <w:r w:rsidRPr="0053423A">
              <w:rPr>
                <w:rFonts w:eastAsia="Calibri" w:cs="Calibri"/>
                <w:sz w:val="20"/>
                <w:szCs w:val="20"/>
              </w:rPr>
              <w:t>կարգավորման</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 xml:space="preserve"> </w:t>
            </w:r>
            <w:r w:rsidRPr="0053423A">
              <w:rPr>
                <w:rFonts w:eastAsia="Calibri" w:cs="Calibri"/>
                <w:sz w:val="20"/>
                <w:szCs w:val="20"/>
              </w:rPr>
              <w:t>պետական</w:t>
            </w:r>
            <w:r w:rsidRPr="0053423A">
              <w:rPr>
                <w:rFonts w:eastAsia="Calibri" w:cs="Calibri"/>
                <w:sz w:val="20"/>
                <w:szCs w:val="20"/>
                <w:lang w:val="tr-TR"/>
              </w:rPr>
              <w:t xml:space="preserve"> </w:t>
            </w:r>
            <w:r w:rsidRPr="0053423A">
              <w:rPr>
                <w:rFonts w:eastAsia="Calibri" w:cs="Calibri"/>
                <w:sz w:val="20"/>
                <w:szCs w:val="20"/>
              </w:rPr>
              <w:t>ոչ</w:t>
            </w:r>
            <w:r w:rsidRPr="0053423A">
              <w:rPr>
                <w:rFonts w:eastAsia="Calibri" w:cs="Calibri"/>
                <w:sz w:val="20"/>
                <w:szCs w:val="20"/>
                <w:lang w:val="tr-TR"/>
              </w:rPr>
              <w:t xml:space="preserve"> </w:t>
            </w:r>
            <w:r w:rsidRPr="0053423A">
              <w:rPr>
                <w:rFonts w:eastAsia="Calibri" w:cs="Calibri"/>
                <w:sz w:val="20"/>
                <w:szCs w:val="20"/>
              </w:rPr>
              <w:t>առևտրային</w:t>
            </w:r>
            <w:r w:rsidRPr="0053423A">
              <w:rPr>
                <w:rFonts w:eastAsia="Calibri" w:cs="Calibri"/>
                <w:sz w:val="20"/>
                <w:szCs w:val="20"/>
                <w:lang w:val="tr-TR"/>
              </w:rPr>
              <w:t xml:space="preserve"> </w:t>
            </w:r>
            <w:r w:rsidRPr="0053423A">
              <w:rPr>
                <w:rFonts w:eastAsia="Calibri" w:cs="Calibri"/>
                <w:sz w:val="20"/>
                <w:szCs w:val="20"/>
              </w:rPr>
              <w:t>կազմակերպության</w:t>
            </w:r>
            <w:r w:rsidRPr="0053423A">
              <w:rPr>
                <w:rFonts w:eastAsia="Calibri" w:cs="Calibri"/>
                <w:sz w:val="20"/>
                <w:szCs w:val="20"/>
                <w:lang w:val="tr-TR"/>
              </w:rPr>
              <w:t xml:space="preserve"> </w:t>
            </w:r>
            <w:r w:rsidRPr="0053423A">
              <w:rPr>
                <w:rFonts w:eastAsia="Calibri" w:cs="Calibri"/>
                <w:sz w:val="20"/>
                <w:szCs w:val="20"/>
              </w:rPr>
              <w:t>ներկայացուցիչների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համագործակցության</w:t>
            </w:r>
            <w:r w:rsidRPr="0053423A">
              <w:rPr>
                <w:rFonts w:eastAsia="Calibri" w:cs="Calibri"/>
                <w:sz w:val="20"/>
                <w:szCs w:val="20"/>
                <w:lang w:val="tr-TR"/>
              </w:rPr>
              <w:t xml:space="preserve"> </w:t>
            </w:r>
            <w:r w:rsidRPr="0053423A">
              <w:rPr>
                <w:rFonts w:eastAsia="Calibri" w:cs="Calibri"/>
                <w:sz w:val="20"/>
                <w:szCs w:val="20"/>
              </w:rPr>
              <w:t>արդյունքում</w:t>
            </w:r>
            <w:r w:rsidRPr="0053423A">
              <w:rPr>
                <w:rFonts w:eastAsia="Calibri" w:cs="Calibri"/>
                <w:sz w:val="20"/>
                <w:szCs w:val="20"/>
                <w:lang w:val="tr-TR"/>
              </w:rPr>
              <w:t xml:space="preserve"> </w:t>
            </w:r>
            <w:r w:rsidRPr="0053423A">
              <w:rPr>
                <w:rFonts w:eastAsia="Calibri" w:cs="Calibri"/>
                <w:sz w:val="20"/>
                <w:szCs w:val="20"/>
              </w:rPr>
              <w:t>ընտրվում</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մշակվում</w:t>
            </w:r>
            <w:r w:rsidRPr="0053423A">
              <w:rPr>
                <w:rFonts w:eastAsia="Calibri" w:cs="Calibri"/>
                <w:sz w:val="20"/>
                <w:szCs w:val="20"/>
                <w:lang w:val="tr-TR"/>
              </w:rPr>
              <w:t xml:space="preserve"> </w:t>
            </w:r>
            <w:r w:rsidRPr="0053423A">
              <w:rPr>
                <w:rFonts w:eastAsia="Calibri" w:cs="Calibri"/>
                <w:sz w:val="20"/>
                <w:szCs w:val="20"/>
              </w:rPr>
              <w:t>են</w:t>
            </w:r>
            <w:r w:rsidRPr="0053423A">
              <w:rPr>
                <w:rFonts w:eastAsia="Calibri" w:cs="Calibri"/>
                <w:sz w:val="20"/>
                <w:szCs w:val="20"/>
                <w:lang w:val="tr-TR"/>
              </w:rPr>
              <w:t xml:space="preserve"> </w:t>
            </w:r>
            <w:r w:rsidRPr="0053423A">
              <w:rPr>
                <w:rFonts w:eastAsia="Calibri" w:cs="Calibri"/>
                <w:sz w:val="20"/>
                <w:szCs w:val="20"/>
              </w:rPr>
              <w:t>կոնկրետ</w:t>
            </w:r>
            <w:r w:rsidRPr="0053423A">
              <w:rPr>
                <w:rFonts w:eastAsia="Calibri" w:cs="Calibri"/>
                <w:sz w:val="20"/>
                <w:szCs w:val="20"/>
                <w:lang w:val="tr-TR"/>
              </w:rPr>
              <w:t xml:space="preserve"> </w:t>
            </w:r>
            <w:r w:rsidRPr="0053423A">
              <w:rPr>
                <w:rFonts w:eastAsia="Calibri" w:cs="Calibri"/>
                <w:sz w:val="20"/>
                <w:szCs w:val="20"/>
              </w:rPr>
              <w:t>միջոցառումներ</w:t>
            </w:r>
            <w:r w:rsidRPr="0053423A">
              <w:rPr>
                <w:rFonts w:eastAsia="Calibri" w:cs="Calibri"/>
                <w:sz w:val="20"/>
                <w:szCs w:val="20"/>
                <w:lang w:val="tr-TR"/>
              </w:rPr>
              <w:t xml:space="preserve"> /</w:t>
            </w:r>
            <w:r w:rsidRPr="0053423A">
              <w:rPr>
                <w:rFonts w:eastAsia="Calibri" w:cs="Calibri"/>
                <w:sz w:val="20"/>
                <w:szCs w:val="20"/>
              </w:rPr>
              <w:t>օրինակ</w:t>
            </w:r>
            <w:r w:rsidRPr="0053423A">
              <w:rPr>
                <w:rFonts w:eastAsia="Calibri" w:cs="Calibri"/>
                <w:sz w:val="20"/>
                <w:szCs w:val="20"/>
                <w:lang w:val="tr-TR"/>
              </w:rPr>
              <w:t xml:space="preserve">` </w:t>
            </w:r>
            <w:r w:rsidRPr="0053423A">
              <w:rPr>
                <w:rFonts w:eastAsia="Calibri" w:cs="Calibri"/>
                <w:sz w:val="20"/>
                <w:szCs w:val="20"/>
              </w:rPr>
              <w:t>խորեոգրաֆների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բալետային</w:t>
            </w:r>
            <w:r w:rsidRPr="0053423A">
              <w:rPr>
                <w:rFonts w:eastAsia="Calibri" w:cs="Calibri"/>
                <w:sz w:val="20"/>
                <w:szCs w:val="20"/>
                <w:lang w:val="tr-TR"/>
              </w:rPr>
              <w:t xml:space="preserve"> </w:t>
            </w:r>
            <w:r w:rsidRPr="0053423A">
              <w:rPr>
                <w:rFonts w:eastAsia="Calibri" w:cs="Calibri"/>
                <w:sz w:val="20"/>
                <w:szCs w:val="20"/>
              </w:rPr>
              <w:t>տեխնիկայի</w:t>
            </w:r>
            <w:r w:rsidRPr="0053423A">
              <w:rPr>
                <w:rFonts w:eastAsia="Calibri" w:cs="Calibri"/>
                <w:sz w:val="20"/>
                <w:szCs w:val="20"/>
                <w:lang w:val="tr-TR"/>
              </w:rPr>
              <w:t xml:space="preserve"> </w:t>
            </w:r>
            <w:r w:rsidRPr="0053423A">
              <w:rPr>
                <w:rFonts w:eastAsia="Calibri" w:cs="Calibri"/>
                <w:sz w:val="20"/>
                <w:szCs w:val="20"/>
              </w:rPr>
              <w:t>զարգացման</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 xml:space="preserve"> </w:t>
            </w:r>
            <w:r w:rsidRPr="0053423A">
              <w:rPr>
                <w:rFonts w:eastAsia="Calibri" w:cs="Calibri"/>
                <w:sz w:val="20"/>
                <w:szCs w:val="20"/>
              </w:rPr>
              <w:t>ընտրվել</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Բ</w:t>
            </w:r>
            <w:r w:rsidRPr="0053423A">
              <w:rPr>
                <w:rFonts w:eastAsia="Calibri" w:cs="Calibri"/>
                <w:sz w:val="20"/>
                <w:szCs w:val="20"/>
                <w:lang w:val="tr-TR"/>
              </w:rPr>
              <w:t xml:space="preserve">. </w:t>
            </w:r>
            <w:r w:rsidRPr="0053423A">
              <w:rPr>
                <w:rFonts w:eastAsia="Calibri" w:cs="Calibri"/>
                <w:sz w:val="20"/>
                <w:szCs w:val="20"/>
              </w:rPr>
              <w:t>Էյֆմանի</w:t>
            </w:r>
            <w:r w:rsidRPr="0053423A">
              <w:rPr>
                <w:rFonts w:eastAsia="Calibri" w:cs="Calibri"/>
                <w:sz w:val="20"/>
                <w:szCs w:val="20"/>
                <w:lang w:val="tr-TR"/>
              </w:rPr>
              <w:t xml:space="preserve"> </w:t>
            </w:r>
            <w:r w:rsidRPr="0053423A">
              <w:rPr>
                <w:rFonts w:eastAsia="Calibri" w:cs="Calibri"/>
                <w:sz w:val="20"/>
                <w:szCs w:val="20"/>
              </w:rPr>
              <w:t>բալետի</w:t>
            </w:r>
            <w:r w:rsidRPr="0053423A">
              <w:rPr>
                <w:rFonts w:eastAsia="Calibri" w:cs="Calibri"/>
                <w:sz w:val="20"/>
                <w:szCs w:val="20"/>
                <w:lang w:val="tr-TR"/>
              </w:rPr>
              <w:t xml:space="preserve"> </w:t>
            </w:r>
            <w:r w:rsidRPr="0053423A">
              <w:rPr>
                <w:rFonts w:eastAsia="Calibri" w:cs="Calibri"/>
                <w:sz w:val="20"/>
                <w:szCs w:val="20"/>
              </w:rPr>
              <w:t>դպրոցը</w:t>
            </w:r>
            <w:r w:rsidRPr="0053423A">
              <w:rPr>
                <w:rFonts w:eastAsia="Calibri" w:cs="Calibri"/>
                <w:sz w:val="20"/>
                <w:szCs w:val="20"/>
                <w:lang w:val="tr-TR"/>
              </w:rPr>
              <w:t xml:space="preserve">, </w:t>
            </w:r>
            <w:r w:rsidRPr="0053423A">
              <w:rPr>
                <w:rFonts w:eastAsia="Calibri" w:cs="Calibri"/>
                <w:sz w:val="20"/>
                <w:szCs w:val="20"/>
              </w:rPr>
              <w:t>իսկ</w:t>
            </w:r>
            <w:r w:rsidRPr="0053423A">
              <w:rPr>
                <w:rFonts w:eastAsia="Calibri" w:cs="Calibri"/>
                <w:sz w:val="20"/>
                <w:szCs w:val="20"/>
                <w:lang w:val="tr-TR"/>
              </w:rPr>
              <w:t xml:space="preserve"> </w:t>
            </w:r>
            <w:r w:rsidRPr="0053423A">
              <w:rPr>
                <w:rFonts w:eastAsia="Calibri" w:cs="Calibri"/>
                <w:sz w:val="20"/>
                <w:szCs w:val="20"/>
              </w:rPr>
              <w:t>թանգարանային</w:t>
            </w:r>
            <w:r w:rsidRPr="0053423A">
              <w:rPr>
                <w:rFonts w:eastAsia="Calibri" w:cs="Calibri"/>
                <w:sz w:val="20"/>
                <w:szCs w:val="20"/>
                <w:lang w:val="tr-TR"/>
              </w:rPr>
              <w:t xml:space="preserve"> </w:t>
            </w:r>
            <w:r w:rsidRPr="0053423A">
              <w:rPr>
                <w:rFonts w:eastAsia="Calibri" w:cs="Calibri"/>
                <w:sz w:val="20"/>
                <w:szCs w:val="20"/>
              </w:rPr>
              <w:t>գործի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կուրատորական</w:t>
            </w:r>
            <w:r w:rsidRPr="0053423A">
              <w:rPr>
                <w:rFonts w:eastAsia="Calibri" w:cs="Calibri"/>
                <w:sz w:val="20"/>
                <w:szCs w:val="20"/>
                <w:lang w:val="tr-TR"/>
              </w:rPr>
              <w:t xml:space="preserve"> </w:t>
            </w:r>
            <w:r w:rsidRPr="0053423A">
              <w:rPr>
                <w:rFonts w:eastAsia="Calibri" w:cs="Calibri"/>
                <w:sz w:val="20"/>
                <w:szCs w:val="20"/>
              </w:rPr>
              <w:t>դպրոցի</w:t>
            </w:r>
            <w:r w:rsidRPr="0053423A">
              <w:rPr>
                <w:rFonts w:eastAsia="Calibri" w:cs="Calibri"/>
                <w:sz w:val="20"/>
                <w:szCs w:val="20"/>
                <w:lang w:val="tr-TR"/>
              </w:rPr>
              <w:t xml:space="preserve"> </w:t>
            </w:r>
            <w:r w:rsidRPr="0053423A">
              <w:rPr>
                <w:rFonts w:eastAsia="Calibri" w:cs="Calibri"/>
                <w:sz w:val="20"/>
                <w:szCs w:val="20"/>
              </w:rPr>
              <w:t>զարգացման</w:t>
            </w:r>
            <w:r w:rsidRPr="0053423A">
              <w:rPr>
                <w:rFonts w:eastAsia="Calibri" w:cs="Calibri"/>
                <w:sz w:val="20"/>
                <w:szCs w:val="20"/>
                <w:lang w:val="tr-TR"/>
              </w:rPr>
              <w:t xml:space="preserve"> </w:t>
            </w:r>
            <w:r w:rsidRPr="0053423A">
              <w:rPr>
                <w:rFonts w:eastAsia="Calibri" w:cs="Calibri"/>
                <w:sz w:val="20"/>
                <w:szCs w:val="20"/>
              </w:rPr>
              <w:t>ծրագրերի</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 xml:space="preserve"> </w:t>
            </w:r>
            <w:r w:rsidRPr="0053423A">
              <w:rPr>
                <w:rFonts w:eastAsia="Calibri" w:cs="Calibri"/>
                <w:sz w:val="20"/>
                <w:szCs w:val="20"/>
              </w:rPr>
              <w:t>համագործակցում</w:t>
            </w:r>
            <w:r w:rsidRPr="0053423A">
              <w:rPr>
                <w:rFonts w:eastAsia="Calibri" w:cs="Calibri"/>
                <w:sz w:val="20"/>
                <w:szCs w:val="20"/>
                <w:lang w:val="tr-TR"/>
              </w:rPr>
              <w:t xml:space="preserve"> </w:t>
            </w:r>
            <w:r w:rsidRPr="0053423A">
              <w:rPr>
                <w:rFonts w:eastAsia="Calibri" w:cs="Calibri"/>
                <w:sz w:val="20"/>
                <w:szCs w:val="20"/>
              </w:rPr>
              <w:t>ենք</w:t>
            </w:r>
            <w:r w:rsidRPr="0053423A">
              <w:rPr>
                <w:rFonts w:eastAsia="Calibri" w:cs="Calibri"/>
                <w:sz w:val="20"/>
                <w:szCs w:val="20"/>
                <w:lang w:val="tr-TR"/>
              </w:rPr>
              <w:t xml:space="preserve"> </w:t>
            </w:r>
            <w:r w:rsidRPr="0053423A">
              <w:rPr>
                <w:rFonts w:eastAsia="Calibri" w:cs="Calibri"/>
                <w:sz w:val="20"/>
                <w:szCs w:val="20"/>
              </w:rPr>
              <w:t>ԻԿՈՄ</w:t>
            </w:r>
            <w:r w:rsidRPr="0053423A">
              <w:rPr>
                <w:rFonts w:eastAsia="Calibri" w:cs="Calibri"/>
                <w:sz w:val="20"/>
                <w:szCs w:val="20"/>
                <w:lang w:val="tr-TR"/>
              </w:rPr>
              <w:t>-</w:t>
            </w:r>
            <w:r w:rsidRPr="0053423A">
              <w:rPr>
                <w:rFonts w:eastAsia="Calibri" w:cs="Calibri"/>
                <w:sz w:val="20"/>
                <w:szCs w:val="20"/>
              </w:rPr>
              <w:t>ի</w:t>
            </w:r>
            <w:r w:rsidRPr="0053423A">
              <w:rPr>
                <w:rFonts w:eastAsia="Calibri" w:cs="Calibri"/>
                <w:sz w:val="20"/>
                <w:szCs w:val="20"/>
                <w:lang w:val="tr-TR"/>
              </w:rPr>
              <w:t xml:space="preserve">, </w:t>
            </w:r>
            <w:r w:rsidRPr="0053423A">
              <w:rPr>
                <w:rFonts w:eastAsia="Calibri" w:cs="Calibri"/>
                <w:sz w:val="20"/>
                <w:szCs w:val="20"/>
              </w:rPr>
              <w:t>Սմիթսոնյան</w:t>
            </w:r>
            <w:r w:rsidRPr="0053423A">
              <w:rPr>
                <w:rFonts w:eastAsia="Calibri" w:cs="Calibri"/>
                <w:sz w:val="20"/>
                <w:szCs w:val="20"/>
                <w:lang w:val="tr-TR"/>
              </w:rPr>
              <w:t xml:space="preserve"> </w:t>
            </w:r>
            <w:r w:rsidRPr="0053423A">
              <w:rPr>
                <w:rFonts w:eastAsia="Calibri" w:cs="Calibri"/>
                <w:sz w:val="20"/>
                <w:szCs w:val="20"/>
              </w:rPr>
              <w:t>կազմակերպության</w:t>
            </w:r>
            <w:r w:rsidRPr="0053423A">
              <w:rPr>
                <w:rFonts w:eastAsia="Calibri" w:cs="Calibri"/>
                <w:sz w:val="20"/>
                <w:szCs w:val="20"/>
                <w:lang w:val="tr-TR"/>
              </w:rPr>
              <w:t xml:space="preserve">, </w:t>
            </w:r>
            <w:r w:rsidRPr="0053423A">
              <w:rPr>
                <w:rFonts w:eastAsia="Calibri" w:cs="Calibri"/>
                <w:sz w:val="20"/>
                <w:szCs w:val="20"/>
              </w:rPr>
              <w:t>Էրմիտաժի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p>
          <w:p w:rsidR="00A67B6B" w:rsidRPr="0053423A" w:rsidRDefault="00A67B6B" w:rsidP="00A67858">
            <w:pPr>
              <w:tabs>
                <w:tab w:val="left" w:pos="508"/>
              </w:tabs>
              <w:spacing w:after="0" w:line="276" w:lineRule="auto"/>
              <w:jc w:val="both"/>
              <w:rPr>
                <w:rFonts w:eastAsia="Calibri" w:cs="Calibri"/>
                <w:sz w:val="20"/>
                <w:szCs w:val="20"/>
                <w:lang w:val="tr-TR"/>
              </w:rPr>
            </w:pPr>
          </w:p>
          <w:p w:rsidR="00A67B6B" w:rsidRPr="0053423A" w:rsidRDefault="00A67B6B" w:rsidP="001F6D5D">
            <w:pPr>
              <w:numPr>
                <w:ilvl w:val="0"/>
                <w:numId w:val="226"/>
              </w:numPr>
              <w:tabs>
                <w:tab w:val="left" w:pos="245"/>
                <w:tab w:val="left" w:pos="508"/>
              </w:tabs>
              <w:spacing w:after="0" w:line="276" w:lineRule="auto"/>
              <w:ind w:hanging="849"/>
              <w:jc w:val="both"/>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իրականացումից</w:t>
            </w:r>
            <w:r w:rsidRPr="0053423A">
              <w:rPr>
                <w:rFonts w:eastAsia="Calibri" w:cs="Calibri"/>
                <w:b/>
                <w:sz w:val="20"/>
                <w:szCs w:val="20"/>
                <w:lang w:val="tr-TR"/>
              </w:rPr>
              <w:t xml:space="preserve"> </w:t>
            </w:r>
            <w:r w:rsidRPr="0053423A">
              <w:rPr>
                <w:rFonts w:eastAsia="Calibri" w:cs="Calibri"/>
                <w:b/>
                <w:sz w:val="20"/>
                <w:szCs w:val="20"/>
              </w:rPr>
              <w:t>ակնկալվող</w:t>
            </w:r>
            <w:r w:rsidRPr="0053423A">
              <w:rPr>
                <w:rFonts w:eastAsia="Calibri" w:cs="Calibri"/>
                <w:b/>
                <w:sz w:val="20"/>
                <w:szCs w:val="20"/>
                <w:lang w:val="tr-TR"/>
              </w:rPr>
              <w:t xml:space="preserve"> </w:t>
            </w:r>
            <w:r w:rsidRPr="0053423A">
              <w:rPr>
                <w:rFonts w:eastAsia="Calibri" w:cs="Calibri"/>
                <w:b/>
                <w:sz w:val="20"/>
                <w:szCs w:val="20"/>
              </w:rPr>
              <w:t>արդյունքը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Միջոցառումների</w:t>
            </w:r>
            <w:r w:rsidRPr="0053423A">
              <w:rPr>
                <w:rFonts w:eastAsia="Calibri" w:cs="Calibri"/>
                <w:sz w:val="20"/>
                <w:szCs w:val="20"/>
                <w:lang w:val="tr-TR"/>
              </w:rPr>
              <w:t xml:space="preserve"> </w:t>
            </w:r>
            <w:r w:rsidRPr="0053423A">
              <w:rPr>
                <w:rFonts w:eastAsia="Calibri" w:cs="Calibri"/>
                <w:sz w:val="20"/>
                <w:szCs w:val="20"/>
              </w:rPr>
              <w:t>հետևողական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պարբերական</w:t>
            </w:r>
            <w:r w:rsidRPr="0053423A">
              <w:rPr>
                <w:rFonts w:eastAsia="Calibri" w:cs="Calibri"/>
                <w:sz w:val="20"/>
                <w:szCs w:val="20"/>
                <w:lang w:val="tr-TR"/>
              </w:rPr>
              <w:t xml:space="preserve"> </w:t>
            </w:r>
            <w:r w:rsidRPr="0053423A">
              <w:rPr>
                <w:rFonts w:eastAsia="Calibri" w:cs="Calibri"/>
                <w:sz w:val="20"/>
                <w:szCs w:val="20"/>
              </w:rPr>
              <w:t>իրականացման</w:t>
            </w:r>
            <w:r w:rsidRPr="0053423A">
              <w:rPr>
                <w:rFonts w:eastAsia="Calibri" w:cs="Calibri"/>
                <w:sz w:val="20"/>
                <w:szCs w:val="20"/>
                <w:lang w:val="tr-TR"/>
              </w:rPr>
              <w:t xml:space="preserve"> </w:t>
            </w:r>
            <w:r w:rsidRPr="0053423A">
              <w:rPr>
                <w:rFonts w:eastAsia="Calibri" w:cs="Calibri"/>
                <w:sz w:val="20"/>
                <w:szCs w:val="20"/>
              </w:rPr>
              <w:t>արդյունքում</w:t>
            </w:r>
            <w:r w:rsidRPr="0053423A">
              <w:rPr>
                <w:rFonts w:eastAsia="Calibri" w:cs="Calibri"/>
                <w:sz w:val="20"/>
                <w:szCs w:val="20"/>
                <w:lang w:val="tr-TR"/>
              </w:rPr>
              <w:t xml:space="preserve"> </w:t>
            </w:r>
            <w:r w:rsidRPr="0053423A">
              <w:rPr>
                <w:rFonts w:eastAsia="Calibri" w:cs="Calibri"/>
                <w:sz w:val="20"/>
                <w:szCs w:val="20"/>
              </w:rPr>
              <w:t>մշակույթի</w:t>
            </w:r>
            <w:r w:rsidRPr="0053423A">
              <w:rPr>
                <w:rFonts w:eastAsia="Calibri" w:cs="Calibri"/>
                <w:sz w:val="20"/>
                <w:szCs w:val="20"/>
                <w:lang w:val="tr-TR"/>
              </w:rPr>
              <w:t xml:space="preserve"> </w:t>
            </w:r>
            <w:r w:rsidRPr="0053423A">
              <w:rPr>
                <w:rFonts w:eastAsia="Calibri" w:cs="Calibri"/>
                <w:sz w:val="20"/>
                <w:szCs w:val="20"/>
              </w:rPr>
              <w:t>ոլորտները</w:t>
            </w:r>
            <w:r w:rsidRPr="0053423A">
              <w:rPr>
                <w:rFonts w:eastAsia="Calibri" w:cs="Calibri"/>
                <w:sz w:val="20"/>
                <w:szCs w:val="20"/>
                <w:lang w:val="tr-TR"/>
              </w:rPr>
              <w:t xml:space="preserve"> </w:t>
            </w:r>
            <w:r w:rsidRPr="0053423A">
              <w:rPr>
                <w:rFonts w:eastAsia="Calibri" w:cs="Calibri"/>
                <w:sz w:val="20"/>
                <w:szCs w:val="20"/>
              </w:rPr>
              <w:t>կզարգանան</w:t>
            </w:r>
            <w:r w:rsidRPr="0053423A">
              <w:rPr>
                <w:rFonts w:eastAsia="Calibri" w:cs="Calibri"/>
                <w:sz w:val="20"/>
                <w:szCs w:val="20"/>
                <w:lang w:val="tr-TR"/>
              </w:rPr>
              <w:t xml:space="preserve">, </w:t>
            </w:r>
            <w:r w:rsidRPr="0053423A">
              <w:rPr>
                <w:rFonts w:eastAsia="Calibri" w:cs="Calibri"/>
                <w:sz w:val="20"/>
                <w:szCs w:val="20"/>
              </w:rPr>
              <w:t>կաշխատեն</w:t>
            </w:r>
            <w:r w:rsidRPr="0053423A">
              <w:rPr>
                <w:rFonts w:eastAsia="Calibri" w:cs="Calibri"/>
                <w:sz w:val="20"/>
                <w:szCs w:val="20"/>
                <w:lang w:val="tr-TR"/>
              </w:rPr>
              <w:t xml:space="preserve"> </w:t>
            </w:r>
            <w:r w:rsidRPr="0053423A">
              <w:rPr>
                <w:rFonts w:eastAsia="Calibri" w:cs="Calibri"/>
                <w:sz w:val="20"/>
                <w:szCs w:val="20"/>
              </w:rPr>
              <w:t>ավելի</w:t>
            </w:r>
            <w:r w:rsidRPr="0053423A">
              <w:rPr>
                <w:rFonts w:eastAsia="Calibri" w:cs="Calibri"/>
                <w:sz w:val="20"/>
                <w:szCs w:val="20"/>
                <w:lang w:val="tr-TR"/>
              </w:rPr>
              <w:t xml:space="preserve"> </w:t>
            </w:r>
            <w:r w:rsidRPr="0053423A">
              <w:rPr>
                <w:rFonts w:eastAsia="Calibri" w:cs="Calibri"/>
                <w:sz w:val="20"/>
                <w:szCs w:val="20"/>
              </w:rPr>
              <w:t>արդյունավետ</w:t>
            </w:r>
            <w:r w:rsidRPr="0053423A">
              <w:rPr>
                <w:rFonts w:eastAsia="Calibri" w:cs="Calibri"/>
                <w:sz w:val="20"/>
                <w:szCs w:val="20"/>
                <w:lang w:val="tr-TR"/>
              </w:rPr>
              <w:t xml:space="preserve">, </w:t>
            </w:r>
            <w:r w:rsidRPr="0053423A">
              <w:rPr>
                <w:rFonts w:eastAsia="Calibri" w:cs="Calibri"/>
                <w:sz w:val="20"/>
                <w:szCs w:val="20"/>
              </w:rPr>
              <w:t>ճկուն</w:t>
            </w:r>
            <w:r w:rsidRPr="0053423A">
              <w:rPr>
                <w:rFonts w:eastAsia="Calibri" w:cs="Calibri"/>
                <w:sz w:val="20"/>
                <w:szCs w:val="20"/>
                <w:lang w:val="tr-TR"/>
              </w:rPr>
              <w:t xml:space="preserve"> </w:t>
            </w:r>
            <w:r w:rsidRPr="0053423A">
              <w:rPr>
                <w:rFonts w:eastAsia="Calibri" w:cs="Calibri"/>
                <w:sz w:val="20"/>
                <w:szCs w:val="20"/>
              </w:rPr>
              <w:t>համակարգերով</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միջազգային</w:t>
            </w:r>
            <w:r w:rsidRPr="0053423A">
              <w:rPr>
                <w:rFonts w:eastAsia="Calibri" w:cs="Calibri"/>
                <w:sz w:val="20"/>
                <w:szCs w:val="20"/>
                <w:lang w:val="tr-TR"/>
              </w:rPr>
              <w:t xml:space="preserve"> </w:t>
            </w:r>
            <w:r w:rsidRPr="0053423A">
              <w:rPr>
                <w:rFonts w:eastAsia="Calibri" w:cs="Calibri"/>
                <w:sz w:val="20"/>
                <w:szCs w:val="20"/>
              </w:rPr>
              <w:t>չափանիշներին</w:t>
            </w:r>
            <w:r w:rsidRPr="0053423A">
              <w:rPr>
                <w:rFonts w:eastAsia="Calibri" w:cs="Calibri"/>
                <w:sz w:val="20"/>
                <w:szCs w:val="20"/>
                <w:lang w:val="tr-TR"/>
              </w:rPr>
              <w:t xml:space="preserve"> </w:t>
            </w:r>
            <w:r w:rsidRPr="0053423A">
              <w:rPr>
                <w:rFonts w:eastAsia="Calibri" w:cs="Calibri"/>
                <w:sz w:val="20"/>
                <w:szCs w:val="20"/>
              </w:rPr>
              <w:t>համապատասխան</w:t>
            </w:r>
            <w:r w:rsidRPr="0053423A">
              <w:rPr>
                <w:rFonts w:eastAsia="Calibri" w:cs="Calibri"/>
                <w:sz w:val="20"/>
                <w:szCs w:val="20"/>
                <w:lang w:val="tr-TR"/>
              </w:rPr>
              <w:t xml:space="preserve"> </w:t>
            </w:r>
            <w:r w:rsidRPr="0053423A">
              <w:rPr>
                <w:rFonts w:eastAsia="Calibri" w:cs="Calibri"/>
                <w:sz w:val="20"/>
                <w:szCs w:val="20"/>
              </w:rPr>
              <w:t>կներկայացնեն</w:t>
            </w:r>
            <w:r w:rsidRPr="0053423A">
              <w:rPr>
                <w:rFonts w:eastAsia="Calibri" w:cs="Calibri"/>
                <w:sz w:val="20"/>
                <w:szCs w:val="20"/>
                <w:lang w:val="tr-TR"/>
              </w:rPr>
              <w:t xml:space="preserve"> </w:t>
            </w:r>
            <w:r w:rsidRPr="0053423A">
              <w:rPr>
                <w:rFonts w:eastAsia="Calibri" w:cs="Calibri"/>
                <w:sz w:val="20"/>
                <w:szCs w:val="20"/>
              </w:rPr>
              <w:t>ժառանգությունն</w:t>
            </w:r>
            <w:r w:rsidRPr="0053423A">
              <w:rPr>
                <w:rFonts w:eastAsia="Calibri" w:cs="Calibri"/>
                <w:sz w:val="20"/>
                <w:szCs w:val="20"/>
                <w:lang w:val="tr-TR"/>
              </w:rPr>
              <w:t xml:space="preserve"> </w:t>
            </w:r>
            <w:r w:rsidRPr="0053423A">
              <w:rPr>
                <w:rFonts w:eastAsia="Calibri" w:cs="Calibri"/>
                <w:sz w:val="20"/>
                <w:szCs w:val="20"/>
              </w:rPr>
              <w:t>ու</w:t>
            </w:r>
            <w:r w:rsidRPr="0053423A">
              <w:rPr>
                <w:rFonts w:eastAsia="Calibri" w:cs="Calibri"/>
                <w:sz w:val="20"/>
                <w:szCs w:val="20"/>
                <w:lang w:val="tr-TR"/>
              </w:rPr>
              <w:t xml:space="preserve"> </w:t>
            </w:r>
            <w:r w:rsidRPr="0053423A">
              <w:rPr>
                <w:rFonts w:eastAsia="Calibri" w:cs="Calibri"/>
                <w:sz w:val="20"/>
                <w:szCs w:val="20"/>
              </w:rPr>
              <w:t>ժամանակակից</w:t>
            </w:r>
            <w:r w:rsidRPr="0053423A">
              <w:rPr>
                <w:rFonts w:eastAsia="Calibri" w:cs="Calibri"/>
                <w:sz w:val="20"/>
                <w:szCs w:val="20"/>
                <w:lang w:val="tr-TR"/>
              </w:rPr>
              <w:t xml:space="preserve"> </w:t>
            </w:r>
            <w:r w:rsidRPr="0053423A">
              <w:rPr>
                <w:rFonts w:eastAsia="Calibri" w:cs="Calibri"/>
                <w:sz w:val="20"/>
                <w:szCs w:val="20"/>
              </w:rPr>
              <w:t>արվեստը</w:t>
            </w:r>
            <w:r w:rsidRPr="0053423A">
              <w:rPr>
                <w:rFonts w:eastAsia="Calibri" w:cs="Calibri"/>
                <w:sz w:val="20"/>
                <w:szCs w:val="20"/>
                <w:lang w:val="tr-TR"/>
              </w:rPr>
              <w:t>: Հայ մշակութային ժառանգությունը ու ժամանակակից արվեստները միջազգային համատեքստում ինտեգրելու, արժևորելու խնդիր է լուծում, ինչպես նաև այլոց հասկանալի ու հասանելի խնդիր է լուծում, որը քաղաքական և դիվանագիտական նպատակով շատ կարևոր է:</w:t>
            </w:r>
          </w:p>
          <w:p w:rsidR="00A67B6B" w:rsidRPr="0053423A" w:rsidRDefault="00A67B6B" w:rsidP="00A67858">
            <w:pPr>
              <w:tabs>
                <w:tab w:val="left" w:pos="508"/>
              </w:tabs>
              <w:spacing w:after="0" w:line="276" w:lineRule="auto"/>
              <w:jc w:val="center"/>
              <w:rPr>
                <w:rFonts w:eastAsia="Times New Roman" w:cs="Times New Roman"/>
                <w:b/>
                <w:sz w:val="20"/>
                <w:szCs w:val="20"/>
                <w:lang w:val="tr-TR"/>
              </w:rPr>
            </w:pPr>
          </w:p>
          <w:p w:rsidR="00A67B6B" w:rsidRPr="0053423A" w:rsidRDefault="00A67B6B" w:rsidP="00A67858">
            <w:pPr>
              <w:tabs>
                <w:tab w:val="left" w:pos="508"/>
              </w:tabs>
              <w:spacing w:after="0" w:line="276" w:lineRule="auto"/>
              <w:jc w:val="center"/>
              <w:rPr>
                <w:rFonts w:eastAsia="Times New Roman" w:cs="Times New Roman"/>
                <w:b/>
                <w:sz w:val="20"/>
                <w:szCs w:val="20"/>
                <w:lang w:val="tr-TR"/>
              </w:rPr>
            </w:pPr>
            <w:r w:rsidRPr="0053423A">
              <w:rPr>
                <w:rFonts w:eastAsia="Times New Roman" w:cs="Times New Roman"/>
                <w:b/>
                <w:sz w:val="20"/>
                <w:szCs w:val="20"/>
                <w:lang w:val="tr-TR"/>
              </w:rPr>
              <w:t xml:space="preserve">7.3 </w:t>
            </w:r>
            <w:r w:rsidRPr="0053423A">
              <w:rPr>
                <w:rFonts w:eastAsia="Times New Roman" w:cs="Times New Roman"/>
                <w:b/>
                <w:sz w:val="20"/>
                <w:szCs w:val="20"/>
                <w:lang w:val="ru-RU"/>
              </w:rPr>
              <w:t>Դեբյուտային</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ստեղծագործական</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ծրագրերի</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և</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արվեստի</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փորձարարական</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և</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նորարարական</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ձևերին</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խրարուսում</w:t>
            </w:r>
          </w:p>
          <w:p w:rsidR="00A67B6B" w:rsidRPr="0053423A" w:rsidRDefault="00A67B6B" w:rsidP="00A67858">
            <w:pPr>
              <w:tabs>
                <w:tab w:val="left" w:pos="508"/>
              </w:tabs>
              <w:spacing w:after="0" w:line="276" w:lineRule="auto"/>
              <w:jc w:val="center"/>
              <w:rPr>
                <w:rFonts w:eastAsia="Times New Roman" w:cs="Times New Roman"/>
                <w:sz w:val="20"/>
                <w:szCs w:val="20"/>
                <w:lang w:val="tr-TR"/>
              </w:rPr>
            </w:pPr>
          </w:p>
          <w:p w:rsidR="00A67B6B" w:rsidRPr="0053423A" w:rsidRDefault="00A67B6B" w:rsidP="001F6D5D">
            <w:pPr>
              <w:numPr>
                <w:ilvl w:val="0"/>
                <w:numId w:val="219"/>
              </w:numPr>
              <w:tabs>
                <w:tab w:val="left" w:pos="438"/>
              </w:tabs>
              <w:spacing w:after="0" w:line="276" w:lineRule="auto"/>
              <w:ind w:hanging="1170"/>
              <w:contextualSpacing/>
              <w:rPr>
                <w:rFonts w:eastAsia="Times New Roman" w:cs="Times New Roman"/>
                <w:sz w:val="20"/>
                <w:szCs w:val="20"/>
                <w:lang w:val="hy-AM"/>
              </w:rPr>
            </w:pPr>
            <w:r w:rsidRPr="0053423A">
              <w:rPr>
                <w:rFonts w:eastAsia="Times New Roman" w:cs="Times New Roman"/>
                <w:b/>
                <w:sz w:val="20"/>
                <w:szCs w:val="20"/>
                <w:lang w:val="hy-AM"/>
              </w:rPr>
              <w:t>Միջոցառման իրակացման անհրաժեշտությունը և նպատակը</w:t>
            </w:r>
            <w:r w:rsidRPr="0053423A">
              <w:rPr>
                <w:rFonts w:eastAsia="Times New Roman" w:cs="Times New Roman"/>
                <w:sz w:val="20"/>
                <w:szCs w:val="20"/>
                <w:lang w:val="hy-AM"/>
              </w:rPr>
              <w:t xml:space="preserve"> </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Times New Roman" w:cs="Times New Roman"/>
                <w:sz w:val="20"/>
                <w:szCs w:val="20"/>
                <w:lang w:val="hy-AM"/>
              </w:rPr>
              <w:t xml:space="preserve">Միջոցառման իրականացումը հնարավորություն կընձեռի ոլորտը համալրել նոր ստեղծագործական ուժերով, ապահովել սահուն սերնդափոխության գործընթացը, ստեղծագործական դեբյուտային, նորարարական ծրագրերի ընդլայնմամբ խրախուսել երիտասարդ արվեստագետների գործունեությունը, ստեղծել բարենպաստ միջավայր՝ նոր սերնդի ստեղծագործական կարողությունների արտահայտման և ինքնիրացման համար: Հայ մշակույթի զարգացման հեռանկարները ապահովում է մշակութային բազմազանության սկզբունքով: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spacing w:after="0" w:line="276" w:lineRule="auto"/>
              <w:jc w:val="both"/>
              <w:rPr>
                <w:rFonts w:eastAsia="Times New Roman" w:cs="Times New Roman"/>
                <w:sz w:val="20"/>
                <w:szCs w:val="20"/>
                <w:lang w:val="hy-AM"/>
              </w:rPr>
            </w:pPr>
          </w:p>
          <w:p w:rsidR="00A67B6B" w:rsidRPr="0053423A" w:rsidRDefault="00A67B6B" w:rsidP="001F6D5D">
            <w:pPr>
              <w:numPr>
                <w:ilvl w:val="1"/>
                <w:numId w:val="219"/>
              </w:numPr>
              <w:tabs>
                <w:tab w:val="left" w:pos="508"/>
              </w:tabs>
              <w:spacing w:after="0" w:line="276" w:lineRule="auto"/>
              <w:ind w:left="296"/>
              <w:contextualSpacing/>
              <w:rPr>
                <w:rFonts w:eastAsia="Times New Roman" w:cs="Times New Roman"/>
                <w:b/>
                <w:sz w:val="20"/>
                <w:szCs w:val="20"/>
                <w:lang w:val="hy-AM"/>
              </w:rPr>
            </w:pPr>
            <w:r w:rsidRPr="0053423A">
              <w:rPr>
                <w:rFonts w:eastAsia="Times New Roman" w:cs="Times New Roman"/>
                <w:b/>
                <w:sz w:val="20"/>
                <w:szCs w:val="20"/>
                <w:lang w:val="hy-AM"/>
              </w:rPr>
              <w:t>Կարգավորման հարաբերությունների ներկա վիճակը և առկա խնդիրները</w:t>
            </w:r>
          </w:p>
          <w:p w:rsidR="00A67B6B" w:rsidRPr="0053423A" w:rsidRDefault="00A67B6B" w:rsidP="00A67858">
            <w:pPr>
              <w:tabs>
                <w:tab w:val="left" w:pos="508"/>
              </w:tabs>
              <w:spacing w:after="0" w:line="276" w:lineRule="auto"/>
              <w:jc w:val="both"/>
              <w:rPr>
                <w:rFonts w:eastAsia="Times New Roman" w:cs="Times New Roman"/>
                <w:sz w:val="20"/>
                <w:szCs w:val="20"/>
                <w:lang w:val="hy-AM"/>
              </w:rPr>
            </w:pPr>
            <w:r w:rsidRPr="0053423A">
              <w:rPr>
                <w:rFonts w:eastAsia="Times New Roman" w:cs="Times New Roman"/>
                <w:sz w:val="20"/>
                <w:szCs w:val="20"/>
                <w:lang w:val="hy-AM"/>
              </w:rPr>
              <w:t>Երիտասարդության ստեղծարար ներուժը քաղաքակրթական և մշակութային գործընթացների շարժիչ ուժն է, և յուրաքանչյուր հասարակության հաջողությունն ու մշակութային առաջընթացն անհնար է պատկերացնել առանց երիտասարդության մասնակցության, նրանց կողմից նորարարական ստեղծագործական ծրագրերի իրականացման: Երիտասարդական, դեբյուտային և նորարարական ստեղծագործական ծրագրերը մշակութային կյանքում արմատավորված մի շարք բացասական գործոնների, այդ թվում՝ մշակույթի հիերարխիկ բնույթի և հովանավորչության պատճառով հիմնականում լուսանցքային են, ոչ լիարժեք՝ թե մշակութային դաշտում ունեցած ազդեցության և թե պետության կողմից ցուցաբերվող աջակցության առումով: Ներկայում երիտասարդ արվեստագետները դիմագրավում են նաև կրթություն-աշխատաշուկա շղթայի ոչ բավարար գործունեության, պետության կողմից երաշխավորված աջակցության բացակայության հետ կապվածմի շարք այլ մարտահրավերների:</w:t>
            </w:r>
          </w:p>
          <w:p w:rsidR="00A67B6B" w:rsidRPr="0053423A" w:rsidRDefault="00A67B6B" w:rsidP="00A67858">
            <w:pPr>
              <w:tabs>
                <w:tab w:val="left" w:pos="508"/>
              </w:tabs>
              <w:spacing w:after="0" w:line="276" w:lineRule="auto"/>
              <w:jc w:val="both"/>
              <w:rPr>
                <w:rFonts w:eastAsia="Times New Roman" w:cs="Times New Roman"/>
                <w:sz w:val="20"/>
                <w:szCs w:val="20"/>
                <w:lang w:val="hy-AM"/>
              </w:rPr>
            </w:pPr>
          </w:p>
          <w:p w:rsidR="00A67B6B" w:rsidRPr="0053423A" w:rsidRDefault="00A67B6B" w:rsidP="001F6D5D">
            <w:pPr>
              <w:numPr>
                <w:ilvl w:val="1"/>
                <w:numId w:val="219"/>
              </w:numPr>
              <w:tabs>
                <w:tab w:val="left" w:pos="508"/>
              </w:tabs>
              <w:spacing w:after="0" w:line="276" w:lineRule="auto"/>
              <w:ind w:left="1094" w:hanging="1081"/>
              <w:contextualSpacing/>
              <w:rPr>
                <w:rFonts w:eastAsia="Times New Roman" w:cs="Times New Roman"/>
                <w:b/>
                <w:sz w:val="20"/>
                <w:szCs w:val="20"/>
                <w:lang w:val="hy-AM"/>
              </w:rPr>
            </w:pPr>
            <w:r w:rsidRPr="0053423A">
              <w:rPr>
                <w:rFonts w:eastAsia="Times New Roman" w:cs="Times New Roman"/>
                <w:b/>
                <w:sz w:val="20"/>
                <w:szCs w:val="20"/>
                <w:lang w:val="hy-AM"/>
              </w:rPr>
              <w:t>Առկա խնդիրների առաջարկվող լուծումները</w:t>
            </w:r>
          </w:p>
          <w:p w:rsidR="00A67B6B" w:rsidRPr="0053423A" w:rsidRDefault="00A67B6B" w:rsidP="00A67858">
            <w:pPr>
              <w:tabs>
                <w:tab w:val="left" w:pos="508"/>
              </w:tabs>
              <w:spacing w:after="0" w:line="276" w:lineRule="auto"/>
              <w:jc w:val="both"/>
              <w:rPr>
                <w:rFonts w:eastAsia="Times New Roman" w:cs="Times New Roman"/>
                <w:sz w:val="20"/>
                <w:szCs w:val="20"/>
                <w:lang w:val="hy-AM"/>
              </w:rPr>
            </w:pPr>
            <w:r w:rsidRPr="0053423A">
              <w:rPr>
                <w:rFonts w:eastAsia="Times New Roman" w:cs="Times New Roman"/>
                <w:sz w:val="20"/>
                <w:szCs w:val="20"/>
                <w:lang w:val="hy-AM"/>
              </w:rPr>
              <w:t>Երիտասարդության ստեղծարար ներուժի զարգացման նպատակով անհրաժեշտ է իրականացնել համալիր ծրագիր, որը թույլ կտա ապահովել մշակույթի համընդհանուր անխաթար գործընթացը, շարունակել ստեղծագործող անձանց ինքնադրսևորման հավասար և արդարացի պայմանների ապահովման, ստեղծագործական ծրագրերի և գործունեության աջակցության խրախուսման գործընթացները:</w:t>
            </w:r>
          </w:p>
          <w:p w:rsidR="00A67B6B" w:rsidRPr="0053423A" w:rsidRDefault="00A67B6B" w:rsidP="00A67858">
            <w:pPr>
              <w:tabs>
                <w:tab w:val="left" w:pos="508"/>
              </w:tabs>
              <w:spacing w:after="0" w:line="276" w:lineRule="auto"/>
              <w:jc w:val="both"/>
              <w:rPr>
                <w:rFonts w:eastAsia="Times New Roman" w:cs="Times New Roman"/>
                <w:sz w:val="20"/>
                <w:szCs w:val="20"/>
                <w:lang w:val="hy-AM"/>
              </w:rPr>
            </w:pPr>
          </w:p>
          <w:p w:rsidR="00A67B6B" w:rsidRPr="0053423A" w:rsidRDefault="00A67B6B" w:rsidP="00A67858">
            <w:pPr>
              <w:spacing w:after="0" w:line="276" w:lineRule="auto"/>
              <w:rPr>
                <w:rFonts w:eastAsia="Times New Roman" w:cs="Times New Roman"/>
                <w:b/>
                <w:sz w:val="20"/>
                <w:szCs w:val="20"/>
                <w:lang w:val="hy-AM"/>
              </w:rPr>
            </w:pPr>
            <w:r w:rsidRPr="0053423A">
              <w:rPr>
                <w:rFonts w:eastAsia="Times New Roman" w:cs="Sylfaen"/>
                <w:b/>
                <w:sz w:val="20"/>
                <w:szCs w:val="20"/>
                <w:lang w:val="hy-AM"/>
              </w:rPr>
              <w:t>2. Միջոցառման</w:t>
            </w:r>
            <w:r w:rsidRPr="0053423A">
              <w:rPr>
                <w:rFonts w:eastAsia="Times New Roman" w:cs="Times New Roman"/>
                <w:b/>
                <w:sz w:val="20"/>
                <w:szCs w:val="20"/>
                <w:lang w:val="hy-AM"/>
              </w:rPr>
              <w:t xml:space="preserve"> իրականացումից ակնկալվող արդյունքը</w:t>
            </w:r>
          </w:p>
          <w:p w:rsidR="00A67B6B" w:rsidRPr="0053423A" w:rsidRDefault="00A67B6B" w:rsidP="00A67858">
            <w:pPr>
              <w:tabs>
                <w:tab w:val="left" w:pos="508"/>
              </w:tabs>
              <w:spacing w:after="0" w:line="276" w:lineRule="auto"/>
              <w:jc w:val="both"/>
              <w:rPr>
                <w:rFonts w:eastAsia="Calibri" w:cs="Calibri"/>
                <w:sz w:val="20"/>
                <w:szCs w:val="20"/>
                <w:lang w:val="hy-AM"/>
              </w:rPr>
            </w:pPr>
            <w:r w:rsidRPr="0053423A">
              <w:rPr>
                <w:rFonts w:eastAsia="Calibri" w:cs="Calibri"/>
                <w:sz w:val="20"/>
                <w:szCs w:val="20"/>
                <w:lang w:val="hy-AM"/>
              </w:rPr>
              <w:t xml:space="preserve">Երիտասարդ արվեստագետների արտահոսքի կանխում, մշակույթի տարբեր ոլորտների սահուն սերնդափոխության ապահովում, Նորարարական ծրագրերի, ինչպես նաև </w:t>
            </w:r>
            <w:r w:rsidRPr="0053423A">
              <w:rPr>
                <w:rFonts w:eastAsia="Times New Roman" w:cs="Times New Roman"/>
                <w:sz w:val="20"/>
                <w:szCs w:val="20"/>
                <w:lang w:val="hy-AM"/>
              </w:rPr>
              <w:t>մշակութային</w:t>
            </w:r>
            <w:r w:rsidRPr="0053423A">
              <w:rPr>
                <w:rFonts w:eastAsia="Calibri" w:cs="Calibri"/>
                <w:sz w:val="20"/>
                <w:szCs w:val="20"/>
                <w:lang w:val="hy-AM"/>
              </w:rPr>
              <w:t xml:space="preserve"> դաշտում նոր անունների բացահայտում և վերհանում, երիտասատրդության շրջանում մշակույթի նկատմամբ հետաքրքրվածության խթանում, հայ մշակույթի զարգացման դիվերսիֆիկացում:</w:t>
            </w:r>
          </w:p>
          <w:p w:rsidR="00A67B6B" w:rsidRPr="0053423A" w:rsidRDefault="00A67B6B" w:rsidP="00A67858">
            <w:pPr>
              <w:tabs>
                <w:tab w:val="left" w:pos="508"/>
              </w:tabs>
              <w:spacing w:after="0" w:line="276" w:lineRule="auto"/>
              <w:jc w:val="center"/>
              <w:rPr>
                <w:rFonts w:eastAsia="Times New Roman" w:cs="Calibri"/>
                <w:sz w:val="20"/>
                <w:szCs w:val="20"/>
                <w:lang w:val="hy-AM"/>
              </w:rPr>
            </w:pPr>
            <w:r w:rsidRPr="0053423A">
              <w:rPr>
                <w:rFonts w:eastAsia="Times New Roman" w:cs="Calibri"/>
                <w:sz w:val="20"/>
                <w:szCs w:val="20"/>
                <w:lang w:val="hy-AM"/>
              </w:rPr>
              <w:t xml:space="preserve"> </w:t>
            </w:r>
          </w:p>
          <w:p w:rsidR="00A67B6B" w:rsidRPr="0053423A" w:rsidRDefault="00A67B6B" w:rsidP="00A67858">
            <w:pPr>
              <w:tabs>
                <w:tab w:val="left" w:pos="0"/>
                <w:tab w:val="left" w:pos="508"/>
              </w:tabs>
              <w:spacing w:after="0" w:line="276" w:lineRule="auto"/>
              <w:jc w:val="center"/>
              <w:rPr>
                <w:rFonts w:eastAsia="Times New Roman" w:cs="Times New Roman"/>
                <w:b/>
                <w:sz w:val="20"/>
                <w:szCs w:val="20"/>
                <w:lang w:val="hy-AM"/>
              </w:rPr>
            </w:pPr>
            <w:r w:rsidRPr="0053423A">
              <w:rPr>
                <w:rFonts w:eastAsia="Times New Roman" w:cs="Times New Roman"/>
                <w:b/>
                <w:sz w:val="20"/>
                <w:szCs w:val="20"/>
                <w:lang w:val="hy-AM"/>
              </w:rPr>
              <w:t>7.4 Գրական և մշակութային մամուլին պետական աջակցություն</w:t>
            </w:r>
          </w:p>
          <w:p w:rsidR="00A67B6B" w:rsidRPr="0053423A" w:rsidRDefault="00A67B6B" w:rsidP="00A67858">
            <w:pPr>
              <w:tabs>
                <w:tab w:val="left" w:pos="0"/>
                <w:tab w:val="left" w:pos="508"/>
              </w:tabs>
              <w:spacing w:after="0" w:line="276" w:lineRule="auto"/>
              <w:jc w:val="center"/>
              <w:rPr>
                <w:rFonts w:eastAsia="Times New Roman" w:cs="Times New Roman"/>
                <w:sz w:val="20"/>
                <w:szCs w:val="20"/>
                <w:lang w:val="hy-AM"/>
              </w:rPr>
            </w:pPr>
          </w:p>
          <w:p w:rsidR="00A67B6B" w:rsidRPr="0053423A" w:rsidRDefault="00A67B6B" w:rsidP="00A67858">
            <w:pPr>
              <w:tabs>
                <w:tab w:val="left" w:pos="508"/>
                <w:tab w:val="left" w:pos="1276"/>
              </w:tabs>
              <w:spacing w:after="0" w:line="276" w:lineRule="auto"/>
              <w:contextualSpacing/>
              <w:rPr>
                <w:rFonts w:eastAsia="Calibri" w:cs="Times New Roman"/>
                <w:b/>
                <w:sz w:val="20"/>
                <w:szCs w:val="20"/>
                <w:lang w:val="hy-AM"/>
              </w:rPr>
            </w:pPr>
            <w:r w:rsidRPr="0053423A">
              <w:rPr>
                <w:rFonts w:eastAsia="Calibri" w:cs="Times New Roman"/>
                <w:b/>
                <w:sz w:val="20"/>
                <w:szCs w:val="20"/>
                <w:lang w:val="hy-AM"/>
              </w:rPr>
              <w:t>1. Միջոցառման իրականացման անհրաժեշտությունը և նպատակը</w:t>
            </w:r>
          </w:p>
          <w:p w:rsidR="00A67B6B" w:rsidRPr="0053423A" w:rsidRDefault="00A67B6B" w:rsidP="00A67858">
            <w:pPr>
              <w:tabs>
                <w:tab w:val="left" w:pos="508"/>
                <w:tab w:val="left" w:pos="1276"/>
              </w:tabs>
              <w:spacing w:after="0" w:line="276" w:lineRule="auto"/>
              <w:contextualSpacing/>
              <w:jc w:val="both"/>
              <w:rPr>
                <w:rFonts w:eastAsia="Calibri" w:cs="Sylfaen"/>
                <w:sz w:val="20"/>
                <w:szCs w:val="20"/>
                <w:lang w:val="hy-AM"/>
              </w:rPr>
            </w:pPr>
            <w:r w:rsidRPr="0053423A">
              <w:rPr>
                <w:rFonts w:eastAsia="Calibri" w:cs="Sylfaen"/>
                <w:sz w:val="20"/>
                <w:szCs w:val="20"/>
                <w:lang w:val="hy-AM"/>
              </w:rPr>
              <w:t>«Ոչ պետական մամուլի հրատարակում» ծրագրի շրջանակում ՀՀ մշակույթի նախարարության աջակցություն են ստանում բացառապես գրական,մշակութային տպագիր և էլեկտրոնային պարբերականները: Ծրագիրը միտված է գրական, մշակութային դաշտի իրադարձությունները, խնդիրները, նորությունները հասարակական լայն զանգվածներին հասցնելուն, ինչպես նաև մշակույթի, արվեստի տարբեր ոլորտների վերաբերյալ  մասնագիտական լուրջ խոսքի (գրականագիտություն, թատերագիտություն, երաժշտագիտություն, արվեստաբանություն և այլն) խթանմանը: Ծրագրի նպատակն է ԶԼՄ-ների ընտանիքում ունենալ մշակույթ, արվետ լուսաբանող մասնագիտացված, պրոֆեսիոնալ լրատվամիջոցներ, նպաստել մասնագիտական խոսքի խթանմանը, խթանել լրագրության գրական ժանրերի զարգացումը, հոնորարներ տրամադրելու միջոցով հնարավորություն տալ ոլորտի մասնագետներին ստեղծագործական աշխատանքով ապրել և զարգացնել մասնագիտական խոսքը` այն հասցնելով հասարակության տարբեր շերտերին:</w:t>
            </w:r>
          </w:p>
          <w:p w:rsidR="00A67B6B" w:rsidRPr="0053423A" w:rsidRDefault="00A67B6B" w:rsidP="00A67858">
            <w:pPr>
              <w:tabs>
                <w:tab w:val="left" w:pos="508"/>
                <w:tab w:val="left" w:pos="1276"/>
              </w:tabs>
              <w:spacing w:after="0" w:line="276" w:lineRule="auto"/>
              <w:contextualSpacing/>
              <w:jc w:val="both"/>
              <w:rPr>
                <w:rFonts w:eastAsia="Calibri" w:cs="Sylfaen"/>
                <w:sz w:val="20"/>
                <w:szCs w:val="20"/>
                <w:lang w:val="hy-AM"/>
              </w:rPr>
            </w:pPr>
          </w:p>
          <w:p w:rsidR="00A67B6B" w:rsidRPr="0053423A" w:rsidRDefault="00A67B6B" w:rsidP="00A67858">
            <w:pPr>
              <w:tabs>
                <w:tab w:val="left" w:pos="508"/>
                <w:tab w:val="left" w:pos="1276"/>
              </w:tabs>
              <w:spacing w:after="0" w:line="276" w:lineRule="auto"/>
              <w:contextualSpacing/>
              <w:rPr>
                <w:rFonts w:eastAsia="Calibri" w:cs="Times New Roman"/>
                <w:b/>
                <w:sz w:val="20"/>
                <w:szCs w:val="20"/>
                <w:lang w:val="hy-AM"/>
              </w:rPr>
            </w:pPr>
            <w:r w:rsidRPr="0053423A">
              <w:rPr>
                <w:rFonts w:eastAsia="Calibri" w:cs="Sylfaen"/>
                <w:sz w:val="20"/>
                <w:szCs w:val="20"/>
                <w:lang w:val="hy-AM"/>
              </w:rPr>
              <w:t xml:space="preserve"> </w:t>
            </w:r>
            <w:r w:rsidRPr="0053423A">
              <w:rPr>
                <w:rFonts w:eastAsia="Calibri" w:cs="Times New Roman"/>
                <w:b/>
                <w:sz w:val="20"/>
                <w:szCs w:val="20"/>
                <w:lang w:val="hy-AM"/>
              </w:rPr>
              <w:t>1.1. Կարգավորման հարաբերությունների ներկա վիճակը և առկա խնդիրները</w:t>
            </w:r>
          </w:p>
          <w:p w:rsidR="00A67B6B" w:rsidRPr="0053423A" w:rsidRDefault="00A67B6B" w:rsidP="00A67858">
            <w:pPr>
              <w:tabs>
                <w:tab w:val="left" w:pos="508"/>
                <w:tab w:val="left" w:pos="1276"/>
              </w:tabs>
              <w:spacing w:after="0" w:line="276" w:lineRule="auto"/>
              <w:contextualSpacing/>
              <w:jc w:val="both"/>
              <w:rPr>
                <w:rFonts w:eastAsia="Calibri" w:cs="Sylfaen"/>
                <w:sz w:val="20"/>
                <w:szCs w:val="20"/>
                <w:lang w:val="hy-AM"/>
              </w:rPr>
            </w:pPr>
            <w:r w:rsidRPr="0053423A">
              <w:rPr>
                <w:rFonts w:eastAsia="Calibri" w:cs="Sylfaen"/>
                <w:sz w:val="20"/>
                <w:szCs w:val="20"/>
                <w:lang w:val="hy-AM"/>
              </w:rPr>
              <w:t>Մեր օրերում, երբ մշակույթի, արվեստի ոլորտում տեղի ունեցող իրադարձույթյունները հիմնականում լուսաբանվում են զուտ լրատվական ժանրի շրջանակում, մասնագիտական-վերլուծական  հոդվածներ սակավ ենք հանդիպում, ինչը չի նպաստում հասարակության մշակութային հաղորդակցության զարգացմանը: Գրական և մշակութային իրադարձություններն ու ստեղծագործական ծրագրերը ոչ բավարար լուսաբանման արդյունքում՝ դուրս են մնում հասարակական կյանքից: Բացի այդ պրոֆեսիոնալ տեսարանների համար սահմանափակ են արտահայտման միջոցները:</w:t>
            </w:r>
          </w:p>
          <w:p w:rsidR="00A67B6B" w:rsidRPr="0053423A" w:rsidRDefault="00A67B6B" w:rsidP="00A67858">
            <w:pPr>
              <w:tabs>
                <w:tab w:val="left" w:pos="508"/>
                <w:tab w:val="left" w:pos="1276"/>
              </w:tabs>
              <w:spacing w:after="0" w:line="276" w:lineRule="auto"/>
              <w:contextualSpacing/>
              <w:jc w:val="both"/>
              <w:rPr>
                <w:rFonts w:eastAsia="Calibri" w:cs="Sylfaen"/>
                <w:sz w:val="20"/>
                <w:szCs w:val="20"/>
                <w:lang w:val="hy-AM"/>
              </w:rPr>
            </w:pPr>
          </w:p>
          <w:p w:rsidR="00A67B6B" w:rsidRPr="0053423A" w:rsidRDefault="00A67B6B" w:rsidP="00A67858">
            <w:pPr>
              <w:tabs>
                <w:tab w:val="left" w:pos="508"/>
              </w:tabs>
              <w:spacing w:after="0" w:line="276" w:lineRule="auto"/>
              <w:contextualSpacing/>
              <w:rPr>
                <w:rFonts w:eastAsia="Calibri" w:cs="Times New Roman"/>
                <w:b/>
                <w:sz w:val="20"/>
                <w:szCs w:val="20"/>
                <w:lang w:val="hy-AM"/>
              </w:rPr>
            </w:pPr>
            <w:r w:rsidRPr="0053423A">
              <w:rPr>
                <w:rFonts w:eastAsia="Calibri" w:cs="Times New Roman"/>
                <w:b/>
                <w:sz w:val="20"/>
                <w:szCs w:val="20"/>
                <w:lang w:val="hy-AM"/>
              </w:rPr>
              <w:t>1.2. Առկա խնդիրների առաջարկվող լուծումները</w:t>
            </w:r>
          </w:p>
          <w:p w:rsidR="00A67B6B" w:rsidRPr="0053423A" w:rsidRDefault="00A67B6B" w:rsidP="00A67858">
            <w:pPr>
              <w:tabs>
                <w:tab w:val="left" w:pos="508"/>
                <w:tab w:val="left" w:pos="1276"/>
              </w:tabs>
              <w:spacing w:after="0" w:line="276" w:lineRule="auto"/>
              <w:contextualSpacing/>
              <w:jc w:val="both"/>
              <w:rPr>
                <w:rFonts w:eastAsia="Calibri" w:cs="Sylfaen"/>
                <w:sz w:val="20"/>
                <w:szCs w:val="20"/>
                <w:lang w:val="hy-AM"/>
              </w:rPr>
            </w:pPr>
            <w:r w:rsidRPr="0053423A">
              <w:rPr>
                <w:rFonts w:eastAsia="Calibri" w:cs="Sylfaen"/>
                <w:sz w:val="20"/>
                <w:szCs w:val="20"/>
                <w:lang w:val="hy-AM"/>
              </w:rPr>
              <w:t>Պետական աջակցության ձևաչափով գրական և մշակութային մամուլի հրատարակումը կկարգավորի ստեղծագործող-հասարակություն հարաբերությունները, կխթանի մշակութային և գրական բնագավառների կրողների ճանաճելիությանն ու հանրահռչակմանը: Մյուս կողմից էլ՝ ծրագրի շրջանակում լրատվամիջոցին հատկացված գումարի մի մասը կուղղվի հոնորարների տրամադրմանը, ինչը ևս իր հերթին մոտիվացնում է ոլորտի լուրջ մասնագետներին:</w:t>
            </w:r>
          </w:p>
          <w:p w:rsidR="00A67B6B" w:rsidRPr="0053423A" w:rsidRDefault="00A67B6B" w:rsidP="00A67858">
            <w:pPr>
              <w:tabs>
                <w:tab w:val="left" w:pos="508"/>
                <w:tab w:val="left" w:pos="1276"/>
              </w:tabs>
              <w:spacing w:after="0" w:line="276" w:lineRule="auto"/>
              <w:contextualSpacing/>
              <w:jc w:val="both"/>
              <w:rPr>
                <w:rFonts w:eastAsia="Calibri" w:cs="Sylfaen"/>
                <w:sz w:val="20"/>
                <w:szCs w:val="20"/>
                <w:lang w:val="hy-AM"/>
              </w:rPr>
            </w:pPr>
          </w:p>
          <w:p w:rsidR="00A67B6B" w:rsidRPr="0053423A" w:rsidRDefault="00A67B6B" w:rsidP="00A67858">
            <w:pPr>
              <w:tabs>
                <w:tab w:val="left" w:pos="508"/>
                <w:tab w:val="left" w:pos="1276"/>
              </w:tabs>
              <w:spacing w:after="0" w:line="276" w:lineRule="auto"/>
              <w:contextualSpacing/>
              <w:jc w:val="both"/>
              <w:rPr>
                <w:rFonts w:eastAsia="Times New Roman" w:cs="Times New Roman"/>
                <w:b/>
                <w:sz w:val="20"/>
                <w:szCs w:val="20"/>
                <w:lang w:val="hy-AM"/>
              </w:rPr>
            </w:pPr>
            <w:r w:rsidRPr="0053423A">
              <w:rPr>
                <w:rFonts w:eastAsia="Calibri" w:cs="Sylfaen"/>
                <w:sz w:val="20"/>
                <w:szCs w:val="20"/>
                <w:lang w:val="hy-AM"/>
              </w:rPr>
              <w:t xml:space="preserve">2. </w:t>
            </w:r>
            <w:r w:rsidRPr="0053423A">
              <w:rPr>
                <w:rFonts w:eastAsia="Times New Roman" w:cs="Times New Roman"/>
                <w:b/>
                <w:sz w:val="20"/>
                <w:szCs w:val="20"/>
                <w:lang w:val="hy-AM"/>
              </w:rPr>
              <w:t>Միջոցառման իրականացումից ակնկալվող արդյունքը</w:t>
            </w:r>
          </w:p>
          <w:p w:rsidR="00A67B6B" w:rsidRPr="0053423A" w:rsidRDefault="00A67B6B" w:rsidP="00A67858">
            <w:pPr>
              <w:tabs>
                <w:tab w:val="left" w:pos="0"/>
                <w:tab w:val="left" w:pos="215"/>
                <w:tab w:val="left" w:pos="508"/>
              </w:tabs>
              <w:spacing w:after="0" w:line="276" w:lineRule="auto"/>
              <w:rPr>
                <w:rFonts w:eastAsia="Times New Roman" w:cs="Times New Roman"/>
                <w:sz w:val="20"/>
                <w:szCs w:val="20"/>
                <w:lang w:val="hy-AM"/>
              </w:rPr>
            </w:pPr>
            <w:r w:rsidRPr="0053423A">
              <w:rPr>
                <w:rFonts w:eastAsia="Times New Roman" w:cs="Times New Roman"/>
                <w:sz w:val="20"/>
                <w:szCs w:val="20"/>
                <w:lang w:val="hy-AM"/>
              </w:rPr>
              <w:t>Գրական և մշակութային կյանքի տեղեկատվության և վերլուծության հանրայնացման ընդլայնում՝ բովանդակային, մասնագիտացված մամուլի միջոցով:</w:t>
            </w:r>
          </w:p>
          <w:p w:rsidR="00A67B6B" w:rsidRPr="0053423A" w:rsidRDefault="00A67B6B" w:rsidP="00A67858">
            <w:pPr>
              <w:tabs>
                <w:tab w:val="left" w:pos="0"/>
                <w:tab w:val="left" w:pos="508"/>
              </w:tabs>
              <w:spacing w:after="0" w:line="276" w:lineRule="auto"/>
              <w:rPr>
                <w:rFonts w:eastAsia="Times New Roman" w:cs="Times New Roman"/>
                <w:sz w:val="20"/>
                <w:szCs w:val="20"/>
                <w:lang w:val="hy-AM"/>
              </w:rPr>
            </w:pPr>
          </w:p>
          <w:p w:rsidR="00A67B6B" w:rsidRPr="0053423A" w:rsidRDefault="00A67B6B" w:rsidP="00A67858">
            <w:pPr>
              <w:tabs>
                <w:tab w:val="left" w:pos="0"/>
                <w:tab w:val="left" w:pos="508"/>
              </w:tabs>
              <w:spacing w:after="0" w:line="276" w:lineRule="auto"/>
              <w:jc w:val="center"/>
              <w:rPr>
                <w:rFonts w:eastAsia="Times New Roman" w:cs="Times New Roman"/>
                <w:b/>
                <w:sz w:val="20"/>
                <w:szCs w:val="20"/>
                <w:lang w:val="hy-AM"/>
              </w:rPr>
            </w:pPr>
            <w:r w:rsidRPr="0053423A">
              <w:rPr>
                <w:rFonts w:eastAsia="Times New Roman" w:cs="Times New Roman"/>
                <w:b/>
                <w:sz w:val="20"/>
                <w:szCs w:val="20"/>
                <w:lang w:val="hy-AM"/>
              </w:rPr>
              <w:t>7.5 «Ստեղծագործողներին և հետազոտողներին աջակցություն» դրամաշնորհային ծրագրի գործարկում</w:t>
            </w:r>
          </w:p>
          <w:p w:rsidR="00A67B6B" w:rsidRPr="0053423A" w:rsidRDefault="00A67B6B" w:rsidP="00A67858">
            <w:pPr>
              <w:tabs>
                <w:tab w:val="left" w:pos="0"/>
                <w:tab w:val="left" w:pos="508"/>
              </w:tabs>
              <w:spacing w:after="0" w:line="276" w:lineRule="auto"/>
              <w:jc w:val="center"/>
              <w:rPr>
                <w:rFonts w:eastAsia="Times New Roman" w:cs="Times New Roman"/>
                <w:sz w:val="20"/>
                <w:szCs w:val="20"/>
                <w:lang w:val="hy-AM"/>
              </w:rPr>
            </w:pPr>
          </w:p>
          <w:p w:rsidR="00A67B6B" w:rsidRPr="0053423A" w:rsidRDefault="00A67B6B" w:rsidP="001F6D5D">
            <w:pPr>
              <w:numPr>
                <w:ilvl w:val="0"/>
                <w:numId w:val="241"/>
              </w:numPr>
              <w:tabs>
                <w:tab w:val="left" w:pos="508"/>
              </w:tabs>
              <w:spacing w:after="0" w:line="276" w:lineRule="auto"/>
              <w:ind w:hanging="644"/>
              <w:contextualSpacing/>
              <w:jc w:val="both"/>
              <w:rPr>
                <w:rFonts w:eastAsia="Calibri" w:cs="Times New Roman"/>
                <w:b/>
                <w:sz w:val="20"/>
                <w:szCs w:val="20"/>
                <w:lang w:val="af-ZA"/>
              </w:rPr>
            </w:pPr>
            <w:r w:rsidRPr="0053423A">
              <w:rPr>
                <w:rFonts w:eastAsia="Calibri" w:cs="Times New Roman"/>
                <w:b/>
                <w:sz w:val="20"/>
                <w:szCs w:val="20"/>
              </w:rPr>
              <w:t>Միջոցառման</w:t>
            </w:r>
            <w:r w:rsidRPr="0053423A">
              <w:rPr>
                <w:rFonts w:eastAsia="Calibri" w:cs="Times New Roman"/>
                <w:b/>
                <w:sz w:val="20"/>
                <w:szCs w:val="20"/>
                <w:lang w:val="af-ZA"/>
              </w:rPr>
              <w:t xml:space="preserve"> </w:t>
            </w:r>
            <w:r w:rsidRPr="0053423A">
              <w:rPr>
                <w:rFonts w:eastAsia="Calibri" w:cs="Times New Roman"/>
                <w:b/>
                <w:sz w:val="20"/>
                <w:szCs w:val="20"/>
              </w:rPr>
              <w:t>իրակա</w:t>
            </w:r>
            <w:r w:rsidRPr="0053423A">
              <w:rPr>
                <w:rFonts w:eastAsia="Calibri" w:cs="Times New Roman"/>
                <w:b/>
                <w:sz w:val="20"/>
                <w:szCs w:val="20"/>
                <w:lang w:val="hy-AM"/>
              </w:rPr>
              <w:t>նա</w:t>
            </w:r>
            <w:r w:rsidRPr="0053423A">
              <w:rPr>
                <w:rFonts w:eastAsia="Calibri" w:cs="Times New Roman"/>
                <w:b/>
                <w:sz w:val="20"/>
                <w:szCs w:val="20"/>
              </w:rPr>
              <w:t>ցման</w:t>
            </w:r>
            <w:r w:rsidRPr="0053423A">
              <w:rPr>
                <w:rFonts w:eastAsia="Calibri" w:cs="Times New Roman"/>
                <w:b/>
                <w:sz w:val="20"/>
                <w:szCs w:val="20"/>
                <w:lang w:val="af-ZA"/>
              </w:rPr>
              <w:t xml:space="preserve"> </w:t>
            </w:r>
            <w:r w:rsidRPr="0053423A">
              <w:rPr>
                <w:rFonts w:eastAsia="Calibri" w:cs="Times New Roman"/>
                <w:b/>
                <w:sz w:val="20"/>
                <w:szCs w:val="20"/>
              </w:rPr>
              <w:t>անհրաժեշտությունը</w:t>
            </w:r>
            <w:r w:rsidRPr="0053423A">
              <w:rPr>
                <w:rFonts w:eastAsia="Calibri" w:cs="Times New Roman"/>
                <w:b/>
                <w:sz w:val="20"/>
                <w:szCs w:val="20"/>
                <w:lang w:val="af-ZA"/>
              </w:rPr>
              <w:t xml:space="preserve"> </w:t>
            </w:r>
            <w:r w:rsidRPr="0053423A">
              <w:rPr>
                <w:rFonts w:eastAsia="Calibri" w:cs="Times New Roman"/>
                <w:b/>
                <w:sz w:val="20"/>
                <w:szCs w:val="20"/>
              </w:rPr>
              <w:t>և</w:t>
            </w:r>
            <w:r w:rsidRPr="0053423A">
              <w:rPr>
                <w:rFonts w:eastAsia="Calibri" w:cs="Times New Roman"/>
                <w:b/>
                <w:sz w:val="20"/>
                <w:szCs w:val="20"/>
                <w:lang w:val="af-ZA"/>
              </w:rPr>
              <w:t xml:space="preserve"> </w:t>
            </w:r>
            <w:r w:rsidRPr="0053423A">
              <w:rPr>
                <w:rFonts w:eastAsia="Calibri" w:cs="Times New Roman"/>
                <w:b/>
                <w:sz w:val="20"/>
                <w:szCs w:val="20"/>
              </w:rPr>
              <w:t>նպատակը</w:t>
            </w:r>
          </w:p>
          <w:p w:rsidR="00A67B6B" w:rsidRPr="0053423A" w:rsidRDefault="00A67B6B" w:rsidP="00A67858">
            <w:pPr>
              <w:spacing w:after="0" w:line="276" w:lineRule="auto"/>
              <w:jc w:val="both"/>
              <w:rPr>
                <w:rFonts w:eastAsia="Times New Roman" w:cs="Arial"/>
                <w:sz w:val="20"/>
                <w:szCs w:val="20"/>
                <w:lang w:val="af-ZA"/>
              </w:rPr>
            </w:pPr>
            <w:r w:rsidRPr="0053423A">
              <w:rPr>
                <w:rFonts w:eastAsia="Times New Roman" w:cs="Sylfaen"/>
                <w:bCs/>
                <w:sz w:val="20"/>
                <w:szCs w:val="20"/>
              </w:rPr>
              <w:t>Ստեղծագործողների</w:t>
            </w:r>
            <w:r w:rsidRPr="0053423A">
              <w:rPr>
                <w:rFonts w:eastAsia="Times New Roman" w:cs="Arial"/>
                <w:bCs/>
                <w:sz w:val="20"/>
                <w:szCs w:val="20"/>
                <w:lang w:val="af-ZA"/>
              </w:rPr>
              <w:t xml:space="preserve"> </w:t>
            </w:r>
            <w:r w:rsidRPr="0053423A">
              <w:rPr>
                <w:rFonts w:eastAsia="Times New Roman" w:cs="Sylfaen"/>
                <w:bCs/>
                <w:sz w:val="20"/>
                <w:szCs w:val="20"/>
              </w:rPr>
              <w:t>և</w:t>
            </w:r>
            <w:r w:rsidRPr="0053423A">
              <w:rPr>
                <w:rFonts w:eastAsia="Times New Roman" w:cs="Arial"/>
                <w:bCs/>
                <w:sz w:val="20"/>
                <w:szCs w:val="20"/>
                <w:lang w:val="af-ZA"/>
              </w:rPr>
              <w:t xml:space="preserve"> </w:t>
            </w:r>
            <w:r w:rsidRPr="0053423A">
              <w:rPr>
                <w:rFonts w:eastAsia="Times New Roman" w:cs="Sylfaen"/>
                <w:bCs/>
                <w:sz w:val="20"/>
                <w:szCs w:val="20"/>
              </w:rPr>
              <w:t>հետազոտողների</w:t>
            </w:r>
            <w:r w:rsidRPr="0053423A">
              <w:rPr>
                <w:rFonts w:eastAsia="Times New Roman" w:cs="Arial"/>
                <w:sz w:val="20"/>
                <w:szCs w:val="20"/>
                <w:lang w:val="af-ZA"/>
              </w:rPr>
              <w:t xml:space="preserve"> </w:t>
            </w:r>
            <w:r w:rsidRPr="0053423A">
              <w:rPr>
                <w:rFonts w:eastAsia="Times New Roman" w:cs="Sylfaen"/>
                <w:sz w:val="20"/>
                <w:szCs w:val="20"/>
              </w:rPr>
              <w:t>աշխատանքներին</w:t>
            </w:r>
            <w:r w:rsidRPr="0053423A">
              <w:rPr>
                <w:rFonts w:eastAsia="Times New Roman" w:cs="Arial"/>
                <w:sz w:val="20"/>
                <w:szCs w:val="20"/>
                <w:lang w:val="af-ZA"/>
              </w:rPr>
              <w:t xml:space="preserve"> </w:t>
            </w:r>
            <w:r w:rsidRPr="0053423A">
              <w:rPr>
                <w:rFonts w:eastAsia="Times New Roman" w:cs="Sylfaen"/>
                <w:sz w:val="20"/>
                <w:szCs w:val="20"/>
              </w:rPr>
              <w:t>տրվող</w:t>
            </w:r>
            <w:r w:rsidRPr="0053423A">
              <w:rPr>
                <w:rFonts w:eastAsia="Times New Roman" w:cs="Arial"/>
                <w:sz w:val="20"/>
                <w:szCs w:val="20"/>
                <w:lang w:val="af-ZA"/>
              </w:rPr>
              <w:t xml:space="preserve"> </w:t>
            </w:r>
            <w:r w:rsidRPr="0053423A">
              <w:rPr>
                <w:rFonts w:eastAsia="Times New Roman" w:cs="Sylfaen"/>
                <w:sz w:val="20"/>
                <w:szCs w:val="20"/>
              </w:rPr>
              <w:t>աջակցության</w:t>
            </w:r>
            <w:r w:rsidRPr="0053423A">
              <w:rPr>
                <w:rFonts w:eastAsia="Times New Roman" w:cs="Arial"/>
                <w:sz w:val="20"/>
                <w:szCs w:val="20"/>
                <w:lang w:val="af-ZA"/>
              </w:rPr>
              <w:t xml:space="preserve"> </w:t>
            </w:r>
            <w:r w:rsidRPr="0053423A">
              <w:rPr>
                <w:rFonts w:eastAsia="Times New Roman" w:cs="Sylfaen"/>
                <w:sz w:val="20"/>
                <w:szCs w:val="20"/>
              </w:rPr>
              <w:t>ծրագիրը</w:t>
            </w:r>
            <w:r w:rsidRPr="0053423A">
              <w:rPr>
                <w:rFonts w:eastAsia="Times New Roman" w:cs="Arial"/>
                <w:sz w:val="20"/>
                <w:szCs w:val="20"/>
                <w:lang w:val="af-ZA"/>
              </w:rPr>
              <w:t xml:space="preserve"> </w:t>
            </w:r>
            <w:r w:rsidRPr="0053423A">
              <w:rPr>
                <w:rFonts w:eastAsia="Times New Roman" w:cs="Sylfaen"/>
                <w:sz w:val="20"/>
                <w:szCs w:val="20"/>
              </w:rPr>
              <w:t>ստեղծվել</w:t>
            </w:r>
            <w:r w:rsidRPr="0053423A">
              <w:rPr>
                <w:rFonts w:eastAsia="Times New Roman" w:cs="Arial"/>
                <w:sz w:val="20"/>
                <w:szCs w:val="20"/>
                <w:lang w:val="af-ZA"/>
              </w:rPr>
              <w:t xml:space="preserve"> </w:t>
            </w:r>
            <w:r w:rsidRPr="0053423A">
              <w:rPr>
                <w:rFonts w:eastAsia="Times New Roman" w:cs="Sylfaen"/>
                <w:sz w:val="20"/>
                <w:szCs w:val="20"/>
              </w:rPr>
              <w:t>է</w:t>
            </w:r>
            <w:r w:rsidRPr="0053423A">
              <w:rPr>
                <w:rFonts w:eastAsia="Times New Roman" w:cs="Arial"/>
                <w:sz w:val="20"/>
                <w:szCs w:val="20"/>
                <w:lang w:val="af-ZA"/>
              </w:rPr>
              <w:t xml:space="preserve"> </w:t>
            </w:r>
            <w:r w:rsidRPr="0053423A">
              <w:rPr>
                <w:rFonts w:eastAsia="Times New Roman" w:cs="Sylfaen"/>
                <w:sz w:val="20"/>
                <w:szCs w:val="20"/>
              </w:rPr>
              <w:t>մշակութաբանական</w:t>
            </w:r>
            <w:r w:rsidRPr="0053423A">
              <w:rPr>
                <w:rFonts w:eastAsia="Times New Roman" w:cs="Arial"/>
                <w:sz w:val="20"/>
                <w:szCs w:val="20"/>
                <w:lang w:val="af-ZA"/>
              </w:rPr>
              <w:t xml:space="preserve"> </w:t>
            </w:r>
            <w:r w:rsidRPr="0053423A">
              <w:rPr>
                <w:rFonts w:eastAsia="Times New Roman" w:cs="Sylfaen"/>
                <w:sz w:val="20"/>
                <w:szCs w:val="20"/>
              </w:rPr>
              <w:t>հետազոտությունների</w:t>
            </w:r>
            <w:r w:rsidRPr="0053423A">
              <w:rPr>
                <w:rFonts w:eastAsia="Times New Roman" w:cs="Arial"/>
                <w:sz w:val="20"/>
                <w:szCs w:val="20"/>
                <w:lang w:val="af-ZA"/>
              </w:rPr>
              <w:t xml:space="preserve">, </w:t>
            </w:r>
            <w:r w:rsidRPr="0053423A">
              <w:rPr>
                <w:rFonts w:eastAsia="Times New Roman" w:cs="Sylfaen"/>
                <w:sz w:val="20"/>
                <w:szCs w:val="20"/>
              </w:rPr>
              <w:t>գրականության</w:t>
            </w:r>
            <w:r w:rsidRPr="0053423A">
              <w:rPr>
                <w:rFonts w:eastAsia="Times New Roman" w:cs="Arial"/>
                <w:sz w:val="20"/>
                <w:szCs w:val="20"/>
                <w:lang w:val="af-ZA"/>
              </w:rPr>
              <w:t xml:space="preserve"> </w:t>
            </w:r>
            <w:r w:rsidRPr="0053423A">
              <w:rPr>
                <w:rFonts w:eastAsia="Times New Roman" w:cs="Sylfaen"/>
                <w:sz w:val="20"/>
                <w:szCs w:val="20"/>
              </w:rPr>
              <w:t>և</w:t>
            </w:r>
            <w:r w:rsidRPr="0053423A">
              <w:rPr>
                <w:rFonts w:eastAsia="Times New Roman" w:cs="Arial"/>
                <w:sz w:val="20"/>
                <w:szCs w:val="20"/>
                <w:lang w:val="af-ZA"/>
              </w:rPr>
              <w:t xml:space="preserve"> </w:t>
            </w:r>
            <w:r w:rsidRPr="0053423A">
              <w:rPr>
                <w:rFonts w:eastAsia="Times New Roman" w:cs="Sylfaen"/>
                <w:sz w:val="20"/>
                <w:szCs w:val="20"/>
              </w:rPr>
              <w:t>գրաքննադատության</w:t>
            </w:r>
            <w:r w:rsidRPr="0053423A">
              <w:rPr>
                <w:rFonts w:eastAsia="Times New Roman" w:cs="Arial"/>
                <w:sz w:val="20"/>
                <w:szCs w:val="20"/>
                <w:lang w:val="af-ZA"/>
              </w:rPr>
              <w:t xml:space="preserve"> </w:t>
            </w:r>
            <w:r w:rsidRPr="0053423A">
              <w:rPr>
                <w:rFonts w:eastAsia="Times New Roman" w:cs="Sylfaen"/>
                <w:sz w:val="20"/>
                <w:szCs w:val="20"/>
              </w:rPr>
              <w:t>նախագծերին</w:t>
            </w:r>
            <w:r w:rsidRPr="0053423A">
              <w:rPr>
                <w:rFonts w:eastAsia="Times New Roman" w:cs="Arial"/>
                <w:sz w:val="20"/>
                <w:szCs w:val="20"/>
                <w:lang w:val="af-ZA"/>
              </w:rPr>
              <w:t xml:space="preserve"> </w:t>
            </w:r>
            <w:r w:rsidRPr="0053423A">
              <w:rPr>
                <w:rFonts w:eastAsia="Times New Roman" w:cs="Sylfaen"/>
                <w:sz w:val="20"/>
                <w:szCs w:val="20"/>
              </w:rPr>
              <w:t>աջակցելու</w:t>
            </w:r>
            <w:r w:rsidRPr="0053423A">
              <w:rPr>
                <w:rFonts w:eastAsia="Times New Roman" w:cs="Arial"/>
                <w:sz w:val="20"/>
                <w:szCs w:val="20"/>
                <w:lang w:val="af-ZA"/>
              </w:rPr>
              <w:t xml:space="preserve"> </w:t>
            </w:r>
            <w:r w:rsidRPr="0053423A">
              <w:rPr>
                <w:rFonts w:eastAsia="Times New Roman" w:cs="Sylfaen"/>
                <w:sz w:val="20"/>
                <w:szCs w:val="20"/>
              </w:rPr>
              <w:t>համար</w:t>
            </w:r>
            <w:r w:rsidRPr="0053423A">
              <w:rPr>
                <w:rFonts w:eastAsia="Times New Roman" w:cs="Arial"/>
                <w:sz w:val="20"/>
                <w:szCs w:val="20"/>
                <w:lang w:val="af-ZA"/>
              </w:rPr>
              <w:t xml:space="preserve">: </w:t>
            </w:r>
            <w:r w:rsidRPr="0053423A">
              <w:rPr>
                <w:rFonts w:eastAsia="Times New Roman" w:cs="Sylfaen"/>
                <w:sz w:val="20"/>
                <w:szCs w:val="20"/>
              </w:rPr>
              <w:t>Այն</w:t>
            </w:r>
            <w:r w:rsidRPr="0053423A">
              <w:rPr>
                <w:rFonts w:eastAsia="Times New Roman" w:cs="Arial"/>
                <w:sz w:val="20"/>
                <w:szCs w:val="20"/>
                <w:lang w:val="af-ZA"/>
              </w:rPr>
              <w:t xml:space="preserve"> </w:t>
            </w:r>
            <w:r w:rsidRPr="0053423A">
              <w:rPr>
                <w:rFonts w:eastAsia="Times New Roman" w:cs="Sylfaen"/>
                <w:sz w:val="20"/>
                <w:szCs w:val="20"/>
              </w:rPr>
              <w:t>լրացնում</w:t>
            </w:r>
            <w:r w:rsidRPr="0053423A">
              <w:rPr>
                <w:rFonts w:eastAsia="Times New Roman" w:cs="Arial"/>
                <w:sz w:val="20"/>
                <w:szCs w:val="20"/>
                <w:lang w:val="af-ZA"/>
              </w:rPr>
              <w:t xml:space="preserve"> </w:t>
            </w:r>
            <w:r w:rsidRPr="0053423A">
              <w:rPr>
                <w:rFonts w:eastAsia="Times New Roman" w:cs="Sylfaen"/>
                <w:sz w:val="20"/>
                <w:szCs w:val="20"/>
              </w:rPr>
              <w:t>է</w:t>
            </w:r>
            <w:r w:rsidRPr="0053423A">
              <w:rPr>
                <w:rFonts w:eastAsia="Times New Roman" w:cs="Arial"/>
                <w:sz w:val="20"/>
                <w:szCs w:val="20"/>
                <w:lang w:val="af-ZA"/>
              </w:rPr>
              <w:t xml:space="preserve"> </w:t>
            </w:r>
            <w:r w:rsidRPr="0053423A">
              <w:rPr>
                <w:rFonts w:eastAsia="Times New Roman" w:cs="Sylfaen"/>
                <w:sz w:val="20"/>
                <w:szCs w:val="20"/>
              </w:rPr>
              <w:t>անկախ</w:t>
            </w:r>
            <w:r w:rsidRPr="0053423A">
              <w:rPr>
                <w:rFonts w:eastAsia="Times New Roman" w:cs="Arial"/>
                <w:sz w:val="20"/>
                <w:szCs w:val="20"/>
                <w:lang w:val="af-ZA"/>
              </w:rPr>
              <w:t xml:space="preserve"> </w:t>
            </w:r>
            <w:r w:rsidRPr="0053423A">
              <w:rPr>
                <w:rFonts w:eastAsia="Times New Roman" w:cs="Sylfaen"/>
                <w:sz w:val="20"/>
                <w:szCs w:val="20"/>
              </w:rPr>
              <w:t>մշակութային</w:t>
            </w:r>
            <w:r w:rsidRPr="0053423A">
              <w:rPr>
                <w:rFonts w:eastAsia="Times New Roman" w:cs="Arial"/>
                <w:sz w:val="20"/>
                <w:szCs w:val="20"/>
                <w:lang w:val="af-ZA"/>
              </w:rPr>
              <w:t xml:space="preserve"> </w:t>
            </w:r>
            <w:r w:rsidRPr="0053423A">
              <w:rPr>
                <w:rFonts w:eastAsia="Times New Roman" w:cs="Sylfaen"/>
                <w:sz w:val="20"/>
                <w:szCs w:val="20"/>
              </w:rPr>
              <w:t>դաշտում</w:t>
            </w:r>
            <w:r w:rsidRPr="0053423A">
              <w:rPr>
                <w:rFonts w:eastAsia="Times New Roman" w:cs="Arial"/>
                <w:sz w:val="20"/>
                <w:szCs w:val="20"/>
                <w:lang w:val="af-ZA"/>
              </w:rPr>
              <w:t xml:space="preserve"> </w:t>
            </w:r>
            <w:r w:rsidRPr="0053423A">
              <w:rPr>
                <w:rFonts w:eastAsia="Times New Roman" w:cs="Sylfaen"/>
                <w:sz w:val="20"/>
                <w:szCs w:val="20"/>
              </w:rPr>
              <w:t>պետական</w:t>
            </w:r>
            <w:r w:rsidRPr="0053423A">
              <w:rPr>
                <w:rFonts w:eastAsia="Times New Roman" w:cs="Arial"/>
                <w:sz w:val="20"/>
                <w:szCs w:val="20"/>
                <w:lang w:val="af-ZA"/>
              </w:rPr>
              <w:t xml:space="preserve"> </w:t>
            </w:r>
            <w:r w:rsidRPr="0053423A">
              <w:rPr>
                <w:rFonts w:eastAsia="Times New Roman" w:cs="Sylfaen"/>
                <w:sz w:val="20"/>
                <w:szCs w:val="20"/>
              </w:rPr>
              <w:t>քաղաքականության</w:t>
            </w:r>
            <w:r w:rsidRPr="0053423A">
              <w:rPr>
                <w:rFonts w:eastAsia="Times New Roman" w:cs="Arial"/>
                <w:sz w:val="20"/>
                <w:szCs w:val="20"/>
                <w:lang w:val="af-ZA"/>
              </w:rPr>
              <w:t xml:space="preserve"> </w:t>
            </w:r>
            <w:r w:rsidRPr="0053423A">
              <w:rPr>
                <w:rFonts w:eastAsia="Times New Roman" w:cs="Sylfaen"/>
                <w:sz w:val="20"/>
                <w:szCs w:val="20"/>
              </w:rPr>
              <w:t>բացը՝</w:t>
            </w:r>
            <w:r w:rsidRPr="0053423A">
              <w:rPr>
                <w:rFonts w:eastAsia="Times New Roman" w:cs="Arial"/>
                <w:sz w:val="20"/>
                <w:szCs w:val="20"/>
                <w:lang w:val="af-ZA"/>
              </w:rPr>
              <w:t xml:space="preserve"> </w:t>
            </w:r>
            <w:r w:rsidRPr="0053423A">
              <w:rPr>
                <w:rFonts w:eastAsia="Times New Roman" w:cs="Sylfaen"/>
                <w:sz w:val="20"/>
                <w:szCs w:val="20"/>
              </w:rPr>
              <w:t>տեղափոխելով</w:t>
            </w:r>
            <w:r w:rsidRPr="0053423A">
              <w:rPr>
                <w:rFonts w:eastAsia="Times New Roman" w:cs="Arial"/>
                <w:sz w:val="20"/>
                <w:szCs w:val="20"/>
                <w:lang w:val="af-ZA"/>
              </w:rPr>
              <w:t xml:space="preserve"> </w:t>
            </w:r>
            <w:r w:rsidRPr="0053423A">
              <w:rPr>
                <w:rFonts w:eastAsia="Times New Roman" w:cs="Sylfaen"/>
                <w:sz w:val="20"/>
                <w:szCs w:val="20"/>
              </w:rPr>
              <w:t>շեշտադրումը</w:t>
            </w:r>
            <w:r w:rsidRPr="0053423A">
              <w:rPr>
                <w:rFonts w:eastAsia="Times New Roman" w:cs="Arial"/>
                <w:sz w:val="20"/>
                <w:szCs w:val="20"/>
                <w:lang w:val="af-ZA"/>
              </w:rPr>
              <w:t xml:space="preserve"> </w:t>
            </w:r>
            <w:r w:rsidRPr="0053423A">
              <w:rPr>
                <w:rFonts w:eastAsia="Times New Roman" w:cs="Sylfaen"/>
                <w:sz w:val="20"/>
                <w:szCs w:val="20"/>
              </w:rPr>
              <w:t>գրքաստեղծման</w:t>
            </w:r>
            <w:r w:rsidRPr="0053423A">
              <w:rPr>
                <w:rFonts w:eastAsia="Times New Roman" w:cs="Arial"/>
                <w:sz w:val="20"/>
                <w:szCs w:val="20"/>
                <w:lang w:val="af-ZA"/>
              </w:rPr>
              <w:t xml:space="preserve"> </w:t>
            </w:r>
            <w:r w:rsidRPr="0053423A">
              <w:rPr>
                <w:rFonts w:eastAsia="Times New Roman" w:cs="Sylfaen"/>
                <w:sz w:val="20"/>
                <w:szCs w:val="20"/>
              </w:rPr>
              <w:t>հրատարակչական</w:t>
            </w:r>
            <w:r w:rsidRPr="0053423A">
              <w:rPr>
                <w:rFonts w:eastAsia="Times New Roman" w:cs="Arial"/>
                <w:sz w:val="20"/>
                <w:szCs w:val="20"/>
                <w:lang w:val="af-ZA"/>
              </w:rPr>
              <w:t>-</w:t>
            </w:r>
            <w:r w:rsidRPr="0053423A">
              <w:rPr>
                <w:rFonts w:eastAsia="Times New Roman" w:cs="Sylfaen"/>
                <w:sz w:val="20"/>
                <w:szCs w:val="20"/>
              </w:rPr>
              <w:t>տպագրական</w:t>
            </w:r>
            <w:r w:rsidRPr="0053423A">
              <w:rPr>
                <w:rFonts w:eastAsia="Times New Roman" w:cs="Arial"/>
                <w:sz w:val="20"/>
                <w:szCs w:val="20"/>
                <w:lang w:val="af-ZA"/>
              </w:rPr>
              <w:t xml:space="preserve"> </w:t>
            </w:r>
            <w:r w:rsidRPr="0053423A">
              <w:rPr>
                <w:rFonts w:eastAsia="Times New Roman" w:cs="Sylfaen"/>
                <w:sz w:val="20"/>
                <w:szCs w:val="20"/>
              </w:rPr>
              <w:t>փուլից</w:t>
            </w:r>
            <w:r w:rsidRPr="0053423A">
              <w:rPr>
                <w:rFonts w:eastAsia="Times New Roman" w:cs="Arial"/>
                <w:sz w:val="20"/>
                <w:szCs w:val="20"/>
                <w:lang w:val="af-ZA"/>
              </w:rPr>
              <w:t xml:space="preserve"> </w:t>
            </w:r>
            <w:r w:rsidRPr="0053423A">
              <w:rPr>
                <w:rFonts w:eastAsia="Times New Roman" w:cs="Sylfaen"/>
                <w:sz w:val="20"/>
                <w:szCs w:val="20"/>
              </w:rPr>
              <w:t>ստեղծագործական</w:t>
            </w:r>
            <w:r w:rsidRPr="0053423A">
              <w:rPr>
                <w:rFonts w:eastAsia="Times New Roman" w:cs="Arial"/>
                <w:sz w:val="20"/>
                <w:szCs w:val="20"/>
                <w:lang w:val="af-ZA"/>
              </w:rPr>
              <w:t xml:space="preserve"> </w:t>
            </w:r>
            <w:r w:rsidRPr="0053423A">
              <w:rPr>
                <w:rFonts w:eastAsia="Times New Roman" w:cs="Sylfaen"/>
                <w:sz w:val="20"/>
                <w:szCs w:val="20"/>
              </w:rPr>
              <w:t>փուլ։</w:t>
            </w:r>
            <w:r w:rsidRPr="0053423A">
              <w:rPr>
                <w:rFonts w:eastAsia="Times New Roman" w:cs="Arial"/>
                <w:sz w:val="20"/>
                <w:szCs w:val="20"/>
                <w:lang w:val="af-ZA"/>
              </w:rPr>
              <w:t xml:space="preserve"> </w:t>
            </w:r>
            <w:r w:rsidRPr="0053423A">
              <w:rPr>
                <w:rFonts w:eastAsia="Times New Roman" w:cs="Sylfaen"/>
                <w:sz w:val="20"/>
                <w:szCs w:val="20"/>
              </w:rPr>
              <w:t>Ծրագրի</w:t>
            </w:r>
            <w:r w:rsidRPr="0053423A">
              <w:rPr>
                <w:rFonts w:eastAsia="Times New Roman" w:cs="Arial"/>
                <w:sz w:val="20"/>
                <w:szCs w:val="20"/>
                <w:lang w:val="af-ZA"/>
              </w:rPr>
              <w:t xml:space="preserve"> </w:t>
            </w:r>
            <w:r w:rsidRPr="0053423A">
              <w:rPr>
                <w:rFonts w:eastAsia="Times New Roman" w:cs="Sylfaen"/>
                <w:sz w:val="20"/>
                <w:szCs w:val="20"/>
              </w:rPr>
              <w:t>հեռանկարային</w:t>
            </w:r>
            <w:r w:rsidRPr="0053423A">
              <w:rPr>
                <w:rFonts w:eastAsia="Times New Roman" w:cs="Arial"/>
                <w:sz w:val="20"/>
                <w:szCs w:val="20"/>
                <w:lang w:val="af-ZA"/>
              </w:rPr>
              <w:t xml:space="preserve"> </w:t>
            </w:r>
            <w:r w:rsidRPr="0053423A">
              <w:rPr>
                <w:rFonts w:eastAsia="Times New Roman" w:cs="Sylfaen"/>
                <w:sz w:val="20"/>
                <w:szCs w:val="20"/>
              </w:rPr>
              <w:t>նպատակն</w:t>
            </w:r>
            <w:r w:rsidRPr="0053423A">
              <w:rPr>
                <w:rFonts w:eastAsia="Times New Roman" w:cs="Arial"/>
                <w:sz w:val="20"/>
                <w:szCs w:val="20"/>
                <w:lang w:val="af-ZA"/>
              </w:rPr>
              <w:t xml:space="preserve"> </w:t>
            </w:r>
            <w:r w:rsidRPr="0053423A">
              <w:rPr>
                <w:rFonts w:eastAsia="Times New Roman" w:cs="Sylfaen"/>
                <w:sz w:val="20"/>
                <w:szCs w:val="20"/>
              </w:rPr>
              <w:t>է</w:t>
            </w:r>
            <w:r w:rsidRPr="0053423A">
              <w:rPr>
                <w:rFonts w:eastAsia="Times New Roman" w:cs="Arial"/>
                <w:sz w:val="20"/>
                <w:szCs w:val="20"/>
                <w:lang w:val="af-ZA"/>
              </w:rPr>
              <w:t xml:space="preserve"> </w:t>
            </w:r>
            <w:r w:rsidRPr="0053423A">
              <w:rPr>
                <w:rFonts w:eastAsia="Times New Roman" w:cs="Sylfaen"/>
                <w:sz w:val="20"/>
                <w:szCs w:val="20"/>
              </w:rPr>
              <w:t>խթանել</w:t>
            </w:r>
            <w:r w:rsidRPr="0053423A">
              <w:rPr>
                <w:rFonts w:eastAsia="Times New Roman" w:cs="Arial"/>
                <w:sz w:val="20"/>
                <w:szCs w:val="20"/>
                <w:lang w:val="af-ZA"/>
              </w:rPr>
              <w:t xml:space="preserve"> </w:t>
            </w:r>
            <w:r w:rsidRPr="0053423A">
              <w:rPr>
                <w:rFonts w:eastAsia="Times New Roman" w:cs="Sylfaen"/>
                <w:sz w:val="20"/>
                <w:szCs w:val="20"/>
              </w:rPr>
              <w:t>նշանակալի</w:t>
            </w:r>
            <w:r w:rsidRPr="0053423A">
              <w:rPr>
                <w:rFonts w:eastAsia="Times New Roman" w:cs="Arial"/>
                <w:sz w:val="20"/>
                <w:szCs w:val="20"/>
                <w:lang w:val="af-ZA"/>
              </w:rPr>
              <w:t xml:space="preserve">, </w:t>
            </w:r>
            <w:r w:rsidRPr="0053423A">
              <w:rPr>
                <w:rFonts w:eastAsia="Times New Roman" w:cs="Sylfaen"/>
                <w:sz w:val="20"/>
                <w:szCs w:val="20"/>
              </w:rPr>
              <w:t>մնայուն</w:t>
            </w:r>
            <w:r w:rsidRPr="0053423A">
              <w:rPr>
                <w:rFonts w:eastAsia="Times New Roman" w:cs="Arial"/>
                <w:sz w:val="20"/>
                <w:szCs w:val="20"/>
                <w:lang w:val="af-ZA"/>
              </w:rPr>
              <w:t xml:space="preserve"> </w:t>
            </w:r>
            <w:r w:rsidRPr="0053423A">
              <w:rPr>
                <w:rFonts w:eastAsia="Times New Roman" w:cs="Sylfaen"/>
                <w:sz w:val="20"/>
                <w:szCs w:val="20"/>
              </w:rPr>
              <w:t>և</w:t>
            </w:r>
            <w:r w:rsidRPr="0053423A">
              <w:rPr>
                <w:rFonts w:eastAsia="Times New Roman" w:cs="Arial"/>
                <w:sz w:val="20"/>
                <w:szCs w:val="20"/>
                <w:lang w:val="af-ZA"/>
              </w:rPr>
              <w:t xml:space="preserve"> </w:t>
            </w:r>
            <w:r w:rsidRPr="0053423A">
              <w:rPr>
                <w:rFonts w:eastAsia="Times New Roman" w:cs="Sylfaen"/>
                <w:sz w:val="20"/>
                <w:szCs w:val="20"/>
              </w:rPr>
              <w:t>հանրօգուտ</w:t>
            </w:r>
            <w:r w:rsidRPr="0053423A">
              <w:rPr>
                <w:rFonts w:eastAsia="Times New Roman" w:cs="Arial"/>
                <w:sz w:val="20"/>
                <w:szCs w:val="20"/>
                <w:lang w:val="af-ZA"/>
              </w:rPr>
              <w:t xml:space="preserve"> </w:t>
            </w:r>
            <w:r w:rsidRPr="0053423A">
              <w:rPr>
                <w:rFonts w:eastAsia="Times New Roman" w:cs="Sylfaen"/>
                <w:sz w:val="20"/>
                <w:szCs w:val="20"/>
              </w:rPr>
              <w:t>աշխատանքների</w:t>
            </w:r>
            <w:r w:rsidRPr="0053423A">
              <w:rPr>
                <w:rFonts w:eastAsia="Times New Roman" w:cs="Arial"/>
                <w:sz w:val="20"/>
                <w:szCs w:val="20"/>
                <w:lang w:val="af-ZA"/>
              </w:rPr>
              <w:t xml:space="preserve"> </w:t>
            </w:r>
            <w:r w:rsidRPr="0053423A">
              <w:rPr>
                <w:rFonts w:eastAsia="Times New Roman" w:cs="Sylfaen"/>
                <w:sz w:val="20"/>
                <w:szCs w:val="20"/>
              </w:rPr>
              <w:t>ստեղծումը</w:t>
            </w:r>
            <w:r w:rsidRPr="0053423A">
              <w:rPr>
                <w:rFonts w:eastAsia="Times New Roman" w:cs="Arial"/>
                <w:sz w:val="20"/>
                <w:szCs w:val="20"/>
                <w:lang w:val="af-ZA"/>
              </w:rPr>
              <w:t xml:space="preserve">, </w:t>
            </w:r>
            <w:r w:rsidRPr="0053423A">
              <w:rPr>
                <w:rFonts w:eastAsia="Times New Roman" w:cs="Sylfaen"/>
                <w:sz w:val="20"/>
                <w:szCs w:val="20"/>
              </w:rPr>
              <w:t>որն</w:t>
            </w:r>
            <w:r w:rsidRPr="0053423A">
              <w:rPr>
                <w:rFonts w:eastAsia="Times New Roman" w:cs="Arial"/>
                <w:sz w:val="20"/>
                <w:szCs w:val="20"/>
                <w:lang w:val="af-ZA"/>
              </w:rPr>
              <w:t xml:space="preserve"> </w:t>
            </w:r>
            <w:r w:rsidRPr="0053423A">
              <w:rPr>
                <w:rFonts w:eastAsia="Times New Roman" w:cs="Sylfaen"/>
                <w:sz w:val="20"/>
                <w:szCs w:val="20"/>
              </w:rPr>
              <w:t>էլ</w:t>
            </w:r>
            <w:r w:rsidRPr="0053423A">
              <w:rPr>
                <w:rFonts w:eastAsia="Times New Roman" w:cs="Arial"/>
                <w:sz w:val="20"/>
                <w:szCs w:val="20"/>
                <w:lang w:val="af-ZA"/>
              </w:rPr>
              <w:t xml:space="preserve"> </w:t>
            </w:r>
            <w:r w:rsidRPr="0053423A">
              <w:rPr>
                <w:rFonts w:eastAsia="Times New Roman" w:cs="Sylfaen"/>
                <w:sz w:val="20"/>
                <w:szCs w:val="20"/>
              </w:rPr>
              <w:t>իր</w:t>
            </w:r>
            <w:r w:rsidRPr="0053423A">
              <w:rPr>
                <w:rFonts w:eastAsia="Times New Roman" w:cs="Arial"/>
                <w:sz w:val="20"/>
                <w:szCs w:val="20"/>
                <w:lang w:val="af-ZA"/>
              </w:rPr>
              <w:t xml:space="preserve"> </w:t>
            </w:r>
            <w:r w:rsidRPr="0053423A">
              <w:rPr>
                <w:rFonts w:eastAsia="Times New Roman" w:cs="Sylfaen"/>
                <w:sz w:val="20"/>
                <w:szCs w:val="20"/>
              </w:rPr>
              <w:t>հերթին</w:t>
            </w:r>
            <w:r w:rsidRPr="0053423A">
              <w:rPr>
                <w:rFonts w:eastAsia="Times New Roman" w:cs="Arial"/>
                <w:sz w:val="20"/>
                <w:szCs w:val="20"/>
                <w:lang w:val="af-ZA"/>
              </w:rPr>
              <w:t xml:space="preserve"> </w:t>
            </w:r>
            <w:r w:rsidRPr="0053423A">
              <w:rPr>
                <w:rFonts w:eastAsia="Times New Roman" w:cs="Sylfaen"/>
                <w:sz w:val="20"/>
                <w:szCs w:val="20"/>
              </w:rPr>
              <w:t>կնպաստի</w:t>
            </w:r>
            <w:r w:rsidRPr="0053423A">
              <w:rPr>
                <w:rFonts w:eastAsia="Times New Roman" w:cs="Arial"/>
                <w:sz w:val="20"/>
                <w:szCs w:val="20"/>
                <w:lang w:val="af-ZA"/>
              </w:rPr>
              <w:t xml:space="preserve"> </w:t>
            </w:r>
            <w:r w:rsidRPr="0053423A">
              <w:rPr>
                <w:rFonts w:eastAsia="Times New Roman" w:cs="Sylfaen"/>
                <w:sz w:val="20"/>
                <w:szCs w:val="20"/>
              </w:rPr>
              <w:t>գրականության</w:t>
            </w:r>
            <w:r w:rsidRPr="0053423A">
              <w:rPr>
                <w:rFonts w:eastAsia="Times New Roman" w:cs="Arial"/>
                <w:sz w:val="20"/>
                <w:szCs w:val="20"/>
                <w:lang w:val="af-ZA"/>
              </w:rPr>
              <w:t xml:space="preserve"> </w:t>
            </w:r>
            <w:r w:rsidRPr="0053423A">
              <w:rPr>
                <w:rFonts w:eastAsia="Times New Roman" w:cs="Sylfaen"/>
                <w:sz w:val="20"/>
                <w:szCs w:val="20"/>
              </w:rPr>
              <w:t>և</w:t>
            </w:r>
            <w:r w:rsidRPr="0053423A">
              <w:rPr>
                <w:rFonts w:eastAsia="Times New Roman" w:cs="Arial"/>
                <w:sz w:val="20"/>
                <w:szCs w:val="20"/>
                <w:lang w:val="af-ZA"/>
              </w:rPr>
              <w:t xml:space="preserve"> </w:t>
            </w:r>
            <w:r w:rsidRPr="0053423A">
              <w:rPr>
                <w:rFonts w:eastAsia="Times New Roman" w:cs="Sylfaen"/>
                <w:sz w:val="20"/>
                <w:szCs w:val="20"/>
              </w:rPr>
              <w:t>հասարակական</w:t>
            </w:r>
            <w:r w:rsidRPr="0053423A">
              <w:rPr>
                <w:rFonts w:eastAsia="Times New Roman" w:cs="Arial"/>
                <w:sz w:val="20"/>
                <w:szCs w:val="20"/>
                <w:lang w:val="af-ZA"/>
              </w:rPr>
              <w:t xml:space="preserve"> </w:t>
            </w:r>
            <w:r w:rsidRPr="0053423A">
              <w:rPr>
                <w:rFonts w:eastAsia="Times New Roman" w:cs="Sylfaen"/>
                <w:sz w:val="20"/>
                <w:szCs w:val="20"/>
              </w:rPr>
              <w:t>գիտությունների</w:t>
            </w:r>
            <w:r w:rsidRPr="0053423A">
              <w:rPr>
                <w:rFonts w:eastAsia="Times New Roman" w:cs="Arial"/>
                <w:sz w:val="20"/>
                <w:szCs w:val="20"/>
                <w:lang w:val="af-ZA"/>
              </w:rPr>
              <w:t xml:space="preserve"> </w:t>
            </w:r>
            <w:r w:rsidRPr="0053423A">
              <w:rPr>
                <w:rFonts w:eastAsia="Times New Roman" w:cs="Sylfaen"/>
                <w:sz w:val="20"/>
                <w:szCs w:val="20"/>
              </w:rPr>
              <w:t>զարգացմանը</w:t>
            </w:r>
            <w:r w:rsidRPr="0053423A">
              <w:rPr>
                <w:rFonts w:eastAsia="Times New Roman" w:cs="Arial"/>
                <w:sz w:val="20"/>
                <w:szCs w:val="20"/>
                <w:lang w:val="af-ZA"/>
              </w:rPr>
              <w:t xml:space="preserve">, </w:t>
            </w:r>
            <w:r w:rsidRPr="0053423A">
              <w:rPr>
                <w:rFonts w:eastAsia="Times New Roman" w:cs="Sylfaen"/>
                <w:sz w:val="20"/>
                <w:szCs w:val="20"/>
              </w:rPr>
              <w:t>ինչպես</w:t>
            </w:r>
            <w:r w:rsidRPr="0053423A">
              <w:rPr>
                <w:rFonts w:eastAsia="Times New Roman" w:cs="Arial"/>
                <w:sz w:val="20"/>
                <w:szCs w:val="20"/>
                <w:lang w:val="af-ZA"/>
              </w:rPr>
              <w:t xml:space="preserve"> </w:t>
            </w:r>
            <w:r w:rsidRPr="0053423A">
              <w:rPr>
                <w:rFonts w:eastAsia="Times New Roman" w:cs="Sylfaen"/>
                <w:sz w:val="20"/>
                <w:szCs w:val="20"/>
              </w:rPr>
              <w:t>նաև</w:t>
            </w:r>
            <w:r w:rsidRPr="0053423A">
              <w:rPr>
                <w:rFonts w:eastAsia="Times New Roman" w:cs="Arial"/>
                <w:sz w:val="20"/>
                <w:szCs w:val="20"/>
                <w:lang w:val="af-ZA"/>
              </w:rPr>
              <w:t xml:space="preserve"> </w:t>
            </w:r>
            <w:r w:rsidRPr="0053423A">
              <w:rPr>
                <w:rFonts w:eastAsia="Times New Roman" w:cs="Sylfaen"/>
                <w:sz w:val="20"/>
                <w:szCs w:val="20"/>
              </w:rPr>
              <w:t>քաղաքացիական</w:t>
            </w:r>
            <w:r w:rsidRPr="0053423A">
              <w:rPr>
                <w:rFonts w:eastAsia="Times New Roman" w:cs="Arial"/>
                <w:sz w:val="20"/>
                <w:szCs w:val="20"/>
                <w:lang w:val="af-ZA"/>
              </w:rPr>
              <w:t xml:space="preserve"> </w:t>
            </w:r>
            <w:r w:rsidRPr="0053423A">
              <w:rPr>
                <w:rFonts w:eastAsia="Times New Roman" w:cs="Sylfaen"/>
                <w:sz w:val="20"/>
                <w:szCs w:val="20"/>
              </w:rPr>
              <w:t>հասարակության</w:t>
            </w:r>
            <w:r w:rsidRPr="0053423A">
              <w:rPr>
                <w:rFonts w:eastAsia="Times New Roman" w:cs="Arial"/>
                <w:sz w:val="20"/>
                <w:szCs w:val="20"/>
                <w:lang w:val="af-ZA"/>
              </w:rPr>
              <w:t xml:space="preserve"> </w:t>
            </w:r>
            <w:r w:rsidRPr="0053423A">
              <w:rPr>
                <w:rFonts w:eastAsia="Times New Roman" w:cs="Sylfaen"/>
                <w:sz w:val="20"/>
                <w:szCs w:val="20"/>
              </w:rPr>
              <w:t>զարգացմանը։</w:t>
            </w:r>
            <w:r w:rsidRPr="0053423A">
              <w:rPr>
                <w:rFonts w:eastAsia="Times New Roman" w:cs="Sylfaen"/>
                <w:sz w:val="20"/>
                <w:szCs w:val="20"/>
                <w:lang w:val="af-ZA"/>
              </w:rPr>
              <w:t xml:space="preserve"> </w:t>
            </w:r>
            <w:r w:rsidRPr="0053423A">
              <w:rPr>
                <w:rFonts w:eastAsia="Times New Roman" w:cs="Sylfaen"/>
                <w:sz w:val="20"/>
                <w:szCs w:val="20"/>
              </w:rPr>
              <w:t>Դրամաշնորհային</w:t>
            </w:r>
            <w:r w:rsidRPr="0053423A">
              <w:rPr>
                <w:rFonts w:eastAsia="Times New Roman" w:cs="Arial"/>
                <w:sz w:val="20"/>
                <w:szCs w:val="20"/>
                <w:lang w:val="af-ZA"/>
              </w:rPr>
              <w:t xml:space="preserve"> </w:t>
            </w:r>
            <w:r w:rsidRPr="0053423A">
              <w:rPr>
                <w:rFonts w:eastAsia="Times New Roman" w:cs="Sylfaen"/>
                <w:sz w:val="20"/>
                <w:szCs w:val="20"/>
              </w:rPr>
              <w:t>ծրագիրը</w:t>
            </w:r>
            <w:r w:rsidRPr="0053423A">
              <w:rPr>
                <w:rFonts w:eastAsia="Times New Roman" w:cs="Arial"/>
                <w:sz w:val="20"/>
                <w:szCs w:val="20"/>
                <w:lang w:val="af-ZA"/>
              </w:rPr>
              <w:t xml:space="preserve"> </w:t>
            </w:r>
            <w:r w:rsidRPr="0053423A">
              <w:rPr>
                <w:rFonts w:eastAsia="Times New Roman" w:cs="Sylfaen"/>
                <w:sz w:val="20"/>
                <w:szCs w:val="20"/>
              </w:rPr>
              <w:t>կրելու</w:t>
            </w:r>
            <w:r w:rsidRPr="0053423A">
              <w:rPr>
                <w:rFonts w:eastAsia="Times New Roman" w:cs="Arial"/>
                <w:sz w:val="20"/>
                <w:szCs w:val="20"/>
                <w:lang w:val="af-ZA"/>
              </w:rPr>
              <w:t xml:space="preserve"> </w:t>
            </w:r>
            <w:r w:rsidRPr="0053423A">
              <w:rPr>
                <w:rFonts w:eastAsia="Times New Roman" w:cs="Sylfaen"/>
                <w:sz w:val="20"/>
                <w:szCs w:val="20"/>
              </w:rPr>
              <w:t>է</w:t>
            </w:r>
            <w:r w:rsidRPr="0053423A">
              <w:rPr>
                <w:rFonts w:eastAsia="Times New Roman" w:cs="Arial"/>
                <w:sz w:val="20"/>
                <w:szCs w:val="20"/>
                <w:lang w:val="af-ZA"/>
              </w:rPr>
              <w:t xml:space="preserve"> </w:t>
            </w:r>
            <w:r w:rsidRPr="0053423A">
              <w:rPr>
                <w:rFonts w:eastAsia="Times New Roman" w:cs="Sylfaen"/>
                <w:sz w:val="20"/>
                <w:szCs w:val="20"/>
              </w:rPr>
              <w:t>ամենամյա</w:t>
            </w:r>
            <w:r w:rsidRPr="0053423A">
              <w:rPr>
                <w:rFonts w:eastAsia="Times New Roman" w:cs="Arial"/>
                <w:sz w:val="20"/>
                <w:szCs w:val="20"/>
                <w:lang w:val="af-ZA"/>
              </w:rPr>
              <w:t xml:space="preserve"> </w:t>
            </w:r>
            <w:r w:rsidRPr="0053423A">
              <w:rPr>
                <w:rFonts w:eastAsia="Times New Roman" w:cs="Sylfaen"/>
                <w:sz w:val="20"/>
                <w:szCs w:val="20"/>
              </w:rPr>
              <w:t>բնույթ</w:t>
            </w:r>
            <w:r w:rsidRPr="0053423A">
              <w:rPr>
                <w:rFonts w:eastAsia="Times New Roman" w:cs="Arial"/>
                <w:sz w:val="20"/>
                <w:szCs w:val="20"/>
                <w:lang w:val="af-ZA"/>
              </w:rPr>
              <w:t xml:space="preserve"> </w:t>
            </w:r>
            <w:r w:rsidRPr="0053423A">
              <w:rPr>
                <w:rFonts w:eastAsia="Times New Roman" w:cs="Sylfaen"/>
                <w:sz w:val="20"/>
                <w:szCs w:val="20"/>
              </w:rPr>
              <w:t>և</w:t>
            </w:r>
            <w:r w:rsidRPr="0053423A">
              <w:rPr>
                <w:rFonts w:eastAsia="Times New Roman" w:cs="Arial"/>
                <w:sz w:val="20"/>
                <w:szCs w:val="20"/>
                <w:lang w:val="af-ZA"/>
              </w:rPr>
              <w:t xml:space="preserve"> </w:t>
            </w:r>
            <w:r w:rsidRPr="0053423A">
              <w:rPr>
                <w:rFonts w:eastAsia="Times New Roman" w:cs="Sylfaen"/>
                <w:sz w:val="20"/>
                <w:szCs w:val="20"/>
              </w:rPr>
              <w:t>ամեն</w:t>
            </w:r>
            <w:r w:rsidRPr="0053423A">
              <w:rPr>
                <w:rFonts w:eastAsia="Times New Roman" w:cs="Arial"/>
                <w:sz w:val="20"/>
                <w:szCs w:val="20"/>
                <w:lang w:val="af-ZA"/>
              </w:rPr>
              <w:t xml:space="preserve"> </w:t>
            </w:r>
            <w:r w:rsidRPr="0053423A">
              <w:rPr>
                <w:rFonts w:eastAsia="Times New Roman" w:cs="Sylfaen"/>
                <w:sz w:val="20"/>
                <w:szCs w:val="20"/>
              </w:rPr>
              <w:t>տարի</w:t>
            </w:r>
            <w:r w:rsidRPr="0053423A">
              <w:rPr>
                <w:rFonts w:eastAsia="Times New Roman" w:cs="Arial"/>
                <w:sz w:val="20"/>
                <w:szCs w:val="20"/>
                <w:lang w:val="af-ZA"/>
              </w:rPr>
              <w:t xml:space="preserve"> </w:t>
            </w:r>
            <w:r w:rsidRPr="0053423A">
              <w:rPr>
                <w:rFonts w:eastAsia="Times New Roman" w:cs="Sylfaen"/>
                <w:sz w:val="20"/>
                <w:szCs w:val="20"/>
              </w:rPr>
              <w:t>ֆինանսավորվելու</w:t>
            </w:r>
            <w:r w:rsidRPr="0053423A">
              <w:rPr>
                <w:rFonts w:eastAsia="Times New Roman" w:cs="Arial"/>
                <w:sz w:val="20"/>
                <w:szCs w:val="20"/>
                <w:lang w:val="af-ZA"/>
              </w:rPr>
              <w:t xml:space="preserve"> </w:t>
            </w:r>
            <w:r w:rsidRPr="0053423A">
              <w:rPr>
                <w:rFonts w:eastAsia="Times New Roman" w:cs="Sylfaen"/>
                <w:sz w:val="20"/>
                <w:szCs w:val="20"/>
              </w:rPr>
              <w:t>է</w:t>
            </w:r>
            <w:r w:rsidRPr="0053423A">
              <w:rPr>
                <w:rFonts w:eastAsia="Times New Roman" w:cs="Arial"/>
                <w:sz w:val="20"/>
                <w:szCs w:val="20"/>
                <w:lang w:val="af-ZA"/>
              </w:rPr>
              <w:t xml:space="preserve"> </w:t>
            </w:r>
            <w:r w:rsidRPr="0053423A">
              <w:rPr>
                <w:rFonts w:eastAsia="Times New Roman" w:cs="Sylfaen"/>
                <w:sz w:val="20"/>
                <w:szCs w:val="20"/>
              </w:rPr>
              <w:t>գրական</w:t>
            </w:r>
            <w:r w:rsidRPr="0053423A">
              <w:rPr>
                <w:rFonts w:eastAsia="Times New Roman" w:cs="Arial"/>
                <w:sz w:val="20"/>
                <w:szCs w:val="20"/>
                <w:lang w:val="af-ZA"/>
              </w:rPr>
              <w:t xml:space="preserve"> </w:t>
            </w:r>
            <w:r w:rsidRPr="0053423A">
              <w:rPr>
                <w:rFonts w:eastAsia="Times New Roman" w:cs="Sylfaen"/>
                <w:sz w:val="20"/>
                <w:szCs w:val="20"/>
              </w:rPr>
              <w:t>տարբեր</w:t>
            </w:r>
            <w:r w:rsidRPr="0053423A">
              <w:rPr>
                <w:rFonts w:eastAsia="Times New Roman" w:cs="Arial"/>
                <w:sz w:val="20"/>
                <w:szCs w:val="20"/>
                <w:lang w:val="af-ZA"/>
              </w:rPr>
              <w:t xml:space="preserve"> </w:t>
            </w:r>
            <w:r w:rsidRPr="0053423A">
              <w:rPr>
                <w:rFonts w:eastAsia="Times New Roman" w:cs="Sylfaen"/>
                <w:sz w:val="20"/>
                <w:szCs w:val="20"/>
              </w:rPr>
              <w:t>ժանրերի</w:t>
            </w:r>
            <w:r w:rsidRPr="0053423A">
              <w:rPr>
                <w:rFonts w:eastAsia="Times New Roman" w:cs="Arial"/>
                <w:sz w:val="20"/>
                <w:szCs w:val="20"/>
                <w:lang w:val="af-ZA"/>
              </w:rPr>
              <w:t xml:space="preserve"> </w:t>
            </w:r>
            <w:r w:rsidRPr="0053423A">
              <w:rPr>
                <w:rFonts w:eastAsia="Times New Roman" w:cs="Sylfaen"/>
                <w:sz w:val="20"/>
                <w:szCs w:val="20"/>
              </w:rPr>
              <w:t>նախագծեր</w:t>
            </w:r>
            <w:r w:rsidRPr="0053423A">
              <w:rPr>
                <w:rFonts w:eastAsia="Times New Roman" w:cs="Arial"/>
                <w:sz w:val="20"/>
                <w:szCs w:val="20"/>
                <w:lang w:val="af-ZA"/>
              </w:rPr>
              <w:t>:</w:t>
            </w:r>
          </w:p>
          <w:p w:rsidR="00A67B6B" w:rsidRPr="0053423A" w:rsidRDefault="00A67B6B" w:rsidP="00A67858">
            <w:pPr>
              <w:spacing w:after="0" w:line="276" w:lineRule="auto"/>
              <w:jc w:val="both"/>
              <w:rPr>
                <w:rFonts w:eastAsia="Times New Roman" w:cs="Arial"/>
                <w:sz w:val="20"/>
                <w:szCs w:val="20"/>
                <w:lang w:val="af-ZA"/>
              </w:rPr>
            </w:pPr>
          </w:p>
          <w:p w:rsidR="00A67B6B" w:rsidRPr="0053423A" w:rsidRDefault="00A67B6B" w:rsidP="00A67858">
            <w:pPr>
              <w:tabs>
                <w:tab w:val="left" w:pos="508"/>
              </w:tabs>
              <w:spacing w:after="0" w:line="276" w:lineRule="auto"/>
              <w:contextualSpacing/>
              <w:rPr>
                <w:rFonts w:eastAsia="Times New Roman" w:cs="Sylfaen"/>
                <w:b/>
                <w:sz w:val="20"/>
                <w:szCs w:val="20"/>
                <w:lang w:val="af-ZA"/>
              </w:rPr>
            </w:pPr>
            <w:r w:rsidRPr="0053423A">
              <w:rPr>
                <w:rFonts w:eastAsia="Times New Roman" w:cs="Sylfaen"/>
                <w:b/>
                <w:sz w:val="20"/>
                <w:szCs w:val="20"/>
                <w:lang w:val="af-ZA"/>
              </w:rPr>
              <w:t xml:space="preserve">1.1. </w:t>
            </w:r>
            <w:r w:rsidRPr="0053423A">
              <w:rPr>
                <w:rFonts w:eastAsia="Times New Roman" w:cs="Sylfaen"/>
                <w:b/>
                <w:sz w:val="20"/>
                <w:szCs w:val="20"/>
              </w:rPr>
              <w:t>Կարգավորման</w:t>
            </w:r>
            <w:r w:rsidRPr="0053423A">
              <w:rPr>
                <w:rFonts w:eastAsia="Times New Roman" w:cs="Sylfaen"/>
                <w:b/>
                <w:sz w:val="20"/>
                <w:szCs w:val="20"/>
                <w:lang w:val="af-ZA"/>
              </w:rPr>
              <w:t xml:space="preserve"> </w:t>
            </w:r>
            <w:r w:rsidRPr="0053423A">
              <w:rPr>
                <w:rFonts w:eastAsia="Times New Roman" w:cs="Sylfaen"/>
                <w:b/>
                <w:sz w:val="20"/>
                <w:szCs w:val="20"/>
              </w:rPr>
              <w:t>հարաբերությունների</w:t>
            </w:r>
            <w:r w:rsidRPr="0053423A">
              <w:rPr>
                <w:rFonts w:eastAsia="Times New Roman" w:cs="Sylfaen"/>
                <w:b/>
                <w:sz w:val="20"/>
                <w:szCs w:val="20"/>
                <w:lang w:val="af-ZA"/>
              </w:rPr>
              <w:t xml:space="preserve"> </w:t>
            </w:r>
            <w:r w:rsidRPr="0053423A">
              <w:rPr>
                <w:rFonts w:eastAsia="Times New Roman" w:cs="Sylfaen"/>
                <w:b/>
                <w:sz w:val="20"/>
                <w:szCs w:val="20"/>
              </w:rPr>
              <w:t>ներկա</w:t>
            </w:r>
            <w:r w:rsidRPr="0053423A">
              <w:rPr>
                <w:rFonts w:eastAsia="Times New Roman" w:cs="Sylfaen"/>
                <w:b/>
                <w:sz w:val="20"/>
                <w:szCs w:val="20"/>
                <w:lang w:val="af-ZA"/>
              </w:rPr>
              <w:t xml:space="preserve"> </w:t>
            </w:r>
            <w:r w:rsidRPr="0053423A">
              <w:rPr>
                <w:rFonts w:eastAsia="Times New Roman" w:cs="Sylfaen"/>
                <w:b/>
                <w:sz w:val="20"/>
                <w:szCs w:val="20"/>
              </w:rPr>
              <w:t>վիճակը</w:t>
            </w:r>
            <w:r w:rsidRPr="0053423A">
              <w:rPr>
                <w:rFonts w:eastAsia="Times New Roman" w:cs="Sylfaen"/>
                <w:b/>
                <w:sz w:val="20"/>
                <w:szCs w:val="20"/>
                <w:lang w:val="af-ZA"/>
              </w:rPr>
              <w:t xml:space="preserve"> </w:t>
            </w:r>
            <w:r w:rsidRPr="0053423A">
              <w:rPr>
                <w:rFonts w:eastAsia="Times New Roman" w:cs="Sylfaen"/>
                <w:b/>
                <w:sz w:val="20"/>
                <w:szCs w:val="20"/>
              </w:rPr>
              <w:t>և</w:t>
            </w:r>
            <w:r w:rsidRPr="0053423A">
              <w:rPr>
                <w:rFonts w:eastAsia="Times New Roman" w:cs="Sylfaen"/>
                <w:b/>
                <w:sz w:val="20"/>
                <w:szCs w:val="20"/>
                <w:lang w:val="af-ZA"/>
              </w:rPr>
              <w:t xml:space="preserve"> </w:t>
            </w:r>
            <w:r w:rsidRPr="0053423A">
              <w:rPr>
                <w:rFonts w:eastAsia="Times New Roman" w:cs="Sylfaen"/>
                <w:b/>
                <w:sz w:val="20"/>
                <w:szCs w:val="20"/>
              </w:rPr>
              <w:t>առկա</w:t>
            </w:r>
            <w:r w:rsidRPr="0053423A">
              <w:rPr>
                <w:rFonts w:eastAsia="Times New Roman" w:cs="Sylfaen"/>
                <w:b/>
                <w:sz w:val="20"/>
                <w:szCs w:val="20"/>
                <w:lang w:val="af-ZA"/>
              </w:rPr>
              <w:t xml:space="preserve"> </w:t>
            </w:r>
            <w:r w:rsidRPr="0053423A">
              <w:rPr>
                <w:rFonts w:eastAsia="Times New Roman" w:cs="Sylfaen"/>
                <w:b/>
                <w:sz w:val="20"/>
                <w:szCs w:val="20"/>
              </w:rPr>
              <w:t>խնդիրները</w:t>
            </w:r>
          </w:p>
          <w:p w:rsidR="00A67B6B" w:rsidRPr="0053423A" w:rsidRDefault="00A67B6B" w:rsidP="00A67858">
            <w:pPr>
              <w:tabs>
                <w:tab w:val="left" w:pos="508"/>
              </w:tabs>
              <w:spacing w:after="0" w:line="276" w:lineRule="auto"/>
              <w:jc w:val="both"/>
              <w:rPr>
                <w:rFonts w:eastAsia="Times New Roman" w:cs="Sylfaen"/>
                <w:sz w:val="20"/>
                <w:szCs w:val="20"/>
                <w:lang w:val="hy-AM"/>
              </w:rPr>
            </w:pPr>
            <w:r w:rsidRPr="0053423A">
              <w:rPr>
                <w:rFonts w:eastAsia="Times New Roman" w:cs="Sylfaen"/>
                <w:sz w:val="20"/>
                <w:szCs w:val="20"/>
              </w:rPr>
              <w:t>Ներկայում</w:t>
            </w:r>
            <w:r w:rsidRPr="0053423A">
              <w:rPr>
                <w:rFonts w:eastAsia="Times New Roman" w:cs="Sylfaen"/>
                <w:sz w:val="20"/>
                <w:szCs w:val="20"/>
                <w:lang w:val="af-ZA"/>
              </w:rPr>
              <w:t xml:space="preserve"> </w:t>
            </w:r>
            <w:r w:rsidRPr="0053423A">
              <w:rPr>
                <w:rFonts w:eastAsia="Times New Roman" w:cs="Sylfaen"/>
                <w:sz w:val="20"/>
                <w:szCs w:val="20"/>
              </w:rPr>
              <w:t>մշակութային</w:t>
            </w:r>
            <w:r w:rsidRPr="0053423A">
              <w:rPr>
                <w:rFonts w:eastAsia="Times New Roman" w:cs="Sylfaen"/>
                <w:sz w:val="20"/>
                <w:szCs w:val="20"/>
                <w:lang w:val="af-ZA"/>
              </w:rPr>
              <w:t xml:space="preserve">, </w:t>
            </w:r>
            <w:r w:rsidRPr="0053423A">
              <w:rPr>
                <w:rFonts w:eastAsia="Times New Roman" w:cs="Sylfaen"/>
                <w:sz w:val="20"/>
                <w:szCs w:val="20"/>
              </w:rPr>
              <w:t>գիտական</w:t>
            </w:r>
            <w:r w:rsidRPr="0053423A">
              <w:rPr>
                <w:rFonts w:eastAsia="Times New Roman" w:cs="Sylfaen"/>
                <w:sz w:val="20"/>
                <w:szCs w:val="20"/>
                <w:lang w:val="af-ZA"/>
              </w:rPr>
              <w:t xml:space="preserve"> </w:t>
            </w:r>
            <w:r w:rsidRPr="0053423A">
              <w:rPr>
                <w:rFonts w:eastAsia="Times New Roman" w:cs="Sylfaen"/>
                <w:sz w:val="20"/>
                <w:szCs w:val="20"/>
              </w:rPr>
              <w:t>բնագավառների</w:t>
            </w:r>
            <w:r w:rsidRPr="0053423A">
              <w:rPr>
                <w:rFonts w:eastAsia="Times New Roman" w:cs="Sylfaen"/>
                <w:sz w:val="20"/>
                <w:szCs w:val="20"/>
                <w:lang w:val="af-ZA"/>
              </w:rPr>
              <w:t xml:space="preserve"> </w:t>
            </w:r>
            <w:r w:rsidRPr="0053423A">
              <w:rPr>
                <w:rFonts w:eastAsia="Times New Roman" w:cs="Sylfaen"/>
                <w:sz w:val="20"/>
                <w:szCs w:val="20"/>
              </w:rPr>
              <w:t>ոչ</w:t>
            </w:r>
            <w:r w:rsidRPr="0053423A">
              <w:rPr>
                <w:rFonts w:eastAsia="Times New Roman" w:cs="Sylfaen"/>
                <w:sz w:val="20"/>
                <w:szCs w:val="20"/>
                <w:lang w:val="af-ZA"/>
              </w:rPr>
              <w:t xml:space="preserve"> </w:t>
            </w:r>
            <w:r w:rsidRPr="0053423A">
              <w:rPr>
                <w:rFonts w:eastAsia="Times New Roman" w:cs="Sylfaen"/>
                <w:sz w:val="20"/>
                <w:szCs w:val="20"/>
              </w:rPr>
              <w:t>բավարար</w:t>
            </w:r>
            <w:r w:rsidRPr="0053423A">
              <w:rPr>
                <w:rFonts w:eastAsia="Times New Roman" w:cs="Sylfaen"/>
                <w:sz w:val="20"/>
                <w:szCs w:val="20"/>
                <w:lang w:val="af-ZA"/>
              </w:rPr>
              <w:t xml:space="preserve"> </w:t>
            </w:r>
            <w:r w:rsidRPr="0053423A">
              <w:rPr>
                <w:rFonts w:eastAsia="Times New Roman" w:cs="Sylfaen"/>
                <w:sz w:val="20"/>
                <w:szCs w:val="20"/>
              </w:rPr>
              <w:t>պետական</w:t>
            </w:r>
            <w:r w:rsidRPr="0053423A">
              <w:rPr>
                <w:rFonts w:eastAsia="Times New Roman" w:cs="Sylfaen"/>
                <w:sz w:val="20"/>
                <w:szCs w:val="20"/>
                <w:lang w:val="af-ZA"/>
              </w:rPr>
              <w:t xml:space="preserve"> </w:t>
            </w:r>
            <w:r w:rsidRPr="0053423A">
              <w:rPr>
                <w:rFonts w:eastAsia="Times New Roman" w:cs="Sylfaen"/>
                <w:sz w:val="20"/>
                <w:szCs w:val="20"/>
              </w:rPr>
              <w:t>ֆինանսավորումը</w:t>
            </w:r>
            <w:r w:rsidRPr="0053423A">
              <w:rPr>
                <w:rFonts w:eastAsia="Times New Roman" w:cs="Sylfaen"/>
                <w:sz w:val="20"/>
                <w:szCs w:val="20"/>
                <w:lang w:val="af-ZA"/>
              </w:rPr>
              <w:t xml:space="preserve"> </w:t>
            </w:r>
            <w:r w:rsidRPr="0053423A">
              <w:rPr>
                <w:rFonts w:eastAsia="Times New Roman" w:cs="Sylfaen"/>
                <w:sz w:val="20"/>
                <w:szCs w:val="20"/>
              </w:rPr>
              <w:t>և</w:t>
            </w:r>
            <w:r w:rsidRPr="0053423A">
              <w:rPr>
                <w:rFonts w:eastAsia="Times New Roman" w:cs="Sylfaen"/>
                <w:sz w:val="20"/>
                <w:szCs w:val="20"/>
                <w:lang w:val="af-ZA"/>
              </w:rPr>
              <w:t xml:space="preserve"> </w:t>
            </w:r>
            <w:r w:rsidRPr="0053423A">
              <w:rPr>
                <w:rFonts w:eastAsia="Times New Roman" w:cs="Sylfaen"/>
                <w:sz w:val="20"/>
                <w:szCs w:val="20"/>
              </w:rPr>
              <w:t>այս</w:t>
            </w:r>
            <w:r w:rsidRPr="0053423A">
              <w:rPr>
                <w:rFonts w:eastAsia="Times New Roman" w:cs="Sylfaen"/>
                <w:sz w:val="20"/>
                <w:szCs w:val="20"/>
                <w:lang w:val="af-ZA"/>
              </w:rPr>
              <w:t xml:space="preserve"> </w:t>
            </w:r>
            <w:r w:rsidRPr="0053423A">
              <w:rPr>
                <w:rFonts w:eastAsia="Times New Roman" w:cs="Sylfaen"/>
                <w:sz w:val="20"/>
                <w:szCs w:val="20"/>
              </w:rPr>
              <w:t>բնագավառում</w:t>
            </w:r>
            <w:r w:rsidRPr="0053423A">
              <w:rPr>
                <w:rFonts w:eastAsia="Times New Roman" w:cs="Sylfaen"/>
                <w:sz w:val="20"/>
                <w:szCs w:val="20"/>
                <w:lang w:val="af-ZA"/>
              </w:rPr>
              <w:t xml:space="preserve"> </w:t>
            </w:r>
            <w:r w:rsidRPr="0053423A">
              <w:rPr>
                <w:rFonts w:eastAsia="Times New Roman" w:cs="Sylfaen"/>
                <w:sz w:val="20"/>
                <w:szCs w:val="20"/>
              </w:rPr>
              <w:t>նպատակային</w:t>
            </w:r>
            <w:r w:rsidRPr="0053423A">
              <w:rPr>
                <w:rFonts w:eastAsia="Times New Roman" w:cs="Sylfaen"/>
                <w:sz w:val="20"/>
                <w:szCs w:val="20"/>
                <w:lang w:val="af-ZA"/>
              </w:rPr>
              <w:t xml:space="preserve"> </w:t>
            </w:r>
            <w:r w:rsidRPr="0053423A">
              <w:rPr>
                <w:rFonts w:eastAsia="Times New Roman" w:cs="Sylfaen"/>
                <w:sz w:val="20"/>
                <w:szCs w:val="20"/>
              </w:rPr>
              <w:t>ծրագրերի</w:t>
            </w:r>
            <w:r w:rsidRPr="0053423A">
              <w:rPr>
                <w:rFonts w:eastAsia="Times New Roman" w:cs="Sylfaen"/>
                <w:sz w:val="20"/>
                <w:szCs w:val="20"/>
                <w:lang w:val="af-ZA"/>
              </w:rPr>
              <w:t xml:space="preserve"> </w:t>
            </w:r>
            <w:r w:rsidRPr="0053423A">
              <w:rPr>
                <w:rFonts w:eastAsia="Times New Roman" w:cs="Sylfaen"/>
                <w:sz w:val="20"/>
                <w:szCs w:val="20"/>
              </w:rPr>
              <w:t>սակավությունը</w:t>
            </w:r>
            <w:r w:rsidRPr="0053423A">
              <w:rPr>
                <w:rFonts w:eastAsia="Times New Roman" w:cs="Sylfaen"/>
                <w:sz w:val="20"/>
                <w:szCs w:val="20"/>
                <w:lang w:val="af-ZA"/>
              </w:rPr>
              <w:t xml:space="preserve">, </w:t>
            </w:r>
            <w:r w:rsidRPr="0053423A">
              <w:rPr>
                <w:rFonts w:eastAsia="Times New Roman" w:cs="Sylfaen"/>
                <w:sz w:val="20"/>
                <w:szCs w:val="20"/>
              </w:rPr>
              <w:t>ինչպես</w:t>
            </w:r>
            <w:r w:rsidRPr="0053423A">
              <w:rPr>
                <w:rFonts w:eastAsia="Times New Roman" w:cs="Sylfaen"/>
                <w:sz w:val="20"/>
                <w:szCs w:val="20"/>
                <w:lang w:val="af-ZA"/>
              </w:rPr>
              <w:t xml:space="preserve"> </w:t>
            </w:r>
            <w:r w:rsidRPr="0053423A">
              <w:rPr>
                <w:rFonts w:eastAsia="Times New Roman" w:cs="Sylfaen"/>
                <w:sz w:val="20"/>
                <w:szCs w:val="20"/>
              </w:rPr>
              <w:t>նաև</w:t>
            </w:r>
            <w:r w:rsidRPr="0053423A">
              <w:rPr>
                <w:rFonts w:eastAsia="Times New Roman" w:cs="Sylfaen"/>
                <w:sz w:val="20"/>
                <w:szCs w:val="20"/>
                <w:lang w:val="af-ZA"/>
              </w:rPr>
              <w:t xml:space="preserve"> </w:t>
            </w:r>
            <w:r w:rsidRPr="0053423A">
              <w:rPr>
                <w:rFonts w:eastAsia="Times New Roman" w:cs="Sylfaen"/>
                <w:sz w:val="20"/>
                <w:szCs w:val="20"/>
              </w:rPr>
              <w:t>ստեղծագորոծողի</w:t>
            </w:r>
            <w:r w:rsidRPr="0053423A">
              <w:rPr>
                <w:rFonts w:eastAsia="Times New Roman" w:cs="Sylfaen"/>
                <w:sz w:val="20"/>
                <w:szCs w:val="20"/>
                <w:lang w:val="af-ZA"/>
              </w:rPr>
              <w:t xml:space="preserve">, </w:t>
            </w:r>
            <w:r w:rsidRPr="0053423A">
              <w:rPr>
                <w:rFonts w:eastAsia="Times New Roman" w:cs="Sylfaen"/>
                <w:sz w:val="20"/>
                <w:szCs w:val="20"/>
              </w:rPr>
              <w:t>հետազոտողի</w:t>
            </w:r>
            <w:r w:rsidRPr="0053423A">
              <w:rPr>
                <w:rFonts w:eastAsia="Times New Roman" w:cs="Sylfaen"/>
                <w:sz w:val="20"/>
                <w:szCs w:val="20"/>
                <w:lang w:val="af-ZA"/>
              </w:rPr>
              <w:t xml:space="preserve"> </w:t>
            </w:r>
            <w:r w:rsidRPr="0053423A">
              <w:rPr>
                <w:rFonts w:eastAsia="Times New Roman" w:cs="Sylfaen"/>
                <w:sz w:val="20"/>
                <w:szCs w:val="20"/>
              </w:rPr>
              <w:t>նկատմամբ</w:t>
            </w:r>
            <w:r w:rsidRPr="0053423A">
              <w:rPr>
                <w:rFonts w:eastAsia="Times New Roman" w:cs="Sylfaen"/>
                <w:sz w:val="20"/>
                <w:szCs w:val="20"/>
                <w:lang w:val="af-ZA"/>
              </w:rPr>
              <w:t xml:space="preserve"> </w:t>
            </w:r>
            <w:r w:rsidRPr="0053423A">
              <w:rPr>
                <w:rFonts w:eastAsia="Times New Roman" w:cs="Sylfaen"/>
                <w:sz w:val="20"/>
                <w:szCs w:val="20"/>
              </w:rPr>
              <w:t>պետական</w:t>
            </w:r>
            <w:r w:rsidRPr="0053423A">
              <w:rPr>
                <w:rFonts w:eastAsia="Times New Roman" w:cs="Sylfaen"/>
                <w:sz w:val="20"/>
                <w:szCs w:val="20"/>
                <w:lang w:val="af-ZA"/>
              </w:rPr>
              <w:t xml:space="preserve"> </w:t>
            </w:r>
            <w:r w:rsidRPr="0053423A">
              <w:rPr>
                <w:rFonts w:eastAsia="Times New Roman" w:cs="Sylfaen"/>
                <w:sz w:val="20"/>
                <w:szCs w:val="20"/>
              </w:rPr>
              <w:t>ոչ</w:t>
            </w:r>
            <w:r w:rsidRPr="0053423A">
              <w:rPr>
                <w:rFonts w:eastAsia="Times New Roman" w:cs="Sylfaen"/>
                <w:sz w:val="20"/>
                <w:szCs w:val="20"/>
                <w:lang w:val="af-ZA"/>
              </w:rPr>
              <w:t xml:space="preserve"> </w:t>
            </w:r>
            <w:r w:rsidRPr="0053423A">
              <w:rPr>
                <w:rFonts w:eastAsia="Times New Roman" w:cs="Sylfaen"/>
                <w:sz w:val="20"/>
                <w:szCs w:val="20"/>
              </w:rPr>
              <w:t>պատշաճ</w:t>
            </w:r>
            <w:r w:rsidRPr="0053423A">
              <w:rPr>
                <w:rFonts w:eastAsia="Times New Roman" w:cs="Sylfaen"/>
                <w:sz w:val="20"/>
                <w:szCs w:val="20"/>
                <w:lang w:val="af-ZA"/>
              </w:rPr>
              <w:t xml:space="preserve"> </w:t>
            </w:r>
            <w:r w:rsidRPr="0053423A">
              <w:rPr>
                <w:rFonts w:eastAsia="Times New Roman" w:cs="Sylfaen"/>
                <w:sz w:val="20"/>
                <w:szCs w:val="20"/>
              </w:rPr>
              <w:t>վերաբերմունքի</w:t>
            </w:r>
            <w:r w:rsidRPr="0053423A">
              <w:rPr>
                <w:rFonts w:eastAsia="Times New Roman" w:cs="Sylfaen"/>
                <w:sz w:val="20"/>
                <w:szCs w:val="20"/>
                <w:lang w:val="af-ZA"/>
              </w:rPr>
              <w:t xml:space="preserve"> </w:t>
            </w:r>
            <w:r w:rsidRPr="0053423A">
              <w:rPr>
                <w:rFonts w:eastAsia="Times New Roman" w:cs="Sylfaen"/>
                <w:sz w:val="20"/>
                <w:szCs w:val="20"/>
              </w:rPr>
              <w:t>պատճառով՝</w:t>
            </w:r>
            <w:r w:rsidRPr="0053423A">
              <w:rPr>
                <w:rFonts w:eastAsia="Times New Roman" w:cs="Sylfaen"/>
                <w:sz w:val="20"/>
                <w:szCs w:val="20"/>
                <w:lang w:val="af-ZA"/>
              </w:rPr>
              <w:t xml:space="preserve"> </w:t>
            </w:r>
            <w:r w:rsidRPr="0053423A">
              <w:rPr>
                <w:rFonts w:eastAsia="Times New Roman" w:cs="Sylfaen"/>
                <w:sz w:val="20"/>
                <w:szCs w:val="20"/>
              </w:rPr>
              <w:t>խզվել</w:t>
            </w:r>
            <w:r w:rsidRPr="0053423A">
              <w:rPr>
                <w:rFonts w:eastAsia="Times New Roman" w:cs="Sylfaen"/>
                <w:sz w:val="20"/>
                <w:szCs w:val="20"/>
                <w:lang w:val="af-ZA"/>
              </w:rPr>
              <w:t xml:space="preserve"> </w:t>
            </w:r>
            <w:r w:rsidRPr="0053423A">
              <w:rPr>
                <w:rFonts w:eastAsia="Times New Roman" w:cs="Sylfaen"/>
                <w:sz w:val="20"/>
                <w:szCs w:val="20"/>
              </w:rPr>
              <w:t>է</w:t>
            </w:r>
            <w:r w:rsidRPr="0053423A">
              <w:rPr>
                <w:rFonts w:eastAsia="Times New Roman" w:cs="Sylfaen"/>
                <w:sz w:val="20"/>
                <w:szCs w:val="20"/>
                <w:lang w:val="af-ZA"/>
              </w:rPr>
              <w:t xml:space="preserve"> </w:t>
            </w:r>
            <w:r w:rsidRPr="0053423A">
              <w:rPr>
                <w:rFonts w:eastAsia="Times New Roman" w:cs="Sylfaen"/>
                <w:sz w:val="20"/>
                <w:szCs w:val="20"/>
              </w:rPr>
              <w:t>պետություն</w:t>
            </w:r>
            <w:r w:rsidRPr="0053423A">
              <w:rPr>
                <w:rFonts w:eastAsia="Times New Roman" w:cs="Sylfaen"/>
                <w:sz w:val="20"/>
                <w:szCs w:val="20"/>
                <w:lang w:val="af-ZA"/>
              </w:rPr>
              <w:t xml:space="preserve">- </w:t>
            </w:r>
            <w:r w:rsidRPr="0053423A">
              <w:rPr>
                <w:rFonts w:eastAsia="Times New Roman" w:cs="Sylfaen"/>
                <w:sz w:val="20"/>
                <w:szCs w:val="20"/>
              </w:rPr>
              <w:t>ստեղծագործող</w:t>
            </w:r>
            <w:r w:rsidRPr="0053423A">
              <w:rPr>
                <w:rFonts w:eastAsia="Times New Roman" w:cs="Sylfaen"/>
                <w:sz w:val="20"/>
                <w:szCs w:val="20"/>
                <w:lang w:val="af-ZA"/>
              </w:rPr>
              <w:t xml:space="preserve"> </w:t>
            </w:r>
            <w:r w:rsidRPr="0053423A">
              <w:rPr>
                <w:rFonts w:eastAsia="Times New Roman" w:cs="Sylfaen"/>
                <w:sz w:val="20"/>
                <w:szCs w:val="20"/>
              </w:rPr>
              <w:t>կամ</w:t>
            </w:r>
            <w:r w:rsidRPr="0053423A">
              <w:rPr>
                <w:rFonts w:eastAsia="Times New Roman" w:cs="Sylfaen"/>
                <w:sz w:val="20"/>
                <w:szCs w:val="20"/>
                <w:lang w:val="af-ZA"/>
              </w:rPr>
              <w:t xml:space="preserve"> </w:t>
            </w:r>
            <w:r w:rsidRPr="0053423A">
              <w:rPr>
                <w:rFonts w:eastAsia="Times New Roman" w:cs="Sylfaen"/>
                <w:sz w:val="20"/>
                <w:szCs w:val="20"/>
              </w:rPr>
              <w:t>հետազոտող</w:t>
            </w:r>
            <w:r w:rsidRPr="0053423A">
              <w:rPr>
                <w:rFonts w:eastAsia="Times New Roman" w:cs="Sylfaen"/>
                <w:sz w:val="20"/>
                <w:szCs w:val="20"/>
                <w:lang w:val="af-ZA"/>
              </w:rPr>
              <w:t xml:space="preserve"> </w:t>
            </w:r>
            <w:r w:rsidRPr="0053423A">
              <w:rPr>
                <w:rFonts w:eastAsia="Times New Roman" w:cs="Sylfaen"/>
                <w:sz w:val="20"/>
                <w:szCs w:val="20"/>
              </w:rPr>
              <w:t>կապը</w:t>
            </w:r>
            <w:r w:rsidRPr="0053423A">
              <w:rPr>
                <w:rFonts w:eastAsia="Times New Roman" w:cs="Sylfaen"/>
                <w:sz w:val="20"/>
                <w:szCs w:val="20"/>
                <w:lang w:val="af-ZA"/>
              </w:rPr>
              <w:t xml:space="preserve">: </w:t>
            </w:r>
            <w:r w:rsidRPr="0053423A">
              <w:rPr>
                <w:rFonts w:eastAsia="Times New Roman" w:cs="Sylfaen"/>
                <w:sz w:val="20"/>
                <w:szCs w:val="20"/>
                <w:lang w:val="hy-AM"/>
              </w:rPr>
              <w:t>Պետական աջակցությունը տրամադրվում է հրատարակչին և ստեղծագործողի, հետազոտողի հետ կապը իրականացվում է միջնորդավորված:</w:t>
            </w:r>
          </w:p>
          <w:p w:rsidR="00A67B6B" w:rsidRPr="0053423A" w:rsidRDefault="00A67B6B" w:rsidP="00A67858">
            <w:pPr>
              <w:tabs>
                <w:tab w:val="left" w:pos="508"/>
              </w:tabs>
              <w:spacing w:after="0" w:line="276" w:lineRule="auto"/>
              <w:jc w:val="both"/>
              <w:rPr>
                <w:rFonts w:eastAsia="Times New Roman" w:cs="Sylfaen"/>
                <w:sz w:val="20"/>
                <w:szCs w:val="20"/>
                <w:lang w:val="hy-AM"/>
              </w:rPr>
            </w:pPr>
          </w:p>
          <w:p w:rsidR="00A67B6B" w:rsidRPr="0053423A" w:rsidRDefault="00A67B6B" w:rsidP="00A67858">
            <w:pPr>
              <w:tabs>
                <w:tab w:val="left" w:pos="508"/>
              </w:tabs>
              <w:spacing w:after="0" w:line="276" w:lineRule="auto"/>
              <w:contextualSpacing/>
              <w:rPr>
                <w:rFonts w:eastAsia="Times New Roman" w:cs="Sylfaen"/>
                <w:b/>
                <w:sz w:val="20"/>
                <w:szCs w:val="20"/>
                <w:lang w:val="hy-AM"/>
              </w:rPr>
            </w:pPr>
            <w:r w:rsidRPr="0053423A">
              <w:rPr>
                <w:rFonts w:eastAsia="Times New Roman" w:cs="Sylfaen"/>
                <w:b/>
                <w:sz w:val="20"/>
                <w:szCs w:val="20"/>
                <w:lang w:val="hy-AM"/>
              </w:rPr>
              <w:t>1.2. Առկա խնդիրների առաջարկվող լուծումները</w:t>
            </w:r>
          </w:p>
          <w:p w:rsidR="00A67B6B" w:rsidRPr="0053423A" w:rsidRDefault="00A67B6B" w:rsidP="00A67858">
            <w:pPr>
              <w:tabs>
                <w:tab w:val="left" w:pos="0"/>
                <w:tab w:val="left" w:pos="508"/>
              </w:tabs>
              <w:spacing w:after="0" w:line="276" w:lineRule="auto"/>
              <w:jc w:val="both"/>
              <w:rPr>
                <w:rFonts w:eastAsia="Times New Roman" w:cs="Sylfaen"/>
                <w:sz w:val="20"/>
                <w:szCs w:val="20"/>
                <w:lang w:val="hy-AM"/>
              </w:rPr>
            </w:pPr>
            <w:r w:rsidRPr="0053423A">
              <w:rPr>
                <w:rFonts w:eastAsia="Times New Roman" w:cs="Sylfaen"/>
                <w:sz w:val="20"/>
                <w:szCs w:val="20"/>
                <w:lang w:val="hy-AM"/>
              </w:rPr>
              <w:t>Ծրագիրը միտված է պետություն-հետազոտող/ստեղծագործող կապի վերականգնմանը և անմիջական, չմիջնորդավորված հարաբերությունների կարգավորմանը:</w:t>
            </w:r>
          </w:p>
          <w:p w:rsidR="00A67B6B" w:rsidRPr="0053423A" w:rsidRDefault="00A67B6B" w:rsidP="00A67858">
            <w:pPr>
              <w:tabs>
                <w:tab w:val="left" w:pos="508"/>
                <w:tab w:val="left" w:pos="1276"/>
              </w:tabs>
              <w:spacing w:after="0" w:line="276" w:lineRule="auto"/>
              <w:contextualSpacing/>
              <w:jc w:val="both"/>
              <w:rPr>
                <w:rFonts w:eastAsia="Times New Roman" w:cs="Times New Roman"/>
                <w:b/>
                <w:sz w:val="20"/>
                <w:szCs w:val="20"/>
                <w:lang w:val="hy-AM"/>
              </w:rPr>
            </w:pPr>
            <w:r w:rsidRPr="0053423A">
              <w:rPr>
                <w:rFonts w:eastAsia="Calibri" w:cs="Sylfaen"/>
                <w:b/>
                <w:sz w:val="20"/>
                <w:szCs w:val="20"/>
                <w:lang w:val="hy-AM"/>
              </w:rPr>
              <w:t>2.</w:t>
            </w:r>
            <w:r w:rsidRPr="0053423A">
              <w:rPr>
                <w:rFonts w:eastAsia="Calibri" w:cs="Sylfaen"/>
                <w:sz w:val="20"/>
                <w:szCs w:val="20"/>
                <w:lang w:val="hy-AM"/>
              </w:rPr>
              <w:t xml:space="preserve"> </w:t>
            </w:r>
            <w:r w:rsidRPr="0053423A">
              <w:rPr>
                <w:rFonts w:eastAsia="Times New Roman" w:cs="Times New Roman"/>
                <w:b/>
                <w:sz w:val="20"/>
                <w:szCs w:val="20"/>
                <w:lang w:val="hy-AM"/>
              </w:rPr>
              <w:t>Միջոցառման իրականացումից ակնկալվող արդյունքը</w:t>
            </w:r>
          </w:p>
          <w:p w:rsidR="00A67B6B" w:rsidRPr="0053423A" w:rsidRDefault="00A67B6B" w:rsidP="00A67858">
            <w:pPr>
              <w:tabs>
                <w:tab w:val="left" w:pos="0"/>
                <w:tab w:val="left" w:pos="508"/>
              </w:tabs>
              <w:spacing w:after="0" w:line="276" w:lineRule="auto"/>
              <w:jc w:val="both"/>
              <w:rPr>
                <w:rFonts w:eastAsia="Calibri" w:cs="Times New Roman"/>
                <w:b/>
                <w:sz w:val="20"/>
                <w:szCs w:val="20"/>
                <w:lang w:val="hy-AM"/>
              </w:rPr>
            </w:pPr>
            <w:r w:rsidRPr="0053423A">
              <w:rPr>
                <w:rFonts w:eastAsia="Times New Roman" w:cs="Times New Roman"/>
                <w:sz w:val="20"/>
                <w:szCs w:val="20"/>
                <w:lang w:val="hy-AM"/>
              </w:rPr>
              <w:t>Ստեղծագործական, հետազոտական ներուժի բացահայտում և ակտիվացում, պետության դերի և մասնակցության զարգացում՝ ստեղծագործական, հետազոտական իրական դաշտի ձևավորման գործում:</w:t>
            </w:r>
          </w:p>
        </w:tc>
      </w:tr>
      <w:tr w:rsidR="00A67B6B" w:rsidRPr="0053423A" w:rsidTr="00A67B6B">
        <w:tc>
          <w:tcPr>
            <w:tcW w:w="540" w:type="dxa"/>
            <w:shd w:val="clear" w:color="auto" w:fill="auto"/>
          </w:tcPr>
          <w:p w:rsidR="00A67B6B" w:rsidRPr="0053423A" w:rsidRDefault="00A67B6B" w:rsidP="00A67858">
            <w:pPr>
              <w:tabs>
                <w:tab w:val="left" w:pos="1418"/>
              </w:tabs>
              <w:spacing w:after="0" w:line="276" w:lineRule="auto"/>
              <w:jc w:val="center"/>
              <w:rPr>
                <w:rFonts w:eastAsia="Calibri" w:cs="Times New Roman"/>
                <w:caps/>
                <w:sz w:val="20"/>
                <w:szCs w:val="20"/>
                <w:lang w:val="tr-TR"/>
              </w:rPr>
            </w:pPr>
            <w:r w:rsidRPr="0053423A">
              <w:rPr>
                <w:rFonts w:eastAsia="Calibri" w:cs="Times New Roman"/>
                <w:caps/>
                <w:sz w:val="20"/>
                <w:szCs w:val="20"/>
                <w:lang w:val="tr-TR"/>
              </w:rPr>
              <w:t>8</w:t>
            </w:r>
          </w:p>
        </w:tc>
        <w:tc>
          <w:tcPr>
            <w:tcW w:w="10980" w:type="dxa"/>
            <w:shd w:val="clear" w:color="auto" w:fill="auto"/>
          </w:tcPr>
          <w:p w:rsidR="00A67B6B" w:rsidRPr="0053423A" w:rsidRDefault="00A67B6B" w:rsidP="00A67858">
            <w:pPr>
              <w:tabs>
                <w:tab w:val="left" w:pos="508"/>
              </w:tabs>
              <w:spacing w:after="0" w:line="276" w:lineRule="auto"/>
              <w:jc w:val="center"/>
              <w:rPr>
                <w:rFonts w:eastAsia="Times New Roman" w:cs="Calibri"/>
                <w:b/>
                <w:sz w:val="20"/>
                <w:szCs w:val="20"/>
                <w:lang w:val="tr-TR"/>
              </w:rPr>
            </w:pPr>
            <w:r w:rsidRPr="0053423A">
              <w:rPr>
                <w:rFonts w:eastAsia="Times New Roman" w:cs="Times New Roman"/>
                <w:b/>
                <w:sz w:val="20"/>
                <w:szCs w:val="20"/>
                <w:lang w:val="tr-TR"/>
              </w:rPr>
              <w:t xml:space="preserve">8.1 </w:t>
            </w:r>
            <w:r w:rsidRPr="0053423A">
              <w:rPr>
                <w:rFonts w:eastAsia="Times New Roman" w:cs="Calibri"/>
                <w:b/>
                <w:sz w:val="20"/>
                <w:szCs w:val="20"/>
                <w:lang w:val="af-ZA"/>
              </w:rPr>
              <w:t>«Դաշտադեմ ամրոց», պատմաճարտարապետական արգելոց-թանգարան ստեղծելու, «Դաշտադեմ ամրոց» պատմաճարտարապետական արգելոց-թանգարան մասնաճյուղ ստեղծելու, Հայաստանի Հանրապետության կառավարության 2003 թվականի մարտի 7-ի N 312-Ն որոշման մեջ լրացումներ կատարելու մասին» Հայաստանի Հանրապետության կառավարության որոշման նախագիծ մշակում և ներկայացում Հայաստանի Հանրապետության վարչապետի աշխատակազմ</w:t>
            </w:r>
          </w:p>
          <w:p w:rsidR="00A67B6B" w:rsidRPr="0053423A" w:rsidRDefault="00A67B6B" w:rsidP="00A67858">
            <w:pPr>
              <w:tabs>
                <w:tab w:val="left" w:pos="508"/>
              </w:tabs>
              <w:spacing w:after="0" w:line="276" w:lineRule="auto"/>
              <w:jc w:val="center"/>
              <w:rPr>
                <w:rFonts w:eastAsia="Times New Roman" w:cs="Calibri"/>
                <w:sz w:val="20"/>
                <w:szCs w:val="20"/>
                <w:lang w:val="tr-TR"/>
              </w:rPr>
            </w:pPr>
          </w:p>
          <w:p w:rsidR="00A67B6B" w:rsidRPr="0053423A" w:rsidRDefault="00A67B6B" w:rsidP="001F6D5D">
            <w:pPr>
              <w:numPr>
                <w:ilvl w:val="0"/>
                <w:numId w:val="242"/>
              </w:numPr>
              <w:tabs>
                <w:tab w:val="left" w:pos="275"/>
                <w:tab w:val="left" w:pos="508"/>
              </w:tabs>
              <w:spacing w:after="0" w:line="276" w:lineRule="auto"/>
              <w:ind w:hanging="707"/>
              <w:contextualSpacing/>
              <w:rPr>
                <w:rFonts w:eastAsia="Calibri" w:cs="Times New Roman"/>
                <w:b/>
                <w:sz w:val="20"/>
                <w:szCs w:val="20"/>
                <w:lang w:val="hy-AM"/>
              </w:rPr>
            </w:pPr>
            <w:r w:rsidRPr="0053423A">
              <w:rPr>
                <w:rFonts w:eastAsia="Calibri" w:cs="Times New Roman"/>
                <w:b/>
                <w:sz w:val="20"/>
                <w:szCs w:val="20"/>
                <w:lang w:val="hy-AM"/>
              </w:rPr>
              <w:t>Միջոցառման իրականացման անհրաժեշտությունը և նպատակը</w:t>
            </w:r>
          </w:p>
          <w:p w:rsidR="00A67B6B" w:rsidRPr="0053423A" w:rsidRDefault="00A67B6B" w:rsidP="00A67858">
            <w:pPr>
              <w:tabs>
                <w:tab w:val="left" w:pos="508"/>
              </w:tabs>
              <w:spacing w:after="0" w:line="276" w:lineRule="auto"/>
              <w:contextualSpacing/>
              <w:jc w:val="both"/>
              <w:rPr>
                <w:rFonts w:eastAsia="Calibri" w:cs="GHEA Grapalat"/>
                <w:sz w:val="20"/>
                <w:szCs w:val="20"/>
                <w:lang w:val="af-ZA"/>
              </w:rPr>
            </w:pPr>
            <w:r w:rsidRPr="0053423A">
              <w:rPr>
                <w:rFonts w:eastAsia="Calibri" w:cs="GHEA Grapalat"/>
                <w:sz w:val="20"/>
                <w:szCs w:val="20"/>
                <w:lang w:val="af-ZA"/>
              </w:rPr>
              <w:t xml:space="preserve">«Դաշտադեմ» </w:t>
            </w:r>
            <w:r w:rsidRPr="0053423A">
              <w:rPr>
                <w:rFonts w:eastAsia="Calibri" w:cs="GHEA Grapalat"/>
                <w:sz w:val="20"/>
                <w:szCs w:val="20"/>
                <w:lang w:val="hy-AM"/>
              </w:rPr>
              <w:t>հուշարձանն ունի հանրապետական նշանակություն և ընդգրկված</w:t>
            </w:r>
            <w:r w:rsidRPr="0053423A">
              <w:rPr>
                <w:rFonts w:eastAsia="Calibri" w:cs="GHEA Grapalat"/>
                <w:sz w:val="20"/>
                <w:szCs w:val="20"/>
                <w:lang w:val="af-ZA"/>
              </w:rPr>
              <w:t xml:space="preserve"> է </w:t>
            </w:r>
            <w:r w:rsidRPr="0053423A">
              <w:rPr>
                <w:rFonts w:eastAsia="Calibri" w:cs="GHEA Grapalat"/>
                <w:sz w:val="20"/>
                <w:szCs w:val="20"/>
                <w:lang w:val="hy-AM"/>
              </w:rPr>
              <w:t>պետական ցուցակում</w:t>
            </w:r>
            <w:r w:rsidRPr="0053423A">
              <w:rPr>
                <w:rFonts w:eastAsia="Calibri" w:cs="GHEA Grapalat"/>
                <w:sz w:val="20"/>
                <w:szCs w:val="20"/>
                <w:lang w:val="fr-FR"/>
              </w:rPr>
              <w:t>: Պատմամշակութային</w:t>
            </w:r>
            <w:r w:rsidRPr="0053423A">
              <w:rPr>
                <w:rFonts w:eastAsia="Calibri" w:cs="GHEA Grapalat"/>
                <w:sz w:val="20"/>
                <w:szCs w:val="20"/>
                <w:lang w:val="hy-AM"/>
              </w:rPr>
              <w:t xml:space="preserve"> ա</w:t>
            </w:r>
            <w:r w:rsidRPr="0053423A">
              <w:rPr>
                <w:rFonts w:eastAsia="Calibri" w:cs="GHEA Grapalat"/>
                <w:sz w:val="20"/>
                <w:szCs w:val="20"/>
                <w:lang w:val="af-ZA"/>
              </w:rPr>
              <w:t xml:space="preserve">րգելոցների ստեղծումը բխում է </w:t>
            </w:r>
            <w:r w:rsidRPr="0053423A">
              <w:rPr>
                <w:rFonts w:eastAsia="Calibri" w:cs="GHEA Grapalat"/>
                <w:sz w:val="20"/>
                <w:szCs w:val="20"/>
                <w:lang w:val="hy-AM"/>
              </w:rPr>
              <w:t xml:space="preserve">նաև </w:t>
            </w:r>
            <w:r w:rsidRPr="0053423A">
              <w:rPr>
                <w:rFonts w:eastAsia="Calibri" w:cs="GHEA Grapalat"/>
                <w:sz w:val="20"/>
                <w:szCs w:val="20"/>
                <w:lang w:val="tr-TR"/>
              </w:rPr>
              <w:t>«</w:t>
            </w:r>
            <w:r w:rsidRPr="0053423A">
              <w:rPr>
                <w:rFonts w:eastAsia="Calibri" w:cs="GHEA Grapalat"/>
                <w:sz w:val="20"/>
                <w:szCs w:val="20"/>
                <w:shd w:val="clear" w:color="auto" w:fill="FFFFFF"/>
                <w:lang w:val="hy-AM"/>
              </w:rPr>
              <w:t>Պատմամշակութային հուշարձանների պահպանության</w:t>
            </w:r>
            <w:r w:rsidRPr="0053423A">
              <w:rPr>
                <w:rFonts w:eastAsia="Calibri" w:cs="GHEA Grapalat"/>
                <w:sz w:val="20"/>
                <w:szCs w:val="20"/>
                <w:shd w:val="clear" w:color="auto" w:fill="FFFFFF"/>
                <w:lang w:val="fr-FR"/>
              </w:rPr>
              <w:t xml:space="preserve">, </w:t>
            </w:r>
            <w:r w:rsidRPr="0053423A">
              <w:rPr>
                <w:rFonts w:eastAsia="Calibri" w:cs="GHEA Grapalat"/>
                <w:sz w:val="20"/>
                <w:szCs w:val="20"/>
                <w:shd w:val="clear" w:color="auto" w:fill="FFFFFF"/>
                <w:lang w:val="hy-AM"/>
              </w:rPr>
              <w:t>օգտագործման և հանրահռչակման</w:t>
            </w:r>
            <w:r w:rsidRPr="0053423A">
              <w:rPr>
                <w:rFonts w:eastAsia="Calibri" w:cs="GHEA Grapalat"/>
                <w:sz w:val="20"/>
                <w:szCs w:val="20"/>
                <w:shd w:val="clear" w:color="auto" w:fill="FFFFFF"/>
                <w:lang w:val="fr-FR"/>
              </w:rPr>
              <w:t xml:space="preserve"> 2016-2020 </w:t>
            </w:r>
            <w:r w:rsidRPr="0053423A">
              <w:rPr>
                <w:rFonts w:eastAsia="Calibri" w:cs="GHEA Grapalat"/>
                <w:sz w:val="20"/>
                <w:szCs w:val="20"/>
                <w:shd w:val="clear" w:color="auto" w:fill="FFFFFF"/>
                <w:lang w:val="hy-AM"/>
              </w:rPr>
              <w:t xml:space="preserve">թվականների </w:t>
            </w:r>
            <w:r w:rsidRPr="0053423A">
              <w:rPr>
                <w:rFonts w:eastAsia="Calibri" w:cs="GHEA Grapalat"/>
                <w:sz w:val="20"/>
                <w:szCs w:val="20"/>
                <w:shd w:val="clear" w:color="auto" w:fill="FFFFFF"/>
                <w:lang w:val="fr-FR"/>
              </w:rPr>
              <w:t xml:space="preserve">ռազմավարական </w:t>
            </w:r>
            <w:r w:rsidRPr="0053423A">
              <w:rPr>
                <w:rFonts w:eastAsia="Calibri" w:cs="GHEA Grapalat"/>
                <w:sz w:val="20"/>
                <w:szCs w:val="20"/>
                <w:lang w:val="hy-AM"/>
              </w:rPr>
              <w:t>ծրագրից»:</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hy-AM"/>
              </w:rPr>
              <w:t>Պատմամշակութային</w:t>
            </w:r>
            <w:r w:rsidRPr="0053423A">
              <w:rPr>
                <w:rFonts w:eastAsia="Calibri" w:cs="Times New Roman"/>
                <w:sz w:val="20"/>
                <w:szCs w:val="20"/>
                <w:lang w:val="af-ZA"/>
              </w:rPr>
              <w:t xml:space="preserve"> </w:t>
            </w:r>
            <w:r w:rsidRPr="0053423A">
              <w:rPr>
                <w:rFonts w:eastAsia="Calibri" w:cs="Times New Roman"/>
                <w:sz w:val="20"/>
                <w:szCs w:val="20"/>
                <w:lang w:val="hy-AM"/>
              </w:rPr>
              <w:t>արգելոցի</w:t>
            </w:r>
            <w:r w:rsidRPr="0053423A">
              <w:rPr>
                <w:rFonts w:eastAsia="Calibri" w:cs="Times New Roman"/>
                <w:sz w:val="20"/>
                <w:szCs w:val="20"/>
                <w:lang w:val="af-ZA"/>
              </w:rPr>
              <w:t xml:space="preserve"> </w:t>
            </w:r>
            <w:r w:rsidRPr="0053423A">
              <w:rPr>
                <w:rFonts w:eastAsia="Calibri" w:cs="Times New Roman"/>
                <w:sz w:val="20"/>
                <w:szCs w:val="20"/>
                <w:lang w:val="hy-AM"/>
              </w:rPr>
              <w:t>ստեղծումը</w:t>
            </w:r>
            <w:r w:rsidRPr="0053423A">
              <w:rPr>
                <w:rFonts w:eastAsia="Calibri" w:cs="Times New Roman"/>
                <w:sz w:val="20"/>
                <w:szCs w:val="20"/>
                <w:lang w:val="af-ZA"/>
              </w:rPr>
              <w:t xml:space="preserve"> </w:t>
            </w:r>
            <w:r w:rsidRPr="0053423A">
              <w:rPr>
                <w:rFonts w:eastAsia="Calibri" w:cs="Times New Roman"/>
                <w:sz w:val="20"/>
                <w:szCs w:val="20"/>
                <w:lang w:val="hy-AM"/>
              </w:rPr>
              <w:t>չի</w:t>
            </w:r>
            <w:r w:rsidRPr="0053423A">
              <w:rPr>
                <w:rFonts w:eastAsia="Calibri" w:cs="Times New Roman"/>
                <w:sz w:val="20"/>
                <w:szCs w:val="20"/>
                <w:lang w:val="af-ZA"/>
              </w:rPr>
              <w:t xml:space="preserve"> </w:t>
            </w:r>
            <w:r w:rsidRPr="0053423A">
              <w:rPr>
                <w:rFonts w:eastAsia="Calibri" w:cs="Times New Roman"/>
                <w:sz w:val="20"/>
                <w:szCs w:val="20"/>
                <w:lang w:val="hy-AM"/>
              </w:rPr>
              <w:t>հանգեցնում</w:t>
            </w:r>
            <w:r w:rsidRPr="0053423A">
              <w:rPr>
                <w:rFonts w:eastAsia="Calibri" w:cs="Times New Roman"/>
                <w:sz w:val="20"/>
                <w:szCs w:val="20"/>
                <w:lang w:val="af-ZA"/>
              </w:rPr>
              <w:t xml:space="preserve"> </w:t>
            </w:r>
            <w:r w:rsidRPr="0053423A">
              <w:rPr>
                <w:rFonts w:eastAsia="Calibri" w:cs="Times New Roman"/>
                <w:sz w:val="20"/>
                <w:szCs w:val="20"/>
                <w:lang w:val="hy-AM"/>
              </w:rPr>
              <w:t>լրացուցիչ</w:t>
            </w:r>
            <w:r w:rsidRPr="0053423A">
              <w:rPr>
                <w:rFonts w:eastAsia="Calibri" w:cs="Times New Roman"/>
                <w:sz w:val="20"/>
                <w:szCs w:val="20"/>
                <w:lang w:val="af-ZA"/>
              </w:rPr>
              <w:t xml:space="preserve"> </w:t>
            </w:r>
            <w:r w:rsidRPr="0053423A">
              <w:rPr>
                <w:rFonts w:eastAsia="Calibri" w:cs="Times New Roman"/>
                <w:sz w:val="20"/>
                <w:szCs w:val="20"/>
                <w:lang w:val="hy-AM"/>
              </w:rPr>
              <w:t>ֆինանսական</w:t>
            </w:r>
            <w:r w:rsidRPr="0053423A">
              <w:rPr>
                <w:rFonts w:eastAsia="Calibri" w:cs="Times New Roman"/>
                <w:sz w:val="20"/>
                <w:szCs w:val="20"/>
                <w:lang w:val="af-ZA"/>
              </w:rPr>
              <w:t xml:space="preserve"> </w:t>
            </w:r>
            <w:r w:rsidRPr="0053423A">
              <w:rPr>
                <w:rFonts w:eastAsia="Calibri" w:cs="Times New Roman"/>
                <w:sz w:val="20"/>
                <w:szCs w:val="20"/>
                <w:lang w:val="hy-AM"/>
              </w:rPr>
              <w:t>պարտավորության</w:t>
            </w:r>
            <w:r w:rsidRPr="0053423A">
              <w:rPr>
                <w:rFonts w:eastAsia="Calibri" w:cs="Times New Roman"/>
                <w:sz w:val="20"/>
                <w:szCs w:val="20"/>
                <w:lang w:val="af-ZA"/>
              </w:rPr>
              <w:t xml:space="preserve">: </w:t>
            </w:r>
            <w:r w:rsidRPr="0053423A">
              <w:rPr>
                <w:rFonts w:eastAsia="Calibri" w:cs="Times New Roman"/>
                <w:sz w:val="20"/>
                <w:szCs w:val="20"/>
                <w:lang w:val="hy-AM"/>
              </w:rPr>
              <w:t>Դրանց</w:t>
            </w:r>
            <w:r w:rsidRPr="0053423A">
              <w:rPr>
                <w:rFonts w:eastAsia="Calibri" w:cs="Times New Roman"/>
                <w:sz w:val="20"/>
                <w:szCs w:val="20"/>
                <w:lang w:val="af-ZA"/>
              </w:rPr>
              <w:t xml:space="preserve"> </w:t>
            </w:r>
            <w:r w:rsidRPr="0053423A">
              <w:rPr>
                <w:rFonts w:eastAsia="Calibri" w:cs="Times New Roman"/>
                <w:sz w:val="20"/>
                <w:szCs w:val="20"/>
                <w:lang w:val="hy-AM"/>
              </w:rPr>
              <w:t>հետագա</w:t>
            </w:r>
            <w:r w:rsidRPr="0053423A">
              <w:rPr>
                <w:rFonts w:eastAsia="Calibri" w:cs="Times New Roman"/>
                <w:sz w:val="20"/>
                <w:szCs w:val="20"/>
                <w:lang w:val="af-ZA"/>
              </w:rPr>
              <w:t xml:space="preserve"> </w:t>
            </w:r>
            <w:r w:rsidRPr="0053423A">
              <w:rPr>
                <w:rFonts w:eastAsia="Calibri" w:cs="Times New Roman"/>
                <w:sz w:val="20"/>
                <w:szCs w:val="20"/>
                <w:lang w:val="hy-AM"/>
              </w:rPr>
              <w:t>պահպանությունն</w:t>
            </w:r>
            <w:r w:rsidRPr="0053423A">
              <w:rPr>
                <w:rFonts w:eastAsia="Calibri" w:cs="Times New Roman"/>
                <w:sz w:val="20"/>
                <w:szCs w:val="20"/>
                <w:lang w:val="af-ZA"/>
              </w:rPr>
              <w:t xml:space="preserve"> </w:t>
            </w:r>
            <w:r w:rsidRPr="0053423A">
              <w:rPr>
                <w:rFonts w:eastAsia="Calibri" w:cs="Times New Roman"/>
                <w:sz w:val="20"/>
                <w:szCs w:val="20"/>
                <w:lang w:val="hy-AM"/>
              </w:rPr>
              <w:t>ու</w:t>
            </w:r>
            <w:r w:rsidRPr="0053423A">
              <w:rPr>
                <w:rFonts w:eastAsia="Calibri" w:cs="Times New Roman"/>
                <w:sz w:val="20"/>
                <w:szCs w:val="20"/>
                <w:lang w:val="af-ZA"/>
              </w:rPr>
              <w:t xml:space="preserve"> </w:t>
            </w:r>
            <w:r w:rsidRPr="0053423A">
              <w:rPr>
                <w:rFonts w:eastAsia="Calibri" w:cs="Times New Roman"/>
                <w:sz w:val="20"/>
                <w:szCs w:val="20"/>
                <w:lang w:val="hy-AM"/>
              </w:rPr>
              <w:t>շահագործումն</w:t>
            </w:r>
            <w:r w:rsidRPr="0053423A">
              <w:rPr>
                <w:rFonts w:eastAsia="Calibri" w:cs="Times New Roman"/>
                <w:sz w:val="20"/>
                <w:szCs w:val="20"/>
                <w:lang w:val="af-ZA"/>
              </w:rPr>
              <w:t xml:space="preserve"> </w:t>
            </w:r>
            <w:r w:rsidRPr="0053423A">
              <w:rPr>
                <w:rFonts w:eastAsia="Calibri" w:cs="Times New Roman"/>
                <w:sz w:val="20"/>
                <w:szCs w:val="20"/>
                <w:lang w:val="hy-AM"/>
              </w:rPr>
              <w:t>իրականացվելու</w:t>
            </w:r>
            <w:r w:rsidRPr="0053423A">
              <w:rPr>
                <w:rFonts w:eastAsia="Calibri" w:cs="Times New Roman"/>
                <w:sz w:val="20"/>
                <w:szCs w:val="20"/>
                <w:lang w:val="af-ZA"/>
              </w:rPr>
              <w:t xml:space="preserve"> </w:t>
            </w:r>
            <w:r w:rsidRPr="0053423A">
              <w:rPr>
                <w:rFonts w:eastAsia="Calibri" w:cs="Times New Roman"/>
                <w:sz w:val="20"/>
                <w:szCs w:val="20"/>
                <w:lang w:val="hy-AM"/>
              </w:rPr>
              <w:t>է</w:t>
            </w:r>
            <w:r w:rsidRPr="0053423A">
              <w:rPr>
                <w:rFonts w:eastAsia="Calibri" w:cs="Times New Roman"/>
                <w:sz w:val="20"/>
                <w:szCs w:val="20"/>
                <w:lang w:val="af-ZA"/>
              </w:rPr>
              <w:t xml:space="preserve"> </w:t>
            </w:r>
            <w:r w:rsidRPr="0053423A">
              <w:rPr>
                <w:rFonts w:eastAsia="Calibri" w:cs="GHEA Grapalat"/>
                <w:spacing w:val="-8"/>
                <w:sz w:val="20"/>
                <w:szCs w:val="20"/>
                <w:shd w:val="clear" w:color="auto" w:fill="FFFFFF"/>
                <w:lang w:val="af-ZA"/>
              </w:rPr>
              <w:t xml:space="preserve">«Պատմամշակութային </w:t>
            </w:r>
            <w:r w:rsidRPr="0053423A">
              <w:rPr>
                <w:rFonts w:eastAsia="Calibri" w:cs="Times New Roman"/>
                <w:sz w:val="20"/>
                <w:szCs w:val="20"/>
                <w:lang w:val="fr-FR"/>
              </w:rPr>
              <w:t>արգելոց-</w:t>
            </w:r>
            <w:r w:rsidRPr="0053423A">
              <w:rPr>
                <w:rFonts w:eastAsia="Calibri" w:cs="GHEA Grapalat"/>
                <w:spacing w:val="-8"/>
                <w:sz w:val="20"/>
                <w:szCs w:val="20"/>
                <w:shd w:val="clear" w:color="auto" w:fill="FFFFFF"/>
                <w:lang w:val="af-ZA"/>
              </w:rPr>
              <w:t xml:space="preserve">թանգարանների և պատմական միջավայրի պահպանության ծառայություն» ՊՈԱԿ-ին հատկացված միջոցների հաշվին: </w:t>
            </w:r>
            <w:r w:rsidRPr="0053423A">
              <w:rPr>
                <w:rFonts w:eastAsia="Calibri" w:cs="Times New Roman"/>
                <w:sz w:val="20"/>
                <w:szCs w:val="20"/>
                <w:shd w:val="clear" w:color="auto" w:fill="FFFFFF"/>
              </w:rPr>
              <w:t>Արգելոցի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ստեղծումը</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ամբողջությամբ</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համապատասխանում</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է</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Պատմության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և</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մշակույթի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անշարժ</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հուշարձանների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ու</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պատմական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միջավայրի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պահպանության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և</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օգտագործման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մասին</w:t>
            </w:r>
            <w:r w:rsidRPr="0053423A">
              <w:rPr>
                <w:rFonts w:eastAsia="Calibri" w:cs="Times New Roman"/>
                <w:sz w:val="20"/>
                <w:szCs w:val="20"/>
                <w:shd w:val="clear" w:color="auto" w:fill="FFFFFF"/>
                <w:lang w:val="af-ZA"/>
              </w:rPr>
              <w:t xml:space="preserve">» </w:t>
            </w:r>
            <w:r w:rsidRPr="0053423A">
              <w:rPr>
                <w:rFonts w:eastAsia="Calibri" w:cs="Times New Roman"/>
                <w:sz w:val="20"/>
                <w:szCs w:val="20"/>
                <w:lang w:val="hy-AM"/>
              </w:rPr>
              <w:t>Հայաստանի Հանրապետության</w:t>
            </w:r>
            <w:r w:rsidRPr="0053423A">
              <w:rPr>
                <w:rFonts w:eastAsia="Calibri" w:cs="Times New Roman"/>
                <w:sz w:val="20"/>
                <w:szCs w:val="20"/>
                <w:lang w:val="af-ZA"/>
              </w:rPr>
              <w:t xml:space="preserve"> </w:t>
            </w:r>
            <w:r w:rsidRPr="0053423A">
              <w:rPr>
                <w:rFonts w:eastAsia="Calibri" w:cs="Times New Roman"/>
                <w:sz w:val="20"/>
                <w:szCs w:val="20"/>
                <w:shd w:val="clear" w:color="auto" w:fill="FFFFFF"/>
              </w:rPr>
              <w:t>օրենքի</w:t>
            </w:r>
            <w:r w:rsidRPr="0053423A">
              <w:rPr>
                <w:rFonts w:eastAsia="Calibri" w:cs="Times New Roman"/>
                <w:sz w:val="20"/>
                <w:szCs w:val="20"/>
                <w:shd w:val="clear" w:color="auto" w:fill="FFFFFF"/>
                <w:lang w:val="af-ZA"/>
              </w:rPr>
              <w:t xml:space="preserve"> 8-</w:t>
            </w:r>
            <w:r w:rsidRPr="0053423A">
              <w:rPr>
                <w:rFonts w:eastAsia="Calibri" w:cs="Times New Roman"/>
                <w:sz w:val="20"/>
                <w:szCs w:val="20"/>
                <w:shd w:val="clear" w:color="auto" w:fill="FFFFFF"/>
              </w:rPr>
              <w:t>րդ</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հոդվածի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ե</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կետի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և</w:t>
            </w:r>
            <w:r w:rsidRPr="0053423A">
              <w:rPr>
                <w:rFonts w:eastAsia="Calibri" w:cs="Times New Roman"/>
                <w:sz w:val="20"/>
                <w:szCs w:val="20"/>
                <w:shd w:val="clear" w:color="auto" w:fill="FFFFFF"/>
                <w:lang w:val="af-ZA"/>
              </w:rPr>
              <w:t xml:space="preserve"> 17-</w:t>
            </w:r>
            <w:r w:rsidRPr="0053423A">
              <w:rPr>
                <w:rFonts w:eastAsia="Calibri" w:cs="Times New Roman"/>
                <w:sz w:val="20"/>
                <w:szCs w:val="20"/>
                <w:shd w:val="clear" w:color="auto" w:fill="FFFFFF"/>
              </w:rPr>
              <w:t>րդ</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հոդվածի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պահանջներին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քանի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որ</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նրանք</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ստեղծվում</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են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պատմական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միջավայրի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և</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հուշարձանների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շուրջը</w:t>
            </w:r>
            <w:r w:rsidRPr="0053423A">
              <w:rPr>
                <w:rFonts w:eastAsia="Calibri" w:cs="Times New Roman"/>
                <w:sz w:val="20"/>
                <w:szCs w:val="20"/>
                <w:shd w:val="clear" w:color="auto" w:fill="FFFFFF"/>
                <w:lang w:val="af-ZA"/>
              </w:rPr>
              <w:t xml:space="preserve">: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contextualSpacing/>
              <w:jc w:val="both"/>
              <w:rPr>
                <w:rFonts w:eastAsia="Calibri" w:cs="Sylfaen"/>
                <w:spacing w:val="-8"/>
                <w:sz w:val="20"/>
                <w:szCs w:val="20"/>
                <w:shd w:val="clear" w:color="auto" w:fill="FFFFFF"/>
                <w:lang w:val="af-ZA"/>
              </w:rPr>
            </w:pPr>
          </w:p>
          <w:p w:rsidR="00A67B6B" w:rsidRPr="0053423A" w:rsidRDefault="00A67B6B" w:rsidP="001F6D5D">
            <w:pPr>
              <w:numPr>
                <w:ilvl w:val="1"/>
                <w:numId w:val="220"/>
              </w:numPr>
              <w:tabs>
                <w:tab w:val="left" w:pos="508"/>
              </w:tabs>
              <w:spacing w:after="0" w:line="276" w:lineRule="auto"/>
              <w:ind w:hanging="707"/>
              <w:contextualSpacing/>
              <w:rPr>
                <w:rFonts w:eastAsia="Calibri" w:cs="Times New Roman"/>
                <w:b/>
                <w:sz w:val="20"/>
                <w:szCs w:val="20"/>
                <w:lang w:val="af-ZA"/>
              </w:rPr>
            </w:pPr>
            <w:r w:rsidRPr="0053423A">
              <w:rPr>
                <w:rFonts w:eastAsia="Calibri" w:cs="Sylfaen"/>
                <w:b/>
                <w:sz w:val="20"/>
                <w:szCs w:val="20"/>
                <w:lang w:val="hy-AM"/>
              </w:rPr>
              <w:t>Կարգավորման</w:t>
            </w:r>
            <w:r w:rsidRPr="0053423A">
              <w:rPr>
                <w:rFonts w:eastAsia="Calibri" w:cs="Sylfaen"/>
                <w:b/>
                <w:sz w:val="20"/>
                <w:szCs w:val="20"/>
                <w:lang w:val="af-ZA"/>
              </w:rPr>
              <w:t xml:space="preserve"> </w:t>
            </w:r>
            <w:r w:rsidRPr="0053423A">
              <w:rPr>
                <w:rFonts w:eastAsia="Calibri" w:cs="Times New Roman"/>
                <w:b/>
                <w:sz w:val="20"/>
                <w:szCs w:val="20"/>
                <w:lang w:val="hy-AM"/>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lang w:val="hy-AM"/>
              </w:rPr>
              <w:t>ներկա</w:t>
            </w:r>
            <w:r w:rsidRPr="0053423A">
              <w:rPr>
                <w:rFonts w:eastAsia="Calibri" w:cs="Times New Roman"/>
                <w:b/>
                <w:sz w:val="20"/>
                <w:szCs w:val="20"/>
                <w:lang w:val="af-ZA"/>
              </w:rPr>
              <w:t xml:space="preserve"> </w:t>
            </w:r>
            <w:r w:rsidRPr="0053423A">
              <w:rPr>
                <w:rFonts w:eastAsia="Calibri" w:cs="Times New Roman"/>
                <w:b/>
                <w:sz w:val="20"/>
                <w:szCs w:val="20"/>
                <w:lang w:val="hy-AM"/>
              </w:rPr>
              <w:t>վիճակը</w:t>
            </w:r>
            <w:r w:rsidRPr="0053423A">
              <w:rPr>
                <w:rFonts w:eastAsia="Calibri" w:cs="Times New Roman"/>
                <w:b/>
                <w:sz w:val="20"/>
                <w:szCs w:val="20"/>
                <w:lang w:val="af-ZA"/>
              </w:rPr>
              <w:t xml:space="preserve"> </w:t>
            </w:r>
            <w:r w:rsidRPr="0053423A">
              <w:rPr>
                <w:rFonts w:eastAsia="Calibri" w:cs="Times New Roman"/>
                <w:b/>
                <w:sz w:val="20"/>
                <w:szCs w:val="20"/>
                <w:lang w:val="hy-AM"/>
              </w:rPr>
              <w:t>և</w:t>
            </w:r>
            <w:r w:rsidRPr="0053423A">
              <w:rPr>
                <w:rFonts w:eastAsia="Calibri" w:cs="Times New Roman"/>
                <w:b/>
                <w:sz w:val="20"/>
                <w:szCs w:val="20"/>
                <w:lang w:val="af-ZA"/>
              </w:rPr>
              <w:t xml:space="preserve"> </w:t>
            </w:r>
            <w:r w:rsidRPr="0053423A">
              <w:rPr>
                <w:rFonts w:eastAsia="Calibri" w:cs="Times New Roman"/>
                <w:b/>
                <w:sz w:val="20"/>
                <w:szCs w:val="20"/>
                <w:lang w:val="hy-AM"/>
              </w:rPr>
              <w:t>առկա</w:t>
            </w:r>
            <w:r w:rsidRPr="0053423A">
              <w:rPr>
                <w:rFonts w:eastAsia="Calibri" w:cs="Times New Roman"/>
                <w:b/>
                <w:sz w:val="20"/>
                <w:szCs w:val="20"/>
                <w:lang w:val="af-ZA"/>
              </w:rPr>
              <w:t xml:space="preserve"> </w:t>
            </w:r>
            <w:r w:rsidRPr="0053423A">
              <w:rPr>
                <w:rFonts w:eastAsia="Calibri" w:cs="Times New Roman"/>
                <w:b/>
                <w:sz w:val="20"/>
                <w:szCs w:val="20"/>
                <w:lang w:val="hy-AM"/>
              </w:rPr>
              <w:t>խնդիրները</w:t>
            </w:r>
          </w:p>
          <w:p w:rsidR="00A67B6B" w:rsidRPr="0053423A" w:rsidRDefault="00A67B6B" w:rsidP="00A67858">
            <w:pPr>
              <w:tabs>
                <w:tab w:val="left" w:pos="508"/>
              </w:tabs>
              <w:spacing w:after="0" w:line="276" w:lineRule="auto"/>
              <w:contextualSpacing/>
              <w:jc w:val="both"/>
              <w:rPr>
                <w:rFonts w:eastAsia="Calibri" w:cs="Sylfaen"/>
                <w:sz w:val="20"/>
                <w:szCs w:val="20"/>
                <w:lang w:val="fr-FR"/>
              </w:rPr>
            </w:pPr>
            <w:r w:rsidRPr="0053423A">
              <w:rPr>
                <w:rFonts w:eastAsia="Calibri" w:cs="GHEA Grapalat"/>
                <w:bCs/>
                <w:sz w:val="20"/>
                <w:szCs w:val="20"/>
                <w:lang w:val="fr-FR"/>
              </w:rPr>
              <w:t>Հուշարձանները պետական սեփականություն</w:t>
            </w:r>
            <w:r w:rsidRPr="0053423A">
              <w:rPr>
                <w:rFonts w:eastAsia="Calibri" w:cs="GHEA Grapalat"/>
                <w:bCs/>
                <w:sz w:val="20"/>
                <w:szCs w:val="20"/>
                <w:lang w:val="hy-AM"/>
              </w:rPr>
              <w:t xml:space="preserve"> են</w:t>
            </w:r>
            <w:r w:rsidRPr="0053423A">
              <w:rPr>
                <w:rFonts w:eastAsia="Calibri" w:cs="GHEA Grapalat"/>
                <w:bCs/>
                <w:sz w:val="20"/>
                <w:szCs w:val="20"/>
                <w:lang w:val="fr-FR"/>
              </w:rPr>
              <w:t xml:space="preserve"> և 2005 թվականից վերականգնվում են պետ</w:t>
            </w:r>
            <w:r w:rsidRPr="0053423A">
              <w:rPr>
                <w:rFonts w:eastAsia="Calibri" w:cs="GHEA Grapalat"/>
                <w:bCs/>
                <w:sz w:val="20"/>
                <w:szCs w:val="20"/>
                <w:lang w:val="hy-AM"/>
              </w:rPr>
              <w:t>ական միջոցների հաշվին:</w:t>
            </w:r>
            <w:r w:rsidRPr="0053423A">
              <w:rPr>
                <w:rFonts w:eastAsia="Calibri" w:cs="GHEA Grapalat"/>
                <w:bCs/>
                <w:sz w:val="20"/>
                <w:szCs w:val="20"/>
                <w:lang w:val="af-ZA"/>
              </w:rPr>
              <w:t xml:space="preserve"> </w:t>
            </w:r>
            <w:r w:rsidRPr="0053423A">
              <w:rPr>
                <w:rFonts w:eastAsia="Calibri" w:cs="GHEA Grapalat"/>
                <w:bCs/>
                <w:sz w:val="20"/>
                <w:szCs w:val="20"/>
              </w:rPr>
              <w:t>Պատմամշակութային</w:t>
            </w:r>
            <w:r w:rsidRPr="0053423A">
              <w:rPr>
                <w:rFonts w:eastAsia="Calibri" w:cs="GHEA Grapalat"/>
                <w:bCs/>
                <w:sz w:val="20"/>
                <w:szCs w:val="20"/>
                <w:lang w:val="af-ZA"/>
              </w:rPr>
              <w:t xml:space="preserve"> </w:t>
            </w:r>
            <w:r w:rsidRPr="0053423A">
              <w:rPr>
                <w:rFonts w:eastAsia="Calibri" w:cs="GHEA Grapalat"/>
                <w:bCs/>
                <w:sz w:val="20"/>
                <w:szCs w:val="20"/>
              </w:rPr>
              <w:t>արգելոցների</w:t>
            </w:r>
            <w:r w:rsidRPr="0053423A">
              <w:rPr>
                <w:rFonts w:eastAsia="Calibri" w:cs="GHEA Grapalat"/>
                <w:bCs/>
                <w:sz w:val="20"/>
                <w:szCs w:val="20"/>
                <w:lang w:val="af-ZA"/>
              </w:rPr>
              <w:t xml:space="preserve"> </w:t>
            </w:r>
            <w:r w:rsidRPr="0053423A">
              <w:rPr>
                <w:rFonts w:eastAsia="Calibri" w:cs="GHEA Grapalat"/>
                <w:bCs/>
                <w:sz w:val="20"/>
                <w:szCs w:val="20"/>
              </w:rPr>
              <w:t>ստեղծումը</w:t>
            </w:r>
            <w:r w:rsidRPr="0053423A">
              <w:rPr>
                <w:rFonts w:eastAsia="Calibri" w:cs="GHEA Grapalat"/>
                <w:bCs/>
                <w:sz w:val="20"/>
                <w:szCs w:val="20"/>
                <w:lang w:val="af-ZA"/>
              </w:rPr>
              <w:t xml:space="preserve"> </w:t>
            </w:r>
            <w:r w:rsidRPr="0053423A">
              <w:rPr>
                <w:rFonts w:eastAsia="Calibri" w:cs="GHEA Grapalat"/>
                <w:bCs/>
                <w:sz w:val="20"/>
                <w:szCs w:val="20"/>
              </w:rPr>
              <w:t>միտված</w:t>
            </w:r>
            <w:r w:rsidRPr="0053423A">
              <w:rPr>
                <w:rFonts w:eastAsia="Calibri" w:cs="GHEA Grapalat"/>
                <w:bCs/>
                <w:sz w:val="20"/>
                <w:szCs w:val="20"/>
                <w:lang w:val="af-ZA"/>
              </w:rPr>
              <w:t xml:space="preserve"> </w:t>
            </w:r>
            <w:r w:rsidRPr="0053423A">
              <w:rPr>
                <w:rFonts w:eastAsia="Calibri" w:cs="GHEA Grapalat"/>
                <w:bCs/>
                <w:sz w:val="20"/>
                <w:szCs w:val="20"/>
              </w:rPr>
              <w:t>է</w:t>
            </w:r>
            <w:r w:rsidRPr="0053423A">
              <w:rPr>
                <w:rFonts w:eastAsia="Calibri" w:cs="GHEA Grapalat"/>
                <w:bCs/>
                <w:sz w:val="20"/>
                <w:szCs w:val="20"/>
                <w:lang w:val="af-ZA"/>
              </w:rPr>
              <w:t xml:space="preserve"> </w:t>
            </w:r>
            <w:r w:rsidRPr="0053423A">
              <w:rPr>
                <w:rFonts w:eastAsia="Calibri" w:cs="Times New Roman"/>
                <w:bCs/>
                <w:sz w:val="20"/>
                <w:szCs w:val="20"/>
                <w:lang w:val="fr-FR"/>
              </w:rPr>
              <w:t xml:space="preserve">լինելու </w:t>
            </w:r>
            <w:r w:rsidRPr="0053423A">
              <w:rPr>
                <w:rFonts w:eastAsia="Calibri" w:cs="GHEA Grapalat"/>
                <w:bCs/>
                <w:sz w:val="20"/>
                <w:szCs w:val="20"/>
                <w:lang w:val="fr-FR"/>
              </w:rPr>
              <w:t>պ</w:t>
            </w:r>
            <w:r w:rsidRPr="0053423A">
              <w:rPr>
                <w:rFonts w:eastAsia="Calibri" w:cs="GHEA Grapalat"/>
                <w:sz w:val="20"/>
                <w:szCs w:val="20"/>
              </w:rPr>
              <w:t>ատմամշակութային</w:t>
            </w:r>
            <w:r w:rsidRPr="0053423A">
              <w:rPr>
                <w:rFonts w:eastAsia="Calibri" w:cs="GHEA Grapalat"/>
                <w:sz w:val="20"/>
                <w:szCs w:val="20"/>
                <w:lang w:val="af-ZA"/>
              </w:rPr>
              <w:t xml:space="preserve"> </w:t>
            </w:r>
            <w:r w:rsidRPr="0053423A">
              <w:rPr>
                <w:rFonts w:eastAsia="Calibri" w:cs="GHEA Grapalat"/>
                <w:sz w:val="20"/>
                <w:szCs w:val="20"/>
              </w:rPr>
              <w:t>զբոսաշրջության</w:t>
            </w:r>
            <w:r w:rsidRPr="0053423A">
              <w:rPr>
                <w:rFonts w:eastAsia="Calibri" w:cs="GHEA Grapalat"/>
                <w:sz w:val="20"/>
                <w:szCs w:val="20"/>
                <w:lang w:val="af-ZA"/>
              </w:rPr>
              <w:t xml:space="preserve"> </w:t>
            </w:r>
            <w:r w:rsidRPr="0053423A">
              <w:rPr>
                <w:rFonts w:eastAsia="Calibri" w:cs="GHEA Grapalat"/>
                <w:sz w:val="20"/>
                <w:szCs w:val="20"/>
              </w:rPr>
              <w:t>հիմքի</w:t>
            </w:r>
            <w:r w:rsidRPr="0053423A">
              <w:rPr>
                <w:rFonts w:eastAsia="Calibri" w:cs="GHEA Grapalat"/>
                <w:sz w:val="20"/>
                <w:szCs w:val="20"/>
                <w:lang w:val="af-ZA"/>
              </w:rPr>
              <w:t xml:space="preserve"> </w:t>
            </w:r>
            <w:r w:rsidRPr="0053423A">
              <w:rPr>
                <w:rFonts w:eastAsia="Calibri" w:cs="GHEA Grapalat"/>
                <w:sz w:val="20"/>
                <w:szCs w:val="20"/>
              </w:rPr>
              <w:t>վրա</w:t>
            </w:r>
            <w:r w:rsidRPr="0053423A">
              <w:rPr>
                <w:rFonts w:eastAsia="Calibri" w:cs="GHEA Grapalat"/>
                <w:sz w:val="20"/>
                <w:szCs w:val="20"/>
                <w:lang w:val="af-ZA"/>
              </w:rPr>
              <w:t xml:space="preserve"> </w:t>
            </w:r>
            <w:r w:rsidRPr="0053423A">
              <w:rPr>
                <w:rFonts w:eastAsia="Calibri" w:cs="GHEA Grapalat"/>
                <w:sz w:val="20"/>
                <w:szCs w:val="20"/>
              </w:rPr>
              <w:t>զբոսաշրջության</w:t>
            </w:r>
            <w:r w:rsidRPr="0053423A">
              <w:rPr>
                <w:rFonts w:eastAsia="Calibri" w:cs="GHEA Grapalat"/>
                <w:sz w:val="20"/>
                <w:szCs w:val="20"/>
                <w:lang w:val="af-ZA"/>
              </w:rPr>
              <w:t xml:space="preserve"> </w:t>
            </w:r>
            <w:r w:rsidRPr="0053423A">
              <w:rPr>
                <w:rFonts w:eastAsia="Calibri" w:cs="GHEA Grapalat"/>
                <w:sz w:val="20"/>
                <w:szCs w:val="20"/>
              </w:rPr>
              <w:t>բոլոր</w:t>
            </w:r>
            <w:r w:rsidRPr="0053423A">
              <w:rPr>
                <w:rFonts w:eastAsia="Calibri" w:cs="GHEA Grapalat"/>
                <w:sz w:val="20"/>
                <w:szCs w:val="20"/>
                <w:lang w:val="af-ZA"/>
              </w:rPr>
              <w:t xml:space="preserve"> </w:t>
            </w:r>
            <w:r w:rsidRPr="0053423A">
              <w:rPr>
                <w:rFonts w:eastAsia="Calibri" w:cs="GHEA Grapalat"/>
                <w:sz w:val="20"/>
                <w:szCs w:val="20"/>
              </w:rPr>
              <w:t>ձևերի</w:t>
            </w:r>
            <w:r w:rsidRPr="0053423A">
              <w:rPr>
                <w:rFonts w:eastAsia="Calibri" w:cs="GHEA Grapalat"/>
                <w:sz w:val="20"/>
                <w:szCs w:val="20"/>
                <w:lang w:val="af-ZA"/>
              </w:rPr>
              <w:t xml:space="preserve"> </w:t>
            </w:r>
            <w:r w:rsidRPr="0053423A">
              <w:rPr>
                <w:rFonts w:eastAsia="Calibri" w:cs="GHEA Grapalat"/>
                <w:sz w:val="20"/>
                <w:szCs w:val="20"/>
              </w:rPr>
              <w:t>համակցությամբ</w:t>
            </w:r>
            <w:r w:rsidRPr="0053423A">
              <w:rPr>
                <w:rFonts w:eastAsia="Calibri" w:cs="GHEA Grapalat"/>
                <w:sz w:val="20"/>
                <w:szCs w:val="20"/>
                <w:lang w:val="af-ZA"/>
              </w:rPr>
              <w:t xml:space="preserve"> </w:t>
            </w:r>
            <w:r w:rsidRPr="0053423A">
              <w:rPr>
                <w:rFonts w:eastAsia="Calibri" w:cs="GHEA Grapalat"/>
                <w:sz w:val="20"/>
                <w:szCs w:val="20"/>
              </w:rPr>
              <w:t>զբոսաշրջային</w:t>
            </w:r>
            <w:r w:rsidRPr="0053423A">
              <w:rPr>
                <w:rFonts w:eastAsia="Calibri" w:cs="GHEA Grapalat"/>
                <w:sz w:val="20"/>
                <w:szCs w:val="20"/>
                <w:lang w:val="af-ZA"/>
              </w:rPr>
              <w:t xml:space="preserve"> </w:t>
            </w:r>
            <w:r w:rsidRPr="0053423A">
              <w:rPr>
                <w:rFonts w:eastAsia="Calibri" w:cs="GHEA Grapalat"/>
                <w:bCs/>
                <w:sz w:val="20"/>
                <w:szCs w:val="20"/>
              </w:rPr>
              <w:t>գրավիչ</w:t>
            </w:r>
            <w:r w:rsidRPr="0053423A">
              <w:rPr>
                <w:rFonts w:eastAsia="Calibri" w:cs="GHEA Grapalat"/>
                <w:bCs/>
                <w:sz w:val="20"/>
                <w:szCs w:val="20"/>
                <w:lang w:val="af-ZA"/>
              </w:rPr>
              <w:t xml:space="preserve"> </w:t>
            </w:r>
            <w:r w:rsidRPr="0053423A">
              <w:rPr>
                <w:rFonts w:eastAsia="Calibri" w:cs="GHEA Grapalat"/>
                <w:bCs/>
                <w:sz w:val="20"/>
                <w:szCs w:val="20"/>
              </w:rPr>
              <w:t>միջավայրի</w:t>
            </w:r>
            <w:r w:rsidRPr="0053423A">
              <w:rPr>
                <w:rFonts w:eastAsia="Calibri" w:cs="GHEA Grapalat"/>
                <w:bCs/>
                <w:sz w:val="20"/>
                <w:szCs w:val="20"/>
                <w:lang w:val="af-ZA"/>
              </w:rPr>
              <w:t xml:space="preserve"> </w:t>
            </w:r>
            <w:r w:rsidRPr="0053423A">
              <w:rPr>
                <w:rFonts w:eastAsia="Calibri" w:cs="GHEA Grapalat"/>
                <w:bCs/>
                <w:sz w:val="20"/>
                <w:szCs w:val="20"/>
              </w:rPr>
              <w:t>ձևավորմանը</w:t>
            </w:r>
            <w:r w:rsidRPr="0053423A">
              <w:rPr>
                <w:rFonts w:eastAsia="Calibri" w:cs="GHEA Grapalat"/>
                <w:bCs/>
                <w:sz w:val="20"/>
                <w:szCs w:val="20"/>
                <w:lang w:val="fr-FR"/>
              </w:rPr>
              <w:t xml:space="preserve">, </w:t>
            </w:r>
            <w:r w:rsidRPr="0053423A">
              <w:rPr>
                <w:rFonts w:eastAsia="Calibri" w:cs="GHEA Grapalat"/>
                <w:bCs/>
                <w:sz w:val="20"/>
                <w:szCs w:val="20"/>
              </w:rPr>
              <w:t>մասնավորապես՝</w:t>
            </w:r>
            <w:r w:rsidRPr="0053423A">
              <w:rPr>
                <w:rFonts w:eastAsia="Calibri" w:cs="GHEA Grapalat"/>
                <w:bCs/>
                <w:sz w:val="20"/>
                <w:szCs w:val="20"/>
                <w:lang w:val="af-ZA"/>
              </w:rPr>
              <w:t xml:space="preserve"> </w:t>
            </w:r>
            <w:r w:rsidRPr="0053423A">
              <w:rPr>
                <w:rFonts w:eastAsia="Calibri" w:cs="Sylfaen"/>
                <w:sz w:val="20"/>
                <w:szCs w:val="20"/>
                <w:lang w:val="fr-FR"/>
              </w:rPr>
              <w:t>հ</w:t>
            </w:r>
            <w:r w:rsidRPr="0053423A">
              <w:rPr>
                <w:rFonts w:eastAsia="Calibri" w:cs="Sylfaen"/>
                <w:sz w:val="20"/>
                <w:szCs w:val="20"/>
              </w:rPr>
              <w:t>ամայնքներում</w:t>
            </w:r>
            <w:r w:rsidRPr="0053423A">
              <w:rPr>
                <w:rFonts w:eastAsia="Calibri" w:cs="Sylfaen"/>
                <w:sz w:val="20"/>
                <w:szCs w:val="20"/>
                <w:lang w:val="af-ZA"/>
              </w:rPr>
              <w:t xml:space="preserve"> </w:t>
            </w:r>
            <w:r w:rsidRPr="0053423A">
              <w:rPr>
                <w:rFonts w:eastAsia="Calibri" w:cs="Sylfaen"/>
                <w:sz w:val="20"/>
                <w:szCs w:val="20"/>
              </w:rPr>
              <w:t>զբոսաշրջության</w:t>
            </w:r>
            <w:r w:rsidRPr="0053423A">
              <w:rPr>
                <w:rFonts w:eastAsia="Calibri" w:cs="Sylfaen"/>
                <w:sz w:val="20"/>
                <w:szCs w:val="20"/>
                <w:lang w:val="af-ZA"/>
              </w:rPr>
              <w:t xml:space="preserve"> </w:t>
            </w:r>
            <w:r w:rsidRPr="0053423A">
              <w:rPr>
                <w:rFonts w:eastAsia="Calibri" w:cs="Sylfaen"/>
                <w:sz w:val="20"/>
                <w:szCs w:val="20"/>
              </w:rPr>
              <w:t>զարգացում</w:t>
            </w:r>
            <w:r w:rsidRPr="0053423A">
              <w:rPr>
                <w:rFonts w:eastAsia="Calibri" w:cs="Sylfaen"/>
                <w:sz w:val="20"/>
                <w:szCs w:val="20"/>
                <w:lang w:val="fr-FR"/>
              </w:rPr>
              <w:t xml:space="preserve">, </w:t>
            </w:r>
            <w:r w:rsidRPr="0053423A">
              <w:rPr>
                <w:rFonts w:eastAsia="Calibri" w:cs="Sylfaen"/>
                <w:sz w:val="20"/>
                <w:szCs w:val="20"/>
              </w:rPr>
              <w:t>տեղական</w:t>
            </w:r>
            <w:r w:rsidRPr="0053423A">
              <w:rPr>
                <w:rFonts w:eastAsia="Calibri" w:cs="Sylfaen"/>
                <w:sz w:val="20"/>
                <w:szCs w:val="20"/>
                <w:lang w:val="af-ZA"/>
              </w:rPr>
              <w:t xml:space="preserve"> </w:t>
            </w:r>
            <w:r w:rsidRPr="0053423A">
              <w:rPr>
                <w:rFonts w:eastAsia="Calibri" w:cs="Sylfaen"/>
                <w:sz w:val="20"/>
                <w:szCs w:val="20"/>
              </w:rPr>
              <w:t>ավանդույթների</w:t>
            </w:r>
            <w:r w:rsidRPr="0053423A">
              <w:rPr>
                <w:rFonts w:eastAsia="Calibri" w:cs="Sylfaen"/>
                <w:sz w:val="20"/>
                <w:szCs w:val="20"/>
                <w:lang w:val="af-ZA"/>
              </w:rPr>
              <w:t xml:space="preserve"> </w:t>
            </w:r>
            <w:r w:rsidRPr="0053423A">
              <w:rPr>
                <w:rFonts w:eastAsia="Calibri" w:cs="Sylfaen"/>
                <w:sz w:val="20"/>
                <w:szCs w:val="20"/>
              </w:rPr>
              <w:t>վերականգնում</w:t>
            </w:r>
            <w:r w:rsidRPr="0053423A">
              <w:rPr>
                <w:rFonts w:eastAsia="Calibri" w:cs="Sylfaen"/>
                <w:sz w:val="20"/>
                <w:szCs w:val="20"/>
                <w:lang w:val="fr-FR"/>
              </w:rPr>
              <w:t xml:space="preserve">, </w:t>
            </w:r>
            <w:r w:rsidRPr="0053423A">
              <w:rPr>
                <w:rFonts w:eastAsia="Calibri" w:cs="Sylfaen"/>
                <w:sz w:val="20"/>
                <w:szCs w:val="20"/>
              </w:rPr>
              <w:t>զբոսաշրջային</w:t>
            </w:r>
            <w:r w:rsidRPr="0053423A">
              <w:rPr>
                <w:rFonts w:eastAsia="Calibri" w:cs="Sylfaen"/>
                <w:sz w:val="20"/>
                <w:szCs w:val="20"/>
                <w:lang w:val="af-ZA"/>
              </w:rPr>
              <w:t xml:space="preserve"> </w:t>
            </w:r>
            <w:r w:rsidRPr="0053423A">
              <w:rPr>
                <w:rFonts w:eastAsia="Calibri" w:cs="Sylfaen"/>
                <w:sz w:val="20"/>
                <w:szCs w:val="20"/>
              </w:rPr>
              <w:t>ներուժի</w:t>
            </w:r>
            <w:r w:rsidRPr="0053423A">
              <w:rPr>
                <w:rFonts w:eastAsia="Calibri" w:cs="Sylfaen"/>
                <w:sz w:val="20"/>
                <w:szCs w:val="20"/>
                <w:lang w:val="af-ZA"/>
              </w:rPr>
              <w:t xml:space="preserve"> </w:t>
            </w:r>
            <w:r w:rsidRPr="0053423A">
              <w:rPr>
                <w:rFonts w:eastAsia="Calibri" w:cs="Sylfaen"/>
                <w:sz w:val="20"/>
                <w:szCs w:val="20"/>
              </w:rPr>
              <w:t>բացահայտում</w:t>
            </w:r>
            <w:r w:rsidRPr="0053423A">
              <w:rPr>
                <w:rFonts w:eastAsia="Calibri" w:cs="Sylfaen"/>
                <w:sz w:val="20"/>
                <w:szCs w:val="20"/>
                <w:lang w:val="fr-FR"/>
              </w:rPr>
              <w:t xml:space="preserve">, </w:t>
            </w:r>
            <w:r w:rsidRPr="0053423A">
              <w:rPr>
                <w:rFonts w:eastAsia="Calibri" w:cs="Sylfaen"/>
                <w:sz w:val="20"/>
                <w:szCs w:val="20"/>
              </w:rPr>
              <w:t>զբոսաշրջային</w:t>
            </w:r>
            <w:r w:rsidRPr="0053423A">
              <w:rPr>
                <w:rFonts w:eastAsia="Calibri" w:cs="Sylfaen"/>
                <w:sz w:val="20"/>
                <w:szCs w:val="20"/>
                <w:lang w:val="af-ZA"/>
              </w:rPr>
              <w:t xml:space="preserve"> </w:t>
            </w:r>
            <w:r w:rsidRPr="0053423A">
              <w:rPr>
                <w:rFonts w:eastAsia="Calibri" w:cs="Sylfaen"/>
                <w:sz w:val="20"/>
                <w:szCs w:val="20"/>
              </w:rPr>
              <w:t>արդյունքի</w:t>
            </w:r>
            <w:r w:rsidRPr="0053423A">
              <w:rPr>
                <w:rFonts w:eastAsia="Calibri" w:cs="Sylfaen"/>
                <w:sz w:val="20"/>
                <w:szCs w:val="20"/>
                <w:lang w:val="af-ZA"/>
              </w:rPr>
              <w:t xml:space="preserve"> </w:t>
            </w:r>
            <w:r w:rsidRPr="0053423A">
              <w:rPr>
                <w:rFonts w:eastAsia="Calibri" w:cs="Sylfaen"/>
                <w:sz w:val="20"/>
                <w:szCs w:val="20"/>
              </w:rPr>
              <w:t>դիվերսիֆիկացում</w:t>
            </w:r>
            <w:r w:rsidRPr="0053423A">
              <w:rPr>
                <w:rFonts w:eastAsia="Calibri" w:cs="Sylfaen"/>
                <w:sz w:val="20"/>
                <w:szCs w:val="20"/>
                <w:lang w:val="fr-FR"/>
              </w:rPr>
              <w:t xml:space="preserve">, </w:t>
            </w:r>
            <w:r w:rsidRPr="0053423A">
              <w:rPr>
                <w:rFonts w:eastAsia="Calibri" w:cs="GHEA Grapalat"/>
                <w:sz w:val="20"/>
                <w:szCs w:val="20"/>
                <w:lang w:val="fr-FR"/>
              </w:rPr>
              <w:t xml:space="preserve">նոր </w:t>
            </w:r>
            <w:r w:rsidRPr="0053423A">
              <w:rPr>
                <w:rFonts w:eastAsia="Calibri" w:cs="Sylfaen"/>
                <w:sz w:val="20"/>
                <w:szCs w:val="20"/>
              </w:rPr>
              <w:t>զբոսաշրջային</w:t>
            </w:r>
            <w:r w:rsidRPr="0053423A">
              <w:rPr>
                <w:rFonts w:eastAsia="Calibri" w:cs="Sylfaen"/>
                <w:sz w:val="20"/>
                <w:szCs w:val="20"/>
                <w:lang w:val="af-ZA"/>
              </w:rPr>
              <w:t xml:space="preserve"> </w:t>
            </w:r>
            <w:r w:rsidRPr="0053423A">
              <w:rPr>
                <w:rFonts w:eastAsia="Calibri" w:cs="Sylfaen"/>
                <w:sz w:val="20"/>
                <w:szCs w:val="20"/>
              </w:rPr>
              <w:t>երթուղիների</w:t>
            </w:r>
            <w:r w:rsidRPr="0053423A">
              <w:rPr>
                <w:rFonts w:eastAsia="Calibri" w:cs="Sylfaen"/>
                <w:sz w:val="20"/>
                <w:szCs w:val="20"/>
                <w:lang w:val="af-ZA"/>
              </w:rPr>
              <w:t xml:space="preserve"> </w:t>
            </w:r>
            <w:r w:rsidRPr="0053423A">
              <w:rPr>
                <w:rFonts w:eastAsia="Calibri" w:cs="Sylfaen"/>
                <w:sz w:val="20"/>
                <w:szCs w:val="20"/>
              </w:rPr>
              <w:t>ձևավորում</w:t>
            </w:r>
            <w:r w:rsidRPr="0053423A">
              <w:rPr>
                <w:rFonts w:eastAsia="Calibri" w:cs="Sylfaen"/>
                <w:sz w:val="20"/>
                <w:szCs w:val="20"/>
                <w:lang w:val="af-ZA"/>
              </w:rPr>
              <w:t xml:space="preserve"> </w:t>
            </w:r>
            <w:r w:rsidRPr="0053423A">
              <w:rPr>
                <w:rFonts w:eastAsia="Calibri" w:cs="Sylfaen"/>
                <w:sz w:val="20"/>
                <w:szCs w:val="20"/>
              </w:rPr>
              <w:t>և</w:t>
            </w:r>
            <w:r w:rsidRPr="0053423A">
              <w:rPr>
                <w:rFonts w:eastAsia="Calibri" w:cs="Sylfaen"/>
                <w:sz w:val="20"/>
                <w:szCs w:val="20"/>
                <w:lang w:val="af-ZA"/>
              </w:rPr>
              <w:t xml:space="preserve"> </w:t>
            </w:r>
            <w:r w:rsidRPr="0053423A">
              <w:rPr>
                <w:rFonts w:eastAsia="Calibri" w:cs="Sylfaen"/>
                <w:sz w:val="20"/>
                <w:szCs w:val="20"/>
              </w:rPr>
              <w:t>միջազգային</w:t>
            </w:r>
            <w:r w:rsidRPr="0053423A">
              <w:rPr>
                <w:rFonts w:eastAsia="Calibri" w:cs="Sylfaen"/>
                <w:sz w:val="20"/>
                <w:szCs w:val="20"/>
                <w:lang w:val="af-ZA"/>
              </w:rPr>
              <w:t xml:space="preserve"> </w:t>
            </w:r>
            <w:r w:rsidRPr="0053423A">
              <w:rPr>
                <w:rFonts w:eastAsia="Calibri" w:cs="Sylfaen"/>
                <w:sz w:val="20"/>
                <w:szCs w:val="20"/>
              </w:rPr>
              <w:t>ու</w:t>
            </w:r>
            <w:r w:rsidRPr="0053423A">
              <w:rPr>
                <w:rFonts w:eastAsia="Calibri" w:cs="Sylfaen"/>
                <w:sz w:val="20"/>
                <w:szCs w:val="20"/>
                <w:lang w:val="af-ZA"/>
              </w:rPr>
              <w:t xml:space="preserve"> </w:t>
            </w:r>
            <w:r w:rsidRPr="0053423A">
              <w:rPr>
                <w:rFonts w:eastAsia="Calibri" w:cs="Sylfaen"/>
                <w:sz w:val="20"/>
                <w:szCs w:val="20"/>
              </w:rPr>
              <w:t>ներքին</w:t>
            </w:r>
            <w:r w:rsidRPr="0053423A">
              <w:rPr>
                <w:rFonts w:eastAsia="Calibri" w:cs="Sylfaen"/>
                <w:sz w:val="20"/>
                <w:szCs w:val="20"/>
                <w:lang w:val="af-ZA"/>
              </w:rPr>
              <w:t xml:space="preserve"> </w:t>
            </w:r>
            <w:r w:rsidRPr="0053423A">
              <w:rPr>
                <w:rFonts w:eastAsia="Calibri" w:cs="Sylfaen"/>
                <w:sz w:val="20"/>
                <w:szCs w:val="20"/>
              </w:rPr>
              <w:t>շուկայում</w:t>
            </w:r>
            <w:r w:rsidRPr="0053423A">
              <w:rPr>
                <w:rFonts w:eastAsia="Calibri" w:cs="Sylfaen"/>
                <w:sz w:val="20"/>
                <w:szCs w:val="20"/>
                <w:lang w:val="af-ZA"/>
              </w:rPr>
              <w:t xml:space="preserve"> </w:t>
            </w:r>
            <w:r w:rsidRPr="0053423A">
              <w:rPr>
                <w:rFonts w:eastAsia="Calibri" w:cs="Sylfaen"/>
                <w:sz w:val="20"/>
                <w:szCs w:val="20"/>
              </w:rPr>
              <w:t>պատշաճ</w:t>
            </w:r>
            <w:r w:rsidRPr="0053423A">
              <w:rPr>
                <w:rFonts w:eastAsia="Calibri" w:cs="Sylfaen"/>
                <w:sz w:val="20"/>
                <w:szCs w:val="20"/>
                <w:lang w:val="af-ZA"/>
              </w:rPr>
              <w:t xml:space="preserve"> </w:t>
            </w:r>
            <w:r w:rsidRPr="0053423A">
              <w:rPr>
                <w:rFonts w:eastAsia="Calibri" w:cs="Sylfaen"/>
                <w:sz w:val="20"/>
                <w:szCs w:val="20"/>
              </w:rPr>
              <w:t>ներկայացում</w:t>
            </w:r>
            <w:r w:rsidRPr="0053423A">
              <w:rPr>
                <w:rFonts w:eastAsia="Calibri" w:cs="Sylfaen"/>
                <w:sz w:val="20"/>
                <w:szCs w:val="20"/>
                <w:lang w:val="fr-FR"/>
              </w:rPr>
              <w:t xml:space="preserve">, </w:t>
            </w:r>
            <w:r w:rsidRPr="0053423A">
              <w:rPr>
                <w:rFonts w:eastAsia="Calibri" w:cs="Sylfaen"/>
                <w:sz w:val="20"/>
                <w:szCs w:val="20"/>
              </w:rPr>
              <w:t>այդ</w:t>
            </w:r>
            <w:r w:rsidRPr="0053423A">
              <w:rPr>
                <w:rFonts w:eastAsia="Calibri" w:cs="Sylfaen"/>
                <w:sz w:val="20"/>
                <w:szCs w:val="20"/>
                <w:lang w:val="af-ZA"/>
              </w:rPr>
              <w:t xml:space="preserve"> </w:t>
            </w:r>
            <w:r w:rsidRPr="0053423A">
              <w:rPr>
                <w:rFonts w:eastAsia="Calibri" w:cs="Sylfaen"/>
                <w:sz w:val="20"/>
                <w:szCs w:val="20"/>
              </w:rPr>
              <w:t>թվում՝</w:t>
            </w:r>
            <w:r w:rsidRPr="0053423A">
              <w:rPr>
                <w:rFonts w:eastAsia="Calibri" w:cs="Sylfaen"/>
                <w:sz w:val="20"/>
                <w:szCs w:val="20"/>
                <w:lang w:val="af-ZA"/>
              </w:rPr>
              <w:t xml:space="preserve"> </w:t>
            </w:r>
            <w:r w:rsidRPr="0053423A">
              <w:rPr>
                <w:rFonts w:eastAsia="Calibri" w:cs="Sylfaen"/>
                <w:sz w:val="20"/>
                <w:szCs w:val="20"/>
              </w:rPr>
              <w:t>ավանդական</w:t>
            </w:r>
            <w:r w:rsidRPr="0053423A">
              <w:rPr>
                <w:rFonts w:eastAsia="Calibri" w:cs="Sylfaen"/>
                <w:sz w:val="20"/>
                <w:szCs w:val="20"/>
                <w:lang w:val="af-ZA"/>
              </w:rPr>
              <w:t xml:space="preserve"> </w:t>
            </w:r>
            <w:r w:rsidRPr="0053423A">
              <w:rPr>
                <w:rFonts w:eastAsia="Calibri" w:cs="Sylfaen"/>
                <w:sz w:val="20"/>
                <w:szCs w:val="20"/>
              </w:rPr>
              <w:t>տոնակատա</w:t>
            </w:r>
            <w:r w:rsidRPr="0053423A">
              <w:rPr>
                <w:rFonts w:eastAsia="Calibri" w:cs="Sylfaen"/>
                <w:sz w:val="20"/>
                <w:szCs w:val="20"/>
                <w:lang w:val="fr-FR"/>
              </w:rPr>
              <w:softHyphen/>
            </w:r>
            <w:r w:rsidRPr="0053423A">
              <w:rPr>
                <w:rFonts w:eastAsia="Calibri" w:cs="Sylfaen"/>
                <w:sz w:val="20"/>
                <w:szCs w:val="20"/>
              </w:rPr>
              <w:t>րությունների</w:t>
            </w:r>
            <w:r w:rsidRPr="0053423A">
              <w:rPr>
                <w:rFonts w:eastAsia="Calibri" w:cs="Sylfaen"/>
                <w:sz w:val="20"/>
                <w:szCs w:val="20"/>
                <w:lang w:val="fr-FR"/>
              </w:rPr>
              <w:t xml:space="preserve">, </w:t>
            </w:r>
            <w:r w:rsidRPr="0053423A">
              <w:rPr>
                <w:rFonts w:eastAsia="Calibri" w:cs="Sylfaen"/>
                <w:sz w:val="20"/>
                <w:szCs w:val="20"/>
              </w:rPr>
              <w:t>փառատոների</w:t>
            </w:r>
            <w:r w:rsidRPr="0053423A">
              <w:rPr>
                <w:rFonts w:eastAsia="Calibri" w:cs="Sylfaen"/>
                <w:sz w:val="20"/>
                <w:szCs w:val="20"/>
                <w:lang w:val="af-ZA"/>
              </w:rPr>
              <w:t xml:space="preserve"> </w:t>
            </w:r>
            <w:r w:rsidRPr="0053423A">
              <w:rPr>
                <w:rFonts w:eastAsia="Calibri" w:cs="Sylfaen"/>
                <w:sz w:val="20"/>
                <w:szCs w:val="20"/>
              </w:rPr>
              <w:t>կազմակերպման</w:t>
            </w:r>
            <w:r w:rsidRPr="0053423A">
              <w:rPr>
                <w:rFonts w:eastAsia="Calibri" w:cs="Sylfaen"/>
                <w:sz w:val="20"/>
                <w:szCs w:val="20"/>
                <w:lang w:val="af-ZA"/>
              </w:rPr>
              <w:t xml:space="preserve"> </w:t>
            </w:r>
            <w:r w:rsidRPr="0053423A">
              <w:rPr>
                <w:rFonts w:eastAsia="Calibri" w:cs="Sylfaen"/>
                <w:sz w:val="20"/>
                <w:szCs w:val="20"/>
              </w:rPr>
              <w:t>միջոցով</w:t>
            </w:r>
            <w:r w:rsidRPr="0053423A">
              <w:rPr>
                <w:rFonts w:eastAsia="Calibri" w:cs="Sylfaen"/>
                <w:sz w:val="20"/>
                <w:szCs w:val="20"/>
                <w:lang w:val="fr-FR"/>
              </w:rPr>
              <w:t>:</w:t>
            </w:r>
          </w:p>
          <w:p w:rsidR="00A67B6B" w:rsidRPr="0053423A" w:rsidRDefault="00A67B6B" w:rsidP="00A67858">
            <w:pPr>
              <w:tabs>
                <w:tab w:val="left" w:pos="508"/>
              </w:tabs>
              <w:spacing w:after="0" w:line="276" w:lineRule="auto"/>
              <w:contextualSpacing/>
              <w:jc w:val="both"/>
              <w:rPr>
                <w:rFonts w:eastAsia="Calibri" w:cs="Sylfaen"/>
                <w:b/>
                <w:sz w:val="20"/>
                <w:szCs w:val="20"/>
                <w:lang w:val="fr-FR"/>
              </w:rPr>
            </w:pPr>
          </w:p>
          <w:p w:rsidR="00A67B6B" w:rsidRPr="0053423A" w:rsidRDefault="00A67B6B" w:rsidP="001F6D5D">
            <w:pPr>
              <w:numPr>
                <w:ilvl w:val="1"/>
                <w:numId w:val="220"/>
              </w:numPr>
              <w:tabs>
                <w:tab w:val="left" w:pos="508"/>
              </w:tabs>
              <w:spacing w:after="0" w:line="276" w:lineRule="auto"/>
              <w:ind w:hanging="707"/>
              <w:contextualSpacing/>
              <w:rPr>
                <w:rFonts w:eastAsia="Calibri" w:cs="Times New Roman"/>
                <w:b/>
                <w:sz w:val="20"/>
                <w:szCs w:val="20"/>
              </w:rPr>
            </w:pPr>
            <w:r w:rsidRPr="0053423A">
              <w:rPr>
                <w:rFonts w:eastAsia="Calibri" w:cs="Times New Roman"/>
                <w:b/>
                <w:sz w:val="20"/>
                <w:szCs w:val="20"/>
              </w:rPr>
              <w:t>Առկա խնդիրների առաջարկվող լուծումները</w:t>
            </w:r>
          </w:p>
          <w:p w:rsidR="00A67B6B" w:rsidRPr="0053423A" w:rsidRDefault="00A67B6B" w:rsidP="00A67858">
            <w:pPr>
              <w:tabs>
                <w:tab w:val="left" w:pos="508"/>
              </w:tabs>
              <w:spacing w:after="0" w:line="276" w:lineRule="auto"/>
              <w:contextualSpacing/>
              <w:jc w:val="both"/>
              <w:rPr>
                <w:rFonts w:eastAsia="Calibri" w:cs="GHEA Grapalat"/>
                <w:bCs/>
                <w:iCs/>
                <w:sz w:val="20"/>
                <w:szCs w:val="20"/>
                <w:lang w:val="tr-TR"/>
              </w:rPr>
            </w:pPr>
            <w:r w:rsidRPr="0053423A">
              <w:rPr>
                <w:rFonts w:eastAsia="Calibri" w:cs="GHEA Grapalat"/>
                <w:sz w:val="20"/>
                <w:szCs w:val="20"/>
                <w:lang w:val="hy-AM"/>
              </w:rPr>
              <w:t>Պատմամշակութային ա</w:t>
            </w:r>
            <w:r w:rsidRPr="0053423A">
              <w:rPr>
                <w:rFonts w:eastAsia="Calibri" w:cs="GHEA Grapalat"/>
                <w:sz w:val="20"/>
                <w:szCs w:val="20"/>
                <w:lang w:val="af-ZA"/>
              </w:rPr>
              <w:t xml:space="preserve">րգելոցների ստեղծումը </w:t>
            </w:r>
            <w:r w:rsidRPr="0053423A">
              <w:rPr>
                <w:rFonts w:eastAsia="Calibri" w:cs="GHEA Grapalat"/>
                <w:sz w:val="20"/>
                <w:szCs w:val="20"/>
                <w:lang w:val="hy-AM"/>
              </w:rPr>
              <w:t xml:space="preserve">միտված </w:t>
            </w:r>
            <w:r w:rsidRPr="0053423A">
              <w:rPr>
                <w:rFonts w:eastAsia="Calibri" w:cs="GHEA Grapalat"/>
                <w:sz w:val="20"/>
                <w:szCs w:val="20"/>
              </w:rPr>
              <w:t>է</w:t>
            </w:r>
            <w:r w:rsidRPr="0053423A">
              <w:rPr>
                <w:rFonts w:eastAsia="Calibri" w:cs="GHEA Grapalat"/>
                <w:sz w:val="20"/>
                <w:szCs w:val="20"/>
                <w:lang w:val="hy-AM"/>
              </w:rPr>
              <w:t xml:space="preserve"> պատմական, հնագիտական, ճարտարապետական հուշարձանների, համալիրների, հուշարձանախմբերի, պատմական և բնապատմական միջավայրի, մշակութային այլ արժեքների ուսումնասիրման և հանրահռչակման աշխատանքների արդյունավետության բարձրացմանը</w:t>
            </w:r>
            <w:r w:rsidRPr="0053423A">
              <w:rPr>
                <w:rFonts w:eastAsia="Calibri" w:cs="GHEA Grapalat"/>
                <w:sz w:val="20"/>
                <w:szCs w:val="20"/>
                <w:lang w:val="fr-FR"/>
              </w:rPr>
              <w:t xml:space="preserve">, </w:t>
            </w:r>
            <w:r w:rsidRPr="0053423A">
              <w:rPr>
                <w:rFonts w:eastAsia="Calibri" w:cs="GHEA Grapalat"/>
                <w:sz w:val="20"/>
                <w:szCs w:val="20"/>
              </w:rPr>
              <w:t xml:space="preserve">ինչպես նաև </w:t>
            </w:r>
            <w:r w:rsidRPr="0053423A">
              <w:rPr>
                <w:rFonts w:eastAsia="Calibri" w:cs="Sylfaen"/>
                <w:sz w:val="20"/>
                <w:szCs w:val="20"/>
              </w:rPr>
              <w:t xml:space="preserve">միջազգային </w:t>
            </w:r>
            <w:r w:rsidRPr="0053423A">
              <w:rPr>
                <w:rFonts w:eastAsia="Calibri" w:cs="GHEA Grapalat"/>
                <w:sz w:val="20"/>
                <w:szCs w:val="20"/>
                <w:lang w:val="fr-FR"/>
              </w:rPr>
              <w:t xml:space="preserve">կազմակերպությունների </w:t>
            </w:r>
            <w:r w:rsidRPr="0053423A">
              <w:rPr>
                <w:rFonts w:eastAsia="Calibri" w:cs="Sylfaen"/>
                <w:sz w:val="20"/>
                <w:szCs w:val="20"/>
              </w:rPr>
              <w:t>և մասնավոր հատվածի հետ համագործակցությամբ համայնքներում տնտեսական և զբոսաշրջային ենթակառուց</w:t>
            </w:r>
            <w:r w:rsidRPr="0053423A">
              <w:rPr>
                <w:rFonts w:eastAsia="Calibri" w:cs="Sylfaen"/>
                <w:sz w:val="20"/>
                <w:szCs w:val="20"/>
                <w:lang w:val="fr-FR"/>
              </w:rPr>
              <w:softHyphen/>
            </w:r>
            <w:r w:rsidRPr="0053423A">
              <w:rPr>
                <w:rFonts w:eastAsia="Calibri" w:cs="Sylfaen"/>
                <w:sz w:val="20"/>
                <w:szCs w:val="20"/>
              </w:rPr>
              <w:t>վածքների զարգացման ծրագրի իրականացմանը</w:t>
            </w:r>
            <w:r w:rsidRPr="0053423A">
              <w:rPr>
                <w:rFonts w:eastAsia="Calibri" w:cs="Sylfaen"/>
                <w:sz w:val="20"/>
                <w:szCs w:val="20"/>
                <w:lang w:val="fr-FR"/>
              </w:rPr>
              <w:t xml:space="preserve">: </w:t>
            </w:r>
            <w:r w:rsidRPr="0053423A">
              <w:rPr>
                <w:rFonts w:eastAsia="Calibri" w:cs="GHEA Grapalat"/>
                <w:sz w:val="20"/>
                <w:szCs w:val="20"/>
              </w:rPr>
              <w:t>Արգելոց</w:t>
            </w:r>
            <w:r w:rsidRPr="0053423A">
              <w:rPr>
                <w:rFonts w:eastAsia="Calibri" w:cs="GHEA Grapalat"/>
                <w:sz w:val="20"/>
                <w:szCs w:val="20"/>
                <w:lang w:val="af-ZA"/>
              </w:rPr>
              <w:t>-</w:t>
            </w:r>
            <w:r w:rsidRPr="0053423A">
              <w:rPr>
                <w:rFonts w:eastAsia="Calibri" w:cs="GHEA Grapalat"/>
                <w:sz w:val="20"/>
                <w:szCs w:val="20"/>
              </w:rPr>
              <w:t>թանգարանի</w:t>
            </w:r>
            <w:r w:rsidRPr="0053423A">
              <w:rPr>
                <w:rFonts w:eastAsia="Calibri" w:cs="GHEA Grapalat"/>
                <w:sz w:val="20"/>
                <w:szCs w:val="20"/>
                <w:lang w:val="af-ZA"/>
              </w:rPr>
              <w:t xml:space="preserve"> հուշարձանների շուրջ </w:t>
            </w:r>
            <w:r w:rsidRPr="0053423A">
              <w:rPr>
                <w:rFonts w:eastAsia="Calibri" w:cs="GHEA Grapalat"/>
                <w:sz w:val="20"/>
                <w:szCs w:val="20"/>
                <w:lang w:val="fr-FR"/>
              </w:rPr>
              <w:t>պատմամշակութային</w:t>
            </w:r>
            <w:r w:rsidRPr="0053423A">
              <w:rPr>
                <w:rFonts w:eastAsia="Calibri" w:cs="GHEA Grapalat"/>
                <w:sz w:val="20"/>
                <w:szCs w:val="20"/>
                <w:lang w:val="af-ZA"/>
              </w:rPr>
              <w:t xml:space="preserve"> արգելոցների ստեղծում</w:t>
            </w:r>
            <w:r w:rsidRPr="0053423A">
              <w:rPr>
                <w:rFonts w:eastAsia="Calibri" w:cs="GHEA Grapalat"/>
                <w:sz w:val="20"/>
                <w:szCs w:val="20"/>
                <w:lang w:val="hy-AM"/>
              </w:rPr>
              <w:t>,պ</w:t>
            </w:r>
            <w:r w:rsidRPr="0053423A">
              <w:rPr>
                <w:rFonts w:eastAsia="Calibri" w:cs="GHEA Grapalat"/>
                <w:bCs/>
                <w:iCs/>
                <w:sz w:val="20"/>
                <w:szCs w:val="20"/>
                <w:lang w:val="tr-TR"/>
              </w:rPr>
              <w:t>ատմության և մշակույթի անշարժ հուշարձանների օգտագործման և հանրահռչակման բնագավառում արդյունավետության, ներդրումային դաշտի գրավչության բարձրացում և զբոսաշրջության ծավալների ընդլայնում:</w:t>
            </w:r>
          </w:p>
          <w:p w:rsidR="00A67B6B" w:rsidRPr="0053423A" w:rsidRDefault="00A67B6B" w:rsidP="00A67858">
            <w:pPr>
              <w:tabs>
                <w:tab w:val="left" w:pos="508"/>
              </w:tabs>
              <w:spacing w:after="0" w:line="276" w:lineRule="auto"/>
              <w:contextualSpacing/>
              <w:jc w:val="both"/>
              <w:rPr>
                <w:rFonts w:eastAsia="Calibri" w:cs="GHEA Grapalat"/>
                <w:bCs/>
                <w:iCs/>
                <w:sz w:val="20"/>
                <w:szCs w:val="20"/>
                <w:lang w:val="tr-TR"/>
              </w:rPr>
            </w:pPr>
          </w:p>
          <w:p w:rsidR="00A67B6B" w:rsidRPr="0053423A" w:rsidRDefault="00A67B6B" w:rsidP="001F6D5D">
            <w:pPr>
              <w:numPr>
                <w:ilvl w:val="0"/>
                <w:numId w:val="220"/>
              </w:numPr>
              <w:tabs>
                <w:tab w:val="left" w:pos="508"/>
              </w:tabs>
              <w:spacing w:after="0" w:line="276" w:lineRule="auto"/>
              <w:ind w:left="0" w:firstLine="0"/>
              <w:contextualSpacing/>
              <w:rPr>
                <w:rFonts w:eastAsia="Calibri" w:cs="Times New Roman"/>
                <w:b/>
                <w:sz w:val="20"/>
                <w:szCs w:val="20"/>
              </w:rPr>
            </w:pPr>
            <w:r w:rsidRPr="0053423A">
              <w:rPr>
                <w:rFonts w:eastAsia="Calibri" w:cs="Times New Roman"/>
                <w:b/>
                <w:sz w:val="20"/>
                <w:szCs w:val="20"/>
              </w:rPr>
              <w:t>Միջոցառման իրակա</w:t>
            </w:r>
            <w:r w:rsidRPr="0053423A">
              <w:rPr>
                <w:rFonts w:eastAsia="Calibri" w:cs="Times New Roman"/>
                <w:b/>
                <w:sz w:val="20"/>
                <w:szCs w:val="20"/>
                <w:lang w:val="hy-AM"/>
              </w:rPr>
              <w:t>նա</w:t>
            </w:r>
            <w:r w:rsidRPr="0053423A">
              <w:rPr>
                <w:rFonts w:eastAsia="Calibri" w:cs="Times New Roman"/>
                <w:b/>
                <w:sz w:val="20"/>
                <w:szCs w:val="20"/>
              </w:rPr>
              <w:t>ցումից ակնկալվող արդյունքը</w:t>
            </w:r>
          </w:p>
          <w:p w:rsidR="00A67B6B" w:rsidRPr="0053423A" w:rsidRDefault="00A67B6B" w:rsidP="00A67858">
            <w:pPr>
              <w:tabs>
                <w:tab w:val="left" w:pos="508"/>
              </w:tabs>
              <w:spacing w:after="0" w:line="276" w:lineRule="auto"/>
              <w:contextualSpacing/>
              <w:jc w:val="both"/>
              <w:rPr>
                <w:rFonts w:eastAsia="Calibri" w:cs="GHEA Grapalat"/>
                <w:sz w:val="20"/>
                <w:szCs w:val="20"/>
              </w:rPr>
            </w:pPr>
            <w:r w:rsidRPr="0053423A">
              <w:rPr>
                <w:rFonts w:eastAsia="Calibri" w:cs="GHEA Grapalat"/>
                <w:sz w:val="20"/>
                <w:szCs w:val="20"/>
                <w:lang w:val="hy-AM"/>
              </w:rPr>
              <w:t>Նախագծի ընդունման արդյունքում կապահովվի</w:t>
            </w:r>
            <w:r w:rsidRPr="0053423A">
              <w:rPr>
                <w:rFonts w:eastAsia="Calibri" w:cs="GHEA Grapalat"/>
                <w:sz w:val="20"/>
                <w:szCs w:val="20"/>
              </w:rPr>
              <w:t xml:space="preserve"> </w:t>
            </w:r>
            <w:r w:rsidRPr="0053423A">
              <w:rPr>
                <w:rFonts w:eastAsia="Calibri" w:cs="GHEA Grapalat"/>
                <w:sz w:val="20"/>
                <w:szCs w:val="20"/>
                <w:lang w:val="hy-AM"/>
              </w:rPr>
              <w:t>հուշարձանախմբի ամբողջ տա</w:t>
            </w:r>
            <w:r w:rsidRPr="0053423A">
              <w:rPr>
                <w:rFonts w:eastAsia="Calibri" w:cs="GHEA Grapalat"/>
                <w:sz w:val="20"/>
                <w:szCs w:val="20"/>
                <w:lang w:val="hy-AM"/>
              </w:rPr>
              <w:softHyphen/>
              <w:t>րած</w:t>
            </w:r>
            <w:r w:rsidRPr="0053423A">
              <w:rPr>
                <w:rFonts w:eastAsia="Calibri" w:cs="GHEA Grapalat"/>
                <w:sz w:val="20"/>
                <w:szCs w:val="20"/>
                <w:lang w:val="hy-AM"/>
              </w:rPr>
              <w:softHyphen/>
              <w:t>քի պատշաճ պահպանությունը, մասնագիտական ամբողջական ուսումնասիր</w:t>
            </w:r>
            <w:r w:rsidRPr="0053423A">
              <w:rPr>
                <w:rFonts w:eastAsia="Calibri" w:cs="GHEA Grapalat"/>
                <w:sz w:val="20"/>
                <w:szCs w:val="20"/>
                <w:lang w:val="hy-AM"/>
              </w:rPr>
              <w:softHyphen/>
              <w:t xml:space="preserve">ման ու հանրահռչակման հնարավորությունը, զբոսաշրջության </w:t>
            </w:r>
            <w:r w:rsidRPr="0053423A">
              <w:rPr>
                <w:rFonts w:eastAsia="Calibri" w:cs="GHEA Grapalat"/>
                <w:sz w:val="20"/>
                <w:szCs w:val="20"/>
                <w:lang w:val="fr-FR"/>
              </w:rPr>
              <w:t>երթուղիներում</w:t>
            </w:r>
            <w:r w:rsidRPr="0053423A">
              <w:rPr>
                <w:rFonts w:eastAsia="Calibri" w:cs="GHEA Grapalat"/>
                <w:sz w:val="20"/>
                <w:szCs w:val="20"/>
                <w:lang w:val="hy-AM"/>
              </w:rPr>
              <w:t xml:space="preserve"> արգելոցների  ներգրավումը, ինչպես նաև պետական ֆինանսավորման առավել արդյունավետ օգտագործումը:Միաժամանակ</w:t>
            </w:r>
            <w:r w:rsidRPr="0053423A">
              <w:rPr>
                <w:rFonts w:eastAsia="Calibri" w:cs="GHEA Grapalat"/>
                <w:sz w:val="20"/>
                <w:szCs w:val="20"/>
                <w:lang w:val="af-ZA"/>
              </w:rPr>
              <w:t xml:space="preserve">, </w:t>
            </w:r>
            <w:r w:rsidRPr="0053423A">
              <w:rPr>
                <w:rFonts w:eastAsia="Calibri" w:cs="GHEA Grapalat"/>
                <w:sz w:val="20"/>
                <w:szCs w:val="20"/>
                <w:lang w:val="hy-AM"/>
              </w:rPr>
              <w:t>արգելոցների</w:t>
            </w:r>
            <w:r w:rsidRPr="0053423A">
              <w:rPr>
                <w:rFonts w:eastAsia="Calibri" w:cs="GHEA Grapalat"/>
                <w:sz w:val="20"/>
                <w:szCs w:val="20"/>
              </w:rPr>
              <w:t xml:space="preserve"> </w:t>
            </w:r>
            <w:r w:rsidRPr="0053423A">
              <w:rPr>
                <w:rFonts w:eastAsia="Calibri" w:cs="GHEA Grapalat"/>
                <w:sz w:val="20"/>
                <w:szCs w:val="20"/>
                <w:lang w:val="hy-AM"/>
              </w:rPr>
              <w:t>ստեղծումը</w:t>
            </w:r>
            <w:r w:rsidRPr="0053423A">
              <w:rPr>
                <w:rFonts w:eastAsia="Calibri" w:cs="GHEA Grapalat"/>
                <w:sz w:val="20"/>
                <w:szCs w:val="20"/>
              </w:rPr>
              <w:t xml:space="preserve"> </w:t>
            </w:r>
            <w:r w:rsidRPr="0053423A">
              <w:rPr>
                <w:rFonts w:eastAsia="Calibri" w:cs="GHEA Grapalat"/>
                <w:sz w:val="20"/>
                <w:szCs w:val="20"/>
                <w:lang w:val="hy-AM"/>
              </w:rPr>
              <w:t>կնպաստի</w:t>
            </w:r>
            <w:r w:rsidRPr="0053423A">
              <w:rPr>
                <w:rFonts w:eastAsia="Calibri" w:cs="GHEA Grapalat"/>
                <w:sz w:val="20"/>
                <w:szCs w:val="20"/>
              </w:rPr>
              <w:t xml:space="preserve"> </w:t>
            </w:r>
            <w:r w:rsidRPr="0053423A">
              <w:rPr>
                <w:rFonts w:eastAsia="Calibri" w:cs="GHEA Grapalat"/>
                <w:sz w:val="20"/>
                <w:szCs w:val="20"/>
                <w:lang w:val="hy-AM"/>
              </w:rPr>
              <w:t>զբոսաշրջության</w:t>
            </w:r>
            <w:r w:rsidRPr="0053423A">
              <w:rPr>
                <w:rFonts w:eastAsia="Calibri" w:cs="GHEA Grapalat"/>
                <w:sz w:val="20"/>
                <w:szCs w:val="20"/>
              </w:rPr>
              <w:t xml:space="preserve"> </w:t>
            </w:r>
            <w:r w:rsidRPr="0053423A">
              <w:rPr>
                <w:rFonts w:eastAsia="Calibri" w:cs="GHEA Grapalat"/>
                <w:sz w:val="20"/>
                <w:szCs w:val="20"/>
                <w:lang w:val="hy-AM"/>
              </w:rPr>
              <w:t>զարգացմանը</w:t>
            </w:r>
            <w:r w:rsidRPr="0053423A">
              <w:rPr>
                <w:rFonts w:eastAsia="Calibri" w:cs="GHEA Grapalat"/>
                <w:sz w:val="20"/>
                <w:szCs w:val="20"/>
              </w:rPr>
              <w:t xml:space="preserve"> </w:t>
            </w:r>
            <w:r w:rsidRPr="0053423A">
              <w:rPr>
                <w:rFonts w:eastAsia="Calibri" w:cs="GHEA Grapalat"/>
                <w:sz w:val="20"/>
                <w:szCs w:val="20"/>
                <w:lang w:val="hy-AM"/>
              </w:rPr>
              <w:t>և</w:t>
            </w:r>
            <w:r w:rsidRPr="0053423A">
              <w:rPr>
                <w:rFonts w:eastAsia="Calibri" w:cs="GHEA Grapalat"/>
                <w:sz w:val="20"/>
                <w:szCs w:val="20"/>
              </w:rPr>
              <w:t xml:space="preserve"> </w:t>
            </w:r>
            <w:r w:rsidRPr="0053423A">
              <w:rPr>
                <w:rFonts w:eastAsia="Calibri" w:cs="GHEA Grapalat"/>
                <w:sz w:val="20"/>
                <w:szCs w:val="20"/>
                <w:lang w:val="hy-AM"/>
              </w:rPr>
              <w:t>զբոսաշրջիկների</w:t>
            </w:r>
            <w:r w:rsidRPr="0053423A">
              <w:rPr>
                <w:rFonts w:eastAsia="Calibri" w:cs="GHEA Grapalat"/>
                <w:sz w:val="20"/>
                <w:szCs w:val="20"/>
              </w:rPr>
              <w:t xml:space="preserve"> </w:t>
            </w:r>
            <w:r w:rsidRPr="0053423A">
              <w:rPr>
                <w:rFonts w:eastAsia="Calibri" w:cs="GHEA Grapalat"/>
                <w:sz w:val="20"/>
                <w:szCs w:val="20"/>
                <w:lang w:val="hy-AM"/>
              </w:rPr>
              <w:t>թվի</w:t>
            </w:r>
            <w:r w:rsidRPr="0053423A">
              <w:rPr>
                <w:rFonts w:eastAsia="Calibri" w:cs="GHEA Grapalat"/>
                <w:sz w:val="20"/>
                <w:szCs w:val="20"/>
              </w:rPr>
              <w:t xml:space="preserve"> </w:t>
            </w:r>
            <w:r w:rsidRPr="0053423A">
              <w:rPr>
                <w:rFonts w:eastAsia="Calibri" w:cs="GHEA Grapalat"/>
                <w:sz w:val="20"/>
                <w:szCs w:val="20"/>
                <w:lang w:val="hy-AM"/>
              </w:rPr>
              <w:t>աճին</w:t>
            </w:r>
            <w:r w:rsidRPr="0053423A">
              <w:rPr>
                <w:rFonts w:eastAsia="Calibri" w:cs="GHEA Grapalat"/>
                <w:sz w:val="20"/>
                <w:szCs w:val="20"/>
              </w:rPr>
              <w:t>:</w:t>
            </w:r>
          </w:p>
          <w:p w:rsidR="00A67B6B" w:rsidRPr="0053423A" w:rsidRDefault="00A67B6B" w:rsidP="00A67858">
            <w:pPr>
              <w:tabs>
                <w:tab w:val="left" w:pos="508"/>
              </w:tabs>
              <w:spacing w:after="0" w:line="276" w:lineRule="auto"/>
              <w:contextualSpacing/>
              <w:jc w:val="both"/>
              <w:rPr>
                <w:rFonts w:eastAsia="Calibri" w:cs="GHEA Grapalat"/>
                <w:sz w:val="20"/>
                <w:szCs w:val="20"/>
              </w:rPr>
            </w:pPr>
          </w:p>
          <w:p w:rsidR="00A67B6B" w:rsidRPr="0053423A" w:rsidRDefault="00A67B6B" w:rsidP="00A67858">
            <w:pPr>
              <w:spacing w:after="0" w:line="276" w:lineRule="auto"/>
              <w:jc w:val="center"/>
              <w:rPr>
                <w:rFonts w:eastAsia="Calibri" w:cs="Calibri"/>
                <w:b/>
                <w:sz w:val="20"/>
                <w:szCs w:val="20"/>
                <w:lang w:val="af-ZA"/>
              </w:rPr>
            </w:pPr>
            <w:r w:rsidRPr="0053423A">
              <w:rPr>
                <w:rFonts w:eastAsia="Times New Roman" w:cs="Times New Roman"/>
                <w:b/>
                <w:sz w:val="20"/>
                <w:szCs w:val="20"/>
              </w:rPr>
              <w:t>8</w:t>
            </w:r>
            <w:r w:rsidRPr="0053423A">
              <w:rPr>
                <w:rFonts w:eastAsia="Times New Roman" w:cs="Times New Roman"/>
                <w:b/>
                <w:sz w:val="20"/>
                <w:szCs w:val="20"/>
                <w:lang w:val="af-ZA"/>
              </w:rPr>
              <w:t>.2</w:t>
            </w:r>
            <w:r w:rsidRPr="0053423A">
              <w:rPr>
                <w:rFonts w:eastAsia="Calibri" w:cs="Calibri"/>
                <w:b/>
                <w:sz w:val="20"/>
                <w:szCs w:val="20"/>
                <w:lang w:val="af-ZA"/>
              </w:rPr>
              <w:t xml:space="preserve"> «Մայրաքաղաք Արտաշատ», «Մայրաքաղաք Դվին» պատմամշակութային արգելոցներ ստեղծելու, «Մայրաքաղաք Արտաշատ», «Մայրաքաղաք Դվին» պատմամշակութային արգելոցների մասնաճյուղեր ստեղծելու,  Հայաստանի Հանրապետության կառավարության 2003 թվականի մարտի 7-ի N 312-Ն որոշման մեջ լրացումներ կատարելու մասին» Հայաստանի Հանրապետության կառավարության որոշման նախագիծ մշակում և ներկայացում Հայաստանի Հանրապետության վարչապետի աշխատակազմ</w:t>
            </w:r>
          </w:p>
          <w:p w:rsidR="00A67B6B" w:rsidRPr="0053423A" w:rsidRDefault="00A67B6B" w:rsidP="00A67858">
            <w:pPr>
              <w:tabs>
                <w:tab w:val="left" w:pos="508"/>
              </w:tabs>
              <w:spacing w:after="0" w:line="276" w:lineRule="auto"/>
              <w:contextualSpacing/>
              <w:rPr>
                <w:rFonts w:eastAsia="Calibri" w:cs="GHEA Grapalat"/>
                <w:sz w:val="20"/>
                <w:szCs w:val="20"/>
                <w:lang w:val="af-ZA"/>
              </w:rPr>
            </w:pPr>
          </w:p>
          <w:p w:rsidR="00A67B6B" w:rsidRPr="0053423A" w:rsidRDefault="00A67B6B" w:rsidP="001F6D5D">
            <w:pPr>
              <w:numPr>
                <w:ilvl w:val="0"/>
                <w:numId w:val="222"/>
              </w:numPr>
              <w:tabs>
                <w:tab w:val="left" w:pos="508"/>
              </w:tabs>
              <w:spacing w:after="0" w:line="276" w:lineRule="auto"/>
              <w:ind w:hanging="720"/>
              <w:contextualSpacing/>
              <w:rPr>
                <w:rFonts w:eastAsia="Calibri" w:cs="Times New Roman"/>
                <w:b/>
                <w:sz w:val="20"/>
                <w:szCs w:val="20"/>
                <w:lang w:val="af-ZA"/>
              </w:rPr>
            </w:pPr>
            <w:r w:rsidRPr="0053423A">
              <w:rPr>
                <w:rFonts w:eastAsia="Calibri" w:cs="Times New Roman"/>
                <w:b/>
                <w:sz w:val="20"/>
                <w:szCs w:val="20"/>
              </w:rPr>
              <w:t>Միջոցառման</w:t>
            </w:r>
            <w:r w:rsidRPr="0053423A">
              <w:rPr>
                <w:rFonts w:eastAsia="Calibri" w:cs="Times New Roman"/>
                <w:b/>
                <w:sz w:val="20"/>
                <w:szCs w:val="20"/>
                <w:lang w:val="af-ZA"/>
              </w:rPr>
              <w:t xml:space="preserve"> </w:t>
            </w:r>
            <w:r w:rsidRPr="0053423A">
              <w:rPr>
                <w:rFonts w:eastAsia="Calibri" w:cs="Times New Roman"/>
                <w:b/>
                <w:sz w:val="20"/>
                <w:szCs w:val="20"/>
              </w:rPr>
              <w:t>իրակա</w:t>
            </w:r>
            <w:r w:rsidRPr="0053423A">
              <w:rPr>
                <w:rFonts w:eastAsia="Calibri" w:cs="Times New Roman"/>
                <w:b/>
                <w:sz w:val="20"/>
                <w:szCs w:val="20"/>
                <w:lang w:val="hy-AM"/>
              </w:rPr>
              <w:t>նա</w:t>
            </w:r>
            <w:r w:rsidRPr="0053423A">
              <w:rPr>
                <w:rFonts w:eastAsia="Calibri" w:cs="Times New Roman"/>
                <w:b/>
                <w:sz w:val="20"/>
                <w:szCs w:val="20"/>
              </w:rPr>
              <w:t>ցման</w:t>
            </w:r>
            <w:r w:rsidRPr="0053423A">
              <w:rPr>
                <w:rFonts w:eastAsia="Calibri" w:cs="Times New Roman"/>
                <w:b/>
                <w:sz w:val="20"/>
                <w:szCs w:val="20"/>
                <w:lang w:val="af-ZA"/>
              </w:rPr>
              <w:t xml:space="preserve"> </w:t>
            </w:r>
            <w:r w:rsidRPr="0053423A">
              <w:rPr>
                <w:rFonts w:eastAsia="Calibri" w:cs="Times New Roman"/>
                <w:b/>
                <w:sz w:val="20"/>
                <w:szCs w:val="20"/>
              </w:rPr>
              <w:t>անհրաժեշտությունը</w:t>
            </w:r>
            <w:r w:rsidRPr="0053423A">
              <w:rPr>
                <w:rFonts w:eastAsia="Calibri" w:cs="Times New Roman"/>
                <w:b/>
                <w:sz w:val="20"/>
                <w:szCs w:val="20"/>
                <w:lang w:val="af-ZA"/>
              </w:rPr>
              <w:t xml:space="preserve"> </w:t>
            </w:r>
            <w:r w:rsidRPr="0053423A">
              <w:rPr>
                <w:rFonts w:eastAsia="Calibri" w:cs="Times New Roman"/>
                <w:b/>
                <w:sz w:val="20"/>
                <w:szCs w:val="20"/>
              </w:rPr>
              <w:t>և</w:t>
            </w:r>
            <w:r w:rsidRPr="0053423A">
              <w:rPr>
                <w:rFonts w:eastAsia="Calibri" w:cs="Times New Roman"/>
                <w:b/>
                <w:sz w:val="20"/>
                <w:szCs w:val="20"/>
                <w:lang w:val="af-ZA"/>
              </w:rPr>
              <w:t xml:space="preserve"> </w:t>
            </w:r>
            <w:r w:rsidRPr="0053423A">
              <w:rPr>
                <w:rFonts w:eastAsia="Calibri" w:cs="Times New Roman"/>
                <w:b/>
                <w:sz w:val="20"/>
                <w:szCs w:val="20"/>
              </w:rPr>
              <w:t>նպատակը</w:t>
            </w:r>
          </w:p>
          <w:p w:rsidR="00A67B6B" w:rsidRPr="0053423A" w:rsidRDefault="00A67B6B" w:rsidP="00A67858">
            <w:pPr>
              <w:tabs>
                <w:tab w:val="left" w:pos="508"/>
              </w:tabs>
              <w:spacing w:after="0" w:line="276" w:lineRule="auto"/>
              <w:contextualSpacing/>
              <w:jc w:val="both"/>
              <w:rPr>
                <w:rFonts w:eastAsia="Calibri" w:cs="GHEA Grapalat"/>
                <w:sz w:val="20"/>
                <w:szCs w:val="20"/>
                <w:lang w:val="af-ZA"/>
              </w:rPr>
            </w:pPr>
            <w:r w:rsidRPr="0053423A">
              <w:rPr>
                <w:rFonts w:eastAsia="Calibri" w:cs="Times New Roman"/>
                <w:sz w:val="20"/>
                <w:szCs w:val="20"/>
                <w:lang w:val="hy-AM"/>
              </w:rPr>
              <w:t>«</w:t>
            </w:r>
            <w:r w:rsidRPr="0053423A">
              <w:rPr>
                <w:rFonts w:eastAsia="Calibri" w:cs="Times New Roman"/>
                <w:sz w:val="20"/>
                <w:szCs w:val="20"/>
              </w:rPr>
              <w:t>Մայրաքաղաք</w:t>
            </w:r>
            <w:r w:rsidRPr="0053423A">
              <w:rPr>
                <w:rFonts w:eastAsia="Calibri" w:cs="Times New Roman"/>
                <w:sz w:val="20"/>
                <w:szCs w:val="20"/>
                <w:lang w:val="af-ZA"/>
              </w:rPr>
              <w:t xml:space="preserve"> </w:t>
            </w:r>
            <w:r w:rsidRPr="0053423A">
              <w:rPr>
                <w:rFonts w:eastAsia="Calibri" w:cs="Times New Roman"/>
                <w:sz w:val="20"/>
                <w:szCs w:val="20"/>
              </w:rPr>
              <w:t>Արտաշատ</w:t>
            </w:r>
            <w:r w:rsidRPr="0053423A">
              <w:rPr>
                <w:rFonts w:eastAsia="Calibri" w:cs="Times New Roman"/>
                <w:sz w:val="20"/>
                <w:szCs w:val="20"/>
                <w:lang w:val="hy-AM"/>
              </w:rPr>
              <w:t>», «</w:t>
            </w:r>
            <w:r w:rsidRPr="0053423A">
              <w:rPr>
                <w:rFonts w:eastAsia="Calibri" w:cs="Times New Roman"/>
                <w:sz w:val="20"/>
                <w:szCs w:val="20"/>
              </w:rPr>
              <w:t>Մայրաքաղաք</w:t>
            </w:r>
            <w:r w:rsidRPr="0053423A">
              <w:rPr>
                <w:rFonts w:eastAsia="Calibri" w:cs="Times New Roman"/>
                <w:sz w:val="20"/>
                <w:szCs w:val="20"/>
                <w:lang w:val="af-ZA"/>
              </w:rPr>
              <w:t xml:space="preserve"> </w:t>
            </w:r>
            <w:r w:rsidRPr="0053423A">
              <w:rPr>
                <w:rFonts w:eastAsia="Calibri" w:cs="Times New Roman"/>
                <w:sz w:val="20"/>
                <w:szCs w:val="20"/>
              </w:rPr>
              <w:t>Դվին</w:t>
            </w:r>
            <w:r w:rsidRPr="0053423A">
              <w:rPr>
                <w:rFonts w:eastAsia="Calibri" w:cs="Times New Roman"/>
                <w:sz w:val="20"/>
                <w:szCs w:val="20"/>
                <w:lang w:val="hy-AM"/>
              </w:rPr>
              <w:t>» պատմամշակութային արգելոցներ</w:t>
            </w:r>
            <w:r w:rsidRPr="0053423A">
              <w:rPr>
                <w:rFonts w:eastAsia="Calibri" w:cs="Times New Roman"/>
                <w:sz w:val="20"/>
                <w:szCs w:val="20"/>
              </w:rPr>
              <w:t>ի</w:t>
            </w:r>
            <w:r w:rsidRPr="0053423A">
              <w:rPr>
                <w:rFonts w:eastAsia="Calibri" w:cs="Times New Roman"/>
                <w:sz w:val="20"/>
                <w:szCs w:val="20"/>
                <w:lang w:val="af-ZA"/>
              </w:rPr>
              <w:t xml:space="preserve"> </w:t>
            </w:r>
            <w:r w:rsidRPr="0053423A">
              <w:rPr>
                <w:rFonts w:eastAsia="Calibri" w:cs="GHEA Grapalat"/>
                <w:sz w:val="20"/>
                <w:szCs w:val="20"/>
                <w:lang w:val="hy-AM"/>
              </w:rPr>
              <w:t>ստեղծումը</w:t>
            </w:r>
            <w:r w:rsidRPr="0053423A">
              <w:rPr>
                <w:rFonts w:eastAsia="Calibri" w:cs="GHEA Grapalat"/>
                <w:sz w:val="20"/>
                <w:szCs w:val="20"/>
                <w:lang w:val="af-ZA"/>
              </w:rPr>
              <w:t xml:space="preserve"> </w:t>
            </w:r>
            <w:r w:rsidRPr="0053423A">
              <w:rPr>
                <w:rFonts w:eastAsia="Calibri" w:cs="GHEA Grapalat"/>
                <w:sz w:val="20"/>
                <w:szCs w:val="20"/>
                <w:lang w:val="hy-AM"/>
              </w:rPr>
              <w:t>պայմանավորված</w:t>
            </w:r>
            <w:r w:rsidRPr="0053423A">
              <w:rPr>
                <w:rFonts w:eastAsia="Calibri" w:cs="GHEA Grapalat"/>
                <w:sz w:val="20"/>
                <w:szCs w:val="20"/>
                <w:lang w:val="af-ZA"/>
              </w:rPr>
              <w:t xml:space="preserve"> </w:t>
            </w:r>
            <w:r w:rsidRPr="0053423A">
              <w:rPr>
                <w:rFonts w:eastAsia="Calibri" w:cs="GHEA Grapalat"/>
                <w:sz w:val="20"/>
                <w:szCs w:val="20"/>
                <w:lang w:val="hy-AM"/>
              </w:rPr>
              <w:t>է</w:t>
            </w:r>
            <w:r w:rsidRPr="0053423A">
              <w:rPr>
                <w:rFonts w:eastAsia="Calibri" w:cs="GHEA Grapalat"/>
                <w:sz w:val="20"/>
                <w:szCs w:val="20"/>
                <w:lang w:val="af-ZA"/>
              </w:rPr>
              <w:t xml:space="preserve"> </w:t>
            </w:r>
            <w:r w:rsidRPr="0053423A">
              <w:rPr>
                <w:rFonts w:eastAsia="Calibri" w:cs="GHEA Grapalat"/>
                <w:sz w:val="20"/>
                <w:szCs w:val="20"/>
                <w:lang w:val="hy-AM"/>
              </w:rPr>
              <w:t>այն</w:t>
            </w:r>
            <w:r w:rsidRPr="0053423A">
              <w:rPr>
                <w:rFonts w:eastAsia="Calibri" w:cs="GHEA Grapalat"/>
                <w:sz w:val="20"/>
                <w:szCs w:val="20"/>
                <w:lang w:val="af-ZA"/>
              </w:rPr>
              <w:t xml:space="preserve"> </w:t>
            </w:r>
            <w:r w:rsidRPr="0053423A">
              <w:rPr>
                <w:rFonts w:eastAsia="Calibri" w:cs="GHEA Grapalat"/>
                <w:sz w:val="20"/>
                <w:szCs w:val="20"/>
                <w:lang w:val="hy-AM"/>
              </w:rPr>
              <w:t>հանգամանքով</w:t>
            </w:r>
            <w:r w:rsidRPr="0053423A">
              <w:rPr>
                <w:rFonts w:eastAsia="Calibri" w:cs="GHEA Grapalat"/>
                <w:sz w:val="20"/>
                <w:szCs w:val="20"/>
                <w:lang w:val="af-ZA"/>
              </w:rPr>
              <w:t xml:space="preserve">, </w:t>
            </w:r>
            <w:r w:rsidRPr="0053423A">
              <w:rPr>
                <w:rFonts w:eastAsia="Calibri" w:cs="GHEA Grapalat"/>
                <w:sz w:val="20"/>
                <w:szCs w:val="20"/>
                <w:lang w:val="hy-AM"/>
              </w:rPr>
              <w:t>որ</w:t>
            </w:r>
            <w:r w:rsidRPr="0053423A">
              <w:rPr>
                <w:rFonts w:eastAsia="Calibri" w:cs="GHEA Grapalat"/>
                <w:sz w:val="20"/>
                <w:szCs w:val="20"/>
                <w:lang w:val="af-ZA"/>
              </w:rPr>
              <w:t xml:space="preserve"> </w:t>
            </w:r>
            <w:r w:rsidRPr="0053423A">
              <w:rPr>
                <w:rFonts w:eastAsia="Calibri" w:cs="Times New Roman"/>
                <w:sz w:val="20"/>
                <w:szCs w:val="20"/>
                <w:lang w:val="hy-AM"/>
              </w:rPr>
              <w:t>«</w:t>
            </w:r>
            <w:r w:rsidRPr="0053423A">
              <w:rPr>
                <w:rFonts w:eastAsia="Calibri" w:cs="Times New Roman"/>
                <w:sz w:val="20"/>
                <w:szCs w:val="20"/>
              </w:rPr>
              <w:t>Մայրաքաղաք</w:t>
            </w:r>
            <w:r w:rsidRPr="0053423A">
              <w:rPr>
                <w:rFonts w:eastAsia="Calibri" w:cs="Times New Roman"/>
                <w:sz w:val="20"/>
                <w:szCs w:val="20"/>
                <w:lang w:val="af-ZA"/>
              </w:rPr>
              <w:t xml:space="preserve"> </w:t>
            </w:r>
            <w:r w:rsidRPr="0053423A">
              <w:rPr>
                <w:rFonts w:eastAsia="Calibri" w:cs="Times New Roman"/>
                <w:sz w:val="20"/>
                <w:szCs w:val="20"/>
              </w:rPr>
              <w:t>Արտաշատ</w:t>
            </w:r>
            <w:r w:rsidRPr="0053423A">
              <w:rPr>
                <w:rFonts w:eastAsia="Calibri" w:cs="Times New Roman"/>
                <w:sz w:val="20"/>
                <w:szCs w:val="20"/>
                <w:lang w:val="hy-AM"/>
              </w:rPr>
              <w:t>», «</w:t>
            </w:r>
            <w:r w:rsidRPr="0053423A">
              <w:rPr>
                <w:rFonts w:eastAsia="Calibri" w:cs="Times New Roman"/>
                <w:sz w:val="20"/>
                <w:szCs w:val="20"/>
              </w:rPr>
              <w:t>Մայրաքաղաք</w:t>
            </w:r>
            <w:r w:rsidRPr="0053423A">
              <w:rPr>
                <w:rFonts w:eastAsia="Calibri" w:cs="Times New Roman"/>
                <w:sz w:val="20"/>
                <w:szCs w:val="20"/>
                <w:lang w:val="af-ZA"/>
              </w:rPr>
              <w:t xml:space="preserve"> </w:t>
            </w:r>
            <w:r w:rsidRPr="0053423A">
              <w:rPr>
                <w:rFonts w:eastAsia="Calibri" w:cs="Times New Roman"/>
                <w:sz w:val="20"/>
                <w:szCs w:val="20"/>
              </w:rPr>
              <w:t>Դվին</w:t>
            </w:r>
            <w:r w:rsidRPr="0053423A">
              <w:rPr>
                <w:rFonts w:eastAsia="Calibri" w:cs="Times New Roman"/>
                <w:sz w:val="20"/>
                <w:szCs w:val="20"/>
                <w:lang w:val="hy-AM"/>
              </w:rPr>
              <w:t xml:space="preserve">» </w:t>
            </w:r>
            <w:r w:rsidRPr="0053423A">
              <w:rPr>
                <w:rFonts w:eastAsia="Calibri" w:cs="GHEA Grapalat"/>
                <w:sz w:val="20"/>
                <w:szCs w:val="20"/>
                <w:lang w:val="hy-AM"/>
              </w:rPr>
              <w:t>հուշարձան</w:t>
            </w:r>
            <w:r w:rsidRPr="0053423A">
              <w:rPr>
                <w:rFonts w:eastAsia="Calibri" w:cs="GHEA Grapalat"/>
                <w:sz w:val="20"/>
                <w:szCs w:val="20"/>
              </w:rPr>
              <w:t>եր</w:t>
            </w:r>
            <w:r w:rsidRPr="0053423A">
              <w:rPr>
                <w:rFonts w:eastAsia="Calibri" w:cs="GHEA Grapalat"/>
                <w:sz w:val="20"/>
                <w:szCs w:val="20"/>
                <w:lang w:val="hy-AM"/>
              </w:rPr>
              <w:t>ն</w:t>
            </w:r>
            <w:r w:rsidRPr="0053423A">
              <w:rPr>
                <w:rFonts w:eastAsia="Calibri" w:cs="GHEA Grapalat"/>
                <w:sz w:val="20"/>
                <w:szCs w:val="20"/>
                <w:lang w:val="af-ZA"/>
              </w:rPr>
              <w:t xml:space="preserve"> </w:t>
            </w:r>
            <w:r w:rsidRPr="0053423A">
              <w:rPr>
                <w:rFonts w:eastAsia="Calibri" w:cs="GHEA Grapalat"/>
                <w:sz w:val="20"/>
                <w:szCs w:val="20"/>
                <w:lang w:val="hy-AM"/>
              </w:rPr>
              <w:t>ուն</w:t>
            </w:r>
            <w:r w:rsidRPr="0053423A">
              <w:rPr>
                <w:rFonts w:eastAsia="Calibri" w:cs="GHEA Grapalat"/>
                <w:sz w:val="20"/>
                <w:szCs w:val="20"/>
              </w:rPr>
              <w:t>են</w:t>
            </w:r>
            <w:r w:rsidRPr="0053423A">
              <w:rPr>
                <w:rFonts w:eastAsia="Calibri" w:cs="GHEA Grapalat"/>
                <w:sz w:val="20"/>
                <w:szCs w:val="20"/>
                <w:lang w:val="af-ZA"/>
              </w:rPr>
              <w:t xml:space="preserve"> </w:t>
            </w:r>
            <w:r w:rsidRPr="0053423A">
              <w:rPr>
                <w:rFonts w:eastAsia="Calibri" w:cs="GHEA Grapalat"/>
                <w:sz w:val="20"/>
                <w:szCs w:val="20"/>
                <w:lang w:val="hy-AM"/>
              </w:rPr>
              <w:t>հանրապետական</w:t>
            </w:r>
            <w:r w:rsidRPr="0053423A">
              <w:rPr>
                <w:rFonts w:eastAsia="Calibri" w:cs="GHEA Grapalat"/>
                <w:sz w:val="20"/>
                <w:szCs w:val="20"/>
                <w:lang w:val="af-ZA"/>
              </w:rPr>
              <w:t xml:space="preserve"> </w:t>
            </w:r>
            <w:r w:rsidRPr="0053423A">
              <w:rPr>
                <w:rFonts w:eastAsia="Calibri" w:cs="GHEA Grapalat"/>
                <w:sz w:val="20"/>
                <w:szCs w:val="20"/>
                <w:lang w:val="hy-AM"/>
              </w:rPr>
              <w:t>նշանակություն</w:t>
            </w:r>
            <w:r w:rsidRPr="0053423A">
              <w:rPr>
                <w:rFonts w:eastAsia="Calibri" w:cs="GHEA Grapalat"/>
                <w:sz w:val="20"/>
                <w:szCs w:val="20"/>
                <w:lang w:val="af-ZA"/>
              </w:rPr>
              <w:t xml:space="preserve"> </w:t>
            </w:r>
            <w:r w:rsidRPr="0053423A">
              <w:rPr>
                <w:rFonts w:eastAsia="Calibri" w:cs="GHEA Grapalat"/>
                <w:sz w:val="20"/>
                <w:szCs w:val="20"/>
                <w:lang w:val="hy-AM"/>
              </w:rPr>
              <w:t>և</w:t>
            </w:r>
            <w:r w:rsidRPr="0053423A">
              <w:rPr>
                <w:rFonts w:eastAsia="Calibri" w:cs="GHEA Grapalat"/>
                <w:sz w:val="20"/>
                <w:szCs w:val="20"/>
                <w:lang w:val="af-ZA"/>
              </w:rPr>
              <w:t xml:space="preserve"> </w:t>
            </w:r>
            <w:r w:rsidRPr="0053423A">
              <w:rPr>
                <w:rFonts w:eastAsia="Calibri" w:cs="GHEA Grapalat"/>
                <w:sz w:val="20"/>
                <w:szCs w:val="20"/>
                <w:lang w:val="hy-AM"/>
              </w:rPr>
              <w:t>ընդգրկված</w:t>
            </w:r>
            <w:r w:rsidRPr="0053423A">
              <w:rPr>
                <w:rFonts w:eastAsia="Calibri" w:cs="GHEA Grapalat"/>
                <w:sz w:val="20"/>
                <w:szCs w:val="20"/>
                <w:lang w:val="af-ZA"/>
              </w:rPr>
              <w:t xml:space="preserve"> է </w:t>
            </w:r>
            <w:r w:rsidRPr="0053423A">
              <w:rPr>
                <w:rFonts w:eastAsia="Calibri" w:cs="GHEA Grapalat"/>
                <w:sz w:val="20"/>
                <w:szCs w:val="20"/>
                <w:lang w:val="hy-AM"/>
              </w:rPr>
              <w:t>պետական</w:t>
            </w:r>
            <w:r w:rsidRPr="0053423A">
              <w:rPr>
                <w:rFonts w:eastAsia="Calibri" w:cs="GHEA Grapalat"/>
                <w:sz w:val="20"/>
                <w:szCs w:val="20"/>
                <w:lang w:val="af-ZA"/>
              </w:rPr>
              <w:t xml:space="preserve"> </w:t>
            </w:r>
            <w:r w:rsidRPr="0053423A">
              <w:rPr>
                <w:rFonts w:eastAsia="Calibri" w:cs="GHEA Grapalat"/>
                <w:sz w:val="20"/>
                <w:szCs w:val="20"/>
                <w:lang w:val="hy-AM"/>
              </w:rPr>
              <w:t>ցուցակում</w:t>
            </w:r>
            <w:r w:rsidRPr="0053423A">
              <w:rPr>
                <w:rFonts w:eastAsia="Calibri" w:cs="GHEA Grapalat"/>
                <w:sz w:val="20"/>
                <w:szCs w:val="20"/>
                <w:lang w:val="fr-FR"/>
              </w:rPr>
              <w:t>:</w:t>
            </w:r>
            <w:r w:rsidRPr="0053423A">
              <w:rPr>
                <w:rFonts w:eastAsia="Calibri" w:cs="Times New Roman"/>
                <w:sz w:val="20"/>
                <w:szCs w:val="20"/>
                <w:lang w:val="hy-AM"/>
              </w:rPr>
              <w:t xml:space="preserve"> </w:t>
            </w:r>
            <w:r w:rsidRPr="0053423A">
              <w:rPr>
                <w:rFonts w:eastAsia="Calibri" w:cs="GHEA Grapalat"/>
                <w:sz w:val="20"/>
                <w:szCs w:val="20"/>
                <w:lang w:val="fr-FR"/>
              </w:rPr>
              <w:t>Պատմամշակութային</w:t>
            </w:r>
            <w:r w:rsidRPr="0053423A">
              <w:rPr>
                <w:rFonts w:eastAsia="Calibri" w:cs="GHEA Grapalat"/>
                <w:sz w:val="20"/>
                <w:szCs w:val="20"/>
                <w:lang w:val="hy-AM"/>
              </w:rPr>
              <w:t xml:space="preserve"> ա</w:t>
            </w:r>
            <w:r w:rsidRPr="0053423A">
              <w:rPr>
                <w:rFonts w:eastAsia="Calibri" w:cs="GHEA Grapalat"/>
                <w:sz w:val="20"/>
                <w:szCs w:val="20"/>
                <w:lang w:val="af-ZA"/>
              </w:rPr>
              <w:t xml:space="preserve">րգելոցների ստեղծումը բխում է </w:t>
            </w:r>
            <w:r w:rsidRPr="0053423A">
              <w:rPr>
                <w:rFonts w:eastAsia="Calibri" w:cs="GHEA Grapalat"/>
                <w:sz w:val="20"/>
                <w:szCs w:val="20"/>
              </w:rPr>
              <w:t>նաև</w:t>
            </w:r>
            <w:r w:rsidRPr="0053423A">
              <w:rPr>
                <w:rFonts w:eastAsia="Calibri" w:cs="GHEA Grapalat"/>
                <w:sz w:val="20"/>
                <w:szCs w:val="20"/>
                <w:lang w:val="af-ZA"/>
              </w:rPr>
              <w:t xml:space="preserve"> </w:t>
            </w:r>
            <w:r w:rsidRPr="0053423A">
              <w:rPr>
                <w:rFonts w:eastAsia="Calibri" w:cs="GHEA Grapalat"/>
                <w:sz w:val="20"/>
                <w:szCs w:val="20"/>
                <w:lang w:val="tr-TR"/>
              </w:rPr>
              <w:t>«</w:t>
            </w:r>
            <w:r w:rsidRPr="0053423A">
              <w:rPr>
                <w:rFonts w:eastAsia="Calibri" w:cs="GHEA Grapalat"/>
                <w:sz w:val="20"/>
                <w:szCs w:val="20"/>
                <w:shd w:val="clear" w:color="auto" w:fill="FFFFFF"/>
              </w:rPr>
              <w:t>Պատմամշակութային</w:t>
            </w:r>
            <w:r w:rsidRPr="0053423A">
              <w:rPr>
                <w:rFonts w:eastAsia="Calibri" w:cs="GHEA Grapalat"/>
                <w:sz w:val="20"/>
                <w:szCs w:val="20"/>
                <w:shd w:val="clear" w:color="auto" w:fill="FFFFFF"/>
                <w:lang w:val="af-ZA"/>
              </w:rPr>
              <w:t xml:space="preserve"> </w:t>
            </w:r>
            <w:r w:rsidRPr="0053423A">
              <w:rPr>
                <w:rFonts w:eastAsia="Calibri" w:cs="GHEA Grapalat"/>
                <w:sz w:val="20"/>
                <w:szCs w:val="20"/>
                <w:shd w:val="clear" w:color="auto" w:fill="FFFFFF"/>
              </w:rPr>
              <w:t>հուշարձանների</w:t>
            </w:r>
            <w:r w:rsidRPr="0053423A">
              <w:rPr>
                <w:rFonts w:eastAsia="Calibri" w:cs="GHEA Grapalat"/>
                <w:sz w:val="20"/>
                <w:szCs w:val="20"/>
                <w:shd w:val="clear" w:color="auto" w:fill="FFFFFF"/>
                <w:lang w:val="af-ZA"/>
              </w:rPr>
              <w:t xml:space="preserve"> </w:t>
            </w:r>
            <w:r w:rsidRPr="0053423A">
              <w:rPr>
                <w:rFonts w:eastAsia="Calibri" w:cs="GHEA Grapalat"/>
                <w:sz w:val="20"/>
                <w:szCs w:val="20"/>
                <w:shd w:val="clear" w:color="auto" w:fill="FFFFFF"/>
              </w:rPr>
              <w:t>պահպանության</w:t>
            </w:r>
            <w:r w:rsidRPr="0053423A">
              <w:rPr>
                <w:rFonts w:eastAsia="Calibri" w:cs="GHEA Grapalat"/>
                <w:sz w:val="20"/>
                <w:szCs w:val="20"/>
                <w:shd w:val="clear" w:color="auto" w:fill="FFFFFF"/>
                <w:lang w:val="fr-FR"/>
              </w:rPr>
              <w:t xml:space="preserve">, </w:t>
            </w:r>
            <w:r w:rsidRPr="0053423A">
              <w:rPr>
                <w:rFonts w:eastAsia="Calibri" w:cs="GHEA Grapalat"/>
                <w:sz w:val="20"/>
                <w:szCs w:val="20"/>
                <w:shd w:val="clear" w:color="auto" w:fill="FFFFFF"/>
              </w:rPr>
              <w:t>օգտագործման</w:t>
            </w:r>
            <w:r w:rsidRPr="0053423A">
              <w:rPr>
                <w:rFonts w:eastAsia="Calibri" w:cs="GHEA Grapalat"/>
                <w:sz w:val="20"/>
                <w:szCs w:val="20"/>
                <w:shd w:val="clear" w:color="auto" w:fill="FFFFFF"/>
                <w:lang w:val="af-ZA"/>
              </w:rPr>
              <w:t xml:space="preserve"> </w:t>
            </w:r>
            <w:r w:rsidRPr="0053423A">
              <w:rPr>
                <w:rFonts w:eastAsia="Calibri" w:cs="GHEA Grapalat"/>
                <w:sz w:val="20"/>
                <w:szCs w:val="20"/>
                <w:shd w:val="clear" w:color="auto" w:fill="FFFFFF"/>
              </w:rPr>
              <w:t>և</w:t>
            </w:r>
            <w:r w:rsidRPr="0053423A">
              <w:rPr>
                <w:rFonts w:eastAsia="Calibri" w:cs="GHEA Grapalat"/>
                <w:sz w:val="20"/>
                <w:szCs w:val="20"/>
                <w:shd w:val="clear" w:color="auto" w:fill="FFFFFF"/>
                <w:lang w:val="af-ZA"/>
              </w:rPr>
              <w:t xml:space="preserve"> </w:t>
            </w:r>
            <w:r w:rsidRPr="0053423A">
              <w:rPr>
                <w:rFonts w:eastAsia="Calibri" w:cs="GHEA Grapalat"/>
                <w:sz w:val="20"/>
                <w:szCs w:val="20"/>
                <w:shd w:val="clear" w:color="auto" w:fill="FFFFFF"/>
              </w:rPr>
              <w:t>հանրահռչակման</w:t>
            </w:r>
            <w:r w:rsidRPr="0053423A">
              <w:rPr>
                <w:rFonts w:eastAsia="Calibri" w:cs="GHEA Grapalat"/>
                <w:sz w:val="20"/>
                <w:szCs w:val="20"/>
                <w:shd w:val="clear" w:color="auto" w:fill="FFFFFF"/>
                <w:lang w:val="fr-FR"/>
              </w:rPr>
              <w:t xml:space="preserve"> 2016-2020 </w:t>
            </w:r>
            <w:r w:rsidRPr="0053423A">
              <w:rPr>
                <w:rFonts w:eastAsia="Calibri" w:cs="GHEA Grapalat"/>
                <w:sz w:val="20"/>
                <w:szCs w:val="20"/>
                <w:shd w:val="clear" w:color="auto" w:fill="FFFFFF"/>
              </w:rPr>
              <w:t>թվականների</w:t>
            </w:r>
            <w:r w:rsidRPr="0053423A">
              <w:rPr>
                <w:rFonts w:eastAsia="Calibri" w:cs="GHEA Grapalat"/>
                <w:sz w:val="20"/>
                <w:szCs w:val="20"/>
                <w:shd w:val="clear" w:color="auto" w:fill="FFFFFF"/>
                <w:lang w:val="af-ZA"/>
              </w:rPr>
              <w:t xml:space="preserve"> </w:t>
            </w:r>
            <w:r w:rsidRPr="0053423A">
              <w:rPr>
                <w:rFonts w:eastAsia="Calibri" w:cs="GHEA Grapalat"/>
                <w:sz w:val="20"/>
                <w:szCs w:val="20"/>
                <w:shd w:val="clear" w:color="auto" w:fill="FFFFFF"/>
                <w:lang w:val="fr-FR"/>
              </w:rPr>
              <w:t xml:space="preserve">ռազմավարական </w:t>
            </w:r>
            <w:r w:rsidRPr="0053423A">
              <w:rPr>
                <w:rFonts w:eastAsia="Calibri" w:cs="GHEA Grapalat"/>
                <w:sz w:val="20"/>
                <w:szCs w:val="20"/>
              </w:rPr>
              <w:t>ծրագրի</w:t>
            </w:r>
            <w:r w:rsidRPr="0053423A">
              <w:rPr>
                <w:rFonts w:eastAsia="Calibri" w:cs="GHEA Grapalat"/>
                <w:sz w:val="20"/>
                <w:szCs w:val="20"/>
                <w:lang w:val="hy-AM"/>
              </w:rPr>
              <w:t>ց»:</w:t>
            </w:r>
            <w:r w:rsidRPr="0053423A">
              <w:rPr>
                <w:rFonts w:eastAsia="Calibri" w:cs="GHEA Grapalat"/>
                <w:sz w:val="20"/>
                <w:szCs w:val="20"/>
                <w:lang w:val="af-ZA"/>
              </w:rPr>
              <w:t xml:space="preserve"> </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hy-AM"/>
              </w:rPr>
              <w:t>Պատմամշակութային</w:t>
            </w:r>
            <w:r w:rsidRPr="0053423A">
              <w:rPr>
                <w:rFonts w:eastAsia="Calibri" w:cs="Times New Roman"/>
                <w:sz w:val="20"/>
                <w:szCs w:val="20"/>
                <w:lang w:val="af-ZA"/>
              </w:rPr>
              <w:t xml:space="preserve"> </w:t>
            </w:r>
            <w:r w:rsidRPr="0053423A">
              <w:rPr>
                <w:rFonts w:eastAsia="Calibri" w:cs="Times New Roman"/>
                <w:sz w:val="20"/>
                <w:szCs w:val="20"/>
                <w:lang w:val="hy-AM"/>
              </w:rPr>
              <w:t>արգելոցների</w:t>
            </w:r>
            <w:r w:rsidRPr="0053423A">
              <w:rPr>
                <w:rFonts w:eastAsia="Calibri" w:cs="Times New Roman"/>
                <w:sz w:val="20"/>
                <w:szCs w:val="20"/>
                <w:lang w:val="af-ZA"/>
              </w:rPr>
              <w:t xml:space="preserve"> </w:t>
            </w:r>
            <w:r w:rsidRPr="0053423A">
              <w:rPr>
                <w:rFonts w:eastAsia="Calibri" w:cs="Times New Roman"/>
                <w:sz w:val="20"/>
                <w:szCs w:val="20"/>
                <w:lang w:val="hy-AM"/>
              </w:rPr>
              <w:t>ստեղծումը</w:t>
            </w:r>
            <w:r w:rsidRPr="0053423A">
              <w:rPr>
                <w:rFonts w:eastAsia="Calibri" w:cs="Times New Roman"/>
                <w:sz w:val="20"/>
                <w:szCs w:val="20"/>
                <w:lang w:val="af-ZA"/>
              </w:rPr>
              <w:t xml:space="preserve"> </w:t>
            </w:r>
            <w:r w:rsidRPr="0053423A">
              <w:rPr>
                <w:rFonts w:eastAsia="Calibri" w:cs="Times New Roman"/>
                <w:sz w:val="20"/>
                <w:szCs w:val="20"/>
                <w:lang w:val="hy-AM"/>
              </w:rPr>
              <w:t>չի</w:t>
            </w:r>
            <w:r w:rsidRPr="0053423A">
              <w:rPr>
                <w:rFonts w:eastAsia="Calibri" w:cs="Times New Roman"/>
                <w:sz w:val="20"/>
                <w:szCs w:val="20"/>
                <w:lang w:val="af-ZA"/>
              </w:rPr>
              <w:t xml:space="preserve"> </w:t>
            </w:r>
            <w:r w:rsidRPr="0053423A">
              <w:rPr>
                <w:rFonts w:eastAsia="Calibri" w:cs="Times New Roman"/>
                <w:sz w:val="20"/>
                <w:szCs w:val="20"/>
                <w:lang w:val="hy-AM"/>
              </w:rPr>
              <w:t>հանգեցնում</w:t>
            </w:r>
            <w:r w:rsidRPr="0053423A">
              <w:rPr>
                <w:rFonts w:eastAsia="Calibri" w:cs="Times New Roman"/>
                <w:sz w:val="20"/>
                <w:szCs w:val="20"/>
                <w:lang w:val="af-ZA"/>
              </w:rPr>
              <w:t xml:space="preserve"> </w:t>
            </w:r>
            <w:r w:rsidRPr="0053423A">
              <w:rPr>
                <w:rFonts w:eastAsia="Calibri" w:cs="Times New Roman"/>
                <w:sz w:val="20"/>
                <w:szCs w:val="20"/>
                <w:lang w:val="hy-AM"/>
              </w:rPr>
              <w:t>լրացուցիչ</w:t>
            </w:r>
            <w:r w:rsidRPr="0053423A">
              <w:rPr>
                <w:rFonts w:eastAsia="Calibri" w:cs="Times New Roman"/>
                <w:sz w:val="20"/>
                <w:szCs w:val="20"/>
                <w:lang w:val="af-ZA"/>
              </w:rPr>
              <w:t xml:space="preserve"> </w:t>
            </w:r>
            <w:r w:rsidRPr="0053423A">
              <w:rPr>
                <w:rFonts w:eastAsia="Calibri" w:cs="Times New Roman"/>
                <w:sz w:val="20"/>
                <w:szCs w:val="20"/>
                <w:lang w:val="hy-AM"/>
              </w:rPr>
              <w:t>ֆինանսական</w:t>
            </w:r>
            <w:r w:rsidRPr="0053423A">
              <w:rPr>
                <w:rFonts w:eastAsia="Calibri" w:cs="Times New Roman"/>
                <w:sz w:val="20"/>
                <w:szCs w:val="20"/>
                <w:lang w:val="af-ZA"/>
              </w:rPr>
              <w:t xml:space="preserve"> </w:t>
            </w:r>
            <w:r w:rsidRPr="0053423A">
              <w:rPr>
                <w:rFonts w:eastAsia="Calibri" w:cs="Times New Roman"/>
                <w:sz w:val="20"/>
                <w:szCs w:val="20"/>
                <w:lang w:val="hy-AM"/>
              </w:rPr>
              <w:t>պարտավորության</w:t>
            </w:r>
            <w:r w:rsidRPr="0053423A">
              <w:rPr>
                <w:rFonts w:eastAsia="Calibri" w:cs="Times New Roman"/>
                <w:sz w:val="20"/>
                <w:szCs w:val="20"/>
                <w:lang w:val="af-ZA"/>
              </w:rPr>
              <w:t xml:space="preserve">: </w:t>
            </w:r>
            <w:r w:rsidRPr="0053423A">
              <w:rPr>
                <w:rFonts w:eastAsia="Calibri" w:cs="Times New Roman"/>
                <w:sz w:val="20"/>
                <w:szCs w:val="20"/>
                <w:lang w:val="hy-AM"/>
              </w:rPr>
              <w:t>Դրանց</w:t>
            </w:r>
            <w:r w:rsidRPr="0053423A">
              <w:rPr>
                <w:rFonts w:eastAsia="Calibri" w:cs="Times New Roman"/>
                <w:sz w:val="20"/>
                <w:szCs w:val="20"/>
                <w:lang w:val="af-ZA"/>
              </w:rPr>
              <w:t xml:space="preserve"> </w:t>
            </w:r>
            <w:r w:rsidRPr="0053423A">
              <w:rPr>
                <w:rFonts w:eastAsia="Calibri" w:cs="Times New Roman"/>
                <w:sz w:val="20"/>
                <w:szCs w:val="20"/>
                <w:lang w:val="hy-AM"/>
              </w:rPr>
              <w:t>հետագա</w:t>
            </w:r>
            <w:r w:rsidRPr="0053423A">
              <w:rPr>
                <w:rFonts w:eastAsia="Calibri" w:cs="Times New Roman"/>
                <w:sz w:val="20"/>
                <w:szCs w:val="20"/>
                <w:lang w:val="af-ZA"/>
              </w:rPr>
              <w:t xml:space="preserve"> </w:t>
            </w:r>
            <w:r w:rsidRPr="0053423A">
              <w:rPr>
                <w:rFonts w:eastAsia="Calibri" w:cs="Times New Roman"/>
                <w:sz w:val="20"/>
                <w:szCs w:val="20"/>
                <w:lang w:val="hy-AM"/>
              </w:rPr>
              <w:t>պահպանությունն</w:t>
            </w:r>
            <w:r w:rsidRPr="0053423A">
              <w:rPr>
                <w:rFonts w:eastAsia="Calibri" w:cs="Times New Roman"/>
                <w:sz w:val="20"/>
                <w:szCs w:val="20"/>
                <w:lang w:val="af-ZA"/>
              </w:rPr>
              <w:t xml:space="preserve"> </w:t>
            </w:r>
            <w:r w:rsidRPr="0053423A">
              <w:rPr>
                <w:rFonts w:eastAsia="Calibri" w:cs="Times New Roman"/>
                <w:sz w:val="20"/>
                <w:szCs w:val="20"/>
                <w:lang w:val="hy-AM"/>
              </w:rPr>
              <w:t>ու</w:t>
            </w:r>
            <w:r w:rsidRPr="0053423A">
              <w:rPr>
                <w:rFonts w:eastAsia="Calibri" w:cs="Times New Roman"/>
                <w:sz w:val="20"/>
                <w:szCs w:val="20"/>
                <w:lang w:val="af-ZA"/>
              </w:rPr>
              <w:t xml:space="preserve"> </w:t>
            </w:r>
            <w:r w:rsidRPr="0053423A">
              <w:rPr>
                <w:rFonts w:eastAsia="Calibri" w:cs="Times New Roman"/>
                <w:sz w:val="20"/>
                <w:szCs w:val="20"/>
                <w:lang w:val="hy-AM"/>
              </w:rPr>
              <w:t>շահագործումն</w:t>
            </w:r>
            <w:r w:rsidRPr="0053423A">
              <w:rPr>
                <w:rFonts w:eastAsia="Calibri" w:cs="Times New Roman"/>
                <w:sz w:val="20"/>
                <w:szCs w:val="20"/>
                <w:lang w:val="af-ZA"/>
              </w:rPr>
              <w:t xml:space="preserve"> </w:t>
            </w:r>
            <w:r w:rsidRPr="0053423A">
              <w:rPr>
                <w:rFonts w:eastAsia="Calibri" w:cs="Times New Roman"/>
                <w:sz w:val="20"/>
                <w:szCs w:val="20"/>
                <w:lang w:val="hy-AM"/>
              </w:rPr>
              <w:t>իրականացվելու</w:t>
            </w:r>
            <w:r w:rsidRPr="0053423A">
              <w:rPr>
                <w:rFonts w:eastAsia="Calibri" w:cs="Times New Roman"/>
                <w:sz w:val="20"/>
                <w:szCs w:val="20"/>
                <w:lang w:val="af-ZA"/>
              </w:rPr>
              <w:t xml:space="preserve"> </w:t>
            </w:r>
            <w:r w:rsidRPr="0053423A">
              <w:rPr>
                <w:rFonts w:eastAsia="Calibri" w:cs="Times New Roman"/>
                <w:sz w:val="20"/>
                <w:szCs w:val="20"/>
                <w:lang w:val="hy-AM"/>
              </w:rPr>
              <w:t>է</w:t>
            </w:r>
            <w:r w:rsidRPr="0053423A">
              <w:rPr>
                <w:rFonts w:eastAsia="Calibri" w:cs="Times New Roman"/>
                <w:sz w:val="20"/>
                <w:szCs w:val="20"/>
                <w:lang w:val="af-ZA"/>
              </w:rPr>
              <w:t xml:space="preserve"> </w:t>
            </w:r>
            <w:r w:rsidRPr="0053423A">
              <w:rPr>
                <w:rFonts w:eastAsia="Calibri" w:cs="GHEA Grapalat"/>
                <w:spacing w:val="-8"/>
                <w:sz w:val="20"/>
                <w:szCs w:val="20"/>
                <w:shd w:val="clear" w:color="auto" w:fill="FFFFFF"/>
                <w:lang w:val="af-ZA"/>
              </w:rPr>
              <w:t xml:space="preserve">«Պատմամշակութային </w:t>
            </w:r>
            <w:r w:rsidRPr="0053423A">
              <w:rPr>
                <w:rFonts w:eastAsia="Calibri" w:cs="Times New Roman"/>
                <w:sz w:val="20"/>
                <w:szCs w:val="20"/>
                <w:lang w:val="fr-FR"/>
              </w:rPr>
              <w:t>արգելոց-</w:t>
            </w:r>
            <w:r w:rsidRPr="0053423A">
              <w:rPr>
                <w:rFonts w:eastAsia="Calibri" w:cs="GHEA Grapalat"/>
                <w:spacing w:val="-8"/>
                <w:sz w:val="20"/>
                <w:szCs w:val="20"/>
                <w:shd w:val="clear" w:color="auto" w:fill="FFFFFF"/>
                <w:lang w:val="af-ZA"/>
              </w:rPr>
              <w:t xml:space="preserve">թանգարանների և պատմական միջավայրի պահպանության ծառայություն» ՊՈԱԿ-ին հատկացված միջոցների հաշվին: </w:t>
            </w:r>
            <w:r w:rsidRPr="0053423A">
              <w:rPr>
                <w:rFonts w:eastAsia="Calibri" w:cs="Times New Roman"/>
                <w:sz w:val="20"/>
                <w:szCs w:val="20"/>
                <w:shd w:val="clear" w:color="auto" w:fill="FFFFFF"/>
              </w:rPr>
              <w:t>Արգելոցների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ստեղծումը</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ամբողջությամբ</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համապատասխանում</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է</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Պատմության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և</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մշակույթի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անշարժ</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հուշարձանների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ու</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պատմական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միջավայրի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պահպանության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և</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օգտագործման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մասին</w:t>
            </w:r>
            <w:r w:rsidRPr="0053423A">
              <w:rPr>
                <w:rFonts w:eastAsia="Calibri" w:cs="Times New Roman"/>
                <w:sz w:val="20"/>
                <w:szCs w:val="20"/>
                <w:shd w:val="clear" w:color="auto" w:fill="FFFFFF"/>
                <w:lang w:val="af-ZA"/>
              </w:rPr>
              <w:t xml:space="preserve">» </w:t>
            </w:r>
            <w:r w:rsidRPr="0053423A">
              <w:rPr>
                <w:rFonts w:eastAsia="Calibri" w:cs="Times New Roman"/>
                <w:sz w:val="20"/>
                <w:szCs w:val="20"/>
                <w:lang w:val="hy-AM"/>
              </w:rPr>
              <w:t>Հայաստանի Հանրապետության</w:t>
            </w:r>
            <w:r w:rsidRPr="0053423A">
              <w:rPr>
                <w:rFonts w:eastAsia="Calibri" w:cs="Times New Roman"/>
                <w:sz w:val="20"/>
                <w:szCs w:val="20"/>
                <w:lang w:val="af-ZA"/>
              </w:rPr>
              <w:t xml:space="preserve"> </w:t>
            </w:r>
            <w:r w:rsidRPr="0053423A">
              <w:rPr>
                <w:rFonts w:eastAsia="Calibri" w:cs="Times New Roman"/>
                <w:sz w:val="20"/>
                <w:szCs w:val="20"/>
                <w:shd w:val="clear" w:color="auto" w:fill="FFFFFF"/>
              </w:rPr>
              <w:t>օրենքի</w:t>
            </w:r>
            <w:r w:rsidRPr="0053423A">
              <w:rPr>
                <w:rFonts w:eastAsia="Calibri" w:cs="Times New Roman"/>
                <w:sz w:val="20"/>
                <w:szCs w:val="20"/>
                <w:shd w:val="clear" w:color="auto" w:fill="FFFFFF"/>
                <w:lang w:val="af-ZA"/>
              </w:rPr>
              <w:t xml:space="preserve"> 8-</w:t>
            </w:r>
            <w:r w:rsidRPr="0053423A">
              <w:rPr>
                <w:rFonts w:eastAsia="Calibri" w:cs="Times New Roman"/>
                <w:sz w:val="20"/>
                <w:szCs w:val="20"/>
                <w:shd w:val="clear" w:color="auto" w:fill="FFFFFF"/>
              </w:rPr>
              <w:t>րդ</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հոդվածի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ե</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կետիև</w:t>
            </w:r>
            <w:r w:rsidRPr="0053423A">
              <w:rPr>
                <w:rFonts w:eastAsia="Calibri" w:cs="Times New Roman"/>
                <w:sz w:val="20"/>
                <w:szCs w:val="20"/>
                <w:shd w:val="clear" w:color="auto" w:fill="FFFFFF"/>
                <w:lang w:val="af-ZA"/>
              </w:rPr>
              <w:t xml:space="preserve"> 17-</w:t>
            </w:r>
            <w:r w:rsidRPr="0053423A">
              <w:rPr>
                <w:rFonts w:eastAsia="Calibri" w:cs="Times New Roman"/>
                <w:sz w:val="20"/>
                <w:szCs w:val="20"/>
                <w:shd w:val="clear" w:color="auto" w:fill="FFFFFF"/>
              </w:rPr>
              <w:t>րդ</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հոդվածի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պահանջներին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քանի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որ</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նրանք</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ստեղծվում</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են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պատմական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միջավայրի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և</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հուշարձանների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շուրջը</w:t>
            </w:r>
            <w:r w:rsidRPr="0053423A">
              <w:rPr>
                <w:rFonts w:eastAsia="Calibri" w:cs="Times New Roman"/>
                <w:sz w:val="20"/>
                <w:szCs w:val="20"/>
                <w:shd w:val="clear" w:color="auto" w:fill="FFFFFF"/>
                <w:lang w:val="af-ZA"/>
              </w:rPr>
              <w:t xml:space="preserve">: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contextualSpacing/>
              <w:jc w:val="both"/>
              <w:rPr>
                <w:rFonts w:eastAsia="Calibri" w:cs="Times New Roman"/>
                <w:sz w:val="20"/>
                <w:szCs w:val="20"/>
                <w:shd w:val="clear" w:color="auto" w:fill="FFFFFF"/>
                <w:lang w:val="af-ZA"/>
              </w:rPr>
            </w:pPr>
          </w:p>
          <w:p w:rsidR="00A67B6B" w:rsidRPr="0053423A" w:rsidRDefault="00A67B6B" w:rsidP="001F6D5D">
            <w:pPr>
              <w:numPr>
                <w:ilvl w:val="1"/>
                <w:numId w:val="222"/>
              </w:numPr>
              <w:tabs>
                <w:tab w:val="left" w:pos="508"/>
              </w:tabs>
              <w:spacing w:after="0" w:line="276" w:lineRule="auto"/>
              <w:contextualSpacing/>
              <w:jc w:val="both"/>
              <w:rPr>
                <w:rFonts w:eastAsia="Calibri" w:cs="Times New Roman"/>
                <w:b/>
                <w:sz w:val="20"/>
                <w:szCs w:val="20"/>
                <w:lang w:val="af-ZA"/>
              </w:rPr>
            </w:pPr>
            <w:r w:rsidRPr="0053423A">
              <w:rPr>
                <w:rFonts w:eastAsia="Calibri" w:cs="Sylfaen"/>
                <w:b/>
                <w:sz w:val="20"/>
                <w:szCs w:val="20"/>
                <w:lang w:val="hy-AM"/>
              </w:rPr>
              <w:t>Կարգավորման</w:t>
            </w:r>
            <w:r w:rsidRPr="0053423A">
              <w:rPr>
                <w:rFonts w:eastAsia="Calibri" w:cs="Sylfaen"/>
                <w:b/>
                <w:sz w:val="20"/>
                <w:szCs w:val="20"/>
                <w:lang w:val="af-ZA"/>
              </w:rPr>
              <w:t xml:space="preserve"> </w:t>
            </w:r>
            <w:r w:rsidRPr="0053423A">
              <w:rPr>
                <w:rFonts w:eastAsia="Calibri" w:cs="Times New Roman"/>
                <w:b/>
                <w:sz w:val="20"/>
                <w:szCs w:val="20"/>
                <w:lang w:val="hy-AM"/>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lang w:val="hy-AM"/>
              </w:rPr>
              <w:t>ներկա</w:t>
            </w:r>
            <w:r w:rsidRPr="0053423A">
              <w:rPr>
                <w:rFonts w:eastAsia="Calibri" w:cs="Times New Roman"/>
                <w:b/>
                <w:sz w:val="20"/>
                <w:szCs w:val="20"/>
                <w:lang w:val="af-ZA"/>
              </w:rPr>
              <w:t xml:space="preserve"> </w:t>
            </w:r>
            <w:r w:rsidRPr="0053423A">
              <w:rPr>
                <w:rFonts w:eastAsia="Calibri" w:cs="Times New Roman"/>
                <w:b/>
                <w:sz w:val="20"/>
                <w:szCs w:val="20"/>
                <w:lang w:val="hy-AM"/>
              </w:rPr>
              <w:t>վիճակը</w:t>
            </w:r>
            <w:r w:rsidRPr="0053423A">
              <w:rPr>
                <w:rFonts w:eastAsia="Calibri" w:cs="Times New Roman"/>
                <w:b/>
                <w:sz w:val="20"/>
                <w:szCs w:val="20"/>
                <w:lang w:val="af-ZA"/>
              </w:rPr>
              <w:t xml:space="preserve"> </w:t>
            </w:r>
            <w:r w:rsidRPr="0053423A">
              <w:rPr>
                <w:rFonts w:eastAsia="Calibri" w:cs="Times New Roman"/>
                <w:b/>
                <w:sz w:val="20"/>
                <w:szCs w:val="20"/>
                <w:lang w:val="hy-AM"/>
              </w:rPr>
              <w:t>և</w:t>
            </w:r>
            <w:r w:rsidRPr="0053423A">
              <w:rPr>
                <w:rFonts w:eastAsia="Calibri" w:cs="Times New Roman"/>
                <w:b/>
                <w:sz w:val="20"/>
                <w:szCs w:val="20"/>
                <w:lang w:val="af-ZA"/>
              </w:rPr>
              <w:t xml:space="preserve"> </w:t>
            </w:r>
            <w:r w:rsidRPr="0053423A">
              <w:rPr>
                <w:rFonts w:eastAsia="Calibri" w:cs="Times New Roman"/>
                <w:b/>
                <w:sz w:val="20"/>
                <w:szCs w:val="20"/>
                <w:lang w:val="hy-AM"/>
              </w:rPr>
              <w:t>առկա</w:t>
            </w:r>
            <w:r w:rsidRPr="0053423A">
              <w:rPr>
                <w:rFonts w:eastAsia="Calibri" w:cs="Times New Roman"/>
                <w:b/>
                <w:sz w:val="20"/>
                <w:szCs w:val="20"/>
                <w:lang w:val="af-ZA"/>
              </w:rPr>
              <w:t xml:space="preserve"> </w:t>
            </w:r>
            <w:r w:rsidRPr="0053423A">
              <w:rPr>
                <w:rFonts w:eastAsia="Calibri" w:cs="Times New Roman"/>
                <w:b/>
                <w:sz w:val="20"/>
                <w:szCs w:val="20"/>
                <w:lang w:val="hy-AM"/>
              </w:rPr>
              <w:t>խնդիրները</w:t>
            </w:r>
          </w:p>
          <w:p w:rsidR="00A67B6B" w:rsidRPr="0053423A" w:rsidRDefault="00A67B6B" w:rsidP="00A67858">
            <w:pPr>
              <w:tabs>
                <w:tab w:val="left" w:pos="508"/>
              </w:tabs>
              <w:spacing w:after="0" w:line="276" w:lineRule="auto"/>
              <w:contextualSpacing/>
              <w:jc w:val="both"/>
              <w:rPr>
                <w:rFonts w:eastAsia="Calibri" w:cs="Sylfaen"/>
                <w:sz w:val="20"/>
                <w:szCs w:val="20"/>
                <w:lang w:val="fr-FR"/>
              </w:rPr>
            </w:pPr>
            <w:r w:rsidRPr="0053423A">
              <w:rPr>
                <w:rFonts w:eastAsia="Calibri" w:cs="GHEA Grapalat"/>
                <w:bCs/>
                <w:sz w:val="20"/>
                <w:szCs w:val="20"/>
                <w:lang w:val="fr-FR"/>
              </w:rPr>
              <w:t xml:space="preserve">Հուշարձանները պետական սեփականություն </w:t>
            </w:r>
            <w:r w:rsidRPr="0053423A">
              <w:rPr>
                <w:rFonts w:eastAsia="Calibri" w:cs="GHEA Grapalat"/>
                <w:bCs/>
                <w:sz w:val="20"/>
                <w:szCs w:val="20"/>
                <w:lang w:val="hy-AM"/>
              </w:rPr>
              <w:t xml:space="preserve">են </w:t>
            </w:r>
            <w:r w:rsidRPr="0053423A">
              <w:rPr>
                <w:rFonts w:eastAsia="Calibri" w:cs="GHEA Grapalat"/>
                <w:bCs/>
                <w:sz w:val="20"/>
                <w:szCs w:val="20"/>
                <w:lang w:val="fr-FR"/>
              </w:rPr>
              <w:t>և վերականգնվում են պետ</w:t>
            </w:r>
            <w:r w:rsidRPr="0053423A">
              <w:rPr>
                <w:rFonts w:eastAsia="Calibri" w:cs="GHEA Grapalat"/>
                <w:bCs/>
                <w:sz w:val="20"/>
                <w:szCs w:val="20"/>
                <w:lang w:val="hy-AM"/>
              </w:rPr>
              <w:t>ական</w:t>
            </w:r>
            <w:r w:rsidRPr="0053423A">
              <w:rPr>
                <w:rFonts w:eastAsia="Calibri" w:cs="GHEA Grapalat"/>
                <w:bCs/>
                <w:sz w:val="20"/>
                <w:szCs w:val="20"/>
                <w:lang w:val="af-ZA"/>
              </w:rPr>
              <w:t xml:space="preserve">, </w:t>
            </w:r>
            <w:r w:rsidRPr="0053423A">
              <w:rPr>
                <w:rFonts w:eastAsia="Calibri" w:cs="GHEA Grapalat"/>
                <w:bCs/>
                <w:sz w:val="20"/>
                <w:szCs w:val="20"/>
              </w:rPr>
              <w:t>ինչպես</w:t>
            </w:r>
            <w:r w:rsidRPr="0053423A">
              <w:rPr>
                <w:rFonts w:eastAsia="Calibri" w:cs="GHEA Grapalat"/>
                <w:bCs/>
                <w:sz w:val="20"/>
                <w:szCs w:val="20"/>
                <w:lang w:val="af-ZA"/>
              </w:rPr>
              <w:t xml:space="preserve"> </w:t>
            </w:r>
            <w:r w:rsidRPr="0053423A">
              <w:rPr>
                <w:rFonts w:eastAsia="Calibri" w:cs="GHEA Grapalat"/>
                <w:bCs/>
                <w:sz w:val="20"/>
                <w:szCs w:val="20"/>
              </w:rPr>
              <w:t>նաև</w:t>
            </w:r>
            <w:r w:rsidRPr="0053423A">
              <w:rPr>
                <w:rFonts w:eastAsia="Calibri" w:cs="GHEA Grapalat"/>
                <w:bCs/>
                <w:sz w:val="20"/>
                <w:szCs w:val="20"/>
                <w:lang w:val="af-ZA"/>
              </w:rPr>
              <w:t xml:space="preserve"> </w:t>
            </w:r>
            <w:r w:rsidRPr="0053423A">
              <w:rPr>
                <w:rFonts w:eastAsia="Calibri" w:cs="GHEA Grapalat"/>
                <w:bCs/>
                <w:sz w:val="20"/>
                <w:szCs w:val="20"/>
              </w:rPr>
              <w:t>օրենքով</w:t>
            </w:r>
            <w:r w:rsidRPr="0053423A">
              <w:rPr>
                <w:rFonts w:eastAsia="Calibri" w:cs="GHEA Grapalat"/>
                <w:bCs/>
                <w:sz w:val="20"/>
                <w:szCs w:val="20"/>
                <w:lang w:val="af-ZA"/>
              </w:rPr>
              <w:t xml:space="preserve"> </w:t>
            </w:r>
            <w:r w:rsidRPr="0053423A">
              <w:rPr>
                <w:rFonts w:eastAsia="Calibri" w:cs="GHEA Grapalat"/>
                <w:bCs/>
                <w:sz w:val="20"/>
                <w:szCs w:val="20"/>
              </w:rPr>
              <w:t>չարգելված</w:t>
            </w:r>
            <w:r w:rsidRPr="0053423A">
              <w:rPr>
                <w:rFonts w:eastAsia="Calibri" w:cs="GHEA Grapalat"/>
                <w:bCs/>
                <w:sz w:val="20"/>
                <w:szCs w:val="20"/>
                <w:lang w:val="af-ZA"/>
              </w:rPr>
              <w:t xml:space="preserve"> </w:t>
            </w:r>
            <w:r w:rsidRPr="0053423A">
              <w:rPr>
                <w:rFonts w:eastAsia="Calibri" w:cs="GHEA Grapalat"/>
                <w:bCs/>
                <w:sz w:val="20"/>
                <w:szCs w:val="20"/>
              </w:rPr>
              <w:t>այլ</w:t>
            </w:r>
            <w:r w:rsidRPr="0053423A">
              <w:rPr>
                <w:rFonts w:eastAsia="Calibri" w:cs="GHEA Grapalat"/>
                <w:bCs/>
                <w:sz w:val="20"/>
                <w:szCs w:val="20"/>
                <w:lang w:val="hy-AM"/>
              </w:rPr>
              <w:t xml:space="preserve"> միջոցների հաշվին:</w:t>
            </w:r>
            <w:r w:rsidRPr="0053423A">
              <w:rPr>
                <w:rFonts w:eastAsia="Calibri" w:cs="GHEA Grapalat"/>
                <w:bCs/>
                <w:sz w:val="20"/>
                <w:szCs w:val="20"/>
                <w:lang w:val="af-ZA"/>
              </w:rPr>
              <w:t xml:space="preserve"> </w:t>
            </w:r>
            <w:r w:rsidRPr="0053423A">
              <w:rPr>
                <w:rFonts w:eastAsia="Calibri" w:cs="GHEA Grapalat"/>
                <w:bCs/>
                <w:sz w:val="20"/>
                <w:szCs w:val="20"/>
              </w:rPr>
              <w:t>Պատմամշակութային</w:t>
            </w:r>
            <w:r w:rsidRPr="0053423A">
              <w:rPr>
                <w:rFonts w:eastAsia="Calibri" w:cs="GHEA Grapalat"/>
                <w:bCs/>
                <w:sz w:val="20"/>
                <w:szCs w:val="20"/>
                <w:lang w:val="af-ZA"/>
              </w:rPr>
              <w:t xml:space="preserve"> </w:t>
            </w:r>
            <w:r w:rsidRPr="0053423A">
              <w:rPr>
                <w:rFonts w:eastAsia="Calibri" w:cs="GHEA Grapalat"/>
                <w:bCs/>
                <w:sz w:val="20"/>
                <w:szCs w:val="20"/>
              </w:rPr>
              <w:t>արգելոցների</w:t>
            </w:r>
            <w:r w:rsidRPr="0053423A">
              <w:rPr>
                <w:rFonts w:eastAsia="Calibri" w:cs="GHEA Grapalat"/>
                <w:bCs/>
                <w:sz w:val="20"/>
                <w:szCs w:val="20"/>
                <w:lang w:val="af-ZA"/>
              </w:rPr>
              <w:t xml:space="preserve"> </w:t>
            </w:r>
            <w:r w:rsidRPr="0053423A">
              <w:rPr>
                <w:rFonts w:eastAsia="Calibri" w:cs="GHEA Grapalat"/>
                <w:bCs/>
                <w:sz w:val="20"/>
                <w:szCs w:val="20"/>
              </w:rPr>
              <w:t>ստեղծումը</w:t>
            </w:r>
            <w:r w:rsidRPr="0053423A">
              <w:rPr>
                <w:rFonts w:eastAsia="Calibri" w:cs="GHEA Grapalat"/>
                <w:bCs/>
                <w:sz w:val="20"/>
                <w:szCs w:val="20"/>
                <w:lang w:val="af-ZA"/>
              </w:rPr>
              <w:t xml:space="preserve"> </w:t>
            </w:r>
            <w:r w:rsidRPr="0053423A">
              <w:rPr>
                <w:rFonts w:eastAsia="Calibri" w:cs="GHEA Grapalat"/>
                <w:bCs/>
                <w:sz w:val="20"/>
                <w:szCs w:val="20"/>
              </w:rPr>
              <w:t>միտված</w:t>
            </w:r>
            <w:r w:rsidRPr="0053423A">
              <w:rPr>
                <w:rFonts w:eastAsia="Calibri" w:cs="GHEA Grapalat"/>
                <w:bCs/>
                <w:sz w:val="20"/>
                <w:szCs w:val="20"/>
                <w:lang w:val="af-ZA"/>
              </w:rPr>
              <w:t xml:space="preserve"> </w:t>
            </w:r>
            <w:r w:rsidRPr="0053423A">
              <w:rPr>
                <w:rFonts w:eastAsia="Calibri" w:cs="GHEA Grapalat"/>
                <w:bCs/>
                <w:sz w:val="20"/>
                <w:szCs w:val="20"/>
              </w:rPr>
              <w:t>է</w:t>
            </w:r>
            <w:r w:rsidRPr="0053423A">
              <w:rPr>
                <w:rFonts w:eastAsia="Calibri" w:cs="GHEA Grapalat"/>
                <w:bCs/>
                <w:sz w:val="20"/>
                <w:szCs w:val="20"/>
                <w:lang w:val="af-ZA"/>
              </w:rPr>
              <w:t xml:space="preserve"> </w:t>
            </w:r>
            <w:r w:rsidRPr="0053423A">
              <w:rPr>
                <w:rFonts w:eastAsia="Calibri" w:cs="Times New Roman"/>
                <w:bCs/>
                <w:sz w:val="20"/>
                <w:szCs w:val="20"/>
                <w:lang w:val="fr-FR"/>
              </w:rPr>
              <w:t xml:space="preserve">լինելու </w:t>
            </w:r>
            <w:r w:rsidRPr="0053423A">
              <w:rPr>
                <w:rFonts w:eastAsia="Calibri" w:cs="GHEA Grapalat"/>
                <w:bCs/>
                <w:sz w:val="20"/>
                <w:szCs w:val="20"/>
                <w:lang w:val="fr-FR"/>
              </w:rPr>
              <w:t>պ</w:t>
            </w:r>
            <w:r w:rsidRPr="0053423A">
              <w:rPr>
                <w:rFonts w:eastAsia="Calibri" w:cs="GHEA Grapalat"/>
                <w:sz w:val="20"/>
                <w:szCs w:val="20"/>
              </w:rPr>
              <w:t>ատմամշակութային</w:t>
            </w:r>
            <w:r w:rsidRPr="0053423A">
              <w:rPr>
                <w:rFonts w:eastAsia="Calibri" w:cs="GHEA Grapalat"/>
                <w:sz w:val="20"/>
                <w:szCs w:val="20"/>
                <w:lang w:val="af-ZA"/>
              </w:rPr>
              <w:t xml:space="preserve"> </w:t>
            </w:r>
            <w:r w:rsidRPr="0053423A">
              <w:rPr>
                <w:rFonts w:eastAsia="Calibri" w:cs="GHEA Grapalat"/>
                <w:sz w:val="20"/>
                <w:szCs w:val="20"/>
              </w:rPr>
              <w:t>զբոսաշրջության</w:t>
            </w:r>
            <w:r w:rsidRPr="0053423A">
              <w:rPr>
                <w:rFonts w:eastAsia="Calibri" w:cs="GHEA Grapalat"/>
                <w:sz w:val="20"/>
                <w:szCs w:val="20"/>
                <w:lang w:val="af-ZA"/>
              </w:rPr>
              <w:t xml:space="preserve"> </w:t>
            </w:r>
            <w:r w:rsidRPr="0053423A">
              <w:rPr>
                <w:rFonts w:eastAsia="Calibri" w:cs="GHEA Grapalat"/>
                <w:sz w:val="20"/>
                <w:szCs w:val="20"/>
              </w:rPr>
              <w:t>հիմքի</w:t>
            </w:r>
            <w:r w:rsidRPr="0053423A">
              <w:rPr>
                <w:rFonts w:eastAsia="Calibri" w:cs="GHEA Grapalat"/>
                <w:sz w:val="20"/>
                <w:szCs w:val="20"/>
                <w:lang w:val="af-ZA"/>
              </w:rPr>
              <w:t xml:space="preserve"> </w:t>
            </w:r>
            <w:r w:rsidRPr="0053423A">
              <w:rPr>
                <w:rFonts w:eastAsia="Calibri" w:cs="GHEA Grapalat"/>
                <w:sz w:val="20"/>
                <w:szCs w:val="20"/>
              </w:rPr>
              <w:t>վրա</w:t>
            </w:r>
            <w:r w:rsidRPr="0053423A">
              <w:rPr>
                <w:rFonts w:eastAsia="Calibri" w:cs="GHEA Grapalat"/>
                <w:sz w:val="20"/>
                <w:szCs w:val="20"/>
                <w:lang w:val="af-ZA"/>
              </w:rPr>
              <w:t xml:space="preserve"> </w:t>
            </w:r>
            <w:r w:rsidRPr="0053423A">
              <w:rPr>
                <w:rFonts w:eastAsia="Calibri" w:cs="GHEA Grapalat"/>
                <w:sz w:val="20"/>
                <w:szCs w:val="20"/>
              </w:rPr>
              <w:t>զբոսաշրջության</w:t>
            </w:r>
            <w:r w:rsidRPr="0053423A">
              <w:rPr>
                <w:rFonts w:eastAsia="Calibri" w:cs="GHEA Grapalat"/>
                <w:sz w:val="20"/>
                <w:szCs w:val="20"/>
                <w:lang w:val="af-ZA"/>
              </w:rPr>
              <w:t xml:space="preserve"> </w:t>
            </w:r>
            <w:r w:rsidRPr="0053423A">
              <w:rPr>
                <w:rFonts w:eastAsia="Calibri" w:cs="GHEA Grapalat"/>
                <w:sz w:val="20"/>
                <w:szCs w:val="20"/>
              </w:rPr>
              <w:t>բոլոր</w:t>
            </w:r>
            <w:r w:rsidRPr="0053423A">
              <w:rPr>
                <w:rFonts w:eastAsia="Calibri" w:cs="GHEA Grapalat"/>
                <w:sz w:val="20"/>
                <w:szCs w:val="20"/>
                <w:lang w:val="af-ZA"/>
              </w:rPr>
              <w:t xml:space="preserve"> </w:t>
            </w:r>
            <w:r w:rsidRPr="0053423A">
              <w:rPr>
                <w:rFonts w:eastAsia="Calibri" w:cs="GHEA Grapalat"/>
                <w:sz w:val="20"/>
                <w:szCs w:val="20"/>
              </w:rPr>
              <w:t>ձևերի</w:t>
            </w:r>
            <w:r w:rsidRPr="0053423A">
              <w:rPr>
                <w:rFonts w:eastAsia="Calibri" w:cs="GHEA Grapalat"/>
                <w:sz w:val="20"/>
                <w:szCs w:val="20"/>
                <w:lang w:val="af-ZA"/>
              </w:rPr>
              <w:t xml:space="preserve"> </w:t>
            </w:r>
            <w:r w:rsidRPr="0053423A">
              <w:rPr>
                <w:rFonts w:eastAsia="Calibri" w:cs="GHEA Grapalat"/>
                <w:sz w:val="20"/>
                <w:szCs w:val="20"/>
              </w:rPr>
              <w:t>համակցությամբ</w:t>
            </w:r>
            <w:r w:rsidRPr="0053423A">
              <w:rPr>
                <w:rFonts w:eastAsia="Calibri" w:cs="GHEA Grapalat"/>
                <w:sz w:val="20"/>
                <w:szCs w:val="20"/>
                <w:lang w:val="af-ZA"/>
              </w:rPr>
              <w:t xml:space="preserve"> </w:t>
            </w:r>
            <w:r w:rsidRPr="0053423A">
              <w:rPr>
                <w:rFonts w:eastAsia="Calibri" w:cs="GHEA Grapalat"/>
                <w:sz w:val="20"/>
                <w:szCs w:val="20"/>
              </w:rPr>
              <w:t>զբոսաշրջային</w:t>
            </w:r>
            <w:r w:rsidRPr="0053423A">
              <w:rPr>
                <w:rFonts w:eastAsia="Calibri" w:cs="GHEA Grapalat"/>
                <w:sz w:val="20"/>
                <w:szCs w:val="20"/>
                <w:lang w:val="af-ZA"/>
              </w:rPr>
              <w:t xml:space="preserve"> </w:t>
            </w:r>
            <w:r w:rsidRPr="0053423A">
              <w:rPr>
                <w:rFonts w:eastAsia="Calibri" w:cs="GHEA Grapalat"/>
                <w:bCs/>
                <w:sz w:val="20"/>
                <w:szCs w:val="20"/>
              </w:rPr>
              <w:t>գրավիչ</w:t>
            </w:r>
            <w:r w:rsidRPr="0053423A">
              <w:rPr>
                <w:rFonts w:eastAsia="Calibri" w:cs="GHEA Grapalat"/>
                <w:bCs/>
                <w:sz w:val="20"/>
                <w:szCs w:val="20"/>
                <w:lang w:val="af-ZA"/>
              </w:rPr>
              <w:t xml:space="preserve"> </w:t>
            </w:r>
            <w:r w:rsidRPr="0053423A">
              <w:rPr>
                <w:rFonts w:eastAsia="Calibri" w:cs="GHEA Grapalat"/>
                <w:bCs/>
                <w:sz w:val="20"/>
                <w:szCs w:val="20"/>
              </w:rPr>
              <w:t>միջավայրի</w:t>
            </w:r>
            <w:r w:rsidRPr="0053423A">
              <w:rPr>
                <w:rFonts w:eastAsia="Calibri" w:cs="GHEA Grapalat"/>
                <w:bCs/>
                <w:sz w:val="20"/>
                <w:szCs w:val="20"/>
                <w:lang w:val="af-ZA"/>
              </w:rPr>
              <w:t xml:space="preserve"> </w:t>
            </w:r>
            <w:r w:rsidRPr="0053423A">
              <w:rPr>
                <w:rFonts w:eastAsia="Calibri" w:cs="GHEA Grapalat"/>
                <w:bCs/>
                <w:sz w:val="20"/>
                <w:szCs w:val="20"/>
              </w:rPr>
              <w:t>ձևավորմանը</w:t>
            </w:r>
            <w:r w:rsidRPr="0053423A">
              <w:rPr>
                <w:rFonts w:eastAsia="Calibri" w:cs="GHEA Grapalat"/>
                <w:bCs/>
                <w:sz w:val="20"/>
                <w:szCs w:val="20"/>
                <w:lang w:val="fr-FR"/>
              </w:rPr>
              <w:t xml:space="preserve">, </w:t>
            </w:r>
            <w:r w:rsidRPr="0053423A">
              <w:rPr>
                <w:rFonts w:eastAsia="Calibri" w:cs="GHEA Grapalat"/>
                <w:bCs/>
                <w:sz w:val="20"/>
                <w:szCs w:val="20"/>
              </w:rPr>
              <w:t>մասնավորապես՝</w:t>
            </w:r>
            <w:r w:rsidRPr="0053423A">
              <w:rPr>
                <w:rFonts w:eastAsia="Calibri" w:cs="GHEA Grapalat"/>
                <w:bCs/>
                <w:sz w:val="20"/>
                <w:szCs w:val="20"/>
                <w:lang w:val="af-ZA"/>
              </w:rPr>
              <w:t xml:space="preserve"> </w:t>
            </w:r>
            <w:r w:rsidRPr="0053423A">
              <w:rPr>
                <w:rFonts w:eastAsia="Calibri" w:cs="Sylfaen"/>
                <w:sz w:val="20"/>
                <w:szCs w:val="20"/>
                <w:lang w:val="fr-FR"/>
              </w:rPr>
              <w:t>հ</w:t>
            </w:r>
            <w:r w:rsidRPr="0053423A">
              <w:rPr>
                <w:rFonts w:eastAsia="Calibri" w:cs="Sylfaen"/>
                <w:sz w:val="20"/>
                <w:szCs w:val="20"/>
              </w:rPr>
              <w:t>ամայնքներում</w:t>
            </w:r>
            <w:r w:rsidRPr="0053423A">
              <w:rPr>
                <w:rFonts w:eastAsia="Calibri" w:cs="Sylfaen"/>
                <w:sz w:val="20"/>
                <w:szCs w:val="20"/>
                <w:lang w:val="af-ZA"/>
              </w:rPr>
              <w:t xml:space="preserve"> </w:t>
            </w:r>
            <w:r w:rsidRPr="0053423A">
              <w:rPr>
                <w:rFonts w:eastAsia="Calibri" w:cs="Sylfaen"/>
                <w:sz w:val="20"/>
                <w:szCs w:val="20"/>
              </w:rPr>
              <w:t>զբոսաշրջության</w:t>
            </w:r>
            <w:r w:rsidRPr="0053423A">
              <w:rPr>
                <w:rFonts w:eastAsia="Calibri" w:cs="Sylfaen"/>
                <w:sz w:val="20"/>
                <w:szCs w:val="20"/>
                <w:lang w:val="af-ZA"/>
              </w:rPr>
              <w:t xml:space="preserve"> </w:t>
            </w:r>
            <w:r w:rsidRPr="0053423A">
              <w:rPr>
                <w:rFonts w:eastAsia="Calibri" w:cs="Sylfaen"/>
                <w:sz w:val="20"/>
                <w:szCs w:val="20"/>
              </w:rPr>
              <w:t>զարգացում</w:t>
            </w:r>
            <w:r w:rsidRPr="0053423A">
              <w:rPr>
                <w:rFonts w:eastAsia="Calibri" w:cs="Sylfaen"/>
                <w:sz w:val="20"/>
                <w:szCs w:val="20"/>
                <w:lang w:val="fr-FR"/>
              </w:rPr>
              <w:t xml:space="preserve">, </w:t>
            </w:r>
            <w:r w:rsidRPr="0053423A">
              <w:rPr>
                <w:rFonts w:eastAsia="Calibri" w:cs="Sylfaen"/>
                <w:sz w:val="20"/>
                <w:szCs w:val="20"/>
              </w:rPr>
              <w:t>տեղական</w:t>
            </w:r>
            <w:r w:rsidRPr="0053423A">
              <w:rPr>
                <w:rFonts w:eastAsia="Calibri" w:cs="Sylfaen"/>
                <w:sz w:val="20"/>
                <w:szCs w:val="20"/>
                <w:lang w:val="af-ZA"/>
              </w:rPr>
              <w:t xml:space="preserve"> </w:t>
            </w:r>
            <w:r w:rsidRPr="0053423A">
              <w:rPr>
                <w:rFonts w:eastAsia="Calibri" w:cs="Sylfaen"/>
                <w:sz w:val="20"/>
                <w:szCs w:val="20"/>
              </w:rPr>
              <w:t>ավանդույթների</w:t>
            </w:r>
            <w:r w:rsidRPr="0053423A">
              <w:rPr>
                <w:rFonts w:eastAsia="Calibri" w:cs="Sylfaen"/>
                <w:sz w:val="20"/>
                <w:szCs w:val="20"/>
                <w:lang w:val="af-ZA"/>
              </w:rPr>
              <w:t xml:space="preserve"> </w:t>
            </w:r>
            <w:r w:rsidRPr="0053423A">
              <w:rPr>
                <w:rFonts w:eastAsia="Calibri" w:cs="Sylfaen"/>
                <w:sz w:val="20"/>
                <w:szCs w:val="20"/>
              </w:rPr>
              <w:t>վերականգնում</w:t>
            </w:r>
            <w:r w:rsidRPr="0053423A">
              <w:rPr>
                <w:rFonts w:eastAsia="Calibri" w:cs="Sylfaen"/>
                <w:sz w:val="20"/>
                <w:szCs w:val="20"/>
                <w:lang w:val="fr-FR"/>
              </w:rPr>
              <w:t xml:space="preserve">, </w:t>
            </w:r>
            <w:r w:rsidRPr="0053423A">
              <w:rPr>
                <w:rFonts w:eastAsia="Calibri" w:cs="Sylfaen"/>
                <w:sz w:val="20"/>
                <w:szCs w:val="20"/>
              </w:rPr>
              <w:t>զբոսաշրջային</w:t>
            </w:r>
            <w:r w:rsidRPr="0053423A">
              <w:rPr>
                <w:rFonts w:eastAsia="Calibri" w:cs="Sylfaen"/>
                <w:sz w:val="20"/>
                <w:szCs w:val="20"/>
                <w:lang w:val="af-ZA"/>
              </w:rPr>
              <w:t xml:space="preserve"> </w:t>
            </w:r>
            <w:r w:rsidRPr="0053423A">
              <w:rPr>
                <w:rFonts w:eastAsia="Calibri" w:cs="Sylfaen"/>
                <w:sz w:val="20"/>
                <w:szCs w:val="20"/>
              </w:rPr>
              <w:t>ներուժի</w:t>
            </w:r>
            <w:r w:rsidRPr="0053423A">
              <w:rPr>
                <w:rFonts w:eastAsia="Calibri" w:cs="Sylfaen"/>
                <w:sz w:val="20"/>
                <w:szCs w:val="20"/>
                <w:lang w:val="af-ZA"/>
              </w:rPr>
              <w:t xml:space="preserve"> </w:t>
            </w:r>
            <w:r w:rsidRPr="0053423A">
              <w:rPr>
                <w:rFonts w:eastAsia="Calibri" w:cs="Sylfaen"/>
                <w:sz w:val="20"/>
                <w:szCs w:val="20"/>
              </w:rPr>
              <w:t>բացահայտում</w:t>
            </w:r>
            <w:r w:rsidRPr="0053423A">
              <w:rPr>
                <w:rFonts w:eastAsia="Calibri" w:cs="Sylfaen"/>
                <w:sz w:val="20"/>
                <w:szCs w:val="20"/>
                <w:lang w:val="fr-FR"/>
              </w:rPr>
              <w:t xml:space="preserve">, </w:t>
            </w:r>
            <w:r w:rsidRPr="0053423A">
              <w:rPr>
                <w:rFonts w:eastAsia="Calibri" w:cs="Sylfaen"/>
                <w:sz w:val="20"/>
                <w:szCs w:val="20"/>
              </w:rPr>
              <w:t>զբոսաշրջային</w:t>
            </w:r>
            <w:r w:rsidRPr="0053423A">
              <w:rPr>
                <w:rFonts w:eastAsia="Calibri" w:cs="Sylfaen"/>
                <w:sz w:val="20"/>
                <w:szCs w:val="20"/>
                <w:lang w:val="af-ZA"/>
              </w:rPr>
              <w:t xml:space="preserve"> </w:t>
            </w:r>
            <w:r w:rsidRPr="0053423A">
              <w:rPr>
                <w:rFonts w:eastAsia="Calibri" w:cs="Sylfaen"/>
                <w:sz w:val="20"/>
                <w:szCs w:val="20"/>
              </w:rPr>
              <w:t>արդյունքի</w:t>
            </w:r>
            <w:r w:rsidRPr="0053423A">
              <w:rPr>
                <w:rFonts w:eastAsia="Calibri" w:cs="Sylfaen"/>
                <w:sz w:val="20"/>
                <w:szCs w:val="20"/>
                <w:lang w:val="af-ZA"/>
              </w:rPr>
              <w:t xml:space="preserve"> </w:t>
            </w:r>
            <w:r w:rsidRPr="0053423A">
              <w:rPr>
                <w:rFonts w:eastAsia="Calibri" w:cs="Sylfaen"/>
                <w:sz w:val="20"/>
                <w:szCs w:val="20"/>
              </w:rPr>
              <w:t>դիվերսիֆիկացում</w:t>
            </w:r>
            <w:r w:rsidRPr="0053423A">
              <w:rPr>
                <w:rFonts w:eastAsia="Calibri" w:cs="Sylfaen"/>
                <w:sz w:val="20"/>
                <w:szCs w:val="20"/>
                <w:lang w:val="fr-FR"/>
              </w:rPr>
              <w:t xml:space="preserve">, </w:t>
            </w:r>
            <w:r w:rsidRPr="0053423A">
              <w:rPr>
                <w:rFonts w:eastAsia="Calibri" w:cs="GHEA Grapalat"/>
                <w:sz w:val="20"/>
                <w:szCs w:val="20"/>
                <w:lang w:val="fr-FR"/>
              </w:rPr>
              <w:t xml:space="preserve">նոր </w:t>
            </w:r>
            <w:r w:rsidRPr="0053423A">
              <w:rPr>
                <w:rFonts w:eastAsia="Calibri" w:cs="Sylfaen"/>
                <w:sz w:val="20"/>
                <w:szCs w:val="20"/>
              </w:rPr>
              <w:t>զբոսաշրջային</w:t>
            </w:r>
            <w:r w:rsidRPr="0053423A">
              <w:rPr>
                <w:rFonts w:eastAsia="Calibri" w:cs="Sylfaen"/>
                <w:sz w:val="20"/>
                <w:szCs w:val="20"/>
                <w:lang w:val="af-ZA"/>
              </w:rPr>
              <w:t xml:space="preserve"> </w:t>
            </w:r>
            <w:r w:rsidRPr="0053423A">
              <w:rPr>
                <w:rFonts w:eastAsia="Calibri" w:cs="Sylfaen"/>
                <w:sz w:val="20"/>
                <w:szCs w:val="20"/>
              </w:rPr>
              <w:t>երթուղիների</w:t>
            </w:r>
            <w:r w:rsidRPr="0053423A">
              <w:rPr>
                <w:rFonts w:eastAsia="Calibri" w:cs="Sylfaen"/>
                <w:sz w:val="20"/>
                <w:szCs w:val="20"/>
                <w:lang w:val="af-ZA"/>
              </w:rPr>
              <w:t xml:space="preserve"> </w:t>
            </w:r>
            <w:r w:rsidRPr="0053423A">
              <w:rPr>
                <w:rFonts w:eastAsia="Calibri" w:cs="Sylfaen"/>
                <w:sz w:val="20"/>
                <w:szCs w:val="20"/>
              </w:rPr>
              <w:t>ձևավորում</w:t>
            </w:r>
            <w:r w:rsidRPr="0053423A">
              <w:rPr>
                <w:rFonts w:eastAsia="Calibri" w:cs="Sylfaen"/>
                <w:sz w:val="20"/>
                <w:szCs w:val="20"/>
                <w:lang w:val="af-ZA"/>
              </w:rPr>
              <w:t xml:space="preserve"> </w:t>
            </w:r>
            <w:r w:rsidRPr="0053423A">
              <w:rPr>
                <w:rFonts w:eastAsia="Calibri" w:cs="Sylfaen"/>
                <w:sz w:val="20"/>
                <w:szCs w:val="20"/>
              </w:rPr>
              <w:t>և</w:t>
            </w:r>
            <w:r w:rsidRPr="0053423A">
              <w:rPr>
                <w:rFonts w:eastAsia="Calibri" w:cs="Sylfaen"/>
                <w:sz w:val="20"/>
                <w:szCs w:val="20"/>
                <w:lang w:val="af-ZA"/>
              </w:rPr>
              <w:t xml:space="preserve"> </w:t>
            </w:r>
            <w:r w:rsidRPr="0053423A">
              <w:rPr>
                <w:rFonts w:eastAsia="Calibri" w:cs="Sylfaen"/>
                <w:sz w:val="20"/>
                <w:szCs w:val="20"/>
              </w:rPr>
              <w:t>միջազգային</w:t>
            </w:r>
            <w:r w:rsidRPr="0053423A">
              <w:rPr>
                <w:rFonts w:eastAsia="Calibri" w:cs="Sylfaen"/>
                <w:sz w:val="20"/>
                <w:szCs w:val="20"/>
                <w:lang w:val="af-ZA"/>
              </w:rPr>
              <w:t xml:space="preserve"> </w:t>
            </w:r>
            <w:r w:rsidRPr="0053423A">
              <w:rPr>
                <w:rFonts w:eastAsia="Calibri" w:cs="Sylfaen"/>
                <w:sz w:val="20"/>
                <w:szCs w:val="20"/>
              </w:rPr>
              <w:t>ու</w:t>
            </w:r>
            <w:r w:rsidRPr="0053423A">
              <w:rPr>
                <w:rFonts w:eastAsia="Calibri" w:cs="Sylfaen"/>
                <w:sz w:val="20"/>
                <w:szCs w:val="20"/>
                <w:lang w:val="af-ZA"/>
              </w:rPr>
              <w:t xml:space="preserve"> </w:t>
            </w:r>
            <w:r w:rsidRPr="0053423A">
              <w:rPr>
                <w:rFonts w:eastAsia="Calibri" w:cs="Sylfaen"/>
                <w:sz w:val="20"/>
                <w:szCs w:val="20"/>
              </w:rPr>
              <w:t>ներքին</w:t>
            </w:r>
            <w:r w:rsidRPr="0053423A">
              <w:rPr>
                <w:rFonts w:eastAsia="Calibri" w:cs="Sylfaen"/>
                <w:sz w:val="20"/>
                <w:szCs w:val="20"/>
                <w:lang w:val="af-ZA"/>
              </w:rPr>
              <w:t xml:space="preserve"> </w:t>
            </w:r>
            <w:r w:rsidRPr="0053423A">
              <w:rPr>
                <w:rFonts w:eastAsia="Calibri" w:cs="Sylfaen"/>
                <w:sz w:val="20"/>
                <w:szCs w:val="20"/>
              </w:rPr>
              <w:t>շուկայում</w:t>
            </w:r>
            <w:r w:rsidRPr="0053423A">
              <w:rPr>
                <w:rFonts w:eastAsia="Calibri" w:cs="Sylfaen"/>
                <w:sz w:val="20"/>
                <w:szCs w:val="20"/>
                <w:lang w:val="af-ZA"/>
              </w:rPr>
              <w:t xml:space="preserve"> </w:t>
            </w:r>
            <w:r w:rsidRPr="0053423A">
              <w:rPr>
                <w:rFonts w:eastAsia="Calibri" w:cs="Sylfaen"/>
                <w:sz w:val="20"/>
                <w:szCs w:val="20"/>
              </w:rPr>
              <w:t>պատշաճ</w:t>
            </w:r>
            <w:r w:rsidRPr="0053423A">
              <w:rPr>
                <w:rFonts w:eastAsia="Calibri" w:cs="Sylfaen"/>
                <w:sz w:val="20"/>
                <w:szCs w:val="20"/>
                <w:lang w:val="af-ZA"/>
              </w:rPr>
              <w:t xml:space="preserve"> </w:t>
            </w:r>
            <w:r w:rsidRPr="0053423A">
              <w:rPr>
                <w:rFonts w:eastAsia="Calibri" w:cs="Sylfaen"/>
                <w:sz w:val="20"/>
                <w:szCs w:val="20"/>
              </w:rPr>
              <w:t>ներկայացում</w:t>
            </w:r>
            <w:r w:rsidRPr="0053423A">
              <w:rPr>
                <w:rFonts w:eastAsia="Calibri" w:cs="Sylfaen"/>
                <w:sz w:val="20"/>
                <w:szCs w:val="20"/>
                <w:lang w:val="fr-FR"/>
              </w:rPr>
              <w:t xml:space="preserve">, </w:t>
            </w:r>
            <w:r w:rsidRPr="0053423A">
              <w:rPr>
                <w:rFonts w:eastAsia="Calibri" w:cs="Sylfaen"/>
                <w:sz w:val="20"/>
                <w:szCs w:val="20"/>
              </w:rPr>
              <w:t>այդ</w:t>
            </w:r>
            <w:r w:rsidRPr="0053423A">
              <w:rPr>
                <w:rFonts w:eastAsia="Calibri" w:cs="Sylfaen"/>
                <w:sz w:val="20"/>
                <w:szCs w:val="20"/>
                <w:lang w:val="af-ZA"/>
              </w:rPr>
              <w:t xml:space="preserve"> </w:t>
            </w:r>
            <w:r w:rsidRPr="0053423A">
              <w:rPr>
                <w:rFonts w:eastAsia="Calibri" w:cs="Sylfaen"/>
                <w:sz w:val="20"/>
                <w:szCs w:val="20"/>
              </w:rPr>
              <w:t>թվում՝</w:t>
            </w:r>
            <w:r w:rsidRPr="0053423A">
              <w:rPr>
                <w:rFonts w:eastAsia="Calibri" w:cs="Sylfaen"/>
                <w:sz w:val="20"/>
                <w:szCs w:val="20"/>
                <w:lang w:val="af-ZA"/>
              </w:rPr>
              <w:t xml:space="preserve"> </w:t>
            </w:r>
            <w:r w:rsidRPr="0053423A">
              <w:rPr>
                <w:rFonts w:eastAsia="Calibri" w:cs="Sylfaen"/>
                <w:sz w:val="20"/>
                <w:szCs w:val="20"/>
              </w:rPr>
              <w:t>ավանդական</w:t>
            </w:r>
            <w:r w:rsidRPr="0053423A">
              <w:rPr>
                <w:rFonts w:eastAsia="Calibri" w:cs="Sylfaen"/>
                <w:sz w:val="20"/>
                <w:szCs w:val="20"/>
                <w:lang w:val="af-ZA"/>
              </w:rPr>
              <w:t xml:space="preserve"> </w:t>
            </w:r>
            <w:r w:rsidRPr="0053423A">
              <w:rPr>
                <w:rFonts w:eastAsia="Calibri" w:cs="Sylfaen"/>
                <w:sz w:val="20"/>
                <w:szCs w:val="20"/>
              </w:rPr>
              <w:t>տոնակատարությունների</w:t>
            </w:r>
            <w:r w:rsidRPr="0053423A">
              <w:rPr>
                <w:rFonts w:eastAsia="Calibri" w:cs="Sylfaen"/>
                <w:sz w:val="20"/>
                <w:szCs w:val="20"/>
                <w:lang w:val="fr-FR"/>
              </w:rPr>
              <w:t xml:space="preserve">, </w:t>
            </w:r>
            <w:r w:rsidRPr="0053423A">
              <w:rPr>
                <w:rFonts w:eastAsia="Calibri" w:cs="Sylfaen"/>
                <w:sz w:val="20"/>
                <w:szCs w:val="20"/>
              </w:rPr>
              <w:t>փառատոների</w:t>
            </w:r>
            <w:r w:rsidRPr="0053423A">
              <w:rPr>
                <w:rFonts w:eastAsia="Calibri" w:cs="Sylfaen"/>
                <w:sz w:val="20"/>
                <w:szCs w:val="20"/>
                <w:lang w:val="af-ZA"/>
              </w:rPr>
              <w:t xml:space="preserve"> </w:t>
            </w:r>
            <w:r w:rsidRPr="0053423A">
              <w:rPr>
                <w:rFonts w:eastAsia="Calibri" w:cs="Sylfaen"/>
                <w:sz w:val="20"/>
                <w:szCs w:val="20"/>
              </w:rPr>
              <w:t>կազմակերպման</w:t>
            </w:r>
            <w:r w:rsidRPr="0053423A">
              <w:rPr>
                <w:rFonts w:eastAsia="Calibri" w:cs="Sylfaen"/>
                <w:sz w:val="20"/>
                <w:szCs w:val="20"/>
                <w:lang w:val="af-ZA"/>
              </w:rPr>
              <w:t xml:space="preserve"> </w:t>
            </w:r>
            <w:r w:rsidRPr="0053423A">
              <w:rPr>
                <w:rFonts w:eastAsia="Calibri" w:cs="Sylfaen"/>
                <w:sz w:val="20"/>
                <w:szCs w:val="20"/>
              </w:rPr>
              <w:t>միջոցով</w:t>
            </w:r>
            <w:r w:rsidRPr="0053423A">
              <w:rPr>
                <w:rFonts w:eastAsia="Calibri" w:cs="Sylfaen"/>
                <w:sz w:val="20"/>
                <w:szCs w:val="20"/>
                <w:lang w:val="fr-FR"/>
              </w:rPr>
              <w:t>:</w:t>
            </w:r>
          </w:p>
          <w:p w:rsidR="00A67B6B" w:rsidRPr="0053423A" w:rsidRDefault="00A67B6B" w:rsidP="00A67858">
            <w:pPr>
              <w:tabs>
                <w:tab w:val="left" w:pos="508"/>
              </w:tabs>
              <w:spacing w:after="0" w:line="276" w:lineRule="auto"/>
              <w:contextualSpacing/>
              <w:jc w:val="both"/>
              <w:rPr>
                <w:rFonts w:eastAsia="Calibri" w:cs="Sylfaen"/>
                <w:sz w:val="20"/>
                <w:szCs w:val="20"/>
                <w:lang w:val="af-ZA"/>
              </w:rPr>
            </w:pPr>
          </w:p>
          <w:p w:rsidR="00A67B6B" w:rsidRPr="0053423A" w:rsidRDefault="00A67B6B" w:rsidP="001F6D5D">
            <w:pPr>
              <w:numPr>
                <w:ilvl w:val="1"/>
                <w:numId w:val="214"/>
              </w:numPr>
              <w:tabs>
                <w:tab w:val="left" w:pos="508"/>
              </w:tabs>
              <w:spacing w:after="0" w:line="276" w:lineRule="auto"/>
              <w:ind w:left="0" w:firstLine="0"/>
              <w:contextualSpacing/>
              <w:jc w:val="both"/>
              <w:rPr>
                <w:rFonts w:eastAsia="Calibri" w:cs="Times New Roman"/>
                <w:b/>
                <w:sz w:val="20"/>
                <w:szCs w:val="20"/>
              </w:rPr>
            </w:pPr>
            <w:r w:rsidRPr="0053423A">
              <w:rPr>
                <w:rFonts w:eastAsia="Calibri" w:cs="Times New Roman"/>
                <w:b/>
                <w:sz w:val="20"/>
                <w:szCs w:val="20"/>
              </w:rPr>
              <w:t>Առկա խնդիրների առաջարկվող լուծումները</w:t>
            </w:r>
          </w:p>
          <w:p w:rsidR="00A67B6B" w:rsidRPr="0053423A" w:rsidRDefault="00A67B6B" w:rsidP="00A67858">
            <w:pPr>
              <w:tabs>
                <w:tab w:val="left" w:pos="508"/>
              </w:tabs>
              <w:spacing w:after="0" w:line="276" w:lineRule="auto"/>
              <w:contextualSpacing/>
              <w:jc w:val="both"/>
              <w:rPr>
                <w:rFonts w:eastAsia="Calibri" w:cs="GHEA Grapalat"/>
                <w:bCs/>
                <w:iCs/>
                <w:sz w:val="20"/>
                <w:szCs w:val="20"/>
                <w:lang w:val="tr-TR"/>
              </w:rPr>
            </w:pPr>
            <w:r w:rsidRPr="0053423A">
              <w:rPr>
                <w:rFonts w:eastAsia="Calibri" w:cs="GHEA Grapalat"/>
                <w:sz w:val="20"/>
                <w:szCs w:val="20"/>
                <w:lang w:val="hy-AM"/>
              </w:rPr>
              <w:t>Պատմամշակութային ա</w:t>
            </w:r>
            <w:r w:rsidRPr="0053423A">
              <w:rPr>
                <w:rFonts w:eastAsia="Calibri" w:cs="GHEA Grapalat"/>
                <w:sz w:val="20"/>
                <w:szCs w:val="20"/>
                <w:lang w:val="af-ZA"/>
              </w:rPr>
              <w:t xml:space="preserve">րգելոցների ստեղծումը </w:t>
            </w:r>
            <w:r w:rsidRPr="0053423A">
              <w:rPr>
                <w:rFonts w:eastAsia="Calibri" w:cs="GHEA Grapalat"/>
                <w:sz w:val="20"/>
                <w:szCs w:val="20"/>
                <w:lang w:val="hy-AM"/>
              </w:rPr>
              <w:t xml:space="preserve">միտված </w:t>
            </w:r>
            <w:r w:rsidRPr="0053423A">
              <w:rPr>
                <w:rFonts w:eastAsia="Calibri" w:cs="GHEA Grapalat"/>
                <w:sz w:val="20"/>
                <w:szCs w:val="20"/>
              </w:rPr>
              <w:t>է</w:t>
            </w:r>
            <w:r w:rsidRPr="0053423A">
              <w:rPr>
                <w:rFonts w:eastAsia="Calibri" w:cs="GHEA Grapalat"/>
                <w:sz w:val="20"/>
                <w:szCs w:val="20"/>
                <w:lang w:val="hy-AM"/>
              </w:rPr>
              <w:t xml:space="preserve"> պատմական, հնագիտական, ճարտարապետական հուշարձանների, համալիրների, հուշարձանախմբերի, պատմական և բնապատմական միջավայրի, մշակութային այլ արժեքների ուսումնասիրման և հանրահռչակման աշխատանքների արդյունավետության բարձրացմանը</w:t>
            </w:r>
            <w:r w:rsidRPr="0053423A">
              <w:rPr>
                <w:rFonts w:eastAsia="Calibri" w:cs="GHEA Grapalat"/>
                <w:sz w:val="20"/>
                <w:szCs w:val="20"/>
                <w:lang w:val="fr-FR"/>
              </w:rPr>
              <w:t xml:space="preserve">, </w:t>
            </w:r>
            <w:r w:rsidRPr="0053423A">
              <w:rPr>
                <w:rFonts w:eastAsia="Calibri" w:cs="GHEA Grapalat"/>
                <w:sz w:val="20"/>
                <w:szCs w:val="20"/>
              </w:rPr>
              <w:t xml:space="preserve">ինչպես նաև </w:t>
            </w:r>
            <w:r w:rsidRPr="0053423A">
              <w:rPr>
                <w:rFonts w:eastAsia="Calibri" w:cs="Sylfaen"/>
                <w:sz w:val="20"/>
                <w:szCs w:val="20"/>
              </w:rPr>
              <w:t xml:space="preserve">միջազգային </w:t>
            </w:r>
            <w:r w:rsidRPr="0053423A">
              <w:rPr>
                <w:rFonts w:eastAsia="Calibri" w:cs="GHEA Grapalat"/>
                <w:sz w:val="20"/>
                <w:szCs w:val="20"/>
                <w:lang w:val="fr-FR"/>
              </w:rPr>
              <w:t xml:space="preserve">կազմակերպությունների </w:t>
            </w:r>
            <w:r w:rsidRPr="0053423A">
              <w:rPr>
                <w:rFonts w:eastAsia="Calibri" w:cs="Sylfaen"/>
                <w:sz w:val="20"/>
                <w:szCs w:val="20"/>
              </w:rPr>
              <w:t>և մասնավոր հատվածի հետ համագործակցությամբ համայնքներում տնտեսական և զբոսաշրջային ենթակառուցվածքների զարգացման ծրագրի իրականացմանը</w:t>
            </w:r>
            <w:r w:rsidRPr="0053423A">
              <w:rPr>
                <w:rFonts w:eastAsia="Calibri" w:cs="Sylfaen"/>
                <w:sz w:val="20"/>
                <w:szCs w:val="20"/>
                <w:lang w:val="fr-FR"/>
              </w:rPr>
              <w:t xml:space="preserve">: </w:t>
            </w:r>
            <w:r w:rsidRPr="0053423A">
              <w:rPr>
                <w:rFonts w:eastAsia="Calibri" w:cs="GHEA Grapalat"/>
                <w:sz w:val="20"/>
                <w:szCs w:val="20"/>
              </w:rPr>
              <w:t>Արգելոց</w:t>
            </w:r>
            <w:r w:rsidRPr="0053423A">
              <w:rPr>
                <w:rFonts w:eastAsia="Calibri" w:cs="GHEA Grapalat"/>
                <w:sz w:val="20"/>
                <w:szCs w:val="20"/>
                <w:lang w:val="af-ZA"/>
              </w:rPr>
              <w:t>-</w:t>
            </w:r>
            <w:r w:rsidRPr="0053423A">
              <w:rPr>
                <w:rFonts w:eastAsia="Calibri" w:cs="GHEA Grapalat"/>
                <w:sz w:val="20"/>
                <w:szCs w:val="20"/>
              </w:rPr>
              <w:t>թանգարանի</w:t>
            </w:r>
            <w:r w:rsidRPr="0053423A">
              <w:rPr>
                <w:rFonts w:eastAsia="Calibri" w:cs="GHEA Grapalat"/>
                <w:sz w:val="20"/>
                <w:szCs w:val="20"/>
                <w:lang w:val="af-ZA"/>
              </w:rPr>
              <w:t xml:space="preserve"> հուշարձանների շուրջ </w:t>
            </w:r>
            <w:r w:rsidRPr="0053423A">
              <w:rPr>
                <w:rFonts w:eastAsia="Calibri" w:cs="GHEA Grapalat"/>
                <w:sz w:val="20"/>
                <w:szCs w:val="20"/>
                <w:lang w:val="fr-FR"/>
              </w:rPr>
              <w:t>պատմամշակութային</w:t>
            </w:r>
            <w:r w:rsidRPr="0053423A">
              <w:rPr>
                <w:rFonts w:eastAsia="Calibri" w:cs="GHEA Grapalat"/>
                <w:sz w:val="20"/>
                <w:szCs w:val="20"/>
                <w:lang w:val="af-ZA"/>
              </w:rPr>
              <w:t xml:space="preserve"> արգելոցների ստեղծում</w:t>
            </w:r>
            <w:r w:rsidRPr="0053423A">
              <w:rPr>
                <w:rFonts w:eastAsia="Calibri" w:cs="GHEA Grapalat"/>
                <w:sz w:val="20"/>
                <w:szCs w:val="20"/>
                <w:lang w:val="hy-AM"/>
              </w:rPr>
              <w:t>,պ</w:t>
            </w:r>
            <w:r w:rsidRPr="0053423A">
              <w:rPr>
                <w:rFonts w:eastAsia="Calibri" w:cs="GHEA Grapalat"/>
                <w:bCs/>
                <w:iCs/>
                <w:sz w:val="20"/>
                <w:szCs w:val="20"/>
                <w:lang w:val="tr-TR"/>
              </w:rPr>
              <w:t>ատմության և մշակույթի անշարժ հուշարձանների օգտագործման և հանրահռչակման բնագավառում արդյունավետության, ներդրումային դաշտի գրավչության բարձրացում և զբոսաշրջության ծավալների ընդլայնում:</w:t>
            </w:r>
          </w:p>
          <w:p w:rsidR="00A67B6B" w:rsidRPr="0053423A" w:rsidRDefault="00A67B6B" w:rsidP="00A67858">
            <w:pPr>
              <w:tabs>
                <w:tab w:val="left" w:pos="508"/>
              </w:tabs>
              <w:spacing w:after="0" w:line="276" w:lineRule="auto"/>
              <w:contextualSpacing/>
              <w:jc w:val="both"/>
              <w:rPr>
                <w:rFonts w:eastAsia="Calibri" w:cs="GHEA Grapalat"/>
                <w:bCs/>
                <w:iCs/>
                <w:sz w:val="20"/>
                <w:szCs w:val="20"/>
                <w:lang w:val="tr-TR"/>
              </w:rPr>
            </w:pPr>
          </w:p>
          <w:p w:rsidR="00A67B6B" w:rsidRPr="0053423A" w:rsidRDefault="00A67B6B" w:rsidP="001F6D5D">
            <w:pPr>
              <w:numPr>
                <w:ilvl w:val="0"/>
                <w:numId w:val="214"/>
              </w:numPr>
              <w:tabs>
                <w:tab w:val="left" w:pos="508"/>
              </w:tabs>
              <w:spacing w:after="0" w:line="276" w:lineRule="auto"/>
              <w:contextualSpacing/>
              <w:rPr>
                <w:rFonts w:eastAsia="Calibri" w:cs="Times New Roman"/>
                <w:b/>
                <w:sz w:val="20"/>
                <w:szCs w:val="20"/>
                <w:lang w:val="tr-TR"/>
              </w:rPr>
            </w:pPr>
            <w:r w:rsidRPr="0053423A">
              <w:rPr>
                <w:rFonts w:eastAsia="Calibri" w:cs="Times New Roman"/>
                <w:b/>
                <w:sz w:val="20"/>
                <w:szCs w:val="20"/>
              </w:rPr>
              <w:t>Միջոցառման իրականացումից ակնկալվող արդյունքը</w:t>
            </w:r>
          </w:p>
          <w:p w:rsidR="00A67B6B" w:rsidRPr="0053423A" w:rsidRDefault="00A67B6B" w:rsidP="00A67858">
            <w:pPr>
              <w:spacing w:after="0" w:line="276" w:lineRule="auto"/>
              <w:jc w:val="both"/>
              <w:rPr>
                <w:rFonts w:eastAsia="Calibri" w:cs="GHEA Grapalat"/>
                <w:sz w:val="20"/>
                <w:szCs w:val="20"/>
                <w:lang w:val="af-ZA"/>
              </w:rPr>
            </w:pPr>
            <w:r w:rsidRPr="0053423A">
              <w:rPr>
                <w:rFonts w:eastAsia="Calibri" w:cs="GHEA Grapalat"/>
                <w:sz w:val="20"/>
                <w:szCs w:val="20"/>
                <w:lang w:val="hy-AM"/>
              </w:rPr>
              <w:t>Նախագծի ընդունման արդյունքում կապահովվի</w:t>
            </w:r>
            <w:r w:rsidRPr="0053423A">
              <w:rPr>
                <w:rFonts w:eastAsia="Calibri" w:cs="GHEA Grapalat"/>
                <w:sz w:val="20"/>
                <w:szCs w:val="20"/>
                <w:lang w:val="tr-TR"/>
              </w:rPr>
              <w:t xml:space="preserve"> </w:t>
            </w:r>
            <w:r w:rsidRPr="0053423A">
              <w:rPr>
                <w:rFonts w:eastAsia="Calibri" w:cs="GHEA Grapalat"/>
                <w:sz w:val="20"/>
                <w:szCs w:val="20"/>
                <w:lang w:val="hy-AM"/>
              </w:rPr>
              <w:t xml:space="preserve">հուշարձանախմբի ամբողջ տարածքի պատշաճ պահպանությունը, մասնագիտական ամբողջական ուսումնասիրման ու հանրահռչակման հնարավորությունը, զբոսաշրջության </w:t>
            </w:r>
            <w:r w:rsidRPr="0053423A">
              <w:rPr>
                <w:rFonts w:eastAsia="Calibri" w:cs="GHEA Grapalat"/>
                <w:sz w:val="20"/>
                <w:szCs w:val="20"/>
                <w:lang w:val="fr-FR"/>
              </w:rPr>
              <w:t>երթուղիներում</w:t>
            </w:r>
            <w:r w:rsidRPr="0053423A">
              <w:rPr>
                <w:rFonts w:eastAsia="Calibri" w:cs="GHEA Grapalat"/>
                <w:sz w:val="20"/>
                <w:szCs w:val="20"/>
                <w:lang w:val="hy-AM"/>
              </w:rPr>
              <w:t xml:space="preserve"> արգելոց</w:t>
            </w:r>
            <w:r w:rsidRPr="0053423A">
              <w:rPr>
                <w:rFonts w:eastAsia="Calibri" w:cs="GHEA Grapalat"/>
                <w:sz w:val="20"/>
                <w:szCs w:val="20"/>
              </w:rPr>
              <w:t>ներ</w:t>
            </w:r>
            <w:r w:rsidRPr="0053423A">
              <w:rPr>
                <w:rFonts w:eastAsia="Calibri" w:cs="GHEA Grapalat"/>
                <w:sz w:val="20"/>
                <w:szCs w:val="20"/>
                <w:lang w:val="hy-AM"/>
              </w:rPr>
              <w:t>ի ներգրավում</w:t>
            </w:r>
            <w:r w:rsidRPr="0053423A">
              <w:rPr>
                <w:rFonts w:eastAsia="Calibri" w:cs="GHEA Grapalat"/>
                <w:sz w:val="20"/>
                <w:szCs w:val="20"/>
              </w:rPr>
              <w:t>ը</w:t>
            </w:r>
            <w:r w:rsidRPr="0053423A">
              <w:rPr>
                <w:rFonts w:eastAsia="Calibri" w:cs="GHEA Grapalat"/>
                <w:sz w:val="20"/>
                <w:szCs w:val="20"/>
                <w:lang w:val="hy-AM"/>
              </w:rPr>
              <w:t>, ինչպես նաև պետական ֆինանսավորման առավել արդյունավետ օգտագործումը:</w:t>
            </w:r>
            <w:r w:rsidRPr="0053423A">
              <w:rPr>
                <w:rFonts w:eastAsia="Calibri" w:cs="GHEA Grapalat"/>
                <w:sz w:val="20"/>
                <w:szCs w:val="20"/>
                <w:lang w:val="tr-TR"/>
              </w:rPr>
              <w:t xml:space="preserve"> </w:t>
            </w:r>
            <w:r w:rsidRPr="0053423A">
              <w:rPr>
                <w:rFonts w:eastAsia="Calibri" w:cs="GHEA Grapalat"/>
                <w:sz w:val="20"/>
                <w:szCs w:val="20"/>
                <w:lang w:val="hy-AM"/>
              </w:rPr>
              <w:t>Միաժամանակ</w:t>
            </w:r>
            <w:r w:rsidRPr="0053423A">
              <w:rPr>
                <w:rFonts w:eastAsia="Calibri" w:cs="GHEA Grapalat"/>
                <w:sz w:val="20"/>
                <w:szCs w:val="20"/>
                <w:lang w:val="af-ZA"/>
              </w:rPr>
              <w:t xml:space="preserve">, </w:t>
            </w:r>
            <w:r w:rsidRPr="0053423A">
              <w:rPr>
                <w:rFonts w:eastAsia="Calibri" w:cs="GHEA Grapalat"/>
                <w:sz w:val="20"/>
                <w:szCs w:val="20"/>
                <w:lang w:val="hy-AM"/>
              </w:rPr>
              <w:t>արգելոցների</w:t>
            </w:r>
            <w:r w:rsidRPr="0053423A">
              <w:rPr>
                <w:rFonts w:eastAsia="Calibri" w:cs="GHEA Grapalat"/>
                <w:sz w:val="20"/>
                <w:szCs w:val="20"/>
                <w:lang w:val="tr-TR"/>
              </w:rPr>
              <w:t xml:space="preserve"> </w:t>
            </w:r>
            <w:r w:rsidRPr="0053423A">
              <w:rPr>
                <w:rFonts w:eastAsia="Calibri" w:cs="GHEA Grapalat"/>
                <w:sz w:val="20"/>
                <w:szCs w:val="20"/>
                <w:lang w:val="hy-AM"/>
              </w:rPr>
              <w:t>ստեղծումը</w:t>
            </w:r>
            <w:r w:rsidRPr="0053423A">
              <w:rPr>
                <w:rFonts w:eastAsia="Calibri" w:cs="GHEA Grapalat"/>
                <w:sz w:val="20"/>
                <w:szCs w:val="20"/>
                <w:lang w:val="tr-TR"/>
              </w:rPr>
              <w:t xml:space="preserve"> </w:t>
            </w:r>
            <w:r w:rsidRPr="0053423A">
              <w:rPr>
                <w:rFonts w:eastAsia="Calibri" w:cs="GHEA Grapalat"/>
                <w:sz w:val="20"/>
                <w:szCs w:val="20"/>
                <w:lang w:val="hy-AM"/>
              </w:rPr>
              <w:t>կնպաստի</w:t>
            </w:r>
            <w:r w:rsidRPr="0053423A">
              <w:rPr>
                <w:rFonts w:eastAsia="Calibri" w:cs="GHEA Grapalat"/>
                <w:sz w:val="20"/>
                <w:szCs w:val="20"/>
                <w:lang w:val="tr-TR"/>
              </w:rPr>
              <w:t xml:space="preserve"> </w:t>
            </w:r>
            <w:r w:rsidRPr="0053423A">
              <w:rPr>
                <w:rFonts w:eastAsia="Calibri" w:cs="GHEA Grapalat"/>
                <w:sz w:val="20"/>
                <w:szCs w:val="20"/>
                <w:lang w:val="hy-AM"/>
              </w:rPr>
              <w:t>զբոսաշրջության</w:t>
            </w:r>
            <w:r w:rsidRPr="0053423A">
              <w:rPr>
                <w:rFonts w:eastAsia="Calibri" w:cs="GHEA Grapalat"/>
                <w:sz w:val="20"/>
                <w:szCs w:val="20"/>
                <w:lang w:val="tr-TR"/>
              </w:rPr>
              <w:t xml:space="preserve"> </w:t>
            </w:r>
            <w:r w:rsidRPr="0053423A">
              <w:rPr>
                <w:rFonts w:eastAsia="Calibri" w:cs="GHEA Grapalat"/>
                <w:sz w:val="20"/>
                <w:szCs w:val="20"/>
                <w:lang w:val="hy-AM"/>
              </w:rPr>
              <w:t>զարգացմանը</w:t>
            </w:r>
            <w:r w:rsidRPr="0053423A">
              <w:rPr>
                <w:rFonts w:eastAsia="Calibri" w:cs="GHEA Grapalat"/>
                <w:sz w:val="20"/>
                <w:szCs w:val="20"/>
                <w:lang w:val="tr-TR"/>
              </w:rPr>
              <w:t xml:space="preserve"> </w:t>
            </w:r>
            <w:r w:rsidRPr="0053423A">
              <w:rPr>
                <w:rFonts w:eastAsia="Calibri" w:cs="GHEA Grapalat"/>
                <w:sz w:val="20"/>
                <w:szCs w:val="20"/>
                <w:lang w:val="hy-AM"/>
              </w:rPr>
              <w:t>և</w:t>
            </w:r>
            <w:r w:rsidRPr="0053423A">
              <w:rPr>
                <w:rFonts w:eastAsia="Calibri" w:cs="GHEA Grapalat"/>
                <w:sz w:val="20"/>
                <w:szCs w:val="20"/>
                <w:lang w:val="tr-TR"/>
              </w:rPr>
              <w:t xml:space="preserve"> </w:t>
            </w:r>
            <w:r w:rsidRPr="0053423A">
              <w:rPr>
                <w:rFonts w:eastAsia="Calibri" w:cs="GHEA Grapalat"/>
                <w:sz w:val="20"/>
                <w:szCs w:val="20"/>
                <w:lang w:val="hy-AM"/>
              </w:rPr>
              <w:t>զբոսաշրջիկների</w:t>
            </w:r>
            <w:r w:rsidRPr="0053423A">
              <w:rPr>
                <w:rFonts w:eastAsia="Calibri" w:cs="GHEA Grapalat"/>
                <w:sz w:val="20"/>
                <w:szCs w:val="20"/>
                <w:lang w:val="tr-TR"/>
              </w:rPr>
              <w:t xml:space="preserve"> </w:t>
            </w:r>
            <w:r w:rsidRPr="0053423A">
              <w:rPr>
                <w:rFonts w:eastAsia="Calibri" w:cs="GHEA Grapalat"/>
                <w:sz w:val="20"/>
                <w:szCs w:val="20"/>
                <w:lang w:val="hy-AM"/>
              </w:rPr>
              <w:t>թվի</w:t>
            </w:r>
            <w:r w:rsidRPr="0053423A">
              <w:rPr>
                <w:rFonts w:eastAsia="Calibri" w:cs="GHEA Grapalat"/>
                <w:sz w:val="20"/>
                <w:szCs w:val="20"/>
                <w:lang w:val="tr-TR"/>
              </w:rPr>
              <w:t xml:space="preserve"> </w:t>
            </w:r>
            <w:r w:rsidRPr="0053423A">
              <w:rPr>
                <w:rFonts w:eastAsia="Calibri" w:cs="GHEA Grapalat"/>
                <w:sz w:val="20"/>
                <w:szCs w:val="20"/>
                <w:lang w:val="hy-AM"/>
              </w:rPr>
              <w:t>աճին</w:t>
            </w:r>
            <w:r w:rsidRPr="0053423A">
              <w:rPr>
                <w:rFonts w:eastAsia="Calibri" w:cs="GHEA Grapalat"/>
                <w:sz w:val="20"/>
                <w:szCs w:val="20"/>
                <w:lang w:val="af-ZA"/>
              </w:rPr>
              <w:t>:</w:t>
            </w:r>
          </w:p>
          <w:p w:rsidR="00A67B6B" w:rsidRPr="0053423A" w:rsidRDefault="00A67B6B" w:rsidP="00A67858">
            <w:pPr>
              <w:spacing w:after="0" w:line="276" w:lineRule="auto"/>
              <w:jc w:val="both"/>
              <w:rPr>
                <w:rFonts w:eastAsia="Calibri" w:cs="GHEA Grapalat"/>
                <w:sz w:val="20"/>
                <w:szCs w:val="20"/>
                <w:lang w:val="af-ZA"/>
              </w:rPr>
            </w:pPr>
          </w:p>
          <w:p w:rsidR="00A67B6B" w:rsidRPr="0053423A" w:rsidRDefault="00A67B6B" w:rsidP="00A67858">
            <w:pPr>
              <w:spacing w:after="0" w:line="276" w:lineRule="auto"/>
              <w:jc w:val="center"/>
              <w:rPr>
                <w:rFonts w:eastAsia="Calibri" w:cs="Calibri"/>
                <w:b/>
                <w:sz w:val="20"/>
                <w:szCs w:val="20"/>
                <w:lang w:val="af-ZA"/>
              </w:rPr>
            </w:pPr>
            <w:r w:rsidRPr="0053423A">
              <w:rPr>
                <w:rFonts w:eastAsia="Times New Roman" w:cs="Times New Roman"/>
                <w:b/>
                <w:sz w:val="20"/>
                <w:szCs w:val="20"/>
                <w:lang w:val="af-ZA"/>
              </w:rPr>
              <w:t xml:space="preserve">8.3 </w:t>
            </w:r>
            <w:r w:rsidRPr="0053423A">
              <w:rPr>
                <w:rFonts w:eastAsia="Calibri" w:cs="Calibri"/>
                <w:b/>
                <w:sz w:val="20"/>
                <w:szCs w:val="20"/>
                <w:lang w:val="af-ZA"/>
              </w:rPr>
              <w:t>«</w:t>
            </w:r>
            <w:r w:rsidRPr="0053423A">
              <w:rPr>
                <w:rFonts w:eastAsia="Calibri" w:cs="Calibri"/>
                <w:b/>
                <w:sz w:val="20"/>
                <w:szCs w:val="20"/>
                <w:lang w:val="ru-RU"/>
              </w:rPr>
              <w:t>Աղձք</w:t>
            </w:r>
            <w:r w:rsidRPr="0053423A">
              <w:rPr>
                <w:rFonts w:eastAsia="Calibri" w:cs="Calibri"/>
                <w:b/>
                <w:sz w:val="20"/>
                <w:szCs w:val="20"/>
                <w:lang w:val="af-ZA"/>
              </w:rPr>
              <w:t xml:space="preserve">», </w:t>
            </w:r>
            <w:r w:rsidRPr="0053423A">
              <w:rPr>
                <w:rFonts w:eastAsia="Calibri" w:cs="Calibri"/>
                <w:b/>
                <w:sz w:val="20"/>
                <w:szCs w:val="20"/>
                <w:lang w:val="ru-RU"/>
              </w:rPr>
              <w:t>պատմահնագիտական</w:t>
            </w:r>
            <w:r w:rsidRPr="0053423A">
              <w:rPr>
                <w:rFonts w:eastAsia="Calibri" w:cs="Calibri"/>
                <w:b/>
                <w:sz w:val="20"/>
                <w:szCs w:val="20"/>
                <w:lang w:val="af-ZA"/>
              </w:rPr>
              <w:t xml:space="preserve"> արգելոց-թանգարան ստեղծելու, «</w:t>
            </w:r>
            <w:r w:rsidRPr="0053423A">
              <w:rPr>
                <w:rFonts w:eastAsia="Calibri" w:cs="Calibri"/>
                <w:b/>
                <w:sz w:val="20"/>
                <w:szCs w:val="20"/>
                <w:lang w:val="ru-RU"/>
              </w:rPr>
              <w:t>Աղձք</w:t>
            </w:r>
            <w:r w:rsidRPr="0053423A">
              <w:rPr>
                <w:rFonts w:eastAsia="Calibri" w:cs="Calibri"/>
                <w:b/>
                <w:sz w:val="20"/>
                <w:szCs w:val="20"/>
                <w:lang w:val="af-ZA"/>
              </w:rPr>
              <w:t xml:space="preserve">», </w:t>
            </w:r>
            <w:r w:rsidRPr="0053423A">
              <w:rPr>
                <w:rFonts w:eastAsia="Calibri" w:cs="Calibri"/>
                <w:b/>
                <w:sz w:val="20"/>
                <w:szCs w:val="20"/>
                <w:lang w:val="ru-RU"/>
              </w:rPr>
              <w:t>պատմահնագիտական</w:t>
            </w:r>
            <w:r w:rsidRPr="0053423A">
              <w:rPr>
                <w:rFonts w:eastAsia="Calibri" w:cs="Calibri"/>
                <w:b/>
                <w:sz w:val="20"/>
                <w:szCs w:val="20"/>
                <w:lang w:val="af-ZA"/>
              </w:rPr>
              <w:t xml:space="preserve"> արգելոց-թանգարան մասնաճյուղ ստեղծելու, Հայաստանի Հանրապետության կառավարության 2003 թվականի մարտի 7-ի N 312-Ն որոշման մեջ լրացումներ կատարելու մասին» Հայաստանի Հանրապետության կառավարության որոշման նախագիծ մշակում և ներկայացում Հայաստանի Հանրապետության վարչապետի աշխատակազմ</w:t>
            </w:r>
          </w:p>
          <w:p w:rsidR="00A67B6B" w:rsidRPr="0053423A" w:rsidRDefault="00A67B6B" w:rsidP="00A67858">
            <w:pPr>
              <w:spacing w:after="0" w:line="276" w:lineRule="auto"/>
              <w:jc w:val="center"/>
              <w:rPr>
                <w:rFonts w:eastAsia="Calibri" w:cs="Calibri"/>
                <w:sz w:val="20"/>
                <w:szCs w:val="20"/>
                <w:lang w:val="af-ZA"/>
              </w:rPr>
            </w:pPr>
          </w:p>
          <w:p w:rsidR="00A67B6B" w:rsidRPr="0053423A" w:rsidRDefault="00A67B6B" w:rsidP="001F6D5D">
            <w:pPr>
              <w:numPr>
                <w:ilvl w:val="0"/>
                <w:numId w:val="221"/>
              </w:numPr>
              <w:tabs>
                <w:tab w:val="left" w:pos="508"/>
              </w:tabs>
              <w:spacing w:after="0" w:line="276" w:lineRule="auto"/>
              <w:ind w:hanging="720"/>
              <w:contextualSpacing/>
              <w:rPr>
                <w:rFonts w:eastAsia="Calibri" w:cs="Times New Roman"/>
                <w:b/>
                <w:sz w:val="20"/>
                <w:szCs w:val="20"/>
                <w:lang w:val="hy-AM"/>
              </w:rPr>
            </w:pPr>
            <w:r w:rsidRPr="0053423A">
              <w:rPr>
                <w:rFonts w:eastAsia="Calibri" w:cs="Sylfaen"/>
                <w:b/>
                <w:sz w:val="20"/>
                <w:szCs w:val="20"/>
                <w:lang w:val="hy-AM"/>
              </w:rPr>
              <w:t>Միջոցառման</w:t>
            </w:r>
            <w:r w:rsidRPr="0053423A">
              <w:rPr>
                <w:rFonts w:eastAsia="Calibri" w:cs="Times New Roman"/>
                <w:b/>
                <w:sz w:val="20"/>
                <w:szCs w:val="20"/>
                <w:lang w:val="hy-AM"/>
              </w:rPr>
              <w:t xml:space="preserve"> իրականացման անհրաժեշտությունը և 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hy-AM"/>
              </w:rPr>
              <w:t xml:space="preserve">Արգելոց-թանգարանի հետագա պահպանությունն ու շահագործումն իրականացվելու է </w:t>
            </w:r>
            <w:r w:rsidRPr="0053423A">
              <w:rPr>
                <w:rFonts w:eastAsia="Calibri" w:cs="GHEA Grapalat"/>
                <w:spacing w:val="-8"/>
                <w:sz w:val="20"/>
                <w:szCs w:val="20"/>
                <w:shd w:val="clear" w:color="auto" w:fill="FFFFFF"/>
                <w:lang w:val="af-ZA"/>
              </w:rPr>
              <w:t xml:space="preserve">«Պատմամշակութային </w:t>
            </w:r>
            <w:r w:rsidRPr="0053423A">
              <w:rPr>
                <w:rFonts w:eastAsia="Calibri" w:cs="Times New Roman"/>
                <w:sz w:val="20"/>
                <w:szCs w:val="20"/>
                <w:lang w:val="fr-FR"/>
              </w:rPr>
              <w:t>արգելոց-</w:t>
            </w:r>
            <w:r w:rsidRPr="0053423A">
              <w:rPr>
                <w:rFonts w:eastAsia="Calibri" w:cs="GHEA Grapalat"/>
                <w:spacing w:val="-8"/>
                <w:sz w:val="20"/>
                <w:szCs w:val="20"/>
                <w:shd w:val="clear" w:color="auto" w:fill="FFFFFF"/>
                <w:lang w:val="af-ZA"/>
              </w:rPr>
              <w:t>թանգարանների և պատմական միջավայրի պահպանության ծառայություն» ՊՈԱԿ-ին հատկացված միջոցների հաշվին:</w:t>
            </w:r>
            <w:r w:rsidRPr="0053423A">
              <w:rPr>
                <w:rFonts w:eastAsia="Calibri" w:cs="GHEA Grapalat"/>
                <w:spacing w:val="-8"/>
                <w:sz w:val="20"/>
                <w:szCs w:val="20"/>
                <w:shd w:val="clear" w:color="auto" w:fill="FFFFFF"/>
                <w:lang w:val="hy-AM"/>
              </w:rPr>
              <w:t xml:space="preserve"> </w:t>
            </w:r>
            <w:r w:rsidRPr="0053423A">
              <w:rPr>
                <w:rFonts w:eastAsia="Calibri" w:cs="Times New Roman"/>
                <w:sz w:val="20"/>
                <w:szCs w:val="20"/>
                <w:shd w:val="clear" w:color="auto" w:fill="FFFFFF"/>
                <w:lang w:val="hy-AM"/>
              </w:rPr>
              <w:t>Արգելոցի ստեղծումը ամբողջությամբ համապատասխանում է</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lang w:val="hy-AM"/>
              </w:rPr>
              <w:t>Պատմության և մշակույթի անշարժ հուշարձանների ու պատմական միջավայրի պահպանության և օգտագործման մասին</w:t>
            </w:r>
            <w:r w:rsidRPr="0053423A">
              <w:rPr>
                <w:rFonts w:eastAsia="Calibri" w:cs="Times New Roman"/>
                <w:sz w:val="20"/>
                <w:szCs w:val="20"/>
                <w:shd w:val="clear" w:color="auto" w:fill="FFFFFF"/>
                <w:lang w:val="af-ZA"/>
              </w:rPr>
              <w:t xml:space="preserve">» </w:t>
            </w:r>
            <w:r w:rsidRPr="0053423A">
              <w:rPr>
                <w:rFonts w:eastAsia="Calibri" w:cs="Times New Roman"/>
                <w:sz w:val="20"/>
                <w:szCs w:val="20"/>
                <w:lang w:val="hy-AM"/>
              </w:rPr>
              <w:t xml:space="preserve">Հայաստանի Հանրապետության </w:t>
            </w:r>
            <w:r w:rsidRPr="0053423A">
              <w:rPr>
                <w:rFonts w:eastAsia="Calibri" w:cs="Times New Roman"/>
                <w:sz w:val="20"/>
                <w:szCs w:val="20"/>
                <w:shd w:val="clear" w:color="auto" w:fill="FFFFFF"/>
                <w:lang w:val="hy-AM"/>
              </w:rPr>
              <w:t>օրենքի</w:t>
            </w:r>
            <w:r w:rsidRPr="0053423A">
              <w:rPr>
                <w:rFonts w:eastAsia="Calibri" w:cs="Times New Roman"/>
                <w:sz w:val="20"/>
                <w:szCs w:val="20"/>
                <w:shd w:val="clear" w:color="auto" w:fill="FFFFFF"/>
                <w:lang w:val="af-ZA"/>
              </w:rPr>
              <w:t xml:space="preserve"> 8-</w:t>
            </w:r>
            <w:r w:rsidRPr="0053423A">
              <w:rPr>
                <w:rFonts w:eastAsia="Calibri" w:cs="Times New Roman"/>
                <w:sz w:val="20"/>
                <w:szCs w:val="20"/>
                <w:shd w:val="clear" w:color="auto" w:fill="FFFFFF"/>
                <w:lang w:val="hy-AM"/>
              </w:rPr>
              <w:t>րդ հոդվածի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lang w:val="hy-AM"/>
              </w:rPr>
              <w:t>ե</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lang w:val="hy-AM"/>
              </w:rPr>
              <w:t>կետիև</w:t>
            </w:r>
            <w:r w:rsidRPr="0053423A">
              <w:rPr>
                <w:rFonts w:eastAsia="Calibri" w:cs="Times New Roman"/>
                <w:sz w:val="20"/>
                <w:szCs w:val="20"/>
                <w:shd w:val="clear" w:color="auto" w:fill="FFFFFF"/>
                <w:lang w:val="af-ZA"/>
              </w:rPr>
              <w:t xml:space="preserve"> 17-</w:t>
            </w:r>
            <w:r w:rsidRPr="0053423A">
              <w:rPr>
                <w:rFonts w:eastAsia="Calibri" w:cs="Times New Roman"/>
                <w:sz w:val="20"/>
                <w:szCs w:val="20"/>
                <w:shd w:val="clear" w:color="auto" w:fill="FFFFFF"/>
                <w:lang w:val="hy-AM"/>
              </w:rPr>
              <w:t>րդ հոդվածի պահանջներին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lang w:val="hy-AM"/>
              </w:rPr>
              <w:t>քանի որ նրանք ստեղծվում են պատմական միջավայրի և հուշարձանների շուրջը</w:t>
            </w:r>
            <w:r w:rsidRPr="0053423A">
              <w:rPr>
                <w:rFonts w:eastAsia="Calibri" w:cs="Times New Roman"/>
                <w:sz w:val="20"/>
                <w:szCs w:val="20"/>
                <w:shd w:val="clear" w:color="auto" w:fill="FFFFFF"/>
                <w:lang w:val="af-ZA"/>
              </w:rPr>
              <w:t xml:space="preserve">: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contextualSpacing/>
              <w:jc w:val="both"/>
              <w:rPr>
                <w:rFonts w:eastAsia="Calibri" w:cs="Sylfaen"/>
                <w:spacing w:val="-8"/>
                <w:sz w:val="20"/>
                <w:szCs w:val="20"/>
                <w:shd w:val="clear" w:color="auto" w:fill="FFFFFF"/>
                <w:lang w:val="af-ZA"/>
              </w:rPr>
            </w:pPr>
          </w:p>
          <w:p w:rsidR="00A67B6B" w:rsidRPr="0053423A" w:rsidRDefault="00A67B6B" w:rsidP="001F6D5D">
            <w:pPr>
              <w:numPr>
                <w:ilvl w:val="1"/>
                <w:numId w:val="221"/>
              </w:numPr>
              <w:tabs>
                <w:tab w:val="left" w:pos="508"/>
              </w:tabs>
              <w:spacing w:after="0" w:line="276" w:lineRule="auto"/>
              <w:ind w:hanging="720"/>
              <w:contextualSpacing/>
              <w:rPr>
                <w:rFonts w:eastAsia="Calibri" w:cs="Times New Roman"/>
                <w:b/>
                <w:sz w:val="20"/>
                <w:szCs w:val="20"/>
                <w:lang w:val="af-ZA"/>
              </w:rPr>
            </w:pPr>
            <w:r w:rsidRPr="0053423A">
              <w:rPr>
                <w:rFonts w:eastAsia="Calibri" w:cs="Sylfaen"/>
                <w:b/>
                <w:sz w:val="20"/>
                <w:szCs w:val="20"/>
                <w:lang w:val="hy-AM"/>
              </w:rPr>
              <w:t>Կարգավորման</w:t>
            </w:r>
            <w:r w:rsidRPr="0053423A">
              <w:rPr>
                <w:rFonts w:eastAsia="Calibri" w:cs="Sylfaen"/>
                <w:b/>
                <w:sz w:val="20"/>
                <w:szCs w:val="20"/>
                <w:lang w:val="af-ZA"/>
              </w:rPr>
              <w:t xml:space="preserve"> </w:t>
            </w:r>
            <w:r w:rsidRPr="0053423A">
              <w:rPr>
                <w:rFonts w:eastAsia="Calibri" w:cs="Times New Roman"/>
                <w:b/>
                <w:sz w:val="20"/>
                <w:szCs w:val="20"/>
                <w:lang w:val="hy-AM"/>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lang w:val="hy-AM"/>
              </w:rPr>
              <w:t>ներկա</w:t>
            </w:r>
            <w:r w:rsidRPr="0053423A">
              <w:rPr>
                <w:rFonts w:eastAsia="Calibri" w:cs="Times New Roman"/>
                <w:b/>
                <w:sz w:val="20"/>
                <w:szCs w:val="20"/>
                <w:lang w:val="af-ZA"/>
              </w:rPr>
              <w:t xml:space="preserve"> </w:t>
            </w:r>
            <w:r w:rsidRPr="0053423A">
              <w:rPr>
                <w:rFonts w:eastAsia="Calibri" w:cs="Times New Roman"/>
                <w:b/>
                <w:sz w:val="20"/>
                <w:szCs w:val="20"/>
                <w:lang w:val="hy-AM"/>
              </w:rPr>
              <w:t>վիճակը</w:t>
            </w:r>
            <w:r w:rsidRPr="0053423A">
              <w:rPr>
                <w:rFonts w:eastAsia="Calibri" w:cs="Times New Roman"/>
                <w:b/>
                <w:sz w:val="20"/>
                <w:szCs w:val="20"/>
                <w:lang w:val="af-ZA"/>
              </w:rPr>
              <w:t xml:space="preserve"> </w:t>
            </w:r>
            <w:r w:rsidRPr="0053423A">
              <w:rPr>
                <w:rFonts w:eastAsia="Calibri" w:cs="Times New Roman"/>
                <w:b/>
                <w:sz w:val="20"/>
                <w:szCs w:val="20"/>
                <w:lang w:val="hy-AM"/>
              </w:rPr>
              <w:t>և</w:t>
            </w:r>
            <w:r w:rsidRPr="0053423A">
              <w:rPr>
                <w:rFonts w:eastAsia="Calibri" w:cs="Times New Roman"/>
                <w:b/>
                <w:sz w:val="20"/>
                <w:szCs w:val="20"/>
                <w:lang w:val="af-ZA"/>
              </w:rPr>
              <w:t xml:space="preserve"> </w:t>
            </w:r>
            <w:r w:rsidRPr="0053423A">
              <w:rPr>
                <w:rFonts w:eastAsia="Calibri" w:cs="Times New Roman"/>
                <w:b/>
                <w:sz w:val="20"/>
                <w:szCs w:val="20"/>
                <w:lang w:val="hy-AM"/>
              </w:rPr>
              <w:t>առկա</w:t>
            </w:r>
            <w:r w:rsidRPr="0053423A">
              <w:rPr>
                <w:rFonts w:eastAsia="Calibri" w:cs="Times New Roman"/>
                <w:b/>
                <w:sz w:val="20"/>
                <w:szCs w:val="20"/>
                <w:lang w:val="af-ZA"/>
              </w:rPr>
              <w:t xml:space="preserve"> </w:t>
            </w:r>
            <w:r w:rsidRPr="0053423A">
              <w:rPr>
                <w:rFonts w:eastAsia="Calibri" w:cs="Times New Roman"/>
                <w:b/>
                <w:sz w:val="20"/>
                <w:szCs w:val="20"/>
                <w:lang w:val="hy-AM"/>
              </w:rPr>
              <w:t>խնդիրները</w:t>
            </w:r>
          </w:p>
          <w:p w:rsidR="00A67B6B" w:rsidRPr="0053423A" w:rsidRDefault="00A67B6B" w:rsidP="00A67858">
            <w:pPr>
              <w:tabs>
                <w:tab w:val="left" w:pos="508"/>
              </w:tabs>
              <w:spacing w:after="0" w:line="276" w:lineRule="auto"/>
              <w:contextualSpacing/>
              <w:jc w:val="both"/>
              <w:rPr>
                <w:rFonts w:eastAsia="Calibri" w:cs="Sylfaen"/>
                <w:sz w:val="20"/>
                <w:szCs w:val="20"/>
                <w:lang w:val="fr-FR"/>
              </w:rPr>
            </w:pPr>
            <w:r w:rsidRPr="0053423A">
              <w:rPr>
                <w:rFonts w:eastAsia="Calibri" w:cs="GHEA Grapalat"/>
                <w:bCs/>
                <w:sz w:val="20"/>
                <w:szCs w:val="20"/>
                <w:lang w:val="fr-FR"/>
              </w:rPr>
              <w:t>Հուշարձանները պետական սեփականություն</w:t>
            </w:r>
            <w:r w:rsidRPr="0053423A">
              <w:rPr>
                <w:rFonts w:eastAsia="Calibri" w:cs="GHEA Grapalat"/>
                <w:bCs/>
                <w:sz w:val="20"/>
                <w:szCs w:val="20"/>
                <w:lang w:val="hy-AM"/>
              </w:rPr>
              <w:t xml:space="preserve"> են</w:t>
            </w:r>
            <w:r w:rsidRPr="0053423A">
              <w:rPr>
                <w:rFonts w:eastAsia="Calibri" w:cs="GHEA Grapalat"/>
                <w:bCs/>
                <w:sz w:val="20"/>
                <w:szCs w:val="20"/>
                <w:lang w:val="fr-FR"/>
              </w:rPr>
              <w:t xml:space="preserve"> և 20</w:t>
            </w:r>
            <w:r w:rsidRPr="0053423A">
              <w:rPr>
                <w:rFonts w:eastAsia="Calibri" w:cs="GHEA Grapalat"/>
                <w:bCs/>
                <w:sz w:val="20"/>
                <w:szCs w:val="20"/>
                <w:lang w:val="hy-AM"/>
              </w:rPr>
              <w:t>1</w:t>
            </w:r>
            <w:r w:rsidRPr="0053423A">
              <w:rPr>
                <w:rFonts w:eastAsia="Calibri" w:cs="GHEA Grapalat"/>
                <w:bCs/>
                <w:sz w:val="20"/>
                <w:szCs w:val="20"/>
                <w:lang w:val="fr-FR"/>
              </w:rPr>
              <w:t xml:space="preserve">5 թվականից </w:t>
            </w:r>
            <w:r w:rsidRPr="0053423A">
              <w:rPr>
                <w:rFonts w:eastAsia="Calibri" w:cs="GHEA Grapalat"/>
                <w:bCs/>
                <w:sz w:val="20"/>
                <w:szCs w:val="20"/>
                <w:lang w:val="hy-AM"/>
              </w:rPr>
              <w:t xml:space="preserve">իրականացվում են պեղման աշխատանքներ </w:t>
            </w:r>
            <w:r w:rsidRPr="0053423A">
              <w:rPr>
                <w:rFonts w:eastAsia="Calibri" w:cs="GHEA Grapalat"/>
                <w:bCs/>
                <w:sz w:val="20"/>
                <w:szCs w:val="20"/>
                <w:lang w:val="fr-FR"/>
              </w:rPr>
              <w:t>պետ</w:t>
            </w:r>
            <w:r w:rsidRPr="0053423A">
              <w:rPr>
                <w:rFonts w:eastAsia="Calibri" w:cs="GHEA Grapalat"/>
                <w:bCs/>
                <w:sz w:val="20"/>
                <w:szCs w:val="20"/>
                <w:lang w:val="hy-AM"/>
              </w:rPr>
              <w:t>ական միջոցների հաշվին:</w:t>
            </w:r>
            <w:r w:rsidRPr="0053423A">
              <w:rPr>
                <w:rFonts w:eastAsia="Calibri" w:cs="GHEA Grapalat"/>
                <w:bCs/>
                <w:sz w:val="20"/>
                <w:szCs w:val="20"/>
                <w:lang w:val="af-ZA"/>
              </w:rPr>
              <w:t xml:space="preserve"> </w:t>
            </w:r>
            <w:r w:rsidRPr="0053423A">
              <w:rPr>
                <w:rFonts w:eastAsia="Calibri" w:cs="GHEA Grapalat"/>
                <w:bCs/>
                <w:sz w:val="20"/>
                <w:szCs w:val="20"/>
              </w:rPr>
              <w:t>Պատմամշակութային</w:t>
            </w:r>
            <w:r w:rsidRPr="0053423A">
              <w:rPr>
                <w:rFonts w:eastAsia="Calibri" w:cs="GHEA Grapalat"/>
                <w:bCs/>
                <w:sz w:val="20"/>
                <w:szCs w:val="20"/>
                <w:lang w:val="af-ZA"/>
              </w:rPr>
              <w:t xml:space="preserve"> </w:t>
            </w:r>
            <w:r w:rsidRPr="0053423A">
              <w:rPr>
                <w:rFonts w:eastAsia="Calibri" w:cs="GHEA Grapalat"/>
                <w:bCs/>
                <w:sz w:val="20"/>
                <w:szCs w:val="20"/>
              </w:rPr>
              <w:t>արգելոցների</w:t>
            </w:r>
            <w:r w:rsidRPr="0053423A">
              <w:rPr>
                <w:rFonts w:eastAsia="Calibri" w:cs="GHEA Grapalat"/>
                <w:bCs/>
                <w:sz w:val="20"/>
                <w:szCs w:val="20"/>
                <w:lang w:val="af-ZA"/>
              </w:rPr>
              <w:t xml:space="preserve"> </w:t>
            </w:r>
            <w:r w:rsidRPr="0053423A">
              <w:rPr>
                <w:rFonts w:eastAsia="Calibri" w:cs="GHEA Grapalat"/>
                <w:bCs/>
                <w:sz w:val="20"/>
                <w:szCs w:val="20"/>
              </w:rPr>
              <w:t>ստեղծումը</w:t>
            </w:r>
            <w:r w:rsidRPr="0053423A">
              <w:rPr>
                <w:rFonts w:eastAsia="Calibri" w:cs="GHEA Grapalat"/>
                <w:bCs/>
                <w:sz w:val="20"/>
                <w:szCs w:val="20"/>
                <w:lang w:val="af-ZA"/>
              </w:rPr>
              <w:t xml:space="preserve"> </w:t>
            </w:r>
            <w:r w:rsidRPr="0053423A">
              <w:rPr>
                <w:rFonts w:eastAsia="Calibri" w:cs="GHEA Grapalat"/>
                <w:bCs/>
                <w:sz w:val="20"/>
                <w:szCs w:val="20"/>
              </w:rPr>
              <w:t>միտված</w:t>
            </w:r>
            <w:r w:rsidRPr="0053423A">
              <w:rPr>
                <w:rFonts w:eastAsia="Calibri" w:cs="GHEA Grapalat"/>
                <w:bCs/>
                <w:sz w:val="20"/>
                <w:szCs w:val="20"/>
                <w:lang w:val="af-ZA"/>
              </w:rPr>
              <w:t xml:space="preserve"> </w:t>
            </w:r>
            <w:r w:rsidRPr="0053423A">
              <w:rPr>
                <w:rFonts w:eastAsia="Calibri" w:cs="GHEA Grapalat"/>
                <w:bCs/>
                <w:sz w:val="20"/>
                <w:szCs w:val="20"/>
              </w:rPr>
              <w:t>է</w:t>
            </w:r>
            <w:r w:rsidRPr="0053423A">
              <w:rPr>
                <w:rFonts w:eastAsia="Calibri" w:cs="GHEA Grapalat"/>
                <w:bCs/>
                <w:sz w:val="20"/>
                <w:szCs w:val="20"/>
                <w:lang w:val="af-ZA"/>
              </w:rPr>
              <w:t xml:space="preserve"> </w:t>
            </w:r>
            <w:r w:rsidRPr="0053423A">
              <w:rPr>
                <w:rFonts w:eastAsia="Calibri" w:cs="Times New Roman"/>
                <w:bCs/>
                <w:sz w:val="20"/>
                <w:szCs w:val="20"/>
                <w:lang w:val="fr-FR"/>
              </w:rPr>
              <w:t xml:space="preserve">լինելու </w:t>
            </w:r>
            <w:r w:rsidRPr="0053423A">
              <w:rPr>
                <w:rFonts w:eastAsia="Calibri" w:cs="GHEA Grapalat"/>
                <w:bCs/>
                <w:sz w:val="20"/>
                <w:szCs w:val="20"/>
                <w:lang w:val="fr-FR"/>
              </w:rPr>
              <w:t>պ</w:t>
            </w:r>
            <w:r w:rsidRPr="0053423A">
              <w:rPr>
                <w:rFonts w:eastAsia="Calibri" w:cs="GHEA Grapalat"/>
                <w:sz w:val="20"/>
                <w:szCs w:val="20"/>
              </w:rPr>
              <w:t>ատմամշակութային</w:t>
            </w:r>
            <w:r w:rsidRPr="0053423A">
              <w:rPr>
                <w:rFonts w:eastAsia="Calibri" w:cs="GHEA Grapalat"/>
                <w:sz w:val="20"/>
                <w:szCs w:val="20"/>
                <w:lang w:val="af-ZA"/>
              </w:rPr>
              <w:t xml:space="preserve"> </w:t>
            </w:r>
            <w:r w:rsidRPr="0053423A">
              <w:rPr>
                <w:rFonts w:eastAsia="Calibri" w:cs="GHEA Grapalat"/>
                <w:sz w:val="20"/>
                <w:szCs w:val="20"/>
              </w:rPr>
              <w:t>զբոսաշրջության</w:t>
            </w:r>
            <w:r w:rsidRPr="0053423A">
              <w:rPr>
                <w:rFonts w:eastAsia="Calibri" w:cs="GHEA Grapalat"/>
                <w:sz w:val="20"/>
                <w:szCs w:val="20"/>
                <w:lang w:val="af-ZA"/>
              </w:rPr>
              <w:t xml:space="preserve"> </w:t>
            </w:r>
            <w:r w:rsidRPr="0053423A">
              <w:rPr>
                <w:rFonts w:eastAsia="Calibri" w:cs="GHEA Grapalat"/>
                <w:sz w:val="20"/>
                <w:szCs w:val="20"/>
              </w:rPr>
              <w:t>հիմքի</w:t>
            </w:r>
            <w:r w:rsidRPr="0053423A">
              <w:rPr>
                <w:rFonts w:eastAsia="Calibri" w:cs="GHEA Grapalat"/>
                <w:sz w:val="20"/>
                <w:szCs w:val="20"/>
                <w:lang w:val="af-ZA"/>
              </w:rPr>
              <w:t xml:space="preserve"> </w:t>
            </w:r>
            <w:r w:rsidRPr="0053423A">
              <w:rPr>
                <w:rFonts w:eastAsia="Calibri" w:cs="GHEA Grapalat"/>
                <w:sz w:val="20"/>
                <w:szCs w:val="20"/>
              </w:rPr>
              <w:t>վրա</w:t>
            </w:r>
            <w:r w:rsidRPr="0053423A">
              <w:rPr>
                <w:rFonts w:eastAsia="Calibri" w:cs="GHEA Grapalat"/>
                <w:sz w:val="20"/>
                <w:szCs w:val="20"/>
                <w:lang w:val="af-ZA"/>
              </w:rPr>
              <w:t xml:space="preserve"> </w:t>
            </w:r>
            <w:r w:rsidRPr="0053423A">
              <w:rPr>
                <w:rFonts w:eastAsia="Calibri" w:cs="GHEA Grapalat"/>
                <w:sz w:val="20"/>
                <w:szCs w:val="20"/>
              </w:rPr>
              <w:t>զբոսաշրջության</w:t>
            </w:r>
            <w:r w:rsidRPr="0053423A">
              <w:rPr>
                <w:rFonts w:eastAsia="Calibri" w:cs="GHEA Grapalat"/>
                <w:sz w:val="20"/>
                <w:szCs w:val="20"/>
                <w:lang w:val="af-ZA"/>
              </w:rPr>
              <w:t xml:space="preserve"> </w:t>
            </w:r>
            <w:r w:rsidRPr="0053423A">
              <w:rPr>
                <w:rFonts w:eastAsia="Calibri" w:cs="GHEA Grapalat"/>
                <w:sz w:val="20"/>
                <w:szCs w:val="20"/>
              </w:rPr>
              <w:t>բոլոր</w:t>
            </w:r>
            <w:r w:rsidRPr="0053423A">
              <w:rPr>
                <w:rFonts w:eastAsia="Calibri" w:cs="GHEA Grapalat"/>
                <w:sz w:val="20"/>
                <w:szCs w:val="20"/>
                <w:lang w:val="af-ZA"/>
              </w:rPr>
              <w:t xml:space="preserve"> </w:t>
            </w:r>
            <w:r w:rsidRPr="0053423A">
              <w:rPr>
                <w:rFonts w:eastAsia="Calibri" w:cs="GHEA Grapalat"/>
                <w:sz w:val="20"/>
                <w:szCs w:val="20"/>
              </w:rPr>
              <w:t>ձևերի</w:t>
            </w:r>
            <w:r w:rsidRPr="0053423A">
              <w:rPr>
                <w:rFonts w:eastAsia="Calibri" w:cs="GHEA Grapalat"/>
                <w:sz w:val="20"/>
                <w:szCs w:val="20"/>
                <w:lang w:val="af-ZA"/>
              </w:rPr>
              <w:t xml:space="preserve"> </w:t>
            </w:r>
            <w:r w:rsidRPr="0053423A">
              <w:rPr>
                <w:rFonts w:eastAsia="Calibri" w:cs="GHEA Grapalat"/>
                <w:sz w:val="20"/>
                <w:szCs w:val="20"/>
              </w:rPr>
              <w:t>համակցությամբ</w:t>
            </w:r>
            <w:r w:rsidRPr="0053423A">
              <w:rPr>
                <w:rFonts w:eastAsia="Calibri" w:cs="GHEA Grapalat"/>
                <w:sz w:val="20"/>
                <w:szCs w:val="20"/>
                <w:lang w:val="af-ZA"/>
              </w:rPr>
              <w:t xml:space="preserve"> </w:t>
            </w:r>
            <w:r w:rsidRPr="0053423A">
              <w:rPr>
                <w:rFonts w:eastAsia="Calibri" w:cs="GHEA Grapalat"/>
                <w:sz w:val="20"/>
                <w:szCs w:val="20"/>
              </w:rPr>
              <w:t>զբոսաշրջային</w:t>
            </w:r>
            <w:r w:rsidRPr="0053423A">
              <w:rPr>
                <w:rFonts w:eastAsia="Calibri" w:cs="GHEA Grapalat"/>
                <w:sz w:val="20"/>
                <w:szCs w:val="20"/>
                <w:lang w:val="af-ZA"/>
              </w:rPr>
              <w:t xml:space="preserve"> </w:t>
            </w:r>
            <w:r w:rsidRPr="0053423A">
              <w:rPr>
                <w:rFonts w:eastAsia="Calibri" w:cs="GHEA Grapalat"/>
                <w:bCs/>
                <w:sz w:val="20"/>
                <w:szCs w:val="20"/>
              </w:rPr>
              <w:t>գրավիչ</w:t>
            </w:r>
            <w:r w:rsidRPr="0053423A">
              <w:rPr>
                <w:rFonts w:eastAsia="Calibri" w:cs="GHEA Grapalat"/>
                <w:bCs/>
                <w:sz w:val="20"/>
                <w:szCs w:val="20"/>
                <w:lang w:val="af-ZA"/>
              </w:rPr>
              <w:t xml:space="preserve"> </w:t>
            </w:r>
            <w:r w:rsidRPr="0053423A">
              <w:rPr>
                <w:rFonts w:eastAsia="Calibri" w:cs="GHEA Grapalat"/>
                <w:bCs/>
                <w:sz w:val="20"/>
                <w:szCs w:val="20"/>
              </w:rPr>
              <w:t>միջավայրի</w:t>
            </w:r>
            <w:r w:rsidRPr="0053423A">
              <w:rPr>
                <w:rFonts w:eastAsia="Calibri" w:cs="GHEA Grapalat"/>
                <w:bCs/>
                <w:sz w:val="20"/>
                <w:szCs w:val="20"/>
                <w:lang w:val="af-ZA"/>
              </w:rPr>
              <w:t xml:space="preserve"> </w:t>
            </w:r>
            <w:r w:rsidRPr="0053423A">
              <w:rPr>
                <w:rFonts w:eastAsia="Calibri" w:cs="GHEA Grapalat"/>
                <w:bCs/>
                <w:sz w:val="20"/>
                <w:szCs w:val="20"/>
              </w:rPr>
              <w:t>ձևավորմանը</w:t>
            </w:r>
            <w:r w:rsidRPr="0053423A">
              <w:rPr>
                <w:rFonts w:eastAsia="Calibri" w:cs="GHEA Grapalat"/>
                <w:bCs/>
                <w:sz w:val="20"/>
                <w:szCs w:val="20"/>
                <w:lang w:val="fr-FR"/>
              </w:rPr>
              <w:t xml:space="preserve">, </w:t>
            </w:r>
            <w:r w:rsidRPr="0053423A">
              <w:rPr>
                <w:rFonts w:eastAsia="Calibri" w:cs="GHEA Grapalat"/>
                <w:bCs/>
                <w:sz w:val="20"/>
                <w:szCs w:val="20"/>
              </w:rPr>
              <w:t>մասնավորապես՝</w:t>
            </w:r>
            <w:r w:rsidRPr="0053423A">
              <w:rPr>
                <w:rFonts w:eastAsia="Calibri" w:cs="GHEA Grapalat"/>
                <w:bCs/>
                <w:sz w:val="20"/>
                <w:szCs w:val="20"/>
                <w:lang w:val="af-ZA"/>
              </w:rPr>
              <w:t xml:space="preserve"> </w:t>
            </w:r>
            <w:r w:rsidRPr="0053423A">
              <w:rPr>
                <w:rFonts w:eastAsia="Calibri" w:cs="Sylfaen"/>
                <w:sz w:val="20"/>
                <w:szCs w:val="20"/>
                <w:lang w:val="fr-FR"/>
              </w:rPr>
              <w:t>հ</w:t>
            </w:r>
            <w:r w:rsidRPr="0053423A">
              <w:rPr>
                <w:rFonts w:eastAsia="Calibri" w:cs="Sylfaen"/>
                <w:sz w:val="20"/>
                <w:szCs w:val="20"/>
              </w:rPr>
              <w:t>ամայնքներում</w:t>
            </w:r>
            <w:r w:rsidRPr="0053423A">
              <w:rPr>
                <w:rFonts w:eastAsia="Calibri" w:cs="Sylfaen"/>
                <w:sz w:val="20"/>
                <w:szCs w:val="20"/>
                <w:lang w:val="af-ZA"/>
              </w:rPr>
              <w:t xml:space="preserve"> </w:t>
            </w:r>
            <w:r w:rsidRPr="0053423A">
              <w:rPr>
                <w:rFonts w:eastAsia="Calibri" w:cs="Sylfaen"/>
                <w:sz w:val="20"/>
                <w:szCs w:val="20"/>
              </w:rPr>
              <w:t>զբոսաշրջության</w:t>
            </w:r>
            <w:r w:rsidRPr="0053423A">
              <w:rPr>
                <w:rFonts w:eastAsia="Calibri" w:cs="Sylfaen"/>
                <w:sz w:val="20"/>
                <w:szCs w:val="20"/>
                <w:lang w:val="af-ZA"/>
              </w:rPr>
              <w:t xml:space="preserve"> </w:t>
            </w:r>
            <w:r w:rsidRPr="0053423A">
              <w:rPr>
                <w:rFonts w:eastAsia="Calibri" w:cs="Sylfaen"/>
                <w:sz w:val="20"/>
                <w:szCs w:val="20"/>
              </w:rPr>
              <w:t>զարգացում</w:t>
            </w:r>
            <w:r w:rsidRPr="0053423A">
              <w:rPr>
                <w:rFonts w:eastAsia="Calibri" w:cs="Sylfaen"/>
                <w:sz w:val="20"/>
                <w:szCs w:val="20"/>
                <w:lang w:val="fr-FR"/>
              </w:rPr>
              <w:t xml:space="preserve">, </w:t>
            </w:r>
            <w:r w:rsidRPr="0053423A">
              <w:rPr>
                <w:rFonts w:eastAsia="Calibri" w:cs="Sylfaen"/>
                <w:sz w:val="20"/>
                <w:szCs w:val="20"/>
              </w:rPr>
              <w:t>տեղական</w:t>
            </w:r>
            <w:r w:rsidRPr="0053423A">
              <w:rPr>
                <w:rFonts w:eastAsia="Calibri" w:cs="Sylfaen"/>
                <w:sz w:val="20"/>
                <w:szCs w:val="20"/>
                <w:lang w:val="af-ZA"/>
              </w:rPr>
              <w:t xml:space="preserve"> </w:t>
            </w:r>
            <w:r w:rsidRPr="0053423A">
              <w:rPr>
                <w:rFonts w:eastAsia="Calibri" w:cs="Sylfaen"/>
                <w:sz w:val="20"/>
                <w:szCs w:val="20"/>
              </w:rPr>
              <w:t>ավանդույթների</w:t>
            </w:r>
            <w:r w:rsidRPr="0053423A">
              <w:rPr>
                <w:rFonts w:eastAsia="Calibri" w:cs="Sylfaen"/>
                <w:sz w:val="20"/>
                <w:szCs w:val="20"/>
                <w:lang w:val="af-ZA"/>
              </w:rPr>
              <w:t xml:space="preserve"> </w:t>
            </w:r>
            <w:r w:rsidRPr="0053423A">
              <w:rPr>
                <w:rFonts w:eastAsia="Calibri" w:cs="Sylfaen"/>
                <w:sz w:val="20"/>
                <w:szCs w:val="20"/>
              </w:rPr>
              <w:t>վերականգնում</w:t>
            </w:r>
            <w:r w:rsidRPr="0053423A">
              <w:rPr>
                <w:rFonts w:eastAsia="Calibri" w:cs="Sylfaen"/>
                <w:sz w:val="20"/>
                <w:szCs w:val="20"/>
                <w:lang w:val="fr-FR"/>
              </w:rPr>
              <w:t xml:space="preserve">, </w:t>
            </w:r>
            <w:r w:rsidRPr="0053423A">
              <w:rPr>
                <w:rFonts w:eastAsia="Calibri" w:cs="Sylfaen"/>
                <w:sz w:val="20"/>
                <w:szCs w:val="20"/>
              </w:rPr>
              <w:t>զբոսաշրջային</w:t>
            </w:r>
            <w:r w:rsidRPr="0053423A">
              <w:rPr>
                <w:rFonts w:eastAsia="Calibri" w:cs="Sylfaen"/>
                <w:sz w:val="20"/>
                <w:szCs w:val="20"/>
                <w:lang w:val="af-ZA"/>
              </w:rPr>
              <w:t xml:space="preserve"> </w:t>
            </w:r>
            <w:r w:rsidRPr="0053423A">
              <w:rPr>
                <w:rFonts w:eastAsia="Calibri" w:cs="Sylfaen"/>
                <w:sz w:val="20"/>
                <w:szCs w:val="20"/>
              </w:rPr>
              <w:t>ներուժի</w:t>
            </w:r>
            <w:r w:rsidRPr="0053423A">
              <w:rPr>
                <w:rFonts w:eastAsia="Calibri" w:cs="Sylfaen"/>
                <w:sz w:val="20"/>
                <w:szCs w:val="20"/>
                <w:lang w:val="af-ZA"/>
              </w:rPr>
              <w:t xml:space="preserve"> </w:t>
            </w:r>
            <w:r w:rsidRPr="0053423A">
              <w:rPr>
                <w:rFonts w:eastAsia="Calibri" w:cs="Sylfaen"/>
                <w:sz w:val="20"/>
                <w:szCs w:val="20"/>
              </w:rPr>
              <w:t>բացահայտում</w:t>
            </w:r>
            <w:r w:rsidRPr="0053423A">
              <w:rPr>
                <w:rFonts w:eastAsia="Calibri" w:cs="Sylfaen"/>
                <w:sz w:val="20"/>
                <w:szCs w:val="20"/>
                <w:lang w:val="fr-FR"/>
              </w:rPr>
              <w:t xml:space="preserve">, </w:t>
            </w:r>
            <w:r w:rsidRPr="0053423A">
              <w:rPr>
                <w:rFonts w:eastAsia="Calibri" w:cs="Sylfaen"/>
                <w:sz w:val="20"/>
                <w:szCs w:val="20"/>
              </w:rPr>
              <w:t>զբոսաշրջայինարդյունքի</w:t>
            </w:r>
            <w:r w:rsidRPr="0053423A">
              <w:rPr>
                <w:rFonts w:eastAsia="Calibri" w:cs="Sylfaen"/>
                <w:sz w:val="20"/>
                <w:szCs w:val="20"/>
                <w:lang w:val="af-ZA"/>
              </w:rPr>
              <w:t xml:space="preserve"> </w:t>
            </w:r>
            <w:r w:rsidRPr="0053423A">
              <w:rPr>
                <w:rFonts w:eastAsia="Calibri" w:cs="Sylfaen"/>
                <w:sz w:val="20"/>
                <w:szCs w:val="20"/>
              </w:rPr>
              <w:t>դիվերսիֆիկացում</w:t>
            </w:r>
            <w:r w:rsidRPr="0053423A">
              <w:rPr>
                <w:rFonts w:eastAsia="Calibri" w:cs="Sylfaen"/>
                <w:sz w:val="20"/>
                <w:szCs w:val="20"/>
                <w:lang w:val="fr-FR"/>
              </w:rPr>
              <w:t xml:space="preserve">, </w:t>
            </w:r>
            <w:r w:rsidRPr="0053423A">
              <w:rPr>
                <w:rFonts w:eastAsia="Calibri" w:cs="GHEA Grapalat"/>
                <w:sz w:val="20"/>
                <w:szCs w:val="20"/>
                <w:lang w:val="fr-FR"/>
              </w:rPr>
              <w:t xml:space="preserve">նոր </w:t>
            </w:r>
            <w:r w:rsidRPr="0053423A">
              <w:rPr>
                <w:rFonts w:eastAsia="Calibri" w:cs="Sylfaen"/>
                <w:sz w:val="20"/>
                <w:szCs w:val="20"/>
              </w:rPr>
              <w:t>զբոսաշրջային</w:t>
            </w:r>
            <w:r w:rsidRPr="0053423A">
              <w:rPr>
                <w:rFonts w:eastAsia="Calibri" w:cs="Sylfaen"/>
                <w:sz w:val="20"/>
                <w:szCs w:val="20"/>
                <w:lang w:val="af-ZA"/>
              </w:rPr>
              <w:t xml:space="preserve"> </w:t>
            </w:r>
            <w:r w:rsidRPr="0053423A">
              <w:rPr>
                <w:rFonts w:eastAsia="Calibri" w:cs="Sylfaen"/>
                <w:sz w:val="20"/>
                <w:szCs w:val="20"/>
              </w:rPr>
              <w:t>երթուղիների</w:t>
            </w:r>
            <w:r w:rsidRPr="0053423A">
              <w:rPr>
                <w:rFonts w:eastAsia="Calibri" w:cs="Sylfaen"/>
                <w:sz w:val="20"/>
                <w:szCs w:val="20"/>
                <w:lang w:val="af-ZA"/>
              </w:rPr>
              <w:t xml:space="preserve"> </w:t>
            </w:r>
            <w:r w:rsidRPr="0053423A">
              <w:rPr>
                <w:rFonts w:eastAsia="Calibri" w:cs="Sylfaen"/>
                <w:sz w:val="20"/>
                <w:szCs w:val="20"/>
              </w:rPr>
              <w:t>ձևավորում</w:t>
            </w:r>
            <w:r w:rsidRPr="0053423A">
              <w:rPr>
                <w:rFonts w:eastAsia="Calibri" w:cs="Sylfaen"/>
                <w:sz w:val="20"/>
                <w:szCs w:val="20"/>
                <w:lang w:val="af-ZA"/>
              </w:rPr>
              <w:t xml:space="preserve"> </w:t>
            </w:r>
            <w:r w:rsidRPr="0053423A">
              <w:rPr>
                <w:rFonts w:eastAsia="Calibri" w:cs="Sylfaen"/>
                <w:sz w:val="20"/>
                <w:szCs w:val="20"/>
              </w:rPr>
              <w:t>և</w:t>
            </w:r>
            <w:r w:rsidRPr="0053423A">
              <w:rPr>
                <w:rFonts w:eastAsia="Calibri" w:cs="Sylfaen"/>
                <w:sz w:val="20"/>
                <w:szCs w:val="20"/>
                <w:lang w:val="af-ZA"/>
              </w:rPr>
              <w:t xml:space="preserve"> </w:t>
            </w:r>
            <w:r w:rsidRPr="0053423A">
              <w:rPr>
                <w:rFonts w:eastAsia="Calibri" w:cs="Sylfaen"/>
                <w:sz w:val="20"/>
                <w:szCs w:val="20"/>
              </w:rPr>
              <w:t>միջազգային</w:t>
            </w:r>
            <w:r w:rsidRPr="0053423A">
              <w:rPr>
                <w:rFonts w:eastAsia="Calibri" w:cs="Sylfaen"/>
                <w:sz w:val="20"/>
                <w:szCs w:val="20"/>
                <w:lang w:val="af-ZA"/>
              </w:rPr>
              <w:t xml:space="preserve"> </w:t>
            </w:r>
            <w:r w:rsidRPr="0053423A">
              <w:rPr>
                <w:rFonts w:eastAsia="Calibri" w:cs="Sylfaen"/>
                <w:sz w:val="20"/>
                <w:szCs w:val="20"/>
              </w:rPr>
              <w:t>ու</w:t>
            </w:r>
            <w:r w:rsidRPr="0053423A">
              <w:rPr>
                <w:rFonts w:eastAsia="Calibri" w:cs="Sylfaen"/>
                <w:sz w:val="20"/>
                <w:szCs w:val="20"/>
                <w:lang w:val="af-ZA"/>
              </w:rPr>
              <w:t xml:space="preserve"> </w:t>
            </w:r>
            <w:r w:rsidRPr="0053423A">
              <w:rPr>
                <w:rFonts w:eastAsia="Calibri" w:cs="Sylfaen"/>
                <w:sz w:val="20"/>
                <w:szCs w:val="20"/>
              </w:rPr>
              <w:t>ներքին</w:t>
            </w:r>
            <w:r w:rsidRPr="0053423A">
              <w:rPr>
                <w:rFonts w:eastAsia="Calibri" w:cs="Sylfaen"/>
                <w:sz w:val="20"/>
                <w:szCs w:val="20"/>
                <w:lang w:val="af-ZA"/>
              </w:rPr>
              <w:t xml:space="preserve"> </w:t>
            </w:r>
            <w:r w:rsidRPr="0053423A">
              <w:rPr>
                <w:rFonts w:eastAsia="Calibri" w:cs="Sylfaen"/>
                <w:sz w:val="20"/>
                <w:szCs w:val="20"/>
              </w:rPr>
              <w:t>շուկայում</w:t>
            </w:r>
            <w:r w:rsidRPr="0053423A">
              <w:rPr>
                <w:rFonts w:eastAsia="Calibri" w:cs="Sylfaen"/>
                <w:sz w:val="20"/>
                <w:szCs w:val="20"/>
                <w:lang w:val="af-ZA"/>
              </w:rPr>
              <w:t xml:space="preserve"> </w:t>
            </w:r>
            <w:r w:rsidRPr="0053423A">
              <w:rPr>
                <w:rFonts w:eastAsia="Calibri" w:cs="Sylfaen"/>
                <w:sz w:val="20"/>
                <w:szCs w:val="20"/>
              </w:rPr>
              <w:t>պատշաճ</w:t>
            </w:r>
            <w:r w:rsidRPr="0053423A">
              <w:rPr>
                <w:rFonts w:eastAsia="Calibri" w:cs="Sylfaen"/>
                <w:sz w:val="20"/>
                <w:szCs w:val="20"/>
                <w:lang w:val="af-ZA"/>
              </w:rPr>
              <w:t xml:space="preserve"> </w:t>
            </w:r>
            <w:r w:rsidRPr="0053423A">
              <w:rPr>
                <w:rFonts w:eastAsia="Calibri" w:cs="Sylfaen"/>
                <w:sz w:val="20"/>
                <w:szCs w:val="20"/>
              </w:rPr>
              <w:t>ներկայացում</w:t>
            </w:r>
            <w:r w:rsidRPr="0053423A">
              <w:rPr>
                <w:rFonts w:eastAsia="Calibri" w:cs="Sylfaen"/>
                <w:sz w:val="20"/>
                <w:szCs w:val="20"/>
                <w:lang w:val="fr-FR"/>
              </w:rPr>
              <w:t xml:space="preserve">, </w:t>
            </w:r>
            <w:r w:rsidRPr="0053423A">
              <w:rPr>
                <w:rFonts w:eastAsia="Calibri" w:cs="Sylfaen"/>
                <w:sz w:val="20"/>
                <w:szCs w:val="20"/>
              </w:rPr>
              <w:t>այդթվում՝</w:t>
            </w:r>
            <w:r w:rsidRPr="0053423A">
              <w:rPr>
                <w:rFonts w:eastAsia="Calibri" w:cs="Sylfaen"/>
                <w:sz w:val="20"/>
                <w:szCs w:val="20"/>
                <w:lang w:val="af-ZA"/>
              </w:rPr>
              <w:t xml:space="preserve"> </w:t>
            </w:r>
            <w:r w:rsidRPr="0053423A">
              <w:rPr>
                <w:rFonts w:eastAsia="Calibri" w:cs="Sylfaen"/>
                <w:sz w:val="20"/>
                <w:szCs w:val="20"/>
              </w:rPr>
              <w:t>ավանդական</w:t>
            </w:r>
            <w:r w:rsidRPr="0053423A">
              <w:rPr>
                <w:rFonts w:eastAsia="Calibri" w:cs="Sylfaen"/>
                <w:sz w:val="20"/>
                <w:szCs w:val="20"/>
                <w:lang w:val="af-ZA"/>
              </w:rPr>
              <w:t xml:space="preserve"> </w:t>
            </w:r>
            <w:r w:rsidRPr="0053423A">
              <w:rPr>
                <w:rFonts w:eastAsia="Calibri" w:cs="Sylfaen"/>
                <w:sz w:val="20"/>
                <w:szCs w:val="20"/>
              </w:rPr>
              <w:t>տոնակատարությունների</w:t>
            </w:r>
            <w:r w:rsidRPr="0053423A">
              <w:rPr>
                <w:rFonts w:eastAsia="Calibri" w:cs="Sylfaen"/>
                <w:sz w:val="20"/>
                <w:szCs w:val="20"/>
                <w:lang w:val="fr-FR"/>
              </w:rPr>
              <w:t xml:space="preserve">, </w:t>
            </w:r>
            <w:r w:rsidRPr="0053423A">
              <w:rPr>
                <w:rFonts w:eastAsia="Calibri" w:cs="Sylfaen"/>
                <w:sz w:val="20"/>
                <w:szCs w:val="20"/>
              </w:rPr>
              <w:t>փառատոների</w:t>
            </w:r>
            <w:r w:rsidRPr="0053423A">
              <w:rPr>
                <w:rFonts w:eastAsia="Calibri" w:cs="Sylfaen"/>
                <w:sz w:val="20"/>
                <w:szCs w:val="20"/>
                <w:lang w:val="af-ZA"/>
              </w:rPr>
              <w:t xml:space="preserve"> </w:t>
            </w:r>
            <w:r w:rsidRPr="0053423A">
              <w:rPr>
                <w:rFonts w:eastAsia="Calibri" w:cs="Sylfaen"/>
                <w:sz w:val="20"/>
                <w:szCs w:val="20"/>
              </w:rPr>
              <w:t>կազմակերպման</w:t>
            </w:r>
            <w:r w:rsidRPr="0053423A">
              <w:rPr>
                <w:rFonts w:eastAsia="Calibri" w:cs="Sylfaen"/>
                <w:sz w:val="20"/>
                <w:szCs w:val="20"/>
                <w:lang w:val="af-ZA"/>
              </w:rPr>
              <w:t xml:space="preserve"> </w:t>
            </w:r>
            <w:r w:rsidRPr="0053423A">
              <w:rPr>
                <w:rFonts w:eastAsia="Calibri" w:cs="Sylfaen"/>
                <w:sz w:val="20"/>
                <w:szCs w:val="20"/>
              </w:rPr>
              <w:t>միջոցով</w:t>
            </w:r>
            <w:r w:rsidRPr="0053423A">
              <w:rPr>
                <w:rFonts w:eastAsia="Calibri" w:cs="Sylfaen"/>
                <w:sz w:val="20"/>
                <w:szCs w:val="20"/>
                <w:lang w:val="fr-FR"/>
              </w:rPr>
              <w:t>:</w:t>
            </w:r>
          </w:p>
          <w:p w:rsidR="00A67B6B" w:rsidRPr="0053423A" w:rsidRDefault="00A67B6B" w:rsidP="00A67858">
            <w:pPr>
              <w:tabs>
                <w:tab w:val="left" w:pos="508"/>
              </w:tabs>
              <w:spacing w:after="0" w:line="276" w:lineRule="auto"/>
              <w:contextualSpacing/>
              <w:jc w:val="both"/>
              <w:rPr>
                <w:rFonts w:eastAsia="Calibri" w:cs="Sylfaen"/>
                <w:sz w:val="20"/>
                <w:szCs w:val="20"/>
                <w:lang w:val="fr-FR"/>
              </w:rPr>
            </w:pPr>
          </w:p>
          <w:p w:rsidR="00A67B6B" w:rsidRPr="0053423A" w:rsidRDefault="00A67B6B" w:rsidP="001F6D5D">
            <w:pPr>
              <w:numPr>
                <w:ilvl w:val="1"/>
                <w:numId w:val="221"/>
              </w:numPr>
              <w:tabs>
                <w:tab w:val="left" w:pos="508"/>
              </w:tabs>
              <w:spacing w:after="0" w:line="276" w:lineRule="auto"/>
              <w:ind w:hanging="720"/>
              <w:contextualSpacing/>
              <w:rPr>
                <w:rFonts w:eastAsia="Calibri" w:cs="Times New Roman"/>
                <w:b/>
                <w:sz w:val="20"/>
                <w:szCs w:val="20"/>
              </w:rPr>
            </w:pPr>
            <w:r w:rsidRPr="0053423A">
              <w:rPr>
                <w:rFonts w:eastAsia="Calibri" w:cs="Sylfaen"/>
                <w:b/>
                <w:sz w:val="20"/>
                <w:szCs w:val="20"/>
              </w:rPr>
              <w:t>Առկա</w:t>
            </w:r>
            <w:r w:rsidRPr="0053423A">
              <w:rPr>
                <w:rFonts w:eastAsia="Calibri" w:cs="Times New Roman"/>
                <w:b/>
                <w:sz w:val="20"/>
                <w:szCs w:val="20"/>
              </w:rPr>
              <w:t xml:space="preserve"> խնդիրների առաջարկվող լուծումները</w:t>
            </w:r>
          </w:p>
          <w:p w:rsidR="00A67B6B" w:rsidRPr="0053423A" w:rsidRDefault="00A67B6B" w:rsidP="00A67858">
            <w:pPr>
              <w:tabs>
                <w:tab w:val="left" w:pos="508"/>
              </w:tabs>
              <w:spacing w:after="0" w:line="276" w:lineRule="auto"/>
              <w:contextualSpacing/>
              <w:jc w:val="both"/>
              <w:rPr>
                <w:rFonts w:eastAsia="Calibri" w:cs="GHEA Grapalat"/>
                <w:bCs/>
                <w:iCs/>
                <w:sz w:val="20"/>
                <w:szCs w:val="20"/>
                <w:lang w:val="tr-TR"/>
              </w:rPr>
            </w:pPr>
            <w:r w:rsidRPr="0053423A">
              <w:rPr>
                <w:rFonts w:eastAsia="Calibri" w:cs="GHEA Grapalat"/>
                <w:sz w:val="20"/>
                <w:szCs w:val="20"/>
                <w:lang w:val="hy-AM"/>
              </w:rPr>
              <w:t>Պատմամշակութային ա</w:t>
            </w:r>
            <w:r w:rsidRPr="0053423A">
              <w:rPr>
                <w:rFonts w:eastAsia="Calibri" w:cs="GHEA Grapalat"/>
                <w:sz w:val="20"/>
                <w:szCs w:val="20"/>
                <w:lang w:val="af-ZA"/>
              </w:rPr>
              <w:t xml:space="preserve">րգելոցների ստեղծումը </w:t>
            </w:r>
            <w:r w:rsidRPr="0053423A">
              <w:rPr>
                <w:rFonts w:eastAsia="Calibri" w:cs="GHEA Grapalat"/>
                <w:sz w:val="20"/>
                <w:szCs w:val="20"/>
                <w:lang w:val="hy-AM"/>
              </w:rPr>
              <w:t xml:space="preserve">միտված </w:t>
            </w:r>
            <w:r w:rsidRPr="0053423A">
              <w:rPr>
                <w:rFonts w:eastAsia="Calibri" w:cs="GHEA Grapalat"/>
                <w:sz w:val="20"/>
                <w:szCs w:val="20"/>
              </w:rPr>
              <w:t>է</w:t>
            </w:r>
            <w:r w:rsidRPr="0053423A">
              <w:rPr>
                <w:rFonts w:eastAsia="Calibri" w:cs="GHEA Grapalat"/>
                <w:sz w:val="20"/>
                <w:szCs w:val="20"/>
                <w:lang w:val="hy-AM"/>
              </w:rPr>
              <w:t xml:space="preserve"> պատմական, հնագիտական, ճարտարապետական հուշարձանների, համալիրների, հուշարձանախմբերի, պատմական և բնապատմական միջավայրի, մշակութային այլ արժեքների ուսումնասիրման և հանրահռչակման աշխատանքների արդյունավետության բարձրացմանը</w:t>
            </w:r>
            <w:r w:rsidRPr="0053423A">
              <w:rPr>
                <w:rFonts w:eastAsia="Calibri" w:cs="GHEA Grapalat"/>
                <w:sz w:val="20"/>
                <w:szCs w:val="20"/>
                <w:lang w:val="fr-FR"/>
              </w:rPr>
              <w:t xml:space="preserve">, </w:t>
            </w:r>
            <w:r w:rsidRPr="0053423A">
              <w:rPr>
                <w:rFonts w:eastAsia="Calibri" w:cs="GHEA Grapalat"/>
                <w:sz w:val="20"/>
                <w:szCs w:val="20"/>
              </w:rPr>
              <w:t xml:space="preserve">ինչպես նաև </w:t>
            </w:r>
            <w:r w:rsidRPr="0053423A">
              <w:rPr>
                <w:rFonts w:eastAsia="Calibri" w:cs="Sylfaen"/>
                <w:sz w:val="20"/>
                <w:szCs w:val="20"/>
              </w:rPr>
              <w:t xml:space="preserve">միջազգային </w:t>
            </w:r>
            <w:r w:rsidRPr="0053423A">
              <w:rPr>
                <w:rFonts w:eastAsia="Calibri" w:cs="GHEA Grapalat"/>
                <w:sz w:val="20"/>
                <w:szCs w:val="20"/>
                <w:lang w:val="fr-FR"/>
              </w:rPr>
              <w:t xml:space="preserve">կազմակերպությունների </w:t>
            </w:r>
            <w:r w:rsidRPr="0053423A">
              <w:rPr>
                <w:rFonts w:eastAsia="Calibri" w:cs="Sylfaen"/>
                <w:sz w:val="20"/>
                <w:szCs w:val="20"/>
              </w:rPr>
              <w:t>և մասնավոր հատվածի հետ համագործակցությամբ համայնքներում տնտեսական և զբոսաշրջային ենթակառուցվածքների զարգացման ծրագրի իրականացմանը</w:t>
            </w:r>
            <w:r w:rsidRPr="0053423A">
              <w:rPr>
                <w:rFonts w:eastAsia="Calibri" w:cs="Sylfaen"/>
                <w:sz w:val="20"/>
                <w:szCs w:val="20"/>
                <w:lang w:val="fr-FR"/>
              </w:rPr>
              <w:t xml:space="preserve">: </w:t>
            </w:r>
            <w:r w:rsidRPr="0053423A">
              <w:rPr>
                <w:rFonts w:eastAsia="Calibri" w:cs="GHEA Grapalat"/>
                <w:sz w:val="20"/>
                <w:szCs w:val="20"/>
              </w:rPr>
              <w:t>Արգելոց</w:t>
            </w:r>
            <w:r w:rsidRPr="0053423A">
              <w:rPr>
                <w:rFonts w:eastAsia="Calibri" w:cs="GHEA Grapalat"/>
                <w:sz w:val="20"/>
                <w:szCs w:val="20"/>
                <w:lang w:val="af-ZA"/>
              </w:rPr>
              <w:t>-</w:t>
            </w:r>
            <w:r w:rsidRPr="0053423A">
              <w:rPr>
                <w:rFonts w:eastAsia="Calibri" w:cs="GHEA Grapalat"/>
                <w:sz w:val="20"/>
                <w:szCs w:val="20"/>
              </w:rPr>
              <w:t>թանգարանի</w:t>
            </w:r>
            <w:r w:rsidRPr="0053423A">
              <w:rPr>
                <w:rFonts w:eastAsia="Calibri" w:cs="GHEA Grapalat"/>
                <w:sz w:val="20"/>
                <w:szCs w:val="20"/>
                <w:lang w:val="af-ZA"/>
              </w:rPr>
              <w:t xml:space="preserve"> հուշարձանների շուրջ </w:t>
            </w:r>
            <w:r w:rsidRPr="0053423A">
              <w:rPr>
                <w:rFonts w:eastAsia="Calibri" w:cs="GHEA Grapalat"/>
                <w:sz w:val="20"/>
                <w:szCs w:val="20"/>
                <w:lang w:val="fr-FR"/>
              </w:rPr>
              <w:t>պատմամշակութային</w:t>
            </w:r>
            <w:r w:rsidRPr="0053423A">
              <w:rPr>
                <w:rFonts w:eastAsia="Calibri" w:cs="GHEA Grapalat"/>
                <w:sz w:val="20"/>
                <w:szCs w:val="20"/>
                <w:lang w:val="af-ZA"/>
              </w:rPr>
              <w:t xml:space="preserve"> արգելոցների ստեղծում</w:t>
            </w:r>
            <w:r w:rsidRPr="0053423A">
              <w:rPr>
                <w:rFonts w:eastAsia="Calibri" w:cs="GHEA Grapalat"/>
                <w:sz w:val="20"/>
                <w:szCs w:val="20"/>
                <w:lang w:val="hy-AM"/>
              </w:rPr>
              <w:t>,</w:t>
            </w:r>
            <w:r w:rsidRPr="0053423A">
              <w:rPr>
                <w:rFonts w:eastAsia="Calibri" w:cs="GHEA Grapalat"/>
                <w:sz w:val="20"/>
                <w:szCs w:val="20"/>
              </w:rPr>
              <w:t xml:space="preserve"> </w:t>
            </w:r>
            <w:r w:rsidRPr="0053423A">
              <w:rPr>
                <w:rFonts w:eastAsia="Calibri" w:cs="GHEA Grapalat"/>
                <w:sz w:val="20"/>
                <w:szCs w:val="20"/>
                <w:lang w:val="hy-AM"/>
              </w:rPr>
              <w:t>պ</w:t>
            </w:r>
            <w:r w:rsidRPr="0053423A">
              <w:rPr>
                <w:rFonts w:eastAsia="Calibri" w:cs="GHEA Grapalat"/>
                <w:bCs/>
                <w:iCs/>
                <w:sz w:val="20"/>
                <w:szCs w:val="20"/>
                <w:lang w:val="tr-TR"/>
              </w:rPr>
              <w:t>ատմության և մշակույթի անշարժ հուշարձանների օգտագործման և հանրահռչակման բնագավառում արդյունավետության, ներդրումային դաշտի գրավչության բարձրացում և զբոսաշրջության ծավալների ընդլայնում:</w:t>
            </w:r>
          </w:p>
          <w:p w:rsidR="00A67B6B" w:rsidRPr="0053423A" w:rsidRDefault="00A67B6B" w:rsidP="00A67858">
            <w:pPr>
              <w:tabs>
                <w:tab w:val="left" w:pos="508"/>
              </w:tabs>
              <w:spacing w:after="0" w:line="276" w:lineRule="auto"/>
              <w:contextualSpacing/>
              <w:jc w:val="both"/>
              <w:rPr>
                <w:rFonts w:eastAsia="Calibri" w:cs="GHEA Grapalat"/>
                <w:bCs/>
                <w:iCs/>
                <w:sz w:val="20"/>
                <w:szCs w:val="20"/>
                <w:lang w:val="tr-TR"/>
              </w:rPr>
            </w:pPr>
          </w:p>
          <w:p w:rsidR="00A67B6B" w:rsidRPr="0053423A" w:rsidRDefault="00A67B6B" w:rsidP="001F6D5D">
            <w:pPr>
              <w:numPr>
                <w:ilvl w:val="0"/>
                <w:numId w:val="221"/>
              </w:numPr>
              <w:tabs>
                <w:tab w:val="left" w:pos="508"/>
              </w:tabs>
              <w:spacing w:after="0" w:line="276" w:lineRule="auto"/>
              <w:ind w:left="0" w:firstLine="0"/>
              <w:contextualSpacing/>
              <w:rPr>
                <w:rFonts w:eastAsia="Calibri" w:cs="Times New Roman"/>
                <w:b/>
                <w:sz w:val="20"/>
                <w:szCs w:val="20"/>
              </w:rPr>
            </w:pPr>
            <w:r w:rsidRPr="0053423A">
              <w:rPr>
                <w:rFonts w:eastAsia="Calibri" w:cs="Times New Roman"/>
                <w:b/>
                <w:sz w:val="20"/>
                <w:szCs w:val="20"/>
              </w:rPr>
              <w:t>Միջոցառման իրակա</w:t>
            </w:r>
            <w:r w:rsidRPr="0053423A">
              <w:rPr>
                <w:rFonts w:eastAsia="Calibri" w:cs="Times New Roman"/>
                <w:b/>
                <w:sz w:val="20"/>
                <w:szCs w:val="20"/>
                <w:lang w:val="hy-AM"/>
              </w:rPr>
              <w:t>նա</w:t>
            </w:r>
            <w:r w:rsidRPr="0053423A">
              <w:rPr>
                <w:rFonts w:eastAsia="Calibri" w:cs="Times New Roman"/>
                <w:b/>
                <w:sz w:val="20"/>
                <w:szCs w:val="20"/>
              </w:rPr>
              <w:t>ցումից ակնկալվող արդյունքը</w:t>
            </w:r>
          </w:p>
          <w:p w:rsidR="00A67B6B" w:rsidRPr="0053423A" w:rsidRDefault="00A67B6B" w:rsidP="00A67858">
            <w:pPr>
              <w:tabs>
                <w:tab w:val="left" w:pos="508"/>
              </w:tabs>
              <w:spacing w:after="0" w:line="276" w:lineRule="auto"/>
              <w:contextualSpacing/>
              <w:jc w:val="both"/>
              <w:rPr>
                <w:rFonts w:eastAsia="Calibri" w:cs="GHEA Grapalat"/>
                <w:sz w:val="20"/>
                <w:szCs w:val="20"/>
                <w:lang w:val="af-ZA"/>
              </w:rPr>
            </w:pPr>
            <w:r w:rsidRPr="0053423A">
              <w:rPr>
                <w:rFonts w:eastAsia="Calibri" w:cs="GHEA Grapalat"/>
                <w:sz w:val="20"/>
                <w:szCs w:val="20"/>
                <w:lang w:val="hy-AM"/>
              </w:rPr>
              <w:t>Նախագծի ընդունման արդյունքում կապահովվի</w:t>
            </w:r>
            <w:r w:rsidRPr="0053423A">
              <w:rPr>
                <w:rFonts w:eastAsia="Calibri" w:cs="GHEA Grapalat"/>
                <w:sz w:val="20"/>
                <w:szCs w:val="20"/>
              </w:rPr>
              <w:t xml:space="preserve"> </w:t>
            </w:r>
            <w:r w:rsidRPr="0053423A">
              <w:rPr>
                <w:rFonts w:eastAsia="Calibri" w:cs="GHEA Grapalat"/>
                <w:sz w:val="20"/>
                <w:szCs w:val="20"/>
                <w:lang w:val="hy-AM"/>
              </w:rPr>
              <w:t xml:space="preserve">հուշարձանախմբի ամբողջ տարածքի պատշաճ պահպանությունը, մասնագիտական ամբողջական ուսումնասիրման ու հանրահռչակման հնարավորությունը, զբոսաշրջության </w:t>
            </w:r>
            <w:r w:rsidRPr="0053423A">
              <w:rPr>
                <w:rFonts w:eastAsia="Calibri" w:cs="GHEA Grapalat"/>
                <w:sz w:val="20"/>
                <w:szCs w:val="20"/>
                <w:lang w:val="fr-FR"/>
              </w:rPr>
              <w:t>երթուղիներում</w:t>
            </w:r>
            <w:r w:rsidRPr="0053423A">
              <w:rPr>
                <w:rFonts w:eastAsia="Calibri" w:cs="GHEA Grapalat"/>
                <w:sz w:val="20"/>
                <w:szCs w:val="20"/>
                <w:lang w:val="hy-AM"/>
              </w:rPr>
              <w:t xml:space="preserve"> արգելոցների ներգրավումը, ինչպես նաև պետական ֆինանսավորման առավել արդյունավետ օգտագործումը:</w:t>
            </w:r>
            <w:r w:rsidRPr="0053423A">
              <w:rPr>
                <w:rFonts w:eastAsia="Calibri" w:cs="GHEA Grapalat"/>
                <w:sz w:val="20"/>
                <w:szCs w:val="20"/>
              </w:rPr>
              <w:t xml:space="preserve"> </w:t>
            </w:r>
            <w:r w:rsidRPr="0053423A">
              <w:rPr>
                <w:rFonts w:eastAsia="Calibri" w:cs="GHEA Grapalat"/>
                <w:sz w:val="20"/>
                <w:szCs w:val="20"/>
                <w:lang w:val="hy-AM"/>
              </w:rPr>
              <w:t>Միաժամանակ</w:t>
            </w:r>
            <w:r w:rsidRPr="0053423A">
              <w:rPr>
                <w:rFonts w:eastAsia="Calibri" w:cs="GHEA Grapalat"/>
                <w:sz w:val="20"/>
                <w:szCs w:val="20"/>
                <w:lang w:val="af-ZA"/>
              </w:rPr>
              <w:t xml:space="preserve">, </w:t>
            </w:r>
            <w:r w:rsidRPr="0053423A">
              <w:rPr>
                <w:rFonts w:eastAsia="Calibri" w:cs="GHEA Grapalat"/>
                <w:sz w:val="20"/>
                <w:szCs w:val="20"/>
                <w:lang w:val="hy-AM"/>
              </w:rPr>
              <w:t>արգելոցների</w:t>
            </w:r>
            <w:r w:rsidRPr="0053423A">
              <w:rPr>
                <w:rFonts w:eastAsia="Calibri" w:cs="GHEA Grapalat"/>
                <w:sz w:val="20"/>
                <w:szCs w:val="20"/>
              </w:rPr>
              <w:t xml:space="preserve"> </w:t>
            </w:r>
            <w:r w:rsidRPr="0053423A">
              <w:rPr>
                <w:rFonts w:eastAsia="Calibri" w:cs="GHEA Grapalat"/>
                <w:sz w:val="20"/>
                <w:szCs w:val="20"/>
                <w:lang w:val="hy-AM"/>
              </w:rPr>
              <w:t>ստեղծումը</w:t>
            </w:r>
            <w:r w:rsidRPr="0053423A">
              <w:rPr>
                <w:rFonts w:eastAsia="Calibri" w:cs="GHEA Grapalat"/>
                <w:sz w:val="20"/>
                <w:szCs w:val="20"/>
              </w:rPr>
              <w:t xml:space="preserve"> </w:t>
            </w:r>
            <w:r w:rsidRPr="0053423A">
              <w:rPr>
                <w:rFonts w:eastAsia="Calibri" w:cs="GHEA Grapalat"/>
                <w:sz w:val="20"/>
                <w:szCs w:val="20"/>
                <w:lang w:val="hy-AM"/>
              </w:rPr>
              <w:t>կնպաստի</w:t>
            </w:r>
            <w:r w:rsidRPr="0053423A">
              <w:rPr>
                <w:rFonts w:eastAsia="Calibri" w:cs="GHEA Grapalat"/>
                <w:sz w:val="20"/>
                <w:szCs w:val="20"/>
              </w:rPr>
              <w:t xml:space="preserve"> </w:t>
            </w:r>
            <w:r w:rsidRPr="0053423A">
              <w:rPr>
                <w:rFonts w:eastAsia="Calibri" w:cs="GHEA Grapalat"/>
                <w:sz w:val="20"/>
                <w:szCs w:val="20"/>
                <w:lang w:val="hy-AM"/>
              </w:rPr>
              <w:t>զբոսաշրջության</w:t>
            </w:r>
            <w:r w:rsidRPr="0053423A">
              <w:rPr>
                <w:rFonts w:eastAsia="Calibri" w:cs="GHEA Grapalat"/>
                <w:sz w:val="20"/>
                <w:szCs w:val="20"/>
              </w:rPr>
              <w:t xml:space="preserve"> </w:t>
            </w:r>
            <w:r w:rsidRPr="0053423A">
              <w:rPr>
                <w:rFonts w:eastAsia="Calibri" w:cs="GHEA Grapalat"/>
                <w:sz w:val="20"/>
                <w:szCs w:val="20"/>
                <w:lang w:val="hy-AM"/>
              </w:rPr>
              <w:t>զարգացմանը</w:t>
            </w:r>
            <w:r w:rsidRPr="0053423A">
              <w:rPr>
                <w:rFonts w:eastAsia="Calibri" w:cs="GHEA Grapalat"/>
                <w:sz w:val="20"/>
                <w:szCs w:val="20"/>
              </w:rPr>
              <w:t xml:space="preserve"> </w:t>
            </w:r>
            <w:r w:rsidRPr="0053423A">
              <w:rPr>
                <w:rFonts w:eastAsia="Calibri" w:cs="GHEA Grapalat"/>
                <w:sz w:val="20"/>
                <w:szCs w:val="20"/>
                <w:lang w:val="hy-AM"/>
              </w:rPr>
              <w:t>և</w:t>
            </w:r>
            <w:r w:rsidRPr="0053423A">
              <w:rPr>
                <w:rFonts w:eastAsia="Calibri" w:cs="GHEA Grapalat"/>
                <w:sz w:val="20"/>
                <w:szCs w:val="20"/>
              </w:rPr>
              <w:t xml:space="preserve"> </w:t>
            </w:r>
            <w:r w:rsidRPr="0053423A">
              <w:rPr>
                <w:rFonts w:eastAsia="Calibri" w:cs="GHEA Grapalat"/>
                <w:sz w:val="20"/>
                <w:szCs w:val="20"/>
                <w:lang w:val="hy-AM"/>
              </w:rPr>
              <w:t>զբոսաշրջիկների</w:t>
            </w:r>
            <w:r w:rsidRPr="0053423A">
              <w:rPr>
                <w:rFonts w:eastAsia="Calibri" w:cs="GHEA Grapalat"/>
                <w:sz w:val="20"/>
                <w:szCs w:val="20"/>
              </w:rPr>
              <w:t xml:space="preserve"> </w:t>
            </w:r>
            <w:r w:rsidRPr="0053423A">
              <w:rPr>
                <w:rFonts w:eastAsia="Calibri" w:cs="GHEA Grapalat"/>
                <w:sz w:val="20"/>
                <w:szCs w:val="20"/>
                <w:lang w:val="hy-AM"/>
              </w:rPr>
              <w:t>թվի</w:t>
            </w:r>
            <w:r w:rsidRPr="0053423A">
              <w:rPr>
                <w:rFonts w:eastAsia="Calibri" w:cs="GHEA Grapalat"/>
                <w:sz w:val="20"/>
                <w:szCs w:val="20"/>
              </w:rPr>
              <w:t xml:space="preserve"> </w:t>
            </w:r>
            <w:r w:rsidRPr="0053423A">
              <w:rPr>
                <w:rFonts w:eastAsia="Calibri" w:cs="GHEA Grapalat"/>
                <w:sz w:val="20"/>
                <w:szCs w:val="20"/>
                <w:lang w:val="hy-AM"/>
              </w:rPr>
              <w:t>աճին</w:t>
            </w:r>
            <w:r w:rsidRPr="0053423A">
              <w:rPr>
                <w:rFonts w:eastAsia="Calibri" w:cs="GHEA Grapalat"/>
                <w:sz w:val="20"/>
                <w:szCs w:val="20"/>
                <w:lang w:val="af-ZA"/>
              </w:rPr>
              <w:t>:</w:t>
            </w:r>
          </w:p>
        </w:tc>
      </w:tr>
      <w:tr w:rsidR="00A67B6B" w:rsidRPr="0053423A" w:rsidTr="00A67B6B">
        <w:tc>
          <w:tcPr>
            <w:tcW w:w="540" w:type="dxa"/>
            <w:shd w:val="clear" w:color="auto" w:fill="auto"/>
          </w:tcPr>
          <w:p w:rsidR="00A67B6B" w:rsidRPr="0053423A" w:rsidRDefault="00A67B6B" w:rsidP="00A67858">
            <w:pPr>
              <w:tabs>
                <w:tab w:val="left" w:pos="1418"/>
              </w:tabs>
              <w:spacing w:after="0" w:line="276" w:lineRule="auto"/>
              <w:jc w:val="center"/>
              <w:rPr>
                <w:rFonts w:eastAsia="Calibri" w:cs="Times New Roman"/>
                <w:caps/>
                <w:sz w:val="20"/>
                <w:szCs w:val="20"/>
                <w:lang w:val="tr-TR"/>
              </w:rPr>
            </w:pPr>
            <w:r w:rsidRPr="0053423A">
              <w:rPr>
                <w:rFonts w:eastAsia="Calibri" w:cs="Times New Roman"/>
                <w:caps/>
                <w:sz w:val="20"/>
                <w:szCs w:val="20"/>
                <w:lang w:val="tr-TR"/>
              </w:rPr>
              <w:t>9</w:t>
            </w:r>
          </w:p>
        </w:tc>
        <w:tc>
          <w:tcPr>
            <w:tcW w:w="10980" w:type="dxa"/>
            <w:shd w:val="clear" w:color="auto" w:fill="auto"/>
          </w:tcPr>
          <w:p w:rsidR="00A67B6B" w:rsidRPr="0053423A" w:rsidRDefault="00A67B6B" w:rsidP="00A67858">
            <w:pPr>
              <w:tabs>
                <w:tab w:val="left" w:pos="508"/>
              </w:tabs>
              <w:spacing w:after="0" w:line="276" w:lineRule="auto"/>
              <w:jc w:val="center"/>
              <w:rPr>
                <w:rFonts w:eastAsia="Times New Roman" w:cs="Times New Roman"/>
                <w:b/>
                <w:sz w:val="20"/>
                <w:szCs w:val="20"/>
                <w:lang w:val="tr-TR"/>
              </w:rPr>
            </w:pPr>
            <w:r w:rsidRPr="0053423A">
              <w:rPr>
                <w:rFonts w:eastAsia="Times New Roman" w:cs="Times New Roman"/>
                <w:b/>
                <w:sz w:val="20"/>
                <w:szCs w:val="20"/>
                <w:lang w:val="tr-TR"/>
              </w:rPr>
              <w:t xml:space="preserve">9.1 </w:t>
            </w:r>
            <w:r w:rsidRPr="0053423A">
              <w:rPr>
                <w:rFonts w:eastAsia="Times New Roman" w:cs="Times New Roman"/>
                <w:b/>
                <w:sz w:val="20"/>
                <w:szCs w:val="20"/>
                <w:lang w:val="ru-RU"/>
              </w:rPr>
              <w:t>Հասարակության</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խոցելի</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խմբերի</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համար</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նպատակային</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միջոցառումների</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կազմակերպում</w:t>
            </w:r>
          </w:p>
          <w:p w:rsidR="00A67B6B" w:rsidRPr="0053423A" w:rsidRDefault="00A67B6B" w:rsidP="00A67858">
            <w:pPr>
              <w:tabs>
                <w:tab w:val="left" w:pos="508"/>
              </w:tabs>
              <w:spacing w:after="0" w:line="276" w:lineRule="auto"/>
              <w:jc w:val="center"/>
              <w:rPr>
                <w:rFonts w:eastAsia="Times New Roman" w:cs="Times New Roman"/>
                <w:sz w:val="20"/>
                <w:szCs w:val="20"/>
                <w:lang w:val="tr-TR"/>
              </w:rPr>
            </w:pPr>
          </w:p>
          <w:p w:rsidR="00A67B6B" w:rsidRPr="0053423A" w:rsidRDefault="00A67B6B" w:rsidP="001F6D5D">
            <w:pPr>
              <w:numPr>
                <w:ilvl w:val="0"/>
                <w:numId w:val="199"/>
              </w:numPr>
              <w:tabs>
                <w:tab w:val="left" w:pos="508"/>
                <w:tab w:val="left" w:pos="1276"/>
              </w:tabs>
              <w:spacing w:after="0" w:line="276" w:lineRule="auto"/>
              <w:ind w:left="0" w:firstLine="0"/>
              <w:contextualSpacing/>
              <w:rPr>
                <w:rFonts w:eastAsia="Times New Roman" w:cs="Times New Roman"/>
                <w:b/>
                <w:sz w:val="20"/>
                <w:szCs w:val="20"/>
                <w:lang w:val="hy-AM"/>
              </w:rPr>
            </w:pPr>
            <w:r w:rsidRPr="0053423A">
              <w:rPr>
                <w:rFonts w:eastAsia="Times New Roman" w:cs="Times New Roman"/>
                <w:b/>
                <w:sz w:val="20"/>
                <w:szCs w:val="20"/>
                <w:lang w:val="hy-AM"/>
              </w:rPr>
              <w:t>Միջոցառման իրականացման անհրաժեշտությունը և 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Times New Roman" w:cs="Times New Roman"/>
                <w:sz w:val="20"/>
                <w:szCs w:val="20"/>
                <w:lang w:val="hy-AM"/>
              </w:rPr>
              <w:t xml:space="preserve">Իրականացվող գործընթացները նպատակաուղղված են լինելու հասարակության խոցերի խմբերի մշակութային կյանքին լիարժեք ինտեգրմանը, նրանց ստեղծագործական հետագա զարգացման և առաջխաղացման պայմանների ապահովմանը, ինքնադրսևորման հնարավորությունների ստեղծմանը, ինչպեա նաև հասարակության մեջ հանդուրժողականության մթնոլորտի ձևավորմանը: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contextualSpacing/>
              <w:jc w:val="both"/>
              <w:rPr>
                <w:rFonts w:eastAsia="Times New Roman" w:cs="Times New Roman"/>
                <w:sz w:val="20"/>
                <w:szCs w:val="20"/>
              </w:rPr>
            </w:pPr>
          </w:p>
          <w:p w:rsidR="00A67B6B" w:rsidRPr="0053423A" w:rsidRDefault="00A67B6B" w:rsidP="001F6D5D">
            <w:pPr>
              <w:numPr>
                <w:ilvl w:val="1"/>
                <w:numId w:val="224"/>
              </w:numPr>
              <w:tabs>
                <w:tab w:val="left" w:pos="305"/>
                <w:tab w:val="left" w:pos="508"/>
                <w:tab w:val="left" w:pos="1276"/>
              </w:tabs>
              <w:spacing w:after="0" w:line="276" w:lineRule="auto"/>
              <w:ind w:hanging="1223"/>
              <w:contextualSpacing/>
              <w:rPr>
                <w:rFonts w:eastAsia="Calibri" w:cs="Sylfaen"/>
                <w:b/>
                <w:sz w:val="20"/>
                <w:szCs w:val="20"/>
                <w:lang w:val="hy-AM"/>
              </w:rPr>
            </w:pPr>
            <w:r w:rsidRPr="0053423A">
              <w:rPr>
                <w:rFonts w:eastAsia="Calibri" w:cs="Sylfaen"/>
                <w:b/>
                <w:sz w:val="20"/>
                <w:szCs w:val="20"/>
                <w:lang w:val="hy-AM"/>
              </w:rPr>
              <w:t xml:space="preserve"> </w:t>
            </w:r>
            <w:r w:rsidRPr="0053423A">
              <w:rPr>
                <w:rFonts w:eastAsia="Times New Roman" w:cs="Times New Roman"/>
                <w:b/>
                <w:sz w:val="20"/>
                <w:szCs w:val="20"/>
                <w:lang w:val="hy-AM"/>
              </w:rPr>
              <w:t>Կարգավորման հարաբերությունների ներկա վիճակը և առկա խնդիրները</w:t>
            </w:r>
          </w:p>
          <w:p w:rsidR="00A67B6B" w:rsidRPr="0053423A" w:rsidRDefault="00A67B6B" w:rsidP="00A67858">
            <w:pPr>
              <w:tabs>
                <w:tab w:val="left" w:pos="508"/>
              </w:tabs>
              <w:spacing w:after="0" w:line="276" w:lineRule="auto"/>
              <w:contextualSpacing/>
              <w:jc w:val="both"/>
              <w:rPr>
                <w:rFonts w:eastAsia="Times New Roman" w:cs="Times New Roman"/>
                <w:sz w:val="20"/>
                <w:szCs w:val="20"/>
                <w:lang w:val="hy-AM"/>
              </w:rPr>
            </w:pPr>
            <w:r w:rsidRPr="0053423A">
              <w:rPr>
                <w:rFonts w:eastAsia="Times New Roman" w:cs="Times New Roman"/>
                <w:sz w:val="20"/>
                <w:szCs w:val="20"/>
                <w:lang w:val="hy-AM"/>
              </w:rPr>
              <w:t>Հասարակության խոցերի խմբերի ստեղծագործական ներուժի բացահայտման, արվեստի տարբեր բնագավառներում նրանց ինքնադրսևորման և մշակութային գործընթացներին ներգրավման խնդիրը հասարակության առաջընթացի և մշակութային զարգացման կարևոր պայմաններից է: Մինչ այժմ, արվեստի և մշակութային կյանքի զարգացման ուղղությամբ իրականացվող ծրագրերում հիմնական շեշտադրումն ուղղվել է մշակութային ենթակառուցվածքների գործունեության բնականոն պայմանների ապահովման, արվեստի բնագավառում ստեղծագործող անհատների խրախուսման և նրանց գործունեության խթանման գործընթացներին: Իրականացմամբ կլուծվեն նրանց ինքնադրսևորման, մշակութային կյանքին հաղորդակցման և լիիրավ մասնակցության խնդիրը:</w:t>
            </w:r>
          </w:p>
          <w:p w:rsidR="00A67B6B" w:rsidRPr="0053423A" w:rsidRDefault="00A67B6B" w:rsidP="00A67858">
            <w:pPr>
              <w:tabs>
                <w:tab w:val="left" w:pos="508"/>
              </w:tabs>
              <w:spacing w:after="0" w:line="276" w:lineRule="auto"/>
              <w:contextualSpacing/>
              <w:jc w:val="both"/>
              <w:rPr>
                <w:rFonts w:eastAsia="Times New Roman" w:cs="Times New Roman"/>
                <w:sz w:val="20"/>
                <w:szCs w:val="20"/>
                <w:lang w:val="hy-AM"/>
              </w:rPr>
            </w:pPr>
          </w:p>
          <w:p w:rsidR="00A67B6B" w:rsidRPr="0053423A" w:rsidRDefault="00A67B6B" w:rsidP="00A67858">
            <w:pPr>
              <w:tabs>
                <w:tab w:val="left" w:pos="508"/>
                <w:tab w:val="left" w:pos="8494"/>
              </w:tabs>
              <w:spacing w:after="0" w:line="276" w:lineRule="auto"/>
              <w:jc w:val="both"/>
              <w:rPr>
                <w:rFonts w:eastAsia="Calibri" w:cs="Times New Roman"/>
                <w:b/>
                <w:bCs/>
                <w:sz w:val="20"/>
                <w:szCs w:val="20"/>
                <w:lang w:val="hy-AM"/>
              </w:rPr>
            </w:pPr>
            <w:r w:rsidRPr="0053423A">
              <w:rPr>
                <w:rFonts w:eastAsia="Calibri" w:cs="Times New Roman"/>
                <w:b/>
                <w:bCs/>
                <w:sz w:val="20"/>
                <w:szCs w:val="20"/>
                <w:lang w:val="hy-AM"/>
              </w:rPr>
              <w:t>1.</w:t>
            </w:r>
            <w:r w:rsidRPr="0053423A">
              <w:rPr>
                <w:rFonts w:eastAsia="Times New Roman" w:cs="Times New Roman"/>
                <w:b/>
                <w:sz w:val="20"/>
                <w:szCs w:val="20"/>
                <w:lang w:val="hy-AM"/>
              </w:rPr>
              <w:t>2. Առկա խնդիրների առաջարկվող լուծումները</w:t>
            </w:r>
          </w:p>
          <w:p w:rsidR="00A67B6B" w:rsidRPr="0053423A" w:rsidRDefault="00A67B6B" w:rsidP="00A67858">
            <w:pPr>
              <w:tabs>
                <w:tab w:val="left" w:pos="508"/>
              </w:tabs>
              <w:spacing w:after="0" w:line="276" w:lineRule="auto"/>
              <w:contextualSpacing/>
              <w:jc w:val="both"/>
              <w:rPr>
                <w:rFonts w:eastAsia="Times New Roman" w:cs="Times New Roman"/>
                <w:sz w:val="20"/>
                <w:szCs w:val="20"/>
                <w:lang w:val="af-ZA"/>
              </w:rPr>
            </w:pPr>
            <w:r w:rsidRPr="0053423A">
              <w:rPr>
                <w:rFonts w:eastAsia="Times New Roman" w:cs="Times New Roman"/>
                <w:sz w:val="20"/>
                <w:szCs w:val="20"/>
                <w:lang w:val="hy-AM"/>
              </w:rPr>
              <w:t>Ներառական</w:t>
            </w:r>
            <w:r w:rsidRPr="0053423A">
              <w:rPr>
                <w:rFonts w:eastAsia="Times New Roman" w:cs="Times New Roman"/>
                <w:sz w:val="20"/>
                <w:szCs w:val="20"/>
                <w:lang w:val="af-ZA"/>
              </w:rPr>
              <w:t xml:space="preserve"> </w:t>
            </w:r>
            <w:r w:rsidRPr="0053423A">
              <w:rPr>
                <w:rFonts w:eastAsia="Times New Roman" w:cs="Times New Roman"/>
                <w:sz w:val="20"/>
                <w:szCs w:val="20"/>
                <w:lang w:val="hy-AM"/>
              </w:rPr>
              <w:t>արվեստի</w:t>
            </w:r>
            <w:r w:rsidRPr="0053423A">
              <w:rPr>
                <w:rFonts w:eastAsia="Times New Roman" w:cs="Times New Roman"/>
                <w:sz w:val="20"/>
                <w:szCs w:val="20"/>
                <w:lang w:val="af-ZA"/>
              </w:rPr>
              <w:t xml:space="preserve"> </w:t>
            </w:r>
            <w:r w:rsidRPr="0053423A">
              <w:rPr>
                <w:rFonts w:eastAsia="Times New Roman" w:cs="Times New Roman"/>
                <w:sz w:val="20"/>
                <w:szCs w:val="20"/>
                <w:lang w:val="hy-AM"/>
              </w:rPr>
              <w:t>զարգացման</w:t>
            </w:r>
            <w:r w:rsidRPr="0053423A">
              <w:rPr>
                <w:rFonts w:eastAsia="Times New Roman" w:cs="Times New Roman"/>
                <w:sz w:val="20"/>
                <w:szCs w:val="20"/>
                <w:lang w:val="af-ZA"/>
              </w:rPr>
              <w:t xml:space="preserve"> </w:t>
            </w:r>
            <w:r w:rsidRPr="0053423A">
              <w:rPr>
                <w:rFonts w:eastAsia="Times New Roman" w:cs="Times New Roman"/>
                <w:sz w:val="20"/>
                <w:szCs w:val="20"/>
                <w:lang w:val="hy-AM"/>
              </w:rPr>
              <w:t>նպատակով</w:t>
            </w:r>
            <w:r w:rsidRPr="0053423A">
              <w:rPr>
                <w:rFonts w:eastAsia="Times New Roman" w:cs="Times New Roman"/>
                <w:sz w:val="20"/>
                <w:szCs w:val="20"/>
                <w:lang w:val="af-ZA"/>
              </w:rPr>
              <w:t xml:space="preserve"> </w:t>
            </w:r>
            <w:r w:rsidRPr="0053423A">
              <w:rPr>
                <w:rFonts w:eastAsia="Times New Roman" w:cs="Times New Roman"/>
                <w:sz w:val="20"/>
                <w:szCs w:val="20"/>
                <w:lang w:val="hy-AM"/>
              </w:rPr>
              <w:t>անհրաժեշտ</w:t>
            </w:r>
            <w:r w:rsidRPr="0053423A">
              <w:rPr>
                <w:rFonts w:eastAsia="Times New Roman" w:cs="Times New Roman"/>
                <w:sz w:val="20"/>
                <w:szCs w:val="20"/>
                <w:lang w:val="af-ZA"/>
              </w:rPr>
              <w:t xml:space="preserve"> </w:t>
            </w:r>
            <w:r w:rsidRPr="0053423A">
              <w:rPr>
                <w:rFonts w:eastAsia="Times New Roman" w:cs="Times New Roman"/>
                <w:sz w:val="20"/>
                <w:szCs w:val="20"/>
                <w:lang w:val="hy-AM"/>
              </w:rPr>
              <w:t>է</w:t>
            </w:r>
            <w:r w:rsidRPr="0053423A">
              <w:rPr>
                <w:rFonts w:eastAsia="Times New Roman" w:cs="Times New Roman"/>
                <w:sz w:val="20"/>
                <w:szCs w:val="20"/>
                <w:lang w:val="af-ZA"/>
              </w:rPr>
              <w:t xml:space="preserve"> </w:t>
            </w:r>
            <w:r w:rsidRPr="0053423A">
              <w:rPr>
                <w:rFonts w:eastAsia="Times New Roman" w:cs="Times New Roman"/>
                <w:sz w:val="20"/>
                <w:szCs w:val="20"/>
                <w:lang w:val="hy-AM"/>
              </w:rPr>
              <w:t>իրականացնել</w:t>
            </w:r>
            <w:r w:rsidRPr="0053423A">
              <w:rPr>
                <w:rFonts w:eastAsia="Times New Roman" w:cs="Times New Roman"/>
                <w:sz w:val="20"/>
                <w:szCs w:val="20"/>
                <w:lang w:val="af-ZA"/>
              </w:rPr>
              <w:t xml:space="preserve"> </w:t>
            </w:r>
            <w:r w:rsidRPr="0053423A">
              <w:rPr>
                <w:rFonts w:eastAsia="Times New Roman" w:cs="Times New Roman"/>
                <w:sz w:val="20"/>
                <w:szCs w:val="20"/>
                <w:lang w:val="hy-AM"/>
              </w:rPr>
              <w:t>համալիր</w:t>
            </w:r>
            <w:r w:rsidRPr="0053423A">
              <w:rPr>
                <w:rFonts w:eastAsia="Times New Roman" w:cs="Times New Roman"/>
                <w:sz w:val="20"/>
                <w:szCs w:val="20"/>
                <w:lang w:val="af-ZA"/>
              </w:rPr>
              <w:t xml:space="preserve"> </w:t>
            </w:r>
            <w:r w:rsidRPr="0053423A">
              <w:rPr>
                <w:rFonts w:eastAsia="Times New Roman" w:cs="Times New Roman"/>
                <w:sz w:val="20"/>
                <w:szCs w:val="20"/>
                <w:lang w:val="hy-AM"/>
              </w:rPr>
              <w:t>ծրագիր</w:t>
            </w:r>
            <w:r w:rsidRPr="0053423A">
              <w:rPr>
                <w:rFonts w:eastAsia="Times New Roman" w:cs="Times New Roman"/>
                <w:sz w:val="20"/>
                <w:szCs w:val="20"/>
                <w:lang w:val="af-ZA"/>
              </w:rPr>
              <w:t xml:space="preserve">, </w:t>
            </w:r>
            <w:r w:rsidRPr="0053423A">
              <w:rPr>
                <w:rFonts w:eastAsia="Times New Roman" w:cs="Times New Roman"/>
                <w:sz w:val="20"/>
                <w:szCs w:val="20"/>
                <w:lang w:val="hy-AM"/>
              </w:rPr>
              <w:t>որը</w:t>
            </w:r>
            <w:r w:rsidRPr="0053423A">
              <w:rPr>
                <w:rFonts w:eastAsia="Times New Roman" w:cs="Times New Roman"/>
                <w:sz w:val="20"/>
                <w:szCs w:val="20"/>
                <w:lang w:val="af-ZA"/>
              </w:rPr>
              <w:t xml:space="preserve"> </w:t>
            </w:r>
            <w:r w:rsidRPr="0053423A">
              <w:rPr>
                <w:rFonts w:eastAsia="Times New Roman" w:cs="Times New Roman"/>
                <w:sz w:val="20"/>
                <w:szCs w:val="20"/>
                <w:lang w:val="hy-AM"/>
              </w:rPr>
              <w:t>թույլ</w:t>
            </w:r>
            <w:r w:rsidRPr="0053423A">
              <w:rPr>
                <w:rFonts w:eastAsia="Times New Roman" w:cs="Times New Roman"/>
                <w:sz w:val="20"/>
                <w:szCs w:val="20"/>
                <w:lang w:val="af-ZA"/>
              </w:rPr>
              <w:t xml:space="preserve"> </w:t>
            </w:r>
            <w:r w:rsidRPr="0053423A">
              <w:rPr>
                <w:rFonts w:eastAsia="Times New Roman" w:cs="Times New Roman"/>
                <w:sz w:val="20"/>
                <w:szCs w:val="20"/>
                <w:lang w:val="hy-AM"/>
              </w:rPr>
              <w:t>կտա</w:t>
            </w:r>
            <w:r w:rsidRPr="0053423A">
              <w:rPr>
                <w:rFonts w:eastAsia="Times New Roman" w:cs="Times New Roman"/>
                <w:sz w:val="20"/>
                <w:szCs w:val="20"/>
                <w:lang w:val="af-ZA"/>
              </w:rPr>
              <w:t xml:space="preserve"> </w:t>
            </w:r>
            <w:r w:rsidRPr="0053423A">
              <w:rPr>
                <w:rFonts w:eastAsia="Times New Roman" w:cs="Times New Roman"/>
                <w:sz w:val="20"/>
                <w:szCs w:val="20"/>
                <w:lang w:val="hy-AM"/>
              </w:rPr>
              <w:t>ապահովել</w:t>
            </w:r>
            <w:r w:rsidRPr="0053423A">
              <w:rPr>
                <w:rFonts w:eastAsia="Times New Roman" w:cs="Times New Roman"/>
                <w:sz w:val="20"/>
                <w:szCs w:val="20"/>
                <w:lang w:val="af-ZA"/>
              </w:rPr>
              <w:t xml:space="preserve"> </w:t>
            </w:r>
            <w:r w:rsidRPr="0053423A">
              <w:rPr>
                <w:rFonts w:eastAsia="Times New Roman" w:cs="Times New Roman"/>
                <w:sz w:val="20"/>
                <w:szCs w:val="20"/>
                <w:lang w:val="hy-AM"/>
              </w:rPr>
              <w:t>մշակույթի</w:t>
            </w:r>
            <w:r w:rsidRPr="0053423A">
              <w:rPr>
                <w:rFonts w:eastAsia="Times New Roman" w:cs="Times New Roman"/>
                <w:sz w:val="20"/>
                <w:szCs w:val="20"/>
                <w:lang w:val="af-ZA"/>
              </w:rPr>
              <w:t xml:space="preserve"> </w:t>
            </w:r>
            <w:r w:rsidRPr="0053423A">
              <w:rPr>
                <w:rFonts w:eastAsia="Times New Roman" w:cs="Times New Roman"/>
                <w:sz w:val="20"/>
                <w:szCs w:val="20"/>
                <w:lang w:val="hy-AM"/>
              </w:rPr>
              <w:t>համընդհանուր</w:t>
            </w:r>
            <w:r w:rsidRPr="0053423A">
              <w:rPr>
                <w:rFonts w:eastAsia="Times New Roman" w:cs="Times New Roman"/>
                <w:sz w:val="20"/>
                <w:szCs w:val="20"/>
                <w:lang w:val="af-ZA"/>
              </w:rPr>
              <w:t xml:space="preserve"> </w:t>
            </w:r>
            <w:r w:rsidRPr="0053423A">
              <w:rPr>
                <w:rFonts w:eastAsia="Times New Roman" w:cs="Times New Roman"/>
                <w:sz w:val="20"/>
                <w:szCs w:val="20"/>
                <w:lang w:val="hy-AM"/>
              </w:rPr>
              <w:t>ներառականության</w:t>
            </w:r>
            <w:r w:rsidRPr="0053423A">
              <w:rPr>
                <w:rFonts w:eastAsia="Times New Roman" w:cs="Times New Roman"/>
                <w:sz w:val="20"/>
                <w:szCs w:val="20"/>
                <w:lang w:val="af-ZA"/>
              </w:rPr>
              <w:t xml:space="preserve"> </w:t>
            </w:r>
            <w:r w:rsidRPr="0053423A">
              <w:rPr>
                <w:rFonts w:eastAsia="Times New Roman" w:cs="Times New Roman"/>
                <w:sz w:val="20"/>
                <w:szCs w:val="20"/>
                <w:lang w:val="hy-AM"/>
              </w:rPr>
              <w:t>անխաթար</w:t>
            </w:r>
            <w:r w:rsidRPr="0053423A">
              <w:rPr>
                <w:rFonts w:eastAsia="Times New Roman" w:cs="Times New Roman"/>
                <w:sz w:val="20"/>
                <w:szCs w:val="20"/>
                <w:lang w:val="af-ZA"/>
              </w:rPr>
              <w:t xml:space="preserve"> </w:t>
            </w:r>
            <w:r w:rsidRPr="0053423A">
              <w:rPr>
                <w:rFonts w:eastAsia="Times New Roman" w:cs="Times New Roman"/>
                <w:sz w:val="20"/>
                <w:szCs w:val="20"/>
                <w:lang w:val="hy-AM"/>
              </w:rPr>
              <w:t>գործընթացը</w:t>
            </w:r>
            <w:r w:rsidRPr="0053423A">
              <w:rPr>
                <w:rFonts w:eastAsia="Times New Roman" w:cs="Times New Roman"/>
                <w:sz w:val="20"/>
                <w:szCs w:val="20"/>
                <w:lang w:val="af-ZA"/>
              </w:rPr>
              <w:t xml:space="preserve">, </w:t>
            </w:r>
            <w:r w:rsidRPr="0053423A">
              <w:rPr>
                <w:rFonts w:eastAsia="Times New Roman" w:cs="Times New Roman"/>
                <w:sz w:val="20"/>
                <w:szCs w:val="20"/>
                <w:lang w:val="hy-AM"/>
              </w:rPr>
              <w:t>շարունակել</w:t>
            </w:r>
            <w:r w:rsidRPr="0053423A">
              <w:rPr>
                <w:rFonts w:eastAsia="Times New Roman" w:cs="Times New Roman"/>
                <w:sz w:val="20"/>
                <w:szCs w:val="20"/>
                <w:lang w:val="af-ZA"/>
              </w:rPr>
              <w:t xml:space="preserve"> </w:t>
            </w:r>
            <w:r w:rsidRPr="0053423A">
              <w:rPr>
                <w:rFonts w:eastAsia="Times New Roman" w:cs="Times New Roman"/>
                <w:sz w:val="20"/>
                <w:szCs w:val="20"/>
                <w:lang w:val="hy-AM"/>
              </w:rPr>
              <w:t>ստեղծագործող</w:t>
            </w:r>
            <w:r w:rsidRPr="0053423A">
              <w:rPr>
                <w:rFonts w:eastAsia="Times New Roman" w:cs="Times New Roman"/>
                <w:sz w:val="20"/>
                <w:szCs w:val="20"/>
                <w:lang w:val="af-ZA"/>
              </w:rPr>
              <w:t xml:space="preserve"> </w:t>
            </w:r>
            <w:r w:rsidRPr="0053423A">
              <w:rPr>
                <w:rFonts w:eastAsia="Times New Roman" w:cs="Times New Roman"/>
                <w:sz w:val="20"/>
                <w:szCs w:val="20"/>
                <w:lang w:val="hy-AM"/>
              </w:rPr>
              <w:t>անձանց</w:t>
            </w:r>
            <w:r w:rsidRPr="0053423A">
              <w:rPr>
                <w:rFonts w:eastAsia="Times New Roman" w:cs="Times New Roman"/>
                <w:sz w:val="20"/>
                <w:szCs w:val="20"/>
                <w:lang w:val="af-ZA"/>
              </w:rPr>
              <w:t xml:space="preserve"> </w:t>
            </w:r>
            <w:r w:rsidRPr="0053423A">
              <w:rPr>
                <w:rFonts w:eastAsia="Times New Roman" w:cs="Times New Roman"/>
                <w:sz w:val="20"/>
                <w:szCs w:val="20"/>
                <w:lang w:val="hy-AM"/>
              </w:rPr>
              <w:t>ինքնադրսևորման</w:t>
            </w:r>
            <w:r w:rsidRPr="0053423A">
              <w:rPr>
                <w:rFonts w:eastAsia="Times New Roman" w:cs="Times New Roman"/>
                <w:sz w:val="20"/>
                <w:szCs w:val="20"/>
                <w:lang w:val="af-ZA"/>
              </w:rPr>
              <w:t xml:space="preserve"> </w:t>
            </w:r>
            <w:r w:rsidRPr="0053423A">
              <w:rPr>
                <w:rFonts w:eastAsia="Times New Roman" w:cs="Times New Roman"/>
                <w:sz w:val="20"/>
                <w:szCs w:val="20"/>
                <w:lang w:val="hy-AM"/>
              </w:rPr>
              <w:t>հավասար</w:t>
            </w:r>
            <w:r w:rsidRPr="0053423A">
              <w:rPr>
                <w:rFonts w:eastAsia="Times New Roman" w:cs="Times New Roman"/>
                <w:sz w:val="20"/>
                <w:szCs w:val="20"/>
                <w:lang w:val="af-ZA"/>
              </w:rPr>
              <w:t xml:space="preserve"> </w:t>
            </w:r>
            <w:r w:rsidRPr="0053423A">
              <w:rPr>
                <w:rFonts w:eastAsia="Times New Roman" w:cs="Times New Roman"/>
                <w:sz w:val="20"/>
                <w:szCs w:val="20"/>
                <w:lang w:val="hy-AM"/>
              </w:rPr>
              <w:t>և</w:t>
            </w:r>
            <w:r w:rsidRPr="0053423A">
              <w:rPr>
                <w:rFonts w:eastAsia="Times New Roman" w:cs="Times New Roman"/>
                <w:sz w:val="20"/>
                <w:szCs w:val="20"/>
                <w:lang w:val="af-ZA"/>
              </w:rPr>
              <w:t xml:space="preserve"> </w:t>
            </w:r>
            <w:r w:rsidRPr="0053423A">
              <w:rPr>
                <w:rFonts w:eastAsia="Times New Roman" w:cs="Times New Roman"/>
                <w:sz w:val="20"/>
                <w:szCs w:val="20"/>
                <w:lang w:val="hy-AM"/>
              </w:rPr>
              <w:t>արդարացի</w:t>
            </w:r>
            <w:r w:rsidRPr="0053423A">
              <w:rPr>
                <w:rFonts w:eastAsia="Times New Roman" w:cs="Times New Roman"/>
                <w:sz w:val="20"/>
                <w:szCs w:val="20"/>
                <w:lang w:val="af-ZA"/>
              </w:rPr>
              <w:t xml:space="preserve"> </w:t>
            </w:r>
            <w:r w:rsidRPr="0053423A">
              <w:rPr>
                <w:rFonts w:eastAsia="Times New Roman" w:cs="Times New Roman"/>
                <w:sz w:val="20"/>
                <w:szCs w:val="20"/>
                <w:lang w:val="hy-AM"/>
              </w:rPr>
              <w:t>պայմանների</w:t>
            </w:r>
            <w:r w:rsidRPr="0053423A">
              <w:rPr>
                <w:rFonts w:eastAsia="Times New Roman" w:cs="Times New Roman"/>
                <w:sz w:val="20"/>
                <w:szCs w:val="20"/>
                <w:lang w:val="af-ZA"/>
              </w:rPr>
              <w:t xml:space="preserve"> </w:t>
            </w:r>
            <w:r w:rsidRPr="0053423A">
              <w:rPr>
                <w:rFonts w:eastAsia="Times New Roman" w:cs="Times New Roman"/>
                <w:sz w:val="20"/>
                <w:szCs w:val="20"/>
                <w:lang w:val="hy-AM"/>
              </w:rPr>
              <w:t>ապահովման</w:t>
            </w:r>
            <w:r w:rsidRPr="0053423A">
              <w:rPr>
                <w:rFonts w:eastAsia="Times New Roman" w:cs="Times New Roman"/>
                <w:sz w:val="20"/>
                <w:szCs w:val="20"/>
                <w:lang w:val="af-ZA"/>
              </w:rPr>
              <w:t xml:space="preserve">, </w:t>
            </w:r>
            <w:r w:rsidRPr="0053423A">
              <w:rPr>
                <w:rFonts w:eastAsia="Times New Roman" w:cs="Times New Roman"/>
                <w:sz w:val="20"/>
                <w:szCs w:val="20"/>
                <w:lang w:val="hy-AM"/>
              </w:rPr>
              <w:t>ստեղծագործական</w:t>
            </w:r>
            <w:r w:rsidRPr="0053423A">
              <w:rPr>
                <w:rFonts w:eastAsia="Times New Roman" w:cs="Times New Roman"/>
                <w:sz w:val="20"/>
                <w:szCs w:val="20"/>
                <w:lang w:val="af-ZA"/>
              </w:rPr>
              <w:t xml:space="preserve"> </w:t>
            </w:r>
            <w:r w:rsidRPr="0053423A">
              <w:rPr>
                <w:rFonts w:eastAsia="Times New Roman" w:cs="Times New Roman"/>
                <w:sz w:val="20"/>
                <w:szCs w:val="20"/>
                <w:lang w:val="hy-AM"/>
              </w:rPr>
              <w:t>ծրագրերի</w:t>
            </w:r>
            <w:r w:rsidRPr="0053423A">
              <w:rPr>
                <w:rFonts w:eastAsia="Times New Roman" w:cs="Times New Roman"/>
                <w:sz w:val="20"/>
                <w:szCs w:val="20"/>
                <w:lang w:val="af-ZA"/>
              </w:rPr>
              <w:t xml:space="preserve"> </w:t>
            </w:r>
            <w:r w:rsidRPr="0053423A">
              <w:rPr>
                <w:rFonts w:eastAsia="Times New Roman" w:cs="Times New Roman"/>
                <w:sz w:val="20"/>
                <w:szCs w:val="20"/>
                <w:lang w:val="hy-AM"/>
              </w:rPr>
              <w:t>և</w:t>
            </w:r>
            <w:r w:rsidRPr="0053423A">
              <w:rPr>
                <w:rFonts w:eastAsia="Times New Roman" w:cs="Times New Roman"/>
                <w:sz w:val="20"/>
                <w:szCs w:val="20"/>
                <w:lang w:val="af-ZA"/>
              </w:rPr>
              <w:t xml:space="preserve"> </w:t>
            </w:r>
            <w:r w:rsidRPr="0053423A">
              <w:rPr>
                <w:rFonts w:eastAsia="Times New Roman" w:cs="Times New Roman"/>
                <w:sz w:val="20"/>
                <w:szCs w:val="20"/>
                <w:lang w:val="hy-AM"/>
              </w:rPr>
              <w:t>գործունեության</w:t>
            </w:r>
            <w:r w:rsidRPr="0053423A">
              <w:rPr>
                <w:rFonts w:eastAsia="Times New Roman" w:cs="Times New Roman"/>
                <w:sz w:val="20"/>
                <w:szCs w:val="20"/>
                <w:lang w:val="af-ZA"/>
              </w:rPr>
              <w:t xml:space="preserve"> </w:t>
            </w:r>
            <w:r w:rsidRPr="0053423A">
              <w:rPr>
                <w:rFonts w:eastAsia="Times New Roman" w:cs="Times New Roman"/>
                <w:sz w:val="20"/>
                <w:szCs w:val="20"/>
                <w:lang w:val="hy-AM"/>
              </w:rPr>
              <w:t>աջակցության</w:t>
            </w:r>
            <w:r w:rsidRPr="0053423A">
              <w:rPr>
                <w:rFonts w:eastAsia="Times New Roman" w:cs="Times New Roman"/>
                <w:sz w:val="20"/>
                <w:szCs w:val="20"/>
                <w:lang w:val="af-ZA"/>
              </w:rPr>
              <w:t xml:space="preserve"> </w:t>
            </w:r>
            <w:r w:rsidRPr="0053423A">
              <w:rPr>
                <w:rFonts w:eastAsia="Times New Roman" w:cs="Times New Roman"/>
                <w:sz w:val="20"/>
                <w:szCs w:val="20"/>
                <w:lang w:val="hy-AM"/>
              </w:rPr>
              <w:t>խրախուսման</w:t>
            </w:r>
            <w:r w:rsidRPr="0053423A">
              <w:rPr>
                <w:rFonts w:eastAsia="Times New Roman" w:cs="Times New Roman"/>
                <w:sz w:val="20"/>
                <w:szCs w:val="20"/>
                <w:lang w:val="af-ZA"/>
              </w:rPr>
              <w:t xml:space="preserve"> </w:t>
            </w:r>
            <w:r w:rsidRPr="0053423A">
              <w:rPr>
                <w:rFonts w:eastAsia="Times New Roman" w:cs="Times New Roman"/>
                <w:sz w:val="20"/>
                <w:szCs w:val="20"/>
                <w:lang w:val="hy-AM"/>
              </w:rPr>
              <w:t>գործընթացները</w:t>
            </w:r>
            <w:r w:rsidRPr="0053423A">
              <w:rPr>
                <w:rFonts w:eastAsia="Times New Roman" w:cs="Times New Roman"/>
                <w:sz w:val="20"/>
                <w:szCs w:val="20"/>
                <w:lang w:val="af-ZA"/>
              </w:rPr>
              <w:t>:</w:t>
            </w:r>
          </w:p>
          <w:p w:rsidR="00A67B6B" w:rsidRPr="0053423A" w:rsidRDefault="00A67B6B" w:rsidP="00A67858">
            <w:pPr>
              <w:tabs>
                <w:tab w:val="left" w:pos="508"/>
              </w:tabs>
              <w:spacing w:after="0" w:line="276" w:lineRule="auto"/>
              <w:contextualSpacing/>
              <w:jc w:val="both"/>
              <w:rPr>
                <w:rFonts w:eastAsia="Times New Roman" w:cs="Times New Roman"/>
                <w:sz w:val="20"/>
                <w:szCs w:val="20"/>
                <w:lang w:val="af-ZA"/>
              </w:rPr>
            </w:pPr>
          </w:p>
          <w:p w:rsidR="00A67B6B" w:rsidRPr="0053423A" w:rsidRDefault="00A67B6B" w:rsidP="00A67858">
            <w:pPr>
              <w:tabs>
                <w:tab w:val="left" w:pos="508"/>
              </w:tabs>
              <w:spacing w:after="0" w:line="276" w:lineRule="auto"/>
              <w:contextualSpacing/>
              <w:jc w:val="both"/>
              <w:rPr>
                <w:rFonts w:eastAsia="Calibri" w:cs="Times New Roman"/>
                <w:b/>
                <w:bCs/>
                <w:sz w:val="20"/>
                <w:szCs w:val="20"/>
                <w:lang w:val="af-ZA"/>
              </w:rPr>
            </w:pPr>
            <w:r w:rsidRPr="0053423A">
              <w:rPr>
                <w:rFonts w:eastAsia="Calibri" w:cs="Times New Roman"/>
                <w:b/>
                <w:sz w:val="20"/>
                <w:szCs w:val="20"/>
                <w:lang w:val="af-ZA"/>
              </w:rPr>
              <w:t>2</w:t>
            </w:r>
            <w:r w:rsidRPr="0053423A">
              <w:rPr>
                <w:rFonts w:eastAsia="Calibri" w:cs="Times New Roman"/>
                <w:b/>
                <w:sz w:val="20"/>
                <w:szCs w:val="20"/>
                <w:lang w:val="hy-AM"/>
              </w:rPr>
              <w:t xml:space="preserve">. </w:t>
            </w:r>
            <w:r w:rsidRPr="0053423A">
              <w:rPr>
                <w:rFonts w:eastAsia="Times New Roman" w:cs="Times New Roman"/>
                <w:b/>
                <w:sz w:val="20"/>
                <w:szCs w:val="20"/>
                <w:lang w:val="hy-AM"/>
              </w:rPr>
              <w:t>Միջոցառման իրականացումից ակնկալվող արդյունքը</w:t>
            </w:r>
          </w:p>
          <w:p w:rsidR="00A67B6B" w:rsidRPr="0053423A" w:rsidRDefault="00A67B6B" w:rsidP="00A67858">
            <w:pPr>
              <w:tabs>
                <w:tab w:val="left" w:pos="508"/>
              </w:tabs>
              <w:spacing w:after="0" w:line="276" w:lineRule="auto"/>
              <w:contextualSpacing/>
              <w:jc w:val="both"/>
              <w:rPr>
                <w:rFonts w:eastAsia="Times New Roman" w:cs="Times New Roman"/>
                <w:sz w:val="20"/>
                <w:szCs w:val="20"/>
                <w:lang w:val="af-ZA"/>
              </w:rPr>
            </w:pPr>
            <w:r w:rsidRPr="0053423A">
              <w:rPr>
                <w:rFonts w:eastAsia="Times New Roman" w:cs="Times New Roman"/>
                <w:sz w:val="20"/>
                <w:szCs w:val="20"/>
              </w:rPr>
              <w:t>Արդյունքում</w:t>
            </w:r>
            <w:r w:rsidRPr="0053423A">
              <w:rPr>
                <w:rFonts w:eastAsia="Times New Roman" w:cs="Times New Roman"/>
                <w:sz w:val="20"/>
                <w:szCs w:val="20"/>
                <w:lang w:val="af-ZA"/>
              </w:rPr>
              <w:t xml:space="preserve"> </w:t>
            </w:r>
            <w:r w:rsidRPr="0053423A">
              <w:rPr>
                <w:rFonts w:eastAsia="Times New Roman" w:cs="Times New Roman"/>
                <w:sz w:val="20"/>
                <w:szCs w:val="20"/>
              </w:rPr>
              <w:t>հնարավորություններ</w:t>
            </w:r>
            <w:r w:rsidRPr="0053423A">
              <w:rPr>
                <w:rFonts w:eastAsia="Times New Roman" w:cs="Times New Roman"/>
                <w:sz w:val="20"/>
                <w:szCs w:val="20"/>
                <w:lang w:val="af-ZA"/>
              </w:rPr>
              <w:t xml:space="preserve"> </w:t>
            </w:r>
            <w:r w:rsidRPr="0053423A">
              <w:rPr>
                <w:rFonts w:eastAsia="Times New Roman" w:cs="Times New Roman"/>
                <w:sz w:val="20"/>
                <w:szCs w:val="20"/>
              </w:rPr>
              <w:t>կստեղծվեն</w:t>
            </w:r>
            <w:r w:rsidRPr="0053423A">
              <w:rPr>
                <w:rFonts w:eastAsia="Times New Roman" w:cs="Times New Roman"/>
                <w:sz w:val="20"/>
                <w:szCs w:val="20"/>
                <w:lang w:val="af-ZA"/>
              </w:rPr>
              <w:t xml:space="preserve"> </w:t>
            </w:r>
            <w:r w:rsidRPr="0053423A">
              <w:rPr>
                <w:rFonts w:eastAsia="Times New Roman" w:cs="Times New Roman"/>
                <w:sz w:val="20"/>
                <w:szCs w:val="20"/>
              </w:rPr>
              <w:t>հասարակության</w:t>
            </w:r>
            <w:r w:rsidRPr="0053423A">
              <w:rPr>
                <w:rFonts w:eastAsia="Times New Roman" w:cs="Times New Roman"/>
                <w:sz w:val="20"/>
                <w:szCs w:val="20"/>
                <w:lang w:val="af-ZA"/>
              </w:rPr>
              <w:t xml:space="preserve"> </w:t>
            </w:r>
            <w:r w:rsidRPr="0053423A">
              <w:rPr>
                <w:rFonts w:eastAsia="Times New Roman" w:cs="Times New Roman"/>
                <w:sz w:val="20"/>
                <w:szCs w:val="20"/>
              </w:rPr>
              <w:t>առանձին</w:t>
            </w:r>
            <w:r w:rsidRPr="0053423A">
              <w:rPr>
                <w:rFonts w:eastAsia="Times New Roman" w:cs="Times New Roman"/>
                <w:sz w:val="20"/>
                <w:szCs w:val="20"/>
                <w:lang w:val="af-ZA"/>
              </w:rPr>
              <w:t xml:space="preserve"> </w:t>
            </w:r>
            <w:r w:rsidRPr="0053423A">
              <w:rPr>
                <w:rFonts w:eastAsia="Times New Roman" w:cs="Times New Roman"/>
                <w:sz w:val="20"/>
                <w:szCs w:val="20"/>
              </w:rPr>
              <w:t>խավերի</w:t>
            </w:r>
            <w:r w:rsidRPr="0053423A">
              <w:rPr>
                <w:rFonts w:eastAsia="Times New Roman" w:cs="Times New Roman"/>
                <w:sz w:val="20"/>
                <w:szCs w:val="20"/>
                <w:lang w:val="af-ZA"/>
              </w:rPr>
              <w:t xml:space="preserve"> </w:t>
            </w:r>
            <w:r w:rsidRPr="0053423A">
              <w:rPr>
                <w:rFonts w:eastAsia="Times New Roman" w:cs="Times New Roman"/>
                <w:sz w:val="20"/>
                <w:szCs w:val="20"/>
              </w:rPr>
              <w:t>ստեղծագործական</w:t>
            </w:r>
            <w:r w:rsidRPr="0053423A">
              <w:rPr>
                <w:rFonts w:eastAsia="Times New Roman" w:cs="Times New Roman"/>
                <w:sz w:val="20"/>
                <w:szCs w:val="20"/>
                <w:lang w:val="af-ZA"/>
              </w:rPr>
              <w:t xml:space="preserve"> </w:t>
            </w:r>
            <w:r w:rsidRPr="0053423A">
              <w:rPr>
                <w:rFonts w:eastAsia="Times New Roman" w:cs="Times New Roman"/>
                <w:sz w:val="20"/>
                <w:szCs w:val="20"/>
              </w:rPr>
              <w:t>ներուժի</w:t>
            </w:r>
            <w:r w:rsidRPr="0053423A">
              <w:rPr>
                <w:rFonts w:eastAsia="Times New Roman" w:cs="Times New Roman"/>
                <w:sz w:val="20"/>
                <w:szCs w:val="20"/>
                <w:lang w:val="af-ZA"/>
              </w:rPr>
              <w:t xml:space="preserve"> </w:t>
            </w:r>
            <w:r w:rsidRPr="0053423A">
              <w:rPr>
                <w:rFonts w:eastAsia="Times New Roman" w:cs="Times New Roman"/>
                <w:sz w:val="20"/>
                <w:szCs w:val="20"/>
              </w:rPr>
              <w:t>բացահայտման</w:t>
            </w:r>
            <w:r w:rsidRPr="0053423A">
              <w:rPr>
                <w:rFonts w:eastAsia="Times New Roman" w:cs="Times New Roman"/>
                <w:sz w:val="20"/>
                <w:szCs w:val="20"/>
                <w:lang w:val="af-ZA"/>
              </w:rPr>
              <w:t xml:space="preserve"> </w:t>
            </w:r>
            <w:r w:rsidRPr="0053423A">
              <w:rPr>
                <w:rFonts w:eastAsia="Times New Roman" w:cs="Times New Roman"/>
                <w:sz w:val="20"/>
                <w:szCs w:val="20"/>
              </w:rPr>
              <w:t>և</w:t>
            </w:r>
            <w:r w:rsidRPr="0053423A">
              <w:rPr>
                <w:rFonts w:eastAsia="Times New Roman" w:cs="Times New Roman"/>
                <w:sz w:val="20"/>
                <w:szCs w:val="20"/>
                <w:lang w:val="af-ZA"/>
              </w:rPr>
              <w:t xml:space="preserve"> </w:t>
            </w:r>
            <w:r w:rsidRPr="0053423A">
              <w:rPr>
                <w:rFonts w:eastAsia="Times New Roman" w:cs="Times New Roman"/>
                <w:sz w:val="20"/>
                <w:szCs w:val="20"/>
              </w:rPr>
              <w:t>խթանման</w:t>
            </w:r>
            <w:r w:rsidRPr="0053423A">
              <w:rPr>
                <w:rFonts w:eastAsia="Times New Roman" w:cs="Times New Roman"/>
                <w:sz w:val="20"/>
                <w:szCs w:val="20"/>
                <w:lang w:val="af-ZA"/>
              </w:rPr>
              <w:t xml:space="preserve"> </w:t>
            </w:r>
            <w:r w:rsidRPr="0053423A">
              <w:rPr>
                <w:rFonts w:eastAsia="Times New Roman" w:cs="Times New Roman"/>
                <w:sz w:val="20"/>
                <w:szCs w:val="20"/>
              </w:rPr>
              <w:t>համար</w:t>
            </w:r>
            <w:r w:rsidRPr="0053423A">
              <w:rPr>
                <w:rFonts w:eastAsia="Times New Roman" w:cs="Times New Roman"/>
                <w:sz w:val="20"/>
                <w:szCs w:val="20"/>
                <w:lang w:val="af-ZA"/>
              </w:rPr>
              <w:t xml:space="preserve">, </w:t>
            </w:r>
            <w:r w:rsidRPr="0053423A">
              <w:rPr>
                <w:rFonts w:eastAsia="Times New Roman" w:cs="Times New Roman"/>
                <w:sz w:val="20"/>
                <w:szCs w:val="20"/>
              </w:rPr>
              <w:t>ինչպես</w:t>
            </w:r>
            <w:r w:rsidRPr="0053423A">
              <w:rPr>
                <w:rFonts w:eastAsia="Times New Roman" w:cs="Times New Roman"/>
                <w:sz w:val="20"/>
                <w:szCs w:val="20"/>
                <w:lang w:val="af-ZA"/>
              </w:rPr>
              <w:t xml:space="preserve"> </w:t>
            </w:r>
            <w:r w:rsidRPr="0053423A">
              <w:rPr>
                <w:rFonts w:eastAsia="Times New Roman" w:cs="Times New Roman"/>
                <w:sz w:val="20"/>
                <w:szCs w:val="20"/>
              </w:rPr>
              <w:t>նաև</w:t>
            </w:r>
            <w:r w:rsidRPr="0053423A">
              <w:rPr>
                <w:rFonts w:eastAsia="Times New Roman" w:cs="Times New Roman"/>
                <w:sz w:val="20"/>
                <w:szCs w:val="20"/>
                <w:lang w:val="af-ZA"/>
              </w:rPr>
              <w:t xml:space="preserve"> </w:t>
            </w:r>
            <w:r w:rsidRPr="0053423A">
              <w:rPr>
                <w:rFonts w:eastAsia="Times New Roman" w:cs="Times New Roman"/>
                <w:sz w:val="20"/>
                <w:szCs w:val="20"/>
              </w:rPr>
              <w:t>մշակույթի</w:t>
            </w:r>
            <w:r w:rsidRPr="0053423A">
              <w:rPr>
                <w:rFonts w:eastAsia="Times New Roman" w:cs="Times New Roman"/>
                <w:sz w:val="20"/>
                <w:szCs w:val="20"/>
                <w:lang w:val="af-ZA"/>
              </w:rPr>
              <w:t xml:space="preserve"> </w:t>
            </w:r>
            <w:r w:rsidRPr="0053423A">
              <w:rPr>
                <w:rFonts w:eastAsia="Times New Roman" w:cs="Times New Roman"/>
                <w:sz w:val="20"/>
                <w:szCs w:val="20"/>
              </w:rPr>
              <w:t>միջոցով</w:t>
            </w:r>
            <w:r w:rsidRPr="0053423A">
              <w:rPr>
                <w:rFonts w:eastAsia="Times New Roman" w:cs="Times New Roman"/>
                <w:sz w:val="20"/>
                <w:szCs w:val="20"/>
                <w:lang w:val="af-ZA"/>
              </w:rPr>
              <w:t xml:space="preserve"> </w:t>
            </w:r>
            <w:r w:rsidRPr="0053423A">
              <w:rPr>
                <w:rFonts w:eastAsia="Times New Roman" w:cs="Times New Roman"/>
                <w:sz w:val="20"/>
                <w:szCs w:val="20"/>
              </w:rPr>
              <w:t>կապահովվի</w:t>
            </w:r>
            <w:r w:rsidRPr="0053423A">
              <w:rPr>
                <w:rFonts w:eastAsia="Times New Roman" w:cs="Times New Roman"/>
                <w:sz w:val="20"/>
                <w:szCs w:val="20"/>
                <w:lang w:val="af-ZA"/>
              </w:rPr>
              <w:t xml:space="preserve"> </w:t>
            </w:r>
            <w:r w:rsidRPr="0053423A">
              <w:rPr>
                <w:rFonts w:eastAsia="Times New Roman" w:cs="Times New Roman"/>
                <w:sz w:val="20"/>
                <w:szCs w:val="20"/>
              </w:rPr>
              <w:t>նրանց</w:t>
            </w:r>
            <w:r w:rsidRPr="0053423A">
              <w:rPr>
                <w:rFonts w:eastAsia="Times New Roman" w:cs="Times New Roman"/>
                <w:sz w:val="20"/>
                <w:szCs w:val="20"/>
                <w:lang w:val="af-ZA"/>
              </w:rPr>
              <w:t xml:space="preserve"> </w:t>
            </w:r>
            <w:r w:rsidRPr="0053423A">
              <w:rPr>
                <w:rFonts w:eastAsia="Times New Roman" w:cs="Times New Roman"/>
                <w:sz w:val="20"/>
                <w:szCs w:val="20"/>
              </w:rPr>
              <w:t>ինտեգրումը</w:t>
            </w:r>
            <w:r w:rsidRPr="0053423A">
              <w:rPr>
                <w:rFonts w:eastAsia="Times New Roman" w:cs="Times New Roman"/>
                <w:sz w:val="20"/>
                <w:szCs w:val="20"/>
                <w:lang w:val="af-ZA"/>
              </w:rPr>
              <w:t xml:space="preserve"> </w:t>
            </w:r>
            <w:r w:rsidRPr="0053423A">
              <w:rPr>
                <w:rFonts w:eastAsia="Times New Roman" w:cs="Times New Roman"/>
                <w:sz w:val="20"/>
                <w:szCs w:val="20"/>
              </w:rPr>
              <w:t>հասարակություն՝</w:t>
            </w:r>
            <w:r w:rsidRPr="0053423A">
              <w:rPr>
                <w:rFonts w:eastAsia="Times New Roman" w:cs="Times New Roman"/>
                <w:sz w:val="20"/>
                <w:szCs w:val="20"/>
                <w:lang w:val="af-ZA"/>
              </w:rPr>
              <w:t xml:space="preserve"> </w:t>
            </w:r>
            <w:r w:rsidRPr="0053423A">
              <w:rPr>
                <w:rFonts w:eastAsia="Times New Roman" w:cs="Times New Roman"/>
                <w:sz w:val="20"/>
                <w:szCs w:val="20"/>
              </w:rPr>
              <w:t>առանձին</w:t>
            </w:r>
            <w:r w:rsidRPr="0053423A">
              <w:rPr>
                <w:rFonts w:eastAsia="Times New Roman" w:cs="Times New Roman"/>
                <w:sz w:val="20"/>
                <w:szCs w:val="20"/>
                <w:lang w:val="af-ZA"/>
              </w:rPr>
              <w:t xml:space="preserve"> </w:t>
            </w:r>
            <w:r w:rsidRPr="0053423A">
              <w:rPr>
                <w:rFonts w:eastAsia="Times New Roman" w:cs="Times New Roman"/>
                <w:sz w:val="20"/>
                <w:szCs w:val="20"/>
              </w:rPr>
              <w:t>խավերի</w:t>
            </w:r>
            <w:r w:rsidRPr="0053423A">
              <w:rPr>
                <w:rFonts w:eastAsia="Times New Roman" w:cs="Times New Roman"/>
                <w:sz w:val="20"/>
                <w:szCs w:val="20"/>
                <w:lang w:val="af-ZA"/>
              </w:rPr>
              <w:t xml:space="preserve"> </w:t>
            </w:r>
            <w:r w:rsidRPr="0053423A">
              <w:rPr>
                <w:rFonts w:eastAsia="Times New Roman" w:cs="Times New Roman"/>
                <w:sz w:val="20"/>
                <w:szCs w:val="20"/>
              </w:rPr>
              <w:t>և</w:t>
            </w:r>
            <w:r w:rsidRPr="0053423A">
              <w:rPr>
                <w:rFonts w:eastAsia="Times New Roman" w:cs="Times New Roman"/>
                <w:sz w:val="20"/>
                <w:szCs w:val="20"/>
                <w:lang w:val="af-ZA"/>
              </w:rPr>
              <w:t xml:space="preserve"> </w:t>
            </w:r>
            <w:r w:rsidRPr="0053423A">
              <w:rPr>
                <w:rFonts w:eastAsia="Times New Roman" w:cs="Times New Roman"/>
                <w:sz w:val="20"/>
                <w:szCs w:val="20"/>
              </w:rPr>
              <w:t>նրանց</w:t>
            </w:r>
            <w:r w:rsidRPr="0053423A">
              <w:rPr>
                <w:rFonts w:eastAsia="Times New Roman" w:cs="Times New Roman"/>
                <w:sz w:val="20"/>
                <w:szCs w:val="20"/>
                <w:lang w:val="af-ZA"/>
              </w:rPr>
              <w:t xml:space="preserve"> </w:t>
            </w:r>
            <w:r w:rsidRPr="0053423A">
              <w:rPr>
                <w:rFonts w:eastAsia="Times New Roman" w:cs="Times New Roman"/>
                <w:sz w:val="20"/>
                <w:szCs w:val="20"/>
              </w:rPr>
              <w:t>հարցերով</w:t>
            </w:r>
            <w:r w:rsidRPr="0053423A">
              <w:rPr>
                <w:rFonts w:eastAsia="Times New Roman" w:cs="Times New Roman"/>
                <w:sz w:val="20"/>
                <w:szCs w:val="20"/>
                <w:lang w:val="af-ZA"/>
              </w:rPr>
              <w:t xml:space="preserve"> </w:t>
            </w:r>
            <w:r w:rsidRPr="0053423A">
              <w:rPr>
                <w:rFonts w:eastAsia="Times New Roman" w:cs="Times New Roman"/>
                <w:sz w:val="20"/>
                <w:szCs w:val="20"/>
              </w:rPr>
              <w:t>զբաղվող</w:t>
            </w:r>
            <w:r w:rsidRPr="0053423A">
              <w:rPr>
                <w:rFonts w:eastAsia="Times New Roman" w:cs="Times New Roman"/>
                <w:sz w:val="20"/>
                <w:szCs w:val="20"/>
                <w:lang w:val="af-ZA"/>
              </w:rPr>
              <w:t xml:space="preserve"> </w:t>
            </w:r>
            <w:r w:rsidRPr="0053423A">
              <w:rPr>
                <w:rFonts w:eastAsia="Times New Roman" w:cs="Times New Roman"/>
                <w:sz w:val="20"/>
                <w:szCs w:val="20"/>
              </w:rPr>
              <w:t>հասարակական</w:t>
            </w:r>
            <w:r w:rsidRPr="0053423A">
              <w:rPr>
                <w:rFonts w:eastAsia="Times New Roman" w:cs="Times New Roman"/>
                <w:sz w:val="20"/>
                <w:szCs w:val="20"/>
                <w:lang w:val="af-ZA"/>
              </w:rPr>
              <w:t xml:space="preserve"> </w:t>
            </w:r>
            <w:r w:rsidRPr="0053423A">
              <w:rPr>
                <w:rFonts w:eastAsia="Times New Roman" w:cs="Times New Roman"/>
                <w:sz w:val="20"/>
                <w:szCs w:val="20"/>
              </w:rPr>
              <w:t>կազմակերպությունների</w:t>
            </w:r>
            <w:r w:rsidRPr="0053423A">
              <w:rPr>
                <w:rFonts w:eastAsia="Times New Roman" w:cs="Times New Roman"/>
                <w:sz w:val="20"/>
                <w:szCs w:val="20"/>
                <w:lang w:val="af-ZA"/>
              </w:rPr>
              <w:t xml:space="preserve"> </w:t>
            </w:r>
            <w:r w:rsidRPr="0053423A">
              <w:rPr>
                <w:rFonts w:eastAsia="Times New Roman" w:cs="Times New Roman"/>
                <w:sz w:val="20"/>
                <w:szCs w:val="20"/>
              </w:rPr>
              <w:t>ստեղծագործական</w:t>
            </w:r>
            <w:r w:rsidRPr="0053423A">
              <w:rPr>
                <w:rFonts w:eastAsia="Times New Roman" w:cs="Times New Roman"/>
                <w:sz w:val="20"/>
                <w:szCs w:val="20"/>
                <w:lang w:val="af-ZA"/>
              </w:rPr>
              <w:t xml:space="preserve"> </w:t>
            </w:r>
            <w:r w:rsidRPr="0053423A">
              <w:rPr>
                <w:rFonts w:eastAsia="Times New Roman" w:cs="Times New Roman"/>
                <w:sz w:val="20"/>
                <w:szCs w:val="20"/>
              </w:rPr>
              <w:t>ծրագրերի</w:t>
            </w:r>
            <w:r w:rsidRPr="0053423A">
              <w:rPr>
                <w:rFonts w:eastAsia="Times New Roman" w:cs="Times New Roman"/>
                <w:sz w:val="20"/>
                <w:szCs w:val="20"/>
                <w:lang w:val="af-ZA"/>
              </w:rPr>
              <w:t xml:space="preserve"> </w:t>
            </w:r>
            <w:r w:rsidRPr="0053423A">
              <w:rPr>
                <w:rFonts w:eastAsia="Times New Roman" w:cs="Times New Roman"/>
                <w:sz w:val="20"/>
                <w:szCs w:val="20"/>
              </w:rPr>
              <w:t>նպատակային</w:t>
            </w:r>
            <w:r w:rsidRPr="0053423A">
              <w:rPr>
                <w:rFonts w:eastAsia="Times New Roman" w:cs="Times New Roman"/>
                <w:sz w:val="20"/>
                <w:szCs w:val="20"/>
                <w:lang w:val="af-ZA"/>
              </w:rPr>
              <w:t xml:space="preserve"> </w:t>
            </w:r>
            <w:r w:rsidRPr="0053423A">
              <w:rPr>
                <w:rFonts w:eastAsia="Times New Roman" w:cs="Times New Roman"/>
                <w:sz w:val="20"/>
                <w:szCs w:val="20"/>
              </w:rPr>
              <w:t>աջակցմամբ</w:t>
            </w:r>
            <w:r w:rsidRPr="0053423A">
              <w:rPr>
                <w:rFonts w:eastAsia="Times New Roman" w:cs="Times New Roman"/>
                <w:sz w:val="20"/>
                <w:szCs w:val="20"/>
                <w:lang w:val="af-ZA"/>
              </w:rPr>
              <w:t>:</w:t>
            </w:r>
          </w:p>
          <w:p w:rsidR="00A67B6B" w:rsidRPr="0053423A" w:rsidRDefault="00A67B6B" w:rsidP="00A67858">
            <w:pPr>
              <w:tabs>
                <w:tab w:val="left" w:pos="508"/>
              </w:tabs>
              <w:spacing w:after="0" w:line="276" w:lineRule="auto"/>
              <w:contextualSpacing/>
              <w:jc w:val="both"/>
              <w:rPr>
                <w:rFonts w:eastAsia="Times New Roman" w:cs="Times New Roman"/>
                <w:sz w:val="20"/>
                <w:szCs w:val="20"/>
                <w:lang w:val="af-ZA"/>
              </w:rPr>
            </w:pPr>
          </w:p>
          <w:p w:rsidR="00A67B6B" w:rsidRPr="0053423A" w:rsidRDefault="00A67B6B" w:rsidP="00A67858">
            <w:pPr>
              <w:tabs>
                <w:tab w:val="left" w:pos="508"/>
              </w:tabs>
              <w:spacing w:after="0" w:line="276" w:lineRule="auto"/>
              <w:jc w:val="center"/>
              <w:rPr>
                <w:rFonts w:eastAsia="Times New Roman" w:cs="Times New Roman"/>
                <w:b/>
                <w:sz w:val="20"/>
                <w:szCs w:val="20"/>
                <w:lang w:val="af-ZA"/>
              </w:rPr>
            </w:pPr>
            <w:r w:rsidRPr="0053423A">
              <w:rPr>
                <w:rFonts w:eastAsia="Times New Roman" w:cs="Times New Roman"/>
                <w:b/>
                <w:sz w:val="20"/>
                <w:szCs w:val="20"/>
                <w:lang w:val="af-ZA"/>
              </w:rPr>
              <w:t>9.2 «</w:t>
            </w:r>
            <w:r w:rsidRPr="0053423A">
              <w:rPr>
                <w:rFonts w:eastAsia="Times New Roman" w:cs="Times New Roman"/>
                <w:b/>
                <w:sz w:val="20"/>
                <w:szCs w:val="20"/>
                <w:lang w:val="ru-RU"/>
              </w:rPr>
              <w:t>Ընտանեկան</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գրադարանավար</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ծրագրի</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ընդլայնում</w:t>
            </w:r>
          </w:p>
          <w:p w:rsidR="00A67B6B" w:rsidRPr="0053423A" w:rsidRDefault="00A67B6B" w:rsidP="00A67858">
            <w:pPr>
              <w:tabs>
                <w:tab w:val="left" w:pos="508"/>
              </w:tabs>
              <w:spacing w:after="0" w:line="276" w:lineRule="auto"/>
              <w:jc w:val="center"/>
              <w:rPr>
                <w:rFonts w:eastAsia="Times New Roman" w:cs="Times New Roman"/>
                <w:sz w:val="20"/>
                <w:szCs w:val="20"/>
                <w:lang w:val="af-ZA"/>
              </w:rPr>
            </w:pPr>
          </w:p>
          <w:p w:rsidR="00A67B6B" w:rsidRPr="0053423A" w:rsidRDefault="00A67B6B" w:rsidP="00A67858">
            <w:pPr>
              <w:tabs>
                <w:tab w:val="left" w:pos="1560"/>
                <w:tab w:val="left" w:pos="1843"/>
              </w:tabs>
              <w:spacing w:after="0" w:line="276" w:lineRule="auto"/>
              <w:jc w:val="both"/>
              <w:rPr>
                <w:rFonts w:eastAsia="Times New Roman" w:cs="Times New Roman"/>
                <w:b/>
                <w:sz w:val="20"/>
                <w:szCs w:val="20"/>
                <w:lang w:val="af-ZA"/>
              </w:rPr>
            </w:pPr>
            <w:r w:rsidRPr="0053423A">
              <w:rPr>
                <w:rFonts w:eastAsia="Times New Roman" w:cs="Sylfaen"/>
                <w:b/>
                <w:sz w:val="20"/>
                <w:szCs w:val="20"/>
                <w:lang w:val="af-ZA"/>
              </w:rPr>
              <w:t xml:space="preserve">1. </w:t>
            </w:r>
            <w:r w:rsidRPr="0053423A">
              <w:rPr>
                <w:rFonts w:eastAsia="Times New Roman" w:cs="Sylfaen"/>
                <w:b/>
                <w:sz w:val="20"/>
                <w:szCs w:val="20"/>
              </w:rPr>
              <w:t>Միջոցառման</w:t>
            </w:r>
            <w:r w:rsidRPr="0053423A">
              <w:rPr>
                <w:rFonts w:eastAsia="Times New Roman" w:cs="Times New Roman"/>
                <w:b/>
                <w:sz w:val="20"/>
                <w:szCs w:val="20"/>
                <w:lang w:val="af-ZA"/>
              </w:rPr>
              <w:t xml:space="preserve"> </w:t>
            </w:r>
            <w:r w:rsidRPr="0053423A">
              <w:rPr>
                <w:rFonts w:eastAsia="Times New Roman" w:cs="Times New Roman"/>
                <w:b/>
                <w:sz w:val="20"/>
                <w:szCs w:val="20"/>
              </w:rPr>
              <w:t>իրականացման</w:t>
            </w:r>
            <w:r w:rsidRPr="0053423A">
              <w:rPr>
                <w:rFonts w:eastAsia="Times New Roman" w:cs="Times New Roman"/>
                <w:b/>
                <w:sz w:val="20"/>
                <w:szCs w:val="20"/>
                <w:lang w:val="af-ZA"/>
              </w:rPr>
              <w:t xml:space="preserve"> </w:t>
            </w:r>
            <w:r w:rsidRPr="0053423A">
              <w:rPr>
                <w:rFonts w:eastAsia="Times New Roman" w:cs="Times New Roman"/>
                <w:b/>
                <w:sz w:val="20"/>
                <w:szCs w:val="20"/>
              </w:rPr>
              <w:t>անհրաժեշտությունը</w:t>
            </w:r>
            <w:r w:rsidRPr="0053423A">
              <w:rPr>
                <w:rFonts w:eastAsia="Times New Roman" w:cs="Times New Roman"/>
                <w:b/>
                <w:sz w:val="20"/>
                <w:szCs w:val="20"/>
                <w:lang w:val="af-ZA"/>
              </w:rPr>
              <w:t xml:space="preserve"> </w:t>
            </w:r>
            <w:r w:rsidRPr="0053423A">
              <w:rPr>
                <w:rFonts w:eastAsia="Times New Roman" w:cs="Times New Roman"/>
                <w:b/>
                <w:sz w:val="20"/>
                <w:szCs w:val="20"/>
              </w:rPr>
              <w:t>և</w:t>
            </w:r>
            <w:r w:rsidRPr="0053423A">
              <w:rPr>
                <w:rFonts w:eastAsia="Times New Roman" w:cs="Times New Roman"/>
                <w:b/>
                <w:sz w:val="20"/>
                <w:szCs w:val="20"/>
                <w:lang w:val="af-ZA"/>
              </w:rPr>
              <w:t xml:space="preserve"> </w:t>
            </w:r>
            <w:r w:rsidRPr="0053423A">
              <w:rPr>
                <w:rFonts w:eastAsia="Times New Roman" w:cs="Times New Roman"/>
                <w:b/>
                <w:sz w:val="20"/>
                <w:szCs w:val="20"/>
              </w:rPr>
              <w:t>նպատակը</w:t>
            </w:r>
          </w:p>
          <w:p w:rsidR="00A67B6B" w:rsidRPr="0053423A" w:rsidRDefault="00A67B6B" w:rsidP="00A67858">
            <w:pPr>
              <w:spacing w:after="0" w:line="276" w:lineRule="auto"/>
              <w:jc w:val="both"/>
              <w:rPr>
                <w:rFonts w:eastAsia="Calibri" w:cs="Times New Roman"/>
                <w:sz w:val="20"/>
                <w:szCs w:val="20"/>
                <w:lang w:val="af-ZA"/>
              </w:rPr>
            </w:pPr>
            <w:r w:rsidRPr="0053423A">
              <w:rPr>
                <w:rFonts w:eastAsia="Calibri" w:cs="Times New Roman"/>
                <w:sz w:val="20"/>
                <w:szCs w:val="20"/>
              </w:rPr>
              <w:t>Հայաստանում</w:t>
            </w:r>
            <w:r w:rsidRPr="0053423A">
              <w:rPr>
                <w:rFonts w:eastAsia="Calibri" w:cs="Times New Roman"/>
                <w:sz w:val="20"/>
                <w:szCs w:val="20"/>
                <w:lang w:val="af-ZA"/>
              </w:rPr>
              <w:t xml:space="preserve"> </w:t>
            </w:r>
            <w:r w:rsidRPr="0053423A">
              <w:rPr>
                <w:rFonts w:eastAsia="Calibri" w:cs="Times New Roman"/>
                <w:sz w:val="20"/>
                <w:szCs w:val="20"/>
              </w:rPr>
              <w:t>տարեցները</w:t>
            </w:r>
            <w:r w:rsidRPr="0053423A">
              <w:rPr>
                <w:rFonts w:eastAsia="Calibri" w:cs="Times New Roman"/>
                <w:sz w:val="20"/>
                <w:szCs w:val="20"/>
                <w:lang w:val="af-ZA"/>
              </w:rPr>
              <w:t xml:space="preserve">, </w:t>
            </w:r>
            <w:r w:rsidRPr="0053423A">
              <w:rPr>
                <w:rFonts w:eastAsia="Calibri" w:cs="Times New Roman"/>
                <w:sz w:val="20"/>
                <w:szCs w:val="20"/>
              </w:rPr>
              <w:t>սահմանափակ</w:t>
            </w:r>
            <w:r w:rsidRPr="0053423A">
              <w:rPr>
                <w:rFonts w:eastAsia="Calibri" w:cs="Times New Roman"/>
                <w:sz w:val="20"/>
                <w:szCs w:val="20"/>
                <w:lang w:val="af-ZA"/>
              </w:rPr>
              <w:t xml:space="preserve"> </w:t>
            </w:r>
            <w:r w:rsidRPr="0053423A">
              <w:rPr>
                <w:rFonts w:eastAsia="Calibri" w:cs="Times New Roman"/>
                <w:sz w:val="20"/>
                <w:szCs w:val="20"/>
              </w:rPr>
              <w:t>կարողություններով</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հնարավորություններով</w:t>
            </w:r>
            <w:r w:rsidRPr="0053423A">
              <w:rPr>
                <w:rFonts w:eastAsia="Calibri" w:cs="Times New Roman"/>
                <w:sz w:val="20"/>
                <w:szCs w:val="20"/>
                <w:lang w:val="af-ZA"/>
              </w:rPr>
              <w:t xml:space="preserve"> </w:t>
            </w:r>
            <w:r w:rsidRPr="0053423A">
              <w:rPr>
                <w:rFonts w:eastAsia="Calibri" w:cs="Times New Roman"/>
                <w:sz w:val="20"/>
                <w:szCs w:val="20"/>
                <w:shd w:val="clear" w:color="auto" w:fill="FFFFFF"/>
              </w:rPr>
              <w:t>անձիք</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բախվում</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են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բազմաթիվ</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խնդիրների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Այդ</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խնդիրներից</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մեկը</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գրադարանային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սպասարկման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անմատչելիությունն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է</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Դրա</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լուծմանն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էր</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միտված</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Ընտանեկան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գրադարանավար</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ծրագրի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իրականացումը</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Շիրակի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և</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Լոռու</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մարզային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գրադարաններում</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Ծրագրի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նպատակը</w:t>
            </w:r>
            <w:r w:rsidRPr="0053423A">
              <w:rPr>
                <w:rFonts w:eastAsia="Calibri" w:cs="Times New Roman"/>
                <w:sz w:val="20"/>
                <w:szCs w:val="20"/>
                <w:shd w:val="clear" w:color="auto" w:fill="FFFFFF"/>
                <w:lang w:val="af-ZA"/>
              </w:rPr>
              <w:t xml:space="preserve"> </w:t>
            </w:r>
            <w:r w:rsidRPr="0053423A">
              <w:rPr>
                <w:rFonts w:eastAsia="Calibri" w:cs="Sylfaen"/>
                <w:sz w:val="20"/>
                <w:szCs w:val="20"/>
              </w:rPr>
              <w:t>տ</w:t>
            </w:r>
            <w:r w:rsidRPr="0053423A">
              <w:rPr>
                <w:rFonts w:eastAsia="Calibri" w:cs="Times New Roman"/>
                <w:sz w:val="20"/>
                <w:szCs w:val="20"/>
              </w:rPr>
              <w:t>նային</w:t>
            </w:r>
            <w:r w:rsidRPr="0053423A">
              <w:rPr>
                <w:rFonts w:eastAsia="Calibri" w:cs="Times New Roman"/>
                <w:sz w:val="20"/>
                <w:szCs w:val="20"/>
                <w:lang w:val="af-ZA"/>
              </w:rPr>
              <w:t xml:space="preserve"> </w:t>
            </w:r>
            <w:r w:rsidRPr="0053423A">
              <w:rPr>
                <w:rFonts w:eastAsia="Calibri" w:cs="Times New Roman"/>
                <w:sz w:val="20"/>
                <w:szCs w:val="20"/>
              </w:rPr>
              <w:t>պայմաններում</w:t>
            </w:r>
            <w:r w:rsidRPr="0053423A">
              <w:rPr>
                <w:rFonts w:eastAsia="Calibri" w:cs="Times New Roman"/>
                <w:sz w:val="20"/>
                <w:szCs w:val="20"/>
                <w:lang w:val="af-ZA"/>
              </w:rPr>
              <w:t xml:space="preserve">  </w:t>
            </w:r>
            <w:r w:rsidRPr="0053423A">
              <w:rPr>
                <w:rFonts w:eastAsia="Calibri" w:cs="Times New Roman"/>
                <w:sz w:val="20"/>
                <w:szCs w:val="20"/>
              </w:rPr>
              <w:t>տարեցների</w:t>
            </w:r>
            <w:r w:rsidRPr="0053423A">
              <w:rPr>
                <w:rFonts w:eastAsia="Calibri" w:cs="Times New Roman"/>
                <w:sz w:val="20"/>
                <w:szCs w:val="20"/>
                <w:lang w:val="af-ZA"/>
              </w:rPr>
              <w:t xml:space="preserve">, </w:t>
            </w:r>
            <w:r w:rsidRPr="0053423A">
              <w:rPr>
                <w:rFonts w:eastAsia="Calibri" w:cs="Times New Roman"/>
                <w:sz w:val="20"/>
                <w:szCs w:val="20"/>
              </w:rPr>
              <w:t>սահմանափակ</w:t>
            </w:r>
            <w:r w:rsidRPr="0053423A">
              <w:rPr>
                <w:rFonts w:eastAsia="Calibri" w:cs="Times New Roman"/>
                <w:sz w:val="20"/>
                <w:szCs w:val="20"/>
                <w:lang w:val="af-ZA"/>
              </w:rPr>
              <w:t xml:space="preserve"> </w:t>
            </w:r>
            <w:r w:rsidRPr="0053423A">
              <w:rPr>
                <w:rFonts w:eastAsia="Calibri" w:cs="Times New Roman"/>
                <w:sz w:val="20"/>
                <w:szCs w:val="20"/>
              </w:rPr>
              <w:t>կարողություններով</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հնարավորություններով</w:t>
            </w:r>
            <w:r w:rsidRPr="0053423A">
              <w:rPr>
                <w:rFonts w:eastAsia="Calibri" w:cs="Times New Roman"/>
                <w:sz w:val="20"/>
                <w:szCs w:val="20"/>
                <w:lang w:val="af-ZA"/>
              </w:rPr>
              <w:t xml:space="preserve"> </w:t>
            </w:r>
            <w:r w:rsidRPr="0053423A">
              <w:rPr>
                <w:rFonts w:eastAsia="Calibri" w:cs="Times New Roman"/>
                <w:sz w:val="20"/>
                <w:szCs w:val="20"/>
              </w:rPr>
              <w:t>մարդկանց</w:t>
            </w:r>
            <w:r w:rsidRPr="0053423A">
              <w:rPr>
                <w:rFonts w:eastAsia="Calibri" w:cs="Times New Roman"/>
                <w:sz w:val="20"/>
                <w:szCs w:val="20"/>
                <w:lang w:val="af-ZA"/>
              </w:rPr>
              <w:t xml:space="preserve"> </w:t>
            </w:r>
            <w:r w:rsidRPr="0053423A">
              <w:rPr>
                <w:rFonts w:eastAsia="Calibri" w:cs="Times New Roman"/>
                <w:sz w:val="20"/>
                <w:szCs w:val="20"/>
              </w:rPr>
              <w:t>համար</w:t>
            </w:r>
            <w:r w:rsidRPr="0053423A">
              <w:rPr>
                <w:rFonts w:eastAsia="Calibri" w:cs="Times New Roman"/>
                <w:sz w:val="20"/>
                <w:szCs w:val="20"/>
                <w:lang w:val="af-ZA"/>
              </w:rPr>
              <w:t xml:space="preserve"> </w:t>
            </w:r>
            <w:r w:rsidRPr="0053423A">
              <w:rPr>
                <w:rFonts w:eastAsia="Calibri" w:cs="Times New Roman"/>
                <w:sz w:val="20"/>
                <w:szCs w:val="20"/>
              </w:rPr>
              <w:t>գրադարանային</w:t>
            </w:r>
            <w:r w:rsidRPr="0053423A">
              <w:rPr>
                <w:rFonts w:eastAsia="Calibri" w:cs="Times New Roman"/>
                <w:sz w:val="20"/>
                <w:szCs w:val="20"/>
                <w:lang w:val="af-ZA"/>
              </w:rPr>
              <w:t xml:space="preserve"> </w:t>
            </w:r>
            <w:r w:rsidRPr="0053423A">
              <w:rPr>
                <w:rFonts w:eastAsia="Calibri" w:cs="Times New Roman"/>
                <w:sz w:val="20"/>
                <w:szCs w:val="20"/>
              </w:rPr>
              <w:t>սպասարկում</w:t>
            </w:r>
            <w:r w:rsidRPr="0053423A">
              <w:rPr>
                <w:rFonts w:eastAsia="Calibri" w:cs="Times New Roman"/>
                <w:sz w:val="20"/>
                <w:szCs w:val="20"/>
                <w:lang w:val="af-ZA"/>
              </w:rPr>
              <w:t xml:space="preserve"> </w:t>
            </w:r>
            <w:r w:rsidRPr="0053423A">
              <w:rPr>
                <w:rFonts w:eastAsia="Calibri" w:cs="Times New Roman"/>
                <w:sz w:val="20"/>
                <w:szCs w:val="20"/>
              </w:rPr>
              <w:t>ապահովելն</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որի</w:t>
            </w:r>
            <w:r w:rsidRPr="0053423A">
              <w:rPr>
                <w:rFonts w:eastAsia="Calibri" w:cs="Times New Roman"/>
                <w:sz w:val="20"/>
                <w:szCs w:val="20"/>
                <w:lang w:val="af-ZA"/>
              </w:rPr>
              <w:t xml:space="preserve"> </w:t>
            </w:r>
            <w:r w:rsidRPr="0053423A">
              <w:rPr>
                <w:rFonts w:eastAsia="Calibri" w:cs="Times New Roman"/>
                <w:sz w:val="20"/>
                <w:szCs w:val="20"/>
              </w:rPr>
              <w:t>շնորհիվ</w:t>
            </w:r>
            <w:r w:rsidRPr="0053423A">
              <w:rPr>
                <w:rFonts w:eastAsia="Calibri" w:cs="Times New Roman"/>
                <w:sz w:val="20"/>
                <w:szCs w:val="20"/>
                <w:lang w:val="af-ZA"/>
              </w:rPr>
              <w:t xml:space="preserve">  </w:t>
            </w:r>
            <w:r w:rsidRPr="0053423A">
              <w:rPr>
                <w:rFonts w:eastAsia="Calibri" w:cs="Times New Roman"/>
                <w:sz w:val="20"/>
                <w:szCs w:val="20"/>
              </w:rPr>
              <w:t>գրադարանը</w:t>
            </w:r>
            <w:r w:rsidRPr="0053423A">
              <w:rPr>
                <w:rFonts w:eastAsia="Calibri" w:cs="Times New Roman"/>
                <w:sz w:val="20"/>
                <w:szCs w:val="20"/>
                <w:lang w:val="af-ZA"/>
              </w:rPr>
              <w:t xml:space="preserve"> </w:t>
            </w:r>
            <w:r w:rsidRPr="0053423A">
              <w:rPr>
                <w:rFonts w:eastAsia="Calibri" w:cs="Times New Roman"/>
                <w:sz w:val="20"/>
                <w:szCs w:val="20"/>
              </w:rPr>
              <w:t>դառնում</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հասանելի</w:t>
            </w:r>
            <w:r w:rsidRPr="0053423A">
              <w:rPr>
                <w:rFonts w:eastAsia="Calibri" w:cs="Times New Roman"/>
                <w:sz w:val="20"/>
                <w:szCs w:val="20"/>
                <w:lang w:val="af-ZA"/>
              </w:rPr>
              <w:t xml:space="preserve"> </w:t>
            </w:r>
            <w:r w:rsidRPr="0053423A">
              <w:rPr>
                <w:rFonts w:eastAsia="Calibri" w:cs="Times New Roman"/>
                <w:sz w:val="20"/>
                <w:szCs w:val="20"/>
              </w:rPr>
              <w:t>հանրության</w:t>
            </w:r>
            <w:r w:rsidRPr="0053423A">
              <w:rPr>
                <w:rFonts w:eastAsia="Calibri" w:cs="Times New Roman"/>
                <w:sz w:val="20"/>
                <w:szCs w:val="20"/>
                <w:lang w:val="af-ZA"/>
              </w:rPr>
              <w:t xml:space="preserve"> </w:t>
            </w:r>
            <w:r w:rsidRPr="0053423A">
              <w:rPr>
                <w:rFonts w:eastAsia="Calibri" w:cs="Times New Roman"/>
                <w:sz w:val="20"/>
                <w:szCs w:val="20"/>
              </w:rPr>
              <w:t>բոլոր</w:t>
            </w:r>
            <w:r w:rsidRPr="0053423A">
              <w:rPr>
                <w:rFonts w:eastAsia="Calibri" w:cs="Times New Roman"/>
                <w:sz w:val="20"/>
                <w:szCs w:val="20"/>
                <w:lang w:val="af-ZA"/>
              </w:rPr>
              <w:t xml:space="preserve"> </w:t>
            </w:r>
            <w:r w:rsidRPr="0053423A">
              <w:rPr>
                <w:rFonts w:eastAsia="Calibri" w:cs="Times New Roman"/>
                <w:sz w:val="20"/>
                <w:szCs w:val="20"/>
              </w:rPr>
              <w:t>շերտերի</w:t>
            </w:r>
            <w:r w:rsidRPr="0053423A">
              <w:rPr>
                <w:rFonts w:eastAsia="Calibri" w:cs="Times New Roman"/>
                <w:sz w:val="20"/>
                <w:szCs w:val="20"/>
                <w:lang w:val="af-ZA"/>
              </w:rPr>
              <w:t xml:space="preserve"> </w:t>
            </w:r>
            <w:r w:rsidRPr="0053423A">
              <w:rPr>
                <w:rFonts w:eastAsia="Calibri" w:cs="Times New Roman"/>
                <w:sz w:val="20"/>
                <w:szCs w:val="20"/>
              </w:rPr>
              <w:t>համար</w:t>
            </w:r>
            <w:r w:rsidRPr="0053423A">
              <w:rPr>
                <w:rFonts w:eastAsia="Calibri" w:cs="Times New Roman"/>
                <w:sz w:val="20"/>
                <w:szCs w:val="20"/>
                <w:lang w:val="af-ZA"/>
              </w:rPr>
              <w:t>:</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rPr>
              <w:t>Տարեցների</w:t>
            </w:r>
            <w:r w:rsidRPr="0053423A">
              <w:rPr>
                <w:rFonts w:eastAsia="Calibri" w:cs="Times New Roman"/>
                <w:sz w:val="20"/>
                <w:szCs w:val="20"/>
                <w:lang w:val="af-ZA"/>
              </w:rPr>
              <w:t xml:space="preserve">, </w:t>
            </w:r>
            <w:r w:rsidRPr="0053423A">
              <w:rPr>
                <w:rFonts w:eastAsia="Calibri" w:cs="Times New Roman"/>
                <w:sz w:val="20"/>
                <w:szCs w:val="20"/>
              </w:rPr>
              <w:t>սահմանափակ</w:t>
            </w:r>
            <w:r w:rsidRPr="0053423A">
              <w:rPr>
                <w:rFonts w:eastAsia="Calibri" w:cs="Times New Roman"/>
                <w:sz w:val="20"/>
                <w:szCs w:val="20"/>
                <w:lang w:val="af-ZA"/>
              </w:rPr>
              <w:t xml:space="preserve"> </w:t>
            </w:r>
            <w:r w:rsidRPr="0053423A">
              <w:rPr>
                <w:rFonts w:eastAsia="Calibri" w:cs="Times New Roman"/>
                <w:sz w:val="20"/>
                <w:szCs w:val="20"/>
              </w:rPr>
              <w:t>կարողություններով</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հնարավորություններով</w:t>
            </w:r>
            <w:r w:rsidRPr="0053423A">
              <w:rPr>
                <w:rFonts w:eastAsia="Calibri" w:cs="Times New Roman"/>
                <w:sz w:val="20"/>
                <w:szCs w:val="20"/>
                <w:lang w:val="af-ZA"/>
              </w:rPr>
              <w:t xml:space="preserve"> </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անձանց</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համար</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մատչելի</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և</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հավասար</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պայմաններ</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ստեղծելու</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հասարակական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կյանքին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նրանց</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ներառելու</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համար</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անհրաժեշտություն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է</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առաջացել</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ընդլայնել</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ծրագիրը</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իրականացնել</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նաև</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մարզային</w:t>
            </w:r>
            <w:r w:rsidRPr="0053423A">
              <w:rPr>
                <w:rFonts w:eastAsia="Calibri" w:cs="Times New Roman"/>
                <w:sz w:val="20"/>
                <w:szCs w:val="20"/>
                <w:shd w:val="clear" w:color="auto" w:fill="FFFFFF"/>
                <w:lang w:val="af-ZA"/>
              </w:rPr>
              <w:t xml:space="preserve"> 8 </w:t>
            </w:r>
            <w:r w:rsidRPr="0053423A">
              <w:rPr>
                <w:rFonts w:eastAsia="Calibri" w:cs="Times New Roman"/>
                <w:sz w:val="20"/>
                <w:szCs w:val="20"/>
                <w:shd w:val="clear" w:color="auto" w:fill="FFFFFF"/>
              </w:rPr>
              <w:t>պետական</w:t>
            </w:r>
            <w:r w:rsidRPr="0053423A">
              <w:rPr>
                <w:rFonts w:eastAsia="Calibri" w:cs="Times New Roman"/>
                <w:sz w:val="20"/>
                <w:szCs w:val="20"/>
                <w:shd w:val="clear" w:color="auto" w:fill="FFFFFF"/>
                <w:lang w:val="af-ZA"/>
              </w:rPr>
              <w:t xml:space="preserve"> </w:t>
            </w:r>
            <w:r w:rsidRPr="0053423A">
              <w:rPr>
                <w:rFonts w:eastAsia="Calibri" w:cs="Times New Roman"/>
                <w:sz w:val="20"/>
                <w:szCs w:val="20"/>
                <w:shd w:val="clear" w:color="auto" w:fill="FFFFFF"/>
              </w:rPr>
              <w:t>գրադարաններում</w:t>
            </w:r>
            <w:r w:rsidRPr="0053423A">
              <w:rPr>
                <w:rFonts w:eastAsia="Calibri" w:cs="Times New Roman"/>
                <w:sz w:val="20"/>
                <w:szCs w:val="20"/>
                <w:shd w:val="clear" w:color="auto" w:fill="FFFFFF"/>
                <w:lang w:val="af-ZA"/>
              </w:rPr>
              <w:t xml:space="preserve">: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993"/>
                <w:tab w:val="left" w:pos="1560"/>
                <w:tab w:val="left" w:pos="1843"/>
              </w:tabs>
              <w:spacing w:after="0" w:line="276" w:lineRule="auto"/>
              <w:jc w:val="both"/>
              <w:rPr>
                <w:rFonts w:eastAsia="Calibri" w:cs="Times New Roman"/>
                <w:sz w:val="20"/>
                <w:szCs w:val="20"/>
                <w:shd w:val="clear" w:color="auto" w:fill="FFFFFF"/>
                <w:lang w:val="af-ZA"/>
              </w:rPr>
            </w:pPr>
          </w:p>
          <w:p w:rsidR="00A67B6B" w:rsidRPr="0053423A" w:rsidRDefault="00A67B6B" w:rsidP="001F6D5D">
            <w:pPr>
              <w:numPr>
                <w:ilvl w:val="1"/>
                <w:numId w:val="208"/>
              </w:numPr>
              <w:spacing w:after="0" w:line="276" w:lineRule="auto"/>
              <w:ind w:left="-129" w:firstLine="129"/>
              <w:contextualSpacing/>
              <w:jc w:val="center"/>
              <w:rPr>
                <w:rFonts w:eastAsia="Times New Roman" w:cs="Times New Roman"/>
                <w:b/>
                <w:sz w:val="20"/>
                <w:szCs w:val="20"/>
                <w:lang w:val="af-ZA"/>
              </w:rPr>
            </w:pPr>
            <w:r w:rsidRPr="0053423A">
              <w:rPr>
                <w:rFonts w:eastAsia="Times New Roman" w:cs="Times New Roman"/>
                <w:b/>
                <w:sz w:val="20"/>
                <w:szCs w:val="20"/>
                <w:lang w:val="ru-RU"/>
              </w:rPr>
              <w:t>Կարգավորման</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հարաբերությունների</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ներկա</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վիճակը</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և</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առկա</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խնդիրները</w:t>
            </w:r>
          </w:p>
          <w:p w:rsidR="00A67B6B" w:rsidRPr="0053423A" w:rsidRDefault="00A67B6B" w:rsidP="00A67858">
            <w:pPr>
              <w:tabs>
                <w:tab w:val="left" w:pos="993"/>
                <w:tab w:val="left" w:pos="1560"/>
                <w:tab w:val="left" w:pos="1843"/>
              </w:tabs>
              <w:spacing w:after="0" w:line="276" w:lineRule="auto"/>
              <w:jc w:val="both"/>
              <w:rPr>
                <w:rFonts w:eastAsia="Calibri" w:cs="Times New Roman"/>
                <w:sz w:val="20"/>
                <w:szCs w:val="20"/>
                <w:lang w:val="af-ZA"/>
              </w:rPr>
            </w:pPr>
            <w:r w:rsidRPr="0053423A">
              <w:rPr>
                <w:rFonts w:eastAsia="Times New Roman" w:cs="Times New Roman"/>
                <w:sz w:val="20"/>
                <w:szCs w:val="20"/>
              </w:rPr>
              <w:t>Ներկայում</w:t>
            </w:r>
            <w:r w:rsidRPr="0053423A">
              <w:rPr>
                <w:rFonts w:eastAsia="Times New Roman" w:cs="Times New Roman"/>
                <w:sz w:val="20"/>
                <w:szCs w:val="20"/>
                <w:lang w:val="af-ZA"/>
              </w:rPr>
              <w:t xml:space="preserve"> «</w:t>
            </w:r>
            <w:r w:rsidRPr="0053423A">
              <w:rPr>
                <w:rFonts w:eastAsia="Times New Roman" w:cs="Times New Roman"/>
                <w:sz w:val="20"/>
                <w:szCs w:val="20"/>
              </w:rPr>
              <w:t>Ընտանեկան</w:t>
            </w:r>
            <w:r w:rsidRPr="0053423A">
              <w:rPr>
                <w:rFonts w:eastAsia="Times New Roman" w:cs="Times New Roman"/>
                <w:sz w:val="20"/>
                <w:szCs w:val="20"/>
                <w:lang w:val="af-ZA"/>
              </w:rPr>
              <w:t xml:space="preserve"> </w:t>
            </w:r>
            <w:r w:rsidRPr="0053423A">
              <w:rPr>
                <w:rFonts w:eastAsia="Times New Roman" w:cs="Times New Roman"/>
                <w:sz w:val="20"/>
                <w:szCs w:val="20"/>
              </w:rPr>
              <w:t>գրադարանավար</w:t>
            </w:r>
            <w:r w:rsidRPr="0053423A">
              <w:rPr>
                <w:rFonts w:eastAsia="Times New Roman" w:cs="Times New Roman"/>
                <w:sz w:val="20"/>
                <w:szCs w:val="20"/>
                <w:lang w:val="af-ZA"/>
              </w:rPr>
              <w:t xml:space="preserve">» </w:t>
            </w:r>
            <w:r w:rsidRPr="0053423A">
              <w:rPr>
                <w:rFonts w:eastAsia="Times New Roman" w:cs="Times New Roman"/>
                <w:sz w:val="20"/>
                <w:szCs w:val="20"/>
              </w:rPr>
              <w:t>ծրագիրը</w:t>
            </w:r>
            <w:r w:rsidRPr="0053423A">
              <w:rPr>
                <w:rFonts w:eastAsia="Times New Roman" w:cs="Times New Roman"/>
                <w:sz w:val="20"/>
                <w:szCs w:val="20"/>
                <w:lang w:val="af-ZA"/>
              </w:rPr>
              <w:t xml:space="preserve"> </w:t>
            </w:r>
            <w:r w:rsidRPr="0053423A">
              <w:rPr>
                <w:rFonts w:eastAsia="Times New Roman" w:cs="Times New Roman"/>
                <w:sz w:val="20"/>
                <w:szCs w:val="20"/>
              </w:rPr>
              <w:t>իրականացվում</w:t>
            </w:r>
            <w:r w:rsidRPr="0053423A">
              <w:rPr>
                <w:rFonts w:eastAsia="Times New Roman" w:cs="Times New Roman"/>
                <w:sz w:val="20"/>
                <w:szCs w:val="20"/>
                <w:lang w:val="af-ZA"/>
              </w:rPr>
              <w:t xml:space="preserve"> </w:t>
            </w:r>
            <w:r w:rsidRPr="0053423A">
              <w:rPr>
                <w:rFonts w:eastAsia="Times New Roman" w:cs="Times New Roman"/>
                <w:sz w:val="20"/>
                <w:szCs w:val="20"/>
              </w:rPr>
              <w:t>է</w:t>
            </w:r>
            <w:r w:rsidRPr="0053423A">
              <w:rPr>
                <w:rFonts w:eastAsia="Times New Roman" w:cs="Times New Roman"/>
                <w:sz w:val="20"/>
                <w:szCs w:val="20"/>
                <w:lang w:val="af-ZA"/>
              </w:rPr>
              <w:t xml:space="preserve"> </w:t>
            </w:r>
            <w:r w:rsidRPr="0053423A">
              <w:rPr>
                <w:rFonts w:eastAsia="Times New Roman" w:cs="Times New Roman"/>
                <w:sz w:val="20"/>
                <w:szCs w:val="20"/>
              </w:rPr>
              <w:t>ՀՀ</w:t>
            </w:r>
            <w:r w:rsidRPr="0053423A">
              <w:rPr>
                <w:rFonts w:eastAsia="Times New Roman" w:cs="Times New Roman"/>
                <w:sz w:val="20"/>
                <w:szCs w:val="20"/>
                <w:lang w:val="af-ZA"/>
              </w:rPr>
              <w:t xml:space="preserve"> </w:t>
            </w:r>
            <w:r w:rsidRPr="0053423A">
              <w:rPr>
                <w:rFonts w:eastAsia="Times New Roman" w:cs="Times New Roman"/>
                <w:sz w:val="20"/>
                <w:szCs w:val="20"/>
              </w:rPr>
              <w:t>Շիրակի</w:t>
            </w:r>
            <w:r w:rsidRPr="0053423A">
              <w:rPr>
                <w:rFonts w:eastAsia="Times New Roman" w:cs="Times New Roman"/>
                <w:sz w:val="20"/>
                <w:szCs w:val="20"/>
                <w:lang w:val="af-ZA"/>
              </w:rPr>
              <w:t xml:space="preserve"> </w:t>
            </w:r>
            <w:r w:rsidRPr="0053423A">
              <w:rPr>
                <w:rFonts w:eastAsia="Times New Roman" w:cs="Times New Roman"/>
                <w:sz w:val="20"/>
                <w:szCs w:val="20"/>
              </w:rPr>
              <w:t>և</w:t>
            </w:r>
            <w:r w:rsidRPr="0053423A">
              <w:rPr>
                <w:rFonts w:eastAsia="Times New Roman" w:cs="Times New Roman"/>
                <w:sz w:val="20"/>
                <w:szCs w:val="20"/>
                <w:lang w:val="af-ZA"/>
              </w:rPr>
              <w:t xml:space="preserve"> </w:t>
            </w:r>
            <w:r w:rsidRPr="0053423A">
              <w:rPr>
                <w:rFonts w:eastAsia="Times New Roman" w:cs="Times New Roman"/>
                <w:sz w:val="20"/>
                <w:szCs w:val="20"/>
              </w:rPr>
              <w:t>Լոռու</w:t>
            </w:r>
            <w:r w:rsidRPr="0053423A">
              <w:rPr>
                <w:rFonts w:eastAsia="Times New Roman" w:cs="Times New Roman"/>
                <w:sz w:val="20"/>
                <w:szCs w:val="20"/>
                <w:lang w:val="af-ZA"/>
              </w:rPr>
              <w:t xml:space="preserve"> </w:t>
            </w:r>
            <w:r w:rsidRPr="0053423A">
              <w:rPr>
                <w:rFonts w:eastAsia="Times New Roman" w:cs="Times New Roman"/>
                <w:sz w:val="20"/>
                <w:szCs w:val="20"/>
              </w:rPr>
              <w:t>մարզային</w:t>
            </w:r>
            <w:r w:rsidRPr="0053423A">
              <w:rPr>
                <w:rFonts w:eastAsia="Times New Roman" w:cs="Times New Roman"/>
                <w:sz w:val="20"/>
                <w:szCs w:val="20"/>
                <w:lang w:val="af-ZA"/>
              </w:rPr>
              <w:t xml:space="preserve"> </w:t>
            </w:r>
            <w:r w:rsidRPr="0053423A">
              <w:rPr>
                <w:rFonts w:eastAsia="Times New Roman" w:cs="Times New Roman"/>
                <w:sz w:val="20"/>
                <w:szCs w:val="20"/>
              </w:rPr>
              <w:t>գրադարաններում</w:t>
            </w:r>
            <w:r w:rsidRPr="0053423A">
              <w:rPr>
                <w:rFonts w:eastAsia="Times New Roman" w:cs="Times New Roman"/>
                <w:sz w:val="20"/>
                <w:szCs w:val="20"/>
                <w:lang w:val="af-ZA"/>
              </w:rPr>
              <w:t>,</w:t>
            </w:r>
            <w:r w:rsidRPr="0053423A">
              <w:rPr>
                <w:rFonts w:eastAsia="Times New Roman" w:cs="Times New Roman"/>
                <w:sz w:val="20"/>
                <w:szCs w:val="20"/>
              </w:rPr>
              <w:t>սպասարկում</w:t>
            </w:r>
            <w:r w:rsidRPr="0053423A">
              <w:rPr>
                <w:rFonts w:eastAsia="Times New Roman" w:cs="Times New Roman"/>
                <w:sz w:val="20"/>
                <w:szCs w:val="20"/>
                <w:lang w:val="af-ZA"/>
              </w:rPr>
              <w:t xml:space="preserve"> </w:t>
            </w:r>
            <w:r w:rsidRPr="0053423A">
              <w:rPr>
                <w:rFonts w:eastAsia="Times New Roman" w:cs="Times New Roman"/>
                <w:sz w:val="20"/>
                <w:szCs w:val="20"/>
              </w:rPr>
              <w:t>է</w:t>
            </w:r>
            <w:r w:rsidRPr="0053423A">
              <w:rPr>
                <w:rFonts w:eastAsia="Times New Roman" w:cs="Times New Roman"/>
                <w:sz w:val="20"/>
                <w:szCs w:val="20"/>
                <w:lang w:val="af-ZA"/>
              </w:rPr>
              <w:t xml:space="preserve"> 120-</w:t>
            </w:r>
            <w:r w:rsidRPr="0053423A">
              <w:rPr>
                <w:rFonts w:eastAsia="Times New Roman" w:cs="Times New Roman"/>
                <w:sz w:val="20"/>
                <w:szCs w:val="20"/>
              </w:rPr>
              <w:t>ից</w:t>
            </w:r>
            <w:r w:rsidRPr="0053423A">
              <w:rPr>
                <w:rFonts w:eastAsia="Times New Roman" w:cs="Times New Roman"/>
                <w:sz w:val="20"/>
                <w:szCs w:val="20"/>
                <w:lang w:val="af-ZA"/>
              </w:rPr>
              <w:t xml:space="preserve"> </w:t>
            </w:r>
            <w:r w:rsidRPr="0053423A">
              <w:rPr>
                <w:rFonts w:eastAsia="Times New Roman" w:cs="Times New Roman"/>
                <w:sz w:val="20"/>
                <w:szCs w:val="20"/>
              </w:rPr>
              <w:t>ավելի</w:t>
            </w:r>
            <w:r w:rsidRPr="0053423A">
              <w:rPr>
                <w:rFonts w:eastAsia="Times New Roman" w:cs="Times New Roman"/>
                <w:sz w:val="20"/>
                <w:szCs w:val="20"/>
                <w:lang w:val="af-ZA"/>
              </w:rPr>
              <w:t xml:space="preserve"> </w:t>
            </w:r>
            <w:r w:rsidRPr="0053423A">
              <w:rPr>
                <w:rFonts w:eastAsia="Times New Roman" w:cs="Times New Roman"/>
                <w:sz w:val="20"/>
                <w:szCs w:val="20"/>
              </w:rPr>
              <w:t>տարեցների</w:t>
            </w:r>
            <w:r w:rsidRPr="0053423A">
              <w:rPr>
                <w:rFonts w:eastAsia="Times New Roman" w:cs="Times New Roman"/>
                <w:sz w:val="20"/>
                <w:szCs w:val="20"/>
                <w:lang w:val="af-ZA"/>
              </w:rPr>
              <w:t xml:space="preserve"> </w:t>
            </w:r>
            <w:r w:rsidRPr="0053423A">
              <w:rPr>
                <w:rFonts w:eastAsia="Times New Roman" w:cs="Times New Roman"/>
                <w:sz w:val="20"/>
                <w:szCs w:val="20"/>
              </w:rPr>
              <w:t>և</w:t>
            </w:r>
            <w:r w:rsidRPr="0053423A">
              <w:rPr>
                <w:rFonts w:eastAsia="Times New Roman" w:cs="Times New Roman"/>
                <w:sz w:val="20"/>
                <w:szCs w:val="20"/>
                <w:lang w:val="af-ZA"/>
              </w:rPr>
              <w:t xml:space="preserve"> </w:t>
            </w:r>
            <w:r w:rsidRPr="0053423A">
              <w:rPr>
                <w:rFonts w:eastAsia="Times New Roman" w:cs="Times New Roman"/>
                <w:sz w:val="20"/>
                <w:szCs w:val="20"/>
              </w:rPr>
              <w:t>հաշմադամների</w:t>
            </w:r>
            <w:r w:rsidRPr="0053423A">
              <w:rPr>
                <w:rFonts w:eastAsia="Times New Roman" w:cs="Times New Roman"/>
                <w:sz w:val="20"/>
                <w:szCs w:val="20"/>
                <w:lang w:val="af-ZA"/>
              </w:rPr>
              <w:t xml:space="preserve">: </w:t>
            </w:r>
            <w:r w:rsidRPr="0053423A">
              <w:rPr>
                <w:rFonts w:eastAsia="Calibri" w:cs="Times New Roman"/>
                <w:sz w:val="20"/>
                <w:szCs w:val="20"/>
              </w:rPr>
              <w:t>Արմավիրի</w:t>
            </w:r>
            <w:r w:rsidRPr="0053423A">
              <w:rPr>
                <w:rFonts w:eastAsia="Calibri" w:cs="Times New Roman"/>
                <w:sz w:val="20"/>
                <w:szCs w:val="20"/>
                <w:lang w:val="af-ZA"/>
              </w:rPr>
              <w:t xml:space="preserve">, </w:t>
            </w:r>
            <w:r w:rsidRPr="0053423A">
              <w:rPr>
                <w:rFonts w:eastAsia="Calibri" w:cs="Times New Roman"/>
                <w:sz w:val="20"/>
                <w:szCs w:val="20"/>
              </w:rPr>
              <w:t>Արագածոտնի</w:t>
            </w:r>
            <w:r w:rsidRPr="0053423A">
              <w:rPr>
                <w:rFonts w:eastAsia="Calibri" w:cs="Times New Roman"/>
                <w:sz w:val="20"/>
                <w:szCs w:val="20"/>
                <w:lang w:val="af-ZA"/>
              </w:rPr>
              <w:t xml:space="preserve">, </w:t>
            </w:r>
            <w:r w:rsidRPr="0053423A">
              <w:rPr>
                <w:rFonts w:eastAsia="Calibri" w:cs="Times New Roman"/>
                <w:sz w:val="20"/>
                <w:szCs w:val="20"/>
              </w:rPr>
              <w:t>Արարատի</w:t>
            </w:r>
            <w:r w:rsidRPr="0053423A">
              <w:rPr>
                <w:rFonts w:eastAsia="Calibri" w:cs="Times New Roman"/>
                <w:sz w:val="20"/>
                <w:szCs w:val="20"/>
                <w:lang w:val="af-ZA"/>
              </w:rPr>
              <w:t xml:space="preserve">, </w:t>
            </w:r>
            <w:r w:rsidRPr="0053423A">
              <w:rPr>
                <w:rFonts w:eastAsia="Calibri" w:cs="Times New Roman"/>
                <w:sz w:val="20"/>
                <w:szCs w:val="20"/>
              </w:rPr>
              <w:t>Գեղարքունիքի</w:t>
            </w:r>
            <w:r w:rsidRPr="0053423A">
              <w:rPr>
                <w:rFonts w:eastAsia="Calibri" w:cs="Times New Roman"/>
                <w:sz w:val="20"/>
                <w:szCs w:val="20"/>
                <w:lang w:val="af-ZA"/>
              </w:rPr>
              <w:t xml:space="preserve">, </w:t>
            </w:r>
            <w:r w:rsidRPr="0053423A">
              <w:rPr>
                <w:rFonts w:eastAsia="Calibri" w:cs="Times New Roman"/>
                <w:sz w:val="20"/>
                <w:szCs w:val="20"/>
              </w:rPr>
              <w:t>Կոտայքի</w:t>
            </w:r>
            <w:r w:rsidRPr="0053423A">
              <w:rPr>
                <w:rFonts w:eastAsia="Calibri" w:cs="Times New Roman"/>
                <w:sz w:val="20"/>
                <w:szCs w:val="20"/>
                <w:lang w:val="af-ZA"/>
              </w:rPr>
              <w:t xml:space="preserve">, </w:t>
            </w:r>
            <w:r w:rsidRPr="0053423A">
              <w:rPr>
                <w:rFonts w:eastAsia="Calibri" w:cs="Times New Roman"/>
                <w:sz w:val="20"/>
                <w:szCs w:val="20"/>
              </w:rPr>
              <w:t>Սյունիքի</w:t>
            </w:r>
            <w:r w:rsidRPr="0053423A">
              <w:rPr>
                <w:rFonts w:eastAsia="Calibri" w:cs="Times New Roman"/>
                <w:sz w:val="20"/>
                <w:szCs w:val="20"/>
                <w:lang w:val="af-ZA"/>
              </w:rPr>
              <w:t xml:space="preserve">, </w:t>
            </w:r>
            <w:r w:rsidRPr="0053423A">
              <w:rPr>
                <w:rFonts w:eastAsia="Calibri" w:cs="Times New Roman"/>
                <w:sz w:val="20"/>
                <w:szCs w:val="20"/>
              </w:rPr>
              <w:t>Վայոց</w:t>
            </w:r>
            <w:r w:rsidRPr="0053423A">
              <w:rPr>
                <w:rFonts w:eastAsia="Calibri" w:cs="Times New Roman"/>
                <w:sz w:val="20"/>
                <w:szCs w:val="20"/>
                <w:lang w:val="af-ZA"/>
              </w:rPr>
              <w:t xml:space="preserve"> </w:t>
            </w:r>
            <w:r w:rsidRPr="0053423A">
              <w:rPr>
                <w:rFonts w:eastAsia="Calibri" w:cs="Times New Roman"/>
                <w:sz w:val="20"/>
                <w:szCs w:val="20"/>
              </w:rPr>
              <w:t>ձորի</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Տավուշի</w:t>
            </w:r>
            <w:r w:rsidRPr="0053423A">
              <w:rPr>
                <w:rFonts w:eastAsia="Calibri" w:cs="Times New Roman"/>
                <w:sz w:val="20"/>
                <w:szCs w:val="20"/>
                <w:lang w:val="af-ZA"/>
              </w:rPr>
              <w:t xml:space="preserve"> </w:t>
            </w:r>
            <w:r w:rsidRPr="0053423A">
              <w:rPr>
                <w:rFonts w:eastAsia="Calibri" w:cs="Times New Roman"/>
                <w:sz w:val="20"/>
                <w:szCs w:val="20"/>
              </w:rPr>
              <w:t>մարզային</w:t>
            </w:r>
            <w:r w:rsidRPr="0053423A">
              <w:rPr>
                <w:rFonts w:eastAsia="Calibri" w:cs="Times New Roman"/>
                <w:sz w:val="20"/>
                <w:szCs w:val="20"/>
                <w:lang w:val="af-ZA"/>
              </w:rPr>
              <w:t xml:space="preserve"> </w:t>
            </w:r>
            <w:r w:rsidRPr="0053423A">
              <w:rPr>
                <w:rFonts w:eastAsia="Calibri" w:cs="Times New Roman"/>
                <w:sz w:val="20"/>
                <w:szCs w:val="20"/>
              </w:rPr>
              <w:t>գրադարաններում</w:t>
            </w:r>
            <w:r w:rsidRPr="0053423A">
              <w:rPr>
                <w:rFonts w:eastAsia="Calibri" w:cs="Times New Roman"/>
                <w:sz w:val="20"/>
                <w:szCs w:val="20"/>
                <w:lang w:val="af-ZA"/>
              </w:rPr>
              <w:t xml:space="preserve"> </w:t>
            </w:r>
            <w:r w:rsidRPr="0053423A">
              <w:rPr>
                <w:rFonts w:eastAsia="Calibri" w:cs="Times New Roman"/>
                <w:sz w:val="20"/>
                <w:szCs w:val="20"/>
              </w:rPr>
              <w:t>ևս</w:t>
            </w:r>
            <w:r w:rsidRPr="0053423A">
              <w:rPr>
                <w:rFonts w:eastAsia="Calibri" w:cs="Times New Roman"/>
                <w:sz w:val="20"/>
                <w:szCs w:val="20"/>
                <w:lang w:val="af-ZA"/>
              </w:rPr>
              <w:t xml:space="preserve"> </w:t>
            </w:r>
            <w:r w:rsidRPr="0053423A">
              <w:rPr>
                <w:rFonts w:eastAsia="Calibri" w:cs="Times New Roman"/>
                <w:sz w:val="20"/>
                <w:szCs w:val="20"/>
              </w:rPr>
              <w:t>անհրաժեշտություն</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առաջացել</w:t>
            </w:r>
            <w:r w:rsidRPr="0053423A">
              <w:rPr>
                <w:rFonts w:eastAsia="Calibri" w:cs="Times New Roman"/>
                <w:sz w:val="20"/>
                <w:szCs w:val="20"/>
                <w:lang w:val="af-ZA"/>
              </w:rPr>
              <w:t xml:space="preserve"> </w:t>
            </w:r>
            <w:r w:rsidRPr="0053423A">
              <w:rPr>
                <w:rFonts w:eastAsia="Calibri" w:cs="Times New Roman"/>
                <w:sz w:val="20"/>
                <w:szCs w:val="20"/>
              </w:rPr>
              <w:t>իրականացնել</w:t>
            </w:r>
            <w:r w:rsidRPr="0053423A">
              <w:rPr>
                <w:rFonts w:eastAsia="Calibri" w:cs="Times New Roman"/>
                <w:sz w:val="20"/>
                <w:szCs w:val="20"/>
                <w:lang w:val="af-ZA"/>
              </w:rPr>
              <w:t xml:space="preserve"> </w:t>
            </w:r>
            <w:r w:rsidRPr="0053423A">
              <w:rPr>
                <w:rFonts w:eastAsia="Calibri" w:cs="Times New Roman"/>
                <w:sz w:val="20"/>
                <w:szCs w:val="20"/>
              </w:rPr>
              <w:t>այս</w:t>
            </w:r>
            <w:r w:rsidRPr="0053423A">
              <w:rPr>
                <w:rFonts w:eastAsia="Calibri" w:cs="Times New Roman"/>
                <w:sz w:val="20"/>
                <w:szCs w:val="20"/>
                <w:lang w:val="af-ZA"/>
              </w:rPr>
              <w:t xml:space="preserve"> </w:t>
            </w:r>
            <w:r w:rsidRPr="0053423A">
              <w:rPr>
                <w:rFonts w:eastAsia="Calibri" w:cs="Times New Roman"/>
                <w:sz w:val="20"/>
                <w:szCs w:val="20"/>
              </w:rPr>
              <w:t>ծրագիրը</w:t>
            </w:r>
            <w:r w:rsidRPr="0053423A">
              <w:rPr>
                <w:rFonts w:eastAsia="Calibri" w:cs="Times New Roman"/>
                <w:sz w:val="20"/>
                <w:szCs w:val="20"/>
                <w:lang w:val="af-ZA"/>
              </w:rPr>
              <w:t xml:space="preserve">, </w:t>
            </w:r>
            <w:r w:rsidRPr="0053423A">
              <w:rPr>
                <w:rFonts w:eastAsia="Calibri" w:cs="Times New Roman"/>
                <w:sz w:val="20"/>
                <w:szCs w:val="20"/>
              </w:rPr>
              <w:t>քանի</w:t>
            </w:r>
            <w:r w:rsidRPr="0053423A">
              <w:rPr>
                <w:rFonts w:eastAsia="Calibri" w:cs="Times New Roman"/>
                <w:sz w:val="20"/>
                <w:szCs w:val="20"/>
                <w:lang w:val="af-ZA"/>
              </w:rPr>
              <w:t xml:space="preserve"> </w:t>
            </w:r>
            <w:r w:rsidRPr="0053423A">
              <w:rPr>
                <w:rFonts w:eastAsia="Calibri" w:cs="Times New Roman"/>
                <w:sz w:val="20"/>
                <w:szCs w:val="20"/>
              </w:rPr>
              <w:t>որ</w:t>
            </w:r>
            <w:r w:rsidRPr="0053423A">
              <w:rPr>
                <w:rFonts w:eastAsia="Calibri" w:cs="Times New Roman"/>
                <w:sz w:val="20"/>
                <w:szCs w:val="20"/>
                <w:lang w:val="af-ZA"/>
              </w:rPr>
              <w:t xml:space="preserve"> </w:t>
            </w:r>
            <w:r w:rsidRPr="0053423A">
              <w:rPr>
                <w:rFonts w:eastAsia="Calibri" w:cs="Times New Roman"/>
                <w:sz w:val="20"/>
                <w:szCs w:val="20"/>
              </w:rPr>
              <w:t>բոլոր</w:t>
            </w:r>
            <w:r w:rsidRPr="0053423A">
              <w:rPr>
                <w:rFonts w:eastAsia="Calibri" w:cs="Times New Roman"/>
                <w:sz w:val="20"/>
                <w:szCs w:val="20"/>
                <w:lang w:val="af-ZA"/>
              </w:rPr>
              <w:t xml:space="preserve"> </w:t>
            </w:r>
            <w:r w:rsidRPr="0053423A">
              <w:rPr>
                <w:rFonts w:eastAsia="Calibri" w:cs="Times New Roman"/>
                <w:sz w:val="20"/>
                <w:szCs w:val="20"/>
              </w:rPr>
              <w:t>մարզերում</w:t>
            </w:r>
            <w:r w:rsidRPr="0053423A">
              <w:rPr>
                <w:rFonts w:eastAsia="Calibri" w:cs="Times New Roman"/>
                <w:sz w:val="20"/>
                <w:szCs w:val="20"/>
                <w:lang w:val="af-ZA"/>
              </w:rPr>
              <w:t xml:space="preserve"> </w:t>
            </w:r>
            <w:r w:rsidRPr="0053423A">
              <w:rPr>
                <w:rFonts w:eastAsia="Calibri" w:cs="Times New Roman"/>
                <w:sz w:val="20"/>
                <w:szCs w:val="20"/>
              </w:rPr>
              <w:t>էլ</w:t>
            </w:r>
            <w:r w:rsidRPr="0053423A">
              <w:rPr>
                <w:rFonts w:eastAsia="Calibri" w:cs="Times New Roman"/>
                <w:sz w:val="20"/>
                <w:szCs w:val="20"/>
                <w:lang w:val="af-ZA"/>
              </w:rPr>
              <w:t xml:space="preserve"> </w:t>
            </w:r>
            <w:r w:rsidRPr="0053423A">
              <w:rPr>
                <w:rFonts w:eastAsia="Calibri" w:cs="Times New Roman"/>
                <w:sz w:val="20"/>
                <w:szCs w:val="20"/>
              </w:rPr>
              <w:t>առկա</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տարեցների</w:t>
            </w:r>
            <w:r w:rsidRPr="0053423A">
              <w:rPr>
                <w:rFonts w:eastAsia="Calibri" w:cs="Times New Roman"/>
                <w:sz w:val="20"/>
                <w:szCs w:val="20"/>
                <w:lang w:val="af-ZA"/>
              </w:rPr>
              <w:t xml:space="preserve">, </w:t>
            </w:r>
            <w:r w:rsidRPr="0053423A">
              <w:rPr>
                <w:rFonts w:eastAsia="Calibri" w:cs="Times New Roman"/>
                <w:sz w:val="20"/>
                <w:szCs w:val="20"/>
              </w:rPr>
              <w:t>սահմանափակ</w:t>
            </w:r>
            <w:r w:rsidRPr="0053423A">
              <w:rPr>
                <w:rFonts w:eastAsia="Calibri" w:cs="Times New Roman"/>
                <w:sz w:val="20"/>
                <w:szCs w:val="20"/>
                <w:lang w:val="af-ZA"/>
              </w:rPr>
              <w:t xml:space="preserve"> </w:t>
            </w:r>
            <w:r w:rsidRPr="0053423A">
              <w:rPr>
                <w:rFonts w:eastAsia="Calibri" w:cs="Times New Roman"/>
                <w:sz w:val="20"/>
                <w:szCs w:val="20"/>
              </w:rPr>
              <w:t>կարողություններով</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հնարավորություններով</w:t>
            </w:r>
            <w:r w:rsidRPr="0053423A">
              <w:rPr>
                <w:rFonts w:eastAsia="Calibri" w:cs="Times New Roman"/>
                <w:sz w:val="20"/>
                <w:szCs w:val="20"/>
                <w:lang w:val="af-ZA"/>
              </w:rPr>
              <w:t xml:space="preserve"> </w:t>
            </w:r>
            <w:r w:rsidRPr="0053423A">
              <w:rPr>
                <w:rFonts w:eastAsia="Calibri" w:cs="Times New Roman"/>
                <w:sz w:val="20"/>
                <w:szCs w:val="20"/>
              </w:rPr>
              <w:t>մարդկանց</w:t>
            </w:r>
            <w:r w:rsidRPr="0053423A">
              <w:rPr>
                <w:rFonts w:eastAsia="Calibri" w:cs="Times New Roman"/>
                <w:sz w:val="20"/>
                <w:szCs w:val="20"/>
                <w:lang w:val="af-ZA"/>
              </w:rPr>
              <w:t xml:space="preserve"> </w:t>
            </w:r>
            <w:r w:rsidRPr="0053423A">
              <w:rPr>
                <w:rFonts w:eastAsia="Calibri" w:cs="Times New Roman"/>
                <w:sz w:val="20"/>
                <w:szCs w:val="20"/>
              </w:rPr>
              <w:t>որոշակի</w:t>
            </w:r>
            <w:r w:rsidRPr="0053423A">
              <w:rPr>
                <w:rFonts w:eastAsia="Calibri" w:cs="Times New Roman"/>
                <w:sz w:val="20"/>
                <w:szCs w:val="20"/>
                <w:lang w:val="af-ZA"/>
              </w:rPr>
              <w:t xml:space="preserve"> </w:t>
            </w:r>
            <w:r w:rsidRPr="0053423A">
              <w:rPr>
                <w:rFonts w:eastAsia="Calibri" w:cs="Times New Roman"/>
                <w:sz w:val="20"/>
                <w:szCs w:val="20"/>
              </w:rPr>
              <w:t>քանակ</w:t>
            </w:r>
            <w:r w:rsidRPr="0053423A">
              <w:rPr>
                <w:rFonts w:eastAsia="Calibri" w:cs="Times New Roman"/>
                <w:sz w:val="20"/>
                <w:szCs w:val="20"/>
                <w:lang w:val="af-ZA"/>
              </w:rPr>
              <w:t xml:space="preserve">, </w:t>
            </w:r>
            <w:r w:rsidRPr="0053423A">
              <w:rPr>
                <w:rFonts w:eastAsia="Calibri" w:cs="Times New Roman"/>
                <w:sz w:val="20"/>
                <w:szCs w:val="20"/>
              </w:rPr>
              <w:t>ովքեր</w:t>
            </w:r>
            <w:r w:rsidRPr="0053423A">
              <w:rPr>
                <w:rFonts w:eastAsia="Calibri" w:cs="Times New Roman"/>
                <w:sz w:val="20"/>
                <w:szCs w:val="20"/>
                <w:lang w:val="af-ZA"/>
              </w:rPr>
              <w:t xml:space="preserve"> </w:t>
            </w:r>
            <w:r w:rsidRPr="0053423A">
              <w:rPr>
                <w:rFonts w:eastAsia="Calibri" w:cs="Times New Roman"/>
                <w:sz w:val="20"/>
                <w:szCs w:val="20"/>
              </w:rPr>
              <w:t>ընթերցանության</w:t>
            </w:r>
            <w:r w:rsidRPr="0053423A">
              <w:rPr>
                <w:rFonts w:eastAsia="Calibri" w:cs="Times New Roman"/>
                <w:sz w:val="20"/>
                <w:szCs w:val="20"/>
                <w:lang w:val="af-ZA"/>
              </w:rPr>
              <w:t xml:space="preserve"> </w:t>
            </w:r>
            <w:r w:rsidRPr="0053423A">
              <w:rPr>
                <w:rFonts w:eastAsia="Calibri" w:cs="Times New Roman"/>
                <w:sz w:val="20"/>
                <w:szCs w:val="20"/>
              </w:rPr>
              <w:t>պահանջ</w:t>
            </w:r>
            <w:r w:rsidRPr="0053423A">
              <w:rPr>
                <w:rFonts w:eastAsia="Calibri" w:cs="Times New Roman"/>
                <w:sz w:val="20"/>
                <w:szCs w:val="20"/>
                <w:lang w:val="af-ZA"/>
              </w:rPr>
              <w:t xml:space="preserve"> </w:t>
            </w:r>
            <w:r w:rsidRPr="0053423A">
              <w:rPr>
                <w:rFonts w:eastAsia="Calibri" w:cs="Times New Roman"/>
                <w:sz w:val="20"/>
                <w:szCs w:val="20"/>
              </w:rPr>
              <w:t>ունեն</w:t>
            </w:r>
            <w:r w:rsidRPr="0053423A">
              <w:rPr>
                <w:rFonts w:eastAsia="Calibri" w:cs="Times New Roman"/>
                <w:sz w:val="20"/>
                <w:szCs w:val="20"/>
                <w:lang w:val="af-ZA"/>
              </w:rPr>
              <w:t xml:space="preserve">: </w:t>
            </w:r>
          </w:p>
          <w:p w:rsidR="00A67B6B" w:rsidRPr="0053423A" w:rsidRDefault="00A67B6B" w:rsidP="00A67858">
            <w:pPr>
              <w:tabs>
                <w:tab w:val="left" w:pos="993"/>
                <w:tab w:val="left" w:pos="1560"/>
                <w:tab w:val="left" w:pos="1843"/>
              </w:tabs>
              <w:spacing w:after="0" w:line="276" w:lineRule="auto"/>
              <w:jc w:val="both"/>
              <w:rPr>
                <w:rFonts w:eastAsia="Times New Roman" w:cs="Times New Roman"/>
                <w:sz w:val="20"/>
                <w:szCs w:val="20"/>
                <w:lang w:val="af-ZA"/>
              </w:rPr>
            </w:pPr>
          </w:p>
          <w:p w:rsidR="00A67B6B" w:rsidRPr="0053423A" w:rsidRDefault="00A67B6B" w:rsidP="00A67858">
            <w:pPr>
              <w:tabs>
                <w:tab w:val="left" w:pos="993"/>
                <w:tab w:val="left" w:pos="1560"/>
                <w:tab w:val="left" w:pos="1843"/>
              </w:tabs>
              <w:spacing w:after="0" w:line="276" w:lineRule="auto"/>
              <w:jc w:val="both"/>
              <w:rPr>
                <w:rFonts w:eastAsia="Times New Roman" w:cs="Times New Roman"/>
                <w:b/>
                <w:sz w:val="20"/>
                <w:szCs w:val="20"/>
                <w:lang w:val="af-ZA"/>
              </w:rPr>
            </w:pPr>
            <w:r w:rsidRPr="0053423A">
              <w:rPr>
                <w:rFonts w:eastAsia="Times New Roman" w:cs="Sylfaen"/>
                <w:b/>
                <w:sz w:val="20"/>
                <w:szCs w:val="20"/>
                <w:lang w:val="af-ZA"/>
              </w:rPr>
              <w:t xml:space="preserve">1.2. </w:t>
            </w:r>
            <w:r w:rsidRPr="0053423A">
              <w:rPr>
                <w:rFonts w:eastAsia="Times New Roman" w:cs="Sylfaen"/>
                <w:b/>
                <w:sz w:val="20"/>
                <w:szCs w:val="20"/>
                <w:lang w:val="ru-RU"/>
              </w:rPr>
              <w:t>Առկա</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խնդիրների</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առաջարկվող</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լուծումները</w:t>
            </w:r>
          </w:p>
          <w:p w:rsidR="00A67B6B" w:rsidRPr="0053423A" w:rsidRDefault="00A67B6B" w:rsidP="00A67858">
            <w:pPr>
              <w:tabs>
                <w:tab w:val="left" w:pos="993"/>
                <w:tab w:val="left" w:pos="1560"/>
                <w:tab w:val="left" w:pos="1843"/>
              </w:tabs>
              <w:spacing w:after="0" w:line="276" w:lineRule="auto"/>
              <w:jc w:val="both"/>
              <w:rPr>
                <w:rFonts w:eastAsia="Calibri" w:cs="Times New Roman"/>
                <w:sz w:val="20"/>
                <w:szCs w:val="20"/>
                <w:lang w:val="af-ZA"/>
              </w:rPr>
            </w:pPr>
            <w:r w:rsidRPr="0053423A">
              <w:rPr>
                <w:rFonts w:eastAsia="Times New Roman" w:cs="Times New Roman"/>
                <w:sz w:val="20"/>
                <w:szCs w:val="20"/>
                <w:lang w:val="af-ZA"/>
              </w:rPr>
              <w:t xml:space="preserve">Ներկայում </w:t>
            </w:r>
            <w:r w:rsidRPr="0053423A">
              <w:rPr>
                <w:rFonts w:eastAsia="Times New Roman" w:cs="Times New Roman"/>
                <w:sz w:val="20"/>
                <w:szCs w:val="20"/>
              </w:rPr>
              <w:t>շենքային</w:t>
            </w:r>
            <w:r w:rsidRPr="0053423A">
              <w:rPr>
                <w:rFonts w:eastAsia="Times New Roman" w:cs="Times New Roman"/>
                <w:sz w:val="20"/>
                <w:szCs w:val="20"/>
                <w:lang w:val="af-ZA"/>
              </w:rPr>
              <w:t xml:space="preserve"> </w:t>
            </w:r>
            <w:r w:rsidRPr="0053423A">
              <w:rPr>
                <w:rFonts w:eastAsia="Times New Roman" w:cs="Times New Roman"/>
                <w:sz w:val="20"/>
                <w:szCs w:val="20"/>
              </w:rPr>
              <w:t>պայմանները</w:t>
            </w:r>
            <w:r w:rsidRPr="0053423A">
              <w:rPr>
                <w:rFonts w:eastAsia="Times New Roman" w:cs="Times New Roman"/>
                <w:sz w:val="20"/>
                <w:szCs w:val="20"/>
                <w:lang w:val="af-ZA"/>
              </w:rPr>
              <w:t xml:space="preserve"> </w:t>
            </w:r>
            <w:r w:rsidRPr="0053423A">
              <w:rPr>
                <w:rFonts w:eastAsia="Times New Roman" w:cs="Times New Roman"/>
                <w:sz w:val="20"/>
                <w:szCs w:val="20"/>
              </w:rPr>
              <w:t>բավարար</w:t>
            </w:r>
            <w:r w:rsidRPr="0053423A">
              <w:rPr>
                <w:rFonts w:eastAsia="Times New Roman" w:cs="Times New Roman"/>
                <w:sz w:val="20"/>
                <w:szCs w:val="20"/>
                <w:lang w:val="af-ZA"/>
              </w:rPr>
              <w:t xml:space="preserve"> </w:t>
            </w:r>
            <w:r w:rsidRPr="0053423A">
              <w:rPr>
                <w:rFonts w:eastAsia="Times New Roman" w:cs="Times New Roman"/>
                <w:sz w:val="20"/>
                <w:szCs w:val="20"/>
              </w:rPr>
              <w:t>հարմարեցված</w:t>
            </w:r>
            <w:r w:rsidRPr="0053423A">
              <w:rPr>
                <w:rFonts w:eastAsia="Times New Roman" w:cs="Times New Roman"/>
                <w:sz w:val="20"/>
                <w:szCs w:val="20"/>
                <w:lang w:val="af-ZA"/>
              </w:rPr>
              <w:t xml:space="preserve"> </w:t>
            </w:r>
            <w:r w:rsidRPr="0053423A">
              <w:rPr>
                <w:rFonts w:eastAsia="Times New Roman" w:cs="Times New Roman"/>
                <w:sz w:val="20"/>
                <w:szCs w:val="20"/>
              </w:rPr>
              <w:t>չեն</w:t>
            </w:r>
            <w:r w:rsidRPr="0053423A">
              <w:rPr>
                <w:rFonts w:eastAsia="Times New Roman" w:cs="Times New Roman"/>
                <w:sz w:val="20"/>
                <w:szCs w:val="20"/>
                <w:lang w:val="af-ZA"/>
              </w:rPr>
              <w:t xml:space="preserve">  </w:t>
            </w:r>
            <w:r w:rsidRPr="0053423A">
              <w:rPr>
                <w:rFonts w:eastAsia="Calibri" w:cs="Times New Roman"/>
                <w:sz w:val="20"/>
                <w:szCs w:val="20"/>
              </w:rPr>
              <w:t>տարեցների</w:t>
            </w:r>
            <w:r w:rsidRPr="0053423A">
              <w:rPr>
                <w:rFonts w:eastAsia="Calibri" w:cs="Times New Roman"/>
                <w:sz w:val="20"/>
                <w:szCs w:val="20"/>
                <w:lang w:val="af-ZA"/>
              </w:rPr>
              <w:t xml:space="preserve">, </w:t>
            </w:r>
            <w:r w:rsidRPr="0053423A">
              <w:rPr>
                <w:rFonts w:eastAsia="Calibri" w:cs="Times New Roman"/>
                <w:sz w:val="20"/>
                <w:szCs w:val="20"/>
              </w:rPr>
              <w:t>սահմանափակ</w:t>
            </w:r>
            <w:r w:rsidRPr="0053423A">
              <w:rPr>
                <w:rFonts w:eastAsia="Calibri" w:cs="Times New Roman"/>
                <w:sz w:val="20"/>
                <w:szCs w:val="20"/>
                <w:lang w:val="af-ZA"/>
              </w:rPr>
              <w:t xml:space="preserve"> </w:t>
            </w:r>
            <w:r w:rsidRPr="0053423A">
              <w:rPr>
                <w:rFonts w:eastAsia="Calibri" w:cs="Times New Roman"/>
                <w:sz w:val="20"/>
                <w:szCs w:val="20"/>
              </w:rPr>
              <w:t>կարողություններով</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հնարավորություններով</w:t>
            </w:r>
            <w:r w:rsidRPr="0053423A">
              <w:rPr>
                <w:rFonts w:eastAsia="Calibri" w:cs="Times New Roman"/>
                <w:sz w:val="20"/>
                <w:szCs w:val="20"/>
                <w:lang w:val="af-ZA"/>
              </w:rPr>
              <w:t xml:space="preserve"> </w:t>
            </w:r>
            <w:r w:rsidRPr="0053423A">
              <w:rPr>
                <w:rFonts w:eastAsia="Calibri" w:cs="Times New Roman"/>
                <w:sz w:val="20"/>
                <w:szCs w:val="20"/>
              </w:rPr>
              <w:t>մարդկանց</w:t>
            </w:r>
            <w:r w:rsidRPr="0053423A">
              <w:rPr>
                <w:rFonts w:eastAsia="Calibri" w:cs="Times New Roman"/>
                <w:sz w:val="20"/>
                <w:szCs w:val="20"/>
                <w:lang w:val="af-ZA"/>
              </w:rPr>
              <w:t xml:space="preserve"> </w:t>
            </w:r>
            <w:r w:rsidRPr="0053423A">
              <w:rPr>
                <w:rFonts w:eastAsia="Calibri" w:cs="Times New Roman"/>
                <w:sz w:val="20"/>
                <w:szCs w:val="20"/>
              </w:rPr>
              <w:t>սպասարկելու</w:t>
            </w:r>
            <w:r w:rsidRPr="0053423A">
              <w:rPr>
                <w:rFonts w:eastAsia="Calibri" w:cs="Times New Roman"/>
                <w:sz w:val="20"/>
                <w:szCs w:val="20"/>
                <w:lang w:val="af-ZA"/>
              </w:rPr>
              <w:t xml:space="preserve"> </w:t>
            </w:r>
            <w:r w:rsidRPr="0053423A">
              <w:rPr>
                <w:rFonts w:eastAsia="Calibri" w:cs="Times New Roman"/>
                <w:sz w:val="20"/>
                <w:szCs w:val="20"/>
              </w:rPr>
              <w:t>համար</w:t>
            </w:r>
            <w:r w:rsidRPr="0053423A">
              <w:rPr>
                <w:rFonts w:eastAsia="Calibri" w:cs="Times New Roman"/>
                <w:sz w:val="20"/>
                <w:szCs w:val="20"/>
                <w:lang w:val="af-ZA"/>
              </w:rPr>
              <w:t xml:space="preserve">` </w:t>
            </w:r>
            <w:r w:rsidRPr="0053423A">
              <w:rPr>
                <w:rFonts w:eastAsia="Calibri" w:cs="Times New Roman"/>
                <w:sz w:val="20"/>
                <w:szCs w:val="20"/>
              </w:rPr>
              <w:t>մասնավորապես</w:t>
            </w:r>
            <w:r w:rsidRPr="0053423A">
              <w:rPr>
                <w:rFonts w:eastAsia="Calibri" w:cs="Times New Roman"/>
                <w:sz w:val="20"/>
                <w:szCs w:val="20"/>
                <w:lang w:val="af-ZA"/>
              </w:rPr>
              <w:t xml:space="preserve"> </w:t>
            </w:r>
            <w:r w:rsidRPr="0053423A">
              <w:rPr>
                <w:rFonts w:eastAsia="Calibri" w:cs="Times New Roman"/>
                <w:sz w:val="20"/>
                <w:szCs w:val="20"/>
              </w:rPr>
              <w:t>տեղաշարժման</w:t>
            </w:r>
            <w:r w:rsidRPr="0053423A">
              <w:rPr>
                <w:rFonts w:eastAsia="Calibri" w:cs="Times New Roman"/>
                <w:sz w:val="20"/>
                <w:szCs w:val="20"/>
                <w:lang w:val="af-ZA"/>
              </w:rPr>
              <w:t xml:space="preserve"> </w:t>
            </w:r>
            <w:r w:rsidRPr="0053423A">
              <w:rPr>
                <w:rFonts w:eastAsia="Calibri" w:cs="Times New Roman"/>
                <w:sz w:val="20"/>
                <w:szCs w:val="20"/>
              </w:rPr>
              <w:t>սահմանափակումներ</w:t>
            </w:r>
            <w:r w:rsidRPr="0053423A">
              <w:rPr>
                <w:rFonts w:eastAsia="Calibri" w:cs="Times New Roman"/>
                <w:sz w:val="20"/>
                <w:szCs w:val="20"/>
                <w:lang w:val="af-ZA"/>
              </w:rPr>
              <w:t xml:space="preserve"> </w:t>
            </w:r>
            <w:r w:rsidRPr="0053423A">
              <w:rPr>
                <w:rFonts w:eastAsia="Calibri" w:cs="Times New Roman"/>
                <w:sz w:val="20"/>
                <w:szCs w:val="20"/>
              </w:rPr>
              <w:t>ունեցողների</w:t>
            </w:r>
            <w:r w:rsidRPr="0053423A">
              <w:rPr>
                <w:rFonts w:eastAsia="Calibri" w:cs="Times New Roman"/>
                <w:sz w:val="20"/>
                <w:szCs w:val="20"/>
                <w:lang w:val="af-ZA"/>
              </w:rPr>
              <w:t xml:space="preserve">, </w:t>
            </w:r>
            <w:r w:rsidRPr="0053423A">
              <w:rPr>
                <w:rFonts w:eastAsia="Calibri" w:cs="Times New Roman"/>
                <w:sz w:val="20"/>
                <w:szCs w:val="20"/>
              </w:rPr>
              <w:t>ծրագիրը</w:t>
            </w:r>
            <w:r w:rsidRPr="0053423A">
              <w:rPr>
                <w:rFonts w:eastAsia="Calibri" w:cs="Times New Roman"/>
                <w:sz w:val="20"/>
                <w:szCs w:val="20"/>
                <w:lang w:val="af-ZA"/>
              </w:rPr>
              <w:t xml:space="preserve"> </w:t>
            </w:r>
            <w:r w:rsidRPr="0053423A">
              <w:rPr>
                <w:rFonts w:eastAsia="Calibri" w:cs="Times New Roman"/>
                <w:sz w:val="20"/>
                <w:szCs w:val="20"/>
              </w:rPr>
              <w:t>հնարավորություն</w:t>
            </w:r>
            <w:r w:rsidRPr="0053423A">
              <w:rPr>
                <w:rFonts w:eastAsia="Calibri" w:cs="Times New Roman"/>
                <w:sz w:val="20"/>
                <w:szCs w:val="20"/>
                <w:lang w:val="af-ZA"/>
              </w:rPr>
              <w:t xml:space="preserve"> </w:t>
            </w:r>
            <w:r w:rsidRPr="0053423A">
              <w:rPr>
                <w:rFonts w:eastAsia="Calibri" w:cs="Times New Roman"/>
                <w:sz w:val="20"/>
                <w:szCs w:val="20"/>
              </w:rPr>
              <w:t>է</w:t>
            </w:r>
            <w:r w:rsidRPr="0053423A">
              <w:rPr>
                <w:rFonts w:eastAsia="Calibri" w:cs="Times New Roman"/>
                <w:sz w:val="20"/>
                <w:szCs w:val="20"/>
                <w:lang w:val="af-ZA"/>
              </w:rPr>
              <w:t xml:space="preserve"> </w:t>
            </w:r>
            <w:r w:rsidRPr="0053423A">
              <w:rPr>
                <w:rFonts w:eastAsia="Calibri" w:cs="Times New Roman"/>
                <w:sz w:val="20"/>
                <w:szCs w:val="20"/>
              </w:rPr>
              <w:t>տալիս</w:t>
            </w:r>
            <w:r w:rsidRPr="0053423A">
              <w:rPr>
                <w:rFonts w:eastAsia="Calibri" w:cs="Times New Roman"/>
                <w:sz w:val="20"/>
                <w:szCs w:val="20"/>
                <w:lang w:val="af-ZA"/>
              </w:rPr>
              <w:t xml:space="preserve"> </w:t>
            </w:r>
            <w:r w:rsidRPr="0053423A">
              <w:rPr>
                <w:rFonts w:eastAsia="Calibri" w:cs="Times New Roman"/>
                <w:sz w:val="20"/>
                <w:szCs w:val="20"/>
              </w:rPr>
              <w:t>գրադարանավարին</w:t>
            </w:r>
            <w:r w:rsidRPr="0053423A">
              <w:rPr>
                <w:rFonts w:eastAsia="Calibri" w:cs="Times New Roman"/>
                <w:sz w:val="20"/>
                <w:szCs w:val="20"/>
                <w:lang w:val="af-ZA"/>
              </w:rPr>
              <w:t xml:space="preserve"> </w:t>
            </w:r>
            <w:r w:rsidRPr="0053423A">
              <w:rPr>
                <w:rFonts w:eastAsia="Calibri" w:cs="Times New Roman"/>
                <w:sz w:val="20"/>
                <w:szCs w:val="20"/>
              </w:rPr>
              <w:t>այցելելու</w:t>
            </w:r>
            <w:r w:rsidRPr="0053423A">
              <w:rPr>
                <w:rFonts w:eastAsia="Calibri" w:cs="Times New Roman"/>
                <w:sz w:val="20"/>
                <w:szCs w:val="20"/>
                <w:lang w:val="af-ZA"/>
              </w:rPr>
              <w:t xml:space="preserve"> </w:t>
            </w:r>
            <w:r w:rsidRPr="0053423A">
              <w:rPr>
                <w:rFonts w:eastAsia="Calibri" w:cs="Times New Roman"/>
                <w:sz w:val="20"/>
                <w:szCs w:val="20"/>
              </w:rPr>
              <w:t>շահառուին</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տնային</w:t>
            </w:r>
            <w:r w:rsidRPr="0053423A">
              <w:rPr>
                <w:rFonts w:eastAsia="Calibri" w:cs="Times New Roman"/>
                <w:sz w:val="20"/>
                <w:szCs w:val="20"/>
                <w:lang w:val="af-ZA"/>
              </w:rPr>
              <w:t xml:space="preserve"> </w:t>
            </w:r>
            <w:r w:rsidRPr="0053423A">
              <w:rPr>
                <w:rFonts w:eastAsia="Calibri" w:cs="Times New Roman"/>
                <w:sz w:val="20"/>
                <w:szCs w:val="20"/>
              </w:rPr>
              <w:t>պայմաններում</w:t>
            </w:r>
            <w:r w:rsidRPr="0053423A">
              <w:rPr>
                <w:rFonts w:eastAsia="Calibri" w:cs="Times New Roman"/>
                <w:sz w:val="20"/>
                <w:szCs w:val="20"/>
                <w:lang w:val="af-ZA"/>
              </w:rPr>
              <w:t xml:space="preserve"> </w:t>
            </w:r>
            <w:r w:rsidRPr="0053423A">
              <w:rPr>
                <w:rFonts w:eastAsia="Calibri" w:cs="Times New Roman"/>
                <w:sz w:val="20"/>
                <w:szCs w:val="20"/>
              </w:rPr>
              <w:t>սպասարկելու</w:t>
            </w:r>
            <w:r w:rsidRPr="0053423A">
              <w:rPr>
                <w:rFonts w:eastAsia="Calibri" w:cs="Times New Roman"/>
                <w:sz w:val="20"/>
                <w:szCs w:val="20"/>
                <w:lang w:val="af-ZA"/>
              </w:rPr>
              <w:t xml:space="preserve"> </w:t>
            </w:r>
            <w:r w:rsidRPr="0053423A">
              <w:rPr>
                <w:rFonts w:eastAsia="Calibri" w:cs="Times New Roman"/>
                <w:sz w:val="20"/>
                <w:szCs w:val="20"/>
              </w:rPr>
              <w:t>գրքերով</w:t>
            </w:r>
            <w:r w:rsidRPr="0053423A">
              <w:rPr>
                <w:rFonts w:eastAsia="Calibri" w:cs="Times New Roman"/>
                <w:sz w:val="20"/>
                <w:szCs w:val="20"/>
                <w:lang w:val="af-ZA"/>
              </w:rPr>
              <w:t xml:space="preserve">: </w:t>
            </w:r>
            <w:r w:rsidRPr="0053423A">
              <w:rPr>
                <w:rFonts w:eastAsia="Calibri" w:cs="Sylfaen"/>
                <w:sz w:val="20"/>
                <w:szCs w:val="20"/>
              </w:rPr>
              <w:t>Հավասար</w:t>
            </w:r>
            <w:r w:rsidRPr="0053423A">
              <w:rPr>
                <w:rFonts w:eastAsia="Calibri" w:cs="Sylfaen"/>
                <w:sz w:val="20"/>
                <w:szCs w:val="20"/>
                <w:lang w:val="af-ZA"/>
              </w:rPr>
              <w:t xml:space="preserve"> </w:t>
            </w:r>
            <w:r w:rsidRPr="0053423A">
              <w:rPr>
                <w:rFonts w:eastAsia="Calibri" w:cs="Sylfaen"/>
                <w:sz w:val="20"/>
                <w:szCs w:val="20"/>
              </w:rPr>
              <w:t>հնարավորությունների</w:t>
            </w:r>
            <w:r w:rsidRPr="0053423A">
              <w:rPr>
                <w:rFonts w:eastAsia="Calibri" w:cs="Sylfaen"/>
                <w:sz w:val="20"/>
                <w:szCs w:val="20"/>
                <w:lang w:val="af-ZA"/>
              </w:rPr>
              <w:t xml:space="preserve"> </w:t>
            </w:r>
            <w:r w:rsidRPr="0053423A">
              <w:rPr>
                <w:rFonts w:eastAsia="Calibri" w:cs="Sylfaen"/>
                <w:sz w:val="20"/>
                <w:szCs w:val="20"/>
              </w:rPr>
              <w:t>ապահովումն</w:t>
            </w:r>
            <w:r w:rsidRPr="0053423A">
              <w:rPr>
                <w:rFonts w:eastAsia="Calibri" w:cs="Sylfaen"/>
                <w:sz w:val="20"/>
                <w:szCs w:val="20"/>
                <w:lang w:val="af-ZA"/>
              </w:rPr>
              <w:t xml:space="preserve"> </w:t>
            </w:r>
            <w:r w:rsidRPr="0053423A">
              <w:rPr>
                <w:rFonts w:eastAsia="Calibri" w:cs="Sylfaen"/>
                <w:sz w:val="20"/>
                <w:szCs w:val="20"/>
              </w:rPr>
              <w:t>է</w:t>
            </w:r>
            <w:r w:rsidRPr="0053423A">
              <w:rPr>
                <w:rFonts w:eastAsia="Calibri" w:cs="Sylfaen"/>
                <w:sz w:val="20"/>
                <w:szCs w:val="20"/>
                <w:lang w:val="af-ZA"/>
              </w:rPr>
              <w:t xml:space="preserve"> </w:t>
            </w:r>
            <w:r w:rsidRPr="0053423A">
              <w:rPr>
                <w:rFonts w:eastAsia="Calibri" w:cs="Times New Roman"/>
                <w:sz w:val="20"/>
                <w:szCs w:val="20"/>
              </w:rPr>
              <w:t>տարեցների</w:t>
            </w:r>
            <w:r w:rsidRPr="0053423A">
              <w:rPr>
                <w:rFonts w:eastAsia="Calibri" w:cs="Times New Roman"/>
                <w:sz w:val="20"/>
                <w:szCs w:val="20"/>
                <w:lang w:val="af-ZA"/>
              </w:rPr>
              <w:t xml:space="preserve">, </w:t>
            </w:r>
            <w:r w:rsidRPr="0053423A">
              <w:rPr>
                <w:rFonts w:eastAsia="Calibri" w:cs="Times New Roman"/>
                <w:sz w:val="20"/>
                <w:szCs w:val="20"/>
              </w:rPr>
              <w:t>սահմանափակ</w:t>
            </w:r>
            <w:r w:rsidRPr="0053423A">
              <w:rPr>
                <w:rFonts w:eastAsia="Calibri" w:cs="Times New Roman"/>
                <w:sz w:val="20"/>
                <w:szCs w:val="20"/>
                <w:lang w:val="af-ZA"/>
              </w:rPr>
              <w:t xml:space="preserve"> </w:t>
            </w:r>
            <w:r w:rsidRPr="0053423A">
              <w:rPr>
                <w:rFonts w:eastAsia="Calibri" w:cs="Times New Roman"/>
                <w:sz w:val="20"/>
                <w:szCs w:val="20"/>
              </w:rPr>
              <w:t>կարողություններով</w:t>
            </w:r>
            <w:r w:rsidRPr="0053423A">
              <w:rPr>
                <w:rFonts w:eastAsia="Calibri" w:cs="Times New Roman"/>
                <w:sz w:val="20"/>
                <w:szCs w:val="20"/>
                <w:lang w:val="af-ZA"/>
              </w:rPr>
              <w:t xml:space="preserve"> </w:t>
            </w:r>
            <w:r w:rsidRPr="0053423A">
              <w:rPr>
                <w:rFonts w:eastAsia="Calibri" w:cs="Times New Roman"/>
                <w:sz w:val="20"/>
                <w:szCs w:val="20"/>
              </w:rPr>
              <w:t>և</w:t>
            </w:r>
            <w:r w:rsidRPr="0053423A">
              <w:rPr>
                <w:rFonts w:eastAsia="Calibri" w:cs="Times New Roman"/>
                <w:sz w:val="20"/>
                <w:szCs w:val="20"/>
                <w:lang w:val="af-ZA"/>
              </w:rPr>
              <w:t xml:space="preserve"> </w:t>
            </w:r>
            <w:r w:rsidRPr="0053423A">
              <w:rPr>
                <w:rFonts w:eastAsia="Calibri" w:cs="Times New Roman"/>
                <w:sz w:val="20"/>
                <w:szCs w:val="20"/>
              </w:rPr>
              <w:t>հնարավորություններով</w:t>
            </w:r>
            <w:r w:rsidRPr="0053423A">
              <w:rPr>
                <w:rFonts w:eastAsia="Calibri" w:cs="Times New Roman"/>
                <w:sz w:val="20"/>
                <w:szCs w:val="20"/>
                <w:lang w:val="af-ZA"/>
              </w:rPr>
              <w:t xml:space="preserve"> </w:t>
            </w:r>
            <w:r w:rsidRPr="0053423A">
              <w:rPr>
                <w:rFonts w:eastAsia="Calibri" w:cs="Times New Roman"/>
                <w:sz w:val="20"/>
                <w:szCs w:val="20"/>
              </w:rPr>
              <w:t>մարդկանց</w:t>
            </w:r>
            <w:r w:rsidRPr="0053423A">
              <w:rPr>
                <w:rFonts w:eastAsia="Calibri" w:cs="Times New Roman"/>
                <w:sz w:val="20"/>
                <w:szCs w:val="20"/>
                <w:lang w:val="af-ZA"/>
              </w:rPr>
              <w:t xml:space="preserve"> </w:t>
            </w:r>
            <w:r w:rsidRPr="0053423A">
              <w:rPr>
                <w:rFonts w:eastAsia="Calibri" w:cs="Times New Roman"/>
                <w:sz w:val="20"/>
                <w:szCs w:val="20"/>
              </w:rPr>
              <w:t>համար</w:t>
            </w:r>
            <w:r w:rsidRPr="0053423A">
              <w:rPr>
                <w:rFonts w:eastAsia="Calibri" w:cs="Times New Roman"/>
                <w:sz w:val="20"/>
                <w:szCs w:val="20"/>
                <w:lang w:val="af-ZA"/>
              </w:rPr>
              <w:t>:</w:t>
            </w:r>
          </w:p>
          <w:p w:rsidR="00A67B6B" w:rsidRPr="0053423A" w:rsidRDefault="00A67B6B" w:rsidP="00A67858">
            <w:pPr>
              <w:tabs>
                <w:tab w:val="left" w:pos="993"/>
                <w:tab w:val="left" w:pos="1560"/>
                <w:tab w:val="left" w:pos="1843"/>
              </w:tabs>
              <w:spacing w:after="0" w:line="276" w:lineRule="auto"/>
              <w:jc w:val="both"/>
              <w:rPr>
                <w:rFonts w:eastAsia="Calibri" w:cs="Times New Roman"/>
                <w:sz w:val="20"/>
                <w:szCs w:val="20"/>
                <w:lang w:val="af-ZA"/>
              </w:rPr>
            </w:pPr>
          </w:p>
          <w:p w:rsidR="00A67B6B" w:rsidRPr="0053423A" w:rsidRDefault="00A67B6B" w:rsidP="001F6D5D">
            <w:pPr>
              <w:numPr>
                <w:ilvl w:val="0"/>
                <w:numId w:val="208"/>
              </w:numPr>
              <w:tabs>
                <w:tab w:val="left" w:pos="305"/>
                <w:tab w:val="left" w:pos="993"/>
                <w:tab w:val="left" w:pos="1560"/>
                <w:tab w:val="left" w:pos="1843"/>
              </w:tabs>
              <w:spacing w:after="0" w:line="276" w:lineRule="auto"/>
              <w:ind w:left="13" w:hanging="26"/>
              <w:contextualSpacing/>
              <w:jc w:val="both"/>
              <w:rPr>
                <w:rFonts w:eastAsia="Times New Roman" w:cs="Times New Roman"/>
                <w:b/>
                <w:sz w:val="20"/>
                <w:szCs w:val="20"/>
                <w:lang w:val="ru-RU"/>
              </w:rPr>
            </w:pPr>
            <w:r w:rsidRPr="0053423A">
              <w:rPr>
                <w:rFonts w:eastAsia="Times New Roman" w:cs="Times New Roman"/>
                <w:b/>
                <w:sz w:val="20"/>
                <w:szCs w:val="20"/>
                <w:lang w:val="ru-RU"/>
              </w:rPr>
              <w:t xml:space="preserve">Միջոցառման իրականացումից </w:t>
            </w:r>
            <w:r w:rsidRPr="0053423A">
              <w:rPr>
                <w:rFonts w:eastAsia="Times New Roman" w:cs="Times New Roman"/>
                <w:b/>
                <w:sz w:val="20"/>
                <w:szCs w:val="20"/>
              </w:rPr>
              <w:t>ակնկալվող</w:t>
            </w:r>
            <w:r w:rsidRPr="0053423A">
              <w:rPr>
                <w:rFonts w:eastAsia="Times New Roman" w:cs="Times New Roman"/>
                <w:b/>
                <w:sz w:val="20"/>
                <w:szCs w:val="20"/>
                <w:lang w:val="ru-RU"/>
              </w:rPr>
              <w:t xml:space="preserve"> </w:t>
            </w:r>
            <w:r w:rsidRPr="0053423A">
              <w:rPr>
                <w:rFonts w:eastAsia="Times New Roman" w:cs="Times New Roman"/>
                <w:b/>
                <w:sz w:val="20"/>
                <w:szCs w:val="20"/>
              </w:rPr>
              <w:t>արդյունքը</w:t>
            </w:r>
            <w:r w:rsidRPr="0053423A">
              <w:rPr>
                <w:rFonts w:eastAsia="Times New Roman" w:cs="Times New Roman"/>
                <w:b/>
                <w:sz w:val="20"/>
                <w:szCs w:val="20"/>
                <w:lang w:val="ru-RU"/>
              </w:rPr>
              <w:t xml:space="preserve"> </w:t>
            </w:r>
          </w:p>
          <w:p w:rsidR="00A67B6B" w:rsidRPr="0053423A" w:rsidRDefault="00A67B6B" w:rsidP="00A67858">
            <w:pPr>
              <w:tabs>
                <w:tab w:val="left" w:pos="993"/>
                <w:tab w:val="left" w:pos="1560"/>
                <w:tab w:val="left" w:pos="1843"/>
              </w:tabs>
              <w:spacing w:after="0" w:line="276" w:lineRule="auto"/>
              <w:jc w:val="both"/>
              <w:rPr>
                <w:rFonts w:eastAsia="Calibri" w:cs="Times New Roman"/>
                <w:sz w:val="20"/>
                <w:szCs w:val="20"/>
                <w:lang w:val="ru-RU"/>
              </w:rPr>
            </w:pPr>
            <w:r w:rsidRPr="0053423A">
              <w:rPr>
                <w:rFonts w:eastAsia="Calibri" w:cs="Sylfaen"/>
                <w:sz w:val="20"/>
                <w:szCs w:val="20"/>
              </w:rPr>
              <w:t>Ծրագրի</w:t>
            </w:r>
            <w:r w:rsidRPr="0053423A">
              <w:rPr>
                <w:rFonts w:eastAsia="Calibri" w:cs="Sylfaen"/>
                <w:sz w:val="20"/>
                <w:szCs w:val="20"/>
                <w:lang w:val="ru-RU"/>
              </w:rPr>
              <w:t xml:space="preserve"> </w:t>
            </w:r>
            <w:r w:rsidRPr="0053423A">
              <w:rPr>
                <w:rFonts w:eastAsia="Calibri" w:cs="Sylfaen"/>
                <w:sz w:val="20"/>
                <w:szCs w:val="20"/>
              </w:rPr>
              <w:t>ընդլայնումը</w:t>
            </w:r>
            <w:r w:rsidRPr="0053423A">
              <w:rPr>
                <w:rFonts w:eastAsia="Calibri" w:cs="Sylfaen"/>
                <w:sz w:val="20"/>
                <w:szCs w:val="20"/>
                <w:lang w:val="ru-RU"/>
              </w:rPr>
              <w:t xml:space="preserve"> </w:t>
            </w:r>
            <w:r w:rsidRPr="0053423A">
              <w:rPr>
                <w:rFonts w:eastAsia="Calibri" w:cs="Sylfaen"/>
                <w:sz w:val="20"/>
                <w:szCs w:val="20"/>
              </w:rPr>
              <w:t>հնարավորություն</w:t>
            </w:r>
            <w:r w:rsidRPr="0053423A">
              <w:rPr>
                <w:rFonts w:eastAsia="Calibri" w:cs="Sylfaen"/>
                <w:sz w:val="20"/>
                <w:szCs w:val="20"/>
                <w:lang w:val="ru-RU"/>
              </w:rPr>
              <w:t xml:space="preserve"> </w:t>
            </w:r>
            <w:r w:rsidRPr="0053423A">
              <w:rPr>
                <w:rFonts w:eastAsia="Calibri" w:cs="Sylfaen"/>
                <w:sz w:val="20"/>
                <w:szCs w:val="20"/>
              </w:rPr>
              <w:t>կտա</w:t>
            </w:r>
            <w:r w:rsidRPr="0053423A">
              <w:rPr>
                <w:rFonts w:eastAsia="Calibri" w:cs="Sylfaen"/>
                <w:sz w:val="20"/>
                <w:szCs w:val="20"/>
                <w:lang w:val="ru-RU"/>
              </w:rPr>
              <w:t xml:space="preserve"> </w:t>
            </w:r>
            <w:r w:rsidRPr="0053423A">
              <w:rPr>
                <w:rFonts w:eastAsia="Calibri" w:cs="Sylfaen"/>
                <w:sz w:val="20"/>
                <w:szCs w:val="20"/>
              </w:rPr>
              <w:t>ՀՀ</w:t>
            </w:r>
            <w:r w:rsidRPr="0053423A">
              <w:rPr>
                <w:rFonts w:eastAsia="Calibri" w:cs="Sylfaen"/>
                <w:sz w:val="20"/>
                <w:szCs w:val="20"/>
                <w:lang w:val="ru-RU"/>
              </w:rPr>
              <w:t xml:space="preserve"> </w:t>
            </w:r>
            <w:r w:rsidRPr="0053423A">
              <w:rPr>
                <w:rFonts w:eastAsia="Calibri" w:cs="Sylfaen"/>
                <w:sz w:val="20"/>
                <w:szCs w:val="20"/>
              </w:rPr>
              <w:t>մարզերի</w:t>
            </w:r>
            <w:r w:rsidRPr="0053423A">
              <w:rPr>
                <w:rFonts w:eastAsia="Calibri" w:cs="Sylfaen"/>
                <w:sz w:val="20"/>
                <w:szCs w:val="20"/>
                <w:lang w:val="ru-RU"/>
              </w:rPr>
              <w:t xml:space="preserve"> 800-1000 </w:t>
            </w:r>
            <w:r w:rsidRPr="0053423A">
              <w:rPr>
                <w:rFonts w:eastAsia="Calibri" w:cs="Times New Roman"/>
                <w:sz w:val="20"/>
                <w:szCs w:val="20"/>
              </w:rPr>
              <w:t>տարեցների</w:t>
            </w:r>
            <w:r w:rsidRPr="0053423A">
              <w:rPr>
                <w:rFonts w:eastAsia="Calibri" w:cs="Times New Roman"/>
                <w:sz w:val="20"/>
                <w:szCs w:val="20"/>
                <w:lang w:val="ru-RU"/>
              </w:rPr>
              <w:t xml:space="preserve">, </w:t>
            </w:r>
            <w:r w:rsidRPr="0053423A">
              <w:rPr>
                <w:rFonts w:eastAsia="Calibri" w:cs="Times New Roman"/>
                <w:sz w:val="20"/>
                <w:szCs w:val="20"/>
              </w:rPr>
              <w:t>սահմանափակ</w:t>
            </w:r>
            <w:r w:rsidRPr="0053423A">
              <w:rPr>
                <w:rFonts w:eastAsia="Calibri" w:cs="Times New Roman"/>
                <w:sz w:val="20"/>
                <w:szCs w:val="20"/>
                <w:lang w:val="ru-RU"/>
              </w:rPr>
              <w:t xml:space="preserve"> </w:t>
            </w:r>
            <w:r w:rsidRPr="0053423A">
              <w:rPr>
                <w:rFonts w:eastAsia="Calibri" w:cs="Times New Roman"/>
                <w:sz w:val="20"/>
                <w:szCs w:val="20"/>
              </w:rPr>
              <w:t>կարողություններ</w:t>
            </w:r>
            <w:r w:rsidRPr="0053423A">
              <w:rPr>
                <w:rFonts w:eastAsia="Calibri" w:cs="Times New Roman"/>
                <w:sz w:val="20"/>
                <w:szCs w:val="20"/>
                <w:lang w:val="ru-RU"/>
              </w:rPr>
              <w:t xml:space="preserve"> </w:t>
            </w:r>
            <w:r w:rsidRPr="0053423A">
              <w:rPr>
                <w:rFonts w:eastAsia="Calibri" w:cs="Times New Roman"/>
                <w:sz w:val="20"/>
                <w:szCs w:val="20"/>
              </w:rPr>
              <w:t>և</w:t>
            </w:r>
            <w:r w:rsidRPr="0053423A">
              <w:rPr>
                <w:rFonts w:eastAsia="Calibri" w:cs="Times New Roman"/>
                <w:sz w:val="20"/>
                <w:szCs w:val="20"/>
                <w:lang w:val="ru-RU"/>
              </w:rPr>
              <w:t xml:space="preserve"> </w:t>
            </w:r>
            <w:r w:rsidRPr="0053423A">
              <w:rPr>
                <w:rFonts w:eastAsia="Calibri" w:cs="Times New Roman"/>
                <w:sz w:val="20"/>
                <w:szCs w:val="20"/>
              </w:rPr>
              <w:t>հնարավորություններ</w:t>
            </w:r>
            <w:r w:rsidRPr="0053423A">
              <w:rPr>
                <w:rFonts w:eastAsia="Calibri" w:cs="Times New Roman"/>
                <w:sz w:val="20"/>
                <w:szCs w:val="20"/>
                <w:lang w:val="ru-RU"/>
              </w:rPr>
              <w:t xml:space="preserve"> </w:t>
            </w:r>
            <w:r w:rsidRPr="0053423A">
              <w:rPr>
                <w:rFonts w:eastAsia="Calibri" w:cs="Times New Roman"/>
                <w:sz w:val="20"/>
                <w:szCs w:val="20"/>
              </w:rPr>
              <w:t>ունեցող</w:t>
            </w:r>
            <w:r w:rsidRPr="0053423A">
              <w:rPr>
                <w:rFonts w:eastAsia="Calibri" w:cs="Times New Roman"/>
                <w:sz w:val="20"/>
                <w:szCs w:val="20"/>
                <w:lang w:val="ru-RU"/>
              </w:rPr>
              <w:t xml:space="preserve"> </w:t>
            </w:r>
            <w:r w:rsidRPr="0053423A">
              <w:rPr>
                <w:rFonts w:eastAsia="Calibri" w:cs="Times New Roman"/>
                <w:sz w:val="20"/>
                <w:szCs w:val="20"/>
              </w:rPr>
              <w:t>շահառուների</w:t>
            </w:r>
            <w:r w:rsidRPr="0053423A">
              <w:rPr>
                <w:rFonts w:eastAsia="Calibri" w:cs="Times New Roman"/>
                <w:sz w:val="20"/>
                <w:szCs w:val="20"/>
                <w:lang w:val="ru-RU"/>
              </w:rPr>
              <w:t xml:space="preserve">  </w:t>
            </w:r>
            <w:r w:rsidRPr="0053423A">
              <w:rPr>
                <w:rFonts w:eastAsia="Calibri" w:cs="Times New Roman"/>
                <w:sz w:val="20"/>
                <w:szCs w:val="20"/>
              </w:rPr>
              <w:t>տնային</w:t>
            </w:r>
            <w:r w:rsidRPr="0053423A">
              <w:rPr>
                <w:rFonts w:eastAsia="Calibri" w:cs="Times New Roman"/>
                <w:sz w:val="20"/>
                <w:szCs w:val="20"/>
                <w:lang w:val="ru-RU"/>
              </w:rPr>
              <w:t xml:space="preserve"> </w:t>
            </w:r>
            <w:r w:rsidRPr="0053423A">
              <w:rPr>
                <w:rFonts w:eastAsia="Calibri" w:cs="Times New Roman"/>
                <w:sz w:val="20"/>
                <w:szCs w:val="20"/>
              </w:rPr>
              <w:t>պայմաններում</w:t>
            </w:r>
            <w:r w:rsidRPr="0053423A">
              <w:rPr>
                <w:rFonts w:eastAsia="Calibri" w:cs="Times New Roman"/>
                <w:sz w:val="20"/>
                <w:szCs w:val="20"/>
                <w:lang w:val="ru-RU"/>
              </w:rPr>
              <w:t xml:space="preserve"> </w:t>
            </w:r>
            <w:r w:rsidRPr="0053423A">
              <w:rPr>
                <w:rFonts w:eastAsia="Calibri" w:cs="Times New Roman"/>
                <w:sz w:val="20"/>
                <w:szCs w:val="20"/>
              </w:rPr>
              <w:t>մատուցել</w:t>
            </w:r>
            <w:r w:rsidRPr="0053423A">
              <w:rPr>
                <w:rFonts w:eastAsia="Calibri" w:cs="Times New Roman"/>
                <w:sz w:val="20"/>
                <w:szCs w:val="20"/>
                <w:lang w:val="ru-RU"/>
              </w:rPr>
              <w:t xml:space="preserve"> </w:t>
            </w:r>
            <w:r w:rsidRPr="0053423A">
              <w:rPr>
                <w:rFonts w:eastAsia="Calibri" w:cs="Times New Roman"/>
                <w:sz w:val="20"/>
                <w:szCs w:val="20"/>
              </w:rPr>
              <w:t>գրադարանային</w:t>
            </w:r>
            <w:r w:rsidRPr="0053423A">
              <w:rPr>
                <w:rFonts w:eastAsia="Calibri" w:cs="Times New Roman"/>
                <w:sz w:val="20"/>
                <w:szCs w:val="20"/>
                <w:lang w:val="ru-RU"/>
              </w:rPr>
              <w:t xml:space="preserve"> </w:t>
            </w:r>
            <w:r w:rsidRPr="0053423A">
              <w:rPr>
                <w:rFonts w:eastAsia="Calibri" w:cs="Times New Roman"/>
                <w:sz w:val="20"/>
                <w:szCs w:val="20"/>
              </w:rPr>
              <w:t>ծառայություններ</w:t>
            </w:r>
            <w:r w:rsidRPr="0053423A">
              <w:rPr>
                <w:rFonts w:eastAsia="Calibri" w:cs="Times New Roman"/>
                <w:sz w:val="20"/>
                <w:szCs w:val="20"/>
                <w:lang w:val="ru-RU"/>
              </w:rPr>
              <w:t>:</w:t>
            </w:r>
          </w:p>
          <w:p w:rsidR="00A67B6B" w:rsidRPr="0053423A" w:rsidRDefault="00A67B6B" w:rsidP="00A67858">
            <w:pPr>
              <w:tabs>
                <w:tab w:val="left" w:pos="993"/>
                <w:tab w:val="left" w:pos="1560"/>
                <w:tab w:val="left" w:pos="1843"/>
              </w:tabs>
              <w:spacing w:after="0" w:line="276" w:lineRule="auto"/>
              <w:jc w:val="both"/>
              <w:rPr>
                <w:rFonts w:eastAsia="Calibri" w:cs="Times New Roman"/>
                <w:sz w:val="20"/>
                <w:szCs w:val="20"/>
                <w:lang w:val="ru-RU"/>
              </w:rPr>
            </w:pPr>
          </w:p>
          <w:p w:rsidR="00A67B6B" w:rsidRPr="0053423A" w:rsidRDefault="00A67B6B" w:rsidP="00A67858">
            <w:pPr>
              <w:spacing w:after="0" w:line="276" w:lineRule="auto"/>
              <w:jc w:val="center"/>
              <w:rPr>
                <w:rFonts w:eastAsia="Times New Roman" w:cs="Times New Roman"/>
                <w:b/>
                <w:sz w:val="20"/>
                <w:szCs w:val="20"/>
                <w:lang w:val="ru-RU"/>
              </w:rPr>
            </w:pPr>
            <w:r w:rsidRPr="0053423A">
              <w:rPr>
                <w:rFonts w:eastAsia="Times New Roman" w:cs="Times New Roman"/>
                <w:b/>
                <w:sz w:val="20"/>
                <w:szCs w:val="20"/>
                <w:lang w:val="ru-RU"/>
              </w:rPr>
              <w:t xml:space="preserve">9.3 </w:t>
            </w:r>
            <w:r w:rsidRPr="0053423A">
              <w:rPr>
                <w:rFonts w:eastAsia="Times New Roman" w:cs="Times New Roman"/>
                <w:b/>
                <w:sz w:val="20"/>
                <w:szCs w:val="20"/>
              </w:rPr>
              <w:t>Պատմամշակութային</w:t>
            </w:r>
            <w:r w:rsidRPr="0053423A">
              <w:rPr>
                <w:rFonts w:eastAsia="Times New Roman" w:cs="Times New Roman"/>
                <w:b/>
                <w:sz w:val="20"/>
                <w:szCs w:val="20"/>
                <w:lang w:val="ru-RU"/>
              </w:rPr>
              <w:t xml:space="preserve"> </w:t>
            </w:r>
            <w:r w:rsidRPr="0053423A">
              <w:rPr>
                <w:rFonts w:eastAsia="Times New Roman" w:cs="Times New Roman"/>
                <w:b/>
                <w:sz w:val="20"/>
                <w:szCs w:val="20"/>
              </w:rPr>
              <w:t>արգելոցներում</w:t>
            </w:r>
            <w:r w:rsidRPr="0053423A">
              <w:rPr>
                <w:rFonts w:eastAsia="Times New Roman" w:cs="Times New Roman"/>
                <w:b/>
                <w:sz w:val="20"/>
                <w:szCs w:val="20"/>
                <w:lang w:val="ru-RU"/>
              </w:rPr>
              <w:t xml:space="preserve"> </w:t>
            </w:r>
            <w:r w:rsidRPr="0053423A">
              <w:rPr>
                <w:rFonts w:eastAsia="Times New Roman" w:cs="Times New Roman"/>
                <w:b/>
                <w:sz w:val="20"/>
                <w:szCs w:val="20"/>
              </w:rPr>
              <w:t>և</w:t>
            </w:r>
            <w:r w:rsidRPr="0053423A">
              <w:rPr>
                <w:rFonts w:eastAsia="Times New Roman" w:cs="Times New Roman"/>
                <w:b/>
                <w:sz w:val="20"/>
                <w:szCs w:val="20"/>
                <w:lang w:val="ru-RU"/>
              </w:rPr>
              <w:t xml:space="preserve"> </w:t>
            </w:r>
            <w:r w:rsidRPr="0053423A">
              <w:rPr>
                <w:rFonts w:eastAsia="Times New Roman" w:cs="Times New Roman"/>
                <w:b/>
                <w:sz w:val="20"/>
                <w:szCs w:val="20"/>
              </w:rPr>
              <w:t>դրանց</w:t>
            </w:r>
            <w:r w:rsidRPr="0053423A">
              <w:rPr>
                <w:rFonts w:eastAsia="Times New Roman" w:cs="Times New Roman"/>
                <w:b/>
                <w:sz w:val="20"/>
                <w:szCs w:val="20"/>
                <w:lang w:val="ru-RU"/>
              </w:rPr>
              <w:t xml:space="preserve"> </w:t>
            </w:r>
            <w:r w:rsidRPr="0053423A">
              <w:rPr>
                <w:rFonts w:eastAsia="Times New Roman" w:cs="Times New Roman"/>
                <w:b/>
                <w:sz w:val="20"/>
                <w:szCs w:val="20"/>
              </w:rPr>
              <w:t>թանգարաններում</w:t>
            </w:r>
            <w:r w:rsidRPr="0053423A">
              <w:rPr>
                <w:rFonts w:eastAsia="Times New Roman" w:cs="Times New Roman"/>
                <w:b/>
                <w:sz w:val="20"/>
                <w:szCs w:val="20"/>
                <w:lang w:val="ru-RU"/>
              </w:rPr>
              <w:t xml:space="preserve"> </w:t>
            </w:r>
            <w:r w:rsidRPr="0053423A">
              <w:rPr>
                <w:rFonts w:eastAsia="Times New Roman" w:cs="Times New Roman"/>
                <w:b/>
                <w:sz w:val="20"/>
                <w:szCs w:val="20"/>
              </w:rPr>
              <w:t>հ</w:t>
            </w:r>
            <w:r w:rsidRPr="0053423A">
              <w:rPr>
                <w:rFonts w:eastAsia="Times New Roman" w:cs="Times New Roman"/>
                <w:b/>
                <w:sz w:val="20"/>
                <w:szCs w:val="20"/>
                <w:lang w:val="ru-RU"/>
              </w:rPr>
              <w:t xml:space="preserve">ասարակության խոցելի խմբերի համար </w:t>
            </w:r>
            <w:r w:rsidRPr="0053423A">
              <w:rPr>
                <w:rFonts w:eastAsia="Times New Roman" w:cs="Times New Roman"/>
                <w:b/>
                <w:sz w:val="20"/>
                <w:szCs w:val="20"/>
              </w:rPr>
              <w:t>թեքահարթակների</w:t>
            </w:r>
            <w:r w:rsidRPr="0053423A">
              <w:rPr>
                <w:rFonts w:eastAsia="Times New Roman" w:cs="Times New Roman"/>
                <w:b/>
                <w:sz w:val="20"/>
                <w:szCs w:val="20"/>
                <w:lang w:val="ru-RU"/>
              </w:rPr>
              <w:t xml:space="preserve">, </w:t>
            </w:r>
            <w:r w:rsidRPr="0053423A">
              <w:rPr>
                <w:rFonts w:eastAsia="Times New Roman" w:cs="Times New Roman"/>
                <w:b/>
                <w:sz w:val="20"/>
                <w:szCs w:val="20"/>
              </w:rPr>
              <w:t>բրա</w:t>
            </w:r>
            <w:r w:rsidRPr="0053423A">
              <w:rPr>
                <w:rFonts w:eastAsia="Times New Roman" w:cs="Times New Roman"/>
                <w:b/>
                <w:sz w:val="20"/>
                <w:szCs w:val="20"/>
                <w:lang w:val="hy-AM"/>
              </w:rPr>
              <w:t>յ</w:t>
            </w:r>
            <w:r w:rsidRPr="0053423A">
              <w:rPr>
                <w:rFonts w:eastAsia="Times New Roman" w:cs="Times New Roman"/>
                <w:b/>
                <w:sz w:val="20"/>
                <w:szCs w:val="20"/>
              </w:rPr>
              <w:t>լյան</w:t>
            </w:r>
            <w:r w:rsidRPr="0053423A">
              <w:rPr>
                <w:rFonts w:eastAsia="Times New Roman" w:cs="Times New Roman"/>
                <w:b/>
                <w:sz w:val="20"/>
                <w:szCs w:val="20"/>
                <w:lang w:val="ru-RU"/>
              </w:rPr>
              <w:t xml:space="preserve"> </w:t>
            </w:r>
            <w:r w:rsidRPr="0053423A">
              <w:rPr>
                <w:rFonts w:eastAsia="Times New Roman" w:cs="Times New Roman"/>
                <w:b/>
                <w:sz w:val="20"/>
                <w:szCs w:val="20"/>
              </w:rPr>
              <w:t>այբուբենով</w:t>
            </w:r>
            <w:r w:rsidRPr="0053423A">
              <w:rPr>
                <w:rFonts w:eastAsia="Times New Roman" w:cs="Times New Roman"/>
                <w:b/>
                <w:sz w:val="20"/>
                <w:szCs w:val="20"/>
                <w:lang w:val="ru-RU"/>
              </w:rPr>
              <w:t xml:space="preserve"> </w:t>
            </w:r>
            <w:r w:rsidRPr="0053423A">
              <w:rPr>
                <w:rFonts w:eastAsia="Times New Roman" w:cs="Times New Roman"/>
                <w:b/>
                <w:sz w:val="20"/>
                <w:szCs w:val="20"/>
              </w:rPr>
              <w:t>տեղեկատու</w:t>
            </w:r>
            <w:r w:rsidRPr="0053423A">
              <w:rPr>
                <w:rFonts w:eastAsia="Times New Roman" w:cs="Times New Roman"/>
                <w:b/>
                <w:sz w:val="20"/>
                <w:szCs w:val="20"/>
                <w:lang w:val="ru-RU"/>
              </w:rPr>
              <w:t xml:space="preserve"> </w:t>
            </w:r>
            <w:r w:rsidRPr="0053423A">
              <w:rPr>
                <w:rFonts w:eastAsia="Times New Roman" w:cs="Times New Roman"/>
                <w:b/>
                <w:sz w:val="20"/>
                <w:szCs w:val="20"/>
              </w:rPr>
              <w:t>վահանակների</w:t>
            </w:r>
            <w:r w:rsidRPr="0053423A">
              <w:rPr>
                <w:rFonts w:eastAsia="Times New Roman" w:cs="Times New Roman"/>
                <w:b/>
                <w:sz w:val="20"/>
                <w:szCs w:val="20"/>
                <w:lang w:val="ru-RU"/>
              </w:rPr>
              <w:t xml:space="preserve"> </w:t>
            </w:r>
            <w:r w:rsidRPr="0053423A">
              <w:rPr>
                <w:rFonts w:eastAsia="Times New Roman" w:cs="Times New Roman"/>
                <w:b/>
                <w:sz w:val="20"/>
                <w:szCs w:val="20"/>
              </w:rPr>
              <w:t>տեղադրում</w:t>
            </w:r>
            <w:r w:rsidRPr="0053423A">
              <w:rPr>
                <w:rFonts w:eastAsia="Times New Roman" w:cs="Times New Roman"/>
                <w:b/>
                <w:sz w:val="20"/>
                <w:szCs w:val="20"/>
                <w:lang w:val="ru-RU"/>
              </w:rPr>
              <w:t xml:space="preserve"> </w:t>
            </w:r>
            <w:r w:rsidRPr="0053423A">
              <w:rPr>
                <w:rFonts w:eastAsia="Times New Roman" w:cs="Times New Roman"/>
                <w:b/>
                <w:sz w:val="20"/>
                <w:szCs w:val="20"/>
              </w:rPr>
              <w:t>և</w:t>
            </w:r>
            <w:r w:rsidRPr="0053423A">
              <w:rPr>
                <w:rFonts w:eastAsia="Times New Roman" w:cs="Times New Roman"/>
                <w:b/>
                <w:sz w:val="20"/>
                <w:szCs w:val="20"/>
                <w:lang w:val="ru-RU"/>
              </w:rPr>
              <w:t xml:space="preserve"> </w:t>
            </w:r>
            <w:r w:rsidRPr="0053423A">
              <w:rPr>
                <w:rFonts w:eastAsia="Times New Roman" w:cs="Times New Roman"/>
                <w:b/>
                <w:sz w:val="20"/>
                <w:szCs w:val="20"/>
              </w:rPr>
              <w:t>խուլ</w:t>
            </w:r>
            <w:r w:rsidRPr="0053423A">
              <w:rPr>
                <w:rFonts w:eastAsia="Times New Roman" w:cs="Times New Roman"/>
                <w:b/>
                <w:sz w:val="20"/>
                <w:szCs w:val="20"/>
                <w:lang w:val="ru-RU"/>
              </w:rPr>
              <w:t>-</w:t>
            </w:r>
            <w:r w:rsidRPr="0053423A">
              <w:rPr>
                <w:rFonts w:eastAsia="Times New Roman" w:cs="Times New Roman"/>
                <w:b/>
                <w:sz w:val="20"/>
                <w:szCs w:val="20"/>
              </w:rPr>
              <w:t>համրերի</w:t>
            </w:r>
            <w:r w:rsidRPr="0053423A">
              <w:rPr>
                <w:rFonts w:eastAsia="Times New Roman" w:cs="Times New Roman"/>
                <w:b/>
                <w:sz w:val="20"/>
                <w:szCs w:val="20"/>
                <w:lang w:val="ru-RU"/>
              </w:rPr>
              <w:t xml:space="preserve"> </w:t>
            </w:r>
            <w:r w:rsidRPr="0053423A">
              <w:rPr>
                <w:rFonts w:eastAsia="Times New Roman" w:cs="Times New Roman"/>
                <w:b/>
                <w:sz w:val="20"/>
                <w:szCs w:val="20"/>
              </w:rPr>
              <w:t>հետ</w:t>
            </w:r>
            <w:r w:rsidRPr="0053423A">
              <w:rPr>
                <w:rFonts w:eastAsia="Times New Roman" w:cs="Times New Roman"/>
                <w:b/>
                <w:sz w:val="20"/>
                <w:szCs w:val="20"/>
                <w:lang w:val="ru-RU"/>
              </w:rPr>
              <w:t xml:space="preserve"> հաղորդակ</w:t>
            </w:r>
            <w:r w:rsidRPr="0053423A">
              <w:rPr>
                <w:rFonts w:eastAsia="Times New Roman" w:cs="Times New Roman"/>
                <w:b/>
                <w:sz w:val="20"/>
                <w:szCs w:val="20"/>
              </w:rPr>
              <w:t>ցվող</w:t>
            </w:r>
            <w:r w:rsidRPr="0053423A">
              <w:rPr>
                <w:rFonts w:eastAsia="Times New Roman" w:cs="Times New Roman"/>
                <w:b/>
                <w:sz w:val="20"/>
                <w:szCs w:val="20"/>
                <w:lang w:val="ru-RU"/>
              </w:rPr>
              <w:t xml:space="preserve"> </w:t>
            </w:r>
            <w:r w:rsidRPr="0053423A">
              <w:rPr>
                <w:rFonts w:eastAsia="Times New Roman" w:cs="Times New Roman"/>
                <w:b/>
                <w:sz w:val="20"/>
                <w:szCs w:val="20"/>
              </w:rPr>
              <w:t>զբոսավարների</w:t>
            </w:r>
            <w:r w:rsidRPr="0053423A">
              <w:rPr>
                <w:rFonts w:eastAsia="Times New Roman" w:cs="Times New Roman"/>
                <w:b/>
                <w:sz w:val="20"/>
                <w:szCs w:val="20"/>
                <w:lang w:val="ru-RU"/>
              </w:rPr>
              <w:t xml:space="preserve"> </w:t>
            </w:r>
            <w:r w:rsidRPr="0053423A">
              <w:rPr>
                <w:rFonts w:eastAsia="Times New Roman" w:cs="Times New Roman"/>
                <w:b/>
                <w:sz w:val="20"/>
                <w:szCs w:val="20"/>
              </w:rPr>
              <w:t>ներգրավում</w:t>
            </w:r>
          </w:p>
          <w:p w:rsidR="00A67B6B" w:rsidRPr="0053423A" w:rsidRDefault="00A67B6B" w:rsidP="00A67858">
            <w:pPr>
              <w:spacing w:after="0" w:line="276" w:lineRule="auto"/>
              <w:jc w:val="center"/>
              <w:rPr>
                <w:rFonts w:eastAsia="Times New Roman" w:cs="Times New Roman"/>
                <w:b/>
                <w:sz w:val="20"/>
                <w:szCs w:val="20"/>
                <w:lang w:val="ru-RU"/>
              </w:rPr>
            </w:pPr>
          </w:p>
          <w:p w:rsidR="00A67B6B" w:rsidRPr="0053423A" w:rsidRDefault="00A67B6B" w:rsidP="001F6D5D">
            <w:pPr>
              <w:numPr>
                <w:ilvl w:val="0"/>
                <w:numId w:val="240"/>
              </w:numPr>
              <w:tabs>
                <w:tab w:val="left" w:pos="508"/>
              </w:tabs>
              <w:spacing w:after="0" w:line="276" w:lineRule="auto"/>
              <w:ind w:hanging="720"/>
              <w:contextualSpacing/>
              <w:rPr>
                <w:rFonts w:eastAsia="Calibri" w:cs="Times New Roman"/>
                <w:b/>
                <w:sz w:val="20"/>
                <w:szCs w:val="20"/>
                <w:lang w:val="hy-AM"/>
              </w:rPr>
            </w:pPr>
            <w:r w:rsidRPr="0053423A">
              <w:rPr>
                <w:rFonts w:eastAsia="Calibri" w:cs="Sylfaen"/>
                <w:b/>
                <w:sz w:val="20"/>
                <w:szCs w:val="20"/>
                <w:lang w:val="hy-AM"/>
              </w:rPr>
              <w:t>Միջոցառման</w:t>
            </w:r>
            <w:r w:rsidRPr="0053423A">
              <w:rPr>
                <w:rFonts w:eastAsia="Calibri" w:cs="Times New Roman"/>
                <w:b/>
                <w:sz w:val="20"/>
                <w:szCs w:val="20"/>
                <w:lang w:val="hy-AM"/>
              </w:rPr>
              <w:t xml:space="preserve"> իրականացման անհրաժեշտությունը և 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Times New Roman"/>
                <w:sz w:val="20"/>
                <w:szCs w:val="20"/>
                <w:lang w:val="hy-AM"/>
              </w:rPr>
              <w:t xml:space="preserve">Թեև ՀՀ հարուստ է պատմամշակութային վայրերով՝ հատկապես հուշարձաններով և թանգարաններով, դրանք մեծամասամբ հասանելի չեն սահմանափակ կարողություններ ունեցող մարդկանց համար՝ հենաշարժողական խնդիրներ ունեցողներին կամ կույրերին: Նման մարդիկ մշտապես զրկված են մշակույթին հաղորդակից լինելուց, ուստի մշտական է նաև խոցելի խմբի մարդկանց մշակութային կյանքին հաղորդակից դարձնելու բաղձալի երազանքը իրական դարձնելը: 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contextualSpacing/>
              <w:jc w:val="both"/>
              <w:rPr>
                <w:rFonts w:eastAsia="Calibri" w:cs="Times New Roman"/>
                <w:sz w:val="20"/>
                <w:szCs w:val="20"/>
              </w:rPr>
            </w:pPr>
          </w:p>
          <w:p w:rsidR="00A67B6B" w:rsidRPr="0053423A" w:rsidRDefault="00A67B6B" w:rsidP="001F6D5D">
            <w:pPr>
              <w:numPr>
                <w:ilvl w:val="1"/>
                <w:numId w:val="240"/>
              </w:numPr>
              <w:tabs>
                <w:tab w:val="left" w:pos="508"/>
              </w:tabs>
              <w:spacing w:after="0" w:line="276" w:lineRule="auto"/>
              <w:ind w:hanging="720"/>
              <w:contextualSpacing/>
              <w:rPr>
                <w:rFonts w:eastAsia="Calibri" w:cs="Times New Roman"/>
                <w:b/>
                <w:sz w:val="20"/>
                <w:szCs w:val="20"/>
                <w:lang w:val="hy-AM"/>
              </w:rPr>
            </w:pPr>
            <w:r w:rsidRPr="0053423A">
              <w:rPr>
                <w:rFonts w:eastAsia="Calibri" w:cs="Sylfaen"/>
                <w:b/>
                <w:sz w:val="20"/>
                <w:szCs w:val="20"/>
                <w:lang w:val="hy-AM"/>
              </w:rPr>
              <w:t>Կարգավորման</w:t>
            </w:r>
            <w:r w:rsidRPr="0053423A">
              <w:rPr>
                <w:rFonts w:eastAsia="Calibri" w:cs="Sylfaen"/>
                <w:b/>
                <w:sz w:val="20"/>
                <w:szCs w:val="20"/>
                <w:lang w:val="af-ZA"/>
              </w:rPr>
              <w:t xml:space="preserve"> </w:t>
            </w:r>
            <w:r w:rsidRPr="0053423A">
              <w:rPr>
                <w:rFonts w:eastAsia="Calibri" w:cs="Times New Roman"/>
                <w:b/>
                <w:sz w:val="20"/>
                <w:szCs w:val="20"/>
                <w:lang w:val="hy-AM"/>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lang w:val="hy-AM"/>
              </w:rPr>
              <w:t>ներկա</w:t>
            </w:r>
            <w:r w:rsidRPr="0053423A">
              <w:rPr>
                <w:rFonts w:eastAsia="Calibri" w:cs="Times New Roman"/>
                <w:b/>
                <w:sz w:val="20"/>
                <w:szCs w:val="20"/>
                <w:lang w:val="af-ZA"/>
              </w:rPr>
              <w:t xml:space="preserve"> </w:t>
            </w:r>
            <w:r w:rsidRPr="0053423A">
              <w:rPr>
                <w:rFonts w:eastAsia="Calibri" w:cs="Times New Roman"/>
                <w:b/>
                <w:sz w:val="20"/>
                <w:szCs w:val="20"/>
                <w:lang w:val="hy-AM"/>
              </w:rPr>
              <w:t>վիճակը</w:t>
            </w:r>
            <w:r w:rsidRPr="0053423A">
              <w:rPr>
                <w:rFonts w:eastAsia="Calibri" w:cs="Times New Roman"/>
                <w:b/>
                <w:sz w:val="20"/>
                <w:szCs w:val="20"/>
                <w:lang w:val="af-ZA"/>
              </w:rPr>
              <w:t xml:space="preserve"> </w:t>
            </w:r>
            <w:r w:rsidRPr="0053423A">
              <w:rPr>
                <w:rFonts w:eastAsia="Calibri" w:cs="Times New Roman"/>
                <w:b/>
                <w:sz w:val="20"/>
                <w:szCs w:val="20"/>
                <w:lang w:val="hy-AM"/>
              </w:rPr>
              <w:t>և</w:t>
            </w:r>
            <w:r w:rsidRPr="0053423A">
              <w:rPr>
                <w:rFonts w:eastAsia="Calibri" w:cs="Times New Roman"/>
                <w:b/>
                <w:sz w:val="20"/>
                <w:szCs w:val="20"/>
                <w:lang w:val="af-ZA"/>
              </w:rPr>
              <w:t xml:space="preserve"> </w:t>
            </w:r>
            <w:r w:rsidRPr="0053423A">
              <w:rPr>
                <w:rFonts w:eastAsia="Calibri" w:cs="Times New Roman"/>
                <w:b/>
                <w:sz w:val="20"/>
                <w:szCs w:val="20"/>
                <w:lang w:val="hy-AM"/>
              </w:rPr>
              <w:t>առկա</w:t>
            </w:r>
            <w:r w:rsidRPr="0053423A">
              <w:rPr>
                <w:rFonts w:eastAsia="Calibri" w:cs="Times New Roman"/>
                <w:b/>
                <w:sz w:val="20"/>
                <w:szCs w:val="20"/>
                <w:lang w:val="af-ZA"/>
              </w:rPr>
              <w:t xml:space="preserve"> </w:t>
            </w:r>
            <w:r w:rsidRPr="0053423A">
              <w:rPr>
                <w:rFonts w:eastAsia="Calibri" w:cs="Times New Roman"/>
                <w:b/>
                <w:sz w:val="20"/>
                <w:szCs w:val="20"/>
                <w:lang w:val="hy-AM"/>
              </w:rPr>
              <w:t>խնդիրները</w:t>
            </w:r>
          </w:p>
          <w:p w:rsidR="00A67B6B" w:rsidRPr="0053423A" w:rsidRDefault="00A67B6B" w:rsidP="00A67858">
            <w:pPr>
              <w:tabs>
                <w:tab w:val="left" w:pos="508"/>
              </w:tabs>
              <w:spacing w:after="0" w:line="276" w:lineRule="auto"/>
              <w:jc w:val="both"/>
              <w:rPr>
                <w:rFonts w:eastAsia="Calibri" w:cs="Times New Roman"/>
                <w:sz w:val="20"/>
                <w:szCs w:val="20"/>
                <w:lang w:val="hy-AM"/>
              </w:rPr>
            </w:pPr>
            <w:r w:rsidRPr="0053423A">
              <w:rPr>
                <w:rFonts w:eastAsia="Calibri" w:cs="Times New Roman"/>
                <w:sz w:val="20"/>
                <w:szCs w:val="20"/>
                <w:lang w:val="hy-AM"/>
              </w:rPr>
              <w:t xml:space="preserve">Ներկայում խոցելի խմբերի ներկայացուցիչները մեծամասամբ հնարավորություն չունեն այցելել հուշարձան կամ թանգարան, քանի որ այնտեղ նախատեսված չեն նման մարդկանց համար հարմարություններ՝ թեքահարթակներ, համապատասխան վերելակներ, սանհանգույցներ, բրայլյան այբուբեն և այլն: բացի դրանից բացակայում են նման մարդկանց հետ աշխատող համապատասխան զբոսավարներ: Նման խնդիրները անհավասարություն է դնում առողջական խնդիրներ ունեցող և առողջ մարդկանց միջև, ինչը անթույլատրելի է և խախտում է մարդու իրավունքները: </w:t>
            </w:r>
          </w:p>
          <w:p w:rsidR="00A67B6B" w:rsidRPr="0053423A" w:rsidRDefault="00A67B6B" w:rsidP="00A67858">
            <w:pPr>
              <w:tabs>
                <w:tab w:val="left" w:pos="508"/>
              </w:tabs>
              <w:spacing w:after="0" w:line="276" w:lineRule="auto"/>
              <w:jc w:val="both"/>
              <w:rPr>
                <w:rFonts w:eastAsia="Calibri" w:cs="Times New Roman"/>
                <w:sz w:val="20"/>
                <w:szCs w:val="20"/>
                <w:lang w:val="hy-AM"/>
              </w:rPr>
            </w:pPr>
          </w:p>
          <w:p w:rsidR="00A67B6B" w:rsidRPr="0053423A" w:rsidRDefault="00A67B6B" w:rsidP="001F6D5D">
            <w:pPr>
              <w:numPr>
                <w:ilvl w:val="1"/>
                <w:numId w:val="236"/>
              </w:numPr>
              <w:tabs>
                <w:tab w:val="left" w:pos="508"/>
              </w:tabs>
              <w:spacing w:after="0" w:line="276" w:lineRule="auto"/>
              <w:ind w:left="360" w:hanging="450"/>
              <w:contextualSpacing/>
              <w:rPr>
                <w:rFonts w:eastAsia="Calibri" w:cs="Times New Roman"/>
                <w:b/>
                <w:sz w:val="20"/>
                <w:szCs w:val="20"/>
              </w:rPr>
            </w:pPr>
            <w:r w:rsidRPr="0053423A">
              <w:rPr>
                <w:rFonts w:eastAsia="Calibri" w:cs="Sylfaen"/>
                <w:b/>
                <w:sz w:val="20"/>
                <w:szCs w:val="20"/>
              </w:rPr>
              <w:t>Առկա</w:t>
            </w:r>
            <w:r w:rsidRPr="0053423A">
              <w:rPr>
                <w:rFonts w:eastAsia="Calibri" w:cs="Times New Roman"/>
                <w:b/>
                <w:sz w:val="20"/>
                <w:szCs w:val="20"/>
              </w:rPr>
              <w:t xml:space="preserve"> խնդիրների առաջարկվող լուծումները</w:t>
            </w:r>
          </w:p>
          <w:p w:rsidR="00A67B6B" w:rsidRPr="0053423A" w:rsidRDefault="00A67B6B" w:rsidP="00A67858">
            <w:pPr>
              <w:tabs>
                <w:tab w:val="left" w:pos="508"/>
              </w:tabs>
              <w:spacing w:after="0" w:line="276" w:lineRule="auto"/>
              <w:jc w:val="both"/>
              <w:rPr>
                <w:rFonts w:eastAsia="Times New Roman" w:cs="Times New Roman"/>
                <w:sz w:val="20"/>
                <w:szCs w:val="20"/>
              </w:rPr>
            </w:pPr>
            <w:r w:rsidRPr="0053423A">
              <w:rPr>
                <w:rFonts w:eastAsia="Calibri" w:cs="Sylfaen"/>
                <w:sz w:val="20"/>
                <w:szCs w:val="20"/>
              </w:rPr>
              <w:t xml:space="preserve">Առաջարկվում է հուշարձաններում և թանգարաններում, համաձայն համապատասխան օրենքի ընթացակարգի, ստեղծել համապատասխան հարմարություններ՝ թեքահարթակներ, համապատասխան վերելակներ, սանհանգույցներ, բրեյլյան այբուբենով տեղեկատուներ և խուլ-համրերի հետ զրուցող </w:t>
            </w:r>
            <w:r w:rsidRPr="0053423A">
              <w:rPr>
                <w:rFonts w:eastAsia="Calibri" w:cs="Times New Roman"/>
                <w:sz w:val="20"/>
                <w:szCs w:val="20"/>
                <w:lang w:val="hy-AM"/>
              </w:rPr>
              <w:t>զբոսավարներ</w:t>
            </w:r>
            <w:r w:rsidRPr="0053423A">
              <w:rPr>
                <w:rFonts w:eastAsia="Calibri" w:cs="Sylfaen"/>
                <w:sz w:val="20"/>
                <w:szCs w:val="20"/>
              </w:rPr>
              <w:t xml:space="preserve"> պատրաստել: 2016-2017 թթ. որոշ մշակութային հաստատությունների համար մշակվել են համապատասխան նախագծեր, մի քանիսը նաև ՀՀ մշակույթի նախարարությանն են տրամադրել մոտավոր նախահաշիվները: Սակայն մինչ օրս դրանք չեն իրականացվել ֆինանսական աղբյուրների բացակայության պատճառով: </w:t>
            </w:r>
            <w:r w:rsidRPr="0053423A">
              <w:rPr>
                <w:rFonts w:eastAsia="Calibri" w:cs="Times New Roman"/>
                <w:sz w:val="20"/>
                <w:szCs w:val="20"/>
              </w:rPr>
              <w:t xml:space="preserve">Հասարակաության խոցելի խմբերի համար ստեղծել հավասարազոր պայմաններ պատմամշակությաին վայրեր, թանգարաններ և այլ մշակութային վայրեր այցելելու համար՝ ստեղծելով համապատասխան պայմաններ օրենքի թույլատրելի շրջանակներում միջազգային չափորոշիչներին համապատասխան՝ թեքահարթակներ, վերելակներ, կույրերի համար </w:t>
            </w:r>
            <w:r w:rsidRPr="0053423A">
              <w:rPr>
                <w:rFonts w:eastAsia="Times New Roman" w:cs="Times New Roman"/>
                <w:sz w:val="20"/>
                <w:szCs w:val="20"/>
              </w:rPr>
              <w:t>բրա</w:t>
            </w:r>
            <w:r w:rsidRPr="0053423A">
              <w:rPr>
                <w:rFonts w:eastAsia="Times New Roman" w:cs="Times New Roman"/>
                <w:sz w:val="20"/>
                <w:szCs w:val="20"/>
                <w:lang w:val="hy-AM"/>
              </w:rPr>
              <w:t>յ</w:t>
            </w:r>
            <w:r w:rsidRPr="0053423A">
              <w:rPr>
                <w:rFonts w:eastAsia="Times New Roman" w:cs="Times New Roman"/>
                <w:sz w:val="20"/>
                <w:szCs w:val="20"/>
              </w:rPr>
              <w:t>լյան այբուբենով տեղեկատու վահանակներ տեղադրել, իսկ</w:t>
            </w:r>
            <w:r w:rsidRPr="0053423A">
              <w:rPr>
                <w:rFonts w:eastAsia="Times New Roman" w:cs="Times New Roman"/>
                <w:b/>
                <w:sz w:val="20"/>
                <w:szCs w:val="20"/>
              </w:rPr>
              <w:t xml:space="preserve"> </w:t>
            </w:r>
            <w:r w:rsidRPr="0053423A">
              <w:rPr>
                <w:rFonts w:eastAsia="Times New Roman" w:cs="Times New Roman"/>
                <w:sz w:val="20"/>
                <w:szCs w:val="20"/>
              </w:rPr>
              <w:t xml:space="preserve">խուլ-համրերի հետ </w:t>
            </w:r>
            <w:r w:rsidRPr="0053423A">
              <w:rPr>
                <w:rFonts w:eastAsia="Times New Roman" w:cs="Times New Roman"/>
                <w:sz w:val="20"/>
                <w:szCs w:val="20"/>
                <w:lang w:val="ru-RU"/>
              </w:rPr>
              <w:t>հաղորդակ</w:t>
            </w:r>
            <w:r w:rsidRPr="0053423A">
              <w:rPr>
                <w:rFonts w:eastAsia="Times New Roman" w:cs="Times New Roman"/>
                <w:sz w:val="20"/>
                <w:szCs w:val="20"/>
              </w:rPr>
              <w:t>ցվող զբոսավարներ պատրաստել:</w:t>
            </w:r>
          </w:p>
          <w:p w:rsidR="00A67B6B" w:rsidRPr="0053423A" w:rsidRDefault="00A67B6B" w:rsidP="00A67858">
            <w:pPr>
              <w:tabs>
                <w:tab w:val="left" w:pos="508"/>
              </w:tabs>
              <w:spacing w:after="0" w:line="276" w:lineRule="auto"/>
              <w:jc w:val="both"/>
              <w:rPr>
                <w:rFonts w:eastAsia="Times New Roman" w:cs="Times New Roman"/>
                <w:sz w:val="20"/>
                <w:szCs w:val="20"/>
              </w:rPr>
            </w:pPr>
          </w:p>
          <w:p w:rsidR="00A67B6B" w:rsidRPr="0053423A" w:rsidRDefault="00A67B6B" w:rsidP="00A67858">
            <w:pPr>
              <w:tabs>
                <w:tab w:val="left" w:pos="508"/>
              </w:tabs>
              <w:spacing w:after="0" w:line="276" w:lineRule="auto"/>
              <w:jc w:val="both"/>
              <w:rPr>
                <w:rFonts w:eastAsia="Calibri" w:cs="Times New Roman"/>
                <w:sz w:val="20"/>
                <w:szCs w:val="20"/>
                <w:lang w:val="af-ZA"/>
              </w:rPr>
            </w:pPr>
            <w:r w:rsidRPr="0053423A">
              <w:rPr>
                <w:rFonts w:eastAsia="Calibri" w:cs="Times New Roman"/>
                <w:b/>
                <w:sz w:val="20"/>
                <w:szCs w:val="20"/>
              </w:rPr>
              <w:t>2</w:t>
            </w:r>
            <w:r w:rsidRPr="0053423A">
              <w:rPr>
                <w:rFonts w:eastAsia="Calibri" w:cs="Times New Roman"/>
                <w:b/>
                <w:sz w:val="20"/>
                <w:szCs w:val="20"/>
                <w:lang w:val="af-ZA"/>
              </w:rPr>
              <w:t xml:space="preserve">. </w:t>
            </w:r>
            <w:r w:rsidRPr="0053423A">
              <w:rPr>
                <w:rFonts w:eastAsia="Calibri" w:cs="Times New Roman"/>
                <w:b/>
                <w:sz w:val="20"/>
                <w:szCs w:val="20"/>
              </w:rPr>
              <w:t>Միջոցառման</w:t>
            </w:r>
            <w:r w:rsidRPr="0053423A">
              <w:rPr>
                <w:rFonts w:eastAsia="Calibri" w:cs="Times New Roman"/>
                <w:b/>
                <w:sz w:val="20"/>
                <w:szCs w:val="20"/>
                <w:lang w:val="af-ZA"/>
              </w:rPr>
              <w:t xml:space="preserve"> </w:t>
            </w:r>
            <w:r w:rsidRPr="0053423A">
              <w:rPr>
                <w:rFonts w:eastAsia="Calibri" w:cs="Times New Roman"/>
                <w:b/>
                <w:sz w:val="20"/>
                <w:szCs w:val="20"/>
              </w:rPr>
              <w:t>իրակա</w:t>
            </w:r>
            <w:r w:rsidRPr="0053423A">
              <w:rPr>
                <w:rFonts w:eastAsia="Calibri" w:cs="Times New Roman"/>
                <w:b/>
                <w:sz w:val="20"/>
                <w:szCs w:val="20"/>
                <w:lang w:val="hy-AM"/>
              </w:rPr>
              <w:t>նա</w:t>
            </w:r>
            <w:r w:rsidRPr="0053423A">
              <w:rPr>
                <w:rFonts w:eastAsia="Calibri" w:cs="Times New Roman"/>
                <w:b/>
                <w:sz w:val="20"/>
                <w:szCs w:val="20"/>
              </w:rPr>
              <w:t>ցումից</w:t>
            </w:r>
            <w:r w:rsidRPr="0053423A">
              <w:rPr>
                <w:rFonts w:eastAsia="Calibri" w:cs="Times New Roman"/>
                <w:b/>
                <w:sz w:val="20"/>
                <w:szCs w:val="20"/>
                <w:lang w:val="af-ZA"/>
              </w:rPr>
              <w:t xml:space="preserve"> </w:t>
            </w:r>
            <w:r w:rsidRPr="0053423A">
              <w:rPr>
                <w:rFonts w:eastAsia="Calibri" w:cs="Times New Roman"/>
                <w:b/>
                <w:sz w:val="20"/>
                <w:szCs w:val="20"/>
              </w:rPr>
              <w:t>ակնկալվող</w:t>
            </w:r>
            <w:r w:rsidRPr="0053423A">
              <w:rPr>
                <w:rFonts w:eastAsia="Calibri" w:cs="Times New Roman"/>
                <w:b/>
                <w:sz w:val="20"/>
                <w:szCs w:val="20"/>
                <w:lang w:val="af-ZA"/>
              </w:rPr>
              <w:t xml:space="preserve"> </w:t>
            </w:r>
            <w:r w:rsidRPr="0053423A">
              <w:rPr>
                <w:rFonts w:eastAsia="Calibri" w:cs="Times New Roman"/>
                <w:b/>
                <w:sz w:val="20"/>
                <w:szCs w:val="20"/>
              </w:rPr>
              <w:t>արդյունքը</w:t>
            </w:r>
            <w:r w:rsidRPr="0053423A">
              <w:rPr>
                <w:rFonts w:eastAsia="Calibri" w:cs="Times New Roman"/>
                <w:sz w:val="20"/>
                <w:szCs w:val="20"/>
                <w:lang w:val="af-ZA"/>
              </w:rPr>
              <w:t xml:space="preserve">   </w:t>
            </w:r>
          </w:p>
          <w:p w:rsidR="00A67B6B" w:rsidRPr="0053423A" w:rsidRDefault="00A67B6B" w:rsidP="00A67858">
            <w:pPr>
              <w:tabs>
                <w:tab w:val="left" w:pos="993"/>
                <w:tab w:val="left" w:pos="1560"/>
                <w:tab w:val="left" w:pos="1843"/>
              </w:tabs>
              <w:spacing w:after="0" w:line="276" w:lineRule="auto"/>
              <w:jc w:val="both"/>
              <w:rPr>
                <w:rFonts w:eastAsia="Calibri" w:cs="GHEA Grapalat"/>
                <w:b/>
                <w:bCs/>
                <w:sz w:val="20"/>
                <w:szCs w:val="20"/>
                <w:lang w:val="af-ZA"/>
              </w:rPr>
            </w:pPr>
            <w:r w:rsidRPr="0053423A">
              <w:rPr>
                <w:rFonts w:eastAsia="Times New Roman" w:cs="Times New Roman"/>
                <w:sz w:val="20"/>
                <w:szCs w:val="20"/>
              </w:rPr>
              <w:t>Ստեղծել</w:t>
            </w:r>
            <w:r w:rsidRPr="0053423A">
              <w:rPr>
                <w:rFonts w:eastAsia="Times New Roman" w:cs="Times New Roman"/>
                <w:sz w:val="20"/>
                <w:szCs w:val="20"/>
                <w:lang w:val="af-ZA"/>
              </w:rPr>
              <w:t xml:space="preserve"> </w:t>
            </w:r>
            <w:r w:rsidRPr="0053423A">
              <w:rPr>
                <w:rFonts w:eastAsia="Times New Roman" w:cs="Times New Roman"/>
                <w:sz w:val="20"/>
                <w:szCs w:val="20"/>
              </w:rPr>
              <w:t>հավասարազոր</w:t>
            </w:r>
            <w:r w:rsidRPr="0053423A">
              <w:rPr>
                <w:rFonts w:eastAsia="Times New Roman" w:cs="Times New Roman"/>
                <w:sz w:val="20"/>
                <w:szCs w:val="20"/>
                <w:lang w:val="af-ZA"/>
              </w:rPr>
              <w:t xml:space="preserve"> </w:t>
            </w:r>
            <w:r w:rsidRPr="0053423A">
              <w:rPr>
                <w:rFonts w:eastAsia="Times New Roman" w:cs="Times New Roman"/>
                <w:sz w:val="20"/>
                <w:szCs w:val="20"/>
              </w:rPr>
              <w:t>պայմաններ</w:t>
            </w:r>
            <w:r w:rsidRPr="0053423A">
              <w:rPr>
                <w:rFonts w:eastAsia="Times New Roman" w:cs="Times New Roman"/>
                <w:sz w:val="20"/>
                <w:szCs w:val="20"/>
                <w:lang w:val="af-ZA"/>
              </w:rPr>
              <w:t xml:space="preserve"> </w:t>
            </w:r>
            <w:r w:rsidRPr="0053423A">
              <w:rPr>
                <w:rFonts w:eastAsia="Times New Roman" w:cs="Times New Roman"/>
                <w:sz w:val="20"/>
                <w:szCs w:val="20"/>
              </w:rPr>
              <w:t>հասարակության</w:t>
            </w:r>
            <w:r w:rsidRPr="0053423A">
              <w:rPr>
                <w:rFonts w:eastAsia="Times New Roman" w:cs="Times New Roman"/>
                <w:sz w:val="20"/>
                <w:szCs w:val="20"/>
                <w:lang w:val="af-ZA"/>
              </w:rPr>
              <w:t xml:space="preserve"> </w:t>
            </w:r>
            <w:r w:rsidRPr="0053423A">
              <w:rPr>
                <w:rFonts w:eastAsia="Times New Roman" w:cs="Times New Roman"/>
                <w:sz w:val="20"/>
                <w:szCs w:val="20"/>
              </w:rPr>
              <w:t>խոցելի</w:t>
            </w:r>
            <w:r w:rsidRPr="0053423A">
              <w:rPr>
                <w:rFonts w:eastAsia="Times New Roman" w:cs="Times New Roman"/>
                <w:sz w:val="20"/>
                <w:szCs w:val="20"/>
                <w:lang w:val="af-ZA"/>
              </w:rPr>
              <w:t xml:space="preserve"> </w:t>
            </w:r>
            <w:r w:rsidRPr="0053423A">
              <w:rPr>
                <w:rFonts w:eastAsia="Times New Roman" w:cs="Times New Roman"/>
                <w:sz w:val="20"/>
                <w:szCs w:val="20"/>
              </w:rPr>
              <w:t>խմբերի</w:t>
            </w:r>
            <w:r w:rsidRPr="0053423A">
              <w:rPr>
                <w:rFonts w:eastAsia="Times New Roman" w:cs="Times New Roman"/>
                <w:sz w:val="20"/>
                <w:szCs w:val="20"/>
                <w:lang w:val="af-ZA"/>
              </w:rPr>
              <w:t xml:space="preserve"> </w:t>
            </w:r>
            <w:r w:rsidRPr="0053423A">
              <w:rPr>
                <w:rFonts w:eastAsia="Times New Roman" w:cs="Times New Roman"/>
                <w:sz w:val="20"/>
                <w:szCs w:val="20"/>
              </w:rPr>
              <w:t>համար</w:t>
            </w:r>
            <w:r w:rsidRPr="0053423A">
              <w:rPr>
                <w:rFonts w:eastAsia="Times New Roman" w:cs="Times New Roman"/>
                <w:sz w:val="20"/>
                <w:szCs w:val="20"/>
                <w:lang w:val="af-ZA"/>
              </w:rPr>
              <w:t xml:space="preserve"> </w:t>
            </w:r>
            <w:r w:rsidRPr="0053423A">
              <w:rPr>
                <w:rFonts w:eastAsia="Times New Roman" w:cs="Times New Roman"/>
                <w:sz w:val="20"/>
                <w:szCs w:val="20"/>
              </w:rPr>
              <w:t>այցելելու</w:t>
            </w:r>
            <w:r w:rsidRPr="0053423A">
              <w:rPr>
                <w:rFonts w:eastAsia="Times New Roman" w:cs="Times New Roman"/>
                <w:sz w:val="20"/>
                <w:szCs w:val="20"/>
                <w:lang w:val="af-ZA"/>
              </w:rPr>
              <w:t xml:space="preserve"> </w:t>
            </w:r>
            <w:r w:rsidRPr="0053423A">
              <w:rPr>
                <w:rFonts w:eastAsia="Times New Roman" w:cs="Times New Roman"/>
                <w:sz w:val="20"/>
                <w:szCs w:val="20"/>
              </w:rPr>
              <w:t>պատմամշակութային</w:t>
            </w:r>
            <w:r w:rsidRPr="0053423A">
              <w:rPr>
                <w:rFonts w:eastAsia="Times New Roman" w:cs="Times New Roman"/>
                <w:sz w:val="20"/>
                <w:szCs w:val="20"/>
                <w:lang w:val="af-ZA"/>
              </w:rPr>
              <w:t xml:space="preserve"> </w:t>
            </w:r>
            <w:r w:rsidRPr="0053423A">
              <w:rPr>
                <w:rFonts w:eastAsia="Times New Roman" w:cs="Times New Roman"/>
                <w:sz w:val="20"/>
                <w:szCs w:val="20"/>
              </w:rPr>
              <w:t>հուշարձաններ</w:t>
            </w:r>
            <w:r w:rsidRPr="0053423A">
              <w:rPr>
                <w:rFonts w:eastAsia="Times New Roman" w:cs="Times New Roman"/>
                <w:sz w:val="20"/>
                <w:szCs w:val="20"/>
                <w:lang w:val="af-ZA"/>
              </w:rPr>
              <w:t xml:space="preserve"> </w:t>
            </w:r>
            <w:r w:rsidRPr="0053423A">
              <w:rPr>
                <w:rFonts w:eastAsia="Times New Roman" w:cs="Times New Roman"/>
                <w:sz w:val="20"/>
                <w:szCs w:val="20"/>
              </w:rPr>
              <w:t>և</w:t>
            </w:r>
            <w:r w:rsidRPr="0053423A">
              <w:rPr>
                <w:rFonts w:eastAsia="Times New Roman" w:cs="Times New Roman"/>
                <w:sz w:val="20"/>
                <w:szCs w:val="20"/>
                <w:lang w:val="af-ZA"/>
              </w:rPr>
              <w:t xml:space="preserve"> </w:t>
            </w:r>
            <w:r w:rsidRPr="0053423A">
              <w:rPr>
                <w:rFonts w:eastAsia="Times New Roman" w:cs="Times New Roman"/>
                <w:sz w:val="20"/>
                <w:szCs w:val="20"/>
              </w:rPr>
              <w:t>թանգարաններ</w:t>
            </w:r>
            <w:r w:rsidRPr="0053423A">
              <w:rPr>
                <w:rFonts w:eastAsia="Times New Roman" w:cs="Times New Roman"/>
                <w:sz w:val="20"/>
                <w:szCs w:val="20"/>
                <w:lang w:val="hy-AM"/>
              </w:rPr>
              <w:t xml:space="preserve">, </w:t>
            </w:r>
            <w:r w:rsidRPr="0053423A">
              <w:rPr>
                <w:rFonts w:eastAsia="Times New Roman" w:cs="Times New Roman"/>
                <w:sz w:val="20"/>
                <w:szCs w:val="20"/>
              </w:rPr>
              <w:t>բարձրացնել</w:t>
            </w:r>
            <w:r w:rsidRPr="0053423A">
              <w:rPr>
                <w:rFonts w:eastAsia="Times New Roman" w:cs="Times New Roman"/>
                <w:sz w:val="20"/>
                <w:szCs w:val="20"/>
                <w:lang w:val="af-ZA"/>
              </w:rPr>
              <w:t xml:space="preserve"> </w:t>
            </w:r>
            <w:r w:rsidRPr="0053423A">
              <w:rPr>
                <w:rFonts w:eastAsia="Times New Roman" w:cs="Times New Roman"/>
                <w:sz w:val="20"/>
                <w:szCs w:val="20"/>
              </w:rPr>
              <w:t>հուշարձաններին</w:t>
            </w:r>
            <w:r w:rsidRPr="0053423A">
              <w:rPr>
                <w:rFonts w:eastAsia="Times New Roman" w:cs="Times New Roman"/>
                <w:sz w:val="20"/>
                <w:szCs w:val="20"/>
                <w:lang w:val="af-ZA"/>
              </w:rPr>
              <w:t xml:space="preserve"> </w:t>
            </w:r>
            <w:r w:rsidRPr="0053423A">
              <w:rPr>
                <w:rFonts w:eastAsia="Calibri" w:cs="Calibri"/>
                <w:sz w:val="20"/>
                <w:szCs w:val="20"/>
                <w:lang w:val="fr-FR"/>
              </w:rPr>
              <w:t>առնչվող տեղեկացվածության մակարդակը, հասանելիության մատչելիությունը, ինչով նաև կավելանա այցելուների թվաքանակը:</w:t>
            </w:r>
          </w:p>
        </w:tc>
      </w:tr>
      <w:tr w:rsidR="00A67B6B" w:rsidRPr="0053423A" w:rsidTr="00A67B6B">
        <w:tc>
          <w:tcPr>
            <w:tcW w:w="540" w:type="dxa"/>
            <w:shd w:val="clear" w:color="auto" w:fill="auto"/>
          </w:tcPr>
          <w:p w:rsidR="00A67B6B" w:rsidRPr="0053423A" w:rsidRDefault="00A67B6B" w:rsidP="00A67858">
            <w:pPr>
              <w:tabs>
                <w:tab w:val="left" w:pos="1418"/>
              </w:tabs>
              <w:spacing w:after="0" w:line="276" w:lineRule="auto"/>
              <w:jc w:val="center"/>
              <w:rPr>
                <w:rFonts w:eastAsia="Calibri" w:cs="Times New Roman"/>
                <w:caps/>
                <w:sz w:val="20"/>
                <w:szCs w:val="20"/>
                <w:lang w:val="tr-TR"/>
              </w:rPr>
            </w:pPr>
            <w:r w:rsidRPr="0053423A">
              <w:rPr>
                <w:rFonts w:eastAsia="Calibri" w:cs="Times New Roman"/>
                <w:caps/>
                <w:sz w:val="20"/>
                <w:szCs w:val="20"/>
                <w:lang w:val="tr-TR"/>
              </w:rPr>
              <w:t>10</w:t>
            </w:r>
          </w:p>
        </w:tc>
        <w:tc>
          <w:tcPr>
            <w:tcW w:w="10980" w:type="dxa"/>
            <w:shd w:val="clear" w:color="auto" w:fill="auto"/>
          </w:tcPr>
          <w:p w:rsidR="00A67B6B" w:rsidRPr="0053423A" w:rsidRDefault="00A67B6B" w:rsidP="00A67858">
            <w:pPr>
              <w:tabs>
                <w:tab w:val="left" w:pos="508"/>
              </w:tabs>
              <w:spacing w:after="0" w:line="276" w:lineRule="auto"/>
              <w:ind w:firstLine="69"/>
              <w:jc w:val="center"/>
              <w:rPr>
                <w:rFonts w:eastAsia="Times New Roman" w:cs="Times New Roman"/>
                <w:b/>
                <w:sz w:val="20"/>
                <w:szCs w:val="20"/>
                <w:lang w:val="tr-TR"/>
              </w:rPr>
            </w:pPr>
            <w:r w:rsidRPr="0053423A">
              <w:rPr>
                <w:rFonts w:eastAsia="Times New Roman" w:cs="Times New Roman"/>
                <w:b/>
                <w:sz w:val="20"/>
                <w:szCs w:val="20"/>
                <w:lang w:val="tr-TR"/>
              </w:rPr>
              <w:t xml:space="preserve">10.1 </w:t>
            </w:r>
            <w:r w:rsidRPr="0053423A">
              <w:rPr>
                <w:rFonts w:eastAsia="Times New Roman" w:cs="Times New Roman"/>
                <w:b/>
                <w:sz w:val="20"/>
                <w:szCs w:val="20"/>
                <w:lang w:val="ru-RU"/>
              </w:rPr>
              <w:t>Մշակույթի</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վերաբերյալ</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հաղորդաշարերի</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հաղորդումների</w:t>
            </w:r>
            <w:r w:rsidRPr="0053423A">
              <w:rPr>
                <w:rFonts w:eastAsia="Times New Roman" w:cs="Times New Roman"/>
                <w:b/>
                <w:sz w:val="20"/>
                <w:szCs w:val="20"/>
                <w:lang w:val="tr-TR"/>
              </w:rPr>
              <w:t xml:space="preserve"> </w:t>
            </w:r>
            <w:r w:rsidRPr="0053423A">
              <w:rPr>
                <w:rFonts w:eastAsia="Times New Roman" w:cs="Times New Roman"/>
                <w:b/>
                <w:sz w:val="20"/>
                <w:szCs w:val="20"/>
                <w:lang w:val="ru-RU"/>
              </w:rPr>
              <w:t>նկարահանում</w:t>
            </w:r>
          </w:p>
          <w:p w:rsidR="00A67B6B" w:rsidRPr="0053423A" w:rsidRDefault="00A67B6B" w:rsidP="00A67858">
            <w:pPr>
              <w:tabs>
                <w:tab w:val="left" w:pos="508"/>
              </w:tabs>
              <w:spacing w:after="0" w:line="276" w:lineRule="auto"/>
              <w:ind w:firstLine="69"/>
              <w:jc w:val="center"/>
              <w:rPr>
                <w:rFonts w:eastAsia="Times New Roman" w:cs="Times New Roman"/>
                <w:sz w:val="20"/>
                <w:szCs w:val="20"/>
                <w:lang w:val="tr-TR"/>
              </w:rPr>
            </w:pPr>
          </w:p>
          <w:p w:rsidR="00A67B6B" w:rsidRPr="0053423A" w:rsidRDefault="00A67B6B" w:rsidP="001F6D5D">
            <w:pPr>
              <w:numPr>
                <w:ilvl w:val="0"/>
                <w:numId w:val="206"/>
              </w:numPr>
              <w:tabs>
                <w:tab w:val="left" w:pos="508"/>
              </w:tabs>
              <w:spacing w:after="0" w:line="276" w:lineRule="auto"/>
              <w:ind w:left="0" w:firstLine="69"/>
              <w:jc w:val="both"/>
              <w:rPr>
                <w:rFonts w:eastAsia="Calibri" w:cs="Sylfaen"/>
                <w:bCs/>
                <w:sz w:val="20"/>
                <w:szCs w:val="20"/>
                <w:lang w:val="fr-FR"/>
              </w:rPr>
            </w:pPr>
            <w:r w:rsidRPr="0053423A">
              <w:rPr>
                <w:rFonts w:eastAsia="Calibri" w:cs="Sylfaen"/>
                <w:b/>
                <w:sz w:val="20"/>
                <w:szCs w:val="20"/>
              </w:rPr>
              <w:t>Միջոցառման</w:t>
            </w:r>
            <w:r w:rsidRPr="0053423A">
              <w:rPr>
                <w:rFonts w:eastAsia="Calibri" w:cs="Times New Roman"/>
                <w:b/>
                <w:sz w:val="20"/>
                <w:szCs w:val="20"/>
                <w:lang w:val="af-ZA"/>
              </w:rPr>
              <w:t xml:space="preserve"> </w:t>
            </w:r>
            <w:r w:rsidRPr="0053423A">
              <w:rPr>
                <w:rFonts w:eastAsia="Calibri" w:cs="Times New Roman"/>
                <w:b/>
                <w:sz w:val="20"/>
                <w:szCs w:val="20"/>
              </w:rPr>
              <w:t>իրականացման</w:t>
            </w:r>
            <w:r w:rsidRPr="0053423A">
              <w:rPr>
                <w:rFonts w:eastAsia="Calibri" w:cs="Times New Roman"/>
                <w:b/>
                <w:sz w:val="20"/>
                <w:szCs w:val="20"/>
                <w:lang w:val="af-ZA"/>
              </w:rPr>
              <w:t xml:space="preserve"> </w:t>
            </w:r>
            <w:r w:rsidRPr="0053423A">
              <w:rPr>
                <w:rFonts w:eastAsia="Calibri" w:cs="Times New Roman"/>
                <w:b/>
                <w:sz w:val="20"/>
                <w:szCs w:val="20"/>
              </w:rPr>
              <w:t>անհրաժեշտությունը</w:t>
            </w:r>
            <w:r w:rsidRPr="0053423A">
              <w:rPr>
                <w:rFonts w:eastAsia="Calibri" w:cs="Times New Roman"/>
                <w:b/>
                <w:sz w:val="20"/>
                <w:szCs w:val="20"/>
                <w:lang w:val="af-ZA"/>
              </w:rPr>
              <w:t xml:space="preserve"> </w:t>
            </w:r>
            <w:r w:rsidRPr="0053423A">
              <w:rPr>
                <w:rFonts w:eastAsia="Calibri" w:cs="Times New Roman"/>
                <w:b/>
                <w:sz w:val="20"/>
                <w:szCs w:val="20"/>
              </w:rPr>
              <w:t>և</w:t>
            </w:r>
            <w:r w:rsidRPr="0053423A">
              <w:rPr>
                <w:rFonts w:eastAsia="Calibri" w:cs="Times New Roman"/>
                <w:b/>
                <w:sz w:val="20"/>
                <w:szCs w:val="20"/>
                <w:lang w:val="af-ZA"/>
              </w:rPr>
              <w:t xml:space="preserve"> </w:t>
            </w:r>
            <w:r w:rsidRPr="0053423A">
              <w:rPr>
                <w:rFonts w:eastAsia="Calibri" w:cs="Times New Roman"/>
                <w:b/>
                <w:sz w:val="20"/>
                <w:szCs w:val="20"/>
              </w:rPr>
              <w:t>նպատակը</w:t>
            </w:r>
            <w:r w:rsidRPr="0053423A">
              <w:rPr>
                <w:rFonts w:eastAsia="Calibri" w:cs="Sylfaen"/>
                <w:bCs/>
                <w:sz w:val="20"/>
                <w:szCs w:val="20"/>
                <w:lang w:val="hy-AM"/>
              </w:rPr>
              <w:t xml:space="preserve"> </w:t>
            </w:r>
          </w:p>
          <w:p w:rsidR="00A67B6B" w:rsidRPr="0053423A" w:rsidRDefault="00A67B6B" w:rsidP="00A67858">
            <w:pPr>
              <w:tabs>
                <w:tab w:val="left" w:pos="508"/>
              </w:tabs>
              <w:spacing w:after="0" w:line="276" w:lineRule="auto"/>
              <w:ind w:firstLine="69"/>
              <w:contextualSpacing/>
              <w:jc w:val="both"/>
              <w:rPr>
                <w:rFonts w:eastAsia="Calibri" w:cs="Times New Roman"/>
                <w:sz w:val="20"/>
                <w:szCs w:val="20"/>
                <w:lang w:val="hy-AM"/>
              </w:rPr>
            </w:pPr>
            <w:r w:rsidRPr="0053423A">
              <w:rPr>
                <w:rFonts w:eastAsia="Calibri" w:cs="Sylfaen"/>
                <w:bCs/>
                <w:sz w:val="20"/>
                <w:szCs w:val="20"/>
                <w:lang w:val="hy-AM"/>
              </w:rPr>
              <w:t>Իրականացվող միջոցառումները նպատակաուղղված են լինելու մշակութային, կրթական, դաստիարակչական, բարոյախրատական ուղղվածություն ունեցող գիտա</w:t>
            </w:r>
            <w:r w:rsidRPr="0053423A">
              <w:rPr>
                <w:rFonts w:eastAsia="Calibri" w:cs="Sylfaen"/>
                <w:bCs/>
                <w:sz w:val="20"/>
                <w:szCs w:val="20"/>
                <w:lang w:val="hy-AM"/>
              </w:rPr>
              <w:softHyphen/>
            </w:r>
            <w:r w:rsidRPr="0053423A">
              <w:rPr>
                <w:rFonts w:eastAsia="Calibri" w:cs="Sylfaen"/>
                <w:bCs/>
                <w:sz w:val="20"/>
                <w:szCs w:val="20"/>
                <w:lang w:val="hy-AM"/>
              </w:rPr>
              <w:softHyphen/>
              <w:t>հանրամատչելի և ճանաչողական հեռուստահաղորդումների ստեղծմանը, ժամանակակից տեղեկատվական տեխնոլոգիաների և սոցիալական մեդիայի ռեսուրսների ներգրավմանը հեռուստահաղորդումների պատրաստման և հեռարձակման գործընթացում:</w:t>
            </w:r>
            <w:r w:rsidRPr="0053423A">
              <w:rPr>
                <w:rFonts w:eastAsia="Calibri" w:cs="Sylfaen"/>
                <w:bCs/>
                <w:sz w:val="20"/>
                <w:szCs w:val="20"/>
                <w:lang w:val="af-ZA"/>
              </w:rPr>
              <w:t xml:space="preserve"> </w:t>
            </w:r>
            <w:r w:rsidRPr="0053423A">
              <w:rPr>
                <w:rFonts w:eastAsia="Calibri" w:cs="Sylfaen"/>
                <w:bCs/>
                <w:sz w:val="20"/>
                <w:szCs w:val="20"/>
                <w:lang w:val="hy-AM"/>
              </w:rPr>
              <w:t>Միջոցառման նպատակն է ապահովել մշակութային ժառանգության վերաբերյալ առկա տեղեկատվության մատչելիությունը, մշակույթի վերաբերյալ հաղորդաշա</w:t>
            </w:r>
            <w:r w:rsidRPr="0053423A">
              <w:rPr>
                <w:rFonts w:eastAsia="Calibri" w:cs="Sylfaen"/>
                <w:bCs/>
                <w:sz w:val="20"/>
                <w:szCs w:val="20"/>
                <w:lang w:val="hy-AM"/>
              </w:rPr>
              <w:softHyphen/>
              <w:t xml:space="preserve">րերի, հաղորդումների նկարահանման, սոցիալական գովազդային հոլովակաների, մրցույթ-վիկտորինաների, քննարկումների կազմակերպման միջոցով խթանել մշակութային ժառանգության պահպանության, ուսումնասիրման, հրատարակման և հանրահռչակման բնագավառի զարգացումը, ստեղծել նպաստավոր պայմաններ երիտասարդության մեջ մշակութային ժառանգության վերաբերյալ գիտելիքների ամրագրման, ճանաչողության մեծացման համար: </w:t>
            </w:r>
            <w:r w:rsidRPr="0053423A">
              <w:rPr>
                <w:rFonts w:eastAsia="Calibri" w:cs="Sylfaen"/>
                <w:bCs/>
                <w:sz w:val="20"/>
                <w:szCs w:val="20"/>
                <w:lang w:val="fr-FR"/>
              </w:rPr>
              <w:t xml:space="preserve">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ind w:firstLine="69"/>
              <w:jc w:val="both"/>
              <w:rPr>
                <w:rFonts w:eastAsia="Calibri" w:cs="Sylfaen"/>
                <w:bCs/>
                <w:sz w:val="20"/>
                <w:szCs w:val="20"/>
              </w:rPr>
            </w:pPr>
          </w:p>
          <w:p w:rsidR="00A67B6B" w:rsidRPr="0053423A" w:rsidRDefault="00A67B6B" w:rsidP="001F6D5D">
            <w:pPr>
              <w:numPr>
                <w:ilvl w:val="1"/>
                <w:numId w:val="202"/>
              </w:numPr>
              <w:tabs>
                <w:tab w:val="left" w:pos="508"/>
              </w:tabs>
              <w:spacing w:after="0" w:line="276" w:lineRule="auto"/>
              <w:ind w:left="0" w:firstLine="69"/>
              <w:contextualSpacing/>
              <w:rPr>
                <w:rFonts w:eastAsia="Calibri" w:cs="Sylfaen"/>
                <w:b/>
                <w:sz w:val="20"/>
                <w:szCs w:val="20"/>
                <w:lang w:val="af-ZA"/>
              </w:rPr>
            </w:pPr>
            <w:r w:rsidRPr="0053423A">
              <w:rPr>
                <w:rFonts w:eastAsia="Calibri" w:cs="Sylfaen"/>
                <w:b/>
                <w:sz w:val="20"/>
                <w:szCs w:val="20"/>
                <w:lang w:val="hy-AM"/>
              </w:rPr>
              <w:t>Կարգավորման</w:t>
            </w:r>
            <w:r w:rsidRPr="0053423A">
              <w:rPr>
                <w:rFonts w:eastAsia="Calibri" w:cs="Times New Roman"/>
                <w:b/>
                <w:sz w:val="20"/>
                <w:szCs w:val="20"/>
                <w:lang w:val="af-ZA"/>
              </w:rPr>
              <w:t xml:space="preserve"> </w:t>
            </w:r>
            <w:r w:rsidRPr="0053423A">
              <w:rPr>
                <w:rFonts w:eastAsia="Calibri" w:cs="Times New Roman"/>
                <w:b/>
                <w:sz w:val="20"/>
                <w:szCs w:val="20"/>
                <w:lang w:val="hy-AM"/>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lang w:val="hy-AM"/>
              </w:rPr>
              <w:t>ներկա</w:t>
            </w:r>
            <w:r w:rsidRPr="0053423A">
              <w:rPr>
                <w:rFonts w:eastAsia="Calibri" w:cs="Times New Roman"/>
                <w:b/>
                <w:sz w:val="20"/>
                <w:szCs w:val="20"/>
                <w:lang w:val="af-ZA"/>
              </w:rPr>
              <w:t xml:space="preserve"> </w:t>
            </w:r>
            <w:r w:rsidRPr="0053423A">
              <w:rPr>
                <w:rFonts w:eastAsia="Calibri" w:cs="Times New Roman"/>
                <w:b/>
                <w:sz w:val="20"/>
                <w:szCs w:val="20"/>
                <w:lang w:val="hy-AM"/>
              </w:rPr>
              <w:t>վիճակը</w:t>
            </w:r>
            <w:r w:rsidRPr="0053423A">
              <w:rPr>
                <w:rFonts w:eastAsia="Calibri" w:cs="Times New Roman"/>
                <w:b/>
                <w:sz w:val="20"/>
                <w:szCs w:val="20"/>
                <w:lang w:val="af-ZA"/>
              </w:rPr>
              <w:t xml:space="preserve"> </w:t>
            </w:r>
            <w:r w:rsidRPr="0053423A">
              <w:rPr>
                <w:rFonts w:eastAsia="Calibri" w:cs="Times New Roman"/>
                <w:b/>
                <w:sz w:val="20"/>
                <w:szCs w:val="20"/>
                <w:lang w:val="hy-AM"/>
              </w:rPr>
              <w:t>և</w:t>
            </w:r>
            <w:r w:rsidRPr="0053423A">
              <w:rPr>
                <w:rFonts w:eastAsia="Calibri" w:cs="Times New Roman"/>
                <w:b/>
                <w:sz w:val="20"/>
                <w:szCs w:val="20"/>
                <w:lang w:val="af-ZA"/>
              </w:rPr>
              <w:t xml:space="preserve"> </w:t>
            </w:r>
            <w:r w:rsidRPr="0053423A">
              <w:rPr>
                <w:rFonts w:eastAsia="Calibri" w:cs="Times New Roman"/>
                <w:b/>
                <w:sz w:val="20"/>
                <w:szCs w:val="20"/>
                <w:lang w:val="hy-AM"/>
              </w:rPr>
              <w:t>առկա</w:t>
            </w:r>
            <w:r w:rsidRPr="0053423A">
              <w:rPr>
                <w:rFonts w:eastAsia="Calibri" w:cs="Times New Roman"/>
                <w:b/>
                <w:sz w:val="20"/>
                <w:szCs w:val="20"/>
                <w:lang w:val="af-ZA"/>
              </w:rPr>
              <w:t xml:space="preserve"> </w:t>
            </w:r>
            <w:r w:rsidRPr="0053423A">
              <w:rPr>
                <w:rFonts w:eastAsia="Calibri" w:cs="Times New Roman"/>
                <w:b/>
                <w:sz w:val="20"/>
                <w:szCs w:val="20"/>
                <w:lang w:val="hy-AM"/>
              </w:rPr>
              <w:t>խնդիրները</w:t>
            </w:r>
          </w:p>
          <w:p w:rsidR="00A67B6B" w:rsidRPr="0053423A" w:rsidRDefault="00A67B6B" w:rsidP="00A67858">
            <w:pPr>
              <w:tabs>
                <w:tab w:val="left" w:pos="508"/>
              </w:tabs>
              <w:spacing w:after="0" w:line="276" w:lineRule="auto"/>
              <w:ind w:firstLine="69"/>
              <w:jc w:val="both"/>
              <w:rPr>
                <w:rFonts w:eastAsia="Calibri" w:cs="Sylfaen"/>
                <w:bCs/>
                <w:sz w:val="20"/>
                <w:szCs w:val="20"/>
                <w:lang w:val="hy-AM"/>
              </w:rPr>
            </w:pPr>
            <w:r w:rsidRPr="0053423A">
              <w:rPr>
                <w:rFonts w:eastAsia="Calibri" w:cs="Sylfaen"/>
                <w:bCs/>
                <w:sz w:val="20"/>
                <w:szCs w:val="20"/>
                <w:lang w:val="hy-AM"/>
              </w:rPr>
              <w:t>Վերջին տարիներին հայկական գրեթե բոլոր հեռուստաընկերությունները, հետևելով բացառապես իրենց նեղ կոմերցիոն շահերից, եթերը լցրել են ագրեսիվ, հակասոցիալական հաղորդումներով և «հումորային» ծրագրերով, որոնք բացասաբար են անդրադառնում հասարակության առողջության, մտավոր ու ֆիզիկական զարգացման և դաստիարակության վրա, իսկ</w:t>
            </w:r>
            <w:r w:rsidRPr="0053423A">
              <w:rPr>
                <w:rFonts w:ascii="Calibri" w:eastAsia="Calibri" w:hAnsi="Calibri" w:cs="Calibri"/>
                <w:bCs/>
                <w:sz w:val="20"/>
                <w:szCs w:val="20"/>
                <w:lang w:val="hy-AM"/>
              </w:rPr>
              <w:t> </w:t>
            </w:r>
            <w:r w:rsidRPr="0053423A">
              <w:rPr>
                <w:rFonts w:eastAsia="Calibri" w:cs="Sylfaen"/>
                <w:bCs/>
                <w:sz w:val="20"/>
                <w:szCs w:val="20"/>
                <w:lang w:val="hy-AM"/>
              </w:rPr>
              <w:t xml:space="preserve">մշակութային ժառանգության վերաբերյալ հաղորդումների, սոցիալական գովազդների գրեթե բացակայությունը խոչընդոտում է հասարակության շրջանում ժառանգության պահպանության վերաբերյալ ճանաչողության ձևավորմանը, հանրահռչակմանը և սերունդներին անխաթար փոխանցման համար պայմանների ձևավորմանը: Ապահովված չէ մշակութային ժառանգությանը նվիրված և հեռարձակվող հաղորդումների բազմազանությունը` հնարավոր հաղորդաշարերի և հաղորդումների տեսակների տեսքով: Հեռուստառադիոընկերություններում ապահովված չեն հաղորդումների լեզվի անաղարտությունը, բնագավառի հիմնական հասկացությունների ճիշտ օգտագործումը։ Հաշվի չեն առնված Հայաստանի տարբեր տարածաշրջանների, ազգային փոքրամասնությունների, հասարակության տարբեր շերտերի ու սոցիալական խմբերի շահերը: </w:t>
            </w:r>
          </w:p>
          <w:p w:rsidR="00A67B6B" w:rsidRPr="0053423A" w:rsidRDefault="00A67B6B" w:rsidP="00A67858">
            <w:pPr>
              <w:tabs>
                <w:tab w:val="left" w:pos="508"/>
              </w:tabs>
              <w:spacing w:after="0" w:line="276" w:lineRule="auto"/>
              <w:ind w:firstLine="69"/>
              <w:jc w:val="both"/>
              <w:rPr>
                <w:rFonts w:eastAsia="Calibri" w:cs="Sylfaen"/>
                <w:bCs/>
                <w:sz w:val="20"/>
                <w:szCs w:val="20"/>
                <w:lang w:val="hy-AM"/>
              </w:rPr>
            </w:pPr>
          </w:p>
          <w:p w:rsidR="00A67B6B" w:rsidRPr="0053423A" w:rsidRDefault="00A67B6B" w:rsidP="001F6D5D">
            <w:pPr>
              <w:numPr>
                <w:ilvl w:val="1"/>
                <w:numId w:val="202"/>
              </w:numPr>
              <w:tabs>
                <w:tab w:val="left" w:pos="508"/>
              </w:tabs>
              <w:spacing w:after="0" w:line="276" w:lineRule="auto"/>
              <w:ind w:left="0" w:firstLine="69"/>
              <w:contextualSpacing/>
              <w:rPr>
                <w:rFonts w:eastAsia="Calibri" w:cs="Sylfaen"/>
                <w:b/>
                <w:bCs/>
                <w:sz w:val="20"/>
                <w:szCs w:val="20"/>
              </w:rPr>
            </w:pPr>
            <w:r w:rsidRPr="0053423A">
              <w:rPr>
                <w:rFonts w:eastAsia="Calibri" w:cs="Times New Roman"/>
                <w:b/>
                <w:bCs/>
                <w:sz w:val="20"/>
                <w:szCs w:val="20"/>
              </w:rPr>
              <w:t>Առկա</w:t>
            </w:r>
            <w:r w:rsidRPr="0053423A">
              <w:rPr>
                <w:rFonts w:eastAsia="Calibri" w:cs="Times New Roman"/>
                <w:b/>
                <w:bCs/>
                <w:sz w:val="20"/>
                <w:szCs w:val="20"/>
                <w:lang w:val="af-ZA"/>
              </w:rPr>
              <w:t xml:space="preserve"> </w:t>
            </w:r>
            <w:r w:rsidRPr="0053423A">
              <w:rPr>
                <w:rFonts w:eastAsia="Calibri" w:cs="Times New Roman"/>
                <w:b/>
                <w:bCs/>
                <w:sz w:val="20"/>
                <w:szCs w:val="20"/>
              </w:rPr>
              <w:t>խնդիրների</w:t>
            </w:r>
            <w:r w:rsidRPr="0053423A">
              <w:rPr>
                <w:rFonts w:eastAsia="Calibri" w:cs="Times New Roman"/>
                <w:b/>
                <w:bCs/>
                <w:sz w:val="20"/>
                <w:szCs w:val="20"/>
                <w:lang w:val="af-ZA"/>
              </w:rPr>
              <w:t xml:space="preserve"> </w:t>
            </w:r>
            <w:r w:rsidRPr="0053423A">
              <w:rPr>
                <w:rFonts w:eastAsia="Calibri" w:cs="Times New Roman"/>
                <w:b/>
                <w:bCs/>
                <w:sz w:val="20"/>
                <w:szCs w:val="20"/>
              </w:rPr>
              <w:t>առաջարկվող</w:t>
            </w:r>
            <w:r w:rsidRPr="0053423A">
              <w:rPr>
                <w:rFonts w:eastAsia="Calibri" w:cs="Times New Roman"/>
                <w:b/>
                <w:bCs/>
                <w:sz w:val="20"/>
                <w:szCs w:val="20"/>
                <w:lang w:val="af-ZA"/>
              </w:rPr>
              <w:t xml:space="preserve"> </w:t>
            </w:r>
            <w:r w:rsidRPr="0053423A">
              <w:rPr>
                <w:rFonts w:eastAsia="Calibri" w:cs="Times New Roman"/>
                <w:b/>
                <w:bCs/>
                <w:sz w:val="20"/>
                <w:szCs w:val="20"/>
              </w:rPr>
              <w:t>լուծումները</w:t>
            </w:r>
          </w:p>
          <w:p w:rsidR="00A67B6B" w:rsidRPr="0053423A" w:rsidRDefault="00A67B6B" w:rsidP="00A67858">
            <w:pPr>
              <w:tabs>
                <w:tab w:val="left" w:pos="508"/>
              </w:tabs>
              <w:spacing w:after="0" w:line="276" w:lineRule="auto"/>
              <w:ind w:firstLine="69"/>
              <w:jc w:val="both"/>
              <w:rPr>
                <w:rFonts w:eastAsia="Calibri" w:cs="Sylfaen"/>
                <w:bCs/>
                <w:sz w:val="20"/>
                <w:szCs w:val="20"/>
                <w:lang w:val="af-ZA"/>
              </w:rPr>
            </w:pPr>
            <w:r w:rsidRPr="0053423A">
              <w:rPr>
                <w:rFonts w:eastAsia="Calibri" w:cs="Sylfaen"/>
                <w:sz w:val="20"/>
                <w:szCs w:val="20"/>
                <w:lang w:val="af-ZA"/>
              </w:rPr>
              <w:t xml:space="preserve">Անհրաժեշտ է ստեղծել աշխատանքային խումբ, որն էմպիրիկ մակարդակով կզբաղվի հեռուստաեթերի բովանդակային հետազոտություններով և կանխատեսումներով: Աշխատանքային խմբում անհրաժեշտ է ներգրավել ակտիվ գիտական գործունեությամբ զբաղվող մշակութաբանների, պատմաբանների, ազգագրագետների, հնագետների, սոցիոլոգների, հոգեբանների և բնագավառի հետ կապ ունեցող այլ մասնագետների, ովքեր հեռուստաեթերի ամենօրյա գիտական ուսումնասիրություններ կանեն ու մշակութային ժառանգությանը նվիրված հեռուստահաղորդումներ ստեղծելու վերաբերյալ լուծումներ և առաջարկություններ կներկայացնեն: Կկազմակերպվեն նաև հանրային քննարկումներ, որոնց շրջանակներում կքննարկվեն աշխատանքային խմբի առաջարկությունները հեռուստահաղորդումների և սոցիալական գովազդների վերաբերյալ: </w:t>
            </w:r>
            <w:r w:rsidRPr="0053423A">
              <w:rPr>
                <w:rFonts w:eastAsia="Calibri" w:cs="Sylfaen"/>
                <w:bCs/>
                <w:sz w:val="20"/>
                <w:szCs w:val="20"/>
              </w:rPr>
              <w:t>Միջոցառման</w:t>
            </w:r>
            <w:r w:rsidRPr="0053423A">
              <w:rPr>
                <w:rFonts w:eastAsia="Calibri" w:cs="Sylfaen"/>
                <w:bCs/>
                <w:sz w:val="20"/>
                <w:szCs w:val="20"/>
                <w:lang w:val="af-ZA"/>
              </w:rPr>
              <w:t xml:space="preserve"> կ</w:t>
            </w:r>
            <w:r w:rsidRPr="0053423A">
              <w:rPr>
                <w:rFonts w:eastAsia="Calibri" w:cs="Sylfaen"/>
                <w:bCs/>
                <w:sz w:val="20"/>
                <w:szCs w:val="20"/>
                <w:lang w:val="hy-AM"/>
              </w:rPr>
              <w:t>արգավորման առարկան մշակութային ժառանգության</w:t>
            </w:r>
            <w:r w:rsidRPr="0053423A">
              <w:rPr>
                <w:rFonts w:eastAsia="Calibri" w:cs="Sylfaen"/>
                <w:bCs/>
                <w:sz w:val="20"/>
                <w:szCs w:val="20"/>
              </w:rPr>
              <w:t>ը</w:t>
            </w:r>
            <w:r w:rsidRPr="0053423A">
              <w:rPr>
                <w:rFonts w:eastAsia="Calibri" w:cs="Sylfaen"/>
                <w:bCs/>
                <w:sz w:val="20"/>
                <w:szCs w:val="20"/>
                <w:lang w:val="af-ZA"/>
              </w:rPr>
              <w:t xml:space="preserve"> </w:t>
            </w:r>
            <w:r w:rsidRPr="0053423A">
              <w:rPr>
                <w:rFonts w:eastAsia="Calibri" w:cs="Sylfaen"/>
                <w:bCs/>
                <w:sz w:val="20"/>
                <w:szCs w:val="20"/>
                <w:lang w:val="hy-AM"/>
              </w:rPr>
              <w:t xml:space="preserve">հասարակության </w:t>
            </w:r>
            <w:r w:rsidRPr="0053423A">
              <w:rPr>
                <w:rFonts w:eastAsia="Calibri" w:cs="Sylfaen"/>
                <w:bCs/>
                <w:sz w:val="20"/>
                <w:szCs w:val="20"/>
              </w:rPr>
              <w:t>հաղորդակցման</w:t>
            </w:r>
            <w:r w:rsidRPr="0053423A">
              <w:rPr>
                <w:rFonts w:eastAsia="Calibri" w:cs="Sylfaen"/>
                <w:bCs/>
                <w:sz w:val="20"/>
                <w:szCs w:val="20"/>
                <w:lang w:val="af-ZA"/>
              </w:rPr>
              <w:t xml:space="preserve"> </w:t>
            </w:r>
            <w:r w:rsidRPr="0053423A">
              <w:rPr>
                <w:rFonts w:eastAsia="Calibri" w:cs="Sylfaen"/>
                <w:bCs/>
                <w:sz w:val="20"/>
                <w:szCs w:val="20"/>
              </w:rPr>
              <w:t>մատչելիության</w:t>
            </w:r>
            <w:r w:rsidRPr="0053423A">
              <w:rPr>
                <w:rFonts w:eastAsia="Calibri" w:cs="Sylfaen"/>
                <w:bCs/>
                <w:sz w:val="20"/>
                <w:szCs w:val="20"/>
                <w:lang w:val="af-ZA"/>
              </w:rPr>
              <w:t xml:space="preserve"> </w:t>
            </w:r>
            <w:r w:rsidRPr="0053423A">
              <w:rPr>
                <w:rFonts w:eastAsia="Calibri" w:cs="Sylfaen"/>
                <w:sz w:val="20"/>
                <w:szCs w:val="20"/>
                <w:lang w:val="af-ZA"/>
              </w:rPr>
              <w:t>ապահովումն</w:t>
            </w:r>
            <w:r w:rsidRPr="0053423A">
              <w:rPr>
                <w:rFonts w:eastAsia="Calibri" w:cs="Sylfaen"/>
                <w:bCs/>
                <w:sz w:val="20"/>
                <w:szCs w:val="20"/>
                <w:lang w:val="af-ZA"/>
              </w:rPr>
              <w:t xml:space="preserve"> </w:t>
            </w:r>
            <w:r w:rsidRPr="0053423A">
              <w:rPr>
                <w:rFonts w:eastAsia="Calibri" w:cs="Sylfaen"/>
                <w:bCs/>
                <w:sz w:val="20"/>
                <w:szCs w:val="20"/>
              </w:rPr>
              <w:t>է</w:t>
            </w:r>
            <w:r w:rsidRPr="0053423A">
              <w:rPr>
                <w:rFonts w:eastAsia="Calibri" w:cs="Sylfaen"/>
                <w:bCs/>
                <w:sz w:val="20"/>
                <w:szCs w:val="20"/>
                <w:lang w:val="af-ZA"/>
              </w:rPr>
              <w:t xml:space="preserve"> հ</w:t>
            </w:r>
            <w:r w:rsidRPr="0053423A">
              <w:rPr>
                <w:rFonts w:eastAsia="Calibri" w:cs="Sylfaen"/>
                <w:sz w:val="20"/>
                <w:szCs w:val="20"/>
                <w:lang w:val="hy-AM"/>
              </w:rPr>
              <w:t>եռուստաեթերի</w:t>
            </w:r>
            <w:r w:rsidRPr="0053423A">
              <w:rPr>
                <w:rFonts w:eastAsia="Calibri" w:cs="Times New Roman"/>
                <w:sz w:val="20"/>
                <w:szCs w:val="20"/>
                <w:lang w:val="af-ZA"/>
              </w:rPr>
              <w:t xml:space="preserve">, </w:t>
            </w:r>
            <w:r w:rsidRPr="0053423A">
              <w:rPr>
                <w:rFonts w:eastAsia="Calibri" w:cs="Times New Roman"/>
                <w:sz w:val="20"/>
                <w:szCs w:val="20"/>
                <w:lang w:val="hy-AM"/>
              </w:rPr>
              <w:t>ռադիոյի, մամուլի և սոցիալական մեդիայի ռեսուրսներում</w:t>
            </w:r>
            <w:r w:rsidRPr="0053423A">
              <w:rPr>
                <w:rFonts w:eastAsia="Calibri" w:cs="Sylfaen"/>
                <w:bCs/>
                <w:sz w:val="20"/>
                <w:szCs w:val="20"/>
                <w:lang w:val="af-ZA"/>
              </w:rPr>
              <w:t>:</w:t>
            </w:r>
          </w:p>
          <w:p w:rsidR="00A67B6B" w:rsidRPr="0053423A" w:rsidRDefault="00A67B6B" w:rsidP="00A67858">
            <w:pPr>
              <w:tabs>
                <w:tab w:val="left" w:pos="508"/>
              </w:tabs>
              <w:spacing w:after="0" w:line="276" w:lineRule="auto"/>
              <w:ind w:firstLine="69"/>
              <w:jc w:val="both"/>
              <w:rPr>
                <w:rFonts w:eastAsia="Calibri" w:cs="Sylfaen"/>
                <w:bCs/>
                <w:sz w:val="20"/>
                <w:szCs w:val="20"/>
                <w:lang w:val="af-ZA"/>
              </w:rPr>
            </w:pPr>
          </w:p>
          <w:p w:rsidR="00A67B6B" w:rsidRPr="0053423A" w:rsidRDefault="00A67B6B" w:rsidP="001F6D5D">
            <w:pPr>
              <w:numPr>
                <w:ilvl w:val="0"/>
                <w:numId w:val="206"/>
              </w:numPr>
              <w:tabs>
                <w:tab w:val="left" w:pos="508"/>
              </w:tabs>
              <w:spacing w:after="0" w:line="276" w:lineRule="auto"/>
              <w:ind w:left="0" w:firstLine="69"/>
              <w:jc w:val="both"/>
              <w:rPr>
                <w:rFonts w:eastAsia="Calibri" w:cs="Times New Roman"/>
                <w:b/>
                <w:bCs/>
                <w:sz w:val="20"/>
                <w:szCs w:val="20"/>
                <w:lang w:val="af-ZA"/>
              </w:rPr>
            </w:pPr>
            <w:r w:rsidRPr="0053423A">
              <w:rPr>
                <w:rFonts w:eastAsia="Calibri" w:cs="Times New Roman"/>
                <w:b/>
                <w:sz w:val="20"/>
                <w:szCs w:val="20"/>
              </w:rPr>
              <w:t>Միջոցառման իրականացումից ակնկալվող արդյունքը</w:t>
            </w:r>
          </w:p>
          <w:p w:rsidR="00A67B6B" w:rsidRPr="0053423A" w:rsidRDefault="00A67B6B" w:rsidP="00A67858">
            <w:pPr>
              <w:tabs>
                <w:tab w:val="left" w:pos="508"/>
              </w:tabs>
              <w:spacing w:after="0" w:line="276" w:lineRule="auto"/>
              <w:ind w:firstLine="69"/>
              <w:jc w:val="both"/>
              <w:rPr>
                <w:rFonts w:eastAsia="Times New Roman" w:cs="Times New Roman"/>
                <w:sz w:val="20"/>
                <w:szCs w:val="20"/>
                <w:lang w:val="af-ZA"/>
              </w:rPr>
            </w:pPr>
            <w:r w:rsidRPr="0053423A">
              <w:rPr>
                <w:rFonts w:eastAsia="Calibri" w:cs="Sylfaen"/>
                <w:bCs/>
                <w:sz w:val="20"/>
                <w:szCs w:val="20"/>
              </w:rPr>
              <w:t>Ա</w:t>
            </w:r>
            <w:r w:rsidRPr="0053423A">
              <w:rPr>
                <w:rFonts w:eastAsia="Calibri" w:cs="Sylfaen"/>
                <w:bCs/>
                <w:sz w:val="20"/>
                <w:szCs w:val="20"/>
                <w:lang w:val="hy-AM"/>
              </w:rPr>
              <w:t xml:space="preserve">րդյունքում ակնկալվում է ժամանակակից տեղեկատվական տեխնոլոգիաների և  սոցիալական մեդիայի ռեսուրսների ներգրավմամբ՝ մշակութային արտադրանքի հասանելիության ապահովում, դրան հաղորդակցվող հանրության </w:t>
            </w:r>
            <w:r w:rsidRPr="0053423A">
              <w:rPr>
                <w:rFonts w:eastAsia="Calibri" w:cs="Sylfaen"/>
                <w:sz w:val="20"/>
                <w:szCs w:val="20"/>
                <w:lang w:val="af-ZA"/>
              </w:rPr>
              <w:t>շրջանակների</w:t>
            </w:r>
            <w:r w:rsidRPr="0053423A">
              <w:rPr>
                <w:rFonts w:eastAsia="Calibri" w:cs="Sylfaen"/>
                <w:bCs/>
                <w:sz w:val="20"/>
                <w:szCs w:val="20"/>
                <w:lang w:val="hy-AM"/>
              </w:rPr>
              <w:t xml:space="preserve"> ընդլայնում, հայ արվեստի և մշակույթի հանրահռչակում, հասարակության ճաշակի բարձրացում, հեռուստաեթերը մշակութային ժառանգության վերաբերյալ գիտահանրամատչելի, ճանաչողական հաղորդումներով համալրում, երիտասարդներին ազգային մշակութային ժառանգության փոխանցման և սերունդների միջև շղթայական կապի ապահովում, սեփական մշակույթի նկատմամամբ պատշաճ վերաբերմունքի ու արժևորման ամրապնդում:</w:t>
            </w:r>
          </w:p>
          <w:p w:rsidR="00A67B6B" w:rsidRPr="0053423A" w:rsidRDefault="00A67B6B" w:rsidP="00A67858">
            <w:pPr>
              <w:tabs>
                <w:tab w:val="left" w:pos="508"/>
              </w:tabs>
              <w:spacing w:after="0" w:line="276" w:lineRule="auto"/>
              <w:ind w:firstLine="69"/>
              <w:jc w:val="center"/>
              <w:rPr>
                <w:rFonts w:eastAsia="Times New Roman" w:cs="Times New Roman"/>
                <w:sz w:val="20"/>
                <w:szCs w:val="20"/>
                <w:lang w:val="af-ZA"/>
              </w:rPr>
            </w:pPr>
          </w:p>
          <w:p w:rsidR="00A67B6B" w:rsidRPr="0053423A" w:rsidRDefault="00A67B6B" w:rsidP="00A67858">
            <w:pPr>
              <w:tabs>
                <w:tab w:val="left" w:pos="508"/>
              </w:tabs>
              <w:spacing w:after="0" w:line="276" w:lineRule="auto"/>
              <w:ind w:firstLine="69"/>
              <w:jc w:val="center"/>
              <w:rPr>
                <w:rFonts w:eastAsia="Times New Roman" w:cs="Times New Roman"/>
                <w:b/>
                <w:sz w:val="20"/>
                <w:szCs w:val="20"/>
                <w:lang w:val="af-ZA"/>
              </w:rPr>
            </w:pPr>
            <w:r w:rsidRPr="0053423A">
              <w:rPr>
                <w:rFonts w:eastAsia="Times New Roman" w:cs="Times New Roman"/>
                <w:b/>
                <w:sz w:val="20"/>
                <w:szCs w:val="20"/>
                <w:lang w:val="af-ZA"/>
              </w:rPr>
              <w:t xml:space="preserve">10.2 </w:t>
            </w:r>
            <w:r w:rsidRPr="0053423A">
              <w:rPr>
                <w:rFonts w:eastAsia="Times New Roman" w:cs="Times New Roman"/>
                <w:b/>
                <w:sz w:val="20"/>
                <w:szCs w:val="20"/>
                <w:lang w:val="ru-RU"/>
              </w:rPr>
              <w:t>Նախադպրոցական</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և</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դպրոցական</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ցածր</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տարիքի</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լսարանի</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համար</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հատուկ</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ծրագրերի</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ուսումնական</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ճանաչողական</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հաղորդումներ</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ֆիլմեր</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մուլտֆիլմեր</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միջոցով</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գրական</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հայերենի</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իմացության</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ամրապնդում</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Հայաստանում</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և</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սփյուռքում</w:t>
            </w:r>
          </w:p>
          <w:p w:rsidR="00A67B6B" w:rsidRPr="0053423A" w:rsidRDefault="00A67B6B" w:rsidP="00A67858">
            <w:pPr>
              <w:tabs>
                <w:tab w:val="left" w:pos="508"/>
              </w:tabs>
              <w:spacing w:after="0" w:line="276" w:lineRule="auto"/>
              <w:ind w:firstLine="69"/>
              <w:jc w:val="center"/>
              <w:rPr>
                <w:rFonts w:eastAsia="Times New Roman" w:cs="Times New Roman"/>
                <w:sz w:val="20"/>
                <w:szCs w:val="20"/>
                <w:lang w:val="af-ZA"/>
              </w:rPr>
            </w:pPr>
          </w:p>
          <w:p w:rsidR="00A67B6B" w:rsidRPr="0053423A" w:rsidRDefault="00A67B6B" w:rsidP="001F6D5D">
            <w:pPr>
              <w:numPr>
                <w:ilvl w:val="0"/>
                <w:numId w:val="225"/>
              </w:numPr>
              <w:tabs>
                <w:tab w:val="left" w:pos="508"/>
              </w:tabs>
              <w:spacing w:after="0" w:line="276" w:lineRule="auto"/>
              <w:ind w:firstLine="69"/>
              <w:jc w:val="both"/>
              <w:rPr>
                <w:rFonts w:eastAsia="Calibri" w:cs="Sylfaen"/>
                <w:bCs/>
                <w:sz w:val="20"/>
                <w:szCs w:val="20"/>
                <w:lang w:val="fr-FR"/>
              </w:rPr>
            </w:pPr>
            <w:r w:rsidRPr="0053423A">
              <w:rPr>
                <w:rFonts w:eastAsia="Calibri" w:cs="Sylfaen"/>
                <w:b/>
                <w:sz w:val="20"/>
                <w:szCs w:val="20"/>
              </w:rPr>
              <w:t>Միջոցառման</w:t>
            </w:r>
            <w:r w:rsidRPr="0053423A">
              <w:rPr>
                <w:rFonts w:eastAsia="Calibri" w:cs="Times New Roman"/>
                <w:b/>
                <w:sz w:val="20"/>
                <w:szCs w:val="20"/>
                <w:lang w:val="af-ZA"/>
              </w:rPr>
              <w:t xml:space="preserve"> </w:t>
            </w:r>
            <w:r w:rsidRPr="0053423A">
              <w:rPr>
                <w:rFonts w:eastAsia="Calibri" w:cs="Times New Roman"/>
                <w:b/>
                <w:sz w:val="20"/>
                <w:szCs w:val="20"/>
              </w:rPr>
              <w:t>իրականացման</w:t>
            </w:r>
            <w:r w:rsidRPr="0053423A">
              <w:rPr>
                <w:rFonts w:eastAsia="Calibri" w:cs="Times New Roman"/>
                <w:b/>
                <w:sz w:val="20"/>
                <w:szCs w:val="20"/>
                <w:lang w:val="af-ZA"/>
              </w:rPr>
              <w:t xml:space="preserve"> </w:t>
            </w:r>
            <w:r w:rsidRPr="0053423A">
              <w:rPr>
                <w:rFonts w:eastAsia="Calibri" w:cs="Times New Roman"/>
                <w:b/>
                <w:sz w:val="20"/>
                <w:szCs w:val="20"/>
              </w:rPr>
              <w:t>անհրաժեշտությունը</w:t>
            </w:r>
            <w:r w:rsidRPr="0053423A">
              <w:rPr>
                <w:rFonts w:eastAsia="Calibri" w:cs="Times New Roman"/>
                <w:b/>
                <w:sz w:val="20"/>
                <w:szCs w:val="20"/>
                <w:lang w:val="af-ZA"/>
              </w:rPr>
              <w:t xml:space="preserve"> </w:t>
            </w:r>
            <w:r w:rsidRPr="0053423A">
              <w:rPr>
                <w:rFonts w:eastAsia="Calibri" w:cs="Times New Roman"/>
                <w:b/>
                <w:sz w:val="20"/>
                <w:szCs w:val="20"/>
              </w:rPr>
              <w:t>և</w:t>
            </w:r>
            <w:r w:rsidRPr="0053423A">
              <w:rPr>
                <w:rFonts w:eastAsia="Calibri" w:cs="Times New Roman"/>
                <w:b/>
                <w:sz w:val="20"/>
                <w:szCs w:val="20"/>
                <w:lang w:val="af-ZA"/>
              </w:rPr>
              <w:t xml:space="preserve"> </w:t>
            </w:r>
            <w:r w:rsidRPr="0053423A">
              <w:rPr>
                <w:rFonts w:eastAsia="Calibri" w:cs="Times New Roman"/>
                <w:b/>
                <w:sz w:val="20"/>
                <w:szCs w:val="20"/>
              </w:rPr>
              <w:t>նպատակը</w:t>
            </w:r>
            <w:r w:rsidRPr="0053423A">
              <w:rPr>
                <w:rFonts w:eastAsia="Calibri" w:cs="Sylfaen"/>
                <w:bCs/>
                <w:sz w:val="20"/>
                <w:szCs w:val="20"/>
                <w:lang w:val="hy-AM"/>
              </w:rPr>
              <w:t xml:space="preserve"> </w:t>
            </w:r>
          </w:p>
          <w:p w:rsidR="00A67B6B" w:rsidRPr="0053423A" w:rsidRDefault="00A67B6B" w:rsidP="00A67858">
            <w:pPr>
              <w:tabs>
                <w:tab w:val="left" w:pos="508"/>
              </w:tabs>
              <w:spacing w:after="0" w:line="276" w:lineRule="auto"/>
              <w:ind w:firstLine="69"/>
              <w:contextualSpacing/>
              <w:jc w:val="both"/>
              <w:rPr>
                <w:rFonts w:eastAsia="Calibri" w:cs="Times New Roman"/>
                <w:sz w:val="20"/>
                <w:szCs w:val="20"/>
                <w:lang w:val="hy-AM"/>
              </w:rPr>
            </w:pPr>
            <w:r w:rsidRPr="0053423A">
              <w:rPr>
                <w:rFonts w:eastAsia="Calibri" w:cs="Sylfaen"/>
                <w:bCs/>
                <w:sz w:val="20"/>
                <w:szCs w:val="20"/>
                <w:lang w:val="hy-AM"/>
              </w:rPr>
              <w:t>Իրականացվող միջոցառումները նպատակաուղղված են լինելու մշակութային, կրթական, դաստիարակչական, բարոյախրատական ուղղվածություն ունեցող գիտա</w:t>
            </w:r>
            <w:r w:rsidRPr="0053423A">
              <w:rPr>
                <w:rFonts w:eastAsia="Calibri" w:cs="Sylfaen"/>
                <w:bCs/>
                <w:sz w:val="20"/>
                <w:szCs w:val="20"/>
                <w:lang w:val="hy-AM"/>
              </w:rPr>
              <w:softHyphen/>
            </w:r>
            <w:r w:rsidRPr="0053423A">
              <w:rPr>
                <w:rFonts w:eastAsia="Calibri" w:cs="Sylfaen"/>
                <w:bCs/>
                <w:sz w:val="20"/>
                <w:szCs w:val="20"/>
                <w:lang w:val="hy-AM"/>
              </w:rPr>
              <w:softHyphen/>
              <w:t>հանրամատչելի և ճանաչողական հեռուստահաղորդումների ստեղծմանը, ժամանակակից տեղեկատվական տեխնոլոգիաների և սոցիալական մեդիայի ռեսուրսների ներգրավմանը հեռուստահաղորդումների պատրաստման և հեռարձակման գործընթացում:</w:t>
            </w:r>
            <w:r w:rsidRPr="0053423A">
              <w:rPr>
                <w:rFonts w:eastAsia="Calibri" w:cs="Sylfaen"/>
                <w:bCs/>
                <w:sz w:val="20"/>
                <w:szCs w:val="20"/>
                <w:lang w:val="af-ZA"/>
              </w:rPr>
              <w:t xml:space="preserve"> </w:t>
            </w:r>
            <w:r w:rsidRPr="0053423A">
              <w:rPr>
                <w:rFonts w:eastAsia="Calibri" w:cs="Sylfaen"/>
                <w:bCs/>
                <w:sz w:val="20"/>
                <w:szCs w:val="20"/>
                <w:lang w:val="hy-AM"/>
              </w:rPr>
              <w:t>Միջոցառման նպատակն է ապահովել մշակութային ժառանգության վերաբերյալ առկա տեղեկատվության մատչելիությունը, մշակույթի վերաբերյալ հաղորդաշա</w:t>
            </w:r>
            <w:r w:rsidRPr="0053423A">
              <w:rPr>
                <w:rFonts w:eastAsia="Calibri" w:cs="Sylfaen"/>
                <w:bCs/>
                <w:sz w:val="20"/>
                <w:szCs w:val="20"/>
                <w:lang w:val="hy-AM"/>
              </w:rPr>
              <w:softHyphen/>
              <w:t xml:space="preserve">րերի, հաղորդումների նկարահանման, սոցիալական գովազդային հոլովակաների, մրցույթ-վիկտորինաների, քննարկումների կազմակերպման միջոցով խթանել մշակութային ժառանգության պահպանության, ուսումնասիրման, հրատարակման և հանրահռչակման բնագավառի զարգացումը, ստեղծել նպաստավոր պայմաններ երիտասարդության մեջ մշակութային ժառանգության վերաբերյալ գիտելիքների ամրագրման, ճանաչողության մեծացման համար: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ind w:firstLine="69"/>
              <w:jc w:val="both"/>
              <w:rPr>
                <w:rFonts w:eastAsia="Calibri" w:cs="Sylfaen"/>
                <w:bCs/>
                <w:sz w:val="20"/>
                <w:szCs w:val="20"/>
                <w:lang w:val="hy-AM"/>
              </w:rPr>
            </w:pPr>
          </w:p>
          <w:p w:rsidR="00A67B6B" w:rsidRPr="0053423A" w:rsidRDefault="00A67B6B" w:rsidP="001F6D5D">
            <w:pPr>
              <w:numPr>
                <w:ilvl w:val="1"/>
                <w:numId w:val="225"/>
              </w:numPr>
              <w:tabs>
                <w:tab w:val="left" w:pos="508"/>
              </w:tabs>
              <w:spacing w:after="0" w:line="276" w:lineRule="auto"/>
              <w:ind w:firstLine="69"/>
              <w:contextualSpacing/>
              <w:rPr>
                <w:rFonts w:eastAsia="Calibri" w:cs="Sylfaen"/>
                <w:b/>
                <w:sz w:val="20"/>
                <w:szCs w:val="20"/>
                <w:lang w:val="af-ZA"/>
              </w:rPr>
            </w:pPr>
            <w:r w:rsidRPr="0053423A">
              <w:rPr>
                <w:rFonts w:eastAsia="Calibri" w:cs="Sylfaen"/>
                <w:b/>
                <w:sz w:val="20"/>
                <w:szCs w:val="20"/>
                <w:lang w:val="hy-AM"/>
              </w:rPr>
              <w:t>Կարգավորման</w:t>
            </w:r>
            <w:r w:rsidRPr="0053423A">
              <w:rPr>
                <w:rFonts w:eastAsia="Calibri" w:cs="Times New Roman"/>
                <w:b/>
                <w:sz w:val="20"/>
                <w:szCs w:val="20"/>
                <w:lang w:val="af-ZA"/>
              </w:rPr>
              <w:t xml:space="preserve"> </w:t>
            </w:r>
            <w:r w:rsidRPr="0053423A">
              <w:rPr>
                <w:rFonts w:eastAsia="Calibri" w:cs="Times New Roman"/>
                <w:b/>
                <w:sz w:val="20"/>
                <w:szCs w:val="20"/>
                <w:lang w:val="hy-AM"/>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lang w:val="hy-AM"/>
              </w:rPr>
              <w:t>ներկա</w:t>
            </w:r>
            <w:r w:rsidRPr="0053423A">
              <w:rPr>
                <w:rFonts w:eastAsia="Calibri" w:cs="Times New Roman"/>
                <w:b/>
                <w:sz w:val="20"/>
                <w:szCs w:val="20"/>
                <w:lang w:val="af-ZA"/>
              </w:rPr>
              <w:t xml:space="preserve"> </w:t>
            </w:r>
            <w:r w:rsidRPr="0053423A">
              <w:rPr>
                <w:rFonts w:eastAsia="Calibri" w:cs="Times New Roman"/>
                <w:b/>
                <w:sz w:val="20"/>
                <w:szCs w:val="20"/>
                <w:lang w:val="hy-AM"/>
              </w:rPr>
              <w:t>վիճակը</w:t>
            </w:r>
            <w:r w:rsidRPr="0053423A">
              <w:rPr>
                <w:rFonts w:eastAsia="Calibri" w:cs="Times New Roman"/>
                <w:b/>
                <w:sz w:val="20"/>
                <w:szCs w:val="20"/>
                <w:lang w:val="af-ZA"/>
              </w:rPr>
              <w:t xml:space="preserve"> </w:t>
            </w:r>
            <w:r w:rsidRPr="0053423A">
              <w:rPr>
                <w:rFonts w:eastAsia="Calibri" w:cs="Times New Roman"/>
                <w:b/>
                <w:sz w:val="20"/>
                <w:szCs w:val="20"/>
                <w:lang w:val="hy-AM"/>
              </w:rPr>
              <w:t>և</w:t>
            </w:r>
            <w:r w:rsidRPr="0053423A">
              <w:rPr>
                <w:rFonts w:eastAsia="Calibri" w:cs="Times New Roman"/>
                <w:b/>
                <w:sz w:val="20"/>
                <w:szCs w:val="20"/>
                <w:lang w:val="af-ZA"/>
              </w:rPr>
              <w:t xml:space="preserve"> </w:t>
            </w:r>
            <w:r w:rsidRPr="0053423A">
              <w:rPr>
                <w:rFonts w:eastAsia="Calibri" w:cs="Times New Roman"/>
                <w:b/>
                <w:sz w:val="20"/>
                <w:szCs w:val="20"/>
                <w:lang w:val="hy-AM"/>
              </w:rPr>
              <w:t>առկա</w:t>
            </w:r>
            <w:r w:rsidRPr="0053423A">
              <w:rPr>
                <w:rFonts w:eastAsia="Calibri" w:cs="Times New Roman"/>
                <w:b/>
                <w:sz w:val="20"/>
                <w:szCs w:val="20"/>
                <w:lang w:val="af-ZA"/>
              </w:rPr>
              <w:t xml:space="preserve"> </w:t>
            </w:r>
            <w:r w:rsidRPr="0053423A">
              <w:rPr>
                <w:rFonts w:eastAsia="Calibri" w:cs="Times New Roman"/>
                <w:b/>
                <w:sz w:val="20"/>
                <w:szCs w:val="20"/>
                <w:lang w:val="hy-AM"/>
              </w:rPr>
              <w:t>խնդիրները</w:t>
            </w:r>
          </w:p>
          <w:p w:rsidR="00A67B6B" w:rsidRPr="0053423A" w:rsidRDefault="00A67B6B" w:rsidP="00A67858">
            <w:pPr>
              <w:tabs>
                <w:tab w:val="left" w:pos="508"/>
              </w:tabs>
              <w:spacing w:after="0" w:line="276" w:lineRule="auto"/>
              <w:ind w:firstLine="69"/>
              <w:jc w:val="both"/>
              <w:rPr>
                <w:rFonts w:eastAsia="Calibri" w:cs="Sylfaen"/>
                <w:bCs/>
                <w:sz w:val="20"/>
                <w:szCs w:val="20"/>
                <w:lang w:val="hy-AM"/>
              </w:rPr>
            </w:pPr>
            <w:r w:rsidRPr="0053423A">
              <w:rPr>
                <w:rFonts w:eastAsia="Calibri" w:cs="Sylfaen"/>
                <w:bCs/>
                <w:sz w:val="20"/>
                <w:szCs w:val="20"/>
                <w:lang w:val="hy-AM"/>
              </w:rPr>
              <w:t>Վերջին տարիներին հայկական գրեթե բոլոր հեռուստաընկերությունները, հետևելով բացառապես իրենց նեղ կոմերցիոն շահերից, եթերը լցրել են ագրեսիվ, հակասոցիալական հաղորդումներով և «հումորային» ծրագրերով, որոնք բացասաբար են անդրադառնում հասարակության առողջության, մտավոր ու ֆիզիկական զարգացման և դաստիարակության վրա, իսկ</w:t>
            </w:r>
            <w:r w:rsidRPr="0053423A">
              <w:rPr>
                <w:rFonts w:ascii="Calibri" w:eastAsia="Calibri" w:hAnsi="Calibri" w:cs="Calibri"/>
                <w:bCs/>
                <w:sz w:val="20"/>
                <w:szCs w:val="20"/>
                <w:lang w:val="hy-AM"/>
              </w:rPr>
              <w:t> </w:t>
            </w:r>
            <w:r w:rsidRPr="0053423A">
              <w:rPr>
                <w:rFonts w:eastAsia="Calibri" w:cs="Sylfaen"/>
                <w:bCs/>
                <w:sz w:val="20"/>
                <w:szCs w:val="20"/>
                <w:lang w:val="hy-AM"/>
              </w:rPr>
              <w:t xml:space="preserve">մշակութային ժառանգության վերաբերյալ հաղորդումների, սոցիալական գովազդների գրեթե բացակայությունը խոչընդոտում է հասարակության շրջանում ժառանգության պահպանության վերաբերյալ ճանաչողության ձևավորմանը, հանրահռչակմանը և սերունդներին անխաթար փոխանցման համար պայմանների ձևավորմանը: Ապահովված չէ մշակութային ժառանգությանը նվիրված և հեռարձակվող հաղորդումների բազմազանությունը` հնարավոր հաղորդաշարերի և հաղորդումների տեսակների տեսքով: Հեռուստառադիոընկերություններում ապահովված չեն հաղորդումների լեզվի անաղարտությունը, բնագավառի հիմնական հասկացությունների ճիշտ օգտագործումը։ Հաշվի չեն առնված Հայաստանի տարբեր տարածաշրջանների, ազգային փոքրամասնությունների, հասարակության տարբեր շերտերի ու սոցիալական խմբերի շահերը: </w:t>
            </w:r>
          </w:p>
          <w:p w:rsidR="00A67B6B" w:rsidRPr="0053423A" w:rsidRDefault="00A67B6B" w:rsidP="00A67858">
            <w:pPr>
              <w:tabs>
                <w:tab w:val="left" w:pos="508"/>
              </w:tabs>
              <w:spacing w:after="0" w:line="276" w:lineRule="auto"/>
              <w:ind w:firstLine="69"/>
              <w:jc w:val="both"/>
              <w:rPr>
                <w:rFonts w:eastAsia="Calibri" w:cs="Sylfaen"/>
                <w:bCs/>
                <w:sz w:val="20"/>
                <w:szCs w:val="20"/>
                <w:lang w:val="hy-AM"/>
              </w:rPr>
            </w:pPr>
          </w:p>
          <w:p w:rsidR="00A67B6B" w:rsidRPr="0053423A" w:rsidRDefault="00A67B6B" w:rsidP="001F6D5D">
            <w:pPr>
              <w:numPr>
                <w:ilvl w:val="1"/>
                <w:numId w:val="225"/>
              </w:numPr>
              <w:tabs>
                <w:tab w:val="left" w:pos="508"/>
              </w:tabs>
              <w:spacing w:after="0" w:line="276" w:lineRule="auto"/>
              <w:ind w:firstLine="69"/>
              <w:contextualSpacing/>
              <w:rPr>
                <w:rFonts w:eastAsia="Calibri" w:cs="Sylfaen"/>
                <w:b/>
                <w:bCs/>
                <w:sz w:val="20"/>
                <w:szCs w:val="20"/>
              </w:rPr>
            </w:pPr>
            <w:r w:rsidRPr="0053423A">
              <w:rPr>
                <w:rFonts w:eastAsia="Calibri" w:cs="Times New Roman"/>
                <w:b/>
                <w:bCs/>
                <w:sz w:val="20"/>
                <w:szCs w:val="20"/>
              </w:rPr>
              <w:t>Առկա</w:t>
            </w:r>
            <w:r w:rsidRPr="0053423A">
              <w:rPr>
                <w:rFonts w:eastAsia="Calibri" w:cs="Times New Roman"/>
                <w:b/>
                <w:bCs/>
                <w:sz w:val="20"/>
                <w:szCs w:val="20"/>
                <w:lang w:val="af-ZA"/>
              </w:rPr>
              <w:t xml:space="preserve"> </w:t>
            </w:r>
            <w:r w:rsidRPr="0053423A">
              <w:rPr>
                <w:rFonts w:eastAsia="Calibri" w:cs="Times New Roman"/>
                <w:b/>
                <w:bCs/>
                <w:sz w:val="20"/>
                <w:szCs w:val="20"/>
              </w:rPr>
              <w:t>խնդիրների</w:t>
            </w:r>
            <w:r w:rsidRPr="0053423A">
              <w:rPr>
                <w:rFonts w:eastAsia="Calibri" w:cs="Times New Roman"/>
                <w:b/>
                <w:bCs/>
                <w:sz w:val="20"/>
                <w:szCs w:val="20"/>
                <w:lang w:val="af-ZA"/>
              </w:rPr>
              <w:t xml:space="preserve"> </w:t>
            </w:r>
            <w:r w:rsidRPr="0053423A">
              <w:rPr>
                <w:rFonts w:eastAsia="Calibri" w:cs="Times New Roman"/>
                <w:b/>
                <w:bCs/>
                <w:sz w:val="20"/>
                <w:szCs w:val="20"/>
              </w:rPr>
              <w:t>առաջարկվող</w:t>
            </w:r>
            <w:r w:rsidRPr="0053423A">
              <w:rPr>
                <w:rFonts w:eastAsia="Calibri" w:cs="Times New Roman"/>
                <w:b/>
                <w:bCs/>
                <w:sz w:val="20"/>
                <w:szCs w:val="20"/>
                <w:lang w:val="af-ZA"/>
              </w:rPr>
              <w:t xml:space="preserve"> </w:t>
            </w:r>
            <w:r w:rsidRPr="0053423A">
              <w:rPr>
                <w:rFonts w:eastAsia="Calibri" w:cs="Times New Roman"/>
                <w:b/>
                <w:bCs/>
                <w:sz w:val="20"/>
                <w:szCs w:val="20"/>
              </w:rPr>
              <w:t>լուծումները</w:t>
            </w:r>
          </w:p>
          <w:p w:rsidR="00A67B6B" w:rsidRPr="0053423A" w:rsidRDefault="00A67B6B" w:rsidP="00A67858">
            <w:pPr>
              <w:tabs>
                <w:tab w:val="left" w:pos="508"/>
              </w:tabs>
              <w:spacing w:after="0" w:line="276" w:lineRule="auto"/>
              <w:ind w:firstLine="69"/>
              <w:jc w:val="both"/>
              <w:rPr>
                <w:rFonts w:eastAsia="Calibri" w:cs="Sylfaen"/>
                <w:bCs/>
                <w:sz w:val="20"/>
                <w:szCs w:val="20"/>
                <w:lang w:val="af-ZA"/>
              </w:rPr>
            </w:pPr>
            <w:r w:rsidRPr="0053423A">
              <w:rPr>
                <w:rFonts w:eastAsia="Calibri" w:cs="Sylfaen"/>
                <w:sz w:val="20"/>
                <w:szCs w:val="20"/>
                <w:lang w:val="af-ZA"/>
              </w:rPr>
              <w:t xml:space="preserve">Անհրաժեշտ է ստեղծել աշխատանքային խումբ, որն էմպիրիկ մակարդակով կզբաղվի հեռուստաեթերի բովանդակային հետազոտություններով և կանխատեսումներով: Աշխատանքային խմբում անհրաժեշտ է ներգրավել ակտիվ գիտական գործունեությամբ զբաղվող մշակութաբանների, պատմաբանների, ազգագրագետների, հնագետների, սոցիոլոգների, հոգեբանների և բնագավառի հետ կապ ունեցող այլ մասնագետների, ովքեր հեռուստաեթերի ամենօրյա գիտական ուսումնասիրություններ կանեն ու մշակութային ժառանգությանը նվիրված հեռուստահաղորդումներ ստեղծելու վերաբերյալ լուծումներ և առաջարկություններ կներկայացնեն: Կկազմակերպվեն նաև հանրային քննարկումներ, որոնց շրջանակներում կքննարկվեն աշխատանքային խմբի առաջարկությունները հեռուստահաղորդումների և սոցիալական գովազդների վերաբերյալ: </w:t>
            </w:r>
            <w:r w:rsidRPr="0053423A">
              <w:rPr>
                <w:rFonts w:eastAsia="Calibri" w:cs="Sylfaen"/>
                <w:bCs/>
                <w:sz w:val="20"/>
                <w:szCs w:val="20"/>
              </w:rPr>
              <w:t>Միջոցառման</w:t>
            </w:r>
            <w:r w:rsidRPr="0053423A">
              <w:rPr>
                <w:rFonts w:eastAsia="Calibri" w:cs="Sylfaen"/>
                <w:bCs/>
                <w:sz w:val="20"/>
                <w:szCs w:val="20"/>
                <w:lang w:val="af-ZA"/>
              </w:rPr>
              <w:t xml:space="preserve"> կ</w:t>
            </w:r>
            <w:r w:rsidRPr="0053423A">
              <w:rPr>
                <w:rFonts w:eastAsia="Calibri" w:cs="Sylfaen"/>
                <w:bCs/>
                <w:sz w:val="20"/>
                <w:szCs w:val="20"/>
                <w:lang w:val="hy-AM"/>
              </w:rPr>
              <w:t>արգավորման առարկան մշակութային ժառանգության</w:t>
            </w:r>
            <w:r w:rsidRPr="0053423A">
              <w:rPr>
                <w:rFonts w:eastAsia="Calibri" w:cs="Sylfaen"/>
                <w:bCs/>
                <w:sz w:val="20"/>
                <w:szCs w:val="20"/>
              </w:rPr>
              <w:t>ը</w:t>
            </w:r>
            <w:r w:rsidRPr="0053423A">
              <w:rPr>
                <w:rFonts w:eastAsia="Calibri" w:cs="Sylfaen"/>
                <w:bCs/>
                <w:sz w:val="20"/>
                <w:szCs w:val="20"/>
                <w:lang w:val="af-ZA"/>
              </w:rPr>
              <w:t xml:space="preserve"> </w:t>
            </w:r>
            <w:r w:rsidRPr="0053423A">
              <w:rPr>
                <w:rFonts w:eastAsia="Calibri" w:cs="Sylfaen"/>
                <w:bCs/>
                <w:sz w:val="20"/>
                <w:szCs w:val="20"/>
                <w:lang w:val="hy-AM"/>
              </w:rPr>
              <w:t xml:space="preserve">հասարակության </w:t>
            </w:r>
            <w:r w:rsidRPr="0053423A">
              <w:rPr>
                <w:rFonts w:eastAsia="Calibri" w:cs="Sylfaen"/>
                <w:bCs/>
                <w:sz w:val="20"/>
                <w:szCs w:val="20"/>
              </w:rPr>
              <w:t>հաղորդակցման</w:t>
            </w:r>
            <w:r w:rsidRPr="0053423A">
              <w:rPr>
                <w:rFonts w:eastAsia="Calibri" w:cs="Sylfaen"/>
                <w:bCs/>
                <w:sz w:val="20"/>
                <w:szCs w:val="20"/>
                <w:lang w:val="af-ZA"/>
              </w:rPr>
              <w:t xml:space="preserve"> </w:t>
            </w:r>
            <w:r w:rsidRPr="0053423A">
              <w:rPr>
                <w:rFonts w:eastAsia="Calibri" w:cs="Sylfaen"/>
                <w:bCs/>
                <w:sz w:val="20"/>
                <w:szCs w:val="20"/>
              </w:rPr>
              <w:t>մատչելիության</w:t>
            </w:r>
            <w:r w:rsidRPr="0053423A">
              <w:rPr>
                <w:rFonts w:eastAsia="Calibri" w:cs="Sylfaen"/>
                <w:bCs/>
                <w:sz w:val="20"/>
                <w:szCs w:val="20"/>
                <w:lang w:val="af-ZA"/>
              </w:rPr>
              <w:t xml:space="preserve"> </w:t>
            </w:r>
            <w:r w:rsidRPr="0053423A">
              <w:rPr>
                <w:rFonts w:eastAsia="Calibri" w:cs="Sylfaen"/>
                <w:sz w:val="20"/>
                <w:szCs w:val="20"/>
                <w:lang w:val="af-ZA"/>
              </w:rPr>
              <w:t>ապահովումն</w:t>
            </w:r>
            <w:r w:rsidRPr="0053423A">
              <w:rPr>
                <w:rFonts w:eastAsia="Calibri" w:cs="Sylfaen"/>
                <w:bCs/>
                <w:sz w:val="20"/>
                <w:szCs w:val="20"/>
                <w:lang w:val="af-ZA"/>
              </w:rPr>
              <w:t xml:space="preserve"> </w:t>
            </w:r>
            <w:r w:rsidRPr="0053423A">
              <w:rPr>
                <w:rFonts w:eastAsia="Calibri" w:cs="Sylfaen"/>
                <w:bCs/>
                <w:sz w:val="20"/>
                <w:szCs w:val="20"/>
              </w:rPr>
              <w:t>է</w:t>
            </w:r>
            <w:r w:rsidRPr="0053423A">
              <w:rPr>
                <w:rFonts w:eastAsia="Calibri" w:cs="Sylfaen"/>
                <w:bCs/>
                <w:sz w:val="20"/>
                <w:szCs w:val="20"/>
                <w:lang w:val="af-ZA"/>
              </w:rPr>
              <w:t xml:space="preserve"> հ</w:t>
            </w:r>
            <w:r w:rsidRPr="0053423A">
              <w:rPr>
                <w:rFonts w:eastAsia="Calibri" w:cs="Sylfaen"/>
                <w:sz w:val="20"/>
                <w:szCs w:val="20"/>
                <w:lang w:val="hy-AM"/>
              </w:rPr>
              <w:t>եռուստաեթերի</w:t>
            </w:r>
            <w:r w:rsidRPr="0053423A">
              <w:rPr>
                <w:rFonts w:eastAsia="Calibri" w:cs="Times New Roman"/>
                <w:sz w:val="20"/>
                <w:szCs w:val="20"/>
                <w:lang w:val="af-ZA"/>
              </w:rPr>
              <w:t xml:space="preserve">, </w:t>
            </w:r>
            <w:r w:rsidRPr="0053423A">
              <w:rPr>
                <w:rFonts w:eastAsia="Calibri" w:cs="Times New Roman"/>
                <w:sz w:val="20"/>
                <w:szCs w:val="20"/>
                <w:lang w:val="hy-AM"/>
              </w:rPr>
              <w:t>ռադիոյի, մամուլի և սոցիալական մեդիայի ռեսուրսներում</w:t>
            </w:r>
            <w:r w:rsidRPr="0053423A">
              <w:rPr>
                <w:rFonts w:eastAsia="Calibri" w:cs="Sylfaen"/>
                <w:bCs/>
                <w:sz w:val="20"/>
                <w:szCs w:val="20"/>
                <w:lang w:val="af-ZA"/>
              </w:rPr>
              <w:t>:</w:t>
            </w:r>
          </w:p>
          <w:p w:rsidR="00A67B6B" w:rsidRPr="0053423A" w:rsidRDefault="00A67B6B" w:rsidP="00A67858">
            <w:pPr>
              <w:tabs>
                <w:tab w:val="left" w:pos="508"/>
              </w:tabs>
              <w:spacing w:after="0" w:line="276" w:lineRule="auto"/>
              <w:ind w:firstLine="69"/>
              <w:jc w:val="both"/>
              <w:rPr>
                <w:rFonts w:eastAsia="Calibri" w:cs="Sylfaen"/>
                <w:bCs/>
                <w:sz w:val="20"/>
                <w:szCs w:val="20"/>
                <w:lang w:val="af-ZA"/>
              </w:rPr>
            </w:pPr>
          </w:p>
          <w:p w:rsidR="00A67B6B" w:rsidRPr="0053423A" w:rsidRDefault="00A67B6B" w:rsidP="001F6D5D">
            <w:pPr>
              <w:numPr>
                <w:ilvl w:val="0"/>
                <w:numId w:val="225"/>
              </w:numPr>
              <w:tabs>
                <w:tab w:val="left" w:pos="508"/>
              </w:tabs>
              <w:spacing w:after="0" w:line="276" w:lineRule="auto"/>
              <w:ind w:left="0" w:firstLine="69"/>
              <w:jc w:val="both"/>
              <w:rPr>
                <w:rFonts w:eastAsia="Calibri" w:cs="Times New Roman"/>
                <w:b/>
                <w:bCs/>
                <w:sz w:val="20"/>
                <w:szCs w:val="20"/>
                <w:lang w:val="af-ZA"/>
              </w:rPr>
            </w:pPr>
            <w:r w:rsidRPr="0053423A">
              <w:rPr>
                <w:rFonts w:eastAsia="Calibri" w:cs="Times New Roman"/>
                <w:b/>
                <w:sz w:val="20"/>
                <w:szCs w:val="20"/>
              </w:rPr>
              <w:t>Միջոցառման իրականացումից ակնկալվող արդյունքը</w:t>
            </w:r>
          </w:p>
          <w:p w:rsidR="00A67B6B" w:rsidRPr="0053423A" w:rsidRDefault="00A67B6B" w:rsidP="00A67858">
            <w:pPr>
              <w:tabs>
                <w:tab w:val="left" w:pos="508"/>
              </w:tabs>
              <w:spacing w:after="0" w:line="276" w:lineRule="auto"/>
              <w:ind w:firstLine="69"/>
              <w:jc w:val="both"/>
              <w:rPr>
                <w:rFonts w:eastAsia="Times New Roman" w:cs="Times New Roman"/>
                <w:sz w:val="20"/>
                <w:szCs w:val="20"/>
                <w:lang w:val="af-ZA"/>
              </w:rPr>
            </w:pPr>
            <w:r w:rsidRPr="0053423A">
              <w:rPr>
                <w:rFonts w:eastAsia="Calibri" w:cs="Sylfaen"/>
                <w:bCs/>
                <w:sz w:val="20"/>
                <w:szCs w:val="20"/>
              </w:rPr>
              <w:t>Ա</w:t>
            </w:r>
            <w:r w:rsidRPr="0053423A">
              <w:rPr>
                <w:rFonts w:eastAsia="Calibri" w:cs="Sylfaen"/>
                <w:bCs/>
                <w:sz w:val="20"/>
                <w:szCs w:val="20"/>
                <w:lang w:val="hy-AM"/>
              </w:rPr>
              <w:t xml:space="preserve">րդյունքում ակնկալվում է ժամանակակից տեղեկատվական տեխնոլոգիաների և  սոցիալական մեդիայի ռեսուրսների ներգրավմամբ՝ մշակութային արտադրանքի հասանելիության ապահովում, դրան հաղորդակցվող հանրության </w:t>
            </w:r>
            <w:r w:rsidRPr="0053423A">
              <w:rPr>
                <w:rFonts w:eastAsia="Calibri" w:cs="Sylfaen"/>
                <w:sz w:val="20"/>
                <w:szCs w:val="20"/>
                <w:lang w:val="af-ZA"/>
              </w:rPr>
              <w:t>շրջանակների</w:t>
            </w:r>
            <w:r w:rsidRPr="0053423A">
              <w:rPr>
                <w:rFonts w:eastAsia="Calibri" w:cs="Sylfaen"/>
                <w:bCs/>
                <w:sz w:val="20"/>
                <w:szCs w:val="20"/>
                <w:lang w:val="hy-AM"/>
              </w:rPr>
              <w:t xml:space="preserve"> ընդլայնում, հայ արվեստի և մշակույթի հանրահռչակում, հասարակության ճաշակի բարձրացում, հեռուստաեթերը մշակութային ժառանգության վերաբերյալ գիտահանրամատչելի, </w:t>
            </w:r>
            <w:r w:rsidRPr="0053423A">
              <w:rPr>
                <w:rFonts w:eastAsia="Calibri" w:cs="Times New Roman"/>
                <w:sz w:val="20"/>
                <w:szCs w:val="20"/>
                <w:lang w:val="hy-AM"/>
              </w:rPr>
              <w:t>ճանաչողական</w:t>
            </w:r>
            <w:r w:rsidRPr="0053423A">
              <w:rPr>
                <w:rFonts w:eastAsia="Calibri" w:cs="Sylfaen"/>
                <w:bCs/>
                <w:sz w:val="20"/>
                <w:szCs w:val="20"/>
                <w:lang w:val="hy-AM"/>
              </w:rPr>
              <w:t xml:space="preserve"> հաղորդումներով համալրում, երիտասարդներին ազգային մշակութային ժառանգության փոխանցման և սերունդների միջև շղթայական կապի ապահովում, սեփական մշակույթի նկատմամամբ պատշաճ վերաբերմունքի ու արժևորման ամրապնդում:</w:t>
            </w:r>
          </w:p>
          <w:p w:rsidR="00A67B6B" w:rsidRPr="0053423A" w:rsidRDefault="00A67B6B" w:rsidP="00A67858">
            <w:pPr>
              <w:tabs>
                <w:tab w:val="left" w:pos="508"/>
              </w:tabs>
              <w:spacing w:after="0" w:line="276" w:lineRule="auto"/>
              <w:ind w:firstLine="69"/>
              <w:jc w:val="center"/>
              <w:rPr>
                <w:rFonts w:eastAsia="Times New Roman" w:cs="Times New Roman"/>
                <w:sz w:val="20"/>
                <w:szCs w:val="20"/>
                <w:lang w:val="af-ZA"/>
              </w:rPr>
            </w:pPr>
          </w:p>
          <w:p w:rsidR="00A67B6B" w:rsidRPr="0053423A" w:rsidRDefault="00A67B6B" w:rsidP="00A67858">
            <w:pPr>
              <w:spacing w:after="0" w:line="276" w:lineRule="auto"/>
              <w:ind w:firstLine="69"/>
              <w:jc w:val="center"/>
              <w:rPr>
                <w:rFonts w:eastAsia="Times New Roman" w:cs="Times New Roman"/>
                <w:b/>
                <w:sz w:val="20"/>
                <w:szCs w:val="20"/>
                <w:lang w:val="af-ZA"/>
              </w:rPr>
            </w:pPr>
            <w:r w:rsidRPr="0053423A">
              <w:rPr>
                <w:rFonts w:eastAsia="Times New Roman" w:cs="Times New Roman"/>
                <w:b/>
                <w:sz w:val="20"/>
                <w:szCs w:val="20"/>
                <w:lang w:val="af-ZA"/>
              </w:rPr>
              <w:t xml:space="preserve">10.3 </w:t>
            </w:r>
            <w:r w:rsidRPr="0053423A">
              <w:rPr>
                <w:rFonts w:eastAsia="Times New Roman" w:cs="Times New Roman"/>
                <w:b/>
                <w:sz w:val="20"/>
                <w:szCs w:val="20"/>
              </w:rPr>
              <w:t>Հուշարձանների</w:t>
            </w:r>
            <w:r w:rsidRPr="0053423A">
              <w:rPr>
                <w:rFonts w:eastAsia="Times New Roman" w:cs="Times New Roman"/>
                <w:b/>
                <w:sz w:val="20"/>
                <w:szCs w:val="20"/>
                <w:lang w:val="af-ZA"/>
              </w:rPr>
              <w:t xml:space="preserve"> </w:t>
            </w:r>
            <w:r w:rsidRPr="0053423A">
              <w:rPr>
                <w:rFonts w:eastAsia="Times New Roman" w:cs="Times New Roman"/>
                <w:b/>
                <w:sz w:val="20"/>
                <w:szCs w:val="20"/>
              </w:rPr>
              <w:t>ու</w:t>
            </w:r>
            <w:r w:rsidRPr="0053423A">
              <w:rPr>
                <w:rFonts w:eastAsia="Times New Roman" w:cs="Times New Roman"/>
                <w:b/>
                <w:sz w:val="20"/>
                <w:szCs w:val="20"/>
                <w:lang w:val="af-ZA"/>
              </w:rPr>
              <w:t xml:space="preserve"> </w:t>
            </w:r>
            <w:r w:rsidRPr="0053423A">
              <w:rPr>
                <w:rFonts w:eastAsia="Times New Roman" w:cs="Times New Roman"/>
                <w:b/>
                <w:sz w:val="20"/>
                <w:szCs w:val="20"/>
              </w:rPr>
              <w:t>պատմական</w:t>
            </w:r>
            <w:r w:rsidRPr="0053423A">
              <w:rPr>
                <w:rFonts w:eastAsia="Times New Roman" w:cs="Times New Roman"/>
                <w:b/>
                <w:sz w:val="20"/>
                <w:szCs w:val="20"/>
                <w:lang w:val="af-ZA"/>
              </w:rPr>
              <w:t xml:space="preserve"> </w:t>
            </w:r>
            <w:r w:rsidRPr="0053423A">
              <w:rPr>
                <w:rFonts w:eastAsia="Times New Roman" w:cs="Times New Roman"/>
                <w:b/>
                <w:sz w:val="20"/>
                <w:szCs w:val="20"/>
              </w:rPr>
              <w:t>միջավայրի</w:t>
            </w:r>
            <w:r w:rsidRPr="0053423A">
              <w:rPr>
                <w:rFonts w:eastAsia="Times New Roman" w:cs="Times New Roman"/>
                <w:b/>
                <w:sz w:val="20"/>
                <w:szCs w:val="20"/>
                <w:lang w:val="af-ZA"/>
              </w:rPr>
              <w:t xml:space="preserve"> </w:t>
            </w:r>
            <w:r w:rsidRPr="0053423A">
              <w:rPr>
                <w:rFonts w:eastAsia="Times New Roman" w:cs="Times New Roman"/>
                <w:b/>
                <w:sz w:val="20"/>
                <w:szCs w:val="20"/>
              </w:rPr>
              <w:t>պահպանության</w:t>
            </w:r>
            <w:r w:rsidRPr="0053423A">
              <w:rPr>
                <w:rFonts w:eastAsia="Times New Roman" w:cs="Times New Roman"/>
                <w:b/>
                <w:sz w:val="20"/>
                <w:szCs w:val="20"/>
                <w:lang w:val="af-ZA"/>
              </w:rPr>
              <w:t xml:space="preserve"> </w:t>
            </w:r>
            <w:r w:rsidRPr="0053423A">
              <w:rPr>
                <w:rFonts w:eastAsia="Times New Roman" w:cs="Times New Roman"/>
                <w:b/>
                <w:sz w:val="20"/>
                <w:szCs w:val="20"/>
              </w:rPr>
              <w:t>և</w:t>
            </w:r>
            <w:r w:rsidRPr="0053423A">
              <w:rPr>
                <w:rFonts w:eastAsia="Times New Roman" w:cs="Times New Roman"/>
                <w:b/>
                <w:sz w:val="20"/>
                <w:szCs w:val="20"/>
                <w:lang w:val="af-ZA"/>
              </w:rPr>
              <w:t xml:space="preserve"> </w:t>
            </w:r>
            <w:r w:rsidRPr="0053423A">
              <w:rPr>
                <w:rFonts w:eastAsia="Times New Roman" w:cs="Times New Roman"/>
                <w:b/>
                <w:sz w:val="20"/>
                <w:szCs w:val="20"/>
              </w:rPr>
              <w:t>օգտագործման</w:t>
            </w:r>
            <w:r w:rsidRPr="0053423A">
              <w:rPr>
                <w:rFonts w:eastAsia="Times New Roman" w:cs="Times New Roman"/>
                <w:b/>
                <w:sz w:val="20"/>
                <w:szCs w:val="20"/>
                <w:lang w:val="af-ZA"/>
              </w:rPr>
              <w:t xml:space="preserve"> </w:t>
            </w:r>
            <w:r w:rsidRPr="0053423A">
              <w:rPr>
                <w:rFonts w:eastAsia="Times New Roman" w:cs="Times New Roman"/>
                <w:b/>
                <w:sz w:val="20"/>
                <w:szCs w:val="20"/>
              </w:rPr>
              <w:t>բնագավառի</w:t>
            </w:r>
            <w:r w:rsidRPr="0053423A">
              <w:rPr>
                <w:rFonts w:eastAsia="Times New Roman" w:cs="Times New Roman"/>
                <w:b/>
                <w:sz w:val="20"/>
                <w:szCs w:val="20"/>
                <w:lang w:val="af-ZA"/>
              </w:rPr>
              <w:t xml:space="preserve"> </w:t>
            </w:r>
            <w:r w:rsidRPr="0053423A">
              <w:rPr>
                <w:rFonts w:eastAsia="Times New Roman" w:cs="Times New Roman"/>
                <w:b/>
                <w:sz w:val="20"/>
                <w:szCs w:val="20"/>
                <w:lang w:val="ru-RU"/>
              </w:rPr>
              <w:t>ճանաչողական</w:t>
            </w:r>
            <w:r w:rsidRPr="0053423A">
              <w:rPr>
                <w:rFonts w:eastAsia="Times New Roman" w:cs="Times New Roman"/>
                <w:b/>
                <w:sz w:val="20"/>
                <w:szCs w:val="20"/>
                <w:lang w:val="af-ZA"/>
              </w:rPr>
              <w:t xml:space="preserve"> </w:t>
            </w:r>
            <w:r w:rsidRPr="0053423A">
              <w:rPr>
                <w:rFonts w:eastAsia="Times New Roman" w:cs="Times New Roman"/>
                <w:b/>
                <w:sz w:val="20"/>
                <w:szCs w:val="20"/>
              </w:rPr>
              <w:t>հեռուստա</w:t>
            </w:r>
            <w:r w:rsidRPr="0053423A">
              <w:rPr>
                <w:rFonts w:eastAsia="Times New Roman" w:cs="Times New Roman"/>
                <w:b/>
                <w:sz w:val="20"/>
                <w:szCs w:val="20"/>
                <w:lang w:val="ru-RU"/>
              </w:rPr>
              <w:t>հաղորդաշարի</w:t>
            </w:r>
            <w:r w:rsidRPr="0053423A">
              <w:rPr>
                <w:rFonts w:eastAsia="Times New Roman" w:cs="Times New Roman"/>
                <w:b/>
                <w:sz w:val="20"/>
                <w:szCs w:val="20"/>
                <w:lang w:val="af-ZA"/>
              </w:rPr>
              <w:t xml:space="preserve"> </w:t>
            </w:r>
            <w:r w:rsidRPr="0053423A">
              <w:rPr>
                <w:rFonts w:eastAsia="Times New Roman" w:cs="Times New Roman"/>
                <w:b/>
                <w:sz w:val="20"/>
                <w:szCs w:val="20"/>
              </w:rPr>
              <w:t>ստեղծում</w:t>
            </w:r>
            <w:r w:rsidRPr="0053423A">
              <w:rPr>
                <w:rFonts w:eastAsia="Times New Roman" w:cs="Times New Roman"/>
                <w:b/>
                <w:sz w:val="20"/>
                <w:szCs w:val="20"/>
                <w:lang w:val="af-ZA"/>
              </w:rPr>
              <w:t xml:space="preserve"> </w:t>
            </w:r>
            <w:r w:rsidRPr="0053423A">
              <w:rPr>
                <w:rFonts w:eastAsia="Times New Roman" w:cs="Times New Roman"/>
                <w:b/>
                <w:sz w:val="20"/>
                <w:szCs w:val="20"/>
              </w:rPr>
              <w:t>և</w:t>
            </w:r>
            <w:r w:rsidRPr="0053423A">
              <w:rPr>
                <w:rFonts w:eastAsia="Times New Roman" w:cs="Times New Roman"/>
                <w:b/>
                <w:sz w:val="20"/>
                <w:szCs w:val="20"/>
                <w:lang w:val="af-ZA"/>
              </w:rPr>
              <w:t xml:space="preserve"> </w:t>
            </w:r>
            <w:r w:rsidRPr="0053423A">
              <w:rPr>
                <w:rFonts w:eastAsia="Times New Roman" w:cs="Times New Roman"/>
                <w:b/>
                <w:sz w:val="20"/>
                <w:szCs w:val="20"/>
              </w:rPr>
              <w:t>ցուցադրում</w:t>
            </w:r>
          </w:p>
          <w:p w:rsidR="00A67B6B" w:rsidRPr="0053423A" w:rsidRDefault="00A67B6B" w:rsidP="00A67858">
            <w:pPr>
              <w:spacing w:after="0" w:line="276" w:lineRule="auto"/>
              <w:ind w:firstLine="69"/>
              <w:rPr>
                <w:rFonts w:eastAsia="Times New Roman" w:cs="Times New Roman"/>
                <w:sz w:val="20"/>
                <w:szCs w:val="20"/>
                <w:lang w:val="af-ZA"/>
              </w:rPr>
            </w:pPr>
          </w:p>
          <w:p w:rsidR="00A67B6B" w:rsidRPr="0053423A" w:rsidRDefault="00A67B6B" w:rsidP="00A67858">
            <w:pPr>
              <w:tabs>
                <w:tab w:val="left" w:pos="508"/>
                <w:tab w:val="left" w:pos="900"/>
              </w:tabs>
              <w:spacing w:after="0" w:line="276" w:lineRule="auto"/>
              <w:ind w:firstLine="69"/>
              <w:contextualSpacing/>
              <w:rPr>
                <w:rFonts w:eastAsia="Calibri" w:cs="Times New Roman"/>
                <w:b/>
                <w:sz w:val="20"/>
                <w:szCs w:val="20"/>
                <w:lang w:val="hy-AM"/>
              </w:rPr>
            </w:pPr>
            <w:r w:rsidRPr="0053423A">
              <w:rPr>
                <w:rFonts w:eastAsia="Calibri" w:cs="Arial"/>
                <w:b/>
                <w:sz w:val="20"/>
                <w:szCs w:val="20"/>
                <w:lang w:val="af-ZA"/>
              </w:rPr>
              <w:t xml:space="preserve">1. </w:t>
            </w:r>
            <w:r w:rsidRPr="0053423A">
              <w:rPr>
                <w:rFonts w:eastAsia="Calibri" w:cs="Arial"/>
                <w:b/>
                <w:sz w:val="20"/>
                <w:szCs w:val="20"/>
                <w:lang w:val="hy-AM"/>
              </w:rPr>
              <w:t>Միջոցառման</w:t>
            </w:r>
            <w:r w:rsidRPr="0053423A">
              <w:rPr>
                <w:rFonts w:eastAsia="Calibri" w:cs="Times New Roman"/>
                <w:b/>
                <w:sz w:val="20"/>
                <w:szCs w:val="20"/>
                <w:lang w:val="hy-AM"/>
              </w:rPr>
              <w:t xml:space="preserve"> իրականացման անհրաժեշտությունը և նպատակը</w:t>
            </w:r>
          </w:p>
          <w:p w:rsidR="00A67B6B" w:rsidRPr="0053423A" w:rsidRDefault="00A67B6B" w:rsidP="00A67858">
            <w:pPr>
              <w:spacing w:after="0" w:line="276" w:lineRule="auto"/>
              <w:ind w:firstLine="69"/>
              <w:jc w:val="both"/>
              <w:rPr>
                <w:rFonts w:eastAsia="Calibri" w:cs="Times New Roman"/>
                <w:sz w:val="20"/>
                <w:szCs w:val="20"/>
                <w:lang w:val="hy-AM"/>
              </w:rPr>
            </w:pPr>
            <w:r w:rsidRPr="0053423A">
              <w:rPr>
                <w:rFonts w:eastAsia="Calibri" w:cs="Times New Roman"/>
                <w:sz w:val="20"/>
                <w:szCs w:val="20"/>
                <w:lang w:val="hy-AM"/>
              </w:rPr>
              <w:t>Հաշվի առնելով</w:t>
            </w:r>
            <w:r w:rsidRPr="0053423A">
              <w:rPr>
                <w:rFonts w:eastAsia="Calibri" w:cs="Times New Roman"/>
                <w:sz w:val="20"/>
                <w:szCs w:val="20"/>
                <w:lang w:val="af-ZA"/>
              </w:rPr>
              <w:t xml:space="preserve"> պատմության և մշակույթի անշարժ հուշարձանների ոլորտում </w:t>
            </w:r>
            <w:r w:rsidRPr="0053423A">
              <w:rPr>
                <w:rFonts w:eastAsia="Calibri" w:cs="Times New Roman"/>
                <w:sz w:val="20"/>
                <w:szCs w:val="20"/>
                <w:lang w:val="hy-AM"/>
              </w:rPr>
              <w:t>տեղեկատվության ու կրթական ծրագրերի պակասը և այն հանգամանքը, որ ազգային արժեքները, մշակույթը և ավանդույթները խեղաթյուրված վիճակով են հեռարձակվում եթեր, անհրաժեշտ է ստեղծել որակյալ հաղորդաշար, որի միջոցով հասարակությունը կիրազեկվի և կկրթվի։</w:t>
            </w:r>
          </w:p>
          <w:p w:rsidR="00A67B6B" w:rsidRPr="0053423A" w:rsidRDefault="00A67B6B" w:rsidP="00A67858">
            <w:pPr>
              <w:spacing w:after="0" w:line="276" w:lineRule="auto"/>
              <w:ind w:firstLine="69"/>
              <w:jc w:val="both"/>
              <w:rPr>
                <w:rFonts w:eastAsia="Calibri" w:cs="Times New Roman"/>
                <w:sz w:val="20"/>
                <w:szCs w:val="20"/>
                <w:lang w:val="hy-AM"/>
              </w:rPr>
            </w:pPr>
          </w:p>
          <w:p w:rsidR="00A67B6B" w:rsidRPr="0053423A" w:rsidRDefault="00A67B6B" w:rsidP="001F6D5D">
            <w:pPr>
              <w:numPr>
                <w:ilvl w:val="1"/>
                <w:numId w:val="242"/>
              </w:numPr>
              <w:tabs>
                <w:tab w:val="left" w:pos="260"/>
                <w:tab w:val="left" w:pos="508"/>
                <w:tab w:val="left" w:pos="990"/>
              </w:tabs>
              <w:spacing w:after="0" w:line="276" w:lineRule="auto"/>
              <w:ind w:firstLine="69"/>
              <w:contextualSpacing/>
              <w:rPr>
                <w:rFonts w:eastAsia="Calibri" w:cs="Times New Roman"/>
                <w:b/>
                <w:sz w:val="20"/>
                <w:szCs w:val="20"/>
                <w:lang w:val="af-ZA"/>
              </w:rPr>
            </w:pPr>
            <w:r w:rsidRPr="0053423A">
              <w:rPr>
                <w:rFonts w:eastAsia="Calibri" w:cs="Sylfaen"/>
                <w:b/>
                <w:sz w:val="20"/>
                <w:szCs w:val="20"/>
                <w:lang w:val="hy-AM"/>
              </w:rPr>
              <w:t>Կարգավորման</w:t>
            </w:r>
            <w:r w:rsidRPr="0053423A">
              <w:rPr>
                <w:rFonts w:eastAsia="Calibri" w:cs="Sylfaen"/>
                <w:b/>
                <w:sz w:val="20"/>
                <w:szCs w:val="20"/>
                <w:lang w:val="af-ZA"/>
              </w:rPr>
              <w:t xml:space="preserve"> </w:t>
            </w:r>
            <w:r w:rsidRPr="0053423A">
              <w:rPr>
                <w:rFonts w:eastAsia="Calibri" w:cs="Times New Roman"/>
                <w:b/>
                <w:sz w:val="20"/>
                <w:szCs w:val="20"/>
                <w:lang w:val="hy-AM"/>
              </w:rPr>
              <w:t>հարաբերությունների</w:t>
            </w:r>
            <w:r w:rsidRPr="0053423A">
              <w:rPr>
                <w:rFonts w:eastAsia="Calibri" w:cs="Times New Roman"/>
                <w:b/>
                <w:sz w:val="20"/>
                <w:szCs w:val="20"/>
                <w:lang w:val="af-ZA"/>
              </w:rPr>
              <w:t xml:space="preserve"> </w:t>
            </w:r>
            <w:r w:rsidRPr="0053423A">
              <w:rPr>
                <w:rFonts w:eastAsia="Calibri" w:cs="Times New Roman"/>
                <w:b/>
                <w:sz w:val="20"/>
                <w:szCs w:val="20"/>
                <w:lang w:val="hy-AM"/>
              </w:rPr>
              <w:t>ներկա</w:t>
            </w:r>
            <w:r w:rsidRPr="0053423A">
              <w:rPr>
                <w:rFonts w:eastAsia="Calibri" w:cs="Times New Roman"/>
                <w:b/>
                <w:sz w:val="20"/>
                <w:szCs w:val="20"/>
                <w:lang w:val="af-ZA"/>
              </w:rPr>
              <w:t xml:space="preserve"> </w:t>
            </w:r>
            <w:r w:rsidRPr="0053423A">
              <w:rPr>
                <w:rFonts w:eastAsia="Calibri" w:cs="Times New Roman"/>
                <w:b/>
                <w:sz w:val="20"/>
                <w:szCs w:val="20"/>
                <w:lang w:val="hy-AM"/>
              </w:rPr>
              <w:t>վիճակը</w:t>
            </w:r>
            <w:r w:rsidRPr="0053423A">
              <w:rPr>
                <w:rFonts w:eastAsia="Calibri" w:cs="Times New Roman"/>
                <w:b/>
                <w:sz w:val="20"/>
                <w:szCs w:val="20"/>
                <w:lang w:val="af-ZA"/>
              </w:rPr>
              <w:t xml:space="preserve"> </w:t>
            </w:r>
            <w:r w:rsidRPr="0053423A">
              <w:rPr>
                <w:rFonts w:eastAsia="Calibri" w:cs="Times New Roman"/>
                <w:b/>
                <w:sz w:val="20"/>
                <w:szCs w:val="20"/>
                <w:lang w:val="hy-AM"/>
              </w:rPr>
              <w:t>և</w:t>
            </w:r>
            <w:r w:rsidRPr="0053423A">
              <w:rPr>
                <w:rFonts w:eastAsia="Calibri" w:cs="Times New Roman"/>
                <w:b/>
                <w:sz w:val="20"/>
                <w:szCs w:val="20"/>
                <w:lang w:val="af-ZA"/>
              </w:rPr>
              <w:t xml:space="preserve"> </w:t>
            </w:r>
            <w:r w:rsidRPr="0053423A">
              <w:rPr>
                <w:rFonts w:eastAsia="Calibri" w:cs="Times New Roman"/>
                <w:b/>
                <w:sz w:val="20"/>
                <w:szCs w:val="20"/>
                <w:lang w:val="hy-AM"/>
              </w:rPr>
              <w:t>առկա</w:t>
            </w:r>
            <w:r w:rsidRPr="0053423A">
              <w:rPr>
                <w:rFonts w:eastAsia="Calibri" w:cs="Times New Roman"/>
                <w:b/>
                <w:sz w:val="20"/>
                <w:szCs w:val="20"/>
                <w:lang w:val="af-ZA"/>
              </w:rPr>
              <w:t xml:space="preserve"> </w:t>
            </w:r>
            <w:r w:rsidRPr="0053423A">
              <w:rPr>
                <w:rFonts w:eastAsia="Calibri" w:cs="Times New Roman"/>
                <w:b/>
                <w:sz w:val="20"/>
                <w:szCs w:val="20"/>
                <w:lang w:val="hy-AM"/>
              </w:rPr>
              <w:t>խնդիրները</w:t>
            </w:r>
          </w:p>
          <w:p w:rsidR="00A67B6B" w:rsidRPr="0053423A" w:rsidRDefault="00A67B6B" w:rsidP="00A67858">
            <w:pPr>
              <w:spacing w:after="0" w:line="276" w:lineRule="auto"/>
              <w:ind w:firstLine="69"/>
              <w:jc w:val="both"/>
              <w:rPr>
                <w:rFonts w:eastAsia="Calibri" w:cs="Times New Roman"/>
                <w:sz w:val="20"/>
                <w:szCs w:val="20"/>
                <w:lang w:val="hy-AM"/>
              </w:rPr>
            </w:pPr>
            <w:r w:rsidRPr="0053423A">
              <w:rPr>
                <w:rFonts w:eastAsia="Calibri" w:cs="Times New Roman"/>
                <w:sz w:val="20"/>
                <w:szCs w:val="20"/>
                <w:lang w:val="hy-AM"/>
              </w:rPr>
              <w:t xml:space="preserve">Ազատ շուկայի մրցակծության և հասարակության կենսամակարդակի ներկա պայմաններում որակյալ հեռարձակուման ապահովումը հիմնականում </w:t>
            </w:r>
            <w:r w:rsidRPr="0053423A">
              <w:rPr>
                <w:rFonts w:eastAsia="Calibri" w:cs="Times New Roman"/>
                <w:sz w:val="20"/>
                <w:szCs w:val="20"/>
                <w:lang w:val="ru-RU"/>
              </w:rPr>
              <w:t>ոչ</w:t>
            </w:r>
            <w:r w:rsidRPr="0053423A">
              <w:rPr>
                <w:rFonts w:eastAsia="Calibri" w:cs="Times New Roman"/>
                <w:sz w:val="20"/>
                <w:szCs w:val="20"/>
                <w:lang w:val="af-ZA"/>
              </w:rPr>
              <w:t xml:space="preserve"> </w:t>
            </w:r>
            <w:r w:rsidRPr="0053423A">
              <w:rPr>
                <w:rFonts w:eastAsia="Calibri" w:cs="Times New Roman"/>
                <w:sz w:val="20"/>
                <w:szCs w:val="20"/>
                <w:lang w:val="hy-AM"/>
              </w:rPr>
              <w:t>շահավետ է։ Հաղարդումները, որոնց մեջ խոսվում է հուշարձանների մասին, հիմնականում գովազդային բնույթ է կրում, մինչդեռ անտեսվում է այն փաստը, որ ճարտարապետական հուշարձանը անցյալի ականատեսն է, որը իր մեջ պարունակում է կոդավորված տվյալներ ու գաղտնիքների բացահայտելու հնարավորություններ։</w:t>
            </w:r>
          </w:p>
          <w:p w:rsidR="00A67B6B" w:rsidRPr="0053423A" w:rsidRDefault="00A67B6B" w:rsidP="00A67858">
            <w:pPr>
              <w:spacing w:after="0" w:line="276" w:lineRule="auto"/>
              <w:ind w:firstLine="69"/>
              <w:jc w:val="both"/>
              <w:rPr>
                <w:rFonts w:eastAsia="Calibri" w:cs="Arial"/>
                <w:sz w:val="20"/>
                <w:szCs w:val="20"/>
                <w:lang w:val="af-ZA"/>
              </w:rPr>
            </w:pPr>
          </w:p>
          <w:p w:rsidR="00A67B6B" w:rsidRPr="0053423A" w:rsidRDefault="00A67B6B" w:rsidP="001F6D5D">
            <w:pPr>
              <w:numPr>
                <w:ilvl w:val="1"/>
                <w:numId w:val="242"/>
              </w:numPr>
              <w:tabs>
                <w:tab w:val="left" w:pos="508"/>
              </w:tabs>
              <w:spacing w:after="0" w:line="276" w:lineRule="auto"/>
              <w:ind w:firstLine="69"/>
              <w:contextualSpacing/>
              <w:rPr>
                <w:rFonts w:eastAsia="Calibri" w:cs="Times New Roman"/>
                <w:b/>
                <w:sz w:val="20"/>
                <w:szCs w:val="20"/>
              </w:rPr>
            </w:pPr>
            <w:r w:rsidRPr="0053423A">
              <w:rPr>
                <w:rFonts w:eastAsia="Calibri" w:cs="Arial"/>
                <w:b/>
                <w:sz w:val="20"/>
                <w:szCs w:val="20"/>
              </w:rPr>
              <w:t>Առկա</w:t>
            </w:r>
            <w:r w:rsidRPr="0053423A">
              <w:rPr>
                <w:rFonts w:eastAsia="Calibri" w:cs="Times New Roman"/>
                <w:b/>
                <w:sz w:val="20"/>
                <w:szCs w:val="20"/>
              </w:rPr>
              <w:t xml:space="preserve"> խնդիրների առաջարկվող լուծումները</w:t>
            </w:r>
          </w:p>
          <w:p w:rsidR="00A67B6B" w:rsidRPr="0053423A" w:rsidRDefault="00A67B6B" w:rsidP="00A67858">
            <w:pPr>
              <w:tabs>
                <w:tab w:val="left" w:pos="508"/>
              </w:tabs>
              <w:spacing w:after="0" w:line="276" w:lineRule="auto"/>
              <w:ind w:firstLine="69"/>
              <w:jc w:val="both"/>
              <w:rPr>
                <w:rFonts w:eastAsia="Calibri" w:cs="Times New Roman"/>
                <w:sz w:val="20"/>
                <w:szCs w:val="20"/>
                <w:lang w:val="hy-AM"/>
              </w:rPr>
            </w:pPr>
            <w:r w:rsidRPr="0053423A">
              <w:rPr>
                <w:rFonts w:eastAsia="Calibri" w:cs="Times New Roman"/>
                <w:sz w:val="20"/>
                <w:szCs w:val="20"/>
                <w:lang w:val="hy-AM"/>
              </w:rPr>
              <w:t>Աշխատանքային խմբի ընտրությունը մրցութային հիմքով՝  աշխատանքների ու հայեցակարգային ծրագրերի որակի և սրամտության գնահտմամբ։</w:t>
            </w:r>
            <w:r w:rsidRPr="0053423A">
              <w:rPr>
                <w:rFonts w:eastAsia="Calibri" w:cs="Times New Roman"/>
                <w:sz w:val="20"/>
                <w:szCs w:val="20"/>
              </w:rPr>
              <w:t xml:space="preserve"> </w:t>
            </w:r>
            <w:r w:rsidRPr="0053423A">
              <w:rPr>
                <w:rFonts w:eastAsia="Calibri" w:cs="Times New Roman"/>
                <w:sz w:val="20"/>
                <w:szCs w:val="20"/>
                <w:lang w:val="hy-AM"/>
              </w:rPr>
              <w:t>Փաստագրական ֆիլմերի ստեղծում պրոֆեսիոնալ և շնորհալի, միջազգային ասպարեզոմ ուշադրությանը արժանացած մասնագետների կողմից։</w:t>
            </w:r>
            <w:r w:rsidRPr="0053423A">
              <w:rPr>
                <w:rFonts w:eastAsia="Calibri" w:cs="Times New Roman"/>
                <w:sz w:val="20"/>
                <w:szCs w:val="20"/>
              </w:rPr>
              <w:t xml:space="preserve"> </w:t>
            </w:r>
            <w:r w:rsidRPr="0053423A">
              <w:rPr>
                <w:rFonts w:eastAsia="Calibri" w:cs="Times New Roman"/>
                <w:sz w:val="20"/>
                <w:szCs w:val="20"/>
                <w:lang w:val="hy-AM"/>
              </w:rPr>
              <w:t>Տեղեկատվական հոլովակների հեռառձակում եթերում։</w:t>
            </w:r>
            <w:r w:rsidRPr="0053423A">
              <w:rPr>
                <w:rFonts w:eastAsia="Calibri" w:cs="Times New Roman"/>
                <w:sz w:val="20"/>
                <w:szCs w:val="20"/>
              </w:rPr>
              <w:t xml:space="preserve"> </w:t>
            </w:r>
            <w:r w:rsidRPr="0053423A">
              <w:rPr>
                <w:rFonts w:eastAsia="Calibri" w:cs="Times New Roman"/>
                <w:sz w:val="20"/>
                <w:szCs w:val="20"/>
                <w:lang w:val="hy-AM"/>
              </w:rPr>
              <w:tab/>
              <w:t>Բարձր չափանիշվերի հանդեպ հավատարմության պահպանում։ Հաղորդաշարի ստեղծման և հեռարձակման միջոցով հասարակության կրթամակարդակի բարձրացում,</w:t>
            </w:r>
            <w:r w:rsidRPr="0053423A">
              <w:rPr>
                <w:rFonts w:eastAsia="Calibri" w:cs="Times New Roman"/>
                <w:sz w:val="20"/>
                <w:szCs w:val="20"/>
                <w:lang w:val="af-ZA"/>
              </w:rPr>
              <w:t xml:space="preserve"> հուշարձանների ու պատմական միջավայրի </w:t>
            </w:r>
            <w:r w:rsidRPr="0053423A">
              <w:rPr>
                <w:rFonts w:eastAsia="Calibri" w:cs="Times New Roman"/>
                <w:sz w:val="20"/>
                <w:szCs w:val="20"/>
                <w:lang w:val="hy-AM"/>
              </w:rPr>
              <w:t>պատասխանատու վերաբերմունք։</w:t>
            </w:r>
          </w:p>
          <w:p w:rsidR="00A67B6B" w:rsidRPr="0053423A" w:rsidRDefault="00A67B6B" w:rsidP="00A67858">
            <w:pPr>
              <w:tabs>
                <w:tab w:val="left" w:pos="508"/>
              </w:tabs>
              <w:spacing w:after="0" w:line="276" w:lineRule="auto"/>
              <w:ind w:firstLine="69"/>
              <w:jc w:val="both"/>
              <w:rPr>
                <w:rFonts w:eastAsia="Calibri" w:cs="Times New Roman"/>
                <w:sz w:val="20"/>
                <w:szCs w:val="20"/>
                <w:lang w:val="hy-AM"/>
              </w:rPr>
            </w:pPr>
          </w:p>
          <w:p w:rsidR="00A67B6B" w:rsidRPr="0053423A" w:rsidRDefault="00A67B6B" w:rsidP="001F6D5D">
            <w:pPr>
              <w:numPr>
                <w:ilvl w:val="0"/>
                <w:numId w:val="242"/>
              </w:numPr>
              <w:spacing w:after="0" w:line="276" w:lineRule="auto"/>
              <w:ind w:firstLine="69"/>
              <w:contextualSpacing/>
              <w:jc w:val="both"/>
              <w:rPr>
                <w:rFonts w:eastAsia="Calibri" w:cs="Times New Roman"/>
                <w:b/>
                <w:sz w:val="20"/>
                <w:szCs w:val="20"/>
                <w:lang w:val="af-ZA"/>
              </w:rPr>
            </w:pPr>
            <w:r w:rsidRPr="0053423A">
              <w:rPr>
                <w:rFonts w:eastAsia="Calibri" w:cs="Arial"/>
                <w:b/>
                <w:sz w:val="20"/>
                <w:szCs w:val="20"/>
                <w:lang w:val="hy-AM"/>
              </w:rPr>
              <w:t>Միջոցառման</w:t>
            </w:r>
            <w:r w:rsidRPr="0053423A">
              <w:rPr>
                <w:rFonts w:eastAsia="Calibri" w:cs="Times New Roman"/>
                <w:b/>
                <w:sz w:val="20"/>
                <w:szCs w:val="20"/>
                <w:lang w:val="af-ZA"/>
              </w:rPr>
              <w:t xml:space="preserve"> </w:t>
            </w:r>
            <w:r w:rsidRPr="0053423A">
              <w:rPr>
                <w:rFonts w:eastAsia="Calibri" w:cs="Times New Roman"/>
                <w:b/>
                <w:sz w:val="20"/>
                <w:szCs w:val="20"/>
                <w:lang w:val="hy-AM"/>
              </w:rPr>
              <w:t>իրականացումից</w:t>
            </w:r>
            <w:r w:rsidRPr="0053423A">
              <w:rPr>
                <w:rFonts w:eastAsia="Calibri" w:cs="Times New Roman"/>
                <w:b/>
                <w:sz w:val="20"/>
                <w:szCs w:val="20"/>
                <w:lang w:val="af-ZA"/>
              </w:rPr>
              <w:t xml:space="preserve"> </w:t>
            </w:r>
            <w:r w:rsidRPr="0053423A">
              <w:rPr>
                <w:rFonts w:eastAsia="Calibri" w:cs="Times New Roman"/>
                <w:b/>
                <w:sz w:val="20"/>
                <w:szCs w:val="20"/>
                <w:lang w:val="hy-AM"/>
              </w:rPr>
              <w:t>ակնկալվող</w:t>
            </w:r>
            <w:r w:rsidRPr="0053423A">
              <w:rPr>
                <w:rFonts w:eastAsia="Calibri" w:cs="Times New Roman"/>
                <w:b/>
                <w:sz w:val="20"/>
                <w:szCs w:val="20"/>
                <w:lang w:val="af-ZA"/>
              </w:rPr>
              <w:t xml:space="preserve"> </w:t>
            </w:r>
            <w:r w:rsidRPr="0053423A">
              <w:rPr>
                <w:rFonts w:eastAsia="Calibri" w:cs="Times New Roman"/>
                <w:b/>
                <w:sz w:val="20"/>
                <w:szCs w:val="20"/>
                <w:lang w:val="hy-AM"/>
              </w:rPr>
              <w:t>արդյունքը</w:t>
            </w:r>
            <w:r w:rsidRPr="0053423A">
              <w:rPr>
                <w:rFonts w:eastAsia="Calibri" w:cs="Times New Roman"/>
                <w:b/>
                <w:sz w:val="20"/>
                <w:szCs w:val="20"/>
                <w:lang w:val="af-ZA"/>
              </w:rPr>
              <w:t xml:space="preserve">   </w:t>
            </w:r>
          </w:p>
          <w:p w:rsidR="00A67B6B" w:rsidRPr="0053423A" w:rsidRDefault="00A67B6B" w:rsidP="00A67858">
            <w:pPr>
              <w:tabs>
                <w:tab w:val="left" w:pos="508"/>
              </w:tabs>
              <w:spacing w:after="0" w:line="276" w:lineRule="auto"/>
              <w:ind w:firstLine="69"/>
              <w:jc w:val="both"/>
              <w:rPr>
                <w:rFonts w:eastAsia="Calibri" w:cs="GHEA Grapalat"/>
                <w:b/>
                <w:bCs/>
                <w:sz w:val="20"/>
                <w:szCs w:val="20"/>
              </w:rPr>
            </w:pPr>
            <w:r w:rsidRPr="0053423A">
              <w:rPr>
                <w:rFonts w:eastAsia="Calibri" w:cs="Times New Roman"/>
                <w:sz w:val="20"/>
                <w:szCs w:val="20"/>
                <w:lang w:val="hy-AM"/>
              </w:rPr>
              <w:t>Ակտիվացում ստեղծագործական ոլորտում, որպես հետևանք, եթերի զտում։ Որակյալ հաղորդումներ ստեղծելու դեպքում, Հայկական մշակույթի հանրահռչակում։ Հայաստանի միջազգային վարկանիշի բարձրացում։ Հայաստանի բնակչության իրազեկում։</w:t>
            </w:r>
          </w:p>
        </w:tc>
      </w:tr>
      <w:tr w:rsidR="00A67B6B" w:rsidRPr="00DE2EFA" w:rsidTr="00A67B6B">
        <w:tc>
          <w:tcPr>
            <w:tcW w:w="540" w:type="dxa"/>
            <w:shd w:val="clear" w:color="auto" w:fill="auto"/>
          </w:tcPr>
          <w:p w:rsidR="00A67B6B" w:rsidRPr="0053423A" w:rsidRDefault="00A67B6B" w:rsidP="00A67858">
            <w:pPr>
              <w:tabs>
                <w:tab w:val="left" w:pos="1418"/>
              </w:tabs>
              <w:spacing w:after="0" w:line="276" w:lineRule="auto"/>
              <w:jc w:val="center"/>
              <w:rPr>
                <w:rFonts w:eastAsia="Calibri" w:cs="Times New Roman"/>
                <w:caps/>
                <w:sz w:val="20"/>
                <w:szCs w:val="20"/>
                <w:lang w:val="tr-TR"/>
              </w:rPr>
            </w:pPr>
            <w:r w:rsidRPr="0053423A">
              <w:rPr>
                <w:rFonts w:eastAsia="Calibri" w:cs="Times New Roman"/>
                <w:caps/>
                <w:sz w:val="20"/>
                <w:szCs w:val="20"/>
                <w:lang w:val="tr-TR"/>
              </w:rPr>
              <w:t>11</w:t>
            </w:r>
          </w:p>
        </w:tc>
        <w:tc>
          <w:tcPr>
            <w:tcW w:w="10980" w:type="dxa"/>
            <w:shd w:val="clear" w:color="auto" w:fill="auto"/>
          </w:tcPr>
          <w:p w:rsidR="00A67B6B" w:rsidRPr="0053423A" w:rsidRDefault="00A67B6B" w:rsidP="00A67858">
            <w:pPr>
              <w:tabs>
                <w:tab w:val="left" w:pos="508"/>
              </w:tabs>
              <w:spacing w:after="0" w:line="276" w:lineRule="auto"/>
              <w:jc w:val="center"/>
              <w:rPr>
                <w:rFonts w:eastAsia="Calibri" w:cs="Calibri"/>
                <w:b/>
                <w:sz w:val="20"/>
                <w:szCs w:val="20"/>
                <w:lang w:val="tr-TR"/>
              </w:rPr>
            </w:pPr>
            <w:r w:rsidRPr="0053423A">
              <w:rPr>
                <w:rFonts w:eastAsia="Calibri" w:cs="Calibri"/>
                <w:b/>
                <w:sz w:val="20"/>
                <w:szCs w:val="20"/>
                <w:lang w:val="tr-TR"/>
              </w:rPr>
              <w:t xml:space="preserve">11.1 </w:t>
            </w:r>
            <w:r w:rsidRPr="0053423A">
              <w:rPr>
                <w:rFonts w:eastAsia="Calibri" w:cs="Calibri"/>
                <w:b/>
                <w:sz w:val="20"/>
                <w:szCs w:val="20"/>
              </w:rPr>
              <w:t>Երկկողմ</w:t>
            </w:r>
            <w:r w:rsidRPr="0053423A">
              <w:rPr>
                <w:rFonts w:eastAsia="Calibri" w:cs="Calibri"/>
                <w:b/>
                <w:sz w:val="20"/>
                <w:szCs w:val="20"/>
                <w:lang w:val="tr-TR"/>
              </w:rPr>
              <w:t xml:space="preserve"> </w:t>
            </w:r>
            <w:r w:rsidRPr="0053423A">
              <w:rPr>
                <w:rFonts w:eastAsia="Calibri" w:cs="Calibri"/>
                <w:b/>
                <w:sz w:val="20"/>
                <w:szCs w:val="20"/>
              </w:rPr>
              <w:t>համագործակցություն</w:t>
            </w:r>
            <w:r w:rsidRPr="0053423A">
              <w:rPr>
                <w:rFonts w:eastAsia="Calibri" w:cs="Calibri"/>
                <w:b/>
                <w:sz w:val="20"/>
                <w:szCs w:val="20"/>
                <w:lang w:val="tr-TR"/>
              </w:rPr>
              <w:t xml:space="preserve">  </w:t>
            </w:r>
            <w:r w:rsidRPr="0053423A">
              <w:rPr>
                <w:rFonts w:eastAsia="Calibri" w:cs="Calibri"/>
                <w:b/>
                <w:sz w:val="20"/>
                <w:szCs w:val="20"/>
              </w:rPr>
              <w:t>մշակույթի</w:t>
            </w:r>
            <w:r w:rsidRPr="0053423A">
              <w:rPr>
                <w:rFonts w:eastAsia="Calibri" w:cs="Calibri"/>
                <w:b/>
                <w:sz w:val="20"/>
                <w:szCs w:val="20"/>
                <w:lang w:val="tr-TR"/>
              </w:rPr>
              <w:t xml:space="preserve"> </w:t>
            </w:r>
            <w:r w:rsidRPr="0053423A">
              <w:rPr>
                <w:rFonts w:eastAsia="Calibri" w:cs="Calibri"/>
                <w:b/>
                <w:sz w:val="20"/>
                <w:szCs w:val="20"/>
              </w:rPr>
              <w:t>օրերի</w:t>
            </w:r>
            <w:r w:rsidRPr="0053423A">
              <w:rPr>
                <w:rFonts w:eastAsia="Calibri" w:cs="Calibri"/>
                <w:b/>
                <w:sz w:val="20"/>
                <w:szCs w:val="20"/>
                <w:lang w:val="tr-TR"/>
              </w:rPr>
              <w:t xml:space="preserve"> </w:t>
            </w:r>
            <w:r w:rsidRPr="0053423A">
              <w:rPr>
                <w:rFonts w:eastAsia="Calibri" w:cs="Calibri"/>
                <w:b/>
                <w:sz w:val="20"/>
                <w:szCs w:val="20"/>
              </w:rPr>
              <w:t>ձևաչափով</w:t>
            </w:r>
          </w:p>
          <w:p w:rsidR="00A67B6B" w:rsidRPr="0053423A" w:rsidRDefault="00A67B6B" w:rsidP="00A67858">
            <w:pPr>
              <w:tabs>
                <w:tab w:val="left" w:pos="508"/>
              </w:tabs>
              <w:spacing w:after="0" w:line="276" w:lineRule="auto"/>
              <w:jc w:val="center"/>
              <w:rPr>
                <w:rFonts w:eastAsia="Calibri" w:cs="Calibri"/>
                <w:sz w:val="20"/>
                <w:szCs w:val="20"/>
                <w:lang w:val="tr-TR"/>
              </w:rPr>
            </w:pPr>
          </w:p>
          <w:p w:rsidR="00A67B6B" w:rsidRPr="0053423A" w:rsidRDefault="00A67B6B" w:rsidP="001F6D5D">
            <w:pPr>
              <w:numPr>
                <w:ilvl w:val="0"/>
                <w:numId w:val="227"/>
              </w:numPr>
              <w:tabs>
                <w:tab w:val="left" w:pos="508"/>
              </w:tabs>
              <w:spacing w:after="0" w:line="276" w:lineRule="auto"/>
              <w:ind w:hanging="720"/>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իրականացման</w:t>
            </w:r>
            <w:r w:rsidRPr="0053423A">
              <w:rPr>
                <w:rFonts w:eastAsia="Calibri" w:cs="Calibri"/>
                <w:b/>
                <w:sz w:val="20"/>
                <w:szCs w:val="20"/>
                <w:lang w:val="tr-TR"/>
              </w:rPr>
              <w:t xml:space="preserve"> </w:t>
            </w:r>
            <w:r w:rsidRPr="0053423A">
              <w:rPr>
                <w:rFonts w:eastAsia="Calibri" w:cs="Calibri"/>
                <w:b/>
                <w:sz w:val="20"/>
                <w:szCs w:val="20"/>
              </w:rPr>
              <w:t>անհրաժեշտությունը</w:t>
            </w:r>
            <w:r w:rsidRPr="0053423A">
              <w:rPr>
                <w:rFonts w:eastAsia="Calibri" w:cs="Calibri"/>
                <w:b/>
                <w:sz w:val="20"/>
                <w:szCs w:val="20"/>
                <w:lang w:val="tr-TR"/>
              </w:rPr>
              <w:t xml:space="preserve"> </w:t>
            </w:r>
            <w:r w:rsidRPr="0053423A">
              <w:rPr>
                <w:rFonts w:eastAsia="Calibri" w:cs="Calibri"/>
                <w:b/>
                <w:sz w:val="20"/>
                <w:szCs w:val="20"/>
              </w:rPr>
              <w:t>և</w:t>
            </w:r>
            <w:r w:rsidRPr="0053423A">
              <w:rPr>
                <w:rFonts w:eastAsia="Calibri" w:cs="Calibri"/>
                <w:b/>
                <w:sz w:val="20"/>
                <w:szCs w:val="20"/>
                <w:lang w:val="tr-TR"/>
              </w:rPr>
              <w:t xml:space="preserve"> </w:t>
            </w:r>
            <w:r w:rsidRPr="0053423A">
              <w:rPr>
                <w:rFonts w:eastAsia="Calibri" w:cs="Calibri"/>
                <w:b/>
                <w:sz w:val="20"/>
                <w:szCs w:val="20"/>
              </w:rPr>
              <w:t>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Calibri"/>
                <w:sz w:val="20"/>
                <w:szCs w:val="20"/>
              </w:rPr>
              <w:t>Մշակույթի</w:t>
            </w:r>
            <w:r w:rsidRPr="0053423A">
              <w:rPr>
                <w:rFonts w:eastAsia="Calibri" w:cs="Calibri"/>
                <w:sz w:val="20"/>
                <w:szCs w:val="20"/>
                <w:lang w:val="tr-TR"/>
              </w:rPr>
              <w:t xml:space="preserve"> </w:t>
            </w:r>
            <w:r w:rsidRPr="0053423A">
              <w:rPr>
                <w:rFonts w:eastAsia="Calibri" w:cs="Calibri"/>
                <w:sz w:val="20"/>
                <w:szCs w:val="20"/>
              </w:rPr>
              <w:t>նախարարությունն</w:t>
            </w:r>
            <w:r w:rsidRPr="0053423A">
              <w:rPr>
                <w:rFonts w:eastAsia="Calibri" w:cs="Calibri"/>
                <w:sz w:val="20"/>
                <w:szCs w:val="20"/>
                <w:lang w:val="tr-TR"/>
              </w:rPr>
              <w:t xml:space="preserve"> </w:t>
            </w:r>
            <w:r w:rsidRPr="0053423A">
              <w:rPr>
                <w:rFonts w:eastAsia="Calibri" w:cs="Calibri"/>
                <w:sz w:val="20"/>
                <w:szCs w:val="20"/>
              </w:rPr>
              <w:t>ունի</w:t>
            </w:r>
            <w:r w:rsidRPr="0053423A">
              <w:rPr>
                <w:rFonts w:eastAsia="Calibri" w:cs="Calibri"/>
                <w:sz w:val="20"/>
                <w:szCs w:val="20"/>
                <w:lang w:val="tr-TR"/>
              </w:rPr>
              <w:t xml:space="preserve"> </w:t>
            </w:r>
            <w:r w:rsidRPr="0053423A">
              <w:rPr>
                <w:rFonts w:eastAsia="Calibri" w:cs="Calibri"/>
                <w:sz w:val="20"/>
                <w:szCs w:val="20"/>
              </w:rPr>
              <w:t>երկկողմ</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համագործակցության</w:t>
            </w:r>
            <w:r w:rsidRPr="0053423A">
              <w:rPr>
                <w:rFonts w:eastAsia="Calibri" w:cs="Calibri"/>
                <w:sz w:val="20"/>
                <w:szCs w:val="20"/>
                <w:lang w:val="tr-TR"/>
              </w:rPr>
              <w:t xml:space="preserve"> </w:t>
            </w:r>
            <w:r w:rsidRPr="0053423A">
              <w:rPr>
                <w:rFonts w:eastAsia="Calibri" w:cs="Calibri"/>
                <w:sz w:val="20"/>
                <w:szCs w:val="20"/>
              </w:rPr>
              <w:t>նպատակով</w:t>
            </w:r>
            <w:r w:rsidRPr="0053423A">
              <w:rPr>
                <w:rFonts w:eastAsia="Calibri" w:cs="Calibri"/>
                <w:sz w:val="20"/>
                <w:szCs w:val="20"/>
                <w:lang w:val="tr-TR"/>
              </w:rPr>
              <w:t xml:space="preserve"> </w:t>
            </w:r>
            <w:r w:rsidRPr="0053423A">
              <w:rPr>
                <w:rFonts w:eastAsia="Calibri" w:cs="Calibri"/>
                <w:sz w:val="20"/>
                <w:szCs w:val="20"/>
              </w:rPr>
              <w:t>մշակված</w:t>
            </w:r>
            <w:r w:rsidRPr="0053423A">
              <w:rPr>
                <w:rFonts w:eastAsia="Calibri" w:cs="Calibri"/>
                <w:sz w:val="20"/>
                <w:szCs w:val="20"/>
                <w:lang w:val="tr-TR"/>
              </w:rPr>
              <w:t xml:space="preserve"> </w:t>
            </w:r>
            <w:r w:rsidRPr="0053423A">
              <w:rPr>
                <w:rFonts w:eastAsia="Calibri" w:cs="Calibri"/>
                <w:sz w:val="20"/>
                <w:szCs w:val="20"/>
              </w:rPr>
              <w:t>ծրագրերի</w:t>
            </w:r>
            <w:r w:rsidRPr="0053423A">
              <w:rPr>
                <w:rFonts w:eastAsia="Calibri" w:cs="Calibri"/>
                <w:sz w:val="20"/>
                <w:szCs w:val="20"/>
                <w:lang w:val="tr-TR"/>
              </w:rPr>
              <w:t xml:space="preserve"> </w:t>
            </w:r>
            <w:r w:rsidRPr="0053423A">
              <w:rPr>
                <w:rFonts w:eastAsia="Calibri" w:cs="Calibri"/>
                <w:sz w:val="20"/>
                <w:szCs w:val="20"/>
              </w:rPr>
              <w:t>տարբեր</w:t>
            </w:r>
            <w:r w:rsidRPr="0053423A">
              <w:rPr>
                <w:rFonts w:eastAsia="Calibri" w:cs="Calibri"/>
                <w:sz w:val="20"/>
                <w:szCs w:val="20"/>
                <w:lang w:val="tr-TR"/>
              </w:rPr>
              <w:t xml:space="preserve"> </w:t>
            </w:r>
            <w:r w:rsidRPr="0053423A">
              <w:rPr>
                <w:rFonts w:eastAsia="Calibri" w:cs="Calibri"/>
                <w:sz w:val="20"/>
                <w:szCs w:val="20"/>
              </w:rPr>
              <w:t>ձևաչափեր</w:t>
            </w:r>
            <w:r w:rsidRPr="0053423A">
              <w:rPr>
                <w:rFonts w:eastAsia="Calibri" w:cs="Calibri"/>
                <w:sz w:val="20"/>
                <w:szCs w:val="20"/>
                <w:lang w:val="tr-TR"/>
              </w:rPr>
              <w:t xml:space="preserve">, </w:t>
            </w:r>
            <w:r w:rsidRPr="0053423A">
              <w:rPr>
                <w:rFonts w:eastAsia="Calibri" w:cs="Calibri"/>
                <w:sz w:val="20"/>
                <w:szCs w:val="20"/>
              </w:rPr>
              <w:t>որոնցից</w:t>
            </w:r>
            <w:r w:rsidRPr="0053423A">
              <w:rPr>
                <w:rFonts w:eastAsia="Calibri" w:cs="Calibri"/>
                <w:sz w:val="20"/>
                <w:szCs w:val="20"/>
                <w:lang w:val="tr-TR"/>
              </w:rPr>
              <w:t xml:space="preserve"> </w:t>
            </w:r>
            <w:r w:rsidRPr="0053423A">
              <w:rPr>
                <w:rFonts w:eastAsia="Calibri" w:cs="Calibri"/>
                <w:sz w:val="20"/>
                <w:szCs w:val="20"/>
              </w:rPr>
              <w:t>մեկը</w:t>
            </w:r>
            <w:r w:rsidRPr="0053423A">
              <w:rPr>
                <w:rFonts w:eastAsia="Calibri" w:cs="Calibri"/>
                <w:sz w:val="20"/>
                <w:szCs w:val="20"/>
                <w:lang w:val="tr-TR"/>
              </w:rPr>
              <w:t xml:space="preserve"> </w:t>
            </w:r>
            <w:r w:rsidRPr="0053423A">
              <w:rPr>
                <w:rFonts w:eastAsia="Calibri" w:cs="Calibri"/>
                <w:sz w:val="20"/>
                <w:szCs w:val="20"/>
              </w:rPr>
              <w:t>հայկական</w:t>
            </w:r>
            <w:r w:rsidRPr="0053423A">
              <w:rPr>
                <w:rFonts w:eastAsia="Calibri" w:cs="Calibri"/>
                <w:sz w:val="20"/>
                <w:szCs w:val="20"/>
                <w:lang w:val="tr-TR"/>
              </w:rPr>
              <w:t xml:space="preserve"> </w:t>
            </w:r>
            <w:r w:rsidRPr="0053423A">
              <w:rPr>
                <w:rFonts w:eastAsia="Calibri" w:cs="Calibri"/>
                <w:sz w:val="20"/>
                <w:szCs w:val="20"/>
              </w:rPr>
              <w:t>մշակույթի</w:t>
            </w:r>
            <w:r w:rsidRPr="0053423A">
              <w:rPr>
                <w:rFonts w:eastAsia="Calibri" w:cs="Calibri"/>
                <w:sz w:val="20"/>
                <w:szCs w:val="20"/>
                <w:lang w:val="tr-TR"/>
              </w:rPr>
              <w:t xml:space="preserve"> </w:t>
            </w:r>
            <w:r w:rsidRPr="0053423A">
              <w:rPr>
                <w:rFonts w:eastAsia="Calibri" w:cs="Calibri"/>
                <w:sz w:val="20"/>
                <w:szCs w:val="20"/>
              </w:rPr>
              <w:t>օրերի</w:t>
            </w:r>
            <w:r w:rsidRPr="0053423A">
              <w:rPr>
                <w:rFonts w:eastAsia="Calibri" w:cs="Calibri"/>
                <w:sz w:val="20"/>
                <w:szCs w:val="20"/>
                <w:lang w:val="tr-TR"/>
              </w:rPr>
              <w:t xml:space="preserve"> </w:t>
            </w:r>
            <w:r w:rsidRPr="0053423A">
              <w:rPr>
                <w:rFonts w:eastAsia="Calibri" w:cs="Calibri"/>
                <w:sz w:val="20"/>
                <w:szCs w:val="20"/>
              </w:rPr>
              <w:t>անցկացումն</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տարբեր</w:t>
            </w:r>
            <w:r w:rsidRPr="0053423A">
              <w:rPr>
                <w:rFonts w:eastAsia="Calibri" w:cs="Calibri"/>
                <w:sz w:val="20"/>
                <w:szCs w:val="20"/>
                <w:lang w:val="tr-TR"/>
              </w:rPr>
              <w:t xml:space="preserve"> </w:t>
            </w:r>
            <w:r w:rsidRPr="0053423A">
              <w:rPr>
                <w:rFonts w:eastAsia="Calibri" w:cs="Calibri"/>
                <w:sz w:val="20"/>
                <w:szCs w:val="20"/>
              </w:rPr>
              <w:t>պետություններում</w:t>
            </w:r>
            <w:r w:rsidRPr="0053423A">
              <w:rPr>
                <w:rFonts w:eastAsia="Calibri" w:cs="Calibri"/>
                <w:sz w:val="20"/>
                <w:szCs w:val="20"/>
                <w:lang w:val="tr-TR"/>
              </w:rPr>
              <w:t xml:space="preserve">: </w:t>
            </w:r>
            <w:r w:rsidRPr="0053423A">
              <w:rPr>
                <w:rFonts w:eastAsia="Calibri" w:cs="Calibri"/>
                <w:sz w:val="20"/>
                <w:szCs w:val="20"/>
              </w:rPr>
              <w:t>Մշակույթի</w:t>
            </w:r>
            <w:r w:rsidRPr="0053423A">
              <w:rPr>
                <w:rFonts w:eastAsia="Calibri" w:cs="Calibri"/>
                <w:sz w:val="20"/>
                <w:szCs w:val="20"/>
                <w:lang w:val="tr-TR"/>
              </w:rPr>
              <w:t xml:space="preserve"> </w:t>
            </w:r>
            <w:r w:rsidRPr="0053423A">
              <w:rPr>
                <w:rFonts w:eastAsia="Calibri" w:cs="Calibri"/>
                <w:sz w:val="20"/>
                <w:szCs w:val="20"/>
              </w:rPr>
              <w:t>օրերի</w:t>
            </w:r>
            <w:r w:rsidRPr="0053423A">
              <w:rPr>
                <w:rFonts w:eastAsia="Calibri" w:cs="Calibri"/>
                <w:sz w:val="20"/>
                <w:szCs w:val="20"/>
                <w:lang w:val="tr-TR"/>
              </w:rPr>
              <w:t xml:space="preserve"> </w:t>
            </w:r>
            <w:r w:rsidRPr="0053423A">
              <w:rPr>
                <w:rFonts w:eastAsia="Calibri" w:cs="Calibri"/>
                <w:sz w:val="20"/>
                <w:szCs w:val="20"/>
              </w:rPr>
              <w:t>անցկացման</w:t>
            </w:r>
            <w:r w:rsidRPr="0053423A">
              <w:rPr>
                <w:rFonts w:eastAsia="Calibri" w:cs="Calibri"/>
                <w:sz w:val="20"/>
                <w:szCs w:val="20"/>
                <w:lang w:val="tr-TR"/>
              </w:rPr>
              <w:t xml:space="preserve"> </w:t>
            </w:r>
            <w:r w:rsidRPr="0053423A">
              <w:rPr>
                <w:rFonts w:eastAsia="Calibri" w:cs="Calibri"/>
                <w:sz w:val="20"/>
                <w:szCs w:val="20"/>
              </w:rPr>
              <w:t>անհրաժեշտությունը</w:t>
            </w:r>
            <w:r w:rsidRPr="0053423A">
              <w:rPr>
                <w:rFonts w:eastAsia="Calibri" w:cs="Calibri"/>
                <w:sz w:val="20"/>
                <w:szCs w:val="20"/>
                <w:lang w:val="tr-TR"/>
              </w:rPr>
              <w:t xml:space="preserve"> </w:t>
            </w:r>
            <w:r w:rsidRPr="0053423A">
              <w:rPr>
                <w:rFonts w:eastAsia="Calibri" w:cs="Calibri"/>
                <w:sz w:val="20"/>
                <w:szCs w:val="20"/>
              </w:rPr>
              <w:t>բխում</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ստորագրված</w:t>
            </w:r>
            <w:r w:rsidRPr="0053423A">
              <w:rPr>
                <w:rFonts w:eastAsia="Calibri" w:cs="Calibri"/>
                <w:sz w:val="20"/>
                <w:szCs w:val="20"/>
                <w:lang w:val="tr-TR"/>
              </w:rPr>
              <w:t xml:space="preserve"> </w:t>
            </w:r>
            <w:r w:rsidRPr="0053423A">
              <w:rPr>
                <w:rFonts w:eastAsia="Calibri" w:cs="Calibri"/>
                <w:sz w:val="20"/>
                <w:szCs w:val="20"/>
              </w:rPr>
              <w:t>երկկողմ</w:t>
            </w:r>
            <w:r w:rsidRPr="0053423A">
              <w:rPr>
                <w:rFonts w:eastAsia="Calibri" w:cs="Calibri"/>
                <w:sz w:val="20"/>
                <w:szCs w:val="20"/>
                <w:lang w:val="tr-TR"/>
              </w:rPr>
              <w:t xml:space="preserve"> </w:t>
            </w:r>
            <w:r w:rsidRPr="0053423A">
              <w:rPr>
                <w:rFonts w:eastAsia="Calibri" w:cs="Calibri"/>
                <w:sz w:val="20"/>
                <w:szCs w:val="20"/>
              </w:rPr>
              <w:t>փաստաթղթերից</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այդ</w:t>
            </w:r>
            <w:r w:rsidRPr="0053423A">
              <w:rPr>
                <w:rFonts w:eastAsia="Calibri" w:cs="Calibri"/>
                <w:sz w:val="20"/>
                <w:szCs w:val="20"/>
                <w:lang w:val="tr-TR"/>
              </w:rPr>
              <w:t xml:space="preserve"> </w:t>
            </w:r>
            <w:r w:rsidRPr="0053423A">
              <w:rPr>
                <w:rFonts w:eastAsia="Calibri" w:cs="Calibri"/>
                <w:sz w:val="20"/>
                <w:szCs w:val="20"/>
              </w:rPr>
              <w:t>պետությունում</w:t>
            </w:r>
            <w:r w:rsidRPr="0053423A">
              <w:rPr>
                <w:rFonts w:eastAsia="Calibri" w:cs="Calibri"/>
                <w:sz w:val="20"/>
                <w:szCs w:val="20"/>
                <w:lang w:val="tr-TR"/>
              </w:rPr>
              <w:t xml:space="preserve"> </w:t>
            </w:r>
            <w:r w:rsidRPr="0053423A">
              <w:rPr>
                <w:rFonts w:eastAsia="Calibri" w:cs="Calibri"/>
                <w:sz w:val="20"/>
                <w:szCs w:val="20"/>
              </w:rPr>
              <w:t>հայկական</w:t>
            </w:r>
            <w:r w:rsidRPr="0053423A">
              <w:rPr>
                <w:rFonts w:eastAsia="Calibri" w:cs="Calibri"/>
                <w:sz w:val="20"/>
                <w:szCs w:val="20"/>
                <w:lang w:val="tr-TR"/>
              </w:rPr>
              <w:t xml:space="preserve"> </w:t>
            </w:r>
            <w:r w:rsidRPr="0053423A">
              <w:rPr>
                <w:rFonts w:eastAsia="Calibri" w:cs="Calibri"/>
                <w:sz w:val="20"/>
                <w:szCs w:val="20"/>
              </w:rPr>
              <w:t>մշակույթը</w:t>
            </w:r>
            <w:r w:rsidRPr="0053423A">
              <w:rPr>
                <w:rFonts w:eastAsia="Calibri" w:cs="Calibri"/>
                <w:sz w:val="20"/>
                <w:szCs w:val="20"/>
                <w:lang w:val="tr-TR"/>
              </w:rPr>
              <w:t xml:space="preserve"> </w:t>
            </w:r>
            <w:r w:rsidRPr="0053423A">
              <w:rPr>
                <w:rFonts w:eastAsia="Calibri" w:cs="Calibri"/>
                <w:sz w:val="20"/>
                <w:szCs w:val="20"/>
              </w:rPr>
              <w:t>բազմակողմ</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հնարավորինս</w:t>
            </w:r>
            <w:r w:rsidRPr="0053423A">
              <w:rPr>
                <w:rFonts w:eastAsia="Calibri" w:cs="Calibri"/>
                <w:sz w:val="20"/>
                <w:szCs w:val="20"/>
                <w:lang w:val="tr-TR"/>
              </w:rPr>
              <w:t xml:space="preserve"> </w:t>
            </w:r>
            <w:r w:rsidRPr="0053423A">
              <w:rPr>
                <w:rFonts w:eastAsia="Calibri" w:cs="Calibri"/>
                <w:sz w:val="20"/>
                <w:szCs w:val="20"/>
              </w:rPr>
              <w:t>լայն</w:t>
            </w:r>
            <w:r w:rsidRPr="0053423A">
              <w:rPr>
                <w:rFonts w:eastAsia="Calibri" w:cs="Calibri"/>
                <w:sz w:val="20"/>
                <w:szCs w:val="20"/>
                <w:lang w:val="tr-TR"/>
              </w:rPr>
              <w:t xml:space="preserve"> </w:t>
            </w:r>
            <w:r w:rsidRPr="0053423A">
              <w:rPr>
                <w:rFonts w:eastAsia="Calibri" w:cs="Calibri"/>
                <w:sz w:val="20"/>
                <w:szCs w:val="20"/>
              </w:rPr>
              <w:t>ներկայացնելու</w:t>
            </w:r>
            <w:r w:rsidRPr="0053423A">
              <w:rPr>
                <w:rFonts w:eastAsia="Calibri" w:cs="Calibri"/>
                <w:sz w:val="20"/>
                <w:szCs w:val="20"/>
                <w:lang w:val="tr-TR"/>
              </w:rPr>
              <w:t xml:space="preserve"> </w:t>
            </w:r>
            <w:r w:rsidRPr="0053423A">
              <w:rPr>
                <w:rFonts w:eastAsia="Calibri" w:cs="Calibri"/>
                <w:sz w:val="20"/>
                <w:szCs w:val="20"/>
              </w:rPr>
              <w:t>քաղաքական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դիվանագիտության</w:t>
            </w:r>
            <w:r w:rsidRPr="0053423A">
              <w:rPr>
                <w:rFonts w:eastAsia="Calibri" w:cs="Calibri"/>
                <w:sz w:val="20"/>
                <w:szCs w:val="20"/>
                <w:lang w:val="tr-TR"/>
              </w:rPr>
              <w:t xml:space="preserve"> </w:t>
            </w:r>
            <w:r w:rsidRPr="0053423A">
              <w:rPr>
                <w:rFonts w:eastAsia="Calibri" w:cs="Calibri"/>
                <w:sz w:val="20"/>
                <w:szCs w:val="20"/>
              </w:rPr>
              <w:t>անհրաժեշտությունից</w:t>
            </w:r>
            <w:r w:rsidRPr="0053423A">
              <w:rPr>
                <w:rFonts w:eastAsia="Calibri" w:cs="Calibri"/>
                <w:sz w:val="20"/>
                <w:szCs w:val="20"/>
                <w:lang w:val="tr-TR"/>
              </w:rPr>
              <w:t xml:space="preserve">: </w:t>
            </w:r>
            <w:r w:rsidRPr="0053423A">
              <w:rPr>
                <w:rFonts w:eastAsia="Calibri" w:cs="Calibri"/>
                <w:sz w:val="20"/>
                <w:szCs w:val="20"/>
              </w:rPr>
              <w:t>Միջոցառման</w:t>
            </w:r>
            <w:r w:rsidRPr="0053423A">
              <w:rPr>
                <w:rFonts w:eastAsia="Calibri" w:cs="Calibri"/>
                <w:sz w:val="20"/>
                <w:szCs w:val="20"/>
                <w:lang w:val="tr-TR"/>
              </w:rPr>
              <w:t xml:space="preserve"> </w:t>
            </w:r>
            <w:r w:rsidRPr="0053423A">
              <w:rPr>
                <w:rFonts w:eastAsia="Calibri" w:cs="Calibri"/>
                <w:sz w:val="20"/>
                <w:szCs w:val="20"/>
              </w:rPr>
              <w:t>նպատակն</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լավագույնս</w:t>
            </w:r>
            <w:r w:rsidRPr="0053423A">
              <w:rPr>
                <w:rFonts w:eastAsia="Calibri" w:cs="Calibri"/>
                <w:sz w:val="20"/>
                <w:szCs w:val="20"/>
                <w:lang w:val="tr-TR"/>
              </w:rPr>
              <w:t xml:space="preserve"> </w:t>
            </w:r>
            <w:r w:rsidRPr="0053423A">
              <w:rPr>
                <w:rFonts w:eastAsia="Calibri" w:cs="Calibri"/>
                <w:sz w:val="20"/>
                <w:szCs w:val="20"/>
              </w:rPr>
              <w:t>հանրահռչակել</w:t>
            </w:r>
            <w:r w:rsidRPr="0053423A">
              <w:rPr>
                <w:rFonts w:eastAsia="Calibri" w:cs="Calibri"/>
                <w:sz w:val="20"/>
                <w:szCs w:val="20"/>
                <w:lang w:val="tr-TR"/>
              </w:rPr>
              <w:t xml:space="preserve"> </w:t>
            </w:r>
            <w:r w:rsidRPr="0053423A">
              <w:rPr>
                <w:rFonts w:eastAsia="Calibri" w:cs="Calibri"/>
                <w:sz w:val="20"/>
                <w:szCs w:val="20"/>
              </w:rPr>
              <w:t>հայ</w:t>
            </w:r>
            <w:r w:rsidRPr="0053423A">
              <w:rPr>
                <w:rFonts w:eastAsia="Calibri" w:cs="Calibri"/>
                <w:sz w:val="20"/>
                <w:szCs w:val="20"/>
                <w:lang w:val="tr-TR"/>
              </w:rPr>
              <w:t xml:space="preserve"> </w:t>
            </w:r>
            <w:r w:rsidRPr="0053423A">
              <w:rPr>
                <w:rFonts w:eastAsia="Calibri" w:cs="Calibri"/>
                <w:sz w:val="20"/>
                <w:szCs w:val="20"/>
              </w:rPr>
              <w:t>մշակույթը</w:t>
            </w:r>
            <w:r w:rsidRPr="0053423A">
              <w:rPr>
                <w:rFonts w:eastAsia="Calibri" w:cs="Calibri"/>
                <w:sz w:val="20"/>
                <w:szCs w:val="20"/>
                <w:lang w:val="tr-TR"/>
              </w:rPr>
              <w:t xml:space="preserve">` </w:t>
            </w:r>
            <w:r w:rsidRPr="0053423A">
              <w:rPr>
                <w:rFonts w:eastAsia="Calibri" w:cs="Calibri"/>
                <w:sz w:val="20"/>
                <w:szCs w:val="20"/>
              </w:rPr>
              <w:t>հաշվի</w:t>
            </w:r>
            <w:r w:rsidRPr="0053423A">
              <w:rPr>
                <w:rFonts w:eastAsia="Calibri" w:cs="Calibri"/>
                <w:sz w:val="20"/>
                <w:szCs w:val="20"/>
                <w:lang w:val="tr-TR"/>
              </w:rPr>
              <w:t xml:space="preserve"> </w:t>
            </w:r>
            <w:r w:rsidRPr="0053423A">
              <w:rPr>
                <w:rFonts w:eastAsia="Calibri" w:cs="Calibri"/>
                <w:sz w:val="20"/>
                <w:szCs w:val="20"/>
              </w:rPr>
              <w:t>առնելով</w:t>
            </w:r>
            <w:r w:rsidRPr="0053423A">
              <w:rPr>
                <w:rFonts w:eastAsia="Calibri" w:cs="Calibri"/>
                <w:sz w:val="20"/>
                <w:szCs w:val="20"/>
                <w:lang w:val="tr-TR"/>
              </w:rPr>
              <w:t xml:space="preserve"> </w:t>
            </w:r>
            <w:r w:rsidRPr="0053423A">
              <w:rPr>
                <w:rFonts w:eastAsia="Calibri" w:cs="Calibri"/>
                <w:sz w:val="20"/>
                <w:szCs w:val="20"/>
              </w:rPr>
              <w:t>կոնկրետ</w:t>
            </w:r>
            <w:r w:rsidRPr="0053423A">
              <w:rPr>
                <w:rFonts w:eastAsia="Calibri" w:cs="Calibri"/>
                <w:sz w:val="20"/>
                <w:szCs w:val="20"/>
                <w:lang w:val="tr-TR"/>
              </w:rPr>
              <w:t xml:space="preserve"> </w:t>
            </w:r>
            <w:r w:rsidRPr="0053423A">
              <w:rPr>
                <w:rFonts w:eastAsia="Calibri" w:cs="Calibri"/>
                <w:sz w:val="20"/>
                <w:szCs w:val="20"/>
              </w:rPr>
              <w:t>պետության</w:t>
            </w:r>
            <w:r w:rsidRPr="0053423A">
              <w:rPr>
                <w:rFonts w:eastAsia="Calibri" w:cs="Calibri"/>
                <w:sz w:val="20"/>
                <w:szCs w:val="20"/>
                <w:lang w:val="tr-TR"/>
              </w:rPr>
              <w:t xml:space="preserve"> </w:t>
            </w:r>
            <w:r w:rsidRPr="0053423A">
              <w:rPr>
                <w:rFonts w:eastAsia="Calibri" w:cs="Calibri"/>
                <w:sz w:val="20"/>
                <w:szCs w:val="20"/>
              </w:rPr>
              <w:t>քաղաքական</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հասարակական</w:t>
            </w:r>
            <w:r w:rsidRPr="0053423A">
              <w:rPr>
                <w:rFonts w:eastAsia="Calibri" w:cs="Calibri"/>
                <w:sz w:val="20"/>
                <w:szCs w:val="20"/>
                <w:lang w:val="tr-TR"/>
              </w:rPr>
              <w:t xml:space="preserve"> </w:t>
            </w:r>
            <w:r w:rsidRPr="0053423A">
              <w:rPr>
                <w:rFonts w:eastAsia="Calibri" w:cs="Calibri"/>
                <w:sz w:val="20"/>
                <w:szCs w:val="20"/>
              </w:rPr>
              <w:t>առանձնահատկությունները</w:t>
            </w:r>
            <w:r w:rsidRPr="0053423A">
              <w:rPr>
                <w:rFonts w:eastAsia="Calibri" w:cs="Calibri"/>
                <w:sz w:val="20"/>
                <w:szCs w:val="20"/>
                <w:lang w:val="tr-TR"/>
              </w:rPr>
              <w:t xml:space="preserve"> </w:t>
            </w:r>
            <w:r w:rsidRPr="0053423A">
              <w:rPr>
                <w:rFonts w:eastAsia="Calibri" w:cs="Calibri"/>
                <w:sz w:val="20"/>
                <w:szCs w:val="20"/>
              </w:rPr>
              <w:t>կոնկրետ</w:t>
            </w:r>
            <w:r w:rsidRPr="0053423A">
              <w:rPr>
                <w:rFonts w:eastAsia="Calibri" w:cs="Calibri"/>
                <w:sz w:val="20"/>
                <w:szCs w:val="20"/>
                <w:lang w:val="tr-TR"/>
              </w:rPr>
              <w:t xml:space="preserve"> </w:t>
            </w:r>
            <w:r w:rsidRPr="0053423A">
              <w:rPr>
                <w:rFonts w:eastAsia="Calibri" w:cs="Calibri"/>
                <w:sz w:val="20"/>
                <w:szCs w:val="20"/>
              </w:rPr>
              <w:t>ժամանակաշրջանում</w:t>
            </w:r>
            <w:r w:rsidRPr="0053423A">
              <w:rPr>
                <w:rFonts w:eastAsia="Calibri" w:cs="Calibri"/>
                <w:sz w:val="20"/>
                <w:szCs w:val="20"/>
                <w:lang w:val="tr-TR"/>
              </w:rPr>
              <w:t xml:space="preserve">: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jc w:val="both"/>
              <w:rPr>
                <w:rFonts w:eastAsia="Calibri" w:cs="Calibri"/>
                <w:sz w:val="20"/>
                <w:szCs w:val="20"/>
                <w:lang w:val="tr-TR"/>
              </w:rPr>
            </w:pPr>
          </w:p>
          <w:p w:rsidR="00A67B6B" w:rsidRPr="0053423A" w:rsidRDefault="00A67B6B" w:rsidP="001F6D5D">
            <w:pPr>
              <w:numPr>
                <w:ilvl w:val="1"/>
                <w:numId w:val="227"/>
              </w:numPr>
              <w:tabs>
                <w:tab w:val="left" w:pos="508"/>
              </w:tabs>
              <w:spacing w:after="0" w:line="276" w:lineRule="auto"/>
              <w:jc w:val="both"/>
              <w:rPr>
                <w:rFonts w:eastAsia="Calibri" w:cs="Calibri"/>
                <w:b/>
                <w:sz w:val="20"/>
                <w:szCs w:val="20"/>
                <w:lang w:val="tr-TR"/>
              </w:rPr>
            </w:pPr>
            <w:r w:rsidRPr="0053423A">
              <w:rPr>
                <w:rFonts w:eastAsia="Calibri" w:cs="Calibri"/>
                <w:b/>
                <w:sz w:val="20"/>
                <w:szCs w:val="20"/>
              </w:rPr>
              <w:t>Կարգավորման</w:t>
            </w:r>
            <w:r w:rsidRPr="0053423A">
              <w:rPr>
                <w:rFonts w:eastAsia="Calibri" w:cs="Calibri"/>
                <w:b/>
                <w:sz w:val="20"/>
                <w:szCs w:val="20"/>
                <w:lang w:val="tr-TR"/>
              </w:rPr>
              <w:t xml:space="preserve"> </w:t>
            </w:r>
            <w:r w:rsidRPr="0053423A">
              <w:rPr>
                <w:rFonts w:eastAsia="Calibri" w:cs="Calibri"/>
                <w:b/>
                <w:sz w:val="20"/>
                <w:szCs w:val="20"/>
              </w:rPr>
              <w:t>հարաբերությունների</w:t>
            </w:r>
            <w:r w:rsidRPr="0053423A">
              <w:rPr>
                <w:rFonts w:eastAsia="Calibri" w:cs="Calibri"/>
                <w:b/>
                <w:sz w:val="20"/>
                <w:szCs w:val="20"/>
                <w:lang w:val="tr-TR"/>
              </w:rPr>
              <w:t xml:space="preserve"> </w:t>
            </w:r>
            <w:r w:rsidRPr="0053423A">
              <w:rPr>
                <w:rFonts w:eastAsia="Calibri" w:cs="Calibri"/>
                <w:b/>
                <w:sz w:val="20"/>
                <w:szCs w:val="20"/>
              </w:rPr>
              <w:t>ներկա</w:t>
            </w:r>
            <w:r w:rsidRPr="0053423A">
              <w:rPr>
                <w:rFonts w:eastAsia="Calibri" w:cs="Calibri"/>
                <w:b/>
                <w:sz w:val="20"/>
                <w:szCs w:val="20"/>
                <w:lang w:val="tr-TR"/>
              </w:rPr>
              <w:t xml:space="preserve"> </w:t>
            </w:r>
            <w:r w:rsidRPr="0053423A">
              <w:rPr>
                <w:rFonts w:eastAsia="Calibri" w:cs="Calibri"/>
                <w:b/>
                <w:sz w:val="20"/>
                <w:szCs w:val="20"/>
              </w:rPr>
              <w:t>վիճակը</w:t>
            </w:r>
            <w:r w:rsidRPr="0053423A">
              <w:rPr>
                <w:rFonts w:eastAsia="Calibri" w:cs="Calibri"/>
                <w:b/>
                <w:sz w:val="20"/>
                <w:szCs w:val="20"/>
                <w:lang w:val="tr-TR"/>
              </w:rPr>
              <w:t xml:space="preserve"> </w:t>
            </w:r>
            <w:r w:rsidRPr="0053423A">
              <w:rPr>
                <w:rFonts w:eastAsia="Calibri" w:cs="Calibri"/>
                <w:b/>
                <w:sz w:val="20"/>
                <w:szCs w:val="20"/>
              </w:rPr>
              <w:t>և</w:t>
            </w:r>
            <w:r w:rsidRPr="0053423A">
              <w:rPr>
                <w:rFonts w:eastAsia="Calibri" w:cs="Calibri"/>
                <w:b/>
                <w:sz w:val="20"/>
                <w:szCs w:val="20"/>
                <w:lang w:val="tr-TR"/>
              </w:rPr>
              <w:t xml:space="preserve"> </w:t>
            </w:r>
            <w:r w:rsidRPr="0053423A">
              <w:rPr>
                <w:rFonts w:eastAsia="Calibri" w:cs="Calibri"/>
                <w:b/>
                <w:sz w:val="20"/>
                <w:szCs w:val="20"/>
              </w:rPr>
              <w:t>առկա</w:t>
            </w:r>
            <w:r w:rsidRPr="0053423A">
              <w:rPr>
                <w:rFonts w:eastAsia="Calibri" w:cs="Calibri"/>
                <w:b/>
                <w:sz w:val="20"/>
                <w:szCs w:val="20"/>
                <w:lang w:val="tr-TR"/>
              </w:rPr>
              <w:t xml:space="preserve"> </w:t>
            </w:r>
            <w:r w:rsidRPr="0053423A">
              <w:rPr>
                <w:rFonts w:eastAsia="Calibri" w:cs="Calibri"/>
                <w:b/>
                <w:sz w:val="20"/>
                <w:szCs w:val="20"/>
              </w:rPr>
              <w:t>խնդիրները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օրերի</w:t>
            </w:r>
            <w:r w:rsidRPr="0053423A">
              <w:rPr>
                <w:rFonts w:eastAsia="Calibri" w:cs="Calibri"/>
                <w:sz w:val="20"/>
                <w:szCs w:val="20"/>
                <w:lang w:val="tr-TR"/>
              </w:rPr>
              <w:t xml:space="preserve"> </w:t>
            </w:r>
            <w:r w:rsidRPr="0053423A">
              <w:rPr>
                <w:rFonts w:eastAsia="Calibri" w:cs="Calibri"/>
                <w:sz w:val="20"/>
                <w:szCs w:val="20"/>
              </w:rPr>
              <w:t>ձևաչափով</w:t>
            </w:r>
            <w:r w:rsidRPr="0053423A">
              <w:rPr>
                <w:rFonts w:eastAsia="Calibri" w:cs="Calibri"/>
                <w:sz w:val="20"/>
                <w:szCs w:val="20"/>
                <w:lang w:val="tr-TR"/>
              </w:rPr>
              <w:t xml:space="preserve"> </w:t>
            </w:r>
            <w:r w:rsidRPr="0053423A">
              <w:rPr>
                <w:rFonts w:eastAsia="Calibri" w:cs="Calibri"/>
                <w:sz w:val="20"/>
                <w:szCs w:val="20"/>
              </w:rPr>
              <w:t>այժմ</w:t>
            </w:r>
            <w:r w:rsidRPr="0053423A">
              <w:rPr>
                <w:rFonts w:eastAsia="Calibri" w:cs="Calibri"/>
                <w:sz w:val="20"/>
                <w:szCs w:val="20"/>
                <w:lang w:val="tr-TR"/>
              </w:rPr>
              <w:t xml:space="preserve"> </w:t>
            </w:r>
            <w:r w:rsidRPr="0053423A">
              <w:rPr>
                <w:rFonts w:eastAsia="Calibri" w:cs="Calibri"/>
                <w:sz w:val="20"/>
                <w:szCs w:val="20"/>
              </w:rPr>
              <w:t>իրականացվում</w:t>
            </w:r>
            <w:r w:rsidRPr="0053423A">
              <w:rPr>
                <w:rFonts w:eastAsia="Calibri" w:cs="Calibri"/>
                <w:sz w:val="20"/>
                <w:szCs w:val="20"/>
                <w:lang w:val="tr-TR"/>
              </w:rPr>
              <w:t xml:space="preserve"> </w:t>
            </w:r>
            <w:r w:rsidRPr="0053423A">
              <w:rPr>
                <w:rFonts w:eastAsia="Calibri" w:cs="Calibri"/>
                <w:sz w:val="20"/>
                <w:szCs w:val="20"/>
              </w:rPr>
              <w:t>են</w:t>
            </w:r>
            <w:r w:rsidRPr="0053423A">
              <w:rPr>
                <w:rFonts w:eastAsia="Calibri" w:cs="Calibri"/>
                <w:sz w:val="20"/>
                <w:szCs w:val="20"/>
                <w:lang w:val="tr-TR"/>
              </w:rPr>
              <w:t xml:space="preserve"> </w:t>
            </w:r>
            <w:r w:rsidRPr="0053423A">
              <w:rPr>
                <w:rFonts w:eastAsia="Calibri" w:cs="Calibri"/>
                <w:sz w:val="20"/>
                <w:szCs w:val="20"/>
              </w:rPr>
              <w:t>միջոցառումներ</w:t>
            </w:r>
            <w:r w:rsidRPr="0053423A">
              <w:rPr>
                <w:rFonts w:eastAsia="Calibri" w:cs="Calibri"/>
                <w:sz w:val="20"/>
                <w:szCs w:val="20"/>
                <w:lang w:val="tr-TR"/>
              </w:rPr>
              <w:t xml:space="preserve"> </w:t>
            </w:r>
            <w:r w:rsidRPr="0053423A">
              <w:rPr>
                <w:rFonts w:eastAsia="Calibri" w:cs="Calibri"/>
                <w:sz w:val="20"/>
                <w:szCs w:val="20"/>
              </w:rPr>
              <w:t>տարբեր</w:t>
            </w:r>
            <w:r w:rsidRPr="0053423A">
              <w:rPr>
                <w:rFonts w:eastAsia="Calibri" w:cs="Calibri"/>
                <w:sz w:val="20"/>
                <w:szCs w:val="20"/>
                <w:lang w:val="tr-TR"/>
              </w:rPr>
              <w:t xml:space="preserve"> </w:t>
            </w:r>
            <w:r w:rsidRPr="0053423A">
              <w:rPr>
                <w:rFonts w:eastAsia="Calibri" w:cs="Calibri"/>
                <w:sz w:val="20"/>
                <w:szCs w:val="20"/>
              </w:rPr>
              <w:t>երկրների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փոխադարձության</w:t>
            </w:r>
            <w:r w:rsidRPr="0053423A">
              <w:rPr>
                <w:rFonts w:eastAsia="Calibri" w:cs="Calibri"/>
                <w:sz w:val="20"/>
                <w:szCs w:val="20"/>
                <w:lang w:val="tr-TR"/>
              </w:rPr>
              <w:t xml:space="preserve"> </w:t>
            </w:r>
            <w:r w:rsidRPr="0053423A">
              <w:rPr>
                <w:rFonts w:eastAsia="Calibri" w:cs="Calibri"/>
                <w:sz w:val="20"/>
                <w:szCs w:val="20"/>
              </w:rPr>
              <w:t>սկզբունքով</w:t>
            </w:r>
            <w:r w:rsidRPr="0053423A">
              <w:rPr>
                <w:rFonts w:eastAsia="Calibri" w:cs="Calibri"/>
                <w:sz w:val="20"/>
                <w:szCs w:val="20"/>
                <w:lang w:val="tr-TR"/>
              </w:rPr>
              <w:t xml:space="preserve"> </w:t>
            </w:r>
            <w:r w:rsidRPr="0053423A">
              <w:rPr>
                <w:rFonts w:eastAsia="Calibri" w:cs="Calibri"/>
                <w:sz w:val="20"/>
                <w:szCs w:val="20"/>
              </w:rPr>
              <w:t>յուրաքանչյուր</w:t>
            </w:r>
            <w:r w:rsidRPr="0053423A">
              <w:rPr>
                <w:rFonts w:eastAsia="Calibri" w:cs="Calibri"/>
                <w:sz w:val="20"/>
                <w:szCs w:val="20"/>
                <w:lang w:val="tr-TR"/>
              </w:rPr>
              <w:t xml:space="preserve"> </w:t>
            </w:r>
            <w:r w:rsidRPr="0053423A">
              <w:rPr>
                <w:rFonts w:eastAsia="Calibri" w:cs="Calibri"/>
                <w:sz w:val="20"/>
                <w:szCs w:val="20"/>
              </w:rPr>
              <w:t>տարի</w:t>
            </w:r>
            <w:r w:rsidRPr="0053423A">
              <w:rPr>
                <w:rFonts w:eastAsia="Calibri" w:cs="Calibri"/>
                <w:sz w:val="20"/>
                <w:szCs w:val="20"/>
                <w:lang w:val="tr-TR"/>
              </w:rPr>
              <w:t xml:space="preserve">: </w:t>
            </w:r>
            <w:r w:rsidRPr="0053423A">
              <w:rPr>
                <w:rFonts w:eastAsia="Calibri" w:cs="Calibri"/>
                <w:sz w:val="20"/>
                <w:szCs w:val="20"/>
              </w:rPr>
              <w:t>Միջոցառումների</w:t>
            </w:r>
            <w:r w:rsidRPr="0053423A">
              <w:rPr>
                <w:rFonts w:eastAsia="Calibri" w:cs="Calibri"/>
                <w:sz w:val="20"/>
                <w:szCs w:val="20"/>
                <w:lang w:val="tr-TR"/>
              </w:rPr>
              <w:t xml:space="preserve"> </w:t>
            </w:r>
            <w:r w:rsidRPr="0053423A">
              <w:rPr>
                <w:rFonts w:eastAsia="Calibri" w:cs="Calibri"/>
                <w:sz w:val="20"/>
                <w:szCs w:val="20"/>
              </w:rPr>
              <w:t>ծավալը</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բովանդակությունը</w:t>
            </w:r>
            <w:r w:rsidRPr="0053423A">
              <w:rPr>
                <w:rFonts w:eastAsia="Calibri" w:cs="Calibri"/>
                <w:sz w:val="20"/>
                <w:szCs w:val="20"/>
                <w:lang w:val="tr-TR"/>
              </w:rPr>
              <w:t xml:space="preserve"> </w:t>
            </w:r>
            <w:r w:rsidRPr="0053423A">
              <w:rPr>
                <w:rFonts w:eastAsia="Calibri" w:cs="Calibri"/>
                <w:sz w:val="20"/>
                <w:szCs w:val="20"/>
              </w:rPr>
              <w:t>որոշվում</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տվյալ</w:t>
            </w:r>
            <w:r w:rsidRPr="0053423A">
              <w:rPr>
                <w:rFonts w:eastAsia="Calibri" w:cs="Calibri"/>
                <w:sz w:val="20"/>
                <w:szCs w:val="20"/>
                <w:lang w:val="tr-TR"/>
              </w:rPr>
              <w:t xml:space="preserve"> </w:t>
            </w:r>
            <w:r w:rsidRPr="0053423A">
              <w:rPr>
                <w:rFonts w:eastAsia="Calibri" w:cs="Calibri"/>
                <w:sz w:val="20"/>
                <w:szCs w:val="20"/>
              </w:rPr>
              <w:t>պետություններում</w:t>
            </w:r>
            <w:r w:rsidRPr="0053423A">
              <w:rPr>
                <w:rFonts w:eastAsia="Calibri" w:cs="Calibri"/>
                <w:sz w:val="20"/>
                <w:szCs w:val="20"/>
                <w:lang w:val="tr-TR"/>
              </w:rPr>
              <w:t xml:space="preserve"> </w:t>
            </w:r>
            <w:r w:rsidRPr="0053423A">
              <w:rPr>
                <w:rFonts w:eastAsia="Calibri" w:cs="Calibri"/>
                <w:sz w:val="20"/>
                <w:szCs w:val="20"/>
              </w:rPr>
              <w:t>ՀՀ</w:t>
            </w:r>
            <w:r w:rsidRPr="0053423A">
              <w:rPr>
                <w:rFonts w:eastAsia="Calibri" w:cs="Calibri"/>
                <w:sz w:val="20"/>
                <w:szCs w:val="20"/>
                <w:lang w:val="tr-TR"/>
              </w:rPr>
              <w:t xml:space="preserve"> </w:t>
            </w:r>
            <w:r w:rsidRPr="0053423A">
              <w:rPr>
                <w:rFonts w:eastAsia="Calibri" w:cs="Calibri"/>
                <w:sz w:val="20"/>
                <w:szCs w:val="20"/>
              </w:rPr>
              <w:t>դիվանագիտական</w:t>
            </w:r>
            <w:r w:rsidRPr="0053423A">
              <w:rPr>
                <w:rFonts w:eastAsia="Calibri" w:cs="Calibri"/>
                <w:sz w:val="20"/>
                <w:szCs w:val="20"/>
                <w:lang w:val="tr-TR"/>
              </w:rPr>
              <w:t xml:space="preserve"> </w:t>
            </w:r>
            <w:r w:rsidRPr="0053423A">
              <w:rPr>
                <w:rFonts w:eastAsia="Calibri" w:cs="Calibri"/>
                <w:sz w:val="20"/>
                <w:szCs w:val="20"/>
              </w:rPr>
              <w:t>ներկայացուցչությունների</w:t>
            </w:r>
            <w:r w:rsidRPr="0053423A">
              <w:rPr>
                <w:rFonts w:eastAsia="Calibri" w:cs="Calibri"/>
                <w:sz w:val="20"/>
                <w:szCs w:val="20"/>
                <w:lang w:val="tr-TR"/>
              </w:rPr>
              <w:t xml:space="preserve">, </w:t>
            </w:r>
            <w:r w:rsidRPr="0053423A">
              <w:rPr>
                <w:rFonts w:eastAsia="Calibri" w:cs="Calibri"/>
                <w:sz w:val="20"/>
                <w:szCs w:val="20"/>
              </w:rPr>
              <w:t>մշակույթի</w:t>
            </w:r>
            <w:r w:rsidRPr="0053423A">
              <w:rPr>
                <w:rFonts w:eastAsia="Calibri" w:cs="Calibri"/>
                <w:sz w:val="20"/>
                <w:szCs w:val="20"/>
                <w:lang w:val="tr-TR"/>
              </w:rPr>
              <w:t xml:space="preserve"> </w:t>
            </w:r>
            <w:r w:rsidRPr="0053423A">
              <w:rPr>
                <w:rFonts w:eastAsia="Calibri" w:cs="Calibri"/>
                <w:sz w:val="20"/>
                <w:szCs w:val="20"/>
              </w:rPr>
              <w:t>նախարարությունների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համագործակցության</w:t>
            </w:r>
            <w:r w:rsidRPr="0053423A">
              <w:rPr>
                <w:rFonts w:eastAsia="Calibri" w:cs="Calibri"/>
                <w:sz w:val="20"/>
                <w:szCs w:val="20"/>
                <w:lang w:val="tr-TR"/>
              </w:rPr>
              <w:t xml:space="preserve"> </w:t>
            </w:r>
            <w:r w:rsidRPr="0053423A">
              <w:rPr>
                <w:rFonts w:eastAsia="Calibri" w:cs="Calibri"/>
                <w:sz w:val="20"/>
                <w:szCs w:val="20"/>
              </w:rPr>
              <w:t>արդյունքում</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օրերի</w:t>
            </w:r>
            <w:r w:rsidRPr="0053423A">
              <w:rPr>
                <w:rFonts w:eastAsia="Calibri" w:cs="Calibri"/>
                <w:sz w:val="20"/>
                <w:szCs w:val="20"/>
                <w:lang w:val="tr-TR"/>
              </w:rPr>
              <w:t xml:space="preserve"> </w:t>
            </w:r>
            <w:r w:rsidRPr="0053423A">
              <w:rPr>
                <w:rFonts w:eastAsia="Calibri" w:cs="Calibri"/>
                <w:sz w:val="20"/>
                <w:szCs w:val="20"/>
              </w:rPr>
              <w:t>ձևաչափով</w:t>
            </w:r>
            <w:r w:rsidRPr="0053423A">
              <w:rPr>
                <w:rFonts w:eastAsia="Calibri" w:cs="Calibri"/>
                <w:sz w:val="20"/>
                <w:szCs w:val="20"/>
                <w:lang w:val="tr-TR"/>
              </w:rPr>
              <w:t xml:space="preserve"> </w:t>
            </w:r>
            <w:r w:rsidRPr="0053423A">
              <w:rPr>
                <w:rFonts w:eastAsia="Calibri" w:cs="Calibri"/>
                <w:sz w:val="20"/>
                <w:szCs w:val="20"/>
              </w:rPr>
              <w:t>իրականացվող</w:t>
            </w:r>
            <w:r w:rsidRPr="0053423A">
              <w:rPr>
                <w:rFonts w:eastAsia="Calibri" w:cs="Calibri"/>
                <w:sz w:val="20"/>
                <w:szCs w:val="20"/>
                <w:lang w:val="tr-TR"/>
              </w:rPr>
              <w:t xml:space="preserve">  </w:t>
            </w:r>
            <w:r w:rsidRPr="0053423A">
              <w:rPr>
                <w:rFonts w:eastAsia="Calibri" w:cs="Calibri"/>
                <w:sz w:val="20"/>
                <w:szCs w:val="20"/>
              </w:rPr>
              <w:t>միջոցառումների</w:t>
            </w:r>
            <w:r w:rsidRPr="0053423A">
              <w:rPr>
                <w:rFonts w:eastAsia="Calibri" w:cs="Calibri"/>
                <w:sz w:val="20"/>
                <w:szCs w:val="20"/>
                <w:lang w:val="tr-TR"/>
              </w:rPr>
              <w:t xml:space="preserve"> </w:t>
            </w:r>
            <w:r w:rsidRPr="0053423A">
              <w:rPr>
                <w:rFonts w:eastAsia="Calibri" w:cs="Calibri"/>
                <w:sz w:val="20"/>
                <w:szCs w:val="20"/>
              </w:rPr>
              <w:t>խնդիրն</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հնարավորինս</w:t>
            </w:r>
            <w:r w:rsidRPr="0053423A">
              <w:rPr>
                <w:rFonts w:eastAsia="Calibri" w:cs="Calibri"/>
                <w:sz w:val="20"/>
                <w:szCs w:val="20"/>
                <w:lang w:val="tr-TR"/>
              </w:rPr>
              <w:t xml:space="preserve"> </w:t>
            </w:r>
            <w:r w:rsidRPr="0053423A">
              <w:rPr>
                <w:rFonts w:eastAsia="Calibri" w:cs="Calibri"/>
                <w:sz w:val="20"/>
                <w:szCs w:val="20"/>
              </w:rPr>
              <w:t>բովանդակալից</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ներկայանալի</w:t>
            </w:r>
            <w:r w:rsidRPr="0053423A">
              <w:rPr>
                <w:rFonts w:eastAsia="Calibri" w:cs="Calibri"/>
                <w:sz w:val="20"/>
                <w:szCs w:val="20"/>
                <w:lang w:val="tr-TR"/>
              </w:rPr>
              <w:t xml:space="preserve"> նախագծերի ներկայացումը և նման ձևաչափով համագործակցության աշխարհագրության ընդլայնումը: </w:t>
            </w:r>
          </w:p>
          <w:p w:rsidR="00A67B6B" w:rsidRPr="0053423A" w:rsidRDefault="00A67B6B" w:rsidP="00A67858">
            <w:pPr>
              <w:tabs>
                <w:tab w:val="left" w:pos="508"/>
              </w:tabs>
              <w:spacing w:after="0" w:line="276" w:lineRule="auto"/>
              <w:jc w:val="both"/>
              <w:rPr>
                <w:rFonts w:eastAsia="Calibri" w:cs="Calibri"/>
                <w:sz w:val="20"/>
                <w:szCs w:val="20"/>
                <w:lang w:val="tr-TR"/>
              </w:rPr>
            </w:pPr>
          </w:p>
          <w:p w:rsidR="00A67B6B" w:rsidRPr="0053423A" w:rsidRDefault="00A67B6B" w:rsidP="001F6D5D">
            <w:pPr>
              <w:numPr>
                <w:ilvl w:val="1"/>
                <w:numId w:val="227"/>
              </w:numPr>
              <w:tabs>
                <w:tab w:val="left" w:pos="508"/>
              </w:tabs>
              <w:spacing w:after="0" w:line="276" w:lineRule="auto"/>
              <w:jc w:val="both"/>
              <w:rPr>
                <w:rFonts w:eastAsia="Calibri" w:cs="Calibri"/>
                <w:b/>
                <w:sz w:val="20"/>
                <w:szCs w:val="20"/>
                <w:lang w:val="tr-TR"/>
              </w:rPr>
            </w:pPr>
            <w:r w:rsidRPr="0053423A">
              <w:rPr>
                <w:rFonts w:eastAsia="Calibri" w:cs="Calibri"/>
                <w:b/>
                <w:sz w:val="20"/>
                <w:szCs w:val="20"/>
              </w:rPr>
              <w:t>Առկա</w:t>
            </w:r>
            <w:r w:rsidRPr="0053423A">
              <w:rPr>
                <w:rFonts w:eastAsia="Calibri" w:cs="Calibri"/>
                <w:b/>
                <w:sz w:val="20"/>
                <w:szCs w:val="20"/>
                <w:lang w:val="tr-TR"/>
              </w:rPr>
              <w:t xml:space="preserve"> </w:t>
            </w:r>
            <w:r w:rsidRPr="0053423A">
              <w:rPr>
                <w:rFonts w:eastAsia="Calibri" w:cs="Calibri"/>
                <w:b/>
                <w:sz w:val="20"/>
                <w:szCs w:val="20"/>
              </w:rPr>
              <w:t>խնդիրների</w:t>
            </w:r>
            <w:r w:rsidRPr="0053423A">
              <w:rPr>
                <w:rFonts w:eastAsia="Calibri" w:cs="Calibri"/>
                <w:b/>
                <w:sz w:val="20"/>
                <w:szCs w:val="20"/>
                <w:lang w:val="tr-TR"/>
              </w:rPr>
              <w:t xml:space="preserve"> </w:t>
            </w:r>
            <w:r w:rsidRPr="0053423A">
              <w:rPr>
                <w:rFonts w:eastAsia="Calibri" w:cs="Calibri"/>
                <w:b/>
                <w:sz w:val="20"/>
                <w:szCs w:val="20"/>
              </w:rPr>
              <w:t>առաջարկվող</w:t>
            </w:r>
            <w:r w:rsidRPr="0053423A">
              <w:rPr>
                <w:rFonts w:eastAsia="Calibri" w:cs="Calibri"/>
                <w:b/>
                <w:sz w:val="20"/>
                <w:szCs w:val="20"/>
                <w:lang w:val="tr-TR"/>
              </w:rPr>
              <w:t xml:space="preserve"> </w:t>
            </w:r>
            <w:r w:rsidRPr="0053423A">
              <w:rPr>
                <w:rFonts w:eastAsia="Calibri" w:cs="Calibri"/>
                <w:b/>
                <w:sz w:val="20"/>
                <w:szCs w:val="20"/>
              </w:rPr>
              <w:t>լուծումները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Միջոցառումների</w:t>
            </w:r>
            <w:r w:rsidRPr="0053423A">
              <w:rPr>
                <w:rFonts w:eastAsia="Calibri" w:cs="Calibri"/>
                <w:sz w:val="20"/>
                <w:szCs w:val="20"/>
                <w:lang w:val="tr-TR"/>
              </w:rPr>
              <w:t xml:space="preserve"> </w:t>
            </w:r>
            <w:r w:rsidRPr="0053423A">
              <w:rPr>
                <w:rFonts w:eastAsia="Calibri" w:cs="Calibri"/>
                <w:sz w:val="20"/>
                <w:szCs w:val="20"/>
              </w:rPr>
              <w:t>իրականացումը</w:t>
            </w:r>
            <w:r w:rsidRPr="0053423A">
              <w:rPr>
                <w:rFonts w:eastAsia="Calibri" w:cs="Calibri"/>
                <w:sz w:val="20"/>
                <w:szCs w:val="20"/>
                <w:lang w:val="tr-TR"/>
              </w:rPr>
              <w:t xml:space="preserve"> </w:t>
            </w:r>
            <w:r w:rsidRPr="0053423A">
              <w:rPr>
                <w:rFonts w:eastAsia="Calibri" w:cs="Calibri"/>
                <w:sz w:val="20"/>
                <w:szCs w:val="20"/>
              </w:rPr>
              <w:t>լուծում</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կոնկրետ</w:t>
            </w:r>
            <w:r w:rsidRPr="0053423A">
              <w:rPr>
                <w:rFonts w:eastAsia="Calibri" w:cs="Calibri"/>
                <w:sz w:val="20"/>
                <w:szCs w:val="20"/>
                <w:lang w:val="tr-TR"/>
              </w:rPr>
              <w:t xml:space="preserve"> </w:t>
            </w:r>
            <w:r w:rsidRPr="0053423A">
              <w:rPr>
                <w:rFonts w:eastAsia="Calibri" w:cs="Calibri"/>
                <w:sz w:val="20"/>
                <w:szCs w:val="20"/>
              </w:rPr>
              <w:t>պետություններում</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նպատակաուղղված</w:t>
            </w:r>
            <w:r w:rsidRPr="0053423A">
              <w:rPr>
                <w:rFonts w:eastAsia="Calibri" w:cs="Calibri"/>
                <w:sz w:val="20"/>
                <w:szCs w:val="20"/>
                <w:lang w:val="tr-TR"/>
              </w:rPr>
              <w:t xml:space="preserve"> </w:t>
            </w:r>
            <w:r w:rsidRPr="0053423A">
              <w:rPr>
                <w:rFonts w:eastAsia="Calibri" w:cs="Calibri"/>
                <w:sz w:val="20"/>
                <w:szCs w:val="20"/>
              </w:rPr>
              <w:t>քաղաքականության</w:t>
            </w:r>
            <w:r w:rsidRPr="0053423A">
              <w:rPr>
                <w:rFonts w:eastAsia="Calibri" w:cs="Calibri"/>
                <w:sz w:val="20"/>
                <w:szCs w:val="20"/>
                <w:lang w:val="tr-TR"/>
              </w:rPr>
              <w:t xml:space="preserve"> </w:t>
            </w:r>
            <w:r w:rsidRPr="0053423A">
              <w:rPr>
                <w:rFonts w:eastAsia="Calibri" w:cs="Calibri"/>
                <w:sz w:val="20"/>
                <w:szCs w:val="20"/>
              </w:rPr>
              <w:t>իրականացման</w:t>
            </w:r>
            <w:r w:rsidRPr="0053423A">
              <w:rPr>
                <w:rFonts w:eastAsia="Calibri" w:cs="Calibri"/>
                <w:sz w:val="20"/>
                <w:szCs w:val="20"/>
                <w:lang w:val="tr-TR"/>
              </w:rPr>
              <w:t xml:space="preserve"> </w:t>
            </w:r>
            <w:r w:rsidRPr="0053423A">
              <w:rPr>
                <w:rFonts w:eastAsia="Calibri" w:cs="Calibri"/>
                <w:sz w:val="20"/>
                <w:szCs w:val="20"/>
              </w:rPr>
              <w:t>խնդիրը</w:t>
            </w:r>
            <w:r w:rsidRPr="0053423A">
              <w:rPr>
                <w:rFonts w:eastAsia="Calibri" w:cs="Calibri"/>
                <w:sz w:val="20"/>
                <w:szCs w:val="20"/>
                <w:lang w:val="tr-TR"/>
              </w:rPr>
              <w:t xml:space="preserve">` </w:t>
            </w:r>
            <w:r w:rsidRPr="0053423A">
              <w:rPr>
                <w:rFonts w:eastAsia="Calibri" w:cs="Calibri"/>
                <w:sz w:val="20"/>
                <w:szCs w:val="20"/>
              </w:rPr>
              <w:t>հանրահռչակելով</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ներկայացնելով</w:t>
            </w:r>
            <w:r w:rsidRPr="0053423A">
              <w:rPr>
                <w:rFonts w:eastAsia="Calibri" w:cs="Calibri"/>
                <w:sz w:val="20"/>
                <w:szCs w:val="20"/>
                <w:lang w:val="tr-TR"/>
              </w:rPr>
              <w:t xml:space="preserve"> </w:t>
            </w:r>
            <w:r w:rsidRPr="0053423A">
              <w:rPr>
                <w:rFonts w:eastAsia="Calibri" w:cs="Calibri"/>
                <w:sz w:val="20"/>
                <w:szCs w:val="20"/>
              </w:rPr>
              <w:t>կոնկրետ</w:t>
            </w:r>
            <w:r w:rsidRPr="0053423A">
              <w:rPr>
                <w:rFonts w:eastAsia="Calibri" w:cs="Calibri"/>
                <w:sz w:val="20"/>
                <w:szCs w:val="20"/>
                <w:lang w:val="tr-TR"/>
              </w:rPr>
              <w:t xml:space="preserve"> </w:t>
            </w:r>
            <w:r w:rsidRPr="0053423A">
              <w:rPr>
                <w:rFonts w:eastAsia="Calibri" w:cs="Calibri"/>
                <w:sz w:val="20"/>
                <w:szCs w:val="20"/>
              </w:rPr>
              <w:t>տվյալ</w:t>
            </w:r>
            <w:r w:rsidRPr="0053423A">
              <w:rPr>
                <w:rFonts w:eastAsia="Calibri" w:cs="Calibri"/>
                <w:sz w:val="20"/>
                <w:szCs w:val="20"/>
                <w:lang w:val="tr-TR"/>
              </w:rPr>
              <w:t xml:space="preserve"> </w:t>
            </w:r>
            <w:r w:rsidRPr="0053423A">
              <w:rPr>
                <w:rFonts w:eastAsia="Calibri" w:cs="Calibri"/>
                <w:sz w:val="20"/>
                <w:szCs w:val="20"/>
              </w:rPr>
              <w:t>պետության</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 xml:space="preserve"> </w:t>
            </w:r>
            <w:r w:rsidRPr="0053423A">
              <w:rPr>
                <w:rFonts w:eastAsia="Calibri" w:cs="Calibri"/>
                <w:sz w:val="20"/>
                <w:szCs w:val="20"/>
              </w:rPr>
              <w:t>մշակված</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կոնցեպտ</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օրերի</w:t>
            </w:r>
            <w:r w:rsidRPr="0053423A">
              <w:rPr>
                <w:rFonts w:eastAsia="Calibri" w:cs="Calibri"/>
                <w:sz w:val="20"/>
                <w:szCs w:val="20"/>
                <w:lang w:val="tr-TR"/>
              </w:rPr>
              <w:t xml:space="preserve"> յուրաքանչյուր ծրագրի համար ստեղծվում են համապատասխան աշխատանքային ստեղծագործական խմբեր, որոնք մշակում են տվյալ երկրի համար հատուկ ծրագիր:</w:t>
            </w:r>
          </w:p>
          <w:p w:rsidR="00A67B6B" w:rsidRPr="0053423A" w:rsidRDefault="00A67B6B" w:rsidP="00A67858">
            <w:pPr>
              <w:tabs>
                <w:tab w:val="left" w:pos="508"/>
              </w:tabs>
              <w:spacing w:after="0" w:line="276" w:lineRule="auto"/>
              <w:jc w:val="both"/>
              <w:rPr>
                <w:rFonts w:eastAsia="Calibri" w:cs="Calibri"/>
                <w:b/>
                <w:sz w:val="20"/>
                <w:szCs w:val="20"/>
                <w:lang w:val="tr-TR"/>
              </w:rPr>
            </w:pPr>
          </w:p>
          <w:p w:rsidR="00A67B6B" w:rsidRPr="0053423A" w:rsidRDefault="00A67B6B" w:rsidP="001F6D5D">
            <w:pPr>
              <w:numPr>
                <w:ilvl w:val="0"/>
                <w:numId w:val="227"/>
              </w:numPr>
              <w:tabs>
                <w:tab w:val="left" w:pos="508"/>
              </w:tabs>
              <w:spacing w:after="0" w:line="276" w:lineRule="auto"/>
              <w:ind w:hanging="720"/>
              <w:jc w:val="both"/>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իրականացումից</w:t>
            </w:r>
            <w:r w:rsidRPr="0053423A">
              <w:rPr>
                <w:rFonts w:eastAsia="Calibri" w:cs="Calibri"/>
                <w:b/>
                <w:sz w:val="20"/>
                <w:szCs w:val="20"/>
                <w:lang w:val="tr-TR"/>
              </w:rPr>
              <w:t xml:space="preserve"> </w:t>
            </w:r>
            <w:r w:rsidRPr="0053423A">
              <w:rPr>
                <w:rFonts w:eastAsia="Calibri" w:cs="Calibri"/>
                <w:b/>
                <w:sz w:val="20"/>
                <w:szCs w:val="20"/>
              </w:rPr>
              <w:t>ակնկալվող</w:t>
            </w:r>
            <w:r w:rsidRPr="0053423A">
              <w:rPr>
                <w:rFonts w:eastAsia="Calibri" w:cs="Calibri"/>
                <w:b/>
                <w:sz w:val="20"/>
                <w:szCs w:val="20"/>
                <w:lang w:val="tr-TR"/>
              </w:rPr>
              <w:t xml:space="preserve"> </w:t>
            </w:r>
            <w:r w:rsidRPr="0053423A">
              <w:rPr>
                <w:rFonts w:eastAsia="Calibri" w:cs="Calibri"/>
                <w:b/>
                <w:sz w:val="20"/>
                <w:szCs w:val="20"/>
              </w:rPr>
              <w:t>արդյունքը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Մշակույթի</w:t>
            </w:r>
            <w:r w:rsidRPr="0053423A">
              <w:rPr>
                <w:rFonts w:eastAsia="Calibri" w:cs="Calibri"/>
                <w:sz w:val="20"/>
                <w:szCs w:val="20"/>
                <w:lang w:val="tr-TR"/>
              </w:rPr>
              <w:t xml:space="preserve"> </w:t>
            </w:r>
            <w:r w:rsidRPr="0053423A">
              <w:rPr>
                <w:rFonts w:eastAsia="Calibri" w:cs="Calibri"/>
                <w:sz w:val="20"/>
                <w:szCs w:val="20"/>
              </w:rPr>
              <w:t>օրերի</w:t>
            </w:r>
            <w:r w:rsidRPr="0053423A">
              <w:rPr>
                <w:rFonts w:eastAsia="Calibri" w:cs="Calibri"/>
                <w:sz w:val="20"/>
                <w:szCs w:val="20"/>
                <w:lang w:val="tr-TR"/>
              </w:rPr>
              <w:t xml:space="preserve"> </w:t>
            </w:r>
            <w:r w:rsidRPr="0053423A">
              <w:rPr>
                <w:rFonts w:eastAsia="Calibri" w:cs="Calibri"/>
                <w:sz w:val="20"/>
                <w:szCs w:val="20"/>
              </w:rPr>
              <w:t>իրականացման</w:t>
            </w:r>
            <w:r w:rsidRPr="0053423A">
              <w:rPr>
                <w:rFonts w:eastAsia="Calibri" w:cs="Calibri"/>
                <w:sz w:val="20"/>
                <w:szCs w:val="20"/>
                <w:lang w:val="tr-TR"/>
              </w:rPr>
              <w:t xml:space="preserve"> </w:t>
            </w:r>
            <w:r w:rsidRPr="0053423A">
              <w:rPr>
                <w:rFonts w:eastAsia="Calibri" w:cs="Calibri"/>
                <w:sz w:val="20"/>
                <w:szCs w:val="20"/>
              </w:rPr>
              <w:t>արդյունքում</w:t>
            </w:r>
            <w:r w:rsidRPr="0053423A">
              <w:rPr>
                <w:rFonts w:eastAsia="Calibri" w:cs="Calibri"/>
                <w:sz w:val="20"/>
                <w:szCs w:val="20"/>
                <w:lang w:val="tr-TR"/>
              </w:rPr>
              <w:t xml:space="preserve"> </w:t>
            </w:r>
            <w:r w:rsidRPr="0053423A">
              <w:rPr>
                <w:rFonts w:eastAsia="Calibri" w:cs="Calibri"/>
                <w:sz w:val="20"/>
                <w:szCs w:val="20"/>
              </w:rPr>
              <w:t>հաստատվում</w:t>
            </w:r>
            <w:r w:rsidRPr="0053423A">
              <w:rPr>
                <w:rFonts w:eastAsia="Calibri" w:cs="Calibri"/>
                <w:sz w:val="20"/>
                <w:szCs w:val="20"/>
                <w:lang w:val="tr-TR"/>
              </w:rPr>
              <w:t xml:space="preserve"> </w:t>
            </w:r>
            <w:r w:rsidRPr="0053423A">
              <w:rPr>
                <w:rFonts w:eastAsia="Calibri" w:cs="Calibri"/>
                <w:sz w:val="20"/>
                <w:szCs w:val="20"/>
              </w:rPr>
              <w:t>են</w:t>
            </w:r>
            <w:r w:rsidRPr="0053423A">
              <w:rPr>
                <w:rFonts w:eastAsia="Calibri" w:cs="Calibri"/>
                <w:sz w:val="20"/>
                <w:szCs w:val="20"/>
                <w:lang w:val="tr-TR"/>
              </w:rPr>
              <w:t xml:space="preserve"> </w:t>
            </w:r>
            <w:r w:rsidRPr="0053423A">
              <w:rPr>
                <w:rFonts w:eastAsia="Calibri" w:cs="Calibri"/>
                <w:sz w:val="20"/>
                <w:szCs w:val="20"/>
              </w:rPr>
              <w:t>նոր</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ամրապնդվում</w:t>
            </w:r>
            <w:r w:rsidRPr="0053423A">
              <w:rPr>
                <w:rFonts w:eastAsia="Calibri" w:cs="Calibri"/>
                <w:sz w:val="20"/>
                <w:szCs w:val="20"/>
                <w:lang w:val="tr-TR"/>
              </w:rPr>
              <w:t xml:space="preserve"> </w:t>
            </w:r>
            <w:r w:rsidRPr="0053423A">
              <w:rPr>
                <w:rFonts w:eastAsia="Calibri" w:cs="Calibri"/>
                <w:sz w:val="20"/>
                <w:szCs w:val="20"/>
              </w:rPr>
              <w:t>են</w:t>
            </w:r>
            <w:r w:rsidRPr="0053423A">
              <w:rPr>
                <w:rFonts w:eastAsia="Calibri" w:cs="Calibri"/>
                <w:sz w:val="20"/>
                <w:szCs w:val="20"/>
                <w:lang w:val="tr-TR"/>
              </w:rPr>
              <w:t xml:space="preserve"> </w:t>
            </w:r>
            <w:r w:rsidRPr="0053423A">
              <w:rPr>
                <w:rFonts w:eastAsia="Calibri" w:cs="Calibri"/>
                <w:sz w:val="20"/>
                <w:szCs w:val="20"/>
              </w:rPr>
              <w:t>ավանդական</w:t>
            </w:r>
            <w:r w:rsidRPr="0053423A">
              <w:rPr>
                <w:rFonts w:eastAsia="Calibri" w:cs="Calibri"/>
                <w:sz w:val="20"/>
                <w:szCs w:val="20"/>
                <w:lang w:val="tr-TR"/>
              </w:rPr>
              <w:t xml:space="preserve"> </w:t>
            </w:r>
            <w:r w:rsidRPr="0053423A">
              <w:rPr>
                <w:rFonts w:eastAsia="Calibri" w:cs="Calibri"/>
                <w:sz w:val="20"/>
                <w:szCs w:val="20"/>
              </w:rPr>
              <w:t>դարձած</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կապերը</w:t>
            </w:r>
            <w:r w:rsidRPr="0053423A">
              <w:rPr>
                <w:rFonts w:eastAsia="Calibri" w:cs="Calibri"/>
                <w:sz w:val="20"/>
                <w:szCs w:val="20"/>
                <w:lang w:val="tr-TR"/>
              </w:rPr>
              <w:t xml:space="preserve">, </w:t>
            </w:r>
            <w:r w:rsidRPr="0053423A">
              <w:rPr>
                <w:rFonts w:eastAsia="Calibri" w:cs="Calibri"/>
                <w:sz w:val="20"/>
                <w:szCs w:val="20"/>
              </w:rPr>
              <w:t>միջազգային</w:t>
            </w:r>
            <w:r w:rsidRPr="0053423A">
              <w:rPr>
                <w:rFonts w:eastAsia="Calibri" w:cs="Calibri"/>
                <w:sz w:val="20"/>
                <w:szCs w:val="20"/>
                <w:lang w:val="tr-TR"/>
              </w:rPr>
              <w:t xml:space="preserve"> </w:t>
            </w:r>
            <w:r w:rsidRPr="0053423A">
              <w:rPr>
                <w:rFonts w:eastAsia="Calibri" w:cs="Calibri"/>
                <w:sz w:val="20"/>
                <w:szCs w:val="20"/>
              </w:rPr>
              <w:t>հանրությանն</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ներկայացվում</w:t>
            </w:r>
            <w:r w:rsidRPr="0053423A">
              <w:rPr>
                <w:rFonts w:eastAsia="Calibri" w:cs="Calibri"/>
                <w:sz w:val="20"/>
                <w:szCs w:val="20"/>
                <w:lang w:val="tr-TR"/>
              </w:rPr>
              <w:t xml:space="preserve"> </w:t>
            </w:r>
            <w:r w:rsidRPr="0053423A">
              <w:rPr>
                <w:rFonts w:eastAsia="Calibri" w:cs="Calibri"/>
                <w:sz w:val="20"/>
                <w:szCs w:val="20"/>
              </w:rPr>
              <w:t>հայկական</w:t>
            </w:r>
            <w:r w:rsidRPr="0053423A">
              <w:rPr>
                <w:rFonts w:eastAsia="Calibri" w:cs="Calibri"/>
                <w:sz w:val="20"/>
                <w:szCs w:val="20"/>
                <w:lang w:val="tr-TR"/>
              </w:rPr>
              <w:t xml:space="preserve"> </w:t>
            </w:r>
            <w:r w:rsidRPr="0053423A">
              <w:rPr>
                <w:rFonts w:eastAsia="Calibri" w:cs="Calibri"/>
                <w:sz w:val="20"/>
                <w:szCs w:val="20"/>
              </w:rPr>
              <w:t>մշակույթը</w:t>
            </w:r>
            <w:r w:rsidRPr="0053423A">
              <w:rPr>
                <w:rFonts w:eastAsia="Calibri" w:cs="Calibri"/>
                <w:sz w:val="20"/>
                <w:szCs w:val="20"/>
                <w:lang w:val="tr-TR"/>
              </w:rPr>
              <w:t xml:space="preserve">, </w:t>
            </w:r>
            <w:r w:rsidRPr="0053423A">
              <w:rPr>
                <w:rFonts w:eastAsia="Calibri" w:cs="Calibri"/>
                <w:sz w:val="20"/>
                <w:szCs w:val="20"/>
              </w:rPr>
              <w:t>հայ</w:t>
            </w:r>
            <w:r w:rsidRPr="0053423A">
              <w:rPr>
                <w:rFonts w:eastAsia="Calibri" w:cs="Calibri"/>
                <w:sz w:val="20"/>
                <w:szCs w:val="20"/>
                <w:lang w:val="tr-TR"/>
              </w:rPr>
              <w:t xml:space="preserve"> </w:t>
            </w:r>
            <w:r w:rsidRPr="0053423A">
              <w:rPr>
                <w:rFonts w:eastAsia="Calibri" w:cs="Calibri"/>
                <w:sz w:val="20"/>
                <w:szCs w:val="20"/>
              </w:rPr>
              <w:t>արվեստագետները</w:t>
            </w:r>
            <w:r w:rsidRPr="0053423A">
              <w:rPr>
                <w:rFonts w:eastAsia="Calibri" w:cs="Calibri"/>
                <w:sz w:val="20"/>
                <w:szCs w:val="20"/>
                <w:lang w:val="tr-TR"/>
              </w:rPr>
              <w:t xml:space="preserve"> </w:t>
            </w:r>
            <w:r w:rsidRPr="0053423A">
              <w:rPr>
                <w:rFonts w:eastAsia="Calibri" w:cs="Calibri"/>
                <w:sz w:val="20"/>
                <w:szCs w:val="20"/>
              </w:rPr>
              <w:t>հնարավորություն</w:t>
            </w:r>
            <w:r w:rsidRPr="0053423A">
              <w:rPr>
                <w:rFonts w:eastAsia="Calibri" w:cs="Calibri"/>
                <w:sz w:val="20"/>
                <w:szCs w:val="20"/>
                <w:lang w:val="tr-TR"/>
              </w:rPr>
              <w:t xml:space="preserve"> </w:t>
            </w:r>
            <w:r w:rsidRPr="0053423A">
              <w:rPr>
                <w:rFonts w:eastAsia="Calibri" w:cs="Calibri"/>
                <w:sz w:val="20"/>
                <w:szCs w:val="20"/>
              </w:rPr>
              <w:t>են</w:t>
            </w:r>
            <w:r w:rsidRPr="0053423A">
              <w:rPr>
                <w:rFonts w:eastAsia="Calibri" w:cs="Calibri"/>
                <w:sz w:val="20"/>
                <w:szCs w:val="20"/>
                <w:lang w:val="tr-TR"/>
              </w:rPr>
              <w:t xml:space="preserve"> </w:t>
            </w:r>
            <w:r w:rsidRPr="0053423A">
              <w:rPr>
                <w:rFonts w:eastAsia="Calibri" w:cs="Calibri"/>
                <w:sz w:val="20"/>
                <w:szCs w:val="20"/>
              </w:rPr>
              <w:t>ստանում</w:t>
            </w:r>
            <w:r w:rsidRPr="0053423A">
              <w:rPr>
                <w:rFonts w:eastAsia="Calibri" w:cs="Calibri"/>
                <w:sz w:val="20"/>
                <w:szCs w:val="20"/>
                <w:lang w:val="tr-TR"/>
              </w:rPr>
              <w:t xml:space="preserve"> </w:t>
            </w:r>
            <w:r w:rsidRPr="0053423A">
              <w:rPr>
                <w:rFonts w:eastAsia="Calibri" w:cs="Calibri"/>
                <w:sz w:val="20"/>
                <w:szCs w:val="20"/>
              </w:rPr>
              <w:t>համալիր</w:t>
            </w:r>
            <w:r w:rsidRPr="0053423A">
              <w:rPr>
                <w:rFonts w:eastAsia="Calibri" w:cs="Calibri"/>
                <w:sz w:val="20"/>
                <w:szCs w:val="20"/>
                <w:lang w:val="tr-TR"/>
              </w:rPr>
              <w:t xml:space="preserve"> </w:t>
            </w:r>
            <w:r w:rsidRPr="0053423A">
              <w:rPr>
                <w:rFonts w:eastAsia="Calibri" w:cs="Calibri"/>
                <w:sz w:val="20"/>
                <w:szCs w:val="20"/>
              </w:rPr>
              <w:t>ծրագրով</w:t>
            </w:r>
            <w:r w:rsidRPr="0053423A">
              <w:rPr>
                <w:rFonts w:eastAsia="Calibri" w:cs="Calibri"/>
                <w:sz w:val="20"/>
                <w:szCs w:val="20"/>
                <w:lang w:val="tr-TR"/>
              </w:rPr>
              <w:t xml:space="preserve"> </w:t>
            </w:r>
            <w:r w:rsidRPr="0053423A">
              <w:rPr>
                <w:rFonts w:eastAsia="Calibri" w:cs="Calibri"/>
                <w:sz w:val="20"/>
                <w:szCs w:val="20"/>
              </w:rPr>
              <w:t>ներկայանալու</w:t>
            </w:r>
            <w:r w:rsidRPr="0053423A">
              <w:rPr>
                <w:rFonts w:eastAsia="Calibri" w:cs="Calibri"/>
                <w:sz w:val="20"/>
                <w:szCs w:val="20"/>
                <w:lang w:val="tr-TR"/>
              </w:rPr>
              <w:t xml:space="preserve"> </w:t>
            </w:r>
            <w:r w:rsidRPr="0053423A">
              <w:rPr>
                <w:rFonts w:eastAsia="Calibri" w:cs="Calibri"/>
                <w:sz w:val="20"/>
                <w:szCs w:val="20"/>
              </w:rPr>
              <w:t>այլ</w:t>
            </w:r>
            <w:r w:rsidRPr="0053423A">
              <w:rPr>
                <w:rFonts w:eastAsia="Calibri" w:cs="Calibri"/>
                <w:sz w:val="20"/>
                <w:szCs w:val="20"/>
                <w:lang w:val="tr-TR"/>
              </w:rPr>
              <w:t xml:space="preserve"> </w:t>
            </w:r>
            <w:r w:rsidRPr="0053423A">
              <w:rPr>
                <w:rFonts w:eastAsia="Calibri" w:cs="Calibri"/>
                <w:sz w:val="20"/>
                <w:szCs w:val="20"/>
              </w:rPr>
              <w:t>պետությունների</w:t>
            </w:r>
            <w:r w:rsidRPr="0053423A">
              <w:rPr>
                <w:rFonts w:eastAsia="Calibri" w:cs="Calibri"/>
                <w:sz w:val="20"/>
                <w:szCs w:val="20"/>
                <w:lang w:val="tr-TR"/>
              </w:rPr>
              <w:t xml:space="preserve"> </w:t>
            </w:r>
            <w:r w:rsidRPr="0053423A">
              <w:rPr>
                <w:rFonts w:eastAsia="Calibri" w:cs="Calibri"/>
                <w:sz w:val="20"/>
                <w:szCs w:val="20"/>
              </w:rPr>
              <w:t>լավագույն</w:t>
            </w:r>
            <w:r w:rsidRPr="0053423A">
              <w:rPr>
                <w:rFonts w:eastAsia="Calibri" w:cs="Calibri"/>
                <w:sz w:val="20"/>
                <w:szCs w:val="20"/>
                <w:lang w:val="tr-TR"/>
              </w:rPr>
              <w:t xml:space="preserve"> </w:t>
            </w:r>
            <w:r w:rsidRPr="0053423A">
              <w:rPr>
                <w:rFonts w:eastAsia="Calibri" w:cs="Calibri"/>
                <w:sz w:val="20"/>
                <w:szCs w:val="20"/>
              </w:rPr>
              <w:t>սրահներում</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կապեր</w:t>
            </w:r>
            <w:r w:rsidRPr="0053423A">
              <w:rPr>
                <w:rFonts w:eastAsia="Calibri" w:cs="Calibri"/>
                <w:sz w:val="20"/>
                <w:szCs w:val="20"/>
                <w:lang w:val="tr-TR"/>
              </w:rPr>
              <w:t xml:space="preserve"> </w:t>
            </w:r>
            <w:r w:rsidRPr="0053423A">
              <w:rPr>
                <w:rFonts w:eastAsia="Calibri" w:cs="Calibri"/>
                <w:sz w:val="20"/>
                <w:szCs w:val="20"/>
              </w:rPr>
              <w:t>հաստատելու</w:t>
            </w:r>
            <w:r w:rsidRPr="0053423A">
              <w:rPr>
                <w:rFonts w:eastAsia="Calibri" w:cs="Calibri"/>
                <w:sz w:val="20"/>
                <w:szCs w:val="20"/>
                <w:lang w:val="tr-TR"/>
              </w:rPr>
              <w:t xml:space="preserve"> </w:t>
            </w:r>
            <w:r w:rsidRPr="0053423A">
              <w:rPr>
                <w:rFonts w:eastAsia="Calibri" w:cs="Calibri"/>
                <w:sz w:val="20"/>
                <w:szCs w:val="20"/>
              </w:rPr>
              <w:t>ոլորտի</w:t>
            </w:r>
            <w:r w:rsidRPr="0053423A">
              <w:rPr>
                <w:rFonts w:eastAsia="Calibri" w:cs="Calibri"/>
                <w:sz w:val="20"/>
                <w:szCs w:val="20"/>
                <w:lang w:val="tr-TR"/>
              </w:rPr>
              <w:t xml:space="preserve"> </w:t>
            </w:r>
            <w:r w:rsidRPr="0053423A">
              <w:rPr>
                <w:rFonts w:eastAsia="Calibri" w:cs="Calibri"/>
                <w:sz w:val="20"/>
                <w:szCs w:val="20"/>
              </w:rPr>
              <w:t>առաջատար</w:t>
            </w:r>
            <w:r w:rsidRPr="0053423A">
              <w:rPr>
                <w:rFonts w:eastAsia="Calibri" w:cs="Calibri"/>
                <w:sz w:val="20"/>
                <w:szCs w:val="20"/>
                <w:lang w:val="tr-TR"/>
              </w:rPr>
              <w:t xml:space="preserve"> </w:t>
            </w:r>
            <w:r w:rsidRPr="0053423A">
              <w:rPr>
                <w:rFonts w:eastAsia="Calibri" w:cs="Calibri"/>
                <w:sz w:val="20"/>
                <w:szCs w:val="20"/>
              </w:rPr>
              <w:t>մասնագետների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ընդլայնելու համագործակցության աշխարհագրությունը: </w:t>
            </w:r>
          </w:p>
          <w:p w:rsidR="00A67B6B" w:rsidRPr="0053423A" w:rsidRDefault="00A67B6B" w:rsidP="00A67858">
            <w:pPr>
              <w:tabs>
                <w:tab w:val="left" w:pos="508"/>
              </w:tabs>
              <w:spacing w:after="0" w:line="276" w:lineRule="auto"/>
              <w:jc w:val="center"/>
              <w:rPr>
                <w:rFonts w:eastAsia="Calibri" w:cs="Calibri"/>
                <w:sz w:val="20"/>
                <w:szCs w:val="20"/>
                <w:lang w:val="tr-TR"/>
              </w:rPr>
            </w:pPr>
          </w:p>
          <w:p w:rsidR="00A67B6B" w:rsidRPr="0053423A" w:rsidRDefault="00A67B6B" w:rsidP="00A67858">
            <w:pPr>
              <w:tabs>
                <w:tab w:val="left" w:pos="508"/>
              </w:tabs>
              <w:spacing w:after="0" w:line="276" w:lineRule="auto"/>
              <w:jc w:val="center"/>
              <w:rPr>
                <w:rFonts w:eastAsia="Calibri" w:cs="Calibri"/>
                <w:b/>
                <w:sz w:val="20"/>
                <w:szCs w:val="20"/>
                <w:lang w:val="tr-TR"/>
              </w:rPr>
            </w:pPr>
            <w:r w:rsidRPr="0053423A">
              <w:rPr>
                <w:rFonts w:eastAsia="Calibri" w:cs="Calibri"/>
                <w:b/>
                <w:sz w:val="20"/>
                <w:szCs w:val="20"/>
                <w:lang w:val="tr-TR"/>
              </w:rPr>
              <w:t xml:space="preserve">11.2 Հայ մշակույթին և արվեստներին նվիրված </w:t>
            </w:r>
            <w:r w:rsidRPr="0053423A">
              <w:rPr>
                <w:rFonts w:eastAsia="Calibri" w:cs="Calibri"/>
                <w:b/>
                <w:sz w:val="20"/>
                <w:szCs w:val="20"/>
                <w:lang w:val="hy-AM"/>
              </w:rPr>
              <w:t>ցուցահանդեսների</w:t>
            </w:r>
            <w:r w:rsidRPr="0053423A">
              <w:rPr>
                <w:rFonts w:eastAsia="Calibri" w:cs="Calibri"/>
                <w:b/>
                <w:sz w:val="20"/>
                <w:szCs w:val="20"/>
                <w:lang w:val="tr-TR"/>
              </w:rPr>
              <w:t xml:space="preserve"> </w:t>
            </w:r>
            <w:r w:rsidRPr="0053423A">
              <w:rPr>
                <w:rFonts w:eastAsia="Calibri" w:cs="Calibri"/>
                <w:b/>
                <w:sz w:val="20"/>
                <w:szCs w:val="20"/>
                <w:lang w:val="hy-AM"/>
              </w:rPr>
              <w:t>կազմակերպում</w:t>
            </w:r>
          </w:p>
          <w:p w:rsidR="00A67B6B" w:rsidRPr="0053423A" w:rsidRDefault="00A67B6B" w:rsidP="00A67858">
            <w:pPr>
              <w:tabs>
                <w:tab w:val="left" w:pos="508"/>
              </w:tabs>
              <w:spacing w:after="0" w:line="276" w:lineRule="auto"/>
              <w:jc w:val="center"/>
              <w:rPr>
                <w:rFonts w:eastAsia="Calibri" w:cs="Calibri"/>
                <w:sz w:val="20"/>
                <w:szCs w:val="20"/>
                <w:lang w:val="tr-TR"/>
              </w:rPr>
            </w:pPr>
          </w:p>
          <w:p w:rsidR="00A67B6B" w:rsidRPr="0053423A" w:rsidRDefault="00A67B6B" w:rsidP="001F6D5D">
            <w:pPr>
              <w:numPr>
                <w:ilvl w:val="0"/>
                <w:numId w:val="228"/>
              </w:numPr>
              <w:tabs>
                <w:tab w:val="left" w:pos="275"/>
                <w:tab w:val="left" w:pos="508"/>
              </w:tabs>
              <w:spacing w:after="0" w:line="276" w:lineRule="auto"/>
              <w:ind w:hanging="720"/>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իրականացման</w:t>
            </w:r>
            <w:r w:rsidRPr="0053423A">
              <w:rPr>
                <w:rFonts w:eastAsia="Calibri" w:cs="Calibri"/>
                <w:b/>
                <w:sz w:val="20"/>
                <w:szCs w:val="20"/>
                <w:lang w:val="tr-TR"/>
              </w:rPr>
              <w:t xml:space="preserve"> </w:t>
            </w:r>
            <w:r w:rsidRPr="0053423A">
              <w:rPr>
                <w:rFonts w:eastAsia="Calibri" w:cs="Calibri"/>
                <w:b/>
                <w:sz w:val="20"/>
                <w:szCs w:val="20"/>
              </w:rPr>
              <w:t>անհրաժեշտությունը</w:t>
            </w:r>
            <w:r w:rsidRPr="0053423A">
              <w:rPr>
                <w:rFonts w:eastAsia="Calibri" w:cs="Calibri"/>
                <w:b/>
                <w:sz w:val="20"/>
                <w:szCs w:val="20"/>
                <w:lang w:val="tr-TR"/>
              </w:rPr>
              <w:t xml:space="preserve"> </w:t>
            </w:r>
            <w:r w:rsidRPr="0053423A">
              <w:rPr>
                <w:rFonts w:eastAsia="Calibri" w:cs="Calibri"/>
                <w:b/>
                <w:sz w:val="20"/>
                <w:szCs w:val="20"/>
              </w:rPr>
              <w:t>և</w:t>
            </w:r>
            <w:r w:rsidRPr="0053423A">
              <w:rPr>
                <w:rFonts w:eastAsia="Calibri" w:cs="Calibri"/>
                <w:b/>
                <w:sz w:val="20"/>
                <w:szCs w:val="20"/>
                <w:lang w:val="tr-TR"/>
              </w:rPr>
              <w:t xml:space="preserve"> </w:t>
            </w:r>
            <w:r w:rsidRPr="0053423A">
              <w:rPr>
                <w:rFonts w:eastAsia="Calibri" w:cs="Calibri"/>
                <w:b/>
                <w:sz w:val="20"/>
                <w:szCs w:val="20"/>
              </w:rPr>
              <w:t>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Calibri"/>
                <w:sz w:val="20"/>
                <w:szCs w:val="20"/>
                <w:lang w:val="tr-TR"/>
              </w:rPr>
              <w:t xml:space="preserve">Հայ մշակույթը և արվեստները օտարերկրյա պետություններում ներկայացնելու, մշակութային քաղաքականության արդյունավետ իրականացման նպատակով անհրաժեշտ է կազմակերպել նախապես մշակված հայեցակարգերով ցուցադրություններ աշխարհի հեղինակավոր հարթակներում: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jc w:val="both"/>
              <w:rPr>
                <w:rFonts w:eastAsia="Calibri" w:cs="Calibri"/>
                <w:sz w:val="20"/>
                <w:szCs w:val="20"/>
                <w:lang w:val="tr-TR"/>
              </w:rPr>
            </w:pPr>
          </w:p>
          <w:p w:rsidR="00A67B6B" w:rsidRPr="0053423A" w:rsidRDefault="00A67B6B" w:rsidP="00A67858">
            <w:pPr>
              <w:tabs>
                <w:tab w:val="left" w:pos="508"/>
              </w:tabs>
              <w:spacing w:after="0" w:line="276" w:lineRule="auto"/>
              <w:jc w:val="both"/>
              <w:rPr>
                <w:rFonts w:eastAsia="Calibri" w:cs="Calibri"/>
                <w:b/>
                <w:sz w:val="20"/>
                <w:szCs w:val="20"/>
                <w:lang w:val="tr-TR"/>
              </w:rPr>
            </w:pPr>
            <w:r w:rsidRPr="0053423A">
              <w:rPr>
                <w:rFonts w:eastAsia="Calibri" w:cs="Calibri"/>
                <w:b/>
                <w:sz w:val="20"/>
                <w:szCs w:val="20"/>
                <w:lang w:val="tr-TR"/>
              </w:rPr>
              <w:t xml:space="preserve">1.1 </w:t>
            </w:r>
            <w:r w:rsidRPr="0053423A">
              <w:rPr>
                <w:rFonts w:eastAsia="Calibri" w:cs="Calibri"/>
                <w:b/>
                <w:sz w:val="20"/>
                <w:szCs w:val="20"/>
                <w:lang w:val="hy-AM"/>
              </w:rPr>
              <w:t>Կարգավորման</w:t>
            </w:r>
            <w:r w:rsidRPr="0053423A">
              <w:rPr>
                <w:rFonts w:eastAsia="Calibri" w:cs="Calibri"/>
                <w:b/>
                <w:sz w:val="20"/>
                <w:szCs w:val="20"/>
                <w:lang w:val="tr-TR"/>
              </w:rPr>
              <w:t xml:space="preserve"> </w:t>
            </w:r>
            <w:r w:rsidRPr="0053423A">
              <w:rPr>
                <w:rFonts w:eastAsia="Calibri" w:cs="Calibri"/>
                <w:b/>
                <w:sz w:val="20"/>
                <w:szCs w:val="20"/>
                <w:lang w:val="hy-AM"/>
              </w:rPr>
              <w:t>հարաբերությունների</w:t>
            </w:r>
            <w:r w:rsidRPr="0053423A">
              <w:rPr>
                <w:rFonts w:eastAsia="Calibri" w:cs="Calibri"/>
                <w:b/>
                <w:sz w:val="20"/>
                <w:szCs w:val="20"/>
                <w:lang w:val="tr-TR"/>
              </w:rPr>
              <w:t xml:space="preserve"> </w:t>
            </w:r>
            <w:r w:rsidRPr="0053423A">
              <w:rPr>
                <w:rFonts w:eastAsia="Calibri" w:cs="Calibri"/>
                <w:b/>
                <w:sz w:val="20"/>
                <w:szCs w:val="20"/>
                <w:lang w:val="hy-AM"/>
              </w:rPr>
              <w:t>ներկա</w:t>
            </w:r>
            <w:r w:rsidRPr="0053423A">
              <w:rPr>
                <w:rFonts w:eastAsia="Calibri" w:cs="Calibri"/>
                <w:b/>
                <w:sz w:val="20"/>
                <w:szCs w:val="20"/>
                <w:lang w:val="tr-TR"/>
              </w:rPr>
              <w:t xml:space="preserve"> </w:t>
            </w:r>
            <w:r w:rsidRPr="0053423A">
              <w:rPr>
                <w:rFonts w:eastAsia="Calibri" w:cs="Calibri"/>
                <w:b/>
                <w:sz w:val="20"/>
                <w:szCs w:val="20"/>
                <w:lang w:val="hy-AM"/>
              </w:rPr>
              <w:t>վիճակը</w:t>
            </w:r>
            <w:r w:rsidRPr="0053423A">
              <w:rPr>
                <w:rFonts w:eastAsia="Calibri" w:cs="Calibri"/>
                <w:b/>
                <w:sz w:val="20"/>
                <w:szCs w:val="20"/>
                <w:lang w:val="tr-TR"/>
              </w:rPr>
              <w:t xml:space="preserve"> </w:t>
            </w:r>
            <w:r w:rsidRPr="0053423A">
              <w:rPr>
                <w:rFonts w:eastAsia="Calibri" w:cs="Calibri"/>
                <w:b/>
                <w:sz w:val="20"/>
                <w:szCs w:val="20"/>
                <w:lang w:val="hy-AM"/>
              </w:rPr>
              <w:t>և</w:t>
            </w:r>
            <w:r w:rsidRPr="0053423A">
              <w:rPr>
                <w:rFonts w:eastAsia="Calibri" w:cs="Calibri"/>
                <w:b/>
                <w:sz w:val="20"/>
                <w:szCs w:val="20"/>
                <w:lang w:val="tr-TR"/>
              </w:rPr>
              <w:t xml:space="preserve"> </w:t>
            </w:r>
            <w:r w:rsidRPr="0053423A">
              <w:rPr>
                <w:rFonts w:eastAsia="Calibri" w:cs="Calibri"/>
                <w:b/>
                <w:sz w:val="20"/>
                <w:szCs w:val="20"/>
                <w:lang w:val="hy-AM"/>
              </w:rPr>
              <w:t>առկա</w:t>
            </w:r>
            <w:r w:rsidRPr="0053423A">
              <w:rPr>
                <w:rFonts w:eastAsia="Calibri" w:cs="Calibri"/>
                <w:b/>
                <w:sz w:val="20"/>
                <w:szCs w:val="20"/>
                <w:lang w:val="tr-TR"/>
              </w:rPr>
              <w:t xml:space="preserve"> </w:t>
            </w:r>
            <w:r w:rsidRPr="0053423A">
              <w:rPr>
                <w:rFonts w:eastAsia="Calibri" w:cs="Calibri"/>
                <w:b/>
                <w:sz w:val="20"/>
                <w:szCs w:val="20"/>
                <w:lang w:val="hy-AM"/>
              </w:rPr>
              <w:t>խնդիրները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lang w:val="hy-AM"/>
              </w:rPr>
              <w:t>Ներկայում</w:t>
            </w:r>
            <w:r w:rsidRPr="0053423A">
              <w:rPr>
                <w:rFonts w:eastAsia="Calibri" w:cs="Calibri"/>
                <w:sz w:val="20"/>
                <w:szCs w:val="20"/>
                <w:lang w:val="tr-TR"/>
              </w:rPr>
              <w:t xml:space="preserve"> </w:t>
            </w:r>
            <w:r w:rsidRPr="0053423A">
              <w:rPr>
                <w:rFonts w:eastAsia="Calibri" w:cs="Calibri"/>
                <w:sz w:val="20"/>
                <w:szCs w:val="20"/>
                <w:lang w:val="hy-AM"/>
              </w:rPr>
              <w:t>կազմակերպվում</w:t>
            </w:r>
            <w:r w:rsidRPr="0053423A">
              <w:rPr>
                <w:rFonts w:eastAsia="Calibri" w:cs="Calibri"/>
                <w:sz w:val="20"/>
                <w:szCs w:val="20"/>
                <w:lang w:val="tr-TR"/>
              </w:rPr>
              <w:t xml:space="preserve"> </w:t>
            </w:r>
            <w:r w:rsidRPr="0053423A">
              <w:rPr>
                <w:rFonts w:eastAsia="Calibri" w:cs="Calibri"/>
                <w:sz w:val="20"/>
                <w:szCs w:val="20"/>
                <w:lang w:val="hy-AM"/>
              </w:rPr>
              <w:t>են</w:t>
            </w:r>
            <w:r w:rsidRPr="0053423A">
              <w:rPr>
                <w:rFonts w:eastAsia="Calibri" w:cs="Calibri"/>
                <w:sz w:val="20"/>
                <w:szCs w:val="20"/>
                <w:lang w:val="tr-TR"/>
              </w:rPr>
              <w:t xml:space="preserve"> </w:t>
            </w:r>
            <w:r w:rsidRPr="0053423A">
              <w:rPr>
                <w:rFonts w:eastAsia="Calibri" w:cs="Calibri"/>
                <w:sz w:val="20"/>
                <w:szCs w:val="20"/>
                <w:lang w:val="hy-AM"/>
              </w:rPr>
              <w:t>քաղաքակրթական</w:t>
            </w:r>
            <w:r w:rsidRPr="0053423A">
              <w:rPr>
                <w:rFonts w:eastAsia="Calibri" w:cs="Calibri"/>
                <w:sz w:val="20"/>
                <w:szCs w:val="20"/>
                <w:lang w:val="tr-TR"/>
              </w:rPr>
              <w:t xml:space="preserve"> </w:t>
            </w:r>
            <w:r w:rsidRPr="0053423A">
              <w:rPr>
                <w:rFonts w:eastAsia="Calibri" w:cs="Calibri"/>
                <w:sz w:val="20"/>
                <w:szCs w:val="20"/>
                <w:lang w:val="hy-AM"/>
              </w:rPr>
              <w:t>և</w:t>
            </w:r>
            <w:r w:rsidRPr="0053423A">
              <w:rPr>
                <w:rFonts w:eastAsia="Calibri" w:cs="Calibri"/>
                <w:sz w:val="20"/>
                <w:szCs w:val="20"/>
                <w:lang w:val="tr-TR"/>
              </w:rPr>
              <w:t xml:space="preserve"> </w:t>
            </w:r>
            <w:r w:rsidRPr="0053423A">
              <w:rPr>
                <w:rFonts w:eastAsia="Calibri" w:cs="Calibri"/>
                <w:sz w:val="20"/>
                <w:szCs w:val="20"/>
                <w:lang w:val="hy-AM"/>
              </w:rPr>
              <w:t>թեմատիկ</w:t>
            </w:r>
            <w:r w:rsidRPr="0053423A">
              <w:rPr>
                <w:rFonts w:eastAsia="Calibri" w:cs="Calibri"/>
                <w:sz w:val="20"/>
                <w:szCs w:val="20"/>
                <w:lang w:val="tr-TR"/>
              </w:rPr>
              <w:t xml:space="preserve"> </w:t>
            </w:r>
            <w:r w:rsidRPr="0053423A">
              <w:rPr>
                <w:rFonts w:eastAsia="Calibri" w:cs="Calibri"/>
                <w:sz w:val="20"/>
                <w:szCs w:val="20"/>
                <w:lang w:val="hy-AM"/>
              </w:rPr>
              <w:t>ցուցահանդեսներ</w:t>
            </w:r>
            <w:r w:rsidRPr="0053423A">
              <w:rPr>
                <w:rFonts w:eastAsia="Calibri" w:cs="Calibri"/>
                <w:sz w:val="20"/>
                <w:szCs w:val="20"/>
                <w:lang w:val="tr-TR"/>
              </w:rPr>
              <w:t xml:space="preserve">, </w:t>
            </w:r>
            <w:r w:rsidRPr="0053423A">
              <w:rPr>
                <w:rFonts w:eastAsia="Calibri" w:cs="Calibri"/>
                <w:sz w:val="20"/>
                <w:szCs w:val="20"/>
                <w:lang w:val="hy-AM"/>
              </w:rPr>
              <w:t>որոնք</w:t>
            </w:r>
            <w:r w:rsidRPr="0053423A">
              <w:rPr>
                <w:rFonts w:eastAsia="Calibri" w:cs="Calibri"/>
                <w:sz w:val="20"/>
                <w:szCs w:val="20"/>
                <w:lang w:val="tr-TR"/>
              </w:rPr>
              <w:t xml:space="preserve"> </w:t>
            </w:r>
            <w:r w:rsidRPr="0053423A">
              <w:rPr>
                <w:rFonts w:eastAsia="Calibri" w:cs="Calibri"/>
                <w:sz w:val="20"/>
                <w:szCs w:val="20"/>
                <w:lang w:val="hy-AM"/>
              </w:rPr>
              <w:t>ընդգրկում</w:t>
            </w:r>
            <w:r w:rsidRPr="0053423A">
              <w:rPr>
                <w:rFonts w:eastAsia="Calibri" w:cs="Calibri"/>
                <w:sz w:val="20"/>
                <w:szCs w:val="20"/>
                <w:lang w:val="tr-TR"/>
              </w:rPr>
              <w:t xml:space="preserve"> </w:t>
            </w:r>
            <w:r w:rsidRPr="0053423A">
              <w:rPr>
                <w:rFonts w:eastAsia="Calibri" w:cs="Calibri"/>
                <w:sz w:val="20"/>
                <w:szCs w:val="20"/>
                <w:lang w:val="hy-AM"/>
              </w:rPr>
              <w:t>են</w:t>
            </w:r>
            <w:r w:rsidRPr="0053423A">
              <w:rPr>
                <w:rFonts w:eastAsia="Calibri" w:cs="Calibri"/>
                <w:sz w:val="20"/>
                <w:szCs w:val="20"/>
                <w:lang w:val="tr-TR"/>
              </w:rPr>
              <w:t xml:space="preserve"> </w:t>
            </w:r>
            <w:r w:rsidRPr="0053423A">
              <w:rPr>
                <w:rFonts w:eastAsia="Calibri" w:cs="Calibri"/>
                <w:sz w:val="20"/>
                <w:szCs w:val="20"/>
                <w:lang w:val="hy-AM"/>
              </w:rPr>
              <w:t>հավաքածուներ</w:t>
            </w:r>
            <w:r w:rsidRPr="0053423A">
              <w:rPr>
                <w:rFonts w:eastAsia="Calibri" w:cs="Calibri"/>
                <w:sz w:val="20"/>
                <w:szCs w:val="20"/>
                <w:lang w:val="tr-TR"/>
              </w:rPr>
              <w:t xml:space="preserve"> </w:t>
            </w:r>
            <w:r w:rsidRPr="0053423A">
              <w:rPr>
                <w:rFonts w:eastAsia="Calibri" w:cs="Calibri"/>
                <w:sz w:val="20"/>
                <w:szCs w:val="20"/>
                <w:lang w:val="hy-AM"/>
              </w:rPr>
              <w:t>Հայաստանի</w:t>
            </w:r>
            <w:r w:rsidRPr="0053423A">
              <w:rPr>
                <w:rFonts w:eastAsia="Calibri" w:cs="Calibri"/>
                <w:sz w:val="20"/>
                <w:szCs w:val="20"/>
                <w:lang w:val="tr-TR"/>
              </w:rPr>
              <w:t xml:space="preserve"> </w:t>
            </w:r>
            <w:r w:rsidRPr="0053423A">
              <w:rPr>
                <w:rFonts w:eastAsia="Calibri" w:cs="Calibri"/>
                <w:sz w:val="20"/>
                <w:szCs w:val="20"/>
                <w:lang w:val="hy-AM"/>
              </w:rPr>
              <w:t>առաջատար</w:t>
            </w:r>
            <w:r w:rsidRPr="0053423A">
              <w:rPr>
                <w:rFonts w:eastAsia="Calibri" w:cs="Calibri"/>
                <w:sz w:val="20"/>
                <w:szCs w:val="20"/>
                <w:lang w:val="tr-TR"/>
              </w:rPr>
              <w:t xml:space="preserve"> </w:t>
            </w:r>
            <w:r w:rsidRPr="0053423A">
              <w:rPr>
                <w:rFonts w:eastAsia="Calibri" w:cs="Calibri"/>
                <w:sz w:val="20"/>
                <w:szCs w:val="20"/>
                <w:lang w:val="hy-AM"/>
              </w:rPr>
              <w:t>թանգարաններից</w:t>
            </w:r>
            <w:r w:rsidRPr="0053423A">
              <w:rPr>
                <w:rFonts w:eastAsia="Calibri" w:cs="Calibri"/>
                <w:sz w:val="20"/>
                <w:szCs w:val="20"/>
                <w:lang w:val="tr-TR"/>
              </w:rPr>
              <w:t xml:space="preserve">: </w:t>
            </w:r>
            <w:r w:rsidRPr="0053423A">
              <w:rPr>
                <w:rFonts w:eastAsia="Calibri" w:cs="Calibri"/>
                <w:sz w:val="20"/>
                <w:szCs w:val="20"/>
                <w:lang w:val="hy-AM"/>
              </w:rPr>
              <w:t>Նման</w:t>
            </w:r>
            <w:r w:rsidRPr="0053423A">
              <w:rPr>
                <w:rFonts w:eastAsia="Calibri" w:cs="Calibri"/>
                <w:sz w:val="20"/>
                <w:szCs w:val="20"/>
                <w:lang w:val="tr-TR"/>
              </w:rPr>
              <w:t xml:space="preserve"> </w:t>
            </w:r>
            <w:r w:rsidRPr="0053423A">
              <w:rPr>
                <w:rFonts w:eastAsia="Calibri" w:cs="Calibri"/>
                <w:sz w:val="20"/>
                <w:szCs w:val="20"/>
                <w:lang w:val="hy-AM"/>
              </w:rPr>
              <w:t>միջոցառումների</w:t>
            </w:r>
            <w:r w:rsidRPr="0053423A">
              <w:rPr>
                <w:rFonts w:eastAsia="Calibri" w:cs="Calibri"/>
                <w:sz w:val="20"/>
                <w:szCs w:val="20"/>
                <w:lang w:val="tr-TR"/>
              </w:rPr>
              <w:t xml:space="preserve"> </w:t>
            </w:r>
            <w:r w:rsidRPr="0053423A">
              <w:rPr>
                <w:rFonts w:eastAsia="Calibri" w:cs="Calibri"/>
                <w:sz w:val="20"/>
                <w:szCs w:val="20"/>
                <w:lang w:val="hy-AM"/>
              </w:rPr>
              <w:t>առջև</w:t>
            </w:r>
            <w:r w:rsidRPr="0053423A">
              <w:rPr>
                <w:rFonts w:eastAsia="Calibri" w:cs="Calibri"/>
                <w:sz w:val="20"/>
                <w:szCs w:val="20"/>
                <w:lang w:val="tr-TR"/>
              </w:rPr>
              <w:t xml:space="preserve"> </w:t>
            </w:r>
            <w:r w:rsidRPr="0053423A">
              <w:rPr>
                <w:rFonts w:eastAsia="Calibri" w:cs="Calibri"/>
                <w:sz w:val="20"/>
                <w:szCs w:val="20"/>
                <w:lang w:val="hy-AM"/>
              </w:rPr>
              <w:t>դրված</w:t>
            </w:r>
            <w:r w:rsidRPr="0053423A">
              <w:rPr>
                <w:rFonts w:eastAsia="Calibri" w:cs="Calibri"/>
                <w:sz w:val="20"/>
                <w:szCs w:val="20"/>
                <w:lang w:val="tr-TR"/>
              </w:rPr>
              <w:t xml:space="preserve"> </w:t>
            </w:r>
            <w:r w:rsidRPr="0053423A">
              <w:rPr>
                <w:rFonts w:eastAsia="Calibri" w:cs="Calibri"/>
                <w:sz w:val="20"/>
                <w:szCs w:val="20"/>
                <w:lang w:val="hy-AM"/>
              </w:rPr>
              <w:t>են</w:t>
            </w:r>
            <w:r w:rsidRPr="0053423A">
              <w:rPr>
                <w:rFonts w:eastAsia="Calibri" w:cs="Calibri"/>
                <w:sz w:val="20"/>
                <w:szCs w:val="20"/>
                <w:lang w:val="tr-TR"/>
              </w:rPr>
              <w:t xml:space="preserve"> </w:t>
            </w:r>
            <w:r w:rsidRPr="0053423A">
              <w:rPr>
                <w:rFonts w:eastAsia="Calibri" w:cs="Calibri"/>
                <w:sz w:val="20"/>
                <w:szCs w:val="20"/>
                <w:lang w:val="hy-AM"/>
              </w:rPr>
              <w:t>հետևյալ</w:t>
            </w:r>
            <w:r w:rsidRPr="0053423A">
              <w:rPr>
                <w:rFonts w:eastAsia="Calibri" w:cs="Calibri"/>
                <w:sz w:val="20"/>
                <w:szCs w:val="20"/>
                <w:lang w:val="tr-TR"/>
              </w:rPr>
              <w:t xml:space="preserve"> </w:t>
            </w:r>
            <w:r w:rsidRPr="0053423A">
              <w:rPr>
                <w:rFonts w:eastAsia="Calibri" w:cs="Calibri"/>
                <w:sz w:val="20"/>
                <w:szCs w:val="20"/>
                <w:lang w:val="hy-AM"/>
              </w:rPr>
              <w:t>խնդիրները</w:t>
            </w:r>
            <w:r w:rsidRPr="0053423A">
              <w:rPr>
                <w:rFonts w:eastAsia="Calibri" w:cs="Calibri"/>
                <w:sz w:val="20"/>
                <w:szCs w:val="20"/>
                <w:lang w:val="tr-TR"/>
              </w:rPr>
              <w:t xml:space="preserve">` </w:t>
            </w:r>
            <w:r w:rsidRPr="0053423A">
              <w:rPr>
                <w:rFonts w:eastAsia="Calibri" w:cs="Calibri"/>
                <w:sz w:val="20"/>
                <w:szCs w:val="20"/>
                <w:lang w:val="hy-AM"/>
              </w:rPr>
              <w:t>ներկայացնել</w:t>
            </w:r>
            <w:r w:rsidRPr="0053423A">
              <w:rPr>
                <w:rFonts w:eastAsia="Calibri" w:cs="Calibri"/>
                <w:sz w:val="20"/>
                <w:szCs w:val="20"/>
                <w:lang w:val="tr-TR"/>
              </w:rPr>
              <w:t xml:space="preserve"> </w:t>
            </w:r>
            <w:r w:rsidRPr="0053423A">
              <w:rPr>
                <w:rFonts w:eastAsia="Calibri" w:cs="Calibri"/>
                <w:sz w:val="20"/>
                <w:szCs w:val="20"/>
                <w:lang w:val="hy-AM"/>
              </w:rPr>
              <w:t>Հայաստանի</w:t>
            </w:r>
            <w:r w:rsidRPr="0053423A">
              <w:rPr>
                <w:rFonts w:eastAsia="Calibri" w:cs="Calibri"/>
                <w:sz w:val="20"/>
                <w:szCs w:val="20"/>
                <w:lang w:val="tr-TR"/>
              </w:rPr>
              <w:t xml:space="preserve"> </w:t>
            </w:r>
            <w:r w:rsidRPr="0053423A">
              <w:rPr>
                <w:rFonts w:eastAsia="Calibri" w:cs="Calibri"/>
                <w:sz w:val="20"/>
                <w:szCs w:val="20"/>
                <w:lang w:val="hy-AM"/>
              </w:rPr>
              <w:t>պատմամշակութային</w:t>
            </w:r>
            <w:r w:rsidRPr="0053423A">
              <w:rPr>
                <w:rFonts w:eastAsia="Calibri" w:cs="Calibri"/>
                <w:sz w:val="20"/>
                <w:szCs w:val="20"/>
                <w:lang w:val="tr-TR"/>
              </w:rPr>
              <w:t xml:space="preserve"> </w:t>
            </w:r>
            <w:r w:rsidRPr="0053423A">
              <w:rPr>
                <w:rFonts w:eastAsia="Calibri" w:cs="Calibri"/>
                <w:sz w:val="20"/>
                <w:szCs w:val="20"/>
                <w:lang w:val="hy-AM"/>
              </w:rPr>
              <w:t>ժառանգությունը</w:t>
            </w:r>
            <w:r w:rsidRPr="0053423A">
              <w:rPr>
                <w:rFonts w:eastAsia="Calibri" w:cs="Calibri"/>
                <w:sz w:val="20"/>
                <w:szCs w:val="20"/>
                <w:lang w:val="tr-TR"/>
              </w:rPr>
              <w:t xml:space="preserve"> </w:t>
            </w:r>
            <w:r w:rsidRPr="0053423A">
              <w:rPr>
                <w:rFonts w:eastAsia="Calibri" w:cs="Calibri"/>
                <w:sz w:val="20"/>
                <w:szCs w:val="20"/>
                <w:lang w:val="hy-AM"/>
              </w:rPr>
              <w:t>լավագույն</w:t>
            </w:r>
            <w:r w:rsidRPr="0053423A">
              <w:rPr>
                <w:rFonts w:eastAsia="Calibri" w:cs="Calibri"/>
                <w:sz w:val="20"/>
                <w:szCs w:val="20"/>
                <w:lang w:val="tr-TR"/>
              </w:rPr>
              <w:t xml:space="preserve"> </w:t>
            </w:r>
            <w:r w:rsidRPr="0053423A">
              <w:rPr>
                <w:rFonts w:eastAsia="Calibri" w:cs="Calibri"/>
                <w:sz w:val="20"/>
                <w:szCs w:val="20"/>
                <w:lang w:val="hy-AM"/>
              </w:rPr>
              <w:t>հայեցակարգերի</w:t>
            </w:r>
            <w:r w:rsidRPr="0053423A">
              <w:rPr>
                <w:rFonts w:eastAsia="Calibri" w:cs="Calibri"/>
                <w:sz w:val="20"/>
                <w:szCs w:val="20"/>
                <w:lang w:val="tr-TR"/>
              </w:rPr>
              <w:t xml:space="preserve"> </w:t>
            </w:r>
            <w:r w:rsidRPr="0053423A">
              <w:rPr>
                <w:rFonts w:eastAsia="Calibri" w:cs="Calibri"/>
                <w:sz w:val="20"/>
                <w:szCs w:val="20"/>
                <w:lang w:val="hy-AM"/>
              </w:rPr>
              <w:t>և</w:t>
            </w:r>
            <w:r w:rsidRPr="0053423A">
              <w:rPr>
                <w:rFonts w:eastAsia="Calibri" w:cs="Calibri"/>
                <w:sz w:val="20"/>
                <w:szCs w:val="20"/>
                <w:lang w:val="tr-TR"/>
              </w:rPr>
              <w:t xml:space="preserve"> </w:t>
            </w:r>
            <w:r w:rsidRPr="0053423A">
              <w:rPr>
                <w:rFonts w:eastAsia="Calibri" w:cs="Calibri"/>
                <w:sz w:val="20"/>
                <w:szCs w:val="20"/>
                <w:lang w:val="hy-AM"/>
              </w:rPr>
              <w:t>ժամանակակից</w:t>
            </w:r>
            <w:r w:rsidRPr="0053423A">
              <w:rPr>
                <w:rFonts w:eastAsia="Calibri" w:cs="Calibri"/>
                <w:sz w:val="20"/>
                <w:szCs w:val="20"/>
                <w:lang w:val="tr-TR"/>
              </w:rPr>
              <w:t xml:space="preserve"> </w:t>
            </w:r>
            <w:r w:rsidRPr="0053423A">
              <w:rPr>
                <w:rFonts w:eastAsia="Calibri" w:cs="Calibri"/>
                <w:sz w:val="20"/>
                <w:szCs w:val="20"/>
                <w:lang w:val="hy-AM"/>
              </w:rPr>
              <w:t>լուծումների</w:t>
            </w:r>
            <w:r w:rsidRPr="0053423A">
              <w:rPr>
                <w:rFonts w:eastAsia="Calibri" w:cs="Calibri"/>
                <w:sz w:val="20"/>
                <w:szCs w:val="20"/>
                <w:lang w:val="tr-TR"/>
              </w:rPr>
              <w:t xml:space="preserve"> </w:t>
            </w:r>
            <w:r w:rsidRPr="0053423A">
              <w:rPr>
                <w:rFonts w:eastAsia="Calibri" w:cs="Calibri"/>
                <w:sz w:val="20"/>
                <w:szCs w:val="20"/>
                <w:lang w:val="hy-AM"/>
              </w:rPr>
              <w:t>միջոցով</w:t>
            </w:r>
            <w:r w:rsidRPr="0053423A">
              <w:rPr>
                <w:rFonts w:eastAsia="Calibri" w:cs="Calibri"/>
                <w:sz w:val="20"/>
                <w:szCs w:val="20"/>
                <w:lang w:val="tr-TR"/>
              </w:rPr>
              <w:t xml:space="preserve"> </w:t>
            </w:r>
            <w:r w:rsidRPr="0053423A">
              <w:rPr>
                <w:rFonts w:eastAsia="Calibri" w:cs="Calibri"/>
                <w:sz w:val="20"/>
                <w:szCs w:val="20"/>
                <w:lang w:val="hy-AM"/>
              </w:rPr>
              <w:t>աշխարհի</w:t>
            </w:r>
            <w:r w:rsidRPr="0053423A">
              <w:rPr>
                <w:rFonts w:eastAsia="Calibri" w:cs="Calibri"/>
                <w:sz w:val="20"/>
                <w:szCs w:val="20"/>
                <w:lang w:val="tr-TR"/>
              </w:rPr>
              <w:t xml:space="preserve"> </w:t>
            </w:r>
            <w:r w:rsidRPr="0053423A">
              <w:rPr>
                <w:rFonts w:eastAsia="Calibri" w:cs="Calibri"/>
                <w:sz w:val="20"/>
                <w:szCs w:val="20"/>
                <w:lang w:val="hy-AM"/>
              </w:rPr>
              <w:t>ամենահեղինակավոր</w:t>
            </w:r>
            <w:r w:rsidRPr="0053423A">
              <w:rPr>
                <w:rFonts w:eastAsia="Calibri" w:cs="Calibri"/>
                <w:sz w:val="20"/>
                <w:szCs w:val="20"/>
                <w:lang w:val="tr-TR"/>
              </w:rPr>
              <w:t xml:space="preserve"> </w:t>
            </w:r>
            <w:r w:rsidRPr="0053423A">
              <w:rPr>
                <w:rFonts w:eastAsia="Calibri" w:cs="Calibri"/>
                <w:sz w:val="20"/>
                <w:szCs w:val="20"/>
                <w:lang w:val="hy-AM"/>
              </w:rPr>
              <w:t>հարթակներում</w:t>
            </w:r>
            <w:r w:rsidRPr="0053423A">
              <w:rPr>
                <w:rFonts w:eastAsia="Calibri" w:cs="Calibri"/>
                <w:sz w:val="20"/>
                <w:szCs w:val="20"/>
                <w:lang w:val="tr-TR"/>
              </w:rPr>
              <w:t xml:space="preserve"> </w:t>
            </w:r>
            <w:r w:rsidRPr="0053423A">
              <w:rPr>
                <w:rFonts w:eastAsia="Calibri" w:cs="Calibri"/>
                <w:sz w:val="20"/>
                <w:szCs w:val="20"/>
                <w:lang w:val="hy-AM"/>
              </w:rPr>
              <w:t>և</w:t>
            </w:r>
            <w:r w:rsidRPr="0053423A">
              <w:rPr>
                <w:rFonts w:eastAsia="Calibri" w:cs="Calibri"/>
                <w:sz w:val="20"/>
                <w:szCs w:val="20"/>
                <w:lang w:val="tr-TR"/>
              </w:rPr>
              <w:t xml:space="preserve"> </w:t>
            </w:r>
            <w:r w:rsidRPr="0053423A">
              <w:rPr>
                <w:rFonts w:eastAsia="Calibri" w:cs="Calibri"/>
                <w:sz w:val="20"/>
                <w:szCs w:val="20"/>
                <w:lang w:val="hy-AM"/>
              </w:rPr>
              <w:t>միջազգային</w:t>
            </w:r>
            <w:r w:rsidRPr="0053423A">
              <w:rPr>
                <w:rFonts w:eastAsia="Calibri" w:cs="Calibri"/>
                <w:sz w:val="20"/>
                <w:szCs w:val="20"/>
                <w:lang w:val="tr-TR"/>
              </w:rPr>
              <w:t xml:space="preserve"> </w:t>
            </w:r>
            <w:r w:rsidRPr="0053423A">
              <w:rPr>
                <w:rFonts w:eastAsia="Calibri" w:cs="Calibri"/>
                <w:sz w:val="20"/>
                <w:szCs w:val="20"/>
                <w:lang w:val="hy-AM"/>
              </w:rPr>
              <w:t>լայն</w:t>
            </w:r>
            <w:r w:rsidRPr="0053423A">
              <w:rPr>
                <w:rFonts w:eastAsia="Calibri" w:cs="Calibri"/>
                <w:sz w:val="20"/>
                <w:szCs w:val="20"/>
                <w:lang w:val="tr-TR"/>
              </w:rPr>
              <w:t xml:space="preserve"> </w:t>
            </w:r>
            <w:r w:rsidRPr="0053423A">
              <w:rPr>
                <w:rFonts w:eastAsia="Calibri" w:cs="Calibri"/>
                <w:sz w:val="20"/>
                <w:szCs w:val="20"/>
                <w:lang w:val="hy-AM"/>
              </w:rPr>
              <w:t>հասրակության</w:t>
            </w:r>
            <w:r w:rsidRPr="0053423A">
              <w:rPr>
                <w:rFonts w:eastAsia="Calibri" w:cs="Calibri"/>
                <w:sz w:val="20"/>
                <w:szCs w:val="20"/>
                <w:lang w:val="tr-TR"/>
              </w:rPr>
              <w:t xml:space="preserve"> </w:t>
            </w:r>
            <w:r w:rsidRPr="0053423A">
              <w:rPr>
                <w:rFonts w:eastAsia="Calibri" w:cs="Calibri"/>
                <w:sz w:val="20"/>
                <w:szCs w:val="20"/>
                <w:lang w:val="hy-AM"/>
              </w:rPr>
              <w:t>համար</w:t>
            </w:r>
            <w:r w:rsidRPr="0053423A">
              <w:rPr>
                <w:rFonts w:eastAsia="Calibri" w:cs="Calibri"/>
                <w:sz w:val="20"/>
                <w:szCs w:val="20"/>
                <w:lang w:val="tr-TR"/>
              </w:rPr>
              <w:t xml:space="preserve"> </w:t>
            </w:r>
            <w:r w:rsidRPr="0053423A">
              <w:rPr>
                <w:rFonts w:eastAsia="Calibri" w:cs="Calibri"/>
                <w:sz w:val="20"/>
                <w:szCs w:val="20"/>
                <w:lang w:val="hy-AM"/>
              </w:rPr>
              <w:t>լավագույն</w:t>
            </w:r>
            <w:r w:rsidRPr="0053423A">
              <w:rPr>
                <w:rFonts w:eastAsia="Calibri" w:cs="Calibri"/>
                <w:sz w:val="20"/>
                <w:szCs w:val="20"/>
                <w:lang w:val="tr-TR"/>
              </w:rPr>
              <w:t xml:space="preserve"> </w:t>
            </w:r>
            <w:r w:rsidRPr="0053423A">
              <w:rPr>
                <w:rFonts w:eastAsia="Calibri" w:cs="Calibri"/>
                <w:sz w:val="20"/>
                <w:szCs w:val="20"/>
                <w:lang w:val="hy-AM"/>
              </w:rPr>
              <w:t>հաստատությունների</w:t>
            </w:r>
            <w:r w:rsidRPr="0053423A">
              <w:rPr>
                <w:rFonts w:eastAsia="Calibri" w:cs="Calibri"/>
                <w:sz w:val="20"/>
                <w:szCs w:val="20"/>
                <w:lang w:val="tr-TR"/>
              </w:rPr>
              <w:t xml:space="preserve"> </w:t>
            </w:r>
            <w:r w:rsidRPr="0053423A">
              <w:rPr>
                <w:rFonts w:eastAsia="Calibri" w:cs="Calibri"/>
                <w:sz w:val="20"/>
                <w:szCs w:val="20"/>
                <w:lang w:val="hy-AM"/>
              </w:rPr>
              <w:t>հետ</w:t>
            </w:r>
            <w:r w:rsidRPr="0053423A">
              <w:rPr>
                <w:rFonts w:eastAsia="Calibri" w:cs="Calibri"/>
                <w:sz w:val="20"/>
                <w:szCs w:val="20"/>
                <w:lang w:val="tr-TR"/>
              </w:rPr>
              <w:t xml:space="preserve"> </w:t>
            </w:r>
            <w:r w:rsidRPr="0053423A">
              <w:rPr>
                <w:rFonts w:eastAsia="Calibri" w:cs="Calibri"/>
                <w:sz w:val="20"/>
                <w:szCs w:val="20"/>
                <w:lang w:val="hy-AM"/>
              </w:rPr>
              <w:t>համատեղ</w:t>
            </w:r>
            <w:r w:rsidRPr="0053423A">
              <w:rPr>
                <w:rFonts w:eastAsia="Calibri" w:cs="Calibri"/>
                <w:sz w:val="20"/>
                <w:szCs w:val="20"/>
                <w:lang w:val="tr-TR"/>
              </w:rPr>
              <w:t xml:space="preserve"> </w:t>
            </w:r>
            <w:r w:rsidRPr="0053423A">
              <w:rPr>
                <w:rFonts w:eastAsia="Calibri" w:cs="Calibri"/>
                <w:sz w:val="20"/>
                <w:szCs w:val="20"/>
                <w:lang w:val="hy-AM"/>
              </w:rPr>
              <w:t>մշակված</w:t>
            </w:r>
            <w:r w:rsidRPr="0053423A">
              <w:rPr>
                <w:rFonts w:eastAsia="Calibri" w:cs="Calibri"/>
                <w:sz w:val="20"/>
                <w:szCs w:val="20"/>
                <w:lang w:val="tr-TR"/>
              </w:rPr>
              <w:t xml:space="preserve"> </w:t>
            </w:r>
            <w:r w:rsidRPr="0053423A">
              <w:rPr>
                <w:rFonts w:eastAsia="Calibri" w:cs="Calibri"/>
                <w:sz w:val="20"/>
                <w:szCs w:val="20"/>
                <w:lang w:val="hy-AM"/>
              </w:rPr>
              <w:t>ձևաչափով</w:t>
            </w:r>
            <w:r w:rsidRPr="0053423A">
              <w:rPr>
                <w:rFonts w:eastAsia="Calibri" w:cs="Calibri"/>
                <w:sz w:val="20"/>
                <w:szCs w:val="20"/>
                <w:lang w:val="tr-TR"/>
              </w:rPr>
              <w:t>:</w:t>
            </w:r>
          </w:p>
          <w:p w:rsidR="00A67B6B" w:rsidRPr="0053423A" w:rsidRDefault="00A67B6B" w:rsidP="00A67858">
            <w:pPr>
              <w:tabs>
                <w:tab w:val="left" w:pos="508"/>
              </w:tabs>
              <w:spacing w:after="0" w:line="276" w:lineRule="auto"/>
              <w:jc w:val="both"/>
              <w:rPr>
                <w:rFonts w:eastAsia="Calibri" w:cs="Calibri"/>
                <w:b/>
                <w:sz w:val="20"/>
                <w:szCs w:val="20"/>
                <w:lang w:val="tr-TR"/>
              </w:rPr>
            </w:pPr>
          </w:p>
          <w:p w:rsidR="00A67B6B" w:rsidRPr="0053423A" w:rsidRDefault="00A67B6B" w:rsidP="001F6D5D">
            <w:pPr>
              <w:numPr>
                <w:ilvl w:val="1"/>
                <w:numId w:val="228"/>
              </w:numPr>
              <w:tabs>
                <w:tab w:val="left" w:pos="508"/>
              </w:tabs>
              <w:spacing w:after="0" w:line="276" w:lineRule="auto"/>
              <w:ind w:hanging="720"/>
              <w:jc w:val="both"/>
              <w:rPr>
                <w:rFonts w:eastAsia="Calibri" w:cs="Calibri"/>
                <w:b/>
                <w:sz w:val="20"/>
                <w:szCs w:val="20"/>
                <w:lang w:val="tr-TR"/>
              </w:rPr>
            </w:pPr>
            <w:r w:rsidRPr="0053423A">
              <w:rPr>
                <w:rFonts w:eastAsia="Calibri" w:cs="Calibri"/>
                <w:b/>
                <w:sz w:val="20"/>
                <w:szCs w:val="20"/>
              </w:rPr>
              <w:t>Առկա</w:t>
            </w:r>
            <w:r w:rsidRPr="0053423A">
              <w:rPr>
                <w:rFonts w:eastAsia="Calibri" w:cs="Calibri"/>
                <w:b/>
                <w:sz w:val="20"/>
                <w:szCs w:val="20"/>
                <w:lang w:val="tr-TR"/>
              </w:rPr>
              <w:t xml:space="preserve"> </w:t>
            </w:r>
            <w:r w:rsidRPr="0053423A">
              <w:rPr>
                <w:rFonts w:eastAsia="Calibri" w:cs="Calibri"/>
                <w:b/>
                <w:sz w:val="20"/>
                <w:szCs w:val="20"/>
              </w:rPr>
              <w:t>խնդիրների</w:t>
            </w:r>
            <w:r w:rsidRPr="0053423A">
              <w:rPr>
                <w:rFonts w:eastAsia="Calibri" w:cs="Calibri"/>
                <w:b/>
                <w:sz w:val="20"/>
                <w:szCs w:val="20"/>
                <w:lang w:val="tr-TR"/>
              </w:rPr>
              <w:t xml:space="preserve"> </w:t>
            </w:r>
            <w:r w:rsidRPr="0053423A">
              <w:rPr>
                <w:rFonts w:eastAsia="Calibri" w:cs="Calibri"/>
                <w:b/>
                <w:sz w:val="20"/>
                <w:szCs w:val="20"/>
              </w:rPr>
              <w:t>առաջարկվող</w:t>
            </w:r>
            <w:r w:rsidRPr="0053423A">
              <w:rPr>
                <w:rFonts w:eastAsia="Calibri" w:cs="Calibri"/>
                <w:b/>
                <w:sz w:val="20"/>
                <w:szCs w:val="20"/>
                <w:lang w:val="tr-TR"/>
              </w:rPr>
              <w:t xml:space="preserve"> </w:t>
            </w:r>
            <w:r w:rsidRPr="0053423A">
              <w:rPr>
                <w:rFonts w:eastAsia="Calibri" w:cs="Calibri"/>
                <w:b/>
                <w:sz w:val="20"/>
                <w:szCs w:val="20"/>
              </w:rPr>
              <w:t>լուծումները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Հայկական</w:t>
            </w:r>
            <w:r w:rsidRPr="0053423A">
              <w:rPr>
                <w:rFonts w:eastAsia="Calibri" w:cs="Calibri"/>
                <w:sz w:val="20"/>
                <w:szCs w:val="20"/>
                <w:lang w:val="tr-TR"/>
              </w:rPr>
              <w:t xml:space="preserve"> </w:t>
            </w:r>
            <w:r w:rsidRPr="0053423A">
              <w:rPr>
                <w:rFonts w:eastAsia="Calibri" w:cs="Calibri"/>
                <w:sz w:val="20"/>
                <w:szCs w:val="20"/>
              </w:rPr>
              <w:t>պատմամշակութային</w:t>
            </w:r>
            <w:r w:rsidRPr="0053423A">
              <w:rPr>
                <w:rFonts w:eastAsia="Calibri" w:cs="Calibri"/>
                <w:sz w:val="20"/>
                <w:szCs w:val="20"/>
                <w:lang w:val="tr-TR"/>
              </w:rPr>
              <w:t xml:space="preserve"> </w:t>
            </w:r>
            <w:r w:rsidRPr="0053423A">
              <w:rPr>
                <w:rFonts w:eastAsia="Calibri" w:cs="Calibri"/>
                <w:sz w:val="20"/>
                <w:szCs w:val="20"/>
              </w:rPr>
              <w:t>ժառանգությունը</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ժամանակակից</w:t>
            </w:r>
            <w:r w:rsidRPr="0053423A">
              <w:rPr>
                <w:rFonts w:eastAsia="Calibri" w:cs="Calibri"/>
                <w:sz w:val="20"/>
                <w:szCs w:val="20"/>
                <w:lang w:val="tr-TR"/>
              </w:rPr>
              <w:t xml:space="preserve"> </w:t>
            </w:r>
            <w:r w:rsidRPr="0053423A">
              <w:rPr>
                <w:rFonts w:eastAsia="Calibri" w:cs="Calibri"/>
                <w:sz w:val="20"/>
                <w:szCs w:val="20"/>
              </w:rPr>
              <w:t>արվեստը</w:t>
            </w:r>
            <w:r w:rsidRPr="0053423A">
              <w:rPr>
                <w:rFonts w:eastAsia="Calibri" w:cs="Calibri"/>
                <w:sz w:val="20"/>
                <w:szCs w:val="20"/>
                <w:lang w:val="tr-TR"/>
              </w:rPr>
              <w:t xml:space="preserve"> </w:t>
            </w:r>
            <w:r w:rsidRPr="0053423A">
              <w:rPr>
                <w:rFonts w:eastAsia="Calibri" w:cs="Calibri"/>
                <w:sz w:val="20"/>
                <w:szCs w:val="20"/>
              </w:rPr>
              <w:t>միջազգային</w:t>
            </w:r>
            <w:r w:rsidRPr="0053423A">
              <w:rPr>
                <w:rFonts w:eastAsia="Calibri" w:cs="Calibri"/>
                <w:sz w:val="20"/>
                <w:szCs w:val="20"/>
                <w:lang w:val="tr-TR"/>
              </w:rPr>
              <w:t xml:space="preserve"> </w:t>
            </w:r>
            <w:r w:rsidRPr="0053423A">
              <w:rPr>
                <w:rFonts w:eastAsia="Calibri" w:cs="Calibri"/>
                <w:sz w:val="20"/>
                <w:szCs w:val="20"/>
              </w:rPr>
              <w:t>ձևաչափերով</w:t>
            </w:r>
            <w:r w:rsidRPr="0053423A">
              <w:rPr>
                <w:rFonts w:eastAsia="Calibri" w:cs="Calibri"/>
                <w:sz w:val="20"/>
                <w:szCs w:val="20"/>
                <w:lang w:val="tr-TR"/>
              </w:rPr>
              <w:t xml:space="preserve"> </w:t>
            </w:r>
            <w:r w:rsidRPr="0053423A">
              <w:rPr>
                <w:rFonts w:eastAsia="Calibri" w:cs="Calibri"/>
                <w:sz w:val="20"/>
                <w:szCs w:val="20"/>
              </w:rPr>
              <w:t>ներկայացնելու</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 xml:space="preserve"> </w:t>
            </w:r>
            <w:r w:rsidRPr="0053423A">
              <w:rPr>
                <w:rFonts w:eastAsia="Calibri" w:cs="Calibri"/>
                <w:sz w:val="20"/>
                <w:szCs w:val="20"/>
              </w:rPr>
              <w:t>ընտրվում</w:t>
            </w:r>
            <w:r w:rsidRPr="0053423A">
              <w:rPr>
                <w:rFonts w:eastAsia="Calibri" w:cs="Calibri"/>
                <w:sz w:val="20"/>
                <w:szCs w:val="20"/>
                <w:lang w:val="tr-TR"/>
              </w:rPr>
              <w:t xml:space="preserve"> </w:t>
            </w:r>
            <w:r w:rsidRPr="0053423A">
              <w:rPr>
                <w:rFonts w:eastAsia="Calibri" w:cs="Calibri"/>
                <w:sz w:val="20"/>
                <w:szCs w:val="20"/>
              </w:rPr>
              <w:t>են</w:t>
            </w:r>
            <w:r w:rsidRPr="0053423A">
              <w:rPr>
                <w:rFonts w:eastAsia="Calibri" w:cs="Calibri"/>
                <w:sz w:val="20"/>
                <w:szCs w:val="20"/>
                <w:lang w:val="tr-TR"/>
              </w:rPr>
              <w:t xml:space="preserve"> </w:t>
            </w:r>
            <w:r w:rsidRPr="0053423A">
              <w:rPr>
                <w:rFonts w:eastAsia="Calibri" w:cs="Calibri"/>
                <w:sz w:val="20"/>
                <w:szCs w:val="20"/>
              </w:rPr>
              <w:t>թիրախային</w:t>
            </w:r>
            <w:r w:rsidRPr="0053423A">
              <w:rPr>
                <w:rFonts w:eastAsia="Calibri" w:cs="Calibri"/>
                <w:sz w:val="20"/>
                <w:szCs w:val="20"/>
                <w:lang w:val="tr-TR"/>
              </w:rPr>
              <w:t xml:space="preserve"> </w:t>
            </w:r>
            <w:r w:rsidRPr="0053423A">
              <w:rPr>
                <w:rFonts w:eastAsia="Calibri" w:cs="Calibri"/>
                <w:sz w:val="20"/>
                <w:szCs w:val="20"/>
              </w:rPr>
              <w:t>հաստատություններ</w:t>
            </w:r>
            <w:r w:rsidRPr="0053423A">
              <w:rPr>
                <w:rFonts w:eastAsia="Calibri" w:cs="Calibri"/>
                <w:sz w:val="20"/>
                <w:szCs w:val="20"/>
                <w:lang w:val="tr-TR"/>
              </w:rPr>
              <w:t xml:space="preserve">, </w:t>
            </w:r>
            <w:r w:rsidRPr="0053423A">
              <w:rPr>
                <w:rFonts w:eastAsia="Calibri" w:cs="Calibri"/>
                <w:sz w:val="20"/>
                <w:szCs w:val="20"/>
              </w:rPr>
              <w:t>ընթանում</w:t>
            </w:r>
            <w:r w:rsidRPr="0053423A">
              <w:rPr>
                <w:rFonts w:eastAsia="Calibri" w:cs="Calibri"/>
                <w:sz w:val="20"/>
                <w:szCs w:val="20"/>
                <w:lang w:val="tr-TR"/>
              </w:rPr>
              <w:t xml:space="preserve"> </w:t>
            </w:r>
            <w:r w:rsidRPr="0053423A">
              <w:rPr>
                <w:rFonts w:eastAsia="Calibri" w:cs="Calibri"/>
                <w:sz w:val="20"/>
                <w:szCs w:val="20"/>
              </w:rPr>
              <w:t>են</w:t>
            </w:r>
            <w:r w:rsidRPr="0053423A">
              <w:rPr>
                <w:rFonts w:eastAsia="Calibri" w:cs="Calibri"/>
                <w:sz w:val="20"/>
                <w:szCs w:val="20"/>
                <w:lang w:val="tr-TR"/>
              </w:rPr>
              <w:t xml:space="preserve"> </w:t>
            </w:r>
            <w:r w:rsidRPr="0053423A">
              <w:rPr>
                <w:rFonts w:eastAsia="Calibri" w:cs="Calibri"/>
                <w:sz w:val="20"/>
                <w:szCs w:val="20"/>
              </w:rPr>
              <w:t>բանակցություններ</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մասնագետների</w:t>
            </w:r>
            <w:r w:rsidRPr="0053423A">
              <w:rPr>
                <w:rFonts w:eastAsia="Calibri" w:cs="Calibri"/>
                <w:sz w:val="20"/>
                <w:szCs w:val="20"/>
                <w:lang w:val="tr-TR"/>
              </w:rPr>
              <w:t xml:space="preserve"> </w:t>
            </w:r>
            <w:r w:rsidRPr="0053423A">
              <w:rPr>
                <w:rFonts w:eastAsia="Calibri" w:cs="Calibri"/>
                <w:sz w:val="20"/>
                <w:szCs w:val="20"/>
              </w:rPr>
              <w:t>խորհրդատվություններ</w:t>
            </w:r>
            <w:r w:rsidRPr="0053423A">
              <w:rPr>
                <w:rFonts w:eastAsia="Calibri" w:cs="Calibri"/>
                <w:sz w:val="20"/>
                <w:szCs w:val="20"/>
                <w:lang w:val="tr-TR"/>
              </w:rPr>
              <w:t xml:space="preserve">, </w:t>
            </w:r>
            <w:r w:rsidRPr="0053423A">
              <w:rPr>
                <w:rFonts w:eastAsia="Calibri" w:cs="Calibri"/>
                <w:sz w:val="20"/>
                <w:szCs w:val="20"/>
              </w:rPr>
              <w:t>Հայաստանի</w:t>
            </w:r>
            <w:r w:rsidRPr="0053423A">
              <w:rPr>
                <w:rFonts w:eastAsia="Calibri" w:cs="Calibri"/>
                <w:sz w:val="20"/>
                <w:szCs w:val="20"/>
                <w:lang w:val="tr-TR"/>
              </w:rPr>
              <w:t xml:space="preserve"> </w:t>
            </w:r>
            <w:r w:rsidRPr="0053423A">
              <w:rPr>
                <w:rFonts w:eastAsia="Calibri" w:cs="Calibri"/>
                <w:sz w:val="20"/>
                <w:szCs w:val="20"/>
              </w:rPr>
              <w:t>թանգարանները</w:t>
            </w:r>
            <w:r w:rsidRPr="0053423A">
              <w:rPr>
                <w:rFonts w:eastAsia="Calibri" w:cs="Calibri"/>
                <w:sz w:val="20"/>
                <w:szCs w:val="20"/>
                <w:lang w:val="tr-TR"/>
              </w:rPr>
              <w:t xml:space="preserve"> </w:t>
            </w:r>
            <w:r w:rsidRPr="0053423A">
              <w:rPr>
                <w:rFonts w:eastAsia="Calibri" w:cs="Calibri"/>
                <w:sz w:val="20"/>
                <w:szCs w:val="20"/>
              </w:rPr>
              <w:t>մշակում</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հաստատում</w:t>
            </w:r>
            <w:r w:rsidRPr="0053423A">
              <w:rPr>
                <w:rFonts w:eastAsia="Calibri" w:cs="Calibri"/>
                <w:sz w:val="20"/>
                <w:szCs w:val="20"/>
                <w:lang w:val="tr-TR"/>
              </w:rPr>
              <w:t xml:space="preserve"> </w:t>
            </w:r>
            <w:r w:rsidRPr="0053423A">
              <w:rPr>
                <w:rFonts w:eastAsia="Calibri" w:cs="Calibri"/>
                <w:sz w:val="20"/>
                <w:szCs w:val="20"/>
              </w:rPr>
              <w:t>են</w:t>
            </w:r>
            <w:r w:rsidRPr="0053423A">
              <w:rPr>
                <w:rFonts w:eastAsia="Calibri" w:cs="Calibri"/>
                <w:sz w:val="20"/>
                <w:szCs w:val="20"/>
                <w:lang w:val="tr-TR"/>
              </w:rPr>
              <w:t xml:space="preserve"> </w:t>
            </w:r>
            <w:r w:rsidRPr="0053423A">
              <w:rPr>
                <w:rFonts w:eastAsia="Calibri" w:cs="Calibri"/>
                <w:sz w:val="20"/>
                <w:szCs w:val="20"/>
              </w:rPr>
              <w:t>պայմանագրեր</w:t>
            </w:r>
            <w:r w:rsidRPr="0053423A">
              <w:rPr>
                <w:rFonts w:eastAsia="Calibri" w:cs="Calibri"/>
                <w:sz w:val="20"/>
                <w:szCs w:val="20"/>
                <w:lang w:val="tr-TR"/>
              </w:rPr>
              <w:t xml:space="preserve">, </w:t>
            </w:r>
            <w:r w:rsidRPr="0053423A">
              <w:rPr>
                <w:rFonts w:eastAsia="Calibri" w:cs="Calibri"/>
                <w:sz w:val="20"/>
                <w:szCs w:val="20"/>
              </w:rPr>
              <w:t>մշակույթի</w:t>
            </w:r>
            <w:r w:rsidRPr="0053423A">
              <w:rPr>
                <w:rFonts w:eastAsia="Calibri" w:cs="Calibri"/>
                <w:sz w:val="20"/>
                <w:szCs w:val="20"/>
                <w:lang w:val="tr-TR"/>
              </w:rPr>
              <w:t xml:space="preserve"> </w:t>
            </w:r>
            <w:r w:rsidRPr="0053423A">
              <w:rPr>
                <w:rFonts w:eastAsia="Calibri" w:cs="Calibri"/>
                <w:sz w:val="20"/>
                <w:szCs w:val="20"/>
              </w:rPr>
              <w:t>նախարարության</w:t>
            </w:r>
            <w:r w:rsidRPr="0053423A">
              <w:rPr>
                <w:rFonts w:eastAsia="Calibri" w:cs="Calibri"/>
                <w:sz w:val="20"/>
                <w:szCs w:val="20"/>
                <w:lang w:val="tr-TR"/>
              </w:rPr>
              <w:t xml:space="preserve"> </w:t>
            </w:r>
            <w:r w:rsidRPr="0053423A">
              <w:rPr>
                <w:rFonts w:eastAsia="Calibri" w:cs="Calibri"/>
                <w:sz w:val="20"/>
                <w:szCs w:val="20"/>
              </w:rPr>
              <w:t>հսկողությամբ</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աջակցությամբ</w:t>
            </w:r>
            <w:r w:rsidRPr="0053423A">
              <w:rPr>
                <w:rFonts w:eastAsia="Calibri" w:cs="Calibri"/>
                <w:sz w:val="20"/>
                <w:szCs w:val="20"/>
                <w:lang w:val="tr-TR"/>
              </w:rPr>
              <w:t xml:space="preserve"> </w:t>
            </w:r>
            <w:r w:rsidRPr="0053423A">
              <w:rPr>
                <w:rFonts w:eastAsia="Calibri" w:cs="Calibri"/>
                <w:sz w:val="20"/>
                <w:szCs w:val="20"/>
              </w:rPr>
              <w:t>իրականացնում</w:t>
            </w:r>
            <w:r w:rsidRPr="0053423A">
              <w:rPr>
                <w:rFonts w:eastAsia="Calibri" w:cs="Calibri"/>
                <w:sz w:val="20"/>
                <w:szCs w:val="20"/>
                <w:lang w:val="tr-TR"/>
              </w:rPr>
              <w:t xml:space="preserve"> </w:t>
            </w:r>
            <w:r w:rsidRPr="0053423A">
              <w:rPr>
                <w:rFonts w:eastAsia="Calibri" w:cs="Calibri"/>
                <w:sz w:val="20"/>
                <w:szCs w:val="20"/>
              </w:rPr>
              <w:t>են</w:t>
            </w:r>
            <w:r w:rsidRPr="0053423A">
              <w:rPr>
                <w:rFonts w:eastAsia="Calibri" w:cs="Calibri"/>
                <w:sz w:val="20"/>
                <w:szCs w:val="20"/>
                <w:lang w:val="tr-TR"/>
              </w:rPr>
              <w:t xml:space="preserve"> </w:t>
            </w:r>
            <w:r w:rsidRPr="0053423A">
              <w:rPr>
                <w:rFonts w:eastAsia="Calibri" w:cs="Calibri"/>
                <w:sz w:val="20"/>
                <w:szCs w:val="20"/>
              </w:rPr>
              <w:t>ցուցահանդեսների</w:t>
            </w:r>
            <w:r w:rsidRPr="0053423A">
              <w:rPr>
                <w:rFonts w:eastAsia="Calibri" w:cs="Calibri"/>
                <w:sz w:val="20"/>
                <w:szCs w:val="20"/>
                <w:lang w:val="tr-TR"/>
              </w:rPr>
              <w:t xml:space="preserve"> </w:t>
            </w:r>
            <w:r w:rsidRPr="0053423A">
              <w:rPr>
                <w:rFonts w:eastAsia="Calibri" w:cs="Calibri"/>
                <w:sz w:val="20"/>
                <w:szCs w:val="20"/>
              </w:rPr>
              <w:t>անցկացումն</w:t>
            </w:r>
            <w:r w:rsidRPr="0053423A">
              <w:rPr>
                <w:rFonts w:eastAsia="Calibri" w:cs="Calibri"/>
                <w:sz w:val="20"/>
                <w:szCs w:val="20"/>
                <w:lang w:val="tr-TR"/>
              </w:rPr>
              <w:t xml:space="preserve"> </w:t>
            </w:r>
            <w:r w:rsidRPr="0053423A">
              <w:rPr>
                <w:rFonts w:eastAsia="Calibri" w:cs="Calibri"/>
                <w:sz w:val="20"/>
                <w:szCs w:val="20"/>
              </w:rPr>
              <w:t>ու</w:t>
            </w:r>
            <w:r w:rsidRPr="0053423A">
              <w:rPr>
                <w:rFonts w:eastAsia="Calibri" w:cs="Calibri"/>
                <w:sz w:val="20"/>
                <w:szCs w:val="20"/>
                <w:lang w:val="tr-TR"/>
              </w:rPr>
              <w:t xml:space="preserve"> </w:t>
            </w:r>
            <w:r w:rsidRPr="0053423A">
              <w:rPr>
                <w:rFonts w:eastAsia="Calibri" w:cs="Calibri"/>
                <w:sz w:val="20"/>
                <w:szCs w:val="20"/>
              </w:rPr>
              <w:t>տարածումը</w:t>
            </w:r>
            <w:r w:rsidRPr="0053423A">
              <w:rPr>
                <w:rFonts w:eastAsia="Calibri" w:cs="Calibri"/>
                <w:sz w:val="20"/>
                <w:szCs w:val="20"/>
                <w:lang w:val="tr-TR"/>
              </w:rPr>
              <w:t>:</w:t>
            </w:r>
          </w:p>
          <w:p w:rsidR="00A67B6B" w:rsidRPr="0053423A" w:rsidRDefault="00A67B6B" w:rsidP="00A67858">
            <w:pPr>
              <w:tabs>
                <w:tab w:val="left" w:pos="508"/>
              </w:tabs>
              <w:spacing w:after="0" w:line="276" w:lineRule="auto"/>
              <w:jc w:val="both"/>
              <w:rPr>
                <w:rFonts w:eastAsia="Calibri" w:cs="Calibri"/>
                <w:sz w:val="20"/>
                <w:szCs w:val="20"/>
                <w:lang w:val="tr-TR"/>
              </w:rPr>
            </w:pPr>
          </w:p>
          <w:p w:rsidR="00A67B6B" w:rsidRPr="0053423A" w:rsidRDefault="00A67B6B" w:rsidP="001F6D5D">
            <w:pPr>
              <w:numPr>
                <w:ilvl w:val="0"/>
                <w:numId w:val="228"/>
              </w:numPr>
              <w:tabs>
                <w:tab w:val="left" w:pos="508"/>
              </w:tabs>
              <w:spacing w:after="0" w:line="276" w:lineRule="auto"/>
              <w:ind w:hanging="720"/>
              <w:jc w:val="both"/>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իրականացումից</w:t>
            </w:r>
            <w:r w:rsidRPr="0053423A">
              <w:rPr>
                <w:rFonts w:eastAsia="Calibri" w:cs="Calibri"/>
                <w:b/>
                <w:sz w:val="20"/>
                <w:szCs w:val="20"/>
                <w:lang w:val="tr-TR"/>
              </w:rPr>
              <w:t xml:space="preserve"> </w:t>
            </w:r>
            <w:r w:rsidRPr="0053423A">
              <w:rPr>
                <w:rFonts w:eastAsia="Calibri" w:cs="Calibri"/>
                <w:b/>
                <w:sz w:val="20"/>
                <w:szCs w:val="20"/>
              </w:rPr>
              <w:t>ակնկալվող</w:t>
            </w:r>
            <w:r w:rsidRPr="0053423A">
              <w:rPr>
                <w:rFonts w:eastAsia="Calibri" w:cs="Calibri"/>
                <w:b/>
                <w:sz w:val="20"/>
                <w:szCs w:val="20"/>
                <w:lang w:val="tr-TR"/>
              </w:rPr>
              <w:t xml:space="preserve"> </w:t>
            </w:r>
            <w:r w:rsidRPr="0053423A">
              <w:rPr>
                <w:rFonts w:eastAsia="Calibri" w:cs="Calibri"/>
                <w:b/>
                <w:sz w:val="20"/>
                <w:szCs w:val="20"/>
              </w:rPr>
              <w:t>արդյունքը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Հայ</w:t>
            </w:r>
            <w:r w:rsidRPr="0053423A">
              <w:rPr>
                <w:rFonts w:eastAsia="Calibri" w:cs="Calibri"/>
                <w:sz w:val="20"/>
                <w:szCs w:val="20"/>
                <w:lang w:val="tr-TR"/>
              </w:rPr>
              <w:t xml:space="preserve"> </w:t>
            </w:r>
            <w:r w:rsidRPr="0053423A">
              <w:rPr>
                <w:rFonts w:eastAsia="Calibri" w:cs="Calibri"/>
                <w:sz w:val="20"/>
                <w:szCs w:val="20"/>
              </w:rPr>
              <w:t>մշակույթի</w:t>
            </w:r>
            <w:r w:rsidRPr="0053423A">
              <w:rPr>
                <w:rFonts w:eastAsia="Calibri" w:cs="Calibri"/>
                <w:sz w:val="20"/>
                <w:szCs w:val="20"/>
                <w:lang w:val="tr-TR"/>
              </w:rPr>
              <w:t xml:space="preserve"> </w:t>
            </w:r>
            <w:r w:rsidRPr="0053423A">
              <w:rPr>
                <w:rFonts w:eastAsia="Calibri" w:cs="Calibri"/>
                <w:sz w:val="20"/>
                <w:szCs w:val="20"/>
              </w:rPr>
              <w:t>ճանաչելիության</w:t>
            </w:r>
            <w:r w:rsidRPr="0053423A">
              <w:rPr>
                <w:rFonts w:eastAsia="Calibri" w:cs="Calibri"/>
                <w:sz w:val="20"/>
                <w:szCs w:val="20"/>
                <w:lang w:val="tr-TR"/>
              </w:rPr>
              <w:t xml:space="preserve"> </w:t>
            </w:r>
            <w:r w:rsidRPr="0053423A">
              <w:rPr>
                <w:rFonts w:eastAsia="Calibri" w:cs="Calibri"/>
                <w:sz w:val="20"/>
                <w:szCs w:val="20"/>
              </w:rPr>
              <w:t>բարձրացում</w:t>
            </w:r>
            <w:r w:rsidRPr="0053423A">
              <w:rPr>
                <w:rFonts w:eastAsia="Calibri" w:cs="Calibri"/>
                <w:sz w:val="20"/>
                <w:szCs w:val="20"/>
                <w:lang w:val="tr-TR"/>
              </w:rPr>
              <w:t xml:space="preserve">, </w:t>
            </w:r>
            <w:r w:rsidRPr="0053423A">
              <w:rPr>
                <w:rFonts w:eastAsia="Calibri" w:cs="Calibri"/>
                <w:sz w:val="20"/>
                <w:szCs w:val="20"/>
              </w:rPr>
              <w:t>պատմության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արվեստի</w:t>
            </w:r>
            <w:r w:rsidRPr="0053423A">
              <w:rPr>
                <w:rFonts w:eastAsia="Calibri" w:cs="Calibri"/>
                <w:sz w:val="20"/>
                <w:szCs w:val="20"/>
                <w:lang w:val="tr-TR"/>
              </w:rPr>
              <w:t xml:space="preserve"> </w:t>
            </w:r>
            <w:r w:rsidRPr="0053423A">
              <w:rPr>
                <w:rFonts w:eastAsia="Calibri" w:cs="Calibri"/>
                <w:sz w:val="20"/>
                <w:szCs w:val="20"/>
              </w:rPr>
              <w:t>գործերի</w:t>
            </w:r>
            <w:r w:rsidRPr="0053423A">
              <w:rPr>
                <w:rFonts w:eastAsia="Calibri" w:cs="Calibri"/>
                <w:sz w:val="20"/>
                <w:szCs w:val="20"/>
                <w:lang w:val="tr-TR"/>
              </w:rPr>
              <w:t xml:space="preserve"> </w:t>
            </w:r>
            <w:r w:rsidRPr="0053423A">
              <w:rPr>
                <w:rFonts w:eastAsia="Calibri" w:cs="Calibri"/>
                <w:sz w:val="20"/>
                <w:szCs w:val="20"/>
              </w:rPr>
              <w:t>ներկայացում</w:t>
            </w:r>
            <w:r w:rsidRPr="0053423A">
              <w:rPr>
                <w:rFonts w:eastAsia="Calibri" w:cs="Calibri"/>
                <w:sz w:val="20"/>
                <w:szCs w:val="20"/>
                <w:lang w:val="tr-TR"/>
              </w:rPr>
              <w:t xml:space="preserve">, </w:t>
            </w:r>
            <w:r w:rsidRPr="0053423A">
              <w:rPr>
                <w:rFonts w:eastAsia="Calibri" w:cs="Calibri"/>
                <w:sz w:val="20"/>
                <w:szCs w:val="20"/>
              </w:rPr>
              <w:t>նոր</w:t>
            </w:r>
            <w:r w:rsidRPr="0053423A">
              <w:rPr>
                <w:rFonts w:eastAsia="Calibri" w:cs="Calibri"/>
                <w:sz w:val="20"/>
                <w:szCs w:val="20"/>
                <w:lang w:val="tr-TR"/>
              </w:rPr>
              <w:t xml:space="preserve"> </w:t>
            </w:r>
            <w:r w:rsidRPr="0053423A">
              <w:rPr>
                <w:rFonts w:eastAsia="Calibri" w:cs="Calibri"/>
                <w:sz w:val="20"/>
                <w:szCs w:val="20"/>
              </w:rPr>
              <w:t>հայացք</w:t>
            </w:r>
            <w:r w:rsidRPr="0053423A">
              <w:rPr>
                <w:rFonts w:eastAsia="Calibri" w:cs="Calibri"/>
                <w:sz w:val="20"/>
                <w:szCs w:val="20"/>
                <w:lang w:val="tr-TR"/>
              </w:rPr>
              <w:t xml:space="preserve"> </w:t>
            </w:r>
            <w:r w:rsidRPr="0053423A">
              <w:rPr>
                <w:rFonts w:eastAsia="Calibri" w:cs="Calibri"/>
                <w:sz w:val="20"/>
                <w:szCs w:val="20"/>
              </w:rPr>
              <w:t>մեր</w:t>
            </w:r>
            <w:r w:rsidRPr="0053423A">
              <w:rPr>
                <w:rFonts w:eastAsia="Calibri" w:cs="Calibri"/>
                <w:sz w:val="20"/>
                <w:szCs w:val="20"/>
                <w:lang w:val="tr-TR"/>
              </w:rPr>
              <w:t xml:space="preserve"> </w:t>
            </w:r>
            <w:r w:rsidRPr="0053423A">
              <w:rPr>
                <w:rFonts w:eastAsia="Calibri" w:cs="Calibri"/>
                <w:sz w:val="20"/>
                <w:szCs w:val="20"/>
              </w:rPr>
              <w:t>պատմամշակութային</w:t>
            </w:r>
            <w:r w:rsidRPr="0053423A">
              <w:rPr>
                <w:rFonts w:eastAsia="Calibri" w:cs="Calibri"/>
                <w:sz w:val="20"/>
                <w:szCs w:val="20"/>
                <w:lang w:val="tr-TR"/>
              </w:rPr>
              <w:t xml:space="preserve"> </w:t>
            </w:r>
            <w:r w:rsidRPr="0053423A">
              <w:rPr>
                <w:rFonts w:eastAsia="Calibri" w:cs="Calibri"/>
                <w:sz w:val="20"/>
                <w:szCs w:val="20"/>
              </w:rPr>
              <w:t>ժառանգությանը</w:t>
            </w:r>
            <w:r w:rsidRPr="0053423A">
              <w:rPr>
                <w:rFonts w:eastAsia="Calibri" w:cs="Calibri"/>
                <w:sz w:val="20"/>
                <w:szCs w:val="20"/>
                <w:lang w:val="tr-TR"/>
              </w:rPr>
              <w:t xml:space="preserve">` </w:t>
            </w:r>
            <w:r w:rsidRPr="0053423A">
              <w:rPr>
                <w:rFonts w:eastAsia="Calibri" w:cs="Calibri"/>
                <w:sz w:val="20"/>
                <w:szCs w:val="20"/>
              </w:rPr>
              <w:t>ժամանակակից</w:t>
            </w:r>
            <w:r w:rsidRPr="0053423A">
              <w:rPr>
                <w:rFonts w:eastAsia="Calibri" w:cs="Calibri"/>
                <w:sz w:val="20"/>
                <w:szCs w:val="20"/>
                <w:lang w:val="tr-TR"/>
              </w:rPr>
              <w:t xml:space="preserve"> </w:t>
            </w:r>
            <w:r w:rsidRPr="0053423A">
              <w:rPr>
                <w:rFonts w:eastAsia="Calibri" w:cs="Calibri"/>
                <w:sz w:val="20"/>
                <w:szCs w:val="20"/>
              </w:rPr>
              <w:t>լուծումների</w:t>
            </w:r>
            <w:r w:rsidRPr="0053423A">
              <w:rPr>
                <w:rFonts w:eastAsia="Calibri" w:cs="Calibri"/>
                <w:sz w:val="20"/>
                <w:szCs w:val="20"/>
                <w:lang w:val="tr-TR"/>
              </w:rPr>
              <w:t xml:space="preserve">, </w:t>
            </w:r>
            <w:r w:rsidRPr="0053423A">
              <w:rPr>
                <w:rFonts w:eastAsia="Calibri" w:cs="Calibri"/>
                <w:sz w:val="20"/>
                <w:szCs w:val="20"/>
              </w:rPr>
              <w:t>տեխնոլոգիաների</w:t>
            </w:r>
            <w:r w:rsidRPr="0053423A">
              <w:rPr>
                <w:rFonts w:eastAsia="Calibri" w:cs="Calibri"/>
                <w:sz w:val="20"/>
                <w:szCs w:val="20"/>
                <w:lang w:val="tr-TR"/>
              </w:rPr>
              <w:t xml:space="preserve"> </w:t>
            </w:r>
            <w:r w:rsidRPr="0053423A">
              <w:rPr>
                <w:rFonts w:eastAsia="Calibri" w:cs="Calibri"/>
                <w:sz w:val="20"/>
                <w:szCs w:val="20"/>
              </w:rPr>
              <w:t>միջոցով</w:t>
            </w:r>
            <w:r w:rsidRPr="0053423A">
              <w:rPr>
                <w:rFonts w:eastAsia="Calibri" w:cs="Calibri"/>
                <w:sz w:val="20"/>
                <w:szCs w:val="20"/>
                <w:lang w:val="tr-TR"/>
              </w:rPr>
              <w:t>:</w:t>
            </w:r>
          </w:p>
          <w:p w:rsidR="00A67B6B" w:rsidRPr="0053423A" w:rsidRDefault="00A67B6B" w:rsidP="00A67858">
            <w:pPr>
              <w:tabs>
                <w:tab w:val="left" w:pos="508"/>
              </w:tabs>
              <w:spacing w:after="0" w:line="276" w:lineRule="auto"/>
              <w:jc w:val="center"/>
              <w:rPr>
                <w:rFonts w:eastAsia="Calibri" w:cs="Calibri"/>
                <w:sz w:val="20"/>
                <w:szCs w:val="20"/>
                <w:lang w:val="tr-TR"/>
              </w:rPr>
            </w:pPr>
          </w:p>
          <w:p w:rsidR="00A67B6B" w:rsidRPr="0053423A" w:rsidRDefault="00A67B6B" w:rsidP="00A67858">
            <w:pPr>
              <w:tabs>
                <w:tab w:val="left" w:pos="508"/>
              </w:tabs>
              <w:spacing w:after="0" w:line="276" w:lineRule="auto"/>
              <w:jc w:val="center"/>
              <w:rPr>
                <w:rFonts w:eastAsia="Calibri" w:cs="Calibri"/>
                <w:b/>
                <w:sz w:val="20"/>
                <w:szCs w:val="20"/>
                <w:lang w:val="tr-TR"/>
              </w:rPr>
            </w:pPr>
            <w:r w:rsidRPr="0053423A">
              <w:rPr>
                <w:rFonts w:eastAsia="Calibri" w:cs="Calibri"/>
                <w:b/>
                <w:sz w:val="20"/>
                <w:szCs w:val="20"/>
                <w:lang w:val="tr-TR"/>
              </w:rPr>
              <w:t xml:space="preserve">11.3 </w:t>
            </w:r>
            <w:r w:rsidRPr="0053423A">
              <w:rPr>
                <w:rFonts w:eastAsia="Calibri" w:cs="Calibri"/>
                <w:b/>
                <w:sz w:val="20"/>
                <w:szCs w:val="20"/>
                <w:lang w:val="hy-AM"/>
              </w:rPr>
              <w:t>Հայ մշակույթի և ժամանակակից արվեստների հանրահռչակում սփյուռքում</w:t>
            </w:r>
          </w:p>
          <w:p w:rsidR="00A67B6B" w:rsidRPr="0053423A" w:rsidRDefault="00A67B6B" w:rsidP="00A67858">
            <w:pPr>
              <w:tabs>
                <w:tab w:val="left" w:pos="508"/>
              </w:tabs>
              <w:spacing w:after="0" w:line="276" w:lineRule="auto"/>
              <w:jc w:val="center"/>
              <w:rPr>
                <w:rFonts w:eastAsia="Calibri" w:cs="Calibri"/>
                <w:sz w:val="20"/>
                <w:szCs w:val="20"/>
                <w:lang w:val="tr-TR"/>
              </w:rPr>
            </w:pPr>
          </w:p>
          <w:p w:rsidR="00A67B6B" w:rsidRPr="0053423A" w:rsidRDefault="00A67B6B" w:rsidP="001F6D5D">
            <w:pPr>
              <w:numPr>
                <w:ilvl w:val="0"/>
                <w:numId w:val="229"/>
              </w:numPr>
              <w:tabs>
                <w:tab w:val="left" w:pos="508"/>
              </w:tabs>
              <w:spacing w:after="0" w:line="276" w:lineRule="auto"/>
              <w:ind w:hanging="720"/>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իրականացման</w:t>
            </w:r>
            <w:r w:rsidRPr="0053423A">
              <w:rPr>
                <w:rFonts w:eastAsia="Calibri" w:cs="Calibri"/>
                <w:b/>
                <w:sz w:val="20"/>
                <w:szCs w:val="20"/>
                <w:lang w:val="tr-TR"/>
              </w:rPr>
              <w:t xml:space="preserve"> </w:t>
            </w:r>
            <w:r w:rsidRPr="0053423A">
              <w:rPr>
                <w:rFonts w:eastAsia="Calibri" w:cs="Calibri"/>
                <w:b/>
                <w:sz w:val="20"/>
                <w:szCs w:val="20"/>
              </w:rPr>
              <w:t>անհրաժեշտությունը</w:t>
            </w:r>
            <w:r w:rsidRPr="0053423A">
              <w:rPr>
                <w:rFonts w:eastAsia="Calibri" w:cs="Calibri"/>
                <w:b/>
                <w:sz w:val="20"/>
                <w:szCs w:val="20"/>
                <w:lang w:val="tr-TR"/>
              </w:rPr>
              <w:t xml:space="preserve"> </w:t>
            </w:r>
            <w:r w:rsidRPr="0053423A">
              <w:rPr>
                <w:rFonts w:eastAsia="Calibri" w:cs="Calibri"/>
                <w:b/>
                <w:sz w:val="20"/>
                <w:szCs w:val="20"/>
              </w:rPr>
              <w:t>և</w:t>
            </w:r>
            <w:r w:rsidRPr="0053423A">
              <w:rPr>
                <w:rFonts w:eastAsia="Calibri" w:cs="Calibri"/>
                <w:b/>
                <w:sz w:val="20"/>
                <w:szCs w:val="20"/>
                <w:lang w:val="tr-TR"/>
              </w:rPr>
              <w:t xml:space="preserve"> </w:t>
            </w:r>
            <w:r w:rsidRPr="0053423A">
              <w:rPr>
                <w:rFonts w:eastAsia="Calibri" w:cs="Calibri"/>
                <w:b/>
                <w:sz w:val="20"/>
                <w:szCs w:val="20"/>
              </w:rPr>
              <w:t>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Calibri"/>
                <w:sz w:val="20"/>
                <w:szCs w:val="20"/>
                <w:lang w:val="tr-TR"/>
              </w:rPr>
              <w:t xml:space="preserve">Աշխարհասփյուռ </w:t>
            </w:r>
            <w:r w:rsidRPr="0053423A">
              <w:rPr>
                <w:rFonts w:eastAsia="Calibri" w:cs="Calibri"/>
                <w:sz w:val="20"/>
                <w:szCs w:val="20"/>
              </w:rPr>
              <w:t>հայերին</w:t>
            </w:r>
            <w:r w:rsidRPr="0053423A">
              <w:rPr>
                <w:rFonts w:eastAsia="Calibri" w:cs="Calibri"/>
                <w:sz w:val="20"/>
                <w:szCs w:val="20"/>
                <w:lang w:val="tr-TR"/>
              </w:rPr>
              <w:t xml:space="preserve"> </w:t>
            </w:r>
            <w:r w:rsidRPr="0053423A">
              <w:rPr>
                <w:rFonts w:eastAsia="Calibri" w:cs="Calibri"/>
                <w:sz w:val="20"/>
                <w:szCs w:val="20"/>
              </w:rPr>
              <w:t>ներկայացնել</w:t>
            </w:r>
            <w:r w:rsidRPr="0053423A">
              <w:rPr>
                <w:rFonts w:eastAsia="Calibri" w:cs="Calibri"/>
                <w:sz w:val="20"/>
                <w:szCs w:val="20"/>
                <w:lang w:val="tr-TR"/>
              </w:rPr>
              <w:t xml:space="preserve"> </w:t>
            </w:r>
            <w:r w:rsidRPr="0053423A">
              <w:rPr>
                <w:rFonts w:eastAsia="Calibri" w:cs="Calibri"/>
                <w:sz w:val="20"/>
                <w:szCs w:val="20"/>
              </w:rPr>
              <w:t>հայկական</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ժառանգությունը</w:t>
            </w:r>
            <w:r w:rsidRPr="0053423A">
              <w:rPr>
                <w:rFonts w:eastAsia="Calibri" w:cs="Calibri"/>
                <w:sz w:val="20"/>
                <w:szCs w:val="20"/>
                <w:lang w:val="tr-TR"/>
              </w:rPr>
              <w:t xml:space="preserve">,  </w:t>
            </w:r>
            <w:r w:rsidRPr="0053423A">
              <w:rPr>
                <w:rFonts w:eastAsia="Calibri" w:cs="Calibri"/>
                <w:sz w:val="20"/>
                <w:szCs w:val="20"/>
              </w:rPr>
              <w:t>ժամանակակից</w:t>
            </w:r>
            <w:r w:rsidRPr="0053423A">
              <w:rPr>
                <w:rFonts w:eastAsia="Calibri" w:cs="Calibri"/>
                <w:sz w:val="20"/>
                <w:szCs w:val="20"/>
                <w:lang w:val="tr-TR"/>
              </w:rPr>
              <w:t xml:space="preserve"> </w:t>
            </w:r>
            <w:r w:rsidRPr="0053423A">
              <w:rPr>
                <w:rFonts w:eastAsia="Calibri" w:cs="Calibri"/>
                <w:sz w:val="20"/>
                <w:szCs w:val="20"/>
              </w:rPr>
              <w:t>արվեստները</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ինտեգրել</w:t>
            </w:r>
            <w:r w:rsidRPr="0053423A">
              <w:rPr>
                <w:rFonts w:eastAsia="Calibri" w:cs="Calibri"/>
                <w:sz w:val="20"/>
                <w:szCs w:val="20"/>
                <w:lang w:val="tr-TR"/>
              </w:rPr>
              <w:t xml:space="preserve"> </w:t>
            </w:r>
            <w:r w:rsidRPr="0053423A">
              <w:rPr>
                <w:rFonts w:eastAsia="Calibri" w:cs="Calibri"/>
                <w:sz w:val="20"/>
                <w:szCs w:val="20"/>
              </w:rPr>
              <w:t>Հայաստանի</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կյանքին</w:t>
            </w:r>
            <w:r w:rsidRPr="0053423A">
              <w:rPr>
                <w:rFonts w:eastAsia="Calibri" w:cs="Calibri"/>
                <w:sz w:val="20"/>
                <w:szCs w:val="20"/>
                <w:lang w:val="tr-TR"/>
              </w:rPr>
              <w:t xml:space="preserve">, ընդլայնելով սփյուռքում ստեղծագործող արվեստագետների համագործակցության շրջանակները ու մեծացնել ծավալները: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rPr>
                <w:rFonts w:eastAsia="Calibri" w:cs="Calibri"/>
                <w:sz w:val="20"/>
                <w:szCs w:val="20"/>
                <w:lang w:val="tr-TR"/>
              </w:rPr>
            </w:pPr>
          </w:p>
          <w:p w:rsidR="00A67B6B" w:rsidRPr="0053423A" w:rsidRDefault="00A67B6B" w:rsidP="00A67858">
            <w:pPr>
              <w:tabs>
                <w:tab w:val="left" w:pos="508"/>
              </w:tabs>
              <w:spacing w:after="0" w:line="276" w:lineRule="auto"/>
              <w:jc w:val="both"/>
              <w:rPr>
                <w:rFonts w:eastAsia="Calibri" w:cs="Calibri"/>
                <w:b/>
                <w:sz w:val="20"/>
                <w:szCs w:val="20"/>
                <w:lang w:val="tr-TR"/>
              </w:rPr>
            </w:pPr>
            <w:r w:rsidRPr="0053423A">
              <w:rPr>
                <w:rFonts w:eastAsia="Calibri" w:cs="Calibri"/>
                <w:b/>
                <w:sz w:val="20"/>
                <w:szCs w:val="20"/>
                <w:lang w:val="tr-TR"/>
              </w:rPr>
              <w:t xml:space="preserve">1.1 </w:t>
            </w:r>
            <w:r w:rsidRPr="0053423A">
              <w:rPr>
                <w:rFonts w:eastAsia="Calibri" w:cs="Calibri"/>
                <w:b/>
                <w:sz w:val="20"/>
                <w:szCs w:val="20"/>
                <w:lang w:val="hy-AM"/>
              </w:rPr>
              <w:t>Կարգավորման</w:t>
            </w:r>
            <w:r w:rsidRPr="0053423A">
              <w:rPr>
                <w:rFonts w:eastAsia="Calibri" w:cs="Calibri"/>
                <w:b/>
                <w:sz w:val="20"/>
                <w:szCs w:val="20"/>
                <w:lang w:val="tr-TR"/>
              </w:rPr>
              <w:t xml:space="preserve"> </w:t>
            </w:r>
            <w:r w:rsidRPr="0053423A">
              <w:rPr>
                <w:rFonts w:eastAsia="Calibri" w:cs="Calibri"/>
                <w:b/>
                <w:sz w:val="20"/>
                <w:szCs w:val="20"/>
                <w:lang w:val="hy-AM"/>
              </w:rPr>
              <w:t>հարաբերությունների</w:t>
            </w:r>
            <w:r w:rsidRPr="0053423A">
              <w:rPr>
                <w:rFonts w:eastAsia="Calibri" w:cs="Calibri"/>
                <w:b/>
                <w:sz w:val="20"/>
                <w:szCs w:val="20"/>
                <w:lang w:val="tr-TR"/>
              </w:rPr>
              <w:t xml:space="preserve"> </w:t>
            </w:r>
            <w:r w:rsidRPr="0053423A">
              <w:rPr>
                <w:rFonts w:eastAsia="Calibri" w:cs="Calibri"/>
                <w:b/>
                <w:sz w:val="20"/>
                <w:szCs w:val="20"/>
                <w:lang w:val="hy-AM"/>
              </w:rPr>
              <w:t>ներկա</w:t>
            </w:r>
            <w:r w:rsidRPr="0053423A">
              <w:rPr>
                <w:rFonts w:eastAsia="Calibri" w:cs="Calibri"/>
                <w:b/>
                <w:sz w:val="20"/>
                <w:szCs w:val="20"/>
                <w:lang w:val="tr-TR"/>
              </w:rPr>
              <w:t xml:space="preserve"> </w:t>
            </w:r>
            <w:r w:rsidRPr="0053423A">
              <w:rPr>
                <w:rFonts w:eastAsia="Calibri" w:cs="Calibri"/>
                <w:b/>
                <w:sz w:val="20"/>
                <w:szCs w:val="20"/>
                <w:lang w:val="hy-AM"/>
              </w:rPr>
              <w:t>վիճակը</w:t>
            </w:r>
            <w:r w:rsidRPr="0053423A">
              <w:rPr>
                <w:rFonts w:eastAsia="Calibri" w:cs="Calibri"/>
                <w:b/>
                <w:sz w:val="20"/>
                <w:szCs w:val="20"/>
                <w:lang w:val="tr-TR"/>
              </w:rPr>
              <w:t xml:space="preserve"> </w:t>
            </w:r>
            <w:r w:rsidRPr="0053423A">
              <w:rPr>
                <w:rFonts w:eastAsia="Calibri" w:cs="Calibri"/>
                <w:b/>
                <w:sz w:val="20"/>
                <w:szCs w:val="20"/>
                <w:lang w:val="hy-AM"/>
              </w:rPr>
              <w:t>և</w:t>
            </w:r>
            <w:r w:rsidRPr="0053423A">
              <w:rPr>
                <w:rFonts w:eastAsia="Calibri" w:cs="Calibri"/>
                <w:b/>
                <w:sz w:val="20"/>
                <w:szCs w:val="20"/>
                <w:lang w:val="tr-TR"/>
              </w:rPr>
              <w:t xml:space="preserve"> </w:t>
            </w:r>
            <w:r w:rsidRPr="0053423A">
              <w:rPr>
                <w:rFonts w:eastAsia="Calibri" w:cs="Calibri"/>
                <w:b/>
                <w:sz w:val="20"/>
                <w:szCs w:val="20"/>
                <w:lang w:val="hy-AM"/>
              </w:rPr>
              <w:t>առկա</w:t>
            </w:r>
            <w:r w:rsidRPr="0053423A">
              <w:rPr>
                <w:rFonts w:eastAsia="Calibri" w:cs="Calibri"/>
                <w:b/>
                <w:sz w:val="20"/>
                <w:szCs w:val="20"/>
                <w:lang w:val="tr-TR"/>
              </w:rPr>
              <w:t xml:space="preserve"> </w:t>
            </w:r>
            <w:r w:rsidRPr="0053423A">
              <w:rPr>
                <w:rFonts w:eastAsia="Calibri" w:cs="Calibri"/>
                <w:b/>
                <w:sz w:val="20"/>
                <w:szCs w:val="20"/>
                <w:lang w:val="hy-AM"/>
              </w:rPr>
              <w:t>խնդիրները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lang w:val="hy-AM"/>
              </w:rPr>
              <w:t>Ներկայում</w:t>
            </w:r>
            <w:r w:rsidRPr="0053423A">
              <w:rPr>
                <w:rFonts w:eastAsia="Calibri" w:cs="Calibri"/>
                <w:sz w:val="20"/>
                <w:szCs w:val="20"/>
                <w:lang w:val="tr-TR"/>
              </w:rPr>
              <w:t xml:space="preserve"> </w:t>
            </w:r>
            <w:r w:rsidRPr="0053423A">
              <w:rPr>
                <w:rFonts w:eastAsia="Calibri" w:cs="Calibri"/>
                <w:sz w:val="20"/>
                <w:szCs w:val="20"/>
                <w:lang w:val="hy-AM"/>
              </w:rPr>
              <w:t>իրականացվում</w:t>
            </w:r>
            <w:r w:rsidRPr="0053423A">
              <w:rPr>
                <w:rFonts w:eastAsia="Calibri" w:cs="Calibri"/>
                <w:sz w:val="20"/>
                <w:szCs w:val="20"/>
                <w:lang w:val="tr-TR"/>
              </w:rPr>
              <w:t xml:space="preserve"> </w:t>
            </w:r>
            <w:r w:rsidRPr="0053423A">
              <w:rPr>
                <w:rFonts w:eastAsia="Calibri" w:cs="Calibri"/>
                <w:sz w:val="20"/>
                <w:szCs w:val="20"/>
                <w:lang w:val="hy-AM"/>
              </w:rPr>
              <w:t>են</w:t>
            </w:r>
            <w:r w:rsidRPr="0053423A">
              <w:rPr>
                <w:rFonts w:eastAsia="Calibri" w:cs="Calibri"/>
                <w:sz w:val="20"/>
                <w:szCs w:val="20"/>
                <w:lang w:val="tr-TR"/>
              </w:rPr>
              <w:t xml:space="preserve"> </w:t>
            </w:r>
            <w:r w:rsidRPr="0053423A">
              <w:rPr>
                <w:rFonts w:eastAsia="Calibri" w:cs="Calibri"/>
                <w:sz w:val="20"/>
                <w:szCs w:val="20"/>
                <w:lang w:val="hy-AM"/>
              </w:rPr>
              <w:t>մշակութային</w:t>
            </w:r>
            <w:r w:rsidRPr="0053423A">
              <w:rPr>
                <w:rFonts w:eastAsia="Calibri" w:cs="Calibri"/>
                <w:sz w:val="20"/>
                <w:szCs w:val="20"/>
                <w:lang w:val="tr-TR"/>
              </w:rPr>
              <w:t xml:space="preserve"> </w:t>
            </w:r>
            <w:r w:rsidRPr="0053423A">
              <w:rPr>
                <w:rFonts w:eastAsia="Calibri" w:cs="Calibri"/>
                <w:sz w:val="20"/>
                <w:szCs w:val="20"/>
                <w:lang w:val="hy-AM"/>
              </w:rPr>
              <w:t>ծրագրեր</w:t>
            </w:r>
            <w:r w:rsidRPr="0053423A">
              <w:rPr>
                <w:rFonts w:eastAsia="Calibri" w:cs="Calibri"/>
                <w:sz w:val="20"/>
                <w:szCs w:val="20"/>
                <w:lang w:val="tr-TR"/>
              </w:rPr>
              <w:t xml:space="preserve"> </w:t>
            </w:r>
            <w:r w:rsidRPr="0053423A">
              <w:rPr>
                <w:rFonts w:eastAsia="Calibri" w:cs="Calibri"/>
                <w:sz w:val="20"/>
                <w:szCs w:val="20"/>
                <w:lang w:val="hy-AM"/>
              </w:rPr>
              <w:t>սփյուռքահայ</w:t>
            </w:r>
            <w:r w:rsidRPr="0053423A">
              <w:rPr>
                <w:rFonts w:eastAsia="Calibri" w:cs="Calibri"/>
                <w:sz w:val="20"/>
                <w:szCs w:val="20"/>
                <w:lang w:val="tr-TR"/>
              </w:rPr>
              <w:t xml:space="preserve"> </w:t>
            </w:r>
            <w:r w:rsidRPr="0053423A">
              <w:rPr>
                <w:rFonts w:eastAsia="Calibri" w:cs="Calibri"/>
                <w:sz w:val="20"/>
                <w:szCs w:val="20"/>
                <w:lang w:val="hy-AM"/>
              </w:rPr>
              <w:t>համայնքների</w:t>
            </w:r>
            <w:r w:rsidRPr="0053423A">
              <w:rPr>
                <w:rFonts w:eastAsia="Calibri" w:cs="Calibri"/>
                <w:sz w:val="20"/>
                <w:szCs w:val="20"/>
                <w:lang w:val="tr-TR"/>
              </w:rPr>
              <w:t xml:space="preserve"> </w:t>
            </w:r>
            <w:r w:rsidRPr="0053423A">
              <w:rPr>
                <w:rFonts w:eastAsia="Calibri" w:cs="Calibri"/>
                <w:sz w:val="20"/>
                <w:szCs w:val="20"/>
                <w:lang w:val="hy-AM"/>
              </w:rPr>
              <w:t>հետ</w:t>
            </w:r>
            <w:r w:rsidRPr="0053423A">
              <w:rPr>
                <w:rFonts w:eastAsia="Calibri" w:cs="Calibri"/>
                <w:sz w:val="20"/>
                <w:szCs w:val="20"/>
                <w:lang w:val="tr-TR"/>
              </w:rPr>
              <w:t xml:space="preserve"> </w:t>
            </w:r>
            <w:r w:rsidRPr="0053423A">
              <w:rPr>
                <w:rFonts w:eastAsia="Calibri" w:cs="Calibri"/>
                <w:sz w:val="20"/>
                <w:szCs w:val="20"/>
                <w:lang w:val="hy-AM"/>
              </w:rPr>
              <w:t>համագործակցությամբ</w:t>
            </w:r>
            <w:r w:rsidRPr="0053423A">
              <w:rPr>
                <w:rFonts w:eastAsia="Calibri" w:cs="Calibri"/>
                <w:sz w:val="20"/>
                <w:szCs w:val="20"/>
                <w:lang w:val="tr-TR"/>
              </w:rPr>
              <w:t xml:space="preserve">` </w:t>
            </w:r>
            <w:r w:rsidRPr="0053423A">
              <w:rPr>
                <w:rFonts w:eastAsia="Calibri" w:cs="Calibri"/>
                <w:sz w:val="20"/>
                <w:szCs w:val="20"/>
                <w:lang w:val="hy-AM"/>
              </w:rPr>
              <w:t>հաշվի</w:t>
            </w:r>
            <w:r w:rsidRPr="0053423A">
              <w:rPr>
                <w:rFonts w:eastAsia="Calibri" w:cs="Calibri"/>
                <w:sz w:val="20"/>
                <w:szCs w:val="20"/>
                <w:lang w:val="tr-TR"/>
              </w:rPr>
              <w:t xml:space="preserve"> </w:t>
            </w:r>
            <w:r w:rsidRPr="0053423A">
              <w:rPr>
                <w:rFonts w:eastAsia="Calibri" w:cs="Calibri"/>
                <w:sz w:val="20"/>
                <w:szCs w:val="20"/>
                <w:lang w:val="hy-AM"/>
              </w:rPr>
              <w:t>առնելով</w:t>
            </w:r>
            <w:r w:rsidRPr="0053423A">
              <w:rPr>
                <w:rFonts w:eastAsia="Calibri" w:cs="Calibri"/>
                <w:sz w:val="20"/>
                <w:szCs w:val="20"/>
                <w:lang w:val="tr-TR"/>
              </w:rPr>
              <w:t xml:space="preserve"> </w:t>
            </w:r>
            <w:r w:rsidRPr="0053423A">
              <w:rPr>
                <w:rFonts w:eastAsia="Calibri" w:cs="Calibri"/>
                <w:sz w:val="20"/>
                <w:szCs w:val="20"/>
                <w:lang w:val="hy-AM"/>
              </w:rPr>
              <w:t>կոնկրետ</w:t>
            </w:r>
            <w:r w:rsidRPr="0053423A">
              <w:rPr>
                <w:rFonts w:eastAsia="Calibri" w:cs="Calibri"/>
                <w:sz w:val="20"/>
                <w:szCs w:val="20"/>
                <w:lang w:val="tr-TR"/>
              </w:rPr>
              <w:t xml:space="preserve"> </w:t>
            </w:r>
            <w:r w:rsidRPr="0053423A">
              <w:rPr>
                <w:rFonts w:eastAsia="Calibri" w:cs="Calibri"/>
                <w:sz w:val="20"/>
                <w:szCs w:val="20"/>
                <w:lang w:val="hy-AM"/>
              </w:rPr>
              <w:t>համայնքի</w:t>
            </w:r>
            <w:r w:rsidRPr="0053423A">
              <w:rPr>
                <w:rFonts w:eastAsia="Calibri" w:cs="Calibri"/>
                <w:sz w:val="20"/>
                <w:szCs w:val="20"/>
                <w:lang w:val="tr-TR"/>
              </w:rPr>
              <w:t xml:space="preserve"> </w:t>
            </w:r>
            <w:r w:rsidRPr="0053423A">
              <w:rPr>
                <w:rFonts w:eastAsia="Calibri" w:cs="Calibri"/>
                <w:sz w:val="20"/>
                <w:szCs w:val="20"/>
                <w:lang w:val="hy-AM"/>
              </w:rPr>
              <w:t>խնդիրները</w:t>
            </w:r>
            <w:r w:rsidRPr="0053423A">
              <w:rPr>
                <w:rFonts w:eastAsia="Calibri" w:cs="Calibri"/>
                <w:sz w:val="20"/>
                <w:szCs w:val="20"/>
                <w:lang w:val="tr-TR"/>
              </w:rPr>
              <w:t xml:space="preserve">, </w:t>
            </w:r>
            <w:r w:rsidRPr="0053423A">
              <w:rPr>
                <w:rFonts w:eastAsia="Calibri" w:cs="Calibri"/>
                <w:sz w:val="20"/>
                <w:szCs w:val="20"/>
                <w:lang w:val="hy-AM"/>
              </w:rPr>
              <w:t>պահանջները</w:t>
            </w:r>
            <w:r w:rsidRPr="0053423A">
              <w:rPr>
                <w:rFonts w:eastAsia="Calibri" w:cs="Calibri"/>
                <w:sz w:val="20"/>
                <w:szCs w:val="20"/>
                <w:lang w:val="tr-TR"/>
              </w:rPr>
              <w:t xml:space="preserve"> </w:t>
            </w:r>
            <w:r w:rsidRPr="0053423A">
              <w:rPr>
                <w:rFonts w:eastAsia="Calibri" w:cs="Calibri"/>
                <w:sz w:val="20"/>
                <w:szCs w:val="20"/>
                <w:lang w:val="hy-AM"/>
              </w:rPr>
              <w:t>և</w:t>
            </w:r>
            <w:r w:rsidRPr="0053423A">
              <w:rPr>
                <w:rFonts w:eastAsia="Calibri" w:cs="Calibri"/>
                <w:sz w:val="20"/>
                <w:szCs w:val="20"/>
                <w:lang w:val="tr-TR"/>
              </w:rPr>
              <w:t xml:space="preserve"> </w:t>
            </w:r>
            <w:r w:rsidRPr="0053423A">
              <w:rPr>
                <w:rFonts w:eastAsia="Calibri" w:cs="Calibri"/>
                <w:sz w:val="20"/>
                <w:szCs w:val="20"/>
                <w:lang w:val="hy-AM"/>
              </w:rPr>
              <w:t>անհրաժեշտությունը</w:t>
            </w:r>
            <w:r w:rsidRPr="0053423A">
              <w:rPr>
                <w:rFonts w:eastAsia="Calibri" w:cs="Calibri"/>
                <w:sz w:val="20"/>
                <w:szCs w:val="20"/>
                <w:lang w:val="tr-TR"/>
              </w:rPr>
              <w:t>: Խնդիր կա համագործակցության խորացման և ընդլայնման, ինչպես նաև բովանդակությամբ պայմանավորված ստեղծարար ծրագրերի ու նախագծերի ներկայացման:</w:t>
            </w:r>
          </w:p>
          <w:p w:rsidR="00A67B6B" w:rsidRPr="0053423A" w:rsidRDefault="00A67B6B" w:rsidP="00A67858">
            <w:pPr>
              <w:tabs>
                <w:tab w:val="left" w:pos="508"/>
              </w:tabs>
              <w:spacing w:after="0" w:line="276" w:lineRule="auto"/>
              <w:jc w:val="both"/>
              <w:rPr>
                <w:rFonts w:eastAsia="Calibri" w:cs="Calibri"/>
                <w:sz w:val="20"/>
                <w:szCs w:val="20"/>
                <w:lang w:val="tr-TR"/>
              </w:rPr>
            </w:pPr>
          </w:p>
          <w:p w:rsidR="00A67B6B" w:rsidRPr="0053423A" w:rsidRDefault="00A67B6B" w:rsidP="001F6D5D">
            <w:pPr>
              <w:numPr>
                <w:ilvl w:val="1"/>
                <w:numId w:val="229"/>
              </w:numPr>
              <w:tabs>
                <w:tab w:val="left" w:pos="508"/>
              </w:tabs>
              <w:spacing w:after="0" w:line="276" w:lineRule="auto"/>
              <w:ind w:hanging="720"/>
              <w:jc w:val="both"/>
              <w:rPr>
                <w:rFonts w:eastAsia="Calibri" w:cs="Calibri"/>
                <w:b/>
                <w:sz w:val="20"/>
                <w:szCs w:val="20"/>
                <w:lang w:val="tr-TR"/>
              </w:rPr>
            </w:pPr>
            <w:r w:rsidRPr="0053423A">
              <w:rPr>
                <w:rFonts w:eastAsia="Calibri" w:cs="Calibri"/>
                <w:b/>
                <w:sz w:val="20"/>
                <w:szCs w:val="20"/>
              </w:rPr>
              <w:t>Առկա</w:t>
            </w:r>
            <w:r w:rsidRPr="0053423A">
              <w:rPr>
                <w:rFonts w:eastAsia="Calibri" w:cs="Calibri"/>
                <w:b/>
                <w:sz w:val="20"/>
                <w:szCs w:val="20"/>
                <w:lang w:val="tr-TR"/>
              </w:rPr>
              <w:t xml:space="preserve"> </w:t>
            </w:r>
            <w:r w:rsidRPr="0053423A">
              <w:rPr>
                <w:rFonts w:eastAsia="Calibri" w:cs="Calibri"/>
                <w:b/>
                <w:sz w:val="20"/>
                <w:szCs w:val="20"/>
              </w:rPr>
              <w:t>խնդիրների</w:t>
            </w:r>
            <w:r w:rsidRPr="0053423A">
              <w:rPr>
                <w:rFonts w:eastAsia="Calibri" w:cs="Calibri"/>
                <w:b/>
                <w:sz w:val="20"/>
                <w:szCs w:val="20"/>
                <w:lang w:val="tr-TR"/>
              </w:rPr>
              <w:t xml:space="preserve"> </w:t>
            </w:r>
            <w:r w:rsidRPr="0053423A">
              <w:rPr>
                <w:rFonts w:eastAsia="Calibri" w:cs="Calibri"/>
                <w:b/>
                <w:sz w:val="20"/>
                <w:szCs w:val="20"/>
              </w:rPr>
              <w:t>առաջարկվող</w:t>
            </w:r>
            <w:r w:rsidRPr="0053423A">
              <w:rPr>
                <w:rFonts w:eastAsia="Calibri" w:cs="Calibri"/>
                <w:b/>
                <w:sz w:val="20"/>
                <w:szCs w:val="20"/>
                <w:lang w:val="tr-TR"/>
              </w:rPr>
              <w:t xml:space="preserve"> </w:t>
            </w:r>
            <w:r w:rsidRPr="0053423A">
              <w:rPr>
                <w:rFonts w:eastAsia="Calibri" w:cs="Calibri"/>
                <w:b/>
                <w:sz w:val="20"/>
                <w:szCs w:val="20"/>
              </w:rPr>
              <w:t>լուծումները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Սփյուռքահայ</w:t>
            </w:r>
            <w:r w:rsidRPr="0053423A">
              <w:rPr>
                <w:rFonts w:eastAsia="Calibri" w:cs="Calibri"/>
                <w:sz w:val="20"/>
                <w:szCs w:val="20"/>
                <w:lang w:val="tr-TR"/>
              </w:rPr>
              <w:t xml:space="preserve"> </w:t>
            </w:r>
            <w:r w:rsidRPr="0053423A">
              <w:rPr>
                <w:rFonts w:eastAsia="Calibri" w:cs="Calibri"/>
                <w:sz w:val="20"/>
                <w:szCs w:val="20"/>
              </w:rPr>
              <w:t>համայնքներին</w:t>
            </w:r>
            <w:r w:rsidRPr="0053423A">
              <w:rPr>
                <w:rFonts w:eastAsia="Calibri" w:cs="Calibri"/>
                <w:sz w:val="20"/>
                <w:szCs w:val="20"/>
                <w:lang w:val="tr-TR"/>
              </w:rPr>
              <w:t xml:space="preserve"> </w:t>
            </w:r>
            <w:r w:rsidRPr="0053423A">
              <w:rPr>
                <w:rFonts w:eastAsia="Calibri" w:cs="Calibri"/>
                <w:sz w:val="20"/>
                <w:szCs w:val="20"/>
              </w:rPr>
              <w:t>հայ</w:t>
            </w:r>
            <w:r w:rsidRPr="0053423A">
              <w:rPr>
                <w:rFonts w:eastAsia="Calibri" w:cs="Calibri"/>
                <w:sz w:val="20"/>
                <w:szCs w:val="20"/>
                <w:lang w:val="tr-TR"/>
              </w:rPr>
              <w:t xml:space="preserve"> </w:t>
            </w:r>
            <w:r w:rsidRPr="0053423A">
              <w:rPr>
                <w:rFonts w:eastAsia="Calibri" w:cs="Calibri"/>
                <w:sz w:val="20"/>
                <w:szCs w:val="20"/>
              </w:rPr>
              <w:t>մշակույթին</w:t>
            </w:r>
            <w:r w:rsidRPr="0053423A">
              <w:rPr>
                <w:rFonts w:eastAsia="Calibri" w:cs="Calibri"/>
                <w:sz w:val="20"/>
                <w:szCs w:val="20"/>
                <w:lang w:val="tr-TR"/>
              </w:rPr>
              <w:t xml:space="preserve"> </w:t>
            </w:r>
            <w:r w:rsidRPr="0053423A">
              <w:rPr>
                <w:rFonts w:eastAsia="Calibri" w:cs="Calibri"/>
                <w:sz w:val="20"/>
                <w:szCs w:val="20"/>
              </w:rPr>
              <w:t>հնարավորինս</w:t>
            </w:r>
            <w:r w:rsidRPr="0053423A">
              <w:rPr>
                <w:rFonts w:eastAsia="Calibri" w:cs="Calibri"/>
                <w:sz w:val="20"/>
                <w:szCs w:val="20"/>
                <w:lang w:val="tr-TR"/>
              </w:rPr>
              <w:t xml:space="preserve"> </w:t>
            </w:r>
            <w:r w:rsidRPr="0053423A">
              <w:rPr>
                <w:rFonts w:eastAsia="Calibri" w:cs="Calibri"/>
                <w:sz w:val="20"/>
                <w:szCs w:val="20"/>
              </w:rPr>
              <w:t>հաղորդակից</w:t>
            </w:r>
            <w:r w:rsidRPr="0053423A">
              <w:rPr>
                <w:rFonts w:eastAsia="Calibri" w:cs="Calibri"/>
                <w:sz w:val="20"/>
                <w:szCs w:val="20"/>
                <w:lang w:val="tr-TR"/>
              </w:rPr>
              <w:t xml:space="preserve"> </w:t>
            </w:r>
            <w:r w:rsidRPr="0053423A">
              <w:rPr>
                <w:rFonts w:eastAsia="Calibri" w:cs="Calibri"/>
                <w:sz w:val="20"/>
                <w:szCs w:val="20"/>
              </w:rPr>
              <w:t>դարձնելու</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 xml:space="preserve"> </w:t>
            </w:r>
            <w:r w:rsidRPr="0053423A">
              <w:rPr>
                <w:rFonts w:eastAsia="Calibri" w:cs="Calibri"/>
                <w:sz w:val="20"/>
                <w:szCs w:val="20"/>
              </w:rPr>
              <w:t>օտարերկրյա</w:t>
            </w:r>
            <w:r w:rsidRPr="0053423A">
              <w:rPr>
                <w:rFonts w:eastAsia="Calibri" w:cs="Calibri"/>
                <w:sz w:val="20"/>
                <w:szCs w:val="20"/>
                <w:lang w:val="tr-TR"/>
              </w:rPr>
              <w:t xml:space="preserve"> </w:t>
            </w:r>
            <w:r w:rsidRPr="0053423A">
              <w:rPr>
                <w:rFonts w:eastAsia="Calibri" w:cs="Calibri"/>
                <w:sz w:val="20"/>
                <w:szCs w:val="20"/>
              </w:rPr>
              <w:t>պետություններում</w:t>
            </w:r>
            <w:r w:rsidRPr="0053423A">
              <w:rPr>
                <w:rFonts w:eastAsia="Calibri" w:cs="Calibri"/>
                <w:sz w:val="20"/>
                <w:szCs w:val="20"/>
                <w:lang w:val="tr-TR"/>
              </w:rPr>
              <w:t xml:space="preserve"> </w:t>
            </w:r>
            <w:r w:rsidRPr="0053423A">
              <w:rPr>
                <w:rFonts w:eastAsia="Calibri" w:cs="Calibri"/>
                <w:sz w:val="20"/>
                <w:szCs w:val="20"/>
              </w:rPr>
              <w:t>ՀՀ</w:t>
            </w:r>
            <w:r w:rsidRPr="0053423A">
              <w:rPr>
                <w:rFonts w:eastAsia="Calibri" w:cs="Calibri"/>
                <w:sz w:val="20"/>
                <w:szCs w:val="20"/>
                <w:lang w:val="tr-TR"/>
              </w:rPr>
              <w:t xml:space="preserve"> </w:t>
            </w:r>
            <w:r w:rsidRPr="0053423A">
              <w:rPr>
                <w:rFonts w:eastAsia="Calibri" w:cs="Calibri"/>
                <w:sz w:val="20"/>
                <w:szCs w:val="20"/>
              </w:rPr>
              <w:t>դիվանագիտական</w:t>
            </w:r>
            <w:r w:rsidRPr="0053423A">
              <w:rPr>
                <w:rFonts w:eastAsia="Calibri" w:cs="Calibri"/>
                <w:sz w:val="20"/>
                <w:szCs w:val="20"/>
                <w:lang w:val="tr-TR"/>
              </w:rPr>
              <w:t xml:space="preserve"> </w:t>
            </w:r>
            <w:r w:rsidRPr="0053423A">
              <w:rPr>
                <w:rFonts w:eastAsia="Calibri" w:cs="Calibri"/>
                <w:sz w:val="20"/>
                <w:szCs w:val="20"/>
              </w:rPr>
              <w:t>ներկայացուցչությունների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հայ</w:t>
            </w:r>
            <w:r w:rsidRPr="0053423A">
              <w:rPr>
                <w:rFonts w:eastAsia="Calibri" w:cs="Calibri"/>
                <w:sz w:val="20"/>
                <w:szCs w:val="20"/>
                <w:lang w:val="tr-TR"/>
              </w:rPr>
              <w:t xml:space="preserve"> </w:t>
            </w:r>
            <w:r w:rsidRPr="0053423A">
              <w:rPr>
                <w:rFonts w:eastAsia="Calibri" w:cs="Calibri"/>
                <w:sz w:val="20"/>
                <w:szCs w:val="20"/>
              </w:rPr>
              <w:t>համայնքների</w:t>
            </w:r>
            <w:r w:rsidRPr="0053423A">
              <w:rPr>
                <w:rFonts w:eastAsia="Calibri" w:cs="Calibri"/>
                <w:sz w:val="20"/>
                <w:szCs w:val="20"/>
                <w:lang w:val="tr-TR"/>
              </w:rPr>
              <w:t xml:space="preserve"> </w:t>
            </w:r>
            <w:r w:rsidRPr="0053423A">
              <w:rPr>
                <w:rFonts w:eastAsia="Calibri" w:cs="Calibri"/>
                <w:sz w:val="20"/>
                <w:szCs w:val="20"/>
              </w:rPr>
              <w:t>ներկայացուցիչների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համատեղ</w:t>
            </w:r>
            <w:r w:rsidRPr="0053423A">
              <w:rPr>
                <w:rFonts w:eastAsia="Calibri" w:cs="Calibri"/>
                <w:sz w:val="20"/>
                <w:szCs w:val="20"/>
                <w:lang w:val="tr-TR"/>
              </w:rPr>
              <w:t xml:space="preserve"> </w:t>
            </w:r>
            <w:r w:rsidRPr="0053423A">
              <w:rPr>
                <w:rFonts w:eastAsia="Calibri" w:cs="Calibri"/>
                <w:sz w:val="20"/>
                <w:szCs w:val="20"/>
              </w:rPr>
              <w:t>մշակվում</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իրականացվում</w:t>
            </w:r>
            <w:r w:rsidRPr="0053423A">
              <w:rPr>
                <w:rFonts w:eastAsia="Calibri" w:cs="Calibri"/>
                <w:sz w:val="20"/>
                <w:szCs w:val="20"/>
                <w:lang w:val="tr-TR"/>
              </w:rPr>
              <w:t xml:space="preserve"> </w:t>
            </w:r>
            <w:r w:rsidRPr="0053423A">
              <w:rPr>
                <w:rFonts w:eastAsia="Calibri" w:cs="Calibri"/>
                <w:sz w:val="20"/>
                <w:szCs w:val="20"/>
              </w:rPr>
              <w:t>են</w:t>
            </w:r>
            <w:r w:rsidRPr="0053423A">
              <w:rPr>
                <w:rFonts w:eastAsia="Calibri" w:cs="Calibri"/>
                <w:sz w:val="20"/>
                <w:szCs w:val="20"/>
                <w:lang w:val="tr-TR"/>
              </w:rPr>
              <w:t xml:space="preserve"> </w:t>
            </w:r>
            <w:r w:rsidRPr="0053423A">
              <w:rPr>
                <w:rFonts w:eastAsia="Calibri" w:cs="Calibri"/>
                <w:sz w:val="20"/>
                <w:szCs w:val="20"/>
              </w:rPr>
              <w:t>տարբեր</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ծրագրեր</w:t>
            </w:r>
            <w:r w:rsidRPr="0053423A">
              <w:rPr>
                <w:rFonts w:eastAsia="Calibri" w:cs="Calibri"/>
                <w:sz w:val="20"/>
                <w:szCs w:val="20"/>
                <w:lang w:val="tr-TR"/>
              </w:rPr>
              <w:t>:</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lang w:val="tr-TR"/>
              </w:rPr>
              <w:t xml:space="preserve"> </w:t>
            </w:r>
          </w:p>
          <w:p w:rsidR="00A67B6B" w:rsidRPr="0053423A" w:rsidRDefault="00A67B6B" w:rsidP="001F6D5D">
            <w:pPr>
              <w:numPr>
                <w:ilvl w:val="0"/>
                <w:numId w:val="229"/>
              </w:numPr>
              <w:tabs>
                <w:tab w:val="left" w:pos="508"/>
              </w:tabs>
              <w:spacing w:after="0" w:line="276" w:lineRule="auto"/>
              <w:ind w:hanging="720"/>
              <w:jc w:val="both"/>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իրականացումից</w:t>
            </w:r>
            <w:r w:rsidRPr="0053423A">
              <w:rPr>
                <w:rFonts w:eastAsia="Calibri" w:cs="Calibri"/>
                <w:b/>
                <w:sz w:val="20"/>
                <w:szCs w:val="20"/>
                <w:lang w:val="tr-TR"/>
              </w:rPr>
              <w:t xml:space="preserve"> </w:t>
            </w:r>
            <w:r w:rsidRPr="0053423A">
              <w:rPr>
                <w:rFonts w:eastAsia="Calibri" w:cs="Calibri"/>
                <w:b/>
                <w:sz w:val="20"/>
                <w:szCs w:val="20"/>
              </w:rPr>
              <w:t>ակնկալվող</w:t>
            </w:r>
            <w:r w:rsidRPr="0053423A">
              <w:rPr>
                <w:rFonts w:eastAsia="Calibri" w:cs="Calibri"/>
                <w:b/>
                <w:sz w:val="20"/>
                <w:szCs w:val="20"/>
                <w:lang w:val="tr-TR"/>
              </w:rPr>
              <w:t xml:space="preserve"> </w:t>
            </w:r>
            <w:r w:rsidRPr="0053423A">
              <w:rPr>
                <w:rFonts w:eastAsia="Calibri" w:cs="Calibri"/>
                <w:b/>
                <w:sz w:val="20"/>
                <w:szCs w:val="20"/>
              </w:rPr>
              <w:t>արդյունքը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Սփյուռքում</w:t>
            </w:r>
            <w:r w:rsidRPr="0053423A">
              <w:rPr>
                <w:rFonts w:eastAsia="Calibri" w:cs="Calibri"/>
                <w:sz w:val="20"/>
                <w:szCs w:val="20"/>
                <w:lang w:val="tr-TR"/>
              </w:rPr>
              <w:t xml:space="preserve"> </w:t>
            </w:r>
            <w:r w:rsidRPr="0053423A">
              <w:rPr>
                <w:rFonts w:eastAsia="Calibri" w:cs="Calibri"/>
                <w:sz w:val="20"/>
                <w:szCs w:val="20"/>
              </w:rPr>
              <w:t>ապրող</w:t>
            </w:r>
            <w:r w:rsidRPr="0053423A">
              <w:rPr>
                <w:rFonts w:eastAsia="Calibri" w:cs="Calibri"/>
                <w:sz w:val="20"/>
                <w:szCs w:val="20"/>
                <w:lang w:val="tr-TR"/>
              </w:rPr>
              <w:t xml:space="preserve"> </w:t>
            </w:r>
            <w:r w:rsidRPr="0053423A">
              <w:rPr>
                <w:rFonts w:eastAsia="Calibri" w:cs="Calibri"/>
                <w:sz w:val="20"/>
                <w:szCs w:val="20"/>
              </w:rPr>
              <w:t>հայերին</w:t>
            </w:r>
            <w:r w:rsidRPr="0053423A">
              <w:rPr>
                <w:rFonts w:eastAsia="Calibri" w:cs="Calibri"/>
                <w:sz w:val="20"/>
                <w:szCs w:val="20"/>
                <w:lang w:val="tr-TR"/>
              </w:rPr>
              <w:t xml:space="preserve"> </w:t>
            </w:r>
            <w:r w:rsidRPr="0053423A">
              <w:rPr>
                <w:rFonts w:eastAsia="Calibri" w:cs="Calibri"/>
                <w:sz w:val="20"/>
                <w:szCs w:val="20"/>
              </w:rPr>
              <w:t>հնարավորինս</w:t>
            </w:r>
            <w:r w:rsidRPr="0053423A">
              <w:rPr>
                <w:rFonts w:eastAsia="Calibri" w:cs="Calibri"/>
                <w:sz w:val="20"/>
                <w:szCs w:val="20"/>
                <w:lang w:val="tr-TR"/>
              </w:rPr>
              <w:t xml:space="preserve"> </w:t>
            </w:r>
            <w:r w:rsidRPr="0053423A">
              <w:rPr>
                <w:rFonts w:eastAsia="Calibri" w:cs="Calibri"/>
                <w:sz w:val="20"/>
                <w:szCs w:val="20"/>
              </w:rPr>
              <w:t>հաղորդակից</w:t>
            </w:r>
            <w:r w:rsidRPr="0053423A">
              <w:rPr>
                <w:rFonts w:eastAsia="Calibri" w:cs="Calibri"/>
                <w:sz w:val="20"/>
                <w:szCs w:val="20"/>
                <w:lang w:val="tr-TR"/>
              </w:rPr>
              <w:t xml:space="preserve"> </w:t>
            </w:r>
            <w:r w:rsidRPr="0053423A">
              <w:rPr>
                <w:rFonts w:eastAsia="Calibri" w:cs="Calibri"/>
                <w:sz w:val="20"/>
                <w:szCs w:val="20"/>
              </w:rPr>
              <w:t>դարձնել</w:t>
            </w:r>
            <w:r w:rsidRPr="0053423A">
              <w:rPr>
                <w:rFonts w:eastAsia="Calibri" w:cs="Calibri"/>
                <w:sz w:val="20"/>
                <w:szCs w:val="20"/>
                <w:lang w:val="tr-TR"/>
              </w:rPr>
              <w:t xml:space="preserve"> </w:t>
            </w:r>
            <w:r w:rsidRPr="0053423A">
              <w:rPr>
                <w:rFonts w:eastAsia="Calibri" w:cs="Calibri"/>
                <w:sz w:val="20"/>
                <w:szCs w:val="20"/>
              </w:rPr>
              <w:t>հայկական</w:t>
            </w:r>
            <w:r w:rsidRPr="0053423A">
              <w:rPr>
                <w:rFonts w:eastAsia="Calibri" w:cs="Calibri"/>
                <w:sz w:val="20"/>
                <w:szCs w:val="20"/>
                <w:lang w:val="tr-TR"/>
              </w:rPr>
              <w:t xml:space="preserve"> </w:t>
            </w:r>
            <w:r w:rsidRPr="0053423A">
              <w:rPr>
                <w:rFonts w:eastAsia="Calibri" w:cs="Calibri"/>
                <w:sz w:val="20"/>
                <w:szCs w:val="20"/>
              </w:rPr>
              <w:t>մշակույթին</w:t>
            </w:r>
            <w:r w:rsidRPr="0053423A">
              <w:rPr>
                <w:rFonts w:eastAsia="Calibri" w:cs="Calibri"/>
                <w:sz w:val="20"/>
                <w:szCs w:val="20"/>
                <w:lang w:val="tr-TR"/>
              </w:rPr>
              <w:t xml:space="preserve">, </w:t>
            </w:r>
            <w:r w:rsidRPr="0053423A">
              <w:rPr>
                <w:rFonts w:eastAsia="Calibri" w:cs="Calibri"/>
                <w:sz w:val="20"/>
                <w:szCs w:val="20"/>
              </w:rPr>
              <w:t>ծանոթացնել</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խորացնել</w:t>
            </w:r>
            <w:r w:rsidRPr="0053423A">
              <w:rPr>
                <w:rFonts w:eastAsia="Calibri" w:cs="Calibri"/>
                <w:sz w:val="20"/>
                <w:szCs w:val="20"/>
                <w:lang w:val="tr-TR"/>
              </w:rPr>
              <w:t xml:space="preserve"> </w:t>
            </w:r>
            <w:r w:rsidRPr="0053423A">
              <w:rPr>
                <w:rFonts w:eastAsia="Calibri" w:cs="Calibri"/>
                <w:sz w:val="20"/>
                <w:szCs w:val="20"/>
              </w:rPr>
              <w:t>գիտելիքները</w:t>
            </w:r>
            <w:r w:rsidRPr="0053423A">
              <w:rPr>
                <w:rFonts w:eastAsia="Calibri" w:cs="Calibri"/>
                <w:sz w:val="20"/>
                <w:szCs w:val="20"/>
                <w:lang w:val="tr-TR"/>
              </w:rPr>
              <w:t xml:space="preserve"> </w:t>
            </w:r>
            <w:r w:rsidRPr="0053423A">
              <w:rPr>
                <w:rFonts w:eastAsia="Calibri" w:cs="Calibri"/>
                <w:sz w:val="20"/>
                <w:szCs w:val="20"/>
              </w:rPr>
              <w:t>հայ</w:t>
            </w:r>
            <w:r w:rsidRPr="0053423A">
              <w:rPr>
                <w:rFonts w:eastAsia="Calibri" w:cs="Calibri"/>
                <w:sz w:val="20"/>
                <w:szCs w:val="20"/>
                <w:lang w:val="tr-TR"/>
              </w:rPr>
              <w:t xml:space="preserve"> </w:t>
            </w:r>
            <w:r w:rsidRPr="0053423A">
              <w:rPr>
                <w:rFonts w:eastAsia="Calibri" w:cs="Calibri"/>
                <w:sz w:val="20"/>
                <w:szCs w:val="20"/>
              </w:rPr>
              <w:t>պատմամշակութային</w:t>
            </w:r>
            <w:r w:rsidRPr="0053423A">
              <w:rPr>
                <w:rFonts w:eastAsia="Calibri" w:cs="Calibri"/>
                <w:sz w:val="20"/>
                <w:szCs w:val="20"/>
                <w:lang w:val="tr-TR"/>
              </w:rPr>
              <w:t xml:space="preserve"> </w:t>
            </w:r>
            <w:r w:rsidRPr="0053423A">
              <w:rPr>
                <w:rFonts w:eastAsia="Calibri" w:cs="Calibri"/>
                <w:sz w:val="20"/>
                <w:szCs w:val="20"/>
              </w:rPr>
              <w:t>ժառանգության</w:t>
            </w:r>
            <w:r w:rsidRPr="0053423A">
              <w:rPr>
                <w:rFonts w:eastAsia="Calibri" w:cs="Calibri"/>
                <w:sz w:val="20"/>
                <w:szCs w:val="20"/>
                <w:lang w:val="tr-TR"/>
              </w:rPr>
              <w:t xml:space="preserve"> </w:t>
            </w:r>
            <w:r w:rsidRPr="0053423A">
              <w:rPr>
                <w:rFonts w:eastAsia="Calibri" w:cs="Calibri"/>
                <w:sz w:val="20"/>
                <w:szCs w:val="20"/>
              </w:rPr>
              <w:t>վերաբերյալ</w:t>
            </w:r>
            <w:r w:rsidRPr="0053423A">
              <w:rPr>
                <w:rFonts w:eastAsia="Calibri" w:cs="Calibri"/>
                <w:sz w:val="20"/>
                <w:szCs w:val="20"/>
                <w:lang w:val="tr-TR"/>
              </w:rPr>
              <w:t xml:space="preserve">, </w:t>
            </w:r>
            <w:r w:rsidRPr="0053423A">
              <w:rPr>
                <w:rFonts w:eastAsia="Calibri" w:cs="Calibri"/>
                <w:sz w:val="20"/>
                <w:szCs w:val="20"/>
              </w:rPr>
              <w:t>բացահայտել</w:t>
            </w:r>
            <w:r w:rsidRPr="0053423A">
              <w:rPr>
                <w:rFonts w:eastAsia="Calibri" w:cs="Calibri"/>
                <w:sz w:val="20"/>
                <w:szCs w:val="20"/>
                <w:lang w:val="tr-TR"/>
              </w:rPr>
              <w:t xml:space="preserve"> </w:t>
            </w:r>
            <w:r w:rsidRPr="0053423A">
              <w:rPr>
                <w:rFonts w:eastAsia="Calibri" w:cs="Calibri"/>
                <w:sz w:val="20"/>
                <w:szCs w:val="20"/>
              </w:rPr>
              <w:t>տաղանդներ</w:t>
            </w:r>
            <w:r w:rsidRPr="0053423A">
              <w:rPr>
                <w:rFonts w:eastAsia="Calibri" w:cs="Calibri"/>
                <w:sz w:val="20"/>
                <w:szCs w:val="20"/>
                <w:lang w:val="tr-TR"/>
              </w:rPr>
              <w:t xml:space="preserve"> </w:t>
            </w:r>
            <w:r w:rsidRPr="0053423A">
              <w:rPr>
                <w:rFonts w:eastAsia="Calibri" w:cs="Calibri"/>
                <w:sz w:val="20"/>
                <w:szCs w:val="20"/>
              </w:rPr>
              <w:t>սփյուքահայ</w:t>
            </w:r>
            <w:r w:rsidRPr="0053423A">
              <w:rPr>
                <w:rFonts w:eastAsia="Calibri" w:cs="Calibri"/>
                <w:sz w:val="20"/>
                <w:szCs w:val="20"/>
                <w:lang w:val="tr-TR"/>
              </w:rPr>
              <w:t xml:space="preserve"> </w:t>
            </w:r>
            <w:r w:rsidRPr="0053423A">
              <w:rPr>
                <w:rFonts w:eastAsia="Calibri" w:cs="Calibri"/>
                <w:sz w:val="20"/>
                <w:szCs w:val="20"/>
              </w:rPr>
              <w:t>երիտասարդների</w:t>
            </w:r>
            <w:r w:rsidRPr="0053423A">
              <w:rPr>
                <w:rFonts w:eastAsia="Calibri" w:cs="Calibri"/>
                <w:sz w:val="20"/>
                <w:szCs w:val="20"/>
                <w:lang w:val="tr-TR"/>
              </w:rPr>
              <w:t xml:space="preserve"> </w:t>
            </w:r>
            <w:r w:rsidRPr="0053423A">
              <w:rPr>
                <w:rFonts w:eastAsia="Calibri" w:cs="Calibri"/>
                <w:sz w:val="20"/>
                <w:szCs w:val="20"/>
              </w:rPr>
              <w:t>մեջ</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ամրապնդել</w:t>
            </w:r>
            <w:r w:rsidRPr="0053423A">
              <w:rPr>
                <w:rFonts w:eastAsia="Calibri" w:cs="Calibri"/>
                <w:sz w:val="20"/>
                <w:szCs w:val="20"/>
                <w:lang w:val="tr-TR"/>
              </w:rPr>
              <w:t xml:space="preserve"> </w:t>
            </w:r>
            <w:r w:rsidRPr="0053423A">
              <w:rPr>
                <w:rFonts w:eastAsia="Calibri" w:cs="Calibri"/>
                <w:sz w:val="20"/>
                <w:szCs w:val="20"/>
              </w:rPr>
              <w:t>կապերը</w:t>
            </w:r>
            <w:r w:rsidRPr="0053423A">
              <w:rPr>
                <w:rFonts w:eastAsia="Calibri" w:cs="Calibri"/>
                <w:sz w:val="20"/>
                <w:szCs w:val="20"/>
                <w:lang w:val="tr-TR"/>
              </w:rPr>
              <w:t xml:space="preserve"> </w:t>
            </w:r>
            <w:r w:rsidRPr="0053423A">
              <w:rPr>
                <w:rFonts w:eastAsia="Calibri" w:cs="Calibri"/>
                <w:sz w:val="20"/>
                <w:szCs w:val="20"/>
              </w:rPr>
              <w:t>հայրենիքի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w:t>
            </w:r>
          </w:p>
          <w:p w:rsidR="00A67B6B" w:rsidRPr="0053423A" w:rsidRDefault="00A67B6B" w:rsidP="00A67858">
            <w:pPr>
              <w:tabs>
                <w:tab w:val="left" w:pos="508"/>
              </w:tabs>
              <w:spacing w:after="0" w:line="276" w:lineRule="auto"/>
              <w:jc w:val="center"/>
              <w:rPr>
                <w:rFonts w:eastAsia="Calibri" w:cs="Calibri"/>
                <w:sz w:val="20"/>
                <w:szCs w:val="20"/>
                <w:lang w:val="tr-TR"/>
              </w:rPr>
            </w:pPr>
          </w:p>
          <w:p w:rsidR="00A67B6B" w:rsidRPr="0053423A" w:rsidRDefault="00A67B6B" w:rsidP="00A67858">
            <w:pPr>
              <w:tabs>
                <w:tab w:val="left" w:pos="508"/>
              </w:tabs>
              <w:spacing w:after="0" w:line="276" w:lineRule="auto"/>
              <w:jc w:val="center"/>
              <w:rPr>
                <w:rFonts w:eastAsia="Calibri" w:cs="Calibri"/>
                <w:b/>
                <w:sz w:val="20"/>
                <w:szCs w:val="20"/>
                <w:lang w:val="tr-TR"/>
              </w:rPr>
            </w:pPr>
            <w:r w:rsidRPr="0053423A">
              <w:rPr>
                <w:rFonts w:eastAsia="Calibri" w:cs="Calibri"/>
                <w:b/>
                <w:sz w:val="20"/>
                <w:szCs w:val="20"/>
                <w:lang w:val="tr-TR"/>
              </w:rPr>
              <w:t xml:space="preserve">11.4 </w:t>
            </w:r>
            <w:r w:rsidRPr="0053423A">
              <w:rPr>
                <w:rFonts w:eastAsia="Calibri" w:cs="Calibri"/>
                <w:b/>
                <w:sz w:val="20"/>
                <w:szCs w:val="20"/>
                <w:lang w:val="hy-AM"/>
              </w:rPr>
              <w:t>Համագործակցություն միջազգային կազմակերպությունների հետ՝ ՅՈՒՆԵՍԿՕ, ԵՄ, ԵԽ, ԱՊՀ, ԵԱՏՄ և այլն</w:t>
            </w:r>
          </w:p>
          <w:p w:rsidR="00A67B6B" w:rsidRPr="0053423A" w:rsidRDefault="00A67B6B" w:rsidP="00A67858">
            <w:pPr>
              <w:tabs>
                <w:tab w:val="left" w:pos="508"/>
              </w:tabs>
              <w:spacing w:after="0" w:line="276" w:lineRule="auto"/>
              <w:jc w:val="center"/>
              <w:rPr>
                <w:rFonts w:eastAsia="Calibri" w:cs="Calibri"/>
                <w:sz w:val="20"/>
                <w:szCs w:val="20"/>
                <w:lang w:val="tr-TR"/>
              </w:rPr>
            </w:pPr>
          </w:p>
          <w:p w:rsidR="00A67B6B" w:rsidRPr="0053423A" w:rsidRDefault="00A67B6B" w:rsidP="001F6D5D">
            <w:pPr>
              <w:numPr>
                <w:ilvl w:val="0"/>
                <w:numId w:val="230"/>
              </w:numPr>
              <w:tabs>
                <w:tab w:val="left" w:pos="508"/>
              </w:tabs>
              <w:spacing w:after="0" w:line="276" w:lineRule="auto"/>
              <w:ind w:hanging="707"/>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իրականացման</w:t>
            </w:r>
            <w:r w:rsidRPr="0053423A">
              <w:rPr>
                <w:rFonts w:eastAsia="Calibri" w:cs="Calibri"/>
                <w:b/>
                <w:sz w:val="20"/>
                <w:szCs w:val="20"/>
                <w:lang w:val="tr-TR"/>
              </w:rPr>
              <w:t xml:space="preserve"> </w:t>
            </w:r>
            <w:r w:rsidRPr="0053423A">
              <w:rPr>
                <w:rFonts w:eastAsia="Calibri" w:cs="Calibri"/>
                <w:b/>
                <w:sz w:val="20"/>
                <w:szCs w:val="20"/>
              </w:rPr>
              <w:t>անհրաժեշտությունը</w:t>
            </w:r>
            <w:r w:rsidRPr="0053423A">
              <w:rPr>
                <w:rFonts w:eastAsia="Calibri" w:cs="Calibri"/>
                <w:b/>
                <w:sz w:val="20"/>
                <w:szCs w:val="20"/>
                <w:lang w:val="tr-TR"/>
              </w:rPr>
              <w:t xml:space="preserve"> </w:t>
            </w:r>
            <w:r w:rsidRPr="0053423A">
              <w:rPr>
                <w:rFonts w:eastAsia="Calibri" w:cs="Calibri"/>
                <w:b/>
                <w:sz w:val="20"/>
                <w:szCs w:val="20"/>
              </w:rPr>
              <w:t>և</w:t>
            </w:r>
            <w:r w:rsidRPr="0053423A">
              <w:rPr>
                <w:rFonts w:eastAsia="Calibri" w:cs="Calibri"/>
                <w:b/>
                <w:sz w:val="20"/>
                <w:szCs w:val="20"/>
                <w:lang w:val="tr-TR"/>
              </w:rPr>
              <w:t xml:space="preserve"> </w:t>
            </w:r>
            <w:r w:rsidRPr="0053423A">
              <w:rPr>
                <w:rFonts w:eastAsia="Calibri" w:cs="Calibri"/>
                <w:b/>
                <w:sz w:val="20"/>
                <w:szCs w:val="20"/>
              </w:rPr>
              <w:t>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Calibri"/>
                <w:sz w:val="20"/>
                <w:szCs w:val="20"/>
              </w:rPr>
              <w:t>ՀՀ</w:t>
            </w:r>
            <w:r w:rsidRPr="0053423A">
              <w:rPr>
                <w:rFonts w:eastAsia="Calibri" w:cs="Calibri"/>
                <w:sz w:val="20"/>
                <w:szCs w:val="20"/>
                <w:lang w:val="tr-TR"/>
              </w:rPr>
              <w:t xml:space="preserve"> </w:t>
            </w:r>
            <w:r w:rsidRPr="0053423A">
              <w:rPr>
                <w:rFonts w:eastAsia="Calibri" w:cs="Calibri"/>
                <w:sz w:val="20"/>
                <w:szCs w:val="20"/>
              </w:rPr>
              <w:t>մշակույթի</w:t>
            </w:r>
            <w:r w:rsidRPr="0053423A">
              <w:rPr>
                <w:rFonts w:eastAsia="Calibri" w:cs="Calibri"/>
                <w:sz w:val="20"/>
                <w:szCs w:val="20"/>
                <w:lang w:val="tr-TR"/>
              </w:rPr>
              <w:t xml:space="preserve"> </w:t>
            </w:r>
            <w:r w:rsidRPr="0053423A">
              <w:rPr>
                <w:rFonts w:eastAsia="Calibri" w:cs="Calibri"/>
                <w:sz w:val="20"/>
                <w:szCs w:val="20"/>
              </w:rPr>
              <w:t>նախարարությունն</w:t>
            </w:r>
            <w:r w:rsidRPr="0053423A">
              <w:rPr>
                <w:rFonts w:eastAsia="Calibri" w:cs="Calibri"/>
                <w:sz w:val="20"/>
                <w:szCs w:val="20"/>
                <w:lang w:val="tr-TR"/>
              </w:rPr>
              <w:t xml:space="preserve"> </w:t>
            </w:r>
            <w:r w:rsidRPr="0053423A">
              <w:rPr>
                <w:rFonts w:eastAsia="Calibri" w:cs="Calibri"/>
                <w:sz w:val="20"/>
                <w:szCs w:val="20"/>
              </w:rPr>
              <w:t>իրականացնում</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ՅՈՒՆԵՍԿՕ</w:t>
            </w:r>
            <w:r w:rsidRPr="0053423A">
              <w:rPr>
                <w:rFonts w:eastAsia="Calibri" w:cs="Calibri"/>
                <w:sz w:val="20"/>
                <w:szCs w:val="20"/>
                <w:lang w:val="tr-TR"/>
              </w:rPr>
              <w:t>-</w:t>
            </w:r>
            <w:r w:rsidRPr="0053423A">
              <w:rPr>
                <w:rFonts w:eastAsia="Calibri" w:cs="Calibri"/>
                <w:sz w:val="20"/>
                <w:szCs w:val="20"/>
              </w:rPr>
              <w:t>ի</w:t>
            </w:r>
            <w:r w:rsidRPr="0053423A">
              <w:rPr>
                <w:rFonts w:eastAsia="Calibri" w:cs="Calibri"/>
                <w:sz w:val="20"/>
                <w:szCs w:val="20"/>
                <w:lang w:val="tr-TR"/>
              </w:rPr>
              <w:t xml:space="preserve">, </w:t>
            </w:r>
            <w:r w:rsidRPr="0053423A">
              <w:rPr>
                <w:rFonts w:eastAsia="Calibri" w:cs="Calibri"/>
                <w:sz w:val="20"/>
                <w:szCs w:val="20"/>
              </w:rPr>
              <w:t>ԵՄ</w:t>
            </w:r>
            <w:r w:rsidRPr="0053423A">
              <w:rPr>
                <w:rFonts w:eastAsia="Calibri" w:cs="Calibri"/>
                <w:sz w:val="20"/>
                <w:szCs w:val="20"/>
                <w:lang w:val="tr-TR"/>
              </w:rPr>
              <w:t>-</w:t>
            </w:r>
            <w:r w:rsidRPr="0053423A">
              <w:rPr>
                <w:rFonts w:eastAsia="Calibri" w:cs="Calibri"/>
                <w:sz w:val="20"/>
                <w:szCs w:val="20"/>
              </w:rPr>
              <w:t>ի</w:t>
            </w:r>
            <w:r w:rsidRPr="0053423A">
              <w:rPr>
                <w:rFonts w:eastAsia="Calibri" w:cs="Calibri"/>
                <w:sz w:val="20"/>
                <w:szCs w:val="20"/>
                <w:lang w:val="tr-TR"/>
              </w:rPr>
              <w:t xml:space="preserve">, </w:t>
            </w:r>
            <w:r w:rsidRPr="0053423A">
              <w:rPr>
                <w:rFonts w:eastAsia="Calibri" w:cs="Calibri"/>
                <w:sz w:val="20"/>
                <w:szCs w:val="20"/>
              </w:rPr>
              <w:t>ԵԽ</w:t>
            </w:r>
            <w:r w:rsidRPr="0053423A">
              <w:rPr>
                <w:rFonts w:eastAsia="Calibri" w:cs="Calibri"/>
                <w:sz w:val="20"/>
                <w:szCs w:val="20"/>
                <w:lang w:val="tr-TR"/>
              </w:rPr>
              <w:t>-</w:t>
            </w:r>
            <w:r w:rsidRPr="0053423A">
              <w:rPr>
                <w:rFonts w:eastAsia="Calibri" w:cs="Calibri"/>
                <w:sz w:val="20"/>
                <w:szCs w:val="20"/>
              </w:rPr>
              <w:t>ի</w:t>
            </w:r>
            <w:r w:rsidRPr="0053423A">
              <w:rPr>
                <w:rFonts w:eastAsia="Calibri" w:cs="Calibri"/>
                <w:sz w:val="20"/>
                <w:szCs w:val="20"/>
                <w:lang w:val="tr-TR"/>
              </w:rPr>
              <w:t xml:space="preserve">, </w:t>
            </w:r>
            <w:r w:rsidRPr="0053423A">
              <w:rPr>
                <w:rFonts w:eastAsia="Calibri" w:cs="Calibri"/>
                <w:sz w:val="20"/>
                <w:szCs w:val="20"/>
              </w:rPr>
              <w:t>ԱՊՀ</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ԵԱՏՄ</w:t>
            </w:r>
            <w:r w:rsidRPr="0053423A">
              <w:rPr>
                <w:rFonts w:eastAsia="Calibri" w:cs="Calibri"/>
                <w:sz w:val="20"/>
                <w:szCs w:val="20"/>
                <w:lang w:val="tr-TR"/>
              </w:rPr>
              <w:t xml:space="preserve"> </w:t>
            </w:r>
            <w:r w:rsidRPr="0053423A">
              <w:rPr>
                <w:rFonts w:eastAsia="Calibri" w:cs="Calibri"/>
                <w:sz w:val="20"/>
                <w:szCs w:val="20"/>
              </w:rPr>
              <w:t>կառույցների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բնագավառում</w:t>
            </w:r>
            <w:r w:rsidRPr="0053423A">
              <w:rPr>
                <w:rFonts w:eastAsia="Calibri" w:cs="Calibri"/>
                <w:sz w:val="20"/>
                <w:szCs w:val="20"/>
                <w:lang w:val="tr-TR"/>
              </w:rPr>
              <w:t xml:space="preserve"> </w:t>
            </w:r>
            <w:r w:rsidRPr="0053423A">
              <w:rPr>
                <w:rFonts w:eastAsia="Calibri" w:cs="Calibri"/>
                <w:sz w:val="20"/>
                <w:szCs w:val="20"/>
              </w:rPr>
              <w:t>ստանձնած</w:t>
            </w:r>
            <w:r w:rsidRPr="0053423A">
              <w:rPr>
                <w:rFonts w:eastAsia="Calibri" w:cs="Calibri"/>
                <w:sz w:val="20"/>
                <w:szCs w:val="20"/>
                <w:lang w:val="tr-TR"/>
              </w:rPr>
              <w:t xml:space="preserve"> </w:t>
            </w:r>
            <w:r w:rsidRPr="0053423A">
              <w:rPr>
                <w:rFonts w:eastAsia="Calibri" w:cs="Calibri"/>
                <w:sz w:val="20"/>
                <w:szCs w:val="20"/>
              </w:rPr>
              <w:t>պարտավորությունները</w:t>
            </w:r>
            <w:r w:rsidRPr="0053423A">
              <w:rPr>
                <w:rFonts w:eastAsia="Calibri" w:cs="Calibri"/>
                <w:sz w:val="20"/>
                <w:szCs w:val="20"/>
                <w:lang w:val="tr-TR"/>
              </w:rPr>
              <w:t xml:space="preserve">, </w:t>
            </w:r>
            <w:r w:rsidRPr="0053423A">
              <w:rPr>
                <w:rFonts w:eastAsia="Calibri" w:cs="Calibri"/>
                <w:sz w:val="20"/>
                <w:szCs w:val="20"/>
              </w:rPr>
              <w:t>ինչը</w:t>
            </w:r>
            <w:r w:rsidRPr="0053423A">
              <w:rPr>
                <w:rFonts w:eastAsia="Calibri" w:cs="Calibri"/>
                <w:sz w:val="20"/>
                <w:szCs w:val="20"/>
                <w:lang w:val="tr-TR"/>
              </w:rPr>
              <w:t xml:space="preserve"> </w:t>
            </w:r>
            <w:r w:rsidRPr="0053423A">
              <w:rPr>
                <w:rFonts w:eastAsia="Calibri" w:cs="Calibri"/>
                <w:sz w:val="20"/>
                <w:szCs w:val="20"/>
              </w:rPr>
              <w:t>շատ</w:t>
            </w:r>
            <w:r w:rsidRPr="0053423A">
              <w:rPr>
                <w:rFonts w:eastAsia="Calibri" w:cs="Calibri"/>
                <w:sz w:val="20"/>
                <w:szCs w:val="20"/>
                <w:lang w:val="tr-TR"/>
              </w:rPr>
              <w:t xml:space="preserve"> </w:t>
            </w:r>
            <w:r w:rsidRPr="0053423A">
              <w:rPr>
                <w:rFonts w:eastAsia="Calibri" w:cs="Calibri"/>
                <w:sz w:val="20"/>
                <w:szCs w:val="20"/>
              </w:rPr>
              <w:t>կարևոր</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միջազգային</w:t>
            </w:r>
            <w:r w:rsidRPr="0053423A">
              <w:rPr>
                <w:rFonts w:eastAsia="Calibri" w:cs="Calibri"/>
                <w:sz w:val="20"/>
                <w:szCs w:val="20"/>
                <w:lang w:val="tr-TR"/>
              </w:rPr>
              <w:t xml:space="preserve"> </w:t>
            </w:r>
            <w:r w:rsidRPr="0053423A">
              <w:rPr>
                <w:rFonts w:eastAsia="Calibri" w:cs="Calibri"/>
                <w:sz w:val="20"/>
                <w:szCs w:val="20"/>
              </w:rPr>
              <w:t>ճանաչելիության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ժառանգության</w:t>
            </w:r>
            <w:r w:rsidRPr="0053423A">
              <w:rPr>
                <w:rFonts w:eastAsia="Calibri" w:cs="Calibri"/>
                <w:sz w:val="20"/>
                <w:szCs w:val="20"/>
                <w:lang w:val="tr-TR"/>
              </w:rPr>
              <w:t xml:space="preserve"> </w:t>
            </w:r>
            <w:r w:rsidRPr="0053423A">
              <w:rPr>
                <w:rFonts w:eastAsia="Calibri" w:cs="Calibri"/>
                <w:sz w:val="20"/>
                <w:szCs w:val="20"/>
              </w:rPr>
              <w:t>պահպանման</w:t>
            </w:r>
            <w:r w:rsidRPr="0053423A">
              <w:rPr>
                <w:rFonts w:eastAsia="Calibri" w:cs="Calibri"/>
                <w:sz w:val="20"/>
                <w:szCs w:val="20"/>
                <w:lang w:val="tr-TR"/>
              </w:rPr>
              <w:t xml:space="preserve">, </w:t>
            </w:r>
            <w:r w:rsidRPr="0053423A">
              <w:rPr>
                <w:rFonts w:eastAsia="Calibri" w:cs="Calibri"/>
                <w:sz w:val="20"/>
                <w:szCs w:val="20"/>
              </w:rPr>
              <w:t>հանրահռչակման</w:t>
            </w:r>
            <w:r w:rsidRPr="0053423A">
              <w:rPr>
                <w:rFonts w:eastAsia="Calibri" w:cs="Calibri"/>
                <w:sz w:val="20"/>
                <w:szCs w:val="20"/>
                <w:lang w:val="tr-TR"/>
              </w:rPr>
              <w:t xml:space="preserve">, </w:t>
            </w:r>
            <w:r w:rsidRPr="0053423A">
              <w:rPr>
                <w:rFonts w:eastAsia="Calibri" w:cs="Calibri"/>
                <w:sz w:val="20"/>
                <w:szCs w:val="20"/>
              </w:rPr>
              <w:t>ստեղծարար</w:t>
            </w:r>
            <w:r w:rsidRPr="0053423A">
              <w:rPr>
                <w:rFonts w:eastAsia="Calibri" w:cs="Calibri"/>
                <w:sz w:val="20"/>
                <w:szCs w:val="20"/>
                <w:lang w:val="tr-TR"/>
              </w:rPr>
              <w:t xml:space="preserve"> </w:t>
            </w:r>
            <w:r w:rsidRPr="0053423A">
              <w:rPr>
                <w:rFonts w:eastAsia="Calibri" w:cs="Calibri"/>
                <w:sz w:val="20"/>
                <w:szCs w:val="20"/>
              </w:rPr>
              <w:t>ինդուստրիայի</w:t>
            </w:r>
            <w:r w:rsidRPr="0053423A">
              <w:rPr>
                <w:rFonts w:eastAsia="Calibri" w:cs="Calibri"/>
                <w:sz w:val="20"/>
                <w:szCs w:val="20"/>
                <w:lang w:val="tr-TR"/>
              </w:rPr>
              <w:t xml:space="preserve"> </w:t>
            </w:r>
            <w:r w:rsidRPr="0053423A">
              <w:rPr>
                <w:rFonts w:eastAsia="Calibri" w:cs="Calibri"/>
                <w:sz w:val="20"/>
                <w:szCs w:val="20"/>
              </w:rPr>
              <w:t>զարգացման</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 xml:space="preserve">: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rPr>
                <w:rFonts w:eastAsia="Calibri" w:cs="Calibri"/>
                <w:b/>
                <w:sz w:val="20"/>
                <w:szCs w:val="20"/>
                <w:lang w:val="tr-TR"/>
              </w:rPr>
            </w:pPr>
          </w:p>
          <w:p w:rsidR="00A67B6B" w:rsidRPr="0053423A" w:rsidRDefault="00A67B6B" w:rsidP="001F6D5D">
            <w:pPr>
              <w:numPr>
                <w:ilvl w:val="1"/>
                <w:numId w:val="230"/>
              </w:numPr>
              <w:tabs>
                <w:tab w:val="left" w:pos="508"/>
              </w:tabs>
              <w:spacing w:after="0" w:line="276" w:lineRule="auto"/>
              <w:jc w:val="both"/>
              <w:rPr>
                <w:rFonts w:eastAsia="Calibri" w:cs="Calibri"/>
                <w:b/>
                <w:sz w:val="20"/>
                <w:szCs w:val="20"/>
                <w:lang w:val="tr-TR"/>
              </w:rPr>
            </w:pPr>
            <w:r w:rsidRPr="0053423A">
              <w:rPr>
                <w:rFonts w:eastAsia="Calibri" w:cs="Calibri"/>
                <w:b/>
                <w:sz w:val="20"/>
                <w:szCs w:val="20"/>
              </w:rPr>
              <w:t>Կարգավորման</w:t>
            </w:r>
            <w:r w:rsidRPr="0053423A">
              <w:rPr>
                <w:rFonts w:eastAsia="Calibri" w:cs="Calibri"/>
                <w:b/>
                <w:sz w:val="20"/>
                <w:szCs w:val="20"/>
                <w:lang w:val="tr-TR"/>
              </w:rPr>
              <w:t xml:space="preserve"> </w:t>
            </w:r>
            <w:r w:rsidRPr="0053423A">
              <w:rPr>
                <w:rFonts w:eastAsia="Calibri" w:cs="Calibri"/>
                <w:b/>
                <w:sz w:val="20"/>
                <w:szCs w:val="20"/>
              </w:rPr>
              <w:t>հարաբերությունների</w:t>
            </w:r>
            <w:r w:rsidRPr="0053423A">
              <w:rPr>
                <w:rFonts w:eastAsia="Calibri" w:cs="Calibri"/>
                <w:b/>
                <w:sz w:val="20"/>
                <w:szCs w:val="20"/>
                <w:lang w:val="tr-TR"/>
              </w:rPr>
              <w:t xml:space="preserve"> </w:t>
            </w:r>
            <w:r w:rsidRPr="0053423A">
              <w:rPr>
                <w:rFonts w:eastAsia="Calibri" w:cs="Calibri"/>
                <w:b/>
                <w:sz w:val="20"/>
                <w:szCs w:val="20"/>
              </w:rPr>
              <w:t>ներկա</w:t>
            </w:r>
            <w:r w:rsidRPr="0053423A">
              <w:rPr>
                <w:rFonts w:eastAsia="Calibri" w:cs="Calibri"/>
                <w:b/>
                <w:sz w:val="20"/>
                <w:szCs w:val="20"/>
                <w:lang w:val="tr-TR"/>
              </w:rPr>
              <w:t xml:space="preserve"> </w:t>
            </w:r>
            <w:r w:rsidRPr="0053423A">
              <w:rPr>
                <w:rFonts w:eastAsia="Calibri" w:cs="Calibri"/>
                <w:b/>
                <w:sz w:val="20"/>
                <w:szCs w:val="20"/>
              </w:rPr>
              <w:t>վիճակը</w:t>
            </w:r>
            <w:r w:rsidRPr="0053423A">
              <w:rPr>
                <w:rFonts w:eastAsia="Calibri" w:cs="Calibri"/>
                <w:b/>
                <w:sz w:val="20"/>
                <w:szCs w:val="20"/>
                <w:lang w:val="tr-TR"/>
              </w:rPr>
              <w:t xml:space="preserve"> </w:t>
            </w:r>
            <w:r w:rsidRPr="0053423A">
              <w:rPr>
                <w:rFonts w:eastAsia="Calibri" w:cs="Calibri"/>
                <w:b/>
                <w:sz w:val="20"/>
                <w:szCs w:val="20"/>
              </w:rPr>
              <w:t>և</w:t>
            </w:r>
            <w:r w:rsidRPr="0053423A">
              <w:rPr>
                <w:rFonts w:eastAsia="Calibri" w:cs="Calibri"/>
                <w:b/>
                <w:sz w:val="20"/>
                <w:szCs w:val="20"/>
                <w:lang w:val="tr-TR"/>
              </w:rPr>
              <w:t xml:space="preserve"> </w:t>
            </w:r>
            <w:r w:rsidRPr="0053423A">
              <w:rPr>
                <w:rFonts w:eastAsia="Calibri" w:cs="Calibri"/>
                <w:b/>
                <w:sz w:val="20"/>
                <w:szCs w:val="20"/>
              </w:rPr>
              <w:t>առկա</w:t>
            </w:r>
            <w:r w:rsidRPr="0053423A">
              <w:rPr>
                <w:rFonts w:eastAsia="Calibri" w:cs="Calibri"/>
                <w:b/>
                <w:sz w:val="20"/>
                <w:szCs w:val="20"/>
                <w:lang w:val="tr-TR"/>
              </w:rPr>
              <w:t xml:space="preserve"> </w:t>
            </w:r>
            <w:r w:rsidRPr="0053423A">
              <w:rPr>
                <w:rFonts w:eastAsia="Calibri" w:cs="Calibri"/>
                <w:b/>
                <w:sz w:val="20"/>
                <w:szCs w:val="20"/>
              </w:rPr>
              <w:t>խնդիրները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Ներկայում</w:t>
            </w:r>
            <w:r w:rsidRPr="0053423A">
              <w:rPr>
                <w:rFonts w:eastAsia="Calibri" w:cs="Calibri"/>
                <w:sz w:val="20"/>
                <w:szCs w:val="20"/>
                <w:lang w:val="tr-TR"/>
              </w:rPr>
              <w:t xml:space="preserve"> </w:t>
            </w:r>
            <w:r w:rsidRPr="0053423A">
              <w:rPr>
                <w:rFonts w:eastAsia="Calibri" w:cs="Calibri"/>
                <w:sz w:val="20"/>
                <w:szCs w:val="20"/>
              </w:rPr>
              <w:t>մշակույթի</w:t>
            </w:r>
            <w:r w:rsidRPr="0053423A">
              <w:rPr>
                <w:rFonts w:eastAsia="Calibri" w:cs="Calibri"/>
                <w:sz w:val="20"/>
                <w:szCs w:val="20"/>
                <w:lang w:val="tr-TR"/>
              </w:rPr>
              <w:t xml:space="preserve"> </w:t>
            </w:r>
            <w:r w:rsidRPr="0053423A">
              <w:rPr>
                <w:rFonts w:eastAsia="Calibri" w:cs="Calibri"/>
                <w:sz w:val="20"/>
                <w:szCs w:val="20"/>
              </w:rPr>
              <w:t>նախարարությունն</w:t>
            </w:r>
            <w:r w:rsidRPr="0053423A">
              <w:rPr>
                <w:rFonts w:eastAsia="Calibri" w:cs="Calibri"/>
                <w:sz w:val="20"/>
                <w:szCs w:val="20"/>
                <w:lang w:val="tr-TR"/>
              </w:rPr>
              <w:t xml:space="preserve"> </w:t>
            </w:r>
            <w:r w:rsidRPr="0053423A">
              <w:rPr>
                <w:rFonts w:eastAsia="Calibri" w:cs="Calibri"/>
                <w:sz w:val="20"/>
                <w:szCs w:val="20"/>
              </w:rPr>
              <w:t>աշխատում</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ՅՈՒՆԵՍԿՕ</w:t>
            </w:r>
            <w:r w:rsidRPr="0053423A">
              <w:rPr>
                <w:rFonts w:eastAsia="Calibri" w:cs="Calibri"/>
                <w:sz w:val="20"/>
                <w:szCs w:val="20"/>
                <w:lang w:val="tr-TR"/>
              </w:rPr>
              <w:t>-</w:t>
            </w:r>
            <w:r w:rsidRPr="0053423A">
              <w:rPr>
                <w:rFonts w:eastAsia="Calibri" w:cs="Calibri"/>
                <w:sz w:val="20"/>
                <w:szCs w:val="20"/>
              </w:rPr>
              <w:t>յի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վավերացրած</w:t>
            </w:r>
            <w:r w:rsidRPr="0053423A">
              <w:rPr>
                <w:rFonts w:eastAsia="Calibri" w:cs="Calibri"/>
                <w:sz w:val="20"/>
                <w:szCs w:val="20"/>
                <w:lang w:val="tr-TR"/>
              </w:rPr>
              <w:t xml:space="preserve"> </w:t>
            </w:r>
            <w:r w:rsidRPr="0053423A">
              <w:rPr>
                <w:rFonts w:eastAsia="Calibri" w:cs="Calibri"/>
                <w:sz w:val="20"/>
                <w:szCs w:val="20"/>
              </w:rPr>
              <w:t>կոնվենցիաների</w:t>
            </w:r>
            <w:r w:rsidRPr="0053423A">
              <w:rPr>
                <w:rFonts w:eastAsia="Calibri" w:cs="Calibri"/>
                <w:sz w:val="20"/>
                <w:szCs w:val="20"/>
                <w:lang w:val="tr-TR"/>
              </w:rPr>
              <w:t xml:space="preserve"> </w:t>
            </w:r>
            <w:r w:rsidRPr="0053423A">
              <w:rPr>
                <w:rFonts w:eastAsia="Calibri" w:cs="Calibri"/>
                <w:sz w:val="20"/>
                <w:szCs w:val="20"/>
              </w:rPr>
              <w:t>շրջանակներում</w:t>
            </w:r>
            <w:r w:rsidRPr="0053423A">
              <w:rPr>
                <w:rFonts w:eastAsia="Calibri" w:cs="Calibri"/>
                <w:sz w:val="20"/>
                <w:szCs w:val="20"/>
                <w:lang w:val="tr-TR"/>
              </w:rPr>
              <w:t xml:space="preserve"> </w:t>
            </w:r>
            <w:r w:rsidRPr="0053423A">
              <w:rPr>
                <w:rFonts w:eastAsia="Calibri" w:cs="Calibri"/>
                <w:sz w:val="20"/>
                <w:szCs w:val="20"/>
              </w:rPr>
              <w:t>պարտավորությունների</w:t>
            </w:r>
            <w:r w:rsidRPr="0053423A">
              <w:rPr>
                <w:rFonts w:eastAsia="Calibri" w:cs="Calibri"/>
                <w:sz w:val="20"/>
                <w:szCs w:val="20"/>
                <w:lang w:val="tr-TR"/>
              </w:rPr>
              <w:t xml:space="preserve"> </w:t>
            </w:r>
            <w:r w:rsidRPr="0053423A">
              <w:rPr>
                <w:rFonts w:eastAsia="Calibri" w:cs="Calibri"/>
                <w:sz w:val="20"/>
                <w:szCs w:val="20"/>
              </w:rPr>
              <w:t>իրականացման</w:t>
            </w:r>
            <w:r w:rsidRPr="0053423A">
              <w:rPr>
                <w:rFonts w:eastAsia="Calibri" w:cs="Calibri"/>
                <w:sz w:val="20"/>
                <w:szCs w:val="20"/>
                <w:lang w:val="tr-TR"/>
              </w:rPr>
              <w:t xml:space="preserve">, </w:t>
            </w:r>
            <w:r w:rsidRPr="0053423A">
              <w:rPr>
                <w:rFonts w:eastAsia="Calibri" w:cs="Calibri"/>
                <w:sz w:val="20"/>
                <w:szCs w:val="20"/>
              </w:rPr>
              <w:t>ինչպես</w:t>
            </w:r>
            <w:r w:rsidRPr="0053423A">
              <w:rPr>
                <w:rFonts w:eastAsia="Calibri" w:cs="Calibri"/>
                <w:sz w:val="20"/>
                <w:szCs w:val="20"/>
                <w:lang w:val="tr-TR"/>
              </w:rPr>
              <w:t xml:space="preserve"> </w:t>
            </w:r>
            <w:r w:rsidRPr="0053423A">
              <w:rPr>
                <w:rFonts w:eastAsia="Calibri" w:cs="Calibri"/>
                <w:sz w:val="20"/>
                <w:szCs w:val="20"/>
              </w:rPr>
              <w:t>նաև</w:t>
            </w:r>
            <w:r w:rsidRPr="0053423A">
              <w:rPr>
                <w:rFonts w:eastAsia="Calibri" w:cs="Calibri"/>
                <w:sz w:val="20"/>
                <w:szCs w:val="20"/>
                <w:lang w:val="tr-TR"/>
              </w:rPr>
              <w:t xml:space="preserve"> </w:t>
            </w:r>
            <w:r w:rsidRPr="0053423A">
              <w:rPr>
                <w:rFonts w:eastAsia="Calibri" w:cs="Calibri"/>
                <w:sz w:val="20"/>
                <w:szCs w:val="20"/>
              </w:rPr>
              <w:t>հայկական</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ժառանգությունը</w:t>
            </w:r>
            <w:r w:rsidRPr="0053423A">
              <w:rPr>
                <w:rFonts w:eastAsia="Calibri" w:cs="Calibri"/>
                <w:sz w:val="20"/>
                <w:szCs w:val="20"/>
                <w:lang w:val="tr-TR"/>
              </w:rPr>
              <w:t xml:space="preserve"> /</w:t>
            </w:r>
            <w:r w:rsidRPr="0053423A">
              <w:rPr>
                <w:rFonts w:eastAsia="Calibri" w:cs="Calibri"/>
                <w:sz w:val="20"/>
                <w:szCs w:val="20"/>
              </w:rPr>
              <w:t>նյութական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ոչ</w:t>
            </w:r>
            <w:r w:rsidRPr="0053423A">
              <w:rPr>
                <w:rFonts w:eastAsia="Calibri" w:cs="Calibri"/>
                <w:sz w:val="20"/>
                <w:szCs w:val="20"/>
                <w:lang w:val="tr-TR"/>
              </w:rPr>
              <w:t xml:space="preserve"> </w:t>
            </w:r>
            <w:r w:rsidRPr="0053423A">
              <w:rPr>
                <w:rFonts w:eastAsia="Calibri" w:cs="Calibri"/>
                <w:sz w:val="20"/>
                <w:szCs w:val="20"/>
              </w:rPr>
              <w:t>նյութական</w:t>
            </w:r>
            <w:r w:rsidRPr="0053423A">
              <w:rPr>
                <w:rFonts w:eastAsia="Calibri" w:cs="Calibri"/>
                <w:sz w:val="20"/>
                <w:szCs w:val="20"/>
                <w:lang w:val="tr-TR"/>
              </w:rPr>
              <w:t xml:space="preserve">/ </w:t>
            </w:r>
            <w:r w:rsidRPr="0053423A">
              <w:rPr>
                <w:rFonts w:eastAsia="Calibri" w:cs="Calibri"/>
                <w:sz w:val="20"/>
                <w:szCs w:val="20"/>
              </w:rPr>
              <w:t>համապատասխան</w:t>
            </w:r>
            <w:r w:rsidRPr="0053423A">
              <w:rPr>
                <w:rFonts w:eastAsia="Calibri" w:cs="Calibri"/>
                <w:sz w:val="20"/>
                <w:szCs w:val="20"/>
                <w:lang w:val="tr-TR"/>
              </w:rPr>
              <w:t xml:space="preserve"> </w:t>
            </w:r>
            <w:r w:rsidRPr="0053423A">
              <w:rPr>
                <w:rFonts w:eastAsia="Calibri" w:cs="Calibri"/>
                <w:sz w:val="20"/>
                <w:szCs w:val="20"/>
              </w:rPr>
              <w:t>ցանկերում</w:t>
            </w:r>
            <w:r w:rsidRPr="0053423A">
              <w:rPr>
                <w:rFonts w:eastAsia="Calibri" w:cs="Calibri"/>
                <w:sz w:val="20"/>
                <w:szCs w:val="20"/>
                <w:lang w:val="tr-TR"/>
              </w:rPr>
              <w:t xml:space="preserve"> </w:t>
            </w:r>
            <w:r w:rsidRPr="0053423A">
              <w:rPr>
                <w:rFonts w:eastAsia="Calibri" w:cs="Calibri"/>
                <w:sz w:val="20"/>
                <w:szCs w:val="20"/>
              </w:rPr>
              <w:t>ներառելու</w:t>
            </w:r>
            <w:r w:rsidRPr="0053423A">
              <w:rPr>
                <w:rFonts w:eastAsia="Calibri" w:cs="Calibri"/>
                <w:sz w:val="20"/>
                <w:szCs w:val="20"/>
                <w:lang w:val="tr-TR"/>
              </w:rPr>
              <w:t xml:space="preserve">, </w:t>
            </w:r>
            <w:r w:rsidRPr="0053423A">
              <w:rPr>
                <w:rFonts w:eastAsia="Calibri" w:cs="Calibri"/>
                <w:sz w:val="20"/>
                <w:szCs w:val="20"/>
              </w:rPr>
              <w:t>պահպանելու</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համաշխարհային</w:t>
            </w:r>
            <w:r w:rsidRPr="0053423A">
              <w:rPr>
                <w:rFonts w:eastAsia="Calibri" w:cs="Calibri"/>
                <w:sz w:val="20"/>
                <w:szCs w:val="20"/>
                <w:lang w:val="tr-TR"/>
              </w:rPr>
              <w:t xml:space="preserve"> </w:t>
            </w:r>
            <w:r w:rsidRPr="0053423A">
              <w:rPr>
                <w:rFonts w:eastAsia="Calibri" w:cs="Calibri"/>
                <w:sz w:val="20"/>
                <w:szCs w:val="20"/>
              </w:rPr>
              <w:t>ճանաչելիություն</w:t>
            </w:r>
            <w:r w:rsidRPr="0053423A">
              <w:rPr>
                <w:rFonts w:eastAsia="Calibri" w:cs="Calibri"/>
                <w:sz w:val="20"/>
                <w:szCs w:val="20"/>
                <w:lang w:val="tr-TR"/>
              </w:rPr>
              <w:t xml:space="preserve"> </w:t>
            </w:r>
            <w:r w:rsidRPr="0053423A">
              <w:rPr>
                <w:rFonts w:eastAsia="Calibri" w:cs="Calibri"/>
                <w:sz w:val="20"/>
                <w:szCs w:val="20"/>
              </w:rPr>
              <w:t>ապահովելու</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ԵՄ</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համագործակցության</w:t>
            </w:r>
            <w:r w:rsidRPr="0053423A">
              <w:rPr>
                <w:rFonts w:eastAsia="Calibri" w:cs="Calibri"/>
                <w:sz w:val="20"/>
                <w:szCs w:val="20"/>
                <w:lang w:val="tr-TR"/>
              </w:rPr>
              <w:t xml:space="preserve"> </w:t>
            </w:r>
            <w:r w:rsidRPr="0053423A">
              <w:rPr>
                <w:rFonts w:eastAsia="Calibri" w:cs="Calibri"/>
                <w:sz w:val="20"/>
                <w:szCs w:val="20"/>
              </w:rPr>
              <w:t>համատեքստում</w:t>
            </w:r>
            <w:r w:rsidRPr="0053423A">
              <w:rPr>
                <w:rFonts w:eastAsia="Calibri" w:cs="Calibri"/>
                <w:sz w:val="20"/>
                <w:szCs w:val="20"/>
                <w:lang w:val="tr-TR"/>
              </w:rPr>
              <w:t xml:space="preserve"> </w:t>
            </w:r>
            <w:r w:rsidRPr="0053423A">
              <w:rPr>
                <w:rFonts w:eastAsia="Calibri" w:cs="Calibri"/>
                <w:sz w:val="20"/>
                <w:szCs w:val="20"/>
              </w:rPr>
              <w:t>այս</w:t>
            </w:r>
            <w:r w:rsidRPr="0053423A">
              <w:rPr>
                <w:rFonts w:eastAsia="Calibri" w:cs="Calibri"/>
                <w:sz w:val="20"/>
                <w:szCs w:val="20"/>
                <w:lang w:val="tr-TR"/>
              </w:rPr>
              <w:t xml:space="preserve"> </w:t>
            </w:r>
            <w:r w:rsidRPr="0053423A">
              <w:rPr>
                <w:rFonts w:eastAsia="Calibri" w:cs="Calibri"/>
                <w:sz w:val="20"/>
                <w:szCs w:val="20"/>
              </w:rPr>
              <w:t>տարիներին</w:t>
            </w:r>
            <w:r w:rsidRPr="0053423A">
              <w:rPr>
                <w:rFonts w:eastAsia="Calibri" w:cs="Calibri"/>
                <w:sz w:val="20"/>
                <w:szCs w:val="20"/>
                <w:lang w:val="tr-TR"/>
              </w:rPr>
              <w:t xml:space="preserve"> </w:t>
            </w:r>
            <w:r w:rsidRPr="0053423A">
              <w:rPr>
                <w:rFonts w:eastAsia="Calibri" w:cs="Calibri"/>
                <w:sz w:val="20"/>
                <w:szCs w:val="20"/>
              </w:rPr>
              <w:t>մեծապես</w:t>
            </w:r>
            <w:r w:rsidRPr="0053423A">
              <w:rPr>
                <w:rFonts w:eastAsia="Calibri" w:cs="Calibri"/>
                <w:sz w:val="20"/>
                <w:szCs w:val="20"/>
                <w:lang w:val="tr-TR"/>
              </w:rPr>
              <w:t xml:space="preserve"> </w:t>
            </w:r>
            <w:r w:rsidRPr="0053423A">
              <w:rPr>
                <w:rFonts w:eastAsia="Calibri" w:cs="Calibri"/>
                <w:sz w:val="20"/>
                <w:szCs w:val="20"/>
              </w:rPr>
              <w:t>կարևորվում</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ստեղծարար</w:t>
            </w:r>
            <w:r w:rsidRPr="0053423A">
              <w:rPr>
                <w:rFonts w:eastAsia="Calibri" w:cs="Calibri"/>
                <w:sz w:val="20"/>
                <w:szCs w:val="20"/>
                <w:lang w:val="tr-TR"/>
              </w:rPr>
              <w:t xml:space="preserve"> արտադրություններ</w:t>
            </w:r>
            <w:r w:rsidRPr="0053423A">
              <w:rPr>
                <w:rFonts w:eastAsia="Calibri" w:cs="Calibri"/>
                <w:sz w:val="20"/>
                <w:szCs w:val="20"/>
              </w:rPr>
              <w:t>ի</w:t>
            </w:r>
            <w:r w:rsidRPr="0053423A">
              <w:rPr>
                <w:rFonts w:eastAsia="Calibri" w:cs="Calibri"/>
                <w:sz w:val="20"/>
                <w:szCs w:val="20"/>
                <w:lang w:val="tr-TR"/>
              </w:rPr>
              <w:t xml:space="preserve"> </w:t>
            </w:r>
            <w:r w:rsidRPr="0053423A">
              <w:rPr>
                <w:rFonts w:eastAsia="Calibri" w:cs="Calibri"/>
                <w:sz w:val="20"/>
                <w:szCs w:val="20"/>
              </w:rPr>
              <w:t>զարգացումը</w:t>
            </w:r>
            <w:r w:rsidRPr="0053423A">
              <w:rPr>
                <w:rFonts w:eastAsia="Calibri" w:cs="Calibri"/>
                <w:sz w:val="20"/>
                <w:szCs w:val="20"/>
                <w:lang w:val="tr-TR"/>
              </w:rPr>
              <w:t xml:space="preserve"> «</w:t>
            </w:r>
            <w:r w:rsidRPr="0053423A">
              <w:rPr>
                <w:rFonts w:eastAsia="Calibri" w:cs="Calibri"/>
                <w:sz w:val="20"/>
                <w:szCs w:val="20"/>
              </w:rPr>
              <w:t>Ստեղծագործ</w:t>
            </w:r>
            <w:r w:rsidRPr="0053423A">
              <w:rPr>
                <w:rFonts w:eastAsia="Calibri" w:cs="Calibri"/>
                <w:sz w:val="20"/>
                <w:szCs w:val="20"/>
                <w:lang w:val="tr-TR"/>
              </w:rPr>
              <w:t xml:space="preserve"> </w:t>
            </w:r>
            <w:r w:rsidRPr="0053423A">
              <w:rPr>
                <w:rFonts w:eastAsia="Calibri" w:cs="Calibri"/>
                <w:sz w:val="20"/>
                <w:szCs w:val="20"/>
              </w:rPr>
              <w:t>Եվրոպա</w:t>
            </w:r>
            <w:r w:rsidRPr="0053423A">
              <w:rPr>
                <w:rFonts w:eastAsia="Calibri" w:cs="Calibri"/>
                <w:sz w:val="20"/>
                <w:szCs w:val="20"/>
                <w:lang w:val="tr-TR"/>
              </w:rPr>
              <w:t xml:space="preserve">» </w:t>
            </w:r>
            <w:r w:rsidRPr="0053423A">
              <w:rPr>
                <w:rFonts w:eastAsia="Calibri" w:cs="Calibri"/>
                <w:sz w:val="20"/>
                <w:szCs w:val="20"/>
              </w:rPr>
              <w:t>ծրագրի</w:t>
            </w:r>
            <w:r w:rsidRPr="0053423A">
              <w:rPr>
                <w:rFonts w:eastAsia="Calibri" w:cs="Calibri"/>
                <w:sz w:val="20"/>
                <w:szCs w:val="20"/>
                <w:lang w:val="tr-TR"/>
              </w:rPr>
              <w:t xml:space="preserve"> </w:t>
            </w:r>
            <w:r w:rsidRPr="0053423A">
              <w:rPr>
                <w:rFonts w:eastAsia="Calibri" w:cs="Calibri"/>
                <w:sz w:val="20"/>
                <w:szCs w:val="20"/>
              </w:rPr>
              <w:t>Մշակույթ</w:t>
            </w:r>
            <w:r w:rsidRPr="0053423A">
              <w:rPr>
                <w:rFonts w:eastAsia="Calibri" w:cs="Calibri"/>
                <w:sz w:val="20"/>
                <w:szCs w:val="20"/>
                <w:lang w:val="tr-TR"/>
              </w:rPr>
              <w:t xml:space="preserve"> </w:t>
            </w:r>
            <w:r w:rsidRPr="0053423A">
              <w:rPr>
                <w:rFonts w:eastAsia="Calibri" w:cs="Calibri"/>
                <w:sz w:val="20"/>
                <w:szCs w:val="20"/>
              </w:rPr>
              <w:t>ենթաբաժնի</w:t>
            </w:r>
            <w:r w:rsidRPr="0053423A">
              <w:rPr>
                <w:rFonts w:eastAsia="Calibri" w:cs="Calibri"/>
                <w:sz w:val="20"/>
                <w:szCs w:val="20"/>
                <w:lang w:val="tr-TR"/>
              </w:rPr>
              <w:t xml:space="preserve"> </w:t>
            </w:r>
            <w:r w:rsidRPr="0053423A">
              <w:rPr>
                <w:rFonts w:eastAsia="Calibri" w:cs="Calibri"/>
                <w:sz w:val="20"/>
                <w:szCs w:val="20"/>
              </w:rPr>
              <w:t>շրջանակներում</w:t>
            </w:r>
            <w:r w:rsidRPr="0053423A">
              <w:rPr>
                <w:rFonts w:eastAsia="Calibri" w:cs="Calibri"/>
                <w:sz w:val="20"/>
                <w:szCs w:val="20"/>
                <w:lang w:val="tr-TR"/>
              </w:rPr>
              <w:t xml:space="preserve">: </w:t>
            </w:r>
            <w:r w:rsidRPr="0053423A">
              <w:rPr>
                <w:rFonts w:eastAsia="Calibri" w:cs="Calibri"/>
                <w:sz w:val="20"/>
                <w:szCs w:val="20"/>
              </w:rPr>
              <w:t>ԵԽ</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համագործակցությունն</w:t>
            </w:r>
            <w:r w:rsidRPr="0053423A">
              <w:rPr>
                <w:rFonts w:eastAsia="Calibri" w:cs="Calibri"/>
                <w:sz w:val="20"/>
                <w:szCs w:val="20"/>
                <w:lang w:val="tr-TR"/>
              </w:rPr>
              <w:t xml:space="preserve"> </w:t>
            </w:r>
            <w:r w:rsidRPr="0053423A">
              <w:rPr>
                <w:rFonts w:eastAsia="Calibri" w:cs="Calibri"/>
                <w:sz w:val="20"/>
                <w:szCs w:val="20"/>
              </w:rPr>
              <w:t>իրականացվում</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ինչպես</w:t>
            </w:r>
            <w:r w:rsidRPr="0053423A">
              <w:rPr>
                <w:rFonts w:eastAsia="Calibri" w:cs="Calibri"/>
                <w:sz w:val="20"/>
                <w:szCs w:val="20"/>
                <w:lang w:val="tr-TR"/>
              </w:rPr>
              <w:t xml:space="preserve"> </w:t>
            </w:r>
            <w:r w:rsidRPr="0053423A">
              <w:rPr>
                <w:rFonts w:eastAsia="Calibri" w:cs="Calibri"/>
                <w:sz w:val="20"/>
                <w:szCs w:val="20"/>
              </w:rPr>
              <w:t>ստեղծարար</w:t>
            </w:r>
            <w:r w:rsidRPr="0053423A">
              <w:rPr>
                <w:rFonts w:eastAsia="Calibri" w:cs="Calibri"/>
                <w:sz w:val="20"/>
                <w:szCs w:val="20"/>
                <w:lang w:val="tr-TR"/>
              </w:rPr>
              <w:t xml:space="preserve"> </w:t>
            </w:r>
            <w:r w:rsidRPr="0053423A">
              <w:rPr>
                <w:rFonts w:eastAsia="Calibri" w:cs="Calibri"/>
                <w:sz w:val="20"/>
                <w:szCs w:val="20"/>
              </w:rPr>
              <w:t>ինդուստրիայի</w:t>
            </w:r>
            <w:r w:rsidRPr="0053423A">
              <w:rPr>
                <w:rFonts w:eastAsia="Calibri" w:cs="Calibri"/>
                <w:sz w:val="20"/>
                <w:szCs w:val="20"/>
                <w:lang w:val="tr-TR"/>
              </w:rPr>
              <w:t xml:space="preserve">, </w:t>
            </w:r>
            <w:r w:rsidRPr="0053423A">
              <w:rPr>
                <w:rFonts w:eastAsia="Calibri" w:cs="Calibri"/>
                <w:sz w:val="20"/>
                <w:szCs w:val="20"/>
              </w:rPr>
              <w:t>այնպես</w:t>
            </w:r>
            <w:r w:rsidRPr="0053423A">
              <w:rPr>
                <w:rFonts w:eastAsia="Calibri" w:cs="Calibri"/>
                <w:sz w:val="20"/>
                <w:szCs w:val="20"/>
                <w:lang w:val="tr-TR"/>
              </w:rPr>
              <w:t xml:space="preserve"> </w:t>
            </w:r>
            <w:r w:rsidRPr="0053423A">
              <w:rPr>
                <w:rFonts w:eastAsia="Calibri" w:cs="Calibri"/>
                <w:sz w:val="20"/>
                <w:szCs w:val="20"/>
              </w:rPr>
              <w:t>էլ</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ժառանգության</w:t>
            </w:r>
            <w:r w:rsidRPr="0053423A">
              <w:rPr>
                <w:rFonts w:eastAsia="Calibri" w:cs="Calibri"/>
                <w:sz w:val="20"/>
                <w:szCs w:val="20"/>
                <w:lang w:val="tr-TR"/>
              </w:rPr>
              <w:t xml:space="preserve"> </w:t>
            </w:r>
            <w:r w:rsidRPr="0053423A">
              <w:rPr>
                <w:rFonts w:eastAsia="Calibri" w:cs="Calibri"/>
                <w:sz w:val="20"/>
                <w:szCs w:val="20"/>
              </w:rPr>
              <w:t>ոլորտում</w:t>
            </w:r>
            <w:r w:rsidRPr="0053423A">
              <w:rPr>
                <w:rFonts w:eastAsia="Calibri" w:cs="Calibri"/>
                <w:sz w:val="20"/>
                <w:szCs w:val="20"/>
                <w:lang w:val="tr-TR"/>
              </w:rPr>
              <w:t xml:space="preserve">: </w:t>
            </w:r>
            <w:r w:rsidRPr="0053423A">
              <w:rPr>
                <w:rFonts w:eastAsia="Calibri" w:cs="Calibri"/>
                <w:sz w:val="20"/>
                <w:szCs w:val="20"/>
              </w:rPr>
              <w:t>Մշակույթի</w:t>
            </w:r>
            <w:r w:rsidRPr="0053423A">
              <w:rPr>
                <w:rFonts w:eastAsia="Calibri" w:cs="Calibri"/>
                <w:sz w:val="20"/>
                <w:szCs w:val="20"/>
                <w:lang w:val="tr-TR"/>
              </w:rPr>
              <w:t xml:space="preserve"> </w:t>
            </w:r>
            <w:r w:rsidRPr="0053423A">
              <w:rPr>
                <w:rFonts w:eastAsia="Calibri" w:cs="Calibri"/>
                <w:sz w:val="20"/>
                <w:szCs w:val="20"/>
              </w:rPr>
              <w:t>նախարարությունն</w:t>
            </w:r>
            <w:r w:rsidRPr="0053423A">
              <w:rPr>
                <w:rFonts w:eastAsia="Calibri" w:cs="Calibri"/>
                <w:sz w:val="20"/>
                <w:szCs w:val="20"/>
                <w:lang w:val="tr-TR"/>
              </w:rPr>
              <w:t xml:space="preserve"> </w:t>
            </w:r>
            <w:r w:rsidRPr="0053423A">
              <w:rPr>
                <w:rFonts w:eastAsia="Calibri" w:cs="Calibri"/>
                <w:sz w:val="20"/>
                <w:szCs w:val="20"/>
              </w:rPr>
              <w:t>աշխատանքներ</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տանում</w:t>
            </w:r>
            <w:r w:rsidRPr="0053423A">
              <w:rPr>
                <w:rFonts w:eastAsia="Calibri" w:cs="Calibri"/>
                <w:sz w:val="20"/>
                <w:szCs w:val="20"/>
                <w:lang w:val="tr-TR"/>
              </w:rPr>
              <w:t xml:space="preserve"> </w:t>
            </w:r>
            <w:r w:rsidRPr="0053423A">
              <w:rPr>
                <w:rFonts w:eastAsia="Calibri" w:cs="Calibri"/>
                <w:sz w:val="20"/>
                <w:szCs w:val="20"/>
              </w:rPr>
              <w:t>ԵԽ</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ուղիներ</w:t>
            </w:r>
            <w:r w:rsidRPr="0053423A">
              <w:rPr>
                <w:rFonts w:eastAsia="Calibri" w:cs="Calibri"/>
                <w:sz w:val="20"/>
                <w:szCs w:val="20"/>
                <w:lang w:val="tr-TR"/>
              </w:rPr>
              <w:t xml:space="preserve">» </w:t>
            </w:r>
            <w:r w:rsidRPr="0053423A">
              <w:rPr>
                <w:rFonts w:eastAsia="Calibri" w:cs="Calibri"/>
                <w:sz w:val="20"/>
                <w:szCs w:val="20"/>
              </w:rPr>
              <w:t>ծրագրում</w:t>
            </w:r>
            <w:r w:rsidRPr="0053423A">
              <w:rPr>
                <w:rFonts w:eastAsia="Calibri" w:cs="Calibri"/>
                <w:sz w:val="20"/>
                <w:szCs w:val="20"/>
                <w:lang w:val="tr-TR"/>
              </w:rPr>
              <w:t xml:space="preserve"> </w:t>
            </w:r>
            <w:r w:rsidRPr="0053423A">
              <w:rPr>
                <w:rFonts w:eastAsia="Calibri" w:cs="Calibri"/>
                <w:sz w:val="20"/>
                <w:szCs w:val="20"/>
              </w:rPr>
              <w:t>հնարավորինս</w:t>
            </w:r>
            <w:r w:rsidRPr="0053423A">
              <w:rPr>
                <w:rFonts w:eastAsia="Calibri" w:cs="Calibri"/>
                <w:sz w:val="20"/>
                <w:szCs w:val="20"/>
                <w:lang w:val="tr-TR"/>
              </w:rPr>
              <w:t xml:space="preserve"> </w:t>
            </w:r>
            <w:r w:rsidRPr="0053423A">
              <w:rPr>
                <w:rFonts w:eastAsia="Calibri" w:cs="Calibri"/>
                <w:sz w:val="20"/>
                <w:szCs w:val="20"/>
              </w:rPr>
              <w:t>հանրահռչակելու</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ներկայացնելու</w:t>
            </w:r>
            <w:r w:rsidRPr="0053423A">
              <w:rPr>
                <w:rFonts w:eastAsia="Calibri" w:cs="Calibri"/>
                <w:sz w:val="20"/>
                <w:szCs w:val="20"/>
                <w:lang w:val="tr-TR"/>
              </w:rPr>
              <w:t xml:space="preserve"> </w:t>
            </w:r>
            <w:r w:rsidRPr="0053423A">
              <w:rPr>
                <w:rFonts w:eastAsia="Calibri" w:cs="Calibri"/>
                <w:sz w:val="20"/>
                <w:szCs w:val="20"/>
              </w:rPr>
              <w:t>հայկական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եվրոպական</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ընդհանրությունները</w:t>
            </w:r>
            <w:r w:rsidRPr="0053423A">
              <w:rPr>
                <w:rFonts w:eastAsia="Calibri" w:cs="Calibri"/>
                <w:sz w:val="20"/>
                <w:szCs w:val="20"/>
                <w:lang w:val="tr-TR"/>
              </w:rPr>
              <w:t xml:space="preserve">: </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ԱՊՀ</w:t>
            </w:r>
            <w:r w:rsidRPr="0053423A">
              <w:rPr>
                <w:rFonts w:eastAsia="Calibri" w:cs="Calibri"/>
                <w:sz w:val="20"/>
                <w:szCs w:val="20"/>
                <w:lang w:val="tr-TR"/>
              </w:rPr>
              <w:t xml:space="preserve"> </w:t>
            </w:r>
            <w:r w:rsidRPr="0053423A">
              <w:rPr>
                <w:rFonts w:eastAsia="Calibri" w:cs="Calibri"/>
                <w:sz w:val="20"/>
                <w:szCs w:val="20"/>
              </w:rPr>
              <w:t>կառույցի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իրականացվում</w:t>
            </w:r>
            <w:r w:rsidRPr="0053423A">
              <w:rPr>
                <w:rFonts w:eastAsia="Calibri" w:cs="Calibri"/>
                <w:sz w:val="20"/>
                <w:szCs w:val="20"/>
                <w:lang w:val="tr-TR"/>
              </w:rPr>
              <w:t xml:space="preserve"> </w:t>
            </w:r>
            <w:r w:rsidRPr="0053423A">
              <w:rPr>
                <w:rFonts w:eastAsia="Calibri" w:cs="Calibri"/>
                <w:sz w:val="20"/>
                <w:szCs w:val="20"/>
              </w:rPr>
              <w:t>են</w:t>
            </w:r>
            <w:r w:rsidRPr="0053423A">
              <w:rPr>
                <w:rFonts w:eastAsia="Calibri" w:cs="Calibri"/>
                <w:sz w:val="20"/>
                <w:szCs w:val="20"/>
                <w:lang w:val="tr-TR"/>
              </w:rPr>
              <w:t xml:space="preserve"> </w:t>
            </w:r>
            <w:r w:rsidRPr="0053423A">
              <w:rPr>
                <w:rFonts w:eastAsia="Calibri" w:cs="Calibri"/>
                <w:sz w:val="20"/>
                <w:szCs w:val="20"/>
              </w:rPr>
              <w:t>միջոցառումներ</w:t>
            </w:r>
            <w:r w:rsidRPr="0053423A">
              <w:rPr>
                <w:rFonts w:eastAsia="Calibri" w:cs="Calibri"/>
                <w:sz w:val="20"/>
                <w:szCs w:val="20"/>
                <w:lang w:val="tr-TR"/>
              </w:rPr>
              <w:t xml:space="preserve"> </w:t>
            </w:r>
            <w:r w:rsidRPr="0053423A">
              <w:rPr>
                <w:rFonts w:eastAsia="Calibri" w:cs="Calibri"/>
                <w:sz w:val="20"/>
                <w:szCs w:val="20"/>
              </w:rPr>
              <w:t>բոլոր</w:t>
            </w:r>
            <w:r w:rsidRPr="0053423A">
              <w:rPr>
                <w:rFonts w:eastAsia="Calibri" w:cs="Calibri"/>
                <w:sz w:val="20"/>
                <w:szCs w:val="20"/>
                <w:lang w:val="tr-TR"/>
              </w:rPr>
              <w:t xml:space="preserve"> </w:t>
            </w:r>
            <w:r w:rsidRPr="0053423A">
              <w:rPr>
                <w:rFonts w:eastAsia="Calibri" w:cs="Calibri"/>
                <w:sz w:val="20"/>
                <w:szCs w:val="20"/>
              </w:rPr>
              <w:t>ոլորտներով</w:t>
            </w:r>
            <w:r w:rsidRPr="0053423A">
              <w:rPr>
                <w:rFonts w:eastAsia="Calibri" w:cs="Calibri"/>
                <w:sz w:val="20"/>
                <w:szCs w:val="20"/>
                <w:lang w:val="tr-TR"/>
              </w:rPr>
              <w:t xml:space="preserve">` </w:t>
            </w:r>
            <w:r w:rsidRPr="0053423A">
              <w:rPr>
                <w:rFonts w:eastAsia="Calibri" w:cs="Calibri"/>
                <w:sz w:val="20"/>
                <w:szCs w:val="20"/>
              </w:rPr>
              <w:t>ժառանգություն</w:t>
            </w:r>
            <w:r w:rsidRPr="0053423A">
              <w:rPr>
                <w:rFonts w:eastAsia="Calibri" w:cs="Calibri"/>
                <w:sz w:val="20"/>
                <w:szCs w:val="20"/>
                <w:lang w:val="tr-TR"/>
              </w:rPr>
              <w:t xml:space="preserve">, </w:t>
            </w:r>
            <w:r w:rsidRPr="0053423A">
              <w:rPr>
                <w:rFonts w:eastAsia="Calibri" w:cs="Calibri"/>
                <w:sz w:val="20"/>
                <w:szCs w:val="20"/>
              </w:rPr>
              <w:t>թանգարանային</w:t>
            </w:r>
            <w:r w:rsidRPr="0053423A">
              <w:rPr>
                <w:rFonts w:eastAsia="Calibri" w:cs="Calibri"/>
                <w:sz w:val="20"/>
                <w:szCs w:val="20"/>
                <w:lang w:val="tr-TR"/>
              </w:rPr>
              <w:t xml:space="preserve"> </w:t>
            </w:r>
            <w:r w:rsidRPr="0053423A">
              <w:rPr>
                <w:rFonts w:eastAsia="Calibri" w:cs="Calibri"/>
                <w:sz w:val="20"/>
                <w:szCs w:val="20"/>
              </w:rPr>
              <w:t>գործ</w:t>
            </w:r>
            <w:r w:rsidRPr="0053423A">
              <w:rPr>
                <w:rFonts w:eastAsia="Calibri" w:cs="Calibri"/>
                <w:sz w:val="20"/>
                <w:szCs w:val="20"/>
                <w:lang w:val="tr-TR"/>
              </w:rPr>
              <w:t xml:space="preserve">, </w:t>
            </w:r>
            <w:r w:rsidRPr="0053423A">
              <w:rPr>
                <w:rFonts w:eastAsia="Calibri" w:cs="Calibri"/>
                <w:sz w:val="20"/>
                <w:szCs w:val="20"/>
              </w:rPr>
              <w:t>կինեմատոգրաֆիա</w:t>
            </w:r>
            <w:r w:rsidRPr="0053423A">
              <w:rPr>
                <w:rFonts w:eastAsia="Calibri" w:cs="Calibri"/>
                <w:sz w:val="20"/>
                <w:szCs w:val="20"/>
                <w:lang w:val="tr-TR"/>
              </w:rPr>
              <w:t xml:space="preserve">, </w:t>
            </w:r>
            <w:r w:rsidRPr="0053423A">
              <w:rPr>
                <w:rFonts w:eastAsia="Calibri" w:cs="Calibri"/>
                <w:sz w:val="20"/>
                <w:szCs w:val="20"/>
              </w:rPr>
              <w:t>գրահրատարակչություն</w:t>
            </w:r>
            <w:r w:rsidRPr="0053423A">
              <w:rPr>
                <w:rFonts w:eastAsia="Calibri" w:cs="Calibri"/>
                <w:sz w:val="20"/>
                <w:szCs w:val="20"/>
                <w:lang w:val="tr-TR"/>
              </w:rPr>
              <w:t xml:space="preserve">, </w:t>
            </w:r>
            <w:r w:rsidRPr="0053423A">
              <w:rPr>
                <w:rFonts w:eastAsia="Calibri" w:cs="Calibri"/>
                <w:sz w:val="20"/>
                <w:szCs w:val="20"/>
              </w:rPr>
              <w:t>փառատոներ</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այլն</w:t>
            </w:r>
            <w:r w:rsidRPr="0053423A">
              <w:rPr>
                <w:rFonts w:eastAsia="Calibri" w:cs="Calibri"/>
                <w:sz w:val="20"/>
                <w:szCs w:val="20"/>
                <w:lang w:val="tr-TR"/>
              </w:rPr>
              <w:t xml:space="preserve">: </w:t>
            </w:r>
            <w:r w:rsidRPr="0053423A">
              <w:rPr>
                <w:rFonts w:eastAsia="Calibri" w:cs="Calibri"/>
                <w:sz w:val="20"/>
                <w:szCs w:val="20"/>
              </w:rPr>
              <w:t>Նախատեսվում</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զարգացնել</w:t>
            </w:r>
            <w:r w:rsidRPr="0053423A">
              <w:rPr>
                <w:rFonts w:eastAsia="Calibri" w:cs="Calibri"/>
                <w:sz w:val="20"/>
                <w:szCs w:val="20"/>
                <w:lang w:val="tr-TR"/>
              </w:rPr>
              <w:t xml:space="preserve"> </w:t>
            </w:r>
            <w:r w:rsidRPr="0053423A">
              <w:rPr>
                <w:rFonts w:eastAsia="Calibri" w:cs="Calibri"/>
                <w:sz w:val="20"/>
                <w:szCs w:val="20"/>
              </w:rPr>
              <w:t>համագործակցությունը</w:t>
            </w:r>
            <w:r w:rsidRPr="0053423A">
              <w:rPr>
                <w:rFonts w:eastAsia="Calibri" w:cs="Calibri"/>
                <w:sz w:val="20"/>
                <w:szCs w:val="20"/>
                <w:lang w:val="tr-TR"/>
              </w:rPr>
              <w:t xml:space="preserve"> </w:t>
            </w:r>
            <w:r w:rsidRPr="0053423A">
              <w:rPr>
                <w:rFonts w:eastAsia="Calibri" w:cs="Calibri"/>
                <w:sz w:val="20"/>
                <w:szCs w:val="20"/>
              </w:rPr>
              <w:t>բոլոր</w:t>
            </w:r>
            <w:r w:rsidRPr="0053423A">
              <w:rPr>
                <w:rFonts w:eastAsia="Calibri" w:cs="Calibri"/>
                <w:sz w:val="20"/>
                <w:szCs w:val="20"/>
                <w:lang w:val="tr-TR"/>
              </w:rPr>
              <w:t xml:space="preserve"> </w:t>
            </w:r>
            <w:r w:rsidRPr="0053423A">
              <w:rPr>
                <w:rFonts w:eastAsia="Calibri" w:cs="Calibri"/>
                <w:sz w:val="20"/>
                <w:szCs w:val="20"/>
              </w:rPr>
              <w:t>ուղղություններով</w:t>
            </w:r>
            <w:r w:rsidRPr="0053423A">
              <w:rPr>
                <w:rFonts w:eastAsia="Calibri" w:cs="Calibri"/>
                <w:sz w:val="20"/>
                <w:szCs w:val="20"/>
                <w:lang w:val="tr-TR"/>
              </w:rPr>
              <w:t>:</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Առկա</w:t>
            </w:r>
            <w:r w:rsidRPr="0053423A">
              <w:rPr>
                <w:rFonts w:eastAsia="Calibri" w:cs="Calibri"/>
                <w:sz w:val="20"/>
                <w:szCs w:val="20"/>
                <w:lang w:val="tr-TR"/>
              </w:rPr>
              <w:t xml:space="preserve"> </w:t>
            </w:r>
            <w:r w:rsidRPr="0053423A">
              <w:rPr>
                <w:rFonts w:eastAsia="Calibri" w:cs="Calibri"/>
                <w:sz w:val="20"/>
                <w:szCs w:val="20"/>
              </w:rPr>
              <w:t>համագործակցության</w:t>
            </w:r>
            <w:r w:rsidRPr="0053423A">
              <w:rPr>
                <w:rFonts w:eastAsia="Calibri" w:cs="Calibri"/>
                <w:sz w:val="20"/>
                <w:szCs w:val="20"/>
                <w:lang w:val="tr-TR"/>
              </w:rPr>
              <w:t xml:space="preserve"> </w:t>
            </w:r>
            <w:r w:rsidRPr="0053423A">
              <w:rPr>
                <w:rFonts w:eastAsia="Calibri" w:cs="Calibri"/>
                <w:sz w:val="20"/>
                <w:szCs w:val="20"/>
              </w:rPr>
              <w:t>շարունակության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խորացման</w:t>
            </w:r>
            <w:r w:rsidRPr="0053423A">
              <w:rPr>
                <w:rFonts w:eastAsia="Calibri" w:cs="Calibri"/>
                <w:sz w:val="20"/>
                <w:szCs w:val="20"/>
                <w:lang w:val="tr-TR"/>
              </w:rPr>
              <w:t xml:space="preserve"> </w:t>
            </w:r>
            <w:r w:rsidRPr="0053423A">
              <w:rPr>
                <w:rFonts w:eastAsia="Calibri" w:cs="Calibri"/>
                <w:sz w:val="20"/>
                <w:szCs w:val="20"/>
              </w:rPr>
              <w:t>նպատակով</w:t>
            </w:r>
            <w:r w:rsidRPr="0053423A">
              <w:rPr>
                <w:rFonts w:eastAsia="Calibri" w:cs="Calibri"/>
                <w:sz w:val="20"/>
                <w:szCs w:val="20"/>
                <w:lang w:val="tr-TR"/>
              </w:rPr>
              <w:t xml:space="preserve"> </w:t>
            </w:r>
            <w:r w:rsidRPr="0053423A">
              <w:rPr>
                <w:rFonts w:eastAsia="Calibri" w:cs="Calibri"/>
                <w:sz w:val="20"/>
                <w:szCs w:val="20"/>
              </w:rPr>
              <w:t>անհրաժեշտ</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անընդհատ</w:t>
            </w:r>
            <w:r w:rsidRPr="0053423A">
              <w:rPr>
                <w:rFonts w:eastAsia="Calibri" w:cs="Calibri"/>
                <w:sz w:val="20"/>
                <w:szCs w:val="20"/>
                <w:lang w:val="tr-TR"/>
              </w:rPr>
              <w:t xml:space="preserve"> </w:t>
            </w:r>
            <w:r w:rsidRPr="0053423A">
              <w:rPr>
                <w:rFonts w:eastAsia="Calibri" w:cs="Calibri"/>
                <w:sz w:val="20"/>
                <w:szCs w:val="20"/>
              </w:rPr>
              <w:t>ապահովել</w:t>
            </w:r>
            <w:r w:rsidRPr="0053423A">
              <w:rPr>
                <w:rFonts w:eastAsia="Calibri" w:cs="Calibri"/>
                <w:sz w:val="20"/>
                <w:szCs w:val="20"/>
                <w:lang w:val="tr-TR"/>
              </w:rPr>
              <w:t xml:space="preserve"> </w:t>
            </w:r>
            <w:r w:rsidRPr="0053423A">
              <w:rPr>
                <w:rFonts w:eastAsia="Calibri" w:cs="Calibri"/>
                <w:sz w:val="20"/>
                <w:szCs w:val="20"/>
              </w:rPr>
              <w:t>ներկայություն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ակտիվ</w:t>
            </w:r>
            <w:r w:rsidRPr="0053423A">
              <w:rPr>
                <w:rFonts w:eastAsia="Calibri" w:cs="Calibri"/>
                <w:sz w:val="20"/>
                <w:szCs w:val="20"/>
                <w:lang w:val="tr-TR"/>
              </w:rPr>
              <w:t xml:space="preserve"> </w:t>
            </w:r>
            <w:r w:rsidRPr="0053423A">
              <w:rPr>
                <w:rFonts w:eastAsia="Calibri" w:cs="Calibri"/>
                <w:sz w:val="20"/>
                <w:szCs w:val="20"/>
              </w:rPr>
              <w:t>մասնակցություն</w:t>
            </w:r>
            <w:r w:rsidRPr="0053423A">
              <w:rPr>
                <w:rFonts w:eastAsia="Calibri" w:cs="Calibri"/>
                <w:sz w:val="20"/>
                <w:szCs w:val="20"/>
                <w:lang w:val="tr-TR"/>
              </w:rPr>
              <w:t xml:space="preserve"> </w:t>
            </w:r>
            <w:r w:rsidRPr="0053423A">
              <w:rPr>
                <w:rFonts w:eastAsia="Calibri" w:cs="Calibri"/>
                <w:sz w:val="20"/>
                <w:szCs w:val="20"/>
              </w:rPr>
              <w:t>վերոհիշյալ</w:t>
            </w:r>
            <w:r w:rsidRPr="0053423A">
              <w:rPr>
                <w:rFonts w:eastAsia="Calibri" w:cs="Calibri"/>
                <w:sz w:val="20"/>
                <w:szCs w:val="20"/>
                <w:lang w:val="tr-TR"/>
              </w:rPr>
              <w:t xml:space="preserve"> </w:t>
            </w:r>
            <w:r w:rsidRPr="0053423A">
              <w:rPr>
                <w:rFonts w:eastAsia="Calibri" w:cs="Calibri"/>
                <w:sz w:val="20"/>
                <w:szCs w:val="20"/>
              </w:rPr>
              <w:t>կազմակերպությունների</w:t>
            </w:r>
            <w:r w:rsidRPr="0053423A">
              <w:rPr>
                <w:rFonts w:eastAsia="Calibri" w:cs="Calibri"/>
                <w:sz w:val="20"/>
                <w:szCs w:val="20"/>
                <w:lang w:val="tr-TR"/>
              </w:rPr>
              <w:t xml:space="preserve"> </w:t>
            </w:r>
            <w:r w:rsidRPr="0053423A">
              <w:rPr>
                <w:rFonts w:eastAsia="Calibri" w:cs="Calibri"/>
                <w:sz w:val="20"/>
                <w:szCs w:val="20"/>
              </w:rPr>
              <w:t>կողմից</w:t>
            </w:r>
            <w:r w:rsidRPr="0053423A">
              <w:rPr>
                <w:rFonts w:eastAsia="Calibri" w:cs="Calibri"/>
                <w:sz w:val="20"/>
                <w:szCs w:val="20"/>
                <w:lang w:val="tr-TR"/>
              </w:rPr>
              <w:t xml:space="preserve"> </w:t>
            </w:r>
            <w:r w:rsidRPr="0053423A">
              <w:rPr>
                <w:rFonts w:eastAsia="Calibri" w:cs="Calibri"/>
                <w:sz w:val="20"/>
                <w:szCs w:val="20"/>
              </w:rPr>
              <w:t>կազմակերպվող</w:t>
            </w:r>
            <w:r w:rsidRPr="0053423A">
              <w:rPr>
                <w:rFonts w:eastAsia="Calibri" w:cs="Calibri"/>
                <w:sz w:val="20"/>
                <w:szCs w:val="20"/>
                <w:lang w:val="tr-TR"/>
              </w:rPr>
              <w:t xml:space="preserve"> </w:t>
            </w:r>
            <w:r w:rsidRPr="0053423A">
              <w:rPr>
                <w:rFonts w:eastAsia="Calibri" w:cs="Calibri"/>
                <w:sz w:val="20"/>
                <w:szCs w:val="20"/>
              </w:rPr>
              <w:t>միջոցառումներին</w:t>
            </w:r>
            <w:r w:rsidRPr="0053423A">
              <w:rPr>
                <w:rFonts w:eastAsia="Calibri" w:cs="Calibri"/>
                <w:sz w:val="20"/>
                <w:szCs w:val="20"/>
                <w:lang w:val="tr-TR"/>
              </w:rPr>
              <w:t xml:space="preserve">, </w:t>
            </w:r>
            <w:r w:rsidRPr="0053423A">
              <w:rPr>
                <w:rFonts w:eastAsia="Calibri" w:cs="Calibri"/>
                <w:sz w:val="20"/>
                <w:szCs w:val="20"/>
              </w:rPr>
              <w:t>համապատասխան</w:t>
            </w:r>
            <w:r w:rsidRPr="0053423A">
              <w:rPr>
                <w:rFonts w:eastAsia="Calibri" w:cs="Calibri"/>
                <w:sz w:val="20"/>
                <w:szCs w:val="20"/>
                <w:lang w:val="tr-TR"/>
              </w:rPr>
              <w:t xml:space="preserve"> </w:t>
            </w:r>
            <w:r w:rsidRPr="0053423A">
              <w:rPr>
                <w:rFonts w:eastAsia="Calibri" w:cs="Calibri"/>
                <w:sz w:val="20"/>
                <w:szCs w:val="20"/>
              </w:rPr>
              <w:t>բովանդակությամբ</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հիմնավորումներով</w:t>
            </w:r>
            <w:r w:rsidRPr="0053423A">
              <w:rPr>
                <w:rFonts w:eastAsia="Calibri" w:cs="Calibri"/>
                <w:sz w:val="20"/>
                <w:szCs w:val="20"/>
                <w:lang w:val="tr-TR"/>
              </w:rPr>
              <w:t xml:space="preserve">, </w:t>
            </w:r>
            <w:r w:rsidRPr="0053423A">
              <w:rPr>
                <w:rFonts w:eastAsia="Calibri" w:cs="Calibri"/>
                <w:sz w:val="20"/>
                <w:szCs w:val="20"/>
              </w:rPr>
              <w:t>զեկույցներով</w:t>
            </w:r>
            <w:r w:rsidRPr="0053423A">
              <w:rPr>
                <w:rFonts w:eastAsia="Calibri" w:cs="Calibri"/>
                <w:sz w:val="20"/>
                <w:szCs w:val="20"/>
                <w:lang w:val="tr-TR"/>
              </w:rPr>
              <w:t xml:space="preserve"> </w:t>
            </w:r>
            <w:r w:rsidRPr="0053423A">
              <w:rPr>
                <w:rFonts w:eastAsia="Calibri" w:cs="Calibri"/>
                <w:sz w:val="20"/>
                <w:szCs w:val="20"/>
              </w:rPr>
              <w:t>հանդես</w:t>
            </w:r>
            <w:r w:rsidRPr="0053423A">
              <w:rPr>
                <w:rFonts w:eastAsia="Calibri" w:cs="Calibri"/>
                <w:sz w:val="20"/>
                <w:szCs w:val="20"/>
                <w:lang w:val="tr-TR"/>
              </w:rPr>
              <w:t xml:space="preserve"> </w:t>
            </w:r>
            <w:r w:rsidRPr="0053423A">
              <w:rPr>
                <w:rFonts w:eastAsia="Calibri" w:cs="Calibri"/>
                <w:sz w:val="20"/>
                <w:szCs w:val="20"/>
              </w:rPr>
              <w:t>գալ</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ՀՀ</w:t>
            </w:r>
            <w:r w:rsidRPr="0053423A">
              <w:rPr>
                <w:rFonts w:eastAsia="Calibri" w:cs="Calibri"/>
                <w:sz w:val="20"/>
                <w:szCs w:val="20"/>
                <w:lang w:val="tr-TR"/>
              </w:rPr>
              <w:t xml:space="preserve"> </w:t>
            </w:r>
            <w:r w:rsidRPr="0053423A">
              <w:rPr>
                <w:rFonts w:eastAsia="Calibri" w:cs="Calibri"/>
                <w:sz w:val="20"/>
                <w:szCs w:val="20"/>
              </w:rPr>
              <w:t>այլ</w:t>
            </w:r>
            <w:r w:rsidRPr="0053423A">
              <w:rPr>
                <w:rFonts w:eastAsia="Calibri" w:cs="Calibri"/>
                <w:sz w:val="20"/>
                <w:szCs w:val="20"/>
                <w:lang w:val="tr-TR"/>
              </w:rPr>
              <w:t xml:space="preserve"> </w:t>
            </w:r>
            <w:r w:rsidRPr="0053423A">
              <w:rPr>
                <w:rFonts w:eastAsia="Calibri" w:cs="Calibri"/>
                <w:sz w:val="20"/>
                <w:szCs w:val="20"/>
              </w:rPr>
              <w:t>համատապատասխան</w:t>
            </w:r>
            <w:r w:rsidRPr="0053423A">
              <w:rPr>
                <w:rFonts w:eastAsia="Calibri" w:cs="Calibri"/>
                <w:sz w:val="20"/>
                <w:szCs w:val="20"/>
                <w:lang w:val="tr-TR"/>
              </w:rPr>
              <w:t xml:space="preserve"> </w:t>
            </w:r>
            <w:r w:rsidRPr="0053423A">
              <w:rPr>
                <w:rFonts w:eastAsia="Calibri" w:cs="Calibri"/>
                <w:sz w:val="20"/>
                <w:szCs w:val="20"/>
              </w:rPr>
              <w:t>գերատեսչությունների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համատեղ</w:t>
            </w:r>
            <w:r w:rsidRPr="0053423A">
              <w:rPr>
                <w:rFonts w:eastAsia="Calibri" w:cs="Calibri"/>
                <w:sz w:val="20"/>
                <w:szCs w:val="20"/>
                <w:lang w:val="tr-TR"/>
              </w:rPr>
              <w:t xml:space="preserve"> </w:t>
            </w:r>
            <w:r w:rsidRPr="0053423A">
              <w:rPr>
                <w:rFonts w:eastAsia="Calibri" w:cs="Calibri"/>
                <w:sz w:val="20"/>
                <w:szCs w:val="20"/>
              </w:rPr>
              <w:t>իրականացնել</w:t>
            </w:r>
            <w:r w:rsidRPr="0053423A">
              <w:rPr>
                <w:rFonts w:eastAsia="Calibri" w:cs="Calibri"/>
                <w:sz w:val="20"/>
                <w:szCs w:val="20"/>
                <w:lang w:val="tr-TR"/>
              </w:rPr>
              <w:t xml:space="preserve"> </w:t>
            </w:r>
            <w:r w:rsidRPr="0053423A">
              <w:rPr>
                <w:rFonts w:eastAsia="Calibri" w:cs="Calibri"/>
                <w:sz w:val="20"/>
                <w:szCs w:val="20"/>
              </w:rPr>
              <w:t>համագործակցության</w:t>
            </w:r>
            <w:r w:rsidRPr="0053423A">
              <w:rPr>
                <w:rFonts w:eastAsia="Calibri" w:cs="Calibri"/>
                <w:sz w:val="20"/>
                <w:szCs w:val="20"/>
                <w:lang w:val="tr-TR"/>
              </w:rPr>
              <w:t xml:space="preserve"> </w:t>
            </w:r>
            <w:r w:rsidRPr="0053423A">
              <w:rPr>
                <w:rFonts w:eastAsia="Calibri" w:cs="Calibri"/>
                <w:sz w:val="20"/>
                <w:szCs w:val="20"/>
              </w:rPr>
              <w:t>զարգացումը</w:t>
            </w:r>
            <w:r w:rsidRPr="0053423A">
              <w:rPr>
                <w:rFonts w:eastAsia="Calibri" w:cs="Calibri"/>
                <w:sz w:val="20"/>
                <w:szCs w:val="20"/>
                <w:lang w:val="tr-TR"/>
              </w:rPr>
              <w:t>:</w:t>
            </w:r>
          </w:p>
          <w:p w:rsidR="00A67B6B" w:rsidRPr="0053423A" w:rsidRDefault="00A67B6B" w:rsidP="00A67858">
            <w:pPr>
              <w:tabs>
                <w:tab w:val="left" w:pos="508"/>
              </w:tabs>
              <w:spacing w:after="0" w:line="276" w:lineRule="auto"/>
              <w:jc w:val="both"/>
              <w:rPr>
                <w:rFonts w:eastAsia="Calibri" w:cs="Calibri"/>
                <w:b/>
                <w:sz w:val="20"/>
                <w:szCs w:val="20"/>
                <w:lang w:val="tr-TR"/>
              </w:rPr>
            </w:pPr>
          </w:p>
          <w:p w:rsidR="00A67B6B" w:rsidRPr="0053423A" w:rsidRDefault="00A67B6B" w:rsidP="001F6D5D">
            <w:pPr>
              <w:numPr>
                <w:ilvl w:val="1"/>
                <w:numId w:val="230"/>
              </w:numPr>
              <w:tabs>
                <w:tab w:val="left" w:pos="508"/>
              </w:tabs>
              <w:spacing w:after="0" w:line="276" w:lineRule="auto"/>
              <w:ind w:hanging="707"/>
              <w:jc w:val="both"/>
              <w:rPr>
                <w:rFonts w:eastAsia="Calibri" w:cs="Calibri"/>
                <w:b/>
                <w:sz w:val="20"/>
                <w:szCs w:val="20"/>
                <w:lang w:val="tr-TR"/>
              </w:rPr>
            </w:pPr>
            <w:r w:rsidRPr="0053423A">
              <w:rPr>
                <w:rFonts w:eastAsia="Calibri" w:cs="Calibri"/>
                <w:b/>
                <w:sz w:val="20"/>
                <w:szCs w:val="20"/>
              </w:rPr>
              <w:t>Առկա</w:t>
            </w:r>
            <w:r w:rsidRPr="0053423A">
              <w:rPr>
                <w:rFonts w:eastAsia="Calibri" w:cs="Calibri"/>
                <w:b/>
                <w:sz w:val="20"/>
                <w:szCs w:val="20"/>
                <w:lang w:val="tr-TR"/>
              </w:rPr>
              <w:t xml:space="preserve"> </w:t>
            </w:r>
            <w:r w:rsidRPr="0053423A">
              <w:rPr>
                <w:rFonts w:eastAsia="Calibri" w:cs="Calibri"/>
                <w:b/>
                <w:sz w:val="20"/>
                <w:szCs w:val="20"/>
              </w:rPr>
              <w:t>խնդիրների</w:t>
            </w:r>
            <w:r w:rsidRPr="0053423A">
              <w:rPr>
                <w:rFonts w:eastAsia="Calibri" w:cs="Calibri"/>
                <w:b/>
                <w:sz w:val="20"/>
                <w:szCs w:val="20"/>
                <w:lang w:val="tr-TR"/>
              </w:rPr>
              <w:t xml:space="preserve"> </w:t>
            </w:r>
            <w:r w:rsidRPr="0053423A">
              <w:rPr>
                <w:rFonts w:eastAsia="Calibri" w:cs="Calibri"/>
                <w:b/>
                <w:sz w:val="20"/>
                <w:szCs w:val="20"/>
              </w:rPr>
              <w:t>առաջարկվող</w:t>
            </w:r>
            <w:r w:rsidRPr="0053423A">
              <w:rPr>
                <w:rFonts w:eastAsia="Calibri" w:cs="Calibri"/>
                <w:b/>
                <w:sz w:val="20"/>
                <w:szCs w:val="20"/>
                <w:lang w:val="tr-TR"/>
              </w:rPr>
              <w:t xml:space="preserve"> </w:t>
            </w:r>
            <w:r w:rsidRPr="0053423A">
              <w:rPr>
                <w:rFonts w:eastAsia="Calibri" w:cs="Calibri"/>
                <w:b/>
                <w:sz w:val="20"/>
                <w:szCs w:val="20"/>
              </w:rPr>
              <w:t>լուծումները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Կինեմատոգրաֆիայի</w:t>
            </w:r>
            <w:r w:rsidRPr="0053423A">
              <w:rPr>
                <w:rFonts w:eastAsia="Calibri" w:cs="Calibri"/>
                <w:sz w:val="20"/>
                <w:szCs w:val="20"/>
                <w:lang w:val="tr-TR"/>
              </w:rPr>
              <w:t xml:space="preserve"> </w:t>
            </w:r>
            <w:r w:rsidRPr="0053423A">
              <w:rPr>
                <w:rFonts w:eastAsia="Calibri" w:cs="Calibri"/>
                <w:sz w:val="20"/>
                <w:szCs w:val="20"/>
              </w:rPr>
              <w:t>օրենքի</w:t>
            </w:r>
            <w:r w:rsidRPr="0053423A">
              <w:rPr>
                <w:rFonts w:eastAsia="Calibri" w:cs="Calibri"/>
                <w:sz w:val="20"/>
                <w:szCs w:val="20"/>
                <w:lang w:val="tr-TR"/>
              </w:rPr>
              <w:t xml:space="preserve"> </w:t>
            </w:r>
            <w:r w:rsidRPr="0053423A">
              <w:rPr>
                <w:rFonts w:eastAsia="Calibri" w:cs="Calibri"/>
                <w:sz w:val="20"/>
                <w:szCs w:val="20"/>
              </w:rPr>
              <w:t>ընդունման</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զուգահեռ</w:t>
            </w:r>
            <w:r w:rsidRPr="0053423A">
              <w:rPr>
                <w:rFonts w:eastAsia="Calibri" w:cs="Calibri"/>
                <w:sz w:val="20"/>
                <w:szCs w:val="20"/>
                <w:lang w:val="tr-TR"/>
              </w:rPr>
              <w:t xml:space="preserve"> </w:t>
            </w:r>
            <w:r w:rsidRPr="0053423A">
              <w:rPr>
                <w:rFonts w:eastAsia="Calibri" w:cs="Calibri"/>
                <w:sz w:val="20"/>
                <w:szCs w:val="20"/>
              </w:rPr>
              <w:t>հնարավոր</w:t>
            </w:r>
            <w:r w:rsidRPr="0053423A">
              <w:rPr>
                <w:rFonts w:eastAsia="Calibri" w:cs="Calibri"/>
                <w:sz w:val="20"/>
                <w:szCs w:val="20"/>
                <w:lang w:val="tr-TR"/>
              </w:rPr>
              <w:t xml:space="preserve"> </w:t>
            </w:r>
            <w:r w:rsidRPr="0053423A">
              <w:rPr>
                <w:rFonts w:eastAsia="Calibri" w:cs="Calibri"/>
                <w:sz w:val="20"/>
                <w:szCs w:val="20"/>
              </w:rPr>
              <w:t>կլինի</w:t>
            </w:r>
            <w:r w:rsidRPr="0053423A">
              <w:rPr>
                <w:rFonts w:eastAsia="Calibri" w:cs="Calibri"/>
                <w:sz w:val="20"/>
                <w:szCs w:val="20"/>
                <w:lang w:val="tr-TR"/>
              </w:rPr>
              <w:t xml:space="preserve"> </w:t>
            </w:r>
            <w:r w:rsidRPr="0053423A">
              <w:rPr>
                <w:rFonts w:eastAsia="Calibri" w:cs="Calibri"/>
                <w:sz w:val="20"/>
                <w:szCs w:val="20"/>
              </w:rPr>
              <w:t>նաև</w:t>
            </w:r>
            <w:r w:rsidRPr="0053423A">
              <w:rPr>
                <w:rFonts w:eastAsia="Calibri" w:cs="Calibri"/>
                <w:sz w:val="20"/>
                <w:szCs w:val="20"/>
                <w:lang w:val="tr-TR"/>
              </w:rPr>
              <w:t xml:space="preserve"> </w:t>
            </w:r>
            <w:r w:rsidRPr="0053423A">
              <w:rPr>
                <w:rFonts w:eastAsia="Calibri" w:cs="Calibri"/>
                <w:sz w:val="20"/>
                <w:szCs w:val="20"/>
              </w:rPr>
              <w:t>դիտարկել</w:t>
            </w:r>
            <w:r w:rsidRPr="0053423A">
              <w:rPr>
                <w:rFonts w:eastAsia="Calibri" w:cs="Calibri"/>
                <w:sz w:val="20"/>
                <w:szCs w:val="20"/>
                <w:lang w:val="tr-TR"/>
              </w:rPr>
              <w:t xml:space="preserve"> </w:t>
            </w:r>
            <w:r w:rsidRPr="0053423A">
              <w:rPr>
                <w:rFonts w:eastAsia="Calibri" w:cs="Calibri"/>
                <w:sz w:val="20"/>
                <w:szCs w:val="20"/>
              </w:rPr>
              <w:t>նույն</w:t>
            </w:r>
            <w:r w:rsidRPr="0053423A">
              <w:rPr>
                <w:rFonts w:eastAsia="Calibri" w:cs="Calibri"/>
                <w:sz w:val="20"/>
                <w:szCs w:val="20"/>
                <w:lang w:val="tr-TR"/>
              </w:rPr>
              <w:t xml:space="preserve"> </w:t>
            </w:r>
            <w:r w:rsidRPr="0053423A">
              <w:rPr>
                <w:rFonts w:eastAsia="Calibri" w:cs="Calibri"/>
                <w:sz w:val="20"/>
                <w:szCs w:val="20"/>
              </w:rPr>
              <w:t>ծրագրի</w:t>
            </w:r>
            <w:r w:rsidRPr="0053423A">
              <w:rPr>
                <w:rFonts w:eastAsia="Calibri" w:cs="Calibri"/>
                <w:sz w:val="20"/>
                <w:szCs w:val="20"/>
                <w:lang w:val="tr-TR"/>
              </w:rPr>
              <w:t xml:space="preserve"> </w:t>
            </w:r>
            <w:r w:rsidRPr="0053423A">
              <w:rPr>
                <w:rFonts w:eastAsia="Calibri" w:cs="Calibri"/>
                <w:sz w:val="20"/>
                <w:szCs w:val="20"/>
              </w:rPr>
              <w:t>Մեդիա</w:t>
            </w:r>
            <w:r w:rsidRPr="0053423A">
              <w:rPr>
                <w:rFonts w:eastAsia="Calibri" w:cs="Calibri"/>
                <w:sz w:val="20"/>
                <w:szCs w:val="20"/>
                <w:lang w:val="tr-TR"/>
              </w:rPr>
              <w:t xml:space="preserve"> </w:t>
            </w:r>
            <w:r w:rsidRPr="0053423A">
              <w:rPr>
                <w:rFonts w:eastAsia="Calibri" w:cs="Calibri"/>
                <w:sz w:val="20"/>
                <w:szCs w:val="20"/>
              </w:rPr>
              <w:t>բաժնին</w:t>
            </w:r>
            <w:r w:rsidRPr="0053423A">
              <w:rPr>
                <w:rFonts w:eastAsia="Calibri" w:cs="Calibri"/>
                <w:sz w:val="20"/>
                <w:szCs w:val="20"/>
                <w:lang w:val="tr-TR"/>
              </w:rPr>
              <w:t xml:space="preserve"> </w:t>
            </w:r>
            <w:r w:rsidRPr="0053423A">
              <w:rPr>
                <w:rFonts w:eastAsia="Calibri" w:cs="Calibri"/>
                <w:sz w:val="20"/>
                <w:szCs w:val="20"/>
              </w:rPr>
              <w:t>միանալու</w:t>
            </w:r>
            <w:r w:rsidRPr="0053423A">
              <w:rPr>
                <w:rFonts w:eastAsia="Calibri" w:cs="Calibri"/>
                <w:sz w:val="20"/>
                <w:szCs w:val="20"/>
                <w:lang w:val="tr-TR"/>
              </w:rPr>
              <w:t xml:space="preserve"> </w:t>
            </w:r>
            <w:r w:rsidRPr="0053423A">
              <w:rPr>
                <w:rFonts w:eastAsia="Calibri" w:cs="Calibri"/>
                <w:sz w:val="20"/>
                <w:szCs w:val="20"/>
              </w:rPr>
              <w:t>հնարավորությունը</w:t>
            </w:r>
            <w:r w:rsidRPr="0053423A">
              <w:rPr>
                <w:rFonts w:eastAsia="Calibri" w:cs="Calibri"/>
                <w:sz w:val="20"/>
                <w:szCs w:val="20"/>
                <w:lang w:val="tr-TR"/>
              </w:rPr>
              <w:t xml:space="preserve">, </w:t>
            </w:r>
            <w:r w:rsidRPr="0053423A">
              <w:rPr>
                <w:rFonts w:eastAsia="Calibri" w:cs="Calibri"/>
                <w:sz w:val="20"/>
                <w:szCs w:val="20"/>
              </w:rPr>
              <w:t>ինչը</w:t>
            </w:r>
            <w:r w:rsidRPr="0053423A">
              <w:rPr>
                <w:rFonts w:eastAsia="Calibri" w:cs="Calibri"/>
                <w:sz w:val="20"/>
                <w:szCs w:val="20"/>
                <w:lang w:val="tr-TR"/>
              </w:rPr>
              <w:t xml:space="preserve"> </w:t>
            </w:r>
            <w:r w:rsidRPr="0053423A">
              <w:rPr>
                <w:rFonts w:eastAsia="Calibri" w:cs="Calibri"/>
                <w:sz w:val="20"/>
                <w:szCs w:val="20"/>
              </w:rPr>
              <w:t>կինոլորտին</w:t>
            </w:r>
            <w:r w:rsidRPr="0053423A">
              <w:rPr>
                <w:rFonts w:eastAsia="Calibri" w:cs="Calibri"/>
                <w:sz w:val="20"/>
                <w:szCs w:val="20"/>
                <w:lang w:val="tr-TR"/>
              </w:rPr>
              <w:t xml:space="preserve"> </w:t>
            </w:r>
            <w:r w:rsidRPr="0053423A">
              <w:rPr>
                <w:rFonts w:eastAsia="Calibri" w:cs="Calibri"/>
                <w:sz w:val="20"/>
                <w:szCs w:val="20"/>
              </w:rPr>
              <w:t>կընձեռի</w:t>
            </w:r>
            <w:r w:rsidRPr="0053423A">
              <w:rPr>
                <w:rFonts w:eastAsia="Calibri" w:cs="Calibri"/>
                <w:sz w:val="20"/>
                <w:szCs w:val="20"/>
                <w:lang w:val="tr-TR"/>
              </w:rPr>
              <w:t xml:space="preserve"> </w:t>
            </w:r>
            <w:r w:rsidRPr="0053423A">
              <w:rPr>
                <w:rFonts w:eastAsia="Calibri" w:cs="Calibri"/>
                <w:sz w:val="20"/>
                <w:szCs w:val="20"/>
              </w:rPr>
              <w:t>նոր</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լայն</w:t>
            </w:r>
            <w:r w:rsidRPr="0053423A">
              <w:rPr>
                <w:rFonts w:eastAsia="Calibri" w:cs="Calibri"/>
                <w:sz w:val="20"/>
                <w:szCs w:val="20"/>
                <w:lang w:val="tr-TR"/>
              </w:rPr>
              <w:t xml:space="preserve"> </w:t>
            </w:r>
            <w:r w:rsidRPr="0053423A">
              <w:rPr>
                <w:rFonts w:eastAsia="Calibri" w:cs="Calibri"/>
                <w:sz w:val="20"/>
                <w:szCs w:val="20"/>
              </w:rPr>
              <w:t>հնարավորություններ</w:t>
            </w:r>
            <w:r w:rsidRPr="0053423A">
              <w:rPr>
                <w:rFonts w:eastAsia="Calibri" w:cs="Calibri"/>
                <w:sz w:val="20"/>
                <w:szCs w:val="20"/>
                <w:lang w:val="tr-TR"/>
              </w:rPr>
              <w:t xml:space="preserve"> </w:t>
            </w:r>
            <w:r w:rsidRPr="0053423A">
              <w:rPr>
                <w:rFonts w:eastAsia="Calibri" w:cs="Calibri"/>
                <w:sz w:val="20"/>
                <w:szCs w:val="20"/>
              </w:rPr>
              <w:t>եվրոպական</w:t>
            </w:r>
            <w:r w:rsidRPr="0053423A">
              <w:rPr>
                <w:rFonts w:eastAsia="Calibri" w:cs="Calibri"/>
                <w:sz w:val="20"/>
                <w:szCs w:val="20"/>
                <w:lang w:val="tr-TR"/>
              </w:rPr>
              <w:t xml:space="preserve"> </w:t>
            </w:r>
            <w:r w:rsidRPr="0053423A">
              <w:rPr>
                <w:rFonts w:eastAsia="Calibri" w:cs="Calibri"/>
                <w:sz w:val="20"/>
                <w:szCs w:val="20"/>
              </w:rPr>
              <w:t>համատեղ</w:t>
            </w:r>
            <w:r w:rsidRPr="0053423A">
              <w:rPr>
                <w:rFonts w:eastAsia="Calibri" w:cs="Calibri"/>
                <w:sz w:val="20"/>
                <w:szCs w:val="20"/>
                <w:lang w:val="tr-TR"/>
              </w:rPr>
              <w:t xml:space="preserve"> </w:t>
            </w:r>
            <w:r w:rsidRPr="0053423A">
              <w:rPr>
                <w:rFonts w:eastAsia="Calibri" w:cs="Calibri"/>
                <w:sz w:val="20"/>
                <w:szCs w:val="20"/>
              </w:rPr>
              <w:t>կինոարտադրության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տարածման</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 xml:space="preserve">: 2020 </w:t>
            </w:r>
            <w:r w:rsidRPr="0053423A">
              <w:rPr>
                <w:rFonts w:eastAsia="Calibri" w:cs="Calibri"/>
                <w:sz w:val="20"/>
                <w:szCs w:val="20"/>
              </w:rPr>
              <w:t>թ</w:t>
            </w:r>
            <w:r w:rsidRPr="0053423A">
              <w:rPr>
                <w:rFonts w:eastAsia="Calibri" w:cs="Calibri"/>
                <w:sz w:val="20"/>
                <w:szCs w:val="20"/>
                <w:lang w:val="tr-TR"/>
              </w:rPr>
              <w:t xml:space="preserve">. </w:t>
            </w:r>
            <w:r w:rsidRPr="0053423A">
              <w:rPr>
                <w:rFonts w:eastAsia="Calibri" w:cs="Calibri"/>
                <w:sz w:val="20"/>
                <w:szCs w:val="20"/>
              </w:rPr>
              <w:t>նախատեսվում</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Բրյուսելում</w:t>
            </w:r>
            <w:r w:rsidRPr="0053423A">
              <w:rPr>
                <w:rFonts w:eastAsia="Calibri" w:cs="Calibri"/>
                <w:sz w:val="20"/>
                <w:szCs w:val="20"/>
                <w:lang w:val="tr-TR"/>
              </w:rPr>
              <w:t xml:space="preserve"> </w:t>
            </w:r>
            <w:r w:rsidRPr="0053423A">
              <w:rPr>
                <w:rFonts w:eastAsia="Calibri" w:cs="Calibri"/>
                <w:sz w:val="20"/>
                <w:szCs w:val="20"/>
              </w:rPr>
              <w:t>որպես</w:t>
            </w:r>
            <w:r w:rsidRPr="0053423A">
              <w:rPr>
                <w:rFonts w:eastAsia="Calibri" w:cs="Calibri"/>
                <w:sz w:val="20"/>
                <w:szCs w:val="20"/>
                <w:lang w:val="tr-TR"/>
              </w:rPr>
              <w:t xml:space="preserve"> </w:t>
            </w:r>
            <w:r w:rsidRPr="0053423A">
              <w:rPr>
                <w:rFonts w:eastAsia="Calibri" w:cs="Calibri"/>
                <w:sz w:val="20"/>
                <w:szCs w:val="20"/>
              </w:rPr>
              <w:t>հատուկ</w:t>
            </w:r>
            <w:r w:rsidRPr="0053423A">
              <w:rPr>
                <w:rFonts w:eastAsia="Calibri" w:cs="Calibri"/>
                <w:sz w:val="20"/>
                <w:szCs w:val="20"/>
                <w:lang w:val="tr-TR"/>
              </w:rPr>
              <w:t xml:space="preserve"> </w:t>
            </w:r>
            <w:r w:rsidRPr="0053423A">
              <w:rPr>
                <w:rFonts w:eastAsia="Calibri" w:cs="Calibri"/>
                <w:sz w:val="20"/>
                <w:szCs w:val="20"/>
              </w:rPr>
              <w:t>հյուր</w:t>
            </w:r>
            <w:r w:rsidRPr="0053423A">
              <w:rPr>
                <w:rFonts w:eastAsia="Calibri" w:cs="Calibri"/>
                <w:sz w:val="20"/>
                <w:szCs w:val="20"/>
                <w:lang w:val="tr-TR"/>
              </w:rPr>
              <w:t xml:space="preserve"> </w:t>
            </w:r>
            <w:r w:rsidRPr="0053423A">
              <w:rPr>
                <w:rFonts w:eastAsia="Calibri" w:cs="Calibri"/>
                <w:sz w:val="20"/>
                <w:szCs w:val="20"/>
              </w:rPr>
              <w:t>մասնակցել</w:t>
            </w:r>
            <w:r w:rsidRPr="0053423A">
              <w:rPr>
                <w:rFonts w:eastAsia="Calibri" w:cs="Calibri"/>
                <w:sz w:val="20"/>
                <w:szCs w:val="20"/>
                <w:lang w:val="tr-TR"/>
              </w:rPr>
              <w:t xml:space="preserve"> </w:t>
            </w:r>
            <w:r w:rsidRPr="0053423A">
              <w:rPr>
                <w:rFonts w:eastAsia="Calibri" w:cs="Calibri"/>
                <w:sz w:val="20"/>
                <w:szCs w:val="20"/>
              </w:rPr>
              <w:t>Եվրոպալիա</w:t>
            </w:r>
            <w:r w:rsidRPr="0053423A">
              <w:rPr>
                <w:rFonts w:eastAsia="Calibri" w:cs="Calibri"/>
                <w:sz w:val="20"/>
                <w:szCs w:val="20"/>
                <w:lang w:val="tr-TR"/>
              </w:rPr>
              <w:t xml:space="preserve"> </w:t>
            </w:r>
            <w:r w:rsidRPr="0053423A">
              <w:rPr>
                <w:rFonts w:eastAsia="Calibri" w:cs="Calibri"/>
                <w:sz w:val="20"/>
                <w:szCs w:val="20"/>
              </w:rPr>
              <w:t>փառատոնին</w:t>
            </w:r>
            <w:r w:rsidRPr="0053423A">
              <w:rPr>
                <w:rFonts w:eastAsia="Calibri" w:cs="Calibri"/>
                <w:sz w:val="20"/>
                <w:szCs w:val="20"/>
                <w:lang w:val="tr-TR"/>
              </w:rPr>
              <w:t xml:space="preserve">, </w:t>
            </w:r>
            <w:r w:rsidRPr="0053423A">
              <w:rPr>
                <w:rFonts w:eastAsia="Calibri" w:cs="Calibri"/>
                <w:sz w:val="20"/>
                <w:szCs w:val="20"/>
              </w:rPr>
              <w:t>ինչը</w:t>
            </w:r>
            <w:r w:rsidRPr="0053423A">
              <w:rPr>
                <w:rFonts w:eastAsia="Calibri" w:cs="Calibri"/>
                <w:sz w:val="20"/>
                <w:szCs w:val="20"/>
                <w:lang w:val="tr-TR"/>
              </w:rPr>
              <w:t xml:space="preserve"> </w:t>
            </w:r>
            <w:r w:rsidRPr="0053423A">
              <w:rPr>
                <w:rFonts w:eastAsia="Calibri" w:cs="Calibri"/>
                <w:sz w:val="20"/>
                <w:szCs w:val="20"/>
              </w:rPr>
              <w:t>մեծապես</w:t>
            </w:r>
            <w:r w:rsidRPr="0053423A">
              <w:rPr>
                <w:rFonts w:eastAsia="Calibri" w:cs="Calibri"/>
                <w:sz w:val="20"/>
                <w:szCs w:val="20"/>
                <w:lang w:val="tr-TR"/>
              </w:rPr>
              <w:t xml:space="preserve"> </w:t>
            </w:r>
            <w:r w:rsidRPr="0053423A">
              <w:rPr>
                <w:rFonts w:eastAsia="Calibri" w:cs="Calibri"/>
                <w:sz w:val="20"/>
                <w:szCs w:val="20"/>
              </w:rPr>
              <w:t>կբարձրացնի</w:t>
            </w:r>
            <w:r w:rsidRPr="0053423A">
              <w:rPr>
                <w:rFonts w:eastAsia="Calibri" w:cs="Calibri"/>
                <w:sz w:val="20"/>
                <w:szCs w:val="20"/>
                <w:lang w:val="tr-TR"/>
              </w:rPr>
              <w:t xml:space="preserve"> </w:t>
            </w:r>
            <w:r w:rsidRPr="0053423A">
              <w:rPr>
                <w:rFonts w:eastAsia="Calibri" w:cs="Calibri"/>
                <w:sz w:val="20"/>
                <w:szCs w:val="20"/>
              </w:rPr>
              <w:t>ԵՄ</w:t>
            </w:r>
            <w:r w:rsidRPr="0053423A">
              <w:rPr>
                <w:rFonts w:eastAsia="Calibri" w:cs="Calibri"/>
                <w:sz w:val="20"/>
                <w:szCs w:val="20"/>
                <w:lang w:val="tr-TR"/>
              </w:rPr>
              <w:t>-</w:t>
            </w:r>
            <w:r w:rsidRPr="0053423A">
              <w:rPr>
                <w:rFonts w:eastAsia="Calibri" w:cs="Calibri"/>
                <w:sz w:val="20"/>
                <w:szCs w:val="20"/>
              </w:rPr>
              <w:t>ում</w:t>
            </w:r>
            <w:r w:rsidRPr="0053423A">
              <w:rPr>
                <w:rFonts w:eastAsia="Calibri" w:cs="Calibri"/>
                <w:sz w:val="20"/>
                <w:szCs w:val="20"/>
                <w:lang w:val="tr-TR"/>
              </w:rPr>
              <w:t xml:space="preserve"> </w:t>
            </w:r>
            <w:r w:rsidRPr="0053423A">
              <w:rPr>
                <w:rFonts w:eastAsia="Calibri" w:cs="Calibri"/>
                <w:sz w:val="20"/>
                <w:szCs w:val="20"/>
              </w:rPr>
              <w:t>Հայաստանի</w:t>
            </w:r>
            <w:r w:rsidRPr="0053423A">
              <w:rPr>
                <w:rFonts w:eastAsia="Calibri" w:cs="Calibri"/>
                <w:sz w:val="20"/>
                <w:szCs w:val="20"/>
                <w:lang w:val="tr-TR"/>
              </w:rPr>
              <w:t xml:space="preserve"> </w:t>
            </w:r>
            <w:r w:rsidRPr="0053423A">
              <w:rPr>
                <w:rFonts w:eastAsia="Calibri" w:cs="Calibri"/>
                <w:sz w:val="20"/>
                <w:szCs w:val="20"/>
              </w:rPr>
              <w:t>մշակույթի</w:t>
            </w:r>
            <w:r w:rsidRPr="0053423A">
              <w:rPr>
                <w:rFonts w:eastAsia="Calibri" w:cs="Calibri"/>
                <w:sz w:val="20"/>
                <w:szCs w:val="20"/>
                <w:lang w:val="tr-TR"/>
              </w:rPr>
              <w:t xml:space="preserve"> </w:t>
            </w:r>
            <w:r w:rsidRPr="0053423A">
              <w:rPr>
                <w:rFonts w:eastAsia="Calibri" w:cs="Calibri"/>
                <w:sz w:val="20"/>
                <w:szCs w:val="20"/>
              </w:rPr>
              <w:t>ճանաչելիությունը</w:t>
            </w:r>
            <w:r w:rsidRPr="0053423A">
              <w:rPr>
                <w:rFonts w:eastAsia="Calibri" w:cs="Calibri"/>
                <w:sz w:val="20"/>
                <w:szCs w:val="20"/>
                <w:lang w:val="tr-TR"/>
              </w:rPr>
              <w:t xml:space="preserve">: </w:t>
            </w:r>
            <w:r w:rsidRPr="0053423A">
              <w:rPr>
                <w:rFonts w:eastAsia="Calibri" w:cs="Calibri"/>
                <w:sz w:val="20"/>
                <w:szCs w:val="20"/>
              </w:rPr>
              <w:t>Ծրագրի</w:t>
            </w:r>
            <w:r w:rsidRPr="0053423A">
              <w:rPr>
                <w:rFonts w:eastAsia="Calibri" w:cs="Calibri"/>
                <w:sz w:val="20"/>
                <w:szCs w:val="20"/>
                <w:lang w:val="tr-TR"/>
              </w:rPr>
              <w:t xml:space="preserve"> </w:t>
            </w:r>
            <w:r w:rsidRPr="0053423A">
              <w:rPr>
                <w:rFonts w:eastAsia="Calibri" w:cs="Calibri"/>
                <w:sz w:val="20"/>
                <w:szCs w:val="20"/>
              </w:rPr>
              <w:t>իրականացման</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 xml:space="preserve"> </w:t>
            </w:r>
            <w:r w:rsidRPr="0053423A">
              <w:rPr>
                <w:rFonts w:eastAsia="Calibri" w:cs="Calibri"/>
                <w:sz w:val="20"/>
                <w:szCs w:val="20"/>
              </w:rPr>
              <w:t>անհրաժեշտ</w:t>
            </w:r>
            <w:r w:rsidRPr="0053423A">
              <w:rPr>
                <w:rFonts w:eastAsia="Calibri" w:cs="Calibri"/>
                <w:sz w:val="20"/>
                <w:szCs w:val="20"/>
                <w:lang w:val="tr-TR"/>
              </w:rPr>
              <w:t xml:space="preserve"> </w:t>
            </w:r>
            <w:r w:rsidRPr="0053423A">
              <w:rPr>
                <w:rFonts w:eastAsia="Calibri" w:cs="Calibri"/>
                <w:sz w:val="20"/>
                <w:szCs w:val="20"/>
              </w:rPr>
              <w:t>են</w:t>
            </w:r>
            <w:r w:rsidRPr="0053423A">
              <w:rPr>
                <w:rFonts w:eastAsia="Calibri" w:cs="Calibri"/>
                <w:sz w:val="20"/>
                <w:szCs w:val="20"/>
                <w:lang w:val="tr-TR"/>
              </w:rPr>
              <w:t xml:space="preserve"> </w:t>
            </w:r>
            <w:r w:rsidRPr="0053423A">
              <w:rPr>
                <w:rFonts w:eastAsia="Calibri" w:cs="Calibri"/>
                <w:sz w:val="20"/>
                <w:szCs w:val="20"/>
              </w:rPr>
              <w:t>լրացուցիչ</w:t>
            </w:r>
            <w:r w:rsidRPr="0053423A">
              <w:rPr>
                <w:rFonts w:eastAsia="Calibri" w:cs="Calibri"/>
                <w:sz w:val="20"/>
                <w:szCs w:val="20"/>
                <w:lang w:val="tr-TR"/>
              </w:rPr>
              <w:t xml:space="preserve"> </w:t>
            </w:r>
            <w:r w:rsidRPr="0053423A">
              <w:rPr>
                <w:rFonts w:eastAsia="Calibri" w:cs="Calibri"/>
                <w:sz w:val="20"/>
                <w:szCs w:val="20"/>
              </w:rPr>
              <w:t>միջոցներ</w:t>
            </w:r>
            <w:r w:rsidRPr="0053423A">
              <w:rPr>
                <w:rFonts w:eastAsia="Calibri" w:cs="Calibri"/>
                <w:sz w:val="20"/>
                <w:szCs w:val="20"/>
                <w:lang w:val="tr-TR"/>
              </w:rPr>
              <w:t>:</w:t>
            </w:r>
          </w:p>
          <w:p w:rsidR="00A67B6B" w:rsidRPr="0053423A" w:rsidRDefault="00A67B6B" w:rsidP="00A67858">
            <w:pPr>
              <w:tabs>
                <w:tab w:val="left" w:pos="508"/>
              </w:tabs>
              <w:spacing w:after="0" w:line="276" w:lineRule="auto"/>
              <w:jc w:val="both"/>
              <w:rPr>
                <w:rFonts w:eastAsia="Calibri" w:cs="Calibri"/>
                <w:sz w:val="20"/>
                <w:szCs w:val="20"/>
                <w:lang w:val="tr-TR"/>
              </w:rPr>
            </w:pPr>
          </w:p>
          <w:p w:rsidR="00A67B6B" w:rsidRPr="0053423A" w:rsidRDefault="00A67B6B" w:rsidP="00A67858">
            <w:pPr>
              <w:tabs>
                <w:tab w:val="left" w:pos="508"/>
              </w:tabs>
              <w:spacing w:after="0" w:line="276" w:lineRule="auto"/>
              <w:jc w:val="both"/>
              <w:rPr>
                <w:rFonts w:eastAsia="Calibri" w:cs="Calibri"/>
                <w:b/>
                <w:sz w:val="20"/>
                <w:szCs w:val="20"/>
                <w:lang w:val="tr-TR"/>
              </w:rPr>
            </w:pPr>
          </w:p>
          <w:p w:rsidR="00A67B6B" w:rsidRPr="0053423A" w:rsidRDefault="00A67B6B" w:rsidP="001F6D5D">
            <w:pPr>
              <w:numPr>
                <w:ilvl w:val="0"/>
                <w:numId w:val="230"/>
              </w:numPr>
              <w:tabs>
                <w:tab w:val="left" w:pos="508"/>
              </w:tabs>
              <w:spacing w:after="0" w:line="276" w:lineRule="auto"/>
              <w:jc w:val="both"/>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իրականացումից</w:t>
            </w:r>
            <w:r w:rsidRPr="0053423A">
              <w:rPr>
                <w:rFonts w:eastAsia="Calibri" w:cs="Calibri"/>
                <w:b/>
                <w:sz w:val="20"/>
                <w:szCs w:val="20"/>
                <w:lang w:val="tr-TR"/>
              </w:rPr>
              <w:t xml:space="preserve"> </w:t>
            </w:r>
            <w:r w:rsidRPr="0053423A">
              <w:rPr>
                <w:rFonts w:eastAsia="Calibri" w:cs="Calibri"/>
                <w:b/>
                <w:sz w:val="20"/>
                <w:szCs w:val="20"/>
              </w:rPr>
              <w:t>ակնկալվող</w:t>
            </w:r>
            <w:r w:rsidRPr="0053423A">
              <w:rPr>
                <w:rFonts w:eastAsia="Calibri" w:cs="Calibri"/>
                <w:b/>
                <w:sz w:val="20"/>
                <w:szCs w:val="20"/>
                <w:lang w:val="tr-TR"/>
              </w:rPr>
              <w:t xml:space="preserve"> </w:t>
            </w:r>
            <w:r w:rsidRPr="0053423A">
              <w:rPr>
                <w:rFonts w:eastAsia="Calibri" w:cs="Calibri"/>
                <w:b/>
                <w:sz w:val="20"/>
                <w:szCs w:val="20"/>
              </w:rPr>
              <w:t>արդյունքը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Նշյալ</w:t>
            </w:r>
            <w:r w:rsidRPr="0053423A">
              <w:rPr>
                <w:rFonts w:eastAsia="Calibri" w:cs="Calibri"/>
                <w:sz w:val="20"/>
                <w:szCs w:val="20"/>
                <w:lang w:val="tr-TR"/>
              </w:rPr>
              <w:t xml:space="preserve"> </w:t>
            </w:r>
            <w:r w:rsidRPr="0053423A">
              <w:rPr>
                <w:rFonts w:eastAsia="Calibri" w:cs="Calibri"/>
                <w:sz w:val="20"/>
                <w:szCs w:val="20"/>
              </w:rPr>
              <w:t>կառույցների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ակտիվ</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հետևողական</w:t>
            </w:r>
            <w:r w:rsidRPr="0053423A">
              <w:rPr>
                <w:rFonts w:eastAsia="Calibri" w:cs="Calibri"/>
                <w:sz w:val="20"/>
                <w:szCs w:val="20"/>
                <w:lang w:val="tr-TR"/>
              </w:rPr>
              <w:t xml:space="preserve"> </w:t>
            </w:r>
            <w:r w:rsidRPr="0053423A">
              <w:rPr>
                <w:rFonts w:eastAsia="Calibri" w:cs="Calibri"/>
                <w:sz w:val="20"/>
                <w:szCs w:val="20"/>
              </w:rPr>
              <w:t>համագործակցության</w:t>
            </w:r>
            <w:r w:rsidRPr="0053423A">
              <w:rPr>
                <w:rFonts w:eastAsia="Calibri" w:cs="Calibri"/>
                <w:sz w:val="20"/>
                <w:szCs w:val="20"/>
                <w:lang w:val="tr-TR"/>
              </w:rPr>
              <w:t xml:space="preserve"> </w:t>
            </w:r>
            <w:r w:rsidRPr="0053423A">
              <w:rPr>
                <w:rFonts w:eastAsia="Calibri" w:cs="Calibri"/>
                <w:sz w:val="20"/>
                <w:szCs w:val="20"/>
              </w:rPr>
              <w:t>արդյունքում</w:t>
            </w:r>
            <w:r w:rsidRPr="0053423A">
              <w:rPr>
                <w:rFonts w:eastAsia="Calibri" w:cs="Calibri"/>
                <w:sz w:val="20"/>
                <w:szCs w:val="20"/>
                <w:lang w:val="tr-TR"/>
              </w:rPr>
              <w:t xml:space="preserve"> </w:t>
            </w:r>
            <w:r w:rsidRPr="0053423A">
              <w:rPr>
                <w:rFonts w:eastAsia="Calibri" w:cs="Calibri"/>
                <w:sz w:val="20"/>
                <w:szCs w:val="20"/>
              </w:rPr>
              <w:t>հնարավոր</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պահպանել</w:t>
            </w:r>
            <w:r w:rsidRPr="0053423A">
              <w:rPr>
                <w:rFonts w:eastAsia="Calibri" w:cs="Calibri"/>
                <w:sz w:val="20"/>
                <w:szCs w:val="20"/>
                <w:lang w:val="tr-TR"/>
              </w:rPr>
              <w:t xml:space="preserve">, </w:t>
            </w:r>
            <w:r w:rsidRPr="0053423A">
              <w:rPr>
                <w:rFonts w:eastAsia="Calibri" w:cs="Calibri"/>
                <w:sz w:val="20"/>
                <w:szCs w:val="20"/>
              </w:rPr>
              <w:t>հանրահռչակել</w:t>
            </w:r>
            <w:r w:rsidRPr="0053423A">
              <w:rPr>
                <w:rFonts w:eastAsia="Calibri" w:cs="Calibri"/>
                <w:sz w:val="20"/>
                <w:szCs w:val="20"/>
                <w:lang w:val="tr-TR"/>
              </w:rPr>
              <w:t xml:space="preserve"> </w:t>
            </w:r>
            <w:r w:rsidRPr="0053423A">
              <w:rPr>
                <w:rFonts w:eastAsia="Calibri" w:cs="Calibri"/>
                <w:sz w:val="20"/>
                <w:szCs w:val="20"/>
              </w:rPr>
              <w:t>հայկական</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ժառանգությունը</w:t>
            </w:r>
            <w:r w:rsidRPr="0053423A">
              <w:rPr>
                <w:rFonts w:eastAsia="Calibri" w:cs="Calibri"/>
                <w:sz w:val="20"/>
                <w:szCs w:val="20"/>
                <w:lang w:val="tr-TR"/>
              </w:rPr>
              <w:t xml:space="preserve">, </w:t>
            </w:r>
            <w:r w:rsidRPr="0053423A">
              <w:rPr>
                <w:rFonts w:eastAsia="Calibri" w:cs="Calibri"/>
                <w:sz w:val="20"/>
                <w:szCs w:val="20"/>
              </w:rPr>
              <w:t>աշխահին</w:t>
            </w:r>
            <w:r w:rsidRPr="0053423A">
              <w:rPr>
                <w:rFonts w:eastAsia="Calibri" w:cs="Calibri"/>
                <w:sz w:val="20"/>
                <w:szCs w:val="20"/>
                <w:lang w:val="tr-TR"/>
              </w:rPr>
              <w:t xml:space="preserve"> </w:t>
            </w:r>
            <w:r w:rsidRPr="0053423A">
              <w:rPr>
                <w:rFonts w:eastAsia="Calibri" w:cs="Calibri"/>
                <w:sz w:val="20"/>
                <w:szCs w:val="20"/>
              </w:rPr>
              <w:t>հայտնի</w:t>
            </w:r>
            <w:r w:rsidRPr="0053423A">
              <w:rPr>
                <w:rFonts w:eastAsia="Calibri" w:cs="Calibri"/>
                <w:sz w:val="20"/>
                <w:szCs w:val="20"/>
                <w:lang w:val="tr-TR"/>
              </w:rPr>
              <w:t xml:space="preserve"> </w:t>
            </w:r>
            <w:r w:rsidRPr="0053423A">
              <w:rPr>
                <w:rFonts w:eastAsia="Calibri" w:cs="Calibri"/>
                <w:sz w:val="20"/>
                <w:szCs w:val="20"/>
              </w:rPr>
              <w:t>դարձնել</w:t>
            </w:r>
            <w:r w:rsidRPr="0053423A">
              <w:rPr>
                <w:rFonts w:eastAsia="Calibri" w:cs="Calibri"/>
                <w:sz w:val="20"/>
                <w:szCs w:val="20"/>
                <w:lang w:val="tr-TR"/>
              </w:rPr>
              <w:t xml:space="preserve"> </w:t>
            </w:r>
            <w:r w:rsidRPr="0053423A">
              <w:rPr>
                <w:rFonts w:eastAsia="Calibri" w:cs="Calibri"/>
                <w:sz w:val="20"/>
                <w:szCs w:val="20"/>
              </w:rPr>
              <w:t>հայկական</w:t>
            </w:r>
            <w:r w:rsidRPr="0053423A">
              <w:rPr>
                <w:rFonts w:eastAsia="Calibri" w:cs="Calibri"/>
                <w:sz w:val="20"/>
                <w:szCs w:val="20"/>
                <w:lang w:val="tr-TR"/>
              </w:rPr>
              <w:t xml:space="preserve"> </w:t>
            </w:r>
            <w:r w:rsidRPr="0053423A">
              <w:rPr>
                <w:rFonts w:eastAsia="Calibri" w:cs="Calibri"/>
                <w:sz w:val="20"/>
                <w:szCs w:val="20"/>
              </w:rPr>
              <w:t>պատմամշակութային</w:t>
            </w:r>
            <w:r w:rsidRPr="0053423A">
              <w:rPr>
                <w:rFonts w:eastAsia="Calibri" w:cs="Calibri"/>
                <w:sz w:val="20"/>
                <w:szCs w:val="20"/>
                <w:lang w:val="tr-TR"/>
              </w:rPr>
              <w:t xml:space="preserve"> </w:t>
            </w:r>
            <w:r w:rsidRPr="0053423A">
              <w:rPr>
                <w:rFonts w:eastAsia="Calibri" w:cs="Calibri"/>
                <w:sz w:val="20"/>
                <w:szCs w:val="20"/>
              </w:rPr>
              <w:t>առանձնահատկությունները</w:t>
            </w:r>
            <w:r w:rsidRPr="0053423A">
              <w:rPr>
                <w:rFonts w:eastAsia="Calibri" w:cs="Calibri"/>
                <w:sz w:val="20"/>
                <w:szCs w:val="20"/>
                <w:lang w:val="tr-TR"/>
              </w:rPr>
              <w:t xml:space="preserve">, </w:t>
            </w:r>
            <w:r w:rsidRPr="0053423A">
              <w:rPr>
                <w:rFonts w:eastAsia="Calibri" w:cs="Calibri"/>
                <w:sz w:val="20"/>
                <w:szCs w:val="20"/>
              </w:rPr>
              <w:t>վարել</w:t>
            </w:r>
            <w:r w:rsidRPr="0053423A">
              <w:rPr>
                <w:rFonts w:eastAsia="Calibri" w:cs="Calibri"/>
                <w:sz w:val="20"/>
                <w:szCs w:val="20"/>
                <w:lang w:val="tr-TR"/>
              </w:rPr>
              <w:t xml:space="preserve"> </w:t>
            </w:r>
            <w:r w:rsidRPr="0053423A">
              <w:rPr>
                <w:rFonts w:eastAsia="Calibri" w:cs="Calibri"/>
                <w:sz w:val="20"/>
                <w:szCs w:val="20"/>
              </w:rPr>
              <w:t>ճիշտ</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դիվանագիտություն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ներկայացնել</w:t>
            </w:r>
            <w:r w:rsidRPr="0053423A">
              <w:rPr>
                <w:rFonts w:eastAsia="Calibri" w:cs="Calibri"/>
                <w:sz w:val="20"/>
                <w:szCs w:val="20"/>
                <w:lang w:val="tr-TR"/>
              </w:rPr>
              <w:t xml:space="preserve"> </w:t>
            </w:r>
            <w:r w:rsidRPr="0053423A">
              <w:rPr>
                <w:rFonts w:eastAsia="Calibri" w:cs="Calibri"/>
                <w:sz w:val="20"/>
                <w:szCs w:val="20"/>
              </w:rPr>
              <w:t>միջազգային</w:t>
            </w:r>
            <w:r w:rsidRPr="0053423A">
              <w:rPr>
                <w:rFonts w:eastAsia="Calibri" w:cs="Calibri"/>
                <w:sz w:val="20"/>
                <w:szCs w:val="20"/>
                <w:lang w:val="tr-TR"/>
              </w:rPr>
              <w:t xml:space="preserve"> </w:t>
            </w:r>
            <w:r w:rsidRPr="0053423A">
              <w:rPr>
                <w:rFonts w:eastAsia="Calibri" w:cs="Calibri"/>
                <w:sz w:val="20"/>
                <w:szCs w:val="20"/>
              </w:rPr>
              <w:t>հանրությանը</w:t>
            </w:r>
            <w:r w:rsidRPr="0053423A">
              <w:rPr>
                <w:rFonts w:eastAsia="Calibri" w:cs="Calibri"/>
                <w:sz w:val="20"/>
                <w:szCs w:val="20"/>
                <w:lang w:val="tr-TR"/>
              </w:rPr>
              <w:t xml:space="preserve"> </w:t>
            </w:r>
            <w:r w:rsidRPr="0053423A">
              <w:rPr>
                <w:rFonts w:eastAsia="Calibri" w:cs="Calibri"/>
                <w:sz w:val="20"/>
                <w:szCs w:val="20"/>
              </w:rPr>
              <w:t>հայկական</w:t>
            </w:r>
            <w:r w:rsidRPr="0053423A">
              <w:rPr>
                <w:rFonts w:eastAsia="Calibri" w:cs="Calibri"/>
                <w:sz w:val="20"/>
                <w:szCs w:val="20"/>
                <w:lang w:val="tr-TR"/>
              </w:rPr>
              <w:t xml:space="preserve"> </w:t>
            </w:r>
            <w:r w:rsidRPr="0053423A">
              <w:rPr>
                <w:rFonts w:eastAsia="Calibri" w:cs="Calibri"/>
                <w:sz w:val="20"/>
                <w:szCs w:val="20"/>
              </w:rPr>
              <w:t>մշակույթի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ստեղծարար</w:t>
            </w:r>
            <w:r w:rsidRPr="0053423A">
              <w:rPr>
                <w:rFonts w:eastAsia="Calibri" w:cs="Calibri"/>
                <w:sz w:val="20"/>
                <w:szCs w:val="20"/>
                <w:lang w:val="tr-TR"/>
              </w:rPr>
              <w:t xml:space="preserve"> </w:t>
            </w:r>
            <w:r w:rsidRPr="0053423A">
              <w:rPr>
                <w:rFonts w:eastAsia="Calibri" w:cs="Calibri"/>
                <w:sz w:val="20"/>
                <w:szCs w:val="20"/>
              </w:rPr>
              <w:t>մտքի</w:t>
            </w:r>
            <w:r w:rsidRPr="0053423A">
              <w:rPr>
                <w:rFonts w:eastAsia="Calibri" w:cs="Calibri"/>
                <w:sz w:val="20"/>
                <w:szCs w:val="20"/>
                <w:lang w:val="tr-TR"/>
              </w:rPr>
              <w:t xml:space="preserve"> </w:t>
            </w:r>
            <w:r w:rsidRPr="0053423A">
              <w:rPr>
                <w:rFonts w:eastAsia="Calibri" w:cs="Calibri"/>
                <w:sz w:val="20"/>
                <w:szCs w:val="20"/>
              </w:rPr>
              <w:t>պոտենցիալը</w:t>
            </w:r>
            <w:r w:rsidRPr="0053423A">
              <w:rPr>
                <w:rFonts w:eastAsia="Calibri" w:cs="Calibri"/>
                <w:sz w:val="20"/>
                <w:szCs w:val="20"/>
                <w:lang w:val="tr-TR"/>
              </w:rPr>
              <w:t>:</w:t>
            </w:r>
          </w:p>
          <w:p w:rsidR="00A67B6B" w:rsidRPr="0053423A" w:rsidRDefault="00A67B6B" w:rsidP="00A67858">
            <w:pPr>
              <w:tabs>
                <w:tab w:val="left" w:pos="508"/>
              </w:tabs>
              <w:spacing w:after="0" w:line="276" w:lineRule="auto"/>
              <w:jc w:val="center"/>
              <w:rPr>
                <w:rFonts w:eastAsia="Calibri" w:cs="Calibri"/>
                <w:sz w:val="20"/>
                <w:szCs w:val="20"/>
                <w:lang w:val="tr-TR"/>
              </w:rPr>
            </w:pPr>
          </w:p>
          <w:p w:rsidR="00A67B6B" w:rsidRPr="0053423A" w:rsidRDefault="00A67B6B" w:rsidP="00A67858">
            <w:pPr>
              <w:tabs>
                <w:tab w:val="left" w:pos="508"/>
              </w:tabs>
              <w:spacing w:after="0" w:line="276" w:lineRule="auto"/>
              <w:jc w:val="center"/>
              <w:rPr>
                <w:rFonts w:eastAsia="Calibri" w:cs="Calibri"/>
                <w:b/>
                <w:sz w:val="20"/>
                <w:szCs w:val="20"/>
                <w:lang w:val="tr-TR"/>
              </w:rPr>
            </w:pPr>
            <w:r w:rsidRPr="0053423A">
              <w:rPr>
                <w:rFonts w:eastAsia="Calibri" w:cs="Calibri"/>
                <w:b/>
                <w:sz w:val="20"/>
                <w:szCs w:val="20"/>
                <w:lang w:val="tr-TR"/>
              </w:rPr>
              <w:t xml:space="preserve">11.5 </w:t>
            </w:r>
            <w:r w:rsidRPr="0053423A">
              <w:rPr>
                <w:rFonts w:eastAsia="Calibri" w:cs="Calibri"/>
                <w:b/>
                <w:sz w:val="20"/>
                <w:szCs w:val="20"/>
                <w:lang w:val="hy-AM"/>
              </w:rPr>
              <w:t>Միջազգային հեղինակավոր փառատոներին, մրցույթներին, կոնֆերանսներին հայ արվեստագետների, ոլորտի մասնագետների մասնակցության ապահովում</w:t>
            </w:r>
          </w:p>
          <w:p w:rsidR="00A67B6B" w:rsidRPr="0053423A" w:rsidRDefault="00A67B6B" w:rsidP="00A67858">
            <w:pPr>
              <w:tabs>
                <w:tab w:val="left" w:pos="508"/>
              </w:tabs>
              <w:spacing w:after="0" w:line="276" w:lineRule="auto"/>
              <w:jc w:val="center"/>
              <w:rPr>
                <w:rFonts w:eastAsia="Calibri" w:cs="Calibri"/>
                <w:sz w:val="20"/>
                <w:szCs w:val="20"/>
                <w:lang w:val="tr-TR"/>
              </w:rPr>
            </w:pPr>
          </w:p>
          <w:p w:rsidR="00A67B6B" w:rsidRPr="0053423A" w:rsidRDefault="00A67B6B" w:rsidP="001F6D5D">
            <w:pPr>
              <w:numPr>
                <w:ilvl w:val="0"/>
                <w:numId w:val="231"/>
              </w:numPr>
              <w:tabs>
                <w:tab w:val="left" w:pos="508"/>
              </w:tabs>
              <w:spacing w:after="0" w:line="276" w:lineRule="auto"/>
              <w:ind w:hanging="720"/>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իրականացման</w:t>
            </w:r>
            <w:r w:rsidRPr="0053423A">
              <w:rPr>
                <w:rFonts w:eastAsia="Calibri" w:cs="Calibri"/>
                <w:b/>
                <w:sz w:val="20"/>
                <w:szCs w:val="20"/>
                <w:lang w:val="tr-TR"/>
              </w:rPr>
              <w:t xml:space="preserve"> </w:t>
            </w:r>
            <w:r w:rsidRPr="0053423A">
              <w:rPr>
                <w:rFonts w:eastAsia="Calibri" w:cs="Calibri"/>
                <w:b/>
                <w:sz w:val="20"/>
                <w:szCs w:val="20"/>
              </w:rPr>
              <w:t>անհրաժեշտությունը</w:t>
            </w:r>
            <w:r w:rsidRPr="0053423A">
              <w:rPr>
                <w:rFonts w:eastAsia="Calibri" w:cs="Calibri"/>
                <w:b/>
                <w:sz w:val="20"/>
                <w:szCs w:val="20"/>
                <w:lang w:val="tr-TR"/>
              </w:rPr>
              <w:t xml:space="preserve"> </w:t>
            </w:r>
            <w:r w:rsidRPr="0053423A">
              <w:rPr>
                <w:rFonts w:eastAsia="Calibri" w:cs="Calibri"/>
                <w:b/>
                <w:sz w:val="20"/>
                <w:szCs w:val="20"/>
              </w:rPr>
              <w:t>և</w:t>
            </w:r>
            <w:r w:rsidRPr="0053423A">
              <w:rPr>
                <w:rFonts w:eastAsia="Calibri" w:cs="Calibri"/>
                <w:b/>
                <w:sz w:val="20"/>
                <w:szCs w:val="20"/>
                <w:lang w:val="tr-TR"/>
              </w:rPr>
              <w:t xml:space="preserve"> </w:t>
            </w:r>
            <w:r w:rsidRPr="0053423A">
              <w:rPr>
                <w:rFonts w:eastAsia="Calibri" w:cs="Calibri"/>
                <w:b/>
                <w:sz w:val="20"/>
                <w:szCs w:val="20"/>
              </w:rPr>
              <w:t>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Calibri"/>
                <w:sz w:val="20"/>
                <w:szCs w:val="20"/>
              </w:rPr>
              <w:t>Աշխարհում</w:t>
            </w:r>
            <w:r w:rsidRPr="0053423A">
              <w:rPr>
                <w:rFonts w:eastAsia="Calibri" w:cs="Calibri"/>
                <w:sz w:val="20"/>
                <w:szCs w:val="20"/>
                <w:lang w:val="tr-TR"/>
              </w:rPr>
              <w:t xml:space="preserve"> </w:t>
            </w:r>
            <w:r w:rsidRPr="0053423A">
              <w:rPr>
                <w:rFonts w:eastAsia="Calibri" w:cs="Calibri"/>
                <w:sz w:val="20"/>
                <w:szCs w:val="20"/>
              </w:rPr>
              <w:t>մեծ</w:t>
            </w:r>
            <w:r w:rsidRPr="0053423A">
              <w:rPr>
                <w:rFonts w:eastAsia="Calibri" w:cs="Calibri"/>
                <w:sz w:val="20"/>
                <w:szCs w:val="20"/>
                <w:lang w:val="tr-TR"/>
              </w:rPr>
              <w:t xml:space="preserve"> </w:t>
            </w:r>
            <w:r w:rsidRPr="0053423A">
              <w:rPr>
                <w:rFonts w:eastAsia="Calibri" w:cs="Calibri"/>
                <w:sz w:val="20"/>
                <w:szCs w:val="20"/>
              </w:rPr>
              <w:t>ճանաչում</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բարձր</w:t>
            </w:r>
            <w:r w:rsidRPr="0053423A">
              <w:rPr>
                <w:rFonts w:eastAsia="Calibri" w:cs="Calibri"/>
                <w:sz w:val="20"/>
                <w:szCs w:val="20"/>
                <w:lang w:val="tr-TR"/>
              </w:rPr>
              <w:t xml:space="preserve"> </w:t>
            </w:r>
            <w:r w:rsidRPr="0053423A">
              <w:rPr>
                <w:rFonts w:eastAsia="Calibri" w:cs="Calibri"/>
                <w:sz w:val="20"/>
                <w:szCs w:val="20"/>
              </w:rPr>
              <w:t>հեղինակություն</w:t>
            </w:r>
            <w:r w:rsidRPr="0053423A">
              <w:rPr>
                <w:rFonts w:eastAsia="Calibri" w:cs="Calibri"/>
                <w:sz w:val="20"/>
                <w:szCs w:val="20"/>
                <w:lang w:val="tr-TR"/>
              </w:rPr>
              <w:t xml:space="preserve"> </w:t>
            </w:r>
            <w:r w:rsidRPr="0053423A">
              <w:rPr>
                <w:rFonts w:eastAsia="Calibri" w:cs="Calibri"/>
                <w:sz w:val="20"/>
                <w:szCs w:val="20"/>
              </w:rPr>
              <w:t>ունեցող</w:t>
            </w:r>
            <w:r w:rsidRPr="0053423A">
              <w:rPr>
                <w:rFonts w:eastAsia="Calibri" w:cs="Calibri"/>
                <w:sz w:val="20"/>
                <w:szCs w:val="20"/>
                <w:lang w:val="tr-TR"/>
              </w:rPr>
              <w:t xml:space="preserve"> </w:t>
            </w:r>
            <w:r w:rsidRPr="0053423A">
              <w:rPr>
                <w:rFonts w:eastAsia="Calibri" w:cs="Calibri"/>
                <w:sz w:val="20"/>
                <w:szCs w:val="20"/>
              </w:rPr>
              <w:t>միջոցառումներին</w:t>
            </w:r>
            <w:r w:rsidRPr="0053423A">
              <w:rPr>
                <w:rFonts w:eastAsia="Calibri" w:cs="Calibri"/>
                <w:sz w:val="20"/>
                <w:szCs w:val="20"/>
                <w:lang w:val="tr-TR"/>
              </w:rPr>
              <w:t xml:space="preserve"> </w:t>
            </w:r>
            <w:r w:rsidRPr="0053423A">
              <w:rPr>
                <w:rFonts w:eastAsia="Calibri" w:cs="Calibri"/>
                <w:sz w:val="20"/>
                <w:szCs w:val="20"/>
              </w:rPr>
              <w:t>Հայաստանի</w:t>
            </w:r>
            <w:r w:rsidRPr="0053423A">
              <w:rPr>
                <w:rFonts w:eastAsia="Calibri" w:cs="Calibri"/>
                <w:sz w:val="20"/>
                <w:szCs w:val="20"/>
                <w:lang w:val="tr-TR"/>
              </w:rPr>
              <w:t xml:space="preserve"> </w:t>
            </w:r>
            <w:r w:rsidRPr="0053423A">
              <w:rPr>
                <w:rFonts w:eastAsia="Calibri" w:cs="Calibri"/>
                <w:sz w:val="20"/>
                <w:szCs w:val="20"/>
              </w:rPr>
              <w:t>մասնակցության</w:t>
            </w:r>
            <w:r w:rsidRPr="0053423A">
              <w:rPr>
                <w:rFonts w:eastAsia="Calibri" w:cs="Calibri"/>
                <w:sz w:val="20"/>
                <w:szCs w:val="20"/>
                <w:lang w:val="tr-TR"/>
              </w:rPr>
              <w:t xml:space="preserve"> </w:t>
            </w:r>
            <w:r w:rsidRPr="0053423A">
              <w:rPr>
                <w:rFonts w:eastAsia="Calibri" w:cs="Calibri"/>
                <w:sz w:val="20"/>
                <w:szCs w:val="20"/>
              </w:rPr>
              <w:t>ապահովումը</w:t>
            </w:r>
            <w:r w:rsidRPr="0053423A">
              <w:rPr>
                <w:rFonts w:eastAsia="Calibri" w:cs="Calibri"/>
                <w:sz w:val="20"/>
                <w:szCs w:val="20"/>
                <w:lang w:val="tr-TR"/>
              </w:rPr>
              <w:t xml:space="preserve"> </w:t>
            </w:r>
            <w:r w:rsidRPr="0053423A">
              <w:rPr>
                <w:rFonts w:eastAsia="Calibri" w:cs="Calibri"/>
                <w:sz w:val="20"/>
                <w:szCs w:val="20"/>
              </w:rPr>
              <w:t>Հայաստանի</w:t>
            </w:r>
            <w:r w:rsidRPr="0053423A">
              <w:rPr>
                <w:rFonts w:eastAsia="Calibri" w:cs="Calibri"/>
                <w:sz w:val="20"/>
                <w:szCs w:val="20"/>
                <w:lang w:val="tr-TR"/>
              </w:rPr>
              <w:t xml:space="preserve"> </w:t>
            </w:r>
            <w:r w:rsidRPr="0053423A">
              <w:rPr>
                <w:rFonts w:eastAsia="Calibri" w:cs="Calibri"/>
                <w:sz w:val="20"/>
                <w:szCs w:val="20"/>
              </w:rPr>
              <w:t>ճանաչելիության</w:t>
            </w:r>
            <w:r w:rsidRPr="0053423A">
              <w:rPr>
                <w:rFonts w:eastAsia="Calibri" w:cs="Calibri"/>
                <w:sz w:val="20"/>
                <w:szCs w:val="20"/>
                <w:lang w:val="tr-TR"/>
              </w:rPr>
              <w:t xml:space="preserve"> </w:t>
            </w:r>
            <w:r w:rsidRPr="0053423A">
              <w:rPr>
                <w:rFonts w:eastAsia="Calibri" w:cs="Calibri"/>
                <w:sz w:val="20"/>
                <w:szCs w:val="20"/>
              </w:rPr>
              <w:t>բարձրացման</w:t>
            </w:r>
            <w:r w:rsidRPr="0053423A">
              <w:rPr>
                <w:rFonts w:eastAsia="Calibri" w:cs="Calibri"/>
                <w:sz w:val="20"/>
                <w:szCs w:val="20"/>
                <w:lang w:val="tr-TR"/>
              </w:rPr>
              <w:t xml:space="preserve">, </w:t>
            </w:r>
            <w:r w:rsidRPr="0053423A">
              <w:rPr>
                <w:rFonts w:eastAsia="Calibri" w:cs="Calibri"/>
                <w:sz w:val="20"/>
                <w:szCs w:val="20"/>
              </w:rPr>
              <w:t>որակական</w:t>
            </w:r>
            <w:r w:rsidRPr="0053423A">
              <w:rPr>
                <w:rFonts w:eastAsia="Calibri" w:cs="Calibri"/>
                <w:sz w:val="20"/>
                <w:szCs w:val="20"/>
                <w:lang w:val="tr-TR"/>
              </w:rPr>
              <w:t xml:space="preserve"> </w:t>
            </w:r>
            <w:r w:rsidRPr="0053423A">
              <w:rPr>
                <w:rFonts w:eastAsia="Calibri" w:cs="Calibri"/>
                <w:sz w:val="20"/>
                <w:szCs w:val="20"/>
              </w:rPr>
              <w:t>առումով</w:t>
            </w:r>
            <w:r w:rsidRPr="0053423A">
              <w:rPr>
                <w:rFonts w:eastAsia="Calibri" w:cs="Calibri"/>
                <w:sz w:val="20"/>
                <w:szCs w:val="20"/>
                <w:lang w:val="tr-TR"/>
              </w:rPr>
              <w:t xml:space="preserve"> </w:t>
            </w:r>
            <w:r w:rsidRPr="0053423A">
              <w:rPr>
                <w:rFonts w:eastAsia="Calibri" w:cs="Calibri"/>
                <w:sz w:val="20"/>
                <w:szCs w:val="20"/>
              </w:rPr>
              <w:t>ոլորտի</w:t>
            </w:r>
            <w:r w:rsidRPr="0053423A">
              <w:rPr>
                <w:rFonts w:eastAsia="Calibri" w:cs="Calibri"/>
                <w:sz w:val="20"/>
                <w:szCs w:val="20"/>
                <w:lang w:val="tr-TR"/>
              </w:rPr>
              <w:t xml:space="preserve"> </w:t>
            </w:r>
            <w:r w:rsidRPr="0053423A">
              <w:rPr>
                <w:rFonts w:eastAsia="Calibri" w:cs="Calibri"/>
                <w:sz w:val="20"/>
                <w:szCs w:val="20"/>
              </w:rPr>
              <w:t>պատասխանատուների</w:t>
            </w:r>
            <w:r w:rsidRPr="0053423A">
              <w:rPr>
                <w:rFonts w:eastAsia="Calibri" w:cs="Calibri"/>
                <w:sz w:val="20"/>
                <w:szCs w:val="20"/>
                <w:lang w:val="tr-TR"/>
              </w:rPr>
              <w:t xml:space="preserve">, </w:t>
            </w:r>
            <w:r w:rsidRPr="0053423A">
              <w:rPr>
                <w:rFonts w:eastAsia="Calibri" w:cs="Calibri"/>
                <w:sz w:val="20"/>
                <w:szCs w:val="20"/>
              </w:rPr>
              <w:t>մասնագետների</w:t>
            </w:r>
            <w:r w:rsidRPr="0053423A">
              <w:rPr>
                <w:rFonts w:eastAsia="Calibri" w:cs="Calibri"/>
                <w:sz w:val="20"/>
                <w:szCs w:val="20"/>
                <w:lang w:val="tr-TR"/>
              </w:rPr>
              <w:t xml:space="preserve">, </w:t>
            </w:r>
            <w:r w:rsidRPr="0053423A">
              <w:rPr>
                <w:rFonts w:eastAsia="Calibri" w:cs="Calibri"/>
                <w:sz w:val="20"/>
                <w:szCs w:val="20"/>
              </w:rPr>
              <w:t>արվեստագետների</w:t>
            </w:r>
            <w:r w:rsidRPr="0053423A">
              <w:rPr>
                <w:rFonts w:eastAsia="Calibri" w:cs="Calibri"/>
                <w:sz w:val="20"/>
                <w:szCs w:val="20"/>
                <w:lang w:val="tr-TR"/>
              </w:rPr>
              <w:t xml:space="preserve"> </w:t>
            </w:r>
            <w:r w:rsidRPr="0053423A">
              <w:rPr>
                <w:rFonts w:eastAsia="Calibri" w:cs="Calibri"/>
                <w:sz w:val="20"/>
                <w:szCs w:val="20"/>
              </w:rPr>
              <w:t>փոխանակումների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մրցունակության</w:t>
            </w:r>
            <w:r w:rsidRPr="0053423A">
              <w:rPr>
                <w:rFonts w:eastAsia="Calibri" w:cs="Calibri"/>
                <w:sz w:val="20"/>
                <w:szCs w:val="20"/>
                <w:lang w:val="tr-TR"/>
              </w:rPr>
              <w:t xml:space="preserve"> </w:t>
            </w:r>
            <w:r w:rsidRPr="0053423A">
              <w:rPr>
                <w:rFonts w:eastAsia="Calibri" w:cs="Calibri"/>
                <w:sz w:val="20"/>
                <w:szCs w:val="20"/>
              </w:rPr>
              <w:t>հիմնական</w:t>
            </w:r>
            <w:r w:rsidRPr="0053423A">
              <w:rPr>
                <w:rFonts w:eastAsia="Calibri" w:cs="Calibri"/>
                <w:sz w:val="20"/>
                <w:szCs w:val="20"/>
                <w:lang w:val="tr-TR"/>
              </w:rPr>
              <w:t xml:space="preserve"> </w:t>
            </w:r>
            <w:r w:rsidRPr="0053423A">
              <w:rPr>
                <w:rFonts w:eastAsia="Calibri" w:cs="Calibri"/>
                <w:sz w:val="20"/>
                <w:szCs w:val="20"/>
              </w:rPr>
              <w:t>երաշխիքներից</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Այն</w:t>
            </w:r>
            <w:r w:rsidRPr="0053423A">
              <w:rPr>
                <w:rFonts w:eastAsia="Calibri" w:cs="Calibri"/>
                <w:sz w:val="20"/>
                <w:szCs w:val="20"/>
                <w:lang w:val="tr-TR"/>
              </w:rPr>
              <w:t xml:space="preserve"> </w:t>
            </w:r>
            <w:r w:rsidRPr="0053423A">
              <w:rPr>
                <w:rFonts w:eastAsia="Calibri" w:cs="Calibri"/>
                <w:sz w:val="20"/>
                <w:szCs w:val="20"/>
              </w:rPr>
              <w:t>նպատակ</w:t>
            </w:r>
            <w:r w:rsidRPr="0053423A">
              <w:rPr>
                <w:rFonts w:eastAsia="Calibri" w:cs="Calibri"/>
                <w:sz w:val="20"/>
                <w:szCs w:val="20"/>
                <w:lang w:val="tr-TR"/>
              </w:rPr>
              <w:t xml:space="preserve"> </w:t>
            </w:r>
            <w:r w:rsidRPr="0053423A">
              <w:rPr>
                <w:rFonts w:eastAsia="Calibri" w:cs="Calibri"/>
                <w:sz w:val="20"/>
                <w:szCs w:val="20"/>
              </w:rPr>
              <w:t>ունի</w:t>
            </w:r>
            <w:r w:rsidRPr="0053423A">
              <w:rPr>
                <w:rFonts w:eastAsia="Calibri" w:cs="Calibri"/>
                <w:sz w:val="20"/>
                <w:szCs w:val="20"/>
                <w:lang w:val="tr-TR"/>
              </w:rPr>
              <w:t xml:space="preserve"> </w:t>
            </w:r>
            <w:r w:rsidRPr="0053423A">
              <w:rPr>
                <w:rFonts w:eastAsia="Calibri" w:cs="Calibri"/>
                <w:sz w:val="20"/>
                <w:szCs w:val="20"/>
              </w:rPr>
              <w:t>ներկայացնել</w:t>
            </w:r>
            <w:r w:rsidRPr="0053423A">
              <w:rPr>
                <w:rFonts w:eastAsia="Calibri" w:cs="Calibri"/>
                <w:sz w:val="20"/>
                <w:szCs w:val="20"/>
                <w:lang w:val="tr-TR"/>
              </w:rPr>
              <w:t xml:space="preserve">, </w:t>
            </w:r>
            <w:r w:rsidRPr="0053423A">
              <w:rPr>
                <w:rFonts w:eastAsia="Calibri" w:cs="Calibri"/>
                <w:sz w:val="20"/>
                <w:szCs w:val="20"/>
              </w:rPr>
              <w:t>արժևորել</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ճիշտ</w:t>
            </w:r>
            <w:r w:rsidRPr="0053423A">
              <w:rPr>
                <w:rFonts w:eastAsia="Calibri" w:cs="Calibri"/>
                <w:sz w:val="20"/>
                <w:szCs w:val="20"/>
                <w:lang w:val="tr-TR"/>
              </w:rPr>
              <w:t xml:space="preserve"> </w:t>
            </w:r>
            <w:r w:rsidRPr="0053423A">
              <w:rPr>
                <w:rFonts w:eastAsia="Calibri" w:cs="Calibri"/>
                <w:sz w:val="20"/>
                <w:szCs w:val="20"/>
              </w:rPr>
              <w:t>գնահատել</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արդի</w:t>
            </w:r>
            <w:r w:rsidRPr="0053423A">
              <w:rPr>
                <w:rFonts w:eastAsia="Calibri" w:cs="Calibri"/>
                <w:sz w:val="20"/>
                <w:szCs w:val="20"/>
                <w:lang w:val="tr-TR"/>
              </w:rPr>
              <w:t xml:space="preserve"> </w:t>
            </w:r>
            <w:r w:rsidRPr="0053423A">
              <w:rPr>
                <w:rFonts w:eastAsia="Calibri" w:cs="Calibri"/>
                <w:sz w:val="20"/>
                <w:szCs w:val="20"/>
              </w:rPr>
              <w:t>ներուժը</w:t>
            </w:r>
            <w:r w:rsidRPr="0053423A">
              <w:rPr>
                <w:rFonts w:eastAsia="Calibri" w:cs="Calibri"/>
                <w:sz w:val="20"/>
                <w:szCs w:val="20"/>
                <w:lang w:val="tr-TR"/>
              </w:rPr>
              <w:t xml:space="preserve">, </w:t>
            </w:r>
            <w:r w:rsidRPr="0053423A">
              <w:rPr>
                <w:rFonts w:eastAsia="Calibri" w:cs="Calibri"/>
                <w:sz w:val="20"/>
                <w:szCs w:val="20"/>
              </w:rPr>
              <w:t>մշակել</w:t>
            </w:r>
            <w:r w:rsidRPr="0053423A">
              <w:rPr>
                <w:rFonts w:eastAsia="Calibri" w:cs="Calibri"/>
                <w:sz w:val="20"/>
                <w:szCs w:val="20"/>
                <w:lang w:val="tr-TR"/>
              </w:rPr>
              <w:t xml:space="preserve"> </w:t>
            </w:r>
            <w:r w:rsidRPr="0053423A">
              <w:rPr>
                <w:rFonts w:eastAsia="Calibri" w:cs="Calibri"/>
                <w:sz w:val="20"/>
                <w:szCs w:val="20"/>
              </w:rPr>
              <w:t>նոր</w:t>
            </w:r>
            <w:r w:rsidRPr="0053423A">
              <w:rPr>
                <w:rFonts w:eastAsia="Calibri" w:cs="Calibri"/>
                <w:sz w:val="20"/>
                <w:szCs w:val="20"/>
                <w:lang w:val="tr-TR"/>
              </w:rPr>
              <w:t xml:space="preserve"> </w:t>
            </w:r>
            <w:r w:rsidRPr="0053423A">
              <w:rPr>
                <w:rFonts w:eastAsia="Calibri" w:cs="Calibri"/>
                <w:sz w:val="20"/>
                <w:szCs w:val="20"/>
              </w:rPr>
              <w:t>կոնցեպտներ</w:t>
            </w:r>
            <w:r w:rsidRPr="0053423A">
              <w:rPr>
                <w:rFonts w:eastAsia="Calibri" w:cs="Calibri"/>
                <w:sz w:val="20"/>
                <w:szCs w:val="20"/>
                <w:lang w:val="tr-TR"/>
              </w:rPr>
              <w:t xml:space="preserve">, </w:t>
            </w:r>
            <w:r w:rsidRPr="0053423A">
              <w:rPr>
                <w:rFonts w:eastAsia="Calibri" w:cs="Calibri"/>
                <w:sz w:val="20"/>
                <w:szCs w:val="20"/>
              </w:rPr>
              <w:t>հիմք</w:t>
            </w:r>
            <w:r w:rsidRPr="0053423A">
              <w:rPr>
                <w:rFonts w:eastAsia="Calibri" w:cs="Calibri"/>
                <w:sz w:val="20"/>
                <w:szCs w:val="20"/>
                <w:lang w:val="tr-TR"/>
              </w:rPr>
              <w:t xml:space="preserve"> </w:t>
            </w:r>
            <w:r w:rsidRPr="0053423A">
              <w:rPr>
                <w:rFonts w:eastAsia="Calibri" w:cs="Calibri"/>
                <w:sz w:val="20"/>
                <w:szCs w:val="20"/>
              </w:rPr>
              <w:t>ստեղծել</w:t>
            </w:r>
            <w:r w:rsidRPr="0053423A">
              <w:rPr>
                <w:rFonts w:eastAsia="Calibri" w:cs="Calibri"/>
                <w:sz w:val="20"/>
                <w:szCs w:val="20"/>
                <w:lang w:val="tr-TR"/>
              </w:rPr>
              <w:t xml:space="preserve"> </w:t>
            </w:r>
            <w:r w:rsidRPr="0053423A">
              <w:rPr>
                <w:rFonts w:eastAsia="Calibri" w:cs="Calibri"/>
                <w:sz w:val="20"/>
                <w:szCs w:val="20"/>
              </w:rPr>
              <w:t>նոր</w:t>
            </w:r>
            <w:r w:rsidRPr="0053423A">
              <w:rPr>
                <w:rFonts w:eastAsia="Calibri" w:cs="Calibri"/>
                <w:sz w:val="20"/>
                <w:szCs w:val="20"/>
                <w:lang w:val="tr-TR"/>
              </w:rPr>
              <w:t xml:space="preserve"> </w:t>
            </w:r>
            <w:r w:rsidRPr="0053423A">
              <w:rPr>
                <w:rFonts w:eastAsia="Calibri" w:cs="Calibri"/>
                <w:sz w:val="20"/>
                <w:szCs w:val="20"/>
              </w:rPr>
              <w:t>համագործակցության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արծեքների</w:t>
            </w:r>
            <w:r w:rsidRPr="0053423A">
              <w:rPr>
                <w:rFonts w:eastAsia="Calibri" w:cs="Calibri"/>
                <w:sz w:val="20"/>
                <w:szCs w:val="20"/>
                <w:lang w:val="tr-TR"/>
              </w:rPr>
              <w:t xml:space="preserve"> </w:t>
            </w:r>
            <w:r w:rsidRPr="0053423A">
              <w:rPr>
                <w:rFonts w:eastAsia="Calibri" w:cs="Calibri"/>
                <w:sz w:val="20"/>
                <w:szCs w:val="20"/>
              </w:rPr>
              <w:t>ստեղծման</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 xml:space="preserve">, </w:t>
            </w:r>
            <w:r w:rsidRPr="0053423A">
              <w:rPr>
                <w:rFonts w:eastAsia="Calibri" w:cs="Calibri"/>
                <w:sz w:val="20"/>
                <w:szCs w:val="20"/>
              </w:rPr>
              <w:t>բացահայտել</w:t>
            </w:r>
            <w:r w:rsidRPr="0053423A">
              <w:rPr>
                <w:rFonts w:eastAsia="Calibri" w:cs="Calibri"/>
                <w:sz w:val="20"/>
                <w:szCs w:val="20"/>
                <w:lang w:val="tr-TR"/>
              </w:rPr>
              <w:t xml:space="preserve"> </w:t>
            </w:r>
            <w:r w:rsidRPr="0053423A">
              <w:rPr>
                <w:rFonts w:eastAsia="Calibri" w:cs="Calibri"/>
                <w:sz w:val="20"/>
                <w:szCs w:val="20"/>
              </w:rPr>
              <w:t>հայ</w:t>
            </w:r>
            <w:r w:rsidRPr="0053423A">
              <w:rPr>
                <w:rFonts w:eastAsia="Calibri" w:cs="Calibri"/>
                <w:sz w:val="20"/>
                <w:szCs w:val="20"/>
                <w:lang w:val="tr-TR"/>
              </w:rPr>
              <w:t xml:space="preserve"> </w:t>
            </w:r>
            <w:r w:rsidRPr="0053423A">
              <w:rPr>
                <w:rFonts w:eastAsia="Calibri" w:cs="Calibri"/>
                <w:sz w:val="20"/>
                <w:szCs w:val="20"/>
              </w:rPr>
              <w:t>տաղանդներին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փոխանակել</w:t>
            </w:r>
            <w:r w:rsidRPr="0053423A">
              <w:rPr>
                <w:rFonts w:eastAsia="Calibri" w:cs="Calibri"/>
                <w:sz w:val="20"/>
                <w:szCs w:val="20"/>
                <w:lang w:val="tr-TR"/>
              </w:rPr>
              <w:t xml:space="preserve"> </w:t>
            </w:r>
            <w:r w:rsidRPr="0053423A">
              <w:rPr>
                <w:rFonts w:eastAsia="Calibri" w:cs="Calibri"/>
                <w:sz w:val="20"/>
                <w:szCs w:val="20"/>
              </w:rPr>
              <w:t>անհրաժեշտ</w:t>
            </w:r>
            <w:r w:rsidRPr="0053423A">
              <w:rPr>
                <w:rFonts w:eastAsia="Calibri" w:cs="Calibri"/>
                <w:sz w:val="20"/>
                <w:szCs w:val="20"/>
                <w:lang w:val="tr-TR"/>
              </w:rPr>
              <w:t xml:space="preserve"> </w:t>
            </w:r>
            <w:r w:rsidRPr="0053423A">
              <w:rPr>
                <w:rFonts w:eastAsia="Calibri" w:cs="Calibri"/>
                <w:sz w:val="20"/>
                <w:szCs w:val="20"/>
              </w:rPr>
              <w:t>տեղեկատվություն</w:t>
            </w:r>
            <w:r w:rsidRPr="0053423A">
              <w:rPr>
                <w:rFonts w:eastAsia="Calibri" w:cs="Calibri"/>
                <w:sz w:val="20"/>
                <w:szCs w:val="20"/>
                <w:lang w:val="tr-TR"/>
              </w:rPr>
              <w:t xml:space="preserve"> </w:t>
            </w:r>
            <w:r w:rsidRPr="0053423A">
              <w:rPr>
                <w:rFonts w:eastAsia="Calibri" w:cs="Calibri"/>
                <w:sz w:val="20"/>
                <w:szCs w:val="20"/>
              </w:rPr>
              <w:t>միևնույն</w:t>
            </w:r>
            <w:r w:rsidRPr="0053423A">
              <w:rPr>
                <w:rFonts w:eastAsia="Calibri" w:cs="Calibri"/>
                <w:sz w:val="20"/>
                <w:szCs w:val="20"/>
                <w:lang w:val="tr-TR"/>
              </w:rPr>
              <w:t xml:space="preserve"> </w:t>
            </w:r>
            <w:r w:rsidRPr="0053423A">
              <w:rPr>
                <w:rFonts w:eastAsia="Calibri" w:cs="Calibri"/>
                <w:sz w:val="20"/>
                <w:szCs w:val="20"/>
              </w:rPr>
              <w:t>ժամանակ</w:t>
            </w:r>
            <w:r w:rsidRPr="0053423A">
              <w:rPr>
                <w:rFonts w:eastAsia="Calibri" w:cs="Calibri"/>
                <w:sz w:val="20"/>
                <w:szCs w:val="20"/>
                <w:lang w:val="tr-TR"/>
              </w:rPr>
              <w:t xml:space="preserve"> </w:t>
            </w:r>
            <w:r w:rsidRPr="0053423A">
              <w:rPr>
                <w:rFonts w:eastAsia="Calibri" w:cs="Calibri"/>
                <w:sz w:val="20"/>
                <w:szCs w:val="20"/>
              </w:rPr>
              <w:t>նույն</w:t>
            </w:r>
            <w:r w:rsidRPr="0053423A">
              <w:rPr>
                <w:rFonts w:eastAsia="Calibri" w:cs="Calibri"/>
                <w:sz w:val="20"/>
                <w:szCs w:val="20"/>
                <w:lang w:val="tr-TR"/>
              </w:rPr>
              <w:t xml:space="preserve"> </w:t>
            </w:r>
            <w:r w:rsidRPr="0053423A">
              <w:rPr>
                <w:rFonts w:eastAsia="Calibri" w:cs="Calibri"/>
                <w:sz w:val="20"/>
                <w:szCs w:val="20"/>
              </w:rPr>
              <w:t>վայրում</w:t>
            </w:r>
            <w:r w:rsidRPr="0053423A">
              <w:rPr>
                <w:rFonts w:eastAsia="Calibri" w:cs="Calibri"/>
                <w:sz w:val="20"/>
                <w:szCs w:val="20"/>
                <w:lang w:val="tr-TR"/>
              </w:rPr>
              <w:t xml:space="preserve"> </w:t>
            </w:r>
            <w:r w:rsidRPr="0053423A">
              <w:rPr>
                <w:rFonts w:eastAsia="Calibri" w:cs="Calibri"/>
                <w:sz w:val="20"/>
                <w:szCs w:val="20"/>
              </w:rPr>
              <w:t>գտնվող</w:t>
            </w:r>
            <w:r w:rsidRPr="0053423A">
              <w:rPr>
                <w:rFonts w:eastAsia="Calibri" w:cs="Calibri"/>
                <w:sz w:val="20"/>
                <w:szCs w:val="20"/>
                <w:lang w:val="tr-TR"/>
              </w:rPr>
              <w:t xml:space="preserve"> </w:t>
            </w:r>
            <w:r w:rsidRPr="0053423A">
              <w:rPr>
                <w:rFonts w:eastAsia="Calibri" w:cs="Calibri"/>
                <w:sz w:val="20"/>
                <w:szCs w:val="20"/>
              </w:rPr>
              <w:t>աշխարհի</w:t>
            </w:r>
            <w:r w:rsidRPr="0053423A">
              <w:rPr>
                <w:rFonts w:eastAsia="Calibri" w:cs="Calibri"/>
                <w:sz w:val="20"/>
                <w:szCs w:val="20"/>
                <w:lang w:val="tr-TR"/>
              </w:rPr>
              <w:t xml:space="preserve"> </w:t>
            </w:r>
            <w:r w:rsidRPr="0053423A">
              <w:rPr>
                <w:rFonts w:eastAsia="Calibri" w:cs="Calibri"/>
                <w:sz w:val="20"/>
                <w:szCs w:val="20"/>
              </w:rPr>
              <w:t>լավագույն</w:t>
            </w:r>
            <w:r w:rsidRPr="0053423A">
              <w:rPr>
                <w:rFonts w:eastAsia="Calibri" w:cs="Calibri"/>
                <w:sz w:val="20"/>
                <w:szCs w:val="20"/>
                <w:lang w:val="tr-TR"/>
              </w:rPr>
              <w:t xml:space="preserve">  </w:t>
            </w:r>
            <w:r w:rsidRPr="0053423A">
              <w:rPr>
                <w:rFonts w:eastAsia="Calibri" w:cs="Calibri"/>
                <w:sz w:val="20"/>
                <w:szCs w:val="20"/>
              </w:rPr>
              <w:t>մասնագետների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rPr>
                <w:rFonts w:eastAsia="Calibri" w:cs="Calibri"/>
                <w:sz w:val="20"/>
                <w:szCs w:val="20"/>
                <w:lang w:val="tr-TR"/>
              </w:rPr>
            </w:pPr>
          </w:p>
          <w:p w:rsidR="00A67B6B" w:rsidRPr="0053423A" w:rsidRDefault="00A67B6B" w:rsidP="00A67858">
            <w:pPr>
              <w:tabs>
                <w:tab w:val="left" w:pos="508"/>
              </w:tabs>
              <w:spacing w:after="0" w:line="276" w:lineRule="auto"/>
              <w:jc w:val="both"/>
              <w:rPr>
                <w:rFonts w:eastAsia="Calibri" w:cs="Calibri"/>
                <w:b/>
                <w:sz w:val="20"/>
                <w:szCs w:val="20"/>
                <w:lang w:val="tr-TR"/>
              </w:rPr>
            </w:pPr>
            <w:r w:rsidRPr="0053423A">
              <w:rPr>
                <w:rFonts w:eastAsia="Calibri" w:cs="Calibri"/>
                <w:b/>
                <w:sz w:val="20"/>
                <w:szCs w:val="20"/>
                <w:lang w:val="tr-TR"/>
              </w:rPr>
              <w:t xml:space="preserve">1.1 </w:t>
            </w:r>
            <w:r w:rsidRPr="0053423A">
              <w:rPr>
                <w:rFonts w:eastAsia="Calibri" w:cs="Calibri"/>
                <w:b/>
                <w:sz w:val="20"/>
                <w:szCs w:val="20"/>
                <w:lang w:val="hy-AM"/>
              </w:rPr>
              <w:t>Կարգավորման</w:t>
            </w:r>
            <w:r w:rsidRPr="0053423A">
              <w:rPr>
                <w:rFonts w:eastAsia="Calibri" w:cs="Calibri"/>
                <w:b/>
                <w:sz w:val="20"/>
                <w:szCs w:val="20"/>
                <w:lang w:val="tr-TR"/>
              </w:rPr>
              <w:t xml:space="preserve"> </w:t>
            </w:r>
            <w:r w:rsidRPr="0053423A">
              <w:rPr>
                <w:rFonts w:eastAsia="Calibri" w:cs="Calibri"/>
                <w:b/>
                <w:sz w:val="20"/>
                <w:szCs w:val="20"/>
                <w:lang w:val="hy-AM"/>
              </w:rPr>
              <w:t>հարաբերությունների</w:t>
            </w:r>
            <w:r w:rsidRPr="0053423A">
              <w:rPr>
                <w:rFonts w:eastAsia="Calibri" w:cs="Calibri"/>
                <w:b/>
                <w:sz w:val="20"/>
                <w:szCs w:val="20"/>
                <w:lang w:val="tr-TR"/>
              </w:rPr>
              <w:t xml:space="preserve"> </w:t>
            </w:r>
            <w:r w:rsidRPr="0053423A">
              <w:rPr>
                <w:rFonts w:eastAsia="Calibri" w:cs="Calibri"/>
                <w:b/>
                <w:sz w:val="20"/>
                <w:szCs w:val="20"/>
                <w:lang w:val="hy-AM"/>
              </w:rPr>
              <w:t>ներկա</w:t>
            </w:r>
            <w:r w:rsidRPr="0053423A">
              <w:rPr>
                <w:rFonts w:eastAsia="Calibri" w:cs="Calibri"/>
                <w:b/>
                <w:sz w:val="20"/>
                <w:szCs w:val="20"/>
                <w:lang w:val="tr-TR"/>
              </w:rPr>
              <w:t xml:space="preserve"> </w:t>
            </w:r>
            <w:r w:rsidRPr="0053423A">
              <w:rPr>
                <w:rFonts w:eastAsia="Calibri" w:cs="Calibri"/>
                <w:b/>
                <w:sz w:val="20"/>
                <w:szCs w:val="20"/>
                <w:lang w:val="hy-AM"/>
              </w:rPr>
              <w:t>վիճակը</w:t>
            </w:r>
            <w:r w:rsidRPr="0053423A">
              <w:rPr>
                <w:rFonts w:eastAsia="Calibri" w:cs="Calibri"/>
                <w:b/>
                <w:sz w:val="20"/>
                <w:szCs w:val="20"/>
                <w:lang w:val="tr-TR"/>
              </w:rPr>
              <w:t xml:space="preserve"> </w:t>
            </w:r>
            <w:r w:rsidRPr="0053423A">
              <w:rPr>
                <w:rFonts w:eastAsia="Calibri" w:cs="Calibri"/>
                <w:b/>
                <w:sz w:val="20"/>
                <w:szCs w:val="20"/>
                <w:lang w:val="hy-AM"/>
              </w:rPr>
              <w:t>և</w:t>
            </w:r>
            <w:r w:rsidRPr="0053423A">
              <w:rPr>
                <w:rFonts w:eastAsia="Calibri" w:cs="Calibri"/>
                <w:b/>
                <w:sz w:val="20"/>
                <w:szCs w:val="20"/>
                <w:lang w:val="tr-TR"/>
              </w:rPr>
              <w:t xml:space="preserve"> </w:t>
            </w:r>
            <w:r w:rsidRPr="0053423A">
              <w:rPr>
                <w:rFonts w:eastAsia="Calibri" w:cs="Calibri"/>
                <w:b/>
                <w:sz w:val="20"/>
                <w:szCs w:val="20"/>
                <w:lang w:val="hy-AM"/>
              </w:rPr>
              <w:t>առկա</w:t>
            </w:r>
            <w:r w:rsidRPr="0053423A">
              <w:rPr>
                <w:rFonts w:eastAsia="Calibri" w:cs="Calibri"/>
                <w:b/>
                <w:sz w:val="20"/>
                <w:szCs w:val="20"/>
                <w:lang w:val="tr-TR"/>
              </w:rPr>
              <w:t xml:space="preserve"> </w:t>
            </w:r>
            <w:r w:rsidRPr="0053423A">
              <w:rPr>
                <w:rFonts w:eastAsia="Calibri" w:cs="Calibri"/>
                <w:b/>
                <w:sz w:val="20"/>
                <w:szCs w:val="20"/>
                <w:lang w:val="hy-AM"/>
              </w:rPr>
              <w:t>խնդիրները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lang w:val="hy-AM"/>
              </w:rPr>
              <w:t>Նախարարությունը</w:t>
            </w:r>
            <w:r w:rsidRPr="0053423A">
              <w:rPr>
                <w:rFonts w:eastAsia="Calibri" w:cs="Calibri"/>
                <w:sz w:val="20"/>
                <w:szCs w:val="20"/>
                <w:lang w:val="tr-TR"/>
              </w:rPr>
              <w:t xml:space="preserve"> </w:t>
            </w:r>
            <w:r w:rsidRPr="0053423A">
              <w:rPr>
                <w:rFonts w:eastAsia="Calibri" w:cs="Calibri"/>
                <w:sz w:val="20"/>
                <w:szCs w:val="20"/>
                <w:lang w:val="hy-AM"/>
              </w:rPr>
              <w:t>նպատակաուղղված</w:t>
            </w:r>
            <w:r w:rsidRPr="0053423A">
              <w:rPr>
                <w:rFonts w:eastAsia="Calibri" w:cs="Calibri"/>
                <w:sz w:val="20"/>
                <w:szCs w:val="20"/>
                <w:lang w:val="tr-TR"/>
              </w:rPr>
              <w:t xml:space="preserve"> </w:t>
            </w:r>
            <w:r w:rsidRPr="0053423A">
              <w:rPr>
                <w:rFonts w:eastAsia="Calibri" w:cs="Calibri"/>
                <w:sz w:val="20"/>
                <w:szCs w:val="20"/>
                <w:lang w:val="hy-AM"/>
              </w:rPr>
              <w:t>մասնակցություն</w:t>
            </w:r>
            <w:r w:rsidRPr="0053423A">
              <w:rPr>
                <w:rFonts w:eastAsia="Calibri" w:cs="Calibri"/>
                <w:sz w:val="20"/>
                <w:szCs w:val="20"/>
                <w:lang w:val="tr-TR"/>
              </w:rPr>
              <w:t xml:space="preserve"> </w:t>
            </w:r>
            <w:r w:rsidRPr="0053423A">
              <w:rPr>
                <w:rFonts w:eastAsia="Calibri" w:cs="Calibri"/>
                <w:sz w:val="20"/>
                <w:szCs w:val="20"/>
                <w:lang w:val="hy-AM"/>
              </w:rPr>
              <w:t>է</w:t>
            </w:r>
            <w:r w:rsidRPr="0053423A">
              <w:rPr>
                <w:rFonts w:eastAsia="Calibri" w:cs="Calibri"/>
                <w:sz w:val="20"/>
                <w:szCs w:val="20"/>
                <w:lang w:val="tr-TR"/>
              </w:rPr>
              <w:t xml:space="preserve"> </w:t>
            </w:r>
            <w:r w:rsidRPr="0053423A">
              <w:rPr>
                <w:rFonts w:eastAsia="Calibri" w:cs="Calibri"/>
                <w:sz w:val="20"/>
                <w:szCs w:val="20"/>
                <w:lang w:val="hy-AM"/>
              </w:rPr>
              <w:t>ապահովում</w:t>
            </w:r>
            <w:r w:rsidRPr="0053423A">
              <w:rPr>
                <w:rFonts w:eastAsia="Calibri" w:cs="Calibri"/>
                <w:sz w:val="20"/>
                <w:szCs w:val="20"/>
                <w:lang w:val="tr-TR"/>
              </w:rPr>
              <w:t xml:space="preserve"> </w:t>
            </w:r>
            <w:r w:rsidRPr="0053423A">
              <w:rPr>
                <w:rFonts w:eastAsia="Calibri" w:cs="Calibri"/>
                <w:sz w:val="20"/>
                <w:szCs w:val="20"/>
                <w:lang w:val="hy-AM"/>
              </w:rPr>
              <w:t>համապատասխան</w:t>
            </w:r>
            <w:r w:rsidRPr="0053423A">
              <w:rPr>
                <w:rFonts w:eastAsia="Calibri" w:cs="Calibri"/>
                <w:sz w:val="20"/>
                <w:szCs w:val="20"/>
                <w:lang w:val="tr-TR"/>
              </w:rPr>
              <w:t xml:space="preserve"> </w:t>
            </w:r>
            <w:r w:rsidRPr="0053423A">
              <w:rPr>
                <w:rFonts w:eastAsia="Calibri" w:cs="Calibri"/>
                <w:sz w:val="20"/>
                <w:szCs w:val="20"/>
                <w:lang w:val="hy-AM"/>
              </w:rPr>
              <w:t>հեղինակավոր</w:t>
            </w:r>
            <w:r w:rsidRPr="0053423A">
              <w:rPr>
                <w:rFonts w:eastAsia="Calibri" w:cs="Calibri"/>
                <w:sz w:val="20"/>
                <w:szCs w:val="20"/>
                <w:lang w:val="tr-TR"/>
              </w:rPr>
              <w:t xml:space="preserve"> </w:t>
            </w:r>
            <w:r w:rsidRPr="0053423A">
              <w:rPr>
                <w:rFonts w:eastAsia="Calibri" w:cs="Calibri"/>
                <w:sz w:val="20"/>
                <w:szCs w:val="20"/>
                <w:lang w:val="hy-AM"/>
              </w:rPr>
              <w:t>միջազգային</w:t>
            </w:r>
            <w:r w:rsidRPr="0053423A">
              <w:rPr>
                <w:rFonts w:eastAsia="Calibri" w:cs="Calibri"/>
                <w:sz w:val="20"/>
                <w:szCs w:val="20"/>
                <w:lang w:val="tr-TR"/>
              </w:rPr>
              <w:t xml:space="preserve"> </w:t>
            </w:r>
            <w:r w:rsidRPr="0053423A">
              <w:rPr>
                <w:rFonts w:eastAsia="Calibri" w:cs="Calibri"/>
                <w:sz w:val="20"/>
                <w:szCs w:val="20"/>
                <w:lang w:val="hy-AM"/>
              </w:rPr>
              <w:t>միջոցառումներին</w:t>
            </w:r>
            <w:r w:rsidRPr="0053423A">
              <w:rPr>
                <w:rFonts w:eastAsia="Calibri" w:cs="Calibri"/>
                <w:sz w:val="20"/>
                <w:szCs w:val="20"/>
                <w:lang w:val="tr-TR"/>
              </w:rPr>
              <w:t xml:space="preserve">, </w:t>
            </w:r>
            <w:r w:rsidRPr="0053423A">
              <w:rPr>
                <w:rFonts w:eastAsia="Calibri" w:cs="Calibri"/>
                <w:sz w:val="20"/>
                <w:szCs w:val="20"/>
                <w:lang w:val="hy-AM"/>
              </w:rPr>
              <w:t>որոնցից</w:t>
            </w:r>
            <w:r w:rsidRPr="0053423A">
              <w:rPr>
                <w:rFonts w:eastAsia="Calibri" w:cs="Calibri"/>
                <w:sz w:val="20"/>
                <w:szCs w:val="20"/>
                <w:lang w:val="tr-TR"/>
              </w:rPr>
              <w:t xml:space="preserve"> </w:t>
            </w:r>
            <w:r w:rsidRPr="0053423A">
              <w:rPr>
                <w:rFonts w:eastAsia="Calibri" w:cs="Calibri"/>
                <w:sz w:val="20"/>
                <w:szCs w:val="20"/>
                <w:lang w:val="hy-AM"/>
              </w:rPr>
              <w:t>են</w:t>
            </w:r>
            <w:r w:rsidRPr="0053423A">
              <w:rPr>
                <w:rFonts w:eastAsia="Calibri" w:cs="Calibri"/>
                <w:sz w:val="20"/>
                <w:szCs w:val="20"/>
                <w:lang w:val="tr-TR"/>
              </w:rPr>
              <w:t xml:space="preserve">` </w:t>
            </w:r>
            <w:r w:rsidRPr="0053423A">
              <w:rPr>
                <w:rFonts w:eastAsia="Calibri" w:cs="Calibri"/>
                <w:sz w:val="20"/>
                <w:szCs w:val="20"/>
                <w:lang w:val="hy-AM"/>
              </w:rPr>
              <w:t>Վենետիկի</w:t>
            </w:r>
            <w:r w:rsidRPr="0053423A">
              <w:rPr>
                <w:rFonts w:eastAsia="Calibri" w:cs="Calibri"/>
                <w:sz w:val="20"/>
                <w:szCs w:val="20"/>
                <w:lang w:val="tr-TR"/>
              </w:rPr>
              <w:t xml:space="preserve"> </w:t>
            </w:r>
            <w:r w:rsidRPr="0053423A">
              <w:rPr>
                <w:rFonts w:eastAsia="Calibri" w:cs="Calibri"/>
                <w:sz w:val="20"/>
                <w:szCs w:val="20"/>
                <w:lang w:val="hy-AM"/>
              </w:rPr>
              <w:t>ժամանակակից</w:t>
            </w:r>
            <w:r w:rsidRPr="0053423A">
              <w:rPr>
                <w:rFonts w:eastAsia="Calibri" w:cs="Calibri"/>
                <w:sz w:val="20"/>
                <w:szCs w:val="20"/>
                <w:lang w:val="tr-TR"/>
              </w:rPr>
              <w:t xml:space="preserve"> </w:t>
            </w:r>
            <w:r w:rsidRPr="0053423A">
              <w:rPr>
                <w:rFonts w:eastAsia="Calibri" w:cs="Calibri"/>
                <w:sz w:val="20"/>
                <w:szCs w:val="20"/>
                <w:lang w:val="hy-AM"/>
              </w:rPr>
              <w:t>արվեստի</w:t>
            </w:r>
            <w:r w:rsidRPr="0053423A">
              <w:rPr>
                <w:rFonts w:eastAsia="Calibri" w:cs="Calibri"/>
                <w:sz w:val="20"/>
                <w:szCs w:val="20"/>
                <w:lang w:val="tr-TR"/>
              </w:rPr>
              <w:t xml:space="preserve"> </w:t>
            </w:r>
            <w:r w:rsidRPr="0053423A">
              <w:rPr>
                <w:rFonts w:eastAsia="Calibri" w:cs="Calibri"/>
                <w:sz w:val="20"/>
                <w:szCs w:val="20"/>
                <w:lang w:val="hy-AM"/>
              </w:rPr>
              <w:t>բիեննալեն</w:t>
            </w:r>
            <w:r w:rsidRPr="0053423A">
              <w:rPr>
                <w:rFonts w:eastAsia="Calibri" w:cs="Calibri"/>
                <w:sz w:val="20"/>
                <w:szCs w:val="20"/>
                <w:lang w:val="tr-TR"/>
              </w:rPr>
              <w:t xml:space="preserve">, </w:t>
            </w:r>
            <w:r w:rsidRPr="0053423A">
              <w:rPr>
                <w:rFonts w:eastAsia="Calibri" w:cs="Calibri"/>
                <w:sz w:val="20"/>
                <w:szCs w:val="20"/>
                <w:lang w:val="hy-AM"/>
              </w:rPr>
              <w:t>Կաննի</w:t>
            </w:r>
            <w:r w:rsidRPr="0053423A">
              <w:rPr>
                <w:rFonts w:eastAsia="Calibri" w:cs="Calibri"/>
                <w:sz w:val="20"/>
                <w:szCs w:val="20"/>
                <w:lang w:val="tr-TR"/>
              </w:rPr>
              <w:t xml:space="preserve">, </w:t>
            </w:r>
            <w:r w:rsidRPr="0053423A">
              <w:rPr>
                <w:rFonts w:eastAsia="Calibri" w:cs="Calibri"/>
                <w:sz w:val="20"/>
                <w:szCs w:val="20"/>
                <w:lang w:val="hy-AM"/>
              </w:rPr>
              <w:t>Բեռլինի</w:t>
            </w:r>
            <w:r w:rsidRPr="0053423A">
              <w:rPr>
                <w:rFonts w:eastAsia="Calibri" w:cs="Calibri"/>
                <w:sz w:val="20"/>
                <w:szCs w:val="20"/>
                <w:lang w:val="tr-TR"/>
              </w:rPr>
              <w:t xml:space="preserve">, </w:t>
            </w:r>
            <w:r w:rsidRPr="0053423A">
              <w:rPr>
                <w:rFonts w:eastAsia="Calibri" w:cs="Calibri"/>
                <w:sz w:val="20"/>
                <w:szCs w:val="20"/>
                <w:lang w:val="hy-AM"/>
              </w:rPr>
              <w:t>Ռոտերդամի</w:t>
            </w:r>
            <w:r w:rsidRPr="0053423A">
              <w:rPr>
                <w:rFonts w:eastAsia="Calibri" w:cs="Calibri"/>
                <w:sz w:val="20"/>
                <w:szCs w:val="20"/>
                <w:lang w:val="tr-TR"/>
              </w:rPr>
              <w:t xml:space="preserve"> </w:t>
            </w:r>
            <w:r w:rsidRPr="0053423A">
              <w:rPr>
                <w:rFonts w:eastAsia="Calibri" w:cs="Calibri"/>
                <w:sz w:val="20"/>
                <w:szCs w:val="20"/>
                <w:lang w:val="hy-AM"/>
              </w:rPr>
              <w:t>կինոփառատոները</w:t>
            </w:r>
            <w:r w:rsidRPr="0053423A">
              <w:rPr>
                <w:rFonts w:eastAsia="Calibri" w:cs="Calibri"/>
                <w:sz w:val="20"/>
                <w:szCs w:val="20"/>
                <w:lang w:val="tr-TR"/>
              </w:rPr>
              <w:t xml:space="preserve">, </w:t>
            </w:r>
            <w:r w:rsidRPr="0053423A">
              <w:rPr>
                <w:rFonts w:eastAsia="Calibri" w:cs="Calibri"/>
                <w:sz w:val="20"/>
                <w:szCs w:val="20"/>
                <w:lang w:val="hy-AM"/>
              </w:rPr>
              <w:t>Վոմեքս</w:t>
            </w:r>
            <w:r w:rsidRPr="0053423A">
              <w:rPr>
                <w:rFonts w:eastAsia="Calibri" w:cs="Calibri"/>
                <w:sz w:val="20"/>
                <w:szCs w:val="20"/>
                <w:lang w:val="tr-TR"/>
              </w:rPr>
              <w:t xml:space="preserve"> </w:t>
            </w:r>
            <w:r w:rsidRPr="0053423A">
              <w:rPr>
                <w:rFonts w:eastAsia="Calibri" w:cs="Calibri"/>
                <w:sz w:val="20"/>
                <w:szCs w:val="20"/>
                <w:lang w:val="hy-AM"/>
              </w:rPr>
              <w:t>երաժշտական</w:t>
            </w:r>
            <w:r w:rsidRPr="0053423A">
              <w:rPr>
                <w:rFonts w:eastAsia="Calibri" w:cs="Calibri"/>
                <w:sz w:val="20"/>
                <w:szCs w:val="20"/>
                <w:lang w:val="tr-TR"/>
              </w:rPr>
              <w:t xml:space="preserve"> </w:t>
            </w:r>
            <w:r w:rsidRPr="0053423A">
              <w:rPr>
                <w:rFonts w:eastAsia="Calibri" w:cs="Calibri"/>
                <w:sz w:val="20"/>
                <w:szCs w:val="20"/>
                <w:lang w:val="hy-AM"/>
              </w:rPr>
              <w:t>փառատոնը</w:t>
            </w:r>
            <w:r w:rsidRPr="0053423A">
              <w:rPr>
                <w:rFonts w:eastAsia="Calibri" w:cs="Calibri"/>
                <w:sz w:val="20"/>
                <w:szCs w:val="20"/>
                <w:lang w:val="tr-TR"/>
              </w:rPr>
              <w:t xml:space="preserve">, </w:t>
            </w:r>
            <w:r w:rsidRPr="0053423A">
              <w:rPr>
                <w:rFonts w:eastAsia="Calibri" w:cs="Calibri"/>
                <w:sz w:val="20"/>
                <w:szCs w:val="20"/>
                <w:lang w:val="hy-AM"/>
              </w:rPr>
              <w:t>թատերական</w:t>
            </w:r>
            <w:r w:rsidRPr="0053423A">
              <w:rPr>
                <w:rFonts w:eastAsia="Calibri" w:cs="Calibri"/>
                <w:sz w:val="20"/>
                <w:szCs w:val="20"/>
                <w:lang w:val="tr-TR"/>
              </w:rPr>
              <w:t xml:space="preserve"> </w:t>
            </w:r>
            <w:r w:rsidRPr="0053423A">
              <w:rPr>
                <w:rFonts w:eastAsia="Calibri" w:cs="Calibri"/>
                <w:sz w:val="20"/>
                <w:szCs w:val="20"/>
                <w:lang w:val="hy-AM"/>
              </w:rPr>
              <w:t>և</w:t>
            </w:r>
            <w:r w:rsidRPr="0053423A">
              <w:rPr>
                <w:rFonts w:eastAsia="Calibri" w:cs="Calibri"/>
                <w:sz w:val="20"/>
                <w:szCs w:val="20"/>
                <w:lang w:val="tr-TR"/>
              </w:rPr>
              <w:t xml:space="preserve"> </w:t>
            </w:r>
            <w:r w:rsidRPr="0053423A">
              <w:rPr>
                <w:rFonts w:eastAsia="Calibri" w:cs="Calibri"/>
                <w:sz w:val="20"/>
                <w:szCs w:val="20"/>
                <w:lang w:val="hy-AM"/>
              </w:rPr>
              <w:t>կատարողական</w:t>
            </w:r>
            <w:r w:rsidRPr="0053423A">
              <w:rPr>
                <w:rFonts w:eastAsia="Calibri" w:cs="Calibri"/>
                <w:sz w:val="20"/>
                <w:szCs w:val="20"/>
                <w:lang w:val="tr-TR"/>
              </w:rPr>
              <w:t xml:space="preserve"> </w:t>
            </w:r>
            <w:r w:rsidRPr="0053423A">
              <w:rPr>
                <w:rFonts w:eastAsia="Calibri" w:cs="Calibri"/>
                <w:sz w:val="20"/>
                <w:szCs w:val="20"/>
                <w:lang w:val="hy-AM"/>
              </w:rPr>
              <w:t>արվեստի</w:t>
            </w:r>
            <w:r w:rsidRPr="0053423A">
              <w:rPr>
                <w:rFonts w:eastAsia="Calibri" w:cs="Calibri"/>
                <w:sz w:val="20"/>
                <w:szCs w:val="20"/>
                <w:lang w:val="tr-TR"/>
              </w:rPr>
              <w:t xml:space="preserve"> </w:t>
            </w:r>
            <w:r w:rsidRPr="0053423A">
              <w:rPr>
                <w:rFonts w:eastAsia="Calibri" w:cs="Calibri"/>
                <w:sz w:val="20"/>
                <w:szCs w:val="20"/>
                <w:lang w:val="hy-AM"/>
              </w:rPr>
              <w:t>մի</w:t>
            </w:r>
            <w:r w:rsidRPr="0053423A">
              <w:rPr>
                <w:rFonts w:eastAsia="Calibri" w:cs="Calibri"/>
                <w:sz w:val="20"/>
                <w:szCs w:val="20"/>
                <w:lang w:val="tr-TR"/>
              </w:rPr>
              <w:t xml:space="preserve"> </w:t>
            </w:r>
            <w:r w:rsidRPr="0053423A">
              <w:rPr>
                <w:rFonts w:eastAsia="Calibri" w:cs="Calibri"/>
                <w:sz w:val="20"/>
                <w:szCs w:val="20"/>
                <w:lang w:val="hy-AM"/>
              </w:rPr>
              <w:t>շարք</w:t>
            </w:r>
            <w:r w:rsidRPr="0053423A">
              <w:rPr>
                <w:rFonts w:eastAsia="Calibri" w:cs="Calibri"/>
                <w:sz w:val="20"/>
                <w:szCs w:val="20"/>
                <w:lang w:val="tr-TR"/>
              </w:rPr>
              <w:t xml:space="preserve"> </w:t>
            </w:r>
            <w:r w:rsidRPr="0053423A">
              <w:rPr>
                <w:rFonts w:eastAsia="Calibri" w:cs="Calibri"/>
                <w:sz w:val="20"/>
                <w:szCs w:val="20"/>
                <w:lang w:val="hy-AM"/>
              </w:rPr>
              <w:t>փառատոներ</w:t>
            </w:r>
            <w:r w:rsidRPr="0053423A">
              <w:rPr>
                <w:rFonts w:eastAsia="Calibri" w:cs="Calibri"/>
                <w:sz w:val="20"/>
                <w:szCs w:val="20"/>
                <w:lang w:val="tr-TR"/>
              </w:rPr>
              <w:t xml:space="preserve"> </w:t>
            </w:r>
            <w:r w:rsidRPr="0053423A">
              <w:rPr>
                <w:rFonts w:eastAsia="Calibri" w:cs="Calibri"/>
                <w:sz w:val="20"/>
                <w:szCs w:val="20"/>
                <w:lang w:val="hy-AM"/>
              </w:rPr>
              <w:t>և</w:t>
            </w:r>
            <w:r w:rsidRPr="0053423A">
              <w:rPr>
                <w:rFonts w:eastAsia="Calibri" w:cs="Calibri"/>
                <w:sz w:val="20"/>
                <w:szCs w:val="20"/>
                <w:lang w:val="tr-TR"/>
              </w:rPr>
              <w:t xml:space="preserve"> </w:t>
            </w:r>
            <w:r w:rsidRPr="0053423A">
              <w:rPr>
                <w:rFonts w:eastAsia="Calibri" w:cs="Calibri"/>
                <w:sz w:val="20"/>
                <w:szCs w:val="20"/>
                <w:lang w:val="hy-AM"/>
              </w:rPr>
              <w:t>մրցույթներ</w:t>
            </w:r>
            <w:r w:rsidRPr="0053423A">
              <w:rPr>
                <w:rFonts w:eastAsia="Calibri" w:cs="Calibri"/>
                <w:sz w:val="20"/>
                <w:szCs w:val="20"/>
                <w:lang w:val="tr-TR"/>
              </w:rPr>
              <w:t xml:space="preserve">, </w:t>
            </w:r>
            <w:r w:rsidRPr="0053423A">
              <w:rPr>
                <w:rFonts w:eastAsia="Calibri" w:cs="Calibri"/>
                <w:sz w:val="20"/>
                <w:szCs w:val="20"/>
                <w:lang w:val="hy-AM"/>
              </w:rPr>
              <w:t>գրքի</w:t>
            </w:r>
            <w:r w:rsidRPr="0053423A">
              <w:rPr>
                <w:rFonts w:eastAsia="Calibri" w:cs="Calibri"/>
                <w:sz w:val="20"/>
                <w:szCs w:val="20"/>
                <w:lang w:val="tr-TR"/>
              </w:rPr>
              <w:t xml:space="preserve"> </w:t>
            </w:r>
            <w:r w:rsidRPr="0053423A">
              <w:rPr>
                <w:rFonts w:eastAsia="Calibri" w:cs="Calibri"/>
                <w:sz w:val="20"/>
                <w:szCs w:val="20"/>
                <w:lang w:val="hy-AM"/>
              </w:rPr>
              <w:t>տոնավաճառներ</w:t>
            </w:r>
            <w:r w:rsidRPr="0053423A">
              <w:rPr>
                <w:rFonts w:eastAsia="Calibri" w:cs="Calibri"/>
                <w:sz w:val="20"/>
                <w:szCs w:val="20"/>
                <w:lang w:val="tr-TR"/>
              </w:rPr>
              <w:t xml:space="preserve">, </w:t>
            </w:r>
            <w:r w:rsidRPr="0053423A">
              <w:rPr>
                <w:rFonts w:eastAsia="Calibri" w:cs="Calibri"/>
                <w:sz w:val="20"/>
                <w:szCs w:val="20"/>
                <w:lang w:val="hy-AM"/>
              </w:rPr>
              <w:t>ազգային</w:t>
            </w:r>
            <w:r w:rsidRPr="0053423A">
              <w:rPr>
                <w:rFonts w:eastAsia="Calibri" w:cs="Calibri"/>
                <w:sz w:val="20"/>
                <w:szCs w:val="20"/>
                <w:lang w:val="tr-TR"/>
              </w:rPr>
              <w:t>-</w:t>
            </w:r>
            <w:r w:rsidRPr="0053423A">
              <w:rPr>
                <w:rFonts w:eastAsia="Calibri" w:cs="Calibri"/>
                <w:sz w:val="20"/>
                <w:szCs w:val="20"/>
                <w:lang w:val="hy-AM"/>
              </w:rPr>
              <w:t>ավանդական</w:t>
            </w:r>
            <w:r w:rsidRPr="0053423A">
              <w:rPr>
                <w:rFonts w:eastAsia="Calibri" w:cs="Calibri"/>
                <w:sz w:val="20"/>
                <w:szCs w:val="20"/>
                <w:lang w:val="tr-TR"/>
              </w:rPr>
              <w:t xml:space="preserve"> </w:t>
            </w:r>
            <w:r w:rsidRPr="0053423A">
              <w:rPr>
                <w:rFonts w:eastAsia="Calibri" w:cs="Calibri"/>
                <w:sz w:val="20"/>
                <w:szCs w:val="20"/>
                <w:lang w:val="hy-AM"/>
              </w:rPr>
              <w:t>մշակույթին</w:t>
            </w:r>
            <w:r w:rsidRPr="0053423A">
              <w:rPr>
                <w:rFonts w:eastAsia="Calibri" w:cs="Calibri"/>
                <w:sz w:val="20"/>
                <w:szCs w:val="20"/>
                <w:lang w:val="tr-TR"/>
              </w:rPr>
              <w:t xml:space="preserve"> </w:t>
            </w:r>
            <w:r w:rsidRPr="0053423A">
              <w:rPr>
                <w:rFonts w:eastAsia="Calibri" w:cs="Calibri"/>
                <w:sz w:val="20"/>
                <w:szCs w:val="20"/>
                <w:lang w:val="hy-AM"/>
              </w:rPr>
              <w:t>և</w:t>
            </w:r>
            <w:r w:rsidRPr="0053423A">
              <w:rPr>
                <w:rFonts w:eastAsia="Calibri" w:cs="Calibri"/>
                <w:sz w:val="20"/>
                <w:szCs w:val="20"/>
                <w:lang w:val="tr-TR"/>
              </w:rPr>
              <w:t xml:space="preserve"> </w:t>
            </w:r>
            <w:r w:rsidRPr="0053423A">
              <w:rPr>
                <w:rFonts w:eastAsia="Calibri" w:cs="Calibri"/>
                <w:sz w:val="20"/>
                <w:szCs w:val="20"/>
                <w:lang w:val="hy-AM"/>
              </w:rPr>
              <w:t>ծեսերին</w:t>
            </w:r>
            <w:r w:rsidRPr="0053423A">
              <w:rPr>
                <w:rFonts w:eastAsia="Calibri" w:cs="Calibri"/>
                <w:sz w:val="20"/>
                <w:szCs w:val="20"/>
                <w:lang w:val="tr-TR"/>
              </w:rPr>
              <w:t xml:space="preserve"> </w:t>
            </w:r>
            <w:r w:rsidRPr="0053423A">
              <w:rPr>
                <w:rFonts w:eastAsia="Calibri" w:cs="Calibri"/>
                <w:sz w:val="20"/>
                <w:szCs w:val="20"/>
                <w:lang w:val="hy-AM"/>
              </w:rPr>
              <w:t>ուղղված</w:t>
            </w:r>
            <w:r w:rsidRPr="0053423A">
              <w:rPr>
                <w:rFonts w:eastAsia="Calibri" w:cs="Calibri"/>
                <w:sz w:val="20"/>
                <w:szCs w:val="20"/>
                <w:lang w:val="tr-TR"/>
              </w:rPr>
              <w:t xml:space="preserve"> </w:t>
            </w:r>
            <w:r w:rsidRPr="0053423A">
              <w:rPr>
                <w:rFonts w:eastAsia="Calibri" w:cs="Calibri"/>
                <w:sz w:val="20"/>
                <w:szCs w:val="20"/>
                <w:lang w:val="hy-AM"/>
              </w:rPr>
              <w:t>միջազգային</w:t>
            </w:r>
            <w:r w:rsidRPr="0053423A">
              <w:rPr>
                <w:rFonts w:eastAsia="Calibri" w:cs="Calibri"/>
                <w:sz w:val="20"/>
                <w:szCs w:val="20"/>
                <w:lang w:val="tr-TR"/>
              </w:rPr>
              <w:t xml:space="preserve"> </w:t>
            </w:r>
            <w:r w:rsidRPr="0053423A">
              <w:rPr>
                <w:rFonts w:eastAsia="Calibri" w:cs="Calibri"/>
                <w:sz w:val="20"/>
                <w:szCs w:val="20"/>
                <w:lang w:val="hy-AM"/>
              </w:rPr>
              <w:t>հարթակներ</w:t>
            </w:r>
            <w:r w:rsidRPr="0053423A">
              <w:rPr>
                <w:rFonts w:eastAsia="Calibri" w:cs="Calibri"/>
                <w:sz w:val="20"/>
                <w:szCs w:val="20"/>
                <w:lang w:val="tr-TR"/>
              </w:rPr>
              <w:t xml:space="preserve"> </w:t>
            </w:r>
            <w:r w:rsidRPr="0053423A">
              <w:rPr>
                <w:rFonts w:eastAsia="Calibri" w:cs="Calibri"/>
                <w:sz w:val="20"/>
                <w:szCs w:val="20"/>
                <w:lang w:val="hy-AM"/>
              </w:rPr>
              <w:t>և</w:t>
            </w:r>
            <w:r w:rsidRPr="0053423A">
              <w:rPr>
                <w:rFonts w:eastAsia="Calibri" w:cs="Calibri"/>
                <w:sz w:val="20"/>
                <w:szCs w:val="20"/>
                <w:lang w:val="tr-TR"/>
              </w:rPr>
              <w:t xml:space="preserve"> </w:t>
            </w:r>
            <w:r w:rsidRPr="0053423A">
              <w:rPr>
                <w:rFonts w:eastAsia="Calibri" w:cs="Calibri"/>
                <w:sz w:val="20"/>
                <w:szCs w:val="20"/>
                <w:lang w:val="hy-AM"/>
              </w:rPr>
              <w:t>այլն</w:t>
            </w:r>
            <w:r w:rsidRPr="0053423A">
              <w:rPr>
                <w:rFonts w:eastAsia="Calibri" w:cs="Calibri"/>
                <w:sz w:val="20"/>
                <w:szCs w:val="20"/>
                <w:lang w:val="tr-TR"/>
              </w:rPr>
              <w:t xml:space="preserve">: </w:t>
            </w:r>
            <w:r w:rsidRPr="0053423A">
              <w:rPr>
                <w:rFonts w:eastAsia="Calibri" w:cs="Calibri"/>
                <w:sz w:val="20"/>
                <w:szCs w:val="20"/>
                <w:lang w:val="hy-AM"/>
              </w:rPr>
              <w:t>Մշակութային</w:t>
            </w:r>
            <w:r w:rsidRPr="0053423A">
              <w:rPr>
                <w:rFonts w:eastAsia="Calibri" w:cs="Calibri"/>
                <w:sz w:val="20"/>
                <w:szCs w:val="20"/>
                <w:lang w:val="tr-TR"/>
              </w:rPr>
              <w:t xml:space="preserve"> </w:t>
            </w:r>
            <w:r w:rsidRPr="0053423A">
              <w:rPr>
                <w:rFonts w:eastAsia="Calibri" w:cs="Calibri"/>
                <w:sz w:val="20"/>
                <w:szCs w:val="20"/>
                <w:lang w:val="hy-AM"/>
              </w:rPr>
              <w:t>արտաքին</w:t>
            </w:r>
            <w:r w:rsidRPr="0053423A">
              <w:rPr>
                <w:rFonts w:eastAsia="Calibri" w:cs="Calibri"/>
                <w:sz w:val="20"/>
                <w:szCs w:val="20"/>
                <w:lang w:val="tr-TR"/>
              </w:rPr>
              <w:t xml:space="preserve"> </w:t>
            </w:r>
            <w:r w:rsidRPr="0053423A">
              <w:rPr>
                <w:rFonts w:eastAsia="Calibri" w:cs="Calibri"/>
                <w:sz w:val="20"/>
                <w:szCs w:val="20"/>
                <w:lang w:val="hy-AM"/>
              </w:rPr>
              <w:t>քաղաքականությունն</w:t>
            </w:r>
            <w:r w:rsidRPr="0053423A">
              <w:rPr>
                <w:rFonts w:eastAsia="Calibri" w:cs="Calibri"/>
                <w:sz w:val="20"/>
                <w:szCs w:val="20"/>
                <w:lang w:val="tr-TR"/>
              </w:rPr>
              <w:t xml:space="preserve"> </w:t>
            </w:r>
            <w:r w:rsidRPr="0053423A">
              <w:rPr>
                <w:rFonts w:eastAsia="Calibri" w:cs="Calibri"/>
                <w:sz w:val="20"/>
                <w:szCs w:val="20"/>
                <w:lang w:val="hy-AM"/>
              </w:rPr>
              <w:t>ուժեղացնելու</w:t>
            </w:r>
            <w:r w:rsidRPr="0053423A">
              <w:rPr>
                <w:rFonts w:eastAsia="Calibri" w:cs="Calibri"/>
                <w:sz w:val="20"/>
                <w:szCs w:val="20"/>
                <w:lang w:val="tr-TR"/>
              </w:rPr>
              <w:t xml:space="preserve"> </w:t>
            </w:r>
            <w:r w:rsidRPr="0053423A">
              <w:rPr>
                <w:rFonts w:eastAsia="Calibri" w:cs="Calibri"/>
                <w:sz w:val="20"/>
                <w:szCs w:val="20"/>
                <w:lang w:val="hy-AM"/>
              </w:rPr>
              <w:t>և</w:t>
            </w:r>
            <w:r w:rsidRPr="0053423A">
              <w:rPr>
                <w:rFonts w:eastAsia="Calibri" w:cs="Calibri"/>
                <w:sz w:val="20"/>
                <w:szCs w:val="20"/>
                <w:lang w:val="tr-TR"/>
              </w:rPr>
              <w:t xml:space="preserve"> </w:t>
            </w:r>
            <w:r w:rsidRPr="0053423A">
              <w:rPr>
                <w:rFonts w:eastAsia="Calibri" w:cs="Calibri"/>
                <w:sz w:val="20"/>
                <w:szCs w:val="20"/>
                <w:lang w:val="hy-AM"/>
              </w:rPr>
              <w:t>ազգային</w:t>
            </w:r>
            <w:r w:rsidRPr="0053423A">
              <w:rPr>
                <w:rFonts w:eastAsia="Calibri" w:cs="Calibri"/>
                <w:sz w:val="20"/>
                <w:szCs w:val="20"/>
                <w:lang w:val="tr-TR"/>
              </w:rPr>
              <w:t xml:space="preserve"> </w:t>
            </w:r>
            <w:r w:rsidRPr="0053423A">
              <w:rPr>
                <w:rFonts w:eastAsia="Calibri" w:cs="Calibri"/>
                <w:sz w:val="20"/>
                <w:szCs w:val="20"/>
                <w:lang w:val="hy-AM"/>
              </w:rPr>
              <w:t>ու</w:t>
            </w:r>
            <w:r w:rsidRPr="0053423A">
              <w:rPr>
                <w:rFonts w:eastAsia="Calibri" w:cs="Calibri"/>
                <w:sz w:val="20"/>
                <w:szCs w:val="20"/>
                <w:lang w:val="tr-TR"/>
              </w:rPr>
              <w:t xml:space="preserve"> </w:t>
            </w:r>
            <w:r w:rsidRPr="0053423A">
              <w:rPr>
                <w:rFonts w:eastAsia="Calibri" w:cs="Calibri"/>
                <w:sz w:val="20"/>
                <w:szCs w:val="20"/>
                <w:lang w:val="hy-AM"/>
              </w:rPr>
              <w:t>ժամանակակից</w:t>
            </w:r>
            <w:r w:rsidRPr="0053423A">
              <w:rPr>
                <w:rFonts w:eastAsia="Calibri" w:cs="Calibri"/>
                <w:sz w:val="20"/>
                <w:szCs w:val="20"/>
                <w:lang w:val="tr-TR"/>
              </w:rPr>
              <w:t xml:space="preserve"> </w:t>
            </w:r>
            <w:r w:rsidRPr="0053423A">
              <w:rPr>
                <w:rFonts w:eastAsia="Calibri" w:cs="Calibri"/>
                <w:sz w:val="20"/>
                <w:szCs w:val="20"/>
                <w:lang w:val="hy-AM"/>
              </w:rPr>
              <w:t>հայ</w:t>
            </w:r>
            <w:r w:rsidRPr="0053423A">
              <w:rPr>
                <w:rFonts w:eastAsia="Calibri" w:cs="Calibri"/>
                <w:sz w:val="20"/>
                <w:szCs w:val="20"/>
                <w:lang w:val="tr-TR"/>
              </w:rPr>
              <w:t xml:space="preserve"> </w:t>
            </w:r>
            <w:r w:rsidRPr="0053423A">
              <w:rPr>
                <w:rFonts w:eastAsia="Calibri" w:cs="Calibri"/>
                <w:sz w:val="20"/>
                <w:szCs w:val="20"/>
                <w:lang w:val="hy-AM"/>
              </w:rPr>
              <w:t>ստեղծարար</w:t>
            </w:r>
            <w:r w:rsidRPr="0053423A">
              <w:rPr>
                <w:rFonts w:eastAsia="Calibri" w:cs="Calibri"/>
                <w:sz w:val="20"/>
                <w:szCs w:val="20"/>
                <w:lang w:val="tr-TR"/>
              </w:rPr>
              <w:t xml:space="preserve"> </w:t>
            </w:r>
            <w:r w:rsidRPr="0053423A">
              <w:rPr>
                <w:rFonts w:eastAsia="Calibri" w:cs="Calibri"/>
                <w:sz w:val="20"/>
                <w:szCs w:val="20"/>
                <w:lang w:val="hy-AM"/>
              </w:rPr>
              <w:t>ոլորտները</w:t>
            </w:r>
            <w:r w:rsidRPr="0053423A">
              <w:rPr>
                <w:rFonts w:eastAsia="Calibri" w:cs="Calibri"/>
                <w:sz w:val="20"/>
                <w:szCs w:val="20"/>
                <w:lang w:val="tr-TR"/>
              </w:rPr>
              <w:t xml:space="preserve"> </w:t>
            </w:r>
            <w:r w:rsidRPr="0053423A">
              <w:rPr>
                <w:rFonts w:eastAsia="Calibri" w:cs="Calibri"/>
                <w:sz w:val="20"/>
                <w:szCs w:val="20"/>
                <w:lang w:val="hy-AM"/>
              </w:rPr>
              <w:t>հանրահռչակելու</w:t>
            </w:r>
            <w:r w:rsidRPr="0053423A">
              <w:rPr>
                <w:rFonts w:eastAsia="Calibri" w:cs="Calibri"/>
                <w:sz w:val="20"/>
                <w:szCs w:val="20"/>
                <w:lang w:val="tr-TR"/>
              </w:rPr>
              <w:t xml:space="preserve"> </w:t>
            </w:r>
            <w:r w:rsidRPr="0053423A">
              <w:rPr>
                <w:rFonts w:eastAsia="Calibri" w:cs="Calibri"/>
                <w:sz w:val="20"/>
                <w:szCs w:val="20"/>
                <w:lang w:val="hy-AM"/>
              </w:rPr>
              <w:t>համար</w:t>
            </w:r>
            <w:r w:rsidRPr="0053423A">
              <w:rPr>
                <w:rFonts w:eastAsia="Calibri" w:cs="Calibri"/>
                <w:sz w:val="20"/>
                <w:szCs w:val="20"/>
                <w:lang w:val="tr-TR"/>
              </w:rPr>
              <w:t xml:space="preserve"> </w:t>
            </w:r>
            <w:r w:rsidRPr="0053423A">
              <w:rPr>
                <w:rFonts w:eastAsia="Calibri" w:cs="Calibri"/>
                <w:sz w:val="20"/>
                <w:szCs w:val="20"/>
                <w:lang w:val="hy-AM"/>
              </w:rPr>
              <w:t>անհրաժեշտ</w:t>
            </w:r>
            <w:r w:rsidRPr="0053423A">
              <w:rPr>
                <w:rFonts w:eastAsia="Calibri" w:cs="Calibri"/>
                <w:sz w:val="20"/>
                <w:szCs w:val="20"/>
                <w:lang w:val="tr-TR"/>
              </w:rPr>
              <w:t xml:space="preserve"> </w:t>
            </w:r>
            <w:r w:rsidRPr="0053423A">
              <w:rPr>
                <w:rFonts w:eastAsia="Calibri" w:cs="Calibri"/>
                <w:sz w:val="20"/>
                <w:szCs w:val="20"/>
                <w:lang w:val="hy-AM"/>
              </w:rPr>
              <w:t>է</w:t>
            </w:r>
            <w:r w:rsidRPr="0053423A">
              <w:rPr>
                <w:rFonts w:eastAsia="Calibri" w:cs="Calibri"/>
                <w:sz w:val="20"/>
                <w:szCs w:val="20"/>
                <w:lang w:val="tr-TR"/>
              </w:rPr>
              <w:t xml:space="preserve"> </w:t>
            </w:r>
            <w:r w:rsidRPr="0053423A">
              <w:rPr>
                <w:rFonts w:eastAsia="Calibri" w:cs="Calibri"/>
                <w:sz w:val="20"/>
                <w:szCs w:val="20"/>
                <w:lang w:val="hy-AM"/>
              </w:rPr>
              <w:t>մրցունակ</w:t>
            </w:r>
            <w:r w:rsidRPr="0053423A">
              <w:rPr>
                <w:rFonts w:eastAsia="Calibri" w:cs="Calibri"/>
                <w:sz w:val="20"/>
                <w:szCs w:val="20"/>
                <w:lang w:val="tr-TR"/>
              </w:rPr>
              <w:t xml:space="preserve"> </w:t>
            </w:r>
            <w:r w:rsidRPr="0053423A">
              <w:rPr>
                <w:rFonts w:eastAsia="Calibri" w:cs="Calibri"/>
                <w:sz w:val="20"/>
                <w:szCs w:val="20"/>
                <w:lang w:val="hy-AM"/>
              </w:rPr>
              <w:t>պայմաններ</w:t>
            </w:r>
            <w:r w:rsidRPr="0053423A">
              <w:rPr>
                <w:rFonts w:eastAsia="Calibri" w:cs="Calibri"/>
                <w:sz w:val="20"/>
                <w:szCs w:val="20"/>
                <w:lang w:val="tr-TR"/>
              </w:rPr>
              <w:t xml:space="preserve"> </w:t>
            </w:r>
            <w:r w:rsidRPr="0053423A">
              <w:rPr>
                <w:rFonts w:eastAsia="Calibri" w:cs="Calibri"/>
                <w:sz w:val="20"/>
                <w:szCs w:val="20"/>
                <w:lang w:val="hy-AM"/>
              </w:rPr>
              <w:t>ստեղծել</w:t>
            </w:r>
            <w:r w:rsidRPr="0053423A">
              <w:rPr>
                <w:rFonts w:eastAsia="Calibri" w:cs="Calibri"/>
                <w:sz w:val="20"/>
                <w:szCs w:val="20"/>
                <w:lang w:val="tr-TR"/>
              </w:rPr>
              <w:t xml:space="preserve"> </w:t>
            </w:r>
            <w:r w:rsidRPr="0053423A">
              <w:rPr>
                <w:rFonts w:eastAsia="Calibri" w:cs="Calibri"/>
                <w:sz w:val="20"/>
                <w:szCs w:val="20"/>
                <w:lang w:val="hy-AM"/>
              </w:rPr>
              <w:t>ամբողջ</w:t>
            </w:r>
            <w:r w:rsidRPr="0053423A">
              <w:rPr>
                <w:rFonts w:eastAsia="Calibri" w:cs="Calibri"/>
                <w:sz w:val="20"/>
                <w:szCs w:val="20"/>
                <w:lang w:val="tr-TR"/>
              </w:rPr>
              <w:t xml:space="preserve"> </w:t>
            </w:r>
            <w:r w:rsidRPr="0053423A">
              <w:rPr>
                <w:rFonts w:eastAsia="Calibri" w:cs="Calibri"/>
                <w:sz w:val="20"/>
                <w:szCs w:val="20"/>
                <w:lang w:val="hy-AM"/>
              </w:rPr>
              <w:t>մշակութային</w:t>
            </w:r>
            <w:r w:rsidRPr="0053423A">
              <w:rPr>
                <w:rFonts w:eastAsia="Calibri" w:cs="Calibri"/>
                <w:sz w:val="20"/>
                <w:szCs w:val="20"/>
                <w:lang w:val="tr-TR"/>
              </w:rPr>
              <w:t xml:space="preserve"> </w:t>
            </w:r>
            <w:r w:rsidRPr="0053423A">
              <w:rPr>
                <w:rFonts w:eastAsia="Calibri" w:cs="Calibri"/>
                <w:sz w:val="20"/>
                <w:szCs w:val="20"/>
                <w:lang w:val="hy-AM"/>
              </w:rPr>
              <w:t>դաշտի</w:t>
            </w:r>
            <w:r w:rsidRPr="0053423A">
              <w:rPr>
                <w:rFonts w:eastAsia="Calibri" w:cs="Calibri"/>
                <w:sz w:val="20"/>
                <w:szCs w:val="20"/>
                <w:lang w:val="tr-TR"/>
              </w:rPr>
              <w:t xml:space="preserve"> </w:t>
            </w:r>
            <w:r w:rsidRPr="0053423A">
              <w:rPr>
                <w:rFonts w:eastAsia="Calibri" w:cs="Calibri"/>
                <w:sz w:val="20"/>
                <w:szCs w:val="20"/>
                <w:lang w:val="hy-AM"/>
              </w:rPr>
              <w:t>մասնակցությունը</w:t>
            </w:r>
            <w:r w:rsidRPr="0053423A">
              <w:rPr>
                <w:rFonts w:eastAsia="Calibri" w:cs="Calibri"/>
                <w:sz w:val="20"/>
                <w:szCs w:val="20"/>
                <w:lang w:val="tr-TR"/>
              </w:rPr>
              <w:t xml:space="preserve"> </w:t>
            </w:r>
            <w:r w:rsidRPr="0053423A">
              <w:rPr>
                <w:rFonts w:eastAsia="Calibri" w:cs="Calibri"/>
                <w:sz w:val="20"/>
                <w:szCs w:val="20"/>
                <w:lang w:val="hy-AM"/>
              </w:rPr>
              <w:t>միջազգային</w:t>
            </w:r>
            <w:r w:rsidRPr="0053423A">
              <w:rPr>
                <w:rFonts w:eastAsia="Calibri" w:cs="Calibri"/>
                <w:sz w:val="20"/>
                <w:szCs w:val="20"/>
                <w:lang w:val="tr-TR"/>
              </w:rPr>
              <w:t xml:space="preserve"> </w:t>
            </w:r>
            <w:r w:rsidRPr="0053423A">
              <w:rPr>
                <w:rFonts w:eastAsia="Calibri" w:cs="Calibri"/>
                <w:sz w:val="20"/>
                <w:szCs w:val="20"/>
                <w:lang w:val="hy-AM"/>
              </w:rPr>
              <w:t>միջոցառումներին</w:t>
            </w:r>
            <w:r w:rsidRPr="0053423A">
              <w:rPr>
                <w:rFonts w:eastAsia="Calibri" w:cs="Calibri"/>
                <w:sz w:val="20"/>
                <w:szCs w:val="20"/>
                <w:lang w:val="tr-TR"/>
              </w:rPr>
              <w:t xml:space="preserve"> </w:t>
            </w:r>
            <w:r w:rsidRPr="0053423A">
              <w:rPr>
                <w:rFonts w:eastAsia="Calibri" w:cs="Calibri"/>
                <w:sz w:val="20"/>
                <w:szCs w:val="20"/>
                <w:lang w:val="hy-AM"/>
              </w:rPr>
              <w:t>ապահովելու</w:t>
            </w:r>
            <w:r w:rsidRPr="0053423A">
              <w:rPr>
                <w:rFonts w:eastAsia="Calibri" w:cs="Calibri"/>
                <w:sz w:val="20"/>
                <w:szCs w:val="20"/>
                <w:lang w:val="tr-TR"/>
              </w:rPr>
              <w:t xml:space="preserve"> </w:t>
            </w:r>
            <w:r w:rsidRPr="0053423A">
              <w:rPr>
                <w:rFonts w:eastAsia="Calibri" w:cs="Calibri"/>
                <w:sz w:val="20"/>
                <w:szCs w:val="20"/>
                <w:lang w:val="hy-AM"/>
              </w:rPr>
              <w:t>համար</w:t>
            </w:r>
            <w:r w:rsidRPr="0053423A">
              <w:rPr>
                <w:rFonts w:eastAsia="Calibri" w:cs="Calibri"/>
                <w:sz w:val="20"/>
                <w:szCs w:val="20"/>
                <w:lang w:val="tr-TR"/>
              </w:rPr>
              <w:t>: Անհրաժեշտ է նաև ապահովել հավասար պայմաններ և թափանցիկ ընթացակարգեր մշակութային կազմակերպությունների և անհատ ստեղծագործողների միջև մրցակցային դաշտի կայացման համար:</w:t>
            </w:r>
          </w:p>
          <w:p w:rsidR="00A67B6B" w:rsidRPr="0053423A" w:rsidRDefault="00A67B6B" w:rsidP="00A67858">
            <w:pPr>
              <w:tabs>
                <w:tab w:val="left" w:pos="508"/>
              </w:tabs>
              <w:spacing w:after="0" w:line="276" w:lineRule="auto"/>
              <w:jc w:val="both"/>
              <w:rPr>
                <w:rFonts w:eastAsia="Calibri" w:cs="Calibri"/>
                <w:b/>
                <w:sz w:val="20"/>
                <w:szCs w:val="20"/>
                <w:lang w:val="tr-TR"/>
              </w:rPr>
            </w:pPr>
          </w:p>
          <w:p w:rsidR="00A67B6B" w:rsidRPr="0053423A" w:rsidRDefault="00A67B6B" w:rsidP="001F6D5D">
            <w:pPr>
              <w:numPr>
                <w:ilvl w:val="1"/>
                <w:numId w:val="231"/>
              </w:numPr>
              <w:tabs>
                <w:tab w:val="left" w:pos="508"/>
              </w:tabs>
              <w:spacing w:after="0" w:line="276" w:lineRule="auto"/>
              <w:ind w:hanging="720"/>
              <w:jc w:val="both"/>
              <w:rPr>
                <w:rFonts w:eastAsia="Calibri" w:cs="Calibri"/>
                <w:b/>
                <w:sz w:val="20"/>
                <w:szCs w:val="20"/>
                <w:lang w:val="tr-TR"/>
              </w:rPr>
            </w:pPr>
            <w:r w:rsidRPr="0053423A">
              <w:rPr>
                <w:rFonts w:eastAsia="Calibri" w:cs="Calibri"/>
                <w:b/>
                <w:sz w:val="20"/>
                <w:szCs w:val="20"/>
              </w:rPr>
              <w:t>Առկա</w:t>
            </w:r>
            <w:r w:rsidRPr="0053423A">
              <w:rPr>
                <w:rFonts w:eastAsia="Calibri" w:cs="Calibri"/>
                <w:b/>
                <w:sz w:val="20"/>
                <w:szCs w:val="20"/>
                <w:lang w:val="tr-TR"/>
              </w:rPr>
              <w:t xml:space="preserve"> </w:t>
            </w:r>
            <w:r w:rsidRPr="0053423A">
              <w:rPr>
                <w:rFonts w:eastAsia="Calibri" w:cs="Calibri"/>
                <w:b/>
                <w:sz w:val="20"/>
                <w:szCs w:val="20"/>
              </w:rPr>
              <w:t>խնդիրների</w:t>
            </w:r>
            <w:r w:rsidRPr="0053423A">
              <w:rPr>
                <w:rFonts w:eastAsia="Calibri" w:cs="Calibri"/>
                <w:b/>
                <w:sz w:val="20"/>
                <w:szCs w:val="20"/>
                <w:lang w:val="tr-TR"/>
              </w:rPr>
              <w:t xml:space="preserve"> </w:t>
            </w:r>
            <w:r w:rsidRPr="0053423A">
              <w:rPr>
                <w:rFonts w:eastAsia="Calibri" w:cs="Calibri"/>
                <w:b/>
                <w:sz w:val="20"/>
                <w:szCs w:val="20"/>
              </w:rPr>
              <w:t>առաջարկվող</w:t>
            </w:r>
            <w:r w:rsidRPr="0053423A">
              <w:rPr>
                <w:rFonts w:eastAsia="Calibri" w:cs="Calibri"/>
                <w:b/>
                <w:sz w:val="20"/>
                <w:szCs w:val="20"/>
                <w:lang w:val="tr-TR"/>
              </w:rPr>
              <w:t xml:space="preserve"> </w:t>
            </w:r>
            <w:r w:rsidRPr="0053423A">
              <w:rPr>
                <w:rFonts w:eastAsia="Calibri" w:cs="Calibri"/>
                <w:b/>
                <w:sz w:val="20"/>
                <w:szCs w:val="20"/>
              </w:rPr>
              <w:t>լուծումները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Հեղինակավոր</w:t>
            </w:r>
            <w:r w:rsidRPr="0053423A">
              <w:rPr>
                <w:rFonts w:eastAsia="Calibri" w:cs="Calibri"/>
                <w:sz w:val="20"/>
                <w:szCs w:val="20"/>
                <w:lang w:val="tr-TR"/>
              </w:rPr>
              <w:t xml:space="preserve"> </w:t>
            </w:r>
            <w:r w:rsidRPr="0053423A">
              <w:rPr>
                <w:rFonts w:eastAsia="Calibri" w:cs="Calibri"/>
                <w:sz w:val="20"/>
                <w:szCs w:val="20"/>
              </w:rPr>
              <w:t>հարթակներում</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միջազգային</w:t>
            </w:r>
            <w:r w:rsidRPr="0053423A">
              <w:rPr>
                <w:rFonts w:eastAsia="Calibri" w:cs="Calibri"/>
                <w:sz w:val="20"/>
                <w:szCs w:val="20"/>
                <w:lang w:val="tr-TR"/>
              </w:rPr>
              <w:t xml:space="preserve"> </w:t>
            </w:r>
            <w:r w:rsidRPr="0053423A">
              <w:rPr>
                <w:rFonts w:eastAsia="Calibri" w:cs="Calibri"/>
                <w:sz w:val="20"/>
                <w:szCs w:val="20"/>
              </w:rPr>
              <w:t>հռչակավոր</w:t>
            </w:r>
            <w:r w:rsidRPr="0053423A">
              <w:rPr>
                <w:rFonts w:eastAsia="Calibri" w:cs="Calibri"/>
                <w:sz w:val="20"/>
                <w:szCs w:val="20"/>
                <w:lang w:val="tr-TR"/>
              </w:rPr>
              <w:t xml:space="preserve">  </w:t>
            </w:r>
            <w:r w:rsidRPr="0053423A">
              <w:rPr>
                <w:rFonts w:eastAsia="Calibri" w:cs="Calibri"/>
                <w:sz w:val="20"/>
                <w:szCs w:val="20"/>
              </w:rPr>
              <w:t>միջոցառումներին</w:t>
            </w:r>
            <w:r w:rsidRPr="0053423A">
              <w:rPr>
                <w:rFonts w:eastAsia="Calibri" w:cs="Calibri"/>
                <w:sz w:val="20"/>
                <w:szCs w:val="20"/>
                <w:lang w:val="tr-TR"/>
              </w:rPr>
              <w:t xml:space="preserve"> </w:t>
            </w:r>
            <w:r w:rsidRPr="0053423A">
              <w:rPr>
                <w:rFonts w:eastAsia="Calibri" w:cs="Calibri"/>
                <w:sz w:val="20"/>
                <w:szCs w:val="20"/>
              </w:rPr>
              <w:t>Հայաստանի</w:t>
            </w:r>
            <w:r w:rsidRPr="0053423A">
              <w:rPr>
                <w:rFonts w:eastAsia="Calibri" w:cs="Calibri"/>
                <w:sz w:val="20"/>
                <w:szCs w:val="20"/>
                <w:lang w:val="tr-TR"/>
              </w:rPr>
              <w:t xml:space="preserve"> </w:t>
            </w:r>
            <w:r w:rsidRPr="0053423A">
              <w:rPr>
                <w:rFonts w:eastAsia="Calibri" w:cs="Calibri"/>
                <w:sz w:val="20"/>
                <w:szCs w:val="20"/>
              </w:rPr>
              <w:t>Հանրապետության</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դաշտի</w:t>
            </w:r>
            <w:r w:rsidRPr="0053423A">
              <w:rPr>
                <w:rFonts w:eastAsia="Calibri" w:cs="Calibri"/>
                <w:sz w:val="20"/>
                <w:szCs w:val="20"/>
                <w:lang w:val="tr-TR"/>
              </w:rPr>
              <w:t xml:space="preserve"> </w:t>
            </w:r>
            <w:r w:rsidRPr="0053423A">
              <w:rPr>
                <w:rFonts w:eastAsia="Calibri" w:cs="Calibri"/>
                <w:sz w:val="20"/>
                <w:szCs w:val="20"/>
              </w:rPr>
              <w:t>հավասար</w:t>
            </w:r>
            <w:r w:rsidRPr="0053423A">
              <w:rPr>
                <w:rFonts w:eastAsia="Calibri" w:cs="Calibri"/>
                <w:sz w:val="20"/>
                <w:szCs w:val="20"/>
                <w:lang w:val="tr-TR"/>
              </w:rPr>
              <w:t xml:space="preserve"> </w:t>
            </w:r>
            <w:r w:rsidRPr="0053423A">
              <w:rPr>
                <w:rFonts w:eastAsia="Calibri" w:cs="Calibri"/>
                <w:sz w:val="20"/>
                <w:szCs w:val="20"/>
              </w:rPr>
              <w:t>պայմաններ</w:t>
            </w:r>
            <w:r w:rsidRPr="0053423A">
              <w:rPr>
                <w:rFonts w:eastAsia="Calibri" w:cs="Calibri"/>
                <w:sz w:val="20"/>
                <w:szCs w:val="20"/>
                <w:lang w:val="tr-TR"/>
              </w:rPr>
              <w:t xml:space="preserve"> </w:t>
            </w:r>
            <w:r w:rsidRPr="0053423A">
              <w:rPr>
                <w:rFonts w:eastAsia="Calibri" w:cs="Calibri"/>
                <w:sz w:val="20"/>
                <w:szCs w:val="20"/>
              </w:rPr>
              <w:t>ապահովելու</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մասնակցությանն</w:t>
            </w:r>
            <w:r w:rsidRPr="0053423A">
              <w:rPr>
                <w:rFonts w:eastAsia="Calibri" w:cs="Calibri"/>
                <w:sz w:val="20"/>
                <w:szCs w:val="20"/>
                <w:lang w:val="tr-TR"/>
              </w:rPr>
              <w:t xml:space="preserve"> </w:t>
            </w:r>
            <w:r w:rsidRPr="0053423A">
              <w:rPr>
                <w:rFonts w:eastAsia="Calibri" w:cs="Calibri"/>
                <w:sz w:val="20"/>
                <w:szCs w:val="20"/>
              </w:rPr>
              <w:t>աջակցելու</w:t>
            </w:r>
            <w:r w:rsidRPr="0053423A">
              <w:rPr>
                <w:rFonts w:eastAsia="Calibri" w:cs="Calibri"/>
                <w:sz w:val="20"/>
                <w:szCs w:val="20"/>
                <w:lang w:val="tr-TR"/>
              </w:rPr>
              <w:t xml:space="preserve"> </w:t>
            </w:r>
            <w:r w:rsidRPr="0053423A">
              <w:rPr>
                <w:rFonts w:eastAsia="Calibri" w:cs="Calibri"/>
                <w:sz w:val="20"/>
                <w:szCs w:val="20"/>
              </w:rPr>
              <w:t>նպատակով</w:t>
            </w:r>
            <w:r w:rsidRPr="0053423A">
              <w:rPr>
                <w:rFonts w:eastAsia="Calibri" w:cs="Calibri"/>
                <w:sz w:val="20"/>
                <w:szCs w:val="20"/>
                <w:lang w:val="tr-TR"/>
              </w:rPr>
              <w:t xml:space="preserve"> </w:t>
            </w:r>
            <w:r w:rsidRPr="0053423A">
              <w:rPr>
                <w:rFonts w:eastAsia="Calibri" w:cs="Calibri"/>
                <w:sz w:val="20"/>
                <w:szCs w:val="20"/>
              </w:rPr>
              <w:t>նախարարի</w:t>
            </w:r>
            <w:r w:rsidRPr="0053423A">
              <w:rPr>
                <w:rFonts w:eastAsia="Calibri" w:cs="Calibri"/>
                <w:sz w:val="20"/>
                <w:szCs w:val="20"/>
                <w:lang w:val="tr-TR"/>
              </w:rPr>
              <w:t xml:space="preserve"> </w:t>
            </w:r>
            <w:r w:rsidRPr="0053423A">
              <w:rPr>
                <w:rFonts w:eastAsia="Calibri" w:cs="Calibri"/>
                <w:sz w:val="20"/>
                <w:szCs w:val="20"/>
              </w:rPr>
              <w:t>հրամանով</w:t>
            </w:r>
            <w:r w:rsidRPr="0053423A">
              <w:rPr>
                <w:rFonts w:eastAsia="Calibri" w:cs="Calibri"/>
                <w:sz w:val="20"/>
                <w:szCs w:val="20"/>
                <w:lang w:val="tr-TR"/>
              </w:rPr>
              <w:t xml:space="preserve"> </w:t>
            </w:r>
            <w:r w:rsidRPr="0053423A">
              <w:rPr>
                <w:rFonts w:eastAsia="Calibri" w:cs="Calibri"/>
                <w:sz w:val="20"/>
                <w:szCs w:val="20"/>
              </w:rPr>
              <w:t>ստեղծվում</w:t>
            </w:r>
            <w:r w:rsidRPr="0053423A">
              <w:rPr>
                <w:rFonts w:eastAsia="Calibri" w:cs="Calibri"/>
                <w:sz w:val="20"/>
                <w:szCs w:val="20"/>
                <w:lang w:val="tr-TR"/>
              </w:rPr>
              <w:t xml:space="preserve"> </w:t>
            </w:r>
            <w:r w:rsidRPr="0053423A">
              <w:rPr>
                <w:rFonts w:eastAsia="Calibri" w:cs="Calibri"/>
                <w:sz w:val="20"/>
                <w:szCs w:val="20"/>
              </w:rPr>
              <w:t>են</w:t>
            </w:r>
            <w:r w:rsidRPr="0053423A">
              <w:rPr>
                <w:rFonts w:eastAsia="Calibri" w:cs="Calibri"/>
                <w:sz w:val="20"/>
                <w:szCs w:val="20"/>
                <w:lang w:val="tr-TR"/>
              </w:rPr>
              <w:t xml:space="preserve"> </w:t>
            </w:r>
            <w:r w:rsidRPr="0053423A">
              <w:rPr>
                <w:rFonts w:eastAsia="Calibri" w:cs="Calibri"/>
                <w:sz w:val="20"/>
                <w:szCs w:val="20"/>
              </w:rPr>
              <w:t>մասնագիտական</w:t>
            </w:r>
            <w:r w:rsidRPr="0053423A">
              <w:rPr>
                <w:rFonts w:eastAsia="Calibri" w:cs="Calibri"/>
                <w:sz w:val="20"/>
                <w:szCs w:val="20"/>
                <w:lang w:val="tr-TR"/>
              </w:rPr>
              <w:t xml:space="preserve"> </w:t>
            </w:r>
            <w:r w:rsidRPr="0053423A">
              <w:rPr>
                <w:rFonts w:eastAsia="Calibri" w:cs="Calibri"/>
                <w:sz w:val="20"/>
                <w:szCs w:val="20"/>
              </w:rPr>
              <w:t>հանձնաժողովներ</w:t>
            </w:r>
            <w:r w:rsidRPr="0053423A">
              <w:rPr>
                <w:rFonts w:eastAsia="Calibri" w:cs="Calibri"/>
                <w:sz w:val="20"/>
                <w:szCs w:val="20"/>
                <w:lang w:val="tr-TR"/>
              </w:rPr>
              <w:t xml:space="preserve">, </w:t>
            </w:r>
            <w:r w:rsidRPr="0053423A">
              <w:rPr>
                <w:rFonts w:eastAsia="Calibri" w:cs="Calibri"/>
                <w:sz w:val="20"/>
                <w:szCs w:val="20"/>
              </w:rPr>
              <w:t>որոնք</w:t>
            </w:r>
            <w:r w:rsidRPr="0053423A">
              <w:rPr>
                <w:rFonts w:eastAsia="Calibri" w:cs="Calibri"/>
                <w:sz w:val="20"/>
                <w:szCs w:val="20"/>
                <w:lang w:val="tr-TR"/>
              </w:rPr>
              <w:t xml:space="preserve"> </w:t>
            </w:r>
            <w:r w:rsidRPr="0053423A">
              <w:rPr>
                <w:rFonts w:eastAsia="Calibri" w:cs="Calibri"/>
                <w:sz w:val="20"/>
                <w:szCs w:val="20"/>
              </w:rPr>
              <w:t>բաց</w:t>
            </w:r>
            <w:r w:rsidRPr="0053423A">
              <w:rPr>
                <w:rFonts w:eastAsia="Calibri" w:cs="Calibri"/>
                <w:sz w:val="20"/>
                <w:szCs w:val="20"/>
                <w:lang w:val="tr-TR"/>
              </w:rPr>
              <w:t xml:space="preserve"> </w:t>
            </w:r>
            <w:r w:rsidRPr="0053423A">
              <w:rPr>
                <w:rFonts w:eastAsia="Calibri" w:cs="Calibri"/>
                <w:sz w:val="20"/>
                <w:szCs w:val="20"/>
              </w:rPr>
              <w:t>մրցույթի</w:t>
            </w:r>
            <w:r w:rsidRPr="0053423A">
              <w:rPr>
                <w:rFonts w:eastAsia="Calibri" w:cs="Calibri"/>
                <w:sz w:val="20"/>
                <w:szCs w:val="20"/>
                <w:lang w:val="tr-TR"/>
              </w:rPr>
              <w:t xml:space="preserve"> </w:t>
            </w:r>
            <w:r w:rsidRPr="0053423A">
              <w:rPr>
                <w:rFonts w:eastAsia="Calibri" w:cs="Calibri"/>
                <w:sz w:val="20"/>
                <w:szCs w:val="20"/>
              </w:rPr>
              <w:t>արդյունքում</w:t>
            </w:r>
            <w:r w:rsidRPr="0053423A">
              <w:rPr>
                <w:rFonts w:eastAsia="Calibri" w:cs="Calibri"/>
                <w:sz w:val="20"/>
                <w:szCs w:val="20"/>
                <w:lang w:val="tr-TR"/>
              </w:rPr>
              <w:t xml:space="preserve"> </w:t>
            </w:r>
            <w:r w:rsidRPr="0053423A">
              <w:rPr>
                <w:rFonts w:eastAsia="Calibri" w:cs="Calibri"/>
                <w:sz w:val="20"/>
                <w:szCs w:val="20"/>
              </w:rPr>
              <w:t>ընտրում</w:t>
            </w:r>
            <w:r w:rsidRPr="0053423A">
              <w:rPr>
                <w:rFonts w:eastAsia="Calibri" w:cs="Calibri"/>
                <w:sz w:val="20"/>
                <w:szCs w:val="20"/>
                <w:lang w:val="tr-TR"/>
              </w:rPr>
              <w:t xml:space="preserve"> </w:t>
            </w:r>
            <w:r w:rsidRPr="0053423A">
              <w:rPr>
                <w:rFonts w:eastAsia="Calibri" w:cs="Calibri"/>
                <w:sz w:val="20"/>
                <w:szCs w:val="20"/>
              </w:rPr>
              <w:t>են</w:t>
            </w:r>
            <w:r w:rsidRPr="0053423A">
              <w:rPr>
                <w:rFonts w:eastAsia="Calibri" w:cs="Calibri"/>
                <w:sz w:val="20"/>
                <w:szCs w:val="20"/>
                <w:lang w:val="tr-TR"/>
              </w:rPr>
              <w:t xml:space="preserve"> </w:t>
            </w:r>
            <w:r w:rsidRPr="0053423A">
              <w:rPr>
                <w:rFonts w:eastAsia="Calibri" w:cs="Calibri"/>
                <w:sz w:val="20"/>
                <w:szCs w:val="20"/>
              </w:rPr>
              <w:t>մասնակցին</w:t>
            </w:r>
            <w:r w:rsidRPr="0053423A">
              <w:rPr>
                <w:rFonts w:eastAsia="Calibri" w:cs="Calibri"/>
                <w:sz w:val="20"/>
                <w:szCs w:val="20"/>
                <w:lang w:val="tr-TR"/>
              </w:rPr>
              <w:t xml:space="preserve">` </w:t>
            </w:r>
            <w:r w:rsidRPr="0053423A">
              <w:rPr>
                <w:rFonts w:eastAsia="Calibri" w:cs="Calibri"/>
                <w:sz w:val="20"/>
                <w:szCs w:val="20"/>
              </w:rPr>
              <w:t>Հայաստանը</w:t>
            </w:r>
            <w:r w:rsidRPr="0053423A">
              <w:rPr>
                <w:rFonts w:eastAsia="Calibri" w:cs="Calibri"/>
                <w:sz w:val="20"/>
                <w:szCs w:val="20"/>
                <w:lang w:val="tr-TR"/>
              </w:rPr>
              <w:t xml:space="preserve"> </w:t>
            </w:r>
            <w:r w:rsidRPr="0053423A">
              <w:rPr>
                <w:rFonts w:eastAsia="Calibri" w:cs="Calibri"/>
                <w:sz w:val="20"/>
                <w:szCs w:val="20"/>
              </w:rPr>
              <w:t>ներկայացնելու</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 xml:space="preserve">   /</w:t>
            </w:r>
            <w:r w:rsidRPr="0053423A">
              <w:rPr>
                <w:rFonts w:eastAsia="Calibri" w:cs="Calibri"/>
                <w:sz w:val="20"/>
                <w:szCs w:val="20"/>
              </w:rPr>
              <w:t>օրինակ</w:t>
            </w:r>
            <w:r w:rsidRPr="0053423A">
              <w:rPr>
                <w:rFonts w:eastAsia="Calibri" w:cs="Calibri"/>
                <w:sz w:val="20"/>
                <w:szCs w:val="20"/>
                <w:lang w:val="tr-TR"/>
              </w:rPr>
              <w:t xml:space="preserve">` </w:t>
            </w:r>
            <w:r w:rsidRPr="0053423A">
              <w:rPr>
                <w:rFonts w:eastAsia="Calibri" w:cs="Calibri"/>
                <w:sz w:val="20"/>
                <w:szCs w:val="20"/>
              </w:rPr>
              <w:t>Վենետիկի</w:t>
            </w:r>
            <w:r w:rsidRPr="0053423A">
              <w:rPr>
                <w:rFonts w:eastAsia="Calibri" w:cs="Calibri"/>
                <w:sz w:val="20"/>
                <w:szCs w:val="20"/>
                <w:lang w:val="tr-TR"/>
              </w:rPr>
              <w:t xml:space="preserve"> </w:t>
            </w:r>
            <w:r w:rsidRPr="0053423A">
              <w:rPr>
                <w:rFonts w:eastAsia="Calibri" w:cs="Calibri"/>
                <w:sz w:val="20"/>
                <w:szCs w:val="20"/>
              </w:rPr>
              <w:t>ժամանակակակից</w:t>
            </w:r>
            <w:r w:rsidRPr="0053423A">
              <w:rPr>
                <w:rFonts w:eastAsia="Calibri" w:cs="Calibri"/>
                <w:sz w:val="20"/>
                <w:szCs w:val="20"/>
                <w:lang w:val="tr-TR"/>
              </w:rPr>
              <w:t xml:space="preserve"> </w:t>
            </w:r>
            <w:r w:rsidRPr="0053423A">
              <w:rPr>
                <w:rFonts w:eastAsia="Calibri" w:cs="Calibri"/>
                <w:sz w:val="20"/>
                <w:szCs w:val="20"/>
              </w:rPr>
              <w:t>արվեստի</w:t>
            </w:r>
            <w:r w:rsidRPr="0053423A">
              <w:rPr>
                <w:rFonts w:eastAsia="Calibri" w:cs="Calibri"/>
                <w:sz w:val="20"/>
                <w:szCs w:val="20"/>
                <w:lang w:val="tr-TR"/>
              </w:rPr>
              <w:t xml:space="preserve"> </w:t>
            </w:r>
            <w:r w:rsidRPr="0053423A">
              <w:rPr>
                <w:rFonts w:eastAsia="Calibri" w:cs="Calibri"/>
                <w:sz w:val="20"/>
                <w:szCs w:val="20"/>
              </w:rPr>
              <w:t>բիեննալե</w:t>
            </w:r>
            <w:r w:rsidRPr="0053423A">
              <w:rPr>
                <w:rFonts w:eastAsia="Calibri" w:cs="Calibri"/>
                <w:sz w:val="20"/>
                <w:szCs w:val="20"/>
                <w:lang w:val="tr-TR"/>
              </w:rPr>
              <w:t xml:space="preserve">/: </w:t>
            </w:r>
            <w:r w:rsidRPr="0053423A">
              <w:rPr>
                <w:rFonts w:eastAsia="Calibri" w:cs="Calibri"/>
                <w:sz w:val="20"/>
                <w:szCs w:val="20"/>
              </w:rPr>
              <w:t>Անհրաժեշտ</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ընդլայնել</w:t>
            </w:r>
            <w:r w:rsidRPr="0053423A">
              <w:rPr>
                <w:rFonts w:eastAsia="Calibri" w:cs="Calibri"/>
                <w:sz w:val="20"/>
                <w:szCs w:val="20"/>
                <w:lang w:val="tr-TR"/>
              </w:rPr>
              <w:t xml:space="preserve"> </w:t>
            </w:r>
            <w:r w:rsidRPr="0053423A">
              <w:rPr>
                <w:rFonts w:eastAsia="Calibri" w:cs="Calibri"/>
                <w:sz w:val="20"/>
                <w:szCs w:val="20"/>
              </w:rPr>
              <w:t>հնարավոր</w:t>
            </w:r>
            <w:r w:rsidRPr="0053423A">
              <w:rPr>
                <w:rFonts w:eastAsia="Calibri" w:cs="Calibri"/>
                <w:sz w:val="20"/>
                <w:szCs w:val="20"/>
                <w:lang w:val="tr-TR"/>
              </w:rPr>
              <w:t xml:space="preserve"> </w:t>
            </w:r>
            <w:r w:rsidRPr="0053423A">
              <w:rPr>
                <w:rFonts w:eastAsia="Calibri" w:cs="Calibri"/>
                <w:sz w:val="20"/>
                <w:szCs w:val="20"/>
              </w:rPr>
              <w:t>միջոցառումներին</w:t>
            </w:r>
            <w:r w:rsidRPr="0053423A">
              <w:rPr>
                <w:rFonts w:eastAsia="Calibri" w:cs="Calibri"/>
                <w:sz w:val="20"/>
                <w:szCs w:val="20"/>
                <w:lang w:val="tr-TR"/>
              </w:rPr>
              <w:t xml:space="preserve"> </w:t>
            </w:r>
            <w:r w:rsidRPr="0053423A">
              <w:rPr>
                <w:rFonts w:eastAsia="Calibri" w:cs="Calibri"/>
                <w:sz w:val="20"/>
                <w:szCs w:val="20"/>
              </w:rPr>
              <w:t>Հայաստանի</w:t>
            </w:r>
            <w:r w:rsidRPr="0053423A">
              <w:rPr>
                <w:rFonts w:eastAsia="Calibri" w:cs="Calibri"/>
                <w:sz w:val="20"/>
                <w:szCs w:val="20"/>
                <w:lang w:val="tr-TR"/>
              </w:rPr>
              <w:t xml:space="preserve"> </w:t>
            </w:r>
            <w:r w:rsidRPr="0053423A">
              <w:rPr>
                <w:rFonts w:eastAsia="Calibri" w:cs="Calibri"/>
                <w:sz w:val="20"/>
                <w:szCs w:val="20"/>
              </w:rPr>
              <w:t>արվեստագետների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ոլորտի</w:t>
            </w:r>
            <w:r w:rsidRPr="0053423A">
              <w:rPr>
                <w:rFonts w:eastAsia="Calibri" w:cs="Calibri"/>
                <w:sz w:val="20"/>
                <w:szCs w:val="20"/>
                <w:lang w:val="tr-TR"/>
              </w:rPr>
              <w:t xml:space="preserve"> </w:t>
            </w:r>
            <w:r w:rsidRPr="0053423A">
              <w:rPr>
                <w:rFonts w:eastAsia="Calibri" w:cs="Calibri"/>
                <w:sz w:val="20"/>
                <w:szCs w:val="20"/>
              </w:rPr>
              <w:t>ներկայացուցիչների</w:t>
            </w:r>
            <w:r w:rsidRPr="0053423A">
              <w:rPr>
                <w:rFonts w:eastAsia="Calibri" w:cs="Calibri"/>
                <w:sz w:val="20"/>
                <w:szCs w:val="20"/>
                <w:lang w:val="tr-TR"/>
              </w:rPr>
              <w:t xml:space="preserve"> </w:t>
            </w:r>
            <w:r w:rsidRPr="0053423A">
              <w:rPr>
                <w:rFonts w:eastAsia="Calibri" w:cs="Calibri"/>
                <w:sz w:val="20"/>
                <w:szCs w:val="20"/>
              </w:rPr>
              <w:t>մասնակցությունը</w:t>
            </w:r>
            <w:r w:rsidRPr="0053423A">
              <w:rPr>
                <w:rFonts w:eastAsia="Calibri" w:cs="Calibri"/>
                <w:sz w:val="20"/>
                <w:szCs w:val="20"/>
                <w:lang w:val="tr-TR"/>
              </w:rPr>
              <w:t xml:space="preserve">, </w:t>
            </w:r>
            <w:r w:rsidRPr="0053423A">
              <w:rPr>
                <w:rFonts w:eastAsia="Calibri" w:cs="Calibri"/>
                <w:sz w:val="20"/>
                <w:szCs w:val="20"/>
              </w:rPr>
              <w:t>ընդգրկել</w:t>
            </w:r>
            <w:r w:rsidRPr="0053423A">
              <w:rPr>
                <w:rFonts w:eastAsia="Calibri" w:cs="Calibri"/>
                <w:sz w:val="20"/>
                <w:szCs w:val="20"/>
                <w:lang w:val="tr-TR"/>
              </w:rPr>
              <w:t xml:space="preserve"> </w:t>
            </w:r>
            <w:r w:rsidRPr="0053423A">
              <w:rPr>
                <w:rFonts w:eastAsia="Calibri" w:cs="Calibri"/>
                <w:sz w:val="20"/>
                <w:szCs w:val="20"/>
              </w:rPr>
              <w:t>նորանոր</w:t>
            </w:r>
            <w:r w:rsidRPr="0053423A">
              <w:rPr>
                <w:rFonts w:eastAsia="Calibri" w:cs="Calibri"/>
                <w:sz w:val="20"/>
                <w:szCs w:val="20"/>
                <w:lang w:val="tr-TR"/>
              </w:rPr>
              <w:t xml:space="preserve"> </w:t>
            </w:r>
            <w:r w:rsidRPr="0053423A">
              <w:rPr>
                <w:rFonts w:eastAsia="Calibri" w:cs="Calibri"/>
                <w:sz w:val="20"/>
                <w:szCs w:val="20"/>
              </w:rPr>
              <w:t>հարթակներ</w:t>
            </w:r>
            <w:r w:rsidRPr="0053423A">
              <w:rPr>
                <w:rFonts w:eastAsia="Calibri" w:cs="Calibri"/>
                <w:sz w:val="20"/>
                <w:szCs w:val="20"/>
                <w:lang w:val="tr-TR"/>
              </w:rPr>
              <w:t xml:space="preserve"> </w:t>
            </w:r>
            <w:r w:rsidRPr="0053423A">
              <w:rPr>
                <w:rFonts w:eastAsia="Calibri" w:cs="Calibri"/>
                <w:sz w:val="20"/>
                <w:szCs w:val="20"/>
              </w:rPr>
              <w:t>մասնակցության</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w:t>
            </w:r>
          </w:p>
          <w:p w:rsidR="00A67B6B" w:rsidRPr="0053423A" w:rsidRDefault="00A67B6B" w:rsidP="00A67858">
            <w:pPr>
              <w:tabs>
                <w:tab w:val="left" w:pos="508"/>
              </w:tabs>
              <w:spacing w:after="0" w:line="276" w:lineRule="auto"/>
              <w:jc w:val="both"/>
              <w:rPr>
                <w:rFonts w:eastAsia="Calibri" w:cs="Calibri"/>
                <w:sz w:val="20"/>
                <w:szCs w:val="20"/>
                <w:lang w:val="tr-TR"/>
              </w:rPr>
            </w:pPr>
          </w:p>
          <w:p w:rsidR="00A67B6B" w:rsidRPr="0053423A" w:rsidRDefault="00A67B6B" w:rsidP="001F6D5D">
            <w:pPr>
              <w:numPr>
                <w:ilvl w:val="0"/>
                <w:numId w:val="231"/>
              </w:numPr>
              <w:tabs>
                <w:tab w:val="left" w:pos="508"/>
              </w:tabs>
              <w:spacing w:after="0" w:line="276" w:lineRule="auto"/>
              <w:ind w:hanging="720"/>
              <w:jc w:val="both"/>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իրականացումից</w:t>
            </w:r>
            <w:r w:rsidRPr="0053423A">
              <w:rPr>
                <w:rFonts w:eastAsia="Calibri" w:cs="Calibri"/>
                <w:b/>
                <w:sz w:val="20"/>
                <w:szCs w:val="20"/>
                <w:lang w:val="tr-TR"/>
              </w:rPr>
              <w:t xml:space="preserve"> </w:t>
            </w:r>
            <w:r w:rsidRPr="0053423A">
              <w:rPr>
                <w:rFonts w:eastAsia="Calibri" w:cs="Calibri"/>
                <w:b/>
                <w:sz w:val="20"/>
                <w:szCs w:val="20"/>
              </w:rPr>
              <w:t>ակնկալվող</w:t>
            </w:r>
            <w:r w:rsidRPr="0053423A">
              <w:rPr>
                <w:rFonts w:eastAsia="Calibri" w:cs="Calibri"/>
                <w:b/>
                <w:sz w:val="20"/>
                <w:szCs w:val="20"/>
                <w:lang w:val="tr-TR"/>
              </w:rPr>
              <w:t xml:space="preserve"> </w:t>
            </w:r>
            <w:r w:rsidRPr="0053423A">
              <w:rPr>
                <w:rFonts w:eastAsia="Calibri" w:cs="Calibri"/>
                <w:b/>
                <w:sz w:val="20"/>
                <w:szCs w:val="20"/>
              </w:rPr>
              <w:t>արդյունքը</w:t>
            </w:r>
          </w:p>
          <w:p w:rsidR="00A67B6B" w:rsidRPr="0053423A" w:rsidRDefault="00A67B6B" w:rsidP="00A67858">
            <w:pPr>
              <w:tabs>
                <w:tab w:val="left" w:pos="508"/>
              </w:tabs>
              <w:spacing w:after="0" w:line="276" w:lineRule="auto"/>
              <w:jc w:val="both"/>
              <w:rPr>
                <w:rFonts w:eastAsia="Calibri" w:cs="GHEA Grapalat"/>
                <w:b/>
                <w:bCs/>
                <w:sz w:val="20"/>
                <w:szCs w:val="20"/>
                <w:lang w:val="tr-TR"/>
              </w:rPr>
            </w:pPr>
            <w:r w:rsidRPr="0053423A">
              <w:rPr>
                <w:rFonts w:eastAsia="Calibri" w:cs="Calibri"/>
                <w:sz w:val="20"/>
                <w:szCs w:val="20"/>
              </w:rPr>
              <w:t>Ներկայանալով</w:t>
            </w:r>
            <w:r w:rsidRPr="0053423A">
              <w:rPr>
                <w:rFonts w:eastAsia="Calibri" w:cs="Calibri"/>
                <w:sz w:val="20"/>
                <w:szCs w:val="20"/>
                <w:lang w:val="tr-TR"/>
              </w:rPr>
              <w:t xml:space="preserve"> </w:t>
            </w:r>
            <w:r w:rsidRPr="0053423A">
              <w:rPr>
                <w:rFonts w:eastAsia="Calibri" w:cs="Calibri"/>
                <w:sz w:val="20"/>
                <w:szCs w:val="20"/>
              </w:rPr>
              <w:t>միջազգային</w:t>
            </w:r>
            <w:r w:rsidRPr="0053423A">
              <w:rPr>
                <w:rFonts w:eastAsia="Calibri" w:cs="Calibri"/>
                <w:sz w:val="20"/>
                <w:szCs w:val="20"/>
                <w:lang w:val="tr-TR"/>
              </w:rPr>
              <w:t xml:space="preserve"> </w:t>
            </w:r>
            <w:r w:rsidRPr="0053423A">
              <w:rPr>
                <w:rFonts w:eastAsia="Calibri" w:cs="Calibri"/>
                <w:sz w:val="20"/>
                <w:szCs w:val="20"/>
              </w:rPr>
              <w:t>հեղինակավոր</w:t>
            </w:r>
            <w:r w:rsidRPr="0053423A">
              <w:rPr>
                <w:rFonts w:eastAsia="Calibri" w:cs="Calibri"/>
                <w:sz w:val="20"/>
                <w:szCs w:val="20"/>
                <w:lang w:val="tr-TR"/>
              </w:rPr>
              <w:t xml:space="preserve"> </w:t>
            </w:r>
            <w:r w:rsidRPr="0053423A">
              <w:rPr>
                <w:rFonts w:eastAsia="Calibri" w:cs="Calibri"/>
                <w:sz w:val="20"/>
                <w:szCs w:val="20"/>
              </w:rPr>
              <w:t>հարթակներում</w:t>
            </w:r>
            <w:r w:rsidRPr="0053423A">
              <w:rPr>
                <w:rFonts w:eastAsia="Calibri" w:cs="Calibri"/>
                <w:sz w:val="20"/>
                <w:szCs w:val="20"/>
                <w:lang w:val="tr-TR"/>
              </w:rPr>
              <w:t xml:space="preserve"> </w:t>
            </w:r>
            <w:r w:rsidRPr="0053423A">
              <w:rPr>
                <w:rFonts w:eastAsia="Calibri" w:cs="Calibri"/>
                <w:sz w:val="20"/>
                <w:szCs w:val="20"/>
              </w:rPr>
              <w:t>աշխարհի</w:t>
            </w:r>
            <w:r w:rsidRPr="0053423A">
              <w:rPr>
                <w:rFonts w:eastAsia="Calibri" w:cs="Calibri"/>
                <w:sz w:val="20"/>
                <w:szCs w:val="20"/>
                <w:lang w:val="tr-TR"/>
              </w:rPr>
              <w:t xml:space="preserve"> </w:t>
            </w:r>
            <w:r w:rsidRPr="0053423A">
              <w:rPr>
                <w:rFonts w:eastAsia="Calibri" w:cs="Calibri"/>
                <w:sz w:val="20"/>
                <w:szCs w:val="20"/>
              </w:rPr>
              <w:t>լավագույն</w:t>
            </w:r>
            <w:r w:rsidRPr="0053423A">
              <w:rPr>
                <w:rFonts w:eastAsia="Calibri" w:cs="Calibri"/>
                <w:sz w:val="20"/>
                <w:szCs w:val="20"/>
                <w:lang w:val="tr-TR"/>
              </w:rPr>
              <w:t xml:space="preserve"> </w:t>
            </w:r>
            <w:r w:rsidRPr="0053423A">
              <w:rPr>
                <w:rFonts w:eastAsia="Calibri" w:cs="Calibri"/>
                <w:sz w:val="20"/>
                <w:szCs w:val="20"/>
              </w:rPr>
              <w:t>արվեստագետների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ոլորտի</w:t>
            </w:r>
            <w:r w:rsidRPr="0053423A">
              <w:rPr>
                <w:rFonts w:eastAsia="Calibri" w:cs="Calibri"/>
                <w:sz w:val="20"/>
                <w:szCs w:val="20"/>
                <w:lang w:val="tr-TR"/>
              </w:rPr>
              <w:t xml:space="preserve"> </w:t>
            </w:r>
            <w:r w:rsidRPr="0053423A">
              <w:rPr>
                <w:rFonts w:eastAsia="Calibri" w:cs="Calibri"/>
                <w:sz w:val="20"/>
                <w:szCs w:val="20"/>
              </w:rPr>
              <w:t>ներկայացուցիչների</w:t>
            </w:r>
            <w:r w:rsidRPr="0053423A">
              <w:rPr>
                <w:rFonts w:eastAsia="Calibri" w:cs="Calibri"/>
                <w:sz w:val="20"/>
                <w:szCs w:val="20"/>
                <w:lang w:val="tr-TR"/>
              </w:rPr>
              <w:t xml:space="preserve"> </w:t>
            </w:r>
            <w:r w:rsidRPr="0053423A">
              <w:rPr>
                <w:rFonts w:eastAsia="Calibri" w:cs="Calibri"/>
                <w:sz w:val="20"/>
                <w:szCs w:val="20"/>
              </w:rPr>
              <w:t>կողքին</w:t>
            </w:r>
            <w:r w:rsidRPr="0053423A">
              <w:rPr>
                <w:rFonts w:eastAsia="Calibri" w:cs="Calibri"/>
                <w:sz w:val="20"/>
                <w:szCs w:val="20"/>
                <w:lang w:val="tr-TR"/>
              </w:rPr>
              <w:t xml:space="preserve">` </w:t>
            </w:r>
            <w:r w:rsidRPr="0053423A">
              <w:rPr>
                <w:rFonts w:eastAsia="Calibri" w:cs="Calibri"/>
                <w:sz w:val="20"/>
                <w:szCs w:val="20"/>
              </w:rPr>
              <w:t>Հայաստանին</w:t>
            </w:r>
            <w:r w:rsidRPr="0053423A">
              <w:rPr>
                <w:rFonts w:eastAsia="Calibri" w:cs="Calibri"/>
                <w:sz w:val="20"/>
                <w:szCs w:val="20"/>
                <w:lang w:val="tr-TR"/>
              </w:rPr>
              <w:t xml:space="preserve"> </w:t>
            </w:r>
            <w:r w:rsidRPr="0053423A">
              <w:rPr>
                <w:rFonts w:eastAsia="Calibri" w:cs="Calibri"/>
                <w:sz w:val="20"/>
                <w:szCs w:val="20"/>
              </w:rPr>
              <w:t>հնաւավորություն</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ընձեռվում</w:t>
            </w:r>
            <w:r w:rsidRPr="0053423A">
              <w:rPr>
                <w:rFonts w:eastAsia="Calibri" w:cs="Calibri"/>
                <w:sz w:val="20"/>
                <w:szCs w:val="20"/>
                <w:lang w:val="tr-TR"/>
              </w:rPr>
              <w:t xml:space="preserve"> </w:t>
            </w:r>
            <w:r w:rsidRPr="0053423A">
              <w:rPr>
                <w:rFonts w:eastAsia="Calibri" w:cs="Calibri"/>
                <w:sz w:val="20"/>
                <w:szCs w:val="20"/>
              </w:rPr>
              <w:t>ներկայացնել</w:t>
            </w:r>
            <w:r w:rsidRPr="0053423A">
              <w:rPr>
                <w:rFonts w:eastAsia="Calibri" w:cs="Calibri"/>
                <w:sz w:val="20"/>
                <w:szCs w:val="20"/>
                <w:lang w:val="tr-TR"/>
              </w:rPr>
              <w:t xml:space="preserve"> </w:t>
            </w:r>
            <w:r w:rsidRPr="0053423A">
              <w:rPr>
                <w:rFonts w:eastAsia="Calibri" w:cs="Calibri"/>
                <w:sz w:val="20"/>
                <w:szCs w:val="20"/>
              </w:rPr>
              <w:t>հայ</w:t>
            </w:r>
            <w:r w:rsidRPr="0053423A">
              <w:rPr>
                <w:rFonts w:eastAsia="Calibri" w:cs="Calibri"/>
                <w:sz w:val="20"/>
                <w:szCs w:val="20"/>
                <w:lang w:val="tr-TR"/>
              </w:rPr>
              <w:t xml:space="preserve"> </w:t>
            </w:r>
            <w:r w:rsidRPr="0053423A">
              <w:rPr>
                <w:rFonts w:eastAsia="Calibri" w:cs="Calibri"/>
                <w:sz w:val="20"/>
                <w:szCs w:val="20"/>
              </w:rPr>
              <w:t>մշակույթը</w:t>
            </w:r>
            <w:r w:rsidRPr="0053423A">
              <w:rPr>
                <w:rFonts w:eastAsia="Calibri" w:cs="Calibri"/>
                <w:sz w:val="20"/>
                <w:szCs w:val="20"/>
                <w:lang w:val="tr-TR"/>
              </w:rPr>
              <w:t xml:space="preserve">, </w:t>
            </w:r>
            <w:r w:rsidRPr="0053423A">
              <w:rPr>
                <w:rFonts w:eastAsia="Calibri" w:cs="Calibri"/>
                <w:sz w:val="20"/>
                <w:szCs w:val="20"/>
              </w:rPr>
              <w:t>հասկանալ</w:t>
            </w:r>
            <w:r w:rsidRPr="0053423A">
              <w:rPr>
                <w:rFonts w:eastAsia="Calibri" w:cs="Calibri"/>
                <w:sz w:val="20"/>
                <w:szCs w:val="20"/>
                <w:lang w:val="tr-TR"/>
              </w:rPr>
              <w:t xml:space="preserve"> </w:t>
            </w:r>
            <w:r w:rsidRPr="0053423A">
              <w:rPr>
                <w:rFonts w:eastAsia="Calibri" w:cs="Calibri"/>
                <w:sz w:val="20"/>
                <w:szCs w:val="20"/>
              </w:rPr>
              <w:t>տվյալ</w:t>
            </w:r>
            <w:r w:rsidRPr="0053423A">
              <w:rPr>
                <w:rFonts w:eastAsia="Calibri" w:cs="Calibri"/>
                <w:sz w:val="20"/>
                <w:szCs w:val="20"/>
                <w:lang w:val="tr-TR"/>
              </w:rPr>
              <w:t xml:space="preserve"> </w:t>
            </w:r>
            <w:r w:rsidRPr="0053423A">
              <w:rPr>
                <w:rFonts w:eastAsia="Calibri" w:cs="Calibri"/>
                <w:sz w:val="20"/>
                <w:szCs w:val="20"/>
              </w:rPr>
              <w:t>պահին</w:t>
            </w:r>
            <w:r w:rsidRPr="0053423A">
              <w:rPr>
                <w:rFonts w:eastAsia="Calibri" w:cs="Calibri"/>
                <w:sz w:val="20"/>
                <w:szCs w:val="20"/>
                <w:lang w:val="tr-TR"/>
              </w:rPr>
              <w:t xml:space="preserve"> </w:t>
            </w:r>
            <w:r w:rsidRPr="0053423A">
              <w:rPr>
                <w:rFonts w:eastAsia="Calibri" w:cs="Calibri"/>
                <w:sz w:val="20"/>
                <w:szCs w:val="20"/>
              </w:rPr>
              <w:t>միջազգային</w:t>
            </w:r>
            <w:r w:rsidRPr="0053423A">
              <w:rPr>
                <w:rFonts w:eastAsia="Calibri" w:cs="Calibri"/>
                <w:sz w:val="20"/>
                <w:szCs w:val="20"/>
                <w:lang w:val="tr-TR"/>
              </w:rPr>
              <w:t xml:space="preserve"> </w:t>
            </w:r>
            <w:r w:rsidRPr="0053423A">
              <w:rPr>
                <w:rFonts w:eastAsia="Calibri" w:cs="Calibri"/>
                <w:sz w:val="20"/>
                <w:szCs w:val="20"/>
              </w:rPr>
              <w:t>հարթակում</w:t>
            </w:r>
            <w:r w:rsidRPr="0053423A">
              <w:rPr>
                <w:rFonts w:eastAsia="Calibri" w:cs="Calibri"/>
                <w:sz w:val="20"/>
                <w:szCs w:val="20"/>
                <w:lang w:val="tr-TR"/>
              </w:rPr>
              <w:t xml:space="preserve"> </w:t>
            </w:r>
            <w:r w:rsidRPr="0053423A">
              <w:rPr>
                <w:rFonts w:eastAsia="Calibri" w:cs="Calibri"/>
                <w:sz w:val="20"/>
                <w:szCs w:val="20"/>
              </w:rPr>
              <w:t>մեր</w:t>
            </w:r>
            <w:r w:rsidRPr="0053423A">
              <w:rPr>
                <w:rFonts w:eastAsia="Calibri" w:cs="Calibri"/>
                <w:sz w:val="20"/>
                <w:szCs w:val="20"/>
                <w:lang w:val="tr-TR"/>
              </w:rPr>
              <w:t xml:space="preserve"> </w:t>
            </w:r>
            <w:r w:rsidRPr="0053423A">
              <w:rPr>
                <w:rFonts w:eastAsia="Calibri" w:cs="Calibri"/>
                <w:sz w:val="20"/>
                <w:szCs w:val="20"/>
              </w:rPr>
              <w:t>մրցունակությունը</w:t>
            </w:r>
            <w:r w:rsidRPr="0053423A">
              <w:rPr>
                <w:rFonts w:eastAsia="Calibri" w:cs="Calibri"/>
                <w:sz w:val="20"/>
                <w:szCs w:val="20"/>
                <w:lang w:val="tr-TR"/>
              </w:rPr>
              <w:t xml:space="preserve">, </w:t>
            </w:r>
            <w:r w:rsidRPr="0053423A">
              <w:rPr>
                <w:rFonts w:eastAsia="Calibri" w:cs="Calibri"/>
                <w:sz w:val="20"/>
                <w:szCs w:val="20"/>
              </w:rPr>
              <w:t>գնահատել</w:t>
            </w:r>
            <w:r w:rsidRPr="0053423A">
              <w:rPr>
                <w:rFonts w:eastAsia="Calibri" w:cs="Calibri"/>
                <w:sz w:val="20"/>
                <w:szCs w:val="20"/>
                <w:lang w:val="tr-TR"/>
              </w:rPr>
              <w:t xml:space="preserve">, </w:t>
            </w:r>
            <w:r w:rsidRPr="0053423A">
              <w:rPr>
                <w:rFonts w:eastAsia="Calibri" w:cs="Calibri"/>
                <w:sz w:val="20"/>
                <w:szCs w:val="20"/>
              </w:rPr>
              <w:t>բարելավել</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այլ</w:t>
            </w:r>
            <w:r w:rsidRPr="0053423A">
              <w:rPr>
                <w:rFonts w:eastAsia="Calibri" w:cs="Calibri"/>
                <w:sz w:val="20"/>
                <w:szCs w:val="20"/>
                <w:lang w:val="tr-TR"/>
              </w:rPr>
              <w:t xml:space="preserve"> </w:t>
            </w:r>
            <w:r w:rsidRPr="0053423A">
              <w:rPr>
                <w:rFonts w:eastAsia="Calibri" w:cs="Calibri"/>
                <w:sz w:val="20"/>
                <w:szCs w:val="20"/>
              </w:rPr>
              <w:t>որակական</w:t>
            </w:r>
            <w:r w:rsidRPr="0053423A">
              <w:rPr>
                <w:rFonts w:eastAsia="Calibri" w:cs="Calibri"/>
                <w:sz w:val="20"/>
                <w:szCs w:val="20"/>
                <w:lang w:val="tr-TR"/>
              </w:rPr>
              <w:t xml:space="preserve"> </w:t>
            </w:r>
            <w:r w:rsidRPr="0053423A">
              <w:rPr>
                <w:rFonts w:eastAsia="Calibri" w:cs="Calibri"/>
                <w:sz w:val="20"/>
                <w:szCs w:val="20"/>
              </w:rPr>
              <w:t>հարթության</w:t>
            </w:r>
            <w:r w:rsidRPr="0053423A">
              <w:rPr>
                <w:rFonts w:eastAsia="Calibri" w:cs="Calibri"/>
                <w:sz w:val="20"/>
                <w:szCs w:val="20"/>
                <w:lang w:val="tr-TR"/>
              </w:rPr>
              <w:t xml:space="preserve"> </w:t>
            </w:r>
            <w:r w:rsidRPr="0053423A">
              <w:rPr>
                <w:rFonts w:eastAsia="Calibri" w:cs="Calibri"/>
                <w:sz w:val="20"/>
                <w:szCs w:val="20"/>
              </w:rPr>
              <w:t>վրա</w:t>
            </w:r>
            <w:r w:rsidRPr="0053423A">
              <w:rPr>
                <w:rFonts w:eastAsia="Calibri" w:cs="Calibri"/>
                <w:sz w:val="20"/>
                <w:szCs w:val="20"/>
                <w:lang w:val="tr-TR"/>
              </w:rPr>
              <w:t xml:space="preserve"> </w:t>
            </w:r>
            <w:r w:rsidRPr="0053423A">
              <w:rPr>
                <w:rFonts w:eastAsia="Calibri" w:cs="Calibri"/>
                <w:sz w:val="20"/>
                <w:szCs w:val="20"/>
              </w:rPr>
              <w:t>բերել</w:t>
            </w:r>
            <w:r w:rsidRPr="0053423A">
              <w:rPr>
                <w:rFonts w:eastAsia="Calibri" w:cs="Calibri"/>
                <w:sz w:val="20"/>
                <w:szCs w:val="20"/>
                <w:lang w:val="tr-TR"/>
              </w:rPr>
              <w:t xml:space="preserve"> </w:t>
            </w:r>
            <w:r w:rsidRPr="0053423A">
              <w:rPr>
                <w:rFonts w:eastAsia="Calibri" w:cs="Calibri"/>
                <w:sz w:val="20"/>
                <w:szCs w:val="20"/>
              </w:rPr>
              <w:t>մեր</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արտադրանքն</w:t>
            </w:r>
            <w:r w:rsidRPr="0053423A">
              <w:rPr>
                <w:rFonts w:eastAsia="Calibri" w:cs="Calibri"/>
                <w:sz w:val="20"/>
                <w:szCs w:val="20"/>
                <w:lang w:val="tr-TR"/>
              </w:rPr>
              <w:t xml:space="preserve"> </w:t>
            </w:r>
            <w:r w:rsidRPr="0053423A">
              <w:rPr>
                <w:rFonts w:eastAsia="Calibri" w:cs="Calibri"/>
                <w:sz w:val="20"/>
                <w:szCs w:val="20"/>
              </w:rPr>
              <w:t>ու</w:t>
            </w:r>
            <w:r w:rsidRPr="0053423A">
              <w:rPr>
                <w:rFonts w:eastAsia="Calibri" w:cs="Calibri"/>
                <w:sz w:val="20"/>
                <w:szCs w:val="20"/>
                <w:lang w:val="tr-TR"/>
              </w:rPr>
              <w:t xml:space="preserve"> </w:t>
            </w:r>
            <w:r w:rsidRPr="0053423A">
              <w:rPr>
                <w:rFonts w:eastAsia="Calibri" w:cs="Calibri"/>
                <w:sz w:val="20"/>
                <w:szCs w:val="20"/>
              </w:rPr>
              <w:t>ներկայացնելու</w:t>
            </w:r>
            <w:r w:rsidRPr="0053423A">
              <w:rPr>
                <w:rFonts w:eastAsia="Calibri" w:cs="Calibri"/>
                <w:sz w:val="20"/>
                <w:szCs w:val="20"/>
                <w:lang w:val="tr-TR"/>
              </w:rPr>
              <w:t xml:space="preserve"> </w:t>
            </w:r>
            <w:r w:rsidRPr="0053423A">
              <w:rPr>
                <w:rFonts w:eastAsia="Calibri" w:cs="Calibri"/>
                <w:sz w:val="20"/>
                <w:szCs w:val="20"/>
              </w:rPr>
              <w:t>ձևը</w:t>
            </w:r>
            <w:r w:rsidRPr="0053423A">
              <w:rPr>
                <w:rFonts w:eastAsia="Calibri" w:cs="Calibri"/>
                <w:sz w:val="20"/>
                <w:szCs w:val="20"/>
                <w:lang w:val="tr-TR"/>
              </w:rPr>
              <w:t xml:space="preserve">, </w:t>
            </w:r>
            <w:r w:rsidRPr="0053423A">
              <w:rPr>
                <w:rFonts w:eastAsia="Calibri" w:cs="Calibri"/>
                <w:sz w:val="20"/>
                <w:szCs w:val="20"/>
              </w:rPr>
              <w:t>միանալ</w:t>
            </w:r>
            <w:r w:rsidRPr="0053423A">
              <w:rPr>
                <w:rFonts w:eastAsia="Calibri" w:cs="Calibri"/>
                <w:sz w:val="20"/>
                <w:szCs w:val="20"/>
                <w:lang w:val="tr-TR"/>
              </w:rPr>
              <w:t xml:space="preserve"> </w:t>
            </w:r>
            <w:r w:rsidRPr="0053423A">
              <w:rPr>
                <w:rFonts w:eastAsia="Calibri" w:cs="Calibri"/>
                <w:sz w:val="20"/>
                <w:szCs w:val="20"/>
              </w:rPr>
              <w:t>միջազգային</w:t>
            </w:r>
            <w:r w:rsidRPr="0053423A">
              <w:rPr>
                <w:rFonts w:eastAsia="Calibri" w:cs="Calibri"/>
                <w:sz w:val="20"/>
                <w:szCs w:val="20"/>
                <w:lang w:val="tr-TR"/>
              </w:rPr>
              <w:t xml:space="preserve"> </w:t>
            </w:r>
            <w:r w:rsidRPr="0053423A">
              <w:rPr>
                <w:rFonts w:eastAsia="Calibri" w:cs="Calibri"/>
                <w:sz w:val="20"/>
                <w:szCs w:val="20"/>
              </w:rPr>
              <w:t>մասնագիտական</w:t>
            </w:r>
            <w:r w:rsidRPr="0053423A">
              <w:rPr>
                <w:rFonts w:eastAsia="Calibri" w:cs="Calibri"/>
                <w:sz w:val="20"/>
                <w:szCs w:val="20"/>
                <w:lang w:val="tr-TR"/>
              </w:rPr>
              <w:t xml:space="preserve"> </w:t>
            </w:r>
            <w:r w:rsidRPr="0053423A">
              <w:rPr>
                <w:rFonts w:eastAsia="Calibri" w:cs="Calibri"/>
                <w:sz w:val="20"/>
                <w:szCs w:val="20"/>
              </w:rPr>
              <w:t>ցանցին</w:t>
            </w:r>
            <w:r w:rsidRPr="0053423A">
              <w:rPr>
                <w:rFonts w:eastAsia="Calibri" w:cs="Calibri"/>
                <w:sz w:val="20"/>
                <w:szCs w:val="20"/>
                <w:lang w:val="tr-TR"/>
              </w:rPr>
              <w:t xml:space="preserve">, </w:t>
            </w:r>
            <w:r w:rsidRPr="0053423A">
              <w:rPr>
                <w:rFonts w:eastAsia="Calibri" w:cs="Calibri"/>
                <w:sz w:val="20"/>
                <w:szCs w:val="20"/>
              </w:rPr>
              <w:t>լավագույն</w:t>
            </w:r>
            <w:r w:rsidRPr="0053423A">
              <w:rPr>
                <w:rFonts w:eastAsia="Calibri" w:cs="Calibri"/>
                <w:sz w:val="20"/>
                <w:szCs w:val="20"/>
                <w:lang w:val="tr-TR"/>
              </w:rPr>
              <w:t xml:space="preserve"> </w:t>
            </w:r>
            <w:r w:rsidRPr="0053423A">
              <w:rPr>
                <w:rFonts w:eastAsia="Calibri" w:cs="Calibri"/>
                <w:sz w:val="20"/>
                <w:szCs w:val="20"/>
              </w:rPr>
              <w:t>փորձը</w:t>
            </w:r>
            <w:r w:rsidRPr="0053423A">
              <w:rPr>
                <w:rFonts w:eastAsia="Calibri" w:cs="Calibri"/>
                <w:sz w:val="20"/>
                <w:szCs w:val="20"/>
                <w:lang w:val="tr-TR"/>
              </w:rPr>
              <w:t xml:space="preserve"> </w:t>
            </w:r>
            <w:r w:rsidRPr="0053423A">
              <w:rPr>
                <w:rFonts w:eastAsia="Calibri" w:cs="Calibri"/>
                <w:sz w:val="20"/>
                <w:szCs w:val="20"/>
              </w:rPr>
              <w:t>ներդնել</w:t>
            </w:r>
            <w:r w:rsidRPr="0053423A">
              <w:rPr>
                <w:rFonts w:eastAsia="Calibri" w:cs="Calibri"/>
                <w:sz w:val="20"/>
                <w:szCs w:val="20"/>
                <w:lang w:val="tr-TR"/>
              </w:rPr>
              <w:t xml:space="preserve"> </w:t>
            </w:r>
            <w:r w:rsidRPr="0053423A">
              <w:rPr>
                <w:rFonts w:eastAsia="Calibri" w:cs="Calibri"/>
                <w:sz w:val="20"/>
                <w:szCs w:val="20"/>
              </w:rPr>
              <w:t>Հայաստանում</w:t>
            </w:r>
            <w:r w:rsidRPr="0053423A">
              <w:rPr>
                <w:rFonts w:eastAsia="Calibri" w:cs="Calibri"/>
                <w:sz w:val="20"/>
                <w:szCs w:val="20"/>
                <w:lang w:val="tr-TR"/>
              </w:rPr>
              <w:t>:</w:t>
            </w:r>
          </w:p>
        </w:tc>
      </w:tr>
      <w:tr w:rsidR="00A67B6B" w:rsidRPr="00DE2EFA" w:rsidTr="00A67B6B">
        <w:tc>
          <w:tcPr>
            <w:tcW w:w="540" w:type="dxa"/>
            <w:shd w:val="clear" w:color="auto" w:fill="auto"/>
          </w:tcPr>
          <w:p w:rsidR="00A67B6B" w:rsidRPr="0053423A" w:rsidRDefault="00A67B6B" w:rsidP="00A67858">
            <w:pPr>
              <w:tabs>
                <w:tab w:val="left" w:pos="1418"/>
              </w:tabs>
              <w:spacing w:after="0" w:line="276" w:lineRule="auto"/>
              <w:jc w:val="center"/>
              <w:rPr>
                <w:rFonts w:eastAsia="Calibri" w:cs="Times New Roman"/>
                <w:caps/>
                <w:sz w:val="20"/>
                <w:szCs w:val="20"/>
                <w:lang w:val="tr-TR"/>
              </w:rPr>
            </w:pPr>
            <w:r w:rsidRPr="0053423A">
              <w:rPr>
                <w:rFonts w:eastAsia="Calibri" w:cs="Times New Roman"/>
                <w:caps/>
                <w:sz w:val="20"/>
                <w:szCs w:val="20"/>
                <w:lang w:val="tr-TR"/>
              </w:rPr>
              <w:t>12</w:t>
            </w:r>
          </w:p>
        </w:tc>
        <w:tc>
          <w:tcPr>
            <w:tcW w:w="10980" w:type="dxa"/>
            <w:shd w:val="clear" w:color="auto" w:fill="auto"/>
          </w:tcPr>
          <w:p w:rsidR="00A67B6B" w:rsidRPr="0053423A" w:rsidRDefault="00A67B6B" w:rsidP="00A67858">
            <w:pPr>
              <w:spacing w:after="0" w:line="276" w:lineRule="auto"/>
              <w:jc w:val="center"/>
              <w:rPr>
                <w:rFonts w:eastAsia="Calibri" w:cs="Calibri"/>
                <w:b/>
                <w:sz w:val="20"/>
                <w:szCs w:val="20"/>
                <w:lang w:val="tr-TR"/>
              </w:rPr>
            </w:pPr>
            <w:r w:rsidRPr="0053423A">
              <w:rPr>
                <w:rFonts w:eastAsia="Calibri" w:cs="Calibri"/>
                <w:b/>
                <w:sz w:val="20"/>
                <w:szCs w:val="20"/>
                <w:lang w:val="tr-TR"/>
              </w:rPr>
              <w:t xml:space="preserve">12.1 </w:t>
            </w:r>
            <w:r w:rsidRPr="0053423A">
              <w:rPr>
                <w:rFonts w:eastAsia="Calibri" w:cs="Calibri"/>
                <w:b/>
                <w:sz w:val="20"/>
                <w:szCs w:val="20"/>
              </w:rPr>
              <w:t>Այլ</w:t>
            </w:r>
            <w:r w:rsidRPr="0053423A">
              <w:rPr>
                <w:rFonts w:eastAsia="Calibri" w:cs="Calibri"/>
                <w:b/>
                <w:sz w:val="20"/>
                <w:szCs w:val="20"/>
                <w:lang w:val="tr-TR"/>
              </w:rPr>
              <w:t xml:space="preserve"> </w:t>
            </w:r>
            <w:r w:rsidRPr="0053423A">
              <w:rPr>
                <w:rFonts w:eastAsia="Calibri" w:cs="Calibri"/>
                <w:b/>
                <w:sz w:val="20"/>
                <w:szCs w:val="20"/>
              </w:rPr>
              <w:t>երկրների</w:t>
            </w:r>
            <w:r w:rsidRPr="0053423A">
              <w:rPr>
                <w:rFonts w:eastAsia="Calibri" w:cs="Calibri"/>
                <w:b/>
                <w:sz w:val="20"/>
                <w:szCs w:val="20"/>
                <w:lang w:val="tr-TR"/>
              </w:rPr>
              <w:t xml:space="preserve"> </w:t>
            </w:r>
            <w:r w:rsidRPr="0053423A">
              <w:rPr>
                <w:rFonts w:eastAsia="Calibri" w:cs="Calibri"/>
                <w:b/>
                <w:sz w:val="20"/>
                <w:szCs w:val="20"/>
              </w:rPr>
              <w:t>որակյալ</w:t>
            </w:r>
            <w:r w:rsidRPr="0053423A">
              <w:rPr>
                <w:rFonts w:eastAsia="Calibri" w:cs="Calibri"/>
                <w:b/>
                <w:sz w:val="20"/>
                <w:szCs w:val="20"/>
                <w:lang w:val="tr-TR"/>
              </w:rPr>
              <w:t xml:space="preserve"> </w:t>
            </w:r>
            <w:r w:rsidRPr="0053423A">
              <w:rPr>
                <w:rFonts w:eastAsia="Calibri" w:cs="Calibri"/>
                <w:b/>
                <w:sz w:val="20"/>
                <w:szCs w:val="20"/>
              </w:rPr>
              <w:t>և</w:t>
            </w:r>
            <w:r w:rsidRPr="0053423A">
              <w:rPr>
                <w:rFonts w:eastAsia="Calibri" w:cs="Calibri"/>
                <w:b/>
                <w:sz w:val="20"/>
                <w:szCs w:val="20"/>
                <w:lang w:val="tr-TR"/>
              </w:rPr>
              <w:t xml:space="preserve"> </w:t>
            </w:r>
            <w:r w:rsidRPr="0053423A">
              <w:rPr>
                <w:rFonts w:eastAsia="Calibri" w:cs="Calibri"/>
                <w:b/>
                <w:sz w:val="20"/>
                <w:szCs w:val="20"/>
              </w:rPr>
              <w:t>հեղինակավոր</w:t>
            </w:r>
            <w:r w:rsidRPr="0053423A">
              <w:rPr>
                <w:rFonts w:eastAsia="Calibri" w:cs="Calibri"/>
                <w:b/>
                <w:sz w:val="20"/>
                <w:szCs w:val="20"/>
                <w:lang w:val="tr-TR"/>
              </w:rPr>
              <w:t xml:space="preserve"> </w:t>
            </w:r>
            <w:r w:rsidRPr="0053423A">
              <w:rPr>
                <w:rFonts w:eastAsia="Calibri" w:cs="Calibri"/>
                <w:b/>
                <w:sz w:val="20"/>
                <w:szCs w:val="20"/>
              </w:rPr>
              <w:t>մշակութային</w:t>
            </w:r>
            <w:r w:rsidRPr="0053423A">
              <w:rPr>
                <w:rFonts w:eastAsia="Calibri" w:cs="Calibri"/>
                <w:b/>
                <w:sz w:val="20"/>
                <w:szCs w:val="20"/>
                <w:lang w:val="tr-TR"/>
              </w:rPr>
              <w:t xml:space="preserve"> </w:t>
            </w:r>
            <w:r w:rsidRPr="0053423A">
              <w:rPr>
                <w:rFonts w:eastAsia="Calibri" w:cs="Calibri"/>
                <w:b/>
                <w:sz w:val="20"/>
                <w:szCs w:val="20"/>
              </w:rPr>
              <w:t>արժեքների</w:t>
            </w:r>
            <w:r w:rsidRPr="0053423A">
              <w:rPr>
                <w:rFonts w:eastAsia="Calibri" w:cs="Calibri"/>
                <w:b/>
                <w:sz w:val="20"/>
                <w:szCs w:val="20"/>
                <w:lang w:val="tr-TR"/>
              </w:rPr>
              <w:t xml:space="preserve">, </w:t>
            </w:r>
            <w:r w:rsidRPr="0053423A">
              <w:rPr>
                <w:rFonts w:eastAsia="Calibri" w:cs="Calibri"/>
                <w:b/>
                <w:sz w:val="20"/>
                <w:szCs w:val="20"/>
              </w:rPr>
              <w:t>մշակութային</w:t>
            </w:r>
            <w:r w:rsidRPr="0053423A">
              <w:rPr>
                <w:rFonts w:eastAsia="Calibri" w:cs="Calibri"/>
                <w:b/>
                <w:sz w:val="20"/>
                <w:szCs w:val="20"/>
                <w:lang w:val="tr-TR"/>
              </w:rPr>
              <w:t xml:space="preserve"> </w:t>
            </w:r>
            <w:r w:rsidRPr="0053423A">
              <w:rPr>
                <w:rFonts w:eastAsia="Calibri" w:cs="Calibri"/>
                <w:b/>
                <w:sz w:val="20"/>
                <w:szCs w:val="20"/>
              </w:rPr>
              <w:t>արտադրանքի</w:t>
            </w:r>
            <w:r w:rsidRPr="0053423A">
              <w:rPr>
                <w:rFonts w:eastAsia="Calibri" w:cs="Calibri"/>
                <w:b/>
                <w:sz w:val="20"/>
                <w:szCs w:val="20"/>
                <w:lang w:val="tr-TR"/>
              </w:rPr>
              <w:t xml:space="preserve"> </w:t>
            </w:r>
            <w:r w:rsidRPr="0053423A">
              <w:rPr>
                <w:rFonts w:eastAsia="Calibri" w:cs="Calibri"/>
                <w:b/>
                <w:sz w:val="20"/>
                <w:szCs w:val="20"/>
              </w:rPr>
              <w:t>ներկայացում</w:t>
            </w:r>
            <w:r w:rsidRPr="0053423A">
              <w:rPr>
                <w:rFonts w:eastAsia="Calibri" w:cs="Calibri"/>
                <w:b/>
                <w:sz w:val="20"/>
                <w:szCs w:val="20"/>
                <w:lang w:val="tr-TR"/>
              </w:rPr>
              <w:t xml:space="preserve"> </w:t>
            </w:r>
            <w:r w:rsidRPr="0053423A">
              <w:rPr>
                <w:rFonts w:eastAsia="Calibri" w:cs="Calibri"/>
                <w:b/>
                <w:sz w:val="20"/>
                <w:szCs w:val="20"/>
              </w:rPr>
              <w:t>Հայստանում</w:t>
            </w:r>
          </w:p>
          <w:p w:rsidR="00A67B6B" w:rsidRPr="0053423A" w:rsidRDefault="00A67B6B" w:rsidP="00A67858">
            <w:pPr>
              <w:tabs>
                <w:tab w:val="left" w:pos="508"/>
              </w:tabs>
              <w:autoSpaceDE w:val="0"/>
              <w:autoSpaceDN w:val="0"/>
              <w:spacing w:after="0" w:line="276" w:lineRule="auto"/>
              <w:jc w:val="center"/>
              <w:rPr>
                <w:rFonts w:eastAsia="Times New Roman" w:cs="GHEA Grapalat"/>
                <w:b/>
                <w:bCs/>
                <w:sz w:val="20"/>
                <w:szCs w:val="20"/>
                <w:lang w:val="tr-TR"/>
              </w:rPr>
            </w:pPr>
          </w:p>
          <w:p w:rsidR="00A67B6B" w:rsidRPr="0053423A" w:rsidRDefault="00A67B6B" w:rsidP="001F6D5D">
            <w:pPr>
              <w:numPr>
                <w:ilvl w:val="0"/>
                <w:numId w:val="232"/>
              </w:numPr>
              <w:tabs>
                <w:tab w:val="left" w:pos="508"/>
              </w:tabs>
              <w:spacing w:after="0" w:line="276" w:lineRule="auto"/>
              <w:ind w:hanging="707"/>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իրականացման</w:t>
            </w:r>
            <w:r w:rsidRPr="0053423A">
              <w:rPr>
                <w:rFonts w:eastAsia="Calibri" w:cs="Calibri"/>
                <w:b/>
                <w:sz w:val="20"/>
                <w:szCs w:val="20"/>
                <w:lang w:val="tr-TR"/>
              </w:rPr>
              <w:t xml:space="preserve"> </w:t>
            </w:r>
            <w:r w:rsidRPr="0053423A">
              <w:rPr>
                <w:rFonts w:eastAsia="Calibri" w:cs="Calibri"/>
                <w:b/>
                <w:sz w:val="20"/>
                <w:szCs w:val="20"/>
              </w:rPr>
              <w:t>անհրաժեշտությունը</w:t>
            </w:r>
            <w:r w:rsidRPr="0053423A">
              <w:rPr>
                <w:rFonts w:eastAsia="Calibri" w:cs="Calibri"/>
                <w:b/>
                <w:sz w:val="20"/>
                <w:szCs w:val="20"/>
                <w:lang w:val="tr-TR"/>
              </w:rPr>
              <w:t xml:space="preserve"> </w:t>
            </w:r>
            <w:r w:rsidRPr="0053423A">
              <w:rPr>
                <w:rFonts w:eastAsia="Calibri" w:cs="Calibri"/>
                <w:b/>
                <w:sz w:val="20"/>
                <w:szCs w:val="20"/>
              </w:rPr>
              <w:t>և</w:t>
            </w:r>
            <w:r w:rsidRPr="0053423A">
              <w:rPr>
                <w:rFonts w:eastAsia="Calibri" w:cs="Calibri"/>
                <w:b/>
                <w:sz w:val="20"/>
                <w:szCs w:val="20"/>
                <w:lang w:val="tr-TR"/>
              </w:rPr>
              <w:t xml:space="preserve"> </w:t>
            </w:r>
            <w:r w:rsidRPr="0053423A">
              <w:rPr>
                <w:rFonts w:eastAsia="Calibri" w:cs="Calibri"/>
                <w:b/>
                <w:sz w:val="20"/>
                <w:szCs w:val="20"/>
              </w:rPr>
              <w:t>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Calibri"/>
                <w:sz w:val="20"/>
                <w:szCs w:val="20"/>
              </w:rPr>
              <w:t>Հայաստանում</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կյանքի</w:t>
            </w:r>
            <w:r w:rsidRPr="0053423A">
              <w:rPr>
                <w:rFonts w:eastAsia="Calibri" w:cs="Calibri"/>
                <w:sz w:val="20"/>
                <w:szCs w:val="20"/>
                <w:lang w:val="tr-TR"/>
              </w:rPr>
              <w:t xml:space="preserve"> </w:t>
            </w:r>
            <w:r w:rsidRPr="0053423A">
              <w:rPr>
                <w:rFonts w:eastAsia="Calibri" w:cs="Calibri"/>
                <w:sz w:val="20"/>
                <w:szCs w:val="20"/>
              </w:rPr>
              <w:t>ակտիվացման</w:t>
            </w:r>
            <w:r w:rsidRPr="0053423A">
              <w:rPr>
                <w:rFonts w:eastAsia="Calibri" w:cs="Calibri"/>
                <w:sz w:val="20"/>
                <w:szCs w:val="20"/>
                <w:lang w:val="tr-TR"/>
              </w:rPr>
              <w:t xml:space="preserve">, </w:t>
            </w:r>
            <w:r w:rsidRPr="0053423A">
              <w:rPr>
                <w:rFonts w:eastAsia="Calibri" w:cs="Calibri"/>
                <w:sz w:val="20"/>
                <w:szCs w:val="20"/>
              </w:rPr>
              <w:t>հայ</w:t>
            </w:r>
            <w:r w:rsidRPr="0053423A">
              <w:rPr>
                <w:rFonts w:eastAsia="Calibri" w:cs="Calibri"/>
                <w:sz w:val="20"/>
                <w:szCs w:val="20"/>
                <w:lang w:val="tr-TR"/>
              </w:rPr>
              <w:t xml:space="preserve"> </w:t>
            </w:r>
            <w:r w:rsidRPr="0053423A">
              <w:rPr>
                <w:rFonts w:eastAsia="Calibri" w:cs="Calibri"/>
                <w:sz w:val="20"/>
                <w:szCs w:val="20"/>
              </w:rPr>
              <w:t>մշակութասեր</w:t>
            </w:r>
            <w:r w:rsidRPr="0053423A">
              <w:rPr>
                <w:rFonts w:eastAsia="Calibri" w:cs="Calibri"/>
                <w:sz w:val="20"/>
                <w:szCs w:val="20"/>
                <w:lang w:val="tr-TR"/>
              </w:rPr>
              <w:t xml:space="preserve"> </w:t>
            </w:r>
            <w:r w:rsidRPr="0053423A">
              <w:rPr>
                <w:rFonts w:eastAsia="Calibri" w:cs="Calibri"/>
                <w:sz w:val="20"/>
                <w:szCs w:val="20"/>
              </w:rPr>
              <w:t>հասարակությանը</w:t>
            </w:r>
            <w:r w:rsidRPr="0053423A">
              <w:rPr>
                <w:rFonts w:eastAsia="Calibri" w:cs="Calibri"/>
                <w:sz w:val="20"/>
                <w:szCs w:val="20"/>
                <w:lang w:val="tr-TR"/>
              </w:rPr>
              <w:t xml:space="preserve"> </w:t>
            </w:r>
            <w:r w:rsidRPr="0053423A">
              <w:rPr>
                <w:rFonts w:eastAsia="Calibri" w:cs="Calibri"/>
                <w:sz w:val="20"/>
                <w:szCs w:val="20"/>
              </w:rPr>
              <w:t>աշխարհի</w:t>
            </w:r>
            <w:r w:rsidRPr="0053423A">
              <w:rPr>
                <w:rFonts w:eastAsia="Calibri" w:cs="Calibri"/>
                <w:sz w:val="20"/>
                <w:szCs w:val="20"/>
                <w:lang w:val="tr-TR"/>
              </w:rPr>
              <w:t xml:space="preserve"> </w:t>
            </w:r>
            <w:r w:rsidRPr="0053423A">
              <w:rPr>
                <w:rFonts w:eastAsia="Calibri" w:cs="Calibri"/>
                <w:sz w:val="20"/>
                <w:szCs w:val="20"/>
              </w:rPr>
              <w:t>հեղինակավոր</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արժեքների</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նորարարական</w:t>
            </w:r>
            <w:r w:rsidRPr="0053423A">
              <w:rPr>
                <w:rFonts w:eastAsia="Calibri" w:cs="Calibri"/>
                <w:sz w:val="20"/>
                <w:szCs w:val="20"/>
                <w:lang w:val="tr-TR"/>
              </w:rPr>
              <w:t xml:space="preserve"> </w:t>
            </w:r>
            <w:r w:rsidRPr="0053423A">
              <w:rPr>
                <w:rFonts w:eastAsia="Calibri" w:cs="Calibri"/>
                <w:sz w:val="20"/>
                <w:szCs w:val="20"/>
              </w:rPr>
              <w:t>միջոցառումների</w:t>
            </w:r>
            <w:r w:rsidRPr="0053423A">
              <w:rPr>
                <w:rFonts w:eastAsia="Calibri" w:cs="Calibri"/>
                <w:sz w:val="20"/>
                <w:szCs w:val="20"/>
                <w:lang w:val="tr-TR"/>
              </w:rPr>
              <w:t xml:space="preserve">, </w:t>
            </w:r>
            <w:r w:rsidRPr="0053423A">
              <w:rPr>
                <w:rFonts w:eastAsia="Calibri" w:cs="Calibri"/>
                <w:sz w:val="20"/>
                <w:szCs w:val="20"/>
              </w:rPr>
              <w:t>միջազգային</w:t>
            </w:r>
            <w:r w:rsidRPr="0053423A">
              <w:rPr>
                <w:rFonts w:eastAsia="Calibri" w:cs="Calibri"/>
                <w:sz w:val="20"/>
                <w:szCs w:val="20"/>
                <w:lang w:val="tr-TR"/>
              </w:rPr>
              <w:t xml:space="preserve"> </w:t>
            </w:r>
            <w:r w:rsidRPr="0053423A">
              <w:rPr>
                <w:rFonts w:eastAsia="Calibri" w:cs="Calibri"/>
                <w:sz w:val="20"/>
                <w:szCs w:val="20"/>
              </w:rPr>
              <w:t>չափանիշներին</w:t>
            </w:r>
            <w:r w:rsidRPr="0053423A">
              <w:rPr>
                <w:rFonts w:eastAsia="Calibri" w:cs="Calibri"/>
                <w:sz w:val="20"/>
                <w:szCs w:val="20"/>
                <w:lang w:val="tr-TR"/>
              </w:rPr>
              <w:t xml:space="preserve"> </w:t>
            </w:r>
            <w:r w:rsidRPr="0053423A">
              <w:rPr>
                <w:rFonts w:eastAsia="Calibri" w:cs="Calibri"/>
                <w:sz w:val="20"/>
                <w:szCs w:val="20"/>
              </w:rPr>
              <w:t>համապատասխան</w:t>
            </w:r>
            <w:r w:rsidRPr="0053423A">
              <w:rPr>
                <w:rFonts w:eastAsia="Calibri" w:cs="Calibri"/>
                <w:sz w:val="20"/>
                <w:szCs w:val="20"/>
                <w:lang w:val="tr-TR"/>
              </w:rPr>
              <w:t xml:space="preserve"> </w:t>
            </w:r>
            <w:r w:rsidRPr="0053423A">
              <w:rPr>
                <w:rFonts w:eastAsia="Calibri" w:cs="Calibri"/>
                <w:sz w:val="20"/>
                <w:szCs w:val="20"/>
              </w:rPr>
              <w:t>ցուցադրությունների</w:t>
            </w:r>
            <w:r w:rsidRPr="0053423A">
              <w:rPr>
                <w:rFonts w:eastAsia="Calibri" w:cs="Calibri"/>
                <w:sz w:val="20"/>
                <w:szCs w:val="20"/>
                <w:lang w:val="tr-TR"/>
              </w:rPr>
              <w:t xml:space="preserve">, </w:t>
            </w:r>
            <w:r w:rsidRPr="0053423A">
              <w:rPr>
                <w:rFonts w:eastAsia="Calibri" w:cs="Calibri"/>
                <w:sz w:val="20"/>
                <w:szCs w:val="20"/>
              </w:rPr>
              <w:t>պերֆորմանսների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ստեղծարար</w:t>
            </w:r>
            <w:r w:rsidRPr="0053423A">
              <w:rPr>
                <w:rFonts w:eastAsia="Calibri" w:cs="Calibri"/>
                <w:sz w:val="20"/>
                <w:szCs w:val="20"/>
                <w:lang w:val="tr-TR"/>
              </w:rPr>
              <w:t xml:space="preserve"> </w:t>
            </w:r>
            <w:r w:rsidRPr="0053423A">
              <w:rPr>
                <w:rFonts w:eastAsia="Calibri" w:cs="Calibri"/>
                <w:sz w:val="20"/>
                <w:szCs w:val="20"/>
              </w:rPr>
              <w:t>ինդուստրիայի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ծանոթացնելու</w:t>
            </w:r>
            <w:r w:rsidRPr="0053423A">
              <w:rPr>
                <w:rFonts w:eastAsia="Calibri" w:cs="Calibri"/>
                <w:sz w:val="20"/>
                <w:szCs w:val="20"/>
                <w:lang w:val="tr-TR"/>
              </w:rPr>
              <w:t xml:space="preserve"> </w:t>
            </w:r>
            <w:r w:rsidRPr="0053423A">
              <w:rPr>
                <w:rFonts w:eastAsia="Calibri" w:cs="Calibri"/>
                <w:sz w:val="20"/>
                <w:szCs w:val="20"/>
              </w:rPr>
              <w:t>նպատակով</w:t>
            </w:r>
            <w:r w:rsidRPr="0053423A">
              <w:rPr>
                <w:rFonts w:eastAsia="Calibri" w:cs="Calibri"/>
                <w:sz w:val="20"/>
                <w:szCs w:val="20"/>
                <w:lang w:val="tr-TR"/>
              </w:rPr>
              <w:t xml:space="preserve"> </w:t>
            </w:r>
            <w:r w:rsidRPr="0053423A">
              <w:rPr>
                <w:rFonts w:eastAsia="Calibri" w:cs="Calibri"/>
                <w:sz w:val="20"/>
                <w:szCs w:val="20"/>
              </w:rPr>
              <w:t>անհրաժեշտ</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համագործակցել</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Հայաստանում</w:t>
            </w:r>
            <w:r w:rsidRPr="0053423A">
              <w:rPr>
                <w:rFonts w:eastAsia="Calibri" w:cs="Calibri"/>
                <w:sz w:val="20"/>
                <w:szCs w:val="20"/>
                <w:lang w:val="tr-TR"/>
              </w:rPr>
              <w:t xml:space="preserve"> </w:t>
            </w:r>
            <w:r w:rsidRPr="0053423A">
              <w:rPr>
                <w:rFonts w:eastAsia="Calibri" w:cs="Calibri"/>
                <w:sz w:val="20"/>
                <w:szCs w:val="20"/>
              </w:rPr>
              <w:t>ներկայացնել</w:t>
            </w:r>
            <w:r w:rsidRPr="0053423A">
              <w:rPr>
                <w:rFonts w:eastAsia="Calibri" w:cs="Calibri"/>
                <w:sz w:val="20"/>
                <w:szCs w:val="20"/>
                <w:lang w:val="tr-TR"/>
              </w:rPr>
              <w:t xml:space="preserve"> </w:t>
            </w:r>
            <w:r w:rsidRPr="0053423A">
              <w:rPr>
                <w:rFonts w:eastAsia="Calibri" w:cs="Calibri"/>
                <w:sz w:val="20"/>
                <w:szCs w:val="20"/>
              </w:rPr>
              <w:t>միջազգային</w:t>
            </w:r>
            <w:r w:rsidRPr="0053423A">
              <w:rPr>
                <w:rFonts w:eastAsia="Calibri" w:cs="Calibri"/>
                <w:sz w:val="20"/>
                <w:szCs w:val="20"/>
                <w:lang w:val="tr-TR"/>
              </w:rPr>
              <w:t xml:space="preserve"> </w:t>
            </w:r>
            <w:r w:rsidRPr="0053423A">
              <w:rPr>
                <w:rFonts w:eastAsia="Calibri" w:cs="Calibri"/>
                <w:sz w:val="20"/>
                <w:szCs w:val="20"/>
              </w:rPr>
              <w:t>ճանաչում</w:t>
            </w:r>
            <w:r w:rsidRPr="0053423A">
              <w:rPr>
                <w:rFonts w:eastAsia="Calibri" w:cs="Calibri"/>
                <w:sz w:val="20"/>
                <w:szCs w:val="20"/>
                <w:lang w:val="tr-TR"/>
              </w:rPr>
              <w:t xml:space="preserve">, </w:t>
            </w:r>
            <w:r w:rsidRPr="0053423A">
              <w:rPr>
                <w:rFonts w:eastAsia="Calibri" w:cs="Calibri"/>
                <w:sz w:val="20"/>
                <w:szCs w:val="20"/>
              </w:rPr>
              <w:t>համակրանք</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հեղինակություն</w:t>
            </w:r>
            <w:r w:rsidRPr="0053423A">
              <w:rPr>
                <w:rFonts w:eastAsia="Calibri" w:cs="Calibri"/>
                <w:sz w:val="20"/>
                <w:szCs w:val="20"/>
                <w:lang w:val="tr-TR"/>
              </w:rPr>
              <w:t xml:space="preserve"> </w:t>
            </w:r>
            <w:r w:rsidRPr="0053423A">
              <w:rPr>
                <w:rFonts w:eastAsia="Calibri" w:cs="Calibri"/>
                <w:sz w:val="20"/>
                <w:szCs w:val="20"/>
              </w:rPr>
              <w:t>վայելող</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երևույթները</w:t>
            </w:r>
            <w:r w:rsidRPr="0053423A">
              <w:rPr>
                <w:rFonts w:eastAsia="Calibri" w:cs="Calibri"/>
                <w:sz w:val="20"/>
                <w:szCs w:val="20"/>
                <w:lang w:val="tr-TR"/>
              </w:rPr>
              <w:t xml:space="preserve">` </w:t>
            </w:r>
            <w:r w:rsidRPr="0053423A">
              <w:rPr>
                <w:rFonts w:eastAsia="Calibri" w:cs="Calibri"/>
                <w:sz w:val="20"/>
                <w:szCs w:val="20"/>
              </w:rPr>
              <w:t>տեսողական</w:t>
            </w:r>
            <w:r w:rsidRPr="0053423A">
              <w:rPr>
                <w:rFonts w:eastAsia="Calibri" w:cs="Calibri"/>
                <w:sz w:val="20"/>
                <w:szCs w:val="20"/>
                <w:lang w:val="tr-TR"/>
              </w:rPr>
              <w:t xml:space="preserve">, </w:t>
            </w:r>
            <w:r w:rsidRPr="0053423A">
              <w:rPr>
                <w:rFonts w:eastAsia="Calibri" w:cs="Calibri"/>
                <w:sz w:val="20"/>
                <w:szCs w:val="20"/>
              </w:rPr>
              <w:t>լսողական</w:t>
            </w:r>
            <w:r w:rsidRPr="0053423A">
              <w:rPr>
                <w:rFonts w:eastAsia="Calibri" w:cs="Calibri"/>
                <w:sz w:val="20"/>
                <w:szCs w:val="20"/>
                <w:lang w:val="tr-TR"/>
              </w:rPr>
              <w:t xml:space="preserve">, </w:t>
            </w:r>
            <w:r w:rsidRPr="0053423A">
              <w:rPr>
                <w:rFonts w:eastAsia="Calibri" w:cs="Calibri"/>
                <w:sz w:val="20"/>
                <w:szCs w:val="20"/>
              </w:rPr>
              <w:t>կատարողական</w:t>
            </w:r>
            <w:r w:rsidRPr="0053423A">
              <w:rPr>
                <w:rFonts w:eastAsia="Calibri" w:cs="Calibri"/>
                <w:sz w:val="20"/>
                <w:szCs w:val="20"/>
                <w:lang w:val="tr-TR"/>
              </w:rPr>
              <w:t xml:space="preserve"> </w:t>
            </w:r>
            <w:r w:rsidRPr="0053423A">
              <w:rPr>
                <w:rFonts w:eastAsia="Calibri" w:cs="Calibri"/>
                <w:sz w:val="20"/>
                <w:szCs w:val="20"/>
              </w:rPr>
              <w:t>արվեստներից</w:t>
            </w:r>
            <w:r w:rsidRPr="0053423A">
              <w:rPr>
                <w:rFonts w:eastAsia="Calibri" w:cs="Calibri"/>
                <w:sz w:val="20"/>
                <w:szCs w:val="20"/>
                <w:lang w:val="tr-TR"/>
              </w:rPr>
              <w:t xml:space="preserve"> </w:t>
            </w:r>
            <w:r w:rsidRPr="0053423A">
              <w:rPr>
                <w:rFonts w:eastAsia="Calibri" w:cs="Calibri"/>
                <w:sz w:val="20"/>
                <w:szCs w:val="20"/>
              </w:rPr>
              <w:t>մինչև</w:t>
            </w:r>
            <w:r w:rsidRPr="0053423A">
              <w:rPr>
                <w:rFonts w:eastAsia="Calibri" w:cs="Calibri"/>
                <w:sz w:val="20"/>
                <w:szCs w:val="20"/>
                <w:lang w:val="tr-TR"/>
              </w:rPr>
              <w:t xml:space="preserve"> </w:t>
            </w:r>
            <w:r w:rsidRPr="0053423A">
              <w:rPr>
                <w:rFonts w:eastAsia="Calibri" w:cs="Calibri"/>
                <w:sz w:val="20"/>
                <w:szCs w:val="20"/>
              </w:rPr>
              <w:t>գրահրատարակչական</w:t>
            </w:r>
            <w:r w:rsidRPr="0053423A">
              <w:rPr>
                <w:rFonts w:eastAsia="Calibri" w:cs="Calibri"/>
                <w:sz w:val="20"/>
                <w:szCs w:val="20"/>
                <w:lang w:val="tr-TR"/>
              </w:rPr>
              <w:t xml:space="preserve"> </w:t>
            </w:r>
            <w:r w:rsidRPr="0053423A">
              <w:rPr>
                <w:rFonts w:eastAsia="Calibri" w:cs="Calibri"/>
                <w:sz w:val="20"/>
                <w:szCs w:val="20"/>
              </w:rPr>
              <w:t>ոլորտի</w:t>
            </w:r>
            <w:r w:rsidRPr="0053423A">
              <w:rPr>
                <w:rFonts w:eastAsia="Calibri" w:cs="Calibri"/>
                <w:sz w:val="20"/>
                <w:szCs w:val="20"/>
                <w:lang w:val="tr-TR"/>
              </w:rPr>
              <w:t xml:space="preserve"> </w:t>
            </w:r>
            <w:r w:rsidRPr="0053423A">
              <w:rPr>
                <w:rFonts w:eastAsia="Calibri" w:cs="Calibri"/>
                <w:sz w:val="20"/>
                <w:szCs w:val="20"/>
              </w:rPr>
              <w:t>նորամուծություններ</w:t>
            </w:r>
            <w:r w:rsidRPr="0053423A">
              <w:rPr>
                <w:rFonts w:eastAsia="Calibri" w:cs="Calibri"/>
                <w:sz w:val="20"/>
                <w:szCs w:val="20"/>
                <w:lang w:val="tr-TR"/>
              </w:rPr>
              <w:t xml:space="preserve">, </w:t>
            </w:r>
            <w:r w:rsidRPr="0053423A">
              <w:rPr>
                <w:rFonts w:eastAsia="Calibri" w:cs="Calibri"/>
                <w:sz w:val="20"/>
                <w:szCs w:val="20"/>
              </w:rPr>
              <w:t>նոր</w:t>
            </w:r>
            <w:r w:rsidRPr="0053423A">
              <w:rPr>
                <w:rFonts w:eastAsia="Calibri" w:cs="Calibri"/>
                <w:sz w:val="20"/>
                <w:szCs w:val="20"/>
                <w:lang w:val="tr-TR"/>
              </w:rPr>
              <w:t xml:space="preserve"> </w:t>
            </w:r>
            <w:r w:rsidRPr="0053423A">
              <w:rPr>
                <w:rFonts w:eastAsia="Calibri" w:cs="Calibri"/>
                <w:sz w:val="20"/>
                <w:szCs w:val="20"/>
              </w:rPr>
              <w:t>մոտեցումներ</w:t>
            </w:r>
            <w:r w:rsidRPr="0053423A">
              <w:rPr>
                <w:rFonts w:eastAsia="Calibri" w:cs="Calibri"/>
                <w:sz w:val="20"/>
                <w:szCs w:val="20"/>
                <w:lang w:val="tr-TR"/>
              </w:rPr>
              <w:t xml:space="preserve"> </w:t>
            </w:r>
            <w:r w:rsidRPr="0053423A">
              <w:rPr>
                <w:rFonts w:eastAsia="Calibri" w:cs="Calibri"/>
                <w:sz w:val="20"/>
                <w:szCs w:val="20"/>
              </w:rPr>
              <w:t>ավանդական</w:t>
            </w:r>
            <w:r w:rsidRPr="0053423A">
              <w:rPr>
                <w:rFonts w:eastAsia="Calibri" w:cs="Calibri"/>
                <w:sz w:val="20"/>
                <w:szCs w:val="20"/>
                <w:lang w:val="tr-TR"/>
              </w:rPr>
              <w:t xml:space="preserve"> </w:t>
            </w:r>
            <w:r w:rsidRPr="0053423A">
              <w:rPr>
                <w:rFonts w:eastAsia="Calibri" w:cs="Calibri"/>
                <w:sz w:val="20"/>
                <w:szCs w:val="20"/>
              </w:rPr>
              <w:t>ցուցադրություններին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այլն</w:t>
            </w:r>
            <w:r w:rsidRPr="0053423A">
              <w:rPr>
                <w:rFonts w:eastAsia="Calibri" w:cs="Calibri"/>
                <w:sz w:val="20"/>
                <w:szCs w:val="20"/>
                <w:lang w:val="tr-TR"/>
              </w:rPr>
              <w:t xml:space="preserve">: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rPr>
                <w:rFonts w:eastAsia="Calibri" w:cs="Calibri"/>
                <w:b/>
                <w:sz w:val="20"/>
                <w:szCs w:val="20"/>
                <w:lang w:val="tr-TR"/>
              </w:rPr>
            </w:pPr>
          </w:p>
          <w:p w:rsidR="00A67B6B" w:rsidRPr="0053423A" w:rsidRDefault="00A67B6B" w:rsidP="00A67858">
            <w:pPr>
              <w:tabs>
                <w:tab w:val="left" w:pos="508"/>
              </w:tabs>
              <w:spacing w:after="0" w:line="276" w:lineRule="auto"/>
              <w:jc w:val="both"/>
              <w:rPr>
                <w:rFonts w:eastAsia="Calibri" w:cs="Calibri"/>
                <w:b/>
                <w:sz w:val="20"/>
                <w:szCs w:val="20"/>
                <w:lang w:val="tr-TR"/>
              </w:rPr>
            </w:pPr>
            <w:r w:rsidRPr="0053423A">
              <w:rPr>
                <w:rFonts w:eastAsia="Calibri" w:cs="Calibri"/>
                <w:b/>
                <w:sz w:val="20"/>
                <w:szCs w:val="20"/>
                <w:lang w:val="tr-TR"/>
              </w:rPr>
              <w:t xml:space="preserve">1.1 </w:t>
            </w:r>
            <w:r w:rsidRPr="0053423A">
              <w:rPr>
                <w:rFonts w:eastAsia="Calibri" w:cs="Calibri"/>
                <w:b/>
                <w:sz w:val="20"/>
                <w:szCs w:val="20"/>
                <w:lang w:val="hy-AM"/>
              </w:rPr>
              <w:t>Կարգավորման</w:t>
            </w:r>
            <w:r w:rsidRPr="0053423A">
              <w:rPr>
                <w:rFonts w:eastAsia="Calibri" w:cs="Calibri"/>
                <w:b/>
                <w:sz w:val="20"/>
                <w:szCs w:val="20"/>
                <w:lang w:val="tr-TR"/>
              </w:rPr>
              <w:t xml:space="preserve"> </w:t>
            </w:r>
            <w:r w:rsidRPr="0053423A">
              <w:rPr>
                <w:rFonts w:eastAsia="Calibri" w:cs="Calibri"/>
                <w:b/>
                <w:sz w:val="20"/>
                <w:szCs w:val="20"/>
                <w:lang w:val="hy-AM"/>
              </w:rPr>
              <w:t>հարաբերությունների</w:t>
            </w:r>
            <w:r w:rsidRPr="0053423A">
              <w:rPr>
                <w:rFonts w:eastAsia="Calibri" w:cs="Calibri"/>
                <w:b/>
                <w:sz w:val="20"/>
                <w:szCs w:val="20"/>
                <w:lang w:val="tr-TR"/>
              </w:rPr>
              <w:t xml:space="preserve"> </w:t>
            </w:r>
            <w:r w:rsidRPr="0053423A">
              <w:rPr>
                <w:rFonts w:eastAsia="Calibri" w:cs="Calibri"/>
                <w:b/>
                <w:sz w:val="20"/>
                <w:szCs w:val="20"/>
                <w:lang w:val="hy-AM"/>
              </w:rPr>
              <w:t>ներկա</w:t>
            </w:r>
            <w:r w:rsidRPr="0053423A">
              <w:rPr>
                <w:rFonts w:eastAsia="Calibri" w:cs="Calibri"/>
                <w:b/>
                <w:sz w:val="20"/>
                <w:szCs w:val="20"/>
                <w:lang w:val="tr-TR"/>
              </w:rPr>
              <w:t xml:space="preserve"> </w:t>
            </w:r>
            <w:r w:rsidRPr="0053423A">
              <w:rPr>
                <w:rFonts w:eastAsia="Calibri" w:cs="Calibri"/>
                <w:b/>
                <w:sz w:val="20"/>
                <w:szCs w:val="20"/>
                <w:lang w:val="hy-AM"/>
              </w:rPr>
              <w:t>վիճակը</w:t>
            </w:r>
            <w:r w:rsidRPr="0053423A">
              <w:rPr>
                <w:rFonts w:eastAsia="Calibri" w:cs="Calibri"/>
                <w:b/>
                <w:sz w:val="20"/>
                <w:szCs w:val="20"/>
                <w:lang w:val="tr-TR"/>
              </w:rPr>
              <w:t xml:space="preserve"> </w:t>
            </w:r>
            <w:r w:rsidRPr="0053423A">
              <w:rPr>
                <w:rFonts w:eastAsia="Calibri" w:cs="Calibri"/>
                <w:b/>
                <w:sz w:val="20"/>
                <w:szCs w:val="20"/>
                <w:lang w:val="hy-AM"/>
              </w:rPr>
              <w:t>և</w:t>
            </w:r>
            <w:r w:rsidRPr="0053423A">
              <w:rPr>
                <w:rFonts w:eastAsia="Calibri" w:cs="Calibri"/>
                <w:b/>
                <w:sz w:val="20"/>
                <w:szCs w:val="20"/>
                <w:lang w:val="tr-TR"/>
              </w:rPr>
              <w:t xml:space="preserve"> </w:t>
            </w:r>
            <w:r w:rsidRPr="0053423A">
              <w:rPr>
                <w:rFonts w:eastAsia="Calibri" w:cs="Calibri"/>
                <w:b/>
                <w:sz w:val="20"/>
                <w:szCs w:val="20"/>
                <w:lang w:val="hy-AM"/>
              </w:rPr>
              <w:t>առկա</w:t>
            </w:r>
            <w:r w:rsidRPr="0053423A">
              <w:rPr>
                <w:rFonts w:eastAsia="Calibri" w:cs="Calibri"/>
                <w:b/>
                <w:sz w:val="20"/>
                <w:szCs w:val="20"/>
                <w:lang w:val="tr-TR"/>
              </w:rPr>
              <w:t xml:space="preserve"> </w:t>
            </w:r>
            <w:r w:rsidRPr="0053423A">
              <w:rPr>
                <w:rFonts w:eastAsia="Calibri" w:cs="Calibri"/>
                <w:b/>
                <w:sz w:val="20"/>
                <w:szCs w:val="20"/>
                <w:lang w:val="hy-AM"/>
              </w:rPr>
              <w:t>խնդիրները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lang w:val="hy-AM"/>
              </w:rPr>
              <w:t>Ներկայում</w:t>
            </w:r>
            <w:r w:rsidRPr="0053423A">
              <w:rPr>
                <w:rFonts w:eastAsia="Calibri" w:cs="Calibri"/>
                <w:sz w:val="20"/>
                <w:szCs w:val="20"/>
                <w:lang w:val="tr-TR"/>
              </w:rPr>
              <w:t xml:space="preserve"> </w:t>
            </w:r>
            <w:r w:rsidRPr="0053423A">
              <w:rPr>
                <w:rFonts w:eastAsia="Calibri" w:cs="Calibri"/>
                <w:sz w:val="20"/>
                <w:szCs w:val="20"/>
                <w:lang w:val="hy-AM"/>
              </w:rPr>
              <w:t>աշխարհի</w:t>
            </w:r>
            <w:r w:rsidRPr="0053423A">
              <w:rPr>
                <w:rFonts w:eastAsia="Calibri" w:cs="Calibri"/>
                <w:sz w:val="20"/>
                <w:szCs w:val="20"/>
                <w:lang w:val="tr-TR"/>
              </w:rPr>
              <w:t xml:space="preserve"> </w:t>
            </w:r>
            <w:r w:rsidRPr="0053423A">
              <w:rPr>
                <w:rFonts w:eastAsia="Calibri" w:cs="Calibri"/>
                <w:sz w:val="20"/>
                <w:szCs w:val="20"/>
                <w:lang w:val="hy-AM"/>
              </w:rPr>
              <w:t>օրեցօր</w:t>
            </w:r>
            <w:r w:rsidRPr="0053423A">
              <w:rPr>
                <w:rFonts w:eastAsia="Calibri" w:cs="Calibri"/>
                <w:sz w:val="20"/>
                <w:szCs w:val="20"/>
                <w:lang w:val="tr-TR"/>
              </w:rPr>
              <w:t xml:space="preserve"> </w:t>
            </w:r>
            <w:r w:rsidRPr="0053423A">
              <w:rPr>
                <w:rFonts w:eastAsia="Calibri" w:cs="Calibri"/>
                <w:sz w:val="20"/>
                <w:szCs w:val="20"/>
                <w:lang w:val="hy-AM"/>
              </w:rPr>
              <w:t>զարգացող</w:t>
            </w:r>
            <w:r w:rsidRPr="0053423A">
              <w:rPr>
                <w:rFonts w:eastAsia="Calibri" w:cs="Calibri"/>
                <w:sz w:val="20"/>
                <w:szCs w:val="20"/>
                <w:lang w:val="tr-TR"/>
              </w:rPr>
              <w:t xml:space="preserve"> </w:t>
            </w:r>
            <w:r w:rsidRPr="0053423A">
              <w:rPr>
                <w:rFonts w:eastAsia="Calibri" w:cs="Calibri"/>
                <w:sz w:val="20"/>
                <w:szCs w:val="20"/>
                <w:lang w:val="hy-AM"/>
              </w:rPr>
              <w:t>և</w:t>
            </w:r>
            <w:r w:rsidRPr="0053423A">
              <w:rPr>
                <w:rFonts w:eastAsia="Calibri" w:cs="Calibri"/>
                <w:sz w:val="20"/>
                <w:szCs w:val="20"/>
                <w:lang w:val="tr-TR"/>
              </w:rPr>
              <w:t xml:space="preserve"> </w:t>
            </w:r>
            <w:r w:rsidRPr="0053423A">
              <w:rPr>
                <w:rFonts w:eastAsia="Calibri" w:cs="Calibri"/>
                <w:sz w:val="20"/>
                <w:szCs w:val="20"/>
                <w:lang w:val="hy-AM"/>
              </w:rPr>
              <w:t>մեծ</w:t>
            </w:r>
            <w:r w:rsidRPr="0053423A">
              <w:rPr>
                <w:rFonts w:eastAsia="Calibri" w:cs="Calibri"/>
                <w:sz w:val="20"/>
                <w:szCs w:val="20"/>
                <w:lang w:val="tr-TR"/>
              </w:rPr>
              <w:t xml:space="preserve"> </w:t>
            </w:r>
            <w:r w:rsidRPr="0053423A">
              <w:rPr>
                <w:rFonts w:eastAsia="Calibri" w:cs="Calibri"/>
                <w:sz w:val="20"/>
                <w:szCs w:val="20"/>
                <w:lang w:val="hy-AM"/>
              </w:rPr>
              <w:t>ճանաչում</w:t>
            </w:r>
            <w:r w:rsidRPr="0053423A">
              <w:rPr>
                <w:rFonts w:eastAsia="Calibri" w:cs="Calibri"/>
                <w:sz w:val="20"/>
                <w:szCs w:val="20"/>
                <w:lang w:val="tr-TR"/>
              </w:rPr>
              <w:t xml:space="preserve"> </w:t>
            </w:r>
            <w:r w:rsidRPr="0053423A">
              <w:rPr>
                <w:rFonts w:eastAsia="Calibri" w:cs="Calibri"/>
                <w:sz w:val="20"/>
                <w:szCs w:val="20"/>
                <w:lang w:val="hy-AM"/>
              </w:rPr>
              <w:t>ձեռք</w:t>
            </w:r>
            <w:r w:rsidRPr="0053423A">
              <w:rPr>
                <w:rFonts w:eastAsia="Calibri" w:cs="Calibri"/>
                <w:sz w:val="20"/>
                <w:szCs w:val="20"/>
                <w:lang w:val="tr-TR"/>
              </w:rPr>
              <w:t xml:space="preserve"> </w:t>
            </w:r>
            <w:r w:rsidRPr="0053423A">
              <w:rPr>
                <w:rFonts w:eastAsia="Calibri" w:cs="Calibri"/>
                <w:sz w:val="20"/>
                <w:szCs w:val="20"/>
                <w:lang w:val="hy-AM"/>
              </w:rPr>
              <w:t>բերող</w:t>
            </w:r>
            <w:r w:rsidRPr="0053423A">
              <w:rPr>
                <w:rFonts w:eastAsia="Calibri" w:cs="Calibri"/>
                <w:sz w:val="20"/>
                <w:szCs w:val="20"/>
                <w:lang w:val="tr-TR"/>
              </w:rPr>
              <w:t xml:space="preserve"> </w:t>
            </w:r>
            <w:r w:rsidRPr="0053423A">
              <w:rPr>
                <w:rFonts w:eastAsia="Calibri" w:cs="Calibri"/>
                <w:sz w:val="20"/>
                <w:szCs w:val="20"/>
                <w:lang w:val="hy-AM"/>
              </w:rPr>
              <w:t>ստեղծարար</w:t>
            </w:r>
            <w:r w:rsidRPr="0053423A">
              <w:rPr>
                <w:rFonts w:eastAsia="Calibri" w:cs="Calibri"/>
                <w:sz w:val="20"/>
                <w:szCs w:val="20"/>
                <w:lang w:val="tr-TR"/>
              </w:rPr>
              <w:t xml:space="preserve"> </w:t>
            </w:r>
            <w:r w:rsidRPr="0053423A">
              <w:rPr>
                <w:rFonts w:eastAsia="Calibri" w:cs="Calibri"/>
                <w:sz w:val="20"/>
                <w:szCs w:val="20"/>
                <w:lang w:val="hy-AM"/>
              </w:rPr>
              <w:t>ոլորտները</w:t>
            </w:r>
            <w:r w:rsidRPr="0053423A">
              <w:rPr>
                <w:rFonts w:eastAsia="Calibri" w:cs="Calibri"/>
                <w:sz w:val="20"/>
                <w:szCs w:val="20"/>
                <w:lang w:val="tr-TR"/>
              </w:rPr>
              <w:t xml:space="preserve"> և մշակութային ժառանգությունը </w:t>
            </w:r>
            <w:r w:rsidRPr="0053423A">
              <w:rPr>
                <w:rFonts w:eastAsia="Calibri" w:cs="Calibri"/>
                <w:sz w:val="20"/>
                <w:szCs w:val="20"/>
                <w:lang w:val="hy-AM"/>
              </w:rPr>
              <w:t>լավագույնս</w:t>
            </w:r>
            <w:r w:rsidRPr="0053423A">
              <w:rPr>
                <w:rFonts w:eastAsia="Calibri" w:cs="Calibri"/>
                <w:sz w:val="20"/>
                <w:szCs w:val="20"/>
                <w:lang w:val="tr-TR"/>
              </w:rPr>
              <w:t xml:space="preserve"> </w:t>
            </w:r>
            <w:r w:rsidRPr="0053423A">
              <w:rPr>
                <w:rFonts w:eastAsia="Calibri" w:cs="Calibri"/>
                <w:sz w:val="20"/>
                <w:szCs w:val="20"/>
                <w:lang w:val="hy-AM"/>
              </w:rPr>
              <w:t>Հայաստանում</w:t>
            </w:r>
            <w:r w:rsidRPr="0053423A">
              <w:rPr>
                <w:rFonts w:eastAsia="Calibri" w:cs="Calibri"/>
                <w:sz w:val="20"/>
                <w:szCs w:val="20"/>
                <w:lang w:val="tr-TR"/>
              </w:rPr>
              <w:t xml:space="preserve"> </w:t>
            </w:r>
            <w:r w:rsidRPr="0053423A">
              <w:rPr>
                <w:rFonts w:eastAsia="Calibri" w:cs="Calibri"/>
                <w:sz w:val="20"/>
                <w:szCs w:val="20"/>
                <w:lang w:val="hy-AM"/>
              </w:rPr>
              <w:t>ներկայացնելու</w:t>
            </w:r>
            <w:r w:rsidRPr="0053423A">
              <w:rPr>
                <w:rFonts w:eastAsia="Calibri" w:cs="Calibri"/>
                <w:sz w:val="20"/>
                <w:szCs w:val="20"/>
                <w:lang w:val="tr-TR"/>
              </w:rPr>
              <w:t xml:space="preserve">, </w:t>
            </w:r>
            <w:r w:rsidRPr="0053423A">
              <w:rPr>
                <w:rFonts w:eastAsia="Calibri" w:cs="Calibri"/>
                <w:sz w:val="20"/>
                <w:szCs w:val="20"/>
                <w:lang w:val="hy-AM"/>
              </w:rPr>
              <w:t>հանրահայտ</w:t>
            </w:r>
            <w:r w:rsidRPr="0053423A">
              <w:rPr>
                <w:rFonts w:eastAsia="Calibri" w:cs="Calibri"/>
                <w:sz w:val="20"/>
                <w:szCs w:val="20"/>
                <w:lang w:val="tr-TR"/>
              </w:rPr>
              <w:t xml:space="preserve"> </w:t>
            </w:r>
            <w:r w:rsidRPr="0053423A">
              <w:rPr>
                <w:rFonts w:eastAsia="Calibri" w:cs="Calibri"/>
                <w:sz w:val="20"/>
                <w:szCs w:val="20"/>
                <w:lang w:val="hy-AM"/>
              </w:rPr>
              <w:t>արվեստի</w:t>
            </w:r>
            <w:r w:rsidRPr="0053423A">
              <w:rPr>
                <w:rFonts w:eastAsia="Calibri" w:cs="Calibri"/>
                <w:sz w:val="20"/>
                <w:szCs w:val="20"/>
                <w:lang w:val="tr-TR"/>
              </w:rPr>
              <w:t xml:space="preserve"> </w:t>
            </w:r>
            <w:r w:rsidRPr="0053423A">
              <w:rPr>
                <w:rFonts w:eastAsia="Calibri" w:cs="Calibri"/>
                <w:sz w:val="20"/>
                <w:szCs w:val="20"/>
                <w:lang w:val="hy-AM"/>
              </w:rPr>
              <w:t>գործերին</w:t>
            </w:r>
            <w:r w:rsidRPr="0053423A">
              <w:rPr>
                <w:rFonts w:eastAsia="Calibri" w:cs="Calibri"/>
                <w:sz w:val="20"/>
                <w:szCs w:val="20"/>
                <w:lang w:val="tr-TR"/>
              </w:rPr>
              <w:t xml:space="preserve">, </w:t>
            </w:r>
            <w:r w:rsidRPr="0053423A">
              <w:rPr>
                <w:rFonts w:eastAsia="Calibri" w:cs="Calibri"/>
                <w:sz w:val="20"/>
                <w:szCs w:val="20"/>
                <w:lang w:val="hy-AM"/>
              </w:rPr>
              <w:t>կատարողական</w:t>
            </w:r>
            <w:r w:rsidRPr="0053423A">
              <w:rPr>
                <w:rFonts w:eastAsia="Calibri" w:cs="Calibri"/>
                <w:sz w:val="20"/>
                <w:szCs w:val="20"/>
                <w:lang w:val="tr-TR"/>
              </w:rPr>
              <w:t xml:space="preserve"> </w:t>
            </w:r>
            <w:r w:rsidRPr="0053423A">
              <w:rPr>
                <w:rFonts w:eastAsia="Calibri" w:cs="Calibri"/>
                <w:sz w:val="20"/>
                <w:szCs w:val="20"/>
                <w:lang w:val="hy-AM"/>
              </w:rPr>
              <w:t>բարձր</w:t>
            </w:r>
            <w:r w:rsidRPr="0053423A">
              <w:rPr>
                <w:rFonts w:eastAsia="Calibri" w:cs="Calibri"/>
                <w:sz w:val="20"/>
                <w:szCs w:val="20"/>
                <w:lang w:val="tr-TR"/>
              </w:rPr>
              <w:t xml:space="preserve"> </w:t>
            </w:r>
            <w:r w:rsidRPr="0053423A">
              <w:rPr>
                <w:rFonts w:eastAsia="Calibri" w:cs="Calibri"/>
                <w:sz w:val="20"/>
                <w:szCs w:val="20"/>
                <w:lang w:val="hy-AM"/>
              </w:rPr>
              <w:t>արվեստին</w:t>
            </w:r>
            <w:r w:rsidRPr="0053423A">
              <w:rPr>
                <w:rFonts w:eastAsia="Calibri" w:cs="Calibri"/>
                <w:sz w:val="20"/>
                <w:szCs w:val="20"/>
                <w:lang w:val="tr-TR"/>
              </w:rPr>
              <w:t xml:space="preserve"> </w:t>
            </w:r>
            <w:r w:rsidRPr="0053423A">
              <w:rPr>
                <w:rFonts w:eastAsia="Calibri" w:cs="Calibri"/>
                <w:sz w:val="20"/>
                <w:szCs w:val="20"/>
                <w:lang w:val="hy-AM"/>
              </w:rPr>
              <w:t>հայ</w:t>
            </w:r>
            <w:r w:rsidRPr="0053423A">
              <w:rPr>
                <w:rFonts w:eastAsia="Calibri" w:cs="Calibri"/>
                <w:sz w:val="20"/>
                <w:szCs w:val="20"/>
                <w:lang w:val="tr-TR"/>
              </w:rPr>
              <w:t xml:space="preserve"> </w:t>
            </w:r>
            <w:r w:rsidRPr="0053423A">
              <w:rPr>
                <w:rFonts w:eastAsia="Calibri" w:cs="Calibri"/>
                <w:sz w:val="20"/>
                <w:szCs w:val="20"/>
                <w:lang w:val="hy-AM"/>
              </w:rPr>
              <w:t>հանդիսատեսին</w:t>
            </w:r>
            <w:r w:rsidRPr="0053423A">
              <w:rPr>
                <w:rFonts w:eastAsia="Calibri" w:cs="Calibri"/>
                <w:sz w:val="20"/>
                <w:szCs w:val="20"/>
                <w:lang w:val="tr-TR"/>
              </w:rPr>
              <w:t xml:space="preserve"> </w:t>
            </w:r>
            <w:r w:rsidRPr="0053423A">
              <w:rPr>
                <w:rFonts w:eastAsia="Calibri" w:cs="Calibri"/>
                <w:sz w:val="20"/>
                <w:szCs w:val="20"/>
                <w:lang w:val="hy-AM"/>
              </w:rPr>
              <w:t>հաղորդակից</w:t>
            </w:r>
            <w:r w:rsidRPr="0053423A">
              <w:rPr>
                <w:rFonts w:eastAsia="Calibri" w:cs="Calibri"/>
                <w:sz w:val="20"/>
                <w:szCs w:val="20"/>
                <w:lang w:val="tr-TR"/>
              </w:rPr>
              <w:t xml:space="preserve"> </w:t>
            </w:r>
            <w:r w:rsidRPr="0053423A">
              <w:rPr>
                <w:rFonts w:eastAsia="Calibri" w:cs="Calibri"/>
                <w:sz w:val="20"/>
                <w:szCs w:val="20"/>
                <w:lang w:val="hy-AM"/>
              </w:rPr>
              <w:t>դարձնելու</w:t>
            </w:r>
            <w:r w:rsidRPr="0053423A">
              <w:rPr>
                <w:rFonts w:eastAsia="Calibri" w:cs="Calibri"/>
                <w:sz w:val="20"/>
                <w:szCs w:val="20"/>
                <w:lang w:val="tr-TR"/>
              </w:rPr>
              <w:t xml:space="preserve"> </w:t>
            </w:r>
            <w:r w:rsidRPr="0053423A">
              <w:rPr>
                <w:rFonts w:eastAsia="Calibri" w:cs="Calibri"/>
                <w:sz w:val="20"/>
                <w:szCs w:val="20"/>
                <w:lang w:val="hy-AM"/>
              </w:rPr>
              <w:t>համար</w:t>
            </w:r>
            <w:r w:rsidRPr="0053423A">
              <w:rPr>
                <w:rFonts w:eastAsia="Calibri" w:cs="Calibri"/>
                <w:sz w:val="20"/>
                <w:szCs w:val="20"/>
                <w:lang w:val="tr-TR"/>
              </w:rPr>
              <w:t xml:space="preserve"> </w:t>
            </w:r>
            <w:r w:rsidRPr="0053423A">
              <w:rPr>
                <w:rFonts w:eastAsia="Calibri" w:cs="Calibri"/>
                <w:sz w:val="20"/>
                <w:szCs w:val="20"/>
                <w:lang w:val="hy-AM"/>
              </w:rPr>
              <w:t>մեծ</w:t>
            </w:r>
            <w:r w:rsidRPr="0053423A">
              <w:rPr>
                <w:rFonts w:eastAsia="Calibri" w:cs="Calibri"/>
                <w:sz w:val="20"/>
                <w:szCs w:val="20"/>
                <w:lang w:val="tr-TR"/>
              </w:rPr>
              <w:t xml:space="preserve"> </w:t>
            </w:r>
            <w:r w:rsidRPr="0053423A">
              <w:rPr>
                <w:rFonts w:eastAsia="Calibri" w:cs="Calibri"/>
                <w:sz w:val="20"/>
                <w:szCs w:val="20"/>
                <w:lang w:val="hy-AM"/>
              </w:rPr>
              <w:t>ֆինանսական</w:t>
            </w:r>
            <w:r w:rsidRPr="0053423A">
              <w:rPr>
                <w:rFonts w:eastAsia="Calibri" w:cs="Calibri"/>
                <w:sz w:val="20"/>
                <w:szCs w:val="20"/>
                <w:lang w:val="tr-TR"/>
              </w:rPr>
              <w:t xml:space="preserve"> </w:t>
            </w:r>
            <w:r w:rsidRPr="0053423A">
              <w:rPr>
                <w:rFonts w:eastAsia="Calibri" w:cs="Calibri"/>
                <w:sz w:val="20"/>
                <w:szCs w:val="20"/>
                <w:lang w:val="hy-AM"/>
              </w:rPr>
              <w:t>միջոցներ</w:t>
            </w:r>
            <w:r w:rsidRPr="0053423A">
              <w:rPr>
                <w:rFonts w:eastAsia="Calibri" w:cs="Calibri"/>
                <w:sz w:val="20"/>
                <w:szCs w:val="20"/>
                <w:lang w:val="tr-TR"/>
              </w:rPr>
              <w:t xml:space="preserve"> </w:t>
            </w:r>
            <w:r w:rsidRPr="0053423A">
              <w:rPr>
                <w:rFonts w:eastAsia="Calibri" w:cs="Calibri"/>
                <w:sz w:val="20"/>
                <w:szCs w:val="20"/>
                <w:lang w:val="hy-AM"/>
              </w:rPr>
              <w:t>են</w:t>
            </w:r>
            <w:r w:rsidRPr="0053423A">
              <w:rPr>
                <w:rFonts w:eastAsia="Calibri" w:cs="Calibri"/>
                <w:sz w:val="20"/>
                <w:szCs w:val="20"/>
                <w:lang w:val="tr-TR"/>
              </w:rPr>
              <w:t xml:space="preserve"> </w:t>
            </w:r>
            <w:r w:rsidRPr="0053423A">
              <w:rPr>
                <w:rFonts w:eastAsia="Calibri" w:cs="Calibri"/>
                <w:sz w:val="20"/>
                <w:szCs w:val="20"/>
                <w:lang w:val="hy-AM"/>
              </w:rPr>
              <w:t>անհրաժեշտ</w:t>
            </w:r>
            <w:r w:rsidRPr="0053423A">
              <w:rPr>
                <w:rFonts w:eastAsia="Calibri" w:cs="Calibri"/>
                <w:sz w:val="20"/>
                <w:szCs w:val="20"/>
                <w:lang w:val="tr-TR"/>
              </w:rPr>
              <w:t xml:space="preserve">, </w:t>
            </w:r>
            <w:r w:rsidRPr="0053423A">
              <w:rPr>
                <w:rFonts w:eastAsia="Calibri" w:cs="Calibri"/>
                <w:sz w:val="20"/>
                <w:szCs w:val="20"/>
                <w:lang w:val="hy-AM"/>
              </w:rPr>
              <w:t>որը</w:t>
            </w:r>
            <w:r w:rsidRPr="0053423A">
              <w:rPr>
                <w:rFonts w:eastAsia="Calibri" w:cs="Calibri"/>
                <w:sz w:val="20"/>
                <w:szCs w:val="20"/>
                <w:lang w:val="tr-TR"/>
              </w:rPr>
              <w:t xml:space="preserve"> </w:t>
            </w:r>
            <w:r w:rsidRPr="0053423A">
              <w:rPr>
                <w:rFonts w:eastAsia="Calibri" w:cs="Calibri"/>
                <w:sz w:val="20"/>
                <w:szCs w:val="20"/>
                <w:lang w:val="hy-AM"/>
              </w:rPr>
              <w:t>հնարավոր</w:t>
            </w:r>
            <w:r w:rsidRPr="0053423A">
              <w:rPr>
                <w:rFonts w:eastAsia="Calibri" w:cs="Calibri"/>
                <w:sz w:val="20"/>
                <w:szCs w:val="20"/>
                <w:lang w:val="tr-TR"/>
              </w:rPr>
              <w:t xml:space="preserve"> </w:t>
            </w:r>
            <w:r w:rsidRPr="0053423A">
              <w:rPr>
                <w:rFonts w:eastAsia="Calibri" w:cs="Calibri"/>
                <w:sz w:val="20"/>
                <w:szCs w:val="20"/>
                <w:lang w:val="hy-AM"/>
              </w:rPr>
              <w:t>չէ</w:t>
            </w:r>
            <w:r w:rsidRPr="0053423A">
              <w:rPr>
                <w:rFonts w:eastAsia="Calibri" w:cs="Calibri"/>
                <w:sz w:val="20"/>
                <w:szCs w:val="20"/>
                <w:lang w:val="tr-TR"/>
              </w:rPr>
              <w:t xml:space="preserve"> </w:t>
            </w:r>
            <w:r w:rsidRPr="0053423A">
              <w:rPr>
                <w:rFonts w:eastAsia="Calibri" w:cs="Calibri"/>
                <w:sz w:val="20"/>
                <w:szCs w:val="20"/>
                <w:lang w:val="hy-AM"/>
              </w:rPr>
              <w:t>ապահովել</w:t>
            </w:r>
            <w:r w:rsidRPr="0053423A">
              <w:rPr>
                <w:rFonts w:eastAsia="Calibri" w:cs="Calibri"/>
                <w:sz w:val="20"/>
                <w:szCs w:val="20"/>
                <w:lang w:val="tr-TR"/>
              </w:rPr>
              <w:t xml:space="preserve"> </w:t>
            </w:r>
            <w:r w:rsidRPr="0053423A">
              <w:rPr>
                <w:rFonts w:eastAsia="Calibri" w:cs="Calibri"/>
                <w:sz w:val="20"/>
                <w:szCs w:val="20"/>
                <w:lang w:val="hy-AM"/>
              </w:rPr>
              <w:t>միայն</w:t>
            </w:r>
            <w:r w:rsidRPr="0053423A">
              <w:rPr>
                <w:rFonts w:eastAsia="Calibri" w:cs="Calibri"/>
                <w:sz w:val="20"/>
                <w:szCs w:val="20"/>
                <w:lang w:val="tr-TR"/>
              </w:rPr>
              <w:t xml:space="preserve"> </w:t>
            </w:r>
            <w:r w:rsidRPr="0053423A">
              <w:rPr>
                <w:rFonts w:eastAsia="Calibri" w:cs="Calibri"/>
                <w:sz w:val="20"/>
                <w:szCs w:val="20"/>
                <w:lang w:val="hy-AM"/>
              </w:rPr>
              <w:t>պետական</w:t>
            </w:r>
            <w:r w:rsidRPr="0053423A">
              <w:rPr>
                <w:rFonts w:eastAsia="Calibri" w:cs="Calibri"/>
                <w:sz w:val="20"/>
                <w:szCs w:val="20"/>
                <w:lang w:val="tr-TR"/>
              </w:rPr>
              <w:t xml:space="preserve"> </w:t>
            </w:r>
            <w:r w:rsidRPr="0053423A">
              <w:rPr>
                <w:rFonts w:eastAsia="Calibri" w:cs="Calibri"/>
                <w:sz w:val="20"/>
                <w:szCs w:val="20"/>
                <w:lang w:val="hy-AM"/>
              </w:rPr>
              <w:t>միջոցներով</w:t>
            </w:r>
            <w:r w:rsidRPr="0053423A">
              <w:rPr>
                <w:rFonts w:eastAsia="Calibri" w:cs="Calibri"/>
                <w:sz w:val="20"/>
                <w:szCs w:val="20"/>
                <w:lang w:val="tr-TR"/>
              </w:rPr>
              <w:t xml:space="preserve">: </w:t>
            </w:r>
          </w:p>
          <w:p w:rsidR="00A67B6B" w:rsidRPr="0053423A" w:rsidRDefault="00A67B6B" w:rsidP="00A67858">
            <w:pPr>
              <w:tabs>
                <w:tab w:val="left" w:pos="508"/>
              </w:tabs>
              <w:spacing w:after="0" w:line="276" w:lineRule="auto"/>
              <w:jc w:val="both"/>
              <w:rPr>
                <w:rFonts w:eastAsia="Calibri" w:cs="Calibri"/>
                <w:b/>
                <w:sz w:val="20"/>
                <w:szCs w:val="20"/>
                <w:lang w:val="tr-TR"/>
              </w:rPr>
            </w:pPr>
          </w:p>
          <w:p w:rsidR="00A67B6B" w:rsidRPr="0053423A" w:rsidRDefault="00A67B6B" w:rsidP="00A67858">
            <w:pPr>
              <w:tabs>
                <w:tab w:val="left" w:pos="508"/>
              </w:tabs>
              <w:spacing w:after="0" w:line="276" w:lineRule="auto"/>
              <w:jc w:val="both"/>
              <w:rPr>
                <w:rFonts w:eastAsia="Calibri" w:cs="Calibri"/>
                <w:b/>
                <w:sz w:val="20"/>
                <w:szCs w:val="20"/>
                <w:lang w:val="tr-TR"/>
              </w:rPr>
            </w:pPr>
            <w:r w:rsidRPr="0053423A">
              <w:rPr>
                <w:rFonts w:eastAsia="Calibri" w:cs="Calibri"/>
                <w:b/>
                <w:sz w:val="20"/>
                <w:szCs w:val="20"/>
                <w:lang w:val="tr-TR"/>
              </w:rPr>
              <w:t xml:space="preserve">1.2. </w:t>
            </w:r>
            <w:r w:rsidRPr="0053423A">
              <w:rPr>
                <w:rFonts w:eastAsia="Calibri" w:cs="Calibri"/>
                <w:b/>
                <w:sz w:val="20"/>
                <w:szCs w:val="20"/>
              </w:rPr>
              <w:t>Առկա</w:t>
            </w:r>
            <w:r w:rsidRPr="0053423A">
              <w:rPr>
                <w:rFonts w:eastAsia="Calibri" w:cs="Calibri"/>
                <w:b/>
                <w:sz w:val="20"/>
                <w:szCs w:val="20"/>
                <w:lang w:val="tr-TR"/>
              </w:rPr>
              <w:t xml:space="preserve"> </w:t>
            </w:r>
            <w:r w:rsidRPr="0053423A">
              <w:rPr>
                <w:rFonts w:eastAsia="Calibri" w:cs="Calibri"/>
                <w:b/>
                <w:sz w:val="20"/>
                <w:szCs w:val="20"/>
              </w:rPr>
              <w:t>խնդիրների</w:t>
            </w:r>
            <w:r w:rsidRPr="0053423A">
              <w:rPr>
                <w:rFonts w:eastAsia="Calibri" w:cs="Calibri"/>
                <w:b/>
                <w:sz w:val="20"/>
                <w:szCs w:val="20"/>
                <w:lang w:val="tr-TR"/>
              </w:rPr>
              <w:t xml:space="preserve"> </w:t>
            </w:r>
            <w:r w:rsidRPr="0053423A">
              <w:rPr>
                <w:rFonts w:eastAsia="Calibri" w:cs="Calibri"/>
                <w:b/>
                <w:sz w:val="20"/>
                <w:szCs w:val="20"/>
              </w:rPr>
              <w:t>առաջարկվող</w:t>
            </w:r>
            <w:r w:rsidRPr="0053423A">
              <w:rPr>
                <w:rFonts w:eastAsia="Calibri" w:cs="Calibri"/>
                <w:b/>
                <w:sz w:val="20"/>
                <w:szCs w:val="20"/>
                <w:lang w:val="tr-TR"/>
              </w:rPr>
              <w:t xml:space="preserve"> </w:t>
            </w:r>
            <w:r w:rsidRPr="0053423A">
              <w:rPr>
                <w:rFonts w:eastAsia="Calibri" w:cs="Calibri"/>
                <w:b/>
                <w:sz w:val="20"/>
                <w:szCs w:val="20"/>
              </w:rPr>
              <w:t>լուծումները</w:t>
            </w:r>
          </w:p>
          <w:p w:rsidR="00A67B6B" w:rsidRPr="0053423A" w:rsidRDefault="00A67B6B" w:rsidP="00A67858">
            <w:pPr>
              <w:tabs>
                <w:tab w:val="left" w:pos="508"/>
              </w:tabs>
              <w:autoSpaceDE w:val="0"/>
              <w:autoSpaceDN w:val="0"/>
              <w:spacing w:after="0" w:line="276" w:lineRule="auto"/>
              <w:jc w:val="both"/>
              <w:rPr>
                <w:rFonts w:eastAsia="Times New Roman" w:cs="Calibri"/>
                <w:sz w:val="20"/>
                <w:szCs w:val="20"/>
                <w:lang w:val="tr-TR"/>
              </w:rPr>
            </w:pPr>
            <w:r w:rsidRPr="0053423A">
              <w:rPr>
                <w:rFonts w:eastAsia="Times New Roman" w:cs="Calibri"/>
                <w:sz w:val="20"/>
                <w:szCs w:val="20"/>
              </w:rPr>
              <w:t>Միջազգային</w:t>
            </w:r>
            <w:r w:rsidRPr="0053423A">
              <w:rPr>
                <w:rFonts w:eastAsia="Times New Roman" w:cs="Calibri"/>
                <w:sz w:val="20"/>
                <w:szCs w:val="20"/>
                <w:lang w:val="tr-TR"/>
              </w:rPr>
              <w:t xml:space="preserve"> </w:t>
            </w:r>
            <w:r w:rsidRPr="0053423A">
              <w:rPr>
                <w:rFonts w:eastAsia="Times New Roman" w:cs="Calibri"/>
                <w:sz w:val="20"/>
                <w:szCs w:val="20"/>
              </w:rPr>
              <w:t>տենդենցներից</w:t>
            </w:r>
            <w:r w:rsidRPr="0053423A">
              <w:rPr>
                <w:rFonts w:eastAsia="Times New Roman" w:cs="Calibri"/>
                <w:sz w:val="20"/>
                <w:szCs w:val="20"/>
                <w:lang w:val="tr-TR"/>
              </w:rPr>
              <w:t xml:space="preserve"> </w:t>
            </w:r>
            <w:r w:rsidRPr="0053423A">
              <w:rPr>
                <w:rFonts w:eastAsia="Times New Roman" w:cs="Calibri"/>
                <w:sz w:val="20"/>
                <w:szCs w:val="20"/>
              </w:rPr>
              <w:t>անմասն</w:t>
            </w:r>
            <w:r w:rsidRPr="0053423A">
              <w:rPr>
                <w:rFonts w:eastAsia="Times New Roman" w:cs="Calibri"/>
                <w:sz w:val="20"/>
                <w:szCs w:val="20"/>
                <w:lang w:val="tr-TR"/>
              </w:rPr>
              <w:t xml:space="preserve"> </w:t>
            </w:r>
            <w:r w:rsidRPr="0053423A">
              <w:rPr>
                <w:rFonts w:eastAsia="Times New Roman" w:cs="Calibri"/>
                <w:sz w:val="20"/>
                <w:szCs w:val="20"/>
              </w:rPr>
              <w:t>չմնալու</w:t>
            </w:r>
            <w:r w:rsidRPr="0053423A">
              <w:rPr>
                <w:rFonts w:eastAsia="Times New Roman" w:cs="Calibri"/>
                <w:sz w:val="20"/>
                <w:szCs w:val="20"/>
                <w:lang w:val="tr-TR"/>
              </w:rPr>
              <w:t xml:space="preserve"> </w:t>
            </w:r>
            <w:r w:rsidRPr="0053423A">
              <w:rPr>
                <w:rFonts w:eastAsia="Times New Roman" w:cs="Calibri"/>
                <w:sz w:val="20"/>
                <w:szCs w:val="20"/>
              </w:rPr>
              <w:t>և</w:t>
            </w:r>
            <w:r w:rsidRPr="0053423A">
              <w:rPr>
                <w:rFonts w:eastAsia="Times New Roman" w:cs="Calibri"/>
                <w:sz w:val="20"/>
                <w:szCs w:val="20"/>
                <w:lang w:val="tr-TR"/>
              </w:rPr>
              <w:t xml:space="preserve"> </w:t>
            </w:r>
            <w:r w:rsidRPr="0053423A">
              <w:rPr>
                <w:rFonts w:eastAsia="Times New Roman" w:cs="Calibri"/>
                <w:sz w:val="20"/>
                <w:szCs w:val="20"/>
              </w:rPr>
              <w:t>հայ</w:t>
            </w:r>
            <w:r w:rsidRPr="0053423A">
              <w:rPr>
                <w:rFonts w:eastAsia="Times New Roman" w:cs="Calibri"/>
                <w:sz w:val="20"/>
                <w:szCs w:val="20"/>
                <w:lang w:val="tr-TR"/>
              </w:rPr>
              <w:t xml:space="preserve"> </w:t>
            </w:r>
            <w:r w:rsidRPr="0053423A">
              <w:rPr>
                <w:rFonts w:eastAsia="Times New Roman" w:cs="Calibri"/>
                <w:sz w:val="20"/>
                <w:szCs w:val="20"/>
              </w:rPr>
              <w:t>մշակութային</w:t>
            </w:r>
            <w:r w:rsidRPr="0053423A">
              <w:rPr>
                <w:rFonts w:eastAsia="Times New Roman" w:cs="Calibri"/>
                <w:sz w:val="20"/>
                <w:szCs w:val="20"/>
                <w:lang w:val="tr-TR"/>
              </w:rPr>
              <w:t xml:space="preserve"> </w:t>
            </w:r>
            <w:r w:rsidRPr="0053423A">
              <w:rPr>
                <w:rFonts w:eastAsia="Times New Roman" w:cs="Calibri"/>
                <w:sz w:val="20"/>
                <w:szCs w:val="20"/>
              </w:rPr>
              <w:t>կյանքում</w:t>
            </w:r>
            <w:r w:rsidRPr="0053423A">
              <w:rPr>
                <w:rFonts w:eastAsia="Times New Roman" w:cs="Calibri"/>
                <w:sz w:val="20"/>
                <w:szCs w:val="20"/>
                <w:lang w:val="tr-TR"/>
              </w:rPr>
              <w:t xml:space="preserve"> </w:t>
            </w:r>
            <w:r w:rsidRPr="0053423A">
              <w:rPr>
                <w:rFonts w:eastAsia="Times New Roman" w:cs="Calibri"/>
                <w:sz w:val="20"/>
                <w:szCs w:val="20"/>
              </w:rPr>
              <w:t>աշխարհահռչակ</w:t>
            </w:r>
            <w:r w:rsidRPr="0053423A">
              <w:rPr>
                <w:rFonts w:eastAsia="Times New Roman" w:cs="Calibri"/>
                <w:sz w:val="20"/>
                <w:szCs w:val="20"/>
                <w:lang w:val="tr-TR"/>
              </w:rPr>
              <w:t xml:space="preserve"> </w:t>
            </w:r>
            <w:r w:rsidRPr="0053423A">
              <w:rPr>
                <w:rFonts w:eastAsia="Times New Roman" w:cs="Calibri"/>
                <w:sz w:val="20"/>
                <w:szCs w:val="20"/>
              </w:rPr>
              <w:t>համաշխարհային</w:t>
            </w:r>
            <w:r w:rsidRPr="0053423A">
              <w:rPr>
                <w:rFonts w:eastAsia="Times New Roman" w:cs="Calibri"/>
                <w:sz w:val="20"/>
                <w:szCs w:val="20"/>
                <w:lang w:val="tr-TR"/>
              </w:rPr>
              <w:t xml:space="preserve"> </w:t>
            </w:r>
            <w:r w:rsidRPr="0053423A">
              <w:rPr>
                <w:rFonts w:eastAsia="Times New Roman" w:cs="Calibri"/>
                <w:sz w:val="20"/>
                <w:szCs w:val="20"/>
              </w:rPr>
              <w:t>երևույթները</w:t>
            </w:r>
            <w:r w:rsidRPr="0053423A">
              <w:rPr>
                <w:rFonts w:eastAsia="Times New Roman" w:cs="Calibri"/>
                <w:sz w:val="20"/>
                <w:szCs w:val="20"/>
                <w:lang w:val="tr-TR"/>
              </w:rPr>
              <w:t xml:space="preserve"> </w:t>
            </w:r>
            <w:r w:rsidRPr="0053423A">
              <w:rPr>
                <w:rFonts w:eastAsia="Times New Roman" w:cs="Calibri"/>
                <w:sz w:val="20"/>
                <w:szCs w:val="20"/>
              </w:rPr>
              <w:t>ներկայացնելու</w:t>
            </w:r>
            <w:r w:rsidRPr="0053423A">
              <w:rPr>
                <w:rFonts w:eastAsia="Times New Roman" w:cs="Calibri"/>
                <w:sz w:val="20"/>
                <w:szCs w:val="20"/>
                <w:lang w:val="tr-TR"/>
              </w:rPr>
              <w:t xml:space="preserve">, հասարակության կրթական ցենզը բարձրացնելու, մտավոր, համաշխարհային մշակութային բազմազանությանը հաղորդակից դարձնելու, հանդուժողականության սերմանման    </w:t>
            </w:r>
            <w:r w:rsidRPr="0053423A">
              <w:rPr>
                <w:rFonts w:eastAsia="Times New Roman" w:cs="Calibri"/>
                <w:sz w:val="20"/>
                <w:szCs w:val="20"/>
              </w:rPr>
              <w:t>նպատակով</w:t>
            </w:r>
            <w:r w:rsidRPr="0053423A">
              <w:rPr>
                <w:rFonts w:eastAsia="Times New Roman" w:cs="Calibri"/>
                <w:sz w:val="20"/>
                <w:szCs w:val="20"/>
                <w:lang w:val="tr-TR"/>
              </w:rPr>
              <w:t xml:space="preserve"> </w:t>
            </w:r>
            <w:r w:rsidRPr="0053423A">
              <w:rPr>
                <w:rFonts w:eastAsia="Times New Roman" w:cs="Calibri"/>
                <w:sz w:val="20"/>
                <w:szCs w:val="20"/>
              </w:rPr>
              <w:t>նախարարությունը</w:t>
            </w:r>
            <w:r w:rsidRPr="0053423A">
              <w:rPr>
                <w:rFonts w:eastAsia="Times New Roman" w:cs="Calibri"/>
                <w:sz w:val="20"/>
                <w:szCs w:val="20"/>
                <w:lang w:val="tr-TR"/>
              </w:rPr>
              <w:t xml:space="preserve"> </w:t>
            </w:r>
            <w:r w:rsidRPr="0053423A">
              <w:rPr>
                <w:rFonts w:eastAsia="Times New Roman" w:cs="Calibri"/>
                <w:sz w:val="20"/>
                <w:szCs w:val="20"/>
              </w:rPr>
              <w:t>և</w:t>
            </w:r>
            <w:r w:rsidRPr="0053423A">
              <w:rPr>
                <w:rFonts w:eastAsia="Times New Roman" w:cs="Calibri"/>
                <w:sz w:val="20"/>
                <w:szCs w:val="20"/>
                <w:lang w:val="tr-TR"/>
              </w:rPr>
              <w:t xml:space="preserve"> </w:t>
            </w:r>
            <w:r w:rsidRPr="0053423A">
              <w:rPr>
                <w:rFonts w:eastAsia="Times New Roman" w:cs="Calibri"/>
                <w:sz w:val="20"/>
                <w:szCs w:val="20"/>
              </w:rPr>
              <w:t>պետական</w:t>
            </w:r>
            <w:r w:rsidRPr="0053423A">
              <w:rPr>
                <w:rFonts w:eastAsia="Times New Roman" w:cs="Calibri"/>
                <w:sz w:val="20"/>
                <w:szCs w:val="20"/>
                <w:lang w:val="tr-TR"/>
              </w:rPr>
              <w:t xml:space="preserve"> </w:t>
            </w:r>
            <w:r w:rsidRPr="0053423A">
              <w:rPr>
                <w:rFonts w:eastAsia="Times New Roman" w:cs="Calibri"/>
                <w:sz w:val="20"/>
                <w:szCs w:val="20"/>
              </w:rPr>
              <w:t>ոչ</w:t>
            </w:r>
            <w:r w:rsidRPr="0053423A">
              <w:rPr>
                <w:rFonts w:eastAsia="Times New Roman" w:cs="Calibri"/>
                <w:sz w:val="20"/>
                <w:szCs w:val="20"/>
                <w:lang w:val="tr-TR"/>
              </w:rPr>
              <w:t xml:space="preserve"> </w:t>
            </w:r>
            <w:r w:rsidRPr="0053423A">
              <w:rPr>
                <w:rFonts w:eastAsia="Times New Roman" w:cs="Calibri"/>
                <w:sz w:val="20"/>
                <w:szCs w:val="20"/>
              </w:rPr>
              <w:t>առևտրային</w:t>
            </w:r>
            <w:r w:rsidRPr="0053423A">
              <w:rPr>
                <w:rFonts w:eastAsia="Times New Roman" w:cs="Calibri"/>
                <w:sz w:val="20"/>
                <w:szCs w:val="20"/>
                <w:lang w:val="tr-TR"/>
              </w:rPr>
              <w:t xml:space="preserve"> </w:t>
            </w:r>
            <w:r w:rsidRPr="0053423A">
              <w:rPr>
                <w:rFonts w:eastAsia="Times New Roman" w:cs="Calibri"/>
                <w:sz w:val="20"/>
                <w:szCs w:val="20"/>
              </w:rPr>
              <w:t>կազմակերպությունները</w:t>
            </w:r>
            <w:r w:rsidRPr="0053423A">
              <w:rPr>
                <w:rFonts w:eastAsia="Times New Roman" w:cs="Calibri"/>
                <w:sz w:val="20"/>
                <w:szCs w:val="20"/>
                <w:lang w:val="tr-TR"/>
              </w:rPr>
              <w:t xml:space="preserve"> </w:t>
            </w:r>
            <w:r w:rsidRPr="0053423A">
              <w:rPr>
                <w:rFonts w:eastAsia="Times New Roman" w:cs="Calibri"/>
                <w:sz w:val="20"/>
                <w:szCs w:val="20"/>
              </w:rPr>
              <w:t>դիմում</w:t>
            </w:r>
            <w:r w:rsidRPr="0053423A">
              <w:rPr>
                <w:rFonts w:eastAsia="Times New Roman" w:cs="Calibri"/>
                <w:sz w:val="20"/>
                <w:szCs w:val="20"/>
                <w:lang w:val="tr-TR"/>
              </w:rPr>
              <w:t xml:space="preserve"> </w:t>
            </w:r>
            <w:r w:rsidRPr="0053423A">
              <w:rPr>
                <w:rFonts w:eastAsia="Times New Roman" w:cs="Calibri"/>
                <w:sz w:val="20"/>
                <w:szCs w:val="20"/>
              </w:rPr>
              <w:t>են</w:t>
            </w:r>
            <w:r w:rsidRPr="0053423A">
              <w:rPr>
                <w:rFonts w:eastAsia="Times New Roman" w:cs="Calibri"/>
                <w:sz w:val="20"/>
                <w:szCs w:val="20"/>
                <w:lang w:val="tr-TR"/>
              </w:rPr>
              <w:t xml:space="preserve"> </w:t>
            </w:r>
            <w:r w:rsidRPr="0053423A">
              <w:rPr>
                <w:rFonts w:eastAsia="Times New Roman" w:cs="Calibri"/>
                <w:sz w:val="20"/>
                <w:szCs w:val="20"/>
              </w:rPr>
              <w:t>պետություն</w:t>
            </w:r>
            <w:r w:rsidRPr="0053423A">
              <w:rPr>
                <w:rFonts w:eastAsia="Times New Roman" w:cs="Calibri"/>
                <w:sz w:val="20"/>
                <w:szCs w:val="20"/>
                <w:lang w:val="tr-TR"/>
              </w:rPr>
              <w:t>-</w:t>
            </w:r>
            <w:r w:rsidRPr="0053423A">
              <w:rPr>
                <w:rFonts w:eastAsia="Times New Roman" w:cs="Calibri"/>
                <w:sz w:val="20"/>
                <w:szCs w:val="20"/>
              </w:rPr>
              <w:t>մասնավոր</w:t>
            </w:r>
            <w:r w:rsidRPr="0053423A">
              <w:rPr>
                <w:rFonts w:eastAsia="Times New Roman" w:cs="Calibri"/>
                <w:sz w:val="20"/>
                <w:szCs w:val="20"/>
                <w:lang w:val="tr-TR"/>
              </w:rPr>
              <w:t xml:space="preserve"> </w:t>
            </w:r>
            <w:r w:rsidRPr="0053423A">
              <w:rPr>
                <w:rFonts w:eastAsia="Times New Roman" w:cs="Calibri"/>
                <w:sz w:val="20"/>
                <w:szCs w:val="20"/>
              </w:rPr>
              <w:t>համագործակցությանը</w:t>
            </w:r>
            <w:r w:rsidRPr="0053423A">
              <w:rPr>
                <w:rFonts w:eastAsia="Times New Roman" w:cs="Calibri"/>
                <w:sz w:val="20"/>
                <w:szCs w:val="20"/>
                <w:lang w:val="tr-TR"/>
              </w:rPr>
              <w:t xml:space="preserve">: </w:t>
            </w:r>
            <w:r w:rsidRPr="0053423A">
              <w:rPr>
                <w:rFonts w:eastAsia="Times New Roman" w:cs="Calibri"/>
                <w:sz w:val="20"/>
                <w:szCs w:val="20"/>
              </w:rPr>
              <w:t>Ֆինանսական</w:t>
            </w:r>
            <w:r w:rsidRPr="0053423A">
              <w:rPr>
                <w:rFonts w:eastAsia="Times New Roman" w:cs="Calibri"/>
                <w:sz w:val="20"/>
                <w:szCs w:val="20"/>
                <w:lang w:val="tr-TR"/>
              </w:rPr>
              <w:t xml:space="preserve"> </w:t>
            </w:r>
            <w:r w:rsidRPr="0053423A">
              <w:rPr>
                <w:rFonts w:eastAsia="Times New Roman" w:cs="Calibri"/>
                <w:sz w:val="20"/>
                <w:szCs w:val="20"/>
              </w:rPr>
              <w:t>հարցերը</w:t>
            </w:r>
            <w:r w:rsidRPr="0053423A">
              <w:rPr>
                <w:rFonts w:eastAsia="Times New Roman" w:cs="Calibri"/>
                <w:sz w:val="20"/>
                <w:szCs w:val="20"/>
                <w:lang w:val="tr-TR"/>
              </w:rPr>
              <w:t xml:space="preserve"> </w:t>
            </w:r>
            <w:r w:rsidRPr="0053423A">
              <w:rPr>
                <w:rFonts w:eastAsia="Times New Roman" w:cs="Calibri"/>
                <w:sz w:val="20"/>
                <w:szCs w:val="20"/>
              </w:rPr>
              <w:t>լուծելու</w:t>
            </w:r>
            <w:r w:rsidRPr="0053423A">
              <w:rPr>
                <w:rFonts w:eastAsia="Times New Roman" w:cs="Calibri"/>
                <w:sz w:val="20"/>
                <w:szCs w:val="20"/>
                <w:lang w:val="tr-TR"/>
              </w:rPr>
              <w:t xml:space="preserve"> </w:t>
            </w:r>
            <w:r w:rsidRPr="0053423A">
              <w:rPr>
                <w:rFonts w:eastAsia="Times New Roman" w:cs="Calibri"/>
                <w:sz w:val="20"/>
                <w:szCs w:val="20"/>
              </w:rPr>
              <w:t>և</w:t>
            </w:r>
            <w:r w:rsidRPr="0053423A">
              <w:rPr>
                <w:rFonts w:eastAsia="Times New Roman" w:cs="Calibri"/>
                <w:sz w:val="20"/>
                <w:szCs w:val="20"/>
                <w:lang w:val="tr-TR"/>
              </w:rPr>
              <w:t xml:space="preserve"> </w:t>
            </w:r>
            <w:r w:rsidRPr="0053423A">
              <w:rPr>
                <w:rFonts w:eastAsia="Times New Roman" w:cs="Calibri"/>
                <w:sz w:val="20"/>
                <w:szCs w:val="20"/>
              </w:rPr>
              <w:t>ծրագրերը</w:t>
            </w:r>
            <w:r w:rsidRPr="0053423A">
              <w:rPr>
                <w:rFonts w:eastAsia="Times New Roman" w:cs="Calibri"/>
                <w:sz w:val="20"/>
                <w:szCs w:val="20"/>
                <w:lang w:val="tr-TR"/>
              </w:rPr>
              <w:t xml:space="preserve"> </w:t>
            </w:r>
            <w:r w:rsidRPr="0053423A">
              <w:rPr>
                <w:rFonts w:eastAsia="Times New Roman" w:cs="Calibri"/>
                <w:sz w:val="20"/>
                <w:szCs w:val="20"/>
              </w:rPr>
              <w:t>հնարավոր</w:t>
            </w:r>
            <w:r w:rsidRPr="0053423A">
              <w:rPr>
                <w:rFonts w:eastAsia="Times New Roman" w:cs="Calibri"/>
                <w:sz w:val="20"/>
                <w:szCs w:val="20"/>
                <w:lang w:val="tr-TR"/>
              </w:rPr>
              <w:t xml:space="preserve"> </w:t>
            </w:r>
            <w:r w:rsidRPr="0053423A">
              <w:rPr>
                <w:rFonts w:eastAsia="Times New Roman" w:cs="Calibri"/>
                <w:sz w:val="20"/>
                <w:szCs w:val="20"/>
              </w:rPr>
              <w:t>դարձնելու</w:t>
            </w:r>
            <w:r w:rsidRPr="0053423A">
              <w:rPr>
                <w:rFonts w:eastAsia="Times New Roman" w:cs="Calibri"/>
                <w:sz w:val="20"/>
                <w:szCs w:val="20"/>
                <w:lang w:val="tr-TR"/>
              </w:rPr>
              <w:t xml:space="preserve"> </w:t>
            </w:r>
            <w:r w:rsidRPr="0053423A">
              <w:rPr>
                <w:rFonts w:eastAsia="Times New Roman" w:cs="Calibri"/>
                <w:sz w:val="20"/>
                <w:szCs w:val="20"/>
              </w:rPr>
              <w:t>համար</w:t>
            </w:r>
            <w:r w:rsidRPr="0053423A">
              <w:rPr>
                <w:rFonts w:eastAsia="Times New Roman" w:cs="Calibri"/>
                <w:sz w:val="20"/>
                <w:szCs w:val="20"/>
                <w:lang w:val="tr-TR"/>
              </w:rPr>
              <w:t xml:space="preserve"> </w:t>
            </w:r>
            <w:r w:rsidRPr="0053423A">
              <w:rPr>
                <w:rFonts w:eastAsia="Times New Roman" w:cs="Calibri"/>
                <w:sz w:val="20"/>
                <w:szCs w:val="20"/>
              </w:rPr>
              <w:t>անհրաժեշտ</w:t>
            </w:r>
            <w:r w:rsidRPr="0053423A">
              <w:rPr>
                <w:rFonts w:eastAsia="Times New Roman" w:cs="Calibri"/>
                <w:sz w:val="20"/>
                <w:szCs w:val="20"/>
                <w:lang w:val="tr-TR"/>
              </w:rPr>
              <w:t xml:space="preserve"> </w:t>
            </w:r>
            <w:r w:rsidRPr="0053423A">
              <w:rPr>
                <w:rFonts w:eastAsia="Times New Roman" w:cs="Calibri"/>
                <w:sz w:val="20"/>
                <w:szCs w:val="20"/>
              </w:rPr>
              <w:t>է</w:t>
            </w:r>
            <w:r w:rsidRPr="0053423A">
              <w:rPr>
                <w:rFonts w:eastAsia="Times New Roman" w:cs="Calibri"/>
                <w:sz w:val="20"/>
                <w:szCs w:val="20"/>
                <w:lang w:val="tr-TR"/>
              </w:rPr>
              <w:t xml:space="preserve"> </w:t>
            </w:r>
            <w:r w:rsidRPr="0053423A">
              <w:rPr>
                <w:rFonts w:eastAsia="Times New Roman" w:cs="Calibri"/>
                <w:sz w:val="20"/>
                <w:szCs w:val="20"/>
              </w:rPr>
              <w:t>համապատասխան</w:t>
            </w:r>
            <w:r w:rsidRPr="0053423A">
              <w:rPr>
                <w:rFonts w:eastAsia="Times New Roman" w:cs="Calibri"/>
                <w:sz w:val="20"/>
                <w:szCs w:val="20"/>
                <w:lang w:val="tr-TR"/>
              </w:rPr>
              <w:t xml:space="preserve"> </w:t>
            </w:r>
            <w:r w:rsidRPr="0053423A">
              <w:rPr>
                <w:rFonts w:eastAsia="Times New Roman" w:cs="Calibri"/>
                <w:sz w:val="20"/>
                <w:szCs w:val="20"/>
              </w:rPr>
              <w:t>առաջարկությունների</w:t>
            </w:r>
            <w:r w:rsidRPr="0053423A">
              <w:rPr>
                <w:rFonts w:eastAsia="Times New Roman" w:cs="Calibri"/>
                <w:sz w:val="20"/>
                <w:szCs w:val="20"/>
                <w:lang w:val="tr-TR"/>
              </w:rPr>
              <w:t xml:space="preserve"> </w:t>
            </w:r>
            <w:r w:rsidRPr="0053423A">
              <w:rPr>
                <w:rFonts w:eastAsia="Times New Roman" w:cs="Calibri"/>
                <w:sz w:val="20"/>
                <w:szCs w:val="20"/>
              </w:rPr>
              <w:t>փաթեթեներով</w:t>
            </w:r>
            <w:r w:rsidRPr="0053423A">
              <w:rPr>
                <w:rFonts w:eastAsia="Times New Roman" w:cs="Calibri"/>
                <w:sz w:val="20"/>
                <w:szCs w:val="20"/>
                <w:lang w:val="tr-TR"/>
              </w:rPr>
              <w:t xml:space="preserve"> </w:t>
            </w:r>
            <w:r w:rsidRPr="0053423A">
              <w:rPr>
                <w:rFonts w:eastAsia="Times New Roman" w:cs="Calibri"/>
                <w:sz w:val="20"/>
                <w:szCs w:val="20"/>
              </w:rPr>
              <w:t>հանդես</w:t>
            </w:r>
            <w:r w:rsidRPr="0053423A">
              <w:rPr>
                <w:rFonts w:eastAsia="Times New Roman" w:cs="Calibri"/>
                <w:sz w:val="20"/>
                <w:szCs w:val="20"/>
                <w:lang w:val="tr-TR"/>
              </w:rPr>
              <w:t xml:space="preserve"> </w:t>
            </w:r>
            <w:r w:rsidRPr="0053423A">
              <w:rPr>
                <w:rFonts w:eastAsia="Times New Roman" w:cs="Calibri"/>
                <w:sz w:val="20"/>
                <w:szCs w:val="20"/>
              </w:rPr>
              <w:t>գալ</w:t>
            </w:r>
            <w:r w:rsidRPr="0053423A">
              <w:rPr>
                <w:rFonts w:eastAsia="Times New Roman" w:cs="Calibri"/>
                <w:sz w:val="20"/>
                <w:szCs w:val="20"/>
                <w:lang w:val="tr-TR"/>
              </w:rPr>
              <w:t xml:space="preserve"> </w:t>
            </w:r>
            <w:r w:rsidRPr="0053423A">
              <w:rPr>
                <w:rFonts w:eastAsia="Times New Roman" w:cs="Calibri"/>
                <w:sz w:val="20"/>
                <w:szCs w:val="20"/>
              </w:rPr>
              <w:t>և</w:t>
            </w:r>
            <w:r w:rsidRPr="0053423A">
              <w:rPr>
                <w:rFonts w:eastAsia="Times New Roman" w:cs="Calibri"/>
                <w:sz w:val="20"/>
                <w:szCs w:val="20"/>
                <w:lang w:val="tr-TR"/>
              </w:rPr>
              <w:t xml:space="preserve"> </w:t>
            </w:r>
            <w:r w:rsidRPr="0053423A">
              <w:rPr>
                <w:rFonts w:eastAsia="Times New Roman" w:cs="Calibri"/>
                <w:sz w:val="20"/>
                <w:szCs w:val="20"/>
              </w:rPr>
              <w:t>հնարավորինս</w:t>
            </w:r>
            <w:r w:rsidRPr="0053423A">
              <w:rPr>
                <w:rFonts w:eastAsia="Times New Roman" w:cs="Calibri"/>
                <w:sz w:val="20"/>
                <w:szCs w:val="20"/>
                <w:lang w:val="tr-TR"/>
              </w:rPr>
              <w:t xml:space="preserve"> </w:t>
            </w:r>
            <w:r w:rsidRPr="0053423A">
              <w:rPr>
                <w:rFonts w:eastAsia="Times New Roman" w:cs="Calibri"/>
                <w:sz w:val="20"/>
                <w:szCs w:val="20"/>
              </w:rPr>
              <w:t>ներգրավել</w:t>
            </w:r>
            <w:r w:rsidRPr="0053423A">
              <w:rPr>
                <w:rFonts w:eastAsia="Times New Roman" w:cs="Calibri"/>
                <w:sz w:val="20"/>
                <w:szCs w:val="20"/>
                <w:lang w:val="tr-TR"/>
              </w:rPr>
              <w:t xml:space="preserve"> </w:t>
            </w:r>
            <w:r w:rsidRPr="0053423A">
              <w:rPr>
                <w:rFonts w:eastAsia="Times New Roman" w:cs="Calibri"/>
                <w:sz w:val="20"/>
                <w:szCs w:val="20"/>
              </w:rPr>
              <w:t>տեղական</w:t>
            </w:r>
            <w:r w:rsidRPr="0053423A">
              <w:rPr>
                <w:rFonts w:eastAsia="Times New Roman" w:cs="Calibri"/>
                <w:sz w:val="20"/>
                <w:szCs w:val="20"/>
                <w:lang w:val="tr-TR"/>
              </w:rPr>
              <w:t xml:space="preserve"> </w:t>
            </w:r>
            <w:r w:rsidRPr="0053423A">
              <w:rPr>
                <w:rFonts w:eastAsia="Times New Roman" w:cs="Calibri"/>
                <w:sz w:val="20"/>
                <w:szCs w:val="20"/>
              </w:rPr>
              <w:t>և</w:t>
            </w:r>
            <w:r w:rsidRPr="0053423A">
              <w:rPr>
                <w:rFonts w:eastAsia="Times New Roman" w:cs="Calibri"/>
                <w:sz w:val="20"/>
                <w:szCs w:val="20"/>
                <w:lang w:val="tr-TR"/>
              </w:rPr>
              <w:t xml:space="preserve"> </w:t>
            </w:r>
            <w:r w:rsidRPr="0053423A">
              <w:rPr>
                <w:rFonts w:eastAsia="Times New Roman" w:cs="Calibri"/>
                <w:sz w:val="20"/>
                <w:szCs w:val="20"/>
              </w:rPr>
              <w:t>միջազգային</w:t>
            </w:r>
            <w:r w:rsidRPr="0053423A">
              <w:rPr>
                <w:rFonts w:eastAsia="Times New Roman" w:cs="Calibri"/>
                <w:sz w:val="20"/>
                <w:szCs w:val="20"/>
                <w:lang w:val="tr-TR"/>
              </w:rPr>
              <w:t xml:space="preserve"> </w:t>
            </w:r>
            <w:r w:rsidRPr="0053423A">
              <w:rPr>
                <w:rFonts w:eastAsia="Times New Roman" w:cs="Calibri"/>
                <w:sz w:val="20"/>
                <w:szCs w:val="20"/>
              </w:rPr>
              <w:t>կազմակերպություններին</w:t>
            </w:r>
            <w:r w:rsidRPr="0053423A">
              <w:rPr>
                <w:rFonts w:eastAsia="Times New Roman" w:cs="Calibri"/>
                <w:sz w:val="20"/>
                <w:szCs w:val="20"/>
                <w:lang w:val="tr-TR"/>
              </w:rPr>
              <w:t>: Անհրաժեշտ է մշակել համակարգված օրակարգ և առաջնահերթություններ, որոնք կապված են նաև քաղաքական տեղաշարժերի և միջազգային աշխարհաքաղաքական նախընտրությունների հետ:</w:t>
            </w:r>
          </w:p>
          <w:p w:rsidR="00A67B6B" w:rsidRPr="0053423A" w:rsidRDefault="00A67B6B" w:rsidP="00A67858">
            <w:pPr>
              <w:tabs>
                <w:tab w:val="left" w:pos="508"/>
              </w:tabs>
              <w:spacing w:after="0" w:line="276" w:lineRule="auto"/>
              <w:jc w:val="both"/>
              <w:rPr>
                <w:rFonts w:eastAsia="Calibri" w:cs="Calibri"/>
                <w:b/>
                <w:sz w:val="20"/>
                <w:szCs w:val="20"/>
                <w:lang w:val="tr-TR"/>
              </w:rPr>
            </w:pPr>
          </w:p>
          <w:p w:rsidR="00A67B6B" w:rsidRPr="0053423A" w:rsidRDefault="00A67B6B" w:rsidP="001F6D5D">
            <w:pPr>
              <w:numPr>
                <w:ilvl w:val="0"/>
                <w:numId w:val="232"/>
              </w:numPr>
              <w:tabs>
                <w:tab w:val="left" w:pos="508"/>
              </w:tabs>
              <w:spacing w:after="0" w:line="276" w:lineRule="auto"/>
              <w:ind w:hanging="720"/>
              <w:jc w:val="both"/>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իրականացումից</w:t>
            </w:r>
            <w:r w:rsidRPr="0053423A">
              <w:rPr>
                <w:rFonts w:eastAsia="Calibri" w:cs="Calibri"/>
                <w:b/>
                <w:sz w:val="20"/>
                <w:szCs w:val="20"/>
                <w:lang w:val="tr-TR"/>
              </w:rPr>
              <w:t xml:space="preserve"> </w:t>
            </w:r>
            <w:r w:rsidRPr="0053423A">
              <w:rPr>
                <w:rFonts w:eastAsia="Calibri" w:cs="Calibri"/>
                <w:b/>
                <w:sz w:val="20"/>
                <w:szCs w:val="20"/>
              </w:rPr>
              <w:t>ակնկալվող</w:t>
            </w:r>
            <w:r w:rsidRPr="0053423A">
              <w:rPr>
                <w:rFonts w:eastAsia="Calibri" w:cs="Calibri"/>
                <w:b/>
                <w:sz w:val="20"/>
                <w:szCs w:val="20"/>
                <w:lang w:val="tr-TR"/>
              </w:rPr>
              <w:t xml:space="preserve"> </w:t>
            </w:r>
            <w:r w:rsidRPr="0053423A">
              <w:rPr>
                <w:rFonts w:eastAsia="Calibri" w:cs="Calibri"/>
                <w:b/>
                <w:sz w:val="20"/>
                <w:szCs w:val="20"/>
              </w:rPr>
              <w:t>արդյունքը</w:t>
            </w:r>
          </w:p>
          <w:p w:rsidR="00A67B6B" w:rsidRPr="0053423A" w:rsidRDefault="00A67B6B" w:rsidP="00A67858">
            <w:pPr>
              <w:tabs>
                <w:tab w:val="left" w:pos="508"/>
              </w:tabs>
              <w:autoSpaceDE w:val="0"/>
              <w:autoSpaceDN w:val="0"/>
              <w:spacing w:after="0" w:line="276" w:lineRule="auto"/>
              <w:jc w:val="both"/>
              <w:rPr>
                <w:rFonts w:eastAsia="Times New Roman" w:cs="Calibri"/>
                <w:sz w:val="20"/>
                <w:szCs w:val="20"/>
                <w:lang w:val="tr-TR"/>
              </w:rPr>
            </w:pPr>
            <w:r w:rsidRPr="0053423A">
              <w:rPr>
                <w:rFonts w:eastAsia="Times New Roman" w:cs="Calibri"/>
                <w:sz w:val="20"/>
                <w:szCs w:val="20"/>
              </w:rPr>
              <w:t>Հայ</w:t>
            </w:r>
            <w:r w:rsidRPr="0053423A">
              <w:rPr>
                <w:rFonts w:eastAsia="Times New Roman" w:cs="Calibri"/>
                <w:sz w:val="20"/>
                <w:szCs w:val="20"/>
                <w:lang w:val="tr-TR"/>
              </w:rPr>
              <w:t xml:space="preserve"> </w:t>
            </w:r>
            <w:r w:rsidRPr="0053423A">
              <w:rPr>
                <w:rFonts w:eastAsia="Times New Roman" w:cs="Calibri"/>
                <w:sz w:val="20"/>
                <w:szCs w:val="20"/>
              </w:rPr>
              <w:t>հասարակությանը</w:t>
            </w:r>
            <w:r w:rsidRPr="0053423A">
              <w:rPr>
                <w:rFonts w:eastAsia="Times New Roman" w:cs="Calibri"/>
                <w:sz w:val="20"/>
                <w:szCs w:val="20"/>
                <w:lang w:val="tr-TR"/>
              </w:rPr>
              <w:t xml:space="preserve"> </w:t>
            </w:r>
            <w:r w:rsidRPr="0053423A">
              <w:rPr>
                <w:rFonts w:eastAsia="Times New Roman" w:cs="Calibri"/>
                <w:sz w:val="20"/>
                <w:szCs w:val="20"/>
              </w:rPr>
              <w:t>համաշխարհային</w:t>
            </w:r>
            <w:r w:rsidRPr="0053423A">
              <w:rPr>
                <w:rFonts w:eastAsia="Times New Roman" w:cs="Calibri"/>
                <w:sz w:val="20"/>
                <w:szCs w:val="20"/>
                <w:lang w:val="tr-TR"/>
              </w:rPr>
              <w:t xml:space="preserve"> </w:t>
            </w:r>
            <w:r w:rsidRPr="0053423A">
              <w:rPr>
                <w:rFonts w:eastAsia="Times New Roman" w:cs="Calibri"/>
                <w:sz w:val="20"/>
                <w:szCs w:val="20"/>
              </w:rPr>
              <w:t>մշակույթին</w:t>
            </w:r>
            <w:r w:rsidRPr="0053423A">
              <w:rPr>
                <w:rFonts w:eastAsia="Times New Roman" w:cs="Calibri"/>
                <w:sz w:val="20"/>
                <w:szCs w:val="20"/>
                <w:lang w:val="tr-TR"/>
              </w:rPr>
              <w:t xml:space="preserve"> </w:t>
            </w:r>
            <w:r w:rsidRPr="0053423A">
              <w:rPr>
                <w:rFonts w:eastAsia="Times New Roman" w:cs="Calibri"/>
                <w:sz w:val="20"/>
                <w:szCs w:val="20"/>
              </w:rPr>
              <w:t>ծանոթացնելը</w:t>
            </w:r>
            <w:r w:rsidRPr="0053423A">
              <w:rPr>
                <w:rFonts w:eastAsia="Times New Roman" w:cs="Calibri"/>
                <w:sz w:val="20"/>
                <w:szCs w:val="20"/>
                <w:lang w:val="tr-TR"/>
              </w:rPr>
              <w:t xml:space="preserve">, </w:t>
            </w:r>
            <w:r w:rsidRPr="0053423A">
              <w:rPr>
                <w:rFonts w:eastAsia="Times New Roman" w:cs="Calibri"/>
                <w:sz w:val="20"/>
                <w:szCs w:val="20"/>
              </w:rPr>
              <w:t>հայկական</w:t>
            </w:r>
            <w:r w:rsidRPr="0053423A">
              <w:rPr>
                <w:rFonts w:eastAsia="Times New Roman" w:cs="Calibri"/>
                <w:sz w:val="20"/>
                <w:szCs w:val="20"/>
                <w:lang w:val="tr-TR"/>
              </w:rPr>
              <w:t xml:space="preserve"> </w:t>
            </w:r>
            <w:r w:rsidRPr="0053423A">
              <w:rPr>
                <w:rFonts w:eastAsia="Times New Roman" w:cs="Calibri"/>
                <w:sz w:val="20"/>
                <w:szCs w:val="20"/>
              </w:rPr>
              <w:t>մշակութային</w:t>
            </w:r>
            <w:r w:rsidRPr="0053423A">
              <w:rPr>
                <w:rFonts w:eastAsia="Times New Roman" w:cs="Calibri"/>
                <w:sz w:val="20"/>
                <w:szCs w:val="20"/>
                <w:lang w:val="tr-TR"/>
              </w:rPr>
              <w:t xml:space="preserve"> </w:t>
            </w:r>
            <w:r w:rsidRPr="0053423A">
              <w:rPr>
                <w:rFonts w:eastAsia="Times New Roman" w:cs="Calibri"/>
                <w:sz w:val="20"/>
                <w:szCs w:val="20"/>
              </w:rPr>
              <w:t>հաստատությունների</w:t>
            </w:r>
            <w:r w:rsidRPr="0053423A">
              <w:rPr>
                <w:rFonts w:eastAsia="Times New Roman" w:cs="Calibri"/>
                <w:sz w:val="20"/>
                <w:szCs w:val="20"/>
                <w:lang w:val="tr-TR"/>
              </w:rPr>
              <w:t xml:space="preserve">` </w:t>
            </w:r>
            <w:r w:rsidRPr="0053423A">
              <w:rPr>
                <w:rFonts w:eastAsia="Times New Roman" w:cs="Calibri"/>
                <w:sz w:val="20"/>
                <w:szCs w:val="20"/>
              </w:rPr>
              <w:t>այլ</w:t>
            </w:r>
            <w:r w:rsidRPr="0053423A">
              <w:rPr>
                <w:rFonts w:eastAsia="Times New Roman" w:cs="Calibri"/>
                <w:sz w:val="20"/>
                <w:szCs w:val="20"/>
                <w:lang w:val="tr-TR"/>
              </w:rPr>
              <w:t xml:space="preserve"> </w:t>
            </w:r>
            <w:r w:rsidRPr="0053423A">
              <w:rPr>
                <w:rFonts w:eastAsia="Times New Roman" w:cs="Calibri"/>
                <w:sz w:val="20"/>
                <w:szCs w:val="20"/>
              </w:rPr>
              <w:t>մշակույթների</w:t>
            </w:r>
            <w:r w:rsidRPr="0053423A">
              <w:rPr>
                <w:rFonts w:eastAsia="Times New Roman" w:cs="Calibri"/>
                <w:sz w:val="20"/>
                <w:szCs w:val="20"/>
                <w:lang w:val="tr-TR"/>
              </w:rPr>
              <w:t xml:space="preserve"> </w:t>
            </w:r>
            <w:r w:rsidRPr="0053423A">
              <w:rPr>
                <w:rFonts w:eastAsia="Times New Roman" w:cs="Calibri"/>
                <w:sz w:val="20"/>
                <w:szCs w:val="20"/>
              </w:rPr>
              <w:t>բարձրարժեք</w:t>
            </w:r>
            <w:r w:rsidRPr="0053423A">
              <w:rPr>
                <w:rFonts w:eastAsia="Times New Roman" w:cs="Calibri"/>
                <w:sz w:val="20"/>
                <w:szCs w:val="20"/>
                <w:lang w:val="tr-TR"/>
              </w:rPr>
              <w:t xml:space="preserve"> </w:t>
            </w:r>
            <w:r w:rsidRPr="0053423A">
              <w:rPr>
                <w:rFonts w:eastAsia="Times New Roman" w:cs="Calibri"/>
                <w:sz w:val="20"/>
                <w:szCs w:val="20"/>
              </w:rPr>
              <w:t>արվեստին</w:t>
            </w:r>
            <w:r w:rsidRPr="0053423A">
              <w:rPr>
                <w:rFonts w:eastAsia="Times New Roman" w:cs="Calibri"/>
                <w:sz w:val="20"/>
                <w:szCs w:val="20"/>
                <w:lang w:val="tr-TR"/>
              </w:rPr>
              <w:t xml:space="preserve"> </w:t>
            </w:r>
            <w:r w:rsidRPr="0053423A">
              <w:rPr>
                <w:rFonts w:eastAsia="Times New Roman" w:cs="Calibri"/>
                <w:sz w:val="20"/>
                <w:szCs w:val="20"/>
              </w:rPr>
              <w:t>ծանոթանալը</w:t>
            </w:r>
            <w:r w:rsidRPr="0053423A">
              <w:rPr>
                <w:rFonts w:eastAsia="Times New Roman" w:cs="Calibri"/>
                <w:sz w:val="20"/>
                <w:szCs w:val="20"/>
                <w:lang w:val="tr-TR"/>
              </w:rPr>
              <w:t xml:space="preserve"> </w:t>
            </w:r>
            <w:r w:rsidRPr="0053423A">
              <w:rPr>
                <w:rFonts w:eastAsia="Times New Roman" w:cs="Calibri"/>
                <w:sz w:val="20"/>
                <w:szCs w:val="20"/>
              </w:rPr>
              <w:t>կբարձրացնի</w:t>
            </w:r>
            <w:r w:rsidRPr="0053423A">
              <w:rPr>
                <w:rFonts w:eastAsia="Times New Roman" w:cs="Calibri"/>
                <w:sz w:val="20"/>
                <w:szCs w:val="20"/>
                <w:lang w:val="tr-TR"/>
              </w:rPr>
              <w:t xml:space="preserve"> </w:t>
            </w:r>
            <w:r w:rsidRPr="0053423A">
              <w:rPr>
                <w:rFonts w:eastAsia="Times New Roman" w:cs="Calibri"/>
                <w:sz w:val="20"/>
                <w:szCs w:val="20"/>
              </w:rPr>
              <w:t>մշակութային</w:t>
            </w:r>
            <w:r w:rsidRPr="0053423A">
              <w:rPr>
                <w:rFonts w:eastAsia="Times New Roman" w:cs="Calibri"/>
                <w:sz w:val="20"/>
                <w:szCs w:val="20"/>
                <w:lang w:val="tr-TR"/>
              </w:rPr>
              <w:t xml:space="preserve"> </w:t>
            </w:r>
            <w:r w:rsidRPr="0053423A">
              <w:rPr>
                <w:rFonts w:eastAsia="Times New Roman" w:cs="Calibri"/>
                <w:sz w:val="20"/>
                <w:szCs w:val="20"/>
              </w:rPr>
              <w:t>ճանաչողությունը</w:t>
            </w:r>
            <w:r w:rsidRPr="0053423A">
              <w:rPr>
                <w:rFonts w:eastAsia="Times New Roman" w:cs="Calibri"/>
                <w:sz w:val="20"/>
                <w:szCs w:val="20"/>
                <w:lang w:val="tr-TR"/>
              </w:rPr>
              <w:t xml:space="preserve">, </w:t>
            </w:r>
            <w:r w:rsidRPr="0053423A">
              <w:rPr>
                <w:rFonts w:eastAsia="Times New Roman" w:cs="Calibri"/>
                <w:sz w:val="20"/>
                <w:szCs w:val="20"/>
              </w:rPr>
              <w:t>ճաշակը</w:t>
            </w:r>
            <w:r w:rsidRPr="0053423A">
              <w:rPr>
                <w:rFonts w:eastAsia="Times New Roman" w:cs="Calibri"/>
                <w:sz w:val="20"/>
                <w:szCs w:val="20"/>
                <w:lang w:val="tr-TR"/>
              </w:rPr>
              <w:t xml:space="preserve">, </w:t>
            </w:r>
            <w:r w:rsidRPr="0053423A">
              <w:rPr>
                <w:rFonts w:eastAsia="Times New Roman" w:cs="Calibri"/>
                <w:sz w:val="20"/>
                <w:szCs w:val="20"/>
              </w:rPr>
              <w:t>հստակ</w:t>
            </w:r>
            <w:r w:rsidRPr="0053423A">
              <w:rPr>
                <w:rFonts w:eastAsia="Times New Roman" w:cs="Calibri"/>
                <w:sz w:val="20"/>
                <w:szCs w:val="20"/>
                <w:lang w:val="tr-TR"/>
              </w:rPr>
              <w:t xml:space="preserve"> </w:t>
            </w:r>
            <w:r w:rsidRPr="0053423A">
              <w:rPr>
                <w:rFonts w:eastAsia="Times New Roman" w:cs="Calibri"/>
                <w:sz w:val="20"/>
                <w:szCs w:val="20"/>
              </w:rPr>
              <w:t>գնահատելի</w:t>
            </w:r>
            <w:r w:rsidRPr="0053423A">
              <w:rPr>
                <w:rFonts w:eastAsia="Times New Roman" w:cs="Calibri"/>
                <w:sz w:val="20"/>
                <w:szCs w:val="20"/>
                <w:lang w:val="tr-TR"/>
              </w:rPr>
              <w:t xml:space="preserve"> </w:t>
            </w:r>
            <w:r w:rsidRPr="0053423A">
              <w:rPr>
                <w:rFonts w:eastAsia="Times New Roman" w:cs="Calibri"/>
                <w:sz w:val="20"/>
                <w:szCs w:val="20"/>
              </w:rPr>
              <w:t>կդարձնի</w:t>
            </w:r>
            <w:r w:rsidRPr="0053423A">
              <w:rPr>
                <w:rFonts w:eastAsia="Times New Roman" w:cs="Calibri"/>
                <w:sz w:val="20"/>
                <w:szCs w:val="20"/>
                <w:lang w:val="tr-TR"/>
              </w:rPr>
              <w:t xml:space="preserve"> </w:t>
            </w:r>
            <w:r w:rsidRPr="0053423A">
              <w:rPr>
                <w:rFonts w:eastAsia="Times New Roman" w:cs="Calibri"/>
                <w:sz w:val="20"/>
                <w:szCs w:val="20"/>
              </w:rPr>
              <w:t>մեր</w:t>
            </w:r>
            <w:r w:rsidRPr="0053423A">
              <w:rPr>
                <w:rFonts w:eastAsia="Times New Roman" w:cs="Calibri"/>
                <w:sz w:val="20"/>
                <w:szCs w:val="20"/>
                <w:lang w:val="tr-TR"/>
              </w:rPr>
              <w:t xml:space="preserve"> </w:t>
            </w:r>
            <w:r w:rsidRPr="0053423A">
              <w:rPr>
                <w:rFonts w:eastAsia="Times New Roman" w:cs="Calibri"/>
                <w:sz w:val="20"/>
                <w:szCs w:val="20"/>
              </w:rPr>
              <w:t>երկրի</w:t>
            </w:r>
            <w:r w:rsidRPr="0053423A">
              <w:rPr>
                <w:rFonts w:eastAsia="Times New Roman" w:cs="Calibri"/>
                <w:sz w:val="20"/>
                <w:szCs w:val="20"/>
                <w:lang w:val="tr-TR"/>
              </w:rPr>
              <w:t xml:space="preserve"> </w:t>
            </w:r>
            <w:r w:rsidRPr="0053423A">
              <w:rPr>
                <w:rFonts w:eastAsia="Times New Roman" w:cs="Calibri"/>
                <w:sz w:val="20"/>
                <w:szCs w:val="20"/>
              </w:rPr>
              <w:t>մշակութային</w:t>
            </w:r>
            <w:r w:rsidRPr="0053423A">
              <w:rPr>
                <w:rFonts w:eastAsia="Times New Roman" w:cs="Calibri"/>
                <w:sz w:val="20"/>
                <w:szCs w:val="20"/>
                <w:lang w:val="tr-TR"/>
              </w:rPr>
              <w:t xml:space="preserve"> </w:t>
            </w:r>
            <w:r w:rsidRPr="0053423A">
              <w:rPr>
                <w:rFonts w:eastAsia="Times New Roman" w:cs="Calibri"/>
                <w:sz w:val="20"/>
                <w:szCs w:val="20"/>
              </w:rPr>
              <w:t>ներուժն</w:t>
            </w:r>
            <w:r w:rsidRPr="0053423A">
              <w:rPr>
                <w:rFonts w:eastAsia="Times New Roman" w:cs="Calibri"/>
                <w:sz w:val="20"/>
                <w:szCs w:val="20"/>
                <w:lang w:val="tr-TR"/>
              </w:rPr>
              <w:t xml:space="preserve"> </w:t>
            </w:r>
            <w:r w:rsidRPr="0053423A">
              <w:rPr>
                <w:rFonts w:eastAsia="Times New Roman" w:cs="Calibri"/>
                <w:sz w:val="20"/>
                <w:szCs w:val="20"/>
              </w:rPr>
              <w:t>ու</w:t>
            </w:r>
            <w:r w:rsidRPr="0053423A">
              <w:rPr>
                <w:rFonts w:eastAsia="Times New Roman" w:cs="Calibri"/>
                <w:sz w:val="20"/>
                <w:szCs w:val="20"/>
                <w:lang w:val="tr-TR"/>
              </w:rPr>
              <w:t xml:space="preserve"> </w:t>
            </w:r>
            <w:r w:rsidRPr="0053423A">
              <w:rPr>
                <w:rFonts w:eastAsia="Times New Roman" w:cs="Calibri"/>
                <w:sz w:val="20"/>
                <w:szCs w:val="20"/>
              </w:rPr>
              <w:t>կընձեռի</w:t>
            </w:r>
            <w:r w:rsidRPr="0053423A">
              <w:rPr>
                <w:rFonts w:eastAsia="Times New Roman" w:cs="Calibri"/>
                <w:sz w:val="20"/>
                <w:szCs w:val="20"/>
                <w:lang w:val="tr-TR"/>
              </w:rPr>
              <w:t xml:space="preserve"> </w:t>
            </w:r>
            <w:r w:rsidRPr="0053423A">
              <w:rPr>
                <w:rFonts w:eastAsia="Times New Roman" w:cs="Calibri"/>
                <w:sz w:val="20"/>
                <w:szCs w:val="20"/>
              </w:rPr>
              <w:t>համագործակցության</w:t>
            </w:r>
            <w:r w:rsidRPr="0053423A">
              <w:rPr>
                <w:rFonts w:eastAsia="Times New Roman" w:cs="Calibri"/>
                <w:sz w:val="20"/>
                <w:szCs w:val="20"/>
                <w:lang w:val="tr-TR"/>
              </w:rPr>
              <w:t xml:space="preserve"> </w:t>
            </w:r>
            <w:r w:rsidRPr="0053423A">
              <w:rPr>
                <w:rFonts w:eastAsia="Times New Roman" w:cs="Calibri"/>
                <w:sz w:val="20"/>
                <w:szCs w:val="20"/>
              </w:rPr>
              <w:t>նոր</w:t>
            </w:r>
            <w:r w:rsidRPr="0053423A">
              <w:rPr>
                <w:rFonts w:eastAsia="Times New Roman" w:cs="Calibri"/>
                <w:sz w:val="20"/>
                <w:szCs w:val="20"/>
                <w:lang w:val="tr-TR"/>
              </w:rPr>
              <w:t xml:space="preserve"> </w:t>
            </w:r>
            <w:r w:rsidRPr="0053423A">
              <w:rPr>
                <w:rFonts w:eastAsia="Times New Roman" w:cs="Calibri"/>
                <w:sz w:val="20"/>
                <w:szCs w:val="20"/>
              </w:rPr>
              <w:t>հնարավորություններ</w:t>
            </w:r>
            <w:r w:rsidRPr="0053423A">
              <w:rPr>
                <w:rFonts w:eastAsia="Times New Roman" w:cs="Calibri"/>
                <w:sz w:val="20"/>
                <w:szCs w:val="20"/>
                <w:lang w:val="tr-TR"/>
              </w:rPr>
              <w:t>: Մշակութային նպատակաուղղված դիվանագիտության, ըստ անհրաժեշտության  մշակված հստակ քաղաքական օրակարգերի և թիրախավորված ծրագրերի միջոցով միջազգային համագործակցության հաստատում և ընդլայնում:</w:t>
            </w:r>
          </w:p>
          <w:p w:rsidR="00A67B6B" w:rsidRPr="0053423A" w:rsidRDefault="00A67B6B" w:rsidP="00A67858">
            <w:pPr>
              <w:tabs>
                <w:tab w:val="left" w:pos="508"/>
              </w:tabs>
              <w:autoSpaceDE w:val="0"/>
              <w:autoSpaceDN w:val="0"/>
              <w:spacing w:after="0" w:line="276" w:lineRule="auto"/>
              <w:jc w:val="both"/>
              <w:rPr>
                <w:rFonts w:eastAsia="Times New Roman" w:cs="GHEA Grapalat"/>
                <w:b/>
                <w:bCs/>
                <w:sz w:val="20"/>
                <w:szCs w:val="20"/>
                <w:lang w:val="tr-TR"/>
              </w:rPr>
            </w:pPr>
          </w:p>
          <w:p w:rsidR="00A67B6B" w:rsidRPr="0053423A" w:rsidRDefault="00A67B6B" w:rsidP="00A67858">
            <w:pPr>
              <w:tabs>
                <w:tab w:val="left" w:pos="508"/>
              </w:tabs>
              <w:autoSpaceDE w:val="0"/>
              <w:autoSpaceDN w:val="0"/>
              <w:spacing w:after="0" w:line="276" w:lineRule="auto"/>
              <w:jc w:val="center"/>
              <w:rPr>
                <w:rFonts w:eastAsia="Times New Roman" w:cs="Calibri"/>
                <w:b/>
                <w:sz w:val="20"/>
                <w:szCs w:val="20"/>
                <w:lang w:val="tr-TR"/>
              </w:rPr>
            </w:pPr>
            <w:r w:rsidRPr="0053423A">
              <w:rPr>
                <w:rFonts w:eastAsia="Times New Roman" w:cs="Calibri"/>
                <w:b/>
                <w:sz w:val="20"/>
                <w:szCs w:val="20"/>
                <w:lang w:val="tr-TR"/>
              </w:rPr>
              <w:t xml:space="preserve">12.2 </w:t>
            </w:r>
            <w:r w:rsidRPr="0053423A">
              <w:rPr>
                <w:rFonts w:eastAsia="Times New Roman" w:cs="Calibri"/>
                <w:b/>
                <w:sz w:val="20"/>
                <w:szCs w:val="20"/>
                <w:lang w:val="hy-AM"/>
              </w:rPr>
              <w:t>Մշակույթի գործիչների և ոլորտի օտարերկրյա պատասխանատուների,  հեղինակավոր անձանց հետ համագործակցություն Հայստանում՝ որակյալ փորձի փոխանակման և նորարարական ծրագրերի իրականացման համար</w:t>
            </w:r>
          </w:p>
          <w:p w:rsidR="00A67B6B" w:rsidRPr="0053423A" w:rsidRDefault="00A67B6B" w:rsidP="00A67858">
            <w:pPr>
              <w:tabs>
                <w:tab w:val="left" w:pos="508"/>
              </w:tabs>
              <w:autoSpaceDE w:val="0"/>
              <w:autoSpaceDN w:val="0"/>
              <w:spacing w:after="0" w:line="276" w:lineRule="auto"/>
              <w:jc w:val="center"/>
              <w:rPr>
                <w:rFonts w:eastAsia="Times New Roman" w:cs="Calibri"/>
                <w:sz w:val="20"/>
                <w:szCs w:val="20"/>
                <w:lang w:val="tr-TR"/>
              </w:rPr>
            </w:pPr>
          </w:p>
          <w:p w:rsidR="00A67B6B" w:rsidRPr="0053423A" w:rsidRDefault="00A67B6B" w:rsidP="001F6D5D">
            <w:pPr>
              <w:numPr>
                <w:ilvl w:val="0"/>
                <w:numId w:val="233"/>
              </w:numPr>
              <w:tabs>
                <w:tab w:val="left" w:pos="508"/>
              </w:tabs>
              <w:spacing w:after="0" w:line="276" w:lineRule="auto"/>
              <w:ind w:hanging="720"/>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իրականացման</w:t>
            </w:r>
            <w:r w:rsidRPr="0053423A">
              <w:rPr>
                <w:rFonts w:eastAsia="Calibri" w:cs="Calibri"/>
                <w:b/>
                <w:sz w:val="20"/>
                <w:szCs w:val="20"/>
                <w:lang w:val="tr-TR"/>
              </w:rPr>
              <w:t xml:space="preserve"> </w:t>
            </w:r>
            <w:r w:rsidRPr="0053423A">
              <w:rPr>
                <w:rFonts w:eastAsia="Calibri" w:cs="Calibri"/>
                <w:b/>
                <w:sz w:val="20"/>
                <w:szCs w:val="20"/>
              </w:rPr>
              <w:t>անհրաժեշտությունը</w:t>
            </w:r>
            <w:r w:rsidRPr="0053423A">
              <w:rPr>
                <w:rFonts w:eastAsia="Calibri" w:cs="Calibri"/>
                <w:b/>
                <w:sz w:val="20"/>
                <w:szCs w:val="20"/>
                <w:lang w:val="tr-TR"/>
              </w:rPr>
              <w:t xml:space="preserve"> </w:t>
            </w:r>
            <w:r w:rsidRPr="0053423A">
              <w:rPr>
                <w:rFonts w:eastAsia="Calibri" w:cs="Calibri"/>
                <w:b/>
                <w:sz w:val="20"/>
                <w:szCs w:val="20"/>
              </w:rPr>
              <w:t>և</w:t>
            </w:r>
            <w:r w:rsidRPr="0053423A">
              <w:rPr>
                <w:rFonts w:eastAsia="Calibri" w:cs="Calibri"/>
                <w:b/>
                <w:sz w:val="20"/>
                <w:szCs w:val="20"/>
                <w:lang w:val="tr-TR"/>
              </w:rPr>
              <w:t xml:space="preserve"> </w:t>
            </w:r>
            <w:r w:rsidRPr="0053423A">
              <w:rPr>
                <w:rFonts w:eastAsia="Calibri" w:cs="Calibri"/>
                <w:b/>
                <w:sz w:val="20"/>
                <w:szCs w:val="20"/>
              </w:rPr>
              <w:t>նպատակը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Մշակույթի</w:t>
            </w:r>
            <w:r w:rsidRPr="0053423A">
              <w:rPr>
                <w:rFonts w:eastAsia="Calibri" w:cs="Calibri"/>
                <w:sz w:val="20"/>
                <w:szCs w:val="20"/>
                <w:lang w:val="tr-TR"/>
              </w:rPr>
              <w:t xml:space="preserve"> </w:t>
            </w:r>
            <w:r w:rsidRPr="0053423A">
              <w:rPr>
                <w:rFonts w:eastAsia="Calibri" w:cs="Calibri"/>
                <w:sz w:val="20"/>
                <w:szCs w:val="20"/>
              </w:rPr>
              <w:t>զարգացման</w:t>
            </w:r>
            <w:r w:rsidRPr="0053423A">
              <w:rPr>
                <w:rFonts w:eastAsia="Calibri" w:cs="Calibri"/>
                <w:sz w:val="20"/>
                <w:szCs w:val="20"/>
                <w:lang w:val="tr-TR"/>
              </w:rPr>
              <w:t xml:space="preserve">, </w:t>
            </w:r>
            <w:r w:rsidRPr="0053423A">
              <w:rPr>
                <w:rFonts w:eastAsia="Calibri" w:cs="Calibri"/>
                <w:sz w:val="20"/>
                <w:szCs w:val="20"/>
              </w:rPr>
              <w:t>պահպանման</w:t>
            </w:r>
            <w:r w:rsidRPr="0053423A">
              <w:rPr>
                <w:rFonts w:eastAsia="Calibri" w:cs="Calibri"/>
                <w:sz w:val="20"/>
                <w:szCs w:val="20"/>
                <w:lang w:val="tr-TR"/>
              </w:rPr>
              <w:t xml:space="preserve">, </w:t>
            </w:r>
            <w:r w:rsidRPr="0053423A">
              <w:rPr>
                <w:rFonts w:eastAsia="Calibri" w:cs="Calibri"/>
                <w:sz w:val="20"/>
                <w:szCs w:val="20"/>
              </w:rPr>
              <w:t>ստեղծարար</w:t>
            </w:r>
            <w:r w:rsidRPr="0053423A">
              <w:rPr>
                <w:rFonts w:eastAsia="Calibri" w:cs="Calibri"/>
                <w:sz w:val="20"/>
                <w:szCs w:val="20"/>
                <w:lang w:val="tr-TR"/>
              </w:rPr>
              <w:t xml:space="preserve"> </w:t>
            </w:r>
            <w:r w:rsidRPr="0053423A">
              <w:rPr>
                <w:rFonts w:eastAsia="Calibri" w:cs="Calibri"/>
                <w:sz w:val="20"/>
                <w:szCs w:val="20"/>
              </w:rPr>
              <w:t>ոլորտների</w:t>
            </w:r>
            <w:r w:rsidRPr="0053423A">
              <w:rPr>
                <w:rFonts w:eastAsia="Calibri" w:cs="Calibri"/>
                <w:sz w:val="20"/>
                <w:szCs w:val="20"/>
                <w:lang w:val="tr-TR"/>
              </w:rPr>
              <w:t xml:space="preserve"> </w:t>
            </w:r>
            <w:r w:rsidRPr="0053423A">
              <w:rPr>
                <w:rFonts w:eastAsia="Calibri" w:cs="Calibri"/>
                <w:sz w:val="20"/>
                <w:szCs w:val="20"/>
              </w:rPr>
              <w:t>աշխատանքների</w:t>
            </w:r>
            <w:r w:rsidRPr="0053423A">
              <w:rPr>
                <w:rFonts w:eastAsia="Calibri" w:cs="Calibri"/>
                <w:sz w:val="20"/>
                <w:szCs w:val="20"/>
                <w:lang w:val="tr-TR"/>
              </w:rPr>
              <w:t xml:space="preserve"> </w:t>
            </w:r>
            <w:r w:rsidRPr="0053423A">
              <w:rPr>
                <w:rFonts w:eastAsia="Calibri" w:cs="Calibri"/>
                <w:sz w:val="20"/>
                <w:szCs w:val="20"/>
              </w:rPr>
              <w:t>խթանման</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դաշտի</w:t>
            </w:r>
            <w:r w:rsidRPr="0053423A">
              <w:rPr>
                <w:rFonts w:eastAsia="Calibri" w:cs="Calibri"/>
                <w:sz w:val="20"/>
                <w:szCs w:val="20"/>
                <w:lang w:val="tr-TR"/>
              </w:rPr>
              <w:t xml:space="preserve"> </w:t>
            </w:r>
            <w:r w:rsidRPr="0053423A">
              <w:rPr>
                <w:rFonts w:eastAsia="Calibri" w:cs="Calibri"/>
                <w:sz w:val="20"/>
                <w:szCs w:val="20"/>
              </w:rPr>
              <w:t>մասնագիտական</w:t>
            </w:r>
            <w:r w:rsidRPr="0053423A">
              <w:rPr>
                <w:rFonts w:eastAsia="Calibri" w:cs="Calibri"/>
                <w:sz w:val="20"/>
                <w:szCs w:val="20"/>
                <w:lang w:val="tr-TR"/>
              </w:rPr>
              <w:t xml:space="preserve"> </w:t>
            </w:r>
            <w:r w:rsidRPr="0053423A">
              <w:rPr>
                <w:rFonts w:eastAsia="Calibri" w:cs="Calibri"/>
                <w:sz w:val="20"/>
                <w:szCs w:val="20"/>
              </w:rPr>
              <w:t>որակների</w:t>
            </w:r>
            <w:r w:rsidRPr="0053423A">
              <w:rPr>
                <w:rFonts w:eastAsia="Calibri" w:cs="Calibri"/>
                <w:sz w:val="20"/>
                <w:szCs w:val="20"/>
                <w:lang w:val="tr-TR"/>
              </w:rPr>
              <w:t xml:space="preserve"> </w:t>
            </w:r>
            <w:r w:rsidRPr="0053423A">
              <w:rPr>
                <w:rFonts w:eastAsia="Calibri" w:cs="Calibri"/>
                <w:sz w:val="20"/>
                <w:szCs w:val="20"/>
              </w:rPr>
              <w:t>զարգացման</w:t>
            </w:r>
            <w:r w:rsidRPr="0053423A">
              <w:rPr>
                <w:rFonts w:eastAsia="Calibri" w:cs="Calibri"/>
                <w:sz w:val="20"/>
                <w:szCs w:val="20"/>
                <w:lang w:val="tr-TR"/>
              </w:rPr>
              <w:t xml:space="preserve">,  </w:t>
            </w:r>
            <w:r w:rsidRPr="0053423A">
              <w:rPr>
                <w:rFonts w:eastAsia="Calibri" w:cs="Calibri"/>
                <w:sz w:val="20"/>
                <w:szCs w:val="20"/>
              </w:rPr>
              <w:t>լավագույն</w:t>
            </w:r>
            <w:r w:rsidRPr="0053423A">
              <w:rPr>
                <w:rFonts w:eastAsia="Calibri" w:cs="Calibri"/>
                <w:sz w:val="20"/>
                <w:szCs w:val="20"/>
                <w:lang w:val="tr-TR"/>
              </w:rPr>
              <w:t xml:space="preserve"> </w:t>
            </w:r>
            <w:r w:rsidRPr="0053423A">
              <w:rPr>
                <w:rFonts w:eastAsia="Calibri" w:cs="Calibri"/>
                <w:sz w:val="20"/>
                <w:szCs w:val="20"/>
              </w:rPr>
              <w:t>փորձի</w:t>
            </w:r>
            <w:r w:rsidRPr="0053423A">
              <w:rPr>
                <w:rFonts w:eastAsia="Calibri" w:cs="Calibri"/>
                <w:sz w:val="20"/>
                <w:szCs w:val="20"/>
                <w:lang w:val="tr-TR"/>
              </w:rPr>
              <w:t xml:space="preserve"> </w:t>
            </w:r>
            <w:r w:rsidRPr="0053423A">
              <w:rPr>
                <w:rFonts w:eastAsia="Calibri" w:cs="Calibri"/>
                <w:sz w:val="20"/>
                <w:szCs w:val="20"/>
              </w:rPr>
              <w:t>ներդրման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միջազգային</w:t>
            </w:r>
            <w:r w:rsidRPr="0053423A">
              <w:rPr>
                <w:rFonts w:eastAsia="Calibri" w:cs="Calibri"/>
                <w:sz w:val="20"/>
                <w:szCs w:val="20"/>
                <w:lang w:val="tr-TR"/>
              </w:rPr>
              <w:t xml:space="preserve"> </w:t>
            </w:r>
            <w:r w:rsidRPr="0053423A">
              <w:rPr>
                <w:rFonts w:eastAsia="Calibri" w:cs="Calibri"/>
                <w:sz w:val="20"/>
                <w:szCs w:val="20"/>
              </w:rPr>
              <w:t>ստանդարտներին</w:t>
            </w:r>
            <w:r w:rsidRPr="0053423A">
              <w:rPr>
                <w:rFonts w:eastAsia="Calibri" w:cs="Calibri"/>
                <w:sz w:val="20"/>
                <w:szCs w:val="20"/>
                <w:lang w:val="tr-TR"/>
              </w:rPr>
              <w:t xml:space="preserve"> </w:t>
            </w:r>
            <w:r w:rsidRPr="0053423A">
              <w:rPr>
                <w:rFonts w:eastAsia="Calibri" w:cs="Calibri"/>
                <w:sz w:val="20"/>
                <w:szCs w:val="20"/>
              </w:rPr>
              <w:t>համապատասխանելու</w:t>
            </w:r>
            <w:r w:rsidRPr="0053423A">
              <w:rPr>
                <w:rFonts w:eastAsia="Calibri" w:cs="Calibri"/>
                <w:sz w:val="20"/>
                <w:szCs w:val="20"/>
                <w:lang w:val="tr-TR"/>
              </w:rPr>
              <w:t xml:space="preserve"> </w:t>
            </w:r>
            <w:r w:rsidRPr="0053423A">
              <w:rPr>
                <w:rFonts w:eastAsia="Calibri" w:cs="Calibri"/>
                <w:sz w:val="20"/>
                <w:szCs w:val="20"/>
              </w:rPr>
              <w:t>նպատակով</w:t>
            </w:r>
            <w:r w:rsidRPr="0053423A">
              <w:rPr>
                <w:rFonts w:eastAsia="Calibri" w:cs="Calibri"/>
                <w:sz w:val="20"/>
                <w:szCs w:val="20"/>
                <w:lang w:val="tr-TR"/>
              </w:rPr>
              <w:t xml:space="preserve"> </w:t>
            </w:r>
            <w:r w:rsidRPr="0053423A">
              <w:rPr>
                <w:rFonts w:eastAsia="Calibri" w:cs="Calibri"/>
                <w:sz w:val="20"/>
                <w:szCs w:val="20"/>
              </w:rPr>
              <w:t>կոնկրետ</w:t>
            </w:r>
            <w:r w:rsidRPr="0053423A">
              <w:rPr>
                <w:rFonts w:eastAsia="Calibri" w:cs="Calibri"/>
                <w:sz w:val="20"/>
                <w:szCs w:val="20"/>
                <w:lang w:val="tr-TR"/>
              </w:rPr>
              <w:t xml:space="preserve"> </w:t>
            </w:r>
            <w:r w:rsidRPr="0053423A">
              <w:rPr>
                <w:rFonts w:eastAsia="Calibri" w:cs="Calibri"/>
                <w:sz w:val="20"/>
                <w:szCs w:val="20"/>
              </w:rPr>
              <w:t>պետությունների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կազմակերպությունների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անհրաժեշտ</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իրականացնել</w:t>
            </w:r>
            <w:r w:rsidRPr="0053423A">
              <w:rPr>
                <w:rFonts w:eastAsia="Calibri" w:cs="Calibri"/>
                <w:sz w:val="20"/>
                <w:szCs w:val="20"/>
                <w:lang w:val="tr-TR"/>
              </w:rPr>
              <w:t xml:space="preserve"> </w:t>
            </w:r>
            <w:r w:rsidRPr="0053423A">
              <w:rPr>
                <w:rFonts w:eastAsia="Calibri" w:cs="Calibri"/>
                <w:sz w:val="20"/>
                <w:szCs w:val="20"/>
              </w:rPr>
              <w:t>ծրագրեր</w:t>
            </w:r>
            <w:r w:rsidRPr="0053423A">
              <w:rPr>
                <w:rFonts w:eastAsia="Calibri" w:cs="Calibri"/>
                <w:sz w:val="20"/>
                <w:szCs w:val="20"/>
                <w:lang w:val="tr-TR"/>
              </w:rPr>
              <w:t xml:space="preserve">` </w:t>
            </w:r>
            <w:r w:rsidRPr="0053423A">
              <w:rPr>
                <w:rFonts w:eastAsia="Calibri" w:cs="Calibri"/>
                <w:sz w:val="20"/>
                <w:szCs w:val="20"/>
              </w:rPr>
              <w:t>մասնագետների</w:t>
            </w:r>
            <w:r w:rsidRPr="0053423A">
              <w:rPr>
                <w:rFonts w:eastAsia="Calibri" w:cs="Calibri"/>
                <w:sz w:val="20"/>
                <w:szCs w:val="20"/>
                <w:lang w:val="tr-TR"/>
              </w:rPr>
              <w:t xml:space="preserve"> </w:t>
            </w:r>
            <w:r w:rsidRPr="0053423A">
              <w:rPr>
                <w:rFonts w:eastAsia="Calibri" w:cs="Calibri"/>
                <w:sz w:val="20"/>
                <w:szCs w:val="20"/>
              </w:rPr>
              <w:t>փոխանակման</w:t>
            </w:r>
            <w:r w:rsidRPr="0053423A">
              <w:rPr>
                <w:rFonts w:eastAsia="Calibri" w:cs="Calibri"/>
                <w:sz w:val="20"/>
                <w:szCs w:val="20"/>
                <w:lang w:val="tr-TR"/>
              </w:rPr>
              <w:t xml:space="preserve">, </w:t>
            </w:r>
            <w:r w:rsidRPr="0053423A">
              <w:rPr>
                <w:rFonts w:eastAsia="Calibri" w:cs="Calibri"/>
                <w:sz w:val="20"/>
                <w:szCs w:val="20"/>
              </w:rPr>
              <w:t>ուսուցման</w:t>
            </w:r>
            <w:r w:rsidRPr="0053423A">
              <w:rPr>
                <w:rFonts w:eastAsia="Calibri" w:cs="Calibri"/>
                <w:sz w:val="20"/>
                <w:szCs w:val="20"/>
                <w:lang w:val="tr-TR"/>
              </w:rPr>
              <w:t xml:space="preserve">, </w:t>
            </w:r>
            <w:r w:rsidRPr="0053423A">
              <w:rPr>
                <w:rFonts w:eastAsia="Calibri" w:cs="Calibri"/>
                <w:sz w:val="20"/>
                <w:szCs w:val="20"/>
              </w:rPr>
              <w:t>փորձագիտական</w:t>
            </w:r>
            <w:r w:rsidRPr="0053423A">
              <w:rPr>
                <w:rFonts w:eastAsia="Calibri" w:cs="Calibri"/>
                <w:sz w:val="20"/>
                <w:szCs w:val="20"/>
                <w:lang w:val="tr-TR"/>
              </w:rPr>
              <w:t xml:space="preserve"> </w:t>
            </w:r>
            <w:r w:rsidRPr="0053423A">
              <w:rPr>
                <w:rFonts w:eastAsia="Calibri" w:cs="Calibri"/>
                <w:sz w:val="20"/>
                <w:szCs w:val="20"/>
              </w:rPr>
              <w:t>աջակցության</w:t>
            </w:r>
            <w:r w:rsidRPr="0053423A">
              <w:rPr>
                <w:rFonts w:eastAsia="Calibri" w:cs="Calibri"/>
                <w:sz w:val="20"/>
                <w:szCs w:val="20"/>
                <w:lang w:val="tr-TR"/>
              </w:rPr>
              <w:t xml:space="preserve">, </w:t>
            </w:r>
            <w:r w:rsidRPr="0053423A">
              <w:rPr>
                <w:rFonts w:eastAsia="Calibri" w:cs="Calibri"/>
                <w:sz w:val="20"/>
                <w:szCs w:val="20"/>
              </w:rPr>
              <w:t>վարպետության</w:t>
            </w:r>
            <w:r w:rsidRPr="0053423A">
              <w:rPr>
                <w:rFonts w:eastAsia="Calibri" w:cs="Calibri"/>
                <w:sz w:val="20"/>
                <w:szCs w:val="20"/>
                <w:lang w:val="tr-TR"/>
              </w:rPr>
              <w:t xml:space="preserve"> </w:t>
            </w:r>
            <w:r w:rsidRPr="0053423A">
              <w:rPr>
                <w:rFonts w:eastAsia="Calibri" w:cs="Calibri"/>
                <w:sz w:val="20"/>
                <w:szCs w:val="20"/>
              </w:rPr>
              <w:t>դասընթացների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խորհրդատվությունների</w:t>
            </w:r>
            <w:r w:rsidRPr="0053423A">
              <w:rPr>
                <w:rFonts w:eastAsia="Calibri" w:cs="Calibri"/>
                <w:sz w:val="20"/>
                <w:szCs w:val="20"/>
                <w:lang w:val="tr-TR"/>
              </w:rPr>
              <w:t xml:space="preserve"> </w:t>
            </w:r>
            <w:r w:rsidRPr="0053423A">
              <w:rPr>
                <w:rFonts w:eastAsia="Calibri" w:cs="Calibri"/>
                <w:sz w:val="20"/>
                <w:szCs w:val="20"/>
              </w:rPr>
              <w:t>միջոցով</w:t>
            </w:r>
            <w:r w:rsidRPr="0053423A">
              <w:rPr>
                <w:rFonts w:eastAsia="Calibri" w:cs="Calibri"/>
                <w:sz w:val="20"/>
                <w:szCs w:val="20"/>
                <w:lang w:val="tr-TR"/>
              </w:rPr>
              <w:t>:</w:t>
            </w:r>
          </w:p>
          <w:p w:rsidR="00A67B6B" w:rsidRPr="0053423A" w:rsidRDefault="00A67B6B" w:rsidP="00A67858">
            <w:pPr>
              <w:tabs>
                <w:tab w:val="left" w:pos="508"/>
              </w:tabs>
              <w:spacing w:after="0" w:line="276" w:lineRule="auto"/>
              <w:rPr>
                <w:rFonts w:eastAsia="Calibri" w:cs="Calibri"/>
                <w:b/>
                <w:sz w:val="20"/>
                <w:szCs w:val="20"/>
                <w:lang w:val="tr-TR"/>
              </w:rPr>
            </w:pPr>
          </w:p>
          <w:p w:rsidR="00A67B6B" w:rsidRPr="0053423A" w:rsidRDefault="00A67B6B" w:rsidP="00A67858">
            <w:pPr>
              <w:tabs>
                <w:tab w:val="left" w:pos="508"/>
              </w:tabs>
              <w:spacing w:after="0" w:line="276" w:lineRule="auto"/>
              <w:jc w:val="both"/>
              <w:rPr>
                <w:rFonts w:eastAsia="Calibri" w:cs="Calibri"/>
                <w:b/>
                <w:sz w:val="20"/>
                <w:szCs w:val="20"/>
                <w:lang w:val="tr-TR"/>
              </w:rPr>
            </w:pPr>
            <w:r w:rsidRPr="0053423A">
              <w:rPr>
                <w:rFonts w:eastAsia="Calibri" w:cs="Calibri"/>
                <w:b/>
                <w:sz w:val="20"/>
                <w:szCs w:val="20"/>
                <w:lang w:val="tr-TR"/>
              </w:rPr>
              <w:t xml:space="preserve">1.1 </w:t>
            </w:r>
            <w:r w:rsidRPr="0053423A">
              <w:rPr>
                <w:rFonts w:eastAsia="Calibri" w:cs="Calibri"/>
                <w:b/>
                <w:sz w:val="20"/>
                <w:szCs w:val="20"/>
              </w:rPr>
              <w:t>Կարգավորման</w:t>
            </w:r>
            <w:r w:rsidRPr="0053423A">
              <w:rPr>
                <w:rFonts w:eastAsia="Calibri" w:cs="Calibri"/>
                <w:b/>
                <w:sz w:val="20"/>
                <w:szCs w:val="20"/>
                <w:lang w:val="tr-TR"/>
              </w:rPr>
              <w:t xml:space="preserve"> </w:t>
            </w:r>
            <w:r w:rsidRPr="0053423A">
              <w:rPr>
                <w:rFonts w:eastAsia="Calibri" w:cs="Calibri"/>
                <w:b/>
                <w:sz w:val="20"/>
                <w:szCs w:val="20"/>
              </w:rPr>
              <w:t>հարաբերությունների</w:t>
            </w:r>
            <w:r w:rsidRPr="0053423A">
              <w:rPr>
                <w:rFonts w:eastAsia="Calibri" w:cs="Calibri"/>
                <w:b/>
                <w:sz w:val="20"/>
                <w:szCs w:val="20"/>
                <w:lang w:val="tr-TR"/>
              </w:rPr>
              <w:t xml:space="preserve"> </w:t>
            </w:r>
            <w:r w:rsidRPr="0053423A">
              <w:rPr>
                <w:rFonts w:eastAsia="Calibri" w:cs="Calibri"/>
                <w:b/>
                <w:sz w:val="20"/>
                <w:szCs w:val="20"/>
              </w:rPr>
              <w:t>ներկա</w:t>
            </w:r>
            <w:r w:rsidRPr="0053423A">
              <w:rPr>
                <w:rFonts w:eastAsia="Calibri" w:cs="Calibri"/>
                <w:b/>
                <w:sz w:val="20"/>
                <w:szCs w:val="20"/>
                <w:lang w:val="tr-TR"/>
              </w:rPr>
              <w:t xml:space="preserve"> </w:t>
            </w:r>
            <w:r w:rsidRPr="0053423A">
              <w:rPr>
                <w:rFonts w:eastAsia="Calibri" w:cs="Calibri"/>
                <w:b/>
                <w:sz w:val="20"/>
                <w:szCs w:val="20"/>
              </w:rPr>
              <w:t>վիճակը</w:t>
            </w:r>
            <w:r w:rsidRPr="0053423A">
              <w:rPr>
                <w:rFonts w:eastAsia="Calibri" w:cs="Calibri"/>
                <w:b/>
                <w:sz w:val="20"/>
                <w:szCs w:val="20"/>
                <w:lang w:val="tr-TR"/>
              </w:rPr>
              <w:t xml:space="preserve"> </w:t>
            </w:r>
            <w:r w:rsidRPr="0053423A">
              <w:rPr>
                <w:rFonts w:eastAsia="Calibri" w:cs="Calibri"/>
                <w:b/>
                <w:sz w:val="20"/>
                <w:szCs w:val="20"/>
              </w:rPr>
              <w:t>և</w:t>
            </w:r>
            <w:r w:rsidRPr="0053423A">
              <w:rPr>
                <w:rFonts w:eastAsia="Calibri" w:cs="Calibri"/>
                <w:b/>
                <w:sz w:val="20"/>
                <w:szCs w:val="20"/>
                <w:lang w:val="tr-TR"/>
              </w:rPr>
              <w:t xml:space="preserve"> </w:t>
            </w:r>
            <w:r w:rsidRPr="0053423A">
              <w:rPr>
                <w:rFonts w:eastAsia="Calibri" w:cs="Calibri"/>
                <w:b/>
                <w:sz w:val="20"/>
                <w:szCs w:val="20"/>
              </w:rPr>
              <w:t>առկա</w:t>
            </w:r>
            <w:r w:rsidRPr="0053423A">
              <w:rPr>
                <w:rFonts w:eastAsia="Calibri" w:cs="Calibri"/>
                <w:b/>
                <w:sz w:val="20"/>
                <w:szCs w:val="20"/>
                <w:lang w:val="tr-TR"/>
              </w:rPr>
              <w:t xml:space="preserve"> </w:t>
            </w:r>
            <w:r w:rsidRPr="0053423A">
              <w:rPr>
                <w:rFonts w:eastAsia="Calibri" w:cs="Calibri"/>
                <w:b/>
                <w:sz w:val="20"/>
                <w:szCs w:val="20"/>
              </w:rPr>
              <w:t>խնդիրները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Ներկայում</w:t>
            </w:r>
            <w:r w:rsidRPr="0053423A">
              <w:rPr>
                <w:rFonts w:eastAsia="Calibri" w:cs="Calibri"/>
                <w:sz w:val="20"/>
                <w:szCs w:val="20"/>
                <w:lang w:val="tr-TR"/>
              </w:rPr>
              <w:t xml:space="preserve"> </w:t>
            </w:r>
            <w:r w:rsidRPr="0053423A">
              <w:rPr>
                <w:rFonts w:eastAsia="Calibri" w:cs="Calibri"/>
                <w:sz w:val="20"/>
                <w:szCs w:val="20"/>
              </w:rPr>
              <w:t>ՀՀ</w:t>
            </w:r>
            <w:r w:rsidRPr="0053423A">
              <w:rPr>
                <w:rFonts w:eastAsia="Calibri" w:cs="Calibri"/>
                <w:sz w:val="20"/>
                <w:szCs w:val="20"/>
                <w:lang w:val="tr-TR"/>
              </w:rPr>
              <w:t xml:space="preserve"> </w:t>
            </w:r>
            <w:r w:rsidRPr="0053423A">
              <w:rPr>
                <w:rFonts w:eastAsia="Calibri" w:cs="Calibri"/>
                <w:sz w:val="20"/>
                <w:szCs w:val="20"/>
              </w:rPr>
              <w:t>մշակույթի</w:t>
            </w:r>
            <w:r w:rsidRPr="0053423A">
              <w:rPr>
                <w:rFonts w:eastAsia="Calibri" w:cs="Calibri"/>
                <w:sz w:val="20"/>
                <w:szCs w:val="20"/>
                <w:lang w:val="tr-TR"/>
              </w:rPr>
              <w:t xml:space="preserve"> </w:t>
            </w:r>
            <w:r w:rsidRPr="0053423A">
              <w:rPr>
                <w:rFonts w:eastAsia="Calibri" w:cs="Calibri"/>
                <w:sz w:val="20"/>
                <w:szCs w:val="20"/>
              </w:rPr>
              <w:t>նախարարությունը</w:t>
            </w:r>
            <w:r w:rsidRPr="0053423A">
              <w:rPr>
                <w:rFonts w:eastAsia="Calibri" w:cs="Calibri"/>
                <w:sz w:val="20"/>
                <w:szCs w:val="20"/>
                <w:lang w:val="tr-TR"/>
              </w:rPr>
              <w:t xml:space="preserve"> </w:t>
            </w:r>
            <w:r w:rsidRPr="0053423A">
              <w:rPr>
                <w:rFonts w:eastAsia="Calibri" w:cs="Calibri"/>
                <w:sz w:val="20"/>
                <w:szCs w:val="20"/>
              </w:rPr>
              <w:t>աշխատանքներ</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իրականացնում</w:t>
            </w:r>
            <w:r w:rsidRPr="0053423A">
              <w:rPr>
                <w:rFonts w:eastAsia="Calibri" w:cs="Calibri"/>
                <w:sz w:val="20"/>
                <w:szCs w:val="20"/>
                <w:lang w:val="tr-TR"/>
              </w:rPr>
              <w:t xml:space="preserve"> </w:t>
            </w:r>
            <w:r w:rsidRPr="0053423A">
              <w:rPr>
                <w:rFonts w:eastAsia="Calibri" w:cs="Calibri"/>
                <w:sz w:val="20"/>
                <w:szCs w:val="20"/>
              </w:rPr>
              <w:t>Հայաստանի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այլ</w:t>
            </w:r>
            <w:r w:rsidRPr="0053423A">
              <w:rPr>
                <w:rFonts w:eastAsia="Calibri" w:cs="Calibri"/>
                <w:sz w:val="20"/>
                <w:szCs w:val="20"/>
                <w:lang w:val="tr-TR"/>
              </w:rPr>
              <w:t xml:space="preserve"> </w:t>
            </w:r>
            <w:r w:rsidRPr="0053423A">
              <w:rPr>
                <w:rFonts w:eastAsia="Calibri" w:cs="Calibri"/>
                <w:sz w:val="20"/>
                <w:szCs w:val="20"/>
              </w:rPr>
              <w:t>պետությունների</w:t>
            </w:r>
            <w:r w:rsidRPr="0053423A">
              <w:rPr>
                <w:rFonts w:eastAsia="Calibri" w:cs="Calibri"/>
                <w:sz w:val="20"/>
                <w:szCs w:val="20"/>
                <w:lang w:val="tr-TR"/>
              </w:rPr>
              <w:t xml:space="preserve"> </w:t>
            </w:r>
            <w:r w:rsidRPr="0053423A">
              <w:rPr>
                <w:rFonts w:eastAsia="Calibri" w:cs="Calibri"/>
                <w:sz w:val="20"/>
                <w:szCs w:val="20"/>
              </w:rPr>
              <w:t>հեղինակավոր</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գործիչների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խայմանավորվածություններ</w:t>
            </w:r>
            <w:r w:rsidRPr="0053423A">
              <w:rPr>
                <w:rFonts w:eastAsia="Calibri" w:cs="Calibri"/>
                <w:sz w:val="20"/>
                <w:szCs w:val="20"/>
                <w:lang w:val="tr-TR"/>
              </w:rPr>
              <w:t xml:space="preserve"> </w:t>
            </w:r>
            <w:r w:rsidRPr="0053423A">
              <w:rPr>
                <w:rFonts w:eastAsia="Calibri" w:cs="Calibri"/>
                <w:sz w:val="20"/>
                <w:szCs w:val="20"/>
              </w:rPr>
              <w:t>ձեռք</w:t>
            </w:r>
            <w:r w:rsidRPr="0053423A">
              <w:rPr>
                <w:rFonts w:eastAsia="Calibri" w:cs="Calibri"/>
                <w:sz w:val="20"/>
                <w:szCs w:val="20"/>
                <w:lang w:val="tr-TR"/>
              </w:rPr>
              <w:t xml:space="preserve"> </w:t>
            </w:r>
            <w:r w:rsidRPr="0053423A">
              <w:rPr>
                <w:rFonts w:eastAsia="Calibri" w:cs="Calibri"/>
                <w:sz w:val="20"/>
                <w:szCs w:val="20"/>
              </w:rPr>
              <w:t>բերելու</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նրանց</w:t>
            </w:r>
            <w:r w:rsidRPr="0053423A">
              <w:rPr>
                <w:rFonts w:eastAsia="Calibri" w:cs="Calibri"/>
                <w:sz w:val="20"/>
                <w:szCs w:val="20"/>
                <w:lang w:val="tr-TR"/>
              </w:rPr>
              <w:t xml:space="preserve"> </w:t>
            </w:r>
            <w:r w:rsidRPr="0053423A">
              <w:rPr>
                <w:rFonts w:eastAsia="Calibri" w:cs="Calibri"/>
                <w:sz w:val="20"/>
                <w:szCs w:val="20"/>
              </w:rPr>
              <w:t>տարեկան</w:t>
            </w:r>
            <w:r w:rsidRPr="0053423A">
              <w:rPr>
                <w:rFonts w:eastAsia="Calibri" w:cs="Calibri"/>
                <w:sz w:val="20"/>
                <w:szCs w:val="20"/>
                <w:lang w:val="tr-TR"/>
              </w:rPr>
              <w:t xml:space="preserve"> </w:t>
            </w:r>
            <w:r w:rsidRPr="0053423A">
              <w:rPr>
                <w:rFonts w:eastAsia="Calibri" w:cs="Calibri"/>
                <w:sz w:val="20"/>
                <w:szCs w:val="20"/>
              </w:rPr>
              <w:t>միջոռացումների</w:t>
            </w:r>
            <w:r w:rsidRPr="0053423A">
              <w:rPr>
                <w:rFonts w:eastAsia="Calibri" w:cs="Calibri"/>
                <w:sz w:val="20"/>
                <w:szCs w:val="20"/>
                <w:lang w:val="tr-TR"/>
              </w:rPr>
              <w:t xml:space="preserve"> </w:t>
            </w:r>
            <w:r w:rsidRPr="0053423A">
              <w:rPr>
                <w:rFonts w:eastAsia="Calibri" w:cs="Calibri"/>
                <w:sz w:val="20"/>
                <w:szCs w:val="20"/>
              </w:rPr>
              <w:t>մեջ</w:t>
            </w:r>
            <w:r w:rsidRPr="0053423A">
              <w:rPr>
                <w:rFonts w:eastAsia="Calibri" w:cs="Calibri"/>
                <w:sz w:val="20"/>
                <w:szCs w:val="20"/>
                <w:lang w:val="tr-TR"/>
              </w:rPr>
              <w:t xml:space="preserve"> </w:t>
            </w:r>
            <w:r w:rsidRPr="0053423A">
              <w:rPr>
                <w:rFonts w:eastAsia="Calibri" w:cs="Calibri"/>
                <w:sz w:val="20"/>
                <w:szCs w:val="20"/>
              </w:rPr>
              <w:t>ընդգրկման</w:t>
            </w:r>
            <w:r w:rsidRPr="0053423A">
              <w:rPr>
                <w:rFonts w:eastAsia="Calibri" w:cs="Calibri"/>
                <w:sz w:val="20"/>
                <w:szCs w:val="20"/>
                <w:lang w:val="tr-TR"/>
              </w:rPr>
              <w:t xml:space="preserve"> </w:t>
            </w:r>
            <w:r w:rsidRPr="0053423A">
              <w:rPr>
                <w:rFonts w:eastAsia="Calibri" w:cs="Calibri"/>
                <w:sz w:val="20"/>
                <w:szCs w:val="20"/>
              </w:rPr>
              <w:t>ուղղությամբ</w:t>
            </w:r>
            <w:r w:rsidRPr="0053423A">
              <w:rPr>
                <w:rFonts w:eastAsia="Calibri" w:cs="Calibri"/>
                <w:sz w:val="20"/>
                <w:szCs w:val="20"/>
                <w:lang w:val="tr-TR"/>
              </w:rPr>
              <w:t xml:space="preserve">: Մշակույթի տարբեր ոլորտներում առկա է </w:t>
            </w:r>
            <w:r w:rsidRPr="0053423A">
              <w:rPr>
                <w:rFonts w:eastAsia="Calibri" w:cs="Calibri"/>
                <w:sz w:val="20"/>
                <w:szCs w:val="20"/>
              </w:rPr>
              <w:t>մասնագետների</w:t>
            </w:r>
            <w:r w:rsidRPr="0053423A">
              <w:rPr>
                <w:rFonts w:eastAsia="Calibri" w:cs="Calibri"/>
                <w:sz w:val="20"/>
                <w:szCs w:val="20"/>
                <w:lang w:val="tr-TR"/>
              </w:rPr>
              <w:t xml:space="preserve"> </w:t>
            </w:r>
            <w:r w:rsidRPr="0053423A">
              <w:rPr>
                <w:rFonts w:eastAsia="Calibri" w:cs="Calibri"/>
                <w:sz w:val="20"/>
                <w:szCs w:val="20"/>
              </w:rPr>
              <w:t>փոխանակման</w:t>
            </w:r>
            <w:r w:rsidRPr="0053423A">
              <w:rPr>
                <w:rFonts w:eastAsia="Calibri" w:cs="Calibri"/>
                <w:sz w:val="20"/>
                <w:szCs w:val="20"/>
                <w:lang w:val="tr-TR"/>
              </w:rPr>
              <w:t xml:space="preserve">, </w:t>
            </w:r>
            <w:r w:rsidRPr="0053423A">
              <w:rPr>
                <w:rFonts w:eastAsia="Calibri" w:cs="Calibri"/>
                <w:sz w:val="20"/>
                <w:szCs w:val="20"/>
              </w:rPr>
              <w:t>ուսուցման</w:t>
            </w:r>
            <w:r w:rsidRPr="0053423A">
              <w:rPr>
                <w:rFonts w:eastAsia="Calibri" w:cs="Calibri"/>
                <w:sz w:val="20"/>
                <w:szCs w:val="20"/>
                <w:lang w:val="tr-TR"/>
              </w:rPr>
              <w:t xml:space="preserve">, </w:t>
            </w:r>
            <w:r w:rsidRPr="0053423A">
              <w:rPr>
                <w:rFonts w:eastAsia="Calibri" w:cs="Calibri"/>
                <w:sz w:val="20"/>
                <w:szCs w:val="20"/>
              </w:rPr>
              <w:t>փորձագիտական</w:t>
            </w:r>
            <w:r w:rsidRPr="0053423A">
              <w:rPr>
                <w:rFonts w:eastAsia="Calibri" w:cs="Calibri"/>
                <w:sz w:val="20"/>
                <w:szCs w:val="20"/>
                <w:lang w:val="tr-TR"/>
              </w:rPr>
              <w:t xml:space="preserve"> </w:t>
            </w:r>
            <w:r w:rsidRPr="0053423A">
              <w:rPr>
                <w:rFonts w:eastAsia="Calibri" w:cs="Calibri"/>
                <w:sz w:val="20"/>
                <w:szCs w:val="20"/>
              </w:rPr>
              <w:t>աջակցության</w:t>
            </w:r>
            <w:r w:rsidRPr="0053423A">
              <w:rPr>
                <w:rFonts w:eastAsia="Calibri" w:cs="Calibri"/>
                <w:sz w:val="20"/>
                <w:szCs w:val="20"/>
                <w:lang w:val="tr-TR"/>
              </w:rPr>
              <w:t xml:space="preserve">, </w:t>
            </w:r>
            <w:r w:rsidRPr="0053423A">
              <w:rPr>
                <w:rFonts w:eastAsia="Calibri" w:cs="Calibri"/>
                <w:sz w:val="20"/>
                <w:szCs w:val="20"/>
              </w:rPr>
              <w:t>վարպետության</w:t>
            </w:r>
            <w:r w:rsidRPr="0053423A">
              <w:rPr>
                <w:rFonts w:eastAsia="Calibri" w:cs="Calibri"/>
                <w:sz w:val="20"/>
                <w:szCs w:val="20"/>
                <w:lang w:val="tr-TR"/>
              </w:rPr>
              <w:t xml:space="preserve"> </w:t>
            </w:r>
            <w:r w:rsidRPr="0053423A">
              <w:rPr>
                <w:rFonts w:eastAsia="Calibri" w:cs="Calibri"/>
                <w:sz w:val="20"/>
                <w:szCs w:val="20"/>
              </w:rPr>
              <w:t>դասընթացների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խորհրդատվությունների</w:t>
            </w:r>
            <w:r w:rsidRPr="0053423A">
              <w:rPr>
                <w:rFonts w:eastAsia="Calibri" w:cs="Calibri"/>
                <w:sz w:val="20"/>
                <w:szCs w:val="20"/>
                <w:lang w:val="tr-TR"/>
              </w:rPr>
              <w:t xml:space="preserve"> </w:t>
            </w:r>
            <w:r w:rsidRPr="0053423A">
              <w:rPr>
                <w:rFonts w:eastAsia="Calibri" w:cs="Calibri"/>
                <w:sz w:val="20"/>
                <w:szCs w:val="20"/>
              </w:rPr>
              <w:t>խնդիրը</w:t>
            </w:r>
            <w:r w:rsidRPr="0053423A">
              <w:rPr>
                <w:rFonts w:eastAsia="Calibri" w:cs="Calibri"/>
                <w:sz w:val="20"/>
                <w:szCs w:val="20"/>
                <w:lang w:val="tr-TR"/>
              </w:rPr>
              <w:t>:</w:t>
            </w:r>
          </w:p>
          <w:p w:rsidR="00A67B6B" w:rsidRPr="0053423A" w:rsidRDefault="00A67B6B" w:rsidP="00A67858">
            <w:pPr>
              <w:tabs>
                <w:tab w:val="left" w:pos="508"/>
              </w:tabs>
              <w:spacing w:after="0" w:line="276" w:lineRule="auto"/>
              <w:jc w:val="both"/>
              <w:rPr>
                <w:rFonts w:eastAsia="Calibri" w:cs="Calibri"/>
                <w:sz w:val="20"/>
                <w:szCs w:val="20"/>
                <w:lang w:val="tr-TR"/>
              </w:rPr>
            </w:pPr>
          </w:p>
          <w:p w:rsidR="00A67B6B" w:rsidRPr="0053423A" w:rsidRDefault="00A67B6B" w:rsidP="001F6D5D">
            <w:pPr>
              <w:numPr>
                <w:ilvl w:val="1"/>
                <w:numId w:val="233"/>
              </w:numPr>
              <w:tabs>
                <w:tab w:val="left" w:pos="508"/>
              </w:tabs>
              <w:spacing w:after="0" w:line="276" w:lineRule="auto"/>
              <w:ind w:hanging="707"/>
              <w:jc w:val="both"/>
              <w:rPr>
                <w:rFonts w:eastAsia="Calibri" w:cs="Calibri"/>
                <w:b/>
                <w:sz w:val="20"/>
                <w:szCs w:val="20"/>
                <w:lang w:val="tr-TR"/>
              </w:rPr>
            </w:pPr>
            <w:r w:rsidRPr="0053423A">
              <w:rPr>
                <w:rFonts w:eastAsia="Calibri" w:cs="Calibri"/>
                <w:b/>
                <w:sz w:val="20"/>
                <w:szCs w:val="20"/>
              </w:rPr>
              <w:t>Առկա</w:t>
            </w:r>
            <w:r w:rsidRPr="0053423A">
              <w:rPr>
                <w:rFonts w:eastAsia="Calibri" w:cs="Calibri"/>
                <w:b/>
                <w:sz w:val="20"/>
                <w:szCs w:val="20"/>
                <w:lang w:val="tr-TR"/>
              </w:rPr>
              <w:t xml:space="preserve"> </w:t>
            </w:r>
            <w:r w:rsidRPr="0053423A">
              <w:rPr>
                <w:rFonts w:eastAsia="Calibri" w:cs="Calibri"/>
                <w:b/>
                <w:sz w:val="20"/>
                <w:szCs w:val="20"/>
              </w:rPr>
              <w:t>խնդիրների</w:t>
            </w:r>
            <w:r w:rsidRPr="0053423A">
              <w:rPr>
                <w:rFonts w:eastAsia="Calibri" w:cs="Calibri"/>
                <w:b/>
                <w:sz w:val="20"/>
                <w:szCs w:val="20"/>
                <w:lang w:val="tr-TR"/>
              </w:rPr>
              <w:t xml:space="preserve"> </w:t>
            </w:r>
            <w:r w:rsidRPr="0053423A">
              <w:rPr>
                <w:rFonts w:eastAsia="Calibri" w:cs="Calibri"/>
                <w:b/>
                <w:sz w:val="20"/>
                <w:szCs w:val="20"/>
              </w:rPr>
              <w:t>առաջարկվող</w:t>
            </w:r>
            <w:r w:rsidRPr="0053423A">
              <w:rPr>
                <w:rFonts w:eastAsia="Calibri" w:cs="Calibri"/>
                <w:b/>
                <w:sz w:val="20"/>
                <w:szCs w:val="20"/>
                <w:lang w:val="tr-TR"/>
              </w:rPr>
              <w:t xml:space="preserve"> </w:t>
            </w:r>
            <w:r w:rsidRPr="0053423A">
              <w:rPr>
                <w:rFonts w:eastAsia="Calibri" w:cs="Calibri"/>
                <w:b/>
                <w:sz w:val="20"/>
                <w:szCs w:val="20"/>
              </w:rPr>
              <w:t>լուծումները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Տեղում</w:t>
            </w:r>
            <w:r w:rsidRPr="0053423A">
              <w:rPr>
                <w:rFonts w:eastAsia="Calibri" w:cs="Calibri"/>
                <w:sz w:val="20"/>
                <w:szCs w:val="20"/>
                <w:lang w:val="tr-TR"/>
              </w:rPr>
              <w:t xml:space="preserve"> </w:t>
            </w:r>
            <w:r w:rsidRPr="0053423A">
              <w:rPr>
                <w:rFonts w:eastAsia="Calibri" w:cs="Calibri"/>
                <w:sz w:val="20"/>
                <w:szCs w:val="20"/>
              </w:rPr>
              <w:t>մասնագիտական</w:t>
            </w:r>
            <w:r w:rsidRPr="0053423A">
              <w:rPr>
                <w:rFonts w:eastAsia="Calibri" w:cs="Calibri"/>
                <w:sz w:val="20"/>
                <w:szCs w:val="20"/>
                <w:lang w:val="tr-TR"/>
              </w:rPr>
              <w:t xml:space="preserve"> </w:t>
            </w:r>
            <w:r w:rsidRPr="0053423A">
              <w:rPr>
                <w:rFonts w:eastAsia="Calibri" w:cs="Calibri"/>
                <w:sz w:val="20"/>
                <w:szCs w:val="20"/>
              </w:rPr>
              <w:t>աչքով</w:t>
            </w:r>
            <w:r w:rsidRPr="0053423A">
              <w:rPr>
                <w:rFonts w:eastAsia="Calibri" w:cs="Calibri"/>
                <w:sz w:val="20"/>
                <w:szCs w:val="20"/>
                <w:lang w:val="tr-TR"/>
              </w:rPr>
              <w:t xml:space="preserve"> </w:t>
            </w:r>
            <w:r w:rsidRPr="0053423A">
              <w:rPr>
                <w:rFonts w:eastAsia="Calibri" w:cs="Calibri"/>
                <w:sz w:val="20"/>
                <w:szCs w:val="20"/>
              </w:rPr>
              <w:t>ծանոթանալու</w:t>
            </w:r>
            <w:r w:rsidRPr="0053423A">
              <w:rPr>
                <w:rFonts w:eastAsia="Calibri" w:cs="Calibri"/>
                <w:sz w:val="20"/>
                <w:szCs w:val="20"/>
                <w:lang w:val="tr-TR"/>
              </w:rPr>
              <w:t xml:space="preserve">, </w:t>
            </w:r>
            <w:r w:rsidRPr="0053423A">
              <w:rPr>
                <w:rFonts w:eastAsia="Calibri" w:cs="Calibri"/>
                <w:sz w:val="20"/>
                <w:szCs w:val="20"/>
              </w:rPr>
              <w:t>նորարարական</w:t>
            </w:r>
            <w:r w:rsidRPr="0053423A">
              <w:rPr>
                <w:rFonts w:eastAsia="Calibri" w:cs="Calibri"/>
                <w:sz w:val="20"/>
                <w:szCs w:val="20"/>
                <w:lang w:val="tr-TR"/>
              </w:rPr>
              <w:t xml:space="preserve"> </w:t>
            </w:r>
            <w:r w:rsidRPr="0053423A">
              <w:rPr>
                <w:rFonts w:eastAsia="Calibri" w:cs="Calibri"/>
                <w:sz w:val="20"/>
                <w:szCs w:val="20"/>
              </w:rPr>
              <w:t>մոտեցումներ</w:t>
            </w:r>
            <w:r w:rsidRPr="0053423A">
              <w:rPr>
                <w:rFonts w:eastAsia="Calibri" w:cs="Calibri"/>
                <w:sz w:val="20"/>
                <w:szCs w:val="20"/>
                <w:lang w:val="tr-TR"/>
              </w:rPr>
              <w:t xml:space="preserve"> </w:t>
            </w:r>
            <w:r w:rsidRPr="0053423A">
              <w:rPr>
                <w:rFonts w:eastAsia="Calibri" w:cs="Calibri"/>
                <w:sz w:val="20"/>
                <w:szCs w:val="20"/>
              </w:rPr>
              <w:t>ցուցաբերելու</w:t>
            </w:r>
            <w:r w:rsidRPr="0053423A">
              <w:rPr>
                <w:rFonts w:eastAsia="Calibri" w:cs="Calibri"/>
                <w:sz w:val="20"/>
                <w:szCs w:val="20"/>
                <w:lang w:val="tr-TR"/>
              </w:rPr>
              <w:t xml:space="preserve">, </w:t>
            </w:r>
            <w:r w:rsidRPr="0053423A">
              <w:rPr>
                <w:rFonts w:eastAsia="Calibri" w:cs="Calibri"/>
                <w:sz w:val="20"/>
                <w:szCs w:val="20"/>
              </w:rPr>
              <w:t>տեղայնացված</w:t>
            </w:r>
            <w:r w:rsidRPr="0053423A">
              <w:rPr>
                <w:rFonts w:eastAsia="Calibri" w:cs="Calibri"/>
                <w:sz w:val="20"/>
                <w:szCs w:val="20"/>
                <w:lang w:val="tr-TR"/>
              </w:rPr>
              <w:t xml:space="preserve"> </w:t>
            </w:r>
            <w:r w:rsidRPr="0053423A">
              <w:rPr>
                <w:rFonts w:eastAsia="Calibri" w:cs="Calibri"/>
                <w:sz w:val="20"/>
                <w:szCs w:val="20"/>
              </w:rPr>
              <w:t>ծրագրեր</w:t>
            </w:r>
            <w:r w:rsidRPr="0053423A">
              <w:rPr>
                <w:rFonts w:eastAsia="Calibri" w:cs="Calibri"/>
                <w:sz w:val="20"/>
                <w:szCs w:val="20"/>
                <w:lang w:val="tr-TR"/>
              </w:rPr>
              <w:t xml:space="preserve"> </w:t>
            </w:r>
            <w:r w:rsidRPr="0053423A">
              <w:rPr>
                <w:rFonts w:eastAsia="Calibri" w:cs="Calibri"/>
                <w:sz w:val="20"/>
                <w:szCs w:val="20"/>
              </w:rPr>
              <w:t>մշակելու</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արդիական</w:t>
            </w:r>
            <w:r w:rsidRPr="0053423A">
              <w:rPr>
                <w:rFonts w:eastAsia="Calibri" w:cs="Calibri"/>
                <w:sz w:val="20"/>
                <w:szCs w:val="20"/>
                <w:lang w:val="tr-TR"/>
              </w:rPr>
              <w:t xml:space="preserve"> </w:t>
            </w:r>
            <w:r w:rsidRPr="0053423A">
              <w:rPr>
                <w:rFonts w:eastAsia="Calibri" w:cs="Calibri"/>
                <w:sz w:val="20"/>
                <w:szCs w:val="20"/>
              </w:rPr>
              <w:t>մտքերի</w:t>
            </w:r>
            <w:r w:rsidRPr="0053423A">
              <w:rPr>
                <w:rFonts w:eastAsia="Calibri" w:cs="Calibri"/>
                <w:sz w:val="20"/>
                <w:szCs w:val="20"/>
                <w:lang w:val="tr-TR"/>
              </w:rPr>
              <w:t xml:space="preserve"> </w:t>
            </w:r>
            <w:r w:rsidRPr="0053423A">
              <w:rPr>
                <w:rFonts w:eastAsia="Calibri" w:cs="Calibri"/>
                <w:sz w:val="20"/>
                <w:szCs w:val="20"/>
              </w:rPr>
              <w:t>իրականացման</w:t>
            </w:r>
            <w:r w:rsidRPr="0053423A">
              <w:rPr>
                <w:rFonts w:eastAsia="Calibri" w:cs="Calibri"/>
                <w:sz w:val="20"/>
                <w:szCs w:val="20"/>
                <w:lang w:val="tr-TR"/>
              </w:rPr>
              <w:t xml:space="preserve"> </w:t>
            </w:r>
            <w:r w:rsidRPr="0053423A">
              <w:rPr>
                <w:rFonts w:eastAsia="Calibri" w:cs="Calibri"/>
                <w:sz w:val="20"/>
                <w:szCs w:val="20"/>
              </w:rPr>
              <w:t>նպատակով</w:t>
            </w:r>
            <w:r w:rsidRPr="0053423A">
              <w:rPr>
                <w:rFonts w:eastAsia="Calibri" w:cs="Calibri"/>
                <w:sz w:val="20"/>
                <w:szCs w:val="20"/>
                <w:lang w:val="tr-TR"/>
              </w:rPr>
              <w:t xml:space="preserve"> </w:t>
            </w:r>
            <w:r w:rsidRPr="0053423A">
              <w:rPr>
                <w:rFonts w:eastAsia="Calibri" w:cs="Calibri"/>
                <w:sz w:val="20"/>
                <w:szCs w:val="20"/>
              </w:rPr>
              <w:t>անհրաժեշտ</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Հայաստանում</w:t>
            </w:r>
            <w:r w:rsidRPr="0053423A">
              <w:rPr>
                <w:rFonts w:eastAsia="Calibri" w:cs="Calibri"/>
                <w:sz w:val="20"/>
                <w:szCs w:val="20"/>
                <w:lang w:val="tr-TR"/>
              </w:rPr>
              <w:t xml:space="preserve"> </w:t>
            </w:r>
            <w:r w:rsidRPr="0053423A">
              <w:rPr>
                <w:rFonts w:eastAsia="Calibri" w:cs="Calibri"/>
                <w:sz w:val="20"/>
                <w:szCs w:val="20"/>
              </w:rPr>
              <w:t>կազմակերպել</w:t>
            </w:r>
            <w:r w:rsidRPr="0053423A">
              <w:rPr>
                <w:rFonts w:eastAsia="Calibri" w:cs="Calibri"/>
                <w:sz w:val="20"/>
                <w:szCs w:val="20"/>
                <w:lang w:val="tr-TR"/>
              </w:rPr>
              <w:t xml:space="preserve"> </w:t>
            </w:r>
            <w:r w:rsidRPr="0053423A">
              <w:rPr>
                <w:rFonts w:eastAsia="Calibri" w:cs="Calibri"/>
                <w:sz w:val="20"/>
                <w:szCs w:val="20"/>
              </w:rPr>
              <w:t>տարբեր</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ոլորտների</w:t>
            </w:r>
            <w:r w:rsidRPr="0053423A">
              <w:rPr>
                <w:rFonts w:eastAsia="Calibri" w:cs="Calibri"/>
                <w:sz w:val="20"/>
                <w:szCs w:val="20"/>
                <w:lang w:val="tr-TR"/>
              </w:rPr>
              <w:t xml:space="preserve"> </w:t>
            </w:r>
            <w:r w:rsidRPr="0053423A">
              <w:rPr>
                <w:rFonts w:eastAsia="Calibri" w:cs="Calibri"/>
                <w:sz w:val="20"/>
                <w:szCs w:val="20"/>
              </w:rPr>
              <w:t>մասնագիտական</w:t>
            </w:r>
            <w:r w:rsidRPr="0053423A">
              <w:rPr>
                <w:rFonts w:eastAsia="Calibri" w:cs="Calibri"/>
                <w:sz w:val="20"/>
                <w:szCs w:val="20"/>
                <w:lang w:val="tr-TR"/>
              </w:rPr>
              <w:t xml:space="preserve"> </w:t>
            </w:r>
            <w:r w:rsidRPr="0053423A">
              <w:rPr>
                <w:rFonts w:eastAsia="Calibri" w:cs="Calibri"/>
                <w:sz w:val="20"/>
                <w:szCs w:val="20"/>
              </w:rPr>
              <w:t>այցեր</w:t>
            </w:r>
            <w:r w:rsidRPr="0053423A">
              <w:rPr>
                <w:rFonts w:eastAsia="Calibri" w:cs="Calibri"/>
                <w:sz w:val="20"/>
                <w:szCs w:val="20"/>
                <w:lang w:val="tr-TR"/>
              </w:rPr>
              <w:t xml:space="preserve">, </w:t>
            </w:r>
            <w:r w:rsidRPr="0053423A">
              <w:rPr>
                <w:rFonts w:eastAsia="Calibri" w:cs="Calibri"/>
                <w:sz w:val="20"/>
                <w:szCs w:val="20"/>
              </w:rPr>
              <w:t>նոր</w:t>
            </w:r>
            <w:r w:rsidRPr="0053423A">
              <w:rPr>
                <w:rFonts w:eastAsia="Calibri" w:cs="Calibri"/>
                <w:sz w:val="20"/>
                <w:szCs w:val="20"/>
                <w:lang w:val="tr-TR"/>
              </w:rPr>
              <w:t xml:space="preserve"> </w:t>
            </w:r>
            <w:r w:rsidRPr="0053423A">
              <w:rPr>
                <w:rFonts w:eastAsia="Calibri" w:cs="Calibri"/>
                <w:sz w:val="20"/>
                <w:szCs w:val="20"/>
              </w:rPr>
              <w:t>ռազմավարական</w:t>
            </w:r>
            <w:r w:rsidRPr="0053423A">
              <w:rPr>
                <w:rFonts w:eastAsia="Calibri" w:cs="Calibri"/>
                <w:sz w:val="20"/>
                <w:szCs w:val="20"/>
                <w:lang w:val="tr-TR"/>
              </w:rPr>
              <w:t xml:space="preserve"> </w:t>
            </w:r>
            <w:r w:rsidRPr="0053423A">
              <w:rPr>
                <w:rFonts w:eastAsia="Calibri" w:cs="Calibri"/>
                <w:sz w:val="20"/>
                <w:szCs w:val="20"/>
              </w:rPr>
              <w:t>ուղղությունների</w:t>
            </w:r>
            <w:r w:rsidRPr="0053423A">
              <w:rPr>
                <w:rFonts w:eastAsia="Calibri" w:cs="Calibri"/>
                <w:sz w:val="20"/>
                <w:szCs w:val="20"/>
                <w:lang w:val="tr-TR"/>
              </w:rPr>
              <w:t xml:space="preserve"> </w:t>
            </w:r>
            <w:r w:rsidRPr="0053423A">
              <w:rPr>
                <w:rFonts w:eastAsia="Calibri" w:cs="Calibri"/>
                <w:sz w:val="20"/>
                <w:szCs w:val="20"/>
              </w:rPr>
              <w:t>մշակման</w:t>
            </w:r>
            <w:r w:rsidRPr="0053423A">
              <w:rPr>
                <w:rFonts w:eastAsia="Calibri" w:cs="Calibri"/>
                <w:sz w:val="20"/>
                <w:szCs w:val="20"/>
                <w:lang w:val="tr-TR"/>
              </w:rPr>
              <w:t xml:space="preserve">, </w:t>
            </w:r>
            <w:r w:rsidRPr="0053423A">
              <w:rPr>
                <w:rFonts w:eastAsia="Calibri" w:cs="Calibri"/>
                <w:sz w:val="20"/>
                <w:szCs w:val="20"/>
              </w:rPr>
              <w:t>արվեստագետների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ոլորտի</w:t>
            </w:r>
            <w:r w:rsidRPr="0053423A">
              <w:rPr>
                <w:rFonts w:eastAsia="Calibri" w:cs="Calibri"/>
                <w:sz w:val="20"/>
                <w:szCs w:val="20"/>
                <w:lang w:val="tr-TR"/>
              </w:rPr>
              <w:t xml:space="preserve"> </w:t>
            </w:r>
            <w:r w:rsidRPr="0053423A">
              <w:rPr>
                <w:rFonts w:eastAsia="Calibri" w:cs="Calibri"/>
                <w:sz w:val="20"/>
                <w:szCs w:val="20"/>
              </w:rPr>
              <w:t>մասնագետների</w:t>
            </w:r>
            <w:r w:rsidRPr="0053423A">
              <w:rPr>
                <w:rFonts w:eastAsia="Calibri" w:cs="Calibri"/>
                <w:sz w:val="20"/>
                <w:szCs w:val="20"/>
                <w:lang w:val="tr-TR"/>
              </w:rPr>
              <w:t xml:space="preserve"> </w:t>
            </w:r>
            <w:r w:rsidRPr="0053423A">
              <w:rPr>
                <w:rFonts w:eastAsia="Calibri" w:cs="Calibri"/>
                <w:sz w:val="20"/>
                <w:szCs w:val="20"/>
              </w:rPr>
              <w:t>միջև</w:t>
            </w:r>
            <w:r w:rsidRPr="0053423A">
              <w:rPr>
                <w:rFonts w:eastAsia="Calibri" w:cs="Calibri"/>
                <w:sz w:val="20"/>
                <w:szCs w:val="20"/>
                <w:lang w:val="tr-TR"/>
              </w:rPr>
              <w:t xml:space="preserve"> </w:t>
            </w:r>
            <w:r w:rsidRPr="0053423A">
              <w:rPr>
                <w:rFonts w:eastAsia="Calibri" w:cs="Calibri"/>
                <w:sz w:val="20"/>
                <w:szCs w:val="20"/>
              </w:rPr>
              <w:t>շփումների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խորհրդատվությունների</w:t>
            </w:r>
            <w:r w:rsidRPr="0053423A">
              <w:rPr>
                <w:rFonts w:eastAsia="Calibri" w:cs="Calibri"/>
                <w:sz w:val="20"/>
                <w:szCs w:val="20"/>
                <w:lang w:val="tr-TR"/>
              </w:rPr>
              <w:t xml:space="preserve"> </w:t>
            </w:r>
            <w:r w:rsidRPr="0053423A">
              <w:rPr>
                <w:rFonts w:eastAsia="Calibri" w:cs="Calibri"/>
                <w:sz w:val="20"/>
                <w:szCs w:val="20"/>
              </w:rPr>
              <w:t>իրականացման</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w:t>
            </w:r>
          </w:p>
          <w:p w:rsidR="00A67B6B" w:rsidRPr="0053423A" w:rsidRDefault="00A67B6B" w:rsidP="00A67858">
            <w:pPr>
              <w:tabs>
                <w:tab w:val="left" w:pos="508"/>
              </w:tabs>
              <w:spacing w:after="0" w:line="276" w:lineRule="auto"/>
              <w:jc w:val="both"/>
              <w:rPr>
                <w:rFonts w:eastAsia="Calibri" w:cs="Calibri"/>
                <w:b/>
                <w:sz w:val="20"/>
                <w:szCs w:val="20"/>
                <w:lang w:val="tr-TR"/>
              </w:rPr>
            </w:pPr>
          </w:p>
          <w:p w:rsidR="00A67B6B" w:rsidRPr="0053423A" w:rsidRDefault="00A67B6B" w:rsidP="001F6D5D">
            <w:pPr>
              <w:numPr>
                <w:ilvl w:val="0"/>
                <w:numId w:val="233"/>
              </w:numPr>
              <w:tabs>
                <w:tab w:val="left" w:pos="508"/>
              </w:tabs>
              <w:spacing w:after="0" w:line="276" w:lineRule="auto"/>
              <w:ind w:hanging="720"/>
              <w:jc w:val="both"/>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իրականացումից</w:t>
            </w:r>
            <w:r w:rsidRPr="0053423A">
              <w:rPr>
                <w:rFonts w:eastAsia="Calibri" w:cs="Calibri"/>
                <w:b/>
                <w:sz w:val="20"/>
                <w:szCs w:val="20"/>
                <w:lang w:val="tr-TR"/>
              </w:rPr>
              <w:t xml:space="preserve"> </w:t>
            </w:r>
            <w:r w:rsidRPr="0053423A">
              <w:rPr>
                <w:rFonts w:eastAsia="Calibri" w:cs="Calibri"/>
                <w:b/>
                <w:sz w:val="20"/>
                <w:szCs w:val="20"/>
              </w:rPr>
              <w:t>ակնկալվող</w:t>
            </w:r>
            <w:r w:rsidRPr="0053423A">
              <w:rPr>
                <w:rFonts w:eastAsia="Calibri" w:cs="Calibri"/>
                <w:b/>
                <w:sz w:val="20"/>
                <w:szCs w:val="20"/>
                <w:lang w:val="tr-TR"/>
              </w:rPr>
              <w:t xml:space="preserve"> </w:t>
            </w:r>
            <w:r w:rsidRPr="0053423A">
              <w:rPr>
                <w:rFonts w:eastAsia="Calibri" w:cs="Calibri"/>
                <w:b/>
                <w:sz w:val="20"/>
                <w:szCs w:val="20"/>
              </w:rPr>
              <w:t>արդյունքը</w:t>
            </w:r>
          </w:p>
          <w:p w:rsidR="00A67B6B" w:rsidRPr="0053423A" w:rsidRDefault="00A67B6B" w:rsidP="00A67858">
            <w:pPr>
              <w:tabs>
                <w:tab w:val="left" w:pos="508"/>
              </w:tabs>
              <w:autoSpaceDE w:val="0"/>
              <w:autoSpaceDN w:val="0"/>
              <w:spacing w:after="0" w:line="276" w:lineRule="auto"/>
              <w:jc w:val="both"/>
              <w:rPr>
                <w:rFonts w:eastAsia="Times New Roman" w:cs="Calibri"/>
                <w:sz w:val="20"/>
                <w:szCs w:val="20"/>
                <w:lang w:val="tr-TR"/>
              </w:rPr>
            </w:pPr>
            <w:r w:rsidRPr="0053423A">
              <w:rPr>
                <w:rFonts w:eastAsia="Times New Roman" w:cs="Calibri"/>
                <w:sz w:val="20"/>
                <w:szCs w:val="20"/>
              </w:rPr>
              <w:t>Միջոցառումների</w:t>
            </w:r>
            <w:r w:rsidRPr="0053423A">
              <w:rPr>
                <w:rFonts w:eastAsia="Times New Roman" w:cs="Calibri"/>
                <w:sz w:val="20"/>
                <w:szCs w:val="20"/>
                <w:lang w:val="tr-TR"/>
              </w:rPr>
              <w:t xml:space="preserve"> </w:t>
            </w:r>
            <w:r w:rsidRPr="0053423A">
              <w:rPr>
                <w:rFonts w:eastAsia="Times New Roman" w:cs="Calibri"/>
                <w:sz w:val="20"/>
                <w:szCs w:val="20"/>
              </w:rPr>
              <w:t>իրականացման</w:t>
            </w:r>
            <w:r w:rsidRPr="0053423A">
              <w:rPr>
                <w:rFonts w:eastAsia="Times New Roman" w:cs="Calibri"/>
                <w:sz w:val="20"/>
                <w:szCs w:val="20"/>
                <w:lang w:val="tr-TR"/>
              </w:rPr>
              <w:t xml:space="preserve"> </w:t>
            </w:r>
            <w:r w:rsidRPr="0053423A">
              <w:rPr>
                <w:rFonts w:eastAsia="Times New Roman" w:cs="Calibri"/>
                <w:sz w:val="20"/>
                <w:szCs w:val="20"/>
              </w:rPr>
              <w:t>արդյունքում</w:t>
            </w:r>
            <w:r w:rsidRPr="0053423A">
              <w:rPr>
                <w:rFonts w:eastAsia="Times New Roman" w:cs="Calibri"/>
                <w:sz w:val="20"/>
                <w:szCs w:val="20"/>
                <w:lang w:val="tr-TR"/>
              </w:rPr>
              <w:t xml:space="preserve"> </w:t>
            </w:r>
            <w:r w:rsidRPr="0053423A">
              <w:rPr>
                <w:rFonts w:eastAsia="Times New Roman" w:cs="Calibri"/>
                <w:sz w:val="20"/>
                <w:szCs w:val="20"/>
              </w:rPr>
              <w:t>հնարավոր</w:t>
            </w:r>
            <w:r w:rsidRPr="0053423A">
              <w:rPr>
                <w:rFonts w:eastAsia="Times New Roman" w:cs="Calibri"/>
                <w:sz w:val="20"/>
                <w:szCs w:val="20"/>
                <w:lang w:val="tr-TR"/>
              </w:rPr>
              <w:t xml:space="preserve"> </w:t>
            </w:r>
            <w:r w:rsidRPr="0053423A">
              <w:rPr>
                <w:rFonts w:eastAsia="Times New Roman" w:cs="Calibri"/>
                <w:sz w:val="20"/>
                <w:szCs w:val="20"/>
              </w:rPr>
              <w:t>կլինի</w:t>
            </w:r>
            <w:r w:rsidRPr="0053423A">
              <w:rPr>
                <w:rFonts w:eastAsia="Times New Roman" w:cs="Calibri"/>
                <w:sz w:val="20"/>
                <w:szCs w:val="20"/>
                <w:lang w:val="tr-TR"/>
              </w:rPr>
              <w:t xml:space="preserve"> </w:t>
            </w:r>
            <w:r w:rsidRPr="0053423A">
              <w:rPr>
                <w:rFonts w:eastAsia="Times New Roman" w:cs="Calibri"/>
                <w:sz w:val="20"/>
                <w:szCs w:val="20"/>
              </w:rPr>
              <w:t>կոնկրետ</w:t>
            </w:r>
            <w:r w:rsidRPr="0053423A">
              <w:rPr>
                <w:rFonts w:eastAsia="Times New Roman" w:cs="Calibri"/>
                <w:sz w:val="20"/>
                <w:szCs w:val="20"/>
                <w:lang w:val="tr-TR"/>
              </w:rPr>
              <w:t xml:space="preserve"> </w:t>
            </w:r>
            <w:r w:rsidRPr="0053423A">
              <w:rPr>
                <w:rFonts w:eastAsia="Times New Roman" w:cs="Calibri"/>
                <w:sz w:val="20"/>
                <w:szCs w:val="20"/>
              </w:rPr>
              <w:t>մշակութային</w:t>
            </w:r>
            <w:r w:rsidRPr="0053423A">
              <w:rPr>
                <w:rFonts w:eastAsia="Times New Roman" w:cs="Calibri"/>
                <w:sz w:val="20"/>
                <w:szCs w:val="20"/>
                <w:lang w:val="tr-TR"/>
              </w:rPr>
              <w:t xml:space="preserve"> </w:t>
            </w:r>
            <w:r w:rsidRPr="0053423A">
              <w:rPr>
                <w:rFonts w:eastAsia="Times New Roman" w:cs="Calibri"/>
                <w:sz w:val="20"/>
                <w:szCs w:val="20"/>
              </w:rPr>
              <w:t>ոլորտներում</w:t>
            </w:r>
            <w:r w:rsidRPr="0053423A">
              <w:rPr>
                <w:rFonts w:eastAsia="Times New Roman" w:cs="Calibri"/>
                <w:sz w:val="20"/>
                <w:szCs w:val="20"/>
                <w:lang w:val="tr-TR"/>
              </w:rPr>
              <w:t xml:space="preserve"> </w:t>
            </w:r>
            <w:r w:rsidRPr="0053423A">
              <w:rPr>
                <w:rFonts w:eastAsia="Times New Roman" w:cs="Calibri"/>
                <w:sz w:val="20"/>
                <w:szCs w:val="20"/>
              </w:rPr>
              <w:t>բարձրացնել</w:t>
            </w:r>
            <w:r w:rsidRPr="0053423A">
              <w:rPr>
                <w:rFonts w:eastAsia="Times New Roman" w:cs="Calibri"/>
                <w:sz w:val="20"/>
                <w:szCs w:val="20"/>
                <w:lang w:val="tr-TR"/>
              </w:rPr>
              <w:t xml:space="preserve"> </w:t>
            </w:r>
            <w:r w:rsidRPr="0053423A">
              <w:rPr>
                <w:rFonts w:eastAsia="Times New Roman" w:cs="Calibri"/>
                <w:sz w:val="20"/>
                <w:szCs w:val="20"/>
              </w:rPr>
              <w:t>մասնագիտական</w:t>
            </w:r>
            <w:r w:rsidRPr="0053423A">
              <w:rPr>
                <w:rFonts w:eastAsia="Times New Roman" w:cs="Calibri"/>
                <w:sz w:val="20"/>
                <w:szCs w:val="20"/>
                <w:lang w:val="tr-TR"/>
              </w:rPr>
              <w:t xml:space="preserve">, </w:t>
            </w:r>
            <w:r w:rsidRPr="0053423A">
              <w:rPr>
                <w:rFonts w:eastAsia="Times New Roman" w:cs="Calibri"/>
                <w:sz w:val="20"/>
                <w:szCs w:val="20"/>
              </w:rPr>
              <w:t>կատարողական</w:t>
            </w:r>
            <w:r w:rsidRPr="0053423A">
              <w:rPr>
                <w:rFonts w:eastAsia="Times New Roman" w:cs="Calibri"/>
                <w:sz w:val="20"/>
                <w:szCs w:val="20"/>
                <w:lang w:val="tr-TR"/>
              </w:rPr>
              <w:t xml:space="preserve"> </w:t>
            </w:r>
            <w:r w:rsidRPr="0053423A">
              <w:rPr>
                <w:rFonts w:eastAsia="Times New Roman" w:cs="Calibri"/>
                <w:sz w:val="20"/>
                <w:szCs w:val="20"/>
              </w:rPr>
              <w:t>որակները</w:t>
            </w:r>
            <w:r w:rsidRPr="0053423A">
              <w:rPr>
                <w:rFonts w:eastAsia="Times New Roman" w:cs="Calibri"/>
                <w:sz w:val="20"/>
                <w:szCs w:val="20"/>
                <w:lang w:val="tr-TR"/>
              </w:rPr>
              <w:t xml:space="preserve">, </w:t>
            </w:r>
            <w:r w:rsidRPr="0053423A">
              <w:rPr>
                <w:rFonts w:eastAsia="Times New Roman" w:cs="Calibri"/>
                <w:sz w:val="20"/>
                <w:szCs w:val="20"/>
              </w:rPr>
              <w:t>ներդնել</w:t>
            </w:r>
            <w:r w:rsidRPr="0053423A">
              <w:rPr>
                <w:rFonts w:eastAsia="Times New Roman" w:cs="Calibri"/>
                <w:sz w:val="20"/>
                <w:szCs w:val="20"/>
                <w:lang w:val="tr-TR"/>
              </w:rPr>
              <w:t xml:space="preserve"> </w:t>
            </w:r>
            <w:r w:rsidRPr="0053423A">
              <w:rPr>
                <w:rFonts w:eastAsia="Times New Roman" w:cs="Calibri"/>
                <w:sz w:val="20"/>
                <w:szCs w:val="20"/>
              </w:rPr>
              <w:t>նորագույն</w:t>
            </w:r>
            <w:r w:rsidRPr="0053423A">
              <w:rPr>
                <w:rFonts w:eastAsia="Times New Roman" w:cs="Calibri"/>
                <w:sz w:val="20"/>
                <w:szCs w:val="20"/>
                <w:lang w:val="tr-TR"/>
              </w:rPr>
              <w:t xml:space="preserve"> </w:t>
            </w:r>
            <w:r w:rsidRPr="0053423A">
              <w:rPr>
                <w:rFonts w:eastAsia="Times New Roman" w:cs="Calibri"/>
                <w:sz w:val="20"/>
                <w:szCs w:val="20"/>
              </w:rPr>
              <w:t>տեխնոլոգիաներ</w:t>
            </w:r>
            <w:r w:rsidRPr="0053423A">
              <w:rPr>
                <w:rFonts w:eastAsia="Times New Roman" w:cs="Calibri"/>
                <w:sz w:val="20"/>
                <w:szCs w:val="20"/>
                <w:lang w:val="tr-TR"/>
              </w:rPr>
              <w:t xml:space="preserve">, </w:t>
            </w:r>
            <w:r w:rsidRPr="0053423A">
              <w:rPr>
                <w:rFonts w:eastAsia="Times New Roman" w:cs="Calibri"/>
                <w:sz w:val="20"/>
                <w:szCs w:val="20"/>
              </w:rPr>
              <w:t>որդեգրել</w:t>
            </w:r>
            <w:r w:rsidRPr="0053423A">
              <w:rPr>
                <w:rFonts w:eastAsia="Times New Roman" w:cs="Calibri"/>
                <w:sz w:val="20"/>
                <w:szCs w:val="20"/>
                <w:lang w:val="tr-TR"/>
              </w:rPr>
              <w:t xml:space="preserve"> </w:t>
            </w:r>
            <w:r w:rsidRPr="0053423A">
              <w:rPr>
                <w:rFonts w:eastAsia="Times New Roman" w:cs="Calibri"/>
                <w:sz w:val="20"/>
                <w:szCs w:val="20"/>
              </w:rPr>
              <w:t>նոր</w:t>
            </w:r>
            <w:r w:rsidRPr="0053423A">
              <w:rPr>
                <w:rFonts w:eastAsia="Times New Roman" w:cs="Calibri"/>
                <w:sz w:val="20"/>
                <w:szCs w:val="20"/>
                <w:lang w:val="tr-TR"/>
              </w:rPr>
              <w:t xml:space="preserve"> </w:t>
            </w:r>
            <w:r w:rsidRPr="0053423A">
              <w:rPr>
                <w:rFonts w:eastAsia="Times New Roman" w:cs="Calibri"/>
                <w:sz w:val="20"/>
                <w:szCs w:val="20"/>
              </w:rPr>
              <w:t>մոտեցումներ</w:t>
            </w:r>
            <w:r w:rsidRPr="0053423A">
              <w:rPr>
                <w:rFonts w:eastAsia="Times New Roman" w:cs="Calibri"/>
                <w:sz w:val="20"/>
                <w:szCs w:val="20"/>
                <w:lang w:val="tr-TR"/>
              </w:rPr>
              <w:t xml:space="preserve"> </w:t>
            </w:r>
            <w:r w:rsidRPr="0053423A">
              <w:rPr>
                <w:rFonts w:eastAsia="Times New Roman" w:cs="Calibri"/>
                <w:sz w:val="20"/>
                <w:szCs w:val="20"/>
              </w:rPr>
              <w:t>միջազգային</w:t>
            </w:r>
            <w:r w:rsidRPr="0053423A">
              <w:rPr>
                <w:rFonts w:eastAsia="Times New Roman" w:cs="Calibri"/>
                <w:sz w:val="20"/>
                <w:szCs w:val="20"/>
                <w:lang w:val="tr-TR"/>
              </w:rPr>
              <w:t xml:space="preserve"> </w:t>
            </w:r>
            <w:r w:rsidRPr="0053423A">
              <w:rPr>
                <w:rFonts w:eastAsia="Times New Roman" w:cs="Calibri"/>
                <w:sz w:val="20"/>
                <w:szCs w:val="20"/>
              </w:rPr>
              <w:t>գործընթացներին</w:t>
            </w:r>
            <w:r w:rsidRPr="0053423A">
              <w:rPr>
                <w:rFonts w:eastAsia="Times New Roman" w:cs="Calibri"/>
                <w:sz w:val="20"/>
                <w:szCs w:val="20"/>
                <w:lang w:val="tr-TR"/>
              </w:rPr>
              <w:t xml:space="preserve">  </w:t>
            </w:r>
            <w:r w:rsidRPr="0053423A">
              <w:rPr>
                <w:rFonts w:eastAsia="Times New Roman" w:cs="Calibri"/>
                <w:sz w:val="20"/>
                <w:szCs w:val="20"/>
              </w:rPr>
              <w:t>համընթաց</w:t>
            </w:r>
            <w:r w:rsidRPr="0053423A">
              <w:rPr>
                <w:rFonts w:eastAsia="Times New Roman" w:cs="Calibri"/>
                <w:sz w:val="20"/>
                <w:szCs w:val="20"/>
                <w:lang w:val="tr-TR"/>
              </w:rPr>
              <w:t xml:space="preserve"> </w:t>
            </w:r>
            <w:r w:rsidRPr="0053423A">
              <w:rPr>
                <w:rFonts w:eastAsia="Times New Roman" w:cs="Calibri"/>
                <w:sz w:val="20"/>
                <w:szCs w:val="20"/>
              </w:rPr>
              <w:t>առաջ</w:t>
            </w:r>
            <w:r w:rsidRPr="0053423A">
              <w:rPr>
                <w:rFonts w:eastAsia="Times New Roman" w:cs="Calibri"/>
                <w:sz w:val="20"/>
                <w:szCs w:val="20"/>
                <w:lang w:val="tr-TR"/>
              </w:rPr>
              <w:t xml:space="preserve"> </w:t>
            </w:r>
            <w:r w:rsidRPr="0053423A">
              <w:rPr>
                <w:rFonts w:eastAsia="Times New Roman" w:cs="Calibri"/>
                <w:sz w:val="20"/>
                <w:szCs w:val="20"/>
              </w:rPr>
              <w:t>շարժվելու</w:t>
            </w:r>
            <w:r w:rsidRPr="0053423A">
              <w:rPr>
                <w:rFonts w:eastAsia="Times New Roman" w:cs="Calibri"/>
                <w:sz w:val="20"/>
                <w:szCs w:val="20"/>
                <w:lang w:val="tr-TR"/>
              </w:rPr>
              <w:t xml:space="preserve"> </w:t>
            </w:r>
            <w:r w:rsidRPr="0053423A">
              <w:rPr>
                <w:rFonts w:eastAsia="Times New Roman" w:cs="Calibri"/>
                <w:sz w:val="20"/>
                <w:szCs w:val="20"/>
              </w:rPr>
              <w:t>համար</w:t>
            </w:r>
            <w:r w:rsidRPr="0053423A">
              <w:rPr>
                <w:rFonts w:eastAsia="Times New Roman" w:cs="Calibri"/>
                <w:sz w:val="20"/>
                <w:szCs w:val="20"/>
                <w:lang w:val="tr-TR"/>
              </w:rPr>
              <w:t>:</w:t>
            </w:r>
          </w:p>
          <w:p w:rsidR="00A67B6B" w:rsidRPr="0053423A" w:rsidRDefault="00A67B6B" w:rsidP="00A67858">
            <w:pPr>
              <w:tabs>
                <w:tab w:val="left" w:pos="508"/>
              </w:tabs>
              <w:autoSpaceDE w:val="0"/>
              <w:autoSpaceDN w:val="0"/>
              <w:spacing w:after="0" w:line="276" w:lineRule="auto"/>
              <w:jc w:val="center"/>
              <w:rPr>
                <w:rFonts w:eastAsia="Times New Roman" w:cs="Calibri"/>
                <w:sz w:val="20"/>
                <w:szCs w:val="20"/>
                <w:lang w:val="tr-TR"/>
              </w:rPr>
            </w:pPr>
          </w:p>
          <w:p w:rsidR="00A67B6B" w:rsidRPr="0053423A" w:rsidRDefault="00A67B6B" w:rsidP="00A67858">
            <w:pPr>
              <w:tabs>
                <w:tab w:val="left" w:pos="508"/>
              </w:tabs>
              <w:autoSpaceDE w:val="0"/>
              <w:autoSpaceDN w:val="0"/>
              <w:spacing w:after="0" w:line="276" w:lineRule="auto"/>
              <w:jc w:val="center"/>
              <w:rPr>
                <w:rFonts w:eastAsia="Times New Roman" w:cs="Calibri"/>
                <w:b/>
                <w:sz w:val="20"/>
                <w:szCs w:val="20"/>
                <w:lang w:val="tr-TR"/>
              </w:rPr>
            </w:pPr>
            <w:r w:rsidRPr="0053423A">
              <w:rPr>
                <w:rFonts w:eastAsia="Times New Roman" w:cs="Calibri"/>
                <w:b/>
                <w:sz w:val="20"/>
                <w:szCs w:val="20"/>
                <w:lang w:val="tr-TR"/>
              </w:rPr>
              <w:t xml:space="preserve">12.3 </w:t>
            </w:r>
            <w:r w:rsidRPr="0053423A">
              <w:rPr>
                <w:rFonts w:eastAsia="Times New Roman" w:cs="Calibri"/>
                <w:b/>
                <w:sz w:val="20"/>
                <w:szCs w:val="20"/>
              </w:rPr>
              <w:t>ՀՀ</w:t>
            </w:r>
            <w:r w:rsidRPr="0053423A">
              <w:rPr>
                <w:rFonts w:eastAsia="Times New Roman" w:cs="Calibri"/>
                <w:b/>
                <w:sz w:val="20"/>
                <w:szCs w:val="20"/>
                <w:lang w:val="tr-TR"/>
              </w:rPr>
              <w:t>-</w:t>
            </w:r>
            <w:r w:rsidRPr="0053423A">
              <w:rPr>
                <w:rFonts w:eastAsia="Times New Roman" w:cs="Calibri"/>
                <w:b/>
                <w:sz w:val="20"/>
                <w:szCs w:val="20"/>
              </w:rPr>
              <w:t>ում</w:t>
            </w:r>
            <w:r w:rsidRPr="0053423A">
              <w:rPr>
                <w:rFonts w:eastAsia="Times New Roman" w:cs="Calibri"/>
                <w:b/>
                <w:sz w:val="20"/>
                <w:szCs w:val="20"/>
                <w:lang w:val="tr-TR"/>
              </w:rPr>
              <w:t xml:space="preserve"> </w:t>
            </w:r>
            <w:r w:rsidRPr="0053423A">
              <w:rPr>
                <w:rFonts w:eastAsia="Times New Roman" w:cs="Calibri"/>
                <w:b/>
                <w:sz w:val="20"/>
                <w:szCs w:val="20"/>
              </w:rPr>
              <w:t>անցկացվող</w:t>
            </w:r>
            <w:r w:rsidRPr="0053423A">
              <w:rPr>
                <w:rFonts w:eastAsia="Times New Roman" w:cs="Calibri"/>
                <w:b/>
                <w:sz w:val="20"/>
                <w:szCs w:val="20"/>
                <w:lang w:val="tr-TR"/>
              </w:rPr>
              <w:t xml:space="preserve"> </w:t>
            </w:r>
            <w:r w:rsidRPr="0053423A">
              <w:rPr>
                <w:rFonts w:eastAsia="Times New Roman" w:cs="Calibri"/>
                <w:b/>
                <w:sz w:val="20"/>
                <w:szCs w:val="20"/>
              </w:rPr>
              <w:t>միջազգային</w:t>
            </w:r>
            <w:r w:rsidRPr="0053423A">
              <w:rPr>
                <w:rFonts w:eastAsia="Times New Roman" w:cs="Calibri"/>
                <w:b/>
                <w:sz w:val="20"/>
                <w:szCs w:val="20"/>
                <w:lang w:val="tr-TR"/>
              </w:rPr>
              <w:t xml:space="preserve"> </w:t>
            </w:r>
            <w:r w:rsidRPr="0053423A">
              <w:rPr>
                <w:rFonts w:eastAsia="Times New Roman" w:cs="Calibri"/>
                <w:b/>
                <w:sz w:val="20"/>
                <w:szCs w:val="20"/>
                <w:lang w:val="ru-RU"/>
              </w:rPr>
              <w:t>ծրագրերին</w:t>
            </w:r>
            <w:r w:rsidRPr="0053423A">
              <w:rPr>
                <w:rFonts w:eastAsia="Times New Roman" w:cs="Calibri"/>
                <w:b/>
                <w:sz w:val="20"/>
                <w:szCs w:val="20"/>
                <w:lang w:val="tr-TR"/>
              </w:rPr>
              <w:t xml:space="preserve">, </w:t>
            </w:r>
            <w:r w:rsidRPr="0053423A">
              <w:rPr>
                <w:rFonts w:eastAsia="Times New Roman" w:cs="Calibri"/>
                <w:b/>
                <w:sz w:val="20"/>
                <w:szCs w:val="20"/>
                <w:lang w:val="ru-RU"/>
              </w:rPr>
              <w:t>փառատոներին</w:t>
            </w:r>
            <w:r w:rsidRPr="0053423A">
              <w:rPr>
                <w:rFonts w:eastAsia="Times New Roman" w:cs="Calibri"/>
                <w:b/>
                <w:sz w:val="20"/>
                <w:szCs w:val="20"/>
                <w:lang w:val="tr-TR"/>
              </w:rPr>
              <w:t xml:space="preserve">, </w:t>
            </w:r>
            <w:r w:rsidRPr="0053423A">
              <w:rPr>
                <w:rFonts w:eastAsia="Times New Roman" w:cs="Calibri"/>
                <w:b/>
                <w:sz w:val="20"/>
                <w:szCs w:val="20"/>
                <w:lang w:val="ru-RU"/>
              </w:rPr>
              <w:t>մրցույթներին</w:t>
            </w:r>
            <w:r w:rsidRPr="0053423A">
              <w:rPr>
                <w:rFonts w:eastAsia="Times New Roman" w:cs="Calibri"/>
                <w:b/>
                <w:sz w:val="20"/>
                <w:szCs w:val="20"/>
                <w:lang w:val="tr-TR"/>
              </w:rPr>
              <w:t xml:space="preserve">, </w:t>
            </w:r>
            <w:r w:rsidRPr="0053423A">
              <w:rPr>
                <w:rFonts w:eastAsia="Times New Roman" w:cs="Calibri"/>
                <w:b/>
                <w:sz w:val="20"/>
                <w:szCs w:val="20"/>
                <w:lang w:val="ru-RU"/>
              </w:rPr>
              <w:t>գիտաժողովներին</w:t>
            </w:r>
            <w:r w:rsidRPr="0053423A">
              <w:rPr>
                <w:rFonts w:eastAsia="Times New Roman" w:cs="Calibri"/>
                <w:b/>
                <w:sz w:val="20"/>
                <w:szCs w:val="20"/>
                <w:lang w:val="tr-TR"/>
              </w:rPr>
              <w:t xml:space="preserve"> </w:t>
            </w:r>
            <w:r w:rsidRPr="0053423A">
              <w:rPr>
                <w:rFonts w:eastAsia="Times New Roman" w:cs="Calibri"/>
                <w:b/>
                <w:sz w:val="20"/>
                <w:szCs w:val="20"/>
                <w:lang w:val="ru-RU"/>
              </w:rPr>
              <w:t>օտարերկրյա</w:t>
            </w:r>
            <w:r w:rsidRPr="0053423A">
              <w:rPr>
                <w:rFonts w:eastAsia="Times New Roman" w:cs="Calibri"/>
                <w:b/>
                <w:sz w:val="20"/>
                <w:szCs w:val="20"/>
                <w:lang w:val="tr-TR"/>
              </w:rPr>
              <w:t xml:space="preserve"> </w:t>
            </w:r>
            <w:r w:rsidRPr="0053423A">
              <w:rPr>
                <w:rFonts w:eastAsia="Times New Roman" w:cs="Calibri"/>
                <w:b/>
                <w:sz w:val="20"/>
                <w:szCs w:val="20"/>
                <w:lang w:val="ru-RU"/>
              </w:rPr>
              <w:t>մասնակցիների</w:t>
            </w:r>
            <w:r w:rsidRPr="0053423A">
              <w:rPr>
                <w:rFonts w:eastAsia="Times New Roman" w:cs="Calibri"/>
                <w:b/>
                <w:sz w:val="20"/>
                <w:szCs w:val="20"/>
                <w:lang w:val="tr-TR"/>
              </w:rPr>
              <w:t xml:space="preserve"> </w:t>
            </w:r>
            <w:r w:rsidRPr="0053423A">
              <w:rPr>
                <w:rFonts w:eastAsia="Times New Roman" w:cs="Calibri"/>
                <w:b/>
                <w:sz w:val="20"/>
                <w:szCs w:val="20"/>
                <w:lang w:val="ru-RU"/>
              </w:rPr>
              <w:t>ապահովում</w:t>
            </w:r>
          </w:p>
          <w:p w:rsidR="00A67B6B" w:rsidRPr="0053423A" w:rsidRDefault="00A67B6B" w:rsidP="00A67858">
            <w:pPr>
              <w:tabs>
                <w:tab w:val="left" w:pos="508"/>
              </w:tabs>
              <w:autoSpaceDE w:val="0"/>
              <w:autoSpaceDN w:val="0"/>
              <w:spacing w:after="0" w:line="276" w:lineRule="auto"/>
              <w:jc w:val="center"/>
              <w:rPr>
                <w:rFonts w:eastAsia="Times New Roman" w:cs="Calibri"/>
                <w:sz w:val="20"/>
                <w:szCs w:val="20"/>
                <w:lang w:val="tr-TR"/>
              </w:rPr>
            </w:pPr>
          </w:p>
          <w:p w:rsidR="00A67B6B" w:rsidRPr="0053423A" w:rsidRDefault="00A67B6B" w:rsidP="001F6D5D">
            <w:pPr>
              <w:numPr>
                <w:ilvl w:val="0"/>
                <w:numId w:val="234"/>
              </w:numPr>
              <w:tabs>
                <w:tab w:val="left" w:pos="508"/>
              </w:tabs>
              <w:spacing w:after="0" w:line="276" w:lineRule="auto"/>
              <w:ind w:hanging="707"/>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իրականացման</w:t>
            </w:r>
            <w:r w:rsidRPr="0053423A">
              <w:rPr>
                <w:rFonts w:eastAsia="Calibri" w:cs="Calibri"/>
                <w:b/>
                <w:sz w:val="20"/>
                <w:szCs w:val="20"/>
                <w:lang w:val="tr-TR"/>
              </w:rPr>
              <w:t xml:space="preserve"> </w:t>
            </w:r>
            <w:r w:rsidRPr="0053423A">
              <w:rPr>
                <w:rFonts w:eastAsia="Calibri" w:cs="Calibri"/>
                <w:b/>
                <w:sz w:val="20"/>
                <w:szCs w:val="20"/>
              </w:rPr>
              <w:t>անհրաժեշտությունը</w:t>
            </w:r>
            <w:r w:rsidRPr="0053423A">
              <w:rPr>
                <w:rFonts w:eastAsia="Calibri" w:cs="Calibri"/>
                <w:b/>
                <w:sz w:val="20"/>
                <w:szCs w:val="20"/>
                <w:lang w:val="tr-TR"/>
              </w:rPr>
              <w:t xml:space="preserve"> </w:t>
            </w:r>
            <w:r w:rsidRPr="0053423A">
              <w:rPr>
                <w:rFonts w:eastAsia="Calibri" w:cs="Calibri"/>
                <w:b/>
                <w:sz w:val="20"/>
                <w:szCs w:val="20"/>
              </w:rPr>
              <w:t>և</w:t>
            </w:r>
            <w:r w:rsidRPr="0053423A">
              <w:rPr>
                <w:rFonts w:eastAsia="Calibri" w:cs="Calibri"/>
                <w:b/>
                <w:sz w:val="20"/>
                <w:szCs w:val="20"/>
                <w:lang w:val="tr-TR"/>
              </w:rPr>
              <w:t xml:space="preserve"> </w:t>
            </w:r>
            <w:r w:rsidRPr="0053423A">
              <w:rPr>
                <w:rFonts w:eastAsia="Calibri" w:cs="Calibri"/>
                <w:b/>
                <w:sz w:val="20"/>
                <w:szCs w:val="20"/>
              </w:rPr>
              <w:t>նպատակը</w:t>
            </w:r>
          </w:p>
          <w:p w:rsidR="00A67B6B" w:rsidRPr="0053423A" w:rsidRDefault="00A67B6B" w:rsidP="00A67858">
            <w:pPr>
              <w:tabs>
                <w:tab w:val="left" w:pos="508"/>
              </w:tabs>
              <w:spacing w:after="0" w:line="276" w:lineRule="auto"/>
              <w:contextualSpacing/>
              <w:jc w:val="both"/>
              <w:rPr>
                <w:rFonts w:eastAsia="Calibri" w:cs="Times New Roman"/>
                <w:sz w:val="20"/>
                <w:szCs w:val="20"/>
                <w:lang w:val="hy-AM"/>
              </w:rPr>
            </w:pPr>
            <w:r w:rsidRPr="0053423A">
              <w:rPr>
                <w:rFonts w:eastAsia="Calibri" w:cs="Calibri"/>
                <w:sz w:val="20"/>
                <w:szCs w:val="20"/>
              </w:rPr>
              <w:t>ՀՀ</w:t>
            </w:r>
            <w:r w:rsidRPr="0053423A">
              <w:rPr>
                <w:rFonts w:eastAsia="Calibri" w:cs="Calibri"/>
                <w:sz w:val="20"/>
                <w:szCs w:val="20"/>
                <w:lang w:val="tr-TR"/>
              </w:rPr>
              <w:t>-</w:t>
            </w:r>
            <w:r w:rsidRPr="0053423A">
              <w:rPr>
                <w:rFonts w:eastAsia="Calibri" w:cs="Calibri"/>
                <w:sz w:val="20"/>
                <w:szCs w:val="20"/>
              </w:rPr>
              <w:t>ում</w:t>
            </w:r>
            <w:r w:rsidRPr="0053423A">
              <w:rPr>
                <w:rFonts w:eastAsia="Calibri" w:cs="Calibri"/>
                <w:sz w:val="20"/>
                <w:szCs w:val="20"/>
                <w:lang w:val="tr-TR"/>
              </w:rPr>
              <w:t xml:space="preserve"> </w:t>
            </w:r>
            <w:r w:rsidRPr="0053423A">
              <w:rPr>
                <w:rFonts w:eastAsia="Calibri" w:cs="Calibri"/>
                <w:sz w:val="20"/>
                <w:szCs w:val="20"/>
              </w:rPr>
              <w:t>յուրաքանչյուր</w:t>
            </w:r>
            <w:r w:rsidRPr="0053423A">
              <w:rPr>
                <w:rFonts w:eastAsia="Calibri" w:cs="Calibri"/>
                <w:sz w:val="20"/>
                <w:szCs w:val="20"/>
                <w:lang w:val="tr-TR"/>
              </w:rPr>
              <w:t xml:space="preserve"> </w:t>
            </w:r>
            <w:r w:rsidRPr="0053423A">
              <w:rPr>
                <w:rFonts w:eastAsia="Calibri" w:cs="Calibri"/>
                <w:sz w:val="20"/>
                <w:szCs w:val="20"/>
              </w:rPr>
              <w:t>տարի</w:t>
            </w:r>
            <w:r w:rsidRPr="0053423A">
              <w:rPr>
                <w:rFonts w:eastAsia="Calibri" w:cs="Calibri"/>
                <w:sz w:val="20"/>
                <w:szCs w:val="20"/>
                <w:lang w:val="tr-TR"/>
              </w:rPr>
              <w:t xml:space="preserve"> </w:t>
            </w:r>
            <w:r w:rsidRPr="0053423A">
              <w:rPr>
                <w:rFonts w:eastAsia="Calibri" w:cs="Calibri"/>
                <w:sz w:val="20"/>
                <w:szCs w:val="20"/>
              </w:rPr>
              <w:t>իրականացվում</w:t>
            </w:r>
            <w:r w:rsidRPr="0053423A">
              <w:rPr>
                <w:rFonts w:eastAsia="Calibri" w:cs="Calibri"/>
                <w:sz w:val="20"/>
                <w:szCs w:val="20"/>
                <w:lang w:val="tr-TR"/>
              </w:rPr>
              <w:t xml:space="preserve"> </w:t>
            </w:r>
            <w:r w:rsidRPr="0053423A">
              <w:rPr>
                <w:rFonts w:eastAsia="Calibri" w:cs="Calibri"/>
                <w:sz w:val="20"/>
                <w:szCs w:val="20"/>
              </w:rPr>
              <w:t>են</w:t>
            </w:r>
            <w:r w:rsidRPr="0053423A">
              <w:rPr>
                <w:rFonts w:eastAsia="Calibri" w:cs="Calibri"/>
                <w:sz w:val="20"/>
                <w:szCs w:val="20"/>
                <w:lang w:val="tr-TR"/>
              </w:rPr>
              <w:t xml:space="preserve"> </w:t>
            </w:r>
            <w:r w:rsidRPr="0053423A">
              <w:rPr>
                <w:rFonts w:eastAsia="Calibri" w:cs="Calibri"/>
                <w:sz w:val="20"/>
                <w:szCs w:val="20"/>
              </w:rPr>
              <w:t>միջազգային</w:t>
            </w:r>
            <w:r w:rsidRPr="0053423A">
              <w:rPr>
                <w:rFonts w:eastAsia="Calibri" w:cs="Calibri"/>
                <w:sz w:val="20"/>
                <w:szCs w:val="20"/>
                <w:lang w:val="tr-TR"/>
              </w:rPr>
              <w:t xml:space="preserve"> </w:t>
            </w:r>
            <w:r w:rsidRPr="0053423A">
              <w:rPr>
                <w:rFonts w:eastAsia="Calibri" w:cs="Calibri"/>
                <w:sz w:val="20"/>
                <w:szCs w:val="20"/>
              </w:rPr>
              <w:t>տարբեր</w:t>
            </w:r>
            <w:r w:rsidRPr="0053423A">
              <w:rPr>
                <w:rFonts w:eastAsia="Calibri" w:cs="Calibri"/>
                <w:sz w:val="20"/>
                <w:szCs w:val="20"/>
                <w:lang w:val="tr-TR"/>
              </w:rPr>
              <w:t xml:space="preserve"> </w:t>
            </w:r>
            <w:r w:rsidRPr="0053423A">
              <w:rPr>
                <w:rFonts w:eastAsia="Calibri" w:cs="Calibri"/>
                <w:sz w:val="20"/>
                <w:szCs w:val="20"/>
              </w:rPr>
              <w:t>փառատոնային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մրցութային</w:t>
            </w:r>
            <w:r w:rsidRPr="0053423A">
              <w:rPr>
                <w:rFonts w:eastAsia="Calibri" w:cs="Calibri"/>
                <w:sz w:val="20"/>
                <w:szCs w:val="20"/>
                <w:lang w:val="tr-TR"/>
              </w:rPr>
              <w:t xml:space="preserve"> </w:t>
            </w:r>
            <w:r w:rsidRPr="0053423A">
              <w:rPr>
                <w:rFonts w:eastAsia="Calibri" w:cs="Calibri"/>
                <w:sz w:val="20"/>
                <w:szCs w:val="20"/>
              </w:rPr>
              <w:t>ծրագրեր</w:t>
            </w:r>
            <w:r w:rsidRPr="0053423A">
              <w:rPr>
                <w:rFonts w:eastAsia="Calibri" w:cs="Calibri"/>
                <w:sz w:val="20"/>
                <w:szCs w:val="20"/>
                <w:lang w:val="tr-TR"/>
              </w:rPr>
              <w:t xml:space="preserve">: </w:t>
            </w:r>
            <w:r w:rsidRPr="0053423A">
              <w:rPr>
                <w:rFonts w:eastAsia="Calibri" w:cs="Calibri"/>
                <w:sz w:val="20"/>
                <w:szCs w:val="20"/>
              </w:rPr>
              <w:t>Երկրի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մշակույթի</w:t>
            </w:r>
            <w:r w:rsidRPr="0053423A">
              <w:rPr>
                <w:rFonts w:eastAsia="Calibri" w:cs="Calibri"/>
                <w:sz w:val="20"/>
                <w:szCs w:val="20"/>
                <w:lang w:val="tr-TR"/>
              </w:rPr>
              <w:t xml:space="preserve"> </w:t>
            </w:r>
            <w:r w:rsidRPr="0053423A">
              <w:rPr>
                <w:rFonts w:eastAsia="Calibri" w:cs="Calibri"/>
                <w:sz w:val="20"/>
                <w:szCs w:val="20"/>
              </w:rPr>
              <w:t>ճանաչելիության</w:t>
            </w:r>
            <w:r w:rsidRPr="0053423A">
              <w:rPr>
                <w:rFonts w:eastAsia="Calibri" w:cs="Calibri"/>
                <w:sz w:val="20"/>
                <w:szCs w:val="20"/>
                <w:lang w:val="tr-TR"/>
              </w:rPr>
              <w:t xml:space="preserve"> </w:t>
            </w:r>
            <w:r w:rsidRPr="0053423A">
              <w:rPr>
                <w:rFonts w:eastAsia="Calibri" w:cs="Calibri"/>
                <w:sz w:val="20"/>
                <w:szCs w:val="20"/>
              </w:rPr>
              <w:t>բարձրացման</w:t>
            </w:r>
            <w:r w:rsidRPr="0053423A">
              <w:rPr>
                <w:rFonts w:eastAsia="Calibri" w:cs="Calibri"/>
                <w:sz w:val="20"/>
                <w:szCs w:val="20"/>
                <w:lang w:val="tr-TR"/>
              </w:rPr>
              <w:t xml:space="preserve">, </w:t>
            </w:r>
            <w:r w:rsidRPr="0053423A">
              <w:rPr>
                <w:rFonts w:eastAsia="Calibri" w:cs="Calibri"/>
                <w:sz w:val="20"/>
                <w:szCs w:val="20"/>
              </w:rPr>
              <w:t>ինչպես</w:t>
            </w:r>
            <w:r w:rsidRPr="0053423A">
              <w:rPr>
                <w:rFonts w:eastAsia="Calibri" w:cs="Calibri"/>
                <w:sz w:val="20"/>
                <w:szCs w:val="20"/>
                <w:lang w:val="tr-TR"/>
              </w:rPr>
              <w:t xml:space="preserve"> </w:t>
            </w:r>
            <w:r w:rsidRPr="0053423A">
              <w:rPr>
                <w:rFonts w:eastAsia="Calibri" w:cs="Calibri"/>
                <w:sz w:val="20"/>
                <w:szCs w:val="20"/>
              </w:rPr>
              <w:t>նաև</w:t>
            </w:r>
            <w:r w:rsidRPr="0053423A">
              <w:rPr>
                <w:rFonts w:eastAsia="Calibri" w:cs="Calibri"/>
                <w:sz w:val="20"/>
                <w:szCs w:val="20"/>
                <w:lang w:val="tr-TR"/>
              </w:rPr>
              <w:t xml:space="preserve"> </w:t>
            </w:r>
            <w:r w:rsidRPr="0053423A">
              <w:rPr>
                <w:rFonts w:eastAsia="Calibri" w:cs="Calibri"/>
                <w:sz w:val="20"/>
                <w:szCs w:val="20"/>
              </w:rPr>
              <w:t>այդ</w:t>
            </w:r>
            <w:r w:rsidRPr="0053423A">
              <w:rPr>
                <w:rFonts w:eastAsia="Calibri" w:cs="Calibri"/>
                <w:sz w:val="20"/>
                <w:szCs w:val="20"/>
                <w:lang w:val="tr-TR"/>
              </w:rPr>
              <w:t xml:space="preserve"> </w:t>
            </w:r>
            <w:r w:rsidRPr="0053423A">
              <w:rPr>
                <w:rFonts w:eastAsia="Calibri" w:cs="Calibri"/>
                <w:sz w:val="20"/>
                <w:szCs w:val="20"/>
              </w:rPr>
              <w:t>միջոցառումներին</w:t>
            </w:r>
            <w:r w:rsidRPr="0053423A">
              <w:rPr>
                <w:rFonts w:eastAsia="Calibri" w:cs="Calibri"/>
                <w:sz w:val="20"/>
                <w:szCs w:val="20"/>
                <w:lang w:val="tr-TR"/>
              </w:rPr>
              <w:t xml:space="preserve"> </w:t>
            </w:r>
            <w:r w:rsidRPr="0053423A">
              <w:rPr>
                <w:rFonts w:eastAsia="Calibri" w:cs="Calibri"/>
                <w:sz w:val="20"/>
                <w:szCs w:val="20"/>
              </w:rPr>
              <w:t>լրացուցիչ</w:t>
            </w:r>
            <w:r w:rsidRPr="0053423A">
              <w:rPr>
                <w:rFonts w:eastAsia="Calibri" w:cs="Calibri"/>
                <w:sz w:val="20"/>
                <w:szCs w:val="20"/>
                <w:lang w:val="tr-TR"/>
              </w:rPr>
              <w:t xml:space="preserve"> </w:t>
            </w:r>
            <w:r w:rsidRPr="0053423A">
              <w:rPr>
                <w:rFonts w:eastAsia="Calibri" w:cs="Calibri"/>
                <w:sz w:val="20"/>
                <w:szCs w:val="20"/>
              </w:rPr>
              <w:t>որակ</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անհրաժեշտ</w:t>
            </w:r>
            <w:r w:rsidRPr="0053423A">
              <w:rPr>
                <w:rFonts w:eastAsia="Calibri" w:cs="Calibri"/>
                <w:sz w:val="20"/>
                <w:szCs w:val="20"/>
                <w:lang w:val="tr-TR"/>
              </w:rPr>
              <w:t xml:space="preserve"> </w:t>
            </w:r>
            <w:r w:rsidRPr="0053423A">
              <w:rPr>
                <w:rFonts w:eastAsia="Calibri" w:cs="Calibri"/>
                <w:sz w:val="20"/>
                <w:szCs w:val="20"/>
              </w:rPr>
              <w:t>ռեզոնանս</w:t>
            </w:r>
            <w:r w:rsidRPr="0053423A">
              <w:rPr>
                <w:rFonts w:eastAsia="Calibri" w:cs="Calibri"/>
                <w:sz w:val="20"/>
                <w:szCs w:val="20"/>
                <w:lang w:val="tr-TR"/>
              </w:rPr>
              <w:t xml:space="preserve"> </w:t>
            </w:r>
            <w:r w:rsidRPr="0053423A">
              <w:rPr>
                <w:rFonts w:eastAsia="Calibri" w:cs="Calibri"/>
                <w:sz w:val="20"/>
                <w:szCs w:val="20"/>
              </w:rPr>
              <w:t>ապահովելու</w:t>
            </w:r>
            <w:r w:rsidRPr="0053423A">
              <w:rPr>
                <w:rFonts w:eastAsia="Calibri" w:cs="Calibri"/>
                <w:sz w:val="20"/>
                <w:szCs w:val="20"/>
                <w:lang w:val="tr-TR"/>
              </w:rPr>
              <w:t xml:space="preserve"> </w:t>
            </w:r>
            <w:r w:rsidRPr="0053423A">
              <w:rPr>
                <w:rFonts w:eastAsia="Calibri" w:cs="Calibri"/>
                <w:sz w:val="20"/>
                <w:szCs w:val="20"/>
              </w:rPr>
              <w:t>նպատակով</w:t>
            </w:r>
            <w:r w:rsidRPr="0053423A">
              <w:rPr>
                <w:rFonts w:eastAsia="Calibri" w:cs="Calibri"/>
                <w:sz w:val="20"/>
                <w:szCs w:val="20"/>
                <w:lang w:val="tr-TR"/>
              </w:rPr>
              <w:t xml:space="preserve"> </w:t>
            </w:r>
            <w:r w:rsidRPr="0053423A">
              <w:rPr>
                <w:rFonts w:eastAsia="Calibri" w:cs="Calibri"/>
                <w:sz w:val="20"/>
                <w:szCs w:val="20"/>
              </w:rPr>
              <w:t>անհրաժեշտ</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օտարեկրյա</w:t>
            </w:r>
            <w:r w:rsidRPr="0053423A">
              <w:rPr>
                <w:rFonts w:eastAsia="Calibri" w:cs="Calibri"/>
                <w:sz w:val="20"/>
                <w:szCs w:val="20"/>
                <w:lang w:val="tr-TR"/>
              </w:rPr>
              <w:t xml:space="preserve"> </w:t>
            </w:r>
            <w:r w:rsidRPr="0053423A">
              <w:rPr>
                <w:rFonts w:eastAsia="Calibri" w:cs="Calibri"/>
                <w:sz w:val="20"/>
                <w:szCs w:val="20"/>
              </w:rPr>
              <w:t>արվեստագետների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ոլորտի</w:t>
            </w:r>
            <w:r w:rsidRPr="0053423A">
              <w:rPr>
                <w:rFonts w:eastAsia="Calibri" w:cs="Calibri"/>
                <w:sz w:val="20"/>
                <w:szCs w:val="20"/>
                <w:lang w:val="tr-TR"/>
              </w:rPr>
              <w:t xml:space="preserve"> </w:t>
            </w:r>
            <w:r w:rsidRPr="0053423A">
              <w:rPr>
                <w:rFonts w:eastAsia="Calibri" w:cs="Calibri"/>
                <w:sz w:val="20"/>
                <w:szCs w:val="20"/>
              </w:rPr>
              <w:t>մասնագետների</w:t>
            </w:r>
            <w:r w:rsidRPr="0053423A">
              <w:rPr>
                <w:rFonts w:eastAsia="Calibri" w:cs="Calibri"/>
                <w:sz w:val="20"/>
                <w:szCs w:val="20"/>
                <w:lang w:val="tr-TR"/>
              </w:rPr>
              <w:t xml:space="preserve"> </w:t>
            </w:r>
            <w:r w:rsidRPr="0053423A">
              <w:rPr>
                <w:rFonts w:eastAsia="Calibri" w:cs="Calibri"/>
                <w:sz w:val="20"/>
                <w:szCs w:val="20"/>
              </w:rPr>
              <w:t>ներգրավվածությունը</w:t>
            </w:r>
            <w:r w:rsidRPr="0053423A">
              <w:rPr>
                <w:rFonts w:eastAsia="Calibri" w:cs="Calibri"/>
                <w:sz w:val="20"/>
                <w:szCs w:val="20"/>
                <w:lang w:val="tr-TR"/>
              </w:rPr>
              <w:t xml:space="preserve">: </w:t>
            </w:r>
            <w:r w:rsidRPr="0053423A">
              <w:rPr>
                <w:rFonts w:eastAsia="Calibri" w:cs="Times New Roman"/>
                <w:sz w:val="20"/>
                <w:szCs w:val="20"/>
                <w:lang w:val="hy-AM"/>
              </w:rPr>
              <w:t xml:space="preserve">Հիմքՙ Հայաստանի Հանրապետության կառավարության 2019 թվականի փետրվարի 8-ի </w:t>
            </w:r>
            <w:r w:rsidRPr="0053423A">
              <w:rPr>
                <w:rFonts w:eastAsia="Times New Roman" w:cs="Times New Roman"/>
                <w:sz w:val="20"/>
                <w:szCs w:val="20"/>
                <w:lang w:val="hy-AM" w:eastAsia="ru-RU"/>
              </w:rPr>
              <w:t>«</w:t>
            </w:r>
            <w:r w:rsidRPr="0053423A">
              <w:rPr>
                <w:rFonts w:eastAsia="Calibri" w:cs="Times New Roman"/>
                <w:sz w:val="20"/>
                <w:szCs w:val="20"/>
                <w:lang w:val="hy-AM"/>
              </w:rPr>
              <w:t xml:space="preserve">Հայասատանի Հանրապետության կառավարության ծրագրի մասին» N 65-Ա որոշման «4.5. Մշակույթ» բաժին: </w:t>
            </w:r>
          </w:p>
          <w:p w:rsidR="00A67B6B" w:rsidRPr="0053423A" w:rsidRDefault="00A67B6B" w:rsidP="00A67858">
            <w:pPr>
              <w:tabs>
                <w:tab w:val="left" w:pos="508"/>
              </w:tabs>
              <w:spacing w:after="0" w:line="276" w:lineRule="auto"/>
              <w:jc w:val="both"/>
              <w:rPr>
                <w:rFonts w:eastAsia="Calibri" w:cs="Calibri"/>
                <w:sz w:val="20"/>
                <w:szCs w:val="20"/>
                <w:lang w:val="tr-TR"/>
              </w:rPr>
            </w:pPr>
          </w:p>
          <w:p w:rsidR="00A67B6B" w:rsidRPr="0053423A" w:rsidRDefault="00A67B6B" w:rsidP="00A67858">
            <w:pPr>
              <w:tabs>
                <w:tab w:val="left" w:pos="508"/>
              </w:tabs>
              <w:spacing w:after="0" w:line="276" w:lineRule="auto"/>
              <w:jc w:val="both"/>
              <w:rPr>
                <w:rFonts w:eastAsia="Calibri" w:cs="Calibri"/>
                <w:b/>
                <w:sz w:val="20"/>
                <w:szCs w:val="20"/>
                <w:lang w:val="tr-TR"/>
              </w:rPr>
            </w:pPr>
            <w:r w:rsidRPr="0053423A">
              <w:rPr>
                <w:rFonts w:eastAsia="Calibri" w:cs="Calibri"/>
                <w:b/>
                <w:sz w:val="20"/>
                <w:szCs w:val="20"/>
                <w:lang w:val="tr-TR"/>
              </w:rPr>
              <w:t xml:space="preserve">1.1 </w:t>
            </w:r>
            <w:r w:rsidRPr="0053423A">
              <w:rPr>
                <w:rFonts w:eastAsia="Calibri" w:cs="Calibri"/>
                <w:b/>
                <w:sz w:val="20"/>
                <w:szCs w:val="20"/>
                <w:lang w:val="hy-AM"/>
              </w:rPr>
              <w:t>Կարգավորման</w:t>
            </w:r>
            <w:r w:rsidRPr="0053423A">
              <w:rPr>
                <w:rFonts w:eastAsia="Calibri" w:cs="Calibri"/>
                <w:b/>
                <w:sz w:val="20"/>
                <w:szCs w:val="20"/>
                <w:lang w:val="tr-TR"/>
              </w:rPr>
              <w:t xml:space="preserve"> </w:t>
            </w:r>
            <w:r w:rsidRPr="0053423A">
              <w:rPr>
                <w:rFonts w:eastAsia="Calibri" w:cs="Calibri"/>
                <w:b/>
                <w:sz w:val="20"/>
                <w:szCs w:val="20"/>
                <w:lang w:val="hy-AM"/>
              </w:rPr>
              <w:t>հարաբերությունների</w:t>
            </w:r>
            <w:r w:rsidRPr="0053423A">
              <w:rPr>
                <w:rFonts w:eastAsia="Calibri" w:cs="Calibri"/>
                <w:b/>
                <w:sz w:val="20"/>
                <w:szCs w:val="20"/>
                <w:lang w:val="tr-TR"/>
              </w:rPr>
              <w:t xml:space="preserve"> </w:t>
            </w:r>
            <w:r w:rsidRPr="0053423A">
              <w:rPr>
                <w:rFonts w:eastAsia="Calibri" w:cs="Calibri"/>
                <w:b/>
                <w:sz w:val="20"/>
                <w:szCs w:val="20"/>
                <w:lang w:val="hy-AM"/>
              </w:rPr>
              <w:t>ներկա</w:t>
            </w:r>
            <w:r w:rsidRPr="0053423A">
              <w:rPr>
                <w:rFonts w:eastAsia="Calibri" w:cs="Calibri"/>
                <w:b/>
                <w:sz w:val="20"/>
                <w:szCs w:val="20"/>
                <w:lang w:val="tr-TR"/>
              </w:rPr>
              <w:t xml:space="preserve"> </w:t>
            </w:r>
            <w:r w:rsidRPr="0053423A">
              <w:rPr>
                <w:rFonts w:eastAsia="Calibri" w:cs="Calibri"/>
                <w:b/>
                <w:sz w:val="20"/>
                <w:szCs w:val="20"/>
                <w:lang w:val="hy-AM"/>
              </w:rPr>
              <w:t>վիճակը</w:t>
            </w:r>
            <w:r w:rsidRPr="0053423A">
              <w:rPr>
                <w:rFonts w:eastAsia="Calibri" w:cs="Calibri"/>
                <w:b/>
                <w:sz w:val="20"/>
                <w:szCs w:val="20"/>
                <w:lang w:val="tr-TR"/>
              </w:rPr>
              <w:t xml:space="preserve"> </w:t>
            </w:r>
            <w:r w:rsidRPr="0053423A">
              <w:rPr>
                <w:rFonts w:eastAsia="Calibri" w:cs="Calibri"/>
                <w:b/>
                <w:sz w:val="20"/>
                <w:szCs w:val="20"/>
                <w:lang w:val="hy-AM"/>
              </w:rPr>
              <w:t>և</w:t>
            </w:r>
            <w:r w:rsidRPr="0053423A">
              <w:rPr>
                <w:rFonts w:eastAsia="Calibri" w:cs="Calibri"/>
                <w:b/>
                <w:sz w:val="20"/>
                <w:szCs w:val="20"/>
                <w:lang w:val="tr-TR"/>
              </w:rPr>
              <w:t xml:space="preserve"> </w:t>
            </w:r>
            <w:r w:rsidRPr="0053423A">
              <w:rPr>
                <w:rFonts w:eastAsia="Calibri" w:cs="Calibri"/>
                <w:b/>
                <w:sz w:val="20"/>
                <w:szCs w:val="20"/>
                <w:lang w:val="hy-AM"/>
              </w:rPr>
              <w:t>առկա</w:t>
            </w:r>
            <w:r w:rsidRPr="0053423A">
              <w:rPr>
                <w:rFonts w:eastAsia="Calibri" w:cs="Calibri"/>
                <w:b/>
                <w:sz w:val="20"/>
                <w:szCs w:val="20"/>
                <w:lang w:val="tr-TR"/>
              </w:rPr>
              <w:t xml:space="preserve"> </w:t>
            </w:r>
            <w:r w:rsidRPr="0053423A">
              <w:rPr>
                <w:rFonts w:eastAsia="Calibri" w:cs="Calibri"/>
                <w:b/>
                <w:sz w:val="20"/>
                <w:szCs w:val="20"/>
                <w:lang w:val="hy-AM"/>
              </w:rPr>
              <w:t>խնդիրները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lang w:val="hy-AM"/>
              </w:rPr>
              <w:t>Նշյալ</w:t>
            </w:r>
            <w:r w:rsidRPr="0053423A">
              <w:rPr>
                <w:rFonts w:eastAsia="Calibri" w:cs="Calibri"/>
                <w:sz w:val="20"/>
                <w:szCs w:val="20"/>
                <w:lang w:val="tr-TR"/>
              </w:rPr>
              <w:t xml:space="preserve"> </w:t>
            </w:r>
            <w:r w:rsidRPr="0053423A">
              <w:rPr>
                <w:rFonts w:eastAsia="Calibri" w:cs="Calibri"/>
                <w:sz w:val="20"/>
                <w:szCs w:val="20"/>
                <w:lang w:val="hy-AM"/>
              </w:rPr>
              <w:t>փառատոներն</w:t>
            </w:r>
            <w:r w:rsidRPr="0053423A">
              <w:rPr>
                <w:rFonts w:eastAsia="Calibri" w:cs="Calibri"/>
                <w:sz w:val="20"/>
                <w:szCs w:val="20"/>
                <w:lang w:val="tr-TR"/>
              </w:rPr>
              <w:t xml:space="preserve"> </w:t>
            </w:r>
            <w:r w:rsidRPr="0053423A">
              <w:rPr>
                <w:rFonts w:eastAsia="Calibri" w:cs="Calibri"/>
                <w:sz w:val="20"/>
                <w:szCs w:val="20"/>
                <w:lang w:val="hy-AM"/>
              </w:rPr>
              <w:t>այժմ</w:t>
            </w:r>
            <w:r w:rsidRPr="0053423A">
              <w:rPr>
                <w:rFonts w:eastAsia="Calibri" w:cs="Calibri"/>
                <w:sz w:val="20"/>
                <w:szCs w:val="20"/>
                <w:lang w:val="tr-TR"/>
              </w:rPr>
              <w:t xml:space="preserve"> </w:t>
            </w:r>
            <w:r w:rsidRPr="0053423A">
              <w:rPr>
                <w:rFonts w:eastAsia="Calibri" w:cs="Calibri"/>
                <w:sz w:val="20"/>
                <w:szCs w:val="20"/>
                <w:lang w:val="hy-AM"/>
              </w:rPr>
              <w:t>անցկացվում</w:t>
            </w:r>
            <w:r w:rsidRPr="0053423A">
              <w:rPr>
                <w:rFonts w:eastAsia="Calibri" w:cs="Calibri"/>
                <w:sz w:val="20"/>
                <w:szCs w:val="20"/>
                <w:lang w:val="tr-TR"/>
              </w:rPr>
              <w:t xml:space="preserve"> </w:t>
            </w:r>
            <w:r w:rsidRPr="0053423A">
              <w:rPr>
                <w:rFonts w:eastAsia="Calibri" w:cs="Calibri"/>
                <w:sz w:val="20"/>
                <w:szCs w:val="20"/>
                <w:lang w:val="hy-AM"/>
              </w:rPr>
              <w:t>են</w:t>
            </w:r>
            <w:r w:rsidRPr="0053423A">
              <w:rPr>
                <w:rFonts w:eastAsia="Calibri" w:cs="Calibri"/>
                <w:sz w:val="20"/>
                <w:szCs w:val="20"/>
                <w:lang w:val="tr-TR"/>
              </w:rPr>
              <w:t xml:space="preserve"> </w:t>
            </w:r>
            <w:r w:rsidRPr="0053423A">
              <w:rPr>
                <w:rFonts w:eastAsia="Calibri" w:cs="Calibri"/>
                <w:sz w:val="20"/>
                <w:szCs w:val="20"/>
                <w:lang w:val="hy-AM"/>
              </w:rPr>
              <w:t>Հայսաստանում</w:t>
            </w:r>
            <w:r w:rsidRPr="0053423A">
              <w:rPr>
                <w:rFonts w:eastAsia="Calibri" w:cs="Calibri"/>
                <w:sz w:val="20"/>
                <w:szCs w:val="20"/>
                <w:lang w:val="tr-TR"/>
              </w:rPr>
              <w:t xml:space="preserve">` </w:t>
            </w:r>
            <w:r w:rsidRPr="0053423A">
              <w:rPr>
                <w:rFonts w:eastAsia="Calibri" w:cs="Calibri"/>
                <w:sz w:val="20"/>
                <w:szCs w:val="20"/>
                <w:lang w:val="hy-AM"/>
              </w:rPr>
              <w:t>ներգրավելով</w:t>
            </w:r>
            <w:r w:rsidRPr="0053423A">
              <w:rPr>
                <w:rFonts w:eastAsia="Calibri" w:cs="Calibri"/>
                <w:sz w:val="20"/>
                <w:szCs w:val="20"/>
                <w:lang w:val="tr-TR"/>
              </w:rPr>
              <w:t xml:space="preserve"> </w:t>
            </w:r>
            <w:r w:rsidRPr="0053423A">
              <w:rPr>
                <w:rFonts w:eastAsia="Calibri" w:cs="Calibri"/>
                <w:sz w:val="20"/>
                <w:szCs w:val="20"/>
                <w:lang w:val="hy-AM"/>
              </w:rPr>
              <w:t>նաև</w:t>
            </w:r>
            <w:r w:rsidRPr="0053423A">
              <w:rPr>
                <w:rFonts w:eastAsia="Calibri" w:cs="Calibri"/>
                <w:sz w:val="20"/>
                <w:szCs w:val="20"/>
                <w:lang w:val="tr-TR"/>
              </w:rPr>
              <w:t xml:space="preserve"> </w:t>
            </w:r>
            <w:r w:rsidRPr="0053423A">
              <w:rPr>
                <w:rFonts w:eastAsia="Calibri" w:cs="Calibri"/>
                <w:sz w:val="20"/>
                <w:szCs w:val="20"/>
                <w:lang w:val="hy-AM"/>
              </w:rPr>
              <w:t>օտարերկրյա</w:t>
            </w:r>
            <w:r w:rsidRPr="0053423A">
              <w:rPr>
                <w:rFonts w:eastAsia="Calibri" w:cs="Calibri"/>
                <w:sz w:val="20"/>
                <w:szCs w:val="20"/>
                <w:lang w:val="tr-TR"/>
              </w:rPr>
              <w:t xml:space="preserve"> </w:t>
            </w:r>
            <w:r w:rsidRPr="0053423A">
              <w:rPr>
                <w:rFonts w:eastAsia="Calibri" w:cs="Calibri"/>
                <w:sz w:val="20"/>
                <w:szCs w:val="20"/>
                <w:lang w:val="hy-AM"/>
              </w:rPr>
              <w:t>մասնակիցներին</w:t>
            </w:r>
            <w:r w:rsidRPr="0053423A">
              <w:rPr>
                <w:rFonts w:eastAsia="Calibri" w:cs="Calibri"/>
                <w:sz w:val="20"/>
                <w:szCs w:val="20"/>
                <w:lang w:val="tr-TR"/>
              </w:rPr>
              <w:t xml:space="preserve">: </w:t>
            </w:r>
            <w:r w:rsidRPr="0053423A">
              <w:rPr>
                <w:rFonts w:eastAsia="Calibri" w:cs="Calibri"/>
                <w:sz w:val="20"/>
                <w:szCs w:val="20"/>
                <w:lang w:val="hy-AM"/>
              </w:rPr>
              <w:t>Ավելի</w:t>
            </w:r>
            <w:r w:rsidRPr="0053423A">
              <w:rPr>
                <w:rFonts w:eastAsia="Calibri" w:cs="Calibri"/>
                <w:sz w:val="20"/>
                <w:szCs w:val="20"/>
                <w:lang w:val="tr-TR"/>
              </w:rPr>
              <w:t xml:space="preserve"> </w:t>
            </w:r>
            <w:r w:rsidRPr="0053423A">
              <w:rPr>
                <w:rFonts w:eastAsia="Calibri" w:cs="Calibri"/>
                <w:sz w:val="20"/>
                <w:szCs w:val="20"/>
                <w:lang w:val="hy-AM"/>
              </w:rPr>
              <w:t>մեծ</w:t>
            </w:r>
            <w:r w:rsidRPr="0053423A">
              <w:rPr>
                <w:rFonts w:eastAsia="Calibri" w:cs="Calibri"/>
                <w:sz w:val="20"/>
                <w:szCs w:val="20"/>
                <w:lang w:val="tr-TR"/>
              </w:rPr>
              <w:t xml:space="preserve"> </w:t>
            </w:r>
            <w:r w:rsidRPr="0053423A">
              <w:rPr>
                <w:rFonts w:eastAsia="Calibri" w:cs="Calibri"/>
                <w:sz w:val="20"/>
                <w:szCs w:val="20"/>
                <w:lang w:val="hy-AM"/>
              </w:rPr>
              <w:t>թվով</w:t>
            </w:r>
            <w:r w:rsidRPr="0053423A">
              <w:rPr>
                <w:rFonts w:eastAsia="Calibri" w:cs="Calibri"/>
                <w:sz w:val="20"/>
                <w:szCs w:val="20"/>
                <w:lang w:val="tr-TR"/>
              </w:rPr>
              <w:t xml:space="preserve"> </w:t>
            </w:r>
            <w:r w:rsidRPr="0053423A">
              <w:rPr>
                <w:rFonts w:eastAsia="Calibri" w:cs="Calibri"/>
                <w:sz w:val="20"/>
                <w:szCs w:val="20"/>
                <w:lang w:val="hy-AM"/>
              </w:rPr>
              <w:t>մասնակիցների</w:t>
            </w:r>
            <w:r w:rsidRPr="0053423A">
              <w:rPr>
                <w:rFonts w:eastAsia="Calibri" w:cs="Calibri"/>
                <w:sz w:val="20"/>
                <w:szCs w:val="20"/>
                <w:lang w:val="tr-TR"/>
              </w:rPr>
              <w:t xml:space="preserve"> </w:t>
            </w:r>
            <w:r w:rsidRPr="0053423A">
              <w:rPr>
                <w:rFonts w:eastAsia="Calibri" w:cs="Calibri"/>
                <w:sz w:val="20"/>
                <w:szCs w:val="20"/>
                <w:lang w:val="hy-AM"/>
              </w:rPr>
              <w:t>և</w:t>
            </w:r>
            <w:r w:rsidRPr="0053423A">
              <w:rPr>
                <w:rFonts w:eastAsia="Calibri" w:cs="Calibri"/>
                <w:sz w:val="20"/>
                <w:szCs w:val="20"/>
                <w:lang w:val="tr-TR"/>
              </w:rPr>
              <w:t xml:space="preserve"> </w:t>
            </w:r>
            <w:r w:rsidRPr="0053423A">
              <w:rPr>
                <w:rFonts w:eastAsia="Calibri" w:cs="Calibri"/>
                <w:sz w:val="20"/>
                <w:szCs w:val="20"/>
                <w:lang w:val="hy-AM"/>
              </w:rPr>
              <w:t>հայտնի</w:t>
            </w:r>
            <w:r w:rsidRPr="0053423A">
              <w:rPr>
                <w:rFonts w:eastAsia="Calibri" w:cs="Calibri"/>
                <w:sz w:val="20"/>
                <w:szCs w:val="20"/>
                <w:lang w:val="tr-TR"/>
              </w:rPr>
              <w:t xml:space="preserve"> </w:t>
            </w:r>
            <w:r w:rsidRPr="0053423A">
              <w:rPr>
                <w:rFonts w:eastAsia="Calibri" w:cs="Calibri"/>
                <w:sz w:val="20"/>
                <w:szCs w:val="20"/>
                <w:lang w:val="hy-AM"/>
              </w:rPr>
              <w:t>անունների</w:t>
            </w:r>
            <w:r w:rsidRPr="0053423A">
              <w:rPr>
                <w:rFonts w:eastAsia="Calibri" w:cs="Calibri"/>
                <w:sz w:val="20"/>
                <w:szCs w:val="20"/>
                <w:lang w:val="tr-TR"/>
              </w:rPr>
              <w:t xml:space="preserve"> </w:t>
            </w:r>
            <w:r w:rsidRPr="0053423A">
              <w:rPr>
                <w:rFonts w:eastAsia="Calibri" w:cs="Calibri"/>
                <w:sz w:val="20"/>
                <w:szCs w:val="20"/>
                <w:lang w:val="hy-AM"/>
              </w:rPr>
              <w:t>ներգրավելու</w:t>
            </w:r>
            <w:r w:rsidRPr="0053423A">
              <w:rPr>
                <w:rFonts w:eastAsia="Calibri" w:cs="Calibri"/>
                <w:sz w:val="20"/>
                <w:szCs w:val="20"/>
                <w:lang w:val="tr-TR"/>
              </w:rPr>
              <w:t xml:space="preserve"> </w:t>
            </w:r>
            <w:r w:rsidRPr="0053423A">
              <w:rPr>
                <w:rFonts w:eastAsia="Calibri" w:cs="Calibri"/>
                <w:sz w:val="20"/>
                <w:szCs w:val="20"/>
                <w:lang w:val="hy-AM"/>
              </w:rPr>
              <w:t>համար</w:t>
            </w:r>
            <w:r w:rsidRPr="0053423A">
              <w:rPr>
                <w:rFonts w:eastAsia="Calibri" w:cs="Calibri"/>
                <w:sz w:val="20"/>
                <w:szCs w:val="20"/>
                <w:lang w:val="tr-TR"/>
              </w:rPr>
              <w:t xml:space="preserve"> </w:t>
            </w:r>
            <w:r w:rsidRPr="0053423A">
              <w:rPr>
                <w:rFonts w:eastAsia="Calibri" w:cs="Calibri"/>
                <w:sz w:val="20"/>
                <w:szCs w:val="20"/>
                <w:lang w:val="hy-AM"/>
              </w:rPr>
              <w:t>անհրաժեշտ</w:t>
            </w:r>
            <w:r w:rsidRPr="0053423A">
              <w:rPr>
                <w:rFonts w:eastAsia="Calibri" w:cs="Calibri"/>
                <w:sz w:val="20"/>
                <w:szCs w:val="20"/>
                <w:lang w:val="tr-TR"/>
              </w:rPr>
              <w:t xml:space="preserve"> </w:t>
            </w:r>
            <w:r w:rsidRPr="0053423A">
              <w:rPr>
                <w:rFonts w:eastAsia="Calibri" w:cs="Calibri"/>
                <w:sz w:val="20"/>
                <w:szCs w:val="20"/>
                <w:lang w:val="hy-AM"/>
              </w:rPr>
              <w:t>է</w:t>
            </w:r>
            <w:r w:rsidRPr="0053423A">
              <w:rPr>
                <w:rFonts w:eastAsia="Calibri" w:cs="Calibri"/>
                <w:sz w:val="20"/>
                <w:szCs w:val="20"/>
                <w:lang w:val="tr-TR"/>
              </w:rPr>
              <w:t xml:space="preserve"> </w:t>
            </w:r>
            <w:r w:rsidRPr="0053423A">
              <w:rPr>
                <w:rFonts w:eastAsia="Calibri" w:cs="Calibri"/>
                <w:sz w:val="20"/>
                <w:szCs w:val="20"/>
                <w:lang w:val="hy-AM"/>
              </w:rPr>
              <w:t>անընդհատ</w:t>
            </w:r>
            <w:r w:rsidRPr="0053423A">
              <w:rPr>
                <w:rFonts w:eastAsia="Calibri" w:cs="Calibri"/>
                <w:sz w:val="20"/>
                <w:szCs w:val="20"/>
                <w:lang w:val="tr-TR"/>
              </w:rPr>
              <w:t xml:space="preserve"> </w:t>
            </w:r>
            <w:r w:rsidRPr="0053423A">
              <w:rPr>
                <w:rFonts w:eastAsia="Calibri" w:cs="Calibri"/>
                <w:sz w:val="20"/>
                <w:szCs w:val="20"/>
                <w:lang w:val="hy-AM"/>
              </w:rPr>
              <w:t>հետևողական</w:t>
            </w:r>
            <w:r w:rsidRPr="0053423A">
              <w:rPr>
                <w:rFonts w:eastAsia="Calibri" w:cs="Calibri"/>
                <w:sz w:val="20"/>
                <w:szCs w:val="20"/>
                <w:lang w:val="tr-TR"/>
              </w:rPr>
              <w:t xml:space="preserve"> </w:t>
            </w:r>
            <w:r w:rsidRPr="0053423A">
              <w:rPr>
                <w:rFonts w:eastAsia="Calibri" w:cs="Calibri"/>
                <w:sz w:val="20"/>
                <w:szCs w:val="20"/>
                <w:lang w:val="hy-AM"/>
              </w:rPr>
              <w:t>աշխատանք</w:t>
            </w:r>
            <w:r w:rsidRPr="0053423A">
              <w:rPr>
                <w:rFonts w:eastAsia="Calibri" w:cs="Calibri"/>
                <w:sz w:val="20"/>
                <w:szCs w:val="20"/>
                <w:lang w:val="tr-TR"/>
              </w:rPr>
              <w:t xml:space="preserve">` </w:t>
            </w:r>
            <w:r w:rsidRPr="0053423A">
              <w:rPr>
                <w:rFonts w:eastAsia="Calibri" w:cs="Calibri"/>
                <w:sz w:val="20"/>
                <w:szCs w:val="20"/>
                <w:lang w:val="hy-AM"/>
              </w:rPr>
              <w:t>ֆինանսների</w:t>
            </w:r>
            <w:r w:rsidRPr="0053423A">
              <w:rPr>
                <w:rFonts w:eastAsia="Calibri" w:cs="Calibri"/>
                <w:sz w:val="20"/>
                <w:szCs w:val="20"/>
                <w:lang w:val="tr-TR"/>
              </w:rPr>
              <w:t xml:space="preserve"> </w:t>
            </w:r>
            <w:r w:rsidRPr="0053423A">
              <w:rPr>
                <w:rFonts w:eastAsia="Calibri" w:cs="Calibri"/>
                <w:sz w:val="20"/>
                <w:szCs w:val="20"/>
                <w:lang w:val="hy-AM"/>
              </w:rPr>
              <w:t>մեծացման</w:t>
            </w:r>
            <w:r w:rsidRPr="0053423A">
              <w:rPr>
                <w:rFonts w:eastAsia="Calibri" w:cs="Calibri"/>
                <w:sz w:val="20"/>
                <w:szCs w:val="20"/>
                <w:lang w:val="tr-TR"/>
              </w:rPr>
              <w:t xml:space="preserve"> </w:t>
            </w:r>
            <w:r w:rsidRPr="0053423A">
              <w:rPr>
                <w:rFonts w:eastAsia="Calibri" w:cs="Calibri"/>
                <w:sz w:val="20"/>
                <w:szCs w:val="20"/>
                <w:lang w:val="hy-AM"/>
              </w:rPr>
              <w:t>և</w:t>
            </w:r>
            <w:r w:rsidRPr="0053423A">
              <w:rPr>
                <w:rFonts w:eastAsia="Calibri" w:cs="Calibri"/>
                <w:sz w:val="20"/>
                <w:szCs w:val="20"/>
                <w:lang w:val="tr-TR"/>
              </w:rPr>
              <w:t xml:space="preserve"> </w:t>
            </w:r>
            <w:r w:rsidRPr="0053423A">
              <w:rPr>
                <w:rFonts w:eastAsia="Calibri" w:cs="Calibri"/>
                <w:sz w:val="20"/>
                <w:szCs w:val="20"/>
                <w:lang w:val="hy-AM"/>
              </w:rPr>
              <w:t>միջազգային</w:t>
            </w:r>
            <w:r w:rsidRPr="0053423A">
              <w:rPr>
                <w:rFonts w:eastAsia="Calibri" w:cs="Calibri"/>
                <w:sz w:val="20"/>
                <w:szCs w:val="20"/>
                <w:lang w:val="tr-TR"/>
              </w:rPr>
              <w:t xml:space="preserve"> </w:t>
            </w:r>
            <w:r w:rsidRPr="0053423A">
              <w:rPr>
                <w:rFonts w:eastAsia="Calibri" w:cs="Calibri"/>
                <w:sz w:val="20"/>
                <w:szCs w:val="20"/>
                <w:lang w:val="hy-AM"/>
              </w:rPr>
              <w:t>հարթակներում</w:t>
            </w:r>
            <w:r w:rsidRPr="0053423A">
              <w:rPr>
                <w:rFonts w:eastAsia="Calibri" w:cs="Calibri"/>
                <w:sz w:val="20"/>
                <w:szCs w:val="20"/>
                <w:lang w:val="tr-TR"/>
              </w:rPr>
              <w:t xml:space="preserve"> </w:t>
            </w:r>
            <w:r w:rsidRPr="0053423A">
              <w:rPr>
                <w:rFonts w:eastAsia="Calibri" w:cs="Calibri"/>
                <w:sz w:val="20"/>
                <w:szCs w:val="20"/>
                <w:lang w:val="hy-AM"/>
              </w:rPr>
              <w:t>միջոցառումների</w:t>
            </w:r>
            <w:r w:rsidRPr="0053423A">
              <w:rPr>
                <w:rFonts w:eastAsia="Calibri" w:cs="Calibri"/>
                <w:sz w:val="20"/>
                <w:szCs w:val="20"/>
                <w:lang w:val="tr-TR"/>
              </w:rPr>
              <w:t xml:space="preserve"> </w:t>
            </w:r>
            <w:r w:rsidRPr="0053423A">
              <w:rPr>
                <w:rFonts w:eastAsia="Calibri" w:cs="Calibri"/>
                <w:sz w:val="20"/>
                <w:szCs w:val="20"/>
                <w:lang w:val="hy-AM"/>
              </w:rPr>
              <w:t>մասին</w:t>
            </w:r>
            <w:r w:rsidRPr="0053423A">
              <w:rPr>
                <w:rFonts w:eastAsia="Calibri" w:cs="Calibri"/>
                <w:sz w:val="20"/>
                <w:szCs w:val="20"/>
                <w:lang w:val="tr-TR"/>
              </w:rPr>
              <w:t xml:space="preserve"> </w:t>
            </w:r>
            <w:r w:rsidRPr="0053423A">
              <w:rPr>
                <w:rFonts w:eastAsia="Calibri" w:cs="Calibri"/>
                <w:sz w:val="20"/>
                <w:szCs w:val="20"/>
                <w:lang w:val="hy-AM"/>
              </w:rPr>
              <w:t>տեղակացվածության</w:t>
            </w:r>
            <w:r w:rsidRPr="0053423A">
              <w:rPr>
                <w:rFonts w:eastAsia="Calibri" w:cs="Calibri"/>
                <w:sz w:val="20"/>
                <w:szCs w:val="20"/>
                <w:lang w:val="tr-TR"/>
              </w:rPr>
              <w:t xml:space="preserve"> </w:t>
            </w:r>
            <w:r w:rsidRPr="0053423A">
              <w:rPr>
                <w:rFonts w:eastAsia="Calibri" w:cs="Calibri"/>
                <w:sz w:val="20"/>
                <w:szCs w:val="20"/>
                <w:lang w:val="hy-AM"/>
              </w:rPr>
              <w:t>բարձրացման</w:t>
            </w:r>
            <w:r w:rsidRPr="0053423A">
              <w:rPr>
                <w:rFonts w:eastAsia="Calibri" w:cs="Calibri"/>
                <w:sz w:val="20"/>
                <w:szCs w:val="20"/>
                <w:lang w:val="tr-TR"/>
              </w:rPr>
              <w:t xml:space="preserve"> </w:t>
            </w:r>
            <w:r w:rsidRPr="0053423A">
              <w:rPr>
                <w:rFonts w:eastAsia="Calibri" w:cs="Calibri"/>
                <w:sz w:val="20"/>
                <w:szCs w:val="20"/>
                <w:lang w:val="hy-AM"/>
              </w:rPr>
              <w:t>ուղղությամբ</w:t>
            </w:r>
            <w:r w:rsidRPr="0053423A">
              <w:rPr>
                <w:rFonts w:eastAsia="Calibri" w:cs="Calibri"/>
                <w:sz w:val="20"/>
                <w:szCs w:val="20"/>
                <w:lang w:val="tr-TR"/>
              </w:rPr>
              <w:t xml:space="preserve">: Անհրաժեշտ է բարձրացնել իրականացվող ծրագրերի միջազգային ճանաչելիությունը, ներգրավել հանրահայտ արվեստագետների և զարգացնել պետթյուն-մասնավոր համագործակցությունը: </w:t>
            </w:r>
          </w:p>
          <w:p w:rsidR="00A67B6B" w:rsidRPr="0053423A" w:rsidRDefault="00A67B6B" w:rsidP="00A67858">
            <w:pPr>
              <w:tabs>
                <w:tab w:val="left" w:pos="508"/>
              </w:tabs>
              <w:spacing w:after="0" w:line="276" w:lineRule="auto"/>
              <w:jc w:val="both"/>
              <w:rPr>
                <w:rFonts w:eastAsia="Calibri" w:cs="Calibri"/>
                <w:sz w:val="20"/>
                <w:szCs w:val="20"/>
                <w:lang w:val="tr-TR"/>
              </w:rPr>
            </w:pPr>
          </w:p>
          <w:p w:rsidR="00A67B6B" w:rsidRPr="0053423A" w:rsidRDefault="00A67B6B" w:rsidP="001F6D5D">
            <w:pPr>
              <w:numPr>
                <w:ilvl w:val="1"/>
                <w:numId w:val="234"/>
              </w:numPr>
              <w:tabs>
                <w:tab w:val="left" w:pos="508"/>
              </w:tabs>
              <w:spacing w:after="0" w:line="276" w:lineRule="auto"/>
              <w:jc w:val="both"/>
              <w:rPr>
                <w:rFonts w:eastAsia="Calibri" w:cs="Calibri"/>
                <w:b/>
                <w:sz w:val="20"/>
                <w:szCs w:val="20"/>
                <w:lang w:val="tr-TR"/>
              </w:rPr>
            </w:pPr>
            <w:r w:rsidRPr="0053423A">
              <w:rPr>
                <w:rFonts w:eastAsia="Calibri" w:cs="Calibri"/>
                <w:b/>
                <w:sz w:val="20"/>
                <w:szCs w:val="20"/>
              </w:rPr>
              <w:t>Առկա</w:t>
            </w:r>
            <w:r w:rsidRPr="0053423A">
              <w:rPr>
                <w:rFonts w:eastAsia="Calibri" w:cs="Calibri"/>
                <w:b/>
                <w:sz w:val="20"/>
                <w:szCs w:val="20"/>
                <w:lang w:val="tr-TR"/>
              </w:rPr>
              <w:t xml:space="preserve"> </w:t>
            </w:r>
            <w:r w:rsidRPr="0053423A">
              <w:rPr>
                <w:rFonts w:eastAsia="Calibri" w:cs="Calibri"/>
                <w:b/>
                <w:sz w:val="20"/>
                <w:szCs w:val="20"/>
              </w:rPr>
              <w:t>խնդիրների</w:t>
            </w:r>
            <w:r w:rsidRPr="0053423A">
              <w:rPr>
                <w:rFonts w:eastAsia="Calibri" w:cs="Calibri"/>
                <w:b/>
                <w:sz w:val="20"/>
                <w:szCs w:val="20"/>
                <w:lang w:val="tr-TR"/>
              </w:rPr>
              <w:t xml:space="preserve"> </w:t>
            </w:r>
            <w:r w:rsidRPr="0053423A">
              <w:rPr>
                <w:rFonts w:eastAsia="Calibri" w:cs="Calibri"/>
                <w:b/>
                <w:sz w:val="20"/>
                <w:szCs w:val="20"/>
              </w:rPr>
              <w:t>առաջարկվող</w:t>
            </w:r>
            <w:r w:rsidRPr="0053423A">
              <w:rPr>
                <w:rFonts w:eastAsia="Calibri" w:cs="Calibri"/>
                <w:b/>
                <w:sz w:val="20"/>
                <w:szCs w:val="20"/>
                <w:lang w:val="tr-TR"/>
              </w:rPr>
              <w:t xml:space="preserve"> </w:t>
            </w:r>
            <w:r w:rsidRPr="0053423A">
              <w:rPr>
                <w:rFonts w:eastAsia="Calibri" w:cs="Calibri"/>
                <w:b/>
                <w:sz w:val="20"/>
                <w:szCs w:val="20"/>
              </w:rPr>
              <w:t>լուծումները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Նշյալ</w:t>
            </w:r>
            <w:r w:rsidRPr="0053423A">
              <w:rPr>
                <w:rFonts w:eastAsia="Calibri" w:cs="Calibri"/>
                <w:sz w:val="20"/>
                <w:szCs w:val="20"/>
                <w:lang w:val="tr-TR"/>
              </w:rPr>
              <w:t xml:space="preserve"> </w:t>
            </w:r>
            <w:r w:rsidRPr="0053423A">
              <w:rPr>
                <w:rFonts w:eastAsia="Calibri" w:cs="Calibri"/>
                <w:sz w:val="20"/>
                <w:szCs w:val="20"/>
              </w:rPr>
              <w:t>միջոցառումների</w:t>
            </w:r>
            <w:r w:rsidRPr="0053423A">
              <w:rPr>
                <w:rFonts w:eastAsia="Calibri" w:cs="Calibri"/>
                <w:sz w:val="20"/>
                <w:szCs w:val="20"/>
                <w:lang w:val="tr-TR"/>
              </w:rPr>
              <w:t xml:space="preserve"> </w:t>
            </w:r>
            <w:r w:rsidRPr="0053423A">
              <w:rPr>
                <w:rFonts w:eastAsia="Calibri" w:cs="Calibri"/>
                <w:sz w:val="20"/>
                <w:szCs w:val="20"/>
              </w:rPr>
              <w:t>ճանաչելիության</w:t>
            </w:r>
            <w:r w:rsidRPr="0053423A">
              <w:rPr>
                <w:rFonts w:eastAsia="Calibri" w:cs="Calibri"/>
                <w:sz w:val="20"/>
                <w:szCs w:val="20"/>
                <w:lang w:val="tr-TR"/>
              </w:rPr>
              <w:t xml:space="preserve"> </w:t>
            </w:r>
            <w:r w:rsidRPr="0053423A">
              <w:rPr>
                <w:rFonts w:eastAsia="Calibri" w:cs="Calibri"/>
                <w:sz w:val="20"/>
                <w:szCs w:val="20"/>
              </w:rPr>
              <w:t>բարձրացման</w:t>
            </w:r>
            <w:r w:rsidRPr="0053423A">
              <w:rPr>
                <w:rFonts w:eastAsia="Calibri" w:cs="Calibri"/>
                <w:sz w:val="20"/>
                <w:szCs w:val="20"/>
                <w:lang w:val="tr-TR"/>
              </w:rPr>
              <w:t xml:space="preserve">, </w:t>
            </w:r>
            <w:r w:rsidRPr="0053423A">
              <w:rPr>
                <w:rFonts w:eastAsia="Calibri" w:cs="Calibri"/>
                <w:sz w:val="20"/>
                <w:szCs w:val="20"/>
              </w:rPr>
              <w:t>ֆինանսական</w:t>
            </w:r>
            <w:r w:rsidRPr="0053423A">
              <w:rPr>
                <w:rFonts w:eastAsia="Calibri" w:cs="Calibri"/>
                <w:sz w:val="20"/>
                <w:szCs w:val="20"/>
                <w:lang w:val="tr-TR"/>
              </w:rPr>
              <w:t xml:space="preserve"> </w:t>
            </w:r>
            <w:r w:rsidRPr="0053423A">
              <w:rPr>
                <w:rFonts w:eastAsia="Calibri" w:cs="Calibri"/>
                <w:sz w:val="20"/>
                <w:szCs w:val="20"/>
              </w:rPr>
              <w:t>միջոցների</w:t>
            </w:r>
            <w:r w:rsidRPr="0053423A">
              <w:rPr>
                <w:rFonts w:eastAsia="Calibri" w:cs="Calibri"/>
                <w:sz w:val="20"/>
                <w:szCs w:val="20"/>
                <w:lang w:val="tr-TR"/>
              </w:rPr>
              <w:t xml:space="preserve"> </w:t>
            </w:r>
            <w:r w:rsidRPr="0053423A">
              <w:rPr>
                <w:rFonts w:eastAsia="Calibri" w:cs="Calibri"/>
                <w:sz w:val="20"/>
                <w:szCs w:val="20"/>
              </w:rPr>
              <w:t>մեծացման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հանրահայտ</w:t>
            </w:r>
            <w:r w:rsidRPr="0053423A">
              <w:rPr>
                <w:rFonts w:eastAsia="Calibri" w:cs="Calibri"/>
                <w:sz w:val="20"/>
                <w:szCs w:val="20"/>
                <w:lang w:val="tr-TR"/>
              </w:rPr>
              <w:t xml:space="preserve"> </w:t>
            </w:r>
            <w:r w:rsidRPr="0053423A">
              <w:rPr>
                <w:rFonts w:eastAsia="Calibri" w:cs="Calibri"/>
                <w:sz w:val="20"/>
                <w:szCs w:val="20"/>
              </w:rPr>
              <w:t>արվեստագետներ</w:t>
            </w:r>
            <w:r w:rsidRPr="0053423A">
              <w:rPr>
                <w:rFonts w:eastAsia="Calibri" w:cs="Calibri"/>
                <w:sz w:val="20"/>
                <w:szCs w:val="20"/>
                <w:lang w:val="tr-TR"/>
              </w:rPr>
              <w:t xml:space="preserve"> </w:t>
            </w:r>
            <w:r w:rsidRPr="0053423A">
              <w:rPr>
                <w:rFonts w:eastAsia="Calibri" w:cs="Calibri"/>
                <w:sz w:val="20"/>
                <w:szCs w:val="20"/>
              </w:rPr>
              <w:t>ներգրավելու</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 xml:space="preserve"> </w:t>
            </w:r>
            <w:r w:rsidRPr="0053423A">
              <w:rPr>
                <w:rFonts w:eastAsia="Calibri" w:cs="Calibri"/>
                <w:sz w:val="20"/>
                <w:szCs w:val="20"/>
              </w:rPr>
              <w:t>անհրաժեշտ</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պետական</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մասնավոր</w:t>
            </w:r>
            <w:r w:rsidRPr="0053423A">
              <w:rPr>
                <w:rFonts w:eastAsia="Calibri" w:cs="Calibri"/>
                <w:sz w:val="20"/>
                <w:szCs w:val="20"/>
                <w:lang w:val="tr-TR"/>
              </w:rPr>
              <w:t xml:space="preserve"> </w:t>
            </w:r>
            <w:r w:rsidRPr="0053423A">
              <w:rPr>
                <w:rFonts w:eastAsia="Calibri" w:cs="Calibri"/>
                <w:sz w:val="20"/>
                <w:szCs w:val="20"/>
              </w:rPr>
              <w:t>համագործակցությամբ</w:t>
            </w:r>
            <w:r w:rsidRPr="0053423A">
              <w:rPr>
                <w:rFonts w:eastAsia="Calibri" w:cs="Calibri"/>
                <w:sz w:val="20"/>
                <w:szCs w:val="20"/>
                <w:lang w:val="tr-TR"/>
              </w:rPr>
              <w:t xml:space="preserve">, </w:t>
            </w:r>
            <w:r w:rsidRPr="0053423A">
              <w:rPr>
                <w:rFonts w:eastAsia="Calibri" w:cs="Calibri"/>
                <w:sz w:val="20"/>
                <w:szCs w:val="20"/>
              </w:rPr>
              <w:t>ծրագրի</w:t>
            </w:r>
            <w:r w:rsidRPr="0053423A">
              <w:rPr>
                <w:rFonts w:eastAsia="Calibri" w:cs="Calibri"/>
                <w:sz w:val="20"/>
                <w:szCs w:val="20"/>
                <w:lang w:val="tr-TR"/>
              </w:rPr>
              <w:t xml:space="preserve"> </w:t>
            </w:r>
            <w:r w:rsidRPr="0053423A">
              <w:rPr>
                <w:rFonts w:eastAsia="Calibri" w:cs="Calibri"/>
                <w:sz w:val="20"/>
                <w:szCs w:val="20"/>
              </w:rPr>
              <w:t>մասնագիտական</w:t>
            </w:r>
            <w:r w:rsidRPr="0053423A">
              <w:rPr>
                <w:rFonts w:eastAsia="Calibri" w:cs="Calibri"/>
                <w:sz w:val="20"/>
                <w:szCs w:val="20"/>
                <w:lang w:val="tr-TR"/>
              </w:rPr>
              <w:t>-</w:t>
            </w:r>
            <w:r w:rsidRPr="0053423A">
              <w:rPr>
                <w:rFonts w:eastAsia="Calibri" w:cs="Calibri"/>
                <w:sz w:val="20"/>
                <w:szCs w:val="20"/>
              </w:rPr>
              <w:t>որակական</w:t>
            </w:r>
            <w:r w:rsidRPr="0053423A">
              <w:rPr>
                <w:rFonts w:eastAsia="Calibri" w:cs="Calibri"/>
                <w:sz w:val="20"/>
                <w:szCs w:val="20"/>
                <w:lang w:val="tr-TR"/>
              </w:rPr>
              <w:t xml:space="preserve"> </w:t>
            </w:r>
            <w:r w:rsidRPr="0053423A">
              <w:rPr>
                <w:rFonts w:eastAsia="Calibri" w:cs="Calibri"/>
                <w:sz w:val="20"/>
                <w:szCs w:val="20"/>
              </w:rPr>
              <w:t>հատկանիշների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պետական</w:t>
            </w:r>
            <w:r w:rsidRPr="0053423A">
              <w:rPr>
                <w:rFonts w:eastAsia="Calibri" w:cs="Calibri"/>
                <w:sz w:val="20"/>
                <w:szCs w:val="20"/>
                <w:lang w:val="tr-TR"/>
              </w:rPr>
              <w:t xml:space="preserve"> </w:t>
            </w:r>
            <w:r w:rsidRPr="0053423A">
              <w:rPr>
                <w:rFonts w:eastAsia="Calibri" w:cs="Calibri"/>
                <w:sz w:val="20"/>
                <w:szCs w:val="20"/>
              </w:rPr>
              <w:t>քաղաքականության</w:t>
            </w:r>
            <w:r w:rsidRPr="0053423A">
              <w:rPr>
                <w:rFonts w:eastAsia="Calibri" w:cs="Calibri"/>
                <w:sz w:val="20"/>
                <w:szCs w:val="20"/>
                <w:lang w:val="tr-TR"/>
              </w:rPr>
              <w:t xml:space="preserve"> </w:t>
            </w:r>
            <w:r w:rsidRPr="0053423A">
              <w:rPr>
                <w:rFonts w:eastAsia="Calibri" w:cs="Calibri"/>
                <w:sz w:val="20"/>
                <w:szCs w:val="20"/>
              </w:rPr>
              <w:t>վրա</w:t>
            </w:r>
            <w:r w:rsidRPr="0053423A">
              <w:rPr>
                <w:rFonts w:eastAsia="Calibri" w:cs="Calibri"/>
                <w:sz w:val="20"/>
                <w:szCs w:val="20"/>
                <w:lang w:val="tr-TR"/>
              </w:rPr>
              <w:t xml:space="preserve"> </w:t>
            </w:r>
            <w:r w:rsidRPr="0053423A">
              <w:rPr>
                <w:rFonts w:eastAsia="Calibri" w:cs="Calibri"/>
                <w:sz w:val="20"/>
                <w:szCs w:val="20"/>
              </w:rPr>
              <w:t>հիմնված</w:t>
            </w:r>
            <w:r w:rsidRPr="0053423A">
              <w:rPr>
                <w:rFonts w:eastAsia="Calibri" w:cs="Calibri"/>
                <w:sz w:val="20"/>
                <w:szCs w:val="20"/>
                <w:lang w:val="tr-TR"/>
              </w:rPr>
              <w:t xml:space="preserve"> </w:t>
            </w:r>
            <w:r w:rsidRPr="0053423A">
              <w:rPr>
                <w:rFonts w:eastAsia="Calibri" w:cs="Calibri"/>
                <w:sz w:val="20"/>
                <w:szCs w:val="20"/>
              </w:rPr>
              <w:t>նպատակաուղղված</w:t>
            </w:r>
            <w:r w:rsidRPr="0053423A">
              <w:rPr>
                <w:rFonts w:eastAsia="Calibri" w:cs="Calibri"/>
                <w:sz w:val="20"/>
                <w:szCs w:val="20"/>
                <w:lang w:val="tr-TR"/>
              </w:rPr>
              <w:t xml:space="preserve"> </w:t>
            </w:r>
            <w:r w:rsidRPr="0053423A">
              <w:rPr>
                <w:rFonts w:eastAsia="Calibri" w:cs="Calibri"/>
                <w:sz w:val="20"/>
                <w:szCs w:val="20"/>
              </w:rPr>
              <w:t>ծրագրերի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մասնակիցների</w:t>
            </w:r>
            <w:r w:rsidRPr="0053423A">
              <w:rPr>
                <w:rFonts w:eastAsia="Calibri" w:cs="Calibri"/>
                <w:sz w:val="20"/>
                <w:szCs w:val="20"/>
                <w:lang w:val="tr-TR"/>
              </w:rPr>
              <w:t xml:space="preserve"> </w:t>
            </w:r>
            <w:r w:rsidRPr="0053423A">
              <w:rPr>
                <w:rFonts w:eastAsia="Calibri" w:cs="Calibri"/>
                <w:sz w:val="20"/>
                <w:szCs w:val="20"/>
              </w:rPr>
              <w:t>ընտրություն</w:t>
            </w:r>
            <w:r w:rsidRPr="0053423A">
              <w:rPr>
                <w:rFonts w:eastAsia="Calibri" w:cs="Calibri"/>
                <w:sz w:val="20"/>
                <w:szCs w:val="20"/>
                <w:lang w:val="tr-TR"/>
              </w:rPr>
              <w:t>:</w:t>
            </w:r>
          </w:p>
          <w:p w:rsidR="00A67B6B" w:rsidRPr="0053423A" w:rsidRDefault="00A67B6B" w:rsidP="00A67858">
            <w:pPr>
              <w:tabs>
                <w:tab w:val="left" w:pos="508"/>
              </w:tabs>
              <w:spacing w:after="0" w:line="276" w:lineRule="auto"/>
              <w:jc w:val="both"/>
              <w:rPr>
                <w:rFonts w:eastAsia="Calibri" w:cs="Calibri"/>
                <w:b/>
                <w:sz w:val="20"/>
                <w:szCs w:val="20"/>
                <w:lang w:val="tr-TR"/>
              </w:rPr>
            </w:pPr>
          </w:p>
          <w:p w:rsidR="00A67B6B" w:rsidRPr="0053423A" w:rsidRDefault="00A67B6B" w:rsidP="001F6D5D">
            <w:pPr>
              <w:numPr>
                <w:ilvl w:val="0"/>
                <w:numId w:val="234"/>
              </w:numPr>
              <w:tabs>
                <w:tab w:val="left" w:pos="508"/>
              </w:tabs>
              <w:spacing w:after="0" w:line="276" w:lineRule="auto"/>
              <w:ind w:hanging="707"/>
              <w:jc w:val="both"/>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իրականացումից</w:t>
            </w:r>
            <w:r w:rsidRPr="0053423A">
              <w:rPr>
                <w:rFonts w:eastAsia="Calibri" w:cs="Calibri"/>
                <w:b/>
                <w:sz w:val="20"/>
                <w:szCs w:val="20"/>
                <w:lang w:val="tr-TR"/>
              </w:rPr>
              <w:t xml:space="preserve"> </w:t>
            </w:r>
            <w:r w:rsidRPr="0053423A">
              <w:rPr>
                <w:rFonts w:eastAsia="Calibri" w:cs="Calibri"/>
                <w:b/>
                <w:sz w:val="20"/>
                <w:szCs w:val="20"/>
              </w:rPr>
              <w:t>ակնկալվող</w:t>
            </w:r>
            <w:r w:rsidRPr="0053423A">
              <w:rPr>
                <w:rFonts w:eastAsia="Calibri" w:cs="Calibri"/>
                <w:b/>
                <w:sz w:val="20"/>
                <w:szCs w:val="20"/>
                <w:lang w:val="tr-TR"/>
              </w:rPr>
              <w:t xml:space="preserve"> </w:t>
            </w:r>
            <w:r w:rsidRPr="0053423A">
              <w:rPr>
                <w:rFonts w:eastAsia="Calibri" w:cs="Calibri"/>
                <w:b/>
                <w:sz w:val="20"/>
                <w:szCs w:val="20"/>
              </w:rPr>
              <w:t>արդյունքը</w:t>
            </w:r>
          </w:p>
          <w:p w:rsidR="00A67B6B" w:rsidRPr="0053423A" w:rsidRDefault="00A67B6B" w:rsidP="00A67858">
            <w:pPr>
              <w:tabs>
                <w:tab w:val="left" w:pos="508"/>
              </w:tabs>
              <w:autoSpaceDE w:val="0"/>
              <w:autoSpaceDN w:val="0"/>
              <w:spacing w:after="0" w:line="276" w:lineRule="auto"/>
              <w:jc w:val="both"/>
              <w:rPr>
                <w:rFonts w:eastAsia="Times New Roman" w:cs="Calibri"/>
                <w:sz w:val="20"/>
                <w:szCs w:val="20"/>
                <w:lang w:val="tr-TR"/>
              </w:rPr>
            </w:pPr>
            <w:r w:rsidRPr="0053423A">
              <w:rPr>
                <w:rFonts w:eastAsia="Times New Roman" w:cs="Calibri"/>
                <w:sz w:val="20"/>
                <w:szCs w:val="20"/>
              </w:rPr>
              <w:t>Միջազգային</w:t>
            </w:r>
            <w:r w:rsidRPr="0053423A">
              <w:rPr>
                <w:rFonts w:eastAsia="Times New Roman" w:cs="Calibri"/>
                <w:sz w:val="20"/>
                <w:szCs w:val="20"/>
                <w:lang w:val="tr-TR"/>
              </w:rPr>
              <w:t xml:space="preserve"> </w:t>
            </w:r>
            <w:r w:rsidRPr="0053423A">
              <w:rPr>
                <w:rFonts w:eastAsia="Times New Roman" w:cs="Calibri"/>
                <w:sz w:val="20"/>
                <w:szCs w:val="20"/>
              </w:rPr>
              <w:t>հանրության</w:t>
            </w:r>
            <w:r w:rsidRPr="0053423A">
              <w:rPr>
                <w:rFonts w:eastAsia="Times New Roman" w:cs="Calibri"/>
                <w:sz w:val="20"/>
                <w:szCs w:val="20"/>
                <w:lang w:val="tr-TR"/>
              </w:rPr>
              <w:t xml:space="preserve"> </w:t>
            </w:r>
            <w:r w:rsidRPr="0053423A">
              <w:rPr>
                <w:rFonts w:eastAsia="Times New Roman" w:cs="Calibri"/>
                <w:sz w:val="20"/>
                <w:szCs w:val="20"/>
              </w:rPr>
              <w:t>կողմից</w:t>
            </w:r>
            <w:r w:rsidRPr="0053423A">
              <w:rPr>
                <w:rFonts w:eastAsia="Times New Roman" w:cs="Calibri"/>
                <w:sz w:val="20"/>
                <w:szCs w:val="20"/>
                <w:lang w:val="tr-TR"/>
              </w:rPr>
              <w:t xml:space="preserve"> </w:t>
            </w:r>
            <w:r w:rsidRPr="0053423A">
              <w:rPr>
                <w:rFonts w:eastAsia="Times New Roman" w:cs="Calibri"/>
                <w:sz w:val="20"/>
                <w:szCs w:val="20"/>
              </w:rPr>
              <w:t>և</w:t>
            </w:r>
            <w:r w:rsidRPr="0053423A">
              <w:rPr>
                <w:rFonts w:eastAsia="Times New Roman" w:cs="Calibri"/>
                <w:sz w:val="20"/>
                <w:szCs w:val="20"/>
                <w:lang w:val="tr-TR"/>
              </w:rPr>
              <w:t xml:space="preserve"> </w:t>
            </w:r>
            <w:r w:rsidRPr="0053423A">
              <w:rPr>
                <w:rFonts w:eastAsia="Times New Roman" w:cs="Calibri"/>
                <w:sz w:val="20"/>
                <w:szCs w:val="20"/>
              </w:rPr>
              <w:t>համապատասխան</w:t>
            </w:r>
            <w:r w:rsidRPr="0053423A">
              <w:rPr>
                <w:rFonts w:eastAsia="Times New Roman" w:cs="Calibri"/>
                <w:sz w:val="20"/>
                <w:szCs w:val="20"/>
                <w:lang w:val="tr-TR"/>
              </w:rPr>
              <w:t xml:space="preserve"> </w:t>
            </w:r>
            <w:r w:rsidRPr="0053423A">
              <w:rPr>
                <w:rFonts w:eastAsia="Times New Roman" w:cs="Calibri"/>
                <w:sz w:val="20"/>
                <w:szCs w:val="20"/>
              </w:rPr>
              <w:t>մասնագիտական</w:t>
            </w:r>
            <w:r w:rsidRPr="0053423A">
              <w:rPr>
                <w:rFonts w:eastAsia="Times New Roman" w:cs="Calibri"/>
                <w:sz w:val="20"/>
                <w:szCs w:val="20"/>
                <w:lang w:val="tr-TR"/>
              </w:rPr>
              <w:t xml:space="preserve"> </w:t>
            </w:r>
            <w:r w:rsidRPr="0053423A">
              <w:rPr>
                <w:rFonts w:eastAsia="Times New Roman" w:cs="Calibri"/>
                <w:sz w:val="20"/>
                <w:szCs w:val="20"/>
              </w:rPr>
              <w:t>հարթակներում</w:t>
            </w:r>
            <w:r w:rsidRPr="0053423A">
              <w:rPr>
                <w:rFonts w:eastAsia="Times New Roman" w:cs="Calibri"/>
                <w:sz w:val="20"/>
                <w:szCs w:val="20"/>
                <w:lang w:val="tr-TR"/>
              </w:rPr>
              <w:t xml:space="preserve"> </w:t>
            </w:r>
            <w:r w:rsidRPr="0053423A">
              <w:rPr>
                <w:rFonts w:eastAsia="Times New Roman" w:cs="Calibri"/>
                <w:sz w:val="20"/>
                <w:szCs w:val="20"/>
              </w:rPr>
              <w:t>ճանաչելի</w:t>
            </w:r>
            <w:r w:rsidRPr="0053423A">
              <w:rPr>
                <w:rFonts w:eastAsia="Times New Roman" w:cs="Calibri"/>
                <w:sz w:val="20"/>
                <w:szCs w:val="20"/>
                <w:lang w:val="tr-TR"/>
              </w:rPr>
              <w:t xml:space="preserve"> </w:t>
            </w:r>
            <w:r w:rsidRPr="0053423A">
              <w:rPr>
                <w:rFonts w:eastAsia="Times New Roman" w:cs="Calibri"/>
                <w:sz w:val="20"/>
                <w:szCs w:val="20"/>
              </w:rPr>
              <w:t>պարբերական</w:t>
            </w:r>
            <w:r w:rsidRPr="0053423A">
              <w:rPr>
                <w:rFonts w:eastAsia="Times New Roman" w:cs="Calibri"/>
                <w:sz w:val="20"/>
                <w:szCs w:val="20"/>
                <w:lang w:val="tr-TR"/>
              </w:rPr>
              <w:t xml:space="preserve"> </w:t>
            </w:r>
            <w:r w:rsidRPr="0053423A">
              <w:rPr>
                <w:rFonts w:eastAsia="Times New Roman" w:cs="Calibri"/>
                <w:sz w:val="20"/>
                <w:szCs w:val="20"/>
              </w:rPr>
              <w:t>մշակութային</w:t>
            </w:r>
            <w:r w:rsidRPr="0053423A">
              <w:rPr>
                <w:rFonts w:eastAsia="Times New Roman" w:cs="Calibri"/>
                <w:sz w:val="20"/>
                <w:szCs w:val="20"/>
                <w:lang w:val="tr-TR"/>
              </w:rPr>
              <w:t xml:space="preserve"> </w:t>
            </w:r>
            <w:r w:rsidRPr="0053423A">
              <w:rPr>
                <w:rFonts w:eastAsia="Times New Roman" w:cs="Calibri"/>
                <w:sz w:val="20"/>
                <w:szCs w:val="20"/>
              </w:rPr>
              <w:t>միջոցառումները</w:t>
            </w:r>
            <w:r w:rsidRPr="0053423A">
              <w:rPr>
                <w:rFonts w:eastAsia="Times New Roman" w:cs="Calibri"/>
                <w:sz w:val="20"/>
                <w:szCs w:val="20"/>
                <w:lang w:val="tr-TR"/>
              </w:rPr>
              <w:t xml:space="preserve"> </w:t>
            </w:r>
            <w:r w:rsidRPr="0053423A">
              <w:rPr>
                <w:rFonts w:eastAsia="Times New Roman" w:cs="Calibri"/>
                <w:sz w:val="20"/>
                <w:szCs w:val="20"/>
              </w:rPr>
              <w:t>և</w:t>
            </w:r>
            <w:r w:rsidRPr="0053423A">
              <w:rPr>
                <w:rFonts w:eastAsia="Times New Roman" w:cs="Calibri"/>
                <w:sz w:val="20"/>
                <w:szCs w:val="20"/>
                <w:lang w:val="tr-TR"/>
              </w:rPr>
              <w:t xml:space="preserve"> </w:t>
            </w:r>
            <w:r w:rsidRPr="0053423A">
              <w:rPr>
                <w:rFonts w:eastAsia="Times New Roman" w:cs="Calibri"/>
                <w:sz w:val="20"/>
                <w:szCs w:val="20"/>
              </w:rPr>
              <w:t>հայտնի</w:t>
            </w:r>
            <w:r w:rsidRPr="0053423A">
              <w:rPr>
                <w:rFonts w:eastAsia="Times New Roman" w:cs="Calibri"/>
                <w:sz w:val="20"/>
                <w:szCs w:val="20"/>
                <w:lang w:val="tr-TR"/>
              </w:rPr>
              <w:t xml:space="preserve"> </w:t>
            </w:r>
            <w:r w:rsidRPr="0053423A">
              <w:rPr>
                <w:rFonts w:eastAsia="Times New Roman" w:cs="Calibri"/>
                <w:sz w:val="20"/>
                <w:szCs w:val="20"/>
              </w:rPr>
              <w:t>անունների</w:t>
            </w:r>
            <w:r w:rsidRPr="0053423A">
              <w:rPr>
                <w:rFonts w:eastAsia="Times New Roman" w:cs="Calibri"/>
                <w:sz w:val="20"/>
                <w:szCs w:val="20"/>
                <w:lang w:val="tr-TR"/>
              </w:rPr>
              <w:t xml:space="preserve">, </w:t>
            </w:r>
            <w:r w:rsidRPr="0053423A">
              <w:rPr>
                <w:rFonts w:eastAsia="Times New Roman" w:cs="Calibri"/>
                <w:sz w:val="20"/>
                <w:szCs w:val="20"/>
              </w:rPr>
              <w:t>ինչպես</w:t>
            </w:r>
            <w:r w:rsidRPr="0053423A">
              <w:rPr>
                <w:rFonts w:eastAsia="Times New Roman" w:cs="Calibri"/>
                <w:sz w:val="20"/>
                <w:szCs w:val="20"/>
                <w:lang w:val="tr-TR"/>
              </w:rPr>
              <w:t xml:space="preserve"> </w:t>
            </w:r>
            <w:r w:rsidRPr="0053423A">
              <w:rPr>
                <w:rFonts w:eastAsia="Times New Roman" w:cs="Calibri"/>
                <w:sz w:val="20"/>
                <w:szCs w:val="20"/>
              </w:rPr>
              <w:t>նաև</w:t>
            </w:r>
            <w:r w:rsidRPr="0053423A">
              <w:rPr>
                <w:rFonts w:eastAsia="Times New Roman" w:cs="Calibri"/>
                <w:sz w:val="20"/>
                <w:szCs w:val="20"/>
                <w:lang w:val="tr-TR"/>
              </w:rPr>
              <w:t xml:space="preserve"> </w:t>
            </w:r>
            <w:r w:rsidRPr="0053423A">
              <w:rPr>
                <w:rFonts w:eastAsia="Times New Roman" w:cs="Calibri"/>
                <w:sz w:val="20"/>
                <w:szCs w:val="20"/>
              </w:rPr>
              <w:t>երիտասարդ</w:t>
            </w:r>
            <w:r w:rsidRPr="0053423A">
              <w:rPr>
                <w:rFonts w:eastAsia="Times New Roman" w:cs="Calibri"/>
                <w:sz w:val="20"/>
                <w:szCs w:val="20"/>
                <w:lang w:val="tr-TR"/>
              </w:rPr>
              <w:t xml:space="preserve"> </w:t>
            </w:r>
            <w:r w:rsidRPr="0053423A">
              <w:rPr>
                <w:rFonts w:eastAsia="Times New Roman" w:cs="Calibri"/>
                <w:sz w:val="20"/>
                <w:szCs w:val="20"/>
              </w:rPr>
              <w:t>ստեղծագործողների</w:t>
            </w:r>
            <w:r w:rsidRPr="0053423A">
              <w:rPr>
                <w:rFonts w:eastAsia="Times New Roman" w:cs="Calibri"/>
                <w:sz w:val="20"/>
                <w:szCs w:val="20"/>
                <w:lang w:val="tr-TR"/>
              </w:rPr>
              <w:t xml:space="preserve"> </w:t>
            </w:r>
            <w:r w:rsidRPr="0053423A">
              <w:rPr>
                <w:rFonts w:eastAsia="Times New Roman" w:cs="Calibri"/>
                <w:sz w:val="20"/>
                <w:szCs w:val="20"/>
              </w:rPr>
              <w:t>ներգրավվածությունը</w:t>
            </w:r>
            <w:r w:rsidRPr="0053423A">
              <w:rPr>
                <w:rFonts w:eastAsia="Times New Roman" w:cs="Calibri"/>
                <w:sz w:val="20"/>
                <w:szCs w:val="20"/>
                <w:lang w:val="tr-TR"/>
              </w:rPr>
              <w:t xml:space="preserve"> </w:t>
            </w:r>
            <w:r w:rsidRPr="0053423A">
              <w:rPr>
                <w:rFonts w:eastAsia="Times New Roman" w:cs="Calibri"/>
                <w:sz w:val="20"/>
                <w:szCs w:val="20"/>
              </w:rPr>
              <w:t>հնարավորություն</w:t>
            </w:r>
            <w:r w:rsidRPr="0053423A">
              <w:rPr>
                <w:rFonts w:eastAsia="Times New Roman" w:cs="Calibri"/>
                <w:sz w:val="20"/>
                <w:szCs w:val="20"/>
                <w:lang w:val="tr-TR"/>
              </w:rPr>
              <w:t xml:space="preserve"> </w:t>
            </w:r>
            <w:r w:rsidRPr="0053423A">
              <w:rPr>
                <w:rFonts w:eastAsia="Times New Roman" w:cs="Calibri"/>
                <w:sz w:val="20"/>
                <w:szCs w:val="20"/>
              </w:rPr>
              <w:t>կտա</w:t>
            </w:r>
            <w:r w:rsidRPr="0053423A">
              <w:rPr>
                <w:rFonts w:eastAsia="Times New Roman" w:cs="Calibri"/>
                <w:sz w:val="20"/>
                <w:szCs w:val="20"/>
                <w:lang w:val="tr-TR"/>
              </w:rPr>
              <w:t xml:space="preserve"> </w:t>
            </w:r>
            <w:r w:rsidRPr="0053423A">
              <w:rPr>
                <w:rFonts w:eastAsia="Times New Roman" w:cs="Calibri"/>
                <w:sz w:val="20"/>
                <w:szCs w:val="20"/>
              </w:rPr>
              <w:t>մշակույթի</w:t>
            </w:r>
            <w:r w:rsidRPr="0053423A">
              <w:rPr>
                <w:rFonts w:eastAsia="Times New Roman" w:cs="Calibri"/>
                <w:sz w:val="20"/>
                <w:szCs w:val="20"/>
                <w:lang w:val="tr-TR"/>
              </w:rPr>
              <w:t xml:space="preserve"> </w:t>
            </w:r>
            <w:r w:rsidRPr="0053423A">
              <w:rPr>
                <w:rFonts w:eastAsia="Times New Roman" w:cs="Calibri"/>
                <w:sz w:val="20"/>
                <w:szCs w:val="20"/>
              </w:rPr>
              <w:t>նշյալ</w:t>
            </w:r>
            <w:r w:rsidRPr="0053423A">
              <w:rPr>
                <w:rFonts w:eastAsia="Times New Roman" w:cs="Calibri"/>
                <w:sz w:val="20"/>
                <w:szCs w:val="20"/>
                <w:lang w:val="tr-TR"/>
              </w:rPr>
              <w:t xml:space="preserve"> </w:t>
            </w:r>
            <w:r w:rsidRPr="0053423A">
              <w:rPr>
                <w:rFonts w:eastAsia="Times New Roman" w:cs="Calibri"/>
                <w:sz w:val="20"/>
                <w:szCs w:val="20"/>
              </w:rPr>
              <w:t>ոլորտներում</w:t>
            </w:r>
            <w:r w:rsidRPr="0053423A">
              <w:rPr>
                <w:rFonts w:eastAsia="Times New Roman" w:cs="Calibri"/>
                <w:sz w:val="20"/>
                <w:szCs w:val="20"/>
                <w:lang w:val="tr-TR"/>
              </w:rPr>
              <w:t xml:space="preserve"> </w:t>
            </w:r>
            <w:r w:rsidRPr="0053423A">
              <w:rPr>
                <w:rFonts w:eastAsia="Times New Roman" w:cs="Calibri"/>
                <w:sz w:val="20"/>
                <w:szCs w:val="20"/>
              </w:rPr>
              <w:t>իրականացնել</w:t>
            </w:r>
            <w:r w:rsidRPr="0053423A">
              <w:rPr>
                <w:rFonts w:eastAsia="Times New Roman" w:cs="Calibri"/>
                <w:sz w:val="20"/>
                <w:szCs w:val="20"/>
                <w:lang w:val="tr-TR"/>
              </w:rPr>
              <w:t xml:space="preserve"> </w:t>
            </w:r>
            <w:r w:rsidRPr="0053423A">
              <w:rPr>
                <w:rFonts w:eastAsia="Times New Roman" w:cs="Calibri"/>
                <w:sz w:val="20"/>
                <w:szCs w:val="20"/>
              </w:rPr>
              <w:t>նպատակային</w:t>
            </w:r>
            <w:r w:rsidRPr="0053423A">
              <w:rPr>
                <w:rFonts w:eastAsia="Times New Roman" w:cs="Calibri"/>
                <w:sz w:val="20"/>
                <w:szCs w:val="20"/>
                <w:lang w:val="tr-TR"/>
              </w:rPr>
              <w:t xml:space="preserve"> </w:t>
            </w:r>
            <w:r w:rsidRPr="0053423A">
              <w:rPr>
                <w:rFonts w:eastAsia="Times New Roman" w:cs="Calibri"/>
                <w:sz w:val="20"/>
                <w:szCs w:val="20"/>
              </w:rPr>
              <w:t>զարգացնող</w:t>
            </w:r>
            <w:r w:rsidRPr="0053423A">
              <w:rPr>
                <w:rFonts w:eastAsia="Times New Roman" w:cs="Calibri"/>
                <w:sz w:val="20"/>
                <w:szCs w:val="20"/>
                <w:lang w:val="tr-TR"/>
              </w:rPr>
              <w:t xml:space="preserve"> </w:t>
            </w:r>
            <w:r w:rsidRPr="0053423A">
              <w:rPr>
                <w:rFonts w:eastAsia="Times New Roman" w:cs="Calibri"/>
                <w:sz w:val="20"/>
                <w:szCs w:val="20"/>
              </w:rPr>
              <w:t>և</w:t>
            </w:r>
            <w:r w:rsidRPr="0053423A">
              <w:rPr>
                <w:rFonts w:eastAsia="Times New Roman" w:cs="Calibri"/>
                <w:sz w:val="20"/>
                <w:szCs w:val="20"/>
                <w:lang w:val="tr-TR"/>
              </w:rPr>
              <w:t xml:space="preserve"> </w:t>
            </w:r>
            <w:r w:rsidRPr="0053423A">
              <w:rPr>
                <w:rFonts w:eastAsia="Times New Roman" w:cs="Calibri"/>
                <w:sz w:val="20"/>
                <w:szCs w:val="20"/>
              </w:rPr>
              <w:t>հանրահռչակող</w:t>
            </w:r>
            <w:r w:rsidRPr="0053423A">
              <w:rPr>
                <w:rFonts w:eastAsia="Times New Roman" w:cs="Calibri"/>
                <w:sz w:val="20"/>
                <w:szCs w:val="20"/>
                <w:lang w:val="tr-TR"/>
              </w:rPr>
              <w:t xml:space="preserve"> </w:t>
            </w:r>
            <w:r w:rsidRPr="0053423A">
              <w:rPr>
                <w:rFonts w:eastAsia="Times New Roman" w:cs="Calibri"/>
                <w:sz w:val="20"/>
                <w:szCs w:val="20"/>
              </w:rPr>
              <w:t>քաղաքականություն</w:t>
            </w:r>
            <w:r w:rsidRPr="0053423A">
              <w:rPr>
                <w:rFonts w:eastAsia="Times New Roman" w:cs="Calibri"/>
                <w:sz w:val="20"/>
                <w:szCs w:val="20"/>
                <w:lang w:val="tr-TR"/>
              </w:rPr>
              <w:t xml:space="preserve">, </w:t>
            </w:r>
            <w:r w:rsidRPr="0053423A">
              <w:rPr>
                <w:rFonts w:eastAsia="Times New Roman" w:cs="Calibri"/>
                <w:sz w:val="20"/>
                <w:szCs w:val="20"/>
              </w:rPr>
              <w:t>կերտել</w:t>
            </w:r>
            <w:r w:rsidRPr="0053423A">
              <w:rPr>
                <w:rFonts w:eastAsia="Times New Roman" w:cs="Calibri"/>
                <w:sz w:val="20"/>
                <w:szCs w:val="20"/>
                <w:lang w:val="tr-TR"/>
              </w:rPr>
              <w:t xml:space="preserve"> </w:t>
            </w:r>
            <w:r w:rsidRPr="0053423A">
              <w:rPr>
                <w:rFonts w:eastAsia="Times New Roman" w:cs="Calibri"/>
                <w:sz w:val="20"/>
                <w:szCs w:val="20"/>
              </w:rPr>
              <w:t>միջազգային</w:t>
            </w:r>
            <w:r w:rsidRPr="0053423A">
              <w:rPr>
                <w:rFonts w:eastAsia="Times New Roman" w:cs="Calibri"/>
                <w:sz w:val="20"/>
                <w:szCs w:val="20"/>
                <w:lang w:val="tr-TR"/>
              </w:rPr>
              <w:t xml:space="preserve"> </w:t>
            </w:r>
            <w:r w:rsidRPr="0053423A">
              <w:rPr>
                <w:rFonts w:eastAsia="Times New Roman" w:cs="Calibri"/>
                <w:sz w:val="20"/>
                <w:szCs w:val="20"/>
              </w:rPr>
              <w:t>ստեղծարար</w:t>
            </w:r>
            <w:r w:rsidRPr="0053423A">
              <w:rPr>
                <w:rFonts w:eastAsia="Times New Roman" w:cs="Calibri"/>
                <w:sz w:val="20"/>
                <w:szCs w:val="20"/>
                <w:lang w:val="tr-TR"/>
              </w:rPr>
              <w:t xml:space="preserve"> </w:t>
            </w:r>
            <w:r w:rsidRPr="0053423A">
              <w:rPr>
                <w:rFonts w:eastAsia="Times New Roman" w:cs="Calibri"/>
                <w:sz w:val="20"/>
                <w:szCs w:val="20"/>
              </w:rPr>
              <w:t>միջավայր</w:t>
            </w:r>
            <w:r w:rsidRPr="0053423A">
              <w:rPr>
                <w:rFonts w:eastAsia="Times New Roman" w:cs="Calibri"/>
                <w:sz w:val="20"/>
                <w:szCs w:val="20"/>
                <w:lang w:val="tr-TR"/>
              </w:rPr>
              <w:t xml:space="preserve"> </w:t>
            </w:r>
            <w:r w:rsidRPr="0053423A">
              <w:rPr>
                <w:rFonts w:eastAsia="Times New Roman" w:cs="Calibri"/>
                <w:sz w:val="20"/>
                <w:szCs w:val="20"/>
              </w:rPr>
              <w:t>և</w:t>
            </w:r>
            <w:r w:rsidRPr="0053423A">
              <w:rPr>
                <w:rFonts w:eastAsia="Times New Roman" w:cs="Calibri"/>
                <w:sz w:val="20"/>
                <w:szCs w:val="20"/>
                <w:lang w:val="tr-TR"/>
              </w:rPr>
              <w:t xml:space="preserve"> </w:t>
            </w:r>
            <w:r w:rsidRPr="0053423A">
              <w:rPr>
                <w:rFonts w:eastAsia="Times New Roman" w:cs="Calibri"/>
                <w:sz w:val="20"/>
                <w:szCs w:val="20"/>
              </w:rPr>
              <w:t>զարգացնել</w:t>
            </w:r>
            <w:r w:rsidRPr="0053423A">
              <w:rPr>
                <w:rFonts w:eastAsia="Times New Roman" w:cs="Calibri"/>
                <w:sz w:val="20"/>
                <w:szCs w:val="20"/>
                <w:lang w:val="tr-TR"/>
              </w:rPr>
              <w:t xml:space="preserve"> </w:t>
            </w:r>
            <w:r w:rsidRPr="0053423A">
              <w:rPr>
                <w:rFonts w:eastAsia="Times New Roman" w:cs="Calibri"/>
                <w:sz w:val="20"/>
                <w:szCs w:val="20"/>
              </w:rPr>
              <w:t>այն</w:t>
            </w:r>
            <w:r w:rsidRPr="0053423A">
              <w:rPr>
                <w:rFonts w:eastAsia="Times New Roman" w:cs="Calibri"/>
                <w:sz w:val="20"/>
                <w:szCs w:val="20"/>
                <w:lang w:val="tr-TR"/>
              </w:rPr>
              <w:t>:</w:t>
            </w:r>
          </w:p>
          <w:p w:rsidR="00A67B6B" w:rsidRPr="0053423A" w:rsidRDefault="00A67B6B" w:rsidP="00A67858">
            <w:pPr>
              <w:tabs>
                <w:tab w:val="left" w:pos="508"/>
              </w:tabs>
              <w:autoSpaceDE w:val="0"/>
              <w:autoSpaceDN w:val="0"/>
              <w:spacing w:after="0" w:line="276" w:lineRule="auto"/>
              <w:jc w:val="center"/>
              <w:rPr>
                <w:rFonts w:eastAsia="Times New Roman" w:cs="Calibri"/>
                <w:sz w:val="20"/>
                <w:szCs w:val="20"/>
                <w:lang w:val="tr-TR"/>
              </w:rPr>
            </w:pPr>
          </w:p>
          <w:p w:rsidR="00A67B6B" w:rsidRPr="0053423A" w:rsidRDefault="00A67B6B" w:rsidP="00A67858">
            <w:pPr>
              <w:tabs>
                <w:tab w:val="left" w:pos="508"/>
              </w:tabs>
              <w:autoSpaceDE w:val="0"/>
              <w:autoSpaceDN w:val="0"/>
              <w:spacing w:after="0" w:line="276" w:lineRule="auto"/>
              <w:jc w:val="center"/>
              <w:rPr>
                <w:rFonts w:eastAsia="Times New Roman" w:cs="GHEA Grapalat"/>
                <w:b/>
                <w:bCs/>
                <w:sz w:val="20"/>
                <w:szCs w:val="20"/>
                <w:lang w:val="tr-TR"/>
              </w:rPr>
            </w:pPr>
            <w:r w:rsidRPr="0053423A">
              <w:rPr>
                <w:rFonts w:eastAsia="Times New Roman" w:cs="Calibri"/>
                <w:b/>
                <w:sz w:val="20"/>
                <w:szCs w:val="20"/>
                <w:lang w:val="tr-TR"/>
              </w:rPr>
              <w:t>12.</w:t>
            </w:r>
            <w:r w:rsidRPr="0053423A">
              <w:rPr>
                <w:rFonts w:eastAsia="Times New Roman" w:cs="Calibri"/>
                <w:b/>
                <w:sz w:val="20"/>
                <w:szCs w:val="20"/>
                <w:lang w:val="ru-RU"/>
              </w:rPr>
              <w:t>4</w:t>
            </w:r>
            <w:r w:rsidRPr="0053423A">
              <w:rPr>
                <w:rFonts w:eastAsia="Times New Roman" w:cs="Calibri"/>
                <w:b/>
                <w:sz w:val="20"/>
                <w:szCs w:val="20"/>
                <w:lang w:val="tr-TR"/>
              </w:rPr>
              <w:t xml:space="preserve"> </w:t>
            </w:r>
            <w:r w:rsidRPr="0053423A">
              <w:rPr>
                <w:rFonts w:eastAsia="Times New Roman" w:cs="Calibri"/>
                <w:b/>
                <w:sz w:val="20"/>
                <w:szCs w:val="20"/>
                <w:lang w:val="ru-RU"/>
              </w:rPr>
              <w:t>Սփյուռքահայերի</w:t>
            </w:r>
            <w:r w:rsidRPr="0053423A">
              <w:rPr>
                <w:rFonts w:eastAsia="Times New Roman" w:cs="Calibri"/>
                <w:b/>
                <w:sz w:val="20"/>
                <w:szCs w:val="20"/>
                <w:lang w:val="tr-TR"/>
              </w:rPr>
              <w:t xml:space="preserve"> </w:t>
            </w:r>
            <w:r w:rsidRPr="0053423A">
              <w:rPr>
                <w:rFonts w:eastAsia="Times New Roman" w:cs="Calibri"/>
                <w:b/>
                <w:sz w:val="20"/>
                <w:szCs w:val="20"/>
                <w:lang w:val="ru-RU"/>
              </w:rPr>
              <w:t>ներգրավում</w:t>
            </w:r>
            <w:r w:rsidRPr="0053423A">
              <w:rPr>
                <w:rFonts w:eastAsia="Times New Roman" w:cs="Calibri"/>
                <w:b/>
                <w:sz w:val="20"/>
                <w:szCs w:val="20"/>
                <w:lang w:val="tr-TR"/>
              </w:rPr>
              <w:t xml:space="preserve"> </w:t>
            </w:r>
            <w:r w:rsidRPr="0053423A">
              <w:rPr>
                <w:rFonts w:eastAsia="Times New Roman" w:cs="Calibri"/>
                <w:b/>
                <w:sz w:val="20"/>
                <w:szCs w:val="20"/>
                <w:lang w:val="ru-RU"/>
              </w:rPr>
              <w:t>Հայաստանի</w:t>
            </w:r>
            <w:r w:rsidRPr="0053423A">
              <w:rPr>
                <w:rFonts w:eastAsia="Times New Roman" w:cs="Calibri"/>
                <w:b/>
                <w:sz w:val="20"/>
                <w:szCs w:val="20"/>
                <w:lang w:val="tr-TR"/>
              </w:rPr>
              <w:t xml:space="preserve"> </w:t>
            </w:r>
            <w:r w:rsidRPr="0053423A">
              <w:rPr>
                <w:rFonts w:eastAsia="Times New Roman" w:cs="Calibri"/>
                <w:b/>
                <w:sz w:val="20"/>
                <w:szCs w:val="20"/>
                <w:lang w:val="ru-RU"/>
              </w:rPr>
              <w:t>մշակութային</w:t>
            </w:r>
            <w:r w:rsidRPr="0053423A">
              <w:rPr>
                <w:rFonts w:eastAsia="Times New Roman" w:cs="Calibri"/>
                <w:b/>
                <w:sz w:val="20"/>
                <w:szCs w:val="20"/>
                <w:lang w:val="tr-TR"/>
              </w:rPr>
              <w:t xml:space="preserve"> </w:t>
            </w:r>
            <w:r w:rsidRPr="0053423A">
              <w:rPr>
                <w:rFonts w:eastAsia="Times New Roman" w:cs="Calibri"/>
                <w:b/>
                <w:sz w:val="20"/>
                <w:szCs w:val="20"/>
                <w:lang w:val="ru-RU"/>
              </w:rPr>
              <w:t>կյանքին</w:t>
            </w:r>
          </w:p>
          <w:p w:rsidR="00A67B6B" w:rsidRPr="0053423A" w:rsidRDefault="00A67B6B" w:rsidP="00A67858">
            <w:pPr>
              <w:tabs>
                <w:tab w:val="left" w:pos="508"/>
              </w:tabs>
              <w:autoSpaceDE w:val="0"/>
              <w:autoSpaceDN w:val="0"/>
              <w:spacing w:after="0" w:line="276" w:lineRule="auto"/>
              <w:jc w:val="center"/>
              <w:rPr>
                <w:rFonts w:eastAsia="Times New Roman" w:cs="GHEA Grapalat"/>
                <w:b/>
                <w:bCs/>
                <w:sz w:val="20"/>
                <w:szCs w:val="20"/>
                <w:lang w:val="tr-TR"/>
              </w:rPr>
            </w:pPr>
          </w:p>
          <w:p w:rsidR="00A67B6B" w:rsidRPr="0053423A" w:rsidRDefault="00A67B6B" w:rsidP="001F6D5D">
            <w:pPr>
              <w:numPr>
                <w:ilvl w:val="0"/>
                <w:numId w:val="235"/>
              </w:numPr>
              <w:tabs>
                <w:tab w:val="left" w:pos="508"/>
              </w:tabs>
              <w:spacing w:after="0" w:line="276" w:lineRule="auto"/>
              <w:ind w:hanging="720"/>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իրականացման</w:t>
            </w:r>
            <w:r w:rsidRPr="0053423A">
              <w:rPr>
                <w:rFonts w:eastAsia="Calibri" w:cs="Calibri"/>
                <w:b/>
                <w:sz w:val="20"/>
                <w:szCs w:val="20"/>
                <w:lang w:val="tr-TR"/>
              </w:rPr>
              <w:t xml:space="preserve"> </w:t>
            </w:r>
            <w:r w:rsidRPr="0053423A">
              <w:rPr>
                <w:rFonts w:eastAsia="Calibri" w:cs="Calibri"/>
                <w:b/>
                <w:sz w:val="20"/>
                <w:szCs w:val="20"/>
              </w:rPr>
              <w:t>անհրաժեշտությունը</w:t>
            </w:r>
            <w:r w:rsidRPr="0053423A">
              <w:rPr>
                <w:rFonts w:eastAsia="Calibri" w:cs="Calibri"/>
                <w:b/>
                <w:sz w:val="20"/>
                <w:szCs w:val="20"/>
                <w:lang w:val="tr-TR"/>
              </w:rPr>
              <w:t xml:space="preserve"> </w:t>
            </w:r>
            <w:r w:rsidRPr="0053423A">
              <w:rPr>
                <w:rFonts w:eastAsia="Calibri" w:cs="Calibri"/>
                <w:b/>
                <w:sz w:val="20"/>
                <w:szCs w:val="20"/>
              </w:rPr>
              <w:t>և</w:t>
            </w:r>
            <w:r w:rsidRPr="0053423A">
              <w:rPr>
                <w:rFonts w:eastAsia="Calibri" w:cs="Calibri"/>
                <w:b/>
                <w:sz w:val="20"/>
                <w:szCs w:val="20"/>
                <w:lang w:val="tr-TR"/>
              </w:rPr>
              <w:t xml:space="preserve"> </w:t>
            </w:r>
            <w:r w:rsidRPr="0053423A">
              <w:rPr>
                <w:rFonts w:eastAsia="Calibri" w:cs="Calibri"/>
                <w:b/>
                <w:sz w:val="20"/>
                <w:szCs w:val="20"/>
              </w:rPr>
              <w:t>նպատակը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Սփյուռքահայ</w:t>
            </w:r>
            <w:r w:rsidRPr="0053423A">
              <w:rPr>
                <w:rFonts w:eastAsia="Calibri" w:cs="Calibri"/>
                <w:sz w:val="20"/>
                <w:szCs w:val="20"/>
                <w:lang w:val="tr-TR"/>
              </w:rPr>
              <w:t xml:space="preserve"> </w:t>
            </w:r>
            <w:r w:rsidRPr="0053423A">
              <w:rPr>
                <w:rFonts w:eastAsia="Calibri" w:cs="Calibri"/>
                <w:sz w:val="20"/>
                <w:szCs w:val="20"/>
              </w:rPr>
              <w:t>արվեստագետների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ոլորտի</w:t>
            </w:r>
            <w:r w:rsidRPr="0053423A">
              <w:rPr>
                <w:rFonts w:eastAsia="Calibri" w:cs="Calibri"/>
                <w:sz w:val="20"/>
                <w:szCs w:val="20"/>
                <w:lang w:val="tr-TR"/>
              </w:rPr>
              <w:t xml:space="preserve"> </w:t>
            </w:r>
            <w:r w:rsidRPr="0053423A">
              <w:rPr>
                <w:rFonts w:eastAsia="Calibri" w:cs="Calibri"/>
                <w:sz w:val="20"/>
                <w:szCs w:val="20"/>
              </w:rPr>
              <w:t>մասնագետների</w:t>
            </w:r>
            <w:r w:rsidRPr="0053423A">
              <w:rPr>
                <w:rFonts w:eastAsia="Calibri" w:cs="Calibri"/>
                <w:sz w:val="20"/>
                <w:szCs w:val="20"/>
                <w:lang w:val="tr-TR"/>
              </w:rPr>
              <w:t xml:space="preserve"> </w:t>
            </w:r>
            <w:r w:rsidRPr="0053423A">
              <w:rPr>
                <w:rFonts w:eastAsia="Calibri" w:cs="Calibri"/>
                <w:sz w:val="20"/>
                <w:szCs w:val="20"/>
              </w:rPr>
              <w:t>ներգրավվածություն</w:t>
            </w:r>
            <w:r w:rsidRPr="0053423A">
              <w:rPr>
                <w:rFonts w:eastAsia="Calibri" w:cs="Calibri"/>
                <w:sz w:val="20"/>
                <w:szCs w:val="20"/>
                <w:lang w:val="tr-TR"/>
              </w:rPr>
              <w:t xml:space="preserve"> </w:t>
            </w:r>
            <w:r w:rsidRPr="0053423A">
              <w:rPr>
                <w:rFonts w:eastAsia="Calibri" w:cs="Calibri"/>
                <w:sz w:val="20"/>
                <w:szCs w:val="20"/>
              </w:rPr>
              <w:t>Հայաստանի</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կյանքին</w:t>
            </w:r>
            <w:r w:rsidRPr="0053423A">
              <w:rPr>
                <w:rFonts w:eastAsia="Calibri" w:cs="Calibri"/>
                <w:sz w:val="20"/>
                <w:szCs w:val="20"/>
                <w:lang w:val="tr-TR"/>
              </w:rPr>
              <w:t>:</w:t>
            </w:r>
          </w:p>
          <w:p w:rsidR="00A67B6B" w:rsidRPr="0053423A" w:rsidRDefault="00A67B6B" w:rsidP="00A67858">
            <w:pPr>
              <w:tabs>
                <w:tab w:val="left" w:pos="508"/>
              </w:tabs>
              <w:spacing w:after="0" w:line="276" w:lineRule="auto"/>
              <w:rPr>
                <w:rFonts w:eastAsia="Calibri" w:cs="Calibri"/>
                <w:sz w:val="20"/>
                <w:szCs w:val="20"/>
                <w:lang w:val="tr-TR"/>
              </w:rPr>
            </w:pPr>
          </w:p>
          <w:p w:rsidR="00A67B6B" w:rsidRPr="0053423A" w:rsidRDefault="00A67B6B" w:rsidP="00A67858">
            <w:pPr>
              <w:tabs>
                <w:tab w:val="left" w:pos="508"/>
              </w:tabs>
              <w:spacing w:after="0" w:line="276" w:lineRule="auto"/>
              <w:jc w:val="both"/>
              <w:rPr>
                <w:rFonts w:eastAsia="Calibri" w:cs="Calibri"/>
                <w:b/>
                <w:sz w:val="20"/>
                <w:szCs w:val="20"/>
                <w:lang w:val="tr-TR"/>
              </w:rPr>
            </w:pPr>
            <w:r w:rsidRPr="0053423A">
              <w:rPr>
                <w:rFonts w:eastAsia="Calibri" w:cs="Calibri"/>
                <w:b/>
                <w:sz w:val="20"/>
                <w:szCs w:val="20"/>
                <w:lang w:val="tr-TR"/>
              </w:rPr>
              <w:t xml:space="preserve">1.1 </w:t>
            </w:r>
            <w:r w:rsidRPr="0053423A">
              <w:rPr>
                <w:rFonts w:eastAsia="Calibri" w:cs="Calibri"/>
                <w:b/>
                <w:sz w:val="20"/>
                <w:szCs w:val="20"/>
              </w:rPr>
              <w:t>Կարգավորման</w:t>
            </w:r>
            <w:r w:rsidRPr="0053423A">
              <w:rPr>
                <w:rFonts w:eastAsia="Calibri" w:cs="Calibri"/>
                <w:b/>
                <w:sz w:val="20"/>
                <w:szCs w:val="20"/>
                <w:lang w:val="tr-TR"/>
              </w:rPr>
              <w:t xml:space="preserve"> </w:t>
            </w:r>
            <w:r w:rsidRPr="0053423A">
              <w:rPr>
                <w:rFonts w:eastAsia="Calibri" w:cs="Calibri"/>
                <w:b/>
                <w:sz w:val="20"/>
                <w:szCs w:val="20"/>
              </w:rPr>
              <w:t>հարաբերությունների</w:t>
            </w:r>
            <w:r w:rsidRPr="0053423A">
              <w:rPr>
                <w:rFonts w:eastAsia="Calibri" w:cs="Calibri"/>
                <w:b/>
                <w:sz w:val="20"/>
                <w:szCs w:val="20"/>
                <w:lang w:val="tr-TR"/>
              </w:rPr>
              <w:t xml:space="preserve"> </w:t>
            </w:r>
            <w:r w:rsidRPr="0053423A">
              <w:rPr>
                <w:rFonts w:eastAsia="Calibri" w:cs="Calibri"/>
                <w:b/>
                <w:sz w:val="20"/>
                <w:szCs w:val="20"/>
              </w:rPr>
              <w:t>ներկա</w:t>
            </w:r>
            <w:r w:rsidRPr="0053423A">
              <w:rPr>
                <w:rFonts w:eastAsia="Calibri" w:cs="Calibri"/>
                <w:b/>
                <w:sz w:val="20"/>
                <w:szCs w:val="20"/>
                <w:lang w:val="tr-TR"/>
              </w:rPr>
              <w:t xml:space="preserve"> </w:t>
            </w:r>
            <w:r w:rsidRPr="0053423A">
              <w:rPr>
                <w:rFonts w:eastAsia="Calibri" w:cs="Calibri"/>
                <w:b/>
                <w:sz w:val="20"/>
                <w:szCs w:val="20"/>
              </w:rPr>
              <w:t>վիճակը</w:t>
            </w:r>
            <w:r w:rsidRPr="0053423A">
              <w:rPr>
                <w:rFonts w:eastAsia="Calibri" w:cs="Calibri"/>
                <w:b/>
                <w:sz w:val="20"/>
                <w:szCs w:val="20"/>
                <w:lang w:val="tr-TR"/>
              </w:rPr>
              <w:t xml:space="preserve"> </w:t>
            </w:r>
            <w:r w:rsidRPr="0053423A">
              <w:rPr>
                <w:rFonts w:eastAsia="Calibri" w:cs="Calibri"/>
                <w:b/>
                <w:sz w:val="20"/>
                <w:szCs w:val="20"/>
              </w:rPr>
              <w:t>և</w:t>
            </w:r>
            <w:r w:rsidRPr="0053423A">
              <w:rPr>
                <w:rFonts w:eastAsia="Calibri" w:cs="Calibri"/>
                <w:b/>
                <w:sz w:val="20"/>
                <w:szCs w:val="20"/>
                <w:lang w:val="tr-TR"/>
              </w:rPr>
              <w:t xml:space="preserve"> </w:t>
            </w:r>
            <w:r w:rsidRPr="0053423A">
              <w:rPr>
                <w:rFonts w:eastAsia="Calibri" w:cs="Calibri"/>
                <w:b/>
                <w:sz w:val="20"/>
                <w:szCs w:val="20"/>
              </w:rPr>
              <w:t>առկա</w:t>
            </w:r>
            <w:r w:rsidRPr="0053423A">
              <w:rPr>
                <w:rFonts w:eastAsia="Calibri" w:cs="Calibri"/>
                <w:b/>
                <w:sz w:val="20"/>
                <w:szCs w:val="20"/>
                <w:lang w:val="tr-TR"/>
              </w:rPr>
              <w:t xml:space="preserve"> </w:t>
            </w:r>
            <w:r w:rsidRPr="0053423A">
              <w:rPr>
                <w:rFonts w:eastAsia="Calibri" w:cs="Calibri"/>
                <w:b/>
                <w:sz w:val="20"/>
                <w:szCs w:val="20"/>
              </w:rPr>
              <w:t>խնդիրները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Նախարարության</w:t>
            </w:r>
            <w:r w:rsidRPr="0053423A">
              <w:rPr>
                <w:rFonts w:eastAsia="Calibri" w:cs="Calibri"/>
                <w:sz w:val="20"/>
                <w:szCs w:val="20"/>
                <w:lang w:val="tr-TR"/>
              </w:rPr>
              <w:t xml:space="preserve"> </w:t>
            </w:r>
            <w:r w:rsidRPr="0053423A">
              <w:rPr>
                <w:rFonts w:eastAsia="Calibri" w:cs="Calibri"/>
                <w:sz w:val="20"/>
                <w:szCs w:val="20"/>
              </w:rPr>
              <w:t>տարեկան</w:t>
            </w:r>
            <w:r w:rsidRPr="0053423A">
              <w:rPr>
                <w:rFonts w:eastAsia="Calibri" w:cs="Calibri"/>
                <w:sz w:val="20"/>
                <w:szCs w:val="20"/>
                <w:lang w:val="tr-TR"/>
              </w:rPr>
              <w:t xml:space="preserve"> </w:t>
            </w:r>
            <w:r w:rsidRPr="0053423A">
              <w:rPr>
                <w:rFonts w:eastAsia="Calibri" w:cs="Calibri"/>
                <w:sz w:val="20"/>
                <w:szCs w:val="20"/>
              </w:rPr>
              <w:t>ծրագրերում</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միջազգային</w:t>
            </w:r>
            <w:r w:rsidRPr="0053423A">
              <w:rPr>
                <w:rFonts w:eastAsia="Calibri" w:cs="Calibri"/>
                <w:sz w:val="20"/>
                <w:szCs w:val="20"/>
                <w:lang w:val="tr-TR"/>
              </w:rPr>
              <w:t xml:space="preserve"> </w:t>
            </w:r>
            <w:r w:rsidRPr="0053423A">
              <w:rPr>
                <w:rFonts w:eastAsia="Calibri" w:cs="Calibri"/>
                <w:sz w:val="20"/>
                <w:szCs w:val="20"/>
              </w:rPr>
              <w:t>միջոցառումների</w:t>
            </w:r>
            <w:r w:rsidRPr="0053423A">
              <w:rPr>
                <w:rFonts w:eastAsia="Calibri" w:cs="Calibri"/>
                <w:sz w:val="20"/>
                <w:szCs w:val="20"/>
                <w:lang w:val="tr-TR"/>
              </w:rPr>
              <w:t xml:space="preserve"> </w:t>
            </w:r>
            <w:r w:rsidRPr="0053423A">
              <w:rPr>
                <w:rFonts w:eastAsia="Calibri" w:cs="Calibri"/>
                <w:sz w:val="20"/>
                <w:szCs w:val="20"/>
              </w:rPr>
              <w:t>ժամանակ</w:t>
            </w:r>
            <w:r w:rsidRPr="0053423A">
              <w:rPr>
                <w:rFonts w:eastAsia="Calibri" w:cs="Calibri"/>
                <w:sz w:val="20"/>
                <w:szCs w:val="20"/>
                <w:lang w:val="tr-TR"/>
              </w:rPr>
              <w:t xml:space="preserve"> </w:t>
            </w:r>
            <w:r w:rsidRPr="0053423A">
              <w:rPr>
                <w:rFonts w:eastAsia="Calibri" w:cs="Calibri"/>
                <w:sz w:val="20"/>
                <w:szCs w:val="20"/>
              </w:rPr>
              <w:t>անհրաժեշտ</w:t>
            </w:r>
            <w:r w:rsidRPr="0053423A">
              <w:rPr>
                <w:rFonts w:eastAsia="Calibri" w:cs="Calibri"/>
                <w:sz w:val="20"/>
                <w:szCs w:val="20"/>
                <w:lang w:val="tr-TR"/>
              </w:rPr>
              <w:t xml:space="preserve"> </w:t>
            </w:r>
            <w:r w:rsidRPr="0053423A">
              <w:rPr>
                <w:rFonts w:eastAsia="Calibri" w:cs="Calibri"/>
                <w:sz w:val="20"/>
                <w:szCs w:val="20"/>
              </w:rPr>
              <w:t>է</w:t>
            </w:r>
            <w:r w:rsidRPr="0053423A">
              <w:rPr>
                <w:rFonts w:eastAsia="Calibri" w:cs="Calibri"/>
                <w:sz w:val="20"/>
                <w:szCs w:val="20"/>
                <w:lang w:val="tr-TR"/>
              </w:rPr>
              <w:t xml:space="preserve"> </w:t>
            </w:r>
            <w:r w:rsidRPr="0053423A">
              <w:rPr>
                <w:rFonts w:eastAsia="Calibri" w:cs="Calibri"/>
                <w:sz w:val="20"/>
                <w:szCs w:val="20"/>
              </w:rPr>
              <w:t>օգտագործել</w:t>
            </w:r>
            <w:r w:rsidRPr="0053423A">
              <w:rPr>
                <w:rFonts w:eastAsia="Calibri" w:cs="Calibri"/>
                <w:sz w:val="20"/>
                <w:szCs w:val="20"/>
                <w:lang w:val="tr-TR"/>
              </w:rPr>
              <w:t xml:space="preserve"> </w:t>
            </w:r>
            <w:r w:rsidRPr="0053423A">
              <w:rPr>
                <w:rFonts w:eastAsia="Calibri" w:cs="Calibri"/>
                <w:sz w:val="20"/>
                <w:szCs w:val="20"/>
              </w:rPr>
              <w:t>սփյուռքահայ</w:t>
            </w:r>
            <w:r w:rsidRPr="0053423A">
              <w:rPr>
                <w:rFonts w:eastAsia="Calibri" w:cs="Calibri"/>
                <w:sz w:val="20"/>
                <w:szCs w:val="20"/>
                <w:lang w:val="tr-TR"/>
              </w:rPr>
              <w:t xml:space="preserve"> </w:t>
            </w:r>
            <w:r w:rsidRPr="0053423A">
              <w:rPr>
                <w:rFonts w:eastAsia="Calibri" w:cs="Calibri"/>
                <w:sz w:val="20"/>
                <w:szCs w:val="20"/>
              </w:rPr>
              <w:t>ներուժը</w:t>
            </w:r>
            <w:r w:rsidRPr="0053423A">
              <w:rPr>
                <w:rFonts w:eastAsia="Calibri" w:cs="Calibri"/>
                <w:sz w:val="20"/>
                <w:szCs w:val="20"/>
                <w:lang w:val="tr-TR"/>
              </w:rPr>
              <w:t xml:space="preserve">` </w:t>
            </w:r>
            <w:r w:rsidRPr="0053423A">
              <w:rPr>
                <w:rFonts w:eastAsia="Calibri" w:cs="Calibri"/>
                <w:sz w:val="20"/>
                <w:szCs w:val="20"/>
              </w:rPr>
              <w:t>միաժամանակ</w:t>
            </w:r>
            <w:r w:rsidRPr="0053423A">
              <w:rPr>
                <w:rFonts w:eastAsia="Calibri" w:cs="Calibri"/>
                <w:sz w:val="20"/>
                <w:szCs w:val="20"/>
                <w:lang w:val="tr-TR"/>
              </w:rPr>
              <w:t xml:space="preserve"> </w:t>
            </w:r>
            <w:r w:rsidRPr="0053423A">
              <w:rPr>
                <w:rFonts w:eastAsia="Calibri" w:cs="Calibri"/>
                <w:sz w:val="20"/>
                <w:szCs w:val="20"/>
              </w:rPr>
              <w:t>ևիրենց</w:t>
            </w:r>
            <w:r w:rsidRPr="0053423A">
              <w:rPr>
                <w:rFonts w:eastAsia="Calibri" w:cs="Calibri"/>
                <w:sz w:val="20"/>
                <w:szCs w:val="20"/>
                <w:lang w:val="tr-TR"/>
              </w:rPr>
              <w:t xml:space="preserve"> </w:t>
            </w:r>
            <w:r w:rsidRPr="0053423A">
              <w:rPr>
                <w:rFonts w:eastAsia="Calibri" w:cs="Calibri"/>
                <w:sz w:val="20"/>
                <w:szCs w:val="20"/>
              </w:rPr>
              <w:t>հայկական</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կյանքին</w:t>
            </w:r>
            <w:r w:rsidRPr="0053423A">
              <w:rPr>
                <w:rFonts w:eastAsia="Calibri" w:cs="Calibri"/>
                <w:sz w:val="20"/>
                <w:szCs w:val="20"/>
                <w:lang w:val="tr-TR"/>
              </w:rPr>
              <w:t xml:space="preserve"> </w:t>
            </w:r>
            <w:r w:rsidRPr="0053423A">
              <w:rPr>
                <w:rFonts w:eastAsia="Calibri" w:cs="Calibri"/>
                <w:sz w:val="20"/>
                <w:szCs w:val="20"/>
              </w:rPr>
              <w:t>հաղորդակից</w:t>
            </w:r>
            <w:r w:rsidRPr="0053423A">
              <w:rPr>
                <w:rFonts w:eastAsia="Calibri" w:cs="Calibri"/>
                <w:sz w:val="20"/>
                <w:szCs w:val="20"/>
                <w:lang w:val="tr-TR"/>
              </w:rPr>
              <w:t xml:space="preserve"> </w:t>
            </w:r>
            <w:r w:rsidRPr="0053423A">
              <w:rPr>
                <w:rFonts w:eastAsia="Calibri" w:cs="Calibri"/>
                <w:sz w:val="20"/>
                <w:szCs w:val="20"/>
              </w:rPr>
              <w:t>դարձնելու</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լավագույն</w:t>
            </w:r>
            <w:r w:rsidRPr="0053423A">
              <w:rPr>
                <w:rFonts w:eastAsia="Calibri" w:cs="Calibri"/>
                <w:sz w:val="20"/>
                <w:szCs w:val="20"/>
                <w:lang w:val="tr-TR"/>
              </w:rPr>
              <w:t xml:space="preserve"> </w:t>
            </w:r>
            <w:r w:rsidRPr="0053423A">
              <w:rPr>
                <w:rFonts w:eastAsia="Calibri" w:cs="Calibri"/>
                <w:sz w:val="20"/>
                <w:szCs w:val="20"/>
              </w:rPr>
              <w:t>փորձի</w:t>
            </w:r>
            <w:r w:rsidRPr="0053423A">
              <w:rPr>
                <w:rFonts w:eastAsia="Calibri" w:cs="Calibri"/>
                <w:sz w:val="20"/>
                <w:szCs w:val="20"/>
                <w:lang w:val="tr-TR"/>
              </w:rPr>
              <w:t xml:space="preserve"> </w:t>
            </w:r>
            <w:r w:rsidRPr="0053423A">
              <w:rPr>
                <w:rFonts w:eastAsia="Calibri" w:cs="Calibri"/>
                <w:sz w:val="20"/>
                <w:szCs w:val="20"/>
              </w:rPr>
              <w:t>փոխանակման</w:t>
            </w:r>
            <w:r w:rsidRPr="0053423A">
              <w:rPr>
                <w:rFonts w:eastAsia="Calibri" w:cs="Calibri"/>
                <w:sz w:val="20"/>
                <w:szCs w:val="20"/>
                <w:lang w:val="tr-TR"/>
              </w:rPr>
              <w:t xml:space="preserve">, </w:t>
            </w:r>
            <w:r w:rsidRPr="0053423A">
              <w:rPr>
                <w:rFonts w:eastAsia="Calibri" w:cs="Calibri"/>
                <w:sz w:val="20"/>
                <w:szCs w:val="20"/>
              </w:rPr>
              <w:t>կապերի</w:t>
            </w:r>
            <w:r w:rsidRPr="0053423A">
              <w:rPr>
                <w:rFonts w:eastAsia="Calibri" w:cs="Calibri"/>
                <w:sz w:val="20"/>
                <w:szCs w:val="20"/>
                <w:lang w:val="tr-TR"/>
              </w:rPr>
              <w:t xml:space="preserve"> </w:t>
            </w:r>
            <w:r w:rsidRPr="0053423A">
              <w:rPr>
                <w:rFonts w:eastAsia="Calibri" w:cs="Calibri"/>
                <w:sz w:val="20"/>
                <w:szCs w:val="20"/>
              </w:rPr>
              <w:t>ամրապնդման</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w:t>
            </w:r>
          </w:p>
          <w:p w:rsidR="00A67B6B" w:rsidRPr="0053423A" w:rsidRDefault="00A67B6B" w:rsidP="00A67858">
            <w:pPr>
              <w:tabs>
                <w:tab w:val="left" w:pos="508"/>
              </w:tabs>
              <w:spacing w:after="0" w:line="276" w:lineRule="auto"/>
              <w:jc w:val="both"/>
              <w:rPr>
                <w:rFonts w:eastAsia="Calibri" w:cs="Calibri"/>
                <w:sz w:val="20"/>
                <w:szCs w:val="20"/>
                <w:lang w:val="tr-TR"/>
              </w:rPr>
            </w:pPr>
          </w:p>
          <w:p w:rsidR="00A67B6B" w:rsidRPr="0053423A" w:rsidRDefault="00A67B6B" w:rsidP="001F6D5D">
            <w:pPr>
              <w:numPr>
                <w:ilvl w:val="1"/>
                <w:numId w:val="235"/>
              </w:numPr>
              <w:tabs>
                <w:tab w:val="left" w:pos="508"/>
              </w:tabs>
              <w:spacing w:after="0" w:line="276" w:lineRule="auto"/>
              <w:ind w:hanging="720"/>
              <w:jc w:val="both"/>
              <w:rPr>
                <w:rFonts w:eastAsia="Calibri" w:cs="Calibri"/>
                <w:b/>
                <w:sz w:val="20"/>
                <w:szCs w:val="20"/>
                <w:lang w:val="tr-TR"/>
              </w:rPr>
            </w:pPr>
            <w:r w:rsidRPr="0053423A">
              <w:rPr>
                <w:rFonts w:eastAsia="Calibri" w:cs="Calibri"/>
                <w:b/>
                <w:sz w:val="20"/>
                <w:szCs w:val="20"/>
              </w:rPr>
              <w:t>Առկա</w:t>
            </w:r>
            <w:r w:rsidRPr="0053423A">
              <w:rPr>
                <w:rFonts w:eastAsia="Calibri" w:cs="Calibri"/>
                <w:b/>
                <w:sz w:val="20"/>
                <w:szCs w:val="20"/>
                <w:lang w:val="tr-TR"/>
              </w:rPr>
              <w:t xml:space="preserve"> </w:t>
            </w:r>
            <w:r w:rsidRPr="0053423A">
              <w:rPr>
                <w:rFonts w:eastAsia="Calibri" w:cs="Calibri"/>
                <w:b/>
                <w:sz w:val="20"/>
                <w:szCs w:val="20"/>
              </w:rPr>
              <w:t>խնդիրների</w:t>
            </w:r>
            <w:r w:rsidRPr="0053423A">
              <w:rPr>
                <w:rFonts w:eastAsia="Calibri" w:cs="Calibri"/>
                <w:b/>
                <w:sz w:val="20"/>
                <w:szCs w:val="20"/>
                <w:lang w:val="tr-TR"/>
              </w:rPr>
              <w:t xml:space="preserve"> </w:t>
            </w:r>
            <w:r w:rsidRPr="0053423A">
              <w:rPr>
                <w:rFonts w:eastAsia="Calibri" w:cs="Calibri"/>
                <w:b/>
                <w:sz w:val="20"/>
                <w:szCs w:val="20"/>
              </w:rPr>
              <w:t>առաջարկվող</w:t>
            </w:r>
            <w:r w:rsidRPr="0053423A">
              <w:rPr>
                <w:rFonts w:eastAsia="Calibri" w:cs="Calibri"/>
                <w:b/>
                <w:sz w:val="20"/>
                <w:szCs w:val="20"/>
                <w:lang w:val="tr-TR"/>
              </w:rPr>
              <w:t xml:space="preserve"> </w:t>
            </w:r>
            <w:r w:rsidRPr="0053423A">
              <w:rPr>
                <w:rFonts w:eastAsia="Calibri" w:cs="Calibri"/>
                <w:b/>
                <w:sz w:val="20"/>
                <w:szCs w:val="20"/>
              </w:rPr>
              <w:t>լուծումները</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rPr>
              <w:t>Սփյուռքահայ</w:t>
            </w:r>
            <w:r w:rsidRPr="0053423A">
              <w:rPr>
                <w:rFonts w:eastAsia="Calibri" w:cs="Calibri"/>
                <w:sz w:val="20"/>
                <w:szCs w:val="20"/>
                <w:lang w:val="tr-TR"/>
              </w:rPr>
              <w:t xml:space="preserve"> </w:t>
            </w:r>
            <w:r w:rsidRPr="0053423A">
              <w:rPr>
                <w:rFonts w:eastAsia="Calibri" w:cs="Calibri"/>
                <w:sz w:val="20"/>
                <w:szCs w:val="20"/>
              </w:rPr>
              <w:t>համայնքներին</w:t>
            </w:r>
            <w:r w:rsidRPr="0053423A">
              <w:rPr>
                <w:rFonts w:eastAsia="Calibri" w:cs="Calibri"/>
                <w:sz w:val="20"/>
                <w:szCs w:val="20"/>
                <w:lang w:val="tr-TR"/>
              </w:rPr>
              <w:t xml:space="preserve"> </w:t>
            </w:r>
            <w:r w:rsidRPr="0053423A">
              <w:rPr>
                <w:rFonts w:eastAsia="Calibri" w:cs="Calibri"/>
                <w:sz w:val="20"/>
                <w:szCs w:val="20"/>
              </w:rPr>
              <w:t>հայ</w:t>
            </w:r>
            <w:r w:rsidRPr="0053423A">
              <w:rPr>
                <w:rFonts w:eastAsia="Calibri" w:cs="Calibri"/>
                <w:sz w:val="20"/>
                <w:szCs w:val="20"/>
                <w:lang w:val="tr-TR"/>
              </w:rPr>
              <w:t xml:space="preserve"> </w:t>
            </w:r>
            <w:r w:rsidRPr="0053423A">
              <w:rPr>
                <w:rFonts w:eastAsia="Calibri" w:cs="Calibri"/>
                <w:sz w:val="20"/>
                <w:szCs w:val="20"/>
              </w:rPr>
              <w:t>մշակույթին</w:t>
            </w:r>
            <w:r w:rsidRPr="0053423A">
              <w:rPr>
                <w:rFonts w:eastAsia="Calibri" w:cs="Calibri"/>
                <w:sz w:val="20"/>
                <w:szCs w:val="20"/>
                <w:lang w:val="tr-TR"/>
              </w:rPr>
              <w:t xml:space="preserve"> </w:t>
            </w:r>
            <w:r w:rsidRPr="0053423A">
              <w:rPr>
                <w:rFonts w:eastAsia="Calibri" w:cs="Calibri"/>
                <w:sz w:val="20"/>
                <w:szCs w:val="20"/>
              </w:rPr>
              <w:t>հնարավորինս</w:t>
            </w:r>
            <w:r w:rsidRPr="0053423A">
              <w:rPr>
                <w:rFonts w:eastAsia="Calibri" w:cs="Calibri"/>
                <w:sz w:val="20"/>
                <w:szCs w:val="20"/>
                <w:lang w:val="tr-TR"/>
              </w:rPr>
              <w:t xml:space="preserve"> </w:t>
            </w:r>
            <w:r w:rsidRPr="0053423A">
              <w:rPr>
                <w:rFonts w:eastAsia="Calibri" w:cs="Calibri"/>
                <w:sz w:val="20"/>
                <w:szCs w:val="20"/>
              </w:rPr>
              <w:t>հաղորդակից</w:t>
            </w:r>
            <w:r w:rsidRPr="0053423A">
              <w:rPr>
                <w:rFonts w:eastAsia="Calibri" w:cs="Calibri"/>
                <w:sz w:val="20"/>
                <w:szCs w:val="20"/>
                <w:lang w:val="tr-TR"/>
              </w:rPr>
              <w:t xml:space="preserve"> </w:t>
            </w:r>
            <w:r w:rsidRPr="0053423A">
              <w:rPr>
                <w:rFonts w:eastAsia="Calibri" w:cs="Calibri"/>
                <w:sz w:val="20"/>
                <w:szCs w:val="20"/>
              </w:rPr>
              <w:t>դարձնելու</w:t>
            </w:r>
            <w:r w:rsidRPr="0053423A">
              <w:rPr>
                <w:rFonts w:eastAsia="Calibri" w:cs="Calibri"/>
                <w:sz w:val="20"/>
                <w:szCs w:val="20"/>
                <w:lang w:val="tr-TR"/>
              </w:rPr>
              <w:t xml:space="preserve"> </w:t>
            </w:r>
            <w:r w:rsidRPr="0053423A">
              <w:rPr>
                <w:rFonts w:eastAsia="Calibri" w:cs="Calibri"/>
                <w:sz w:val="20"/>
                <w:szCs w:val="20"/>
              </w:rPr>
              <w:t>համար</w:t>
            </w:r>
            <w:r w:rsidRPr="0053423A">
              <w:rPr>
                <w:rFonts w:eastAsia="Calibri" w:cs="Calibri"/>
                <w:sz w:val="20"/>
                <w:szCs w:val="20"/>
                <w:lang w:val="tr-TR"/>
              </w:rPr>
              <w:t xml:space="preserve"> </w:t>
            </w:r>
            <w:r w:rsidRPr="0053423A">
              <w:rPr>
                <w:rFonts w:eastAsia="Calibri" w:cs="Calibri"/>
                <w:sz w:val="20"/>
                <w:szCs w:val="20"/>
              </w:rPr>
              <w:t>օտարեկրյա</w:t>
            </w:r>
            <w:r w:rsidRPr="0053423A">
              <w:rPr>
                <w:rFonts w:eastAsia="Calibri" w:cs="Calibri"/>
                <w:sz w:val="20"/>
                <w:szCs w:val="20"/>
                <w:lang w:val="tr-TR"/>
              </w:rPr>
              <w:t xml:space="preserve"> </w:t>
            </w:r>
            <w:r w:rsidRPr="0053423A">
              <w:rPr>
                <w:rFonts w:eastAsia="Calibri" w:cs="Calibri"/>
                <w:sz w:val="20"/>
                <w:szCs w:val="20"/>
              </w:rPr>
              <w:t>պետություններում</w:t>
            </w:r>
            <w:r w:rsidRPr="0053423A">
              <w:rPr>
                <w:rFonts w:eastAsia="Calibri" w:cs="Calibri"/>
                <w:sz w:val="20"/>
                <w:szCs w:val="20"/>
                <w:lang w:val="tr-TR"/>
              </w:rPr>
              <w:t xml:space="preserve"> </w:t>
            </w:r>
            <w:r w:rsidRPr="0053423A">
              <w:rPr>
                <w:rFonts w:eastAsia="Calibri" w:cs="Calibri"/>
                <w:sz w:val="20"/>
                <w:szCs w:val="20"/>
              </w:rPr>
              <w:t>ՀՀ</w:t>
            </w:r>
            <w:r w:rsidRPr="0053423A">
              <w:rPr>
                <w:rFonts w:eastAsia="Calibri" w:cs="Calibri"/>
                <w:sz w:val="20"/>
                <w:szCs w:val="20"/>
                <w:lang w:val="tr-TR"/>
              </w:rPr>
              <w:t xml:space="preserve"> </w:t>
            </w:r>
            <w:r w:rsidRPr="0053423A">
              <w:rPr>
                <w:rFonts w:eastAsia="Calibri" w:cs="Calibri"/>
                <w:sz w:val="20"/>
                <w:szCs w:val="20"/>
              </w:rPr>
              <w:t>դիվանագիտական</w:t>
            </w:r>
            <w:r w:rsidRPr="0053423A">
              <w:rPr>
                <w:rFonts w:eastAsia="Calibri" w:cs="Calibri"/>
                <w:sz w:val="20"/>
                <w:szCs w:val="20"/>
                <w:lang w:val="tr-TR"/>
              </w:rPr>
              <w:t xml:space="preserve"> </w:t>
            </w:r>
            <w:r w:rsidRPr="0053423A">
              <w:rPr>
                <w:rFonts w:eastAsia="Calibri" w:cs="Calibri"/>
                <w:sz w:val="20"/>
                <w:szCs w:val="20"/>
              </w:rPr>
              <w:t>ներկայացուցչությունների</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հայ</w:t>
            </w:r>
            <w:r w:rsidRPr="0053423A">
              <w:rPr>
                <w:rFonts w:eastAsia="Calibri" w:cs="Calibri"/>
                <w:sz w:val="20"/>
                <w:szCs w:val="20"/>
                <w:lang w:val="tr-TR"/>
              </w:rPr>
              <w:t xml:space="preserve"> </w:t>
            </w:r>
            <w:r w:rsidRPr="0053423A">
              <w:rPr>
                <w:rFonts w:eastAsia="Calibri" w:cs="Calibri"/>
                <w:sz w:val="20"/>
                <w:szCs w:val="20"/>
              </w:rPr>
              <w:t>համայնքների</w:t>
            </w:r>
            <w:r w:rsidRPr="0053423A">
              <w:rPr>
                <w:rFonts w:eastAsia="Calibri" w:cs="Calibri"/>
                <w:sz w:val="20"/>
                <w:szCs w:val="20"/>
                <w:lang w:val="tr-TR"/>
              </w:rPr>
              <w:t xml:space="preserve"> </w:t>
            </w:r>
            <w:r w:rsidRPr="0053423A">
              <w:rPr>
                <w:rFonts w:eastAsia="Calibri" w:cs="Calibri"/>
                <w:sz w:val="20"/>
                <w:szCs w:val="20"/>
              </w:rPr>
              <w:t>ներկայացուցիչների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 xml:space="preserve"> </w:t>
            </w:r>
            <w:r w:rsidRPr="0053423A">
              <w:rPr>
                <w:rFonts w:eastAsia="Calibri" w:cs="Calibri"/>
                <w:sz w:val="20"/>
                <w:szCs w:val="20"/>
              </w:rPr>
              <w:t>համատեղ</w:t>
            </w:r>
            <w:r w:rsidRPr="0053423A">
              <w:rPr>
                <w:rFonts w:eastAsia="Calibri" w:cs="Calibri"/>
                <w:sz w:val="20"/>
                <w:szCs w:val="20"/>
                <w:lang w:val="tr-TR"/>
              </w:rPr>
              <w:t xml:space="preserve"> </w:t>
            </w:r>
            <w:r w:rsidRPr="0053423A">
              <w:rPr>
                <w:rFonts w:eastAsia="Calibri" w:cs="Calibri"/>
                <w:sz w:val="20"/>
                <w:szCs w:val="20"/>
              </w:rPr>
              <w:t>մշակվում</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իրականացվում</w:t>
            </w:r>
            <w:r w:rsidRPr="0053423A">
              <w:rPr>
                <w:rFonts w:eastAsia="Calibri" w:cs="Calibri"/>
                <w:sz w:val="20"/>
                <w:szCs w:val="20"/>
                <w:lang w:val="tr-TR"/>
              </w:rPr>
              <w:t xml:space="preserve"> </w:t>
            </w:r>
            <w:r w:rsidRPr="0053423A">
              <w:rPr>
                <w:rFonts w:eastAsia="Calibri" w:cs="Calibri"/>
                <w:sz w:val="20"/>
                <w:szCs w:val="20"/>
              </w:rPr>
              <w:t>են</w:t>
            </w:r>
            <w:r w:rsidRPr="0053423A">
              <w:rPr>
                <w:rFonts w:eastAsia="Calibri" w:cs="Calibri"/>
                <w:sz w:val="20"/>
                <w:szCs w:val="20"/>
                <w:lang w:val="tr-TR"/>
              </w:rPr>
              <w:t xml:space="preserve"> </w:t>
            </w:r>
            <w:r w:rsidRPr="0053423A">
              <w:rPr>
                <w:rFonts w:eastAsia="Calibri" w:cs="Calibri"/>
                <w:sz w:val="20"/>
                <w:szCs w:val="20"/>
              </w:rPr>
              <w:t>տարբեր</w:t>
            </w:r>
            <w:r w:rsidRPr="0053423A">
              <w:rPr>
                <w:rFonts w:eastAsia="Calibri" w:cs="Calibri"/>
                <w:sz w:val="20"/>
                <w:szCs w:val="20"/>
                <w:lang w:val="tr-TR"/>
              </w:rPr>
              <w:t xml:space="preserve"> </w:t>
            </w:r>
            <w:r w:rsidRPr="0053423A">
              <w:rPr>
                <w:rFonts w:eastAsia="Calibri" w:cs="Calibri"/>
                <w:sz w:val="20"/>
                <w:szCs w:val="20"/>
              </w:rPr>
              <w:t>մշակութային</w:t>
            </w:r>
            <w:r w:rsidRPr="0053423A">
              <w:rPr>
                <w:rFonts w:eastAsia="Calibri" w:cs="Calibri"/>
                <w:sz w:val="20"/>
                <w:szCs w:val="20"/>
                <w:lang w:val="tr-TR"/>
              </w:rPr>
              <w:t xml:space="preserve"> </w:t>
            </w:r>
            <w:r w:rsidRPr="0053423A">
              <w:rPr>
                <w:rFonts w:eastAsia="Calibri" w:cs="Calibri"/>
                <w:sz w:val="20"/>
                <w:szCs w:val="20"/>
              </w:rPr>
              <w:t>ծրագրեր</w:t>
            </w:r>
            <w:r w:rsidRPr="0053423A">
              <w:rPr>
                <w:rFonts w:eastAsia="Calibri" w:cs="Calibri"/>
                <w:sz w:val="20"/>
                <w:szCs w:val="20"/>
                <w:lang w:val="tr-TR"/>
              </w:rPr>
              <w:t>:</w:t>
            </w:r>
          </w:p>
          <w:p w:rsidR="00A67B6B" w:rsidRPr="0053423A" w:rsidRDefault="00A67B6B" w:rsidP="00A67858">
            <w:pPr>
              <w:tabs>
                <w:tab w:val="left" w:pos="508"/>
              </w:tabs>
              <w:spacing w:after="0" w:line="276" w:lineRule="auto"/>
              <w:jc w:val="both"/>
              <w:rPr>
                <w:rFonts w:eastAsia="Calibri" w:cs="Calibri"/>
                <w:sz w:val="20"/>
                <w:szCs w:val="20"/>
                <w:lang w:val="tr-TR"/>
              </w:rPr>
            </w:pPr>
            <w:r w:rsidRPr="0053423A">
              <w:rPr>
                <w:rFonts w:eastAsia="Calibri" w:cs="Calibri"/>
                <w:sz w:val="20"/>
                <w:szCs w:val="20"/>
                <w:lang w:val="tr-TR"/>
              </w:rPr>
              <w:t xml:space="preserve"> </w:t>
            </w:r>
          </w:p>
          <w:p w:rsidR="00A67B6B" w:rsidRPr="0053423A" w:rsidRDefault="00A67B6B" w:rsidP="001F6D5D">
            <w:pPr>
              <w:numPr>
                <w:ilvl w:val="0"/>
                <w:numId w:val="235"/>
              </w:numPr>
              <w:tabs>
                <w:tab w:val="left" w:pos="508"/>
              </w:tabs>
              <w:spacing w:after="0" w:line="276" w:lineRule="auto"/>
              <w:ind w:hanging="707"/>
              <w:jc w:val="both"/>
              <w:rPr>
                <w:rFonts w:eastAsia="Calibri" w:cs="Calibri"/>
                <w:b/>
                <w:sz w:val="20"/>
                <w:szCs w:val="20"/>
                <w:lang w:val="tr-TR"/>
              </w:rPr>
            </w:pPr>
            <w:r w:rsidRPr="0053423A">
              <w:rPr>
                <w:rFonts w:eastAsia="Calibri" w:cs="Calibri"/>
                <w:b/>
                <w:sz w:val="20"/>
                <w:szCs w:val="20"/>
              </w:rPr>
              <w:t>Միջոցառման</w:t>
            </w:r>
            <w:r w:rsidRPr="0053423A">
              <w:rPr>
                <w:rFonts w:eastAsia="Calibri" w:cs="Calibri"/>
                <w:b/>
                <w:sz w:val="20"/>
                <w:szCs w:val="20"/>
                <w:lang w:val="tr-TR"/>
              </w:rPr>
              <w:t xml:space="preserve"> </w:t>
            </w:r>
            <w:r w:rsidRPr="0053423A">
              <w:rPr>
                <w:rFonts w:eastAsia="Calibri" w:cs="Calibri"/>
                <w:b/>
                <w:sz w:val="20"/>
                <w:szCs w:val="20"/>
              </w:rPr>
              <w:t>իրականացումից</w:t>
            </w:r>
            <w:r w:rsidRPr="0053423A">
              <w:rPr>
                <w:rFonts w:eastAsia="Calibri" w:cs="Calibri"/>
                <w:b/>
                <w:sz w:val="20"/>
                <w:szCs w:val="20"/>
                <w:lang w:val="tr-TR"/>
              </w:rPr>
              <w:t xml:space="preserve"> </w:t>
            </w:r>
            <w:r w:rsidRPr="0053423A">
              <w:rPr>
                <w:rFonts w:eastAsia="Calibri" w:cs="Calibri"/>
                <w:b/>
                <w:sz w:val="20"/>
                <w:szCs w:val="20"/>
              </w:rPr>
              <w:t>ակնկալվող</w:t>
            </w:r>
            <w:r w:rsidRPr="0053423A">
              <w:rPr>
                <w:rFonts w:eastAsia="Calibri" w:cs="Calibri"/>
                <w:b/>
                <w:sz w:val="20"/>
                <w:szCs w:val="20"/>
                <w:lang w:val="tr-TR"/>
              </w:rPr>
              <w:t xml:space="preserve"> </w:t>
            </w:r>
            <w:r w:rsidRPr="0053423A">
              <w:rPr>
                <w:rFonts w:eastAsia="Calibri" w:cs="Calibri"/>
                <w:b/>
                <w:sz w:val="20"/>
                <w:szCs w:val="20"/>
              </w:rPr>
              <w:t>արդյունքը</w:t>
            </w:r>
          </w:p>
          <w:p w:rsidR="00A67B6B" w:rsidRPr="0053423A" w:rsidRDefault="00A67B6B" w:rsidP="00A67858">
            <w:pPr>
              <w:tabs>
                <w:tab w:val="left" w:pos="508"/>
              </w:tabs>
              <w:spacing w:after="0" w:line="276" w:lineRule="auto"/>
              <w:jc w:val="both"/>
              <w:rPr>
                <w:rFonts w:eastAsia="Calibri" w:cs="GHEA Grapalat"/>
                <w:b/>
                <w:bCs/>
                <w:sz w:val="20"/>
                <w:szCs w:val="20"/>
                <w:lang w:val="tr-TR"/>
              </w:rPr>
            </w:pPr>
            <w:r w:rsidRPr="0053423A">
              <w:rPr>
                <w:rFonts w:eastAsia="Calibri" w:cs="Calibri"/>
                <w:b/>
                <w:sz w:val="20"/>
                <w:szCs w:val="20"/>
                <w:lang w:val="tr-TR"/>
              </w:rPr>
              <w:t xml:space="preserve"> </w:t>
            </w:r>
            <w:r w:rsidRPr="0053423A">
              <w:rPr>
                <w:rFonts w:eastAsia="Calibri" w:cs="Calibri"/>
                <w:sz w:val="20"/>
                <w:szCs w:val="20"/>
              </w:rPr>
              <w:t>Սփյուռքում</w:t>
            </w:r>
            <w:r w:rsidRPr="0053423A">
              <w:rPr>
                <w:rFonts w:eastAsia="Calibri" w:cs="Calibri"/>
                <w:sz w:val="20"/>
                <w:szCs w:val="20"/>
                <w:lang w:val="tr-TR"/>
              </w:rPr>
              <w:t xml:space="preserve"> </w:t>
            </w:r>
            <w:r w:rsidRPr="0053423A">
              <w:rPr>
                <w:rFonts w:eastAsia="Calibri" w:cs="Calibri"/>
                <w:sz w:val="20"/>
                <w:szCs w:val="20"/>
              </w:rPr>
              <w:t>ապրող</w:t>
            </w:r>
            <w:r w:rsidRPr="0053423A">
              <w:rPr>
                <w:rFonts w:eastAsia="Calibri" w:cs="Calibri"/>
                <w:sz w:val="20"/>
                <w:szCs w:val="20"/>
                <w:lang w:val="tr-TR"/>
              </w:rPr>
              <w:t xml:space="preserve"> </w:t>
            </w:r>
            <w:r w:rsidRPr="0053423A">
              <w:rPr>
                <w:rFonts w:eastAsia="Calibri" w:cs="Calibri"/>
                <w:sz w:val="20"/>
                <w:szCs w:val="20"/>
              </w:rPr>
              <w:t>հայերին</w:t>
            </w:r>
            <w:r w:rsidRPr="0053423A">
              <w:rPr>
                <w:rFonts w:eastAsia="Calibri" w:cs="Calibri"/>
                <w:sz w:val="20"/>
                <w:szCs w:val="20"/>
                <w:lang w:val="tr-TR"/>
              </w:rPr>
              <w:t xml:space="preserve"> </w:t>
            </w:r>
            <w:r w:rsidRPr="0053423A">
              <w:rPr>
                <w:rFonts w:eastAsia="Calibri" w:cs="Calibri"/>
                <w:sz w:val="20"/>
                <w:szCs w:val="20"/>
              </w:rPr>
              <w:t>հնարավորինս</w:t>
            </w:r>
            <w:r w:rsidRPr="0053423A">
              <w:rPr>
                <w:rFonts w:eastAsia="Calibri" w:cs="Calibri"/>
                <w:sz w:val="20"/>
                <w:szCs w:val="20"/>
                <w:lang w:val="tr-TR"/>
              </w:rPr>
              <w:t xml:space="preserve"> </w:t>
            </w:r>
            <w:r w:rsidRPr="0053423A">
              <w:rPr>
                <w:rFonts w:eastAsia="Calibri" w:cs="Calibri"/>
                <w:sz w:val="20"/>
                <w:szCs w:val="20"/>
              </w:rPr>
              <w:t>հաղորդակից</w:t>
            </w:r>
            <w:r w:rsidRPr="0053423A">
              <w:rPr>
                <w:rFonts w:eastAsia="Calibri" w:cs="Calibri"/>
                <w:sz w:val="20"/>
                <w:szCs w:val="20"/>
                <w:lang w:val="tr-TR"/>
              </w:rPr>
              <w:t xml:space="preserve"> </w:t>
            </w:r>
            <w:r w:rsidRPr="0053423A">
              <w:rPr>
                <w:rFonts w:eastAsia="Calibri" w:cs="Calibri"/>
                <w:sz w:val="20"/>
                <w:szCs w:val="20"/>
              </w:rPr>
              <w:t>դարձնել</w:t>
            </w:r>
            <w:r w:rsidRPr="0053423A">
              <w:rPr>
                <w:rFonts w:eastAsia="Calibri" w:cs="Calibri"/>
                <w:sz w:val="20"/>
                <w:szCs w:val="20"/>
                <w:lang w:val="tr-TR"/>
              </w:rPr>
              <w:t xml:space="preserve"> </w:t>
            </w:r>
            <w:r w:rsidRPr="0053423A">
              <w:rPr>
                <w:rFonts w:eastAsia="Calibri" w:cs="Calibri"/>
                <w:sz w:val="20"/>
                <w:szCs w:val="20"/>
              </w:rPr>
              <w:t>հայկական</w:t>
            </w:r>
            <w:r w:rsidRPr="0053423A">
              <w:rPr>
                <w:rFonts w:eastAsia="Calibri" w:cs="Calibri"/>
                <w:sz w:val="20"/>
                <w:szCs w:val="20"/>
                <w:lang w:val="tr-TR"/>
              </w:rPr>
              <w:t xml:space="preserve"> </w:t>
            </w:r>
            <w:r w:rsidRPr="0053423A">
              <w:rPr>
                <w:rFonts w:eastAsia="Calibri" w:cs="Calibri"/>
                <w:sz w:val="20"/>
                <w:szCs w:val="20"/>
              </w:rPr>
              <w:t>մշակույթին</w:t>
            </w:r>
            <w:r w:rsidRPr="0053423A">
              <w:rPr>
                <w:rFonts w:eastAsia="Calibri" w:cs="Calibri"/>
                <w:sz w:val="20"/>
                <w:szCs w:val="20"/>
                <w:lang w:val="tr-TR"/>
              </w:rPr>
              <w:t xml:space="preserve">, </w:t>
            </w:r>
            <w:r w:rsidRPr="0053423A">
              <w:rPr>
                <w:rFonts w:eastAsia="Calibri" w:cs="Calibri"/>
                <w:sz w:val="20"/>
                <w:szCs w:val="20"/>
              </w:rPr>
              <w:t>ծանոթացնել</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խորացնել</w:t>
            </w:r>
            <w:r w:rsidRPr="0053423A">
              <w:rPr>
                <w:rFonts w:eastAsia="Calibri" w:cs="Calibri"/>
                <w:sz w:val="20"/>
                <w:szCs w:val="20"/>
                <w:lang w:val="tr-TR"/>
              </w:rPr>
              <w:t xml:space="preserve"> </w:t>
            </w:r>
            <w:r w:rsidRPr="0053423A">
              <w:rPr>
                <w:rFonts w:eastAsia="Calibri" w:cs="Calibri"/>
                <w:sz w:val="20"/>
                <w:szCs w:val="20"/>
              </w:rPr>
              <w:t>գիտելիքները</w:t>
            </w:r>
            <w:r w:rsidRPr="0053423A">
              <w:rPr>
                <w:rFonts w:eastAsia="Calibri" w:cs="Calibri"/>
                <w:sz w:val="20"/>
                <w:szCs w:val="20"/>
                <w:lang w:val="tr-TR"/>
              </w:rPr>
              <w:t xml:space="preserve"> </w:t>
            </w:r>
            <w:r w:rsidRPr="0053423A">
              <w:rPr>
                <w:rFonts w:eastAsia="Calibri" w:cs="Calibri"/>
                <w:sz w:val="20"/>
                <w:szCs w:val="20"/>
              </w:rPr>
              <w:t>հայ</w:t>
            </w:r>
            <w:r w:rsidRPr="0053423A">
              <w:rPr>
                <w:rFonts w:eastAsia="Calibri" w:cs="Calibri"/>
                <w:sz w:val="20"/>
                <w:szCs w:val="20"/>
                <w:lang w:val="tr-TR"/>
              </w:rPr>
              <w:t xml:space="preserve"> </w:t>
            </w:r>
            <w:r w:rsidRPr="0053423A">
              <w:rPr>
                <w:rFonts w:eastAsia="Calibri" w:cs="Calibri"/>
                <w:sz w:val="20"/>
                <w:szCs w:val="20"/>
              </w:rPr>
              <w:t>պատմամշակութային</w:t>
            </w:r>
            <w:r w:rsidRPr="0053423A">
              <w:rPr>
                <w:rFonts w:eastAsia="Calibri" w:cs="Calibri"/>
                <w:sz w:val="20"/>
                <w:szCs w:val="20"/>
                <w:lang w:val="tr-TR"/>
              </w:rPr>
              <w:t xml:space="preserve"> </w:t>
            </w:r>
            <w:r w:rsidRPr="0053423A">
              <w:rPr>
                <w:rFonts w:eastAsia="Calibri" w:cs="Calibri"/>
                <w:sz w:val="20"/>
                <w:szCs w:val="20"/>
              </w:rPr>
              <w:t>ժառանգության</w:t>
            </w:r>
            <w:r w:rsidRPr="0053423A">
              <w:rPr>
                <w:rFonts w:eastAsia="Calibri" w:cs="Calibri"/>
                <w:sz w:val="20"/>
                <w:szCs w:val="20"/>
                <w:lang w:val="tr-TR"/>
              </w:rPr>
              <w:t xml:space="preserve"> </w:t>
            </w:r>
            <w:r w:rsidRPr="0053423A">
              <w:rPr>
                <w:rFonts w:eastAsia="Calibri" w:cs="Calibri"/>
                <w:sz w:val="20"/>
                <w:szCs w:val="20"/>
              </w:rPr>
              <w:t>վերաբերյալ</w:t>
            </w:r>
            <w:r w:rsidRPr="0053423A">
              <w:rPr>
                <w:rFonts w:eastAsia="Calibri" w:cs="Calibri"/>
                <w:sz w:val="20"/>
                <w:szCs w:val="20"/>
                <w:lang w:val="tr-TR"/>
              </w:rPr>
              <w:t xml:space="preserve">, </w:t>
            </w:r>
            <w:r w:rsidRPr="0053423A">
              <w:rPr>
                <w:rFonts w:eastAsia="Calibri" w:cs="Calibri"/>
                <w:sz w:val="20"/>
                <w:szCs w:val="20"/>
              </w:rPr>
              <w:t>բացահայտել</w:t>
            </w:r>
            <w:r w:rsidRPr="0053423A">
              <w:rPr>
                <w:rFonts w:eastAsia="Calibri" w:cs="Calibri"/>
                <w:sz w:val="20"/>
                <w:szCs w:val="20"/>
                <w:lang w:val="tr-TR"/>
              </w:rPr>
              <w:t xml:space="preserve"> </w:t>
            </w:r>
            <w:r w:rsidRPr="0053423A">
              <w:rPr>
                <w:rFonts w:eastAsia="Calibri" w:cs="Calibri"/>
                <w:sz w:val="20"/>
                <w:szCs w:val="20"/>
              </w:rPr>
              <w:t>տաղանդներ</w:t>
            </w:r>
            <w:r w:rsidRPr="0053423A">
              <w:rPr>
                <w:rFonts w:eastAsia="Calibri" w:cs="Calibri"/>
                <w:sz w:val="20"/>
                <w:szCs w:val="20"/>
                <w:lang w:val="tr-TR"/>
              </w:rPr>
              <w:t xml:space="preserve"> </w:t>
            </w:r>
            <w:r w:rsidRPr="0053423A">
              <w:rPr>
                <w:rFonts w:eastAsia="Calibri" w:cs="Calibri"/>
                <w:sz w:val="20"/>
                <w:szCs w:val="20"/>
              </w:rPr>
              <w:t>սփյուքահայ</w:t>
            </w:r>
            <w:r w:rsidRPr="0053423A">
              <w:rPr>
                <w:rFonts w:eastAsia="Calibri" w:cs="Calibri"/>
                <w:sz w:val="20"/>
                <w:szCs w:val="20"/>
                <w:lang w:val="tr-TR"/>
              </w:rPr>
              <w:t xml:space="preserve"> </w:t>
            </w:r>
            <w:r w:rsidRPr="0053423A">
              <w:rPr>
                <w:rFonts w:eastAsia="Calibri" w:cs="Calibri"/>
                <w:sz w:val="20"/>
                <w:szCs w:val="20"/>
              </w:rPr>
              <w:t>երիտասարդների</w:t>
            </w:r>
            <w:r w:rsidRPr="0053423A">
              <w:rPr>
                <w:rFonts w:eastAsia="Calibri" w:cs="Calibri"/>
                <w:sz w:val="20"/>
                <w:szCs w:val="20"/>
                <w:lang w:val="tr-TR"/>
              </w:rPr>
              <w:t xml:space="preserve"> </w:t>
            </w:r>
            <w:r w:rsidRPr="0053423A">
              <w:rPr>
                <w:rFonts w:eastAsia="Calibri" w:cs="Calibri"/>
                <w:sz w:val="20"/>
                <w:szCs w:val="20"/>
              </w:rPr>
              <w:t>մեջ</w:t>
            </w:r>
            <w:r w:rsidRPr="0053423A">
              <w:rPr>
                <w:rFonts w:eastAsia="Calibri" w:cs="Calibri"/>
                <w:sz w:val="20"/>
                <w:szCs w:val="20"/>
                <w:lang w:val="tr-TR"/>
              </w:rPr>
              <w:t xml:space="preserve"> </w:t>
            </w:r>
            <w:r w:rsidRPr="0053423A">
              <w:rPr>
                <w:rFonts w:eastAsia="Calibri" w:cs="Calibri"/>
                <w:sz w:val="20"/>
                <w:szCs w:val="20"/>
              </w:rPr>
              <w:t>և</w:t>
            </w:r>
            <w:r w:rsidRPr="0053423A">
              <w:rPr>
                <w:rFonts w:eastAsia="Calibri" w:cs="Calibri"/>
                <w:sz w:val="20"/>
                <w:szCs w:val="20"/>
                <w:lang w:val="tr-TR"/>
              </w:rPr>
              <w:t xml:space="preserve"> </w:t>
            </w:r>
            <w:r w:rsidRPr="0053423A">
              <w:rPr>
                <w:rFonts w:eastAsia="Calibri" w:cs="Calibri"/>
                <w:sz w:val="20"/>
                <w:szCs w:val="20"/>
              </w:rPr>
              <w:t>ամրապնդել</w:t>
            </w:r>
            <w:r w:rsidRPr="0053423A">
              <w:rPr>
                <w:rFonts w:eastAsia="Calibri" w:cs="Calibri"/>
                <w:sz w:val="20"/>
                <w:szCs w:val="20"/>
                <w:lang w:val="tr-TR"/>
              </w:rPr>
              <w:t xml:space="preserve"> </w:t>
            </w:r>
            <w:r w:rsidRPr="0053423A">
              <w:rPr>
                <w:rFonts w:eastAsia="Calibri" w:cs="Calibri"/>
                <w:sz w:val="20"/>
                <w:szCs w:val="20"/>
              </w:rPr>
              <w:t>կապերը</w:t>
            </w:r>
            <w:r w:rsidRPr="0053423A">
              <w:rPr>
                <w:rFonts w:eastAsia="Calibri" w:cs="Calibri"/>
                <w:sz w:val="20"/>
                <w:szCs w:val="20"/>
                <w:lang w:val="tr-TR"/>
              </w:rPr>
              <w:t xml:space="preserve"> </w:t>
            </w:r>
            <w:r w:rsidRPr="0053423A">
              <w:rPr>
                <w:rFonts w:eastAsia="Calibri" w:cs="Calibri"/>
                <w:sz w:val="20"/>
                <w:szCs w:val="20"/>
              </w:rPr>
              <w:t>հայրենիքի</w:t>
            </w:r>
            <w:r w:rsidRPr="0053423A">
              <w:rPr>
                <w:rFonts w:eastAsia="Calibri" w:cs="Calibri"/>
                <w:sz w:val="20"/>
                <w:szCs w:val="20"/>
                <w:lang w:val="tr-TR"/>
              </w:rPr>
              <w:t xml:space="preserve"> </w:t>
            </w:r>
            <w:r w:rsidRPr="0053423A">
              <w:rPr>
                <w:rFonts w:eastAsia="Calibri" w:cs="Calibri"/>
                <w:sz w:val="20"/>
                <w:szCs w:val="20"/>
              </w:rPr>
              <w:t>հետ</w:t>
            </w:r>
            <w:r w:rsidRPr="0053423A">
              <w:rPr>
                <w:rFonts w:eastAsia="Calibri" w:cs="Calibri"/>
                <w:sz w:val="20"/>
                <w:szCs w:val="20"/>
                <w:lang w:val="tr-TR"/>
              </w:rPr>
              <w:t>:</w:t>
            </w:r>
          </w:p>
        </w:tc>
      </w:tr>
    </w:tbl>
    <w:p w:rsidR="00A67B6B" w:rsidRPr="0053423A" w:rsidRDefault="00A67B6B" w:rsidP="00A67858">
      <w:pPr>
        <w:spacing w:after="0" w:line="276" w:lineRule="auto"/>
        <w:rPr>
          <w:rFonts w:eastAsia="Calibri" w:cs="Times New Roman"/>
          <w:sz w:val="20"/>
          <w:szCs w:val="20"/>
          <w:lang w:val="tr-TR"/>
        </w:rPr>
      </w:pPr>
    </w:p>
    <w:tbl>
      <w:tblPr>
        <w:tblStyle w:val="TableGrid"/>
        <w:tblW w:w="11491" w:type="dxa"/>
        <w:tblInd w:w="137" w:type="dxa"/>
        <w:shd w:val="clear" w:color="auto" w:fill="FFFF00"/>
        <w:tblLook w:val="04A0" w:firstRow="1" w:lastRow="0" w:firstColumn="1" w:lastColumn="0" w:noHBand="0" w:noVBand="1"/>
      </w:tblPr>
      <w:tblGrid>
        <w:gridCol w:w="11491"/>
      </w:tblGrid>
      <w:tr w:rsidR="00976405" w:rsidRPr="0053423A" w:rsidTr="00976405">
        <w:tc>
          <w:tcPr>
            <w:tcW w:w="11491" w:type="dxa"/>
            <w:shd w:val="clear" w:color="auto" w:fill="FFFF00"/>
          </w:tcPr>
          <w:p w:rsidR="00976405" w:rsidRPr="0053423A" w:rsidRDefault="00976405" w:rsidP="00A67858">
            <w:pPr>
              <w:spacing w:line="276" w:lineRule="auto"/>
              <w:jc w:val="center"/>
              <w:rPr>
                <w:rFonts w:cs="Sylfaen"/>
                <w:b/>
                <w:lang w:val="hy-AM" w:eastAsia="en-GB"/>
              </w:rPr>
            </w:pPr>
            <w:r w:rsidRPr="0053423A">
              <w:rPr>
                <w:rFonts w:cs="Sylfaen"/>
                <w:b/>
                <w:lang w:val="hy-AM" w:eastAsia="en-GB"/>
              </w:rPr>
              <w:t>Պաշտպանության</w:t>
            </w:r>
            <w:r w:rsidRPr="0053423A">
              <w:rPr>
                <w:b/>
                <w:lang w:val="hy-AM"/>
              </w:rPr>
              <w:t xml:space="preserve"> </w:t>
            </w:r>
            <w:r w:rsidRPr="0053423A">
              <w:rPr>
                <w:rFonts w:cs="Arial Unicode"/>
                <w:b/>
                <w:lang w:val="hy-AM"/>
              </w:rPr>
              <w:t>նախարարություն</w:t>
            </w:r>
          </w:p>
        </w:tc>
      </w:tr>
    </w:tbl>
    <w:p w:rsidR="00976405" w:rsidRPr="0053423A" w:rsidRDefault="00976405">
      <w:pPr>
        <w:rPr>
          <w:sz w:val="20"/>
          <w:szCs w:val="2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156"/>
      </w:tblGrid>
      <w:tr w:rsidR="00BB45FD" w:rsidRPr="00DE2EFA" w:rsidTr="00976405">
        <w:tc>
          <w:tcPr>
            <w:tcW w:w="425" w:type="dxa"/>
            <w:shd w:val="clear" w:color="auto" w:fill="auto"/>
          </w:tcPr>
          <w:p w:rsidR="00BB45FD" w:rsidRPr="0053423A" w:rsidRDefault="00BB45FD" w:rsidP="00A67858">
            <w:pPr>
              <w:spacing w:after="0" w:line="276" w:lineRule="auto"/>
              <w:ind w:right="-108"/>
              <w:rPr>
                <w:sz w:val="20"/>
                <w:szCs w:val="20"/>
                <w:lang w:val="hy-AM"/>
              </w:rPr>
            </w:pPr>
            <w:r w:rsidRPr="0053423A">
              <w:rPr>
                <w:sz w:val="20"/>
                <w:szCs w:val="20"/>
                <w:lang w:val="hy-AM"/>
              </w:rPr>
              <w:t>1.1-1.4</w:t>
            </w:r>
          </w:p>
        </w:tc>
        <w:tc>
          <w:tcPr>
            <w:tcW w:w="11156" w:type="dxa"/>
            <w:shd w:val="clear" w:color="auto" w:fill="auto"/>
          </w:tcPr>
          <w:p w:rsidR="00BB45FD" w:rsidRPr="0053423A" w:rsidRDefault="00BB45FD" w:rsidP="00A67858">
            <w:pPr>
              <w:spacing w:after="0" w:line="276" w:lineRule="auto"/>
              <w:ind w:firstLine="720"/>
              <w:jc w:val="center"/>
              <w:rPr>
                <w:rFonts w:cs="Tahoma"/>
                <w:b/>
                <w:sz w:val="20"/>
                <w:szCs w:val="20"/>
                <w:lang w:val="hy-AM"/>
              </w:rPr>
            </w:pPr>
            <w:r w:rsidRPr="0053423A">
              <w:rPr>
                <w:b/>
                <w:sz w:val="20"/>
                <w:szCs w:val="20"/>
                <w:u w:val="single"/>
                <w:lang w:val="hy-AM"/>
              </w:rPr>
              <w:t>Զսպման ուժերի և միջոցների զարգացման</w:t>
            </w:r>
            <w:r w:rsidRPr="0053423A">
              <w:rPr>
                <w:rFonts w:cs="Tahoma"/>
                <w:b/>
                <w:bCs/>
                <w:sz w:val="20"/>
                <w:szCs w:val="20"/>
                <w:u w:val="single"/>
                <w:lang w:val="hy-AM"/>
              </w:rPr>
              <w:t xml:space="preserve">, </w:t>
            </w:r>
            <w:r w:rsidRPr="0053423A">
              <w:rPr>
                <w:rFonts w:cs="Tahoma"/>
                <w:b/>
                <w:sz w:val="20"/>
                <w:szCs w:val="20"/>
                <w:u w:val="single"/>
                <w:lang w:val="hy-AM"/>
              </w:rPr>
              <w:t>զորքերի մարտական կարողությունների  բարձրացման վերաբերյալ</w:t>
            </w:r>
          </w:p>
          <w:p w:rsidR="00BB45FD" w:rsidRPr="0053423A" w:rsidRDefault="00BB45FD" w:rsidP="00A67858">
            <w:pPr>
              <w:spacing w:after="0" w:line="276" w:lineRule="auto"/>
              <w:ind w:left="-601" w:firstLine="1321"/>
              <w:jc w:val="center"/>
              <w:rPr>
                <w:b/>
                <w:sz w:val="20"/>
                <w:szCs w:val="20"/>
                <w:lang w:val="hy-AM"/>
              </w:rPr>
            </w:pPr>
          </w:p>
          <w:p w:rsidR="00BB45FD" w:rsidRPr="0053423A" w:rsidRDefault="00BB45FD" w:rsidP="00A67858">
            <w:pPr>
              <w:pStyle w:val="ListParagraph"/>
              <w:tabs>
                <w:tab w:val="left" w:pos="284"/>
              </w:tabs>
              <w:spacing w:after="0" w:line="276" w:lineRule="auto"/>
              <w:ind w:left="0"/>
              <w:rPr>
                <w:b/>
                <w:sz w:val="20"/>
                <w:szCs w:val="20"/>
                <w:lang w:val="hy-AM"/>
              </w:rPr>
            </w:pPr>
            <w:r w:rsidRPr="0053423A">
              <w:rPr>
                <w:b/>
                <w:sz w:val="20"/>
                <w:szCs w:val="20"/>
                <w:lang w:val="hy-AM"/>
              </w:rPr>
              <w:tab/>
            </w:r>
            <w:r w:rsidRPr="0053423A">
              <w:rPr>
                <w:b/>
                <w:sz w:val="20"/>
                <w:szCs w:val="20"/>
                <w:lang w:val="hy-AM"/>
              </w:rPr>
              <w:tab/>
              <w:t>1. Միջոցառումների իրականացման անհրաժեշտությունը և նպատակը</w:t>
            </w:r>
          </w:p>
          <w:p w:rsidR="00BB45FD" w:rsidRPr="0053423A" w:rsidRDefault="00BB45FD" w:rsidP="00A67858">
            <w:pPr>
              <w:pStyle w:val="ListParagraph"/>
              <w:tabs>
                <w:tab w:val="left" w:pos="284"/>
              </w:tabs>
              <w:spacing w:after="0" w:line="276" w:lineRule="auto"/>
              <w:ind w:left="0"/>
              <w:rPr>
                <w:sz w:val="20"/>
                <w:szCs w:val="20"/>
                <w:lang w:val="hy-AM"/>
              </w:rPr>
            </w:pPr>
            <w:r w:rsidRPr="0053423A">
              <w:rPr>
                <w:rFonts w:cs="GHEA Grapalat"/>
                <w:sz w:val="20"/>
                <w:szCs w:val="20"/>
                <w:lang w:val="hy-AM"/>
              </w:rPr>
              <w:tab/>
            </w:r>
            <w:r w:rsidRPr="0053423A">
              <w:rPr>
                <w:rFonts w:cs="GHEA Grapalat"/>
                <w:sz w:val="20"/>
                <w:szCs w:val="20"/>
                <w:lang w:val="hy-AM"/>
              </w:rPr>
              <w:tab/>
              <w:t xml:space="preserve">Ելնելով հավանական պատերազմի բնույթի գնահատման արդյունքներից և հաշվի առնելով </w:t>
            </w:r>
            <w:r w:rsidRPr="0053423A">
              <w:rPr>
                <w:rFonts w:cs="Sylfaen"/>
                <w:sz w:val="20"/>
                <w:szCs w:val="20"/>
                <w:lang w:val="hy-AM"/>
              </w:rPr>
              <w:t>ՀՀ</w:t>
            </w:r>
            <w:r w:rsidRPr="0053423A">
              <w:rPr>
                <w:rFonts w:cs="Times Armenian"/>
                <w:sz w:val="20"/>
                <w:szCs w:val="20"/>
                <w:lang w:val="hy-AM"/>
              </w:rPr>
              <w:t xml:space="preserve"> </w:t>
            </w:r>
            <w:r w:rsidRPr="0053423A">
              <w:rPr>
                <w:rFonts w:cs="Sylfaen"/>
                <w:sz w:val="20"/>
                <w:szCs w:val="20"/>
                <w:lang w:val="hy-AM"/>
              </w:rPr>
              <w:t>զինված</w:t>
            </w:r>
            <w:r w:rsidRPr="0053423A">
              <w:rPr>
                <w:rFonts w:cs="Times Armenian"/>
                <w:sz w:val="20"/>
                <w:szCs w:val="20"/>
                <w:lang w:val="hy-AM"/>
              </w:rPr>
              <w:t xml:space="preserve"> </w:t>
            </w:r>
            <w:r w:rsidRPr="0053423A">
              <w:rPr>
                <w:rFonts w:cs="Sylfaen"/>
                <w:sz w:val="20"/>
                <w:szCs w:val="20"/>
                <w:lang w:val="hy-AM"/>
              </w:rPr>
              <w:t>ուժերի</w:t>
            </w:r>
            <w:r w:rsidRPr="0053423A">
              <w:rPr>
                <w:rFonts w:cs="Times Armenian"/>
                <w:sz w:val="20"/>
                <w:szCs w:val="20"/>
                <w:lang w:val="hy-AM"/>
              </w:rPr>
              <w:t xml:space="preserve"> </w:t>
            </w:r>
            <w:r w:rsidRPr="0053423A">
              <w:rPr>
                <w:rFonts w:cs="Sylfaen"/>
                <w:sz w:val="20"/>
                <w:szCs w:val="20"/>
                <w:lang w:val="hy-AM"/>
              </w:rPr>
              <w:t>ու հակառակորդի</w:t>
            </w:r>
            <w:r w:rsidRPr="0053423A">
              <w:rPr>
                <w:rFonts w:cs="Times Armenian"/>
                <w:sz w:val="20"/>
                <w:szCs w:val="20"/>
                <w:lang w:val="hy-AM"/>
              </w:rPr>
              <w:t xml:space="preserve"> </w:t>
            </w:r>
            <w:r w:rsidRPr="0053423A">
              <w:rPr>
                <w:rFonts w:cs="Sylfaen"/>
                <w:sz w:val="20"/>
                <w:szCs w:val="20"/>
                <w:lang w:val="hy-AM"/>
              </w:rPr>
              <w:t>մարտական</w:t>
            </w:r>
            <w:r w:rsidRPr="0053423A">
              <w:rPr>
                <w:rFonts w:cs="Times Armenian"/>
                <w:sz w:val="20"/>
                <w:szCs w:val="20"/>
                <w:lang w:val="hy-AM"/>
              </w:rPr>
              <w:t xml:space="preserve"> </w:t>
            </w:r>
            <w:r w:rsidRPr="0053423A">
              <w:rPr>
                <w:rFonts w:cs="Sylfaen"/>
                <w:sz w:val="20"/>
                <w:szCs w:val="20"/>
                <w:lang w:val="hy-AM"/>
              </w:rPr>
              <w:t>կարողությունների</w:t>
            </w:r>
            <w:r w:rsidRPr="0053423A">
              <w:rPr>
                <w:rFonts w:cs="Times Armenian"/>
                <w:sz w:val="20"/>
                <w:szCs w:val="20"/>
                <w:lang w:val="hy-AM"/>
              </w:rPr>
              <w:t xml:space="preserve"> (</w:t>
            </w:r>
            <w:r w:rsidRPr="0053423A">
              <w:rPr>
                <w:rFonts w:cs="Sylfaen"/>
                <w:sz w:val="20"/>
                <w:szCs w:val="20"/>
                <w:lang w:val="hy-AM"/>
              </w:rPr>
              <w:t>ներուժի</w:t>
            </w:r>
            <w:r w:rsidRPr="0053423A">
              <w:rPr>
                <w:rFonts w:cs="Times Armenian"/>
                <w:sz w:val="20"/>
                <w:szCs w:val="20"/>
                <w:lang w:val="hy-AM"/>
              </w:rPr>
              <w:t xml:space="preserve">) </w:t>
            </w:r>
            <w:r w:rsidRPr="0053423A">
              <w:rPr>
                <w:rFonts w:cs="Sylfaen"/>
                <w:sz w:val="20"/>
                <w:szCs w:val="20"/>
                <w:lang w:val="hy-AM"/>
              </w:rPr>
              <w:t>հարաբերակցությունը,</w:t>
            </w:r>
            <w:r w:rsidRPr="0053423A">
              <w:rPr>
                <w:sz w:val="20"/>
                <w:szCs w:val="20"/>
                <w:lang w:val="hy-AM"/>
              </w:rPr>
              <w:t xml:space="preserve"> </w:t>
            </w:r>
            <w:r w:rsidRPr="0053423A">
              <w:rPr>
                <w:rFonts w:cs="Times Armenian"/>
                <w:sz w:val="20"/>
                <w:szCs w:val="20"/>
                <w:lang w:val="hy-AM"/>
              </w:rPr>
              <w:t>հավանական ագրեսիայի դիմագրավումը երաշխավորելու համար</w:t>
            </w:r>
            <w:r w:rsidRPr="0053423A">
              <w:rPr>
                <w:sz w:val="20"/>
                <w:szCs w:val="20"/>
                <w:lang w:val="hy-AM"/>
              </w:rPr>
              <w:t xml:space="preserve"> անհրաժեշտ է ունենալ այնպիսի ՍՌՏ միջոցներ և ուժեր, որոնք հնարավորություն կտան պահպանել ուժերի հավասարակշռությունը և ապահովել </w:t>
            </w:r>
            <w:r w:rsidRPr="0053423A">
              <w:rPr>
                <w:rFonts w:cs="Sylfaen"/>
                <w:sz w:val="20"/>
                <w:szCs w:val="20"/>
                <w:lang w:val="af-ZA"/>
              </w:rPr>
              <w:t>Հայաստանի Հանրապետության նկատմամբ ցանկացած բնույթի զինված ոտնձգու</w:t>
            </w:r>
            <w:r w:rsidRPr="0053423A">
              <w:rPr>
                <w:rFonts w:cs="Sylfaen"/>
                <w:sz w:val="20"/>
                <w:szCs w:val="20"/>
                <w:lang w:val="af-ZA"/>
              </w:rPr>
              <w:softHyphen/>
              <w:t xml:space="preserve">թյան կանխումը, հակառակորդի </w:t>
            </w:r>
            <w:r w:rsidRPr="0053423A">
              <w:rPr>
                <w:sz w:val="20"/>
                <w:szCs w:val="20"/>
                <w:lang w:val="hy-AM"/>
              </w:rPr>
              <w:t>կրիտիկական</w:t>
            </w:r>
            <w:r w:rsidRPr="0053423A">
              <w:rPr>
                <w:sz w:val="20"/>
                <w:szCs w:val="20"/>
                <w:lang w:val="af-ZA"/>
              </w:rPr>
              <w:t xml:space="preserve"> </w:t>
            </w:r>
            <w:r w:rsidRPr="0053423A">
              <w:rPr>
                <w:sz w:val="20"/>
                <w:szCs w:val="20"/>
                <w:lang w:val="hy-AM"/>
              </w:rPr>
              <w:t>կարևոր</w:t>
            </w:r>
            <w:r w:rsidRPr="0053423A">
              <w:rPr>
                <w:sz w:val="20"/>
                <w:szCs w:val="20"/>
                <w:lang w:val="af-ZA"/>
              </w:rPr>
              <w:t xml:space="preserve"> </w:t>
            </w:r>
            <w:r w:rsidRPr="0053423A">
              <w:rPr>
                <w:sz w:val="20"/>
                <w:szCs w:val="20"/>
                <w:lang w:val="hy-AM"/>
              </w:rPr>
              <w:t>օբյեկտների</w:t>
            </w:r>
            <w:r w:rsidRPr="0053423A">
              <w:rPr>
                <w:sz w:val="20"/>
                <w:szCs w:val="20"/>
                <w:lang w:val="af-ZA"/>
              </w:rPr>
              <w:t xml:space="preserve"> </w:t>
            </w:r>
            <w:r w:rsidRPr="0053423A">
              <w:rPr>
                <w:sz w:val="20"/>
                <w:szCs w:val="20"/>
                <w:lang w:val="hy-AM"/>
              </w:rPr>
              <w:t>ոչնչացմամբ</w:t>
            </w:r>
            <w:r w:rsidRPr="0053423A">
              <w:rPr>
                <w:sz w:val="20"/>
                <w:szCs w:val="20"/>
                <w:lang w:val="af-ZA"/>
              </w:rPr>
              <w:t xml:space="preserve"> </w:t>
            </w:r>
            <w:r w:rsidRPr="0053423A">
              <w:rPr>
                <w:rFonts w:cs="Sylfaen"/>
                <w:sz w:val="20"/>
                <w:szCs w:val="20"/>
                <w:lang w:val="af-ZA"/>
              </w:rPr>
              <w:t>անընդունելի վնասի հասցնումը, արդյունքում ռազմական գործողությունների հնա</w:t>
            </w:r>
            <w:r w:rsidRPr="0053423A">
              <w:rPr>
                <w:rFonts w:cs="Sylfaen"/>
                <w:sz w:val="20"/>
                <w:szCs w:val="20"/>
                <w:lang w:val="af-ZA"/>
              </w:rPr>
              <w:softHyphen/>
              <w:t>րա</w:t>
            </w:r>
            <w:r w:rsidRPr="0053423A">
              <w:rPr>
                <w:rFonts w:cs="Sylfaen"/>
                <w:sz w:val="20"/>
                <w:szCs w:val="20"/>
                <w:lang w:val="af-ZA"/>
              </w:rPr>
              <w:softHyphen/>
              <w:t>վորինս վաղ փուլում դադարեցումը:</w:t>
            </w:r>
          </w:p>
          <w:p w:rsidR="00BB45FD" w:rsidRPr="0053423A" w:rsidRDefault="00BB45FD" w:rsidP="00A67858">
            <w:pPr>
              <w:pStyle w:val="ListParagraph"/>
              <w:tabs>
                <w:tab w:val="left" w:pos="284"/>
              </w:tabs>
              <w:spacing w:after="0" w:line="276" w:lineRule="auto"/>
              <w:ind w:left="0"/>
              <w:rPr>
                <w:b/>
                <w:sz w:val="20"/>
                <w:szCs w:val="20"/>
                <w:lang w:val="hy-AM"/>
              </w:rPr>
            </w:pPr>
            <w:r w:rsidRPr="0053423A">
              <w:rPr>
                <w:b/>
                <w:sz w:val="20"/>
                <w:szCs w:val="20"/>
                <w:lang w:val="hy-AM"/>
              </w:rPr>
              <w:tab/>
            </w:r>
            <w:r w:rsidRPr="0053423A">
              <w:rPr>
                <w:b/>
                <w:sz w:val="20"/>
                <w:szCs w:val="20"/>
                <w:lang w:val="hy-AM"/>
              </w:rPr>
              <w:tab/>
              <w:t>1.1 Կարգավորման հարաբերությունների ներկա վիճակը և առկա խնդիրները</w:t>
            </w:r>
          </w:p>
          <w:p w:rsidR="00BB45FD" w:rsidRPr="0053423A" w:rsidRDefault="00BB45FD" w:rsidP="00A67858">
            <w:pPr>
              <w:spacing w:after="0" w:line="276" w:lineRule="auto"/>
              <w:ind w:firstLine="720"/>
              <w:rPr>
                <w:sz w:val="20"/>
                <w:szCs w:val="20"/>
                <w:lang w:val="hy-AM"/>
              </w:rPr>
            </w:pPr>
            <w:r w:rsidRPr="0053423A">
              <w:rPr>
                <w:sz w:val="20"/>
                <w:szCs w:val="20"/>
                <w:lang w:val="hy-AM"/>
              </w:rPr>
              <w:t>Հակառակորդի զինված ուժերը ՀՀ ԶՈՒ-ի համեմատ ունեն ուժերի ու միջոցնե</w:t>
            </w:r>
            <w:r w:rsidRPr="0053423A">
              <w:rPr>
                <w:sz w:val="20"/>
                <w:szCs w:val="20"/>
                <w:lang w:val="hy-AM"/>
              </w:rPr>
              <w:softHyphen/>
              <w:t xml:space="preserve">րի քանակական գերակշռություն, իսկ ՀՀ զինված ուժերի առկա կրակային հեռահար միջոցներով հակառակորդի զորքերի պոտենցիալն իջեցնելու հնարավորությունները սահմանափակ են: </w:t>
            </w:r>
          </w:p>
          <w:p w:rsidR="00BB45FD" w:rsidRPr="0053423A" w:rsidRDefault="00BB45FD" w:rsidP="00A67858">
            <w:pPr>
              <w:pStyle w:val="ListParagraph"/>
              <w:tabs>
                <w:tab w:val="left" w:pos="284"/>
              </w:tabs>
              <w:spacing w:after="0" w:line="276" w:lineRule="auto"/>
              <w:ind w:left="0"/>
              <w:rPr>
                <w:b/>
                <w:sz w:val="20"/>
                <w:szCs w:val="20"/>
                <w:lang w:val="hy-AM"/>
              </w:rPr>
            </w:pPr>
            <w:r w:rsidRPr="0053423A">
              <w:rPr>
                <w:b/>
                <w:sz w:val="20"/>
                <w:szCs w:val="20"/>
                <w:lang w:val="hy-AM"/>
              </w:rPr>
              <w:tab/>
            </w:r>
            <w:r w:rsidRPr="0053423A">
              <w:rPr>
                <w:b/>
                <w:sz w:val="20"/>
                <w:szCs w:val="20"/>
                <w:lang w:val="hy-AM"/>
              </w:rPr>
              <w:tab/>
              <w:t>1.2 Առկա խնդիրների առաջարկվող լուծումները</w:t>
            </w:r>
          </w:p>
          <w:p w:rsidR="00BB45FD" w:rsidRPr="0053423A" w:rsidRDefault="00BB45FD" w:rsidP="00A67858">
            <w:pPr>
              <w:pStyle w:val="ListParagraph"/>
              <w:tabs>
                <w:tab w:val="left" w:pos="284"/>
              </w:tabs>
              <w:spacing w:after="0" w:line="276" w:lineRule="auto"/>
              <w:ind w:left="0"/>
              <w:rPr>
                <w:sz w:val="20"/>
                <w:szCs w:val="20"/>
                <w:lang w:val="hy-AM"/>
              </w:rPr>
            </w:pPr>
            <w:r w:rsidRPr="0053423A">
              <w:rPr>
                <w:sz w:val="20"/>
                <w:szCs w:val="20"/>
                <w:lang w:val="hy-AM"/>
              </w:rPr>
              <w:tab/>
              <w:t xml:space="preserve">Խնդիրների լուծումներն արտացոլված են ՀՀ զինված ուժերի 2019-2024 թվականների զարգացման պլանում և ՀՀ սպառազինության և ռազմական տեխնիկայի 2019-2024 թվականների զարգացման պետական ծրագրի նախագծում: </w:t>
            </w:r>
          </w:p>
          <w:p w:rsidR="00BB45FD" w:rsidRPr="0053423A" w:rsidRDefault="00BB45FD" w:rsidP="00A67858">
            <w:pPr>
              <w:pStyle w:val="ListParagraph"/>
              <w:tabs>
                <w:tab w:val="left" w:pos="284"/>
              </w:tabs>
              <w:spacing w:after="0" w:line="276" w:lineRule="auto"/>
              <w:ind w:left="0"/>
              <w:rPr>
                <w:b/>
                <w:sz w:val="20"/>
                <w:szCs w:val="20"/>
                <w:lang w:val="hy-AM"/>
              </w:rPr>
            </w:pPr>
            <w:r w:rsidRPr="0053423A">
              <w:rPr>
                <w:b/>
                <w:sz w:val="20"/>
                <w:szCs w:val="20"/>
                <w:lang w:val="hy-AM"/>
              </w:rPr>
              <w:tab/>
            </w:r>
            <w:r w:rsidRPr="0053423A">
              <w:rPr>
                <w:b/>
                <w:sz w:val="20"/>
                <w:szCs w:val="20"/>
                <w:lang w:val="hy-AM"/>
              </w:rPr>
              <w:tab/>
              <w:t>2. Միջոցառումների իրականացումից ակնկալվող արդյունքը</w:t>
            </w:r>
          </w:p>
          <w:p w:rsidR="00BB45FD" w:rsidRPr="0053423A" w:rsidRDefault="00BB45FD" w:rsidP="00A67858">
            <w:pPr>
              <w:spacing w:after="0" w:line="276" w:lineRule="auto"/>
              <w:ind w:firstLine="720"/>
              <w:rPr>
                <w:sz w:val="20"/>
                <w:szCs w:val="20"/>
                <w:lang w:val="hy-AM"/>
              </w:rPr>
            </w:pPr>
            <w:r w:rsidRPr="0053423A">
              <w:rPr>
                <w:rFonts w:cs="Sylfaen"/>
                <w:sz w:val="20"/>
                <w:szCs w:val="20"/>
                <w:lang w:val="af-ZA"/>
              </w:rPr>
              <w:t>Կստեղծվի Հայաստանի Հանրապետության նկատմամբ ցանկացած բնույթի զինված ոտնձգու</w:t>
            </w:r>
            <w:r w:rsidRPr="0053423A">
              <w:rPr>
                <w:rFonts w:cs="Sylfaen"/>
                <w:sz w:val="20"/>
                <w:szCs w:val="20"/>
                <w:lang w:val="af-ZA"/>
              </w:rPr>
              <w:softHyphen/>
              <w:t>թյան կանխման ներուժ,</w:t>
            </w:r>
            <w:r w:rsidRPr="0053423A">
              <w:rPr>
                <w:sz w:val="20"/>
                <w:szCs w:val="20"/>
                <w:lang w:val="hy-AM"/>
              </w:rPr>
              <w:t xml:space="preserve"> զինված ուժերի  կարողությունները կհամապատասխանեցվեն ռազմական սպառնալիքների </w:t>
            </w:r>
            <w:r w:rsidRPr="0053423A">
              <w:rPr>
                <w:rFonts w:cs="Times Armenian"/>
                <w:sz w:val="20"/>
                <w:szCs w:val="20"/>
                <w:lang w:val="hy-AM"/>
              </w:rPr>
              <w:t xml:space="preserve">գնահատված (կանխատեսվող) </w:t>
            </w:r>
            <w:r w:rsidRPr="0053423A">
              <w:rPr>
                <w:sz w:val="20"/>
                <w:szCs w:val="20"/>
                <w:lang w:val="hy-AM"/>
              </w:rPr>
              <w:t xml:space="preserve">մակարդակին և հավանական ռազմական գործողությունների բնույթին: </w:t>
            </w:r>
          </w:p>
          <w:p w:rsidR="00BB45FD" w:rsidRPr="0053423A" w:rsidRDefault="00BB45FD" w:rsidP="00A67858">
            <w:pPr>
              <w:spacing w:after="0" w:line="276" w:lineRule="auto"/>
              <w:ind w:firstLine="450"/>
              <w:rPr>
                <w:sz w:val="20"/>
                <w:szCs w:val="20"/>
                <w:lang w:val="hy-AM"/>
              </w:rPr>
            </w:pPr>
          </w:p>
        </w:tc>
      </w:tr>
      <w:tr w:rsidR="00BB45FD" w:rsidRPr="00DE2EFA" w:rsidTr="00976405">
        <w:tc>
          <w:tcPr>
            <w:tcW w:w="425" w:type="dxa"/>
            <w:shd w:val="clear" w:color="auto" w:fill="auto"/>
          </w:tcPr>
          <w:p w:rsidR="00BB45FD" w:rsidRPr="0053423A" w:rsidRDefault="00BB45FD" w:rsidP="00A67858">
            <w:pPr>
              <w:spacing w:after="0" w:line="276" w:lineRule="auto"/>
              <w:ind w:right="-108"/>
              <w:rPr>
                <w:sz w:val="20"/>
                <w:szCs w:val="20"/>
                <w:lang w:val="hy-AM"/>
              </w:rPr>
            </w:pPr>
            <w:r w:rsidRPr="0053423A">
              <w:rPr>
                <w:sz w:val="20"/>
                <w:szCs w:val="20"/>
                <w:lang w:val="hy-AM"/>
              </w:rPr>
              <w:t>2.1-2.4</w:t>
            </w:r>
          </w:p>
        </w:tc>
        <w:tc>
          <w:tcPr>
            <w:tcW w:w="11156" w:type="dxa"/>
            <w:shd w:val="clear" w:color="auto" w:fill="auto"/>
          </w:tcPr>
          <w:p w:rsidR="00BB45FD" w:rsidRPr="0053423A" w:rsidRDefault="00BB45FD" w:rsidP="00A67858">
            <w:pPr>
              <w:spacing w:after="0" w:line="276" w:lineRule="auto"/>
              <w:jc w:val="center"/>
              <w:rPr>
                <w:rFonts w:cs="Tahoma"/>
                <w:b/>
                <w:bCs/>
                <w:sz w:val="20"/>
                <w:szCs w:val="20"/>
                <w:lang w:val="hy-AM"/>
              </w:rPr>
            </w:pPr>
            <w:r w:rsidRPr="0053423A">
              <w:rPr>
                <w:rFonts w:cs="Tahoma"/>
                <w:b/>
                <w:bCs/>
                <w:sz w:val="20"/>
                <w:szCs w:val="20"/>
                <w:u w:val="single"/>
                <w:lang w:val="hy-AM"/>
              </w:rPr>
              <w:t>ԶՈՒ կառա</w:t>
            </w:r>
            <w:r w:rsidRPr="0053423A">
              <w:rPr>
                <w:rFonts w:cs="Tahoma"/>
                <w:b/>
                <w:bCs/>
                <w:sz w:val="20"/>
                <w:szCs w:val="20"/>
                <w:u w:val="single"/>
                <w:lang w:val="hy-AM"/>
              </w:rPr>
              <w:softHyphen/>
              <w:t>վարման համակարգի զարգացման վերաբերյալ</w:t>
            </w:r>
          </w:p>
          <w:p w:rsidR="00BB45FD" w:rsidRPr="0053423A" w:rsidRDefault="00BB45FD" w:rsidP="00A67858">
            <w:pPr>
              <w:spacing w:after="0" w:line="276" w:lineRule="auto"/>
              <w:jc w:val="center"/>
              <w:rPr>
                <w:b/>
                <w:sz w:val="20"/>
                <w:szCs w:val="20"/>
                <w:lang w:val="hy-AM"/>
              </w:rPr>
            </w:pPr>
          </w:p>
          <w:p w:rsidR="00BB45FD" w:rsidRPr="0053423A" w:rsidRDefault="00BB45FD" w:rsidP="00A67858">
            <w:pPr>
              <w:pStyle w:val="ListParagraph"/>
              <w:tabs>
                <w:tab w:val="left" w:pos="284"/>
              </w:tabs>
              <w:spacing w:after="0" w:line="276" w:lineRule="auto"/>
              <w:ind w:left="0"/>
              <w:rPr>
                <w:b/>
                <w:sz w:val="20"/>
                <w:szCs w:val="20"/>
                <w:lang w:val="hy-AM"/>
              </w:rPr>
            </w:pPr>
            <w:r w:rsidRPr="0053423A">
              <w:rPr>
                <w:b/>
                <w:sz w:val="20"/>
                <w:szCs w:val="20"/>
                <w:lang w:val="hy-AM"/>
              </w:rPr>
              <w:tab/>
            </w:r>
            <w:r w:rsidRPr="0053423A">
              <w:rPr>
                <w:b/>
                <w:sz w:val="20"/>
                <w:szCs w:val="20"/>
                <w:lang w:val="hy-AM"/>
              </w:rPr>
              <w:tab/>
              <w:t>1. Միջոցառումների իրականացման անհրաժեշտությունը և նպատակը</w:t>
            </w:r>
          </w:p>
          <w:p w:rsidR="00BB45FD" w:rsidRPr="0053423A" w:rsidRDefault="00BB45FD" w:rsidP="00A67858">
            <w:pPr>
              <w:pStyle w:val="ListParagraph"/>
              <w:tabs>
                <w:tab w:val="left" w:pos="284"/>
              </w:tabs>
              <w:spacing w:after="0" w:line="276" w:lineRule="auto"/>
              <w:ind w:left="0"/>
              <w:rPr>
                <w:sz w:val="20"/>
                <w:szCs w:val="20"/>
                <w:lang w:val="af-ZA"/>
              </w:rPr>
            </w:pPr>
            <w:r w:rsidRPr="0053423A">
              <w:rPr>
                <w:sz w:val="20"/>
                <w:szCs w:val="20"/>
                <w:lang w:val="hy-AM"/>
              </w:rPr>
              <w:tab/>
            </w:r>
            <w:r w:rsidRPr="0053423A">
              <w:rPr>
                <w:sz w:val="20"/>
                <w:szCs w:val="20"/>
                <w:lang w:val="hy-AM"/>
              </w:rPr>
              <w:tab/>
              <w:t>Միջոցառումների</w:t>
            </w:r>
            <w:r w:rsidRPr="0053423A">
              <w:rPr>
                <w:sz w:val="20"/>
                <w:szCs w:val="20"/>
                <w:lang w:val="af-ZA"/>
              </w:rPr>
              <w:t xml:space="preserve"> </w:t>
            </w:r>
            <w:r w:rsidRPr="0053423A">
              <w:rPr>
                <w:sz w:val="20"/>
                <w:szCs w:val="20"/>
                <w:lang w:val="hy-AM"/>
              </w:rPr>
              <w:t>իրականացումը</w:t>
            </w:r>
            <w:r w:rsidRPr="0053423A">
              <w:rPr>
                <w:sz w:val="20"/>
                <w:szCs w:val="20"/>
                <w:lang w:val="af-ZA"/>
              </w:rPr>
              <w:t xml:space="preserve"> </w:t>
            </w:r>
            <w:r w:rsidRPr="0053423A">
              <w:rPr>
                <w:sz w:val="20"/>
                <w:szCs w:val="20"/>
                <w:lang w:val="hy-AM"/>
              </w:rPr>
              <w:t>պայմանավորրված</w:t>
            </w:r>
            <w:r w:rsidRPr="0053423A">
              <w:rPr>
                <w:sz w:val="20"/>
                <w:szCs w:val="20"/>
                <w:lang w:val="af-ZA"/>
              </w:rPr>
              <w:t xml:space="preserve"> </w:t>
            </w:r>
            <w:r w:rsidRPr="0053423A">
              <w:rPr>
                <w:sz w:val="20"/>
                <w:szCs w:val="20"/>
                <w:lang w:val="hy-AM"/>
              </w:rPr>
              <w:t>է</w:t>
            </w:r>
            <w:r w:rsidRPr="0053423A">
              <w:rPr>
                <w:sz w:val="20"/>
                <w:szCs w:val="20"/>
                <w:lang w:val="af-ZA"/>
              </w:rPr>
              <w:t xml:space="preserve"> </w:t>
            </w:r>
            <w:r w:rsidRPr="0053423A">
              <w:rPr>
                <w:sz w:val="20"/>
                <w:szCs w:val="20"/>
                <w:lang w:val="hy-AM"/>
              </w:rPr>
              <w:t>հակառակորդի</w:t>
            </w:r>
            <w:r w:rsidRPr="0053423A">
              <w:rPr>
                <w:sz w:val="20"/>
                <w:szCs w:val="20"/>
                <w:lang w:val="af-ZA"/>
              </w:rPr>
              <w:t xml:space="preserve"> </w:t>
            </w:r>
            <w:r w:rsidRPr="0053423A">
              <w:rPr>
                <w:sz w:val="20"/>
                <w:szCs w:val="20"/>
                <w:lang w:val="hy-AM"/>
              </w:rPr>
              <w:t>նկատմամբ</w:t>
            </w:r>
            <w:r w:rsidRPr="0053423A">
              <w:rPr>
                <w:sz w:val="20"/>
                <w:szCs w:val="20"/>
                <w:lang w:val="af-ZA"/>
              </w:rPr>
              <w:t xml:space="preserve"> </w:t>
            </w:r>
            <w:r w:rsidRPr="0053423A">
              <w:rPr>
                <w:sz w:val="20"/>
                <w:szCs w:val="20"/>
                <w:lang w:val="hy-AM"/>
              </w:rPr>
              <w:t>որոշումների</w:t>
            </w:r>
            <w:r w:rsidRPr="0053423A">
              <w:rPr>
                <w:sz w:val="20"/>
                <w:szCs w:val="20"/>
                <w:lang w:val="af-ZA"/>
              </w:rPr>
              <w:t xml:space="preserve"> </w:t>
            </w:r>
            <w:r w:rsidRPr="0053423A">
              <w:rPr>
                <w:sz w:val="20"/>
                <w:szCs w:val="20"/>
                <w:lang w:val="hy-AM"/>
              </w:rPr>
              <w:t>կայացման</w:t>
            </w:r>
            <w:r w:rsidRPr="0053423A">
              <w:rPr>
                <w:sz w:val="20"/>
                <w:szCs w:val="20"/>
                <w:lang w:val="af-ZA"/>
              </w:rPr>
              <w:t xml:space="preserve"> </w:t>
            </w:r>
            <w:r w:rsidRPr="0053423A">
              <w:rPr>
                <w:sz w:val="20"/>
                <w:szCs w:val="20"/>
                <w:lang w:val="hy-AM"/>
              </w:rPr>
              <w:t>գործընթացում</w:t>
            </w:r>
            <w:r w:rsidRPr="0053423A">
              <w:rPr>
                <w:sz w:val="20"/>
                <w:szCs w:val="20"/>
                <w:lang w:val="af-ZA"/>
              </w:rPr>
              <w:t xml:space="preserve"> </w:t>
            </w:r>
            <w:r w:rsidRPr="0053423A">
              <w:rPr>
                <w:sz w:val="20"/>
                <w:szCs w:val="20"/>
                <w:lang w:val="hy-AM"/>
              </w:rPr>
              <w:t>առաջանցման</w:t>
            </w:r>
            <w:r w:rsidRPr="0053423A">
              <w:rPr>
                <w:sz w:val="20"/>
                <w:szCs w:val="20"/>
                <w:lang w:val="af-ZA"/>
              </w:rPr>
              <w:t xml:space="preserve"> </w:t>
            </w:r>
            <w:r w:rsidRPr="0053423A">
              <w:rPr>
                <w:sz w:val="20"/>
                <w:szCs w:val="20"/>
                <w:lang w:val="hy-AM"/>
              </w:rPr>
              <w:t>ապահովման</w:t>
            </w:r>
            <w:r w:rsidRPr="0053423A">
              <w:rPr>
                <w:sz w:val="20"/>
                <w:szCs w:val="20"/>
                <w:lang w:val="af-ZA"/>
              </w:rPr>
              <w:t>, կապի համակարգի կայունութ</w:t>
            </w:r>
            <w:r w:rsidRPr="0053423A">
              <w:rPr>
                <w:sz w:val="20"/>
                <w:szCs w:val="20"/>
                <w:lang w:val="af-ZA"/>
              </w:rPr>
              <w:softHyphen/>
              <w:t>յունը, շարժունակութ</w:t>
            </w:r>
            <w:r w:rsidRPr="0053423A">
              <w:rPr>
                <w:sz w:val="20"/>
                <w:szCs w:val="20"/>
                <w:lang w:val="af-ZA"/>
              </w:rPr>
              <w:softHyphen/>
              <w:t>յունը, թողունակությունը և ծածուկությունը պահանջվող գործակիցներին համապատասխանեցնելու</w:t>
            </w:r>
            <w:r w:rsidRPr="0053423A">
              <w:rPr>
                <w:sz w:val="20"/>
                <w:szCs w:val="20"/>
                <w:lang w:val="hy-AM"/>
              </w:rPr>
              <w:t xml:space="preserve"> անհրաժեշտությամբ</w:t>
            </w:r>
            <w:r w:rsidRPr="0053423A">
              <w:rPr>
                <w:sz w:val="20"/>
                <w:szCs w:val="20"/>
                <w:lang w:val="af-ZA"/>
              </w:rPr>
              <w:t>:</w:t>
            </w:r>
          </w:p>
          <w:p w:rsidR="00BB45FD" w:rsidRPr="0053423A" w:rsidRDefault="00BB45FD" w:rsidP="00A67858">
            <w:pPr>
              <w:pStyle w:val="ListParagraph"/>
              <w:tabs>
                <w:tab w:val="left" w:pos="284"/>
              </w:tabs>
              <w:spacing w:after="0" w:line="276" w:lineRule="auto"/>
              <w:ind w:left="0"/>
              <w:rPr>
                <w:b/>
                <w:sz w:val="20"/>
                <w:szCs w:val="20"/>
                <w:lang w:val="af-ZA"/>
              </w:rPr>
            </w:pPr>
            <w:r w:rsidRPr="0053423A">
              <w:rPr>
                <w:b/>
                <w:sz w:val="20"/>
                <w:szCs w:val="20"/>
                <w:lang w:val="hy-AM"/>
              </w:rPr>
              <w:tab/>
            </w:r>
            <w:r w:rsidRPr="0053423A">
              <w:rPr>
                <w:b/>
                <w:sz w:val="20"/>
                <w:szCs w:val="20"/>
                <w:lang w:val="hy-AM"/>
              </w:rPr>
              <w:tab/>
              <w:t>1.1 Կարգավորման</w:t>
            </w:r>
            <w:r w:rsidRPr="0053423A">
              <w:rPr>
                <w:b/>
                <w:sz w:val="20"/>
                <w:szCs w:val="20"/>
                <w:lang w:val="af-ZA"/>
              </w:rPr>
              <w:t xml:space="preserve"> </w:t>
            </w:r>
            <w:r w:rsidRPr="0053423A">
              <w:rPr>
                <w:b/>
                <w:sz w:val="20"/>
                <w:szCs w:val="20"/>
                <w:lang w:val="hy-AM"/>
              </w:rPr>
              <w:t>հարաբերությունների</w:t>
            </w:r>
            <w:r w:rsidRPr="0053423A">
              <w:rPr>
                <w:b/>
                <w:sz w:val="20"/>
                <w:szCs w:val="20"/>
                <w:lang w:val="af-ZA"/>
              </w:rPr>
              <w:t xml:space="preserve"> </w:t>
            </w:r>
            <w:r w:rsidRPr="0053423A">
              <w:rPr>
                <w:b/>
                <w:sz w:val="20"/>
                <w:szCs w:val="20"/>
                <w:lang w:val="hy-AM"/>
              </w:rPr>
              <w:t>ներկա</w:t>
            </w:r>
            <w:r w:rsidRPr="0053423A">
              <w:rPr>
                <w:b/>
                <w:sz w:val="20"/>
                <w:szCs w:val="20"/>
                <w:lang w:val="af-ZA"/>
              </w:rPr>
              <w:t xml:space="preserve"> </w:t>
            </w:r>
            <w:r w:rsidRPr="0053423A">
              <w:rPr>
                <w:b/>
                <w:sz w:val="20"/>
                <w:szCs w:val="20"/>
                <w:lang w:val="hy-AM"/>
              </w:rPr>
              <w:t>վիճակը</w:t>
            </w:r>
            <w:r w:rsidRPr="0053423A">
              <w:rPr>
                <w:b/>
                <w:sz w:val="20"/>
                <w:szCs w:val="20"/>
                <w:lang w:val="af-ZA"/>
              </w:rPr>
              <w:t xml:space="preserve"> </w:t>
            </w:r>
            <w:r w:rsidRPr="0053423A">
              <w:rPr>
                <w:b/>
                <w:sz w:val="20"/>
                <w:szCs w:val="20"/>
                <w:lang w:val="hy-AM"/>
              </w:rPr>
              <w:t>և</w:t>
            </w:r>
            <w:r w:rsidRPr="0053423A">
              <w:rPr>
                <w:b/>
                <w:sz w:val="20"/>
                <w:szCs w:val="20"/>
                <w:lang w:val="af-ZA"/>
              </w:rPr>
              <w:t xml:space="preserve"> </w:t>
            </w:r>
            <w:r w:rsidRPr="0053423A">
              <w:rPr>
                <w:b/>
                <w:sz w:val="20"/>
                <w:szCs w:val="20"/>
                <w:lang w:val="hy-AM"/>
              </w:rPr>
              <w:t>առկա</w:t>
            </w:r>
            <w:r w:rsidRPr="0053423A">
              <w:rPr>
                <w:b/>
                <w:sz w:val="20"/>
                <w:szCs w:val="20"/>
                <w:lang w:val="af-ZA"/>
              </w:rPr>
              <w:t xml:space="preserve"> </w:t>
            </w:r>
            <w:r w:rsidRPr="0053423A">
              <w:rPr>
                <w:b/>
                <w:sz w:val="20"/>
                <w:szCs w:val="20"/>
                <w:lang w:val="hy-AM"/>
              </w:rPr>
              <w:t>խնդիրները</w:t>
            </w:r>
          </w:p>
          <w:p w:rsidR="00BB45FD" w:rsidRPr="0053423A" w:rsidRDefault="00BB45FD" w:rsidP="00A67858">
            <w:pPr>
              <w:tabs>
                <w:tab w:val="left" w:pos="709"/>
              </w:tabs>
              <w:spacing w:after="0" w:line="276" w:lineRule="auto"/>
              <w:rPr>
                <w:rFonts w:cs="Sylfaen"/>
                <w:sz w:val="20"/>
                <w:szCs w:val="20"/>
                <w:lang w:val="af-ZA"/>
              </w:rPr>
            </w:pPr>
            <w:r w:rsidRPr="0053423A">
              <w:rPr>
                <w:rFonts w:cs="Sylfaen"/>
                <w:sz w:val="20"/>
                <w:szCs w:val="20"/>
                <w:lang w:val="af-ZA"/>
              </w:rPr>
              <w:tab/>
              <w:t xml:space="preserve">Ցածր է </w:t>
            </w:r>
            <w:r w:rsidRPr="0053423A">
              <w:rPr>
                <w:rFonts w:cs="Sylfaen"/>
                <w:sz w:val="20"/>
                <w:szCs w:val="20"/>
              </w:rPr>
              <w:t>կապի</w:t>
            </w:r>
            <w:r w:rsidRPr="0053423A">
              <w:rPr>
                <w:rFonts w:cs="Sylfaen"/>
                <w:sz w:val="20"/>
                <w:szCs w:val="20"/>
                <w:lang w:val="af-ZA"/>
              </w:rPr>
              <w:t xml:space="preserve"> </w:t>
            </w:r>
            <w:r w:rsidRPr="0053423A">
              <w:rPr>
                <w:rFonts w:cs="Sylfaen"/>
                <w:sz w:val="20"/>
                <w:szCs w:val="20"/>
              </w:rPr>
              <w:t>միջոցներով</w:t>
            </w:r>
            <w:r w:rsidRPr="0053423A">
              <w:rPr>
                <w:rFonts w:cs="Sylfaen"/>
                <w:sz w:val="20"/>
                <w:szCs w:val="20"/>
                <w:lang w:val="af-ZA"/>
              </w:rPr>
              <w:t xml:space="preserve"> </w:t>
            </w:r>
            <w:r w:rsidRPr="0053423A">
              <w:rPr>
                <w:rFonts w:cs="Sylfaen"/>
                <w:sz w:val="20"/>
                <w:szCs w:val="20"/>
              </w:rPr>
              <w:t>համալրվածությունը</w:t>
            </w:r>
            <w:r w:rsidRPr="0053423A">
              <w:rPr>
                <w:rFonts w:cs="Sylfaen"/>
                <w:sz w:val="20"/>
                <w:szCs w:val="20"/>
                <w:lang w:val="af-ZA"/>
              </w:rPr>
              <w:t xml:space="preserve">, </w:t>
            </w:r>
            <w:r w:rsidRPr="0053423A">
              <w:rPr>
                <w:rFonts w:cs="Sylfaen"/>
                <w:sz w:val="20"/>
                <w:szCs w:val="20"/>
              </w:rPr>
              <w:t>միջոցների</w:t>
            </w:r>
            <w:r w:rsidRPr="0053423A">
              <w:rPr>
                <w:rFonts w:cs="Sylfaen"/>
                <w:sz w:val="20"/>
                <w:szCs w:val="20"/>
                <w:lang w:val="af-ZA"/>
              </w:rPr>
              <w:t xml:space="preserve"> մի մասն ունեն </w:t>
            </w:r>
            <w:r w:rsidRPr="0053423A">
              <w:rPr>
                <w:rFonts w:cs="Sylfaen"/>
                <w:sz w:val="20"/>
                <w:szCs w:val="20"/>
              </w:rPr>
              <w:t>բարոյական</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ֆիզիկական</w:t>
            </w:r>
            <w:r w:rsidRPr="0053423A">
              <w:rPr>
                <w:rFonts w:cs="Sylfaen"/>
                <w:sz w:val="20"/>
                <w:szCs w:val="20"/>
                <w:lang w:val="af-ZA"/>
              </w:rPr>
              <w:t xml:space="preserve"> </w:t>
            </w:r>
            <w:r w:rsidRPr="0053423A">
              <w:rPr>
                <w:rFonts w:cs="Sylfaen"/>
                <w:sz w:val="20"/>
                <w:szCs w:val="20"/>
              </w:rPr>
              <w:t>մաշվածություն</w:t>
            </w:r>
            <w:r w:rsidRPr="0053423A">
              <w:rPr>
                <w:rFonts w:cs="Sylfaen"/>
                <w:sz w:val="20"/>
                <w:szCs w:val="20"/>
                <w:lang w:val="af-ZA"/>
              </w:rPr>
              <w:t xml:space="preserve">, </w:t>
            </w:r>
            <w:r w:rsidRPr="0053423A">
              <w:rPr>
                <w:rFonts w:cs="Sylfaen"/>
                <w:sz w:val="20"/>
                <w:szCs w:val="20"/>
              </w:rPr>
              <w:t>բացակայում</w:t>
            </w:r>
            <w:r w:rsidRPr="0053423A">
              <w:rPr>
                <w:rFonts w:cs="Sylfaen"/>
                <w:sz w:val="20"/>
                <w:szCs w:val="20"/>
                <w:lang w:val="af-ZA"/>
              </w:rPr>
              <w:t xml:space="preserve"> </w:t>
            </w:r>
            <w:r w:rsidRPr="0053423A">
              <w:rPr>
                <w:rFonts w:cs="Sylfaen"/>
                <w:sz w:val="20"/>
                <w:szCs w:val="20"/>
              </w:rPr>
              <w:t>է</w:t>
            </w:r>
            <w:r w:rsidRPr="0053423A">
              <w:rPr>
                <w:rFonts w:cs="Sylfaen"/>
                <w:sz w:val="20"/>
                <w:szCs w:val="20"/>
                <w:lang w:val="af-ZA"/>
              </w:rPr>
              <w:t xml:space="preserve"> </w:t>
            </w:r>
            <w:r w:rsidRPr="0053423A">
              <w:rPr>
                <w:rFonts w:cs="Sylfaen"/>
                <w:sz w:val="20"/>
                <w:szCs w:val="20"/>
              </w:rPr>
              <w:t>պահուստը</w:t>
            </w:r>
            <w:r w:rsidRPr="0053423A">
              <w:rPr>
                <w:rFonts w:cs="Sylfaen"/>
                <w:sz w:val="20"/>
                <w:szCs w:val="20"/>
                <w:lang w:val="af-ZA"/>
              </w:rPr>
              <w:t xml:space="preserve">, առկա են </w:t>
            </w:r>
            <w:r w:rsidRPr="0053423A">
              <w:rPr>
                <w:rFonts w:cs="Sylfaen"/>
                <w:sz w:val="20"/>
                <w:szCs w:val="20"/>
              </w:rPr>
              <w:t>ռեսուրսը</w:t>
            </w:r>
            <w:r w:rsidRPr="0053423A">
              <w:rPr>
                <w:rFonts w:cs="Sylfaen"/>
                <w:sz w:val="20"/>
                <w:szCs w:val="20"/>
                <w:lang w:val="af-ZA"/>
              </w:rPr>
              <w:t xml:space="preserve"> </w:t>
            </w:r>
            <w:r w:rsidRPr="0053423A">
              <w:rPr>
                <w:rFonts w:cs="Sylfaen"/>
                <w:sz w:val="20"/>
                <w:szCs w:val="20"/>
              </w:rPr>
              <w:t>սպառած</w:t>
            </w:r>
            <w:r w:rsidRPr="0053423A">
              <w:rPr>
                <w:rFonts w:cs="Sylfaen"/>
                <w:sz w:val="20"/>
                <w:szCs w:val="20"/>
                <w:lang w:val="af-ZA"/>
              </w:rPr>
              <w:t xml:space="preserve"> </w:t>
            </w:r>
            <w:r w:rsidRPr="0053423A">
              <w:rPr>
                <w:rFonts w:cs="Sylfaen"/>
                <w:sz w:val="20"/>
                <w:szCs w:val="20"/>
              </w:rPr>
              <w:t>շարժական</w:t>
            </w:r>
            <w:r w:rsidRPr="0053423A">
              <w:rPr>
                <w:rFonts w:cs="Sylfaen"/>
                <w:sz w:val="20"/>
                <w:szCs w:val="20"/>
                <w:lang w:val="af-ZA"/>
              </w:rPr>
              <w:t xml:space="preserve"> </w:t>
            </w:r>
            <w:r w:rsidRPr="0053423A">
              <w:rPr>
                <w:rFonts w:cs="Sylfaen"/>
                <w:sz w:val="20"/>
                <w:szCs w:val="20"/>
              </w:rPr>
              <w:t>տեխնիկաներ</w:t>
            </w:r>
            <w:r w:rsidRPr="0053423A">
              <w:rPr>
                <w:rFonts w:cs="Sylfaen"/>
                <w:sz w:val="20"/>
                <w:szCs w:val="20"/>
                <w:lang w:val="af-ZA"/>
              </w:rPr>
              <w:t xml:space="preserve">, բավարար չէ </w:t>
            </w:r>
            <w:r w:rsidRPr="0053423A">
              <w:rPr>
                <w:rFonts w:cs="Sylfaen"/>
                <w:sz w:val="20"/>
                <w:szCs w:val="20"/>
              </w:rPr>
              <w:t>կապի</w:t>
            </w:r>
            <w:r w:rsidRPr="0053423A">
              <w:rPr>
                <w:rFonts w:cs="Sylfaen"/>
                <w:sz w:val="20"/>
                <w:szCs w:val="20"/>
                <w:lang w:val="af-ZA"/>
              </w:rPr>
              <w:t xml:space="preserve"> </w:t>
            </w:r>
            <w:r w:rsidRPr="0053423A">
              <w:rPr>
                <w:rFonts w:cs="Sylfaen"/>
                <w:sz w:val="20"/>
                <w:szCs w:val="20"/>
              </w:rPr>
              <w:t>գաղտնագրման</w:t>
            </w:r>
            <w:r w:rsidRPr="0053423A">
              <w:rPr>
                <w:rFonts w:cs="Sylfaen"/>
                <w:sz w:val="20"/>
                <w:szCs w:val="20"/>
                <w:lang w:val="af-ZA"/>
              </w:rPr>
              <w:t xml:space="preserve"> </w:t>
            </w:r>
            <w:r w:rsidRPr="0053423A">
              <w:rPr>
                <w:rFonts w:cs="Sylfaen"/>
                <w:sz w:val="20"/>
                <w:szCs w:val="20"/>
              </w:rPr>
              <w:t>արդիական</w:t>
            </w:r>
            <w:r w:rsidRPr="0053423A">
              <w:rPr>
                <w:rFonts w:cs="Sylfaen"/>
                <w:sz w:val="20"/>
                <w:szCs w:val="20"/>
                <w:lang w:val="af-ZA"/>
              </w:rPr>
              <w:t xml:space="preserve"> </w:t>
            </w:r>
            <w:r w:rsidRPr="0053423A">
              <w:rPr>
                <w:rFonts w:cs="Sylfaen"/>
                <w:sz w:val="20"/>
                <w:szCs w:val="20"/>
              </w:rPr>
              <w:t>միջոցների</w:t>
            </w:r>
            <w:r w:rsidRPr="0053423A">
              <w:rPr>
                <w:rFonts w:cs="Sylfaen"/>
                <w:sz w:val="20"/>
                <w:szCs w:val="20"/>
                <w:lang w:val="af-ZA"/>
              </w:rPr>
              <w:t xml:space="preserve"> </w:t>
            </w:r>
            <w:r w:rsidRPr="0053423A">
              <w:rPr>
                <w:rFonts w:cs="Sylfaen"/>
                <w:sz w:val="20"/>
                <w:szCs w:val="20"/>
              </w:rPr>
              <w:t>քանակը</w:t>
            </w:r>
            <w:r w:rsidRPr="0053423A">
              <w:rPr>
                <w:rFonts w:cs="Sylfaen"/>
                <w:sz w:val="20"/>
                <w:szCs w:val="20"/>
                <w:lang w:val="af-ZA"/>
              </w:rPr>
              <w:t xml:space="preserve">, </w:t>
            </w:r>
            <w:r w:rsidRPr="0053423A">
              <w:rPr>
                <w:rFonts w:cs="Sylfaen"/>
                <w:sz w:val="20"/>
                <w:szCs w:val="20"/>
              </w:rPr>
              <w:t>մարտական</w:t>
            </w:r>
            <w:r w:rsidRPr="0053423A">
              <w:rPr>
                <w:rFonts w:cs="Sylfaen"/>
                <w:sz w:val="20"/>
                <w:szCs w:val="20"/>
                <w:lang w:val="af-ZA"/>
              </w:rPr>
              <w:t xml:space="preserve"> </w:t>
            </w:r>
            <w:r w:rsidRPr="0053423A">
              <w:rPr>
                <w:rFonts w:cs="Sylfaen"/>
                <w:sz w:val="20"/>
                <w:szCs w:val="20"/>
              </w:rPr>
              <w:t>գործողությունների</w:t>
            </w:r>
            <w:r w:rsidRPr="0053423A">
              <w:rPr>
                <w:rFonts w:cs="Sylfaen"/>
                <w:sz w:val="20"/>
                <w:szCs w:val="20"/>
                <w:lang w:val="af-ZA"/>
              </w:rPr>
              <w:t xml:space="preserve"> </w:t>
            </w:r>
            <w:r w:rsidRPr="0053423A">
              <w:rPr>
                <w:rFonts w:cs="Sylfaen"/>
                <w:sz w:val="20"/>
                <w:szCs w:val="20"/>
              </w:rPr>
              <w:t>վարման</w:t>
            </w:r>
            <w:r w:rsidRPr="0053423A">
              <w:rPr>
                <w:rFonts w:cs="Sylfaen"/>
                <w:sz w:val="20"/>
                <w:szCs w:val="20"/>
                <w:lang w:val="af-ZA"/>
              </w:rPr>
              <w:t xml:space="preserve"> </w:t>
            </w:r>
            <w:r w:rsidRPr="0053423A">
              <w:rPr>
                <w:rFonts w:cs="Sylfaen"/>
                <w:sz w:val="20"/>
                <w:szCs w:val="20"/>
              </w:rPr>
              <w:t>շրջանները</w:t>
            </w:r>
            <w:r w:rsidRPr="0053423A">
              <w:rPr>
                <w:rFonts w:cs="Sylfaen"/>
                <w:sz w:val="20"/>
                <w:szCs w:val="20"/>
                <w:lang w:val="af-ZA"/>
              </w:rPr>
              <w:t xml:space="preserve"> </w:t>
            </w:r>
            <w:r w:rsidRPr="0053423A">
              <w:rPr>
                <w:rFonts w:cs="Sylfaen"/>
                <w:sz w:val="20"/>
                <w:szCs w:val="20"/>
              </w:rPr>
              <w:t>կապի</w:t>
            </w:r>
            <w:r w:rsidRPr="0053423A">
              <w:rPr>
                <w:rFonts w:cs="Sylfaen"/>
                <w:sz w:val="20"/>
                <w:szCs w:val="20"/>
                <w:lang w:val="af-ZA"/>
              </w:rPr>
              <w:t xml:space="preserve"> </w:t>
            </w:r>
            <w:r w:rsidRPr="0053423A">
              <w:rPr>
                <w:rFonts w:cs="Sylfaen"/>
                <w:sz w:val="20"/>
                <w:szCs w:val="20"/>
              </w:rPr>
              <w:t>առումով</w:t>
            </w:r>
            <w:r w:rsidRPr="0053423A">
              <w:rPr>
                <w:rFonts w:cs="Sylfaen"/>
                <w:sz w:val="20"/>
                <w:szCs w:val="20"/>
                <w:lang w:val="af-ZA"/>
              </w:rPr>
              <w:t xml:space="preserve"> ունեն </w:t>
            </w:r>
            <w:r w:rsidRPr="0053423A">
              <w:rPr>
                <w:rFonts w:cs="Sylfaen"/>
                <w:sz w:val="20"/>
                <w:szCs w:val="20"/>
              </w:rPr>
              <w:t>ցածր</w:t>
            </w:r>
            <w:r w:rsidRPr="0053423A">
              <w:rPr>
                <w:rFonts w:cs="Sylfaen"/>
                <w:sz w:val="20"/>
                <w:szCs w:val="20"/>
                <w:lang w:val="af-ZA"/>
              </w:rPr>
              <w:t xml:space="preserve"> </w:t>
            </w:r>
            <w:r w:rsidRPr="0053423A">
              <w:rPr>
                <w:rFonts w:cs="Sylfaen"/>
                <w:sz w:val="20"/>
                <w:szCs w:val="20"/>
              </w:rPr>
              <w:t>կահավորվածություն</w:t>
            </w:r>
            <w:r w:rsidRPr="0053423A">
              <w:rPr>
                <w:rFonts w:cs="Sylfaen"/>
                <w:sz w:val="20"/>
                <w:szCs w:val="20"/>
                <w:lang w:val="af-ZA"/>
              </w:rPr>
              <w:t xml:space="preserve">: </w:t>
            </w:r>
          </w:p>
          <w:p w:rsidR="00BB45FD" w:rsidRPr="0053423A" w:rsidRDefault="00BB45FD" w:rsidP="00A67858">
            <w:pPr>
              <w:pStyle w:val="ListParagraph"/>
              <w:tabs>
                <w:tab w:val="left" w:pos="284"/>
                <w:tab w:val="left" w:pos="426"/>
              </w:tabs>
              <w:spacing w:after="0" w:line="276" w:lineRule="auto"/>
              <w:ind w:left="0"/>
              <w:rPr>
                <w:b/>
                <w:sz w:val="20"/>
                <w:szCs w:val="20"/>
                <w:lang w:val="af-ZA"/>
              </w:rPr>
            </w:pPr>
            <w:r w:rsidRPr="0053423A">
              <w:rPr>
                <w:b/>
                <w:sz w:val="20"/>
                <w:szCs w:val="20"/>
                <w:lang w:val="af-ZA"/>
              </w:rPr>
              <w:tab/>
            </w:r>
            <w:r w:rsidRPr="0053423A">
              <w:rPr>
                <w:b/>
                <w:sz w:val="20"/>
                <w:szCs w:val="20"/>
                <w:lang w:val="af-ZA"/>
              </w:rPr>
              <w:tab/>
            </w:r>
            <w:r w:rsidRPr="0053423A">
              <w:rPr>
                <w:b/>
                <w:sz w:val="20"/>
                <w:szCs w:val="20"/>
                <w:lang w:val="af-ZA"/>
              </w:rPr>
              <w:tab/>
              <w:t xml:space="preserve">1.2 </w:t>
            </w:r>
            <w:r w:rsidRPr="0053423A">
              <w:rPr>
                <w:b/>
                <w:sz w:val="20"/>
                <w:szCs w:val="20"/>
              </w:rPr>
              <w:t>Առկա</w:t>
            </w:r>
            <w:r w:rsidRPr="0053423A">
              <w:rPr>
                <w:b/>
                <w:sz w:val="20"/>
                <w:szCs w:val="20"/>
                <w:lang w:val="af-ZA"/>
              </w:rPr>
              <w:t xml:space="preserve"> </w:t>
            </w:r>
            <w:r w:rsidRPr="0053423A">
              <w:rPr>
                <w:b/>
                <w:sz w:val="20"/>
                <w:szCs w:val="20"/>
              </w:rPr>
              <w:t>խնդիրների</w:t>
            </w:r>
            <w:r w:rsidRPr="0053423A">
              <w:rPr>
                <w:b/>
                <w:sz w:val="20"/>
                <w:szCs w:val="20"/>
                <w:lang w:val="af-ZA"/>
              </w:rPr>
              <w:t xml:space="preserve"> </w:t>
            </w:r>
            <w:r w:rsidRPr="0053423A">
              <w:rPr>
                <w:b/>
                <w:sz w:val="20"/>
                <w:szCs w:val="20"/>
              </w:rPr>
              <w:t>առաջարկվող</w:t>
            </w:r>
            <w:r w:rsidRPr="0053423A">
              <w:rPr>
                <w:b/>
                <w:sz w:val="20"/>
                <w:szCs w:val="20"/>
                <w:lang w:val="af-ZA"/>
              </w:rPr>
              <w:t xml:space="preserve"> </w:t>
            </w:r>
            <w:r w:rsidRPr="0053423A">
              <w:rPr>
                <w:b/>
                <w:sz w:val="20"/>
                <w:szCs w:val="20"/>
              </w:rPr>
              <w:t>լուծումները</w:t>
            </w:r>
            <w:r w:rsidRPr="0053423A">
              <w:rPr>
                <w:b/>
                <w:sz w:val="20"/>
                <w:szCs w:val="20"/>
                <w:lang w:val="af-ZA"/>
              </w:rPr>
              <w:t xml:space="preserve"> </w:t>
            </w:r>
          </w:p>
          <w:p w:rsidR="00BB45FD" w:rsidRPr="0053423A" w:rsidRDefault="00BB45FD" w:rsidP="00A67858">
            <w:pPr>
              <w:pStyle w:val="ListParagraph"/>
              <w:tabs>
                <w:tab w:val="left" w:pos="284"/>
                <w:tab w:val="left" w:pos="426"/>
              </w:tabs>
              <w:spacing w:after="0" w:line="276" w:lineRule="auto"/>
              <w:ind w:left="0"/>
              <w:rPr>
                <w:b/>
                <w:sz w:val="20"/>
                <w:szCs w:val="20"/>
                <w:lang w:val="af-ZA"/>
              </w:rPr>
            </w:pPr>
            <w:r w:rsidRPr="0053423A">
              <w:rPr>
                <w:sz w:val="20"/>
                <w:szCs w:val="20"/>
                <w:lang w:val="af-ZA"/>
              </w:rPr>
              <w:tab/>
            </w:r>
            <w:r w:rsidRPr="0053423A">
              <w:rPr>
                <w:sz w:val="20"/>
                <w:szCs w:val="20"/>
                <w:lang w:val="af-ZA"/>
              </w:rPr>
              <w:tab/>
            </w:r>
            <w:r w:rsidRPr="0053423A">
              <w:rPr>
                <w:sz w:val="20"/>
                <w:szCs w:val="20"/>
                <w:lang w:val="af-ZA"/>
              </w:rPr>
              <w:tab/>
            </w:r>
            <w:r w:rsidRPr="0053423A">
              <w:rPr>
                <w:sz w:val="20"/>
                <w:szCs w:val="20"/>
              </w:rPr>
              <w:t>Խնդիրների</w:t>
            </w:r>
            <w:r w:rsidRPr="0053423A">
              <w:rPr>
                <w:sz w:val="20"/>
                <w:szCs w:val="20"/>
                <w:lang w:val="af-ZA"/>
              </w:rPr>
              <w:t xml:space="preserve"> </w:t>
            </w:r>
            <w:r w:rsidRPr="0053423A">
              <w:rPr>
                <w:sz w:val="20"/>
                <w:szCs w:val="20"/>
              </w:rPr>
              <w:t>լուծումներն</w:t>
            </w:r>
            <w:r w:rsidRPr="0053423A">
              <w:rPr>
                <w:sz w:val="20"/>
                <w:szCs w:val="20"/>
                <w:lang w:val="af-ZA"/>
              </w:rPr>
              <w:t xml:space="preserve"> </w:t>
            </w:r>
            <w:r w:rsidRPr="0053423A">
              <w:rPr>
                <w:sz w:val="20"/>
                <w:szCs w:val="20"/>
              </w:rPr>
              <w:t>արտացոլված</w:t>
            </w:r>
            <w:r w:rsidRPr="0053423A">
              <w:rPr>
                <w:sz w:val="20"/>
                <w:szCs w:val="20"/>
                <w:lang w:val="af-ZA"/>
              </w:rPr>
              <w:t xml:space="preserve"> </w:t>
            </w:r>
            <w:r w:rsidRPr="0053423A">
              <w:rPr>
                <w:sz w:val="20"/>
                <w:szCs w:val="20"/>
              </w:rPr>
              <w:t>են</w:t>
            </w:r>
            <w:r w:rsidRPr="0053423A">
              <w:rPr>
                <w:sz w:val="20"/>
                <w:szCs w:val="20"/>
                <w:lang w:val="af-ZA"/>
              </w:rPr>
              <w:t xml:space="preserve"> </w:t>
            </w:r>
            <w:r w:rsidRPr="0053423A">
              <w:rPr>
                <w:sz w:val="20"/>
                <w:szCs w:val="20"/>
              </w:rPr>
              <w:t>ՀՀ</w:t>
            </w:r>
            <w:r w:rsidRPr="0053423A">
              <w:rPr>
                <w:sz w:val="20"/>
                <w:szCs w:val="20"/>
                <w:lang w:val="af-ZA"/>
              </w:rPr>
              <w:t xml:space="preserve"> </w:t>
            </w:r>
            <w:r w:rsidRPr="0053423A">
              <w:rPr>
                <w:sz w:val="20"/>
                <w:szCs w:val="20"/>
              </w:rPr>
              <w:t>զինված</w:t>
            </w:r>
            <w:r w:rsidRPr="0053423A">
              <w:rPr>
                <w:sz w:val="20"/>
                <w:szCs w:val="20"/>
                <w:lang w:val="af-ZA"/>
              </w:rPr>
              <w:t xml:space="preserve"> </w:t>
            </w:r>
            <w:r w:rsidRPr="0053423A">
              <w:rPr>
                <w:sz w:val="20"/>
                <w:szCs w:val="20"/>
              </w:rPr>
              <w:t>ուժերի</w:t>
            </w:r>
            <w:r w:rsidRPr="0053423A">
              <w:rPr>
                <w:sz w:val="20"/>
                <w:szCs w:val="20"/>
                <w:lang w:val="af-ZA"/>
              </w:rPr>
              <w:t xml:space="preserve"> 2019-2024 </w:t>
            </w:r>
            <w:r w:rsidRPr="0053423A">
              <w:rPr>
                <w:sz w:val="20"/>
                <w:szCs w:val="20"/>
              </w:rPr>
              <w:t>թվականների</w:t>
            </w:r>
            <w:r w:rsidRPr="0053423A">
              <w:rPr>
                <w:sz w:val="20"/>
                <w:szCs w:val="20"/>
                <w:lang w:val="af-ZA"/>
              </w:rPr>
              <w:t xml:space="preserve"> </w:t>
            </w:r>
            <w:r w:rsidRPr="0053423A">
              <w:rPr>
                <w:sz w:val="20"/>
                <w:szCs w:val="20"/>
              </w:rPr>
              <w:t>զարգացման</w:t>
            </w:r>
            <w:r w:rsidRPr="0053423A">
              <w:rPr>
                <w:sz w:val="20"/>
                <w:szCs w:val="20"/>
                <w:lang w:val="af-ZA"/>
              </w:rPr>
              <w:t xml:space="preserve"> </w:t>
            </w:r>
            <w:r w:rsidRPr="0053423A">
              <w:rPr>
                <w:sz w:val="20"/>
                <w:szCs w:val="20"/>
              </w:rPr>
              <w:t>պլանում</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ՀՀ</w:t>
            </w:r>
            <w:r w:rsidRPr="0053423A">
              <w:rPr>
                <w:sz w:val="20"/>
                <w:szCs w:val="20"/>
                <w:lang w:val="af-ZA"/>
              </w:rPr>
              <w:t xml:space="preserve"> </w:t>
            </w:r>
            <w:r w:rsidRPr="0053423A">
              <w:rPr>
                <w:sz w:val="20"/>
                <w:szCs w:val="20"/>
              </w:rPr>
              <w:t>սպառազինության</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ռազմական</w:t>
            </w:r>
            <w:r w:rsidRPr="0053423A">
              <w:rPr>
                <w:sz w:val="20"/>
                <w:szCs w:val="20"/>
                <w:lang w:val="af-ZA"/>
              </w:rPr>
              <w:t xml:space="preserve"> </w:t>
            </w:r>
            <w:r w:rsidRPr="0053423A">
              <w:rPr>
                <w:sz w:val="20"/>
                <w:szCs w:val="20"/>
              </w:rPr>
              <w:t>տեխնիկայի</w:t>
            </w:r>
            <w:r w:rsidRPr="0053423A">
              <w:rPr>
                <w:sz w:val="20"/>
                <w:szCs w:val="20"/>
                <w:lang w:val="af-ZA"/>
              </w:rPr>
              <w:t xml:space="preserve"> 2019-2024 </w:t>
            </w:r>
            <w:r w:rsidRPr="0053423A">
              <w:rPr>
                <w:sz w:val="20"/>
                <w:szCs w:val="20"/>
              </w:rPr>
              <w:t>թվականների</w:t>
            </w:r>
            <w:r w:rsidRPr="0053423A">
              <w:rPr>
                <w:sz w:val="20"/>
                <w:szCs w:val="20"/>
                <w:lang w:val="af-ZA"/>
              </w:rPr>
              <w:t xml:space="preserve"> </w:t>
            </w:r>
            <w:r w:rsidRPr="0053423A">
              <w:rPr>
                <w:sz w:val="20"/>
                <w:szCs w:val="20"/>
              </w:rPr>
              <w:t>զարգացման</w:t>
            </w:r>
            <w:r w:rsidRPr="0053423A">
              <w:rPr>
                <w:sz w:val="20"/>
                <w:szCs w:val="20"/>
                <w:lang w:val="af-ZA"/>
              </w:rPr>
              <w:t xml:space="preserve"> </w:t>
            </w:r>
            <w:r w:rsidRPr="0053423A">
              <w:rPr>
                <w:sz w:val="20"/>
                <w:szCs w:val="20"/>
              </w:rPr>
              <w:t>պետական</w:t>
            </w:r>
            <w:r w:rsidRPr="0053423A">
              <w:rPr>
                <w:sz w:val="20"/>
                <w:szCs w:val="20"/>
                <w:lang w:val="af-ZA"/>
              </w:rPr>
              <w:t xml:space="preserve"> </w:t>
            </w:r>
            <w:r w:rsidRPr="0053423A">
              <w:rPr>
                <w:sz w:val="20"/>
                <w:szCs w:val="20"/>
              </w:rPr>
              <w:t>ծրագրի</w:t>
            </w:r>
            <w:r w:rsidRPr="0053423A">
              <w:rPr>
                <w:sz w:val="20"/>
                <w:szCs w:val="20"/>
                <w:lang w:val="af-ZA"/>
              </w:rPr>
              <w:t xml:space="preserve"> </w:t>
            </w:r>
            <w:r w:rsidRPr="0053423A">
              <w:rPr>
                <w:sz w:val="20"/>
                <w:szCs w:val="20"/>
              </w:rPr>
              <w:t>նախագծում</w:t>
            </w:r>
            <w:r w:rsidRPr="0053423A">
              <w:rPr>
                <w:sz w:val="20"/>
                <w:szCs w:val="20"/>
                <w:lang w:val="af-ZA"/>
              </w:rPr>
              <w:t>:</w:t>
            </w:r>
          </w:p>
          <w:p w:rsidR="00BB45FD" w:rsidRPr="0053423A" w:rsidRDefault="00BB45FD" w:rsidP="00A67858">
            <w:pPr>
              <w:pStyle w:val="ListParagraph"/>
              <w:tabs>
                <w:tab w:val="left" w:pos="284"/>
              </w:tabs>
              <w:spacing w:after="0" w:line="276" w:lineRule="auto"/>
              <w:ind w:left="0"/>
              <w:rPr>
                <w:b/>
                <w:sz w:val="20"/>
                <w:szCs w:val="20"/>
                <w:lang w:val="af-ZA"/>
              </w:rPr>
            </w:pPr>
            <w:r w:rsidRPr="0053423A">
              <w:rPr>
                <w:b/>
                <w:sz w:val="20"/>
                <w:szCs w:val="20"/>
                <w:lang w:val="af-ZA"/>
              </w:rPr>
              <w:tab/>
            </w:r>
            <w:r w:rsidRPr="0053423A">
              <w:rPr>
                <w:b/>
                <w:sz w:val="20"/>
                <w:szCs w:val="20"/>
                <w:lang w:val="af-ZA"/>
              </w:rPr>
              <w:tab/>
              <w:t xml:space="preserve">2. </w:t>
            </w:r>
            <w:r w:rsidRPr="0053423A">
              <w:rPr>
                <w:b/>
                <w:sz w:val="20"/>
                <w:szCs w:val="20"/>
              </w:rPr>
              <w:t>Միջոցառումների</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r w:rsidRPr="0053423A">
              <w:rPr>
                <w:b/>
                <w:sz w:val="20"/>
                <w:szCs w:val="20"/>
                <w:lang w:val="af-ZA"/>
              </w:rPr>
              <w:t xml:space="preserve"> </w:t>
            </w:r>
          </w:p>
          <w:p w:rsidR="00BB45FD" w:rsidRPr="0053423A" w:rsidRDefault="00BB45FD" w:rsidP="00A67858">
            <w:pPr>
              <w:spacing w:after="0" w:line="276" w:lineRule="auto"/>
              <w:ind w:firstLine="720"/>
              <w:rPr>
                <w:b/>
                <w:sz w:val="20"/>
                <w:szCs w:val="20"/>
                <w:u w:val="single"/>
                <w:lang w:val="af-ZA"/>
              </w:rPr>
            </w:pPr>
            <w:r w:rsidRPr="0053423A">
              <w:rPr>
                <w:sz w:val="20"/>
                <w:szCs w:val="20"/>
                <w:lang w:val="af-ZA"/>
              </w:rPr>
              <w:t>Կբարձրանա կառավարման մար</w:t>
            </w:r>
            <w:r w:rsidRPr="0053423A">
              <w:rPr>
                <w:sz w:val="20"/>
                <w:szCs w:val="20"/>
                <w:lang w:val="af-ZA"/>
              </w:rPr>
              <w:softHyphen/>
            </w:r>
            <w:r w:rsidRPr="0053423A">
              <w:rPr>
                <w:sz w:val="20"/>
                <w:szCs w:val="20"/>
                <w:lang w:val="af-ZA"/>
              </w:rPr>
              <w:softHyphen/>
            </w:r>
            <w:r w:rsidRPr="0053423A">
              <w:rPr>
                <w:sz w:val="20"/>
                <w:szCs w:val="20"/>
                <w:lang w:val="af-ZA"/>
              </w:rPr>
              <w:softHyphen/>
            </w:r>
            <w:r w:rsidRPr="0053423A">
              <w:rPr>
                <w:sz w:val="20"/>
                <w:szCs w:val="20"/>
                <w:lang w:val="af-ZA"/>
              </w:rPr>
              <w:softHyphen/>
            </w:r>
            <w:r w:rsidRPr="0053423A">
              <w:rPr>
                <w:sz w:val="20"/>
                <w:szCs w:val="20"/>
                <w:lang w:val="af-ZA"/>
              </w:rPr>
              <w:softHyphen/>
            </w:r>
            <w:r w:rsidRPr="0053423A">
              <w:rPr>
                <w:sz w:val="20"/>
                <w:szCs w:val="20"/>
                <w:lang w:val="af-ZA"/>
              </w:rPr>
              <w:softHyphen/>
            </w:r>
            <w:r w:rsidRPr="0053423A">
              <w:rPr>
                <w:sz w:val="20"/>
                <w:szCs w:val="20"/>
                <w:lang w:val="af-ZA"/>
              </w:rPr>
              <w:softHyphen/>
              <w:t>մինների գործունեության ար</w:t>
            </w:r>
            <w:r w:rsidRPr="0053423A">
              <w:rPr>
                <w:sz w:val="20"/>
                <w:szCs w:val="20"/>
                <w:lang w:val="af-ZA"/>
              </w:rPr>
              <w:softHyphen/>
            </w:r>
            <w:r w:rsidRPr="0053423A">
              <w:rPr>
                <w:sz w:val="20"/>
                <w:szCs w:val="20"/>
                <w:lang w:val="af-ZA"/>
              </w:rPr>
              <w:softHyphen/>
            </w:r>
            <w:r w:rsidRPr="0053423A">
              <w:rPr>
                <w:sz w:val="20"/>
                <w:szCs w:val="20"/>
                <w:lang w:val="af-ZA"/>
              </w:rPr>
              <w:softHyphen/>
            </w:r>
            <w:r w:rsidRPr="0053423A">
              <w:rPr>
                <w:sz w:val="20"/>
                <w:szCs w:val="20"/>
                <w:lang w:val="af-ZA"/>
              </w:rPr>
              <w:softHyphen/>
            </w:r>
            <w:r w:rsidRPr="0053423A">
              <w:rPr>
                <w:sz w:val="20"/>
                <w:szCs w:val="20"/>
                <w:lang w:val="af-ZA"/>
              </w:rPr>
              <w:softHyphen/>
              <w:t>դյու</w:t>
            </w:r>
            <w:r w:rsidRPr="0053423A">
              <w:rPr>
                <w:sz w:val="20"/>
                <w:szCs w:val="20"/>
                <w:lang w:val="af-ZA"/>
              </w:rPr>
              <w:softHyphen/>
              <w:t>նա</w:t>
            </w:r>
            <w:r w:rsidRPr="0053423A">
              <w:rPr>
                <w:sz w:val="20"/>
                <w:szCs w:val="20"/>
                <w:lang w:val="af-ZA"/>
              </w:rPr>
              <w:softHyphen/>
              <w:t>վետությունը,</w:t>
            </w:r>
            <w:r w:rsidRPr="0053423A">
              <w:rPr>
                <w:sz w:val="20"/>
                <w:szCs w:val="20"/>
                <w:lang w:val="af-ZA"/>
              </w:rPr>
              <w:softHyphen/>
            </w:r>
            <w:r w:rsidRPr="0053423A">
              <w:rPr>
                <w:sz w:val="20"/>
                <w:szCs w:val="20"/>
                <w:lang w:val="af-ZA"/>
              </w:rPr>
              <w:softHyphen/>
              <w:t xml:space="preserve"> զոր</w:t>
            </w:r>
            <w:r w:rsidRPr="0053423A">
              <w:rPr>
                <w:sz w:val="20"/>
                <w:szCs w:val="20"/>
                <w:lang w:val="af-ZA"/>
              </w:rPr>
              <w:softHyphen/>
              <w:t>քերի կառա</w:t>
            </w:r>
            <w:r w:rsidRPr="0053423A">
              <w:rPr>
                <w:sz w:val="20"/>
                <w:szCs w:val="20"/>
                <w:lang w:val="af-ZA"/>
              </w:rPr>
              <w:softHyphen/>
              <w:t>վար</w:t>
            </w:r>
            <w:r w:rsidRPr="0053423A">
              <w:rPr>
                <w:sz w:val="20"/>
                <w:szCs w:val="20"/>
                <w:lang w:val="af-ZA"/>
              </w:rPr>
              <w:softHyphen/>
              <w:t>ման կայունությունը, անընդհատությունը, օպե</w:t>
            </w:r>
            <w:r w:rsidRPr="0053423A">
              <w:rPr>
                <w:sz w:val="20"/>
                <w:szCs w:val="20"/>
                <w:lang w:val="af-ZA"/>
              </w:rPr>
              <w:softHyphen/>
              <w:t>րա</w:t>
            </w:r>
            <w:r w:rsidRPr="0053423A">
              <w:rPr>
                <w:sz w:val="20"/>
                <w:szCs w:val="20"/>
                <w:lang w:val="af-ZA"/>
              </w:rPr>
              <w:softHyphen/>
              <w:t>տի</w:t>
            </w:r>
            <w:r w:rsidRPr="0053423A">
              <w:rPr>
                <w:sz w:val="20"/>
                <w:szCs w:val="20"/>
                <w:lang w:val="af-ZA"/>
              </w:rPr>
              <w:softHyphen/>
              <w:t>վությունն ու ծա</w:t>
            </w:r>
            <w:r w:rsidRPr="0053423A">
              <w:rPr>
                <w:sz w:val="20"/>
                <w:szCs w:val="20"/>
                <w:lang w:val="af-ZA"/>
              </w:rPr>
              <w:softHyphen/>
              <w:t>ծու</w:t>
            </w:r>
            <w:r w:rsidRPr="0053423A">
              <w:rPr>
                <w:sz w:val="20"/>
                <w:szCs w:val="20"/>
                <w:lang w:val="af-ZA"/>
              </w:rPr>
              <w:softHyphen/>
              <w:t>կությունը:</w:t>
            </w:r>
          </w:p>
        </w:tc>
      </w:tr>
      <w:tr w:rsidR="00BB45FD" w:rsidRPr="00DE2EFA" w:rsidTr="00976405">
        <w:tc>
          <w:tcPr>
            <w:tcW w:w="425" w:type="dxa"/>
            <w:shd w:val="clear" w:color="auto" w:fill="auto"/>
          </w:tcPr>
          <w:p w:rsidR="00BB45FD" w:rsidRPr="0053423A" w:rsidRDefault="00BB45FD" w:rsidP="00A67858">
            <w:pPr>
              <w:spacing w:after="0" w:line="276" w:lineRule="auto"/>
              <w:ind w:right="-108"/>
              <w:rPr>
                <w:sz w:val="20"/>
                <w:szCs w:val="20"/>
                <w:lang w:val="hy-AM"/>
              </w:rPr>
            </w:pPr>
            <w:r w:rsidRPr="0053423A">
              <w:rPr>
                <w:sz w:val="20"/>
                <w:szCs w:val="20"/>
                <w:lang w:val="hy-AM"/>
              </w:rPr>
              <w:t>3.1-3.4</w:t>
            </w:r>
          </w:p>
        </w:tc>
        <w:tc>
          <w:tcPr>
            <w:tcW w:w="11156" w:type="dxa"/>
            <w:shd w:val="clear" w:color="auto" w:fill="auto"/>
          </w:tcPr>
          <w:p w:rsidR="00BB45FD" w:rsidRPr="0053423A" w:rsidRDefault="00BB45FD" w:rsidP="00A67858">
            <w:pPr>
              <w:tabs>
                <w:tab w:val="left" w:pos="284"/>
              </w:tabs>
              <w:spacing w:after="0" w:line="276" w:lineRule="auto"/>
              <w:jc w:val="center"/>
              <w:rPr>
                <w:rFonts w:cs="Tahoma"/>
                <w:b/>
                <w:bCs/>
                <w:sz w:val="20"/>
                <w:szCs w:val="20"/>
                <w:lang w:val="af-ZA"/>
              </w:rPr>
            </w:pPr>
            <w:r w:rsidRPr="0053423A">
              <w:rPr>
                <w:rFonts w:cs="Tahoma"/>
                <w:b/>
                <w:bCs/>
                <w:sz w:val="20"/>
                <w:szCs w:val="20"/>
                <w:u w:val="single"/>
                <w:lang w:val="hy-AM"/>
              </w:rPr>
              <w:t>Մարտական</w:t>
            </w:r>
            <w:r w:rsidRPr="0053423A">
              <w:rPr>
                <w:rFonts w:cs="Tahoma"/>
                <w:b/>
                <w:bCs/>
                <w:sz w:val="20"/>
                <w:szCs w:val="20"/>
                <w:u w:val="single"/>
                <w:lang w:val="af-ZA"/>
              </w:rPr>
              <w:t xml:space="preserve"> </w:t>
            </w:r>
            <w:r w:rsidRPr="0053423A">
              <w:rPr>
                <w:rFonts w:cs="Tahoma"/>
                <w:b/>
                <w:bCs/>
                <w:sz w:val="20"/>
                <w:szCs w:val="20"/>
                <w:u w:val="single"/>
                <w:lang w:val="hy-AM"/>
              </w:rPr>
              <w:t>հերթապահության</w:t>
            </w:r>
            <w:r w:rsidRPr="0053423A">
              <w:rPr>
                <w:rFonts w:cs="Tahoma"/>
                <w:b/>
                <w:bCs/>
                <w:sz w:val="20"/>
                <w:szCs w:val="20"/>
                <w:u w:val="single"/>
                <w:lang w:val="af-ZA"/>
              </w:rPr>
              <w:t xml:space="preserve"> </w:t>
            </w:r>
            <w:r w:rsidRPr="0053423A">
              <w:rPr>
                <w:rFonts w:cs="Tahoma"/>
                <w:b/>
                <w:bCs/>
                <w:sz w:val="20"/>
                <w:szCs w:val="20"/>
                <w:u w:val="single"/>
                <w:lang w:val="hy-AM"/>
              </w:rPr>
              <w:t>արդյունավետության</w:t>
            </w:r>
            <w:r w:rsidRPr="0053423A">
              <w:rPr>
                <w:rFonts w:cs="Tahoma"/>
                <w:b/>
                <w:bCs/>
                <w:sz w:val="20"/>
                <w:szCs w:val="20"/>
                <w:u w:val="single"/>
                <w:lang w:val="af-ZA"/>
              </w:rPr>
              <w:t xml:space="preserve"> </w:t>
            </w:r>
            <w:r w:rsidRPr="0053423A">
              <w:rPr>
                <w:rFonts w:cs="Tahoma"/>
                <w:b/>
                <w:bCs/>
                <w:sz w:val="20"/>
                <w:szCs w:val="20"/>
                <w:u w:val="single"/>
                <w:lang w:val="hy-AM"/>
              </w:rPr>
              <w:t>և</w:t>
            </w:r>
            <w:r w:rsidRPr="0053423A">
              <w:rPr>
                <w:rFonts w:cs="Tahoma"/>
                <w:b/>
                <w:bCs/>
                <w:sz w:val="20"/>
                <w:szCs w:val="20"/>
                <w:u w:val="single"/>
                <w:lang w:val="af-ZA"/>
              </w:rPr>
              <w:t xml:space="preserve"> </w:t>
            </w:r>
            <w:r w:rsidRPr="0053423A">
              <w:rPr>
                <w:rFonts w:cs="Tahoma"/>
                <w:b/>
                <w:bCs/>
                <w:sz w:val="20"/>
                <w:szCs w:val="20"/>
                <w:u w:val="single"/>
                <w:lang w:val="hy-AM"/>
              </w:rPr>
              <w:t>անվտանգության</w:t>
            </w:r>
            <w:r w:rsidRPr="0053423A">
              <w:rPr>
                <w:rFonts w:cs="Tahoma"/>
                <w:b/>
                <w:bCs/>
                <w:sz w:val="20"/>
                <w:szCs w:val="20"/>
                <w:u w:val="single"/>
                <w:lang w:val="af-ZA"/>
              </w:rPr>
              <w:t xml:space="preserve"> </w:t>
            </w:r>
            <w:r w:rsidRPr="0053423A">
              <w:rPr>
                <w:rFonts w:cs="Tahoma"/>
                <w:b/>
                <w:bCs/>
                <w:sz w:val="20"/>
                <w:szCs w:val="20"/>
                <w:u w:val="single"/>
                <w:lang w:val="hy-AM"/>
              </w:rPr>
              <w:t>բարձրացման</w:t>
            </w:r>
            <w:r w:rsidRPr="0053423A">
              <w:rPr>
                <w:rFonts w:cs="Tahoma"/>
                <w:b/>
                <w:bCs/>
                <w:sz w:val="20"/>
                <w:szCs w:val="20"/>
                <w:u w:val="single"/>
                <w:lang w:val="af-ZA"/>
              </w:rPr>
              <w:t xml:space="preserve"> </w:t>
            </w:r>
            <w:r w:rsidRPr="0053423A">
              <w:rPr>
                <w:rFonts w:cs="Tahoma"/>
                <w:b/>
                <w:bCs/>
                <w:sz w:val="20"/>
                <w:szCs w:val="20"/>
                <w:u w:val="single"/>
                <w:lang w:val="hy-AM"/>
              </w:rPr>
              <w:t>վերաբերյալ</w:t>
            </w:r>
          </w:p>
          <w:p w:rsidR="00BB45FD" w:rsidRPr="0053423A" w:rsidRDefault="00BB45FD" w:rsidP="00A67858">
            <w:pPr>
              <w:tabs>
                <w:tab w:val="left" w:pos="284"/>
              </w:tabs>
              <w:spacing w:after="0" w:line="276" w:lineRule="auto"/>
              <w:jc w:val="center"/>
              <w:rPr>
                <w:b/>
                <w:sz w:val="20"/>
                <w:szCs w:val="20"/>
                <w:lang w:val="af-ZA"/>
              </w:rPr>
            </w:pPr>
          </w:p>
          <w:p w:rsidR="00BB45FD" w:rsidRPr="0053423A" w:rsidRDefault="00BB45FD" w:rsidP="00A67858">
            <w:pPr>
              <w:pStyle w:val="ListParagraph"/>
              <w:tabs>
                <w:tab w:val="left" w:pos="284"/>
              </w:tabs>
              <w:spacing w:after="0" w:line="276" w:lineRule="auto"/>
              <w:ind w:left="0"/>
              <w:rPr>
                <w:b/>
                <w:sz w:val="20"/>
                <w:szCs w:val="20"/>
                <w:lang w:val="af-ZA"/>
              </w:rPr>
            </w:pPr>
            <w:r w:rsidRPr="0053423A">
              <w:rPr>
                <w:b/>
                <w:sz w:val="20"/>
                <w:szCs w:val="20"/>
                <w:lang w:val="af-ZA"/>
              </w:rPr>
              <w:tab/>
            </w:r>
            <w:r w:rsidRPr="0053423A">
              <w:rPr>
                <w:b/>
                <w:sz w:val="20"/>
                <w:szCs w:val="20"/>
                <w:lang w:val="af-ZA"/>
              </w:rPr>
              <w:tab/>
              <w:t xml:space="preserve">1. </w:t>
            </w:r>
            <w:r w:rsidRPr="0053423A">
              <w:rPr>
                <w:b/>
                <w:sz w:val="20"/>
                <w:szCs w:val="20"/>
              </w:rPr>
              <w:t>Միջոցառումների</w:t>
            </w:r>
            <w:r w:rsidRPr="0053423A">
              <w:rPr>
                <w:b/>
                <w:sz w:val="20"/>
                <w:szCs w:val="20"/>
                <w:lang w:val="af-ZA"/>
              </w:rPr>
              <w:t xml:space="preserve"> </w:t>
            </w:r>
            <w:r w:rsidRPr="0053423A">
              <w:rPr>
                <w:b/>
                <w:sz w:val="20"/>
                <w:szCs w:val="20"/>
              </w:rPr>
              <w:t>իրականացման</w:t>
            </w:r>
            <w:r w:rsidRPr="0053423A">
              <w:rPr>
                <w:b/>
                <w:sz w:val="20"/>
                <w:szCs w:val="20"/>
                <w:lang w:val="af-ZA"/>
              </w:rPr>
              <w:t xml:space="preserve"> </w:t>
            </w:r>
            <w:r w:rsidRPr="0053423A">
              <w:rPr>
                <w:b/>
                <w:sz w:val="20"/>
                <w:szCs w:val="20"/>
              </w:rPr>
              <w:t>անհրաժեշտությունը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նպատակը</w:t>
            </w:r>
          </w:p>
          <w:p w:rsidR="00BB45FD" w:rsidRPr="0053423A" w:rsidRDefault="00BB45FD" w:rsidP="00A67858">
            <w:pPr>
              <w:tabs>
                <w:tab w:val="left" w:pos="284"/>
              </w:tabs>
              <w:spacing w:after="0" w:line="276" w:lineRule="auto"/>
              <w:rPr>
                <w:sz w:val="20"/>
                <w:szCs w:val="20"/>
                <w:lang w:val="af-ZA"/>
              </w:rPr>
            </w:pPr>
            <w:r w:rsidRPr="0053423A">
              <w:rPr>
                <w:sz w:val="20"/>
                <w:szCs w:val="20"/>
                <w:lang w:val="af-ZA"/>
              </w:rPr>
              <w:tab/>
            </w:r>
            <w:r w:rsidRPr="0053423A">
              <w:rPr>
                <w:sz w:val="20"/>
                <w:szCs w:val="20"/>
                <w:lang w:val="af-ZA"/>
              </w:rPr>
              <w:tab/>
            </w:r>
            <w:r w:rsidRPr="0053423A">
              <w:rPr>
                <w:sz w:val="20"/>
                <w:szCs w:val="20"/>
              </w:rPr>
              <w:t>Միջոցառումների</w:t>
            </w:r>
            <w:r w:rsidRPr="0053423A">
              <w:rPr>
                <w:sz w:val="20"/>
                <w:szCs w:val="20"/>
                <w:lang w:val="af-ZA"/>
              </w:rPr>
              <w:t xml:space="preserve"> </w:t>
            </w:r>
            <w:r w:rsidRPr="0053423A">
              <w:rPr>
                <w:sz w:val="20"/>
                <w:szCs w:val="20"/>
              </w:rPr>
              <w:t>իրականացման</w:t>
            </w:r>
            <w:r w:rsidRPr="0053423A">
              <w:rPr>
                <w:sz w:val="20"/>
                <w:szCs w:val="20"/>
                <w:lang w:val="af-ZA"/>
              </w:rPr>
              <w:t xml:space="preserve"> </w:t>
            </w:r>
            <w:r w:rsidRPr="0053423A">
              <w:rPr>
                <w:sz w:val="20"/>
                <w:szCs w:val="20"/>
              </w:rPr>
              <w:t>անհրաժեշտությունը</w:t>
            </w:r>
            <w:r w:rsidRPr="0053423A">
              <w:rPr>
                <w:sz w:val="20"/>
                <w:szCs w:val="20"/>
                <w:lang w:val="af-ZA"/>
              </w:rPr>
              <w:t xml:space="preserve"> </w:t>
            </w:r>
            <w:r w:rsidRPr="0053423A">
              <w:rPr>
                <w:sz w:val="20"/>
                <w:szCs w:val="20"/>
              </w:rPr>
              <w:t>պայմանավորված</w:t>
            </w:r>
            <w:r w:rsidRPr="0053423A">
              <w:rPr>
                <w:sz w:val="20"/>
                <w:szCs w:val="20"/>
                <w:lang w:val="af-ZA"/>
              </w:rPr>
              <w:t xml:space="preserve"> </w:t>
            </w:r>
            <w:r w:rsidRPr="0053423A">
              <w:rPr>
                <w:sz w:val="20"/>
                <w:szCs w:val="20"/>
              </w:rPr>
              <w:t>է</w:t>
            </w:r>
            <w:r w:rsidRPr="0053423A">
              <w:rPr>
                <w:sz w:val="20"/>
                <w:szCs w:val="20"/>
                <w:lang w:val="af-ZA"/>
              </w:rPr>
              <w:t xml:space="preserve"> </w:t>
            </w:r>
            <w:r w:rsidRPr="0053423A">
              <w:rPr>
                <w:sz w:val="20"/>
                <w:szCs w:val="20"/>
              </w:rPr>
              <w:t>մարտական</w:t>
            </w:r>
            <w:r w:rsidRPr="0053423A">
              <w:rPr>
                <w:sz w:val="20"/>
                <w:szCs w:val="20"/>
                <w:lang w:val="af-ZA"/>
              </w:rPr>
              <w:t xml:space="preserve"> </w:t>
            </w:r>
            <w:r w:rsidRPr="0053423A">
              <w:rPr>
                <w:sz w:val="20"/>
                <w:szCs w:val="20"/>
              </w:rPr>
              <w:t>հերթապահության</w:t>
            </w:r>
            <w:r w:rsidRPr="0053423A">
              <w:rPr>
                <w:sz w:val="20"/>
                <w:szCs w:val="20"/>
                <w:lang w:val="af-ZA"/>
              </w:rPr>
              <w:t xml:space="preserve"> </w:t>
            </w:r>
            <w:r w:rsidRPr="0053423A">
              <w:rPr>
                <w:sz w:val="20"/>
                <w:szCs w:val="20"/>
              </w:rPr>
              <w:t>արդյունավետության</w:t>
            </w:r>
            <w:r w:rsidRPr="0053423A">
              <w:rPr>
                <w:sz w:val="20"/>
                <w:szCs w:val="20"/>
                <w:lang w:val="af-ZA"/>
              </w:rPr>
              <w:t xml:space="preserve"> </w:t>
            </w:r>
            <w:r w:rsidRPr="0053423A">
              <w:rPr>
                <w:sz w:val="20"/>
                <w:szCs w:val="20"/>
              </w:rPr>
              <w:t>ու</w:t>
            </w:r>
            <w:r w:rsidRPr="0053423A">
              <w:rPr>
                <w:sz w:val="20"/>
                <w:szCs w:val="20"/>
                <w:lang w:val="af-ZA"/>
              </w:rPr>
              <w:t xml:space="preserve"> </w:t>
            </w:r>
            <w:r w:rsidRPr="0053423A">
              <w:rPr>
                <w:sz w:val="20"/>
                <w:szCs w:val="20"/>
              </w:rPr>
              <w:t>անվտանգության</w:t>
            </w:r>
            <w:r w:rsidRPr="0053423A">
              <w:rPr>
                <w:sz w:val="20"/>
                <w:szCs w:val="20"/>
                <w:lang w:val="af-ZA"/>
              </w:rPr>
              <w:t xml:space="preserve"> </w:t>
            </w:r>
            <w:r w:rsidRPr="0053423A">
              <w:rPr>
                <w:sz w:val="20"/>
                <w:szCs w:val="20"/>
              </w:rPr>
              <w:t>բարձրացմամբ</w:t>
            </w:r>
            <w:r w:rsidRPr="0053423A">
              <w:rPr>
                <w:sz w:val="20"/>
                <w:szCs w:val="20"/>
                <w:lang w:val="af-ZA"/>
              </w:rPr>
              <w:t xml:space="preserve">, </w:t>
            </w:r>
            <w:r w:rsidRPr="0053423A">
              <w:rPr>
                <w:sz w:val="20"/>
                <w:szCs w:val="20"/>
              </w:rPr>
              <w:t>մարտական</w:t>
            </w:r>
            <w:r w:rsidRPr="0053423A">
              <w:rPr>
                <w:sz w:val="20"/>
                <w:szCs w:val="20"/>
                <w:lang w:val="af-ZA"/>
              </w:rPr>
              <w:t xml:space="preserve"> </w:t>
            </w:r>
            <w:r w:rsidRPr="0053423A">
              <w:rPr>
                <w:sz w:val="20"/>
                <w:szCs w:val="20"/>
              </w:rPr>
              <w:t>խնդիրների</w:t>
            </w:r>
            <w:r w:rsidRPr="0053423A">
              <w:rPr>
                <w:sz w:val="20"/>
                <w:szCs w:val="20"/>
                <w:lang w:val="af-ZA"/>
              </w:rPr>
              <w:t xml:space="preserve"> </w:t>
            </w:r>
            <w:r w:rsidRPr="0053423A">
              <w:rPr>
                <w:sz w:val="20"/>
                <w:szCs w:val="20"/>
              </w:rPr>
              <w:t>լիարժեք</w:t>
            </w:r>
            <w:r w:rsidRPr="0053423A">
              <w:rPr>
                <w:sz w:val="20"/>
                <w:szCs w:val="20"/>
                <w:lang w:val="af-ZA"/>
              </w:rPr>
              <w:t xml:space="preserve"> </w:t>
            </w:r>
            <w:r w:rsidRPr="0053423A">
              <w:rPr>
                <w:sz w:val="20"/>
                <w:szCs w:val="20"/>
              </w:rPr>
              <w:t>կատարմամբ</w:t>
            </w:r>
            <w:r w:rsidRPr="0053423A">
              <w:rPr>
                <w:sz w:val="20"/>
                <w:szCs w:val="20"/>
                <w:lang w:val="af-ZA"/>
              </w:rPr>
              <w:t xml:space="preserve">: </w:t>
            </w:r>
          </w:p>
          <w:p w:rsidR="00BB45FD" w:rsidRPr="0053423A" w:rsidRDefault="00BB45FD" w:rsidP="00A67858">
            <w:pPr>
              <w:tabs>
                <w:tab w:val="left" w:pos="284"/>
              </w:tabs>
              <w:spacing w:after="0" w:line="276" w:lineRule="auto"/>
              <w:rPr>
                <w:b/>
                <w:sz w:val="20"/>
                <w:szCs w:val="20"/>
                <w:lang w:val="af-ZA"/>
              </w:rPr>
            </w:pPr>
            <w:r w:rsidRPr="0053423A">
              <w:rPr>
                <w:b/>
                <w:sz w:val="20"/>
                <w:szCs w:val="20"/>
                <w:lang w:val="af-ZA"/>
              </w:rPr>
              <w:tab/>
            </w:r>
            <w:r w:rsidRPr="0053423A">
              <w:rPr>
                <w:b/>
                <w:sz w:val="20"/>
                <w:szCs w:val="20"/>
                <w:lang w:val="af-ZA"/>
              </w:rPr>
              <w:tab/>
              <w:t xml:space="preserve">1.1 </w:t>
            </w:r>
            <w:r w:rsidRPr="0053423A">
              <w:rPr>
                <w:b/>
                <w:sz w:val="20"/>
                <w:szCs w:val="20"/>
              </w:rPr>
              <w:t>Կարգավորման</w:t>
            </w:r>
            <w:r w:rsidRPr="0053423A">
              <w:rPr>
                <w:b/>
                <w:sz w:val="20"/>
                <w:szCs w:val="20"/>
                <w:lang w:val="af-ZA"/>
              </w:rPr>
              <w:t xml:space="preserve"> </w:t>
            </w:r>
            <w:r w:rsidRPr="0053423A">
              <w:rPr>
                <w:b/>
                <w:sz w:val="20"/>
                <w:szCs w:val="20"/>
              </w:rPr>
              <w:t>հարաբերությունների</w:t>
            </w:r>
            <w:r w:rsidRPr="0053423A">
              <w:rPr>
                <w:b/>
                <w:sz w:val="20"/>
                <w:szCs w:val="20"/>
                <w:lang w:val="af-ZA"/>
              </w:rPr>
              <w:t xml:space="preserve"> </w:t>
            </w:r>
            <w:r w:rsidRPr="0053423A">
              <w:rPr>
                <w:b/>
                <w:sz w:val="20"/>
                <w:szCs w:val="20"/>
              </w:rPr>
              <w:t>ներկա</w:t>
            </w:r>
            <w:r w:rsidRPr="0053423A">
              <w:rPr>
                <w:b/>
                <w:sz w:val="20"/>
                <w:szCs w:val="20"/>
                <w:lang w:val="af-ZA"/>
              </w:rPr>
              <w:t xml:space="preserve"> </w:t>
            </w:r>
            <w:r w:rsidRPr="0053423A">
              <w:rPr>
                <w:b/>
                <w:sz w:val="20"/>
                <w:szCs w:val="20"/>
              </w:rPr>
              <w:t>վիճակը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առկա</w:t>
            </w:r>
            <w:r w:rsidRPr="0053423A">
              <w:rPr>
                <w:b/>
                <w:sz w:val="20"/>
                <w:szCs w:val="20"/>
                <w:lang w:val="af-ZA"/>
              </w:rPr>
              <w:t xml:space="preserve"> </w:t>
            </w:r>
            <w:r w:rsidRPr="0053423A">
              <w:rPr>
                <w:b/>
                <w:sz w:val="20"/>
                <w:szCs w:val="20"/>
              </w:rPr>
              <w:t>խնդիրները</w:t>
            </w:r>
          </w:p>
          <w:p w:rsidR="00BB45FD" w:rsidRPr="0053423A" w:rsidRDefault="00BB45FD" w:rsidP="00A67858">
            <w:pPr>
              <w:pStyle w:val="ListParagraph"/>
              <w:tabs>
                <w:tab w:val="left" w:pos="284"/>
              </w:tabs>
              <w:spacing w:after="0" w:line="276" w:lineRule="auto"/>
              <w:ind w:left="0"/>
              <w:rPr>
                <w:sz w:val="20"/>
                <w:szCs w:val="20"/>
                <w:lang w:val="af-ZA"/>
              </w:rPr>
            </w:pPr>
            <w:r w:rsidRPr="0053423A">
              <w:rPr>
                <w:sz w:val="20"/>
                <w:szCs w:val="20"/>
                <w:lang w:val="af-ZA"/>
              </w:rPr>
              <w:tab/>
            </w:r>
            <w:r w:rsidRPr="0053423A">
              <w:rPr>
                <w:sz w:val="20"/>
                <w:szCs w:val="20"/>
                <w:lang w:val="af-ZA"/>
              </w:rPr>
              <w:tab/>
            </w:r>
            <w:r w:rsidRPr="0053423A">
              <w:rPr>
                <w:sz w:val="20"/>
                <w:szCs w:val="20"/>
              </w:rPr>
              <w:t>Դեռևս</w:t>
            </w:r>
            <w:r w:rsidRPr="0053423A">
              <w:rPr>
                <w:sz w:val="20"/>
                <w:szCs w:val="20"/>
                <w:lang w:val="af-ZA"/>
              </w:rPr>
              <w:t xml:space="preserve"> </w:t>
            </w:r>
            <w:r w:rsidRPr="0053423A">
              <w:rPr>
                <w:sz w:val="20"/>
                <w:szCs w:val="20"/>
              </w:rPr>
              <w:t>ավարտված</w:t>
            </w:r>
            <w:r w:rsidRPr="0053423A">
              <w:rPr>
                <w:sz w:val="20"/>
                <w:szCs w:val="20"/>
                <w:lang w:val="af-ZA"/>
              </w:rPr>
              <w:t xml:space="preserve"> </w:t>
            </w:r>
            <w:r w:rsidRPr="0053423A">
              <w:rPr>
                <w:sz w:val="20"/>
                <w:szCs w:val="20"/>
              </w:rPr>
              <w:t>չեն</w:t>
            </w:r>
            <w:r w:rsidRPr="0053423A">
              <w:rPr>
                <w:sz w:val="20"/>
                <w:szCs w:val="20"/>
                <w:lang w:val="af-ZA"/>
              </w:rPr>
              <w:t xml:space="preserve"> </w:t>
            </w:r>
            <w:r w:rsidRPr="0053423A">
              <w:rPr>
                <w:sz w:val="20"/>
                <w:szCs w:val="20"/>
              </w:rPr>
              <w:t>շփման</w:t>
            </w:r>
            <w:r w:rsidRPr="0053423A">
              <w:rPr>
                <w:sz w:val="20"/>
                <w:szCs w:val="20"/>
                <w:lang w:val="af-ZA"/>
              </w:rPr>
              <w:t xml:space="preserve"> </w:t>
            </w:r>
            <w:r w:rsidRPr="0053423A">
              <w:rPr>
                <w:sz w:val="20"/>
                <w:szCs w:val="20"/>
              </w:rPr>
              <w:t>գծի</w:t>
            </w:r>
            <w:r w:rsidRPr="0053423A">
              <w:rPr>
                <w:sz w:val="20"/>
                <w:szCs w:val="20"/>
                <w:lang w:val="af-ZA"/>
              </w:rPr>
              <w:t xml:space="preserve"> </w:t>
            </w:r>
            <w:r w:rsidRPr="0053423A">
              <w:rPr>
                <w:sz w:val="20"/>
                <w:szCs w:val="20"/>
              </w:rPr>
              <w:t>ողջ</w:t>
            </w:r>
            <w:r w:rsidRPr="0053423A">
              <w:rPr>
                <w:sz w:val="20"/>
                <w:szCs w:val="20"/>
                <w:lang w:val="af-ZA"/>
              </w:rPr>
              <w:t xml:space="preserve"> </w:t>
            </w:r>
            <w:r w:rsidRPr="0053423A">
              <w:rPr>
                <w:sz w:val="20"/>
                <w:szCs w:val="20"/>
              </w:rPr>
              <w:t>երկայնքով</w:t>
            </w:r>
            <w:r w:rsidRPr="0053423A">
              <w:rPr>
                <w:sz w:val="20"/>
                <w:szCs w:val="20"/>
                <w:lang w:val="af-ZA"/>
              </w:rPr>
              <w:t xml:space="preserve"> </w:t>
            </w:r>
            <w:r w:rsidRPr="0053423A">
              <w:rPr>
                <w:sz w:val="20"/>
                <w:szCs w:val="20"/>
              </w:rPr>
              <w:t>տեսադիտարկման</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ազդարարման</w:t>
            </w:r>
            <w:r w:rsidRPr="0053423A">
              <w:rPr>
                <w:sz w:val="20"/>
                <w:szCs w:val="20"/>
                <w:lang w:val="af-ZA"/>
              </w:rPr>
              <w:t xml:space="preserve"> </w:t>
            </w:r>
            <w:r w:rsidRPr="0053423A">
              <w:rPr>
                <w:sz w:val="20"/>
                <w:szCs w:val="20"/>
              </w:rPr>
              <w:t>համակարգերի</w:t>
            </w:r>
            <w:r w:rsidRPr="0053423A">
              <w:rPr>
                <w:sz w:val="20"/>
                <w:szCs w:val="20"/>
                <w:lang w:val="af-ZA"/>
              </w:rPr>
              <w:t xml:space="preserve"> </w:t>
            </w:r>
            <w:r w:rsidRPr="0053423A">
              <w:rPr>
                <w:sz w:val="20"/>
                <w:szCs w:val="20"/>
              </w:rPr>
              <w:t>տեղադրման</w:t>
            </w:r>
            <w:r w:rsidRPr="0053423A">
              <w:rPr>
                <w:sz w:val="20"/>
                <w:szCs w:val="20"/>
                <w:lang w:val="af-ZA"/>
              </w:rPr>
              <w:t xml:space="preserve"> </w:t>
            </w:r>
            <w:r w:rsidRPr="0053423A">
              <w:rPr>
                <w:sz w:val="20"/>
                <w:szCs w:val="20"/>
              </w:rPr>
              <w:t>աշխատանքները</w:t>
            </w:r>
            <w:r w:rsidRPr="0053423A">
              <w:rPr>
                <w:sz w:val="20"/>
                <w:szCs w:val="20"/>
                <w:lang w:val="af-ZA"/>
              </w:rPr>
              <w:t xml:space="preserve">, </w:t>
            </w:r>
            <w:r w:rsidRPr="0053423A">
              <w:rPr>
                <w:sz w:val="20"/>
                <w:szCs w:val="20"/>
              </w:rPr>
              <w:t>բարելավման</w:t>
            </w:r>
            <w:r w:rsidRPr="0053423A">
              <w:rPr>
                <w:sz w:val="20"/>
                <w:szCs w:val="20"/>
                <w:lang w:val="af-ZA"/>
              </w:rPr>
              <w:t xml:space="preserve"> </w:t>
            </w:r>
            <w:r w:rsidRPr="0053423A">
              <w:rPr>
                <w:sz w:val="20"/>
                <w:szCs w:val="20"/>
              </w:rPr>
              <w:t>կարիք</w:t>
            </w:r>
            <w:r w:rsidRPr="0053423A">
              <w:rPr>
                <w:sz w:val="20"/>
                <w:szCs w:val="20"/>
                <w:lang w:val="af-ZA"/>
              </w:rPr>
              <w:t xml:space="preserve"> </w:t>
            </w:r>
            <w:r w:rsidRPr="0053423A">
              <w:rPr>
                <w:sz w:val="20"/>
                <w:szCs w:val="20"/>
              </w:rPr>
              <w:t>ունեն</w:t>
            </w:r>
            <w:r w:rsidRPr="0053423A">
              <w:rPr>
                <w:sz w:val="20"/>
                <w:szCs w:val="20"/>
                <w:lang w:val="af-ZA"/>
              </w:rPr>
              <w:t xml:space="preserve"> </w:t>
            </w:r>
            <w:r w:rsidRPr="0053423A">
              <w:rPr>
                <w:sz w:val="20"/>
                <w:szCs w:val="20"/>
              </w:rPr>
              <w:t>մարտական</w:t>
            </w:r>
            <w:r w:rsidRPr="0053423A">
              <w:rPr>
                <w:sz w:val="20"/>
                <w:szCs w:val="20"/>
                <w:lang w:val="af-ZA"/>
              </w:rPr>
              <w:t xml:space="preserve"> </w:t>
            </w:r>
            <w:r w:rsidRPr="0053423A">
              <w:rPr>
                <w:sz w:val="20"/>
                <w:szCs w:val="20"/>
              </w:rPr>
              <w:t>դիրքերում</w:t>
            </w:r>
            <w:r w:rsidRPr="0053423A">
              <w:rPr>
                <w:sz w:val="20"/>
                <w:szCs w:val="20"/>
                <w:lang w:val="af-ZA"/>
              </w:rPr>
              <w:t xml:space="preserve"> </w:t>
            </w:r>
            <w:r w:rsidRPr="0053423A">
              <w:rPr>
                <w:sz w:val="20"/>
                <w:szCs w:val="20"/>
              </w:rPr>
              <w:t>ծառայություն</w:t>
            </w:r>
            <w:r w:rsidRPr="0053423A">
              <w:rPr>
                <w:sz w:val="20"/>
                <w:szCs w:val="20"/>
                <w:lang w:val="af-ZA"/>
              </w:rPr>
              <w:t xml:space="preserve"> </w:t>
            </w:r>
            <w:r w:rsidRPr="0053423A">
              <w:rPr>
                <w:sz w:val="20"/>
                <w:szCs w:val="20"/>
              </w:rPr>
              <w:t>իրականացնող</w:t>
            </w:r>
            <w:r w:rsidRPr="0053423A">
              <w:rPr>
                <w:sz w:val="20"/>
                <w:szCs w:val="20"/>
                <w:lang w:val="af-ZA"/>
              </w:rPr>
              <w:t xml:space="preserve"> </w:t>
            </w:r>
            <w:r w:rsidRPr="0053423A">
              <w:rPr>
                <w:sz w:val="20"/>
                <w:szCs w:val="20"/>
              </w:rPr>
              <w:t>անձնակազմի</w:t>
            </w:r>
            <w:r w:rsidRPr="0053423A">
              <w:rPr>
                <w:sz w:val="20"/>
                <w:szCs w:val="20"/>
                <w:lang w:val="af-ZA"/>
              </w:rPr>
              <w:t xml:space="preserve"> </w:t>
            </w:r>
            <w:r w:rsidRPr="0053423A">
              <w:rPr>
                <w:sz w:val="20"/>
                <w:szCs w:val="20"/>
              </w:rPr>
              <w:t>կենցաղային</w:t>
            </w:r>
            <w:r w:rsidRPr="0053423A">
              <w:rPr>
                <w:sz w:val="20"/>
                <w:szCs w:val="20"/>
                <w:lang w:val="af-ZA"/>
              </w:rPr>
              <w:t xml:space="preserve"> </w:t>
            </w:r>
            <w:r w:rsidRPr="0053423A">
              <w:rPr>
                <w:sz w:val="20"/>
                <w:szCs w:val="20"/>
              </w:rPr>
              <w:t>պայմանները</w:t>
            </w:r>
            <w:r w:rsidRPr="0053423A">
              <w:rPr>
                <w:sz w:val="20"/>
                <w:szCs w:val="20"/>
                <w:lang w:val="af-ZA"/>
              </w:rPr>
              <w:t xml:space="preserve">: </w:t>
            </w:r>
          </w:p>
          <w:p w:rsidR="00BB45FD" w:rsidRPr="0053423A" w:rsidRDefault="00BB45FD" w:rsidP="00A67858">
            <w:pPr>
              <w:pStyle w:val="ListParagraph"/>
              <w:tabs>
                <w:tab w:val="left" w:pos="142"/>
                <w:tab w:val="left" w:pos="426"/>
              </w:tabs>
              <w:spacing w:after="0" w:line="276" w:lineRule="auto"/>
              <w:ind w:left="0"/>
              <w:rPr>
                <w:b/>
                <w:sz w:val="20"/>
                <w:szCs w:val="20"/>
                <w:lang w:val="af-ZA"/>
              </w:rPr>
            </w:pPr>
            <w:r w:rsidRPr="0053423A">
              <w:rPr>
                <w:b/>
                <w:sz w:val="20"/>
                <w:szCs w:val="20"/>
                <w:lang w:val="af-ZA"/>
              </w:rPr>
              <w:tab/>
            </w:r>
            <w:r w:rsidRPr="0053423A">
              <w:rPr>
                <w:b/>
                <w:sz w:val="20"/>
                <w:szCs w:val="20"/>
                <w:lang w:val="af-ZA"/>
              </w:rPr>
              <w:tab/>
            </w:r>
            <w:r w:rsidRPr="0053423A">
              <w:rPr>
                <w:b/>
                <w:sz w:val="20"/>
                <w:szCs w:val="20"/>
                <w:lang w:val="af-ZA"/>
              </w:rPr>
              <w:tab/>
              <w:t xml:space="preserve">1.2 </w:t>
            </w:r>
            <w:r w:rsidRPr="0053423A">
              <w:rPr>
                <w:b/>
                <w:sz w:val="20"/>
                <w:szCs w:val="20"/>
              </w:rPr>
              <w:t>Առկա</w:t>
            </w:r>
            <w:r w:rsidRPr="0053423A">
              <w:rPr>
                <w:b/>
                <w:sz w:val="20"/>
                <w:szCs w:val="20"/>
                <w:lang w:val="af-ZA"/>
              </w:rPr>
              <w:t xml:space="preserve"> </w:t>
            </w:r>
            <w:r w:rsidRPr="0053423A">
              <w:rPr>
                <w:b/>
                <w:sz w:val="20"/>
                <w:szCs w:val="20"/>
              </w:rPr>
              <w:t>խնդիրների</w:t>
            </w:r>
            <w:r w:rsidRPr="0053423A">
              <w:rPr>
                <w:b/>
                <w:sz w:val="20"/>
                <w:szCs w:val="20"/>
                <w:lang w:val="af-ZA"/>
              </w:rPr>
              <w:t xml:space="preserve"> </w:t>
            </w:r>
            <w:r w:rsidRPr="0053423A">
              <w:rPr>
                <w:b/>
                <w:sz w:val="20"/>
                <w:szCs w:val="20"/>
              </w:rPr>
              <w:t>առաջարկվող</w:t>
            </w:r>
            <w:r w:rsidRPr="0053423A">
              <w:rPr>
                <w:b/>
                <w:sz w:val="20"/>
                <w:szCs w:val="20"/>
                <w:lang w:val="af-ZA"/>
              </w:rPr>
              <w:t xml:space="preserve"> </w:t>
            </w:r>
            <w:r w:rsidRPr="0053423A">
              <w:rPr>
                <w:b/>
                <w:sz w:val="20"/>
                <w:szCs w:val="20"/>
              </w:rPr>
              <w:t>լուծումները</w:t>
            </w:r>
          </w:p>
          <w:p w:rsidR="00BB45FD" w:rsidRPr="0053423A" w:rsidRDefault="00BB45FD" w:rsidP="00A67858">
            <w:pPr>
              <w:pStyle w:val="ListParagraph"/>
              <w:tabs>
                <w:tab w:val="left" w:pos="284"/>
                <w:tab w:val="left" w:pos="426"/>
              </w:tabs>
              <w:spacing w:after="0" w:line="276" w:lineRule="auto"/>
              <w:ind w:left="0"/>
              <w:rPr>
                <w:sz w:val="20"/>
                <w:szCs w:val="20"/>
                <w:lang w:val="hy-AM"/>
              </w:rPr>
            </w:pPr>
            <w:r w:rsidRPr="0053423A">
              <w:rPr>
                <w:sz w:val="20"/>
                <w:szCs w:val="20"/>
                <w:lang w:val="af-ZA"/>
              </w:rPr>
              <w:tab/>
            </w:r>
            <w:r w:rsidRPr="0053423A">
              <w:rPr>
                <w:sz w:val="20"/>
                <w:szCs w:val="20"/>
                <w:lang w:val="af-ZA"/>
              </w:rPr>
              <w:tab/>
            </w:r>
            <w:r w:rsidRPr="0053423A">
              <w:rPr>
                <w:sz w:val="20"/>
                <w:szCs w:val="20"/>
                <w:lang w:val="af-ZA"/>
              </w:rPr>
              <w:tab/>
            </w:r>
            <w:r w:rsidRPr="0053423A">
              <w:rPr>
                <w:sz w:val="20"/>
                <w:szCs w:val="20"/>
              </w:rPr>
              <w:t>Խնդիրների</w:t>
            </w:r>
            <w:r w:rsidRPr="0053423A">
              <w:rPr>
                <w:sz w:val="20"/>
                <w:szCs w:val="20"/>
                <w:lang w:val="af-ZA"/>
              </w:rPr>
              <w:t xml:space="preserve"> </w:t>
            </w:r>
            <w:r w:rsidRPr="0053423A">
              <w:rPr>
                <w:sz w:val="20"/>
                <w:szCs w:val="20"/>
              </w:rPr>
              <w:t>լուծումներն</w:t>
            </w:r>
            <w:r w:rsidRPr="0053423A">
              <w:rPr>
                <w:sz w:val="20"/>
                <w:szCs w:val="20"/>
                <w:lang w:val="af-ZA"/>
              </w:rPr>
              <w:t xml:space="preserve"> </w:t>
            </w:r>
            <w:r w:rsidRPr="0053423A">
              <w:rPr>
                <w:sz w:val="20"/>
                <w:szCs w:val="20"/>
              </w:rPr>
              <w:t>արտացոլված</w:t>
            </w:r>
            <w:r w:rsidRPr="0053423A">
              <w:rPr>
                <w:sz w:val="20"/>
                <w:szCs w:val="20"/>
                <w:lang w:val="af-ZA"/>
              </w:rPr>
              <w:t xml:space="preserve"> </w:t>
            </w:r>
            <w:r w:rsidRPr="0053423A">
              <w:rPr>
                <w:sz w:val="20"/>
                <w:szCs w:val="20"/>
              </w:rPr>
              <w:t>են</w:t>
            </w:r>
            <w:r w:rsidRPr="0053423A">
              <w:rPr>
                <w:sz w:val="20"/>
                <w:szCs w:val="20"/>
                <w:lang w:val="af-ZA"/>
              </w:rPr>
              <w:t xml:space="preserve"> </w:t>
            </w:r>
            <w:r w:rsidRPr="0053423A">
              <w:rPr>
                <w:sz w:val="20"/>
                <w:szCs w:val="20"/>
              </w:rPr>
              <w:t>ՀՀ</w:t>
            </w:r>
            <w:r w:rsidRPr="0053423A">
              <w:rPr>
                <w:sz w:val="20"/>
                <w:szCs w:val="20"/>
                <w:lang w:val="af-ZA"/>
              </w:rPr>
              <w:t xml:space="preserve"> </w:t>
            </w:r>
            <w:r w:rsidRPr="0053423A">
              <w:rPr>
                <w:sz w:val="20"/>
                <w:szCs w:val="20"/>
              </w:rPr>
              <w:t>զինված</w:t>
            </w:r>
            <w:r w:rsidRPr="0053423A">
              <w:rPr>
                <w:sz w:val="20"/>
                <w:szCs w:val="20"/>
                <w:lang w:val="af-ZA"/>
              </w:rPr>
              <w:t xml:space="preserve"> </w:t>
            </w:r>
            <w:r w:rsidRPr="0053423A">
              <w:rPr>
                <w:sz w:val="20"/>
                <w:szCs w:val="20"/>
              </w:rPr>
              <w:t>ուժերի</w:t>
            </w:r>
            <w:r w:rsidRPr="0053423A">
              <w:rPr>
                <w:sz w:val="20"/>
                <w:szCs w:val="20"/>
                <w:lang w:val="af-ZA"/>
              </w:rPr>
              <w:t xml:space="preserve"> 2019-2024 </w:t>
            </w:r>
            <w:r w:rsidRPr="0053423A">
              <w:rPr>
                <w:sz w:val="20"/>
                <w:szCs w:val="20"/>
              </w:rPr>
              <w:t>թվականների</w:t>
            </w:r>
            <w:r w:rsidRPr="0053423A">
              <w:rPr>
                <w:sz w:val="20"/>
                <w:szCs w:val="20"/>
                <w:lang w:val="af-ZA"/>
              </w:rPr>
              <w:t xml:space="preserve"> </w:t>
            </w:r>
            <w:r w:rsidRPr="0053423A">
              <w:rPr>
                <w:sz w:val="20"/>
                <w:szCs w:val="20"/>
              </w:rPr>
              <w:t>զարգացման</w:t>
            </w:r>
            <w:r w:rsidRPr="0053423A">
              <w:rPr>
                <w:sz w:val="20"/>
                <w:szCs w:val="20"/>
                <w:lang w:val="af-ZA"/>
              </w:rPr>
              <w:t xml:space="preserve"> </w:t>
            </w:r>
            <w:r w:rsidRPr="0053423A">
              <w:rPr>
                <w:sz w:val="20"/>
                <w:szCs w:val="20"/>
              </w:rPr>
              <w:t>պլանում</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ՀՀ</w:t>
            </w:r>
            <w:r w:rsidRPr="0053423A">
              <w:rPr>
                <w:sz w:val="20"/>
                <w:szCs w:val="20"/>
                <w:lang w:val="af-ZA"/>
              </w:rPr>
              <w:t xml:space="preserve"> </w:t>
            </w:r>
            <w:r w:rsidRPr="0053423A">
              <w:rPr>
                <w:sz w:val="20"/>
                <w:szCs w:val="20"/>
              </w:rPr>
              <w:t>սպառազինության</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ռազմական</w:t>
            </w:r>
            <w:r w:rsidRPr="0053423A">
              <w:rPr>
                <w:sz w:val="20"/>
                <w:szCs w:val="20"/>
                <w:lang w:val="af-ZA"/>
              </w:rPr>
              <w:t xml:space="preserve"> </w:t>
            </w:r>
            <w:r w:rsidRPr="0053423A">
              <w:rPr>
                <w:sz w:val="20"/>
                <w:szCs w:val="20"/>
              </w:rPr>
              <w:t>տեխնիկայի</w:t>
            </w:r>
            <w:r w:rsidRPr="0053423A">
              <w:rPr>
                <w:sz w:val="20"/>
                <w:szCs w:val="20"/>
                <w:lang w:val="af-ZA"/>
              </w:rPr>
              <w:t xml:space="preserve"> 2019-2024 </w:t>
            </w:r>
            <w:r w:rsidRPr="0053423A">
              <w:rPr>
                <w:sz w:val="20"/>
                <w:szCs w:val="20"/>
              </w:rPr>
              <w:t>թվականների</w:t>
            </w:r>
            <w:r w:rsidRPr="0053423A">
              <w:rPr>
                <w:sz w:val="20"/>
                <w:szCs w:val="20"/>
                <w:lang w:val="af-ZA"/>
              </w:rPr>
              <w:t xml:space="preserve"> </w:t>
            </w:r>
            <w:r w:rsidRPr="0053423A">
              <w:rPr>
                <w:sz w:val="20"/>
                <w:szCs w:val="20"/>
              </w:rPr>
              <w:t>զարգացման</w:t>
            </w:r>
            <w:r w:rsidRPr="0053423A">
              <w:rPr>
                <w:sz w:val="20"/>
                <w:szCs w:val="20"/>
                <w:lang w:val="af-ZA"/>
              </w:rPr>
              <w:t xml:space="preserve"> </w:t>
            </w:r>
            <w:r w:rsidRPr="0053423A">
              <w:rPr>
                <w:sz w:val="20"/>
                <w:szCs w:val="20"/>
              </w:rPr>
              <w:t>պետական</w:t>
            </w:r>
            <w:r w:rsidRPr="0053423A">
              <w:rPr>
                <w:sz w:val="20"/>
                <w:szCs w:val="20"/>
                <w:lang w:val="af-ZA"/>
              </w:rPr>
              <w:t xml:space="preserve"> </w:t>
            </w:r>
            <w:r w:rsidRPr="0053423A">
              <w:rPr>
                <w:sz w:val="20"/>
                <w:szCs w:val="20"/>
              </w:rPr>
              <w:t>ծրագրի</w:t>
            </w:r>
            <w:r w:rsidRPr="0053423A">
              <w:rPr>
                <w:sz w:val="20"/>
                <w:szCs w:val="20"/>
                <w:lang w:val="af-ZA"/>
              </w:rPr>
              <w:t xml:space="preserve"> </w:t>
            </w:r>
            <w:r w:rsidRPr="0053423A">
              <w:rPr>
                <w:sz w:val="20"/>
                <w:szCs w:val="20"/>
              </w:rPr>
              <w:t>նախագծում</w:t>
            </w:r>
            <w:r w:rsidRPr="0053423A">
              <w:rPr>
                <w:sz w:val="20"/>
                <w:szCs w:val="20"/>
                <w:lang w:val="af-ZA"/>
              </w:rPr>
              <w:t>:</w:t>
            </w:r>
          </w:p>
          <w:p w:rsidR="00BB45FD" w:rsidRPr="0053423A" w:rsidRDefault="00BB45FD" w:rsidP="00A67858">
            <w:pPr>
              <w:pStyle w:val="ListParagraph"/>
              <w:tabs>
                <w:tab w:val="left" w:pos="284"/>
                <w:tab w:val="left" w:pos="426"/>
              </w:tabs>
              <w:spacing w:after="0" w:line="276" w:lineRule="auto"/>
              <w:ind w:left="0"/>
              <w:rPr>
                <w:sz w:val="20"/>
                <w:szCs w:val="20"/>
                <w:lang w:val="hy-AM"/>
              </w:rPr>
            </w:pPr>
          </w:p>
          <w:p w:rsidR="00BB45FD" w:rsidRPr="0053423A" w:rsidRDefault="00BB45FD" w:rsidP="00A67858">
            <w:pPr>
              <w:pStyle w:val="ListParagraph"/>
              <w:tabs>
                <w:tab w:val="left" w:pos="284"/>
              </w:tabs>
              <w:spacing w:after="0" w:line="276" w:lineRule="auto"/>
              <w:ind w:left="0"/>
              <w:rPr>
                <w:b/>
                <w:sz w:val="20"/>
                <w:szCs w:val="20"/>
                <w:lang w:val="af-ZA"/>
              </w:rPr>
            </w:pPr>
            <w:r w:rsidRPr="0053423A">
              <w:rPr>
                <w:b/>
                <w:sz w:val="20"/>
                <w:szCs w:val="20"/>
                <w:lang w:val="af-ZA"/>
              </w:rPr>
              <w:tab/>
            </w:r>
            <w:r w:rsidRPr="0053423A">
              <w:rPr>
                <w:b/>
                <w:sz w:val="20"/>
                <w:szCs w:val="20"/>
                <w:lang w:val="af-ZA"/>
              </w:rPr>
              <w:tab/>
              <w:t xml:space="preserve">2. </w:t>
            </w:r>
            <w:r w:rsidRPr="0053423A">
              <w:rPr>
                <w:b/>
                <w:sz w:val="20"/>
                <w:szCs w:val="20"/>
              </w:rPr>
              <w:t>Միջոցառումների</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p>
          <w:p w:rsidR="00BB45FD" w:rsidRPr="0053423A" w:rsidRDefault="00BB45FD" w:rsidP="00A67858">
            <w:pPr>
              <w:spacing w:after="0" w:line="276" w:lineRule="auto"/>
              <w:ind w:firstLine="720"/>
              <w:rPr>
                <w:b/>
                <w:sz w:val="20"/>
                <w:szCs w:val="20"/>
                <w:u w:val="single"/>
                <w:lang w:val="af-ZA"/>
              </w:rPr>
            </w:pPr>
            <w:r w:rsidRPr="0053423A">
              <w:rPr>
                <w:rFonts w:cs="Times Armenian"/>
                <w:sz w:val="20"/>
                <w:szCs w:val="20"/>
              </w:rPr>
              <w:t>Կբարձրանա</w:t>
            </w:r>
            <w:r w:rsidRPr="0053423A">
              <w:rPr>
                <w:rFonts w:cs="Times Armenian"/>
                <w:sz w:val="20"/>
                <w:szCs w:val="20"/>
                <w:lang w:val="af-ZA"/>
              </w:rPr>
              <w:t xml:space="preserve"> </w:t>
            </w:r>
            <w:r w:rsidRPr="0053423A">
              <w:rPr>
                <w:rFonts w:cs="Times Armenian"/>
                <w:sz w:val="20"/>
                <w:szCs w:val="20"/>
              </w:rPr>
              <w:t>հ</w:t>
            </w:r>
            <w:r w:rsidRPr="0053423A">
              <w:rPr>
                <w:rFonts w:cs="Times Armenian"/>
                <w:sz w:val="20"/>
                <w:szCs w:val="20"/>
                <w:lang w:val="af-ZA"/>
              </w:rPr>
              <w:t>ակառակորդի դիտարկման, խոցման, խնդիրների կատարման արդյունա</w:t>
            </w:r>
            <w:r w:rsidRPr="0053423A">
              <w:rPr>
                <w:rFonts w:cs="Times Armenian"/>
                <w:sz w:val="20"/>
                <w:szCs w:val="20"/>
                <w:lang w:val="af-ZA"/>
              </w:rPr>
              <w:softHyphen/>
              <w:t>վետության,</w:t>
            </w:r>
            <w:r w:rsidRPr="0053423A">
              <w:rPr>
                <w:rFonts w:cs="Tahoma"/>
                <w:sz w:val="20"/>
                <w:szCs w:val="20"/>
                <w:lang w:val="af-ZA"/>
              </w:rPr>
              <w:t xml:space="preserve"> անձնակազմի </w:t>
            </w:r>
            <w:r w:rsidRPr="0053423A">
              <w:rPr>
                <w:rFonts w:cs="Tahoma"/>
                <w:sz w:val="20"/>
                <w:szCs w:val="20"/>
              </w:rPr>
              <w:t>քողարկման</w:t>
            </w:r>
            <w:r w:rsidRPr="0053423A">
              <w:rPr>
                <w:rFonts w:cs="Tahoma"/>
                <w:sz w:val="20"/>
                <w:szCs w:val="20"/>
                <w:lang w:val="af-ZA"/>
              </w:rPr>
              <w:t xml:space="preserve">, </w:t>
            </w:r>
            <w:r w:rsidRPr="0053423A">
              <w:rPr>
                <w:rFonts w:cs="Tahoma"/>
                <w:sz w:val="20"/>
                <w:szCs w:val="20"/>
              </w:rPr>
              <w:t>պատս</w:t>
            </w:r>
            <w:r w:rsidRPr="0053423A">
              <w:rPr>
                <w:rFonts w:cs="Tahoma"/>
                <w:sz w:val="20"/>
                <w:szCs w:val="20"/>
                <w:lang w:val="af-ZA"/>
              </w:rPr>
              <w:softHyphen/>
            </w:r>
            <w:r w:rsidRPr="0053423A">
              <w:rPr>
                <w:rFonts w:cs="Tahoma"/>
                <w:sz w:val="20"/>
                <w:szCs w:val="20"/>
              </w:rPr>
              <w:t>պարման</w:t>
            </w:r>
            <w:r w:rsidRPr="0053423A">
              <w:rPr>
                <w:rFonts w:cs="Tahoma"/>
                <w:sz w:val="20"/>
                <w:szCs w:val="20"/>
                <w:lang w:val="af-ZA"/>
              </w:rPr>
              <w:t xml:space="preserve"> </w:t>
            </w:r>
            <w:r w:rsidRPr="0053423A">
              <w:rPr>
                <w:rFonts w:cs="Tahoma"/>
                <w:sz w:val="20"/>
                <w:szCs w:val="20"/>
              </w:rPr>
              <w:t>և</w:t>
            </w:r>
            <w:r w:rsidRPr="0053423A">
              <w:rPr>
                <w:rFonts w:cs="Tahoma"/>
                <w:sz w:val="20"/>
                <w:szCs w:val="20"/>
                <w:lang w:val="af-ZA"/>
              </w:rPr>
              <w:t xml:space="preserve"> </w:t>
            </w:r>
            <w:r w:rsidRPr="0053423A">
              <w:rPr>
                <w:rFonts w:cs="Tahoma"/>
                <w:sz w:val="20"/>
                <w:szCs w:val="20"/>
              </w:rPr>
              <w:t>պաշտ</w:t>
            </w:r>
            <w:r w:rsidRPr="0053423A">
              <w:rPr>
                <w:rFonts w:cs="Tahoma"/>
                <w:sz w:val="20"/>
                <w:szCs w:val="20"/>
                <w:lang w:val="af-ZA"/>
              </w:rPr>
              <w:softHyphen/>
            </w:r>
            <w:r w:rsidRPr="0053423A">
              <w:rPr>
                <w:rFonts w:cs="Tahoma"/>
                <w:sz w:val="20"/>
                <w:szCs w:val="20"/>
              </w:rPr>
              <w:t>պան</w:t>
            </w:r>
            <w:r w:rsidRPr="0053423A">
              <w:rPr>
                <w:rFonts w:cs="Tahoma"/>
                <w:sz w:val="20"/>
                <w:szCs w:val="20"/>
                <w:lang w:val="af-ZA"/>
              </w:rPr>
              <w:softHyphen/>
            </w:r>
            <w:r w:rsidRPr="0053423A">
              <w:rPr>
                <w:rFonts w:cs="Tahoma"/>
                <w:sz w:val="20"/>
                <w:szCs w:val="20"/>
              </w:rPr>
              <w:t>վածության</w:t>
            </w:r>
            <w:r w:rsidRPr="0053423A">
              <w:rPr>
                <w:rFonts w:cs="Tahoma"/>
                <w:sz w:val="20"/>
                <w:szCs w:val="20"/>
                <w:lang w:val="af-ZA"/>
              </w:rPr>
              <w:t xml:space="preserve"> </w:t>
            </w:r>
            <w:r w:rsidRPr="0053423A">
              <w:rPr>
                <w:rFonts w:cs="Tahoma"/>
                <w:sz w:val="20"/>
                <w:szCs w:val="20"/>
              </w:rPr>
              <w:t>աս</w:t>
            </w:r>
            <w:r w:rsidRPr="0053423A">
              <w:rPr>
                <w:rFonts w:cs="Tahoma"/>
                <w:sz w:val="20"/>
                <w:szCs w:val="20"/>
                <w:lang w:val="af-ZA"/>
              </w:rPr>
              <w:softHyphen/>
            </w:r>
            <w:r w:rsidRPr="0053423A">
              <w:rPr>
                <w:rFonts w:cs="Tahoma"/>
                <w:sz w:val="20"/>
                <w:szCs w:val="20"/>
              </w:rPr>
              <w:t>տիճանը</w:t>
            </w:r>
            <w:r w:rsidRPr="0053423A">
              <w:rPr>
                <w:rFonts w:cs="Tahoma"/>
                <w:sz w:val="20"/>
                <w:szCs w:val="20"/>
                <w:lang w:val="af-ZA"/>
              </w:rPr>
              <w:t>,</w:t>
            </w:r>
            <w:r w:rsidRPr="0053423A">
              <w:rPr>
                <w:rFonts w:cs="Times Armenian"/>
                <w:sz w:val="20"/>
                <w:szCs w:val="20"/>
                <w:lang w:val="af-ZA"/>
              </w:rPr>
              <w:t xml:space="preserve"> կբարելավվեն կենցաղային պայմանները:</w:t>
            </w:r>
          </w:p>
        </w:tc>
      </w:tr>
      <w:tr w:rsidR="00BB45FD" w:rsidRPr="00DE2EFA" w:rsidTr="00976405">
        <w:tc>
          <w:tcPr>
            <w:tcW w:w="425" w:type="dxa"/>
            <w:shd w:val="clear" w:color="auto" w:fill="auto"/>
          </w:tcPr>
          <w:p w:rsidR="00BB45FD" w:rsidRPr="0053423A" w:rsidRDefault="00BB45FD" w:rsidP="00A67858">
            <w:pPr>
              <w:spacing w:after="0" w:line="276" w:lineRule="auto"/>
              <w:ind w:right="-108"/>
              <w:rPr>
                <w:sz w:val="20"/>
                <w:szCs w:val="20"/>
                <w:lang w:val="hy-AM"/>
              </w:rPr>
            </w:pPr>
            <w:r w:rsidRPr="0053423A">
              <w:rPr>
                <w:sz w:val="20"/>
                <w:szCs w:val="20"/>
                <w:lang w:val="hy-AM"/>
              </w:rPr>
              <w:t>4.1-4.3</w:t>
            </w:r>
          </w:p>
        </w:tc>
        <w:tc>
          <w:tcPr>
            <w:tcW w:w="11156" w:type="dxa"/>
            <w:shd w:val="clear" w:color="auto" w:fill="auto"/>
          </w:tcPr>
          <w:p w:rsidR="00BB45FD" w:rsidRPr="0053423A" w:rsidRDefault="00BB45FD" w:rsidP="00A67858">
            <w:pPr>
              <w:spacing w:after="0" w:line="276" w:lineRule="auto"/>
              <w:jc w:val="center"/>
              <w:rPr>
                <w:rFonts w:cs="Tahoma"/>
                <w:b/>
                <w:bCs/>
                <w:sz w:val="20"/>
                <w:szCs w:val="20"/>
                <w:lang w:val="af-ZA"/>
              </w:rPr>
            </w:pPr>
            <w:r w:rsidRPr="0053423A">
              <w:rPr>
                <w:rFonts w:cs="Tahoma"/>
                <w:b/>
                <w:bCs/>
                <w:sz w:val="20"/>
                <w:szCs w:val="20"/>
                <w:u w:val="single"/>
                <w:lang w:val="hy-AM"/>
              </w:rPr>
              <w:t>Անձնակազմի</w:t>
            </w:r>
            <w:r w:rsidRPr="0053423A">
              <w:rPr>
                <w:rFonts w:cs="Tahoma"/>
                <w:b/>
                <w:bCs/>
                <w:sz w:val="20"/>
                <w:szCs w:val="20"/>
                <w:u w:val="single"/>
                <w:lang w:val="af-ZA"/>
              </w:rPr>
              <w:t xml:space="preserve"> </w:t>
            </w:r>
            <w:r w:rsidRPr="0053423A">
              <w:rPr>
                <w:rFonts w:cs="Tahoma"/>
                <w:b/>
                <w:bCs/>
                <w:sz w:val="20"/>
                <w:szCs w:val="20"/>
                <w:u w:val="single"/>
                <w:lang w:val="hy-AM"/>
              </w:rPr>
              <w:t>բարոյահոգեբանական</w:t>
            </w:r>
            <w:r w:rsidRPr="0053423A">
              <w:rPr>
                <w:rFonts w:cs="Tahoma"/>
                <w:b/>
                <w:bCs/>
                <w:sz w:val="20"/>
                <w:szCs w:val="20"/>
                <w:u w:val="single"/>
                <w:lang w:val="af-ZA"/>
              </w:rPr>
              <w:t xml:space="preserve"> </w:t>
            </w:r>
            <w:r w:rsidRPr="0053423A">
              <w:rPr>
                <w:rFonts w:cs="Tahoma"/>
                <w:b/>
                <w:bCs/>
                <w:sz w:val="20"/>
                <w:szCs w:val="20"/>
                <w:u w:val="single"/>
                <w:lang w:val="hy-AM"/>
              </w:rPr>
              <w:t>և</w:t>
            </w:r>
            <w:r w:rsidRPr="0053423A">
              <w:rPr>
                <w:rFonts w:cs="Tahoma"/>
                <w:b/>
                <w:bCs/>
                <w:sz w:val="20"/>
                <w:szCs w:val="20"/>
                <w:u w:val="single"/>
                <w:lang w:val="af-ZA"/>
              </w:rPr>
              <w:t xml:space="preserve"> </w:t>
            </w:r>
            <w:r w:rsidRPr="0053423A">
              <w:rPr>
                <w:rFonts w:cs="Tahoma"/>
                <w:b/>
                <w:bCs/>
                <w:sz w:val="20"/>
                <w:szCs w:val="20"/>
                <w:u w:val="single"/>
                <w:lang w:val="hy-AM"/>
              </w:rPr>
              <w:t>ֆիզիկական</w:t>
            </w:r>
            <w:r w:rsidRPr="0053423A">
              <w:rPr>
                <w:rFonts w:cs="Tahoma"/>
                <w:b/>
                <w:bCs/>
                <w:sz w:val="20"/>
                <w:szCs w:val="20"/>
                <w:u w:val="single"/>
                <w:lang w:val="af-ZA"/>
              </w:rPr>
              <w:t xml:space="preserve"> </w:t>
            </w:r>
            <w:r w:rsidRPr="0053423A">
              <w:rPr>
                <w:rFonts w:cs="Tahoma"/>
                <w:b/>
                <w:bCs/>
                <w:sz w:val="20"/>
                <w:szCs w:val="20"/>
                <w:u w:val="single"/>
                <w:lang w:val="hy-AM"/>
              </w:rPr>
              <w:t>պատրաստվածության</w:t>
            </w:r>
            <w:r w:rsidRPr="0053423A">
              <w:rPr>
                <w:rFonts w:cs="Tahoma"/>
                <w:b/>
                <w:bCs/>
                <w:sz w:val="20"/>
                <w:szCs w:val="20"/>
                <w:u w:val="single"/>
                <w:lang w:val="af-ZA"/>
              </w:rPr>
              <w:t xml:space="preserve"> </w:t>
            </w:r>
            <w:r w:rsidRPr="0053423A">
              <w:rPr>
                <w:rFonts w:cs="Tahoma"/>
                <w:b/>
                <w:bCs/>
                <w:sz w:val="20"/>
                <w:szCs w:val="20"/>
                <w:u w:val="single"/>
                <w:lang w:val="hy-AM"/>
              </w:rPr>
              <w:t>մակարդակի</w:t>
            </w:r>
            <w:r w:rsidRPr="0053423A">
              <w:rPr>
                <w:rFonts w:cs="Tahoma"/>
                <w:b/>
                <w:bCs/>
                <w:sz w:val="20"/>
                <w:szCs w:val="20"/>
                <w:u w:val="single"/>
                <w:lang w:val="af-ZA"/>
              </w:rPr>
              <w:t xml:space="preserve"> </w:t>
            </w:r>
            <w:r w:rsidRPr="0053423A">
              <w:rPr>
                <w:rFonts w:cs="Tahoma"/>
                <w:b/>
                <w:bCs/>
                <w:sz w:val="20"/>
                <w:szCs w:val="20"/>
                <w:u w:val="single"/>
                <w:lang w:val="hy-AM"/>
              </w:rPr>
              <w:t>բարձրացման</w:t>
            </w:r>
            <w:r w:rsidRPr="0053423A">
              <w:rPr>
                <w:rFonts w:cs="Tahoma"/>
                <w:b/>
                <w:bCs/>
                <w:sz w:val="20"/>
                <w:szCs w:val="20"/>
                <w:u w:val="single"/>
                <w:lang w:val="af-ZA"/>
              </w:rPr>
              <w:t xml:space="preserve"> </w:t>
            </w:r>
            <w:r w:rsidRPr="0053423A">
              <w:rPr>
                <w:rFonts w:cs="Tahoma"/>
                <w:b/>
                <w:bCs/>
                <w:sz w:val="20"/>
                <w:szCs w:val="20"/>
                <w:u w:val="single"/>
                <w:lang w:val="hy-AM"/>
              </w:rPr>
              <w:t>վերաբերյալ</w:t>
            </w:r>
          </w:p>
          <w:p w:rsidR="00BB45FD" w:rsidRPr="0053423A" w:rsidRDefault="00BB45FD" w:rsidP="00A67858">
            <w:pPr>
              <w:spacing w:after="0" w:line="276" w:lineRule="auto"/>
              <w:jc w:val="center"/>
              <w:rPr>
                <w:rFonts w:cs="Tahoma"/>
                <w:b/>
                <w:bCs/>
                <w:sz w:val="20"/>
                <w:szCs w:val="20"/>
                <w:lang w:val="af-ZA"/>
              </w:rPr>
            </w:pPr>
          </w:p>
          <w:p w:rsidR="00BB45FD" w:rsidRPr="0053423A" w:rsidRDefault="00BB45FD" w:rsidP="00A67858">
            <w:pPr>
              <w:pStyle w:val="ListParagraph"/>
              <w:tabs>
                <w:tab w:val="left" w:pos="284"/>
              </w:tabs>
              <w:spacing w:after="0" w:line="276" w:lineRule="auto"/>
              <w:ind w:left="0"/>
              <w:rPr>
                <w:b/>
                <w:sz w:val="20"/>
                <w:szCs w:val="20"/>
                <w:lang w:val="af-ZA"/>
              </w:rPr>
            </w:pPr>
            <w:r w:rsidRPr="0053423A">
              <w:rPr>
                <w:b/>
                <w:sz w:val="20"/>
                <w:szCs w:val="20"/>
                <w:lang w:val="af-ZA"/>
              </w:rPr>
              <w:tab/>
            </w:r>
            <w:r w:rsidRPr="0053423A">
              <w:rPr>
                <w:b/>
                <w:sz w:val="20"/>
                <w:szCs w:val="20"/>
                <w:lang w:val="af-ZA"/>
              </w:rPr>
              <w:tab/>
              <w:t xml:space="preserve">1. </w:t>
            </w:r>
            <w:r w:rsidRPr="0053423A">
              <w:rPr>
                <w:b/>
                <w:sz w:val="20"/>
                <w:szCs w:val="20"/>
              </w:rPr>
              <w:t>Միջոցառումների</w:t>
            </w:r>
            <w:r w:rsidRPr="0053423A">
              <w:rPr>
                <w:b/>
                <w:sz w:val="20"/>
                <w:szCs w:val="20"/>
                <w:lang w:val="af-ZA"/>
              </w:rPr>
              <w:t xml:space="preserve"> </w:t>
            </w:r>
            <w:r w:rsidRPr="0053423A">
              <w:rPr>
                <w:b/>
                <w:sz w:val="20"/>
                <w:szCs w:val="20"/>
              </w:rPr>
              <w:t>իրականացման</w:t>
            </w:r>
            <w:r w:rsidRPr="0053423A">
              <w:rPr>
                <w:b/>
                <w:sz w:val="20"/>
                <w:szCs w:val="20"/>
                <w:lang w:val="af-ZA"/>
              </w:rPr>
              <w:t xml:space="preserve"> </w:t>
            </w:r>
            <w:r w:rsidRPr="0053423A">
              <w:rPr>
                <w:b/>
                <w:sz w:val="20"/>
                <w:szCs w:val="20"/>
              </w:rPr>
              <w:t>անհրաժեշտությունը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նպատակը</w:t>
            </w:r>
          </w:p>
          <w:p w:rsidR="00BB45FD" w:rsidRPr="0053423A" w:rsidRDefault="00BB45FD" w:rsidP="00A67858">
            <w:pPr>
              <w:tabs>
                <w:tab w:val="left" w:pos="284"/>
              </w:tabs>
              <w:spacing w:after="0" w:line="276" w:lineRule="auto"/>
              <w:rPr>
                <w:b/>
                <w:sz w:val="20"/>
                <w:szCs w:val="20"/>
                <w:lang w:val="af-ZA"/>
              </w:rPr>
            </w:pPr>
            <w:r w:rsidRPr="0053423A">
              <w:rPr>
                <w:sz w:val="20"/>
                <w:szCs w:val="20"/>
                <w:lang w:val="af-ZA"/>
              </w:rPr>
              <w:tab/>
            </w:r>
            <w:r w:rsidRPr="0053423A">
              <w:rPr>
                <w:sz w:val="20"/>
                <w:szCs w:val="20"/>
                <w:lang w:val="af-ZA"/>
              </w:rPr>
              <w:tab/>
            </w:r>
            <w:r w:rsidRPr="0053423A">
              <w:rPr>
                <w:sz w:val="20"/>
                <w:szCs w:val="20"/>
              </w:rPr>
              <w:t>Միջոցառումների</w:t>
            </w:r>
            <w:r w:rsidRPr="0053423A">
              <w:rPr>
                <w:sz w:val="20"/>
                <w:szCs w:val="20"/>
                <w:lang w:val="af-ZA"/>
              </w:rPr>
              <w:t xml:space="preserve"> </w:t>
            </w:r>
            <w:r w:rsidRPr="0053423A">
              <w:rPr>
                <w:sz w:val="20"/>
                <w:szCs w:val="20"/>
              </w:rPr>
              <w:t>իրականացման</w:t>
            </w:r>
            <w:r w:rsidRPr="0053423A">
              <w:rPr>
                <w:sz w:val="20"/>
                <w:szCs w:val="20"/>
                <w:lang w:val="af-ZA"/>
              </w:rPr>
              <w:t xml:space="preserve"> </w:t>
            </w:r>
            <w:r w:rsidRPr="0053423A">
              <w:rPr>
                <w:sz w:val="20"/>
                <w:szCs w:val="20"/>
              </w:rPr>
              <w:t>անհրաժեշտությունը</w:t>
            </w:r>
            <w:r w:rsidRPr="0053423A">
              <w:rPr>
                <w:sz w:val="20"/>
                <w:szCs w:val="20"/>
                <w:lang w:val="af-ZA"/>
              </w:rPr>
              <w:t xml:space="preserve"> </w:t>
            </w:r>
            <w:r w:rsidRPr="0053423A">
              <w:rPr>
                <w:sz w:val="20"/>
                <w:szCs w:val="20"/>
              </w:rPr>
              <w:t>պայմանավորված</w:t>
            </w:r>
            <w:r w:rsidRPr="0053423A">
              <w:rPr>
                <w:sz w:val="20"/>
                <w:szCs w:val="20"/>
                <w:lang w:val="af-ZA"/>
              </w:rPr>
              <w:t xml:space="preserve"> </w:t>
            </w:r>
            <w:r w:rsidRPr="0053423A">
              <w:rPr>
                <w:sz w:val="20"/>
                <w:szCs w:val="20"/>
              </w:rPr>
              <w:t>է</w:t>
            </w:r>
            <w:r w:rsidRPr="0053423A">
              <w:rPr>
                <w:b/>
                <w:sz w:val="20"/>
                <w:szCs w:val="20"/>
                <w:lang w:val="af-ZA"/>
              </w:rPr>
              <w:t xml:space="preserve"> </w:t>
            </w:r>
            <w:r w:rsidRPr="0053423A">
              <w:rPr>
                <w:sz w:val="20"/>
                <w:szCs w:val="20"/>
                <w:lang w:val="af-ZA"/>
              </w:rPr>
              <w:t>զ</w:t>
            </w:r>
            <w:r w:rsidRPr="0053423A">
              <w:rPr>
                <w:sz w:val="20"/>
                <w:szCs w:val="20"/>
                <w:lang w:val="hy-AM"/>
              </w:rPr>
              <w:t>ինծառայողների</w:t>
            </w:r>
            <w:r w:rsidRPr="0053423A">
              <w:rPr>
                <w:sz w:val="20"/>
                <w:szCs w:val="20"/>
                <w:lang w:val="af-ZA"/>
              </w:rPr>
              <w:t xml:space="preserve"> </w:t>
            </w:r>
            <w:r w:rsidRPr="0053423A">
              <w:rPr>
                <w:sz w:val="20"/>
                <w:szCs w:val="20"/>
                <w:lang w:val="hy-AM"/>
              </w:rPr>
              <w:t>մոտ</w:t>
            </w:r>
            <w:r w:rsidRPr="0053423A">
              <w:rPr>
                <w:sz w:val="20"/>
                <w:szCs w:val="20"/>
                <w:lang w:val="af-ZA"/>
              </w:rPr>
              <w:t xml:space="preserve"> բարոյահոգեբանական</w:t>
            </w:r>
            <w:r w:rsidRPr="0053423A">
              <w:rPr>
                <w:sz w:val="20"/>
                <w:szCs w:val="20"/>
                <w:lang w:val="hy-AM"/>
              </w:rPr>
              <w:t xml:space="preserve"> այնպիսի</w:t>
            </w:r>
            <w:r w:rsidRPr="0053423A">
              <w:rPr>
                <w:sz w:val="20"/>
                <w:szCs w:val="20"/>
                <w:lang w:val="af-ZA"/>
              </w:rPr>
              <w:t xml:space="preserve"> </w:t>
            </w:r>
            <w:r w:rsidRPr="0053423A">
              <w:rPr>
                <w:sz w:val="20"/>
                <w:szCs w:val="20"/>
                <w:lang w:val="hy-AM"/>
              </w:rPr>
              <w:t>ունակությունների ձևավորմա</w:t>
            </w:r>
            <w:r w:rsidRPr="0053423A">
              <w:rPr>
                <w:sz w:val="20"/>
                <w:szCs w:val="20"/>
              </w:rPr>
              <w:t>մբ</w:t>
            </w:r>
            <w:r w:rsidRPr="0053423A">
              <w:rPr>
                <w:sz w:val="20"/>
                <w:szCs w:val="20"/>
                <w:lang w:val="af-ZA"/>
              </w:rPr>
              <w:t xml:space="preserve">, </w:t>
            </w:r>
            <w:r w:rsidRPr="0053423A">
              <w:rPr>
                <w:sz w:val="20"/>
                <w:szCs w:val="20"/>
                <w:lang w:val="hy-AM"/>
              </w:rPr>
              <w:t>որոնք</w:t>
            </w:r>
            <w:r w:rsidRPr="0053423A">
              <w:rPr>
                <w:sz w:val="20"/>
                <w:szCs w:val="20"/>
                <w:lang w:val="af-ZA"/>
              </w:rPr>
              <w:t xml:space="preserve"> </w:t>
            </w:r>
            <w:r w:rsidRPr="0053423A">
              <w:rPr>
                <w:sz w:val="20"/>
                <w:szCs w:val="20"/>
                <w:lang w:val="hy-AM"/>
              </w:rPr>
              <w:t>կնպաստեն</w:t>
            </w:r>
            <w:r w:rsidRPr="0053423A">
              <w:rPr>
                <w:sz w:val="20"/>
                <w:szCs w:val="20"/>
                <w:lang w:val="af-ZA"/>
              </w:rPr>
              <w:t xml:space="preserve"> </w:t>
            </w:r>
            <w:r w:rsidRPr="0053423A">
              <w:rPr>
                <w:sz w:val="20"/>
                <w:szCs w:val="20"/>
                <w:lang w:val="hy-AM"/>
              </w:rPr>
              <w:t>ժամանակակից</w:t>
            </w:r>
            <w:r w:rsidRPr="0053423A">
              <w:rPr>
                <w:sz w:val="20"/>
                <w:szCs w:val="20"/>
                <w:lang w:val="af-ZA"/>
              </w:rPr>
              <w:t xml:space="preserve"> </w:t>
            </w:r>
            <w:r w:rsidRPr="0053423A">
              <w:rPr>
                <w:sz w:val="20"/>
                <w:szCs w:val="20"/>
                <w:lang w:val="hy-AM"/>
              </w:rPr>
              <w:t>մարտի</w:t>
            </w:r>
            <w:r w:rsidRPr="0053423A">
              <w:rPr>
                <w:sz w:val="20"/>
                <w:szCs w:val="20"/>
                <w:lang w:val="af-ZA"/>
              </w:rPr>
              <w:t xml:space="preserve"> </w:t>
            </w:r>
            <w:r w:rsidRPr="0053423A">
              <w:rPr>
                <w:sz w:val="20"/>
                <w:szCs w:val="20"/>
                <w:lang w:val="hy-AM"/>
              </w:rPr>
              <w:t>պայմաններում</w:t>
            </w:r>
            <w:r w:rsidRPr="0053423A">
              <w:rPr>
                <w:sz w:val="20"/>
                <w:szCs w:val="20"/>
                <w:lang w:val="af-ZA"/>
              </w:rPr>
              <w:t xml:space="preserve"> </w:t>
            </w:r>
            <w:r w:rsidRPr="0053423A">
              <w:rPr>
                <w:sz w:val="20"/>
                <w:szCs w:val="20"/>
                <w:lang w:val="hy-AM"/>
              </w:rPr>
              <w:t>տարբեր</w:t>
            </w:r>
            <w:r w:rsidRPr="0053423A">
              <w:rPr>
                <w:sz w:val="20"/>
                <w:szCs w:val="20"/>
                <w:lang w:val="af-ZA"/>
              </w:rPr>
              <w:t xml:space="preserve"> </w:t>
            </w:r>
            <w:r w:rsidRPr="0053423A">
              <w:rPr>
                <w:sz w:val="20"/>
                <w:szCs w:val="20"/>
                <w:lang w:val="hy-AM"/>
              </w:rPr>
              <w:t>բարդության</w:t>
            </w:r>
            <w:r w:rsidRPr="0053423A">
              <w:rPr>
                <w:sz w:val="20"/>
                <w:szCs w:val="20"/>
                <w:lang w:val="af-ZA"/>
              </w:rPr>
              <w:t xml:space="preserve"> </w:t>
            </w:r>
            <w:r w:rsidRPr="0053423A">
              <w:rPr>
                <w:sz w:val="20"/>
                <w:szCs w:val="20"/>
                <w:lang w:val="hy-AM"/>
              </w:rPr>
              <w:t>մարտական</w:t>
            </w:r>
            <w:r w:rsidRPr="0053423A">
              <w:rPr>
                <w:sz w:val="20"/>
                <w:szCs w:val="20"/>
                <w:lang w:val="af-ZA"/>
              </w:rPr>
              <w:t xml:space="preserve"> </w:t>
            </w:r>
            <w:r w:rsidRPr="0053423A">
              <w:rPr>
                <w:sz w:val="20"/>
                <w:szCs w:val="20"/>
                <w:lang w:val="hy-AM"/>
              </w:rPr>
              <w:t>խնդիրների</w:t>
            </w:r>
            <w:r w:rsidRPr="0053423A">
              <w:rPr>
                <w:sz w:val="20"/>
                <w:szCs w:val="20"/>
                <w:lang w:val="af-ZA"/>
              </w:rPr>
              <w:t xml:space="preserve"> </w:t>
            </w:r>
            <w:r w:rsidRPr="0053423A">
              <w:rPr>
                <w:sz w:val="20"/>
                <w:szCs w:val="20"/>
                <w:lang w:val="hy-AM"/>
              </w:rPr>
              <w:t>ինքնուրույն</w:t>
            </w:r>
            <w:r w:rsidRPr="0053423A">
              <w:rPr>
                <w:sz w:val="20"/>
                <w:szCs w:val="20"/>
                <w:lang w:val="af-ZA"/>
              </w:rPr>
              <w:t xml:space="preserve"> </w:t>
            </w:r>
            <w:r w:rsidRPr="0053423A">
              <w:rPr>
                <w:sz w:val="20"/>
                <w:szCs w:val="20"/>
                <w:lang w:val="hy-AM"/>
              </w:rPr>
              <w:t>կատարմանը՝</w:t>
            </w:r>
            <w:r w:rsidRPr="0053423A">
              <w:rPr>
                <w:sz w:val="20"/>
                <w:szCs w:val="20"/>
                <w:lang w:val="af-ZA"/>
              </w:rPr>
              <w:t xml:space="preserve"> </w:t>
            </w:r>
            <w:r w:rsidRPr="0053423A">
              <w:rPr>
                <w:sz w:val="20"/>
                <w:szCs w:val="20"/>
                <w:lang w:val="hy-AM"/>
              </w:rPr>
              <w:t>ցուցաբերելով նախաձեռնողականություն</w:t>
            </w:r>
            <w:r w:rsidRPr="0053423A">
              <w:rPr>
                <w:sz w:val="20"/>
                <w:szCs w:val="20"/>
                <w:lang w:val="af-ZA"/>
              </w:rPr>
              <w:t xml:space="preserve"> և </w:t>
            </w:r>
            <w:r w:rsidRPr="0053423A">
              <w:rPr>
                <w:sz w:val="20"/>
                <w:szCs w:val="20"/>
                <w:lang w:val="hy-AM"/>
              </w:rPr>
              <w:t>ստեղծագործ</w:t>
            </w:r>
            <w:r w:rsidRPr="0053423A">
              <w:rPr>
                <w:sz w:val="20"/>
                <w:szCs w:val="20"/>
                <w:lang w:val="af-ZA"/>
              </w:rPr>
              <w:t xml:space="preserve"> </w:t>
            </w:r>
            <w:r w:rsidRPr="0053423A">
              <w:rPr>
                <w:sz w:val="20"/>
                <w:szCs w:val="20"/>
                <w:lang w:val="hy-AM"/>
              </w:rPr>
              <w:t>մոտեցում</w:t>
            </w:r>
            <w:r w:rsidRPr="0053423A">
              <w:rPr>
                <w:sz w:val="20"/>
                <w:szCs w:val="20"/>
                <w:lang w:val="af-ZA"/>
              </w:rPr>
              <w:t>:</w:t>
            </w:r>
          </w:p>
          <w:p w:rsidR="00BB45FD" w:rsidRPr="0053423A" w:rsidRDefault="00BB45FD" w:rsidP="00A67858">
            <w:pPr>
              <w:tabs>
                <w:tab w:val="left" w:pos="284"/>
              </w:tabs>
              <w:spacing w:after="0" w:line="276" w:lineRule="auto"/>
              <w:rPr>
                <w:b/>
                <w:sz w:val="20"/>
                <w:szCs w:val="20"/>
                <w:lang w:val="af-ZA"/>
              </w:rPr>
            </w:pPr>
            <w:r w:rsidRPr="0053423A">
              <w:rPr>
                <w:b/>
                <w:sz w:val="20"/>
                <w:szCs w:val="20"/>
                <w:lang w:val="af-ZA"/>
              </w:rPr>
              <w:tab/>
            </w:r>
            <w:r w:rsidRPr="0053423A">
              <w:rPr>
                <w:b/>
                <w:sz w:val="20"/>
                <w:szCs w:val="20"/>
                <w:lang w:val="af-ZA"/>
              </w:rPr>
              <w:tab/>
              <w:t xml:space="preserve">1.1 </w:t>
            </w:r>
            <w:r w:rsidRPr="0053423A">
              <w:rPr>
                <w:b/>
                <w:sz w:val="20"/>
                <w:szCs w:val="20"/>
              </w:rPr>
              <w:t>Կարգավորման</w:t>
            </w:r>
            <w:r w:rsidRPr="0053423A">
              <w:rPr>
                <w:b/>
                <w:sz w:val="20"/>
                <w:szCs w:val="20"/>
                <w:lang w:val="af-ZA"/>
              </w:rPr>
              <w:t xml:space="preserve"> </w:t>
            </w:r>
            <w:r w:rsidRPr="0053423A">
              <w:rPr>
                <w:b/>
                <w:sz w:val="20"/>
                <w:szCs w:val="20"/>
              </w:rPr>
              <w:t>հարաբերությունների</w:t>
            </w:r>
            <w:r w:rsidRPr="0053423A">
              <w:rPr>
                <w:b/>
                <w:sz w:val="20"/>
                <w:szCs w:val="20"/>
                <w:lang w:val="af-ZA"/>
              </w:rPr>
              <w:t xml:space="preserve"> </w:t>
            </w:r>
            <w:r w:rsidRPr="0053423A">
              <w:rPr>
                <w:b/>
                <w:sz w:val="20"/>
                <w:szCs w:val="20"/>
              </w:rPr>
              <w:t>ներկա</w:t>
            </w:r>
            <w:r w:rsidRPr="0053423A">
              <w:rPr>
                <w:b/>
                <w:sz w:val="20"/>
                <w:szCs w:val="20"/>
                <w:lang w:val="af-ZA"/>
              </w:rPr>
              <w:t xml:space="preserve"> </w:t>
            </w:r>
            <w:r w:rsidRPr="0053423A">
              <w:rPr>
                <w:b/>
                <w:sz w:val="20"/>
                <w:szCs w:val="20"/>
              </w:rPr>
              <w:t>վիճակը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առկա</w:t>
            </w:r>
            <w:r w:rsidRPr="0053423A">
              <w:rPr>
                <w:b/>
                <w:sz w:val="20"/>
                <w:szCs w:val="20"/>
                <w:lang w:val="af-ZA"/>
              </w:rPr>
              <w:t xml:space="preserve"> </w:t>
            </w:r>
            <w:r w:rsidRPr="0053423A">
              <w:rPr>
                <w:b/>
                <w:sz w:val="20"/>
                <w:szCs w:val="20"/>
              </w:rPr>
              <w:t>խնդիրները</w:t>
            </w:r>
          </w:p>
          <w:p w:rsidR="00BB45FD" w:rsidRPr="0053423A" w:rsidRDefault="00BB45FD" w:rsidP="00A67858">
            <w:pPr>
              <w:pStyle w:val="ListParagraph"/>
              <w:tabs>
                <w:tab w:val="left" w:pos="284"/>
                <w:tab w:val="left" w:pos="426"/>
              </w:tabs>
              <w:spacing w:after="0" w:line="276" w:lineRule="auto"/>
              <w:ind w:left="0"/>
              <w:rPr>
                <w:b/>
                <w:sz w:val="20"/>
                <w:szCs w:val="20"/>
                <w:lang w:val="af-ZA"/>
              </w:rPr>
            </w:pPr>
            <w:r w:rsidRPr="0053423A">
              <w:rPr>
                <w:sz w:val="20"/>
                <w:szCs w:val="20"/>
                <w:lang w:val="af-ZA"/>
              </w:rPr>
              <w:tab/>
            </w:r>
            <w:r w:rsidRPr="0053423A">
              <w:rPr>
                <w:sz w:val="20"/>
                <w:szCs w:val="20"/>
                <w:lang w:val="af-ZA"/>
              </w:rPr>
              <w:tab/>
            </w:r>
            <w:r w:rsidRPr="0053423A">
              <w:rPr>
                <w:sz w:val="20"/>
                <w:szCs w:val="20"/>
                <w:lang w:val="af-ZA"/>
              </w:rPr>
              <w:tab/>
            </w:r>
            <w:r w:rsidRPr="0053423A">
              <w:rPr>
                <w:sz w:val="20"/>
                <w:szCs w:val="20"/>
              </w:rPr>
              <w:t>Զինված</w:t>
            </w:r>
            <w:r w:rsidRPr="0053423A">
              <w:rPr>
                <w:sz w:val="20"/>
                <w:szCs w:val="20"/>
                <w:lang w:val="af-ZA"/>
              </w:rPr>
              <w:t xml:space="preserve"> </w:t>
            </w:r>
            <w:r w:rsidRPr="0053423A">
              <w:rPr>
                <w:sz w:val="20"/>
                <w:szCs w:val="20"/>
              </w:rPr>
              <w:t>ուժեր</w:t>
            </w:r>
            <w:r w:rsidRPr="0053423A">
              <w:rPr>
                <w:sz w:val="20"/>
                <w:szCs w:val="20"/>
                <w:lang w:val="af-ZA"/>
              </w:rPr>
              <w:t xml:space="preserve"> </w:t>
            </w:r>
            <w:r w:rsidRPr="0053423A">
              <w:rPr>
                <w:sz w:val="20"/>
                <w:szCs w:val="20"/>
              </w:rPr>
              <w:t>զորակոչվածների</w:t>
            </w:r>
            <w:r w:rsidRPr="0053423A">
              <w:rPr>
                <w:sz w:val="20"/>
                <w:szCs w:val="20"/>
                <w:lang w:val="af-ZA"/>
              </w:rPr>
              <w:t xml:space="preserve"> </w:t>
            </w:r>
            <w:r w:rsidRPr="0053423A">
              <w:rPr>
                <w:sz w:val="20"/>
                <w:szCs w:val="20"/>
              </w:rPr>
              <w:t>շարքում</w:t>
            </w:r>
            <w:r w:rsidRPr="0053423A">
              <w:rPr>
                <w:sz w:val="20"/>
                <w:szCs w:val="20"/>
                <w:lang w:val="af-ZA"/>
              </w:rPr>
              <w:t xml:space="preserve"> </w:t>
            </w:r>
            <w:r w:rsidRPr="0053423A">
              <w:rPr>
                <w:sz w:val="20"/>
                <w:szCs w:val="20"/>
              </w:rPr>
              <w:t>դեռևս</w:t>
            </w:r>
            <w:r w:rsidRPr="0053423A">
              <w:rPr>
                <w:sz w:val="20"/>
                <w:szCs w:val="20"/>
                <w:lang w:val="af-ZA"/>
              </w:rPr>
              <w:t xml:space="preserve"> </w:t>
            </w:r>
            <w:r w:rsidRPr="0053423A">
              <w:rPr>
                <w:sz w:val="20"/>
                <w:szCs w:val="20"/>
              </w:rPr>
              <w:t>զգալի</w:t>
            </w:r>
            <w:r w:rsidRPr="0053423A">
              <w:rPr>
                <w:sz w:val="20"/>
                <w:szCs w:val="20"/>
                <w:lang w:val="af-ZA"/>
              </w:rPr>
              <w:t xml:space="preserve"> </w:t>
            </w:r>
            <w:r w:rsidRPr="0053423A">
              <w:rPr>
                <w:sz w:val="20"/>
                <w:szCs w:val="20"/>
              </w:rPr>
              <w:t>թիվ</w:t>
            </w:r>
            <w:r w:rsidRPr="0053423A">
              <w:rPr>
                <w:sz w:val="20"/>
                <w:szCs w:val="20"/>
                <w:lang w:val="af-ZA"/>
              </w:rPr>
              <w:t xml:space="preserve"> </w:t>
            </w:r>
            <w:r w:rsidRPr="0053423A">
              <w:rPr>
                <w:sz w:val="20"/>
                <w:szCs w:val="20"/>
              </w:rPr>
              <w:t>են</w:t>
            </w:r>
            <w:r w:rsidRPr="0053423A">
              <w:rPr>
                <w:sz w:val="20"/>
                <w:szCs w:val="20"/>
                <w:lang w:val="af-ZA"/>
              </w:rPr>
              <w:t xml:space="preserve"> </w:t>
            </w:r>
            <w:r w:rsidRPr="0053423A">
              <w:rPr>
                <w:sz w:val="20"/>
                <w:szCs w:val="20"/>
              </w:rPr>
              <w:t>կազմում</w:t>
            </w:r>
            <w:r w:rsidRPr="0053423A">
              <w:rPr>
                <w:sz w:val="20"/>
                <w:szCs w:val="20"/>
                <w:lang w:val="af-ZA"/>
              </w:rPr>
              <w:t xml:space="preserve"> </w:t>
            </w:r>
            <w:r w:rsidRPr="0053423A">
              <w:rPr>
                <w:sz w:val="20"/>
                <w:szCs w:val="20"/>
              </w:rPr>
              <w:t>անբավարար</w:t>
            </w:r>
            <w:r w:rsidRPr="0053423A">
              <w:rPr>
                <w:sz w:val="20"/>
                <w:szCs w:val="20"/>
                <w:lang w:val="af-ZA"/>
              </w:rPr>
              <w:t xml:space="preserve"> </w:t>
            </w:r>
            <w:r w:rsidRPr="0053423A">
              <w:rPr>
                <w:sz w:val="20"/>
                <w:szCs w:val="20"/>
              </w:rPr>
              <w:t>բարոյահոգեբանական</w:t>
            </w:r>
            <w:r w:rsidRPr="0053423A">
              <w:rPr>
                <w:sz w:val="20"/>
                <w:szCs w:val="20"/>
                <w:lang w:val="af-ZA"/>
              </w:rPr>
              <w:t xml:space="preserve">, </w:t>
            </w:r>
            <w:r w:rsidRPr="0053423A">
              <w:rPr>
                <w:sz w:val="20"/>
                <w:szCs w:val="20"/>
              </w:rPr>
              <w:t>ֆիզիկական</w:t>
            </w:r>
            <w:r w:rsidRPr="0053423A">
              <w:rPr>
                <w:sz w:val="20"/>
                <w:szCs w:val="20"/>
                <w:lang w:val="af-ZA"/>
              </w:rPr>
              <w:t xml:space="preserve"> </w:t>
            </w:r>
            <w:r w:rsidRPr="0053423A">
              <w:rPr>
                <w:sz w:val="20"/>
                <w:szCs w:val="20"/>
              </w:rPr>
              <w:t>ու</w:t>
            </w:r>
            <w:r w:rsidRPr="0053423A">
              <w:rPr>
                <w:sz w:val="20"/>
                <w:szCs w:val="20"/>
                <w:lang w:val="af-ZA"/>
              </w:rPr>
              <w:t xml:space="preserve"> </w:t>
            </w:r>
            <w:r w:rsidRPr="0053423A">
              <w:rPr>
                <w:sz w:val="20"/>
                <w:szCs w:val="20"/>
              </w:rPr>
              <w:t>մտավոր</w:t>
            </w:r>
            <w:r w:rsidRPr="0053423A">
              <w:rPr>
                <w:sz w:val="20"/>
                <w:szCs w:val="20"/>
                <w:lang w:val="af-ZA"/>
              </w:rPr>
              <w:t xml:space="preserve"> </w:t>
            </w:r>
            <w:r w:rsidRPr="0053423A">
              <w:rPr>
                <w:sz w:val="20"/>
                <w:szCs w:val="20"/>
              </w:rPr>
              <w:t>հատկություններով</w:t>
            </w:r>
            <w:r w:rsidRPr="0053423A">
              <w:rPr>
                <w:sz w:val="20"/>
                <w:szCs w:val="20"/>
                <w:lang w:val="af-ZA"/>
              </w:rPr>
              <w:t xml:space="preserve"> </w:t>
            </w:r>
            <w:r w:rsidRPr="0053423A">
              <w:rPr>
                <w:sz w:val="20"/>
                <w:szCs w:val="20"/>
              </w:rPr>
              <w:t>անձիք</w:t>
            </w:r>
            <w:r w:rsidRPr="0053423A">
              <w:rPr>
                <w:sz w:val="20"/>
                <w:szCs w:val="20"/>
                <w:lang w:val="af-ZA"/>
              </w:rPr>
              <w:t xml:space="preserve">, </w:t>
            </w:r>
            <w:r w:rsidRPr="0053423A">
              <w:rPr>
                <w:sz w:val="20"/>
                <w:szCs w:val="20"/>
              </w:rPr>
              <w:t>ինչը</w:t>
            </w:r>
            <w:r w:rsidRPr="0053423A">
              <w:rPr>
                <w:sz w:val="20"/>
                <w:szCs w:val="20"/>
                <w:lang w:val="af-ZA"/>
              </w:rPr>
              <w:t xml:space="preserve"> </w:t>
            </w:r>
            <w:r w:rsidRPr="0053423A">
              <w:rPr>
                <w:sz w:val="20"/>
                <w:szCs w:val="20"/>
              </w:rPr>
              <w:t>հանգեցնում</w:t>
            </w:r>
            <w:r w:rsidRPr="0053423A">
              <w:rPr>
                <w:sz w:val="20"/>
                <w:szCs w:val="20"/>
                <w:lang w:val="af-ZA"/>
              </w:rPr>
              <w:t xml:space="preserve"> </w:t>
            </w:r>
            <w:r w:rsidRPr="0053423A">
              <w:rPr>
                <w:sz w:val="20"/>
                <w:szCs w:val="20"/>
              </w:rPr>
              <w:t>է</w:t>
            </w:r>
            <w:r w:rsidRPr="0053423A">
              <w:rPr>
                <w:sz w:val="20"/>
                <w:szCs w:val="20"/>
                <w:lang w:val="af-ZA"/>
              </w:rPr>
              <w:t xml:space="preserve"> </w:t>
            </w:r>
            <w:r w:rsidRPr="0053423A">
              <w:rPr>
                <w:sz w:val="20"/>
                <w:szCs w:val="20"/>
              </w:rPr>
              <w:t>հասարակական</w:t>
            </w:r>
            <w:r w:rsidRPr="0053423A">
              <w:rPr>
                <w:sz w:val="20"/>
                <w:szCs w:val="20"/>
                <w:lang w:val="af-ZA"/>
              </w:rPr>
              <w:t xml:space="preserve"> </w:t>
            </w:r>
            <w:r w:rsidRPr="0053423A">
              <w:rPr>
                <w:sz w:val="20"/>
                <w:szCs w:val="20"/>
              </w:rPr>
              <w:t>արատավոր</w:t>
            </w:r>
            <w:r w:rsidRPr="0053423A">
              <w:rPr>
                <w:sz w:val="20"/>
                <w:szCs w:val="20"/>
                <w:lang w:val="af-ZA"/>
              </w:rPr>
              <w:t xml:space="preserve"> </w:t>
            </w:r>
            <w:r w:rsidRPr="0053423A">
              <w:rPr>
                <w:sz w:val="20"/>
                <w:szCs w:val="20"/>
              </w:rPr>
              <w:t>երևույթների</w:t>
            </w:r>
            <w:r w:rsidRPr="0053423A">
              <w:rPr>
                <w:sz w:val="20"/>
                <w:szCs w:val="20"/>
                <w:lang w:val="af-ZA"/>
              </w:rPr>
              <w:t xml:space="preserve">, </w:t>
            </w:r>
            <w:r w:rsidRPr="0053423A">
              <w:rPr>
                <w:sz w:val="20"/>
                <w:szCs w:val="20"/>
              </w:rPr>
              <w:t>ցածր</w:t>
            </w:r>
            <w:r w:rsidRPr="0053423A">
              <w:rPr>
                <w:sz w:val="20"/>
                <w:szCs w:val="20"/>
                <w:lang w:val="af-ZA"/>
              </w:rPr>
              <w:t xml:space="preserve"> </w:t>
            </w:r>
            <w:r w:rsidRPr="0053423A">
              <w:rPr>
                <w:sz w:val="20"/>
                <w:szCs w:val="20"/>
              </w:rPr>
              <w:t>բարոյահոգեբանական</w:t>
            </w:r>
            <w:r w:rsidRPr="0053423A">
              <w:rPr>
                <w:sz w:val="20"/>
                <w:szCs w:val="20"/>
                <w:lang w:val="af-ZA"/>
              </w:rPr>
              <w:t xml:space="preserve"> </w:t>
            </w:r>
            <w:r w:rsidRPr="0053423A">
              <w:rPr>
                <w:sz w:val="20"/>
                <w:szCs w:val="20"/>
              </w:rPr>
              <w:t>մթնոլորտի</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արատավոր</w:t>
            </w:r>
            <w:r w:rsidRPr="0053423A">
              <w:rPr>
                <w:sz w:val="20"/>
                <w:szCs w:val="20"/>
                <w:lang w:val="af-ZA"/>
              </w:rPr>
              <w:t xml:space="preserve"> </w:t>
            </w:r>
            <w:r w:rsidRPr="0053423A">
              <w:rPr>
                <w:sz w:val="20"/>
                <w:szCs w:val="20"/>
              </w:rPr>
              <w:t>բարքերի</w:t>
            </w:r>
            <w:r w:rsidRPr="0053423A">
              <w:rPr>
                <w:sz w:val="20"/>
                <w:szCs w:val="20"/>
                <w:lang w:val="af-ZA"/>
              </w:rPr>
              <w:t xml:space="preserve"> </w:t>
            </w:r>
            <w:r w:rsidRPr="0053423A">
              <w:rPr>
                <w:sz w:val="20"/>
                <w:szCs w:val="20"/>
              </w:rPr>
              <w:t>ներթափանցմանը</w:t>
            </w:r>
            <w:r w:rsidRPr="0053423A">
              <w:rPr>
                <w:sz w:val="20"/>
                <w:szCs w:val="20"/>
                <w:lang w:val="af-ZA"/>
              </w:rPr>
              <w:t xml:space="preserve">  </w:t>
            </w:r>
            <w:r w:rsidRPr="0053423A">
              <w:rPr>
                <w:sz w:val="20"/>
                <w:szCs w:val="20"/>
              </w:rPr>
              <w:t>ՀՀ</w:t>
            </w:r>
            <w:r w:rsidRPr="0053423A">
              <w:rPr>
                <w:sz w:val="20"/>
                <w:szCs w:val="20"/>
                <w:lang w:val="af-ZA"/>
              </w:rPr>
              <w:t xml:space="preserve"> </w:t>
            </w:r>
            <w:r w:rsidRPr="0053423A">
              <w:rPr>
                <w:sz w:val="20"/>
                <w:szCs w:val="20"/>
              </w:rPr>
              <w:t>զինված</w:t>
            </w:r>
            <w:r w:rsidRPr="0053423A">
              <w:rPr>
                <w:sz w:val="20"/>
                <w:szCs w:val="20"/>
                <w:lang w:val="af-ZA"/>
              </w:rPr>
              <w:t xml:space="preserve"> </w:t>
            </w:r>
            <w:r w:rsidRPr="0053423A">
              <w:rPr>
                <w:sz w:val="20"/>
                <w:szCs w:val="20"/>
              </w:rPr>
              <w:t>ուժեր</w:t>
            </w:r>
            <w:r w:rsidRPr="0053423A">
              <w:rPr>
                <w:sz w:val="20"/>
                <w:szCs w:val="20"/>
                <w:lang w:val="af-ZA"/>
              </w:rPr>
              <w:t>:</w:t>
            </w:r>
          </w:p>
          <w:p w:rsidR="00BB45FD" w:rsidRPr="0053423A" w:rsidRDefault="00BB45FD" w:rsidP="00A67858">
            <w:pPr>
              <w:pStyle w:val="ListParagraph"/>
              <w:tabs>
                <w:tab w:val="left" w:pos="284"/>
                <w:tab w:val="left" w:pos="426"/>
              </w:tabs>
              <w:spacing w:after="0" w:line="276" w:lineRule="auto"/>
              <w:ind w:left="0"/>
              <w:rPr>
                <w:b/>
                <w:sz w:val="20"/>
                <w:szCs w:val="20"/>
                <w:lang w:val="af-ZA"/>
              </w:rPr>
            </w:pPr>
            <w:r w:rsidRPr="0053423A">
              <w:rPr>
                <w:b/>
                <w:sz w:val="20"/>
                <w:szCs w:val="20"/>
                <w:lang w:val="af-ZA"/>
              </w:rPr>
              <w:tab/>
            </w:r>
            <w:r w:rsidRPr="0053423A">
              <w:rPr>
                <w:b/>
                <w:sz w:val="20"/>
                <w:szCs w:val="20"/>
                <w:lang w:val="af-ZA"/>
              </w:rPr>
              <w:tab/>
            </w:r>
            <w:r w:rsidRPr="0053423A">
              <w:rPr>
                <w:b/>
                <w:sz w:val="20"/>
                <w:szCs w:val="20"/>
                <w:lang w:val="af-ZA"/>
              </w:rPr>
              <w:tab/>
              <w:t xml:space="preserve">1.2 </w:t>
            </w:r>
            <w:r w:rsidRPr="0053423A">
              <w:rPr>
                <w:b/>
                <w:sz w:val="20"/>
                <w:szCs w:val="20"/>
              </w:rPr>
              <w:t>Առկա</w:t>
            </w:r>
            <w:r w:rsidRPr="0053423A">
              <w:rPr>
                <w:b/>
                <w:sz w:val="20"/>
                <w:szCs w:val="20"/>
                <w:lang w:val="af-ZA"/>
              </w:rPr>
              <w:t xml:space="preserve"> </w:t>
            </w:r>
            <w:r w:rsidRPr="0053423A">
              <w:rPr>
                <w:b/>
                <w:sz w:val="20"/>
                <w:szCs w:val="20"/>
              </w:rPr>
              <w:t>խնդիրների</w:t>
            </w:r>
            <w:r w:rsidRPr="0053423A">
              <w:rPr>
                <w:b/>
                <w:sz w:val="20"/>
                <w:szCs w:val="20"/>
                <w:lang w:val="af-ZA"/>
              </w:rPr>
              <w:t xml:space="preserve"> </w:t>
            </w:r>
            <w:r w:rsidRPr="0053423A">
              <w:rPr>
                <w:b/>
                <w:sz w:val="20"/>
                <w:szCs w:val="20"/>
              </w:rPr>
              <w:t>առաջարկվող</w:t>
            </w:r>
            <w:r w:rsidRPr="0053423A">
              <w:rPr>
                <w:b/>
                <w:sz w:val="20"/>
                <w:szCs w:val="20"/>
                <w:lang w:val="af-ZA"/>
              </w:rPr>
              <w:t xml:space="preserve"> </w:t>
            </w:r>
            <w:r w:rsidRPr="0053423A">
              <w:rPr>
                <w:b/>
                <w:sz w:val="20"/>
                <w:szCs w:val="20"/>
              </w:rPr>
              <w:t>լուծումները</w:t>
            </w:r>
          </w:p>
          <w:p w:rsidR="00BB45FD" w:rsidRPr="0053423A" w:rsidRDefault="00BB45FD" w:rsidP="00A67858">
            <w:pPr>
              <w:pStyle w:val="Default"/>
              <w:spacing w:line="276" w:lineRule="auto"/>
              <w:ind w:firstLine="720"/>
              <w:jc w:val="both"/>
              <w:rPr>
                <w:rFonts w:ascii="GHEA Grapalat" w:hAnsi="GHEA Grapalat"/>
                <w:color w:val="auto"/>
                <w:sz w:val="20"/>
                <w:szCs w:val="20"/>
                <w:lang w:val="af-ZA"/>
              </w:rPr>
            </w:pPr>
            <w:r w:rsidRPr="0053423A">
              <w:rPr>
                <w:rFonts w:ascii="GHEA Grapalat" w:hAnsi="GHEA Grapalat"/>
                <w:color w:val="auto"/>
                <w:sz w:val="20"/>
                <w:szCs w:val="20"/>
              </w:rPr>
              <w:t>Նախատեսվում</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է</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մշակել</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լրամշակել</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գաղափարա</w:t>
            </w:r>
            <w:r w:rsidRPr="0053423A">
              <w:rPr>
                <w:rFonts w:ascii="GHEA Grapalat" w:hAnsi="GHEA Grapalat"/>
                <w:color w:val="auto"/>
                <w:sz w:val="20"/>
                <w:szCs w:val="20"/>
                <w:lang w:val="af-ZA"/>
              </w:rPr>
              <w:t>-</w:t>
            </w:r>
            <w:r w:rsidRPr="0053423A">
              <w:rPr>
                <w:rFonts w:ascii="GHEA Grapalat" w:hAnsi="GHEA Grapalat"/>
                <w:color w:val="auto"/>
                <w:sz w:val="20"/>
                <w:szCs w:val="20"/>
              </w:rPr>
              <w:t>իրավական</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հասարակական</w:t>
            </w:r>
            <w:r w:rsidRPr="0053423A">
              <w:rPr>
                <w:rFonts w:ascii="GHEA Grapalat" w:hAnsi="GHEA Grapalat"/>
                <w:color w:val="auto"/>
                <w:sz w:val="20"/>
                <w:szCs w:val="20"/>
                <w:lang w:val="af-ZA"/>
              </w:rPr>
              <w:t>-</w:t>
            </w:r>
            <w:r w:rsidRPr="0053423A">
              <w:rPr>
                <w:rFonts w:ascii="GHEA Grapalat" w:hAnsi="GHEA Grapalat"/>
                <w:color w:val="auto"/>
                <w:sz w:val="20"/>
                <w:szCs w:val="20"/>
              </w:rPr>
              <w:t>պետական</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և</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ֆիզիկական</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պատրաստության</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հատուկ</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ծրագրեր</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բարձրացնել</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հայրենիքին</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անձնվիրաբար</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ծառայելու</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զինվորական</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պարտքն</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անմնացորդ</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նվիրումով</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կատարելու</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գիտակցականությունը</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գիտելիքի</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մասնագիտական</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հմտության</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ազգային</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գաղափարների</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արժեքային</w:t>
            </w:r>
            <w:r w:rsidRPr="0053423A">
              <w:rPr>
                <w:rFonts w:ascii="GHEA Grapalat" w:hAnsi="GHEA Grapalat"/>
                <w:color w:val="auto"/>
                <w:sz w:val="20"/>
                <w:szCs w:val="20"/>
                <w:lang w:val="af-ZA"/>
              </w:rPr>
              <w:t xml:space="preserve"> </w:t>
            </w:r>
            <w:r w:rsidRPr="0053423A">
              <w:rPr>
                <w:rFonts w:ascii="GHEA Grapalat" w:hAnsi="GHEA Grapalat"/>
                <w:color w:val="auto"/>
                <w:sz w:val="20"/>
                <w:szCs w:val="20"/>
              </w:rPr>
              <w:t>վարկանիշը</w:t>
            </w:r>
            <w:r w:rsidRPr="0053423A">
              <w:rPr>
                <w:rFonts w:ascii="GHEA Grapalat" w:hAnsi="GHEA Grapalat"/>
                <w:color w:val="auto"/>
                <w:sz w:val="20"/>
                <w:szCs w:val="20"/>
                <w:lang w:val="af-ZA"/>
              </w:rPr>
              <w:t xml:space="preserve">: </w:t>
            </w:r>
          </w:p>
          <w:p w:rsidR="00BB45FD" w:rsidRPr="0053423A" w:rsidRDefault="00BB45FD" w:rsidP="00A67858">
            <w:pPr>
              <w:pStyle w:val="ListParagraph"/>
              <w:tabs>
                <w:tab w:val="left" w:pos="284"/>
              </w:tabs>
              <w:spacing w:after="0" w:line="276" w:lineRule="auto"/>
              <w:ind w:left="0"/>
              <w:rPr>
                <w:b/>
                <w:sz w:val="20"/>
                <w:szCs w:val="20"/>
                <w:lang w:val="af-ZA"/>
              </w:rPr>
            </w:pPr>
            <w:r w:rsidRPr="0053423A">
              <w:rPr>
                <w:b/>
                <w:sz w:val="20"/>
                <w:szCs w:val="20"/>
                <w:lang w:val="af-ZA"/>
              </w:rPr>
              <w:tab/>
            </w:r>
            <w:r w:rsidRPr="0053423A">
              <w:rPr>
                <w:b/>
                <w:sz w:val="20"/>
                <w:szCs w:val="20"/>
                <w:lang w:val="af-ZA"/>
              </w:rPr>
              <w:tab/>
              <w:t xml:space="preserve">2. </w:t>
            </w:r>
            <w:r w:rsidRPr="0053423A">
              <w:rPr>
                <w:b/>
                <w:sz w:val="20"/>
                <w:szCs w:val="20"/>
              </w:rPr>
              <w:t>Միջոցառումների</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p>
          <w:p w:rsidR="00BB45FD" w:rsidRPr="0053423A" w:rsidRDefault="00BB45FD" w:rsidP="00A67858">
            <w:pPr>
              <w:spacing w:after="0" w:line="276" w:lineRule="auto"/>
              <w:ind w:firstLine="720"/>
              <w:rPr>
                <w:b/>
                <w:sz w:val="20"/>
                <w:szCs w:val="20"/>
                <w:u w:val="single"/>
                <w:lang w:val="af-ZA"/>
              </w:rPr>
            </w:pPr>
            <w:r w:rsidRPr="0053423A">
              <w:rPr>
                <w:rFonts w:cs="Tahoma"/>
                <w:sz w:val="20"/>
                <w:szCs w:val="20"/>
              </w:rPr>
              <w:t>Զինված</w:t>
            </w:r>
            <w:r w:rsidRPr="0053423A">
              <w:rPr>
                <w:rFonts w:cs="Tahoma"/>
                <w:sz w:val="20"/>
                <w:szCs w:val="20"/>
                <w:lang w:val="af-ZA"/>
              </w:rPr>
              <w:t xml:space="preserve"> </w:t>
            </w:r>
            <w:r w:rsidRPr="0053423A">
              <w:rPr>
                <w:rFonts w:cs="Tahoma"/>
                <w:sz w:val="20"/>
                <w:szCs w:val="20"/>
              </w:rPr>
              <w:t>ուժերում</w:t>
            </w:r>
            <w:r w:rsidRPr="0053423A">
              <w:rPr>
                <w:rFonts w:cs="Tahoma"/>
                <w:sz w:val="20"/>
                <w:szCs w:val="20"/>
                <w:lang w:val="af-ZA"/>
              </w:rPr>
              <w:t xml:space="preserve"> </w:t>
            </w:r>
            <w:r w:rsidRPr="0053423A">
              <w:rPr>
                <w:rFonts w:cs="Tahoma"/>
                <w:sz w:val="20"/>
                <w:szCs w:val="20"/>
              </w:rPr>
              <w:t>կամրապնդվի</w:t>
            </w:r>
            <w:r w:rsidRPr="0053423A">
              <w:rPr>
                <w:rFonts w:cs="Tahoma"/>
                <w:sz w:val="20"/>
                <w:szCs w:val="20"/>
                <w:lang w:val="af-ZA"/>
              </w:rPr>
              <w:t xml:space="preserve"> </w:t>
            </w:r>
            <w:r w:rsidRPr="0053423A">
              <w:rPr>
                <w:rFonts w:cs="Tahoma"/>
                <w:sz w:val="20"/>
                <w:szCs w:val="20"/>
              </w:rPr>
              <w:t>բարոյահոգեբանական</w:t>
            </w:r>
            <w:r w:rsidRPr="0053423A">
              <w:rPr>
                <w:rFonts w:cs="Tahoma"/>
                <w:sz w:val="20"/>
                <w:szCs w:val="20"/>
                <w:lang w:val="af-ZA"/>
              </w:rPr>
              <w:t xml:space="preserve"> </w:t>
            </w:r>
            <w:r w:rsidRPr="0053423A">
              <w:rPr>
                <w:rFonts w:cs="Tahoma"/>
                <w:sz w:val="20"/>
                <w:szCs w:val="20"/>
              </w:rPr>
              <w:t>վիճակը</w:t>
            </w:r>
            <w:r w:rsidRPr="0053423A">
              <w:rPr>
                <w:rFonts w:cs="Tahoma"/>
                <w:sz w:val="20"/>
                <w:szCs w:val="20"/>
                <w:lang w:val="af-ZA"/>
              </w:rPr>
              <w:t xml:space="preserve">, </w:t>
            </w:r>
            <w:r w:rsidRPr="0053423A">
              <w:rPr>
                <w:rFonts w:cs="Tahoma"/>
                <w:sz w:val="20"/>
                <w:szCs w:val="20"/>
              </w:rPr>
              <w:t>զինվորական</w:t>
            </w:r>
            <w:r w:rsidRPr="0053423A">
              <w:rPr>
                <w:rFonts w:cs="Tahoma"/>
                <w:sz w:val="20"/>
                <w:szCs w:val="20"/>
                <w:lang w:val="af-ZA"/>
              </w:rPr>
              <w:t xml:space="preserve"> </w:t>
            </w:r>
            <w:r w:rsidRPr="0053423A">
              <w:rPr>
                <w:rFonts w:cs="Tahoma"/>
                <w:sz w:val="20"/>
                <w:szCs w:val="20"/>
              </w:rPr>
              <w:t>կարգապահությունը</w:t>
            </w:r>
            <w:r w:rsidRPr="0053423A">
              <w:rPr>
                <w:rFonts w:cs="Tahoma"/>
                <w:sz w:val="20"/>
                <w:szCs w:val="20"/>
                <w:lang w:val="af-ZA"/>
              </w:rPr>
              <w:t xml:space="preserve"> </w:t>
            </w:r>
            <w:r w:rsidRPr="0053423A">
              <w:rPr>
                <w:rFonts w:cs="Tahoma"/>
                <w:sz w:val="20"/>
                <w:szCs w:val="20"/>
              </w:rPr>
              <w:t>և</w:t>
            </w:r>
            <w:r w:rsidRPr="0053423A">
              <w:rPr>
                <w:rFonts w:cs="Tahoma"/>
                <w:sz w:val="20"/>
                <w:szCs w:val="20"/>
                <w:lang w:val="af-ZA"/>
              </w:rPr>
              <w:t xml:space="preserve"> </w:t>
            </w:r>
            <w:r w:rsidRPr="0053423A">
              <w:rPr>
                <w:rFonts w:cs="Tahoma"/>
                <w:sz w:val="20"/>
                <w:szCs w:val="20"/>
              </w:rPr>
              <w:t>կբարձրանա</w:t>
            </w:r>
            <w:r w:rsidRPr="0053423A">
              <w:rPr>
                <w:rFonts w:cs="Tahoma"/>
                <w:sz w:val="20"/>
                <w:szCs w:val="20"/>
                <w:lang w:val="af-ZA"/>
              </w:rPr>
              <w:t xml:space="preserve"> </w:t>
            </w:r>
            <w:r w:rsidRPr="0053423A">
              <w:rPr>
                <w:rFonts w:cs="Tahoma"/>
                <w:sz w:val="20"/>
                <w:szCs w:val="20"/>
              </w:rPr>
              <w:t>ֆիզիկական</w:t>
            </w:r>
            <w:r w:rsidRPr="0053423A">
              <w:rPr>
                <w:rFonts w:cs="Tahoma"/>
                <w:sz w:val="20"/>
                <w:szCs w:val="20"/>
                <w:lang w:val="af-ZA"/>
              </w:rPr>
              <w:t xml:space="preserve"> </w:t>
            </w:r>
            <w:r w:rsidRPr="0053423A">
              <w:rPr>
                <w:rFonts w:cs="Tahoma"/>
                <w:sz w:val="20"/>
                <w:szCs w:val="20"/>
              </w:rPr>
              <w:t>պատրաստվածության</w:t>
            </w:r>
            <w:r w:rsidRPr="0053423A">
              <w:rPr>
                <w:rFonts w:cs="Tahoma"/>
                <w:sz w:val="20"/>
                <w:szCs w:val="20"/>
                <w:lang w:val="af-ZA"/>
              </w:rPr>
              <w:t xml:space="preserve"> </w:t>
            </w:r>
            <w:r w:rsidRPr="0053423A">
              <w:rPr>
                <w:rFonts w:cs="Tahoma"/>
                <w:sz w:val="20"/>
                <w:szCs w:val="20"/>
              </w:rPr>
              <w:t>մակարդակը</w:t>
            </w:r>
            <w:r w:rsidRPr="0053423A">
              <w:rPr>
                <w:rFonts w:cs="Tahoma"/>
                <w:sz w:val="20"/>
                <w:szCs w:val="20"/>
                <w:lang w:val="af-ZA"/>
              </w:rPr>
              <w:t>:</w:t>
            </w:r>
          </w:p>
        </w:tc>
      </w:tr>
      <w:tr w:rsidR="00BB45FD" w:rsidRPr="00DE2EFA" w:rsidTr="00976405">
        <w:tc>
          <w:tcPr>
            <w:tcW w:w="425" w:type="dxa"/>
            <w:shd w:val="clear" w:color="auto" w:fill="auto"/>
          </w:tcPr>
          <w:p w:rsidR="00BB45FD" w:rsidRPr="0053423A" w:rsidRDefault="00BB45FD" w:rsidP="00A67858">
            <w:pPr>
              <w:spacing w:after="0" w:line="276" w:lineRule="auto"/>
              <w:ind w:right="-108"/>
              <w:rPr>
                <w:sz w:val="20"/>
                <w:szCs w:val="20"/>
                <w:lang w:val="hy-AM"/>
              </w:rPr>
            </w:pPr>
            <w:r w:rsidRPr="0053423A">
              <w:rPr>
                <w:sz w:val="20"/>
                <w:szCs w:val="20"/>
                <w:lang w:val="hy-AM"/>
              </w:rPr>
              <w:t>5.1-5.6</w:t>
            </w:r>
          </w:p>
        </w:tc>
        <w:tc>
          <w:tcPr>
            <w:tcW w:w="11156" w:type="dxa"/>
            <w:shd w:val="clear" w:color="auto" w:fill="auto"/>
          </w:tcPr>
          <w:p w:rsidR="00BB45FD" w:rsidRPr="0053423A" w:rsidRDefault="00BB45FD" w:rsidP="00A67858">
            <w:pPr>
              <w:spacing w:after="0" w:line="276" w:lineRule="auto"/>
              <w:jc w:val="center"/>
              <w:rPr>
                <w:rFonts w:cs="Tahoma"/>
                <w:b/>
                <w:sz w:val="20"/>
                <w:szCs w:val="20"/>
                <w:lang w:val="af-ZA"/>
              </w:rPr>
            </w:pPr>
            <w:r w:rsidRPr="0053423A">
              <w:rPr>
                <w:rFonts w:cs="Tahoma"/>
                <w:b/>
                <w:sz w:val="20"/>
                <w:szCs w:val="20"/>
                <w:u w:val="single"/>
                <w:lang w:val="hy-AM"/>
              </w:rPr>
              <w:t>Թիկունքային</w:t>
            </w:r>
            <w:r w:rsidRPr="0053423A">
              <w:rPr>
                <w:rFonts w:cs="Tahoma"/>
                <w:b/>
                <w:sz w:val="20"/>
                <w:szCs w:val="20"/>
                <w:u w:val="single"/>
                <w:lang w:val="af-ZA"/>
              </w:rPr>
              <w:t xml:space="preserve"> </w:t>
            </w:r>
            <w:r w:rsidRPr="0053423A">
              <w:rPr>
                <w:rFonts w:cs="Tahoma"/>
                <w:b/>
                <w:sz w:val="20"/>
                <w:szCs w:val="20"/>
                <w:u w:val="single"/>
                <w:lang w:val="hy-AM"/>
              </w:rPr>
              <w:t>և</w:t>
            </w:r>
            <w:r w:rsidRPr="0053423A">
              <w:rPr>
                <w:rFonts w:cs="Tahoma"/>
                <w:b/>
                <w:sz w:val="20"/>
                <w:szCs w:val="20"/>
                <w:u w:val="single"/>
                <w:lang w:val="af-ZA"/>
              </w:rPr>
              <w:t xml:space="preserve"> </w:t>
            </w:r>
            <w:r w:rsidRPr="0053423A">
              <w:rPr>
                <w:rFonts w:cs="Tahoma"/>
                <w:b/>
                <w:sz w:val="20"/>
                <w:szCs w:val="20"/>
                <w:u w:val="single"/>
                <w:lang w:val="hy-AM"/>
              </w:rPr>
              <w:t>բժշկական</w:t>
            </w:r>
            <w:r w:rsidRPr="0053423A">
              <w:rPr>
                <w:rFonts w:cs="Tahoma"/>
                <w:b/>
                <w:sz w:val="20"/>
                <w:szCs w:val="20"/>
                <w:u w:val="single"/>
                <w:lang w:val="af-ZA"/>
              </w:rPr>
              <w:t xml:space="preserve"> </w:t>
            </w:r>
            <w:r w:rsidRPr="0053423A">
              <w:rPr>
                <w:rFonts w:cs="Tahoma"/>
                <w:b/>
                <w:sz w:val="20"/>
                <w:szCs w:val="20"/>
                <w:u w:val="single"/>
                <w:lang w:val="hy-AM"/>
              </w:rPr>
              <w:t>ապահովման</w:t>
            </w:r>
            <w:r w:rsidRPr="0053423A">
              <w:rPr>
                <w:rFonts w:cs="Tahoma"/>
                <w:b/>
                <w:sz w:val="20"/>
                <w:szCs w:val="20"/>
                <w:u w:val="single"/>
                <w:lang w:val="af-ZA"/>
              </w:rPr>
              <w:t xml:space="preserve"> </w:t>
            </w:r>
            <w:r w:rsidRPr="0053423A">
              <w:rPr>
                <w:rFonts w:cs="Tahoma"/>
                <w:b/>
                <w:sz w:val="20"/>
                <w:szCs w:val="20"/>
                <w:u w:val="single"/>
                <w:lang w:val="hy-AM"/>
              </w:rPr>
              <w:t>որակի</w:t>
            </w:r>
            <w:r w:rsidRPr="0053423A">
              <w:rPr>
                <w:rFonts w:cs="Tahoma"/>
                <w:b/>
                <w:sz w:val="20"/>
                <w:szCs w:val="20"/>
                <w:u w:val="single"/>
                <w:lang w:val="af-ZA"/>
              </w:rPr>
              <w:t xml:space="preserve"> </w:t>
            </w:r>
            <w:r w:rsidRPr="0053423A">
              <w:rPr>
                <w:rFonts w:cs="Tahoma"/>
                <w:b/>
                <w:sz w:val="20"/>
                <w:szCs w:val="20"/>
                <w:u w:val="single"/>
                <w:lang w:val="hy-AM"/>
              </w:rPr>
              <w:t>բարձրացման</w:t>
            </w:r>
            <w:r w:rsidRPr="0053423A">
              <w:rPr>
                <w:rFonts w:cs="Tahoma"/>
                <w:b/>
                <w:sz w:val="20"/>
                <w:szCs w:val="20"/>
                <w:u w:val="single"/>
                <w:lang w:val="af-ZA"/>
              </w:rPr>
              <w:t xml:space="preserve"> </w:t>
            </w:r>
            <w:r w:rsidRPr="0053423A">
              <w:rPr>
                <w:rFonts w:cs="Tahoma"/>
                <w:b/>
                <w:sz w:val="20"/>
                <w:szCs w:val="20"/>
                <w:u w:val="single"/>
                <w:lang w:val="hy-AM"/>
              </w:rPr>
              <w:t>վերաբերյալ</w:t>
            </w:r>
          </w:p>
          <w:p w:rsidR="00BB45FD" w:rsidRPr="0053423A" w:rsidRDefault="00BB45FD" w:rsidP="00A67858">
            <w:pPr>
              <w:spacing w:after="0" w:line="276" w:lineRule="auto"/>
              <w:jc w:val="center"/>
              <w:rPr>
                <w:rFonts w:cs="Tahoma"/>
                <w:b/>
                <w:sz w:val="20"/>
                <w:szCs w:val="20"/>
                <w:lang w:val="af-ZA"/>
              </w:rPr>
            </w:pPr>
          </w:p>
          <w:p w:rsidR="00BB45FD" w:rsidRPr="0053423A" w:rsidRDefault="00BB45FD" w:rsidP="00A67858">
            <w:pPr>
              <w:pStyle w:val="ListParagraph"/>
              <w:tabs>
                <w:tab w:val="left" w:pos="284"/>
              </w:tabs>
              <w:spacing w:after="0" w:line="276" w:lineRule="auto"/>
              <w:ind w:left="0"/>
              <w:rPr>
                <w:b/>
                <w:sz w:val="20"/>
                <w:szCs w:val="20"/>
                <w:lang w:val="af-ZA"/>
              </w:rPr>
            </w:pPr>
            <w:r w:rsidRPr="0053423A">
              <w:rPr>
                <w:b/>
                <w:sz w:val="20"/>
                <w:szCs w:val="20"/>
                <w:lang w:val="af-ZA"/>
              </w:rPr>
              <w:tab/>
            </w:r>
            <w:r w:rsidRPr="0053423A">
              <w:rPr>
                <w:b/>
                <w:sz w:val="20"/>
                <w:szCs w:val="20"/>
                <w:lang w:val="af-ZA"/>
              </w:rPr>
              <w:tab/>
              <w:t xml:space="preserve">1. </w:t>
            </w:r>
            <w:r w:rsidRPr="0053423A">
              <w:rPr>
                <w:b/>
                <w:sz w:val="20"/>
                <w:szCs w:val="20"/>
              </w:rPr>
              <w:t>Միջոցառումների</w:t>
            </w:r>
            <w:r w:rsidRPr="0053423A">
              <w:rPr>
                <w:b/>
                <w:sz w:val="20"/>
                <w:szCs w:val="20"/>
                <w:lang w:val="af-ZA"/>
              </w:rPr>
              <w:t xml:space="preserve"> </w:t>
            </w:r>
            <w:r w:rsidRPr="0053423A">
              <w:rPr>
                <w:b/>
                <w:sz w:val="20"/>
                <w:szCs w:val="20"/>
              </w:rPr>
              <w:t>իրականացման</w:t>
            </w:r>
            <w:r w:rsidRPr="0053423A">
              <w:rPr>
                <w:b/>
                <w:sz w:val="20"/>
                <w:szCs w:val="20"/>
                <w:lang w:val="af-ZA"/>
              </w:rPr>
              <w:t xml:space="preserve"> </w:t>
            </w:r>
            <w:r w:rsidRPr="0053423A">
              <w:rPr>
                <w:b/>
                <w:sz w:val="20"/>
                <w:szCs w:val="20"/>
              </w:rPr>
              <w:t>անհրաժեշտությունը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նպատակը</w:t>
            </w:r>
          </w:p>
          <w:p w:rsidR="00BB45FD" w:rsidRPr="0053423A" w:rsidRDefault="00BB45FD" w:rsidP="00A67858">
            <w:pPr>
              <w:pStyle w:val="ListParagraph"/>
              <w:tabs>
                <w:tab w:val="left" w:pos="284"/>
              </w:tabs>
              <w:spacing w:after="0" w:line="276" w:lineRule="auto"/>
              <w:ind w:left="0"/>
              <w:rPr>
                <w:sz w:val="20"/>
                <w:szCs w:val="20"/>
                <w:lang w:val="af-ZA"/>
              </w:rPr>
            </w:pPr>
            <w:r w:rsidRPr="0053423A">
              <w:rPr>
                <w:sz w:val="20"/>
                <w:szCs w:val="20"/>
                <w:lang w:val="af-ZA"/>
              </w:rPr>
              <w:tab/>
            </w:r>
            <w:r w:rsidRPr="0053423A">
              <w:rPr>
                <w:sz w:val="20"/>
                <w:szCs w:val="20"/>
                <w:lang w:val="af-ZA"/>
              </w:rPr>
              <w:tab/>
            </w:r>
            <w:r w:rsidRPr="0053423A">
              <w:rPr>
                <w:sz w:val="20"/>
                <w:szCs w:val="20"/>
              </w:rPr>
              <w:t>Միջոցառումների</w:t>
            </w:r>
            <w:r w:rsidRPr="0053423A">
              <w:rPr>
                <w:sz w:val="20"/>
                <w:szCs w:val="20"/>
                <w:lang w:val="af-ZA"/>
              </w:rPr>
              <w:t xml:space="preserve"> </w:t>
            </w:r>
            <w:r w:rsidRPr="0053423A">
              <w:rPr>
                <w:sz w:val="20"/>
                <w:szCs w:val="20"/>
              </w:rPr>
              <w:t>իրականացման</w:t>
            </w:r>
            <w:r w:rsidRPr="0053423A">
              <w:rPr>
                <w:sz w:val="20"/>
                <w:szCs w:val="20"/>
                <w:lang w:val="af-ZA"/>
              </w:rPr>
              <w:t xml:space="preserve"> </w:t>
            </w:r>
            <w:r w:rsidRPr="0053423A">
              <w:rPr>
                <w:sz w:val="20"/>
                <w:szCs w:val="20"/>
              </w:rPr>
              <w:t>անհրաժեշտությունը</w:t>
            </w:r>
            <w:r w:rsidRPr="0053423A">
              <w:rPr>
                <w:sz w:val="20"/>
                <w:szCs w:val="20"/>
                <w:lang w:val="af-ZA"/>
              </w:rPr>
              <w:t xml:space="preserve"> </w:t>
            </w:r>
            <w:r w:rsidRPr="0053423A">
              <w:rPr>
                <w:sz w:val="20"/>
                <w:szCs w:val="20"/>
              </w:rPr>
              <w:t>պայմանավորված</w:t>
            </w:r>
            <w:r w:rsidRPr="0053423A">
              <w:rPr>
                <w:sz w:val="20"/>
                <w:szCs w:val="20"/>
                <w:lang w:val="af-ZA"/>
              </w:rPr>
              <w:t xml:space="preserve"> </w:t>
            </w:r>
            <w:r w:rsidRPr="0053423A">
              <w:rPr>
                <w:sz w:val="20"/>
                <w:szCs w:val="20"/>
              </w:rPr>
              <w:t>է</w:t>
            </w:r>
            <w:r w:rsidRPr="0053423A">
              <w:rPr>
                <w:sz w:val="20"/>
                <w:szCs w:val="20"/>
                <w:lang w:val="af-ZA"/>
              </w:rPr>
              <w:t xml:space="preserve"> </w:t>
            </w:r>
            <w:r w:rsidRPr="0053423A">
              <w:rPr>
                <w:sz w:val="20"/>
                <w:szCs w:val="20"/>
              </w:rPr>
              <w:t>անձնակազմի</w:t>
            </w:r>
            <w:r w:rsidRPr="0053423A">
              <w:rPr>
                <w:sz w:val="20"/>
                <w:szCs w:val="20"/>
                <w:lang w:val="af-ZA"/>
              </w:rPr>
              <w:t xml:space="preserve"> </w:t>
            </w:r>
            <w:r w:rsidRPr="0053423A">
              <w:rPr>
                <w:sz w:val="20"/>
                <w:szCs w:val="20"/>
              </w:rPr>
              <w:t>պարենային</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իրային</w:t>
            </w:r>
            <w:r w:rsidRPr="0053423A">
              <w:rPr>
                <w:sz w:val="20"/>
                <w:szCs w:val="20"/>
                <w:lang w:val="af-ZA"/>
              </w:rPr>
              <w:t xml:space="preserve">, </w:t>
            </w:r>
            <w:r w:rsidRPr="0053423A">
              <w:rPr>
                <w:sz w:val="20"/>
                <w:szCs w:val="20"/>
              </w:rPr>
              <w:t>բժշկական</w:t>
            </w:r>
            <w:r w:rsidRPr="0053423A">
              <w:rPr>
                <w:sz w:val="20"/>
                <w:szCs w:val="20"/>
                <w:lang w:val="af-ZA"/>
              </w:rPr>
              <w:t xml:space="preserve"> </w:t>
            </w:r>
            <w:r w:rsidRPr="0053423A">
              <w:rPr>
                <w:sz w:val="20"/>
                <w:szCs w:val="20"/>
              </w:rPr>
              <w:t>ապահովման</w:t>
            </w:r>
            <w:r w:rsidRPr="0053423A">
              <w:rPr>
                <w:sz w:val="20"/>
                <w:szCs w:val="20"/>
                <w:lang w:val="af-ZA"/>
              </w:rPr>
              <w:t xml:space="preserve"> </w:t>
            </w:r>
            <w:r w:rsidRPr="0053423A">
              <w:rPr>
                <w:sz w:val="20"/>
                <w:szCs w:val="20"/>
              </w:rPr>
              <w:t>բարելավմամբ</w:t>
            </w:r>
            <w:r w:rsidRPr="0053423A">
              <w:rPr>
                <w:sz w:val="20"/>
                <w:szCs w:val="20"/>
                <w:lang w:val="af-ZA"/>
              </w:rPr>
              <w:t xml:space="preserve">: </w:t>
            </w:r>
          </w:p>
          <w:p w:rsidR="00BB45FD" w:rsidRPr="0053423A" w:rsidRDefault="00BB45FD" w:rsidP="00A67858">
            <w:pPr>
              <w:tabs>
                <w:tab w:val="left" w:pos="284"/>
              </w:tabs>
              <w:spacing w:after="0" w:line="276" w:lineRule="auto"/>
              <w:rPr>
                <w:b/>
                <w:sz w:val="20"/>
                <w:szCs w:val="20"/>
                <w:lang w:val="af-ZA"/>
              </w:rPr>
            </w:pPr>
            <w:r w:rsidRPr="0053423A">
              <w:rPr>
                <w:b/>
                <w:sz w:val="20"/>
                <w:szCs w:val="20"/>
                <w:lang w:val="af-ZA"/>
              </w:rPr>
              <w:tab/>
            </w:r>
            <w:r w:rsidRPr="0053423A">
              <w:rPr>
                <w:b/>
                <w:sz w:val="20"/>
                <w:szCs w:val="20"/>
                <w:lang w:val="af-ZA"/>
              </w:rPr>
              <w:tab/>
              <w:t xml:space="preserve">1.1 </w:t>
            </w:r>
            <w:r w:rsidRPr="0053423A">
              <w:rPr>
                <w:b/>
                <w:sz w:val="20"/>
                <w:szCs w:val="20"/>
              </w:rPr>
              <w:t>Կարգավորման</w:t>
            </w:r>
            <w:r w:rsidRPr="0053423A">
              <w:rPr>
                <w:b/>
                <w:sz w:val="20"/>
                <w:szCs w:val="20"/>
                <w:lang w:val="af-ZA"/>
              </w:rPr>
              <w:t xml:space="preserve"> </w:t>
            </w:r>
            <w:r w:rsidRPr="0053423A">
              <w:rPr>
                <w:b/>
                <w:sz w:val="20"/>
                <w:szCs w:val="20"/>
              </w:rPr>
              <w:t>հարաբերությունների</w:t>
            </w:r>
            <w:r w:rsidRPr="0053423A">
              <w:rPr>
                <w:b/>
                <w:sz w:val="20"/>
                <w:szCs w:val="20"/>
                <w:lang w:val="af-ZA"/>
              </w:rPr>
              <w:t xml:space="preserve"> </w:t>
            </w:r>
            <w:r w:rsidRPr="0053423A">
              <w:rPr>
                <w:b/>
                <w:sz w:val="20"/>
                <w:szCs w:val="20"/>
              </w:rPr>
              <w:t>ներկա</w:t>
            </w:r>
            <w:r w:rsidRPr="0053423A">
              <w:rPr>
                <w:b/>
                <w:sz w:val="20"/>
                <w:szCs w:val="20"/>
                <w:lang w:val="af-ZA"/>
              </w:rPr>
              <w:t xml:space="preserve"> </w:t>
            </w:r>
            <w:r w:rsidRPr="0053423A">
              <w:rPr>
                <w:b/>
                <w:sz w:val="20"/>
                <w:szCs w:val="20"/>
              </w:rPr>
              <w:t>վիճակը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առկա</w:t>
            </w:r>
            <w:r w:rsidRPr="0053423A">
              <w:rPr>
                <w:b/>
                <w:sz w:val="20"/>
                <w:szCs w:val="20"/>
                <w:lang w:val="af-ZA"/>
              </w:rPr>
              <w:t xml:space="preserve"> </w:t>
            </w:r>
            <w:r w:rsidRPr="0053423A">
              <w:rPr>
                <w:b/>
                <w:sz w:val="20"/>
                <w:szCs w:val="20"/>
              </w:rPr>
              <w:t>խնդիրները</w:t>
            </w:r>
          </w:p>
          <w:p w:rsidR="00BB45FD" w:rsidRPr="0053423A" w:rsidRDefault="00BB45FD" w:rsidP="00A67858">
            <w:pPr>
              <w:tabs>
                <w:tab w:val="left" w:pos="284"/>
              </w:tabs>
              <w:spacing w:after="0" w:line="276" w:lineRule="auto"/>
              <w:rPr>
                <w:rFonts w:cs="Sylfaen"/>
                <w:b/>
                <w:sz w:val="20"/>
                <w:szCs w:val="20"/>
                <w:lang w:val="af-ZA"/>
              </w:rPr>
            </w:pPr>
            <w:r w:rsidRPr="0053423A">
              <w:rPr>
                <w:sz w:val="20"/>
                <w:szCs w:val="20"/>
                <w:lang w:val="af-ZA"/>
              </w:rPr>
              <w:tab/>
            </w:r>
            <w:r w:rsidRPr="0053423A">
              <w:rPr>
                <w:sz w:val="20"/>
                <w:szCs w:val="20"/>
                <w:lang w:val="af-ZA"/>
              </w:rPr>
              <w:tab/>
              <w:t xml:space="preserve">Ցածր է պարենի և իրային ունեցվածքի զորային ու օպերատիվ պաշարների համալրվածությունը, </w:t>
            </w:r>
            <w:r w:rsidRPr="0053423A">
              <w:rPr>
                <w:rFonts w:cs="Sylfaen"/>
                <w:sz w:val="20"/>
                <w:szCs w:val="20"/>
                <w:lang w:val="af-ZA"/>
              </w:rPr>
              <w:t>բարելավման կարիք ունեն անձնակազմի սննդակարգը և բուժսպասարկումը:</w:t>
            </w:r>
          </w:p>
          <w:p w:rsidR="00BB45FD" w:rsidRPr="0053423A" w:rsidRDefault="00BB45FD" w:rsidP="00A67858">
            <w:pPr>
              <w:pStyle w:val="ListParagraph"/>
              <w:tabs>
                <w:tab w:val="left" w:pos="284"/>
              </w:tabs>
              <w:spacing w:after="0" w:line="276" w:lineRule="auto"/>
              <w:ind w:left="0"/>
              <w:rPr>
                <w:sz w:val="20"/>
                <w:szCs w:val="20"/>
                <w:lang w:val="af-ZA"/>
              </w:rPr>
            </w:pPr>
            <w:r w:rsidRPr="0053423A">
              <w:rPr>
                <w:b/>
                <w:sz w:val="20"/>
                <w:szCs w:val="20"/>
                <w:lang w:val="af-ZA"/>
              </w:rPr>
              <w:tab/>
            </w:r>
            <w:r w:rsidRPr="0053423A">
              <w:rPr>
                <w:b/>
                <w:sz w:val="20"/>
                <w:szCs w:val="20"/>
                <w:lang w:val="af-ZA"/>
              </w:rPr>
              <w:tab/>
              <w:t xml:space="preserve">1.2 </w:t>
            </w:r>
            <w:r w:rsidRPr="0053423A">
              <w:rPr>
                <w:b/>
                <w:sz w:val="20"/>
                <w:szCs w:val="20"/>
              </w:rPr>
              <w:t>Առկա</w:t>
            </w:r>
            <w:r w:rsidRPr="0053423A">
              <w:rPr>
                <w:b/>
                <w:sz w:val="20"/>
                <w:szCs w:val="20"/>
                <w:lang w:val="af-ZA"/>
              </w:rPr>
              <w:t xml:space="preserve"> </w:t>
            </w:r>
            <w:r w:rsidRPr="0053423A">
              <w:rPr>
                <w:b/>
                <w:sz w:val="20"/>
                <w:szCs w:val="20"/>
              </w:rPr>
              <w:t>խնդիրների</w:t>
            </w:r>
            <w:r w:rsidRPr="0053423A">
              <w:rPr>
                <w:b/>
                <w:sz w:val="20"/>
                <w:szCs w:val="20"/>
                <w:lang w:val="af-ZA"/>
              </w:rPr>
              <w:t xml:space="preserve"> </w:t>
            </w:r>
            <w:r w:rsidRPr="0053423A">
              <w:rPr>
                <w:b/>
                <w:sz w:val="20"/>
                <w:szCs w:val="20"/>
              </w:rPr>
              <w:t>առաջարկվող</w:t>
            </w:r>
            <w:r w:rsidRPr="0053423A">
              <w:rPr>
                <w:b/>
                <w:sz w:val="20"/>
                <w:szCs w:val="20"/>
                <w:lang w:val="af-ZA"/>
              </w:rPr>
              <w:t xml:space="preserve"> </w:t>
            </w:r>
            <w:r w:rsidRPr="0053423A">
              <w:rPr>
                <w:b/>
                <w:sz w:val="20"/>
                <w:szCs w:val="20"/>
              </w:rPr>
              <w:t>լուծումները</w:t>
            </w:r>
            <w:r w:rsidRPr="0053423A">
              <w:rPr>
                <w:sz w:val="20"/>
                <w:szCs w:val="20"/>
                <w:lang w:val="af-ZA"/>
              </w:rPr>
              <w:t xml:space="preserve"> </w:t>
            </w:r>
          </w:p>
          <w:p w:rsidR="00BB45FD" w:rsidRPr="0053423A" w:rsidRDefault="00BB45FD" w:rsidP="00A67858">
            <w:pPr>
              <w:pStyle w:val="ListParagraph"/>
              <w:tabs>
                <w:tab w:val="left" w:pos="284"/>
              </w:tabs>
              <w:spacing w:after="0" w:line="276" w:lineRule="auto"/>
              <w:ind w:left="0"/>
              <w:rPr>
                <w:sz w:val="20"/>
                <w:szCs w:val="20"/>
                <w:lang w:val="af-ZA"/>
              </w:rPr>
            </w:pPr>
            <w:r w:rsidRPr="0053423A">
              <w:rPr>
                <w:sz w:val="20"/>
                <w:szCs w:val="20"/>
                <w:lang w:val="af-ZA"/>
              </w:rPr>
              <w:tab/>
            </w:r>
            <w:r w:rsidRPr="0053423A">
              <w:rPr>
                <w:sz w:val="20"/>
                <w:szCs w:val="20"/>
                <w:lang w:val="af-ZA"/>
              </w:rPr>
              <w:tab/>
            </w:r>
            <w:r w:rsidRPr="0053423A">
              <w:rPr>
                <w:sz w:val="20"/>
                <w:szCs w:val="20"/>
              </w:rPr>
              <w:t>Նախատեսվում</w:t>
            </w:r>
            <w:r w:rsidRPr="0053423A">
              <w:rPr>
                <w:sz w:val="20"/>
                <w:szCs w:val="20"/>
                <w:lang w:val="af-ZA"/>
              </w:rPr>
              <w:t xml:space="preserve"> </w:t>
            </w:r>
            <w:r w:rsidRPr="0053423A">
              <w:rPr>
                <w:sz w:val="20"/>
                <w:szCs w:val="20"/>
              </w:rPr>
              <w:t>է</w:t>
            </w:r>
            <w:r w:rsidRPr="0053423A">
              <w:rPr>
                <w:sz w:val="20"/>
                <w:szCs w:val="20"/>
                <w:lang w:val="af-ZA"/>
              </w:rPr>
              <w:t xml:space="preserve"> </w:t>
            </w:r>
            <w:r w:rsidRPr="0053423A">
              <w:rPr>
                <w:sz w:val="20"/>
                <w:szCs w:val="20"/>
              </w:rPr>
              <w:t>բարձրացնել</w:t>
            </w:r>
            <w:r w:rsidRPr="0053423A">
              <w:rPr>
                <w:sz w:val="20"/>
                <w:szCs w:val="20"/>
                <w:lang w:val="af-ZA"/>
              </w:rPr>
              <w:t xml:space="preserve"> </w:t>
            </w:r>
            <w:r w:rsidRPr="0053423A">
              <w:rPr>
                <w:noProof/>
                <w:sz w:val="20"/>
                <w:szCs w:val="20"/>
                <w:lang w:val="af-ZA"/>
              </w:rPr>
              <w:t xml:space="preserve">անձնակազմի սննդի կազմակերպման արդյունավետությունը, ներդնել զինվորական համազգեստի ազգային տարրեր, </w:t>
            </w:r>
            <w:r w:rsidRPr="0053423A">
              <w:rPr>
                <w:sz w:val="20"/>
                <w:szCs w:val="20"/>
              </w:rPr>
              <w:t>արդիականացնել</w:t>
            </w:r>
            <w:r w:rsidRPr="0053423A">
              <w:rPr>
                <w:sz w:val="20"/>
                <w:szCs w:val="20"/>
                <w:lang w:val="af-ZA"/>
              </w:rPr>
              <w:t xml:space="preserve"> </w:t>
            </w:r>
            <w:r w:rsidRPr="0053423A">
              <w:rPr>
                <w:sz w:val="20"/>
                <w:szCs w:val="20"/>
              </w:rPr>
              <w:t>հոսպիտալներն</w:t>
            </w:r>
            <w:r w:rsidRPr="0053423A">
              <w:rPr>
                <w:sz w:val="20"/>
                <w:szCs w:val="20"/>
                <w:lang w:val="af-ZA"/>
              </w:rPr>
              <w:t xml:space="preserve"> </w:t>
            </w:r>
            <w:r w:rsidRPr="0053423A">
              <w:rPr>
                <w:sz w:val="20"/>
                <w:szCs w:val="20"/>
              </w:rPr>
              <w:t>ու</w:t>
            </w:r>
            <w:r w:rsidRPr="0053423A">
              <w:rPr>
                <w:sz w:val="20"/>
                <w:szCs w:val="20"/>
                <w:lang w:val="af-ZA"/>
              </w:rPr>
              <w:t xml:space="preserve"> </w:t>
            </w:r>
            <w:r w:rsidRPr="0053423A">
              <w:rPr>
                <w:sz w:val="20"/>
                <w:szCs w:val="20"/>
              </w:rPr>
              <w:t>բժշկական</w:t>
            </w:r>
            <w:r w:rsidRPr="0053423A">
              <w:rPr>
                <w:sz w:val="20"/>
                <w:szCs w:val="20"/>
                <w:lang w:val="af-ZA"/>
              </w:rPr>
              <w:t xml:space="preserve"> </w:t>
            </w:r>
            <w:r w:rsidRPr="0053423A">
              <w:rPr>
                <w:sz w:val="20"/>
                <w:szCs w:val="20"/>
              </w:rPr>
              <w:t>ջոկատները</w:t>
            </w:r>
            <w:r w:rsidRPr="0053423A">
              <w:rPr>
                <w:sz w:val="20"/>
                <w:szCs w:val="20"/>
                <w:lang w:val="af-ZA"/>
              </w:rPr>
              <w:t xml:space="preserve">:      </w:t>
            </w:r>
          </w:p>
          <w:p w:rsidR="00BB45FD" w:rsidRPr="0053423A" w:rsidRDefault="00BB45FD" w:rsidP="00A67858">
            <w:pPr>
              <w:pStyle w:val="ListParagraph"/>
              <w:tabs>
                <w:tab w:val="left" w:pos="284"/>
              </w:tabs>
              <w:spacing w:after="0" w:line="276" w:lineRule="auto"/>
              <w:ind w:left="0"/>
              <w:rPr>
                <w:b/>
                <w:sz w:val="20"/>
                <w:szCs w:val="20"/>
                <w:lang w:val="af-ZA"/>
              </w:rPr>
            </w:pPr>
            <w:r w:rsidRPr="0053423A">
              <w:rPr>
                <w:b/>
                <w:sz w:val="20"/>
                <w:szCs w:val="20"/>
                <w:lang w:val="af-ZA"/>
              </w:rPr>
              <w:tab/>
            </w:r>
            <w:r w:rsidRPr="0053423A">
              <w:rPr>
                <w:b/>
                <w:sz w:val="20"/>
                <w:szCs w:val="20"/>
                <w:lang w:val="af-ZA"/>
              </w:rPr>
              <w:tab/>
              <w:t xml:space="preserve">2. </w:t>
            </w:r>
            <w:r w:rsidRPr="0053423A">
              <w:rPr>
                <w:b/>
                <w:sz w:val="20"/>
                <w:szCs w:val="20"/>
              </w:rPr>
              <w:t>Միջոցառումների</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p>
          <w:p w:rsidR="00BB45FD" w:rsidRPr="0053423A" w:rsidRDefault="00BB45FD" w:rsidP="00A67858">
            <w:pPr>
              <w:spacing w:after="0" w:line="276" w:lineRule="auto"/>
              <w:ind w:firstLine="720"/>
              <w:rPr>
                <w:b/>
                <w:sz w:val="20"/>
                <w:szCs w:val="20"/>
                <w:u w:val="single"/>
                <w:lang w:val="af-ZA"/>
              </w:rPr>
            </w:pPr>
            <w:r w:rsidRPr="0053423A">
              <w:rPr>
                <w:sz w:val="20"/>
                <w:szCs w:val="20"/>
              </w:rPr>
              <w:t>Զինծառայողները</w:t>
            </w:r>
            <w:r w:rsidRPr="0053423A">
              <w:rPr>
                <w:sz w:val="20"/>
                <w:szCs w:val="20"/>
                <w:lang w:val="af-ZA"/>
              </w:rPr>
              <w:t xml:space="preserve"> </w:t>
            </w:r>
            <w:r w:rsidRPr="0053423A">
              <w:rPr>
                <w:sz w:val="20"/>
                <w:szCs w:val="20"/>
              </w:rPr>
              <w:t>կապահովվեն</w:t>
            </w:r>
            <w:r w:rsidRPr="0053423A">
              <w:rPr>
                <w:sz w:val="20"/>
                <w:szCs w:val="20"/>
                <w:lang w:val="af-ZA"/>
              </w:rPr>
              <w:t xml:space="preserve"> </w:t>
            </w:r>
            <w:r w:rsidRPr="0053423A">
              <w:rPr>
                <w:sz w:val="20"/>
                <w:szCs w:val="20"/>
              </w:rPr>
              <w:t>ավելի</w:t>
            </w:r>
            <w:r w:rsidRPr="0053423A">
              <w:rPr>
                <w:sz w:val="20"/>
                <w:szCs w:val="20"/>
                <w:lang w:val="af-ZA"/>
              </w:rPr>
              <w:t xml:space="preserve"> </w:t>
            </w:r>
            <w:r w:rsidRPr="0053423A">
              <w:rPr>
                <w:sz w:val="20"/>
                <w:szCs w:val="20"/>
              </w:rPr>
              <w:t>որակյալ</w:t>
            </w:r>
            <w:r w:rsidRPr="0053423A">
              <w:rPr>
                <w:sz w:val="20"/>
                <w:szCs w:val="20"/>
                <w:lang w:val="af-ZA"/>
              </w:rPr>
              <w:t xml:space="preserve"> </w:t>
            </w:r>
            <w:r w:rsidRPr="0053423A">
              <w:rPr>
                <w:sz w:val="20"/>
                <w:szCs w:val="20"/>
              </w:rPr>
              <w:t>սննդով</w:t>
            </w:r>
            <w:r w:rsidRPr="0053423A">
              <w:rPr>
                <w:sz w:val="20"/>
                <w:szCs w:val="20"/>
                <w:lang w:val="af-ZA"/>
              </w:rPr>
              <w:t xml:space="preserve">, </w:t>
            </w:r>
            <w:r w:rsidRPr="0053423A">
              <w:rPr>
                <w:sz w:val="20"/>
                <w:szCs w:val="20"/>
              </w:rPr>
              <w:t>հարմարավետ</w:t>
            </w:r>
            <w:r w:rsidRPr="0053423A">
              <w:rPr>
                <w:sz w:val="20"/>
                <w:szCs w:val="20"/>
                <w:lang w:val="af-ZA"/>
              </w:rPr>
              <w:t xml:space="preserve"> </w:t>
            </w:r>
            <w:r w:rsidRPr="0053423A">
              <w:rPr>
                <w:sz w:val="20"/>
                <w:szCs w:val="20"/>
              </w:rPr>
              <w:t>զինվորական</w:t>
            </w:r>
            <w:r w:rsidRPr="0053423A">
              <w:rPr>
                <w:sz w:val="20"/>
                <w:szCs w:val="20"/>
                <w:lang w:val="af-ZA"/>
              </w:rPr>
              <w:t xml:space="preserve"> </w:t>
            </w:r>
            <w:r w:rsidRPr="0053423A">
              <w:rPr>
                <w:sz w:val="20"/>
                <w:szCs w:val="20"/>
              </w:rPr>
              <w:t>համազգեստով</w:t>
            </w:r>
            <w:r w:rsidRPr="0053423A">
              <w:rPr>
                <w:sz w:val="20"/>
                <w:szCs w:val="20"/>
                <w:lang w:val="af-ZA"/>
              </w:rPr>
              <w:t xml:space="preserve">, </w:t>
            </w:r>
            <w:r w:rsidRPr="0053423A">
              <w:rPr>
                <w:sz w:val="20"/>
                <w:szCs w:val="20"/>
              </w:rPr>
              <w:t>հնարավորություն</w:t>
            </w:r>
            <w:r w:rsidRPr="0053423A">
              <w:rPr>
                <w:sz w:val="20"/>
                <w:szCs w:val="20"/>
                <w:lang w:val="af-ZA"/>
              </w:rPr>
              <w:t xml:space="preserve"> </w:t>
            </w:r>
            <w:r w:rsidRPr="0053423A">
              <w:rPr>
                <w:sz w:val="20"/>
                <w:szCs w:val="20"/>
              </w:rPr>
              <w:t>կընձեռվի</w:t>
            </w:r>
            <w:r w:rsidRPr="0053423A">
              <w:rPr>
                <w:sz w:val="20"/>
                <w:szCs w:val="20"/>
                <w:lang w:val="af-ZA"/>
              </w:rPr>
              <w:t xml:space="preserve"> </w:t>
            </w:r>
            <w:r w:rsidRPr="0053423A">
              <w:rPr>
                <w:sz w:val="20"/>
                <w:szCs w:val="20"/>
              </w:rPr>
              <w:t>կուտակել</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պահպանել</w:t>
            </w:r>
            <w:r w:rsidRPr="0053423A">
              <w:rPr>
                <w:sz w:val="20"/>
                <w:szCs w:val="20"/>
                <w:lang w:val="af-ZA"/>
              </w:rPr>
              <w:t xml:space="preserve"> </w:t>
            </w:r>
            <w:r w:rsidRPr="0053423A">
              <w:rPr>
                <w:sz w:val="20"/>
                <w:szCs w:val="20"/>
              </w:rPr>
              <w:t>թիկունքի</w:t>
            </w:r>
            <w:r w:rsidRPr="0053423A">
              <w:rPr>
                <w:sz w:val="20"/>
                <w:szCs w:val="20"/>
                <w:lang w:val="af-ZA"/>
              </w:rPr>
              <w:t xml:space="preserve"> </w:t>
            </w:r>
            <w:r w:rsidRPr="0053423A">
              <w:rPr>
                <w:sz w:val="20"/>
                <w:szCs w:val="20"/>
              </w:rPr>
              <w:t>ծառայությունների</w:t>
            </w:r>
            <w:r w:rsidRPr="0053423A">
              <w:rPr>
                <w:sz w:val="20"/>
                <w:szCs w:val="20"/>
                <w:lang w:val="af-ZA"/>
              </w:rPr>
              <w:t xml:space="preserve"> </w:t>
            </w:r>
            <w:r w:rsidRPr="0053423A">
              <w:rPr>
                <w:sz w:val="20"/>
                <w:szCs w:val="20"/>
              </w:rPr>
              <w:t>նյութական</w:t>
            </w:r>
            <w:r w:rsidRPr="0053423A">
              <w:rPr>
                <w:sz w:val="20"/>
                <w:szCs w:val="20"/>
                <w:lang w:val="af-ZA"/>
              </w:rPr>
              <w:t xml:space="preserve"> </w:t>
            </w:r>
            <w:r w:rsidRPr="0053423A">
              <w:rPr>
                <w:sz w:val="20"/>
                <w:szCs w:val="20"/>
              </w:rPr>
              <w:t>միջոցները</w:t>
            </w:r>
            <w:r w:rsidRPr="0053423A">
              <w:rPr>
                <w:sz w:val="20"/>
                <w:szCs w:val="20"/>
                <w:lang w:val="af-ZA"/>
              </w:rPr>
              <w:t xml:space="preserve">, </w:t>
            </w:r>
            <w:r w:rsidRPr="0053423A">
              <w:rPr>
                <w:sz w:val="20"/>
                <w:szCs w:val="20"/>
              </w:rPr>
              <w:t>մատուցել</w:t>
            </w:r>
            <w:r w:rsidRPr="0053423A">
              <w:rPr>
                <w:sz w:val="20"/>
                <w:szCs w:val="20"/>
                <w:lang w:val="af-ZA"/>
              </w:rPr>
              <w:t xml:space="preserve"> </w:t>
            </w:r>
            <w:r w:rsidRPr="0053423A">
              <w:rPr>
                <w:sz w:val="20"/>
                <w:szCs w:val="20"/>
              </w:rPr>
              <w:t>ԶՈՒ</w:t>
            </w:r>
            <w:r w:rsidRPr="0053423A">
              <w:rPr>
                <w:sz w:val="20"/>
                <w:szCs w:val="20"/>
                <w:lang w:val="af-ZA"/>
              </w:rPr>
              <w:t xml:space="preserve"> </w:t>
            </w:r>
            <w:r w:rsidRPr="0053423A">
              <w:rPr>
                <w:sz w:val="20"/>
                <w:szCs w:val="20"/>
              </w:rPr>
              <w:t>պահանջներին</w:t>
            </w:r>
            <w:r w:rsidRPr="0053423A">
              <w:rPr>
                <w:sz w:val="20"/>
                <w:szCs w:val="20"/>
                <w:lang w:val="af-ZA"/>
              </w:rPr>
              <w:t xml:space="preserve"> </w:t>
            </w:r>
            <w:r w:rsidRPr="0053423A">
              <w:rPr>
                <w:sz w:val="20"/>
                <w:szCs w:val="20"/>
              </w:rPr>
              <w:t>համապատասխանող</w:t>
            </w:r>
            <w:r w:rsidRPr="0053423A">
              <w:rPr>
                <w:sz w:val="20"/>
                <w:szCs w:val="20"/>
                <w:lang w:val="af-ZA"/>
              </w:rPr>
              <w:t xml:space="preserve"> </w:t>
            </w:r>
            <w:r w:rsidRPr="0053423A">
              <w:rPr>
                <w:sz w:val="20"/>
                <w:szCs w:val="20"/>
              </w:rPr>
              <w:t>արդի</w:t>
            </w:r>
            <w:r w:rsidRPr="0053423A">
              <w:rPr>
                <w:sz w:val="20"/>
                <w:szCs w:val="20"/>
                <w:lang w:val="af-ZA"/>
              </w:rPr>
              <w:t xml:space="preserve"> </w:t>
            </w:r>
            <w:r w:rsidRPr="0053423A">
              <w:rPr>
                <w:sz w:val="20"/>
                <w:szCs w:val="20"/>
              </w:rPr>
              <w:t>բժշկական</w:t>
            </w:r>
            <w:r w:rsidRPr="0053423A">
              <w:rPr>
                <w:sz w:val="20"/>
                <w:szCs w:val="20"/>
                <w:lang w:val="af-ZA"/>
              </w:rPr>
              <w:t xml:space="preserve"> </w:t>
            </w:r>
            <w:r w:rsidRPr="0053423A">
              <w:rPr>
                <w:sz w:val="20"/>
                <w:szCs w:val="20"/>
              </w:rPr>
              <w:t>ծառայություն</w:t>
            </w:r>
            <w:r w:rsidRPr="0053423A">
              <w:rPr>
                <w:sz w:val="20"/>
                <w:szCs w:val="20"/>
                <w:lang w:val="af-ZA"/>
              </w:rPr>
              <w:t>:</w:t>
            </w:r>
          </w:p>
        </w:tc>
      </w:tr>
      <w:tr w:rsidR="00BB45FD" w:rsidRPr="00DE2EFA" w:rsidTr="00976405">
        <w:tc>
          <w:tcPr>
            <w:tcW w:w="425" w:type="dxa"/>
            <w:shd w:val="clear" w:color="auto" w:fill="auto"/>
          </w:tcPr>
          <w:p w:rsidR="00BB45FD" w:rsidRPr="0053423A" w:rsidRDefault="00BB45FD" w:rsidP="00A67858">
            <w:pPr>
              <w:spacing w:after="0" w:line="276" w:lineRule="auto"/>
              <w:ind w:right="-108"/>
              <w:rPr>
                <w:sz w:val="20"/>
                <w:szCs w:val="20"/>
                <w:lang w:val="hy-AM"/>
              </w:rPr>
            </w:pPr>
            <w:r w:rsidRPr="0053423A">
              <w:rPr>
                <w:sz w:val="20"/>
                <w:szCs w:val="20"/>
                <w:lang w:val="hy-AM"/>
              </w:rPr>
              <w:t>6.1-6.2</w:t>
            </w:r>
          </w:p>
        </w:tc>
        <w:tc>
          <w:tcPr>
            <w:tcW w:w="11156" w:type="dxa"/>
            <w:shd w:val="clear" w:color="auto" w:fill="auto"/>
          </w:tcPr>
          <w:p w:rsidR="00BB45FD" w:rsidRPr="0053423A" w:rsidRDefault="00BB45FD" w:rsidP="00A67858">
            <w:pPr>
              <w:spacing w:after="0" w:line="276" w:lineRule="auto"/>
              <w:jc w:val="center"/>
              <w:rPr>
                <w:b/>
                <w:sz w:val="20"/>
                <w:szCs w:val="20"/>
                <w:lang w:val="af-ZA"/>
              </w:rPr>
            </w:pPr>
            <w:r w:rsidRPr="0053423A">
              <w:rPr>
                <w:b/>
                <w:sz w:val="20"/>
                <w:szCs w:val="20"/>
                <w:u w:val="single"/>
                <w:lang w:val="af-ZA"/>
              </w:rPr>
              <w:t>Տեխնիկական ապահովման կատարելագործման վերաբերյալ</w:t>
            </w:r>
          </w:p>
          <w:p w:rsidR="00BB45FD" w:rsidRPr="0053423A" w:rsidRDefault="00BB45FD" w:rsidP="00A67858">
            <w:pPr>
              <w:spacing w:after="0" w:line="276" w:lineRule="auto"/>
              <w:jc w:val="center"/>
              <w:rPr>
                <w:b/>
                <w:sz w:val="20"/>
                <w:szCs w:val="20"/>
                <w:lang w:val="af-ZA"/>
              </w:rPr>
            </w:pPr>
          </w:p>
          <w:p w:rsidR="00BB45FD" w:rsidRPr="0053423A" w:rsidRDefault="00BB45FD" w:rsidP="00A67858">
            <w:pPr>
              <w:pStyle w:val="ListParagraph"/>
              <w:tabs>
                <w:tab w:val="left" w:pos="284"/>
              </w:tabs>
              <w:spacing w:after="0" w:line="276" w:lineRule="auto"/>
              <w:ind w:left="0"/>
              <w:rPr>
                <w:b/>
                <w:sz w:val="20"/>
                <w:szCs w:val="20"/>
                <w:lang w:val="af-ZA"/>
              </w:rPr>
            </w:pPr>
            <w:r w:rsidRPr="0053423A">
              <w:rPr>
                <w:b/>
                <w:sz w:val="20"/>
                <w:szCs w:val="20"/>
                <w:lang w:val="af-ZA"/>
              </w:rPr>
              <w:tab/>
            </w:r>
            <w:r w:rsidRPr="0053423A">
              <w:rPr>
                <w:b/>
                <w:sz w:val="20"/>
                <w:szCs w:val="20"/>
                <w:lang w:val="af-ZA"/>
              </w:rPr>
              <w:tab/>
              <w:t xml:space="preserve">1. </w:t>
            </w:r>
            <w:r w:rsidRPr="0053423A">
              <w:rPr>
                <w:b/>
                <w:sz w:val="20"/>
                <w:szCs w:val="20"/>
                <w:lang w:val="hy-AM"/>
              </w:rPr>
              <w:t>Միջոցառումների</w:t>
            </w:r>
            <w:r w:rsidRPr="0053423A">
              <w:rPr>
                <w:b/>
                <w:sz w:val="20"/>
                <w:szCs w:val="20"/>
                <w:lang w:val="af-ZA"/>
              </w:rPr>
              <w:t xml:space="preserve"> </w:t>
            </w:r>
            <w:r w:rsidRPr="0053423A">
              <w:rPr>
                <w:b/>
                <w:sz w:val="20"/>
                <w:szCs w:val="20"/>
                <w:lang w:val="hy-AM"/>
              </w:rPr>
              <w:t>իրականացման</w:t>
            </w:r>
            <w:r w:rsidRPr="0053423A">
              <w:rPr>
                <w:b/>
                <w:sz w:val="20"/>
                <w:szCs w:val="20"/>
                <w:lang w:val="af-ZA"/>
              </w:rPr>
              <w:t xml:space="preserve"> </w:t>
            </w:r>
            <w:r w:rsidRPr="0053423A">
              <w:rPr>
                <w:b/>
                <w:sz w:val="20"/>
                <w:szCs w:val="20"/>
                <w:lang w:val="hy-AM"/>
              </w:rPr>
              <w:t>անհրաժեշտությունը</w:t>
            </w:r>
            <w:r w:rsidRPr="0053423A">
              <w:rPr>
                <w:b/>
                <w:sz w:val="20"/>
                <w:szCs w:val="20"/>
                <w:lang w:val="af-ZA"/>
              </w:rPr>
              <w:t xml:space="preserve"> </w:t>
            </w:r>
            <w:r w:rsidRPr="0053423A">
              <w:rPr>
                <w:b/>
                <w:sz w:val="20"/>
                <w:szCs w:val="20"/>
                <w:lang w:val="hy-AM"/>
              </w:rPr>
              <w:t>և</w:t>
            </w:r>
            <w:r w:rsidRPr="0053423A">
              <w:rPr>
                <w:b/>
                <w:sz w:val="20"/>
                <w:szCs w:val="20"/>
                <w:lang w:val="af-ZA"/>
              </w:rPr>
              <w:t xml:space="preserve"> </w:t>
            </w:r>
            <w:r w:rsidRPr="0053423A">
              <w:rPr>
                <w:b/>
                <w:sz w:val="20"/>
                <w:szCs w:val="20"/>
                <w:lang w:val="hy-AM"/>
              </w:rPr>
              <w:t>նպատակը</w:t>
            </w:r>
          </w:p>
          <w:p w:rsidR="00BB45FD" w:rsidRPr="0053423A" w:rsidRDefault="00BB45FD" w:rsidP="00A67858">
            <w:pPr>
              <w:pStyle w:val="ListParagraph"/>
              <w:tabs>
                <w:tab w:val="left" w:pos="284"/>
              </w:tabs>
              <w:spacing w:after="0" w:line="276" w:lineRule="auto"/>
              <w:ind w:left="0"/>
              <w:rPr>
                <w:sz w:val="20"/>
                <w:szCs w:val="20"/>
                <w:lang w:val="af-ZA"/>
              </w:rPr>
            </w:pPr>
            <w:r w:rsidRPr="0053423A">
              <w:rPr>
                <w:sz w:val="20"/>
                <w:szCs w:val="20"/>
                <w:lang w:val="af-ZA"/>
              </w:rPr>
              <w:tab/>
            </w:r>
            <w:r w:rsidRPr="0053423A">
              <w:rPr>
                <w:sz w:val="20"/>
                <w:szCs w:val="20"/>
                <w:lang w:val="af-ZA"/>
              </w:rPr>
              <w:tab/>
            </w:r>
            <w:r w:rsidRPr="0053423A">
              <w:rPr>
                <w:sz w:val="20"/>
                <w:szCs w:val="20"/>
              </w:rPr>
              <w:t>Միջոցառումների</w:t>
            </w:r>
            <w:r w:rsidRPr="0053423A">
              <w:rPr>
                <w:sz w:val="20"/>
                <w:szCs w:val="20"/>
                <w:lang w:val="af-ZA"/>
              </w:rPr>
              <w:t xml:space="preserve"> </w:t>
            </w:r>
            <w:r w:rsidRPr="0053423A">
              <w:rPr>
                <w:sz w:val="20"/>
                <w:szCs w:val="20"/>
              </w:rPr>
              <w:t>իրականացումը</w:t>
            </w:r>
            <w:r w:rsidRPr="0053423A">
              <w:rPr>
                <w:sz w:val="20"/>
                <w:szCs w:val="20"/>
                <w:lang w:val="af-ZA"/>
              </w:rPr>
              <w:t xml:space="preserve"> </w:t>
            </w:r>
            <w:r w:rsidRPr="0053423A">
              <w:rPr>
                <w:sz w:val="20"/>
                <w:szCs w:val="20"/>
              </w:rPr>
              <w:t>պայմանավորված</w:t>
            </w:r>
            <w:r w:rsidRPr="0053423A">
              <w:rPr>
                <w:sz w:val="20"/>
                <w:szCs w:val="20"/>
                <w:lang w:val="af-ZA"/>
              </w:rPr>
              <w:t xml:space="preserve"> </w:t>
            </w:r>
            <w:r w:rsidRPr="0053423A">
              <w:rPr>
                <w:sz w:val="20"/>
                <w:szCs w:val="20"/>
              </w:rPr>
              <w:t>է</w:t>
            </w:r>
            <w:r w:rsidRPr="0053423A">
              <w:rPr>
                <w:sz w:val="20"/>
                <w:szCs w:val="20"/>
                <w:lang w:val="af-ZA"/>
              </w:rPr>
              <w:t xml:space="preserve"> </w:t>
            </w:r>
            <w:r w:rsidRPr="0053423A">
              <w:rPr>
                <w:sz w:val="20"/>
                <w:szCs w:val="20"/>
              </w:rPr>
              <w:t>զինված</w:t>
            </w:r>
            <w:r w:rsidRPr="0053423A">
              <w:rPr>
                <w:sz w:val="20"/>
                <w:szCs w:val="20"/>
                <w:lang w:val="af-ZA"/>
              </w:rPr>
              <w:t xml:space="preserve"> </w:t>
            </w:r>
            <w:r w:rsidRPr="0053423A">
              <w:rPr>
                <w:sz w:val="20"/>
                <w:szCs w:val="20"/>
              </w:rPr>
              <w:t>ուժերը</w:t>
            </w:r>
            <w:r w:rsidRPr="0053423A">
              <w:rPr>
                <w:sz w:val="20"/>
                <w:szCs w:val="20"/>
                <w:lang w:val="af-ZA"/>
              </w:rPr>
              <w:t xml:space="preserve"> սպառազինության և ռազմական տեխնիկայով ապահովելու, դրանց մշտական մարտունակությունը պահպանելու </w:t>
            </w:r>
            <w:r w:rsidRPr="0053423A">
              <w:rPr>
                <w:sz w:val="20"/>
                <w:szCs w:val="20"/>
              </w:rPr>
              <w:t>անհրաժեշտությամբ</w:t>
            </w:r>
            <w:r w:rsidRPr="0053423A">
              <w:rPr>
                <w:sz w:val="20"/>
                <w:szCs w:val="20"/>
                <w:lang w:val="af-ZA"/>
              </w:rPr>
              <w:t>:</w:t>
            </w:r>
          </w:p>
          <w:p w:rsidR="00BB45FD" w:rsidRPr="0053423A" w:rsidRDefault="00BB45FD" w:rsidP="00A67858">
            <w:pPr>
              <w:pStyle w:val="ListParagraph"/>
              <w:tabs>
                <w:tab w:val="left" w:pos="284"/>
              </w:tabs>
              <w:spacing w:after="0" w:line="276" w:lineRule="auto"/>
              <w:ind w:left="0"/>
              <w:rPr>
                <w:b/>
                <w:sz w:val="20"/>
                <w:szCs w:val="20"/>
                <w:lang w:val="af-ZA"/>
              </w:rPr>
            </w:pPr>
            <w:r w:rsidRPr="0053423A">
              <w:rPr>
                <w:b/>
                <w:sz w:val="20"/>
                <w:szCs w:val="20"/>
                <w:lang w:val="af-ZA"/>
              </w:rPr>
              <w:tab/>
            </w:r>
            <w:r w:rsidRPr="0053423A">
              <w:rPr>
                <w:b/>
                <w:sz w:val="20"/>
                <w:szCs w:val="20"/>
                <w:lang w:val="af-ZA"/>
              </w:rPr>
              <w:tab/>
              <w:t xml:space="preserve">1.1 </w:t>
            </w:r>
            <w:r w:rsidRPr="0053423A">
              <w:rPr>
                <w:b/>
                <w:sz w:val="20"/>
                <w:szCs w:val="20"/>
              </w:rPr>
              <w:t>Կարգավորման</w:t>
            </w:r>
            <w:r w:rsidRPr="0053423A">
              <w:rPr>
                <w:b/>
                <w:sz w:val="20"/>
                <w:szCs w:val="20"/>
                <w:lang w:val="af-ZA"/>
              </w:rPr>
              <w:t xml:space="preserve"> </w:t>
            </w:r>
            <w:r w:rsidRPr="0053423A">
              <w:rPr>
                <w:b/>
                <w:sz w:val="20"/>
                <w:szCs w:val="20"/>
              </w:rPr>
              <w:t>հարաբերությունների</w:t>
            </w:r>
            <w:r w:rsidRPr="0053423A">
              <w:rPr>
                <w:b/>
                <w:sz w:val="20"/>
                <w:szCs w:val="20"/>
                <w:lang w:val="af-ZA"/>
              </w:rPr>
              <w:t xml:space="preserve"> </w:t>
            </w:r>
            <w:r w:rsidRPr="0053423A">
              <w:rPr>
                <w:b/>
                <w:sz w:val="20"/>
                <w:szCs w:val="20"/>
              </w:rPr>
              <w:t>ներկա</w:t>
            </w:r>
            <w:r w:rsidRPr="0053423A">
              <w:rPr>
                <w:b/>
                <w:sz w:val="20"/>
                <w:szCs w:val="20"/>
                <w:lang w:val="af-ZA"/>
              </w:rPr>
              <w:t xml:space="preserve"> </w:t>
            </w:r>
            <w:r w:rsidRPr="0053423A">
              <w:rPr>
                <w:b/>
                <w:sz w:val="20"/>
                <w:szCs w:val="20"/>
              </w:rPr>
              <w:t>վիճակը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առկա</w:t>
            </w:r>
            <w:r w:rsidRPr="0053423A">
              <w:rPr>
                <w:b/>
                <w:sz w:val="20"/>
                <w:szCs w:val="20"/>
                <w:lang w:val="af-ZA"/>
              </w:rPr>
              <w:t xml:space="preserve"> </w:t>
            </w:r>
            <w:r w:rsidRPr="0053423A">
              <w:rPr>
                <w:b/>
                <w:sz w:val="20"/>
                <w:szCs w:val="20"/>
              </w:rPr>
              <w:t>խնդիրները</w:t>
            </w:r>
          </w:p>
          <w:p w:rsidR="00BB45FD" w:rsidRPr="0053423A" w:rsidRDefault="00BB45FD" w:rsidP="00A67858">
            <w:pPr>
              <w:spacing w:after="0" w:line="276" w:lineRule="auto"/>
              <w:ind w:firstLine="720"/>
              <w:rPr>
                <w:sz w:val="20"/>
                <w:szCs w:val="20"/>
                <w:lang w:val="af-ZA"/>
              </w:rPr>
            </w:pPr>
            <w:r w:rsidRPr="0053423A">
              <w:rPr>
                <w:sz w:val="20"/>
                <w:szCs w:val="20"/>
              </w:rPr>
              <w:t>Թարմացման</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արդիականացման</w:t>
            </w:r>
            <w:r w:rsidRPr="0053423A">
              <w:rPr>
                <w:sz w:val="20"/>
                <w:szCs w:val="20"/>
                <w:lang w:val="af-ZA"/>
              </w:rPr>
              <w:t xml:space="preserve"> կարիք ունի զինված ուժերում շահագործվող սպառազինությունը և ռազմական տեխնիկան, մի շարք միջոցներ </w:t>
            </w:r>
            <w:r w:rsidRPr="0053423A">
              <w:rPr>
                <w:sz w:val="20"/>
                <w:szCs w:val="20"/>
              </w:rPr>
              <w:t>սպառել</w:t>
            </w:r>
            <w:r w:rsidRPr="0053423A">
              <w:rPr>
                <w:sz w:val="20"/>
                <w:szCs w:val="20"/>
                <w:lang w:val="af-ZA"/>
              </w:rPr>
              <w:t xml:space="preserve"> </w:t>
            </w:r>
            <w:r w:rsidRPr="0053423A">
              <w:rPr>
                <w:sz w:val="20"/>
                <w:szCs w:val="20"/>
              </w:rPr>
              <w:t>են</w:t>
            </w:r>
            <w:r w:rsidRPr="0053423A">
              <w:rPr>
                <w:sz w:val="20"/>
                <w:szCs w:val="20"/>
                <w:lang w:val="af-ZA"/>
              </w:rPr>
              <w:t xml:space="preserve"> </w:t>
            </w:r>
            <w:r w:rsidRPr="0053423A">
              <w:rPr>
                <w:sz w:val="20"/>
                <w:szCs w:val="20"/>
              </w:rPr>
              <w:t>շահագործման</w:t>
            </w:r>
            <w:r w:rsidRPr="0053423A">
              <w:rPr>
                <w:sz w:val="20"/>
                <w:szCs w:val="20"/>
                <w:lang w:val="af-ZA"/>
              </w:rPr>
              <w:t xml:space="preserve"> </w:t>
            </w:r>
            <w:r w:rsidRPr="0053423A">
              <w:rPr>
                <w:sz w:val="20"/>
                <w:szCs w:val="20"/>
              </w:rPr>
              <w:t>առավելագույն</w:t>
            </w:r>
            <w:r w:rsidRPr="0053423A">
              <w:rPr>
                <w:sz w:val="20"/>
                <w:szCs w:val="20"/>
                <w:lang w:val="af-ZA"/>
              </w:rPr>
              <w:t xml:space="preserve"> </w:t>
            </w:r>
            <w:r w:rsidRPr="0053423A">
              <w:rPr>
                <w:sz w:val="20"/>
                <w:szCs w:val="20"/>
              </w:rPr>
              <w:t>ժամկետները</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պահանջում</w:t>
            </w:r>
            <w:r w:rsidRPr="0053423A">
              <w:rPr>
                <w:sz w:val="20"/>
                <w:szCs w:val="20"/>
                <w:lang w:val="af-ZA"/>
              </w:rPr>
              <w:t xml:space="preserve"> </w:t>
            </w:r>
            <w:r w:rsidRPr="0053423A">
              <w:rPr>
                <w:sz w:val="20"/>
                <w:szCs w:val="20"/>
              </w:rPr>
              <w:t>են</w:t>
            </w:r>
            <w:r w:rsidRPr="0053423A">
              <w:rPr>
                <w:sz w:val="20"/>
                <w:szCs w:val="20"/>
                <w:lang w:val="af-ZA"/>
              </w:rPr>
              <w:t xml:space="preserve"> </w:t>
            </w:r>
            <w:r w:rsidRPr="0053423A">
              <w:rPr>
                <w:sz w:val="20"/>
                <w:szCs w:val="20"/>
              </w:rPr>
              <w:t>փոխարինում</w:t>
            </w:r>
            <w:r w:rsidRPr="0053423A">
              <w:rPr>
                <w:sz w:val="20"/>
                <w:szCs w:val="20"/>
                <w:lang w:val="af-ZA"/>
              </w:rPr>
              <w:t>:</w:t>
            </w:r>
          </w:p>
          <w:p w:rsidR="00BB45FD" w:rsidRPr="0053423A" w:rsidRDefault="00BB45FD" w:rsidP="00A67858">
            <w:pPr>
              <w:pStyle w:val="ListParagraph"/>
              <w:tabs>
                <w:tab w:val="left" w:pos="284"/>
              </w:tabs>
              <w:spacing w:after="0" w:line="276" w:lineRule="auto"/>
              <w:ind w:left="0"/>
              <w:rPr>
                <w:b/>
                <w:sz w:val="20"/>
                <w:szCs w:val="20"/>
                <w:lang w:val="af-ZA"/>
              </w:rPr>
            </w:pPr>
            <w:r w:rsidRPr="0053423A">
              <w:rPr>
                <w:b/>
                <w:sz w:val="20"/>
                <w:szCs w:val="20"/>
                <w:lang w:val="af-ZA"/>
              </w:rPr>
              <w:tab/>
            </w:r>
            <w:r w:rsidRPr="0053423A">
              <w:rPr>
                <w:b/>
                <w:sz w:val="20"/>
                <w:szCs w:val="20"/>
                <w:lang w:val="af-ZA"/>
              </w:rPr>
              <w:tab/>
              <w:t>1.2</w:t>
            </w:r>
            <w:r w:rsidRPr="0053423A">
              <w:rPr>
                <w:sz w:val="20"/>
                <w:szCs w:val="20"/>
                <w:lang w:val="af-ZA"/>
              </w:rPr>
              <w:t xml:space="preserve"> </w:t>
            </w:r>
            <w:r w:rsidRPr="0053423A">
              <w:rPr>
                <w:b/>
                <w:sz w:val="20"/>
                <w:szCs w:val="20"/>
                <w:lang w:val="af-ZA"/>
              </w:rPr>
              <w:t xml:space="preserve"> </w:t>
            </w:r>
            <w:r w:rsidRPr="0053423A">
              <w:rPr>
                <w:b/>
                <w:sz w:val="20"/>
                <w:szCs w:val="20"/>
              </w:rPr>
              <w:t>Առկա</w:t>
            </w:r>
            <w:r w:rsidRPr="0053423A">
              <w:rPr>
                <w:b/>
                <w:sz w:val="20"/>
                <w:szCs w:val="20"/>
                <w:lang w:val="af-ZA"/>
              </w:rPr>
              <w:t xml:space="preserve"> </w:t>
            </w:r>
            <w:r w:rsidRPr="0053423A">
              <w:rPr>
                <w:b/>
                <w:sz w:val="20"/>
                <w:szCs w:val="20"/>
              </w:rPr>
              <w:t>խնդիրների</w:t>
            </w:r>
            <w:r w:rsidRPr="0053423A">
              <w:rPr>
                <w:b/>
                <w:sz w:val="20"/>
                <w:szCs w:val="20"/>
                <w:lang w:val="af-ZA"/>
              </w:rPr>
              <w:t xml:space="preserve"> </w:t>
            </w:r>
            <w:r w:rsidRPr="0053423A">
              <w:rPr>
                <w:b/>
                <w:sz w:val="20"/>
                <w:szCs w:val="20"/>
              </w:rPr>
              <w:t>առաջարկվող</w:t>
            </w:r>
            <w:r w:rsidRPr="0053423A">
              <w:rPr>
                <w:b/>
                <w:sz w:val="20"/>
                <w:szCs w:val="20"/>
                <w:lang w:val="af-ZA"/>
              </w:rPr>
              <w:t xml:space="preserve"> </w:t>
            </w:r>
            <w:r w:rsidRPr="0053423A">
              <w:rPr>
                <w:b/>
                <w:sz w:val="20"/>
                <w:szCs w:val="20"/>
              </w:rPr>
              <w:t>լուծումները</w:t>
            </w:r>
          </w:p>
          <w:p w:rsidR="00BB45FD" w:rsidRPr="0053423A" w:rsidRDefault="00BB45FD" w:rsidP="00A67858">
            <w:pPr>
              <w:pStyle w:val="ListParagraph"/>
              <w:tabs>
                <w:tab w:val="left" w:pos="284"/>
                <w:tab w:val="left" w:pos="426"/>
              </w:tabs>
              <w:spacing w:after="0" w:line="276" w:lineRule="auto"/>
              <w:ind w:left="0"/>
              <w:rPr>
                <w:sz w:val="20"/>
                <w:szCs w:val="20"/>
                <w:lang w:val="af-ZA"/>
              </w:rPr>
            </w:pPr>
            <w:r w:rsidRPr="0053423A">
              <w:rPr>
                <w:sz w:val="20"/>
                <w:szCs w:val="20"/>
                <w:lang w:val="af-ZA"/>
              </w:rPr>
              <w:tab/>
            </w:r>
            <w:r w:rsidRPr="0053423A">
              <w:rPr>
                <w:sz w:val="20"/>
                <w:szCs w:val="20"/>
                <w:lang w:val="af-ZA"/>
              </w:rPr>
              <w:tab/>
            </w:r>
            <w:r w:rsidRPr="0053423A">
              <w:rPr>
                <w:sz w:val="20"/>
                <w:szCs w:val="20"/>
                <w:lang w:val="af-ZA"/>
              </w:rPr>
              <w:tab/>
            </w:r>
            <w:r w:rsidRPr="0053423A">
              <w:rPr>
                <w:sz w:val="20"/>
                <w:szCs w:val="20"/>
              </w:rPr>
              <w:t>Խնդիրների</w:t>
            </w:r>
            <w:r w:rsidRPr="0053423A">
              <w:rPr>
                <w:sz w:val="20"/>
                <w:szCs w:val="20"/>
                <w:lang w:val="af-ZA"/>
              </w:rPr>
              <w:t xml:space="preserve"> </w:t>
            </w:r>
            <w:r w:rsidRPr="0053423A">
              <w:rPr>
                <w:sz w:val="20"/>
                <w:szCs w:val="20"/>
              </w:rPr>
              <w:t>լուծումներն</w:t>
            </w:r>
            <w:r w:rsidRPr="0053423A">
              <w:rPr>
                <w:sz w:val="20"/>
                <w:szCs w:val="20"/>
                <w:lang w:val="af-ZA"/>
              </w:rPr>
              <w:t xml:space="preserve"> </w:t>
            </w:r>
            <w:r w:rsidRPr="0053423A">
              <w:rPr>
                <w:sz w:val="20"/>
                <w:szCs w:val="20"/>
              </w:rPr>
              <w:t>արտացոլված</w:t>
            </w:r>
            <w:r w:rsidRPr="0053423A">
              <w:rPr>
                <w:sz w:val="20"/>
                <w:szCs w:val="20"/>
                <w:lang w:val="af-ZA"/>
              </w:rPr>
              <w:t xml:space="preserve"> </w:t>
            </w:r>
            <w:r w:rsidRPr="0053423A">
              <w:rPr>
                <w:sz w:val="20"/>
                <w:szCs w:val="20"/>
              </w:rPr>
              <w:t>են</w:t>
            </w:r>
            <w:r w:rsidRPr="0053423A">
              <w:rPr>
                <w:sz w:val="20"/>
                <w:szCs w:val="20"/>
                <w:lang w:val="af-ZA"/>
              </w:rPr>
              <w:t xml:space="preserve"> </w:t>
            </w:r>
            <w:r w:rsidRPr="0053423A">
              <w:rPr>
                <w:sz w:val="20"/>
                <w:szCs w:val="20"/>
              </w:rPr>
              <w:t>ՀՀ</w:t>
            </w:r>
            <w:r w:rsidRPr="0053423A">
              <w:rPr>
                <w:sz w:val="20"/>
                <w:szCs w:val="20"/>
                <w:lang w:val="af-ZA"/>
              </w:rPr>
              <w:t xml:space="preserve"> </w:t>
            </w:r>
            <w:r w:rsidRPr="0053423A">
              <w:rPr>
                <w:sz w:val="20"/>
                <w:szCs w:val="20"/>
              </w:rPr>
              <w:t>սպառազինության</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ռազմական</w:t>
            </w:r>
            <w:r w:rsidRPr="0053423A">
              <w:rPr>
                <w:sz w:val="20"/>
                <w:szCs w:val="20"/>
                <w:lang w:val="af-ZA"/>
              </w:rPr>
              <w:t xml:space="preserve"> </w:t>
            </w:r>
            <w:r w:rsidRPr="0053423A">
              <w:rPr>
                <w:sz w:val="20"/>
                <w:szCs w:val="20"/>
              </w:rPr>
              <w:t>տեխնիկայի</w:t>
            </w:r>
            <w:r w:rsidRPr="0053423A">
              <w:rPr>
                <w:sz w:val="20"/>
                <w:szCs w:val="20"/>
                <w:lang w:val="af-ZA"/>
              </w:rPr>
              <w:t xml:space="preserve"> 2019-2024 </w:t>
            </w:r>
            <w:r w:rsidRPr="0053423A">
              <w:rPr>
                <w:sz w:val="20"/>
                <w:szCs w:val="20"/>
              </w:rPr>
              <w:t>թվականների</w:t>
            </w:r>
            <w:r w:rsidRPr="0053423A">
              <w:rPr>
                <w:sz w:val="20"/>
                <w:szCs w:val="20"/>
                <w:lang w:val="af-ZA"/>
              </w:rPr>
              <w:t xml:space="preserve"> </w:t>
            </w:r>
            <w:r w:rsidRPr="0053423A">
              <w:rPr>
                <w:sz w:val="20"/>
                <w:szCs w:val="20"/>
              </w:rPr>
              <w:t>զարգացման</w:t>
            </w:r>
            <w:r w:rsidRPr="0053423A">
              <w:rPr>
                <w:sz w:val="20"/>
                <w:szCs w:val="20"/>
                <w:lang w:val="af-ZA"/>
              </w:rPr>
              <w:t xml:space="preserve"> </w:t>
            </w:r>
            <w:r w:rsidRPr="0053423A">
              <w:rPr>
                <w:sz w:val="20"/>
                <w:szCs w:val="20"/>
              </w:rPr>
              <w:t>պետական</w:t>
            </w:r>
            <w:r w:rsidRPr="0053423A">
              <w:rPr>
                <w:sz w:val="20"/>
                <w:szCs w:val="20"/>
                <w:lang w:val="af-ZA"/>
              </w:rPr>
              <w:t xml:space="preserve"> </w:t>
            </w:r>
            <w:r w:rsidRPr="0053423A">
              <w:rPr>
                <w:sz w:val="20"/>
                <w:szCs w:val="20"/>
              </w:rPr>
              <w:t>ծրագրի</w:t>
            </w:r>
            <w:r w:rsidRPr="0053423A">
              <w:rPr>
                <w:sz w:val="20"/>
                <w:szCs w:val="20"/>
                <w:lang w:val="af-ZA"/>
              </w:rPr>
              <w:t xml:space="preserve"> </w:t>
            </w:r>
            <w:r w:rsidRPr="0053423A">
              <w:rPr>
                <w:sz w:val="20"/>
                <w:szCs w:val="20"/>
              </w:rPr>
              <w:t>նախագծում</w:t>
            </w:r>
            <w:r w:rsidRPr="0053423A">
              <w:rPr>
                <w:sz w:val="20"/>
                <w:szCs w:val="20"/>
                <w:lang w:val="af-ZA"/>
              </w:rPr>
              <w:t xml:space="preserve">:  </w:t>
            </w:r>
          </w:p>
          <w:p w:rsidR="00BB45FD" w:rsidRPr="0053423A" w:rsidRDefault="00BB45FD" w:rsidP="00A67858">
            <w:pPr>
              <w:pStyle w:val="ListParagraph"/>
              <w:tabs>
                <w:tab w:val="left" w:pos="284"/>
              </w:tabs>
              <w:spacing w:after="0" w:line="276" w:lineRule="auto"/>
              <w:ind w:left="0"/>
              <w:rPr>
                <w:b/>
                <w:sz w:val="20"/>
                <w:szCs w:val="20"/>
                <w:lang w:val="af-ZA"/>
              </w:rPr>
            </w:pPr>
            <w:r w:rsidRPr="0053423A">
              <w:rPr>
                <w:b/>
                <w:sz w:val="20"/>
                <w:szCs w:val="20"/>
                <w:lang w:val="af-ZA"/>
              </w:rPr>
              <w:tab/>
            </w:r>
            <w:r w:rsidRPr="0053423A">
              <w:rPr>
                <w:b/>
                <w:sz w:val="20"/>
                <w:szCs w:val="20"/>
                <w:lang w:val="af-ZA"/>
              </w:rPr>
              <w:tab/>
              <w:t xml:space="preserve">2. </w:t>
            </w:r>
            <w:r w:rsidRPr="0053423A">
              <w:rPr>
                <w:b/>
                <w:sz w:val="20"/>
                <w:szCs w:val="20"/>
              </w:rPr>
              <w:t>Միջոցառումների</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p>
          <w:p w:rsidR="00BB45FD" w:rsidRPr="0053423A" w:rsidRDefault="00BB45FD" w:rsidP="00A67858">
            <w:pPr>
              <w:spacing w:after="0" w:line="276" w:lineRule="auto"/>
              <w:rPr>
                <w:b/>
                <w:sz w:val="20"/>
                <w:szCs w:val="20"/>
                <w:u w:val="single"/>
                <w:lang w:val="af-ZA"/>
              </w:rPr>
            </w:pPr>
            <w:r w:rsidRPr="0053423A">
              <w:rPr>
                <w:sz w:val="20"/>
                <w:szCs w:val="20"/>
                <w:lang w:val="af-ZA"/>
              </w:rPr>
              <w:t>Զինված ուժերը կսպառազինվեն հրթիռահրետանային սպառազինությամբ, զրահատանկային, ավտոմոբիլային տեխնիկայով, կբարձրանա նորոգման և վերականգնման ստորաբաժանումների արդյունավետությունը:</w:t>
            </w:r>
          </w:p>
        </w:tc>
      </w:tr>
      <w:tr w:rsidR="00BB45FD" w:rsidRPr="00DE2EFA" w:rsidTr="00976405">
        <w:tc>
          <w:tcPr>
            <w:tcW w:w="425" w:type="dxa"/>
            <w:shd w:val="clear" w:color="auto" w:fill="auto"/>
          </w:tcPr>
          <w:p w:rsidR="00BB45FD" w:rsidRPr="0053423A" w:rsidRDefault="00BB45FD" w:rsidP="00A67858">
            <w:pPr>
              <w:spacing w:after="0" w:line="276" w:lineRule="auto"/>
              <w:ind w:right="-108"/>
              <w:rPr>
                <w:sz w:val="20"/>
                <w:szCs w:val="20"/>
                <w:lang w:val="hy-AM"/>
              </w:rPr>
            </w:pPr>
            <w:r w:rsidRPr="0053423A">
              <w:rPr>
                <w:sz w:val="20"/>
                <w:szCs w:val="20"/>
                <w:lang w:val="hy-AM"/>
              </w:rPr>
              <w:t>7.1-7.2</w:t>
            </w:r>
          </w:p>
        </w:tc>
        <w:tc>
          <w:tcPr>
            <w:tcW w:w="11156" w:type="dxa"/>
            <w:shd w:val="clear" w:color="auto" w:fill="auto"/>
          </w:tcPr>
          <w:p w:rsidR="00BB45FD" w:rsidRPr="0053423A" w:rsidRDefault="00BB45FD" w:rsidP="00A67858">
            <w:pPr>
              <w:spacing w:after="0" w:line="276" w:lineRule="auto"/>
              <w:ind w:firstLine="720"/>
              <w:jc w:val="center"/>
              <w:rPr>
                <w:b/>
                <w:sz w:val="20"/>
                <w:szCs w:val="20"/>
                <w:lang w:val="af-ZA"/>
              </w:rPr>
            </w:pPr>
            <w:r w:rsidRPr="0053423A">
              <w:rPr>
                <w:b/>
                <w:sz w:val="20"/>
                <w:szCs w:val="20"/>
                <w:u w:val="single"/>
                <w:lang w:val="af-ZA"/>
              </w:rPr>
              <w:t>Մարդկային ռեսուրսի առումով զ</w:t>
            </w:r>
            <w:r w:rsidRPr="0053423A">
              <w:rPr>
                <w:b/>
                <w:sz w:val="20"/>
                <w:szCs w:val="20"/>
                <w:u w:val="single"/>
                <w:lang w:val="hy-AM"/>
              </w:rPr>
              <w:t>որահավաքային</w:t>
            </w:r>
            <w:r w:rsidRPr="0053423A">
              <w:rPr>
                <w:b/>
                <w:sz w:val="20"/>
                <w:szCs w:val="20"/>
                <w:u w:val="single"/>
                <w:lang w:val="af-ZA"/>
              </w:rPr>
              <w:t xml:space="preserve"> </w:t>
            </w:r>
            <w:r w:rsidRPr="0053423A">
              <w:rPr>
                <w:b/>
                <w:sz w:val="20"/>
                <w:szCs w:val="20"/>
                <w:u w:val="single"/>
                <w:lang w:val="hy-AM"/>
              </w:rPr>
              <w:t>նախապատրաստության</w:t>
            </w:r>
            <w:r w:rsidRPr="0053423A">
              <w:rPr>
                <w:b/>
                <w:sz w:val="20"/>
                <w:szCs w:val="20"/>
                <w:u w:val="single"/>
                <w:lang w:val="af-ZA"/>
              </w:rPr>
              <w:t xml:space="preserve">, </w:t>
            </w:r>
            <w:r w:rsidRPr="0053423A">
              <w:rPr>
                <w:b/>
                <w:sz w:val="20"/>
                <w:szCs w:val="20"/>
                <w:u w:val="single"/>
                <w:lang w:val="hy-AM"/>
              </w:rPr>
              <w:t>պահեստազորի</w:t>
            </w:r>
            <w:r w:rsidRPr="0053423A">
              <w:rPr>
                <w:b/>
                <w:sz w:val="20"/>
                <w:szCs w:val="20"/>
                <w:u w:val="single"/>
                <w:lang w:val="af-ZA"/>
              </w:rPr>
              <w:t xml:space="preserve"> </w:t>
            </w:r>
            <w:r w:rsidRPr="0053423A">
              <w:rPr>
                <w:b/>
                <w:sz w:val="20"/>
                <w:szCs w:val="20"/>
                <w:u w:val="single"/>
                <w:lang w:val="hy-AM"/>
              </w:rPr>
              <w:t>համակարգի</w:t>
            </w:r>
            <w:r w:rsidRPr="0053423A">
              <w:rPr>
                <w:b/>
                <w:sz w:val="20"/>
                <w:szCs w:val="20"/>
                <w:u w:val="single"/>
                <w:lang w:val="af-ZA"/>
              </w:rPr>
              <w:t xml:space="preserve"> </w:t>
            </w:r>
            <w:r w:rsidRPr="0053423A">
              <w:rPr>
                <w:b/>
                <w:sz w:val="20"/>
                <w:szCs w:val="20"/>
                <w:u w:val="single"/>
                <w:lang w:val="hy-AM"/>
              </w:rPr>
              <w:t>և</w:t>
            </w:r>
            <w:r w:rsidRPr="0053423A">
              <w:rPr>
                <w:b/>
                <w:sz w:val="20"/>
                <w:szCs w:val="20"/>
                <w:u w:val="single"/>
                <w:lang w:val="af-ZA"/>
              </w:rPr>
              <w:t xml:space="preserve"> անձնակազմի </w:t>
            </w:r>
            <w:r w:rsidRPr="0053423A">
              <w:rPr>
                <w:b/>
                <w:sz w:val="20"/>
                <w:szCs w:val="20"/>
                <w:u w:val="single"/>
                <w:lang w:val="hy-AM"/>
              </w:rPr>
              <w:t>զորահավաքի</w:t>
            </w:r>
            <w:r w:rsidRPr="0053423A">
              <w:rPr>
                <w:b/>
                <w:sz w:val="20"/>
                <w:szCs w:val="20"/>
                <w:u w:val="single"/>
                <w:lang w:val="af-ZA"/>
              </w:rPr>
              <w:t xml:space="preserve"> գործընթացի </w:t>
            </w:r>
            <w:r w:rsidRPr="0053423A">
              <w:rPr>
                <w:b/>
                <w:sz w:val="20"/>
                <w:szCs w:val="20"/>
                <w:u w:val="single"/>
                <w:lang w:val="hy-AM"/>
              </w:rPr>
              <w:t>կատարելագործման</w:t>
            </w:r>
            <w:r w:rsidRPr="0053423A">
              <w:rPr>
                <w:b/>
                <w:sz w:val="20"/>
                <w:szCs w:val="20"/>
                <w:u w:val="single"/>
                <w:lang w:val="af-ZA"/>
              </w:rPr>
              <w:t xml:space="preserve"> </w:t>
            </w:r>
            <w:r w:rsidRPr="0053423A">
              <w:rPr>
                <w:b/>
                <w:sz w:val="20"/>
                <w:szCs w:val="20"/>
                <w:u w:val="single"/>
                <w:lang w:val="hy-AM"/>
              </w:rPr>
              <w:t>վերաբերյալ</w:t>
            </w:r>
          </w:p>
          <w:p w:rsidR="00BB45FD" w:rsidRPr="0053423A" w:rsidRDefault="00BB45FD" w:rsidP="00A67858">
            <w:pPr>
              <w:spacing w:after="0" w:line="276" w:lineRule="auto"/>
              <w:rPr>
                <w:b/>
                <w:sz w:val="20"/>
                <w:szCs w:val="20"/>
                <w:lang w:val="af-ZA"/>
              </w:rPr>
            </w:pPr>
          </w:p>
          <w:p w:rsidR="00BB45FD" w:rsidRPr="0053423A" w:rsidRDefault="00BB45FD" w:rsidP="00A67858">
            <w:pPr>
              <w:pStyle w:val="ListParagraph"/>
              <w:tabs>
                <w:tab w:val="left" w:pos="284"/>
              </w:tabs>
              <w:spacing w:after="0" w:line="276" w:lineRule="auto"/>
              <w:ind w:left="0"/>
              <w:rPr>
                <w:b/>
                <w:sz w:val="20"/>
                <w:szCs w:val="20"/>
                <w:lang w:val="af-ZA"/>
              </w:rPr>
            </w:pPr>
            <w:r w:rsidRPr="0053423A">
              <w:rPr>
                <w:b/>
                <w:sz w:val="20"/>
                <w:szCs w:val="20"/>
                <w:lang w:val="af-ZA"/>
              </w:rPr>
              <w:tab/>
            </w:r>
            <w:r w:rsidRPr="0053423A">
              <w:rPr>
                <w:b/>
                <w:sz w:val="20"/>
                <w:szCs w:val="20"/>
                <w:lang w:val="af-ZA"/>
              </w:rPr>
              <w:tab/>
              <w:t xml:space="preserve">1. </w:t>
            </w:r>
            <w:r w:rsidRPr="0053423A">
              <w:rPr>
                <w:b/>
                <w:sz w:val="20"/>
                <w:szCs w:val="20"/>
              </w:rPr>
              <w:t>Միջոցառումների</w:t>
            </w:r>
            <w:r w:rsidRPr="0053423A">
              <w:rPr>
                <w:b/>
                <w:sz w:val="20"/>
                <w:szCs w:val="20"/>
                <w:lang w:val="af-ZA"/>
              </w:rPr>
              <w:t xml:space="preserve"> </w:t>
            </w:r>
            <w:r w:rsidRPr="0053423A">
              <w:rPr>
                <w:b/>
                <w:sz w:val="20"/>
                <w:szCs w:val="20"/>
              </w:rPr>
              <w:t>իրականացման</w:t>
            </w:r>
            <w:r w:rsidRPr="0053423A">
              <w:rPr>
                <w:b/>
                <w:sz w:val="20"/>
                <w:szCs w:val="20"/>
                <w:lang w:val="af-ZA"/>
              </w:rPr>
              <w:t xml:space="preserve"> </w:t>
            </w:r>
            <w:r w:rsidRPr="0053423A">
              <w:rPr>
                <w:b/>
                <w:sz w:val="20"/>
                <w:szCs w:val="20"/>
              </w:rPr>
              <w:t>անհրաժեշտությունը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նպատակը</w:t>
            </w:r>
          </w:p>
          <w:p w:rsidR="00BB45FD" w:rsidRPr="0053423A" w:rsidRDefault="00BB45FD" w:rsidP="00A67858">
            <w:pPr>
              <w:spacing w:after="0" w:line="276" w:lineRule="auto"/>
              <w:ind w:firstLine="720"/>
              <w:rPr>
                <w:sz w:val="20"/>
                <w:szCs w:val="20"/>
                <w:lang w:val="af-ZA"/>
              </w:rPr>
            </w:pPr>
            <w:r w:rsidRPr="0053423A">
              <w:rPr>
                <w:sz w:val="20"/>
                <w:szCs w:val="20"/>
              </w:rPr>
              <w:t>Միջոցառումների</w:t>
            </w:r>
            <w:r w:rsidRPr="0053423A">
              <w:rPr>
                <w:sz w:val="20"/>
                <w:szCs w:val="20"/>
                <w:lang w:val="af-ZA"/>
              </w:rPr>
              <w:t xml:space="preserve"> </w:t>
            </w:r>
            <w:r w:rsidRPr="0053423A">
              <w:rPr>
                <w:sz w:val="20"/>
                <w:szCs w:val="20"/>
              </w:rPr>
              <w:t>իրականացումը</w:t>
            </w:r>
            <w:r w:rsidRPr="0053423A">
              <w:rPr>
                <w:sz w:val="20"/>
                <w:szCs w:val="20"/>
                <w:lang w:val="af-ZA"/>
              </w:rPr>
              <w:t xml:space="preserve"> </w:t>
            </w:r>
            <w:r w:rsidRPr="0053423A">
              <w:rPr>
                <w:sz w:val="20"/>
                <w:szCs w:val="20"/>
              </w:rPr>
              <w:t>պայմանավորված</w:t>
            </w:r>
            <w:r w:rsidRPr="0053423A">
              <w:rPr>
                <w:sz w:val="20"/>
                <w:szCs w:val="20"/>
                <w:lang w:val="af-ZA"/>
              </w:rPr>
              <w:t xml:space="preserve"> </w:t>
            </w:r>
            <w:r w:rsidRPr="0053423A">
              <w:rPr>
                <w:sz w:val="20"/>
                <w:szCs w:val="20"/>
              </w:rPr>
              <w:t>է</w:t>
            </w:r>
            <w:r w:rsidRPr="0053423A">
              <w:rPr>
                <w:sz w:val="20"/>
                <w:szCs w:val="20"/>
                <w:lang w:val="af-ZA"/>
              </w:rPr>
              <w:t xml:space="preserve"> </w:t>
            </w:r>
            <w:r w:rsidRPr="0053423A">
              <w:rPr>
                <w:sz w:val="20"/>
                <w:szCs w:val="20"/>
              </w:rPr>
              <w:t>պահեստազորային</w:t>
            </w:r>
            <w:r w:rsidRPr="0053423A">
              <w:rPr>
                <w:sz w:val="20"/>
                <w:szCs w:val="20"/>
                <w:lang w:val="af-ZA"/>
              </w:rPr>
              <w:t xml:space="preserve"> </w:t>
            </w:r>
            <w:r w:rsidRPr="0053423A">
              <w:rPr>
                <w:sz w:val="20"/>
                <w:szCs w:val="20"/>
              </w:rPr>
              <w:t>ծառայության</w:t>
            </w:r>
            <w:r w:rsidRPr="0053423A">
              <w:rPr>
                <w:sz w:val="20"/>
                <w:szCs w:val="20"/>
                <w:lang w:val="af-ZA"/>
              </w:rPr>
              <w:t xml:space="preserve"> </w:t>
            </w:r>
            <w:r w:rsidRPr="0053423A">
              <w:rPr>
                <w:sz w:val="20"/>
                <w:szCs w:val="20"/>
              </w:rPr>
              <w:t>կատարելագործման</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զորահավաքային</w:t>
            </w:r>
            <w:r w:rsidRPr="0053423A">
              <w:rPr>
                <w:sz w:val="20"/>
                <w:szCs w:val="20"/>
                <w:lang w:val="af-ZA"/>
              </w:rPr>
              <w:t xml:space="preserve"> </w:t>
            </w:r>
            <w:r w:rsidRPr="0053423A">
              <w:rPr>
                <w:sz w:val="20"/>
                <w:szCs w:val="20"/>
              </w:rPr>
              <w:t>խնդիրների</w:t>
            </w:r>
            <w:r w:rsidRPr="0053423A">
              <w:rPr>
                <w:sz w:val="20"/>
                <w:szCs w:val="20"/>
                <w:lang w:val="af-ZA"/>
              </w:rPr>
              <w:t xml:space="preserve"> </w:t>
            </w:r>
            <w:r w:rsidRPr="0053423A">
              <w:rPr>
                <w:sz w:val="20"/>
                <w:szCs w:val="20"/>
              </w:rPr>
              <w:t>արդյունավետ</w:t>
            </w:r>
            <w:r w:rsidRPr="0053423A">
              <w:rPr>
                <w:sz w:val="20"/>
                <w:szCs w:val="20"/>
                <w:lang w:val="af-ZA"/>
              </w:rPr>
              <w:t xml:space="preserve"> </w:t>
            </w:r>
            <w:r w:rsidRPr="0053423A">
              <w:rPr>
                <w:sz w:val="20"/>
                <w:szCs w:val="20"/>
              </w:rPr>
              <w:t>կատարման</w:t>
            </w:r>
            <w:r w:rsidRPr="0053423A">
              <w:rPr>
                <w:sz w:val="20"/>
                <w:szCs w:val="20"/>
                <w:lang w:val="af-ZA"/>
              </w:rPr>
              <w:t xml:space="preserve"> </w:t>
            </w:r>
            <w:r w:rsidRPr="0053423A">
              <w:rPr>
                <w:sz w:val="20"/>
                <w:szCs w:val="20"/>
              </w:rPr>
              <w:t>անհրաժեշտությամբ</w:t>
            </w:r>
            <w:r w:rsidRPr="0053423A">
              <w:rPr>
                <w:sz w:val="20"/>
                <w:szCs w:val="20"/>
                <w:lang w:val="af-ZA"/>
              </w:rPr>
              <w:t xml:space="preserve">: </w:t>
            </w:r>
          </w:p>
          <w:p w:rsidR="00BB45FD" w:rsidRPr="0053423A" w:rsidRDefault="00BB45FD" w:rsidP="00A67858">
            <w:pPr>
              <w:spacing w:after="0" w:line="276" w:lineRule="auto"/>
              <w:ind w:firstLine="720"/>
              <w:rPr>
                <w:b/>
                <w:sz w:val="20"/>
                <w:szCs w:val="20"/>
                <w:lang w:val="af-ZA"/>
              </w:rPr>
            </w:pPr>
            <w:r w:rsidRPr="0053423A">
              <w:rPr>
                <w:b/>
                <w:sz w:val="20"/>
                <w:szCs w:val="20"/>
                <w:lang w:val="af-ZA"/>
              </w:rPr>
              <w:t>1.1</w:t>
            </w:r>
            <w:r w:rsidRPr="0053423A">
              <w:rPr>
                <w:sz w:val="20"/>
                <w:szCs w:val="20"/>
                <w:lang w:val="af-ZA"/>
              </w:rPr>
              <w:t xml:space="preserve"> </w:t>
            </w:r>
            <w:r w:rsidRPr="0053423A">
              <w:rPr>
                <w:b/>
                <w:sz w:val="20"/>
                <w:szCs w:val="20"/>
              </w:rPr>
              <w:t>Կարգավորման</w:t>
            </w:r>
            <w:r w:rsidRPr="0053423A">
              <w:rPr>
                <w:b/>
                <w:sz w:val="20"/>
                <w:szCs w:val="20"/>
                <w:lang w:val="af-ZA"/>
              </w:rPr>
              <w:t xml:space="preserve"> </w:t>
            </w:r>
            <w:r w:rsidRPr="0053423A">
              <w:rPr>
                <w:b/>
                <w:sz w:val="20"/>
                <w:szCs w:val="20"/>
              </w:rPr>
              <w:t>հարաբերությունների</w:t>
            </w:r>
            <w:r w:rsidRPr="0053423A">
              <w:rPr>
                <w:b/>
                <w:sz w:val="20"/>
                <w:szCs w:val="20"/>
                <w:lang w:val="af-ZA"/>
              </w:rPr>
              <w:t xml:space="preserve"> </w:t>
            </w:r>
            <w:r w:rsidRPr="0053423A">
              <w:rPr>
                <w:b/>
                <w:sz w:val="20"/>
                <w:szCs w:val="20"/>
              </w:rPr>
              <w:t>ներկա</w:t>
            </w:r>
            <w:r w:rsidRPr="0053423A">
              <w:rPr>
                <w:b/>
                <w:sz w:val="20"/>
                <w:szCs w:val="20"/>
                <w:lang w:val="af-ZA"/>
              </w:rPr>
              <w:t xml:space="preserve"> </w:t>
            </w:r>
            <w:r w:rsidRPr="0053423A">
              <w:rPr>
                <w:b/>
                <w:sz w:val="20"/>
                <w:szCs w:val="20"/>
              </w:rPr>
              <w:t>վիճակը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առկա</w:t>
            </w:r>
            <w:r w:rsidRPr="0053423A">
              <w:rPr>
                <w:b/>
                <w:sz w:val="20"/>
                <w:szCs w:val="20"/>
                <w:lang w:val="af-ZA"/>
              </w:rPr>
              <w:t xml:space="preserve"> </w:t>
            </w:r>
            <w:r w:rsidRPr="0053423A">
              <w:rPr>
                <w:b/>
                <w:sz w:val="20"/>
                <w:szCs w:val="20"/>
              </w:rPr>
              <w:t>խնդիրները</w:t>
            </w:r>
          </w:p>
          <w:p w:rsidR="00BB45FD" w:rsidRPr="0053423A" w:rsidRDefault="00BB45FD" w:rsidP="00A67858">
            <w:pPr>
              <w:pStyle w:val="ListParagraph"/>
              <w:tabs>
                <w:tab w:val="left" w:pos="284"/>
              </w:tabs>
              <w:spacing w:after="0" w:line="276" w:lineRule="auto"/>
              <w:ind w:left="0"/>
              <w:rPr>
                <w:b/>
                <w:sz w:val="20"/>
                <w:szCs w:val="20"/>
                <w:lang w:val="af-ZA"/>
              </w:rPr>
            </w:pPr>
            <w:r w:rsidRPr="0053423A">
              <w:rPr>
                <w:sz w:val="20"/>
                <w:szCs w:val="20"/>
                <w:lang w:val="af-ZA"/>
              </w:rPr>
              <w:tab/>
            </w:r>
            <w:r w:rsidRPr="0053423A">
              <w:rPr>
                <w:sz w:val="20"/>
                <w:szCs w:val="20"/>
                <w:lang w:val="af-ZA"/>
              </w:rPr>
              <w:tab/>
            </w:r>
            <w:r w:rsidRPr="0053423A">
              <w:rPr>
                <w:sz w:val="20"/>
                <w:szCs w:val="20"/>
              </w:rPr>
              <w:t>Կատարելագործման</w:t>
            </w:r>
            <w:r w:rsidRPr="0053423A">
              <w:rPr>
                <w:sz w:val="20"/>
                <w:szCs w:val="20"/>
                <w:lang w:val="af-ZA"/>
              </w:rPr>
              <w:t xml:space="preserve"> </w:t>
            </w:r>
            <w:r w:rsidRPr="0053423A">
              <w:rPr>
                <w:sz w:val="20"/>
                <w:szCs w:val="20"/>
              </w:rPr>
              <w:t>կարիք</w:t>
            </w:r>
            <w:r w:rsidRPr="0053423A">
              <w:rPr>
                <w:sz w:val="20"/>
                <w:szCs w:val="20"/>
                <w:lang w:val="af-ZA"/>
              </w:rPr>
              <w:t xml:space="preserve"> </w:t>
            </w:r>
            <w:r w:rsidRPr="0053423A">
              <w:rPr>
                <w:sz w:val="20"/>
                <w:szCs w:val="20"/>
              </w:rPr>
              <w:t>ունի</w:t>
            </w:r>
            <w:r w:rsidRPr="0053423A">
              <w:rPr>
                <w:sz w:val="20"/>
                <w:szCs w:val="20"/>
                <w:lang w:val="af-ZA"/>
              </w:rPr>
              <w:t xml:space="preserve"> </w:t>
            </w:r>
            <w:r w:rsidRPr="0053423A">
              <w:rPr>
                <w:sz w:val="20"/>
                <w:szCs w:val="20"/>
              </w:rPr>
              <w:t>պահեստազորային</w:t>
            </w:r>
            <w:r w:rsidRPr="0053423A">
              <w:rPr>
                <w:sz w:val="20"/>
                <w:szCs w:val="20"/>
                <w:lang w:val="af-ZA"/>
              </w:rPr>
              <w:t xml:space="preserve"> </w:t>
            </w:r>
            <w:r w:rsidRPr="0053423A">
              <w:rPr>
                <w:sz w:val="20"/>
                <w:szCs w:val="20"/>
              </w:rPr>
              <w:t>ծառայությունը</w:t>
            </w:r>
            <w:r w:rsidRPr="0053423A">
              <w:rPr>
                <w:sz w:val="20"/>
                <w:szCs w:val="20"/>
                <w:lang w:val="af-ZA"/>
              </w:rPr>
              <w:t>:</w:t>
            </w:r>
          </w:p>
          <w:p w:rsidR="00BB45FD" w:rsidRPr="0053423A" w:rsidRDefault="00BB45FD" w:rsidP="00A67858">
            <w:pPr>
              <w:pStyle w:val="ListParagraph"/>
              <w:tabs>
                <w:tab w:val="left" w:pos="284"/>
              </w:tabs>
              <w:spacing w:after="0" w:line="276" w:lineRule="auto"/>
              <w:ind w:left="0"/>
              <w:rPr>
                <w:rFonts w:cs="Sylfaen"/>
                <w:sz w:val="20"/>
                <w:szCs w:val="20"/>
                <w:lang w:val="af-ZA"/>
              </w:rPr>
            </w:pPr>
            <w:r w:rsidRPr="0053423A">
              <w:rPr>
                <w:b/>
                <w:sz w:val="20"/>
                <w:szCs w:val="20"/>
                <w:lang w:val="af-ZA"/>
              </w:rPr>
              <w:tab/>
            </w:r>
            <w:r w:rsidRPr="0053423A">
              <w:rPr>
                <w:b/>
                <w:sz w:val="20"/>
                <w:szCs w:val="20"/>
                <w:lang w:val="af-ZA"/>
              </w:rPr>
              <w:tab/>
              <w:t xml:space="preserve">1.2 </w:t>
            </w:r>
            <w:r w:rsidRPr="0053423A">
              <w:rPr>
                <w:b/>
                <w:sz w:val="20"/>
                <w:szCs w:val="20"/>
              </w:rPr>
              <w:t>Առկա</w:t>
            </w:r>
            <w:r w:rsidRPr="0053423A">
              <w:rPr>
                <w:b/>
                <w:sz w:val="20"/>
                <w:szCs w:val="20"/>
                <w:lang w:val="af-ZA"/>
              </w:rPr>
              <w:t xml:space="preserve"> </w:t>
            </w:r>
            <w:r w:rsidRPr="0053423A">
              <w:rPr>
                <w:b/>
                <w:sz w:val="20"/>
                <w:szCs w:val="20"/>
              </w:rPr>
              <w:t>խնդիրների</w:t>
            </w:r>
            <w:r w:rsidRPr="0053423A">
              <w:rPr>
                <w:b/>
                <w:sz w:val="20"/>
                <w:szCs w:val="20"/>
                <w:lang w:val="af-ZA"/>
              </w:rPr>
              <w:t xml:space="preserve"> </w:t>
            </w:r>
            <w:r w:rsidRPr="0053423A">
              <w:rPr>
                <w:b/>
                <w:sz w:val="20"/>
                <w:szCs w:val="20"/>
              </w:rPr>
              <w:t>առաջարկվող</w:t>
            </w:r>
            <w:r w:rsidRPr="0053423A">
              <w:rPr>
                <w:b/>
                <w:sz w:val="20"/>
                <w:szCs w:val="20"/>
                <w:lang w:val="af-ZA"/>
              </w:rPr>
              <w:t xml:space="preserve"> </w:t>
            </w:r>
            <w:r w:rsidRPr="0053423A">
              <w:rPr>
                <w:b/>
                <w:sz w:val="20"/>
                <w:szCs w:val="20"/>
              </w:rPr>
              <w:t>լուծումները</w:t>
            </w:r>
            <w:r w:rsidRPr="0053423A">
              <w:rPr>
                <w:rFonts w:cs="Sylfaen"/>
                <w:sz w:val="20"/>
                <w:szCs w:val="20"/>
                <w:lang w:val="af-ZA"/>
              </w:rPr>
              <w:t xml:space="preserve"> </w:t>
            </w:r>
          </w:p>
          <w:p w:rsidR="00BB45FD" w:rsidRPr="0053423A" w:rsidRDefault="00BB45FD" w:rsidP="00A67858">
            <w:pPr>
              <w:pStyle w:val="ListParagraph"/>
              <w:tabs>
                <w:tab w:val="left" w:pos="284"/>
              </w:tabs>
              <w:spacing w:after="0" w:line="276" w:lineRule="auto"/>
              <w:ind w:left="0"/>
              <w:rPr>
                <w:b/>
                <w:sz w:val="20"/>
                <w:szCs w:val="20"/>
                <w:lang w:val="af-ZA"/>
              </w:rPr>
            </w:pPr>
            <w:r w:rsidRPr="0053423A">
              <w:rPr>
                <w:rFonts w:cs="Sylfaen"/>
                <w:sz w:val="20"/>
                <w:szCs w:val="20"/>
                <w:lang w:val="af-ZA"/>
              </w:rPr>
              <w:tab/>
            </w:r>
            <w:r w:rsidRPr="0053423A">
              <w:rPr>
                <w:rFonts w:cs="Sylfaen"/>
                <w:sz w:val="20"/>
                <w:szCs w:val="20"/>
                <w:lang w:val="af-ZA"/>
              </w:rPr>
              <w:tab/>
              <w:t>Կ</w:t>
            </w:r>
            <w:r w:rsidRPr="0053423A">
              <w:rPr>
                <w:rFonts w:cs="Sylfaen"/>
                <w:sz w:val="20"/>
                <w:szCs w:val="20"/>
              </w:rPr>
              <w:t>ուտակել</w:t>
            </w:r>
            <w:r w:rsidRPr="0053423A">
              <w:rPr>
                <w:rFonts w:cs="Sylfaen"/>
                <w:sz w:val="20"/>
                <w:szCs w:val="20"/>
                <w:lang w:val="af-ZA"/>
              </w:rPr>
              <w:t xml:space="preserve"> </w:t>
            </w:r>
            <w:r w:rsidRPr="0053423A">
              <w:rPr>
                <w:rFonts w:cs="Sylfaen"/>
                <w:sz w:val="20"/>
                <w:szCs w:val="20"/>
              </w:rPr>
              <w:t>անհրաժեշտ</w:t>
            </w:r>
            <w:r w:rsidRPr="0053423A">
              <w:rPr>
                <w:rFonts w:cs="Sylfaen"/>
                <w:sz w:val="20"/>
                <w:szCs w:val="20"/>
                <w:lang w:val="af-ZA"/>
              </w:rPr>
              <w:t xml:space="preserve"> </w:t>
            </w:r>
            <w:r w:rsidRPr="0053423A">
              <w:rPr>
                <w:rFonts w:cs="Sylfaen"/>
                <w:sz w:val="20"/>
                <w:szCs w:val="20"/>
              </w:rPr>
              <w:t>քա</w:t>
            </w:r>
            <w:r w:rsidRPr="0053423A">
              <w:rPr>
                <w:rFonts w:cs="Sylfaen"/>
                <w:sz w:val="20"/>
                <w:szCs w:val="20"/>
                <w:lang w:val="af-ZA"/>
              </w:rPr>
              <w:softHyphen/>
            </w:r>
            <w:r w:rsidRPr="0053423A">
              <w:rPr>
                <w:rFonts w:cs="Sylfaen"/>
                <w:sz w:val="20"/>
                <w:szCs w:val="20"/>
              </w:rPr>
              <w:t>նակի</w:t>
            </w:r>
            <w:r w:rsidRPr="0053423A">
              <w:rPr>
                <w:rFonts w:cs="Sylfaen"/>
                <w:sz w:val="20"/>
                <w:szCs w:val="20"/>
                <w:lang w:val="af-ZA"/>
              </w:rPr>
              <w:t xml:space="preserve"> մասնագիտացված </w:t>
            </w:r>
            <w:r w:rsidRPr="0053423A">
              <w:rPr>
                <w:rFonts w:cs="Sylfaen"/>
                <w:sz w:val="20"/>
                <w:szCs w:val="20"/>
              </w:rPr>
              <w:t>պա</w:t>
            </w:r>
            <w:r w:rsidRPr="0053423A">
              <w:rPr>
                <w:rFonts w:cs="Sylfaen"/>
                <w:sz w:val="20"/>
                <w:szCs w:val="20"/>
                <w:lang w:val="af-ZA"/>
              </w:rPr>
              <w:softHyphen/>
            </w:r>
            <w:r w:rsidRPr="0053423A">
              <w:rPr>
                <w:rFonts w:cs="Sylfaen"/>
                <w:sz w:val="20"/>
                <w:szCs w:val="20"/>
              </w:rPr>
              <w:t>հեստուժ</w:t>
            </w:r>
            <w:r w:rsidRPr="0053423A">
              <w:rPr>
                <w:rFonts w:cs="Sylfaen"/>
                <w:sz w:val="20"/>
                <w:szCs w:val="20"/>
                <w:lang w:val="af-ZA"/>
              </w:rPr>
              <w:t>, ն</w:t>
            </w:r>
            <w:r w:rsidRPr="0053423A">
              <w:rPr>
                <w:rFonts w:cs="Sylfaen"/>
                <w:sz w:val="20"/>
                <w:szCs w:val="20"/>
              </w:rPr>
              <w:t>երդնել</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զարգացնել</w:t>
            </w:r>
            <w:r w:rsidRPr="0053423A">
              <w:rPr>
                <w:rFonts w:cs="Sylfaen"/>
                <w:sz w:val="20"/>
                <w:szCs w:val="20"/>
                <w:lang w:val="af-ZA"/>
              </w:rPr>
              <w:t xml:space="preserve"> </w:t>
            </w:r>
            <w:r w:rsidRPr="0053423A">
              <w:rPr>
                <w:rFonts w:cs="Sylfaen"/>
                <w:sz w:val="20"/>
                <w:szCs w:val="20"/>
              </w:rPr>
              <w:t>ակտիվ</w:t>
            </w:r>
            <w:r w:rsidRPr="0053423A">
              <w:rPr>
                <w:rFonts w:cs="Sylfaen"/>
                <w:sz w:val="20"/>
                <w:szCs w:val="20"/>
                <w:lang w:val="af-ZA"/>
              </w:rPr>
              <w:t xml:space="preserve"> </w:t>
            </w:r>
            <w:r w:rsidRPr="0053423A">
              <w:rPr>
                <w:rFonts w:cs="Sylfaen"/>
                <w:sz w:val="20"/>
                <w:szCs w:val="20"/>
              </w:rPr>
              <w:t>պահեստա</w:t>
            </w:r>
            <w:r w:rsidRPr="0053423A">
              <w:rPr>
                <w:rFonts w:cs="Sylfaen"/>
                <w:sz w:val="20"/>
                <w:szCs w:val="20"/>
                <w:lang w:val="af-ZA"/>
              </w:rPr>
              <w:softHyphen/>
            </w:r>
            <w:r w:rsidRPr="0053423A">
              <w:rPr>
                <w:rFonts w:cs="Sylfaen"/>
                <w:sz w:val="20"/>
                <w:szCs w:val="20"/>
              </w:rPr>
              <w:t>զորի</w:t>
            </w:r>
            <w:r w:rsidRPr="0053423A">
              <w:rPr>
                <w:rFonts w:cs="Sylfaen"/>
                <w:sz w:val="20"/>
                <w:szCs w:val="20"/>
                <w:lang w:val="af-ZA"/>
              </w:rPr>
              <w:t xml:space="preserve"> </w:t>
            </w:r>
            <w:r w:rsidRPr="0053423A">
              <w:rPr>
                <w:rFonts w:cs="Sylfaen"/>
                <w:sz w:val="20"/>
                <w:szCs w:val="20"/>
              </w:rPr>
              <w:t>ծառայությունը</w:t>
            </w:r>
            <w:r w:rsidRPr="0053423A">
              <w:rPr>
                <w:rFonts w:cs="Sylfaen"/>
                <w:sz w:val="20"/>
                <w:szCs w:val="20"/>
                <w:lang w:val="af-ZA"/>
              </w:rPr>
              <w:t>:</w:t>
            </w:r>
          </w:p>
          <w:p w:rsidR="00BB45FD" w:rsidRPr="0053423A" w:rsidRDefault="00BB45FD" w:rsidP="00A67858">
            <w:pPr>
              <w:pStyle w:val="ListParagraph"/>
              <w:tabs>
                <w:tab w:val="left" w:pos="284"/>
              </w:tabs>
              <w:spacing w:after="0" w:line="276" w:lineRule="auto"/>
              <w:ind w:left="0"/>
              <w:rPr>
                <w:b/>
                <w:sz w:val="20"/>
                <w:szCs w:val="20"/>
                <w:lang w:val="af-ZA"/>
              </w:rPr>
            </w:pPr>
            <w:r w:rsidRPr="0053423A">
              <w:rPr>
                <w:b/>
                <w:sz w:val="20"/>
                <w:szCs w:val="20"/>
                <w:lang w:val="af-ZA"/>
              </w:rPr>
              <w:tab/>
            </w:r>
            <w:r w:rsidRPr="0053423A">
              <w:rPr>
                <w:b/>
                <w:sz w:val="20"/>
                <w:szCs w:val="20"/>
                <w:lang w:val="af-ZA"/>
              </w:rPr>
              <w:tab/>
              <w:t xml:space="preserve">2. </w:t>
            </w:r>
            <w:r w:rsidRPr="0053423A">
              <w:rPr>
                <w:b/>
                <w:sz w:val="20"/>
                <w:szCs w:val="20"/>
              </w:rPr>
              <w:t>Միջոցառումների</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p>
          <w:p w:rsidR="00BB45FD" w:rsidRPr="0053423A" w:rsidRDefault="00BB45FD" w:rsidP="00A67858">
            <w:pPr>
              <w:spacing w:after="0" w:line="276" w:lineRule="auto"/>
              <w:rPr>
                <w:b/>
                <w:sz w:val="20"/>
                <w:szCs w:val="20"/>
                <w:u w:val="single"/>
                <w:lang w:val="af-ZA"/>
              </w:rPr>
            </w:pPr>
            <w:r w:rsidRPr="0053423A">
              <w:rPr>
                <w:rFonts w:cs="Sylfaen"/>
                <w:sz w:val="20"/>
                <w:szCs w:val="20"/>
                <w:lang w:val="af-ZA"/>
              </w:rPr>
              <w:t>Կպահպանվի զինված ուժերի համալրվա</w:t>
            </w:r>
            <w:r w:rsidRPr="0053423A">
              <w:rPr>
                <w:rFonts w:cs="Sylfaen"/>
                <w:sz w:val="20"/>
                <w:szCs w:val="20"/>
                <w:lang w:val="af-ZA"/>
              </w:rPr>
              <w:softHyphen/>
              <w:t>ծու</w:t>
            </w:r>
            <w:r w:rsidRPr="0053423A">
              <w:rPr>
                <w:rFonts w:cs="Sylfaen"/>
                <w:sz w:val="20"/>
                <w:szCs w:val="20"/>
                <w:lang w:val="af-ZA"/>
              </w:rPr>
              <w:softHyphen/>
              <w:t>թյան ան</w:t>
            </w:r>
            <w:r w:rsidRPr="0053423A">
              <w:rPr>
                <w:rFonts w:cs="Sylfaen"/>
                <w:sz w:val="20"/>
                <w:szCs w:val="20"/>
                <w:lang w:val="af-ZA"/>
              </w:rPr>
              <w:softHyphen/>
              <w:t>հրաժեշտ թվաքա</w:t>
            </w:r>
            <w:r w:rsidRPr="0053423A">
              <w:rPr>
                <w:rFonts w:cs="Sylfaen"/>
                <w:sz w:val="20"/>
                <w:szCs w:val="20"/>
                <w:lang w:val="af-ZA"/>
              </w:rPr>
              <w:softHyphen/>
              <w:t>նա</w:t>
            </w:r>
            <w:r w:rsidRPr="0053423A">
              <w:rPr>
                <w:rFonts w:cs="Sylfaen"/>
                <w:sz w:val="20"/>
                <w:szCs w:val="20"/>
                <w:lang w:val="af-ZA"/>
              </w:rPr>
              <w:softHyphen/>
              <w:t>կը և կ</w:t>
            </w:r>
            <w:r w:rsidRPr="0053423A">
              <w:rPr>
                <w:rFonts w:cs="Times Armenian"/>
                <w:sz w:val="20"/>
                <w:szCs w:val="20"/>
                <w:lang w:val="af-ZA"/>
              </w:rPr>
              <w:t>բարձրացվի ստորաբաժանումների համալրվածության աստիճանը:</w:t>
            </w:r>
          </w:p>
        </w:tc>
      </w:tr>
      <w:tr w:rsidR="00BB45FD" w:rsidRPr="00DE2EFA" w:rsidTr="00976405">
        <w:tc>
          <w:tcPr>
            <w:tcW w:w="425" w:type="dxa"/>
            <w:shd w:val="clear" w:color="auto" w:fill="auto"/>
          </w:tcPr>
          <w:p w:rsidR="00BB45FD" w:rsidRPr="0053423A" w:rsidRDefault="00BB45FD" w:rsidP="00A67858">
            <w:pPr>
              <w:spacing w:after="0" w:line="276" w:lineRule="auto"/>
              <w:ind w:right="-108"/>
              <w:rPr>
                <w:sz w:val="20"/>
                <w:szCs w:val="20"/>
                <w:lang w:val="hy-AM"/>
              </w:rPr>
            </w:pPr>
            <w:r w:rsidRPr="0053423A">
              <w:rPr>
                <w:sz w:val="20"/>
                <w:szCs w:val="20"/>
                <w:lang w:val="hy-AM"/>
              </w:rPr>
              <w:t>8.1-8.2</w:t>
            </w:r>
          </w:p>
        </w:tc>
        <w:tc>
          <w:tcPr>
            <w:tcW w:w="11156" w:type="dxa"/>
            <w:shd w:val="clear" w:color="auto" w:fill="auto"/>
          </w:tcPr>
          <w:p w:rsidR="00BB45FD" w:rsidRPr="0053423A" w:rsidRDefault="00BB45FD" w:rsidP="00A67858">
            <w:pPr>
              <w:spacing w:after="0" w:line="276" w:lineRule="auto"/>
              <w:ind w:firstLine="720"/>
              <w:jc w:val="center"/>
              <w:rPr>
                <w:b/>
                <w:sz w:val="20"/>
                <w:szCs w:val="20"/>
                <w:lang w:val="af-ZA"/>
              </w:rPr>
            </w:pPr>
            <w:r w:rsidRPr="0053423A">
              <w:rPr>
                <w:rFonts w:cs="Sylfaen"/>
                <w:b/>
                <w:sz w:val="20"/>
                <w:szCs w:val="20"/>
                <w:u w:val="single"/>
                <w:lang w:val="hy-AM"/>
              </w:rPr>
              <w:t>Տնտեսության</w:t>
            </w:r>
            <w:r w:rsidRPr="0053423A">
              <w:rPr>
                <w:rFonts w:cs="Sylfaen"/>
                <w:b/>
                <w:sz w:val="20"/>
                <w:szCs w:val="20"/>
                <w:u w:val="single"/>
                <w:lang w:val="af-ZA"/>
              </w:rPr>
              <w:t xml:space="preserve"> </w:t>
            </w:r>
            <w:r w:rsidRPr="0053423A">
              <w:rPr>
                <w:rFonts w:cs="Sylfaen"/>
                <w:b/>
                <w:sz w:val="20"/>
                <w:szCs w:val="20"/>
                <w:u w:val="single"/>
                <w:lang w:val="hy-AM"/>
              </w:rPr>
              <w:t>զորահավաքային</w:t>
            </w:r>
            <w:r w:rsidRPr="0053423A">
              <w:rPr>
                <w:rFonts w:cs="Sylfaen"/>
                <w:b/>
                <w:sz w:val="20"/>
                <w:szCs w:val="20"/>
                <w:u w:val="single"/>
                <w:lang w:val="af-ZA"/>
              </w:rPr>
              <w:t xml:space="preserve"> </w:t>
            </w:r>
            <w:r w:rsidRPr="0053423A">
              <w:rPr>
                <w:rFonts w:cs="Sylfaen"/>
                <w:b/>
                <w:sz w:val="20"/>
                <w:szCs w:val="20"/>
                <w:u w:val="single"/>
                <w:lang w:val="hy-AM"/>
              </w:rPr>
              <w:t>նա</w:t>
            </w:r>
            <w:r w:rsidRPr="0053423A">
              <w:rPr>
                <w:rFonts w:cs="Sylfaen"/>
                <w:b/>
                <w:sz w:val="20"/>
                <w:szCs w:val="20"/>
                <w:u w:val="single"/>
                <w:lang w:val="af-ZA"/>
              </w:rPr>
              <w:softHyphen/>
            </w:r>
            <w:r w:rsidRPr="0053423A">
              <w:rPr>
                <w:rFonts w:cs="Sylfaen"/>
                <w:b/>
                <w:sz w:val="20"/>
                <w:szCs w:val="20"/>
                <w:u w:val="single"/>
                <w:lang w:val="hy-AM"/>
              </w:rPr>
              <w:t>խա</w:t>
            </w:r>
            <w:r w:rsidRPr="0053423A">
              <w:rPr>
                <w:rFonts w:cs="Sylfaen"/>
                <w:b/>
                <w:sz w:val="20"/>
                <w:szCs w:val="20"/>
                <w:u w:val="single"/>
                <w:lang w:val="af-ZA"/>
              </w:rPr>
              <w:softHyphen/>
            </w:r>
            <w:r w:rsidRPr="0053423A">
              <w:rPr>
                <w:rFonts w:cs="Sylfaen"/>
                <w:b/>
                <w:sz w:val="20"/>
                <w:szCs w:val="20"/>
                <w:u w:val="single"/>
                <w:lang w:val="hy-AM"/>
              </w:rPr>
              <w:t>պատրաստության</w:t>
            </w:r>
            <w:r w:rsidRPr="0053423A">
              <w:rPr>
                <w:rFonts w:cs="Sylfaen"/>
                <w:b/>
                <w:sz w:val="20"/>
                <w:szCs w:val="20"/>
                <w:u w:val="single"/>
                <w:lang w:val="af-ZA"/>
              </w:rPr>
              <w:t xml:space="preserve"> </w:t>
            </w:r>
            <w:r w:rsidRPr="0053423A">
              <w:rPr>
                <w:rFonts w:cs="Sylfaen"/>
                <w:b/>
                <w:sz w:val="20"/>
                <w:szCs w:val="20"/>
                <w:u w:val="single"/>
                <w:lang w:val="hy-AM"/>
              </w:rPr>
              <w:t>ոլորտում</w:t>
            </w:r>
            <w:r w:rsidRPr="0053423A">
              <w:rPr>
                <w:rFonts w:cs="Sylfaen"/>
                <w:b/>
                <w:sz w:val="20"/>
                <w:szCs w:val="20"/>
                <w:u w:val="single"/>
                <w:lang w:val="af-ZA"/>
              </w:rPr>
              <w:t xml:space="preserve"> </w:t>
            </w:r>
            <w:r w:rsidRPr="0053423A">
              <w:rPr>
                <w:rFonts w:cs="Sylfaen"/>
                <w:b/>
                <w:sz w:val="20"/>
                <w:szCs w:val="20"/>
                <w:u w:val="single"/>
                <w:lang w:val="hy-AM"/>
              </w:rPr>
              <w:t>պե</w:t>
            </w:r>
            <w:r w:rsidRPr="0053423A">
              <w:rPr>
                <w:rFonts w:cs="Sylfaen"/>
                <w:b/>
                <w:sz w:val="20"/>
                <w:szCs w:val="20"/>
                <w:u w:val="single"/>
                <w:lang w:val="af-ZA"/>
              </w:rPr>
              <w:softHyphen/>
            </w:r>
            <w:r w:rsidRPr="0053423A">
              <w:rPr>
                <w:rFonts w:cs="Sylfaen"/>
                <w:b/>
                <w:sz w:val="20"/>
                <w:szCs w:val="20"/>
                <w:u w:val="single"/>
                <w:lang w:val="hy-AM"/>
              </w:rPr>
              <w:t>տական</w:t>
            </w:r>
            <w:r w:rsidRPr="0053423A">
              <w:rPr>
                <w:rFonts w:cs="Sylfaen"/>
                <w:b/>
                <w:sz w:val="20"/>
                <w:szCs w:val="20"/>
                <w:u w:val="single"/>
                <w:lang w:val="af-ZA"/>
              </w:rPr>
              <w:t xml:space="preserve"> </w:t>
            </w:r>
            <w:r w:rsidRPr="0053423A">
              <w:rPr>
                <w:rFonts w:cs="Sylfaen"/>
                <w:b/>
                <w:sz w:val="20"/>
                <w:szCs w:val="20"/>
                <w:u w:val="single"/>
                <w:lang w:val="hy-AM"/>
              </w:rPr>
              <w:t>ու</w:t>
            </w:r>
            <w:r w:rsidRPr="0053423A">
              <w:rPr>
                <w:rFonts w:cs="Sylfaen"/>
                <w:b/>
                <w:sz w:val="20"/>
                <w:szCs w:val="20"/>
                <w:u w:val="single"/>
                <w:lang w:val="af-ZA"/>
              </w:rPr>
              <w:t xml:space="preserve"> </w:t>
            </w:r>
            <w:r w:rsidRPr="0053423A">
              <w:rPr>
                <w:rFonts w:cs="Sylfaen"/>
                <w:b/>
                <w:sz w:val="20"/>
                <w:szCs w:val="20"/>
                <w:u w:val="single"/>
                <w:lang w:val="hy-AM"/>
              </w:rPr>
              <w:t>տեղական</w:t>
            </w:r>
            <w:r w:rsidRPr="0053423A">
              <w:rPr>
                <w:rFonts w:cs="Sylfaen"/>
                <w:b/>
                <w:sz w:val="20"/>
                <w:szCs w:val="20"/>
                <w:u w:val="single"/>
                <w:lang w:val="af-ZA"/>
              </w:rPr>
              <w:t xml:space="preserve"> </w:t>
            </w:r>
            <w:r w:rsidRPr="0053423A">
              <w:rPr>
                <w:rFonts w:cs="Sylfaen"/>
                <w:b/>
                <w:sz w:val="20"/>
                <w:szCs w:val="20"/>
                <w:u w:val="single"/>
                <w:lang w:val="hy-AM"/>
              </w:rPr>
              <w:t>մարմինների</w:t>
            </w:r>
            <w:r w:rsidRPr="0053423A">
              <w:rPr>
                <w:rFonts w:cs="Sylfaen"/>
                <w:b/>
                <w:sz w:val="20"/>
                <w:szCs w:val="20"/>
                <w:u w:val="single"/>
                <w:lang w:val="af-ZA"/>
              </w:rPr>
              <w:t xml:space="preserve">, </w:t>
            </w:r>
            <w:r w:rsidRPr="0053423A">
              <w:rPr>
                <w:rFonts w:cs="Sylfaen"/>
                <w:b/>
                <w:sz w:val="20"/>
                <w:szCs w:val="20"/>
                <w:u w:val="single"/>
                <w:lang w:val="hy-AM"/>
              </w:rPr>
              <w:t>կազմակերպու</w:t>
            </w:r>
            <w:r w:rsidRPr="0053423A">
              <w:rPr>
                <w:rFonts w:cs="Sylfaen"/>
                <w:b/>
                <w:sz w:val="20"/>
                <w:szCs w:val="20"/>
                <w:u w:val="single"/>
                <w:lang w:val="af-ZA"/>
              </w:rPr>
              <w:softHyphen/>
            </w:r>
            <w:r w:rsidRPr="0053423A">
              <w:rPr>
                <w:rFonts w:cs="Sylfaen"/>
                <w:b/>
                <w:sz w:val="20"/>
                <w:szCs w:val="20"/>
                <w:u w:val="single"/>
                <w:lang w:val="hy-AM"/>
              </w:rPr>
              <w:t>թյուն</w:t>
            </w:r>
            <w:r w:rsidRPr="0053423A">
              <w:rPr>
                <w:rFonts w:cs="Sylfaen"/>
                <w:b/>
                <w:sz w:val="20"/>
                <w:szCs w:val="20"/>
                <w:u w:val="single"/>
                <w:lang w:val="af-ZA"/>
              </w:rPr>
              <w:softHyphen/>
            </w:r>
            <w:r w:rsidRPr="0053423A">
              <w:rPr>
                <w:rFonts w:cs="Sylfaen"/>
                <w:b/>
                <w:sz w:val="20"/>
                <w:szCs w:val="20"/>
                <w:u w:val="single"/>
                <w:lang w:val="hy-AM"/>
              </w:rPr>
              <w:t>ների</w:t>
            </w:r>
            <w:r w:rsidRPr="0053423A">
              <w:rPr>
                <w:rFonts w:cs="Sylfaen"/>
                <w:b/>
                <w:sz w:val="20"/>
                <w:szCs w:val="20"/>
                <w:u w:val="single"/>
                <w:lang w:val="af-ZA"/>
              </w:rPr>
              <w:t xml:space="preserve"> </w:t>
            </w:r>
            <w:r w:rsidRPr="0053423A">
              <w:rPr>
                <w:rFonts w:cs="Sylfaen"/>
                <w:b/>
                <w:sz w:val="20"/>
                <w:szCs w:val="20"/>
                <w:u w:val="single"/>
                <w:lang w:val="hy-AM"/>
              </w:rPr>
              <w:t>համաձայնեցված</w:t>
            </w:r>
            <w:r w:rsidRPr="0053423A">
              <w:rPr>
                <w:rFonts w:cs="Sylfaen"/>
                <w:b/>
                <w:sz w:val="20"/>
                <w:szCs w:val="20"/>
                <w:u w:val="single"/>
                <w:lang w:val="af-ZA"/>
              </w:rPr>
              <w:t xml:space="preserve"> </w:t>
            </w:r>
            <w:r w:rsidRPr="0053423A">
              <w:rPr>
                <w:rFonts w:cs="Sylfaen"/>
                <w:b/>
                <w:sz w:val="20"/>
                <w:szCs w:val="20"/>
                <w:u w:val="single"/>
                <w:lang w:val="hy-AM"/>
              </w:rPr>
              <w:t>գործու</w:t>
            </w:r>
            <w:r w:rsidRPr="0053423A">
              <w:rPr>
                <w:rFonts w:cs="Sylfaen"/>
                <w:b/>
                <w:sz w:val="20"/>
                <w:szCs w:val="20"/>
                <w:u w:val="single"/>
                <w:lang w:val="af-ZA"/>
              </w:rPr>
              <w:softHyphen/>
            </w:r>
            <w:r w:rsidRPr="0053423A">
              <w:rPr>
                <w:rFonts w:cs="Sylfaen"/>
                <w:b/>
                <w:sz w:val="20"/>
                <w:szCs w:val="20"/>
                <w:u w:val="single"/>
                <w:lang w:val="hy-AM"/>
              </w:rPr>
              <w:t>նեության</w:t>
            </w:r>
            <w:r w:rsidRPr="0053423A">
              <w:rPr>
                <w:rFonts w:cs="Sylfaen"/>
                <w:b/>
                <w:sz w:val="20"/>
                <w:szCs w:val="20"/>
                <w:u w:val="single"/>
                <w:lang w:val="af-ZA"/>
              </w:rPr>
              <w:t xml:space="preserve">, </w:t>
            </w:r>
            <w:r w:rsidRPr="0053423A">
              <w:rPr>
                <w:rFonts w:cs="Sylfaen"/>
                <w:b/>
                <w:sz w:val="20"/>
                <w:szCs w:val="20"/>
                <w:u w:val="single"/>
                <w:lang w:val="hy-AM"/>
              </w:rPr>
              <w:t>ինչպես</w:t>
            </w:r>
            <w:r w:rsidRPr="0053423A">
              <w:rPr>
                <w:rFonts w:cs="Sylfaen"/>
                <w:b/>
                <w:sz w:val="20"/>
                <w:szCs w:val="20"/>
                <w:u w:val="single"/>
                <w:lang w:val="af-ZA"/>
              </w:rPr>
              <w:t xml:space="preserve"> </w:t>
            </w:r>
            <w:r w:rsidRPr="0053423A">
              <w:rPr>
                <w:rFonts w:cs="Sylfaen"/>
                <w:b/>
                <w:sz w:val="20"/>
                <w:szCs w:val="20"/>
                <w:u w:val="single"/>
                <w:lang w:val="hy-AM"/>
              </w:rPr>
              <w:t>նաև</w:t>
            </w:r>
            <w:r w:rsidRPr="0053423A">
              <w:rPr>
                <w:rFonts w:cs="Sylfaen"/>
                <w:b/>
                <w:sz w:val="20"/>
                <w:szCs w:val="20"/>
                <w:u w:val="single"/>
                <w:lang w:val="af-ZA"/>
              </w:rPr>
              <w:t xml:space="preserve"> </w:t>
            </w:r>
            <w:r w:rsidRPr="0053423A">
              <w:rPr>
                <w:rFonts w:cs="Sylfaen"/>
                <w:b/>
                <w:sz w:val="20"/>
                <w:szCs w:val="20"/>
                <w:u w:val="single"/>
                <w:lang w:val="hy-AM"/>
              </w:rPr>
              <w:t>պլանավորման</w:t>
            </w:r>
            <w:r w:rsidRPr="0053423A">
              <w:rPr>
                <w:rFonts w:cs="Sylfaen"/>
                <w:b/>
                <w:sz w:val="20"/>
                <w:szCs w:val="20"/>
                <w:u w:val="single"/>
                <w:lang w:val="af-ZA"/>
              </w:rPr>
              <w:t xml:space="preserve"> </w:t>
            </w:r>
            <w:r w:rsidRPr="0053423A">
              <w:rPr>
                <w:rFonts w:cs="Sylfaen"/>
                <w:b/>
                <w:sz w:val="20"/>
                <w:szCs w:val="20"/>
                <w:u w:val="single"/>
                <w:lang w:val="hy-AM"/>
              </w:rPr>
              <w:t>և</w:t>
            </w:r>
            <w:r w:rsidRPr="0053423A">
              <w:rPr>
                <w:rFonts w:cs="Sylfaen"/>
                <w:b/>
                <w:sz w:val="20"/>
                <w:szCs w:val="20"/>
                <w:u w:val="single"/>
                <w:lang w:val="af-ZA"/>
              </w:rPr>
              <w:t xml:space="preserve"> </w:t>
            </w:r>
            <w:r w:rsidRPr="0053423A">
              <w:rPr>
                <w:rFonts w:cs="Sylfaen"/>
                <w:b/>
                <w:sz w:val="20"/>
                <w:szCs w:val="20"/>
                <w:u w:val="single"/>
                <w:lang w:val="hy-AM"/>
              </w:rPr>
              <w:t>վերա</w:t>
            </w:r>
            <w:r w:rsidRPr="0053423A">
              <w:rPr>
                <w:rFonts w:cs="Sylfaen"/>
                <w:b/>
                <w:sz w:val="20"/>
                <w:szCs w:val="20"/>
                <w:u w:val="single"/>
                <w:lang w:val="af-ZA"/>
              </w:rPr>
              <w:softHyphen/>
            </w:r>
            <w:r w:rsidRPr="0053423A">
              <w:rPr>
                <w:rFonts w:cs="Sylfaen"/>
                <w:b/>
                <w:sz w:val="20"/>
                <w:szCs w:val="20"/>
                <w:u w:val="single"/>
                <w:lang w:val="hy-AM"/>
              </w:rPr>
              <w:t>հսկման</w:t>
            </w:r>
            <w:r w:rsidRPr="0053423A">
              <w:rPr>
                <w:rFonts w:cs="Sylfaen"/>
                <w:b/>
                <w:sz w:val="20"/>
                <w:szCs w:val="20"/>
                <w:u w:val="single"/>
                <w:lang w:val="af-ZA"/>
              </w:rPr>
              <w:t xml:space="preserve"> </w:t>
            </w:r>
            <w:r w:rsidRPr="0053423A">
              <w:rPr>
                <w:rFonts w:cs="Sylfaen"/>
                <w:b/>
                <w:sz w:val="20"/>
                <w:szCs w:val="20"/>
                <w:u w:val="single"/>
                <w:lang w:val="hy-AM"/>
              </w:rPr>
              <w:t>մեխանիզմների</w:t>
            </w:r>
            <w:r w:rsidRPr="0053423A">
              <w:rPr>
                <w:rFonts w:cs="Sylfaen"/>
                <w:b/>
                <w:sz w:val="20"/>
                <w:szCs w:val="20"/>
                <w:u w:val="single"/>
                <w:lang w:val="af-ZA"/>
              </w:rPr>
              <w:t xml:space="preserve"> </w:t>
            </w:r>
            <w:r w:rsidRPr="0053423A">
              <w:rPr>
                <w:rFonts w:cs="Sylfaen"/>
                <w:b/>
                <w:sz w:val="20"/>
                <w:szCs w:val="20"/>
                <w:u w:val="single"/>
                <w:lang w:val="hy-AM"/>
              </w:rPr>
              <w:t>արդյունա</w:t>
            </w:r>
            <w:r w:rsidRPr="0053423A">
              <w:rPr>
                <w:rFonts w:cs="Sylfaen"/>
                <w:b/>
                <w:sz w:val="20"/>
                <w:szCs w:val="20"/>
                <w:u w:val="single"/>
                <w:lang w:val="af-ZA"/>
              </w:rPr>
              <w:softHyphen/>
            </w:r>
            <w:r w:rsidRPr="0053423A">
              <w:rPr>
                <w:rFonts w:cs="Sylfaen"/>
                <w:b/>
                <w:sz w:val="20"/>
                <w:szCs w:val="20"/>
                <w:u w:val="single"/>
                <w:lang w:val="hy-AM"/>
              </w:rPr>
              <w:t>վետության</w:t>
            </w:r>
            <w:r w:rsidRPr="0053423A">
              <w:rPr>
                <w:rFonts w:cs="Sylfaen"/>
                <w:b/>
                <w:sz w:val="20"/>
                <w:szCs w:val="20"/>
                <w:u w:val="single"/>
                <w:lang w:val="af-ZA"/>
              </w:rPr>
              <w:t xml:space="preserve"> </w:t>
            </w:r>
            <w:r w:rsidRPr="0053423A">
              <w:rPr>
                <w:rFonts w:cs="Sylfaen"/>
                <w:b/>
                <w:sz w:val="20"/>
                <w:szCs w:val="20"/>
                <w:u w:val="single"/>
                <w:lang w:val="hy-AM"/>
              </w:rPr>
              <w:t>բարձրացման</w:t>
            </w:r>
            <w:r w:rsidRPr="0053423A">
              <w:rPr>
                <w:rFonts w:cs="Sylfaen"/>
                <w:b/>
                <w:sz w:val="20"/>
                <w:szCs w:val="20"/>
                <w:u w:val="single"/>
                <w:lang w:val="af-ZA"/>
              </w:rPr>
              <w:t xml:space="preserve"> </w:t>
            </w:r>
            <w:r w:rsidRPr="0053423A">
              <w:rPr>
                <w:b/>
                <w:sz w:val="20"/>
                <w:szCs w:val="20"/>
                <w:u w:val="single"/>
                <w:lang w:val="hy-AM"/>
              </w:rPr>
              <w:t>վերաբերյալ</w:t>
            </w:r>
          </w:p>
          <w:p w:rsidR="00BB45FD" w:rsidRPr="0053423A" w:rsidRDefault="00BB45FD" w:rsidP="00A67858">
            <w:pPr>
              <w:tabs>
                <w:tab w:val="left" w:pos="0"/>
                <w:tab w:val="left" w:pos="450"/>
              </w:tabs>
              <w:spacing w:after="0" w:line="276" w:lineRule="auto"/>
              <w:rPr>
                <w:sz w:val="20"/>
                <w:szCs w:val="20"/>
                <w:u w:val="single"/>
                <w:lang w:val="af-ZA"/>
              </w:rPr>
            </w:pPr>
          </w:p>
          <w:p w:rsidR="00BB45FD" w:rsidRPr="0053423A" w:rsidRDefault="00BB45FD" w:rsidP="00A67858">
            <w:pPr>
              <w:spacing w:after="0" w:line="276" w:lineRule="auto"/>
              <w:ind w:left="851"/>
              <w:rPr>
                <w:b/>
                <w:sz w:val="20"/>
                <w:szCs w:val="20"/>
                <w:lang w:val="af-ZA"/>
              </w:rPr>
            </w:pPr>
            <w:r w:rsidRPr="0053423A">
              <w:rPr>
                <w:b/>
                <w:sz w:val="20"/>
                <w:szCs w:val="20"/>
                <w:lang w:val="af-ZA"/>
              </w:rPr>
              <w:t xml:space="preserve">1. </w:t>
            </w:r>
            <w:r w:rsidRPr="0053423A">
              <w:rPr>
                <w:b/>
                <w:sz w:val="20"/>
                <w:szCs w:val="20"/>
              </w:rPr>
              <w:t>Միջոցառումների</w:t>
            </w:r>
            <w:r w:rsidRPr="0053423A">
              <w:rPr>
                <w:b/>
                <w:sz w:val="20"/>
                <w:szCs w:val="20"/>
                <w:lang w:val="af-ZA"/>
              </w:rPr>
              <w:t xml:space="preserve"> </w:t>
            </w:r>
            <w:r w:rsidRPr="0053423A">
              <w:rPr>
                <w:b/>
                <w:sz w:val="20"/>
                <w:szCs w:val="20"/>
              </w:rPr>
              <w:t>իրականացման</w:t>
            </w:r>
            <w:r w:rsidRPr="0053423A">
              <w:rPr>
                <w:b/>
                <w:sz w:val="20"/>
                <w:szCs w:val="20"/>
                <w:lang w:val="af-ZA"/>
              </w:rPr>
              <w:t xml:space="preserve"> </w:t>
            </w:r>
            <w:r w:rsidRPr="0053423A">
              <w:rPr>
                <w:b/>
                <w:sz w:val="20"/>
                <w:szCs w:val="20"/>
              </w:rPr>
              <w:t>անհրաժեշտությունը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նպատակը</w:t>
            </w:r>
          </w:p>
          <w:p w:rsidR="00BB45FD" w:rsidRPr="0053423A" w:rsidRDefault="00BB45FD" w:rsidP="00A67858">
            <w:pPr>
              <w:spacing w:after="0" w:line="276" w:lineRule="auto"/>
              <w:ind w:firstLine="851"/>
              <w:rPr>
                <w:sz w:val="20"/>
                <w:szCs w:val="20"/>
                <w:lang w:val="af-ZA"/>
              </w:rPr>
            </w:pPr>
            <w:r w:rsidRPr="0053423A">
              <w:rPr>
                <w:rFonts w:cs="Sylfaen"/>
                <w:sz w:val="20"/>
                <w:szCs w:val="20"/>
              </w:rPr>
              <w:t>Միջոցառումների</w:t>
            </w:r>
            <w:r w:rsidRPr="0053423A">
              <w:rPr>
                <w:rFonts w:cs="Sylfaen"/>
                <w:sz w:val="20"/>
                <w:szCs w:val="20"/>
                <w:lang w:val="af-ZA"/>
              </w:rPr>
              <w:t xml:space="preserve"> </w:t>
            </w:r>
            <w:r w:rsidRPr="0053423A">
              <w:rPr>
                <w:rFonts w:cs="Sylfaen"/>
                <w:sz w:val="20"/>
                <w:szCs w:val="20"/>
              </w:rPr>
              <w:t>իրականացումը</w:t>
            </w:r>
            <w:r w:rsidRPr="0053423A">
              <w:rPr>
                <w:rFonts w:cs="Sylfaen"/>
                <w:sz w:val="20"/>
                <w:szCs w:val="20"/>
                <w:lang w:val="af-ZA"/>
              </w:rPr>
              <w:t xml:space="preserve"> </w:t>
            </w:r>
            <w:r w:rsidRPr="0053423A">
              <w:rPr>
                <w:rFonts w:cs="Sylfaen"/>
                <w:sz w:val="20"/>
                <w:szCs w:val="20"/>
              </w:rPr>
              <w:t>պայմանավորված</w:t>
            </w:r>
            <w:r w:rsidRPr="0053423A">
              <w:rPr>
                <w:rFonts w:cs="Sylfaen"/>
                <w:sz w:val="20"/>
                <w:szCs w:val="20"/>
                <w:lang w:val="af-ZA"/>
              </w:rPr>
              <w:t xml:space="preserve"> </w:t>
            </w:r>
            <w:r w:rsidRPr="0053423A">
              <w:rPr>
                <w:rFonts w:cs="Sylfaen"/>
                <w:sz w:val="20"/>
                <w:szCs w:val="20"/>
              </w:rPr>
              <w:t>է</w:t>
            </w:r>
            <w:r w:rsidRPr="0053423A">
              <w:rPr>
                <w:rFonts w:cs="Sylfaen"/>
                <w:sz w:val="20"/>
                <w:szCs w:val="20"/>
                <w:lang w:val="af-ZA"/>
              </w:rPr>
              <w:t xml:space="preserve"> </w:t>
            </w:r>
            <w:r w:rsidRPr="0053423A">
              <w:rPr>
                <w:rFonts w:cs="Sylfaen"/>
                <w:sz w:val="20"/>
                <w:szCs w:val="20"/>
              </w:rPr>
              <w:t>պե</w:t>
            </w:r>
            <w:r w:rsidRPr="0053423A">
              <w:rPr>
                <w:rFonts w:cs="Sylfaen"/>
                <w:sz w:val="20"/>
                <w:szCs w:val="20"/>
                <w:lang w:val="af-ZA"/>
              </w:rPr>
              <w:softHyphen/>
            </w:r>
            <w:r w:rsidRPr="0053423A">
              <w:rPr>
                <w:rFonts w:cs="Sylfaen"/>
                <w:sz w:val="20"/>
                <w:szCs w:val="20"/>
              </w:rPr>
              <w:t>տական</w:t>
            </w:r>
            <w:r w:rsidRPr="0053423A">
              <w:rPr>
                <w:rFonts w:cs="Sylfaen"/>
                <w:sz w:val="20"/>
                <w:szCs w:val="20"/>
                <w:lang w:val="af-ZA"/>
              </w:rPr>
              <w:t xml:space="preserve"> </w:t>
            </w:r>
            <w:r w:rsidRPr="0053423A">
              <w:rPr>
                <w:rFonts w:cs="Sylfaen"/>
                <w:sz w:val="20"/>
                <w:szCs w:val="20"/>
              </w:rPr>
              <w:t>ու</w:t>
            </w:r>
            <w:r w:rsidRPr="0053423A">
              <w:rPr>
                <w:rFonts w:cs="Sylfaen"/>
                <w:sz w:val="20"/>
                <w:szCs w:val="20"/>
                <w:lang w:val="af-ZA"/>
              </w:rPr>
              <w:t xml:space="preserve"> </w:t>
            </w:r>
            <w:r w:rsidRPr="0053423A">
              <w:rPr>
                <w:rFonts w:cs="Sylfaen"/>
                <w:sz w:val="20"/>
                <w:szCs w:val="20"/>
              </w:rPr>
              <w:t>տեղական</w:t>
            </w:r>
            <w:r w:rsidRPr="0053423A">
              <w:rPr>
                <w:rFonts w:cs="Sylfaen"/>
                <w:sz w:val="20"/>
                <w:szCs w:val="20"/>
                <w:lang w:val="af-ZA"/>
              </w:rPr>
              <w:t xml:space="preserve"> </w:t>
            </w:r>
            <w:r w:rsidRPr="0053423A">
              <w:rPr>
                <w:rFonts w:cs="Sylfaen"/>
                <w:sz w:val="20"/>
                <w:szCs w:val="20"/>
              </w:rPr>
              <w:t>մարմինների</w:t>
            </w:r>
            <w:r w:rsidRPr="0053423A">
              <w:rPr>
                <w:rFonts w:cs="Sylfaen"/>
                <w:sz w:val="20"/>
                <w:szCs w:val="20"/>
                <w:lang w:val="af-ZA"/>
              </w:rPr>
              <w:t xml:space="preserve">, </w:t>
            </w:r>
            <w:r w:rsidRPr="0053423A">
              <w:rPr>
                <w:rFonts w:cs="Sylfaen"/>
                <w:sz w:val="20"/>
                <w:szCs w:val="20"/>
              </w:rPr>
              <w:t>կազմակերպու</w:t>
            </w:r>
            <w:r w:rsidRPr="0053423A">
              <w:rPr>
                <w:rFonts w:cs="Sylfaen"/>
                <w:sz w:val="20"/>
                <w:szCs w:val="20"/>
                <w:lang w:val="af-ZA"/>
              </w:rPr>
              <w:softHyphen/>
            </w:r>
            <w:r w:rsidRPr="0053423A">
              <w:rPr>
                <w:rFonts w:cs="Sylfaen"/>
                <w:sz w:val="20"/>
                <w:szCs w:val="20"/>
              </w:rPr>
              <w:t>թյուն</w:t>
            </w:r>
            <w:r w:rsidRPr="0053423A">
              <w:rPr>
                <w:rFonts w:cs="Sylfaen"/>
                <w:sz w:val="20"/>
                <w:szCs w:val="20"/>
                <w:lang w:val="af-ZA"/>
              </w:rPr>
              <w:softHyphen/>
            </w:r>
            <w:r w:rsidRPr="0053423A">
              <w:rPr>
                <w:rFonts w:cs="Sylfaen"/>
                <w:sz w:val="20"/>
                <w:szCs w:val="20"/>
              </w:rPr>
              <w:t>ների</w:t>
            </w:r>
            <w:r w:rsidRPr="0053423A">
              <w:rPr>
                <w:rFonts w:cs="Sylfaen"/>
                <w:sz w:val="20"/>
                <w:szCs w:val="20"/>
                <w:lang w:val="af-ZA"/>
              </w:rPr>
              <w:t xml:space="preserve"> </w:t>
            </w:r>
            <w:r w:rsidRPr="0053423A">
              <w:rPr>
                <w:rFonts w:cs="Sylfaen"/>
                <w:sz w:val="20"/>
                <w:szCs w:val="20"/>
              </w:rPr>
              <w:t>համաձայնեցված</w:t>
            </w:r>
            <w:r w:rsidRPr="0053423A">
              <w:rPr>
                <w:rFonts w:cs="Sylfaen"/>
                <w:sz w:val="20"/>
                <w:szCs w:val="20"/>
                <w:lang w:val="af-ZA"/>
              </w:rPr>
              <w:t xml:space="preserve"> </w:t>
            </w:r>
            <w:r w:rsidRPr="0053423A">
              <w:rPr>
                <w:rFonts w:cs="Sylfaen"/>
                <w:sz w:val="20"/>
                <w:szCs w:val="20"/>
              </w:rPr>
              <w:t>գործու</w:t>
            </w:r>
            <w:r w:rsidRPr="0053423A">
              <w:rPr>
                <w:rFonts w:cs="Sylfaen"/>
                <w:sz w:val="20"/>
                <w:szCs w:val="20"/>
                <w:lang w:val="af-ZA"/>
              </w:rPr>
              <w:softHyphen/>
            </w:r>
            <w:r w:rsidRPr="0053423A">
              <w:rPr>
                <w:rFonts w:cs="Sylfaen"/>
                <w:sz w:val="20"/>
                <w:szCs w:val="20"/>
              </w:rPr>
              <w:t>նեության</w:t>
            </w:r>
            <w:r w:rsidRPr="0053423A">
              <w:rPr>
                <w:rFonts w:cs="Sylfaen"/>
                <w:sz w:val="20"/>
                <w:szCs w:val="20"/>
                <w:lang w:val="af-ZA"/>
              </w:rPr>
              <w:t xml:space="preserve">, </w:t>
            </w:r>
            <w:r w:rsidRPr="0053423A">
              <w:rPr>
                <w:rFonts w:cs="Sylfaen"/>
                <w:sz w:val="20"/>
                <w:szCs w:val="20"/>
              </w:rPr>
              <w:t>ինչպես</w:t>
            </w:r>
            <w:r w:rsidRPr="0053423A">
              <w:rPr>
                <w:rFonts w:cs="Sylfaen"/>
                <w:sz w:val="20"/>
                <w:szCs w:val="20"/>
                <w:lang w:val="af-ZA"/>
              </w:rPr>
              <w:t xml:space="preserve"> </w:t>
            </w:r>
            <w:r w:rsidRPr="0053423A">
              <w:rPr>
                <w:rFonts w:cs="Sylfaen"/>
                <w:sz w:val="20"/>
                <w:szCs w:val="20"/>
              </w:rPr>
              <w:t>նաև</w:t>
            </w:r>
            <w:r w:rsidRPr="0053423A">
              <w:rPr>
                <w:rFonts w:cs="Sylfaen"/>
                <w:sz w:val="20"/>
                <w:szCs w:val="20"/>
                <w:lang w:val="af-ZA"/>
              </w:rPr>
              <w:t xml:space="preserve"> </w:t>
            </w:r>
            <w:r w:rsidRPr="0053423A">
              <w:rPr>
                <w:rFonts w:cs="Sylfaen"/>
                <w:sz w:val="20"/>
                <w:szCs w:val="20"/>
              </w:rPr>
              <w:t>պլանավորման</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վերա</w:t>
            </w:r>
            <w:r w:rsidRPr="0053423A">
              <w:rPr>
                <w:rFonts w:cs="Sylfaen"/>
                <w:sz w:val="20"/>
                <w:szCs w:val="20"/>
                <w:lang w:val="af-ZA"/>
              </w:rPr>
              <w:softHyphen/>
            </w:r>
            <w:r w:rsidRPr="0053423A">
              <w:rPr>
                <w:rFonts w:cs="Sylfaen"/>
                <w:sz w:val="20"/>
                <w:szCs w:val="20"/>
              </w:rPr>
              <w:t>հսկման</w:t>
            </w:r>
            <w:r w:rsidRPr="0053423A">
              <w:rPr>
                <w:rFonts w:cs="Sylfaen"/>
                <w:sz w:val="20"/>
                <w:szCs w:val="20"/>
                <w:lang w:val="af-ZA"/>
              </w:rPr>
              <w:t xml:space="preserve"> </w:t>
            </w:r>
            <w:r w:rsidRPr="0053423A">
              <w:rPr>
                <w:rFonts w:cs="Sylfaen"/>
                <w:sz w:val="20"/>
                <w:szCs w:val="20"/>
              </w:rPr>
              <w:t>մեխանիզմների</w:t>
            </w:r>
            <w:r w:rsidRPr="0053423A">
              <w:rPr>
                <w:rFonts w:cs="Sylfaen"/>
                <w:sz w:val="20"/>
                <w:szCs w:val="20"/>
                <w:lang w:val="af-ZA"/>
              </w:rPr>
              <w:t xml:space="preserve"> </w:t>
            </w:r>
            <w:r w:rsidRPr="0053423A">
              <w:rPr>
                <w:rFonts w:cs="Sylfaen"/>
                <w:sz w:val="20"/>
                <w:szCs w:val="20"/>
              </w:rPr>
              <w:t>արդյունա</w:t>
            </w:r>
            <w:r w:rsidRPr="0053423A">
              <w:rPr>
                <w:rFonts w:cs="Sylfaen"/>
                <w:sz w:val="20"/>
                <w:szCs w:val="20"/>
                <w:lang w:val="af-ZA"/>
              </w:rPr>
              <w:softHyphen/>
            </w:r>
            <w:r w:rsidRPr="0053423A">
              <w:rPr>
                <w:rFonts w:cs="Sylfaen"/>
                <w:sz w:val="20"/>
                <w:szCs w:val="20"/>
              </w:rPr>
              <w:t>վետության</w:t>
            </w:r>
            <w:r w:rsidRPr="0053423A">
              <w:rPr>
                <w:rFonts w:cs="Sylfaen"/>
                <w:sz w:val="20"/>
                <w:szCs w:val="20"/>
                <w:lang w:val="af-ZA"/>
              </w:rPr>
              <w:t xml:space="preserve"> </w:t>
            </w:r>
            <w:r w:rsidRPr="0053423A">
              <w:rPr>
                <w:rFonts w:cs="Sylfaen"/>
                <w:sz w:val="20"/>
                <w:szCs w:val="20"/>
              </w:rPr>
              <w:t>բարձրացման</w:t>
            </w:r>
            <w:r w:rsidRPr="0053423A">
              <w:rPr>
                <w:rFonts w:cs="Sylfaen"/>
                <w:sz w:val="20"/>
                <w:szCs w:val="20"/>
                <w:lang w:val="af-ZA"/>
              </w:rPr>
              <w:t xml:space="preserve"> </w:t>
            </w:r>
            <w:r w:rsidRPr="0053423A">
              <w:rPr>
                <w:rFonts w:cs="Sylfaen"/>
                <w:sz w:val="20"/>
                <w:szCs w:val="20"/>
              </w:rPr>
              <w:t>անհրաժեշտությամբ</w:t>
            </w:r>
            <w:r w:rsidRPr="0053423A">
              <w:rPr>
                <w:rFonts w:cs="Sylfaen"/>
                <w:sz w:val="20"/>
                <w:szCs w:val="20"/>
                <w:lang w:val="af-ZA"/>
              </w:rPr>
              <w:t>:</w:t>
            </w:r>
          </w:p>
          <w:p w:rsidR="00BB45FD" w:rsidRPr="0053423A" w:rsidRDefault="00BB45FD" w:rsidP="00A67858">
            <w:pPr>
              <w:tabs>
                <w:tab w:val="left" w:pos="0"/>
                <w:tab w:val="left" w:pos="450"/>
              </w:tabs>
              <w:spacing w:after="0" w:line="276" w:lineRule="auto"/>
              <w:ind w:firstLine="851"/>
              <w:rPr>
                <w:b/>
                <w:sz w:val="20"/>
                <w:szCs w:val="20"/>
                <w:u w:val="single"/>
                <w:lang w:val="hy-AM"/>
              </w:rPr>
            </w:pPr>
            <w:r w:rsidRPr="0053423A">
              <w:rPr>
                <w:b/>
                <w:sz w:val="20"/>
                <w:szCs w:val="20"/>
                <w:lang w:val="hy-AM"/>
              </w:rPr>
              <w:t>1.1.Կարգավորման հարաբերությունների ներկա վիճակը և առկա խնդիրները</w:t>
            </w:r>
          </w:p>
          <w:p w:rsidR="00BB45FD" w:rsidRPr="0053423A" w:rsidRDefault="00BB45FD" w:rsidP="00A67858">
            <w:pPr>
              <w:pStyle w:val="ListParagraph"/>
              <w:tabs>
                <w:tab w:val="left" w:pos="0"/>
                <w:tab w:val="left" w:pos="851"/>
                <w:tab w:val="left" w:pos="993"/>
              </w:tabs>
              <w:spacing w:after="0" w:line="276" w:lineRule="auto"/>
              <w:ind w:left="0" w:firstLine="851"/>
              <w:rPr>
                <w:rFonts w:cs="Sylfaen"/>
                <w:sz w:val="20"/>
                <w:szCs w:val="20"/>
                <w:lang w:val="hy-AM"/>
              </w:rPr>
            </w:pPr>
            <w:r w:rsidRPr="0053423A">
              <w:rPr>
                <w:rFonts w:cs="Arial AMU"/>
                <w:sz w:val="20"/>
                <w:szCs w:val="20"/>
                <w:lang w:val="hy-AM"/>
              </w:rPr>
              <w:t xml:space="preserve">Զորահավաքային նախապատրաստության և զորահավաքի </w:t>
            </w:r>
            <w:r w:rsidRPr="0053423A">
              <w:rPr>
                <w:rFonts w:cs="Sylfaen"/>
                <w:sz w:val="20"/>
                <w:szCs w:val="20"/>
                <w:lang w:val="hy-AM"/>
              </w:rPr>
              <w:t>իրակա</w:t>
            </w:r>
            <w:r w:rsidRPr="0053423A">
              <w:rPr>
                <w:rFonts w:cs="Sylfaen"/>
                <w:sz w:val="20"/>
                <w:szCs w:val="20"/>
                <w:lang w:val="hy-AM"/>
              </w:rPr>
              <w:softHyphen/>
              <w:t>նացումն ապահովելու ոլորտում.</w:t>
            </w:r>
          </w:p>
          <w:p w:rsidR="00BB45FD" w:rsidRPr="0053423A" w:rsidRDefault="00BB45FD" w:rsidP="001F6D5D">
            <w:pPr>
              <w:pStyle w:val="ListParagraph"/>
              <w:numPr>
                <w:ilvl w:val="0"/>
                <w:numId w:val="160"/>
              </w:numPr>
              <w:tabs>
                <w:tab w:val="left" w:pos="810"/>
                <w:tab w:val="left" w:pos="851"/>
                <w:tab w:val="left" w:pos="1134"/>
              </w:tabs>
              <w:spacing w:after="0" w:line="276" w:lineRule="auto"/>
              <w:ind w:left="0" w:firstLine="851"/>
              <w:jc w:val="both"/>
              <w:rPr>
                <w:sz w:val="20"/>
                <w:szCs w:val="20"/>
                <w:lang w:val="af-ZA"/>
              </w:rPr>
            </w:pPr>
            <w:r w:rsidRPr="0053423A">
              <w:rPr>
                <w:sz w:val="20"/>
                <w:szCs w:val="20"/>
                <w:lang w:val="hy-AM"/>
              </w:rPr>
              <w:t>ճշգրտման կարիք ունի Հանրա</w:t>
            </w:r>
            <w:r w:rsidRPr="0053423A">
              <w:rPr>
                <w:sz w:val="20"/>
                <w:szCs w:val="20"/>
                <w:lang w:val="af-ZA"/>
              </w:rPr>
              <w:softHyphen/>
            </w:r>
            <w:r w:rsidRPr="0053423A">
              <w:rPr>
                <w:sz w:val="20"/>
                <w:szCs w:val="20"/>
                <w:lang w:val="hy-AM"/>
              </w:rPr>
              <w:t>պե</w:t>
            </w:r>
            <w:r w:rsidRPr="0053423A">
              <w:rPr>
                <w:sz w:val="20"/>
                <w:szCs w:val="20"/>
                <w:lang w:val="af-ZA"/>
              </w:rPr>
              <w:softHyphen/>
            </w:r>
            <w:r w:rsidRPr="0053423A">
              <w:rPr>
                <w:sz w:val="20"/>
                <w:szCs w:val="20"/>
                <w:lang w:val="hy-AM"/>
              </w:rPr>
              <w:t>տու</w:t>
            </w:r>
            <w:r w:rsidRPr="0053423A">
              <w:rPr>
                <w:sz w:val="20"/>
                <w:szCs w:val="20"/>
                <w:lang w:val="af-ZA"/>
              </w:rPr>
              <w:softHyphen/>
            </w:r>
            <w:r w:rsidRPr="0053423A">
              <w:rPr>
                <w:sz w:val="20"/>
                <w:szCs w:val="20"/>
                <w:lang w:val="hy-AM"/>
              </w:rPr>
              <w:t>թյան</w:t>
            </w:r>
            <w:r w:rsidRPr="0053423A">
              <w:rPr>
                <w:sz w:val="20"/>
                <w:szCs w:val="20"/>
                <w:lang w:val="af-ZA"/>
              </w:rPr>
              <w:t xml:space="preserve"> </w:t>
            </w:r>
            <w:r w:rsidRPr="0053423A">
              <w:rPr>
                <w:sz w:val="20"/>
                <w:szCs w:val="20"/>
                <w:lang w:val="hy-AM"/>
              </w:rPr>
              <w:t>տնտեսու</w:t>
            </w:r>
            <w:r w:rsidRPr="0053423A">
              <w:rPr>
                <w:sz w:val="20"/>
                <w:szCs w:val="20"/>
                <w:lang w:val="hy-AM"/>
              </w:rPr>
              <w:softHyphen/>
              <w:t>թյան</w:t>
            </w:r>
            <w:r w:rsidRPr="0053423A">
              <w:rPr>
                <w:sz w:val="20"/>
                <w:szCs w:val="20"/>
                <w:lang w:val="af-ZA"/>
              </w:rPr>
              <w:t xml:space="preserve"> զորա</w:t>
            </w:r>
            <w:r w:rsidRPr="0053423A">
              <w:rPr>
                <w:sz w:val="20"/>
                <w:szCs w:val="20"/>
                <w:lang w:val="hy-AM"/>
              </w:rPr>
              <w:softHyphen/>
            </w:r>
            <w:r w:rsidRPr="0053423A">
              <w:rPr>
                <w:sz w:val="20"/>
                <w:szCs w:val="20"/>
                <w:lang w:val="af-ZA"/>
              </w:rPr>
              <w:t>հա</w:t>
            </w:r>
            <w:r w:rsidRPr="0053423A">
              <w:rPr>
                <w:sz w:val="20"/>
                <w:szCs w:val="20"/>
                <w:lang w:val="af-ZA"/>
              </w:rPr>
              <w:softHyphen/>
            </w:r>
            <w:r w:rsidRPr="0053423A">
              <w:rPr>
                <w:sz w:val="20"/>
                <w:szCs w:val="20"/>
                <w:lang w:val="af-ZA"/>
              </w:rPr>
              <w:softHyphen/>
              <w:t>վաքային պլանը</w:t>
            </w:r>
            <w:r w:rsidRPr="0053423A">
              <w:rPr>
                <w:sz w:val="20"/>
                <w:szCs w:val="20"/>
                <w:lang w:val="hy-AM"/>
              </w:rPr>
              <w:t xml:space="preserve">, </w:t>
            </w:r>
          </w:p>
          <w:p w:rsidR="00BB45FD" w:rsidRPr="0053423A" w:rsidRDefault="00BB45FD" w:rsidP="001F6D5D">
            <w:pPr>
              <w:pStyle w:val="ListParagraph"/>
              <w:numPr>
                <w:ilvl w:val="0"/>
                <w:numId w:val="160"/>
              </w:numPr>
              <w:tabs>
                <w:tab w:val="left" w:pos="810"/>
                <w:tab w:val="left" w:pos="851"/>
                <w:tab w:val="left" w:pos="1134"/>
              </w:tabs>
              <w:spacing w:after="0" w:line="276" w:lineRule="auto"/>
              <w:ind w:left="0" w:firstLine="851"/>
              <w:jc w:val="both"/>
              <w:rPr>
                <w:b/>
                <w:sz w:val="20"/>
                <w:szCs w:val="20"/>
                <w:lang w:val="af-ZA"/>
              </w:rPr>
            </w:pPr>
            <w:r w:rsidRPr="0053423A">
              <w:rPr>
                <w:rFonts w:cs="Sylfaen"/>
                <w:sz w:val="20"/>
                <w:szCs w:val="20"/>
                <w:lang w:val="af-ZA"/>
              </w:rPr>
              <w:t>զորահավաքային</w:t>
            </w:r>
            <w:r w:rsidRPr="0053423A">
              <w:rPr>
                <w:sz w:val="20"/>
                <w:szCs w:val="20"/>
                <w:lang w:val="af-ZA"/>
              </w:rPr>
              <w:t xml:space="preserve"> </w:t>
            </w:r>
            <w:r w:rsidRPr="0053423A">
              <w:rPr>
                <w:rFonts w:cs="Sylfaen"/>
                <w:sz w:val="20"/>
                <w:szCs w:val="20"/>
                <w:lang w:val="af-ZA"/>
              </w:rPr>
              <w:t>նախապատրաստության</w:t>
            </w:r>
            <w:r w:rsidRPr="0053423A">
              <w:rPr>
                <w:sz w:val="20"/>
                <w:szCs w:val="20"/>
                <w:lang w:val="af-ZA"/>
              </w:rPr>
              <w:t xml:space="preserve"> </w:t>
            </w:r>
            <w:r w:rsidRPr="0053423A">
              <w:rPr>
                <w:rFonts w:cs="Sylfaen"/>
                <w:sz w:val="20"/>
                <w:szCs w:val="20"/>
                <w:lang w:val="af-ZA"/>
              </w:rPr>
              <w:t>և</w:t>
            </w:r>
            <w:r w:rsidRPr="0053423A">
              <w:rPr>
                <w:sz w:val="20"/>
                <w:szCs w:val="20"/>
                <w:lang w:val="af-ZA"/>
              </w:rPr>
              <w:t xml:space="preserve"> </w:t>
            </w:r>
            <w:r w:rsidRPr="0053423A">
              <w:rPr>
                <w:rFonts w:cs="Sylfaen"/>
                <w:sz w:val="20"/>
                <w:szCs w:val="20"/>
                <w:lang w:val="af-ZA"/>
              </w:rPr>
              <w:t>զորահավաքային</w:t>
            </w:r>
            <w:r w:rsidRPr="0053423A">
              <w:rPr>
                <w:sz w:val="20"/>
                <w:szCs w:val="20"/>
                <w:lang w:val="af-ZA"/>
              </w:rPr>
              <w:t xml:space="preserve"> </w:t>
            </w:r>
            <w:r w:rsidRPr="0053423A">
              <w:rPr>
                <w:rFonts w:cs="Sylfaen"/>
                <w:sz w:val="20"/>
                <w:szCs w:val="20"/>
                <w:lang w:val="af-ZA"/>
              </w:rPr>
              <w:t>առաջադրանք</w:t>
            </w:r>
            <w:r w:rsidRPr="0053423A">
              <w:rPr>
                <w:rFonts w:cs="Sylfaen"/>
                <w:sz w:val="20"/>
                <w:szCs w:val="20"/>
                <w:lang w:val="af-ZA"/>
              </w:rPr>
              <w:softHyphen/>
              <w:t>ները</w:t>
            </w:r>
            <w:r w:rsidRPr="0053423A">
              <w:rPr>
                <w:sz w:val="20"/>
                <w:szCs w:val="20"/>
                <w:lang w:val="af-ZA"/>
              </w:rPr>
              <w:t xml:space="preserve"> </w:t>
            </w:r>
            <w:r w:rsidRPr="0053423A">
              <w:rPr>
                <w:rFonts w:cs="Sylfaen"/>
                <w:sz w:val="20"/>
                <w:szCs w:val="20"/>
                <w:lang w:val="af-ZA"/>
              </w:rPr>
              <w:t>կատարելու</w:t>
            </w:r>
            <w:r w:rsidRPr="0053423A">
              <w:rPr>
                <w:sz w:val="20"/>
                <w:szCs w:val="20"/>
                <w:lang w:val="af-ZA"/>
              </w:rPr>
              <w:t xml:space="preserve"> </w:t>
            </w:r>
            <w:r w:rsidRPr="0053423A">
              <w:rPr>
                <w:rFonts w:cs="Sylfaen"/>
                <w:sz w:val="20"/>
                <w:szCs w:val="20"/>
                <w:lang w:val="af-ZA"/>
              </w:rPr>
              <w:t>համար</w:t>
            </w:r>
            <w:r w:rsidRPr="0053423A">
              <w:rPr>
                <w:sz w:val="20"/>
                <w:szCs w:val="20"/>
                <w:lang w:val="af-ZA"/>
              </w:rPr>
              <w:t xml:space="preserve"> </w:t>
            </w:r>
            <w:r w:rsidRPr="0053423A">
              <w:rPr>
                <w:rFonts w:cs="Sylfaen"/>
                <w:sz w:val="20"/>
                <w:szCs w:val="20"/>
                <w:lang w:val="af-ZA"/>
              </w:rPr>
              <w:t>այսօր</w:t>
            </w:r>
            <w:r w:rsidRPr="0053423A">
              <w:rPr>
                <w:sz w:val="20"/>
                <w:szCs w:val="20"/>
                <w:lang w:val="af-ZA"/>
              </w:rPr>
              <w:t xml:space="preserve"> </w:t>
            </w:r>
            <w:r w:rsidRPr="0053423A">
              <w:rPr>
                <w:rFonts w:cs="Sylfaen"/>
                <w:sz w:val="20"/>
                <w:szCs w:val="20"/>
                <w:lang w:val="af-ZA"/>
              </w:rPr>
              <w:t>ընդունված</w:t>
            </w:r>
            <w:r w:rsidRPr="0053423A">
              <w:rPr>
                <w:sz w:val="20"/>
                <w:szCs w:val="20"/>
                <w:lang w:val="af-ZA"/>
              </w:rPr>
              <w:t xml:space="preserve"> </w:t>
            </w:r>
            <w:r w:rsidRPr="0053423A">
              <w:rPr>
                <w:rFonts w:cs="Sylfaen"/>
                <w:sz w:val="20"/>
                <w:szCs w:val="20"/>
                <w:lang w:val="af-ZA"/>
              </w:rPr>
              <w:t>մի</w:t>
            </w:r>
            <w:r w:rsidRPr="0053423A">
              <w:rPr>
                <w:sz w:val="20"/>
                <w:szCs w:val="20"/>
                <w:lang w:val="af-ZA"/>
              </w:rPr>
              <w:t xml:space="preserve"> </w:t>
            </w:r>
            <w:r w:rsidRPr="0053423A">
              <w:rPr>
                <w:rFonts w:cs="Sylfaen"/>
                <w:sz w:val="20"/>
                <w:szCs w:val="20"/>
                <w:lang w:val="af-ZA"/>
              </w:rPr>
              <w:t>շարք</w:t>
            </w:r>
            <w:r w:rsidRPr="0053423A">
              <w:rPr>
                <w:sz w:val="20"/>
                <w:szCs w:val="20"/>
                <w:lang w:val="af-ZA"/>
              </w:rPr>
              <w:t xml:space="preserve"> </w:t>
            </w:r>
            <w:r w:rsidRPr="0053423A">
              <w:rPr>
                <w:rFonts w:cs="Sylfaen"/>
                <w:sz w:val="20"/>
                <w:szCs w:val="20"/>
                <w:lang w:val="af-ZA"/>
              </w:rPr>
              <w:t>օրենսդրա</w:t>
            </w:r>
            <w:r w:rsidRPr="0053423A">
              <w:rPr>
                <w:rFonts w:cs="Sylfaen"/>
                <w:sz w:val="20"/>
                <w:szCs w:val="20"/>
                <w:lang w:val="af-ZA"/>
              </w:rPr>
              <w:softHyphen/>
              <w:t>կան</w:t>
            </w:r>
            <w:r w:rsidRPr="0053423A">
              <w:rPr>
                <w:sz w:val="20"/>
                <w:szCs w:val="20"/>
                <w:lang w:val="af-ZA"/>
              </w:rPr>
              <w:t xml:space="preserve"> </w:t>
            </w:r>
            <w:r w:rsidRPr="0053423A">
              <w:rPr>
                <w:rFonts w:cs="Sylfaen"/>
                <w:sz w:val="20"/>
                <w:szCs w:val="20"/>
                <w:lang w:val="af-ZA"/>
              </w:rPr>
              <w:t>և</w:t>
            </w:r>
            <w:r w:rsidRPr="0053423A">
              <w:rPr>
                <w:sz w:val="20"/>
                <w:szCs w:val="20"/>
                <w:lang w:val="af-ZA"/>
              </w:rPr>
              <w:t xml:space="preserve"> </w:t>
            </w:r>
            <w:r w:rsidRPr="0053423A">
              <w:rPr>
                <w:rFonts w:cs="Sylfaen"/>
                <w:sz w:val="20"/>
                <w:szCs w:val="20"/>
                <w:lang w:val="af-ZA"/>
              </w:rPr>
              <w:t>ենթա</w:t>
            </w:r>
            <w:r w:rsidRPr="0053423A">
              <w:rPr>
                <w:rFonts w:cs="Sylfaen"/>
                <w:sz w:val="20"/>
                <w:szCs w:val="20"/>
                <w:lang w:val="af-ZA"/>
              </w:rPr>
              <w:softHyphen/>
              <w:t>օրենսդրական</w:t>
            </w:r>
            <w:r w:rsidRPr="0053423A">
              <w:rPr>
                <w:sz w:val="20"/>
                <w:szCs w:val="20"/>
                <w:lang w:val="af-ZA"/>
              </w:rPr>
              <w:t xml:space="preserve"> </w:t>
            </w:r>
            <w:r w:rsidRPr="0053423A">
              <w:rPr>
                <w:rFonts w:cs="Sylfaen"/>
                <w:sz w:val="20"/>
                <w:szCs w:val="20"/>
                <w:lang w:val="af-ZA"/>
              </w:rPr>
              <w:t>ակտերում</w:t>
            </w:r>
            <w:r w:rsidRPr="0053423A">
              <w:rPr>
                <w:sz w:val="20"/>
                <w:szCs w:val="20"/>
                <w:lang w:val="af-ZA"/>
              </w:rPr>
              <w:t xml:space="preserve">, </w:t>
            </w:r>
            <w:r w:rsidRPr="0053423A">
              <w:rPr>
                <w:rFonts w:cs="Sylfaen"/>
                <w:sz w:val="20"/>
                <w:szCs w:val="20"/>
                <w:lang w:val="af-ZA"/>
              </w:rPr>
              <w:t>ընդգրկված</w:t>
            </w:r>
            <w:r w:rsidRPr="0053423A">
              <w:rPr>
                <w:sz w:val="20"/>
                <w:szCs w:val="20"/>
                <w:lang w:val="af-ZA"/>
              </w:rPr>
              <w:t xml:space="preserve"> </w:t>
            </w:r>
            <w:r w:rsidRPr="0053423A">
              <w:rPr>
                <w:rFonts w:cs="Sylfaen"/>
                <w:sz w:val="20"/>
                <w:szCs w:val="20"/>
                <w:lang w:val="af-ZA"/>
              </w:rPr>
              <w:t>ընկերու</w:t>
            </w:r>
            <w:r w:rsidRPr="0053423A">
              <w:rPr>
                <w:rFonts w:cs="Sylfaen"/>
                <w:sz w:val="20"/>
                <w:szCs w:val="20"/>
                <w:lang w:val="af-ZA"/>
              </w:rPr>
              <w:softHyphen/>
              <w:t>թյունների</w:t>
            </w:r>
            <w:r w:rsidRPr="0053423A">
              <w:rPr>
                <w:sz w:val="20"/>
                <w:szCs w:val="20"/>
                <w:lang w:val="af-ZA"/>
              </w:rPr>
              <w:t xml:space="preserve"> </w:t>
            </w:r>
            <w:r w:rsidRPr="0053423A">
              <w:rPr>
                <w:rFonts w:cs="Sylfaen"/>
                <w:sz w:val="20"/>
                <w:szCs w:val="20"/>
                <w:lang w:val="af-ZA"/>
              </w:rPr>
              <w:t>հետ</w:t>
            </w:r>
            <w:r w:rsidRPr="0053423A">
              <w:rPr>
                <w:sz w:val="20"/>
                <w:szCs w:val="20"/>
                <w:lang w:val="af-ZA"/>
              </w:rPr>
              <w:t xml:space="preserve"> </w:t>
            </w:r>
            <w:r w:rsidRPr="0053423A">
              <w:rPr>
                <w:rFonts w:cs="Sylfaen"/>
                <w:sz w:val="20"/>
                <w:szCs w:val="20"/>
                <w:lang w:val="af-ZA"/>
              </w:rPr>
              <w:t>զորահավաքային</w:t>
            </w:r>
            <w:r w:rsidRPr="0053423A">
              <w:rPr>
                <w:sz w:val="20"/>
                <w:szCs w:val="20"/>
                <w:lang w:val="af-ZA"/>
              </w:rPr>
              <w:t xml:space="preserve"> </w:t>
            </w:r>
            <w:r w:rsidRPr="0053423A">
              <w:rPr>
                <w:rFonts w:cs="Sylfaen"/>
                <w:sz w:val="20"/>
                <w:szCs w:val="20"/>
                <w:lang w:val="af-ZA"/>
              </w:rPr>
              <w:t>առաջադրանքները</w:t>
            </w:r>
            <w:r w:rsidRPr="0053423A">
              <w:rPr>
                <w:sz w:val="20"/>
                <w:szCs w:val="20"/>
                <w:lang w:val="af-ZA"/>
              </w:rPr>
              <w:t xml:space="preserve"> </w:t>
            </w:r>
            <w:r w:rsidRPr="0053423A">
              <w:rPr>
                <w:rFonts w:cs="Sylfaen"/>
                <w:sz w:val="20"/>
                <w:szCs w:val="20"/>
                <w:lang w:val="af-ZA"/>
              </w:rPr>
              <w:t>կատարելու</w:t>
            </w:r>
            <w:r w:rsidRPr="0053423A">
              <w:rPr>
                <w:sz w:val="20"/>
                <w:szCs w:val="20"/>
                <w:lang w:val="af-ZA"/>
              </w:rPr>
              <w:t xml:space="preserve"> </w:t>
            </w:r>
            <w:r w:rsidRPr="0053423A">
              <w:rPr>
                <w:rFonts w:cs="Sylfaen"/>
                <w:sz w:val="20"/>
                <w:szCs w:val="20"/>
                <w:lang w:val="af-ZA"/>
              </w:rPr>
              <w:t>համար</w:t>
            </w:r>
            <w:r w:rsidRPr="0053423A">
              <w:rPr>
                <w:sz w:val="20"/>
                <w:szCs w:val="20"/>
                <w:lang w:val="af-ZA"/>
              </w:rPr>
              <w:t xml:space="preserve"> </w:t>
            </w:r>
            <w:r w:rsidRPr="0053423A">
              <w:rPr>
                <w:rFonts w:cs="Sylfaen"/>
                <w:sz w:val="20"/>
                <w:szCs w:val="20"/>
                <w:lang w:val="af-ZA"/>
              </w:rPr>
              <w:t>կնքված համապատասխան</w:t>
            </w:r>
            <w:r w:rsidRPr="0053423A">
              <w:rPr>
                <w:sz w:val="20"/>
                <w:szCs w:val="20"/>
                <w:lang w:val="af-ZA"/>
              </w:rPr>
              <w:t xml:space="preserve"> </w:t>
            </w:r>
            <w:r w:rsidRPr="0053423A">
              <w:rPr>
                <w:rFonts w:cs="Sylfaen"/>
                <w:sz w:val="20"/>
                <w:szCs w:val="20"/>
                <w:lang w:val="af-ZA"/>
              </w:rPr>
              <w:t>պայմանագրեր</w:t>
            </w:r>
            <w:r w:rsidRPr="0053423A">
              <w:rPr>
                <w:sz w:val="20"/>
                <w:szCs w:val="20"/>
                <w:lang w:val="af-ZA"/>
              </w:rPr>
              <w:t>ով  նախատեսված առա</w:t>
            </w:r>
            <w:r w:rsidRPr="0053423A">
              <w:rPr>
                <w:sz w:val="20"/>
                <w:szCs w:val="20"/>
                <w:lang w:val="af-ZA"/>
              </w:rPr>
              <w:softHyphen/>
              <w:t>ջադրանքները սահմանված ժամկետում կատարելու համար առկա են մի շարք խնդիրներ:</w:t>
            </w:r>
          </w:p>
          <w:p w:rsidR="00BB45FD" w:rsidRPr="0053423A" w:rsidRDefault="00BB45FD" w:rsidP="00A67858">
            <w:pPr>
              <w:pStyle w:val="ListParagraph"/>
              <w:tabs>
                <w:tab w:val="left" w:pos="810"/>
                <w:tab w:val="left" w:pos="851"/>
                <w:tab w:val="left" w:pos="1134"/>
              </w:tabs>
              <w:spacing w:after="0" w:line="276" w:lineRule="auto"/>
              <w:ind w:left="851"/>
              <w:rPr>
                <w:b/>
                <w:sz w:val="20"/>
                <w:szCs w:val="20"/>
                <w:lang w:val="af-ZA"/>
              </w:rPr>
            </w:pPr>
            <w:r w:rsidRPr="0053423A">
              <w:rPr>
                <w:rFonts w:cs="Sylfaen"/>
                <w:b/>
                <w:sz w:val="20"/>
                <w:szCs w:val="20"/>
                <w:lang w:val="af-ZA"/>
              </w:rPr>
              <w:t>1.2.</w:t>
            </w:r>
            <w:r w:rsidRPr="0053423A">
              <w:rPr>
                <w:b/>
                <w:sz w:val="20"/>
                <w:szCs w:val="20"/>
                <w:lang w:val="af-ZA"/>
              </w:rPr>
              <w:t xml:space="preserve"> </w:t>
            </w:r>
            <w:r w:rsidRPr="0053423A">
              <w:rPr>
                <w:b/>
                <w:sz w:val="20"/>
                <w:szCs w:val="20"/>
              </w:rPr>
              <w:t>Առկա</w:t>
            </w:r>
            <w:r w:rsidRPr="0053423A">
              <w:rPr>
                <w:b/>
                <w:sz w:val="20"/>
                <w:szCs w:val="20"/>
                <w:lang w:val="af-ZA"/>
              </w:rPr>
              <w:t xml:space="preserve"> </w:t>
            </w:r>
            <w:r w:rsidRPr="0053423A">
              <w:rPr>
                <w:b/>
                <w:sz w:val="20"/>
                <w:szCs w:val="20"/>
              </w:rPr>
              <w:t>խնդիրների</w:t>
            </w:r>
            <w:r w:rsidRPr="0053423A">
              <w:rPr>
                <w:b/>
                <w:sz w:val="20"/>
                <w:szCs w:val="20"/>
                <w:lang w:val="af-ZA"/>
              </w:rPr>
              <w:t xml:space="preserve"> </w:t>
            </w:r>
            <w:r w:rsidRPr="0053423A">
              <w:rPr>
                <w:b/>
                <w:sz w:val="20"/>
                <w:szCs w:val="20"/>
              </w:rPr>
              <w:t>առաջարկվող</w:t>
            </w:r>
            <w:r w:rsidRPr="0053423A">
              <w:rPr>
                <w:b/>
                <w:sz w:val="20"/>
                <w:szCs w:val="20"/>
                <w:lang w:val="af-ZA"/>
              </w:rPr>
              <w:t xml:space="preserve"> </w:t>
            </w:r>
            <w:r w:rsidRPr="0053423A">
              <w:rPr>
                <w:b/>
                <w:sz w:val="20"/>
                <w:szCs w:val="20"/>
              </w:rPr>
              <w:t>լուծումները</w:t>
            </w:r>
          </w:p>
          <w:p w:rsidR="00BB45FD" w:rsidRPr="0053423A" w:rsidRDefault="00BB45FD" w:rsidP="00A67858">
            <w:pPr>
              <w:pStyle w:val="ListParagraph"/>
              <w:tabs>
                <w:tab w:val="left" w:pos="0"/>
                <w:tab w:val="left" w:pos="851"/>
                <w:tab w:val="left" w:pos="993"/>
              </w:tabs>
              <w:spacing w:after="0" w:line="276" w:lineRule="auto"/>
              <w:ind w:left="0" w:firstLine="851"/>
              <w:rPr>
                <w:rFonts w:cs="Sylfaen"/>
                <w:sz w:val="20"/>
                <w:szCs w:val="20"/>
                <w:lang w:val="af-ZA"/>
              </w:rPr>
            </w:pPr>
            <w:r w:rsidRPr="0053423A">
              <w:rPr>
                <w:rFonts w:cs="Sylfaen"/>
                <w:sz w:val="20"/>
                <w:szCs w:val="20"/>
              </w:rPr>
              <w:t>Պ</w:t>
            </w:r>
            <w:r w:rsidRPr="0053423A">
              <w:rPr>
                <w:rFonts w:cs="Sylfaen"/>
                <w:sz w:val="20"/>
                <w:szCs w:val="20"/>
                <w:lang w:val="hy-AM"/>
              </w:rPr>
              <w:t>ետության զորահավաքային նախապատրաստության և զորահավաքի գործընթաց</w:t>
            </w:r>
            <w:r w:rsidRPr="0053423A">
              <w:rPr>
                <w:rFonts w:cs="Sylfaen"/>
                <w:sz w:val="20"/>
                <w:szCs w:val="20"/>
              </w:rPr>
              <w:t>ներ</w:t>
            </w:r>
            <w:r w:rsidRPr="0053423A">
              <w:rPr>
                <w:rFonts w:cs="Sylfaen"/>
                <w:sz w:val="20"/>
                <w:szCs w:val="20"/>
                <w:lang w:val="hy-AM"/>
              </w:rPr>
              <w:t>ի կանոնա</w:t>
            </w:r>
            <w:r w:rsidRPr="0053423A">
              <w:rPr>
                <w:rFonts w:cs="Sylfaen"/>
                <w:sz w:val="20"/>
                <w:szCs w:val="20"/>
                <w:lang w:val="af-ZA"/>
              </w:rPr>
              <w:softHyphen/>
            </w:r>
            <w:r w:rsidRPr="0053423A">
              <w:rPr>
                <w:rFonts w:cs="Sylfaen"/>
                <w:sz w:val="20"/>
                <w:szCs w:val="20"/>
                <w:lang w:val="hy-AM"/>
              </w:rPr>
              <w:t>կարգման և դրանց կազմակերպումն առավել արդյունավետ դարձնելու նպատակով անհրաժեշտ է</w:t>
            </w:r>
            <w:r w:rsidRPr="0053423A">
              <w:rPr>
                <w:rFonts w:cs="Sylfaen"/>
                <w:sz w:val="20"/>
                <w:szCs w:val="20"/>
                <w:lang w:val="af-ZA"/>
              </w:rPr>
              <w:t xml:space="preserve"> </w:t>
            </w:r>
            <w:r w:rsidRPr="0053423A">
              <w:rPr>
                <w:rFonts w:cs="Sylfaen"/>
                <w:sz w:val="20"/>
                <w:szCs w:val="20"/>
              </w:rPr>
              <w:t>ձևավորել</w:t>
            </w:r>
            <w:r w:rsidRPr="0053423A">
              <w:rPr>
                <w:rFonts w:cs="Sylfaen"/>
                <w:sz w:val="20"/>
                <w:szCs w:val="20"/>
                <w:lang w:val="af-ZA"/>
              </w:rPr>
              <w:t xml:space="preserve"> </w:t>
            </w:r>
            <w:r w:rsidRPr="0053423A">
              <w:rPr>
                <w:sz w:val="20"/>
                <w:szCs w:val="20"/>
                <w:lang w:val="af-ZA"/>
              </w:rPr>
              <w:t xml:space="preserve">ՀՀ-ում զենքի, </w:t>
            </w:r>
            <w:r w:rsidRPr="0053423A">
              <w:rPr>
                <w:rFonts w:cs="Sylfaen"/>
                <w:sz w:val="20"/>
                <w:szCs w:val="20"/>
                <w:lang w:val="hy-AM"/>
              </w:rPr>
              <w:t>ռազմա</w:t>
            </w:r>
            <w:r w:rsidRPr="0053423A">
              <w:rPr>
                <w:rFonts w:cs="Sylfaen"/>
                <w:sz w:val="20"/>
                <w:szCs w:val="20"/>
                <w:lang w:val="af-ZA"/>
              </w:rPr>
              <w:softHyphen/>
            </w:r>
            <w:r w:rsidRPr="0053423A">
              <w:rPr>
                <w:rFonts w:cs="Sylfaen"/>
                <w:sz w:val="20"/>
                <w:szCs w:val="20"/>
                <w:lang w:val="hy-AM"/>
              </w:rPr>
              <w:t>մթերքի</w:t>
            </w:r>
            <w:r w:rsidRPr="0053423A">
              <w:rPr>
                <w:rFonts w:cs="Sylfaen"/>
                <w:sz w:val="20"/>
                <w:szCs w:val="20"/>
                <w:lang w:val="af-ZA"/>
              </w:rPr>
              <w:t xml:space="preserve"> </w:t>
            </w:r>
            <w:r w:rsidRPr="0053423A">
              <w:rPr>
                <w:sz w:val="20"/>
                <w:szCs w:val="20"/>
                <w:lang w:val="hy-AM"/>
              </w:rPr>
              <w:t>արտա</w:t>
            </w:r>
            <w:r w:rsidRPr="0053423A">
              <w:rPr>
                <w:sz w:val="20"/>
                <w:szCs w:val="20"/>
                <w:lang w:val="af-ZA"/>
              </w:rPr>
              <w:softHyphen/>
            </w:r>
            <w:r w:rsidRPr="0053423A">
              <w:rPr>
                <w:sz w:val="20"/>
                <w:szCs w:val="20"/>
                <w:lang w:val="hy-AM"/>
              </w:rPr>
              <w:t>դրու</w:t>
            </w:r>
            <w:r w:rsidRPr="0053423A">
              <w:rPr>
                <w:sz w:val="20"/>
                <w:szCs w:val="20"/>
                <w:lang w:val="af-ZA"/>
              </w:rPr>
              <w:softHyphen/>
            </w:r>
            <w:r w:rsidRPr="0053423A">
              <w:rPr>
                <w:sz w:val="20"/>
                <w:szCs w:val="20"/>
                <w:lang w:val="hy-AM"/>
              </w:rPr>
              <w:t>թյան</w:t>
            </w:r>
            <w:r w:rsidRPr="0053423A">
              <w:rPr>
                <w:sz w:val="20"/>
                <w:szCs w:val="20"/>
                <w:lang w:val="af-ZA"/>
              </w:rPr>
              <w:t>, սպա</w:t>
            </w:r>
            <w:r w:rsidRPr="0053423A">
              <w:rPr>
                <w:sz w:val="20"/>
                <w:szCs w:val="20"/>
                <w:lang w:val="hy-AM"/>
              </w:rPr>
              <w:softHyphen/>
            </w:r>
            <w:r w:rsidRPr="0053423A">
              <w:rPr>
                <w:sz w:val="20"/>
                <w:szCs w:val="20"/>
                <w:lang w:val="af-ZA"/>
              </w:rPr>
              <w:softHyphen/>
              <w:t>ռա</w:t>
            </w:r>
            <w:r w:rsidRPr="0053423A">
              <w:rPr>
                <w:sz w:val="20"/>
                <w:szCs w:val="20"/>
                <w:lang w:val="af-ZA"/>
              </w:rPr>
              <w:softHyphen/>
              <w:t>զի</w:t>
            </w:r>
            <w:r w:rsidRPr="0053423A">
              <w:rPr>
                <w:sz w:val="20"/>
                <w:szCs w:val="20"/>
                <w:lang w:val="af-ZA"/>
              </w:rPr>
              <w:softHyphen/>
              <w:t>նու</w:t>
            </w:r>
            <w:r w:rsidRPr="0053423A">
              <w:rPr>
                <w:sz w:val="20"/>
                <w:szCs w:val="20"/>
                <w:lang w:val="af-ZA"/>
              </w:rPr>
              <w:softHyphen/>
              <w:t xml:space="preserve">թյան և </w:t>
            </w:r>
            <w:r w:rsidRPr="0053423A">
              <w:rPr>
                <w:sz w:val="20"/>
                <w:szCs w:val="20"/>
                <w:lang w:val="hy-AM"/>
              </w:rPr>
              <w:t>ռազ</w:t>
            </w:r>
            <w:r w:rsidRPr="0053423A">
              <w:rPr>
                <w:sz w:val="20"/>
                <w:szCs w:val="20"/>
                <w:lang w:val="af-ZA"/>
              </w:rPr>
              <w:softHyphen/>
            </w:r>
            <w:r w:rsidRPr="0053423A">
              <w:rPr>
                <w:sz w:val="20"/>
                <w:szCs w:val="20"/>
                <w:lang w:val="af-ZA"/>
              </w:rPr>
              <w:softHyphen/>
            </w:r>
            <w:r w:rsidRPr="0053423A">
              <w:rPr>
                <w:sz w:val="20"/>
                <w:szCs w:val="20"/>
                <w:lang w:val="hy-AM"/>
              </w:rPr>
              <w:t>մական</w:t>
            </w:r>
            <w:r w:rsidRPr="0053423A">
              <w:rPr>
                <w:sz w:val="20"/>
                <w:szCs w:val="20"/>
                <w:lang w:val="af-ZA"/>
              </w:rPr>
              <w:t xml:space="preserve"> </w:t>
            </w:r>
            <w:r w:rsidRPr="0053423A">
              <w:rPr>
                <w:sz w:val="20"/>
                <w:szCs w:val="20"/>
                <w:lang w:val="hy-AM"/>
              </w:rPr>
              <w:t>տեխ</w:t>
            </w:r>
            <w:r w:rsidRPr="0053423A">
              <w:rPr>
                <w:sz w:val="20"/>
                <w:szCs w:val="20"/>
                <w:lang w:val="hy-AM"/>
              </w:rPr>
              <w:softHyphen/>
              <w:t>նի</w:t>
            </w:r>
            <w:r w:rsidRPr="0053423A">
              <w:rPr>
                <w:sz w:val="20"/>
                <w:szCs w:val="20"/>
                <w:lang w:val="af-ZA"/>
              </w:rPr>
              <w:softHyphen/>
            </w:r>
            <w:r w:rsidRPr="0053423A">
              <w:rPr>
                <w:sz w:val="20"/>
                <w:szCs w:val="20"/>
                <w:lang w:val="hy-AM"/>
              </w:rPr>
              <w:softHyphen/>
            </w:r>
            <w:r w:rsidRPr="0053423A">
              <w:rPr>
                <w:sz w:val="20"/>
                <w:szCs w:val="20"/>
                <w:lang w:val="af-ZA"/>
              </w:rPr>
              <w:softHyphen/>
            </w:r>
            <w:r w:rsidRPr="0053423A">
              <w:rPr>
                <w:sz w:val="20"/>
                <w:szCs w:val="20"/>
                <w:lang w:val="hy-AM"/>
              </w:rPr>
              <w:t>կայի</w:t>
            </w:r>
            <w:r w:rsidRPr="0053423A">
              <w:rPr>
                <w:sz w:val="20"/>
                <w:szCs w:val="20"/>
                <w:lang w:val="af-ZA"/>
              </w:rPr>
              <w:t xml:space="preserve"> </w:t>
            </w:r>
            <w:r w:rsidRPr="0053423A">
              <w:rPr>
                <w:sz w:val="20"/>
                <w:szCs w:val="20"/>
                <w:lang w:val="hy-AM"/>
              </w:rPr>
              <w:t>նո</w:t>
            </w:r>
            <w:r w:rsidRPr="0053423A">
              <w:rPr>
                <w:sz w:val="20"/>
                <w:szCs w:val="20"/>
                <w:lang w:val="af-ZA"/>
              </w:rPr>
              <w:softHyphen/>
            </w:r>
            <w:r w:rsidRPr="0053423A">
              <w:rPr>
                <w:sz w:val="20"/>
                <w:szCs w:val="20"/>
                <w:lang w:val="hy-AM"/>
              </w:rPr>
              <w:t>րոգ</w:t>
            </w:r>
            <w:r w:rsidRPr="0053423A">
              <w:rPr>
                <w:sz w:val="20"/>
                <w:szCs w:val="20"/>
                <w:lang w:val="af-ZA"/>
              </w:rPr>
              <w:softHyphen/>
            </w:r>
            <w:r w:rsidRPr="0053423A">
              <w:rPr>
                <w:sz w:val="20"/>
                <w:szCs w:val="20"/>
                <w:lang w:val="hy-AM"/>
              </w:rPr>
              <w:t>ման</w:t>
            </w:r>
            <w:r w:rsidRPr="0053423A">
              <w:rPr>
                <w:sz w:val="20"/>
                <w:szCs w:val="20"/>
                <w:lang w:val="af-ZA"/>
              </w:rPr>
              <w:t xml:space="preserve"> </w:t>
            </w:r>
            <w:r w:rsidRPr="0053423A">
              <w:rPr>
                <w:sz w:val="20"/>
                <w:szCs w:val="20"/>
                <w:lang w:val="hy-AM"/>
              </w:rPr>
              <w:t>զորահավաքային</w:t>
            </w:r>
            <w:r w:rsidRPr="0053423A">
              <w:rPr>
                <w:sz w:val="20"/>
                <w:szCs w:val="20"/>
                <w:lang w:val="af-ZA"/>
              </w:rPr>
              <w:t xml:space="preserve"> </w:t>
            </w:r>
            <w:r w:rsidRPr="0053423A">
              <w:rPr>
                <w:sz w:val="20"/>
                <w:szCs w:val="20"/>
                <w:lang w:val="hy-AM"/>
              </w:rPr>
              <w:t>պահանջ</w:t>
            </w:r>
            <w:r w:rsidRPr="0053423A">
              <w:rPr>
                <w:sz w:val="20"/>
                <w:szCs w:val="20"/>
                <w:lang w:val="af-ZA"/>
              </w:rPr>
              <w:softHyphen/>
            </w:r>
            <w:r w:rsidRPr="0053423A">
              <w:rPr>
                <w:sz w:val="20"/>
                <w:szCs w:val="20"/>
                <w:lang w:val="hy-AM"/>
              </w:rPr>
              <w:t>արկները</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lang w:val="hy-AM"/>
              </w:rPr>
              <w:t>զորահավաքային</w:t>
            </w:r>
            <w:r w:rsidRPr="0053423A">
              <w:rPr>
                <w:sz w:val="20"/>
                <w:szCs w:val="20"/>
                <w:lang w:val="af-ZA"/>
              </w:rPr>
              <w:t xml:space="preserve"> </w:t>
            </w:r>
            <w:r w:rsidRPr="0053423A">
              <w:rPr>
                <w:sz w:val="20"/>
                <w:szCs w:val="20"/>
                <w:lang w:val="hy-AM"/>
              </w:rPr>
              <w:t>պահուստում</w:t>
            </w:r>
            <w:r w:rsidRPr="0053423A">
              <w:rPr>
                <w:sz w:val="20"/>
                <w:szCs w:val="20"/>
                <w:lang w:val="af-ZA"/>
              </w:rPr>
              <w:t xml:space="preserve"> </w:t>
            </w:r>
            <w:r w:rsidRPr="0053423A">
              <w:rPr>
                <w:sz w:val="20"/>
                <w:szCs w:val="20"/>
                <w:lang w:val="hy-AM"/>
              </w:rPr>
              <w:t>կուտակման</w:t>
            </w:r>
            <w:r w:rsidRPr="0053423A">
              <w:rPr>
                <w:sz w:val="20"/>
                <w:szCs w:val="20"/>
                <w:lang w:val="af-ZA"/>
              </w:rPr>
              <w:t xml:space="preserve"> </w:t>
            </w:r>
            <w:r w:rsidRPr="0053423A">
              <w:rPr>
                <w:sz w:val="20"/>
                <w:szCs w:val="20"/>
                <w:lang w:val="hy-AM"/>
              </w:rPr>
              <w:t>ենթա</w:t>
            </w:r>
            <w:r w:rsidRPr="0053423A">
              <w:rPr>
                <w:sz w:val="20"/>
                <w:szCs w:val="20"/>
                <w:lang w:val="hy-AM"/>
              </w:rPr>
              <w:softHyphen/>
              <w:t>կա</w:t>
            </w:r>
            <w:r w:rsidRPr="0053423A">
              <w:rPr>
                <w:sz w:val="20"/>
                <w:szCs w:val="20"/>
                <w:lang w:val="af-ZA"/>
              </w:rPr>
              <w:t xml:space="preserve"> </w:t>
            </w:r>
            <w:r w:rsidRPr="0053423A">
              <w:rPr>
                <w:sz w:val="20"/>
                <w:szCs w:val="20"/>
                <w:lang w:val="hy-AM"/>
              </w:rPr>
              <w:t>նյութական</w:t>
            </w:r>
            <w:r w:rsidRPr="0053423A">
              <w:rPr>
                <w:sz w:val="20"/>
                <w:szCs w:val="20"/>
                <w:lang w:val="af-ZA"/>
              </w:rPr>
              <w:t xml:space="preserve"> </w:t>
            </w:r>
            <w:r w:rsidRPr="0053423A">
              <w:rPr>
                <w:sz w:val="20"/>
                <w:szCs w:val="20"/>
                <w:lang w:val="hy-AM"/>
              </w:rPr>
              <w:t>արժեքների</w:t>
            </w:r>
            <w:r w:rsidRPr="0053423A">
              <w:rPr>
                <w:sz w:val="20"/>
                <w:szCs w:val="20"/>
                <w:lang w:val="af-ZA"/>
              </w:rPr>
              <w:t xml:space="preserve"> կարիքները:</w:t>
            </w:r>
          </w:p>
          <w:p w:rsidR="00BB45FD" w:rsidRPr="0053423A" w:rsidRDefault="00BB45FD" w:rsidP="00A67858">
            <w:pPr>
              <w:spacing w:after="0" w:line="276" w:lineRule="auto"/>
              <w:ind w:firstLine="851"/>
              <w:rPr>
                <w:rFonts w:cs="Sylfaen"/>
                <w:sz w:val="20"/>
                <w:szCs w:val="20"/>
                <w:lang w:val="af-ZA"/>
              </w:rPr>
            </w:pPr>
            <w:r w:rsidRPr="0053423A">
              <w:rPr>
                <w:b/>
                <w:sz w:val="20"/>
                <w:szCs w:val="20"/>
                <w:lang w:val="af-ZA"/>
              </w:rPr>
              <w:t>2.</w:t>
            </w:r>
            <w:r w:rsidRPr="0053423A">
              <w:rPr>
                <w:b/>
                <w:sz w:val="20"/>
                <w:szCs w:val="20"/>
              </w:rPr>
              <w:t>Միջոցառումների</w:t>
            </w:r>
            <w:r w:rsidRPr="0053423A">
              <w:rPr>
                <w:b/>
                <w:sz w:val="20"/>
                <w:szCs w:val="20"/>
                <w:lang w:val="af-ZA"/>
              </w:rPr>
              <w:t xml:space="preserve"> </w:t>
            </w:r>
            <w:r w:rsidRPr="0053423A">
              <w:rPr>
                <w:b/>
                <w:sz w:val="20"/>
                <w:szCs w:val="20"/>
              </w:rPr>
              <w:t>իրականացումից</w:t>
            </w:r>
            <w:r w:rsidRPr="0053423A">
              <w:rPr>
                <w:b/>
                <w:sz w:val="20"/>
                <w:szCs w:val="20"/>
                <w:lang w:val="af-ZA"/>
              </w:rPr>
              <w:t xml:space="preserve"> </w:t>
            </w:r>
            <w:r w:rsidRPr="0053423A">
              <w:rPr>
                <w:b/>
                <w:sz w:val="20"/>
                <w:szCs w:val="20"/>
              </w:rPr>
              <w:t>ակնկալվող</w:t>
            </w:r>
            <w:r w:rsidRPr="0053423A">
              <w:rPr>
                <w:b/>
                <w:sz w:val="20"/>
                <w:szCs w:val="20"/>
                <w:lang w:val="af-ZA"/>
              </w:rPr>
              <w:t xml:space="preserve"> </w:t>
            </w:r>
            <w:r w:rsidRPr="0053423A">
              <w:rPr>
                <w:b/>
                <w:sz w:val="20"/>
                <w:szCs w:val="20"/>
              </w:rPr>
              <w:t>արդյունքը</w:t>
            </w:r>
            <w:r w:rsidRPr="0053423A">
              <w:rPr>
                <w:rFonts w:cs="Sylfaen"/>
                <w:sz w:val="20"/>
                <w:szCs w:val="20"/>
                <w:lang w:val="af-ZA"/>
              </w:rPr>
              <w:t xml:space="preserve"> </w:t>
            </w:r>
          </w:p>
          <w:p w:rsidR="00BB45FD" w:rsidRPr="0053423A" w:rsidRDefault="00BB45FD" w:rsidP="00A67858">
            <w:pPr>
              <w:spacing w:after="0" w:line="276" w:lineRule="auto"/>
              <w:ind w:firstLine="851"/>
              <w:rPr>
                <w:b/>
                <w:sz w:val="20"/>
                <w:szCs w:val="20"/>
                <w:u w:val="single"/>
                <w:lang w:val="af-ZA"/>
              </w:rPr>
            </w:pPr>
            <w:r w:rsidRPr="0053423A">
              <w:rPr>
                <w:rFonts w:cs="Sylfaen"/>
                <w:sz w:val="20"/>
                <w:szCs w:val="20"/>
              </w:rPr>
              <w:t>Միջոցառումների</w:t>
            </w:r>
            <w:r w:rsidRPr="0053423A">
              <w:rPr>
                <w:rFonts w:cs="Sylfaen"/>
                <w:sz w:val="20"/>
                <w:szCs w:val="20"/>
                <w:lang w:val="af-ZA"/>
              </w:rPr>
              <w:t xml:space="preserve"> </w:t>
            </w:r>
            <w:r w:rsidRPr="0053423A">
              <w:rPr>
                <w:rFonts w:cs="Sylfaen"/>
                <w:sz w:val="20"/>
                <w:szCs w:val="20"/>
              </w:rPr>
              <w:t>իրականացումը</w:t>
            </w:r>
            <w:r w:rsidRPr="0053423A">
              <w:rPr>
                <w:rFonts w:cs="Sylfaen"/>
                <w:sz w:val="20"/>
                <w:szCs w:val="20"/>
                <w:lang w:val="af-ZA"/>
              </w:rPr>
              <w:t xml:space="preserve"> </w:t>
            </w:r>
            <w:r w:rsidRPr="0053423A">
              <w:rPr>
                <w:rFonts w:cs="Sylfaen"/>
                <w:sz w:val="20"/>
                <w:szCs w:val="20"/>
              </w:rPr>
              <w:t>կհստակեցնի</w:t>
            </w:r>
            <w:r w:rsidRPr="0053423A">
              <w:rPr>
                <w:rFonts w:cs="Sylfaen"/>
                <w:sz w:val="20"/>
                <w:szCs w:val="20"/>
                <w:lang w:val="af-ZA"/>
              </w:rPr>
              <w:t xml:space="preserve"> </w:t>
            </w:r>
            <w:r w:rsidRPr="0053423A">
              <w:rPr>
                <w:rFonts w:cs="Sylfaen"/>
                <w:sz w:val="20"/>
                <w:szCs w:val="20"/>
              </w:rPr>
              <w:t>գործընթացի</w:t>
            </w:r>
            <w:r w:rsidRPr="0053423A">
              <w:rPr>
                <w:rFonts w:cs="Sylfaen"/>
                <w:sz w:val="20"/>
                <w:szCs w:val="20"/>
                <w:lang w:val="af-ZA"/>
              </w:rPr>
              <w:t xml:space="preserve"> </w:t>
            </w:r>
            <w:r w:rsidRPr="0053423A">
              <w:rPr>
                <w:rFonts w:cs="Sylfaen"/>
                <w:sz w:val="20"/>
                <w:szCs w:val="20"/>
              </w:rPr>
              <w:t>կանոնակարգումը</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կնպաստի</w:t>
            </w:r>
            <w:r w:rsidRPr="0053423A">
              <w:rPr>
                <w:sz w:val="20"/>
                <w:szCs w:val="20"/>
                <w:lang w:val="af-ZA"/>
              </w:rPr>
              <w:t xml:space="preserve"> </w:t>
            </w:r>
            <w:r w:rsidRPr="0053423A">
              <w:rPr>
                <w:rFonts w:cs="Sylfaen"/>
                <w:sz w:val="20"/>
                <w:szCs w:val="20"/>
              </w:rPr>
              <w:t>ընկե</w:t>
            </w:r>
            <w:r w:rsidRPr="0053423A">
              <w:rPr>
                <w:rFonts w:cs="Sylfaen"/>
                <w:sz w:val="20"/>
                <w:szCs w:val="20"/>
                <w:lang w:val="af-ZA"/>
              </w:rPr>
              <w:softHyphen/>
            </w:r>
            <w:r w:rsidRPr="0053423A">
              <w:rPr>
                <w:rFonts w:cs="Sylfaen"/>
                <w:sz w:val="20"/>
                <w:szCs w:val="20"/>
              </w:rPr>
              <w:t>րու</w:t>
            </w:r>
            <w:r w:rsidRPr="0053423A">
              <w:rPr>
                <w:rFonts w:cs="Sylfaen"/>
                <w:sz w:val="20"/>
                <w:szCs w:val="20"/>
                <w:lang w:val="af-ZA"/>
              </w:rPr>
              <w:softHyphen/>
            </w:r>
            <w:r w:rsidRPr="0053423A">
              <w:rPr>
                <w:rFonts w:cs="Sylfaen"/>
                <w:sz w:val="20"/>
                <w:szCs w:val="20"/>
                <w:lang w:val="af-ZA"/>
              </w:rPr>
              <w:softHyphen/>
            </w:r>
            <w:r w:rsidRPr="0053423A">
              <w:rPr>
                <w:rFonts w:cs="Sylfaen"/>
                <w:sz w:val="20"/>
                <w:szCs w:val="20"/>
              </w:rPr>
              <w:t>թյունների</w:t>
            </w:r>
            <w:r w:rsidRPr="0053423A">
              <w:rPr>
                <w:sz w:val="20"/>
                <w:szCs w:val="20"/>
                <w:lang w:val="af-ZA"/>
              </w:rPr>
              <w:t xml:space="preserve"> </w:t>
            </w:r>
            <w:r w:rsidRPr="0053423A">
              <w:rPr>
                <w:rFonts w:cs="Sylfaen"/>
                <w:sz w:val="20"/>
                <w:szCs w:val="20"/>
              </w:rPr>
              <w:t>կողմից</w:t>
            </w:r>
            <w:r w:rsidRPr="0053423A">
              <w:rPr>
                <w:sz w:val="20"/>
                <w:szCs w:val="20"/>
                <w:lang w:val="af-ZA"/>
              </w:rPr>
              <w:t xml:space="preserve"> </w:t>
            </w:r>
            <w:r w:rsidRPr="0053423A">
              <w:rPr>
                <w:rFonts w:cs="Sylfaen"/>
                <w:sz w:val="20"/>
                <w:szCs w:val="20"/>
              </w:rPr>
              <w:t>զո</w:t>
            </w:r>
            <w:r w:rsidRPr="0053423A">
              <w:rPr>
                <w:rFonts w:cs="Sylfaen"/>
                <w:sz w:val="20"/>
                <w:szCs w:val="20"/>
                <w:lang w:val="af-ZA"/>
              </w:rPr>
              <w:softHyphen/>
            </w:r>
            <w:r w:rsidRPr="0053423A">
              <w:rPr>
                <w:rFonts w:cs="Sylfaen"/>
                <w:sz w:val="20"/>
                <w:szCs w:val="20"/>
              </w:rPr>
              <w:t>րա</w:t>
            </w:r>
            <w:r w:rsidRPr="0053423A">
              <w:rPr>
                <w:rFonts w:cs="Sylfaen"/>
                <w:sz w:val="20"/>
                <w:szCs w:val="20"/>
                <w:lang w:val="af-ZA"/>
              </w:rPr>
              <w:softHyphen/>
            </w:r>
            <w:r w:rsidRPr="0053423A">
              <w:rPr>
                <w:rFonts w:cs="Sylfaen"/>
                <w:sz w:val="20"/>
                <w:szCs w:val="20"/>
                <w:lang w:val="af-ZA"/>
              </w:rPr>
              <w:softHyphen/>
            </w:r>
            <w:r w:rsidRPr="0053423A">
              <w:rPr>
                <w:rFonts w:cs="Sylfaen"/>
                <w:sz w:val="20"/>
                <w:szCs w:val="20"/>
              </w:rPr>
              <w:t>հավաքային</w:t>
            </w:r>
            <w:r w:rsidRPr="0053423A">
              <w:rPr>
                <w:sz w:val="20"/>
                <w:szCs w:val="20"/>
                <w:lang w:val="af-ZA"/>
              </w:rPr>
              <w:t xml:space="preserve"> </w:t>
            </w:r>
            <w:r w:rsidRPr="0053423A">
              <w:rPr>
                <w:rFonts w:cs="Sylfaen"/>
                <w:sz w:val="20"/>
                <w:szCs w:val="20"/>
              </w:rPr>
              <w:t>առա</w:t>
            </w:r>
            <w:r w:rsidRPr="0053423A">
              <w:rPr>
                <w:rFonts w:cs="Sylfaen"/>
                <w:sz w:val="20"/>
                <w:szCs w:val="20"/>
                <w:lang w:val="af-ZA"/>
              </w:rPr>
              <w:softHyphen/>
            </w:r>
            <w:r w:rsidRPr="0053423A">
              <w:rPr>
                <w:rFonts w:cs="Sylfaen"/>
                <w:sz w:val="20"/>
                <w:szCs w:val="20"/>
              </w:rPr>
              <w:t>ջադրանքների</w:t>
            </w:r>
            <w:r w:rsidRPr="0053423A">
              <w:rPr>
                <w:sz w:val="20"/>
                <w:szCs w:val="20"/>
                <w:lang w:val="af-ZA"/>
              </w:rPr>
              <w:t xml:space="preserve"> </w:t>
            </w:r>
            <w:r w:rsidRPr="0053423A">
              <w:rPr>
                <w:rFonts w:cs="Sylfaen"/>
                <w:sz w:val="20"/>
                <w:szCs w:val="20"/>
              </w:rPr>
              <w:t>կա</w:t>
            </w:r>
            <w:r w:rsidRPr="0053423A">
              <w:rPr>
                <w:rFonts w:cs="Sylfaen"/>
                <w:sz w:val="20"/>
                <w:szCs w:val="20"/>
                <w:lang w:val="af-ZA"/>
              </w:rPr>
              <w:softHyphen/>
            </w:r>
            <w:r w:rsidRPr="0053423A">
              <w:rPr>
                <w:rFonts w:cs="Sylfaen"/>
                <w:sz w:val="20"/>
                <w:szCs w:val="20"/>
              </w:rPr>
              <w:t>տար</w:t>
            </w:r>
            <w:r w:rsidRPr="0053423A">
              <w:rPr>
                <w:rFonts w:cs="Sylfaen"/>
                <w:sz w:val="20"/>
                <w:szCs w:val="20"/>
                <w:lang w:val="af-ZA"/>
              </w:rPr>
              <w:softHyphen/>
            </w:r>
            <w:r w:rsidRPr="0053423A">
              <w:rPr>
                <w:rFonts w:cs="Sylfaen"/>
                <w:sz w:val="20"/>
                <w:szCs w:val="20"/>
              </w:rPr>
              <w:t>մանը</w:t>
            </w:r>
            <w:r w:rsidRPr="0053423A">
              <w:rPr>
                <w:sz w:val="20"/>
                <w:szCs w:val="20"/>
                <w:lang w:val="af-ZA"/>
              </w:rPr>
              <w:t>:</w:t>
            </w:r>
          </w:p>
        </w:tc>
      </w:tr>
      <w:tr w:rsidR="00BB45FD" w:rsidRPr="00DE2EFA" w:rsidTr="00976405">
        <w:tc>
          <w:tcPr>
            <w:tcW w:w="425" w:type="dxa"/>
            <w:shd w:val="clear" w:color="auto" w:fill="auto"/>
          </w:tcPr>
          <w:p w:rsidR="00BB45FD" w:rsidRPr="0053423A" w:rsidRDefault="00BB45FD" w:rsidP="00A67858">
            <w:pPr>
              <w:spacing w:after="0" w:line="276" w:lineRule="auto"/>
              <w:ind w:right="-108"/>
              <w:rPr>
                <w:sz w:val="20"/>
                <w:szCs w:val="20"/>
                <w:lang w:val="hy-AM"/>
              </w:rPr>
            </w:pPr>
            <w:r w:rsidRPr="0053423A">
              <w:rPr>
                <w:sz w:val="20"/>
                <w:szCs w:val="20"/>
                <w:lang w:val="hy-AM"/>
              </w:rPr>
              <w:t>9.1-9.2</w:t>
            </w:r>
          </w:p>
        </w:tc>
        <w:tc>
          <w:tcPr>
            <w:tcW w:w="11156" w:type="dxa"/>
            <w:shd w:val="clear" w:color="auto" w:fill="auto"/>
          </w:tcPr>
          <w:p w:rsidR="00BB45FD" w:rsidRPr="0053423A" w:rsidRDefault="00BB45FD" w:rsidP="00A67858">
            <w:pPr>
              <w:spacing w:after="0" w:line="276" w:lineRule="auto"/>
              <w:ind w:firstLine="720"/>
              <w:jc w:val="center"/>
              <w:rPr>
                <w:b/>
                <w:sz w:val="20"/>
                <w:szCs w:val="20"/>
                <w:lang w:val="af-ZA"/>
              </w:rPr>
            </w:pPr>
            <w:r w:rsidRPr="0053423A">
              <w:rPr>
                <w:rFonts w:cs="Sylfaen"/>
                <w:b/>
                <w:sz w:val="20"/>
                <w:szCs w:val="20"/>
                <w:u w:val="single"/>
                <w:lang w:val="hy-AM"/>
              </w:rPr>
              <w:t>Ռազմական արդյու</w:t>
            </w:r>
            <w:r w:rsidRPr="0053423A">
              <w:rPr>
                <w:rFonts w:cs="Sylfaen"/>
                <w:b/>
                <w:sz w:val="20"/>
                <w:szCs w:val="20"/>
                <w:u w:val="single"/>
                <w:lang w:val="af-ZA"/>
              </w:rPr>
              <w:softHyphen/>
            </w:r>
            <w:r w:rsidRPr="0053423A">
              <w:rPr>
                <w:rFonts w:cs="Sylfaen"/>
                <w:b/>
                <w:sz w:val="20"/>
                <w:szCs w:val="20"/>
                <w:u w:val="single"/>
                <w:lang w:val="af-ZA"/>
              </w:rPr>
              <w:softHyphen/>
            </w:r>
            <w:r w:rsidRPr="0053423A">
              <w:rPr>
                <w:rFonts w:cs="Sylfaen"/>
                <w:b/>
                <w:sz w:val="20"/>
                <w:szCs w:val="20"/>
                <w:u w:val="single"/>
                <w:lang w:val="hy-AM"/>
              </w:rPr>
              <w:t>նա</w:t>
            </w:r>
            <w:r w:rsidRPr="0053423A">
              <w:rPr>
                <w:rFonts w:cs="Sylfaen"/>
                <w:b/>
                <w:sz w:val="20"/>
                <w:szCs w:val="20"/>
                <w:u w:val="single"/>
                <w:lang w:val="af-ZA"/>
              </w:rPr>
              <w:softHyphen/>
            </w:r>
            <w:r w:rsidRPr="0053423A">
              <w:rPr>
                <w:rFonts w:cs="Sylfaen"/>
                <w:b/>
                <w:sz w:val="20"/>
                <w:szCs w:val="20"/>
                <w:u w:val="single"/>
                <w:lang w:val="hy-AM"/>
              </w:rPr>
              <w:t>բերու</w:t>
            </w:r>
            <w:r w:rsidRPr="0053423A">
              <w:rPr>
                <w:rFonts w:cs="Sylfaen"/>
                <w:b/>
                <w:sz w:val="20"/>
                <w:szCs w:val="20"/>
                <w:u w:val="single"/>
                <w:lang w:val="af-ZA"/>
              </w:rPr>
              <w:softHyphen/>
            </w:r>
            <w:r w:rsidRPr="0053423A">
              <w:rPr>
                <w:rFonts w:cs="Sylfaen"/>
                <w:b/>
                <w:sz w:val="20"/>
                <w:szCs w:val="20"/>
                <w:u w:val="single"/>
                <w:lang w:val="hy-AM"/>
              </w:rPr>
              <w:t>թյան</w:t>
            </w:r>
            <w:r w:rsidRPr="0053423A">
              <w:rPr>
                <w:rFonts w:cs="Sylfaen"/>
                <w:b/>
                <w:sz w:val="20"/>
                <w:szCs w:val="20"/>
                <w:u w:val="single"/>
                <w:lang w:val="af-ZA"/>
              </w:rPr>
              <w:t xml:space="preserve"> </w:t>
            </w:r>
            <w:r w:rsidRPr="0053423A">
              <w:rPr>
                <w:rFonts w:cs="Sylfaen"/>
                <w:b/>
                <w:sz w:val="20"/>
                <w:szCs w:val="20"/>
                <w:u w:val="single"/>
                <w:lang w:val="hy-AM"/>
              </w:rPr>
              <w:t>համալիրի</w:t>
            </w:r>
            <w:r w:rsidRPr="0053423A">
              <w:rPr>
                <w:rFonts w:cs="Sylfaen"/>
                <w:b/>
                <w:sz w:val="20"/>
                <w:szCs w:val="20"/>
                <w:u w:val="single"/>
                <w:lang w:val="af-ZA"/>
              </w:rPr>
              <w:t xml:space="preserve"> </w:t>
            </w:r>
            <w:r w:rsidRPr="0053423A">
              <w:rPr>
                <w:rFonts w:cs="Sylfaen"/>
                <w:b/>
                <w:sz w:val="20"/>
                <w:szCs w:val="20"/>
                <w:u w:val="single"/>
                <w:lang w:val="hy-AM"/>
              </w:rPr>
              <w:t>զարգացման</w:t>
            </w:r>
            <w:r w:rsidRPr="0053423A">
              <w:rPr>
                <w:b/>
                <w:sz w:val="20"/>
                <w:szCs w:val="20"/>
                <w:u w:val="single"/>
                <w:lang w:val="af-ZA"/>
              </w:rPr>
              <w:t xml:space="preserve"> </w:t>
            </w:r>
            <w:r w:rsidRPr="0053423A">
              <w:rPr>
                <w:b/>
                <w:sz w:val="20"/>
                <w:szCs w:val="20"/>
                <w:u w:val="single"/>
                <w:lang w:val="hy-AM"/>
              </w:rPr>
              <w:t>վերաբերյալ</w:t>
            </w:r>
          </w:p>
          <w:p w:rsidR="00BB45FD" w:rsidRPr="0053423A" w:rsidRDefault="00BB45FD" w:rsidP="00A67858">
            <w:pPr>
              <w:tabs>
                <w:tab w:val="left" w:pos="0"/>
                <w:tab w:val="left" w:pos="450"/>
              </w:tabs>
              <w:spacing w:after="0" w:line="276" w:lineRule="auto"/>
              <w:rPr>
                <w:sz w:val="20"/>
                <w:szCs w:val="20"/>
                <w:u w:val="single"/>
                <w:lang w:val="af-ZA"/>
              </w:rPr>
            </w:pPr>
          </w:p>
          <w:p w:rsidR="00BB45FD" w:rsidRPr="0053423A" w:rsidRDefault="00BB45FD" w:rsidP="00A67858">
            <w:pPr>
              <w:spacing w:after="0" w:line="276" w:lineRule="auto"/>
              <w:ind w:left="131" w:firstLine="720"/>
              <w:rPr>
                <w:b/>
                <w:sz w:val="20"/>
                <w:szCs w:val="20"/>
                <w:lang w:val="af-ZA"/>
              </w:rPr>
            </w:pPr>
            <w:r w:rsidRPr="0053423A">
              <w:rPr>
                <w:b/>
                <w:sz w:val="20"/>
                <w:szCs w:val="20"/>
                <w:lang w:val="af-ZA"/>
              </w:rPr>
              <w:t xml:space="preserve">1. </w:t>
            </w:r>
            <w:r w:rsidRPr="0053423A">
              <w:rPr>
                <w:b/>
                <w:sz w:val="20"/>
                <w:szCs w:val="20"/>
                <w:lang w:val="hy-AM"/>
              </w:rPr>
              <w:t>Միջոցառումների</w:t>
            </w:r>
            <w:r w:rsidRPr="0053423A">
              <w:rPr>
                <w:b/>
                <w:sz w:val="20"/>
                <w:szCs w:val="20"/>
                <w:lang w:val="af-ZA"/>
              </w:rPr>
              <w:t xml:space="preserve"> </w:t>
            </w:r>
            <w:r w:rsidRPr="0053423A">
              <w:rPr>
                <w:b/>
                <w:sz w:val="20"/>
                <w:szCs w:val="20"/>
                <w:lang w:val="hy-AM"/>
              </w:rPr>
              <w:t>իրականացման</w:t>
            </w:r>
            <w:r w:rsidRPr="0053423A">
              <w:rPr>
                <w:b/>
                <w:sz w:val="20"/>
                <w:szCs w:val="20"/>
                <w:lang w:val="af-ZA"/>
              </w:rPr>
              <w:t xml:space="preserve"> </w:t>
            </w:r>
            <w:r w:rsidRPr="0053423A">
              <w:rPr>
                <w:b/>
                <w:sz w:val="20"/>
                <w:szCs w:val="20"/>
                <w:lang w:val="hy-AM"/>
              </w:rPr>
              <w:t>անհրաժեշտությունը</w:t>
            </w:r>
            <w:r w:rsidRPr="0053423A">
              <w:rPr>
                <w:b/>
                <w:sz w:val="20"/>
                <w:szCs w:val="20"/>
                <w:lang w:val="af-ZA"/>
              </w:rPr>
              <w:t xml:space="preserve"> </w:t>
            </w:r>
            <w:r w:rsidRPr="0053423A">
              <w:rPr>
                <w:b/>
                <w:sz w:val="20"/>
                <w:szCs w:val="20"/>
                <w:lang w:val="hy-AM"/>
              </w:rPr>
              <w:t>և</w:t>
            </w:r>
            <w:r w:rsidRPr="0053423A">
              <w:rPr>
                <w:b/>
                <w:sz w:val="20"/>
                <w:szCs w:val="20"/>
                <w:lang w:val="af-ZA"/>
              </w:rPr>
              <w:t xml:space="preserve"> </w:t>
            </w:r>
            <w:r w:rsidRPr="0053423A">
              <w:rPr>
                <w:b/>
                <w:sz w:val="20"/>
                <w:szCs w:val="20"/>
                <w:lang w:val="hy-AM"/>
              </w:rPr>
              <w:t>նպատակը</w:t>
            </w:r>
          </w:p>
          <w:p w:rsidR="00BB45FD" w:rsidRPr="0053423A" w:rsidRDefault="00BB45FD" w:rsidP="00A67858">
            <w:pPr>
              <w:tabs>
                <w:tab w:val="left" w:pos="0"/>
                <w:tab w:val="left" w:pos="450"/>
              </w:tabs>
              <w:spacing w:after="0" w:line="276" w:lineRule="auto"/>
              <w:ind w:firstLine="851"/>
              <w:rPr>
                <w:sz w:val="20"/>
                <w:szCs w:val="20"/>
                <w:u w:val="single"/>
                <w:lang w:val="af-ZA"/>
              </w:rPr>
            </w:pPr>
            <w:r w:rsidRPr="0053423A">
              <w:rPr>
                <w:rFonts w:cs="Sylfaen"/>
                <w:sz w:val="20"/>
                <w:szCs w:val="20"/>
              </w:rPr>
              <w:t>Միջոցառումների</w:t>
            </w:r>
            <w:r w:rsidRPr="0053423A">
              <w:rPr>
                <w:rFonts w:cs="Sylfaen"/>
                <w:sz w:val="20"/>
                <w:szCs w:val="20"/>
                <w:lang w:val="af-ZA"/>
              </w:rPr>
              <w:t xml:space="preserve"> </w:t>
            </w:r>
            <w:r w:rsidRPr="0053423A">
              <w:rPr>
                <w:rFonts w:cs="Sylfaen"/>
                <w:sz w:val="20"/>
                <w:szCs w:val="20"/>
              </w:rPr>
              <w:t>իրականացումը</w:t>
            </w:r>
            <w:r w:rsidRPr="0053423A">
              <w:rPr>
                <w:rFonts w:cs="Sylfaen"/>
                <w:sz w:val="20"/>
                <w:szCs w:val="20"/>
                <w:lang w:val="af-ZA"/>
              </w:rPr>
              <w:t xml:space="preserve"> </w:t>
            </w:r>
            <w:r w:rsidRPr="0053423A">
              <w:rPr>
                <w:rFonts w:cs="Sylfaen"/>
                <w:sz w:val="20"/>
                <w:szCs w:val="20"/>
              </w:rPr>
              <w:t>պայմանավորված</w:t>
            </w:r>
            <w:r w:rsidRPr="0053423A">
              <w:rPr>
                <w:rFonts w:cs="Sylfaen"/>
                <w:sz w:val="20"/>
                <w:szCs w:val="20"/>
                <w:lang w:val="af-ZA"/>
              </w:rPr>
              <w:t xml:space="preserve"> </w:t>
            </w:r>
            <w:r w:rsidRPr="0053423A">
              <w:rPr>
                <w:rFonts w:cs="Sylfaen"/>
                <w:sz w:val="20"/>
                <w:szCs w:val="20"/>
              </w:rPr>
              <w:t>է</w:t>
            </w:r>
            <w:r w:rsidRPr="0053423A">
              <w:rPr>
                <w:rFonts w:cs="Sylfaen"/>
                <w:sz w:val="20"/>
                <w:szCs w:val="20"/>
                <w:lang w:val="af-ZA"/>
              </w:rPr>
              <w:t xml:space="preserve"> </w:t>
            </w:r>
            <w:r w:rsidRPr="0053423A">
              <w:rPr>
                <w:rFonts w:cs="Sylfaen"/>
                <w:sz w:val="20"/>
                <w:szCs w:val="20"/>
              </w:rPr>
              <w:t>հայրենական</w:t>
            </w:r>
            <w:r w:rsidRPr="0053423A">
              <w:rPr>
                <w:rFonts w:cs="Sylfaen"/>
                <w:sz w:val="20"/>
                <w:szCs w:val="20"/>
                <w:lang w:val="af-ZA"/>
              </w:rPr>
              <w:t xml:space="preserve"> </w:t>
            </w:r>
            <w:r w:rsidRPr="0053423A">
              <w:rPr>
                <w:rFonts w:cs="Sylfaen"/>
                <w:sz w:val="20"/>
                <w:szCs w:val="20"/>
              </w:rPr>
              <w:t>արտադրության</w:t>
            </w:r>
            <w:r w:rsidRPr="0053423A">
              <w:rPr>
                <w:rFonts w:cs="Sylfaen"/>
                <w:sz w:val="20"/>
                <w:szCs w:val="20"/>
                <w:lang w:val="af-ZA"/>
              </w:rPr>
              <w:t xml:space="preserve"> </w:t>
            </w:r>
            <w:r w:rsidRPr="0053423A">
              <w:rPr>
                <w:rFonts w:cs="Sylfaen"/>
                <w:sz w:val="20"/>
                <w:szCs w:val="20"/>
              </w:rPr>
              <w:t>սպառազինության</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ռազմական</w:t>
            </w:r>
            <w:r w:rsidRPr="0053423A">
              <w:rPr>
                <w:rFonts w:cs="Sylfaen"/>
                <w:sz w:val="20"/>
                <w:szCs w:val="20"/>
                <w:lang w:val="af-ZA"/>
              </w:rPr>
              <w:t xml:space="preserve"> </w:t>
            </w:r>
            <w:r w:rsidRPr="0053423A">
              <w:rPr>
                <w:rFonts w:cs="Sylfaen"/>
                <w:sz w:val="20"/>
                <w:szCs w:val="20"/>
              </w:rPr>
              <w:t>տեխնիկայի</w:t>
            </w:r>
            <w:r w:rsidRPr="0053423A">
              <w:rPr>
                <w:rFonts w:cs="Sylfaen"/>
                <w:sz w:val="20"/>
                <w:szCs w:val="20"/>
                <w:lang w:val="af-ZA"/>
              </w:rPr>
              <w:t xml:space="preserve"> </w:t>
            </w:r>
            <w:r w:rsidRPr="0053423A">
              <w:rPr>
                <w:rFonts w:cs="Sylfaen"/>
                <w:sz w:val="20"/>
                <w:szCs w:val="20"/>
              </w:rPr>
              <w:t>նմուշների</w:t>
            </w:r>
            <w:r w:rsidRPr="0053423A">
              <w:rPr>
                <w:rFonts w:cs="Sylfaen"/>
                <w:sz w:val="20"/>
                <w:szCs w:val="20"/>
                <w:lang w:val="af-ZA"/>
              </w:rPr>
              <w:t xml:space="preserve"> </w:t>
            </w:r>
            <w:r w:rsidRPr="0053423A">
              <w:rPr>
                <w:rFonts w:cs="Sylfaen"/>
                <w:sz w:val="20"/>
                <w:szCs w:val="20"/>
              </w:rPr>
              <w:t>արտադրության</w:t>
            </w:r>
            <w:r w:rsidRPr="0053423A">
              <w:rPr>
                <w:rFonts w:cs="Sylfaen"/>
                <w:sz w:val="20"/>
                <w:szCs w:val="20"/>
                <w:lang w:val="af-ZA"/>
              </w:rPr>
              <w:t xml:space="preserve">, </w:t>
            </w:r>
            <w:r w:rsidRPr="0053423A">
              <w:rPr>
                <w:rFonts w:cs="Sylfaen"/>
                <w:sz w:val="20"/>
                <w:szCs w:val="20"/>
              </w:rPr>
              <w:t>ՌԱՀ</w:t>
            </w:r>
            <w:r w:rsidRPr="0053423A">
              <w:rPr>
                <w:rFonts w:cs="Sylfaen"/>
                <w:sz w:val="20"/>
                <w:szCs w:val="20"/>
                <w:lang w:val="af-ZA"/>
              </w:rPr>
              <w:t>-</w:t>
            </w:r>
            <w:r w:rsidRPr="0053423A">
              <w:rPr>
                <w:rFonts w:cs="Sylfaen"/>
                <w:sz w:val="20"/>
                <w:szCs w:val="20"/>
              </w:rPr>
              <w:t>ի</w:t>
            </w:r>
            <w:r w:rsidRPr="0053423A">
              <w:rPr>
                <w:rFonts w:cs="Sylfaen"/>
                <w:sz w:val="20"/>
                <w:szCs w:val="20"/>
                <w:lang w:val="af-ZA"/>
              </w:rPr>
              <w:t xml:space="preserve"> </w:t>
            </w:r>
            <w:r w:rsidRPr="0053423A">
              <w:rPr>
                <w:rFonts w:cs="Sylfaen"/>
                <w:sz w:val="20"/>
                <w:szCs w:val="20"/>
              </w:rPr>
              <w:t>ընկերություններին</w:t>
            </w:r>
            <w:r w:rsidRPr="0053423A">
              <w:rPr>
                <w:rFonts w:cs="Sylfaen"/>
                <w:sz w:val="20"/>
                <w:szCs w:val="20"/>
                <w:lang w:val="af-ZA"/>
              </w:rPr>
              <w:t xml:space="preserve"> </w:t>
            </w:r>
            <w:r w:rsidRPr="0053423A">
              <w:rPr>
                <w:rFonts w:cs="Sylfaen"/>
                <w:sz w:val="20"/>
                <w:szCs w:val="20"/>
              </w:rPr>
              <w:t>աջակցության</w:t>
            </w:r>
            <w:r w:rsidRPr="0053423A">
              <w:rPr>
                <w:rFonts w:cs="Sylfaen"/>
                <w:sz w:val="20"/>
                <w:szCs w:val="20"/>
                <w:lang w:val="af-ZA"/>
              </w:rPr>
              <w:t xml:space="preserve">, </w:t>
            </w:r>
            <w:r w:rsidRPr="0053423A">
              <w:rPr>
                <w:rFonts w:cs="Sylfaen"/>
                <w:sz w:val="20"/>
                <w:szCs w:val="20"/>
              </w:rPr>
              <w:t>գիտության</w:t>
            </w:r>
            <w:r w:rsidRPr="0053423A">
              <w:rPr>
                <w:rFonts w:cs="Sylfaen"/>
                <w:sz w:val="20"/>
                <w:szCs w:val="20"/>
                <w:lang w:val="af-ZA"/>
              </w:rPr>
              <w:t xml:space="preserve"> </w:t>
            </w:r>
            <w:r w:rsidRPr="0053423A">
              <w:rPr>
                <w:rFonts w:cs="Sylfaen"/>
                <w:sz w:val="20"/>
                <w:szCs w:val="20"/>
              </w:rPr>
              <w:t>և</w:t>
            </w:r>
            <w:r w:rsidRPr="0053423A">
              <w:rPr>
                <w:rFonts w:cs="Sylfaen"/>
                <w:sz w:val="20"/>
                <w:szCs w:val="20"/>
                <w:lang w:val="af-ZA"/>
              </w:rPr>
              <w:t xml:space="preserve"> </w:t>
            </w:r>
            <w:r w:rsidRPr="0053423A">
              <w:rPr>
                <w:rFonts w:cs="Sylfaen"/>
                <w:sz w:val="20"/>
                <w:szCs w:val="20"/>
              </w:rPr>
              <w:t>կրթության</w:t>
            </w:r>
            <w:r w:rsidRPr="0053423A">
              <w:rPr>
                <w:rFonts w:cs="Sylfaen"/>
                <w:sz w:val="20"/>
                <w:szCs w:val="20"/>
                <w:lang w:val="af-ZA"/>
              </w:rPr>
              <w:t xml:space="preserve"> </w:t>
            </w:r>
            <w:r w:rsidRPr="0053423A">
              <w:rPr>
                <w:rFonts w:cs="Sylfaen"/>
                <w:sz w:val="20"/>
                <w:szCs w:val="20"/>
              </w:rPr>
              <w:t>ոլորտների</w:t>
            </w:r>
            <w:r w:rsidRPr="0053423A">
              <w:rPr>
                <w:rFonts w:cs="Sylfaen"/>
                <w:sz w:val="20"/>
                <w:szCs w:val="20"/>
                <w:lang w:val="af-ZA"/>
              </w:rPr>
              <w:t xml:space="preserve"> </w:t>
            </w:r>
            <w:r w:rsidRPr="0053423A">
              <w:rPr>
                <w:rFonts w:cs="Sylfaen"/>
                <w:sz w:val="20"/>
                <w:szCs w:val="20"/>
              </w:rPr>
              <w:t>հետ</w:t>
            </w:r>
            <w:r w:rsidRPr="0053423A">
              <w:rPr>
                <w:rFonts w:cs="Sylfaen"/>
                <w:sz w:val="20"/>
                <w:szCs w:val="20"/>
                <w:lang w:val="af-ZA"/>
              </w:rPr>
              <w:t xml:space="preserve"> </w:t>
            </w:r>
            <w:r w:rsidRPr="0053423A">
              <w:rPr>
                <w:rFonts w:cs="Sylfaen"/>
                <w:sz w:val="20"/>
                <w:szCs w:val="20"/>
              </w:rPr>
              <w:t>համագործակցության</w:t>
            </w:r>
            <w:r w:rsidRPr="0053423A">
              <w:rPr>
                <w:rFonts w:cs="Sylfaen"/>
                <w:sz w:val="20"/>
                <w:szCs w:val="20"/>
                <w:lang w:val="af-ZA"/>
              </w:rPr>
              <w:t xml:space="preserve"> </w:t>
            </w:r>
            <w:r w:rsidRPr="0053423A">
              <w:rPr>
                <w:rFonts w:cs="Sylfaen"/>
                <w:sz w:val="20"/>
                <w:szCs w:val="20"/>
              </w:rPr>
              <w:t>զարգացման</w:t>
            </w:r>
            <w:r w:rsidRPr="0053423A">
              <w:rPr>
                <w:rFonts w:cs="Sylfaen"/>
                <w:sz w:val="20"/>
                <w:szCs w:val="20"/>
                <w:lang w:val="af-ZA"/>
              </w:rPr>
              <w:t xml:space="preserve"> </w:t>
            </w:r>
            <w:r w:rsidRPr="0053423A">
              <w:rPr>
                <w:rFonts w:cs="Sylfaen"/>
                <w:sz w:val="20"/>
                <w:szCs w:val="20"/>
              </w:rPr>
              <w:t>անհրաժեշտությամբ</w:t>
            </w:r>
            <w:r w:rsidRPr="0053423A">
              <w:rPr>
                <w:rFonts w:cs="Sylfaen"/>
                <w:sz w:val="20"/>
                <w:szCs w:val="20"/>
                <w:lang w:val="af-ZA"/>
              </w:rPr>
              <w:t>:</w:t>
            </w:r>
          </w:p>
          <w:p w:rsidR="00BB45FD" w:rsidRPr="0053423A" w:rsidRDefault="00BB45FD" w:rsidP="00A67858">
            <w:pPr>
              <w:tabs>
                <w:tab w:val="left" w:pos="0"/>
                <w:tab w:val="left" w:pos="450"/>
              </w:tabs>
              <w:spacing w:after="0" w:line="276" w:lineRule="auto"/>
              <w:ind w:firstLine="851"/>
              <w:rPr>
                <w:b/>
                <w:sz w:val="20"/>
                <w:szCs w:val="20"/>
                <w:lang w:val="af-ZA"/>
              </w:rPr>
            </w:pPr>
            <w:r w:rsidRPr="0053423A">
              <w:rPr>
                <w:b/>
                <w:sz w:val="20"/>
                <w:szCs w:val="20"/>
                <w:lang w:val="af-ZA"/>
              </w:rPr>
              <w:t>1.1.</w:t>
            </w:r>
            <w:r w:rsidRPr="0053423A">
              <w:rPr>
                <w:b/>
                <w:sz w:val="20"/>
                <w:szCs w:val="20"/>
              </w:rPr>
              <w:t>Կարգավորման</w:t>
            </w:r>
            <w:r w:rsidRPr="0053423A">
              <w:rPr>
                <w:b/>
                <w:sz w:val="20"/>
                <w:szCs w:val="20"/>
                <w:lang w:val="af-ZA"/>
              </w:rPr>
              <w:t xml:space="preserve"> </w:t>
            </w:r>
            <w:r w:rsidRPr="0053423A">
              <w:rPr>
                <w:b/>
                <w:sz w:val="20"/>
                <w:szCs w:val="20"/>
              </w:rPr>
              <w:t>հարաբերությունների</w:t>
            </w:r>
            <w:r w:rsidRPr="0053423A">
              <w:rPr>
                <w:b/>
                <w:sz w:val="20"/>
                <w:szCs w:val="20"/>
                <w:lang w:val="af-ZA"/>
              </w:rPr>
              <w:t xml:space="preserve"> </w:t>
            </w:r>
            <w:r w:rsidRPr="0053423A">
              <w:rPr>
                <w:b/>
                <w:sz w:val="20"/>
                <w:szCs w:val="20"/>
              </w:rPr>
              <w:t>ներկա</w:t>
            </w:r>
            <w:r w:rsidRPr="0053423A">
              <w:rPr>
                <w:b/>
                <w:sz w:val="20"/>
                <w:szCs w:val="20"/>
                <w:lang w:val="af-ZA"/>
              </w:rPr>
              <w:t xml:space="preserve"> </w:t>
            </w:r>
            <w:r w:rsidRPr="0053423A">
              <w:rPr>
                <w:b/>
                <w:sz w:val="20"/>
                <w:szCs w:val="20"/>
              </w:rPr>
              <w:t>վիճակը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առկա</w:t>
            </w:r>
            <w:r w:rsidRPr="0053423A">
              <w:rPr>
                <w:b/>
                <w:sz w:val="20"/>
                <w:szCs w:val="20"/>
                <w:lang w:val="af-ZA"/>
              </w:rPr>
              <w:t xml:space="preserve"> </w:t>
            </w:r>
            <w:r w:rsidRPr="0053423A">
              <w:rPr>
                <w:b/>
                <w:sz w:val="20"/>
                <w:szCs w:val="20"/>
              </w:rPr>
              <w:t>խնդիրները</w:t>
            </w:r>
          </w:p>
          <w:p w:rsidR="00BB45FD" w:rsidRPr="0053423A" w:rsidRDefault="00BB45FD" w:rsidP="00A67858">
            <w:pPr>
              <w:spacing w:after="0" w:line="276" w:lineRule="auto"/>
              <w:ind w:firstLine="851"/>
              <w:rPr>
                <w:sz w:val="20"/>
                <w:szCs w:val="20"/>
                <w:lang w:val="af-ZA"/>
              </w:rPr>
            </w:pPr>
            <w:r w:rsidRPr="0053423A">
              <w:rPr>
                <w:sz w:val="20"/>
                <w:szCs w:val="20"/>
                <w:lang w:val="hy-AM"/>
              </w:rPr>
              <w:t>Անկախ</w:t>
            </w:r>
            <w:r w:rsidRPr="0053423A">
              <w:rPr>
                <w:rFonts w:cs="Times Armenian"/>
                <w:sz w:val="20"/>
                <w:szCs w:val="20"/>
                <w:lang w:val="hy-AM"/>
              </w:rPr>
              <w:t xml:space="preserve"> </w:t>
            </w:r>
            <w:r w:rsidRPr="0053423A">
              <w:rPr>
                <w:sz w:val="20"/>
                <w:szCs w:val="20"/>
                <w:lang w:val="hy-AM"/>
              </w:rPr>
              <w:t>պետականության</w:t>
            </w:r>
            <w:r w:rsidRPr="0053423A">
              <w:rPr>
                <w:rFonts w:cs="Times Armenian"/>
                <w:sz w:val="20"/>
                <w:szCs w:val="20"/>
                <w:lang w:val="hy-AM"/>
              </w:rPr>
              <w:t xml:space="preserve"> </w:t>
            </w:r>
            <w:r w:rsidRPr="0053423A">
              <w:rPr>
                <w:sz w:val="20"/>
                <w:szCs w:val="20"/>
                <w:lang w:val="hy-AM"/>
              </w:rPr>
              <w:t>կայացման</w:t>
            </w:r>
            <w:r w:rsidRPr="0053423A">
              <w:rPr>
                <w:rFonts w:cs="Times Armenian"/>
                <w:sz w:val="20"/>
                <w:szCs w:val="20"/>
                <w:lang w:val="hy-AM"/>
              </w:rPr>
              <w:t xml:space="preserve"> </w:t>
            </w:r>
            <w:r w:rsidRPr="0053423A">
              <w:rPr>
                <w:sz w:val="20"/>
                <w:szCs w:val="20"/>
                <w:lang w:val="hy-AM"/>
              </w:rPr>
              <w:t>տարիներին</w:t>
            </w:r>
            <w:r w:rsidRPr="0053423A">
              <w:rPr>
                <w:rFonts w:cs="Times Armenian"/>
                <w:sz w:val="20"/>
                <w:szCs w:val="20"/>
                <w:lang w:val="hy-AM"/>
              </w:rPr>
              <w:t xml:space="preserve"> </w:t>
            </w:r>
            <w:r w:rsidRPr="0053423A">
              <w:rPr>
                <w:sz w:val="20"/>
                <w:szCs w:val="20"/>
                <w:lang w:val="hy-AM"/>
              </w:rPr>
              <w:t>Հայաստանում տնտե</w:t>
            </w:r>
            <w:r w:rsidRPr="0053423A">
              <w:rPr>
                <w:sz w:val="20"/>
                <w:szCs w:val="20"/>
                <w:lang w:val="hy-AM"/>
              </w:rPr>
              <w:softHyphen/>
              <w:t>սու</w:t>
            </w:r>
            <w:r w:rsidRPr="0053423A">
              <w:rPr>
                <w:sz w:val="20"/>
                <w:szCs w:val="20"/>
                <w:lang w:val="hy-AM"/>
              </w:rPr>
              <w:softHyphen/>
              <w:t>թյունը</w:t>
            </w:r>
            <w:r w:rsidRPr="0053423A">
              <w:rPr>
                <w:rFonts w:cs="Times Armenian"/>
                <w:sz w:val="20"/>
                <w:szCs w:val="20"/>
                <w:lang w:val="hy-AM"/>
              </w:rPr>
              <w:t xml:space="preserve"> </w:t>
            </w:r>
            <w:r w:rsidRPr="0053423A">
              <w:rPr>
                <w:sz w:val="20"/>
                <w:szCs w:val="20"/>
                <w:lang w:val="hy-AM"/>
              </w:rPr>
              <w:t>վերակազմավորվել է</w:t>
            </w:r>
            <w:r w:rsidRPr="0053423A">
              <w:rPr>
                <w:rFonts w:cs="Times Armenian"/>
                <w:sz w:val="20"/>
                <w:szCs w:val="20"/>
                <w:lang w:val="hy-AM"/>
              </w:rPr>
              <w:t xml:space="preserve"> </w:t>
            </w:r>
            <w:r w:rsidRPr="0053423A">
              <w:rPr>
                <w:sz w:val="20"/>
                <w:szCs w:val="20"/>
                <w:lang w:val="hy-AM"/>
              </w:rPr>
              <w:t>առանց</w:t>
            </w:r>
            <w:r w:rsidRPr="0053423A">
              <w:rPr>
                <w:rFonts w:cs="Times Armenian"/>
                <w:sz w:val="20"/>
                <w:szCs w:val="20"/>
                <w:lang w:val="hy-AM"/>
              </w:rPr>
              <w:t xml:space="preserve"> </w:t>
            </w:r>
            <w:r w:rsidRPr="0053423A">
              <w:rPr>
                <w:sz w:val="20"/>
                <w:szCs w:val="20"/>
                <w:lang w:val="hy-AM"/>
              </w:rPr>
              <w:t>ռազմարդյու</w:t>
            </w:r>
            <w:r w:rsidRPr="0053423A">
              <w:rPr>
                <w:sz w:val="20"/>
                <w:szCs w:val="20"/>
                <w:lang w:val="hy-AM"/>
              </w:rPr>
              <w:softHyphen/>
              <w:t>նաբե</w:t>
            </w:r>
            <w:r w:rsidRPr="0053423A">
              <w:rPr>
                <w:sz w:val="20"/>
                <w:szCs w:val="20"/>
                <w:lang w:val="hy-AM"/>
              </w:rPr>
              <w:softHyphen/>
              <w:t>րու</w:t>
            </w:r>
            <w:r w:rsidRPr="0053423A">
              <w:rPr>
                <w:sz w:val="20"/>
                <w:szCs w:val="20"/>
                <w:lang w:val="hy-AM"/>
              </w:rPr>
              <w:softHyphen/>
              <w:t>թյան</w:t>
            </w:r>
            <w:r w:rsidRPr="0053423A">
              <w:rPr>
                <w:rFonts w:cs="Times Armenian"/>
                <w:sz w:val="20"/>
                <w:szCs w:val="20"/>
                <w:lang w:val="hy-AM"/>
              </w:rPr>
              <w:t xml:space="preserve"> </w:t>
            </w:r>
            <w:r w:rsidRPr="0053423A">
              <w:rPr>
                <w:sz w:val="20"/>
                <w:szCs w:val="20"/>
                <w:lang w:val="hy-AM"/>
              </w:rPr>
              <w:t>պե</w:t>
            </w:r>
            <w:r w:rsidRPr="0053423A">
              <w:rPr>
                <w:sz w:val="20"/>
                <w:szCs w:val="20"/>
                <w:lang w:val="hy-AM"/>
              </w:rPr>
              <w:softHyphen/>
              <w:t>տական</w:t>
            </w:r>
            <w:r w:rsidRPr="0053423A">
              <w:rPr>
                <w:rFonts w:cs="Times Armenian"/>
                <w:sz w:val="20"/>
                <w:szCs w:val="20"/>
                <w:lang w:val="hy-AM"/>
              </w:rPr>
              <w:t xml:space="preserve"> </w:t>
            </w:r>
            <w:r w:rsidRPr="0053423A">
              <w:rPr>
                <w:sz w:val="20"/>
                <w:szCs w:val="20"/>
                <w:lang w:val="hy-AM"/>
              </w:rPr>
              <w:t>համա</w:t>
            </w:r>
            <w:r w:rsidRPr="0053423A">
              <w:rPr>
                <w:sz w:val="20"/>
                <w:szCs w:val="20"/>
                <w:lang w:val="hy-AM"/>
              </w:rPr>
              <w:softHyphen/>
              <w:t>կար</w:t>
            </w:r>
            <w:r w:rsidRPr="0053423A">
              <w:rPr>
                <w:rFonts w:cs="Times Armenian"/>
                <w:sz w:val="20"/>
                <w:szCs w:val="20"/>
                <w:lang w:val="hy-AM"/>
              </w:rPr>
              <w:t>գ</w:t>
            </w:r>
            <w:r w:rsidRPr="0053423A">
              <w:rPr>
                <w:rFonts w:cs="Times Armenian"/>
                <w:sz w:val="20"/>
                <w:szCs w:val="20"/>
                <w:lang w:val="hy-AM"/>
              </w:rPr>
              <w:softHyphen/>
            </w:r>
            <w:r w:rsidRPr="0053423A">
              <w:rPr>
                <w:sz w:val="20"/>
                <w:szCs w:val="20"/>
                <w:lang w:val="hy-AM"/>
              </w:rPr>
              <w:t>ված</w:t>
            </w:r>
            <w:r w:rsidRPr="0053423A">
              <w:rPr>
                <w:rFonts w:cs="Times Armenian"/>
                <w:sz w:val="20"/>
                <w:szCs w:val="20"/>
                <w:lang w:val="hy-AM"/>
              </w:rPr>
              <w:t xml:space="preserve"> </w:t>
            </w:r>
            <w:r w:rsidRPr="0053423A">
              <w:rPr>
                <w:sz w:val="20"/>
                <w:szCs w:val="20"/>
                <w:lang w:val="hy-AM"/>
              </w:rPr>
              <w:t>քաղաքականության</w:t>
            </w:r>
            <w:r w:rsidRPr="0053423A">
              <w:rPr>
                <w:rFonts w:cs="Times Armenian"/>
                <w:sz w:val="20"/>
                <w:szCs w:val="20"/>
                <w:lang w:val="hy-AM"/>
              </w:rPr>
              <w:t xml:space="preserve"> </w:t>
            </w:r>
            <w:r w:rsidRPr="0053423A">
              <w:rPr>
                <w:sz w:val="20"/>
                <w:szCs w:val="20"/>
                <w:lang w:val="hy-AM"/>
              </w:rPr>
              <w:t>և</w:t>
            </w:r>
            <w:r w:rsidRPr="0053423A">
              <w:rPr>
                <w:rFonts w:cs="Times Armenian"/>
                <w:sz w:val="20"/>
                <w:szCs w:val="20"/>
                <w:lang w:val="hy-AM"/>
              </w:rPr>
              <w:t xml:space="preserve"> </w:t>
            </w:r>
            <w:r w:rsidRPr="0053423A">
              <w:rPr>
                <w:sz w:val="20"/>
                <w:szCs w:val="20"/>
                <w:lang w:val="hy-AM"/>
              </w:rPr>
              <w:t>զար</w:t>
            </w:r>
            <w:r w:rsidRPr="0053423A">
              <w:rPr>
                <w:rFonts w:cs="Times Armenian"/>
                <w:sz w:val="20"/>
                <w:szCs w:val="20"/>
                <w:lang w:val="hy-AM"/>
              </w:rPr>
              <w:t>գ</w:t>
            </w:r>
            <w:r w:rsidRPr="0053423A">
              <w:rPr>
                <w:sz w:val="20"/>
                <w:szCs w:val="20"/>
                <w:lang w:val="hy-AM"/>
              </w:rPr>
              <w:t>ացման</w:t>
            </w:r>
            <w:r w:rsidRPr="0053423A">
              <w:rPr>
                <w:rFonts w:cs="Times Armenian"/>
                <w:sz w:val="20"/>
                <w:szCs w:val="20"/>
                <w:lang w:val="hy-AM"/>
              </w:rPr>
              <w:t xml:space="preserve"> հստակ </w:t>
            </w:r>
            <w:r w:rsidRPr="0053423A">
              <w:rPr>
                <w:sz w:val="20"/>
                <w:szCs w:val="20"/>
                <w:lang w:val="hy-AM"/>
              </w:rPr>
              <w:t>ծրա</w:t>
            </w:r>
            <w:r w:rsidRPr="0053423A">
              <w:rPr>
                <w:sz w:val="20"/>
                <w:szCs w:val="20"/>
                <w:lang w:val="hy-AM"/>
              </w:rPr>
              <w:softHyphen/>
            </w:r>
            <w:r w:rsidRPr="0053423A">
              <w:rPr>
                <w:rFonts w:cs="Times Armenian"/>
                <w:sz w:val="20"/>
                <w:szCs w:val="20"/>
                <w:lang w:val="hy-AM"/>
              </w:rPr>
              <w:t>գ</w:t>
            </w:r>
            <w:r w:rsidRPr="0053423A">
              <w:rPr>
                <w:sz w:val="20"/>
                <w:szCs w:val="20"/>
                <w:lang w:val="hy-AM"/>
              </w:rPr>
              <w:t>րերի</w:t>
            </w:r>
            <w:r w:rsidRPr="0053423A">
              <w:rPr>
                <w:sz w:val="20"/>
                <w:szCs w:val="20"/>
                <w:lang w:val="af-ZA"/>
              </w:rPr>
              <w:t>.</w:t>
            </w:r>
            <w:r w:rsidRPr="0053423A">
              <w:rPr>
                <w:sz w:val="20"/>
                <w:szCs w:val="20"/>
                <w:lang w:val="hy-AM"/>
              </w:rPr>
              <w:t xml:space="preserve"> </w:t>
            </w:r>
          </w:p>
          <w:p w:rsidR="00BB45FD" w:rsidRPr="0053423A" w:rsidRDefault="00BB45FD" w:rsidP="001F6D5D">
            <w:pPr>
              <w:pStyle w:val="ListParagraph"/>
              <w:numPr>
                <w:ilvl w:val="0"/>
                <w:numId w:val="161"/>
              </w:numPr>
              <w:tabs>
                <w:tab w:val="left" w:pos="720"/>
                <w:tab w:val="left" w:pos="1080"/>
                <w:tab w:val="left" w:pos="5220"/>
                <w:tab w:val="left" w:pos="5400"/>
              </w:tabs>
              <w:spacing w:after="0" w:line="276" w:lineRule="auto"/>
              <w:ind w:left="0" w:firstLine="851"/>
              <w:jc w:val="both"/>
              <w:rPr>
                <w:rFonts w:cs="Times Armenian"/>
                <w:sz w:val="20"/>
                <w:szCs w:val="20"/>
                <w:lang w:val="af-ZA"/>
              </w:rPr>
            </w:pPr>
            <w:r w:rsidRPr="0053423A">
              <w:rPr>
                <w:rFonts w:cs="Times Armenian"/>
                <w:sz w:val="20"/>
                <w:szCs w:val="20"/>
                <w:lang w:val="hy-AM"/>
              </w:rPr>
              <w:t>Գերակայությունների և որոշումների կայացման բնագավառում կարիք կա համա</w:t>
            </w:r>
            <w:r w:rsidRPr="0053423A">
              <w:rPr>
                <w:rFonts w:cs="Times Armenian"/>
                <w:sz w:val="20"/>
                <w:szCs w:val="20"/>
                <w:lang w:val="hy-AM"/>
              </w:rPr>
              <w:softHyphen/>
              <w:t xml:space="preserve">կարգային մոտեցման և հստակ մեխանիզմների մշակման </w:t>
            </w:r>
            <w:r w:rsidRPr="0053423A">
              <w:rPr>
                <w:rFonts w:cs="Times Armenian"/>
                <w:sz w:val="20"/>
                <w:szCs w:val="20"/>
              </w:rPr>
              <w:t>ու</w:t>
            </w:r>
            <w:r w:rsidRPr="0053423A">
              <w:rPr>
                <w:rFonts w:cs="Times Armenian"/>
                <w:sz w:val="20"/>
                <w:szCs w:val="20"/>
                <w:lang w:val="af-ZA"/>
              </w:rPr>
              <w:t xml:space="preserve"> </w:t>
            </w:r>
            <w:r w:rsidRPr="0053423A">
              <w:rPr>
                <w:rFonts w:cs="Times Armenian"/>
                <w:sz w:val="20"/>
                <w:szCs w:val="20"/>
                <w:lang w:val="hy-AM"/>
              </w:rPr>
              <w:t>ներդրման։</w:t>
            </w:r>
          </w:p>
          <w:p w:rsidR="00BB45FD" w:rsidRPr="0053423A" w:rsidRDefault="00BB45FD" w:rsidP="001F6D5D">
            <w:pPr>
              <w:pStyle w:val="ListParagraph"/>
              <w:numPr>
                <w:ilvl w:val="0"/>
                <w:numId w:val="161"/>
              </w:numPr>
              <w:tabs>
                <w:tab w:val="left" w:pos="720"/>
                <w:tab w:val="left" w:pos="1080"/>
                <w:tab w:val="left" w:pos="5220"/>
                <w:tab w:val="left" w:pos="5400"/>
              </w:tabs>
              <w:spacing w:after="0" w:line="276" w:lineRule="auto"/>
              <w:ind w:left="0" w:firstLine="851"/>
              <w:jc w:val="both"/>
              <w:rPr>
                <w:rFonts w:cs="Times Armenian"/>
                <w:sz w:val="20"/>
                <w:szCs w:val="20"/>
                <w:lang w:val="af-ZA"/>
              </w:rPr>
            </w:pPr>
            <w:r w:rsidRPr="0053423A">
              <w:rPr>
                <w:rFonts w:cs="Times Armenian"/>
                <w:sz w:val="20"/>
                <w:szCs w:val="20"/>
                <w:lang w:val="hy-AM"/>
              </w:rPr>
              <w:t>Ռազմարդյունաբերության զարգացման հեռանկարների և ծրագրերի բացակայության արդյունքում առաջացած խնդիրները հիմնականում լուծվում էին ընթացիկ կարիքներից ելնելով։</w:t>
            </w:r>
          </w:p>
          <w:p w:rsidR="00BB45FD" w:rsidRPr="0053423A" w:rsidRDefault="00BB45FD" w:rsidP="001F6D5D">
            <w:pPr>
              <w:pStyle w:val="ListParagraph"/>
              <w:numPr>
                <w:ilvl w:val="0"/>
                <w:numId w:val="161"/>
              </w:numPr>
              <w:tabs>
                <w:tab w:val="left" w:pos="720"/>
                <w:tab w:val="left" w:pos="1080"/>
                <w:tab w:val="left" w:pos="5220"/>
                <w:tab w:val="left" w:pos="5400"/>
              </w:tabs>
              <w:spacing w:after="0" w:line="276" w:lineRule="auto"/>
              <w:ind w:left="0" w:firstLine="851"/>
              <w:jc w:val="both"/>
              <w:rPr>
                <w:rFonts w:cs="Times Armenian"/>
                <w:sz w:val="20"/>
                <w:szCs w:val="20"/>
                <w:lang w:val="hy-AM"/>
              </w:rPr>
            </w:pPr>
            <w:r w:rsidRPr="0053423A">
              <w:rPr>
                <w:rFonts w:cs="Times Armenian"/>
                <w:sz w:val="20"/>
                <w:szCs w:val="20"/>
                <w:lang w:val="hy-AM"/>
              </w:rPr>
              <w:t xml:space="preserve">Չափազանց թույլ է </w:t>
            </w:r>
            <w:r w:rsidRPr="0053423A">
              <w:rPr>
                <w:rFonts w:cs="Times Armenian"/>
                <w:sz w:val="20"/>
                <w:szCs w:val="20"/>
              </w:rPr>
              <w:t>ԲՈՒՀ</w:t>
            </w:r>
            <w:r w:rsidRPr="0053423A">
              <w:rPr>
                <w:rFonts w:cs="Times Armenian"/>
                <w:sz w:val="20"/>
                <w:szCs w:val="20"/>
                <w:lang w:val="af-ZA"/>
              </w:rPr>
              <w:t>-</w:t>
            </w:r>
            <w:r w:rsidRPr="0053423A">
              <w:rPr>
                <w:rFonts w:cs="Times Armenian"/>
                <w:sz w:val="20"/>
                <w:szCs w:val="20"/>
                <w:lang w:val="hy-AM"/>
              </w:rPr>
              <w:t>երի հետ համագործակցությունը</w:t>
            </w:r>
            <w:r w:rsidRPr="0053423A">
              <w:rPr>
                <w:rFonts w:cs="Times Armenian"/>
                <w:sz w:val="20"/>
                <w:szCs w:val="20"/>
              </w:rPr>
              <w:t>՝</w:t>
            </w:r>
            <w:r w:rsidRPr="0053423A">
              <w:rPr>
                <w:rFonts w:cs="Times Armenian"/>
                <w:sz w:val="20"/>
                <w:szCs w:val="20"/>
                <w:lang w:val="hy-AM"/>
              </w:rPr>
              <w:t xml:space="preserve"> հատուկ կրթական ծրագրերի մշակման, համապատասխան կադրերի վերա</w:t>
            </w:r>
            <w:r w:rsidRPr="0053423A">
              <w:rPr>
                <w:rFonts w:cs="Times Armenian"/>
                <w:sz w:val="20"/>
                <w:szCs w:val="20"/>
                <w:lang w:val="hy-AM"/>
              </w:rPr>
              <w:softHyphen/>
              <w:t>պատ</w:t>
            </w:r>
            <w:r w:rsidRPr="0053423A">
              <w:rPr>
                <w:rFonts w:cs="Times Armenian"/>
                <w:sz w:val="20"/>
                <w:szCs w:val="20"/>
                <w:lang w:val="hy-AM"/>
              </w:rPr>
              <w:softHyphen/>
              <w:t>րաստ</w:t>
            </w:r>
            <w:r w:rsidRPr="0053423A">
              <w:rPr>
                <w:rFonts w:cs="Times Armenian"/>
                <w:sz w:val="20"/>
                <w:szCs w:val="20"/>
                <w:lang w:val="hy-AM"/>
              </w:rPr>
              <w:softHyphen/>
              <w:t>ման, հետազոտական աշխատանքների իրականացման բնագա</w:t>
            </w:r>
            <w:r w:rsidRPr="0053423A">
              <w:rPr>
                <w:rFonts w:cs="Times Armenian"/>
                <w:sz w:val="20"/>
                <w:szCs w:val="20"/>
                <w:lang w:val="hy-AM"/>
              </w:rPr>
              <w:softHyphen/>
              <w:t>վառում:</w:t>
            </w:r>
          </w:p>
          <w:p w:rsidR="00BB45FD" w:rsidRPr="0053423A" w:rsidRDefault="00BB45FD" w:rsidP="00A67858">
            <w:pPr>
              <w:pStyle w:val="ListParagraph"/>
              <w:tabs>
                <w:tab w:val="left" w:pos="720"/>
                <w:tab w:val="left" w:pos="1080"/>
                <w:tab w:val="left" w:pos="5220"/>
                <w:tab w:val="left" w:pos="5400"/>
              </w:tabs>
              <w:spacing w:after="0" w:line="276" w:lineRule="auto"/>
              <w:ind w:left="851"/>
              <w:rPr>
                <w:rFonts w:cs="Times Armenian"/>
                <w:sz w:val="20"/>
                <w:szCs w:val="20"/>
                <w:lang w:val="hy-AM"/>
              </w:rPr>
            </w:pPr>
            <w:r w:rsidRPr="0053423A">
              <w:rPr>
                <w:rFonts w:cs="Times Armenian"/>
                <w:sz w:val="20"/>
                <w:szCs w:val="20"/>
                <w:lang w:val="hy-AM"/>
              </w:rPr>
              <w:t>- Ֆինանսավորման մեխանիզմները սահմանափակ են:</w:t>
            </w:r>
          </w:p>
          <w:p w:rsidR="00BB45FD" w:rsidRPr="0053423A" w:rsidRDefault="00BB45FD" w:rsidP="00A67858">
            <w:pPr>
              <w:tabs>
                <w:tab w:val="left" w:pos="0"/>
                <w:tab w:val="left" w:pos="450"/>
              </w:tabs>
              <w:spacing w:after="0" w:line="276" w:lineRule="auto"/>
              <w:ind w:firstLine="851"/>
              <w:rPr>
                <w:b/>
                <w:sz w:val="20"/>
                <w:szCs w:val="20"/>
                <w:lang w:val="hy-AM"/>
              </w:rPr>
            </w:pPr>
            <w:r w:rsidRPr="0053423A">
              <w:rPr>
                <w:rFonts w:cs="Sylfaen"/>
                <w:b/>
                <w:sz w:val="20"/>
                <w:szCs w:val="20"/>
                <w:lang w:val="hy-AM"/>
              </w:rPr>
              <w:t>1.2.</w:t>
            </w:r>
            <w:r w:rsidRPr="0053423A">
              <w:rPr>
                <w:b/>
                <w:sz w:val="20"/>
                <w:szCs w:val="20"/>
                <w:lang w:val="hy-AM"/>
              </w:rPr>
              <w:t xml:space="preserve"> Առկա խնդիրների առաջարկվող լուծումները</w:t>
            </w:r>
          </w:p>
          <w:p w:rsidR="00BB45FD" w:rsidRPr="0053423A" w:rsidRDefault="00BB45FD" w:rsidP="00A67858">
            <w:pPr>
              <w:pStyle w:val="ListParagraph"/>
              <w:tabs>
                <w:tab w:val="left" w:pos="0"/>
                <w:tab w:val="left" w:pos="851"/>
                <w:tab w:val="left" w:pos="993"/>
              </w:tabs>
              <w:spacing w:after="0" w:line="276" w:lineRule="auto"/>
              <w:ind w:left="0" w:firstLine="851"/>
              <w:rPr>
                <w:rFonts w:cs="Sylfaen"/>
                <w:sz w:val="20"/>
                <w:szCs w:val="20"/>
                <w:lang w:val="hy-AM"/>
              </w:rPr>
            </w:pPr>
            <w:r w:rsidRPr="0053423A">
              <w:rPr>
                <w:rFonts w:cs="Sylfaen"/>
                <w:sz w:val="20"/>
                <w:szCs w:val="20"/>
                <w:lang w:val="hy-AM"/>
              </w:rPr>
              <w:t>Վերը նշված խնդիրների լուծման, ռազմարդյունաբերական համալիրի զարգացման գործընթացի կանոնա</w:t>
            </w:r>
            <w:r w:rsidRPr="0053423A">
              <w:rPr>
                <w:rFonts w:cs="Sylfaen"/>
                <w:sz w:val="20"/>
                <w:szCs w:val="20"/>
                <w:lang w:val="hy-AM"/>
              </w:rPr>
              <w:softHyphen/>
              <w:t xml:space="preserve">կարգման և դրանց կազմակերպումը առավել արդյունավետ դարձնելու նպատակով անհրաժեշտ է սահմանել </w:t>
            </w:r>
            <w:r w:rsidRPr="0053423A">
              <w:rPr>
                <w:sz w:val="20"/>
                <w:szCs w:val="20"/>
                <w:lang w:val="hy-AM"/>
              </w:rPr>
              <w:t>սպառազինության, ռազմական տեխնիկայի և ռազմատեխնիկական ունեցվածքի զարգացման ուղղություններն ու առաջնահերթությունները, ինչպես նաև ապահովել տեխնոլոգիաների ու տեխնիկայի հարցերում բարձր բանիմացությամբ զորակոչիկների ներգրավումը ռազմարդյունաբերական ոլորտում իրականացվող աշխատանքներին</w:t>
            </w:r>
            <w:r w:rsidRPr="0053423A">
              <w:rPr>
                <w:rFonts w:cs="Sylfaen"/>
                <w:sz w:val="20"/>
                <w:szCs w:val="20"/>
                <w:lang w:val="hy-AM"/>
              </w:rPr>
              <w:t>.</w:t>
            </w:r>
          </w:p>
          <w:p w:rsidR="00BB45FD" w:rsidRPr="0053423A" w:rsidRDefault="00BB45FD" w:rsidP="00A67858">
            <w:pPr>
              <w:tabs>
                <w:tab w:val="left" w:pos="0"/>
              </w:tabs>
              <w:spacing w:after="0" w:line="276" w:lineRule="auto"/>
              <w:ind w:firstLine="709"/>
              <w:rPr>
                <w:rFonts w:cs="Sylfaen"/>
                <w:sz w:val="20"/>
                <w:szCs w:val="20"/>
                <w:lang w:val="hy-AM"/>
              </w:rPr>
            </w:pPr>
            <w:r w:rsidRPr="0053423A">
              <w:rPr>
                <w:b/>
                <w:sz w:val="20"/>
                <w:szCs w:val="20"/>
                <w:lang w:val="hy-AM"/>
              </w:rPr>
              <w:t>2. Միջոցառումների իրականացումից ակնկալվող արդյունքը</w:t>
            </w:r>
            <w:r w:rsidRPr="0053423A">
              <w:rPr>
                <w:rFonts w:cs="Sylfaen"/>
                <w:sz w:val="20"/>
                <w:szCs w:val="20"/>
                <w:lang w:val="hy-AM"/>
              </w:rPr>
              <w:t xml:space="preserve"> </w:t>
            </w:r>
          </w:p>
          <w:p w:rsidR="00BB45FD" w:rsidRPr="0053423A" w:rsidRDefault="00BB45FD" w:rsidP="00A67858">
            <w:pPr>
              <w:spacing w:after="0" w:line="276" w:lineRule="auto"/>
              <w:ind w:firstLine="709"/>
              <w:rPr>
                <w:b/>
                <w:sz w:val="20"/>
                <w:szCs w:val="20"/>
                <w:u w:val="single"/>
                <w:lang w:val="hy-AM"/>
              </w:rPr>
            </w:pPr>
            <w:r w:rsidRPr="0053423A">
              <w:rPr>
                <w:rFonts w:cs="Sylfaen"/>
                <w:sz w:val="20"/>
                <w:szCs w:val="20"/>
                <w:lang w:val="hy-AM"/>
              </w:rPr>
              <w:t xml:space="preserve">Միջոցառումների իրականացումով կապահովվի ՍՌՏ </w:t>
            </w:r>
            <w:r w:rsidRPr="0053423A">
              <w:rPr>
                <w:sz w:val="20"/>
                <w:szCs w:val="20"/>
                <w:lang w:val="hy-AM"/>
              </w:rPr>
              <w:t>մշակման, սերիական արտադրության, արդիականացման և վերանորոգման հարցերում ԶՈւ միջնաժամկետ ու երկարաժամկետ կարիքների և առաջնահերթությունների մասին</w:t>
            </w:r>
            <w:r w:rsidRPr="0053423A">
              <w:rPr>
                <w:rFonts w:cs="Sylfaen"/>
                <w:sz w:val="20"/>
                <w:szCs w:val="20"/>
                <w:lang w:val="hy-AM"/>
              </w:rPr>
              <w:t xml:space="preserve"> ռազմարդյունաբերական ձեռնարկությունների իրազեկվածությունը և դրանք բավարարելու համար ձեռնարկությունների կողմից գիտաարտադրական հզորությունների և մասնագիտական ներուժի պլանավորումը: Միաժամանակ՝ </w:t>
            </w:r>
            <w:r w:rsidRPr="0053423A">
              <w:rPr>
                <w:sz w:val="20"/>
                <w:szCs w:val="20"/>
                <w:lang w:val="hy-AM"/>
              </w:rPr>
              <w:t>կապահովվի  երիտասարդ մաս</w:t>
            </w:r>
            <w:r w:rsidRPr="0053423A">
              <w:rPr>
                <w:sz w:val="20"/>
                <w:szCs w:val="20"/>
                <w:lang w:val="hy-AM"/>
              </w:rPr>
              <w:softHyphen/>
              <w:t>նա</w:t>
            </w:r>
            <w:r w:rsidRPr="0053423A">
              <w:rPr>
                <w:sz w:val="20"/>
                <w:szCs w:val="20"/>
                <w:lang w:val="hy-AM"/>
              </w:rPr>
              <w:softHyphen/>
              <w:t>գետների ներ</w:t>
            </w:r>
            <w:r w:rsidRPr="0053423A">
              <w:rPr>
                <w:sz w:val="20"/>
                <w:szCs w:val="20"/>
                <w:lang w:val="hy-AM"/>
              </w:rPr>
              <w:softHyphen/>
              <w:t>գրա</w:t>
            </w:r>
            <w:r w:rsidRPr="0053423A">
              <w:rPr>
                <w:sz w:val="20"/>
                <w:szCs w:val="20"/>
                <w:lang w:val="hy-AM"/>
              </w:rPr>
              <w:softHyphen/>
              <w:t>վումը ռազմարդյու</w:t>
            </w:r>
            <w:r w:rsidRPr="0053423A">
              <w:rPr>
                <w:sz w:val="20"/>
                <w:szCs w:val="20"/>
                <w:lang w:val="hy-AM"/>
              </w:rPr>
              <w:softHyphen/>
              <w:t>նա</w:t>
            </w:r>
            <w:r w:rsidRPr="0053423A">
              <w:rPr>
                <w:sz w:val="20"/>
                <w:szCs w:val="20"/>
                <w:lang w:val="hy-AM"/>
              </w:rPr>
              <w:softHyphen/>
              <w:t>բե</w:t>
            </w:r>
            <w:r w:rsidRPr="0053423A">
              <w:rPr>
                <w:sz w:val="20"/>
                <w:szCs w:val="20"/>
                <w:lang w:val="hy-AM"/>
              </w:rPr>
              <w:softHyphen/>
              <w:t>րու</w:t>
            </w:r>
            <w:r w:rsidRPr="0053423A">
              <w:rPr>
                <w:sz w:val="20"/>
                <w:szCs w:val="20"/>
                <w:lang w:val="hy-AM"/>
              </w:rPr>
              <w:softHyphen/>
            </w:r>
            <w:r w:rsidRPr="0053423A">
              <w:rPr>
                <w:sz w:val="20"/>
                <w:szCs w:val="20"/>
                <w:lang w:val="hy-AM"/>
              </w:rPr>
              <w:softHyphen/>
              <w:t>թյան ոլորտ:</w:t>
            </w:r>
          </w:p>
        </w:tc>
      </w:tr>
      <w:tr w:rsidR="00BB45FD" w:rsidRPr="00DE2EFA" w:rsidTr="00976405">
        <w:tc>
          <w:tcPr>
            <w:tcW w:w="425" w:type="dxa"/>
            <w:shd w:val="clear" w:color="auto" w:fill="auto"/>
          </w:tcPr>
          <w:p w:rsidR="00BB45FD" w:rsidRPr="0053423A" w:rsidRDefault="00BB45FD" w:rsidP="00A67858">
            <w:pPr>
              <w:spacing w:after="0" w:line="276" w:lineRule="auto"/>
              <w:ind w:left="-108" w:right="-108"/>
              <w:rPr>
                <w:sz w:val="20"/>
                <w:szCs w:val="20"/>
                <w:lang w:val="hy-AM"/>
              </w:rPr>
            </w:pPr>
            <w:r w:rsidRPr="0053423A">
              <w:rPr>
                <w:sz w:val="20"/>
                <w:szCs w:val="20"/>
                <w:lang w:val="hy-AM"/>
              </w:rPr>
              <w:t>10.1-10.8</w:t>
            </w:r>
          </w:p>
        </w:tc>
        <w:tc>
          <w:tcPr>
            <w:tcW w:w="11156" w:type="dxa"/>
            <w:shd w:val="clear" w:color="auto" w:fill="auto"/>
          </w:tcPr>
          <w:p w:rsidR="00BB45FD" w:rsidRPr="0053423A" w:rsidRDefault="00BB45FD" w:rsidP="00A67858">
            <w:pPr>
              <w:spacing w:after="0" w:line="276" w:lineRule="auto"/>
              <w:jc w:val="center"/>
              <w:rPr>
                <w:rFonts w:eastAsia="Times New Roman"/>
                <w:b/>
                <w:sz w:val="20"/>
                <w:szCs w:val="20"/>
                <w:lang w:val="hy-AM" w:eastAsia="ru-RU"/>
              </w:rPr>
            </w:pPr>
            <w:r w:rsidRPr="0053423A">
              <w:rPr>
                <w:b/>
                <w:sz w:val="20"/>
                <w:szCs w:val="20"/>
                <w:u w:val="single"/>
                <w:lang w:val="hy-AM"/>
              </w:rPr>
              <w:t>Պաշտպանության ոլորտում բարեվարքության, զինված ուժերի անձնակազմի կարգապահության և բանակում մարդու իրավունքների պաշտպանության ամրապնդման վերաբերյալ</w:t>
            </w:r>
          </w:p>
          <w:p w:rsidR="00BB45FD" w:rsidRPr="0053423A" w:rsidRDefault="00BB45FD" w:rsidP="00A67858">
            <w:pPr>
              <w:spacing w:after="0" w:line="276" w:lineRule="auto"/>
              <w:ind w:firstLine="720"/>
              <w:rPr>
                <w:b/>
                <w:sz w:val="20"/>
                <w:szCs w:val="20"/>
                <w:lang w:val="hy-AM"/>
              </w:rPr>
            </w:pPr>
            <w:r w:rsidRPr="0053423A">
              <w:rPr>
                <w:b/>
                <w:sz w:val="20"/>
                <w:szCs w:val="20"/>
                <w:lang w:val="hy-AM"/>
              </w:rPr>
              <w:t xml:space="preserve">1.Միջոցառումների իրակացման անհրաժեշտությունը և նպատակը </w:t>
            </w:r>
          </w:p>
          <w:p w:rsidR="00BB45FD" w:rsidRPr="0053423A" w:rsidRDefault="00BB45FD" w:rsidP="00A67858">
            <w:pPr>
              <w:spacing w:after="0" w:line="276" w:lineRule="auto"/>
              <w:ind w:firstLine="720"/>
              <w:rPr>
                <w:rFonts w:eastAsia="Times New Roman"/>
                <w:sz w:val="20"/>
                <w:szCs w:val="20"/>
                <w:lang w:val="hy-AM" w:eastAsia="ru-RU"/>
              </w:rPr>
            </w:pPr>
            <w:r w:rsidRPr="0053423A">
              <w:rPr>
                <w:rFonts w:eastAsia="Times New Roman"/>
                <w:sz w:val="20"/>
                <w:szCs w:val="20"/>
                <w:lang w:val="hy-AM" w:eastAsia="ru-RU"/>
              </w:rPr>
              <w:t>Ամրապնդել բարեվարքության, կարգապահության, հաշվետվողականության, մարդու իրավունքների պաշտպանության և կանանց համար հավասար հնարավորությունների ապահովման մշակույթը Զինված ուժերում, ինչը կնպաստի կոռուպցիոն ռիսկերի նվազեցմանը, ռեսուրսների կառավարման ունակությունների զարգացմանը, անհատական և ինստիտուցիոնալ կարողությունների հզորացմանը: Միջոցառումների իրականացումը պայմանավորված է նաև մարդու իրավունքների և հիմնարար ազատությունների վերաբերյալ միջազգային իրավունքի նորմերի  և ՀՀ Սահմանադրության պահանջների կատարման, ինչպես նաև անձնակազմի իրազեկվածության ու իրավագիտակցության մակարդակի բարձրացման անհրաժեշտությամբ:</w:t>
            </w:r>
          </w:p>
          <w:p w:rsidR="00BB45FD" w:rsidRPr="0053423A" w:rsidRDefault="00BB45FD" w:rsidP="00A67858">
            <w:pPr>
              <w:pStyle w:val="ListParagraph"/>
              <w:spacing w:after="0" w:line="276" w:lineRule="auto"/>
              <w:ind w:left="0" w:firstLine="720"/>
              <w:rPr>
                <w:b/>
                <w:sz w:val="20"/>
                <w:szCs w:val="20"/>
                <w:lang w:val="hy-AM"/>
              </w:rPr>
            </w:pPr>
            <w:r w:rsidRPr="0053423A">
              <w:rPr>
                <w:b/>
                <w:sz w:val="20"/>
                <w:szCs w:val="20"/>
                <w:lang w:val="hy-AM"/>
              </w:rPr>
              <w:t>1.1 Կարգավորման հարաբերությունների ներկա վիճակը և առկա խնդիրները</w:t>
            </w:r>
          </w:p>
          <w:p w:rsidR="00BB45FD" w:rsidRPr="0053423A" w:rsidRDefault="00BB45FD" w:rsidP="00A67858">
            <w:pPr>
              <w:spacing w:after="0" w:line="276" w:lineRule="auto"/>
              <w:ind w:firstLine="720"/>
              <w:rPr>
                <w:sz w:val="20"/>
                <w:szCs w:val="20"/>
                <w:lang w:val="hy-AM"/>
              </w:rPr>
            </w:pPr>
            <w:r w:rsidRPr="0053423A">
              <w:rPr>
                <w:sz w:val="20"/>
                <w:szCs w:val="20"/>
                <w:lang w:val="hy-AM"/>
              </w:rPr>
              <w:t>Ներկայումս կարգապահական իրավախախտումների շրջանակներում ծառայողական քննությունների անցկացման գործընթացին, զինծառայողին իր իրավունքներին և պարտականություններին պարտադիր ծանոթացնելու, կիրառված կարագապահական տույժի վերաբերյալ զինծառայողին տեղեկացնելու և զինծառայողի կողմից այն բողոքարկելու, բողոքի քննարկման արդյունքներով ընդունովող որոշումների հետ կապված հարաբերությունները հստակեցման կարիք ունեն:</w:t>
            </w:r>
          </w:p>
          <w:p w:rsidR="00BB45FD" w:rsidRPr="0053423A" w:rsidRDefault="00BB45FD" w:rsidP="00A67858">
            <w:pPr>
              <w:spacing w:after="0" w:line="276" w:lineRule="auto"/>
              <w:ind w:firstLine="720"/>
              <w:rPr>
                <w:rFonts w:eastAsia="Times New Roman"/>
                <w:sz w:val="20"/>
                <w:szCs w:val="20"/>
                <w:lang w:val="hy-AM" w:eastAsia="ru-RU"/>
              </w:rPr>
            </w:pPr>
            <w:r w:rsidRPr="0053423A">
              <w:rPr>
                <w:rFonts w:eastAsia="Times New Roman"/>
                <w:sz w:val="20"/>
                <w:szCs w:val="20"/>
                <w:lang w:val="hy-AM" w:eastAsia="ru-RU"/>
              </w:rPr>
              <w:t>Միևնույն ժամանակ՝ ՊՆ կառուցվածքում գործում է ՀՀ պաշտպանության նախարարին առընթեր Մարդու իրավունքների և բարեվարքության կենտրոնը (ՄԻԲԿ), որի նպատակը ՊՆ համակարգում մարդու իրավունքների և բարեվարքության ամրապնդման, մարդու իրավունքների պաշտպանության և կանանց համար հավասար հնարավորությունների ստեղծման ապահովումն է: «Թեժ գիծ» ծառայության և այլ գործիքակազմի միջոցքվ Կենտրոնը հանդիսանում է նաև առերևույթ կոռուպցիոն դեպքերի և այլ հանցագործությունների (այդ թվում՝ մարդու իրավունքների ոտնահարման առումով) վերաբերյալ ահազանգման և ներքին ու արտաքին ազդարարման պատասխանատու: Ընդ որում՝ ՀՀ ՊՆ-ն 2013թ.-ից միացել է ՆԱՏՕ-ի  բարեվարքության ամրապնդման ծրագրին, որի շրջանակներում մասնակցում է ինքնագնահատման և փորձագիտական խմբի վերանայման գործընթացին: Չնայած նրան, որ ինքնագնահատման գործընթացը հնարավորություն է տվել ուրվագծել պաշտպանության ոլորտում կոռուպցիայի դեմ պայքարի հիմնական ուղղությունները, և բացահայտել հիմնական կոռուպցիոն ռիսկերը, այնուամենայնիվ, գոյություն չունի այս ոլորտում ՊՆ քաղաքականության դրույթները ամրագրող համապարփակ հայեցակարգային փաստաթուղթ:</w:t>
            </w:r>
          </w:p>
          <w:p w:rsidR="00BB45FD" w:rsidRPr="0053423A" w:rsidRDefault="00BB45FD" w:rsidP="00A67858">
            <w:pPr>
              <w:spacing w:after="0" w:line="276" w:lineRule="auto"/>
              <w:ind w:firstLine="720"/>
              <w:rPr>
                <w:rFonts w:eastAsia="Times New Roman"/>
                <w:sz w:val="20"/>
                <w:szCs w:val="20"/>
                <w:lang w:val="hy-AM" w:eastAsia="ru-RU"/>
              </w:rPr>
            </w:pPr>
            <w:r w:rsidRPr="0053423A">
              <w:rPr>
                <w:rFonts w:eastAsia="Times New Roman"/>
                <w:sz w:val="20"/>
                <w:szCs w:val="20"/>
                <w:lang w:val="hy-AM" w:eastAsia="ru-RU"/>
              </w:rPr>
              <w:t>Զուգեհառաբար՝ ՀՀ պաշտպանության նախարարի հրամանով հաստատված «ՊՆ կանանց իրավունքների պաշտպանության և հավասար հնարավորությունների ապահովման ուղեցույցում» ամրագրված է, որ ՊՆ համակարգի բարեփոխումների անհրաժեշտ նախապայմաններից է անձնակազմի քանակական և որակական ցուցանիշների համամասնական ու փոխկապակցված զարգացումը, որի շրջանակներում հատուկ կարևորություն է ձեռք բերում ՊՆ համակարգում կանանց ներգրավման ուղղությամբ քաղաքականության վերանայումն ու առկա անորոշությունների վերացումը, ինչպես նաև զինծառայողների կանանց համար զինվորական ավաններում բնակվելու ընթացքում կամ զինվորական ծառայության բերումով բնակության վայրի փոփոխություններին արագ հարմարվելու համար պայմանների ստեղծումը։</w:t>
            </w:r>
          </w:p>
          <w:p w:rsidR="00BB45FD" w:rsidRPr="0053423A" w:rsidRDefault="00BB45FD" w:rsidP="00A67858">
            <w:pPr>
              <w:spacing w:after="0" w:line="276" w:lineRule="auto"/>
              <w:ind w:firstLine="720"/>
              <w:rPr>
                <w:b/>
                <w:bCs/>
                <w:sz w:val="20"/>
                <w:szCs w:val="20"/>
                <w:lang w:val="hy-AM"/>
              </w:rPr>
            </w:pPr>
            <w:r w:rsidRPr="0053423A">
              <w:rPr>
                <w:b/>
                <w:sz w:val="20"/>
                <w:szCs w:val="20"/>
                <w:lang w:val="hy-AM"/>
              </w:rPr>
              <w:t>1.2. Առկա խնդիրների առաջարկվող լուծումները</w:t>
            </w:r>
          </w:p>
          <w:p w:rsidR="00BB45FD" w:rsidRPr="0053423A" w:rsidRDefault="00BB45FD" w:rsidP="00A67858">
            <w:pPr>
              <w:spacing w:after="0" w:line="276" w:lineRule="auto"/>
              <w:ind w:firstLine="720"/>
              <w:rPr>
                <w:rFonts w:eastAsia="Times New Roman"/>
                <w:sz w:val="20"/>
                <w:szCs w:val="20"/>
                <w:lang w:val="hy-AM" w:eastAsia="ru-RU"/>
              </w:rPr>
            </w:pPr>
            <w:r w:rsidRPr="0053423A">
              <w:rPr>
                <w:rFonts w:eastAsia="Times New Roman"/>
                <w:sz w:val="20"/>
                <w:szCs w:val="20"/>
                <w:lang w:val="hy-AM" w:eastAsia="ru-RU"/>
              </w:rPr>
              <w:t>Առաջարկվում է՝</w:t>
            </w:r>
          </w:p>
          <w:p w:rsidR="00BB45FD" w:rsidRPr="0053423A" w:rsidRDefault="00BB45FD" w:rsidP="00A67858">
            <w:pPr>
              <w:spacing w:after="0" w:line="276" w:lineRule="auto"/>
              <w:ind w:firstLine="720"/>
              <w:rPr>
                <w:rFonts w:eastAsia="Times New Roman"/>
                <w:sz w:val="20"/>
                <w:szCs w:val="20"/>
                <w:lang w:val="hy-AM" w:eastAsia="ru-RU"/>
              </w:rPr>
            </w:pPr>
            <w:r w:rsidRPr="0053423A">
              <w:rPr>
                <w:sz w:val="20"/>
                <w:szCs w:val="20"/>
                <w:lang w:val="hy-AM"/>
              </w:rPr>
              <w:t>«ՀՀ զինված ուժերի կարգապահական կանոնագիրք» ՀՀ օրենքում կատարել փոփոխություններ և լրացումներ՝ համապատասխան փաստաթղթերի փաթեթի մշակմամբ և ներկայացմամբ,</w:t>
            </w:r>
          </w:p>
          <w:p w:rsidR="00BB45FD" w:rsidRPr="0053423A" w:rsidRDefault="00BB45FD" w:rsidP="00A67858">
            <w:pPr>
              <w:spacing w:after="0" w:line="276" w:lineRule="auto"/>
              <w:ind w:firstLine="720"/>
              <w:rPr>
                <w:rFonts w:eastAsia="Times New Roman"/>
                <w:sz w:val="20"/>
                <w:szCs w:val="20"/>
                <w:lang w:val="hy-AM" w:eastAsia="ru-RU"/>
              </w:rPr>
            </w:pPr>
            <w:r w:rsidRPr="0053423A">
              <w:rPr>
                <w:rFonts w:eastAsia="Times New Roman"/>
                <w:sz w:val="20"/>
                <w:szCs w:val="20"/>
                <w:lang w:val="hy-AM" w:eastAsia="ru-RU"/>
              </w:rPr>
              <w:t>- հզորացնել ՊՆ համակարգում Մարդու իրավունքների և բարեվարքության ամրապնդման հարցերով մասնագիտացված կառույցի կարողությունները՝ անձնակազմի վերապատրաստման, այդ թվում՝ թեժ գծի տեխնիկական հագեցվածության ապահովման ուղղություններով,</w:t>
            </w:r>
          </w:p>
          <w:p w:rsidR="00BB45FD" w:rsidRPr="0053423A" w:rsidRDefault="00BB45FD" w:rsidP="00A67858">
            <w:pPr>
              <w:spacing w:after="0" w:line="276" w:lineRule="auto"/>
              <w:ind w:firstLine="720"/>
              <w:rPr>
                <w:rFonts w:eastAsia="Times New Roman"/>
                <w:sz w:val="20"/>
                <w:szCs w:val="20"/>
                <w:lang w:val="hy-AM" w:eastAsia="ru-RU"/>
              </w:rPr>
            </w:pPr>
            <w:r w:rsidRPr="0053423A">
              <w:rPr>
                <w:rFonts w:eastAsia="Times New Roman"/>
                <w:sz w:val="20"/>
                <w:szCs w:val="20"/>
                <w:lang w:val="hy-AM" w:eastAsia="ru-RU"/>
              </w:rPr>
              <w:t>- ՊՆ ռազմակրթական հաստատություններում ներդնել ՀՀ ՊՆ մասնագետների, ՆԱՏՕ-ի «Պաշտպանական կրթության զարգացման» և «Բարեվարքության հարցերով» միացյալ թիմը համատեղ մշակած «Լավ կառավարում և բարեվարքության ամրապնդում պաշտպանության և անվտանգության ոլորտում» առարկայի ուսումնական ծրագիրը,</w:t>
            </w:r>
          </w:p>
          <w:p w:rsidR="00BB45FD" w:rsidRPr="0053423A" w:rsidRDefault="00BB45FD" w:rsidP="00A67858">
            <w:pPr>
              <w:spacing w:after="0" w:line="276" w:lineRule="auto"/>
              <w:ind w:firstLine="720"/>
              <w:rPr>
                <w:rFonts w:eastAsia="Times New Roman"/>
                <w:sz w:val="20"/>
                <w:szCs w:val="20"/>
                <w:lang w:val="hy-AM" w:eastAsia="ru-RU"/>
              </w:rPr>
            </w:pPr>
            <w:r w:rsidRPr="0053423A">
              <w:rPr>
                <w:rFonts w:eastAsia="Times New Roman"/>
                <w:sz w:val="20"/>
                <w:szCs w:val="20"/>
                <w:lang w:val="hy-AM" w:eastAsia="ru-RU"/>
              </w:rPr>
              <w:t>- բարեվարքության հարցերով ներկայացված ինքնագնահատման հարցաշարի վերլուծության հիման վրա մշակել պաշտպանության ոլորտի հակակոռուպցիոն ռազմավարություն և դրանից բխող գործողությունների ծրագիր,</w:t>
            </w:r>
          </w:p>
          <w:p w:rsidR="00BB45FD" w:rsidRPr="0053423A" w:rsidRDefault="00BB45FD" w:rsidP="00A67858">
            <w:pPr>
              <w:spacing w:after="0" w:line="276" w:lineRule="auto"/>
              <w:ind w:firstLine="720"/>
              <w:rPr>
                <w:rFonts w:eastAsia="Times New Roman"/>
                <w:sz w:val="20"/>
                <w:szCs w:val="20"/>
                <w:lang w:val="hy-AM" w:eastAsia="ru-RU"/>
              </w:rPr>
            </w:pPr>
            <w:r w:rsidRPr="0053423A">
              <w:rPr>
                <w:sz w:val="20"/>
                <w:szCs w:val="20"/>
                <w:lang w:val="hy-AM"/>
              </w:rPr>
              <w:t>-</w:t>
            </w:r>
            <w:r w:rsidRPr="0053423A">
              <w:rPr>
                <w:rFonts w:eastAsia="Times New Roman"/>
                <w:sz w:val="20"/>
                <w:szCs w:val="20"/>
                <w:lang w:val="hy-AM" w:eastAsia="ru-RU"/>
              </w:rPr>
              <w:t xml:space="preserve"> ապահովել մարդու իրավուքների վերաբերյալ շարունակական կրթություն, ինչի նպատակով  առարկայի  հեռուսուցումը կազմակերպել ՊՆ համակարգում հեռուսուցման կարողությունների ներդրմանը զուգընթաց,</w:t>
            </w:r>
          </w:p>
          <w:p w:rsidR="00BB45FD" w:rsidRPr="0053423A" w:rsidRDefault="00BB45FD" w:rsidP="00A67858">
            <w:pPr>
              <w:spacing w:after="0" w:line="276" w:lineRule="auto"/>
              <w:ind w:firstLine="720"/>
              <w:rPr>
                <w:rFonts w:eastAsia="Times New Roman"/>
                <w:sz w:val="20"/>
                <w:szCs w:val="20"/>
                <w:lang w:val="hy-AM" w:eastAsia="ru-RU"/>
              </w:rPr>
            </w:pPr>
            <w:r w:rsidRPr="0053423A">
              <w:rPr>
                <w:rFonts w:eastAsia="Times New Roman"/>
                <w:sz w:val="20"/>
                <w:szCs w:val="20"/>
                <w:lang w:val="hy-AM" w:eastAsia="ru-RU"/>
              </w:rPr>
              <w:t>- ապահովել մարդու իրավունքների վերաբերյալ իրազեկման միջոցառումների շարունակականությունը և ինստիտուցիոնալացումը՝ դրանցում ընդգրկելով հնարավորինս մեծ թվով զինծառայողների,</w:t>
            </w:r>
          </w:p>
          <w:p w:rsidR="00BB45FD" w:rsidRPr="0053423A" w:rsidRDefault="00BB45FD" w:rsidP="00A67858">
            <w:pPr>
              <w:spacing w:after="0" w:line="276" w:lineRule="auto"/>
              <w:ind w:firstLine="720"/>
              <w:rPr>
                <w:rFonts w:eastAsia="Times New Roman"/>
                <w:sz w:val="20"/>
                <w:szCs w:val="20"/>
                <w:lang w:val="hy-AM" w:eastAsia="ru-RU"/>
              </w:rPr>
            </w:pPr>
            <w:r w:rsidRPr="0053423A">
              <w:rPr>
                <w:rFonts w:eastAsia="Times New Roman"/>
                <w:sz w:val="20"/>
                <w:szCs w:val="20"/>
                <w:lang w:val="hy-AM" w:eastAsia="ru-RU"/>
              </w:rPr>
              <w:t>- հետևողական աշխատանքներ իրականացնել կին զինծառայողների և զինծառայողների կանանց խնդիրների վերլուծության, զինվորական միջավայրին նրանց արագ ինտեգրմանը խոչընդոտող պատճառները ուսումնասիրության ուղղությամբ, ինչպես նաև մշակել նրանց սոցիալ-հոգեբանական ադապտացման համար անհրաժեշտ համալիր միջոցառումների ճանապարհային քարտեզ և գործողությունների ծրագիր։</w:t>
            </w:r>
          </w:p>
          <w:p w:rsidR="00BB45FD" w:rsidRPr="0053423A" w:rsidRDefault="00BB45FD" w:rsidP="00A67858">
            <w:pPr>
              <w:spacing w:after="0" w:line="276" w:lineRule="auto"/>
              <w:ind w:firstLine="720"/>
              <w:rPr>
                <w:b/>
                <w:sz w:val="20"/>
                <w:szCs w:val="20"/>
                <w:lang w:val="hy-AM"/>
              </w:rPr>
            </w:pPr>
            <w:r w:rsidRPr="0053423A">
              <w:rPr>
                <w:b/>
                <w:sz w:val="20"/>
                <w:szCs w:val="20"/>
                <w:lang w:val="hy-AM"/>
              </w:rPr>
              <w:t>2. Միջոցառումների իրականացումից ակնկալվող արդյունքը</w:t>
            </w:r>
          </w:p>
          <w:p w:rsidR="00BB45FD" w:rsidRPr="0053423A" w:rsidRDefault="00BB45FD" w:rsidP="00A67858">
            <w:pPr>
              <w:spacing w:after="0" w:line="276" w:lineRule="auto"/>
              <w:ind w:firstLine="720"/>
              <w:rPr>
                <w:b/>
                <w:sz w:val="20"/>
                <w:szCs w:val="20"/>
                <w:u w:val="single"/>
                <w:lang w:val="hy-AM"/>
              </w:rPr>
            </w:pPr>
            <w:r w:rsidRPr="0053423A">
              <w:rPr>
                <w:rFonts w:eastAsia="Times New Roman"/>
                <w:sz w:val="20"/>
                <w:szCs w:val="20"/>
                <w:lang w:val="hy-AM" w:eastAsia="ru-RU"/>
              </w:rPr>
              <w:t>Կապահովվի ՀՀ Կառավարության ծրագրի՝ կոռուպցիայի դեմ պայքարի դրույթների իրականացումը:Կբարձրանա անձնակազմի իրազեկվածությունը բարեվարքության, կոռուպցիայի կանխարգելման, դրա դեմ պայքարի, ինչպես նաև մարդու իրավունքների և հիմնարար ազատությունների միջազգային սկզբունքների և ՀՀ օրենսդրության պահանջների վերաբերյալ: Հնարավորություն կստեղծվի առավել արագ և արդյունավետ արձագանքել առերևույթ կոռուպցիոն դեպքերի/հանցագործությունների վերաբերյալ հաղորդումներին և ահազանգերին: Կ</w:t>
            </w:r>
            <w:r w:rsidRPr="0053423A">
              <w:rPr>
                <w:sz w:val="20"/>
                <w:szCs w:val="20"/>
                <w:lang w:val="hy-AM"/>
              </w:rPr>
              <w:t>ապահովվի զինված ուժերի անձնակազմի կարգապահության ամրապնդման և զինված ուժերում մարդու իրավունքների պաշտպանության պատշաճ գործընթացի իրականացումը:</w:t>
            </w:r>
            <w:r w:rsidRPr="0053423A">
              <w:rPr>
                <w:rFonts w:eastAsia="Times New Roman"/>
                <w:sz w:val="20"/>
                <w:szCs w:val="20"/>
                <w:lang w:val="hy-AM" w:eastAsia="ru-RU"/>
              </w:rPr>
              <w:t xml:space="preserve"> Թեժ գիծը կկարողանա սպասարկել ավելի մեծ թվով զանգեր, փորձառու մասնագետների կողմից կտրամադրվի առավել հասցեական օժանդակություն մարդու իրավունքներին առնչվող դեպքերի վերաբերյալ: ՀՀ ՊՆ ՄԻԲ կենտրոնի կարողությունների զարգացումը թույլ կտա անհրաժեշտության դեպքում իրականացնել «արագ արձագանքման» և անակնկալ այցեր ստորաբաժանումներ, ինչը հնարավորություն կտա զինված ուժերում մարդու իրավունքների վերաբերյալ օպերատիվ գնահատական և օբյեկտիվ պատկեր ունենալ՝ նպաստելով ԶՈւ-ում մարդու իրավունքների խախտումների թվի նվազմանը: Կապահովվի ՀՀ Կառավարության 2019 թվականի փետրվարի  8-ի N 65–Ա որոշման հավելվածի (ՀՀ Կառավարության ծրագիր) 4-րդ բաժնի (Ազատ, արժանապատիվ և երջանիկ քաղաքացին), 4.2 ենթաբաժնի (Աղքատության հաղթահարումը, սոցիալական պաշտպանությունը և ժողովրդագրությունը) 6-րդ պարբերությամբ սահմանված նպատակադրման իրականացումը, ինչպես նաև ՄԱԿ-ի Անվտանգության խորհրդի «Կանայք, խաղաղություն և անվտանգություն»  N 1325 բանաձևի դրույթների իրականացման գործողությունների  2019-2021  թվականների ազգային ծրագիրը և ծրագրի իրականացման ժամանակացույցը  հաստատելու մասին» N197-Լ որոշմամբ նախատեսված Պաշտպանության նախարարությանը վերաբերող միջոցառումների իրականացումը:</w:t>
            </w:r>
          </w:p>
        </w:tc>
      </w:tr>
      <w:tr w:rsidR="00BB45FD" w:rsidRPr="0053423A" w:rsidTr="00976405">
        <w:tc>
          <w:tcPr>
            <w:tcW w:w="425" w:type="dxa"/>
            <w:shd w:val="clear" w:color="auto" w:fill="auto"/>
          </w:tcPr>
          <w:p w:rsidR="00BB45FD" w:rsidRPr="0053423A" w:rsidRDefault="00BB45FD" w:rsidP="00A67858">
            <w:pPr>
              <w:spacing w:after="0" w:line="276" w:lineRule="auto"/>
              <w:ind w:left="-108" w:right="-108"/>
              <w:rPr>
                <w:sz w:val="20"/>
                <w:szCs w:val="20"/>
                <w:lang w:val="hy-AM"/>
              </w:rPr>
            </w:pPr>
            <w:r w:rsidRPr="0053423A">
              <w:rPr>
                <w:sz w:val="20"/>
                <w:szCs w:val="20"/>
                <w:lang w:val="hy-AM"/>
              </w:rPr>
              <w:t>11.1-11.4</w:t>
            </w:r>
          </w:p>
        </w:tc>
        <w:tc>
          <w:tcPr>
            <w:tcW w:w="11156" w:type="dxa"/>
            <w:shd w:val="clear" w:color="auto" w:fill="auto"/>
          </w:tcPr>
          <w:p w:rsidR="00BB45FD" w:rsidRPr="0053423A" w:rsidRDefault="00BB45FD" w:rsidP="00A67858">
            <w:pPr>
              <w:spacing w:after="0" w:line="276" w:lineRule="auto"/>
              <w:ind w:firstLine="720"/>
              <w:jc w:val="center"/>
              <w:rPr>
                <w:b/>
                <w:sz w:val="20"/>
                <w:szCs w:val="20"/>
                <w:lang w:val="hy-AM"/>
              </w:rPr>
            </w:pPr>
            <w:r w:rsidRPr="0053423A">
              <w:rPr>
                <w:b/>
                <w:sz w:val="20"/>
                <w:szCs w:val="20"/>
                <w:u w:val="single"/>
                <w:lang w:val="hy-AM"/>
              </w:rPr>
              <w:t>Հանրային իրազեկման, թափանցիկու</w:t>
            </w:r>
            <w:r w:rsidRPr="0053423A">
              <w:rPr>
                <w:b/>
                <w:sz w:val="20"/>
                <w:szCs w:val="20"/>
                <w:u w:val="single"/>
                <w:lang w:val="hy-AM"/>
              </w:rPr>
              <w:softHyphen/>
              <w:t>թյան և հասարակա</w:t>
            </w:r>
            <w:r w:rsidRPr="0053423A">
              <w:rPr>
                <w:b/>
                <w:sz w:val="20"/>
                <w:szCs w:val="20"/>
                <w:u w:val="single"/>
                <w:lang w:val="hy-AM"/>
              </w:rPr>
              <w:softHyphen/>
              <w:t>կան վստահության, ամրապնդման, աճող սերնդի հայրենասիրական դաստիարա</w:t>
            </w:r>
            <w:r w:rsidRPr="0053423A">
              <w:rPr>
                <w:b/>
                <w:sz w:val="20"/>
                <w:szCs w:val="20"/>
                <w:u w:val="single"/>
                <w:lang w:val="hy-AM"/>
              </w:rPr>
              <w:softHyphen/>
              <w:t>կության և ազգային ինքնագիտակցության մակարդակի բարձրացման, հավանական հակառակորդի տեղեկատվաքարոզչական ազդեցության դեմ պայքարի ուժգնացման</w:t>
            </w:r>
            <w:r w:rsidRPr="0053423A">
              <w:rPr>
                <w:rFonts w:cs="Sylfaen"/>
                <w:b/>
                <w:sz w:val="20"/>
                <w:szCs w:val="20"/>
                <w:u w:val="single"/>
                <w:lang w:val="hy-AM"/>
              </w:rPr>
              <w:t xml:space="preserve"> </w:t>
            </w:r>
            <w:r w:rsidRPr="0053423A">
              <w:rPr>
                <w:b/>
                <w:sz w:val="20"/>
                <w:szCs w:val="20"/>
                <w:u w:val="single"/>
                <w:lang w:val="hy-AM"/>
              </w:rPr>
              <w:t>վերաբերյալ</w:t>
            </w:r>
          </w:p>
          <w:p w:rsidR="00BB45FD" w:rsidRPr="0053423A" w:rsidRDefault="00BB45FD" w:rsidP="00A67858">
            <w:pPr>
              <w:spacing w:after="0" w:line="276" w:lineRule="auto"/>
              <w:rPr>
                <w:rFonts w:cs="Sylfaen"/>
                <w:sz w:val="20"/>
                <w:szCs w:val="20"/>
                <w:lang w:val="hy-AM"/>
              </w:rPr>
            </w:pPr>
          </w:p>
          <w:p w:rsidR="00BB45FD" w:rsidRPr="0053423A" w:rsidRDefault="00BB45FD" w:rsidP="001F6D5D">
            <w:pPr>
              <w:numPr>
                <w:ilvl w:val="0"/>
                <w:numId w:val="162"/>
              </w:numPr>
              <w:spacing w:after="0" w:line="276" w:lineRule="auto"/>
              <w:jc w:val="both"/>
              <w:rPr>
                <w:rFonts w:cs="Sylfaen"/>
                <w:b/>
                <w:sz w:val="20"/>
                <w:szCs w:val="20"/>
              </w:rPr>
            </w:pPr>
            <w:r w:rsidRPr="0053423A">
              <w:rPr>
                <w:b/>
                <w:sz w:val="20"/>
                <w:szCs w:val="20"/>
              </w:rPr>
              <w:t>Միջոցառումների իրականացման անհրաժեշտությունը և նպատակը</w:t>
            </w:r>
          </w:p>
          <w:p w:rsidR="00BB45FD" w:rsidRPr="0053423A" w:rsidRDefault="00BB45FD" w:rsidP="00A67858">
            <w:pPr>
              <w:spacing w:after="0" w:line="276" w:lineRule="auto"/>
              <w:ind w:firstLine="720"/>
              <w:rPr>
                <w:sz w:val="20"/>
                <w:szCs w:val="20"/>
              </w:rPr>
            </w:pPr>
            <w:r w:rsidRPr="0053423A">
              <w:rPr>
                <w:rFonts w:cs="Sylfaen"/>
                <w:sz w:val="20"/>
                <w:szCs w:val="20"/>
              </w:rPr>
              <w:t xml:space="preserve">Միջոցառումների իրականացումը պայմանավորված է </w:t>
            </w:r>
            <w:r w:rsidRPr="0053423A">
              <w:rPr>
                <w:sz w:val="20"/>
                <w:szCs w:val="20"/>
              </w:rPr>
              <w:t xml:space="preserve">հանրային իրազեկման, թափանցիկության ամրապնդման, ժողովրդավարական վերահսկողության և հավանական հակառակորդի տեղեկատվաքարոզչական ազդեցության դեմ պայքարով, աճող սերնդի հայրենասիրական դաստիարակության և ազգային ինքնագիտակցության մակարդակի և ԶՈՒ-ի նկատմամբ հասարակության վստահության աստիճանի բարձրացմամբ: </w:t>
            </w:r>
          </w:p>
          <w:p w:rsidR="00BB45FD" w:rsidRPr="0053423A" w:rsidRDefault="00BB45FD" w:rsidP="001F6D5D">
            <w:pPr>
              <w:numPr>
                <w:ilvl w:val="1"/>
                <w:numId w:val="162"/>
              </w:numPr>
              <w:spacing w:after="0" w:line="276" w:lineRule="auto"/>
              <w:jc w:val="both"/>
              <w:rPr>
                <w:b/>
                <w:sz w:val="20"/>
                <w:szCs w:val="20"/>
              </w:rPr>
            </w:pPr>
            <w:r w:rsidRPr="0053423A">
              <w:rPr>
                <w:b/>
                <w:sz w:val="20"/>
                <w:szCs w:val="20"/>
              </w:rPr>
              <w:t>Կարգավորման հարաբերությունների ներկա վիճակը և առկա խնդիրները</w:t>
            </w:r>
          </w:p>
          <w:p w:rsidR="00BB45FD" w:rsidRPr="0053423A" w:rsidRDefault="00BB45FD" w:rsidP="00A67858">
            <w:pPr>
              <w:spacing w:after="0" w:line="276" w:lineRule="auto"/>
              <w:ind w:firstLine="720"/>
              <w:rPr>
                <w:sz w:val="20"/>
                <w:szCs w:val="20"/>
              </w:rPr>
            </w:pPr>
            <w:r w:rsidRPr="0053423A">
              <w:rPr>
                <w:sz w:val="20"/>
                <w:szCs w:val="20"/>
              </w:rPr>
              <w:t>Կանոնակարգված է ՊՆ-ում ԶԼՄ-ների հավատարմագրման գործընթացը, նրանց հետ պարբերաբար կազմակերպվում են ռազմական լրագրության, տեղեկատվական անվտանգության հիմունքների, ռազմական տերմինալոգիայի և ոլորտին առնչվող այլ հարցերի իրազեկման դասընթացներ: Սակայն դասընթացներին ԶԼՄ-ներից ուղարկում են սկսնակ և ամեն անգամ ոչ նույն լրագրողներին ու օպերատորներին, ինչը խանգարում է վերջիններիս արհեստավարժության զարգացմանը:</w:t>
            </w:r>
          </w:p>
          <w:p w:rsidR="00BB45FD" w:rsidRPr="0053423A" w:rsidRDefault="00BB45FD" w:rsidP="00A67858">
            <w:pPr>
              <w:spacing w:after="0" w:line="276" w:lineRule="auto"/>
              <w:ind w:firstLine="720"/>
              <w:rPr>
                <w:sz w:val="20"/>
                <w:szCs w:val="20"/>
              </w:rPr>
            </w:pPr>
            <w:r w:rsidRPr="0053423A">
              <w:rPr>
                <w:sz w:val="20"/>
                <w:szCs w:val="20"/>
              </w:rPr>
              <w:t xml:space="preserve">ԶԼՄ-ները հաճախ հղում են անում ադրբեջանական կայքերի տեղեկատվությանը, որը խոչընդոտում է հավանական հակառակորդի տեղեկատվաքարոզչական ազդեցության դեմ պայքարում միասնական տեղեկատվական քաղաքականության իրականացմանը: </w:t>
            </w:r>
          </w:p>
          <w:p w:rsidR="00BB45FD" w:rsidRPr="0053423A" w:rsidRDefault="00BB45FD" w:rsidP="00A67858">
            <w:pPr>
              <w:spacing w:after="0" w:line="276" w:lineRule="auto"/>
              <w:ind w:firstLine="720"/>
              <w:rPr>
                <w:sz w:val="20"/>
                <w:szCs w:val="20"/>
              </w:rPr>
            </w:pPr>
            <w:r w:rsidRPr="0053423A">
              <w:rPr>
                <w:sz w:val="20"/>
                <w:szCs w:val="20"/>
              </w:rPr>
              <w:t>Զինվորական ծառայության գրավչության քարոզչության ուղղությամբ այլ գերատեսչությունների և ուսումնական հաստատությունների առաջարկություն</w:t>
            </w:r>
            <w:r w:rsidRPr="0053423A">
              <w:rPr>
                <w:sz w:val="20"/>
                <w:szCs w:val="20"/>
              </w:rPr>
              <w:softHyphen/>
              <w:t xml:space="preserve">ների հիման վրա մշակվել է միջոցառումների ծրագիր, սակայն օբյեկտիվ և սուբյեկտիվ պատճառներով այն ամբողջությամբ կյանքի չի կոչվել:  </w:t>
            </w:r>
          </w:p>
          <w:p w:rsidR="00BB45FD" w:rsidRPr="0053423A" w:rsidRDefault="00BB45FD" w:rsidP="001F6D5D">
            <w:pPr>
              <w:numPr>
                <w:ilvl w:val="1"/>
                <w:numId w:val="162"/>
              </w:numPr>
              <w:spacing w:after="0" w:line="276" w:lineRule="auto"/>
              <w:jc w:val="both"/>
              <w:rPr>
                <w:b/>
                <w:sz w:val="20"/>
                <w:szCs w:val="20"/>
              </w:rPr>
            </w:pPr>
            <w:r w:rsidRPr="0053423A">
              <w:rPr>
                <w:b/>
                <w:sz w:val="20"/>
                <w:szCs w:val="20"/>
              </w:rPr>
              <w:t>Առկա խնդիրների առաջարկվող լուծումները</w:t>
            </w:r>
          </w:p>
          <w:p w:rsidR="00BB45FD" w:rsidRPr="0053423A" w:rsidRDefault="00BB45FD" w:rsidP="00A67858">
            <w:pPr>
              <w:spacing w:after="0" w:line="276" w:lineRule="auto"/>
              <w:ind w:firstLine="720"/>
              <w:rPr>
                <w:sz w:val="20"/>
                <w:szCs w:val="20"/>
              </w:rPr>
            </w:pPr>
            <w:r w:rsidRPr="0053423A">
              <w:rPr>
                <w:sz w:val="20"/>
                <w:szCs w:val="20"/>
              </w:rPr>
              <w:t>Ներկայումս ՊՆ Տ և ՀԿ վարչությունում մշակվում է ՊՆ-ում ԶԼՄ-ների հավատարմագրման նոր կարգ, որը հնարավորություն կտա հավատարմագրել  միայն արհեստավարժ լրագրողների ու օպերատորների: Նրանց հետ կազմակերպվող ռազմական լրագրության արագացված  դասընթացների միջոցով կպատրաստվեն ռազմական լրագրողներ, ովքեր էլ կներգրավվեն թեժ կետերից և  սահմանային դիրքերից հեռարձակվող ռեպորտաժներին:</w:t>
            </w:r>
          </w:p>
          <w:p w:rsidR="00BB45FD" w:rsidRPr="0053423A" w:rsidRDefault="00BB45FD" w:rsidP="00A67858">
            <w:pPr>
              <w:spacing w:after="0" w:line="276" w:lineRule="auto"/>
              <w:ind w:firstLine="720"/>
              <w:rPr>
                <w:sz w:val="20"/>
                <w:szCs w:val="20"/>
              </w:rPr>
            </w:pPr>
            <w:r w:rsidRPr="0053423A">
              <w:rPr>
                <w:sz w:val="20"/>
                <w:szCs w:val="20"/>
              </w:rPr>
              <w:t xml:space="preserve"> Հասարակության շրջանում զինվորական ծառայության գրավչության բարձրացման համար անհրաժեշտ է պետական մոտեցում և իրատեսական միջոցառումների համալիր ծրագիր` պետական և հասարակական շահագրգիռ կառույցների ընդգրկմամբ:   </w:t>
            </w:r>
          </w:p>
          <w:p w:rsidR="00BB45FD" w:rsidRPr="0053423A" w:rsidRDefault="00BB45FD" w:rsidP="00A67858">
            <w:pPr>
              <w:spacing w:after="0" w:line="276" w:lineRule="auto"/>
              <w:ind w:firstLine="720"/>
              <w:rPr>
                <w:sz w:val="20"/>
                <w:szCs w:val="20"/>
              </w:rPr>
            </w:pPr>
            <w:r w:rsidRPr="0053423A">
              <w:rPr>
                <w:b/>
                <w:sz w:val="20"/>
                <w:szCs w:val="20"/>
              </w:rPr>
              <w:t>2.</w:t>
            </w:r>
            <w:r w:rsidRPr="0053423A">
              <w:rPr>
                <w:sz w:val="20"/>
                <w:szCs w:val="20"/>
              </w:rPr>
              <w:t xml:space="preserve"> </w:t>
            </w:r>
            <w:r w:rsidRPr="0053423A">
              <w:rPr>
                <w:b/>
                <w:sz w:val="20"/>
                <w:szCs w:val="20"/>
              </w:rPr>
              <w:t>Միջոցառումների իրականացումից ակնկալվող արդյունքը</w:t>
            </w:r>
          </w:p>
          <w:p w:rsidR="00BB45FD" w:rsidRPr="0053423A" w:rsidRDefault="00BB45FD" w:rsidP="00A67858">
            <w:pPr>
              <w:spacing w:after="0" w:line="276" w:lineRule="auto"/>
              <w:ind w:firstLine="720"/>
              <w:rPr>
                <w:b/>
                <w:sz w:val="20"/>
                <w:szCs w:val="20"/>
                <w:u w:val="single"/>
              </w:rPr>
            </w:pPr>
            <w:r w:rsidRPr="0053423A">
              <w:rPr>
                <w:sz w:val="20"/>
                <w:szCs w:val="20"/>
              </w:rPr>
              <w:t>ՊՆ-ում ԶԼՄ-ների հավատարմագրման նոր կարգի ընդունում, զինվորական ծառայության գրավչության վերաբերյալ քաղաքականության մշակում` ներառելով իրավական, ֆինանսական, սոցիալական և հիմնախնդրային այլ հարցեր: Ներքին և արտաքին լսարանում պաշտպանական գերատեսչության վերաբերյալ շահեկան կարծիքի ստեղծում, ԶԼՄ-ներով ու համացանցով ՀՀ տարածքում և Սփյուռքում զինվորական ծառայության գրավչության քարոզչության ապահովում, բնակչության շրջանում պաշտպանության շահերից բխող հավաստի տեղեկությունների տարածում` բացառելով խուճապային տրամադրությունները և ապատեղեկատվությունը, զինվորականի մասնագիտության նկատմամբ պատանիների  հետաքրքրության մեծացում, ինչի հետևանքով` ՌՈՒՀ-երի, հետագայում նաև` զինված ուժերի համալրում, բանակի մարտունակության բարձրացում` լուծելով առկա մարդկային ռեսուրսի խնդիրը:</w:t>
            </w:r>
          </w:p>
        </w:tc>
      </w:tr>
      <w:tr w:rsidR="00BB45FD" w:rsidRPr="00DE2EFA" w:rsidTr="00976405">
        <w:tc>
          <w:tcPr>
            <w:tcW w:w="425" w:type="dxa"/>
            <w:shd w:val="clear" w:color="auto" w:fill="auto"/>
          </w:tcPr>
          <w:p w:rsidR="00BB45FD" w:rsidRPr="0053423A" w:rsidRDefault="00BB45FD" w:rsidP="00A67858">
            <w:pPr>
              <w:spacing w:after="0" w:line="276" w:lineRule="auto"/>
              <w:ind w:left="-108" w:right="-108"/>
              <w:rPr>
                <w:sz w:val="20"/>
                <w:szCs w:val="20"/>
                <w:lang w:val="hy-AM"/>
              </w:rPr>
            </w:pPr>
            <w:r w:rsidRPr="0053423A">
              <w:rPr>
                <w:sz w:val="20"/>
                <w:szCs w:val="20"/>
                <w:lang w:val="hy-AM"/>
              </w:rPr>
              <w:t>12.1-12.5</w:t>
            </w:r>
          </w:p>
        </w:tc>
        <w:tc>
          <w:tcPr>
            <w:tcW w:w="11156" w:type="dxa"/>
            <w:shd w:val="clear" w:color="auto" w:fill="auto"/>
          </w:tcPr>
          <w:p w:rsidR="00BB45FD" w:rsidRPr="0053423A" w:rsidRDefault="00BB45FD" w:rsidP="00A67858">
            <w:pPr>
              <w:pStyle w:val="ListParagraph"/>
              <w:spacing w:after="0" w:line="276" w:lineRule="auto"/>
              <w:ind w:left="540"/>
              <w:jc w:val="center"/>
              <w:rPr>
                <w:b/>
                <w:sz w:val="20"/>
                <w:szCs w:val="20"/>
                <w:u w:val="single"/>
                <w:lang w:val="hy-AM"/>
              </w:rPr>
            </w:pPr>
            <w:r w:rsidRPr="0053423A">
              <w:rPr>
                <w:rFonts w:eastAsia="+mn-ea" w:cs="Tahoma"/>
                <w:b/>
                <w:bCs/>
                <w:sz w:val="20"/>
                <w:szCs w:val="20"/>
                <w:u w:val="single"/>
                <w:lang w:val="hy-AM"/>
              </w:rPr>
              <w:t>Միջազգային ինտեգրման հնարավորությունների ընդլայնման վերաբերյալ</w:t>
            </w:r>
          </w:p>
          <w:p w:rsidR="00BB45FD" w:rsidRPr="0053423A" w:rsidRDefault="00BB45FD" w:rsidP="00A67858">
            <w:pPr>
              <w:spacing w:after="0" w:line="276" w:lineRule="auto"/>
              <w:ind w:firstLine="540"/>
              <w:jc w:val="center"/>
              <w:rPr>
                <w:b/>
                <w:sz w:val="20"/>
                <w:szCs w:val="20"/>
                <w:lang w:val="hy-AM"/>
              </w:rPr>
            </w:pPr>
          </w:p>
          <w:p w:rsidR="00BB45FD" w:rsidRPr="0053423A" w:rsidRDefault="00BB45FD" w:rsidP="00A67858">
            <w:pPr>
              <w:pStyle w:val="NormalWeb"/>
              <w:spacing w:before="0" w:beforeAutospacing="0" w:after="0" w:afterAutospacing="0" w:line="276" w:lineRule="auto"/>
              <w:ind w:right="84" w:firstLine="540"/>
              <w:rPr>
                <w:rFonts w:ascii="GHEA Grapalat" w:hAnsi="GHEA Grapalat"/>
                <w:b/>
                <w:sz w:val="20"/>
                <w:szCs w:val="20"/>
                <w:lang w:val="ro-RO"/>
              </w:rPr>
            </w:pPr>
            <w:r w:rsidRPr="0053423A">
              <w:rPr>
                <w:rFonts w:ascii="GHEA Grapalat" w:hAnsi="GHEA Grapalat"/>
                <w:b/>
                <w:sz w:val="20"/>
                <w:szCs w:val="20"/>
                <w:lang w:val="ro-RO"/>
              </w:rPr>
              <w:t xml:space="preserve">1. </w:t>
            </w:r>
            <w:r w:rsidRPr="0053423A">
              <w:rPr>
                <w:rFonts w:ascii="GHEA Grapalat" w:hAnsi="GHEA Grapalat"/>
                <w:b/>
                <w:sz w:val="20"/>
                <w:szCs w:val="20"/>
                <w:u w:val="single"/>
                <w:lang w:val="hy-AM"/>
              </w:rPr>
              <w:t>Միջոցառումների իրականացման անհրաժեշտությունը և նպատակը</w:t>
            </w:r>
          </w:p>
          <w:p w:rsidR="00BB45FD" w:rsidRPr="0053423A" w:rsidRDefault="00BB45FD" w:rsidP="00A67858">
            <w:pPr>
              <w:pStyle w:val="NormalWeb"/>
              <w:spacing w:before="0" w:beforeAutospacing="0" w:after="0" w:afterAutospacing="0" w:line="276" w:lineRule="auto"/>
              <w:ind w:right="84" w:firstLine="540"/>
              <w:jc w:val="both"/>
              <w:rPr>
                <w:rFonts w:ascii="GHEA Grapalat" w:hAnsi="GHEA Grapalat" w:cs="Sylfaen"/>
                <w:sz w:val="20"/>
                <w:szCs w:val="20"/>
                <w:shd w:val="clear" w:color="auto" w:fill="FFFFFF"/>
                <w:lang w:val="ro-RO"/>
              </w:rPr>
            </w:pPr>
            <w:r w:rsidRPr="0053423A">
              <w:rPr>
                <w:rFonts w:ascii="GHEA Grapalat" w:hAnsi="GHEA Grapalat"/>
                <w:sz w:val="20"/>
                <w:szCs w:val="20"/>
              </w:rPr>
              <w:t>Միջացառումների</w:t>
            </w:r>
            <w:r w:rsidRPr="0053423A">
              <w:rPr>
                <w:rFonts w:ascii="GHEA Grapalat" w:hAnsi="GHEA Grapalat"/>
                <w:sz w:val="20"/>
                <w:szCs w:val="20"/>
                <w:lang w:val="ro-RO"/>
              </w:rPr>
              <w:t xml:space="preserve"> </w:t>
            </w:r>
            <w:r w:rsidRPr="0053423A">
              <w:rPr>
                <w:rFonts w:ascii="GHEA Grapalat" w:hAnsi="GHEA Grapalat"/>
                <w:sz w:val="20"/>
                <w:szCs w:val="20"/>
              </w:rPr>
              <w:t>իրականացումը</w:t>
            </w:r>
            <w:r w:rsidRPr="0053423A">
              <w:rPr>
                <w:rFonts w:ascii="GHEA Grapalat" w:hAnsi="GHEA Grapalat"/>
                <w:sz w:val="20"/>
                <w:szCs w:val="20"/>
                <w:lang w:val="ro-RO"/>
              </w:rPr>
              <w:t xml:space="preserve"> </w:t>
            </w:r>
            <w:r w:rsidRPr="0053423A">
              <w:rPr>
                <w:rFonts w:ascii="GHEA Grapalat" w:hAnsi="GHEA Grapalat"/>
                <w:sz w:val="20"/>
                <w:szCs w:val="20"/>
              </w:rPr>
              <w:t>պայմանավորված</w:t>
            </w:r>
            <w:r w:rsidRPr="0053423A">
              <w:rPr>
                <w:rFonts w:ascii="GHEA Grapalat" w:hAnsi="GHEA Grapalat"/>
                <w:sz w:val="20"/>
                <w:szCs w:val="20"/>
                <w:lang w:val="ro-RO"/>
              </w:rPr>
              <w:t xml:space="preserve"> </w:t>
            </w:r>
            <w:r w:rsidRPr="0053423A">
              <w:rPr>
                <w:rFonts w:ascii="GHEA Grapalat" w:hAnsi="GHEA Grapalat"/>
                <w:sz w:val="20"/>
                <w:szCs w:val="20"/>
              </w:rPr>
              <w:t>է</w:t>
            </w:r>
            <w:r w:rsidRPr="0053423A">
              <w:rPr>
                <w:rFonts w:ascii="GHEA Grapalat" w:hAnsi="GHEA Grapalat"/>
                <w:sz w:val="20"/>
                <w:szCs w:val="20"/>
                <w:lang w:val="ro-RO"/>
              </w:rPr>
              <w:t xml:space="preserve"> </w:t>
            </w:r>
            <w:r w:rsidRPr="0053423A">
              <w:rPr>
                <w:rFonts w:ascii="GHEA Grapalat" w:hAnsi="GHEA Grapalat"/>
                <w:sz w:val="20"/>
                <w:szCs w:val="20"/>
              </w:rPr>
              <w:t>դաշնակցային</w:t>
            </w:r>
            <w:r w:rsidRPr="0053423A">
              <w:rPr>
                <w:rFonts w:ascii="GHEA Grapalat" w:hAnsi="GHEA Grapalat"/>
                <w:sz w:val="20"/>
                <w:szCs w:val="20"/>
                <w:lang w:val="ro-RO"/>
              </w:rPr>
              <w:t xml:space="preserve"> </w:t>
            </w:r>
            <w:r w:rsidRPr="0053423A">
              <w:rPr>
                <w:rFonts w:ascii="GHEA Grapalat" w:hAnsi="GHEA Grapalat"/>
                <w:sz w:val="20"/>
                <w:szCs w:val="20"/>
              </w:rPr>
              <w:t>և</w:t>
            </w:r>
            <w:r w:rsidRPr="0053423A">
              <w:rPr>
                <w:rFonts w:ascii="GHEA Grapalat" w:hAnsi="GHEA Grapalat"/>
                <w:sz w:val="20"/>
                <w:szCs w:val="20"/>
                <w:lang w:val="ro-RO"/>
              </w:rPr>
              <w:t xml:space="preserve"> </w:t>
            </w:r>
            <w:r w:rsidRPr="0053423A">
              <w:rPr>
                <w:rFonts w:ascii="GHEA Grapalat" w:hAnsi="GHEA Grapalat"/>
                <w:sz w:val="20"/>
                <w:szCs w:val="20"/>
              </w:rPr>
              <w:t>գործընկերային</w:t>
            </w:r>
            <w:r w:rsidRPr="0053423A">
              <w:rPr>
                <w:rFonts w:ascii="GHEA Grapalat" w:hAnsi="GHEA Grapalat"/>
                <w:sz w:val="20"/>
                <w:szCs w:val="20"/>
                <w:lang w:val="ro-RO"/>
              </w:rPr>
              <w:t xml:space="preserve"> </w:t>
            </w:r>
            <w:r w:rsidRPr="0053423A">
              <w:rPr>
                <w:rFonts w:ascii="GHEA Grapalat" w:hAnsi="GHEA Grapalat"/>
                <w:sz w:val="20"/>
                <w:szCs w:val="20"/>
              </w:rPr>
              <w:t>հարաբերությունների</w:t>
            </w:r>
            <w:r w:rsidRPr="0053423A">
              <w:rPr>
                <w:rFonts w:ascii="GHEA Grapalat" w:hAnsi="GHEA Grapalat"/>
                <w:sz w:val="20"/>
                <w:szCs w:val="20"/>
                <w:lang w:val="ro-RO"/>
              </w:rPr>
              <w:t xml:space="preserve"> </w:t>
            </w:r>
            <w:r w:rsidRPr="0053423A">
              <w:rPr>
                <w:rFonts w:ascii="GHEA Grapalat" w:hAnsi="GHEA Grapalat"/>
                <w:sz w:val="20"/>
                <w:szCs w:val="20"/>
              </w:rPr>
              <w:t>իրավապայմանագրային</w:t>
            </w:r>
            <w:r w:rsidRPr="0053423A">
              <w:rPr>
                <w:rFonts w:ascii="GHEA Grapalat" w:hAnsi="GHEA Grapalat"/>
                <w:sz w:val="20"/>
                <w:szCs w:val="20"/>
                <w:lang w:val="ro-RO"/>
              </w:rPr>
              <w:t xml:space="preserve"> </w:t>
            </w:r>
            <w:r w:rsidRPr="0053423A">
              <w:rPr>
                <w:rFonts w:ascii="GHEA Grapalat" w:hAnsi="GHEA Grapalat"/>
                <w:sz w:val="20"/>
                <w:szCs w:val="20"/>
              </w:rPr>
              <w:t>դաշտը</w:t>
            </w:r>
            <w:r w:rsidRPr="0053423A">
              <w:rPr>
                <w:rFonts w:ascii="GHEA Grapalat" w:hAnsi="GHEA Grapalat"/>
                <w:sz w:val="20"/>
                <w:szCs w:val="20"/>
                <w:lang w:val="ro-RO"/>
              </w:rPr>
              <w:t xml:space="preserve"> </w:t>
            </w:r>
            <w:r w:rsidRPr="0053423A">
              <w:rPr>
                <w:rFonts w:ascii="GHEA Grapalat" w:hAnsi="GHEA Grapalat"/>
                <w:sz w:val="20"/>
                <w:szCs w:val="20"/>
              </w:rPr>
              <w:t>և</w:t>
            </w:r>
            <w:r w:rsidRPr="0053423A">
              <w:rPr>
                <w:rFonts w:ascii="GHEA Grapalat" w:hAnsi="GHEA Grapalat"/>
                <w:sz w:val="20"/>
                <w:szCs w:val="20"/>
                <w:lang w:val="ro-RO"/>
              </w:rPr>
              <w:t xml:space="preserve"> </w:t>
            </w:r>
            <w:r w:rsidRPr="0053423A">
              <w:rPr>
                <w:rFonts w:ascii="GHEA Grapalat" w:hAnsi="GHEA Grapalat"/>
                <w:sz w:val="20"/>
                <w:szCs w:val="20"/>
              </w:rPr>
              <w:t>իրագործման</w:t>
            </w:r>
            <w:r w:rsidRPr="0053423A">
              <w:rPr>
                <w:rFonts w:ascii="GHEA Grapalat" w:hAnsi="GHEA Grapalat"/>
                <w:sz w:val="20"/>
                <w:szCs w:val="20"/>
                <w:lang w:val="ro-RO"/>
              </w:rPr>
              <w:t xml:space="preserve"> </w:t>
            </w:r>
            <w:r w:rsidRPr="0053423A">
              <w:rPr>
                <w:rFonts w:ascii="GHEA Grapalat" w:hAnsi="GHEA Grapalat"/>
                <w:sz w:val="20"/>
                <w:szCs w:val="20"/>
              </w:rPr>
              <w:t>մեխանիզմները</w:t>
            </w:r>
            <w:r w:rsidRPr="0053423A">
              <w:rPr>
                <w:rFonts w:ascii="GHEA Grapalat" w:hAnsi="GHEA Grapalat"/>
                <w:sz w:val="20"/>
                <w:szCs w:val="20"/>
                <w:lang w:val="ro-RO"/>
              </w:rPr>
              <w:t xml:space="preserve"> </w:t>
            </w:r>
            <w:r w:rsidRPr="0053423A">
              <w:rPr>
                <w:rFonts w:ascii="GHEA Grapalat" w:hAnsi="GHEA Grapalat"/>
                <w:sz w:val="20"/>
                <w:szCs w:val="20"/>
              </w:rPr>
              <w:t>կատարելագործելու</w:t>
            </w:r>
            <w:r w:rsidRPr="0053423A">
              <w:rPr>
                <w:rFonts w:ascii="GHEA Grapalat" w:hAnsi="GHEA Grapalat"/>
                <w:sz w:val="20"/>
                <w:szCs w:val="20"/>
                <w:lang w:val="ro-RO"/>
              </w:rPr>
              <w:t xml:space="preserve">, </w:t>
            </w:r>
            <w:r w:rsidRPr="0053423A">
              <w:rPr>
                <w:rFonts w:ascii="GHEA Grapalat" w:hAnsi="GHEA Grapalat"/>
                <w:sz w:val="20"/>
                <w:szCs w:val="20"/>
              </w:rPr>
              <w:t>փոխադարձ</w:t>
            </w:r>
            <w:r w:rsidRPr="0053423A">
              <w:rPr>
                <w:rFonts w:ascii="GHEA Grapalat" w:hAnsi="GHEA Grapalat"/>
                <w:sz w:val="20"/>
                <w:szCs w:val="20"/>
                <w:lang w:val="ro-RO"/>
              </w:rPr>
              <w:t xml:space="preserve"> </w:t>
            </w:r>
            <w:r w:rsidRPr="0053423A">
              <w:rPr>
                <w:rFonts w:ascii="GHEA Grapalat" w:hAnsi="GHEA Grapalat"/>
                <w:sz w:val="20"/>
                <w:szCs w:val="20"/>
              </w:rPr>
              <w:t>հանձնառությունների</w:t>
            </w:r>
            <w:r w:rsidRPr="0053423A">
              <w:rPr>
                <w:rFonts w:ascii="GHEA Grapalat" w:hAnsi="GHEA Grapalat"/>
                <w:sz w:val="20"/>
                <w:szCs w:val="20"/>
                <w:lang w:val="ro-RO"/>
              </w:rPr>
              <w:t xml:space="preserve"> </w:t>
            </w:r>
            <w:r w:rsidRPr="0053423A">
              <w:rPr>
                <w:rFonts w:ascii="GHEA Grapalat" w:hAnsi="GHEA Grapalat"/>
                <w:sz w:val="20"/>
                <w:szCs w:val="20"/>
              </w:rPr>
              <w:t>կատարումն</w:t>
            </w:r>
            <w:r w:rsidRPr="0053423A">
              <w:rPr>
                <w:rFonts w:ascii="GHEA Grapalat" w:hAnsi="GHEA Grapalat"/>
                <w:sz w:val="20"/>
                <w:szCs w:val="20"/>
                <w:lang w:val="ro-RO"/>
              </w:rPr>
              <w:t xml:space="preserve"> </w:t>
            </w:r>
            <w:r w:rsidRPr="0053423A">
              <w:rPr>
                <w:rFonts w:ascii="GHEA Grapalat" w:hAnsi="GHEA Grapalat"/>
                <w:sz w:val="20"/>
                <w:szCs w:val="20"/>
              </w:rPr>
              <w:t>ավելի</w:t>
            </w:r>
            <w:r w:rsidRPr="0053423A">
              <w:rPr>
                <w:rFonts w:ascii="GHEA Grapalat" w:hAnsi="GHEA Grapalat"/>
                <w:sz w:val="20"/>
                <w:szCs w:val="20"/>
                <w:lang w:val="ro-RO"/>
              </w:rPr>
              <w:t xml:space="preserve"> </w:t>
            </w:r>
            <w:r w:rsidRPr="0053423A">
              <w:rPr>
                <w:rFonts w:ascii="GHEA Grapalat" w:hAnsi="GHEA Grapalat"/>
                <w:sz w:val="20"/>
                <w:szCs w:val="20"/>
              </w:rPr>
              <w:t>արդյունավետ</w:t>
            </w:r>
            <w:r w:rsidRPr="0053423A">
              <w:rPr>
                <w:rFonts w:ascii="GHEA Grapalat" w:hAnsi="GHEA Grapalat"/>
                <w:sz w:val="20"/>
                <w:szCs w:val="20"/>
                <w:lang w:val="ro-RO"/>
              </w:rPr>
              <w:t xml:space="preserve"> </w:t>
            </w:r>
            <w:r w:rsidRPr="0053423A">
              <w:rPr>
                <w:rFonts w:ascii="GHEA Grapalat" w:hAnsi="GHEA Grapalat"/>
                <w:sz w:val="20"/>
                <w:szCs w:val="20"/>
              </w:rPr>
              <w:t>դարձնելու</w:t>
            </w:r>
            <w:r w:rsidRPr="0053423A">
              <w:rPr>
                <w:rFonts w:ascii="GHEA Grapalat" w:hAnsi="GHEA Grapalat"/>
                <w:sz w:val="20"/>
                <w:szCs w:val="20"/>
                <w:lang w:val="ro-RO"/>
              </w:rPr>
              <w:t xml:space="preserve"> </w:t>
            </w:r>
            <w:r w:rsidRPr="0053423A">
              <w:rPr>
                <w:rFonts w:ascii="GHEA Grapalat" w:hAnsi="GHEA Grapalat"/>
                <w:sz w:val="20"/>
                <w:szCs w:val="20"/>
              </w:rPr>
              <w:t>և</w:t>
            </w:r>
            <w:r w:rsidRPr="0053423A">
              <w:rPr>
                <w:rFonts w:ascii="GHEA Grapalat" w:hAnsi="GHEA Grapalat"/>
                <w:sz w:val="20"/>
                <w:szCs w:val="20"/>
                <w:lang w:val="ro-RO"/>
              </w:rPr>
              <w:t xml:space="preserve"> </w:t>
            </w:r>
            <w:r w:rsidRPr="0053423A">
              <w:rPr>
                <w:rFonts w:ascii="GHEA Grapalat" w:hAnsi="GHEA Grapalat"/>
                <w:sz w:val="20"/>
                <w:szCs w:val="20"/>
              </w:rPr>
              <w:t>ՀՀ</w:t>
            </w:r>
            <w:r w:rsidRPr="0053423A">
              <w:rPr>
                <w:rFonts w:ascii="GHEA Grapalat" w:hAnsi="GHEA Grapalat"/>
                <w:sz w:val="20"/>
                <w:szCs w:val="20"/>
                <w:lang w:val="ro-RO"/>
              </w:rPr>
              <w:t xml:space="preserve"> </w:t>
            </w:r>
            <w:r w:rsidRPr="0053423A">
              <w:rPr>
                <w:rFonts w:ascii="GHEA Grapalat" w:hAnsi="GHEA Grapalat"/>
                <w:sz w:val="20"/>
                <w:szCs w:val="20"/>
              </w:rPr>
              <w:t>ՊՆ</w:t>
            </w:r>
            <w:r w:rsidRPr="0053423A">
              <w:rPr>
                <w:rFonts w:ascii="GHEA Grapalat" w:hAnsi="GHEA Grapalat"/>
                <w:sz w:val="20"/>
                <w:szCs w:val="20"/>
                <w:lang w:val="ro-RO"/>
              </w:rPr>
              <w:t xml:space="preserve"> </w:t>
            </w:r>
            <w:r w:rsidRPr="0053423A">
              <w:rPr>
                <w:rFonts w:ascii="GHEA Grapalat" w:hAnsi="GHEA Grapalat"/>
                <w:sz w:val="20"/>
                <w:szCs w:val="20"/>
              </w:rPr>
              <w:t>համակարգի</w:t>
            </w:r>
            <w:r w:rsidRPr="0053423A">
              <w:rPr>
                <w:rFonts w:ascii="GHEA Grapalat" w:hAnsi="GHEA Grapalat"/>
                <w:sz w:val="20"/>
                <w:szCs w:val="20"/>
                <w:lang w:val="ro-RO"/>
              </w:rPr>
              <w:t xml:space="preserve"> </w:t>
            </w:r>
            <w:r w:rsidRPr="0053423A">
              <w:rPr>
                <w:rFonts w:ascii="GHEA Grapalat" w:hAnsi="GHEA Grapalat"/>
                <w:sz w:val="20"/>
                <w:szCs w:val="20"/>
              </w:rPr>
              <w:t>ու</w:t>
            </w:r>
            <w:r w:rsidRPr="0053423A">
              <w:rPr>
                <w:rFonts w:ascii="GHEA Grapalat" w:hAnsi="GHEA Grapalat"/>
                <w:sz w:val="20"/>
                <w:szCs w:val="20"/>
                <w:lang w:val="ro-RO"/>
              </w:rPr>
              <w:t xml:space="preserve"> </w:t>
            </w:r>
            <w:r w:rsidRPr="0053423A">
              <w:rPr>
                <w:rFonts w:ascii="GHEA Grapalat" w:hAnsi="GHEA Grapalat"/>
                <w:sz w:val="20"/>
                <w:szCs w:val="20"/>
              </w:rPr>
              <w:t>ԶՈւ</w:t>
            </w:r>
            <w:r w:rsidRPr="0053423A">
              <w:rPr>
                <w:rFonts w:ascii="GHEA Grapalat" w:hAnsi="GHEA Grapalat"/>
                <w:sz w:val="20"/>
                <w:szCs w:val="20"/>
                <w:lang w:val="ro-RO"/>
              </w:rPr>
              <w:t xml:space="preserve"> </w:t>
            </w:r>
            <w:r w:rsidRPr="0053423A">
              <w:rPr>
                <w:rFonts w:ascii="GHEA Grapalat" w:hAnsi="GHEA Grapalat"/>
                <w:sz w:val="20"/>
                <w:szCs w:val="20"/>
              </w:rPr>
              <w:t>կարողությունները</w:t>
            </w:r>
            <w:r w:rsidRPr="0053423A">
              <w:rPr>
                <w:rFonts w:ascii="GHEA Grapalat" w:hAnsi="GHEA Grapalat"/>
                <w:sz w:val="20"/>
                <w:szCs w:val="20"/>
                <w:lang w:val="ro-RO"/>
              </w:rPr>
              <w:t xml:space="preserve"> </w:t>
            </w:r>
            <w:r w:rsidRPr="0053423A">
              <w:rPr>
                <w:rFonts w:ascii="GHEA Grapalat" w:hAnsi="GHEA Grapalat"/>
                <w:sz w:val="20"/>
                <w:szCs w:val="20"/>
              </w:rPr>
              <w:t>զարգացնելու</w:t>
            </w:r>
            <w:r w:rsidRPr="0053423A">
              <w:rPr>
                <w:rFonts w:ascii="GHEA Grapalat" w:hAnsi="GHEA Grapalat"/>
                <w:sz w:val="20"/>
                <w:szCs w:val="20"/>
                <w:lang w:val="ro-RO"/>
              </w:rPr>
              <w:t xml:space="preserve"> </w:t>
            </w:r>
            <w:r w:rsidRPr="0053423A">
              <w:rPr>
                <w:rFonts w:ascii="GHEA Grapalat" w:hAnsi="GHEA Grapalat"/>
                <w:sz w:val="20"/>
                <w:szCs w:val="20"/>
              </w:rPr>
              <w:t>և</w:t>
            </w:r>
            <w:r w:rsidRPr="0053423A">
              <w:rPr>
                <w:rFonts w:ascii="GHEA Grapalat" w:hAnsi="GHEA Grapalat"/>
                <w:sz w:val="20"/>
                <w:szCs w:val="20"/>
                <w:lang w:val="ro-RO"/>
              </w:rPr>
              <w:t xml:space="preserve"> </w:t>
            </w:r>
            <w:r w:rsidRPr="0053423A">
              <w:rPr>
                <w:rFonts w:ascii="GHEA Grapalat" w:hAnsi="GHEA Grapalat"/>
                <w:sz w:val="20"/>
                <w:szCs w:val="20"/>
              </w:rPr>
              <w:t>բարեփոխումները</w:t>
            </w:r>
            <w:r w:rsidRPr="0053423A">
              <w:rPr>
                <w:rFonts w:ascii="GHEA Grapalat" w:hAnsi="GHEA Grapalat"/>
                <w:sz w:val="20"/>
                <w:szCs w:val="20"/>
                <w:lang w:val="ro-RO"/>
              </w:rPr>
              <w:t xml:space="preserve"> </w:t>
            </w:r>
            <w:r w:rsidRPr="0053423A">
              <w:rPr>
                <w:rFonts w:ascii="GHEA Grapalat" w:hAnsi="GHEA Grapalat"/>
                <w:sz w:val="20"/>
                <w:szCs w:val="20"/>
              </w:rPr>
              <w:t>կյանքի</w:t>
            </w:r>
            <w:r w:rsidRPr="0053423A">
              <w:rPr>
                <w:rFonts w:ascii="GHEA Grapalat" w:hAnsi="GHEA Grapalat"/>
                <w:sz w:val="20"/>
                <w:szCs w:val="20"/>
                <w:lang w:val="ro-RO"/>
              </w:rPr>
              <w:t xml:space="preserve"> </w:t>
            </w:r>
            <w:r w:rsidRPr="0053423A">
              <w:rPr>
                <w:rFonts w:ascii="GHEA Grapalat" w:hAnsi="GHEA Grapalat"/>
                <w:sz w:val="20"/>
                <w:szCs w:val="20"/>
              </w:rPr>
              <w:t>կոչելու</w:t>
            </w:r>
            <w:r w:rsidRPr="0053423A">
              <w:rPr>
                <w:rFonts w:ascii="GHEA Grapalat" w:hAnsi="GHEA Grapalat"/>
                <w:sz w:val="20"/>
                <w:szCs w:val="20"/>
                <w:lang w:val="ro-RO"/>
              </w:rPr>
              <w:t xml:space="preserve">  </w:t>
            </w:r>
            <w:r w:rsidRPr="0053423A">
              <w:rPr>
                <w:rFonts w:ascii="GHEA Grapalat" w:hAnsi="GHEA Grapalat"/>
                <w:sz w:val="20"/>
                <w:szCs w:val="20"/>
              </w:rPr>
              <w:t>անհրաժեշտությամբ</w:t>
            </w:r>
            <w:r w:rsidRPr="0053423A">
              <w:rPr>
                <w:rStyle w:val="Strong"/>
                <w:rFonts w:ascii="GHEA Grapalat" w:hAnsi="GHEA Grapalat"/>
                <w:sz w:val="20"/>
                <w:szCs w:val="20"/>
                <w:lang w:val="ro-RO"/>
              </w:rPr>
              <w:t>:</w:t>
            </w:r>
          </w:p>
          <w:p w:rsidR="00BB45FD" w:rsidRPr="0053423A" w:rsidRDefault="00BB45FD" w:rsidP="00A67858">
            <w:pPr>
              <w:pStyle w:val="NormalWeb"/>
              <w:spacing w:before="0" w:beforeAutospacing="0" w:after="0" w:afterAutospacing="0" w:line="276" w:lineRule="auto"/>
              <w:ind w:right="84" w:firstLine="540"/>
              <w:jc w:val="both"/>
              <w:rPr>
                <w:rFonts w:ascii="GHEA Grapalat" w:hAnsi="GHEA Grapalat" w:cs="Arial"/>
                <w:b/>
                <w:sz w:val="20"/>
                <w:szCs w:val="20"/>
                <w:lang w:val="ro-RO"/>
              </w:rPr>
            </w:pPr>
            <w:r w:rsidRPr="0053423A">
              <w:rPr>
                <w:rFonts w:ascii="GHEA Grapalat" w:hAnsi="GHEA Grapalat" w:cs="Sylfaen"/>
                <w:b/>
                <w:sz w:val="20"/>
                <w:szCs w:val="20"/>
                <w:shd w:val="clear" w:color="auto" w:fill="FFFFFF"/>
                <w:lang w:val="ro-RO"/>
              </w:rPr>
              <w:t xml:space="preserve">1.1. Կարգավորման հարաբերությունների ներկա վիճակը և առկա խնդիրը </w:t>
            </w:r>
          </w:p>
          <w:p w:rsidR="00BB45FD" w:rsidRPr="0053423A" w:rsidRDefault="00BB45FD" w:rsidP="00A67858">
            <w:pPr>
              <w:pStyle w:val="NormalWeb"/>
              <w:spacing w:before="0" w:beforeAutospacing="0" w:after="0" w:afterAutospacing="0" w:line="276" w:lineRule="auto"/>
              <w:ind w:right="84" w:firstLine="540"/>
              <w:jc w:val="both"/>
              <w:rPr>
                <w:rFonts w:ascii="GHEA Grapalat" w:hAnsi="GHEA Grapalat" w:cs="Sylfaen"/>
                <w:sz w:val="20"/>
                <w:szCs w:val="20"/>
                <w:shd w:val="clear" w:color="auto" w:fill="FFFFFF"/>
                <w:lang w:val="ro-RO"/>
              </w:rPr>
            </w:pPr>
            <w:r w:rsidRPr="0053423A">
              <w:rPr>
                <w:rFonts w:ascii="GHEA Grapalat" w:hAnsi="GHEA Grapalat" w:cs="Tahoma"/>
                <w:bCs/>
                <w:sz w:val="20"/>
                <w:szCs w:val="20"/>
              </w:rPr>
              <w:t>Միջազգային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ռազմաքաղաքական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և</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ռազմական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համագործակցության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իրավապայմանագրային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դաշտում</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և</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գործնական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իրականացման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մեխանիզմներում</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առկա</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են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որոշակի</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անորոշություններ</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փոխադարձ</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հանձնառությունների</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և</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դրանց</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կենսագործման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պայմանների</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վերաբերյալ</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Միաժամանակ</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ՀՀ</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ԶՈւ՝</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արդիական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ռազմական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նշանակության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արտադրանքով</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համալրման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գործընթացը</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պահանջում</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է</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ռազմատեխնիկական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համագործակցության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անխափանության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ապահովում</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Ավելին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ՀՀ</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ԶՈւ</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որոշ</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փոխգործունակ</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կարողություններ</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դեռևս</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չեն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անցել</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համապատասխան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մակարդակի</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միջազգային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գնահատում</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և</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հավաստագրում</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մինչդեռ</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ծագում</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է</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նոր</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ձևաչափերով</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և</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նոր</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աշխարհագրությամբ</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միջազգային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գործողություններին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ներգրավման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անհրաժեշտություն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Այս</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ամենով</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հանդերձ</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առկա</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է</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ՀՀ</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պաշտպանության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ոլորտի</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բարեփոխումներին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միջազգային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առաջադեմ</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խորհրդատվության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աջակցության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անընդհատության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ապահովման</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խնդիր</w:t>
            </w:r>
            <w:r w:rsidRPr="0053423A">
              <w:rPr>
                <w:rFonts w:ascii="GHEA Grapalat" w:hAnsi="GHEA Grapalat" w:cs="Tahoma"/>
                <w:bCs/>
                <w:sz w:val="20"/>
                <w:szCs w:val="20"/>
                <w:lang w:val="ro-RO"/>
              </w:rPr>
              <w:t xml:space="preserve">: </w:t>
            </w:r>
          </w:p>
          <w:p w:rsidR="00BB45FD" w:rsidRPr="0053423A" w:rsidRDefault="00BB45FD" w:rsidP="00A67858">
            <w:pPr>
              <w:pStyle w:val="NormalWeb"/>
              <w:spacing w:before="0" w:beforeAutospacing="0" w:after="0" w:afterAutospacing="0" w:line="276" w:lineRule="auto"/>
              <w:ind w:right="84" w:firstLine="540"/>
              <w:jc w:val="both"/>
              <w:rPr>
                <w:rFonts w:ascii="GHEA Grapalat" w:hAnsi="GHEA Grapalat" w:cs="Sylfaen"/>
                <w:b/>
                <w:sz w:val="20"/>
                <w:szCs w:val="20"/>
                <w:shd w:val="clear" w:color="auto" w:fill="FFFFFF"/>
                <w:lang w:val="ro-RO"/>
              </w:rPr>
            </w:pPr>
            <w:r w:rsidRPr="0053423A">
              <w:rPr>
                <w:rFonts w:ascii="GHEA Grapalat" w:hAnsi="GHEA Grapalat" w:cs="Sylfaen"/>
                <w:b/>
                <w:sz w:val="20"/>
                <w:szCs w:val="20"/>
                <w:shd w:val="clear" w:color="auto" w:fill="FFFFFF"/>
                <w:lang w:val="ro-RO"/>
              </w:rPr>
              <w:t>1.2. Առկա խնդիրների առաջարկվող լուծումները</w:t>
            </w:r>
          </w:p>
          <w:p w:rsidR="00BB45FD" w:rsidRPr="0053423A" w:rsidRDefault="00BB45FD" w:rsidP="00A67858">
            <w:pPr>
              <w:pStyle w:val="NormalWeb"/>
              <w:spacing w:before="0" w:beforeAutospacing="0" w:after="0" w:afterAutospacing="0" w:line="276" w:lineRule="auto"/>
              <w:ind w:right="84" w:firstLine="540"/>
              <w:jc w:val="both"/>
              <w:rPr>
                <w:rFonts w:ascii="GHEA Grapalat" w:hAnsi="GHEA Grapalat"/>
                <w:sz w:val="20"/>
                <w:szCs w:val="20"/>
                <w:lang w:val="ro-RO"/>
              </w:rPr>
            </w:pPr>
            <w:r w:rsidRPr="0053423A">
              <w:rPr>
                <w:rFonts w:ascii="GHEA Grapalat" w:hAnsi="GHEA Grapalat" w:cs="Tahoma"/>
                <w:bCs/>
                <w:sz w:val="20"/>
                <w:szCs w:val="20"/>
              </w:rPr>
              <w:t>Առաջարկվում</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է</w:t>
            </w:r>
            <w:r w:rsidRPr="0053423A">
              <w:rPr>
                <w:rFonts w:ascii="GHEA Grapalat" w:hAnsi="GHEA Grapalat" w:cs="Tahoma"/>
                <w:bCs/>
                <w:sz w:val="20"/>
                <w:szCs w:val="20"/>
                <w:lang w:val="ro-RO"/>
              </w:rPr>
              <w:t xml:space="preserve"> </w:t>
            </w:r>
            <w:r w:rsidRPr="0053423A">
              <w:rPr>
                <w:rFonts w:ascii="GHEA Grapalat" w:hAnsi="GHEA Grapalat" w:cs="Tahoma"/>
                <w:bCs/>
                <w:sz w:val="20"/>
                <w:szCs w:val="20"/>
              </w:rPr>
              <w:t>ը</w:t>
            </w:r>
            <w:r w:rsidRPr="0053423A">
              <w:rPr>
                <w:rFonts w:ascii="GHEA Grapalat" w:hAnsi="GHEA Grapalat"/>
                <w:sz w:val="20"/>
                <w:szCs w:val="20"/>
              </w:rPr>
              <w:t>նդլայնել</w:t>
            </w:r>
            <w:r w:rsidRPr="0053423A">
              <w:rPr>
                <w:rFonts w:ascii="GHEA Grapalat" w:hAnsi="GHEA Grapalat"/>
                <w:sz w:val="20"/>
                <w:szCs w:val="20"/>
                <w:lang w:val="ro-RO"/>
              </w:rPr>
              <w:t xml:space="preserve"> </w:t>
            </w:r>
            <w:r w:rsidRPr="0053423A">
              <w:rPr>
                <w:rFonts w:ascii="GHEA Grapalat" w:hAnsi="GHEA Grapalat"/>
                <w:sz w:val="20"/>
                <w:szCs w:val="20"/>
              </w:rPr>
              <w:t>հ</w:t>
            </w:r>
            <w:r w:rsidRPr="0053423A">
              <w:rPr>
                <w:rFonts w:ascii="GHEA Grapalat" w:hAnsi="GHEA Grapalat" w:cs="Tahoma"/>
                <w:sz w:val="20"/>
                <w:szCs w:val="20"/>
              </w:rPr>
              <w:t>ավաքական</w:t>
            </w:r>
            <w:r w:rsidRPr="0053423A">
              <w:rPr>
                <w:rFonts w:ascii="GHEA Grapalat" w:hAnsi="GHEA Grapalat" w:cs="Tahoma"/>
                <w:sz w:val="20"/>
                <w:szCs w:val="20"/>
                <w:lang w:val="ro-RO"/>
              </w:rPr>
              <w:t xml:space="preserve"> </w:t>
            </w:r>
            <w:r w:rsidRPr="0053423A">
              <w:rPr>
                <w:rFonts w:ascii="GHEA Grapalat" w:hAnsi="GHEA Grapalat" w:cs="Tahoma"/>
                <w:sz w:val="20"/>
                <w:szCs w:val="20"/>
              </w:rPr>
              <w:t>անվտանգության</w:t>
            </w:r>
            <w:r w:rsidRPr="0053423A">
              <w:rPr>
                <w:rFonts w:ascii="GHEA Grapalat" w:hAnsi="GHEA Grapalat" w:cs="Tahoma"/>
                <w:sz w:val="20"/>
                <w:szCs w:val="20"/>
                <w:lang w:val="ro-RO"/>
              </w:rPr>
              <w:t xml:space="preserve"> </w:t>
            </w:r>
            <w:r w:rsidRPr="0053423A">
              <w:rPr>
                <w:rFonts w:ascii="GHEA Grapalat" w:hAnsi="GHEA Grapalat" w:cs="Tahoma"/>
                <w:sz w:val="20"/>
                <w:szCs w:val="20"/>
              </w:rPr>
              <w:t>գործող</w:t>
            </w:r>
            <w:r w:rsidRPr="0053423A">
              <w:rPr>
                <w:rFonts w:ascii="GHEA Grapalat" w:hAnsi="GHEA Grapalat" w:cs="Tahoma"/>
                <w:sz w:val="20"/>
                <w:szCs w:val="20"/>
                <w:lang w:val="ro-RO"/>
              </w:rPr>
              <w:t xml:space="preserve"> </w:t>
            </w:r>
            <w:r w:rsidRPr="0053423A">
              <w:rPr>
                <w:rFonts w:ascii="GHEA Grapalat" w:hAnsi="GHEA Grapalat" w:cs="Tahoma"/>
                <w:sz w:val="20"/>
                <w:szCs w:val="20"/>
              </w:rPr>
              <w:t>ընթացակարգերի</w:t>
            </w:r>
            <w:r w:rsidRPr="0053423A">
              <w:rPr>
                <w:rFonts w:ascii="GHEA Grapalat" w:hAnsi="GHEA Grapalat" w:cs="Tahoma"/>
                <w:sz w:val="20"/>
                <w:szCs w:val="20"/>
                <w:lang w:val="ro-RO"/>
              </w:rPr>
              <w:t xml:space="preserve"> </w:t>
            </w:r>
            <w:r w:rsidRPr="0053423A">
              <w:rPr>
                <w:rFonts w:ascii="GHEA Grapalat" w:hAnsi="GHEA Grapalat" w:cs="Tahoma"/>
                <w:sz w:val="20"/>
                <w:szCs w:val="20"/>
              </w:rPr>
              <w:t>հնարավորությունները</w:t>
            </w:r>
            <w:r w:rsidRPr="0053423A">
              <w:rPr>
                <w:rFonts w:ascii="GHEA Grapalat" w:hAnsi="GHEA Grapalat" w:cs="Tahoma"/>
                <w:sz w:val="20"/>
                <w:szCs w:val="20"/>
                <w:lang w:val="ro-RO"/>
              </w:rPr>
              <w:t xml:space="preserve">, </w:t>
            </w:r>
            <w:r w:rsidRPr="0053423A">
              <w:rPr>
                <w:rFonts w:ascii="GHEA Grapalat" w:hAnsi="GHEA Grapalat" w:cs="Tahoma"/>
                <w:sz w:val="20"/>
                <w:szCs w:val="20"/>
              </w:rPr>
              <w:t>շարունակել</w:t>
            </w:r>
            <w:r w:rsidRPr="0053423A">
              <w:rPr>
                <w:rFonts w:ascii="GHEA Grapalat" w:hAnsi="GHEA Grapalat" w:cs="Tahoma"/>
                <w:sz w:val="20"/>
                <w:szCs w:val="20"/>
                <w:lang w:val="ro-RO"/>
              </w:rPr>
              <w:t xml:space="preserve"> </w:t>
            </w:r>
            <w:r w:rsidRPr="0053423A">
              <w:rPr>
                <w:rFonts w:ascii="GHEA Grapalat" w:hAnsi="GHEA Grapalat"/>
                <w:sz w:val="20"/>
                <w:szCs w:val="20"/>
              </w:rPr>
              <w:t>բազմակողմ</w:t>
            </w:r>
            <w:r w:rsidRPr="0053423A">
              <w:rPr>
                <w:rFonts w:ascii="GHEA Grapalat" w:hAnsi="GHEA Grapalat"/>
                <w:sz w:val="20"/>
                <w:szCs w:val="20"/>
                <w:lang w:val="ro-RO"/>
              </w:rPr>
              <w:t xml:space="preserve"> </w:t>
            </w:r>
            <w:r w:rsidRPr="0053423A">
              <w:rPr>
                <w:rFonts w:ascii="GHEA Grapalat" w:hAnsi="GHEA Grapalat"/>
                <w:sz w:val="20"/>
                <w:szCs w:val="20"/>
              </w:rPr>
              <w:t>և</w:t>
            </w:r>
            <w:r w:rsidRPr="0053423A">
              <w:rPr>
                <w:rFonts w:ascii="GHEA Grapalat" w:hAnsi="GHEA Grapalat"/>
                <w:sz w:val="20"/>
                <w:szCs w:val="20"/>
                <w:lang w:val="ro-RO"/>
              </w:rPr>
              <w:t xml:space="preserve"> </w:t>
            </w:r>
            <w:r w:rsidRPr="0053423A">
              <w:rPr>
                <w:rFonts w:ascii="GHEA Grapalat" w:hAnsi="GHEA Grapalat"/>
                <w:sz w:val="20"/>
                <w:szCs w:val="20"/>
              </w:rPr>
              <w:t>երկկողմ</w:t>
            </w:r>
            <w:r w:rsidRPr="0053423A">
              <w:rPr>
                <w:rFonts w:ascii="GHEA Grapalat" w:hAnsi="GHEA Grapalat"/>
                <w:sz w:val="20"/>
                <w:szCs w:val="20"/>
                <w:lang w:val="ro-RO"/>
              </w:rPr>
              <w:t xml:space="preserve"> </w:t>
            </w:r>
            <w:r w:rsidRPr="0053423A">
              <w:rPr>
                <w:rFonts w:ascii="GHEA Grapalat" w:hAnsi="GHEA Grapalat"/>
                <w:sz w:val="20"/>
                <w:szCs w:val="20"/>
              </w:rPr>
              <w:t>ձևաչափով</w:t>
            </w:r>
            <w:r w:rsidRPr="0053423A">
              <w:rPr>
                <w:rFonts w:ascii="GHEA Grapalat" w:hAnsi="GHEA Grapalat"/>
                <w:sz w:val="20"/>
                <w:szCs w:val="20"/>
                <w:lang w:val="ro-RO"/>
              </w:rPr>
              <w:t xml:space="preserve"> </w:t>
            </w:r>
            <w:r w:rsidRPr="0053423A">
              <w:rPr>
                <w:rFonts w:ascii="GHEA Grapalat" w:hAnsi="GHEA Grapalat"/>
                <w:sz w:val="20"/>
                <w:szCs w:val="20"/>
              </w:rPr>
              <w:t>նախաձեռնողական</w:t>
            </w:r>
            <w:r w:rsidRPr="0053423A">
              <w:rPr>
                <w:rFonts w:ascii="GHEA Grapalat" w:hAnsi="GHEA Grapalat"/>
                <w:sz w:val="20"/>
                <w:szCs w:val="20"/>
                <w:lang w:val="ro-RO"/>
              </w:rPr>
              <w:t xml:space="preserve"> </w:t>
            </w:r>
            <w:r w:rsidRPr="0053423A">
              <w:rPr>
                <w:rFonts w:ascii="GHEA Grapalat" w:hAnsi="GHEA Grapalat"/>
                <w:sz w:val="20"/>
                <w:szCs w:val="20"/>
              </w:rPr>
              <w:t>ռազմաքաղաքական</w:t>
            </w:r>
            <w:r w:rsidRPr="0053423A">
              <w:rPr>
                <w:rFonts w:ascii="GHEA Grapalat" w:hAnsi="GHEA Grapalat"/>
                <w:sz w:val="20"/>
                <w:szCs w:val="20"/>
                <w:lang w:val="ro-RO"/>
              </w:rPr>
              <w:t xml:space="preserve">, </w:t>
            </w:r>
            <w:r w:rsidRPr="0053423A">
              <w:rPr>
                <w:rFonts w:ascii="GHEA Grapalat" w:hAnsi="GHEA Grapalat"/>
                <w:sz w:val="20"/>
                <w:szCs w:val="20"/>
              </w:rPr>
              <w:t>ռազմական</w:t>
            </w:r>
            <w:r w:rsidRPr="0053423A">
              <w:rPr>
                <w:rFonts w:ascii="GHEA Grapalat" w:hAnsi="GHEA Grapalat"/>
                <w:sz w:val="20"/>
                <w:szCs w:val="20"/>
                <w:lang w:val="ro-RO"/>
              </w:rPr>
              <w:t xml:space="preserve"> </w:t>
            </w:r>
            <w:r w:rsidRPr="0053423A">
              <w:rPr>
                <w:rFonts w:ascii="GHEA Grapalat" w:hAnsi="GHEA Grapalat"/>
                <w:sz w:val="20"/>
                <w:szCs w:val="20"/>
              </w:rPr>
              <w:t>և</w:t>
            </w:r>
            <w:r w:rsidRPr="0053423A">
              <w:rPr>
                <w:rFonts w:ascii="GHEA Grapalat" w:hAnsi="GHEA Grapalat"/>
                <w:sz w:val="20"/>
                <w:szCs w:val="20"/>
                <w:lang w:val="ro-RO"/>
              </w:rPr>
              <w:t xml:space="preserve"> </w:t>
            </w:r>
            <w:r w:rsidRPr="0053423A">
              <w:rPr>
                <w:rFonts w:ascii="GHEA Grapalat" w:hAnsi="GHEA Grapalat"/>
                <w:sz w:val="20"/>
                <w:szCs w:val="20"/>
              </w:rPr>
              <w:t>ռազմատեխնիկական</w:t>
            </w:r>
            <w:r w:rsidRPr="0053423A">
              <w:rPr>
                <w:rFonts w:ascii="GHEA Grapalat" w:hAnsi="GHEA Grapalat"/>
                <w:sz w:val="20"/>
                <w:szCs w:val="20"/>
                <w:lang w:val="ro-RO"/>
              </w:rPr>
              <w:t xml:space="preserve"> </w:t>
            </w:r>
            <w:r w:rsidRPr="0053423A">
              <w:rPr>
                <w:rFonts w:ascii="GHEA Grapalat" w:hAnsi="GHEA Grapalat"/>
                <w:sz w:val="20"/>
                <w:szCs w:val="20"/>
              </w:rPr>
              <w:t>համագործակցության</w:t>
            </w:r>
            <w:r w:rsidRPr="0053423A">
              <w:rPr>
                <w:rFonts w:ascii="GHEA Grapalat" w:hAnsi="GHEA Grapalat"/>
                <w:sz w:val="20"/>
                <w:szCs w:val="20"/>
                <w:lang w:val="ro-RO"/>
              </w:rPr>
              <w:t xml:space="preserve"> </w:t>
            </w:r>
            <w:r w:rsidRPr="0053423A">
              <w:rPr>
                <w:rFonts w:ascii="GHEA Grapalat" w:hAnsi="GHEA Grapalat"/>
                <w:sz w:val="20"/>
                <w:szCs w:val="20"/>
              </w:rPr>
              <w:t>իրականացումը</w:t>
            </w:r>
            <w:r w:rsidRPr="0053423A">
              <w:rPr>
                <w:rFonts w:ascii="GHEA Grapalat" w:hAnsi="GHEA Grapalat"/>
                <w:sz w:val="20"/>
                <w:szCs w:val="20"/>
                <w:lang w:val="ro-RO"/>
              </w:rPr>
              <w:t xml:space="preserve">, </w:t>
            </w:r>
            <w:r w:rsidRPr="0053423A">
              <w:rPr>
                <w:rFonts w:ascii="GHEA Grapalat" w:hAnsi="GHEA Grapalat"/>
                <w:sz w:val="20"/>
                <w:szCs w:val="20"/>
              </w:rPr>
              <w:t>ամրապնդել</w:t>
            </w:r>
            <w:r w:rsidRPr="0053423A">
              <w:rPr>
                <w:rFonts w:ascii="GHEA Grapalat" w:hAnsi="GHEA Grapalat"/>
                <w:sz w:val="20"/>
                <w:szCs w:val="20"/>
                <w:lang w:val="ro-RO"/>
              </w:rPr>
              <w:t xml:space="preserve"> </w:t>
            </w:r>
            <w:r w:rsidRPr="0053423A">
              <w:rPr>
                <w:rFonts w:ascii="GHEA Grapalat" w:hAnsi="GHEA Grapalat"/>
                <w:sz w:val="20"/>
                <w:szCs w:val="20"/>
              </w:rPr>
              <w:t>տարբեր</w:t>
            </w:r>
            <w:r w:rsidRPr="0053423A">
              <w:rPr>
                <w:rFonts w:ascii="GHEA Grapalat" w:hAnsi="GHEA Grapalat"/>
                <w:sz w:val="20"/>
                <w:szCs w:val="20"/>
                <w:lang w:val="ro-RO"/>
              </w:rPr>
              <w:t xml:space="preserve"> </w:t>
            </w:r>
            <w:r w:rsidRPr="0053423A">
              <w:rPr>
                <w:rFonts w:ascii="GHEA Grapalat" w:hAnsi="GHEA Grapalat"/>
                <w:sz w:val="20"/>
                <w:szCs w:val="20"/>
              </w:rPr>
              <w:t>անվտանգային</w:t>
            </w:r>
            <w:r w:rsidRPr="0053423A">
              <w:rPr>
                <w:rFonts w:ascii="GHEA Grapalat" w:hAnsi="GHEA Grapalat"/>
                <w:sz w:val="20"/>
                <w:szCs w:val="20"/>
                <w:lang w:val="ro-RO"/>
              </w:rPr>
              <w:t xml:space="preserve"> </w:t>
            </w:r>
            <w:r w:rsidRPr="0053423A">
              <w:rPr>
                <w:rFonts w:ascii="GHEA Grapalat" w:hAnsi="GHEA Grapalat"/>
                <w:sz w:val="20"/>
                <w:szCs w:val="20"/>
              </w:rPr>
              <w:t>համակարգերի</w:t>
            </w:r>
            <w:r w:rsidRPr="0053423A">
              <w:rPr>
                <w:rFonts w:ascii="GHEA Grapalat" w:hAnsi="GHEA Grapalat"/>
                <w:sz w:val="20"/>
                <w:szCs w:val="20"/>
                <w:lang w:val="ro-RO"/>
              </w:rPr>
              <w:t xml:space="preserve"> </w:t>
            </w:r>
            <w:r w:rsidRPr="0053423A">
              <w:rPr>
                <w:rFonts w:ascii="GHEA Grapalat" w:hAnsi="GHEA Grapalat"/>
                <w:sz w:val="20"/>
                <w:szCs w:val="20"/>
              </w:rPr>
              <w:t>հետ</w:t>
            </w:r>
            <w:r w:rsidRPr="0053423A">
              <w:rPr>
                <w:rFonts w:ascii="GHEA Grapalat" w:hAnsi="GHEA Grapalat"/>
                <w:sz w:val="20"/>
                <w:szCs w:val="20"/>
                <w:lang w:val="ro-RO"/>
              </w:rPr>
              <w:t xml:space="preserve"> </w:t>
            </w:r>
            <w:r w:rsidRPr="0053423A">
              <w:rPr>
                <w:rFonts w:ascii="GHEA Grapalat" w:hAnsi="GHEA Grapalat"/>
                <w:sz w:val="20"/>
                <w:szCs w:val="20"/>
              </w:rPr>
              <w:t>ՀՀ</w:t>
            </w:r>
            <w:r w:rsidRPr="0053423A">
              <w:rPr>
                <w:rFonts w:ascii="GHEA Grapalat" w:hAnsi="GHEA Grapalat"/>
                <w:sz w:val="20"/>
                <w:szCs w:val="20"/>
                <w:lang w:val="ro-RO"/>
              </w:rPr>
              <w:t xml:space="preserve"> </w:t>
            </w:r>
            <w:r w:rsidRPr="0053423A">
              <w:rPr>
                <w:rFonts w:ascii="GHEA Grapalat" w:hAnsi="GHEA Grapalat"/>
                <w:sz w:val="20"/>
                <w:szCs w:val="20"/>
              </w:rPr>
              <w:t>ԶՈւ</w:t>
            </w:r>
            <w:r w:rsidRPr="0053423A">
              <w:rPr>
                <w:rFonts w:ascii="GHEA Grapalat" w:hAnsi="GHEA Grapalat"/>
                <w:sz w:val="20"/>
                <w:szCs w:val="20"/>
                <w:lang w:val="ro-RO"/>
              </w:rPr>
              <w:t xml:space="preserve"> </w:t>
            </w:r>
            <w:r w:rsidRPr="0053423A">
              <w:rPr>
                <w:rFonts w:ascii="GHEA Grapalat" w:hAnsi="GHEA Grapalat"/>
                <w:sz w:val="20"/>
                <w:szCs w:val="20"/>
              </w:rPr>
              <w:t>փոխգործունակ</w:t>
            </w:r>
            <w:r w:rsidRPr="0053423A">
              <w:rPr>
                <w:rFonts w:ascii="GHEA Grapalat" w:hAnsi="GHEA Grapalat"/>
                <w:sz w:val="20"/>
                <w:szCs w:val="20"/>
                <w:lang w:val="ro-RO"/>
              </w:rPr>
              <w:t xml:space="preserve"> </w:t>
            </w:r>
            <w:r w:rsidRPr="0053423A">
              <w:rPr>
                <w:rFonts w:ascii="GHEA Grapalat" w:hAnsi="GHEA Grapalat"/>
                <w:sz w:val="20"/>
                <w:szCs w:val="20"/>
              </w:rPr>
              <w:t>կարողությունները</w:t>
            </w:r>
            <w:r w:rsidRPr="0053423A">
              <w:rPr>
                <w:rFonts w:ascii="GHEA Grapalat" w:hAnsi="GHEA Grapalat"/>
                <w:sz w:val="20"/>
                <w:szCs w:val="20"/>
                <w:lang w:val="ro-RO"/>
              </w:rPr>
              <w:t xml:space="preserve"> </w:t>
            </w:r>
            <w:r w:rsidRPr="0053423A">
              <w:rPr>
                <w:rFonts w:ascii="GHEA Grapalat" w:hAnsi="GHEA Grapalat"/>
                <w:sz w:val="20"/>
                <w:szCs w:val="20"/>
              </w:rPr>
              <w:t>և</w:t>
            </w:r>
            <w:r w:rsidRPr="0053423A">
              <w:rPr>
                <w:rFonts w:ascii="GHEA Grapalat" w:hAnsi="GHEA Grapalat"/>
                <w:sz w:val="20"/>
                <w:szCs w:val="20"/>
                <w:lang w:val="ro-RO"/>
              </w:rPr>
              <w:t xml:space="preserve"> </w:t>
            </w:r>
            <w:r w:rsidRPr="0053423A">
              <w:rPr>
                <w:rFonts w:ascii="GHEA Grapalat" w:hAnsi="GHEA Grapalat"/>
                <w:sz w:val="20"/>
                <w:szCs w:val="20"/>
              </w:rPr>
              <w:t>այդ</w:t>
            </w:r>
            <w:r w:rsidRPr="0053423A">
              <w:rPr>
                <w:rFonts w:ascii="GHEA Grapalat" w:hAnsi="GHEA Grapalat"/>
                <w:sz w:val="20"/>
                <w:szCs w:val="20"/>
                <w:lang w:val="ro-RO"/>
              </w:rPr>
              <w:t xml:space="preserve"> </w:t>
            </w:r>
            <w:r w:rsidRPr="0053423A">
              <w:rPr>
                <w:rFonts w:ascii="GHEA Grapalat" w:hAnsi="GHEA Grapalat"/>
                <w:sz w:val="20"/>
                <w:szCs w:val="20"/>
              </w:rPr>
              <w:t>համակարգերի</w:t>
            </w:r>
            <w:r w:rsidRPr="0053423A">
              <w:rPr>
                <w:rFonts w:ascii="GHEA Grapalat" w:hAnsi="GHEA Grapalat"/>
                <w:sz w:val="20"/>
                <w:szCs w:val="20"/>
                <w:lang w:val="ro-RO"/>
              </w:rPr>
              <w:t xml:space="preserve"> </w:t>
            </w:r>
            <w:r w:rsidRPr="0053423A">
              <w:rPr>
                <w:rFonts w:ascii="GHEA Grapalat" w:hAnsi="GHEA Grapalat"/>
                <w:sz w:val="20"/>
                <w:szCs w:val="20"/>
              </w:rPr>
              <w:t>հովանու</w:t>
            </w:r>
            <w:r w:rsidRPr="0053423A">
              <w:rPr>
                <w:rFonts w:ascii="GHEA Grapalat" w:hAnsi="GHEA Grapalat"/>
                <w:sz w:val="20"/>
                <w:szCs w:val="20"/>
                <w:lang w:val="ro-RO"/>
              </w:rPr>
              <w:t xml:space="preserve"> </w:t>
            </w:r>
            <w:r w:rsidRPr="0053423A">
              <w:rPr>
                <w:rFonts w:ascii="GHEA Grapalat" w:hAnsi="GHEA Grapalat"/>
                <w:sz w:val="20"/>
                <w:szCs w:val="20"/>
              </w:rPr>
              <w:t>ներքո</w:t>
            </w:r>
            <w:r w:rsidRPr="0053423A">
              <w:rPr>
                <w:rFonts w:ascii="GHEA Grapalat" w:hAnsi="GHEA Grapalat"/>
                <w:sz w:val="20"/>
                <w:szCs w:val="20"/>
                <w:lang w:val="ro-RO"/>
              </w:rPr>
              <w:t xml:space="preserve"> </w:t>
            </w:r>
            <w:r w:rsidRPr="0053423A">
              <w:rPr>
                <w:rFonts w:ascii="GHEA Grapalat" w:hAnsi="GHEA Grapalat"/>
                <w:sz w:val="20"/>
                <w:szCs w:val="20"/>
              </w:rPr>
              <w:t>միջազգային</w:t>
            </w:r>
            <w:r w:rsidRPr="0053423A">
              <w:rPr>
                <w:rFonts w:ascii="GHEA Grapalat" w:hAnsi="GHEA Grapalat"/>
                <w:sz w:val="20"/>
                <w:szCs w:val="20"/>
                <w:lang w:val="ro-RO"/>
              </w:rPr>
              <w:t xml:space="preserve"> </w:t>
            </w:r>
            <w:r w:rsidRPr="0053423A">
              <w:rPr>
                <w:rFonts w:ascii="GHEA Grapalat" w:hAnsi="GHEA Grapalat"/>
                <w:sz w:val="20"/>
                <w:szCs w:val="20"/>
              </w:rPr>
              <w:t>գործողություններին</w:t>
            </w:r>
            <w:r w:rsidRPr="0053423A">
              <w:rPr>
                <w:rFonts w:ascii="GHEA Grapalat" w:hAnsi="GHEA Grapalat"/>
                <w:sz w:val="20"/>
                <w:szCs w:val="20"/>
                <w:lang w:val="ro-RO"/>
              </w:rPr>
              <w:t xml:space="preserve"> </w:t>
            </w:r>
            <w:r w:rsidRPr="0053423A">
              <w:rPr>
                <w:rFonts w:ascii="GHEA Grapalat" w:hAnsi="GHEA Grapalat"/>
                <w:sz w:val="20"/>
                <w:szCs w:val="20"/>
              </w:rPr>
              <w:t>մասնակցելու</w:t>
            </w:r>
            <w:r w:rsidRPr="0053423A">
              <w:rPr>
                <w:rFonts w:ascii="GHEA Grapalat" w:hAnsi="GHEA Grapalat"/>
                <w:sz w:val="20"/>
                <w:szCs w:val="20"/>
                <w:lang w:val="ro-RO"/>
              </w:rPr>
              <w:t xml:space="preserve"> </w:t>
            </w:r>
            <w:r w:rsidRPr="0053423A">
              <w:rPr>
                <w:rFonts w:ascii="GHEA Grapalat" w:hAnsi="GHEA Grapalat"/>
                <w:sz w:val="20"/>
                <w:szCs w:val="20"/>
              </w:rPr>
              <w:t>հնարավորությունները</w:t>
            </w:r>
            <w:r w:rsidRPr="0053423A">
              <w:rPr>
                <w:rFonts w:ascii="GHEA Grapalat" w:hAnsi="GHEA Grapalat"/>
                <w:sz w:val="20"/>
                <w:szCs w:val="20"/>
                <w:lang w:val="ro-RO"/>
              </w:rPr>
              <w:t xml:space="preserve">, </w:t>
            </w:r>
            <w:r w:rsidRPr="0053423A">
              <w:rPr>
                <w:rFonts w:ascii="GHEA Grapalat" w:hAnsi="GHEA Grapalat"/>
                <w:sz w:val="20"/>
                <w:szCs w:val="20"/>
              </w:rPr>
              <w:t>ինպես</w:t>
            </w:r>
            <w:r w:rsidRPr="0053423A">
              <w:rPr>
                <w:rFonts w:ascii="GHEA Grapalat" w:hAnsi="GHEA Grapalat"/>
                <w:sz w:val="20"/>
                <w:szCs w:val="20"/>
                <w:lang w:val="ro-RO"/>
              </w:rPr>
              <w:t xml:space="preserve"> </w:t>
            </w:r>
            <w:r w:rsidRPr="0053423A">
              <w:rPr>
                <w:rFonts w:ascii="GHEA Grapalat" w:hAnsi="GHEA Grapalat"/>
                <w:sz w:val="20"/>
                <w:szCs w:val="20"/>
              </w:rPr>
              <w:t>նաև</w:t>
            </w:r>
            <w:r w:rsidRPr="0053423A">
              <w:rPr>
                <w:rFonts w:ascii="GHEA Grapalat" w:hAnsi="GHEA Grapalat"/>
                <w:sz w:val="20"/>
                <w:szCs w:val="20"/>
                <w:lang w:val="ro-RO"/>
              </w:rPr>
              <w:t xml:space="preserve"> </w:t>
            </w:r>
            <w:r w:rsidRPr="0053423A">
              <w:rPr>
                <w:rFonts w:ascii="GHEA Grapalat" w:hAnsi="GHEA Grapalat"/>
                <w:sz w:val="20"/>
                <w:szCs w:val="20"/>
              </w:rPr>
              <w:t>առավել</w:t>
            </w:r>
            <w:r w:rsidRPr="0053423A">
              <w:rPr>
                <w:rFonts w:ascii="GHEA Grapalat" w:hAnsi="GHEA Grapalat"/>
                <w:sz w:val="20"/>
                <w:szCs w:val="20"/>
                <w:lang w:val="ro-RO"/>
              </w:rPr>
              <w:t xml:space="preserve"> </w:t>
            </w:r>
            <w:r w:rsidRPr="0053423A">
              <w:rPr>
                <w:rFonts w:ascii="GHEA Grapalat" w:hAnsi="GHEA Grapalat"/>
                <w:sz w:val="20"/>
                <w:szCs w:val="20"/>
              </w:rPr>
              <w:t>նպատակային</w:t>
            </w:r>
            <w:r w:rsidRPr="0053423A">
              <w:rPr>
                <w:rFonts w:ascii="GHEA Grapalat" w:hAnsi="GHEA Grapalat"/>
                <w:sz w:val="20"/>
                <w:szCs w:val="20"/>
                <w:lang w:val="ro-RO"/>
              </w:rPr>
              <w:t xml:space="preserve"> </w:t>
            </w:r>
            <w:r w:rsidRPr="0053423A">
              <w:rPr>
                <w:rFonts w:ascii="GHEA Grapalat" w:hAnsi="GHEA Grapalat"/>
                <w:sz w:val="20"/>
                <w:szCs w:val="20"/>
              </w:rPr>
              <w:t>դարձնել</w:t>
            </w:r>
            <w:r w:rsidRPr="0053423A">
              <w:rPr>
                <w:rFonts w:ascii="GHEA Grapalat" w:hAnsi="GHEA Grapalat"/>
                <w:sz w:val="20"/>
                <w:szCs w:val="20"/>
                <w:lang w:val="ro-RO"/>
              </w:rPr>
              <w:t xml:space="preserve"> </w:t>
            </w:r>
            <w:r w:rsidRPr="0053423A">
              <w:rPr>
                <w:rFonts w:ascii="GHEA Grapalat" w:hAnsi="GHEA Grapalat"/>
                <w:sz w:val="20"/>
                <w:szCs w:val="20"/>
              </w:rPr>
              <w:t>պաշտպանական</w:t>
            </w:r>
            <w:r w:rsidRPr="0053423A">
              <w:rPr>
                <w:rFonts w:ascii="GHEA Grapalat" w:hAnsi="GHEA Grapalat"/>
                <w:sz w:val="20"/>
                <w:szCs w:val="20"/>
                <w:lang w:val="ro-RO"/>
              </w:rPr>
              <w:t xml:space="preserve"> </w:t>
            </w:r>
            <w:r w:rsidRPr="0053423A">
              <w:rPr>
                <w:rFonts w:ascii="GHEA Grapalat" w:hAnsi="GHEA Grapalat"/>
                <w:sz w:val="20"/>
                <w:szCs w:val="20"/>
              </w:rPr>
              <w:t>բարեփոխումներին</w:t>
            </w:r>
            <w:r w:rsidRPr="0053423A">
              <w:rPr>
                <w:rFonts w:ascii="GHEA Grapalat" w:hAnsi="GHEA Grapalat"/>
                <w:sz w:val="20"/>
                <w:szCs w:val="20"/>
                <w:lang w:val="ro-RO"/>
              </w:rPr>
              <w:t xml:space="preserve"> </w:t>
            </w:r>
            <w:r w:rsidRPr="0053423A">
              <w:rPr>
                <w:rFonts w:ascii="GHEA Grapalat" w:hAnsi="GHEA Grapalat"/>
                <w:sz w:val="20"/>
                <w:szCs w:val="20"/>
              </w:rPr>
              <w:t>միջազգային</w:t>
            </w:r>
            <w:r w:rsidRPr="0053423A">
              <w:rPr>
                <w:rFonts w:ascii="GHEA Grapalat" w:hAnsi="GHEA Grapalat"/>
                <w:sz w:val="20"/>
                <w:szCs w:val="20"/>
                <w:lang w:val="ro-RO"/>
              </w:rPr>
              <w:t xml:space="preserve"> </w:t>
            </w:r>
            <w:r w:rsidRPr="0053423A">
              <w:rPr>
                <w:rFonts w:ascii="GHEA Grapalat" w:hAnsi="GHEA Grapalat"/>
                <w:sz w:val="20"/>
                <w:szCs w:val="20"/>
              </w:rPr>
              <w:t>խորհրդատվական</w:t>
            </w:r>
            <w:r w:rsidRPr="0053423A">
              <w:rPr>
                <w:rFonts w:ascii="GHEA Grapalat" w:hAnsi="GHEA Grapalat"/>
                <w:sz w:val="20"/>
                <w:szCs w:val="20"/>
                <w:lang w:val="ro-RO"/>
              </w:rPr>
              <w:t xml:space="preserve"> </w:t>
            </w:r>
            <w:r w:rsidRPr="0053423A">
              <w:rPr>
                <w:rFonts w:ascii="GHEA Grapalat" w:hAnsi="GHEA Grapalat"/>
                <w:sz w:val="20"/>
                <w:szCs w:val="20"/>
              </w:rPr>
              <w:t>ու</w:t>
            </w:r>
            <w:r w:rsidRPr="0053423A">
              <w:rPr>
                <w:rFonts w:ascii="GHEA Grapalat" w:hAnsi="GHEA Grapalat"/>
                <w:sz w:val="20"/>
                <w:szCs w:val="20"/>
                <w:lang w:val="ro-RO"/>
              </w:rPr>
              <w:t xml:space="preserve"> </w:t>
            </w:r>
            <w:r w:rsidRPr="0053423A">
              <w:rPr>
                <w:rFonts w:ascii="GHEA Grapalat" w:hAnsi="GHEA Grapalat"/>
                <w:sz w:val="20"/>
                <w:szCs w:val="20"/>
              </w:rPr>
              <w:t>փորձագիտական</w:t>
            </w:r>
            <w:r w:rsidRPr="0053423A">
              <w:rPr>
                <w:rFonts w:ascii="GHEA Grapalat" w:hAnsi="GHEA Grapalat"/>
                <w:sz w:val="20"/>
                <w:szCs w:val="20"/>
                <w:lang w:val="ro-RO"/>
              </w:rPr>
              <w:t xml:space="preserve"> </w:t>
            </w:r>
            <w:r w:rsidRPr="0053423A">
              <w:rPr>
                <w:rFonts w:ascii="GHEA Grapalat" w:hAnsi="GHEA Grapalat"/>
                <w:sz w:val="20"/>
                <w:szCs w:val="20"/>
              </w:rPr>
              <w:t>աջակցությունը</w:t>
            </w:r>
            <w:r w:rsidRPr="0053423A">
              <w:rPr>
                <w:rFonts w:ascii="GHEA Grapalat" w:hAnsi="GHEA Grapalat" w:cs="Sylfaen"/>
                <w:sz w:val="20"/>
                <w:szCs w:val="20"/>
                <w:shd w:val="clear" w:color="auto" w:fill="FFFFFF"/>
                <w:lang w:val="ro-RO"/>
              </w:rPr>
              <w:t>:</w:t>
            </w:r>
          </w:p>
          <w:p w:rsidR="00BB45FD" w:rsidRPr="0053423A" w:rsidRDefault="00BB45FD" w:rsidP="00A67858">
            <w:pPr>
              <w:pStyle w:val="NormalWeb"/>
              <w:tabs>
                <w:tab w:val="left" w:pos="462"/>
              </w:tabs>
              <w:spacing w:before="0" w:beforeAutospacing="0" w:after="0" w:afterAutospacing="0" w:line="276" w:lineRule="auto"/>
              <w:ind w:right="106" w:firstLine="539"/>
              <w:rPr>
                <w:rFonts w:ascii="GHEA Grapalat" w:hAnsi="GHEA Grapalat"/>
                <w:b/>
                <w:sz w:val="20"/>
                <w:szCs w:val="20"/>
                <w:lang w:val="ro-RO"/>
              </w:rPr>
            </w:pPr>
            <w:r w:rsidRPr="0053423A">
              <w:rPr>
                <w:rFonts w:ascii="GHEA Grapalat" w:hAnsi="GHEA Grapalat"/>
                <w:b/>
                <w:sz w:val="20"/>
                <w:szCs w:val="20"/>
                <w:lang w:val="ro-RO"/>
              </w:rPr>
              <w:t xml:space="preserve">2. </w:t>
            </w:r>
            <w:r w:rsidRPr="0053423A">
              <w:rPr>
                <w:rFonts w:ascii="GHEA Grapalat" w:hAnsi="GHEA Grapalat"/>
                <w:b/>
                <w:sz w:val="20"/>
                <w:szCs w:val="20"/>
              </w:rPr>
              <w:t>Միջոցառումների</w:t>
            </w:r>
            <w:r w:rsidRPr="0053423A">
              <w:rPr>
                <w:rFonts w:ascii="GHEA Grapalat" w:hAnsi="GHEA Grapalat"/>
                <w:b/>
                <w:sz w:val="20"/>
                <w:szCs w:val="20"/>
                <w:lang w:val="ro-RO"/>
              </w:rPr>
              <w:t xml:space="preserve"> իրականացումից ակնկալվող արդյունքը</w:t>
            </w:r>
          </w:p>
          <w:p w:rsidR="00BB45FD" w:rsidRPr="0053423A" w:rsidRDefault="00BB45FD" w:rsidP="00A67858">
            <w:pPr>
              <w:spacing w:after="0" w:line="276" w:lineRule="auto"/>
              <w:ind w:firstLine="720"/>
              <w:jc w:val="center"/>
              <w:rPr>
                <w:b/>
                <w:sz w:val="20"/>
                <w:szCs w:val="20"/>
                <w:u w:val="single"/>
                <w:lang w:val="hy-AM"/>
              </w:rPr>
            </w:pPr>
            <w:r w:rsidRPr="0053423A">
              <w:rPr>
                <w:rFonts w:cs="Tahoma"/>
                <w:sz w:val="20"/>
                <w:szCs w:val="20"/>
              </w:rPr>
              <w:t>Ռազմաքաղաքական</w:t>
            </w:r>
            <w:r w:rsidRPr="0053423A">
              <w:rPr>
                <w:rFonts w:cs="Tahoma"/>
                <w:sz w:val="20"/>
                <w:szCs w:val="20"/>
                <w:lang w:val="ro-RO"/>
              </w:rPr>
              <w:t xml:space="preserve"> </w:t>
            </w:r>
            <w:r w:rsidRPr="0053423A">
              <w:rPr>
                <w:rFonts w:cs="Tahoma"/>
                <w:sz w:val="20"/>
                <w:szCs w:val="20"/>
              </w:rPr>
              <w:t>դաշինքների</w:t>
            </w:r>
            <w:r w:rsidRPr="0053423A">
              <w:rPr>
                <w:rFonts w:cs="Tahoma"/>
                <w:sz w:val="20"/>
                <w:szCs w:val="20"/>
                <w:lang w:val="ro-RO"/>
              </w:rPr>
              <w:t xml:space="preserve"> </w:t>
            </w:r>
            <w:r w:rsidRPr="0053423A">
              <w:rPr>
                <w:rFonts w:cs="Tahoma"/>
                <w:sz w:val="20"/>
                <w:szCs w:val="20"/>
              </w:rPr>
              <w:t>և</w:t>
            </w:r>
            <w:r w:rsidRPr="0053423A">
              <w:rPr>
                <w:rFonts w:cs="Tahoma"/>
                <w:sz w:val="20"/>
                <w:szCs w:val="20"/>
                <w:lang w:val="ro-RO"/>
              </w:rPr>
              <w:t xml:space="preserve"> </w:t>
            </w:r>
            <w:r w:rsidRPr="0053423A">
              <w:rPr>
                <w:rFonts w:cs="Tahoma"/>
                <w:sz w:val="20"/>
                <w:szCs w:val="20"/>
              </w:rPr>
              <w:t>գործընկերությունների</w:t>
            </w:r>
            <w:r w:rsidRPr="0053423A">
              <w:rPr>
                <w:rFonts w:cs="Tahoma"/>
                <w:sz w:val="20"/>
                <w:szCs w:val="20"/>
                <w:lang w:val="ro-RO"/>
              </w:rPr>
              <w:t xml:space="preserve"> </w:t>
            </w:r>
            <w:r w:rsidRPr="0053423A">
              <w:rPr>
                <w:rFonts w:cs="Tahoma"/>
                <w:sz w:val="20"/>
                <w:szCs w:val="20"/>
              </w:rPr>
              <w:t>զարգացում՝</w:t>
            </w:r>
            <w:r w:rsidRPr="0053423A">
              <w:rPr>
                <w:rFonts w:cs="Tahoma"/>
                <w:sz w:val="20"/>
                <w:szCs w:val="20"/>
                <w:lang w:val="ro-RO"/>
              </w:rPr>
              <w:t xml:space="preserve"> </w:t>
            </w:r>
            <w:r w:rsidRPr="0053423A">
              <w:rPr>
                <w:rFonts w:cs="Tahoma"/>
                <w:sz w:val="20"/>
                <w:szCs w:val="20"/>
              </w:rPr>
              <w:t>պահպանելով</w:t>
            </w:r>
            <w:r w:rsidRPr="0053423A">
              <w:rPr>
                <w:rFonts w:cs="Tahoma"/>
                <w:sz w:val="20"/>
                <w:szCs w:val="20"/>
                <w:lang w:val="ro-RO"/>
              </w:rPr>
              <w:t xml:space="preserve"> </w:t>
            </w:r>
            <w:r w:rsidRPr="0053423A">
              <w:rPr>
                <w:rFonts w:cs="Tahoma"/>
                <w:sz w:val="20"/>
                <w:szCs w:val="20"/>
              </w:rPr>
              <w:t>ՀՀ</w:t>
            </w:r>
            <w:r w:rsidRPr="0053423A">
              <w:rPr>
                <w:rFonts w:cs="Tahoma"/>
                <w:sz w:val="20"/>
                <w:szCs w:val="20"/>
                <w:lang w:val="ro-RO"/>
              </w:rPr>
              <w:t xml:space="preserve"> </w:t>
            </w:r>
            <w:r w:rsidRPr="0053423A">
              <w:rPr>
                <w:rFonts w:cs="Tahoma"/>
                <w:sz w:val="20"/>
                <w:szCs w:val="20"/>
              </w:rPr>
              <w:t>ազգային</w:t>
            </w:r>
            <w:r w:rsidRPr="0053423A">
              <w:rPr>
                <w:rFonts w:cs="Tahoma"/>
                <w:sz w:val="20"/>
                <w:szCs w:val="20"/>
                <w:lang w:val="ro-RO"/>
              </w:rPr>
              <w:t xml:space="preserve"> </w:t>
            </w:r>
            <w:r w:rsidRPr="0053423A">
              <w:rPr>
                <w:rFonts w:cs="Tahoma"/>
                <w:sz w:val="20"/>
                <w:szCs w:val="20"/>
              </w:rPr>
              <w:t>շահերից</w:t>
            </w:r>
            <w:r w:rsidRPr="0053423A">
              <w:rPr>
                <w:rFonts w:cs="Tahoma"/>
                <w:sz w:val="20"/>
                <w:szCs w:val="20"/>
                <w:lang w:val="ro-RO"/>
              </w:rPr>
              <w:t xml:space="preserve"> </w:t>
            </w:r>
            <w:r w:rsidRPr="0053423A">
              <w:rPr>
                <w:rFonts w:cs="Tahoma"/>
                <w:sz w:val="20"/>
                <w:szCs w:val="20"/>
              </w:rPr>
              <w:t>բխող</w:t>
            </w:r>
            <w:r w:rsidRPr="0053423A">
              <w:rPr>
                <w:rFonts w:cs="Tahoma"/>
                <w:sz w:val="20"/>
                <w:szCs w:val="20"/>
                <w:lang w:val="ro-RO"/>
              </w:rPr>
              <w:t xml:space="preserve"> </w:t>
            </w:r>
            <w:r w:rsidRPr="0053423A">
              <w:rPr>
                <w:rFonts w:cs="Tahoma"/>
                <w:sz w:val="20"/>
                <w:szCs w:val="20"/>
              </w:rPr>
              <w:t>և</w:t>
            </w:r>
            <w:r w:rsidRPr="0053423A">
              <w:rPr>
                <w:rFonts w:cs="Tahoma"/>
                <w:sz w:val="20"/>
                <w:szCs w:val="20"/>
                <w:lang w:val="ro-RO"/>
              </w:rPr>
              <w:t xml:space="preserve"> </w:t>
            </w:r>
            <w:r w:rsidRPr="0053423A">
              <w:rPr>
                <w:rFonts w:cs="Tahoma"/>
                <w:sz w:val="20"/>
                <w:szCs w:val="20"/>
              </w:rPr>
              <w:t>առկա</w:t>
            </w:r>
            <w:r w:rsidRPr="0053423A">
              <w:rPr>
                <w:rFonts w:cs="Tahoma"/>
                <w:sz w:val="20"/>
                <w:szCs w:val="20"/>
                <w:lang w:val="ro-RO"/>
              </w:rPr>
              <w:t xml:space="preserve"> </w:t>
            </w:r>
            <w:r w:rsidRPr="0053423A">
              <w:rPr>
                <w:rFonts w:cs="Tahoma"/>
                <w:sz w:val="20"/>
                <w:szCs w:val="20"/>
              </w:rPr>
              <w:t>ռազմաքաղաքական</w:t>
            </w:r>
            <w:r w:rsidRPr="0053423A">
              <w:rPr>
                <w:rFonts w:cs="Tahoma"/>
                <w:sz w:val="20"/>
                <w:szCs w:val="20"/>
                <w:lang w:val="ro-RO"/>
              </w:rPr>
              <w:t xml:space="preserve"> </w:t>
            </w:r>
            <w:r w:rsidRPr="0053423A">
              <w:rPr>
                <w:rFonts w:cs="Tahoma"/>
                <w:sz w:val="20"/>
                <w:szCs w:val="20"/>
              </w:rPr>
              <w:t>ընդհանրությունների</w:t>
            </w:r>
            <w:r w:rsidRPr="0053423A">
              <w:rPr>
                <w:rFonts w:cs="Tahoma"/>
                <w:sz w:val="20"/>
                <w:szCs w:val="20"/>
                <w:lang w:val="ro-RO"/>
              </w:rPr>
              <w:t xml:space="preserve"> </w:t>
            </w:r>
            <w:r w:rsidRPr="0053423A">
              <w:rPr>
                <w:rFonts w:cs="Tahoma"/>
                <w:sz w:val="20"/>
                <w:szCs w:val="20"/>
              </w:rPr>
              <w:t>վրա</w:t>
            </w:r>
            <w:r w:rsidRPr="0053423A">
              <w:rPr>
                <w:rFonts w:cs="Tahoma"/>
                <w:sz w:val="20"/>
                <w:szCs w:val="20"/>
                <w:lang w:val="ro-RO"/>
              </w:rPr>
              <w:t xml:space="preserve"> </w:t>
            </w:r>
            <w:r w:rsidRPr="0053423A">
              <w:rPr>
                <w:rFonts w:cs="Tahoma"/>
                <w:sz w:val="20"/>
                <w:szCs w:val="20"/>
              </w:rPr>
              <w:t>հիմնված</w:t>
            </w:r>
            <w:r w:rsidRPr="0053423A">
              <w:rPr>
                <w:rFonts w:cs="Tahoma"/>
                <w:sz w:val="20"/>
                <w:szCs w:val="20"/>
                <w:lang w:val="ro-RO"/>
              </w:rPr>
              <w:t xml:space="preserve"> </w:t>
            </w:r>
            <w:r w:rsidRPr="0053423A">
              <w:rPr>
                <w:rFonts w:cs="Tahoma"/>
                <w:sz w:val="20"/>
                <w:szCs w:val="20"/>
              </w:rPr>
              <w:t>հարաբերությունների</w:t>
            </w:r>
            <w:r w:rsidRPr="0053423A">
              <w:rPr>
                <w:rFonts w:cs="Tahoma"/>
                <w:sz w:val="20"/>
                <w:szCs w:val="20"/>
                <w:lang w:val="ro-RO"/>
              </w:rPr>
              <w:t xml:space="preserve"> </w:t>
            </w:r>
            <w:r w:rsidRPr="0053423A">
              <w:rPr>
                <w:rFonts w:cs="Tahoma"/>
                <w:sz w:val="20"/>
                <w:szCs w:val="20"/>
              </w:rPr>
              <w:t>ձևավորման</w:t>
            </w:r>
            <w:r w:rsidRPr="0053423A">
              <w:rPr>
                <w:rFonts w:cs="Tahoma"/>
                <w:sz w:val="20"/>
                <w:szCs w:val="20"/>
                <w:lang w:val="ro-RO"/>
              </w:rPr>
              <w:t xml:space="preserve"> </w:t>
            </w:r>
            <w:r w:rsidRPr="0053423A">
              <w:rPr>
                <w:rFonts w:cs="Tahoma"/>
                <w:sz w:val="20"/>
                <w:szCs w:val="20"/>
              </w:rPr>
              <w:t>հավասարակշռությունը</w:t>
            </w:r>
            <w:r w:rsidRPr="0053423A">
              <w:rPr>
                <w:rFonts w:cs="Tahoma"/>
                <w:sz w:val="20"/>
                <w:szCs w:val="20"/>
                <w:lang w:val="ro-RO"/>
              </w:rPr>
              <w:t>:</w:t>
            </w:r>
          </w:p>
        </w:tc>
      </w:tr>
      <w:tr w:rsidR="00BB45FD" w:rsidRPr="00DE2EFA" w:rsidTr="00976405">
        <w:tc>
          <w:tcPr>
            <w:tcW w:w="425" w:type="dxa"/>
            <w:shd w:val="clear" w:color="auto" w:fill="auto"/>
          </w:tcPr>
          <w:p w:rsidR="00BB45FD" w:rsidRPr="0053423A" w:rsidRDefault="00BB45FD" w:rsidP="00A67858">
            <w:pPr>
              <w:spacing w:after="0" w:line="276" w:lineRule="auto"/>
              <w:ind w:left="-108" w:right="-108"/>
              <w:rPr>
                <w:sz w:val="20"/>
                <w:szCs w:val="20"/>
                <w:lang w:val="hy-AM"/>
              </w:rPr>
            </w:pPr>
            <w:r w:rsidRPr="0053423A">
              <w:rPr>
                <w:sz w:val="20"/>
                <w:szCs w:val="20"/>
                <w:lang w:val="hy-AM"/>
              </w:rPr>
              <w:t>13.1-13.6</w:t>
            </w:r>
          </w:p>
        </w:tc>
        <w:tc>
          <w:tcPr>
            <w:tcW w:w="11156" w:type="dxa"/>
            <w:shd w:val="clear" w:color="auto" w:fill="auto"/>
          </w:tcPr>
          <w:p w:rsidR="00BB45FD" w:rsidRPr="0053423A" w:rsidRDefault="00BB45FD" w:rsidP="00A67858">
            <w:pPr>
              <w:pStyle w:val="ListParagraph"/>
              <w:spacing w:after="0" w:line="276" w:lineRule="auto"/>
              <w:ind w:left="540"/>
              <w:jc w:val="center"/>
              <w:rPr>
                <w:b/>
                <w:sz w:val="20"/>
                <w:szCs w:val="20"/>
                <w:lang w:val="ro-RO"/>
              </w:rPr>
            </w:pPr>
            <w:r w:rsidRPr="0053423A">
              <w:rPr>
                <w:b/>
                <w:sz w:val="20"/>
                <w:szCs w:val="20"/>
                <w:u w:val="single"/>
                <w:lang w:val="hy-AM"/>
              </w:rPr>
              <w:t>Պաշտպանության</w:t>
            </w:r>
            <w:r w:rsidRPr="0053423A">
              <w:rPr>
                <w:b/>
                <w:sz w:val="20"/>
                <w:szCs w:val="20"/>
                <w:u w:val="single"/>
                <w:lang w:val="ro-RO"/>
              </w:rPr>
              <w:t xml:space="preserve"> </w:t>
            </w:r>
            <w:r w:rsidRPr="0053423A">
              <w:rPr>
                <w:b/>
                <w:sz w:val="20"/>
                <w:szCs w:val="20"/>
                <w:u w:val="single"/>
                <w:lang w:val="hy-AM"/>
              </w:rPr>
              <w:t>ռազմավարական</w:t>
            </w:r>
            <w:r w:rsidRPr="0053423A">
              <w:rPr>
                <w:b/>
                <w:sz w:val="20"/>
                <w:szCs w:val="20"/>
                <w:u w:val="single"/>
                <w:lang w:val="ro-RO"/>
              </w:rPr>
              <w:t xml:space="preserve"> </w:t>
            </w:r>
            <w:r w:rsidRPr="0053423A">
              <w:rPr>
                <w:b/>
                <w:sz w:val="20"/>
                <w:szCs w:val="20"/>
                <w:u w:val="single"/>
                <w:lang w:val="hy-AM"/>
              </w:rPr>
              <w:t>վերանայման</w:t>
            </w:r>
            <w:r w:rsidRPr="0053423A">
              <w:rPr>
                <w:b/>
                <w:sz w:val="20"/>
                <w:szCs w:val="20"/>
                <w:u w:val="single"/>
                <w:lang w:val="ro-RO"/>
              </w:rPr>
              <w:t xml:space="preserve"> (</w:t>
            </w:r>
            <w:r w:rsidRPr="0053423A">
              <w:rPr>
                <w:b/>
                <w:sz w:val="20"/>
                <w:szCs w:val="20"/>
                <w:u w:val="single"/>
                <w:lang w:val="hy-AM"/>
              </w:rPr>
              <w:t>ՊՌՎ</w:t>
            </w:r>
            <w:r w:rsidRPr="0053423A">
              <w:rPr>
                <w:b/>
                <w:sz w:val="20"/>
                <w:szCs w:val="20"/>
                <w:u w:val="single"/>
                <w:lang w:val="ro-RO"/>
              </w:rPr>
              <w:t xml:space="preserve">) </w:t>
            </w:r>
            <w:r w:rsidRPr="0053423A">
              <w:rPr>
                <w:b/>
                <w:sz w:val="20"/>
                <w:szCs w:val="20"/>
                <w:u w:val="single"/>
                <w:lang w:val="hy-AM"/>
              </w:rPr>
              <w:t>հերթական</w:t>
            </w:r>
            <w:r w:rsidRPr="0053423A">
              <w:rPr>
                <w:b/>
                <w:sz w:val="20"/>
                <w:szCs w:val="20"/>
                <w:u w:val="single"/>
                <w:lang w:val="ro-RO"/>
              </w:rPr>
              <w:t xml:space="preserve"> </w:t>
            </w:r>
            <w:r w:rsidRPr="0053423A">
              <w:rPr>
                <w:b/>
                <w:sz w:val="20"/>
                <w:szCs w:val="20"/>
                <w:u w:val="single"/>
                <w:lang w:val="hy-AM"/>
              </w:rPr>
              <w:t>շրջափուլի</w:t>
            </w:r>
            <w:r w:rsidRPr="0053423A">
              <w:rPr>
                <w:b/>
                <w:sz w:val="20"/>
                <w:szCs w:val="20"/>
                <w:u w:val="single"/>
                <w:lang w:val="ro-RO"/>
              </w:rPr>
              <w:t xml:space="preserve"> </w:t>
            </w:r>
            <w:r w:rsidRPr="0053423A">
              <w:rPr>
                <w:b/>
                <w:sz w:val="20"/>
                <w:szCs w:val="20"/>
                <w:u w:val="single"/>
                <w:lang w:val="hy-AM"/>
              </w:rPr>
              <w:t>իրականացման</w:t>
            </w:r>
            <w:r w:rsidRPr="0053423A">
              <w:rPr>
                <w:rFonts w:eastAsia="+mn-ea" w:cs="Tahoma"/>
                <w:b/>
                <w:bCs/>
                <w:sz w:val="20"/>
                <w:szCs w:val="20"/>
                <w:u w:val="single"/>
                <w:lang w:val="ro-RO"/>
              </w:rPr>
              <w:t xml:space="preserve"> </w:t>
            </w:r>
            <w:r w:rsidRPr="0053423A">
              <w:rPr>
                <w:rFonts w:eastAsia="+mn-ea" w:cs="Tahoma"/>
                <w:b/>
                <w:bCs/>
                <w:sz w:val="20"/>
                <w:szCs w:val="20"/>
                <w:u w:val="single"/>
                <w:lang w:val="hy-AM"/>
              </w:rPr>
              <w:t>վերաբերյալ</w:t>
            </w:r>
          </w:p>
          <w:p w:rsidR="00BB45FD" w:rsidRPr="0053423A" w:rsidRDefault="00BB45FD" w:rsidP="00A67858">
            <w:pPr>
              <w:spacing w:after="0" w:line="276" w:lineRule="auto"/>
              <w:ind w:firstLine="540"/>
              <w:jc w:val="center"/>
              <w:rPr>
                <w:b/>
                <w:sz w:val="20"/>
                <w:szCs w:val="20"/>
                <w:lang w:val="ro-RO"/>
              </w:rPr>
            </w:pPr>
          </w:p>
          <w:p w:rsidR="00BB45FD" w:rsidRPr="0053423A" w:rsidRDefault="00BB45FD" w:rsidP="00A67858">
            <w:pPr>
              <w:pStyle w:val="NormalWeb"/>
              <w:spacing w:before="0" w:beforeAutospacing="0" w:after="0" w:afterAutospacing="0" w:line="276" w:lineRule="auto"/>
              <w:ind w:right="84" w:firstLine="540"/>
              <w:rPr>
                <w:rFonts w:ascii="GHEA Grapalat" w:hAnsi="GHEA Grapalat"/>
                <w:b/>
                <w:sz w:val="20"/>
                <w:szCs w:val="20"/>
                <w:lang w:val="ro-RO"/>
              </w:rPr>
            </w:pPr>
            <w:r w:rsidRPr="0053423A">
              <w:rPr>
                <w:rFonts w:ascii="GHEA Grapalat" w:hAnsi="GHEA Grapalat"/>
                <w:b/>
                <w:sz w:val="20"/>
                <w:szCs w:val="20"/>
                <w:lang w:val="ro-RO"/>
              </w:rPr>
              <w:t xml:space="preserve">1. </w:t>
            </w:r>
            <w:r w:rsidRPr="0053423A">
              <w:rPr>
                <w:rFonts w:ascii="GHEA Grapalat" w:hAnsi="GHEA Grapalat"/>
                <w:b/>
                <w:sz w:val="20"/>
                <w:szCs w:val="20"/>
                <w:u w:val="single"/>
              </w:rPr>
              <w:t>Միջոցառումների</w:t>
            </w:r>
            <w:r w:rsidRPr="0053423A">
              <w:rPr>
                <w:rFonts w:ascii="GHEA Grapalat" w:hAnsi="GHEA Grapalat"/>
                <w:b/>
                <w:sz w:val="20"/>
                <w:szCs w:val="20"/>
                <w:u w:val="single"/>
                <w:lang w:val="ro-RO"/>
              </w:rPr>
              <w:t xml:space="preserve"> </w:t>
            </w:r>
            <w:r w:rsidRPr="0053423A">
              <w:rPr>
                <w:rFonts w:ascii="GHEA Grapalat" w:hAnsi="GHEA Grapalat"/>
                <w:b/>
                <w:sz w:val="20"/>
                <w:szCs w:val="20"/>
                <w:u w:val="single"/>
              </w:rPr>
              <w:t>իրականացման</w:t>
            </w:r>
            <w:r w:rsidRPr="0053423A">
              <w:rPr>
                <w:rFonts w:ascii="GHEA Grapalat" w:hAnsi="GHEA Grapalat"/>
                <w:b/>
                <w:sz w:val="20"/>
                <w:szCs w:val="20"/>
                <w:u w:val="single"/>
                <w:lang w:val="ro-RO"/>
              </w:rPr>
              <w:t xml:space="preserve"> </w:t>
            </w:r>
            <w:r w:rsidRPr="0053423A">
              <w:rPr>
                <w:rFonts w:ascii="GHEA Grapalat" w:hAnsi="GHEA Grapalat"/>
                <w:b/>
                <w:sz w:val="20"/>
                <w:szCs w:val="20"/>
                <w:u w:val="single"/>
              </w:rPr>
              <w:t>անհրաժեշտությունը</w:t>
            </w:r>
            <w:r w:rsidRPr="0053423A">
              <w:rPr>
                <w:rFonts w:ascii="GHEA Grapalat" w:hAnsi="GHEA Grapalat"/>
                <w:b/>
                <w:sz w:val="20"/>
                <w:szCs w:val="20"/>
                <w:u w:val="single"/>
                <w:lang w:val="ro-RO"/>
              </w:rPr>
              <w:t xml:space="preserve"> </w:t>
            </w:r>
            <w:r w:rsidRPr="0053423A">
              <w:rPr>
                <w:rFonts w:ascii="GHEA Grapalat" w:hAnsi="GHEA Grapalat"/>
                <w:b/>
                <w:sz w:val="20"/>
                <w:szCs w:val="20"/>
                <w:u w:val="single"/>
              </w:rPr>
              <w:t>և</w:t>
            </w:r>
            <w:r w:rsidRPr="0053423A">
              <w:rPr>
                <w:rFonts w:ascii="GHEA Grapalat" w:hAnsi="GHEA Grapalat"/>
                <w:b/>
                <w:sz w:val="20"/>
                <w:szCs w:val="20"/>
                <w:u w:val="single"/>
                <w:lang w:val="ro-RO"/>
              </w:rPr>
              <w:t xml:space="preserve"> </w:t>
            </w:r>
            <w:r w:rsidRPr="0053423A">
              <w:rPr>
                <w:rFonts w:ascii="GHEA Grapalat" w:hAnsi="GHEA Grapalat"/>
                <w:b/>
                <w:sz w:val="20"/>
                <w:szCs w:val="20"/>
                <w:u w:val="single"/>
              </w:rPr>
              <w:t>նպատակը</w:t>
            </w:r>
          </w:p>
          <w:p w:rsidR="00BB45FD" w:rsidRPr="0053423A" w:rsidRDefault="00BB45FD" w:rsidP="00A67858">
            <w:pPr>
              <w:pStyle w:val="NormalWeb"/>
              <w:spacing w:before="0" w:beforeAutospacing="0" w:after="0" w:afterAutospacing="0" w:line="276" w:lineRule="auto"/>
              <w:ind w:right="84" w:firstLine="540"/>
              <w:jc w:val="both"/>
              <w:rPr>
                <w:rFonts w:ascii="GHEA Grapalat" w:hAnsi="GHEA Grapalat" w:cs="Sylfaen"/>
                <w:sz w:val="20"/>
                <w:szCs w:val="20"/>
                <w:shd w:val="clear" w:color="auto" w:fill="FFFFFF"/>
                <w:lang w:val="ro-RO"/>
              </w:rPr>
            </w:pPr>
            <w:r w:rsidRPr="0053423A">
              <w:rPr>
                <w:rFonts w:ascii="GHEA Grapalat" w:hAnsi="GHEA Grapalat" w:cs="Sylfaen"/>
                <w:sz w:val="20"/>
                <w:szCs w:val="20"/>
                <w:shd w:val="clear" w:color="auto" w:fill="FFFFFF"/>
              </w:rPr>
              <w:t>Ամրագրված</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լինելով</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Պաշտպանության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մասին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ՀՀ</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օրենքում</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հոդված</w:t>
            </w:r>
            <w:r w:rsidRPr="0053423A">
              <w:rPr>
                <w:rFonts w:ascii="GHEA Grapalat" w:hAnsi="GHEA Grapalat" w:cs="Sylfaen"/>
                <w:sz w:val="20"/>
                <w:szCs w:val="20"/>
                <w:shd w:val="clear" w:color="auto" w:fill="FFFFFF"/>
                <w:lang w:val="ro-RO"/>
              </w:rPr>
              <w:t xml:space="preserve"> 3, 4-</w:t>
            </w:r>
            <w:r w:rsidRPr="0053423A">
              <w:rPr>
                <w:rFonts w:ascii="GHEA Grapalat" w:hAnsi="GHEA Grapalat" w:cs="Sylfaen"/>
                <w:sz w:val="20"/>
                <w:szCs w:val="20"/>
                <w:shd w:val="clear" w:color="auto" w:fill="FFFFFF"/>
              </w:rPr>
              <w:t>րդ</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կետ</w:t>
            </w:r>
            <w:r w:rsidRPr="0053423A">
              <w:rPr>
                <w:rFonts w:ascii="GHEA Grapalat" w:hAnsi="GHEA Grapalat" w:cs="Sylfaen"/>
                <w:sz w:val="20"/>
                <w:szCs w:val="20"/>
                <w:shd w:val="clear" w:color="auto" w:fill="FFFFFF"/>
                <w:lang w:val="ro-RO"/>
              </w:rPr>
              <w:t>)</w:t>
            </w:r>
            <w:r w:rsidRPr="0053423A">
              <w:rPr>
                <w:rFonts w:ascii="GHEA Grapalat" w:hAnsi="GHEA Grapalat" w:cs="Sylfaen"/>
                <w:sz w:val="20"/>
                <w:szCs w:val="20"/>
                <w:shd w:val="clear" w:color="auto" w:fill="FFFFFF"/>
              </w:rPr>
              <w:t>՝</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պաշտպանության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ռազմավարական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վերանայումը</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միտված</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է</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rPr>
              <w:t>պաշտպանության</w:t>
            </w:r>
            <w:r w:rsidRPr="0053423A">
              <w:rPr>
                <w:rFonts w:ascii="GHEA Grapalat" w:hAnsi="GHEA Grapalat" w:cs="SylfaenRegular"/>
                <w:sz w:val="20"/>
                <w:szCs w:val="20"/>
                <w:lang w:val="ro-RO"/>
              </w:rPr>
              <w:t xml:space="preserve"> </w:t>
            </w:r>
            <w:r w:rsidRPr="0053423A">
              <w:rPr>
                <w:rFonts w:ascii="GHEA Grapalat" w:hAnsi="GHEA Grapalat" w:cs="Sylfaen"/>
                <w:sz w:val="20"/>
                <w:szCs w:val="20"/>
              </w:rPr>
              <w:t>ռազմավարական</w:t>
            </w:r>
            <w:r w:rsidRPr="0053423A">
              <w:rPr>
                <w:rFonts w:ascii="GHEA Grapalat" w:hAnsi="GHEA Grapalat" w:cs="SylfaenRegular"/>
                <w:sz w:val="20"/>
                <w:szCs w:val="20"/>
                <w:lang w:val="ro-RO"/>
              </w:rPr>
              <w:t xml:space="preserve"> </w:t>
            </w:r>
            <w:r w:rsidRPr="0053423A">
              <w:rPr>
                <w:rFonts w:ascii="GHEA Grapalat" w:hAnsi="GHEA Grapalat" w:cs="Sylfaen"/>
                <w:sz w:val="20"/>
                <w:szCs w:val="20"/>
              </w:rPr>
              <w:t>պլանավորման</w:t>
            </w:r>
            <w:r w:rsidRPr="0053423A">
              <w:rPr>
                <w:rFonts w:ascii="GHEA Grapalat" w:hAnsi="GHEA Grapalat" w:cs="SylfaenRegular"/>
                <w:sz w:val="20"/>
                <w:szCs w:val="20"/>
                <w:lang w:val="ro-RO"/>
              </w:rPr>
              <w:t xml:space="preserve"> </w:t>
            </w:r>
            <w:r w:rsidRPr="0053423A">
              <w:rPr>
                <w:rFonts w:ascii="GHEA Grapalat" w:hAnsi="GHEA Grapalat" w:cs="Sylfaen"/>
                <w:sz w:val="20"/>
                <w:szCs w:val="20"/>
              </w:rPr>
              <w:t>նպատակների</w:t>
            </w:r>
            <w:r w:rsidRPr="0053423A">
              <w:rPr>
                <w:rFonts w:ascii="GHEA Grapalat" w:hAnsi="GHEA Grapalat" w:cs="SylfaenRegular"/>
                <w:sz w:val="20"/>
                <w:szCs w:val="20"/>
                <w:lang w:val="ro-RO"/>
              </w:rPr>
              <w:t xml:space="preserve"> </w:t>
            </w:r>
            <w:r w:rsidRPr="0053423A">
              <w:rPr>
                <w:rFonts w:ascii="GHEA Grapalat" w:hAnsi="GHEA Grapalat" w:cs="Sylfaen"/>
                <w:sz w:val="20"/>
                <w:szCs w:val="20"/>
              </w:rPr>
              <w:t>և</w:t>
            </w:r>
            <w:r w:rsidRPr="0053423A">
              <w:rPr>
                <w:rFonts w:ascii="GHEA Grapalat" w:hAnsi="GHEA Grapalat" w:cs="SylfaenRegular"/>
                <w:sz w:val="20"/>
                <w:szCs w:val="20"/>
                <w:lang w:val="ro-RO"/>
              </w:rPr>
              <w:t xml:space="preserve"> </w:t>
            </w:r>
            <w:r w:rsidRPr="0053423A">
              <w:rPr>
                <w:rFonts w:ascii="GHEA Grapalat" w:hAnsi="GHEA Grapalat" w:cs="Sylfaen"/>
                <w:sz w:val="20"/>
                <w:szCs w:val="20"/>
              </w:rPr>
              <w:t>խնդիրների</w:t>
            </w:r>
            <w:r w:rsidRPr="0053423A">
              <w:rPr>
                <w:rFonts w:ascii="GHEA Grapalat" w:hAnsi="GHEA Grapalat" w:cs="SylfaenRegular"/>
                <w:sz w:val="20"/>
                <w:szCs w:val="20"/>
                <w:lang w:val="ro-RO"/>
              </w:rPr>
              <w:t xml:space="preserve"> </w:t>
            </w:r>
            <w:r w:rsidRPr="0053423A">
              <w:rPr>
                <w:rFonts w:ascii="GHEA Grapalat" w:hAnsi="GHEA Grapalat" w:cs="Sylfaen"/>
                <w:sz w:val="20"/>
                <w:szCs w:val="20"/>
              </w:rPr>
              <w:t>սահմանմանը</w:t>
            </w:r>
            <w:r w:rsidRPr="0053423A">
              <w:rPr>
                <w:rFonts w:ascii="GHEA Grapalat" w:hAnsi="GHEA Grapalat" w:cs="Sylfaen"/>
                <w:sz w:val="20"/>
                <w:szCs w:val="20"/>
                <w:lang w:val="ro-RO"/>
              </w:rPr>
              <w:t>:</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Միջոցառումների</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իրականացումը</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պայմանավորված</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է</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անվտանգության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միջավայրի</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և</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առկա</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ու</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հնարավոր</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սպառնալիքների</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համընդգրկուն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գնահատման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ինչպես</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նաև</w:t>
            </w:r>
            <w:r w:rsidRPr="0053423A">
              <w:rPr>
                <w:rFonts w:ascii="GHEA Grapalat" w:hAnsi="GHEA Grapalat" w:cs="Sylfaen"/>
                <w:sz w:val="20"/>
                <w:szCs w:val="20"/>
                <w:shd w:val="clear" w:color="auto" w:fill="FFFFFF"/>
                <w:lang w:val="ro-RO"/>
              </w:rPr>
              <w:t xml:space="preserve"> </w:t>
            </w:r>
            <w:r w:rsidRPr="0053423A">
              <w:rPr>
                <w:rFonts w:ascii="GHEA Grapalat" w:hAnsi="GHEA Grapalat" w:cs="Arial"/>
                <w:sz w:val="20"/>
                <w:szCs w:val="20"/>
                <w:lang w:val="af-ZA"/>
              </w:rPr>
              <w:t>պ</w:t>
            </w:r>
            <w:r w:rsidRPr="0053423A">
              <w:rPr>
                <w:rFonts w:ascii="GHEA Grapalat" w:hAnsi="GHEA Grapalat" w:cs="Arial"/>
                <w:sz w:val="20"/>
                <w:szCs w:val="20"/>
                <w:lang w:val="hy-AM"/>
              </w:rPr>
              <w:t>աշտպանության ռազմավարության առաջնահեր</w:t>
            </w:r>
            <w:r w:rsidRPr="0053423A">
              <w:rPr>
                <w:rFonts w:ascii="GHEA Grapalat" w:hAnsi="GHEA Grapalat" w:cs="Arial"/>
                <w:sz w:val="20"/>
                <w:szCs w:val="20"/>
                <w:lang w:val="hy-AM"/>
              </w:rPr>
              <w:softHyphen/>
              <w:t>թու</w:t>
            </w:r>
            <w:r w:rsidRPr="0053423A">
              <w:rPr>
                <w:rFonts w:ascii="GHEA Grapalat" w:hAnsi="GHEA Grapalat" w:cs="Arial"/>
                <w:sz w:val="20"/>
                <w:szCs w:val="20"/>
                <w:lang w:val="hy-AM"/>
              </w:rPr>
              <w:softHyphen/>
              <w:t>թյուն</w:t>
            </w:r>
            <w:r w:rsidRPr="0053423A">
              <w:rPr>
                <w:rFonts w:ascii="GHEA Grapalat" w:hAnsi="GHEA Grapalat" w:cs="Arial"/>
                <w:sz w:val="20"/>
                <w:szCs w:val="20"/>
                <w:lang w:val="hy-AM"/>
              </w:rPr>
              <w:softHyphen/>
              <w:t xml:space="preserve">ների հիման վրա </w:t>
            </w:r>
            <w:r w:rsidRPr="0053423A">
              <w:rPr>
                <w:rFonts w:ascii="GHEA Grapalat" w:eastAsia="+mn-ea" w:hAnsi="GHEA Grapalat" w:cs="Arial"/>
                <w:sz w:val="20"/>
                <w:szCs w:val="20"/>
                <w:lang w:val="hy-AM"/>
              </w:rPr>
              <w:t>ռեսուրսների բաշխում</w:t>
            </w:r>
            <w:r w:rsidRPr="0053423A">
              <w:rPr>
                <w:rFonts w:ascii="GHEA Grapalat" w:hAnsi="GHEA Grapalat" w:cs="Arial"/>
                <w:sz w:val="20"/>
                <w:szCs w:val="20"/>
                <w:lang w:val="hy-AM"/>
              </w:rPr>
              <w:t>ը</w:t>
            </w:r>
            <w:r w:rsidRPr="0053423A">
              <w:rPr>
                <w:rFonts w:ascii="GHEA Grapalat" w:hAnsi="GHEA Grapalat" w:cs="Arial"/>
                <w:sz w:val="20"/>
                <w:szCs w:val="20"/>
                <w:lang w:val="af-ZA"/>
              </w:rPr>
              <w:t xml:space="preserve"> </w:t>
            </w:r>
            <w:r w:rsidRPr="0053423A">
              <w:rPr>
                <w:rFonts w:ascii="GHEA Grapalat" w:hAnsi="GHEA Grapalat" w:cs="Arial"/>
                <w:sz w:val="20"/>
                <w:szCs w:val="20"/>
              </w:rPr>
              <w:t>և</w:t>
            </w:r>
            <w:r w:rsidRPr="0053423A">
              <w:rPr>
                <w:rFonts w:ascii="GHEA Grapalat" w:hAnsi="GHEA Grapalat" w:cs="Arial"/>
                <w:sz w:val="20"/>
                <w:szCs w:val="20"/>
                <w:lang w:val="af-ZA"/>
              </w:rPr>
              <w:t xml:space="preserve"> </w:t>
            </w:r>
            <w:r w:rsidRPr="0053423A">
              <w:rPr>
                <w:rFonts w:ascii="GHEA Grapalat" w:hAnsi="GHEA Grapalat" w:cs="Arial"/>
                <w:sz w:val="20"/>
                <w:szCs w:val="20"/>
              </w:rPr>
              <w:t>կարողությունների</w:t>
            </w:r>
            <w:r w:rsidRPr="0053423A">
              <w:rPr>
                <w:rFonts w:ascii="GHEA Grapalat" w:eastAsia="+mn-ea" w:hAnsi="GHEA Grapalat" w:cs="Arial"/>
                <w:sz w:val="20"/>
                <w:szCs w:val="20"/>
                <w:lang w:val="hy-AM"/>
              </w:rPr>
              <w:t xml:space="preserve"> </w:t>
            </w:r>
            <w:r w:rsidRPr="0053423A">
              <w:rPr>
                <w:rFonts w:ascii="GHEA Grapalat" w:eastAsia="+mn-ea" w:hAnsi="GHEA Grapalat" w:cs="Arial"/>
                <w:sz w:val="20"/>
                <w:szCs w:val="20"/>
              </w:rPr>
              <w:t>ձևավորումը</w:t>
            </w:r>
            <w:r w:rsidRPr="0053423A">
              <w:rPr>
                <w:rFonts w:ascii="GHEA Grapalat" w:hAnsi="GHEA Grapalat" w:cs="Arial"/>
                <w:sz w:val="20"/>
                <w:szCs w:val="20"/>
                <w:lang w:val="af-ZA"/>
              </w:rPr>
              <w:t xml:space="preserve">, </w:t>
            </w:r>
            <w:r w:rsidRPr="0053423A">
              <w:rPr>
                <w:rFonts w:ascii="GHEA Grapalat" w:eastAsia="Calibri" w:hAnsi="GHEA Grapalat" w:cs="Arial"/>
                <w:sz w:val="20"/>
                <w:szCs w:val="20"/>
                <w:lang w:val="hy-AM"/>
              </w:rPr>
              <w:t>կառա</w:t>
            </w:r>
            <w:r w:rsidRPr="0053423A">
              <w:rPr>
                <w:rFonts w:ascii="GHEA Grapalat" w:eastAsia="Calibri" w:hAnsi="GHEA Grapalat" w:cs="Arial"/>
                <w:sz w:val="20"/>
                <w:szCs w:val="20"/>
                <w:lang w:val="hy-AM"/>
              </w:rPr>
              <w:softHyphen/>
              <w:t>վարման և բյու</w:t>
            </w:r>
            <w:r w:rsidRPr="0053423A">
              <w:rPr>
                <w:rFonts w:ascii="GHEA Grapalat" w:eastAsia="Calibri" w:hAnsi="GHEA Grapalat" w:cs="Arial"/>
                <w:sz w:val="20"/>
                <w:szCs w:val="20"/>
                <w:lang w:val="hy-AM"/>
              </w:rPr>
              <w:softHyphen/>
              <w:t>ջետային որոշումների ներդաշնակեցումը</w:t>
            </w:r>
            <w:r w:rsidRPr="0053423A">
              <w:rPr>
                <w:rFonts w:ascii="GHEA Grapalat" w:eastAsia="Calibri" w:hAnsi="GHEA Grapalat" w:cs="Arial"/>
                <w:sz w:val="20"/>
                <w:szCs w:val="20"/>
                <w:lang w:val="af-ZA"/>
              </w:rPr>
              <w:t xml:space="preserve">, </w:t>
            </w:r>
            <w:r w:rsidRPr="0053423A">
              <w:rPr>
                <w:rFonts w:ascii="GHEA Grapalat" w:eastAsia="Calibri" w:hAnsi="GHEA Grapalat" w:cs="Arial"/>
                <w:sz w:val="20"/>
                <w:szCs w:val="20"/>
                <w:lang w:val="hy-AM"/>
              </w:rPr>
              <w:t>բյուջետային ծրագրերի</w:t>
            </w:r>
            <w:r w:rsidRPr="0053423A">
              <w:rPr>
                <w:rFonts w:ascii="GHEA Grapalat" w:eastAsia="Calibri" w:hAnsi="GHEA Grapalat" w:cs="Arial"/>
                <w:sz w:val="20"/>
                <w:szCs w:val="20"/>
                <w:lang w:val="af-ZA"/>
              </w:rPr>
              <w:t xml:space="preserve">` </w:t>
            </w:r>
            <w:r w:rsidRPr="0053423A">
              <w:rPr>
                <w:rFonts w:ascii="GHEA Grapalat" w:eastAsia="Calibri" w:hAnsi="GHEA Grapalat" w:cs="Arial"/>
                <w:sz w:val="20"/>
                <w:szCs w:val="20"/>
                <w:lang w:val="hy-AM"/>
              </w:rPr>
              <w:t>նյութա</w:t>
            </w:r>
            <w:r w:rsidRPr="0053423A">
              <w:rPr>
                <w:rFonts w:ascii="GHEA Grapalat" w:eastAsia="Calibri" w:hAnsi="GHEA Grapalat" w:cs="Arial"/>
                <w:sz w:val="20"/>
                <w:szCs w:val="20"/>
                <w:lang w:val="hy-AM"/>
              </w:rPr>
              <w:softHyphen/>
              <w:t>տեխնիկական առումով կայունությունը</w:t>
            </w:r>
            <w:r w:rsidRPr="0053423A">
              <w:rPr>
                <w:rFonts w:ascii="GHEA Grapalat" w:eastAsia="Calibri" w:hAnsi="GHEA Grapalat" w:cs="Arial"/>
                <w:sz w:val="20"/>
                <w:szCs w:val="20"/>
                <w:lang w:val="af-ZA"/>
              </w:rPr>
              <w:t xml:space="preserve"> </w:t>
            </w:r>
            <w:r w:rsidRPr="0053423A">
              <w:rPr>
                <w:rFonts w:ascii="GHEA Grapalat" w:eastAsia="Calibri" w:hAnsi="GHEA Grapalat" w:cs="Arial"/>
                <w:sz w:val="20"/>
                <w:szCs w:val="20"/>
              </w:rPr>
              <w:t>և</w:t>
            </w:r>
            <w:r w:rsidRPr="0053423A">
              <w:rPr>
                <w:rFonts w:ascii="GHEA Grapalat" w:eastAsia="Calibri" w:hAnsi="GHEA Grapalat" w:cs="Arial"/>
                <w:sz w:val="20"/>
                <w:szCs w:val="20"/>
                <w:lang w:val="af-ZA"/>
              </w:rPr>
              <w:t xml:space="preserve"> </w:t>
            </w:r>
            <w:r w:rsidRPr="0053423A">
              <w:rPr>
                <w:rFonts w:ascii="GHEA Grapalat" w:eastAsia="Calibri" w:hAnsi="GHEA Grapalat" w:cs="Arial"/>
                <w:sz w:val="20"/>
                <w:szCs w:val="20"/>
                <w:lang w:val="hy-AM"/>
              </w:rPr>
              <w:t>մրցակցող պահանջների միջև ռացիոնալ որոշումների կայացումը</w:t>
            </w:r>
            <w:r w:rsidRPr="0053423A">
              <w:rPr>
                <w:rFonts w:ascii="GHEA Grapalat" w:eastAsia="Calibri" w:hAnsi="GHEA Grapalat" w:cs="Arial"/>
                <w:sz w:val="20"/>
                <w:szCs w:val="20"/>
                <w:lang w:val="ro-RO"/>
              </w:rPr>
              <w:t xml:space="preserve"> </w:t>
            </w:r>
            <w:r w:rsidRPr="0053423A">
              <w:rPr>
                <w:rFonts w:ascii="GHEA Grapalat" w:eastAsia="Calibri" w:hAnsi="GHEA Grapalat" w:cs="Arial"/>
                <w:sz w:val="20"/>
                <w:szCs w:val="20"/>
              </w:rPr>
              <w:t>երաշխավորելու</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անհրաժեշտությամբ</w:t>
            </w:r>
            <w:r w:rsidRPr="0053423A">
              <w:rPr>
                <w:rFonts w:ascii="GHEA Grapalat" w:hAnsi="GHEA Grapalat" w:cs="Sylfaen"/>
                <w:sz w:val="20"/>
                <w:szCs w:val="20"/>
                <w:shd w:val="clear" w:color="auto" w:fill="FFFFFF"/>
                <w:lang w:val="ro-RO"/>
              </w:rPr>
              <w:t>:</w:t>
            </w:r>
          </w:p>
          <w:p w:rsidR="00BB45FD" w:rsidRPr="0053423A" w:rsidRDefault="00BB45FD" w:rsidP="00A67858">
            <w:pPr>
              <w:pStyle w:val="NormalWeb"/>
              <w:spacing w:before="0" w:beforeAutospacing="0" w:after="0" w:afterAutospacing="0" w:line="276" w:lineRule="auto"/>
              <w:ind w:right="84" w:firstLine="540"/>
              <w:jc w:val="both"/>
              <w:rPr>
                <w:rFonts w:ascii="GHEA Grapalat" w:hAnsi="GHEA Grapalat" w:cs="Arial"/>
                <w:b/>
                <w:sz w:val="20"/>
                <w:szCs w:val="20"/>
                <w:lang w:val="ro-RO"/>
              </w:rPr>
            </w:pPr>
            <w:r w:rsidRPr="0053423A">
              <w:rPr>
                <w:rFonts w:ascii="GHEA Grapalat" w:hAnsi="GHEA Grapalat" w:cs="Sylfaen"/>
                <w:b/>
                <w:sz w:val="20"/>
                <w:szCs w:val="20"/>
                <w:shd w:val="clear" w:color="auto" w:fill="FFFFFF"/>
                <w:lang w:val="ro-RO"/>
              </w:rPr>
              <w:t xml:space="preserve">1.1. Կարգավորման հարաբերությունների ներկա վիճակը և առկա խնդիրը </w:t>
            </w:r>
          </w:p>
          <w:p w:rsidR="00BB45FD" w:rsidRPr="0053423A" w:rsidRDefault="00BB45FD" w:rsidP="00A67858">
            <w:pPr>
              <w:pStyle w:val="NormalWeb"/>
              <w:spacing w:before="0" w:beforeAutospacing="0" w:after="0" w:afterAutospacing="0" w:line="276" w:lineRule="auto"/>
              <w:ind w:right="84" w:firstLine="540"/>
              <w:jc w:val="both"/>
              <w:rPr>
                <w:rFonts w:ascii="GHEA Grapalat" w:hAnsi="GHEA Grapalat" w:cs="Sylfaen"/>
                <w:sz w:val="20"/>
                <w:szCs w:val="20"/>
                <w:shd w:val="clear" w:color="auto" w:fill="FFFFFF"/>
                <w:lang w:val="ro-RO"/>
              </w:rPr>
            </w:pPr>
            <w:r w:rsidRPr="0053423A">
              <w:rPr>
                <w:rFonts w:ascii="GHEA Grapalat" w:hAnsi="GHEA Grapalat" w:cs="Sylfaen"/>
                <w:sz w:val="20"/>
                <w:szCs w:val="20"/>
                <w:shd w:val="clear" w:color="auto" w:fill="FFFFFF"/>
              </w:rPr>
              <w:t>ՀՀ</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շուրջ</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ձևավորված</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անկայուն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անվտանգային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միջավայրով</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պայմանավորված՝</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առկա</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սպառնալիքների</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հատկապես</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ռազմական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գնահատումը</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դրանց</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իրագործման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սցենարների</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կանխատեսումները</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և</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դիմագրավման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համար</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ՀՀ</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կողմից</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ձեռնարկվելիք</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հակազդեցությունների</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մտահղացումներն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ու</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պահանաջվող</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կարողությունների</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պլանավորումը</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արագորեն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կորցնում</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են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իրենց</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փաստարկությունը</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և</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հիմնավորությունը</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որը</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վերաբերում</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է</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նաև</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ՊՌՎ</w:t>
            </w:r>
            <w:r w:rsidRPr="0053423A">
              <w:rPr>
                <w:rFonts w:ascii="GHEA Grapalat" w:hAnsi="GHEA Grapalat" w:cs="Sylfaen"/>
                <w:sz w:val="20"/>
                <w:szCs w:val="20"/>
                <w:shd w:val="clear" w:color="auto" w:fill="FFFFFF"/>
                <w:lang w:val="ro-RO"/>
              </w:rPr>
              <w:t xml:space="preserve"> 2014-2015</w:t>
            </w:r>
            <w:r w:rsidRPr="0053423A">
              <w:rPr>
                <w:rFonts w:ascii="GHEA Grapalat" w:hAnsi="GHEA Grapalat" w:cs="Sylfaen"/>
                <w:sz w:val="20"/>
                <w:szCs w:val="20"/>
                <w:shd w:val="clear" w:color="auto" w:fill="FFFFFF"/>
              </w:rPr>
              <w:t>թթ</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գործընթացի</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արդյունքում</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կատարված</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եզրահանգումներին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Ուստի</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առաջ</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է</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եկել</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ՊՌՎ</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նոր</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շրջափուլ</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անցկացնելու</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անհրաժեշտություն՝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որն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ամրագրված</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է</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նաև</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Կառավարության</w:t>
            </w:r>
            <w:r w:rsidRPr="0053423A">
              <w:rPr>
                <w:rFonts w:ascii="GHEA Grapalat" w:hAnsi="GHEA Grapalat" w:cs="Sylfaen"/>
                <w:sz w:val="20"/>
                <w:szCs w:val="20"/>
                <w:shd w:val="clear" w:color="auto" w:fill="FFFFFF"/>
                <w:lang w:val="ro-RO"/>
              </w:rPr>
              <w:t xml:space="preserve"> </w:t>
            </w:r>
            <w:r w:rsidRPr="0053423A">
              <w:rPr>
                <w:rFonts w:ascii="GHEA Grapalat" w:hAnsi="GHEA Grapalat" w:cs="Sylfaen"/>
                <w:sz w:val="20"/>
                <w:szCs w:val="20"/>
                <w:shd w:val="clear" w:color="auto" w:fill="FFFFFF"/>
              </w:rPr>
              <w:t>ծրագրում</w:t>
            </w:r>
            <w:r w:rsidRPr="0053423A">
              <w:rPr>
                <w:rFonts w:ascii="GHEA Grapalat" w:hAnsi="GHEA Grapalat" w:cs="Sylfaen"/>
                <w:sz w:val="20"/>
                <w:szCs w:val="20"/>
                <w:shd w:val="clear" w:color="auto" w:fill="FFFFFF"/>
                <w:lang w:val="ro-RO"/>
              </w:rPr>
              <w:t>:</w:t>
            </w:r>
          </w:p>
          <w:p w:rsidR="00BB45FD" w:rsidRPr="0053423A" w:rsidRDefault="00BB45FD" w:rsidP="00A67858">
            <w:pPr>
              <w:pStyle w:val="NormalWeb"/>
              <w:spacing w:before="0" w:beforeAutospacing="0" w:after="0" w:afterAutospacing="0" w:line="276" w:lineRule="auto"/>
              <w:ind w:right="84" w:firstLine="540"/>
              <w:jc w:val="both"/>
              <w:rPr>
                <w:rFonts w:ascii="GHEA Grapalat" w:hAnsi="GHEA Grapalat" w:cs="Sylfaen"/>
                <w:b/>
                <w:sz w:val="20"/>
                <w:szCs w:val="20"/>
                <w:shd w:val="clear" w:color="auto" w:fill="FFFFFF"/>
                <w:lang w:val="ro-RO"/>
              </w:rPr>
            </w:pPr>
            <w:r w:rsidRPr="0053423A">
              <w:rPr>
                <w:rFonts w:ascii="GHEA Grapalat" w:hAnsi="GHEA Grapalat" w:cs="Sylfaen"/>
                <w:sz w:val="20"/>
                <w:szCs w:val="20"/>
                <w:shd w:val="clear" w:color="auto" w:fill="FFFFFF"/>
                <w:lang w:val="ro-RO"/>
              </w:rPr>
              <w:t xml:space="preserve"> </w:t>
            </w:r>
            <w:r w:rsidRPr="0053423A">
              <w:rPr>
                <w:rFonts w:ascii="GHEA Grapalat" w:hAnsi="GHEA Grapalat" w:cs="Sylfaen"/>
                <w:b/>
                <w:sz w:val="20"/>
                <w:szCs w:val="20"/>
                <w:shd w:val="clear" w:color="auto" w:fill="FFFFFF"/>
                <w:lang w:val="ro-RO"/>
              </w:rPr>
              <w:t>1.2. Առկա խնդիրների առաջարկվող լուծումները</w:t>
            </w:r>
          </w:p>
          <w:p w:rsidR="00BB45FD" w:rsidRPr="0053423A" w:rsidRDefault="00BB45FD" w:rsidP="00A67858">
            <w:pPr>
              <w:pStyle w:val="NormalWeb"/>
              <w:spacing w:before="0" w:beforeAutospacing="0" w:after="0" w:afterAutospacing="0" w:line="276" w:lineRule="auto"/>
              <w:ind w:right="84" w:firstLine="540"/>
              <w:jc w:val="both"/>
              <w:rPr>
                <w:rFonts w:ascii="GHEA Grapalat" w:hAnsi="GHEA Grapalat" w:cs="Sylfaen"/>
                <w:sz w:val="20"/>
                <w:szCs w:val="20"/>
                <w:shd w:val="clear" w:color="auto" w:fill="FFFFFF"/>
                <w:lang w:val="ro-RO"/>
              </w:rPr>
            </w:pPr>
            <w:r w:rsidRPr="0053423A">
              <w:rPr>
                <w:rFonts w:ascii="GHEA Grapalat" w:hAnsi="GHEA Grapalat" w:cs="Sylfaen"/>
                <w:sz w:val="20"/>
                <w:szCs w:val="20"/>
                <w:shd w:val="clear" w:color="auto" w:fill="FFFFFF"/>
                <w:lang w:val="ro-RO"/>
              </w:rPr>
              <w:t>Առաջարկվում է ձևավորված մեթոդաբանության համաձայն՝ ՊՌՎ գործընթացն իրականացնել 6 փուլով, 2019-2020թթ, ժամանակահատվածում՝ Պաշտպանության նախարարի գլխավորությամբ միջգերատեսչական հանձնաժողովի վերահսկողությամբ և դրան կից՝ միջգերատեսչական ու ՊՆ գերատեսչական աշխատանքային խմբերի կողմից աշխատանքների անմիջական կատարմամբ:</w:t>
            </w:r>
          </w:p>
          <w:p w:rsidR="00BB45FD" w:rsidRPr="0053423A" w:rsidRDefault="00BB45FD" w:rsidP="00A67858">
            <w:pPr>
              <w:pStyle w:val="NormalWeb"/>
              <w:tabs>
                <w:tab w:val="left" w:pos="462"/>
              </w:tabs>
              <w:spacing w:before="0" w:beforeAutospacing="0" w:after="0" w:afterAutospacing="0" w:line="276" w:lineRule="auto"/>
              <w:ind w:right="106" w:firstLine="539"/>
              <w:rPr>
                <w:rFonts w:ascii="GHEA Grapalat" w:hAnsi="GHEA Grapalat"/>
                <w:b/>
                <w:sz w:val="20"/>
                <w:szCs w:val="20"/>
                <w:lang w:val="ro-RO"/>
              </w:rPr>
            </w:pPr>
            <w:r w:rsidRPr="0053423A">
              <w:rPr>
                <w:rFonts w:ascii="GHEA Grapalat" w:hAnsi="GHEA Grapalat"/>
                <w:b/>
                <w:sz w:val="20"/>
                <w:szCs w:val="20"/>
                <w:lang w:val="ro-RO"/>
              </w:rPr>
              <w:t xml:space="preserve">2. </w:t>
            </w:r>
            <w:r w:rsidRPr="0053423A">
              <w:rPr>
                <w:rFonts w:ascii="GHEA Grapalat" w:hAnsi="GHEA Grapalat"/>
                <w:b/>
                <w:sz w:val="20"/>
                <w:szCs w:val="20"/>
              </w:rPr>
              <w:t>Միջոցառումների</w:t>
            </w:r>
            <w:r w:rsidRPr="0053423A">
              <w:rPr>
                <w:rFonts w:ascii="GHEA Grapalat" w:hAnsi="GHEA Grapalat"/>
                <w:b/>
                <w:sz w:val="20"/>
                <w:szCs w:val="20"/>
                <w:lang w:val="ro-RO"/>
              </w:rPr>
              <w:t xml:space="preserve"> իրականացումից ակնկալվող արդյունքը</w:t>
            </w:r>
          </w:p>
          <w:p w:rsidR="00BB45FD" w:rsidRPr="0053423A" w:rsidRDefault="00BB45FD" w:rsidP="00A67858">
            <w:pPr>
              <w:spacing w:after="0" w:line="276" w:lineRule="auto"/>
              <w:ind w:firstLine="720"/>
              <w:rPr>
                <w:b/>
                <w:sz w:val="20"/>
                <w:szCs w:val="20"/>
                <w:u w:val="single"/>
                <w:lang w:val="ro-RO"/>
              </w:rPr>
            </w:pPr>
            <w:r w:rsidRPr="0053423A">
              <w:rPr>
                <w:sz w:val="20"/>
                <w:szCs w:val="20"/>
              </w:rPr>
              <w:t>Պաշտպանության</w:t>
            </w:r>
            <w:r w:rsidRPr="0053423A">
              <w:rPr>
                <w:sz w:val="20"/>
                <w:szCs w:val="20"/>
                <w:lang w:val="af-ZA"/>
              </w:rPr>
              <w:t xml:space="preserve"> </w:t>
            </w:r>
            <w:r w:rsidRPr="0053423A">
              <w:rPr>
                <w:sz w:val="20"/>
                <w:szCs w:val="20"/>
              </w:rPr>
              <w:t>ռազմավարական</w:t>
            </w:r>
            <w:r w:rsidRPr="0053423A">
              <w:rPr>
                <w:sz w:val="20"/>
                <w:szCs w:val="20"/>
                <w:lang w:val="af-ZA"/>
              </w:rPr>
              <w:t xml:space="preserve"> </w:t>
            </w:r>
            <w:r w:rsidRPr="0053423A">
              <w:rPr>
                <w:sz w:val="20"/>
                <w:szCs w:val="20"/>
              </w:rPr>
              <w:t>պլանավորման</w:t>
            </w:r>
            <w:r w:rsidRPr="0053423A">
              <w:rPr>
                <w:sz w:val="20"/>
                <w:szCs w:val="20"/>
                <w:lang w:val="af-ZA"/>
              </w:rPr>
              <w:t xml:space="preserve"> </w:t>
            </w:r>
            <w:r w:rsidRPr="0053423A">
              <w:rPr>
                <w:sz w:val="20"/>
                <w:szCs w:val="20"/>
              </w:rPr>
              <w:t>նպատակներ</w:t>
            </w:r>
            <w:r w:rsidRPr="0053423A">
              <w:rPr>
                <w:sz w:val="20"/>
                <w:szCs w:val="20"/>
                <w:lang w:val="ro-RO"/>
              </w:rPr>
              <w:t xml:space="preserve"> </w:t>
            </w:r>
            <w:r w:rsidRPr="0053423A">
              <w:rPr>
                <w:sz w:val="20"/>
                <w:szCs w:val="20"/>
              </w:rPr>
              <w:t>և</w:t>
            </w:r>
            <w:r w:rsidRPr="0053423A">
              <w:rPr>
                <w:sz w:val="20"/>
                <w:szCs w:val="20"/>
                <w:lang w:val="ro-RO"/>
              </w:rPr>
              <w:t xml:space="preserve"> </w:t>
            </w:r>
            <w:r w:rsidRPr="0053423A">
              <w:rPr>
                <w:sz w:val="20"/>
                <w:szCs w:val="20"/>
              </w:rPr>
              <w:t>խնդիրների</w:t>
            </w:r>
            <w:r w:rsidRPr="0053423A">
              <w:rPr>
                <w:sz w:val="20"/>
                <w:szCs w:val="20"/>
                <w:lang w:val="ro-RO"/>
              </w:rPr>
              <w:t xml:space="preserve"> </w:t>
            </w:r>
            <w:r w:rsidRPr="0053423A">
              <w:rPr>
                <w:sz w:val="20"/>
                <w:szCs w:val="20"/>
              </w:rPr>
              <w:t>սահմանում</w:t>
            </w:r>
            <w:r w:rsidRPr="0053423A">
              <w:rPr>
                <w:sz w:val="20"/>
                <w:szCs w:val="20"/>
                <w:lang w:val="ro-RO"/>
              </w:rPr>
              <w:t xml:space="preserve">, </w:t>
            </w:r>
            <w:r w:rsidRPr="0053423A">
              <w:rPr>
                <w:sz w:val="20"/>
                <w:szCs w:val="20"/>
              </w:rPr>
              <w:t>խնդիրների</w:t>
            </w:r>
            <w:r w:rsidRPr="0053423A">
              <w:rPr>
                <w:sz w:val="20"/>
                <w:szCs w:val="20"/>
                <w:lang w:val="ro-RO"/>
              </w:rPr>
              <w:t xml:space="preserve"> </w:t>
            </w:r>
            <w:r w:rsidRPr="0053423A">
              <w:rPr>
                <w:sz w:val="20"/>
                <w:szCs w:val="20"/>
              </w:rPr>
              <w:t>կատարման</w:t>
            </w:r>
            <w:r w:rsidRPr="0053423A">
              <w:rPr>
                <w:sz w:val="20"/>
                <w:szCs w:val="20"/>
                <w:lang w:val="ro-RO"/>
              </w:rPr>
              <w:t xml:space="preserve"> </w:t>
            </w:r>
            <w:r w:rsidRPr="0053423A">
              <w:rPr>
                <w:sz w:val="20"/>
                <w:szCs w:val="20"/>
              </w:rPr>
              <w:t>մտահղացումների</w:t>
            </w:r>
            <w:r w:rsidRPr="0053423A">
              <w:rPr>
                <w:sz w:val="20"/>
                <w:szCs w:val="20"/>
                <w:lang w:val="ro-RO"/>
              </w:rPr>
              <w:t xml:space="preserve"> </w:t>
            </w:r>
            <w:r w:rsidRPr="0053423A">
              <w:rPr>
                <w:sz w:val="20"/>
                <w:szCs w:val="20"/>
              </w:rPr>
              <w:t>մշակում</w:t>
            </w:r>
            <w:r w:rsidRPr="0053423A">
              <w:rPr>
                <w:sz w:val="20"/>
                <w:szCs w:val="20"/>
                <w:lang w:val="ro-RO"/>
              </w:rPr>
              <w:t xml:space="preserve">, </w:t>
            </w:r>
            <w:r w:rsidRPr="0053423A">
              <w:rPr>
                <w:sz w:val="20"/>
                <w:szCs w:val="20"/>
              </w:rPr>
              <w:t>անհրաժեշտ</w:t>
            </w:r>
            <w:r w:rsidRPr="0053423A">
              <w:rPr>
                <w:sz w:val="20"/>
                <w:szCs w:val="20"/>
                <w:lang w:val="ro-RO"/>
              </w:rPr>
              <w:t xml:space="preserve"> </w:t>
            </w:r>
            <w:r w:rsidRPr="0053423A">
              <w:rPr>
                <w:sz w:val="20"/>
                <w:szCs w:val="20"/>
              </w:rPr>
              <w:t>կարողությունների</w:t>
            </w:r>
            <w:r w:rsidRPr="0053423A">
              <w:rPr>
                <w:sz w:val="20"/>
                <w:szCs w:val="20"/>
                <w:lang w:val="ro-RO"/>
              </w:rPr>
              <w:t xml:space="preserve"> </w:t>
            </w:r>
            <w:r w:rsidRPr="0053423A">
              <w:rPr>
                <w:sz w:val="20"/>
                <w:szCs w:val="20"/>
              </w:rPr>
              <w:t>պլանավորում</w:t>
            </w:r>
            <w:r w:rsidRPr="0053423A">
              <w:rPr>
                <w:sz w:val="20"/>
                <w:szCs w:val="20"/>
                <w:lang w:val="ro-RO"/>
              </w:rPr>
              <w:t>:</w:t>
            </w:r>
          </w:p>
        </w:tc>
      </w:tr>
      <w:tr w:rsidR="00BB45FD" w:rsidRPr="00DE2EFA" w:rsidTr="00976405">
        <w:tc>
          <w:tcPr>
            <w:tcW w:w="425" w:type="dxa"/>
            <w:shd w:val="clear" w:color="auto" w:fill="auto"/>
          </w:tcPr>
          <w:p w:rsidR="00BB45FD" w:rsidRPr="0053423A" w:rsidRDefault="00BB45FD" w:rsidP="00A67858">
            <w:pPr>
              <w:spacing w:after="0" w:line="276" w:lineRule="auto"/>
              <w:ind w:left="-108" w:right="-108"/>
              <w:rPr>
                <w:sz w:val="20"/>
                <w:szCs w:val="20"/>
                <w:lang w:val="hy-AM"/>
              </w:rPr>
            </w:pPr>
            <w:r w:rsidRPr="0053423A">
              <w:rPr>
                <w:sz w:val="20"/>
                <w:szCs w:val="20"/>
                <w:lang w:val="hy-AM"/>
              </w:rPr>
              <w:t>14.1-14.2</w:t>
            </w:r>
          </w:p>
        </w:tc>
        <w:tc>
          <w:tcPr>
            <w:tcW w:w="11156" w:type="dxa"/>
            <w:shd w:val="clear" w:color="auto" w:fill="auto"/>
          </w:tcPr>
          <w:p w:rsidR="00BB45FD" w:rsidRPr="0053423A" w:rsidRDefault="00BB45FD" w:rsidP="00A67858">
            <w:pPr>
              <w:spacing w:after="0" w:line="276" w:lineRule="auto"/>
              <w:ind w:firstLine="720"/>
              <w:jc w:val="center"/>
              <w:rPr>
                <w:b/>
                <w:sz w:val="20"/>
                <w:szCs w:val="20"/>
                <w:lang w:val="ro-RO"/>
              </w:rPr>
            </w:pPr>
            <w:r w:rsidRPr="0053423A">
              <w:rPr>
                <w:b/>
                <w:sz w:val="20"/>
                <w:szCs w:val="20"/>
                <w:u w:val="single"/>
                <w:lang w:val="hy-AM"/>
              </w:rPr>
              <w:t>Անձնակազմի</w:t>
            </w:r>
            <w:r w:rsidRPr="0053423A">
              <w:rPr>
                <w:b/>
                <w:sz w:val="20"/>
                <w:szCs w:val="20"/>
                <w:u w:val="single"/>
                <w:lang w:val="ro-RO"/>
              </w:rPr>
              <w:t xml:space="preserve"> </w:t>
            </w:r>
            <w:r w:rsidRPr="0053423A">
              <w:rPr>
                <w:b/>
                <w:sz w:val="20"/>
                <w:szCs w:val="20"/>
                <w:u w:val="single"/>
                <w:lang w:val="hy-AM"/>
              </w:rPr>
              <w:t>կառավարման</w:t>
            </w:r>
            <w:r w:rsidRPr="0053423A">
              <w:rPr>
                <w:b/>
                <w:sz w:val="20"/>
                <w:szCs w:val="20"/>
                <w:u w:val="single"/>
                <w:lang w:val="ro-RO"/>
              </w:rPr>
              <w:t xml:space="preserve">, </w:t>
            </w:r>
            <w:r w:rsidRPr="0053423A">
              <w:rPr>
                <w:b/>
                <w:sz w:val="20"/>
                <w:szCs w:val="20"/>
                <w:u w:val="single"/>
                <w:lang w:val="hy-AM"/>
              </w:rPr>
              <w:t>կրթության</w:t>
            </w:r>
            <w:r w:rsidRPr="0053423A">
              <w:rPr>
                <w:b/>
                <w:sz w:val="20"/>
                <w:szCs w:val="20"/>
                <w:u w:val="single"/>
                <w:lang w:val="ro-RO"/>
              </w:rPr>
              <w:t xml:space="preserve"> </w:t>
            </w:r>
            <w:r w:rsidRPr="0053423A">
              <w:rPr>
                <w:b/>
                <w:sz w:val="20"/>
                <w:szCs w:val="20"/>
                <w:u w:val="single"/>
                <w:lang w:val="hy-AM"/>
              </w:rPr>
              <w:t>և</w:t>
            </w:r>
            <w:r w:rsidRPr="0053423A">
              <w:rPr>
                <w:b/>
                <w:sz w:val="20"/>
                <w:szCs w:val="20"/>
                <w:u w:val="single"/>
                <w:lang w:val="ro-RO"/>
              </w:rPr>
              <w:t xml:space="preserve"> </w:t>
            </w:r>
            <w:r w:rsidRPr="0053423A">
              <w:rPr>
                <w:b/>
                <w:sz w:val="20"/>
                <w:szCs w:val="20"/>
                <w:u w:val="single"/>
                <w:lang w:val="hy-AM"/>
              </w:rPr>
              <w:t>պատրաստության</w:t>
            </w:r>
            <w:r w:rsidRPr="0053423A">
              <w:rPr>
                <w:b/>
                <w:sz w:val="20"/>
                <w:szCs w:val="20"/>
                <w:u w:val="single"/>
                <w:lang w:val="ro-RO"/>
              </w:rPr>
              <w:t xml:space="preserve"> </w:t>
            </w:r>
            <w:r w:rsidRPr="0053423A">
              <w:rPr>
                <w:b/>
                <w:sz w:val="20"/>
                <w:szCs w:val="20"/>
                <w:u w:val="single"/>
                <w:lang w:val="hy-AM"/>
              </w:rPr>
              <w:t>ոլորտների</w:t>
            </w:r>
            <w:r w:rsidRPr="0053423A">
              <w:rPr>
                <w:b/>
                <w:sz w:val="20"/>
                <w:szCs w:val="20"/>
                <w:u w:val="single"/>
                <w:lang w:val="ro-RO"/>
              </w:rPr>
              <w:t xml:space="preserve"> </w:t>
            </w:r>
            <w:r w:rsidRPr="0053423A">
              <w:rPr>
                <w:b/>
                <w:sz w:val="20"/>
                <w:szCs w:val="20"/>
                <w:u w:val="single"/>
                <w:lang w:val="hy-AM"/>
              </w:rPr>
              <w:t>բարեփոխումների</w:t>
            </w:r>
            <w:r w:rsidRPr="0053423A">
              <w:rPr>
                <w:b/>
                <w:sz w:val="20"/>
                <w:szCs w:val="20"/>
                <w:u w:val="single"/>
                <w:lang w:val="ro-RO"/>
              </w:rPr>
              <w:t xml:space="preserve"> </w:t>
            </w:r>
            <w:r w:rsidRPr="0053423A">
              <w:rPr>
                <w:b/>
                <w:sz w:val="20"/>
                <w:szCs w:val="20"/>
                <w:u w:val="single"/>
                <w:lang w:val="hy-AM"/>
              </w:rPr>
              <w:t>իրականացման</w:t>
            </w:r>
            <w:r w:rsidRPr="0053423A">
              <w:rPr>
                <w:b/>
                <w:sz w:val="20"/>
                <w:szCs w:val="20"/>
                <w:u w:val="single"/>
                <w:lang w:val="ro-RO"/>
              </w:rPr>
              <w:t xml:space="preserve"> </w:t>
            </w:r>
            <w:r w:rsidRPr="0053423A">
              <w:rPr>
                <w:b/>
                <w:sz w:val="20"/>
                <w:szCs w:val="20"/>
                <w:u w:val="single"/>
                <w:lang w:val="hy-AM"/>
              </w:rPr>
              <w:t>վերաբերյալ</w:t>
            </w:r>
          </w:p>
          <w:p w:rsidR="00BB45FD" w:rsidRPr="0053423A" w:rsidRDefault="00BB45FD" w:rsidP="00A67858">
            <w:pPr>
              <w:spacing w:after="0" w:line="276" w:lineRule="auto"/>
              <w:ind w:firstLine="720"/>
              <w:jc w:val="center"/>
              <w:rPr>
                <w:b/>
                <w:sz w:val="20"/>
                <w:szCs w:val="20"/>
                <w:lang w:val="ro-RO"/>
              </w:rPr>
            </w:pPr>
          </w:p>
          <w:p w:rsidR="00BB45FD" w:rsidRPr="0053423A" w:rsidRDefault="00BB45FD" w:rsidP="00A67858">
            <w:pPr>
              <w:spacing w:after="0" w:line="276" w:lineRule="auto"/>
              <w:ind w:left="131" w:firstLine="720"/>
              <w:rPr>
                <w:b/>
                <w:sz w:val="20"/>
                <w:szCs w:val="20"/>
                <w:lang w:val="ro-RO"/>
              </w:rPr>
            </w:pPr>
            <w:r w:rsidRPr="0053423A">
              <w:rPr>
                <w:b/>
                <w:sz w:val="20"/>
                <w:szCs w:val="20"/>
                <w:lang w:val="ro-RO"/>
              </w:rPr>
              <w:t xml:space="preserve">1. </w:t>
            </w:r>
            <w:r w:rsidRPr="0053423A">
              <w:rPr>
                <w:b/>
                <w:sz w:val="20"/>
                <w:szCs w:val="20"/>
              </w:rPr>
              <w:t>Միջոցառումների</w:t>
            </w:r>
            <w:r w:rsidRPr="0053423A">
              <w:rPr>
                <w:b/>
                <w:sz w:val="20"/>
                <w:szCs w:val="20"/>
                <w:lang w:val="ro-RO"/>
              </w:rPr>
              <w:t xml:space="preserve"> </w:t>
            </w:r>
            <w:r w:rsidRPr="0053423A">
              <w:rPr>
                <w:b/>
                <w:sz w:val="20"/>
                <w:szCs w:val="20"/>
              </w:rPr>
              <w:t>իրականացման</w:t>
            </w:r>
            <w:r w:rsidRPr="0053423A">
              <w:rPr>
                <w:b/>
                <w:sz w:val="20"/>
                <w:szCs w:val="20"/>
                <w:lang w:val="ro-RO"/>
              </w:rPr>
              <w:t xml:space="preserve"> </w:t>
            </w:r>
            <w:r w:rsidRPr="0053423A">
              <w:rPr>
                <w:b/>
                <w:sz w:val="20"/>
                <w:szCs w:val="20"/>
              </w:rPr>
              <w:t>անհրաժեշտությունը</w:t>
            </w:r>
            <w:r w:rsidRPr="0053423A">
              <w:rPr>
                <w:b/>
                <w:sz w:val="20"/>
                <w:szCs w:val="20"/>
                <w:lang w:val="ro-RO"/>
              </w:rPr>
              <w:t xml:space="preserve"> </w:t>
            </w:r>
            <w:r w:rsidRPr="0053423A">
              <w:rPr>
                <w:b/>
                <w:sz w:val="20"/>
                <w:szCs w:val="20"/>
              </w:rPr>
              <w:t>և</w:t>
            </w:r>
            <w:r w:rsidRPr="0053423A">
              <w:rPr>
                <w:b/>
                <w:sz w:val="20"/>
                <w:szCs w:val="20"/>
                <w:lang w:val="ro-RO"/>
              </w:rPr>
              <w:t xml:space="preserve"> </w:t>
            </w:r>
            <w:r w:rsidRPr="0053423A">
              <w:rPr>
                <w:b/>
                <w:sz w:val="20"/>
                <w:szCs w:val="20"/>
              </w:rPr>
              <w:t>նպատակը</w:t>
            </w:r>
          </w:p>
          <w:p w:rsidR="00BB45FD" w:rsidRPr="0053423A" w:rsidRDefault="00BB45FD" w:rsidP="00A67858">
            <w:pPr>
              <w:tabs>
                <w:tab w:val="left" w:pos="0"/>
                <w:tab w:val="left" w:pos="450"/>
              </w:tabs>
              <w:spacing w:after="0" w:line="276" w:lineRule="auto"/>
              <w:ind w:firstLine="851"/>
              <w:rPr>
                <w:rFonts w:cs="Sylfaen"/>
                <w:sz w:val="20"/>
                <w:szCs w:val="20"/>
                <w:lang w:val="ro-RO"/>
              </w:rPr>
            </w:pPr>
            <w:r w:rsidRPr="0053423A">
              <w:rPr>
                <w:rFonts w:cs="Sylfaen"/>
                <w:sz w:val="20"/>
                <w:szCs w:val="20"/>
              </w:rPr>
              <w:t>Միջոցառումների</w:t>
            </w:r>
            <w:r w:rsidRPr="0053423A">
              <w:rPr>
                <w:rFonts w:cs="Sylfaen"/>
                <w:sz w:val="20"/>
                <w:szCs w:val="20"/>
                <w:lang w:val="ro-RO"/>
              </w:rPr>
              <w:t xml:space="preserve"> </w:t>
            </w:r>
            <w:r w:rsidRPr="0053423A">
              <w:rPr>
                <w:rFonts w:cs="Sylfaen"/>
                <w:sz w:val="20"/>
                <w:szCs w:val="20"/>
              </w:rPr>
              <w:t>իրականացումը</w:t>
            </w:r>
            <w:r w:rsidRPr="0053423A">
              <w:rPr>
                <w:rFonts w:cs="Sylfaen"/>
                <w:sz w:val="20"/>
                <w:szCs w:val="20"/>
                <w:lang w:val="ro-RO"/>
              </w:rPr>
              <w:t xml:space="preserve"> </w:t>
            </w:r>
            <w:r w:rsidRPr="0053423A">
              <w:rPr>
                <w:rFonts w:cs="Sylfaen"/>
                <w:sz w:val="20"/>
                <w:szCs w:val="20"/>
              </w:rPr>
              <w:t>պայմանավորված</w:t>
            </w:r>
            <w:r w:rsidRPr="0053423A">
              <w:rPr>
                <w:rFonts w:cs="Sylfaen"/>
                <w:sz w:val="20"/>
                <w:szCs w:val="20"/>
                <w:lang w:val="ro-RO"/>
              </w:rPr>
              <w:t xml:space="preserve"> </w:t>
            </w:r>
            <w:r w:rsidRPr="0053423A">
              <w:rPr>
                <w:rFonts w:cs="Sylfaen"/>
                <w:sz w:val="20"/>
                <w:szCs w:val="20"/>
              </w:rPr>
              <w:t>է</w:t>
            </w:r>
            <w:r w:rsidRPr="0053423A">
              <w:rPr>
                <w:rFonts w:cs="Sylfaen"/>
                <w:sz w:val="20"/>
                <w:szCs w:val="20"/>
                <w:lang w:val="ro-RO"/>
              </w:rPr>
              <w:t xml:space="preserve"> </w:t>
            </w:r>
            <w:r w:rsidRPr="0053423A">
              <w:rPr>
                <w:rFonts w:cs="Sylfaen"/>
                <w:sz w:val="20"/>
                <w:szCs w:val="20"/>
              </w:rPr>
              <w:t>ծառայողական</w:t>
            </w:r>
            <w:r w:rsidRPr="0053423A">
              <w:rPr>
                <w:rFonts w:cs="Sylfaen"/>
                <w:sz w:val="20"/>
                <w:szCs w:val="20"/>
                <w:lang w:val="ro-RO"/>
              </w:rPr>
              <w:t xml:space="preserve"> </w:t>
            </w:r>
            <w:r w:rsidRPr="0053423A">
              <w:rPr>
                <w:rFonts w:cs="Sylfaen"/>
                <w:sz w:val="20"/>
                <w:szCs w:val="20"/>
              </w:rPr>
              <w:t>առաջխաղացման</w:t>
            </w:r>
            <w:r w:rsidRPr="0053423A">
              <w:rPr>
                <w:rFonts w:cs="Sylfaen"/>
                <w:sz w:val="20"/>
                <w:szCs w:val="20"/>
                <w:lang w:val="ro-RO"/>
              </w:rPr>
              <w:t xml:space="preserve"> </w:t>
            </w:r>
            <w:r w:rsidRPr="0053423A">
              <w:rPr>
                <w:rFonts w:cs="Sylfaen"/>
                <w:sz w:val="20"/>
                <w:szCs w:val="20"/>
              </w:rPr>
              <w:t>քաղաքականության</w:t>
            </w:r>
            <w:r w:rsidRPr="0053423A">
              <w:rPr>
                <w:rFonts w:cs="Sylfaen"/>
                <w:sz w:val="20"/>
                <w:szCs w:val="20"/>
                <w:lang w:val="ro-RO"/>
              </w:rPr>
              <w:t xml:space="preserve"> </w:t>
            </w:r>
            <w:r w:rsidRPr="0053423A">
              <w:rPr>
                <w:rFonts w:cs="Sylfaen"/>
                <w:sz w:val="20"/>
                <w:szCs w:val="20"/>
              </w:rPr>
              <w:t>և</w:t>
            </w:r>
            <w:r w:rsidRPr="0053423A">
              <w:rPr>
                <w:rFonts w:cs="Sylfaen"/>
                <w:sz w:val="20"/>
                <w:szCs w:val="20"/>
                <w:lang w:val="ro-RO"/>
              </w:rPr>
              <w:t xml:space="preserve"> </w:t>
            </w:r>
            <w:r w:rsidRPr="0053423A">
              <w:rPr>
                <w:rFonts w:cs="Sylfaen"/>
                <w:sz w:val="20"/>
                <w:szCs w:val="20"/>
              </w:rPr>
              <w:t>ճանապարհային</w:t>
            </w:r>
            <w:r w:rsidRPr="0053423A">
              <w:rPr>
                <w:rFonts w:cs="Sylfaen"/>
                <w:sz w:val="20"/>
                <w:szCs w:val="20"/>
                <w:lang w:val="ro-RO"/>
              </w:rPr>
              <w:t xml:space="preserve"> </w:t>
            </w:r>
            <w:r w:rsidRPr="0053423A">
              <w:rPr>
                <w:rFonts w:cs="Sylfaen"/>
                <w:sz w:val="20"/>
                <w:szCs w:val="20"/>
              </w:rPr>
              <w:t>քարտեզի</w:t>
            </w:r>
            <w:r w:rsidRPr="0053423A">
              <w:rPr>
                <w:rFonts w:cs="Sylfaen"/>
                <w:sz w:val="20"/>
                <w:szCs w:val="20"/>
                <w:lang w:val="ro-RO"/>
              </w:rPr>
              <w:t xml:space="preserve"> </w:t>
            </w:r>
            <w:r w:rsidRPr="0053423A">
              <w:rPr>
                <w:rFonts w:cs="Sylfaen"/>
                <w:sz w:val="20"/>
                <w:szCs w:val="20"/>
              </w:rPr>
              <w:t>ներդրման</w:t>
            </w:r>
            <w:r w:rsidRPr="0053423A">
              <w:rPr>
                <w:rFonts w:cs="Sylfaen"/>
                <w:sz w:val="20"/>
                <w:szCs w:val="20"/>
                <w:lang w:val="ro-RO"/>
              </w:rPr>
              <w:t xml:space="preserve"> </w:t>
            </w:r>
            <w:r w:rsidRPr="0053423A">
              <w:rPr>
                <w:rFonts w:cs="Sylfaen"/>
                <w:sz w:val="20"/>
                <w:szCs w:val="20"/>
              </w:rPr>
              <w:t>ու</w:t>
            </w:r>
            <w:r w:rsidRPr="0053423A">
              <w:rPr>
                <w:rFonts w:cs="Sylfaen"/>
                <w:sz w:val="20"/>
                <w:szCs w:val="20"/>
                <w:lang w:val="ro-RO"/>
              </w:rPr>
              <w:t xml:space="preserve"> </w:t>
            </w:r>
            <w:r w:rsidRPr="0053423A">
              <w:rPr>
                <w:rFonts w:cs="Sylfaen"/>
                <w:sz w:val="20"/>
                <w:szCs w:val="20"/>
              </w:rPr>
              <w:t>մշակման</w:t>
            </w:r>
            <w:r w:rsidRPr="0053423A">
              <w:rPr>
                <w:rFonts w:cs="Sylfaen"/>
                <w:sz w:val="20"/>
                <w:szCs w:val="20"/>
                <w:lang w:val="ro-RO"/>
              </w:rPr>
              <w:t xml:space="preserve"> </w:t>
            </w:r>
            <w:r w:rsidRPr="0053423A">
              <w:rPr>
                <w:rFonts w:cs="Sylfaen"/>
                <w:sz w:val="20"/>
                <w:szCs w:val="20"/>
              </w:rPr>
              <w:t>և</w:t>
            </w:r>
            <w:r w:rsidRPr="0053423A">
              <w:rPr>
                <w:rFonts w:cs="Sylfaen"/>
                <w:sz w:val="20"/>
                <w:szCs w:val="20"/>
                <w:lang w:val="ro-RO"/>
              </w:rPr>
              <w:t xml:space="preserve"> </w:t>
            </w:r>
            <w:r w:rsidRPr="0053423A">
              <w:rPr>
                <w:rFonts w:cs="Sylfaen"/>
                <w:sz w:val="20"/>
                <w:szCs w:val="20"/>
              </w:rPr>
              <w:t>ՌՈՒՀ</w:t>
            </w:r>
            <w:r w:rsidRPr="0053423A">
              <w:rPr>
                <w:rFonts w:cs="Sylfaen"/>
                <w:sz w:val="20"/>
                <w:szCs w:val="20"/>
                <w:lang w:val="ro-RO"/>
              </w:rPr>
              <w:t>-</w:t>
            </w:r>
            <w:r w:rsidRPr="0053423A">
              <w:rPr>
                <w:rFonts w:cs="Sylfaen"/>
                <w:sz w:val="20"/>
                <w:szCs w:val="20"/>
              </w:rPr>
              <w:t>երում</w:t>
            </w:r>
            <w:r w:rsidRPr="0053423A">
              <w:rPr>
                <w:rFonts w:cs="Sylfaen"/>
                <w:sz w:val="20"/>
                <w:szCs w:val="20"/>
                <w:lang w:val="ro-RO"/>
              </w:rPr>
              <w:t xml:space="preserve"> </w:t>
            </w:r>
            <w:r w:rsidRPr="0053423A">
              <w:rPr>
                <w:rFonts w:cs="Sylfaen"/>
                <w:sz w:val="20"/>
                <w:szCs w:val="20"/>
              </w:rPr>
              <w:t>դասընթացների</w:t>
            </w:r>
            <w:r w:rsidRPr="0053423A">
              <w:rPr>
                <w:rFonts w:cs="Sylfaen"/>
                <w:sz w:val="20"/>
                <w:szCs w:val="20"/>
                <w:lang w:val="ro-RO"/>
              </w:rPr>
              <w:t xml:space="preserve"> </w:t>
            </w:r>
            <w:r w:rsidRPr="0053423A">
              <w:rPr>
                <w:rFonts w:cs="Sylfaen"/>
                <w:sz w:val="20"/>
                <w:szCs w:val="20"/>
              </w:rPr>
              <w:t>ծավալների</w:t>
            </w:r>
            <w:r w:rsidRPr="0053423A">
              <w:rPr>
                <w:rFonts w:cs="Sylfaen"/>
                <w:sz w:val="20"/>
                <w:szCs w:val="20"/>
                <w:lang w:val="ro-RO"/>
              </w:rPr>
              <w:t xml:space="preserve"> </w:t>
            </w:r>
            <w:r w:rsidRPr="0053423A">
              <w:rPr>
                <w:rFonts w:cs="Sylfaen"/>
                <w:sz w:val="20"/>
                <w:szCs w:val="20"/>
              </w:rPr>
              <w:t>ընդլայնման</w:t>
            </w:r>
            <w:r w:rsidRPr="0053423A">
              <w:rPr>
                <w:rFonts w:cs="Sylfaen"/>
                <w:sz w:val="20"/>
                <w:szCs w:val="20"/>
                <w:lang w:val="ro-RO"/>
              </w:rPr>
              <w:t xml:space="preserve"> </w:t>
            </w:r>
            <w:r w:rsidRPr="0053423A">
              <w:rPr>
                <w:rFonts w:cs="Sylfaen"/>
                <w:sz w:val="20"/>
                <w:szCs w:val="20"/>
              </w:rPr>
              <w:t>անհրաժեշտությամբ</w:t>
            </w:r>
            <w:r w:rsidRPr="0053423A">
              <w:rPr>
                <w:rFonts w:cs="Sylfaen"/>
                <w:sz w:val="20"/>
                <w:szCs w:val="20"/>
                <w:lang w:val="ro-RO"/>
              </w:rPr>
              <w:t xml:space="preserve">: </w:t>
            </w:r>
          </w:p>
          <w:p w:rsidR="00BB45FD" w:rsidRPr="0053423A" w:rsidRDefault="00BB45FD" w:rsidP="00A67858">
            <w:pPr>
              <w:tabs>
                <w:tab w:val="left" w:pos="0"/>
                <w:tab w:val="left" w:pos="450"/>
              </w:tabs>
              <w:spacing w:after="0" w:line="276" w:lineRule="auto"/>
              <w:ind w:firstLine="851"/>
              <w:rPr>
                <w:b/>
                <w:sz w:val="20"/>
                <w:szCs w:val="20"/>
                <w:lang w:val="ro-RO"/>
              </w:rPr>
            </w:pPr>
            <w:r w:rsidRPr="0053423A">
              <w:rPr>
                <w:b/>
                <w:sz w:val="20"/>
                <w:szCs w:val="20"/>
                <w:lang w:val="ro-RO"/>
              </w:rPr>
              <w:t>1.1.</w:t>
            </w:r>
            <w:r w:rsidRPr="0053423A">
              <w:rPr>
                <w:b/>
                <w:sz w:val="20"/>
                <w:szCs w:val="20"/>
              </w:rPr>
              <w:t>Կարգավորման</w:t>
            </w:r>
            <w:r w:rsidRPr="0053423A">
              <w:rPr>
                <w:b/>
                <w:sz w:val="20"/>
                <w:szCs w:val="20"/>
                <w:lang w:val="ro-RO"/>
              </w:rPr>
              <w:t xml:space="preserve"> </w:t>
            </w:r>
            <w:r w:rsidRPr="0053423A">
              <w:rPr>
                <w:b/>
                <w:sz w:val="20"/>
                <w:szCs w:val="20"/>
              </w:rPr>
              <w:t>հարաբերությունների</w:t>
            </w:r>
            <w:r w:rsidRPr="0053423A">
              <w:rPr>
                <w:b/>
                <w:sz w:val="20"/>
                <w:szCs w:val="20"/>
                <w:lang w:val="ro-RO"/>
              </w:rPr>
              <w:t xml:space="preserve"> </w:t>
            </w:r>
            <w:r w:rsidRPr="0053423A">
              <w:rPr>
                <w:b/>
                <w:sz w:val="20"/>
                <w:szCs w:val="20"/>
              </w:rPr>
              <w:t>ներկա</w:t>
            </w:r>
            <w:r w:rsidRPr="0053423A">
              <w:rPr>
                <w:b/>
                <w:sz w:val="20"/>
                <w:szCs w:val="20"/>
                <w:lang w:val="ro-RO"/>
              </w:rPr>
              <w:t xml:space="preserve"> </w:t>
            </w:r>
            <w:r w:rsidRPr="0053423A">
              <w:rPr>
                <w:b/>
                <w:sz w:val="20"/>
                <w:szCs w:val="20"/>
              </w:rPr>
              <w:t>վիճակը</w:t>
            </w:r>
            <w:r w:rsidRPr="0053423A">
              <w:rPr>
                <w:b/>
                <w:sz w:val="20"/>
                <w:szCs w:val="20"/>
                <w:lang w:val="ro-RO"/>
              </w:rPr>
              <w:t xml:space="preserve"> </w:t>
            </w:r>
            <w:r w:rsidRPr="0053423A">
              <w:rPr>
                <w:b/>
                <w:sz w:val="20"/>
                <w:szCs w:val="20"/>
              </w:rPr>
              <w:t>և</w:t>
            </w:r>
            <w:r w:rsidRPr="0053423A">
              <w:rPr>
                <w:b/>
                <w:sz w:val="20"/>
                <w:szCs w:val="20"/>
                <w:lang w:val="ro-RO"/>
              </w:rPr>
              <w:t xml:space="preserve"> </w:t>
            </w:r>
            <w:r w:rsidRPr="0053423A">
              <w:rPr>
                <w:b/>
                <w:sz w:val="20"/>
                <w:szCs w:val="20"/>
              </w:rPr>
              <w:t>առկա</w:t>
            </w:r>
            <w:r w:rsidRPr="0053423A">
              <w:rPr>
                <w:b/>
                <w:sz w:val="20"/>
                <w:szCs w:val="20"/>
                <w:lang w:val="ro-RO"/>
              </w:rPr>
              <w:t xml:space="preserve"> </w:t>
            </w:r>
            <w:r w:rsidRPr="0053423A">
              <w:rPr>
                <w:b/>
                <w:sz w:val="20"/>
                <w:szCs w:val="20"/>
              </w:rPr>
              <w:t>խնդիրները</w:t>
            </w:r>
          </w:p>
          <w:p w:rsidR="00BB45FD" w:rsidRPr="0053423A" w:rsidRDefault="00BB45FD" w:rsidP="00A67858">
            <w:pPr>
              <w:tabs>
                <w:tab w:val="left" w:pos="0"/>
                <w:tab w:val="left" w:pos="450"/>
              </w:tabs>
              <w:spacing w:after="0" w:line="276" w:lineRule="auto"/>
              <w:ind w:firstLine="851"/>
              <w:rPr>
                <w:rFonts w:cs="GHEA Grapalat"/>
                <w:sz w:val="20"/>
                <w:szCs w:val="20"/>
                <w:lang w:val="af-ZA"/>
              </w:rPr>
            </w:pPr>
            <w:r w:rsidRPr="0053423A">
              <w:rPr>
                <w:rFonts w:cs="GHEA Grapalat"/>
                <w:sz w:val="20"/>
                <w:szCs w:val="20"/>
                <w:lang w:val="af-ZA"/>
              </w:rPr>
              <w:t xml:space="preserve">Միջոցառումները նախատեսվել են հիմք ընդունելով «Զինվորական ծառայության և զինծառայողի կարգավիճակի» մասին ՀՀ օրենքի 46-րդ հոդվածի  3-րդ ենթակետը և 35-րդ հոդվածի 1-ին մասը, որտեղ նշվում է, որ </w:t>
            </w:r>
            <w:r w:rsidRPr="0053423A">
              <w:rPr>
                <w:rFonts w:cs="GHEA Grapalat"/>
                <w:sz w:val="20"/>
                <w:szCs w:val="20"/>
              </w:rPr>
              <w:t>զինվորական</w:t>
            </w:r>
            <w:r w:rsidRPr="0053423A">
              <w:rPr>
                <w:rFonts w:cs="GHEA Grapalat"/>
                <w:sz w:val="20"/>
                <w:szCs w:val="20"/>
                <w:lang w:val="af-ZA"/>
              </w:rPr>
              <w:t xml:space="preserve"> </w:t>
            </w:r>
            <w:r w:rsidRPr="0053423A">
              <w:rPr>
                <w:rFonts w:cs="GHEA Grapalat"/>
                <w:sz w:val="20"/>
                <w:szCs w:val="20"/>
              </w:rPr>
              <w:t>պաշտոնի</w:t>
            </w:r>
            <w:r w:rsidRPr="0053423A">
              <w:rPr>
                <w:rFonts w:cs="GHEA Grapalat"/>
                <w:sz w:val="20"/>
                <w:szCs w:val="20"/>
                <w:lang w:val="af-ZA"/>
              </w:rPr>
              <w:t xml:space="preserve"> </w:t>
            </w:r>
            <w:r w:rsidRPr="0053423A">
              <w:rPr>
                <w:rFonts w:cs="GHEA Grapalat"/>
                <w:sz w:val="20"/>
                <w:szCs w:val="20"/>
              </w:rPr>
              <w:t>համար</w:t>
            </w:r>
            <w:r w:rsidRPr="0053423A">
              <w:rPr>
                <w:rFonts w:cs="GHEA Grapalat"/>
                <w:sz w:val="20"/>
                <w:szCs w:val="20"/>
                <w:lang w:val="af-ZA"/>
              </w:rPr>
              <w:t xml:space="preserve"> </w:t>
            </w:r>
            <w:r w:rsidRPr="0053423A">
              <w:rPr>
                <w:rFonts w:cs="GHEA Grapalat"/>
                <w:sz w:val="20"/>
                <w:szCs w:val="20"/>
              </w:rPr>
              <w:t>սահմանվում</w:t>
            </w:r>
            <w:r w:rsidRPr="0053423A">
              <w:rPr>
                <w:rFonts w:cs="GHEA Grapalat"/>
                <w:sz w:val="20"/>
                <w:szCs w:val="20"/>
                <w:lang w:val="af-ZA"/>
              </w:rPr>
              <w:t xml:space="preserve"> </w:t>
            </w:r>
            <w:r w:rsidRPr="0053423A">
              <w:rPr>
                <w:rFonts w:cs="GHEA Grapalat"/>
                <w:sz w:val="20"/>
                <w:szCs w:val="20"/>
              </w:rPr>
              <w:t>է</w:t>
            </w:r>
            <w:r w:rsidRPr="0053423A">
              <w:rPr>
                <w:rFonts w:cs="GHEA Grapalat"/>
                <w:sz w:val="20"/>
                <w:szCs w:val="20"/>
                <w:lang w:val="af-ZA"/>
              </w:rPr>
              <w:t xml:space="preserve"> </w:t>
            </w:r>
            <w:r w:rsidRPr="0053423A">
              <w:rPr>
                <w:rFonts w:cs="GHEA Grapalat"/>
                <w:sz w:val="20"/>
                <w:szCs w:val="20"/>
              </w:rPr>
              <w:t>պաշտոնի</w:t>
            </w:r>
            <w:r w:rsidRPr="0053423A">
              <w:rPr>
                <w:rFonts w:cs="GHEA Grapalat"/>
                <w:sz w:val="20"/>
                <w:szCs w:val="20"/>
                <w:lang w:val="af-ZA"/>
              </w:rPr>
              <w:t xml:space="preserve"> </w:t>
            </w:r>
            <w:r w:rsidRPr="0053423A">
              <w:rPr>
                <w:rFonts w:cs="GHEA Grapalat"/>
                <w:sz w:val="20"/>
                <w:szCs w:val="20"/>
              </w:rPr>
              <w:t>անձնագիր</w:t>
            </w:r>
            <w:r w:rsidRPr="0053423A">
              <w:rPr>
                <w:rFonts w:cs="GHEA Grapalat"/>
                <w:sz w:val="20"/>
                <w:szCs w:val="20"/>
                <w:lang w:val="af-ZA"/>
              </w:rPr>
              <w:t xml:space="preserve">, </w:t>
            </w:r>
            <w:r w:rsidRPr="0053423A">
              <w:rPr>
                <w:rFonts w:cs="GHEA Grapalat"/>
                <w:sz w:val="20"/>
                <w:szCs w:val="20"/>
              </w:rPr>
              <w:t>որը</w:t>
            </w:r>
            <w:r w:rsidRPr="0053423A">
              <w:rPr>
                <w:rFonts w:cs="GHEA Grapalat"/>
                <w:sz w:val="20"/>
                <w:szCs w:val="20"/>
                <w:lang w:val="af-ZA"/>
              </w:rPr>
              <w:t xml:space="preserve"> </w:t>
            </w:r>
            <w:r w:rsidRPr="0053423A">
              <w:rPr>
                <w:rFonts w:cs="GHEA Grapalat"/>
                <w:sz w:val="20"/>
                <w:szCs w:val="20"/>
              </w:rPr>
              <w:t>հանդիսանում</w:t>
            </w:r>
            <w:r w:rsidRPr="0053423A">
              <w:rPr>
                <w:rFonts w:cs="GHEA Grapalat"/>
                <w:sz w:val="20"/>
                <w:szCs w:val="20"/>
                <w:lang w:val="af-ZA"/>
              </w:rPr>
              <w:t xml:space="preserve"> </w:t>
            </w:r>
            <w:r w:rsidRPr="0053423A">
              <w:rPr>
                <w:rFonts w:cs="GHEA Grapalat"/>
                <w:sz w:val="20"/>
                <w:szCs w:val="20"/>
              </w:rPr>
              <w:t>է</w:t>
            </w:r>
            <w:r w:rsidRPr="0053423A">
              <w:rPr>
                <w:rFonts w:cs="GHEA Grapalat"/>
                <w:sz w:val="20"/>
                <w:szCs w:val="20"/>
                <w:lang w:val="af-ZA"/>
              </w:rPr>
              <w:t xml:space="preserve"> </w:t>
            </w:r>
            <w:r w:rsidRPr="0053423A">
              <w:rPr>
                <w:rFonts w:cs="GHEA Grapalat"/>
                <w:sz w:val="20"/>
                <w:szCs w:val="20"/>
              </w:rPr>
              <w:t>տվյալ</w:t>
            </w:r>
            <w:r w:rsidRPr="0053423A">
              <w:rPr>
                <w:rFonts w:cs="GHEA Grapalat"/>
                <w:sz w:val="20"/>
                <w:szCs w:val="20"/>
                <w:lang w:val="af-ZA"/>
              </w:rPr>
              <w:t xml:space="preserve"> </w:t>
            </w:r>
            <w:r w:rsidRPr="0053423A">
              <w:rPr>
                <w:rFonts w:cs="GHEA Grapalat"/>
                <w:sz w:val="20"/>
                <w:szCs w:val="20"/>
              </w:rPr>
              <w:t>պաշտոնն</w:t>
            </w:r>
            <w:r w:rsidRPr="0053423A">
              <w:rPr>
                <w:rFonts w:cs="GHEA Grapalat"/>
                <w:sz w:val="20"/>
                <w:szCs w:val="20"/>
                <w:lang w:val="af-ZA"/>
              </w:rPr>
              <w:t xml:space="preserve"> </w:t>
            </w:r>
            <w:r w:rsidRPr="0053423A">
              <w:rPr>
                <w:rFonts w:cs="GHEA Grapalat"/>
                <w:sz w:val="20"/>
                <w:szCs w:val="20"/>
              </w:rPr>
              <w:t>զբաղեցնող</w:t>
            </w:r>
            <w:r w:rsidRPr="0053423A">
              <w:rPr>
                <w:rFonts w:cs="GHEA Grapalat"/>
                <w:sz w:val="20"/>
                <w:szCs w:val="20"/>
                <w:lang w:val="af-ZA"/>
              </w:rPr>
              <w:t xml:space="preserve"> </w:t>
            </w:r>
            <w:r w:rsidRPr="0053423A">
              <w:rPr>
                <w:rFonts w:cs="GHEA Grapalat"/>
                <w:sz w:val="20"/>
                <w:szCs w:val="20"/>
              </w:rPr>
              <w:t>զինծառայողի</w:t>
            </w:r>
            <w:r w:rsidRPr="0053423A">
              <w:rPr>
                <w:rFonts w:cs="GHEA Grapalat"/>
                <w:sz w:val="20"/>
                <w:szCs w:val="20"/>
                <w:lang w:val="af-ZA"/>
              </w:rPr>
              <w:t xml:space="preserve"> </w:t>
            </w:r>
            <w:r w:rsidRPr="0053423A">
              <w:rPr>
                <w:rFonts w:cs="GHEA Grapalat"/>
                <w:sz w:val="20"/>
                <w:szCs w:val="20"/>
              </w:rPr>
              <w:t>համար</w:t>
            </w:r>
            <w:r w:rsidRPr="0053423A">
              <w:rPr>
                <w:rFonts w:cs="GHEA Grapalat"/>
                <w:sz w:val="20"/>
                <w:szCs w:val="20"/>
                <w:lang w:val="af-ZA"/>
              </w:rPr>
              <w:t xml:space="preserve"> </w:t>
            </w:r>
            <w:r w:rsidRPr="0053423A">
              <w:rPr>
                <w:rFonts w:cs="GHEA Grapalat"/>
                <w:sz w:val="20"/>
                <w:szCs w:val="20"/>
              </w:rPr>
              <w:t>սույն</w:t>
            </w:r>
            <w:r w:rsidRPr="0053423A">
              <w:rPr>
                <w:rFonts w:cs="GHEA Grapalat"/>
                <w:sz w:val="20"/>
                <w:szCs w:val="20"/>
                <w:lang w:val="af-ZA"/>
              </w:rPr>
              <w:t xml:space="preserve"> </w:t>
            </w:r>
            <w:r w:rsidRPr="0053423A">
              <w:rPr>
                <w:rFonts w:cs="GHEA Grapalat"/>
                <w:sz w:val="20"/>
                <w:szCs w:val="20"/>
              </w:rPr>
              <w:t>օրենքով</w:t>
            </w:r>
            <w:r w:rsidRPr="0053423A">
              <w:rPr>
                <w:rFonts w:cs="GHEA Grapalat"/>
                <w:sz w:val="20"/>
                <w:szCs w:val="20"/>
                <w:lang w:val="af-ZA"/>
              </w:rPr>
              <w:t xml:space="preserve"> </w:t>
            </w:r>
            <w:r w:rsidRPr="0053423A">
              <w:rPr>
                <w:rFonts w:cs="GHEA Grapalat"/>
                <w:sz w:val="20"/>
                <w:szCs w:val="20"/>
              </w:rPr>
              <w:t>և</w:t>
            </w:r>
            <w:r w:rsidRPr="0053423A">
              <w:rPr>
                <w:rFonts w:cs="GHEA Grapalat"/>
                <w:sz w:val="20"/>
                <w:szCs w:val="20"/>
                <w:lang w:val="af-ZA"/>
              </w:rPr>
              <w:t xml:space="preserve"> </w:t>
            </w:r>
            <w:r w:rsidRPr="0053423A">
              <w:rPr>
                <w:rFonts w:cs="GHEA Grapalat"/>
                <w:sz w:val="20"/>
                <w:szCs w:val="20"/>
              </w:rPr>
              <w:t>այլ</w:t>
            </w:r>
            <w:r w:rsidRPr="0053423A">
              <w:rPr>
                <w:rFonts w:cs="GHEA Grapalat"/>
                <w:sz w:val="20"/>
                <w:szCs w:val="20"/>
                <w:lang w:val="af-ZA"/>
              </w:rPr>
              <w:t xml:space="preserve"> </w:t>
            </w:r>
            <w:r w:rsidRPr="0053423A">
              <w:rPr>
                <w:rFonts w:cs="GHEA Grapalat"/>
                <w:sz w:val="20"/>
                <w:szCs w:val="20"/>
              </w:rPr>
              <w:t>իրավական</w:t>
            </w:r>
            <w:r w:rsidRPr="0053423A">
              <w:rPr>
                <w:rFonts w:cs="GHEA Grapalat"/>
                <w:sz w:val="20"/>
                <w:szCs w:val="20"/>
                <w:lang w:val="af-ZA"/>
              </w:rPr>
              <w:t xml:space="preserve"> </w:t>
            </w:r>
            <w:r w:rsidRPr="0053423A">
              <w:rPr>
                <w:rFonts w:cs="GHEA Grapalat"/>
                <w:sz w:val="20"/>
                <w:szCs w:val="20"/>
              </w:rPr>
              <w:t>ակտերով</w:t>
            </w:r>
            <w:r w:rsidRPr="0053423A">
              <w:rPr>
                <w:rFonts w:cs="GHEA Grapalat"/>
                <w:sz w:val="20"/>
                <w:szCs w:val="20"/>
                <w:lang w:val="af-ZA"/>
              </w:rPr>
              <w:t xml:space="preserve"> </w:t>
            </w:r>
            <w:r w:rsidRPr="0053423A">
              <w:rPr>
                <w:rFonts w:cs="GHEA Grapalat"/>
                <w:sz w:val="20"/>
                <w:szCs w:val="20"/>
              </w:rPr>
              <w:t>նախատեսված</w:t>
            </w:r>
            <w:r w:rsidRPr="0053423A">
              <w:rPr>
                <w:rFonts w:cs="GHEA Grapalat"/>
                <w:sz w:val="20"/>
                <w:szCs w:val="20"/>
                <w:lang w:val="af-ZA"/>
              </w:rPr>
              <w:t xml:space="preserve"> </w:t>
            </w:r>
            <w:r w:rsidRPr="0053423A">
              <w:rPr>
                <w:rFonts w:cs="GHEA Grapalat"/>
                <w:sz w:val="20"/>
                <w:szCs w:val="20"/>
              </w:rPr>
              <w:t>իրավունքներն</w:t>
            </w:r>
            <w:r w:rsidRPr="0053423A">
              <w:rPr>
                <w:rFonts w:cs="GHEA Grapalat"/>
                <w:sz w:val="20"/>
                <w:szCs w:val="20"/>
                <w:lang w:val="af-ZA"/>
              </w:rPr>
              <w:t xml:space="preserve"> </w:t>
            </w:r>
            <w:r w:rsidRPr="0053423A">
              <w:rPr>
                <w:rFonts w:cs="GHEA Grapalat"/>
                <w:sz w:val="20"/>
                <w:szCs w:val="20"/>
              </w:rPr>
              <w:t>ու</w:t>
            </w:r>
            <w:r w:rsidRPr="0053423A">
              <w:rPr>
                <w:rFonts w:cs="GHEA Grapalat"/>
                <w:sz w:val="20"/>
                <w:szCs w:val="20"/>
                <w:lang w:val="af-ZA"/>
              </w:rPr>
              <w:t xml:space="preserve"> </w:t>
            </w:r>
            <w:r w:rsidRPr="0053423A">
              <w:rPr>
                <w:rFonts w:cs="GHEA Grapalat"/>
                <w:sz w:val="20"/>
                <w:szCs w:val="20"/>
              </w:rPr>
              <w:t>պարտականությունները</w:t>
            </w:r>
            <w:r w:rsidRPr="0053423A">
              <w:rPr>
                <w:rFonts w:cs="GHEA Grapalat"/>
                <w:sz w:val="20"/>
                <w:szCs w:val="20"/>
                <w:lang w:val="af-ZA"/>
              </w:rPr>
              <w:t xml:space="preserve"> </w:t>
            </w:r>
            <w:r w:rsidRPr="0053423A">
              <w:rPr>
                <w:rFonts w:cs="GHEA Grapalat"/>
                <w:sz w:val="20"/>
                <w:szCs w:val="20"/>
              </w:rPr>
              <w:t>նկարագրող</w:t>
            </w:r>
            <w:r w:rsidRPr="0053423A">
              <w:rPr>
                <w:rFonts w:cs="GHEA Grapalat"/>
                <w:sz w:val="20"/>
                <w:szCs w:val="20"/>
                <w:lang w:val="af-ZA"/>
              </w:rPr>
              <w:t xml:space="preserve"> </w:t>
            </w:r>
            <w:r w:rsidRPr="0053423A">
              <w:rPr>
                <w:rFonts w:cs="GHEA Grapalat"/>
                <w:sz w:val="20"/>
                <w:szCs w:val="20"/>
              </w:rPr>
              <w:t>և</w:t>
            </w:r>
            <w:r w:rsidRPr="0053423A">
              <w:rPr>
                <w:rFonts w:cs="GHEA Grapalat"/>
                <w:sz w:val="20"/>
                <w:szCs w:val="20"/>
                <w:lang w:val="af-ZA"/>
              </w:rPr>
              <w:t xml:space="preserve"> </w:t>
            </w:r>
            <w:r w:rsidRPr="0053423A">
              <w:rPr>
                <w:rFonts w:cs="GHEA Grapalat"/>
                <w:sz w:val="20"/>
                <w:szCs w:val="20"/>
              </w:rPr>
              <w:t>տվյալ</w:t>
            </w:r>
            <w:r w:rsidRPr="0053423A">
              <w:rPr>
                <w:rFonts w:cs="GHEA Grapalat"/>
                <w:sz w:val="20"/>
                <w:szCs w:val="20"/>
                <w:lang w:val="af-ZA"/>
              </w:rPr>
              <w:t xml:space="preserve"> </w:t>
            </w:r>
            <w:r w:rsidRPr="0053423A">
              <w:rPr>
                <w:rFonts w:cs="GHEA Grapalat"/>
                <w:sz w:val="20"/>
                <w:szCs w:val="20"/>
              </w:rPr>
              <w:t>պաշտոնն</w:t>
            </w:r>
            <w:r w:rsidRPr="0053423A">
              <w:rPr>
                <w:rFonts w:cs="GHEA Grapalat"/>
                <w:sz w:val="20"/>
                <w:szCs w:val="20"/>
                <w:lang w:val="af-ZA"/>
              </w:rPr>
              <w:t xml:space="preserve"> </w:t>
            </w:r>
            <w:r w:rsidRPr="0053423A">
              <w:rPr>
                <w:rFonts w:cs="GHEA Grapalat"/>
                <w:sz w:val="20"/>
                <w:szCs w:val="20"/>
              </w:rPr>
              <w:t>զբաղեցնելու</w:t>
            </w:r>
            <w:r w:rsidRPr="0053423A">
              <w:rPr>
                <w:rFonts w:cs="GHEA Grapalat"/>
                <w:sz w:val="20"/>
                <w:szCs w:val="20"/>
                <w:lang w:val="af-ZA"/>
              </w:rPr>
              <w:t xml:space="preserve"> </w:t>
            </w:r>
            <w:r w:rsidRPr="0053423A">
              <w:rPr>
                <w:rFonts w:cs="GHEA Grapalat"/>
                <w:sz w:val="20"/>
                <w:szCs w:val="20"/>
              </w:rPr>
              <w:t>համար</w:t>
            </w:r>
            <w:r w:rsidRPr="0053423A">
              <w:rPr>
                <w:rFonts w:cs="GHEA Grapalat"/>
                <w:sz w:val="20"/>
                <w:szCs w:val="20"/>
                <w:lang w:val="af-ZA"/>
              </w:rPr>
              <w:t xml:space="preserve"> </w:t>
            </w:r>
            <w:r w:rsidRPr="0053423A">
              <w:rPr>
                <w:rFonts w:cs="GHEA Grapalat"/>
                <w:sz w:val="20"/>
                <w:szCs w:val="20"/>
              </w:rPr>
              <w:t>զինծառայողին</w:t>
            </w:r>
            <w:r w:rsidRPr="0053423A">
              <w:rPr>
                <w:rFonts w:cs="GHEA Grapalat"/>
                <w:sz w:val="20"/>
                <w:szCs w:val="20"/>
                <w:lang w:val="af-ZA"/>
              </w:rPr>
              <w:t xml:space="preserve"> </w:t>
            </w:r>
            <w:r w:rsidRPr="0053423A">
              <w:rPr>
                <w:rFonts w:cs="GHEA Grapalat"/>
                <w:sz w:val="20"/>
                <w:szCs w:val="20"/>
              </w:rPr>
              <w:t>մասնագիտական</w:t>
            </w:r>
            <w:r w:rsidRPr="0053423A">
              <w:rPr>
                <w:rFonts w:cs="GHEA Grapalat"/>
                <w:sz w:val="20"/>
                <w:szCs w:val="20"/>
                <w:lang w:val="af-ZA"/>
              </w:rPr>
              <w:t xml:space="preserve"> </w:t>
            </w:r>
            <w:r w:rsidRPr="0053423A">
              <w:rPr>
                <w:rFonts w:cs="GHEA Grapalat"/>
                <w:sz w:val="20"/>
                <w:szCs w:val="20"/>
              </w:rPr>
              <w:t>գիտելիքների</w:t>
            </w:r>
            <w:r w:rsidRPr="0053423A">
              <w:rPr>
                <w:rFonts w:cs="GHEA Grapalat"/>
                <w:sz w:val="20"/>
                <w:szCs w:val="20"/>
                <w:lang w:val="af-ZA"/>
              </w:rPr>
              <w:t xml:space="preserve"> </w:t>
            </w:r>
            <w:r w:rsidRPr="0053423A">
              <w:rPr>
                <w:rFonts w:cs="GHEA Grapalat"/>
                <w:sz w:val="20"/>
                <w:szCs w:val="20"/>
              </w:rPr>
              <w:t>ու</w:t>
            </w:r>
            <w:r w:rsidRPr="0053423A">
              <w:rPr>
                <w:rFonts w:cs="GHEA Grapalat"/>
                <w:sz w:val="20"/>
                <w:szCs w:val="20"/>
                <w:lang w:val="af-ZA"/>
              </w:rPr>
              <w:t xml:space="preserve"> </w:t>
            </w:r>
            <w:r w:rsidRPr="0053423A">
              <w:rPr>
                <w:rFonts w:cs="GHEA Grapalat"/>
                <w:sz w:val="20"/>
                <w:szCs w:val="20"/>
              </w:rPr>
              <w:t>ծառայողական</w:t>
            </w:r>
            <w:r w:rsidRPr="0053423A">
              <w:rPr>
                <w:rFonts w:cs="GHEA Grapalat"/>
                <w:sz w:val="20"/>
                <w:szCs w:val="20"/>
                <w:lang w:val="af-ZA"/>
              </w:rPr>
              <w:t xml:space="preserve"> </w:t>
            </w:r>
            <w:r w:rsidRPr="0053423A">
              <w:rPr>
                <w:rFonts w:cs="GHEA Grapalat"/>
                <w:sz w:val="20"/>
                <w:szCs w:val="20"/>
              </w:rPr>
              <w:t>ունակությունների</w:t>
            </w:r>
            <w:r w:rsidRPr="0053423A">
              <w:rPr>
                <w:rFonts w:cs="GHEA Grapalat"/>
                <w:sz w:val="20"/>
                <w:szCs w:val="20"/>
                <w:lang w:val="af-ZA"/>
              </w:rPr>
              <w:t xml:space="preserve"> </w:t>
            </w:r>
            <w:r w:rsidRPr="0053423A">
              <w:rPr>
                <w:rFonts w:cs="GHEA Grapalat"/>
                <w:sz w:val="20"/>
                <w:szCs w:val="20"/>
              </w:rPr>
              <w:t>տիրապետման</w:t>
            </w:r>
            <w:r w:rsidRPr="0053423A">
              <w:rPr>
                <w:rFonts w:cs="GHEA Grapalat"/>
                <w:sz w:val="20"/>
                <w:szCs w:val="20"/>
                <w:lang w:val="af-ZA"/>
              </w:rPr>
              <w:t xml:space="preserve"> </w:t>
            </w:r>
            <w:r w:rsidRPr="0053423A">
              <w:rPr>
                <w:rFonts w:cs="GHEA Grapalat"/>
                <w:sz w:val="20"/>
                <w:szCs w:val="20"/>
              </w:rPr>
              <w:t>տեսանկյունից</w:t>
            </w:r>
            <w:r w:rsidRPr="0053423A">
              <w:rPr>
                <w:rFonts w:cs="GHEA Grapalat"/>
                <w:sz w:val="20"/>
                <w:szCs w:val="20"/>
                <w:lang w:val="af-ZA"/>
              </w:rPr>
              <w:t xml:space="preserve"> </w:t>
            </w:r>
            <w:r w:rsidRPr="0053423A">
              <w:rPr>
                <w:rFonts w:cs="GHEA Grapalat"/>
                <w:sz w:val="20"/>
                <w:szCs w:val="20"/>
              </w:rPr>
              <w:t>ներկայացվող</w:t>
            </w:r>
            <w:r w:rsidRPr="0053423A">
              <w:rPr>
                <w:rFonts w:cs="GHEA Grapalat"/>
                <w:sz w:val="20"/>
                <w:szCs w:val="20"/>
                <w:lang w:val="af-ZA"/>
              </w:rPr>
              <w:t xml:space="preserve"> </w:t>
            </w:r>
            <w:r w:rsidRPr="0053423A">
              <w:rPr>
                <w:rFonts w:cs="GHEA Grapalat"/>
                <w:sz w:val="20"/>
                <w:szCs w:val="20"/>
              </w:rPr>
              <w:t>փաստաթուղթ</w:t>
            </w:r>
            <w:r w:rsidRPr="0053423A">
              <w:rPr>
                <w:rFonts w:cs="GHEA Grapalat"/>
                <w:sz w:val="20"/>
                <w:szCs w:val="20"/>
                <w:lang w:val="ro-RO"/>
              </w:rPr>
              <w:t xml:space="preserve"> </w:t>
            </w:r>
            <w:r w:rsidRPr="0053423A">
              <w:rPr>
                <w:rFonts w:cs="GHEA Grapalat"/>
                <w:sz w:val="20"/>
                <w:szCs w:val="20"/>
              </w:rPr>
              <w:t>և</w:t>
            </w:r>
            <w:r w:rsidRPr="0053423A">
              <w:rPr>
                <w:rFonts w:cs="GHEA Grapalat"/>
                <w:sz w:val="20"/>
                <w:szCs w:val="20"/>
                <w:lang w:val="ro-RO"/>
              </w:rPr>
              <w:t xml:space="preserve">, </w:t>
            </w:r>
            <w:r w:rsidRPr="0053423A">
              <w:rPr>
                <w:rFonts w:cs="GHEA Grapalat"/>
                <w:sz w:val="20"/>
                <w:szCs w:val="20"/>
                <w:lang w:val="af-ZA"/>
              </w:rPr>
              <w:t xml:space="preserve">որ </w:t>
            </w:r>
            <w:r w:rsidRPr="0053423A">
              <w:rPr>
                <w:rFonts w:cs="GHEA Grapalat"/>
                <w:sz w:val="20"/>
                <w:szCs w:val="20"/>
              </w:rPr>
              <w:t>պայմանագրային</w:t>
            </w:r>
            <w:r w:rsidRPr="0053423A">
              <w:rPr>
                <w:rFonts w:cs="GHEA Grapalat"/>
                <w:sz w:val="20"/>
                <w:szCs w:val="20"/>
                <w:lang w:val="af-ZA"/>
              </w:rPr>
              <w:t xml:space="preserve"> </w:t>
            </w:r>
            <w:r w:rsidRPr="0053423A">
              <w:rPr>
                <w:rFonts w:cs="GHEA Grapalat"/>
                <w:sz w:val="20"/>
                <w:szCs w:val="20"/>
              </w:rPr>
              <w:t>զինծառայողի</w:t>
            </w:r>
            <w:r w:rsidRPr="0053423A">
              <w:rPr>
                <w:rFonts w:cs="GHEA Grapalat"/>
                <w:sz w:val="20"/>
                <w:szCs w:val="20"/>
                <w:lang w:val="af-ZA"/>
              </w:rPr>
              <w:t xml:space="preserve">` </w:t>
            </w:r>
            <w:r w:rsidRPr="0053423A">
              <w:rPr>
                <w:rFonts w:cs="GHEA Grapalat"/>
                <w:sz w:val="20"/>
                <w:szCs w:val="20"/>
              </w:rPr>
              <w:t>նոր</w:t>
            </w:r>
            <w:r w:rsidRPr="0053423A">
              <w:rPr>
                <w:rFonts w:cs="GHEA Grapalat"/>
                <w:sz w:val="20"/>
                <w:szCs w:val="20"/>
                <w:lang w:val="af-ZA"/>
              </w:rPr>
              <w:t xml:space="preserve"> </w:t>
            </w:r>
            <w:r w:rsidRPr="0053423A">
              <w:rPr>
                <w:rFonts w:cs="GHEA Grapalat"/>
                <w:sz w:val="20"/>
                <w:szCs w:val="20"/>
              </w:rPr>
              <w:t>մասնագիտական</w:t>
            </w:r>
            <w:r w:rsidRPr="0053423A">
              <w:rPr>
                <w:rFonts w:cs="GHEA Grapalat"/>
                <w:sz w:val="20"/>
                <w:szCs w:val="20"/>
                <w:lang w:val="af-ZA"/>
              </w:rPr>
              <w:t xml:space="preserve"> </w:t>
            </w:r>
            <w:r w:rsidRPr="0053423A">
              <w:rPr>
                <w:rFonts w:cs="GHEA Grapalat"/>
                <w:sz w:val="20"/>
                <w:szCs w:val="20"/>
              </w:rPr>
              <w:t>զինվորական</w:t>
            </w:r>
            <w:r w:rsidRPr="0053423A">
              <w:rPr>
                <w:rFonts w:cs="GHEA Grapalat"/>
                <w:sz w:val="20"/>
                <w:szCs w:val="20"/>
                <w:lang w:val="af-ZA"/>
              </w:rPr>
              <w:t xml:space="preserve"> </w:t>
            </w:r>
            <w:r w:rsidRPr="0053423A">
              <w:rPr>
                <w:rFonts w:cs="GHEA Grapalat"/>
                <w:sz w:val="20"/>
                <w:szCs w:val="20"/>
              </w:rPr>
              <w:t>պաշտոնի</w:t>
            </w:r>
            <w:r w:rsidRPr="0053423A">
              <w:rPr>
                <w:rFonts w:cs="GHEA Grapalat"/>
                <w:sz w:val="20"/>
                <w:szCs w:val="20"/>
                <w:lang w:val="af-ZA"/>
              </w:rPr>
              <w:t xml:space="preserve"> </w:t>
            </w:r>
            <w:r w:rsidRPr="0053423A">
              <w:rPr>
                <w:rFonts w:cs="GHEA Grapalat"/>
                <w:sz w:val="20"/>
                <w:szCs w:val="20"/>
              </w:rPr>
              <w:t>նշանակմանը</w:t>
            </w:r>
            <w:r w:rsidRPr="0053423A">
              <w:rPr>
                <w:rFonts w:cs="GHEA Grapalat"/>
                <w:sz w:val="20"/>
                <w:szCs w:val="20"/>
                <w:lang w:val="af-ZA"/>
              </w:rPr>
              <w:t xml:space="preserve"> </w:t>
            </w:r>
            <w:r w:rsidRPr="0053423A">
              <w:rPr>
                <w:rFonts w:cs="GHEA Grapalat"/>
                <w:sz w:val="20"/>
                <w:szCs w:val="20"/>
              </w:rPr>
              <w:t>պետք</w:t>
            </w:r>
            <w:r w:rsidRPr="0053423A">
              <w:rPr>
                <w:rFonts w:cs="GHEA Grapalat"/>
                <w:sz w:val="20"/>
                <w:szCs w:val="20"/>
                <w:lang w:val="af-ZA"/>
              </w:rPr>
              <w:t xml:space="preserve"> </w:t>
            </w:r>
            <w:r w:rsidRPr="0053423A">
              <w:rPr>
                <w:rFonts w:cs="GHEA Grapalat"/>
                <w:sz w:val="20"/>
                <w:szCs w:val="20"/>
              </w:rPr>
              <w:t>է</w:t>
            </w:r>
            <w:r w:rsidRPr="0053423A">
              <w:rPr>
                <w:rFonts w:cs="GHEA Grapalat"/>
                <w:sz w:val="20"/>
                <w:szCs w:val="20"/>
                <w:lang w:val="af-ZA"/>
              </w:rPr>
              <w:t xml:space="preserve"> </w:t>
            </w:r>
            <w:r w:rsidRPr="0053423A">
              <w:rPr>
                <w:rFonts w:cs="GHEA Grapalat"/>
                <w:sz w:val="20"/>
                <w:szCs w:val="20"/>
              </w:rPr>
              <w:t>նախորդի</w:t>
            </w:r>
            <w:r w:rsidRPr="0053423A">
              <w:rPr>
                <w:rFonts w:cs="GHEA Grapalat"/>
                <w:sz w:val="20"/>
                <w:szCs w:val="20"/>
                <w:lang w:val="af-ZA"/>
              </w:rPr>
              <w:t xml:space="preserve"> </w:t>
            </w:r>
            <w:r w:rsidRPr="0053423A">
              <w:rPr>
                <w:rFonts w:cs="GHEA Grapalat"/>
                <w:sz w:val="20"/>
                <w:szCs w:val="20"/>
              </w:rPr>
              <w:t>համապատասխան</w:t>
            </w:r>
            <w:r w:rsidRPr="0053423A">
              <w:rPr>
                <w:rFonts w:cs="GHEA Grapalat"/>
                <w:sz w:val="20"/>
                <w:szCs w:val="20"/>
                <w:lang w:val="af-ZA"/>
              </w:rPr>
              <w:t xml:space="preserve"> </w:t>
            </w:r>
            <w:r w:rsidRPr="0053423A">
              <w:rPr>
                <w:rFonts w:cs="GHEA Grapalat"/>
                <w:sz w:val="20"/>
                <w:szCs w:val="20"/>
              </w:rPr>
              <w:t>վերապատրաստումը</w:t>
            </w:r>
            <w:r w:rsidRPr="0053423A">
              <w:rPr>
                <w:rFonts w:cs="GHEA Grapalat"/>
                <w:sz w:val="20"/>
                <w:szCs w:val="20"/>
                <w:lang w:val="af-ZA"/>
              </w:rPr>
              <w:t>:</w:t>
            </w:r>
          </w:p>
          <w:p w:rsidR="00BB45FD" w:rsidRPr="0053423A" w:rsidRDefault="00BB45FD" w:rsidP="00A67858">
            <w:pPr>
              <w:tabs>
                <w:tab w:val="left" w:pos="0"/>
                <w:tab w:val="left" w:pos="450"/>
              </w:tabs>
              <w:spacing w:after="0" w:line="276" w:lineRule="auto"/>
              <w:ind w:firstLine="851"/>
              <w:rPr>
                <w:b/>
                <w:sz w:val="20"/>
                <w:szCs w:val="20"/>
                <w:lang w:val="hy-AM"/>
              </w:rPr>
            </w:pPr>
            <w:r w:rsidRPr="0053423A">
              <w:rPr>
                <w:rFonts w:cs="Sylfaen"/>
                <w:b/>
                <w:sz w:val="20"/>
                <w:szCs w:val="20"/>
                <w:lang w:val="hy-AM"/>
              </w:rPr>
              <w:t>1.2.</w:t>
            </w:r>
            <w:r w:rsidRPr="0053423A">
              <w:rPr>
                <w:b/>
                <w:sz w:val="20"/>
                <w:szCs w:val="20"/>
                <w:lang w:val="hy-AM"/>
              </w:rPr>
              <w:t xml:space="preserve"> </w:t>
            </w:r>
            <w:r w:rsidRPr="0053423A">
              <w:rPr>
                <w:b/>
                <w:sz w:val="20"/>
                <w:szCs w:val="20"/>
              </w:rPr>
              <w:t>Ա</w:t>
            </w:r>
            <w:r w:rsidRPr="0053423A">
              <w:rPr>
                <w:b/>
                <w:sz w:val="20"/>
                <w:szCs w:val="20"/>
                <w:lang w:val="hy-AM"/>
              </w:rPr>
              <w:t>ռկա խնդիրների առաջարկվող լուծումները</w:t>
            </w:r>
          </w:p>
          <w:p w:rsidR="00BB45FD" w:rsidRPr="0053423A" w:rsidRDefault="00BB45FD" w:rsidP="00A67858">
            <w:pPr>
              <w:shd w:val="clear" w:color="auto" w:fill="FFFFFF"/>
              <w:spacing w:after="0" w:line="276" w:lineRule="auto"/>
              <w:ind w:firstLine="720"/>
              <w:rPr>
                <w:rFonts w:cs="GHEA Grapalat"/>
                <w:sz w:val="20"/>
                <w:szCs w:val="20"/>
                <w:lang w:val="af-ZA"/>
              </w:rPr>
            </w:pPr>
            <w:r w:rsidRPr="0053423A">
              <w:rPr>
                <w:rFonts w:cs="GHEA Grapalat"/>
                <w:sz w:val="20"/>
                <w:szCs w:val="20"/>
              </w:rPr>
              <w:t>Համապատասխան</w:t>
            </w:r>
            <w:r w:rsidRPr="0053423A">
              <w:rPr>
                <w:rFonts w:cs="GHEA Grapalat"/>
                <w:sz w:val="20"/>
                <w:szCs w:val="20"/>
                <w:lang w:val="af-ZA"/>
              </w:rPr>
              <w:t xml:space="preserve"> </w:t>
            </w:r>
            <w:r w:rsidRPr="0053423A">
              <w:rPr>
                <w:rFonts w:cs="GHEA Grapalat"/>
                <w:sz w:val="20"/>
                <w:szCs w:val="20"/>
              </w:rPr>
              <w:t>պաշտոնի</w:t>
            </w:r>
            <w:r w:rsidRPr="0053423A">
              <w:rPr>
                <w:rFonts w:cs="GHEA Grapalat"/>
                <w:sz w:val="20"/>
                <w:szCs w:val="20"/>
                <w:lang w:val="af-ZA"/>
              </w:rPr>
              <w:t xml:space="preserve"> </w:t>
            </w:r>
            <w:r w:rsidRPr="0053423A">
              <w:rPr>
                <w:rFonts w:cs="GHEA Grapalat"/>
                <w:sz w:val="20"/>
                <w:szCs w:val="20"/>
              </w:rPr>
              <w:t>անձնագրում</w:t>
            </w:r>
            <w:r w:rsidRPr="0053423A">
              <w:rPr>
                <w:rFonts w:cs="GHEA Grapalat"/>
                <w:sz w:val="20"/>
                <w:szCs w:val="20"/>
                <w:lang w:val="af-ZA"/>
              </w:rPr>
              <w:t xml:space="preserve"> </w:t>
            </w:r>
            <w:r w:rsidRPr="0053423A">
              <w:rPr>
                <w:rFonts w:cs="GHEA Grapalat"/>
                <w:sz w:val="20"/>
                <w:szCs w:val="20"/>
              </w:rPr>
              <w:t>փոփոխությունների</w:t>
            </w:r>
            <w:r w:rsidRPr="0053423A">
              <w:rPr>
                <w:rFonts w:cs="GHEA Grapalat"/>
                <w:sz w:val="20"/>
                <w:szCs w:val="20"/>
                <w:lang w:val="af-ZA"/>
              </w:rPr>
              <w:t xml:space="preserve"> </w:t>
            </w:r>
            <w:r w:rsidRPr="0053423A">
              <w:rPr>
                <w:rFonts w:cs="GHEA Grapalat"/>
                <w:sz w:val="20"/>
                <w:szCs w:val="20"/>
              </w:rPr>
              <w:t>կատարում</w:t>
            </w:r>
            <w:r w:rsidRPr="0053423A">
              <w:rPr>
                <w:rFonts w:cs="GHEA Grapalat"/>
                <w:sz w:val="20"/>
                <w:szCs w:val="20"/>
                <w:lang w:val="af-ZA"/>
              </w:rPr>
              <w:t xml:space="preserve"> </w:t>
            </w:r>
            <w:r w:rsidRPr="0053423A">
              <w:rPr>
                <w:rFonts w:cs="GHEA Grapalat"/>
                <w:sz w:val="20"/>
                <w:szCs w:val="20"/>
              </w:rPr>
              <w:t>և</w:t>
            </w:r>
            <w:r w:rsidRPr="0053423A">
              <w:rPr>
                <w:rFonts w:cs="GHEA Grapalat"/>
                <w:sz w:val="20"/>
                <w:szCs w:val="20"/>
                <w:lang w:val="af-ZA"/>
              </w:rPr>
              <w:t xml:space="preserve"> </w:t>
            </w:r>
            <w:r w:rsidRPr="0053423A">
              <w:rPr>
                <w:rFonts w:cs="GHEA Grapalat"/>
                <w:sz w:val="20"/>
                <w:szCs w:val="20"/>
              </w:rPr>
              <w:t>տվյալ</w:t>
            </w:r>
            <w:r w:rsidRPr="0053423A">
              <w:rPr>
                <w:rFonts w:cs="GHEA Grapalat"/>
                <w:sz w:val="20"/>
                <w:szCs w:val="20"/>
                <w:lang w:val="af-ZA"/>
              </w:rPr>
              <w:t xml:space="preserve"> </w:t>
            </w:r>
            <w:r w:rsidRPr="0053423A">
              <w:rPr>
                <w:rFonts w:cs="GHEA Grapalat"/>
                <w:sz w:val="20"/>
                <w:szCs w:val="20"/>
              </w:rPr>
              <w:t>պաշտոնի</w:t>
            </w:r>
            <w:r w:rsidRPr="0053423A">
              <w:rPr>
                <w:rFonts w:cs="GHEA Grapalat"/>
                <w:sz w:val="20"/>
                <w:szCs w:val="20"/>
                <w:lang w:val="af-ZA"/>
              </w:rPr>
              <w:t xml:space="preserve"> </w:t>
            </w:r>
            <w:r w:rsidRPr="0053423A">
              <w:rPr>
                <w:rFonts w:cs="GHEA Grapalat"/>
                <w:sz w:val="20"/>
                <w:szCs w:val="20"/>
              </w:rPr>
              <w:t>համար</w:t>
            </w:r>
            <w:r w:rsidRPr="0053423A">
              <w:rPr>
                <w:rFonts w:cs="GHEA Grapalat"/>
                <w:sz w:val="20"/>
                <w:szCs w:val="20"/>
                <w:lang w:val="af-ZA"/>
              </w:rPr>
              <w:t xml:space="preserve"> </w:t>
            </w:r>
            <w:r w:rsidRPr="0053423A">
              <w:rPr>
                <w:rFonts w:cs="GHEA Grapalat"/>
                <w:sz w:val="20"/>
                <w:szCs w:val="20"/>
              </w:rPr>
              <w:t>պահանջվող</w:t>
            </w:r>
            <w:r w:rsidRPr="0053423A">
              <w:rPr>
                <w:rFonts w:cs="GHEA Grapalat"/>
                <w:sz w:val="20"/>
                <w:szCs w:val="20"/>
                <w:lang w:val="af-ZA"/>
              </w:rPr>
              <w:t xml:space="preserve"> </w:t>
            </w:r>
            <w:r w:rsidRPr="0053423A">
              <w:rPr>
                <w:rFonts w:cs="GHEA Grapalat"/>
                <w:sz w:val="20"/>
                <w:szCs w:val="20"/>
              </w:rPr>
              <w:t>որակավորման</w:t>
            </w:r>
            <w:r w:rsidRPr="0053423A">
              <w:rPr>
                <w:rFonts w:cs="GHEA Grapalat"/>
                <w:sz w:val="20"/>
                <w:szCs w:val="20"/>
                <w:lang w:val="af-ZA"/>
              </w:rPr>
              <w:t xml:space="preserve"> </w:t>
            </w:r>
            <w:r w:rsidRPr="0053423A">
              <w:rPr>
                <w:rFonts w:cs="GHEA Grapalat"/>
                <w:sz w:val="20"/>
                <w:szCs w:val="20"/>
              </w:rPr>
              <w:t>չափանիշների</w:t>
            </w:r>
            <w:r w:rsidRPr="0053423A">
              <w:rPr>
                <w:rFonts w:cs="GHEA Grapalat"/>
                <w:sz w:val="20"/>
                <w:szCs w:val="20"/>
                <w:lang w:val="af-ZA"/>
              </w:rPr>
              <w:t xml:space="preserve"> </w:t>
            </w:r>
            <w:r w:rsidRPr="0053423A">
              <w:rPr>
                <w:rFonts w:cs="GHEA Grapalat"/>
                <w:sz w:val="20"/>
                <w:szCs w:val="20"/>
              </w:rPr>
              <w:t>և</w:t>
            </w:r>
            <w:r w:rsidRPr="0053423A">
              <w:rPr>
                <w:rFonts w:cs="GHEA Grapalat"/>
                <w:sz w:val="20"/>
                <w:szCs w:val="20"/>
                <w:lang w:val="af-ZA"/>
              </w:rPr>
              <w:t xml:space="preserve"> </w:t>
            </w:r>
            <w:r w:rsidRPr="0053423A">
              <w:rPr>
                <w:rFonts w:cs="GHEA Grapalat"/>
                <w:sz w:val="20"/>
                <w:szCs w:val="20"/>
              </w:rPr>
              <w:t>կրթական</w:t>
            </w:r>
            <w:r w:rsidRPr="0053423A">
              <w:rPr>
                <w:rFonts w:cs="GHEA Grapalat"/>
                <w:sz w:val="20"/>
                <w:szCs w:val="20"/>
                <w:lang w:val="af-ZA"/>
              </w:rPr>
              <w:t xml:space="preserve"> </w:t>
            </w:r>
            <w:r w:rsidRPr="0053423A">
              <w:rPr>
                <w:rFonts w:cs="GHEA Grapalat"/>
                <w:sz w:val="20"/>
                <w:szCs w:val="20"/>
              </w:rPr>
              <w:t>ցենզի</w:t>
            </w:r>
            <w:r w:rsidRPr="0053423A">
              <w:rPr>
                <w:rFonts w:cs="GHEA Grapalat"/>
                <w:sz w:val="20"/>
                <w:szCs w:val="20"/>
                <w:lang w:val="af-ZA"/>
              </w:rPr>
              <w:t xml:space="preserve"> </w:t>
            </w:r>
            <w:r w:rsidRPr="0053423A">
              <w:rPr>
                <w:rFonts w:cs="GHEA Grapalat"/>
                <w:sz w:val="20"/>
                <w:szCs w:val="20"/>
              </w:rPr>
              <w:t>սահմանում</w:t>
            </w:r>
            <w:r w:rsidRPr="0053423A">
              <w:rPr>
                <w:rFonts w:cs="GHEA Grapalat"/>
                <w:sz w:val="20"/>
                <w:szCs w:val="20"/>
                <w:lang w:val="af-ZA"/>
              </w:rPr>
              <w:t xml:space="preserve"> </w:t>
            </w:r>
            <w:r w:rsidRPr="0053423A">
              <w:rPr>
                <w:rFonts w:cs="GHEA Grapalat"/>
                <w:sz w:val="20"/>
                <w:szCs w:val="20"/>
              </w:rPr>
              <w:t>ու</w:t>
            </w:r>
            <w:r w:rsidRPr="0053423A">
              <w:rPr>
                <w:rFonts w:cs="GHEA Grapalat"/>
                <w:sz w:val="20"/>
                <w:szCs w:val="20"/>
                <w:lang w:val="af-ZA"/>
              </w:rPr>
              <w:t xml:space="preserve"> </w:t>
            </w:r>
            <w:r w:rsidRPr="0053423A">
              <w:rPr>
                <w:rFonts w:cs="GHEA Grapalat"/>
                <w:sz w:val="20"/>
                <w:szCs w:val="20"/>
              </w:rPr>
              <w:t>վերապատրաստումների</w:t>
            </w:r>
            <w:r w:rsidRPr="0053423A">
              <w:rPr>
                <w:rFonts w:cs="GHEA Grapalat"/>
                <w:sz w:val="20"/>
                <w:szCs w:val="20"/>
                <w:lang w:val="af-ZA"/>
              </w:rPr>
              <w:t xml:space="preserve"> կազամակերպում և իրականացում: </w:t>
            </w:r>
          </w:p>
          <w:p w:rsidR="00BB45FD" w:rsidRPr="0053423A" w:rsidRDefault="00BB45FD" w:rsidP="00A67858">
            <w:pPr>
              <w:pStyle w:val="ListParagraph"/>
              <w:tabs>
                <w:tab w:val="left" w:pos="0"/>
                <w:tab w:val="left" w:pos="851"/>
                <w:tab w:val="left" w:pos="1134"/>
              </w:tabs>
              <w:spacing w:after="0" w:line="276" w:lineRule="auto"/>
              <w:ind w:left="0"/>
              <w:rPr>
                <w:rFonts w:cs="Sylfaen"/>
                <w:sz w:val="20"/>
                <w:szCs w:val="20"/>
                <w:lang w:val="hy-AM"/>
              </w:rPr>
            </w:pPr>
            <w:r w:rsidRPr="0053423A">
              <w:rPr>
                <w:rFonts w:cs="GHEA Grapalat"/>
                <w:sz w:val="20"/>
                <w:szCs w:val="20"/>
                <w:lang w:val="af-ZA"/>
              </w:rPr>
              <w:t xml:space="preserve"> </w:t>
            </w:r>
            <w:r w:rsidRPr="0053423A">
              <w:rPr>
                <w:rFonts w:cs="GHEA Grapalat"/>
                <w:sz w:val="20"/>
                <w:szCs w:val="20"/>
                <w:lang w:val="af-ZA"/>
              </w:rPr>
              <w:tab/>
            </w:r>
            <w:r w:rsidRPr="0053423A">
              <w:rPr>
                <w:b/>
                <w:sz w:val="20"/>
                <w:szCs w:val="20"/>
                <w:lang w:val="hy-AM"/>
              </w:rPr>
              <w:t>2.</w:t>
            </w:r>
            <w:r w:rsidRPr="0053423A">
              <w:rPr>
                <w:b/>
                <w:sz w:val="20"/>
                <w:szCs w:val="20"/>
                <w:lang w:val="af-ZA"/>
              </w:rPr>
              <w:t xml:space="preserve"> </w:t>
            </w:r>
            <w:r w:rsidRPr="0053423A">
              <w:rPr>
                <w:b/>
                <w:sz w:val="20"/>
                <w:szCs w:val="20"/>
              </w:rPr>
              <w:t>Միջոցառումների</w:t>
            </w:r>
            <w:r w:rsidRPr="0053423A">
              <w:rPr>
                <w:b/>
                <w:sz w:val="20"/>
                <w:szCs w:val="20"/>
                <w:lang w:val="hy-AM"/>
              </w:rPr>
              <w:t xml:space="preserve"> իրականացումից ակնկալվող արդյունքը</w:t>
            </w:r>
            <w:r w:rsidRPr="0053423A">
              <w:rPr>
                <w:rFonts w:cs="Sylfaen"/>
                <w:sz w:val="20"/>
                <w:szCs w:val="20"/>
                <w:lang w:val="hy-AM"/>
              </w:rPr>
              <w:t xml:space="preserve"> </w:t>
            </w:r>
          </w:p>
          <w:p w:rsidR="00BB45FD" w:rsidRPr="0053423A" w:rsidRDefault="00BB45FD" w:rsidP="00A67858">
            <w:pPr>
              <w:shd w:val="clear" w:color="auto" w:fill="FFFFFF"/>
              <w:spacing w:after="0" w:line="276" w:lineRule="auto"/>
              <w:ind w:firstLine="720"/>
              <w:rPr>
                <w:b/>
                <w:sz w:val="20"/>
                <w:szCs w:val="20"/>
                <w:u w:val="single"/>
                <w:lang w:val="af-ZA"/>
              </w:rPr>
            </w:pPr>
            <w:r w:rsidRPr="0053423A">
              <w:rPr>
                <w:rFonts w:cs="GHEA Grapalat"/>
                <w:sz w:val="20"/>
                <w:szCs w:val="20"/>
              </w:rPr>
              <w:t>Հնարավորություն</w:t>
            </w:r>
            <w:r w:rsidRPr="0053423A">
              <w:rPr>
                <w:rFonts w:cs="GHEA Grapalat"/>
                <w:sz w:val="20"/>
                <w:szCs w:val="20"/>
                <w:lang w:val="af-ZA"/>
              </w:rPr>
              <w:t xml:space="preserve"> </w:t>
            </w:r>
            <w:r w:rsidRPr="0053423A">
              <w:rPr>
                <w:rFonts w:cs="GHEA Grapalat"/>
                <w:sz w:val="20"/>
                <w:szCs w:val="20"/>
              </w:rPr>
              <w:t>կստեղծվի</w:t>
            </w:r>
            <w:r w:rsidRPr="0053423A">
              <w:rPr>
                <w:rFonts w:cs="GHEA Grapalat"/>
                <w:sz w:val="20"/>
                <w:szCs w:val="20"/>
                <w:lang w:val="af-ZA"/>
              </w:rPr>
              <w:t xml:space="preserve"> </w:t>
            </w:r>
            <w:r w:rsidRPr="0053423A">
              <w:rPr>
                <w:rFonts w:cs="GHEA Grapalat"/>
                <w:sz w:val="20"/>
                <w:szCs w:val="20"/>
              </w:rPr>
              <w:t>գծանշել</w:t>
            </w:r>
            <w:r w:rsidRPr="0053423A">
              <w:rPr>
                <w:rFonts w:cs="GHEA Grapalat"/>
                <w:sz w:val="20"/>
                <w:szCs w:val="20"/>
                <w:lang w:val="af-ZA"/>
              </w:rPr>
              <w:t xml:space="preserve"> </w:t>
            </w:r>
            <w:r w:rsidRPr="0053423A">
              <w:rPr>
                <w:rFonts w:cs="GHEA Grapalat"/>
                <w:sz w:val="20"/>
                <w:szCs w:val="20"/>
              </w:rPr>
              <w:t>ծառայողական</w:t>
            </w:r>
            <w:r w:rsidRPr="0053423A">
              <w:rPr>
                <w:rFonts w:cs="GHEA Grapalat"/>
                <w:sz w:val="20"/>
                <w:szCs w:val="20"/>
                <w:lang w:val="af-ZA"/>
              </w:rPr>
              <w:t xml:space="preserve"> </w:t>
            </w:r>
            <w:r w:rsidRPr="0053423A">
              <w:rPr>
                <w:rFonts w:cs="GHEA Grapalat"/>
                <w:sz w:val="20"/>
                <w:szCs w:val="20"/>
              </w:rPr>
              <w:t>առաջխաղացման</w:t>
            </w:r>
            <w:r w:rsidRPr="0053423A">
              <w:rPr>
                <w:rFonts w:cs="GHEA Grapalat"/>
                <w:sz w:val="20"/>
                <w:szCs w:val="20"/>
                <w:lang w:val="af-ZA"/>
              </w:rPr>
              <w:t xml:space="preserve"> </w:t>
            </w:r>
            <w:r w:rsidRPr="0053423A">
              <w:rPr>
                <w:rFonts w:cs="GHEA Grapalat"/>
                <w:sz w:val="20"/>
                <w:szCs w:val="20"/>
              </w:rPr>
              <w:t>հստակ</w:t>
            </w:r>
            <w:r w:rsidRPr="0053423A">
              <w:rPr>
                <w:rFonts w:cs="GHEA Grapalat"/>
                <w:sz w:val="20"/>
                <w:szCs w:val="20"/>
                <w:lang w:val="af-ZA"/>
              </w:rPr>
              <w:t xml:space="preserve"> </w:t>
            </w:r>
            <w:r w:rsidRPr="0053423A">
              <w:rPr>
                <w:rFonts w:cs="GHEA Grapalat"/>
                <w:sz w:val="20"/>
                <w:szCs w:val="20"/>
              </w:rPr>
              <w:t>ճանապարհային</w:t>
            </w:r>
            <w:r w:rsidRPr="0053423A">
              <w:rPr>
                <w:rFonts w:cs="GHEA Grapalat"/>
                <w:sz w:val="20"/>
                <w:szCs w:val="20"/>
                <w:lang w:val="af-ZA"/>
              </w:rPr>
              <w:t xml:space="preserve"> </w:t>
            </w:r>
            <w:r w:rsidRPr="0053423A">
              <w:rPr>
                <w:rFonts w:cs="GHEA Grapalat"/>
                <w:sz w:val="20"/>
                <w:szCs w:val="20"/>
              </w:rPr>
              <w:t>քարտեզ</w:t>
            </w:r>
            <w:r w:rsidRPr="0053423A">
              <w:rPr>
                <w:rFonts w:cs="GHEA Grapalat"/>
                <w:sz w:val="20"/>
                <w:szCs w:val="20"/>
                <w:lang w:val="af-ZA"/>
              </w:rPr>
              <w:t xml:space="preserve">, </w:t>
            </w:r>
            <w:r w:rsidRPr="0053423A">
              <w:rPr>
                <w:rFonts w:cs="GHEA Grapalat"/>
                <w:sz w:val="20"/>
                <w:szCs w:val="20"/>
              </w:rPr>
              <w:t>որը</w:t>
            </w:r>
            <w:r w:rsidRPr="0053423A">
              <w:rPr>
                <w:rFonts w:cs="GHEA Grapalat"/>
                <w:sz w:val="20"/>
                <w:szCs w:val="20"/>
                <w:lang w:val="af-ZA"/>
              </w:rPr>
              <w:t xml:space="preserve"> </w:t>
            </w:r>
            <w:r w:rsidRPr="0053423A">
              <w:rPr>
                <w:rFonts w:cs="GHEA Grapalat"/>
                <w:sz w:val="20"/>
                <w:szCs w:val="20"/>
              </w:rPr>
              <w:t>կբարձարացնի</w:t>
            </w:r>
            <w:r w:rsidRPr="0053423A">
              <w:rPr>
                <w:rFonts w:cs="GHEA Grapalat"/>
                <w:sz w:val="20"/>
                <w:szCs w:val="20"/>
                <w:lang w:val="af-ZA"/>
              </w:rPr>
              <w:t xml:space="preserve"> </w:t>
            </w:r>
            <w:r w:rsidRPr="0053423A">
              <w:rPr>
                <w:rFonts w:cs="GHEA Grapalat"/>
                <w:sz w:val="20"/>
                <w:szCs w:val="20"/>
              </w:rPr>
              <w:t>պաշտոնների</w:t>
            </w:r>
            <w:r w:rsidRPr="0053423A">
              <w:rPr>
                <w:rFonts w:cs="GHEA Grapalat"/>
                <w:sz w:val="20"/>
                <w:szCs w:val="20"/>
                <w:lang w:val="af-ZA"/>
              </w:rPr>
              <w:t xml:space="preserve"> </w:t>
            </w:r>
            <w:r w:rsidRPr="0053423A">
              <w:rPr>
                <w:rFonts w:cs="GHEA Grapalat"/>
                <w:sz w:val="20"/>
                <w:szCs w:val="20"/>
              </w:rPr>
              <w:t>նշանակման</w:t>
            </w:r>
            <w:r w:rsidRPr="0053423A">
              <w:rPr>
                <w:rFonts w:cs="GHEA Grapalat"/>
                <w:sz w:val="20"/>
                <w:szCs w:val="20"/>
                <w:lang w:val="af-ZA"/>
              </w:rPr>
              <w:t xml:space="preserve"> </w:t>
            </w:r>
            <w:r w:rsidRPr="0053423A">
              <w:rPr>
                <w:rFonts w:cs="GHEA Grapalat"/>
                <w:sz w:val="20"/>
                <w:szCs w:val="20"/>
              </w:rPr>
              <w:t>գործընթացում</w:t>
            </w:r>
            <w:r w:rsidRPr="0053423A">
              <w:rPr>
                <w:rFonts w:cs="GHEA Grapalat"/>
                <w:sz w:val="20"/>
                <w:szCs w:val="20"/>
                <w:lang w:val="af-ZA"/>
              </w:rPr>
              <w:t xml:space="preserve"> </w:t>
            </w:r>
            <w:r w:rsidRPr="0053423A">
              <w:rPr>
                <w:rFonts w:cs="GHEA Grapalat"/>
                <w:sz w:val="20"/>
                <w:szCs w:val="20"/>
              </w:rPr>
              <w:t>արդարացի</w:t>
            </w:r>
            <w:r w:rsidRPr="0053423A">
              <w:rPr>
                <w:rFonts w:cs="GHEA Grapalat"/>
                <w:sz w:val="20"/>
                <w:szCs w:val="20"/>
                <w:lang w:val="af-ZA"/>
              </w:rPr>
              <w:t xml:space="preserve"> </w:t>
            </w:r>
            <w:r w:rsidRPr="0053423A">
              <w:rPr>
                <w:rFonts w:cs="GHEA Grapalat"/>
                <w:sz w:val="20"/>
                <w:szCs w:val="20"/>
              </w:rPr>
              <w:t>որոշումների</w:t>
            </w:r>
            <w:r w:rsidRPr="0053423A">
              <w:rPr>
                <w:rFonts w:cs="GHEA Grapalat"/>
                <w:sz w:val="20"/>
                <w:szCs w:val="20"/>
                <w:lang w:val="af-ZA"/>
              </w:rPr>
              <w:t xml:space="preserve"> </w:t>
            </w:r>
            <w:r w:rsidRPr="0053423A">
              <w:rPr>
                <w:rFonts w:cs="GHEA Grapalat"/>
                <w:sz w:val="20"/>
                <w:szCs w:val="20"/>
              </w:rPr>
              <w:t>կայացման</w:t>
            </w:r>
            <w:r w:rsidRPr="0053423A">
              <w:rPr>
                <w:rFonts w:cs="GHEA Grapalat"/>
                <w:sz w:val="20"/>
                <w:szCs w:val="20"/>
                <w:lang w:val="af-ZA"/>
              </w:rPr>
              <w:t xml:space="preserve"> </w:t>
            </w:r>
            <w:r w:rsidRPr="0053423A">
              <w:rPr>
                <w:rFonts w:cs="GHEA Grapalat"/>
                <w:sz w:val="20"/>
                <w:szCs w:val="20"/>
              </w:rPr>
              <w:t>և</w:t>
            </w:r>
            <w:r w:rsidRPr="0053423A">
              <w:rPr>
                <w:rFonts w:cs="GHEA Grapalat"/>
                <w:sz w:val="20"/>
                <w:szCs w:val="20"/>
                <w:lang w:val="af-ZA"/>
              </w:rPr>
              <w:t xml:space="preserve"> </w:t>
            </w:r>
            <w:r w:rsidRPr="0053423A">
              <w:rPr>
                <w:rFonts w:cs="GHEA Grapalat"/>
                <w:sz w:val="20"/>
                <w:szCs w:val="20"/>
              </w:rPr>
              <w:t>զինված</w:t>
            </w:r>
            <w:r w:rsidRPr="0053423A">
              <w:rPr>
                <w:rFonts w:cs="GHEA Grapalat"/>
                <w:sz w:val="20"/>
                <w:szCs w:val="20"/>
                <w:lang w:val="af-ZA"/>
              </w:rPr>
              <w:t xml:space="preserve"> </w:t>
            </w:r>
            <w:r w:rsidRPr="0053423A">
              <w:rPr>
                <w:rFonts w:cs="GHEA Grapalat"/>
                <w:sz w:val="20"/>
                <w:szCs w:val="20"/>
              </w:rPr>
              <w:t>ուժերում</w:t>
            </w:r>
            <w:r w:rsidRPr="0053423A">
              <w:rPr>
                <w:rFonts w:cs="GHEA Grapalat"/>
                <w:sz w:val="20"/>
                <w:szCs w:val="20"/>
                <w:lang w:val="af-ZA"/>
              </w:rPr>
              <w:t xml:space="preserve"> </w:t>
            </w:r>
            <w:r w:rsidRPr="0053423A">
              <w:rPr>
                <w:rFonts w:cs="GHEA Grapalat"/>
                <w:sz w:val="20"/>
                <w:szCs w:val="20"/>
              </w:rPr>
              <w:t>անձնակազմի</w:t>
            </w:r>
            <w:r w:rsidRPr="0053423A">
              <w:rPr>
                <w:rFonts w:cs="GHEA Grapalat"/>
                <w:sz w:val="20"/>
                <w:szCs w:val="20"/>
                <w:lang w:val="af-ZA"/>
              </w:rPr>
              <w:t xml:space="preserve"> </w:t>
            </w:r>
            <w:r w:rsidRPr="0053423A">
              <w:rPr>
                <w:rFonts w:cs="GHEA Grapalat"/>
                <w:sz w:val="20"/>
                <w:szCs w:val="20"/>
              </w:rPr>
              <w:t>արհեստավարժության</w:t>
            </w:r>
            <w:r w:rsidRPr="0053423A">
              <w:rPr>
                <w:rFonts w:cs="GHEA Grapalat"/>
                <w:sz w:val="20"/>
                <w:szCs w:val="20"/>
                <w:lang w:val="af-ZA"/>
              </w:rPr>
              <w:t xml:space="preserve"> </w:t>
            </w:r>
            <w:r w:rsidRPr="0053423A">
              <w:rPr>
                <w:rFonts w:cs="GHEA Grapalat"/>
                <w:sz w:val="20"/>
                <w:szCs w:val="20"/>
              </w:rPr>
              <w:t>մակարդակները</w:t>
            </w:r>
            <w:r w:rsidRPr="0053423A">
              <w:rPr>
                <w:rFonts w:cs="GHEA Grapalat"/>
                <w:sz w:val="20"/>
                <w:szCs w:val="20"/>
                <w:lang w:val="af-ZA"/>
              </w:rPr>
              <w:t xml:space="preserve">, ինչպես նաև </w:t>
            </w:r>
            <w:r w:rsidRPr="0053423A">
              <w:rPr>
                <w:rFonts w:cs="GHEA Grapalat"/>
                <w:sz w:val="20"/>
                <w:szCs w:val="20"/>
              </w:rPr>
              <w:t>ունենալ</w:t>
            </w:r>
            <w:r w:rsidRPr="0053423A">
              <w:rPr>
                <w:rFonts w:cs="GHEA Grapalat"/>
                <w:sz w:val="20"/>
                <w:szCs w:val="20"/>
                <w:lang w:val="af-ZA"/>
              </w:rPr>
              <w:t xml:space="preserve"> </w:t>
            </w:r>
            <w:r w:rsidRPr="0053423A">
              <w:rPr>
                <w:rFonts w:cs="GHEA Grapalat"/>
                <w:sz w:val="20"/>
                <w:szCs w:val="20"/>
              </w:rPr>
              <w:t>վաշտի</w:t>
            </w:r>
            <w:r w:rsidRPr="0053423A">
              <w:rPr>
                <w:rFonts w:cs="GHEA Grapalat"/>
                <w:sz w:val="20"/>
                <w:szCs w:val="20"/>
                <w:lang w:val="af-ZA"/>
              </w:rPr>
              <w:t xml:space="preserve">, </w:t>
            </w:r>
            <w:r w:rsidRPr="0053423A">
              <w:rPr>
                <w:rFonts w:cs="GHEA Grapalat"/>
                <w:sz w:val="20"/>
                <w:szCs w:val="20"/>
              </w:rPr>
              <w:t>գումարտակի</w:t>
            </w:r>
            <w:r w:rsidRPr="0053423A">
              <w:rPr>
                <w:rFonts w:cs="GHEA Grapalat"/>
                <w:sz w:val="20"/>
                <w:szCs w:val="20"/>
                <w:lang w:val="af-ZA"/>
              </w:rPr>
              <w:t xml:space="preserve"> </w:t>
            </w:r>
            <w:r w:rsidRPr="0053423A">
              <w:rPr>
                <w:rFonts w:cs="GHEA Grapalat"/>
                <w:sz w:val="20"/>
                <w:szCs w:val="20"/>
              </w:rPr>
              <w:t>հրամանատարների</w:t>
            </w:r>
            <w:r w:rsidRPr="0053423A">
              <w:rPr>
                <w:rFonts w:cs="GHEA Grapalat"/>
                <w:sz w:val="20"/>
                <w:szCs w:val="20"/>
                <w:lang w:val="af-ZA"/>
              </w:rPr>
              <w:t xml:space="preserve"> </w:t>
            </w:r>
            <w:r w:rsidRPr="0053423A">
              <w:rPr>
                <w:rFonts w:cs="GHEA Grapalat"/>
                <w:sz w:val="20"/>
                <w:szCs w:val="20"/>
              </w:rPr>
              <w:t>տեղակալների</w:t>
            </w:r>
            <w:r w:rsidRPr="0053423A">
              <w:rPr>
                <w:rFonts w:cs="GHEA Grapalat"/>
                <w:sz w:val="20"/>
                <w:szCs w:val="20"/>
                <w:lang w:val="af-ZA"/>
              </w:rPr>
              <w:t xml:space="preserve"> </w:t>
            </w:r>
            <w:r w:rsidRPr="0053423A">
              <w:rPr>
                <w:rFonts w:cs="GHEA Grapalat"/>
                <w:sz w:val="20"/>
                <w:szCs w:val="20"/>
              </w:rPr>
              <w:t>և</w:t>
            </w:r>
            <w:r w:rsidRPr="0053423A">
              <w:rPr>
                <w:rFonts w:cs="GHEA Grapalat"/>
                <w:sz w:val="20"/>
                <w:szCs w:val="20"/>
                <w:lang w:val="af-ZA"/>
              </w:rPr>
              <w:t xml:space="preserve"> </w:t>
            </w:r>
            <w:r w:rsidRPr="0053423A">
              <w:rPr>
                <w:rFonts w:cs="GHEA Grapalat"/>
                <w:sz w:val="20"/>
                <w:szCs w:val="20"/>
              </w:rPr>
              <w:t>հրամանատարների</w:t>
            </w:r>
            <w:r w:rsidRPr="0053423A">
              <w:rPr>
                <w:rFonts w:cs="GHEA Grapalat"/>
                <w:sz w:val="20"/>
                <w:szCs w:val="20"/>
                <w:lang w:val="af-ZA"/>
              </w:rPr>
              <w:t xml:space="preserve"> </w:t>
            </w:r>
            <w:r w:rsidRPr="0053423A">
              <w:rPr>
                <w:rFonts w:cs="GHEA Grapalat"/>
                <w:sz w:val="20"/>
                <w:szCs w:val="20"/>
              </w:rPr>
              <w:t>հաստիքներ</w:t>
            </w:r>
            <w:r w:rsidRPr="0053423A">
              <w:rPr>
                <w:rFonts w:cs="GHEA Grapalat"/>
                <w:sz w:val="20"/>
                <w:szCs w:val="20"/>
                <w:lang w:val="af-ZA"/>
              </w:rPr>
              <w:t xml:space="preserve"> </w:t>
            </w:r>
            <w:r w:rsidRPr="0053423A">
              <w:rPr>
                <w:rFonts w:cs="GHEA Grapalat"/>
                <w:sz w:val="20"/>
                <w:szCs w:val="20"/>
              </w:rPr>
              <w:t>զբաղեցնող</w:t>
            </w:r>
            <w:r w:rsidRPr="0053423A">
              <w:rPr>
                <w:rFonts w:cs="GHEA Grapalat"/>
                <w:sz w:val="20"/>
                <w:szCs w:val="20"/>
                <w:lang w:val="af-ZA"/>
              </w:rPr>
              <w:t xml:space="preserve"> </w:t>
            </w:r>
            <w:r w:rsidRPr="0053423A">
              <w:rPr>
                <w:rFonts w:cs="GHEA Grapalat"/>
                <w:sz w:val="20"/>
                <w:szCs w:val="20"/>
              </w:rPr>
              <w:t>համապատասխան</w:t>
            </w:r>
            <w:r w:rsidRPr="0053423A">
              <w:rPr>
                <w:rFonts w:cs="GHEA Grapalat"/>
                <w:sz w:val="20"/>
                <w:szCs w:val="20"/>
                <w:lang w:val="af-ZA"/>
              </w:rPr>
              <w:t xml:space="preserve"> </w:t>
            </w:r>
            <w:r w:rsidRPr="0053423A">
              <w:rPr>
                <w:rFonts w:cs="GHEA Grapalat"/>
                <w:sz w:val="20"/>
                <w:szCs w:val="20"/>
              </w:rPr>
              <w:t>մանսագիտական</w:t>
            </w:r>
            <w:r w:rsidRPr="0053423A">
              <w:rPr>
                <w:rFonts w:cs="GHEA Grapalat"/>
                <w:sz w:val="20"/>
                <w:szCs w:val="20"/>
                <w:lang w:val="af-ZA"/>
              </w:rPr>
              <w:t xml:space="preserve"> </w:t>
            </w:r>
            <w:r w:rsidRPr="0053423A">
              <w:rPr>
                <w:rFonts w:cs="GHEA Grapalat"/>
                <w:sz w:val="20"/>
                <w:szCs w:val="20"/>
              </w:rPr>
              <w:t>որակներով</w:t>
            </w:r>
            <w:r w:rsidRPr="0053423A">
              <w:rPr>
                <w:rFonts w:cs="GHEA Grapalat"/>
                <w:sz w:val="20"/>
                <w:szCs w:val="20"/>
                <w:lang w:val="af-ZA"/>
              </w:rPr>
              <w:t xml:space="preserve"> </w:t>
            </w:r>
            <w:r w:rsidRPr="0053423A">
              <w:rPr>
                <w:rFonts w:cs="GHEA Grapalat"/>
                <w:sz w:val="20"/>
                <w:szCs w:val="20"/>
              </w:rPr>
              <w:t>օժտված</w:t>
            </w:r>
            <w:r w:rsidRPr="0053423A">
              <w:rPr>
                <w:rFonts w:cs="GHEA Grapalat"/>
                <w:sz w:val="20"/>
                <w:szCs w:val="20"/>
                <w:lang w:val="af-ZA"/>
              </w:rPr>
              <w:t xml:space="preserve"> </w:t>
            </w:r>
            <w:r w:rsidRPr="0053423A">
              <w:rPr>
                <w:rFonts w:cs="GHEA Grapalat"/>
                <w:sz w:val="20"/>
                <w:szCs w:val="20"/>
              </w:rPr>
              <w:t>զինծառայողներ</w:t>
            </w:r>
            <w:r w:rsidRPr="0053423A">
              <w:rPr>
                <w:rFonts w:cs="GHEA Grapalat"/>
                <w:sz w:val="20"/>
                <w:szCs w:val="20"/>
                <w:lang w:val="af-ZA"/>
              </w:rPr>
              <w:t xml:space="preserve">: </w:t>
            </w:r>
            <w:r w:rsidRPr="0053423A">
              <w:rPr>
                <w:rFonts w:cs="GHEA Grapalat"/>
                <w:sz w:val="20"/>
                <w:szCs w:val="20"/>
              </w:rPr>
              <w:t>Ընդլայնելով</w:t>
            </w:r>
            <w:r w:rsidRPr="0053423A">
              <w:rPr>
                <w:rFonts w:cs="GHEA Grapalat"/>
                <w:sz w:val="20"/>
                <w:szCs w:val="20"/>
                <w:lang w:val="af-ZA"/>
              </w:rPr>
              <w:t xml:space="preserve"> </w:t>
            </w:r>
            <w:r w:rsidRPr="0053423A">
              <w:rPr>
                <w:rFonts w:cs="GHEA Grapalat"/>
                <w:sz w:val="20"/>
                <w:szCs w:val="20"/>
              </w:rPr>
              <w:t>այդ</w:t>
            </w:r>
            <w:r w:rsidRPr="0053423A">
              <w:rPr>
                <w:rFonts w:cs="GHEA Grapalat"/>
                <w:sz w:val="20"/>
                <w:szCs w:val="20"/>
                <w:lang w:val="af-ZA"/>
              </w:rPr>
              <w:t xml:space="preserve"> </w:t>
            </w:r>
            <w:r w:rsidRPr="0053423A">
              <w:rPr>
                <w:rFonts w:cs="GHEA Grapalat"/>
                <w:sz w:val="20"/>
                <w:szCs w:val="20"/>
              </w:rPr>
              <w:t>դասընթացների</w:t>
            </w:r>
            <w:r w:rsidRPr="0053423A">
              <w:rPr>
                <w:rFonts w:cs="GHEA Grapalat"/>
                <w:sz w:val="20"/>
                <w:szCs w:val="20"/>
                <w:lang w:val="af-ZA"/>
              </w:rPr>
              <w:t xml:space="preserve"> </w:t>
            </w:r>
            <w:r w:rsidRPr="0053423A">
              <w:rPr>
                <w:rFonts w:cs="GHEA Grapalat"/>
                <w:sz w:val="20"/>
                <w:szCs w:val="20"/>
              </w:rPr>
              <w:t>քանակներն</w:t>
            </w:r>
            <w:r w:rsidRPr="0053423A">
              <w:rPr>
                <w:rFonts w:cs="GHEA Grapalat"/>
                <w:sz w:val="20"/>
                <w:szCs w:val="20"/>
                <w:lang w:val="af-ZA"/>
              </w:rPr>
              <w:t xml:space="preserve"> </w:t>
            </w:r>
            <w:r w:rsidRPr="0053423A">
              <w:rPr>
                <w:rFonts w:cs="GHEA Grapalat"/>
                <w:sz w:val="20"/>
                <w:szCs w:val="20"/>
              </w:rPr>
              <w:t>ու</w:t>
            </w:r>
            <w:r w:rsidRPr="0053423A">
              <w:rPr>
                <w:rFonts w:cs="GHEA Grapalat"/>
                <w:sz w:val="20"/>
                <w:szCs w:val="20"/>
                <w:lang w:val="af-ZA"/>
              </w:rPr>
              <w:t xml:space="preserve"> </w:t>
            </w:r>
            <w:r w:rsidRPr="0053423A">
              <w:rPr>
                <w:rFonts w:cs="GHEA Grapalat"/>
                <w:sz w:val="20"/>
                <w:szCs w:val="20"/>
              </w:rPr>
              <w:t>մասնագիտացումները՝</w:t>
            </w:r>
            <w:r w:rsidRPr="0053423A">
              <w:rPr>
                <w:rFonts w:cs="GHEA Grapalat"/>
                <w:sz w:val="20"/>
                <w:szCs w:val="20"/>
                <w:lang w:val="af-ZA"/>
              </w:rPr>
              <w:t xml:space="preserve"> </w:t>
            </w:r>
            <w:r w:rsidRPr="0053423A">
              <w:rPr>
                <w:rFonts w:cs="GHEA Grapalat"/>
                <w:sz w:val="20"/>
                <w:szCs w:val="20"/>
              </w:rPr>
              <w:t>հնարավոր</w:t>
            </w:r>
            <w:r w:rsidRPr="0053423A">
              <w:rPr>
                <w:rFonts w:cs="GHEA Grapalat"/>
                <w:sz w:val="20"/>
                <w:szCs w:val="20"/>
                <w:lang w:val="af-ZA"/>
              </w:rPr>
              <w:t xml:space="preserve"> </w:t>
            </w:r>
            <w:r w:rsidRPr="0053423A">
              <w:rPr>
                <w:rFonts w:cs="GHEA Grapalat"/>
                <w:sz w:val="20"/>
                <w:szCs w:val="20"/>
              </w:rPr>
              <w:t>կլինի</w:t>
            </w:r>
            <w:r w:rsidRPr="0053423A">
              <w:rPr>
                <w:rFonts w:cs="GHEA Grapalat"/>
                <w:sz w:val="20"/>
                <w:szCs w:val="20"/>
                <w:lang w:val="af-ZA"/>
              </w:rPr>
              <w:t xml:space="preserve"> </w:t>
            </w:r>
            <w:r w:rsidRPr="0053423A">
              <w:rPr>
                <w:rFonts w:cs="GHEA Grapalat"/>
                <w:sz w:val="20"/>
                <w:szCs w:val="20"/>
              </w:rPr>
              <w:t>արտասահմանյան</w:t>
            </w:r>
            <w:r w:rsidRPr="0053423A">
              <w:rPr>
                <w:rFonts w:cs="GHEA Grapalat"/>
                <w:sz w:val="20"/>
                <w:szCs w:val="20"/>
                <w:lang w:val="af-ZA"/>
              </w:rPr>
              <w:t xml:space="preserve"> </w:t>
            </w:r>
            <w:r w:rsidRPr="0053423A">
              <w:rPr>
                <w:rFonts w:cs="GHEA Grapalat"/>
                <w:sz w:val="20"/>
                <w:szCs w:val="20"/>
              </w:rPr>
              <w:t>երկրներում</w:t>
            </w:r>
            <w:r w:rsidRPr="0053423A">
              <w:rPr>
                <w:rFonts w:cs="GHEA Grapalat"/>
                <w:sz w:val="20"/>
                <w:szCs w:val="20"/>
                <w:lang w:val="af-ZA"/>
              </w:rPr>
              <w:t xml:space="preserve"> </w:t>
            </w:r>
            <w:r w:rsidRPr="0053423A">
              <w:rPr>
                <w:rFonts w:cs="GHEA Grapalat"/>
                <w:sz w:val="20"/>
                <w:szCs w:val="20"/>
              </w:rPr>
              <w:t>իրականացվող</w:t>
            </w:r>
            <w:r w:rsidRPr="0053423A">
              <w:rPr>
                <w:rFonts w:cs="GHEA Grapalat"/>
                <w:sz w:val="20"/>
                <w:szCs w:val="20"/>
                <w:lang w:val="af-ZA"/>
              </w:rPr>
              <w:t xml:space="preserve"> </w:t>
            </w:r>
            <w:r w:rsidRPr="0053423A">
              <w:rPr>
                <w:rFonts w:cs="GHEA Grapalat"/>
                <w:sz w:val="20"/>
                <w:szCs w:val="20"/>
              </w:rPr>
              <w:t>մասնագիտական</w:t>
            </w:r>
            <w:r w:rsidRPr="0053423A">
              <w:rPr>
                <w:rFonts w:cs="GHEA Grapalat"/>
                <w:sz w:val="20"/>
                <w:szCs w:val="20"/>
                <w:lang w:val="af-ZA"/>
              </w:rPr>
              <w:t xml:space="preserve"> </w:t>
            </w:r>
            <w:r w:rsidRPr="0053423A">
              <w:rPr>
                <w:rFonts w:cs="GHEA Grapalat"/>
                <w:sz w:val="20"/>
                <w:szCs w:val="20"/>
              </w:rPr>
              <w:t>վերապատրաստումների</w:t>
            </w:r>
            <w:r w:rsidRPr="0053423A">
              <w:rPr>
                <w:rFonts w:cs="GHEA Grapalat"/>
                <w:sz w:val="20"/>
                <w:szCs w:val="20"/>
                <w:lang w:val="af-ZA"/>
              </w:rPr>
              <w:t xml:space="preserve"> </w:t>
            </w:r>
            <w:r w:rsidRPr="0053423A">
              <w:rPr>
                <w:rFonts w:cs="GHEA Grapalat"/>
                <w:sz w:val="20"/>
                <w:szCs w:val="20"/>
              </w:rPr>
              <w:t>փոխարեն</w:t>
            </w:r>
            <w:r w:rsidRPr="0053423A">
              <w:rPr>
                <w:rFonts w:cs="GHEA Grapalat"/>
                <w:sz w:val="20"/>
                <w:szCs w:val="20"/>
                <w:lang w:val="af-ZA"/>
              </w:rPr>
              <w:t xml:space="preserve"> </w:t>
            </w:r>
            <w:r w:rsidRPr="0053423A">
              <w:rPr>
                <w:rFonts w:cs="GHEA Grapalat"/>
                <w:sz w:val="20"/>
                <w:szCs w:val="20"/>
              </w:rPr>
              <w:t>դրանք</w:t>
            </w:r>
            <w:r w:rsidRPr="0053423A">
              <w:rPr>
                <w:rFonts w:cs="GHEA Grapalat"/>
                <w:sz w:val="20"/>
                <w:szCs w:val="20"/>
                <w:lang w:val="af-ZA"/>
              </w:rPr>
              <w:t xml:space="preserve"> </w:t>
            </w:r>
            <w:r w:rsidRPr="0053423A">
              <w:rPr>
                <w:rFonts w:cs="GHEA Grapalat"/>
                <w:sz w:val="20"/>
                <w:szCs w:val="20"/>
              </w:rPr>
              <w:t>իրականացնել</w:t>
            </w:r>
            <w:r w:rsidRPr="0053423A">
              <w:rPr>
                <w:rFonts w:cs="GHEA Grapalat"/>
                <w:sz w:val="20"/>
                <w:szCs w:val="20"/>
                <w:lang w:val="af-ZA"/>
              </w:rPr>
              <w:t xml:space="preserve"> </w:t>
            </w:r>
            <w:r w:rsidRPr="0053423A">
              <w:rPr>
                <w:rFonts w:cs="GHEA Grapalat"/>
                <w:sz w:val="20"/>
                <w:szCs w:val="20"/>
              </w:rPr>
              <w:t>երկրի</w:t>
            </w:r>
            <w:r w:rsidRPr="0053423A">
              <w:rPr>
                <w:rFonts w:cs="GHEA Grapalat"/>
                <w:sz w:val="20"/>
                <w:szCs w:val="20"/>
                <w:lang w:val="af-ZA"/>
              </w:rPr>
              <w:t xml:space="preserve"> </w:t>
            </w:r>
            <w:r w:rsidRPr="0053423A">
              <w:rPr>
                <w:rFonts w:cs="GHEA Grapalat"/>
                <w:sz w:val="20"/>
                <w:szCs w:val="20"/>
              </w:rPr>
              <w:t>ներսում՝</w:t>
            </w:r>
            <w:r w:rsidRPr="0053423A">
              <w:rPr>
                <w:rFonts w:cs="GHEA Grapalat"/>
                <w:sz w:val="20"/>
                <w:szCs w:val="20"/>
                <w:lang w:val="af-ZA"/>
              </w:rPr>
              <w:t xml:space="preserve"> </w:t>
            </w:r>
            <w:r w:rsidRPr="0053423A">
              <w:rPr>
                <w:rFonts w:cs="GHEA Grapalat"/>
                <w:sz w:val="20"/>
                <w:szCs w:val="20"/>
              </w:rPr>
              <w:t>սեփական</w:t>
            </w:r>
            <w:r w:rsidRPr="0053423A">
              <w:rPr>
                <w:rFonts w:cs="GHEA Grapalat"/>
                <w:sz w:val="20"/>
                <w:szCs w:val="20"/>
                <w:lang w:val="af-ZA"/>
              </w:rPr>
              <w:t xml:space="preserve"> </w:t>
            </w:r>
            <w:r w:rsidRPr="0053423A">
              <w:rPr>
                <w:rFonts w:cs="GHEA Grapalat"/>
                <w:sz w:val="20"/>
                <w:szCs w:val="20"/>
              </w:rPr>
              <w:t>ռեսուրսների</w:t>
            </w:r>
            <w:r w:rsidRPr="0053423A">
              <w:rPr>
                <w:rFonts w:cs="GHEA Grapalat"/>
                <w:sz w:val="20"/>
                <w:szCs w:val="20"/>
                <w:lang w:val="af-ZA"/>
              </w:rPr>
              <w:t xml:space="preserve"> </w:t>
            </w:r>
            <w:r w:rsidRPr="0053423A">
              <w:rPr>
                <w:rFonts w:cs="GHEA Grapalat"/>
                <w:sz w:val="20"/>
                <w:szCs w:val="20"/>
              </w:rPr>
              <w:t>հաշվին</w:t>
            </w:r>
            <w:r w:rsidRPr="0053423A">
              <w:rPr>
                <w:rFonts w:cs="GHEA Grapalat"/>
                <w:sz w:val="20"/>
                <w:szCs w:val="20"/>
                <w:lang w:val="af-ZA"/>
              </w:rPr>
              <w:t>:</w:t>
            </w:r>
          </w:p>
        </w:tc>
      </w:tr>
      <w:tr w:rsidR="00BB45FD" w:rsidRPr="0053423A" w:rsidTr="00976405">
        <w:tc>
          <w:tcPr>
            <w:tcW w:w="425" w:type="dxa"/>
            <w:shd w:val="clear" w:color="auto" w:fill="auto"/>
          </w:tcPr>
          <w:p w:rsidR="00BB45FD" w:rsidRPr="0053423A" w:rsidRDefault="00BB45FD" w:rsidP="00A67858">
            <w:pPr>
              <w:spacing w:after="0" w:line="276" w:lineRule="auto"/>
              <w:ind w:left="-108" w:right="-108"/>
              <w:rPr>
                <w:sz w:val="20"/>
                <w:szCs w:val="20"/>
                <w:lang w:val="hy-AM"/>
              </w:rPr>
            </w:pPr>
            <w:r w:rsidRPr="0053423A">
              <w:rPr>
                <w:sz w:val="20"/>
                <w:szCs w:val="20"/>
                <w:lang w:val="hy-AM"/>
              </w:rPr>
              <w:t>15.1-15.5</w:t>
            </w:r>
          </w:p>
        </w:tc>
        <w:tc>
          <w:tcPr>
            <w:tcW w:w="11156" w:type="dxa"/>
            <w:shd w:val="clear" w:color="auto" w:fill="auto"/>
          </w:tcPr>
          <w:p w:rsidR="00BB45FD" w:rsidRPr="0053423A" w:rsidRDefault="00BB45FD" w:rsidP="00A67858">
            <w:pPr>
              <w:spacing w:after="0" w:line="276" w:lineRule="auto"/>
              <w:jc w:val="center"/>
              <w:rPr>
                <w:b/>
                <w:sz w:val="20"/>
                <w:szCs w:val="20"/>
                <w:lang w:val="af-ZA"/>
              </w:rPr>
            </w:pPr>
            <w:r w:rsidRPr="0053423A">
              <w:rPr>
                <w:b/>
                <w:sz w:val="20"/>
                <w:szCs w:val="20"/>
                <w:u w:val="single"/>
                <w:lang w:val="hy-AM"/>
              </w:rPr>
              <w:t>Պաշտպանության</w:t>
            </w:r>
            <w:r w:rsidRPr="0053423A">
              <w:rPr>
                <w:b/>
                <w:sz w:val="20"/>
                <w:szCs w:val="20"/>
                <w:u w:val="single"/>
                <w:lang w:val="af-ZA"/>
              </w:rPr>
              <w:t xml:space="preserve"> </w:t>
            </w:r>
            <w:r w:rsidRPr="0053423A">
              <w:rPr>
                <w:b/>
                <w:sz w:val="20"/>
                <w:szCs w:val="20"/>
                <w:u w:val="single"/>
                <w:lang w:val="hy-AM"/>
              </w:rPr>
              <w:t>պլանավորման</w:t>
            </w:r>
            <w:r w:rsidRPr="0053423A">
              <w:rPr>
                <w:b/>
                <w:sz w:val="20"/>
                <w:szCs w:val="20"/>
                <w:u w:val="single"/>
                <w:lang w:val="af-ZA"/>
              </w:rPr>
              <w:t xml:space="preserve"> </w:t>
            </w:r>
            <w:r w:rsidRPr="0053423A">
              <w:rPr>
                <w:b/>
                <w:sz w:val="20"/>
                <w:szCs w:val="20"/>
                <w:u w:val="single"/>
                <w:lang w:val="hy-AM"/>
              </w:rPr>
              <w:t>և</w:t>
            </w:r>
            <w:r w:rsidRPr="0053423A">
              <w:rPr>
                <w:b/>
                <w:sz w:val="20"/>
                <w:szCs w:val="20"/>
                <w:u w:val="single"/>
                <w:lang w:val="af-ZA"/>
              </w:rPr>
              <w:t xml:space="preserve"> </w:t>
            </w:r>
            <w:r w:rsidRPr="0053423A">
              <w:rPr>
                <w:b/>
                <w:sz w:val="20"/>
                <w:szCs w:val="20"/>
                <w:u w:val="single"/>
                <w:lang w:val="hy-AM"/>
              </w:rPr>
              <w:t>ռեսուրսների</w:t>
            </w:r>
            <w:r w:rsidRPr="0053423A">
              <w:rPr>
                <w:b/>
                <w:sz w:val="20"/>
                <w:szCs w:val="20"/>
                <w:u w:val="single"/>
                <w:lang w:val="af-ZA"/>
              </w:rPr>
              <w:t xml:space="preserve"> </w:t>
            </w:r>
            <w:r w:rsidRPr="0053423A">
              <w:rPr>
                <w:b/>
                <w:sz w:val="20"/>
                <w:szCs w:val="20"/>
                <w:u w:val="single"/>
                <w:lang w:val="hy-AM"/>
              </w:rPr>
              <w:t>կառավարման</w:t>
            </w:r>
            <w:r w:rsidRPr="0053423A">
              <w:rPr>
                <w:b/>
                <w:sz w:val="20"/>
                <w:szCs w:val="20"/>
                <w:u w:val="single"/>
                <w:lang w:val="af-ZA"/>
              </w:rPr>
              <w:t xml:space="preserve"> </w:t>
            </w:r>
            <w:r w:rsidRPr="0053423A">
              <w:rPr>
                <w:b/>
                <w:sz w:val="20"/>
                <w:szCs w:val="20"/>
                <w:u w:val="single"/>
                <w:lang w:val="hy-AM"/>
              </w:rPr>
              <w:t>միասնական</w:t>
            </w:r>
            <w:r w:rsidRPr="0053423A">
              <w:rPr>
                <w:b/>
                <w:sz w:val="20"/>
                <w:szCs w:val="20"/>
                <w:u w:val="single"/>
                <w:lang w:val="af-ZA"/>
              </w:rPr>
              <w:t xml:space="preserve"> </w:t>
            </w:r>
            <w:r w:rsidRPr="0053423A">
              <w:rPr>
                <w:b/>
                <w:sz w:val="20"/>
                <w:szCs w:val="20"/>
                <w:u w:val="single"/>
                <w:lang w:val="hy-AM"/>
              </w:rPr>
              <w:t>համակարգի</w:t>
            </w:r>
            <w:r w:rsidRPr="0053423A">
              <w:rPr>
                <w:b/>
                <w:sz w:val="20"/>
                <w:szCs w:val="20"/>
                <w:u w:val="single"/>
                <w:lang w:val="af-ZA"/>
              </w:rPr>
              <w:t xml:space="preserve"> </w:t>
            </w:r>
            <w:r w:rsidRPr="0053423A">
              <w:rPr>
                <w:b/>
                <w:sz w:val="20"/>
                <w:szCs w:val="20"/>
                <w:u w:val="single"/>
                <w:lang w:val="hy-AM"/>
              </w:rPr>
              <w:t>ներդրման</w:t>
            </w:r>
            <w:r w:rsidRPr="0053423A">
              <w:rPr>
                <w:b/>
                <w:sz w:val="20"/>
                <w:szCs w:val="20"/>
                <w:u w:val="single"/>
                <w:lang w:val="af-ZA"/>
              </w:rPr>
              <w:t xml:space="preserve"> </w:t>
            </w:r>
            <w:r w:rsidRPr="0053423A">
              <w:rPr>
                <w:b/>
                <w:sz w:val="20"/>
                <w:szCs w:val="20"/>
                <w:u w:val="single"/>
                <w:lang w:val="hy-AM"/>
              </w:rPr>
              <w:t>վերաբերյալ</w:t>
            </w:r>
          </w:p>
          <w:p w:rsidR="00BB45FD" w:rsidRPr="0053423A" w:rsidRDefault="00BB45FD" w:rsidP="00A67858">
            <w:pPr>
              <w:spacing w:after="0" w:line="276" w:lineRule="auto"/>
              <w:jc w:val="center"/>
              <w:rPr>
                <w:b/>
                <w:sz w:val="20"/>
                <w:szCs w:val="20"/>
                <w:lang w:val="af-ZA"/>
              </w:rPr>
            </w:pPr>
          </w:p>
          <w:p w:rsidR="00BB45FD" w:rsidRPr="0053423A" w:rsidRDefault="00BB45FD" w:rsidP="001F6D5D">
            <w:pPr>
              <w:numPr>
                <w:ilvl w:val="0"/>
                <w:numId w:val="163"/>
              </w:numPr>
              <w:spacing w:after="0" w:line="276" w:lineRule="auto"/>
              <w:jc w:val="both"/>
              <w:rPr>
                <w:b/>
                <w:sz w:val="20"/>
                <w:szCs w:val="20"/>
              </w:rPr>
            </w:pPr>
            <w:r w:rsidRPr="0053423A">
              <w:rPr>
                <w:b/>
                <w:sz w:val="20"/>
                <w:szCs w:val="20"/>
              </w:rPr>
              <w:t>Միջոցառումների իրականացման անհրաժեշտությունը և նպատակը</w:t>
            </w:r>
          </w:p>
          <w:p w:rsidR="00BB45FD" w:rsidRPr="0053423A" w:rsidRDefault="00BB45FD" w:rsidP="00A67858">
            <w:pPr>
              <w:spacing w:after="0" w:line="276" w:lineRule="auto"/>
              <w:ind w:firstLine="851"/>
              <w:rPr>
                <w:b/>
                <w:sz w:val="20"/>
                <w:szCs w:val="20"/>
              </w:rPr>
            </w:pPr>
            <w:r w:rsidRPr="0053423A">
              <w:rPr>
                <w:rFonts w:cs="MyriadPro-Regular"/>
                <w:sz w:val="20"/>
                <w:szCs w:val="20"/>
              </w:rPr>
              <w:t>Հաշվի առնելով պաշտպանության ոլորտի և զինված ուժերի համար անհրաժեշտ կարողությունների ձևավորման երկարաժամկետ բնույթը (5 տարի և ավել), առաջ է եկել սպառնալիքների վերլուծությունը, դրանց դիմագրավման համար անհրաժեշտ մտահղացումները, ռազմական հզորության գործիքակազմի զարգացման ու կիրառման հայեցակարգերը, ինչպես նաև պահանջվող ուժերի, միջոցների ու ռեսուրսների պլանավորումը ամբողջարկող (ինտեգրող) համընդգրկուն համակարգ ունենալու անհրաժեշտություն: Ի թիվս այլ առավելությունների, այդ համակարգը հաշվի կառնի ինչպես առկա և ՄԺԾԾ գործընթացով նախատեսվող, այնպես էլ ապագայի և կոնցեպտուալ ուժերի կարիքները, այսինքն՝ կմիավորի ԶՈւ պահպանման և զարգացման պլանավորումը:</w:t>
            </w:r>
          </w:p>
          <w:p w:rsidR="00BB45FD" w:rsidRPr="0053423A" w:rsidRDefault="00BB45FD" w:rsidP="00A67858">
            <w:pPr>
              <w:tabs>
                <w:tab w:val="left" w:pos="0"/>
                <w:tab w:val="left" w:pos="450"/>
              </w:tabs>
              <w:spacing w:after="0" w:line="276" w:lineRule="auto"/>
              <w:ind w:firstLine="851"/>
              <w:rPr>
                <w:rFonts w:cs="Sylfaen"/>
                <w:sz w:val="20"/>
                <w:szCs w:val="20"/>
              </w:rPr>
            </w:pPr>
            <w:r w:rsidRPr="0053423A">
              <w:rPr>
                <w:rFonts w:cs="Sylfaen"/>
                <w:sz w:val="20"/>
                <w:szCs w:val="20"/>
              </w:rPr>
              <w:t xml:space="preserve"> </w:t>
            </w:r>
          </w:p>
          <w:p w:rsidR="00BB45FD" w:rsidRPr="0053423A" w:rsidRDefault="00BB45FD" w:rsidP="00A67858">
            <w:pPr>
              <w:tabs>
                <w:tab w:val="left" w:pos="0"/>
                <w:tab w:val="left" w:pos="450"/>
              </w:tabs>
              <w:spacing w:after="0" w:line="276" w:lineRule="auto"/>
              <w:ind w:firstLine="851"/>
              <w:rPr>
                <w:b/>
                <w:sz w:val="20"/>
                <w:szCs w:val="20"/>
              </w:rPr>
            </w:pPr>
            <w:r w:rsidRPr="0053423A">
              <w:rPr>
                <w:b/>
                <w:sz w:val="20"/>
                <w:szCs w:val="20"/>
              </w:rPr>
              <w:t>1.1.Կարգավորման հարաբերությունների ներկա վիճակը և առկա խնդիրները</w:t>
            </w:r>
          </w:p>
          <w:p w:rsidR="00BB45FD" w:rsidRPr="0053423A" w:rsidRDefault="00BB45FD" w:rsidP="00A67858">
            <w:pPr>
              <w:tabs>
                <w:tab w:val="left" w:pos="0"/>
                <w:tab w:val="left" w:pos="450"/>
              </w:tabs>
              <w:spacing w:after="0" w:line="276" w:lineRule="auto"/>
              <w:ind w:firstLine="851"/>
              <w:rPr>
                <w:rFonts w:cs="GHEA Grapalat"/>
                <w:color w:val="000000"/>
                <w:sz w:val="20"/>
                <w:szCs w:val="20"/>
                <w:lang w:val="af-ZA"/>
              </w:rPr>
            </w:pPr>
            <w:r w:rsidRPr="0053423A">
              <w:rPr>
                <w:rFonts w:cs="GHEA Grapalat"/>
                <w:color w:val="000000"/>
                <w:sz w:val="20"/>
                <w:szCs w:val="20"/>
                <w:lang w:val="af-ZA"/>
              </w:rPr>
              <w:t>Թեև «Պաշտպանության մասին» ՀՀ օրենքը ՀՀ իրականության մեջ առաջին անգամ սահմանում է «Պաշտպանության ռազմավարական պլանավորում» հասկացությունը, այն հստակորեն չի մանրամասնում այդ գործընթացի բովանդակությունը և իրականացման հերթականությունը: Միևնույն ժամանակ, ներկայում գոյություն չունի որևիցե նորմատիվ ակտ, որը կսահմաներ ռազմավարական պլանավորման, միջնաժամկետ ծախսերի ծրագրման և ռեսուրսների կառավարման փոխկապվածությունը:</w:t>
            </w:r>
          </w:p>
          <w:p w:rsidR="00BB45FD" w:rsidRPr="0053423A" w:rsidRDefault="00BB45FD" w:rsidP="00A67858">
            <w:pPr>
              <w:tabs>
                <w:tab w:val="left" w:pos="0"/>
                <w:tab w:val="left" w:pos="450"/>
              </w:tabs>
              <w:spacing w:after="0" w:line="276" w:lineRule="auto"/>
              <w:ind w:firstLine="851"/>
              <w:rPr>
                <w:rFonts w:cs="GHEA Grapalat"/>
                <w:color w:val="000000"/>
                <w:sz w:val="20"/>
                <w:szCs w:val="20"/>
                <w:lang w:val="af-ZA"/>
              </w:rPr>
            </w:pPr>
          </w:p>
          <w:p w:rsidR="00BB45FD" w:rsidRPr="0053423A" w:rsidRDefault="00BB45FD" w:rsidP="001F6D5D">
            <w:pPr>
              <w:numPr>
                <w:ilvl w:val="1"/>
                <w:numId w:val="163"/>
              </w:numPr>
              <w:tabs>
                <w:tab w:val="left" w:pos="0"/>
                <w:tab w:val="left" w:pos="450"/>
              </w:tabs>
              <w:spacing w:after="0" w:line="276" w:lineRule="auto"/>
              <w:jc w:val="both"/>
              <w:rPr>
                <w:b/>
                <w:sz w:val="20"/>
                <w:szCs w:val="20"/>
              </w:rPr>
            </w:pPr>
            <w:r w:rsidRPr="0053423A">
              <w:rPr>
                <w:b/>
                <w:sz w:val="20"/>
                <w:szCs w:val="20"/>
              </w:rPr>
              <w:t>Ա</w:t>
            </w:r>
            <w:r w:rsidRPr="0053423A">
              <w:rPr>
                <w:b/>
                <w:sz w:val="20"/>
                <w:szCs w:val="20"/>
                <w:lang w:val="hy-AM"/>
              </w:rPr>
              <w:t>ռկա խնդիրների առաջարկվող լուծումները</w:t>
            </w:r>
          </w:p>
          <w:p w:rsidR="00BB45FD" w:rsidRPr="0053423A" w:rsidRDefault="00BB45FD" w:rsidP="00A67858">
            <w:pPr>
              <w:tabs>
                <w:tab w:val="left" w:pos="0"/>
                <w:tab w:val="left" w:pos="450"/>
                <w:tab w:val="left" w:pos="851"/>
              </w:tabs>
              <w:spacing w:after="0" w:line="276" w:lineRule="auto"/>
              <w:rPr>
                <w:sz w:val="20"/>
                <w:szCs w:val="20"/>
              </w:rPr>
            </w:pPr>
            <w:r w:rsidRPr="0053423A">
              <w:rPr>
                <w:sz w:val="20"/>
                <w:szCs w:val="20"/>
              </w:rPr>
              <w:tab/>
            </w:r>
            <w:r w:rsidRPr="0053423A">
              <w:rPr>
                <w:sz w:val="20"/>
                <w:szCs w:val="20"/>
              </w:rPr>
              <w:tab/>
              <w:t>Առաջարկվում է մշակել, նորմատիվ-իրավական ակտերով ամրագրել, ՊՆ համակարգում հաստատութենացնել (ինստիտուցիոնալացնել) և կենսագործել Պաշտպանության պլանավորման և ռեսուրսների կառավարման միասնական համակարգ (մեխանիզմներ և ընթացակարգեր):</w:t>
            </w:r>
          </w:p>
          <w:p w:rsidR="00BB45FD" w:rsidRPr="0053423A" w:rsidRDefault="00BB45FD" w:rsidP="00A67858">
            <w:pPr>
              <w:shd w:val="clear" w:color="auto" w:fill="FFFFFF"/>
              <w:spacing w:after="0" w:line="276" w:lineRule="auto"/>
              <w:ind w:firstLine="720"/>
              <w:rPr>
                <w:rFonts w:cs="GHEA Grapalat"/>
                <w:color w:val="000000"/>
                <w:sz w:val="20"/>
                <w:szCs w:val="20"/>
                <w:lang w:val="af-ZA"/>
              </w:rPr>
            </w:pPr>
          </w:p>
          <w:p w:rsidR="00BB45FD" w:rsidRPr="0053423A" w:rsidRDefault="00BB45FD" w:rsidP="00A67858">
            <w:pPr>
              <w:pStyle w:val="ListParagraph"/>
              <w:tabs>
                <w:tab w:val="left" w:pos="0"/>
                <w:tab w:val="left" w:pos="851"/>
                <w:tab w:val="left" w:pos="1134"/>
              </w:tabs>
              <w:spacing w:after="0" w:line="276" w:lineRule="auto"/>
              <w:ind w:left="0"/>
              <w:rPr>
                <w:rFonts w:cs="Sylfaen"/>
                <w:sz w:val="20"/>
                <w:szCs w:val="20"/>
                <w:lang w:val="hy-AM"/>
              </w:rPr>
            </w:pPr>
            <w:r w:rsidRPr="0053423A">
              <w:rPr>
                <w:rFonts w:cs="GHEA Grapalat"/>
                <w:color w:val="000000"/>
                <w:sz w:val="20"/>
                <w:szCs w:val="20"/>
              </w:rPr>
              <w:t xml:space="preserve"> </w:t>
            </w:r>
            <w:r w:rsidRPr="0053423A">
              <w:rPr>
                <w:rFonts w:cs="GHEA Grapalat"/>
                <w:color w:val="000000"/>
                <w:sz w:val="20"/>
                <w:szCs w:val="20"/>
              </w:rPr>
              <w:tab/>
            </w:r>
            <w:r w:rsidRPr="0053423A">
              <w:rPr>
                <w:b/>
                <w:sz w:val="20"/>
                <w:szCs w:val="20"/>
                <w:lang w:val="hy-AM"/>
              </w:rPr>
              <w:t>2.</w:t>
            </w:r>
            <w:r w:rsidRPr="0053423A">
              <w:rPr>
                <w:b/>
                <w:sz w:val="20"/>
                <w:szCs w:val="20"/>
              </w:rPr>
              <w:t xml:space="preserve"> Միջոցառումների</w:t>
            </w:r>
            <w:r w:rsidRPr="0053423A">
              <w:rPr>
                <w:b/>
                <w:sz w:val="20"/>
                <w:szCs w:val="20"/>
                <w:lang w:val="hy-AM"/>
              </w:rPr>
              <w:t xml:space="preserve"> իրականացումից ակնկալվող արդյունքը</w:t>
            </w:r>
            <w:r w:rsidRPr="0053423A">
              <w:rPr>
                <w:rFonts w:cs="Sylfaen"/>
                <w:sz w:val="20"/>
                <w:szCs w:val="20"/>
                <w:lang w:val="hy-AM"/>
              </w:rPr>
              <w:t xml:space="preserve"> </w:t>
            </w:r>
          </w:p>
          <w:p w:rsidR="00BB45FD" w:rsidRPr="0053423A" w:rsidRDefault="00BB45FD" w:rsidP="00A67858">
            <w:pPr>
              <w:tabs>
                <w:tab w:val="left" w:pos="851"/>
              </w:tabs>
              <w:spacing w:after="0" w:line="276" w:lineRule="auto"/>
              <w:rPr>
                <w:b/>
                <w:sz w:val="20"/>
                <w:szCs w:val="20"/>
                <w:u w:val="single"/>
              </w:rPr>
            </w:pPr>
            <w:r w:rsidRPr="0053423A">
              <w:rPr>
                <w:b/>
                <w:sz w:val="20"/>
                <w:szCs w:val="20"/>
              </w:rPr>
              <w:tab/>
            </w:r>
            <w:r w:rsidRPr="0053423A">
              <w:rPr>
                <w:sz w:val="20"/>
                <w:szCs w:val="20"/>
              </w:rPr>
              <w:t>Կապահովվի</w:t>
            </w:r>
            <w:r w:rsidRPr="0053423A">
              <w:rPr>
                <w:b/>
                <w:sz w:val="20"/>
                <w:szCs w:val="20"/>
              </w:rPr>
              <w:t xml:space="preserve"> </w:t>
            </w:r>
            <w:r w:rsidRPr="0053423A">
              <w:rPr>
                <w:rFonts w:cs="Arial"/>
                <w:sz w:val="20"/>
                <w:szCs w:val="20"/>
                <w:lang w:val="af-ZA"/>
              </w:rPr>
              <w:t>պ</w:t>
            </w:r>
            <w:r w:rsidRPr="0053423A">
              <w:rPr>
                <w:rFonts w:cs="Arial"/>
                <w:sz w:val="20"/>
                <w:szCs w:val="20"/>
                <w:lang w:val="hy-AM"/>
              </w:rPr>
              <w:t xml:space="preserve">աշտպանության ռազմավարության առաջնահերթությունների հիման վրա </w:t>
            </w:r>
            <w:r w:rsidRPr="0053423A">
              <w:rPr>
                <w:rFonts w:eastAsia="+mn-ea" w:cs="Arial"/>
                <w:sz w:val="20"/>
                <w:szCs w:val="20"/>
                <w:lang w:val="hy-AM"/>
              </w:rPr>
              <w:t>ռեսուրսների զարգացումը</w:t>
            </w:r>
            <w:r w:rsidRPr="0053423A">
              <w:rPr>
                <w:rFonts w:eastAsia="+mn-ea" w:cs="Arial"/>
                <w:sz w:val="20"/>
                <w:szCs w:val="20"/>
                <w:lang w:val="af-ZA"/>
              </w:rPr>
              <w:t xml:space="preserve">, </w:t>
            </w:r>
            <w:r w:rsidRPr="0053423A">
              <w:rPr>
                <w:rFonts w:eastAsia="+mn-ea" w:cs="Arial"/>
                <w:sz w:val="20"/>
                <w:szCs w:val="20"/>
                <w:lang w:val="hy-AM"/>
              </w:rPr>
              <w:t>բաշխում</w:t>
            </w:r>
            <w:r w:rsidRPr="0053423A">
              <w:rPr>
                <w:rFonts w:cs="Arial"/>
                <w:sz w:val="20"/>
                <w:szCs w:val="20"/>
                <w:lang w:val="hy-AM"/>
              </w:rPr>
              <w:t>ը</w:t>
            </w:r>
            <w:r w:rsidRPr="0053423A">
              <w:rPr>
                <w:rFonts w:cs="Arial"/>
                <w:sz w:val="20"/>
                <w:szCs w:val="20"/>
                <w:lang w:val="af-ZA"/>
              </w:rPr>
              <w:t xml:space="preserve">, </w:t>
            </w:r>
            <w:r w:rsidRPr="0053423A">
              <w:rPr>
                <w:rFonts w:cs="Arial"/>
                <w:sz w:val="20"/>
                <w:szCs w:val="20"/>
                <w:lang w:val="hy-AM"/>
              </w:rPr>
              <w:t>կառա</w:t>
            </w:r>
            <w:r w:rsidRPr="0053423A">
              <w:rPr>
                <w:rFonts w:cs="Arial"/>
                <w:sz w:val="20"/>
                <w:szCs w:val="20"/>
                <w:lang w:val="hy-AM"/>
              </w:rPr>
              <w:softHyphen/>
              <w:t>վարման և բյուջետային որոշումների ներդաշնակեցումը</w:t>
            </w:r>
            <w:r w:rsidRPr="0053423A">
              <w:rPr>
                <w:rFonts w:cs="Arial"/>
                <w:sz w:val="20"/>
                <w:szCs w:val="20"/>
                <w:lang w:val="af-ZA"/>
              </w:rPr>
              <w:t xml:space="preserve">, </w:t>
            </w:r>
            <w:r w:rsidRPr="0053423A">
              <w:rPr>
                <w:rFonts w:cs="Arial"/>
                <w:sz w:val="20"/>
                <w:szCs w:val="20"/>
                <w:lang w:val="hy-AM"/>
              </w:rPr>
              <w:t>բյուջետային ծրագրերի</w:t>
            </w:r>
            <w:r w:rsidRPr="0053423A">
              <w:rPr>
                <w:rFonts w:cs="Arial"/>
                <w:sz w:val="20"/>
                <w:szCs w:val="20"/>
                <w:lang w:val="af-ZA"/>
              </w:rPr>
              <w:t xml:space="preserve">` </w:t>
            </w:r>
            <w:r w:rsidRPr="0053423A">
              <w:rPr>
                <w:rFonts w:cs="Arial"/>
                <w:sz w:val="20"/>
                <w:szCs w:val="20"/>
                <w:lang w:val="hy-AM"/>
              </w:rPr>
              <w:t>նյութա</w:t>
            </w:r>
            <w:r w:rsidRPr="0053423A">
              <w:rPr>
                <w:rFonts w:cs="Arial"/>
                <w:sz w:val="20"/>
                <w:szCs w:val="20"/>
                <w:lang w:val="hy-AM"/>
              </w:rPr>
              <w:softHyphen/>
              <w:t>տեխնիկական առումով կայունությունը</w:t>
            </w:r>
            <w:r w:rsidRPr="0053423A">
              <w:rPr>
                <w:rFonts w:cs="Arial"/>
                <w:sz w:val="20"/>
                <w:szCs w:val="20"/>
                <w:lang w:val="af-ZA"/>
              </w:rPr>
              <w:t xml:space="preserve">, </w:t>
            </w:r>
            <w:r w:rsidRPr="0053423A">
              <w:rPr>
                <w:rFonts w:cs="Arial"/>
                <w:sz w:val="20"/>
                <w:szCs w:val="20"/>
                <w:lang w:val="hy-AM"/>
              </w:rPr>
              <w:t>մրցակցող պահանջների միջև ռացիոնալ որոշումների կայացումը</w:t>
            </w:r>
            <w:r w:rsidRPr="0053423A">
              <w:rPr>
                <w:sz w:val="20"/>
                <w:szCs w:val="20"/>
              </w:rPr>
              <w:t>:</w:t>
            </w:r>
          </w:p>
        </w:tc>
      </w:tr>
      <w:tr w:rsidR="00BB45FD" w:rsidRPr="00DE2EFA" w:rsidTr="00976405">
        <w:tc>
          <w:tcPr>
            <w:tcW w:w="425" w:type="dxa"/>
            <w:shd w:val="clear" w:color="auto" w:fill="auto"/>
          </w:tcPr>
          <w:p w:rsidR="00BB45FD" w:rsidRPr="0053423A" w:rsidRDefault="00BB45FD" w:rsidP="00A67858">
            <w:pPr>
              <w:spacing w:after="0" w:line="276" w:lineRule="auto"/>
              <w:ind w:left="-108" w:right="-108"/>
              <w:rPr>
                <w:sz w:val="20"/>
                <w:szCs w:val="20"/>
                <w:lang w:val="hy-AM"/>
              </w:rPr>
            </w:pPr>
            <w:r w:rsidRPr="0053423A">
              <w:rPr>
                <w:sz w:val="20"/>
                <w:szCs w:val="20"/>
                <w:lang w:val="hy-AM"/>
              </w:rPr>
              <w:t>16.1-16.3</w:t>
            </w:r>
          </w:p>
        </w:tc>
        <w:tc>
          <w:tcPr>
            <w:tcW w:w="11156" w:type="dxa"/>
            <w:shd w:val="clear" w:color="auto" w:fill="auto"/>
          </w:tcPr>
          <w:p w:rsidR="00BB45FD" w:rsidRPr="0053423A" w:rsidRDefault="00BB45FD" w:rsidP="00A67858">
            <w:pPr>
              <w:spacing w:after="0" w:line="276" w:lineRule="auto"/>
              <w:jc w:val="center"/>
              <w:rPr>
                <w:b/>
                <w:sz w:val="20"/>
                <w:szCs w:val="20"/>
                <w:lang w:val="hy-AM"/>
              </w:rPr>
            </w:pPr>
            <w:r w:rsidRPr="0053423A">
              <w:rPr>
                <w:b/>
                <w:sz w:val="20"/>
                <w:szCs w:val="20"/>
                <w:u w:val="single"/>
                <w:lang w:val="hy-AM"/>
              </w:rPr>
              <w:t>Պարտադիր ժամկետային և պայմանագրային ծառայության փոխլրացնող համակարգի շարունակական բարելավման վերաբերյալ</w:t>
            </w:r>
          </w:p>
          <w:p w:rsidR="00BB45FD" w:rsidRPr="0053423A" w:rsidRDefault="00BB45FD" w:rsidP="00A67858">
            <w:pPr>
              <w:spacing w:after="0" w:line="276" w:lineRule="auto"/>
              <w:jc w:val="center"/>
              <w:rPr>
                <w:b/>
                <w:sz w:val="20"/>
                <w:szCs w:val="20"/>
                <w:lang w:val="hy-AM"/>
              </w:rPr>
            </w:pPr>
          </w:p>
          <w:p w:rsidR="00BB45FD" w:rsidRPr="0053423A" w:rsidRDefault="00BB45FD" w:rsidP="00A67858">
            <w:pPr>
              <w:spacing w:after="0" w:line="276" w:lineRule="auto"/>
              <w:ind w:left="131" w:firstLine="720"/>
              <w:rPr>
                <w:b/>
                <w:sz w:val="20"/>
                <w:szCs w:val="20"/>
                <w:lang w:val="hy-AM"/>
              </w:rPr>
            </w:pPr>
            <w:r w:rsidRPr="0053423A">
              <w:rPr>
                <w:b/>
                <w:sz w:val="20"/>
                <w:szCs w:val="20"/>
                <w:lang w:val="hy-AM"/>
              </w:rPr>
              <w:t>1. Միջոցառումների իրականացման անհրաժեշտությունը և նպատակը</w:t>
            </w:r>
          </w:p>
          <w:p w:rsidR="00BB45FD" w:rsidRPr="0053423A" w:rsidRDefault="00BB45FD" w:rsidP="00A67858">
            <w:pPr>
              <w:tabs>
                <w:tab w:val="left" w:pos="0"/>
                <w:tab w:val="left" w:pos="450"/>
              </w:tabs>
              <w:spacing w:after="0" w:line="276" w:lineRule="auto"/>
              <w:ind w:firstLine="851"/>
              <w:rPr>
                <w:rFonts w:cs="Sylfaen"/>
                <w:sz w:val="20"/>
                <w:szCs w:val="20"/>
                <w:lang w:val="hy-AM"/>
              </w:rPr>
            </w:pPr>
            <w:r w:rsidRPr="0053423A">
              <w:rPr>
                <w:sz w:val="20"/>
                <w:szCs w:val="20"/>
                <w:lang w:val="hy-AM"/>
              </w:rPr>
              <w:t>Միջացառման իրականացումը պայմանավորված է տեսանելի հեռանկարում ԶՈւ համալրման խառը (պարտադիր և պայմանագրային) եղանակի պահպանման պայմաններում անձնակազմի անհրաժեշտ թվաքանակը պահպանելու, բանակի շարքեր ինքնատիպ քաղաքացիական բանիմացություններ ներգրավելու և գործող բանակի համար ավելի պատրաստված ու արհեստավարժ ռեզերվ ունենոլու անհրաժեշտությամբ</w:t>
            </w:r>
            <w:r w:rsidRPr="0053423A">
              <w:rPr>
                <w:rStyle w:val="Strong"/>
                <w:sz w:val="20"/>
                <w:szCs w:val="20"/>
                <w:lang w:val="hy-AM"/>
              </w:rPr>
              <w:t>:</w:t>
            </w:r>
          </w:p>
          <w:p w:rsidR="00BB45FD" w:rsidRPr="0053423A" w:rsidRDefault="00BB45FD" w:rsidP="00A67858">
            <w:pPr>
              <w:tabs>
                <w:tab w:val="left" w:pos="0"/>
                <w:tab w:val="left" w:pos="450"/>
              </w:tabs>
              <w:spacing w:after="0" w:line="276" w:lineRule="auto"/>
              <w:ind w:firstLine="851"/>
              <w:rPr>
                <w:b/>
                <w:sz w:val="20"/>
                <w:szCs w:val="20"/>
                <w:lang w:val="hy-AM"/>
              </w:rPr>
            </w:pPr>
            <w:r w:rsidRPr="0053423A">
              <w:rPr>
                <w:b/>
                <w:sz w:val="20"/>
                <w:szCs w:val="20"/>
                <w:lang w:val="hy-AM"/>
              </w:rPr>
              <w:t>1.1.Կարգավորման հարաբերությունների ներկա վիճակը և առկա խնդիրները</w:t>
            </w:r>
          </w:p>
          <w:p w:rsidR="00BB45FD" w:rsidRPr="0053423A" w:rsidRDefault="00BB45FD" w:rsidP="00A67858">
            <w:pPr>
              <w:tabs>
                <w:tab w:val="left" w:pos="0"/>
                <w:tab w:val="left" w:pos="450"/>
              </w:tabs>
              <w:spacing w:after="0" w:line="276" w:lineRule="auto"/>
              <w:ind w:firstLine="851"/>
              <w:rPr>
                <w:rFonts w:cs="GHEA Grapalat"/>
                <w:color w:val="000000"/>
                <w:sz w:val="20"/>
                <w:szCs w:val="20"/>
                <w:lang w:val="af-ZA"/>
              </w:rPr>
            </w:pPr>
            <w:r w:rsidRPr="0053423A">
              <w:rPr>
                <w:sz w:val="20"/>
                <w:szCs w:val="20"/>
                <w:lang w:val="hy-AM"/>
              </w:rPr>
              <w:t>2018թ. մեկնարկած քաղաքացիական բարձրագույն կրթությամբ սպայակազմի պատրաստման «Պատիվ ունեմ» և պարտադիր պայմանագրային հիմունքներով ծառայության կրման «Ես եմ» ծրագրերը կարիք ունեն շարունակման՝ դրանց ամբողջական ներզոր կարողությունները օգտագործելու նպատակով, մինչդեռ առաջ է եկել ակտիվ պահեստազորի համակարգի ներդրման միջոցով  պահեստազորայինների հասանելիությունը, արհեստավարժությունը և շարժառիթավորվածությունը բարձրացնելու անհրաժեշտություն</w:t>
            </w:r>
            <w:r w:rsidRPr="0053423A">
              <w:rPr>
                <w:rFonts w:cs="Tahoma"/>
                <w:bCs/>
                <w:sz w:val="20"/>
                <w:szCs w:val="20"/>
                <w:lang w:val="hy-AM"/>
              </w:rPr>
              <w:t>:</w:t>
            </w:r>
          </w:p>
          <w:p w:rsidR="00BB45FD" w:rsidRPr="0053423A" w:rsidRDefault="00BB45FD" w:rsidP="00A67858">
            <w:pPr>
              <w:tabs>
                <w:tab w:val="left" w:pos="0"/>
                <w:tab w:val="left" w:pos="450"/>
              </w:tabs>
              <w:spacing w:after="0" w:line="276" w:lineRule="auto"/>
              <w:ind w:firstLine="851"/>
              <w:rPr>
                <w:b/>
                <w:sz w:val="20"/>
                <w:szCs w:val="20"/>
                <w:lang w:val="hy-AM"/>
              </w:rPr>
            </w:pPr>
            <w:r w:rsidRPr="0053423A">
              <w:rPr>
                <w:rFonts w:cs="Sylfaen"/>
                <w:b/>
                <w:sz w:val="20"/>
                <w:szCs w:val="20"/>
                <w:lang w:val="hy-AM"/>
              </w:rPr>
              <w:t>1.2.</w:t>
            </w:r>
            <w:r w:rsidRPr="0053423A">
              <w:rPr>
                <w:b/>
                <w:sz w:val="20"/>
                <w:szCs w:val="20"/>
                <w:lang w:val="hy-AM"/>
              </w:rPr>
              <w:t xml:space="preserve"> </w:t>
            </w:r>
            <w:r w:rsidRPr="0053423A">
              <w:rPr>
                <w:b/>
                <w:sz w:val="20"/>
                <w:szCs w:val="20"/>
              </w:rPr>
              <w:t>Ա</w:t>
            </w:r>
            <w:r w:rsidRPr="0053423A">
              <w:rPr>
                <w:b/>
                <w:sz w:val="20"/>
                <w:szCs w:val="20"/>
                <w:lang w:val="hy-AM"/>
              </w:rPr>
              <w:t>ռկա խնդիրների առաջարկվող լուծումները</w:t>
            </w:r>
          </w:p>
          <w:p w:rsidR="00BB45FD" w:rsidRPr="0053423A" w:rsidRDefault="00BB45FD" w:rsidP="00A67858">
            <w:pPr>
              <w:shd w:val="clear" w:color="auto" w:fill="FFFFFF"/>
              <w:spacing w:after="0" w:line="276" w:lineRule="auto"/>
              <w:ind w:firstLine="851"/>
              <w:rPr>
                <w:rFonts w:cs="GHEA Grapalat"/>
                <w:color w:val="000000"/>
                <w:sz w:val="20"/>
                <w:szCs w:val="20"/>
                <w:lang w:val="af-ZA"/>
              </w:rPr>
            </w:pPr>
            <w:r w:rsidRPr="0053423A">
              <w:rPr>
                <w:rFonts w:cs="Tahoma"/>
                <w:bCs/>
                <w:sz w:val="20"/>
                <w:szCs w:val="20"/>
              </w:rPr>
              <w:t>Շարունակել</w:t>
            </w:r>
            <w:r w:rsidRPr="0053423A">
              <w:rPr>
                <w:rFonts w:cs="Tahoma"/>
                <w:bCs/>
                <w:sz w:val="20"/>
                <w:szCs w:val="20"/>
                <w:lang w:val="af-ZA"/>
              </w:rPr>
              <w:t xml:space="preserve"> </w:t>
            </w:r>
            <w:r w:rsidRPr="0053423A">
              <w:rPr>
                <w:sz w:val="20"/>
                <w:szCs w:val="20"/>
                <w:lang w:val="af-ZA"/>
              </w:rPr>
              <w:t>«</w:t>
            </w:r>
            <w:r w:rsidRPr="0053423A">
              <w:rPr>
                <w:sz w:val="20"/>
                <w:szCs w:val="20"/>
              </w:rPr>
              <w:t>Պատիվ</w:t>
            </w:r>
            <w:r w:rsidRPr="0053423A">
              <w:rPr>
                <w:sz w:val="20"/>
                <w:szCs w:val="20"/>
                <w:lang w:val="af-ZA"/>
              </w:rPr>
              <w:t xml:space="preserve"> </w:t>
            </w:r>
            <w:r w:rsidRPr="0053423A">
              <w:rPr>
                <w:sz w:val="20"/>
                <w:szCs w:val="20"/>
              </w:rPr>
              <w:t>ունեմ</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Ես</w:t>
            </w:r>
            <w:r w:rsidRPr="0053423A">
              <w:rPr>
                <w:sz w:val="20"/>
                <w:szCs w:val="20"/>
                <w:lang w:val="af-ZA"/>
              </w:rPr>
              <w:t xml:space="preserve"> </w:t>
            </w:r>
            <w:r w:rsidRPr="0053423A">
              <w:rPr>
                <w:sz w:val="20"/>
                <w:szCs w:val="20"/>
              </w:rPr>
              <w:t>եմ</w:t>
            </w:r>
            <w:r w:rsidRPr="0053423A">
              <w:rPr>
                <w:sz w:val="20"/>
                <w:szCs w:val="20"/>
                <w:lang w:val="af-ZA"/>
              </w:rPr>
              <w:t xml:space="preserve">» </w:t>
            </w:r>
            <w:r w:rsidRPr="0053423A">
              <w:rPr>
                <w:sz w:val="20"/>
                <w:szCs w:val="20"/>
              </w:rPr>
              <w:t>ծրագրերի</w:t>
            </w:r>
            <w:r w:rsidRPr="0053423A">
              <w:rPr>
                <w:sz w:val="20"/>
                <w:szCs w:val="20"/>
                <w:lang w:val="af-ZA"/>
              </w:rPr>
              <w:t xml:space="preserve"> </w:t>
            </w:r>
            <w:r w:rsidRPr="0053423A">
              <w:rPr>
                <w:sz w:val="20"/>
                <w:szCs w:val="20"/>
              </w:rPr>
              <w:t>իրականացումը</w:t>
            </w:r>
            <w:r w:rsidRPr="0053423A">
              <w:rPr>
                <w:sz w:val="20"/>
                <w:szCs w:val="20"/>
                <w:lang w:val="af-ZA"/>
              </w:rPr>
              <w:t xml:space="preserve">, </w:t>
            </w:r>
            <w:r w:rsidRPr="0053423A">
              <w:rPr>
                <w:sz w:val="20"/>
                <w:szCs w:val="20"/>
              </w:rPr>
              <w:t>ընդլայնելով</w:t>
            </w:r>
            <w:r w:rsidRPr="0053423A">
              <w:rPr>
                <w:sz w:val="20"/>
                <w:szCs w:val="20"/>
                <w:lang w:val="af-ZA"/>
              </w:rPr>
              <w:t xml:space="preserve"> </w:t>
            </w:r>
            <w:r w:rsidRPr="0053423A">
              <w:rPr>
                <w:sz w:val="20"/>
                <w:szCs w:val="20"/>
              </w:rPr>
              <w:t>դրանց</w:t>
            </w:r>
            <w:r w:rsidRPr="0053423A">
              <w:rPr>
                <w:sz w:val="20"/>
                <w:szCs w:val="20"/>
                <w:lang w:val="af-ZA"/>
              </w:rPr>
              <w:t xml:space="preserve"> </w:t>
            </w:r>
            <w:r w:rsidRPr="0053423A">
              <w:rPr>
                <w:sz w:val="20"/>
                <w:szCs w:val="20"/>
              </w:rPr>
              <w:t>շրջանակները</w:t>
            </w:r>
            <w:r w:rsidRPr="0053423A">
              <w:rPr>
                <w:sz w:val="20"/>
                <w:szCs w:val="20"/>
                <w:lang w:val="af-ZA"/>
              </w:rPr>
              <w:t xml:space="preserve">, </w:t>
            </w:r>
            <w:r w:rsidRPr="0053423A">
              <w:rPr>
                <w:sz w:val="20"/>
                <w:szCs w:val="20"/>
              </w:rPr>
              <w:t>ինչպես</w:t>
            </w:r>
            <w:r w:rsidRPr="0053423A">
              <w:rPr>
                <w:sz w:val="20"/>
                <w:szCs w:val="20"/>
                <w:lang w:val="af-ZA"/>
              </w:rPr>
              <w:t xml:space="preserve"> </w:t>
            </w:r>
            <w:r w:rsidRPr="0053423A">
              <w:rPr>
                <w:sz w:val="20"/>
                <w:szCs w:val="20"/>
              </w:rPr>
              <w:t>նաև</w:t>
            </w:r>
            <w:r w:rsidRPr="0053423A">
              <w:rPr>
                <w:sz w:val="20"/>
                <w:szCs w:val="20"/>
                <w:lang w:val="af-ZA"/>
              </w:rPr>
              <w:t xml:space="preserve"> </w:t>
            </w:r>
            <w:r w:rsidRPr="0053423A">
              <w:rPr>
                <w:sz w:val="20"/>
                <w:szCs w:val="20"/>
              </w:rPr>
              <w:t>ներդնել</w:t>
            </w:r>
            <w:r w:rsidRPr="0053423A">
              <w:rPr>
                <w:sz w:val="20"/>
                <w:szCs w:val="20"/>
                <w:lang w:val="af-ZA"/>
              </w:rPr>
              <w:t xml:space="preserve"> </w:t>
            </w:r>
            <w:r w:rsidRPr="0053423A">
              <w:rPr>
                <w:sz w:val="20"/>
                <w:szCs w:val="20"/>
              </w:rPr>
              <w:t>ակտիվ</w:t>
            </w:r>
            <w:r w:rsidRPr="0053423A">
              <w:rPr>
                <w:sz w:val="20"/>
                <w:szCs w:val="20"/>
                <w:lang w:val="af-ZA"/>
              </w:rPr>
              <w:t xml:space="preserve"> </w:t>
            </w:r>
            <w:r w:rsidRPr="0053423A">
              <w:rPr>
                <w:sz w:val="20"/>
                <w:szCs w:val="20"/>
              </w:rPr>
              <w:t>պահեստազորի</w:t>
            </w:r>
            <w:r w:rsidRPr="0053423A">
              <w:rPr>
                <w:sz w:val="20"/>
                <w:szCs w:val="20"/>
                <w:lang w:val="af-ZA"/>
              </w:rPr>
              <w:t xml:space="preserve"> </w:t>
            </w:r>
            <w:r w:rsidRPr="0053423A">
              <w:rPr>
                <w:sz w:val="20"/>
                <w:szCs w:val="20"/>
              </w:rPr>
              <w:t>համակարգ</w:t>
            </w:r>
            <w:r w:rsidRPr="0053423A">
              <w:rPr>
                <w:sz w:val="20"/>
                <w:szCs w:val="20"/>
                <w:lang w:val="af-ZA"/>
              </w:rPr>
              <w:t>:</w:t>
            </w:r>
            <w:r w:rsidRPr="0053423A">
              <w:rPr>
                <w:rFonts w:cs="GHEA Grapalat"/>
                <w:color w:val="000000"/>
                <w:sz w:val="20"/>
                <w:szCs w:val="20"/>
                <w:lang w:val="af-ZA"/>
              </w:rPr>
              <w:tab/>
            </w:r>
          </w:p>
          <w:p w:rsidR="00BB45FD" w:rsidRPr="0053423A" w:rsidRDefault="00BB45FD" w:rsidP="00A67858">
            <w:pPr>
              <w:pStyle w:val="ListParagraph"/>
              <w:tabs>
                <w:tab w:val="left" w:pos="0"/>
                <w:tab w:val="left" w:pos="851"/>
                <w:tab w:val="left" w:pos="1134"/>
              </w:tabs>
              <w:spacing w:after="0" w:line="276" w:lineRule="auto"/>
              <w:ind w:left="0"/>
              <w:rPr>
                <w:rFonts w:cs="Sylfaen"/>
                <w:sz w:val="20"/>
                <w:szCs w:val="20"/>
                <w:lang w:val="hy-AM"/>
              </w:rPr>
            </w:pPr>
            <w:r w:rsidRPr="0053423A">
              <w:rPr>
                <w:rFonts w:cs="GHEA Grapalat"/>
                <w:color w:val="000000"/>
                <w:sz w:val="20"/>
                <w:szCs w:val="20"/>
                <w:lang w:val="af-ZA"/>
              </w:rPr>
              <w:t xml:space="preserve"> </w:t>
            </w:r>
            <w:r w:rsidRPr="0053423A">
              <w:rPr>
                <w:rFonts w:cs="GHEA Grapalat"/>
                <w:color w:val="000000"/>
                <w:sz w:val="20"/>
                <w:szCs w:val="20"/>
                <w:lang w:val="af-ZA"/>
              </w:rPr>
              <w:tab/>
            </w:r>
            <w:r w:rsidRPr="0053423A">
              <w:rPr>
                <w:b/>
                <w:sz w:val="20"/>
                <w:szCs w:val="20"/>
                <w:lang w:val="hy-AM"/>
              </w:rPr>
              <w:t>2.</w:t>
            </w:r>
            <w:r w:rsidRPr="0053423A">
              <w:rPr>
                <w:b/>
                <w:sz w:val="20"/>
                <w:szCs w:val="20"/>
                <w:lang w:val="af-ZA"/>
              </w:rPr>
              <w:t xml:space="preserve"> </w:t>
            </w:r>
            <w:r w:rsidRPr="0053423A">
              <w:rPr>
                <w:b/>
                <w:sz w:val="20"/>
                <w:szCs w:val="20"/>
              </w:rPr>
              <w:t>Միջոցառումների</w:t>
            </w:r>
            <w:r w:rsidRPr="0053423A">
              <w:rPr>
                <w:b/>
                <w:sz w:val="20"/>
                <w:szCs w:val="20"/>
                <w:lang w:val="hy-AM"/>
              </w:rPr>
              <w:t xml:space="preserve"> իրականացումից ակնկալվող արդյունքը</w:t>
            </w:r>
            <w:r w:rsidRPr="0053423A">
              <w:rPr>
                <w:rFonts w:cs="Sylfaen"/>
                <w:sz w:val="20"/>
                <w:szCs w:val="20"/>
                <w:lang w:val="hy-AM"/>
              </w:rPr>
              <w:t xml:space="preserve"> </w:t>
            </w:r>
          </w:p>
          <w:p w:rsidR="00BB45FD" w:rsidRPr="0053423A" w:rsidRDefault="00BB45FD" w:rsidP="00A67858">
            <w:pPr>
              <w:tabs>
                <w:tab w:val="left" w:pos="851"/>
              </w:tabs>
              <w:spacing w:after="0" w:line="276" w:lineRule="auto"/>
              <w:rPr>
                <w:b/>
                <w:sz w:val="20"/>
                <w:szCs w:val="20"/>
                <w:u w:val="single"/>
                <w:lang w:val="af-ZA"/>
              </w:rPr>
            </w:pPr>
            <w:r w:rsidRPr="0053423A">
              <w:rPr>
                <w:b/>
                <w:sz w:val="20"/>
                <w:szCs w:val="20"/>
                <w:lang w:val="af-ZA"/>
              </w:rPr>
              <w:tab/>
            </w:r>
            <w:r w:rsidRPr="0053423A">
              <w:rPr>
                <w:sz w:val="20"/>
                <w:szCs w:val="20"/>
              </w:rPr>
              <w:t>Կապահովվի</w:t>
            </w:r>
            <w:r w:rsidRPr="0053423A">
              <w:rPr>
                <w:sz w:val="20"/>
                <w:szCs w:val="20"/>
                <w:lang w:val="af-ZA"/>
              </w:rPr>
              <w:t xml:space="preserve">  </w:t>
            </w:r>
            <w:r w:rsidRPr="0053423A">
              <w:rPr>
                <w:sz w:val="20"/>
                <w:szCs w:val="20"/>
              </w:rPr>
              <w:t>բնակչության</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ռեսուրսների</w:t>
            </w:r>
            <w:r w:rsidRPr="0053423A">
              <w:rPr>
                <w:sz w:val="20"/>
                <w:szCs w:val="20"/>
                <w:lang w:val="af-ZA"/>
              </w:rPr>
              <w:t xml:space="preserve"> </w:t>
            </w:r>
            <w:r w:rsidRPr="0053423A">
              <w:rPr>
                <w:sz w:val="20"/>
                <w:szCs w:val="20"/>
              </w:rPr>
              <w:t>նկատմամբ</w:t>
            </w:r>
            <w:r w:rsidRPr="0053423A">
              <w:rPr>
                <w:sz w:val="20"/>
                <w:szCs w:val="20"/>
                <w:lang w:val="af-ZA"/>
              </w:rPr>
              <w:t xml:space="preserve"> </w:t>
            </w:r>
            <w:r w:rsidRPr="0053423A">
              <w:rPr>
                <w:sz w:val="20"/>
                <w:szCs w:val="20"/>
              </w:rPr>
              <w:t>անհամաչափ</w:t>
            </w:r>
            <w:r w:rsidRPr="0053423A">
              <w:rPr>
                <w:sz w:val="20"/>
                <w:szCs w:val="20"/>
                <w:lang w:val="af-ZA"/>
              </w:rPr>
              <w:t xml:space="preserve"> </w:t>
            </w:r>
            <w:r w:rsidRPr="0053423A">
              <w:rPr>
                <w:sz w:val="20"/>
                <w:szCs w:val="20"/>
              </w:rPr>
              <w:t>մեծաքանակ</w:t>
            </w:r>
            <w:r w:rsidRPr="0053423A">
              <w:rPr>
                <w:sz w:val="20"/>
                <w:szCs w:val="20"/>
                <w:lang w:val="af-ZA"/>
              </w:rPr>
              <w:t xml:space="preserve"> </w:t>
            </w:r>
            <w:r w:rsidRPr="0053423A">
              <w:rPr>
                <w:sz w:val="20"/>
                <w:szCs w:val="20"/>
              </w:rPr>
              <w:t>զինված</w:t>
            </w:r>
            <w:r w:rsidRPr="0053423A">
              <w:rPr>
                <w:sz w:val="20"/>
                <w:szCs w:val="20"/>
                <w:lang w:val="af-ZA"/>
              </w:rPr>
              <w:t xml:space="preserve"> </w:t>
            </w:r>
            <w:r w:rsidRPr="0053423A">
              <w:rPr>
                <w:sz w:val="20"/>
                <w:szCs w:val="20"/>
              </w:rPr>
              <w:t>ուժերի՝</w:t>
            </w:r>
            <w:r w:rsidRPr="0053423A">
              <w:rPr>
                <w:sz w:val="20"/>
                <w:szCs w:val="20"/>
                <w:lang w:val="af-ZA"/>
              </w:rPr>
              <w:t xml:space="preserve"> </w:t>
            </w:r>
            <w:r w:rsidRPr="0053423A">
              <w:rPr>
                <w:sz w:val="20"/>
                <w:szCs w:val="20"/>
              </w:rPr>
              <w:t>անձնակազմով</w:t>
            </w:r>
            <w:r w:rsidRPr="0053423A">
              <w:rPr>
                <w:sz w:val="20"/>
                <w:szCs w:val="20"/>
                <w:lang w:val="af-ZA"/>
              </w:rPr>
              <w:t xml:space="preserve"> </w:t>
            </w:r>
            <w:r w:rsidRPr="0053423A">
              <w:rPr>
                <w:sz w:val="20"/>
                <w:szCs w:val="20"/>
              </w:rPr>
              <w:t>համալրումը</w:t>
            </w:r>
            <w:r w:rsidRPr="0053423A">
              <w:rPr>
                <w:sz w:val="20"/>
                <w:szCs w:val="20"/>
                <w:lang w:val="af-ZA"/>
              </w:rPr>
              <w:t xml:space="preserve">, </w:t>
            </w:r>
            <w:r w:rsidRPr="0053423A">
              <w:rPr>
                <w:sz w:val="20"/>
                <w:szCs w:val="20"/>
              </w:rPr>
              <w:t>հասանելի</w:t>
            </w:r>
            <w:r w:rsidRPr="0053423A">
              <w:rPr>
                <w:sz w:val="20"/>
                <w:szCs w:val="20"/>
                <w:lang w:val="af-ZA"/>
              </w:rPr>
              <w:t xml:space="preserve"> </w:t>
            </w:r>
            <w:r w:rsidRPr="0053423A">
              <w:rPr>
                <w:sz w:val="20"/>
                <w:szCs w:val="20"/>
              </w:rPr>
              <w:t>կլինեն</w:t>
            </w:r>
            <w:r w:rsidRPr="0053423A">
              <w:rPr>
                <w:sz w:val="20"/>
                <w:szCs w:val="20"/>
                <w:lang w:val="af-ZA"/>
              </w:rPr>
              <w:t xml:space="preserve"> </w:t>
            </w:r>
            <w:r w:rsidRPr="0053423A">
              <w:rPr>
                <w:sz w:val="20"/>
                <w:szCs w:val="20"/>
              </w:rPr>
              <w:t>պարտադիր</w:t>
            </w:r>
            <w:r w:rsidRPr="0053423A">
              <w:rPr>
                <w:sz w:val="20"/>
                <w:szCs w:val="20"/>
                <w:lang w:val="af-ZA"/>
              </w:rPr>
              <w:t xml:space="preserve"> </w:t>
            </w:r>
            <w:r w:rsidRPr="0053423A">
              <w:rPr>
                <w:sz w:val="20"/>
                <w:szCs w:val="20"/>
              </w:rPr>
              <w:t>զինվորական</w:t>
            </w:r>
            <w:r w:rsidRPr="0053423A">
              <w:rPr>
                <w:sz w:val="20"/>
                <w:szCs w:val="20"/>
                <w:lang w:val="af-ZA"/>
              </w:rPr>
              <w:t xml:space="preserve"> </w:t>
            </w:r>
            <w:r w:rsidRPr="0053423A">
              <w:rPr>
                <w:sz w:val="20"/>
                <w:szCs w:val="20"/>
              </w:rPr>
              <w:t>ծառայության</w:t>
            </w:r>
            <w:r w:rsidRPr="0053423A">
              <w:rPr>
                <w:sz w:val="20"/>
                <w:szCs w:val="20"/>
                <w:lang w:val="af-ZA"/>
              </w:rPr>
              <w:t xml:space="preserve"> </w:t>
            </w:r>
            <w:r w:rsidRPr="0053423A">
              <w:rPr>
                <w:sz w:val="20"/>
                <w:szCs w:val="20"/>
              </w:rPr>
              <w:t>այլընտրանքային</w:t>
            </w:r>
            <w:r w:rsidRPr="0053423A">
              <w:rPr>
                <w:sz w:val="20"/>
                <w:szCs w:val="20"/>
                <w:lang w:val="af-ZA"/>
              </w:rPr>
              <w:t xml:space="preserve"> </w:t>
            </w:r>
            <w:r w:rsidRPr="0053423A">
              <w:rPr>
                <w:sz w:val="20"/>
                <w:szCs w:val="20"/>
              </w:rPr>
              <w:t>լուծումներ</w:t>
            </w:r>
            <w:r w:rsidRPr="0053423A">
              <w:rPr>
                <w:sz w:val="20"/>
                <w:szCs w:val="20"/>
                <w:lang w:val="af-ZA"/>
              </w:rPr>
              <w:t xml:space="preserve">, </w:t>
            </w:r>
            <w:r w:rsidRPr="0053423A">
              <w:rPr>
                <w:sz w:val="20"/>
                <w:szCs w:val="20"/>
              </w:rPr>
              <w:t>բանակ</w:t>
            </w:r>
            <w:r w:rsidRPr="0053423A">
              <w:rPr>
                <w:sz w:val="20"/>
                <w:szCs w:val="20"/>
                <w:lang w:val="af-ZA"/>
              </w:rPr>
              <w:t xml:space="preserve"> </w:t>
            </w:r>
            <w:r w:rsidRPr="0053423A">
              <w:rPr>
                <w:sz w:val="20"/>
                <w:szCs w:val="20"/>
              </w:rPr>
              <w:t>կներգրավվեն</w:t>
            </w:r>
            <w:r w:rsidRPr="0053423A">
              <w:rPr>
                <w:sz w:val="20"/>
                <w:szCs w:val="20"/>
                <w:lang w:val="af-ZA"/>
              </w:rPr>
              <w:t xml:space="preserve"> </w:t>
            </w:r>
            <w:r w:rsidRPr="0053423A">
              <w:rPr>
                <w:sz w:val="20"/>
                <w:szCs w:val="20"/>
              </w:rPr>
              <w:t>բանիմացությունների</w:t>
            </w:r>
            <w:r w:rsidRPr="0053423A">
              <w:rPr>
                <w:sz w:val="20"/>
                <w:szCs w:val="20"/>
                <w:lang w:val="af-ZA"/>
              </w:rPr>
              <w:t xml:space="preserve"> </w:t>
            </w:r>
            <w:r w:rsidRPr="0053423A">
              <w:rPr>
                <w:sz w:val="20"/>
                <w:szCs w:val="20"/>
              </w:rPr>
              <w:t>բարձր</w:t>
            </w:r>
            <w:r w:rsidRPr="0053423A">
              <w:rPr>
                <w:sz w:val="20"/>
                <w:szCs w:val="20"/>
                <w:lang w:val="af-ZA"/>
              </w:rPr>
              <w:t xml:space="preserve"> </w:t>
            </w:r>
            <w:r w:rsidRPr="0053423A">
              <w:rPr>
                <w:sz w:val="20"/>
                <w:szCs w:val="20"/>
              </w:rPr>
              <w:t>մակարդակով</w:t>
            </w:r>
            <w:r w:rsidRPr="0053423A">
              <w:rPr>
                <w:sz w:val="20"/>
                <w:szCs w:val="20"/>
                <w:lang w:val="af-ZA"/>
              </w:rPr>
              <w:t xml:space="preserve"> </w:t>
            </w:r>
            <w:r w:rsidRPr="0053423A">
              <w:rPr>
                <w:sz w:val="20"/>
                <w:szCs w:val="20"/>
              </w:rPr>
              <w:t>պրոֆեսիոնալ</w:t>
            </w:r>
            <w:r w:rsidRPr="0053423A">
              <w:rPr>
                <w:sz w:val="20"/>
                <w:szCs w:val="20"/>
                <w:lang w:val="af-ZA"/>
              </w:rPr>
              <w:t xml:space="preserve"> </w:t>
            </w:r>
            <w:r w:rsidRPr="0053423A">
              <w:rPr>
                <w:sz w:val="20"/>
                <w:szCs w:val="20"/>
              </w:rPr>
              <w:t>կադրեր</w:t>
            </w:r>
            <w:r w:rsidRPr="0053423A">
              <w:rPr>
                <w:sz w:val="20"/>
                <w:szCs w:val="20"/>
                <w:lang w:val="af-ZA"/>
              </w:rPr>
              <w:t>:</w:t>
            </w:r>
          </w:p>
        </w:tc>
      </w:tr>
      <w:tr w:rsidR="00BB45FD" w:rsidRPr="00DE2EFA" w:rsidTr="00976405">
        <w:tc>
          <w:tcPr>
            <w:tcW w:w="425" w:type="dxa"/>
            <w:shd w:val="clear" w:color="auto" w:fill="auto"/>
          </w:tcPr>
          <w:p w:rsidR="00BB45FD" w:rsidRPr="0053423A" w:rsidRDefault="00BB45FD" w:rsidP="00A67858">
            <w:pPr>
              <w:spacing w:after="0" w:line="276" w:lineRule="auto"/>
              <w:ind w:left="-108" w:right="-108"/>
              <w:rPr>
                <w:sz w:val="20"/>
                <w:szCs w:val="20"/>
                <w:lang w:val="hy-AM"/>
              </w:rPr>
            </w:pPr>
            <w:r w:rsidRPr="0053423A">
              <w:rPr>
                <w:sz w:val="20"/>
                <w:szCs w:val="20"/>
                <w:lang w:val="hy-AM"/>
              </w:rPr>
              <w:t>17.1-17.4</w:t>
            </w:r>
          </w:p>
        </w:tc>
        <w:tc>
          <w:tcPr>
            <w:tcW w:w="11156" w:type="dxa"/>
            <w:shd w:val="clear" w:color="auto" w:fill="auto"/>
          </w:tcPr>
          <w:p w:rsidR="00BB45FD" w:rsidRPr="0053423A" w:rsidRDefault="00BB45FD" w:rsidP="00A67858">
            <w:pPr>
              <w:spacing w:after="0" w:line="276" w:lineRule="auto"/>
              <w:jc w:val="center"/>
              <w:rPr>
                <w:b/>
                <w:sz w:val="20"/>
                <w:szCs w:val="20"/>
                <w:lang w:val="af-ZA"/>
              </w:rPr>
            </w:pPr>
            <w:r w:rsidRPr="0053423A">
              <w:rPr>
                <w:b/>
                <w:sz w:val="20"/>
                <w:szCs w:val="20"/>
                <w:u w:val="single"/>
                <w:lang w:val="hy-AM"/>
              </w:rPr>
              <w:t>Սոցիալական</w:t>
            </w:r>
            <w:r w:rsidRPr="0053423A">
              <w:rPr>
                <w:b/>
                <w:sz w:val="20"/>
                <w:szCs w:val="20"/>
                <w:u w:val="single"/>
                <w:lang w:val="af-ZA"/>
              </w:rPr>
              <w:t xml:space="preserve"> </w:t>
            </w:r>
            <w:r w:rsidRPr="0053423A">
              <w:rPr>
                <w:b/>
                <w:sz w:val="20"/>
                <w:szCs w:val="20"/>
                <w:u w:val="single"/>
                <w:lang w:val="hy-AM"/>
              </w:rPr>
              <w:t>պաշտպանության</w:t>
            </w:r>
            <w:r w:rsidRPr="0053423A">
              <w:rPr>
                <w:b/>
                <w:sz w:val="20"/>
                <w:szCs w:val="20"/>
                <w:u w:val="single"/>
                <w:lang w:val="af-ZA"/>
              </w:rPr>
              <w:t xml:space="preserve"> </w:t>
            </w:r>
            <w:r w:rsidRPr="0053423A">
              <w:rPr>
                <w:b/>
                <w:sz w:val="20"/>
                <w:szCs w:val="20"/>
                <w:u w:val="single"/>
                <w:lang w:val="hy-AM"/>
              </w:rPr>
              <w:t>համակարգի</w:t>
            </w:r>
            <w:r w:rsidRPr="0053423A">
              <w:rPr>
                <w:b/>
                <w:sz w:val="20"/>
                <w:szCs w:val="20"/>
                <w:u w:val="single"/>
                <w:lang w:val="af-ZA"/>
              </w:rPr>
              <w:t xml:space="preserve"> </w:t>
            </w:r>
            <w:r w:rsidRPr="0053423A">
              <w:rPr>
                <w:b/>
                <w:sz w:val="20"/>
                <w:szCs w:val="20"/>
                <w:u w:val="single"/>
                <w:lang w:val="hy-AM"/>
              </w:rPr>
              <w:t>զարգացման</w:t>
            </w:r>
            <w:r w:rsidRPr="0053423A">
              <w:rPr>
                <w:b/>
                <w:sz w:val="20"/>
                <w:szCs w:val="20"/>
                <w:u w:val="single"/>
                <w:lang w:val="af-ZA"/>
              </w:rPr>
              <w:t xml:space="preserve"> </w:t>
            </w:r>
            <w:r w:rsidRPr="0053423A">
              <w:rPr>
                <w:b/>
                <w:sz w:val="20"/>
                <w:szCs w:val="20"/>
                <w:u w:val="single"/>
                <w:lang w:val="hy-AM"/>
              </w:rPr>
              <w:t>վերաբերյալ</w:t>
            </w:r>
          </w:p>
          <w:p w:rsidR="00BB45FD" w:rsidRPr="0053423A" w:rsidRDefault="00BB45FD" w:rsidP="00A67858">
            <w:pPr>
              <w:spacing w:after="0" w:line="276" w:lineRule="auto"/>
              <w:jc w:val="center"/>
              <w:rPr>
                <w:b/>
                <w:sz w:val="20"/>
                <w:szCs w:val="20"/>
                <w:lang w:val="af-ZA"/>
              </w:rPr>
            </w:pPr>
          </w:p>
          <w:p w:rsidR="00BB45FD" w:rsidRPr="0053423A" w:rsidRDefault="00BB45FD" w:rsidP="00A67858">
            <w:pPr>
              <w:spacing w:after="0" w:line="276" w:lineRule="auto"/>
              <w:ind w:left="131" w:firstLine="720"/>
              <w:rPr>
                <w:b/>
                <w:sz w:val="20"/>
                <w:szCs w:val="20"/>
                <w:lang w:val="af-ZA"/>
              </w:rPr>
            </w:pPr>
            <w:r w:rsidRPr="0053423A">
              <w:rPr>
                <w:b/>
                <w:sz w:val="20"/>
                <w:szCs w:val="20"/>
                <w:lang w:val="af-ZA"/>
              </w:rPr>
              <w:t xml:space="preserve">1. </w:t>
            </w:r>
            <w:r w:rsidRPr="0053423A">
              <w:rPr>
                <w:b/>
                <w:sz w:val="20"/>
                <w:szCs w:val="20"/>
                <w:lang w:val="hy-AM"/>
              </w:rPr>
              <w:t>Միջոցառումների</w:t>
            </w:r>
            <w:r w:rsidRPr="0053423A">
              <w:rPr>
                <w:b/>
                <w:sz w:val="20"/>
                <w:szCs w:val="20"/>
                <w:lang w:val="af-ZA"/>
              </w:rPr>
              <w:t xml:space="preserve"> </w:t>
            </w:r>
            <w:r w:rsidRPr="0053423A">
              <w:rPr>
                <w:b/>
                <w:sz w:val="20"/>
                <w:szCs w:val="20"/>
                <w:lang w:val="hy-AM"/>
              </w:rPr>
              <w:t>իրականացման</w:t>
            </w:r>
            <w:r w:rsidRPr="0053423A">
              <w:rPr>
                <w:b/>
                <w:sz w:val="20"/>
                <w:szCs w:val="20"/>
                <w:lang w:val="af-ZA"/>
              </w:rPr>
              <w:t xml:space="preserve"> </w:t>
            </w:r>
            <w:r w:rsidRPr="0053423A">
              <w:rPr>
                <w:b/>
                <w:sz w:val="20"/>
                <w:szCs w:val="20"/>
                <w:lang w:val="hy-AM"/>
              </w:rPr>
              <w:t>անհրաժեշտությունը</w:t>
            </w:r>
            <w:r w:rsidRPr="0053423A">
              <w:rPr>
                <w:b/>
                <w:sz w:val="20"/>
                <w:szCs w:val="20"/>
                <w:lang w:val="af-ZA"/>
              </w:rPr>
              <w:t xml:space="preserve"> </w:t>
            </w:r>
            <w:r w:rsidRPr="0053423A">
              <w:rPr>
                <w:b/>
                <w:sz w:val="20"/>
                <w:szCs w:val="20"/>
                <w:lang w:val="hy-AM"/>
              </w:rPr>
              <w:t>և</w:t>
            </w:r>
            <w:r w:rsidRPr="0053423A">
              <w:rPr>
                <w:b/>
                <w:sz w:val="20"/>
                <w:szCs w:val="20"/>
                <w:lang w:val="af-ZA"/>
              </w:rPr>
              <w:t xml:space="preserve"> </w:t>
            </w:r>
            <w:r w:rsidRPr="0053423A">
              <w:rPr>
                <w:b/>
                <w:sz w:val="20"/>
                <w:szCs w:val="20"/>
                <w:lang w:val="hy-AM"/>
              </w:rPr>
              <w:t>նպատակը</w:t>
            </w:r>
          </w:p>
          <w:p w:rsidR="00BB45FD" w:rsidRPr="0053423A" w:rsidRDefault="00BB45FD" w:rsidP="00A67858">
            <w:pPr>
              <w:pStyle w:val="NormalWeb"/>
              <w:spacing w:before="0" w:beforeAutospacing="0" w:after="0" w:afterAutospacing="0" w:line="276" w:lineRule="auto"/>
              <w:ind w:left="131" w:right="84" w:firstLine="720"/>
              <w:jc w:val="both"/>
              <w:rPr>
                <w:rFonts w:ascii="GHEA Grapalat" w:hAnsi="GHEA Grapalat" w:cs="Sylfaen"/>
                <w:sz w:val="20"/>
                <w:szCs w:val="20"/>
                <w:shd w:val="clear" w:color="auto" w:fill="FFFFFF"/>
                <w:lang w:val="af-ZA"/>
              </w:rPr>
            </w:pPr>
            <w:r w:rsidRPr="0053423A">
              <w:rPr>
                <w:rFonts w:ascii="GHEA Grapalat" w:hAnsi="GHEA Grapalat"/>
                <w:sz w:val="20"/>
                <w:szCs w:val="20"/>
              </w:rPr>
              <w:t>Միջացառման</w:t>
            </w:r>
            <w:r w:rsidRPr="0053423A">
              <w:rPr>
                <w:rFonts w:ascii="GHEA Grapalat" w:hAnsi="GHEA Grapalat"/>
                <w:sz w:val="20"/>
                <w:szCs w:val="20"/>
                <w:lang w:val="af-ZA"/>
              </w:rPr>
              <w:t xml:space="preserve"> </w:t>
            </w:r>
            <w:r w:rsidRPr="0053423A">
              <w:rPr>
                <w:rFonts w:ascii="GHEA Grapalat" w:hAnsi="GHEA Grapalat"/>
                <w:sz w:val="20"/>
                <w:szCs w:val="20"/>
              </w:rPr>
              <w:t>իրականացումը</w:t>
            </w:r>
            <w:r w:rsidRPr="0053423A">
              <w:rPr>
                <w:rFonts w:ascii="GHEA Grapalat" w:hAnsi="GHEA Grapalat"/>
                <w:sz w:val="20"/>
                <w:szCs w:val="20"/>
                <w:lang w:val="af-ZA"/>
              </w:rPr>
              <w:t xml:space="preserve"> </w:t>
            </w:r>
            <w:r w:rsidRPr="0053423A">
              <w:rPr>
                <w:rFonts w:ascii="GHEA Grapalat" w:hAnsi="GHEA Grapalat"/>
                <w:sz w:val="20"/>
                <w:szCs w:val="20"/>
              </w:rPr>
              <w:t>պայմանավորված</w:t>
            </w:r>
            <w:r w:rsidRPr="0053423A">
              <w:rPr>
                <w:rFonts w:ascii="GHEA Grapalat" w:hAnsi="GHEA Grapalat"/>
                <w:sz w:val="20"/>
                <w:szCs w:val="20"/>
                <w:lang w:val="af-ZA"/>
              </w:rPr>
              <w:t xml:space="preserve"> </w:t>
            </w:r>
            <w:r w:rsidRPr="0053423A">
              <w:rPr>
                <w:rFonts w:ascii="GHEA Grapalat" w:hAnsi="GHEA Grapalat"/>
                <w:sz w:val="20"/>
                <w:szCs w:val="20"/>
              </w:rPr>
              <w:t>է</w:t>
            </w:r>
            <w:r w:rsidRPr="0053423A">
              <w:rPr>
                <w:rFonts w:ascii="GHEA Grapalat" w:hAnsi="GHEA Grapalat"/>
                <w:sz w:val="20"/>
                <w:szCs w:val="20"/>
                <w:lang w:val="af-ZA"/>
              </w:rPr>
              <w:t xml:space="preserve"> </w:t>
            </w:r>
            <w:r w:rsidRPr="0053423A">
              <w:rPr>
                <w:rFonts w:ascii="GHEA Grapalat" w:hAnsi="GHEA Grapalat"/>
                <w:sz w:val="20"/>
                <w:szCs w:val="20"/>
              </w:rPr>
              <w:t>անձնակազմի</w:t>
            </w:r>
            <w:r w:rsidRPr="0053423A">
              <w:rPr>
                <w:rFonts w:ascii="GHEA Grapalat" w:hAnsi="GHEA Grapalat"/>
                <w:sz w:val="20"/>
                <w:szCs w:val="20"/>
                <w:lang w:val="af-ZA"/>
              </w:rPr>
              <w:t xml:space="preserve"> </w:t>
            </w:r>
            <w:r w:rsidRPr="0053423A">
              <w:rPr>
                <w:rFonts w:ascii="GHEA Grapalat" w:hAnsi="GHEA Grapalat"/>
                <w:sz w:val="20"/>
                <w:szCs w:val="20"/>
              </w:rPr>
              <w:t>դրամական</w:t>
            </w:r>
            <w:r w:rsidRPr="0053423A">
              <w:rPr>
                <w:rFonts w:ascii="GHEA Grapalat" w:hAnsi="GHEA Grapalat"/>
                <w:sz w:val="20"/>
                <w:szCs w:val="20"/>
                <w:lang w:val="af-ZA"/>
              </w:rPr>
              <w:t xml:space="preserve"> </w:t>
            </w:r>
            <w:r w:rsidRPr="0053423A">
              <w:rPr>
                <w:rFonts w:ascii="GHEA Grapalat" w:hAnsi="GHEA Grapalat"/>
                <w:sz w:val="20"/>
                <w:szCs w:val="20"/>
              </w:rPr>
              <w:t>բավարարման</w:t>
            </w:r>
            <w:r w:rsidRPr="0053423A">
              <w:rPr>
                <w:rFonts w:ascii="GHEA Grapalat" w:hAnsi="GHEA Grapalat"/>
                <w:sz w:val="20"/>
                <w:szCs w:val="20"/>
                <w:lang w:val="af-ZA"/>
              </w:rPr>
              <w:t xml:space="preserve">, </w:t>
            </w:r>
            <w:r w:rsidRPr="0053423A">
              <w:rPr>
                <w:rFonts w:ascii="GHEA Grapalat" w:hAnsi="GHEA Grapalat"/>
                <w:sz w:val="20"/>
                <w:szCs w:val="20"/>
              </w:rPr>
              <w:t>բնակարանային</w:t>
            </w:r>
            <w:r w:rsidRPr="0053423A">
              <w:rPr>
                <w:rFonts w:ascii="GHEA Grapalat" w:hAnsi="GHEA Grapalat"/>
                <w:sz w:val="20"/>
                <w:szCs w:val="20"/>
                <w:lang w:val="af-ZA"/>
              </w:rPr>
              <w:t xml:space="preserve"> </w:t>
            </w:r>
            <w:r w:rsidRPr="0053423A">
              <w:rPr>
                <w:rFonts w:ascii="GHEA Grapalat" w:hAnsi="GHEA Grapalat"/>
                <w:sz w:val="20"/>
                <w:szCs w:val="20"/>
              </w:rPr>
              <w:t>և</w:t>
            </w:r>
            <w:r w:rsidRPr="0053423A">
              <w:rPr>
                <w:rFonts w:ascii="GHEA Grapalat" w:hAnsi="GHEA Grapalat"/>
                <w:sz w:val="20"/>
                <w:szCs w:val="20"/>
                <w:lang w:val="af-ZA"/>
              </w:rPr>
              <w:t xml:space="preserve"> </w:t>
            </w:r>
            <w:r w:rsidRPr="0053423A">
              <w:rPr>
                <w:rFonts w:ascii="GHEA Grapalat" w:hAnsi="GHEA Grapalat"/>
                <w:sz w:val="20"/>
                <w:szCs w:val="20"/>
              </w:rPr>
              <w:t>ստացիոնար</w:t>
            </w:r>
            <w:r w:rsidRPr="0053423A">
              <w:rPr>
                <w:rFonts w:ascii="GHEA Grapalat" w:hAnsi="GHEA Grapalat"/>
                <w:sz w:val="20"/>
                <w:szCs w:val="20"/>
                <w:lang w:val="af-ZA"/>
              </w:rPr>
              <w:t xml:space="preserve"> </w:t>
            </w:r>
            <w:r w:rsidRPr="0053423A">
              <w:rPr>
                <w:rFonts w:ascii="GHEA Grapalat" w:hAnsi="GHEA Grapalat"/>
                <w:sz w:val="20"/>
                <w:szCs w:val="20"/>
              </w:rPr>
              <w:t>բուժապահովման</w:t>
            </w:r>
            <w:r w:rsidRPr="0053423A">
              <w:rPr>
                <w:rFonts w:ascii="GHEA Grapalat" w:hAnsi="GHEA Grapalat"/>
                <w:sz w:val="20"/>
                <w:szCs w:val="20"/>
                <w:lang w:val="af-ZA"/>
              </w:rPr>
              <w:t xml:space="preserve"> </w:t>
            </w:r>
            <w:r w:rsidRPr="0053423A">
              <w:rPr>
                <w:rFonts w:ascii="GHEA Grapalat" w:hAnsi="GHEA Grapalat"/>
                <w:sz w:val="20"/>
                <w:szCs w:val="20"/>
              </w:rPr>
              <w:t>ցուցանիշների</w:t>
            </w:r>
            <w:r w:rsidRPr="0053423A">
              <w:rPr>
                <w:rFonts w:ascii="GHEA Grapalat" w:hAnsi="GHEA Grapalat"/>
                <w:sz w:val="20"/>
                <w:szCs w:val="20"/>
                <w:lang w:val="af-ZA"/>
              </w:rPr>
              <w:t xml:space="preserve">  </w:t>
            </w:r>
            <w:r w:rsidRPr="0053423A">
              <w:rPr>
                <w:rFonts w:ascii="GHEA Grapalat" w:hAnsi="GHEA Grapalat"/>
                <w:sz w:val="20"/>
                <w:szCs w:val="20"/>
              </w:rPr>
              <w:t>բարելավման</w:t>
            </w:r>
            <w:r w:rsidRPr="0053423A">
              <w:rPr>
                <w:rFonts w:ascii="GHEA Grapalat" w:hAnsi="GHEA Grapalat"/>
                <w:sz w:val="20"/>
                <w:szCs w:val="20"/>
                <w:lang w:val="af-ZA"/>
              </w:rPr>
              <w:t xml:space="preserve"> </w:t>
            </w:r>
            <w:r w:rsidRPr="0053423A">
              <w:rPr>
                <w:rFonts w:ascii="GHEA Grapalat" w:hAnsi="GHEA Grapalat"/>
                <w:sz w:val="20"/>
                <w:szCs w:val="20"/>
              </w:rPr>
              <w:t>միջոցով</w:t>
            </w:r>
            <w:r w:rsidRPr="0053423A">
              <w:rPr>
                <w:rFonts w:ascii="GHEA Grapalat" w:hAnsi="GHEA Grapalat"/>
                <w:sz w:val="20"/>
                <w:szCs w:val="20"/>
                <w:lang w:val="af-ZA"/>
              </w:rPr>
              <w:t xml:space="preserve"> </w:t>
            </w:r>
            <w:r w:rsidRPr="0053423A">
              <w:rPr>
                <w:rFonts w:ascii="GHEA Grapalat" w:hAnsi="GHEA Grapalat"/>
                <w:sz w:val="20"/>
                <w:szCs w:val="20"/>
              </w:rPr>
              <w:t>նրանց</w:t>
            </w:r>
            <w:r w:rsidRPr="0053423A">
              <w:rPr>
                <w:rFonts w:ascii="GHEA Grapalat" w:hAnsi="GHEA Grapalat"/>
                <w:sz w:val="20"/>
                <w:szCs w:val="20"/>
                <w:lang w:val="af-ZA"/>
              </w:rPr>
              <w:t xml:space="preserve"> </w:t>
            </w:r>
            <w:r w:rsidRPr="0053423A">
              <w:rPr>
                <w:rFonts w:ascii="GHEA Grapalat" w:hAnsi="GHEA Grapalat"/>
                <w:sz w:val="20"/>
                <w:szCs w:val="20"/>
              </w:rPr>
              <w:t>սոցիալական</w:t>
            </w:r>
            <w:r w:rsidRPr="0053423A">
              <w:rPr>
                <w:rFonts w:ascii="GHEA Grapalat" w:hAnsi="GHEA Grapalat"/>
                <w:sz w:val="20"/>
                <w:szCs w:val="20"/>
                <w:lang w:val="af-ZA"/>
              </w:rPr>
              <w:t xml:space="preserve"> </w:t>
            </w:r>
            <w:r w:rsidRPr="0053423A">
              <w:rPr>
                <w:rFonts w:ascii="GHEA Grapalat" w:hAnsi="GHEA Grapalat"/>
                <w:sz w:val="20"/>
                <w:szCs w:val="20"/>
              </w:rPr>
              <w:t>պաշտպանվածության</w:t>
            </w:r>
            <w:r w:rsidRPr="0053423A">
              <w:rPr>
                <w:rFonts w:ascii="GHEA Grapalat" w:hAnsi="GHEA Grapalat"/>
                <w:sz w:val="20"/>
                <w:szCs w:val="20"/>
                <w:lang w:val="af-ZA"/>
              </w:rPr>
              <w:t xml:space="preserve"> </w:t>
            </w:r>
            <w:r w:rsidRPr="0053423A">
              <w:rPr>
                <w:rFonts w:ascii="GHEA Grapalat" w:hAnsi="GHEA Grapalat"/>
                <w:sz w:val="20"/>
                <w:szCs w:val="20"/>
              </w:rPr>
              <w:t>մակարդակը</w:t>
            </w:r>
            <w:r w:rsidRPr="0053423A">
              <w:rPr>
                <w:rFonts w:ascii="GHEA Grapalat" w:hAnsi="GHEA Grapalat"/>
                <w:sz w:val="20"/>
                <w:szCs w:val="20"/>
                <w:lang w:val="af-ZA"/>
              </w:rPr>
              <w:t xml:space="preserve"> </w:t>
            </w:r>
            <w:r w:rsidRPr="0053423A">
              <w:rPr>
                <w:rFonts w:ascii="GHEA Grapalat" w:hAnsi="GHEA Grapalat"/>
                <w:sz w:val="20"/>
                <w:szCs w:val="20"/>
              </w:rPr>
              <w:t>բարձրացնելու</w:t>
            </w:r>
            <w:r w:rsidRPr="0053423A">
              <w:rPr>
                <w:rFonts w:ascii="GHEA Grapalat" w:hAnsi="GHEA Grapalat"/>
                <w:sz w:val="20"/>
                <w:szCs w:val="20"/>
                <w:lang w:val="af-ZA"/>
              </w:rPr>
              <w:t xml:space="preserve"> </w:t>
            </w:r>
            <w:r w:rsidRPr="0053423A">
              <w:rPr>
                <w:rFonts w:ascii="GHEA Grapalat" w:hAnsi="GHEA Grapalat"/>
                <w:sz w:val="20"/>
                <w:szCs w:val="20"/>
              </w:rPr>
              <w:t>անհրաժեշտությամբ</w:t>
            </w:r>
            <w:r w:rsidRPr="0053423A">
              <w:rPr>
                <w:rStyle w:val="Strong"/>
                <w:rFonts w:ascii="GHEA Grapalat" w:hAnsi="GHEA Grapalat"/>
                <w:sz w:val="20"/>
                <w:szCs w:val="20"/>
                <w:lang w:val="af-ZA"/>
              </w:rPr>
              <w:t>:</w:t>
            </w:r>
          </w:p>
          <w:p w:rsidR="00BB45FD" w:rsidRPr="0053423A" w:rsidRDefault="00BB45FD" w:rsidP="00A67858">
            <w:pPr>
              <w:tabs>
                <w:tab w:val="left" w:pos="0"/>
                <w:tab w:val="left" w:pos="450"/>
              </w:tabs>
              <w:spacing w:after="0" w:line="276" w:lineRule="auto"/>
              <w:ind w:firstLine="851"/>
              <w:rPr>
                <w:b/>
                <w:sz w:val="20"/>
                <w:szCs w:val="20"/>
                <w:lang w:val="af-ZA"/>
              </w:rPr>
            </w:pPr>
            <w:r w:rsidRPr="0053423A">
              <w:rPr>
                <w:b/>
                <w:sz w:val="20"/>
                <w:szCs w:val="20"/>
                <w:lang w:val="af-ZA"/>
              </w:rPr>
              <w:t>1.1.</w:t>
            </w:r>
            <w:r w:rsidRPr="0053423A">
              <w:rPr>
                <w:b/>
                <w:sz w:val="20"/>
                <w:szCs w:val="20"/>
              </w:rPr>
              <w:t>Կարգավորման</w:t>
            </w:r>
            <w:r w:rsidRPr="0053423A">
              <w:rPr>
                <w:b/>
                <w:sz w:val="20"/>
                <w:szCs w:val="20"/>
                <w:lang w:val="af-ZA"/>
              </w:rPr>
              <w:t xml:space="preserve"> </w:t>
            </w:r>
            <w:r w:rsidRPr="0053423A">
              <w:rPr>
                <w:b/>
                <w:sz w:val="20"/>
                <w:szCs w:val="20"/>
              </w:rPr>
              <w:t>հարաբերությունների</w:t>
            </w:r>
            <w:r w:rsidRPr="0053423A">
              <w:rPr>
                <w:b/>
                <w:sz w:val="20"/>
                <w:szCs w:val="20"/>
                <w:lang w:val="af-ZA"/>
              </w:rPr>
              <w:t xml:space="preserve"> </w:t>
            </w:r>
            <w:r w:rsidRPr="0053423A">
              <w:rPr>
                <w:b/>
                <w:sz w:val="20"/>
                <w:szCs w:val="20"/>
              </w:rPr>
              <w:t>ներկա</w:t>
            </w:r>
            <w:r w:rsidRPr="0053423A">
              <w:rPr>
                <w:b/>
                <w:sz w:val="20"/>
                <w:szCs w:val="20"/>
                <w:lang w:val="af-ZA"/>
              </w:rPr>
              <w:t xml:space="preserve"> </w:t>
            </w:r>
            <w:r w:rsidRPr="0053423A">
              <w:rPr>
                <w:b/>
                <w:sz w:val="20"/>
                <w:szCs w:val="20"/>
              </w:rPr>
              <w:t>վիճակը</w:t>
            </w:r>
            <w:r w:rsidRPr="0053423A">
              <w:rPr>
                <w:b/>
                <w:sz w:val="20"/>
                <w:szCs w:val="20"/>
                <w:lang w:val="af-ZA"/>
              </w:rPr>
              <w:t xml:space="preserve"> </w:t>
            </w:r>
            <w:r w:rsidRPr="0053423A">
              <w:rPr>
                <w:b/>
                <w:sz w:val="20"/>
                <w:szCs w:val="20"/>
              </w:rPr>
              <w:t>և</w:t>
            </w:r>
            <w:r w:rsidRPr="0053423A">
              <w:rPr>
                <w:b/>
                <w:sz w:val="20"/>
                <w:szCs w:val="20"/>
                <w:lang w:val="af-ZA"/>
              </w:rPr>
              <w:t xml:space="preserve"> </w:t>
            </w:r>
            <w:r w:rsidRPr="0053423A">
              <w:rPr>
                <w:b/>
                <w:sz w:val="20"/>
                <w:szCs w:val="20"/>
              </w:rPr>
              <w:t>առկա</w:t>
            </w:r>
            <w:r w:rsidRPr="0053423A">
              <w:rPr>
                <w:b/>
                <w:sz w:val="20"/>
                <w:szCs w:val="20"/>
                <w:lang w:val="af-ZA"/>
              </w:rPr>
              <w:t xml:space="preserve"> </w:t>
            </w:r>
            <w:r w:rsidRPr="0053423A">
              <w:rPr>
                <w:b/>
                <w:sz w:val="20"/>
                <w:szCs w:val="20"/>
              </w:rPr>
              <w:t>խնդիրները</w:t>
            </w:r>
          </w:p>
          <w:p w:rsidR="00BB45FD" w:rsidRPr="0053423A" w:rsidRDefault="00BB45FD" w:rsidP="00A67858">
            <w:pPr>
              <w:tabs>
                <w:tab w:val="left" w:pos="0"/>
                <w:tab w:val="left" w:pos="450"/>
              </w:tabs>
              <w:spacing w:after="0" w:line="276" w:lineRule="auto"/>
              <w:ind w:firstLine="851"/>
              <w:rPr>
                <w:rFonts w:cs="GHEA Grapalat"/>
                <w:color w:val="000000"/>
                <w:sz w:val="20"/>
                <w:szCs w:val="20"/>
                <w:lang w:val="af-ZA"/>
              </w:rPr>
            </w:pPr>
            <w:r w:rsidRPr="0053423A">
              <w:rPr>
                <w:sz w:val="20"/>
                <w:szCs w:val="20"/>
              </w:rPr>
              <w:t>Պաշտպանության</w:t>
            </w:r>
            <w:r w:rsidRPr="0053423A">
              <w:rPr>
                <w:sz w:val="20"/>
                <w:szCs w:val="20"/>
                <w:lang w:val="af-ZA"/>
              </w:rPr>
              <w:t xml:space="preserve"> </w:t>
            </w:r>
            <w:r w:rsidRPr="0053423A">
              <w:rPr>
                <w:sz w:val="20"/>
                <w:szCs w:val="20"/>
              </w:rPr>
              <w:t>ոլորտի</w:t>
            </w:r>
            <w:r w:rsidRPr="0053423A">
              <w:rPr>
                <w:sz w:val="20"/>
                <w:szCs w:val="20"/>
                <w:lang w:val="af-ZA"/>
              </w:rPr>
              <w:t xml:space="preserve"> </w:t>
            </w:r>
            <w:r w:rsidRPr="0053423A">
              <w:rPr>
                <w:sz w:val="20"/>
                <w:szCs w:val="20"/>
              </w:rPr>
              <w:t>զինծառայողների</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քաղծառայողների</w:t>
            </w:r>
            <w:r w:rsidRPr="0053423A">
              <w:rPr>
                <w:sz w:val="20"/>
                <w:szCs w:val="20"/>
                <w:lang w:val="af-ZA"/>
              </w:rPr>
              <w:t xml:space="preserve"> </w:t>
            </w:r>
            <w:r w:rsidRPr="0053423A">
              <w:rPr>
                <w:sz w:val="20"/>
                <w:szCs w:val="20"/>
              </w:rPr>
              <w:t>աշխատավարձերը</w:t>
            </w:r>
            <w:r w:rsidRPr="0053423A">
              <w:rPr>
                <w:sz w:val="20"/>
                <w:szCs w:val="20"/>
                <w:lang w:val="af-ZA"/>
              </w:rPr>
              <w:t xml:space="preserve"> </w:t>
            </w:r>
            <w:r w:rsidRPr="0053423A">
              <w:rPr>
                <w:sz w:val="20"/>
                <w:szCs w:val="20"/>
              </w:rPr>
              <w:t>վերջին</w:t>
            </w:r>
            <w:r w:rsidRPr="0053423A">
              <w:rPr>
                <w:sz w:val="20"/>
                <w:szCs w:val="20"/>
                <w:lang w:val="af-ZA"/>
              </w:rPr>
              <w:t xml:space="preserve"> </w:t>
            </w:r>
            <w:r w:rsidRPr="0053423A">
              <w:rPr>
                <w:sz w:val="20"/>
                <w:szCs w:val="20"/>
              </w:rPr>
              <w:t>անգամ</w:t>
            </w:r>
            <w:r w:rsidRPr="0053423A">
              <w:rPr>
                <w:sz w:val="20"/>
                <w:szCs w:val="20"/>
                <w:lang w:val="af-ZA"/>
              </w:rPr>
              <w:t xml:space="preserve"> </w:t>
            </w:r>
            <w:r w:rsidRPr="0053423A">
              <w:rPr>
                <w:sz w:val="20"/>
                <w:szCs w:val="20"/>
              </w:rPr>
              <w:t>բարձրացվել</w:t>
            </w:r>
            <w:r w:rsidRPr="0053423A">
              <w:rPr>
                <w:sz w:val="20"/>
                <w:szCs w:val="20"/>
                <w:lang w:val="af-ZA"/>
              </w:rPr>
              <w:t xml:space="preserve"> </w:t>
            </w:r>
            <w:r w:rsidRPr="0053423A">
              <w:rPr>
                <w:sz w:val="20"/>
                <w:szCs w:val="20"/>
              </w:rPr>
              <w:t>են</w:t>
            </w:r>
            <w:r w:rsidRPr="0053423A">
              <w:rPr>
                <w:sz w:val="20"/>
                <w:szCs w:val="20"/>
                <w:lang w:val="af-ZA"/>
              </w:rPr>
              <w:t xml:space="preserve"> 2014</w:t>
            </w:r>
            <w:r w:rsidRPr="0053423A">
              <w:rPr>
                <w:sz w:val="20"/>
                <w:szCs w:val="20"/>
              </w:rPr>
              <w:t>թ</w:t>
            </w:r>
            <w:r w:rsidRPr="0053423A">
              <w:rPr>
                <w:sz w:val="20"/>
                <w:szCs w:val="20"/>
                <w:lang w:val="af-ZA"/>
              </w:rPr>
              <w:t xml:space="preserve">.: </w:t>
            </w:r>
            <w:r w:rsidRPr="0053423A">
              <w:rPr>
                <w:sz w:val="20"/>
                <w:szCs w:val="20"/>
              </w:rPr>
              <w:t>Այսինքն</w:t>
            </w:r>
            <w:r w:rsidRPr="0053423A">
              <w:rPr>
                <w:sz w:val="20"/>
                <w:szCs w:val="20"/>
                <w:lang w:val="af-ZA"/>
              </w:rPr>
              <w:t xml:space="preserve"> </w:t>
            </w:r>
            <w:r w:rsidRPr="0053423A">
              <w:rPr>
                <w:sz w:val="20"/>
                <w:szCs w:val="20"/>
              </w:rPr>
              <w:t>այս</w:t>
            </w:r>
            <w:r w:rsidRPr="0053423A">
              <w:rPr>
                <w:sz w:val="20"/>
                <w:szCs w:val="20"/>
                <w:lang w:val="af-ZA"/>
              </w:rPr>
              <w:t xml:space="preserve"> </w:t>
            </w:r>
            <w:r w:rsidRPr="0053423A">
              <w:rPr>
                <w:sz w:val="20"/>
                <w:szCs w:val="20"/>
              </w:rPr>
              <w:t>ամբողջ</w:t>
            </w:r>
            <w:r w:rsidRPr="0053423A">
              <w:rPr>
                <w:sz w:val="20"/>
                <w:szCs w:val="20"/>
                <w:lang w:val="af-ZA"/>
              </w:rPr>
              <w:t xml:space="preserve"> </w:t>
            </w:r>
            <w:r w:rsidRPr="0053423A">
              <w:rPr>
                <w:sz w:val="20"/>
                <w:szCs w:val="20"/>
              </w:rPr>
              <w:t>ժամանակահատվածում</w:t>
            </w:r>
            <w:r w:rsidRPr="0053423A">
              <w:rPr>
                <w:sz w:val="20"/>
                <w:szCs w:val="20"/>
                <w:lang w:val="af-ZA"/>
              </w:rPr>
              <w:t xml:space="preserve">, </w:t>
            </w:r>
            <w:r w:rsidRPr="0053423A">
              <w:rPr>
                <w:sz w:val="20"/>
                <w:szCs w:val="20"/>
              </w:rPr>
              <w:t>հաշվի</w:t>
            </w:r>
            <w:r w:rsidRPr="0053423A">
              <w:rPr>
                <w:sz w:val="20"/>
                <w:szCs w:val="20"/>
                <w:lang w:val="af-ZA"/>
              </w:rPr>
              <w:t xml:space="preserve"> </w:t>
            </w:r>
            <w:r w:rsidRPr="0053423A">
              <w:rPr>
                <w:sz w:val="20"/>
                <w:szCs w:val="20"/>
              </w:rPr>
              <w:t>առնելով</w:t>
            </w:r>
            <w:r w:rsidRPr="0053423A">
              <w:rPr>
                <w:sz w:val="20"/>
                <w:szCs w:val="20"/>
                <w:lang w:val="af-ZA"/>
              </w:rPr>
              <w:t xml:space="preserve"> </w:t>
            </w:r>
            <w:r w:rsidRPr="0053423A">
              <w:rPr>
                <w:sz w:val="20"/>
                <w:szCs w:val="20"/>
              </w:rPr>
              <w:t>գնաճը</w:t>
            </w:r>
            <w:r w:rsidRPr="0053423A">
              <w:rPr>
                <w:sz w:val="20"/>
                <w:szCs w:val="20"/>
                <w:lang w:val="af-ZA"/>
              </w:rPr>
              <w:t xml:space="preserve">, </w:t>
            </w:r>
            <w:r w:rsidRPr="0053423A">
              <w:rPr>
                <w:sz w:val="20"/>
                <w:szCs w:val="20"/>
              </w:rPr>
              <w:t>տեղի</w:t>
            </w:r>
            <w:r w:rsidRPr="0053423A">
              <w:rPr>
                <w:sz w:val="20"/>
                <w:szCs w:val="20"/>
                <w:lang w:val="af-ZA"/>
              </w:rPr>
              <w:t xml:space="preserve"> </w:t>
            </w:r>
            <w:r w:rsidRPr="0053423A">
              <w:rPr>
                <w:sz w:val="20"/>
                <w:szCs w:val="20"/>
              </w:rPr>
              <w:t>է</w:t>
            </w:r>
            <w:r w:rsidRPr="0053423A">
              <w:rPr>
                <w:sz w:val="20"/>
                <w:szCs w:val="20"/>
                <w:lang w:val="af-ZA"/>
              </w:rPr>
              <w:t xml:space="preserve"> </w:t>
            </w:r>
            <w:r w:rsidRPr="0053423A">
              <w:rPr>
                <w:sz w:val="20"/>
                <w:szCs w:val="20"/>
              </w:rPr>
              <w:t>ունեցել</w:t>
            </w:r>
            <w:r w:rsidRPr="0053423A">
              <w:rPr>
                <w:sz w:val="20"/>
                <w:szCs w:val="20"/>
                <w:lang w:val="af-ZA"/>
              </w:rPr>
              <w:t xml:space="preserve"> </w:t>
            </w:r>
            <w:r w:rsidRPr="0053423A">
              <w:rPr>
                <w:sz w:val="20"/>
                <w:szCs w:val="20"/>
              </w:rPr>
              <w:t>աշխատավարձերի</w:t>
            </w:r>
            <w:r w:rsidRPr="0053423A">
              <w:rPr>
                <w:sz w:val="20"/>
                <w:szCs w:val="20"/>
                <w:lang w:val="af-ZA"/>
              </w:rPr>
              <w:t xml:space="preserve"> </w:t>
            </w:r>
            <w:r w:rsidRPr="0053423A">
              <w:rPr>
                <w:sz w:val="20"/>
                <w:szCs w:val="20"/>
              </w:rPr>
              <w:t>փաստացի</w:t>
            </w:r>
            <w:r w:rsidRPr="0053423A">
              <w:rPr>
                <w:sz w:val="20"/>
                <w:szCs w:val="20"/>
                <w:lang w:val="af-ZA"/>
              </w:rPr>
              <w:t xml:space="preserve"> </w:t>
            </w:r>
            <w:r w:rsidRPr="0053423A">
              <w:rPr>
                <w:sz w:val="20"/>
                <w:szCs w:val="20"/>
              </w:rPr>
              <w:t>նվազում</w:t>
            </w:r>
            <w:r w:rsidRPr="0053423A">
              <w:rPr>
                <w:sz w:val="20"/>
                <w:szCs w:val="20"/>
                <w:lang w:val="af-ZA"/>
              </w:rPr>
              <w:t xml:space="preserve">: </w:t>
            </w:r>
            <w:r w:rsidRPr="0053423A">
              <w:rPr>
                <w:sz w:val="20"/>
                <w:szCs w:val="20"/>
                <w:lang w:val="pt-BR"/>
              </w:rPr>
              <w:t xml:space="preserve">Դրա հետ մեկտեղ, ք.Երևանում տեղակայված կենտրոնական և կայազորային զինվորական հոսպիտալները ծանրաբեռնված են և ունեն կարողությունների պակաս՝ հոգալու համար բոլոր կատեգորիաների հիվանդների կարիքները: Միևնույն ժամանակ, նախկինում գործող ընթացակարգերը թույլ չեն տալիւս համակողմանի լուծում տալ </w:t>
            </w:r>
            <w:r w:rsidRPr="0053423A">
              <w:rPr>
                <w:rFonts w:cs="GHEA Grapalat"/>
                <w:sz w:val="20"/>
                <w:szCs w:val="20"/>
              </w:rPr>
              <w:t>ՀՀ</w:t>
            </w:r>
            <w:r w:rsidRPr="0053423A">
              <w:rPr>
                <w:rFonts w:cs="GHEA Grapalat"/>
                <w:sz w:val="20"/>
                <w:szCs w:val="20"/>
                <w:lang w:val="af-ZA"/>
              </w:rPr>
              <w:t xml:space="preserve"> </w:t>
            </w:r>
            <w:r w:rsidRPr="0053423A">
              <w:rPr>
                <w:rFonts w:cs="GHEA Grapalat"/>
                <w:sz w:val="20"/>
                <w:szCs w:val="20"/>
              </w:rPr>
              <w:t>ՊՆ</w:t>
            </w:r>
            <w:r w:rsidRPr="0053423A">
              <w:rPr>
                <w:rFonts w:cs="GHEA Grapalat"/>
                <w:sz w:val="20"/>
                <w:szCs w:val="20"/>
                <w:lang w:val="af-ZA"/>
              </w:rPr>
              <w:t xml:space="preserve"> </w:t>
            </w:r>
            <w:r w:rsidRPr="0053423A">
              <w:rPr>
                <w:rFonts w:cs="GHEA Grapalat"/>
                <w:sz w:val="20"/>
                <w:szCs w:val="20"/>
              </w:rPr>
              <w:t>համակարգում</w:t>
            </w:r>
            <w:r w:rsidRPr="0053423A">
              <w:rPr>
                <w:rFonts w:cs="GHEA Grapalat"/>
                <w:sz w:val="20"/>
                <w:szCs w:val="20"/>
                <w:lang w:val="af-ZA"/>
              </w:rPr>
              <w:t xml:space="preserve"> </w:t>
            </w:r>
            <w:r w:rsidRPr="0053423A">
              <w:rPr>
                <w:rFonts w:cs="GHEA Grapalat"/>
                <w:sz w:val="20"/>
                <w:szCs w:val="20"/>
              </w:rPr>
              <w:t>որպես</w:t>
            </w:r>
            <w:r w:rsidRPr="0053423A">
              <w:rPr>
                <w:rFonts w:cs="GHEA Grapalat"/>
                <w:sz w:val="20"/>
                <w:szCs w:val="20"/>
                <w:lang w:val="af-ZA"/>
              </w:rPr>
              <w:t xml:space="preserve"> </w:t>
            </w:r>
            <w:r w:rsidRPr="0053423A">
              <w:rPr>
                <w:rFonts w:cs="GHEA Grapalat"/>
                <w:sz w:val="20"/>
                <w:szCs w:val="20"/>
              </w:rPr>
              <w:t>բնակարանային</w:t>
            </w:r>
            <w:r w:rsidRPr="0053423A">
              <w:rPr>
                <w:rFonts w:cs="GHEA Grapalat"/>
                <w:sz w:val="20"/>
                <w:szCs w:val="20"/>
                <w:lang w:val="af-ZA"/>
              </w:rPr>
              <w:t xml:space="preserve"> </w:t>
            </w:r>
            <w:r w:rsidRPr="0053423A">
              <w:rPr>
                <w:rFonts w:cs="GHEA Grapalat"/>
                <w:sz w:val="20"/>
                <w:szCs w:val="20"/>
              </w:rPr>
              <w:t>պայմանների</w:t>
            </w:r>
            <w:r w:rsidRPr="0053423A">
              <w:rPr>
                <w:rFonts w:cs="GHEA Grapalat"/>
                <w:sz w:val="20"/>
                <w:szCs w:val="20"/>
                <w:lang w:val="af-ZA"/>
              </w:rPr>
              <w:t xml:space="preserve"> </w:t>
            </w:r>
            <w:r w:rsidRPr="0053423A">
              <w:rPr>
                <w:rFonts w:cs="GHEA Grapalat"/>
                <w:sz w:val="20"/>
                <w:szCs w:val="20"/>
              </w:rPr>
              <w:t>կարիքավոր</w:t>
            </w:r>
            <w:r w:rsidRPr="0053423A">
              <w:rPr>
                <w:rFonts w:cs="GHEA Grapalat"/>
                <w:sz w:val="20"/>
                <w:szCs w:val="20"/>
                <w:lang w:val="af-ZA"/>
              </w:rPr>
              <w:t xml:space="preserve"> </w:t>
            </w:r>
            <w:r w:rsidRPr="0053423A">
              <w:rPr>
                <w:rFonts w:cs="GHEA Grapalat"/>
                <w:sz w:val="20"/>
                <w:szCs w:val="20"/>
              </w:rPr>
              <w:t>հաշվառված</w:t>
            </w:r>
            <w:r w:rsidRPr="0053423A">
              <w:rPr>
                <w:rFonts w:cs="GHEA Grapalat"/>
                <w:sz w:val="20"/>
                <w:szCs w:val="20"/>
                <w:lang w:val="af-ZA"/>
              </w:rPr>
              <w:t xml:space="preserve"> </w:t>
            </w:r>
            <w:r w:rsidRPr="0053423A">
              <w:rPr>
                <w:rFonts w:cs="GHEA Grapalat"/>
                <w:sz w:val="20"/>
                <w:szCs w:val="20"/>
              </w:rPr>
              <w:t>զինծառայողների</w:t>
            </w:r>
            <w:r w:rsidRPr="0053423A">
              <w:rPr>
                <w:rFonts w:cs="GHEA Grapalat"/>
                <w:sz w:val="20"/>
                <w:szCs w:val="20"/>
                <w:lang w:val="af-ZA"/>
              </w:rPr>
              <w:t xml:space="preserve"> </w:t>
            </w:r>
            <w:r w:rsidRPr="0053423A">
              <w:rPr>
                <w:rFonts w:cs="GHEA Grapalat"/>
                <w:sz w:val="20"/>
                <w:szCs w:val="20"/>
              </w:rPr>
              <w:t>և</w:t>
            </w:r>
            <w:r w:rsidRPr="0053423A">
              <w:rPr>
                <w:rFonts w:cs="GHEA Grapalat"/>
                <w:sz w:val="20"/>
                <w:szCs w:val="20"/>
                <w:lang w:val="af-ZA"/>
              </w:rPr>
              <w:t xml:space="preserve"> </w:t>
            </w:r>
            <w:r w:rsidRPr="0053423A">
              <w:rPr>
                <w:rFonts w:cs="GHEA Grapalat"/>
                <w:sz w:val="20"/>
                <w:szCs w:val="20"/>
              </w:rPr>
              <w:t>քաղծառայողների՝</w:t>
            </w:r>
            <w:r w:rsidRPr="0053423A">
              <w:rPr>
                <w:rFonts w:cs="GHEA Grapalat"/>
                <w:sz w:val="20"/>
                <w:szCs w:val="20"/>
                <w:lang w:val="af-ZA"/>
              </w:rPr>
              <w:t xml:space="preserve"> </w:t>
            </w:r>
            <w:r w:rsidRPr="0053423A">
              <w:rPr>
                <w:rFonts w:cs="GHEA Grapalat"/>
                <w:sz w:val="20"/>
                <w:szCs w:val="20"/>
              </w:rPr>
              <w:t>բնակարանով</w:t>
            </w:r>
            <w:r w:rsidRPr="0053423A">
              <w:rPr>
                <w:rFonts w:cs="GHEA Grapalat"/>
                <w:sz w:val="20"/>
                <w:szCs w:val="20"/>
                <w:lang w:val="af-ZA"/>
              </w:rPr>
              <w:t xml:space="preserve"> </w:t>
            </w:r>
            <w:r w:rsidRPr="0053423A">
              <w:rPr>
                <w:rFonts w:cs="GHEA Grapalat"/>
                <w:sz w:val="20"/>
                <w:szCs w:val="20"/>
              </w:rPr>
              <w:t>ապահովման</w:t>
            </w:r>
            <w:r w:rsidRPr="0053423A">
              <w:rPr>
                <w:rFonts w:cs="GHEA Grapalat"/>
                <w:sz w:val="20"/>
                <w:szCs w:val="20"/>
                <w:lang w:val="af-ZA"/>
              </w:rPr>
              <w:t xml:space="preserve"> </w:t>
            </w:r>
            <w:r w:rsidRPr="0053423A">
              <w:rPr>
                <w:rFonts w:cs="GHEA Grapalat"/>
                <w:sz w:val="20"/>
                <w:szCs w:val="20"/>
              </w:rPr>
              <w:t>հիմնախնդրին</w:t>
            </w:r>
            <w:r w:rsidRPr="0053423A">
              <w:rPr>
                <w:rFonts w:cs="GHEA Grapalat"/>
                <w:sz w:val="20"/>
                <w:szCs w:val="20"/>
                <w:lang w:val="af-ZA"/>
              </w:rPr>
              <w:t>:</w:t>
            </w:r>
          </w:p>
          <w:p w:rsidR="00BB45FD" w:rsidRPr="0053423A" w:rsidRDefault="00BB45FD" w:rsidP="00A67858">
            <w:pPr>
              <w:tabs>
                <w:tab w:val="left" w:pos="0"/>
                <w:tab w:val="left" w:pos="450"/>
              </w:tabs>
              <w:spacing w:after="0" w:line="276" w:lineRule="auto"/>
              <w:ind w:firstLine="851"/>
              <w:rPr>
                <w:b/>
                <w:sz w:val="20"/>
                <w:szCs w:val="20"/>
                <w:lang w:val="hy-AM"/>
              </w:rPr>
            </w:pPr>
            <w:r w:rsidRPr="0053423A">
              <w:rPr>
                <w:rFonts w:cs="Sylfaen"/>
                <w:b/>
                <w:sz w:val="20"/>
                <w:szCs w:val="20"/>
                <w:lang w:val="hy-AM"/>
              </w:rPr>
              <w:t>1.2.</w:t>
            </w:r>
            <w:r w:rsidRPr="0053423A">
              <w:rPr>
                <w:b/>
                <w:sz w:val="20"/>
                <w:szCs w:val="20"/>
                <w:lang w:val="hy-AM"/>
              </w:rPr>
              <w:t xml:space="preserve"> </w:t>
            </w:r>
            <w:r w:rsidRPr="0053423A">
              <w:rPr>
                <w:b/>
                <w:sz w:val="20"/>
                <w:szCs w:val="20"/>
              </w:rPr>
              <w:t>Ա</w:t>
            </w:r>
            <w:r w:rsidRPr="0053423A">
              <w:rPr>
                <w:b/>
                <w:sz w:val="20"/>
                <w:szCs w:val="20"/>
                <w:lang w:val="hy-AM"/>
              </w:rPr>
              <w:t>ռկա խնդիրների առաջարկվող լուծումները</w:t>
            </w:r>
          </w:p>
          <w:p w:rsidR="00BB45FD" w:rsidRPr="0053423A" w:rsidRDefault="00BB45FD" w:rsidP="00A67858">
            <w:pPr>
              <w:shd w:val="clear" w:color="auto" w:fill="FFFFFF"/>
              <w:spacing w:after="0" w:line="276" w:lineRule="auto"/>
              <w:ind w:firstLine="720"/>
              <w:rPr>
                <w:rFonts w:cs="GHEA Grapalat"/>
                <w:color w:val="000000"/>
                <w:sz w:val="20"/>
                <w:szCs w:val="20"/>
                <w:lang w:val="af-ZA"/>
              </w:rPr>
            </w:pPr>
            <w:r w:rsidRPr="0053423A">
              <w:rPr>
                <w:sz w:val="20"/>
                <w:szCs w:val="20"/>
              </w:rPr>
              <w:t>Բարձրացնել</w:t>
            </w:r>
            <w:r w:rsidRPr="0053423A">
              <w:rPr>
                <w:sz w:val="20"/>
                <w:szCs w:val="20"/>
                <w:lang w:val="af-ZA"/>
              </w:rPr>
              <w:t xml:space="preserve"> </w:t>
            </w:r>
            <w:r w:rsidRPr="0053423A">
              <w:rPr>
                <w:sz w:val="20"/>
                <w:szCs w:val="20"/>
              </w:rPr>
              <w:t>պաշտպանության</w:t>
            </w:r>
            <w:r w:rsidRPr="0053423A">
              <w:rPr>
                <w:sz w:val="20"/>
                <w:szCs w:val="20"/>
                <w:lang w:val="af-ZA"/>
              </w:rPr>
              <w:t xml:space="preserve"> </w:t>
            </w:r>
            <w:r w:rsidRPr="0053423A">
              <w:rPr>
                <w:sz w:val="20"/>
                <w:szCs w:val="20"/>
              </w:rPr>
              <w:t>համակարգի</w:t>
            </w:r>
            <w:r w:rsidRPr="0053423A">
              <w:rPr>
                <w:sz w:val="20"/>
                <w:szCs w:val="20"/>
                <w:lang w:val="af-ZA"/>
              </w:rPr>
              <w:t xml:space="preserve"> </w:t>
            </w:r>
            <w:r w:rsidRPr="0053423A">
              <w:rPr>
                <w:sz w:val="20"/>
                <w:szCs w:val="20"/>
              </w:rPr>
              <w:t>անձնակազմի</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զինվորական</w:t>
            </w:r>
            <w:r w:rsidRPr="0053423A">
              <w:rPr>
                <w:sz w:val="20"/>
                <w:szCs w:val="20"/>
                <w:lang w:val="af-ZA"/>
              </w:rPr>
              <w:t xml:space="preserve"> </w:t>
            </w:r>
            <w:r w:rsidRPr="0053423A">
              <w:rPr>
                <w:sz w:val="20"/>
                <w:szCs w:val="20"/>
              </w:rPr>
              <w:t>թոշակառուների</w:t>
            </w:r>
            <w:r w:rsidRPr="0053423A">
              <w:rPr>
                <w:sz w:val="20"/>
                <w:szCs w:val="20"/>
                <w:lang w:val="af-ZA"/>
              </w:rPr>
              <w:t xml:space="preserve"> </w:t>
            </w:r>
            <w:r w:rsidRPr="0053423A">
              <w:rPr>
                <w:sz w:val="20"/>
                <w:szCs w:val="20"/>
              </w:rPr>
              <w:t>դրամական</w:t>
            </w:r>
            <w:r w:rsidRPr="0053423A">
              <w:rPr>
                <w:sz w:val="20"/>
                <w:szCs w:val="20"/>
                <w:lang w:val="af-ZA"/>
              </w:rPr>
              <w:t xml:space="preserve"> </w:t>
            </w:r>
            <w:r w:rsidRPr="0053423A">
              <w:rPr>
                <w:sz w:val="20"/>
                <w:szCs w:val="20"/>
              </w:rPr>
              <w:t>բավարարման</w:t>
            </w:r>
            <w:r w:rsidRPr="0053423A">
              <w:rPr>
                <w:sz w:val="20"/>
                <w:szCs w:val="20"/>
                <w:lang w:val="af-ZA"/>
              </w:rPr>
              <w:t xml:space="preserve"> </w:t>
            </w:r>
            <w:r w:rsidRPr="0053423A">
              <w:rPr>
                <w:sz w:val="20"/>
                <w:szCs w:val="20"/>
              </w:rPr>
              <w:t>մակարդակը</w:t>
            </w:r>
            <w:r w:rsidRPr="0053423A">
              <w:rPr>
                <w:sz w:val="20"/>
                <w:szCs w:val="20"/>
                <w:lang w:val="af-ZA"/>
              </w:rPr>
              <w:t xml:space="preserve">, </w:t>
            </w:r>
            <w:r w:rsidRPr="0053423A">
              <w:rPr>
                <w:sz w:val="20"/>
                <w:szCs w:val="20"/>
              </w:rPr>
              <w:t>բարձրացնել</w:t>
            </w:r>
            <w:r w:rsidRPr="0053423A">
              <w:rPr>
                <w:sz w:val="20"/>
                <w:szCs w:val="20"/>
                <w:lang w:val="af-ZA"/>
              </w:rPr>
              <w:t xml:space="preserve"> </w:t>
            </w:r>
            <w:r w:rsidRPr="0053423A">
              <w:rPr>
                <w:sz w:val="20"/>
                <w:szCs w:val="20"/>
              </w:rPr>
              <w:t>բուժապահովման</w:t>
            </w:r>
            <w:r w:rsidRPr="0053423A">
              <w:rPr>
                <w:sz w:val="20"/>
                <w:szCs w:val="20"/>
                <w:lang w:val="af-ZA"/>
              </w:rPr>
              <w:t xml:space="preserve"> </w:t>
            </w:r>
            <w:r w:rsidRPr="0053423A">
              <w:rPr>
                <w:sz w:val="20"/>
                <w:szCs w:val="20"/>
              </w:rPr>
              <w:t>որակը՝</w:t>
            </w:r>
            <w:r w:rsidRPr="0053423A">
              <w:rPr>
                <w:sz w:val="20"/>
                <w:szCs w:val="20"/>
                <w:lang w:val="af-ZA"/>
              </w:rPr>
              <w:t xml:space="preserve"> </w:t>
            </w:r>
            <w:r w:rsidRPr="0053423A">
              <w:rPr>
                <w:sz w:val="20"/>
                <w:szCs w:val="20"/>
              </w:rPr>
              <w:t>ջանքերը</w:t>
            </w:r>
            <w:r w:rsidRPr="0053423A">
              <w:rPr>
                <w:sz w:val="20"/>
                <w:szCs w:val="20"/>
                <w:lang w:val="af-ZA"/>
              </w:rPr>
              <w:t xml:space="preserve"> </w:t>
            </w:r>
            <w:r w:rsidRPr="0053423A">
              <w:rPr>
                <w:sz w:val="20"/>
                <w:szCs w:val="20"/>
              </w:rPr>
              <w:t>կենտրոնացնելով</w:t>
            </w:r>
            <w:r w:rsidRPr="0053423A">
              <w:rPr>
                <w:sz w:val="20"/>
                <w:szCs w:val="20"/>
                <w:lang w:val="af-ZA"/>
              </w:rPr>
              <w:t xml:space="preserve"> </w:t>
            </w:r>
            <w:r w:rsidRPr="0053423A">
              <w:rPr>
                <w:sz w:val="20"/>
                <w:szCs w:val="20"/>
              </w:rPr>
              <w:t>ք</w:t>
            </w:r>
            <w:r w:rsidRPr="0053423A">
              <w:rPr>
                <w:sz w:val="20"/>
                <w:szCs w:val="20"/>
                <w:lang w:val="af-ZA"/>
              </w:rPr>
              <w:t>.</w:t>
            </w:r>
            <w:r w:rsidRPr="0053423A">
              <w:rPr>
                <w:sz w:val="20"/>
                <w:szCs w:val="20"/>
              </w:rPr>
              <w:t>Երևանում</w:t>
            </w:r>
            <w:r w:rsidRPr="0053423A">
              <w:rPr>
                <w:sz w:val="20"/>
                <w:szCs w:val="20"/>
                <w:lang w:val="af-ZA"/>
              </w:rPr>
              <w:t xml:space="preserve"> </w:t>
            </w:r>
            <w:r w:rsidRPr="0053423A">
              <w:rPr>
                <w:sz w:val="20"/>
                <w:szCs w:val="20"/>
              </w:rPr>
              <w:t>նոր</w:t>
            </w:r>
            <w:r w:rsidRPr="0053423A">
              <w:rPr>
                <w:sz w:val="20"/>
                <w:szCs w:val="20"/>
                <w:lang w:val="af-ZA"/>
              </w:rPr>
              <w:t xml:space="preserve"> </w:t>
            </w:r>
            <w:r w:rsidRPr="0053423A">
              <w:rPr>
                <w:sz w:val="20"/>
                <w:szCs w:val="20"/>
              </w:rPr>
              <w:t>միասնական</w:t>
            </w:r>
            <w:r w:rsidRPr="0053423A">
              <w:rPr>
                <w:sz w:val="20"/>
                <w:szCs w:val="20"/>
                <w:lang w:val="af-ZA"/>
              </w:rPr>
              <w:t xml:space="preserve"> </w:t>
            </w:r>
            <w:r w:rsidRPr="0053423A">
              <w:rPr>
                <w:sz w:val="20"/>
                <w:szCs w:val="20"/>
              </w:rPr>
              <w:t>հոսպիտալի</w:t>
            </w:r>
            <w:r w:rsidRPr="0053423A">
              <w:rPr>
                <w:sz w:val="20"/>
                <w:szCs w:val="20"/>
                <w:lang w:val="af-ZA"/>
              </w:rPr>
              <w:t xml:space="preserve"> </w:t>
            </w:r>
            <w:r w:rsidRPr="0053423A">
              <w:rPr>
                <w:sz w:val="20"/>
                <w:szCs w:val="20"/>
              </w:rPr>
              <w:t>կառուցման</w:t>
            </w:r>
            <w:r w:rsidRPr="0053423A">
              <w:rPr>
                <w:sz w:val="20"/>
                <w:szCs w:val="20"/>
                <w:lang w:val="af-ZA"/>
              </w:rPr>
              <w:t xml:space="preserve"> </w:t>
            </w:r>
            <w:r w:rsidRPr="0053423A">
              <w:rPr>
                <w:sz w:val="20"/>
                <w:szCs w:val="20"/>
              </w:rPr>
              <w:t>վրա</w:t>
            </w:r>
            <w:r w:rsidRPr="0053423A">
              <w:rPr>
                <w:sz w:val="20"/>
                <w:szCs w:val="20"/>
                <w:lang w:val="af-ZA"/>
              </w:rPr>
              <w:t xml:space="preserve">, </w:t>
            </w:r>
            <w:r w:rsidRPr="0053423A">
              <w:rPr>
                <w:sz w:val="20"/>
                <w:szCs w:val="20"/>
              </w:rPr>
              <w:t>ներդնել</w:t>
            </w:r>
            <w:r w:rsidRPr="0053423A">
              <w:rPr>
                <w:sz w:val="20"/>
                <w:szCs w:val="20"/>
                <w:lang w:val="af-ZA"/>
              </w:rPr>
              <w:t xml:space="preserve"> </w:t>
            </w:r>
            <w:r w:rsidRPr="0053423A">
              <w:rPr>
                <w:rFonts w:cs="GHEA Grapalat"/>
                <w:sz w:val="20"/>
                <w:szCs w:val="20"/>
              </w:rPr>
              <w:t>բնակարանային</w:t>
            </w:r>
            <w:r w:rsidRPr="0053423A">
              <w:rPr>
                <w:rFonts w:cs="GHEA Grapalat"/>
                <w:sz w:val="20"/>
                <w:szCs w:val="20"/>
                <w:lang w:val="af-ZA"/>
              </w:rPr>
              <w:t xml:space="preserve"> </w:t>
            </w:r>
            <w:r w:rsidRPr="0053423A">
              <w:rPr>
                <w:rFonts w:cs="GHEA Grapalat"/>
                <w:sz w:val="20"/>
                <w:szCs w:val="20"/>
              </w:rPr>
              <w:t>պայմանների</w:t>
            </w:r>
            <w:r w:rsidRPr="0053423A">
              <w:rPr>
                <w:rFonts w:cs="GHEA Grapalat"/>
                <w:sz w:val="20"/>
                <w:szCs w:val="20"/>
                <w:lang w:val="af-ZA"/>
              </w:rPr>
              <w:t xml:space="preserve"> </w:t>
            </w:r>
            <w:r w:rsidRPr="0053423A">
              <w:rPr>
                <w:rFonts w:cs="GHEA Grapalat"/>
                <w:sz w:val="20"/>
                <w:szCs w:val="20"/>
              </w:rPr>
              <w:t>կարիքավոր</w:t>
            </w:r>
            <w:r w:rsidRPr="0053423A">
              <w:rPr>
                <w:sz w:val="20"/>
                <w:szCs w:val="20"/>
                <w:lang w:val="af-ZA"/>
              </w:rPr>
              <w:t xml:space="preserve"> </w:t>
            </w:r>
            <w:r w:rsidRPr="0053423A">
              <w:rPr>
                <w:sz w:val="20"/>
                <w:szCs w:val="20"/>
              </w:rPr>
              <w:t>անձնակազմի</w:t>
            </w:r>
            <w:r w:rsidRPr="0053423A">
              <w:rPr>
                <w:sz w:val="20"/>
                <w:szCs w:val="20"/>
                <w:lang w:val="af-ZA"/>
              </w:rPr>
              <w:t xml:space="preserve"> </w:t>
            </w:r>
            <w:r w:rsidRPr="0053423A">
              <w:rPr>
                <w:sz w:val="20"/>
                <w:szCs w:val="20"/>
              </w:rPr>
              <w:t>արտոնյալ</w:t>
            </w:r>
            <w:r w:rsidRPr="0053423A">
              <w:rPr>
                <w:sz w:val="20"/>
                <w:szCs w:val="20"/>
                <w:lang w:val="af-ZA"/>
              </w:rPr>
              <w:t xml:space="preserve"> </w:t>
            </w:r>
            <w:r w:rsidRPr="0053423A">
              <w:rPr>
                <w:sz w:val="20"/>
                <w:szCs w:val="20"/>
              </w:rPr>
              <w:t>պայմաններով</w:t>
            </w:r>
            <w:r w:rsidRPr="0053423A">
              <w:rPr>
                <w:sz w:val="20"/>
                <w:szCs w:val="20"/>
                <w:lang w:val="af-ZA"/>
              </w:rPr>
              <w:t xml:space="preserve"> </w:t>
            </w:r>
            <w:r w:rsidRPr="0053423A">
              <w:rPr>
                <w:sz w:val="20"/>
                <w:szCs w:val="20"/>
              </w:rPr>
              <w:t>երկարաժամկետ</w:t>
            </w:r>
            <w:r w:rsidRPr="0053423A">
              <w:rPr>
                <w:sz w:val="20"/>
                <w:szCs w:val="20"/>
                <w:lang w:val="af-ZA"/>
              </w:rPr>
              <w:t xml:space="preserve"> </w:t>
            </w:r>
            <w:r w:rsidRPr="0053423A">
              <w:rPr>
                <w:sz w:val="20"/>
                <w:szCs w:val="20"/>
              </w:rPr>
              <w:t>հիպոթեքային</w:t>
            </w:r>
            <w:r w:rsidRPr="0053423A">
              <w:rPr>
                <w:sz w:val="20"/>
                <w:szCs w:val="20"/>
                <w:lang w:val="af-ZA"/>
              </w:rPr>
              <w:t xml:space="preserve"> </w:t>
            </w:r>
            <w:r w:rsidRPr="0053423A">
              <w:rPr>
                <w:sz w:val="20"/>
                <w:szCs w:val="20"/>
              </w:rPr>
              <w:t>վարկավորման</w:t>
            </w:r>
            <w:r w:rsidRPr="0053423A">
              <w:rPr>
                <w:sz w:val="20"/>
                <w:szCs w:val="20"/>
                <w:lang w:val="af-ZA"/>
              </w:rPr>
              <w:t xml:space="preserve"> </w:t>
            </w:r>
            <w:r w:rsidRPr="0053423A">
              <w:rPr>
                <w:sz w:val="20"/>
                <w:szCs w:val="20"/>
              </w:rPr>
              <w:t>ծրագիր</w:t>
            </w:r>
            <w:r w:rsidRPr="0053423A">
              <w:rPr>
                <w:sz w:val="20"/>
                <w:szCs w:val="20"/>
                <w:lang w:val="af-ZA"/>
              </w:rPr>
              <w:t xml:space="preserve">, </w:t>
            </w:r>
            <w:r w:rsidRPr="0053423A">
              <w:rPr>
                <w:sz w:val="20"/>
                <w:szCs w:val="20"/>
              </w:rPr>
              <w:t>միաժամանակ</w:t>
            </w:r>
            <w:r w:rsidRPr="0053423A">
              <w:rPr>
                <w:sz w:val="20"/>
                <w:szCs w:val="20"/>
                <w:lang w:val="af-ZA"/>
              </w:rPr>
              <w:t xml:space="preserve"> </w:t>
            </w:r>
            <w:r w:rsidRPr="0053423A">
              <w:rPr>
                <w:sz w:val="20"/>
                <w:szCs w:val="20"/>
              </w:rPr>
              <w:t>փոխհատուցում</w:t>
            </w:r>
            <w:r w:rsidRPr="0053423A">
              <w:rPr>
                <w:sz w:val="20"/>
                <w:szCs w:val="20"/>
                <w:lang w:val="af-ZA"/>
              </w:rPr>
              <w:t xml:space="preserve"> </w:t>
            </w:r>
            <w:r w:rsidRPr="0053423A">
              <w:rPr>
                <w:sz w:val="20"/>
                <w:szCs w:val="20"/>
              </w:rPr>
              <w:t>ապահովելով</w:t>
            </w:r>
            <w:r w:rsidRPr="0053423A">
              <w:rPr>
                <w:sz w:val="20"/>
                <w:szCs w:val="20"/>
                <w:lang w:val="af-ZA"/>
              </w:rPr>
              <w:t xml:space="preserve"> </w:t>
            </w:r>
            <w:r w:rsidRPr="0053423A">
              <w:rPr>
                <w:sz w:val="20"/>
                <w:szCs w:val="20"/>
              </w:rPr>
              <w:t>որպես</w:t>
            </w:r>
            <w:r w:rsidRPr="0053423A">
              <w:rPr>
                <w:sz w:val="20"/>
                <w:szCs w:val="20"/>
                <w:lang w:val="af-ZA"/>
              </w:rPr>
              <w:t xml:space="preserve"> </w:t>
            </w:r>
            <w:r w:rsidRPr="0053423A">
              <w:rPr>
                <w:sz w:val="20"/>
                <w:szCs w:val="20"/>
              </w:rPr>
              <w:t>բնակարանային</w:t>
            </w:r>
            <w:r w:rsidRPr="0053423A">
              <w:rPr>
                <w:sz w:val="20"/>
                <w:szCs w:val="20"/>
                <w:lang w:val="af-ZA"/>
              </w:rPr>
              <w:t xml:space="preserve"> </w:t>
            </w:r>
            <w:r w:rsidRPr="0053423A">
              <w:rPr>
                <w:sz w:val="20"/>
                <w:szCs w:val="20"/>
              </w:rPr>
              <w:t>կարիքավոր</w:t>
            </w:r>
            <w:r w:rsidRPr="0053423A">
              <w:rPr>
                <w:sz w:val="20"/>
                <w:szCs w:val="20"/>
                <w:lang w:val="af-ZA"/>
              </w:rPr>
              <w:t xml:space="preserve"> </w:t>
            </w:r>
            <w:r w:rsidRPr="0053423A">
              <w:rPr>
                <w:sz w:val="20"/>
                <w:szCs w:val="20"/>
              </w:rPr>
              <w:t>հաշվառված</w:t>
            </w:r>
            <w:r w:rsidRPr="0053423A">
              <w:rPr>
                <w:sz w:val="20"/>
                <w:szCs w:val="20"/>
                <w:lang w:val="af-ZA"/>
              </w:rPr>
              <w:t xml:space="preserve"> </w:t>
            </w:r>
            <w:r w:rsidRPr="0053423A">
              <w:rPr>
                <w:sz w:val="20"/>
                <w:szCs w:val="20"/>
              </w:rPr>
              <w:t>սակայն</w:t>
            </w:r>
            <w:r w:rsidRPr="0053423A">
              <w:rPr>
                <w:sz w:val="20"/>
                <w:szCs w:val="20"/>
                <w:lang w:val="af-ZA"/>
              </w:rPr>
              <w:t xml:space="preserve"> </w:t>
            </w:r>
            <w:r w:rsidRPr="0053423A">
              <w:rPr>
                <w:sz w:val="20"/>
                <w:szCs w:val="20"/>
              </w:rPr>
              <w:t>սահմանված</w:t>
            </w:r>
            <w:r w:rsidRPr="0053423A">
              <w:rPr>
                <w:sz w:val="20"/>
                <w:szCs w:val="20"/>
                <w:lang w:val="af-ZA"/>
              </w:rPr>
              <w:t xml:space="preserve"> </w:t>
            </w:r>
            <w:r w:rsidRPr="0053423A">
              <w:rPr>
                <w:sz w:val="20"/>
                <w:szCs w:val="20"/>
              </w:rPr>
              <w:t>կարգով</w:t>
            </w:r>
            <w:r w:rsidRPr="0053423A">
              <w:rPr>
                <w:sz w:val="20"/>
                <w:szCs w:val="20"/>
                <w:lang w:val="af-ZA"/>
              </w:rPr>
              <w:t xml:space="preserve"> </w:t>
            </w:r>
            <w:r w:rsidRPr="0053423A">
              <w:rPr>
                <w:sz w:val="20"/>
                <w:szCs w:val="20"/>
              </w:rPr>
              <w:t>ծառայությունից</w:t>
            </w:r>
            <w:r w:rsidRPr="0053423A">
              <w:rPr>
                <w:sz w:val="20"/>
                <w:szCs w:val="20"/>
                <w:lang w:val="af-ZA"/>
              </w:rPr>
              <w:t xml:space="preserve"> </w:t>
            </w:r>
            <w:r w:rsidRPr="0053423A">
              <w:rPr>
                <w:sz w:val="20"/>
                <w:szCs w:val="20"/>
              </w:rPr>
              <w:t>արձակված</w:t>
            </w:r>
            <w:r w:rsidRPr="0053423A">
              <w:rPr>
                <w:sz w:val="20"/>
                <w:szCs w:val="20"/>
                <w:lang w:val="af-ZA"/>
              </w:rPr>
              <w:t xml:space="preserve"> </w:t>
            </w:r>
            <w:r w:rsidRPr="0053423A">
              <w:rPr>
                <w:sz w:val="20"/>
                <w:szCs w:val="20"/>
              </w:rPr>
              <w:t>անձանց</w:t>
            </w:r>
            <w:r w:rsidRPr="0053423A">
              <w:rPr>
                <w:sz w:val="20"/>
                <w:szCs w:val="20"/>
                <w:lang w:val="af-ZA"/>
              </w:rPr>
              <w:t xml:space="preserve"> </w:t>
            </w:r>
            <w:r w:rsidRPr="0053423A">
              <w:rPr>
                <w:sz w:val="20"/>
                <w:szCs w:val="20"/>
              </w:rPr>
              <w:t>համար</w:t>
            </w:r>
            <w:r w:rsidRPr="0053423A">
              <w:rPr>
                <w:sz w:val="20"/>
                <w:szCs w:val="20"/>
                <w:lang w:val="af-ZA"/>
              </w:rPr>
              <w:t>:</w:t>
            </w:r>
          </w:p>
          <w:p w:rsidR="00BB45FD" w:rsidRPr="0053423A" w:rsidRDefault="00BB45FD" w:rsidP="00A67858">
            <w:pPr>
              <w:pStyle w:val="ListParagraph"/>
              <w:tabs>
                <w:tab w:val="left" w:pos="0"/>
                <w:tab w:val="left" w:pos="851"/>
                <w:tab w:val="left" w:pos="1134"/>
              </w:tabs>
              <w:spacing w:after="0" w:line="276" w:lineRule="auto"/>
              <w:ind w:left="0"/>
              <w:rPr>
                <w:rFonts w:cs="Sylfaen"/>
                <w:sz w:val="20"/>
                <w:szCs w:val="20"/>
                <w:lang w:val="hy-AM"/>
              </w:rPr>
            </w:pPr>
            <w:r w:rsidRPr="0053423A">
              <w:rPr>
                <w:rFonts w:cs="GHEA Grapalat"/>
                <w:color w:val="000000"/>
                <w:sz w:val="20"/>
                <w:szCs w:val="20"/>
                <w:lang w:val="af-ZA"/>
              </w:rPr>
              <w:t xml:space="preserve"> </w:t>
            </w:r>
            <w:r w:rsidRPr="0053423A">
              <w:rPr>
                <w:rFonts w:cs="GHEA Grapalat"/>
                <w:color w:val="000000"/>
                <w:sz w:val="20"/>
                <w:szCs w:val="20"/>
                <w:lang w:val="af-ZA"/>
              </w:rPr>
              <w:tab/>
            </w:r>
            <w:r w:rsidRPr="0053423A">
              <w:rPr>
                <w:b/>
                <w:sz w:val="20"/>
                <w:szCs w:val="20"/>
                <w:lang w:val="hy-AM"/>
              </w:rPr>
              <w:t>2.</w:t>
            </w:r>
            <w:r w:rsidRPr="0053423A">
              <w:rPr>
                <w:b/>
                <w:sz w:val="20"/>
                <w:szCs w:val="20"/>
                <w:lang w:val="af-ZA"/>
              </w:rPr>
              <w:t xml:space="preserve"> </w:t>
            </w:r>
            <w:r w:rsidRPr="0053423A">
              <w:rPr>
                <w:b/>
                <w:sz w:val="20"/>
                <w:szCs w:val="20"/>
              </w:rPr>
              <w:t>Միջոցառումների</w:t>
            </w:r>
            <w:r w:rsidRPr="0053423A">
              <w:rPr>
                <w:b/>
                <w:sz w:val="20"/>
                <w:szCs w:val="20"/>
                <w:lang w:val="hy-AM"/>
              </w:rPr>
              <w:t xml:space="preserve"> իրականացումից ակնկալվող արդյունքը</w:t>
            </w:r>
            <w:r w:rsidRPr="0053423A">
              <w:rPr>
                <w:rFonts w:cs="Sylfaen"/>
                <w:sz w:val="20"/>
                <w:szCs w:val="20"/>
                <w:lang w:val="hy-AM"/>
              </w:rPr>
              <w:t xml:space="preserve"> </w:t>
            </w:r>
          </w:p>
          <w:p w:rsidR="00BB45FD" w:rsidRPr="0053423A" w:rsidRDefault="00BB45FD" w:rsidP="00A67858">
            <w:pPr>
              <w:tabs>
                <w:tab w:val="left" w:pos="851"/>
              </w:tabs>
              <w:spacing w:after="0" w:line="276" w:lineRule="auto"/>
              <w:rPr>
                <w:sz w:val="20"/>
                <w:szCs w:val="20"/>
                <w:lang w:val="af-ZA"/>
              </w:rPr>
            </w:pPr>
            <w:r w:rsidRPr="0053423A">
              <w:rPr>
                <w:b/>
                <w:sz w:val="20"/>
                <w:szCs w:val="20"/>
                <w:lang w:val="af-ZA"/>
              </w:rPr>
              <w:tab/>
            </w:r>
            <w:r w:rsidRPr="0053423A">
              <w:rPr>
                <w:sz w:val="20"/>
                <w:szCs w:val="20"/>
              </w:rPr>
              <w:t>Կավելանա</w:t>
            </w:r>
            <w:r w:rsidRPr="0053423A">
              <w:rPr>
                <w:sz w:val="20"/>
                <w:szCs w:val="20"/>
                <w:lang w:val="af-ZA"/>
              </w:rPr>
              <w:t xml:space="preserve"> </w:t>
            </w:r>
            <w:r w:rsidRPr="0053423A">
              <w:rPr>
                <w:sz w:val="20"/>
                <w:szCs w:val="20"/>
              </w:rPr>
              <w:t>ՊՆ</w:t>
            </w:r>
            <w:r w:rsidRPr="0053423A">
              <w:rPr>
                <w:sz w:val="20"/>
                <w:szCs w:val="20"/>
                <w:lang w:val="af-ZA"/>
              </w:rPr>
              <w:t xml:space="preserve"> </w:t>
            </w:r>
            <w:r w:rsidRPr="0053423A">
              <w:rPr>
                <w:sz w:val="20"/>
                <w:szCs w:val="20"/>
              </w:rPr>
              <w:t>համակարգում</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զինված</w:t>
            </w:r>
            <w:r w:rsidRPr="0053423A">
              <w:rPr>
                <w:sz w:val="20"/>
                <w:szCs w:val="20"/>
                <w:lang w:val="af-ZA"/>
              </w:rPr>
              <w:t xml:space="preserve"> </w:t>
            </w:r>
            <w:r w:rsidRPr="0053423A">
              <w:rPr>
                <w:sz w:val="20"/>
                <w:szCs w:val="20"/>
              </w:rPr>
              <w:t>ուժերում</w:t>
            </w:r>
            <w:r w:rsidRPr="0053423A">
              <w:rPr>
                <w:sz w:val="20"/>
                <w:szCs w:val="20"/>
                <w:lang w:val="af-ZA"/>
              </w:rPr>
              <w:t xml:space="preserve"> </w:t>
            </w:r>
            <w:r w:rsidRPr="0053423A">
              <w:rPr>
                <w:sz w:val="20"/>
                <w:szCs w:val="20"/>
              </w:rPr>
              <w:t>ներգրավված</w:t>
            </w:r>
            <w:r w:rsidRPr="0053423A">
              <w:rPr>
                <w:sz w:val="20"/>
                <w:szCs w:val="20"/>
                <w:lang w:val="af-ZA"/>
              </w:rPr>
              <w:t xml:space="preserve"> </w:t>
            </w:r>
            <w:r w:rsidRPr="0053423A">
              <w:rPr>
                <w:sz w:val="20"/>
                <w:szCs w:val="20"/>
              </w:rPr>
              <w:t>անձնակազմի</w:t>
            </w:r>
            <w:r w:rsidRPr="0053423A">
              <w:rPr>
                <w:sz w:val="20"/>
                <w:szCs w:val="20"/>
                <w:lang w:val="af-ZA"/>
              </w:rPr>
              <w:t xml:space="preserve"> </w:t>
            </w:r>
            <w:r w:rsidRPr="0053423A">
              <w:rPr>
                <w:sz w:val="20"/>
                <w:szCs w:val="20"/>
              </w:rPr>
              <w:t>ու</w:t>
            </w:r>
            <w:r w:rsidRPr="0053423A">
              <w:rPr>
                <w:sz w:val="20"/>
                <w:szCs w:val="20"/>
                <w:lang w:val="af-ZA"/>
              </w:rPr>
              <w:t xml:space="preserve"> </w:t>
            </w:r>
            <w:r w:rsidRPr="0053423A">
              <w:rPr>
                <w:sz w:val="20"/>
                <w:szCs w:val="20"/>
              </w:rPr>
              <w:t>նրանց</w:t>
            </w:r>
            <w:r w:rsidRPr="0053423A">
              <w:rPr>
                <w:sz w:val="20"/>
                <w:szCs w:val="20"/>
                <w:lang w:val="af-ZA"/>
              </w:rPr>
              <w:t xml:space="preserve"> </w:t>
            </w:r>
            <w:r w:rsidRPr="0053423A">
              <w:rPr>
                <w:sz w:val="20"/>
                <w:szCs w:val="20"/>
              </w:rPr>
              <w:t>ընտանիքի</w:t>
            </w:r>
            <w:r w:rsidRPr="0053423A">
              <w:rPr>
                <w:sz w:val="20"/>
                <w:szCs w:val="20"/>
                <w:lang w:val="af-ZA"/>
              </w:rPr>
              <w:t xml:space="preserve"> </w:t>
            </w:r>
            <w:r w:rsidRPr="0053423A">
              <w:rPr>
                <w:sz w:val="20"/>
                <w:szCs w:val="20"/>
              </w:rPr>
              <w:t>անդամների</w:t>
            </w:r>
            <w:r w:rsidRPr="0053423A">
              <w:rPr>
                <w:sz w:val="20"/>
                <w:szCs w:val="20"/>
                <w:lang w:val="af-ZA"/>
              </w:rPr>
              <w:t xml:space="preserve">, </w:t>
            </w:r>
            <w:r w:rsidRPr="0053423A">
              <w:rPr>
                <w:sz w:val="20"/>
                <w:szCs w:val="20"/>
              </w:rPr>
              <w:t>զոհված</w:t>
            </w:r>
            <w:r w:rsidRPr="0053423A">
              <w:rPr>
                <w:sz w:val="20"/>
                <w:szCs w:val="20"/>
                <w:lang w:val="af-ZA"/>
              </w:rPr>
              <w:t xml:space="preserve"> </w:t>
            </w:r>
            <w:r w:rsidRPr="0053423A">
              <w:rPr>
                <w:sz w:val="20"/>
                <w:szCs w:val="20"/>
              </w:rPr>
              <w:t>և</w:t>
            </w:r>
            <w:r w:rsidRPr="0053423A">
              <w:rPr>
                <w:sz w:val="20"/>
                <w:szCs w:val="20"/>
                <w:lang w:val="af-ZA"/>
              </w:rPr>
              <w:t xml:space="preserve"> </w:t>
            </w:r>
            <w:r w:rsidRPr="0053423A">
              <w:rPr>
                <w:sz w:val="20"/>
                <w:szCs w:val="20"/>
              </w:rPr>
              <w:t>անհայտ</w:t>
            </w:r>
            <w:r w:rsidRPr="0053423A">
              <w:rPr>
                <w:sz w:val="20"/>
                <w:szCs w:val="20"/>
                <w:lang w:val="af-ZA"/>
              </w:rPr>
              <w:t xml:space="preserve"> </w:t>
            </w:r>
            <w:r w:rsidRPr="0053423A">
              <w:rPr>
                <w:sz w:val="20"/>
                <w:szCs w:val="20"/>
              </w:rPr>
              <w:t>կորած</w:t>
            </w:r>
            <w:r w:rsidRPr="0053423A">
              <w:rPr>
                <w:sz w:val="20"/>
                <w:szCs w:val="20"/>
                <w:lang w:val="af-ZA"/>
              </w:rPr>
              <w:t xml:space="preserve"> </w:t>
            </w:r>
            <w:r w:rsidRPr="0053423A">
              <w:rPr>
                <w:sz w:val="20"/>
                <w:szCs w:val="20"/>
              </w:rPr>
              <w:t>զինծառայողների</w:t>
            </w:r>
            <w:r w:rsidRPr="0053423A">
              <w:rPr>
                <w:sz w:val="20"/>
                <w:szCs w:val="20"/>
                <w:lang w:val="af-ZA"/>
              </w:rPr>
              <w:t xml:space="preserve"> </w:t>
            </w:r>
            <w:r w:rsidRPr="0053423A">
              <w:rPr>
                <w:sz w:val="20"/>
                <w:szCs w:val="20"/>
              </w:rPr>
              <w:t>ընտանիքի</w:t>
            </w:r>
            <w:r w:rsidRPr="0053423A">
              <w:rPr>
                <w:sz w:val="20"/>
                <w:szCs w:val="20"/>
                <w:lang w:val="af-ZA"/>
              </w:rPr>
              <w:t xml:space="preserve"> </w:t>
            </w:r>
            <w:r w:rsidRPr="0053423A">
              <w:rPr>
                <w:sz w:val="20"/>
                <w:szCs w:val="20"/>
              </w:rPr>
              <w:t>անդամների</w:t>
            </w:r>
            <w:r w:rsidRPr="0053423A">
              <w:rPr>
                <w:sz w:val="20"/>
                <w:szCs w:val="20"/>
                <w:lang w:val="af-ZA"/>
              </w:rPr>
              <w:t xml:space="preserve">, </w:t>
            </w:r>
            <w:r w:rsidRPr="0053423A">
              <w:rPr>
                <w:sz w:val="20"/>
                <w:szCs w:val="20"/>
              </w:rPr>
              <w:t>զինվորական</w:t>
            </w:r>
            <w:r w:rsidRPr="0053423A">
              <w:rPr>
                <w:sz w:val="20"/>
                <w:szCs w:val="20"/>
                <w:lang w:val="af-ZA"/>
              </w:rPr>
              <w:t xml:space="preserve"> </w:t>
            </w:r>
            <w:r w:rsidRPr="0053423A">
              <w:rPr>
                <w:sz w:val="20"/>
                <w:szCs w:val="20"/>
              </w:rPr>
              <w:t>հաշմանդամների</w:t>
            </w:r>
            <w:r w:rsidRPr="0053423A">
              <w:rPr>
                <w:sz w:val="20"/>
                <w:szCs w:val="20"/>
                <w:lang w:val="af-ZA"/>
              </w:rPr>
              <w:t xml:space="preserve"> </w:t>
            </w:r>
            <w:r w:rsidRPr="0053423A">
              <w:rPr>
                <w:sz w:val="20"/>
                <w:szCs w:val="20"/>
              </w:rPr>
              <w:t>նկատմամբ</w:t>
            </w:r>
            <w:r w:rsidRPr="0053423A">
              <w:rPr>
                <w:sz w:val="20"/>
                <w:szCs w:val="20"/>
                <w:lang w:val="af-ZA"/>
              </w:rPr>
              <w:t xml:space="preserve"> </w:t>
            </w:r>
            <w:r w:rsidRPr="0053423A">
              <w:rPr>
                <w:sz w:val="20"/>
                <w:szCs w:val="20"/>
              </w:rPr>
              <w:t>հոգածության</w:t>
            </w:r>
            <w:r w:rsidRPr="0053423A">
              <w:rPr>
                <w:sz w:val="20"/>
                <w:szCs w:val="20"/>
                <w:lang w:val="af-ZA"/>
              </w:rPr>
              <w:t xml:space="preserve"> </w:t>
            </w:r>
            <w:r w:rsidRPr="0053423A">
              <w:rPr>
                <w:sz w:val="20"/>
                <w:szCs w:val="20"/>
              </w:rPr>
              <w:t>մակարդակը</w:t>
            </w:r>
            <w:r w:rsidRPr="0053423A">
              <w:rPr>
                <w:sz w:val="20"/>
                <w:szCs w:val="20"/>
                <w:lang w:val="af-ZA"/>
              </w:rPr>
              <w:t xml:space="preserve">, </w:t>
            </w:r>
            <w:r w:rsidRPr="0053423A">
              <w:rPr>
                <w:sz w:val="20"/>
                <w:szCs w:val="20"/>
              </w:rPr>
              <w:t>կստեղծվեն</w:t>
            </w:r>
            <w:r w:rsidRPr="0053423A">
              <w:rPr>
                <w:sz w:val="20"/>
                <w:szCs w:val="20"/>
                <w:lang w:val="af-ZA"/>
              </w:rPr>
              <w:t xml:space="preserve"> </w:t>
            </w:r>
            <w:r w:rsidRPr="0053423A">
              <w:rPr>
                <w:sz w:val="20"/>
                <w:szCs w:val="20"/>
              </w:rPr>
              <w:t>ծառայության</w:t>
            </w:r>
            <w:r w:rsidRPr="0053423A">
              <w:rPr>
                <w:sz w:val="20"/>
                <w:szCs w:val="20"/>
                <w:lang w:val="af-ZA"/>
              </w:rPr>
              <w:t xml:space="preserve"> </w:t>
            </w:r>
            <w:r w:rsidRPr="0053423A">
              <w:rPr>
                <w:sz w:val="20"/>
                <w:szCs w:val="20"/>
              </w:rPr>
              <w:t>համար</w:t>
            </w:r>
            <w:r w:rsidRPr="0053423A">
              <w:rPr>
                <w:sz w:val="20"/>
                <w:szCs w:val="20"/>
                <w:lang w:val="af-ZA"/>
              </w:rPr>
              <w:t xml:space="preserve"> </w:t>
            </w:r>
            <w:r w:rsidRPr="0053423A">
              <w:rPr>
                <w:sz w:val="20"/>
                <w:szCs w:val="20"/>
              </w:rPr>
              <w:t>ավելի</w:t>
            </w:r>
            <w:r w:rsidRPr="0053423A">
              <w:rPr>
                <w:sz w:val="20"/>
                <w:szCs w:val="20"/>
                <w:lang w:val="af-ZA"/>
              </w:rPr>
              <w:t xml:space="preserve"> </w:t>
            </w:r>
            <w:r w:rsidRPr="0053423A">
              <w:rPr>
                <w:sz w:val="20"/>
                <w:szCs w:val="20"/>
              </w:rPr>
              <w:t>բարենպաստ</w:t>
            </w:r>
            <w:r w:rsidRPr="0053423A">
              <w:rPr>
                <w:sz w:val="20"/>
                <w:szCs w:val="20"/>
                <w:lang w:val="af-ZA"/>
              </w:rPr>
              <w:t xml:space="preserve"> </w:t>
            </w:r>
            <w:r w:rsidRPr="0053423A">
              <w:rPr>
                <w:sz w:val="20"/>
                <w:szCs w:val="20"/>
              </w:rPr>
              <w:t>պայմաններ</w:t>
            </w:r>
            <w:r w:rsidRPr="0053423A">
              <w:rPr>
                <w:sz w:val="20"/>
                <w:szCs w:val="20"/>
                <w:lang w:val="af-ZA"/>
              </w:rPr>
              <w:t xml:space="preserve">, </w:t>
            </w:r>
            <w:r w:rsidRPr="0053423A">
              <w:rPr>
                <w:sz w:val="20"/>
                <w:szCs w:val="20"/>
              </w:rPr>
              <w:t>կապահովվի</w:t>
            </w:r>
            <w:r w:rsidRPr="0053423A">
              <w:rPr>
                <w:sz w:val="20"/>
                <w:szCs w:val="20"/>
                <w:lang w:val="af-ZA"/>
              </w:rPr>
              <w:t xml:space="preserve"> </w:t>
            </w:r>
            <w:r w:rsidRPr="0053423A">
              <w:rPr>
                <w:sz w:val="20"/>
                <w:szCs w:val="20"/>
              </w:rPr>
              <w:t>անձնակազմի</w:t>
            </w:r>
            <w:r w:rsidRPr="0053423A">
              <w:rPr>
                <w:sz w:val="20"/>
                <w:szCs w:val="20"/>
                <w:lang w:val="af-ZA"/>
              </w:rPr>
              <w:t xml:space="preserve"> </w:t>
            </w:r>
            <w:r w:rsidRPr="0053423A">
              <w:rPr>
                <w:sz w:val="20"/>
                <w:szCs w:val="20"/>
              </w:rPr>
              <w:t>արժանավայել</w:t>
            </w:r>
            <w:r w:rsidRPr="0053423A">
              <w:rPr>
                <w:sz w:val="20"/>
                <w:szCs w:val="20"/>
                <w:lang w:val="af-ZA"/>
              </w:rPr>
              <w:t xml:space="preserve"> </w:t>
            </w:r>
            <w:r w:rsidRPr="0053423A">
              <w:rPr>
                <w:sz w:val="20"/>
                <w:szCs w:val="20"/>
              </w:rPr>
              <w:t>վարձատրությունը</w:t>
            </w:r>
            <w:r w:rsidRPr="0053423A">
              <w:rPr>
                <w:sz w:val="20"/>
                <w:szCs w:val="20"/>
                <w:lang w:val="af-ZA"/>
              </w:rPr>
              <w:t>:</w:t>
            </w:r>
          </w:p>
          <w:p w:rsidR="00BB45FD" w:rsidRPr="0053423A" w:rsidRDefault="00BB45FD" w:rsidP="00A67858">
            <w:pPr>
              <w:spacing w:after="0" w:line="276" w:lineRule="auto"/>
              <w:ind w:firstLine="720"/>
              <w:jc w:val="center"/>
              <w:rPr>
                <w:b/>
                <w:sz w:val="20"/>
                <w:szCs w:val="20"/>
                <w:u w:val="single"/>
                <w:lang w:val="af-ZA"/>
              </w:rPr>
            </w:pPr>
          </w:p>
        </w:tc>
      </w:tr>
    </w:tbl>
    <w:p w:rsidR="00CE4992" w:rsidRPr="001F6D5D" w:rsidRDefault="00CE4992">
      <w:pPr>
        <w:rPr>
          <w:sz w:val="20"/>
          <w:szCs w:val="20"/>
          <w:lang w:val="af-ZA"/>
        </w:rPr>
      </w:pPr>
    </w:p>
    <w:tbl>
      <w:tblPr>
        <w:tblStyle w:val="TableGrid"/>
        <w:tblW w:w="11359" w:type="dxa"/>
        <w:tblInd w:w="137" w:type="dxa"/>
        <w:shd w:val="clear" w:color="auto" w:fill="FFFF00"/>
        <w:tblLook w:val="04A0" w:firstRow="1" w:lastRow="0" w:firstColumn="1" w:lastColumn="0" w:noHBand="0" w:noVBand="1"/>
      </w:tblPr>
      <w:tblGrid>
        <w:gridCol w:w="480"/>
        <w:gridCol w:w="10879"/>
      </w:tblGrid>
      <w:tr w:rsidR="00530B14" w:rsidRPr="00DE2EFA" w:rsidTr="007847C1">
        <w:tc>
          <w:tcPr>
            <w:tcW w:w="480" w:type="dxa"/>
            <w:shd w:val="clear" w:color="auto" w:fill="FFFF00"/>
          </w:tcPr>
          <w:p w:rsidR="00530B14" w:rsidRPr="0053423A" w:rsidRDefault="00530B14" w:rsidP="00A67858">
            <w:pPr>
              <w:spacing w:line="276" w:lineRule="auto"/>
              <w:jc w:val="center"/>
              <w:rPr>
                <w:lang w:val="af-ZA"/>
              </w:rPr>
            </w:pPr>
          </w:p>
        </w:tc>
        <w:tc>
          <w:tcPr>
            <w:tcW w:w="10879" w:type="dxa"/>
            <w:shd w:val="clear" w:color="auto" w:fill="FFFF00"/>
          </w:tcPr>
          <w:p w:rsidR="00530B14" w:rsidRPr="0053423A" w:rsidRDefault="00530B14" w:rsidP="00A67858">
            <w:pPr>
              <w:spacing w:line="276" w:lineRule="auto"/>
              <w:jc w:val="center"/>
              <w:rPr>
                <w:rFonts w:cs="Sylfaen"/>
                <w:b/>
                <w:lang w:val="hy-AM" w:eastAsia="en-GB"/>
              </w:rPr>
            </w:pPr>
            <w:r w:rsidRPr="0053423A">
              <w:rPr>
                <w:rFonts w:cs="Sylfaen"/>
                <w:b/>
                <w:lang w:val="hy-AM" w:eastAsia="en-GB"/>
              </w:rPr>
              <w:t>Սպորտի և երիտասարդության հարցերի</w:t>
            </w:r>
            <w:r w:rsidRPr="0053423A">
              <w:rPr>
                <w:b/>
                <w:lang w:val="hy-AM"/>
              </w:rPr>
              <w:t xml:space="preserve"> </w:t>
            </w:r>
            <w:r w:rsidRPr="0053423A">
              <w:rPr>
                <w:rFonts w:cs="Arial Unicode"/>
                <w:b/>
                <w:lang w:val="hy-AM"/>
              </w:rPr>
              <w:t>նախարարություն</w:t>
            </w:r>
          </w:p>
        </w:tc>
      </w:tr>
    </w:tbl>
    <w:p w:rsidR="00530B14" w:rsidRPr="0053423A" w:rsidRDefault="00530B14" w:rsidP="00A67858">
      <w:pPr>
        <w:spacing w:after="0" w:line="276" w:lineRule="auto"/>
        <w:rPr>
          <w:sz w:val="20"/>
          <w:szCs w:val="20"/>
          <w:lang w:val="hy-AM"/>
        </w:rPr>
      </w:pPr>
    </w:p>
    <w:tbl>
      <w:tblPr>
        <w:tblStyle w:val="TableGrid5"/>
        <w:tblW w:w="0" w:type="auto"/>
        <w:tblInd w:w="198" w:type="dxa"/>
        <w:tblLook w:val="04A0" w:firstRow="1" w:lastRow="0" w:firstColumn="1" w:lastColumn="0" w:noHBand="0" w:noVBand="1"/>
      </w:tblPr>
      <w:tblGrid>
        <w:gridCol w:w="450"/>
        <w:gridCol w:w="10890"/>
      </w:tblGrid>
      <w:tr w:rsidR="007847C1" w:rsidRPr="00DE2EFA" w:rsidTr="007847C1">
        <w:tc>
          <w:tcPr>
            <w:tcW w:w="450" w:type="dxa"/>
          </w:tcPr>
          <w:p w:rsidR="007847C1" w:rsidRPr="0053423A" w:rsidRDefault="007847C1" w:rsidP="00A67858">
            <w:pPr>
              <w:tabs>
                <w:tab w:val="left" w:pos="3360"/>
              </w:tabs>
              <w:spacing w:line="276" w:lineRule="auto"/>
              <w:jc w:val="center"/>
              <w:rPr>
                <w:rFonts w:cs="GHEA Grapalat"/>
                <w:lang w:val="fr-FR"/>
              </w:rPr>
            </w:pPr>
            <w:r w:rsidRPr="0053423A">
              <w:rPr>
                <w:rFonts w:cs="GHEA Grapalat"/>
                <w:lang w:val="fr-FR"/>
              </w:rPr>
              <w:t>1</w:t>
            </w:r>
          </w:p>
        </w:tc>
        <w:tc>
          <w:tcPr>
            <w:tcW w:w="10890" w:type="dxa"/>
          </w:tcPr>
          <w:p w:rsidR="007847C1" w:rsidRPr="0053423A" w:rsidRDefault="007847C1" w:rsidP="00A67858">
            <w:pPr>
              <w:spacing w:line="276" w:lineRule="auto"/>
              <w:ind w:right="43"/>
              <w:rPr>
                <w:rFonts w:cs="GHEA Grapalat"/>
                <w:b/>
                <w:lang w:val="hy-AM"/>
              </w:rPr>
            </w:pPr>
            <w:r w:rsidRPr="0053423A">
              <w:rPr>
                <w:rFonts w:cs="GHEA Grapalat"/>
                <w:b/>
                <w:lang w:val="hy-AM"/>
              </w:rPr>
              <w:t>1.1</w:t>
            </w:r>
            <w:r w:rsidRPr="0053423A">
              <w:rPr>
                <w:rFonts w:ascii="Calibri" w:hAnsi="Calibri" w:cs="Calibri"/>
                <w:b/>
                <w:lang w:val="hy-AM"/>
              </w:rPr>
              <w:t> </w:t>
            </w:r>
            <w:r w:rsidRPr="0053423A">
              <w:rPr>
                <w:rFonts w:cs="GHEA Grapalat"/>
                <w:b/>
                <w:lang w:val="hy-AM"/>
              </w:rPr>
              <w:t>«ՖԻԶԻԿԱԿԱՆ ԿՈՒԼՏՈՒՐԱՅԻ, ՍՊՈՐՏԻ ԵՎ ԵՐԻՏԱՍԱՐԴՈՒԹՅԱՆ ՈԼՈՐՏՆԵՐԻ ՌԱԶՄԱՎԱՐՈՒԹՅՈՒՆԸ ՀԱՍՏԱՏԵԼՈՒ ՄԱՍԻՆ» ՀԱՅԱՍՏԱՆԻ ՀԱՆՐԱՊԵՏՈՒԹՅԱՆ ԿԱՌԱՎԱՐՈՒԹՅԱՆ ՈՐՈՇՄԱՆ ՆԱԽԱԳԾԻ ՆԵՐԿԱՅԱՑՈՒՄ ՀՀ ՎԱՐՉԱՊԵՏԻ ԱՇԽԱՏԱԿԱԶՄ</w:t>
            </w:r>
          </w:p>
          <w:p w:rsidR="007847C1" w:rsidRPr="0053423A" w:rsidRDefault="007847C1" w:rsidP="00A67858">
            <w:pPr>
              <w:spacing w:line="276" w:lineRule="auto"/>
              <w:ind w:right="43"/>
              <w:rPr>
                <w:rFonts w:cs="GHEA Grapalat"/>
                <w:b/>
                <w:lang w:val="af-ZA"/>
              </w:rPr>
            </w:pPr>
          </w:p>
          <w:p w:rsidR="007847C1" w:rsidRPr="0053423A" w:rsidRDefault="007847C1" w:rsidP="00A67858">
            <w:pPr>
              <w:spacing w:line="276" w:lineRule="auto"/>
              <w:ind w:left="714"/>
              <w:jc w:val="both"/>
              <w:rPr>
                <w:rFonts w:cs="GHEA Grapalat"/>
                <w:b/>
                <w:lang w:val="hy-AM"/>
              </w:rPr>
            </w:pPr>
            <w:r w:rsidRPr="0053423A">
              <w:rPr>
                <w:rFonts w:cs="GHEA Grapalat"/>
                <w:b/>
                <w:lang w:val="hy-AM"/>
              </w:rPr>
              <w:t>1. Միջոցառման իրականացման անհրաժեշտությունը և նպատակը.</w:t>
            </w:r>
          </w:p>
          <w:p w:rsidR="007847C1" w:rsidRPr="0053423A" w:rsidRDefault="007847C1" w:rsidP="00A67858">
            <w:pPr>
              <w:spacing w:line="276" w:lineRule="auto"/>
              <w:rPr>
                <w:rFonts w:cs="GHEA Grapalat"/>
                <w:lang w:val="af-ZA"/>
              </w:rPr>
            </w:pPr>
            <w:r w:rsidRPr="0053423A">
              <w:rPr>
                <w:rFonts w:cs="GHEA Grapalat"/>
                <w:lang w:val="af-ZA"/>
              </w:rPr>
              <w:t xml:space="preserve">            </w:t>
            </w:r>
            <w:r w:rsidRPr="0053423A">
              <w:rPr>
                <w:rFonts w:cs="GHEA Grapalat"/>
              </w:rPr>
              <w:t>Անհրաժեշտություն</w:t>
            </w:r>
            <w:r w:rsidRPr="0053423A">
              <w:rPr>
                <w:rFonts w:cs="GHEA Grapalat"/>
                <w:lang w:val="af-ZA"/>
              </w:rPr>
              <w:t xml:space="preserve"> </w:t>
            </w:r>
            <w:r w:rsidRPr="0053423A">
              <w:rPr>
                <w:rFonts w:cs="GHEA Grapalat"/>
              </w:rPr>
              <w:t>է</w:t>
            </w:r>
            <w:r w:rsidRPr="0053423A">
              <w:rPr>
                <w:rFonts w:cs="GHEA Grapalat"/>
                <w:lang w:val="af-ZA"/>
              </w:rPr>
              <w:t xml:space="preserve"> </w:t>
            </w:r>
            <w:r w:rsidRPr="0053423A">
              <w:rPr>
                <w:rFonts w:cs="GHEA Grapalat"/>
              </w:rPr>
              <w:t>Ֆիզիկական</w:t>
            </w:r>
            <w:r w:rsidRPr="0053423A">
              <w:rPr>
                <w:rFonts w:cs="GHEA Grapalat"/>
                <w:lang w:val="af-ZA"/>
              </w:rPr>
              <w:t xml:space="preserve"> </w:t>
            </w:r>
            <w:r w:rsidRPr="0053423A">
              <w:rPr>
                <w:rFonts w:cs="GHEA Grapalat"/>
              </w:rPr>
              <w:t>կուլտուրայի</w:t>
            </w:r>
            <w:r w:rsidRPr="0053423A">
              <w:rPr>
                <w:rFonts w:cs="GHEA Grapalat"/>
                <w:lang w:val="af-ZA"/>
              </w:rPr>
              <w:t xml:space="preserve">, </w:t>
            </w:r>
            <w:r w:rsidRPr="0053423A">
              <w:rPr>
                <w:rFonts w:cs="GHEA Grapalat"/>
              </w:rPr>
              <w:t>սպորտի</w:t>
            </w:r>
            <w:r w:rsidRPr="0053423A">
              <w:rPr>
                <w:rFonts w:cs="GHEA Grapalat"/>
                <w:lang w:val="af-ZA"/>
              </w:rPr>
              <w:t xml:space="preserve"> </w:t>
            </w:r>
            <w:r w:rsidRPr="0053423A">
              <w:rPr>
                <w:rFonts w:cs="GHEA Grapalat"/>
              </w:rPr>
              <w:t>և</w:t>
            </w:r>
            <w:r w:rsidRPr="0053423A">
              <w:rPr>
                <w:rFonts w:cs="GHEA Grapalat"/>
                <w:lang w:val="af-ZA"/>
              </w:rPr>
              <w:t xml:space="preserve"> </w:t>
            </w:r>
            <w:r w:rsidRPr="0053423A">
              <w:rPr>
                <w:rFonts w:cs="GHEA Grapalat"/>
              </w:rPr>
              <w:t>երիտասարդության</w:t>
            </w:r>
            <w:r w:rsidRPr="0053423A">
              <w:rPr>
                <w:rFonts w:cs="GHEA Grapalat"/>
                <w:lang w:val="af-ZA"/>
              </w:rPr>
              <w:t xml:space="preserve"> </w:t>
            </w:r>
            <w:r w:rsidRPr="0053423A">
              <w:rPr>
                <w:rFonts w:cs="GHEA Grapalat"/>
              </w:rPr>
              <w:t>ոլորտների</w:t>
            </w:r>
            <w:r w:rsidRPr="0053423A">
              <w:rPr>
                <w:rFonts w:cs="GHEA Grapalat"/>
                <w:lang w:val="af-ZA"/>
              </w:rPr>
              <w:t xml:space="preserve"> </w:t>
            </w:r>
            <w:r w:rsidRPr="0053423A">
              <w:rPr>
                <w:rFonts w:cs="GHEA Grapalat"/>
              </w:rPr>
              <w:t>զարգացումը</w:t>
            </w:r>
            <w:r w:rsidRPr="0053423A">
              <w:rPr>
                <w:rFonts w:cs="GHEA Grapalat"/>
                <w:lang w:val="af-ZA"/>
              </w:rPr>
              <w:t xml:space="preserve">` </w:t>
            </w:r>
            <w:r w:rsidRPr="0053423A">
              <w:rPr>
                <w:rFonts w:cs="GHEA Grapalat"/>
              </w:rPr>
              <w:t>նպատակ</w:t>
            </w:r>
            <w:r w:rsidRPr="0053423A">
              <w:rPr>
                <w:rFonts w:cs="GHEA Grapalat"/>
                <w:lang w:val="af-ZA"/>
              </w:rPr>
              <w:t xml:space="preserve"> </w:t>
            </w:r>
            <w:r w:rsidRPr="0053423A">
              <w:rPr>
                <w:rFonts w:cs="GHEA Grapalat"/>
              </w:rPr>
              <w:t>ունենալով</w:t>
            </w:r>
            <w:r w:rsidRPr="0053423A">
              <w:rPr>
                <w:rFonts w:cs="GHEA Grapalat"/>
                <w:lang w:val="af-ZA"/>
              </w:rPr>
              <w:t>`</w:t>
            </w:r>
          </w:p>
          <w:p w:rsidR="007847C1" w:rsidRPr="0053423A" w:rsidRDefault="007847C1" w:rsidP="00A67858">
            <w:pPr>
              <w:spacing w:line="276" w:lineRule="auto"/>
              <w:jc w:val="both"/>
              <w:rPr>
                <w:rFonts w:cs="GHEA Grapalat"/>
                <w:lang w:val="af-ZA"/>
              </w:rPr>
            </w:pPr>
            <w:r w:rsidRPr="0053423A">
              <w:rPr>
                <w:rFonts w:cs="GHEA Grapalat"/>
              </w:rPr>
              <w:t>նպաստել</w:t>
            </w:r>
            <w:r w:rsidRPr="0053423A">
              <w:rPr>
                <w:rFonts w:cs="GHEA Grapalat"/>
                <w:lang w:val="hy-AM"/>
              </w:rPr>
              <w:t xml:space="preserve"> </w:t>
            </w:r>
            <w:r w:rsidRPr="0053423A">
              <w:rPr>
                <w:rFonts w:cs="GHEA Grapalat"/>
              </w:rPr>
              <w:t>ա</w:t>
            </w:r>
            <w:r w:rsidRPr="0053423A">
              <w:rPr>
                <w:rFonts w:cs="GHEA Grapalat"/>
                <w:lang w:val="hy-AM"/>
              </w:rPr>
              <w:t>նհատի բազմակողմանի ու ներդաշնակ զարգաց</w:t>
            </w:r>
            <w:r w:rsidRPr="0053423A">
              <w:rPr>
                <w:rFonts w:cs="GHEA Grapalat"/>
              </w:rPr>
              <w:t>մանը</w:t>
            </w:r>
            <w:r w:rsidRPr="0053423A">
              <w:rPr>
                <w:rFonts w:cs="GHEA Grapalat"/>
                <w:lang w:val="hy-AM"/>
              </w:rPr>
              <w:t>, բնակչու</w:t>
            </w:r>
            <w:r w:rsidRPr="0053423A">
              <w:rPr>
                <w:rFonts w:cs="GHEA Grapalat"/>
                <w:lang w:val="hy-AM"/>
              </w:rPr>
              <w:softHyphen/>
            </w:r>
            <w:r w:rsidRPr="0053423A">
              <w:rPr>
                <w:rFonts w:cs="GHEA Grapalat"/>
                <w:lang w:val="hy-AM"/>
              </w:rPr>
              <w:softHyphen/>
              <w:t>թյան առողջության ամրապնդ</w:t>
            </w:r>
            <w:r w:rsidRPr="0053423A">
              <w:rPr>
                <w:rFonts w:cs="GHEA Grapalat"/>
              </w:rPr>
              <w:t>մանը</w:t>
            </w:r>
            <w:r w:rsidRPr="0053423A">
              <w:rPr>
                <w:rFonts w:cs="GHEA Grapalat"/>
                <w:lang w:val="hy-AM"/>
              </w:rPr>
              <w:t xml:space="preserve"> </w:t>
            </w:r>
            <w:r w:rsidRPr="0053423A">
              <w:rPr>
                <w:rFonts w:cs="GHEA Grapalat"/>
              </w:rPr>
              <w:t>և</w:t>
            </w:r>
            <w:r w:rsidRPr="0053423A">
              <w:rPr>
                <w:rFonts w:cs="GHEA Grapalat"/>
                <w:lang w:val="hy-AM"/>
              </w:rPr>
              <w:t xml:space="preserve"> առողջ ապրելակերպի ձևավոր</w:t>
            </w:r>
            <w:r w:rsidRPr="0053423A">
              <w:rPr>
                <w:rFonts w:cs="GHEA Grapalat"/>
              </w:rPr>
              <w:t>ման</w:t>
            </w:r>
            <w:r w:rsidRPr="0053423A">
              <w:rPr>
                <w:rFonts w:cs="GHEA Grapalat"/>
                <w:lang w:val="af-ZA"/>
              </w:rPr>
              <w:t xml:space="preserve"> </w:t>
            </w:r>
            <w:r w:rsidRPr="0053423A">
              <w:rPr>
                <w:rFonts w:cs="GHEA Grapalat"/>
              </w:rPr>
              <w:t>և</w:t>
            </w:r>
            <w:r w:rsidRPr="0053423A">
              <w:rPr>
                <w:rFonts w:cs="GHEA Grapalat"/>
                <w:lang w:val="af-ZA"/>
              </w:rPr>
              <w:t xml:space="preserve"> </w:t>
            </w:r>
            <w:r w:rsidRPr="0053423A">
              <w:rPr>
                <w:rFonts w:cs="Sylfaen"/>
                <w:lang w:val="hy-AM"/>
              </w:rPr>
              <w:t>հայրենիքի</w:t>
            </w:r>
            <w:r w:rsidRPr="0053423A">
              <w:rPr>
                <w:rFonts w:cs="Times Armenian"/>
                <w:lang w:val="fr-FR"/>
              </w:rPr>
              <w:t xml:space="preserve"> </w:t>
            </w:r>
            <w:r w:rsidRPr="0053423A">
              <w:rPr>
                <w:rFonts w:cs="Sylfaen"/>
                <w:lang w:val="hy-AM"/>
              </w:rPr>
              <w:t>պաշտպանությանը</w:t>
            </w:r>
            <w:r w:rsidRPr="0053423A">
              <w:rPr>
                <w:rFonts w:cs="Times Armenian"/>
                <w:lang w:val="fr-FR"/>
              </w:rPr>
              <w:t xml:space="preserve"> </w:t>
            </w:r>
            <w:r w:rsidRPr="0053423A">
              <w:rPr>
                <w:rFonts w:cs="Sylfaen"/>
                <w:lang w:val="hy-AM"/>
              </w:rPr>
              <w:t>պատրա</w:t>
            </w:r>
            <w:r w:rsidRPr="0053423A">
              <w:rPr>
                <w:rFonts w:cs="Times Armenian"/>
                <w:lang w:val="fr-FR"/>
              </w:rPr>
              <w:t>u</w:t>
            </w:r>
            <w:r w:rsidRPr="0053423A">
              <w:rPr>
                <w:rFonts w:cs="Sylfaen"/>
                <w:lang w:val="hy-AM"/>
              </w:rPr>
              <w:t>տ</w:t>
            </w:r>
            <w:r w:rsidRPr="0053423A">
              <w:rPr>
                <w:rFonts w:cs="Sylfaen"/>
                <w:lang w:val="fr-FR"/>
              </w:rPr>
              <w:t xml:space="preserve"> </w:t>
            </w:r>
            <w:r w:rsidRPr="0053423A">
              <w:rPr>
                <w:rFonts w:cs="Sylfaen"/>
                <w:lang w:val="hy-AM"/>
              </w:rPr>
              <w:t>առողջ</w:t>
            </w:r>
            <w:r w:rsidRPr="0053423A">
              <w:rPr>
                <w:rFonts w:cs="Sylfaen"/>
                <w:lang w:val="fr-FR"/>
              </w:rPr>
              <w:t xml:space="preserve">, </w:t>
            </w:r>
            <w:r w:rsidRPr="0053423A">
              <w:rPr>
                <w:rFonts w:cs="Sylfaen"/>
                <w:lang w:val="hy-AM"/>
              </w:rPr>
              <w:t>ֆիզիկապես</w:t>
            </w:r>
            <w:r w:rsidRPr="0053423A">
              <w:rPr>
                <w:rFonts w:cs="Sylfaen"/>
                <w:lang w:val="fr-FR"/>
              </w:rPr>
              <w:t xml:space="preserve"> </w:t>
            </w:r>
            <w:r w:rsidRPr="0053423A">
              <w:rPr>
                <w:rFonts w:cs="Sylfaen"/>
                <w:lang w:val="hy-AM"/>
              </w:rPr>
              <w:t>ուժեղ</w:t>
            </w:r>
            <w:r w:rsidRPr="0053423A">
              <w:rPr>
                <w:rFonts w:cs="Sylfaen"/>
                <w:lang w:val="fr-FR"/>
              </w:rPr>
              <w:t xml:space="preserve"> ու կամային բարձր որակներով օժտված </w:t>
            </w:r>
            <w:r w:rsidRPr="0053423A">
              <w:rPr>
                <w:rFonts w:cs="Sylfaen"/>
                <w:lang w:val="hy-AM"/>
              </w:rPr>
              <w:t>երիտա</w:t>
            </w:r>
            <w:r w:rsidRPr="0053423A">
              <w:rPr>
                <w:rFonts w:cs="Times Armenian"/>
                <w:lang w:val="fr-FR"/>
              </w:rPr>
              <w:t>u</w:t>
            </w:r>
            <w:r w:rsidRPr="0053423A">
              <w:rPr>
                <w:rFonts w:cs="Sylfaen"/>
                <w:lang w:val="hy-AM"/>
              </w:rPr>
              <w:t>արդության</w:t>
            </w:r>
            <w:r w:rsidRPr="0053423A">
              <w:rPr>
                <w:rFonts w:cs="Times Armenian"/>
                <w:lang w:val="fr-FR"/>
              </w:rPr>
              <w:t xml:space="preserve"> </w:t>
            </w:r>
            <w:r w:rsidRPr="0053423A">
              <w:rPr>
                <w:rFonts w:cs="Sylfaen"/>
                <w:lang w:val="hy-AM"/>
              </w:rPr>
              <w:t>ֆիզիկական</w:t>
            </w:r>
            <w:r w:rsidRPr="0053423A">
              <w:rPr>
                <w:rFonts w:cs="IRTEK Courier"/>
                <w:lang w:val="fr-FR"/>
              </w:rPr>
              <w:t xml:space="preserve"> </w:t>
            </w:r>
            <w:r w:rsidRPr="0053423A">
              <w:rPr>
                <w:rFonts w:cs="Sylfaen"/>
                <w:lang w:val="hy-AM"/>
              </w:rPr>
              <w:t>պատրա</w:t>
            </w:r>
            <w:r w:rsidRPr="0053423A">
              <w:rPr>
                <w:rFonts w:cs="Times Armenian"/>
                <w:lang w:val="fr-FR"/>
              </w:rPr>
              <w:t>u</w:t>
            </w:r>
            <w:r w:rsidRPr="0053423A">
              <w:rPr>
                <w:rFonts w:cs="Sylfaen"/>
                <w:lang w:val="hy-AM"/>
              </w:rPr>
              <w:t>տականության</w:t>
            </w:r>
            <w:r w:rsidRPr="0053423A">
              <w:rPr>
                <w:rFonts w:cs="Times Armenian"/>
                <w:lang w:val="fr-FR"/>
              </w:rPr>
              <w:t xml:space="preserve"> </w:t>
            </w:r>
            <w:r w:rsidRPr="0053423A">
              <w:rPr>
                <w:rFonts w:cs="GHEA Grapalat"/>
              </w:rPr>
              <w:t>ապահովմանը</w:t>
            </w:r>
            <w:r w:rsidRPr="0053423A">
              <w:rPr>
                <w:rFonts w:cs="GHEA Grapalat"/>
                <w:lang w:val="hy-AM"/>
              </w:rPr>
              <w:t>,</w:t>
            </w:r>
            <w:r w:rsidRPr="0053423A">
              <w:rPr>
                <w:rFonts w:cs="GHEA Grapalat"/>
                <w:lang w:val="af-ZA"/>
              </w:rPr>
              <w:t xml:space="preserve"> </w:t>
            </w:r>
            <w:r w:rsidRPr="0053423A">
              <w:rPr>
                <w:rFonts w:cs="GHEA Grapalat"/>
              </w:rPr>
              <w:t>աջակցել</w:t>
            </w:r>
            <w:r w:rsidRPr="0053423A">
              <w:rPr>
                <w:rFonts w:cs="GHEA Grapalat"/>
                <w:lang w:val="hy-AM"/>
              </w:rPr>
              <w:t xml:space="preserve"> ակտիվ հանգստի կազմակերպման</w:t>
            </w:r>
            <w:r w:rsidRPr="0053423A">
              <w:rPr>
                <w:rFonts w:cs="GHEA Grapalat"/>
              </w:rPr>
              <w:t>ը</w:t>
            </w:r>
            <w:r w:rsidRPr="0053423A">
              <w:rPr>
                <w:rFonts w:cs="GHEA Grapalat"/>
                <w:lang w:val="hy-AM"/>
              </w:rPr>
              <w:t>, հանրային կյանքում բարձրաց</w:t>
            </w:r>
            <w:r w:rsidRPr="0053423A">
              <w:rPr>
                <w:rFonts w:cs="GHEA Grapalat"/>
              </w:rPr>
              <w:t>նել</w:t>
            </w:r>
            <w:r w:rsidRPr="0053423A">
              <w:rPr>
                <w:rFonts w:cs="GHEA Grapalat"/>
                <w:lang w:val="hy-AM"/>
              </w:rPr>
              <w:t xml:space="preserve"> ֆիզիկական կուլտուրայի և սպորտի դեր</w:t>
            </w:r>
            <w:r w:rsidRPr="0053423A">
              <w:rPr>
                <w:rFonts w:cs="GHEA Grapalat"/>
              </w:rPr>
              <w:t>ը</w:t>
            </w:r>
            <w:r w:rsidRPr="0053423A">
              <w:rPr>
                <w:rFonts w:cs="GHEA Grapalat"/>
                <w:lang w:val="af-ZA"/>
              </w:rPr>
              <w:t xml:space="preserve">, </w:t>
            </w:r>
            <w:r w:rsidRPr="0053423A">
              <w:rPr>
                <w:rFonts w:cs="GHEA Grapalat"/>
              </w:rPr>
              <w:t>ն</w:t>
            </w:r>
            <w:r w:rsidRPr="0053423A">
              <w:rPr>
                <w:rFonts w:cs="GHEA Grapalat"/>
                <w:lang w:val="hy-AM"/>
              </w:rPr>
              <w:t>պաստ</w:t>
            </w:r>
            <w:r w:rsidRPr="0053423A">
              <w:rPr>
                <w:rFonts w:cs="GHEA Grapalat"/>
              </w:rPr>
              <w:t>ել</w:t>
            </w:r>
            <w:r w:rsidRPr="0053423A">
              <w:rPr>
                <w:rFonts w:cs="GHEA Grapalat"/>
                <w:lang w:val="af-ZA"/>
              </w:rPr>
              <w:t xml:space="preserve"> </w:t>
            </w:r>
            <w:r w:rsidRPr="0053423A">
              <w:rPr>
                <w:rFonts w:cs="GHEA Grapalat"/>
                <w:lang w:val="hy-AM"/>
              </w:rPr>
              <w:t>երիտասարդության ներուժի լիարժեք իրացմանը և զարգացմանը, երիտասարդների ինքնադրսևորման համար անհրաժեշտ բոլոր նախապայմանների ստեղծմանը` կարևորելով քաղաքական, քաղաքացիական, տնտեսական և մշակութային կյանքին երիտասարդների մասնակցության աստիճանի բարձրացումը, նրանց սոցիալական կայացումը, հասարակական-մասնագիտական գործունեությանն աջակցությունը</w:t>
            </w:r>
            <w:r w:rsidRPr="0053423A">
              <w:rPr>
                <w:rFonts w:cs="GHEA Grapalat"/>
                <w:lang w:val="af-ZA"/>
              </w:rPr>
              <w:t>:</w:t>
            </w:r>
          </w:p>
          <w:p w:rsidR="007847C1" w:rsidRPr="0053423A" w:rsidRDefault="007847C1" w:rsidP="00A67858">
            <w:pPr>
              <w:spacing w:line="276" w:lineRule="auto"/>
              <w:ind w:right="43"/>
              <w:rPr>
                <w:rFonts w:cs="GHEA Grapalat"/>
                <w:b/>
                <w:lang w:val="af-ZA"/>
              </w:rPr>
            </w:pPr>
          </w:p>
          <w:p w:rsidR="007847C1" w:rsidRPr="0053423A" w:rsidRDefault="007847C1" w:rsidP="00A67858">
            <w:pPr>
              <w:spacing w:line="276" w:lineRule="auto"/>
              <w:ind w:firstLine="714"/>
              <w:jc w:val="both"/>
              <w:rPr>
                <w:rFonts w:cs="GHEA Grapalat"/>
                <w:b/>
                <w:lang w:val="fr-FR"/>
              </w:rPr>
            </w:pPr>
            <w:r w:rsidRPr="0053423A">
              <w:rPr>
                <w:rFonts w:cs="GHEA Grapalat"/>
                <w:b/>
                <w:lang w:val="fr-FR"/>
              </w:rPr>
              <w:t xml:space="preserve">1.1. </w:t>
            </w:r>
            <w:r w:rsidRPr="0053423A">
              <w:rPr>
                <w:rFonts w:cs="GHEA Grapalat"/>
                <w:b/>
                <w:lang w:val="hy-AM"/>
              </w:rPr>
              <w:t>Կարգավորման</w:t>
            </w:r>
            <w:r w:rsidRPr="0053423A">
              <w:rPr>
                <w:rFonts w:cs="GHEA Grapalat"/>
                <w:b/>
                <w:lang w:val="fr-FR"/>
              </w:rPr>
              <w:t xml:space="preserve"> </w:t>
            </w:r>
            <w:r w:rsidRPr="0053423A">
              <w:rPr>
                <w:rFonts w:cs="GHEA Grapalat"/>
                <w:b/>
                <w:lang w:val="hy-AM"/>
              </w:rPr>
              <w:t>հարաբերությունների</w:t>
            </w:r>
            <w:r w:rsidRPr="0053423A">
              <w:rPr>
                <w:rFonts w:cs="GHEA Grapalat"/>
                <w:b/>
                <w:lang w:val="fr-FR"/>
              </w:rPr>
              <w:t xml:space="preserve"> </w:t>
            </w:r>
            <w:r w:rsidRPr="0053423A">
              <w:rPr>
                <w:rFonts w:cs="GHEA Grapalat"/>
                <w:b/>
                <w:lang w:val="hy-AM"/>
              </w:rPr>
              <w:t>ներկա</w:t>
            </w:r>
            <w:r w:rsidRPr="0053423A">
              <w:rPr>
                <w:rFonts w:cs="GHEA Grapalat"/>
                <w:b/>
                <w:lang w:val="fr-FR"/>
              </w:rPr>
              <w:t xml:space="preserve"> </w:t>
            </w:r>
            <w:r w:rsidRPr="0053423A">
              <w:rPr>
                <w:rFonts w:cs="GHEA Grapalat"/>
                <w:b/>
                <w:lang w:val="hy-AM"/>
              </w:rPr>
              <w:t>վիճակը</w:t>
            </w:r>
            <w:r w:rsidRPr="0053423A">
              <w:rPr>
                <w:rFonts w:cs="GHEA Grapalat"/>
                <w:b/>
                <w:lang w:val="fr-FR"/>
              </w:rPr>
              <w:t xml:space="preserve"> </w:t>
            </w:r>
            <w:r w:rsidRPr="0053423A">
              <w:rPr>
                <w:rFonts w:cs="GHEA Grapalat"/>
                <w:b/>
                <w:lang w:val="hy-AM"/>
              </w:rPr>
              <w:t>և</w:t>
            </w:r>
            <w:r w:rsidRPr="0053423A">
              <w:rPr>
                <w:rFonts w:cs="GHEA Grapalat"/>
                <w:b/>
                <w:lang w:val="fr-FR"/>
              </w:rPr>
              <w:t xml:space="preserve"> </w:t>
            </w:r>
            <w:r w:rsidRPr="0053423A">
              <w:rPr>
                <w:rFonts w:cs="GHEA Grapalat"/>
                <w:b/>
                <w:lang w:val="hy-AM"/>
              </w:rPr>
              <w:t>առկա</w:t>
            </w:r>
            <w:r w:rsidRPr="0053423A">
              <w:rPr>
                <w:rFonts w:cs="GHEA Grapalat"/>
                <w:b/>
                <w:lang w:val="fr-FR"/>
              </w:rPr>
              <w:t xml:space="preserve"> </w:t>
            </w:r>
            <w:r w:rsidRPr="0053423A">
              <w:rPr>
                <w:rFonts w:cs="GHEA Grapalat"/>
                <w:b/>
                <w:lang w:val="hy-AM"/>
              </w:rPr>
              <w:t>խնդիրները</w:t>
            </w:r>
            <w:r w:rsidRPr="0053423A">
              <w:rPr>
                <w:rFonts w:cs="GHEA Grapalat"/>
                <w:b/>
                <w:lang w:val="fr-FR"/>
              </w:rPr>
              <w:t>.</w:t>
            </w:r>
          </w:p>
          <w:p w:rsidR="007847C1" w:rsidRPr="0053423A" w:rsidRDefault="007847C1" w:rsidP="00A67858">
            <w:pPr>
              <w:spacing w:line="276" w:lineRule="auto"/>
              <w:ind w:right="43" w:firstLine="720"/>
              <w:rPr>
                <w:rFonts w:cs="GHEA Grapalat"/>
                <w:b/>
                <w:lang w:val="af-ZA"/>
              </w:rPr>
            </w:pPr>
            <w:r w:rsidRPr="0053423A">
              <w:rPr>
                <w:rFonts w:cs="GHEA Grapalat"/>
              </w:rPr>
              <w:t>Ֆիզիկական</w:t>
            </w:r>
            <w:r w:rsidRPr="0053423A">
              <w:rPr>
                <w:rFonts w:cs="GHEA Grapalat"/>
                <w:lang w:val="fr-FR"/>
              </w:rPr>
              <w:t xml:space="preserve"> </w:t>
            </w:r>
            <w:r w:rsidRPr="0053423A">
              <w:rPr>
                <w:rFonts w:cs="GHEA Grapalat"/>
              </w:rPr>
              <w:t>կուլտուրայի</w:t>
            </w:r>
            <w:r w:rsidRPr="0053423A">
              <w:rPr>
                <w:rFonts w:cs="GHEA Grapalat"/>
                <w:lang w:val="fr-FR"/>
              </w:rPr>
              <w:t xml:space="preserve">, </w:t>
            </w:r>
            <w:r w:rsidRPr="0053423A">
              <w:rPr>
                <w:rFonts w:cs="GHEA Grapalat"/>
              </w:rPr>
              <w:t>սպորտի</w:t>
            </w:r>
            <w:r w:rsidRPr="0053423A">
              <w:rPr>
                <w:rFonts w:cs="GHEA Grapalat"/>
                <w:lang w:val="fr-FR"/>
              </w:rPr>
              <w:t xml:space="preserve"> </w:t>
            </w:r>
            <w:r w:rsidRPr="0053423A">
              <w:rPr>
                <w:rFonts w:cs="GHEA Grapalat"/>
              </w:rPr>
              <w:t>և</w:t>
            </w:r>
            <w:r w:rsidRPr="0053423A">
              <w:rPr>
                <w:rFonts w:cs="GHEA Grapalat"/>
                <w:lang w:val="fr-FR"/>
              </w:rPr>
              <w:t xml:space="preserve"> </w:t>
            </w:r>
            <w:r w:rsidRPr="0053423A">
              <w:rPr>
                <w:rFonts w:cs="GHEA Grapalat"/>
              </w:rPr>
              <w:t>երիտասարդության</w:t>
            </w:r>
            <w:r w:rsidRPr="0053423A">
              <w:rPr>
                <w:rFonts w:cs="GHEA Grapalat"/>
                <w:lang w:val="fr-FR"/>
              </w:rPr>
              <w:t xml:space="preserve"> </w:t>
            </w:r>
            <w:r w:rsidRPr="0053423A">
              <w:rPr>
                <w:rFonts w:cs="GHEA Grapalat"/>
              </w:rPr>
              <w:t>ոլորտների</w:t>
            </w:r>
            <w:r w:rsidRPr="0053423A">
              <w:rPr>
                <w:rFonts w:cs="GHEA Grapalat"/>
                <w:lang w:val="fr-FR"/>
              </w:rPr>
              <w:t xml:space="preserve"> </w:t>
            </w:r>
            <w:r w:rsidRPr="0053423A">
              <w:rPr>
                <w:rFonts w:cs="GHEA Grapalat"/>
              </w:rPr>
              <w:t>զարգացման</w:t>
            </w:r>
            <w:r w:rsidRPr="0053423A">
              <w:rPr>
                <w:rFonts w:cs="GHEA Grapalat"/>
                <w:lang w:val="fr-FR"/>
              </w:rPr>
              <w:t xml:space="preserve"> </w:t>
            </w:r>
            <w:r w:rsidRPr="0053423A">
              <w:rPr>
                <w:rFonts w:cs="GHEA Grapalat"/>
              </w:rPr>
              <w:t>հիմնական</w:t>
            </w:r>
            <w:r w:rsidRPr="0053423A">
              <w:rPr>
                <w:rFonts w:cs="GHEA Grapalat"/>
                <w:lang w:val="fr-FR"/>
              </w:rPr>
              <w:t xml:space="preserve"> </w:t>
            </w:r>
            <w:r w:rsidRPr="0053423A">
              <w:rPr>
                <w:rFonts w:cs="GHEA Grapalat"/>
              </w:rPr>
              <w:t>ուղղություները</w:t>
            </w:r>
            <w:r w:rsidRPr="0053423A">
              <w:rPr>
                <w:rFonts w:cs="GHEA Grapalat"/>
                <w:lang w:val="fr-FR"/>
              </w:rPr>
              <w:t xml:space="preserve"> </w:t>
            </w:r>
            <w:r w:rsidRPr="0053423A">
              <w:rPr>
                <w:rFonts w:cs="GHEA Grapalat"/>
              </w:rPr>
              <w:t>հստակեցման</w:t>
            </w:r>
            <w:r w:rsidRPr="0053423A">
              <w:rPr>
                <w:rFonts w:cs="GHEA Grapalat"/>
                <w:lang w:val="fr-FR"/>
              </w:rPr>
              <w:t xml:space="preserve"> </w:t>
            </w:r>
            <w:r w:rsidRPr="0053423A">
              <w:rPr>
                <w:rFonts w:cs="GHEA Grapalat"/>
              </w:rPr>
              <w:t>կարիք</w:t>
            </w:r>
            <w:r w:rsidRPr="0053423A">
              <w:rPr>
                <w:rFonts w:cs="GHEA Grapalat"/>
                <w:lang w:val="fr-FR"/>
              </w:rPr>
              <w:t xml:space="preserve"> </w:t>
            </w:r>
            <w:r w:rsidRPr="0053423A">
              <w:rPr>
                <w:rFonts w:cs="GHEA Grapalat"/>
              </w:rPr>
              <w:t>ունեն</w:t>
            </w:r>
            <w:r w:rsidRPr="0053423A">
              <w:rPr>
                <w:rFonts w:cs="GHEA Grapalat"/>
                <w:lang w:val="fr-FR"/>
              </w:rPr>
              <w:t xml:space="preserve">, </w:t>
            </w:r>
            <w:r w:rsidRPr="0053423A">
              <w:rPr>
                <w:rFonts w:cs="GHEA Grapalat"/>
              </w:rPr>
              <w:t>պետք</w:t>
            </w:r>
            <w:r w:rsidRPr="0053423A">
              <w:rPr>
                <w:rFonts w:cs="GHEA Grapalat"/>
                <w:lang w:val="fr-FR"/>
              </w:rPr>
              <w:t xml:space="preserve"> </w:t>
            </w:r>
            <w:r w:rsidRPr="0053423A">
              <w:rPr>
                <w:rFonts w:cs="GHEA Grapalat"/>
              </w:rPr>
              <w:t>է</w:t>
            </w:r>
            <w:r w:rsidRPr="0053423A">
              <w:rPr>
                <w:rFonts w:cs="GHEA Grapalat"/>
                <w:lang w:val="fr-FR"/>
              </w:rPr>
              <w:t xml:space="preserve"> </w:t>
            </w:r>
            <w:r w:rsidRPr="0053423A">
              <w:rPr>
                <w:rFonts w:cs="GHEA Grapalat"/>
              </w:rPr>
              <w:t>կատարելագործվի</w:t>
            </w:r>
            <w:r w:rsidRPr="0053423A">
              <w:rPr>
                <w:rFonts w:cs="GHEA Grapalat"/>
                <w:lang w:val="fr-FR"/>
              </w:rPr>
              <w:t xml:space="preserve"> </w:t>
            </w:r>
            <w:r w:rsidRPr="0053423A">
              <w:rPr>
                <w:rFonts w:cs="GHEA Grapalat"/>
              </w:rPr>
              <w:t>իրավական</w:t>
            </w:r>
            <w:r w:rsidRPr="0053423A">
              <w:rPr>
                <w:rFonts w:cs="GHEA Grapalat"/>
                <w:lang w:val="fr-FR"/>
              </w:rPr>
              <w:t xml:space="preserve"> </w:t>
            </w:r>
            <w:r w:rsidRPr="0053423A">
              <w:rPr>
                <w:rFonts w:cs="GHEA Grapalat"/>
              </w:rPr>
              <w:t>դաշտը</w:t>
            </w:r>
            <w:r w:rsidRPr="0053423A">
              <w:rPr>
                <w:rFonts w:cs="GHEA Grapalat"/>
                <w:lang w:val="fr-FR"/>
              </w:rPr>
              <w:t>:</w:t>
            </w:r>
          </w:p>
          <w:p w:rsidR="007847C1" w:rsidRPr="0053423A" w:rsidRDefault="007847C1" w:rsidP="00A67858">
            <w:pPr>
              <w:spacing w:line="276" w:lineRule="auto"/>
              <w:ind w:left="720"/>
              <w:jc w:val="both"/>
              <w:rPr>
                <w:rFonts w:cs="GHEA Grapalat"/>
                <w:b/>
                <w:lang w:val="hy-AM"/>
              </w:rPr>
            </w:pPr>
            <w:r w:rsidRPr="0053423A">
              <w:rPr>
                <w:rFonts w:cs="GHEA Grapalat"/>
                <w:b/>
                <w:lang w:val="hy-AM"/>
              </w:rPr>
              <w:t>1.2. Առկա խնդիրների առաջարկվող լուծումները.</w:t>
            </w:r>
          </w:p>
          <w:p w:rsidR="007847C1" w:rsidRPr="0053423A" w:rsidRDefault="007847C1" w:rsidP="00A67858">
            <w:pPr>
              <w:spacing w:line="276" w:lineRule="auto"/>
              <w:ind w:right="43" w:firstLine="720"/>
              <w:jc w:val="both"/>
              <w:rPr>
                <w:rFonts w:cs="GHEA Grapalat"/>
                <w:lang w:val="af-ZA"/>
              </w:rPr>
            </w:pPr>
            <w:r w:rsidRPr="0053423A">
              <w:rPr>
                <w:rFonts w:cs="GHEA Grapalat"/>
              </w:rPr>
              <w:t>Հստակեցնել</w:t>
            </w:r>
            <w:r w:rsidRPr="0053423A">
              <w:rPr>
                <w:rFonts w:cs="GHEA Grapalat"/>
                <w:lang w:val="af-ZA"/>
              </w:rPr>
              <w:t xml:space="preserve"> </w:t>
            </w:r>
            <w:r w:rsidRPr="0053423A">
              <w:rPr>
                <w:rFonts w:cs="GHEA Grapalat"/>
              </w:rPr>
              <w:t>ֆիզիկական</w:t>
            </w:r>
            <w:r w:rsidRPr="0053423A">
              <w:rPr>
                <w:rFonts w:cs="GHEA Grapalat"/>
                <w:lang w:val="af-ZA"/>
              </w:rPr>
              <w:t xml:space="preserve"> </w:t>
            </w:r>
            <w:r w:rsidRPr="0053423A">
              <w:rPr>
                <w:rFonts w:cs="GHEA Grapalat"/>
              </w:rPr>
              <w:t>կուլտուրայի</w:t>
            </w:r>
            <w:r w:rsidRPr="0053423A">
              <w:rPr>
                <w:rFonts w:cs="GHEA Grapalat"/>
                <w:lang w:val="af-ZA"/>
              </w:rPr>
              <w:t xml:space="preserve">, </w:t>
            </w:r>
            <w:r w:rsidRPr="0053423A">
              <w:rPr>
                <w:rFonts w:cs="GHEA Grapalat"/>
              </w:rPr>
              <w:t>սպորտի</w:t>
            </w:r>
            <w:r w:rsidRPr="0053423A">
              <w:rPr>
                <w:rFonts w:cs="GHEA Grapalat"/>
                <w:lang w:val="af-ZA"/>
              </w:rPr>
              <w:t xml:space="preserve"> </w:t>
            </w:r>
            <w:r w:rsidRPr="0053423A">
              <w:rPr>
                <w:rFonts w:cs="GHEA Grapalat"/>
              </w:rPr>
              <w:t>և</w:t>
            </w:r>
            <w:r w:rsidRPr="0053423A">
              <w:rPr>
                <w:rFonts w:cs="GHEA Grapalat"/>
                <w:lang w:val="af-ZA"/>
              </w:rPr>
              <w:t xml:space="preserve"> </w:t>
            </w:r>
            <w:r w:rsidRPr="0053423A">
              <w:rPr>
                <w:rFonts w:cs="GHEA Grapalat"/>
              </w:rPr>
              <w:t>երիտասարդության</w:t>
            </w:r>
            <w:r w:rsidRPr="0053423A">
              <w:rPr>
                <w:rFonts w:cs="GHEA Grapalat"/>
                <w:lang w:val="af-ZA"/>
              </w:rPr>
              <w:t xml:space="preserve"> </w:t>
            </w:r>
            <w:r w:rsidRPr="0053423A">
              <w:rPr>
                <w:rFonts w:cs="GHEA Grapalat"/>
              </w:rPr>
              <w:t>ոլորտների</w:t>
            </w:r>
            <w:r w:rsidRPr="0053423A">
              <w:rPr>
                <w:rFonts w:cs="GHEA Grapalat"/>
                <w:lang w:val="af-ZA"/>
              </w:rPr>
              <w:t xml:space="preserve"> </w:t>
            </w:r>
            <w:r w:rsidRPr="0053423A">
              <w:rPr>
                <w:rFonts w:cs="GHEA Grapalat"/>
              </w:rPr>
              <w:t>զարգացման</w:t>
            </w:r>
            <w:r w:rsidRPr="0053423A">
              <w:rPr>
                <w:rFonts w:cs="GHEA Grapalat"/>
                <w:lang w:val="af-ZA"/>
              </w:rPr>
              <w:t xml:space="preserve"> </w:t>
            </w:r>
            <w:r w:rsidRPr="0053423A">
              <w:rPr>
                <w:rFonts w:cs="GHEA Grapalat"/>
              </w:rPr>
              <w:t>հիմնական</w:t>
            </w:r>
            <w:r w:rsidRPr="0053423A">
              <w:rPr>
                <w:rFonts w:cs="GHEA Grapalat"/>
                <w:lang w:val="af-ZA"/>
              </w:rPr>
              <w:t xml:space="preserve"> </w:t>
            </w:r>
            <w:r w:rsidRPr="0053423A">
              <w:rPr>
                <w:rFonts w:cs="GHEA Grapalat"/>
              </w:rPr>
              <w:t>ուղղություները</w:t>
            </w:r>
            <w:r w:rsidRPr="0053423A">
              <w:rPr>
                <w:rFonts w:cs="GHEA Grapalat"/>
                <w:lang w:val="af-ZA"/>
              </w:rPr>
              <w:t xml:space="preserve">, </w:t>
            </w:r>
            <w:r w:rsidRPr="0053423A">
              <w:rPr>
                <w:rFonts w:cs="GHEA Grapalat"/>
              </w:rPr>
              <w:t>կատարելագործել</w:t>
            </w:r>
            <w:r w:rsidRPr="0053423A">
              <w:rPr>
                <w:rFonts w:cs="GHEA Grapalat"/>
                <w:lang w:val="af-ZA"/>
              </w:rPr>
              <w:t xml:space="preserve"> </w:t>
            </w:r>
            <w:r w:rsidRPr="0053423A">
              <w:rPr>
                <w:rFonts w:cs="GHEA Grapalat"/>
              </w:rPr>
              <w:t>ոլորտների</w:t>
            </w:r>
            <w:r w:rsidRPr="0053423A">
              <w:rPr>
                <w:rFonts w:cs="GHEA Grapalat"/>
                <w:lang w:val="af-ZA"/>
              </w:rPr>
              <w:t xml:space="preserve"> </w:t>
            </w:r>
            <w:r w:rsidRPr="0053423A">
              <w:rPr>
                <w:rFonts w:cs="GHEA Grapalat"/>
              </w:rPr>
              <w:t>իրավական</w:t>
            </w:r>
            <w:r w:rsidRPr="0053423A">
              <w:rPr>
                <w:rFonts w:cs="GHEA Grapalat"/>
                <w:lang w:val="af-ZA"/>
              </w:rPr>
              <w:t xml:space="preserve"> </w:t>
            </w:r>
            <w:r w:rsidRPr="0053423A">
              <w:rPr>
                <w:rFonts w:cs="GHEA Grapalat"/>
              </w:rPr>
              <w:t>դաշտը</w:t>
            </w:r>
            <w:r w:rsidRPr="0053423A">
              <w:rPr>
                <w:rFonts w:cs="GHEA Grapalat"/>
                <w:lang w:val="af-ZA"/>
              </w:rPr>
              <w:t>:</w:t>
            </w:r>
          </w:p>
          <w:p w:rsidR="007847C1" w:rsidRPr="0053423A" w:rsidRDefault="007847C1" w:rsidP="00A67858">
            <w:pPr>
              <w:spacing w:line="276" w:lineRule="auto"/>
              <w:ind w:firstLine="720"/>
              <w:jc w:val="both"/>
              <w:rPr>
                <w:rFonts w:cs="GHEA Grapalat"/>
                <w:b/>
                <w:lang w:val="af-ZA"/>
              </w:rPr>
            </w:pPr>
            <w:r w:rsidRPr="0053423A">
              <w:rPr>
                <w:rFonts w:cs="GHEA Grapalat"/>
                <w:b/>
                <w:lang w:val="af-ZA"/>
              </w:rPr>
              <w:t xml:space="preserve">2. </w:t>
            </w:r>
            <w:r w:rsidRPr="0053423A">
              <w:rPr>
                <w:rFonts w:cs="GHEA Grapalat"/>
                <w:b/>
              </w:rPr>
              <w:t>Միջոցառման</w:t>
            </w:r>
            <w:r w:rsidRPr="0053423A">
              <w:rPr>
                <w:rFonts w:cs="GHEA Grapalat"/>
                <w:b/>
                <w:lang w:val="af-ZA"/>
              </w:rPr>
              <w:t xml:space="preserve"> </w:t>
            </w:r>
            <w:r w:rsidRPr="0053423A">
              <w:rPr>
                <w:rFonts w:cs="GHEA Grapalat"/>
                <w:b/>
              </w:rPr>
              <w:t>իրականացումից</w:t>
            </w:r>
            <w:r w:rsidRPr="0053423A">
              <w:rPr>
                <w:rFonts w:cs="GHEA Grapalat"/>
                <w:b/>
                <w:lang w:val="af-ZA"/>
              </w:rPr>
              <w:t xml:space="preserve"> </w:t>
            </w:r>
            <w:r w:rsidRPr="0053423A">
              <w:rPr>
                <w:rFonts w:cs="GHEA Grapalat"/>
                <w:b/>
              </w:rPr>
              <w:t>ակնկալվող</w:t>
            </w:r>
            <w:r w:rsidRPr="0053423A">
              <w:rPr>
                <w:rFonts w:cs="GHEA Grapalat"/>
                <w:b/>
                <w:lang w:val="af-ZA"/>
              </w:rPr>
              <w:t xml:space="preserve"> </w:t>
            </w:r>
            <w:r w:rsidRPr="0053423A">
              <w:rPr>
                <w:rFonts w:cs="GHEA Grapalat"/>
                <w:b/>
              </w:rPr>
              <w:t>արդյունքը</w:t>
            </w:r>
            <w:r w:rsidRPr="0053423A">
              <w:rPr>
                <w:rFonts w:cs="GHEA Grapalat"/>
                <w:b/>
                <w:lang w:val="af-ZA"/>
              </w:rPr>
              <w:t xml:space="preserve">. </w:t>
            </w:r>
          </w:p>
          <w:p w:rsidR="007847C1" w:rsidRPr="0053423A" w:rsidRDefault="007847C1" w:rsidP="00A67858">
            <w:pPr>
              <w:tabs>
                <w:tab w:val="left" w:pos="3360"/>
              </w:tabs>
              <w:spacing w:line="276" w:lineRule="auto"/>
              <w:rPr>
                <w:rFonts w:cs="GHEA Grapalat"/>
                <w:lang w:val="fr-FR"/>
              </w:rPr>
            </w:pPr>
            <w:r w:rsidRPr="0053423A">
              <w:rPr>
                <w:rFonts w:cs="GHEA Grapalat"/>
                <w:lang w:val="af-ZA"/>
              </w:rPr>
              <w:t xml:space="preserve">          </w:t>
            </w:r>
            <w:r w:rsidRPr="0053423A">
              <w:rPr>
                <w:rFonts w:cs="GHEA Grapalat"/>
              </w:rPr>
              <w:t>Ֆիզիկական</w:t>
            </w:r>
            <w:r w:rsidRPr="0053423A">
              <w:rPr>
                <w:rFonts w:cs="GHEA Grapalat"/>
                <w:lang w:val="af-ZA"/>
              </w:rPr>
              <w:t xml:space="preserve"> </w:t>
            </w:r>
            <w:r w:rsidRPr="0053423A">
              <w:rPr>
                <w:rFonts w:cs="GHEA Grapalat"/>
              </w:rPr>
              <w:t>կուլտուրայի</w:t>
            </w:r>
            <w:r w:rsidRPr="0053423A">
              <w:rPr>
                <w:rFonts w:cs="GHEA Grapalat"/>
                <w:lang w:val="af-ZA"/>
              </w:rPr>
              <w:t xml:space="preserve">, </w:t>
            </w:r>
            <w:r w:rsidRPr="0053423A">
              <w:rPr>
                <w:rFonts w:cs="GHEA Grapalat"/>
              </w:rPr>
              <w:t>սպորտի</w:t>
            </w:r>
            <w:r w:rsidRPr="0053423A">
              <w:rPr>
                <w:rFonts w:cs="GHEA Grapalat"/>
                <w:lang w:val="af-ZA"/>
              </w:rPr>
              <w:t xml:space="preserve"> </w:t>
            </w:r>
            <w:r w:rsidRPr="0053423A">
              <w:rPr>
                <w:rFonts w:cs="GHEA Grapalat"/>
              </w:rPr>
              <w:t>և</w:t>
            </w:r>
            <w:r w:rsidRPr="0053423A">
              <w:rPr>
                <w:rFonts w:cs="GHEA Grapalat"/>
                <w:lang w:val="af-ZA"/>
              </w:rPr>
              <w:t xml:space="preserve"> </w:t>
            </w:r>
            <w:r w:rsidRPr="0053423A">
              <w:rPr>
                <w:rFonts w:cs="GHEA Grapalat"/>
              </w:rPr>
              <w:t>երիտասարդական</w:t>
            </w:r>
            <w:r w:rsidRPr="0053423A">
              <w:rPr>
                <w:rFonts w:cs="GHEA Grapalat"/>
                <w:lang w:val="af-ZA"/>
              </w:rPr>
              <w:t xml:space="preserve"> </w:t>
            </w:r>
            <w:r w:rsidRPr="0053423A">
              <w:rPr>
                <w:rFonts w:cs="GHEA Grapalat"/>
              </w:rPr>
              <w:t>ոլորտների</w:t>
            </w:r>
            <w:r w:rsidRPr="0053423A">
              <w:rPr>
                <w:rFonts w:cs="GHEA Grapalat"/>
                <w:lang w:val="af-ZA"/>
              </w:rPr>
              <w:t xml:space="preserve"> </w:t>
            </w:r>
            <w:r w:rsidRPr="0053423A">
              <w:rPr>
                <w:rFonts w:cs="GHEA Grapalat"/>
              </w:rPr>
              <w:t>զարգացման</w:t>
            </w:r>
            <w:r w:rsidRPr="0053423A">
              <w:rPr>
                <w:rFonts w:cs="GHEA Grapalat"/>
                <w:lang w:val="af-ZA"/>
              </w:rPr>
              <w:t xml:space="preserve"> </w:t>
            </w:r>
            <w:r w:rsidRPr="0053423A">
              <w:rPr>
                <w:rFonts w:cs="GHEA Grapalat"/>
              </w:rPr>
              <w:t>հիմնական</w:t>
            </w:r>
            <w:r w:rsidRPr="0053423A">
              <w:rPr>
                <w:rFonts w:cs="GHEA Grapalat"/>
                <w:lang w:val="af-ZA"/>
              </w:rPr>
              <w:t xml:space="preserve"> </w:t>
            </w:r>
            <w:r w:rsidRPr="0053423A">
              <w:rPr>
                <w:rFonts w:cs="GHEA Grapalat"/>
              </w:rPr>
              <w:t>ուղղությունների</w:t>
            </w:r>
            <w:r w:rsidRPr="0053423A">
              <w:rPr>
                <w:rFonts w:cs="GHEA Grapalat"/>
                <w:lang w:val="af-ZA"/>
              </w:rPr>
              <w:t xml:space="preserve"> </w:t>
            </w:r>
            <w:r w:rsidRPr="0053423A">
              <w:rPr>
                <w:rFonts w:cs="GHEA Grapalat"/>
              </w:rPr>
              <w:t>սահմանում</w:t>
            </w:r>
            <w:r w:rsidRPr="0053423A">
              <w:rPr>
                <w:rFonts w:cs="GHEA Grapalat"/>
                <w:lang w:val="af-ZA"/>
              </w:rPr>
              <w:t xml:space="preserve">, </w:t>
            </w:r>
            <w:r w:rsidRPr="0053423A">
              <w:rPr>
                <w:rFonts w:cs="GHEA Grapalat"/>
              </w:rPr>
              <w:t>համապատասխան</w:t>
            </w:r>
            <w:r w:rsidRPr="0053423A">
              <w:rPr>
                <w:rFonts w:cs="GHEA Grapalat"/>
                <w:lang w:val="af-ZA"/>
              </w:rPr>
              <w:t xml:space="preserve"> </w:t>
            </w:r>
            <w:r w:rsidRPr="0053423A">
              <w:rPr>
                <w:rFonts w:cs="GHEA Grapalat"/>
              </w:rPr>
              <w:t>իրավական</w:t>
            </w:r>
            <w:r w:rsidRPr="0053423A">
              <w:rPr>
                <w:rFonts w:cs="GHEA Grapalat"/>
                <w:lang w:val="af-ZA"/>
              </w:rPr>
              <w:t xml:space="preserve"> </w:t>
            </w:r>
            <w:r w:rsidRPr="0053423A">
              <w:rPr>
                <w:rFonts w:cs="GHEA Grapalat"/>
              </w:rPr>
              <w:t>ակտի</w:t>
            </w:r>
            <w:r w:rsidRPr="0053423A">
              <w:rPr>
                <w:rFonts w:cs="GHEA Grapalat"/>
                <w:lang w:val="af-ZA"/>
              </w:rPr>
              <w:t xml:space="preserve"> (</w:t>
            </w:r>
            <w:r w:rsidRPr="0053423A">
              <w:rPr>
                <w:rFonts w:cs="GHEA Grapalat"/>
              </w:rPr>
              <w:t>ակտերի</w:t>
            </w:r>
            <w:r w:rsidRPr="0053423A">
              <w:rPr>
                <w:rFonts w:cs="GHEA Grapalat"/>
                <w:lang w:val="af-ZA"/>
              </w:rPr>
              <w:t xml:space="preserve">) </w:t>
            </w:r>
            <w:r w:rsidRPr="0053423A">
              <w:rPr>
                <w:rFonts w:cs="GHEA Grapalat"/>
              </w:rPr>
              <w:t>առկայություն</w:t>
            </w:r>
            <w:r w:rsidRPr="0053423A">
              <w:rPr>
                <w:rFonts w:cs="GHEA Grapalat"/>
                <w:lang w:val="af-ZA"/>
              </w:rPr>
              <w:t xml:space="preserve">: </w:t>
            </w:r>
            <w:r w:rsidRPr="0053423A">
              <w:rPr>
                <w:rFonts w:cs="GHEA Grapalat"/>
              </w:rPr>
              <w:t>Ռազմավարության</w:t>
            </w:r>
            <w:r w:rsidRPr="0053423A">
              <w:rPr>
                <w:rFonts w:cs="GHEA Grapalat"/>
                <w:lang w:val="af-ZA"/>
              </w:rPr>
              <w:t xml:space="preserve"> </w:t>
            </w:r>
            <w:r w:rsidRPr="0053423A">
              <w:rPr>
                <w:rFonts w:cs="GHEA Grapalat"/>
              </w:rPr>
              <w:t>իրականացման</w:t>
            </w:r>
            <w:r w:rsidRPr="0053423A">
              <w:rPr>
                <w:rFonts w:cs="GHEA Grapalat"/>
                <w:lang w:val="af-ZA"/>
              </w:rPr>
              <w:t xml:space="preserve"> </w:t>
            </w:r>
            <w:r w:rsidRPr="0053423A">
              <w:rPr>
                <w:rFonts w:cs="GHEA Grapalat"/>
              </w:rPr>
              <w:t>շրջանակներում</w:t>
            </w:r>
            <w:r w:rsidRPr="0053423A">
              <w:rPr>
                <w:rFonts w:cs="GHEA Grapalat"/>
                <w:b/>
                <w:lang w:val="af-ZA"/>
              </w:rPr>
              <w:t xml:space="preserve"> </w:t>
            </w:r>
            <w:r w:rsidRPr="0053423A">
              <w:rPr>
                <w:rFonts w:cs="GHEA Grapalat"/>
              </w:rPr>
              <w:t>ֆիզիկական</w:t>
            </w:r>
            <w:r w:rsidRPr="0053423A">
              <w:rPr>
                <w:rFonts w:cs="GHEA Grapalat"/>
                <w:lang w:val="af-ZA"/>
              </w:rPr>
              <w:t xml:space="preserve"> </w:t>
            </w:r>
            <w:r w:rsidRPr="0053423A">
              <w:rPr>
                <w:rFonts w:cs="GHEA Grapalat"/>
              </w:rPr>
              <w:t>կուլտուրայի</w:t>
            </w:r>
            <w:r w:rsidRPr="0053423A">
              <w:rPr>
                <w:rFonts w:cs="GHEA Grapalat"/>
                <w:lang w:val="af-ZA"/>
              </w:rPr>
              <w:t xml:space="preserve">, </w:t>
            </w:r>
            <w:r w:rsidRPr="0053423A">
              <w:rPr>
                <w:rFonts w:cs="GHEA Grapalat"/>
              </w:rPr>
              <w:t>սպորտի</w:t>
            </w:r>
            <w:r w:rsidRPr="0053423A">
              <w:rPr>
                <w:rFonts w:cs="GHEA Grapalat"/>
                <w:lang w:val="af-ZA"/>
              </w:rPr>
              <w:t xml:space="preserve"> </w:t>
            </w:r>
            <w:r w:rsidRPr="0053423A">
              <w:rPr>
                <w:rFonts w:cs="GHEA Grapalat"/>
              </w:rPr>
              <w:t>և</w:t>
            </w:r>
            <w:r w:rsidRPr="0053423A">
              <w:rPr>
                <w:rFonts w:cs="GHEA Grapalat"/>
                <w:lang w:val="af-ZA"/>
              </w:rPr>
              <w:t xml:space="preserve"> </w:t>
            </w:r>
            <w:r w:rsidRPr="0053423A">
              <w:rPr>
                <w:rFonts w:cs="GHEA Grapalat"/>
              </w:rPr>
              <w:t>երիտասարդության</w:t>
            </w:r>
            <w:r w:rsidRPr="0053423A">
              <w:rPr>
                <w:rFonts w:cs="GHEA Grapalat"/>
                <w:lang w:val="af-ZA"/>
              </w:rPr>
              <w:t xml:space="preserve"> </w:t>
            </w:r>
            <w:r w:rsidRPr="0053423A">
              <w:rPr>
                <w:rFonts w:cs="GHEA Grapalat"/>
              </w:rPr>
              <w:t>ոլորտների</w:t>
            </w:r>
            <w:r w:rsidRPr="0053423A">
              <w:rPr>
                <w:rFonts w:cs="GHEA Grapalat"/>
                <w:lang w:val="af-ZA"/>
              </w:rPr>
              <w:t xml:space="preserve"> </w:t>
            </w:r>
            <w:r w:rsidRPr="0053423A">
              <w:rPr>
                <w:rFonts w:cs="GHEA Grapalat"/>
              </w:rPr>
              <w:t>իրավական</w:t>
            </w:r>
            <w:r w:rsidRPr="0053423A">
              <w:rPr>
                <w:rFonts w:cs="GHEA Grapalat"/>
                <w:lang w:val="af-ZA"/>
              </w:rPr>
              <w:t xml:space="preserve"> </w:t>
            </w:r>
            <w:r w:rsidRPr="0053423A">
              <w:rPr>
                <w:rFonts w:cs="GHEA Grapalat"/>
              </w:rPr>
              <w:t>դաշտի</w:t>
            </w:r>
            <w:r w:rsidRPr="0053423A">
              <w:rPr>
                <w:rFonts w:cs="GHEA Grapalat"/>
                <w:lang w:val="af-ZA"/>
              </w:rPr>
              <w:t xml:space="preserve"> </w:t>
            </w:r>
            <w:r w:rsidRPr="0053423A">
              <w:rPr>
                <w:rFonts w:cs="GHEA Grapalat"/>
              </w:rPr>
              <w:t>կատարելագործում</w:t>
            </w:r>
            <w:r w:rsidRPr="0053423A">
              <w:rPr>
                <w:rFonts w:cs="GHEA Grapalat"/>
                <w:lang w:val="af-ZA"/>
              </w:rPr>
              <w:t xml:space="preserve">` </w:t>
            </w:r>
            <w:r w:rsidRPr="0053423A">
              <w:rPr>
                <w:rFonts w:cs="GHEA Grapalat"/>
              </w:rPr>
              <w:t>համապատասխանեցում</w:t>
            </w:r>
            <w:r w:rsidRPr="0053423A">
              <w:rPr>
                <w:rFonts w:cs="GHEA Grapalat"/>
                <w:lang w:val="af-ZA"/>
              </w:rPr>
              <w:t xml:space="preserve"> </w:t>
            </w:r>
            <w:r w:rsidRPr="0053423A">
              <w:rPr>
                <w:rFonts w:cs="GHEA Grapalat"/>
              </w:rPr>
              <w:t>գործող</w:t>
            </w:r>
            <w:r w:rsidRPr="0053423A">
              <w:rPr>
                <w:rFonts w:cs="GHEA Grapalat"/>
                <w:lang w:val="af-ZA"/>
              </w:rPr>
              <w:t xml:space="preserve"> </w:t>
            </w:r>
            <w:r w:rsidRPr="0053423A">
              <w:rPr>
                <w:rFonts w:cs="GHEA Grapalat"/>
              </w:rPr>
              <w:t>օրենսդրության</w:t>
            </w:r>
            <w:r w:rsidRPr="0053423A">
              <w:rPr>
                <w:rFonts w:cs="GHEA Grapalat"/>
                <w:lang w:val="af-ZA"/>
              </w:rPr>
              <w:t xml:space="preserve"> </w:t>
            </w:r>
            <w:r w:rsidRPr="0053423A">
              <w:rPr>
                <w:rFonts w:cs="GHEA Grapalat"/>
              </w:rPr>
              <w:t>պահանջներին</w:t>
            </w:r>
            <w:r w:rsidRPr="0053423A">
              <w:rPr>
                <w:rFonts w:cs="GHEA Grapalat"/>
                <w:lang w:val="af-ZA"/>
              </w:rPr>
              <w:t xml:space="preserve"> (</w:t>
            </w:r>
            <w:r w:rsidRPr="0053423A">
              <w:rPr>
                <w:rFonts w:cs="GHEA Grapalat"/>
              </w:rPr>
              <w:t>ըստ</w:t>
            </w:r>
            <w:r w:rsidRPr="0053423A">
              <w:rPr>
                <w:rFonts w:cs="GHEA Grapalat"/>
                <w:lang w:val="af-ZA"/>
              </w:rPr>
              <w:t xml:space="preserve"> </w:t>
            </w:r>
            <w:r w:rsidRPr="0053423A">
              <w:rPr>
                <w:rFonts w:cs="GHEA Grapalat"/>
              </w:rPr>
              <w:t>անհրաժեշտության</w:t>
            </w:r>
            <w:r w:rsidRPr="0053423A">
              <w:rPr>
                <w:rFonts w:cs="GHEA Grapalat"/>
                <w:lang w:val="af-ZA"/>
              </w:rPr>
              <w:t xml:space="preserve"> </w:t>
            </w:r>
            <w:r w:rsidRPr="0053423A">
              <w:rPr>
                <w:rFonts w:cs="GHEA Grapalat"/>
              </w:rPr>
              <w:t>նաև</w:t>
            </w:r>
            <w:r w:rsidRPr="0053423A">
              <w:rPr>
                <w:rFonts w:cs="GHEA Grapalat"/>
                <w:lang w:val="af-ZA"/>
              </w:rPr>
              <w:t xml:space="preserve"> </w:t>
            </w:r>
            <w:r w:rsidRPr="0053423A">
              <w:rPr>
                <w:rFonts w:cs="GHEA Grapalat"/>
              </w:rPr>
              <w:t>նոր</w:t>
            </w:r>
            <w:r w:rsidRPr="0053423A">
              <w:rPr>
                <w:rFonts w:cs="GHEA Grapalat"/>
                <w:lang w:val="af-ZA"/>
              </w:rPr>
              <w:t xml:space="preserve"> </w:t>
            </w:r>
            <w:r w:rsidRPr="0053423A">
              <w:rPr>
                <w:rFonts w:cs="GHEA Grapalat"/>
              </w:rPr>
              <w:t>իրավական</w:t>
            </w:r>
            <w:r w:rsidRPr="0053423A">
              <w:rPr>
                <w:rFonts w:cs="GHEA Grapalat"/>
                <w:lang w:val="af-ZA"/>
              </w:rPr>
              <w:t xml:space="preserve"> </w:t>
            </w:r>
            <w:r w:rsidRPr="0053423A">
              <w:rPr>
                <w:rFonts w:cs="GHEA Grapalat"/>
              </w:rPr>
              <w:t>ակտերի</w:t>
            </w:r>
            <w:r w:rsidRPr="0053423A">
              <w:rPr>
                <w:rFonts w:cs="GHEA Grapalat"/>
                <w:lang w:val="af-ZA"/>
              </w:rPr>
              <w:t xml:space="preserve"> </w:t>
            </w:r>
            <w:r w:rsidRPr="0053423A">
              <w:rPr>
                <w:rFonts w:cs="GHEA Grapalat"/>
              </w:rPr>
              <w:t>մշակում</w:t>
            </w:r>
            <w:r w:rsidRPr="0053423A">
              <w:rPr>
                <w:rFonts w:cs="GHEA Grapalat"/>
                <w:lang w:val="af-ZA"/>
              </w:rPr>
              <w:t xml:space="preserve">` </w:t>
            </w:r>
            <w:r w:rsidRPr="0053423A">
              <w:rPr>
                <w:rFonts w:cs="GHEA Grapalat"/>
              </w:rPr>
              <w:t>այդ</w:t>
            </w:r>
            <w:r w:rsidRPr="0053423A">
              <w:rPr>
                <w:rFonts w:cs="GHEA Grapalat"/>
                <w:lang w:val="af-ZA"/>
              </w:rPr>
              <w:t xml:space="preserve"> </w:t>
            </w:r>
            <w:r w:rsidRPr="0053423A">
              <w:rPr>
                <w:rFonts w:cs="GHEA Grapalat"/>
              </w:rPr>
              <w:t>թվում</w:t>
            </w:r>
            <w:r w:rsidRPr="0053423A">
              <w:rPr>
                <w:rFonts w:cs="GHEA Grapalat"/>
                <w:lang w:val="af-ZA"/>
              </w:rPr>
              <w:t xml:space="preserve">` </w:t>
            </w:r>
            <w:r w:rsidRPr="0053423A">
              <w:rPr>
                <w:rFonts w:cs="GHEA Grapalat"/>
              </w:rPr>
              <w:t>նաև</w:t>
            </w:r>
            <w:r w:rsidRPr="0053423A">
              <w:rPr>
                <w:rFonts w:cs="GHEA Grapalat"/>
                <w:lang w:val="af-ZA"/>
              </w:rPr>
              <w:t xml:space="preserve"> </w:t>
            </w:r>
            <w:r w:rsidRPr="0053423A">
              <w:rPr>
                <w:rFonts w:cs="GHEA Grapalat"/>
              </w:rPr>
              <w:t>ՀՀ</w:t>
            </w:r>
            <w:r w:rsidRPr="0053423A">
              <w:rPr>
                <w:rFonts w:cs="GHEA Grapalat"/>
                <w:lang w:val="af-ZA"/>
              </w:rPr>
              <w:t xml:space="preserve"> </w:t>
            </w:r>
            <w:r w:rsidRPr="0053423A">
              <w:rPr>
                <w:rFonts w:cs="GHEA Grapalat"/>
              </w:rPr>
              <w:t>կառավարության</w:t>
            </w:r>
            <w:r w:rsidRPr="0053423A">
              <w:rPr>
                <w:rFonts w:cs="GHEA Grapalat"/>
                <w:lang w:val="af-ZA"/>
              </w:rPr>
              <w:t xml:space="preserve"> </w:t>
            </w:r>
            <w:r w:rsidRPr="0053423A">
              <w:rPr>
                <w:rFonts w:cs="GHEA Grapalat"/>
              </w:rPr>
              <w:t>և</w:t>
            </w:r>
            <w:r w:rsidRPr="0053423A">
              <w:rPr>
                <w:rFonts w:cs="GHEA Grapalat"/>
                <w:lang w:val="af-ZA"/>
              </w:rPr>
              <w:t xml:space="preserve"> </w:t>
            </w:r>
            <w:r w:rsidRPr="0053423A">
              <w:rPr>
                <w:rFonts w:cs="GHEA Grapalat"/>
              </w:rPr>
              <w:t>ՀՀ</w:t>
            </w:r>
            <w:r w:rsidRPr="0053423A">
              <w:rPr>
                <w:rFonts w:cs="GHEA Grapalat"/>
                <w:lang w:val="af-ZA"/>
              </w:rPr>
              <w:t xml:space="preserve"> </w:t>
            </w:r>
            <w:r w:rsidRPr="0053423A">
              <w:rPr>
                <w:rFonts w:cs="GHEA Grapalat"/>
              </w:rPr>
              <w:t>վարչապետի</w:t>
            </w:r>
            <w:r w:rsidRPr="0053423A">
              <w:rPr>
                <w:rFonts w:cs="GHEA Grapalat"/>
                <w:lang w:val="af-ZA"/>
              </w:rPr>
              <w:t xml:space="preserve"> </w:t>
            </w:r>
            <w:r w:rsidRPr="0053423A">
              <w:rPr>
                <w:rFonts w:cs="GHEA Grapalat"/>
              </w:rPr>
              <w:t>որոշումներ</w:t>
            </w:r>
            <w:r w:rsidRPr="0053423A">
              <w:rPr>
                <w:rFonts w:cs="GHEA Grapalat"/>
                <w:lang w:val="af-ZA"/>
              </w:rPr>
              <w:t xml:space="preserve">` </w:t>
            </w:r>
            <w:r w:rsidRPr="0053423A">
              <w:rPr>
                <w:rFonts w:cs="GHEA Grapalat"/>
              </w:rPr>
              <w:t>նախագծերը</w:t>
            </w:r>
            <w:r w:rsidRPr="0053423A">
              <w:rPr>
                <w:rFonts w:cs="GHEA Grapalat"/>
                <w:lang w:val="af-ZA"/>
              </w:rPr>
              <w:t xml:space="preserve"> </w:t>
            </w:r>
            <w:r w:rsidRPr="0053423A">
              <w:rPr>
                <w:rFonts w:cs="GHEA Grapalat"/>
              </w:rPr>
              <w:t>ներկայացնելով</w:t>
            </w:r>
            <w:r w:rsidRPr="0053423A">
              <w:rPr>
                <w:rFonts w:cs="GHEA Grapalat"/>
                <w:lang w:val="af-ZA"/>
              </w:rPr>
              <w:t xml:space="preserve"> </w:t>
            </w:r>
            <w:r w:rsidRPr="0053423A">
              <w:rPr>
                <w:rFonts w:cs="GHEA Grapalat"/>
              </w:rPr>
              <w:t>ՀՀ</w:t>
            </w:r>
            <w:r w:rsidRPr="0053423A">
              <w:rPr>
                <w:rFonts w:cs="GHEA Grapalat"/>
                <w:lang w:val="af-ZA"/>
              </w:rPr>
              <w:t xml:space="preserve"> </w:t>
            </w:r>
            <w:r w:rsidRPr="0053423A">
              <w:rPr>
                <w:rFonts w:cs="GHEA Grapalat"/>
              </w:rPr>
              <w:t>վարչապետի</w:t>
            </w:r>
            <w:r w:rsidRPr="0053423A">
              <w:rPr>
                <w:rFonts w:cs="GHEA Grapalat"/>
                <w:lang w:val="af-ZA"/>
              </w:rPr>
              <w:t xml:space="preserve"> </w:t>
            </w:r>
            <w:r w:rsidRPr="0053423A">
              <w:rPr>
                <w:rFonts w:cs="GHEA Grapalat"/>
              </w:rPr>
              <w:t>աշխատակազմ</w:t>
            </w:r>
            <w:r w:rsidRPr="0053423A">
              <w:rPr>
                <w:rFonts w:cs="GHEA Grapalat"/>
                <w:lang w:val="af-ZA"/>
              </w:rPr>
              <w:t>):</w:t>
            </w:r>
          </w:p>
        </w:tc>
      </w:tr>
      <w:tr w:rsidR="007847C1" w:rsidRPr="00DE2EFA" w:rsidTr="007847C1">
        <w:tc>
          <w:tcPr>
            <w:tcW w:w="450" w:type="dxa"/>
          </w:tcPr>
          <w:p w:rsidR="007847C1" w:rsidRPr="0053423A" w:rsidRDefault="007847C1" w:rsidP="00A67858">
            <w:pPr>
              <w:tabs>
                <w:tab w:val="left" w:pos="3360"/>
              </w:tabs>
              <w:spacing w:line="276" w:lineRule="auto"/>
              <w:jc w:val="center"/>
              <w:rPr>
                <w:rFonts w:cs="GHEA Grapalat"/>
                <w:lang w:val="fr-FR"/>
              </w:rPr>
            </w:pPr>
            <w:r w:rsidRPr="0053423A">
              <w:rPr>
                <w:rFonts w:cs="GHEA Grapalat"/>
                <w:lang w:val="fr-FR"/>
              </w:rPr>
              <w:t>2</w:t>
            </w:r>
          </w:p>
        </w:tc>
        <w:tc>
          <w:tcPr>
            <w:tcW w:w="10890" w:type="dxa"/>
          </w:tcPr>
          <w:p w:rsidR="007847C1" w:rsidRPr="0053423A" w:rsidRDefault="007847C1" w:rsidP="00A67858">
            <w:pPr>
              <w:spacing w:line="276" w:lineRule="auto"/>
              <w:ind w:right="43"/>
              <w:rPr>
                <w:b/>
                <w:bCs/>
                <w:lang w:val="af-ZA"/>
              </w:rPr>
            </w:pPr>
            <w:r w:rsidRPr="0053423A">
              <w:rPr>
                <w:rFonts w:cs="GHEA Grapalat"/>
                <w:b/>
                <w:lang w:val="af-ZA"/>
              </w:rPr>
              <w:t xml:space="preserve">           2.1. </w:t>
            </w:r>
            <w:r w:rsidRPr="0053423A">
              <w:rPr>
                <w:rFonts w:cs="GHEA Grapalat"/>
                <w:b/>
                <w:lang w:val="hy-AM"/>
              </w:rPr>
              <w:t>«ՄԱՍՍԱՅԱԿԱՆ ՍՊՈՐՏԻ ԵՎ ՖԻԶԻԿԱ</w:t>
            </w:r>
            <w:r w:rsidRPr="0053423A">
              <w:rPr>
                <w:rFonts w:cs="GHEA Grapalat"/>
                <w:b/>
                <w:lang w:val="hy-AM"/>
              </w:rPr>
              <w:softHyphen/>
              <w:t>ԿԱՆ ԴԱՍՏԻԱՐԱ</w:t>
            </w:r>
            <w:r w:rsidRPr="0053423A">
              <w:rPr>
                <w:rFonts w:cs="GHEA Grapalat"/>
                <w:b/>
                <w:lang w:val="hy-AM"/>
              </w:rPr>
              <w:softHyphen/>
              <w:t>ԿՈՒ</w:t>
            </w:r>
            <w:r w:rsidRPr="0053423A">
              <w:rPr>
                <w:rFonts w:cs="GHEA Grapalat"/>
                <w:b/>
                <w:lang w:val="hy-AM"/>
              </w:rPr>
              <w:softHyphen/>
              <w:t>ԹՅԱՆ ԶԱՐԳԱՑՄԱՆ ՀԱՅԵՑԱ</w:t>
            </w:r>
            <w:r w:rsidRPr="0053423A">
              <w:rPr>
                <w:rFonts w:cs="GHEA Grapalat"/>
                <w:b/>
                <w:lang w:val="hy-AM"/>
              </w:rPr>
              <w:softHyphen/>
              <w:t>ԿԱՐԳԸ ՀԱՍՏԱՏԵԼՈՒ ՄԱՍԻՆ</w:t>
            </w:r>
            <w:r w:rsidRPr="0053423A">
              <w:rPr>
                <w:rFonts w:cs="GHEA Grapalat"/>
                <w:b/>
                <w:lang w:val="af-ZA"/>
              </w:rPr>
              <w:t>»</w:t>
            </w:r>
            <w:r w:rsidRPr="0053423A">
              <w:rPr>
                <w:rFonts w:cs="GHEA Grapalat"/>
                <w:b/>
                <w:lang w:val="hy-AM"/>
              </w:rPr>
              <w:t xml:space="preserve"> ՀԱՅԱՍՏԱՆԻ ՀԱՆՐԱՊԵՏՈՒԹՅԱՆ ԿԱՌԱՎԱՐՈՒԹՅԱՆ ՈՐՈՇՄԱՆ ՆԱԽԱԳԾԻ </w:t>
            </w:r>
            <w:r w:rsidRPr="0053423A">
              <w:rPr>
                <w:b/>
                <w:bCs/>
              </w:rPr>
              <w:t>ՆԵՐԿԱՅԱՑՈՒՄ</w:t>
            </w:r>
            <w:r w:rsidRPr="0053423A">
              <w:rPr>
                <w:b/>
                <w:bCs/>
                <w:lang w:val="af-ZA"/>
              </w:rPr>
              <w:t xml:space="preserve"> </w:t>
            </w:r>
            <w:r w:rsidRPr="0053423A">
              <w:rPr>
                <w:b/>
                <w:bCs/>
              </w:rPr>
              <w:t>ՀՀ</w:t>
            </w:r>
            <w:r w:rsidRPr="0053423A">
              <w:rPr>
                <w:b/>
                <w:bCs/>
                <w:lang w:val="af-ZA"/>
              </w:rPr>
              <w:t xml:space="preserve"> </w:t>
            </w:r>
            <w:r w:rsidRPr="0053423A">
              <w:rPr>
                <w:b/>
                <w:bCs/>
              </w:rPr>
              <w:t>ՎԱՐՉԱՊԵՏԻ</w:t>
            </w:r>
            <w:r w:rsidRPr="0053423A">
              <w:rPr>
                <w:b/>
                <w:bCs/>
                <w:lang w:val="af-ZA"/>
              </w:rPr>
              <w:t xml:space="preserve"> </w:t>
            </w:r>
            <w:r w:rsidRPr="0053423A">
              <w:rPr>
                <w:b/>
                <w:bCs/>
              </w:rPr>
              <w:t>ԱՇԽԱՏԱԿԱԶՄ</w:t>
            </w:r>
          </w:p>
          <w:p w:rsidR="007847C1" w:rsidRPr="0053423A" w:rsidRDefault="007847C1" w:rsidP="00A67858">
            <w:pPr>
              <w:spacing w:line="276" w:lineRule="auto"/>
              <w:ind w:left="714"/>
              <w:jc w:val="both"/>
              <w:rPr>
                <w:rFonts w:cs="GHEA Grapalat"/>
                <w:b/>
                <w:lang w:val="af-ZA"/>
              </w:rPr>
            </w:pPr>
          </w:p>
          <w:p w:rsidR="007847C1" w:rsidRPr="0053423A" w:rsidRDefault="007847C1" w:rsidP="00A67858">
            <w:pPr>
              <w:spacing w:line="276" w:lineRule="auto"/>
              <w:ind w:left="714"/>
              <w:jc w:val="both"/>
              <w:rPr>
                <w:rFonts w:cs="GHEA Grapalat"/>
                <w:b/>
                <w:lang w:val="hy-AM"/>
              </w:rPr>
            </w:pPr>
            <w:r w:rsidRPr="0053423A">
              <w:rPr>
                <w:rFonts w:cs="GHEA Grapalat"/>
                <w:b/>
                <w:lang w:val="hy-AM"/>
              </w:rPr>
              <w:t>1. Միջոցառման իրականացման անհրաժեշտությունը և նպատակը.</w:t>
            </w:r>
          </w:p>
          <w:p w:rsidR="007847C1" w:rsidRPr="0053423A" w:rsidRDefault="007847C1" w:rsidP="00A67858">
            <w:pPr>
              <w:spacing w:line="276" w:lineRule="auto"/>
              <w:ind w:firstLine="709"/>
              <w:jc w:val="both"/>
              <w:rPr>
                <w:rFonts w:cs="Sylfaen"/>
                <w:lang w:val="hy-AM" w:eastAsia="ru-RU"/>
              </w:rPr>
            </w:pPr>
            <w:r w:rsidRPr="0053423A">
              <w:rPr>
                <w:rFonts w:cs="Sylfaen"/>
                <w:lang w:val="fr-FR" w:eastAsia="ru-RU"/>
              </w:rPr>
              <w:t xml:space="preserve">Միջոցառման իրականացման անհրաժեշտությունը բխում է ՀՀ Սահմանադրության 86-րդ հոդվածով ամրագրված պետական քաղաքականության հիմնական նպատակների ցանկի՝ </w:t>
            </w:r>
            <w:r w:rsidRPr="0053423A">
              <w:rPr>
                <w:lang w:val="fr-FR" w:eastAsia="ru-RU"/>
              </w:rPr>
              <w:t>«</w:t>
            </w:r>
            <w:r w:rsidRPr="0053423A">
              <w:rPr>
                <w:rFonts w:cs="Sylfaen"/>
                <w:lang w:val="fr-FR" w:eastAsia="ru-RU"/>
              </w:rPr>
              <w:t>11) ֆիզկուլտուրայի և սպորտի զարգացումը</w:t>
            </w:r>
            <w:r w:rsidRPr="0053423A">
              <w:rPr>
                <w:lang w:val="fr-FR" w:eastAsia="ru-RU"/>
              </w:rPr>
              <w:t>»</w:t>
            </w:r>
            <w:r w:rsidRPr="0053423A">
              <w:rPr>
                <w:rFonts w:cs="Sylfaen"/>
                <w:lang w:val="fr-FR" w:eastAsia="ru-RU"/>
              </w:rPr>
              <w:t xml:space="preserve"> ենթակետի, ինչպես նաև ՀՀ կառավարության ծրագրի 4.6. կետի պահանջներից: Բացի այդ՝ հայրենական սպորտի մասնագետները վկայում են, որ անհատի ֆիզիկական դաստիարակությունը պետք է լինի բազմամյա, հարաշարժ, անընդհատ, հաջոր</w:t>
            </w:r>
            <w:r w:rsidRPr="0053423A">
              <w:rPr>
                <w:rFonts w:cs="Sylfaen"/>
                <w:lang w:val="fr-FR" w:eastAsia="ru-RU"/>
              </w:rPr>
              <w:softHyphen/>
              <w:t>դական և համակարգված գործընթաց, շարունակվի ամբողջ կյանքում, ներգրավի ազգաբնակ</w:t>
            </w:r>
            <w:r w:rsidRPr="0053423A">
              <w:rPr>
                <w:rFonts w:cs="Sylfaen"/>
                <w:lang w:val="fr-FR" w:eastAsia="ru-RU"/>
              </w:rPr>
              <w:softHyphen/>
              <w:t xml:space="preserve">չության տարբեր սեռատարիքային խմբերն ու սոցիալական բոլոր շերտերը: </w:t>
            </w:r>
            <w:r w:rsidRPr="0053423A">
              <w:rPr>
                <w:rFonts w:cs="Sylfaen"/>
                <w:lang w:val="hy-AM" w:eastAsia="ru-RU"/>
              </w:rPr>
              <w:t>Այսպիսով, հ</w:t>
            </w:r>
            <w:r w:rsidRPr="0053423A">
              <w:rPr>
                <w:rFonts w:cs="Sylfaen"/>
                <w:lang w:val="fr-FR" w:eastAsia="ru-RU"/>
              </w:rPr>
              <w:t>իշյալ նպատակների համալիր իրագործումը հնարավոր է միայն ներկայիս գործող</w:t>
            </w:r>
            <w:r w:rsidRPr="0053423A">
              <w:rPr>
                <w:rFonts w:cs="Sylfaen"/>
                <w:lang w:val="af-ZA" w:eastAsia="ru-RU"/>
              </w:rPr>
              <w:t xml:space="preserve"> համակարգի արդիականացման</w:t>
            </w:r>
            <w:r w:rsidRPr="0053423A">
              <w:rPr>
                <w:rFonts w:cs="Sylfaen"/>
                <w:lang w:val="hy-AM" w:eastAsia="ru-RU"/>
              </w:rPr>
              <w:t xml:space="preserve"> միջոցով</w:t>
            </w:r>
            <w:r w:rsidRPr="0053423A">
              <w:rPr>
                <w:rFonts w:cs="Sylfaen"/>
                <w:lang w:val="fr-FR" w:eastAsia="ru-RU"/>
              </w:rPr>
              <w:t>, ինչ</w:t>
            </w:r>
            <w:r w:rsidRPr="0053423A">
              <w:rPr>
                <w:rFonts w:cs="Sylfaen"/>
                <w:lang w:val="hy-AM" w:eastAsia="ru-RU"/>
              </w:rPr>
              <w:t xml:space="preserve">ը ենթադրում է </w:t>
            </w:r>
            <w:r w:rsidRPr="0053423A">
              <w:rPr>
                <w:lang w:val="hy-AM" w:eastAsia="ru-RU"/>
              </w:rPr>
              <w:t>մասսայական սպորտի և ֆիզիկա</w:t>
            </w:r>
            <w:r w:rsidRPr="0053423A">
              <w:rPr>
                <w:lang w:val="hy-AM" w:eastAsia="ru-RU"/>
              </w:rPr>
              <w:softHyphen/>
              <w:t>կան դաստիարա</w:t>
            </w:r>
            <w:r w:rsidRPr="0053423A">
              <w:rPr>
                <w:lang w:val="hy-AM" w:eastAsia="ru-RU"/>
              </w:rPr>
              <w:softHyphen/>
              <w:t>կու</w:t>
            </w:r>
            <w:r w:rsidRPr="0053423A">
              <w:rPr>
                <w:lang w:val="hy-AM" w:eastAsia="ru-RU"/>
              </w:rPr>
              <w:softHyphen/>
              <w:t>թյան զարգացման հայեցա</w:t>
            </w:r>
            <w:r w:rsidRPr="0053423A">
              <w:rPr>
                <w:lang w:val="hy-AM" w:eastAsia="ru-RU"/>
              </w:rPr>
              <w:softHyphen/>
              <w:t>կարգի և դրանից բխող ռազմավարական ծրագրի մշակում: Միջոցառման նպատակն է՝ մասսայական սպորտի և ֆիզիկական դաս</w:t>
            </w:r>
            <w:r w:rsidRPr="0053423A">
              <w:rPr>
                <w:lang w:val="hy-AM" w:eastAsia="ru-RU"/>
              </w:rPr>
              <w:softHyphen/>
              <w:t>տիարակության զար</w:t>
            </w:r>
            <w:r w:rsidRPr="0053423A">
              <w:rPr>
                <w:lang w:val="hy-AM" w:eastAsia="ru-RU"/>
              </w:rPr>
              <w:softHyphen/>
              <w:t>գացման միջոցառում</w:t>
            </w:r>
            <w:r w:rsidRPr="0053423A">
              <w:rPr>
                <w:lang w:val="hy-AM" w:eastAsia="ru-RU"/>
              </w:rPr>
              <w:softHyphen/>
              <w:t>ների շարունակակա</w:t>
            </w:r>
            <w:r w:rsidRPr="0053423A">
              <w:rPr>
                <w:lang w:val="hy-AM" w:eastAsia="ru-RU"/>
              </w:rPr>
              <w:softHyphen/>
              <w:t>նության ապահովումը և արդիականացումը:</w:t>
            </w:r>
          </w:p>
          <w:p w:rsidR="007847C1" w:rsidRPr="0053423A" w:rsidRDefault="007847C1" w:rsidP="00A67858">
            <w:pPr>
              <w:spacing w:line="276" w:lineRule="auto"/>
              <w:ind w:firstLine="714"/>
              <w:jc w:val="both"/>
              <w:rPr>
                <w:rFonts w:cs="GHEA Grapalat"/>
                <w:b/>
                <w:lang w:val="fr-FR"/>
              </w:rPr>
            </w:pPr>
            <w:r w:rsidRPr="0053423A">
              <w:rPr>
                <w:rFonts w:cs="GHEA Grapalat"/>
                <w:b/>
                <w:lang w:val="fr-FR"/>
              </w:rPr>
              <w:t xml:space="preserve">1.1. </w:t>
            </w:r>
            <w:r w:rsidRPr="0053423A">
              <w:rPr>
                <w:rFonts w:cs="GHEA Grapalat"/>
                <w:b/>
                <w:lang w:val="hy-AM"/>
              </w:rPr>
              <w:t>Կարգավորման</w:t>
            </w:r>
            <w:r w:rsidRPr="0053423A">
              <w:rPr>
                <w:rFonts w:cs="GHEA Grapalat"/>
                <w:b/>
                <w:lang w:val="fr-FR"/>
              </w:rPr>
              <w:t xml:space="preserve"> </w:t>
            </w:r>
            <w:r w:rsidRPr="0053423A">
              <w:rPr>
                <w:rFonts w:cs="GHEA Grapalat"/>
                <w:b/>
                <w:lang w:val="hy-AM"/>
              </w:rPr>
              <w:t>հարաբերությունների</w:t>
            </w:r>
            <w:r w:rsidRPr="0053423A">
              <w:rPr>
                <w:rFonts w:cs="GHEA Grapalat"/>
                <w:b/>
                <w:lang w:val="fr-FR"/>
              </w:rPr>
              <w:t xml:space="preserve"> </w:t>
            </w:r>
            <w:r w:rsidRPr="0053423A">
              <w:rPr>
                <w:rFonts w:cs="GHEA Grapalat"/>
                <w:b/>
                <w:lang w:val="hy-AM"/>
              </w:rPr>
              <w:t>ներկա</w:t>
            </w:r>
            <w:r w:rsidRPr="0053423A">
              <w:rPr>
                <w:rFonts w:cs="GHEA Grapalat"/>
                <w:b/>
                <w:lang w:val="fr-FR"/>
              </w:rPr>
              <w:t xml:space="preserve"> </w:t>
            </w:r>
            <w:r w:rsidRPr="0053423A">
              <w:rPr>
                <w:rFonts w:cs="GHEA Grapalat"/>
                <w:b/>
                <w:lang w:val="hy-AM"/>
              </w:rPr>
              <w:t>վիճակը</w:t>
            </w:r>
            <w:r w:rsidRPr="0053423A">
              <w:rPr>
                <w:rFonts w:cs="GHEA Grapalat"/>
                <w:b/>
                <w:lang w:val="fr-FR"/>
              </w:rPr>
              <w:t xml:space="preserve"> </w:t>
            </w:r>
            <w:r w:rsidRPr="0053423A">
              <w:rPr>
                <w:rFonts w:cs="GHEA Grapalat"/>
                <w:b/>
                <w:lang w:val="hy-AM"/>
              </w:rPr>
              <w:t>և</w:t>
            </w:r>
            <w:r w:rsidRPr="0053423A">
              <w:rPr>
                <w:rFonts w:cs="GHEA Grapalat"/>
                <w:b/>
                <w:lang w:val="fr-FR"/>
              </w:rPr>
              <w:t xml:space="preserve"> </w:t>
            </w:r>
            <w:r w:rsidRPr="0053423A">
              <w:rPr>
                <w:rFonts w:cs="GHEA Grapalat"/>
                <w:b/>
                <w:lang w:val="hy-AM"/>
              </w:rPr>
              <w:t>առկա</w:t>
            </w:r>
            <w:r w:rsidRPr="0053423A">
              <w:rPr>
                <w:rFonts w:cs="GHEA Grapalat"/>
                <w:b/>
                <w:lang w:val="fr-FR"/>
              </w:rPr>
              <w:t xml:space="preserve"> </w:t>
            </w:r>
            <w:r w:rsidRPr="0053423A">
              <w:rPr>
                <w:rFonts w:cs="GHEA Grapalat"/>
                <w:b/>
                <w:lang w:val="hy-AM"/>
              </w:rPr>
              <w:t>խնդիրները</w:t>
            </w:r>
            <w:r w:rsidRPr="0053423A">
              <w:rPr>
                <w:rFonts w:cs="GHEA Grapalat"/>
                <w:b/>
                <w:lang w:val="fr-FR"/>
              </w:rPr>
              <w:t>.</w:t>
            </w:r>
          </w:p>
          <w:p w:rsidR="007847C1" w:rsidRPr="0053423A" w:rsidRDefault="007847C1" w:rsidP="00A67858">
            <w:pPr>
              <w:spacing w:line="276" w:lineRule="auto"/>
              <w:ind w:firstLine="709"/>
              <w:jc w:val="both"/>
              <w:rPr>
                <w:rFonts w:cs="Sylfaen"/>
                <w:lang w:val="hy-AM" w:eastAsia="ru-RU"/>
              </w:rPr>
            </w:pPr>
            <w:r w:rsidRPr="0053423A">
              <w:rPr>
                <w:rFonts w:cs="Sylfaen"/>
                <w:lang w:eastAsia="ru-RU"/>
              </w:rPr>
              <w:t>Ներկայումս</w:t>
            </w:r>
            <w:r w:rsidRPr="0053423A">
              <w:rPr>
                <w:rFonts w:cs="Sylfaen"/>
                <w:lang w:val="fr-FR" w:eastAsia="ru-RU"/>
              </w:rPr>
              <w:t xml:space="preserve"> Հայաստանի Հանրապետությունում ֆիզկուլտուրայի և սպորտի զարգացման պետական</w:t>
            </w:r>
            <w:r w:rsidRPr="0053423A">
              <w:rPr>
                <w:rFonts w:cs="Sylfaen"/>
                <w:lang w:val="hy-AM" w:eastAsia="ru-RU"/>
              </w:rPr>
              <w:t xml:space="preserve"> նպատակային ծրագրեր</w:t>
            </w:r>
            <w:r w:rsidRPr="0053423A">
              <w:rPr>
                <w:rFonts w:cs="Sylfaen"/>
                <w:lang w:eastAsia="ru-RU"/>
              </w:rPr>
              <w:t>ում</w:t>
            </w:r>
            <w:r w:rsidRPr="0053423A">
              <w:rPr>
                <w:rFonts w:cs="Sylfaen"/>
                <w:lang w:val="fr-FR" w:eastAsia="ru-RU"/>
              </w:rPr>
              <w:t xml:space="preserve"> </w:t>
            </w:r>
            <w:r w:rsidRPr="0053423A">
              <w:rPr>
                <w:rFonts w:cs="Sylfaen"/>
                <w:lang w:eastAsia="ru-RU"/>
              </w:rPr>
              <w:t>ընդգրկված</w:t>
            </w:r>
            <w:r w:rsidRPr="0053423A">
              <w:rPr>
                <w:rFonts w:cs="Sylfaen"/>
                <w:lang w:val="fr-FR" w:eastAsia="ru-RU"/>
              </w:rPr>
              <w:t xml:space="preserve"> </w:t>
            </w:r>
            <w:r w:rsidRPr="0053423A">
              <w:rPr>
                <w:rFonts w:cs="Sylfaen"/>
                <w:lang w:eastAsia="ru-RU"/>
              </w:rPr>
              <w:t>մասսայական</w:t>
            </w:r>
            <w:r w:rsidRPr="0053423A">
              <w:rPr>
                <w:rFonts w:cs="Sylfaen"/>
                <w:lang w:val="fr-FR" w:eastAsia="ru-RU"/>
              </w:rPr>
              <w:t xml:space="preserve"> </w:t>
            </w:r>
            <w:r w:rsidRPr="0053423A">
              <w:rPr>
                <w:rFonts w:cs="Sylfaen"/>
                <w:lang w:eastAsia="ru-RU"/>
              </w:rPr>
              <w:t>սպորտային</w:t>
            </w:r>
            <w:r w:rsidRPr="0053423A">
              <w:rPr>
                <w:rFonts w:cs="Sylfaen"/>
                <w:lang w:val="fr-FR" w:eastAsia="ru-RU"/>
              </w:rPr>
              <w:t xml:space="preserve"> </w:t>
            </w:r>
            <w:r w:rsidRPr="0053423A">
              <w:rPr>
                <w:rFonts w:cs="Sylfaen"/>
                <w:lang w:eastAsia="ru-RU"/>
              </w:rPr>
              <w:t>միջոցառումները</w:t>
            </w:r>
            <w:r w:rsidRPr="0053423A">
              <w:rPr>
                <w:rFonts w:cs="Sylfaen"/>
                <w:lang w:val="hy-AM" w:eastAsia="ru-RU"/>
              </w:rPr>
              <w:t xml:space="preserve"> հատվածաբար են լուծում </w:t>
            </w:r>
            <w:r w:rsidRPr="0053423A">
              <w:rPr>
                <w:rFonts w:cs="Sylfaen"/>
                <w:lang w:eastAsia="ru-RU"/>
              </w:rPr>
              <w:t>առկա</w:t>
            </w:r>
            <w:r w:rsidRPr="0053423A">
              <w:rPr>
                <w:rFonts w:cs="Sylfaen"/>
                <w:lang w:val="hy-AM" w:eastAsia="ru-RU"/>
              </w:rPr>
              <w:t xml:space="preserve"> խնդիրները, </w:t>
            </w:r>
            <w:r w:rsidRPr="0053423A">
              <w:rPr>
                <w:rFonts w:cs="Sylfaen"/>
                <w:lang w:eastAsia="ru-RU"/>
              </w:rPr>
              <w:t>ինչպես</w:t>
            </w:r>
            <w:r w:rsidRPr="0053423A">
              <w:rPr>
                <w:rFonts w:cs="Sylfaen"/>
                <w:lang w:val="fr-FR" w:eastAsia="ru-RU"/>
              </w:rPr>
              <w:t xml:space="preserve"> </w:t>
            </w:r>
            <w:r w:rsidRPr="0053423A">
              <w:rPr>
                <w:rFonts w:cs="Sylfaen"/>
                <w:lang w:eastAsia="ru-RU"/>
              </w:rPr>
              <w:t>նաև</w:t>
            </w:r>
            <w:r w:rsidRPr="0053423A">
              <w:rPr>
                <w:rFonts w:cs="Sylfaen"/>
                <w:lang w:val="fr-FR" w:eastAsia="ru-RU"/>
              </w:rPr>
              <w:t xml:space="preserve"> </w:t>
            </w:r>
            <w:r w:rsidRPr="0053423A">
              <w:rPr>
                <w:rFonts w:cs="Sylfaen"/>
                <w:lang w:eastAsia="ru-RU"/>
              </w:rPr>
              <w:t>ցայսօր</w:t>
            </w:r>
            <w:r w:rsidRPr="0053423A">
              <w:rPr>
                <w:rFonts w:cs="Sylfaen"/>
                <w:lang w:val="fr-FR" w:eastAsia="ru-RU"/>
              </w:rPr>
              <w:t xml:space="preserve"> </w:t>
            </w:r>
            <w:r w:rsidRPr="0053423A">
              <w:rPr>
                <w:lang w:eastAsia="ru-RU"/>
              </w:rPr>
              <w:t>բացակայում</w:t>
            </w:r>
            <w:r w:rsidRPr="0053423A">
              <w:rPr>
                <w:lang w:val="fr-FR" w:eastAsia="ru-RU"/>
              </w:rPr>
              <w:t xml:space="preserve"> </w:t>
            </w:r>
            <w:r w:rsidRPr="0053423A">
              <w:rPr>
                <w:lang w:eastAsia="ru-RU"/>
              </w:rPr>
              <w:t>է</w:t>
            </w:r>
            <w:r w:rsidRPr="0053423A">
              <w:rPr>
                <w:lang w:val="hy-AM" w:eastAsia="ru-RU"/>
              </w:rPr>
              <w:t xml:space="preserve"> քաղաքացիների</w:t>
            </w:r>
            <w:r w:rsidRPr="0053423A">
              <w:rPr>
                <w:lang w:val="af-ZA" w:eastAsia="ru-RU"/>
              </w:rPr>
              <w:t xml:space="preserve"> </w:t>
            </w:r>
            <w:r w:rsidRPr="0053423A">
              <w:rPr>
                <w:lang w:val="hy-AM" w:eastAsia="ru-RU"/>
              </w:rPr>
              <w:t>ֆիզիկա</w:t>
            </w:r>
            <w:r w:rsidRPr="0053423A">
              <w:rPr>
                <w:lang w:val="af-ZA" w:eastAsia="ru-RU"/>
              </w:rPr>
              <w:softHyphen/>
            </w:r>
            <w:r w:rsidRPr="0053423A">
              <w:rPr>
                <w:lang w:val="hy-AM" w:eastAsia="ru-RU"/>
              </w:rPr>
              <w:t>կան</w:t>
            </w:r>
            <w:r w:rsidRPr="0053423A">
              <w:rPr>
                <w:lang w:val="af-ZA" w:eastAsia="ru-RU"/>
              </w:rPr>
              <w:t xml:space="preserve"> </w:t>
            </w:r>
            <w:r w:rsidRPr="0053423A">
              <w:rPr>
                <w:lang w:val="hy-AM" w:eastAsia="ru-RU"/>
              </w:rPr>
              <w:t>դաստիարա</w:t>
            </w:r>
            <w:r w:rsidRPr="0053423A">
              <w:rPr>
                <w:lang w:val="af-ZA" w:eastAsia="ru-RU"/>
              </w:rPr>
              <w:softHyphen/>
            </w:r>
            <w:r w:rsidRPr="0053423A">
              <w:rPr>
                <w:lang w:val="hy-AM" w:eastAsia="ru-RU"/>
              </w:rPr>
              <w:t>կու</w:t>
            </w:r>
            <w:r w:rsidRPr="0053423A">
              <w:rPr>
                <w:lang w:val="af-ZA" w:eastAsia="ru-RU"/>
              </w:rPr>
              <w:softHyphen/>
            </w:r>
            <w:r w:rsidRPr="0053423A">
              <w:rPr>
                <w:lang w:val="hy-AM" w:eastAsia="ru-RU"/>
              </w:rPr>
              <w:t>թյան մշակույթի զարգացման և սպորտի մասսայականացման</w:t>
            </w:r>
            <w:r w:rsidRPr="0053423A">
              <w:rPr>
                <w:lang w:val="af-ZA" w:eastAsia="ru-RU"/>
              </w:rPr>
              <w:t xml:space="preserve"> </w:t>
            </w:r>
            <w:r w:rsidRPr="0053423A">
              <w:rPr>
                <w:lang w:val="hy-AM" w:eastAsia="ru-RU"/>
              </w:rPr>
              <w:t>ընդհանուր տեսլականը</w:t>
            </w:r>
            <w:r w:rsidRPr="0053423A">
              <w:rPr>
                <w:lang w:val="fr-FR" w:eastAsia="ru-RU"/>
              </w:rPr>
              <w:t xml:space="preserve">: </w:t>
            </w:r>
            <w:r w:rsidRPr="0053423A">
              <w:rPr>
                <w:lang w:eastAsia="ru-RU"/>
              </w:rPr>
              <w:t>Օրինաչափորեն</w:t>
            </w:r>
            <w:r w:rsidRPr="0053423A">
              <w:rPr>
                <w:rFonts w:cs="Sylfaen"/>
                <w:lang w:val="hy-AM" w:eastAsia="ru-RU"/>
              </w:rPr>
              <w:t xml:space="preserve"> առաջին պլան է մղվում համակարգային լուծումներ գտնելու հրամայականը</w:t>
            </w:r>
            <w:r w:rsidRPr="0053423A">
              <w:rPr>
                <w:rFonts w:cs="Sylfaen"/>
                <w:lang w:val="fr-FR" w:eastAsia="ru-RU"/>
              </w:rPr>
              <w:t xml:space="preserve">, </w:t>
            </w:r>
            <w:r w:rsidRPr="0053423A">
              <w:rPr>
                <w:rFonts w:cs="Sylfaen"/>
                <w:lang w:eastAsia="ru-RU"/>
              </w:rPr>
              <w:t>այն</w:t>
            </w:r>
            <w:r w:rsidRPr="0053423A">
              <w:rPr>
                <w:rFonts w:cs="Sylfaen"/>
                <w:lang w:val="fr-FR" w:eastAsia="ru-RU"/>
              </w:rPr>
              <w:t xml:space="preserve"> </w:t>
            </w:r>
            <w:r w:rsidRPr="0053423A">
              <w:rPr>
                <w:rFonts w:cs="Sylfaen"/>
                <w:lang w:eastAsia="ru-RU"/>
              </w:rPr>
              <w:t>է</w:t>
            </w:r>
            <w:r w:rsidRPr="0053423A">
              <w:rPr>
                <w:rFonts w:cs="Sylfaen"/>
                <w:lang w:val="hy-AM" w:eastAsia="ru-RU"/>
              </w:rPr>
              <w:t xml:space="preserve">՝ </w:t>
            </w:r>
            <w:r w:rsidRPr="0053423A">
              <w:rPr>
                <w:bCs/>
                <w:lang w:val="hy-AM" w:eastAsia="ru-RU"/>
              </w:rPr>
              <w:t>Հայաստանի Հանրապետությունում ֆիզիկական կուլտուրայի և մասսայական սպորտի բնագավառի զարգացման երկարաժամկետ հեռանկարի ապահովման ուղիների և միջոցների որոշումն ու սահմանումը:</w:t>
            </w:r>
          </w:p>
          <w:p w:rsidR="007847C1" w:rsidRPr="0053423A" w:rsidRDefault="007847C1" w:rsidP="00A67858">
            <w:pPr>
              <w:pBdr>
                <w:top w:val="nil"/>
                <w:left w:val="nil"/>
                <w:bottom w:val="nil"/>
                <w:right w:val="nil"/>
                <w:between w:val="nil"/>
              </w:pBdr>
              <w:spacing w:line="276" w:lineRule="auto"/>
              <w:ind w:firstLine="720"/>
              <w:jc w:val="both"/>
              <w:rPr>
                <w:rFonts w:eastAsia="Tahoma" w:cs="Tahoma"/>
                <w:lang w:val="hy-AM"/>
              </w:rPr>
            </w:pPr>
            <w:r w:rsidRPr="0053423A">
              <w:rPr>
                <w:rFonts w:eastAsia="Tahoma" w:cs="Tahoma"/>
                <w:lang w:val="af-ZA"/>
              </w:rPr>
              <w:t>Կատարված վերլուծությունը ցույց է տալիս, որ զ</w:t>
            </w:r>
            <w:r w:rsidRPr="0053423A">
              <w:rPr>
                <w:rFonts w:eastAsia="Tahoma" w:cs="Tahoma"/>
                <w:lang w:val="hy-AM"/>
              </w:rPr>
              <w:t>անգվածային սպորտի զարգացման հիմնախնդիրների շարքում անհրաժեշտ է կարևորել բնակչության, այդ թվում՝ նաև հաշմանդամություն</w:t>
            </w:r>
            <w:r w:rsidRPr="0053423A">
              <w:rPr>
                <w:rFonts w:eastAsia="Tahoma" w:cs="Tahoma"/>
                <w:lang w:val="af-ZA"/>
              </w:rPr>
              <w:t xml:space="preserve"> </w:t>
            </w:r>
            <w:r w:rsidRPr="0053423A">
              <w:rPr>
                <w:rFonts w:eastAsia="Tahoma" w:cs="Tahoma"/>
                <w:lang w:val="hy-AM"/>
              </w:rPr>
              <w:t>ունեցող</w:t>
            </w:r>
            <w:r w:rsidRPr="0053423A">
              <w:rPr>
                <w:rFonts w:eastAsia="Tahoma" w:cs="Tahoma"/>
                <w:lang w:val="af-ZA"/>
              </w:rPr>
              <w:t xml:space="preserve"> </w:t>
            </w:r>
            <w:r w:rsidRPr="0053423A">
              <w:rPr>
                <w:rFonts w:eastAsia="Tahoma" w:cs="Tahoma"/>
                <w:lang w:val="hy-AM"/>
              </w:rPr>
              <w:t>անձանց՝ ֆիզիկական կուլտուրայով և սպորտով</w:t>
            </w:r>
            <w:r w:rsidRPr="0053423A">
              <w:rPr>
                <w:rFonts w:eastAsia="Tahoma" w:cs="Tahoma"/>
                <w:lang w:val="af-ZA"/>
              </w:rPr>
              <w:t xml:space="preserve"> </w:t>
            </w:r>
            <w:r w:rsidRPr="0053423A">
              <w:rPr>
                <w:rFonts w:eastAsia="Tahoma" w:cs="Tahoma"/>
                <w:lang w:val="hy-AM"/>
              </w:rPr>
              <w:t>գիտացաբար</w:t>
            </w:r>
            <w:r w:rsidRPr="0053423A">
              <w:rPr>
                <w:rFonts w:eastAsia="Tahoma" w:cs="Tahoma"/>
                <w:lang w:val="af-ZA"/>
              </w:rPr>
              <w:t xml:space="preserve"> </w:t>
            </w:r>
            <w:r w:rsidRPr="0053423A">
              <w:rPr>
                <w:rFonts w:eastAsia="Tahoma" w:cs="Tahoma"/>
                <w:lang w:val="hy-AM"/>
              </w:rPr>
              <w:t>զբաղվելու</w:t>
            </w:r>
            <w:r w:rsidRPr="0053423A">
              <w:rPr>
                <w:rFonts w:eastAsia="Tahoma" w:cs="Tahoma"/>
                <w:lang w:val="af-ZA"/>
              </w:rPr>
              <w:t xml:space="preserve"> </w:t>
            </w:r>
            <w:r w:rsidRPr="0053423A">
              <w:rPr>
                <w:rFonts w:eastAsia="Tahoma" w:cs="Tahoma"/>
                <w:lang w:val="hy-AM"/>
              </w:rPr>
              <w:t>պահանջարկի</w:t>
            </w:r>
            <w:r w:rsidRPr="0053423A">
              <w:rPr>
                <w:rFonts w:eastAsia="Tahoma" w:cs="Tahoma"/>
                <w:lang w:val="af-ZA"/>
              </w:rPr>
              <w:t xml:space="preserve"> </w:t>
            </w:r>
            <w:r w:rsidRPr="0053423A">
              <w:rPr>
                <w:rFonts w:eastAsia="Tahoma" w:cs="Tahoma"/>
                <w:lang w:val="hy-AM"/>
              </w:rPr>
              <w:t>ձևավորումը</w:t>
            </w:r>
            <w:r w:rsidRPr="0053423A">
              <w:rPr>
                <w:rFonts w:eastAsia="Tahoma" w:cs="Tahoma"/>
                <w:lang w:val="af-ZA"/>
              </w:rPr>
              <w:t>,</w:t>
            </w:r>
            <w:r w:rsidRPr="0053423A">
              <w:rPr>
                <w:rFonts w:eastAsia="Tahoma" w:cs="Tahoma"/>
                <w:lang w:val="hy-AM"/>
              </w:rPr>
              <w:t xml:space="preserve"> մարզական</w:t>
            </w:r>
            <w:r w:rsidRPr="0053423A">
              <w:rPr>
                <w:rFonts w:eastAsia="Tahoma" w:cs="Tahoma"/>
                <w:lang w:val="af-ZA"/>
              </w:rPr>
              <w:t xml:space="preserve"> </w:t>
            </w:r>
            <w:r w:rsidRPr="0053423A">
              <w:rPr>
                <w:rFonts w:eastAsia="Tahoma" w:cs="Tahoma"/>
                <w:lang w:val="hy-AM"/>
              </w:rPr>
              <w:t>պարապմունքների</w:t>
            </w:r>
            <w:r w:rsidRPr="0053423A">
              <w:rPr>
                <w:rFonts w:eastAsia="Tahoma" w:cs="Tahoma"/>
                <w:lang w:val="af-ZA"/>
              </w:rPr>
              <w:t xml:space="preserve"> </w:t>
            </w:r>
            <w:r w:rsidRPr="0053423A">
              <w:rPr>
                <w:rFonts w:eastAsia="Tahoma" w:cs="Tahoma"/>
                <w:lang w:val="hy-AM"/>
              </w:rPr>
              <w:t>և</w:t>
            </w:r>
            <w:r w:rsidRPr="0053423A">
              <w:rPr>
                <w:rFonts w:eastAsia="Tahoma" w:cs="Tahoma"/>
                <w:lang w:val="af-ZA"/>
              </w:rPr>
              <w:t xml:space="preserve"> </w:t>
            </w:r>
            <w:r w:rsidRPr="0053423A">
              <w:rPr>
                <w:rFonts w:eastAsia="Tahoma" w:cs="Tahoma"/>
                <w:lang w:val="hy-AM"/>
              </w:rPr>
              <w:t>միջոցառում</w:t>
            </w:r>
            <w:r w:rsidRPr="0053423A">
              <w:rPr>
                <w:rFonts w:eastAsia="Tahoma" w:cs="Tahoma"/>
                <w:lang w:val="af-ZA"/>
              </w:rPr>
              <w:softHyphen/>
            </w:r>
            <w:r w:rsidRPr="0053423A">
              <w:rPr>
                <w:rFonts w:eastAsia="Tahoma" w:cs="Tahoma"/>
                <w:lang w:val="hy-AM"/>
              </w:rPr>
              <w:t>ների մասսայականացման</w:t>
            </w:r>
            <w:r w:rsidRPr="0053423A">
              <w:rPr>
                <w:rFonts w:eastAsia="Tahoma" w:cs="Tahoma"/>
                <w:lang w:val="af-ZA"/>
              </w:rPr>
              <w:t xml:space="preserve"> ապահովում</w:t>
            </w:r>
            <w:r w:rsidRPr="0053423A">
              <w:rPr>
                <w:rFonts w:eastAsia="Tahoma" w:cs="Tahoma"/>
                <w:lang w:val="hy-AM"/>
              </w:rPr>
              <w:t>ը</w:t>
            </w:r>
            <w:r w:rsidRPr="0053423A">
              <w:rPr>
                <w:rFonts w:eastAsia="Tahoma" w:cs="Tahoma"/>
                <w:lang w:val="af-ZA"/>
              </w:rPr>
              <w:t>,</w:t>
            </w:r>
            <w:r w:rsidRPr="0053423A">
              <w:rPr>
                <w:rFonts w:eastAsia="Tahoma" w:cs="Tahoma"/>
                <w:lang w:val="hy-AM"/>
              </w:rPr>
              <w:t xml:space="preserve"> կանոնավոր մարզումների նկատմամբ դրական վերաբեր</w:t>
            </w:r>
            <w:r w:rsidRPr="0053423A">
              <w:rPr>
                <w:rFonts w:eastAsia="Tahoma" w:cs="Tahoma"/>
                <w:lang w:val="af-ZA"/>
              </w:rPr>
              <w:softHyphen/>
            </w:r>
            <w:r w:rsidRPr="0053423A">
              <w:rPr>
                <w:rFonts w:eastAsia="Tahoma" w:cs="Tahoma"/>
                <w:lang w:val="hy-AM"/>
              </w:rPr>
              <w:t>մունքի ձևավորումը</w:t>
            </w:r>
            <w:r w:rsidRPr="0053423A">
              <w:rPr>
                <w:rFonts w:eastAsia="Tahoma" w:cs="Tahoma"/>
                <w:lang w:val="af-ZA"/>
              </w:rPr>
              <w:t xml:space="preserve">, շահառուների </w:t>
            </w:r>
            <w:r w:rsidRPr="0053423A">
              <w:rPr>
                <w:rFonts w:eastAsia="Tahoma" w:cs="Tahoma"/>
                <w:lang w:val="hy-AM"/>
              </w:rPr>
              <w:t>առավել նպաստավոր՝</w:t>
            </w:r>
            <w:r w:rsidRPr="0053423A">
              <w:rPr>
                <w:rFonts w:eastAsia="Tahoma" w:cs="Tahoma"/>
                <w:lang w:val="af-ZA"/>
              </w:rPr>
              <w:t xml:space="preserve"> </w:t>
            </w:r>
            <w:r w:rsidRPr="0053423A">
              <w:rPr>
                <w:rFonts w:eastAsia="Tahoma" w:cs="Tahoma"/>
                <w:lang w:val="hy-AM"/>
              </w:rPr>
              <w:t>թիրախային խմբերի</w:t>
            </w:r>
            <w:r w:rsidRPr="0053423A">
              <w:rPr>
                <w:rFonts w:eastAsia="Tahoma" w:cs="Tahoma"/>
                <w:lang w:val="af-ZA"/>
              </w:rPr>
              <w:t xml:space="preserve"> </w:t>
            </w:r>
            <w:r w:rsidRPr="0053423A">
              <w:rPr>
                <w:rFonts w:eastAsia="Tahoma" w:cs="Tahoma"/>
                <w:lang w:val="hy-AM"/>
              </w:rPr>
              <w:t>առանձնացումը</w:t>
            </w:r>
            <w:r w:rsidRPr="0053423A">
              <w:rPr>
                <w:rFonts w:eastAsia="Tahoma" w:cs="Tahoma"/>
                <w:lang w:val="af-ZA"/>
              </w:rPr>
              <w:t>, նրանց առողջական վիճակի և աշխատունակության բարձրացումը, պաշտպանության համար անհրա</w:t>
            </w:r>
            <w:r w:rsidRPr="0053423A">
              <w:rPr>
                <w:rFonts w:eastAsia="Tahoma" w:cs="Tahoma"/>
                <w:lang w:val="af-ZA"/>
              </w:rPr>
              <w:softHyphen/>
              <w:t>ժեշտ պատրաստականության ապահովումը</w:t>
            </w:r>
            <w:r w:rsidRPr="0053423A">
              <w:rPr>
                <w:rFonts w:eastAsia="Tahoma" w:cs="Tahoma"/>
                <w:lang w:val="hy-AM"/>
              </w:rPr>
              <w:t>:</w:t>
            </w:r>
          </w:p>
          <w:p w:rsidR="007847C1" w:rsidRPr="0053423A" w:rsidRDefault="007847C1" w:rsidP="00A67858">
            <w:pPr>
              <w:spacing w:line="276" w:lineRule="auto"/>
              <w:ind w:left="720"/>
              <w:jc w:val="both"/>
              <w:rPr>
                <w:rFonts w:cs="GHEA Grapalat"/>
                <w:b/>
                <w:lang w:val="hy-AM"/>
              </w:rPr>
            </w:pPr>
            <w:r w:rsidRPr="0053423A">
              <w:rPr>
                <w:rFonts w:cs="GHEA Grapalat"/>
                <w:b/>
                <w:lang w:val="hy-AM"/>
              </w:rPr>
              <w:t>1.2. Առկա խնդիրների առաջարկվող լուծումները.</w:t>
            </w:r>
          </w:p>
          <w:p w:rsidR="007847C1" w:rsidRPr="0053423A" w:rsidRDefault="007847C1" w:rsidP="00A67858">
            <w:pPr>
              <w:spacing w:line="276" w:lineRule="auto"/>
              <w:ind w:firstLine="709"/>
              <w:jc w:val="both"/>
              <w:rPr>
                <w:rFonts w:cs="GHEA Grapalat"/>
                <w:lang w:val="af-ZA"/>
              </w:rPr>
            </w:pPr>
            <w:r w:rsidRPr="0053423A">
              <w:rPr>
                <w:rFonts w:cs="GHEA Grapalat"/>
                <w:lang w:val="hy-AM"/>
              </w:rPr>
              <w:t>Նշված</w:t>
            </w:r>
            <w:r w:rsidRPr="0053423A">
              <w:rPr>
                <w:rFonts w:cs="GHEA Grapalat"/>
                <w:lang w:val="af-ZA"/>
              </w:rPr>
              <w:t xml:space="preserve"> </w:t>
            </w:r>
            <w:r w:rsidRPr="0053423A">
              <w:rPr>
                <w:rFonts w:cs="GHEA Grapalat"/>
                <w:lang w:val="hy-AM"/>
              </w:rPr>
              <w:t>խնդիրների</w:t>
            </w:r>
            <w:r w:rsidRPr="0053423A">
              <w:rPr>
                <w:rFonts w:cs="GHEA Grapalat"/>
                <w:lang w:val="af-ZA"/>
              </w:rPr>
              <w:t xml:space="preserve"> </w:t>
            </w:r>
            <w:r w:rsidRPr="0053423A">
              <w:rPr>
                <w:rFonts w:cs="GHEA Grapalat"/>
                <w:lang w:val="hy-AM"/>
              </w:rPr>
              <w:t>լուծման</w:t>
            </w:r>
            <w:r w:rsidRPr="0053423A">
              <w:rPr>
                <w:rFonts w:cs="GHEA Grapalat"/>
                <w:lang w:val="af-ZA"/>
              </w:rPr>
              <w:t xml:space="preserve"> </w:t>
            </w:r>
            <w:r w:rsidRPr="0053423A">
              <w:rPr>
                <w:rFonts w:cs="GHEA Grapalat"/>
                <w:lang w:val="hy-AM"/>
              </w:rPr>
              <w:t>հիմնական</w:t>
            </w:r>
            <w:r w:rsidRPr="0053423A">
              <w:rPr>
                <w:rFonts w:cs="GHEA Grapalat"/>
                <w:lang w:val="af-ZA"/>
              </w:rPr>
              <w:t xml:space="preserve"> </w:t>
            </w:r>
            <w:r w:rsidRPr="0053423A">
              <w:rPr>
                <w:rFonts w:cs="GHEA Grapalat"/>
                <w:lang w:val="hy-AM"/>
              </w:rPr>
              <w:t>ուղղությունները</w:t>
            </w:r>
            <w:r w:rsidRPr="0053423A">
              <w:rPr>
                <w:rFonts w:cs="GHEA Grapalat"/>
                <w:lang w:val="af-ZA"/>
              </w:rPr>
              <w:t xml:space="preserve"> </w:t>
            </w:r>
            <w:r w:rsidRPr="0053423A">
              <w:rPr>
                <w:rFonts w:cs="GHEA Grapalat"/>
                <w:lang w:val="hy-AM"/>
              </w:rPr>
              <w:t>որոշվում</w:t>
            </w:r>
            <w:r w:rsidRPr="0053423A">
              <w:rPr>
                <w:rFonts w:cs="GHEA Grapalat"/>
                <w:lang w:val="af-ZA"/>
              </w:rPr>
              <w:t xml:space="preserve"> </w:t>
            </w:r>
            <w:r w:rsidRPr="0053423A">
              <w:rPr>
                <w:rFonts w:cs="GHEA Grapalat"/>
                <w:lang w:val="hy-AM"/>
              </w:rPr>
              <w:t>են</w:t>
            </w:r>
            <w:r w:rsidRPr="0053423A">
              <w:rPr>
                <w:rFonts w:cs="GHEA Grapalat"/>
                <w:lang w:val="af-ZA"/>
              </w:rPr>
              <w:t xml:space="preserve"> </w:t>
            </w:r>
            <w:r w:rsidRPr="0053423A">
              <w:rPr>
                <w:rFonts w:cs="GHEA Grapalat"/>
                <w:lang w:val="hy-AM"/>
              </w:rPr>
              <w:t>ՀՀ</w:t>
            </w:r>
            <w:r w:rsidRPr="0053423A">
              <w:rPr>
                <w:rFonts w:cs="GHEA Grapalat"/>
                <w:lang w:val="af-ZA"/>
              </w:rPr>
              <w:t xml:space="preserve"> </w:t>
            </w:r>
            <w:r w:rsidRPr="0053423A">
              <w:rPr>
                <w:rFonts w:cs="GHEA Grapalat"/>
                <w:lang w:val="hy-AM"/>
              </w:rPr>
              <w:t>Ֆիզիկական</w:t>
            </w:r>
            <w:r w:rsidRPr="0053423A">
              <w:rPr>
                <w:rFonts w:cs="GHEA Grapalat"/>
                <w:lang w:val="af-ZA"/>
              </w:rPr>
              <w:t xml:space="preserve"> </w:t>
            </w:r>
            <w:r w:rsidRPr="0053423A">
              <w:rPr>
                <w:rFonts w:cs="GHEA Grapalat"/>
                <w:lang w:val="hy-AM"/>
              </w:rPr>
              <w:t>կուլտուրայի</w:t>
            </w:r>
            <w:r w:rsidRPr="0053423A">
              <w:rPr>
                <w:rFonts w:cs="GHEA Grapalat"/>
                <w:lang w:val="af-ZA"/>
              </w:rPr>
              <w:t xml:space="preserve"> </w:t>
            </w:r>
            <w:r w:rsidRPr="0053423A">
              <w:rPr>
                <w:rFonts w:cs="GHEA Grapalat"/>
                <w:lang w:val="hy-AM"/>
              </w:rPr>
              <w:t>և</w:t>
            </w:r>
            <w:r w:rsidRPr="0053423A">
              <w:rPr>
                <w:rFonts w:cs="GHEA Grapalat"/>
                <w:lang w:val="af-ZA"/>
              </w:rPr>
              <w:t xml:space="preserve"> </w:t>
            </w:r>
            <w:r w:rsidRPr="0053423A">
              <w:rPr>
                <w:rFonts w:cs="GHEA Grapalat"/>
                <w:lang w:val="hy-AM"/>
              </w:rPr>
              <w:t>մասսայական</w:t>
            </w:r>
            <w:r w:rsidRPr="0053423A">
              <w:rPr>
                <w:rFonts w:cs="GHEA Grapalat"/>
                <w:lang w:val="af-ZA"/>
              </w:rPr>
              <w:t xml:space="preserve"> </w:t>
            </w:r>
            <w:r w:rsidRPr="0053423A">
              <w:rPr>
                <w:rFonts w:cs="GHEA Grapalat"/>
                <w:lang w:val="hy-AM"/>
              </w:rPr>
              <w:t>սպորտի</w:t>
            </w:r>
            <w:r w:rsidRPr="0053423A">
              <w:rPr>
                <w:rFonts w:cs="GHEA Grapalat"/>
                <w:lang w:val="af-ZA"/>
              </w:rPr>
              <w:t xml:space="preserve"> </w:t>
            </w:r>
            <w:r w:rsidRPr="0053423A">
              <w:rPr>
                <w:rFonts w:cs="GHEA Grapalat"/>
                <w:lang w:val="hy-AM"/>
              </w:rPr>
              <w:t>զարգացման</w:t>
            </w:r>
            <w:r w:rsidRPr="0053423A">
              <w:rPr>
                <w:rFonts w:cs="GHEA Grapalat"/>
                <w:lang w:val="af-ZA"/>
              </w:rPr>
              <w:t xml:space="preserve"> </w:t>
            </w:r>
            <w:r w:rsidRPr="0053423A">
              <w:rPr>
                <w:rFonts w:cs="GHEA Grapalat"/>
                <w:lang w:val="hy-AM"/>
              </w:rPr>
              <w:t>հիմնարար</w:t>
            </w:r>
            <w:r w:rsidRPr="0053423A">
              <w:rPr>
                <w:rFonts w:cs="GHEA Grapalat"/>
                <w:lang w:val="af-ZA"/>
              </w:rPr>
              <w:t xml:space="preserve"> </w:t>
            </w:r>
            <w:r w:rsidRPr="0053423A">
              <w:rPr>
                <w:rFonts w:cs="GHEA Grapalat"/>
                <w:lang w:val="hy-AM"/>
              </w:rPr>
              <w:t>նպատակներով</w:t>
            </w:r>
            <w:r w:rsidRPr="0053423A">
              <w:rPr>
                <w:rFonts w:cs="GHEA Grapalat"/>
                <w:lang w:val="af-ZA"/>
              </w:rPr>
              <w:t>, ո</w:t>
            </w:r>
            <w:r w:rsidRPr="0053423A">
              <w:rPr>
                <w:rFonts w:cs="GHEA Grapalat"/>
                <w:lang w:val="hy-AM"/>
              </w:rPr>
              <w:t>րոնք</w:t>
            </w:r>
            <w:r w:rsidRPr="0053423A">
              <w:rPr>
                <w:rFonts w:cs="GHEA Grapalat"/>
                <w:lang w:val="af-ZA"/>
              </w:rPr>
              <w:t xml:space="preserve"> </w:t>
            </w:r>
            <w:r w:rsidRPr="0053423A">
              <w:rPr>
                <w:rFonts w:cs="GHEA Grapalat"/>
                <w:lang w:val="hy-AM"/>
              </w:rPr>
              <w:t>միտված</w:t>
            </w:r>
            <w:r w:rsidRPr="0053423A">
              <w:rPr>
                <w:rFonts w:cs="GHEA Grapalat"/>
                <w:lang w:val="af-ZA"/>
              </w:rPr>
              <w:t xml:space="preserve"> </w:t>
            </w:r>
            <w:r w:rsidRPr="0053423A">
              <w:rPr>
                <w:rFonts w:cs="GHEA Grapalat"/>
                <w:lang w:val="hy-AM"/>
              </w:rPr>
              <w:t>են</w:t>
            </w:r>
            <w:r w:rsidRPr="0053423A">
              <w:rPr>
                <w:rFonts w:cs="GHEA Grapalat"/>
                <w:lang w:val="af-ZA"/>
              </w:rPr>
              <w:t xml:space="preserve"> </w:t>
            </w:r>
            <w:r w:rsidRPr="0053423A">
              <w:rPr>
                <w:rFonts w:cs="GHEA Grapalat"/>
                <w:lang w:val="hy-AM"/>
              </w:rPr>
              <w:t>տարբեր</w:t>
            </w:r>
            <w:r w:rsidRPr="0053423A">
              <w:rPr>
                <w:rFonts w:cs="GHEA Grapalat"/>
                <w:lang w:val="af-ZA"/>
              </w:rPr>
              <w:t xml:space="preserve"> տարածաշրջանների </w:t>
            </w:r>
            <w:r w:rsidRPr="0053423A">
              <w:rPr>
                <w:rFonts w:cs="GHEA Grapalat"/>
                <w:lang w:val="hy-AM"/>
              </w:rPr>
              <w:t>կենսագործունեությամբ</w:t>
            </w:r>
            <w:r w:rsidRPr="0053423A">
              <w:rPr>
                <w:rFonts w:cs="GHEA Grapalat"/>
                <w:lang w:val="af-ZA"/>
              </w:rPr>
              <w:t xml:space="preserve"> </w:t>
            </w:r>
            <w:r w:rsidRPr="0053423A">
              <w:rPr>
                <w:rFonts w:cs="GHEA Grapalat"/>
                <w:lang w:val="hy-AM"/>
              </w:rPr>
              <w:t>ամբողջացած</w:t>
            </w:r>
            <w:r w:rsidRPr="0053423A">
              <w:rPr>
                <w:rFonts w:cs="GHEA Grapalat"/>
                <w:lang w:val="af-ZA"/>
              </w:rPr>
              <w:t xml:space="preserve"> 2 խումբ էֆեկտների ու որակական ցուցանիշների նվաճմանը.</w:t>
            </w:r>
          </w:p>
          <w:p w:rsidR="007847C1" w:rsidRPr="0053423A" w:rsidRDefault="007847C1" w:rsidP="001F6D5D">
            <w:pPr>
              <w:numPr>
                <w:ilvl w:val="0"/>
                <w:numId w:val="248"/>
              </w:numPr>
              <w:spacing w:line="276" w:lineRule="auto"/>
              <w:ind w:left="0" w:firstLine="360"/>
              <w:contextualSpacing/>
              <w:jc w:val="both"/>
              <w:rPr>
                <w:rFonts w:cs="GHEA Grapalat"/>
                <w:lang w:val="af-ZA"/>
              </w:rPr>
            </w:pPr>
            <w:r w:rsidRPr="0053423A">
              <w:rPr>
                <w:rFonts w:cs="GHEA Grapalat"/>
                <w:lang w:val="af-ZA"/>
              </w:rPr>
              <w:t>«ենթակառուցվածքների և միջավայրի», որոնք ՀՀ բնակչության տարբեր տարիքային և սոցիալտնտեսական կատեգորիաների համար ապահովում են առողջ կենսակերպի, նաև ֆիզիկական կուլտուրայի պարապմունքների հասանելիությունը,</w:t>
            </w:r>
          </w:p>
          <w:p w:rsidR="007847C1" w:rsidRPr="0053423A" w:rsidRDefault="007847C1" w:rsidP="001F6D5D">
            <w:pPr>
              <w:numPr>
                <w:ilvl w:val="0"/>
                <w:numId w:val="248"/>
              </w:numPr>
              <w:spacing w:line="276" w:lineRule="auto"/>
              <w:ind w:left="0" w:firstLine="360"/>
              <w:contextualSpacing/>
              <w:jc w:val="both"/>
              <w:rPr>
                <w:rFonts w:cs="GHEA Grapalat"/>
                <w:lang w:val="af-ZA"/>
              </w:rPr>
            </w:pPr>
            <w:r w:rsidRPr="0053423A">
              <w:rPr>
                <w:rFonts w:cs="GHEA Grapalat"/>
                <w:lang w:val="af-ZA"/>
              </w:rPr>
              <w:t>«</w:t>
            </w:r>
            <w:r w:rsidRPr="0053423A">
              <w:rPr>
                <w:rFonts w:cs="GHEA Grapalat"/>
              </w:rPr>
              <w:t>կրթական</w:t>
            </w:r>
            <w:r w:rsidRPr="0053423A">
              <w:rPr>
                <w:rFonts w:cs="GHEA Grapalat"/>
                <w:lang w:val="af-ZA"/>
              </w:rPr>
              <w:t xml:space="preserve"> </w:t>
            </w:r>
            <w:r w:rsidRPr="0053423A">
              <w:rPr>
                <w:rFonts w:cs="GHEA Grapalat"/>
              </w:rPr>
              <w:t>և</w:t>
            </w:r>
            <w:r w:rsidRPr="0053423A">
              <w:rPr>
                <w:rFonts w:cs="GHEA Grapalat"/>
                <w:lang w:val="af-ZA"/>
              </w:rPr>
              <w:t xml:space="preserve"> </w:t>
            </w:r>
            <w:r w:rsidRPr="0053423A">
              <w:rPr>
                <w:rFonts w:cs="GHEA Grapalat"/>
              </w:rPr>
              <w:t>սոցիալ</w:t>
            </w:r>
            <w:r w:rsidRPr="0053423A">
              <w:rPr>
                <w:rFonts w:cs="GHEA Grapalat"/>
                <w:lang w:val="af-ZA"/>
              </w:rPr>
              <w:t>-</w:t>
            </w:r>
            <w:r w:rsidRPr="0053423A">
              <w:rPr>
                <w:rFonts w:cs="GHEA Grapalat"/>
              </w:rPr>
              <w:t>մշակութային</w:t>
            </w:r>
            <w:r w:rsidRPr="0053423A">
              <w:rPr>
                <w:rFonts w:cs="GHEA Grapalat"/>
                <w:lang w:val="af-ZA"/>
              </w:rPr>
              <w:t xml:space="preserve">», որոնք դրսևորվում են </w:t>
            </w:r>
            <w:r w:rsidRPr="0053423A">
              <w:rPr>
                <w:rFonts w:cs="GHEA Grapalat"/>
              </w:rPr>
              <w:t>ՀՀ</w:t>
            </w:r>
            <w:r w:rsidRPr="0053423A">
              <w:rPr>
                <w:rFonts w:cs="GHEA Grapalat"/>
                <w:lang w:val="af-ZA"/>
              </w:rPr>
              <w:t xml:space="preserve"> </w:t>
            </w:r>
            <w:r w:rsidRPr="0053423A">
              <w:rPr>
                <w:rFonts w:cs="GHEA Grapalat"/>
              </w:rPr>
              <w:t>քաղաքացիների</w:t>
            </w:r>
            <w:r w:rsidRPr="0053423A">
              <w:rPr>
                <w:rFonts w:cs="GHEA Grapalat"/>
                <w:lang w:val="af-ZA"/>
              </w:rPr>
              <w:t xml:space="preserve"> </w:t>
            </w:r>
            <w:r w:rsidRPr="0053423A">
              <w:rPr>
                <w:rFonts w:cs="GHEA Grapalat"/>
              </w:rPr>
              <w:t>ֆիզիկական</w:t>
            </w:r>
            <w:r w:rsidRPr="0053423A">
              <w:rPr>
                <w:rFonts w:cs="GHEA Grapalat"/>
                <w:lang w:val="af-ZA"/>
              </w:rPr>
              <w:t xml:space="preserve"> </w:t>
            </w:r>
            <w:r w:rsidRPr="0053423A">
              <w:rPr>
                <w:rFonts w:cs="GHEA Grapalat"/>
              </w:rPr>
              <w:t>կուլտուրայի</w:t>
            </w:r>
            <w:r w:rsidRPr="0053423A">
              <w:rPr>
                <w:rFonts w:cs="GHEA Grapalat"/>
                <w:lang w:val="af-ZA"/>
              </w:rPr>
              <w:t xml:space="preserve"> </w:t>
            </w:r>
            <w:r w:rsidRPr="0053423A">
              <w:rPr>
                <w:rFonts w:cs="GHEA Grapalat"/>
              </w:rPr>
              <w:t>և</w:t>
            </w:r>
            <w:r w:rsidRPr="0053423A">
              <w:rPr>
                <w:rFonts w:cs="GHEA Grapalat"/>
                <w:lang w:val="af-ZA"/>
              </w:rPr>
              <w:t xml:space="preserve"> անհատի </w:t>
            </w:r>
            <w:r w:rsidRPr="0053423A">
              <w:rPr>
                <w:rFonts w:cs="GHEA Grapalat"/>
              </w:rPr>
              <w:t>շարժողական</w:t>
            </w:r>
            <w:r w:rsidRPr="0053423A">
              <w:rPr>
                <w:rFonts w:cs="GHEA Grapalat"/>
                <w:lang w:val="af-ZA"/>
              </w:rPr>
              <w:t xml:space="preserve"> </w:t>
            </w:r>
            <w:r w:rsidRPr="0053423A">
              <w:rPr>
                <w:rFonts w:cs="GHEA Grapalat"/>
              </w:rPr>
              <w:t>ակտիվության</w:t>
            </w:r>
            <w:r w:rsidRPr="0053423A">
              <w:rPr>
                <w:rFonts w:cs="GHEA Grapalat"/>
                <w:lang w:val="af-ZA"/>
              </w:rPr>
              <w:t xml:space="preserve"> </w:t>
            </w:r>
            <w:r w:rsidRPr="0053423A">
              <w:rPr>
                <w:rFonts w:cs="GHEA Grapalat"/>
              </w:rPr>
              <w:t>մակարդակի</w:t>
            </w:r>
            <w:r w:rsidRPr="0053423A">
              <w:rPr>
                <w:rFonts w:cs="GHEA Grapalat"/>
                <w:lang w:val="af-ZA"/>
              </w:rPr>
              <w:t xml:space="preserve"> </w:t>
            </w:r>
            <w:r w:rsidRPr="0053423A">
              <w:rPr>
                <w:rFonts w:cs="GHEA Grapalat"/>
              </w:rPr>
              <w:t>բարձրացման</w:t>
            </w:r>
            <w:r w:rsidRPr="0053423A">
              <w:rPr>
                <w:rFonts w:cs="GHEA Grapalat"/>
                <w:lang w:val="af-ZA"/>
              </w:rPr>
              <w:t xml:space="preserve"> </w:t>
            </w:r>
            <w:r w:rsidRPr="0053423A">
              <w:rPr>
                <w:rFonts w:cs="GHEA Grapalat"/>
              </w:rPr>
              <w:t>մեջ</w:t>
            </w:r>
            <w:r w:rsidRPr="0053423A">
              <w:rPr>
                <w:rFonts w:cs="GHEA Grapalat"/>
                <w:lang w:val="af-ZA"/>
              </w:rPr>
              <w:t>:</w:t>
            </w:r>
          </w:p>
          <w:p w:rsidR="007847C1" w:rsidRPr="0053423A" w:rsidRDefault="007847C1" w:rsidP="00A67858">
            <w:pPr>
              <w:spacing w:line="276" w:lineRule="auto"/>
              <w:ind w:firstLine="720"/>
              <w:jc w:val="both"/>
              <w:rPr>
                <w:rFonts w:cs="GHEA Grapalat"/>
                <w:b/>
                <w:lang w:val="af-ZA"/>
              </w:rPr>
            </w:pPr>
            <w:r w:rsidRPr="0053423A">
              <w:rPr>
                <w:rFonts w:cs="GHEA Grapalat"/>
                <w:b/>
                <w:lang w:val="af-ZA"/>
              </w:rPr>
              <w:t xml:space="preserve">2. </w:t>
            </w:r>
            <w:r w:rsidRPr="0053423A">
              <w:rPr>
                <w:rFonts w:cs="GHEA Grapalat"/>
                <w:b/>
              </w:rPr>
              <w:t>Միջոցառման</w:t>
            </w:r>
            <w:r w:rsidRPr="0053423A">
              <w:rPr>
                <w:rFonts w:cs="GHEA Grapalat"/>
                <w:b/>
                <w:lang w:val="af-ZA"/>
              </w:rPr>
              <w:t xml:space="preserve"> </w:t>
            </w:r>
            <w:r w:rsidRPr="0053423A">
              <w:rPr>
                <w:rFonts w:cs="GHEA Grapalat"/>
                <w:b/>
              </w:rPr>
              <w:t>իրականացումից</w:t>
            </w:r>
            <w:r w:rsidRPr="0053423A">
              <w:rPr>
                <w:rFonts w:cs="GHEA Grapalat"/>
                <w:b/>
                <w:lang w:val="af-ZA"/>
              </w:rPr>
              <w:t xml:space="preserve"> </w:t>
            </w:r>
            <w:r w:rsidRPr="0053423A">
              <w:rPr>
                <w:rFonts w:cs="GHEA Grapalat"/>
                <w:b/>
              </w:rPr>
              <w:t>ակնկալվող</w:t>
            </w:r>
            <w:r w:rsidRPr="0053423A">
              <w:rPr>
                <w:rFonts w:cs="GHEA Grapalat"/>
                <w:b/>
                <w:lang w:val="af-ZA"/>
              </w:rPr>
              <w:t xml:space="preserve"> </w:t>
            </w:r>
            <w:r w:rsidRPr="0053423A">
              <w:rPr>
                <w:rFonts w:cs="GHEA Grapalat"/>
                <w:b/>
              </w:rPr>
              <w:t>արդյունքը</w:t>
            </w:r>
            <w:r w:rsidRPr="0053423A">
              <w:rPr>
                <w:rFonts w:cs="GHEA Grapalat"/>
                <w:b/>
                <w:lang w:val="af-ZA"/>
              </w:rPr>
              <w:t xml:space="preserve">. </w:t>
            </w:r>
          </w:p>
          <w:p w:rsidR="007847C1" w:rsidRPr="0053423A" w:rsidRDefault="007847C1" w:rsidP="00A67858">
            <w:pPr>
              <w:tabs>
                <w:tab w:val="left" w:pos="3360"/>
              </w:tabs>
              <w:spacing w:line="276" w:lineRule="auto"/>
              <w:rPr>
                <w:rFonts w:cs="GHEA Grapalat"/>
                <w:lang w:val="fr-FR"/>
              </w:rPr>
            </w:pPr>
            <w:r w:rsidRPr="0053423A">
              <w:rPr>
                <w:rFonts w:cs="GHEA Grapalat"/>
              </w:rPr>
              <w:t>Մասսայական</w:t>
            </w:r>
            <w:r w:rsidRPr="0053423A">
              <w:rPr>
                <w:rFonts w:cs="GHEA Grapalat"/>
                <w:lang w:val="af-ZA"/>
              </w:rPr>
              <w:t xml:space="preserve"> </w:t>
            </w:r>
            <w:r w:rsidRPr="0053423A">
              <w:rPr>
                <w:rFonts w:cs="GHEA Grapalat"/>
              </w:rPr>
              <w:t>սպորտի</w:t>
            </w:r>
            <w:r w:rsidRPr="0053423A">
              <w:rPr>
                <w:rFonts w:cs="GHEA Grapalat"/>
                <w:lang w:val="af-ZA"/>
              </w:rPr>
              <w:t xml:space="preserve"> </w:t>
            </w:r>
            <w:r w:rsidRPr="0053423A">
              <w:rPr>
                <w:rFonts w:cs="GHEA Grapalat"/>
              </w:rPr>
              <w:t>և</w:t>
            </w:r>
            <w:r w:rsidRPr="0053423A">
              <w:rPr>
                <w:rFonts w:cs="GHEA Grapalat"/>
                <w:lang w:val="af-ZA"/>
              </w:rPr>
              <w:t xml:space="preserve"> </w:t>
            </w:r>
            <w:r w:rsidRPr="0053423A">
              <w:rPr>
                <w:rFonts w:cs="GHEA Grapalat"/>
              </w:rPr>
              <w:t>ֆիզի</w:t>
            </w:r>
            <w:r w:rsidRPr="0053423A">
              <w:rPr>
                <w:rFonts w:cs="GHEA Grapalat"/>
                <w:lang w:val="af-ZA"/>
              </w:rPr>
              <w:softHyphen/>
            </w:r>
            <w:r w:rsidRPr="0053423A">
              <w:rPr>
                <w:rFonts w:cs="GHEA Grapalat"/>
              </w:rPr>
              <w:t>կական</w:t>
            </w:r>
            <w:r w:rsidRPr="0053423A">
              <w:rPr>
                <w:rFonts w:cs="GHEA Grapalat"/>
                <w:lang w:val="af-ZA"/>
              </w:rPr>
              <w:t xml:space="preserve"> </w:t>
            </w:r>
            <w:r w:rsidRPr="0053423A">
              <w:rPr>
                <w:rFonts w:cs="GHEA Grapalat"/>
              </w:rPr>
              <w:t>դաս</w:t>
            </w:r>
            <w:r w:rsidRPr="0053423A">
              <w:rPr>
                <w:rFonts w:cs="GHEA Grapalat"/>
                <w:lang w:val="af-ZA"/>
              </w:rPr>
              <w:softHyphen/>
            </w:r>
            <w:r w:rsidRPr="0053423A">
              <w:rPr>
                <w:rFonts w:cs="GHEA Grapalat"/>
              </w:rPr>
              <w:t>տիարակու</w:t>
            </w:r>
            <w:r w:rsidRPr="0053423A">
              <w:rPr>
                <w:rFonts w:cs="GHEA Grapalat"/>
                <w:lang w:val="af-ZA"/>
              </w:rPr>
              <w:softHyphen/>
            </w:r>
            <w:r w:rsidRPr="0053423A">
              <w:rPr>
                <w:rFonts w:cs="GHEA Grapalat"/>
              </w:rPr>
              <w:t>թյան</w:t>
            </w:r>
            <w:r w:rsidRPr="0053423A">
              <w:rPr>
                <w:rFonts w:cs="GHEA Grapalat"/>
                <w:lang w:val="af-ZA"/>
              </w:rPr>
              <w:t xml:space="preserve"> </w:t>
            </w:r>
            <w:r w:rsidRPr="0053423A">
              <w:rPr>
                <w:rFonts w:cs="GHEA Grapalat"/>
              </w:rPr>
              <w:t>զարգացման</w:t>
            </w:r>
            <w:r w:rsidRPr="0053423A">
              <w:rPr>
                <w:rFonts w:cs="GHEA Grapalat"/>
                <w:lang w:val="af-ZA"/>
              </w:rPr>
              <w:t xml:space="preserve"> </w:t>
            </w:r>
            <w:r w:rsidRPr="0053423A">
              <w:rPr>
                <w:rFonts w:cs="GHEA Grapalat"/>
              </w:rPr>
              <w:t>առաջնային</w:t>
            </w:r>
            <w:r w:rsidRPr="0053423A">
              <w:rPr>
                <w:rFonts w:cs="GHEA Grapalat"/>
                <w:lang w:val="af-ZA"/>
              </w:rPr>
              <w:t xml:space="preserve"> </w:t>
            </w:r>
            <w:r w:rsidRPr="0053423A">
              <w:rPr>
                <w:rFonts w:cs="GHEA Grapalat"/>
              </w:rPr>
              <w:t>ուղղությունների</w:t>
            </w:r>
            <w:r w:rsidRPr="0053423A">
              <w:rPr>
                <w:rFonts w:cs="GHEA Grapalat"/>
                <w:lang w:val="af-ZA"/>
              </w:rPr>
              <w:t xml:space="preserve">, </w:t>
            </w:r>
            <w:r w:rsidRPr="0053423A">
              <w:rPr>
                <w:rFonts w:cs="GHEA Grapalat"/>
              </w:rPr>
              <w:t>ակտիվ</w:t>
            </w:r>
            <w:r w:rsidRPr="0053423A">
              <w:rPr>
                <w:rFonts w:cs="GHEA Grapalat"/>
                <w:lang w:val="af-ZA"/>
              </w:rPr>
              <w:t xml:space="preserve"> </w:t>
            </w:r>
            <w:r w:rsidRPr="0053423A">
              <w:rPr>
                <w:rFonts w:cs="GHEA Grapalat"/>
              </w:rPr>
              <w:t>կենսա</w:t>
            </w:r>
            <w:r w:rsidRPr="0053423A">
              <w:rPr>
                <w:rFonts w:cs="GHEA Grapalat"/>
                <w:lang w:val="af-ZA"/>
              </w:rPr>
              <w:softHyphen/>
            </w:r>
            <w:r w:rsidRPr="0053423A">
              <w:rPr>
                <w:rFonts w:cs="GHEA Grapalat"/>
              </w:rPr>
              <w:t>կերպի</w:t>
            </w:r>
            <w:r w:rsidRPr="0053423A">
              <w:rPr>
                <w:rFonts w:cs="GHEA Grapalat"/>
                <w:lang w:val="af-ZA"/>
              </w:rPr>
              <w:t xml:space="preserve"> </w:t>
            </w:r>
            <w:r w:rsidRPr="0053423A">
              <w:rPr>
                <w:rFonts w:cs="GHEA Grapalat"/>
              </w:rPr>
              <w:t>ապա</w:t>
            </w:r>
            <w:r w:rsidRPr="0053423A">
              <w:rPr>
                <w:rFonts w:cs="GHEA Grapalat"/>
                <w:lang w:val="af-ZA"/>
              </w:rPr>
              <w:softHyphen/>
            </w:r>
            <w:r w:rsidRPr="0053423A">
              <w:rPr>
                <w:rFonts w:cs="GHEA Grapalat"/>
              </w:rPr>
              <w:t>հով</w:t>
            </w:r>
            <w:r w:rsidRPr="0053423A">
              <w:rPr>
                <w:rFonts w:cs="GHEA Grapalat"/>
                <w:lang w:val="af-ZA"/>
              </w:rPr>
              <w:softHyphen/>
            </w:r>
            <w:r w:rsidRPr="0053423A">
              <w:rPr>
                <w:rFonts w:cs="GHEA Grapalat"/>
              </w:rPr>
              <w:t>ման</w:t>
            </w:r>
            <w:r w:rsidRPr="0053423A">
              <w:rPr>
                <w:rFonts w:cs="GHEA Grapalat"/>
                <w:lang w:val="af-ZA"/>
              </w:rPr>
              <w:t xml:space="preserve"> </w:t>
            </w:r>
            <w:r w:rsidRPr="0053423A">
              <w:rPr>
                <w:rFonts w:cs="GHEA Grapalat"/>
              </w:rPr>
              <w:t>ուղիների</w:t>
            </w:r>
            <w:r w:rsidRPr="0053423A">
              <w:rPr>
                <w:rFonts w:cs="GHEA Grapalat"/>
                <w:lang w:val="af-ZA"/>
              </w:rPr>
              <w:t xml:space="preserve"> </w:t>
            </w:r>
            <w:r w:rsidRPr="0053423A">
              <w:rPr>
                <w:rFonts w:cs="GHEA Grapalat"/>
              </w:rPr>
              <w:t>արդի</w:t>
            </w:r>
            <w:r w:rsidRPr="0053423A">
              <w:rPr>
                <w:rFonts w:cs="GHEA Grapalat"/>
                <w:lang w:val="af-ZA"/>
              </w:rPr>
              <w:t xml:space="preserve"> </w:t>
            </w:r>
            <w:r w:rsidRPr="0053423A">
              <w:rPr>
                <w:rFonts w:cs="GHEA Grapalat"/>
              </w:rPr>
              <w:t>տեսլական</w:t>
            </w:r>
            <w:r w:rsidRPr="0053423A">
              <w:rPr>
                <w:rFonts w:cs="GHEA Grapalat"/>
                <w:lang w:val="af-ZA"/>
              </w:rPr>
              <w:t>:</w:t>
            </w:r>
          </w:p>
        </w:tc>
      </w:tr>
      <w:tr w:rsidR="007847C1" w:rsidRPr="00DE2EFA" w:rsidTr="007847C1">
        <w:tc>
          <w:tcPr>
            <w:tcW w:w="450" w:type="dxa"/>
          </w:tcPr>
          <w:p w:rsidR="007847C1" w:rsidRPr="0053423A" w:rsidRDefault="007847C1" w:rsidP="00A67858">
            <w:pPr>
              <w:tabs>
                <w:tab w:val="left" w:pos="3360"/>
              </w:tabs>
              <w:spacing w:line="276" w:lineRule="auto"/>
              <w:jc w:val="center"/>
              <w:rPr>
                <w:rFonts w:cs="GHEA Grapalat"/>
                <w:lang w:val="fr-FR"/>
              </w:rPr>
            </w:pPr>
            <w:r w:rsidRPr="0053423A">
              <w:rPr>
                <w:rFonts w:cs="GHEA Grapalat"/>
                <w:lang w:val="fr-FR"/>
              </w:rPr>
              <w:t>3</w:t>
            </w:r>
          </w:p>
        </w:tc>
        <w:tc>
          <w:tcPr>
            <w:tcW w:w="10890" w:type="dxa"/>
          </w:tcPr>
          <w:p w:rsidR="007847C1" w:rsidRPr="0053423A" w:rsidRDefault="007847C1" w:rsidP="00A67858">
            <w:pPr>
              <w:spacing w:line="276" w:lineRule="auto"/>
              <w:ind w:left="720"/>
              <w:jc w:val="center"/>
              <w:rPr>
                <w:rFonts w:cs="GHEA Grapalat"/>
                <w:b/>
                <w:lang w:val="af-ZA"/>
              </w:rPr>
            </w:pPr>
            <w:r w:rsidRPr="0053423A">
              <w:rPr>
                <w:rFonts w:cs="GHEA Grapalat"/>
                <w:b/>
                <w:lang w:val="af-ZA"/>
              </w:rPr>
              <w:t>3.1</w:t>
            </w:r>
            <w:r w:rsidRPr="0053423A">
              <w:rPr>
                <w:rFonts w:ascii="Calibri" w:hAnsi="Calibri" w:cs="Calibri"/>
                <w:b/>
                <w:lang w:val="af-ZA"/>
              </w:rPr>
              <w:t> </w:t>
            </w:r>
            <w:r w:rsidRPr="0053423A">
              <w:rPr>
                <w:rFonts w:cs="GHEA Grapalat"/>
                <w:b/>
                <w:lang w:val="af-ZA"/>
              </w:rPr>
              <w:t xml:space="preserve">  «</w:t>
            </w:r>
            <w:r w:rsidRPr="0053423A">
              <w:rPr>
                <w:rFonts w:cs="GHEA Grapalat"/>
                <w:b/>
              </w:rPr>
              <w:t>ՄԱՆԿԱՊԱՏԱՆԵԿԱՆ</w:t>
            </w:r>
            <w:r w:rsidRPr="0053423A">
              <w:rPr>
                <w:rFonts w:cs="GHEA Grapalat"/>
                <w:b/>
                <w:lang w:val="af-ZA"/>
              </w:rPr>
              <w:t xml:space="preserve"> </w:t>
            </w:r>
            <w:r w:rsidRPr="0053423A">
              <w:rPr>
                <w:rFonts w:cs="GHEA Grapalat"/>
                <w:b/>
              </w:rPr>
              <w:t>ՍՊՈՐՏԻ</w:t>
            </w:r>
            <w:r w:rsidRPr="0053423A">
              <w:rPr>
                <w:rFonts w:cs="GHEA Grapalat"/>
                <w:b/>
                <w:lang w:val="af-ZA"/>
              </w:rPr>
              <w:t xml:space="preserve"> </w:t>
            </w:r>
            <w:r w:rsidRPr="0053423A">
              <w:rPr>
                <w:rFonts w:cs="GHEA Grapalat"/>
                <w:b/>
              </w:rPr>
              <w:t>ԶԱՐԳԱՑՄԱՆ</w:t>
            </w:r>
            <w:r w:rsidRPr="0053423A">
              <w:rPr>
                <w:rFonts w:cs="GHEA Grapalat"/>
                <w:b/>
                <w:lang w:val="af-ZA"/>
              </w:rPr>
              <w:t xml:space="preserve"> </w:t>
            </w:r>
            <w:r w:rsidRPr="0053423A">
              <w:rPr>
                <w:rFonts w:cs="GHEA Grapalat"/>
                <w:b/>
              </w:rPr>
              <w:t>ՀԱՅԵՑԱ</w:t>
            </w:r>
            <w:r w:rsidRPr="0053423A">
              <w:rPr>
                <w:rFonts w:cs="GHEA Grapalat"/>
                <w:b/>
                <w:lang w:val="af-ZA"/>
              </w:rPr>
              <w:softHyphen/>
            </w:r>
            <w:r w:rsidRPr="0053423A">
              <w:rPr>
                <w:rFonts w:cs="GHEA Grapalat"/>
                <w:b/>
              </w:rPr>
              <w:t>ԿԱՐԳԸ</w:t>
            </w:r>
            <w:r w:rsidRPr="0053423A">
              <w:rPr>
                <w:rFonts w:cs="GHEA Grapalat"/>
                <w:b/>
                <w:lang w:val="af-ZA"/>
              </w:rPr>
              <w:t xml:space="preserve"> </w:t>
            </w:r>
            <w:r w:rsidRPr="0053423A">
              <w:rPr>
                <w:rFonts w:cs="GHEA Grapalat"/>
                <w:b/>
              </w:rPr>
              <w:t>ՀԱՍՏԱՏԵԼՈՒ</w:t>
            </w:r>
            <w:r w:rsidRPr="0053423A">
              <w:rPr>
                <w:rFonts w:cs="GHEA Grapalat"/>
                <w:b/>
                <w:lang w:val="af-ZA"/>
              </w:rPr>
              <w:t xml:space="preserve"> </w:t>
            </w:r>
            <w:r w:rsidRPr="0053423A">
              <w:rPr>
                <w:rFonts w:cs="GHEA Grapalat"/>
                <w:b/>
              </w:rPr>
              <w:t>ՄԱՍԻՆ</w:t>
            </w:r>
            <w:r w:rsidRPr="0053423A">
              <w:rPr>
                <w:rFonts w:cs="GHEA Grapalat"/>
                <w:b/>
                <w:lang w:val="af-ZA"/>
              </w:rPr>
              <w:t xml:space="preserve">» </w:t>
            </w:r>
            <w:r w:rsidRPr="0053423A">
              <w:rPr>
                <w:rFonts w:cs="GHEA Grapalat"/>
                <w:b/>
              </w:rPr>
              <w:t>ՀԱՅԱՍՏԱՆԻ</w:t>
            </w:r>
            <w:r w:rsidRPr="0053423A">
              <w:rPr>
                <w:rFonts w:cs="GHEA Grapalat"/>
                <w:b/>
                <w:lang w:val="af-ZA"/>
              </w:rPr>
              <w:t xml:space="preserve"> </w:t>
            </w:r>
            <w:r w:rsidRPr="0053423A">
              <w:rPr>
                <w:rFonts w:cs="GHEA Grapalat"/>
                <w:b/>
              </w:rPr>
              <w:t>ՀԱՆՐԱՊԵՏՈՒԹՅԱՆ</w:t>
            </w:r>
            <w:r w:rsidRPr="0053423A">
              <w:rPr>
                <w:rFonts w:cs="GHEA Grapalat"/>
                <w:b/>
                <w:lang w:val="af-ZA"/>
              </w:rPr>
              <w:t xml:space="preserve"> </w:t>
            </w:r>
            <w:r w:rsidRPr="0053423A">
              <w:rPr>
                <w:rFonts w:cs="GHEA Grapalat"/>
                <w:b/>
              </w:rPr>
              <w:t>ԿԱՌԱՎԱՐՈՒԹՅԱՆ</w:t>
            </w:r>
            <w:r w:rsidRPr="0053423A">
              <w:rPr>
                <w:rFonts w:cs="GHEA Grapalat"/>
                <w:b/>
                <w:lang w:val="af-ZA"/>
              </w:rPr>
              <w:t xml:space="preserve"> </w:t>
            </w:r>
            <w:r w:rsidRPr="0053423A">
              <w:rPr>
                <w:rFonts w:cs="GHEA Grapalat"/>
                <w:b/>
              </w:rPr>
              <w:t>ՈՐՈՇՄԱՆ</w:t>
            </w:r>
            <w:r w:rsidRPr="0053423A">
              <w:rPr>
                <w:rFonts w:cs="GHEA Grapalat"/>
                <w:b/>
                <w:lang w:val="af-ZA"/>
              </w:rPr>
              <w:t xml:space="preserve"> </w:t>
            </w:r>
            <w:r w:rsidRPr="0053423A">
              <w:rPr>
                <w:rFonts w:cs="GHEA Grapalat"/>
                <w:b/>
              </w:rPr>
              <w:t>ՆԱԽԱԳԾԻ</w:t>
            </w:r>
            <w:r w:rsidRPr="0053423A">
              <w:rPr>
                <w:rFonts w:cs="GHEA Grapalat"/>
                <w:b/>
                <w:lang w:val="af-ZA"/>
              </w:rPr>
              <w:t xml:space="preserve"> </w:t>
            </w:r>
            <w:r w:rsidRPr="0053423A">
              <w:rPr>
                <w:rFonts w:cs="GHEA Grapalat"/>
                <w:b/>
              </w:rPr>
              <w:t>ՆԵՐԿԱՅԱՑՈՒՄ</w:t>
            </w:r>
            <w:r w:rsidRPr="0053423A">
              <w:rPr>
                <w:rFonts w:cs="GHEA Grapalat"/>
                <w:b/>
                <w:lang w:val="af-ZA"/>
              </w:rPr>
              <w:t xml:space="preserve"> </w:t>
            </w:r>
            <w:r w:rsidRPr="0053423A">
              <w:rPr>
                <w:rFonts w:cs="GHEA Grapalat"/>
                <w:b/>
              </w:rPr>
              <w:t>ՀՀ</w:t>
            </w:r>
            <w:r w:rsidRPr="0053423A">
              <w:rPr>
                <w:rFonts w:cs="GHEA Grapalat"/>
                <w:b/>
                <w:lang w:val="af-ZA"/>
              </w:rPr>
              <w:t xml:space="preserve"> </w:t>
            </w:r>
            <w:r w:rsidRPr="0053423A">
              <w:rPr>
                <w:rFonts w:cs="GHEA Grapalat"/>
                <w:b/>
              </w:rPr>
              <w:t>ՎԱՐՉԱՊԵՏԻ</w:t>
            </w:r>
            <w:r w:rsidRPr="0053423A">
              <w:rPr>
                <w:rFonts w:cs="GHEA Grapalat"/>
                <w:b/>
                <w:lang w:val="af-ZA"/>
              </w:rPr>
              <w:t xml:space="preserve"> </w:t>
            </w:r>
            <w:r w:rsidRPr="0053423A">
              <w:rPr>
                <w:rFonts w:cs="GHEA Grapalat"/>
                <w:b/>
              </w:rPr>
              <w:t>ԱՇԽԱՏԱԿԱԶՄ</w:t>
            </w:r>
          </w:p>
          <w:p w:rsidR="007847C1" w:rsidRPr="0053423A" w:rsidRDefault="007847C1" w:rsidP="00A67858">
            <w:pPr>
              <w:spacing w:line="276" w:lineRule="auto"/>
              <w:ind w:left="720"/>
              <w:jc w:val="center"/>
              <w:rPr>
                <w:rFonts w:cs="GHEA Grapalat"/>
                <w:b/>
                <w:lang w:val="af-ZA"/>
              </w:rPr>
            </w:pPr>
          </w:p>
          <w:p w:rsidR="007847C1" w:rsidRPr="0053423A" w:rsidRDefault="007847C1" w:rsidP="00A67858">
            <w:pPr>
              <w:tabs>
                <w:tab w:val="left" w:pos="0"/>
                <w:tab w:val="left" w:pos="1080"/>
              </w:tabs>
              <w:spacing w:line="276" w:lineRule="auto"/>
              <w:ind w:right="-455"/>
              <w:jc w:val="both"/>
              <w:rPr>
                <w:rFonts w:cs="Sylfaen"/>
                <w:b/>
                <w:lang w:val="af-ZA"/>
              </w:rPr>
            </w:pPr>
            <w:r w:rsidRPr="0053423A">
              <w:rPr>
                <w:rFonts w:cs="Sylfaen"/>
                <w:lang w:val="af-ZA" w:eastAsia="ru-RU"/>
              </w:rPr>
              <w:t xml:space="preserve">            </w:t>
            </w:r>
            <w:r w:rsidRPr="0053423A">
              <w:rPr>
                <w:rFonts w:cs="Sylfaen"/>
                <w:lang w:val="hy-AM" w:eastAsia="ru-RU"/>
              </w:rPr>
              <w:t xml:space="preserve">1. </w:t>
            </w:r>
            <w:r w:rsidRPr="0053423A">
              <w:rPr>
                <w:rFonts w:cs="Sylfaen"/>
                <w:b/>
                <w:lang w:val="hy-AM" w:eastAsia="ru-RU"/>
              </w:rPr>
              <w:t>Միջոցառ</w:t>
            </w:r>
            <w:r w:rsidRPr="0053423A">
              <w:rPr>
                <w:rFonts w:cs="Sylfaen"/>
                <w:b/>
                <w:lang w:eastAsia="ru-RU"/>
              </w:rPr>
              <w:t>ման</w:t>
            </w:r>
            <w:r w:rsidRPr="0053423A">
              <w:rPr>
                <w:rFonts w:cs="Sylfaen"/>
                <w:b/>
                <w:lang w:val="hy-AM" w:eastAsia="ru-RU"/>
              </w:rPr>
              <w:t xml:space="preserve"> իրականացման անհրաժեշտությունը և նպատակը</w:t>
            </w:r>
          </w:p>
          <w:p w:rsidR="007847C1" w:rsidRPr="0053423A" w:rsidRDefault="007847C1" w:rsidP="00A67858">
            <w:pPr>
              <w:spacing w:line="276" w:lineRule="auto"/>
              <w:ind w:left="90" w:firstLine="630"/>
              <w:jc w:val="both"/>
              <w:rPr>
                <w:rFonts w:cs="Sylfaen"/>
                <w:bCs/>
                <w:lang w:val="af-ZA" w:eastAsia="ru-RU"/>
              </w:rPr>
            </w:pPr>
            <w:r w:rsidRPr="0053423A">
              <w:rPr>
                <w:bCs/>
                <w:lang w:val="it-IT" w:eastAsia="ru-RU"/>
              </w:rPr>
              <w:t xml:space="preserve">   </w:t>
            </w:r>
            <w:r w:rsidRPr="0053423A">
              <w:rPr>
                <w:rFonts w:cs="Sylfaen"/>
                <w:lang w:val="hy-AM" w:eastAsia="ru-RU"/>
              </w:rPr>
              <w:t xml:space="preserve">Մանկապատանեկան սպորտի զարգացման հայեցակարգը </w:t>
            </w:r>
            <w:r w:rsidRPr="0053423A">
              <w:rPr>
                <w:rFonts w:cs="Sylfaen"/>
                <w:bCs/>
                <w:lang w:val="hy-AM" w:eastAsia="ru-RU"/>
              </w:rPr>
              <w:t>պետական</w:t>
            </w:r>
            <w:r w:rsidRPr="0053423A">
              <w:rPr>
                <w:rFonts w:cs="Sylfaen"/>
                <w:bCs/>
                <w:lang w:val="fr-FR" w:eastAsia="ru-RU"/>
              </w:rPr>
              <w:t xml:space="preserve"> </w:t>
            </w:r>
            <w:r w:rsidRPr="0053423A">
              <w:rPr>
                <w:rFonts w:cs="Sylfaen"/>
                <w:bCs/>
                <w:lang w:val="hy-AM" w:eastAsia="ru-RU"/>
              </w:rPr>
              <w:t>և</w:t>
            </w:r>
            <w:r w:rsidRPr="0053423A">
              <w:rPr>
                <w:rFonts w:cs="Sylfaen"/>
                <w:bCs/>
                <w:lang w:val="fr-FR" w:eastAsia="ru-RU"/>
              </w:rPr>
              <w:t xml:space="preserve"> </w:t>
            </w:r>
            <w:r w:rsidRPr="0053423A">
              <w:rPr>
                <w:rFonts w:cs="Sylfaen"/>
                <w:bCs/>
                <w:lang w:val="hy-AM" w:eastAsia="ru-RU"/>
              </w:rPr>
              <w:t>տեղական</w:t>
            </w:r>
            <w:r w:rsidRPr="0053423A">
              <w:rPr>
                <w:rFonts w:cs="Sylfaen"/>
                <w:bCs/>
                <w:lang w:val="fr-FR" w:eastAsia="ru-RU"/>
              </w:rPr>
              <w:t xml:space="preserve"> </w:t>
            </w:r>
            <w:r w:rsidRPr="0053423A">
              <w:rPr>
                <w:rFonts w:cs="Sylfaen"/>
                <w:bCs/>
                <w:lang w:val="hy-AM" w:eastAsia="ru-RU"/>
              </w:rPr>
              <w:t>ինքնակառավարման</w:t>
            </w:r>
            <w:r w:rsidRPr="0053423A">
              <w:rPr>
                <w:rFonts w:cs="Sylfaen"/>
                <w:bCs/>
                <w:lang w:val="fr-FR" w:eastAsia="ru-RU"/>
              </w:rPr>
              <w:t xml:space="preserve"> </w:t>
            </w:r>
            <w:r w:rsidRPr="0053423A">
              <w:rPr>
                <w:rFonts w:cs="Sylfaen"/>
                <w:bCs/>
                <w:lang w:val="hy-AM" w:eastAsia="ru-RU"/>
              </w:rPr>
              <w:t>մարմինների</w:t>
            </w:r>
            <w:r w:rsidRPr="0053423A">
              <w:rPr>
                <w:rFonts w:cs="Sylfaen"/>
                <w:bCs/>
                <w:lang w:val="fr-FR" w:eastAsia="ru-RU"/>
              </w:rPr>
              <w:t xml:space="preserve"> </w:t>
            </w:r>
            <w:r w:rsidRPr="0053423A">
              <w:rPr>
                <w:rFonts w:cs="Sylfaen"/>
                <w:bCs/>
                <w:lang w:val="hy-AM" w:eastAsia="ru-RU"/>
              </w:rPr>
              <w:t>համար</w:t>
            </w:r>
            <w:r w:rsidRPr="0053423A">
              <w:rPr>
                <w:bCs/>
                <w:lang w:val="fr-FR" w:eastAsia="ru-RU"/>
              </w:rPr>
              <w:t xml:space="preserve"> </w:t>
            </w:r>
            <w:r w:rsidRPr="0053423A">
              <w:rPr>
                <w:rFonts w:cs="Sylfaen"/>
                <w:bCs/>
                <w:lang w:val="hy-AM" w:eastAsia="ru-RU"/>
              </w:rPr>
              <w:t>կծառայի</w:t>
            </w:r>
            <w:r w:rsidRPr="0053423A">
              <w:rPr>
                <w:bCs/>
                <w:lang w:val="fr-FR" w:eastAsia="ru-RU"/>
              </w:rPr>
              <w:t xml:space="preserve"> </w:t>
            </w:r>
            <w:r w:rsidRPr="0053423A">
              <w:rPr>
                <w:rFonts w:cs="Sylfaen"/>
                <w:bCs/>
                <w:lang w:val="hy-AM" w:eastAsia="ru-RU"/>
              </w:rPr>
              <w:t>որպես</w:t>
            </w:r>
            <w:r w:rsidRPr="0053423A">
              <w:rPr>
                <w:rFonts w:cs="Sylfaen"/>
                <w:bCs/>
                <w:lang w:val="fr-FR" w:eastAsia="ru-RU"/>
              </w:rPr>
              <w:t xml:space="preserve"> </w:t>
            </w:r>
            <w:r w:rsidRPr="0053423A">
              <w:rPr>
                <w:rFonts w:cs="Sylfaen"/>
                <w:bCs/>
                <w:lang w:val="hy-AM" w:eastAsia="ru-RU"/>
              </w:rPr>
              <w:t>ուղղորդիչ</w:t>
            </w:r>
            <w:r w:rsidRPr="0053423A">
              <w:rPr>
                <w:rFonts w:cs="Sylfaen"/>
                <w:bCs/>
                <w:lang w:val="fr-FR" w:eastAsia="ru-RU"/>
              </w:rPr>
              <w:t xml:space="preserve"> </w:t>
            </w:r>
            <w:r w:rsidRPr="0053423A">
              <w:rPr>
                <w:rFonts w:cs="Sylfaen"/>
                <w:bCs/>
                <w:lang w:val="hy-AM" w:eastAsia="ru-RU"/>
              </w:rPr>
              <w:t>միջոց՝</w:t>
            </w:r>
            <w:r w:rsidRPr="0053423A">
              <w:rPr>
                <w:rFonts w:cs="Sylfaen"/>
                <w:bCs/>
                <w:lang w:val="fr-FR" w:eastAsia="ru-RU"/>
              </w:rPr>
              <w:t xml:space="preserve"> </w:t>
            </w:r>
            <w:r w:rsidRPr="0053423A">
              <w:rPr>
                <w:rFonts w:cs="Sylfaen"/>
                <w:bCs/>
                <w:lang w:val="hy-AM" w:eastAsia="ru-RU"/>
              </w:rPr>
              <w:t>մանուկների</w:t>
            </w:r>
            <w:r w:rsidRPr="0053423A">
              <w:rPr>
                <w:rFonts w:cs="Sylfaen"/>
                <w:bCs/>
                <w:lang w:val="fr-FR" w:eastAsia="ru-RU"/>
              </w:rPr>
              <w:t xml:space="preserve"> </w:t>
            </w:r>
            <w:r w:rsidRPr="0053423A">
              <w:rPr>
                <w:rFonts w:cs="Sylfaen"/>
                <w:bCs/>
                <w:lang w:val="hy-AM" w:eastAsia="ru-RU"/>
              </w:rPr>
              <w:t>և</w:t>
            </w:r>
            <w:r w:rsidRPr="0053423A">
              <w:rPr>
                <w:rFonts w:cs="Sylfaen"/>
                <w:bCs/>
                <w:lang w:val="fr-FR" w:eastAsia="ru-RU"/>
              </w:rPr>
              <w:t xml:space="preserve"> </w:t>
            </w:r>
            <w:r w:rsidRPr="0053423A">
              <w:rPr>
                <w:rFonts w:cs="Sylfaen"/>
                <w:bCs/>
                <w:lang w:val="hy-AM" w:eastAsia="ru-RU"/>
              </w:rPr>
              <w:t>պատանիների</w:t>
            </w:r>
            <w:r w:rsidRPr="0053423A">
              <w:rPr>
                <w:bCs/>
                <w:lang w:val="fr-FR" w:eastAsia="ru-RU"/>
              </w:rPr>
              <w:t xml:space="preserve"> </w:t>
            </w:r>
            <w:r w:rsidRPr="0053423A">
              <w:rPr>
                <w:rFonts w:cs="Sylfaen"/>
                <w:bCs/>
                <w:lang w:val="hy-AM" w:eastAsia="ru-RU"/>
              </w:rPr>
              <w:t>ֆիզիկական</w:t>
            </w:r>
            <w:r w:rsidRPr="0053423A">
              <w:rPr>
                <w:rFonts w:cs="Sylfaen"/>
                <w:bCs/>
                <w:lang w:val="fr-FR" w:eastAsia="ru-RU"/>
              </w:rPr>
              <w:t xml:space="preserve"> </w:t>
            </w:r>
            <w:r w:rsidRPr="0053423A">
              <w:rPr>
                <w:rFonts w:cs="Sylfaen"/>
                <w:bCs/>
                <w:lang w:val="hy-AM" w:eastAsia="ru-RU"/>
              </w:rPr>
              <w:t>դաստիարակությանը</w:t>
            </w:r>
            <w:r w:rsidRPr="0053423A">
              <w:rPr>
                <w:rFonts w:cs="Sylfaen"/>
                <w:bCs/>
                <w:lang w:val="fr-FR" w:eastAsia="ru-RU"/>
              </w:rPr>
              <w:t xml:space="preserve">, </w:t>
            </w:r>
            <w:r w:rsidRPr="0053423A">
              <w:rPr>
                <w:rFonts w:cs="Sylfaen"/>
                <w:bCs/>
                <w:lang w:val="hy-AM" w:eastAsia="ru-RU"/>
              </w:rPr>
              <w:t>մանկապատանեկան</w:t>
            </w:r>
            <w:r w:rsidRPr="0053423A">
              <w:rPr>
                <w:rFonts w:cs="Sylfaen"/>
                <w:bCs/>
                <w:lang w:val="fr-FR" w:eastAsia="ru-RU"/>
              </w:rPr>
              <w:t xml:space="preserve"> </w:t>
            </w:r>
            <w:r w:rsidRPr="0053423A">
              <w:rPr>
                <w:rFonts w:cs="Sylfaen"/>
                <w:bCs/>
                <w:lang w:val="hy-AM" w:eastAsia="ru-RU"/>
              </w:rPr>
              <w:t>սպորտի</w:t>
            </w:r>
            <w:r w:rsidRPr="0053423A">
              <w:rPr>
                <w:rFonts w:cs="Sylfaen"/>
                <w:bCs/>
                <w:lang w:val="fr-FR" w:eastAsia="ru-RU"/>
              </w:rPr>
              <w:t xml:space="preserve"> </w:t>
            </w:r>
            <w:r w:rsidRPr="0053423A">
              <w:rPr>
                <w:rFonts w:cs="Sylfaen"/>
                <w:bCs/>
                <w:lang w:val="hy-AM" w:eastAsia="ru-RU"/>
              </w:rPr>
              <w:t>զարգացմանը</w:t>
            </w:r>
            <w:r w:rsidRPr="0053423A">
              <w:rPr>
                <w:bCs/>
                <w:lang w:val="fr-FR" w:eastAsia="ru-RU"/>
              </w:rPr>
              <w:t xml:space="preserve"> </w:t>
            </w:r>
            <w:r w:rsidRPr="0053423A">
              <w:rPr>
                <w:rFonts w:cs="Sylfaen"/>
                <w:bCs/>
                <w:lang w:val="hy-AM" w:eastAsia="ru-RU"/>
              </w:rPr>
              <w:t>վերաբերող</w:t>
            </w:r>
            <w:r w:rsidRPr="0053423A">
              <w:rPr>
                <w:bCs/>
                <w:lang w:val="fr-FR" w:eastAsia="ru-RU"/>
              </w:rPr>
              <w:t xml:space="preserve"> </w:t>
            </w:r>
            <w:r w:rsidRPr="0053423A">
              <w:rPr>
                <w:bCs/>
                <w:lang w:val="hy-AM" w:eastAsia="ru-RU"/>
              </w:rPr>
              <w:t>խնդիրների</w:t>
            </w:r>
            <w:r w:rsidRPr="0053423A">
              <w:rPr>
                <w:bCs/>
                <w:lang w:val="fr-FR" w:eastAsia="ru-RU"/>
              </w:rPr>
              <w:t xml:space="preserve"> </w:t>
            </w:r>
            <w:r w:rsidRPr="0053423A">
              <w:rPr>
                <w:bCs/>
                <w:lang w:val="hy-AM" w:eastAsia="ru-RU"/>
              </w:rPr>
              <w:t>և</w:t>
            </w:r>
            <w:r w:rsidRPr="0053423A">
              <w:rPr>
                <w:bCs/>
                <w:lang w:val="fr-FR" w:eastAsia="ru-RU"/>
              </w:rPr>
              <w:t xml:space="preserve"> </w:t>
            </w:r>
            <w:r w:rsidRPr="0053423A">
              <w:rPr>
                <w:rFonts w:cs="Sylfaen"/>
                <w:bCs/>
                <w:lang w:val="hy-AM" w:eastAsia="ru-RU"/>
              </w:rPr>
              <w:t>հարցերի</w:t>
            </w:r>
            <w:r w:rsidRPr="0053423A">
              <w:rPr>
                <w:bCs/>
                <w:lang w:val="fr-FR" w:eastAsia="ru-RU"/>
              </w:rPr>
              <w:t xml:space="preserve"> </w:t>
            </w:r>
            <w:r w:rsidRPr="0053423A">
              <w:rPr>
                <w:rFonts w:cs="Sylfaen"/>
                <w:bCs/>
                <w:lang w:val="hy-AM" w:eastAsia="ru-RU"/>
              </w:rPr>
              <w:t>լուծման</w:t>
            </w:r>
            <w:r w:rsidRPr="0053423A">
              <w:rPr>
                <w:rFonts w:cs="Sylfaen"/>
                <w:bCs/>
                <w:lang w:val="fr-FR" w:eastAsia="ru-RU"/>
              </w:rPr>
              <w:t xml:space="preserve"> </w:t>
            </w:r>
            <w:r w:rsidRPr="0053423A">
              <w:rPr>
                <w:rFonts w:cs="Sylfaen"/>
                <w:bCs/>
                <w:lang w:val="hy-AM" w:eastAsia="ru-RU"/>
              </w:rPr>
              <w:t>համար</w:t>
            </w:r>
            <w:r w:rsidRPr="0053423A">
              <w:rPr>
                <w:rFonts w:cs="Sylfaen"/>
                <w:bCs/>
                <w:lang w:val="fr-FR" w:eastAsia="ru-RU"/>
              </w:rPr>
              <w:t xml:space="preserve">: Միջոցառման նպատակն է </w:t>
            </w:r>
            <w:r w:rsidRPr="0053423A">
              <w:rPr>
                <w:lang w:eastAsia="ru-RU"/>
              </w:rPr>
              <w:t>մ</w:t>
            </w:r>
            <w:r w:rsidRPr="0053423A">
              <w:rPr>
                <w:lang w:val="ru-RU" w:eastAsia="ru-RU"/>
              </w:rPr>
              <w:t>անկապատանեկան</w:t>
            </w:r>
            <w:r w:rsidRPr="0053423A">
              <w:rPr>
                <w:lang w:val="af-ZA" w:eastAsia="ru-RU"/>
              </w:rPr>
              <w:t xml:space="preserve"> </w:t>
            </w:r>
            <w:r w:rsidRPr="0053423A">
              <w:rPr>
                <w:lang w:val="ru-RU" w:eastAsia="ru-RU"/>
              </w:rPr>
              <w:t>սպորտի</w:t>
            </w:r>
            <w:r w:rsidRPr="0053423A">
              <w:rPr>
                <w:lang w:val="af-ZA" w:eastAsia="ru-RU"/>
              </w:rPr>
              <w:t xml:space="preserve"> </w:t>
            </w:r>
            <w:r w:rsidRPr="0053423A">
              <w:rPr>
                <w:lang w:val="ru-RU" w:eastAsia="ru-RU"/>
              </w:rPr>
              <w:t>զարգացում</w:t>
            </w:r>
            <w:r w:rsidRPr="0053423A">
              <w:rPr>
                <w:lang w:eastAsia="ru-RU"/>
              </w:rPr>
              <w:t>ը</w:t>
            </w:r>
            <w:r w:rsidRPr="0053423A">
              <w:rPr>
                <w:lang w:val="af-ZA" w:eastAsia="ru-RU"/>
              </w:rPr>
              <w:t>:</w:t>
            </w:r>
          </w:p>
          <w:p w:rsidR="007847C1" w:rsidRPr="0053423A" w:rsidRDefault="007847C1" w:rsidP="00A67858">
            <w:pPr>
              <w:spacing w:line="276" w:lineRule="auto"/>
              <w:ind w:left="720" w:firstLine="720"/>
              <w:jc w:val="both"/>
              <w:rPr>
                <w:rFonts w:cs="Sylfaen"/>
                <w:bCs/>
                <w:lang w:val="fr-FR" w:eastAsia="ru-RU"/>
              </w:rPr>
            </w:pPr>
          </w:p>
          <w:p w:rsidR="007847C1" w:rsidRPr="0053423A" w:rsidRDefault="007847C1" w:rsidP="00A67858">
            <w:pPr>
              <w:tabs>
                <w:tab w:val="left" w:pos="0"/>
                <w:tab w:val="left" w:pos="630"/>
              </w:tabs>
              <w:spacing w:line="276" w:lineRule="auto"/>
              <w:ind w:right="-455" w:firstLine="720"/>
              <w:jc w:val="both"/>
              <w:rPr>
                <w:rFonts w:cs="Sylfaen"/>
                <w:b/>
                <w:lang w:val="hy-AM"/>
              </w:rPr>
            </w:pPr>
            <w:r w:rsidRPr="0053423A">
              <w:rPr>
                <w:rFonts w:cs="Sylfaen"/>
                <w:lang w:val="hy-AM"/>
              </w:rPr>
              <w:t xml:space="preserve">    1.1</w:t>
            </w:r>
            <w:r w:rsidRPr="0053423A">
              <w:rPr>
                <w:rFonts w:cs="Sylfaen"/>
                <w:lang w:val="it-IT"/>
              </w:rPr>
              <w:t xml:space="preserve"> </w:t>
            </w:r>
            <w:r w:rsidRPr="0053423A">
              <w:rPr>
                <w:rFonts w:cs="Sylfaen"/>
                <w:b/>
                <w:lang w:val="hy-AM"/>
              </w:rPr>
              <w:t>Կարգավորման հարաբերությունների ներկա վիճակը և առկա խնդիրները</w:t>
            </w:r>
          </w:p>
          <w:p w:rsidR="007847C1" w:rsidRPr="0053423A" w:rsidRDefault="007847C1" w:rsidP="00A67858">
            <w:pPr>
              <w:tabs>
                <w:tab w:val="left" w:pos="90"/>
              </w:tabs>
              <w:spacing w:line="276" w:lineRule="auto"/>
              <w:ind w:firstLine="360"/>
              <w:jc w:val="both"/>
              <w:rPr>
                <w:rFonts w:cs="GHEA Grapalat"/>
                <w:lang w:val="af-ZA"/>
              </w:rPr>
            </w:pPr>
            <w:r w:rsidRPr="0053423A">
              <w:rPr>
                <w:rFonts w:cs="Sylfaen"/>
                <w:lang w:val="hy-AM"/>
              </w:rPr>
              <w:t xml:space="preserve">          Մանակապատանեկան սպորտի հիմնախնդիրները ամբողջական լուծում չեն ստանում, այդ թվում</w:t>
            </w:r>
            <w:r w:rsidRPr="0053423A">
              <w:rPr>
                <w:rFonts w:cs="Sylfaen"/>
                <w:b/>
                <w:lang w:val="hy-AM"/>
              </w:rPr>
              <w:t xml:space="preserve">` </w:t>
            </w:r>
            <w:r w:rsidRPr="0053423A">
              <w:rPr>
                <w:rFonts w:cs="GHEA Grapalat"/>
                <w:lang w:val="hy-AM"/>
              </w:rPr>
              <w:t>նյութատեխնիկական</w:t>
            </w:r>
            <w:r w:rsidRPr="0053423A">
              <w:rPr>
                <w:rFonts w:cs="GHEA Grapalat"/>
                <w:lang w:val="fr-FR"/>
              </w:rPr>
              <w:t xml:space="preserve"> </w:t>
            </w:r>
            <w:r w:rsidRPr="0053423A">
              <w:rPr>
                <w:rFonts w:cs="GHEA Grapalat"/>
                <w:lang w:val="hy-AM"/>
              </w:rPr>
              <w:t>բազայի</w:t>
            </w:r>
            <w:r w:rsidRPr="0053423A">
              <w:rPr>
                <w:rFonts w:cs="GHEA Grapalat"/>
                <w:lang w:val="fr-FR"/>
              </w:rPr>
              <w:t xml:space="preserve"> </w:t>
            </w:r>
            <w:r w:rsidRPr="0053423A">
              <w:rPr>
                <w:rFonts w:cs="GHEA Grapalat"/>
                <w:lang w:val="hy-AM"/>
              </w:rPr>
              <w:t>կատարելագործումը</w:t>
            </w:r>
            <w:r w:rsidRPr="0053423A">
              <w:rPr>
                <w:rFonts w:cs="GHEA Grapalat"/>
                <w:b/>
                <w:lang w:val="af-ZA"/>
              </w:rPr>
              <w:t xml:space="preserve">, </w:t>
            </w:r>
            <w:r w:rsidRPr="0053423A">
              <w:rPr>
                <w:rFonts w:cs="GHEA Grapalat"/>
                <w:lang w:val="hy-AM"/>
              </w:rPr>
              <w:t>անհրաժեշտ</w:t>
            </w:r>
            <w:r w:rsidRPr="0053423A">
              <w:rPr>
                <w:rFonts w:cs="GHEA Grapalat"/>
                <w:lang w:val="fr-FR"/>
              </w:rPr>
              <w:t xml:space="preserve"> </w:t>
            </w:r>
            <w:r w:rsidRPr="0053423A">
              <w:rPr>
                <w:rFonts w:cs="GHEA Grapalat"/>
                <w:lang w:val="hy-AM"/>
              </w:rPr>
              <w:t>մարզագույքով</w:t>
            </w:r>
            <w:r w:rsidRPr="0053423A">
              <w:rPr>
                <w:rFonts w:cs="GHEA Grapalat"/>
                <w:lang w:val="fr-FR"/>
              </w:rPr>
              <w:t xml:space="preserve"> </w:t>
            </w:r>
            <w:r w:rsidRPr="0053423A">
              <w:rPr>
                <w:rFonts w:cs="GHEA Grapalat"/>
                <w:lang w:val="hy-AM"/>
              </w:rPr>
              <w:t>ապահովումը</w:t>
            </w:r>
            <w:r w:rsidRPr="0053423A">
              <w:rPr>
                <w:rFonts w:cs="GHEA Grapalat"/>
                <w:b/>
                <w:lang w:val="af-ZA"/>
              </w:rPr>
              <w:t xml:space="preserve">, </w:t>
            </w:r>
            <w:r w:rsidRPr="0053423A">
              <w:rPr>
                <w:rFonts w:cs="GHEA Grapalat"/>
                <w:lang w:val="hy-AM"/>
              </w:rPr>
              <w:t>որակյալ</w:t>
            </w:r>
            <w:r w:rsidRPr="0053423A">
              <w:rPr>
                <w:rFonts w:cs="GHEA Grapalat"/>
                <w:lang w:val="af-ZA"/>
              </w:rPr>
              <w:t xml:space="preserve"> </w:t>
            </w:r>
            <w:r w:rsidRPr="0053423A">
              <w:rPr>
                <w:rFonts w:cs="GHEA Grapalat"/>
                <w:lang w:val="hy-AM"/>
              </w:rPr>
              <w:t>մանկավարժական</w:t>
            </w:r>
            <w:r w:rsidRPr="0053423A">
              <w:rPr>
                <w:rFonts w:cs="GHEA Grapalat"/>
                <w:lang w:val="af-ZA"/>
              </w:rPr>
              <w:t xml:space="preserve"> </w:t>
            </w:r>
            <w:r w:rsidRPr="0053423A">
              <w:rPr>
                <w:rFonts w:cs="GHEA Grapalat"/>
                <w:lang w:val="hy-AM"/>
              </w:rPr>
              <w:t>կադրերով</w:t>
            </w:r>
            <w:r w:rsidRPr="0053423A">
              <w:rPr>
                <w:rFonts w:cs="GHEA Grapalat"/>
                <w:lang w:val="af-ZA"/>
              </w:rPr>
              <w:t xml:space="preserve">, ինչպես նաև </w:t>
            </w:r>
            <w:r w:rsidRPr="0053423A">
              <w:rPr>
                <w:rFonts w:cs="GHEA Grapalat"/>
                <w:lang w:val="hy-AM"/>
              </w:rPr>
              <w:t>մանկապատանեկան</w:t>
            </w:r>
            <w:r w:rsidRPr="0053423A">
              <w:rPr>
                <w:rFonts w:cs="GHEA Grapalat"/>
                <w:lang w:val="af-ZA"/>
              </w:rPr>
              <w:t xml:space="preserve"> </w:t>
            </w:r>
            <w:r w:rsidRPr="0053423A">
              <w:rPr>
                <w:rFonts w:cs="GHEA Grapalat"/>
                <w:lang w:val="hy-AM"/>
              </w:rPr>
              <w:t>սպորտում</w:t>
            </w:r>
            <w:r w:rsidRPr="0053423A">
              <w:rPr>
                <w:rFonts w:cs="GHEA Grapalat"/>
                <w:lang w:val="af-ZA"/>
              </w:rPr>
              <w:t xml:space="preserve"> </w:t>
            </w:r>
            <w:r w:rsidRPr="0053423A">
              <w:rPr>
                <w:rFonts w:cs="GHEA Grapalat"/>
                <w:lang w:val="hy-AM"/>
              </w:rPr>
              <w:t>և</w:t>
            </w:r>
            <w:r w:rsidRPr="0053423A">
              <w:rPr>
                <w:rFonts w:cs="GHEA Grapalat"/>
                <w:lang w:val="af-ZA"/>
              </w:rPr>
              <w:t xml:space="preserve"> </w:t>
            </w:r>
            <w:r w:rsidRPr="0053423A">
              <w:rPr>
                <w:rFonts w:cs="GHEA Grapalat"/>
                <w:lang w:val="hy-AM"/>
              </w:rPr>
              <w:t>ուսումնական</w:t>
            </w:r>
            <w:r w:rsidRPr="0053423A">
              <w:rPr>
                <w:rFonts w:cs="GHEA Grapalat"/>
                <w:lang w:val="af-ZA"/>
              </w:rPr>
              <w:t xml:space="preserve"> </w:t>
            </w:r>
            <w:r w:rsidRPr="0053423A">
              <w:rPr>
                <w:rFonts w:cs="GHEA Grapalat"/>
                <w:lang w:val="hy-AM"/>
              </w:rPr>
              <w:t>հաստատություններում ֆիզիկական</w:t>
            </w:r>
            <w:r w:rsidRPr="0053423A">
              <w:rPr>
                <w:rFonts w:cs="GHEA Grapalat"/>
                <w:lang w:val="af-ZA"/>
              </w:rPr>
              <w:t xml:space="preserve"> </w:t>
            </w:r>
            <w:r w:rsidRPr="0053423A">
              <w:rPr>
                <w:rFonts w:cs="GHEA Grapalat"/>
                <w:lang w:val="hy-AM"/>
              </w:rPr>
              <w:t>դաստիարակության</w:t>
            </w:r>
            <w:r w:rsidRPr="0053423A">
              <w:rPr>
                <w:rFonts w:cs="GHEA Grapalat"/>
                <w:lang w:val="af-ZA"/>
              </w:rPr>
              <w:t xml:space="preserve"> </w:t>
            </w:r>
            <w:r w:rsidRPr="0053423A">
              <w:rPr>
                <w:rFonts w:cs="GHEA Grapalat"/>
                <w:lang w:val="hy-AM"/>
              </w:rPr>
              <w:t>մեթոդական</w:t>
            </w:r>
            <w:r w:rsidRPr="0053423A">
              <w:rPr>
                <w:rFonts w:cs="GHEA Grapalat"/>
                <w:lang w:val="af-ZA"/>
              </w:rPr>
              <w:t xml:space="preserve"> </w:t>
            </w:r>
            <w:r w:rsidRPr="0053423A">
              <w:rPr>
                <w:rFonts w:cs="GHEA Grapalat"/>
                <w:lang w:val="hy-AM"/>
              </w:rPr>
              <w:t>ապահովումը</w:t>
            </w:r>
            <w:r w:rsidRPr="0053423A">
              <w:rPr>
                <w:rFonts w:cs="GHEA Grapalat"/>
                <w:b/>
                <w:lang w:val="af-ZA"/>
              </w:rPr>
              <w:t xml:space="preserve">, </w:t>
            </w:r>
            <w:r w:rsidRPr="0053423A">
              <w:rPr>
                <w:rFonts w:cs="GHEA Grapalat"/>
                <w:lang w:val="hy-AM"/>
              </w:rPr>
              <w:t>մարզական</w:t>
            </w:r>
            <w:r w:rsidRPr="0053423A">
              <w:rPr>
                <w:rFonts w:cs="GHEA Grapalat"/>
                <w:lang w:val="af-ZA"/>
              </w:rPr>
              <w:t xml:space="preserve"> </w:t>
            </w:r>
            <w:r w:rsidRPr="0053423A">
              <w:rPr>
                <w:rFonts w:cs="GHEA Grapalat"/>
                <w:lang w:val="hy-AM"/>
              </w:rPr>
              <w:t>հերթափոխի</w:t>
            </w:r>
            <w:r w:rsidRPr="0053423A">
              <w:rPr>
                <w:rFonts w:cs="GHEA Grapalat"/>
                <w:lang w:val="af-ZA"/>
              </w:rPr>
              <w:t xml:space="preserve"> </w:t>
            </w:r>
            <w:r w:rsidRPr="0053423A">
              <w:rPr>
                <w:rFonts w:cs="GHEA Grapalat"/>
                <w:lang w:val="hy-AM"/>
              </w:rPr>
              <w:t>պատրաստման</w:t>
            </w:r>
            <w:r w:rsidRPr="0053423A">
              <w:rPr>
                <w:rFonts w:cs="GHEA Grapalat"/>
                <w:lang w:val="af-ZA"/>
              </w:rPr>
              <w:t xml:space="preserve"> </w:t>
            </w:r>
            <w:r w:rsidRPr="0053423A">
              <w:rPr>
                <w:rFonts w:cs="GHEA Grapalat"/>
                <w:lang w:val="hy-AM"/>
              </w:rPr>
              <w:t>համակարգի</w:t>
            </w:r>
            <w:r w:rsidRPr="0053423A">
              <w:rPr>
                <w:rFonts w:cs="GHEA Grapalat"/>
                <w:lang w:val="af-ZA"/>
              </w:rPr>
              <w:t xml:space="preserve"> </w:t>
            </w:r>
            <w:r w:rsidRPr="0053423A">
              <w:rPr>
                <w:rFonts w:cs="GHEA Grapalat"/>
                <w:lang w:val="hy-AM"/>
              </w:rPr>
              <w:t>արդիականացումը</w:t>
            </w:r>
            <w:r w:rsidRPr="0053423A">
              <w:rPr>
                <w:rFonts w:cs="GHEA Grapalat"/>
                <w:lang w:val="af-ZA"/>
              </w:rPr>
              <w:t xml:space="preserve">, </w:t>
            </w:r>
            <w:r w:rsidRPr="0053423A">
              <w:rPr>
                <w:rFonts w:cs="GHEA Grapalat"/>
                <w:lang w:val="hy-AM"/>
              </w:rPr>
              <w:t>ուսուցման</w:t>
            </w:r>
            <w:r w:rsidRPr="0053423A">
              <w:rPr>
                <w:rFonts w:cs="GHEA Grapalat"/>
                <w:lang w:val="af-ZA"/>
              </w:rPr>
              <w:t xml:space="preserve"> </w:t>
            </w:r>
            <w:r w:rsidRPr="0053423A">
              <w:rPr>
                <w:rFonts w:cs="GHEA Grapalat"/>
                <w:lang w:val="hy-AM"/>
              </w:rPr>
              <w:t>նոր՝</w:t>
            </w:r>
            <w:r w:rsidRPr="0053423A">
              <w:rPr>
                <w:rFonts w:cs="GHEA Grapalat"/>
                <w:lang w:val="af-ZA"/>
              </w:rPr>
              <w:t xml:space="preserve"> </w:t>
            </w:r>
            <w:r w:rsidRPr="0053423A">
              <w:rPr>
                <w:rFonts w:cs="GHEA Grapalat"/>
                <w:lang w:val="hy-AM"/>
              </w:rPr>
              <w:t>ժամանակի</w:t>
            </w:r>
            <w:r w:rsidRPr="0053423A">
              <w:rPr>
                <w:rFonts w:cs="GHEA Grapalat"/>
                <w:lang w:val="af-ZA"/>
              </w:rPr>
              <w:t xml:space="preserve"> </w:t>
            </w:r>
            <w:r w:rsidRPr="0053423A">
              <w:rPr>
                <w:rFonts w:cs="GHEA Grapalat"/>
                <w:lang w:val="hy-AM"/>
              </w:rPr>
              <w:t>պահանջներին</w:t>
            </w:r>
            <w:r w:rsidRPr="0053423A">
              <w:rPr>
                <w:rFonts w:cs="GHEA Grapalat"/>
                <w:lang w:val="af-ZA"/>
              </w:rPr>
              <w:t xml:space="preserve"> </w:t>
            </w:r>
            <w:r w:rsidRPr="0053423A">
              <w:rPr>
                <w:rFonts w:cs="GHEA Grapalat"/>
                <w:lang w:val="hy-AM"/>
              </w:rPr>
              <w:t>համահունչ</w:t>
            </w:r>
            <w:r w:rsidRPr="0053423A">
              <w:rPr>
                <w:rFonts w:cs="GHEA Grapalat"/>
                <w:lang w:val="af-ZA"/>
              </w:rPr>
              <w:t xml:space="preserve"> </w:t>
            </w:r>
            <w:r w:rsidRPr="0053423A">
              <w:rPr>
                <w:rFonts w:cs="GHEA Grapalat"/>
                <w:lang w:val="hy-AM"/>
              </w:rPr>
              <w:t>ծրագրերի</w:t>
            </w:r>
            <w:r w:rsidRPr="0053423A">
              <w:rPr>
                <w:rFonts w:cs="GHEA Grapalat"/>
                <w:lang w:val="af-ZA"/>
              </w:rPr>
              <w:t xml:space="preserve"> </w:t>
            </w:r>
            <w:r w:rsidRPr="0053423A">
              <w:rPr>
                <w:rFonts w:cs="GHEA Grapalat"/>
                <w:lang w:val="hy-AM"/>
              </w:rPr>
              <w:t>մշակումը և այլն</w:t>
            </w:r>
            <w:r w:rsidRPr="0053423A">
              <w:rPr>
                <w:rFonts w:cs="GHEA Grapalat"/>
                <w:lang w:val="af-ZA"/>
              </w:rPr>
              <w:t>:</w:t>
            </w:r>
          </w:p>
          <w:p w:rsidR="007847C1" w:rsidRPr="0053423A" w:rsidRDefault="007847C1" w:rsidP="00A67858">
            <w:pPr>
              <w:tabs>
                <w:tab w:val="left" w:pos="0"/>
                <w:tab w:val="left" w:pos="630"/>
              </w:tabs>
              <w:spacing w:line="276" w:lineRule="auto"/>
              <w:ind w:right="-455" w:firstLine="720"/>
              <w:jc w:val="both"/>
              <w:rPr>
                <w:rFonts w:cs="Sylfaen"/>
                <w:b/>
                <w:lang w:val="hy-AM"/>
              </w:rPr>
            </w:pPr>
          </w:p>
          <w:p w:rsidR="007847C1" w:rsidRPr="0053423A" w:rsidRDefault="007847C1" w:rsidP="001F6D5D">
            <w:pPr>
              <w:numPr>
                <w:ilvl w:val="1"/>
                <w:numId w:val="250"/>
              </w:numPr>
              <w:tabs>
                <w:tab w:val="left" w:pos="1080"/>
              </w:tabs>
              <w:spacing w:line="276" w:lineRule="auto"/>
              <w:ind w:right="43"/>
              <w:contextualSpacing/>
              <w:jc w:val="both"/>
              <w:rPr>
                <w:rFonts w:cs="Sylfaen"/>
                <w:b/>
                <w:lang w:val="hy-AM"/>
              </w:rPr>
            </w:pPr>
            <w:r w:rsidRPr="0053423A">
              <w:rPr>
                <w:rFonts w:cs="Sylfaen"/>
                <w:b/>
                <w:lang w:val="hy-AM"/>
              </w:rPr>
              <w:t>Առկա խնդիրների առաջարկվող լուծումները</w:t>
            </w:r>
          </w:p>
          <w:p w:rsidR="007847C1" w:rsidRPr="0053423A" w:rsidRDefault="007847C1" w:rsidP="00A67858">
            <w:pPr>
              <w:tabs>
                <w:tab w:val="left" w:pos="90"/>
              </w:tabs>
              <w:spacing w:line="276" w:lineRule="auto"/>
              <w:ind w:firstLine="360"/>
              <w:jc w:val="both"/>
              <w:rPr>
                <w:rFonts w:cs="GHEA Grapalat"/>
                <w:lang w:val="af-ZA"/>
              </w:rPr>
            </w:pPr>
            <w:r w:rsidRPr="0053423A">
              <w:rPr>
                <w:rFonts w:cs="Times Armenian"/>
                <w:noProof/>
                <w:lang w:val="fr-FR"/>
              </w:rPr>
              <w:t xml:space="preserve">        «</w:t>
            </w:r>
            <w:r w:rsidRPr="0053423A">
              <w:rPr>
                <w:rFonts w:cs="Times Armenian"/>
                <w:noProof/>
                <w:lang w:val="af-ZA"/>
              </w:rPr>
              <w:t>Մանկապատանեկան սպորտի զարգացման հայեցակարգ</w:t>
            </w:r>
            <w:r w:rsidRPr="0053423A">
              <w:rPr>
                <w:rFonts w:cs="Times Armenian"/>
                <w:noProof/>
                <w:lang w:val="hy-AM"/>
              </w:rPr>
              <w:t>ը հաստատելու</w:t>
            </w:r>
            <w:r w:rsidRPr="0053423A">
              <w:rPr>
                <w:rFonts w:cs="Times Armenian"/>
                <w:noProof/>
                <w:lang w:val="af-ZA"/>
              </w:rPr>
              <w:t xml:space="preserve"> մասին» </w:t>
            </w:r>
            <w:r w:rsidRPr="0053423A">
              <w:rPr>
                <w:rFonts w:cs="Sylfaen"/>
                <w:noProof/>
                <w:lang w:val="af-ZA"/>
              </w:rPr>
              <w:t xml:space="preserve">Հայաuտանի Հանրապետության  կառավարության </w:t>
            </w:r>
            <w:r w:rsidRPr="0053423A">
              <w:rPr>
                <w:rFonts w:cs="GHEA Grapalat"/>
                <w:lang w:val="af-ZA"/>
              </w:rPr>
              <w:t>որոշման ընդունմամբ կհստակեցվեն մանկապատանեկան սպորտի հիմնախնդիրների լուծման ուղիները</w:t>
            </w:r>
            <w:r w:rsidRPr="0053423A">
              <w:rPr>
                <w:rFonts w:ascii="Calibri" w:hAnsi="Calibri" w:cs="Calibri"/>
                <w:lang w:val="af-ZA"/>
              </w:rPr>
              <w:t> </w:t>
            </w:r>
            <w:r w:rsidRPr="0053423A">
              <w:rPr>
                <w:rFonts w:cs="GHEA Grapalat"/>
                <w:b/>
                <w:lang w:val="fr-FR"/>
              </w:rPr>
              <w:t>(</w:t>
            </w:r>
            <w:r w:rsidRPr="0053423A">
              <w:rPr>
                <w:rFonts w:cs="GHEA Grapalat"/>
                <w:lang w:val="hy-AM"/>
              </w:rPr>
              <w:t>նյութատեխնիկական</w:t>
            </w:r>
            <w:r w:rsidRPr="0053423A">
              <w:rPr>
                <w:rFonts w:cs="GHEA Grapalat"/>
                <w:lang w:val="fr-FR"/>
              </w:rPr>
              <w:t xml:space="preserve"> </w:t>
            </w:r>
            <w:r w:rsidRPr="0053423A">
              <w:rPr>
                <w:rFonts w:cs="GHEA Grapalat"/>
                <w:lang w:val="hy-AM"/>
              </w:rPr>
              <w:t>բազայի</w:t>
            </w:r>
            <w:r w:rsidRPr="0053423A">
              <w:rPr>
                <w:rFonts w:cs="GHEA Grapalat"/>
                <w:lang w:val="fr-FR"/>
              </w:rPr>
              <w:t xml:space="preserve"> </w:t>
            </w:r>
            <w:r w:rsidRPr="0053423A">
              <w:rPr>
                <w:rFonts w:cs="GHEA Grapalat"/>
                <w:lang w:val="hy-AM"/>
              </w:rPr>
              <w:t>կատարելագործում</w:t>
            </w:r>
            <w:r w:rsidRPr="0053423A">
              <w:rPr>
                <w:rFonts w:cs="GHEA Grapalat"/>
                <w:b/>
                <w:lang w:val="af-ZA"/>
              </w:rPr>
              <w:t xml:space="preserve">, </w:t>
            </w:r>
            <w:r w:rsidRPr="0053423A">
              <w:rPr>
                <w:rFonts w:cs="GHEA Grapalat"/>
                <w:lang w:val="hy-AM"/>
              </w:rPr>
              <w:t>անհրաժեշտ</w:t>
            </w:r>
            <w:r w:rsidRPr="0053423A">
              <w:rPr>
                <w:rFonts w:cs="GHEA Grapalat"/>
                <w:lang w:val="fr-FR"/>
              </w:rPr>
              <w:t xml:space="preserve"> </w:t>
            </w:r>
            <w:r w:rsidRPr="0053423A">
              <w:rPr>
                <w:rFonts w:cs="GHEA Grapalat"/>
                <w:lang w:val="hy-AM"/>
              </w:rPr>
              <w:t>մարզագույքով</w:t>
            </w:r>
            <w:r w:rsidRPr="0053423A">
              <w:rPr>
                <w:rFonts w:cs="GHEA Grapalat"/>
                <w:lang w:val="fr-FR"/>
              </w:rPr>
              <w:t xml:space="preserve"> </w:t>
            </w:r>
            <w:r w:rsidRPr="0053423A">
              <w:rPr>
                <w:rFonts w:cs="GHEA Grapalat"/>
                <w:lang w:val="hy-AM"/>
              </w:rPr>
              <w:t>ապահովում</w:t>
            </w:r>
            <w:r w:rsidRPr="0053423A">
              <w:rPr>
                <w:rFonts w:cs="GHEA Grapalat"/>
                <w:b/>
                <w:lang w:val="af-ZA"/>
              </w:rPr>
              <w:t xml:space="preserve">, </w:t>
            </w:r>
            <w:r w:rsidRPr="0053423A">
              <w:rPr>
                <w:rFonts w:cs="GHEA Grapalat"/>
                <w:lang w:val="hy-AM"/>
              </w:rPr>
              <w:t>որակյալ</w:t>
            </w:r>
            <w:r w:rsidRPr="0053423A">
              <w:rPr>
                <w:rFonts w:cs="GHEA Grapalat"/>
                <w:lang w:val="af-ZA"/>
              </w:rPr>
              <w:t xml:space="preserve"> </w:t>
            </w:r>
            <w:r w:rsidRPr="0053423A">
              <w:rPr>
                <w:rFonts w:cs="GHEA Grapalat"/>
                <w:lang w:val="hy-AM"/>
              </w:rPr>
              <w:t>մանկավարժական</w:t>
            </w:r>
            <w:r w:rsidRPr="0053423A">
              <w:rPr>
                <w:rFonts w:cs="GHEA Grapalat"/>
                <w:lang w:val="af-ZA"/>
              </w:rPr>
              <w:t xml:space="preserve"> </w:t>
            </w:r>
            <w:r w:rsidRPr="0053423A">
              <w:rPr>
                <w:rFonts w:cs="GHEA Grapalat"/>
                <w:lang w:val="hy-AM"/>
              </w:rPr>
              <w:t>կադրերով</w:t>
            </w:r>
            <w:r w:rsidRPr="0053423A">
              <w:rPr>
                <w:rFonts w:cs="GHEA Grapalat"/>
                <w:lang w:val="af-ZA"/>
              </w:rPr>
              <w:t xml:space="preserve"> </w:t>
            </w:r>
            <w:r w:rsidRPr="0053423A">
              <w:rPr>
                <w:rFonts w:cs="GHEA Grapalat"/>
                <w:lang w:val="hy-AM"/>
              </w:rPr>
              <w:t>ապահովում</w:t>
            </w:r>
            <w:r w:rsidRPr="0053423A">
              <w:rPr>
                <w:rFonts w:cs="GHEA Grapalat"/>
                <w:b/>
                <w:lang w:val="af-ZA"/>
              </w:rPr>
              <w:t xml:space="preserve">, </w:t>
            </w:r>
            <w:r w:rsidRPr="0053423A">
              <w:rPr>
                <w:rFonts w:cs="GHEA Grapalat"/>
                <w:lang w:val="hy-AM"/>
              </w:rPr>
              <w:t>ֆիզիկական</w:t>
            </w:r>
            <w:r w:rsidRPr="0053423A">
              <w:rPr>
                <w:rFonts w:cs="GHEA Grapalat"/>
                <w:lang w:val="af-ZA"/>
              </w:rPr>
              <w:t xml:space="preserve"> </w:t>
            </w:r>
            <w:r w:rsidRPr="0053423A">
              <w:rPr>
                <w:rFonts w:cs="GHEA Grapalat"/>
                <w:lang w:val="hy-AM"/>
              </w:rPr>
              <w:t>դաստիարակության</w:t>
            </w:r>
            <w:r w:rsidRPr="0053423A">
              <w:rPr>
                <w:rFonts w:cs="GHEA Grapalat"/>
                <w:lang w:val="af-ZA"/>
              </w:rPr>
              <w:t xml:space="preserve"> </w:t>
            </w:r>
            <w:r w:rsidRPr="0053423A">
              <w:rPr>
                <w:rFonts w:cs="GHEA Grapalat"/>
                <w:lang w:val="hy-AM"/>
              </w:rPr>
              <w:t>մեթոդական</w:t>
            </w:r>
            <w:r w:rsidRPr="0053423A">
              <w:rPr>
                <w:rFonts w:cs="GHEA Grapalat"/>
                <w:lang w:val="af-ZA"/>
              </w:rPr>
              <w:t xml:space="preserve"> </w:t>
            </w:r>
            <w:r w:rsidRPr="0053423A">
              <w:rPr>
                <w:rFonts w:cs="GHEA Grapalat"/>
                <w:lang w:val="hy-AM"/>
              </w:rPr>
              <w:t>ապահովում</w:t>
            </w:r>
            <w:r w:rsidRPr="0053423A">
              <w:rPr>
                <w:rFonts w:cs="GHEA Grapalat"/>
                <w:lang w:val="af-ZA"/>
              </w:rPr>
              <w:t xml:space="preserve"> </w:t>
            </w:r>
            <w:r w:rsidRPr="0053423A">
              <w:rPr>
                <w:rFonts w:cs="GHEA Grapalat"/>
                <w:lang w:val="hy-AM"/>
              </w:rPr>
              <w:t>մանկապատանեկան</w:t>
            </w:r>
            <w:r w:rsidRPr="0053423A">
              <w:rPr>
                <w:rFonts w:cs="GHEA Grapalat"/>
                <w:lang w:val="af-ZA"/>
              </w:rPr>
              <w:t xml:space="preserve"> </w:t>
            </w:r>
            <w:r w:rsidRPr="0053423A">
              <w:rPr>
                <w:rFonts w:cs="GHEA Grapalat"/>
                <w:lang w:val="hy-AM"/>
              </w:rPr>
              <w:t>սպորտում</w:t>
            </w:r>
            <w:r w:rsidRPr="0053423A">
              <w:rPr>
                <w:rFonts w:cs="GHEA Grapalat"/>
                <w:lang w:val="af-ZA"/>
              </w:rPr>
              <w:t xml:space="preserve"> </w:t>
            </w:r>
            <w:r w:rsidRPr="0053423A">
              <w:rPr>
                <w:rFonts w:cs="GHEA Grapalat"/>
                <w:lang w:val="hy-AM"/>
              </w:rPr>
              <w:t>և</w:t>
            </w:r>
            <w:r w:rsidRPr="0053423A">
              <w:rPr>
                <w:rFonts w:cs="GHEA Grapalat"/>
                <w:lang w:val="af-ZA"/>
              </w:rPr>
              <w:t xml:space="preserve"> </w:t>
            </w:r>
            <w:r w:rsidRPr="0053423A">
              <w:rPr>
                <w:rFonts w:cs="GHEA Grapalat"/>
                <w:lang w:val="hy-AM"/>
              </w:rPr>
              <w:t>ուսումնական</w:t>
            </w:r>
            <w:r w:rsidRPr="0053423A">
              <w:rPr>
                <w:rFonts w:cs="GHEA Grapalat"/>
                <w:lang w:val="af-ZA"/>
              </w:rPr>
              <w:t xml:space="preserve"> </w:t>
            </w:r>
            <w:r w:rsidRPr="0053423A">
              <w:rPr>
                <w:rFonts w:cs="GHEA Grapalat"/>
                <w:lang w:val="hy-AM"/>
              </w:rPr>
              <w:t>հաստատություններում</w:t>
            </w:r>
            <w:r w:rsidRPr="0053423A">
              <w:rPr>
                <w:rFonts w:cs="GHEA Grapalat"/>
                <w:b/>
                <w:lang w:val="af-ZA"/>
              </w:rPr>
              <w:t xml:space="preserve">, </w:t>
            </w:r>
            <w:r w:rsidRPr="0053423A">
              <w:rPr>
                <w:rFonts w:cs="GHEA Grapalat"/>
                <w:lang w:val="hy-AM"/>
              </w:rPr>
              <w:t>մարզական</w:t>
            </w:r>
            <w:r w:rsidRPr="0053423A">
              <w:rPr>
                <w:rFonts w:cs="GHEA Grapalat"/>
                <w:lang w:val="af-ZA"/>
              </w:rPr>
              <w:t xml:space="preserve"> </w:t>
            </w:r>
            <w:r w:rsidRPr="0053423A">
              <w:rPr>
                <w:rFonts w:cs="GHEA Grapalat"/>
                <w:lang w:val="hy-AM"/>
              </w:rPr>
              <w:t>հերթափոխի</w:t>
            </w:r>
            <w:r w:rsidRPr="0053423A">
              <w:rPr>
                <w:rFonts w:cs="GHEA Grapalat"/>
                <w:lang w:val="af-ZA"/>
              </w:rPr>
              <w:t xml:space="preserve"> </w:t>
            </w:r>
            <w:r w:rsidRPr="0053423A">
              <w:rPr>
                <w:rFonts w:cs="GHEA Grapalat"/>
                <w:lang w:val="hy-AM"/>
              </w:rPr>
              <w:t>պատրաստման</w:t>
            </w:r>
            <w:r w:rsidRPr="0053423A">
              <w:rPr>
                <w:rFonts w:cs="GHEA Grapalat"/>
                <w:lang w:val="af-ZA"/>
              </w:rPr>
              <w:t xml:space="preserve"> </w:t>
            </w:r>
            <w:r w:rsidRPr="0053423A">
              <w:rPr>
                <w:rFonts w:cs="GHEA Grapalat"/>
                <w:lang w:val="hy-AM"/>
              </w:rPr>
              <w:t>համակարգի</w:t>
            </w:r>
            <w:r w:rsidRPr="0053423A">
              <w:rPr>
                <w:rFonts w:cs="GHEA Grapalat"/>
                <w:lang w:val="af-ZA"/>
              </w:rPr>
              <w:t xml:space="preserve"> </w:t>
            </w:r>
            <w:r w:rsidRPr="0053423A">
              <w:rPr>
                <w:rFonts w:cs="GHEA Grapalat"/>
                <w:lang w:val="hy-AM"/>
              </w:rPr>
              <w:t>արդիականացում</w:t>
            </w:r>
            <w:r w:rsidRPr="0053423A">
              <w:rPr>
                <w:rFonts w:cs="GHEA Grapalat"/>
                <w:lang w:val="af-ZA"/>
              </w:rPr>
              <w:t xml:space="preserve">, </w:t>
            </w:r>
            <w:r w:rsidRPr="0053423A">
              <w:rPr>
                <w:rFonts w:cs="GHEA Grapalat"/>
                <w:lang w:val="hy-AM"/>
              </w:rPr>
              <w:t>ուսուցման</w:t>
            </w:r>
            <w:r w:rsidRPr="0053423A">
              <w:rPr>
                <w:rFonts w:cs="GHEA Grapalat"/>
                <w:lang w:val="af-ZA"/>
              </w:rPr>
              <w:t xml:space="preserve"> </w:t>
            </w:r>
            <w:r w:rsidRPr="0053423A">
              <w:rPr>
                <w:rFonts w:cs="GHEA Grapalat"/>
                <w:lang w:val="hy-AM"/>
              </w:rPr>
              <w:t>նոր՝</w:t>
            </w:r>
            <w:r w:rsidRPr="0053423A">
              <w:rPr>
                <w:rFonts w:cs="GHEA Grapalat"/>
                <w:lang w:val="af-ZA"/>
              </w:rPr>
              <w:t xml:space="preserve"> </w:t>
            </w:r>
            <w:r w:rsidRPr="0053423A">
              <w:rPr>
                <w:rFonts w:cs="GHEA Grapalat"/>
                <w:lang w:val="hy-AM"/>
              </w:rPr>
              <w:t>ժամանակի</w:t>
            </w:r>
            <w:r w:rsidRPr="0053423A">
              <w:rPr>
                <w:rFonts w:cs="GHEA Grapalat"/>
                <w:lang w:val="af-ZA"/>
              </w:rPr>
              <w:t xml:space="preserve"> </w:t>
            </w:r>
            <w:r w:rsidRPr="0053423A">
              <w:rPr>
                <w:rFonts w:cs="GHEA Grapalat"/>
                <w:lang w:val="hy-AM"/>
              </w:rPr>
              <w:t>պահանջներին</w:t>
            </w:r>
            <w:r w:rsidRPr="0053423A">
              <w:rPr>
                <w:rFonts w:cs="GHEA Grapalat"/>
                <w:lang w:val="af-ZA"/>
              </w:rPr>
              <w:t xml:space="preserve"> </w:t>
            </w:r>
            <w:r w:rsidRPr="0053423A">
              <w:rPr>
                <w:rFonts w:cs="GHEA Grapalat"/>
                <w:lang w:val="hy-AM"/>
              </w:rPr>
              <w:t>համահունչ</w:t>
            </w:r>
            <w:r w:rsidRPr="0053423A">
              <w:rPr>
                <w:rFonts w:cs="GHEA Grapalat"/>
                <w:lang w:val="af-ZA"/>
              </w:rPr>
              <w:t xml:space="preserve"> </w:t>
            </w:r>
            <w:r w:rsidRPr="0053423A">
              <w:rPr>
                <w:rFonts w:cs="GHEA Grapalat"/>
                <w:lang w:val="hy-AM"/>
              </w:rPr>
              <w:t>ծրագրերի</w:t>
            </w:r>
            <w:r w:rsidRPr="0053423A">
              <w:rPr>
                <w:rFonts w:cs="GHEA Grapalat"/>
                <w:lang w:val="af-ZA"/>
              </w:rPr>
              <w:t xml:space="preserve"> </w:t>
            </w:r>
            <w:r w:rsidRPr="0053423A">
              <w:rPr>
                <w:rFonts w:cs="GHEA Grapalat"/>
                <w:lang w:val="hy-AM"/>
              </w:rPr>
              <w:t>մշակում և այլն)</w:t>
            </w:r>
            <w:r w:rsidRPr="0053423A">
              <w:rPr>
                <w:rFonts w:cs="GHEA Grapalat"/>
                <w:lang w:val="af-ZA"/>
              </w:rPr>
              <w:t>:</w:t>
            </w:r>
          </w:p>
          <w:p w:rsidR="007847C1" w:rsidRPr="0053423A" w:rsidRDefault="007847C1" w:rsidP="00A67858">
            <w:pPr>
              <w:tabs>
                <w:tab w:val="left" w:pos="1080"/>
              </w:tabs>
              <w:spacing w:line="276" w:lineRule="auto"/>
              <w:ind w:left="360"/>
              <w:jc w:val="both"/>
              <w:rPr>
                <w:rFonts w:cs="Sylfaen"/>
                <w:b/>
                <w:lang w:val="af-ZA"/>
              </w:rPr>
            </w:pPr>
          </w:p>
          <w:p w:rsidR="007847C1" w:rsidRPr="0053423A" w:rsidRDefault="007847C1" w:rsidP="00A67858">
            <w:pPr>
              <w:tabs>
                <w:tab w:val="left" w:pos="1080"/>
              </w:tabs>
              <w:spacing w:line="276" w:lineRule="auto"/>
              <w:ind w:left="1080"/>
              <w:jc w:val="both"/>
              <w:rPr>
                <w:rFonts w:cs="Sylfaen"/>
                <w:b/>
                <w:lang w:val="af-ZA"/>
              </w:rPr>
            </w:pPr>
            <w:r w:rsidRPr="0053423A">
              <w:rPr>
                <w:rFonts w:cs="Sylfaen"/>
                <w:lang w:val="hy-AM" w:eastAsia="ru-RU"/>
              </w:rPr>
              <w:t>2.</w:t>
            </w:r>
            <w:r w:rsidRPr="0053423A">
              <w:rPr>
                <w:rFonts w:cs="Sylfaen"/>
                <w:lang w:val="af-ZA" w:eastAsia="ru-RU"/>
              </w:rPr>
              <w:t xml:space="preserve"> </w:t>
            </w:r>
            <w:r w:rsidRPr="0053423A">
              <w:rPr>
                <w:rFonts w:cs="Sylfaen"/>
                <w:b/>
                <w:lang w:val="hy-AM" w:eastAsia="ru-RU"/>
              </w:rPr>
              <w:t>Միջոցառման իրականացումից ակնկալվող արդյունքը</w:t>
            </w:r>
          </w:p>
          <w:p w:rsidR="007847C1" w:rsidRPr="0053423A" w:rsidRDefault="007847C1" w:rsidP="00A67858">
            <w:pPr>
              <w:spacing w:line="276" w:lineRule="auto"/>
              <w:rPr>
                <w:lang w:val="af-ZA" w:eastAsia="ru-RU"/>
              </w:rPr>
            </w:pPr>
            <w:r w:rsidRPr="0053423A">
              <w:rPr>
                <w:lang w:val="fr-FR" w:eastAsia="ru-RU"/>
              </w:rPr>
              <w:t xml:space="preserve">                 Ոլորտի </w:t>
            </w:r>
            <w:r w:rsidRPr="0053423A">
              <w:rPr>
                <w:lang w:eastAsia="ru-RU"/>
              </w:rPr>
              <w:t>նյութատեխնիկական</w:t>
            </w:r>
            <w:r w:rsidRPr="0053423A">
              <w:rPr>
                <w:lang w:val="fr-FR" w:eastAsia="ru-RU"/>
              </w:rPr>
              <w:t xml:space="preserve"> </w:t>
            </w:r>
            <w:r w:rsidRPr="0053423A">
              <w:rPr>
                <w:lang w:eastAsia="ru-RU"/>
              </w:rPr>
              <w:t>բազայի</w:t>
            </w:r>
            <w:r w:rsidRPr="0053423A">
              <w:rPr>
                <w:lang w:val="fr-FR" w:eastAsia="ru-RU"/>
              </w:rPr>
              <w:t xml:space="preserve"> </w:t>
            </w:r>
            <w:r w:rsidRPr="0053423A">
              <w:rPr>
                <w:lang w:eastAsia="ru-RU"/>
              </w:rPr>
              <w:t>կատարելագործում</w:t>
            </w:r>
            <w:r w:rsidRPr="0053423A">
              <w:rPr>
                <w:lang w:val="af-ZA" w:eastAsia="ru-RU"/>
              </w:rPr>
              <w:t xml:space="preserve">, </w:t>
            </w:r>
            <w:r w:rsidRPr="0053423A">
              <w:rPr>
                <w:lang w:eastAsia="ru-RU"/>
              </w:rPr>
              <w:t>անհրաժեշտ</w:t>
            </w:r>
            <w:r w:rsidRPr="0053423A">
              <w:rPr>
                <w:lang w:val="fr-FR" w:eastAsia="ru-RU"/>
              </w:rPr>
              <w:t xml:space="preserve"> </w:t>
            </w:r>
            <w:r w:rsidRPr="0053423A">
              <w:rPr>
                <w:lang w:eastAsia="ru-RU"/>
              </w:rPr>
              <w:t>մարզագույքով</w:t>
            </w:r>
            <w:r w:rsidRPr="0053423A">
              <w:rPr>
                <w:lang w:val="fr-FR" w:eastAsia="ru-RU"/>
              </w:rPr>
              <w:t xml:space="preserve"> </w:t>
            </w:r>
            <w:r w:rsidRPr="0053423A">
              <w:rPr>
                <w:lang w:eastAsia="ru-RU"/>
              </w:rPr>
              <w:t>ապահովման</w:t>
            </w:r>
            <w:r w:rsidRPr="0053423A">
              <w:rPr>
                <w:lang w:val="af-ZA" w:eastAsia="ru-RU"/>
              </w:rPr>
              <w:t xml:space="preserve"> </w:t>
            </w:r>
            <w:r w:rsidRPr="0053423A">
              <w:rPr>
                <w:lang w:eastAsia="ru-RU"/>
              </w:rPr>
              <w:t>միջոցների</w:t>
            </w:r>
            <w:r w:rsidRPr="0053423A">
              <w:rPr>
                <w:lang w:val="af-ZA" w:eastAsia="ru-RU"/>
              </w:rPr>
              <w:t xml:space="preserve"> </w:t>
            </w:r>
            <w:r w:rsidRPr="0053423A">
              <w:rPr>
                <w:lang w:eastAsia="ru-RU"/>
              </w:rPr>
              <w:t>ձեռնարկում</w:t>
            </w:r>
            <w:r w:rsidRPr="0053423A">
              <w:rPr>
                <w:lang w:val="af-ZA" w:eastAsia="ru-RU"/>
              </w:rPr>
              <w:t xml:space="preserve">, </w:t>
            </w:r>
            <w:r w:rsidRPr="0053423A">
              <w:rPr>
                <w:lang w:eastAsia="ru-RU"/>
              </w:rPr>
              <w:t>մարզական</w:t>
            </w:r>
            <w:r w:rsidRPr="0053423A">
              <w:rPr>
                <w:lang w:val="af-ZA" w:eastAsia="ru-RU"/>
              </w:rPr>
              <w:t xml:space="preserve"> </w:t>
            </w:r>
            <w:r w:rsidRPr="0053423A">
              <w:rPr>
                <w:lang w:eastAsia="ru-RU"/>
              </w:rPr>
              <w:t>հերթափոխի</w:t>
            </w:r>
            <w:r w:rsidRPr="0053423A">
              <w:rPr>
                <w:lang w:val="af-ZA" w:eastAsia="ru-RU"/>
              </w:rPr>
              <w:t xml:space="preserve"> </w:t>
            </w:r>
            <w:r w:rsidRPr="0053423A">
              <w:rPr>
                <w:lang w:eastAsia="ru-RU"/>
              </w:rPr>
              <w:t>պատրաստման</w:t>
            </w:r>
            <w:r w:rsidRPr="0053423A">
              <w:rPr>
                <w:lang w:val="af-ZA" w:eastAsia="ru-RU"/>
              </w:rPr>
              <w:t xml:space="preserve"> </w:t>
            </w:r>
            <w:r w:rsidRPr="0053423A">
              <w:rPr>
                <w:lang w:eastAsia="ru-RU"/>
              </w:rPr>
              <w:t>համակարգի</w:t>
            </w:r>
            <w:r w:rsidRPr="0053423A">
              <w:rPr>
                <w:lang w:val="af-ZA" w:eastAsia="ru-RU"/>
              </w:rPr>
              <w:t xml:space="preserve"> </w:t>
            </w:r>
            <w:r w:rsidRPr="0053423A">
              <w:rPr>
                <w:lang w:eastAsia="ru-RU"/>
              </w:rPr>
              <w:t>արդիականացում</w:t>
            </w:r>
            <w:r w:rsidRPr="0053423A">
              <w:rPr>
                <w:lang w:val="af-ZA" w:eastAsia="ru-RU"/>
              </w:rPr>
              <w:t>,</w:t>
            </w:r>
            <w:r w:rsidRPr="0053423A">
              <w:rPr>
                <w:b/>
                <w:lang w:val="af-ZA" w:eastAsia="ru-RU"/>
              </w:rPr>
              <w:t xml:space="preserve"> </w:t>
            </w:r>
            <w:r w:rsidRPr="0053423A">
              <w:rPr>
                <w:lang w:val="ru-RU" w:eastAsia="ru-RU"/>
              </w:rPr>
              <w:t>իրավական</w:t>
            </w:r>
            <w:r w:rsidRPr="0053423A">
              <w:rPr>
                <w:lang w:val="af-ZA" w:eastAsia="ru-RU"/>
              </w:rPr>
              <w:t xml:space="preserve"> </w:t>
            </w:r>
            <w:r w:rsidRPr="0053423A">
              <w:rPr>
                <w:lang w:val="ru-RU" w:eastAsia="ru-RU"/>
              </w:rPr>
              <w:t>դաշտի</w:t>
            </w:r>
            <w:r w:rsidRPr="0053423A">
              <w:rPr>
                <w:lang w:val="af-ZA" w:eastAsia="ru-RU"/>
              </w:rPr>
              <w:t xml:space="preserve"> </w:t>
            </w:r>
            <w:r w:rsidRPr="0053423A">
              <w:rPr>
                <w:lang w:val="ru-RU" w:eastAsia="ru-RU"/>
              </w:rPr>
              <w:t>կատարելագործում</w:t>
            </w:r>
            <w:r w:rsidRPr="0053423A">
              <w:rPr>
                <w:lang w:val="af-ZA" w:eastAsia="ru-RU"/>
              </w:rPr>
              <w:t>:</w:t>
            </w:r>
          </w:p>
          <w:p w:rsidR="007847C1" w:rsidRPr="0053423A" w:rsidRDefault="007847C1" w:rsidP="00A67858">
            <w:pPr>
              <w:spacing w:line="276" w:lineRule="auto"/>
              <w:rPr>
                <w:lang w:val="af-ZA" w:eastAsia="ru-RU"/>
              </w:rPr>
            </w:pPr>
            <w:r w:rsidRPr="0053423A">
              <w:rPr>
                <w:lang w:val="ru-RU" w:eastAsia="ru-RU"/>
              </w:rPr>
              <w:t>Հայաստանի</w:t>
            </w:r>
            <w:r w:rsidRPr="0053423A">
              <w:rPr>
                <w:lang w:val="af-ZA" w:eastAsia="ru-RU"/>
              </w:rPr>
              <w:t xml:space="preserve"> </w:t>
            </w:r>
            <w:r w:rsidRPr="0053423A">
              <w:rPr>
                <w:lang w:val="ru-RU" w:eastAsia="ru-RU"/>
              </w:rPr>
              <w:t>Հանրապետության</w:t>
            </w:r>
            <w:r w:rsidRPr="0053423A">
              <w:rPr>
                <w:lang w:val="af-ZA" w:eastAsia="ru-RU"/>
              </w:rPr>
              <w:t xml:space="preserve"> </w:t>
            </w:r>
            <w:r w:rsidRPr="0053423A">
              <w:rPr>
                <w:lang w:val="ru-RU" w:eastAsia="ru-RU"/>
              </w:rPr>
              <w:t>մանկապատանեկան</w:t>
            </w:r>
            <w:r w:rsidRPr="0053423A">
              <w:rPr>
                <w:lang w:val="af-ZA" w:eastAsia="ru-RU"/>
              </w:rPr>
              <w:t xml:space="preserve"> </w:t>
            </w:r>
            <w:r w:rsidRPr="0053423A">
              <w:rPr>
                <w:lang w:val="ru-RU" w:eastAsia="ru-RU"/>
              </w:rPr>
              <w:t>մարզադպրոցների</w:t>
            </w:r>
            <w:r w:rsidRPr="0053423A">
              <w:rPr>
                <w:lang w:val="af-ZA" w:eastAsia="ru-RU"/>
              </w:rPr>
              <w:t xml:space="preserve"> (</w:t>
            </w:r>
            <w:r w:rsidRPr="0053423A">
              <w:rPr>
                <w:lang w:val="ru-RU" w:eastAsia="ru-RU"/>
              </w:rPr>
              <w:t>անկախ</w:t>
            </w:r>
            <w:r w:rsidRPr="0053423A">
              <w:rPr>
                <w:lang w:val="af-ZA" w:eastAsia="ru-RU"/>
              </w:rPr>
              <w:t xml:space="preserve"> </w:t>
            </w:r>
            <w:r w:rsidRPr="0053423A">
              <w:rPr>
                <w:lang w:val="ru-RU" w:eastAsia="ru-RU"/>
              </w:rPr>
              <w:t>ենթակայությունից</w:t>
            </w:r>
            <w:r w:rsidRPr="0053423A">
              <w:rPr>
                <w:lang w:val="af-ZA" w:eastAsia="ru-RU"/>
              </w:rPr>
              <w:t xml:space="preserve">) </w:t>
            </w:r>
            <w:r w:rsidRPr="0053423A">
              <w:rPr>
                <w:lang w:val="ru-RU" w:eastAsia="ru-RU"/>
              </w:rPr>
              <w:t>կառավարման</w:t>
            </w:r>
            <w:r w:rsidRPr="0053423A">
              <w:rPr>
                <w:lang w:val="af-ZA" w:eastAsia="ru-RU"/>
              </w:rPr>
              <w:t xml:space="preserve"> </w:t>
            </w:r>
            <w:r w:rsidRPr="0053423A">
              <w:rPr>
                <w:lang w:val="ru-RU" w:eastAsia="ru-RU"/>
              </w:rPr>
              <w:t>միասնական</w:t>
            </w:r>
            <w:r w:rsidRPr="0053423A">
              <w:rPr>
                <w:lang w:val="af-ZA" w:eastAsia="ru-RU"/>
              </w:rPr>
              <w:t xml:space="preserve"> </w:t>
            </w:r>
            <w:r w:rsidRPr="0053423A">
              <w:rPr>
                <w:lang w:val="ru-RU" w:eastAsia="ru-RU"/>
              </w:rPr>
              <w:t>մոդելի</w:t>
            </w:r>
            <w:r w:rsidRPr="0053423A">
              <w:rPr>
                <w:lang w:val="af-ZA" w:eastAsia="ru-RU"/>
              </w:rPr>
              <w:t xml:space="preserve"> </w:t>
            </w:r>
            <w:r w:rsidRPr="0053423A">
              <w:rPr>
                <w:lang w:val="ru-RU" w:eastAsia="ru-RU"/>
              </w:rPr>
              <w:t>ձևավորում</w:t>
            </w:r>
            <w:r w:rsidRPr="0053423A">
              <w:rPr>
                <w:lang w:val="af-ZA" w:eastAsia="ru-RU"/>
              </w:rPr>
              <w:t>:</w:t>
            </w:r>
          </w:p>
          <w:p w:rsidR="007847C1" w:rsidRPr="0053423A" w:rsidRDefault="007847C1" w:rsidP="00A67858">
            <w:pPr>
              <w:tabs>
                <w:tab w:val="left" w:pos="3360"/>
              </w:tabs>
              <w:spacing w:line="276" w:lineRule="auto"/>
              <w:rPr>
                <w:rFonts w:cs="GHEA Grapalat"/>
                <w:lang w:val="fr-FR"/>
              </w:rPr>
            </w:pPr>
            <w:r w:rsidRPr="0053423A">
              <w:rPr>
                <w:rFonts w:cs="GHEA Grapalat"/>
                <w:lang w:val="af-ZA"/>
              </w:rPr>
              <w:t xml:space="preserve">     </w:t>
            </w:r>
            <w:r w:rsidRPr="0053423A">
              <w:rPr>
                <w:rFonts w:cs="GHEA Grapalat"/>
              </w:rPr>
              <w:t>Հայաստանի</w:t>
            </w:r>
            <w:r w:rsidRPr="0053423A">
              <w:rPr>
                <w:rFonts w:cs="GHEA Grapalat"/>
                <w:lang w:val="af-ZA"/>
              </w:rPr>
              <w:t xml:space="preserve"> </w:t>
            </w:r>
            <w:r w:rsidRPr="0053423A">
              <w:rPr>
                <w:rFonts w:cs="GHEA Grapalat"/>
              </w:rPr>
              <w:t>Հանրապետության</w:t>
            </w:r>
            <w:r w:rsidRPr="0053423A">
              <w:rPr>
                <w:rFonts w:cs="GHEA Grapalat"/>
                <w:lang w:val="af-ZA"/>
              </w:rPr>
              <w:t xml:space="preserve"> </w:t>
            </w:r>
            <w:r w:rsidRPr="0053423A">
              <w:rPr>
                <w:rFonts w:cs="GHEA Grapalat"/>
              </w:rPr>
              <w:t>հանրակրթական</w:t>
            </w:r>
            <w:r w:rsidRPr="0053423A">
              <w:rPr>
                <w:rFonts w:cs="GHEA Grapalat"/>
                <w:lang w:val="af-ZA"/>
              </w:rPr>
              <w:t xml:space="preserve"> </w:t>
            </w:r>
            <w:r w:rsidRPr="0053423A">
              <w:rPr>
                <w:rFonts w:cs="GHEA Grapalat"/>
              </w:rPr>
              <w:t>դպրոցների</w:t>
            </w:r>
            <w:r w:rsidRPr="0053423A">
              <w:rPr>
                <w:rFonts w:cs="GHEA Grapalat"/>
                <w:lang w:val="af-ZA"/>
              </w:rPr>
              <w:t xml:space="preserve"> </w:t>
            </w:r>
            <w:r w:rsidRPr="0053423A">
              <w:rPr>
                <w:rFonts w:cs="GHEA Grapalat"/>
              </w:rPr>
              <w:t>մարզադահլիճների</w:t>
            </w:r>
            <w:r w:rsidRPr="0053423A">
              <w:rPr>
                <w:rFonts w:cs="GHEA Grapalat"/>
                <w:lang w:val="af-ZA"/>
              </w:rPr>
              <w:t xml:space="preserve"> </w:t>
            </w:r>
            <w:r w:rsidRPr="0053423A">
              <w:rPr>
                <w:rFonts w:cs="GHEA Grapalat"/>
              </w:rPr>
              <w:t>օգտագործման</w:t>
            </w:r>
            <w:r w:rsidRPr="0053423A">
              <w:rPr>
                <w:rFonts w:cs="GHEA Grapalat"/>
                <w:lang w:val="af-ZA"/>
              </w:rPr>
              <w:t xml:space="preserve"> </w:t>
            </w:r>
            <w:r w:rsidRPr="0053423A">
              <w:rPr>
                <w:rFonts w:cs="GHEA Grapalat"/>
              </w:rPr>
              <w:t>և</w:t>
            </w:r>
            <w:r w:rsidRPr="0053423A">
              <w:rPr>
                <w:rFonts w:cs="GHEA Grapalat"/>
                <w:lang w:val="af-ZA"/>
              </w:rPr>
              <w:t xml:space="preserve"> </w:t>
            </w:r>
            <w:r w:rsidRPr="0053423A">
              <w:rPr>
                <w:rFonts w:cs="GHEA Grapalat"/>
              </w:rPr>
              <w:t>նյութատեխնիկական</w:t>
            </w:r>
            <w:r w:rsidRPr="0053423A">
              <w:rPr>
                <w:rFonts w:cs="GHEA Grapalat"/>
                <w:lang w:val="af-ZA"/>
              </w:rPr>
              <w:t xml:space="preserve"> </w:t>
            </w:r>
            <w:r w:rsidRPr="0053423A">
              <w:rPr>
                <w:rFonts w:cs="GHEA Grapalat"/>
              </w:rPr>
              <w:t>բազայի</w:t>
            </w:r>
            <w:r w:rsidRPr="0053423A">
              <w:rPr>
                <w:rFonts w:cs="GHEA Grapalat"/>
                <w:lang w:val="af-ZA"/>
              </w:rPr>
              <w:t xml:space="preserve"> </w:t>
            </w:r>
            <w:r w:rsidRPr="0053423A">
              <w:rPr>
                <w:rFonts w:cs="GHEA Grapalat"/>
              </w:rPr>
              <w:t>համալրման</w:t>
            </w:r>
            <w:r w:rsidRPr="0053423A">
              <w:rPr>
                <w:rFonts w:cs="GHEA Grapalat"/>
                <w:lang w:val="af-ZA"/>
              </w:rPr>
              <w:t xml:space="preserve"> </w:t>
            </w:r>
            <w:r w:rsidRPr="0053423A">
              <w:rPr>
                <w:rFonts w:cs="GHEA Grapalat"/>
              </w:rPr>
              <w:t>միասնական</w:t>
            </w:r>
            <w:r w:rsidRPr="0053423A">
              <w:rPr>
                <w:rFonts w:cs="GHEA Grapalat"/>
                <w:lang w:val="af-ZA"/>
              </w:rPr>
              <w:t xml:space="preserve"> </w:t>
            </w:r>
            <w:r w:rsidRPr="0053423A">
              <w:rPr>
                <w:rFonts w:cs="GHEA Grapalat"/>
              </w:rPr>
              <w:t>գործիքակազմի</w:t>
            </w:r>
            <w:r w:rsidRPr="0053423A">
              <w:rPr>
                <w:rFonts w:cs="GHEA Grapalat"/>
                <w:lang w:val="af-ZA"/>
              </w:rPr>
              <w:t xml:space="preserve"> </w:t>
            </w:r>
            <w:r w:rsidRPr="0053423A">
              <w:rPr>
                <w:rFonts w:cs="GHEA Grapalat"/>
              </w:rPr>
              <w:t>ձևավորում</w:t>
            </w:r>
            <w:r w:rsidRPr="0053423A">
              <w:rPr>
                <w:rFonts w:cs="GHEA Grapalat"/>
                <w:lang w:val="af-ZA"/>
              </w:rPr>
              <w:t>:</w:t>
            </w:r>
          </w:p>
        </w:tc>
      </w:tr>
      <w:tr w:rsidR="007847C1" w:rsidRPr="0053423A" w:rsidTr="007847C1">
        <w:tc>
          <w:tcPr>
            <w:tcW w:w="450" w:type="dxa"/>
          </w:tcPr>
          <w:p w:rsidR="007847C1" w:rsidRPr="0053423A" w:rsidRDefault="007847C1" w:rsidP="00A67858">
            <w:pPr>
              <w:tabs>
                <w:tab w:val="left" w:pos="3360"/>
              </w:tabs>
              <w:spacing w:line="276" w:lineRule="auto"/>
              <w:jc w:val="center"/>
              <w:rPr>
                <w:rFonts w:cs="GHEA Grapalat"/>
                <w:lang w:val="fr-FR"/>
              </w:rPr>
            </w:pPr>
            <w:r w:rsidRPr="0053423A">
              <w:rPr>
                <w:rFonts w:cs="GHEA Grapalat"/>
                <w:lang w:val="fr-FR"/>
              </w:rPr>
              <w:t>4</w:t>
            </w:r>
          </w:p>
        </w:tc>
        <w:tc>
          <w:tcPr>
            <w:tcW w:w="10890" w:type="dxa"/>
          </w:tcPr>
          <w:p w:rsidR="007847C1" w:rsidRPr="0053423A" w:rsidRDefault="007847C1" w:rsidP="00A67858">
            <w:pPr>
              <w:spacing w:line="276" w:lineRule="auto"/>
              <w:ind w:firstLine="720"/>
              <w:rPr>
                <w:rFonts w:cs="GHEA Grapalat"/>
                <w:b/>
                <w:lang w:val="fr-FR"/>
              </w:rPr>
            </w:pPr>
            <w:r w:rsidRPr="0053423A">
              <w:rPr>
                <w:rFonts w:cs="GHEA Grapalat"/>
                <w:b/>
                <w:lang w:val="af-ZA"/>
              </w:rPr>
              <w:t>4.1</w:t>
            </w:r>
            <w:r w:rsidRPr="0053423A">
              <w:rPr>
                <w:rFonts w:ascii="Calibri" w:hAnsi="Calibri" w:cs="Calibri"/>
                <w:b/>
                <w:lang w:val="af-ZA"/>
              </w:rPr>
              <w:t> </w:t>
            </w:r>
            <w:r w:rsidRPr="0053423A">
              <w:rPr>
                <w:rFonts w:cs="GHEA Grapalat"/>
                <w:b/>
                <w:lang w:val="af-ZA"/>
              </w:rPr>
              <w:t>«</w:t>
            </w:r>
            <w:r w:rsidRPr="0053423A">
              <w:rPr>
                <w:rFonts w:cs="GHEA Grapalat"/>
                <w:b/>
              </w:rPr>
              <w:t>ՍՊՈՐՏԻ</w:t>
            </w:r>
            <w:r w:rsidRPr="0053423A">
              <w:rPr>
                <w:rFonts w:cs="GHEA Grapalat"/>
                <w:b/>
                <w:lang w:val="af-ZA"/>
              </w:rPr>
              <w:t xml:space="preserve"> </w:t>
            </w:r>
            <w:r w:rsidRPr="0053423A">
              <w:rPr>
                <w:rFonts w:cs="GHEA Grapalat"/>
                <w:b/>
              </w:rPr>
              <w:t>ԲԱՐՁՐԱԳՈՒՅՆ</w:t>
            </w:r>
            <w:r w:rsidRPr="0053423A">
              <w:rPr>
                <w:rFonts w:cs="GHEA Grapalat"/>
                <w:b/>
                <w:lang w:val="af-ZA"/>
              </w:rPr>
              <w:t xml:space="preserve"> </w:t>
            </w:r>
            <w:r w:rsidRPr="0053423A">
              <w:rPr>
                <w:rFonts w:cs="GHEA Grapalat"/>
                <w:b/>
              </w:rPr>
              <w:t>ՆՎԱՃՈՒՄՆԵՐԻ</w:t>
            </w:r>
            <w:r w:rsidRPr="0053423A">
              <w:rPr>
                <w:rFonts w:cs="GHEA Grapalat"/>
                <w:b/>
                <w:lang w:val="af-ZA"/>
              </w:rPr>
              <w:t xml:space="preserve"> </w:t>
            </w:r>
            <w:r w:rsidRPr="0053423A">
              <w:rPr>
                <w:rFonts w:cs="GHEA Grapalat"/>
                <w:b/>
              </w:rPr>
              <w:t>ՀԱՅԵՑԱԿԱՐԳԸ</w:t>
            </w:r>
            <w:r w:rsidRPr="0053423A">
              <w:rPr>
                <w:rFonts w:cs="GHEA Grapalat"/>
                <w:b/>
                <w:lang w:val="af-ZA"/>
              </w:rPr>
              <w:t xml:space="preserve"> </w:t>
            </w:r>
            <w:r w:rsidRPr="0053423A">
              <w:rPr>
                <w:rFonts w:cs="GHEA Grapalat"/>
                <w:b/>
              </w:rPr>
              <w:t>ՀԱՍՏԱՏԵԼՈՒ</w:t>
            </w:r>
            <w:r w:rsidRPr="0053423A">
              <w:rPr>
                <w:rFonts w:cs="GHEA Grapalat"/>
                <w:b/>
                <w:lang w:val="af-ZA"/>
              </w:rPr>
              <w:t xml:space="preserve"> </w:t>
            </w:r>
            <w:r w:rsidRPr="0053423A">
              <w:rPr>
                <w:rFonts w:cs="GHEA Grapalat"/>
                <w:b/>
              </w:rPr>
              <w:t>ՄԱՍԻՆ</w:t>
            </w:r>
            <w:r w:rsidRPr="0053423A">
              <w:rPr>
                <w:rFonts w:cs="GHEA Grapalat"/>
                <w:b/>
                <w:lang w:val="af-ZA"/>
              </w:rPr>
              <w:t xml:space="preserve">» </w:t>
            </w:r>
            <w:r w:rsidRPr="0053423A">
              <w:rPr>
                <w:rFonts w:cs="GHEA Grapalat"/>
                <w:b/>
              </w:rPr>
              <w:t>ՀԱՅԱՍՏԱՆԻ</w:t>
            </w:r>
            <w:r w:rsidRPr="0053423A">
              <w:rPr>
                <w:rFonts w:cs="GHEA Grapalat"/>
                <w:b/>
                <w:lang w:val="af-ZA"/>
              </w:rPr>
              <w:t xml:space="preserve"> </w:t>
            </w:r>
            <w:r w:rsidRPr="0053423A">
              <w:rPr>
                <w:rFonts w:cs="GHEA Grapalat"/>
                <w:b/>
              </w:rPr>
              <w:t>ՀԱՆՐԱՊԵՏՈՒԹՅԱՆ</w:t>
            </w:r>
            <w:r w:rsidRPr="0053423A">
              <w:rPr>
                <w:rFonts w:cs="GHEA Grapalat"/>
                <w:b/>
                <w:lang w:val="af-ZA"/>
              </w:rPr>
              <w:t xml:space="preserve"> </w:t>
            </w:r>
            <w:r w:rsidRPr="0053423A">
              <w:rPr>
                <w:rFonts w:cs="GHEA Grapalat"/>
                <w:b/>
              </w:rPr>
              <w:t>ԿԱՌԱՎԱՐՈՒԹՅԱՆ</w:t>
            </w:r>
            <w:r w:rsidRPr="0053423A">
              <w:rPr>
                <w:rFonts w:cs="GHEA Grapalat"/>
                <w:b/>
                <w:lang w:val="af-ZA"/>
              </w:rPr>
              <w:t xml:space="preserve"> </w:t>
            </w:r>
            <w:r w:rsidRPr="0053423A">
              <w:rPr>
                <w:rFonts w:cs="GHEA Grapalat"/>
                <w:b/>
              </w:rPr>
              <w:t>ՈՐՈՇՄԱՆ</w:t>
            </w:r>
            <w:r w:rsidRPr="0053423A">
              <w:rPr>
                <w:rFonts w:cs="GHEA Grapalat"/>
                <w:b/>
                <w:lang w:val="af-ZA"/>
              </w:rPr>
              <w:t xml:space="preserve"> </w:t>
            </w:r>
            <w:r w:rsidRPr="0053423A">
              <w:rPr>
                <w:rFonts w:cs="GHEA Grapalat"/>
                <w:b/>
              </w:rPr>
              <w:t>ՆԱԽԱԳԾԻ</w:t>
            </w:r>
            <w:r w:rsidRPr="0053423A">
              <w:rPr>
                <w:rFonts w:cs="GHEA Grapalat"/>
                <w:b/>
                <w:lang w:val="af-ZA"/>
              </w:rPr>
              <w:t xml:space="preserve"> </w:t>
            </w:r>
            <w:r w:rsidRPr="0053423A">
              <w:rPr>
                <w:rFonts w:cs="GHEA Grapalat"/>
                <w:b/>
              </w:rPr>
              <w:t>ՆԵՐԿԱՅԱՑՈՒՄ</w:t>
            </w:r>
            <w:r w:rsidRPr="0053423A">
              <w:rPr>
                <w:rFonts w:cs="GHEA Grapalat"/>
                <w:b/>
                <w:lang w:val="af-ZA"/>
              </w:rPr>
              <w:t xml:space="preserve"> </w:t>
            </w:r>
            <w:r w:rsidRPr="0053423A">
              <w:rPr>
                <w:rFonts w:cs="GHEA Grapalat"/>
                <w:b/>
              </w:rPr>
              <w:t>ՀՀ</w:t>
            </w:r>
            <w:r w:rsidRPr="0053423A">
              <w:rPr>
                <w:rFonts w:cs="GHEA Grapalat"/>
                <w:b/>
                <w:lang w:val="af-ZA"/>
              </w:rPr>
              <w:t xml:space="preserve"> </w:t>
            </w:r>
            <w:r w:rsidRPr="0053423A">
              <w:rPr>
                <w:rFonts w:cs="GHEA Grapalat"/>
                <w:b/>
              </w:rPr>
              <w:t>ՎԱՐՉԱՊԵՏԻ</w:t>
            </w:r>
            <w:r w:rsidRPr="0053423A">
              <w:rPr>
                <w:rFonts w:cs="GHEA Grapalat"/>
                <w:b/>
                <w:lang w:val="af-ZA"/>
              </w:rPr>
              <w:t xml:space="preserve"> </w:t>
            </w:r>
            <w:r w:rsidRPr="0053423A">
              <w:rPr>
                <w:rFonts w:cs="GHEA Grapalat"/>
                <w:b/>
              </w:rPr>
              <w:t>ԱՇԽԱՏԱԿԱԶՄ</w:t>
            </w:r>
          </w:p>
          <w:p w:rsidR="007847C1" w:rsidRPr="0053423A" w:rsidRDefault="007847C1" w:rsidP="00A67858">
            <w:pPr>
              <w:spacing w:line="276" w:lineRule="auto"/>
              <w:ind w:left="735"/>
              <w:rPr>
                <w:b/>
                <w:bCs/>
                <w:lang w:val="af-ZA"/>
              </w:rPr>
            </w:pPr>
          </w:p>
          <w:p w:rsidR="007847C1" w:rsidRPr="0053423A" w:rsidRDefault="007847C1" w:rsidP="001F6D5D">
            <w:pPr>
              <w:numPr>
                <w:ilvl w:val="0"/>
                <w:numId w:val="247"/>
              </w:numPr>
              <w:spacing w:line="276" w:lineRule="auto"/>
              <w:ind w:left="1170" w:hanging="90"/>
              <w:contextualSpacing/>
              <w:rPr>
                <w:b/>
                <w:bCs/>
              </w:rPr>
            </w:pPr>
            <w:r w:rsidRPr="0053423A">
              <w:rPr>
                <w:b/>
                <w:bCs/>
              </w:rPr>
              <w:t>Միջոցառման իրականացման անհրաժեշտությունը և նպատակը</w:t>
            </w:r>
          </w:p>
          <w:p w:rsidR="007847C1" w:rsidRPr="0053423A" w:rsidRDefault="007847C1" w:rsidP="00A67858">
            <w:pPr>
              <w:spacing w:line="276" w:lineRule="auto"/>
              <w:ind w:firstLine="720"/>
              <w:rPr>
                <w:bCs/>
              </w:rPr>
            </w:pPr>
            <w:r w:rsidRPr="0053423A">
              <w:rPr>
                <w:bCs/>
              </w:rPr>
              <w:t xml:space="preserve">Հստակեցնել  </w:t>
            </w:r>
            <w:r w:rsidRPr="0053423A">
              <w:rPr>
                <w:rFonts w:cs="GHEA Grapalat"/>
              </w:rPr>
              <w:t xml:space="preserve">սպորտի բարձրագույն նվաճումների համար խթան հադիսացող ուղղությունները, </w:t>
            </w:r>
            <w:r w:rsidRPr="0053423A">
              <w:rPr>
                <w:bCs/>
              </w:rPr>
              <w:t>նպաստել Հայաստանի Հանրապետության հավաքական թիմերի մարզիկների մարզական արդյունքների աճին:</w:t>
            </w:r>
          </w:p>
          <w:p w:rsidR="007847C1" w:rsidRPr="0053423A" w:rsidRDefault="007847C1" w:rsidP="00A67858">
            <w:pPr>
              <w:spacing w:line="276" w:lineRule="auto"/>
              <w:ind w:left="810" w:hanging="90"/>
              <w:rPr>
                <w:bCs/>
              </w:rPr>
            </w:pPr>
          </w:p>
          <w:p w:rsidR="007847C1" w:rsidRPr="0053423A" w:rsidRDefault="007847C1" w:rsidP="001F6D5D">
            <w:pPr>
              <w:numPr>
                <w:ilvl w:val="1"/>
                <w:numId w:val="246"/>
              </w:numPr>
              <w:spacing w:line="276" w:lineRule="auto"/>
              <w:ind w:firstLine="360"/>
              <w:contextualSpacing/>
              <w:rPr>
                <w:b/>
                <w:bCs/>
              </w:rPr>
            </w:pPr>
            <w:r w:rsidRPr="0053423A">
              <w:rPr>
                <w:b/>
                <w:bCs/>
              </w:rPr>
              <w:t>Կարգավորման հարաբերությունների ներկա վիճակը և առկա խնդիրները</w:t>
            </w:r>
          </w:p>
          <w:p w:rsidR="007847C1" w:rsidRPr="0053423A" w:rsidRDefault="007847C1" w:rsidP="00A67858">
            <w:pPr>
              <w:spacing w:line="276" w:lineRule="auto"/>
              <w:ind w:firstLine="720"/>
              <w:jc w:val="both"/>
            </w:pPr>
            <w:r w:rsidRPr="0053423A">
              <w:rPr>
                <w:bCs/>
              </w:rPr>
              <w:t xml:space="preserve">    2018 թվականին պետական աջակցության ծրագրում ընդգրկված 34 ազգային ֆեդերացիաները պետական աջակցության գումարներով կազմակերպել են 137 ուսումնամարզական հավաք, 96 Հայաստանի Հանրապետության առաջնություններ (մեծահասակների, երիտասարդների, պատանիների), մասնակցել են 185 միջազգային մրցաշարերի, այդ թվում՝ Եվրոպայի և աշխարհի առաջնությունների: 2018 թվականին ՀՀ հավաքական թիմերի մարզիկները մեծահասակների, երիտասարդների և պատանիների ՀՀ առաջնություններում նվաճել են 71 ոսկե, 57 արծաթե և 75 բրոնզե մեդալ, ընդհանուր հաշվարկով՝ 203 մեդալ: </w:t>
            </w:r>
            <w:r w:rsidRPr="0053423A">
              <w:t xml:space="preserve"> 2019 թվականին պետական աջակցության ծրագրում ընդգրկված են 35 ազգային ֆեդերացիա: Առկա խնդիրներն են մարզաբազաներով հավաքական թիմերի ոչ բավարար ապահովումը, որովհետև անհրաժեշտ է, որ բոլոր հավաքական թիմերը ունենան հիմնական մարզումների վայր` ապահովված մարզումների և կեցության անհրաժեշտ պայմաններով: </w:t>
            </w:r>
          </w:p>
          <w:p w:rsidR="007847C1" w:rsidRPr="0053423A" w:rsidRDefault="007847C1" w:rsidP="00A67858">
            <w:pPr>
              <w:spacing w:line="276" w:lineRule="auto"/>
              <w:ind w:firstLine="735"/>
              <w:jc w:val="both"/>
            </w:pPr>
          </w:p>
          <w:p w:rsidR="007847C1" w:rsidRPr="0053423A" w:rsidRDefault="007847C1" w:rsidP="001F6D5D">
            <w:pPr>
              <w:numPr>
                <w:ilvl w:val="1"/>
                <w:numId w:val="246"/>
              </w:numPr>
              <w:spacing w:line="276" w:lineRule="auto"/>
              <w:ind w:firstLine="360"/>
              <w:contextualSpacing/>
              <w:rPr>
                <w:b/>
                <w:bCs/>
              </w:rPr>
            </w:pPr>
            <w:r w:rsidRPr="0053423A">
              <w:rPr>
                <w:b/>
                <w:bCs/>
              </w:rPr>
              <w:t>Առկա խնդիրների առաջարկվող լուծումները</w:t>
            </w:r>
          </w:p>
          <w:p w:rsidR="007847C1" w:rsidRPr="0053423A" w:rsidRDefault="007847C1" w:rsidP="00A67858">
            <w:pPr>
              <w:spacing w:line="276" w:lineRule="auto"/>
              <w:ind w:firstLine="720"/>
              <w:jc w:val="both"/>
            </w:pPr>
            <w:r w:rsidRPr="0053423A">
              <w:t xml:space="preserve">     Հայեցակարգի մշակմամբ ակնկալվում է համակարգային լուծում տալ մեծահասակների, երիտասարդներու ու պատանիների ՀՀ հավաքական թիմերի մարզումների համար անհրաժեշտ պայմանների ապահովման խնդրին: </w:t>
            </w:r>
          </w:p>
          <w:p w:rsidR="007847C1" w:rsidRPr="0053423A" w:rsidRDefault="007847C1" w:rsidP="00A67858">
            <w:pPr>
              <w:spacing w:line="276" w:lineRule="auto"/>
              <w:ind w:firstLine="720"/>
              <w:jc w:val="both"/>
            </w:pPr>
          </w:p>
          <w:p w:rsidR="007847C1" w:rsidRPr="0053423A" w:rsidRDefault="007847C1" w:rsidP="00A67858">
            <w:pPr>
              <w:spacing w:line="276" w:lineRule="auto"/>
              <w:ind w:left="720"/>
              <w:contextualSpacing/>
              <w:rPr>
                <w:bCs/>
              </w:rPr>
            </w:pPr>
            <w:r w:rsidRPr="0053423A">
              <w:rPr>
                <w:b/>
              </w:rPr>
              <w:t xml:space="preserve">     2.</w:t>
            </w:r>
            <w:r w:rsidRPr="0053423A">
              <w:rPr>
                <w:rFonts w:ascii="Calibri" w:hAnsi="Calibri" w:cs="Calibri"/>
                <w:b/>
              </w:rPr>
              <w:t> </w:t>
            </w:r>
            <w:r w:rsidRPr="0053423A">
              <w:rPr>
                <w:b/>
              </w:rPr>
              <w:t>Միջոցառման իրականացումից ակնկալվող արդյունքը</w:t>
            </w:r>
          </w:p>
          <w:p w:rsidR="007847C1" w:rsidRPr="0053423A" w:rsidRDefault="007847C1" w:rsidP="00A67858">
            <w:pPr>
              <w:tabs>
                <w:tab w:val="left" w:pos="3360"/>
              </w:tabs>
              <w:spacing w:line="276" w:lineRule="auto"/>
              <w:rPr>
                <w:rFonts w:cs="GHEA Grapalat"/>
                <w:lang w:val="fr-FR"/>
              </w:rPr>
            </w:pPr>
            <w:r w:rsidRPr="0053423A">
              <w:t xml:space="preserve">     Մարզական արդյունքների աճի խթանում, մարզական բարձր արդյունքների հաստատունություն:</w:t>
            </w:r>
            <w:r w:rsidRPr="0053423A">
              <w:rPr>
                <w:rFonts w:cs="GHEA Grapalat"/>
              </w:rPr>
              <w:t xml:space="preserve"> Սպորտի բարձրագույն նվաճումների մարզական արդյունքների աճ` մասնավորապես` 2021-2025 թվականներին` հինգ տոկոսով:</w:t>
            </w:r>
          </w:p>
        </w:tc>
      </w:tr>
      <w:tr w:rsidR="007847C1" w:rsidRPr="0053423A" w:rsidTr="007847C1">
        <w:tc>
          <w:tcPr>
            <w:tcW w:w="450" w:type="dxa"/>
          </w:tcPr>
          <w:p w:rsidR="007847C1" w:rsidRPr="0053423A" w:rsidRDefault="007847C1" w:rsidP="00A67858">
            <w:pPr>
              <w:tabs>
                <w:tab w:val="left" w:pos="3360"/>
              </w:tabs>
              <w:spacing w:line="276" w:lineRule="auto"/>
              <w:jc w:val="center"/>
              <w:rPr>
                <w:rFonts w:cs="GHEA Grapalat"/>
                <w:lang w:val="fr-FR"/>
              </w:rPr>
            </w:pPr>
            <w:r w:rsidRPr="0053423A">
              <w:rPr>
                <w:rFonts w:cs="GHEA Grapalat"/>
                <w:lang w:val="fr-FR"/>
              </w:rPr>
              <w:t>5</w:t>
            </w:r>
          </w:p>
        </w:tc>
        <w:tc>
          <w:tcPr>
            <w:tcW w:w="10890" w:type="dxa"/>
          </w:tcPr>
          <w:p w:rsidR="007847C1" w:rsidRPr="0053423A" w:rsidRDefault="007847C1" w:rsidP="00A67858">
            <w:pPr>
              <w:spacing w:line="276" w:lineRule="auto"/>
              <w:jc w:val="both"/>
              <w:rPr>
                <w:rFonts w:cs="GHEA Grapalat"/>
                <w:b/>
                <w:lang w:val="fr-FR"/>
              </w:rPr>
            </w:pPr>
            <w:r w:rsidRPr="0053423A">
              <w:rPr>
                <w:rFonts w:cs="GHEA Grapalat"/>
                <w:b/>
                <w:lang w:val="fr-FR"/>
              </w:rPr>
              <w:t>5.1 «</w:t>
            </w:r>
            <w:r w:rsidRPr="0053423A">
              <w:rPr>
                <w:rFonts w:cs="Tahoma"/>
                <w:b/>
              </w:rPr>
              <w:t>Հ</w:t>
            </w:r>
            <w:r w:rsidRPr="0053423A">
              <w:rPr>
                <w:rFonts w:cs="Tahoma"/>
                <w:b/>
                <w:lang w:val="ru-RU"/>
              </w:rPr>
              <w:t>ԱՅԱՍՏԱՆԻ</w:t>
            </w:r>
            <w:r w:rsidRPr="0053423A">
              <w:rPr>
                <w:rFonts w:cs="GHEA Grapalat"/>
                <w:b/>
                <w:lang w:val="fr-FR"/>
              </w:rPr>
              <w:t xml:space="preserve"> </w:t>
            </w:r>
            <w:r w:rsidRPr="0053423A">
              <w:rPr>
                <w:rFonts w:cs="Tahoma"/>
                <w:b/>
              </w:rPr>
              <w:t>Հ</w:t>
            </w:r>
            <w:r w:rsidRPr="0053423A">
              <w:rPr>
                <w:rFonts w:cs="Tahoma"/>
                <w:b/>
                <w:lang w:val="ru-RU"/>
              </w:rPr>
              <w:t>ԱՆՐԱՊԵՏՈՒԹՅԱՆ</w:t>
            </w:r>
            <w:r w:rsidRPr="0053423A">
              <w:rPr>
                <w:rFonts w:cs="GHEA Grapalat"/>
                <w:b/>
                <w:lang w:val="fr-FR"/>
              </w:rPr>
              <w:t xml:space="preserve"> </w:t>
            </w:r>
            <w:r w:rsidRPr="0053423A">
              <w:rPr>
                <w:rFonts w:cs="Tahoma"/>
                <w:b/>
                <w:lang w:val="ru-RU"/>
              </w:rPr>
              <w:t>ԵՐԻՏԱՍԱՐԴԱԿԱՆ</w:t>
            </w:r>
            <w:r w:rsidRPr="0053423A">
              <w:rPr>
                <w:rFonts w:cs="GHEA Grapalat"/>
                <w:b/>
                <w:lang w:val="fr-FR"/>
              </w:rPr>
              <w:t xml:space="preserve"> </w:t>
            </w:r>
            <w:r w:rsidRPr="0053423A">
              <w:rPr>
                <w:rFonts w:cs="Tahoma"/>
                <w:b/>
                <w:lang w:val="ru-RU"/>
              </w:rPr>
              <w:t>ՊԵՏԱԿԱՆ</w:t>
            </w:r>
            <w:r w:rsidRPr="0053423A">
              <w:rPr>
                <w:rFonts w:cs="GHEA Grapalat"/>
                <w:b/>
                <w:lang w:val="fr-FR"/>
              </w:rPr>
              <w:t xml:space="preserve"> </w:t>
            </w:r>
            <w:r w:rsidRPr="0053423A">
              <w:rPr>
                <w:rFonts w:cs="Tahoma"/>
                <w:b/>
                <w:lang w:val="ru-RU"/>
              </w:rPr>
              <w:t>ՔԱՂԱՔԱԿԱՆՈՒԹՅԱՆ</w:t>
            </w:r>
            <w:r w:rsidRPr="0053423A">
              <w:rPr>
                <w:rFonts w:cs="GHEA Grapalat"/>
                <w:b/>
                <w:lang w:val="fr-FR"/>
              </w:rPr>
              <w:t xml:space="preserve"> </w:t>
            </w:r>
            <w:r w:rsidRPr="0053423A">
              <w:rPr>
                <w:rFonts w:cs="Tahoma"/>
                <w:b/>
                <w:lang w:val="ru-RU"/>
              </w:rPr>
              <w:t>ՀԱՅԵՑԱԿԱՐ</w:t>
            </w:r>
            <w:r w:rsidRPr="0053423A">
              <w:rPr>
                <w:rFonts w:cs="Tahoma"/>
                <w:b/>
              </w:rPr>
              <w:t>ԳԸ</w:t>
            </w:r>
            <w:r w:rsidRPr="0053423A">
              <w:rPr>
                <w:rFonts w:cs="GHEA Grapalat"/>
                <w:b/>
                <w:lang w:val="fr-FR"/>
              </w:rPr>
              <w:t xml:space="preserve"> </w:t>
            </w:r>
            <w:r w:rsidRPr="0053423A">
              <w:rPr>
                <w:rFonts w:cs="GHEA Grapalat"/>
                <w:b/>
              </w:rPr>
              <w:t>ՀԱՍՏԱՏԵԼՈՒ</w:t>
            </w:r>
            <w:r w:rsidRPr="0053423A">
              <w:rPr>
                <w:rFonts w:cs="GHEA Grapalat"/>
                <w:b/>
                <w:lang w:val="fr-FR"/>
              </w:rPr>
              <w:t xml:space="preserve"> </w:t>
            </w:r>
            <w:r w:rsidRPr="0053423A">
              <w:rPr>
                <w:rFonts w:cs="GHEA Grapalat"/>
                <w:b/>
              </w:rPr>
              <w:t>ՄԱՍԻՆ</w:t>
            </w:r>
            <w:r w:rsidRPr="0053423A">
              <w:rPr>
                <w:rFonts w:cs="GHEA Grapalat"/>
                <w:b/>
                <w:lang w:val="fr-FR"/>
              </w:rPr>
              <w:t xml:space="preserve">» </w:t>
            </w:r>
            <w:r w:rsidRPr="0053423A">
              <w:rPr>
                <w:rFonts w:cs="GHEA Grapalat"/>
                <w:b/>
              </w:rPr>
              <w:t>ՀԱՅԱՍՏԱՆԻ</w:t>
            </w:r>
            <w:r w:rsidRPr="0053423A">
              <w:rPr>
                <w:rFonts w:cs="GHEA Grapalat"/>
                <w:b/>
                <w:lang w:val="fr-FR"/>
              </w:rPr>
              <w:t xml:space="preserve"> </w:t>
            </w:r>
            <w:r w:rsidRPr="0053423A">
              <w:rPr>
                <w:rFonts w:cs="GHEA Grapalat"/>
                <w:b/>
              </w:rPr>
              <w:t>ՀԱՆՐԱՊԵՏՈՒԹՅԱՆ</w:t>
            </w:r>
            <w:r w:rsidRPr="0053423A">
              <w:rPr>
                <w:rFonts w:cs="GHEA Grapalat"/>
                <w:b/>
                <w:lang w:val="fr-FR"/>
              </w:rPr>
              <w:t xml:space="preserve"> </w:t>
            </w:r>
            <w:r w:rsidRPr="0053423A">
              <w:rPr>
                <w:rFonts w:cs="GHEA Grapalat"/>
                <w:b/>
              </w:rPr>
              <w:t>ԿԱՌԱՎԱՐՈՒԹՅԱՆ</w:t>
            </w:r>
            <w:r w:rsidRPr="0053423A">
              <w:rPr>
                <w:rFonts w:cs="GHEA Grapalat"/>
                <w:b/>
                <w:lang w:val="fr-FR"/>
              </w:rPr>
              <w:t xml:space="preserve"> </w:t>
            </w:r>
            <w:r w:rsidRPr="0053423A">
              <w:rPr>
                <w:rFonts w:cs="GHEA Grapalat"/>
                <w:b/>
              </w:rPr>
              <w:t>ՈՐՈՇՄԱՆ</w:t>
            </w:r>
            <w:r w:rsidRPr="0053423A">
              <w:rPr>
                <w:rFonts w:cs="GHEA Grapalat"/>
                <w:b/>
                <w:lang w:val="fr-FR"/>
              </w:rPr>
              <w:t xml:space="preserve"> </w:t>
            </w:r>
            <w:r w:rsidRPr="0053423A">
              <w:rPr>
                <w:rFonts w:cs="GHEA Grapalat"/>
                <w:b/>
              </w:rPr>
              <w:t>ՆԱԽԱԳԾԻ</w:t>
            </w:r>
            <w:r w:rsidRPr="0053423A">
              <w:rPr>
                <w:rFonts w:cs="GHEA Grapalat"/>
                <w:b/>
                <w:lang w:val="fr-FR"/>
              </w:rPr>
              <w:t xml:space="preserve"> </w:t>
            </w:r>
            <w:r w:rsidRPr="0053423A">
              <w:rPr>
                <w:rFonts w:cs="GHEA Grapalat"/>
                <w:b/>
              </w:rPr>
              <w:t>ՆԵՐԿԱՅԱՑՈՒՄ</w:t>
            </w:r>
            <w:r w:rsidRPr="0053423A">
              <w:rPr>
                <w:rFonts w:cs="GHEA Grapalat"/>
                <w:b/>
                <w:lang w:val="fr-FR"/>
              </w:rPr>
              <w:t xml:space="preserve"> </w:t>
            </w:r>
            <w:r w:rsidRPr="0053423A">
              <w:rPr>
                <w:rFonts w:cs="GHEA Grapalat"/>
                <w:b/>
              </w:rPr>
              <w:t>ՀՀ</w:t>
            </w:r>
            <w:r w:rsidRPr="0053423A">
              <w:rPr>
                <w:rFonts w:cs="GHEA Grapalat"/>
                <w:b/>
                <w:lang w:val="fr-FR"/>
              </w:rPr>
              <w:t xml:space="preserve"> </w:t>
            </w:r>
            <w:r w:rsidRPr="0053423A">
              <w:rPr>
                <w:rFonts w:cs="GHEA Grapalat"/>
                <w:b/>
              </w:rPr>
              <w:t>ՎԱՐՉԱՊԵՏԻ</w:t>
            </w:r>
            <w:r w:rsidRPr="0053423A">
              <w:rPr>
                <w:rFonts w:cs="GHEA Grapalat"/>
                <w:b/>
                <w:lang w:val="fr-FR"/>
              </w:rPr>
              <w:t xml:space="preserve"> </w:t>
            </w:r>
            <w:r w:rsidRPr="0053423A">
              <w:rPr>
                <w:rFonts w:cs="GHEA Grapalat"/>
                <w:b/>
              </w:rPr>
              <w:t>ԱՇԽԱՏԱԿԱԶՄ</w:t>
            </w:r>
            <w:r w:rsidRPr="0053423A">
              <w:rPr>
                <w:rFonts w:cs="GHEA Grapalat"/>
                <w:b/>
                <w:lang w:val="fr-FR"/>
              </w:rPr>
              <w:t xml:space="preserve"> </w:t>
            </w:r>
          </w:p>
          <w:p w:rsidR="007847C1" w:rsidRPr="0053423A" w:rsidRDefault="007847C1" w:rsidP="00A67858">
            <w:pPr>
              <w:spacing w:line="276" w:lineRule="auto"/>
              <w:jc w:val="both"/>
              <w:rPr>
                <w:rFonts w:cs="GHEA Grapalat"/>
                <w:b/>
                <w:lang w:val="fr-FR"/>
              </w:rPr>
            </w:pPr>
          </w:p>
          <w:p w:rsidR="007847C1" w:rsidRPr="0053423A" w:rsidRDefault="007847C1" w:rsidP="001F6D5D">
            <w:pPr>
              <w:numPr>
                <w:ilvl w:val="0"/>
                <w:numId w:val="252"/>
              </w:numPr>
              <w:tabs>
                <w:tab w:val="left" w:pos="1080"/>
              </w:tabs>
              <w:spacing w:line="276" w:lineRule="auto"/>
              <w:ind w:left="0" w:firstLine="1080"/>
              <w:contextualSpacing/>
              <w:jc w:val="both"/>
              <w:rPr>
                <w:rFonts w:cs="GHEA Grapalat"/>
                <w:b/>
              </w:rPr>
            </w:pPr>
            <w:r w:rsidRPr="0053423A">
              <w:rPr>
                <w:rFonts w:cs="GHEA Grapalat"/>
                <w:b/>
              </w:rPr>
              <w:t>Միջոցառման իրականացման անհրաժեշտությունը և նպատակը</w:t>
            </w:r>
          </w:p>
          <w:p w:rsidR="007847C1" w:rsidRPr="0053423A" w:rsidRDefault="007847C1" w:rsidP="00A67858">
            <w:pPr>
              <w:tabs>
                <w:tab w:val="left" w:pos="1080"/>
              </w:tabs>
              <w:spacing w:line="276" w:lineRule="auto"/>
              <w:ind w:firstLine="720"/>
              <w:contextualSpacing/>
              <w:jc w:val="both"/>
              <w:rPr>
                <w:rFonts w:cs="GHEA Grapalat"/>
              </w:rPr>
            </w:pPr>
            <w:r w:rsidRPr="0053423A">
              <w:rPr>
                <w:rFonts w:cs="GHEA Grapalat"/>
              </w:rPr>
              <w:t xml:space="preserve">    Պետության զարգացման և հասարակական առաջընթացի գրեթե բոլոր բնագավառներում իր ակտիվ մասնակցությունն ու արժանի ներդրումն է ունեցել երիտասարդությունը: Չկա որևէ ոլորտ՝ մշակույթ, կրթություն, գիտություն, սպորտ, ձեռներեցություն, կառավարում և այլն, որտեղ առկա խնդիրներն ու հիմնահարցերն այս կամ այն կերպ չառնչվեն երիտասարդությանը:</w:t>
            </w:r>
          </w:p>
          <w:p w:rsidR="007847C1" w:rsidRPr="0053423A" w:rsidRDefault="007847C1" w:rsidP="00A67858">
            <w:pPr>
              <w:tabs>
                <w:tab w:val="left" w:pos="1080"/>
              </w:tabs>
              <w:spacing w:line="276" w:lineRule="auto"/>
              <w:ind w:firstLine="720"/>
              <w:contextualSpacing/>
              <w:jc w:val="both"/>
              <w:rPr>
                <w:rFonts w:cs="GHEA Grapalat"/>
              </w:rPr>
            </w:pPr>
            <w:r w:rsidRPr="0053423A">
              <w:rPr>
                <w:rFonts w:cs="GHEA Grapalat"/>
              </w:rPr>
              <w:t xml:space="preserve">    Կարևորելով երիտասարդության դերը մեր երկրի կայացման գործընթացներում՝ անհրաժեշտություն է համակարգված ու համալիր քաղաքականություն որդեգրել երիտասարդության նկատմամբ:</w:t>
            </w:r>
          </w:p>
          <w:p w:rsidR="007847C1" w:rsidRPr="0053423A" w:rsidRDefault="007847C1" w:rsidP="00A67858">
            <w:pPr>
              <w:tabs>
                <w:tab w:val="left" w:pos="1080"/>
                <w:tab w:val="left" w:pos="9214"/>
              </w:tabs>
              <w:spacing w:line="276" w:lineRule="auto"/>
              <w:ind w:firstLineChars="235" w:firstLine="470"/>
              <w:jc w:val="both"/>
              <w:rPr>
                <w:rFonts w:cs="GHEA Grapalat"/>
                <w:lang w:val="hy-AM"/>
              </w:rPr>
            </w:pPr>
            <w:r w:rsidRPr="0053423A">
              <w:rPr>
                <w:rFonts w:cs="GHEA Grapalat"/>
              </w:rPr>
              <w:t xml:space="preserve">      </w:t>
            </w:r>
            <w:r w:rsidRPr="0053423A">
              <w:rPr>
                <w:rFonts w:cs="GHEA Grapalat"/>
                <w:lang w:val="hy-AM"/>
              </w:rPr>
              <w:t xml:space="preserve"> Կարևորագույն խնդիր է երիտասարդական պետական քաղաքականությունը համապատասխանեցնել ժամանակի պահանջներին: Երիտասարդական պետական քաղաքականության հայեցակարգը սահմանելու է երկարաժամկետ</w:t>
            </w:r>
            <w:r w:rsidRPr="0053423A">
              <w:rPr>
                <w:rFonts w:cs="GHEA Grapalat"/>
                <w:lang w:val="af-ZA"/>
              </w:rPr>
              <w:t xml:space="preserve"> </w:t>
            </w:r>
            <w:r w:rsidRPr="0053423A">
              <w:rPr>
                <w:rFonts w:cs="GHEA Grapalat"/>
                <w:lang w:val="hy-AM"/>
              </w:rPr>
              <w:t>կտրվածքով</w:t>
            </w:r>
            <w:r w:rsidRPr="0053423A">
              <w:rPr>
                <w:rFonts w:cs="GHEA Grapalat"/>
                <w:lang w:val="af-ZA"/>
              </w:rPr>
              <w:t xml:space="preserve"> </w:t>
            </w:r>
            <w:r w:rsidRPr="0053423A">
              <w:rPr>
                <w:rFonts w:cs="GHEA Grapalat"/>
                <w:lang w:val="hy-AM"/>
              </w:rPr>
              <w:t xml:space="preserve">ՀՀ երիտասարդական պետական քաղաքականության խնդիրները, սկզբունքները և ուղղությունները: </w:t>
            </w:r>
            <w:r w:rsidRPr="0053423A">
              <w:rPr>
                <w:rFonts w:cs="Tahoma"/>
                <w:lang w:val="hy-AM"/>
              </w:rPr>
              <w:t>Նպատակն է բարձրացնել երիտասարդության մասնակցությունը բոլոր մակարդակներում, ապահովել երիտասարդության սոցիալ-տնտեսական հիմնախնդիրների բարելավումը, զարգացնել երիտասարդական աշխատողի ինստիտուտը, պահպանել և զարգացնել երիտասարդության շրջանում հոգևոր-մշակութային արժեքները, բարձրացնել հայրենասիրական ոգին ու նպաստել միջմշակութային երկխոսության և երիտասարդների  շարժունակութայն բարձրացմանը:</w:t>
            </w:r>
          </w:p>
          <w:p w:rsidR="007847C1" w:rsidRPr="0053423A" w:rsidRDefault="007847C1" w:rsidP="00A67858">
            <w:pPr>
              <w:tabs>
                <w:tab w:val="left" w:pos="1080"/>
              </w:tabs>
              <w:spacing w:line="276" w:lineRule="auto"/>
              <w:ind w:firstLine="720"/>
              <w:contextualSpacing/>
              <w:jc w:val="both"/>
              <w:rPr>
                <w:rFonts w:cs="GHEA Grapalat"/>
                <w:lang w:val="hy-AM"/>
              </w:rPr>
            </w:pPr>
          </w:p>
          <w:p w:rsidR="007847C1" w:rsidRPr="0053423A" w:rsidRDefault="007847C1" w:rsidP="00A67858">
            <w:pPr>
              <w:tabs>
                <w:tab w:val="left" w:pos="1080"/>
              </w:tabs>
              <w:spacing w:line="276" w:lineRule="auto"/>
              <w:contextualSpacing/>
              <w:rPr>
                <w:rFonts w:cs="GHEA Grapalat"/>
                <w:b/>
                <w:lang w:val="hy-AM"/>
              </w:rPr>
            </w:pPr>
            <w:r w:rsidRPr="0053423A">
              <w:rPr>
                <w:rFonts w:cs="GHEA Grapalat"/>
                <w:b/>
                <w:lang w:val="hy-AM"/>
              </w:rPr>
              <w:t xml:space="preserve">                 1.1</w:t>
            </w:r>
            <w:r w:rsidRPr="0053423A">
              <w:rPr>
                <w:rFonts w:ascii="Calibri" w:hAnsi="Calibri" w:cs="Calibri"/>
                <w:b/>
                <w:lang w:val="hy-AM"/>
              </w:rPr>
              <w:t> </w:t>
            </w:r>
            <w:r w:rsidRPr="0053423A">
              <w:rPr>
                <w:rFonts w:cs="GHEA Grapalat"/>
                <w:b/>
                <w:lang w:val="hy-AM"/>
              </w:rPr>
              <w:t>Կարգավորման հարաբերությունների ներկա վիճակը և առկա խնդիրները</w:t>
            </w:r>
          </w:p>
          <w:p w:rsidR="007847C1" w:rsidRPr="0053423A" w:rsidRDefault="007847C1" w:rsidP="00A67858">
            <w:pPr>
              <w:tabs>
                <w:tab w:val="left" w:pos="1080"/>
              </w:tabs>
              <w:spacing w:line="276" w:lineRule="auto"/>
              <w:jc w:val="both"/>
              <w:rPr>
                <w:rFonts w:cs="Sylfaen"/>
                <w:lang w:val="hy-AM"/>
              </w:rPr>
            </w:pPr>
            <w:r w:rsidRPr="0053423A">
              <w:rPr>
                <w:rFonts w:cs="Sylfaen"/>
                <w:lang w:val="hy-AM"/>
              </w:rPr>
              <w:t xml:space="preserve">               Հայաստանի Հանրապետության 2014 թվականի դեկտեմբերի 25-ի նիստի N 54 արձանագրային որոշմամբ հավանության է արժանացել երիտասարդական պետական քաղաքականության հայեցակարգը, որը չի կարող իրավական հիմք հանդիսանալ ոլորտում որևէ բնույթի իրավական ակտի ընդունման, այդ թվում՝ նաև նորմատիվ, քանի որ համաձայն</w:t>
            </w:r>
            <w:r w:rsidRPr="0053423A">
              <w:rPr>
                <w:rFonts w:cs="GHEA Grapalat"/>
                <w:lang w:val="hy-AM"/>
              </w:rPr>
              <w:t xml:space="preserve"> փոփոխված ՀՀ Սահմանադրության 6-րդ հոդվածի՝ Սահմանադրության և օրենքների հիման վրա և դրանց իրականացումն ապահովելու նպատակով Սահմանադրությամբ նախատեսված մարմինները կարող են օրենքով լիազորվել ընդունելու ենթաօրենսդրական նորմատիվ իրավական ակտեր: </w:t>
            </w:r>
          </w:p>
          <w:p w:rsidR="007847C1" w:rsidRPr="0053423A" w:rsidRDefault="007847C1" w:rsidP="00A67858">
            <w:pPr>
              <w:spacing w:line="276" w:lineRule="auto"/>
              <w:jc w:val="both"/>
              <w:rPr>
                <w:rFonts w:cs="GHEA Grapalat"/>
                <w:lang w:val="hy-AM"/>
              </w:rPr>
            </w:pPr>
            <w:r w:rsidRPr="0053423A">
              <w:rPr>
                <w:rFonts w:cs="GHEA Grapalat"/>
                <w:lang w:val="hy-AM"/>
              </w:rPr>
              <w:t xml:space="preserve">              Հաշվի առնելով վերոնշվածը՝ երիտասարդական պետական քաղաքականության ոլորտում այլևս հնարավոր չէ ընդունել նորմատիվ բնույթի իրավական ակտ՝ առանց համապատասխան իրավական հիմքի: </w:t>
            </w:r>
          </w:p>
          <w:p w:rsidR="007847C1" w:rsidRPr="0053423A" w:rsidRDefault="007847C1" w:rsidP="00A67858">
            <w:pPr>
              <w:spacing w:line="276" w:lineRule="auto"/>
              <w:jc w:val="both"/>
              <w:rPr>
                <w:rFonts w:cs="GHEA Grapalat"/>
                <w:lang w:val="hy-AM"/>
              </w:rPr>
            </w:pPr>
          </w:p>
          <w:p w:rsidR="007847C1" w:rsidRPr="0053423A" w:rsidRDefault="007847C1" w:rsidP="001F6D5D">
            <w:pPr>
              <w:numPr>
                <w:ilvl w:val="1"/>
                <w:numId w:val="251"/>
              </w:numPr>
              <w:tabs>
                <w:tab w:val="left" w:pos="900"/>
                <w:tab w:val="left" w:pos="990"/>
                <w:tab w:val="left" w:pos="1080"/>
                <w:tab w:val="left" w:pos="1170"/>
              </w:tabs>
              <w:spacing w:line="276" w:lineRule="auto"/>
              <w:contextualSpacing/>
              <w:rPr>
                <w:rFonts w:cs="GHEA Grapalat"/>
                <w:b/>
              </w:rPr>
            </w:pPr>
            <w:r w:rsidRPr="0053423A">
              <w:rPr>
                <w:rFonts w:cs="GHEA Grapalat"/>
                <w:b/>
              </w:rPr>
              <w:t>Առկա խնդիրների առաջարկվող լուծումները</w:t>
            </w:r>
          </w:p>
          <w:p w:rsidR="007847C1" w:rsidRPr="0053423A" w:rsidRDefault="007847C1" w:rsidP="00A67858">
            <w:pPr>
              <w:tabs>
                <w:tab w:val="left" w:pos="900"/>
                <w:tab w:val="left" w:pos="990"/>
              </w:tabs>
              <w:spacing w:line="276" w:lineRule="auto"/>
              <w:ind w:firstLine="720"/>
              <w:contextualSpacing/>
              <w:jc w:val="both"/>
              <w:rPr>
                <w:rFonts w:cs="GHEA Grapalat"/>
              </w:rPr>
            </w:pPr>
            <w:r w:rsidRPr="0053423A">
              <w:rPr>
                <w:rFonts w:cs="GHEA Grapalat"/>
              </w:rPr>
              <w:t xml:space="preserve"> Ե</w:t>
            </w:r>
            <w:r w:rsidRPr="0053423A">
              <w:rPr>
                <w:rFonts w:cs="Sylfaen"/>
              </w:rPr>
              <w:t>րիտասարդության</w:t>
            </w:r>
            <w:r w:rsidRPr="0053423A">
              <w:rPr>
                <w:rFonts w:cs="GHEA Grapalat"/>
              </w:rPr>
              <w:t xml:space="preserve"> </w:t>
            </w:r>
            <w:r w:rsidRPr="0053423A">
              <w:rPr>
                <w:rFonts w:cs="Sylfaen"/>
              </w:rPr>
              <w:t xml:space="preserve">ոլորտի գործունեության համար </w:t>
            </w:r>
            <w:r w:rsidRPr="0053423A">
              <w:rPr>
                <w:rFonts w:cs="GHEA Grapalat"/>
              </w:rPr>
              <w:t xml:space="preserve"> </w:t>
            </w:r>
            <w:r w:rsidRPr="0053423A">
              <w:rPr>
                <w:rFonts w:cs="Sylfaen"/>
              </w:rPr>
              <w:t>անհրաժեշտ</w:t>
            </w:r>
            <w:r w:rsidRPr="0053423A">
              <w:rPr>
                <w:rFonts w:cs="GHEA Grapalat"/>
              </w:rPr>
              <w:t xml:space="preserve"> </w:t>
            </w:r>
            <w:r w:rsidRPr="0053423A">
              <w:rPr>
                <w:rFonts w:cs="Sylfaen"/>
              </w:rPr>
              <w:t>իրավական հիմքերի ստեղծումը</w:t>
            </w:r>
            <w:r w:rsidRPr="0053423A">
              <w:rPr>
                <w:rFonts w:cs="Sylfaen"/>
                <w:lang w:val="fr-FR"/>
              </w:rPr>
              <w:t xml:space="preserve"> </w:t>
            </w:r>
            <w:r w:rsidRPr="0053423A">
              <w:rPr>
                <w:rFonts w:cs="Sylfaen"/>
              </w:rPr>
              <w:t>կնպաստի</w:t>
            </w:r>
            <w:r w:rsidRPr="0053423A">
              <w:rPr>
                <w:rFonts w:cs="Sylfaen"/>
                <w:lang w:val="fr-FR"/>
              </w:rPr>
              <w:t xml:space="preserve"> </w:t>
            </w:r>
            <w:r w:rsidRPr="0053423A">
              <w:rPr>
                <w:rFonts w:cs="Sylfaen"/>
              </w:rPr>
              <w:t>երիտասարդության</w:t>
            </w:r>
            <w:r w:rsidRPr="0053423A">
              <w:rPr>
                <w:rFonts w:cs="Sylfaen"/>
                <w:lang w:val="fr-FR"/>
              </w:rPr>
              <w:t xml:space="preserve"> </w:t>
            </w:r>
            <w:r w:rsidRPr="0053423A">
              <w:rPr>
                <w:rFonts w:cs="Sylfaen"/>
              </w:rPr>
              <w:t>ներուժի</w:t>
            </w:r>
            <w:r w:rsidRPr="0053423A">
              <w:rPr>
                <w:rFonts w:cs="Sylfaen"/>
                <w:lang w:val="fr-FR"/>
              </w:rPr>
              <w:t xml:space="preserve"> </w:t>
            </w:r>
            <w:r w:rsidRPr="0053423A">
              <w:rPr>
                <w:rFonts w:cs="Sylfaen"/>
              </w:rPr>
              <w:t>իրացմանն</w:t>
            </w:r>
            <w:r w:rsidRPr="0053423A">
              <w:rPr>
                <w:rFonts w:cs="Sylfaen"/>
                <w:lang w:val="fr-FR"/>
              </w:rPr>
              <w:t xml:space="preserve"> </w:t>
            </w:r>
            <w:r w:rsidRPr="0053423A">
              <w:rPr>
                <w:rFonts w:cs="Sylfaen"/>
              </w:rPr>
              <w:t>ու</w:t>
            </w:r>
            <w:r w:rsidRPr="0053423A">
              <w:rPr>
                <w:rFonts w:cs="Sylfaen"/>
                <w:lang w:val="fr-FR"/>
              </w:rPr>
              <w:t xml:space="preserve"> </w:t>
            </w:r>
            <w:r w:rsidRPr="0053423A">
              <w:rPr>
                <w:rFonts w:cs="Sylfaen"/>
              </w:rPr>
              <w:t>զարգացմանը</w:t>
            </w:r>
            <w:r w:rsidRPr="0053423A">
              <w:rPr>
                <w:rFonts w:cs="Sylfaen"/>
                <w:lang w:val="fr-FR"/>
              </w:rPr>
              <w:t xml:space="preserve">, </w:t>
            </w:r>
            <w:r w:rsidRPr="0053423A">
              <w:rPr>
                <w:rFonts w:cs="Sylfaen"/>
              </w:rPr>
              <w:t>երիտասարդական</w:t>
            </w:r>
            <w:r w:rsidRPr="0053423A">
              <w:rPr>
                <w:rFonts w:cs="Sylfaen"/>
                <w:lang w:val="fr-FR"/>
              </w:rPr>
              <w:t xml:space="preserve"> </w:t>
            </w:r>
            <w:r w:rsidRPr="0053423A">
              <w:rPr>
                <w:rFonts w:cs="Sylfaen"/>
              </w:rPr>
              <w:t>մասնակցության</w:t>
            </w:r>
            <w:r w:rsidRPr="0053423A">
              <w:rPr>
                <w:rFonts w:cs="Sylfaen"/>
                <w:lang w:val="fr-FR"/>
              </w:rPr>
              <w:t xml:space="preserve"> </w:t>
            </w:r>
            <w:r w:rsidRPr="0053423A">
              <w:rPr>
                <w:rFonts w:cs="Sylfaen"/>
              </w:rPr>
              <w:t>խթանման</w:t>
            </w:r>
            <w:r w:rsidRPr="0053423A">
              <w:rPr>
                <w:rFonts w:cs="Sylfaen"/>
                <w:lang w:val="fr-FR"/>
              </w:rPr>
              <w:t xml:space="preserve"> </w:t>
            </w:r>
            <w:r w:rsidRPr="0053423A">
              <w:rPr>
                <w:rFonts w:cs="Sylfaen"/>
              </w:rPr>
              <w:t>համար</w:t>
            </w:r>
            <w:r w:rsidRPr="0053423A">
              <w:rPr>
                <w:rFonts w:cs="Sylfaen"/>
                <w:lang w:val="fr-FR"/>
              </w:rPr>
              <w:t xml:space="preserve"> </w:t>
            </w:r>
            <w:r w:rsidRPr="0053423A">
              <w:rPr>
                <w:rFonts w:cs="Sylfaen"/>
              </w:rPr>
              <w:t>սոցիալ</w:t>
            </w:r>
            <w:r w:rsidRPr="0053423A">
              <w:rPr>
                <w:rFonts w:cs="Sylfaen"/>
                <w:lang w:val="fr-FR"/>
              </w:rPr>
              <w:t>-</w:t>
            </w:r>
            <w:r w:rsidRPr="0053423A">
              <w:rPr>
                <w:rFonts w:cs="Sylfaen"/>
              </w:rPr>
              <w:t>տնտեսական</w:t>
            </w:r>
            <w:r w:rsidRPr="0053423A">
              <w:rPr>
                <w:rFonts w:cs="Sylfaen"/>
                <w:lang w:val="fr-FR"/>
              </w:rPr>
              <w:t xml:space="preserve">, </w:t>
            </w:r>
            <w:r w:rsidRPr="0053423A">
              <w:rPr>
                <w:rFonts w:cs="Sylfaen"/>
              </w:rPr>
              <w:t>իրավաքաղաքական</w:t>
            </w:r>
            <w:r w:rsidRPr="0053423A">
              <w:rPr>
                <w:rFonts w:cs="Sylfaen"/>
                <w:lang w:val="fr-FR"/>
              </w:rPr>
              <w:t xml:space="preserve">, </w:t>
            </w:r>
            <w:r w:rsidRPr="0053423A">
              <w:rPr>
                <w:rFonts w:cs="Sylfaen"/>
              </w:rPr>
              <w:t>հոգևոր</w:t>
            </w:r>
            <w:r w:rsidRPr="0053423A">
              <w:rPr>
                <w:rFonts w:cs="Sylfaen"/>
                <w:lang w:val="fr-FR"/>
              </w:rPr>
              <w:t>-</w:t>
            </w:r>
            <w:r w:rsidRPr="0053423A">
              <w:rPr>
                <w:rFonts w:cs="Sylfaen"/>
              </w:rPr>
              <w:t>մշակութային</w:t>
            </w:r>
            <w:r w:rsidRPr="0053423A">
              <w:rPr>
                <w:rFonts w:cs="Sylfaen"/>
                <w:lang w:val="fr-FR"/>
              </w:rPr>
              <w:t xml:space="preserve"> </w:t>
            </w:r>
            <w:r w:rsidRPr="0053423A">
              <w:rPr>
                <w:rFonts w:cs="Sylfaen"/>
              </w:rPr>
              <w:t>պայմանների</w:t>
            </w:r>
            <w:r w:rsidRPr="0053423A">
              <w:rPr>
                <w:rFonts w:cs="Sylfaen"/>
                <w:lang w:val="fr-FR"/>
              </w:rPr>
              <w:t xml:space="preserve"> </w:t>
            </w:r>
            <w:r w:rsidRPr="0053423A">
              <w:rPr>
                <w:rFonts w:cs="Sylfaen"/>
              </w:rPr>
              <w:t>ստեղծմանը</w:t>
            </w:r>
            <w:r w:rsidRPr="0053423A">
              <w:rPr>
                <w:rFonts w:cs="Sylfaen"/>
                <w:lang w:val="fr-FR"/>
              </w:rPr>
              <w:t xml:space="preserve">` </w:t>
            </w:r>
            <w:r w:rsidRPr="0053423A">
              <w:rPr>
                <w:rFonts w:cs="Sylfaen"/>
              </w:rPr>
              <w:t>ի</w:t>
            </w:r>
            <w:r w:rsidRPr="0053423A">
              <w:rPr>
                <w:rFonts w:cs="Sylfaen"/>
                <w:lang w:val="fr-FR"/>
              </w:rPr>
              <w:t xml:space="preserve"> </w:t>
            </w:r>
            <w:r w:rsidRPr="0053423A">
              <w:rPr>
                <w:rFonts w:cs="Sylfaen"/>
              </w:rPr>
              <w:t>շահ</w:t>
            </w:r>
            <w:r w:rsidRPr="0053423A">
              <w:rPr>
                <w:rFonts w:cs="Sylfaen"/>
                <w:lang w:val="fr-FR"/>
              </w:rPr>
              <w:t xml:space="preserve"> </w:t>
            </w:r>
            <w:r w:rsidRPr="0053423A">
              <w:rPr>
                <w:rFonts w:cs="Sylfaen"/>
              </w:rPr>
              <w:t>Հայաստանի</w:t>
            </w:r>
            <w:r w:rsidRPr="0053423A">
              <w:rPr>
                <w:rFonts w:cs="Sylfaen"/>
                <w:lang w:val="fr-FR"/>
              </w:rPr>
              <w:t xml:space="preserve"> </w:t>
            </w:r>
            <w:r w:rsidRPr="0053423A">
              <w:rPr>
                <w:rFonts w:cs="Sylfaen"/>
              </w:rPr>
              <w:t>Հանրապետության</w:t>
            </w:r>
            <w:r w:rsidRPr="0053423A">
              <w:rPr>
                <w:rFonts w:cs="Sylfaen"/>
                <w:lang w:val="fr-FR"/>
              </w:rPr>
              <w:t xml:space="preserve"> </w:t>
            </w:r>
            <w:r w:rsidRPr="0053423A">
              <w:rPr>
                <w:rFonts w:cs="Sylfaen"/>
              </w:rPr>
              <w:t>զարգացման</w:t>
            </w:r>
            <w:r w:rsidRPr="0053423A">
              <w:rPr>
                <w:rFonts w:cs="Sylfaen"/>
                <w:lang w:val="fr-FR"/>
              </w:rPr>
              <w:t xml:space="preserve"> </w:t>
            </w:r>
            <w:r w:rsidRPr="0053423A">
              <w:rPr>
                <w:rFonts w:cs="Sylfaen"/>
              </w:rPr>
              <w:t>և</w:t>
            </w:r>
            <w:r w:rsidRPr="0053423A">
              <w:rPr>
                <w:rFonts w:cs="Sylfaen"/>
                <w:lang w:val="fr-FR"/>
              </w:rPr>
              <w:t xml:space="preserve"> </w:t>
            </w:r>
            <w:r w:rsidRPr="0053423A">
              <w:rPr>
                <w:rFonts w:cs="Sylfaen"/>
              </w:rPr>
              <w:t>հզորացման</w:t>
            </w:r>
            <w:r w:rsidRPr="0053423A">
              <w:rPr>
                <w:rFonts w:cs="Sylfaen"/>
                <w:lang w:val="fr-FR"/>
              </w:rPr>
              <w:t xml:space="preserve">, </w:t>
            </w:r>
            <w:r w:rsidRPr="0053423A">
              <w:rPr>
                <w:rFonts w:cs="Sylfaen"/>
              </w:rPr>
              <w:t>ազգային</w:t>
            </w:r>
            <w:r w:rsidRPr="0053423A">
              <w:rPr>
                <w:rFonts w:cs="Sylfaen"/>
                <w:lang w:val="fr-FR"/>
              </w:rPr>
              <w:t xml:space="preserve"> </w:t>
            </w:r>
            <w:r w:rsidRPr="0053423A">
              <w:rPr>
                <w:rFonts w:cs="Sylfaen"/>
              </w:rPr>
              <w:t>անվտանգության</w:t>
            </w:r>
            <w:r w:rsidRPr="0053423A">
              <w:rPr>
                <w:rFonts w:cs="Sylfaen"/>
                <w:lang w:val="fr-FR"/>
              </w:rPr>
              <w:t xml:space="preserve"> </w:t>
            </w:r>
            <w:r w:rsidRPr="0053423A">
              <w:rPr>
                <w:rFonts w:cs="Sylfaen"/>
              </w:rPr>
              <w:t>ամրապնդման: Իրավական հիմք պետք է ստեղծել</w:t>
            </w:r>
            <w:r w:rsidRPr="0053423A">
              <w:rPr>
                <w:rFonts w:cs="GHEA Grapalat"/>
              </w:rPr>
              <w:t xml:space="preserve"> երիտասարդական քաղաքականության ոլորտում  </w:t>
            </w:r>
            <w:r w:rsidRPr="0053423A">
              <w:rPr>
                <w:rFonts w:cs="GHEA Grapalat"/>
                <w:lang w:val="hy-AM"/>
              </w:rPr>
              <w:t>նորմատիվ, անհատական և ներքին (լոկալ) որոշումներ</w:t>
            </w:r>
            <w:r w:rsidRPr="0053423A">
              <w:rPr>
                <w:rFonts w:cs="GHEA Grapalat"/>
              </w:rPr>
              <w:t xml:space="preserve"> ընդունելու համար:</w:t>
            </w:r>
          </w:p>
          <w:p w:rsidR="007847C1" w:rsidRPr="0053423A" w:rsidRDefault="007847C1" w:rsidP="00A67858">
            <w:pPr>
              <w:tabs>
                <w:tab w:val="left" w:pos="900"/>
                <w:tab w:val="left" w:pos="990"/>
              </w:tabs>
              <w:spacing w:line="276" w:lineRule="auto"/>
              <w:ind w:firstLine="720"/>
              <w:contextualSpacing/>
              <w:jc w:val="both"/>
              <w:rPr>
                <w:rFonts w:cs="GHEA Grapalat"/>
              </w:rPr>
            </w:pPr>
          </w:p>
          <w:p w:rsidR="007847C1" w:rsidRPr="0053423A" w:rsidRDefault="007847C1" w:rsidP="001F6D5D">
            <w:pPr>
              <w:numPr>
                <w:ilvl w:val="0"/>
                <w:numId w:val="252"/>
              </w:numPr>
              <w:tabs>
                <w:tab w:val="left" w:pos="900"/>
                <w:tab w:val="left" w:pos="990"/>
              </w:tabs>
              <w:spacing w:line="276" w:lineRule="auto"/>
              <w:ind w:left="0" w:firstLine="1080"/>
              <w:contextualSpacing/>
              <w:jc w:val="both"/>
              <w:rPr>
                <w:rFonts w:cs="GHEA Grapalat"/>
                <w:b/>
              </w:rPr>
            </w:pPr>
            <w:r w:rsidRPr="0053423A">
              <w:rPr>
                <w:rFonts w:cs="GHEA Grapalat"/>
                <w:b/>
              </w:rPr>
              <w:t>Միջոցառման իրականացումից ակնկալվող արդյունքը</w:t>
            </w:r>
          </w:p>
          <w:p w:rsidR="007847C1" w:rsidRPr="0053423A" w:rsidRDefault="007847C1" w:rsidP="00A67858">
            <w:pPr>
              <w:tabs>
                <w:tab w:val="left" w:pos="3360"/>
              </w:tabs>
              <w:spacing w:line="276" w:lineRule="auto"/>
              <w:rPr>
                <w:rFonts w:cs="GHEA Grapalat"/>
                <w:lang w:val="fr-FR"/>
              </w:rPr>
            </w:pPr>
            <w:r w:rsidRPr="0053423A">
              <w:rPr>
                <w:rFonts w:cs="GHEA Grapalat"/>
              </w:rPr>
              <w:t xml:space="preserve">                </w:t>
            </w:r>
            <w:r w:rsidRPr="0053423A">
              <w:rPr>
                <w:rFonts w:cs="GHEA Grapalat"/>
                <w:lang w:val="ru-RU"/>
              </w:rPr>
              <w:t>Երիտասարդության</w:t>
            </w:r>
            <w:r w:rsidRPr="0053423A">
              <w:rPr>
                <w:rFonts w:cs="GHEA Grapalat"/>
              </w:rPr>
              <w:t xml:space="preserve"> </w:t>
            </w:r>
            <w:r w:rsidRPr="0053423A">
              <w:rPr>
                <w:rFonts w:cs="GHEA Grapalat"/>
                <w:lang w:val="ru-RU"/>
              </w:rPr>
              <w:t>հիմնահարցերի</w:t>
            </w:r>
            <w:r w:rsidRPr="0053423A">
              <w:rPr>
                <w:rFonts w:cs="GHEA Grapalat"/>
              </w:rPr>
              <w:t xml:space="preserve"> </w:t>
            </w:r>
            <w:r w:rsidRPr="0053423A">
              <w:rPr>
                <w:rFonts w:cs="GHEA Grapalat"/>
                <w:lang w:val="ru-RU"/>
              </w:rPr>
              <w:t>կարգավորում</w:t>
            </w:r>
            <w:r w:rsidRPr="0053423A">
              <w:rPr>
                <w:rFonts w:cs="GHEA Grapalat"/>
              </w:rPr>
              <w:t xml:space="preserve">: </w:t>
            </w:r>
            <w:r w:rsidRPr="0053423A">
              <w:rPr>
                <w:rFonts w:cs="Sylfaen"/>
                <w:kern w:val="16"/>
                <w:lang w:val="it-IT"/>
              </w:rPr>
              <w:t>Երիտասարդական պետական քաղաքականության արդյունավետ իրականացում:</w:t>
            </w:r>
          </w:p>
        </w:tc>
      </w:tr>
      <w:tr w:rsidR="007847C1" w:rsidRPr="00DE2EFA" w:rsidTr="007847C1">
        <w:tc>
          <w:tcPr>
            <w:tcW w:w="450" w:type="dxa"/>
          </w:tcPr>
          <w:p w:rsidR="007847C1" w:rsidRPr="0053423A" w:rsidRDefault="007847C1" w:rsidP="00A67858">
            <w:pPr>
              <w:tabs>
                <w:tab w:val="left" w:pos="3360"/>
              </w:tabs>
              <w:spacing w:line="276" w:lineRule="auto"/>
              <w:jc w:val="center"/>
              <w:rPr>
                <w:rFonts w:cs="GHEA Grapalat"/>
                <w:lang w:val="fr-FR"/>
              </w:rPr>
            </w:pPr>
            <w:r w:rsidRPr="0053423A">
              <w:rPr>
                <w:rFonts w:cs="GHEA Grapalat"/>
                <w:lang w:val="fr-FR"/>
              </w:rPr>
              <w:t>6</w:t>
            </w:r>
          </w:p>
        </w:tc>
        <w:tc>
          <w:tcPr>
            <w:tcW w:w="10890" w:type="dxa"/>
          </w:tcPr>
          <w:p w:rsidR="007847C1" w:rsidRPr="0053423A" w:rsidRDefault="007847C1" w:rsidP="001F6D5D">
            <w:pPr>
              <w:numPr>
                <w:ilvl w:val="1"/>
                <w:numId w:val="249"/>
              </w:numPr>
              <w:spacing w:line="276" w:lineRule="auto"/>
              <w:ind w:left="0" w:firstLine="1080"/>
              <w:contextualSpacing/>
              <w:jc w:val="both"/>
              <w:rPr>
                <w:rFonts w:cs="GHEA Grapalat"/>
                <w:b/>
                <w:lang w:val="hy-AM"/>
              </w:rPr>
            </w:pPr>
            <w:r w:rsidRPr="0053423A">
              <w:rPr>
                <w:rFonts w:cs="Sylfaen"/>
                <w:b/>
                <w:lang w:val="fr-FR"/>
              </w:rPr>
              <w:t xml:space="preserve">«ՖԻԶԻԿԱԿԱՆ ԿՈՒԼՏՈՒՐԱՅԻ ԵՎ ՍՊՈՐՏԻ ՄԱՍԻՆ» ՀՀ ՕՐԵՆՔՈՒՄ ՓՈՓՈԽՈՒԹՅՈՒՆՆԵՐԻ ԵՎ ԼՐԱՑՈՒՄՆԵՐԻ  ԿԱՏԱՐՈՒՄ, ՕՐԵՆՔԻ ՆՈՐ ԽՄԲԱԳՐՈՒԹՅԱՄԲ ՆԵՐԿԱՅԱՑՈՒՄ </w:t>
            </w:r>
            <w:r w:rsidRPr="0053423A">
              <w:rPr>
                <w:rFonts w:cs="GHEA Grapalat"/>
                <w:b/>
              </w:rPr>
              <w:t>ՀՀ</w:t>
            </w:r>
            <w:r w:rsidRPr="0053423A">
              <w:rPr>
                <w:rFonts w:cs="GHEA Grapalat"/>
                <w:b/>
                <w:lang w:val="fr-FR"/>
              </w:rPr>
              <w:t xml:space="preserve"> </w:t>
            </w:r>
            <w:r w:rsidRPr="0053423A">
              <w:rPr>
                <w:rFonts w:cs="GHEA Grapalat"/>
                <w:b/>
              </w:rPr>
              <w:t>ՎԱՐՉԱՊԵՏԻ</w:t>
            </w:r>
            <w:r w:rsidRPr="0053423A">
              <w:rPr>
                <w:rFonts w:cs="GHEA Grapalat"/>
                <w:b/>
                <w:lang w:val="fr-FR"/>
              </w:rPr>
              <w:t xml:space="preserve"> </w:t>
            </w:r>
            <w:r w:rsidRPr="0053423A">
              <w:rPr>
                <w:rFonts w:cs="GHEA Grapalat"/>
                <w:b/>
              </w:rPr>
              <w:t>ԱՇԽԱՏԱԿԱԶՄ</w:t>
            </w:r>
            <w:r w:rsidRPr="0053423A">
              <w:rPr>
                <w:rFonts w:cs="GHEA Grapalat"/>
                <w:b/>
                <w:lang w:val="fr-FR"/>
              </w:rPr>
              <w:t xml:space="preserve">: </w:t>
            </w:r>
            <w:r w:rsidRPr="0053423A">
              <w:rPr>
                <w:rFonts w:cs="GHEA Grapalat"/>
                <w:b/>
              </w:rPr>
              <w:t>ՖԻԶԻԿԱԿԱՆ</w:t>
            </w:r>
            <w:r w:rsidRPr="0053423A">
              <w:rPr>
                <w:rFonts w:cs="GHEA Grapalat"/>
                <w:b/>
                <w:lang w:val="fr-FR"/>
              </w:rPr>
              <w:t xml:space="preserve"> </w:t>
            </w:r>
            <w:r w:rsidRPr="0053423A">
              <w:rPr>
                <w:rFonts w:cs="GHEA Grapalat"/>
                <w:b/>
              </w:rPr>
              <w:t>ԿՈՒԼՏՈՒՐԱՅԻ</w:t>
            </w:r>
            <w:r w:rsidRPr="0053423A">
              <w:rPr>
                <w:rFonts w:cs="GHEA Grapalat"/>
                <w:b/>
                <w:lang w:val="fr-FR"/>
              </w:rPr>
              <w:t xml:space="preserve"> </w:t>
            </w:r>
            <w:r w:rsidRPr="0053423A">
              <w:rPr>
                <w:rFonts w:cs="GHEA Grapalat"/>
                <w:b/>
              </w:rPr>
              <w:t>ԵՎ</w:t>
            </w:r>
            <w:r w:rsidRPr="0053423A">
              <w:rPr>
                <w:rFonts w:cs="GHEA Grapalat"/>
                <w:b/>
                <w:lang w:val="fr-FR"/>
              </w:rPr>
              <w:t xml:space="preserve"> </w:t>
            </w:r>
            <w:r w:rsidRPr="0053423A">
              <w:rPr>
                <w:rFonts w:cs="GHEA Grapalat"/>
                <w:b/>
              </w:rPr>
              <w:t>ՍՊՈՐՏԻ</w:t>
            </w:r>
            <w:r w:rsidRPr="0053423A">
              <w:rPr>
                <w:rFonts w:cs="GHEA Grapalat"/>
                <w:b/>
                <w:lang w:val="fr-FR"/>
              </w:rPr>
              <w:t xml:space="preserve"> </w:t>
            </w:r>
            <w:r w:rsidRPr="0053423A">
              <w:rPr>
                <w:rFonts w:cs="GHEA Grapalat"/>
                <w:b/>
              </w:rPr>
              <w:t>ՈԼՈՐՏԻ</w:t>
            </w:r>
            <w:r w:rsidRPr="0053423A">
              <w:rPr>
                <w:rFonts w:cs="GHEA Grapalat"/>
                <w:b/>
                <w:lang w:val="fr-FR"/>
              </w:rPr>
              <w:t xml:space="preserve"> </w:t>
            </w:r>
            <w:r w:rsidRPr="0053423A">
              <w:rPr>
                <w:rFonts w:cs="GHEA Grapalat"/>
                <w:b/>
              </w:rPr>
              <w:t>ԻՐԱՎԱԿԱՆ</w:t>
            </w:r>
            <w:r w:rsidRPr="0053423A">
              <w:rPr>
                <w:rFonts w:cs="GHEA Grapalat"/>
                <w:b/>
                <w:lang w:val="fr-FR"/>
              </w:rPr>
              <w:t xml:space="preserve"> </w:t>
            </w:r>
            <w:r w:rsidRPr="0053423A">
              <w:rPr>
                <w:rFonts w:cs="GHEA Grapalat"/>
                <w:b/>
              </w:rPr>
              <w:t>ԴԱՇՏԻ</w:t>
            </w:r>
            <w:r w:rsidRPr="0053423A">
              <w:rPr>
                <w:rFonts w:cs="GHEA Grapalat"/>
                <w:b/>
                <w:lang w:val="fr-FR"/>
              </w:rPr>
              <w:t xml:space="preserve"> </w:t>
            </w:r>
            <w:r w:rsidRPr="0053423A">
              <w:rPr>
                <w:rFonts w:cs="GHEA Grapalat"/>
                <w:b/>
              </w:rPr>
              <w:t>ԿԱՏԱՐԵԼԱԳՈՐԾՈՒ</w:t>
            </w:r>
            <w:r w:rsidRPr="0053423A">
              <w:rPr>
                <w:rFonts w:cs="GHEA Grapalat"/>
                <w:b/>
                <w:lang w:val="hy-AM"/>
              </w:rPr>
              <w:t>Մ</w:t>
            </w:r>
          </w:p>
          <w:p w:rsidR="007847C1" w:rsidRPr="0053423A" w:rsidRDefault="007847C1" w:rsidP="00A67858">
            <w:pPr>
              <w:spacing w:line="276" w:lineRule="auto"/>
              <w:ind w:left="1080"/>
              <w:contextualSpacing/>
              <w:jc w:val="both"/>
              <w:rPr>
                <w:rFonts w:cs="GHEA Grapalat"/>
                <w:b/>
                <w:lang w:val="hy-AM"/>
              </w:rPr>
            </w:pPr>
          </w:p>
          <w:p w:rsidR="007847C1" w:rsidRPr="0053423A" w:rsidRDefault="007847C1" w:rsidP="00A67858">
            <w:pPr>
              <w:spacing w:line="276" w:lineRule="auto"/>
              <w:ind w:left="1080"/>
              <w:contextualSpacing/>
              <w:rPr>
                <w:rFonts w:cs="GHEA Grapalat"/>
                <w:b/>
                <w:lang w:val="hy-AM"/>
              </w:rPr>
            </w:pPr>
            <w:r w:rsidRPr="0053423A">
              <w:rPr>
                <w:rFonts w:cs="GHEA Grapalat"/>
                <w:b/>
                <w:lang w:val="hy-AM"/>
              </w:rPr>
              <w:t>1.</w:t>
            </w:r>
            <w:r w:rsidRPr="0053423A">
              <w:rPr>
                <w:rFonts w:ascii="Calibri" w:hAnsi="Calibri" w:cs="Calibri"/>
                <w:b/>
                <w:lang w:val="hy-AM"/>
              </w:rPr>
              <w:t> </w:t>
            </w:r>
            <w:r w:rsidRPr="0053423A">
              <w:rPr>
                <w:rFonts w:cs="Sylfaen"/>
                <w:b/>
                <w:lang w:val="hy-AM"/>
              </w:rPr>
              <w:t>Միջոցառման</w:t>
            </w:r>
            <w:r w:rsidRPr="0053423A">
              <w:rPr>
                <w:rFonts w:cs="GHEA Grapalat"/>
                <w:b/>
                <w:lang w:val="hy-AM"/>
              </w:rPr>
              <w:t xml:space="preserve"> </w:t>
            </w:r>
            <w:r w:rsidRPr="0053423A">
              <w:rPr>
                <w:rFonts w:cs="Sylfaen"/>
                <w:b/>
                <w:lang w:val="hy-AM"/>
              </w:rPr>
              <w:t>իրականացման</w:t>
            </w:r>
            <w:r w:rsidRPr="0053423A">
              <w:rPr>
                <w:rFonts w:cs="GHEA Grapalat"/>
                <w:b/>
                <w:lang w:val="hy-AM"/>
              </w:rPr>
              <w:t xml:space="preserve"> </w:t>
            </w:r>
            <w:r w:rsidRPr="0053423A">
              <w:rPr>
                <w:rFonts w:cs="Sylfaen"/>
                <w:b/>
                <w:lang w:val="hy-AM"/>
              </w:rPr>
              <w:t>անհրաժեշտությունը</w:t>
            </w:r>
            <w:r w:rsidRPr="0053423A">
              <w:rPr>
                <w:rFonts w:cs="GHEA Grapalat"/>
                <w:b/>
                <w:lang w:val="hy-AM"/>
              </w:rPr>
              <w:t xml:space="preserve"> </w:t>
            </w:r>
            <w:r w:rsidRPr="0053423A">
              <w:rPr>
                <w:rFonts w:cs="Sylfaen"/>
                <w:b/>
                <w:lang w:val="hy-AM"/>
              </w:rPr>
              <w:t>և</w:t>
            </w:r>
            <w:r w:rsidRPr="0053423A">
              <w:rPr>
                <w:rFonts w:cs="GHEA Grapalat"/>
                <w:b/>
                <w:lang w:val="hy-AM"/>
              </w:rPr>
              <w:t xml:space="preserve"> </w:t>
            </w:r>
            <w:r w:rsidRPr="0053423A">
              <w:rPr>
                <w:rFonts w:cs="Sylfaen"/>
                <w:b/>
                <w:lang w:val="hy-AM"/>
              </w:rPr>
              <w:t>նպատակը</w:t>
            </w:r>
          </w:p>
          <w:p w:rsidR="007847C1" w:rsidRPr="0053423A" w:rsidRDefault="007847C1" w:rsidP="00A67858">
            <w:pPr>
              <w:autoSpaceDE w:val="0"/>
              <w:autoSpaceDN w:val="0"/>
              <w:adjustRightInd w:val="0"/>
              <w:spacing w:line="276" w:lineRule="auto"/>
              <w:ind w:firstLine="720"/>
              <w:jc w:val="both"/>
              <w:rPr>
                <w:rFonts w:cs="Sylfaen"/>
                <w:lang w:val="fr-FR" w:eastAsia="ru-RU"/>
              </w:rPr>
            </w:pPr>
            <w:r w:rsidRPr="0053423A">
              <w:rPr>
                <w:rFonts w:cs="Sylfaen"/>
                <w:lang w:val="fr-FR" w:eastAsia="ru-RU"/>
              </w:rPr>
              <w:t xml:space="preserve">     Անհրաժեշտ է կատարելագործել ֆիզիկական կուլտուրայի և սպորտի ոլորտի օրենսդրական դաշտը:</w:t>
            </w:r>
          </w:p>
          <w:p w:rsidR="007847C1" w:rsidRPr="0053423A" w:rsidRDefault="007847C1" w:rsidP="00A67858">
            <w:pPr>
              <w:tabs>
                <w:tab w:val="left" w:pos="1080"/>
                <w:tab w:val="left" w:pos="1170"/>
              </w:tabs>
              <w:spacing w:line="276" w:lineRule="auto"/>
              <w:ind w:left="360"/>
              <w:contextualSpacing/>
              <w:rPr>
                <w:rFonts w:cs="GHEA Grapalat"/>
                <w:b/>
                <w:lang w:val="fr-FR"/>
              </w:rPr>
            </w:pPr>
            <w:r w:rsidRPr="0053423A">
              <w:rPr>
                <w:rFonts w:cs="GHEA Grapalat"/>
                <w:b/>
                <w:lang w:val="hy-AM"/>
              </w:rPr>
              <w:t xml:space="preserve">           1.1</w:t>
            </w:r>
            <w:r w:rsidRPr="0053423A">
              <w:rPr>
                <w:rFonts w:ascii="Calibri" w:hAnsi="Calibri" w:cs="Calibri"/>
                <w:b/>
                <w:lang w:val="hy-AM"/>
              </w:rPr>
              <w:t> </w:t>
            </w:r>
            <w:r w:rsidRPr="0053423A">
              <w:rPr>
                <w:rFonts w:cs="GHEA Grapalat"/>
                <w:b/>
                <w:lang w:val="hy-AM"/>
              </w:rPr>
              <w:t>Կարգավորման</w:t>
            </w:r>
            <w:r w:rsidRPr="0053423A">
              <w:rPr>
                <w:rFonts w:cs="GHEA Grapalat"/>
                <w:b/>
                <w:lang w:val="fr-FR"/>
              </w:rPr>
              <w:t xml:space="preserve"> </w:t>
            </w:r>
            <w:r w:rsidRPr="0053423A">
              <w:rPr>
                <w:rFonts w:cs="GHEA Grapalat"/>
                <w:b/>
                <w:lang w:val="hy-AM"/>
              </w:rPr>
              <w:t>հարաբերությունների</w:t>
            </w:r>
            <w:r w:rsidRPr="0053423A">
              <w:rPr>
                <w:rFonts w:cs="GHEA Grapalat"/>
                <w:b/>
                <w:lang w:val="fr-FR"/>
              </w:rPr>
              <w:t xml:space="preserve"> </w:t>
            </w:r>
            <w:r w:rsidRPr="0053423A">
              <w:rPr>
                <w:rFonts w:cs="GHEA Grapalat"/>
                <w:b/>
                <w:lang w:val="hy-AM"/>
              </w:rPr>
              <w:t>ներկա</w:t>
            </w:r>
            <w:r w:rsidRPr="0053423A">
              <w:rPr>
                <w:rFonts w:cs="GHEA Grapalat"/>
                <w:b/>
                <w:lang w:val="fr-FR"/>
              </w:rPr>
              <w:t xml:space="preserve"> </w:t>
            </w:r>
            <w:r w:rsidRPr="0053423A">
              <w:rPr>
                <w:rFonts w:cs="GHEA Grapalat"/>
                <w:b/>
                <w:lang w:val="hy-AM"/>
              </w:rPr>
              <w:t>վիճակը</w:t>
            </w:r>
            <w:r w:rsidRPr="0053423A">
              <w:rPr>
                <w:rFonts w:cs="GHEA Grapalat"/>
                <w:b/>
                <w:lang w:val="fr-FR"/>
              </w:rPr>
              <w:t xml:space="preserve"> </w:t>
            </w:r>
            <w:r w:rsidRPr="0053423A">
              <w:rPr>
                <w:rFonts w:cs="GHEA Grapalat"/>
                <w:b/>
                <w:lang w:val="hy-AM"/>
              </w:rPr>
              <w:t>և</w:t>
            </w:r>
            <w:r w:rsidRPr="0053423A">
              <w:rPr>
                <w:rFonts w:cs="GHEA Grapalat"/>
                <w:b/>
                <w:lang w:val="fr-FR"/>
              </w:rPr>
              <w:t xml:space="preserve"> </w:t>
            </w:r>
            <w:r w:rsidRPr="0053423A">
              <w:rPr>
                <w:rFonts w:cs="GHEA Grapalat"/>
                <w:b/>
                <w:lang w:val="hy-AM"/>
              </w:rPr>
              <w:t>առկա</w:t>
            </w:r>
            <w:r w:rsidRPr="0053423A">
              <w:rPr>
                <w:rFonts w:cs="GHEA Grapalat"/>
                <w:b/>
                <w:lang w:val="fr-FR"/>
              </w:rPr>
              <w:t xml:space="preserve"> </w:t>
            </w:r>
            <w:r w:rsidRPr="0053423A">
              <w:rPr>
                <w:rFonts w:cs="GHEA Grapalat"/>
                <w:b/>
                <w:lang w:val="hy-AM"/>
              </w:rPr>
              <w:t>խնդիրները</w:t>
            </w:r>
          </w:p>
          <w:p w:rsidR="007847C1" w:rsidRPr="0053423A" w:rsidRDefault="007847C1" w:rsidP="00A67858">
            <w:pPr>
              <w:tabs>
                <w:tab w:val="left" w:pos="1080"/>
              </w:tabs>
              <w:autoSpaceDE w:val="0"/>
              <w:autoSpaceDN w:val="0"/>
              <w:adjustRightInd w:val="0"/>
              <w:spacing w:line="276" w:lineRule="auto"/>
              <w:ind w:firstLine="720"/>
              <w:jc w:val="both"/>
              <w:rPr>
                <w:rFonts w:cs="Sylfaen"/>
                <w:lang w:val="fr-FR" w:eastAsia="ru-RU"/>
              </w:rPr>
            </w:pPr>
            <w:r w:rsidRPr="0053423A">
              <w:rPr>
                <w:rFonts w:cs="Sylfaen"/>
                <w:lang w:val="fr-FR" w:eastAsia="ru-RU"/>
              </w:rPr>
              <w:t xml:space="preserve">    Ֆիզիկական կուլտուրայի և սպորտի ոլորտի օրենսդրության ներկա վիճակը բարվոք է, սակայն, օրինակ,   անհրաժեշտ է «Ֆիզիկական կուլտուրայի և սպորտի մասին» ՀՀ օրենքը համապատասխանեցնել ներկայիս պահանջներին: Օրինակ` «Ֆիզիկական կուլտուրայի և սպորտի մասին» ՀՀ օրենքի 9-րդ հոդվածի (այն է՝ «Հայաստանի Հանրապետության ֆիզիկական կուլտուրայի և սպորտի պետական կառավարման լիազորված մարմնի իրավասությունները») «դ» կետով սահմանվում է, որ Հայաստանի Հանրապետության ֆիզիկական կուլտուրայի և սպորտի պետական կառավարման լիազորված մարմինը մշակում և Հայաստանի Հանրապետության կառավարության հաստատմանն է ներկայացնում ֆիզիկական կուլտուրայի և սպորտի բնագավառի նորմատիվ ակտերը: Անհրաժեշտ է կատարել փոփոխություն և  լիազորել Հայաստանի Հանրապետության ֆիզիկական կուլտուրայի և սպորտի պետական կառավարման լիազորված մարմնին՝ Հայաստանի Հանրապետության կառավարության հաստատմանը ներկայացնելու ֆիզիկական կուլտուրայի և սպորտի բնագավառի իրավական ակտերը (անհատական և լոկալ): Միջոցառման իրականացման նպատակն է հնարավորություն ընձեռել Հայաստանի Հանրապետության ֆիզիկական կուլտուրայի և սպորտի պետական կառավարման լիազորված մարմնին՝ ունենալու ավելի լայն գործունեության շրջանակ: Նախագծի ընդունման համար հիմք են հանդիսանում «Կառավարության կառուցվածքի և գործունեության մասին» ՀՀ օրենքի  9-րդ հոդվածի 1-ին մասի 4-րդ կետը, 10-րդ հոդվածի 9-րդ մասի 1-ին կետը:</w:t>
            </w:r>
          </w:p>
          <w:p w:rsidR="007847C1" w:rsidRPr="0053423A" w:rsidRDefault="007847C1" w:rsidP="00A67858">
            <w:pPr>
              <w:tabs>
                <w:tab w:val="left" w:pos="1080"/>
              </w:tabs>
              <w:spacing w:line="276" w:lineRule="auto"/>
              <w:contextualSpacing/>
              <w:rPr>
                <w:rFonts w:cs="GHEA Grapalat"/>
                <w:b/>
                <w:lang w:val="fr-FR"/>
              </w:rPr>
            </w:pPr>
            <w:r w:rsidRPr="0053423A">
              <w:rPr>
                <w:rFonts w:cs="GHEA Grapalat"/>
                <w:b/>
                <w:lang w:val="fr-FR"/>
              </w:rPr>
              <w:t xml:space="preserve">                1.2</w:t>
            </w:r>
            <w:r w:rsidRPr="0053423A">
              <w:rPr>
                <w:rFonts w:ascii="Calibri" w:hAnsi="Calibri" w:cs="Calibri"/>
                <w:b/>
                <w:lang w:val="fr-FR"/>
              </w:rPr>
              <w:t> </w:t>
            </w:r>
            <w:r w:rsidRPr="0053423A">
              <w:rPr>
                <w:rFonts w:cs="GHEA Grapalat"/>
                <w:b/>
              </w:rPr>
              <w:t>Առկա</w:t>
            </w:r>
            <w:r w:rsidRPr="0053423A">
              <w:rPr>
                <w:rFonts w:cs="GHEA Grapalat"/>
                <w:b/>
                <w:lang w:val="fr-FR"/>
              </w:rPr>
              <w:t xml:space="preserve"> </w:t>
            </w:r>
            <w:r w:rsidRPr="0053423A">
              <w:rPr>
                <w:rFonts w:cs="GHEA Grapalat"/>
                <w:b/>
              </w:rPr>
              <w:t>խնդիրների</w:t>
            </w:r>
            <w:r w:rsidRPr="0053423A">
              <w:rPr>
                <w:rFonts w:cs="GHEA Grapalat"/>
                <w:b/>
                <w:lang w:val="fr-FR"/>
              </w:rPr>
              <w:t xml:space="preserve"> </w:t>
            </w:r>
            <w:r w:rsidRPr="0053423A">
              <w:rPr>
                <w:rFonts w:cs="GHEA Grapalat"/>
                <w:b/>
              </w:rPr>
              <w:t>առաջարկվող</w:t>
            </w:r>
            <w:r w:rsidRPr="0053423A">
              <w:rPr>
                <w:rFonts w:cs="GHEA Grapalat"/>
                <w:b/>
                <w:lang w:val="fr-FR"/>
              </w:rPr>
              <w:t xml:space="preserve"> </w:t>
            </w:r>
            <w:r w:rsidRPr="0053423A">
              <w:rPr>
                <w:rFonts w:cs="GHEA Grapalat"/>
                <w:b/>
              </w:rPr>
              <w:t>լուծումները</w:t>
            </w:r>
          </w:p>
          <w:p w:rsidR="007847C1" w:rsidRPr="0053423A" w:rsidRDefault="007847C1" w:rsidP="00A67858">
            <w:pPr>
              <w:autoSpaceDE w:val="0"/>
              <w:autoSpaceDN w:val="0"/>
              <w:adjustRightInd w:val="0"/>
              <w:spacing w:line="276" w:lineRule="auto"/>
              <w:ind w:firstLine="720"/>
              <w:jc w:val="both"/>
              <w:rPr>
                <w:rFonts w:cs="Sylfaen"/>
                <w:lang w:val="fr-FR" w:eastAsia="ru-RU"/>
              </w:rPr>
            </w:pPr>
            <w:r w:rsidRPr="0053423A">
              <w:rPr>
                <w:rFonts w:cs="Sylfaen"/>
                <w:lang w:val="fr-FR" w:eastAsia="ru-RU"/>
              </w:rPr>
              <w:t xml:space="preserve">    Փոփոխություններ և լրացումներ  կատարել «Ֆիզիկական կուլտուրայի և սպորտի մասին» ՀՀ օրենքում, օրենքը ներկայացնել նոր խմբագրությամբ:</w:t>
            </w:r>
          </w:p>
          <w:p w:rsidR="007847C1" w:rsidRPr="0053423A" w:rsidRDefault="007847C1" w:rsidP="00A67858">
            <w:pPr>
              <w:tabs>
                <w:tab w:val="left" w:pos="990"/>
                <w:tab w:val="left" w:pos="1080"/>
              </w:tabs>
              <w:spacing w:line="276" w:lineRule="auto"/>
              <w:ind w:left="720"/>
              <w:contextualSpacing/>
              <w:rPr>
                <w:rFonts w:cs="GHEA Grapalat"/>
                <w:b/>
                <w:lang w:val="fr-FR"/>
              </w:rPr>
            </w:pPr>
            <w:r w:rsidRPr="0053423A">
              <w:rPr>
                <w:rFonts w:cs="GHEA Grapalat"/>
                <w:b/>
                <w:lang w:val="fr-FR"/>
              </w:rPr>
              <w:t xml:space="preserve">      2.</w:t>
            </w:r>
            <w:r w:rsidRPr="0053423A">
              <w:rPr>
                <w:rFonts w:ascii="Calibri" w:hAnsi="Calibri" w:cs="Calibri"/>
                <w:b/>
                <w:lang w:val="fr-FR"/>
              </w:rPr>
              <w:t> </w:t>
            </w:r>
            <w:r w:rsidRPr="0053423A">
              <w:rPr>
                <w:rFonts w:cs="GHEA Grapalat"/>
                <w:b/>
              </w:rPr>
              <w:t>Միջոցառման</w:t>
            </w:r>
            <w:r w:rsidRPr="0053423A">
              <w:rPr>
                <w:rFonts w:cs="GHEA Grapalat"/>
                <w:b/>
                <w:lang w:val="fr-FR"/>
              </w:rPr>
              <w:t xml:space="preserve"> </w:t>
            </w:r>
            <w:r w:rsidRPr="0053423A">
              <w:rPr>
                <w:rFonts w:cs="GHEA Grapalat"/>
                <w:b/>
              </w:rPr>
              <w:t>իրականացումից</w:t>
            </w:r>
            <w:r w:rsidRPr="0053423A">
              <w:rPr>
                <w:rFonts w:cs="GHEA Grapalat"/>
                <w:b/>
                <w:lang w:val="fr-FR"/>
              </w:rPr>
              <w:t xml:space="preserve"> </w:t>
            </w:r>
            <w:r w:rsidRPr="0053423A">
              <w:rPr>
                <w:rFonts w:cs="GHEA Grapalat"/>
                <w:b/>
              </w:rPr>
              <w:t>ակնկալվող</w:t>
            </w:r>
            <w:r w:rsidRPr="0053423A">
              <w:rPr>
                <w:rFonts w:cs="GHEA Grapalat"/>
                <w:b/>
                <w:lang w:val="fr-FR"/>
              </w:rPr>
              <w:t xml:space="preserve"> </w:t>
            </w:r>
            <w:r w:rsidRPr="0053423A">
              <w:rPr>
                <w:rFonts w:cs="GHEA Grapalat"/>
                <w:b/>
              </w:rPr>
              <w:t>արդյունքը</w:t>
            </w:r>
          </w:p>
          <w:p w:rsidR="007847C1" w:rsidRPr="0053423A" w:rsidRDefault="007847C1" w:rsidP="00A67858">
            <w:pPr>
              <w:tabs>
                <w:tab w:val="left" w:pos="3360"/>
              </w:tabs>
              <w:spacing w:line="276" w:lineRule="auto"/>
              <w:rPr>
                <w:rFonts w:cs="GHEA Grapalat"/>
                <w:lang w:val="fr-FR"/>
              </w:rPr>
            </w:pPr>
            <w:r w:rsidRPr="0053423A">
              <w:rPr>
                <w:rFonts w:cs="Sylfaen"/>
                <w:lang w:val="fr-FR" w:eastAsia="ru-RU"/>
              </w:rPr>
              <w:t xml:space="preserve">     Ֆիզիկական կուլտուրայի և սպորտի բնագավառի օրենսդրական բացերի լրացում:</w:t>
            </w:r>
            <w:r w:rsidRPr="0053423A">
              <w:rPr>
                <w:rFonts w:ascii="Calibri" w:hAnsi="Calibri" w:cs="Calibri"/>
                <w:lang w:val="fr-FR"/>
              </w:rPr>
              <w:t> </w:t>
            </w:r>
            <w:r w:rsidRPr="0053423A">
              <w:rPr>
                <w:rFonts w:cs="GHEA Grapalat"/>
              </w:rPr>
              <w:t>Հիմնահարցերի</w:t>
            </w:r>
            <w:r w:rsidRPr="0053423A">
              <w:rPr>
                <w:rFonts w:cs="GHEA Grapalat"/>
                <w:lang w:val="fr-FR"/>
              </w:rPr>
              <w:t xml:space="preserve"> </w:t>
            </w:r>
            <w:r w:rsidRPr="0053423A">
              <w:rPr>
                <w:rFonts w:cs="GHEA Grapalat"/>
              </w:rPr>
              <w:t>կարգավորման</w:t>
            </w:r>
            <w:r w:rsidRPr="0053423A">
              <w:rPr>
                <w:rFonts w:cs="GHEA Grapalat"/>
                <w:lang w:val="fr-FR"/>
              </w:rPr>
              <w:t xml:space="preserve"> </w:t>
            </w:r>
            <w:r w:rsidRPr="0053423A">
              <w:rPr>
                <w:rFonts w:cs="GHEA Grapalat"/>
              </w:rPr>
              <w:t>իրավական</w:t>
            </w:r>
            <w:r w:rsidRPr="0053423A">
              <w:rPr>
                <w:rFonts w:cs="GHEA Grapalat"/>
                <w:lang w:val="fr-FR"/>
              </w:rPr>
              <w:t xml:space="preserve"> </w:t>
            </w:r>
            <w:r w:rsidRPr="0053423A">
              <w:rPr>
                <w:rFonts w:cs="GHEA Grapalat"/>
              </w:rPr>
              <w:t>հիմքերի</w:t>
            </w:r>
            <w:r w:rsidRPr="0053423A">
              <w:rPr>
                <w:rFonts w:cs="GHEA Grapalat"/>
                <w:lang w:val="fr-FR"/>
              </w:rPr>
              <w:t xml:space="preserve"> </w:t>
            </w:r>
            <w:r w:rsidRPr="0053423A">
              <w:rPr>
                <w:rFonts w:cs="GHEA Grapalat"/>
              </w:rPr>
              <w:t>առկայություն</w:t>
            </w:r>
            <w:r w:rsidRPr="0053423A">
              <w:rPr>
                <w:rFonts w:cs="GHEA Grapalat"/>
                <w:lang w:val="fr-FR"/>
              </w:rPr>
              <w:t>:</w:t>
            </w:r>
          </w:p>
        </w:tc>
      </w:tr>
    </w:tbl>
    <w:p w:rsidR="007847C1" w:rsidRPr="0053423A" w:rsidRDefault="007847C1" w:rsidP="00A67858">
      <w:pPr>
        <w:tabs>
          <w:tab w:val="left" w:pos="3360"/>
        </w:tabs>
        <w:spacing w:after="0" w:line="276" w:lineRule="auto"/>
        <w:rPr>
          <w:rFonts w:eastAsia="Times New Roman" w:cs="GHEA Grapalat"/>
          <w:sz w:val="20"/>
          <w:szCs w:val="20"/>
          <w:lang w:val="fr-FR"/>
        </w:rPr>
      </w:pPr>
    </w:p>
    <w:tbl>
      <w:tblPr>
        <w:tblStyle w:val="TableGrid"/>
        <w:tblW w:w="11401" w:type="dxa"/>
        <w:tblInd w:w="137" w:type="dxa"/>
        <w:shd w:val="clear" w:color="auto" w:fill="FFFF00"/>
        <w:tblLook w:val="04A0" w:firstRow="1" w:lastRow="0" w:firstColumn="1" w:lastColumn="0" w:noHBand="0" w:noVBand="1"/>
      </w:tblPr>
      <w:tblGrid>
        <w:gridCol w:w="11401"/>
      </w:tblGrid>
      <w:tr w:rsidR="002B2CAB" w:rsidRPr="0053423A" w:rsidTr="00CE4992">
        <w:tc>
          <w:tcPr>
            <w:tcW w:w="11401" w:type="dxa"/>
            <w:shd w:val="clear" w:color="auto" w:fill="FFFF00"/>
          </w:tcPr>
          <w:p w:rsidR="002B2CAB" w:rsidRPr="0053423A" w:rsidRDefault="002B2CAB" w:rsidP="00A67858">
            <w:pPr>
              <w:spacing w:line="276" w:lineRule="auto"/>
              <w:jc w:val="center"/>
              <w:rPr>
                <w:rFonts w:cs="Sylfaen"/>
                <w:b/>
                <w:lang w:val="hy-AM" w:eastAsia="en-GB"/>
              </w:rPr>
            </w:pPr>
            <w:r w:rsidRPr="0053423A">
              <w:rPr>
                <w:rFonts w:cs="Sylfaen"/>
                <w:b/>
                <w:lang w:val="hy-AM" w:eastAsia="en-GB"/>
              </w:rPr>
              <w:t>Սփյուռքի</w:t>
            </w:r>
            <w:r w:rsidRPr="0053423A">
              <w:rPr>
                <w:b/>
                <w:lang w:val="hy-AM"/>
              </w:rPr>
              <w:t xml:space="preserve"> </w:t>
            </w:r>
            <w:r w:rsidRPr="0053423A">
              <w:rPr>
                <w:rFonts w:cs="Arial Unicode"/>
                <w:b/>
                <w:lang w:val="hy-AM"/>
              </w:rPr>
              <w:t>նախարարություն</w:t>
            </w:r>
          </w:p>
        </w:tc>
      </w:tr>
    </w:tbl>
    <w:p w:rsidR="002B2CAB" w:rsidRPr="0053423A" w:rsidRDefault="002B2CAB" w:rsidP="00A67858">
      <w:pPr>
        <w:spacing w:after="0" w:line="276" w:lineRule="auto"/>
        <w:jc w:val="right"/>
        <w:rPr>
          <w:rFonts w:eastAsia="Times New Roman" w:cs="Arial Armenian"/>
          <w:sz w:val="20"/>
          <w:szCs w:val="20"/>
          <w:lang w:eastAsia="ru-RU"/>
        </w:rPr>
      </w:pPr>
    </w:p>
    <w:tbl>
      <w:tblPr>
        <w:tblStyle w:val="TableGrid8"/>
        <w:tblW w:w="11416" w:type="dxa"/>
        <w:tblInd w:w="198" w:type="dxa"/>
        <w:tblLook w:val="04A0" w:firstRow="1" w:lastRow="0" w:firstColumn="1" w:lastColumn="0" w:noHBand="0" w:noVBand="1"/>
      </w:tblPr>
      <w:tblGrid>
        <w:gridCol w:w="540"/>
        <w:gridCol w:w="10876"/>
      </w:tblGrid>
      <w:tr w:rsidR="002B2CAB" w:rsidRPr="00DE2EFA" w:rsidTr="002B2CAB">
        <w:tc>
          <w:tcPr>
            <w:tcW w:w="540" w:type="dxa"/>
            <w:vMerge w:val="restart"/>
          </w:tcPr>
          <w:p w:rsidR="002B2CAB" w:rsidRPr="0053423A" w:rsidRDefault="002B2CAB" w:rsidP="00A67858">
            <w:pPr>
              <w:spacing w:line="276" w:lineRule="auto"/>
              <w:jc w:val="center"/>
              <w:rPr>
                <w:rFonts w:cs="Times New Roman"/>
                <w:b/>
                <w:sz w:val="20"/>
                <w:szCs w:val="20"/>
                <w:lang w:val="hy-AM"/>
              </w:rPr>
            </w:pPr>
            <w:r w:rsidRPr="0053423A">
              <w:rPr>
                <w:rFonts w:cs="Times New Roman"/>
                <w:b/>
                <w:sz w:val="20"/>
                <w:szCs w:val="20"/>
                <w:lang w:val="hy-AM"/>
              </w:rPr>
              <w:t>1</w:t>
            </w: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cs="Sylfaen"/>
                <w:b/>
                <w:sz w:val="20"/>
                <w:szCs w:val="20"/>
                <w:u w:val="single"/>
                <w:lang w:val="hy-AM"/>
              </w:rPr>
              <w:t xml:space="preserve">1.1 «Հայրենադարձության մասին» ՀՀ օրենքի </w:t>
            </w:r>
            <w:r w:rsidRPr="0053423A">
              <w:rPr>
                <w:rFonts w:cs="Times New Roman"/>
                <w:b/>
                <w:bCs/>
                <w:sz w:val="20"/>
                <w:szCs w:val="20"/>
                <w:u w:val="single"/>
                <w:lang w:val="hy-AM" w:eastAsia="en-GB"/>
              </w:rPr>
              <w:t>նախագիծը ՀՀ վարչապետի աշխատակազմ ներկայացում</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sz w:val="20"/>
                <w:szCs w:val="20"/>
                <w:lang w:val="hy-AM"/>
              </w:rPr>
              <w:t xml:space="preserve">Անհրաժեշտությունը բխում է Սահմանադրության 19-րդ հոդվածի 1-ին մասի պահանջներից (ոլորտային նորմատիվ իրավական ակտեր չկան): Նպատակն է </w:t>
            </w:r>
            <w:r w:rsidRPr="0053423A">
              <w:rPr>
                <w:rFonts w:cs="Times New Roman"/>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b/>
                <w:sz w:val="20"/>
                <w:szCs w:val="20"/>
                <w:lang w:val="ro-RO"/>
              </w:rPr>
              <w:t xml:space="preserve"> </w:t>
            </w:r>
          </w:p>
          <w:p w:rsidR="002B2CAB" w:rsidRPr="0053423A" w:rsidRDefault="002B2CAB" w:rsidP="00A67858">
            <w:pPr>
              <w:spacing w:line="276" w:lineRule="auto"/>
              <w:rPr>
                <w:rFonts w:cs="Times New Roman"/>
                <w:b/>
                <w:sz w:val="20"/>
                <w:szCs w:val="20"/>
                <w:lang w:val="ro-RO"/>
              </w:rPr>
            </w:pPr>
            <w:r w:rsidRPr="0053423A">
              <w:rPr>
                <w:rFonts w:cs="Times New Roman"/>
                <w:b/>
                <w:sz w:val="20"/>
                <w:szCs w:val="20"/>
                <w:lang w:val="hy-AM"/>
              </w:rPr>
              <w:t xml:space="preserve"> </w:t>
            </w:r>
            <w:r w:rsidRPr="0053423A">
              <w:rPr>
                <w:rFonts w:cs="Times New Roman"/>
                <w:b/>
                <w:sz w:val="20"/>
                <w:szCs w:val="20"/>
                <w:lang w:val="ro-RO"/>
              </w:rPr>
              <w:t>1.1. 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Courier New"/>
                <w:sz w:val="20"/>
                <w:szCs w:val="20"/>
                <w:lang w:val="pt-BR"/>
              </w:rPr>
            </w:pPr>
            <w:r w:rsidRPr="0053423A">
              <w:rPr>
                <w:rFonts w:cs="Times New Roman"/>
                <w:sz w:val="20"/>
                <w:szCs w:val="20"/>
                <w:lang w:val="hy-AM"/>
              </w:rPr>
              <w:t>Հայրենադարձությունը</w:t>
            </w:r>
            <w:r w:rsidRPr="0053423A">
              <w:rPr>
                <w:rFonts w:cs="Times New Roman"/>
                <w:sz w:val="20"/>
                <w:szCs w:val="20"/>
                <w:lang w:val="ro-RO"/>
              </w:rPr>
              <w:t xml:space="preserve">, </w:t>
            </w:r>
            <w:r w:rsidRPr="0053423A">
              <w:rPr>
                <w:rFonts w:cs="Times New Roman"/>
                <w:sz w:val="20"/>
                <w:szCs w:val="20"/>
                <w:lang w:val="hy-AM"/>
              </w:rPr>
              <w:t>որպես</w:t>
            </w:r>
            <w:r w:rsidRPr="0053423A">
              <w:rPr>
                <w:rFonts w:cs="Times New Roman"/>
                <w:sz w:val="20"/>
                <w:szCs w:val="20"/>
                <w:lang w:val="ro-RO"/>
              </w:rPr>
              <w:t xml:space="preserve"> </w:t>
            </w:r>
            <w:r w:rsidRPr="0053423A">
              <w:rPr>
                <w:rFonts w:cs="Times New Roman"/>
                <w:sz w:val="20"/>
                <w:szCs w:val="20"/>
                <w:lang w:val="hy-AM"/>
              </w:rPr>
              <w:t>պետական</w:t>
            </w:r>
            <w:r w:rsidRPr="0053423A">
              <w:rPr>
                <w:rFonts w:cs="Times New Roman"/>
                <w:sz w:val="20"/>
                <w:szCs w:val="20"/>
                <w:lang w:val="ro-RO"/>
              </w:rPr>
              <w:t xml:space="preserve"> </w:t>
            </w:r>
            <w:r w:rsidRPr="0053423A">
              <w:rPr>
                <w:rFonts w:cs="Times New Roman"/>
                <w:sz w:val="20"/>
                <w:szCs w:val="20"/>
                <w:lang w:val="hy-AM"/>
              </w:rPr>
              <w:t>քաղաքականության</w:t>
            </w:r>
            <w:r w:rsidRPr="0053423A">
              <w:rPr>
                <w:rFonts w:cs="Times New Roman"/>
                <w:sz w:val="20"/>
                <w:szCs w:val="20"/>
                <w:lang w:val="ro-RO"/>
              </w:rPr>
              <w:t xml:space="preserve"> </w:t>
            </w:r>
            <w:r w:rsidRPr="0053423A">
              <w:rPr>
                <w:rFonts w:cs="Times New Roman"/>
                <w:sz w:val="20"/>
                <w:szCs w:val="20"/>
                <w:lang w:val="hy-AM"/>
              </w:rPr>
              <w:t>կարևոր</w:t>
            </w:r>
            <w:r w:rsidRPr="0053423A">
              <w:rPr>
                <w:rFonts w:cs="Times New Roman"/>
                <w:sz w:val="20"/>
                <w:szCs w:val="20"/>
                <w:lang w:val="ro-RO"/>
              </w:rPr>
              <w:t xml:space="preserve"> </w:t>
            </w:r>
            <w:r w:rsidRPr="0053423A">
              <w:rPr>
                <w:rFonts w:cs="Times New Roman"/>
                <w:sz w:val="20"/>
                <w:szCs w:val="20"/>
                <w:lang w:val="hy-AM"/>
              </w:rPr>
              <w:t>բաղադրիչ</w:t>
            </w:r>
            <w:r w:rsidRPr="0053423A">
              <w:rPr>
                <w:rFonts w:cs="Times New Roman"/>
                <w:sz w:val="20"/>
                <w:szCs w:val="20"/>
                <w:lang w:val="ro-RO"/>
              </w:rPr>
              <w:t xml:space="preserve">, </w:t>
            </w:r>
            <w:r w:rsidRPr="0053423A">
              <w:rPr>
                <w:rFonts w:cs="Times New Roman"/>
                <w:sz w:val="20"/>
                <w:szCs w:val="20"/>
                <w:lang w:val="hy-AM"/>
              </w:rPr>
              <w:t>համահայկական</w:t>
            </w:r>
            <w:r w:rsidRPr="0053423A">
              <w:rPr>
                <w:rFonts w:cs="Times New Roman"/>
                <w:sz w:val="20"/>
                <w:szCs w:val="20"/>
                <w:lang w:val="ro-RO"/>
              </w:rPr>
              <w:t xml:space="preserve"> </w:t>
            </w:r>
            <w:r w:rsidRPr="0053423A">
              <w:rPr>
                <w:rFonts w:cs="Times New Roman"/>
                <w:sz w:val="20"/>
                <w:szCs w:val="20"/>
                <w:lang w:val="hy-AM"/>
              </w:rPr>
              <w:t>ներուժի</w:t>
            </w:r>
            <w:r w:rsidRPr="0053423A">
              <w:rPr>
                <w:rFonts w:cs="Times New Roman"/>
                <w:sz w:val="20"/>
                <w:szCs w:val="20"/>
                <w:lang w:val="ro-RO"/>
              </w:rPr>
              <w:t xml:space="preserve"> </w:t>
            </w:r>
            <w:r w:rsidRPr="0053423A">
              <w:rPr>
                <w:rFonts w:cs="Times New Roman"/>
                <w:sz w:val="20"/>
                <w:szCs w:val="20"/>
                <w:lang w:val="hy-AM"/>
              </w:rPr>
              <w:t>համախմբմանն</w:t>
            </w:r>
            <w:r w:rsidRPr="0053423A">
              <w:rPr>
                <w:rFonts w:cs="Times New Roman"/>
                <w:sz w:val="20"/>
                <w:szCs w:val="20"/>
                <w:lang w:val="ro-RO"/>
              </w:rPr>
              <w:t xml:space="preserve"> </w:t>
            </w:r>
            <w:r w:rsidRPr="0053423A">
              <w:rPr>
                <w:rFonts w:cs="Times New Roman"/>
                <w:sz w:val="20"/>
                <w:szCs w:val="20"/>
                <w:lang w:val="hy-AM"/>
              </w:rPr>
              <w:t>ուղղված</w:t>
            </w:r>
            <w:r w:rsidRPr="0053423A">
              <w:rPr>
                <w:rFonts w:cs="Times New Roman"/>
                <w:sz w:val="20"/>
                <w:szCs w:val="20"/>
                <w:lang w:val="ro-RO"/>
              </w:rPr>
              <w:t xml:space="preserve"> </w:t>
            </w:r>
            <w:r w:rsidRPr="0053423A">
              <w:rPr>
                <w:rFonts w:cs="Times New Roman"/>
                <w:sz w:val="20"/>
                <w:szCs w:val="20"/>
                <w:lang w:val="hy-AM"/>
              </w:rPr>
              <w:t>մի</w:t>
            </w:r>
            <w:r w:rsidRPr="0053423A">
              <w:rPr>
                <w:rFonts w:cs="Times New Roman"/>
                <w:sz w:val="20"/>
                <w:szCs w:val="20"/>
                <w:lang w:val="ro-RO"/>
              </w:rPr>
              <w:t xml:space="preserve"> </w:t>
            </w:r>
            <w:r w:rsidRPr="0053423A">
              <w:rPr>
                <w:rFonts w:cs="Times New Roman"/>
                <w:sz w:val="20"/>
                <w:szCs w:val="20"/>
                <w:lang w:val="hy-AM"/>
              </w:rPr>
              <w:t>շարք</w:t>
            </w:r>
            <w:r w:rsidRPr="0053423A">
              <w:rPr>
                <w:rFonts w:cs="Times New Roman"/>
                <w:sz w:val="20"/>
                <w:szCs w:val="20"/>
                <w:lang w:val="ro-RO"/>
              </w:rPr>
              <w:t xml:space="preserve"> </w:t>
            </w:r>
            <w:r w:rsidRPr="0053423A">
              <w:rPr>
                <w:rFonts w:cs="Times New Roman"/>
                <w:sz w:val="20"/>
                <w:szCs w:val="20"/>
                <w:lang w:val="hy-AM"/>
              </w:rPr>
              <w:t>միջոցառումների</w:t>
            </w:r>
            <w:r w:rsidRPr="0053423A">
              <w:rPr>
                <w:rFonts w:cs="Times New Roman"/>
                <w:sz w:val="20"/>
                <w:szCs w:val="20"/>
                <w:lang w:val="ro-RO"/>
              </w:rPr>
              <w:t xml:space="preserve"> </w:t>
            </w:r>
            <w:r w:rsidRPr="0053423A">
              <w:rPr>
                <w:rFonts w:cs="Times New Roman"/>
                <w:sz w:val="20"/>
                <w:szCs w:val="20"/>
                <w:lang w:val="hy-AM"/>
              </w:rPr>
              <w:t>մշակումն</w:t>
            </w:r>
            <w:r w:rsidRPr="0053423A">
              <w:rPr>
                <w:rFonts w:cs="Times New Roman"/>
                <w:sz w:val="20"/>
                <w:szCs w:val="20"/>
                <w:lang w:val="ro-RO"/>
              </w:rPr>
              <w:t xml:space="preserve"> </w:t>
            </w:r>
            <w:r w:rsidRPr="0053423A">
              <w:rPr>
                <w:rFonts w:cs="Times New Roman"/>
                <w:sz w:val="20"/>
                <w:szCs w:val="20"/>
                <w:lang w:val="hy-AM"/>
              </w:rPr>
              <w:t>ու</w:t>
            </w:r>
            <w:r w:rsidRPr="0053423A">
              <w:rPr>
                <w:rFonts w:cs="Times New Roman"/>
                <w:sz w:val="20"/>
                <w:szCs w:val="20"/>
                <w:lang w:val="ro-RO"/>
              </w:rPr>
              <w:t xml:space="preserve"> </w:t>
            </w:r>
            <w:r w:rsidRPr="0053423A">
              <w:rPr>
                <w:rFonts w:cs="Times New Roman"/>
                <w:sz w:val="20"/>
                <w:szCs w:val="20"/>
                <w:lang w:val="hy-AM"/>
              </w:rPr>
              <w:t>իրականացումն</w:t>
            </w:r>
            <w:r w:rsidRPr="0053423A">
              <w:rPr>
                <w:rFonts w:cs="Times New Roman"/>
                <w:sz w:val="20"/>
                <w:szCs w:val="20"/>
                <w:lang w:val="ro-RO"/>
              </w:rPr>
              <w:t xml:space="preserve"> </w:t>
            </w:r>
            <w:r w:rsidRPr="0053423A">
              <w:rPr>
                <w:rFonts w:cs="Times New Roman"/>
                <w:sz w:val="20"/>
                <w:szCs w:val="20"/>
                <w:lang w:val="hy-AM"/>
              </w:rPr>
              <w:t>է</w:t>
            </w:r>
            <w:r w:rsidRPr="0053423A">
              <w:rPr>
                <w:rFonts w:cs="Times New Roman"/>
                <w:sz w:val="20"/>
                <w:szCs w:val="20"/>
                <w:lang w:val="ro-RO"/>
              </w:rPr>
              <w:t>:</w:t>
            </w:r>
            <w:r w:rsidRPr="0053423A">
              <w:rPr>
                <w:rFonts w:cs="Courier New"/>
                <w:sz w:val="20"/>
                <w:szCs w:val="20"/>
                <w:lang w:val="pt-BR"/>
              </w:rPr>
              <w:t xml:space="preserve"> </w:t>
            </w:r>
            <w:r w:rsidRPr="0053423A">
              <w:rPr>
                <w:rFonts w:cs="Courier New"/>
                <w:sz w:val="20"/>
                <w:szCs w:val="20"/>
                <w:lang w:val="hy-AM"/>
              </w:rPr>
              <w:t>Հայրենադարձությունը</w:t>
            </w:r>
            <w:r w:rsidRPr="0053423A">
              <w:rPr>
                <w:rFonts w:cs="Courier New"/>
                <w:sz w:val="20"/>
                <w:szCs w:val="20"/>
                <w:lang w:val="pt-BR"/>
              </w:rPr>
              <w:t xml:space="preserve"> դիտարկվում է </w:t>
            </w:r>
            <w:r w:rsidRPr="0053423A">
              <w:rPr>
                <w:rFonts w:cs="Courier New"/>
                <w:sz w:val="20"/>
                <w:szCs w:val="20"/>
                <w:lang w:val="hy-AM"/>
              </w:rPr>
              <w:t>հայրենիքում</w:t>
            </w:r>
            <w:r w:rsidRPr="0053423A">
              <w:rPr>
                <w:rFonts w:cs="Courier New"/>
                <w:sz w:val="20"/>
                <w:szCs w:val="20"/>
                <w:lang w:val="pt-BR"/>
              </w:rPr>
              <w:t xml:space="preserve"> </w:t>
            </w:r>
            <w:r w:rsidRPr="0053423A">
              <w:rPr>
                <w:rFonts w:cs="Courier New"/>
                <w:sz w:val="20"/>
                <w:szCs w:val="20"/>
                <w:lang w:val="hy-AM"/>
              </w:rPr>
              <w:t>բնակություն</w:t>
            </w:r>
            <w:r w:rsidRPr="0053423A">
              <w:rPr>
                <w:rFonts w:cs="Courier New"/>
                <w:sz w:val="20"/>
                <w:szCs w:val="20"/>
                <w:lang w:val="pt-BR"/>
              </w:rPr>
              <w:t xml:space="preserve"> </w:t>
            </w:r>
            <w:r w:rsidRPr="0053423A">
              <w:rPr>
                <w:rFonts w:cs="Courier New"/>
                <w:sz w:val="20"/>
                <w:szCs w:val="20"/>
                <w:lang w:val="hy-AM"/>
              </w:rPr>
              <w:t>հաստատելու</w:t>
            </w:r>
            <w:r w:rsidRPr="0053423A">
              <w:rPr>
                <w:rFonts w:cs="Courier New"/>
                <w:sz w:val="20"/>
                <w:szCs w:val="20"/>
                <w:lang w:val="pt-BR"/>
              </w:rPr>
              <w:t xml:space="preserve"> </w:t>
            </w:r>
            <w:r w:rsidRPr="0053423A">
              <w:rPr>
                <w:rFonts w:cs="Courier New"/>
                <w:sz w:val="20"/>
                <w:szCs w:val="20"/>
                <w:lang w:val="hy-AM"/>
              </w:rPr>
              <w:t>յուրաքանչյուր</w:t>
            </w:r>
            <w:r w:rsidRPr="0053423A">
              <w:rPr>
                <w:rFonts w:cs="Courier New"/>
                <w:sz w:val="20"/>
                <w:szCs w:val="20"/>
                <w:lang w:val="pt-BR"/>
              </w:rPr>
              <w:t xml:space="preserve"> </w:t>
            </w:r>
            <w:r w:rsidRPr="0053423A">
              <w:rPr>
                <w:rFonts w:cs="Courier New"/>
                <w:sz w:val="20"/>
                <w:szCs w:val="20"/>
                <w:lang w:val="hy-AM"/>
              </w:rPr>
              <w:t>հայի</w:t>
            </w:r>
            <w:r w:rsidRPr="0053423A">
              <w:rPr>
                <w:rFonts w:cs="Courier New"/>
                <w:sz w:val="20"/>
                <w:szCs w:val="20"/>
                <w:lang w:val="pt-BR"/>
              </w:rPr>
              <w:t xml:space="preserve"> </w:t>
            </w:r>
            <w:r w:rsidRPr="0053423A">
              <w:rPr>
                <w:rFonts w:cs="Courier New"/>
                <w:sz w:val="20"/>
                <w:szCs w:val="20"/>
                <w:lang w:val="hy-AM"/>
              </w:rPr>
              <w:t>իրավունք</w:t>
            </w:r>
            <w:r w:rsidRPr="0053423A">
              <w:rPr>
                <w:rFonts w:cs="Courier New"/>
                <w:sz w:val="20"/>
                <w:szCs w:val="20"/>
                <w:lang w:val="pt-BR"/>
              </w:rPr>
              <w:t xml:space="preserve">, </w:t>
            </w:r>
            <w:r w:rsidRPr="0053423A">
              <w:rPr>
                <w:rFonts w:cs="Courier New"/>
                <w:sz w:val="20"/>
                <w:szCs w:val="20"/>
                <w:lang w:val="hy-AM"/>
              </w:rPr>
              <w:t>և</w:t>
            </w:r>
            <w:r w:rsidRPr="0053423A">
              <w:rPr>
                <w:rFonts w:cs="Courier New"/>
                <w:sz w:val="20"/>
                <w:szCs w:val="20"/>
                <w:lang w:val="pt-BR"/>
              </w:rPr>
              <w:t xml:space="preserve"> </w:t>
            </w:r>
            <w:r w:rsidRPr="0053423A">
              <w:rPr>
                <w:rFonts w:cs="Courier New"/>
                <w:sz w:val="20"/>
                <w:szCs w:val="20"/>
                <w:lang w:val="hy-AM"/>
              </w:rPr>
              <w:t>որպես</w:t>
            </w:r>
            <w:r w:rsidRPr="0053423A">
              <w:rPr>
                <w:rFonts w:cs="Courier New"/>
                <w:sz w:val="20"/>
                <w:szCs w:val="20"/>
                <w:lang w:val="pt-BR"/>
              </w:rPr>
              <w:t xml:space="preserve"> </w:t>
            </w:r>
            <w:r w:rsidRPr="0053423A">
              <w:rPr>
                <w:rFonts w:cs="Courier New"/>
                <w:sz w:val="20"/>
                <w:szCs w:val="20"/>
                <w:lang w:val="hy-AM"/>
              </w:rPr>
              <w:t>հայապահպանության</w:t>
            </w:r>
            <w:r w:rsidRPr="0053423A">
              <w:rPr>
                <w:rFonts w:cs="Courier New"/>
                <w:sz w:val="20"/>
                <w:szCs w:val="20"/>
                <w:lang w:val="pt-BR"/>
              </w:rPr>
              <w:t xml:space="preserve"> </w:t>
            </w:r>
            <w:r w:rsidRPr="0053423A">
              <w:rPr>
                <w:rFonts w:cs="Courier New"/>
                <w:sz w:val="20"/>
                <w:szCs w:val="20"/>
                <w:lang w:val="hy-AM"/>
              </w:rPr>
              <w:t>կարևոր</w:t>
            </w:r>
            <w:r w:rsidRPr="0053423A">
              <w:rPr>
                <w:rFonts w:cs="Courier New"/>
                <w:sz w:val="20"/>
                <w:szCs w:val="20"/>
                <w:lang w:val="pt-BR"/>
              </w:rPr>
              <w:t xml:space="preserve"> </w:t>
            </w:r>
            <w:r w:rsidRPr="0053423A">
              <w:rPr>
                <w:rFonts w:cs="Courier New"/>
                <w:sz w:val="20"/>
                <w:szCs w:val="20"/>
                <w:lang w:val="hy-AM"/>
              </w:rPr>
              <w:t>գործոն</w:t>
            </w:r>
            <w:r w:rsidRPr="0053423A">
              <w:rPr>
                <w:rFonts w:cs="Courier New"/>
                <w:sz w:val="20"/>
                <w:szCs w:val="20"/>
                <w:lang w:val="pt-BR"/>
              </w:rPr>
              <w:t xml:space="preserve"> </w:t>
            </w:r>
            <w:r w:rsidRPr="0053423A">
              <w:rPr>
                <w:rFonts w:cs="Courier New"/>
                <w:sz w:val="20"/>
                <w:szCs w:val="20"/>
                <w:lang w:val="hy-AM"/>
              </w:rPr>
              <w:t>գտնվում</w:t>
            </w:r>
            <w:r w:rsidRPr="0053423A">
              <w:rPr>
                <w:rFonts w:cs="Courier New"/>
                <w:sz w:val="20"/>
                <w:szCs w:val="20"/>
                <w:lang w:val="pt-BR"/>
              </w:rPr>
              <w:t xml:space="preserve"> </w:t>
            </w:r>
            <w:r w:rsidRPr="0053423A">
              <w:rPr>
                <w:rFonts w:cs="Courier New"/>
                <w:sz w:val="20"/>
                <w:szCs w:val="20"/>
                <w:lang w:val="hy-AM"/>
              </w:rPr>
              <w:t>է</w:t>
            </w:r>
            <w:r w:rsidRPr="0053423A">
              <w:rPr>
                <w:rFonts w:cs="Courier New"/>
                <w:sz w:val="20"/>
                <w:szCs w:val="20"/>
                <w:lang w:val="pt-BR"/>
              </w:rPr>
              <w:t xml:space="preserve"> </w:t>
            </w:r>
            <w:r w:rsidRPr="0053423A">
              <w:rPr>
                <w:rFonts w:cs="Courier New"/>
                <w:sz w:val="20"/>
                <w:szCs w:val="20"/>
                <w:lang w:val="hy-AM"/>
              </w:rPr>
              <w:t>պետության</w:t>
            </w:r>
            <w:r w:rsidRPr="0053423A">
              <w:rPr>
                <w:rFonts w:cs="Courier New"/>
                <w:sz w:val="20"/>
                <w:szCs w:val="20"/>
                <w:lang w:val="pt-BR"/>
              </w:rPr>
              <w:t xml:space="preserve"> </w:t>
            </w:r>
            <w:r w:rsidRPr="0053423A">
              <w:rPr>
                <w:rFonts w:cs="Courier New"/>
                <w:sz w:val="20"/>
                <w:szCs w:val="20"/>
                <w:lang w:val="hy-AM"/>
              </w:rPr>
              <w:t>հովանավորության</w:t>
            </w:r>
            <w:r w:rsidRPr="0053423A">
              <w:rPr>
                <w:rFonts w:cs="Courier New"/>
                <w:sz w:val="20"/>
                <w:szCs w:val="20"/>
                <w:lang w:val="pt-BR"/>
              </w:rPr>
              <w:t xml:space="preserve"> </w:t>
            </w:r>
            <w:r w:rsidRPr="0053423A">
              <w:rPr>
                <w:rFonts w:cs="Courier New"/>
                <w:sz w:val="20"/>
                <w:szCs w:val="20"/>
                <w:lang w:val="hy-AM"/>
              </w:rPr>
              <w:t>ներքո</w:t>
            </w:r>
            <w:r w:rsidRPr="0053423A">
              <w:rPr>
                <w:rFonts w:cs="Courier New"/>
                <w:sz w:val="20"/>
                <w:szCs w:val="20"/>
                <w:lang w:val="pt-BR"/>
              </w:rPr>
              <w:t>:</w:t>
            </w:r>
          </w:p>
          <w:p w:rsidR="002B2CAB" w:rsidRPr="0053423A" w:rsidRDefault="002B2CAB" w:rsidP="00A67858">
            <w:pPr>
              <w:spacing w:line="276" w:lineRule="auto"/>
              <w:jc w:val="both"/>
              <w:rPr>
                <w:rFonts w:cs="Sylfaen"/>
                <w:sz w:val="20"/>
                <w:szCs w:val="20"/>
                <w:lang w:val="af-ZA"/>
              </w:rPr>
            </w:pPr>
            <w:r w:rsidRPr="0053423A">
              <w:rPr>
                <w:rFonts w:cs="Sylfaen"/>
                <w:b/>
                <w:sz w:val="20"/>
                <w:szCs w:val="20"/>
                <w:lang w:val="af-ZA"/>
              </w:rPr>
              <w:t>1.2.</w:t>
            </w:r>
            <w:r w:rsidRPr="0053423A">
              <w:rPr>
                <w:rFonts w:cs="Sylfaen"/>
                <w:b/>
                <w:sz w:val="20"/>
                <w:szCs w:val="20"/>
                <w:lang w:val="hy-AM"/>
              </w:rPr>
              <w:t>Առկա</w:t>
            </w:r>
            <w:r w:rsidRPr="0053423A">
              <w:rPr>
                <w:rFonts w:cs="Times New Roman"/>
                <w:b/>
                <w:sz w:val="20"/>
                <w:szCs w:val="20"/>
                <w:lang w:val="hy-AM"/>
              </w:rPr>
              <w:t xml:space="preserve"> խնդիրների առաջարկվող լուծումները</w:t>
            </w:r>
            <w:r w:rsidRPr="0053423A">
              <w:rPr>
                <w:rFonts w:cs="Sylfaen"/>
                <w:sz w:val="20"/>
                <w:szCs w:val="20"/>
                <w:lang w:val="af-ZA"/>
              </w:rPr>
              <w:t xml:space="preserve"> </w:t>
            </w:r>
          </w:p>
          <w:p w:rsidR="002B2CAB" w:rsidRPr="0053423A" w:rsidRDefault="002B2CAB" w:rsidP="00A67858">
            <w:pPr>
              <w:spacing w:line="276" w:lineRule="auto"/>
              <w:jc w:val="both"/>
              <w:rPr>
                <w:rFonts w:cs="Times New Roman"/>
                <w:sz w:val="20"/>
                <w:szCs w:val="20"/>
                <w:lang w:val="pt-BR"/>
              </w:rPr>
            </w:pPr>
            <w:r w:rsidRPr="0053423A">
              <w:rPr>
                <w:rFonts w:cs="Times New Roman"/>
                <w:sz w:val="20"/>
                <w:szCs w:val="20"/>
                <w:lang w:val="pt-BR"/>
              </w:rPr>
              <w:t>Խթանել հայրենադարձության գործընթացը, զգալիորեն ամրապնդել Հայաստանի Հանրապետության տնտեսական, քաղաքական, մտավոր ու պաշտպանական ներուժը:</w:t>
            </w:r>
            <w:r w:rsidRPr="0053423A">
              <w:rPr>
                <w:rFonts w:cs="Sylfaen"/>
                <w:sz w:val="20"/>
                <w:szCs w:val="20"/>
                <w:lang w:val="hy-AM"/>
              </w:rPr>
              <w:t xml:space="preserve"> «Հայրենադարձության մասին» </w:t>
            </w:r>
            <w:r w:rsidRPr="0053423A">
              <w:rPr>
                <w:rFonts w:cs="Sylfaen"/>
                <w:sz w:val="20"/>
                <w:szCs w:val="20"/>
                <w:lang w:val="af-ZA"/>
              </w:rPr>
              <w:t xml:space="preserve">     </w:t>
            </w:r>
            <w:r w:rsidRPr="0053423A">
              <w:rPr>
                <w:rFonts w:cs="Sylfaen"/>
                <w:sz w:val="20"/>
                <w:szCs w:val="20"/>
                <w:lang w:val="hy-AM"/>
              </w:rPr>
              <w:t>ՀՀ օրենք</w:t>
            </w:r>
            <w:r w:rsidRPr="0053423A">
              <w:rPr>
                <w:rFonts w:cs="Sylfaen"/>
                <w:sz w:val="20"/>
                <w:szCs w:val="20"/>
              </w:rPr>
              <w:t>ի</w:t>
            </w:r>
            <w:r w:rsidRPr="0053423A">
              <w:rPr>
                <w:rFonts w:cs="Courier New"/>
                <w:sz w:val="20"/>
                <w:szCs w:val="20"/>
                <w:lang w:val="pt-BR"/>
              </w:rPr>
              <w:t xml:space="preserve"> </w:t>
            </w:r>
            <w:r w:rsidRPr="0053423A">
              <w:rPr>
                <w:rFonts w:cs="Times New Roman"/>
                <w:sz w:val="20"/>
                <w:szCs w:val="20"/>
                <w:lang w:val="hy-AM"/>
              </w:rPr>
              <w:t>(</w:t>
            </w:r>
            <w:r w:rsidRPr="0053423A">
              <w:rPr>
                <w:rFonts w:cs="Courier New"/>
                <w:sz w:val="20"/>
                <w:szCs w:val="20"/>
                <w:lang w:val="hy-AM"/>
              </w:rPr>
              <w:t>հիմնական</w:t>
            </w:r>
            <w:r w:rsidRPr="0053423A">
              <w:rPr>
                <w:rFonts w:cs="Courier New"/>
                <w:sz w:val="20"/>
                <w:szCs w:val="20"/>
                <w:lang w:val="pt-BR"/>
              </w:rPr>
              <w:t xml:space="preserve"> </w:t>
            </w:r>
            <w:r w:rsidRPr="0053423A">
              <w:rPr>
                <w:rFonts w:cs="Courier New"/>
                <w:sz w:val="20"/>
                <w:szCs w:val="20"/>
                <w:lang w:val="hy-AM"/>
              </w:rPr>
              <w:t>նպատակը</w:t>
            </w:r>
            <w:r w:rsidRPr="0053423A">
              <w:rPr>
                <w:rFonts w:cs="Courier New"/>
                <w:sz w:val="20"/>
                <w:szCs w:val="20"/>
                <w:lang w:val="pt-BR"/>
              </w:rPr>
              <w:t xml:space="preserve"> </w:t>
            </w:r>
            <w:r w:rsidRPr="0053423A">
              <w:rPr>
                <w:rFonts w:cs="Courier New"/>
                <w:sz w:val="20"/>
                <w:szCs w:val="20"/>
                <w:lang w:val="hy-AM"/>
              </w:rPr>
              <w:t>հայրենադարձության</w:t>
            </w:r>
            <w:r w:rsidRPr="0053423A">
              <w:rPr>
                <w:rFonts w:cs="Courier New"/>
                <w:sz w:val="20"/>
                <w:szCs w:val="20"/>
                <w:lang w:val="pt-BR"/>
              </w:rPr>
              <w:t xml:space="preserve"> </w:t>
            </w:r>
            <w:r w:rsidRPr="0053423A">
              <w:rPr>
                <w:rFonts w:cs="Courier New"/>
                <w:sz w:val="20"/>
                <w:szCs w:val="20"/>
                <w:lang w:val="hy-AM"/>
              </w:rPr>
              <w:t>հետ</w:t>
            </w:r>
            <w:r w:rsidRPr="0053423A">
              <w:rPr>
                <w:rFonts w:cs="Courier New"/>
                <w:sz w:val="20"/>
                <w:szCs w:val="20"/>
                <w:lang w:val="pt-BR"/>
              </w:rPr>
              <w:t xml:space="preserve"> </w:t>
            </w:r>
            <w:r w:rsidRPr="0053423A">
              <w:rPr>
                <w:rFonts w:cs="Courier New"/>
                <w:sz w:val="20"/>
                <w:szCs w:val="20"/>
                <w:lang w:val="hy-AM"/>
              </w:rPr>
              <w:t>կապված</w:t>
            </w:r>
            <w:r w:rsidRPr="0053423A">
              <w:rPr>
                <w:rFonts w:cs="Courier New"/>
                <w:sz w:val="20"/>
                <w:szCs w:val="20"/>
                <w:lang w:val="pt-BR"/>
              </w:rPr>
              <w:t xml:space="preserve"> </w:t>
            </w:r>
            <w:r w:rsidRPr="0053423A">
              <w:rPr>
                <w:rFonts w:cs="Courier New"/>
                <w:sz w:val="20"/>
                <w:szCs w:val="20"/>
                <w:lang w:val="hy-AM"/>
              </w:rPr>
              <w:t>իրավահարաբերությունների</w:t>
            </w:r>
            <w:r w:rsidRPr="0053423A">
              <w:rPr>
                <w:rFonts w:cs="Courier New"/>
                <w:sz w:val="20"/>
                <w:szCs w:val="20"/>
                <w:lang w:val="pt-BR"/>
              </w:rPr>
              <w:t xml:space="preserve"> </w:t>
            </w:r>
            <w:r w:rsidRPr="0053423A">
              <w:rPr>
                <w:rFonts w:cs="Courier New"/>
                <w:sz w:val="20"/>
                <w:szCs w:val="20"/>
                <w:lang w:val="hy-AM"/>
              </w:rPr>
              <w:t>կարգավորումն</w:t>
            </w:r>
            <w:r w:rsidRPr="0053423A">
              <w:rPr>
                <w:rFonts w:cs="Courier New"/>
                <w:sz w:val="20"/>
                <w:szCs w:val="20"/>
                <w:lang w:val="pt-BR"/>
              </w:rPr>
              <w:t xml:space="preserve"> </w:t>
            </w:r>
            <w:r w:rsidRPr="0053423A">
              <w:rPr>
                <w:rFonts w:cs="Courier New"/>
                <w:sz w:val="20"/>
                <w:szCs w:val="20"/>
                <w:lang w:val="hy-AM"/>
              </w:rPr>
              <w:t>է</w:t>
            </w:r>
            <w:r w:rsidRPr="0053423A">
              <w:rPr>
                <w:rFonts w:cs="Courier New"/>
                <w:sz w:val="20"/>
                <w:szCs w:val="20"/>
                <w:lang w:val="pt-BR"/>
              </w:rPr>
              <w:t>:</w:t>
            </w:r>
            <w:r w:rsidRPr="0053423A">
              <w:rPr>
                <w:rFonts w:cs="Sylfaen"/>
                <w:sz w:val="20"/>
                <w:szCs w:val="20"/>
                <w:lang w:val="af-ZA"/>
              </w:rPr>
              <w:t xml:space="preserve"> </w:t>
            </w:r>
            <w:r w:rsidRPr="0053423A">
              <w:rPr>
                <w:rFonts w:cs="Courier New"/>
                <w:sz w:val="20"/>
                <w:szCs w:val="20"/>
                <w:lang w:val="pt-BR"/>
              </w:rPr>
              <w:t>Օ</w:t>
            </w:r>
            <w:r w:rsidRPr="0053423A">
              <w:rPr>
                <w:rFonts w:cs="Courier New"/>
                <w:sz w:val="20"/>
                <w:szCs w:val="20"/>
              </w:rPr>
              <w:t>րենքի</w:t>
            </w:r>
            <w:r w:rsidRPr="0053423A">
              <w:rPr>
                <w:rFonts w:cs="Courier New"/>
                <w:sz w:val="20"/>
                <w:szCs w:val="20"/>
                <w:lang w:val="pt-BR"/>
              </w:rPr>
              <w:t xml:space="preserve"> </w:t>
            </w:r>
            <w:r w:rsidRPr="0053423A">
              <w:rPr>
                <w:rFonts w:cs="Courier New"/>
                <w:sz w:val="20"/>
                <w:szCs w:val="20"/>
              </w:rPr>
              <w:t>հիմնական</w:t>
            </w:r>
            <w:r w:rsidRPr="0053423A">
              <w:rPr>
                <w:rFonts w:cs="Courier New"/>
                <w:sz w:val="20"/>
                <w:szCs w:val="20"/>
                <w:lang w:val="pt-BR"/>
              </w:rPr>
              <w:t xml:space="preserve"> </w:t>
            </w:r>
            <w:r w:rsidRPr="0053423A">
              <w:rPr>
                <w:rFonts w:cs="Courier New"/>
                <w:sz w:val="20"/>
                <w:szCs w:val="20"/>
              </w:rPr>
              <w:t>խնդիրներն</w:t>
            </w:r>
            <w:r w:rsidRPr="0053423A">
              <w:rPr>
                <w:rFonts w:cs="Courier New"/>
                <w:sz w:val="20"/>
                <w:szCs w:val="20"/>
                <w:lang w:val="pt-BR"/>
              </w:rPr>
              <w:t xml:space="preserve"> </w:t>
            </w:r>
            <w:r w:rsidRPr="0053423A">
              <w:rPr>
                <w:rFonts w:cs="Courier New"/>
                <w:sz w:val="20"/>
                <w:szCs w:val="20"/>
              </w:rPr>
              <w:t>են</w:t>
            </w:r>
            <w:r w:rsidRPr="0053423A">
              <w:rPr>
                <w:rFonts w:cs="Courier New"/>
                <w:sz w:val="20"/>
                <w:szCs w:val="20"/>
                <w:lang w:val="pt-BR"/>
              </w:rPr>
              <w:t xml:space="preserve"> </w:t>
            </w:r>
            <w:r w:rsidRPr="0053423A">
              <w:rPr>
                <w:rFonts w:cs="Courier New"/>
                <w:sz w:val="20"/>
                <w:szCs w:val="20"/>
              </w:rPr>
              <w:t>սահմանել՝</w:t>
            </w:r>
            <w:r w:rsidRPr="0053423A">
              <w:rPr>
                <w:rFonts w:cs="Courier New"/>
                <w:sz w:val="20"/>
                <w:szCs w:val="20"/>
                <w:lang w:val="af-ZA"/>
              </w:rPr>
              <w:t xml:space="preserve">                             </w:t>
            </w:r>
            <w:r w:rsidRPr="0053423A">
              <w:rPr>
                <w:rFonts w:cs="Courier New"/>
                <w:sz w:val="20"/>
                <w:szCs w:val="20"/>
              </w:rPr>
              <w:t>հայրենադարձների</w:t>
            </w:r>
            <w:r w:rsidRPr="0053423A">
              <w:rPr>
                <w:rFonts w:cs="Courier New"/>
                <w:sz w:val="20"/>
                <w:szCs w:val="20"/>
                <w:lang w:val="pt-BR"/>
              </w:rPr>
              <w:t xml:space="preserve"> </w:t>
            </w:r>
            <w:r w:rsidRPr="0053423A">
              <w:rPr>
                <w:rFonts w:cs="Courier New"/>
                <w:sz w:val="20"/>
                <w:szCs w:val="20"/>
              </w:rPr>
              <w:t>կարգավիճակը</w:t>
            </w:r>
            <w:r w:rsidRPr="0053423A">
              <w:rPr>
                <w:rFonts w:cs="Courier New"/>
                <w:sz w:val="20"/>
                <w:szCs w:val="20"/>
                <w:lang w:val="af-ZA"/>
              </w:rPr>
              <w:t xml:space="preserve">, </w:t>
            </w:r>
            <w:r w:rsidRPr="0053423A">
              <w:rPr>
                <w:rFonts w:cs="Courier New"/>
                <w:sz w:val="20"/>
                <w:szCs w:val="20"/>
              </w:rPr>
              <w:t>հայրենադարձության</w:t>
            </w:r>
            <w:r w:rsidRPr="0053423A">
              <w:rPr>
                <w:rFonts w:cs="Courier New"/>
                <w:sz w:val="20"/>
                <w:szCs w:val="20"/>
                <w:lang w:val="pt-BR"/>
              </w:rPr>
              <w:t xml:space="preserve"> </w:t>
            </w:r>
            <w:r w:rsidRPr="0053423A">
              <w:rPr>
                <w:rFonts w:cs="Courier New"/>
                <w:sz w:val="20"/>
                <w:szCs w:val="20"/>
              </w:rPr>
              <w:t>վերաբերյալ</w:t>
            </w:r>
            <w:r w:rsidRPr="0053423A">
              <w:rPr>
                <w:rFonts w:cs="Courier New"/>
                <w:sz w:val="20"/>
                <w:szCs w:val="20"/>
                <w:lang w:val="pt-BR"/>
              </w:rPr>
              <w:t xml:space="preserve"> </w:t>
            </w:r>
            <w:r w:rsidRPr="0053423A">
              <w:rPr>
                <w:rFonts w:cs="Courier New"/>
                <w:sz w:val="20"/>
                <w:szCs w:val="20"/>
              </w:rPr>
              <w:t>պետական</w:t>
            </w:r>
            <w:r w:rsidRPr="0053423A">
              <w:rPr>
                <w:rFonts w:cs="Courier New"/>
                <w:sz w:val="20"/>
                <w:szCs w:val="20"/>
                <w:lang w:val="pt-BR"/>
              </w:rPr>
              <w:t xml:space="preserve"> </w:t>
            </w:r>
            <w:r w:rsidRPr="0053423A">
              <w:rPr>
                <w:rFonts w:cs="Courier New"/>
                <w:sz w:val="20"/>
                <w:szCs w:val="20"/>
              </w:rPr>
              <w:t>քաղաքականության</w:t>
            </w:r>
            <w:r w:rsidRPr="0053423A">
              <w:rPr>
                <w:rFonts w:cs="Courier New"/>
                <w:sz w:val="20"/>
                <w:szCs w:val="20"/>
                <w:lang w:val="pt-BR"/>
              </w:rPr>
              <w:t xml:space="preserve"> </w:t>
            </w:r>
            <w:r w:rsidRPr="0053423A">
              <w:rPr>
                <w:rFonts w:cs="Courier New"/>
                <w:sz w:val="20"/>
                <w:szCs w:val="20"/>
              </w:rPr>
              <w:t>հիմնական</w:t>
            </w:r>
            <w:r w:rsidRPr="0053423A">
              <w:rPr>
                <w:rFonts w:cs="Courier New"/>
                <w:sz w:val="20"/>
                <w:szCs w:val="20"/>
                <w:lang w:val="pt-BR"/>
              </w:rPr>
              <w:t xml:space="preserve"> </w:t>
            </w:r>
            <w:r w:rsidRPr="0053423A">
              <w:rPr>
                <w:rFonts w:cs="Courier New"/>
                <w:sz w:val="20"/>
                <w:szCs w:val="20"/>
              </w:rPr>
              <w:t>նպատակները</w:t>
            </w:r>
            <w:r w:rsidRPr="0053423A">
              <w:rPr>
                <w:rFonts w:cs="Courier New"/>
                <w:sz w:val="20"/>
                <w:szCs w:val="20"/>
                <w:lang w:val="pt-BR"/>
              </w:rPr>
              <w:t xml:space="preserve">, </w:t>
            </w:r>
            <w:r w:rsidRPr="0053423A">
              <w:rPr>
                <w:rFonts w:cs="Courier New"/>
                <w:sz w:val="20"/>
                <w:szCs w:val="20"/>
              </w:rPr>
              <w:t>ուղղությունները</w:t>
            </w:r>
            <w:r w:rsidRPr="0053423A">
              <w:rPr>
                <w:rFonts w:cs="Courier New"/>
                <w:sz w:val="20"/>
                <w:szCs w:val="20"/>
                <w:lang w:val="pt-BR"/>
              </w:rPr>
              <w:t xml:space="preserve"> </w:t>
            </w:r>
            <w:r w:rsidRPr="0053423A">
              <w:rPr>
                <w:rFonts w:cs="Courier New"/>
                <w:sz w:val="20"/>
                <w:szCs w:val="20"/>
              </w:rPr>
              <w:t>և</w:t>
            </w:r>
            <w:r w:rsidRPr="0053423A">
              <w:rPr>
                <w:rFonts w:cs="Courier New"/>
                <w:sz w:val="20"/>
                <w:szCs w:val="20"/>
                <w:lang w:val="pt-BR"/>
              </w:rPr>
              <w:t xml:space="preserve"> </w:t>
            </w:r>
            <w:r w:rsidRPr="0053423A">
              <w:rPr>
                <w:rFonts w:cs="Courier New"/>
                <w:sz w:val="20"/>
                <w:szCs w:val="20"/>
              </w:rPr>
              <w:t>սկզբունքները</w:t>
            </w:r>
            <w:r w:rsidRPr="0053423A">
              <w:rPr>
                <w:rFonts w:cs="Courier New"/>
                <w:sz w:val="20"/>
                <w:szCs w:val="20"/>
                <w:lang w:val="pt-BR"/>
              </w:rPr>
              <w:t xml:space="preserve">, </w:t>
            </w:r>
            <w:r w:rsidRPr="0053423A">
              <w:rPr>
                <w:rFonts w:cs="Courier New"/>
                <w:sz w:val="20"/>
                <w:szCs w:val="20"/>
              </w:rPr>
              <w:t>հայրենադարձության</w:t>
            </w:r>
            <w:r w:rsidRPr="0053423A">
              <w:rPr>
                <w:rFonts w:cs="Courier New"/>
                <w:sz w:val="20"/>
                <w:szCs w:val="20"/>
                <w:lang w:val="pt-BR"/>
              </w:rPr>
              <w:t xml:space="preserve"> </w:t>
            </w:r>
            <w:r w:rsidRPr="0053423A">
              <w:rPr>
                <w:rFonts w:cs="Courier New"/>
                <w:sz w:val="20"/>
                <w:szCs w:val="20"/>
              </w:rPr>
              <w:t>հարցերով</w:t>
            </w:r>
            <w:r w:rsidRPr="0053423A">
              <w:rPr>
                <w:rFonts w:cs="Courier New"/>
                <w:sz w:val="20"/>
                <w:szCs w:val="20"/>
                <w:lang w:val="pt-BR"/>
              </w:rPr>
              <w:t xml:space="preserve"> </w:t>
            </w:r>
            <w:r w:rsidRPr="0053423A">
              <w:rPr>
                <w:rFonts w:cs="Courier New"/>
                <w:sz w:val="20"/>
                <w:szCs w:val="20"/>
              </w:rPr>
              <w:t>պետական</w:t>
            </w:r>
            <w:r w:rsidRPr="0053423A">
              <w:rPr>
                <w:rFonts w:cs="Courier New"/>
                <w:sz w:val="20"/>
                <w:szCs w:val="20"/>
                <w:lang w:val="pt-BR"/>
              </w:rPr>
              <w:t xml:space="preserve"> </w:t>
            </w:r>
            <w:r w:rsidRPr="0053423A">
              <w:rPr>
                <w:rFonts w:cs="Courier New"/>
                <w:sz w:val="20"/>
                <w:szCs w:val="20"/>
              </w:rPr>
              <w:t>մարմինների</w:t>
            </w:r>
            <w:r w:rsidRPr="0053423A">
              <w:rPr>
                <w:rFonts w:cs="Courier New"/>
                <w:sz w:val="20"/>
                <w:szCs w:val="20"/>
                <w:lang w:val="pt-BR"/>
              </w:rPr>
              <w:t xml:space="preserve"> </w:t>
            </w:r>
            <w:r w:rsidRPr="0053423A">
              <w:rPr>
                <w:rFonts w:cs="Courier New"/>
                <w:sz w:val="20"/>
                <w:szCs w:val="20"/>
              </w:rPr>
              <w:t>լիազորությունները</w:t>
            </w:r>
            <w:r w:rsidRPr="0053423A">
              <w:rPr>
                <w:rFonts w:cs="Courier New"/>
                <w:sz w:val="20"/>
                <w:szCs w:val="20"/>
                <w:lang w:val="pt-BR"/>
              </w:rPr>
              <w:t xml:space="preserve">, </w:t>
            </w:r>
            <w:r w:rsidRPr="0053423A">
              <w:rPr>
                <w:rFonts w:cs="Courier New"/>
                <w:sz w:val="20"/>
                <w:szCs w:val="20"/>
              </w:rPr>
              <w:t>հայրենադարձության</w:t>
            </w:r>
            <w:r w:rsidRPr="0053423A">
              <w:rPr>
                <w:rFonts w:cs="Courier New"/>
                <w:sz w:val="20"/>
                <w:szCs w:val="20"/>
                <w:lang w:val="pt-BR"/>
              </w:rPr>
              <w:t xml:space="preserve"> </w:t>
            </w:r>
            <w:r w:rsidRPr="0053423A">
              <w:rPr>
                <w:rFonts w:cs="Courier New"/>
                <w:sz w:val="20"/>
                <w:szCs w:val="20"/>
              </w:rPr>
              <w:t>դիմումի</w:t>
            </w:r>
            <w:r w:rsidRPr="0053423A">
              <w:rPr>
                <w:rFonts w:cs="Courier New"/>
                <w:sz w:val="20"/>
                <w:szCs w:val="20"/>
                <w:lang w:val="pt-BR"/>
              </w:rPr>
              <w:t xml:space="preserve"> </w:t>
            </w:r>
            <w:r w:rsidRPr="0053423A">
              <w:rPr>
                <w:rFonts w:cs="Courier New"/>
                <w:sz w:val="20"/>
                <w:szCs w:val="20"/>
              </w:rPr>
              <w:t>ներկայացման</w:t>
            </w:r>
            <w:r w:rsidRPr="0053423A">
              <w:rPr>
                <w:rFonts w:cs="Courier New"/>
                <w:sz w:val="20"/>
                <w:szCs w:val="20"/>
                <w:lang w:val="pt-BR"/>
              </w:rPr>
              <w:t xml:space="preserve">, </w:t>
            </w:r>
            <w:r w:rsidRPr="0053423A">
              <w:rPr>
                <w:rFonts w:cs="Courier New"/>
                <w:sz w:val="20"/>
                <w:szCs w:val="20"/>
              </w:rPr>
              <w:t>հայրենադարձի</w:t>
            </w:r>
            <w:r w:rsidRPr="0053423A">
              <w:rPr>
                <w:rFonts w:cs="Courier New"/>
                <w:sz w:val="20"/>
                <w:szCs w:val="20"/>
                <w:lang w:val="pt-BR"/>
              </w:rPr>
              <w:t xml:space="preserve"> </w:t>
            </w:r>
            <w:r w:rsidRPr="0053423A">
              <w:rPr>
                <w:rFonts w:cs="Courier New"/>
                <w:sz w:val="20"/>
                <w:szCs w:val="20"/>
              </w:rPr>
              <w:t>կարգավիճակի</w:t>
            </w:r>
            <w:r w:rsidRPr="0053423A">
              <w:rPr>
                <w:rFonts w:cs="Courier New"/>
                <w:sz w:val="20"/>
                <w:szCs w:val="20"/>
                <w:lang w:val="pt-BR"/>
              </w:rPr>
              <w:t xml:space="preserve"> </w:t>
            </w:r>
            <w:r w:rsidRPr="0053423A">
              <w:rPr>
                <w:rFonts w:cs="Courier New"/>
                <w:sz w:val="20"/>
                <w:szCs w:val="20"/>
              </w:rPr>
              <w:t>տրամադրման</w:t>
            </w:r>
            <w:r w:rsidRPr="0053423A">
              <w:rPr>
                <w:rFonts w:cs="Courier New"/>
                <w:sz w:val="20"/>
                <w:szCs w:val="20"/>
                <w:lang w:val="pt-BR"/>
              </w:rPr>
              <w:t xml:space="preserve"> </w:t>
            </w:r>
            <w:r w:rsidRPr="0053423A">
              <w:rPr>
                <w:rFonts w:cs="Courier New"/>
                <w:sz w:val="20"/>
                <w:szCs w:val="20"/>
              </w:rPr>
              <w:t>և</w:t>
            </w:r>
            <w:r w:rsidRPr="0053423A">
              <w:rPr>
                <w:rFonts w:cs="Courier New"/>
                <w:sz w:val="20"/>
                <w:szCs w:val="20"/>
                <w:lang w:val="pt-BR"/>
              </w:rPr>
              <w:t xml:space="preserve"> </w:t>
            </w:r>
            <w:r w:rsidRPr="0053423A">
              <w:rPr>
                <w:rFonts w:cs="Courier New"/>
                <w:sz w:val="20"/>
                <w:szCs w:val="20"/>
              </w:rPr>
              <w:t>հայրենադարձի</w:t>
            </w:r>
            <w:r w:rsidRPr="0053423A">
              <w:rPr>
                <w:rFonts w:cs="Courier New"/>
                <w:sz w:val="20"/>
                <w:szCs w:val="20"/>
                <w:lang w:val="pt-BR"/>
              </w:rPr>
              <w:t xml:space="preserve"> </w:t>
            </w:r>
            <w:r w:rsidRPr="0053423A">
              <w:rPr>
                <w:rFonts w:cs="Courier New"/>
                <w:sz w:val="20"/>
                <w:szCs w:val="20"/>
              </w:rPr>
              <w:t>ինտեգրման</w:t>
            </w:r>
            <w:r w:rsidRPr="0053423A">
              <w:rPr>
                <w:rFonts w:cs="Courier New"/>
                <w:sz w:val="20"/>
                <w:szCs w:val="20"/>
                <w:lang w:val="pt-BR"/>
              </w:rPr>
              <w:t xml:space="preserve"> </w:t>
            </w:r>
            <w:r w:rsidRPr="0053423A">
              <w:rPr>
                <w:rFonts w:cs="Courier New"/>
                <w:sz w:val="20"/>
                <w:szCs w:val="20"/>
              </w:rPr>
              <w:t>կարգը</w:t>
            </w:r>
            <w:r w:rsidRPr="0053423A">
              <w:rPr>
                <w:rFonts w:cs="Courier New"/>
                <w:sz w:val="20"/>
                <w:szCs w:val="20"/>
                <w:lang w:val="pt-BR"/>
              </w:rPr>
              <w:t xml:space="preserve">, </w:t>
            </w:r>
            <w:r w:rsidRPr="0053423A">
              <w:rPr>
                <w:rFonts w:cs="Courier New"/>
                <w:sz w:val="20"/>
                <w:szCs w:val="20"/>
              </w:rPr>
              <w:t>արտոնությունները</w:t>
            </w:r>
            <w:r w:rsidRPr="0053423A">
              <w:rPr>
                <w:rFonts w:cs="Courier New"/>
                <w:sz w:val="20"/>
                <w:szCs w:val="20"/>
                <w:lang w:val="pt-BR"/>
              </w:rPr>
              <w:t xml:space="preserve"> </w:t>
            </w:r>
            <w:r w:rsidRPr="0053423A">
              <w:rPr>
                <w:rFonts w:cs="Courier New"/>
                <w:sz w:val="20"/>
                <w:szCs w:val="20"/>
              </w:rPr>
              <w:t>և</w:t>
            </w:r>
            <w:r w:rsidRPr="0053423A">
              <w:rPr>
                <w:rFonts w:cs="Courier New"/>
                <w:sz w:val="20"/>
                <w:szCs w:val="20"/>
                <w:lang w:val="pt-BR"/>
              </w:rPr>
              <w:t xml:space="preserve"> </w:t>
            </w:r>
            <w:r w:rsidRPr="0053423A">
              <w:rPr>
                <w:rFonts w:cs="Courier New"/>
                <w:sz w:val="20"/>
                <w:szCs w:val="20"/>
              </w:rPr>
              <w:t>դրանց</w:t>
            </w:r>
            <w:r w:rsidRPr="0053423A">
              <w:rPr>
                <w:rFonts w:cs="Courier New"/>
                <w:sz w:val="20"/>
                <w:szCs w:val="20"/>
                <w:lang w:val="pt-BR"/>
              </w:rPr>
              <w:t xml:space="preserve"> </w:t>
            </w:r>
            <w:r w:rsidRPr="0053423A">
              <w:rPr>
                <w:rFonts w:cs="Courier New"/>
                <w:sz w:val="20"/>
                <w:szCs w:val="20"/>
              </w:rPr>
              <w:t>տրամադրման</w:t>
            </w:r>
            <w:r w:rsidRPr="0053423A">
              <w:rPr>
                <w:rFonts w:cs="Courier New"/>
                <w:sz w:val="20"/>
                <w:szCs w:val="20"/>
                <w:lang w:val="pt-BR"/>
              </w:rPr>
              <w:t xml:space="preserve"> </w:t>
            </w:r>
            <w:r w:rsidRPr="0053423A">
              <w:rPr>
                <w:rFonts w:cs="Courier New"/>
                <w:sz w:val="20"/>
                <w:szCs w:val="20"/>
              </w:rPr>
              <w:t>կարգերը</w:t>
            </w:r>
            <w:r w:rsidRPr="0053423A">
              <w:rPr>
                <w:rFonts w:cs="Sylfaen"/>
                <w:sz w:val="20"/>
                <w:szCs w:val="20"/>
                <w:lang w:val="af-ZA"/>
              </w:rPr>
              <w:t xml:space="preserve">: </w:t>
            </w:r>
          </w:p>
          <w:p w:rsidR="002B2CAB" w:rsidRPr="0053423A" w:rsidRDefault="002B2CAB" w:rsidP="00A67858">
            <w:pPr>
              <w:spacing w:line="276" w:lineRule="auto"/>
              <w:jc w:val="both"/>
              <w:rPr>
                <w:rFonts w:cs="Times New Roman"/>
                <w:sz w:val="20"/>
                <w:szCs w:val="20"/>
                <w:lang w:val="af-ZA"/>
              </w:rPr>
            </w:pPr>
            <w:r w:rsidRPr="0053423A">
              <w:rPr>
                <w:rFonts w:cs="Times New Roman"/>
                <w:b/>
                <w:sz w:val="20"/>
                <w:szCs w:val="20"/>
                <w:lang w:val="af-ZA"/>
              </w:rPr>
              <w:t xml:space="preserve"> 2.</w:t>
            </w:r>
            <w:r w:rsidRPr="0053423A">
              <w:rPr>
                <w:rFonts w:cs="Times New Roman"/>
                <w:b/>
                <w:sz w:val="20"/>
                <w:szCs w:val="20"/>
                <w:lang w:val="hy-AM"/>
              </w:rPr>
              <w:t>Կարգավորման առարկան</w:t>
            </w:r>
          </w:p>
          <w:p w:rsidR="002B2CAB" w:rsidRPr="0053423A" w:rsidRDefault="002B2CAB" w:rsidP="00A67858">
            <w:pPr>
              <w:spacing w:line="276" w:lineRule="auto"/>
              <w:jc w:val="both"/>
              <w:rPr>
                <w:rFonts w:cs="Courier New"/>
                <w:sz w:val="20"/>
                <w:szCs w:val="20"/>
                <w:lang w:val="af-ZA"/>
              </w:rPr>
            </w:pPr>
            <w:r w:rsidRPr="0053423A">
              <w:rPr>
                <w:rFonts w:cs="Sylfaen"/>
                <w:sz w:val="20"/>
                <w:szCs w:val="20"/>
                <w:lang w:val="hy-AM"/>
              </w:rPr>
              <w:t>«Հայրենադարձության մասին» ՀՀ օրենք</w:t>
            </w:r>
            <w:r w:rsidRPr="0053423A">
              <w:rPr>
                <w:rFonts w:cs="Sylfaen"/>
                <w:sz w:val="20"/>
                <w:szCs w:val="20"/>
              </w:rPr>
              <w:t>ի</w:t>
            </w:r>
            <w:r w:rsidRPr="0053423A">
              <w:rPr>
                <w:rFonts w:cs="Sylfaen"/>
                <w:sz w:val="20"/>
                <w:szCs w:val="20"/>
                <w:lang w:val="af-ZA"/>
              </w:rPr>
              <w:t xml:space="preserve"> </w:t>
            </w:r>
            <w:r w:rsidRPr="0053423A">
              <w:rPr>
                <w:rFonts w:cs="Sylfaen"/>
                <w:sz w:val="20"/>
                <w:szCs w:val="20"/>
                <w:lang w:val="hy-AM"/>
              </w:rPr>
              <w:t xml:space="preserve">ընդունմամբ կկարգավորվի </w:t>
            </w:r>
            <w:r w:rsidRPr="0053423A">
              <w:rPr>
                <w:rFonts w:cs="Courier New"/>
                <w:sz w:val="20"/>
                <w:szCs w:val="20"/>
                <w:lang w:val="hy-AM"/>
              </w:rPr>
              <w:t>հայրենադարձության</w:t>
            </w:r>
            <w:r w:rsidRPr="0053423A">
              <w:rPr>
                <w:rFonts w:cs="Courier New"/>
                <w:sz w:val="20"/>
                <w:szCs w:val="20"/>
                <w:lang w:val="pt-BR"/>
              </w:rPr>
              <w:t xml:space="preserve"> </w:t>
            </w:r>
            <w:r w:rsidRPr="0053423A">
              <w:rPr>
                <w:rFonts w:cs="Times New Roman"/>
                <w:sz w:val="20"/>
                <w:szCs w:val="20"/>
                <w:lang w:val="hy-AM"/>
              </w:rPr>
              <w:t>գործընթացի</w:t>
            </w:r>
            <w:r w:rsidRPr="0053423A">
              <w:rPr>
                <w:rFonts w:cs="Times New Roman"/>
                <w:sz w:val="20"/>
                <w:szCs w:val="20"/>
                <w:lang w:val="ro-RO"/>
              </w:rPr>
              <w:t xml:space="preserve"> </w:t>
            </w:r>
            <w:r w:rsidRPr="0053423A">
              <w:rPr>
                <w:rFonts w:cs="Times New Roman"/>
                <w:sz w:val="20"/>
                <w:szCs w:val="20"/>
                <w:lang w:val="hy-AM"/>
              </w:rPr>
              <w:t>իրականացման</w:t>
            </w:r>
            <w:r w:rsidRPr="0053423A">
              <w:rPr>
                <w:rFonts w:cs="Times New Roman"/>
                <w:sz w:val="20"/>
                <w:szCs w:val="20"/>
                <w:lang w:val="ro-RO"/>
              </w:rPr>
              <w:t xml:space="preserve"> </w:t>
            </w:r>
            <w:r w:rsidRPr="0053423A">
              <w:rPr>
                <w:rFonts w:cs="Times New Roman"/>
                <w:sz w:val="20"/>
                <w:szCs w:val="20"/>
                <w:lang w:val="hy-AM"/>
              </w:rPr>
              <w:t>հետ</w:t>
            </w:r>
            <w:r w:rsidRPr="0053423A">
              <w:rPr>
                <w:rFonts w:cs="Times New Roman"/>
                <w:sz w:val="20"/>
                <w:szCs w:val="20"/>
                <w:lang w:val="ro-RO"/>
              </w:rPr>
              <w:t xml:space="preserve"> </w:t>
            </w:r>
            <w:r w:rsidRPr="0053423A">
              <w:rPr>
                <w:rFonts w:cs="Times New Roman"/>
                <w:sz w:val="20"/>
                <w:szCs w:val="20"/>
                <w:lang w:val="hy-AM"/>
              </w:rPr>
              <w:t>կապված</w:t>
            </w:r>
            <w:r w:rsidRPr="0053423A">
              <w:rPr>
                <w:rFonts w:cs="Times New Roman"/>
                <w:sz w:val="20"/>
                <w:szCs w:val="20"/>
                <w:lang w:val="ro-RO"/>
              </w:rPr>
              <w:t xml:space="preserve"> </w:t>
            </w:r>
            <w:r w:rsidRPr="0053423A">
              <w:rPr>
                <w:rFonts w:cs="Times New Roman"/>
                <w:sz w:val="20"/>
                <w:szCs w:val="20"/>
                <w:lang w:val="hy-AM"/>
              </w:rPr>
              <w:t>իրավահարաբերությունները:</w:t>
            </w:r>
            <w:r w:rsidRPr="0053423A">
              <w:rPr>
                <w:rFonts w:cs="Courier New"/>
                <w:sz w:val="20"/>
                <w:szCs w:val="20"/>
                <w:lang w:val="af-ZA"/>
              </w:rPr>
              <w:t xml:space="preserve"> </w:t>
            </w:r>
          </w:p>
          <w:p w:rsidR="002B2CAB" w:rsidRPr="0053423A" w:rsidRDefault="002B2CAB" w:rsidP="00A67858">
            <w:pPr>
              <w:shd w:val="clear" w:color="auto" w:fill="FFFFFF"/>
              <w:spacing w:line="276" w:lineRule="auto"/>
              <w:jc w:val="both"/>
              <w:rPr>
                <w:rFonts w:eastAsia="Calibri" w:cs="Times New Roman"/>
                <w:b/>
                <w:color w:val="000000"/>
                <w:sz w:val="20"/>
                <w:szCs w:val="20"/>
                <w:lang w:val="hy-AM"/>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shd w:val="clear" w:color="auto" w:fill="FFFFFF"/>
              <w:spacing w:line="276" w:lineRule="auto"/>
              <w:jc w:val="both"/>
              <w:rPr>
                <w:rFonts w:eastAsia="Calibri" w:cs="Times New Roman"/>
                <w:b/>
                <w:color w:val="000000"/>
                <w:sz w:val="20"/>
                <w:szCs w:val="20"/>
                <w:lang w:val="hy-AM"/>
              </w:rPr>
            </w:pPr>
            <w:r w:rsidRPr="0053423A">
              <w:rPr>
                <w:rFonts w:eastAsia="Calibri" w:cs="Sylfaen"/>
                <w:sz w:val="20"/>
                <w:szCs w:val="20"/>
                <w:lang w:val="hy-AM"/>
              </w:rPr>
              <w:t>«Հայրենադարձության մասին» ՀՀ օրենքի ընդունումը հնարավորություն կընձեռի կազմակերպելու</w:t>
            </w:r>
            <w:r w:rsidRPr="0053423A">
              <w:rPr>
                <w:rFonts w:eastAsia="Calibri" w:cs="Sylfaen"/>
                <w:sz w:val="20"/>
                <w:szCs w:val="20"/>
                <w:lang w:val="it-IT"/>
              </w:rPr>
              <w:t xml:space="preserve"> </w:t>
            </w:r>
            <w:r w:rsidRPr="0053423A">
              <w:rPr>
                <w:rFonts w:eastAsia="Calibri" w:cs="Sylfaen"/>
                <w:sz w:val="20"/>
                <w:szCs w:val="20"/>
                <w:lang w:val="hy-AM"/>
              </w:rPr>
              <w:t>հայրենադարձության գործընթացի իրավական</w:t>
            </w:r>
            <w:r w:rsidRPr="0053423A">
              <w:rPr>
                <w:rFonts w:eastAsia="Calibri" w:cs="Sylfaen"/>
                <w:sz w:val="20"/>
                <w:szCs w:val="20"/>
                <w:lang w:val="it-IT"/>
              </w:rPr>
              <w:t xml:space="preserve"> </w:t>
            </w:r>
            <w:r w:rsidRPr="0053423A">
              <w:rPr>
                <w:rFonts w:eastAsia="Calibri" w:cs="Sylfaen"/>
                <w:sz w:val="20"/>
                <w:szCs w:val="20"/>
                <w:lang w:val="hy-AM"/>
              </w:rPr>
              <w:t>հիմքերը</w:t>
            </w:r>
            <w:r w:rsidRPr="0053423A">
              <w:rPr>
                <w:rFonts w:eastAsia="Calibri" w:cs="Sylfaen"/>
                <w:sz w:val="20"/>
                <w:szCs w:val="20"/>
                <w:lang w:val="af-ZA"/>
              </w:rPr>
              <w:t>,</w:t>
            </w:r>
            <w:r w:rsidRPr="0053423A">
              <w:rPr>
                <w:rFonts w:eastAsia="Calibri" w:cs="Sylfaen"/>
                <w:sz w:val="20"/>
                <w:szCs w:val="20"/>
                <w:lang w:val="hy-AM"/>
              </w:rPr>
              <w:t xml:space="preserve"> </w:t>
            </w:r>
            <w:r w:rsidRPr="0053423A">
              <w:rPr>
                <w:rFonts w:eastAsia="Calibri" w:cs="Times New Roman"/>
                <w:sz w:val="20"/>
                <w:szCs w:val="20"/>
                <w:lang w:val="hy-AM"/>
              </w:rPr>
              <w:t>կնպաստի</w:t>
            </w:r>
            <w:r w:rsidRPr="0053423A">
              <w:rPr>
                <w:rFonts w:eastAsia="Calibri" w:cs="Times New Roman"/>
                <w:sz w:val="20"/>
                <w:szCs w:val="20"/>
                <w:lang w:val="pt-BR"/>
              </w:rPr>
              <w:t xml:space="preserve"> </w:t>
            </w:r>
            <w:r w:rsidRPr="0053423A">
              <w:rPr>
                <w:rFonts w:eastAsia="Calibri" w:cs="Times New Roman"/>
                <w:sz w:val="20"/>
                <w:szCs w:val="20"/>
                <w:lang w:val="hy-AM"/>
              </w:rPr>
              <w:t>սփյուռքահայերի</w:t>
            </w:r>
            <w:r w:rsidRPr="0053423A">
              <w:rPr>
                <w:rFonts w:eastAsia="Calibri" w:cs="Times New Roman"/>
                <w:sz w:val="20"/>
                <w:szCs w:val="20"/>
                <w:lang w:val="pt-BR"/>
              </w:rPr>
              <w:t xml:space="preserve"> </w:t>
            </w:r>
            <w:r w:rsidRPr="0053423A">
              <w:rPr>
                <w:rFonts w:eastAsia="Calibri" w:cs="Times New Roman"/>
                <w:sz w:val="20"/>
                <w:szCs w:val="20"/>
                <w:lang w:val="hy-AM"/>
              </w:rPr>
              <w:t>արագ</w:t>
            </w:r>
            <w:r w:rsidRPr="0053423A">
              <w:rPr>
                <w:rFonts w:eastAsia="Calibri" w:cs="Times New Roman"/>
                <w:sz w:val="20"/>
                <w:szCs w:val="20"/>
                <w:lang w:val="pt-BR"/>
              </w:rPr>
              <w:t xml:space="preserve"> </w:t>
            </w:r>
            <w:r w:rsidRPr="0053423A">
              <w:rPr>
                <w:rFonts w:eastAsia="Calibri" w:cs="Times New Roman"/>
                <w:sz w:val="20"/>
                <w:szCs w:val="20"/>
                <w:lang w:val="hy-AM"/>
              </w:rPr>
              <w:t>և</w:t>
            </w:r>
            <w:r w:rsidRPr="0053423A">
              <w:rPr>
                <w:rFonts w:eastAsia="Calibri" w:cs="Times New Roman"/>
                <w:sz w:val="20"/>
                <w:szCs w:val="20"/>
                <w:lang w:val="pt-BR"/>
              </w:rPr>
              <w:t xml:space="preserve"> </w:t>
            </w:r>
            <w:r w:rsidRPr="0053423A">
              <w:rPr>
                <w:rFonts w:eastAsia="Calibri" w:cs="Times New Roman"/>
                <w:sz w:val="20"/>
                <w:szCs w:val="20"/>
                <w:lang w:val="hy-AM"/>
              </w:rPr>
              <w:t>սահուն</w:t>
            </w:r>
            <w:r w:rsidRPr="0053423A">
              <w:rPr>
                <w:rFonts w:eastAsia="Calibri" w:cs="Times New Roman"/>
                <w:sz w:val="20"/>
                <w:szCs w:val="20"/>
                <w:lang w:val="pt-BR"/>
              </w:rPr>
              <w:t xml:space="preserve"> </w:t>
            </w:r>
            <w:r w:rsidRPr="0053423A">
              <w:rPr>
                <w:rFonts w:eastAsia="Calibri" w:cs="Times New Roman"/>
                <w:sz w:val="20"/>
                <w:szCs w:val="20"/>
                <w:lang w:val="hy-AM"/>
              </w:rPr>
              <w:t>ինտեգրմանը</w:t>
            </w:r>
            <w:r w:rsidRPr="0053423A">
              <w:rPr>
                <w:rFonts w:eastAsia="Calibri" w:cs="Times New Roman"/>
                <w:sz w:val="20"/>
                <w:szCs w:val="20"/>
                <w:lang w:val="pt-BR"/>
              </w:rPr>
              <w:t xml:space="preserve"> </w:t>
            </w:r>
            <w:r w:rsidRPr="0053423A">
              <w:rPr>
                <w:rFonts w:eastAsia="Calibri" w:cs="Times New Roman"/>
                <w:sz w:val="20"/>
                <w:szCs w:val="20"/>
                <w:lang w:val="hy-AM"/>
              </w:rPr>
              <w:t>հասարակության</w:t>
            </w:r>
            <w:r w:rsidRPr="0053423A">
              <w:rPr>
                <w:rFonts w:eastAsia="Calibri" w:cs="Times New Roman"/>
                <w:sz w:val="20"/>
                <w:szCs w:val="20"/>
                <w:lang w:val="pt-BR"/>
              </w:rPr>
              <w:t xml:space="preserve"> </w:t>
            </w:r>
            <w:r w:rsidRPr="0053423A">
              <w:rPr>
                <w:rFonts w:eastAsia="Calibri" w:cs="Times New Roman"/>
                <w:sz w:val="20"/>
                <w:szCs w:val="20"/>
                <w:lang w:val="hy-AM"/>
              </w:rPr>
              <w:t>մեջ</w:t>
            </w:r>
            <w:r w:rsidRPr="0053423A">
              <w:rPr>
                <w:rFonts w:eastAsia="Calibri" w:cs="Times New Roman"/>
                <w:sz w:val="20"/>
                <w:szCs w:val="20"/>
                <w:lang w:val="pt-BR"/>
              </w:rPr>
              <w:t xml:space="preserve">, </w:t>
            </w:r>
            <w:r w:rsidRPr="0053423A">
              <w:rPr>
                <w:rFonts w:eastAsia="Calibri" w:cs="Times New Roman"/>
                <w:sz w:val="20"/>
                <w:szCs w:val="20"/>
                <w:lang w:val="hy-AM"/>
              </w:rPr>
              <w:t>ժողովրդագրական</w:t>
            </w:r>
            <w:r w:rsidRPr="0053423A">
              <w:rPr>
                <w:rFonts w:eastAsia="Calibri" w:cs="Times New Roman"/>
                <w:sz w:val="20"/>
                <w:szCs w:val="20"/>
                <w:lang w:val="pt-BR"/>
              </w:rPr>
              <w:t xml:space="preserve"> </w:t>
            </w:r>
            <w:r w:rsidRPr="0053423A">
              <w:rPr>
                <w:rFonts w:eastAsia="Calibri" w:cs="Times New Roman"/>
                <w:sz w:val="20"/>
                <w:szCs w:val="20"/>
                <w:lang w:val="hy-AM"/>
              </w:rPr>
              <w:t>իրավիճակի</w:t>
            </w:r>
            <w:r w:rsidRPr="0053423A">
              <w:rPr>
                <w:rFonts w:eastAsia="Calibri" w:cs="Times New Roman"/>
                <w:sz w:val="20"/>
                <w:szCs w:val="20"/>
                <w:lang w:val="pt-BR"/>
              </w:rPr>
              <w:t xml:space="preserve"> </w:t>
            </w:r>
            <w:r w:rsidRPr="0053423A">
              <w:rPr>
                <w:rFonts w:eastAsia="Calibri" w:cs="Times New Roman"/>
                <w:sz w:val="20"/>
                <w:szCs w:val="20"/>
                <w:lang w:val="hy-AM"/>
              </w:rPr>
              <w:t>բարելավմանը</w:t>
            </w:r>
            <w:r w:rsidRPr="0053423A">
              <w:rPr>
                <w:rFonts w:eastAsia="Calibri" w:cs="Times New Roman"/>
                <w:sz w:val="20"/>
                <w:szCs w:val="20"/>
                <w:lang w:val="pt-BR"/>
              </w:rPr>
              <w:t xml:space="preserve">, </w:t>
            </w:r>
            <w:r w:rsidRPr="0053423A">
              <w:rPr>
                <w:rFonts w:eastAsia="Calibri" w:cs="Times New Roman"/>
                <w:sz w:val="20"/>
                <w:szCs w:val="20"/>
                <w:lang w:val="hy-AM"/>
              </w:rPr>
              <w:t>հնարավորություն</w:t>
            </w:r>
            <w:r w:rsidRPr="0053423A">
              <w:rPr>
                <w:rFonts w:eastAsia="Calibri" w:cs="Times New Roman"/>
                <w:sz w:val="20"/>
                <w:szCs w:val="20"/>
                <w:lang w:val="pt-BR"/>
              </w:rPr>
              <w:t xml:space="preserve"> </w:t>
            </w:r>
            <w:r w:rsidRPr="0053423A">
              <w:rPr>
                <w:rFonts w:eastAsia="Calibri" w:cs="Times New Roman"/>
                <w:sz w:val="20"/>
                <w:szCs w:val="20"/>
                <w:lang w:val="hy-AM"/>
              </w:rPr>
              <w:t>կընձեռի</w:t>
            </w:r>
            <w:r w:rsidRPr="0053423A">
              <w:rPr>
                <w:rFonts w:eastAsia="Calibri" w:cs="Times New Roman"/>
                <w:sz w:val="20"/>
                <w:szCs w:val="20"/>
                <w:lang w:val="pt-BR"/>
              </w:rPr>
              <w:t xml:space="preserve"> </w:t>
            </w:r>
            <w:r w:rsidRPr="0053423A">
              <w:rPr>
                <w:rFonts w:eastAsia="Calibri" w:cs="Times New Roman"/>
                <w:sz w:val="20"/>
                <w:szCs w:val="20"/>
                <w:lang w:val="hy-AM"/>
              </w:rPr>
              <w:t>հայկական</w:t>
            </w:r>
            <w:r w:rsidRPr="0053423A">
              <w:rPr>
                <w:rFonts w:eastAsia="Calibri" w:cs="Times New Roman"/>
                <w:sz w:val="20"/>
                <w:szCs w:val="20"/>
                <w:lang w:val="pt-BR"/>
              </w:rPr>
              <w:t xml:space="preserve"> </w:t>
            </w:r>
            <w:r w:rsidRPr="0053423A">
              <w:rPr>
                <w:rFonts w:eastAsia="Calibri" w:cs="Times New Roman"/>
                <w:sz w:val="20"/>
                <w:szCs w:val="20"/>
                <w:lang w:val="hy-AM"/>
              </w:rPr>
              <w:t>մասնագիտական</w:t>
            </w:r>
            <w:r w:rsidRPr="0053423A">
              <w:rPr>
                <w:rFonts w:eastAsia="Calibri" w:cs="Times New Roman"/>
                <w:sz w:val="20"/>
                <w:szCs w:val="20"/>
                <w:lang w:val="pt-BR"/>
              </w:rPr>
              <w:t xml:space="preserve"> </w:t>
            </w:r>
            <w:r w:rsidRPr="0053423A">
              <w:rPr>
                <w:rFonts w:eastAsia="Calibri" w:cs="Times New Roman"/>
                <w:sz w:val="20"/>
                <w:szCs w:val="20"/>
                <w:lang w:val="hy-AM"/>
              </w:rPr>
              <w:t>ներուժի</w:t>
            </w:r>
            <w:r w:rsidRPr="0053423A">
              <w:rPr>
                <w:rFonts w:eastAsia="Calibri" w:cs="Times New Roman"/>
                <w:sz w:val="20"/>
                <w:szCs w:val="20"/>
                <w:lang w:val="pt-BR"/>
              </w:rPr>
              <w:t xml:space="preserve"> </w:t>
            </w:r>
            <w:r w:rsidRPr="0053423A">
              <w:rPr>
                <w:rFonts w:eastAsia="Calibri" w:cs="Times New Roman"/>
                <w:sz w:val="20"/>
                <w:szCs w:val="20"/>
                <w:lang w:val="hy-AM"/>
              </w:rPr>
              <w:t>համախմբման</w:t>
            </w:r>
            <w:r w:rsidRPr="0053423A">
              <w:rPr>
                <w:rFonts w:eastAsia="Calibri" w:cs="Times New Roman"/>
                <w:sz w:val="20"/>
                <w:szCs w:val="20"/>
                <w:lang w:val="pt-BR"/>
              </w:rPr>
              <w:t>,</w:t>
            </w:r>
          </w:p>
          <w:p w:rsidR="002B2CAB" w:rsidRPr="0053423A" w:rsidRDefault="002B2CAB" w:rsidP="00A67858">
            <w:pPr>
              <w:spacing w:line="276" w:lineRule="auto"/>
              <w:jc w:val="both"/>
              <w:rPr>
                <w:rFonts w:eastAsia="Calibri" w:cs="Arial Armenian"/>
                <w:b/>
                <w:sz w:val="20"/>
                <w:szCs w:val="20"/>
                <w:lang w:val="af-ZA"/>
              </w:rPr>
            </w:pPr>
            <w:r w:rsidRPr="0053423A">
              <w:rPr>
                <w:rFonts w:eastAsia="Calibri" w:cs="Arial Armenian"/>
                <w:b/>
                <w:sz w:val="20"/>
                <w:szCs w:val="20"/>
                <w:lang w:val="af-ZA"/>
              </w:rPr>
              <w:t xml:space="preserve"> </w:t>
            </w:r>
          </w:p>
        </w:tc>
      </w:tr>
      <w:tr w:rsidR="002B2CAB" w:rsidRPr="00DE2EFA" w:rsidTr="002B2CAB">
        <w:tc>
          <w:tcPr>
            <w:tcW w:w="540" w:type="dxa"/>
            <w:vMerge/>
          </w:tcPr>
          <w:p w:rsidR="002B2CAB" w:rsidRPr="0053423A" w:rsidRDefault="002B2CAB" w:rsidP="00A67858">
            <w:pPr>
              <w:spacing w:line="276" w:lineRule="auto"/>
              <w:jc w:val="center"/>
              <w:rPr>
                <w:rFonts w:cs="Times New Roman"/>
                <w:b/>
                <w:sz w:val="20"/>
                <w:szCs w:val="20"/>
                <w:lang w:val="hy-AM"/>
              </w:rPr>
            </w:pP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cs="Sylfaen"/>
                <w:b/>
                <w:sz w:val="20"/>
                <w:szCs w:val="20"/>
                <w:u w:val="single"/>
                <w:lang w:val="pt-BR"/>
              </w:rPr>
              <w:t>1.2</w:t>
            </w:r>
            <w:r w:rsidRPr="0053423A">
              <w:rPr>
                <w:rFonts w:cs="Sylfaen"/>
                <w:b/>
                <w:sz w:val="20"/>
                <w:szCs w:val="20"/>
                <w:u w:val="single"/>
                <w:lang w:val="hy-AM"/>
              </w:rPr>
              <w:t xml:space="preserve"> Հայրենադարձության</w:t>
            </w:r>
            <w:r w:rsidRPr="0053423A">
              <w:rPr>
                <w:rFonts w:cs="Sylfaen"/>
                <w:b/>
                <w:sz w:val="20"/>
                <w:szCs w:val="20"/>
                <w:u w:val="single"/>
                <w:lang w:val="it-IT"/>
              </w:rPr>
              <w:t xml:space="preserve"> </w:t>
            </w:r>
            <w:r w:rsidRPr="0053423A">
              <w:rPr>
                <w:rFonts w:cs="Sylfaen"/>
                <w:b/>
                <w:sz w:val="20"/>
                <w:szCs w:val="20"/>
                <w:u w:val="single"/>
                <w:lang w:val="hy-AM"/>
              </w:rPr>
              <w:t>քարոզչական</w:t>
            </w:r>
            <w:r w:rsidRPr="0053423A">
              <w:rPr>
                <w:rFonts w:cs="Sylfaen"/>
                <w:b/>
                <w:sz w:val="20"/>
                <w:szCs w:val="20"/>
                <w:u w:val="single"/>
                <w:lang w:val="it-IT"/>
              </w:rPr>
              <w:t xml:space="preserve"> </w:t>
            </w:r>
            <w:r w:rsidRPr="0053423A">
              <w:rPr>
                <w:rFonts w:cs="Sylfaen"/>
                <w:b/>
                <w:sz w:val="20"/>
                <w:szCs w:val="20"/>
                <w:u w:val="single"/>
                <w:lang w:val="hy-AM"/>
              </w:rPr>
              <w:t>ծրագրի</w:t>
            </w:r>
            <w:r w:rsidRPr="0053423A">
              <w:rPr>
                <w:rFonts w:cs="Sylfaen"/>
                <w:b/>
                <w:sz w:val="20"/>
                <w:szCs w:val="20"/>
                <w:u w:val="single"/>
                <w:lang w:val="ro-RO"/>
              </w:rPr>
              <w:t xml:space="preserve"> </w:t>
            </w:r>
            <w:r w:rsidRPr="0053423A">
              <w:rPr>
                <w:rFonts w:cs="Sylfaen"/>
                <w:b/>
                <w:sz w:val="20"/>
                <w:szCs w:val="20"/>
                <w:u w:val="single"/>
                <w:lang w:val="hy-AM"/>
              </w:rPr>
              <w:t>իրականացում</w:t>
            </w:r>
            <w:r w:rsidRPr="0053423A">
              <w:rPr>
                <w:rFonts w:cs="Sylfaen"/>
                <w:b/>
                <w:sz w:val="20"/>
                <w:szCs w:val="20"/>
                <w:u w:val="single"/>
                <w:lang w:val="pt-BR"/>
              </w:rPr>
              <w:t xml:space="preserve"> </w:t>
            </w:r>
            <w:r w:rsidRPr="0053423A">
              <w:rPr>
                <w:rFonts w:cs="Sylfaen"/>
                <w:b/>
                <w:sz w:val="20"/>
                <w:szCs w:val="20"/>
                <w:u w:val="single"/>
                <w:lang w:val="hy-AM"/>
              </w:rPr>
              <w:t>և հայրենադարձության</w:t>
            </w:r>
            <w:r w:rsidRPr="0053423A">
              <w:rPr>
                <w:rFonts w:cs="Sylfaen"/>
                <w:b/>
                <w:sz w:val="20"/>
                <w:szCs w:val="20"/>
                <w:u w:val="single"/>
                <w:lang w:val="pt-BR"/>
              </w:rPr>
              <w:t xml:space="preserve"> </w:t>
            </w:r>
            <w:r w:rsidRPr="0053423A">
              <w:rPr>
                <w:rFonts w:cs="Sylfaen"/>
                <w:b/>
                <w:sz w:val="20"/>
                <w:szCs w:val="20"/>
                <w:u w:val="single"/>
                <w:lang w:val="hy-AM"/>
              </w:rPr>
              <w:t>գործընթացի</w:t>
            </w:r>
            <w:r w:rsidRPr="0053423A">
              <w:rPr>
                <w:rFonts w:cs="Sylfaen"/>
                <w:b/>
                <w:sz w:val="20"/>
                <w:szCs w:val="20"/>
                <w:u w:val="single"/>
                <w:lang w:val="pt-BR"/>
              </w:rPr>
              <w:t xml:space="preserve"> </w:t>
            </w:r>
            <w:r w:rsidRPr="0053423A">
              <w:rPr>
                <w:rFonts w:cs="Sylfaen"/>
                <w:b/>
                <w:sz w:val="20"/>
                <w:szCs w:val="20"/>
                <w:u w:val="single"/>
                <w:lang w:val="hy-AM"/>
              </w:rPr>
              <w:t>խթանմանը</w:t>
            </w:r>
            <w:r w:rsidRPr="0053423A">
              <w:rPr>
                <w:rFonts w:cs="Sylfaen"/>
                <w:b/>
                <w:sz w:val="20"/>
                <w:szCs w:val="20"/>
                <w:u w:val="single"/>
                <w:lang w:val="pt-BR"/>
              </w:rPr>
              <w:t xml:space="preserve"> </w:t>
            </w:r>
            <w:r w:rsidRPr="0053423A">
              <w:rPr>
                <w:rFonts w:cs="Sylfaen"/>
                <w:b/>
                <w:sz w:val="20"/>
                <w:szCs w:val="20"/>
                <w:u w:val="single"/>
                <w:lang w:val="hy-AM"/>
              </w:rPr>
              <w:t>նպաստող</w:t>
            </w:r>
            <w:r w:rsidRPr="0053423A">
              <w:rPr>
                <w:rFonts w:cs="Sylfaen"/>
                <w:b/>
                <w:sz w:val="20"/>
                <w:szCs w:val="20"/>
                <w:u w:val="single"/>
                <w:lang w:val="pt-BR"/>
              </w:rPr>
              <w:t xml:space="preserve"> </w:t>
            </w:r>
            <w:r w:rsidRPr="0053423A">
              <w:rPr>
                <w:rFonts w:cs="Sylfaen"/>
                <w:b/>
                <w:sz w:val="20"/>
                <w:szCs w:val="20"/>
                <w:u w:val="single"/>
                <w:lang w:val="hy-AM"/>
              </w:rPr>
              <w:t>նյութերի</w:t>
            </w:r>
            <w:r w:rsidRPr="0053423A">
              <w:rPr>
                <w:rFonts w:cs="Sylfaen"/>
                <w:b/>
                <w:sz w:val="20"/>
                <w:szCs w:val="20"/>
                <w:u w:val="single"/>
                <w:lang w:val="pt-BR"/>
              </w:rPr>
              <w:t xml:space="preserve"> </w:t>
            </w:r>
            <w:r w:rsidRPr="0053423A">
              <w:rPr>
                <w:rFonts w:cs="Sylfaen"/>
                <w:b/>
                <w:sz w:val="20"/>
                <w:szCs w:val="20"/>
                <w:u w:val="single"/>
                <w:lang w:val="hy-AM"/>
              </w:rPr>
              <w:t>մշակում</w:t>
            </w:r>
            <w:r w:rsidRPr="0053423A">
              <w:rPr>
                <w:rFonts w:cs="Sylfaen"/>
                <w:b/>
                <w:sz w:val="20"/>
                <w:szCs w:val="20"/>
                <w:u w:val="single"/>
                <w:lang w:val="pt-BR"/>
              </w:rPr>
              <w:t xml:space="preserve"> </w:t>
            </w:r>
            <w:r w:rsidRPr="0053423A">
              <w:rPr>
                <w:rFonts w:cs="Sylfaen"/>
                <w:b/>
                <w:sz w:val="20"/>
                <w:szCs w:val="20"/>
                <w:u w:val="single"/>
                <w:lang w:val="hy-AM"/>
              </w:rPr>
              <w:t>և</w:t>
            </w:r>
            <w:r w:rsidRPr="0053423A">
              <w:rPr>
                <w:rFonts w:cs="Sylfaen"/>
                <w:b/>
                <w:sz w:val="20"/>
                <w:szCs w:val="20"/>
                <w:u w:val="single"/>
                <w:lang w:val="pt-BR"/>
              </w:rPr>
              <w:t xml:space="preserve"> </w:t>
            </w:r>
            <w:r w:rsidRPr="0053423A">
              <w:rPr>
                <w:rFonts w:cs="Sylfaen"/>
                <w:b/>
                <w:sz w:val="20"/>
                <w:szCs w:val="20"/>
                <w:u w:val="single"/>
                <w:lang w:val="hy-AM"/>
              </w:rPr>
              <w:t>հրապարակում</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sz w:val="20"/>
                <w:szCs w:val="20"/>
                <w:lang w:val="hy-AM"/>
              </w:rPr>
              <w:t xml:space="preserve">Անհրաժեշտությունը բխում է Սահմանադրության 19-րդ հոդվածի 1-ին մասի դրույթներից: Նպատակն է </w:t>
            </w:r>
            <w:r w:rsidRPr="0053423A">
              <w:rPr>
                <w:rFonts w:cs="Times New Roman"/>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b/>
                <w:sz w:val="20"/>
                <w:szCs w:val="20"/>
                <w:lang w:val="ro-RO"/>
              </w:rPr>
              <w:t xml:space="preserve"> </w:t>
            </w:r>
          </w:p>
          <w:p w:rsidR="002B2CAB" w:rsidRPr="0053423A" w:rsidRDefault="002B2CAB" w:rsidP="001F6D5D">
            <w:pPr>
              <w:numPr>
                <w:ilvl w:val="1"/>
                <w:numId w:val="303"/>
              </w:numPr>
              <w:spacing w:line="276" w:lineRule="auto"/>
              <w:contextualSpacing/>
              <w:jc w:val="both"/>
              <w:rPr>
                <w:rFonts w:cs="Times New Roman"/>
                <w:bCs/>
                <w:color w:val="000000"/>
                <w:sz w:val="20"/>
                <w:szCs w:val="20"/>
                <w:shd w:val="clear" w:color="auto" w:fill="FFFFFF"/>
                <w:lang w:val="hy-AM"/>
              </w:rPr>
            </w:pPr>
            <w:r w:rsidRPr="0053423A">
              <w:rPr>
                <w:rFonts w:cs="Times New Roman"/>
                <w:b/>
                <w:sz w:val="20"/>
                <w:szCs w:val="20"/>
                <w:lang w:val="ro-RO"/>
              </w:rPr>
              <w:t>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r w:rsidRPr="0053423A">
              <w:rPr>
                <w:rFonts w:cs="Times New Roman"/>
                <w:bCs/>
                <w:color w:val="000000"/>
                <w:sz w:val="20"/>
                <w:szCs w:val="20"/>
                <w:shd w:val="clear" w:color="auto" w:fill="FFFFFF"/>
                <w:lang w:val="hy-AM"/>
              </w:rPr>
              <w:t xml:space="preserve"> </w:t>
            </w:r>
          </w:p>
          <w:p w:rsidR="002B2CAB" w:rsidRPr="0053423A" w:rsidRDefault="002B2CAB" w:rsidP="00A67858">
            <w:pPr>
              <w:spacing w:line="276" w:lineRule="auto"/>
              <w:jc w:val="both"/>
              <w:rPr>
                <w:rFonts w:cs="Times New Roman"/>
                <w:b/>
                <w:sz w:val="20"/>
                <w:szCs w:val="20"/>
                <w:lang w:val="hy-AM"/>
              </w:rPr>
            </w:pPr>
            <w:r w:rsidRPr="0053423A">
              <w:rPr>
                <w:rFonts w:cs="Times New Roman"/>
                <w:bCs/>
                <w:color w:val="000000"/>
                <w:sz w:val="20"/>
                <w:szCs w:val="20"/>
                <w:shd w:val="clear" w:color="auto" w:fill="FFFFFF"/>
                <w:lang w:val="hy-AM"/>
              </w:rPr>
              <w:t>Ներկայումս հայրենադարձության վերաբերյալ իրազեկվածության և հանրայնացման մակարդակը և սփյուռքում</w:t>
            </w:r>
            <w:r w:rsidRPr="0053423A">
              <w:rPr>
                <w:rFonts w:cs="Times New Roman"/>
                <w:bCs/>
                <w:color w:val="000000"/>
                <w:sz w:val="20"/>
                <w:szCs w:val="20"/>
                <w:shd w:val="clear" w:color="auto" w:fill="FFFFFF"/>
                <w:lang w:val="fr-FR"/>
              </w:rPr>
              <w:t xml:space="preserve"> </w:t>
            </w:r>
            <w:r w:rsidRPr="0053423A">
              <w:rPr>
                <w:rFonts w:cs="Times New Roman"/>
                <w:bCs/>
                <w:color w:val="000000"/>
                <w:sz w:val="20"/>
                <w:szCs w:val="20"/>
                <w:shd w:val="clear" w:color="auto" w:fill="FFFFFF"/>
                <w:lang w:val="hy-AM"/>
              </w:rPr>
              <w:t>և</w:t>
            </w:r>
            <w:r w:rsidRPr="0053423A">
              <w:rPr>
                <w:rFonts w:cs="Times New Roman"/>
                <w:bCs/>
                <w:color w:val="000000"/>
                <w:sz w:val="20"/>
                <w:szCs w:val="20"/>
                <w:shd w:val="clear" w:color="auto" w:fill="FFFFFF"/>
                <w:lang w:val="fr-FR"/>
              </w:rPr>
              <w:t xml:space="preserve"> </w:t>
            </w:r>
            <w:r w:rsidRPr="0053423A">
              <w:rPr>
                <w:rFonts w:cs="Times New Roman"/>
                <w:bCs/>
                <w:color w:val="000000"/>
                <w:sz w:val="20"/>
                <w:szCs w:val="20"/>
                <w:shd w:val="clear" w:color="auto" w:fill="FFFFFF"/>
                <w:lang w:val="hy-AM"/>
              </w:rPr>
              <w:t>ՀՀ-ում դեռևս գտնվում է ոչ բարձր հիմքերի վրա:</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jc w:val="both"/>
              <w:rPr>
                <w:rFonts w:cs="Times New Roman"/>
                <w:b/>
                <w:sz w:val="20"/>
                <w:szCs w:val="20"/>
                <w:lang w:val="hy-AM"/>
              </w:rPr>
            </w:pPr>
            <w:r w:rsidRPr="0053423A">
              <w:rPr>
                <w:rFonts w:cs="Times New Roman"/>
                <w:color w:val="000000"/>
                <w:sz w:val="20"/>
                <w:szCs w:val="20"/>
                <w:lang w:val="hy-AM"/>
              </w:rPr>
              <w:t>Քարոզչական ծրագիրը հնարավորություն</w:t>
            </w:r>
            <w:r w:rsidRPr="0053423A">
              <w:rPr>
                <w:rFonts w:cs="Times New Roman"/>
                <w:color w:val="000000"/>
                <w:sz w:val="20"/>
                <w:szCs w:val="20"/>
                <w:lang w:val="fr-FR"/>
              </w:rPr>
              <w:t xml:space="preserve"> </w:t>
            </w:r>
            <w:r w:rsidRPr="0053423A">
              <w:rPr>
                <w:rFonts w:cs="Times New Roman"/>
                <w:color w:val="000000"/>
                <w:sz w:val="20"/>
                <w:szCs w:val="20"/>
                <w:lang w:val="hy-AM"/>
              </w:rPr>
              <w:t>կընձեռի սփյուռքի</w:t>
            </w:r>
            <w:r w:rsidRPr="0053423A">
              <w:rPr>
                <w:rFonts w:cs="Times New Roman"/>
                <w:color w:val="000000"/>
                <w:sz w:val="20"/>
                <w:szCs w:val="20"/>
                <w:lang w:val="it-IT"/>
              </w:rPr>
              <w:t xml:space="preserve"> </w:t>
            </w:r>
            <w:r w:rsidRPr="0053423A">
              <w:rPr>
                <w:rFonts w:cs="Times New Roman"/>
                <w:color w:val="000000"/>
                <w:sz w:val="20"/>
                <w:szCs w:val="20"/>
                <w:lang w:val="hy-AM"/>
              </w:rPr>
              <w:t>առնվազն</w:t>
            </w:r>
            <w:r w:rsidRPr="0053423A">
              <w:rPr>
                <w:rFonts w:cs="Times New Roman"/>
                <w:color w:val="000000"/>
                <w:sz w:val="20"/>
                <w:szCs w:val="20"/>
                <w:lang w:val="fr-FR"/>
              </w:rPr>
              <w:t xml:space="preserve"> 10</w:t>
            </w:r>
            <w:r w:rsidRPr="0053423A">
              <w:rPr>
                <w:rFonts w:cs="Times New Roman"/>
                <w:color w:val="000000"/>
                <w:sz w:val="20"/>
                <w:szCs w:val="20"/>
                <w:lang w:val="hy-AM"/>
              </w:rPr>
              <w:t xml:space="preserve"> համայնքներում տարվող</w:t>
            </w:r>
            <w:r w:rsidRPr="0053423A">
              <w:rPr>
                <w:rFonts w:cs="Times New Roman"/>
                <w:color w:val="000000"/>
                <w:sz w:val="20"/>
                <w:szCs w:val="20"/>
                <w:lang w:val="it-IT"/>
              </w:rPr>
              <w:t xml:space="preserve"> </w:t>
            </w:r>
            <w:r w:rsidRPr="0053423A">
              <w:rPr>
                <w:rFonts w:cs="Times New Roman"/>
                <w:color w:val="000000"/>
                <w:sz w:val="20"/>
                <w:szCs w:val="20"/>
                <w:lang w:val="hy-AM"/>
              </w:rPr>
              <w:t>աշխատանքների</w:t>
            </w:r>
            <w:r w:rsidRPr="0053423A">
              <w:rPr>
                <w:rFonts w:cs="Times New Roman"/>
                <w:color w:val="000000"/>
                <w:sz w:val="20"/>
                <w:szCs w:val="20"/>
                <w:lang w:val="it-IT"/>
              </w:rPr>
              <w:t xml:space="preserve"> </w:t>
            </w:r>
            <w:r w:rsidRPr="0053423A">
              <w:rPr>
                <w:rFonts w:cs="Times New Roman"/>
                <w:color w:val="000000"/>
                <w:sz w:val="20"/>
                <w:szCs w:val="20"/>
                <w:lang w:val="hy-AM"/>
              </w:rPr>
              <w:t>արդյունքում</w:t>
            </w:r>
            <w:r w:rsidRPr="0053423A">
              <w:rPr>
                <w:rFonts w:cs="Times New Roman"/>
                <w:color w:val="000000"/>
                <w:sz w:val="20"/>
                <w:szCs w:val="20"/>
                <w:lang w:val="it-IT"/>
              </w:rPr>
              <w:t xml:space="preserve"> </w:t>
            </w:r>
            <w:r w:rsidRPr="0053423A">
              <w:rPr>
                <w:rFonts w:cs="Times New Roman"/>
                <w:color w:val="000000"/>
                <w:sz w:val="20"/>
                <w:szCs w:val="20"/>
                <w:lang w:val="hy-AM"/>
              </w:rPr>
              <w:t>վերհանել առնվազն</w:t>
            </w:r>
            <w:r w:rsidRPr="0053423A">
              <w:rPr>
                <w:rFonts w:cs="Times New Roman"/>
                <w:color w:val="000000"/>
                <w:sz w:val="20"/>
                <w:szCs w:val="20"/>
                <w:lang w:val="fr-FR"/>
              </w:rPr>
              <w:t xml:space="preserve"> 3 </w:t>
            </w:r>
            <w:r w:rsidRPr="0053423A">
              <w:rPr>
                <w:rFonts w:cs="Times New Roman"/>
                <w:color w:val="000000"/>
                <w:sz w:val="20"/>
                <w:szCs w:val="20"/>
                <w:lang w:val="hy-AM"/>
              </w:rPr>
              <w:t>թիրախային խմբեր, համախմբել առկա</w:t>
            </w:r>
            <w:r w:rsidRPr="0053423A">
              <w:rPr>
                <w:rFonts w:cs="Times New Roman"/>
                <w:color w:val="000000"/>
                <w:sz w:val="20"/>
                <w:szCs w:val="20"/>
                <w:lang w:val="it-IT"/>
              </w:rPr>
              <w:t xml:space="preserve"> </w:t>
            </w:r>
            <w:r w:rsidRPr="0053423A">
              <w:rPr>
                <w:rFonts w:cs="Times New Roman"/>
                <w:color w:val="000000"/>
                <w:sz w:val="20"/>
                <w:szCs w:val="20"/>
                <w:lang w:val="hy-AM"/>
              </w:rPr>
              <w:t>ներուժը, հայրենադարձության կազմակերպման միջոցով նրանց ներգրավել ՀՀ սոցիալ</w:t>
            </w:r>
            <w:r w:rsidRPr="0053423A">
              <w:rPr>
                <w:rFonts w:cs="Times New Roman"/>
                <w:color w:val="000000"/>
                <w:sz w:val="20"/>
                <w:szCs w:val="20"/>
                <w:lang w:val="fr-FR"/>
              </w:rPr>
              <w:t xml:space="preserve"> </w:t>
            </w:r>
            <w:r w:rsidRPr="0053423A">
              <w:rPr>
                <w:rFonts w:cs="Times New Roman"/>
                <w:color w:val="000000"/>
                <w:sz w:val="20"/>
                <w:szCs w:val="20"/>
                <w:lang w:val="hy-AM"/>
              </w:rPr>
              <w:t>տնտեսական զարգացման, պաշտպանունակության ու մրցունակության բարձրացման գործին</w:t>
            </w:r>
            <w:r w:rsidRPr="0053423A">
              <w:rPr>
                <w:rFonts w:cs="Times New Roman"/>
                <w:b/>
                <w:sz w:val="20"/>
                <w:szCs w:val="20"/>
                <w:lang w:val="hy-AM"/>
              </w:rPr>
              <w:t>:</w:t>
            </w:r>
          </w:p>
          <w:p w:rsidR="002B2CAB" w:rsidRPr="0053423A" w:rsidRDefault="002B2CAB" w:rsidP="00A67858">
            <w:pPr>
              <w:shd w:val="clear" w:color="auto" w:fill="FFFFFF"/>
              <w:spacing w:line="276" w:lineRule="auto"/>
              <w:jc w:val="both"/>
              <w:rPr>
                <w:rFonts w:eastAsia="Calibri" w:cs="Times New Roman"/>
                <w:b/>
                <w:color w:val="000000"/>
                <w:sz w:val="20"/>
                <w:szCs w:val="20"/>
                <w:lang w:val="hy-AM"/>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spacing w:line="276" w:lineRule="auto"/>
              <w:jc w:val="both"/>
              <w:rPr>
                <w:rFonts w:cs="Times New Roman"/>
                <w:bCs/>
                <w:color w:val="000000"/>
                <w:sz w:val="20"/>
                <w:szCs w:val="20"/>
                <w:shd w:val="clear" w:color="auto" w:fill="FFFFFF"/>
                <w:lang w:val="hy-AM"/>
              </w:rPr>
            </w:pPr>
            <w:r w:rsidRPr="0053423A">
              <w:rPr>
                <w:rFonts w:cs="Arial Armenian"/>
                <w:sz w:val="20"/>
                <w:szCs w:val="20"/>
                <w:lang w:val="hy-AM"/>
              </w:rPr>
              <w:t>Ակնկալվում է</w:t>
            </w:r>
            <w:r w:rsidRPr="0053423A">
              <w:rPr>
                <w:rFonts w:cs="Arial Armenian"/>
                <w:sz w:val="20"/>
                <w:szCs w:val="20"/>
                <w:lang w:val="it-IT"/>
              </w:rPr>
              <w:t xml:space="preserve"> քարոզչական նպատակով </w:t>
            </w:r>
            <w:r w:rsidRPr="0053423A">
              <w:rPr>
                <w:rFonts w:cs="Arial Armenian"/>
                <w:sz w:val="20"/>
                <w:szCs w:val="20"/>
                <w:lang w:val="hy-AM"/>
              </w:rPr>
              <w:t>քննարկումներ իրականացնել սփյուռքյան համայնքներում, գումարել առնվազն</w:t>
            </w:r>
            <w:r w:rsidRPr="0053423A">
              <w:rPr>
                <w:rFonts w:cs="Arial Armenian"/>
                <w:sz w:val="20"/>
                <w:szCs w:val="20"/>
                <w:lang w:val="it-IT"/>
              </w:rPr>
              <w:t xml:space="preserve"> 4 </w:t>
            </w:r>
            <w:r w:rsidRPr="0053423A">
              <w:rPr>
                <w:rFonts w:cs="Arial Armenian"/>
                <w:sz w:val="20"/>
                <w:szCs w:val="20"/>
                <w:lang w:val="hy-AM"/>
              </w:rPr>
              <w:t xml:space="preserve">տեսաժողովներ ու համաժողովներ, տեսակոնֆերանսներ, «կլոր սեղան» քննարկումներ, </w:t>
            </w:r>
            <w:r w:rsidRPr="0053423A">
              <w:rPr>
                <w:rFonts w:cs="Arial Armenian"/>
                <w:sz w:val="20"/>
                <w:szCs w:val="20"/>
                <w:lang w:val="it-IT"/>
              </w:rPr>
              <w:t>ն</w:t>
            </w:r>
            <w:r w:rsidRPr="0053423A">
              <w:rPr>
                <w:rFonts w:cs="Arial Armenian"/>
                <w:sz w:val="20"/>
                <w:szCs w:val="20"/>
                <w:lang w:val="hy-AM"/>
              </w:rPr>
              <w:t>կարահանել 1 ֆիլմ՝ հայրենադարձների կյանքին, աշխատանքին ու ներդրումներին նվիրված հաջողված պատմություններով, առնվազն 2 տեսաերիզներ, առնվազն 6 գովազդային նյութեր, տպագրել բուկլետներ և թերթոններ</w:t>
            </w:r>
            <w:r w:rsidRPr="0053423A">
              <w:rPr>
                <w:rFonts w:cs="Arial Armenian"/>
                <w:sz w:val="20"/>
                <w:szCs w:val="20"/>
                <w:lang w:val="it-IT"/>
              </w:rPr>
              <w:t xml:space="preserve">: </w:t>
            </w:r>
            <w:r w:rsidRPr="0053423A">
              <w:rPr>
                <w:rFonts w:cs="Arial Armenian"/>
                <w:sz w:val="20"/>
                <w:szCs w:val="20"/>
                <w:lang w:val="hy-AM"/>
              </w:rPr>
              <w:t>Կստեղծվի Hayrenadardz.am կայք-էջը:</w:t>
            </w:r>
            <w:r w:rsidRPr="0053423A">
              <w:rPr>
                <w:rFonts w:cs="Times New Roman"/>
                <w:b/>
                <w:bCs/>
                <w:color w:val="000000"/>
                <w:sz w:val="20"/>
                <w:szCs w:val="20"/>
                <w:shd w:val="clear" w:color="auto" w:fill="FFFFFF"/>
                <w:lang w:val="hy-AM"/>
              </w:rPr>
              <w:t xml:space="preserve"> </w:t>
            </w:r>
            <w:r w:rsidRPr="0053423A">
              <w:rPr>
                <w:rFonts w:cs="Times New Roman"/>
                <w:bCs/>
                <w:color w:val="000000"/>
                <w:sz w:val="20"/>
                <w:szCs w:val="20"/>
                <w:shd w:val="clear" w:color="auto" w:fill="FFFFFF"/>
                <w:lang w:val="hy-AM"/>
              </w:rPr>
              <w:t>Կբարելավվի հայրենադարձության վերաբերյալ իրազեկվածության և հանրայնացման մակարդակը ինչպես սփյուռքում</w:t>
            </w:r>
            <w:r w:rsidRPr="0053423A">
              <w:rPr>
                <w:rFonts w:cs="Times New Roman"/>
                <w:bCs/>
                <w:color w:val="000000"/>
                <w:sz w:val="20"/>
                <w:szCs w:val="20"/>
                <w:shd w:val="clear" w:color="auto" w:fill="FFFFFF"/>
                <w:lang w:val="fr-FR"/>
              </w:rPr>
              <w:t xml:space="preserve"> </w:t>
            </w:r>
            <w:r w:rsidRPr="0053423A">
              <w:rPr>
                <w:rFonts w:cs="Times New Roman"/>
                <w:bCs/>
                <w:color w:val="000000"/>
                <w:sz w:val="20"/>
                <w:szCs w:val="20"/>
                <w:shd w:val="clear" w:color="auto" w:fill="FFFFFF"/>
                <w:lang w:val="hy-AM"/>
              </w:rPr>
              <w:t>և</w:t>
            </w:r>
            <w:r w:rsidRPr="0053423A">
              <w:rPr>
                <w:rFonts w:cs="Times New Roman"/>
                <w:bCs/>
                <w:color w:val="000000"/>
                <w:sz w:val="20"/>
                <w:szCs w:val="20"/>
                <w:shd w:val="clear" w:color="auto" w:fill="FFFFFF"/>
                <w:lang w:val="fr-FR"/>
              </w:rPr>
              <w:t xml:space="preserve"> </w:t>
            </w:r>
            <w:r w:rsidRPr="0053423A">
              <w:rPr>
                <w:rFonts w:cs="Times New Roman"/>
                <w:bCs/>
                <w:color w:val="000000"/>
                <w:sz w:val="20"/>
                <w:szCs w:val="20"/>
                <w:shd w:val="clear" w:color="auto" w:fill="FFFFFF"/>
                <w:lang w:val="hy-AM"/>
              </w:rPr>
              <w:t>ՀՀ-ում:</w:t>
            </w:r>
          </w:p>
        </w:tc>
      </w:tr>
      <w:tr w:rsidR="002B2CAB" w:rsidRPr="00DE2EFA" w:rsidTr="002B2CAB">
        <w:tc>
          <w:tcPr>
            <w:tcW w:w="540" w:type="dxa"/>
            <w:vMerge/>
          </w:tcPr>
          <w:p w:rsidR="002B2CAB" w:rsidRPr="0053423A" w:rsidRDefault="002B2CAB" w:rsidP="00A67858">
            <w:pPr>
              <w:spacing w:line="276" w:lineRule="auto"/>
              <w:jc w:val="center"/>
              <w:rPr>
                <w:rFonts w:cs="Times New Roman"/>
                <w:b/>
                <w:sz w:val="20"/>
                <w:szCs w:val="20"/>
                <w:lang w:val="hy-AM"/>
              </w:rPr>
            </w:pP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cs="Times New Roman"/>
                <w:b/>
                <w:sz w:val="20"/>
                <w:szCs w:val="20"/>
                <w:u w:val="single"/>
                <w:lang w:val="hy-AM"/>
              </w:rPr>
              <w:t>1.3«Սփյուռք և հայրենադարձություն» խորագրով</w:t>
            </w:r>
            <w:r w:rsidRPr="0053423A">
              <w:rPr>
                <w:rFonts w:cs="Times New Roman"/>
                <w:b/>
                <w:sz w:val="20"/>
                <w:szCs w:val="20"/>
                <w:u w:val="single"/>
                <w:lang w:val="fr-FR"/>
              </w:rPr>
              <w:t xml:space="preserve"> </w:t>
            </w:r>
            <w:r w:rsidRPr="0053423A">
              <w:rPr>
                <w:rFonts w:cs="Times New Roman"/>
                <w:b/>
                <w:sz w:val="20"/>
                <w:szCs w:val="20"/>
                <w:u w:val="single"/>
                <w:lang w:val="hy-AM"/>
              </w:rPr>
              <w:t>միջազգային ֆորումի</w:t>
            </w:r>
            <w:r w:rsidRPr="0053423A">
              <w:rPr>
                <w:rFonts w:cs="Times New Roman"/>
                <w:b/>
                <w:sz w:val="20"/>
                <w:szCs w:val="20"/>
                <w:u w:val="single"/>
                <w:lang w:val="ro-RO"/>
              </w:rPr>
              <w:t xml:space="preserve"> </w:t>
            </w:r>
            <w:r w:rsidRPr="0053423A">
              <w:rPr>
                <w:rFonts w:cs="Times New Roman"/>
                <w:b/>
                <w:sz w:val="20"/>
                <w:szCs w:val="20"/>
                <w:u w:val="single"/>
                <w:lang w:val="hy-AM"/>
              </w:rPr>
              <w:t>կազմակերպում</w:t>
            </w:r>
          </w:p>
          <w:p w:rsidR="002B2CAB" w:rsidRPr="0053423A" w:rsidRDefault="002B2CAB" w:rsidP="00A67858">
            <w:pPr>
              <w:spacing w:line="276" w:lineRule="auto"/>
              <w:jc w:val="center"/>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sz w:val="20"/>
                <w:szCs w:val="20"/>
                <w:lang w:val="hy-AM"/>
              </w:rPr>
              <w:t xml:space="preserve">Նպատակն է </w:t>
            </w:r>
            <w:r w:rsidRPr="0053423A">
              <w:rPr>
                <w:rFonts w:cs="Times New Roman"/>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b/>
                <w:sz w:val="20"/>
                <w:szCs w:val="20"/>
                <w:lang w:val="ro-RO"/>
              </w:rPr>
              <w:t xml:space="preserve"> </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ro-RO"/>
              </w:rPr>
              <w:t>1.1. 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Times New Roman"/>
                <w:sz w:val="20"/>
                <w:szCs w:val="20"/>
                <w:lang w:val="af-ZA"/>
              </w:rPr>
            </w:pPr>
            <w:r w:rsidRPr="0053423A">
              <w:rPr>
                <w:rFonts w:cs="Times New Roman"/>
                <w:sz w:val="20"/>
                <w:szCs w:val="20"/>
                <w:lang w:val="af-ZA"/>
              </w:rPr>
              <w:t>Դեռևս անհրաժեշտ է ֆորումների միջոցով ներգրավել հայրենադարձության միջազգային փորձը նախարարության աշխատանքներում:</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jc w:val="both"/>
              <w:rPr>
                <w:rFonts w:cs="Times New Roman"/>
                <w:b/>
                <w:sz w:val="20"/>
                <w:szCs w:val="20"/>
                <w:lang w:val="hy-AM"/>
              </w:rPr>
            </w:pPr>
            <w:r w:rsidRPr="0053423A">
              <w:rPr>
                <w:rFonts w:cs="Times New Roman"/>
                <w:sz w:val="20"/>
                <w:szCs w:val="20"/>
                <w:lang w:val="af-ZA"/>
              </w:rPr>
              <w:t>Հայրենադարձության ոլորտի լավագույն փորձի փոխանակում:</w:t>
            </w:r>
          </w:p>
          <w:p w:rsidR="002B2CAB" w:rsidRPr="0053423A" w:rsidRDefault="002B2CAB" w:rsidP="00A67858">
            <w:pPr>
              <w:shd w:val="clear" w:color="auto" w:fill="FFFFFF"/>
              <w:spacing w:line="276" w:lineRule="auto"/>
              <w:jc w:val="both"/>
              <w:rPr>
                <w:rFonts w:eastAsia="Calibri" w:cs="Times New Roman"/>
                <w:b/>
                <w:color w:val="000000"/>
                <w:sz w:val="20"/>
                <w:szCs w:val="20"/>
                <w:lang w:val="hy-AM"/>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spacing w:line="276" w:lineRule="auto"/>
              <w:jc w:val="both"/>
              <w:rPr>
                <w:rFonts w:cs="Sylfaen"/>
                <w:sz w:val="20"/>
                <w:szCs w:val="20"/>
                <w:lang w:val="hy-AM"/>
              </w:rPr>
            </w:pPr>
            <w:r w:rsidRPr="0053423A">
              <w:rPr>
                <w:rFonts w:cs="Sylfaen"/>
                <w:sz w:val="20"/>
                <w:szCs w:val="20"/>
                <w:lang w:val="hy-AM"/>
              </w:rPr>
              <w:t>Միջազգային</w:t>
            </w:r>
            <w:r w:rsidRPr="0053423A">
              <w:rPr>
                <w:rFonts w:cs="Sylfaen"/>
                <w:sz w:val="20"/>
                <w:szCs w:val="20"/>
                <w:lang w:val="fr-FR"/>
              </w:rPr>
              <w:t xml:space="preserve"> </w:t>
            </w:r>
            <w:r w:rsidRPr="0053423A">
              <w:rPr>
                <w:rFonts w:cs="Sylfaen"/>
                <w:sz w:val="20"/>
                <w:szCs w:val="20"/>
                <w:lang w:val="hy-AM"/>
              </w:rPr>
              <w:t>ֆորումը</w:t>
            </w:r>
            <w:r w:rsidRPr="0053423A">
              <w:rPr>
                <w:rFonts w:cs="Sylfaen"/>
                <w:sz w:val="20"/>
                <w:szCs w:val="20"/>
                <w:lang w:val="fr-FR"/>
              </w:rPr>
              <w:t xml:space="preserve"> </w:t>
            </w:r>
            <w:r w:rsidRPr="0053423A">
              <w:rPr>
                <w:rFonts w:cs="Sylfaen"/>
                <w:sz w:val="20"/>
                <w:szCs w:val="20"/>
                <w:lang w:val="hy-AM"/>
              </w:rPr>
              <w:t>հնարավորություն</w:t>
            </w:r>
            <w:r w:rsidRPr="0053423A">
              <w:rPr>
                <w:rFonts w:cs="Sylfaen"/>
                <w:sz w:val="20"/>
                <w:szCs w:val="20"/>
                <w:lang w:val="fr-FR"/>
              </w:rPr>
              <w:t xml:space="preserve"> </w:t>
            </w:r>
            <w:r w:rsidRPr="0053423A">
              <w:rPr>
                <w:rFonts w:cs="Sylfaen"/>
                <w:sz w:val="20"/>
                <w:szCs w:val="20"/>
                <w:lang w:val="hy-AM"/>
              </w:rPr>
              <w:t>կընձեռի</w:t>
            </w:r>
            <w:r w:rsidRPr="0053423A">
              <w:rPr>
                <w:rFonts w:cs="Sylfaen"/>
                <w:sz w:val="20"/>
                <w:szCs w:val="20"/>
                <w:lang w:val="fr-FR"/>
              </w:rPr>
              <w:t xml:space="preserve"> </w:t>
            </w:r>
            <w:r w:rsidRPr="0053423A">
              <w:rPr>
                <w:rFonts w:cs="Sylfaen"/>
                <w:sz w:val="20"/>
                <w:szCs w:val="20"/>
                <w:lang w:val="hy-AM"/>
              </w:rPr>
              <w:t>ուսումնասիրելու ու համադրելու հայրենադարձության միջազգային</w:t>
            </w:r>
            <w:r w:rsidRPr="0053423A">
              <w:rPr>
                <w:rFonts w:cs="Sylfaen"/>
                <w:sz w:val="20"/>
                <w:szCs w:val="20"/>
                <w:lang w:val="fr-FR"/>
              </w:rPr>
              <w:t xml:space="preserve"> </w:t>
            </w:r>
            <w:r w:rsidRPr="0053423A">
              <w:rPr>
                <w:rFonts w:cs="Sylfaen"/>
                <w:sz w:val="20"/>
                <w:szCs w:val="20"/>
                <w:lang w:val="hy-AM"/>
              </w:rPr>
              <w:t>փորձը</w:t>
            </w:r>
            <w:r w:rsidRPr="0053423A">
              <w:rPr>
                <w:rFonts w:ascii="Calibri" w:hAnsi="Calibri" w:cs="Calibri"/>
                <w:sz w:val="20"/>
                <w:szCs w:val="20"/>
                <w:lang w:val="fr-FR"/>
              </w:rPr>
              <w:t> </w:t>
            </w:r>
            <w:r w:rsidRPr="0053423A">
              <w:rPr>
                <w:rFonts w:cs="Sylfaen"/>
                <w:sz w:val="20"/>
                <w:szCs w:val="20"/>
                <w:lang w:val="fr-FR"/>
              </w:rPr>
              <w:t xml:space="preserve"> (</w:t>
            </w:r>
            <w:r w:rsidRPr="0053423A">
              <w:rPr>
                <w:rFonts w:cs="Sylfaen"/>
                <w:sz w:val="20"/>
                <w:szCs w:val="20"/>
                <w:lang w:val="hy-AM"/>
              </w:rPr>
              <w:t>Իսրայել</w:t>
            </w:r>
            <w:r w:rsidRPr="0053423A">
              <w:rPr>
                <w:rFonts w:cs="Sylfaen"/>
                <w:sz w:val="20"/>
                <w:szCs w:val="20"/>
                <w:lang w:val="fr-FR"/>
              </w:rPr>
              <w:t xml:space="preserve">, </w:t>
            </w:r>
            <w:r w:rsidRPr="0053423A">
              <w:rPr>
                <w:rFonts w:cs="Sylfaen"/>
                <w:sz w:val="20"/>
                <w:szCs w:val="20"/>
                <w:lang w:val="hy-AM"/>
              </w:rPr>
              <w:t>Իռլանդիա</w:t>
            </w:r>
            <w:r w:rsidRPr="0053423A">
              <w:rPr>
                <w:rFonts w:cs="Sylfaen"/>
                <w:sz w:val="20"/>
                <w:szCs w:val="20"/>
                <w:lang w:val="fr-FR"/>
              </w:rPr>
              <w:t xml:space="preserve">, Լեհաստան, Չինաստան), </w:t>
            </w:r>
            <w:r w:rsidRPr="0053423A">
              <w:rPr>
                <w:rFonts w:cs="Sylfaen"/>
                <w:sz w:val="20"/>
                <w:szCs w:val="20"/>
                <w:lang w:val="hy-AM"/>
              </w:rPr>
              <w:t xml:space="preserve">քաղաքականության կիրառման այլ երկրների պետական ու մասնագիտական շրջանակների փաստարկված կարծիքները, խորհրդատվությունը, դիրքորոշումները, ստացված արդյունքները և հնարավոր հիմնախնդիրները: </w:t>
            </w:r>
          </w:p>
          <w:p w:rsidR="002B2CAB" w:rsidRPr="0053423A" w:rsidRDefault="002B2CAB" w:rsidP="00A67858">
            <w:pPr>
              <w:spacing w:line="276" w:lineRule="auto"/>
              <w:jc w:val="both"/>
              <w:rPr>
                <w:rFonts w:cs="Times New Roman"/>
                <w:color w:val="000000"/>
                <w:sz w:val="20"/>
                <w:szCs w:val="20"/>
                <w:lang w:val="hy-AM"/>
              </w:rPr>
            </w:pPr>
            <w:r w:rsidRPr="0053423A">
              <w:rPr>
                <w:rFonts w:cs="Arial Armenian"/>
                <w:sz w:val="20"/>
                <w:szCs w:val="20"/>
                <w:lang w:val="fr-FR"/>
              </w:rPr>
              <w:t>Միջազգային ֆորումի արդյունքները մեծապես կնպաստեն միջազգային</w:t>
            </w:r>
            <w:r w:rsidRPr="0053423A">
              <w:rPr>
                <w:rFonts w:cs="Sylfaen"/>
                <w:sz w:val="20"/>
                <w:szCs w:val="20"/>
                <w:lang w:val="it-IT"/>
              </w:rPr>
              <w:t xml:space="preserve"> փորձի կիրառմանը:</w:t>
            </w:r>
          </w:p>
        </w:tc>
      </w:tr>
      <w:tr w:rsidR="002B2CAB" w:rsidRPr="00DE2EFA" w:rsidTr="002B2CAB">
        <w:tc>
          <w:tcPr>
            <w:tcW w:w="540" w:type="dxa"/>
            <w:vMerge/>
          </w:tcPr>
          <w:p w:rsidR="002B2CAB" w:rsidRPr="0053423A" w:rsidRDefault="002B2CAB" w:rsidP="00A67858">
            <w:pPr>
              <w:spacing w:line="276" w:lineRule="auto"/>
              <w:jc w:val="center"/>
              <w:rPr>
                <w:rFonts w:cs="Times New Roman"/>
                <w:b/>
                <w:sz w:val="20"/>
                <w:szCs w:val="20"/>
                <w:lang w:val="hy-AM"/>
              </w:rPr>
            </w:pP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cs="Sylfaen"/>
                <w:b/>
                <w:sz w:val="20"/>
                <w:szCs w:val="20"/>
                <w:u w:val="single"/>
                <w:lang w:val="it-IT"/>
              </w:rPr>
              <w:t xml:space="preserve">1.4 </w:t>
            </w:r>
            <w:r w:rsidRPr="0053423A">
              <w:rPr>
                <w:rFonts w:cs="Sylfaen"/>
                <w:b/>
                <w:sz w:val="20"/>
                <w:szCs w:val="20"/>
                <w:u w:val="single"/>
                <w:lang w:val="hy-AM"/>
              </w:rPr>
              <w:t>«Հայրենադարձության</w:t>
            </w:r>
            <w:r w:rsidRPr="0053423A">
              <w:rPr>
                <w:rFonts w:cs="Sylfaen"/>
                <w:b/>
                <w:sz w:val="20"/>
                <w:szCs w:val="20"/>
                <w:u w:val="single"/>
                <w:lang w:val="it-IT"/>
              </w:rPr>
              <w:t xml:space="preserve">  </w:t>
            </w:r>
            <w:r w:rsidRPr="0053423A">
              <w:rPr>
                <w:rFonts w:cs="Sylfaen"/>
                <w:b/>
                <w:sz w:val="20"/>
                <w:szCs w:val="20"/>
                <w:u w:val="single"/>
                <w:lang w:val="hy-AM"/>
              </w:rPr>
              <w:t>ռազմավարությունը</w:t>
            </w:r>
            <w:r w:rsidRPr="0053423A">
              <w:rPr>
                <w:rFonts w:cs="Sylfaen"/>
                <w:b/>
                <w:sz w:val="20"/>
                <w:szCs w:val="20"/>
                <w:u w:val="single"/>
                <w:lang w:val="it-IT"/>
              </w:rPr>
              <w:t xml:space="preserve"> </w:t>
            </w:r>
            <w:r w:rsidRPr="0053423A">
              <w:rPr>
                <w:rFonts w:cs="Sylfaen"/>
                <w:b/>
                <w:sz w:val="20"/>
                <w:szCs w:val="20"/>
                <w:u w:val="single"/>
                <w:lang w:val="hy-AM"/>
              </w:rPr>
              <w:t>հաստատելու</w:t>
            </w:r>
            <w:r w:rsidRPr="0053423A">
              <w:rPr>
                <w:rFonts w:cs="Sylfaen"/>
                <w:b/>
                <w:sz w:val="20"/>
                <w:szCs w:val="20"/>
                <w:u w:val="single"/>
                <w:lang w:val="it-IT"/>
              </w:rPr>
              <w:t xml:space="preserve"> </w:t>
            </w:r>
            <w:r w:rsidRPr="0053423A">
              <w:rPr>
                <w:rFonts w:cs="Sylfaen"/>
                <w:b/>
                <w:sz w:val="20"/>
                <w:szCs w:val="20"/>
                <w:u w:val="single"/>
                <w:lang w:val="hy-AM"/>
              </w:rPr>
              <w:t>մասին</w:t>
            </w:r>
            <w:r w:rsidRPr="0053423A">
              <w:rPr>
                <w:rFonts w:cs="Sylfaen"/>
                <w:b/>
                <w:sz w:val="20"/>
                <w:szCs w:val="20"/>
                <w:u w:val="single"/>
                <w:lang w:val="it-IT"/>
              </w:rPr>
              <w:t xml:space="preserve">» </w:t>
            </w:r>
            <w:r w:rsidRPr="0053423A">
              <w:rPr>
                <w:rFonts w:cs="Sylfaen"/>
                <w:b/>
                <w:sz w:val="20"/>
                <w:szCs w:val="20"/>
                <w:u w:val="single"/>
                <w:lang w:val="hy-AM"/>
              </w:rPr>
              <w:t>կառավարության</w:t>
            </w:r>
            <w:r w:rsidRPr="0053423A">
              <w:rPr>
                <w:rFonts w:cs="Sylfaen"/>
                <w:b/>
                <w:sz w:val="20"/>
                <w:szCs w:val="20"/>
                <w:u w:val="single"/>
                <w:lang w:val="it-IT"/>
              </w:rPr>
              <w:t xml:space="preserve"> </w:t>
            </w:r>
            <w:r w:rsidRPr="0053423A">
              <w:rPr>
                <w:rFonts w:cs="Sylfaen"/>
                <w:b/>
                <w:sz w:val="20"/>
                <w:szCs w:val="20"/>
                <w:u w:val="single"/>
                <w:lang w:val="hy-AM"/>
              </w:rPr>
              <w:t>որոշման</w:t>
            </w:r>
            <w:r w:rsidRPr="0053423A">
              <w:rPr>
                <w:rFonts w:cs="Sylfaen"/>
                <w:b/>
                <w:sz w:val="20"/>
                <w:szCs w:val="20"/>
                <w:u w:val="single"/>
                <w:lang w:val="it-IT"/>
              </w:rPr>
              <w:t xml:space="preserve">  </w:t>
            </w:r>
            <w:r w:rsidRPr="0053423A">
              <w:rPr>
                <w:rFonts w:cs="Times New Roman"/>
                <w:b/>
                <w:bCs/>
                <w:sz w:val="20"/>
                <w:szCs w:val="20"/>
                <w:u w:val="single"/>
                <w:lang w:val="hy-AM" w:eastAsia="en-GB"/>
              </w:rPr>
              <w:t>նախագիծը ՀՀ վարչապետի աշխատակազմ ներկայացում</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sz w:val="20"/>
                <w:szCs w:val="20"/>
                <w:lang w:val="hy-AM"/>
              </w:rPr>
              <w:t xml:space="preserve">Անհրաժեշտությունը բխում է Սահմանադրության 19-րդ հոդվածի 1-ին մասի դրույթներից (ոլորտային նորմատիվ իրավական ակտեր չկան): Նպատակն է </w:t>
            </w:r>
            <w:r w:rsidRPr="0053423A">
              <w:rPr>
                <w:rFonts w:cs="Times New Roman"/>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b/>
                <w:sz w:val="20"/>
                <w:szCs w:val="20"/>
                <w:lang w:val="ro-RO"/>
              </w:rPr>
              <w:t xml:space="preserve"> </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ro-RO"/>
              </w:rPr>
              <w:t>1.1. 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Times New Roman"/>
                <w:sz w:val="20"/>
                <w:szCs w:val="20"/>
                <w:lang w:val="hy-AM"/>
              </w:rPr>
            </w:pPr>
            <w:r w:rsidRPr="0053423A">
              <w:rPr>
                <w:rFonts w:cs="Times New Roman"/>
                <w:sz w:val="20"/>
                <w:szCs w:val="20"/>
                <w:lang w:val="pt-BR"/>
              </w:rPr>
              <w:t>Հայրենադարձության</w:t>
            </w:r>
            <w:r w:rsidRPr="0053423A">
              <w:rPr>
                <w:rFonts w:cs="Sylfaen"/>
                <w:sz w:val="20"/>
                <w:szCs w:val="20"/>
                <w:lang w:val="hy-AM"/>
              </w:rPr>
              <w:t xml:space="preserve"> ռազմավարությամբ կսահմանվի պետական քաղաքականությունը, Հայաստան սփյուռք գործակցության խորացման, ամրապնդման և Մեծ հայրենադարձության միասնական քաղաքականության իրականացման համար: </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jc w:val="both"/>
              <w:rPr>
                <w:rFonts w:cs="Times New Roman"/>
                <w:sz w:val="20"/>
                <w:szCs w:val="20"/>
                <w:lang w:val="hy-AM"/>
              </w:rPr>
            </w:pPr>
            <w:r w:rsidRPr="0053423A">
              <w:rPr>
                <w:rFonts w:cs="Sylfaen"/>
                <w:sz w:val="20"/>
                <w:szCs w:val="20"/>
                <w:lang w:val="hy-AM"/>
              </w:rPr>
              <w:t xml:space="preserve">Նախագծի ընդունմամբ կկարգավորվի </w:t>
            </w:r>
            <w:r w:rsidRPr="0053423A">
              <w:rPr>
                <w:rFonts w:cs="Courier New"/>
                <w:sz w:val="20"/>
                <w:szCs w:val="20"/>
                <w:lang w:val="hy-AM"/>
              </w:rPr>
              <w:t>հայրենադարձության</w:t>
            </w:r>
            <w:r w:rsidRPr="0053423A">
              <w:rPr>
                <w:rFonts w:cs="Courier New"/>
                <w:sz w:val="20"/>
                <w:szCs w:val="20"/>
                <w:lang w:val="pt-BR"/>
              </w:rPr>
              <w:t xml:space="preserve"> </w:t>
            </w:r>
            <w:r w:rsidRPr="0053423A">
              <w:rPr>
                <w:rFonts w:cs="Times New Roman"/>
                <w:sz w:val="20"/>
                <w:szCs w:val="20"/>
                <w:lang w:val="hy-AM"/>
              </w:rPr>
              <w:t>գործընթացի</w:t>
            </w:r>
            <w:r w:rsidRPr="0053423A">
              <w:rPr>
                <w:rFonts w:cs="Times New Roman"/>
                <w:sz w:val="20"/>
                <w:szCs w:val="20"/>
                <w:lang w:val="ro-RO"/>
              </w:rPr>
              <w:t xml:space="preserve"> </w:t>
            </w:r>
            <w:r w:rsidRPr="0053423A">
              <w:rPr>
                <w:rFonts w:cs="Times New Roman"/>
                <w:sz w:val="20"/>
                <w:szCs w:val="20"/>
                <w:lang w:val="hy-AM"/>
              </w:rPr>
              <w:t>իրականացման</w:t>
            </w:r>
            <w:r w:rsidRPr="0053423A">
              <w:rPr>
                <w:rFonts w:cs="Times New Roman"/>
                <w:sz w:val="20"/>
                <w:szCs w:val="20"/>
                <w:lang w:val="ro-RO"/>
              </w:rPr>
              <w:t xml:space="preserve"> </w:t>
            </w:r>
            <w:r w:rsidRPr="0053423A">
              <w:rPr>
                <w:rFonts w:cs="Times New Roman"/>
                <w:sz w:val="20"/>
                <w:szCs w:val="20"/>
                <w:lang w:val="hy-AM"/>
              </w:rPr>
              <w:t>հետ</w:t>
            </w:r>
            <w:r w:rsidRPr="0053423A">
              <w:rPr>
                <w:rFonts w:cs="Times New Roman"/>
                <w:sz w:val="20"/>
                <w:szCs w:val="20"/>
                <w:lang w:val="ro-RO"/>
              </w:rPr>
              <w:t xml:space="preserve"> </w:t>
            </w:r>
            <w:r w:rsidRPr="0053423A">
              <w:rPr>
                <w:rFonts w:cs="Times New Roman"/>
                <w:sz w:val="20"/>
                <w:szCs w:val="20"/>
                <w:lang w:val="hy-AM"/>
              </w:rPr>
              <w:t>կապված</w:t>
            </w:r>
            <w:r w:rsidRPr="0053423A">
              <w:rPr>
                <w:rFonts w:cs="Times New Roman"/>
                <w:sz w:val="20"/>
                <w:szCs w:val="20"/>
                <w:lang w:val="ro-RO"/>
              </w:rPr>
              <w:t xml:space="preserve"> </w:t>
            </w:r>
            <w:r w:rsidRPr="0053423A">
              <w:rPr>
                <w:rFonts w:cs="Times New Roman"/>
                <w:sz w:val="20"/>
                <w:szCs w:val="20"/>
                <w:lang w:val="hy-AM"/>
              </w:rPr>
              <w:t>իրավահարաբերությունները և դրանցից բխող նոր ծրագրերի մշակումը և միջոցառումները:</w:t>
            </w:r>
          </w:p>
          <w:p w:rsidR="002B2CAB" w:rsidRPr="0053423A" w:rsidRDefault="002B2CAB" w:rsidP="00A67858">
            <w:pPr>
              <w:spacing w:line="276" w:lineRule="auto"/>
              <w:jc w:val="both"/>
              <w:rPr>
                <w:rFonts w:cs="Times New Roman"/>
                <w:sz w:val="20"/>
                <w:szCs w:val="20"/>
                <w:lang w:val="hy-AM"/>
              </w:rPr>
            </w:pP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hd w:val="clear" w:color="auto" w:fill="FFFFFF"/>
              <w:spacing w:line="276" w:lineRule="auto"/>
              <w:jc w:val="both"/>
              <w:rPr>
                <w:rFonts w:eastAsia="Calibri" w:cs="Times New Roman"/>
                <w:b/>
                <w:color w:val="000000"/>
                <w:sz w:val="20"/>
                <w:szCs w:val="20"/>
                <w:lang w:val="hy-AM"/>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spacing w:line="276" w:lineRule="auto"/>
              <w:jc w:val="both"/>
              <w:rPr>
                <w:rFonts w:cs="Sylfaen"/>
                <w:sz w:val="20"/>
                <w:szCs w:val="20"/>
                <w:lang w:val="ro-RO"/>
              </w:rPr>
            </w:pPr>
            <w:r w:rsidRPr="0053423A">
              <w:rPr>
                <w:rFonts w:cs="Sylfaen"/>
                <w:sz w:val="20"/>
                <w:szCs w:val="20"/>
                <w:lang w:val="ro-RO"/>
              </w:rPr>
              <w:t>Ռազմավարության մշակումն ու ընդունումը կնպաստի հայրենադարձության  գործընթացի կազմակերպման հայեցակարգային դրույթների, ժամկետների, արդյունքների, ծրագրերի առաջադրմանը, իսկ հայրենադարձության</w:t>
            </w:r>
            <w:r w:rsidRPr="0053423A">
              <w:rPr>
                <w:rFonts w:cs="Times New Roman"/>
                <w:sz w:val="20"/>
                <w:szCs w:val="20"/>
                <w:lang w:val="ro-RO"/>
              </w:rPr>
              <w:t xml:space="preserve"> </w:t>
            </w:r>
            <w:r w:rsidRPr="0053423A">
              <w:rPr>
                <w:rFonts w:cs="Sylfaen"/>
                <w:sz w:val="20"/>
                <w:szCs w:val="20"/>
                <w:lang w:val="ro-RO"/>
              </w:rPr>
              <w:t xml:space="preserve">խթանումը հնարավորություն կտա լուծելու </w:t>
            </w:r>
            <w:r w:rsidRPr="0053423A">
              <w:rPr>
                <w:rFonts w:cs="Times New Roman"/>
                <w:sz w:val="20"/>
                <w:szCs w:val="20"/>
                <w:lang w:val="ro-RO"/>
              </w:rPr>
              <w:t xml:space="preserve"> կարևոր հիմնախնդիրներ՝  ՀՀ </w:t>
            </w:r>
            <w:r w:rsidRPr="0053423A">
              <w:rPr>
                <w:rFonts w:cs="Sylfaen"/>
                <w:sz w:val="20"/>
                <w:szCs w:val="20"/>
                <w:lang w:val="ro-RO"/>
              </w:rPr>
              <w:t>ժողովրդագրական, պաշտպանական, տնտեսական</w:t>
            </w:r>
            <w:r w:rsidRPr="0053423A">
              <w:rPr>
                <w:rFonts w:cs="Times New Roman"/>
                <w:sz w:val="20"/>
                <w:szCs w:val="20"/>
                <w:lang w:val="ro-RO"/>
              </w:rPr>
              <w:t xml:space="preserve"> </w:t>
            </w:r>
            <w:r w:rsidRPr="0053423A">
              <w:rPr>
                <w:rFonts w:cs="Sylfaen"/>
                <w:sz w:val="20"/>
                <w:szCs w:val="20"/>
                <w:lang w:val="ro-RO"/>
              </w:rPr>
              <w:t xml:space="preserve">իրավիճակի </w:t>
            </w:r>
            <w:r w:rsidRPr="0053423A">
              <w:rPr>
                <w:rFonts w:cs="Times New Roman"/>
                <w:sz w:val="20"/>
                <w:szCs w:val="20"/>
                <w:lang w:val="ro-RO"/>
              </w:rPr>
              <w:t xml:space="preserve"> </w:t>
            </w:r>
            <w:r w:rsidRPr="0053423A">
              <w:rPr>
                <w:rFonts w:cs="Sylfaen"/>
                <w:sz w:val="20"/>
                <w:szCs w:val="20"/>
                <w:lang w:val="ro-RO"/>
              </w:rPr>
              <w:t>բարելավումը, ինչպես նաև սոցիալական</w:t>
            </w:r>
            <w:r w:rsidRPr="0053423A">
              <w:rPr>
                <w:rFonts w:cs="Times New Roman"/>
                <w:sz w:val="20"/>
                <w:szCs w:val="20"/>
                <w:lang w:val="ro-RO"/>
              </w:rPr>
              <w:t xml:space="preserve">, </w:t>
            </w:r>
            <w:r w:rsidRPr="0053423A">
              <w:rPr>
                <w:rFonts w:cs="Sylfaen"/>
                <w:sz w:val="20"/>
                <w:szCs w:val="20"/>
                <w:lang w:val="ro-RO"/>
              </w:rPr>
              <w:t>կրթական</w:t>
            </w:r>
            <w:r w:rsidRPr="0053423A">
              <w:rPr>
                <w:rFonts w:cs="Times New Roman"/>
                <w:sz w:val="20"/>
                <w:szCs w:val="20"/>
                <w:lang w:val="ro-RO"/>
              </w:rPr>
              <w:t xml:space="preserve"> </w:t>
            </w:r>
            <w:r w:rsidRPr="0053423A">
              <w:rPr>
                <w:rFonts w:cs="Sylfaen"/>
                <w:sz w:val="20"/>
                <w:szCs w:val="20"/>
                <w:lang w:val="ro-RO"/>
              </w:rPr>
              <w:t>և</w:t>
            </w:r>
            <w:r w:rsidRPr="0053423A">
              <w:rPr>
                <w:rFonts w:cs="Times New Roman"/>
                <w:sz w:val="20"/>
                <w:szCs w:val="20"/>
                <w:lang w:val="ro-RO"/>
              </w:rPr>
              <w:t xml:space="preserve"> </w:t>
            </w:r>
            <w:r w:rsidRPr="0053423A">
              <w:rPr>
                <w:rFonts w:cs="Sylfaen"/>
                <w:sz w:val="20"/>
                <w:szCs w:val="20"/>
                <w:lang w:val="ro-RO"/>
              </w:rPr>
              <w:t>մշակութային</w:t>
            </w:r>
            <w:r w:rsidRPr="0053423A">
              <w:rPr>
                <w:rFonts w:cs="Times New Roman"/>
                <w:sz w:val="20"/>
                <w:szCs w:val="20"/>
                <w:lang w:val="ro-RO"/>
              </w:rPr>
              <w:t xml:space="preserve"> </w:t>
            </w:r>
            <w:r w:rsidRPr="0053423A">
              <w:rPr>
                <w:rFonts w:cs="Sylfaen"/>
                <w:sz w:val="20"/>
                <w:szCs w:val="20"/>
                <w:lang w:val="ro-RO"/>
              </w:rPr>
              <w:t>պայմանների</w:t>
            </w:r>
            <w:r w:rsidRPr="0053423A">
              <w:rPr>
                <w:rFonts w:cs="Times New Roman"/>
                <w:sz w:val="20"/>
                <w:szCs w:val="20"/>
                <w:lang w:val="ro-RO"/>
              </w:rPr>
              <w:t xml:space="preserve"> </w:t>
            </w:r>
            <w:r w:rsidRPr="0053423A">
              <w:rPr>
                <w:rFonts w:cs="Sylfaen"/>
                <w:sz w:val="20"/>
                <w:szCs w:val="20"/>
                <w:lang w:val="ro-RO"/>
              </w:rPr>
              <w:t>ու</w:t>
            </w:r>
            <w:r w:rsidRPr="0053423A">
              <w:rPr>
                <w:rFonts w:cs="Times New Roman"/>
                <w:sz w:val="20"/>
                <w:szCs w:val="20"/>
                <w:lang w:val="ro-RO"/>
              </w:rPr>
              <w:t xml:space="preserve"> </w:t>
            </w:r>
            <w:r w:rsidRPr="0053423A">
              <w:rPr>
                <w:rFonts w:cs="Sylfaen"/>
                <w:sz w:val="20"/>
                <w:szCs w:val="20"/>
                <w:lang w:val="ro-RO"/>
              </w:rPr>
              <w:t>երաշխիքների ձևավորումը սփյուռքահայության համար,  նրանց ներուժի ներգրավումը հայրենաշինության գործում</w:t>
            </w:r>
          </w:p>
          <w:p w:rsidR="002B2CAB" w:rsidRPr="0053423A" w:rsidRDefault="002B2CAB" w:rsidP="00A67858">
            <w:pPr>
              <w:spacing w:line="276" w:lineRule="auto"/>
              <w:jc w:val="both"/>
              <w:rPr>
                <w:rFonts w:cs="Sylfaen"/>
                <w:sz w:val="20"/>
                <w:szCs w:val="20"/>
                <w:lang w:val="hy-AM"/>
              </w:rPr>
            </w:pPr>
          </w:p>
        </w:tc>
      </w:tr>
      <w:tr w:rsidR="002B2CAB" w:rsidRPr="00DE2EFA" w:rsidTr="002B2CAB">
        <w:tc>
          <w:tcPr>
            <w:tcW w:w="540" w:type="dxa"/>
            <w:vMerge/>
          </w:tcPr>
          <w:p w:rsidR="002B2CAB" w:rsidRPr="0053423A" w:rsidRDefault="002B2CAB" w:rsidP="00A67858">
            <w:pPr>
              <w:spacing w:line="276" w:lineRule="auto"/>
              <w:jc w:val="center"/>
              <w:rPr>
                <w:rFonts w:cs="Times New Roman"/>
                <w:b/>
                <w:sz w:val="20"/>
                <w:szCs w:val="20"/>
                <w:lang w:val="hy-AM"/>
              </w:rPr>
            </w:pP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cs="Times New Roman"/>
                <w:b/>
                <w:sz w:val="20"/>
                <w:szCs w:val="20"/>
                <w:u w:val="single"/>
                <w:lang w:val="ro-RO"/>
              </w:rPr>
              <w:t xml:space="preserve">1.5 </w:t>
            </w:r>
            <w:r w:rsidRPr="0053423A">
              <w:rPr>
                <w:rFonts w:cs="Times New Roman"/>
                <w:b/>
                <w:sz w:val="20"/>
                <w:szCs w:val="20"/>
                <w:u w:val="single"/>
                <w:lang w:val="hy-AM"/>
              </w:rPr>
              <w:t>Հայրենադարձների</w:t>
            </w:r>
            <w:r w:rsidRPr="0053423A">
              <w:rPr>
                <w:rFonts w:cs="Times New Roman"/>
                <w:b/>
                <w:sz w:val="20"/>
                <w:szCs w:val="20"/>
                <w:u w:val="single"/>
                <w:lang w:val="ro-RO"/>
              </w:rPr>
              <w:t xml:space="preserve"> </w:t>
            </w:r>
            <w:r w:rsidRPr="0053423A">
              <w:rPr>
                <w:rFonts w:cs="Times New Roman"/>
                <w:b/>
                <w:sz w:val="20"/>
                <w:szCs w:val="20"/>
                <w:u w:val="single"/>
                <w:lang w:val="hy-AM"/>
              </w:rPr>
              <w:t>ինտեգրման</w:t>
            </w:r>
            <w:r w:rsidRPr="0053423A">
              <w:rPr>
                <w:rFonts w:cs="Times New Roman"/>
                <w:b/>
                <w:sz w:val="20"/>
                <w:szCs w:val="20"/>
                <w:u w:val="single"/>
                <w:lang w:val="ro-RO"/>
              </w:rPr>
              <w:t xml:space="preserve"> </w:t>
            </w:r>
            <w:r w:rsidRPr="0053423A">
              <w:rPr>
                <w:rFonts w:cs="Times New Roman"/>
                <w:b/>
                <w:sz w:val="20"/>
                <w:szCs w:val="20"/>
                <w:u w:val="single"/>
                <w:lang w:val="hy-AM"/>
              </w:rPr>
              <w:t>ու</w:t>
            </w:r>
            <w:r w:rsidRPr="0053423A">
              <w:rPr>
                <w:rFonts w:cs="Times New Roman"/>
                <w:b/>
                <w:sz w:val="20"/>
                <w:szCs w:val="20"/>
                <w:u w:val="single"/>
                <w:lang w:val="ro-RO"/>
              </w:rPr>
              <w:t xml:space="preserve"> </w:t>
            </w:r>
            <w:r w:rsidRPr="0053423A">
              <w:rPr>
                <w:rFonts w:cs="Times New Roman"/>
                <w:b/>
                <w:sz w:val="20"/>
                <w:szCs w:val="20"/>
                <w:u w:val="single"/>
                <w:lang w:val="hy-AM"/>
              </w:rPr>
              <w:t>ադապտացման</w:t>
            </w:r>
            <w:r w:rsidRPr="0053423A">
              <w:rPr>
                <w:rFonts w:cs="Times New Roman"/>
                <w:b/>
                <w:sz w:val="20"/>
                <w:szCs w:val="20"/>
                <w:u w:val="single"/>
                <w:lang w:val="ro-RO"/>
              </w:rPr>
              <w:t xml:space="preserve"> </w:t>
            </w:r>
            <w:r w:rsidRPr="0053423A">
              <w:rPr>
                <w:rFonts w:cs="Times New Roman"/>
                <w:b/>
                <w:sz w:val="20"/>
                <w:szCs w:val="20"/>
                <w:u w:val="single"/>
                <w:lang w:val="hy-AM"/>
              </w:rPr>
              <w:t>ծրագրերի</w:t>
            </w:r>
            <w:r w:rsidRPr="0053423A">
              <w:rPr>
                <w:rFonts w:cs="Times New Roman"/>
                <w:b/>
                <w:sz w:val="20"/>
                <w:szCs w:val="20"/>
                <w:u w:val="single"/>
                <w:lang w:val="ro-RO"/>
              </w:rPr>
              <w:t xml:space="preserve"> </w:t>
            </w:r>
            <w:r w:rsidRPr="0053423A">
              <w:rPr>
                <w:rFonts w:cs="Times New Roman"/>
                <w:b/>
                <w:sz w:val="20"/>
                <w:szCs w:val="20"/>
                <w:u w:val="single"/>
                <w:lang w:val="hy-AM"/>
              </w:rPr>
              <w:t>մշակում</w:t>
            </w:r>
            <w:r w:rsidRPr="0053423A">
              <w:rPr>
                <w:rFonts w:cs="Times New Roman"/>
                <w:b/>
                <w:sz w:val="20"/>
                <w:szCs w:val="20"/>
                <w:u w:val="single"/>
                <w:lang w:val="ro-RO"/>
              </w:rPr>
              <w:t xml:space="preserve"> </w:t>
            </w:r>
            <w:r w:rsidRPr="0053423A">
              <w:rPr>
                <w:rFonts w:cs="Times New Roman"/>
                <w:b/>
                <w:sz w:val="20"/>
                <w:szCs w:val="20"/>
                <w:u w:val="single"/>
                <w:lang w:val="hy-AM"/>
              </w:rPr>
              <w:t>և</w:t>
            </w:r>
            <w:r w:rsidRPr="0053423A">
              <w:rPr>
                <w:rFonts w:cs="Times New Roman"/>
                <w:b/>
                <w:sz w:val="20"/>
                <w:szCs w:val="20"/>
                <w:u w:val="single"/>
                <w:lang w:val="ro-RO"/>
              </w:rPr>
              <w:t xml:space="preserve">  </w:t>
            </w:r>
            <w:r w:rsidRPr="0053423A">
              <w:rPr>
                <w:rFonts w:cs="Times New Roman"/>
                <w:b/>
                <w:sz w:val="20"/>
                <w:szCs w:val="20"/>
                <w:u w:val="single"/>
                <w:lang w:val="hy-AM"/>
              </w:rPr>
              <w:t>իրականացում</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i/>
                <w:sz w:val="20"/>
                <w:szCs w:val="20"/>
                <w:lang w:val="hy-AM"/>
              </w:rPr>
              <w:t xml:space="preserve">Նպատակն է </w:t>
            </w:r>
            <w:r w:rsidRPr="0053423A">
              <w:rPr>
                <w:rFonts w:cs="Times New Roman"/>
                <w:i/>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color w:val="000000"/>
                <w:sz w:val="20"/>
                <w:szCs w:val="20"/>
                <w:shd w:val="clear" w:color="auto" w:fill="FFFFFF"/>
                <w:lang w:val="hy-AM"/>
              </w:rPr>
              <w:t>:</w:t>
            </w:r>
            <w:r w:rsidRPr="0053423A">
              <w:rPr>
                <w:rFonts w:cs="Times New Roman"/>
                <w:b/>
                <w:sz w:val="20"/>
                <w:szCs w:val="20"/>
                <w:lang w:val="ro-RO"/>
              </w:rPr>
              <w:t xml:space="preserve"> </w:t>
            </w:r>
          </w:p>
          <w:p w:rsidR="002B2CAB" w:rsidRPr="0053423A" w:rsidRDefault="002B2CAB" w:rsidP="001F6D5D">
            <w:pPr>
              <w:numPr>
                <w:ilvl w:val="1"/>
                <w:numId w:val="304"/>
              </w:numPr>
              <w:spacing w:line="276" w:lineRule="auto"/>
              <w:contextualSpacing/>
              <w:jc w:val="both"/>
              <w:rPr>
                <w:rFonts w:cs="Times New Roman"/>
                <w:b/>
                <w:sz w:val="20"/>
                <w:szCs w:val="20"/>
                <w:lang w:val="hy-AM"/>
              </w:rPr>
            </w:pPr>
            <w:r w:rsidRPr="0053423A">
              <w:rPr>
                <w:rFonts w:cs="Times New Roman"/>
                <w:b/>
                <w:sz w:val="20"/>
                <w:szCs w:val="20"/>
                <w:lang w:val="ro-RO"/>
              </w:rPr>
              <w:t>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tabs>
                <w:tab w:val="left" w:pos="1050"/>
              </w:tabs>
              <w:spacing w:line="276" w:lineRule="auto"/>
              <w:jc w:val="both"/>
              <w:rPr>
                <w:rFonts w:cs="ArianAMU"/>
                <w:sz w:val="20"/>
                <w:szCs w:val="20"/>
                <w:lang w:val="fr-FR"/>
              </w:rPr>
            </w:pPr>
            <w:r w:rsidRPr="0053423A">
              <w:rPr>
                <w:rFonts w:cs="Times New Roman"/>
                <w:sz w:val="20"/>
                <w:szCs w:val="20"/>
                <w:lang w:val="hy-AM"/>
              </w:rPr>
              <w:t>Հայրենադարձների</w:t>
            </w:r>
            <w:r w:rsidRPr="0053423A">
              <w:rPr>
                <w:rFonts w:cs="Times New Roman"/>
                <w:sz w:val="20"/>
                <w:szCs w:val="20"/>
                <w:lang w:val="ro-RO"/>
              </w:rPr>
              <w:t xml:space="preserve"> </w:t>
            </w:r>
            <w:r w:rsidRPr="0053423A">
              <w:rPr>
                <w:rFonts w:cs="Times New Roman"/>
                <w:sz w:val="20"/>
                <w:szCs w:val="20"/>
                <w:lang w:val="hy-AM"/>
              </w:rPr>
              <w:t>ինտեգրման</w:t>
            </w:r>
            <w:r w:rsidRPr="0053423A">
              <w:rPr>
                <w:rFonts w:cs="Times New Roman"/>
                <w:sz w:val="20"/>
                <w:szCs w:val="20"/>
                <w:lang w:val="ro-RO"/>
              </w:rPr>
              <w:t xml:space="preserve"> </w:t>
            </w:r>
            <w:r w:rsidRPr="0053423A">
              <w:rPr>
                <w:rFonts w:cs="Times New Roman"/>
                <w:sz w:val="20"/>
                <w:szCs w:val="20"/>
                <w:lang w:val="hy-AM"/>
              </w:rPr>
              <w:t>ու</w:t>
            </w:r>
            <w:r w:rsidRPr="0053423A">
              <w:rPr>
                <w:rFonts w:cs="Times New Roman"/>
                <w:sz w:val="20"/>
                <w:szCs w:val="20"/>
                <w:lang w:val="ro-RO"/>
              </w:rPr>
              <w:t xml:space="preserve"> </w:t>
            </w:r>
            <w:r w:rsidRPr="0053423A">
              <w:rPr>
                <w:rFonts w:cs="Times New Roman"/>
                <w:sz w:val="20"/>
                <w:szCs w:val="20"/>
                <w:lang w:val="hy-AM"/>
              </w:rPr>
              <w:t>ադապտացման</w:t>
            </w:r>
            <w:r w:rsidRPr="0053423A">
              <w:rPr>
                <w:rFonts w:cs="Times New Roman"/>
                <w:sz w:val="20"/>
                <w:szCs w:val="20"/>
                <w:lang w:val="ro-RO"/>
              </w:rPr>
              <w:t xml:space="preserve"> </w:t>
            </w:r>
            <w:r w:rsidRPr="0053423A">
              <w:rPr>
                <w:rFonts w:cs="ArianAMU"/>
                <w:sz w:val="20"/>
                <w:szCs w:val="20"/>
                <w:lang w:val="pt-BR"/>
              </w:rPr>
              <w:t>վերաբերյալ մշակվող միջոցառումների և գործողությունների փուլային ծրագրերը միտված են կրթամշակութային, սոցիալ-տնտեսական, իրավական ոլորտներում ակնկալվող արդյունքների բարելավմանը:</w:t>
            </w:r>
            <w:r w:rsidRPr="0053423A">
              <w:rPr>
                <w:rFonts w:cs="Times New Roman"/>
                <w:sz w:val="20"/>
                <w:szCs w:val="20"/>
                <w:lang w:val="fr-FR"/>
              </w:rPr>
              <w:t xml:space="preserve"> </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jc w:val="both"/>
              <w:rPr>
                <w:rFonts w:cs="Times New Roman"/>
                <w:b/>
                <w:sz w:val="20"/>
                <w:szCs w:val="20"/>
                <w:lang w:val="hy-AM"/>
              </w:rPr>
            </w:pPr>
            <w:r w:rsidRPr="0053423A">
              <w:rPr>
                <w:rFonts w:cs="Times New Roman"/>
                <w:color w:val="000000"/>
                <w:sz w:val="20"/>
                <w:szCs w:val="20"/>
                <w:lang w:val="hy-AM"/>
              </w:rPr>
              <w:t>Նպատակաուղղված</w:t>
            </w:r>
            <w:r w:rsidRPr="0053423A">
              <w:rPr>
                <w:rFonts w:cs="Times New Roman"/>
                <w:color w:val="000000"/>
                <w:sz w:val="20"/>
                <w:szCs w:val="20"/>
                <w:lang w:val="pt-BR"/>
              </w:rPr>
              <w:t xml:space="preserve"> են </w:t>
            </w:r>
            <w:r w:rsidRPr="0053423A">
              <w:rPr>
                <w:rFonts w:cs="Times New Roman"/>
                <w:color w:val="000000"/>
                <w:sz w:val="20"/>
                <w:szCs w:val="20"/>
                <w:lang w:val="hy-AM"/>
              </w:rPr>
              <w:t>իրավական</w:t>
            </w:r>
            <w:r w:rsidRPr="0053423A">
              <w:rPr>
                <w:rFonts w:cs="Times New Roman"/>
                <w:color w:val="000000"/>
                <w:sz w:val="20"/>
                <w:szCs w:val="20"/>
                <w:lang w:val="pt-BR"/>
              </w:rPr>
              <w:t xml:space="preserve">, </w:t>
            </w:r>
            <w:r w:rsidRPr="0053423A">
              <w:rPr>
                <w:rFonts w:cs="Times New Roman"/>
                <w:color w:val="000000"/>
                <w:sz w:val="20"/>
                <w:szCs w:val="20"/>
                <w:lang w:val="hy-AM"/>
              </w:rPr>
              <w:t>ֆինանսական</w:t>
            </w:r>
            <w:r w:rsidRPr="0053423A">
              <w:rPr>
                <w:rFonts w:cs="Times New Roman"/>
                <w:color w:val="000000"/>
                <w:sz w:val="20"/>
                <w:szCs w:val="20"/>
                <w:lang w:val="pt-BR"/>
              </w:rPr>
              <w:t xml:space="preserve"> </w:t>
            </w:r>
            <w:r w:rsidRPr="0053423A">
              <w:rPr>
                <w:rFonts w:cs="Times New Roman"/>
                <w:color w:val="000000"/>
                <w:sz w:val="20"/>
                <w:szCs w:val="20"/>
                <w:lang w:val="hy-AM"/>
              </w:rPr>
              <w:t>և</w:t>
            </w:r>
            <w:r w:rsidRPr="0053423A">
              <w:rPr>
                <w:rFonts w:cs="Times New Roman"/>
                <w:color w:val="000000"/>
                <w:sz w:val="20"/>
                <w:szCs w:val="20"/>
                <w:lang w:val="pt-BR"/>
              </w:rPr>
              <w:t xml:space="preserve"> </w:t>
            </w:r>
            <w:r w:rsidRPr="0053423A">
              <w:rPr>
                <w:rFonts w:cs="Times New Roman"/>
                <w:color w:val="000000"/>
                <w:sz w:val="20"/>
                <w:szCs w:val="20"/>
                <w:lang w:val="hy-AM"/>
              </w:rPr>
              <w:t>կազմակերպչական</w:t>
            </w:r>
            <w:r w:rsidRPr="0053423A">
              <w:rPr>
                <w:rFonts w:cs="Times New Roman"/>
                <w:color w:val="000000"/>
                <w:sz w:val="20"/>
                <w:szCs w:val="20"/>
                <w:lang w:val="pt-BR"/>
              </w:rPr>
              <w:t xml:space="preserve"> </w:t>
            </w:r>
            <w:r w:rsidRPr="0053423A">
              <w:rPr>
                <w:rFonts w:cs="Times New Roman"/>
                <w:color w:val="000000"/>
                <w:sz w:val="20"/>
                <w:szCs w:val="20"/>
                <w:lang w:val="hy-AM"/>
              </w:rPr>
              <w:t>համապատասխան</w:t>
            </w:r>
            <w:r w:rsidRPr="0053423A">
              <w:rPr>
                <w:rFonts w:cs="Times New Roman"/>
                <w:color w:val="000000"/>
                <w:sz w:val="20"/>
                <w:szCs w:val="20"/>
                <w:lang w:val="pt-BR"/>
              </w:rPr>
              <w:t xml:space="preserve"> </w:t>
            </w:r>
            <w:r w:rsidRPr="0053423A">
              <w:rPr>
                <w:rFonts w:cs="Times New Roman"/>
                <w:color w:val="000000"/>
                <w:sz w:val="20"/>
                <w:szCs w:val="20"/>
                <w:lang w:val="hy-AM"/>
              </w:rPr>
              <w:t>գործիքակազմի</w:t>
            </w:r>
            <w:r w:rsidRPr="0053423A">
              <w:rPr>
                <w:rFonts w:cs="Times New Roman"/>
                <w:color w:val="000000"/>
                <w:sz w:val="20"/>
                <w:szCs w:val="20"/>
                <w:lang w:val="pt-BR"/>
              </w:rPr>
              <w:t xml:space="preserve"> </w:t>
            </w:r>
            <w:r w:rsidRPr="0053423A">
              <w:rPr>
                <w:rFonts w:cs="Times New Roman"/>
                <w:color w:val="000000"/>
                <w:sz w:val="20"/>
                <w:szCs w:val="20"/>
                <w:lang w:val="hy-AM"/>
              </w:rPr>
              <w:t>ներդրման</w:t>
            </w:r>
            <w:r w:rsidRPr="0053423A">
              <w:rPr>
                <w:rFonts w:cs="Times New Roman"/>
                <w:color w:val="000000"/>
                <w:sz w:val="20"/>
                <w:szCs w:val="20"/>
                <w:lang w:val="pt-BR"/>
              </w:rPr>
              <w:t xml:space="preserve"> </w:t>
            </w:r>
            <w:r w:rsidRPr="0053423A">
              <w:rPr>
                <w:rFonts w:cs="Times New Roman"/>
                <w:color w:val="000000"/>
                <w:sz w:val="20"/>
                <w:szCs w:val="20"/>
                <w:lang w:val="hy-AM"/>
              </w:rPr>
              <w:t>միջոցով</w:t>
            </w:r>
            <w:r w:rsidRPr="0053423A">
              <w:rPr>
                <w:rFonts w:cs="Times New Roman"/>
                <w:color w:val="000000"/>
                <w:sz w:val="20"/>
                <w:szCs w:val="20"/>
                <w:lang w:val="pt-BR"/>
              </w:rPr>
              <w:t xml:space="preserve"> </w:t>
            </w:r>
            <w:r w:rsidRPr="0053423A">
              <w:rPr>
                <w:rFonts w:cs="Times New Roman"/>
                <w:color w:val="000000"/>
                <w:sz w:val="20"/>
                <w:szCs w:val="20"/>
                <w:lang w:val="hy-AM"/>
              </w:rPr>
              <w:t>հայրենադարձված</w:t>
            </w:r>
            <w:r w:rsidRPr="0053423A">
              <w:rPr>
                <w:rFonts w:cs="Times New Roman"/>
                <w:color w:val="000000"/>
                <w:sz w:val="20"/>
                <w:szCs w:val="20"/>
                <w:lang w:val="pt-BR"/>
              </w:rPr>
              <w:t xml:space="preserve">, </w:t>
            </w:r>
            <w:r w:rsidRPr="0053423A">
              <w:rPr>
                <w:rFonts w:cs="Times New Roman"/>
                <w:color w:val="000000"/>
                <w:sz w:val="20"/>
                <w:szCs w:val="20"/>
                <w:lang w:val="hy-AM"/>
              </w:rPr>
              <w:t>հայրենադարձվելու</w:t>
            </w:r>
            <w:r w:rsidRPr="0053423A">
              <w:rPr>
                <w:rFonts w:cs="Times New Roman"/>
                <w:color w:val="000000"/>
                <w:sz w:val="20"/>
                <w:szCs w:val="20"/>
                <w:lang w:val="pt-BR"/>
              </w:rPr>
              <w:t xml:space="preserve"> </w:t>
            </w:r>
            <w:r w:rsidRPr="0053423A">
              <w:rPr>
                <w:rFonts w:cs="Times New Roman"/>
                <w:color w:val="000000"/>
                <w:sz w:val="20"/>
                <w:szCs w:val="20"/>
                <w:lang w:val="hy-AM"/>
              </w:rPr>
              <w:t>ցանկություն</w:t>
            </w:r>
            <w:r w:rsidRPr="0053423A">
              <w:rPr>
                <w:rFonts w:cs="Times New Roman"/>
                <w:color w:val="000000"/>
                <w:sz w:val="20"/>
                <w:szCs w:val="20"/>
                <w:lang w:val="pt-BR"/>
              </w:rPr>
              <w:t xml:space="preserve"> </w:t>
            </w:r>
            <w:r w:rsidRPr="0053423A">
              <w:rPr>
                <w:rFonts w:cs="Times New Roman"/>
                <w:color w:val="000000"/>
                <w:sz w:val="20"/>
                <w:szCs w:val="20"/>
                <w:lang w:val="hy-AM"/>
              </w:rPr>
              <w:t>հայտնած</w:t>
            </w:r>
            <w:r w:rsidRPr="0053423A">
              <w:rPr>
                <w:rFonts w:cs="Times New Roman"/>
                <w:color w:val="000000"/>
                <w:sz w:val="20"/>
                <w:szCs w:val="20"/>
                <w:lang w:val="pt-BR"/>
              </w:rPr>
              <w:t xml:space="preserve"> </w:t>
            </w:r>
            <w:r w:rsidRPr="0053423A">
              <w:rPr>
                <w:rFonts w:cs="Times New Roman"/>
                <w:color w:val="000000"/>
                <w:sz w:val="20"/>
                <w:szCs w:val="20"/>
                <w:lang w:val="hy-AM"/>
              </w:rPr>
              <w:t>և</w:t>
            </w:r>
            <w:r w:rsidRPr="0053423A">
              <w:rPr>
                <w:rFonts w:cs="Times New Roman"/>
                <w:color w:val="000000"/>
                <w:sz w:val="20"/>
                <w:szCs w:val="20"/>
                <w:lang w:val="pt-BR"/>
              </w:rPr>
              <w:t xml:space="preserve"> </w:t>
            </w:r>
            <w:r w:rsidRPr="0053423A">
              <w:rPr>
                <w:rFonts w:cs="Times New Roman"/>
                <w:color w:val="000000"/>
                <w:sz w:val="20"/>
                <w:szCs w:val="20"/>
                <w:lang w:val="hy-AM"/>
              </w:rPr>
              <w:t>Հայաստան</w:t>
            </w:r>
            <w:r w:rsidRPr="0053423A">
              <w:rPr>
                <w:rFonts w:cs="Times New Roman"/>
                <w:color w:val="000000"/>
                <w:sz w:val="20"/>
                <w:szCs w:val="20"/>
                <w:lang w:val="pt-BR"/>
              </w:rPr>
              <w:t xml:space="preserve"> </w:t>
            </w:r>
            <w:r w:rsidRPr="0053423A">
              <w:rPr>
                <w:rFonts w:cs="Times New Roman"/>
                <w:color w:val="000000"/>
                <w:sz w:val="20"/>
                <w:szCs w:val="20"/>
                <w:lang w:val="hy-AM"/>
              </w:rPr>
              <w:t>վերադարձող</w:t>
            </w:r>
            <w:r w:rsidRPr="0053423A">
              <w:rPr>
                <w:rFonts w:cs="Times New Roman"/>
                <w:color w:val="000000"/>
                <w:sz w:val="20"/>
                <w:szCs w:val="20"/>
                <w:lang w:val="pt-BR"/>
              </w:rPr>
              <w:t xml:space="preserve"> </w:t>
            </w:r>
            <w:r w:rsidRPr="0053423A">
              <w:rPr>
                <w:rFonts w:cs="Times New Roman"/>
                <w:color w:val="000000"/>
                <w:sz w:val="20"/>
                <w:szCs w:val="20"/>
                <w:lang w:val="hy-AM"/>
              </w:rPr>
              <w:t>անձանց</w:t>
            </w:r>
            <w:r w:rsidRPr="0053423A">
              <w:rPr>
                <w:rFonts w:cs="Times New Roman"/>
                <w:color w:val="000000"/>
                <w:sz w:val="20"/>
                <w:szCs w:val="20"/>
                <w:lang w:val="pt-BR"/>
              </w:rPr>
              <w:t xml:space="preserve"> </w:t>
            </w:r>
            <w:r w:rsidRPr="0053423A">
              <w:rPr>
                <w:rFonts w:cs="Times New Roman"/>
                <w:color w:val="000000"/>
                <w:sz w:val="20"/>
                <w:szCs w:val="20"/>
                <w:lang w:val="hy-AM"/>
              </w:rPr>
              <w:t>բնակարանային</w:t>
            </w:r>
            <w:r w:rsidRPr="0053423A">
              <w:rPr>
                <w:rFonts w:cs="Times New Roman"/>
                <w:color w:val="000000"/>
                <w:sz w:val="20"/>
                <w:szCs w:val="20"/>
                <w:lang w:val="pt-BR"/>
              </w:rPr>
              <w:t xml:space="preserve"> և սոցիալ տնտեսական </w:t>
            </w:r>
            <w:r w:rsidRPr="0053423A">
              <w:rPr>
                <w:rFonts w:cs="Times New Roman"/>
                <w:color w:val="000000"/>
                <w:sz w:val="20"/>
                <w:szCs w:val="20"/>
                <w:lang w:val="hy-AM"/>
              </w:rPr>
              <w:t>խնդիրների</w:t>
            </w:r>
            <w:r w:rsidRPr="0053423A">
              <w:rPr>
                <w:rFonts w:cs="Times New Roman"/>
                <w:color w:val="000000"/>
                <w:sz w:val="20"/>
                <w:szCs w:val="20"/>
                <w:lang w:val="pt-BR"/>
              </w:rPr>
              <w:t xml:space="preserve"> </w:t>
            </w:r>
            <w:r w:rsidRPr="0053423A">
              <w:rPr>
                <w:rFonts w:cs="Times New Roman"/>
                <w:color w:val="000000"/>
                <w:sz w:val="20"/>
                <w:szCs w:val="20"/>
                <w:lang w:val="hy-AM"/>
              </w:rPr>
              <w:t>լուծման</w:t>
            </w:r>
            <w:r w:rsidRPr="0053423A">
              <w:rPr>
                <w:rFonts w:cs="Times New Roman"/>
                <w:color w:val="000000"/>
                <w:sz w:val="20"/>
                <w:szCs w:val="20"/>
                <w:lang w:val="pt-BR"/>
              </w:rPr>
              <w:t xml:space="preserve"> </w:t>
            </w:r>
            <w:r w:rsidRPr="0053423A">
              <w:rPr>
                <w:rFonts w:cs="Times New Roman"/>
                <w:color w:val="000000"/>
                <w:sz w:val="20"/>
                <w:szCs w:val="20"/>
                <w:lang w:val="hy-AM"/>
              </w:rPr>
              <w:t>նպատակով</w:t>
            </w:r>
            <w:r w:rsidRPr="0053423A">
              <w:rPr>
                <w:rFonts w:cs="Times New Roman"/>
                <w:color w:val="000000"/>
                <w:sz w:val="20"/>
                <w:szCs w:val="20"/>
                <w:lang w:val="pt-BR"/>
              </w:rPr>
              <w:t xml:space="preserve"> </w:t>
            </w:r>
            <w:r w:rsidRPr="0053423A">
              <w:rPr>
                <w:rFonts w:cs="Times New Roman"/>
                <w:color w:val="000000"/>
                <w:sz w:val="20"/>
                <w:szCs w:val="20"/>
                <w:lang w:val="hy-AM"/>
              </w:rPr>
              <w:t>պետական</w:t>
            </w:r>
            <w:r w:rsidRPr="0053423A">
              <w:rPr>
                <w:rFonts w:cs="Times New Roman"/>
                <w:color w:val="000000"/>
                <w:sz w:val="20"/>
                <w:szCs w:val="20"/>
                <w:lang w:val="pt-BR"/>
              </w:rPr>
              <w:t xml:space="preserve"> </w:t>
            </w:r>
            <w:r w:rsidRPr="0053423A">
              <w:rPr>
                <w:rFonts w:cs="Times New Roman"/>
                <w:color w:val="000000"/>
                <w:sz w:val="20"/>
                <w:szCs w:val="20"/>
                <w:lang w:val="hy-AM"/>
              </w:rPr>
              <w:t>աջակցության</w:t>
            </w:r>
            <w:r w:rsidRPr="0053423A">
              <w:rPr>
                <w:rFonts w:cs="Times New Roman"/>
                <w:color w:val="000000"/>
                <w:sz w:val="20"/>
                <w:szCs w:val="20"/>
                <w:lang w:val="pt-BR"/>
              </w:rPr>
              <w:t xml:space="preserve"> </w:t>
            </w:r>
            <w:r w:rsidRPr="0053423A">
              <w:rPr>
                <w:rFonts w:cs="Times New Roman"/>
                <w:color w:val="000000"/>
                <w:sz w:val="20"/>
                <w:szCs w:val="20"/>
                <w:lang w:val="hy-AM"/>
              </w:rPr>
              <w:t>տրամադրմանը:</w:t>
            </w:r>
          </w:p>
          <w:p w:rsidR="002B2CAB" w:rsidRPr="0053423A" w:rsidRDefault="002B2CAB" w:rsidP="00A67858">
            <w:pPr>
              <w:shd w:val="clear" w:color="auto" w:fill="FFFFFF"/>
              <w:spacing w:line="276" w:lineRule="auto"/>
              <w:jc w:val="both"/>
              <w:rPr>
                <w:rFonts w:eastAsia="Calibri" w:cs="Times New Roman"/>
                <w:b/>
                <w:color w:val="000000"/>
                <w:sz w:val="20"/>
                <w:szCs w:val="20"/>
                <w:lang w:val="hy-AM"/>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spacing w:line="276" w:lineRule="auto"/>
              <w:jc w:val="both"/>
              <w:rPr>
                <w:rFonts w:cs="Times New Roman"/>
                <w:sz w:val="20"/>
                <w:szCs w:val="20"/>
                <w:lang w:val="ro-RO"/>
              </w:rPr>
            </w:pPr>
            <w:r w:rsidRPr="0053423A">
              <w:rPr>
                <w:rFonts w:cs="Times New Roman"/>
                <w:sz w:val="20"/>
                <w:szCs w:val="20"/>
                <w:lang w:val="hy-AM"/>
              </w:rPr>
              <w:t>Հայրենադարձների</w:t>
            </w:r>
            <w:r w:rsidRPr="0053423A">
              <w:rPr>
                <w:rFonts w:cs="Times New Roman"/>
                <w:sz w:val="20"/>
                <w:szCs w:val="20"/>
                <w:lang w:val="ro-RO"/>
              </w:rPr>
              <w:t xml:space="preserve"> </w:t>
            </w:r>
            <w:r w:rsidRPr="0053423A">
              <w:rPr>
                <w:rFonts w:cs="Times New Roman"/>
                <w:sz w:val="20"/>
                <w:szCs w:val="20"/>
                <w:lang w:val="hy-AM"/>
              </w:rPr>
              <w:t>ինտեգրման</w:t>
            </w:r>
            <w:r w:rsidRPr="0053423A">
              <w:rPr>
                <w:rFonts w:cs="Times New Roman"/>
                <w:sz w:val="20"/>
                <w:szCs w:val="20"/>
                <w:lang w:val="ro-RO"/>
              </w:rPr>
              <w:t xml:space="preserve"> </w:t>
            </w:r>
            <w:r w:rsidRPr="0053423A">
              <w:rPr>
                <w:rFonts w:cs="Times New Roman"/>
                <w:sz w:val="20"/>
                <w:szCs w:val="20"/>
                <w:lang w:val="hy-AM"/>
              </w:rPr>
              <w:t>ու</w:t>
            </w:r>
            <w:r w:rsidRPr="0053423A">
              <w:rPr>
                <w:rFonts w:cs="Times New Roman"/>
                <w:sz w:val="20"/>
                <w:szCs w:val="20"/>
                <w:lang w:val="ro-RO"/>
              </w:rPr>
              <w:t xml:space="preserve"> </w:t>
            </w:r>
            <w:r w:rsidRPr="0053423A">
              <w:rPr>
                <w:rFonts w:cs="Times New Roman"/>
                <w:sz w:val="20"/>
                <w:szCs w:val="20"/>
                <w:lang w:val="hy-AM"/>
              </w:rPr>
              <w:t>ադապտացման</w:t>
            </w:r>
            <w:r w:rsidRPr="0053423A">
              <w:rPr>
                <w:rFonts w:cs="Times New Roman"/>
                <w:sz w:val="20"/>
                <w:szCs w:val="20"/>
                <w:lang w:val="ro-RO"/>
              </w:rPr>
              <w:t xml:space="preserve">  </w:t>
            </w:r>
            <w:r w:rsidRPr="0053423A">
              <w:rPr>
                <w:rFonts w:cs="Sylfaen"/>
                <w:sz w:val="20"/>
                <w:szCs w:val="20"/>
                <w:lang w:val="af-ZA"/>
              </w:rPr>
              <w:t xml:space="preserve">մասնագիտական հայրենադարձության «Հորիզոն», </w:t>
            </w:r>
            <w:r w:rsidRPr="0053423A">
              <w:rPr>
                <w:rFonts w:cs="Sylfaen"/>
                <w:sz w:val="20"/>
                <w:szCs w:val="20"/>
                <w:lang w:val="hy-AM"/>
              </w:rPr>
              <w:t>բնակարանային</w:t>
            </w:r>
            <w:r w:rsidRPr="0053423A">
              <w:rPr>
                <w:rFonts w:cs="Sylfaen"/>
                <w:sz w:val="20"/>
                <w:szCs w:val="20"/>
                <w:lang w:val="af-ZA"/>
              </w:rPr>
              <w:t xml:space="preserve"> </w:t>
            </w:r>
            <w:r w:rsidRPr="0053423A">
              <w:rPr>
                <w:rFonts w:cs="Sylfaen"/>
                <w:sz w:val="20"/>
                <w:szCs w:val="20"/>
                <w:lang w:val="hy-AM"/>
              </w:rPr>
              <w:t>ապահովության</w:t>
            </w:r>
            <w:r w:rsidRPr="0053423A">
              <w:rPr>
                <w:rFonts w:cs="Sylfaen"/>
                <w:sz w:val="20"/>
                <w:szCs w:val="20"/>
                <w:lang w:val="af-ZA"/>
              </w:rPr>
              <w:t xml:space="preserve"> «</w:t>
            </w:r>
            <w:r w:rsidRPr="0053423A">
              <w:rPr>
                <w:rFonts w:cs="Sylfaen"/>
                <w:sz w:val="20"/>
                <w:szCs w:val="20"/>
                <w:lang w:val="hy-AM"/>
              </w:rPr>
              <w:t>Օջախ</w:t>
            </w:r>
            <w:r w:rsidRPr="0053423A">
              <w:rPr>
                <w:rFonts w:cs="Sylfaen"/>
                <w:sz w:val="20"/>
                <w:szCs w:val="20"/>
                <w:lang w:val="af-ZA"/>
              </w:rPr>
              <w:t xml:space="preserve">» </w:t>
            </w:r>
            <w:r w:rsidRPr="0053423A">
              <w:rPr>
                <w:rFonts w:cs="Sylfaen"/>
                <w:sz w:val="20"/>
                <w:szCs w:val="20"/>
                <w:lang w:val="hy-AM"/>
              </w:rPr>
              <w:t>և</w:t>
            </w:r>
            <w:r w:rsidRPr="0053423A">
              <w:rPr>
                <w:rFonts w:cs="Sylfaen"/>
                <w:sz w:val="20"/>
                <w:szCs w:val="20"/>
                <w:lang w:val="af-ZA"/>
              </w:rPr>
              <w:t xml:space="preserve"> «Երիտասարդ ընտանիք» հայրենադարձության ծրագրերի </w:t>
            </w:r>
            <w:r w:rsidRPr="0053423A">
              <w:rPr>
                <w:rFonts w:cs="Times New Roman"/>
                <w:sz w:val="20"/>
                <w:szCs w:val="20"/>
                <w:lang w:val="hy-AM"/>
              </w:rPr>
              <w:t>իրականացումը</w:t>
            </w:r>
            <w:r w:rsidRPr="0053423A">
              <w:rPr>
                <w:rFonts w:cs="Times New Roman"/>
                <w:sz w:val="20"/>
                <w:szCs w:val="20"/>
                <w:lang w:val="ro-RO"/>
              </w:rPr>
              <w:t xml:space="preserve"> </w:t>
            </w:r>
            <w:r w:rsidRPr="0053423A">
              <w:rPr>
                <w:rFonts w:cs="Times New Roman"/>
                <w:sz w:val="20"/>
                <w:szCs w:val="20"/>
                <w:lang w:val="hy-AM"/>
              </w:rPr>
              <w:t>հնարավորություն</w:t>
            </w:r>
            <w:r w:rsidRPr="0053423A">
              <w:rPr>
                <w:rFonts w:cs="Times New Roman"/>
                <w:sz w:val="20"/>
                <w:szCs w:val="20"/>
                <w:lang w:val="ro-RO"/>
              </w:rPr>
              <w:t xml:space="preserve"> </w:t>
            </w:r>
            <w:r w:rsidRPr="0053423A">
              <w:rPr>
                <w:rFonts w:cs="Times New Roman"/>
                <w:sz w:val="20"/>
                <w:szCs w:val="20"/>
                <w:lang w:val="hy-AM"/>
              </w:rPr>
              <w:t>կընձեռի</w:t>
            </w:r>
            <w:r w:rsidRPr="0053423A">
              <w:rPr>
                <w:rFonts w:cs="Times New Roman"/>
                <w:sz w:val="20"/>
                <w:szCs w:val="20"/>
                <w:lang w:val="ro-RO"/>
              </w:rPr>
              <w:t xml:space="preserve"> տարեկան մինչև 5000 </w:t>
            </w:r>
            <w:r w:rsidRPr="0053423A">
              <w:rPr>
                <w:rFonts w:cs="Times New Roman"/>
                <w:sz w:val="20"/>
                <w:szCs w:val="20"/>
                <w:lang w:val="hy-AM"/>
              </w:rPr>
              <w:t>հայրենադարձներին</w:t>
            </w:r>
            <w:r w:rsidRPr="0053423A">
              <w:rPr>
                <w:rFonts w:cs="Times New Roman"/>
                <w:sz w:val="20"/>
                <w:szCs w:val="20"/>
                <w:lang w:val="ro-RO"/>
              </w:rPr>
              <w:t xml:space="preserve"> և վերադարձողներին </w:t>
            </w:r>
            <w:r w:rsidRPr="0053423A">
              <w:rPr>
                <w:rFonts w:cs="Times New Roman"/>
                <w:sz w:val="20"/>
                <w:szCs w:val="20"/>
                <w:lang w:val="hy-AM"/>
              </w:rPr>
              <w:t>լիարժեք</w:t>
            </w:r>
            <w:r w:rsidRPr="0053423A">
              <w:rPr>
                <w:rFonts w:cs="Times New Roman"/>
                <w:sz w:val="20"/>
                <w:szCs w:val="20"/>
                <w:lang w:val="ro-RO"/>
              </w:rPr>
              <w:t xml:space="preserve"> </w:t>
            </w:r>
            <w:r w:rsidRPr="0053423A">
              <w:rPr>
                <w:rFonts w:cs="Times New Roman"/>
                <w:sz w:val="20"/>
                <w:szCs w:val="20"/>
                <w:lang w:val="hy-AM"/>
              </w:rPr>
              <w:t>ներառել</w:t>
            </w:r>
            <w:r w:rsidRPr="0053423A">
              <w:rPr>
                <w:rFonts w:cs="Times New Roman"/>
                <w:sz w:val="20"/>
                <w:szCs w:val="20"/>
                <w:lang w:val="ro-RO"/>
              </w:rPr>
              <w:t xml:space="preserve"> </w:t>
            </w:r>
            <w:r w:rsidRPr="0053423A">
              <w:rPr>
                <w:rFonts w:cs="Times New Roman"/>
                <w:sz w:val="20"/>
                <w:szCs w:val="20"/>
                <w:lang w:val="hy-AM"/>
              </w:rPr>
              <w:t>հայաստանյան</w:t>
            </w:r>
            <w:r w:rsidRPr="0053423A">
              <w:rPr>
                <w:rFonts w:cs="Times New Roman"/>
                <w:sz w:val="20"/>
                <w:szCs w:val="20"/>
                <w:lang w:val="ro-RO"/>
              </w:rPr>
              <w:t xml:space="preserve"> </w:t>
            </w:r>
            <w:r w:rsidRPr="0053423A">
              <w:rPr>
                <w:rFonts w:cs="Times New Roman"/>
                <w:sz w:val="20"/>
                <w:szCs w:val="20"/>
                <w:lang w:val="hy-AM"/>
              </w:rPr>
              <w:t>կյանքին</w:t>
            </w:r>
            <w:r w:rsidRPr="0053423A">
              <w:rPr>
                <w:rFonts w:cs="Times New Roman"/>
                <w:sz w:val="20"/>
                <w:szCs w:val="20"/>
                <w:lang w:val="ro-RO"/>
              </w:rPr>
              <w:t xml:space="preserve"> </w:t>
            </w:r>
            <w:r w:rsidRPr="0053423A">
              <w:rPr>
                <w:rFonts w:cs="Times New Roman"/>
                <w:sz w:val="20"/>
                <w:szCs w:val="20"/>
                <w:lang w:val="hy-AM"/>
              </w:rPr>
              <w:t>ու</w:t>
            </w:r>
            <w:r w:rsidRPr="0053423A">
              <w:rPr>
                <w:rFonts w:cs="Times New Roman"/>
                <w:sz w:val="20"/>
                <w:szCs w:val="20"/>
                <w:lang w:val="ro-RO"/>
              </w:rPr>
              <w:t xml:space="preserve"> </w:t>
            </w:r>
            <w:r w:rsidRPr="0053423A">
              <w:rPr>
                <w:rFonts w:cs="Times New Roman"/>
                <w:sz w:val="20"/>
                <w:szCs w:val="20"/>
                <w:lang w:val="hy-AM"/>
              </w:rPr>
              <w:t>իրականությանը</w:t>
            </w:r>
            <w:r w:rsidRPr="0053423A">
              <w:rPr>
                <w:rFonts w:cs="Times New Roman"/>
                <w:sz w:val="20"/>
                <w:szCs w:val="20"/>
                <w:lang w:val="ro-RO"/>
              </w:rPr>
              <w:t xml:space="preserve">, </w:t>
            </w:r>
            <w:r w:rsidRPr="0053423A">
              <w:rPr>
                <w:rFonts w:cs="Times New Roman"/>
                <w:sz w:val="20"/>
                <w:szCs w:val="20"/>
                <w:lang w:val="hy-AM"/>
              </w:rPr>
              <w:t>նրանց</w:t>
            </w:r>
            <w:r w:rsidRPr="0053423A">
              <w:rPr>
                <w:rFonts w:cs="Times New Roman"/>
                <w:sz w:val="20"/>
                <w:szCs w:val="20"/>
                <w:lang w:val="ro-RO"/>
              </w:rPr>
              <w:t xml:space="preserve"> </w:t>
            </w:r>
            <w:r w:rsidRPr="0053423A">
              <w:rPr>
                <w:rFonts w:cs="Times New Roman"/>
                <w:sz w:val="20"/>
                <w:szCs w:val="20"/>
                <w:lang w:val="hy-AM"/>
              </w:rPr>
              <w:t>վերջնական</w:t>
            </w:r>
            <w:r w:rsidRPr="0053423A">
              <w:rPr>
                <w:rFonts w:cs="Times New Roman"/>
                <w:sz w:val="20"/>
                <w:szCs w:val="20"/>
                <w:lang w:val="ro-RO"/>
              </w:rPr>
              <w:t xml:space="preserve"> </w:t>
            </w:r>
            <w:r w:rsidRPr="0053423A">
              <w:rPr>
                <w:rFonts w:cs="Times New Roman"/>
                <w:sz w:val="20"/>
                <w:szCs w:val="20"/>
                <w:lang w:val="hy-AM"/>
              </w:rPr>
              <w:t>հաստատմանը</w:t>
            </w:r>
            <w:r w:rsidRPr="0053423A">
              <w:rPr>
                <w:rFonts w:cs="Times New Roman"/>
                <w:sz w:val="20"/>
                <w:szCs w:val="20"/>
                <w:lang w:val="ro-RO"/>
              </w:rPr>
              <w:t xml:space="preserve"> </w:t>
            </w:r>
            <w:r w:rsidRPr="0053423A">
              <w:rPr>
                <w:rFonts w:cs="Times New Roman"/>
                <w:sz w:val="20"/>
                <w:szCs w:val="20"/>
                <w:lang w:val="hy-AM"/>
              </w:rPr>
              <w:t>Հայաստանում</w:t>
            </w:r>
            <w:r w:rsidRPr="0053423A">
              <w:rPr>
                <w:rFonts w:cs="Times New Roman"/>
                <w:sz w:val="20"/>
                <w:szCs w:val="20"/>
                <w:lang w:val="ro-RO"/>
              </w:rPr>
              <w:t>:</w:t>
            </w:r>
          </w:p>
          <w:p w:rsidR="002B2CAB" w:rsidRPr="0053423A" w:rsidRDefault="002B2CAB" w:rsidP="00A67858">
            <w:pPr>
              <w:spacing w:line="276" w:lineRule="auto"/>
              <w:jc w:val="both"/>
              <w:rPr>
                <w:rFonts w:cs="Sylfaen"/>
                <w:sz w:val="20"/>
                <w:szCs w:val="20"/>
                <w:lang w:val="hy-AM"/>
              </w:rPr>
            </w:pPr>
          </w:p>
        </w:tc>
      </w:tr>
      <w:tr w:rsidR="002B2CAB" w:rsidRPr="00DE2EFA" w:rsidTr="002B2CAB">
        <w:tc>
          <w:tcPr>
            <w:tcW w:w="540" w:type="dxa"/>
            <w:vMerge/>
          </w:tcPr>
          <w:p w:rsidR="002B2CAB" w:rsidRPr="0053423A" w:rsidRDefault="002B2CAB" w:rsidP="00A67858">
            <w:pPr>
              <w:spacing w:line="276" w:lineRule="auto"/>
              <w:jc w:val="center"/>
              <w:rPr>
                <w:rFonts w:cs="Times New Roman"/>
                <w:b/>
                <w:sz w:val="20"/>
                <w:szCs w:val="20"/>
                <w:lang w:val="ro-RO"/>
              </w:rPr>
            </w:pPr>
          </w:p>
        </w:tc>
        <w:tc>
          <w:tcPr>
            <w:tcW w:w="10876" w:type="dxa"/>
          </w:tcPr>
          <w:p w:rsidR="002B2CAB" w:rsidRPr="0053423A" w:rsidRDefault="002B2CAB" w:rsidP="00A67858">
            <w:pPr>
              <w:spacing w:line="276" w:lineRule="auto"/>
              <w:jc w:val="center"/>
              <w:rPr>
                <w:rFonts w:cs="Times New Roman"/>
                <w:sz w:val="20"/>
                <w:szCs w:val="20"/>
                <w:lang w:val="hy-AM"/>
              </w:rPr>
            </w:pPr>
          </w:p>
        </w:tc>
      </w:tr>
      <w:tr w:rsidR="002B2CAB" w:rsidRPr="00DE2EFA" w:rsidTr="002B2CAB">
        <w:tc>
          <w:tcPr>
            <w:tcW w:w="540" w:type="dxa"/>
            <w:vMerge/>
          </w:tcPr>
          <w:p w:rsidR="002B2CAB" w:rsidRPr="0053423A" w:rsidRDefault="002B2CAB" w:rsidP="00A67858">
            <w:pPr>
              <w:spacing w:line="276" w:lineRule="auto"/>
              <w:jc w:val="center"/>
              <w:rPr>
                <w:rFonts w:cs="Times New Roman"/>
                <w:b/>
                <w:sz w:val="20"/>
                <w:szCs w:val="20"/>
                <w:lang w:val="hy-AM"/>
              </w:rPr>
            </w:pP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cs="Times New Roman"/>
                <w:b/>
                <w:sz w:val="20"/>
                <w:szCs w:val="20"/>
                <w:u w:val="single"/>
                <w:lang w:val="ro-RO"/>
              </w:rPr>
              <w:t xml:space="preserve">1.6 </w:t>
            </w:r>
            <w:r w:rsidRPr="0053423A">
              <w:rPr>
                <w:rFonts w:cs="Sylfaen"/>
                <w:b/>
                <w:sz w:val="20"/>
                <w:szCs w:val="20"/>
                <w:u w:val="single"/>
                <w:lang w:val="hy-AM"/>
              </w:rPr>
              <w:t>Սփյուռքի</w:t>
            </w:r>
            <w:r w:rsidRPr="0053423A">
              <w:rPr>
                <w:rFonts w:cs="Sylfaen"/>
                <w:b/>
                <w:sz w:val="20"/>
                <w:szCs w:val="20"/>
                <w:u w:val="single"/>
                <w:lang w:val="ro-RO"/>
              </w:rPr>
              <w:t xml:space="preserve"> </w:t>
            </w:r>
            <w:r w:rsidRPr="0053423A">
              <w:rPr>
                <w:rFonts w:cs="Sylfaen"/>
                <w:b/>
                <w:sz w:val="20"/>
                <w:szCs w:val="20"/>
                <w:u w:val="single"/>
                <w:lang w:val="hy-AM"/>
              </w:rPr>
              <w:t>համայնքներում</w:t>
            </w:r>
            <w:r w:rsidRPr="0053423A">
              <w:rPr>
                <w:rFonts w:cs="Sylfaen"/>
                <w:b/>
                <w:sz w:val="20"/>
                <w:szCs w:val="20"/>
                <w:u w:val="single"/>
                <w:lang w:val="ro-RO"/>
              </w:rPr>
              <w:t xml:space="preserve"> </w:t>
            </w:r>
            <w:r w:rsidRPr="0053423A">
              <w:rPr>
                <w:rFonts w:cs="Times New Roman"/>
                <w:b/>
                <w:sz w:val="20"/>
                <w:szCs w:val="20"/>
                <w:u w:val="single"/>
                <w:lang w:val="ro-RO"/>
              </w:rPr>
              <w:t xml:space="preserve"> </w:t>
            </w:r>
            <w:r w:rsidRPr="0053423A">
              <w:rPr>
                <w:rFonts w:cs="Times New Roman"/>
                <w:b/>
                <w:sz w:val="20"/>
                <w:szCs w:val="20"/>
                <w:u w:val="single"/>
                <w:lang w:val="hy-AM"/>
              </w:rPr>
              <w:t>մշտադիտարկում՝</w:t>
            </w:r>
            <w:r w:rsidRPr="0053423A">
              <w:rPr>
                <w:rFonts w:cs="Times New Roman"/>
                <w:b/>
                <w:sz w:val="20"/>
                <w:szCs w:val="20"/>
                <w:u w:val="single"/>
                <w:lang w:val="ro-RO"/>
              </w:rPr>
              <w:t xml:space="preserve"> </w:t>
            </w:r>
            <w:r w:rsidRPr="0053423A">
              <w:rPr>
                <w:rFonts w:cs="Times New Roman"/>
                <w:b/>
                <w:sz w:val="20"/>
                <w:szCs w:val="20"/>
                <w:u w:val="single"/>
                <w:lang w:val="hy-AM"/>
              </w:rPr>
              <w:t>հայրենադարձության</w:t>
            </w:r>
            <w:r w:rsidRPr="0053423A">
              <w:rPr>
                <w:rFonts w:cs="Times New Roman"/>
                <w:b/>
                <w:sz w:val="20"/>
                <w:szCs w:val="20"/>
                <w:u w:val="single"/>
                <w:lang w:val="ro-RO"/>
              </w:rPr>
              <w:t xml:space="preserve"> հնարավորությունների </w:t>
            </w:r>
            <w:r w:rsidRPr="0053423A">
              <w:rPr>
                <w:rFonts w:cs="Times New Roman"/>
                <w:b/>
                <w:sz w:val="20"/>
                <w:szCs w:val="20"/>
                <w:u w:val="single"/>
                <w:lang w:val="hy-AM"/>
              </w:rPr>
              <w:t>վերաբերյալ</w:t>
            </w:r>
            <w:r w:rsidRPr="0053423A">
              <w:rPr>
                <w:rFonts w:cs="Times New Roman"/>
                <w:b/>
                <w:sz w:val="20"/>
                <w:szCs w:val="20"/>
                <w:u w:val="single"/>
                <w:lang w:val="ro-RO"/>
              </w:rPr>
              <w:t xml:space="preserve"> </w:t>
            </w:r>
            <w:r w:rsidRPr="0053423A">
              <w:rPr>
                <w:rFonts w:cs="Times New Roman"/>
                <w:b/>
                <w:sz w:val="20"/>
                <w:szCs w:val="20"/>
                <w:u w:val="single"/>
                <w:lang w:val="hy-AM"/>
              </w:rPr>
              <w:t>և</w:t>
            </w:r>
            <w:r w:rsidRPr="0053423A">
              <w:rPr>
                <w:rFonts w:cs="Times New Roman"/>
                <w:b/>
                <w:sz w:val="20"/>
                <w:szCs w:val="20"/>
                <w:u w:val="single"/>
                <w:lang w:val="ro-RO"/>
              </w:rPr>
              <w:t xml:space="preserve"> </w:t>
            </w:r>
            <w:r w:rsidRPr="0053423A">
              <w:rPr>
                <w:rFonts w:cs="Times New Roman"/>
                <w:b/>
                <w:sz w:val="20"/>
                <w:szCs w:val="20"/>
                <w:u w:val="single"/>
                <w:lang w:val="hy-AM"/>
              </w:rPr>
              <w:t>արդյունքների</w:t>
            </w:r>
            <w:r w:rsidRPr="0053423A">
              <w:rPr>
                <w:rFonts w:cs="Times New Roman"/>
                <w:b/>
                <w:sz w:val="20"/>
                <w:szCs w:val="20"/>
                <w:u w:val="single"/>
                <w:lang w:val="ro-RO"/>
              </w:rPr>
              <w:t xml:space="preserve"> </w:t>
            </w:r>
            <w:r w:rsidRPr="0053423A">
              <w:rPr>
                <w:rFonts w:cs="Times New Roman"/>
                <w:b/>
                <w:sz w:val="20"/>
                <w:szCs w:val="20"/>
                <w:u w:val="single"/>
                <w:lang w:val="hy-AM"/>
              </w:rPr>
              <w:t>գնահատում</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sz w:val="20"/>
                <w:szCs w:val="20"/>
                <w:lang w:val="hy-AM"/>
              </w:rPr>
              <w:t xml:space="preserve">Նպատակն է </w:t>
            </w:r>
            <w:r w:rsidRPr="0053423A">
              <w:rPr>
                <w:rFonts w:cs="Times New Roman"/>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b/>
                <w:sz w:val="20"/>
                <w:szCs w:val="20"/>
                <w:lang w:val="ro-RO"/>
              </w:rPr>
              <w:t xml:space="preserve"> </w:t>
            </w:r>
          </w:p>
          <w:p w:rsidR="002B2CAB" w:rsidRPr="0053423A" w:rsidRDefault="002B2CAB" w:rsidP="001F6D5D">
            <w:pPr>
              <w:numPr>
                <w:ilvl w:val="1"/>
                <w:numId w:val="305"/>
              </w:numPr>
              <w:spacing w:line="276" w:lineRule="auto"/>
              <w:contextualSpacing/>
              <w:jc w:val="both"/>
              <w:rPr>
                <w:rFonts w:cs="Times New Roman"/>
                <w:b/>
                <w:sz w:val="20"/>
                <w:szCs w:val="20"/>
                <w:lang w:val="hy-AM"/>
              </w:rPr>
            </w:pPr>
            <w:r w:rsidRPr="0053423A">
              <w:rPr>
                <w:rFonts w:cs="Times New Roman"/>
                <w:b/>
                <w:sz w:val="20"/>
                <w:szCs w:val="20"/>
                <w:lang w:val="ro-RO"/>
              </w:rPr>
              <w:t>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Times New Roman"/>
                <w:sz w:val="20"/>
                <w:szCs w:val="20"/>
                <w:lang w:val="hy-AM"/>
              </w:rPr>
            </w:pPr>
            <w:r w:rsidRPr="0053423A">
              <w:rPr>
                <w:rFonts w:cs="Times New Roman"/>
                <w:sz w:val="20"/>
                <w:szCs w:val="20"/>
                <w:lang w:val="hy-AM"/>
              </w:rPr>
              <w:t xml:space="preserve">Ներկայումս հայրենադարձության հնարավորությունների վերաբերյալ մշտադիտարկման մեխանիզմները գործում են ոչ լիարժեք, որոնք վերացնելու անհրաժեշտություն է առաջացել: </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jc w:val="both"/>
              <w:rPr>
                <w:rFonts w:cs="Times New Roman"/>
                <w:sz w:val="20"/>
                <w:szCs w:val="20"/>
                <w:lang w:val="hy-AM"/>
              </w:rPr>
            </w:pPr>
            <w:r w:rsidRPr="0053423A">
              <w:rPr>
                <w:rFonts w:cs="Times New Roman"/>
                <w:sz w:val="20"/>
                <w:szCs w:val="20"/>
                <w:lang w:val="hy-AM"/>
              </w:rPr>
              <w:t>Կարգավորման առարկա  է հանդիսանում նոր մոտեցումներով մշտադիտարկման մեխանիզմների կատարելագործումը:</w:t>
            </w:r>
          </w:p>
          <w:p w:rsidR="002B2CAB" w:rsidRPr="0053423A" w:rsidRDefault="002B2CAB" w:rsidP="00A67858">
            <w:pPr>
              <w:shd w:val="clear" w:color="auto" w:fill="FFFFFF"/>
              <w:spacing w:line="276" w:lineRule="auto"/>
              <w:jc w:val="both"/>
              <w:rPr>
                <w:rFonts w:eastAsia="Calibri" w:cs="Times New Roman"/>
                <w:b/>
                <w:color w:val="000000"/>
                <w:sz w:val="20"/>
                <w:szCs w:val="20"/>
                <w:lang w:val="hy-AM"/>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spacing w:line="276" w:lineRule="auto"/>
              <w:jc w:val="both"/>
              <w:rPr>
                <w:rFonts w:cs="Times New Roman"/>
                <w:sz w:val="20"/>
                <w:szCs w:val="20"/>
                <w:lang w:val="ro-RO"/>
              </w:rPr>
            </w:pPr>
            <w:r w:rsidRPr="0053423A">
              <w:rPr>
                <w:rFonts w:cs="Sylfaen"/>
                <w:sz w:val="20"/>
                <w:szCs w:val="20"/>
                <w:lang w:val="hy-AM"/>
              </w:rPr>
              <w:t>Սփյուռքի</w:t>
            </w:r>
            <w:r w:rsidRPr="0053423A">
              <w:rPr>
                <w:rFonts w:cs="Sylfaen"/>
                <w:sz w:val="20"/>
                <w:szCs w:val="20"/>
                <w:lang w:val="ro-RO"/>
              </w:rPr>
              <w:t xml:space="preserve"> հայահոծ խոշոր 4 </w:t>
            </w:r>
            <w:r w:rsidRPr="0053423A">
              <w:rPr>
                <w:rFonts w:cs="Sylfaen"/>
                <w:sz w:val="20"/>
                <w:szCs w:val="20"/>
                <w:lang w:val="hy-AM"/>
              </w:rPr>
              <w:t>համայնքային</w:t>
            </w:r>
            <w:r w:rsidRPr="0053423A">
              <w:rPr>
                <w:rFonts w:cs="Sylfaen"/>
                <w:sz w:val="20"/>
                <w:szCs w:val="20"/>
                <w:lang w:val="ro-RO"/>
              </w:rPr>
              <w:t xml:space="preserve"> </w:t>
            </w:r>
            <w:r w:rsidRPr="0053423A">
              <w:rPr>
                <w:rFonts w:cs="Sylfaen"/>
                <w:sz w:val="20"/>
                <w:szCs w:val="20"/>
                <w:lang w:val="hy-AM"/>
              </w:rPr>
              <w:t>կենտրոններում</w:t>
            </w:r>
            <w:r w:rsidRPr="0053423A">
              <w:rPr>
                <w:rFonts w:cs="Sylfaen"/>
                <w:sz w:val="20"/>
                <w:szCs w:val="20"/>
                <w:lang w:val="ro-RO"/>
              </w:rPr>
              <w:t xml:space="preserve"> (</w:t>
            </w:r>
            <w:r w:rsidRPr="0053423A">
              <w:rPr>
                <w:rFonts w:cs="Sylfaen"/>
                <w:sz w:val="20"/>
                <w:szCs w:val="20"/>
                <w:lang w:val="hy-AM"/>
              </w:rPr>
              <w:t>Մոսկվա</w:t>
            </w:r>
            <w:r w:rsidRPr="0053423A">
              <w:rPr>
                <w:rFonts w:cs="Sylfaen"/>
                <w:sz w:val="20"/>
                <w:szCs w:val="20"/>
                <w:lang w:val="ro-RO"/>
              </w:rPr>
              <w:t xml:space="preserve">, </w:t>
            </w:r>
            <w:r w:rsidRPr="0053423A">
              <w:rPr>
                <w:rFonts w:cs="Sylfaen"/>
                <w:sz w:val="20"/>
                <w:szCs w:val="20"/>
                <w:lang w:val="hy-AM"/>
              </w:rPr>
              <w:t>Բեյրութ</w:t>
            </w:r>
            <w:r w:rsidRPr="0053423A">
              <w:rPr>
                <w:rFonts w:cs="Sylfaen"/>
                <w:sz w:val="20"/>
                <w:szCs w:val="20"/>
                <w:lang w:val="ro-RO"/>
              </w:rPr>
              <w:t xml:space="preserve">, </w:t>
            </w:r>
            <w:r w:rsidRPr="0053423A">
              <w:rPr>
                <w:rFonts w:cs="Sylfaen"/>
                <w:sz w:val="20"/>
                <w:szCs w:val="20"/>
                <w:lang w:val="hy-AM"/>
              </w:rPr>
              <w:t>Փարիզ</w:t>
            </w:r>
            <w:r w:rsidRPr="0053423A">
              <w:rPr>
                <w:rFonts w:cs="Sylfaen"/>
                <w:sz w:val="20"/>
                <w:szCs w:val="20"/>
                <w:lang w:val="ro-RO"/>
              </w:rPr>
              <w:t xml:space="preserve">, </w:t>
            </w:r>
            <w:r w:rsidRPr="0053423A">
              <w:rPr>
                <w:rFonts w:cs="Sylfaen"/>
                <w:sz w:val="20"/>
                <w:szCs w:val="20"/>
                <w:lang w:val="hy-AM"/>
              </w:rPr>
              <w:t>Լոս</w:t>
            </w:r>
            <w:r w:rsidRPr="0053423A">
              <w:rPr>
                <w:rFonts w:cs="Sylfaen"/>
                <w:sz w:val="20"/>
                <w:szCs w:val="20"/>
                <w:lang w:val="ro-RO"/>
              </w:rPr>
              <w:t xml:space="preserve"> </w:t>
            </w:r>
            <w:r w:rsidRPr="0053423A">
              <w:rPr>
                <w:rFonts w:cs="Sylfaen"/>
                <w:sz w:val="20"/>
                <w:szCs w:val="20"/>
                <w:lang w:val="hy-AM"/>
              </w:rPr>
              <w:t>Անջելես</w:t>
            </w:r>
            <w:r w:rsidRPr="0053423A">
              <w:rPr>
                <w:rFonts w:cs="Sylfaen"/>
                <w:sz w:val="20"/>
                <w:szCs w:val="20"/>
                <w:lang w:val="ro-RO"/>
              </w:rPr>
              <w:t xml:space="preserve">)  </w:t>
            </w:r>
            <w:r w:rsidRPr="0053423A">
              <w:rPr>
                <w:rFonts w:cs="Sylfaen"/>
                <w:sz w:val="20"/>
                <w:szCs w:val="20"/>
                <w:lang w:val="hy-AM"/>
              </w:rPr>
              <w:t>իրականացված</w:t>
            </w:r>
            <w:r w:rsidRPr="0053423A">
              <w:rPr>
                <w:rFonts w:cs="Sylfaen"/>
                <w:sz w:val="20"/>
                <w:szCs w:val="20"/>
                <w:lang w:val="ro-RO"/>
              </w:rPr>
              <w:t xml:space="preserve"> </w:t>
            </w:r>
            <w:r w:rsidRPr="0053423A">
              <w:rPr>
                <w:rFonts w:cs="Times New Roman"/>
                <w:sz w:val="20"/>
                <w:szCs w:val="20"/>
                <w:lang w:val="ro-RO"/>
              </w:rPr>
              <w:t xml:space="preserve"> </w:t>
            </w:r>
            <w:r w:rsidRPr="0053423A">
              <w:rPr>
                <w:rFonts w:cs="Times New Roman"/>
                <w:sz w:val="20"/>
                <w:szCs w:val="20"/>
                <w:lang w:val="hy-AM"/>
              </w:rPr>
              <w:t>հայրենադարձության</w:t>
            </w:r>
            <w:r w:rsidRPr="0053423A">
              <w:rPr>
                <w:rFonts w:cs="Times New Roman"/>
                <w:sz w:val="20"/>
                <w:szCs w:val="20"/>
                <w:lang w:val="ro-RO"/>
              </w:rPr>
              <w:t xml:space="preserve"> </w:t>
            </w:r>
            <w:r w:rsidRPr="0053423A">
              <w:rPr>
                <w:rFonts w:cs="Times New Roman"/>
                <w:sz w:val="20"/>
                <w:szCs w:val="20"/>
                <w:lang w:val="hy-AM"/>
              </w:rPr>
              <w:t>գործընթացի</w:t>
            </w:r>
            <w:r w:rsidRPr="0053423A">
              <w:rPr>
                <w:rFonts w:cs="Times New Roman"/>
                <w:sz w:val="20"/>
                <w:szCs w:val="20"/>
                <w:lang w:val="ro-RO"/>
              </w:rPr>
              <w:t xml:space="preserve"> </w:t>
            </w:r>
            <w:r w:rsidRPr="0053423A">
              <w:rPr>
                <w:rFonts w:cs="Times New Roman"/>
                <w:sz w:val="20"/>
                <w:szCs w:val="20"/>
                <w:lang w:val="hy-AM"/>
              </w:rPr>
              <w:t>վերաբերյալ</w:t>
            </w:r>
            <w:r w:rsidRPr="0053423A">
              <w:rPr>
                <w:rFonts w:cs="Times New Roman"/>
                <w:sz w:val="20"/>
                <w:szCs w:val="20"/>
                <w:lang w:val="ro-RO"/>
              </w:rPr>
              <w:t xml:space="preserve"> </w:t>
            </w:r>
            <w:r w:rsidRPr="0053423A">
              <w:rPr>
                <w:rFonts w:cs="Times New Roman"/>
                <w:sz w:val="20"/>
                <w:szCs w:val="20"/>
                <w:lang w:val="hy-AM"/>
              </w:rPr>
              <w:t>ուսումնասիրության</w:t>
            </w:r>
            <w:r w:rsidRPr="0053423A">
              <w:rPr>
                <w:rFonts w:cs="Times New Roman"/>
                <w:sz w:val="20"/>
                <w:szCs w:val="20"/>
                <w:lang w:val="ro-RO"/>
              </w:rPr>
              <w:t xml:space="preserve"> </w:t>
            </w:r>
            <w:r w:rsidRPr="0053423A">
              <w:rPr>
                <w:rFonts w:cs="Times New Roman"/>
                <w:sz w:val="20"/>
                <w:szCs w:val="20"/>
                <w:lang w:val="hy-AM"/>
              </w:rPr>
              <w:t>անցկացումը</w:t>
            </w:r>
            <w:r w:rsidRPr="0053423A">
              <w:rPr>
                <w:rFonts w:cs="Times New Roman"/>
                <w:sz w:val="20"/>
                <w:szCs w:val="20"/>
                <w:lang w:val="ro-RO"/>
              </w:rPr>
              <w:t xml:space="preserve">, </w:t>
            </w:r>
            <w:r w:rsidRPr="0053423A">
              <w:rPr>
                <w:rFonts w:cs="Times New Roman"/>
                <w:sz w:val="20"/>
                <w:szCs w:val="20"/>
                <w:lang w:val="hy-AM"/>
              </w:rPr>
              <w:t>ստացված</w:t>
            </w:r>
            <w:r w:rsidRPr="0053423A">
              <w:rPr>
                <w:rFonts w:cs="Times New Roman"/>
                <w:sz w:val="20"/>
                <w:szCs w:val="20"/>
                <w:lang w:val="ro-RO"/>
              </w:rPr>
              <w:t xml:space="preserve"> </w:t>
            </w:r>
            <w:r w:rsidRPr="0053423A">
              <w:rPr>
                <w:rFonts w:cs="Times New Roman"/>
                <w:sz w:val="20"/>
                <w:szCs w:val="20"/>
                <w:lang w:val="hy-AM"/>
              </w:rPr>
              <w:t>նյութերի</w:t>
            </w:r>
            <w:r w:rsidRPr="0053423A">
              <w:rPr>
                <w:rFonts w:cs="Times New Roman"/>
                <w:sz w:val="20"/>
                <w:szCs w:val="20"/>
                <w:lang w:val="ro-RO"/>
              </w:rPr>
              <w:t xml:space="preserve"> </w:t>
            </w:r>
            <w:r w:rsidRPr="0053423A">
              <w:rPr>
                <w:rFonts w:cs="Times New Roman"/>
                <w:sz w:val="20"/>
                <w:szCs w:val="20"/>
                <w:lang w:val="hy-AM"/>
              </w:rPr>
              <w:t>հավաքումը</w:t>
            </w:r>
            <w:r w:rsidRPr="0053423A">
              <w:rPr>
                <w:rFonts w:cs="Times New Roman"/>
                <w:sz w:val="20"/>
                <w:szCs w:val="20"/>
                <w:lang w:val="ro-RO"/>
              </w:rPr>
              <w:t xml:space="preserve">, </w:t>
            </w:r>
            <w:r w:rsidRPr="0053423A">
              <w:rPr>
                <w:rFonts w:cs="Times New Roman"/>
                <w:sz w:val="20"/>
                <w:szCs w:val="20"/>
                <w:lang w:val="hy-AM"/>
              </w:rPr>
              <w:t>մշակումը</w:t>
            </w:r>
            <w:r w:rsidRPr="0053423A">
              <w:rPr>
                <w:rFonts w:cs="Times New Roman"/>
                <w:sz w:val="20"/>
                <w:szCs w:val="20"/>
                <w:lang w:val="ro-RO"/>
              </w:rPr>
              <w:t xml:space="preserve"> </w:t>
            </w:r>
            <w:r w:rsidRPr="0053423A">
              <w:rPr>
                <w:rFonts w:cs="Times New Roman"/>
                <w:sz w:val="20"/>
                <w:szCs w:val="20"/>
                <w:lang w:val="hy-AM"/>
              </w:rPr>
              <w:t>և</w:t>
            </w:r>
            <w:r w:rsidRPr="0053423A">
              <w:rPr>
                <w:rFonts w:cs="Times New Roman"/>
                <w:sz w:val="20"/>
                <w:szCs w:val="20"/>
                <w:lang w:val="ro-RO"/>
              </w:rPr>
              <w:t xml:space="preserve"> </w:t>
            </w:r>
            <w:r w:rsidRPr="0053423A">
              <w:rPr>
                <w:rFonts w:cs="Times New Roman"/>
                <w:sz w:val="20"/>
                <w:szCs w:val="20"/>
                <w:lang w:val="hy-AM"/>
              </w:rPr>
              <w:t>արդյունքների</w:t>
            </w:r>
            <w:r w:rsidRPr="0053423A">
              <w:rPr>
                <w:rFonts w:cs="Times New Roman"/>
                <w:sz w:val="20"/>
                <w:szCs w:val="20"/>
                <w:lang w:val="ro-RO"/>
              </w:rPr>
              <w:t xml:space="preserve"> </w:t>
            </w:r>
            <w:r w:rsidRPr="0053423A">
              <w:rPr>
                <w:rFonts w:cs="Times New Roman"/>
                <w:sz w:val="20"/>
                <w:szCs w:val="20"/>
                <w:lang w:val="hy-AM"/>
              </w:rPr>
              <w:t>գնահատումը</w:t>
            </w:r>
            <w:r w:rsidRPr="0053423A">
              <w:rPr>
                <w:rFonts w:cs="Times New Roman"/>
                <w:sz w:val="20"/>
                <w:szCs w:val="20"/>
                <w:lang w:val="ro-RO"/>
              </w:rPr>
              <w:t xml:space="preserve"> </w:t>
            </w:r>
            <w:r w:rsidRPr="0053423A">
              <w:rPr>
                <w:rFonts w:cs="Times New Roman"/>
                <w:sz w:val="20"/>
                <w:szCs w:val="20"/>
                <w:lang w:val="hy-AM"/>
              </w:rPr>
              <w:t>հարցախույզի</w:t>
            </w:r>
            <w:r w:rsidRPr="0053423A">
              <w:rPr>
                <w:rFonts w:cs="Times New Roman"/>
                <w:sz w:val="20"/>
                <w:szCs w:val="20"/>
                <w:lang w:val="ro-RO"/>
              </w:rPr>
              <w:t xml:space="preserve"> </w:t>
            </w:r>
            <w:r w:rsidRPr="0053423A">
              <w:rPr>
                <w:rFonts w:cs="Times New Roman"/>
                <w:sz w:val="20"/>
                <w:szCs w:val="20"/>
                <w:lang w:val="hy-AM"/>
              </w:rPr>
              <w:t>միջոցով</w:t>
            </w:r>
            <w:r w:rsidRPr="0053423A">
              <w:rPr>
                <w:rFonts w:cs="Times New Roman"/>
                <w:sz w:val="20"/>
                <w:szCs w:val="20"/>
                <w:lang w:val="ro-RO"/>
              </w:rPr>
              <w:t>:</w:t>
            </w:r>
          </w:p>
          <w:p w:rsidR="002B2CAB" w:rsidRPr="0053423A" w:rsidRDefault="002B2CAB" w:rsidP="00A67858">
            <w:pPr>
              <w:spacing w:line="276" w:lineRule="auto"/>
              <w:jc w:val="both"/>
              <w:rPr>
                <w:rFonts w:cs="Sylfaen"/>
                <w:b/>
                <w:sz w:val="20"/>
                <w:szCs w:val="20"/>
                <w:lang w:val="it-IT"/>
              </w:rPr>
            </w:pPr>
          </w:p>
          <w:p w:rsidR="002B2CAB" w:rsidRPr="0053423A" w:rsidRDefault="002B2CAB" w:rsidP="00A67858">
            <w:pPr>
              <w:spacing w:line="276" w:lineRule="auto"/>
              <w:jc w:val="center"/>
              <w:rPr>
                <w:rFonts w:cs="Times New Roman"/>
                <w:b/>
                <w:sz w:val="20"/>
                <w:szCs w:val="20"/>
                <w:lang w:val="hy-AM"/>
              </w:rPr>
            </w:pPr>
          </w:p>
        </w:tc>
      </w:tr>
      <w:tr w:rsidR="002B2CAB" w:rsidRPr="00DE2EFA" w:rsidTr="002B2CAB">
        <w:tc>
          <w:tcPr>
            <w:tcW w:w="540" w:type="dxa"/>
            <w:vMerge/>
          </w:tcPr>
          <w:p w:rsidR="002B2CAB" w:rsidRPr="0053423A" w:rsidRDefault="002B2CAB" w:rsidP="00A67858">
            <w:pPr>
              <w:spacing w:line="276" w:lineRule="auto"/>
              <w:jc w:val="center"/>
              <w:rPr>
                <w:rFonts w:cs="Times New Roman"/>
                <w:b/>
                <w:sz w:val="20"/>
                <w:szCs w:val="20"/>
                <w:lang w:val="hy-AM"/>
              </w:rPr>
            </w:pP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eastAsia="Calibri" w:cs="Sylfaen"/>
                <w:b/>
                <w:sz w:val="20"/>
                <w:szCs w:val="20"/>
                <w:u w:val="single"/>
                <w:lang w:val="ro-RO"/>
              </w:rPr>
              <w:t xml:space="preserve">1.7 </w:t>
            </w:r>
            <w:r w:rsidRPr="0053423A">
              <w:rPr>
                <w:rFonts w:eastAsia="Calibri" w:cs="Sylfaen"/>
                <w:b/>
                <w:sz w:val="20"/>
                <w:szCs w:val="20"/>
                <w:u w:val="single"/>
                <w:lang w:val="hy-AM"/>
              </w:rPr>
              <w:t>ՀՀ</w:t>
            </w:r>
            <w:r w:rsidRPr="0053423A">
              <w:rPr>
                <w:rFonts w:eastAsia="Calibri" w:cs="Sylfaen"/>
                <w:b/>
                <w:sz w:val="20"/>
                <w:szCs w:val="20"/>
                <w:u w:val="single"/>
                <w:lang w:val="ro-RO"/>
              </w:rPr>
              <w:t>-</w:t>
            </w:r>
            <w:r w:rsidRPr="0053423A">
              <w:rPr>
                <w:rFonts w:eastAsia="Calibri" w:cs="Sylfaen"/>
                <w:b/>
                <w:sz w:val="20"/>
                <w:szCs w:val="20"/>
                <w:u w:val="single"/>
                <w:lang w:val="hy-AM"/>
              </w:rPr>
              <w:t>ում</w:t>
            </w:r>
            <w:r w:rsidRPr="0053423A">
              <w:rPr>
                <w:rFonts w:eastAsia="Calibri" w:cs="Sylfaen"/>
                <w:b/>
                <w:sz w:val="20"/>
                <w:szCs w:val="20"/>
                <w:u w:val="single"/>
                <w:lang w:val="ro-RO"/>
              </w:rPr>
              <w:t xml:space="preserve"> </w:t>
            </w:r>
            <w:r w:rsidRPr="0053423A">
              <w:rPr>
                <w:rFonts w:eastAsia="Calibri" w:cs="Sylfaen"/>
                <w:b/>
                <w:sz w:val="20"/>
                <w:szCs w:val="20"/>
                <w:u w:val="single"/>
                <w:lang w:val="hy-AM"/>
              </w:rPr>
              <w:t>սիրիահայերի</w:t>
            </w:r>
            <w:r w:rsidRPr="0053423A">
              <w:rPr>
                <w:rFonts w:eastAsia="Calibri" w:cs="Sylfaen"/>
                <w:b/>
                <w:sz w:val="20"/>
                <w:szCs w:val="20"/>
                <w:u w:val="single"/>
                <w:lang w:val="ro-RO"/>
              </w:rPr>
              <w:t xml:space="preserve"> </w:t>
            </w:r>
            <w:r w:rsidRPr="0053423A">
              <w:rPr>
                <w:rFonts w:eastAsia="Calibri" w:cs="Sylfaen"/>
                <w:b/>
                <w:sz w:val="20"/>
                <w:szCs w:val="20"/>
                <w:u w:val="single"/>
                <w:lang w:val="hy-AM"/>
              </w:rPr>
              <w:t>և</w:t>
            </w:r>
            <w:r w:rsidRPr="0053423A">
              <w:rPr>
                <w:rFonts w:eastAsia="Calibri" w:cs="Sylfaen"/>
                <w:b/>
                <w:sz w:val="20"/>
                <w:szCs w:val="20"/>
                <w:u w:val="single"/>
                <w:lang w:val="ro-RO"/>
              </w:rPr>
              <w:t xml:space="preserve"> </w:t>
            </w:r>
            <w:r w:rsidRPr="0053423A">
              <w:rPr>
                <w:rFonts w:eastAsia="Calibri" w:cs="Sylfaen"/>
                <w:b/>
                <w:sz w:val="20"/>
                <w:szCs w:val="20"/>
                <w:u w:val="single"/>
                <w:lang w:val="hy-AM"/>
              </w:rPr>
              <w:t>իրաքահայերի</w:t>
            </w:r>
            <w:r w:rsidRPr="0053423A">
              <w:rPr>
                <w:rFonts w:eastAsia="Calibri" w:cs="Sylfaen"/>
                <w:b/>
                <w:sz w:val="20"/>
                <w:szCs w:val="20"/>
                <w:u w:val="single"/>
                <w:lang w:val="ro-RO"/>
              </w:rPr>
              <w:t xml:space="preserve"> </w:t>
            </w:r>
            <w:r w:rsidRPr="0053423A">
              <w:rPr>
                <w:rFonts w:eastAsia="Calibri" w:cs="Sylfaen"/>
                <w:b/>
                <w:sz w:val="20"/>
                <w:szCs w:val="20"/>
                <w:u w:val="single"/>
                <w:lang w:val="hy-AM"/>
              </w:rPr>
              <w:t>ինտեգրման</w:t>
            </w:r>
            <w:r w:rsidRPr="0053423A">
              <w:rPr>
                <w:rFonts w:eastAsia="Calibri" w:cs="Sylfaen"/>
                <w:b/>
                <w:sz w:val="20"/>
                <w:szCs w:val="20"/>
                <w:u w:val="single"/>
                <w:lang w:val="ro-RO"/>
              </w:rPr>
              <w:t xml:space="preserve"> </w:t>
            </w:r>
            <w:r w:rsidRPr="0053423A">
              <w:rPr>
                <w:rFonts w:eastAsia="Calibri" w:cs="Sylfaen"/>
                <w:b/>
                <w:sz w:val="20"/>
                <w:szCs w:val="20"/>
                <w:u w:val="single"/>
                <w:lang w:val="hy-AM"/>
              </w:rPr>
              <w:t>գործընթացի</w:t>
            </w:r>
            <w:r w:rsidRPr="0053423A">
              <w:rPr>
                <w:rFonts w:eastAsia="Calibri" w:cs="Sylfaen"/>
                <w:b/>
                <w:sz w:val="20"/>
                <w:szCs w:val="20"/>
                <w:u w:val="single"/>
                <w:lang w:val="ro-RO"/>
              </w:rPr>
              <w:t xml:space="preserve"> </w:t>
            </w:r>
            <w:r w:rsidRPr="0053423A">
              <w:rPr>
                <w:rFonts w:eastAsia="Calibri" w:cs="Sylfaen"/>
                <w:b/>
                <w:sz w:val="20"/>
                <w:szCs w:val="20"/>
                <w:u w:val="single"/>
                <w:lang w:val="hy-AM"/>
              </w:rPr>
              <w:t>արագացմանն</w:t>
            </w:r>
            <w:r w:rsidRPr="0053423A">
              <w:rPr>
                <w:rFonts w:eastAsia="Calibri" w:cs="Sylfaen"/>
                <w:b/>
                <w:sz w:val="20"/>
                <w:szCs w:val="20"/>
                <w:u w:val="single"/>
                <w:lang w:val="ro-RO"/>
              </w:rPr>
              <w:t xml:space="preserve"> </w:t>
            </w:r>
            <w:r w:rsidRPr="0053423A">
              <w:rPr>
                <w:rFonts w:eastAsia="Calibri" w:cs="Sylfaen"/>
                <w:b/>
                <w:sz w:val="20"/>
                <w:szCs w:val="20"/>
                <w:u w:val="single"/>
                <w:lang w:val="hy-AM"/>
              </w:rPr>
              <w:t>ուղղված</w:t>
            </w:r>
            <w:r w:rsidRPr="0053423A">
              <w:rPr>
                <w:rFonts w:eastAsia="Calibri" w:cs="Sylfaen"/>
                <w:b/>
                <w:sz w:val="20"/>
                <w:szCs w:val="20"/>
                <w:u w:val="single"/>
                <w:lang w:val="ro-RO"/>
              </w:rPr>
              <w:t xml:space="preserve"> </w:t>
            </w:r>
            <w:r w:rsidRPr="0053423A">
              <w:rPr>
                <w:rFonts w:eastAsia="Calibri" w:cs="Sylfaen"/>
                <w:b/>
                <w:sz w:val="20"/>
                <w:szCs w:val="20"/>
                <w:u w:val="single"/>
                <w:lang w:val="hy-AM"/>
              </w:rPr>
              <w:t>ծրագրերի</w:t>
            </w:r>
            <w:r w:rsidRPr="0053423A">
              <w:rPr>
                <w:rFonts w:eastAsia="Calibri" w:cs="Sylfaen"/>
                <w:b/>
                <w:sz w:val="20"/>
                <w:szCs w:val="20"/>
                <w:u w:val="single"/>
                <w:lang w:val="ro-RO"/>
              </w:rPr>
              <w:t xml:space="preserve"> </w:t>
            </w:r>
            <w:r w:rsidRPr="0053423A">
              <w:rPr>
                <w:rFonts w:eastAsia="Calibri" w:cs="Sylfaen"/>
                <w:b/>
                <w:sz w:val="20"/>
                <w:szCs w:val="20"/>
                <w:u w:val="single"/>
                <w:lang w:val="hy-AM"/>
              </w:rPr>
              <w:t>շարունակականության</w:t>
            </w:r>
            <w:r w:rsidRPr="0053423A">
              <w:rPr>
                <w:rFonts w:eastAsia="Calibri" w:cs="Sylfaen"/>
                <w:b/>
                <w:sz w:val="20"/>
                <w:szCs w:val="20"/>
                <w:u w:val="single"/>
                <w:lang w:val="ro-RO"/>
              </w:rPr>
              <w:t xml:space="preserve"> </w:t>
            </w:r>
            <w:r w:rsidRPr="0053423A">
              <w:rPr>
                <w:rFonts w:eastAsia="Calibri" w:cs="Sylfaen"/>
                <w:b/>
                <w:sz w:val="20"/>
                <w:szCs w:val="20"/>
                <w:u w:val="single"/>
                <w:lang w:val="hy-AM"/>
              </w:rPr>
              <w:t>ապահովում</w:t>
            </w:r>
            <w:r w:rsidRPr="0053423A">
              <w:rPr>
                <w:rFonts w:eastAsia="Calibri" w:cs="Sylfaen"/>
                <w:b/>
                <w:sz w:val="20"/>
                <w:szCs w:val="20"/>
                <w:u w:val="single"/>
                <w:lang w:val="ro-RO"/>
              </w:rPr>
              <w:t xml:space="preserve">: </w:t>
            </w:r>
            <w:r w:rsidRPr="0053423A">
              <w:rPr>
                <w:rFonts w:eastAsia="Calibri" w:cs="Times New Roman"/>
                <w:b/>
                <w:sz w:val="20"/>
                <w:szCs w:val="20"/>
                <w:u w:val="single"/>
                <w:lang w:val="hy-AM"/>
              </w:rPr>
              <w:t>Սիրիահայերի</w:t>
            </w:r>
            <w:r w:rsidRPr="0053423A">
              <w:rPr>
                <w:rFonts w:eastAsia="Calibri" w:cs="Times New Roman"/>
                <w:b/>
                <w:sz w:val="20"/>
                <w:szCs w:val="20"/>
                <w:u w:val="single"/>
                <w:lang w:val="ro-RO"/>
              </w:rPr>
              <w:t xml:space="preserve"> </w:t>
            </w:r>
            <w:r w:rsidRPr="0053423A">
              <w:rPr>
                <w:rFonts w:eastAsia="Calibri" w:cs="Times New Roman"/>
                <w:b/>
                <w:sz w:val="20"/>
                <w:szCs w:val="20"/>
                <w:u w:val="single"/>
                <w:lang w:val="hy-AM"/>
              </w:rPr>
              <w:t>բնակարանային</w:t>
            </w:r>
            <w:r w:rsidRPr="0053423A">
              <w:rPr>
                <w:rFonts w:eastAsia="Calibri" w:cs="Times New Roman"/>
                <w:b/>
                <w:sz w:val="20"/>
                <w:szCs w:val="20"/>
                <w:u w:val="single"/>
                <w:lang w:val="ro-RO"/>
              </w:rPr>
              <w:t xml:space="preserve"> և </w:t>
            </w:r>
            <w:r w:rsidRPr="0053423A">
              <w:rPr>
                <w:rFonts w:eastAsia="Calibri" w:cs="Times New Roman"/>
                <w:b/>
                <w:sz w:val="20"/>
                <w:szCs w:val="20"/>
                <w:u w:val="single"/>
                <w:lang w:val="hy-AM"/>
              </w:rPr>
              <w:t>զբաղվածության</w:t>
            </w:r>
            <w:r w:rsidRPr="0053423A">
              <w:rPr>
                <w:rFonts w:eastAsia="Calibri" w:cs="Times New Roman"/>
                <w:b/>
                <w:sz w:val="20"/>
                <w:szCs w:val="20"/>
                <w:u w:val="single"/>
                <w:lang w:val="ro-RO"/>
              </w:rPr>
              <w:t xml:space="preserve">, </w:t>
            </w:r>
            <w:r w:rsidRPr="0053423A">
              <w:rPr>
                <w:rFonts w:eastAsia="Calibri" w:cs="Times New Roman"/>
                <w:b/>
                <w:sz w:val="20"/>
                <w:szCs w:val="20"/>
                <w:u w:val="single"/>
                <w:lang w:val="hy-AM"/>
              </w:rPr>
              <w:t>առողջապահական</w:t>
            </w:r>
            <w:r w:rsidRPr="0053423A">
              <w:rPr>
                <w:rFonts w:eastAsia="Calibri" w:cs="Times New Roman"/>
                <w:b/>
                <w:sz w:val="20"/>
                <w:szCs w:val="20"/>
                <w:u w:val="single"/>
                <w:lang w:val="ro-RO"/>
              </w:rPr>
              <w:t xml:space="preserve"> </w:t>
            </w:r>
            <w:r w:rsidRPr="0053423A">
              <w:rPr>
                <w:rFonts w:eastAsia="Calibri" w:cs="Times New Roman"/>
                <w:b/>
                <w:sz w:val="20"/>
                <w:szCs w:val="20"/>
                <w:u w:val="single"/>
                <w:lang w:val="hy-AM"/>
              </w:rPr>
              <w:t>խնդիրների</w:t>
            </w:r>
            <w:r w:rsidRPr="0053423A">
              <w:rPr>
                <w:rFonts w:eastAsia="Calibri" w:cs="Times New Roman"/>
                <w:b/>
                <w:sz w:val="20"/>
                <w:szCs w:val="20"/>
                <w:u w:val="single"/>
                <w:lang w:val="ro-RO"/>
              </w:rPr>
              <w:t xml:space="preserve">, </w:t>
            </w:r>
            <w:r w:rsidRPr="0053423A">
              <w:rPr>
                <w:rFonts w:eastAsia="Calibri" w:cs="Times New Roman"/>
                <w:b/>
                <w:sz w:val="20"/>
                <w:szCs w:val="20"/>
                <w:u w:val="single"/>
                <w:lang w:val="hy-AM"/>
              </w:rPr>
              <w:t>սիրիահայ</w:t>
            </w:r>
            <w:r w:rsidRPr="0053423A">
              <w:rPr>
                <w:rFonts w:eastAsia="Calibri" w:cs="Times New Roman"/>
                <w:b/>
                <w:sz w:val="20"/>
                <w:szCs w:val="20"/>
                <w:u w:val="single"/>
                <w:lang w:val="ro-RO"/>
              </w:rPr>
              <w:t xml:space="preserve"> </w:t>
            </w:r>
            <w:r w:rsidRPr="0053423A">
              <w:rPr>
                <w:rFonts w:eastAsia="Calibri" w:cs="Times New Roman"/>
                <w:b/>
                <w:sz w:val="20"/>
                <w:szCs w:val="20"/>
                <w:u w:val="single"/>
                <w:lang w:val="hy-AM"/>
              </w:rPr>
              <w:t>ուսանողների</w:t>
            </w:r>
            <w:r w:rsidRPr="0053423A">
              <w:rPr>
                <w:rFonts w:eastAsia="Calibri" w:cs="Times New Roman"/>
                <w:b/>
                <w:sz w:val="20"/>
                <w:szCs w:val="20"/>
                <w:u w:val="single"/>
                <w:lang w:val="ro-RO"/>
              </w:rPr>
              <w:t xml:space="preserve"> </w:t>
            </w:r>
            <w:r w:rsidRPr="0053423A">
              <w:rPr>
                <w:rFonts w:eastAsia="Calibri" w:cs="Times New Roman"/>
                <w:b/>
                <w:sz w:val="20"/>
                <w:szCs w:val="20"/>
                <w:u w:val="single"/>
                <w:lang w:val="hy-AM"/>
              </w:rPr>
              <w:t>ուսման</w:t>
            </w:r>
            <w:r w:rsidRPr="0053423A">
              <w:rPr>
                <w:rFonts w:eastAsia="Calibri" w:cs="Times New Roman"/>
                <w:b/>
                <w:sz w:val="20"/>
                <w:szCs w:val="20"/>
                <w:u w:val="single"/>
                <w:lang w:val="ro-RO"/>
              </w:rPr>
              <w:t xml:space="preserve"> </w:t>
            </w:r>
            <w:r w:rsidRPr="0053423A">
              <w:rPr>
                <w:rFonts w:eastAsia="Calibri" w:cs="Times New Roman"/>
                <w:b/>
                <w:sz w:val="20"/>
                <w:szCs w:val="20"/>
                <w:u w:val="single"/>
                <w:lang w:val="hy-AM"/>
              </w:rPr>
              <w:t>վարձավճարների</w:t>
            </w:r>
            <w:r w:rsidRPr="0053423A">
              <w:rPr>
                <w:rFonts w:eastAsia="Calibri" w:cs="Times New Roman"/>
                <w:b/>
                <w:sz w:val="20"/>
                <w:szCs w:val="20"/>
                <w:u w:val="single"/>
                <w:lang w:val="ro-RO"/>
              </w:rPr>
              <w:t xml:space="preserve"> </w:t>
            </w:r>
            <w:r w:rsidRPr="0053423A">
              <w:rPr>
                <w:rFonts w:eastAsia="Calibri" w:cs="Times New Roman"/>
                <w:b/>
                <w:sz w:val="20"/>
                <w:szCs w:val="20"/>
                <w:u w:val="single"/>
                <w:lang w:val="hy-AM"/>
              </w:rPr>
              <w:t>մասնակի</w:t>
            </w:r>
            <w:r w:rsidRPr="0053423A">
              <w:rPr>
                <w:rFonts w:eastAsia="Calibri" w:cs="Times New Roman"/>
                <w:b/>
                <w:sz w:val="20"/>
                <w:szCs w:val="20"/>
                <w:u w:val="single"/>
                <w:lang w:val="ro-RO"/>
              </w:rPr>
              <w:t xml:space="preserve"> </w:t>
            </w:r>
            <w:r w:rsidRPr="0053423A">
              <w:rPr>
                <w:rFonts w:eastAsia="Calibri" w:cs="Times New Roman"/>
                <w:b/>
                <w:sz w:val="20"/>
                <w:szCs w:val="20"/>
                <w:u w:val="single"/>
                <w:lang w:val="hy-AM"/>
              </w:rPr>
              <w:t>փոխհատուցմանն</w:t>
            </w:r>
            <w:r w:rsidRPr="0053423A">
              <w:rPr>
                <w:rFonts w:eastAsia="Calibri" w:cs="Times New Roman"/>
                <w:b/>
                <w:sz w:val="20"/>
                <w:szCs w:val="20"/>
                <w:u w:val="single"/>
                <w:lang w:val="ro-RO"/>
              </w:rPr>
              <w:t xml:space="preserve"> </w:t>
            </w:r>
            <w:r w:rsidRPr="0053423A">
              <w:rPr>
                <w:rFonts w:eastAsia="Calibri" w:cs="Times New Roman"/>
                <w:b/>
                <w:sz w:val="20"/>
                <w:szCs w:val="20"/>
                <w:u w:val="single"/>
                <w:lang w:val="hy-AM"/>
              </w:rPr>
              <w:t>աջակցություն</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sz w:val="20"/>
                <w:szCs w:val="20"/>
                <w:lang w:val="hy-AM"/>
              </w:rPr>
              <w:t xml:space="preserve">Անհրաժեշտությունը բխում է Սահմանադրության 19-րդ հոդվածի 1-ին մասի պահանջներից (ոլորտային նորմատիվ իրավական ակտեր չկան): Նպատակն է </w:t>
            </w:r>
            <w:r w:rsidRPr="0053423A">
              <w:rPr>
                <w:rFonts w:cs="Times New Roman"/>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b/>
                <w:sz w:val="20"/>
                <w:szCs w:val="20"/>
                <w:lang w:val="ro-RO"/>
              </w:rPr>
              <w:t xml:space="preserve"> </w:t>
            </w:r>
          </w:p>
          <w:p w:rsidR="002B2CAB" w:rsidRPr="0053423A" w:rsidRDefault="002B2CAB" w:rsidP="001F6D5D">
            <w:pPr>
              <w:numPr>
                <w:ilvl w:val="1"/>
                <w:numId w:val="306"/>
              </w:numPr>
              <w:spacing w:line="276" w:lineRule="auto"/>
              <w:contextualSpacing/>
              <w:jc w:val="both"/>
              <w:rPr>
                <w:rFonts w:cs="Times New Roman"/>
                <w:b/>
                <w:sz w:val="20"/>
                <w:szCs w:val="20"/>
                <w:lang w:val="hy-AM"/>
              </w:rPr>
            </w:pPr>
            <w:r w:rsidRPr="0053423A">
              <w:rPr>
                <w:rFonts w:cs="Times New Roman"/>
                <w:b/>
                <w:sz w:val="20"/>
                <w:szCs w:val="20"/>
                <w:lang w:val="ro-RO"/>
              </w:rPr>
              <w:t>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Times New Roman"/>
                <w:b/>
                <w:sz w:val="20"/>
                <w:szCs w:val="20"/>
                <w:lang w:val="hy-AM"/>
              </w:rPr>
            </w:pPr>
            <w:r w:rsidRPr="0053423A">
              <w:rPr>
                <w:rFonts w:cs="Sylfaen"/>
                <w:sz w:val="20"/>
                <w:szCs w:val="20"/>
                <w:lang w:val="hy-AM"/>
              </w:rPr>
              <w:t xml:space="preserve"> Հայաստանի Հանրապետությունը 1999թ.-ից  սկսած պաշտպանություն  է  տրամադրում  միջազգային պաշտպանության կարիք ունեցող` այդ թվում նաև հայազգի օտարերկրյա  քաղաքացիներին և քաղաքացիություն չունեցող անձանց: Իրաքյան ճգնաժամի պատճառով (սկսած 2002թ.-ից)` 1450, իսրայելա-լիբանանյան հակամարտության հետևանքով (2006թ.)` 650, վրաց-օսեթական հակամարտության հետևանքով (2008թ.)` 207, ռուս-ուկրաինական հակամարտության հետևանքով (սկսած 2014թ.-ից)` 255 անձինք ՀՀ-ում ստացել են փախստականի կարգավիճակ:</w:t>
            </w:r>
            <w:r w:rsidRPr="0053423A">
              <w:rPr>
                <w:rFonts w:cs="Times New Roman"/>
                <w:sz w:val="20"/>
                <w:szCs w:val="20"/>
                <w:lang w:val="hy-AM"/>
              </w:rPr>
              <w:t xml:space="preserve"> </w:t>
            </w:r>
            <w:r w:rsidRPr="0053423A">
              <w:rPr>
                <w:rFonts w:cs="Times New Roman"/>
                <w:bCs/>
                <w:sz w:val="20"/>
                <w:szCs w:val="20"/>
                <w:lang w:val="hy-AM"/>
              </w:rPr>
              <w:t>Սիրիական հակամարտության սկսվելուց ի վեր ավելի քան 22.000 մարդ, առավելապես ազգությամբ հայեր, ինչպես նաև արաբներ, քրդեր, ասորիներ տեղահանվել և պաշտպանություն են գտել Հայաստանում:</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hd w:val="clear" w:color="auto" w:fill="FFFFFF"/>
              <w:spacing w:line="276" w:lineRule="auto"/>
              <w:jc w:val="both"/>
              <w:rPr>
                <w:rFonts w:cs="Sylfaen"/>
                <w:sz w:val="20"/>
                <w:szCs w:val="20"/>
                <w:lang w:val="af-ZA"/>
              </w:rPr>
            </w:pPr>
            <w:r w:rsidRPr="0053423A">
              <w:rPr>
                <w:rFonts w:cs="Times New Roman"/>
                <w:sz w:val="20"/>
                <w:szCs w:val="20"/>
                <w:lang w:val="hy-AM"/>
              </w:rPr>
              <w:t xml:space="preserve">Շարունակել նպաստել միջազգային բեռի թեթևացմանը և ներդրում ունենալ միջազգային խնդիրների լուծմանը՝ նպաստելով Սիրիայից </w:t>
            </w:r>
            <w:r w:rsidRPr="0053423A">
              <w:rPr>
                <w:rFonts w:cs="Sylfaen"/>
                <w:sz w:val="20"/>
                <w:szCs w:val="20"/>
                <w:lang w:val="hy-AM"/>
              </w:rPr>
              <w:t xml:space="preserve">Հայաստան տեղափոխվել ցանկացող </w:t>
            </w:r>
            <w:r w:rsidRPr="0053423A">
              <w:rPr>
                <w:rFonts w:cs="Times New Roman"/>
                <w:sz w:val="20"/>
                <w:szCs w:val="20"/>
                <w:lang w:val="hy-AM"/>
              </w:rPr>
              <w:t>հայերի տեղափոխմանը Հայաստան, Հայաստանում վերջիններիս պատշաճ ընդունմանը և երկարաժամկետ ինտեգրմանը, նպաստավոր պայմաններ ստեղծելով Սիրիայից այլ փախստականների պատշաճ ընդունման և ինտեգրման համար</w:t>
            </w:r>
            <w:r w:rsidRPr="0053423A">
              <w:rPr>
                <w:rFonts w:cs="Times New Roman"/>
                <w:sz w:val="20"/>
                <w:szCs w:val="20"/>
                <w:lang w:val="af-ZA"/>
              </w:rPr>
              <w:t>:</w:t>
            </w:r>
            <w:r w:rsidRPr="0053423A">
              <w:rPr>
                <w:rFonts w:cs="Sylfaen"/>
                <w:sz w:val="20"/>
                <w:szCs w:val="20"/>
                <w:lang w:val="af-ZA"/>
              </w:rPr>
              <w:t xml:space="preserve"> </w:t>
            </w:r>
            <w:r w:rsidRPr="0053423A">
              <w:rPr>
                <w:rFonts w:cs="Times New Roman"/>
                <w:sz w:val="20"/>
                <w:szCs w:val="20"/>
                <w:lang w:val="hy-AM"/>
              </w:rPr>
              <w:t>Տեղահանված անձանց համար Հայաստանում պաշտպանության տարբերակների</w:t>
            </w:r>
            <w:r w:rsidRPr="0053423A">
              <w:rPr>
                <w:rFonts w:cs="Times New Roman"/>
                <w:sz w:val="20"/>
                <w:szCs w:val="20"/>
                <w:lang w:val="af-ZA"/>
              </w:rPr>
              <w:t xml:space="preserve"> </w:t>
            </w:r>
            <w:r w:rsidRPr="0053423A">
              <w:rPr>
                <w:rFonts w:cs="Times New Roman"/>
                <w:sz w:val="20"/>
                <w:szCs w:val="20"/>
                <w:lang w:val="hy-AM"/>
              </w:rPr>
              <w:t>մշակում</w:t>
            </w:r>
            <w:r w:rsidRPr="0053423A">
              <w:rPr>
                <w:rFonts w:cs="Times New Roman"/>
                <w:sz w:val="20"/>
                <w:szCs w:val="20"/>
                <w:lang w:val="af-ZA"/>
              </w:rPr>
              <w:t xml:space="preserve"> </w:t>
            </w:r>
            <w:r w:rsidRPr="0053423A">
              <w:rPr>
                <w:rFonts w:cs="Times New Roman"/>
                <w:sz w:val="20"/>
                <w:szCs w:val="20"/>
                <w:lang w:val="hy-AM"/>
              </w:rPr>
              <w:t xml:space="preserve">միջազգային չափանիշերին համապատասխան՝ ապաստան հայցելու ընթացակարգերի հասանելիություն և ներկայացվող հայցերի արագացված կարգով ուսումնասիրություն, </w:t>
            </w:r>
            <w:r w:rsidRPr="0053423A">
              <w:rPr>
                <w:rFonts w:cs="Times New Roman"/>
                <w:bCs/>
                <w:sz w:val="20"/>
                <w:szCs w:val="20"/>
                <w:lang w:val="hy-AM"/>
              </w:rPr>
              <w:t>պարզեցված և արագացված կարգով ՀՀ քաղաքացիության շնորհում կամ</w:t>
            </w:r>
            <w:r w:rsidRPr="0053423A">
              <w:rPr>
                <w:rFonts w:cs="Times New Roman"/>
                <w:bCs/>
                <w:sz w:val="20"/>
                <w:szCs w:val="20"/>
                <w:lang w:val="af-ZA"/>
              </w:rPr>
              <w:t xml:space="preserve"> </w:t>
            </w:r>
            <w:r w:rsidRPr="0053423A">
              <w:rPr>
                <w:rFonts w:cs="Times New Roman"/>
                <w:bCs/>
                <w:sz w:val="20"/>
                <w:szCs w:val="20"/>
                <w:lang w:val="hy-AM"/>
              </w:rPr>
              <w:t>պարզեցված և արագացված կարգով կացության կարգավիճակի տրամադրում</w:t>
            </w:r>
            <w:r w:rsidRPr="0053423A">
              <w:rPr>
                <w:rFonts w:cs="Times New Roman"/>
                <w:sz w:val="20"/>
                <w:szCs w:val="20"/>
                <w:lang w:val="pt-BR"/>
              </w:rPr>
              <w:t>:</w:t>
            </w:r>
            <w:r w:rsidRPr="0053423A">
              <w:rPr>
                <w:rFonts w:cs="Times New Roman"/>
                <w:b/>
                <w:sz w:val="20"/>
                <w:szCs w:val="20"/>
                <w:lang w:val="af-ZA"/>
              </w:rPr>
              <w:t xml:space="preserve">  </w:t>
            </w:r>
          </w:p>
          <w:p w:rsidR="002B2CAB" w:rsidRPr="0053423A" w:rsidRDefault="002B2CAB" w:rsidP="00A67858">
            <w:pPr>
              <w:shd w:val="clear" w:color="auto" w:fill="FFFFFF"/>
              <w:spacing w:line="276" w:lineRule="auto"/>
              <w:rPr>
                <w:rFonts w:eastAsia="Calibri" w:cs="Times New Roman"/>
                <w:b/>
                <w:color w:val="000000"/>
                <w:sz w:val="20"/>
                <w:szCs w:val="20"/>
                <w:lang w:val="hy-AM"/>
              </w:rPr>
            </w:pPr>
            <w:r w:rsidRPr="0053423A">
              <w:rPr>
                <w:rFonts w:eastAsia="Calibri" w:cs="Times New Roman"/>
                <w:b/>
                <w:color w:val="000000"/>
                <w:sz w:val="20"/>
                <w:szCs w:val="20"/>
                <w:lang w:val="af-ZA"/>
              </w:rPr>
              <w:t>3</w:t>
            </w:r>
            <w:r w:rsidRPr="0053423A">
              <w:rPr>
                <w:rFonts w:eastAsia="Calibri" w:cs="Times New Roman"/>
                <w:b/>
                <w:color w:val="000000"/>
                <w:sz w:val="20"/>
                <w:szCs w:val="20"/>
                <w:lang w:val="hy-AM"/>
              </w:rPr>
              <w:t>. Ակնկալվող արդյունքը</w:t>
            </w:r>
          </w:p>
          <w:p w:rsidR="002B2CAB" w:rsidRPr="0053423A" w:rsidRDefault="002B2CAB" w:rsidP="00A67858">
            <w:pPr>
              <w:spacing w:line="276" w:lineRule="auto"/>
              <w:jc w:val="both"/>
              <w:rPr>
                <w:rFonts w:cs="Lucida Grande"/>
                <w:sz w:val="20"/>
                <w:szCs w:val="20"/>
                <w:lang w:val="it-IT"/>
              </w:rPr>
            </w:pPr>
            <w:r w:rsidRPr="0053423A">
              <w:rPr>
                <w:rFonts w:eastAsia="Calibri" w:cs="Lucida Grande"/>
                <w:sz w:val="20"/>
                <w:szCs w:val="20"/>
                <w:lang w:val="hy-AM"/>
              </w:rPr>
              <w:t xml:space="preserve">Ծրագրի </w:t>
            </w:r>
            <w:r w:rsidRPr="0053423A">
              <w:rPr>
                <w:rFonts w:cs="Lucida Grande"/>
                <w:sz w:val="20"/>
                <w:szCs w:val="20"/>
                <w:lang w:val="hy-AM"/>
              </w:rPr>
              <w:t xml:space="preserve">իրականացմամբ կապահովվի ՀՀ-ում բնակվող սիրիահայերի և իրաքահայերի սոցիալ-տնտեսական լիարժեք ինտեգրմանն ուղղված՝  </w:t>
            </w:r>
            <w:r w:rsidRPr="0053423A">
              <w:rPr>
                <w:rFonts w:cs="Lucida Grande"/>
                <w:sz w:val="20"/>
                <w:szCs w:val="20"/>
                <w:lang w:val="af-ZA"/>
              </w:rPr>
              <w:t xml:space="preserve">առաջնահերթ միջամտություն և բարեփոխումներ պահանջող ոլորտների երկարաժամկետ կարգավորման գործընթացը, ինչպես նաև </w:t>
            </w:r>
            <w:r w:rsidRPr="0053423A">
              <w:rPr>
                <w:rFonts w:eastAsia="Calibri" w:cs="Times New Roman"/>
                <w:sz w:val="20"/>
                <w:szCs w:val="20"/>
                <w:lang w:val="hy-AM"/>
              </w:rPr>
              <w:t>սիրիահայերի</w:t>
            </w:r>
            <w:r w:rsidRPr="0053423A">
              <w:rPr>
                <w:rFonts w:eastAsia="Calibri" w:cs="Times New Roman"/>
                <w:sz w:val="20"/>
                <w:szCs w:val="20"/>
                <w:lang w:val="af-ZA"/>
              </w:rPr>
              <w:t xml:space="preserve"> </w:t>
            </w:r>
            <w:r w:rsidRPr="0053423A">
              <w:rPr>
                <w:rFonts w:eastAsia="Calibri" w:cs="Times New Roman"/>
                <w:sz w:val="20"/>
                <w:szCs w:val="20"/>
                <w:lang w:val="hy-AM"/>
              </w:rPr>
              <w:t>և</w:t>
            </w:r>
            <w:r w:rsidRPr="0053423A">
              <w:rPr>
                <w:rFonts w:eastAsia="Calibri" w:cs="Times New Roman"/>
                <w:sz w:val="20"/>
                <w:szCs w:val="20"/>
                <w:lang w:val="af-ZA"/>
              </w:rPr>
              <w:t xml:space="preserve"> </w:t>
            </w:r>
            <w:r w:rsidRPr="0053423A">
              <w:rPr>
                <w:rFonts w:eastAsia="Calibri" w:cs="Times New Roman"/>
                <w:sz w:val="20"/>
                <w:szCs w:val="20"/>
                <w:lang w:val="hy-AM"/>
              </w:rPr>
              <w:t>իրաքահայերի</w:t>
            </w:r>
            <w:r w:rsidRPr="0053423A">
              <w:rPr>
                <w:rFonts w:eastAsia="Calibri" w:cs="Times New Roman"/>
                <w:sz w:val="20"/>
                <w:szCs w:val="20"/>
                <w:lang w:val="af-ZA"/>
              </w:rPr>
              <w:t xml:space="preserve"> </w:t>
            </w:r>
            <w:r w:rsidRPr="0053423A">
              <w:rPr>
                <w:rFonts w:eastAsia="Calibri" w:cs="Times New Roman"/>
                <w:sz w:val="20"/>
                <w:szCs w:val="20"/>
                <w:lang w:val="hy-AM"/>
              </w:rPr>
              <w:t>կրթական</w:t>
            </w:r>
            <w:r w:rsidRPr="0053423A">
              <w:rPr>
                <w:rFonts w:eastAsia="Calibri" w:cs="Times New Roman"/>
                <w:sz w:val="20"/>
                <w:szCs w:val="20"/>
                <w:lang w:val="af-ZA"/>
              </w:rPr>
              <w:t xml:space="preserve">, </w:t>
            </w:r>
            <w:r w:rsidRPr="0053423A">
              <w:rPr>
                <w:rFonts w:eastAsia="Calibri" w:cs="Times New Roman"/>
                <w:sz w:val="20"/>
                <w:szCs w:val="20"/>
                <w:lang w:val="hy-AM"/>
              </w:rPr>
              <w:t>մշակութային</w:t>
            </w:r>
            <w:r w:rsidRPr="0053423A">
              <w:rPr>
                <w:rFonts w:eastAsia="Calibri" w:cs="Times New Roman"/>
                <w:sz w:val="20"/>
                <w:szCs w:val="20"/>
                <w:lang w:val="af-ZA"/>
              </w:rPr>
              <w:t xml:space="preserve">, </w:t>
            </w:r>
            <w:r w:rsidRPr="0053423A">
              <w:rPr>
                <w:rFonts w:eastAsia="Calibri" w:cs="Times New Roman"/>
                <w:sz w:val="20"/>
                <w:szCs w:val="20"/>
                <w:lang w:val="hy-AM"/>
              </w:rPr>
              <w:t>սոցիալ</w:t>
            </w:r>
            <w:r w:rsidRPr="0053423A">
              <w:rPr>
                <w:rFonts w:eastAsia="Calibri" w:cs="Times New Roman"/>
                <w:sz w:val="20"/>
                <w:szCs w:val="20"/>
                <w:lang w:val="af-ZA"/>
              </w:rPr>
              <w:t>-</w:t>
            </w:r>
            <w:r w:rsidRPr="0053423A">
              <w:rPr>
                <w:rFonts w:eastAsia="Calibri" w:cs="Times New Roman"/>
                <w:sz w:val="20"/>
                <w:szCs w:val="20"/>
                <w:lang w:val="hy-AM"/>
              </w:rPr>
              <w:t>տնտեսական</w:t>
            </w:r>
            <w:r w:rsidRPr="0053423A">
              <w:rPr>
                <w:rFonts w:eastAsia="Calibri" w:cs="Times New Roman"/>
                <w:sz w:val="20"/>
                <w:szCs w:val="20"/>
                <w:lang w:val="af-ZA"/>
              </w:rPr>
              <w:t xml:space="preserve"> </w:t>
            </w:r>
            <w:r w:rsidRPr="0053423A">
              <w:rPr>
                <w:rFonts w:eastAsia="Calibri" w:cs="Times New Roman"/>
                <w:sz w:val="20"/>
                <w:szCs w:val="20"/>
                <w:lang w:val="hy-AM"/>
              </w:rPr>
              <w:t>ինտեգրման</w:t>
            </w:r>
            <w:r w:rsidRPr="0053423A">
              <w:rPr>
                <w:rFonts w:eastAsia="Calibri" w:cs="Times New Roman"/>
                <w:sz w:val="20"/>
                <w:szCs w:val="20"/>
                <w:lang w:val="af-ZA"/>
              </w:rPr>
              <w:t xml:space="preserve"> </w:t>
            </w:r>
            <w:r w:rsidRPr="0053423A">
              <w:rPr>
                <w:rFonts w:eastAsia="Calibri" w:cs="Times New Roman"/>
                <w:sz w:val="20"/>
                <w:szCs w:val="20"/>
                <w:lang w:val="hy-AM"/>
              </w:rPr>
              <w:t>խնդիրների</w:t>
            </w:r>
            <w:r w:rsidRPr="0053423A">
              <w:rPr>
                <w:rFonts w:eastAsia="Calibri" w:cs="Times New Roman"/>
                <w:sz w:val="20"/>
                <w:szCs w:val="20"/>
                <w:lang w:val="af-ZA"/>
              </w:rPr>
              <w:t xml:space="preserve"> </w:t>
            </w:r>
            <w:r w:rsidRPr="0053423A">
              <w:rPr>
                <w:rFonts w:eastAsia="Calibri" w:cs="Times New Roman"/>
                <w:sz w:val="20"/>
                <w:szCs w:val="20"/>
                <w:lang w:val="hy-AM"/>
              </w:rPr>
              <w:t>լուծմանը</w:t>
            </w:r>
            <w:r w:rsidRPr="0053423A">
              <w:rPr>
                <w:rFonts w:eastAsia="Calibri" w:cs="Times New Roman"/>
                <w:sz w:val="20"/>
                <w:szCs w:val="20"/>
                <w:lang w:val="af-ZA"/>
              </w:rPr>
              <w:t xml:space="preserve"> </w:t>
            </w:r>
            <w:r w:rsidRPr="0053423A">
              <w:rPr>
                <w:rFonts w:eastAsia="Calibri" w:cs="Times New Roman"/>
                <w:sz w:val="20"/>
                <w:szCs w:val="20"/>
                <w:lang w:val="hy-AM"/>
              </w:rPr>
              <w:t>նպաստող</w:t>
            </w:r>
            <w:r w:rsidRPr="0053423A">
              <w:rPr>
                <w:rFonts w:eastAsia="Calibri" w:cs="Times New Roman"/>
                <w:sz w:val="20"/>
                <w:szCs w:val="20"/>
                <w:lang w:val="af-ZA"/>
              </w:rPr>
              <w:t xml:space="preserve"> </w:t>
            </w:r>
            <w:r w:rsidRPr="0053423A">
              <w:rPr>
                <w:rFonts w:eastAsia="Calibri" w:cs="Times New Roman"/>
                <w:sz w:val="20"/>
                <w:szCs w:val="20"/>
                <w:lang w:val="hy-AM"/>
              </w:rPr>
              <w:t xml:space="preserve">ծրագրերի </w:t>
            </w:r>
            <w:r w:rsidRPr="0053423A">
              <w:rPr>
                <w:rFonts w:cs="Lucida Grande"/>
                <w:sz w:val="20"/>
                <w:szCs w:val="20"/>
                <w:lang w:val="hy-AM"/>
              </w:rPr>
              <w:t>շարունակականությունը՝ լուծելով ինտեգրման գործընթացի արագացմանը խոչընդոտող խընդիրները՝ միաժամանակ՝ նպաստելով Կ</w:t>
            </w:r>
            <w:r w:rsidRPr="0053423A">
              <w:rPr>
                <w:rFonts w:cs="Lucida Grande"/>
                <w:sz w:val="20"/>
                <w:szCs w:val="20"/>
                <w:lang w:val="it-IT"/>
              </w:rPr>
              <w:t>առավարության նկատմամբ վստհության ամրապնդմանը, խթանելով ինչպես տարածաշրջանից, այնպես էլ համայն սփյուռքից հայրենադարձների հոսքի մեծացմանը:</w:t>
            </w:r>
          </w:p>
          <w:p w:rsidR="002B2CAB" w:rsidRPr="0053423A" w:rsidRDefault="002B2CAB" w:rsidP="00A67858">
            <w:pPr>
              <w:spacing w:line="276" w:lineRule="auto"/>
              <w:jc w:val="both"/>
              <w:rPr>
                <w:rFonts w:cs="Times New Roman"/>
                <w:sz w:val="20"/>
                <w:szCs w:val="20"/>
                <w:lang w:val="it-IT"/>
              </w:rPr>
            </w:pPr>
          </w:p>
        </w:tc>
      </w:tr>
      <w:tr w:rsidR="002B2CAB" w:rsidRPr="0053423A" w:rsidTr="002B2CAB">
        <w:tc>
          <w:tcPr>
            <w:tcW w:w="540" w:type="dxa"/>
            <w:vMerge/>
          </w:tcPr>
          <w:p w:rsidR="002B2CAB" w:rsidRPr="0053423A" w:rsidRDefault="002B2CAB" w:rsidP="00A67858">
            <w:pPr>
              <w:spacing w:line="276" w:lineRule="auto"/>
              <w:jc w:val="center"/>
              <w:rPr>
                <w:rFonts w:cs="Times New Roman"/>
                <w:b/>
                <w:sz w:val="20"/>
                <w:szCs w:val="20"/>
                <w:lang w:val="hy-AM"/>
              </w:rPr>
            </w:pP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eastAsia="Calibri" w:cs="Times New Roman"/>
                <w:b/>
                <w:sz w:val="20"/>
                <w:szCs w:val="20"/>
                <w:u w:val="single"/>
                <w:lang w:val="hy-AM"/>
              </w:rPr>
              <w:t>1.8 Սփյուռքի</w:t>
            </w:r>
            <w:r w:rsidRPr="0053423A">
              <w:rPr>
                <w:rFonts w:eastAsia="Calibri" w:cs="Times New Roman"/>
                <w:b/>
                <w:sz w:val="20"/>
                <w:szCs w:val="20"/>
                <w:u w:val="single"/>
                <w:lang w:val="ro-RO"/>
              </w:rPr>
              <w:t xml:space="preserve"> </w:t>
            </w:r>
            <w:r w:rsidRPr="0053423A">
              <w:rPr>
                <w:rFonts w:eastAsia="Calibri" w:cs="Times New Roman"/>
                <w:b/>
                <w:sz w:val="20"/>
                <w:szCs w:val="20"/>
                <w:u w:val="single"/>
                <w:lang w:val="hy-AM"/>
              </w:rPr>
              <w:t>երիտասարդների</w:t>
            </w:r>
            <w:r w:rsidRPr="0053423A">
              <w:rPr>
                <w:rFonts w:eastAsia="Calibri" w:cs="Times New Roman"/>
                <w:b/>
                <w:sz w:val="20"/>
                <w:szCs w:val="20"/>
                <w:u w:val="single"/>
                <w:lang w:val="ro-RO"/>
              </w:rPr>
              <w:t xml:space="preserve"> «</w:t>
            </w:r>
            <w:r w:rsidRPr="0053423A">
              <w:rPr>
                <w:rFonts w:eastAsia="Calibri" w:cs="Times New Roman"/>
                <w:b/>
                <w:sz w:val="20"/>
                <w:szCs w:val="20"/>
                <w:u w:val="single"/>
                <w:lang w:val="hy-AM"/>
              </w:rPr>
              <w:t>ներՈՒԺ</w:t>
            </w:r>
            <w:r w:rsidRPr="0053423A">
              <w:rPr>
                <w:rFonts w:eastAsia="Calibri" w:cs="Times New Roman"/>
                <w:b/>
                <w:sz w:val="20"/>
                <w:szCs w:val="20"/>
                <w:u w:val="single"/>
                <w:lang w:val="ro-RO"/>
              </w:rPr>
              <w:t xml:space="preserve">» </w:t>
            </w:r>
            <w:r w:rsidRPr="0053423A">
              <w:rPr>
                <w:rFonts w:eastAsia="Calibri" w:cs="Times New Roman"/>
                <w:b/>
                <w:sz w:val="20"/>
                <w:szCs w:val="20"/>
                <w:u w:val="single"/>
                <w:lang w:val="hy-AM"/>
              </w:rPr>
              <w:t>ծրագրի</w:t>
            </w:r>
            <w:r w:rsidRPr="0053423A">
              <w:rPr>
                <w:rFonts w:eastAsia="Calibri" w:cs="Times New Roman"/>
                <w:b/>
                <w:sz w:val="20"/>
                <w:szCs w:val="20"/>
                <w:u w:val="single"/>
                <w:lang w:val="ro-RO"/>
              </w:rPr>
              <w:t xml:space="preserve"> </w:t>
            </w:r>
            <w:r w:rsidRPr="0053423A">
              <w:rPr>
                <w:rFonts w:eastAsia="Calibri" w:cs="Times New Roman"/>
                <w:b/>
                <w:sz w:val="20"/>
                <w:szCs w:val="20"/>
                <w:u w:val="single"/>
                <w:lang w:val="hy-AM"/>
              </w:rPr>
              <w:t>իրականացում</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sz w:val="20"/>
                <w:szCs w:val="20"/>
                <w:lang w:val="hy-AM"/>
              </w:rPr>
              <w:t xml:space="preserve">Անհրաժեշտությունը բխում է Սահմանադրության 19-րդ հոդվածի 1-ին մասի պահանջներից (ոլորտային նորմատիվ իրավական ակտեր չկան): Նպատակն է </w:t>
            </w:r>
            <w:r w:rsidRPr="0053423A">
              <w:rPr>
                <w:rFonts w:cs="Times New Roman"/>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b/>
                <w:sz w:val="20"/>
                <w:szCs w:val="20"/>
                <w:lang w:val="ro-RO"/>
              </w:rPr>
              <w:t xml:space="preserve"> </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ro-RO"/>
              </w:rPr>
              <w:t>1.1. 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Times New Roman"/>
                <w:color w:val="000000"/>
                <w:sz w:val="20"/>
                <w:szCs w:val="20"/>
                <w:shd w:val="clear" w:color="auto" w:fill="FFFFFF"/>
                <w:lang w:val="pt-BR"/>
              </w:rPr>
            </w:pPr>
            <w:r w:rsidRPr="0053423A">
              <w:rPr>
                <w:rFonts w:cs="Sylfaen"/>
                <w:sz w:val="20"/>
                <w:szCs w:val="20"/>
                <w:lang w:val="hy-AM"/>
              </w:rPr>
              <w:t xml:space="preserve">Աջակցել Հայաստանի Հանրապետությունում ներդումների իրականացմանը, որը կբերի նոր աշխատատեղերի ստեղծման: Այդ աշխատանքներում կարևոր է սփյուռքի երիտասարդության ներուժի ներգրավումը: </w:t>
            </w:r>
            <w:r w:rsidRPr="0053423A">
              <w:rPr>
                <w:rFonts w:cs="Sylfaen"/>
                <w:color w:val="000000"/>
                <w:sz w:val="20"/>
                <w:szCs w:val="20"/>
                <w:shd w:val="clear" w:color="auto" w:fill="FFFFFF"/>
                <w:lang w:val="hy-AM"/>
              </w:rPr>
              <w:t>Ծրագրի</w:t>
            </w:r>
            <w:r w:rsidRPr="0053423A">
              <w:rPr>
                <w:rFonts w:cs="Times New Roman"/>
                <w:color w:val="000000"/>
                <w:sz w:val="20"/>
                <w:szCs w:val="20"/>
                <w:shd w:val="clear" w:color="auto" w:fill="FFFFFF"/>
                <w:lang w:val="pt-BR"/>
              </w:rPr>
              <w:t xml:space="preserve"> </w:t>
            </w:r>
            <w:r w:rsidRPr="0053423A">
              <w:rPr>
                <w:rFonts w:cs="Sylfaen"/>
                <w:color w:val="000000"/>
                <w:sz w:val="20"/>
                <w:szCs w:val="20"/>
                <w:shd w:val="clear" w:color="auto" w:fill="FFFFFF"/>
                <w:lang w:val="hy-AM"/>
              </w:rPr>
              <w:t>նպատակն</w:t>
            </w:r>
            <w:r w:rsidRPr="0053423A">
              <w:rPr>
                <w:rFonts w:cs="Times New Roman"/>
                <w:color w:val="000000"/>
                <w:sz w:val="20"/>
                <w:szCs w:val="20"/>
                <w:shd w:val="clear" w:color="auto" w:fill="FFFFFF"/>
                <w:lang w:val="pt-BR"/>
              </w:rPr>
              <w:t xml:space="preserve"> </w:t>
            </w:r>
            <w:r w:rsidRPr="0053423A">
              <w:rPr>
                <w:rFonts w:cs="Sylfaen"/>
                <w:color w:val="000000"/>
                <w:sz w:val="20"/>
                <w:szCs w:val="20"/>
                <w:shd w:val="clear" w:color="auto" w:fill="FFFFFF"/>
                <w:lang w:val="hy-AM"/>
              </w:rPr>
              <w:t>է</w:t>
            </w:r>
            <w:r w:rsidRPr="0053423A">
              <w:rPr>
                <w:rFonts w:cs="Times New Roman"/>
                <w:color w:val="000000"/>
                <w:sz w:val="20"/>
                <w:szCs w:val="20"/>
                <w:shd w:val="clear" w:color="auto" w:fill="FFFFFF"/>
                <w:lang w:val="pt-BR"/>
              </w:rPr>
              <w:t xml:space="preserve"> </w:t>
            </w:r>
            <w:r w:rsidRPr="0053423A">
              <w:rPr>
                <w:rFonts w:cs="Sylfaen"/>
                <w:color w:val="000000"/>
                <w:sz w:val="20"/>
                <w:szCs w:val="20"/>
                <w:shd w:val="clear" w:color="auto" w:fill="FFFFFF"/>
                <w:lang w:val="hy-AM"/>
              </w:rPr>
              <w:t>սփյուռքի</w:t>
            </w:r>
            <w:r w:rsidRPr="0053423A">
              <w:rPr>
                <w:rFonts w:cs="Times New Roman"/>
                <w:color w:val="000000"/>
                <w:sz w:val="20"/>
                <w:szCs w:val="20"/>
                <w:shd w:val="clear" w:color="auto" w:fill="FFFFFF"/>
                <w:lang w:val="pt-BR"/>
              </w:rPr>
              <w:t xml:space="preserve"> </w:t>
            </w:r>
            <w:r w:rsidRPr="0053423A">
              <w:rPr>
                <w:rFonts w:cs="Sylfaen"/>
                <w:color w:val="000000"/>
                <w:sz w:val="20"/>
                <w:szCs w:val="20"/>
                <w:shd w:val="clear" w:color="auto" w:fill="FFFFFF"/>
                <w:lang w:val="hy-AM"/>
              </w:rPr>
              <w:t>հայազգի</w:t>
            </w:r>
            <w:r w:rsidRPr="0053423A">
              <w:rPr>
                <w:rFonts w:cs="Times New Roman"/>
                <w:color w:val="000000"/>
                <w:sz w:val="20"/>
                <w:szCs w:val="20"/>
                <w:shd w:val="clear" w:color="auto" w:fill="FFFFFF"/>
                <w:lang w:val="pt-BR"/>
              </w:rPr>
              <w:t xml:space="preserve"> </w:t>
            </w:r>
            <w:r w:rsidRPr="0053423A">
              <w:rPr>
                <w:rFonts w:cs="Sylfaen"/>
                <w:color w:val="000000"/>
                <w:sz w:val="20"/>
                <w:szCs w:val="20"/>
                <w:shd w:val="clear" w:color="auto" w:fill="FFFFFF"/>
                <w:lang w:val="hy-AM"/>
              </w:rPr>
              <w:t>ձեռներեցների</w:t>
            </w:r>
            <w:r w:rsidRPr="0053423A">
              <w:rPr>
                <w:rFonts w:cs="Times New Roman"/>
                <w:color w:val="000000"/>
                <w:sz w:val="20"/>
                <w:szCs w:val="20"/>
                <w:shd w:val="clear" w:color="auto" w:fill="FFFFFF"/>
                <w:lang w:val="pt-BR"/>
              </w:rPr>
              <w:t xml:space="preserve"> </w:t>
            </w:r>
            <w:r w:rsidRPr="0053423A">
              <w:rPr>
                <w:rFonts w:cs="Sylfaen"/>
                <w:color w:val="000000"/>
                <w:sz w:val="20"/>
                <w:szCs w:val="20"/>
                <w:shd w:val="clear" w:color="auto" w:fill="FFFFFF"/>
                <w:lang w:val="hy-AM"/>
              </w:rPr>
              <w:t>համար</w:t>
            </w:r>
            <w:r w:rsidRPr="0053423A">
              <w:rPr>
                <w:rFonts w:cs="Times New Roman"/>
                <w:color w:val="000000"/>
                <w:sz w:val="20"/>
                <w:szCs w:val="20"/>
                <w:shd w:val="clear" w:color="auto" w:fill="FFFFFF"/>
                <w:lang w:val="pt-BR"/>
              </w:rPr>
              <w:t xml:space="preserve"> </w:t>
            </w:r>
            <w:r w:rsidRPr="0053423A">
              <w:rPr>
                <w:rFonts w:cs="Sylfaen"/>
                <w:color w:val="000000"/>
                <w:sz w:val="20"/>
                <w:szCs w:val="20"/>
                <w:shd w:val="clear" w:color="auto" w:fill="FFFFFF"/>
                <w:lang w:val="hy-AM"/>
              </w:rPr>
              <w:t>հնարավորություն</w:t>
            </w:r>
            <w:r w:rsidRPr="0053423A">
              <w:rPr>
                <w:rFonts w:cs="Times New Roman"/>
                <w:color w:val="000000"/>
                <w:sz w:val="20"/>
                <w:szCs w:val="20"/>
                <w:shd w:val="clear" w:color="auto" w:fill="FFFFFF"/>
                <w:lang w:val="pt-BR"/>
              </w:rPr>
              <w:t xml:space="preserve"> </w:t>
            </w:r>
            <w:r w:rsidRPr="0053423A">
              <w:rPr>
                <w:rFonts w:cs="Sylfaen"/>
                <w:color w:val="000000"/>
                <w:sz w:val="20"/>
                <w:szCs w:val="20"/>
                <w:shd w:val="clear" w:color="auto" w:fill="FFFFFF"/>
                <w:lang w:val="hy-AM"/>
              </w:rPr>
              <w:t>ստեղծել</w:t>
            </w:r>
            <w:r w:rsidRPr="0053423A">
              <w:rPr>
                <w:rFonts w:cs="Sylfaen"/>
                <w:color w:val="000000"/>
                <w:sz w:val="20"/>
                <w:szCs w:val="20"/>
                <w:shd w:val="clear" w:color="auto" w:fill="FFFFFF"/>
                <w:lang w:val="pt-BR"/>
              </w:rPr>
              <w:t xml:space="preserve">  </w:t>
            </w:r>
            <w:r w:rsidRPr="0053423A">
              <w:rPr>
                <w:rFonts w:cs="Sylfaen"/>
                <w:color w:val="000000"/>
                <w:sz w:val="20"/>
                <w:szCs w:val="20"/>
                <w:shd w:val="clear" w:color="auto" w:fill="FFFFFF"/>
                <w:lang w:val="hy-AM"/>
              </w:rPr>
              <w:t>Հայաստան</w:t>
            </w:r>
            <w:r w:rsidRPr="0053423A">
              <w:rPr>
                <w:rFonts w:cs="Times New Roman"/>
                <w:color w:val="000000"/>
                <w:sz w:val="20"/>
                <w:szCs w:val="20"/>
                <w:shd w:val="clear" w:color="auto" w:fill="FFFFFF"/>
                <w:lang w:val="pt-BR"/>
              </w:rPr>
              <w:t xml:space="preserve">ում </w:t>
            </w:r>
            <w:r w:rsidRPr="0053423A">
              <w:rPr>
                <w:rFonts w:cs="Sylfaen"/>
                <w:color w:val="000000"/>
                <w:sz w:val="20"/>
                <w:szCs w:val="20"/>
                <w:shd w:val="clear" w:color="auto" w:fill="FFFFFF"/>
                <w:lang w:val="hy-AM"/>
              </w:rPr>
              <w:t>խթանելու</w:t>
            </w:r>
            <w:r w:rsidRPr="0053423A">
              <w:rPr>
                <w:rFonts w:cs="Sylfaen"/>
                <w:color w:val="000000"/>
                <w:sz w:val="20"/>
                <w:szCs w:val="20"/>
                <w:shd w:val="clear" w:color="auto" w:fill="FFFFFF"/>
                <w:lang w:val="pt-BR"/>
              </w:rPr>
              <w:t xml:space="preserve"> </w:t>
            </w:r>
            <w:r w:rsidRPr="0053423A">
              <w:rPr>
                <w:rFonts w:cs="Sylfaen"/>
                <w:color w:val="000000"/>
                <w:sz w:val="20"/>
                <w:szCs w:val="20"/>
                <w:shd w:val="clear" w:color="auto" w:fill="FFFFFF"/>
                <w:lang w:val="hy-AM"/>
              </w:rPr>
              <w:t>սթարթափ էկո</w:t>
            </w:r>
            <w:r w:rsidRPr="0053423A">
              <w:rPr>
                <w:rFonts w:cs="Sylfaen"/>
                <w:color w:val="000000"/>
                <w:sz w:val="20"/>
                <w:szCs w:val="20"/>
                <w:shd w:val="clear" w:color="auto" w:fill="FFFFFF"/>
                <w:lang w:val="pt-BR"/>
              </w:rPr>
              <w:t xml:space="preserve"> </w:t>
            </w:r>
            <w:r w:rsidRPr="0053423A">
              <w:rPr>
                <w:rFonts w:cs="Sylfaen"/>
                <w:color w:val="000000"/>
                <w:sz w:val="20"/>
                <w:szCs w:val="20"/>
                <w:shd w:val="clear" w:color="auto" w:fill="FFFFFF"/>
                <w:lang w:val="hy-AM"/>
              </w:rPr>
              <w:t>համակարգի</w:t>
            </w:r>
            <w:r w:rsidRPr="0053423A">
              <w:rPr>
                <w:rFonts w:cs="Sylfaen"/>
                <w:color w:val="000000"/>
                <w:sz w:val="20"/>
                <w:szCs w:val="20"/>
                <w:shd w:val="clear" w:color="auto" w:fill="FFFFFF"/>
                <w:lang w:val="pt-BR"/>
              </w:rPr>
              <w:t xml:space="preserve"> </w:t>
            </w:r>
            <w:r w:rsidRPr="0053423A">
              <w:rPr>
                <w:rFonts w:cs="Sylfaen"/>
                <w:color w:val="000000"/>
                <w:sz w:val="20"/>
                <w:szCs w:val="20"/>
                <w:shd w:val="clear" w:color="auto" w:fill="FFFFFF"/>
                <w:lang w:val="hy-AM"/>
              </w:rPr>
              <w:t>կայացումը</w:t>
            </w:r>
            <w:r w:rsidRPr="0053423A">
              <w:rPr>
                <w:rFonts w:cs="Times New Roman"/>
                <w:color w:val="000000"/>
                <w:sz w:val="20"/>
                <w:szCs w:val="20"/>
                <w:shd w:val="clear" w:color="auto" w:fill="FFFFFF"/>
                <w:lang w:val="pt-BR"/>
              </w:rPr>
              <w:t>, ինչպես նաև  Հայաստանի տնտեսության տարբեր ճյուղերում ներդնել նորարարական տեխնոլոգիաներ, նպաստել փոքր և միջին բիզնեսի զարգաց</w:t>
            </w:r>
            <w:r w:rsidRPr="0053423A">
              <w:rPr>
                <w:rFonts w:cs="Times New Roman"/>
                <w:color w:val="000000"/>
                <w:sz w:val="20"/>
                <w:szCs w:val="20"/>
                <w:shd w:val="clear" w:color="auto" w:fill="FFFFFF"/>
                <w:lang w:val="hy-AM"/>
              </w:rPr>
              <w:t>ման</w:t>
            </w:r>
            <w:r w:rsidRPr="0053423A">
              <w:rPr>
                <w:rFonts w:cs="Times New Roman"/>
                <w:color w:val="000000"/>
                <w:sz w:val="20"/>
                <w:szCs w:val="20"/>
                <w:shd w:val="clear" w:color="auto" w:fill="FFFFFF"/>
                <w:lang w:val="pt-BR"/>
              </w:rPr>
              <w:t>ը: Միևնույն ժամանակ ծրագրի իրականացումը կնպաստի հայրենադարձության խթանմանը</w:t>
            </w:r>
          </w:p>
          <w:p w:rsidR="002B2CAB" w:rsidRPr="0053423A" w:rsidRDefault="002B2CAB" w:rsidP="00A67858">
            <w:pPr>
              <w:spacing w:line="276" w:lineRule="auto"/>
              <w:jc w:val="both"/>
              <w:rPr>
                <w:rFonts w:cs="Times New Roman"/>
                <w:b/>
                <w:sz w:val="20"/>
                <w:szCs w:val="20"/>
                <w:lang w:val="pt-BR"/>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jc w:val="both"/>
              <w:rPr>
                <w:rFonts w:cs="Times New Roman"/>
                <w:b/>
                <w:sz w:val="20"/>
                <w:szCs w:val="20"/>
                <w:lang w:val="hy-AM"/>
              </w:rPr>
            </w:pPr>
            <w:r w:rsidRPr="0053423A">
              <w:rPr>
                <w:rFonts w:cs="Arial Armenian"/>
                <w:sz w:val="20"/>
                <w:szCs w:val="20"/>
                <w:lang w:val="hy-AM"/>
              </w:rPr>
              <w:t xml:space="preserve"> Տարեկան մինչև 100 սփյուռքահայ գործարարներին ներկայացնել Հայաստանի Հանրապետությունում ներդրումային միջավայրը, սթարթափ հիմնելու հնարավորությունները, ինչպես նաև ստեղծել հնարավորություն սկսել սթարթափ Հայաստանի Հանրապետոթյունում</w:t>
            </w:r>
          </w:p>
          <w:p w:rsidR="002B2CAB" w:rsidRPr="0053423A" w:rsidRDefault="002B2CAB" w:rsidP="00A67858">
            <w:pPr>
              <w:shd w:val="clear" w:color="auto" w:fill="FFFFFF"/>
              <w:spacing w:line="276" w:lineRule="auto"/>
              <w:jc w:val="both"/>
              <w:rPr>
                <w:rFonts w:eastAsia="Calibri" w:cs="Times New Roman"/>
                <w:b/>
                <w:color w:val="000000"/>
                <w:sz w:val="20"/>
                <w:szCs w:val="20"/>
                <w:lang w:val="hy-AM"/>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spacing w:line="276" w:lineRule="auto"/>
              <w:jc w:val="both"/>
              <w:rPr>
                <w:rFonts w:eastAsia="Calibri" w:cs="Arial Armenian"/>
                <w:sz w:val="20"/>
                <w:szCs w:val="20"/>
                <w:lang w:val="ro-RO"/>
              </w:rPr>
            </w:pPr>
            <w:r w:rsidRPr="0053423A">
              <w:rPr>
                <w:rFonts w:eastAsia="Calibri" w:cs="Times New Roman"/>
                <w:sz w:val="20"/>
                <w:szCs w:val="20"/>
                <w:lang w:val="hy-AM"/>
              </w:rPr>
              <w:t>Սփյուռքի</w:t>
            </w:r>
            <w:r w:rsidRPr="0053423A">
              <w:rPr>
                <w:rFonts w:eastAsia="Calibri" w:cs="Times New Roman"/>
                <w:sz w:val="20"/>
                <w:szCs w:val="20"/>
                <w:lang w:val="ro-RO"/>
              </w:rPr>
              <w:t xml:space="preserve"> </w:t>
            </w:r>
            <w:r w:rsidRPr="0053423A">
              <w:rPr>
                <w:rFonts w:eastAsia="Calibri" w:cs="Times New Roman"/>
                <w:sz w:val="20"/>
                <w:szCs w:val="20"/>
                <w:lang w:val="hy-AM"/>
              </w:rPr>
              <w:t>երիտասարդների</w:t>
            </w:r>
            <w:r w:rsidRPr="0053423A">
              <w:rPr>
                <w:rFonts w:eastAsia="Calibri" w:cs="Times New Roman"/>
                <w:sz w:val="20"/>
                <w:szCs w:val="20"/>
                <w:lang w:val="ro-RO"/>
              </w:rPr>
              <w:t xml:space="preserve"> «</w:t>
            </w:r>
            <w:r w:rsidRPr="0053423A">
              <w:rPr>
                <w:rFonts w:eastAsia="Calibri" w:cs="Times New Roman"/>
                <w:sz w:val="20"/>
                <w:szCs w:val="20"/>
                <w:lang w:val="hy-AM"/>
              </w:rPr>
              <w:t>ներՈՒԺ</w:t>
            </w:r>
            <w:r w:rsidRPr="0053423A">
              <w:rPr>
                <w:rFonts w:eastAsia="Calibri" w:cs="Times New Roman"/>
                <w:sz w:val="20"/>
                <w:szCs w:val="20"/>
                <w:lang w:val="ro-RO"/>
              </w:rPr>
              <w:t xml:space="preserve">» </w:t>
            </w:r>
            <w:r w:rsidRPr="0053423A">
              <w:rPr>
                <w:rFonts w:eastAsia="Calibri" w:cs="Times New Roman"/>
                <w:sz w:val="20"/>
                <w:szCs w:val="20"/>
                <w:lang w:val="hy-AM"/>
              </w:rPr>
              <w:t>ծրագրի</w:t>
            </w:r>
            <w:r w:rsidRPr="0053423A">
              <w:rPr>
                <w:rFonts w:eastAsia="Calibri" w:cs="Times New Roman"/>
                <w:sz w:val="20"/>
                <w:szCs w:val="20"/>
                <w:lang w:val="ro-RO"/>
              </w:rPr>
              <w:t xml:space="preserve"> </w:t>
            </w:r>
            <w:r w:rsidRPr="0053423A">
              <w:rPr>
                <w:rFonts w:eastAsia="Calibri" w:cs="Times New Roman"/>
                <w:sz w:val="20"/>
                <w:szCs w:val="20"/>
                <w:lang w:val="hy-AM"/>
              </w:rPr>
              <w:t>իրական</w:t>
            </w:r>
            <w:r w:rsidRPr="0053423A">
              <w:rPr>
                <w:rFonts w:eastAsia="Calibri" w:cs="Times New Roman"/>
                <w:sz w:val="20"/>
                <w:szCs w:val="20"/>
                <w:lang w:val="ro-RO"/>
              </w:rPr>
              <w:t>ա</w:t>
            </w:r>
            <w:r w:rsidRPr="0053423A">
              <w:rPr>
                <w:rFonts w:eastAsia="Calibri" w:cs="Times New Roman"/>
                <w:sz w:val="20"/>
                <w:szCs w:val="20"/>
                <w:lang w:val="hy-AM"/>
              </w:rPr>
              <w:t>ցմ</w:t>
            </w:r>
            <w:r w:rsidRPr="0053423A">
              <w:rPr>
                <w:rFonts w:eastAsia="Calibri" w:cs="Times New Roman"/>
                <w:sz w:val="20"/>
                <w:szCs w:val="20"/>
                <w:lang w:val="ro-RO"/>
              </w:rPr>
              <w:t>ամբ</w:t>
            </w:r>
            <w:r w:rsidRPr="0053423A">
              <w:rPr>
                <w:rFonts w:eastAsia="Calibri" w:cs="Arial Armenian"/>
                <w:sz w:val="20"/>
                <w:szCs w:val="20"/>
                <w:lang w:val="ro-RO"/>
              </w:rPr>
              <w:t xml:space="preserve"> առնվազն 200 </w:t>
            </w:r>
            <w:r w:rsidRPr="0053423A">
              <w:rPr>
                <w:rFonts w:eastAsia="Calibri" w:cs="Arial Armenian"/>
                <w:sz w:val="20"/>
                <w:szCs w:val="20"/>
                <w:lang w:val="hy-AM"/>
              </w:rPr>
              <w:t>սփյուռքահայ գործարարներին</w:t>
            </w:r>
            <w:r w:rsidRPr="0053423A">
              <w:rPr>
                <w:rFonts w:eastAsia="Calibri" w:cs="Arial Armenian"/>
                <w:sz w:val="20"/>
                <w:szCs w:val="20"/>
                <w:lang w:val="ro-RO"/>
              </w:rPr>
              <w:t xml:space="preserve"> կ</w:t>
            </w:r>
            <w:r w:rsidRPr="0053423A">
              <w:rPr>
                <w:rFonts w:eastAsia="Calibri" w:cs="Arial Armenian"/>
                <w:sz w:val="20"/>
                <w:szCs w:val="20"/>
                <w:lang w:val="hy-AM"/>
              </w:rPr>
              <w:t>ներկայացվի</w:t>
            </w:r>
            <w:r w:rsidRPr="0053423A">
              <w:rPr>
                <w:rFonts w:eastAsia="Calibri" w:cs="Arial Armenian"/>
                <w:sz w:val="20"/>
                <w:szCs w:val="20"/>
                <w:lang w:val="ro-RO"/>
              </w:rPr>
              <w:t xml:space="preserve"> </w:t>
            </w:r>
            <w:r w:rsidRPr="0053423A">
              <w:rPr>
                <w:rFonts w:eastAsia="Calibri" w:cs="Arial Armenian"/>
                <w:sz w:val="20"/>
                <w:szCs w:val="20"/>
                <w:lang w:val="hy-AM"/>
              </w:rPr>
              <w:t>ՀՀ</w:t>
            </w:r>
            <w:r w:rsidRPr="0053423A">
              <w:rPr>
                <w:rFonts w:eastAsia="Calibri" w:cs="Arial Armenian"/>
                <w:sz w:val="20"/>
                <w:szCs w:val="20"/>
                <w:lang w:val="ro-RO"/>
              </w:rPr>
              <w:t>-</w:t>
            </w:r>
            <w:r w:rsidRPr="0053423A">
              <w:rPr>
                <w:rFonts w:eastAsia="Calibri" w:cs="Arial Armenian"/>
                <w:sz w:val="20"/>
                <w:szCs w:val="20"/>
                <w:lang w:val="hy-AM"/>
              </w:rPr>
              <w:t>ում</w:t>
            </w:r>
            <w:r w:rsidRPr="0053423A">
              <w:rPr>
                <w:rFonts w:eastAsia="Calibri" w:cs="Arial Armenian"/>
                <w:sz w:val="20"/>
                <w:szCs w:val="20"/>
                <w:lang w:val="ro-RO"/>
              </w:rPr>
              <w:t xml:space="preserve"> </w:t>
            </w:r>
            <w:r w:rsidRPr="0053423A">
              <w:rPr>
                <w:rFonts w:eastAsia="Calibri" w:cs="Arial Armenian"/>
                <w:sz w:val="20"/>
                <w:szCs w:val="20"/>
                <w:lang w:val="hy-AM"/>
              </w:rPr>
              <w:t>ներդրումային միջավայրը,</w:t>
            </w:r>
            <w:r w:rsidRPr="0053423A">
              <w:rPr>
                <w:rFonts w:eastAsia="Calibri" w:cs="Arial Armenian"/>
                <w:sz w:val="20"/>
                <w:szCs w:val="20"/>
                <w:lang w:val="ro-RO"/>
              </w:rPr>
              <w:t xml:space="preserve"> </w:t>
            </w:r>
            <w:r w:rsidRPr="0053423A">
              <w:rPr>
                <w:rFonts w:eastAsia="Calibri" w:cs="Arial Armenian"/>
                <w:sz w:val="20"/>
                <w:szCs w:val="20"/>
                <w:lang w:val="hy-AM"/>
              </w:rPr>
              <w:t>արտոնությունները</w:t>
            </w:r>
            <w:r w:rsidRPr="0053423A">
              <w:rPr>
                <w:rFonts w:eastAsia="Calibri" w:cs="Arial Armenian"/>
                <w:sz w:val="20"/>
                <w:szCs w:val="20"/>
                <w:lang w:val="ro-RO"/>
              </w:rPr>
              <w:t xml:space="preserve">, </w:t>
            </w:r>
            <w:r w:rsidRPr="0053423A">
              <w:rPr>
                <w:rFonts w:eastAsia="Calibri" w:cs="Arial Armenian"/>
                <w:sz w:val="20"/>
                <w:szCs w:val="20"/>
                <w:lang w:val="hy-AM"/>
              </w:rPr>
              <w:t>սթարթափ հիմնելու հնարավորությունները</w:t>
            </w:r>
            <w:r w:rsidRPr="0053423A">
              <w:rPr>
                <w:rFonts w:eastAsia="Calibri" w:cs="Arial Armenian"/>
                <w:sz w:val="20"/>
                <w:szCs w:val="20"/>
                <w:lang w:val="ro-RO"/>
              </w:rPr>
              <w:t>.</w:t>
            </w:r>
            <w:r w:rsidRPr="0053423A">
              <w:rPr>
                <w:rFonts w:eastAsia="Calibri" w:cs="Arial Armenian"/>
                <w:sz w:val="20"/>
                <w:szCs w:val="20"/>
                <w:lang w:val="hy-AM"/>
              </w:rPr>
              <w:t xml:space="preserve"> Հնարավորություն</w:t>
            </w:r>
            <w:r w:rsidRPr="0053423A">
              <w:rPr>
                <w:rFonts w:eastAsia="Calibri" w:cs="Arial Armenian"/>
                <w:sz w:val="20"/>
                <w:szCs w:val="20"/>
                <w:lang w:val="ro-RO"/>
              </w:rPr>
              <w:t xml:space="preserve"> կ</w:t>
            </w:r>
            <w:r w:rsidRPr="0053423A">
              <w:rPr>
                <w:rFonts w:eastAsia="Calibri" w:cs="Arial Armenian"/>
                <w:sz w:val="20"/>
                <w:szCs w:val="20"/>
                <w:lang w:val="hy-AM"/>
              </w:rPr>
              <w:t>ստեղծվի</w:t>
            </w:r>
            <w:r w:rsidRPr="0053423A">
              <w:rPr>
                <w:rFonts w:eastAsia="Calibri" w:cs="Arial Armenian"/>
                <w:sz w:val="20"/>
                <w:szCs w:val="20"/>
                <w:lang w:val="ro-RO"/>
              </w:rPr>
              <w:t xml:space="preserve">, </w:t>
            </w:r>
            <w:r w:rsidRPr="0053423A">
              <w:rPr>
                <w:rFonts w:eastAsia="Calibri" w:cs="Arial Armenian"/>
                <w:sz w:val="20"/>
                <w:szCs w:val="20"/>
                <w:lang w:val="hy-AM"/>
              </w:rPr>
              <w:t>որ</w:t>
            </w:r>
            <w:r w:rsidRPr="0053423A">
              <w:rPr>
                <w:rFonts w:eastAsia="Calibri" w:cs="Arial Armenian"/>
                <w:sz w:val="20"/>
                <w:szCs w:val="20"/>
                <w:lang w:val="ro-RO"/>
              </w:rPr>
              <w:t xml:space="preserve"> </w:t>
            </w:r>
            <w:r w:rsidRPr="0053423A">
              <w:rPr>
                <w:rFonts w:eastAsia="Calibri" w:cs="Arial Armenian"/>
                <w:sz w:val="20"/>
                <w:szCs w:val="20"/>
                <w:lang w:val="hy-AM"/>
              </w:rPr>
              <w:t>սփյուռքահայ</w:t>
            </w:r>
            <w:r w:rsidRPr="0053423A">
              <w:rPr>
                <w:rFonts w:eastAsia="Calibri" w:cs="Arial Armenian"/>
                <w:sz w:val="20"/>
                <w:szCs w:val="20"/>
                <w:lang w:val="ro-RO"/>
              </w:rPr>
              <w:t xml:space="preserve"> </w:t>
            </w:r>
            <w:r w:rsidRPr="0053423A">
              <w:rPr>
                <w:rFonts w:eastAsia="Calibri" w:cs="Arial Armenian"/>
                <w:sz w:val="20"/>
                <w:szCs w:val="20"/>
                <w:lang w:val="hy-AM"/>
              </w:rPr>
              <w:t>գործարարները</w:t>
            </w:r>
            <w:r w:rsidRPr="0053423A">
              <w:rPr>
                <w:rFonts w:eastAsia="Calibri" w:cs="Arial Armenian"/>
                <w:sz w:val="20"/>
                <w:szCs w:val="20"/>
                <w:lang w:val="ro-RO"/>
              </w:rPr>
              <w:t xml:space="preserve"> </w:t>
            </w:r>
            <w:r w:rsidRPr="0053423A">
              <w:rPr>
                <w:rFonts w:eastAsia="Calibri" w:cs="Arial Armenian"/>
                <w:sz w:val="20"/>
                <w:szCs w:val="20"/>
                <w:lang w:val="hy-AM"/>
              </w:rPr>
              <w:t>ներկայացնեն</w:t>
            </w:r>
            <w:r w:rsidRPr="0053423A">
              <w:rPr>
                <w:rFonts w:eastAsia="Calibri" w:cs="Arial Armenian"/>
                <w:sz w:val="20"/>
                <w:szCs w:val="20"/>
                <w:lang w:val="ro-RO"/>
              </w:rPr>
              <w:t xml:space="preserve"> </w:t>
            </w:r>
            <w:r w:rsidRPr="0053423A">
              <w:rPr>
                <w:rFonts w:eastAsia="Calibri" w:cs="Arial Armenian"/>
                <w:sz w:val="20"/>
                <w:szCs w:val="20"/>
                <w:lang w:val="hy-AM"/>
              </w:rPr>
              <w:t>շուրջ</w:t>
            </w:r>
            <w:r w:rsidRPr="0053423A">
              <w:rPr>
                <w:rFonts w:eastAsia="Calibri" w:cs="Arial Armenian"/>
                <w:sz w:val="20"/>
                <w:szCs w:val="20"/>
                <w:lang w:val="ro-RO"/>
              </w:rPr>
              <w:t xml:space="preserve"> 100 </w:t>
            </w:r>
            <w:r w:rsidRPr="0053423A">
              <w:rPr>
                <w:rFonts w:eastAsia="Calibri" w:cs="Arial Armenian"/>
                <w:sz w:val="20"/>
                <w:szCs w:val="20"/>
                <w:lang w:val="hy-AM"/>
              </w:rPr>
              <w:t>բիզնես</w:t>
            </w:r>
            <w:r w:rsidRPr="0053423A">
              <w:rPr>
                <w:rFonts w:eastAsia="Calibri" w:cs="Arial Armenian"/>
                <w:sz w:val="20"/>
                <w:szCs w:val="20"/>
                <w:lang w:val="ro-RO"/>
              </w:rPr>
              <w:t xml:space="preserve"> </w:t>
            </w:r>
            <w:r w:rsidRPr="0053423A">
              <w:rPr>
                <w:rFonts w:eastAsia="Calibri" w:cs="Arial Armenian"/>
                <w:sz w:val="20"/>
                <w:szCs w:val="20"/>
                <w:lang w:val="hy-AM"/>
              </w:rPr>
              <w:t>նախագծեր</w:t>
            </w:r>
            <w:r w:rsidRPr="0053423A">
              <w:rPr>
                <w:rFonts w:eastAsia="Calibri" w:cs="Arial Armenian"/>
                <w:sz w:val="20"/>
                <w:szCs w:val="20"/>
                <w:lang w:val="ro-RO"/>
              </w:rPr>
              <w:t xml:space="preserve">, իսկ </w:t>
            </w:r>
            <w:r w:rsidRPr="0053423A">
              <w:rPr>
                <w:rFonts w:eastAsia="Calibri" w:cs="Arial Armenian"/>
                <w:sz w:val="20"/>
                <w:szCs w:val="20"/>
                <w:lang w:val="hy-AM"/>
              </w:rPr>
              <w:t>լավագույն մինչև 10 բիզնես ծրագրեր կֆինանսավորվեն մինչև 15 մլն</w:t>
            </w:r>
            <w:r w:rsidRPr="0053423A">
              <w:rPr>
                <w:rFonts w:eastAsia="Calibri" w:cs="Arial Armenian"/>
                <w:sz w:val="20"/>
                <w:szCs w:val="20"/>
                <w:lang w:val="ro-RO"/>
              </w:rPr>
              <w:t>. ՀՀ</w:t>
            </w:r>
            <w:r w:rsidRPr="0053423A">
              <w:rPr>
                <w:rFonts w:eastAsia="Calibri" w:cs="Arial Armenian"/>
                <w:sz w:val="20"/>
                <w:szCs w:val="20"/>
                <w:lang w:val="hy-AM"/>
              </w:rPr>
              <w:t xml:space="preserve"> դրամ</w:t>
            </w:r>
            <w:r w:rsidRPr="0053423A">
              <w:rPr>
                <w:rFonts w:eastAsia="Calibri" w:cs="Arial Armenian"/>
                <w:sz w:val="20"/>
                <w:szCs w:val="20"/>
              </w:rPr>
              <w:t>ի</w:t>
            </w:r>
            <w:r w:rsidRPr="0053423A">
              <w:rPr>
                <w:rFonts w:eastAsia="Calibri" w:cs="Arial Armenian"/>
                <w:sz w:val="20"/>
                <w:szCs w:val="20"/>
                <w:lang w:val="ro-RO"/>
              </w:rPr>
              <w:t xml:space="preserve"> </w:t>
            </w:r>
            <w:r w:rsidRPr="0053423A">
              <w:rPr>
                <w:rFonts w:eastAsia="Calibri" w:cs="Arial Armenian"/>
                <w:sz w:val="20"/>
                <w:szCs w:val="20"/>
              </w:rPr>
              <w:t>չափ</w:t>
            </w:r>
            <w:r w:rsidRPr="0053423A">
              <w:rPr>
                <w:rFonts w:eastAsia="Calibri" w:cs="Arial Armenian"/>
                <w:sz w:val="20"/>
                <w:szCs w:val="20"/>
                <w:lang w:val="hy-AM"/>
              </w:rPr>
              <w:t>ով</w:t>
            </w:r>
            <w:r w:rsidRPr="0053423A">
              <w:rPr>
                <w:rFonts w:eastAsia="Calibri" w:cs="Arial Armenian"/>
                <w:sz w:val="20"/>
                <w:szCs w:val="20"/>
                <w:lang w:val="ro-RO"/>
              </w:rPr>
              <w:t>:</w:t>
            </w:r>
          </w:p>
          <w:p w:rsidR="002B2CAB" w:rsidRPr="0053423A" w:rsidRDefault="002B2CAB" w:rsidP="00A67858">
            <w:pPr>
              <w:spacing w:line="276" w:lineRule="auto"/>
              <w:jc w:val="both"/>
              <w:rPr>
                <w:rFonts w:cs="Times New Roman"/>
                <w:sz w:val="20"/>
                <w:szCs w:val="20"/>
              </w:rPr>
            </w:pPr>
          </w:p>
        </w:tc>
      </w:tr>
      <w:tr w:rsidR="002B2CAB" w:rsidRPr="00DE2EFA" w:rsidTr="002B2CAB">
        <w:tc>
          <w:tcPr>
            <w:tcW w:w="540" w:type="dxa"/>
            <w:vMerge/>
          </w:tcPr>
          <w:p w:rsidR="002B2CAB" w:rsidRPr="0053423A" w:rsidRDefault="002B2CAB" w:rsidP="00A67858">
            <w:pPr>
              <w:spacing w:line="276" w:lineRule="auto"/>
              <w:jc w:val="center"/>
              <w:rPr>
                <w:rFonts w:cs="Sylfaen"/>
                <w:b/>
                <w:sz w:val="20"/>
                <w:szCs w:val="20"/>
                <w:lang w:val="hy-AM"/>
              </w:rPr>
            </w:pPr>
          </w:p>
        </w:tc>
        <w:tc>
          <w:tcPr>
            <w:tcW w:w="10876" w:type="dxa"/>
          </w:tcPr>
          <w:p w:rsidR="002B2CAB" w:rsidRPr="0053423A" w:rsidRDefault="002B2CAB" w:rsidP="00A67858">
            <w:pPr>
              <w:spacing w:line="276" w:lineRule="auto"/>
              <w:jc w:val="center"/>
              <w:rPr>
                <w:rFonts w:cs="Sylfaen"/>
                <w:b/>
                <w:sz w:val="20"/>
                <w:szCs w:val="20"/>
                <w:u w:val="single"/>
                <w:lang w:val="hy-AM"/>
              </w:rPr>
            </w:pPr>
            <w:r w:rsidRPr="0053423A">
              <w:rPr>
                <w:rFonts w:cs="Sylfaen"/>
                <w:b/>
                <w:sz w:val="20"/>
                <w:szCs w:val="20"/>
                <w:u w:val="single"/>
                <w:lang w:val="hy-AM"/>
              </w:rPr>
              <w:t>1.9 Սփյուռքի երիտասարդների համար «Արի</w:t>
            </w:r>
            <w:r w:rsidRPr="0053423A">
              <w:rPr>
                <w:rFonts w:cs="Sylfaen"/>
                <w:b/>
                <w:sz w:val="20"/>
                <w:szCs w:val="20"/>
                <w:u w:val="single"/>
                <w:lang w:val="ro-RO"/>
              </w:rPr>
              <w:t xml:space="preserve"> </w:t>
            </w:r>
            <w:r w:rsidRPr="0053423A">
              <w:rPr>
                <w:rFonts w:cs="Sylfaen"/>
                <w:b/>
                <w:sz w:val="20"/>
                <w:szCs w:val="20"/>
                <w:u w:val="single"/>
                <w:lang w:val="hy-AM"/>
              </w:rPr>
              <w:t>տուն» ուսումնաճանաչողական և վերապատրաստման ծրագրի իրականացում</w:t>
            </w:r>
          </w:p>
          <w:p w:rsidR="002B2CAB" w:rsidRPr="0053423A" w:rsidRDefault="002B2CAB" w:rsidP="00A67858">
            <w:pPr>
              <w:spacing w:line="276" w:lineRule="auto"/>
              <w:jc w:val="center"/>
              <w:rPr>
                <w:rFonts w:cs="Sylfaen"/>
                <w:b/>
                <w:sz w:val="20"/>
                <w:szCs w:val="20"/>
                <w:lang w:val="hy-AM"/>
              </w:rPr>
            </w:pPr>
          </w:p>
          <w:p w:rsidR="002B2CAB" w:rsidRPr="0053423A" w:rsidRDefault="002B2CAB" w:rsidP="00A67858">
            <w:pPr>
              <w:spacing w:line="276" w:lineRule="auto"/>
              <w:jc w:val="both"/>
              <w:rPr>
                <w:rFonts w:cs="Times New Roman"/>
                <w:b/>
                <w:sz w:val="20"/>
                <w:szCs w:val="20"/>
                <w:lang w:val="hy-AM"/>
              </w:rPr>
            </w:pPr>
            <w:r w:rsidRPr="0053423A">
              <w:rPr>
                <w:rFonts w:cs="Sylfaen"/>
                <w:b/>
                <w:sz w:val="20"/>
                <w:szCs w:val="20"/>
                <w:lang w:val="hy-AM"/>
              </w:rPr>
              <w:t>1. Միջոցառման</w:t>
            </w:r>
            <w:r w:rsidRPr="0053423A">
              <w:rPr>
                <w:rFonts w:cs="Times New Roman"/>
                <w:b/>
                <w:sz w:val="20"/>
                <w:szCs w:val="20"/>
                <w:lang w:val="hy-AM"/>
              </w:rPr>
              <w:t xml:space="preserve"> իրականացման անհրաժեշտությունը և նպատակը</w:t>
            </w:r>
          </w:p>
          <w:p w:rsidR="002B2CAB" w:rsidRPr="0053423A" w:rsidRDefault="002B2CAB" w:rsidP="00A67858">
            <w:pPr>
              <w:spacing w:line="276" w:lineRule="auto"/>
              <w:jc w:val="both"/>
              <w:rPr>
                <w:rFonts w:cs="Times New Roman"/>
                <w:b/>
                <w:sz w:val="20"/>
                <w:szCs w:val="20"/>
                <w:lang w:val="hy-AM"/>
              </w:rPr>
            </w:pPr>
            <w:r w:rsidRPr="0053423A">
              <w:rPr>
                <w:rFonts w:cs="Times Armenian"/>
                <w:sz w:val="20"/>
                <w:szCs w:val="20"/>
                <w:lang w:val="hy-AM"/>
              </w:rPr>
              <w:t>ՀՀ</w:t>
            </w:r>
            <w:r w:rsidRPr="0053423A">
              <w:rPr>
                <w:rFonts w:cs="Times Armenian"/>
                <w:sz w:val="20"/>
                <w:szCs w:val="20"/>
                <w:lang w:val="it-IT"/>
              </w:rPr>
              <w:t xml:space="preserve"> </w:t>
            </w:r>
            <w:r w:rsidRPr="0053423A">
              <w:rPr>
                <w:rFonts w:cs="Times New Roman"/>
                <w:sz w:val="20"/>
                <w:szCs w:val="20"/>
                <w:lang w:val="hy-AM"/>
              </w:rPr>
              <w:t>կառավարության</w:t>
            </w:r>
            <w:r w:rsidRPr="0053423A">
              <w:rPr>
                <w:rFonts w:cs="Times New Roman"/>
                <w:sz w:val="20"/>
                <w:szCs w:val="20"/>
                <w:lang w:val="pt-BR"/>
              </w:rPr>
              <w:t xml:space="preserve"> 2019 </w:t>
            </w:r>
            <w:r w:rsidRPr="0053423A">
              <w:rPr>
                <w:rFonts w:cs="Times New Roman"/>
                <w:sz w:val="20"/>
                <w:szCs w:val="20"/>
                <w:lang w:val="hy-AM"/>
              </w:rPr>
              <w:t>թվականի</w:t>
            </w:r>
            <w:r w:rsidRPr="0053423A">
              <w:rPr>
                <w:rFonts w:cs="Times New Roman"/>
                <w:sz w:val="20"/>
                <w:szCs w:val="20"/>
                <w:lang w:val="pt-BR"/>
              </w:rPr>
              <w:t xml:space="preserve"> փետրվարի 8-</w:t>
            </w:r>
            <w:r w:rsidRPr="0053423A">
              <w:rPr>
                <w:rFonts w:cs="Times New Roman"/>
                <w:sz w:val="20"/>
                <w:szCs w:val="20"/>
                <w:lang w:val="hy-AM"/>
              </w:rPr>
              <w:t>ի</w:t>
            </w:r>
            <w:r w:rsidRPr="0053423A">
              <w:rPr>
                <w:rFonts w:cs="Times New Roman"/>
                <w:sz w:val="20"/>
                <w:szCs w:val="20"/>
                <w:lang w:val="pt-BR"/>
              </w:rPr>
              <w:t xml:space="preserve"> N 65-</w:t>
            </w:r>
            <w:r w:rsidRPr="0053423A">
              <w:rPr>
                <w:rFonts w:cs="Times New Roman"/>
                <w:sz w:val="20"/>
                <w:szCs w:val="20"/>
                <w:lang w:val="hy-AM"/>
              </w:rPr>
              <w:t>Ա</w:t>
            </w:r>
            <w:r w:rsidRPr="0053423A">
              <w:rPr>
                <w:rFonts w:cs="Times New Roman"/>
                <w:sz w:val="20"/>
                <w:szCs w:val="20"/>
                <w:lang w:val="pt-BR"/>
              </w:rPr>
              <w:t xml:space="preserve"> </w:t>
            </w:r>
            <w:r w:rsidRPr="0053423A">
              <w:rPr>
                <w:rFonts w:cs="Times New Roman"/>
                <w:sz w:val="20"/>
                <w:szCs w:val="20"/>
                <w:lang w:val="hy-AM"/>
              </w:rPr>
              <w:t>որոշման</w:t>
            </w:r>
            <w:r w:rsidRPr="0053423A">
              <w:rPr>
                <w:rFonts w:cs="Times New Roman"/>
                <w:sz w:val="20"/>
                <w:szCs w:val="20"/>
                <w:lang w:val="pt-BR"/>
              </w:rPr>
              <w:t xml:space="preserve"> </w:t>
            </w:r>
            <w:r w:rsidRPr="0053423A">
              <w:rPr>
                <w:rFonts w:cs="Times New Roman"/>
                <w:sz w:val="20"/>
                <w:szCs w:val="20"/>
                <w:lang w:val="hy-AM"/>
              </w:rPr>
              <w:t>հավելվածի</w:t>
            </w:r>
            <w:r w:rsidRPr="0053423A">
              <w:rPr>
                <w:rFonts w:cs="Times New Roman"/>
                <w:sz w:val="20"/>
                <w:szCs w:val="20"/>
                <w:lang w:val="pt-BR"/>
              </w:rPr>
              <w:t xml:space="preserve"> 2.4. </w:t>
            </w:r>
            <w:r w:rsidRPr="0053423A">
              <w:rPr>
                <w:rFonts w:cs="Times New Roman"/>
                <w:sz w:val="20"/>
                <w:szCs w:val="20"/>
                <w:lang w:val="hy-AM"/>
              </w:rPr>
              <w:t>բաժնի</w:t>
            </w:r>
            <w:r w:rsidRPr="0053423A">
              <w:rPr>
                <w:rFonts w:cs="Times New Roman"/>
                <w:sz w:val="20"/>
                <w:szCs w:val="20"/>
                <w:lang w:val="pt-BR"/>
              </w:rPr>
              <w:t xml:space="preserve"> «</w:t>
            </w:r>
            <w:r w:rsidRPr="0053423A">
              <w:rPr>
                <w:rFonts w:cs="Times New Roman"/>
                <w:sz w:val="20"/>
                <w:szCs w:val="20"/>
                <w:lang w:val="hy-AM"/>
              </w:rPr>
              <w:t>Սփյուռքի հետ կապերը</w:t>
            </w:r>
            <w:r w:rsidRPr="0053423A">
              <w:rPr>
                <w:rFonts w:cs="Times New Roman"/>
                <w:sz w:val="20"/>
                <w:szCs w:val="20"/>
                <w:lang w:val="pt-BR"/>
              </w:rPr>
              <w:t xml:space="preserve">» </w:t>
            </w:r>
            <w:r w:rsidRPr="0053423A">
              <w:rPr>
                <w:rFonts w:cs="Times New Roman"/>
                <w:sz w:val="20"/>
                <w:szCs w:val="20"/>
                <w:lang w:val="hy-AM"/>
              </w:rPr>
              <w:t>գլխի</w:t>
            </w:r>
            <w:r w:rsidRPr="0053423A">
              <w:rPr>
                <w:rFonts w:cs="Sylfaen"/>
                <w:color w:val="000000"/>
                <w:spacing w:val="-2"/>
                <w:sz w:val="20"/>
                <w:szCs w:val="20"/>
                <w:lang w:val="ro-RO"/>
              </w:rPr>
              <w:t xml:space="preserve"> դրույթներից:</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hy-AM"/>
              </w:rPr>
              <w:t xml:space="preserve">1.1. </w:t>
            </w:r>
            <w:r w:rsidRPr="0053423A">
              <w:rPr>
                <w:rFonts w:cs="Times New Roman"/>
                <w:b/>
                <w:sz w:val="20"/>
                <w:szCs w:val="20"/>
                <w:lang w:val="ro-RO"/>
              </w:rPr>
              <w:t>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Times New Roman"/>
                <w:sz w:val="20"/>
                <w:szCs w:val="20"/>
                <w:lang w:val="hy-AM"/>
              </w:rPr>
            </w:pPr>
            <w:r w:rsidRPr="0053423A">
              <w:rPr>
                <w:rFonts w:cs="Sylfaen"/>
                <w:sz w:val="20"/>
                <w:szCs w:val="20"/>
                <w:lang w:val="hy-AM"/>
              </w:rPr>
              <w:t>Սփյուռքում վտանգված է հայապահպանությունը, հայոց լեզուն, հայկական մշակույթը: Սփյուռքի կենսունակության գրավականը հայրենիքի հետ երիտասարդության մշտական և բազմաբնույթ կապերն ու հարաբերություններն են, պատանիների ու աղջիկների Հայաստան ճանաչողական այցելություններն են, իրենց հասակակիցների հետ ծանոթություններն ու շփումները, հայկական հարուստ ժառանգության հետ նրանց մշտական առնչությունները</w:t>
            </w:r>
            <w:r w:rsidRPr="0053423A">
              <w:rPr>
                <w:rFonts w:cs="Times New Roman"/>
                <w:sz w:val="20"/>
                <w:szCs w:val="20"/>
                <w:lang w:val="hy-AM"/>
              </w:rPr>
              <w:t>:</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hy-AM"/>
              </w:rPr>
              <w:t>1.2. Առկա խնդիրների առաջարկվող լուծումները</w:t>
            </w:r>
          </w:p>
          <w:p w:rsidR="002B2CAB" w:rsidRPr="0053423A" w:rsidRDefault="002B2CAB" w:rsidP="00A67858">
            <w:pPr>
              <w:spacing w:line="276" w:lineRule="auto"/>
              <w:jc w:val="both"/>
              <w:rPr>
                <w:rFonts w:cs="Times New Roman"/>
                <w:sz w:val="20"/>
                <w:szCs w:val="20"/>
                <w:lang w:val="hy-AM"/>
              </w:rPr>
            </w:pPr>
            <w:r w:rsidRPr="0053423A">
              <w:rPr>
                <w:rFonts w:cs="Times New Roman"/>
                <w:sz w:val="20"/>
                <w:szCs w:val="20"/>
                <w:lang w:val="hy-AM"/>
              </w:rPr>
              <w:t xml:space="preserve">       </w:t>
            </w:r>
            <w:r w:rsidRPr="0053423A">
              <w:rPr>
                <w:rFonts w:cs="Times New Roman"/>
                <w:spacing w:val="-4"/>
                <w:sz w:val="20"/>
                <w:szCs w:val="20"/>
                <w:lang w:val="hy-AM"/>
              </w:rPr>
              <w:t>«Արի տուն» ծրագրի մշակման ու իրականացման միջոցով հնարավոր է Սփյուռքի երիտասարդության համար ճանաչելի դարձնել սեփական հայրենիքը,  լեզվամշակութային արժեքները, այդ ճանապարհով նպաստել Հայաստան-Սփյուռք կապերի ամրապնդմանը</w:t>
            </w:r>
            <w:r w:rsidRPr="0053423A">
              <w:rPr>
                <w:rFonts w:cs="Times New Roman"/>
                <w:sz w:val="20"/>
                <w:szCs w:val="20"/>
                <w:lang w:val="hy-AM"/>
              </w:rPr>
              <w:t>,</w:t>
            </w:r>
            <w:r w:rsidRPr="0053423A">
              <w:rPr>
                <w:rFonts w:cs="Times New Roman"/>
                <w:spacing w:val="-4"/>
                <w:sz w:val="20"/>
                <w:szCs w:val="20"/>
                <w:lang w:val="hy-AM"/>
              </w:rPr>
              <w:t xml:space="preserve"> հայապահպանությանը Սփյուռքում:</w:t>
            </w: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2.Կարգավորման առարկան</w:t>
            </w:r>
          </w:p>
          <w:p w:rsidR="002B2CAB" w:rsidRPr="0053423A" w:rsidRDefault="002B2CAB" w:rsidP="00A67858">
            <w:pPr>
              <w:spacing w:line="276" w:lineRule="auto"/>
              <w:jc w:val="both"/>
              <w:rPr>
                <w:rFonts w:cs="Times New Roman"/>
                <w:sz w:val="20"/>
                <w:szCs w:val="20"/>
                <w:lang w:val="hy-AM"/>
              </w:rPr>
            </w:pPr>
            <w:r w:rsidRPr="0053423A">
              <w:rPr>
                <w:rFonts w:cs="Times New Roman"/>
                <w:sz w:val="20"/>
                <w:szCs w:val="20"/>
                <w:lang w:val="hy-AM"/>
              </w:rPr>
              <w:t xml:space="preserve">«Արի տուն» ծրագրի իրականացումը թույլ է տալիս յուրաքանչյուր տարի հայաստանյան ընտանիքներում հյուրընկալել հարյուրավոր սփյուռքահայ երիտասարդների, նրանց համար կազմակերպել ճանաչողական շրջայցեր ու դասընթացներ: </w:t>
            </w: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 xml:space="preserve"> 3. Միջոցառման իրականացումից ակնկալվող արդյունքը</w:t>
            </w:r>
          </w:p>
          <w:p w:rsidR="002B2CAB" w:rsidRPr="0053423A" w:rsidRDefault="002B2CAB" w:rsidP="00A67858">
            <w:pPr>
              <w:spacing w:line="276" w:lineRule="auto"/>
              <w:jc w:val="both"/>
              <w:rPr>
                <w:rFonts w:cs="Times New Roman"/>
                <w:color w:val="000000"/>
                <w:sz w:val="20"/>
                <w:szCs w:val="20"/>
                <w:shd w:val="clear" w:color="auto" w:fill="FFFFFF"/>
                <w:lang w:val="hy-AM"/>
              </w:rPr>
            </w:pPr>
            <w:r w:rsidRPr="0053423A">
              <w:rPr>
                <w:rFonts w:cs="Arial"/>
                <w:sz w:val="20"/>
                <w:szCs w:val="20"/>
                <w:lang w:val="hy-AM" w:eastAsia="en-GB"/>
              </w:rPr>
              <w:t xml:space="preserve">  </w:t>
            </w:r>
            <w:r w:rsidRPr="0053423A">
              <w:rPr>
                <w:rFonts w:cs="Times New Roman"/>
                <w:color w:val="000000"/>
                <w:sz w:val="20"/>
                <w:szCs w:val="20"/>
                <w:shd w:val="clear" w:color="auto" w:fill="FFFFFF"/>
                <w:lang w:val="hy-AM"/>
              </w:rPr>
              <w:t xml:space="preserve">13-18 տարեկան մինչև 500 </w:t>
            </w:r>
            <w:r w:rsidRPr="0053423A">
              <w:rPr>
                <w:rFonts w:cs="Sylfaen"/>
                <w:color w:val="000000"/>
                <w:sz w:val="20"/>
                <w:szCs w:val="20"/>
                <w:shd w:val="clear" w:color="auto" w:fill="FFFFFF"/>
                <w:lang w:val="hy-AM"/>
              </w:rPr>
              <w:t>պատանիներ ու աղջիկների մասնակցություն</w:t>
            </w:r>
            <w:r w:rsidRPr="0053423A">
              <w:rPr>
                <w:rFonts w:cs="Times New Roman"/>
                <w:color w:val="000000"/>
                <w:sz w:val="20"/>
                <w:szCs w:val="20"/>
                <w:shd w:val="clear" w:color="auto" w:fill="FFFFFF"/>
                <w:lang w:val="hy-AM"/>
              </w:rPr>
              <w:t xml:space="preserve">, 19-24տ. մինչև 100 երիտասարդների համար ծրագրի իրականացում մարզերում: Երեք ուղղությամբ վերապատրաստման դասընթացների կազմակերպում` </w:t>
            </w:r>
          </w:p>
          <w:p w:rsidR="002B2CAB" w:rsidRPr="0053423A" w:rsidRDefault="002B2CAB" w:rsidP="00A67858">
            <w:pPr>
              <w:tabs>
                <w:tab w:val="left" w:pos="720"/>
              </w:tabs>
              <w:spacing w:line="276" w:lineRule="auto"/>
              <w:ind w:right="-108"/>
              <w:jc w:val="both"/>
              <w:rPr>
                <w:rFonts w:cs="Times New Roman"/>
                <w:color w:val="000000"/>
                <w:sz w:val="20"/>
                <w:szCs w:val="20"/>
                <w:shd w:val="clear" w:color="auto" w:fill="FFFFFF"/>
                <w:lang w:val="hy-AM"/>
              </w:rPr>
            </w:pPr>
            <w:r w:rsidRPr="0053423A">
              <w:rPr>
                <w:rFonts w:cs="Times New Roman"/>
                <w:color w:val="000000"/>
                <w:sz w:val="20"/>
                <w:szCs w:val="20"/>
                <w:shd w:val="clear" w:color="auto" w:fill="FFFFFF"/>
                <w:lang w:val="hy-AM"/>
              </w:rPr>
              <w:t xml:space="preserve">1) </w:t>
            </w:r>
            <w:r w:rsidRPr="0053423A">
              <w:rPr>
                <w:rFonts w:cs="Arial Armenian"/>
                <w:sz w:val="20"/>
                <w:szCs w:val="20"/>
                <w:lang w:val="hy-AM"/>
              </w:rPr>
              <w:t xml:space="preserve">hայրենադարձության և </w:t>
            </w:r>
            <w:r w:rsidRPr="0053423A">
              <w:rPr>
                <w:rFonts w:cs="Times New Roman"/>
                <w:sz w:val="20"/>
                <w:szCs w:val="20"/>
                <w:lang w:val="hy-AM"/>
              </w:rPr>
              <w:t xml:space="preserve">դեպի </w:t>
            </w:r>
            <w:r w:rsidRPr="0053423A">
              <w:rPr>
                <w:rFonts w:cs="Arial Armenian"/>
                <w:sz w:val="20"/>
                <w:szCs w:val="20"/>
                <w:lang w:val="hy-AM"/>
              </w:rPr>
              <w:t xml:space="preserve">Հայաստան զբոսաշրջության  քարոզչության 30 երիտասարդ կազմակերպիչների </w:t>
            </w:r>
            <w:r w:rsidRPr="0053423A">
              <w:rPr>
                <w:rFonts w:cs="Sylfaen"/>
                <w:sz w:val="20"/>
                <w:szCs w:val="20"/>
                <w:lang w:val="hy-AM"/>
              </w:rPr>
              <w:t xml:space="preserve">երկշաբաթյա </w:t>
            </w:r>
            <w:r w:rsidRPr="0053423A">
              <w:rPr>
                <w:rFonts w:cs="Arial Armenian"/>
                <w:sz w:val="20"/>
                <w:szCs w:val="20"/>
                <w:lang w:val="hy-AM"/>
              </w:rPr>
              <w:t>դասընթացներ.</w:t>
            </w:r>
          </w:p>
          <w:p w:rsidR="002B2CAB" w:rsidRPr="0053423A" w:rsidRDefault="002B2CAB" w:rsidP="00A67858">
            <w:pPr>
              <w:tabs>
                <w:tab w:val="left" w:pos="720"/>
              </w:tabs>
              <w:spacing w:line="276" w:lineRule="auto"/>
              <w:jc w:val="both"/>
              <w:rPr>
                <w:rFonts w:cs="Times New Roman"/>
                <w:color w:val="000000"/>
                <w:sz w:val="20"/>
                <w:szCs w:val="20"/>
                <w:shd w:val="clear" w:color="auto" w:fill="FFFFFF"/>
                <w:lang w:val="hy-AM"/>
              </w:rPr>
            </w:pPr>
            <w:r w:rsidRPr="0053423A">
              <w:rPr>
                <w:rFonts w:cs="Times New Roman"/>
                <w:color w:val="000000"/>
                <w:sz w:val="20"/>
                <w:szCs w:val="20"/>
                <w:shd w:val="clear" w:color="auto" w:fill="FFFFFF"/>
                <w:lang w:val="hy-AM"/>
              </w:rPr>
              <w:t>2) hայոց լեզվի, հայագիտական առարկաների մինչև 40 ուսուցիչների  մեկամսյա վերապատրաստում.</w:t>
            </w:r>
          </w:p>
          <w:p w:rsidR="002B2CAB" w:rsidRPr="0053423A" w:rsidRDefault="002B2CAB" w:rsidP="00A67858">
            <w:pPr>
              <w:spacing w:line="276" w:lineRule="auto"/>
              <w:jc w:val="both"/>
              <w:rPr>
                <w:rFonts w:cs="Sylfaen"/>
                <w:sz w:val="20"/>
                <w:szCs w:val="20"/>
                <w:lang w:val="hy-AM"/>
              </w:rPr>
            </w:pPr>
            <w:r w:rsidRPr="0053423A">
              <w:rPr>
                <w:rFonts w:cs="Times New Roman"/>
                <w:color w:val="000000"/>
                <w:sz w:val="20"/>
                <w:szCs w:val="20"/>
                <w:shd w:val="clear" w:color="auto" w:fill="FFFFFF"/>
                <w:lang w:val="hy-AM"/>
              </w:rPr>
              <w:t xml:space="preserve">3) </w:t>
            </w:r>
            <w:r w:rsidRPr="0053423A">
              <w:rPr>
                <w:rFonts w:cs="Sylfaen"/>
                <w:sz w:val="20"/>
                <w:szCs w:val="20"/>
                <w:lang w:val="hy-AM"/>
              </w:rPr>
              <w:t>Ազգային երգի ու պարի 30 մասնագետների  երկշաբաթյա դասընթաց:</w:t>
            </w:r>
          </w:p>
        </w:tc>
      </w:tr>
      <w:tr w:rsidR="002B2CAB" w:rsidRPr="00DE2EFA" w:rsidTr="002B2CAB">
        <w:tc>
          <w:tcPr>
            <w:tcW w:w="540" w:type="dxa"/>
            <w:vMerge w:val="restart"/>
          </w:tcPr>
          <w:p w:rsidR="002B2CAB" w:rsidRPr="0053423A" w:rsidRDefault="002B2CAB" w:rsidP="00A67858">
            <w:pPr>
              <w:spacing w:line="276" w:lineRule="auto"/>
              <w:jc w:val="center"/>
              <w:rPr>
                <w:rFonts w:cs="Times New Roman"/>
                <w:b/>
                <w:sz w:val="20"/>
                <w:szCs w:val="20"/>
                <w:lang w:val="hy-AM"/>
              </w:rPr>
            </w:pPr>
            <w:r w:rsidRPr="0053423A">
              <w:rPr>
                <w:rFonts w:cs="Times New Roman"/>
                <w:b/>
                <w:sz w:val="20"/>
                <w:szCs w:val="20"/>
                <w:lang w:val="hy-AM"/>
              </w:rPr>
              <w:t>2</w:t>
            </w: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cs="Times New Roman"/>
                <w:b/>
                <w:sz w:val="20"/>
                <w:szCs w:val="20"/>
                <w:u w:val="single"/>
                <w:lang w:val="ro-RO"/>
              </w:rPr>
              <w:t xml:space="preserve">2.1. </w:t>
            </w:r>
            <w:r w:rsidRPr="0053423A">
              <w:rPr>
                <w:rFonts w:cs="Times New Roman"/>
                <w:b/>
                <w:sz w:val="20"/>
                <w:szCs w:val="20"/>
                <w:u w:val="single"/>
                <w:lang w:val="hy-AM"/>
              </w:rPr>
              <w:t>Աջակցություն</w:t>
            </w:r>
            <w:r w:rsidRPr="0053423A">
              <w:rPr>
                <w:rFonts w:cs="Times New Roman"/>
                <w:b/>
                <w:sz w:val="20"/>
                <w:szCs w:val="20"/>
                <w:u w:val="single"/>
                <w:lang w:val="ro-RO"/>
              </w:rPr>
              <w:t xml:space="preserve"> </w:t>
            </w:r>
            <w:r w:rsidRPr="0053423A">
              <w:rPr>
                <w:rFonts w:cs="Times New Roman"/>
                <w:b/>
                <w:sz w:val="20"/>
                <w:szCs w:val="20"/>
                <w:u w:val="single"/>
                <w:lang w:val="hy-AM"/>
              </w:rPr>
              <w:t>սփյուռքի</w:t>
            </w:r>
            <w:r w:rsidRPr="0053423A">
              <w:rPr>
                <w:rFonts w:cs="Times New Roman"/>
                <w:b/>
                <w:sz w:val="20"/>
                <w:szCs w:val="20"/>
                <w:u w:val="single"/>
                <w:lang w:val="ro-RO"/>
              </w:rPr>
              <w:t xml:space="preserve"> </w:t>
            </w:r>
            <w:r w:rsidRPr="0053423A">
              <w:rPr>
                <w:rFonts w:cs="Times New Roman"/>
                <w:b/>
                <w:sz w:val="20"/>
                <w:szCs w:val="20"/>
                <w:u w:val="single"/>
                <w:lang w:val="hy-AM"/>
              </w:rPr>
              <w:t>հայ</w:t>
            </w:r>
            <w:r w:rsidRPr="0053423A">
              <w:rPr>
                <w:rFonts w:cs="Times New Roman"/>
                <w:b/>
                <w:sz w:val="20"/>
                <w:szCs w:val="20"/>
                <w:u w:val="single"/>
                <w:lang w:val="ro-RO"/>
              </w:rPr>
              <w:t xml:space="preserve"> </w:t>
            </w:r>
            <w:r w:rsidRPr="0053423A">
              <w:rPr>
                <w:rFonts w:cs="Times New Roman"/>
                <w:b/>
                <w:sz w:val="20"/>
                <w:szCs w:val="20"/>
                <w:u w:val="single"/>
                <w:lang w:val="hy-AM"/>
              </w:rPr>
              <w:t>համայնքներին ծրագրի իրականացում</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sz w:val="20"/>
                <w:szCs w:val="20"/>
                <w:lang w:val="hy-AM"/>
              </w:rPr>
              <w:t xml:space="preserve">Նպատակն է </w:t>
            </w:r>
            <w:r w:rsidRPr="0053423A">
              <w:rPr>
                <w:rFonts w:cs="Times New Roman"/>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b/>
                <w:sz w:val="20"/>
                <w:szCs w:val="20"/>
                <w:lang w:val="ro-RO"/>
              </w:rPr>
              <w:t xml:space="preserve"> </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ro-RO"/>
              </w:rPr>
              <w:t>1.1. 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hd w:val="clear" w:color="auto" w:fill="FFFFFF"/>
              <w:spacing w:line="276" w:lineRule="auto"/>
              <w:jc w:val="both"/>
              <w:rPr>
                <w:rFonts w:eastAsia="Calibri" w:cs="Times New Roman"/>
                <w:sz w:val="20"/>
                <w:szCs w:val="20"/>
                <w:lang w:val="hy-AM"/>
              </w:rPr>
            </w:pPr>
            <w:r w:rsidRPr="0053423A">
              <w:rPr>
                <w:rFonts w:cs="Times New Roman"/>
                <w:sz w:val="20"/>
                <w:szCs w:val="20"/>
                <w:lang w:val="hy-AM"/>
              </w:rPr>
              <w:t>Հայկական համայնքներում ազգային ինքնության արմատավորման ու պահպանման նպատակով սփյուռքի կազմակերպությունների հետ լեզվամշակութային ծրագրեր իրականացնելու համար միջոցներ ձեռնարկումը</w:t>
            </w:r>
            <w:r w:rsidRPr="0053423A">
              <w:rPr>
                <w:rFonts w:cs="Times New Roman"/>
                <w:sz w:val="20"/>
                <w:szCs w:val="20"/>
                <w:lang w:val="ro-RO"/>
              </w:rPr>
              <w:t xml:space="preserve">, </w:t>
            </w:r>
            <w:r w:rsidRPr="0053423A">
              <w:rPr>
                <w:rFonts w:cs="Times New Roman"/>
                <w:sz w:val="20"/>
                <w:szCs w:val="20"/>
                <w:lang w:val="hy-AM"/>
              </w:rPr>
              <w:t>ինխպես</w:t>
            </w:r>
            <w:r w:rsidRPr="0053423A">
              <w:rPr>
                <w:rFonts w:cs="Times New Roman"/>
                <w:sz w:val="20"/>
                <w:szCs w:val="20"/>
                <w:lang w:val="ro-RO"/>
              </w:rPr>
              <w:t xml:space="preserve"> </w:t>
            </w:r>
            <w:r w:rsidRPr="0053423A">
              <w:rPr>
                <w:rFonts w:cs="Times New Roman"/>
                <w:sz w:val="20"/>
                <w:szCs w:val="20"/>
                <w:lang w:val="hy-AM"/>
              </w:rPr>
              <w:t>նաև</w:t>
            </w:r>
            <w:r w:rsidRPr="0053423A">
              <w:rPr>
                <w:rFonts w:cs="Times New Roman"/>
                <w:sz w:val="20"/>
                <w:szCs w:val="20"/>
                <w:lang w:val="ro-RO"/>
              </w:rPr>
              <w:t xml:space="preserve"> </w:t>
            </w:r>
            <w:r w:rsidRPr="0053423A">
              <w:rPr>
                <w:rFonts w:cs="Times New Roman"/>
                <w:sz w:val="20"/>
                <w:szCs w:val="20"/>
                <w:lang w:val="hy-AM"/>
              </w:rPr>
              <w:t>այլալեզու և այլադավան հայերի շրջանում հայկական ազգային ինքնության հաստատմանն ու արմատավորմանը նպաստումը կարևորոգույն</w:t>
            </w:r>
            <w:r w:rsidRPr="0053423A">
              <w:rPr>
                <w:rFonts w:cs="Times New Roman"/>
                <w:sz w:val="20"/>
                <w:szCs w:val="20"/>
                <w:lang w:val="ro-RO"/>
              </w:rPr>
              <w:t xml:space="preserve"> </w:t>
            </w:r>
            <w:r w:rsidRPr="0053423A">
              <w:rPr>
                <w:rFonts w:cs="Times New Roman"/>
                <w:sz w:val="20"/>
                <w:szCs w:val="20"/>
                <w:lang w:val="hy-AM"/>
              </w:rPr>
              <w:t>խնդիրներից է</w:t>
            </w:r>
            <w:r w:rsidRPr="0053423A">
              <w:rPr>
                <w:rFonts w:cs="Times New Roman"/>
                <w:sz w:val="20"/>
                <w:szCs w:val="20"/>
                <w:lang w:val="ro-RO"/>
              </w:rPr>
              <w:t xml:space="preserve">: </w:t>
            </w:r>
            <w:r w:rsidRPr="0053423A">
              <w:rPr>
                <w:rFonts w:eastAsia="Calibri" w:cs="Times New Roman"/>
                <w:sz w:val="20"/>
                <w:szCs w:val="20"/>
                <w:lang w:val="hy-AM"/>
              </w:rPr>
              <w:t>Հայապահպանությունը, համահայկական ներուժի համախմբմանն ուղղված մի շարք միջոցառումների մշակումն ու իրականացումն է:</w:t>
            </w:r>
          </w:p>
          <w:p w:rsidR="002B2CAB" w:rsidRPr="0053423A" w:rsidRDefault="002B2CAB" w:rsidP="00A67858">
            <w:pPr>
              <w:spacing w:line="276" w:lineRule="auto"/>
              <w:jc w:val="both"/>
              <w:rPr>
                <w:rFonts w:cs="Sylfaen"/>
                <w:sz w:val="20"/>
                <w:szCs w:val="20"/>
                <w:lang w:val="af-ZA"/>
              </w:rPr>
            </w:pPr>
            <w:r w:rsidRPr="0053423A">
              <w:rPr>
                <w:rFonts w:cs="Sylfaen"/>
                <w:b/>
                <w:sz w:val="20"/>
                <w:szCs w:val="20"/>
                <w:lang w:val="af-ZA"/>
              </w:rPr>
              <w:t>1.2.</w:t>
            </w:r>
            <w:r w:rsidRPr="0053423A">
              <w:rPr>
                <w:rFonts w:cs="Sylfaen"/>
                <w:b/>
                <w:sz w:val="20"/>
                <w:szCs w:val="20"/>
                <w:lang w:val="hy-AM"/>
              </w:rPr>
              <w:t>Առկա</w:t>
            </w:r>
            <w:r w:rsidRPr="0053423A">
              <w:rPr>
                <w:rFonts w:cs="Times New Roman"/>
                <w:b/>
                <w:sz w:val="20"/>
                <w:szCs w:val="20"/>
                <w:lang w:val="hy-AM"/>
              </w:rPr>
              <w:t xml:space="preserve"> խնդիրների առաջարկվող լուծումները</w:t>
            </w:r>
            <w:r w:rsidRPr="0053423A">
              <w:rPr>
                <w:rFonts w:cs="Sylfaen"/>
                <w:sz w:val="20"/>
                <w:szCs w:val="20"/>
                <w:lang w:val="af-ZA"/>
              </w:rPr>
              <w:t xml:space="preserve"> </w:t>
            </w:r>
          </w:p>
          <w:p w:rsidR="002B2CAB" w:rsidRPr="0053423A" w:rsidRDefault="002B2CAB" w:rsidP="00A67858">
            <w:pPr>
              <w:spacing w:line="276" w:lineRule="auto"/>
              <w:jc w:val="both"/>
              <w:rPr>
                <w:rFonts w:cs="Times New Roman"/>
                <w:sz w:val="20"/>
                <w:szCs w:val="20"/>
                <w:lang w:val="pt-BR"/>
              </w:rPr>
            </w:pPr>
            <w:r w:rsidRPr="0053423A">
              <w:rPr>
                <w:rFonts w:cs="Times New Roman"/>
                <w:sz w:val="20"/>
                <w:szCs w:val="20"/>
                <w:lang w:val="pt-BR"/>
              </w:rPr>
              <w:t xml:space="preserve">Հայապահպանության գործընթացի խթանումը զգալիորեն կամրապնդի </w:t>
            </w:r>
            <w:r w:rsidRPr="0053423A">
              <w:rPr>
                <w:rFonts w:cs="Times New Roman"/>
                <w:sz w:val="20"/>
                <w:szCs w:val="20"/>
                <w:lang w:val="hy-AM"/>
              </w:rPr>
              <w:t>Հայաստանի Հանրապետության և հայկական սփյուռքի կապերը և հայ ժողովրդի հոգևոր միասնությունը</w:t>
            </w:r>
            <w:r w:rsidRPr="0053423A">
              <w:rPr>
                <w:rFonts w:cs="Times New Roman"/>
                <w:sz w:val="20"/>
                <w:szCs w:val="20"/>
                <w:lang w:val="ro-RO"/>
              </w:rPr>
              <w:t xml:space="preserve"> </w:t>
            </w:r>
            <w:r w:rsidRPr="0053423A">
              <w:rPr>
                <w:rFonts w:cs="Times New Roman"/>
                <w:sz w:val="20"/>
                <w:szCs w:val="20"/>
                <w:lang w:val="pt-BR"/>
              </w:rPr>
              <w:t>մտավոր ու պաշտպանական ներուժը:</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jc w:val="both"/>
              <w:rPr>
                <w:rFonts w:cs="Sylfaen"/>
                <w:sz w:val="20"/>
                <w:szCs w:val="20"/>
                <w:lang w:val="hy-AM"/>
              </w:rPr>
            </w:pPr>
            <w:r w:rsidRPr="0053423A">
              <w:rPr>
                <w:rFonts w:cs="Times New Roman"/>
                <w:sz w:val="20"/>
                <w:szCs w:val="20"/>
                <w:lang w:val="hy-AM"/>
              </w:rPr>
              <w:t xml:space="preserve">Հայության ուծացմանը դիմակայումը  և կրթամշակութային խնդիրների լուծմանն աջակցությունը և հայ համայնքների զարգացման համար բարենպաստ միջավայրի ձևավորումն </w:t>
            </w:r>
            <w:r w:rsidRPr="0053423A">
              <w:rPr>
                <w:rFonts w:cs="Sylfaen"/>
                <w:sz w:val="20"/>
                <w:szCs w:val="20"/>
                <w:lang w:val="hy-AM"/>
              </w:rPr>
              <w:t>պատմամշակութային արժեքների սերունդներին փոխանցումը</w:t>
            </w:r>
            <w:r w:rsidRPr="0053423A">
              <w:rPr>
                <w:rFonts w:cs="Sylfaen"/>
                <w:sz w:val="20"/>
                <w:szCs w:val="20"/>
                <w:lang w:val="pt-BR"/>
              </w:rPr>
              <w:t xml:space="preserve"> </w:t>
            </w:r>
            <w:r w:rsidRPr="0053423A">
              <w:rPr>
                <w:rFonts w:cs="GHEA Grapalat"/>
                <w:sz w:val="20"/>
                <w:szCs w:val="20"/>
                <w:lang w:val="hy-AM"/>
              </w:rPr>
              <w:t>և հայկական ինքնությունը պահպանումը</w:t>
            </w:r>
            <w:r w:rsidRPr="0053423A">
              <w:rPr>
                <w:rFonts w:cs="Sylfaen"/>
                <w:sz w:val="20"/>
                <w:szCs w:val="20"/>
                <w:lang w:val="hy-AM"/>
              </w:rPr>
              <w:t>:</w:t>
            </w:r>
          </w:p>
          <w:p w:rsidR="002B2CAB" w:rsidRPr="0053423A" w:rsidRDefault="002B2CAB" w:rsidP="00A67858">
            <w:pPr>
              <w:shd w:val="clear" w:color="auto" w:fill="FFFFFF"/>
              <w:spacing w:line="276" w:lineRule="auto"/>
              <w:jc w:val="both"/>
              <w:rPr>
                <w:rFonts w:eastAsia="Calibri" w:cs="Times New Roman"/>
                <w:b/>
                <w:color w:val="000000"/>
                <w:sz w:val="20"/>
                <w:szCs w:val="20"/>
                <w:lang w:val="hy-AM"/>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shd w:val="clear" w:color="auto" w:fill="FFFFFF"/>
              <w:spacing w:line="276" w:lineRule="auto"/>
              <w:jc w:val="both"/>
              <w:textAlignment w:val="baseline"/>
              <w:outlineLvl w:val="1"/>
              <w:rPr>
                <w:rFonts w:cs="Times New Roman"/>
                <w:sz w:val="20"/>
                <w:szCs w:val="20"/>
                <w:lang w:val="it-IT"/>
              </w:rPr>
            </w:pPr>
            <w:r w:rsidRPr="0053423A">
              <w:rPr>
                <w:rFonts w:cs="Times New Roman"/>
                <w:sz w:val="20"/>
                <w:szCs w:val="20"/>
                <w:lang w:val="hy-AM"/>
              </w:rPr>
              <w:t xml:space="preserve"> «</w:t>
            </w:r>
            <w:r w:rsidRPr="0053423A">
              <w:rPr>
                <w:rFonts w:cs="Sylfaen"/>
                <w:sz w:val="20"/>
                <w:szCs w:val="20"/>
                <w:lang w:val="hy-AM"/>
              </w:rPr>
              <w:t>Սփյուռքի</w:t>
            </w:r>
            <w:r w:rsidRPr="0053423A">
              <w:rPr>
                <w:rFonts w:cs="Times New Roman"/>
                <w:sz w:val="20"/>
                <w:szCs w:val="20"/>
                <w:lang w:val="hy-AM"/>
              </w:rPr>
              <w:t xml:space="preserve"> </w:t>
            </w:r>
            <w:r w:rsidRPr="0053423A">
              <w:rPr>
                <w:rFonts w:cs="Sylfaen"/>
                <w:sz w:val="20"/>
                <w:szCs w:val="20"/>
                <w:lang w:val="hy-AM"/>
              </w:rPr>
              <w:t xml:space="preserve">կրթօջախների համար </w:t>
            </w:r>
            <w:r w:rsidRPr="0053423A">
              <w:rPr>
                <w:rFonts w:cs="Times New Roman"/>
                <w:sz w:val="20"/>
                <w:szCs w:val="20"/>
                <w:lang w:val="hy-AM"/>
              </w:rPr>
              <w:t xml:space="preserve"> </w:t>
            </w:r>
            <w:r w:rsidRPr="0053423A">
              <w:rPr>
                <w:rFonts w:cs="Sylfaen"/>
                <w:sz w:val="20"/>
                <w:szCs w:val="20"/>
                <w:lang w:val="hy-AM"/>
              </w:rPr>
              <w:t>ուսումնական</w:t>
            </w:r>
            <w:r w:rsidRPr="0053423A">
              <w:rPr>
                <w:rFonts w:cs="Times New Roman"/>
                <w:sz w:val="20"/>
                <w:szCs w:val="20"/>
                <w:lang w:val="hy-AM"/>
              </w:rPr>
              <w:t xml:space="preserve"> </w:t>
            </w:r>
            <w:r w:rsidRPr="0053423A">
              <w:rPr>
                <w:rFonts w:cs="Sylfaen"/>
                <w:sz w:val="20"/>
                <w:szCs w:val="20"/>
                <w:lang w:val="hy-AM"/>
              </w:rPr>
              <w:t>գրականության և</w:t>
            </w:r>
            <w:r w:rsidRPr="0053423A">
              <w:rPr>
                <w:rFonts w:cs="Times New Roman"/>
                <w:sz w:val="20"/>
                <w:szCs w:val="20"/>
                <w:lang w:val="hy-AM"/>
              </w:rPr>
              <w:t xml:space="preserve"> </w:t>
            </w:r>
            <w:r w:rsidRPr="0053423A">
              <w:rPr>
                <w:rFonts w:cs="Sylfaen"/>
                <w:sz w:val="20"/>
                <w:szCs w:val="20"/>
                <w:lang w:val="hy-AM"/>
              </w:rPr>
              <w:t>ուսումնաօժանդակ</w:t>
            </w:r>
            <w:r w:rsidRPr="0053423A">
              <w:rPr>
                <w:rFonts w:cs="Times New Roman"/>
                <w:sz w:val="20"/>
                <w:szCs w:val="20"/>
                <w:lang w:val="hy-AM"/>
              </w:rPr>
              <w:t xml:space="preserve"> </w:t>
            </w:r>
            <w:r w:rsidRPr="0053423A">
              <w:rPr>
                <w:rFonts w:cs="Sylfaen"/>
                <w:sz w:val="20"/>
                <w:szCs w:val="20"/>
                <w:lang w:val="hy-AM"/>
              </w:rPr>
              <w:t xml:space="preserve">նյութերի մշակում և   տրամադրում» </w:t>
            </w:r>
            <w:r w:rsidRPr="0053423A">
              <w:rPr>
                <w:rFonts w:cs="Times New Roman"/>
                <w:sz w:val="20"/>
                <w:szCs w:val="20"/>
                <w:lang w:val="hy-AM"/>
              </w:rPr>
              <w:t>ծրագրով տարեկան մինչև 50.000 կտոր   ուսումնական նյութերի տրամադրում</w:t>
            </w:r>
            <w:r w:rsidRPr="0053423A">
              <w:rPr>
                <w:rFonts w:cs="Times New Roman"/>
                <w:sz w:val="20"/>
                <w:szCs w:val="20"/>
                <w:lang w:val="ro-RO"/>
              </w:rPr>
              <w:t xml:space="preserve"> </w:t>
            </w:r>
            <w:r w:rsidRPr="0053423A">
              <w:rPr>
                <w:rFonts w:cs="Times New Roman"/>
                <w:sz w:val="20"/>
                <w:szCs w:val="20"/>
                <w:lang w:val="hy-AM"/>
              </w:rPr>
              <w:t xml:space="preserve">սփյուռքյան շուրջ 150 հայկական կրթօջախներին և </w:t>
            </w:r>
            <w:r w:rsidRPr="0053423A">
              <w:rPr>
                <w:rFonts w:cs="Times New Roman"/>
                <w:sz w:val="20"/>
                <w:szCs w:val="20"/>
                <w:lang w:val="it-IT"/>
              </w:rPr>
              <w:t>60 մեկօրյա ու ամենօրյա կրթօջախներին ուսումնական նյութերի առաքում, ինչպես նաև մինչև 20.000 կտոր ուսումնական գրականության և ուսումնաօժանդակ նյութերի փոստային առաքում սփյուռքի հայ համայնքներ:</w:t>
            </w:r>
          </w:p>
        </w:tc>
      </w:tr>
      <w:tr w:rsidR="002B2CAB" w:rsidRPr="00DE2EFA" w:rsidTr="002B2CAB">
        <w:tc>
          <w:tcPr>
            <w:tcW w:w="540" w:type="dxa"/>
            <w:vMerge/>
          </w:tcPr>
          <w:p w:rsidR="002B2CAB" w:rsidRPr="0053423A" w:rsidRDefault="002B2CAB" w:rsidP="00A67858">
            <w:pPr>
              <w:spacing w:line="276" w:lineRule="auto"/>
              <w:jc w:val="center"/>
              <w:rPr>
                <w:rFonts w:cs="Times New Roman"/>
                <w:b/>
                <w:sz w:val="20"/>
                <w:szCs w:val="20"/>
                <w:lang w:val="hy-AM"/>
              </w:rPr>
            </w:pP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cs="Times New Roman"/>
                <w:b/>
                <w:spacing w:val="-2"/>
                <w:sz w:val="20"/>
                <w:szCs w:val="20"/>
                <w:u w:val="single"/>
                <w:lang w:val="fr-FR"/>
              </w:rPr>
              <w:t>2.2 «Օտարերկրյա պետություններում գտնվող հայկական ունեցվածքի պահպանման և տնօրինման խնդիրների լուծմանն աջակցության ծրագիրը հաստատելու մասին» Կառավարության որոշման նախագծի ներկայացում վարչապետի աշխատակազմ</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sz w:val="20"/>
                <w:szCs w:val="20"/>
                <w:lang w:val="hy-AM"/>
              </w:rPr>
              <w:t xml:space="preserve">Անհրաժեշտությունը բխում է Սահմանադրության 19-րդ հոդվածի 1-ին մասի պահանջներից (ոլորտային նորմատիվ իրավական ակտեր չկան): Նպատակն է </w:t>
            </w:r>
            <w:r w:rsidRPr="0053423A">
              <w:rPr>
                <w:rFonts w:cs="Times New Roman"/>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b/>
                <w:sz w:val="20"/>
                <w:szCs w:val="20"/>
                <w:lang w:val="ro-RO"/>
              </w:rPr>
              <w:t xml:space="preserve"> </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ro-RO"/>
              </w:rPr>
              <w:t>1.1Կ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Times New Roman"/>
                <w:sz w:val="20"/>
                <w:szCs w:val="20"/>
                <w:lang w:val="hy-AM"/>
              </w:rPr>
            </w:pPr>
            <w:r w:rsidRPr="0053423A">
              <w:rPr>
                <w:rFonts w:cs="Times New Roman"/>
                <w:sz w:val="20"/>
                <w:szCs w:val="20"/>
                <w:lang w:val="hy-AM"/>
              </w:rPr>
              <w:t>Հայաստանի Հանրապետության և հայկական սփյուռքի գործակցության ապա</w:t>
            </w:r>
            <w:r w:rsidRPr="0053423A">
              <w:rPr>
                <w:rFonts w:cs="Times New Roman"/>
                <w:sz w:val="20"/>
                <w:szCs w:val="20"/>
                <w:lang w:val="hy-AM"/>
              </w:rPr>
              <w:softHyphen/>
              <w:t>հովումը,</w:t>
            </w:r>
            <w:r w:rsidRPr="0053423A">
              <w:rPr>
                <w:rFonts w:cs="Times New Roman"/>
                <w:sz w:val="20"/>
                <w:szCs w:val="20"/>
                <w:lang w:val="ro-RO"/>
              </w:rPr>
              <w:t xml:space="preserve"> </w:t>
            </w:r>
            <w:r w:rsidRPr="0053423A">
              <w:rPr>
                <w:rFonts w:cs="Times New Roman"/>
                <w:sz w:val="20"/>
                <w:szCs w:val="20"/>
                <w:lang w:val="hy-AM"/>
              </w:rPr>
              <w:t>դրանց միջև կապերի ամրապնդումը և հայ ժողովրդի հոգևոր միասնությունը</w:t>
            </w:r>
            <w:r w:rsidRPr="0053423A">
              <w:rPr>
                <w:rFonts w:cs="Times New Roman"/>
                <w:sz w:val="20"/>
                <w:szCs w:val="20"/>
                <w:lang w:val="ro-RO"/>
              </w:rPr>
              <w:t xml:space="preserve"> </w:t>
            </w:r>
            <w:r w:rsidRPr="0053423A">
              <w:rPr>
                <w:rFonts w:cs="Times New Roman"/>
                <w:sz w:val="20"/>
                <w:szCs w:val="20"/>
                <w:lang w:val="hy-AM"/>
              </w:rPr>
              <w:t>Կառավարության քաղաքականության կարևոր բաղադրիչ</w:t>
            </w:r>
            <w:r w:rsidRPr="0053423A">
              <w:rPr>
                <w:rFonts w:cs="Times New Roman"/>
                <w:sz w:val="20"/>
                <w:szCs w:val="20"/>
                <w:lang w:val="ro-RO"/>
              </w:rPr>
              <w:t xml:space="preserve">ն է: </w:t>
            </w:r>
            <w:r w:rsidRPr="0053423A">
              <w:rPr>
                <w:rFonts w:cs="Times New Roman"/>
                <w:sz w:val="20"/>
                <w:szCs w:val="20"/>
                <w:lang w:val="hy-AM"/>
              </w:rPr>
              <w:t>Հայապահպանության և հայ համայնքների զարգացման համար բարենպաստ միջավայրի ձևավորմանն ու զարգացմանը, համահայկական ծրագրերի մշակմանն ու իրականացմանն աջակցությունը:</w:t>
            </w:r>
          </w:p>
          <w:p w:rsidR="002B2CAB" w:rsidRPr="0053423A" w:rsidRDefault="002B2CAB" w:rsidP="00A67858">
            <w:pPr>
              <w:spacing w:line="276" w:lineRule="auto"/>
              <w:jc w:val="both"/>
              <w:rPr>
                <w:rFonts w:cs="Sylfaen"/>
                <w:sz w:val="20"/>
                <w:szCs w:val="20"/>
                <w:lang w:val="af-ZA"/>
              </w:rPr>
            </w:pPr>
            <w:r w:rsidRPr="0053423A">
              <w:rPr>
                <w:rFonts w:cs="Sylfaen"/>
                <w:b/>
                <w:sz w:val="20"/>
                <w:szCs w:val="20"/>
                <w:lang w:val="af-ZA"/>
              </w:rPr>
              <w:t>1.2.</w:t>
            </w:r>
            <w:r w:rsidRPr="0053423A">
              <w:rPr>
                <w:rFonts w:cs="Sylfaen"/>
                <w:b/>
                <w:sz w:val="20"/>
                <w:szCs w:val="20"/>
                <w:lang w:val="hy-AM"/>
              </w:rPr>
              <w:t>Առկա</w:t>
            </w:r>
            <w:r w:rsidRPr="0053423A">
              <w:rPr>
                <w:rFonts w:cs="Times New Roman"/>
                <w:b/>
                <w:sz w:val="20"/>
                <w:szCs w:val="20"/>
                <w:lang w:val="hy-AM"/>
              </w:rPr>
              <w:t xml:space="preserve"> խնդիրների առաջարկվող լուծումները</w:t>
            </w:r>
            <w:r w:rsidRPr="0053423A">
              <w:rPr>
                <w:rFonts w:cs="Sylfaen"/>
                <w:sz w:val="20"/>
                <w:szCs w:val="20"/>
                <w:lang w:val="af-ZA"/>
              </w:rPr>
              <w:t xml:space="preserve"> </w:t>
            </w:r>
          </w:p>
          <w:p w:rsidR="002B2CAB" w:rsidRPr="0053423A" w:rsidRDefault="002B2CAB" w:rsidP="00A67858">
            <w:pPr>
              <w:spacing w:line="276" w:lineRule="auto"/>
              <w:jc w:val="both"/>
              <w:rPr>
                <w:rFonts w:cs="Times New Roman"/>
                <w:sz w:val="20"/>
                <w:szCs w:val="20"/>
                <w:lang w:val="pt-BR"/>
              </w:rPr>
            </w:pPr>
            <w:r w:rsidRPr="0053423A">
              <w:rPr>
                <w:rFonts w:cs="Times New Roman"/>
                <w:sz w:val="20"/>
                <w:szCs w:val="20"/>
                <w:lang w:val="pt-BR"/>
              </w:rPr>
              <w:t xml:space="preserve">Հայապահպանության գործընթացի խթանումը զգալիորեն կամրապնդի </w:t>
            </w:r>
            <w:r w:rsidRPr="0053423A">
              <w:rPr>
                <w:rFonts w:cs="Times New Roman"/>
                <w:sz w:val="20"/>
                <w:szCs w:val="20"/>
                <w:lang w:val="hy-AM"/>
              </w:rPr>
              <w:t>Հայաստանի Հանրապետության և հայկական սփյուռքի կապերը և հայ ժողովրդի հոգևոր միասնությունը</w:t>
            </w:r>
            <w:r w:rsidRPr="0053423A">
              <w:rPr>
                <w:rFonts w:cs="Times New Roman"/>
                <w:sz w:val="20"/>
                <w:szCs w:val="20"/>
                <w:lang w:val="ro-RO"/>
              </w:rPr>
              <w:t xml:space="preserve"> </w:t>
            </w:r>
            <w:r w:rsidRPr="0053423A">
              <w:rPr>
                <w:rFonts w:cs="Times New Roman"/>
                <w:sz w:val="20"/>
                <w:szCs w:val="20"/>
                <w:lang w:val="pt-BR"/>
              </w:rPr>
              <w:t>մտավոր ու պաշտպանական ներուժը:</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jc w:val="both"/>
              <w:rPr>
                <w:rFonts w:cs="Times New Roman"/>
                <w:spacing w:val="-2"/>
                <w:sz w:val="20"/>
                <w:szCs w:val="20"/>
                <w:lang w:val="fr-FR"/>
              </w:rPr>
            </w:pPr>
            <w:r w:rsidRPr="0053423A">
              <w:rPr>
                <w:rFonts w:cs="Times New Roman"/>
                <w:sz w:val="20"/>
                <w:szCs w:val="20"/>
                <w:lang w:val="hy-AM"/>
              </w:rPr>
              <w:t>Օտարերկրյա</w:t>
            </w:r>
            <w:r w:rsidRPr="0053423A">
              <w:rPr>
                <w:rFonts w:cs="Times New Roman"/>
                <w:sz w:val="20"/>
                <w:szCs w:val="20"/>
                <w:lang w:val="fr-FR"/>
              </w:rPr>
              <w:t xml:space="preserve"> </w:t>
            </w:r>
            <w:r w:rsidRPr="0053423A">
              <w:rPr>
                <w:rFonts w:cs="Times New Roman"/>
                <w:sz w:val="20"/>
                <w:szCs w:val="20"/>
                <w:lang w:val="hy-AM"/>
              </w:rPr>
              <w:t>պետություններում</w:t>
            </w:r>
            <w:r w:rsidRPr="0053423A">
              <w:rPr>
                <w:rFonts w:cs="Times New Roman"/>
                <w:sz w:val="20"/>
                <w:szCs w:val="20"/>
                <w:lang w:val="fr-FR"/>
              </w:rPr>
              <w:t xml:space="preserve"> </w:t>
            </w:r>
            <w:r w:rsidRPr="0053423A">
              <w:rPr>
                <w:rFonts w:cs="Times New Roman"/>
                <w:sz w:val="20"/>
                <w:szCs w:val="20"/>
                <w:lang w:val="hy-AM"/>
              </w:rPr>
              <w:t>գտնվող</w:t>
            </w:r>
            <w:r w:rsidRPr="0053423A">
              <w:rPr>
                <w:rFonts w:cs="Times New Roman"/>
                <w:sz w:val="20"/>
                <w:szCs w:val="20"/>
                <w:lang w:val="fr-FR"/>
              </w:rPr>
              <w:t xml:space="preserve"> </w:t>
            </w:r>
            <w:r w:rsidRPr="0053423A">
              <w:rPr>
                <w:rFonts w:cs="Times New Roman"/>
                <w:sz w:val="20"/>
                <w:szCs w:val="20"/>
                <w:lang w:val="hy-AM"/>
              </w:rPr>
              <w:t>հայկական</w:t>
            </w:r>
            <w:r w:rsidRPr="0053423A">
              <w:rPr>
                <w:rFonts w:cs="Times New Roman"/>
                <w:sz w:val="20"/>
                <w:szCs w:val="20"/>
                <w:lang w:val="fr-FR"/>
              </w:rPr>
              <w:t xml:space="preserve"> </w:t>
            </w:r>
            <w:r w:rsidRPr="0053423A">
              <w:rPr>
                <w:rFonts w:cs="Times New Roman"/>
                <w:sz w:val="20"/>
                <w:szCs w:val="20"/>
                <w:lang w:val="hy-AM"/>
              </w:rPr>
              <w:t>ունեցվածքի</w:t>
            </w:r>
            <w:r w:rsidRPr="0053423A">
              <w:rPr>
                <w:rFonts w:cs="Times New Roman"/>
                <w:sz w:val="20"/>
                <w:szCs w:val="20"/>
                <w:lang w:val="fr-FR"/>
              </w:rPr>
              <w:t xml:space="preserve"> </w:t>
            </w:r>
            <w:r w:rsidRPr="0053423A">
              <w:rPr>
                <w:rFonts w:cs="Times New Roman"/>
                <w:sz w:val="20"/>
                <w:szCs w:val="20"/>
                <w:lang w:val="hy-AM"/>
              </w:rPr>
              <w:t>պահպանման</w:t>
            </w:r>
            <w:r w:rsidRPr="0053423A">
              <w:rPr>
                <w:rFonts w:cs="Times New Roman"/>
                <w:sz w:val="20"/>
                <w:szCs w:val="20"/>
                <w:lang w:val="fr-FR"/>
              </w:rPr>
              <w:t xml:space="preserve"> </w:t>
            </w:r>
            <w:r w:rsidRPr="0053423A">
              <w:rPr>
                <w:rFonts w:cs="Times New Roman"/>
                <w:sz w:val="20"/>
                <w:szCs w:val="20"/>
                <w:lang w:val="hy-AM"/>
              </w:rPr>
              <w:t>և</w:t>
            </w:r>
            <w:r w:rsidRPr="0053423A">
              <w:rPr>
                <w:rFonts w:cs="Times New Roman"/>
                <w:sz w:val="20"/>
                <w:szCs w:val="20"/>
                <w:lang w:val="fr-FR"/>
              </w:rPr>
              <w:t xml:space="preserve"> </w:t>
            </w:r>
            <w:r w:rsidRPr="0053423A">
              <w:rPr>
                <w:rFonts w:cs="Times New Roman"/>
                <w:sz w:val="20"/>
                <w:szCs w:val="20"/>
                <w:lang w:val="hy-AM"/>
              </w:rPr>
              <w:t>տնօրինման</w:t>
            </w:r>
            <w:r w:rsidRPr="0053423A">
              <w:rPr>
                <w:rFonts w:cs="Times New Roman"/>
                <w:sz w:val="20"/>
                <w:szCs w:val="20"/>
                <w:lang w:val="fr-FR"/>
              </w:rPr>
              <w:t xml:space="preserve"> </w:t>
            </w:r>
            <w:r w:rsidRPr="0053423A">
              <w:rPr>
                <w:rFonts w:cs="Times New Roman"/>
                <w:sz w:val="20"/>
                <w:szCs w:val="20"/>
                <w:lang w:val="hy-AM"/>
              </w:rPr>
              <w:t>խնդիրների</w:t>
            </w:r>
            <w:r w:rsidRPr="0053423A">
              <w:rPr>
                <w:rFonts w:cs="Times New Roman"/>
                <w:sz w:val="20"/>
                <w:szCs w:val="20"/>
                <w:lang w:val="fr-FR"/>
              </w:rPr>
              <w:t xml:space="preserve"> </w:t>
            </w:r>
            <w:r w:rsidRPr="0053423A">
              <w:rPr>
                <w:rFonts w:cs="Times New Roman"/>
                <w:sz w:val="20"/>
                <w:szCs w:val="20"/>
                <w:lang w:val="hy-AM"/>
              </w:rPr>
              <w:t>լուծմանն</w:t>
            </w:r>
            <w:r w:rsidRPr="0053423A">
              <w:rPr>
                <w:rFonts w:cs="Times New Roman"/>
                <w:sz w:val="20"/>
                <w:szCs w:val="20"/>
                <w:lang w:val="fr-FR"/>
              </w:rPr>
              <w:t xml:space="preserve"> </w:t>
            </w:r>
            <w:r w:rsidRPr="0053423A">
              <w:rPr>
                <w:rFonts w:cs="Times New Roman"/>
                <w:sz w:val="20"/>
                <w:szCs w:val="20"/>
                <w:lang w:val="hy-AM"/>
              </w:rPr>
              <w:t>աջակցության</w:t>
            </w:r>
            <w:r w:rsidRPr="0053423A">
              <w:rPr>
                <w:rFonts w:cs="Times New Roman"/>
                <w:sz w:val="20"/>
                <w:szCs w:val="20"/>
                <w:lang w:val="fr-FR"/>
              </w:rPr>
              <w:t xml:space="preserve"> </w:t>
            </w:r>
            <w:r w:rsidRPr="0053423A">
              <w:rPr>
                <w:rFonts w:cs="Times New Roman"/>
                <w:sz w:val="20"/>
                <w:szCs w:val="20"/>
                <w:lang w:val="hy-AM"/>
              </w:rPr>
              <w:t>ծրագրի</w:t>
            </w:r>
            <w:r w:rsidRPr="0053423A">
              <w:rPr>
                <w:rFonts w:cs="Times New Roman"/>
                <w:sz w:val="20"/>
                <w:szCs w:val="20"/>
                <w:lang w:val="fr-FR"/>
              </w:rPr>
              <w:t xml:space="preserve"> և համապատասխան գործիքակազմի </w:t>
            </w:r>
            <w:r w:rsidRPr="0053423A">
              <w:rPr>
                <w:rFonts w:cs="Times New Roman"/>
                <w:sz w:val="20"/>
                <w:szCs w:val="20"/>
                <w:lang w:val="hy-AM"/>
              </w:rPr>
              <w:t>մշակման</w:t>
            </w:r>
            <w:r w:rsidRPr="0053423A">
              <w:rPr>
                <w:rFonts w:cs="Times New Roman"/>
                <w:sz w:val="20"/>
                <w:szCs w:val="20"/>
                <w:lang w:val="fr-FR"/>
              </w:rPr>
              <w:t xml:space="preserve"> </w:t>
            </w:r>
            <w:r w:rsidRPr="0053423A">
              <w:rPr>
                <w:rFonts w:cs="Times New Roman"/>
                <w:sz w:val="20"/>
                <w:szCs w:val="20"/>
                <w:lang w:val="hy-AM"/>
              </w:rPr>
              <w:t>նպատակով</w:t>
            </w:r>
            <w:r w:rsidRPr="0053423A">
              <w:rPr>
                <w:rFonts w:cs="Times New Roman"/>
                <w:spacing w:val="-2"/>
                <w:sz w:val="20"/>
                <w:szCs w:val="20"/>
                <w:lang w:val="fr-FR"/>
              </w:rPr>
              <w:t xml:space="preserve"> հոգևոր կառույցների, օտարերկրյա պետություններում ՀՀ լիազոր ներկայացուցիչների, ինչպես նաև սփյուռքի և Հայաստանի համապատասխան ոլորտների ներկայացուցիչների մասնակցությամբ հանձնաժողովի ստեղծում. Տվյալ երկրի ՀՀ դեսպանության, տեղի հայկական համայնքի հոգևոր և աշխարհիկ ներկայացուցիչների հետ քննարկումների արդյունքում հանձնաժողովի կողմից հայկական ժառանգության իրավահաջորդության գործընթացի կազմակերպման և իրագործման վերաբերյալ գործողությունների հստակ ձևակերպված մեխանիզմների մշակում:</w:t>
            </w:r>
          </w:p>
          <w:p w:rsidR="002B2CAB" w:rsidRPr="0053423A" w:rsidRDefault="002B2CAB" w:rsidP="00A67858">
            <w:pPr>
              <w:shd w:val="clear" w:color="auto" w:fill="FFFFFF"/>
              <w:spacing w:line="276" w:lineRule="auto"/>
              <w:jc w:val="both"/>
              <w:rPr>
                <w:rFonts w:eastAsia="Calibri" w:cs="Times New Roman"/>
                <w:b/>
                <w:color w:val="000000"/>
                <w:sz w:val="20"/>
                <w:szCs w:val="20"/>
                <w:lang w:val="hy-AM"/>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spacing w:line="276" w:lineRule="auto"/>
              <w:jc w:val="both"/>
              <w:rPr>
                <w:rFonts w:cs="Times New Roman"/>
                <w:spacing w:val="-2"/>
                <w:sz w:val="20"/>
                <w:szCs w:val="20"/>
                <w:lang w:val="fr-FR"/>
              </w:rPr>
            </w:pPr>
            <w:r w:rsidRPr="0053423A">
              <w:rPr>
                <w:rFonts w:cs="Times New Roman"/>
                <w:sz w:val="20"/>
                <w:szCs w:val="20"/>
                <w:lang w:val="hy-AM"/>
              </w:rPr>
              <w:t>Ա</w:t>
            </w:r>
            <w:r w:rsidRPr="0053423A">
              <w:rPr>
                <w:rFonts w:cs="Times New Roman"/>
                <w:spacing w:val="-2"/>
                <w:sz w:val="20"/>
                <w:szCs w:val="20"/>
                <w:lang w:val="fr-FR"/>
              </w:rPr>
              <w:t>կնկալվում է առնվազն 6 երկրում հայկական ունեցվածքի փաստաթղթավորում, պատկանելության ճանաչում, տնօրինում, պահպանում, միջազգային հանրության շրջանակներում հայկական ունեցվածքի արժևորում, հայկական պատմամշակութային արժեքների տեղափոխում ՀՀ (ձեռագրեր, հնատիպ գրքեր, արխիվային փաստաթղթեր, պատմական իրեր և այլն): Հայկական ունեցվածքը տնօրինելու անհնարինության  պարագայում հայկական պատմամշակութային ժառանգության ներառում ՅՈՒՆԵՍԿՕ-ի կողմից պահպանվող համաշխարհային արժեքների ցանկերում:</w:t>
            </w:r>
          </w:p>
        </w:tc>
      </w:tr>
      <w:tr w:rsidR="002B2CAB" w:rsidRPr="00DE2EFA" w:rsidTr="002B2CAB">
        <w:tc>
          <w:tcPr>
            <w:tcW w:w="540" w:type="dxa"/>
            <w:vMerge/>
          </w:tcPr>
          <w:p w:rsidR="002B2CAB" w:rsidRPr="0053423A" w:rsidRDefault="002B2CAB" w:rsidP="00A67858">
            <w:pPr>
              <w:spacing w:line="276" w:lineRule="auto"/>
              <w:jc w:val="center"/>
              <w:rPr>
                <w:rFonts w:cs="Times New Roman"/>
                <w:b/>
                <w:sz w:val="20"/>
                <w:szCs w:val="20"/>
                <w:lang w:val="hy-AM"/>
              </w:rPr>
            </w:pP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cs="Times New Roman"/>
                <w:b/>
                <w:sz w:val="20"/>
                <w:szCs w:val="20"/>
                <w:u w:val="single"/>
                <w:lang w:val="af-ZA"/>
              </w:rPr>
              <w:t xml:space="preserve">2.3 </w:t>
            </w:r>
            <w:r w:rsidRPr="0053423A">
              <w:rPr>
                <w:rFonts w:cs="Sylfaen"/>
                <w:b/>
                <w:sz w:val="20"/>
                <w:szCs w:val="20"/>
                <w:u w:val="single"/>
                <w:lang w:val="af-ZA"/>
              </w:rPr>
              <w:t>«Աջակցություն մերձավոր սփյուռ</w:t>
            </w:r>
            <w:r w:rsidRPr="0053423A">
              <w:rPr>
                <w:rFonts w:cs="Sylfaen"/>
                <w:b/>
                <w:sz w:val="20"/>
                <w:szCs w:val="20"/>
                <w:u w:val="single"/>
                <w:lang w:val="af-ZA"/>
              </w:rPr>
              <w:softHyphen/>
              <w:t>քի հայ համայնքներին» ծ</w:t>
            </w:r>
            <w:r w:rsidRPr="0053423A">
              <w:rPr>
                <w:rFonts w:cs="Sylfaen"/>
                <w:b/>
                <w:sz w:val="20"/>
                <w:szCs w:val="20"/>
                <w:u w:val="single"/>
                <w:lang w:val="hy-AM"/>
              </w:rPr>
              <w:t>րագրի</w:t>
            </w:r>
            <w:r w:rsidRPr="0053423A">
              <w:rPr>
                <w:rFonts w:cs="Sylfaen"/>
                <w:b/>
                <w:sz w:val="20"/>
                <w:szCs w:val="20"/>
                <w:u w:val="single"/>
                <w:lang w:val="af-ZA"/>
              </w:rPr>
              <w:t xml:space="preserve"> </w:t>
            </w:r>
            <w:r w:rsidRPr="0053423A">
              <w:rPr>
                <w:rFonts w:cs="Times New Roman"/>
                <w:b/>
                <w:sz w:val="20"/>
                <w:szCs w:val="20"/>
                <w:u w:val="single"/>
                <w:lang w:val="hy-AM"/>
              </w:rPr>
              <w:t>իրականացում</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sz w:val="20"/>
                <w:szCs w:val="20"/>
                <w:lang w:val="hy-AM"/>
              </w:rPr>
              <w:t xml:space="preserve">Անհրաժեշտությունը բխում է Սահմանադրության 19-րդ հոդվածի 1-ին մասի պահանջներից (ոլորտային նորմատիվ իրավական ակտեր չկան): Նպատակն է </w:t>
            </w:r>
            <w:r w:rsidRPr="0053423A">
              <w:rPr>
                <w:rFonts w:cs="Times New Roman"/>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b/>
                <w:sz w:val="20"/>
                <w:szCs w:val="20"/>
                <w:lang w:val="ro-RO"/>
              </w:rPr>
              <w:t xml:space="preserve"> </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ro-RO"/>
              </w:rPr>
              <w:t>1.1Կ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Times New Roman"/>
                <w:sz w:val="20"/>
                <w:szCs w:val="20"/>
                <w:lang w:val="hy-AM"/>
              </w:rPr>
            </w:pPr>
            <w:r w:rsidRPr="0053423A">
              <w:rPr>
                <w:rFonts w:cs="Times New Roman"/>
                <w:sz w:val="20"/>
                <w:szCs w:val="20"/>
                <w:lang w:val="hy-AM"/>
              </w:rPr>
              <w:t>Հայաստանի Հանրապետության և հայկական սփյուռքի գործակցության ապա</w:t>
            </w:r>
            <w:r w:rsidRPr="0053423A">
              <w:rPr>
                <w:rFonts w:cs="Times New Roman"/>
                <w:sz w:val="20"/>
                <w:szCs w:val="20"/>
                <w:lang w:val="hy-AM"/>
              </w:rPr>
              <w:softHyphen/>
              <w:t>հովումը,</w:t>
            </w:r>
            <w:r w:rsidRPr="0053423A">
              <w:rPr>
                <w:rFonts w:cs="Times New Roman"/>
                <w:sz w:val="20"/>
                <w:szCs w:val="20"/>
                <w:lang w:val="ro-RO"/>
              </w:rPr>
              <w:t xml:space="preserve"> </w:t>
            </w:r>
            <w:r w:rsidRPr="0053423A">
              <w:rPr>
                <w:rFonts w:cs="Times New Roman"/>
                <w:sz w:val="20"/>
                <w:szCs w:val="20"/>
                <w:lang w:val="hy-AM"/>
              </w:rPr>
              <w:t>դրանց միջև կապերի ամրապնդումը և հայ ժողովրդի հոգևոր միասնությունը</w:t>
            </w:r>
            <w:r w:rsidRPr="0053423A">
              <w:rPr>
                <w:rFonts w:cs="Times New Roman"/>
                <w:sz w:val="20"/>
                <w:szCs w:val="20"/>
                <w:lang w:val="ro-RO"/>
              </w:rPr>
              <w:t xml:space="preserve"> </w:t>
            </w:r>
            <w:r w:rsidRPr="0053423A">
              <w:rPr>
                <w:rFonts w:cs="Times New Roman"/>
                <w:sz w:val="20"/>
                <w:szCs w:val="20"/>
                <w:lang w:val="hy-AM"/>
              </w:rPr>
              <w:t>Կառավարության քաղաքականության կարևոր բաղադրիչ</w:t>
            </w:r>
            <w:r w:rsidRPr="0053423A">
              <w:rPr>
                <w:rFonts w:cs="Times New Roman"/>
                <w:sz w:val="20"/>
                <w:szCs w:val="20"/>
                <w:lang w:val="ro-RO"/>
              </w:rPr>
              <w:t xml:space="preserve">ն է: </w:t>
            </w:r>
            <w:r w:rsidRPr="0053423A">
              <w:rPr>
                <w:rFonts w:cs="Times New Roman"/>
                <w:sz w:val="20"/>
                <w:szCs w:val="20"/>
                <w:lang w:val="hy-AM"/>
              </w:rPr>
              <w:t>Հայապահպանության և հայ համայնքների զարգացման համար բարենպաստ միջավայրի ձևավորմանն ու զարգացմանը, համահայկական ծրագրերի մշակմանն ու իրականացմանն աջակցությունը:</w:t>
            </w:r>
          </w:p>
          <w:p w:rsidR="002B2CAB" w:rsidRPr="0053423A" w:rsidRDefault="002B2CAB" w:rsidP="00A67858">
            <w:pPr>
              <w:spacing w:line="276" w:lineRule="auto"/>
              <w:jc w:val="both"/>
              <w:rPr>
                <w:rFonts w:cs="Sylfaen"/>
                <w:sz w:val="20"/>
                <w:szCs w:val="20"/>
                <w:lang w:val="af-ZA"/>
              </w:rPr>
            </w:pPr>
            <w:r w:rsidRPr="0053423A">
              <w:rPr>
                <w:rFonts w:cs="Sylfaen"/>
                <w:b/>
                <w:sz w:val="20"/>
                <w:szCs w:val="20"/>
                <w:lang w:val="af-ZA"/>
              </w:rPr>
              <w:t>1.2.</w:t>
            </w:r>
            <w:r w:rsidRPr="0053423A">
              <w:rPr>
                <w:rFonts w:cs="Sylfaen"/>
                <w:b/>
                <w:sz w:val="20"/>
                <w:szCs w:val="20"/>
                <w:lang w:val="hy-AM"/>
              </w:rPr>
              <w:t>Առկա</w:t>
            </w:r>
            <w:r w:rsidRPr="0053423A">
              <w:rPr>
                <w:rFonts w:cs="Times New Roman"/>
                <w:b/>
                <w:sz w:val="20"/>
                <w:szCs w:val="20"/>
                <w:lang w:val="hy-AM"/>
              </w:rPr>
              <w:t xml:space="preserve"> խնդիրների առաջարկվող լուծումները</w:t>
            </w:r>
            <w:r w:rsidRPr="0053423A">
              <w:rPr>
                <w:rFonts w:cs="Sylfaen"/>
                <w:sz w:val="20"/>
                <w:szCs w:val="20"/>
                <w:lang w:val="af-ZA"/>
              </w:rPr>
              <w:t xml:space="preserve"> </w:t>
            </w:r>
          </w:p>
          <w:p w:rsidR="002B2CAB" w:rsidRPr="0053423A" w:rsidRDefault="002B2CAB" w:rsidP="00A67858">
            <w:pPr>
              <w:spacing w:line="276" w:lineRule="auto"/>
              <w:jc w:val="both"/>
              <w:rPr>
                <w:rFonts w:cs="Times New Roman"/>
                <w:sz w:val="20"/>
                <w:szCs w:val="20"/>
                <w:lang w:val="pt-BR"/>
              </w:rPr>
            </w:pPr>
            <w:r w:rsidRPr="0053423A">
              <w:rPr>
                <w:rFonts w:cs="Times New Roman"/>
                <w:sz w:val="20"/>
                <w:szCs w:val="20"/>
                <w:lang w:val="pt-BR"/>
              </w:rPr>
              <w:t xml:space="preserve">Հայապահպանության գործընթացի խթանումը զգալիորեն կամրապնդի </w:t>
            </w:r>
            <w:r w:rsidRPr="0053423A">
              <w:rPr>
                <w:rFonts w:cs="Times New Roman"/>
                <w:sz w:val="20"/>
                <w:szCs w:val="20"/>
                <w:lang w:val="hy-AM"/>
              </w:rPr>
              <w:t>Հայաստանի Հանրապետության և հայկական սփյուռքի կապերը և հայ ժողովրդի հոգևոր միասնությունը</w:t>
            </w:r>
            <w:r w:rsidRPr="0053423A">
              <w:rPr>
                <w:rFonts w:cs="Times New Roman"/>
                <w:sz w:val="20"/>
                <w:szCs w:val="20"/>
                <w:lang w:val="ro-RO"/>
              </w:rPr>
              <w:t xml:space="preserve"> </w:t>
            </w:r>
            <w:r w:rsidRPr="0053423A">
              <w:rPr>
                <w:rFonts w:cs="Times New Roman"/>
                <w:sz w:val="20"/>
                <w:szCs w:val="20"/>
                <w:lang w:val="pt-BR"/>
              </w:rPr>
              <w:t>մտավոր ու պաշտպանական ներուժը:</w:t>
            </w:r>
          </w:p>
          <w:p w:rsidR="002B2CAB" w:rsidRPr="0053423A" w:rsidRDefault="002B2CAB" w:rsidP="00A67858">
            <w:pPr>
              <w:spacing w:line="276" w:lineRule="auto"/>
              <w:jc w:val="both"/>
              <w:rPr>
                <w:rFonts w:cs="Times New Roman"/>
                <w:b/>
                <w:sz w:val="20"/>
                <w:szCs w:val="20"/>
                <w:lang w:val="pt-BR"/>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jc w:val="both"/>
              <w:rPr>
                <w:rFonts w:cs="Sylfaen"/>
                <w:sz w:val="20"/>
                <w:szCs w:val="20"/>
                <w:lang w:val="hy-AM"/>
              </w:rPr>
            </w:pPr>
            <w:r w:rsidRPr="0053423A">
              <w:rPr>
                <w:rFonts w:cs="Times New Roman"/>
                <w:sz w:val="20"/>
                <w:szCs w:val="20"/>
              </w:rPr>
              <w:t>Հ</w:t>
            </w:r>
            <w:r w:rsidRPr="0053423A">
              <w:rPr>
                <w:rFonts w:cs="Times New Roman"/>
                <w:sz w:val="20"/>
                <w:szCs w:val="20"/>
                <w:lang w:val="hy-AM"/>
              </w:rPr>
              <w:t>այության ուծացմանը դիմակայ</w:t>
            </w:r>
            <w:r w:rsidRPr="0053423A">
              <w:rPr>
                <w:rFonts w:cs="Times New Roman"/>
                <w:sz w:val="20"/>
                <w:szCs w:val="20"/>
              </w:rPr>
              <w:t>ումը</w:t>
            </w:r>
            <w:r w:rsidRPr="0053423A">
              <w:rPr>
                <w:rFonts w:cs="Times New Roman"/>
                <w:sz w:val="20"/>
                <w:szCs w:val="20"/>
                <w:lang w:val="hy-AM"/>
              </w:rPr>
              <w:t xml:space="preserve">  և կրթամշակութային խնդիրների լուծմանն աջակ</w:t>
            </w:r>
            <w:r w:rsidRPr="0053423A">
              <w:rPr>
                <w:rFonts w:cs="Times New Roman"/>
                <w:sz w:val="20"/>
                <w:szCs w:val="20"/>
              </w:rPr>
              <w:t>ցությունը</w:t>
            </w:r>
            <w:r w:rsidRPr="0053423A">
              <w:rPr>
                <w:rFonts w:cs="Times New Roman"/>
                <w:sz w:val="20"/>
                <w:szCs w:val="20"/>
                <w:lang w:val="hy-AM"/>
              </w:rPr>
              <w:t xml:space="preserve"> և հայ համայնքների զարգացման համար բարենպաստ միջավայրի ձևավոր</w:t>
            </w:r>
            <w:r w:rsidRPr="0053423A">
              <w:rPr>
                <w:rFonts w:cs="Times New Roman"/>
                <w:sz w:val="20"/>
                <w:szCs w:val="20"/>
              </w:rPr>
              <w:t>ումն</w:t>
            </w:r>
            <w:r w:rsidRPr="0053423A">
              <w:rPr>
                <w:rFonts w:cs="Times New Roman"/>
                <w:sz w:val="20"/>
                <w:szCs w:val="20"/>
                <w:lang w:val="hy-AM"/>
              </w:rPr>
              <w:t xml:space="preserve"> </w:t>
            </w:r>
            <w:r w:rsidRPr="0053423A">
              <w:rPr>
                <w:rFonts w:cs="Sylfaen"/>
                <w:sz w:val="20"/>
                <w:szCs w:val="20"/>
                <w:lang w:val="hy-AM"/>
              </w:rPr>
              <w:t>պատմամշակութային արժեք</w:t>
            </w:r>
            <w:r w:rsidRPr="0053423A">
              <w:rPr>
                <w:rFonts w:cs="Sylfaen"/>
                <w:sz w:val="20"/>
                <w:szCs w:val="20"/>
              </w:rPr>
              <w:t>ների</w:t>
            </w:r>
            <w:r w:rsidRPr="0053423A">
              <w:rPr>
                <w:rFonts w:cs="Sylfaen"/>
                <w:sz w:val="20"/>
                <w:szCs w:val="20"/>
                <w:lang w:val="hy-AM"/>
              </w:rPr>
              <w:t xml:space="preserve"> սերունդներին փոխանց</w:t>
            </w:r>
            <w:r w:rsidRPr="0053423A">
              <w:rPr>
                <w:rFonts w:cs="Sylfaen"/>
                <w:sz w:val="20"/>
                <w:szCs w:val="20"/>
              </w:rPr>
              <w:t>ումը</w:t>
            </w:r>
            <w:r w:rsidRPr="0053423A">
              <w:rPr>
                <w:rFonts w:cs="Sylfaen"/>
                <w:sz w:val="20"/>
                <w:szCs w:val="20"/>
                <w:lang w:val="pt-BR"/>
              </w:rPr>
              <w:t xml:space="preserve"> </w:t>
            </w:r>
            <w:r w:rsidRPr="0053423A">
              <w:rPr>
                <w:rFonts w:cs="GHEA Grapalat"/>
                <w:sz w:val="20"/>
                <w:szCs w:val="20"/>
                <w:lang w:val="hy-AM"/>
              </w:rPr>
              <w:t>և հայկական ինքնությունը պահպան</w:t>
            </w:r>
            <w:r w:rsidRPr="0053423A">
              <w:rPr>
                <w:rFonts w:cs="GHEA Grapalat"/>
                <w:sz w:val="20"/>
                <w:szCs w:val="20"/>
              </w:rPr>
              <w:t>ումը</w:t>
            </w:r>
            <w:r w:rsidRPr="0053423A">
              <w:rPr>
                <w:rFonts w:cs="Sylfaen"/>
                <w:sz w:val="20"/>
                <w:szCs w:val="20"/>
                <w:lang w:val="hy-AM"/>
              </w:rPr>
              <w:t>:</w:t>
            </w:r>
          </w:p>
          <w:p w:rsidR="002B2CAB" w:rsidRPr="0053423A" w:rsidRDefault="002B2CAB" w:rsidP="00A67858">
            <w:pPr>
              <w:shd w:val="clear" w:color="auto" w:fill="FFFFFF"/>
              <w:spacing w:line="276" w:lineRule="auto"/>
              <w:jc w:val="both"/>
              <w:rPr>
                <w:rFonts w:eastAsia="Calibri" w:cs="Times New Roman"/>
                <w:b/>
                <w:color w:val="000000"/>
                <w:sz w:val="20"/>
                <w:szCs w:val="20"/>
                <w:lang w:val="hy-AM"/>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spacing w:line="276" w:lineRule="auto"/>
              <w:jc w:val="both"/>
              <w:rPr>
                <w:rFonts w:cs="Times New Roman"/>
                <w:sz w:val="20"/>
                <w:szCs w:val="20"/>
                <w:lang w:val="af-ZA"/>
              </w:rPr>
            </w:pPr>
            <w:r w:rsidRPr="0053423A">
              <w:rPr>
                <w:rFonts w:cs="Sylfaen"/>
                <w:sz w:val="20"/>
                <w:szCs w:val="20"/>
                <w:lang w:val="hy-AM"/>
              </w:rPr>
              <w:t>Վրաստանում</w:t>
            </w:r>
            <w:r w:rsidRPr="0053423A">
              <w:rPr>
                <w:rFonts w:cs="Sylfaen"/>
                <w:sz w:val="20"/>
                <w:szCs w:val="20"/>
                <w:lang w:val="af-ZA"/>
              </w:rPr>
              <w:t xml:space="preserve"> </w:t>
            </w:r>
            <w:r w:rsidRPr="0053423A">
              <w:rPr>
                <w:rFonts w:cs="Sylfaen"/>
                <w:sz w:val="20"/>
                <w:szCs w:val="20"/>
                <w:lang w:val="hy-AM"/>
              </w:rPr>
              <w:t>գործող</w:t>
            </w:r>
            <w:r w:rsidRPr="0053423A">
              <w:rPr>
                <w:rFonts w:cs="Sylfaen"/>
                <w:sz w:val="20"/>
                <w:szCs w:val="20"/>
                <w:lang w:val="af-ZA"/>
              </w:rPr>
              <w:t xml:space="preserve"> </w:t>
            </w:r>
            <w:r w:rsidRPr="0053423A">
              <w:rPr>
                <w:rFonts w:cs="Sylfaen"/>
                <w:sz w:val="20"/>
                <w:szCs w:val="20"/>
                <w:lang w:val="hy-AM"/>
              </w:rPr>
              <w:t>կրթամշակութային</w:t>
            </w:r>
            <w:r w:rsidRPr="0053423A">
              <w:rPr>
                <w:rFonts w:cs="Sylfaen"/>
                <w:sz w:val="20"/>
                <w:szCs w:val="20"/>
                <w:lang w:val="af-ZA"/>
              </w:rPr>
              <w:t xml:space="preserve"> </w:t>
            </w:r>
            <w:r w:rsidRPr="0053423A">
              <w:rPr>
                <w:rFonts w:cs="Sylfaen"/>
                <w:sz w:val="20"/>
                <w:szCs w:val="20"/>
                <w:lang w:val="hy-AM"/>
              </w:rPr>
              <w:t>և</w:t>
            </w:r>
            <w:r w:rsidRPr="0053423A">
              <w:rPr>
                <w:rFonts w:cs="Sylfaen"/>
                <w:sz w:val="20"/>
                <w:szCs w:val="20"/>
                <w:lang w:val="af-ZA"/>
              </w:rPr>
              <w:t xml:space="preserve">  </w:t>
            </w:r>
            <w:r w:rsidRPr="0053423A">
              <w:rPr>
                <w:rFonts w:cs="Sylfaen"/>
                <w:sz w:val="20"/>
                <w:szCs w:val="20"/>
                <w:lang w:val="hy-AM"/>
              </w:rPr>
              <w:t>երիտասարդական</w:t>
            </w:r>
            <w:r w:rsidRPr="0053423A">
              <w:rPr>
                <w:rFonts w:cs="Sylfaen"/>
                <w:sz w:val="20"/>
                <w:szCs w:val="20"/>
                <w:lang w:val="af-ZA"/>
              </w:rPr>
              <w:t xml:space="preserve"> </w:t>
            </w:r>
            <w:r w:rsidRPr="0053423A">
              <w:rPr>
                <w:rFonts w:cs="Sylfaen"/>
                <w:sz w:val="20"/>
                <w:szCs w:val="20"/>
                <w:lang w:val="hy-AM"/>
              </w:rPr>
              <w:t>կենտրոնների</w:t>
            </w:r>
            <w:r w:rsidRPr="0053423A">
              <w:rPr>
                <w:rFonts w:cs="Sylfaen"/>
                <w:sz w:val="20"/>
                <w:szCs w:val="20"/>
                <w:lang w:val="af-ZA"/>
              </w:rPr>
              <w:t xml:space="preserve"> գործունեության </w:t>
            </w:r>
            <w:r w:rsidRPr="0053423A">
              <w:rPr>
                <w:rFonts w:cs="Sylfaen"/>
                <w:sz w:val="20"/>
                <w:szCs w:val="20"/>
                <w:lang w:val="hy-AM"/>
              </w:rPr>
              <w:t>ակտիվացում</w:t>
            </w:r>
            <w:r w:rsidRPr="0053423A">
              <w:rPr>
                <w:rFonts w:cs="Sylfaen"/>
                <w:sz w:val="20"/>
                <w:szCs w:val="20"/>
                <w:lang w:val="af-ZA"/>
              </w:rPr>
              <w:t xml:space="preserve">, հայկական մշակույթի պահպանում և զարգացում  </w:t>
            </w:r>
            <w:r w:rsidRPr="0053423A">
              <w:rPr>
                <w:rFonts w:cs="Times New Roman"/>
                <w:sz w:val="20"/>
                <w:szCs w:val="20"/>
                <w:lang w:val="hy-AM"/>
              </w:rPr>
              <w:t>Ջավախքի</w:t>
            </w:r>
            <w:r w:rsidRPr="0053423A">
              <w:rPr>
                <w:rFonts w:cs="Times New Roman"/>
                <w:sz w:val="20"/>
                <w:szCs w:val="20"/>
                <w:lang w:val="af-ZA"/>
              </w:rPr>
              <w:t xml:space="preserve"> </w:t>
            </w:r>
            <w:r w:rsidRPr="0053423A">
              <w:rPr>
                <w:rFonts w:cs="Times New Roman"/>
                <w:sz w:val="20"/>
                <w:szCs w:val="20"/>
                <w:lang w:val="hy-AM"/>
              </w:rPr>
              <w:t>հայկական</w:t>
            </w:r>
            <w:r w:rsidRPr="0053423A">
              <w:rPr>
                <w:rFonts w:cs="Times New Roman"/>
                <w:sz w:val="20"/>
                <w:szCs w:val="20"/>
                <w:lang w:val="af-ZA"/>
              </w:rPr>
              <w:t xml:space="preserve"> </w:t>
            </w:r>
            <w:r w:rsidRPr="0053423A">
              <w:rPr>
                <w:rFonts w:cs="Times New Roman"/>
                <w:sz w:val="20"/>
                <w:szCs w:val="20"/>
                <w:lang w:val="hy-AM"/>
              </w:rPr>
              <w:t>գյուղերի</w:t>
            </w:r>
            <w:r w:rsidRPr="0053423A">
              <w:rPr>
                <w:rFonts w:cs="Times New Roman"/>
                <w:sz w:val="20"/>
                <w:szCs w:val="20"/>
                <w:lang w:val="af-ZA"/>
              </w:rPr>
              <w:t xml:space="preserve"> </w:t>
            </w:r>
            <w:r w:rsidRPr="0053423A">
              <w:rPr>
                <w:rFonts w:cs="Times New Roman"/>
                <w:sz w:val="20"/>
                <w:szCs w:val="20"/>
                <w:lang w:val="hy-AM"/>
              </w:rPr>
              <w:t>մշակութային</w:t>
            </w:r>
            <w:r w:rsidRPr="0053423A">
              <w:rPr>
                <w:rFonts w:cs="Times New Roman"/>
                <w:sz w:val="20"/>
                <w:szCs w:val="20"/>
                <w:lang w:val="af-ZA"/>
              </w:rPr>
              <w:t xml:space="preserve">  </w:t>
            </w:r>
            <w:r w:rsidRPr="0053423A">
              <w:rPr>
                <w:rFonts w:cs="Times New Roman"/>
                <w:sz w:val="20"/>
                <w:szCs w:val="20"/>
                <w:lang w:val="hy-AM"/>
              </w:rPr>
              <w:t>և</w:t>
            </w:r>
            <w:r w:rsidRPr="0053423A">
              <w:rPr>
                <w:rFonts w:cs="Times New Roman"/>
                <w:sz w:val="20"/>
                <w:szCs w:val="20"/>
                <w:lang w:val="af-ZA"/>
              </w:rPr>
              <w:t xml:space="preserve"> </w:t>
            </w:r>
            <w:r w:rsidRPr="0053423A">
              <w:rPr>
                <w:rFonts w:cs="Times New Roman"/>
                <w:sz w:val="20"/>
                <w:szCs w:val="20"/>
                <w:lang w:val="hy-AM"/>
              </w:rPr>
              <w:t>գործող</w:t>
            </w:r>
            <w:r w:rsidRPr="0053423A">
              <w:rPr>
                <w:rFonts w:cs="Times New Roman"/>
                <w:sz w:val="20"/>
                <w:szCs w:val="20"/>
                <w:lang w:val="af-ZA"/>
              </w:rPr>
              <w:t xml:space="preserve"> </w:t>
            </w:r>
            <w:r w:rsidRPr="0053423A">
              <w:rPr>
                <w:rFonts w:cs="Times New Roman"/>
                <w:sz w:val="20"/>
                <w:szCs w:val="20"/>
                <w:lang w:val="hy-AM"/>
              </w:rPr>
              <w:t>երիտասարդական</w:t>
            </w:r>
            <w:r w:rsidRPr="0053423A">
              <w:rPr>
                <w:rFonts w:cs="Times New Roman"/>
                <w:sz w:val="20"/>
                <w:szCs w:val="20"/>
                <w:lang w:val="af-ZA"/>
              </w:rPr>
              <w:t xml:space="preserve">  </w:t>
            </w:r>
            <w:r w:rsidRPr="0053423A">
              <w:rPr>
                <w:rFonts w:cs="Times New Roman"/>
                <w:sz w:val="20"/>
                <w:szCs w:val="20"/>
                <w:lang w:val="hy-AM"/>
              </w:rPr>
              <w:t>կենտրոններին</w:t>
            </w:r>
            <w:r w:rsidRPr="0053423A">
              <w:rPr>
                <w:rFonts w:cs="Times New Roman"/>
                <w:sz w:val="20"/>
                <w:szCs w:val="20"/>
                <w:lang w:val="af-ZA"/>
              </w:rPr>
              <w:t xml:space="preserve"> </w:t>
            </w:r>
            <w:r w:rsidRPr="0053423A">
              <w:rPr>
                <w:rFonts w:cs="Times New Roman"/>
                <w:sz w:val="20"/>
                <w:szCs w:val="20"/>
                <w:lang w:val="hy-AM"/>
              </w:rPr>
              <w:t>նյութատեխնիկական</w:t>
            </w:r>
            <w:r w:rsidRPr="0053423A">
              <w:rPr>
                <w:rFonts w:cs="Times New Roman"/>
                <w:sz w:val="20"/>
                <w:szCs w:val="20"/>
                <w:lang w:val="af-ZA"/>
              </w:rPr>
              <w:t xml:space="preserve"> </w:t>
            </w:r>
            <w:r w:rsidRPr="0053423A">
              <w:rPr>
                <w:rFonts w:cs="Times New Roman"/>
                <w:sz w:val="20"/>
                <w:szCs w:val="20"/>
                <w:lang w:val="hy-AM"/>
              </w:rPr>
              <w:t>աջակցություն</w:t>
            </w:r>
            <w:r w:rsidRPr="0053423A">
              <w:rPr>
                <w:rFonts w:cs="Times New Roman"/>
                <w:sz w:val="20"/>
                <w:szCs w:val="20"/>
                <w:lang w:val="af-ZA"/>
              </w:rPr>
              <w:t xml:space="preserve"> (</w:t>
            </w:r>
            <w:r w:rsidRPr="0053423A">
              <w:rPr>
                <w:rFonts w:cs="Times New Roman"/>
                <w:sz w:val="20"/>
                <w:szCs w:val="20"/>
                <w:lang w:val="hy-AM"/>
              </w:rPr>
              <w:t>յուրաքանչյուր</w:t>
            </w:r>
            <w:r w:rsidRPr="0053423A">
              <w:rPr>
                <w:rFonts w:cs="Times New Roman"/>
                <w:sz w:val="20"/>
                <w:szCs w:val="20"/>
                <w:lang w:val="af-ZA"/>
              </w:rPr>
              <w:t xml:space="preserve"> </w:t>
            </w:r>
            <w:r w:rsidRPr="0053423A">
              <w:rPr>
                <w:rFonts w:cs="Times New Roman"/>
                <w:sz w:val="20"/>
                <w:szCs w:val="20"/>
                <w:lang w:val="hy-AM"/>
              </w:rPr>
              <w:t>տարի՝</w:t>
            </w:r>
            <w:r w:rsidRPr="0053423A">
              <w:rPr>
                <w:rFonts w:cs="Times New Roman"/>
                <w:sz w:val="20"/>
                <w:szCs w:val="20"/>
                <w:lang w:val="af-ZA"/>
              </w:rPr>
              <w:t xml:space="preserve"> 5 </w:t>
            </w:r>
            <w:r w:rsidRPr="0053423A">
              <w:rPr>
                <w:rFonts w:cs="Times New Roman"/>
                <w:sz w:val="20"/>
                <w:szCs w:val="20"/>
                <w:lang w:val="hy-AM"/>
              </w:rPr>
              <w:t>մշակութային</w:t>
            </w:r>
            <w:r w:rsidRPr="0053423A">
              <w:rPr>
                <w:rFonts w:cs="Times New Roman"/>
                <w:sz w:val="20"/>
                <w:szCs w:val="20"/>
                <w:lang w:val="af-ZA"/>
              </w:rPr>
              <w:t xml:space="preserve"> </w:t>
            </w:r>
            <w:r w:rsidRPr="0053423A">
              <w:rPr>
                <w:rFonts w:cs="Times New Roman"/>
                <w:sz w:val="20"/>
                <w:szCs w:val="20"/>
                <w:lang w:val="hy-AM"/>
              </w:rPr>
              <w:t>և</w:t>
            </w:r>
            <w:r w:rsidRPr="0053423A">
              <w:rPr>
                <w:rFonts w:cs="Times New Roman"/>
                <w:sz w:val="20"/>
                <w:szCs w:val="20"/>
                <w:lang w:val="af-ZA"/>
              </w:rPr>
              <w:t xml:space="preserve"> 7</w:t>
            </w:r>
            <w:r w:rsidRPr="0053423A">
              <w:rPr>
                <w:rFonts w:cs="Times New Roman"/>
                <w:sz w:val="20"/>
                <w:szCs w:val="20"/>
                <w:lang w:val="hy-AM"/>
              </w:rPr>
              <w:t>՝</w:t>
            </w:r>
            <w:r w:rsidRPr="0053423A">
              <w:rPr>
                <w:rFonts w:cs="Times New Roman"/>
                <w:sz w:val="20"/>
                <w:szCs w:val="20"/>
                <w:lang w:val="af-ZA"/>
              </w:rPr>
              <w:t xml:space="preserve"> </w:t>
            </w:r>
            <w:r w:rsidRPr="0053423A">
              <w:rPr>
                <w:rFonts w:cs="Times New Roman"/>
                <w:sz w:val="20"/>
                <w:szCs w:val="20"/>
                <w:lang w:val="hy-AM"/>
              </w:rPr>
              <w:t>երիտասարդական</w:t>
            </w:r>
            <w:r w:rsidRPr="0053423A">
              <w:rPr>
                <w:rFonts w:cs="Times New Roman"/>
                <w:sz w:val="20"/>
                <w:szCs w:val="20"/>
                <w:lang w:val="af-ZA"/>
              </w:rPr>
              <w:t xml:space="preserve"> </w:t>
            </w:r>
            <w:r w:rsidRPr="0053423A">
              <w:rPr>
                <w:rFonts w:cs="Times New Roman"/>
                <w:sz w:val="20"/>
                <w:szCs w:val="20"/>
                <w:lang w:val="hy-AM"/>
              </w:rPr>
              <w:t>կենտրոնների</w:t>
            </w:r>
            <w:r w:rsidRPr="0053423A">
              <w:rPr>
                <w:rFonts w:cs="Times New Roman"/>
                <w:sz w:val="20"/>
                <w:szCs w:val="20"/>
                <w:lang w:val="af-ZA"/>
              </w:rPr>
              <w:t>).</w:t>
            </w:r>
          </w:p>
          <w:p w:rsidR="002B2CAB" w:rsidRPr="0053423A" w:rsidRDefault="002B2CAB" w:rsidP="00A67858">
            <w:pPr>
              <w:spacing w:line="276" w:lineRule="auto"/>
              <w:jc w:val="both"/>
              <w:rPr>
                <w:rFonts w:cs="Times New Roman"/>
                <w:sz w:val="20"/>
                <w:szCs w:val="20"/>
                <w:lang w:val="af-ZA"/>
              </w:rPr>
            </w:pPr>
            <w:r w:rsidRPr="0053423A">
              <w:rPr>
                <w:rFonts w:cs="Times New Roman"/>
                <w:sz w:val="20"/>
                <w:szCs w:val="20"/>
                <w:lang w:val="af-ZA"/>
              </w:rPr>
              <w:t>-</w:t>
            </w:r>
            <w:r w:rsidRPr="0053423A">
              <w:rPr>
                <w:rFonts w:cs="Times New Roman"/>
                <w:sz w:val="20"/>
                <w:szCs w:val="20"/>
              </w:rPr>
              <w:t>Վիրահայոց</w:t>
            </w:r>
            <w:r w:rsidRPr="0053423A">
              <w:rPr>
                <w:rFonts w:cs="Times New Roman"/>
                <w:sz w:val="20"/>
                <w:szCs w:val="20"/>
                <w:lang w:val="af-ZA"/>
              </w:rPr>
              <w:t xml:space="preserve"> </w:t>
            </w:r>
            <w:r w:rsidRPr="0053423A">
              <w:rPr>
                <w:rFonts w:cs="Times New Roman"/>
                <w:sz w:val="20"/>
                <w:szCs w:val="20"/>
              </w:rPr>
              <w:t>թեմին</w:t>
            </w:r>
            <w:r w:rsidRPr="0053423A">
              <w:rPr>
                <w:rFonts w:cs="Times New Roman"/>
                <w:sz w:val="20"/>
                <w:szCs w:val="20"/>
                <w:lang w:val="af-ZA"/>
              </w:rPr>
              <w:t xml:space="preserve"> </w:t>
            </w:r>
            <w:r w:rsidRPr="0053423A">
              <w:rPr>
                <w:rFonts w:cs="Times New Roman"/>
                <w:sz w:val="20"/>
                <w:szCs w:val="20"/>
              </w:rPr>
              <w:t>կից</w:t>
            </w:r>
            <w:r w:rsidRPr="0053423A">
              <w:rPr>
                <w:rFonts w:cs="Times New Roman"/>
                <w:sz w:val="20"/>
                <w:szCs w:val="20"/>
                <w:lang w:val="af-ZA"/>
              </w:rPr>
              <w:t xml:space="preserve"> </w:t>
            </w:r>
            <w:r w:rsidRPr="0053423A">
              <w:rPr>
                <w:rFonts w:cs="Times New Roman"/>
                <w:sz w:val="20"/>
                <w:szCs w:val="20"/>
              </w:rPr>
              <w:t>ործող</w:t>
            </w:r>
            <w:r w:rsidRPr="0053423A">
              <w:rPr>
                <w:rFonts w:cs="Times New Roman"/>
                <w:sz w:val="20"/>
                <w:szCs w:val="20"/>
                <w:lang w:val="af-ZA"/>
              </w:rPr>
              <w:t xml:space="preserve"> «</w:t>
            </w:r>
            <w:r w:rsidRPr="0053423A">
              <w:rPr>
                <w:rFonts w:cs="Times New Roman"/>
                <w:sz w:val="20"/>
                <w:szCs w:val="20"/>
              </w:rPr>
              <w:t>Հայարտուն</w:t>
            </w:r>
            <w:r w:rsidRPr="0053423A">
              <w:rPr>
                <w:rFonts w:cs="Times New Roman"/>
                <w:sz w:val="20"/>
                <w:szCs w:val="20"/>
                <w:lang w:val="af-ZA"/>
              </w:rPr>
              <w:t xml:space="preserve">» </w:t>
            </w:r>
            <w:r w:rsidRPr="0053423A">
              <w:rPr>
                <w:rFonts w:cs="Times New Roman"/>
                <w:sz w:val="20"/>
                <w:szCs w:val="20"/>
              </w:rPr>
              <w:t>կենտրոնի</w:t>
            </w:r>
            <w:r w:rsidRPr="0053423A">
              <w:rPr>
                <w:rFonts w:cs="Times New Roman"/>
                <w:sz w:val="20"/>
                <w:szCs w:val="20"/>
                <w:lang w:val="af-ZA"/>
              </w:rPr>
              <w:t xml:space="preserve"> </w:t>
            </w:r>
            <w:r w:rsidRPr="0053423A">
              <w:rPr>
                <w:rFonts w:cs="Times New Roman"/>
                <w:sz w:val="20"/>
                <w:szCs w:val="20"/>
              </w:rPr>
              <w:t>նախակրթարանին</w:t>
            </w:r>
            <w:r w:rsidRPr="0053423A">
              <w:rPr>
                <w:rFonts w:cs="Times New Roman"/>
                <w:sz w:val="20"/>
                <w:szCs w:val="20"/>
                <w:lang w:val="af-ZA"/>
              </w:rPr>
              <w:t xml:space="preserve">, </w:t>
            </w:r>
            <w:r w:rsidRPr="0053423A">
              <w:rPr>
                <w:rFonts w:cs="Times New Roman"/>
                <w:sz w:val="20"/>
                <w:szCs w:val="20"/>
              </w:rPr>
              <w:t>կիրակնօրյա</w:t>
            </w:r>
            <w:r w:rsidRPr="0053423A">
              <w:rPr>
                <w:rFonts w:cs="Times New Roman"/>
                <w:sz w:val="20"/>
                <w:szCs w:val="20"/>
                <w:lang w:val="af-ZA"/>
              </w:rPr>
              <w:t xml:space="preserve"> </w:t>
            </w:r>
            <w:r w:rsidRPr="0053423A">
              <w:rPr>
                <w:rFonts w:cs="Times New Roman"/>
                <w:sz w:val="20"/>
                <w:szCs w:val="20"/>
              </w:rPr>
              <w:t>դպրոցին</w:t>
            </w:r>
            <w:r w:rsidRPr="0053423A">
              <w:rPr>
                <w:rFonts w:cs="Times New Roman"/>
                <w:sz w:val="20"/>
                <w:szCs w:val="20"/>
                <w:lang w:val="af-ZA"/>
              </w:rPr>
              <w:t xml:space="preserve"> </w:t>
            </w:r>
            <w:r w:rsidRPr="0053423A">
              <w:rPr>
                <w:rFonts w:cs="Times New Roman"/>
                <w:sz w:val="20"/>
                <w:szCs w:val="20"/>
              </w:rPr>
              <w:t>և</w:t>
            </w:r>
            <w:r w:rsidRPr="0053423A">
              <w:rPr>
                <w:rFonts w:cs="Times New Roman"/>
                <w:sz w:val="20"/>
                <w:szCs w:val="20"/>
                <w:lang w:val="af-ZA"/>
              </w:rPr>
              <w:t xml:space="preserve"> </w:t>
            </w:r>
            <w:r w:rsidRPr="0053423A">
              <w:rPr>
                <w:rFonts w:cs="Times New Roman"/>
                <w:sz w:val="20"/>
                <w:szCs w:val="20"/>
              </w:rPr>
              <w:t>մշակութային</w:t>
            </w:r>
            <w:r w:rsidRPr="0053423A">
              <w:rPr>
                <w:rFonts w:cs="Times New Roman"/>
                <w:sz w:val="20"/>
                <w:szCs w:val="20"/>
                <w:lang w:val="af-ZA"/>
              </w:rPr>
              <w:t xml:space="preserve"> </w:t>
            </w:r>
            <w:r w:rsidRPr="0053423A">
              <w:rPr>
                <w:rFonts w:cs="Times New Roman"/>
                <w:sz w:val="20"/>
                <w:szCs w:val="20"/>
              </w:rPr>
              <w:t>խմբերին՝</w:t>
            </w:r>
            <w:r w:rsidRPr="0053423A">
              <w:rPr>
                <w:rFonts w:cs="Times New Roman"/>
                <w:sz w:val="20"/>
                <w:szCs w:val="20"/>
                <w:lang w:val="af-ZA"/>
              </w:rPr>
              <w:t xml:space="preserve"> </w:t>
            </w:r>
            <w:r w:rsidRPr="0053423A">
              <w:rPr>
                <w:rFonts w:cs="Times New Roman"/>
                <w:sz w:val="20"/>
                <w:szCs w:val="20"/>
              </w:rPr>
              <w:t>ֆինանսական</w:t>
            </w:r>
            <w:r w:rsidRPr="0053423A">
              <w:rPr>
                <w:rFonts w:cs="Times New Roman"/>
                <w:sz w:val="20"/>
                <w:szCs w:val="20"/>
                <w:lang w:val="af-ZA"/>
              </w:rPr>
              <w:t xml:space="preserve"> </w:t>
            </w:r>
            <w:r w:rsidRPr="0053423A">
              <w:rPr>
                <w:rFonts w:cs="Times New Roman"/>
                <w:sz w:val="20"/>
                <w:szCs w:val="20"/>
              </w:rPr>
              <w:t>աջակցություն</w:t>
            </w:r>
            <w:r w:rsidRPr="0053423A">
              <w:rPr>
                <w:rFonts w:cs="Times New Roman"/>
                <w:sz w:val="20"/>
                <w:szCs w:val="20"/>
                <w:lang w:val="af-ZA"/>
              </w:rPr>
              <w:t>.</w:t>
            </w:r>
          </w:p>
          <w:p w:rsidR="002B2CAB" w:rsidRPr="0053423A" w:rsidRDefault="002B2CAB" w:rsidP="00A67858">
            <w:pPr>
              <w:spacing w:line="276" w:lineRule="auto"/>
              <w:rPr>
                <w:rFonts w:cs="Times New Roman"/>
                <w:sz w:val="20"/>
                <w:szCs w:val="20"/>
                <w:lang w:val="af-ZA"/>
              </w:rPr>
            </w:pPr>
            <w:r w:rsidRPr="0053423A">
              <w:rPr>
                <w:rFonts w:cs="Times New Roman"/>
                <w:sz w:val="20"/>
                <w:szCs w:val="20"/>
                <w:lang w:val="af-ZA"/>
              </w:rPr>
              <w:t>-</w:t>
            </w:r>
            <w:r w:rsidRPr="0053423A">
              <w:rPr>
                <w:rFonts w:cs="Times New Roman"/>
                <w:sz w:val="20"/>
                <w:szCs w:val="20"/>
              </w:rPr>
              <w:t>Սամցխե</w:t>
            </w:r>
            <w:r w:rsidRPr="0053423A">
              <w:rPr>
                <w:rFonts w:cs="Times New Roman"/>
                <w:sz w:val="20"/>
                <w:szCs w:val="20"/>
                <w:lang w:val="af-ZA"/>
              </w:rPr>
              <w:t>-</w:t>
            </w:r>
            <w:r w:rsidRPr="0053423A">
              <w:rPr>
                <w:rFonts w:cs="Times New Roman"/>
                <w:sz w:val="20"/>
                <w:szCs w:val="20"/>
              </w:rPr>
              <w:t>Ջավախքի</w:t>
            </w:r>
            <w:r w:rsidRPr="0053423A">
              <w:rPr>
                <w:rFonts w:cs="Times New Roman"/>
                <w:sz w:val="20"/>
                <w:szCs w:val="20"/>
                <w:lang w:val="af-ZA"/>
              </w:rPr>
              <w:t xml:space="preserve"> </w:t>
            </w:r>
            <w:r w:rsidRPr="0053423A">
              <w:rPr>
                <w:rFonts w:cs="Times New Roman"/>
                <w:sz w:val="20"/>
                <w:szCs w:val="20"/>
              </w:rPr>
              <w:t>և</w:t>
            </w:r>
            <w:r w:rsidRPr="0053423A">
              <w:rPr>
                <w:rFonts w:cs="Times New Roman"/>
                <w:sz w:val="20"/>
                <w:szCs w:val="20"/>
                <w:lang w:val="af-ZA"/>
              </w:rPr>
              <w:t xml:space="preserve"> </w:t>
            </w:r>
            <w:r w:rsidRPr="0053423A">
              <w:rPr>
                <w:rFonts w:cs="Times New Roman"/>
                <w:sz w:val="20"/>
                <w:szCs w:val="20"/>
              </w:rPr>
              <w:t>Ծալկայի</w:t>
            </w:r>
            <w:r w:rsidRPr="0053423A">
              <w:rPr>
                <w:rFonts w:cs="Times New Roman"/>
                <w:sz w:val="20"/>
                <w:szCs w:val="20"/>
                <w:lang w:val="af-ZA"/>
              </w:rPr>
              <w:t xml:space="preserve"> </w:t>
            </w:r>
            <w:r w:rsidRPr="0053423A">
              <w:rPr>
                <w:rFonts w:cs="Times New Roman"/>
                <w:sz w:val="20"/>
                <w:szCs w:val="20"/>
              </w:rPr>
              <w:t>փոխառաջնորդարանին</w:t>
            </w:r>
            <w:r w:rsidRPr="0053423A">
              <w:rPr>
                <w:rFonts w:cs="Times New Roman"/>
                <w:sz w:val="20"/>
                <w:szCs w:val="20"/>
                <w:lang w:val="af-ZA"/>
              </w:rPr>
              <w:t xml:space="preserve"> </w:t>
            </w:r>
            <w:r w:rsidRPr="0053423A">
              <w:rPr>
                <w:rFonts w:cs="Times New Roman"/>
                <w:sz w:val="20"/>
                <w:szCs w:val="20"/>
              </w:rPr>
              <w:t>կից</w:t>
            </w:r>
            <w:r w:rsidRPr="0053423A">
              <w:rPr>
                <w:rFonts w:cs="Times New Roman"/>
                <w:sz w:val="20"/>
                <w:szCs w:val="20"/>
                <w:lang w:val="af-ZA"/>
              </w:rPr>
              <w:t xml:space="preserve"> </w:t>
            </w:r>
            <w:r w:rsidRPr="0053423A">
              <w:rPr>
                <w:rFonts w:cs="Times New Roman"/>
                <w:sz w:val="20"/>
                <w:szCs w:val="20"/>
              </w:rPr>
              <w:t>գործող</w:t>
            </w:r>
            <w:r w:rsidRPr="0053423A">
              <w:rPr>
                <w:rFonts w:cs="Times New Roman"/>
                <w:sz w:val="20"/>
                <w:szCs w:val="20"/>
                <w:lang w:val="af-ZA"/>
              </w:rPr>
              <w:t xml:space="preserve"> </w:t>
            </w:r>
            <w:r w:rsidRPr="0053423A">
              <w:rPr>
                <w:rFonts w:cs="Times New Roman"/>
                <w:sz w:val="20"/>
                <w:szCs w:val="20"/>
              </w:rPr>
              <w:t>կենտրոններին</w:t>
            </w:r>
            <w:r w:rsidRPr="0053423A">
              <w:rPr>
                <w:rFonts w:cs="Times New Roman"/>
                <w:sz w:val="20"/>
                <w:szCs w:val="20"/>
                <w:lang w:val="af-ZA"/>
              </w:rPr>
              <w:t xml:space="preserve"> </w:t>
            </w:r>
            <w:r w:rsidRPr="0053423A">
              <w:rPr>
                <w:rFonts w:cs="Times New Roman"/>
                <w:sz w:val="20"/>
                <w:szCs w:val="20"/>
              </w:rPr>
              <w:t>ֆիանսական</w:t>
            </w:r>
            <w:r w:rsidRPr="0053423A">
              <w:rPr>
                <w:rFonts w:cs="Times New Roman"/>
                <w:sz w:val="20"/>
                <w:szCs w:val="20"/>
                <w:lang w:val="af-ZA"/>
              </w:rPr>
              <w:t xml:space="preserve"> </w:t>
            </w:r>
            <w:r w:rsidRPr="0053423A">
              <w:rPr>
                <w:rFonts w:cs="Times New Roman"/>
                <w:sz w:val="20"/>
                <w:szCs w:val="20"/>
              </w:rPr>
              <w:t>աջակցություն</w:t>
            </w:r>
            <w:r w:rsidRPr="0053423A">
              <w:rPr>
                <w:rFonts w:cs="Times New Roman"/>
                <w:sz w:val="20"/>
                <w:szCs w:val="20"/>
                <w:lang w:val="af-ZA"/>
              </w:rPr>
              <w:t xml:space="preserve"> (</w:t>
            </w:r>
            <w:r w:rsidRPr="0053423A">
              <w:rPr>
                <w:rFonts w:cs="Times New Roman"/>
                <w:sz w:val="20"/>
                <w:szCs w:val="20"/>
              </w:rPr>
              <w:t>Ախալքալաք</w:t>
            </w:r>
            <w:r w:rsidRPr="0053423A">
              <w:rPr>
                <w:rFonts w:cs="Times New Roman"/>
                <w:sz w:val="20"/>
                <w:szCs w:val="20"/>
                <w:lang w:val="af-ZA"/>
              </w:rPr>
              <w:t xml:space="preserve">, </w:t>
            </w:r>
            <w:r w:rsidRPr="0053423A">
              <w:rPr>
                <w:rFonts w:cs="Times New Roman"/>
                <w:sz w:val="20"/>
                <w:szCs w:val="20"/>
              </w:rPr>
              <w:t>Նինոծմինդա</w:t>
            </w:r>
            <w:r w:rsidRPr="0053423A">
              <w:rPr>
                <w:rFonts w:cs="Times New Roman"/>
                <w:sz w:val="20"/>
                <w:szCs w:val="20"/>
                <w:lang w:val="af-ZA"/>
              </w:rPr>
              <w:t xml:space="preserve">, </w:t>
            </w:r>
            <w:r w:rsidRPr="0053423A">
              <w:rPr>
                <w:rFonts w:cs="Times New Roman"/>
                <w:sz w:val="20"/>
                <w:szCs w:val="20"/>
              </w:rPr>
              <w:t>Ախլցխա</w:t>
            </w:r>
            <w:r w:rsidRPr="0053423A">
              <w:rPr>
                <w:rFonts w:cs="Times New Roman"/>
                <w:sz w:val="20"/>
                <w:szCs w:val="20"/>
                <w:lang w:val="af-ZA"/>
              </w:rPr>
              <w:t xml:space="preserve"> </w:t>
            </w:r>
            <w:r w:rsidRPr="0053423A">
              <w:rPr>
                <w:rFonts w:cs="Times New Roman"/>
                <w:sz w:val="20"/>
                <w:szCs w:val="20"/>
              </w:rPr>
              <w:t>և</w:t>
            </w:r>
            <w:r w:rsidRPr="0053423A">
              <w:rPr>
                <w:rFonts w:cs="Times New Roman"/>
                <w:sz w:val="20"/>
                <w:szCs w:val="20"/>
                <w:lang w:val="af-ZA"/>
              </w:rPr>
              <w:t xml:space="preserve"> </w:t>
            </w:r>
            <w:r w:rsidRPr="0053423A">
              <w:rPr>
                <w:rFonts w:cs="Times New Roman"/>
                <w:sz w:val="20"/>
                <w:szCs w:val="20"/>
              </w:rPr>
              <w:t>Ծալկա</w:t>
            </w:r>
            <w:r w:rsidRPr="0053423A">
              <w:rPr>
                <w:rFonts w:cs="Times New Roman"/>
                <w:sz w:val="20"/>
                <w:szCs w:val="20"/>
                <w:lang w:val="af-ZA"/>
              </w:rPr>
              <w:t>):</w:t>
            </w:r>
          </w:p>
        </w:tc>
      </w:tr>
      <w:tr w:rsidR="002B2CAB" w:rsidRPr="00DE2EFA" w:rsidTr="002B2CAB">
        <w:trPr>
          <w:trHeight w:val="5475"/>
        </w:trPr>
        <w:tc>
          <w:tcPr>
            <w:tcW w:w="540" w:type="dxa"/>
            <w:vMerge/>
          </w:tcPr>
          <w:p w:rsidR="002B2CAB" w:rsidRPr="0053423A" w:rsidRDefault="002B2CAB" w:rsidP="00A67858">
            <w:pPr>
              <w:spacing w:line="276" w:lineRule="auto"/>
              <w:jc w:val="center"/>
              <w:rPr>
                <w:rFonts w:cs="Times New Roman"/>
                <w:b/>
                <w:sz w:val="20"/>
                <w:szCs w:val="20"/>
                <w:lang w:val="hy-AM"/>
              </w:rPr>
            </w:pPr>
          </w:p>
        </w:tc>
        <w:tc>
          <w:tcPr>
            <w:tcW w:w="10876" w:type="dxa"/>
          </w:tcPr>
          <w:p w:rsidR="002B2CAB" w:rsidRPr="0053423A" w:rsidRDefault="002B2CAB" w:rsidP="00A67858">
            <w:pPr>
              <w:spacing w:line="276" w:lineRule="auto"/>
              <w:jc w:val="center"/>
              <w:rPr>
                <w:rFonts w:cs="Times New Roman"/>
                <w:b/>
                <w:sz w:val="20"/>
                <w:szCs w:val="20"/>
                <w:lang w:val="hy-AM"/>
              </w:rPr>
            </w:pPr>
            <w:r w:rsidRPr="0053423A">
              <w:rPr>
                <w:rFonts w:cs="Times New Roman"/>
                <w:b/>
                <w:sz w:val="20"/>
                <w:szCs w:val="20"/>
                <w:lang w:val="af-ZA"/>
              </w:rPr>
              <w:t xml:space="preserve">2.4.«Աջակցություն </w:t>
            </w:r>
            <w:r w:rsidRPr="0053423A">
              <w:rPr>
                <w:rFonts w:cs="Times New Roman"/>
                <w:b/>
                <w:sz w:val="20"/>
                <w:szCs w:val="20"/>
                <w:lang w:val="hy-AM"/>
              </w:rPr>
              <w:t>Վրաստանի</w:t>
            </w:r>
            <w:r w:rsidRPr="0053423A">
              <w:rPr>
                <w:rFonts w:cs="Times New Roman"/>
                <w:b/>
                <w:sz w:val="20"/>
                <w:szCs w:val="20"/>
                <w:lang w:val="af-ZA"/>
              </w:rPr>
              <w:t xml:space="preserve"> </w:t>
            </w:r>
            <w:r w:rsidRPr="0053423A">
              <w:rPr>
                <w:rFonts w:cs="Times New Roman"/>
                <w:b/>
                <w:sz w:val="20"/>
                <w:szCs w:val="20"/>
                <w:lang w:val="hy-AM"/>
              </w:rPr>
              <w:t>հայալեզու</w:t>
            </w:r>
            <w:r w:rsidRPr="0053423A">
              <w:rPr>
                <w:rFonts w:cs="Times New Roman"/>
                <w:b/>
                <w:sz w:val="20"/>
                <w:szCs w:val="20"/>
                <w:lang w:val="af-ZA"/>
              </w:rPr>
              <w:t xml:space="preserve"> լ</w:t>
            </w:r>
            <w:r w:rsidRPr="0053423A">
              <w:rPr>
                <w:rFonts w:cs="Times New Roman"/>
                <w:b/>
                <w:sz w:val="20"/>
                <w:szCs w:val="20"/>
                <w:lang w:val="hy-AM"/>
              </w:rPr>
              <w:t>րատվամիջոցներին</w:t>
            </w:r>
            <w:r w:rsidRPr="0053423A">
              <w:rPr>
                <w:rFonts w:cs="Times New Roman"/>
                <w:b/>
                <w:sz w:val="20"/>
                <w:szCs w:val="20"/>
                <w:lang w:val="af-ZA"/>
              </w:rPr>
              <w:t xml:space="preserve">» </w:t>
            </w:r>
            <w:r w:rsidRPr="0053423A">
              <w:rPr>
                <w:rFonts w:cs="Times New Roman"/>
                <w:b/>
                <w:sz w:val="20"/>
                <w:szCs w:val="20"/>
                <w:lang w:val="hy-AM"/>
              </w:rPr>
              <w:t>ծրագրի</w:t>
            </w:r>
            <w:r w:rsidRPr="0053423A">
              <w:rPr>
                <w:rFonts w:cs="Times New Roman"/>
                <w:b/>
                <w:sz w:val="20"/>
                <w:szCs w:val="20"/>
                <w:lang w:val="af-ZA"/>
              </w:rPr>
              <w:t xml:space="preserve"> </w:t>
            </w:r>
            <w:r w:rsidRPr="0053423A">
              <w:rPr>
                <w:rFonts w:cs="Times New Roman"/>
                <w:b/>
                <w:sz w:val="20"/>
                <w:szCs w:val="20"/>
                <w:lang w:val="hy-AM"/>
              </w:rPr>
              <w:t>իրականացում</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sz w:val="20"/>
                <w:szCs w:val="20"/>
                <w:lang w:val="hy-AM"/>
              </w:rPr>
              <w:t xml:space="preserve">Անհրաժեշտությունը բխում է Սահմանադրության 19-րդ հոդվածի 1-ին մասի պահանջներից (ոլորտային նորմատիվ իրավական ակտեր չկան): Նպատակն է </w:t>
            </w:r>
            <w:r w:rsidRPr="0053423A">
              <w:rPr>
                <w:rFonts w:cs="Times New Roman"/>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b/>
                <w:sz w:val="20"/>
                <w:szCs w:val="20"/>
                <w:lang w:val="ro-RO"/>
              </w:rPr>
              <w:t xml:space="preserve"> </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ro-RO"/>
              </w:rPr>
              <w:t>1.1Կ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Times New Roman"/>
                <w:sz w:val="20"/>
                <w:szCs w:val="20"/>
                <w:lang w:val="hy-AM"/>
              </w:rPr>
            </w:pPr>
            <w:r w:rsidRPr="0053423A">
              <w:rPr>
                <w:rFonts w:cs="Times New Roman"/>
                <w:sz w:val="20"/>
                <w:szCs w:val="20"/>
                <w:lang w:val="hy-AM"/>
              </w:rPr>
              <w:t>Հայաստանի Հանրապետության և հայկական սփյուռքի գործակցության ապա</w:t>
            </w:r>
            <w:r w:rsidRPr="0053423A">
              <w:rPr>
                <w:rFonts w:cs="Times New Roman"/>
                <w:sz w:val="20"/>
                <w:szCs w:val="20"/>
                <w:lang w:val="hy-AM"/>
              </w:rPr>
              <w:softHyphen/>
              <w:t>հովումը,</w:t>
            </w:r>
            <w:r w:rsidRPr="0053423A">
              <w:rPr>
                <w:rFonts w:cs="Times New Roman"/>
                <w:sz w:val="20"/>
                <w:szCs w:val="20"/>
                <w:lang w:val="ro-RO"/>
              </w:rPr>
              <w:t xml:space="preserve"> </w:t>
            </w:r>
            <w:r w:rsidRPr="0053423A">
              <w:rPr>
                <w:rFonts w:cs="Times New Roman"/>
                <w:sz w:val="20"/>
                <w:szCs w:val="20"/>
                <w:lang w:val="hy-AM"/>
              </w:rPr>
              <w:t>դրանց միջև կապերի ամրապնդումը և հայ ժողովրդի հոգևոր միասնությունը</w:t>
            </w:r>
            <w:r w:rsidRPr="0053423A">
              <w:rPr>
                <w:rFonts w:cs="Times New Roman"/>
                <w:sz w:val="20"/>
                <w:szCs w:val="20"/>
                <w:lang w:val="ro-RO"/>
              </w:rPr>
              <w:t xml:space="preserve"> </w:t>
            </w:r>
            <w:r w:rsidRPr="0053423A">
              <w:rPr>
                <w:rFonts w:cs="Times New Roman"/>
                <w:sz w:val="20"/>
                <w:szCs w:val="20"/>
                <w:lang w:val="hy-AM"/>
              </w:rPr>
              <w:t>Կառավարության քաղաքականության կարևոր բաղադրիչ</w:t>
            </w:r>
            <w:r w:rsidRPr="0053423A">
              <w:rPr>
                <w:rFonts w:cs="Times New Roman"/>
                <w:sz w:val="20"/>
                <w:szCs w:val="20"/>
                <w:lang w:val="ro-RO"/>
              </w:rPr>
              <w:t xml:space="preserve">ն է: </w:t>
            </w:r>
            <w:r w:rsidRPr="0053423A">
              <w:rPr>
                <w:rFonts w:cs="Times New Roman"/>
                <w:sz w:val="20"/>
                <w:szCs w:val="20"/>
                <w:lang w:val="hy-AM"/>
              </w:rPr>
              <w:t>Հայապահպանության և հայ համայնքների զարգացման համար բարենպաստ միջավայրի ձևավորմանն ու զարգացմանը, համահայկական ծրագրերի մշակմանն ու իրականացմանն աջակցությունը:</w:t>
            </w:r>
          </w:p>
          <w:p w:rsidR="002B2CAB" w:rsidRPr="0053423A" w:rsidRDefault="002B2CAB" w:rsidP="00A67858">
            <w:pPr>
              <w:spacing w:line="276" w:lineRule="auto"/>
              <w:jc w:val="both"/>
              <w:rPr>
                <w:rFonts w:cs="Sylfaen"/>
                <w:sz w:val="20"/>
                <w:szCs w:val="20"/>
                <w:lang w:val="af-ZA"/>
              </w:rPr>
            </w:pPr>
            <w:r w:rsidRPr="0053423A">
              <w:rPr>
                <w:rFonts w:cs="Sylfaen"/>
                <w:b/>
                <w:sz w:val="20"/>
                <w:szCs w:val="20"/>
                <w:lang w:val="af-ZA"/>
              </w:rPr>
              <w:t>1.2.</w:t>
            </w:r>
            <w:r w:rsidRPr="0053423A">
              <w:rPr>
                <w:rFonts w:cs="Sylfaen"/>
                <w:b/>
                <w:sz w:val="20"/>
                <w:szCs w:val="20"/>
                <w:lang w:val="hy-AM"/>
              </w:rPr>
              <w:t>Առկա</w:t>
            </w:r>
            <w:r w:rsidRPr="0053423A">
              <w:rPr>
                <w:rFonts w:cs="Times New Roman"/>
                <w:b/>
                <w:sz w:val="20"/>
                <w:szCs w:val="20"/>
                <w:lang w:val="hy-AM"/>
              </w:rPr>
              <w:t xml:space="preserve"> խնդիրների առաջարկվող լուծումները</w:t>
            </w:r>
            <w:r w:rsidRPr="0053423A">
              <w:rPr>
                <w:rFonts w:cs="Sylfaen"/>
                <w:sz w:val="20"/>
                <w:szCs w:val="20"/>
                <w:lang w:val="af-ZA"/>
              </w:rPr>
              <w:t xml:space="preserve"> </w:t>
            </w:r>
          </w:p>
          <w:p w:rsidR="002B2CAB" w:rsidRPr="0053423A" w:rsidRDefault="002B2CAB" w:rsidP="00A67858">
            <w:pPr>
              <w:spacing w:line="276" w:lineRule="auto"/>
              <w:jc w:val="both"/>
              <w:rPr>
                <w:rFonts w:cs="Times New Roman"/>
                <w:sz w:val="20"/>
                <w:szCs w:val="20"/>
                <w:lang w:val="pt-BR"/>
              </w:rPr>
            </w:pPr>
            <w:r w:rsidRPr="0053423A">
              <w:rPr>
                <w:rFonts w:cs="Times New Roman"/>
                <w:sz w:val="20"/>
                <w:szCs w:val="20"/>
                <w:lang w:val="pt-BR"/>
              </w:rPr>
              <w:t xml:space="preserve">Հայապահպանության գործընթացի խթանումը զգալիորեն կամրապնդի </w:t>
            </w:r>
            <w:r w:rsidRPr="0053423A">
              <w:rPr>
                <w:rFonts w:cs="Times New Roman"/>
                <w:sz w:val="20"/>
                <w:szCs w:val="20"/>
                <w:lang w:val="hy-AM"/>
              </w:rPr>
              <w:t>Հայաստանի Հանրապետության և հայկական սփյուռքի կապերը և հայ ժողովրդի հոգևոր միասնությունը</w:t>
            </w:r>
            <w:r w:rsidRPr="0053423A">
              <w:rPr>
                <w:rFonts w:cs="Times New Roman"/>
                <w:sz w:val="20"/>
                <w:szCs w:val="20"/>
                <w:lang w:val="ro-RO"/>
              </w:rPr>
              <w:t xml:space="preserve"> </w:t>
            </w:r>
            <w:r w:rsidRPr="0053423A">
              <w:rPr>
                <w:rFonts w:cs="Times New Roman"/>
                <w:sz w:val="20"/>
                <w:szCs w:val="20"/>
                <w:lang w:val="pt-BR"/>
              </w:rPr>
              <w:t>մտավոր ու պաշտպանական ներուժը:</w:t>
            </w:r>
          </w:p>
          <w:p w:rsidR="002B2CAB" w:rsidRPr="0053423A" w:rsidRDefault="002B2CAB" w:rsidP="00A67858">
            <w:pPr>
              <w:spacing w:line="276" w:lineRule="auto"/>
              <w:jc w:val="both"/>
              <w:rPr>
                <w:rFonts w:cs="Times New Roman"/>
                <w:b/>
                <w:sz w:val="20"/>
                <w:szCs w:val="20"/>
                <w:lang w:val="pt-BR"/>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hd w:val="clear" w:color="auto" w:fill="FFFFFF"/>
              <w:spacing w:line="276" w:lineRule="auto"/>
              <w:jc w:val="both"/>
              <w:rPr>
                <w:rFonts w:eastAsia="Calibri" w:cs="Times New Roman"/>
                <w:b/>
                <w:color w:val="000000"/>
                <w:sz w:val="20"/>
                <w:szCs w:val="20"/>
                <w:lang w:val="pt-BR"/>
              </w:rPr>
            </w:pPr>
            <w:r w:rsidRPr="0053423A">
              <w:rPr>
                <w:rFonts w:eastAsia="Calibri" w:cs="Times New Roman"/>
                <w:sz w:val="20"/>
                <w:szCs w:val="20"/>
              </w:rPr>
              <w:t>Հ</w:t>
            </w:r>
            <w:r w:rsidRPr="0053423A">
              <w:rPr>
                <w:rFonts w:eastAsia="Calibri" w:cs="Times New Roman"/>
                <w:sz w:val="20"/>
                <w:szCs w:val="20"/>
                <w:lang w:val="hy-AM"/>
              </w:rPr>
              <w:t>այության ուծացմանը դիմակայ</w:t>
            </w:r>
            <w:r w:rsidRPr="0053423A">
              <w:rPr>
                <w:rFonts w:eastAsia="Calibri" w:cs="Times New Roman"/>
                <w:sz w:val="20"/>
                <w:szCs w:val="20"/>
              </w:rPr>
              <w:t>ումը</w:t>
            </w:r>
            <w:r w:rsidRPr="0053423A">
              <w:rPr>
                <w:rFonts w:eastAsia="Calibri" w:cs="Times New Roman"/>
                <w:sz w:val="20"/>
                <w:szCs w:val="20"/>
                <w:lang w:val="hy-AM"/>
              </w:rPr>
              <w:t xml:space="preserve">  և կրթամշակութային խնդիրների լուծմանն աջակ</w:t>
            </w:r>
            <w:r w:rsidRPr="0053423A">
              <w:rPr>
                <w:rFonts w:eastAsia="Calibri" w:cs="Times New Roman"/>
                <w:sz w:val="20"/>
                <w:szCs w:val="20"/>
              </w:rPr>
              <w:t>ցությունը</w:t>
            </w:r>
            <w:r w:rsidRPr="0053423A">
              <w:rPr>
                <w:rFonts w:eastAsia="Calibri" w:cs="Times New Roman"/>
                <w:sz w:val="20"/>
                <w:szCs w:val="20"/>
                <w:lang w:val="hy-AM"/>
              </w:rPr>
              <w:t xml:space="preserve"> և հայ համայնքների զարգացման համար բարենպաստ միջավայրի ձևավոր</w:t>
            </w:r>
            <w:r w:rsidRPr="0053423A">
              <w:rPr>
                <w:rFonts w:eastAsia="Calibri" w:cs="Times New Roman"/>
                <w:sz w:val="20"/>
                <w:szCs w:val="20"/>
              </w:rPr>
              <w:t>ումն</w:t>
            </w:r>
            <w:r w:rsidRPr="0053423A">
              <w:rPr>
                <w:rFonts w:eastAsia="Calibri" w:cs="Times New Roman"/>
                <w:sz w:val="20"/>
                <w:szCs w:val="20"/>
                <w:lang w:val="hy-AM"/>
              </w:rPr>
              <w:t xml:space="preserve"> </w:t>
            </w:r>
            <w:r w:rsidRPr="0053423A">
              <w:rPr>
                <w:rFonts w:eastAsia="Calibri" w:cs="Sylfaen"/>
                <w:sz w:val="20"/>
                <w:szCs w:val="20"/>
                <w:lang w:val="hy-AM"/>
              </w:rPr>
              <w:t>պատմամշակութային արժեք</w:t>
            </w:r>
            <w:r w:rsidRPr="0053423A">
              <w:rPr>
                <w:rFonts w:eastAsia="Calibri" w:cs="Sylfaen"/>
                <w:sz w:val="20"/>
                <w:szCs w:val="20"/>
              </w:rPr>
              <w:t>ների</w:t>
            </w:r>
            <w:r w:rsidRPr="0053423A">
              <w:rPr>
                <w:rFonts w:eastAsia="Calibri" w:cs="Sylfaen"/>
                <w:sz w:val="20"/>
                <w:szCs w:val="20"/>
                <w:lang w:val="hy-AM"/>
              </w:rPr>
              <w:t xml:space="preserve"> սերունդներին փոխանց</w:t>
            </w:r>
            <w:r w:rsidRPr="0053423A">
              <w:rPr>
                <w:rFonts w:eastAsia="Calibri" w:cs="Sylfaen"/>
                <w:sz w:val="20"/>
                <w:szCs w:val="20"/>
              </w:rPr>
              <w:t>ումը</w:t>
            </w:r>
            <w:r w:rsidRPr="0053423A">
              <w:rPr>
                <w:rFonts w:eastAsia="Calibri" w:cs="Sylfaen"/>
                <w:sz w:val="20"/>
                <w:szCs w:val="20"/>
                <w:lang w:val="pt-BR"/>
              </w:rPr>
              <w:t xml:space="preserve"> </w:t>
            </w:r>
            <w:r w:rsidRPr="0053423A">
              <w:rPr>
                <w:rFonts w:eastAsia="Calibri" w:cs="GHEA Grapalat"/>
                <w:sz w:val="20"/>
                <w:szCs w:val="20"/>
                <w:lang w:val="hy-AM"/>
              </w:rPr>
              <w:t>և հայկական ինքնությունը պահպան</w:t>
            </w:r>
            <w:r w:rsidRPr="0053423A">
              <w:rPr>
                <w:rFonts w:eastAsia="Calibri" w:cs="GHEA Grapalat"/>
                <w:sz w:val="20"/>
                <w:szCs w:val="20"/>
              </w:rPr>
              <w:t>ումը</w:t>
            </w:r>
            <w:r w:rsidRPr="0053423A">
              <w:rPr>
                <w:rFonts w:eastAsia="Calibri" w:cs="Times New Roman"/>
                <w:b/>
                <w:color w:val="000000"/>
                <w:sz w:val="20"/>
                <w:szCs w:val="20"/>
                <w:lang w:val="hy-AM"/>
              </w:rPr>
              <w:t xml:space="preserve"> </w:t>
            </w:r>
          </w:p>
          <w:p w:rsidR="002B2CAB" w:rsidRPr="0053423A" w:rsidRDefault="002B2CAB" w:rsidP="00A67858">
            <w:pPr>
              <w:shd w:val="clear" w:color="auto" w:fill="FFFFFF"/>
              <w:spacing w:line="276" w:lineRule="auto"/>
              <w:jc w:val="both"/>
              <w:rPr>
                <w:rFonts w:eastAsia="Calibri" w:cs="Times New Roman"/>
                <w:b/>
                <w:color w:val="000000"/>
                <w:sz w:val="20"/>
                <w:szCs w:val="20"/>
                <w:lang w:val="pt-BR"/>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spacing w:line="276" w:lineRule="auto"/>
              <w:rPr>
                <w:rFonts w:cs="Sylfaen"/>
                <w:sz w:val="20"/>
                <w:szCs w:val="20"/>
                <w:lang w:val="hy-AM"/>
              </w:rPr>
            </w:pPr>
            <w:r w:rsidRPr="0053423A">
              <w:rPr>
                <w:rFonts w:cs="Sylfaen"/>
                <w:sz w:val="20"/>
                <w:szCs w:val="20"/>
                <w:lang w:val="hy-AM"/>
              </w:rPr>
              <w:t>Վրաստանի</w:t>
            </w:r>
            <w:r w:rsidRPr="0053423A">
              <w:rPr>
                <w:rFonts w:cs="Sylfaen"/>
                <w:sz w:val="20"/>
                <w:szCs w:val="20"/>
                <w:lang w:val="af-ZA"/>
              </w:rPr>
              <w:t xml:space="preserve"> </w:t>
            </w:r>
            <w:r w:rsidRPr="0053423A">
              <w:rPr>
                <w:rFonts w:cs="Sylfaen"/>
                <w:sz w:val="20"/>
                <w:szCs w:val="20"/>
                <w:lang w:val="hy-AM"/>
              </w:rPr>
              <w:t>հայալեզու</w:t>
            </w:r>
            <w:r w:rsidRPr="0053423A">
              <w:rPr>
                <w:rFonts w:cs="Sylfaen"/>
                <w:sz w:val="20"/>
                <w:szCs w:val="20"/>
                <w:lang w:val="af-ZA"/>
              </w:rPr>
              <w:t xml:space="preserve"> 9 </w:t>
            </w:r>
            <w:r w:rsidRPr="0053423A">
              <w:rPr>
                <w:rFonts w:cs="Sylfaen"/>
                <w:sz w:val="20"/>
                <w:szCs w:val="20"/>
                <w:lang w:val="hy-AM"/>
              </w:rPr>
              <w:t>լրատվամիջոցների</w:t>
            </w:r>
            <w:r w:rsidRPr="0053423A">
              <w:rPr>
                <w:rFonts w:cs="Sylfaen"/>
                <w:sz w:val="20"/>
                <w:szCs w:val="20"/>
                <w:lang w:val="af-ZA"/>
              </w:rPr>
              <w:t xml:space="preserve"> </w:t>
            </w:r>
            <w:r w:rsidRPr="0053423A">
              <w:rPr>
                <w:rFonts w:cs="Sylfaen"/>
                <w:sz w:val="20"/>
                <w:szCs w:val="20"/>
                <w:lang w:val="hy-AM"/>
              </w:rPr>
              <w:t>գործունեության</w:t>
            </w:r>
            <w:r w:rsidRPr="0053423A">
              <w:rPr>
                <w:rFonts w:cs="Sylfaen"/>
                <w:sz w:val="20"/>
                <w:szCs w:val="20"/>
                <w:lang w:val="af-ZA"/>
              </w:rPr>
              <w:t xml:space="preserve"> </w:t>
            </w:r>
            <w:r w:rsidRPr="0053423A">
              <w:rPr>
                <w:rFonts w:cs="Sylfaen"/>
                <w:sz w:val="20"/>
                <w:szCs w:val="20"/>
                <w:lang w:val="hy-AM"/>
              </w:rPr>
              <w:t>ապահովում</w:t>
            </w:r>
          </w:p>
        </w:tc>
      </w:tr>
      <w:tr w:rsidR="002B2CAB" w:rsidRPr="00DE2EFA" w:rsidTr="002B2CAB">
        <w:tc>
          <w:tcPr>
            <w:tcW w:w="540" w:type="dxa"/>
            <w:vMerge/>
          </w:tcPr>
          <w:p w:rsidR="002B2CAB" w:rsidRPr="0053423A" w:rsidRDefault="002B2CAB" w:rsidP="00A67858">
            <w:pPr>
              <w:spacing w:line="276" w:lineRule="auto"/>
              <w:jc w:val="center"/>
              <w:rPr>
                <w:rFonts w:cs="Times New Roman"/>
                <w:b/>
                <w:sz w:val="20"/>
                <w:szCs w:val="20"/>
                <w:lang w:val="hy-AM"/>
              </w:rPr>
            </w:pP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cs="Times New Roman"/>
                <w:b/>
                <w:sz w:val="20"/>
                <w:szCs w:val="20"/>
                <w:u w:val="single"/>
                <w:lang w:val="af-ZA"/>
              </w:rPr>
              <w:t>2.5.«</w:t>
            </w:r>
            <w:r w:rsidRPr="0053423A">
              <w:rPr>
                <w:rFonts w:cs="Times New Roman"/>
                <w:b/>
                <w:sz w:val="20"/>
                <w:szCs w:val="20"/>
                <w:u w:val="single"/>
                <w:lang w:val="it-IT"/>
              </w:rPr>
              <w:t>Աջակցություն Թբիլիսիում գտնվող հայ գրողների պանթեոնի պահպանմանը» ծրագրի իրականացում</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sz w:val="20"/>
                <w:szCs w:val="20"/>
                <w:lang w:val="hy-AM"/>
              </w:rPr>
              <w:t xml:space="preserve">Անհրաժեշտությունը բխում է Սահմանադրության 19-րդ հոդվածի 1-ին մասի պահանջներից (ոլորտային նորմատիվ իրավական ակտեր չկան): Նպատակն է </w:t>
            </w:r>
            <w:r w:rsidRPr="0053423A">
              <w:rPr>
                <w:rFonts w:cs="Times New Roman"/>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b/>
                <w:sz w:val="20"/>
                <w:szCs w:val="20"/>
                <w:lang w:val="ro-RO"/>
              </w:rPr>
              <w:t xml:space="preserve"> </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ro-RO"/>
              </w:rPr>
              <w:t>1.1Կ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Times New Roman"/>
                <w:sz w:val="20"/>
                <w:szCs w:val="20"/>
                <w:lang w:val="hy-AM"/>
              </w:rPr>
            </w:pPr>
            <w:r w:rsidRPr="0053423A">
              <w:rPr>
                <w:rFonts w:cs="Times New Roman"/>
                <w:sz w:val="20"/>
                <w:szCs w:val="20"/>
                <w:lang w:val="hy-AM"/>
              </w:rPr>
              <w:t>Հայաստանի Հանրապետության և հայկական սփյուռքի գործակցության ապա</w:t>
            </w:r>
            <w:r w:rsidRPr="0053423A">
              <w:rPr>
                <w:rFonts w:cs="Times New Roman"/>
                <w:sz w:val="20"/>
                <w:szCs w:val="20"/>
                <w:lang w:val="hy-AM"/>
              </w:rPr>
              <w:softHyphen/>
              <w:t>հովումը,</w:t>
            </w:r>
            <w:r w:rsidRPr="0053423A">
              <w:rPr>
                <w:rFonts w:cs="Times New Roman"/>
                <w:sz w:val="20"/>
                <w:szCs w:val="20"/>
                <w:lang w:val="ro-RO"/>
              </w:rPr>
              <w:t xml:space="preserve"> </w:t>
            </w:r>
            <w:r w:rsidRPr="0053423A">
              <w:rPr>
                <w:rFonts w:cs="Times New Roman"/>
                <w:sz w:val="20"/>
                <w:szCs w:val="20"/>
                <w:lang w:val="hy-AM"/>
              </w:rPr>
              <w:t>դրանց միջև կապերի ամրապնդումը և հայ ժողովրդի հոգևոր միասնությունը</w:t>
            </w:r>
            <w:r w:rsidRPr="0053423A">
              <w:rPr>
                <w:rFonts w:cs="Times New Roman"/>
                <w:sz w:val="20"/>
                <w:szCs w:val="20"/>
                <w:lang w:val="ro-RO"/>
              </w:rPr>
              <w:t xml:space="preserve"> </w:t>
            </w:r>
            <w:r w:rsidRPr="0053423A">
              <w:rPr>
                <w:rFonts w:cs="Times New Roman"/>
                <w:sz w:val="20"/>
                <w:szCs w:val="20"/>
                <w:lang w:val="hy-AM"/>
              </w:rPr>
              <w:t>Կառավարության քաղաքականության կարևոր բաղադրիչ</w:t>
            </w:r>
            <w:r w:rsidRPr="0053423A">
              <w:rPr>
                <w:rFonts w:cs="Times New Roman"/>
                <w:sz w:val="20"/>
                <w:szCs w:val="20"/>
                <w:lang w:val="ro-RO"/>
              </w:rPr>
              <w:t xml:space="preserve">ն է: </w:t>
            </w:r>
            <w:r w:rsidRPr="0053423A">
              <w:rPr>
                <w:rFonts w:cs="Times New Roman"/>
                <w:sz w:val="20"/>
                <w:szCs w:val="20"/>
                <w:lang w:val="hy-AM"/>
              </w:rPr>
              <w:t>Հայապահպանության և հայ համայնքների զարգացման համար բարենպաստ միջավայրի ձևավորմանն ու զարգացմանը, համահայկական ծրագրերի մշակմանն ու իրականացմանն աջակցությունը:</w:t>
            </w:r>
          </w:p>
          <w:p w:rsidR="002B2CAB" w:rsidRPr="0053423A" w:rsidRDefault="002B2CAB" w:rsidP="00A67858">
            <w:pPr>
              <w:spacing w:line="276" w:lineRule="auto"/>
              <w:jc w:val="both"/>
              <w:rPr>
                <w:rFonts w:cs="Sylfaen"/>
                <w:sz w:val="20"/>
                <w:szCs w:val="20"/>
                <w:lang w:val="af-ZA"/>
              </w:rPr>
            </w:pPr>
            <w:r w:rsidRPr="0053423A">
              <w:rPr>
                <w:rFonts w:cs="Sylfaen"/>
                <w:b/>
                <w:sz w:val="20"/>
                <w:szCs w:val="20"/>
                <w:lang w:val="af-ZA"/>
              </w:rPr>
              <w:t>1.2.</w:t>
            </w:r>
            <w:r w:rsidRPr="0053423A">
              <w:rPr>
                <w:rFonts w:cs="Sylfaen"/>
                <w:b/>
                <w:sz w:val="20"/>
                <w:szCs w:val="20"/>
                <w:lang w:val="hy-AM"/>
              </w:rPr>
              <w:t>Առկա</w:t>
            </w:r>
            <w:r w:rsidRPr="0053423A">
              <w:rPr>
                <w:rFonts w:cs="Times New Roman"/>
                <w:b/>
                <w:sz w:val="20"/>
                <w:szCs w:val="20"/>
                <w:lang w:val="hy-AM"/>
              </w:rPr>
              <w:t xml:space="preserve"> խնդիրների առաջարկվող լուծումները</w:t>
            </w:r>
            <w:r w:rsidRPr="0053423A">
              <w:rPr>
                <w:rFonts w:cs="Sylfaen"/>
                <w:sz w:val="20"/>
                <w:szCs w:val="20"/>
                <w:lang w:val="af-ZA"/>
              </w:rPr>
              <w:t xml:space="preserve"> </w:t>
            </w:r>
          </w:p>
          <w:p w:rsidR="002B2CAB" w:rsidRPr="0053423A" w:rsidRDefault="002B2CAB" w:rsidP="00A67858">
            <w:pPr>
              <w:spacing w:line="276" w:lineRule="auto"/>
              <w:jc w:val="both"/>
              <w:rPr>
                <w:rFonts w:cs="Times New Roman"/>
                <w:sz w:val="20"/>
                <w:szCs w:val="20"/>
                <w:lang w:val="pt-BR"/>
              </w:rPr>
            </w:pPr>
            <w:r w:rsidRPr="0053423A">
              <w:rPr>
                <w:rFonts w:cs="Times New Roman"/>
                <w:sz w:val="20"/>
                <w:szCs w:val="20"/>
                <w:lang w:val="pt-BR"/>
              </w:rPr>
              <w:t xml:space="preserve">Հայապահպանության գործընթացի խթանումը զգալիորեն կամրապնդի </w:t>
            </w:r>
            <w:r w:rsidRPr="0053423A">
              <w:rPr>
                <w:rFonts w:cs="Times New Roman"/>
                <w:sz w:val="20"/>
                <w:szCs w:val="20"/>
                <w:lang w:val="hy-AM"/>
              </w:rPr>
              <w:t>Հայաստանի Հանրապետության և հայկական սփյուռքի կապերը և հայ ժողովրդի հոգևոր միասնությունը</w:t>
            </w:r>
            <w:r w:rsidRPr="0053423A">
              <w:rPr>
                <w:rFonts w:cs="Times New Roman"/>
                <w:sz w:val="20"/>
                <w:szCs w:val="20"/>
                <w:lang w:val="ro-RO"/>
              </w:rPr>
              <w:t xml:space="preserve"> </w:t>
            </w:r>
            <w:r w:rsidRPr="0053423A">
              <w:rPr>
                <w:rFonts w:cs="Times New Roman"/>
                <w:sz w:val="20"/>
                <w:szCs w:val="20"/>
                <w:lang w:val="pt-BR"/>
              </w:rPr>
              <w:t>մտավոր ու պաշտպանական ներուժը:</w:t>
            </w:r>
          </w:p>
          <w:p w:rsidR="002B2CAB" w:rsidRPr="0053423A" w:rsidRDefault="002B2CAB" w:rsidP="00A67858">
            <w:pPr>
              <w:spacing w:line="276" w:lineRule="auto"/>
              <w:jc w:val="both"/>
              <w:rPr>
                <w:rFonts w:cs="Times New Roman"/>
                <w:b/>
                <w:sz w:val="20"/>
                <w:szCs w:val="20"/>
                <w:lang w:val="pt-BR"/>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hd w:val="clear" w:color="auto" w:fill="FFFFFF"/>
              <w:spacing w:line="276" w:lineRule="auto"/>
              <w:jc w:val="both"/>
              <w:rPr>
                <w:rFonts w:eastAsia="Calibri" w:cs="Times New Roman"/>
                <w:b/>
                <w:color w:val="000000"/>
                <w:sz w:val="20"/>
                <w:szCs w:val="20"/>
                <w:lang w:val="pt-BR"/>
              </w:rPr>
            </w:pPr>
            <w:r w:rsidRPr="0053423A">
              <w:rPr>
                <w:rFonts w:eastAsia="Calibri" w:cs="Times New Roman"/>
                <w:sz w:val="20"/>
                <w:szCs w:val="20"/>
              </w:rPr>
              <w:t>Հ</w:t>
            </w:r>
            <w:r w:rsidRPr="0053423A">
              <w:rPr>
                <w:rFonts w:eastAsia="Calibri" w:cs="Times New Roman"/>
                <w:sz w:val="20"/>
                <w:szCs w:val="20"/>
                <w:lang w:val="hy-AM"/>
              </w:rPr>
              <w:t>այության ուծացմանը դիմակայ</w:t>
            </w:r>
            <w:r w:rsidRPr="0053423A">
              <w:rPr>
                <w:rFonts w:eastAsia="Calibri" w:cs="Times New Roman"/>
                <w:sz w:val="20"/>
                <w:szCs w:val="20"/>
              </w:rPr>
              <w:t>ումը</w:t>
            </w:r>
            <w:r w:rsidRPr="0053423A">
              <w:rPr>
                <w:rFonts w:eastAsia="Calibri" w:cs="Times New Roman"/>
                <w:sz w:val="20"/>
                <w:szCs w:val="20"/>
                <w:lang w:val="hy-AM"/>
              </w:rPr>
              <w:t xml:space="preserve"> և կրթամշակութային խնդիրների լուծմանն աջակ</w:t>
            </w:r>
            <w:r w:rsidRPr="0053423A">
              <w:rPr>
                <w:rFonts w:eastAsia="Calibri" w:cs="Times New Roman"/>
                <w:sz w:val="20"/>
                <w:szCs w:val="20"/>
              </w:rPr>
              <w:t>ցությունը</w:t>
            </w:r>
            <w:r w:rsidRPr="0053423A">
              <w:rPr>
                <w:rFonts w:eastAsia="Calibri" w:cs="Times New Roman"/>
                <w:sz w:val="20"/>
                <w:szCs w:val="20"/>
                <w:lang w:val="hy-AM"/>
              </w:rPr>
              <w:t xml:space="preserve"> և հայ համայնքների զարգացման համար բարենպաստ միջավայրի ձևավոր</w:t>
            </w:r>
            <w:r w:rsidRPr="0053423A">
              <w:rPr>
                <w:rFonts w:eastAsia="Calibri" w:cs="Times New Roman"/>
                <w:sz w:val="20"/>
                <w:szCs w:val="20"/>
              </w:rPr>
              <w:t>ումն</w:t>
            </w:r>
            <w:r w:rsidRPr="0053423A">
              <w:rPr>
                <w:rFonts w:eastAsia="Calibri" w:cs="Times New Roman"/>
                <w:sz w:val="20"/>
                <w:szCs w:val="20"/>
                <w:lang w:val="hy-AM"/>
              </w:rPr>
              <w:t xml:space="preserve"> </w:t>
            </w:r>
            <w:r w:rsidRPr="0053423A">
              <w:rPr>
                <w:rFonts w:eastAsia="Calibri" w:cs="Sylfaen"/>
                <w:sz w:val="20"/>
                <w:szCs w:val="20"/>
                <w:lang w:val="hy-AM"/>
              </w:rPr>
              <w:t>պատմամշակութային արժեք</w:t>
            </w:r>
            <w:r w:rsidRPr="0053423A">
              <w:rPr>
                <w:rFonts w:eastAsia="Calibri" w:cs="Sylfaen"/>
                <w:sz w:val="20"/>
                <w:szCs w:val="20"/>
              </w:rPr>
              <w:t>ների</w:t>
            </w:r>
            <w:r w:rsidRPr="0053423A">
              <w:rPr>
                <w:rFonts w:eastAsia="Calibri" w:cs="Sylfaen"/>
                <w:sz w:val="20"/>
                <w:szCs w:val="20"/>
                <w:lang w:val="hy-AM"/>
              </w:rPr>
              <w:t xml:space="preserve"> սերունդներին փոխանց</w:t>
            </w:r>
            <w:r w:rsidRPr="0053423A">
              <w:rPr>
                <w:rFonts w:eastAsia="Calibri" w:cs="Sylfaen"/>
                <w:sz w:val="20"/>
                <w:szCs w:val="20"/>
              </w:rPr>
              <w:t>ումը</w:t>
            </w:r>
            <w:r w:rsidRPr="0053423A">
              <w:rPr>
                <w:rFonts w:eastAsia="Calibri" w:cs="Sylfaen"/>
                <w:sz w:val="20"/>
                <w:szCs w:val="20"/>
                <w:lang w:val="pt-BR"/>
              </w:rPr>
              <w:t xml:space="preserve"> </w:t>
            </w:r>
            <w:r w:rsidRPr="0053423A">
              <w:rPr>
                <w:rFonts w:eastAsia="Calibri" w:cs="GHEA Grapalat"/>
                <w:sz w:val="20"/>
                <w:szCs w:val="20"/>
                <w:lang w:val="hy-AM"/>
              </w:rPr>
              <w:t>և հայկական ինքնությունը պահպան</w:t>
            </w:r>
            <w:r w:rsidRPr="0053423A">
              <w:rPr>
                <w:rFonts w:eastAsia="Calibri" w:cs="GHEA Grapalat"/>
                <w:sz w:val="20"/>
                <w:szCs w:val="20"/>
              </w:rPr>
              <w:t>ումը</w:t>
            </w:r>
            <w:r w:rsidRPr="0053423A">
              <w:rPr>
                <w:rFonts w:eastAsia="Calibri" w:cs="GHEA Grapalat"/>
                <w:sz w:val="20"/>
                <w:szCs w:val="20"/>
                <w:lang w:val="pt-BR"/>
              </w:rPr>
              <w:t>:</w:t>
            </w:r>
            <w:r w:rsidRPr="0053423A">
              <w:rPr>
                <w:rFonts w:eastAsia="Calibri" w:cs="Times New Roman"/>
                <w:b/>
                <w:color w:val="000000"/>
                <w:sz w:val="20"/>
                <w:szCs w:val="20"/>
                <w:lang w:val="hy-AM"/>
              </w:rPr>
              <w:t xml:space="preserve"> </w:t>
            </w:r>
          </w:p>
          <w:p w:rsidR="002B2CAB" w:rsidRPr="0053423A" w:rsidRDefault="002B2CAB" w:rsidP="00A67858">
            <w:pPr>
              <w:shd w:val="clear" w:color="auto" w:fill="FFFFFF"/>
              <w:spacing w:line="276" w:lineRule="auto"/>
              <w:jc w:val="both"/>
              <w:rPr>
                <w:rFonts w:eastAsia="Calibri" w:cs="Times New Roman"/>
                <w:b/>
                <w:color w:val="000000"/>
                <w:sz w:val="20"/>
                <w:szCs w:val="20"/>
                <w:lang w:val="pt-BR"/>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spacing w:line="276" w:lineRule="auto"/>
              <w:rPr>
                <w:rFonts w:cs="Times New Roman"/>
                <w:sz w:val="20"/>
                <w:szCs w:val="20"/>
                <w:lang w:val="af-ZA"/>
              </w:rPr>
            </w:pPr>
            <w:r w:rsidRPr="0053423A">
              <w:rPr>
                <w:rFonts w:cs="Times New Roman"/>
                <w:sz w:val="20"/>
                <w:szCs w:val="20"/>
                <w:lang w:val="hy-AM"/>
              </w:rPr>
              <w:t>Խոջիվանքի պանթեոնի</w:t>
            </w:r>
            <w:r w:rsidRPr="0053423A">
              <w:rPr>
                <w:rFonts w:cs="Times New Roman"/>
                <w:sz w:val="20"/>
                <w:szCs w:val="20"/>
                <w:lang w:val="af-ZA"/>
              </w:rPr>
              <w:t xml:space="preserve"> պահպանում, բարեկարգում և փոխանցում սերունդներին:</w:t>
            </w:r>
          </w:p>
        </w:tc>
      </w:tr>
      <w:tr w:rsidR="002B2CAB" w:rsidRPr="00DE2EFA" w:rsidTr="002B2CAB">
        <w:tc>
          <w:tcPr>
            <w:tcW w:w="540" w:type="dxa"/>
          </w:tcPr>
          <w:p w:rsidR="002B2CAB" w:rsidRPr="0053423A" w:rsidRDefault="002B2CAB" w:rsidP="00A67858">
            <w:pPr>
              <w:spacing w:line="276" w:lineRule="auto"/>
              <w:jc w:val="center"/>
              <w:rPr>
                <w:rFonts w:cs="Times New Roman"/>
                <w:b/>
                <w:sz w:val="20"/>
                <w:szCs w:val="20"/>
                <w:lang w:val="hy-AM"/>
              </w:rPr>
            </w:pPr>
            <w:r w:rsidRPr="0053423A">
              <w:rPr>
                <w:rFonts w:cs="Times New Roman"/>
                <w:b/>
                <w:sz w:val="20"/>
                <w:szCs w:val="20"/>
                <w:lang w:val="hy-AM"/>
              </w:rPr>
              <w:t>3</w:t>
            </w: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cs="Times New Roman"/>
                <w:b/>
                <w:sz w:val="20"/>
                <w:szCs w:val="20"/>
                <w:u w:val="single"/>
                <w:lang w:val="ro-RO"/>
              </w:rPr>
              <w:t xml:space="preserve">3.1 </w:t>
            </w:r>
            <w:r w:rsidRPr="0053423A">
              <w:rPr>
                <w:rFonts w:cs="Times New Roman"/>
                <w:b/>
                <w:sz w:val="20"/>
                <w:szCs w:val="20"/>
                <w:u w:val="single"/>
                <w:lang w:val="hy-AM"/>
              </w:rPr>
              <w:t>Ուծացման</w:t>
            </w:r>
            <w:r w:rsidRPr="0053423A">
              <w:rPr>
                <w:rFonts w:cs="Times New Roman"/>
                <w:b/>
                <w:sz w:val="20"/>
                <w:szCs w:val="20"/>
                <w:u w:val="single"/>
                <w:lang w:val="ro-RO"/>
              </w:rPr>
              <w:t xml:space="preserve"> </w:t>
            </w:r>
            <w:r w:rsidRPr="0053423A">
              <w:rPr>
                <w:rFonts w:cs="Times New Roman"/>
                <w:b/>
                <w:sz w:val="20"/>
                <w:szCs w:val="20"/>
                <w:u w:val="single"/>
                <w:lang w:val="hy-AM"/>
              </w:rPr>
              <w:t>և</w:t>
            </w:r>
            <w:r w:rsidRPr="0053423A">
              <w:rPr>
                <w:rFonts w:cs="Times New Roman"/>
                <w:b/>
                <w:sz w:val="20"/>
                <w:szCs w:val="20"/>
                <w:u w:val="single"/>
                <w:lang w:val="ro-RO"/>
              </w:rPr>
              <w:t xml:space="preserve"> </w:t>
            </w:r>
            <w:r w:rsidRPr="0053423A">
              <w:rPr>
                <w:rFonts w:cs="Times New Roman"/>
                <w:b/>
                <w:sz w:val="20"/>
                <w:szCs w:val="20"/>
                <w:u w:val="single"/>
                <w:lang w:val="hy-AM"/>
              </w:rPr>
              <w:t>ինքնության</w:t>
            </w:r>
            <w:r w:rsidRPr="0053423A">
              <w:rPr>
                <w:rFonts w:cs="Times New Roman"/>
                <w:b/>
                <w:sz w:val="20"/>
                <w:szCs w:val="20"/>
                <w:u w:val="single"/>
                <w:lang w:val="ro-RO"/>
              </w:rPr>
              <w:t xml:space="preserve"> </w:t>
            </w:r>
            <w:r w:rsidRPr="0053423A">
              <w:rPr>
                <w:rFonts w:cs="Times New Roman"/>
                <w:b/>
                <w:sz w:val="20"/>
                <w:szCs w:val="20"/>
                <w:u w:val="single"/>
                <w:lang w:val="hy-AM"/>
              </w:rPr>
              <w:t>պահպանման</w:t>
            </w:r>
            <w:r w:rsidRPr="0053423A">
              <w:rPr>
                <w:rFonts w:cs="Times New Roman"/>
                <w:b/>
                <w:sz w:val="20"/>
                <w:szCs w:val="20"/>
                <w:u w:val="single"/>
                <w:lang w:val="ro-RO"/>
              </w:rPr>
              <w:t xml:space="preserve"> </w:t>
            </w:r>
            <w:r w:rsidRPr="0053423A">
              <w:rPr>
                <w:rFonts w:cs="Times New Roman"/>
                <w:b/>
                <w:sz w:val="20"/>
                <w:szCs w:val="20"/>
                <w:u w:val="single"/>
                <w:lang w:val="hy-AM"/>
              </w:rPr>
              <w:t>հիմնախնդիրների</w:t>
            </w:r>
            <w:r w:rsidRPr="0053423A">
              <w:rPr>
                <w:rFonts w:cs="Times New Roman"/>
                <w:b/>
                <w:sz w:val="20"/>
                <w:szCs w:val="20"/>
                <w:u w:val="single"/>
                <w:lang w:val="ro-RO"/>
              </w:rPr>
              <w:t xml:space="preserve"> </w:t>
            </w:r>
            <w:r w:rsidRPr="0053423A">
              <w:rPr>
                <w:rFonts w:cs="Times New Roman"/>
                <w:b/>
                <w:sz w:val="20"/>
                <w:szCs w:val="20"/>
                <w:u w:val="single"/>
                <w:lang w:val="hy-AM"/>
              </w:rPr>
              <w:t>ուսումնասիրություններ</w:t>
            </w:r>
            <w:r w:rsidRPr="0053423A">
              <w:rPr>
                <w:rFonts w:cs="Times New Roman"/>
                <w:b/>
                <w:sz w:val="20"/>
                <w:szCs w:val="20"/>
                <w:u w:val="single"/>
                <w:lang w:val="ro-RO"/>
              </w:rPr>
              <w:t xml:space="preserve"> </w:t>
            </w:r>
            <w:r w:rsidRPr="0053423A">
              <w:rPr>
                <w:rFonts w:cs="Times New Roman"/>
                <w:b/>
                <w:sz w:val="20"/>
                <w:szCs w:val="20"/>
                <w:u w:val="single"/>
                <w:lang w:val="hy-AM"/>
              </w:rPr>
              <w:t>Ռուսաստանի</w:t>
            </w:r>
            <w:r w:rsidRPr="0053423A">
              <w:rPr>
                <w:rFonts w:cs="Times New Roman"/>
                <w:b/>
                <w:sz w:val="20"/>
                <w:szCs w:val="20"/>
                <w:u w:val="single"/>
                <w:lang w:val="ro-RO"/>
              </w:rPr>
              <w:t xml:space="preserve"> </w:t>
            </w:r>
            <w:r w:rsidRPr="0053423A">
              <w:rPr>
                <w:rFonts w:cs="Times New Roman"/>
                <w:b/>
                <w:sz w:val="20"/>
                <w:szCs w:val="20"/>
                <w:u w:val="single"/>
                <w:lang w:val="hy-AM"/>
              </w:rPr>
              <w:t>Դաշնությունում</w:t>
            </w:r>
            <w:r w:rsidRPr="0053423A">
              <w:rPr>
                <w:rFonts w:cs="Times New Roman"/>
                <w:b/>
                <w:sz w:val="20"/>
                <w:szCs w:val="20"/>
                <w:u w:val="single"/>
                <w:lang w:val="ro-RO"/>
              </w:rPr>
              <w:t xml:space="preserve">, </w:t>
            </w:r>
            <w:r w:rsidRPr="0053423A">
              <w:rPr>
                <w:rFonts w:cs="Times New Roman"/>
                <w:b/>
                <w:sz w:val="20"/>
                <w:szCs w:val="20"/>
                <w:u w:val="single"/>
                <w:lang w:val="hy-AM"/>
              </w:rPr>
              <w:t>Լատինական</w:t>
            </w:r>
            <w:r w:rsidRPr="0053423A">
              <w:rPr>
                <w:rFonts w:cs="Times New Roman"/>
                <w:b/>
                <w:sz w:val="20"/>
                <w:szCs w:val="20"/>
                <w:u w:val="single"/>
                <w:lang w:val="it-IT"/>
              </w:rPr>
              <w:t xml:space="preserve"> </w:t>
            </w:r>
            <w:r w:rsidRPr="0053423A">
              <w:rPr>
                <w:rFonts w:cs="Times New Roman"/>
                <w:b/>
                <w:sz w:val="20"/>
                <w:szCs w:val="20"/>
                <w:u w:val="single"/>
                <w:lang w:val="hy-AM"/>
              </w:rPr>
              <w:t>Ամերիկայում</w:t>
            </w:r>
            <w:r w:rsidRPr="0053423A">
              <w:rPr>
                <w:rFonts w:cs="Times New Roman"/>
                <w:b/>
                <w:sz w:val="20"/>
                <w:szCs w:val="20"/>
                <w:u w:val="single"/>
                <w:lang w:val="ro-RO"/>
              </w:rPr>
              <w:t>,</w:t>
            </w:r>
            <w:r w:rsidRPr="0053423A">
              <w:rPr>
                <w:rFonts w:cs="Times New Roman"/>
                <w:b/>
                <w:sz w:val="20"/>
                <w:szCs w:val="20"/>
                <w:u w:val="single"/>
                <w:lang w:val="hy-AM"/>
              </w:rPr>
              <w:t xml:space="preserve"> Հյուսիսային</w:t>
            </w:r>
            <w:r w:rsidRPr="0053423A">
              <w:rPr>
                <w:rFonts w:cs="Times New Roman"/>
                <w:b/>
                <w:sz w:val="20"/>
                <w:szCs w:val="20"/>
                <w:u w:val="single"/>
                <w:lang w:val="it-IT"/>
              </w:rPr>
              <w:t xml:space="preserve"> </w:t>
            </w:r>
            <w:r w:rsidRPr="0053423A">
              <w:rPr>
                <w:rFonts w:cs="Times New Roman"/>
                <w:b/>
                <w:sz w:val="20"/>
                <w:szCs w:val="20"/>
                <w:u w:val="single"/>
                <w:lang w:val="hy-AM"/>
              </w:rPr>
              <w:t>Ամերիկայում</w:t>
            </w:r>
            <w:r w:rsidRPr="0053423A">
              <w:rPr>
                <w:rFonts w:cs="Times New Roman"/>
                <w:b/>
                <w:sz w:val="20"/>
                <w:szCs w:val="20"/>
                <w:u w:val="single"/>
                <w:lang w:val="ro-RO"/>
              </w:rPr>
              <w:t xml:space="preserve"> և </w:t>
            </w:r>
            <w:r w:rsidRPr="0053423A">
              <w:rPr>
                <w:rFonts w:cs="Times New Roman"/>
                <w:b/>
                <w:sz w:val="20"/>
                <w:szCs w:val="20"/>
                <w:u w:val="single"/>
                <w:lang w:val="hy-AM"/>
              </w:rPr>
              <w:t>Արևելյան</w:t>
            </w:r>
            <w:r w:rsidRPr="0053423A">
              <w:rPr>
                <w:rFonts w:cs="Times New Roman"/>
                <w:b/>
                <w:sz w:val="20"/>
                <w:szCs w:val="20"/>
                <w:u w:val="single"/>
                <w:lang w:val="it-IT"/>
              </w:rPr>
              <w:t xml:space="preserve"> </w:t>
            </w:r>
            <w:r w:rsidRPr="0053423A">
              <w:rPr>
                <w:rFonts w:cs="Times New Roman"/>
                <w:b/>
                <w:sz w:val="20"/>
                <w:szCs w:val="20"/>
                <w:u w:val="single"/>
                <w:lang w:val="hy-AM"/>
              </w:rPr>
              <w:t>Եվրոպայում</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sz w:val="20"/>
                <w:szCs w:val="20"/>
                <w:lang w:val="hy-AM"/>
              </w:rPr>
              <w:t xml:space="preserve">Անհրաժեշտությունը բխում է Սահմանադրության 19-րդ հոդվածի 1-ին մասի պահանջներից (ոլորտային նորմատիվ իրավական ակտեր չկան): Նպատակն է </w:t>
            </w:r>
            <w:r w:rsidRPr="0053423A">
              <w:rPr>
                <w:rFonts w:cs="Times New Roman"/>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b/>
                <w:sz w:val="20"/>
                <w:szCs w:val="20"/>
                <w:lang w:val="ro-RO"/>
              </w:rPr>
              <w:t xml:space="preserve"> </w:t>
            </w:r>
          </w:p>
          <w:p w:rsidR="002B2CAB" w:rsidRPr="0053423A" w:rsidRDefault="002B2CAB" w:rsidP="00A67858">
            <w:pPr>
              <w:spacing w:line="276" w:lineRule="auto"/>
              <w:jc w:val="both"/>
              <w:rPr>
                <w:rFonts w:cs="Times New Roman"/>
                <w:b/>
                <w:sz w:val="20"/>
                <w:szCs w:val="20"/>
                <w:lang w:val="ro-RO"/>
              </w:rPr>
            </w:pPr>
            <w:r w:rsidRPr="0053423A">
              <w:rPr>
                <w:rFonts w:cs="Times New Roman"/>
                <w:b/>
                <w:sz w:val="20"/>
                <w:szCs w:val="20"/>
                <w:lang w:val="ro-RO"/>
              </w:rPr>
              <w:t>1.1.Կ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Sylfaen"/>
                <w:sz w:val="20"/>
                <w:szCs w:val="20"/>
                <w:lang w:val="hy-AM"/>
              </w:rPr>
            </w:pPr>
            <w:r w:rsidRPr="0053423A">
              <w:rPr>
                <w:rFonts w:cs="Sylfaen"/>
                <w:sz w:val="20"/>
                <w:szCs w:val="20"/>
                <w:lang w:val="hy-AM"/>
              </w:rPr>
              <w:t xml:space="preserve">Սփյուռքի համայնքների պատմության, նրանց խնդիրներին (ուծացում, խառնամուսնություն, համայնքային կյանքից հեռացում, լեզվի իմացության կորուստ, ազգային ինքնության մյուս բաղադրիչներից հեռացում, ներուժի համախմբում, հայրենիքի հետ կապերի աշխուժացում), համահայկական նշանակության հարցերին նվիրված ուսումնասիրությունները, հետազոտական հիմնախնդիրները </w:t>
            </w:r>
            <w:r w:rsidRPr="0053423A">
              <w:rPr>
                <w:rFonts w:cs="Sylfaen"/>
                <w:sz w:val="20"/>
                <w:szCs w:val="20"/>
              </w:rPr>
              <w:t>Հայաստան</w:t>
            </w:r>
            <w:r w:rsidRPr="0053423A">
              <w:rPr>
                <w:rFonts w:cs="Sylfaen"/>
                <w:sz w:val="20"/>
                <w:szCs w:val="20"/>
                <w:lang w:val="ro-RO"/>
              </w:rPr>
              <w:t>-</w:t>
            </w:r>
            <w:r w:rsidRPr="0053423A">
              <w:rPr>
                <w:rFonts w:cs="Sylfaen"/>
                <w:sz w:val="20"/>
                <w:szCs w:val="20"/>
              </w:rPr>
              <w:t>սփյուռք</w:t>
            </w:r>
            <w:r w:rsidRPr="0053423A">
              <w:rPr>
                <w:rFonts w:cs="Sylfaen"/>
                <w:sz w:val="20"/>
                <w:szCs w:val="20"/>
                <w:lang w:val="ro-RO"/>
              </w:rPr>
              <w:t xml:space="preserve"> </w:t>
            </w:r>
            <w:r w:rsidRPr="0053423A">
              <w:rPr>
                <w:rFonts w:cs="Sylfaen"/>
                <w:sz w:val="20"/>
                <w:szCs w:val="20"/>
              </w:rPr>
              <w:t>գորշակցության</w:t>
            </w:r>
            <w:r w:rsidRPr="0053423A">
              <w:rPr>
                <w:rFonts w:cs="Sylfaen"/>
                <w:sz w:val="20"/>
                <w:szCs w:val="20"/>
                <w:lang w:val="ro-RO"/>
              </w:rPr>
              <w:t xml:space="preserve"> </w:t>
            </w:r>
            <w:r w:rsidRPr="0053423A">
              <w:rPr>
                <w:rFonts w:cs="Sylfaen"/>
                <w:sz w:val="20"/>
                <w:szCs w:val="20"/>
                <w:lang w:val="hy-AM"/>
              </w:rPr>
              <w:t>կարևոր ոլորտներից են:</w:t>
            </w:r>
            <w:r w:rsidRPr="0053423A">
              <w:rPr>
                <w:rFonts w:cs="Times New Roman"/>
                <w:b/>
                <w:sz w:val="20"/>
                <w:szCs w:val="20"/>
                <w:lang w:val="ro-RO"/>
              </w:rPr>
              <w:t xml:space="preserve"> </w:t>
            </w:r>
            <w:r w:rsidRPr="0053423A">
              <w:rPr>
                <w:rFonts w:cs="Sylfaen"/>
                <w:sz w:val="20"/>
                <w:szCs w:val="20"/>
                <w:lang w:val="hy-AM"/>
              </w:rPr>
              <w:t>Սփյուռքին նվիրված հետազոտությունները հնարավորության կընձեռի հաղթահարել առկա կարծրատիպերը, վեր հանել աշխարհասփյուռ հայության տարբեր հատվածների իրական կարիքները:</w:t>
            </w:r>
            <w:r w:rsidRPr="0053423A">
              <w:rPr>
                <w:rFonts w:cs="Times New Roman"/>
                <w:b/>
                <w:sz w:val="20"/>
                <w:szCs w:val="20"/>
                <w:lang w:val="ro-RO"/>
              </w:rPr>
              <w:t xml:space="preserve"> </w:t>
            </w:r>
            <w:r w:rsidRPr="0053423A">
              <w:rPr>
                <w:rFonts w:cs="Sylfaen"/>
                <w:sz w:val="20"/>
                <w:szCs w:val="20"/>
                <w:lang w:val="hy-AM"/>
              </w:rPr>
              <w:t>Օտար միջավայրի սոցիալ-մշակութային ազդեցությունը սփյուռքահայության վրա, սպառնալիք է արտերկրում ապրող հայության մշակութային և հոգևոր անվտանգությանը, ուստիև խիստ կարևոր է սփյուռքին նվիրված տարատեսակ հետազոտությունների իրականացումը և նյութերի տարածումը:</w:t>
            </w:r>
            <w:r w:rsidRPr="0053423A">
              <w:rPr>
                <w:rFonts w:cs="Sylfaen"/>
                <w:sz w:val="20"/>
                <w:szCs w:val="20"/>
                <w:lang w:val="ro-RO"/>
              </w:rPr>
              <w:t xml:space="preserve"> </w:t>
            </w:r>
            <w:r w:rsidRPr="0053423A">
              <w:rPr>
                <w:rFonts w:cs="Sylfaen"/>
                <w:sz w:val="20"/>
                <w:szCs w:val="20"/>
              </w:rPr>
              <w:t>Առկա</w:t>
            </w:r>
            <w:r w:rsidRPr="0053423A">
              <w:rPr>
                <w:rFonts w:cs="Sylfaen"/>
                <w:sz w:val="20"/>
                <w:szCs w:val="20"/>
                <w:lang w:val="ro-RO"/>
              </w:rPr>
              <w:t xml:space="preserve"> </w:t>
            </w:r>
            <w:r w:rsidRPr="0053423A">
              <w:rPr>
                <w:rFonts w:cs="Sylfaen"/>
                <w:sz w:val="20"/>
                <w:szCs w:val="20"/>
                <w:lang w:val="hy-AM"/>
              </w:rPr>
              <w:t xml:space="preserve">խնդիրներից են հայոց լեզվի, հայկական մշակույթի, պատմական հիշողության աստիճանական մարումը սփյուռքահայության շրջանում։ Հիմնախնդիրներից է նաև խառնամուսնությունները: </w:t>
            </w:r>
          </w:p>
          <w:p w:rsidR="002B2CAB" w:rsidRPr="0053423A" w:rsidRDefault="002B2CAB" w:rsidP="00A67858">
            <w:pPr>
              <w:spacing w:line="276" w:lineRule="auto"/>
              <w:jc w:val="both"/>
              <w:rPr>
                <w:rFonts w:cs="Sylfaen"/>
                <w:sz w:val="20"/>
                <w:szCs w:val="20"/>
                <w:lang w:val="af-ZA"/>
              </w:rPr>
            </w:pPr>
            <w:r w:rsidRPr="0053423A">
              <w:rPr>
                <w:rFonts w:cs="Sylfaen"/>
                <w:b/>
                <w:sz w:val="20"/>
                <w:szCs w:val="20"/>
                <w:lang w:val="af-ZA"/>
              </w:rPr>
              <w:t>1.2.</w:t>
            </w:r>
            <w:r w:rsidRPr="0053423A">
              <w:rPr>
                <w:rFonts w:cs="Sylfaen"/>
                <w:b/>
                <w:sz w:val="20"/>
                <w:szCs w:val="20"/>
                <w:lang w:val="hy-AM"/>
              </w:rPr>
              <w:t>Առկա</w:t>
            </w:r>
            <w:r w:rsidRPr="0053423A">
              <w:rPr>
                <w:rFonts w:cs="Times New Roman"/>
                <w:b/>
                <w:sz w:val="20"/>
                <w:szCs w:val="20"/>
                <w:lang w:val="hy-AM"/>
              </w:rPr>
              <w:t xml:space="preserve"> խնդիրների առաջարկվող լուծումները</w:t>
            </w:r>
            <w:r w:rsidRPr="0053423A">
              <w:rPr>
                <w:rFonts w:cs="Sylfaen"/>
                <w:sz w:val="20"/>
                <w:szCs w:val="20"/>
                <w:lang w:val="af-ZA"/>
              </w:rPr>
              <w:t xml:space="preserve"> </w:t>
            </w:r>
          </w:p>
          <w:p w:rsidR="002B2CAB" w:rsidRPr="0053423A" w:rsidRDefault="002B2CAB" w:rsidP="00A67858">
            <w:pPr>
              <w:spacing w:line="276" w:lineRule="auto"/>
              <w:jc w:val="both"/>
              <w:rPr>
                <w:rFonts w:cs="Sylfaen"/>
                <w:sz w:val="20"/>
                <w:szCs w:val="20"/>
                <w:lang w:val="af-ZA"/>
              </w:rPr>
            </w:pPr>
            <w:r w:rsidRPr="0053423A">
              <w:rPr>
                <w:rFonts w:cs="Sylfaen"/>
                <w:sz w:val="20"/>
                <w:szCs w:val="20"/>
                <w:lang w:val="af-ZA"/>
              </w:rPr>
              <w:t>Խնդիրների լուծման նպատակով</w:t>
            </w:r>
            <w:r w:rsidRPr="0053423A">
              <w:rPr>
                <w:rFonts w:cs="Sylfaen"/>
                <w:sz w:val="20"/>
                <w:szCs w:val="20"/>
                <w:lang w:val="hy-AM"/>
              </w:rPr>
              <w:t xml:space="preserve">  անհրաժեշտ է իրականացնել համապատասխան հետազոտություններ, ուսումնասիրություններ, հարցախույզեր:</w:t>
            </w:r>
          </w:p>
          <w:p w:rsidR="002B2CAB" w:rsidRPr="0053423A" w:rsidRDefault="002B2CAB" w:rsidP="00A67858">
            <w:pPr>
              <w:spacing w:line="276" w:lineRule="auto"/>
              <w:jc w:val="both"/>
              <w:rPr>
                <w:rFonts w:cs="Times New Roman"/>
                <w:b/>
                <w:sz w:val="20"/>
                <w:szCs w:val="20"/>
                <w:lang w:val="af-ZA"/>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jc w:val="both"/>
              <w:rPr>
                <w:rFonts w:cs="Times New Roman"/>
                <w:b/>
                <w:sz w:val="20"/>
                <w:szCs w:val="20"/>
                <w:lang w:val="hy-AM"/>
              </w:rPr>
            </w:pPr>
            <w:r w:rsidRPr="0053423A">
              <w:rPr>
                <w:rFonts w:cs="Sylfaen"/>
                <w:sz w:val="20"/>
                <w:szCs w:val="20"/>
                <w:lang w:val="hy-AM"/>
              </w:rPr>
              <w:t>Վերոնշյալ միջոցառումների իրականացումը թույլ է տալիս  բացահայտել ուծացման պատճառները, այն խմբերը, որոնք առավել խոցելի են, դրա դիմակայելու ուղիները և այդ խմբերի հայրենադարձության կազմակերպման հարցը:</w:t>
            </w:r>
          </w:p>
          <w:p w:rsidR="002B2CAB" w:rsidRPr="0053423A" w:rsidRDefault="002B2CAB" w:rsidP="00A67858">
            <w:pPr>
              <w:shd w:val="clear" w:color="auto" w:fill="FFFFFF"/>
              <w:spacing w:line="276" w:lineRule="auto"/>
              <w:jc w:val="both"/>
              <w:rPr>
                <w:rFonts w:eastAsia="Calibri" w:cs="Times New Roman"/>
                <w:b/>
                <w:color w:val="000000"/>
                <w:sz w:val="20"/>
                <w:szCs w:val="20"/>
                <w:lang w:val="hy-AM"/>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spacing w:line="276" w:lineRule="auto"/>
              <w:jc w:val="both"/>
              <w:rPr>
                <w:rFonts w:cs="Times New Roman"/>
                <w:sz w:val="20"/>
                <w:szCs w:val="20"/>
                <w:lang w:val="it-IT"/>
              </w:rPr>
            </w:pPr>
            <w:r w:rsidRPr="0053423A">
              <w:rPr>
                <w:rFonts w:cs="Times New Roman"/>
                <w:sz w:val="20"/>
                <w:szCs w:val="20"/>
                <w:lang w:val="hy-AM"/>
              </w:rPr>
              <w:t>Ծրագրի</w:t>
            </w:r>
            <w:r w:rsidRPr="0053423A">
              <w:rPr>
                <w:rFonts w:cs="Times New Roman"/>
                <w:sz w:val="20"/>
                <w:szCs w:val="20"/>
                <w:lang w:val="ro-RO"/>
              </w:rPr>
              <w:t xml:space="preserve"> </w:t>
            </w:r>
            <w:r w:rsidRPr="0053423A">
              <w:rPr>
                <w:rFonts w:cs="Times New Roman"/>
                <w:sz w:val="20"/>
                <w:szCs w:val="20"/>
                <w:lang w:val="hy-AM"/>
              </w:rPr>
              <w:t>իրականացումը</w:t>
            </w:r>
            <w:r w:rsidRPr="0053423A">
              <w:rPr>
                <w:rFonts w:cs="Times New Roman"/>
                <w:sz w:val="20"/>
                <w:szCs w:val="20"/>
                <w:lang w:val="ro-RO"/>
              </w:rPr>
              <w:t xml:space="preserve"> </w:t>
            </w:r>
            <w:r w:rsidRPr="0053423A">
              <w:rPr>
                <w:rFonts w:cs="Times New Roman"/>
                <w:sz w:val="20"/>
                <w:szCs w:val="20"/>
                <w:lang w:val="hy-AM"/>
              </w:rPr>
              <w:t>կնպաստի</w:t>
            </w:r>
            <w:r w:rsidRPr="0053423A">
              <w:rPr>
                <w:rFonts w:cs="Times New Roman"/>
                <w:sz w:val="20"/>
                <w:szCs w:val="20"/>
                <w:lang w:val="ro-RO"/>
              </w:rPr>
              <w:t xml:space="preserve"> </w:t>
            </w:r>
            <w:r w:rsidRPr="0053423A">
              <w:rPr>
                <w:rFonts w:cs="Times New Roman"/>
                <w:sz w:val="20"/>
                <w:szCs w:val="20"/>
                <w:lang w:val="hy-AM"/>
              </w:rPr>
              <w:t>վերհանել</w:t>
            </w:r>
            <w:r w:rsidRPr="0053423A">
              <w:rPr>
                <w:rFonts w:cs="Times New Roman"/>
                <w:sz w:val="20"/>
                <w:szCs w:val="20"/>
                <w:lang w:val="ro-RO"/>
              </w:rPr>
              <w:t xml:space="preserve"> </w:t>
            </w:r>
            <w:r w:rsidRPr="0053423A">
              <w:rPr>
                <w:rFonts w:cs="Times New Roman"/>
                <w:sz w:val="20"/>
                <w:szCs w:val="20"/>
                <w:lang w:val="hy-AM"/>
              </w:rPr>
              <w:t>Ռուսաստանի</w:t>
            </w:r>
            <w:r w:rsidRPr="0053423A">
              <w:rPr>
                <w:rFonts w:cs="Times New Roman"/>
                <w:sz w:val="20"/>
                <w:szCs w:val="20"/>
                <w:lang w:val="ro-RO"/>
              </w:rPr>
              <w:t xml:space="preserve"> </w:t>
            </w:r>
            <w:r w:rsidRPr="0053423A">
              <w:rPr>
                <w:rFonts w:cs="Times New Roman"/>
                <w:sz w:val="20"/>
                <w:szCs w:val="20"/>
                <w:lang w:val="hy-AM"/>
              </w:rPr>
              <w:t>Դաշնության</w:t>
            </w:r>
            <w:r w:rsidRPr="0053423A">
              <w:rPr>
                <w:rFonts w:cs="Times New Roman"/>
                <w:sz w:val="20"/>
                <w:szCs w:val="20"/>
                <w:lang w:val="ro-RO"/>
              </w:rPr>
              <w:t xml:space="preserve"> առնվազն 10 </w:t>
            </w:r>
            <w:r w:rsidRPr="0053423A">
              <w:rPr>
                <w:rFonts w:cs="Times New Roman"/>
                <w:sz w:val="20"/>
                <w:szCs w:val="20"/>
                <w:lang w:val="hy-AM"/>
              </w:rPr>
              <w:t>հայահոծ</w:t>
            </w:r>
            <w:r w:rsidRPr="0053423A">
              <w:rPr>
                <w:rFonts w:cs="Times New Roman"/>
                <w:sz w:val="20"/>
                <w:szCs w:val="20"/>
                <w:lang w:val="ro-RO"/>
              </w:rPr>
              <w:t xml:space="preserve"> </w:t>
            </w:r>
            <w:r w:rsidRPr="0053423A">
              <w:rPr>
                <w:rFonts w:cs="Times New Roman"/>
                <w:sz w:val="20"/>
                <w:szCs w:val="20"/>
                <w:lang w:val="hy-AM"/>
              </w:rPr>
              <w:t>համայնքներում</w:t>
            </w:r>
            <w:r w:rsidRPr="0053423A">
              <w:rPr>
                <w:rFonts w:cs="Times New Roman"/>
                <w:sz w:val="20"/>
                <w:szCs w:val="20"/>
                <w:lang w:val="ro-RO"/>
              </w:rPr>
              <w:t xml:space="preserve"> </w:t>
            </w:r>
            <w:r w:rsidRPr="0053423A">
              <w:rPr>
                <w:rFonts w:cs="Times New Roman"/>
                <w:sz w:val="20"/>
                <w:szCs w:val="20"/>
                <w:lang w:val="hy-AM"/>
              </w:rPr>
              <w:t>ուծացման</w:t>
            </w:r>
            <w:r w:rsidRPr="0053423A">
              <w:rPr>
                <w:rFonts w:cs="Times New Roman"/>
                <w:sz w:val="20"/>
                <w:szCs w:val="20"/>
                <w:lang w:val="ro-RO"/>
              </w:rPr>
              <w:t xml:space="preserve"> </w:t>
            </w:r>
            <w:r w:rsidRPr="0053423A">
              <w:rPr>
                <w:rFonts w:cs="Times New Roman"/>
                <w:sz w:val="20"/>
                <w:szCs w:val="20"/>
                <w:lang w:val="hy-AM"/>
              </w:rPr>
              <w:t>հիմնական</w:t>
            </w:r>
            <w:r w:rsidRPr="0053423A">
              <w:rPr>
                <w:rFonts w:cs="Times New Roman"/>
                <w:sz w:val="20"/>
                <w:szCs w:val="20"/>
                <w:lang w:val="ro-RO"/>
              </w:rPr>
              <w:t xml:space="preserve"> </w:t>
            </w:r>
            <w:r w:rsidRPr="0053423A">
              <w:rPr>
                <w:rFonts w:cs="Times New Roman"/>
                <w:sz w:val="20"/>
                <w:szCs w:val="20"/>
                <w:lang w:val="hy-AM"/>
              </w:rPr>
              <w:t>դրդապատճառները</w:t>
            </w:r>
            <w:r w:rsidRPr="0053423A">
              <w:rPr>
                <w:rFonts w:cs="Times New Roman"/>
                <w:sz w:val="20"/>
                <w:szCs w:val="20"/>
                <w:lang w:val="ro-RO"/>
              </w:rPr>
              <w:t xml:space="preserve"> </w:t>
            </w:r>
            <w:r w:rsidRPr="0053423A">
              <w:rPr>
                <w:rFonts w:cs="Times New Roman"/>
                <w:sz w:val="20"/>
                <w:szCs w:val="20"/>
                <w:lang w:val="hy-AM"/>
              </w:rPr>
              <w:t>և</w:t>
            </w:r>
            <w:r w:rsidRPr="0053423A">
              <w:rPr>
                <w:rFonts w:cs="Times New Roman"/>
                <w:sz w:val="20"/>
                <w:szCs w:val="20"/>
                <w:lang w:val="ro-RO"/>
              </w:rPr>
              <w:t xml:space="preserve"> </w:t>
            </w:r>
            <w:r w:rsidRPr="0053423A">
              <w:rPr>
                <w:rFonts w:cs="Times New Roman"/>
                <w:sz w:val="20"/>
                <w:szCs w:val="20"/>
                <w:lang w:val="hy-AM"/>
              </w:rPr>
              <w:t>ներկայացնել</w:t>
            </w:r>
            <w:r w:rsidRPr="0053423A">
              <w:rPr>
                <w:rFonts w:cs="Times New Roman"/>
                <w:sz w:val="20"/>
                <w:szCs w:val="20"/>
                <w:lang w:val="ro-RO"/>
              </w:rPr>
              <w:t xml:space="preserve"> </w:t>
            </w:r>
            <w:r w:rsidRPr="0053423A">
              <w:rPr>
                <w:rFonts w:cs="Times New Roman"/>
                <w:sz w:val="20"/>
                <w:szCs w:val="20"/>
                <w:lang w:val="hy-AM"/>
              </w:rPr>
              <w:t>համապարփակ</w:t>
            </w:r>
            <w:r w:rsidRPr="0053423A">
              <w:rPr>
                <w:rFonts w:cs="Times New Roman"/>
                <w:sz w:val="20"/>
                <w:szCs w:val="20"/>
                <w:lang w:val="ro-RO"/>
              </w:rPr>
              <w:t xml:space="preserve"> </w:t>
            </w:r>
            <w:r w:rsidRPr="0053423A">
              <w:rPr>
                <w:rFonts w:cs="Times New Roman"/>
                <w:sz w:val="20"/>
                <w:szCs w:val="20"/>
                <w:lang w:val="hy-AM"/>
              </w:rPr>
              <w:t>լուծումներ</w:t>
            </w:r>
            <w:r w:rsidRPr="0053423A">
              <w:rPr>
                <w:rFonts w:cs="Times New Roman"/>
                <w:sz w:val="20"/>
                <w:szCs w:val="20"/>
                <w:lang w:val="ro-RO"/>
              </w:rPr>
              <w:t xml:space="preserve"> իրականացնել հետազոտության </w:t>
            </w:r>
            <w:r w:rsidRPr="0053423A">
              <w:rPr>
                <w:rFonts w:cs="Times New Roman"/>
                <w:sz w:val="20"/>
                <w:szCs w:val="20"/>
                <w:lang w:val="hy-AM"/>
              </w:rPr>
              <w:t>հրատարակությունը</w:t>
            </w:r>
            <w:r w:rsidRPr="0053423A">
              <w:rPr>
                <w:rFonts w:cs="Times New Roman"/>
                <w:sz w:val="20"/>
                <w:szCs w:val="20"/>
                <w:lang w:val="ro-RO"/>
              </w:rPr>
              <w:t xml:space="preserve">: </w:t>
            </w:r>
            <w:r w:rsidRPr="0053423A">
              <w:rPr>
                <w:rFonts w:cs="Times New Roman"/>
                <w:sz w:val="20"/>
                <w:szCs w:val="20"/>
                <w:lang w:val="hy-AM"/>
              </w:rPr>
              <w:t>Կնպաստի</w:t>
            </w:r>
            <w:r w:rsidRPr="0053423A">
              <w:rPr>
                <w:rFonts w:cs="Times New Roman"/>
                <w:sz w:val="20"/>
                <w:szCs w:val="20"/>
                <w:lang w:val="ro-RO"/>
              </w:rPr>
              <w:t xml:space="preserve"> նաև </w:t>
            </w:r>
            <w:r w:rsidRPr="0053423A">
              <w:rPr>
                <w:rFonts w:cs="Times New Roman"/>
                <w:sz w:val="20"/>
                <w:szCs w:val="20"/>
                <w:lang w:val="hy-AM"/>
              </w:rPr>
              <w:t>հայկական</w:t>
            </w:r>
            <w:r w:rsidRPr="0053423A">
              <w:rPr>
                <w:rFonts w:cs="Times New Roman"/>
                <w:sz w:val="20"/>
                <w:szCs w:val="20"/>
                <w:lang w:val="ro-RO"/>
              </w:rPr>
              <w:t xml:space="preserve"> </w:t>
            </w:r>
            <w:r w:rsidRPr="0053423A">
              <w:rPr>
                <w:rFonts w:cs="Times New Roman"/>
                <w:sz w:val="20"/>
                <w:szCs w:val="20"/>
                <w:lang w:val="hy-AM"/>
              </w:rPr>
              <w:t>ինքնության</w:t>
            </w:r>
            <w:r w:rsidRPr="0053423A">
              <w:rPr>
                <w:rFonts w:cs="Times New Roman"/>
                <w:sz w:val="20"/>
                <w:szCs w:val="20"/>
                <w:lang w:val="ro-RO"/>
              </w:rPr>
              <w:t xml:space="preserve">, </w:t>
            </w:r>
            <w:r w:rsidRPr="0053423A">
              <w:rPr>
                <w:rFonts w:cs="Times New Roman"/>
                <w:sz w:val="20"/>
                <w:szCs w:val="20"/>
                <w:lang w:val="hy-AM"/>
              </w:rPr>
              <w:t>դիմագծի</w:t>
            </w:r>
            <w:r w:rsidRPr="0053423A">
              <w:rPr>
                <w:rFonts w:cs="Times New Roman"/>
                <w:sz w:val="20"/>
                <w:szCs w:val="20"/>
                <w:lang w:val="ro-RO"/>
              </w:rPr>
              <w:t xml:space="preserve"> </w:t>
            </w:r>
            <w:r w:rsidRPr="0053423A">
              <w:rPr>
                <w:rFonts w:cs="Times New Roman"/>
                <w:sz w:val="20"/>
                <w:szCs w:val="20"/>
                <w:lang w:val="hy-AM"/>
              </w:rPr>
              <w:t>պահպանմանը</w:t>
            </w:r>
            <w:r w:rsidRPr="0053423A">
              <w:rPr>
                <w:rFonts w:cs="Times New Roman"/>
                <w:sz w:val="20"/>
                <w:szCs w:val="20"/>
                <w:lang w:val="ro-RO"/>
              </w:rPr>
              <w:t xml:space="preserve">, </w:t>
            </w:r>
            <w:r w:rsidRPr="0053423A">
              <w:rPr>
                <w:rFonts w:cs="Times New Roman"/>
                <w:sz w:val="20"/>
                <w:szCs w:val="20"/>
                <w:lang w:val="hy-AM"/>
              </w:rPr>
              <w:t>կխթանի</w:t>
            </w:r>
            <w:r w:rsidRPr="0053423A">
              <w:rPr>
                <w:rFonts w:cs="Times New Roman"/>
                <w:sz w:val="20"/>
                <w:szCs w:val="20"/>
                <w:lang w:val="ro-RO"/>
              </w:rPr>
              <w:t xml:space="preserve"> </w:t>
            </w:r>
            <w:r w:rsidRPr="0053423A">
              <w:rPr>
                <w:rFonts w:cs="Times New Roman"/>
                <w:sz w:val="20"/>
                <w:szCs w:val="20"/>
                <w:lang w:val="hy-AM"/>
              </w:rPr>
              <w:t>հայկական</w:t>
            </w:r>
            <w:r w:rsidRPr="0053423A">
              <w:rPr>
                <w:rFonts w:cs="Times New Roman"/>
                <w:sz w:val="20"/>
                <w:szCs w:val="20"/>
                <w:lang w:val="ro-RO"/>
              </w:rPr>
              <w:t xml:space="preserve"> </w:t>
            </w:r>
            <w:r w:rsidRPr="0053423A">
              <w:rPr>
                <w:rFonts w:cs="Times New Roman"/>
                <w:sz w:val="20"/>
                <w:szCs w:val="20"/>
                <w:lang w:val="hy-AM"/>
              </w:rPr>
              <w:t>արմատներին</w:t>
            </w:r>
            <w:r w:rsidRPr="0053423A">
              <w:rPr>
                <w:rFonts w:cs="Times New Roman"/>
                <w:sz w:val="20"/>
                <w:szCs w:val="20"/>
                <w:lang w:val="ro-RO"/>
              </w:rPr>
              <w:t xml:space="preserve"> </w:t>
            </w:r>
            <w:r w:rsidRPr="0053423A">
              <w:rPr>
                <w:rFonts w:cs="Times New Roman"/>
                <w:sz w:val="20"/>
                <w:szCs w:val="20"/>
                <w:lang w:val="hy-AM"/>
              </w:rPr>
              <w:t>վերադարձը</w:t>
            </w:r>
            <w:r w:rsidRPr="0053423A">
              <w:rPr>
                <w:rFonts w:cs="Times New Roman"/>
                <w:sz w:val="20"/>
                <w:szCs w:val="20"/>
                <w:lang w:val="ro-RO"/>
              </w:rPr>
              <w:t xml:space="preserve">, </w:t>
            </w:r>
            <w:r w:rsidRPr="0053423A">
              <w:rPr>
                <w:rFonts w:cs="Times New Roman"/>
                <w:sz w:val="20"/>
                <w:szCs w:val="20"/>
                <w:lang w:val="hy-AM"/>
              </w:rPr>
              <w:t>պատմական</w:t>
            </w:r>
            <w:r w:rsidRPr="0053423A">
              <w:rPr>
                <w:rFonts w:cs="Times New Roman"/>
                <w:sz w:val="20"/>
                <w:szCs w:val="20"/>
                <w:lang w:val="ro-RO"/>
              </w:rPr>
              <w:t xml:space="preserve"> </w:t>
            </w:r>
            <w:r w:rsidRPr="0053423A">
              <w:rPr>
                <w:rFonts w:cs="Times New Roman"/>
                <w:sz w:val="20"/>
                <w:szCs w:val="20"/>
                <w:lang w:val="hy-AM"/>
              </w:rPr>
              <w:t>հիշողությունը</w:t>
            </w:r>
            <w:r w:rsidRPr="0053423A">
              <w:rPr>
                <w:rFonts w:cs="Times New Roman"/>
                <w:sz w:val="20"/>
                <w:szCs w:val="20"/>
                <w:lang w:val="ro-RO"/>
              </w:rPr>
              <w:t>:</w:t>
            </w:r>
            <w:r w:rsidRPr="0053423A">
              <w:rPr>
                <w:rFonts w:cs="Times New Roman"/>
                <w:sz w:val="20"/>
                <w:szCs w:val="20"/>
                <w:lang w:val="hy-AM"/>
              </w:rPr>
              <w:t xml:space="preserve"> Ինչպես նաև</w:t>
            </w:r>
            <w:r w:rsidRPr="0053423A">
              <w:rPr>
                <w:rFonts w:cs="Times New Roman"/>
                <w:sz w:val="20"/>
                <w:szCs w:val="20"/>
                <w:lang w:val="ro-RO"/>
              </w:rPr>
              <w:t xml:space="preserve"> </w:t>
            </w:r>
            <w:r w:rsidRPr="0053423A">
              <w:rPr>
                <w:rFonts w:cs="Times New Roman"/>
                <w:sz w:val="20"/>
                <w:szCs w:val="20"/>
                <w:lang w:val="hy-AM"/>
              </w:rPr>
              <w:t>կնպաստի</w:t>
            </w:r>
            <w:r w:rsidRPr="0053423A">
              <w:rPr>
                <w:rFonts w:cs="Times New Roman"/>
                <w:sz w:val="20"/>
                <w:szCs w:val="20"/>
                <w:lang w:val="ro-RO"/>
              </w:rPr>
              <w:t xml:space="preserve"> </w:t>
            </w:r>
            <w:r w:rsidRPr="0053423A">
              <w:rPr>
                <w:rFonts w:cs="Times New Roman"/>
                <w:sz w:val="20"/>
                <w:szCs w:val="20"/>
                <w:lang w:val="hy-AM"/>
              </w:rPr>
              <w:t>Լատինական</w:t>
            </w:r>
            <w:r w:rsidRPr="0053423A">
              <w:rPr>
                <w:rFonts w:cs="Times New Roman"/>
                <w:sz w:val="20"/>
                <w:szCs w:val="20"/>
                <w:lang w:val="it-IT"/>
              </w:rPr>
              <w:t xml:space="preserve"> </w:t>
            </w:r>
            <w:r w:rsidRPr="0053423A">
              <w:rPr>
                <w:rFonts w:cs="Times New Roman"/>
                <w:sz w:val="20"/>
                <w:szCs w:val="20"/>
                <w:lang w:val="hy-AM"/>
              </w:rPr>
              <w:t>Ամերիկայում</w:t>
            </w:r>
            <w:r w:rsidRPr="0053423A">
              <w:rPr>
                <w:rFonts w:cs="Times New Roman"/>
                <w:sz w:val="20"/>
                <w:szCs w:val="20"/>
                <w:lang w:val="it-IT"/>
              </w:rPr>
              <w:t xml:space="preserve"> (Բրազիլիա, Արգենտինա, Ուրուգվայ) </w:t>
            </w:r>
            <w:r w:rsidRPr="0053423A">
              <w:rPr>
                <w:rFonts w:cs="Times New Roman"/>
                <w:sz w:val="20"/>
                <w:szCs w:val="20"/>
                <w:lang w:val="ro-RO"/>
              </w:rPr>
              <w:t xml:space="preserve">առնվազն 6 </w:t>
            </w:r>
            <w:r w:rsidRPr="0053423A">
              <w:rPr>
                <w:rFonts w:cs="Times New Roman"/>
                <w:sz w:val="20"/>
                <w:szCs w:val="20"/>
                <w:lang w:val="hy-AM"/>
              </w:rPr>
              <w:t>հայահոծ</w:t>
            </w:r>
            <w:r w:rsidRPr="0053423A">
              <w:rPr>
                <w:rFonts w:cs="Times New Roman"/>
                <w:sz w:val="20"/>
                <w:szCs w:val="20"/>
                <w:lang w:val="ro-RO"/>
              </w:rPr>
              <w:t xml:space="preserve"> </w:t>
            </w:r>
            <w:r w:rsidRPr="0053423A">
              <w:rPr>
                <w:rFonts w:cs="Times New Roman"/>
                <w:sz w:val="20"/>
                <w:szCs w:val="20"/>
                <w:lang w:val="hy-AM"/>
              </w:rPr>
              <w:t>համայնքներում</w:t>
            </w:r>
            <w:r w:rsidRPr="0053423A">
              <w:rPr>
                <w:rFonts w:cs="Times New Roman"/>
                <w:sz w:val="20"/>
                <w:szCs w:val="20"/>
                <w:lang w:val="it-IT"/>
              </w:rPr>
              <w:t xml:space="preserve"> </w:t>
            </w:r>
            <w:r w:rsidRPr="0053423A">
              <w:rPr>
                <w:rFonts w:cs="Times New Roman"/>
                <w:sz w:val="20"/>
                <w:szCs w:val="20"/>
                <w:lang w:val="hy-AM"/>
              </w:rPr>
              <w:t>վերհանել</w:t>
            </w:r>
            <w:r w:rsidRPr="0053423A">
              <w:rPr>
                <w:rFonts w:cs="Times New Roman"/>
                <w:sz w:val="20"/>
                <w:szCs w:val="20"/>
                <w:lang w:val="ro-RO"/>
              </w:rPr>
              <w:t xml:space="preserve"> </w:t>
            </w:r>
            <w:r w:rsidRPr="0053423A">
              <w:rPr>
                <w:rFonts w:cs="Sylfaen"/>
                <w:sz w:val="20"/>
                <w:szCs w:val="20"/>
                <w:lang w:val="hy-AM"/>
              </w:rPr>
              <w:t>հիմնական խնդիրները՝ հայոց լեզվի, հայկական մշակույթի, պատմական հիշողության աստիճանական մարումը հայերի շրջանում</w:t>
            </w:r>
            <w:r w:rsidRPr="0053423A">
              <w:rPr>
                <w:rFonts w:cs="Sylfaen"/>
                <w:sz w:val="20"/>
                <w:szCs w:val="20"/>
                <w:lang w:val="it-IT"/>
              </w:rPr>
              <w:t xml:space="preserve">, </w:t>
            </w:r>
            <w:r w:rsidRPr="0053423A">
              <w:rPr>
                <w:rFonts w:cs="Sylfaen"/>
                <w:sz w:val="20"/>
                <w:szCs w:val="20"/>
                <w:lang w:val="hy-AM"/>
              </w:rPr>
              <w:t>ինչպես</w:t>
            </w:r>
            <w:r w:rsidRPr="0053423A">
              <w:rPr>
                <w:rFonts w:cs="Sylfaen"/>
                <w:sz w:val="20"/>
                <w:szCs w:val="20"/>
                <w:lang w:val="it-IT"/>
              </w:rPr>
              <w:t xml:space="preserve"> </w:t>
            </w:r>
            <w:r w:rsidRPr="0053423A">
              <w:rPr>
                <w:rFonts w:cs="Sylfaen"/>
                <w:sz w:val="20"/>
                <w:szCs w:val="20"/>
                <w:lang w:val="hy-AM"/>
              </w:rPr>
              <w:t>նաև խառնամուսնությունները</w:t>
            </w:r>
            <w:r w:rsidRPr="0053423A">
              <w:rPr>
                <w:rFonts w:cs="Sylfaen"/>
                <w:sz w:val="20"/>
                <w:szCs w:val="20"/>
                <w:lang w:val="it-IT"/>
              </w:rPr>
              <w:t xml:space="preserve">, </w:t>
            </w:r>
            <w:r w:rsidRPr="0053423A">
              <w:rPr>
                <w:rFonts w:cs="Sylfaen"/>
                <w:sz w:val="20"/>
                <w:szCs w:val="20"/>
                <w:lang w:val="hy-AM"/>
              </w:rPr>
              <w:t>որի</w:t>
            </w:r>
            <w:r w:rsidRPr="0053423A">
              <w:rPr>
                <w:rFonts w:cs="Sylfaen"/>
                <w:sz w:val="20"/>
                <w:szCs w:val="20"/>
                <w:lang w:val="it-IT"/>
              </w:rPr>
              <w:t xml:space="preserve"> </w:t>
            </w:r>
            <w:r w:rsidRPr="0053423A">
              <w:rPr>
                <w:rFonts w:cs="Sylfaen"/>
                <w:sz w:val="20"/>
                <w:szCs w:val="20"/>
                <w:lang w:val="hy-AM"/>
              </w:rPr>
              <w:t>դեպքում նոր սերունդն ավելի անմիջականորեն է ենթարկվում օտար միջավայրի սոցիալմշակութային ազդեցությանը։</w:t>
            </w:r>
            <w:r w:rsidRPr="0053423A">
              <w:rPr>
                <w:rFonts w:cs="Sylfaen"/>
                <w:sz w:val="20"/>
                <w:szCs w:val="20"/>
                <w:lang w:val="it-IT"/>
              </w:rPr>
              <w:t xml:space="preserve"> Կ</w:t>
            </w:r>
            <w:r w:rsidRPr="0053423A">
              <w:rPr>
                <w:rFonts w:cs="Times New Roman"/>
                <w:sz w:val="20"/>
                <w:szCs w:val="20"/>
              </w:rPr>
              <w:t>նպաստի</w:t>
            </w:r>
            <w:r w:rsidRPr="0053423A">
              <w:rPr>
                <w:rFonts w:cs="Times New Roman"/>
                <w:sz w:val="20"/>
                <w:szCs w:val="20"/>
                <w:lang w:val="ro-RO"/>
              </w:rPr>
              <w:t xml:space="preserve"> </w:t>
            </w:r>
            <w:r w:rsidRPr="0053423A">
              <w:rPr>
                <w:rFonts w:cs="Times New Roman"/>
                <w:sz w:val="20"/>
                <w:szCs w:val="20"/>
              </w:rPr>
              <w:t>վերհանել</w:t>
            </w:r>
            <w:r w:rsidRPr="0053423A">
              <w:rPr>
                <w:rFonts w:cs="Times New Roman"/>
                <w:sz w:val="20"/>
                <w:szCs w:val="20"/>
                <w:lang w:val="ro-RO"/>
              </w:rPr>
              <w:t xml:space="preserve"> </w:t>
            </w:r>
            <w:r w:rsidRPr="0053423A">
              <w:rPr>
                <w:rFonts w:cs="Times New Roman"/>
                <w:sz w:val="20"/>
                <w:szCs w:val="20"/>
                <w:lang w:val="hy-AM"/>
              </w:rPr>
              <w:t>Հյուսիսային</w:t>
            </w:r>
            <w:r w:rsidRPr="0053423A">
              <w:rPr>
                <w:rFonts w:cs="Times New Roman"/>
                <w:sz w:val="20"/>
                <w:szCs w:val="20"/>
                <w:lang w:val="it-IT"/>
              </w:rPr>
              <w:t xml:space="preserve"> </w:t>
            </w:r>
            <w:r w:rsidRPr="0053423A">
              <w:rPr>
                <w:rFonts w:cs="Times New Roman"/>
                <w:sz w:val="20"/>
                <w:szCs w:val="20"/>
                <w:lang w:val="hy-AM"/>
              </w:rPr>
              <w:t>Ամերիկայի</w:t>
            </w:r>
            <w:r w:rsidRPr="0053423A">
              <w:rPr>
                <w:rFonts w:cs="Times New Roman"/>
                <w:sz w:val="20"/>
                <w:szCs w:val="20"/>
                <w:lang w:val="ro-RO"/>
              </w:rPr>
              <w:t xml:space="preserve"> առնվազն 7 </w:t>
            </w:r>
            <w:r w:rsidRPr="0053423A">
              <w:rPr>
                <w:rFonts w:cs="Times New Roman"/>
                <w:sz w:val="20"/>
                <w:szCs w:val="20"/>
                <w:lang w:val="hy-AM"/>
              </w:rPr>
              <w:t>հայա</w:t>
            </w:r>
            <w:r w:rsidRPr="0053423A">
              <w:rPr>
                <w:rFonts w:cs="Times New Roman"/>
                <w:sz w:val="20"/>
                <w:szCs w:val="20"/>
              </w:rPr>
              <w:t>հոծ</w:t>
            </w:r>
            <w:r w:rsidRPr="0053423A">
              <w:rPr>
                <w:rFonts w:cs="Times New Roman"/>
                <w:sz w:val="20"/>
                <w:szCs w:val="20"/>
                <w:lang w:val="ro-RO"/>
              </w:rPr>
              <w:t xml:space="preserve"> </w:t>
            </w:r>
            <w:r w:rsidRPr="0053423A">
              <w:rPr>
                <w:rFonts w:cs="Times New Roman"/>
                <w:sz w:val="20"/>
                <w:szCs w:val="20"/>
                <w:lang w:val="hy-AM"/>
              </w:rPr>
              <w:t>համայնքներում</w:t>
            </w:r>
            <w:r w:rsidRPr="0053423A">
              <w:rPr>
                <w:rFonts w:cs="Times New Roman"/>
                <w:sz w:val="20"/>
                <w:szCs w:val="20"/>
                <w:lang w:val="ro-RO"/>
              </w:rPr>
              <w:t xml:space="preserve"> </w:t>
            </w:r>
            <w:r w:rsidRPr="0053423A">
              <w:rPr>
                <w:rFonts w:cs="Times New Roman"/>
                <w:sz w:val="20"/>
                <w:szCs w:val="20"/>
              </w:rPr>
              <w:t>ուծացման</w:t>
            </w:r>
            <w:r w:rsidRPr="0053423A">
              <w:rPr>
                <w:rFonts w:cs="Times New Roman"/>
                <w:sz w:val="20"/>
                <w:szCs w:val="20"/>
                <w:lang w:val="ro-RO"/>
              </w:rPr>
              <w:t xml:space="preserve"> </w:t>
            </w:r>
            <w:r w:rsidRPr="0053423A">
              <w:rPr>
                <w:rFonts w:cs="Times New Roman"/>
                <w:sz w:val="20"/>
                <w:szCs w:val="20"/>
              </w:rPr>
              <w:t>հիմնական</w:t>
            </w:r>
            <w:r w:rsidRPr="0053423A">
              <w:rPr>
                <w:rFonts w:cs="Times New Roman"/>
                <w:sz w:val="20"/>
                <w:szCs w:val="20"/>
                <w:lang w:val="ro-RO"/>
              </w:rPr>
              <w:t xml:space="preserve"> </w:t>
            </w:r>
            <w:r w:rsidRPr="0053423A">
              <w:rPr>
                <w:rFonts w:cs="Times New Roman"/>
                <w:sz w:val="20"/>
                <w:szCs w:val="20"/>
              </w:rPr>
              <w:t>դրդապատճառները</w:t>
            </w:r>
            <w:r w:rsidRPr="0053423A">
              <w:rPr>
                <w:rFonts w:cs="Times New Roman"/>
                <w:sz w:val="20"/>
                <w:szCs w:val="20"/>
                <w:lang w:val="ro-RO"/>
              </w:rPr>
              <w:t xml:space="preserve"> </w:t>
            </w:r>
            <w:r w:rsidRPr="0053423A">
              <w:rPr>
                <w:rFonts w:cs="Times New Roman"/>
                <w:sz w:val="20"/>
                <w:szCs w:val="20"/>
              </w:rPr>
              <w:t>և</w:t>
            </w:r>
            <w:r w:rsidRPr="0053423A">
              <w:rPr>
                <w:rFonts w:cs="Times New Roman"/>
                <w:sz w:val="20"/>
                <w:szCs w:val="20"/>
                <w:lang w:val="ro-RO"/>
              </w:rPr>
              <w:t xml:space="preserve"> </w:t>
            </w:r>
            <w:r w:rsidRPr="0053423A">
              <w:rPr>
                <w:rFonts w:cs="Times New Roman"/>
                <w:sz w:val="20"/>
                <w:szCs w:val="20"/>
              </w:rPr>
              <w:t>ներկայացնել</w:t>
            </w:r>
            <w:r w:rsidRPr="0053423A">
              <w:rPr>
                <w:rFonts w:cs="Times New Roman"/>
                <w:sz w:val="20"/>
                <w:szCs w:val="20"/>
                <w:lang w:val="ro-RO"/>
              </w:rPr>
              <w:t xml:space="preserve"> </w:t>
            </w:r>
            <w:r w:rsidRPr="0053423A">
              <w:rPr>
                <w:rFonts w:cs="Times New Roman"/>
                <w:sz w:val="20"/>
                <w:szCs w:val="20"/>
              </w:rPr>
              <w:t>համապարփակ</w:t>
            </w:r>
            <w:r w:rsidRPr="0053423A">
              <w:rPr>
                <w:rFonts w:cs="Times New Roman"/>
                <w:sz w:val="20"/>
                <w:szCs w:val="20"/>
                <w:lang w:val="ro-RO"/>
              </w:rPr>
              <w:t xml:space="preserve"> </w:t>
            </w:r>
            <w:r w:rsidRPr="0053423A">
              <w:rPr>
                <w:rFonts w:cs="Times New Roman"/>
                <w:sz w:val="20"/>
                <w:szCs w:val="20"/>
              </w:rPr>
              <w:t>լուծումներ</w:t>
            </w:r>
            <w:r w:rsidRPr="0053423A">
              <w:rPr>
                <w:rFonts w:cs="Times New Roman"/>
                <w:sz w:val="20"/>
                <w:szCs w:val="20"/>
                <w:lang w:val="ro-RO"/>
              </w:rPr>
              <w:t xml:space="preserve"> </w:t>
            </w:r>
            <w:r w:rsidRPr="0053423A">
              <w:rPr>
                <w:rFonts w:cs="Times New Roman"/>
                <w:sz w:val="20"/>
                <w:szCs w:val="20"/>
              </w:rPr>
              <w:t>հրատարակության</w:t>
            </w:r>
            <w:r w:rsidRPr="0053423A">
              <w:rPr>
                <w:rFonts w:cs="Times New Roman"/>
                <w:sz w:val="20"/>
                <w:szCs w:val="20"/>
                <w:lang w:val="ro-RO"/>
              </w:rPr>
              <w:t xml:space="preserve"> </w:t>
            </w:r>
            <w:r w:rsidRPr="0053423A">
              <w:rPr>
                <w:rFonts w:cs="Times New Roman"/>
                <w:sz w:val="20"/>
                <w:szCs w:val="20"/>
              </w:rPr>
              <w:t>տեսքով</w:t>
            </w:r>
            <w:r w:rsidRPr="0053423A">
              <w:rPr>
                <w:rFonts w:cs="Times New Roman"/>
                <w:sz w:val="20"/>
                <w:szCs w:val="20"/>
                <w:lang w:val="ro-RO"/>
              </w:rPr>
              <w:t xml:space="preserve">: </w:t>
            </w:r>
            <w:r w:rsidRPr="0053423A">
              <w:rPr>
                <w:rFonts w:cs="Times New Roman"/>
                <w:sz w:val="20"/>
                <w:szCs w:val="20"/>
              </w:rPr>
              <w:t>Ծրագրի</w:t>
            </w:r>
            <w:r w:rsidRPr="0053423A">
              <w:rPr>
                <w:rFonts w:cs="Times New Roman"/>
                <w:sz w:val="20"/>
                <w:szCs w:val="20"/>
                <w:lang w:val="it-IT"/>
              </w:rPr>
              <w:t xml:space="preserve"> </w:t>
            </w:r>
            <w:r w:rsidRPr="0053423A">
              <w:rPr>
                <w:rFonts w:cs="Times New Roman"/>
                <w:sz w:val="20"/>
                <w:szCs w:val="20"/>
              </w:rPr>
              <w:t>իրականացումը</w:t>
            </w:r>
            <w:r w:rsidRPr="0053423A">
              <w:rPr>
                <w:rFonts w:cs="Times New Roman"/>
                <w:sz w:val="20"/>
                <w:szCs w:val="20"/>
                <w:lang w:val="it-IT"/>
              </w:rPr>
              <w:t xml:space="preserve"> </w:t>
            </w:r>
            <w:r w:rsidRPr="0053423A">
              <w:rPr>
                <w:rFonts w:cs="Times New Roman"/>
                <w:sz w:val="20"/>
                <w:szCs w:val="20"/>
              </w:rPr>
              <w:t>կնպաստի</w:t>
            </w:r>
            <w:r w:rsidRPr="0053423A">
              <w:rPr>
                <w:rFonts w:cs="Times New Roman"/>
                <w:sz w:val="20"/>
                <w:szCs w:val="20"/>
                <w:lang w:val="it-IT"/>
              </w:rPr>
              <w:t xml:space="preserve"> </w:t>
            </w:r>
            <w:r w:rsidRPr="0053423A">
              <w:rPr>
                <w:rFonts w:cs="Times New Roman"/>
                <w:sz w:val="20"/>
                <w:szCs w:val="20"/>
              </w:rPr>
              <w:t>վերհանել</w:t>
            </w:r>
            <w:r w:rsidRPr="0053423A">
              <w:rPr>
                <w:rFonts w:cs="Times New Roman"/>
                <w:sz w:val="20"/>
                <w:szCs w:val="20"/>
                <w:lang w:val="it-IT"/>
              </w:rPr>
              <w:t xml:space="preserve"> </w:t>
            </w:r>
            <w:r w:rsidRPr="0053423A">
              <w:rPr>
                <w:rFonts w:cs="Times New Roman"/>
                <w:sz w:val="20"/>
                <w:szCs w:val="20"/>
              </w:rPr>
              <w:t>Արևելյան</w:t>
            </w:r>
            <w:r w:rsidRPr="0053423A">
              <w:rPr>
                <w:rFonts w:cs="Times New Roman"/>
                <w:sz w:val="20"/>
                <w:szCs w:val="20"/>
                <w:lang w:val="it-IT"/>
              </w:rPr>
              <w:t xml:space="preserve"> </w:t>
            </w:r>
            <w:r w:rsidRPr="0053423A">
              <w:rPr>
                <w:rFonts w:cs="Times New Roman"/>
                <w:sz w:val="20"/>
                <w:szCs w:val="20"/>
              </w:rPr>
              <w:t>Եվրոպայի</w:t>
            </w:r>
            <w:r w:rsidRPr="0053423A">
              <w:rPr>
                <w:rFonts w:cs="Times New Roman"/>
                <w:sz w:val="20"/>
                <w:szCs w:val="20"/>
                <w:lang w:val="it-IT"/>
              </w:rPr>
              <w:t xml:space="preserve">  </w:t>
            </w:r>
            <w:r w:rsidRPr="0053423A">
              <w:rPr>
                <w:rFonts w:cs="Times New Roman"/>
                <w:sz w:val="20"/>
                <w:szCs w:val="20"/>
                <w:lang w:val="ro-RO"/>
              </w:rPr>
              <w:t xml:space="preserve">առնվազն 5 </w:t>
            </w:r>
            <w:r w:rsidRPr="0053423A">
              <w:rPr>
                <w:rFonts w:cs="Times New Roman"/>
                <w:sz w:val="20"/>
                <w:szCs w:val="20"/>
                <w:lang w:val="hy-AM"/>
              </w:rPr>
              <w:t>հայա</w:t>
            </w:r>
            <w:r w:rsidRPr="0053423A">
              <w:rPr>
                <w:rFonts w:cs="Times New Roman"/>
                <w:sz w:val="20"/>
                <w:szCs w:val="20"/>
              </w:rPr>
              <w:t>հոծ</w:t>
            </w:r>
            <w:r w:rsidRPr="0053423A">
              <w:rPr>
                <w:rFonts w:cs="Times New Roman"/>
                <w:sz w:val="20"/>
                <w:szCs w:val="20"/>
                <w:lang w:val="ro-RO"/>
              </w:rPr>
              <w:t xml:space="preserve"> </w:t>
            </w:r>
            <w:r w:rsidRPr="0053423A">
              <w:rPr>
                <w:rFonts w:cs="Times New Roman"/>
                <w:sz w:val="20"/>
                <w:szCs w:val="20"/>
                <w:lang w:val="hy-AM"/>
              </w:rPr>
              <w:t>համայնքներում</w:t>
            </w:r>
            <w:r w:rsidRPr="0053423A">
              <w:rPr>
                <w:rFonts w:cs="Times New Roman"/>
                <w:sz w:val="20"/>
                <w:szCs w:val="20"/>
                <w:lang w:val="it-IT"/>
              </w:rPr>
              <w:t xml:space="preserve"> </w:t>
            </w:r>
            <w:r w:rsidRPr="0053423A">
              <w:rPr>
                <w:rFonts w:cs="Times New Roman"/>
                <w:sz w:val="20"/>
                <w:szCs w:val="20"/>
              </w:rPr>
              <w:t>ուծացման</w:t>
            </w:r>
            <w:r w:rsidRPr="0053423A">
              <w:rPr>
                <w:rFonts w:cs="Times New Roman"/>
                <w:sz w:val="20"/>
                <w:szCs w:val="20"/>
                <w:lang w:val="it-IT"/>
              </w:rPr>
              <w:t xml:space="preserve"> </w:t>
            </w:r>
            <w:r w:rsidRPr="0053423A">
              <w:rPr>
                <w:rFonts w:cs="Times New Roman"/>
                <w:sz w:val="20"/>
                <w:szCs w:val="20"/>
              </w:rPr>
              <w:t>հիմնական</w:t>
            </w:r>
            <w:r w:rsidRPr="0053423A">
              <w:rPr>
                <w:rFonts w:cs="Times New Roman"/>
                <w:sz w:val="20"/>
                <w:szCs w:val="20"/>
                <w:lang w:val="it-IT"/>
              </w:rPr>
              <w:t xml:space="preserve"> </w:t>
            </w:r>
            <w:r w:rsidRPr="0053423A">
              <w:rPr>
                <w:rFonts w:cs="Times New Roman"/>
                <w:sz w:val="20"/>
                <w:szCs w:val="20"/>
              </w:rPr>
              <w:t>դրդապատճառները</w:t>
            </w:r>
            <w:r w:rsidRPr="0053423A">
              <w:rPr>
                <w:rFonts w:cs="Times New Roman"/>
                <w:sz w:val="20"/>
                <w:szCs w:val="20"/>
                <w:lang w:val="it-IT"/>
              </w:rPr>
              <w:t xml:space="preserve"> </w:t>
            </w:r>
            <w:r w:rsidRPr="0053423A">
              <w:rPr>
                <w:rFonts w:cs="Times New Roman"/>
                <w:sz w:val="20"/>
                <w:szCs w:val="20"/>
              </w:rPr>
              <w:t>և</w:t>
            </w:r>
            <w:r w:rsidRPr="0053423A">
              <w:rPr>
                <w:rFonts w:cs="Times New Roman"/>
                <w:sz w:val="20"/>
                <w:szCs w:val="20"/>
                <w:lang w:val="it-IT"/>
              </w:rPr>
              <w:t xml:space="preserve"> </w:t>
            </w:r>
            <w:r w:rsidRPr="0053423A">
              <w:rPr>
                <w:rFonts w:cs="Times New Roman"/>
                <w:sz w:val="20"/>
                <w:szCs w:val="20"/>
              </w:rPr>
              <w:t>ներկայացնել</w:t>
            </w:r>
            <w:r w:rsidRPr="0053423A">
              <w:rPr>
                <w:rFonts w:cs="Times New Roman"/>
                <w:sz w:val="20"/>
                <w:szCs w:val="20"/>
                <w:lang w:val="it-IT"/>
              </w:rPr>
              <w:t xml:space="preserve"> </w:t>
            </w:r>
            <w:r w:rsidRPr="0053423A">
              <w:rPr>
                <w:rFonts w:cs="Times New Roman"/>
                <w:sz w:val="20"/>
                <w:szCs w:val="20"/>
              </w:rPr>
              <w:t>համապարփակ</w:t>
            </w:r>
            <w:r w:rsidRPr="0053423A">
              <w:rPr>
                <w:rFonts w:cs="Times New Roman"/>
                <w:sz w:val="20"/>
                <w:szCs w:val="20"/>
                <w:lang w:val="it-IT"/>
              </w:rPr>
              <w:t xml:space="preserve"> </w:t>
            </w:r>
            <w:r w:rsidRPr="0053423A">
              <w:rPr>
                <w:rFonts w:cs="Times New Roman"/>
                <w:sz w:val="20"/>
                <w:szCs w:val="20"/>
              </w:rPr>
              <w:t>լուծումներ</w:t>
            </w:r>
            <w:r w:rsidRPr="0053423A">
              <w:rPr>
                <w:rFonts w:cs="Times New Roman"/>
                <w:sz w:val="20"/>
                <w:szCs w:val="20"/>
                <w:lang w:val="it-IT"/>
              </w:rPr>
              <w:t xml:space="preserve"> </w:t>
            </w:r>
            <w:r w:rsidRPr="0053423A">
              <w:rPr>
                <w:rFonts w:cs="Times New Roman"/>
                <w:sz w:val="20"/>
                <w:szCs w:val="20"/>
              </w:rPr>
              <w:t>հրատարակության</w:t>
            </w:r>
            <w:r w:rsidRPr="0053423A">
              <w:rPr>
                <w:rFonts w:cs="Times New Roman"/>
                <w:sz w:val="20"/>
                <w:szCs w:val="20"/>
                <w:lang w:val="it-IT"/>
              </w:rPr>
              <w:t xml:space="preserve"> </w:t>
            </w:r>
            <w:r w:rsidRPr="0053423A">
              <w:rPr>
                <w:rFonts w:cs="Times New Roman"/>
                <w:sz w:val="20"/>
                <w:szCs w:val="20"/>
              </w:rPr>
              <w:t>տեսքով</w:t>
            </w:r>
            <w:r w:rsidRPr="0053423A">
              <w:rPr>
                <w:rFonts w:cs="Times New Roman"/>
                <w:sz w:val="20"/>
                <w:szCs w:val="20"/>
                <w:lang w:val="it-IT"/>
              </w:rPr>
              <w:t xml:space="preserve">: </w:t>
            </w:r>
          </w:p>
        </w:tc>
      </w:tr>
      <w:tr w:rsidR="002B2CAB" w:rsidRPr="00DE2EFA" w:rsidTr="002B2CAB">
        <w:tc>
          <w:tcPr>
            <w:tcW w:w="540" w:type="dxa"/>
            <w:vMerge w:val="restart"/>
          </w:tcPr>
          <w:p w:rsidR="002B2CAB" w:rsidRPr="0053423A" w:rsidRDefault="002B2CAB" w:rsidP="00A67858">
            <w:pPr>
              <w:spacing w:line="276" w:lineRule="auto"/>
              <w:jc w:val="center"/>
              <w:rPr>
                <w:rFonts w:cs="Times New Roman"/>
                <w:b/>
                <w:sz w:val="20"/>
                <w:szCs w:val="20"/>
                <w:lang w:val="hy-AM"/>
              </w:rPr>
            </w:pPr>
            <w:r w:rsidRPr="0053423A">
              <w:rPr>
                <w:rFonts w:cs="Times New Roman"/>
                <w:b/>
                <w:sz w:val="20"/>
                <w:szCs w:val="20"/>
                <w:lang w:val="hy-AM"/>
              </w:rPr>
              <w:t>4</w:t>
            </w: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cs="Times New Roman"/>
                <w:b/>
                <w:sz w:val="20"/>
                <w:szCs w:val="20"/>
                <w:u w:val="single"/>
                <w:lang w:val="ro-RO"/>
              </w:rPr>
              <w:t>4.</w:t>
            </w:r>
            <w:r w:rsidRPr="0053423A">
              <w:rPr>
                <w:rFonts w:cs="Times New Roman"/>
                <w:b/>
                <w:sz w:val="20"/>
                <w:szCs w:val="20"/>
                <w:u w:val="single"/>
                <w:lang w:val="hy-AM"/>
              </w:rPr>
              <w:t>1</w:t>
            </w:r>
            <w:r w:rsidRPr="0053423A">
              <w:rPr>
                <w:rFonts w:cs="Times New Roman"/>
                <w:b/>
                <w:sz w:val="20"/>
                <w:szCs w:val="20"/>
                <w:u w:val="single"/>
                <w:lang w:val="ro-RO"/>
              </w:rPr>
              <w:t xml:space="preserve"> Սփյուռքի մարդկային ներուժի հաշվառում, համախմբում, արդյունքում գիտական, ֆինանսական տնտեսական մասնագիտական ցանցերի ստեղծում և  դրանց շարունակական համալրում</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r w:rsidRPr="0053423A">
              <w:rPr>
                <w:rFonts w:cs="Times New Roman"/>
                <w:sz w:val="20"/>
                <w:szCs w:val="20"/>
                <w:lang w:val="hy-AM"/>
              </w:rPr>
              <w:t xml:space="preserve"> </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sz w:val="20"/>
                <w:szCs w:val="20"/>
                <w:lang w:val="hy-AM"/>
              </w:rPr>
              <w:t xml:space="preserve">Անհրաժեշտությունը բխում է Սահմանադրության 19-րդ հոդվածի 1-ին մասի պահանջներից (ոլորտային նորմատիվ իրավական ակտեր չկան): Նպատակն է </w:t>
            </w:r>
            <w:r w:rsidRPr="0053423A">
              <w:rPr>
                <w:rFonts w:cs="Times New Roman"/>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b/>
                <w:sz w:val="20"/>
                <w:szCs w:val="20"/>
                <w:lang w:val="ro-RO"/>
              </w:rPr>
              <w:t xml:space="preserve"> </w:t>
            </w:r>
          </w:p>
          <w:p w:rsidR="002B2CAB" w:rsidRPr="0053423A" w:rsidRDefault="002B2CAB" w:rsidP="00A67858">
            <w:pPr>
              <w:spacing w:line="276" w:lineRule="auto"/>
              <w:rPr>
                <w:rFonts w:cs="Times New Roman"/>
                <w:b/>
                <w:sz w:val="20"/>
                <w:szCs w:val="20"/>
                <w:lang w:val="ro-RO"/>
              </w:rPr>
            </w:pPr>
            <w:r w:rsidRPr="0053423A">
              <w:rPr>
                <w:rFonts w:cs="Times New Roman"/>
                <w:b/>
                <w:sz w:val="20"/>
                <w:szCs w:val="20"/>
                <w:lang w:val="ro-RO"/>
              </w:rPr>
              <w:t>1.1 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Times New Roman"/>
                <w:sz w:val="20"/>
                <w:szCs w:val="20"/>
                <w:lang w:val="ro-RO"/>
              </w:rPr>
            </w:pPr>
            <w:r w:rsidRPr="0053423A">
              <w:rPr>
                <w:rFonts w:cs="Times New Roman"/>
                <w:sz w:val="20"/>
                <w:szCs w:val="20"/>
                <w:lang w:val="ro-RO"/>
              </w:rPr>
              <w:t xml:space="preserve">Սփյուռքում ներկա իրավիճակը պահանջում է իրականացնել համակարգված գիտական, ֆինանսական տնտեսական և մարդկային ներուժի հաշվառում, իրականացնել  քայլեր՝ ներուժի համախմբման, մասնագիտական ցանցերի ստեղծման և շարունակական համալրման համար: </w:t>
            </w:r>
          </w:p>
          <w:p w:rsidR="002B2CAB" w:rsidRPr="0053423A" w:rsidRDefault="002B2CAB" w:rsidP="00A67858">
            <w:pPr>
              <w:spacing w:line="276" w:lineRule="auto"/>
              <w:jc w:val="both"/>
              <w:rPr>
                <w:rFonts w:cs="Times New Roman"/>
                <w:b/>
                <w:sz w:val="20"/>
                <w:szCs w:val="20"/>
                <w:lang w:val="ro-RO"/>
              </w:rPr>
            </w:pPr>
            <w:r w:rsidRPr="0053423A">
              <w:rPr>
                <w:rFonts w:cs="Sylfaen"/>
                <w:b/>
                <w:sz w:val="20"/>
                <w:szCs w:val="20"/>
                <w:lang w:val="af-ZA"/>
              </w:rPr>
              <w:t>1.2.</w:t>
            </w:r>
            <w:r w:rsidRPr="0053423A">
              <w:rPr>
                <w:rFonts w:cs="Sylfaen"/>
                <w:b/>
                <w:sz w:val="20"/>
                <w:szCs w:val="20"/>
                <w:lang w:val="hy-AM"/>
              </w:rPr>
              <w:t>Առկա</w:t>
            </w:r>
            <w:r w:rsidRPr="0053423A">
              <w:rPr>
                <w:rFonts w:cs="Times New Roman"/>
                <w:b/>
                <w:sz w:val="20"/>
                <w:szCs w:val="20"/>
                <w:lang w:val="hy-AM"/>
              </w:rPr>
              <w:t xml:space="preserve"> խնդիրների առաջարկվող լուծումները</w:t>
            </w:r>
          </w:p>
          <w:p w:rsidR="002B2CAB" w:rsidRPr="0053423A" w:rsidRDefault="002B2CAB" w:rsidP="00A67858">
            <w:pPr>
              <w:spacing w:line="276" w:lineRule="auto"/>
              <w:jc w:val="both"/>
              <w:rPr>
                <w:rFonts w:cs="Times New Roman"/>
                <w:sz w:val="20"/>
                <w:szCs w:val="20"/>
                <w:lang w:val="ro-RO"/>
              </w:rPr>
            </w:pPr>
            <w:r w:rsidRPr="0053423A">
              <w:rPr>
                <w:rFonts w:cs="Times New Roman"/>
                <w:sz w:val="20"/>
                <w:szCs w:val="20"/>
                <w:lang w:val="ro-RO"/>
              </w:rPr>
              <w:t>Այդ նպատակով անհրաժեշտ է քարտեզագրման նոր մոտեցումներ և աշխատանքների ակտիվացում:</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jc w:val="both"/>
              <w:rPr>
                <w:rFonts w:cs="Times New Roman"/>
                <w:sz w:val="20"/>
                <w:szCs w:val="20"/>
                <w:lang w:val="ro-RO"/>
              </w:rPr>
            </w:pPr>
            <w:r w:rsidRPr="0053423A">
              <w:rPr>
                <w:rFonts w:cs="Times New Roman"/>
                <w:sz w:val="20"/>
                <w:szCs w:val="20"/>
                <w:lang w:val="hy-AM"/>
              </w:rPr>
              <w:t>Կարգավորման</w:t>
            </w:r>
            <w:r w:rsidRPr="0053423A">
              <w:rPr>
                <w:rFonts w:cs="Times New Roman"/>
                <w:sz w:val="20"/>
                <w:szCs w:val="20"/>
                <w:lang w:val="ro-RO"/>
              </w:rPr>
              <w:t xml:space="preserve"> </w:t>
            </w:r>
            <w:r w:rsidRPr="0053423A">
              <w:rPr>
                <w:rFonts w:cs="Times New Roman"/>
                <w:sz w:val="20"/>
                <w:szCs w:val="20"/>
                <w:lang w:val="hy-AM"/>
              </w:rPr>
              <w:t>առարկա</w:t>
            </w:r>
            <w:r w:rsidRPr="0053423A">
              <w:rPr>
                <w:rFonts w:cs="Times New Roman"/>
                <w:sz w:val="20"/>
                <w:szCs w:val="20"/>
                <w:lang w:val="ro-RO"/>
              </w:rPr>
              <w:t xml:space="preserve"> </w:t>
            </w:r>
            <w:r w:rsidRPr="0053423A">
              <w:rPr>
                <w:rFonts w:cs="Times New Roman"/>
                <w:sz w:val="20"/>
                <w:szCs w:val="20"/>
                <w:lang w:val="hy-AM"/>
              </w:rPr>
              <w:t>է</w:t>
            </w:r>
            <w:r w:rsidRPr="0053423A">
              <w:rPr>
                <w:rFonts w:cs="Times New Roman"/>
                <w:sz w:val="20"/>
                <w:szCs w:val="20"/>
                <w:lang w:val="ro-RO"/>
              </w:rPr>
              <w:t xml:space="preserve"> </w:t>
            </w:r>
            <w:r w:rsidRPr="0053423A">
              <w:rPr>
                <w:rFonts w:cs="Times New Roman"/>
                <w:sz w:val="20"/>
                <w:szCs w:val="20"/>
                <w:lang w:val="hy-AM"/>
              </w:rPr>
              <w:t xml:space="preserve">հանդիսանում </w:t>
            </w:r>
            <w:r w:rsidRPr="0053423A">
              <w:rPr>
                <w:rFonts w:cs="Times New Roman"/>
                <w:sz w:val="20"/>
                <w:szCs w:val="20"/>
                <w:lang w:val="ro-RO"/>
              </w:rPr>
              <w:t>մարդկային ներուժի հաշվառման, համախմբման, մասնագիտական ցանցերի հետ ստեղծման և շարունակական համալրման հարաբերությունները:</w:t>
            </w:r>
          </w:p>
          <w:p w:rsidR="002B2CAB" w:rsidRPr="0053423A" w:rsidRDefault="002B2CAB" w:rsidP="00A67858">
            <w:pPr>
              <w:shd w:val="clear" w:color="auto" w:fill="FFFFFF"/>
              <w:spacing w:line="276" w:lineRule="auto"/>
              <w:jc w:val="both"/>
              <w:rPr>
                <w:rFonts w:eastAsia="Calibri" w:cs="Times New Roman"/>
                <w:b/>
                <w:color w:val="000000"/>
                <w:sz w:val="20"/>
                <w:szCs w:val="20"/>
                <w:lang w:val="hy-AM"/>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spacing w:line="276" w:lineRule="auto"/>
              <w:jc w:val="both"/>
              <w:rPr>
                <w:rFonts w:cs="Sylfaen"/>
                <w:sz w:val="20"/>
                <w:szCs w:val="20"/>
                <w:lang w:val="hy-AM"/>
              </w:rPr>
            </w:pPr>
            <w:r w:rsidRPr="0053423A">
              <w:rPr>
                <w:rFonts w:cs="Times New Roman"/>
                <w:sz w:val="20"/>
                <w:szCs w:val="20"/>
                <w:lang w:val="ro-RO"/>
              </w:rPr>
              <w:t>Սփյուռքի ներուժի հաշվառումը, համախմբումը, ըստ մասնագիտական 3 ցանցերի ստեղծումը և շարունակական համալրումը թույլ կտա իրական պատկերացում կազմել սփյուռքում առկա հնարավորությունների վերաբերյալ, որոնք կնպաստեն  սփյուռքի մասնակցության ներառմանը Հայաստանի հանրային կյանքին:</w:t>
            </w:r>
          </w:p>
        </w:tc>
      </w:tr>
      <w:tr w:rsidR="002B2CAB" w:rsidRPr="00DE2EFA" w:rsidTr="002B2CAB">
        <w:tc>
          <w:tcPr>
            <w:tcW w:w="540" w:type="dxa"/>
            <w:vMerge/>
          </w:tcPr>
          <w:p w:rsidR="002B2CAB" w:rsidRPr="0053423A" w:rsidRDefault="002B2CAB" w:rsidP="00A67858">
            <w:pPr>
              <w:spacing w:line="276" w:lineRule="auto"/>
              <w:jc w:val="center"/>
              <w:rPr>
                <w:rFonts w:cs="Times New Roman"/>
                <w:b/>
                <w:sz w:val="20"/>
                <w:szCs w:val="20"/>
                <w:lang w:val="hy-AM"/>
              </w:rPr>
            </w:pP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cs="Times New Roman"/>
                <w:b/>
                <w:sz w:val="20"/>
                <w:szCs w:val="20"/>
                <w:u w:val="single"/>
                <w:lang w:val="ro-RO"/>
              </w:rPr>
              <w:t>4.2 Հայկական սփյուռքի կրթական, գիտական, տնտեսական, մշակութային և այլ տվյալների միասնական համակարգի (սփյուռքի ներուժի էլեկտրոնային շտեմարան) կատարելագործում և դրա զարգացման նոր ուղիների մշակում</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sz w:val="20"/>
                <w:szCs w:val="20"/>
                <w:lang w:val="hy-AM"/>
              </w:rPr>
              <w:t xml:space="preserve">Անհրաժեշտությունը բխում է Սահմանադրության 19-րդ հոդվածի 1-ին մասի պահանջներից (ոլորտային նորմատիվ իրավական ակտեր չկան): Նպատակն է </w:t>
            </w:r>
            <w:r w:rsidRPr="0053423A">
              <w:rPr>
                <w:rFonts w:cs="Times New Roman"/>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b/>
                <w:sz w:val="20"/>
                <w:szCs w:val="20"/>
                <w:lang w:val="ro-RO"/>
              </w:rPr>
              <w:t xml:space="preserve"> </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ro-RO"/>
              </w:rPr>
              <w:t>1.1. 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Times New Roman"/>
                <w:sz w:val="20"/>
                <w:szCs w:val="20"/>
                <w:lang w:val="ro-RO"/>
              </w:rPr>
            </w:pPr>
            <w:r w:rsidRPr="0053423A">
              <w:rPr>
                <w:rFonts w:cs="Times New Roman"/>
                <w:sz w:val="20"/>
                <w:szCs w:val="20"/>
                <w:lang w:val="ro-RO"/>
              </w:rPr>
              <w:t>Հայկական սփյուռքի կրթական, գիտական, տնտեսական, մշակութային և այլ տվյալների միասնական համակարգի (սփյուռքի ներուժի էլեկտրոնային շտեմարան) շարունակականության ապահովում և կատարելագործում, դրա զարգացման նոր ուղիների մշակում:</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jc w:val="both"/>
              <w:rPr>
                <w:rFonts w:cs="Times New Roman"/>
                <w:sz w:val="20"/>
                <w:szCs w:val="20"/>
                <w:lang w:val="ro-RO"/>
              </w:rPr>
            </w:pPr>
            <w:r w:rsidRPr="0053423A">
              <w:rPr>
                <w:rFonts w:cs="Times New Roman"/>
                <w:sz w:val="20"/>
                <w:szCs w:val="20"/>
                <w:lang w:val="ro-RO"/>
              </w:rPr>
              <w:t>Հայկական սփյուռքի կրթական, գիտական, տնտեսական, մշակութային և այլ տվյալների միասնական համակարգի (սփյուռքի ներուժի էլեկտրոնային շտեմարան) շարունակականության ապահովման և դրա զարգացման նոր ուղիների մշակմանն ուղղված հարաբերությունները:</w:t>
            </w:r>
          </w:p>
          <w:p w:rsidR="002B2CAB" w:rsidRPr="0053423A" w:rsidRDefault="002B2CAB" w:rsidP="00A67858">
            <w:pPr>
              <w:shd w:val="clear" w:color="auto" w:fill="FFFFFF"/>
              <w:spacing w:line="276" w:lineRule="auto"/>
              <w:jc w:val="both"/>
              <w:rPr>
                <w:rFonts w:eastAsia="Calibri" w:cs="Times New Roman"/>
                <w:b/>
                <w:color w:val="000000"/>
                <w:sz w:val="20"/>
                <w:szCs w:val="20"/>
                <w:lang w:val="hy-AM"/>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spacing w:line="276" w:lineRule="auto"/>
              <w:jc w:val="both"/>
              <w:rPr>
                <w:rFonts w:cs="Sylfaen"/>
                <w:sz w:val="20"/>
                <w:szCs w:val="20"/>
                <w:lang w:val="hy-AM"/>
              </w:rPr>
            </w:pPr>
            <w:r w:rsidRPr="0053423A">
              <w:rPr>
                <w:rFonts w:cs="Times New Roman"/>
                <w:sz w:val="20"/>
                <w:szCs w:val="20"/>
                <w:lang w:val="ro-RO"/>
              </w:rPr>
              <w:t>Հայկական սփյուռքի կրթական, գիտական, տնտեսական, մշակութային և այլ տվյալների միասնական համակարգի (սփյուռքի ներուժի էլեկտրոնային շտեմարան) կատարելագործումը հնարավորություն կտա պարբերաբար համալրել և արդիականացնել տեղեկատվական բազան տարեկան մինչև 6500 տվյալներով, որը կարող է օգտագործվել հանրային կյանքի տարբեր ոլորտների առաջընթացի համար</w:t>
            </w:r>
          </w:p>
        </w:tc>
      </w:tr>
      <w:tr w:rsidR="002B2CAB" w:rsidRPr="00DE2EFA" w:rsidTr="002B2CAB">
        <w:tc>
          <w:tcPr>
            <w:tcW w:w="540" w:type="dxa"/>
            <w:vMerge/>
          </w:tcPr>
          <w:p w:rsidR="002B2CAB" w:rsidRPr="0053423A" w:rsidRDefault="002B2CAB" w:rsidP="00A67858">
            <w:pPr>
              <w:spacing w:line="276" w:lineRule="auto"/>
              <w:jc w:val="center"/>
              <w:rPr>
                <w:rFonts w:cs="Times New Roman"/>
                <w:b/>
                <w:sz w:val="20"/>
                <w:szCs w:val="20"/>
                <w:lang w:val="hy-AM"/>
              </w:rPr>
            </w:pP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eastAsia="Calibri" w:cs="Sylfaen"/>
                <w:b/>
                <w:sz w:val="20"/>
                <w:szCs w:val="20"/>
                <w:u w:val="single"/>
                <w:lang w:val="ro-RO"/>
              </w:rPr>
              <w:t xml:space="preserve">4.3 </w:t>
            </w:r>
            <w:r w:rsidRPr="0053423A">
              <w:rPr>
                <w:rFonts w:eastAsia="Calibri" w:cs="Sylfaen"/>
                <w:b/>
                <w:sz w:val="20"/>
                <w:szCs w:val="20"/>
                <w:u w:val="single"/>
                <w:lang w:val="hy-AM"/>
              </w:rPr>
              <w:t>Հայկական</w:t>
            </w:r>
            <w:r w:rsidRPr="0053423A">
              <w:rPr>
                <w:rFonts w:eastAsia="Calibri" w:cs="Times New Roman"/>
                <w:b/>
                <w:sz w:val="20"/>
                <w:szCs w:val="20"/>
                <w:u w:val="single"/>
                <w:lang w:val="hy-AM"/>
              </w:rPr>
              <w:t xml:space="preserve"> </w:t>
            </w:r>
            <w:r w:rsidRPr="0053423A">
              <w:rPr>
                <w:rFonts w:eastAsia="Calibri" w:cs="Sylfaen"/>
                <w:b/>
                <w:sz w:val="20"/>
                <w:szCs w:val="20"/>
                <w:u w:val="single"/>
                <w:lang w:val="hy-AM"/>
              </w:rPr>
              <w:t>առևտրային</w:t>
            </w:r>
            <w:r w:rsidRPr="0053423A">
              <w:rPr>
                <w:rFonts w:eastAsia="Calibri" w:cs="Times New Roman"/>
                <w:b/>
                <w:sz w:val="20"/>
                <w:szCs w:val="20"/>
                <w:u w:val="single"/>
                <w:lang w:val="hy-AM"/>
              </w:rPr>
              <w:t xml:space="preserve"> </w:t>
            </w:r>
            <w:r w:rsidRPr="0053423A">
              <w:rPr>
                <w:rFonts w:eastAsia="Calibri" w:cs="Sylfaen"/>
                <w:b/>
                <w:sz w:val="20"/>
                <w:szCs w:val="20"/>
                <w:u w:val="single"/>
                <w:lang w:val="hy-AM"/>
              </w:rPr>
              <w:t>ցանցի</w:t>
            </w:r>
            <w:r w:rsidRPr="0053423A">
              <w:rPr>
                <w:rFonts w:eastAsia="Calibri" w:cs="Times New Roman"/>
                <w:b/>
                <w:sz w:val="20"/>
                <w:szCs w:val="20"/>
                <w:u w:val="single"/>
                <w:lang w:val="hy-AM"/>
              </w:rPr>
              <w:t xml:space="preserve"> (ՀԱՑ) </w:t>
            </w:r>
            <w:r w:rsidRPr="0053423A">
              <w:rPr>
                <w:rFonts w:eastAsia="Calibri" w:cs="Sylfaen"/>
                <w:b/>
                <w:sz w:val="20"/>
                <w:szCs w:val="20"/>
                <w:u w:val="single"/>
                <w:lang w:val="hy-AM"/>
              </w:rPr>
              <w:t>բիզնես</w:t>
            </w:r>
            <w:r w:rsidRPr="0053423A">
              <w:rPr>
                <w:rFonts w:eastAsia="Calibri" w:cs="Times New Roman"/>
                <w:b/>
                <w:sz w:val="20"/>
                <w:szCs w:val="20"/>
                <w:u w:val="single"/>
                <w:lang w:val="hy-AM"/>
              </w:rPr>
              <w:t xml:space="preserve"> </w:t>
            </w:r>
            <w:r w:rsidRPr="0053423A">
              <w:rPr>
                <w:rFonts w:eastAsia="Calibri" w:cs="Sylfaen"/>
                <w:b/>
                <w:sz w:val="20"/>
                <w:szCs w:val="20"/>
                <w:u w:val="single"/>
                <w:lang w:val="hy-AM"/>
              </w:rPr>
              <w:t>ֆորումի կազմակերպում</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sz w:val="20"/>
                <w:szCs w:val="20"/>
                <w:lang w:val="hy-AM"/>
              </w:rPr>
              <w:t xml:space="preserve">Անհրաժեշտությունը բխում է Սահմանադրության 19-րդ հոդվածի 1-ին մասի պահանջներից (ոլորտային նորմատիվ իրավական ակտեր չկան): Նպատակն է </w:t>
            </w:r>
            <w:r w:rsidRPr="0053423A">
              <w:rPr>
                <w:rFonts w:cs="Times New Roman"/>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b/>
                <w:sz w:val="20"/>
                <w:szCs w:val="20"/>
                <w:lang w:val="ro-RO"/>
              </w:rPr>
              <w:t xml:space="preserve"> </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ro-RO"/>
              </w:rPr>
              <w:t>1.1. 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Sylfaen"/>
                <w:sz w:val="20"/>
                <w:szCs w:val="20"/>
                <w:lang w:val="ro-RO"/>
              </w:rPr>
            </w:pPr>
            <w:r w:rsidRPr="0053423A">
              <w:rPr>
                <w:rFonts w:cs="Sylfaen"/>
                <w:sz w:val="20"/>
                <w:szCs w:val="20"/>
                <w:lang w:val="hy-AM"/>
              </w:rPr>
              <w:t>ՀԱՑ</w:t>
            </w:r>
            <w:r w:rsidRPr="0053423A">
              <w:rPr>
                <w:rFonts w:cs="Times New Roman"/>
                <w:sz w:val="20"/>
                <w:szCs w:val="20"/>
                <w:lang w:val="hy-AM"/>
              </w:rPr>
              <w:t>-</w:t>
            </w:r>
            <w:r w:rsidRPr="0053423A">
              <w:rPr>
                <w:rFonts w:cs="Sylfaen"/>
                <w:sz w:val="20"/>
                <w:szCs w:val="20"/>
                <w:lang w:val="hy-AM"/>
              </w:rPr>
              <w:t>ի</w:t>
            </w:r>
            <w:r w:rsidRPr="0053423A">
              <w:rPr>
                <w:rFonts w:cs="Times New Roman"/>
                <w:sz w:val="20"/>
                <w:szCs w:val="20"/>
                <w:lang w:val="hy-AM"/>
              </w:rPr>
              <w:t xml:space="preserve"> </w:t>
            </w:r>
            <w:r w:rsidRPr="0053423A">
              <w:rPr>
                <w:rFonts w:cs="Sylfaen"/>
                <w:sz w:val="20"/>
                <w:szCs w:val="20"/>
                <w:lang w:val="hy-AM"/>
              </w:rPr>
              <w:t>կազմում</w:t>
            </w:r>
            <w:r w:rsidRPr="0053423A">
              <w:rPr>
                <w:rFonts w:cs="Times New Roman"/>
                <w:sz w:val="20"/>
                <w:szCs w:val="20"/>
                <w:lang w:val="hy-AM"/>
              </w:rPr>
              <w:t xml:space="preserve"> </w:t>
            </w:r>
            <w:r w:rsidRPr="0053423A">
              <w:rPr>
                <w:rFonts w:cs="Sylfaen"/>
                <w:sz w:val="20"/>
                <w:szCs w:val="20"/>
                <w:lang w:val="hy-AM"/>
              </w:rPr>
              <w:t>են</w:t>
            </w:r>
            <w:r w:rsidRPr="0053423A">
              <w:rPr>
                <w:rFonts w:cs="Times New Roman"/>
                <w:sz w:val="20"/>
                <w:szCs w:val="20"/>
                <w:lang w:val="hy-AM"/>
              </w:rPr>
              <w:t xml:space="preserve"> </w:t>
            </w:r>
            <w:r w:rsidRPr="0053423A">
              <w:rPr>
                <w:rFonts w:cs="Sylfaen"/>
                <w:sz w:val="20"/>
                <w:szCs w:val="20"/>
                <w:lang w:val="hy-AM"/>
              </w:rPr>
              <w:t>գործում</w:t>
            </w:r>
            <w:r w:rsidRPr="0053423A">
              <w:rPr>
                <w:rFonts w:cs="Times New Roman"/>
                <w:sz w:val="20"/>
                <w:szCs w:val="20"/>
                <w:lang w:val="hy-AM"/>
              </w:rPr>
              <w:t xml:space="preserve"> </w:t>
            </w:r>
            <w:r w:rsidRPr="0053423A">
              <w:rPr>
                <w:rFonts w:cs="Sylfaen"/>
                <w:sz w:val="20"/>
                <w:szCs w:val="20"/>
                <w:lang w:val="hy-AM"/>
              </w:rPr>
              <w:t>հայ</w:t>
            </w:r>
            <w:r w:rsidRPr="0053423A">
              <w:rPr>
                <w:rFonts w:cs="Times New Roman"/>
                <w:sz w:val="20"/>
                <w:szCs w:val="20"/>
                <w:lang w:val="hy-AM"/>
              </w:rPr>
              <w:t>-</w:t>
            </w:r>
            <w:r w:rsidRPr="0053423A">
              <w:rPr>
                <w:rFonts w:cs="Sylfaen"/>
                <w:sz w:val="20"/>
                <w:szCs w:val="20"/>
                <w:lang w:val="hy-AM"/>
              </w:rPr>
              <w:t>հունական</w:t>
            </w:r>
            <w:r w:rsidRPr="0053423A">
              <w:rPr>
                <w:rFonts w:cs="Times New Roman"/>
                <w:sz w:val="20"/>
                <w:szCs w:val="20"/>
                <w:lang w:val="hy-AM"/>
              </w:rPr>
              <w:t xml:space="preserve">, </w:t>
            </w:r>
            <w:r w:rsidRPr="0053423A">
              <w:rPr>
                <w:rFonts w:cs="Sylfaen"/>
                <w:sz w:val="20"/>
                <w:szCs w:val="20"/>
                <w:lang w:val="hy-AM"/>
              </w:rPr>
              <w:t>հայ</w:t>
            </w:r>
            <w:r w:rsidRPr="0053423A">
              <w:rPr>
                <w:rFonts w:cs="Times New Roman"/>
                <w:sz w:val="20"/>
                <w:szCs w:val="20"/>
                <w:lang w:val="hy-AM"/>
              </w:rPr>
              <w:t>-</w:t>
            </w:r>
            <w:r w:rsidRPr="0053423A">
              <w:rPr>
                <w:rFonts w:cs="Sylfaen"/>
                <w:sz w:val="20"/>
                <w:szCs w:val="20"/>
                <w:lang w:val="hy-AM"/>
              </w:rPr>
              <w:t>ամերիկյան</w:t>
            </w:r>
            <w:r w:rsidRPr="0053423A">
              <w:rPr>
                <w:rFonts w:cs="Times New Roman"/>
                <w:sz w:val="20"/>
                <w:szCs w:val="20"/>
                <w:lang w:val="hy-AM"/>
              </w:rPr>
              <w:t xml:space="preserve">, </w:t>
            </w:r>
            <w:r w:rsidRPr="0053423A">
              <w:rPr>
                <w:rFonts w:cs="Sylfaen"/>
                <w:sz w:val="20"/>
                <w:szCs w:val="20"/>
                <w:lang w:val="hy-AM"/>
              </w:rPr>
              <w:t>հայ</w:t>
            </w:r>
            <w:r w:rsidRPr="0053423A">
              <w:rPr>
                <w:rFonts w:cs="Times New Roman"/>
                <w:sz w:val="20"/>
                <w:szCs w:val="20"/>
                <w:lang w:val="hy-AM"/>
              </w:rPr>
              <w:t>-</w:t>
            </w:r>
            <w:r w:rsidRPr="0053423A">
              <w:rPr>
                <w:rFonts w:cs="Sylfaen"/>
                <w:sz w:val="20"/>
                <w:szCs w:val="20"/>
                <w:lang w:val="hy-AM"/>
              </w:rPr>
              <w:t>ռումինական</w:t>
            </w:r>
            <w:r w:rsidRPr="0053423A">
              <w:rPr>
                <w:rFonts w:cs="Times New Roman"/>
                <w:sz w:val="20"/>
                <w:szCs w:val="20"/>
                <w:lang w:val="hy-AM"/>
              </w:rPr>
              <w:t xml:space="preserve">, </w:t>
            </w:r>
            <w:r w:rsidRPr="0053423A">
              <w:rPr>
                <w:rFonts w:cs="Sylfaen"/>
                <w:sz w:val="20"/>
                <w:szCs w:val="20"/>
                <w:lang w:val="hy-AM"/>
              </w:rPr>
              <w:t>հայ</w:t>
            </w:r>
            <w:r w:rsidRPr="0053423A">
              <w:rPr>
                <w:rFonts w:cs="Times New Roman"/>
                <w:sz w:val="20"/>
                <w:szCs w:val="20"/>
                <w:lang w:val="hy-AM"/>
              </w:rPr>
              <w:t>-</w:t>
            </w:r>
            <w:r w:rsidRPr="0053423A">
              <w:rPr>
                <w:rFonts w:cs="Sylfaen"/>
                <w:sz w:val="20"/>
                <w:szCs w:val="20"/>
                <w:lang w:val="hy-AM"/>
              </w:rPr>
              <w:t>ավստրալական</w:t>
            </w:r>
            <w:r w:rsidRPr="0053423A">
              <w:rPr>
                <w:rFonts w:cs="Times New Roman"/>
                <w:sz w:val="20"/>
                <w:szCs w:val="20"/>
                <w:lang w:val="hy-AM"/>
              </w:rPr>
              <w:t xml:space="preserve">, </w:t>
            </w:r>
            <w:r w:rsidRPr="0053423A">
              <w:rPr>
                <w:rFonts w:cs="Sylfaen"/>
                <w:sz w:val="20"/>
                <w:szCs w:val="20"/>
                <w:lang w:val="hy-AM"/>
              </w:rPr>
              <w:t>հայ</w:t>
            </w:r>
            <w:r w:rsidRPr="0053423A">
              <w:rPr>
                <w:rFonts w:cs="Times New Roman"/>
                <w:sz w:val="20"/>
                <w:szCs w:val="20"/>
                <w:lang w:val="hy-AM"/>
              </w:rPr>
              <w:t>-</w:t>
            </w:r>
            <w:r w:rsidRPr="0053423A">
              <w:rPr>
                <w:rFonts w:cs="Sylfaen"/>
                <w:sz w:val="20"/>
                <w:szCs w:val="20"/>
                <w:lang w:val="hy-AM"/>
              </w:rPr>
              <w:t>բրազիլական</w:t>
            </w:r>
            <w:r w:rsidRPr="0053423A">
              <w:rPr>
                <w:rFonts w:cs="Times New Roman"/>
                <w:sz w:val="20"/>
                <w:szCs w:val="20"/>
                <w:lang w:val="hy-AM"/>
              </w:rPr>
              <w:t xml:space="preserve">, </w:t>
            </w:r>
            <w:r w:rsidRPr="0053423A">
              <w:rPr>
                <w:rFonts w:cs="Sylfaen"/>
                <w:sz w:val="20"/>
                <w:szCs w:val="20"/>
                <w:lang w:val="hy-AM"/>
              </w:rPr>
              <w:t>հայ</w:t>
            </w:r>
            <w:r w:rsidRPr="0053423A">
              <w:rPr>
                <w:rFonts w:cs="Times New Roman"/>
                <w:sz w:val="20"/>
                <w:szCs w:val="20"/>
                <w:lang w:val="hy-AM"/>
              </w:rPr>
              <w:t>-</w:t>
            </w:r>
            <w:r w:rsidRPr="0053423A">
              <w:rPr>
                <w:rFonts w:cs="Sylfaen"/>
                <w:sz w:val="20"/>
                <w:szCs w:val="20"/>
                <w:lang w:val="hy-AM"/>
              </w:rPr>
              <w:t>արգենտինական</w:t>
            </w:r>
            <w:r w:rsidRPr="0053423A">
              <w:rPr>
                <w:rFonts w:cs="Times New Roman"/>
                <w:sz w:val="20"/>
                <w:szCs w:val="20"/>
                <w:lang w:val="hy-AM"/>
              </w:rPr>
              <w:t xml:space="preserve">, </w:t>
            </w:r>
            <w:r w:rsidRPr="0053423A">
              <w:rPr>
                <w:rFonts w:cs="Sylfaen"/>
                <w:sz w:val="20"/>
                <w:szCs w:val="20"/>
                <w:lang w:val="hy-AM"/>
              </w:rPr>
              <w:t>հայ</w:t>
            </w:r>
            <w:r w:rsidRPr="0053423A">
              <w:rPr>
                <w:rFonts w:cs="Times New Roman"/>
                <w:sz w:val="20"/>
                <w:szCs w:val="20"/>
                <w:lang w:val="hy-AM"/>
              </w:rPr>
              <w:t>-</w:t>
            </w:r>
            <w:r w:rsidRPr="0053423A">
              <w:rPr>
                <w:rFonts w:cs="Sylfaen"/>
                <w:sz w:val="20"/>
                <w:szCs w:val="20"/>
                <w:lang w:val="hy-AM"/>
              </w:rPr>
              <w:t>ֆրանսիական</w:t>
            </w:r>
            <w:r w:rsidRPr="0053423A">
              <w:rPr>
                <w:rFonts w:cs="Times New Roman"/>
                <w:sz w:val="20"/>
                <w:szCs w:val="20"/>
                <w:lang w:val="hy-AM"/>
              </w:rPr>
              <w:t xml:space="preserve">, </w:t>
            </w:r>
            <w:r w:rsidRPr="0053423A">
              <w:rPr>
                <w:rFonts w:cs="Sylfaen"/>
                <w:sz w:val="20"/>
                <w:szCs w:val="20"/>
                <w:lang w:val="hy-AM"/>
              </w:rPr>
              <w:t>հայ</w:t>
            </w:r>
            <w:r w:rsidRPr="0053423A">
              <w:rPr>
                <w:rFonts w:cs="Times New Roman"/>
                <w:sz w:val="20"/>
                <w:szCs w:val="20"/>
                <w:lang w:val="hy-AM"/>
              </w:rPr>
              <w:t>-</w:t>
            </w:r>
            <w:r w:rsidRPr="0053423A">
              <w:rPr>
                <w:rFonts w:cs="Sylfaen"/>
                <w:sz w:val="20"/>
                <w:szCs w:val="20"/>
                <w:lang w:val="hy-AM"/>
              </w:rPr>
              <w:t>եգիպտական</w:t>
            </w:r>
            <w:r w:rsidRPr="0053423A">
              <w:rPr>
                <w:rFonts w:cs="Times New Roman"/>
                <w:sz w:val="20"/>
                <w:szCs w:val="20"/>
                <w:lang w:val="hy-AM"/>
              </w:rPr>
              <w:t xml:space="preserve">, </w:t>
            </w:r>
            <w:r w:rsidRPr="0053423A">
              <w:rPr>
                <w:rFonts w:cs="Sylfaen"/>
                <w:sz w:val="20"/>
                <w:szCs w:val="20"/>
                <w:lang w:val="hy-AM"/>
              </w:rPr>
              <w:t>հայ</w:t>
            </w:r>
            <w:r w:rsidRPr="0053423A">
              <w:rPr>
                <w:rFonts w:cs="Times New Roman"/>
                <w:sz w:val="20"/>
                <w:szCs w:val="20"/>
                <w:lang w:val="hy-AM"/>
              </w:rPr>
              <w:t>-</w:t>
            </w:r>
            <w:r w:rsidRPr="0053423A">
              <w:rPr>
                <w:rFonts w:cs="Sylfaen"/>
                <w:sz w:val="20"/>
                <w:szCs w:val="20"/>
                <w:lang w:val="hy-AM"/>
              </w:rPr>
              <w:t>նիդերլանդական</w:t>
            </w:r>
            <w:r w:rsidRPr="0053423A">
              <w:rPr>
                <w:rFonts w:cs="Times New Roman"/>
                <w:sz w:val="20"/>
                <w:szCs w:val="20"/>
                <w:lang w:val="hy-AM"/>
              </w:rPr>
              <w:t xml:space="preserve">, </w:t>
            </w:r>
            <w:r w:rsidRPr="0053423A">
              <w:rPr>
                <w:rFonts w:cs="Sylfaen"/>
                <w:sz w:val="20"/>
                <w:szCs w:val="20"/>
                <w:lang w:val="hy-AM"/>
              </w:rPr>
              <w:t>հայ</w:t>
            </w:r>
            <w:r w:rsidRPr="0053423A">
              <w:rPr>
                <w:rFonts w:cs="Times New Roman"/>
                <w:sz w:val="20"/>
                <w:szCs w:val="20"/>
                <w:lang w:val="hy-AM"/>
              </w:rPr>
              <w:t>-</w:t>
            </w:r>
            <w:r w:rsidRPr="0053423A">
              <w:rPr>
                <w:rFonts w:cs="Sylfaen"/>
                <w:sz w:val="20"/>
                <w:szCs w:val="20"/>
                <w:lang w:val="hy-AM"/>
              </w:rPr>
              <w:t>բելգիական</w:t>
            </w:r>
            <w:r w:rsidRPr="0053423A">
              <w:rPr>
                <w:rFonts w:cs="Times New Roman"/>
                <w:sz w:val="20"/>
                <w:szCs w:val="20"/>
                <w:lang w:val="hy-AM"/>
              </w:rPr>
              <w:t xml:space="preserve">, </w:t>
            </w:r>
            <w:r w:rsidRPr="0053423A">
              <w:rPr>
                <w:rFonts w:cs="Sylfaen"/>
                <w:sz w:val="20"/>
                <w:szCs w:val="20"/>
                <w:lang w:val="hy-AM"/>
              </w:rPr>
              <w:t>հայ</w:t>
            </w:r>
            <w:r w:rsidRPr="0053423A">
              <w:rPr>
                <w:rFonts w:cs="Times New Roman"/>
                <w:sz w:val="20"/>
                <w:szCs w:val="20"/>
                <w:lang w:val="hy-AM"/>
              </w:rPr>
              <w:t>-</w:t>
            </w:r>
            <w:r w:rsidRPr="0053423A">
              <w:rPr>
                <w:rFonts w:cs="Sylfaen"/>
                <w:sz w:val="20"/>
                <w:szCs w:val="20"/>
                <w:lang w:val="hy-AM"/>
              </w:rPr>
              <w:t>իրանական</w:t>
            </w:r>
            <w:r w:rsidRPr="0053423A">
              <w:rPr>
                <w:rFonts w:cs="Times New Roman"/>
                <w:sz w:val="20"/>
                <w:szCs w:val="20"/>
                <w:lang w:val="hy-AM"/>
              </w:rPr>
              <w:t xml:space="preserve"> </w:t>
            </w:r>
            <w:r w:rsidRPr="0053423A">
              <w:rPr>
                <w:rFonts w:cs="Sylfaen"/>
                <w:sz w:val="20"/>
                <w:szCs w:val="20"/>
                <w:lang w:val="hy-AM"/>
              </w:rPr>
              <w:t>առևտրաարդյունաբերական</w:t>
            </w:r>
            <w:r w:rsidRPr="0053423A">
              <w:rPr>
                <w:rFonts w:cs="Times New Roman"/>
                <w:sz w:val="20"/>
                <w:szCs w:val="20"/>
                <w:lang w:val="hy-AM"/>
              </w:rPr>
              <w:t xml:space="preserve"> </w:t>
            </w:r>
            <w:r w:rsidRPr="0053423A">
              <w:rPr>
                <w:rFonts w:cs="Sylfaen"/>
                <w:sz w:val="20"/>
                <w:szCs w:val="20"/>
                <w:lang w:val="hy-AM"/>
              </w:rPr>
              <w:t>պալատները</w:t>
            </w:r>
            <w:r w:rsidRPr="0053423A">
              <w:rPr>
                <w:rFonts w:cs="Times New Roman"/>
                <w:sz w:val="20"/>
                <w:szCs w:val="20"/>
                <w:lang w:val="hy-AM"/>
              </w:rPr>
              <w:t xml:space="preserve">, </w:t>
            </w:r>
            <w:r w:rsidRPr="0053423A">
              <w:rPr>
                <w:rFonts w:cs="Sylfaen"/>
                <w:sz w:val="20"/>
                <w:szCs w:val="20"/>
                <w:lang w:val="hy-AM"/>
              </w:rPr>
              <w:t>գործարարների</w:t>
            </w:r>
            <w:r w:rsidRPr="0053423A">
              <w:rPr>
                <w:rFonts w:cs="Times New Roman"/>
                <w:sz w:val="20"/>
                <w:szCs w:val="20"/>
                <w:lang w:val="hy-AM"/>
              </w:rPr>
              <w:t xml:space="preserve"> </w:t>
            </w:r>
            <w:r w:rsidRPr="0053423A">
              <w:rPr>
                <w:rFonts w:cs="Sylfaen"/>
                <w:sz w:val="20"/>
                <w:szCs w:val="20"/>
                <w:lang w:val="hy-AM"/>
              </w:rPr>
              <w:t>հայ</w:t>
            </w:r>
            <w:r w:rsidRPr="0053423A">
              <w:rPr>
                <w:rFonts w:cs="Times New Roman"/>
                <w:sz w:val="20"/>
                <w:szCs w:val="20"/>
                <w:lang w:val="hy-AM"/>
              </w:rPr>
              <w:t>-</w:t>
            </w:r>
            <w:r w:rsidRPr="0053423A">
              <w:rPr>
                <w:rFonts w:cs="Sylfaen"/>
                <w:sz w:val="20"/>
                <w:szCs w:val="20"/>
                <w:lang w:val="hy-AM"/>
              </w:rPr>
              <w:t>կանադական</w:t>
            </w:r>
            <w:r w:rsidRPr="0053423A">
              <w:rPr>
                <w:rFonts w:cs="Times New Roman"/>
                <w:sz w:val="20"/>
                <w:szCs w:val="20"/>
                <w:lang w:val="hy-AM"/>
              </w:rPr>
              <w:t xml:space="preserve">, </w:t>
            </w:r>
            <w:r w:rsidRPr="0053423A">
              <w:rPr>
                <w:rFonts w:cs="Sylfaen"/>
                <w:sz w:val="20"/>
                <w:szCs w:val="20"/>
                <w:lang w:val="hy-AM"/>
              </w:rPr>
              <w:t>հայ</w:t>
            </w:r>
            <w:r w:rsidRPr="0053423A">
              <w:rPr>
                <w:rFonts w:cs="Times New Roman"/>
                <w:sz w:val="20"/>
                <w:szCs w:val="20"/>
                <w:lang w:val="hy-AM"/>
              </w:rPr>
              <w:t>-</w:t>
            </w:r>
            <w:r w:rsidRPr="0053423A">
              <w:rPr>
                <w:rFonts w:cs="Sylfaen"/>
                <w:sz w:val="20"/>
                <w:szCs w:val="20"/>
                <w:lang w:val="hy-AM"/>
              </w:rPr>
              <w:t>լիբանանյան</w:t>
            </w:r>
            <w:r w:rsidRPr="0053423A">
              <w:rPr>
                <w:rFonts w:cs="Times New Roman"/>
                <w:sz w:val="20"/>
                <w:szCs w:val="20"/>
                <w:lang w:val="hy-AM"/>
              </w:rPr>
              <w:t xml:space="preserve"> </w:t>
            </w:r>
            <w:r w:rsidRPr="0053423A">
              <w:rPr>
                <w:rFonts w:cs="Sylfaen"/>
                <w:sz w:val="20"/>
                <w:szCs w:val="20"/>
                <w:lang w:val="hy-AM"/>
              </w:rPr>
              <w:t>խորհուրդները</w:t>
            </w:r>
            <w:r w:rsidRPr="0053423A">
              <w:rPr>
                <w:rFonts w:cs="Times New Roman"/>
                <w:sz w:val="20"/>
                <w:szCs w:val="20"/>
                <w:lang w:val="hy-AM"/>
              </w:rPr>
              <w:t xml:space="preserve">, </w:t>
            </w:r>
            <w:r w:rsidRPr="0053423A">
              <w:rPr>
                <w:rFonts w:cs="Sylfaen"/>
                <w:sz w:val="20"/>
                <w:szCs w:val="20"/>
                <w:lang w:val="hy-AM"/>
              </w:rPr>
              <w:t>Հայաստանի</w:t>
            </w:r>
            <w:r w:rsidRPr="0053423A">
              <w:rPr>
                <w:rFonts w:cs="Times New Roman"/>
                <w:sz w:val="20"/>
                <w:szCs w:val="20"/>
                <w:lang w:val="hy-AM"/>
              </w:rPr>
              <w:t xml:space="preserve"> </w:t>
            </w:r>
            <w:r w:rsidRPr="0053423A">
              <w:rPr>
                <w:rFonts w:cs="Sylfaen"/>
                <w:sz w:val="20"/>
                <w:szCs w:val="20"/>
                <w:lang w:val="hy-AM"/>
              </w:rPr>
              <w:t>և</w:t>
            </w:r>
            <w:r w:rsidRPr="0053423A">
              <w:rPr>
                <w:rFonts w:cs="Times New Roman"/>
                <w:sz w:val="20"/>
                <w:szCs w:val="20"/>
                <w:lang w:val="hy-AM"/>
              </w:rPr>
              <w:t xml:space="preserve"> </w:t>
            </w:r>
            <w:r w:rsidRPr="0053423A">
              <w:rPr>
                <w:rFonts w:cs="Sylfaen"/>
                <w:sz w:val="20"/>
                <w:szCs w:val="20"/>
                <w:lang w:val="hy-AM"/>
              </w:rPr>
              <w:t>Արցախի</w:t>
            </w:r>
            <w:r w:rsidRPr="0053423A">
              <w:rPr>
                <w:rFonts w:cs="Times New Roman"/>
                <w:sz w:val="20"/>
                <w:szCs w:val="20"/>
                <w:lang w:val="hy-AM"/>
              </w:rPr>
              <w:t xml:space="preserve"> </w:t>
            </w:r>
            <w:r w:rsidRPr="0053423A">
              <w:rPr>
                <w:rFonts w:cs="Sylfaen"/>
                <w:sz w:val="20"/>
                <w:szCs w:val="20"/>
                <w:lang w:val="hy-AM"/>
              </w:rPr>
              <w:t>առևտրաարդյունաբերական</w:t>
            </w:r>
            <w:r w:rsidRPr="0053423A">
              <w:rPr>
                <w:rFonts w:cs="Times New Roman"/>
                <w:sz w:val="20"/>
                <w:szCs w:val="20"/>
                <w:lang w:val="hy-AM"/>
              </w:rPr>
              <w:t xml:space="preserve"> </w:t>
            </w:r>
            <w:r w:rsidRPr="0053423A">
              <w:rPr>
                <w:rFonts w:cs="Sylfaen"/>
                <w:sz w:val="20"/>
                <w:szCs w:val="20"/>
                <w:lang w:val="hy-AM"/>
              </w:rPr>
              <w:t>պալատները</w:t>
            </w:r>
            <w:r w:rsidRPr="0053423A">
              <w:rPr>
                <w:rFonts w:cs="Sylfaen"/>
                <w:sz w:val="20"/>
                <w:szCs w:val="20"/>
                <w:lang w:val="ro-RO"/>
              </w:rPr>
              <w:t>: Ֆորումների</w:t>
            </w:r>
            <w:r w:rsidRPr="0053423A">
              <w:rPr>
                <w:rFonts w:cs="Times New Roman"/>
                <w:sz w:val="20"/>
                <w:szCs w:val="20"/>
                <w:lang w:val="ro-RO"/>
              </w:rPr>
              <w:t xml:space="preserve"> </w:t>
            </w:r>
            <w:r w:rsidRPr="0053423A">
              <w:rPr>
                <w:rFonts w:cs="Sylfaen"/>
                <w:sz w:val="20"/>
                <w:szCs w:val="20"/>
                <w:lang w:val="ro-RO"/>
              </w:rPr>
              <w:t>կազմակերպման</w:t>
            </w:r>
            <w:r w:rsidRPr="0053423A">
              <w:rPr>
                <w:rFonts w:cs="Times New Roman"/>
                <w:sz w:val="20"/>
                <w:szCs w:val="20"/>
                <w:lang w:val="ro-RO"/>
              </w:rPr>
              <w:t xml:space="preserve"> խնդիրն է</w:t>
            </w:r>
            <w:r w:rsidRPr="0053423A">
              <w:rPr>
                <w:rFonts w:cs="Times New Roman"/>
                <w:sz w:val="20"/>
                <w:szCs w:val="20"/>
                <w:lang w:val="hy-AM"/>
              </w:rPr>
              <w:t xml:space="preserve"> նշված</w:t>
            </w:r>
            <w:r w:rsidRPr="0053423A">
              <w:rPr>
                <w:rFonts w:cs="Times New Roman"/>
                <w:sz w:val="20"/>
                <w:szCs w:val="20"/>
                <w:lang w:val="ro-RO"/>
              </w:rPr>
              <w:t xml:space="preserve"> </w:t>
            </w:r>
            <w:r w:rsidRPr="0053423A">
              <w:rPr>
                <w:rFonts w:cs="Times New Roman"/>
                <w:sz w:val="20"/>
                <w:szCs w:val="20"/>
                <w:lang w:val="hy-AM"/>
              </w:rPr>
              <w:t>միջոցառումները</w:t>
            </w:r>
            <w:r w:rsidRPr="0053423A">
              <w:rPr>
                <w:rFonts w:cs="Times New Roman"/>
                <w:sz w:val="20"/>
                <w:szCs w:val="20"/>
                <w:lang w:val="ro-RO"/>
              </w:rPr>
              <w:t xml:space="preserve"> </w:t>
            </w:r>
            <w:r w:rsidRPr="0053423A">
              <w:rPr>
                <w:rFonts w:cs="Times New Roman"/>
                <w:sz w:val="20"/>
                <w:szCs w:val="20"/>
                <w:lang w:val="hy-AM"/>
              </w:rPr>
              <w:t>դարձել</w:t>
            </w:r>
            <w:r w:rsidRPr="0053423A">
              <w:rPr>
                <w:rFonts w:cs="Times New Roman"/>
                <w:sz w:val="20"/>
                <w:szCs w:val="20"/>
                <w:lang w:val="ro-RO"/>
              </w:rPr>
              <w:t xml:space="preserve"> էլ </w:t>
            </w:r>
            <w:r w:rsidRPr="0053423A">
              <w:rPr>
                <w:rFonts w:cs="Times New Roman"/>
                <w:sz w:val="20"/>
                <w:szCs w:val="20"/>
                <w:lang w:val="hy-AM"/>
              </w:rPr>
              <w:t>ավելի</w:t>
            </w:r>
            <w:r w:rsidRPr="0053423A">
              <w:rPr>
                <w:rFonts w:cs="Times New Roman"/>
                <w:sz w:val="20"/>
                <w:szCs w:val="20"/>
                <w:lang w:val="ro-RO"/>
              </w:rPr>
              <w:t xml:space="preserve"> </w:t>
            </w:r>
            <w:r w:rsidRPr="0053423A">
              <w:rPr>
                <w:rFonts w:cs="Times New Roman"/>
                <w:sz w:val="20"/>
                <w:szCs w:val="20"/>
                <w:lang w:val="hy-AM"/>
              </w:rPr>
              <w:t>ընդգրկուն</w:t>
            </w:r>
            <w:r w:rsidRPr="0053423A">
              <w:rPr>
                <w:rFonts w:cs="Times New Roman"/>
                <w:sz w:val="20"/>
                <w:szCs w:val="20"/>
                <w:lang w:val="ro-RO"/>
              </w:rPr>
              <w:t xml:space="preserve">՝ ներգրավելով սփյուռքհայ </w:t>
            </w:r>
            <w:r w:rsidRPr="0053423A">
              <w:rPr>
                <w:rFonts w:cs="Times New Roman"/>
                <w:sz w:val="20"/>
                <w:szCs w:val="20"/>
                <w:lang w:val="hy-AM"/>
              </w:rPr>
              <w:t>նոր</w:t>
            </w:r>
            <w:r w:rsidRPr="0053423A">
              <w:rPr>
                <w:rFonts w:cs="Times New Roman"/>
                <w:sz w:val="20"/>
                <w:szCs w:val="20"/>
                <w:lang w:val="ro-RO"/>
              </w:rPr>
              <w:t xml:space="preserve"> </w:t>
            </w:r>
            <w:r w:rsidRPr="0053423A">
              <w:rPr>
                <w:rFonts w:cs="Times New Roman"/>
                <w:sz w:val="20"/>
                <w:szCs w:val="20"/>
                <w:lang w:val="hy-AM"/>
              </w:rPr>
              <w:t>գործարարներ</w:t>
            </w:r>
            <w:r w:rsidRPr="0053423A">
              <w:rPr>
                <w:rFonts w:cs="Times New Roman"/>
                <w:sz w:val="20"/>
                <w:szCs w:val="20"/>
                <w:lang w:val="ro-RO"/>
              </w:rPr>
              <w:t xml:space="preserve"> և պոտենցիալ ներդրողներ</w:t>
            </w:r>
            <w:r w:rsidRPr="0053423A">
              <w:rPr>
                <w:rFonts w:cs="Sylfaen"/>
                <w:sz w:val="20"/>
                <w:szCs w:val="20"/>
                <w:lang w:val="ro-RO"/>
              </w:rPr>
              <w:t xml:space="preserve">, առավելագույնս օգտագործել սփյուռքի գործարար համայնքի ներուժը </w:t>
            </w:r>
            <w:r w:rsidRPr="0053423A">
              <w:rPr>
                <w:rFonts w:cs="Sylfaen"/>
                <w:sz w:val="20"/>
                <w:szCs w:val="20"/>
                <w:lang w:val="hy-AM"/>
              </w:rPr>
              <w:t>Հայաստանի</w:t>
            </w:r>
            <w:r w:rsidRPr="0053423A">
              <w:rPr>
                <w:rFonts w:cs="Sylfaen"/>
                <w:sz w:val="20"/>
                <w:szCs w:val="20"/>
                <w:lang w:val="ro-RO"/>
              </w:rPr>
              <w:t xml:space="preserve"> </w:t>
            </w:r>
            <w:r w:rsidRPr="0053423A">
              <w:rPr>
                <w:rFonts w:cs="Sylfaen"/>
                <w:sz w:val="20"/>
                <w:szCs w:val="20"/>
                <w:lang w:val="hy-AM"/>
              </w:rPr>
              <w:t>բիզնես</w:t>
            </w:r>
            <w:r w:rsidRPr="0053423A">
              <w:rPr>
                <w:rFonts w:cs="Sylfaen"/>
                <w:sz w:val="20"/>
                <w:szCs w:val="20"/>
                <w:lang w:val="ro-RO"/>
              </w:rPr>
              <w:t xml:space="preserve"> </w:t>
            </w:r>
            <w:r w:rsidRPr="0053423A">
              <w:rPr>
                <w:rFonts w:cs="Sylfaen"/>
                <w:sz w:val="20"/>
                <w:szCs w:val="20"/>
                <w:lang w:val="hy-AM"/>
              </w:rPr>
              <w:t>միջավայրի</w:t>
            </w:r>
            <w:r w:rsidRPr="0053423A">
              <w:rPr>
                <w:rFonts w:cs="Sylfaen"/>
                <w:sz w:val="20"/>
                <w:szCs w:val="20"/>
                <w:lang w:val="ro-RO"/>
              </w:rPr>
              <w:t xml:space="preserve"> </w:t>
            </w:r>
            <w:r w:rsidRPr="0053423A">
              <w:rPr>
                <w:rFonts w:cs="Sylfaen"/>
                <w:sz w:val="20"/>
                <w:szCs w:val="20"/>
                <w:lang w:val="hy-AM"/>
              </w:rPr>
              <w:t>զարգացման</w:t>
            </w:r>
            <w:r w:rsidRPr="0053423A">
              <w:rPr>
                <w:rFonts w:cs="Sylfaen"/>
                <w:sz w:val="20"/>
                <w:szCs w:val="20"/>
                <w:lang w:val="ro-RO"/>
              </w:rPr>
              <w:t xml:space="preserve">, երկրի սոցիալ-տնտեսական վիճակի բարելավման, ինչպես նաև դեպի Հայաստան հայերի ներգաղթի հնարավորությունները մեծացնելու </w:t>
            </w:r>
            <w:r w:rsidRPr="0053423A">
              <w:rPr>
                <w:rFonts w:cs="Sylfaen"/>
                <w:sz w:val="20"/>
                <w:szCs w:val="20"/>
                <w:lang w:val="hy-AM"/>
              </w:rPr>
              <w:t>համար</w:t>
            </w:r>
            <w:r w:rsidRPr="0053423A">
              <w:rPr>
                <w:rFonts w:cs="Sylfaen"/>
                <w:sz w:val="20"/>
                <w:szCs w:val="20"/>
                <w:lang w:val="ro-RO"/>
              </w:rPr>
              <w:t>:</w:t>
            </w:r>
          </w:p>
          <w:p w:rsidR="002B2CAB" w:rsidRPr="0053423A" w:rsidRDefault="002B2CAB" w:rsidP="00A67858">
            <w:pPr>
              <w:spacing w:line="276" w:lineRule="auto"/>
              <w:jc w:val="both"/>
              <w:rPr>
                <w:rFonts w:cs="Times New Roman"/>
                <w:b/>
                <w:sz w:val="20"/>
                <w:szCs w:val="20"/>
                <w:lang w:val="ro-RO"/>
              </w:rPr>
            </w:pPr>
            <w:r w:rsidRPr="0053423A">
              <w:rPr>
                <w:rFonts w:cs="Sylfaen"/>
                <w:b/>
                <w:sz w:val="20"/>
                <w:szCs w:val="20"/>
                <w:lang w:val="af-ZA"/>
              </w:rPr>
              <w:t>1.2.</w:t>
            </w:r>
            <w:r w:rsidRPr="0053423A">
              <w:rPr>
                <w:rFonts w:cs="Sylfaen"/>
                <w:b/>
                <w:sz w:val="20"/>
                <w:szCs w:val="20"/>
                <w:lang w:val="hy-AM"/>
              </w:rPr>
              <w:t>Առկա</w:t>
            </w:r>
            <w:r w:rsidRPr="0053423A">
              <w:rPr>
                <w:rFonts w:cs="Times New Roman"/>
                <w:b/>
                <w:sz w:val="20"/>
                <w:szCs w:val="20"/>
                <w:lang w:val="hy-AM"/>
              </w:rPr>
              <w:t xml:space="preserve"> խնդիրների առաջարկվող լուծումները</w:t>
            </w:r>
          </w:p>
          <w:p w:rsidR="002B2CAB" w:rsidRPr="0053423A" w:rsidRDefault="002B2CAB" w:rsidP="00A67858">
            <w:pPr>
              <w:spacing w:line="276" w:lineRule="auto"/>
              <w:jc w:val="both"/>
              <w:rPr>
                <w:rFonts w:cs="Times New Roman"/>
                <w:sz w:val="20"/>
                <w:szCs w:val="20"/>
                <w:lang w:val="ro-RO"/>
              </w:rPr>
            </w:pPr>
            <w:r w:rsidRPr="0053423A">
              <w:rPr>
                <w:rFonts w:eastAsia="Calibri" w:cs="Sylfaen"/>
                <w:sz w:val="20"/>
                <w:szCs w:val="20"/>
                <w:lang w:val="hy-AM"/>
              </w:rPr>
              <w:t>Հայաստանի համար մշակված բիզնես ծրագրերի, Հայաստանի ներդրումային հնարավորությունների մասին ներկայացում, Հայաստանում ներդրումներ կատարելու հնարավորությունների քննարկում</w:t>
            </w:r>
            <w:r w:rsidRPr="0053423A">
              <w:rPr>
                <w:rFonts w:eastAsia="Calibri" w:cs="Sylfaen"/>
                <w:sz w:val="20"/>
                <w:szCs w:val="20"/>
                <w:lang w:val="ro-RO"/>
              </w:rPr>
              <w:t>:</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jc w:val="both"/>
              <w:rPr>
                <w:rFonts w:cs="Times New Roman"/>
                <w:sz w:val="20"/>
                <w:szCs w:val="20"/>
                <w:lang w:val="hy-AM"/>
              </w:rPr>
            </w:pPr>
            <w:r w:rsidRPr="0053423A">
              <w:rPr>
                <w:rFonts w:eastAsia="Calibri" w:cs="Sylfaen"/>
                <w:sz w:val="20"/>
                <w:szCs w:val="20"/>
                <w:lang w:val="hy-AM"/>
              </w:rPr>
              <w:t>Բիզնես ֆորումին մասնակցելու նպատակով սփյուռքի բոլոր առևտրային պալատների ներկայացուցիչներին, անհատ գործարարներին, նրանց միջոցով նաև օտարազգի պոտենցիալ գործարարներին Հայաստան  հրավիրում:</w:t>
            </w:r>
          </w:p>
          <w:p w:rsidR="002B2CAB" w:rsidRPr="0053423A" w:rsidRDefault="002B2CAB" w:rsidP="00A67858">
            <w:pPr>
              <w:shd w:val="clear" w:color="auto" w:fill="FFFFFF"/>
              <w:spacing w:line="276" w:lineRule="auto"/>
              <w:jc w:val="both"/>
              <w:rPr>
                <w:rFonts w:eastAsia="Calibri" w:cs="Times New Roman"/>
                <w:b/>
                <w:color w:val="000000"/>
                <w:sz w:val="20"/>
                <w:szCs w:val="20"/>
                <w:lang w:val="hy-AM"/>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spacing w:line="276" w:lineRule="auto"/>
              <w:jc w:val="both"/>
              <w:rPr>
                <w:rFonts w:cs="Sylfaen"/>
                <w:sz w:val="20"/>
                <w:szCs w:val="20"/>
                <w:lang w:val="hy-AM"/>
              </w:rPr>
            </w:pPr>
            <w:r w:rsidRPr="0053423A">
              <w:rPr>
                <w:rFonts w:cs="Sylfaen"/>
                <w:sz w:val="20"/>
                <w:szCs w:val="20"/>
                <w:lang w:val="hy-AM"/>
              </w:rPr>
              <w:t>Պոտենցիալ ներդրողին ներկայացնել ճշգրիտ տեղեկատվություն և հստակ նախագծված բիզնես ծրագրեր՝ Հայաստանում ներդրումներ կատարելու համար: Հայաստանում ներդրումների խրախուսում: Պոտենցիալ ներդրողների և համապատասխան ոլորտների գերատեսչությունների հետ կապերի ստեղծում: Հայաստանի և սփյուռքի գործարարների և պոտենցիալ ներդրողների միջև համագործակցության ակտիվացում: Բիզնես ներդրումների միջոցով երկրի քաղաքացիների սոցիալ-տնտեսական վիճակի բարելավում: Արտագաղթի նվազեցում և հայրենադարձությանը նպաստում:</w:t>
            </w:r>
          </w:p>
        </w:tc>
      </w:tr>
      <w:tr w:rsidR="002B2CAB" w:rsidRPr="00DE2EFA" w:rsidTr="002B2CAB">
        <w:tc>
          <w:tcPr>
            <w:tcW w:w="540" w:type="dxa"/>
            <w:vMerge/>
          </w:tcPr>
          <w:p w:rsidR="002B2CAB" w:rsidRPr="0053423A" w:rsidRDefault="002B2CAB" w:rsidP="00A67858">
            <w:pPr>
              <w:spacing w:line="276" w:lineRule="auto"/>
              <w:jc w:val="center"/>
              <w:rPr>
                <w:rFonts w:cs="Times New Roman"/>
                <w:b/>
                <w:sz w:val="20"/>
                <w:szCs w:val="20"/>
                <w:lang w:val="hy-AM"/>
              </w:rPr>
            </w:pP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eastAsia="Calibri" w:cs="Sylfaen"/>
                <w:b/>
                <w:sz w:val="20"/>
                <w:szCs w:val="20"/>
                <w:u w:val="single"/>
                <w:lang w:val="ro-RO"/>
              </w:rPr>
              <w:t>4.4</w:t>
            </w:r>
            <w:r w:rsidRPr="0053423A">
              <w:rPr>
                <w:rFonts w:eastAsia="Calibri" w:cs="Sylfaen"/>
                <w:b/>
                <w:sz w:val="20"/>
                <w:szCs w:val="20"/>
                <w:u w:val="single"/>
                <w:lang w:val="hy-AM"/>
              </w:rPr>
              <w:t>.Սրտաբանության Եվրակովկասյան համաժողովի և մասնագիտական սեմինարների կազմակերպում՝</w:t>
            </w:r>
            <w:r w:rsidRPr="0053423A">
              <w:rPr>
                <w:rFonts w:cs="Sylfaen"/>
                <w:b/>
                <w:sz w:val="20"/>
                <w:szCs w:val="20"/>
                <w:u w:val="single"/>
                <w:lang w:val="hy-AM"/>
              </w:rPr>
              <w:t xml:space="preserve"> Հայաստան հրավիրելով աշխարհի տարբեր երկրներից շուրջ 30-40 արհեստավարժ ու հայտնի սրտաբանների և նրանց միջոցով Հայաստանի սրտաբանության ոլորտի մասնագետներին  սրտաբանության ոլորտում առկա մարտահրավերների դեմ պայքարի լավագույն փորձի, նորարարական լուծումների, սրտանոթային հիվանդությունների բուժման արդի ձևերի ներկայացում</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hd w:val="clear" w:color="auto" w:fill="FFFFFF"/>
              <w:spacing w:line="276" w:lineRule="auto"/>
              <w:jc w:val="both"/>
              <w:rPr>
                <w:rFonts w:cs="Times New Roman"/>
                <w:b/>
                <w:sz w:val="20"/>
                <w:szCs w:val="20"/>
                <w:lang w:val="hy-AM"/>
              </w:rPr>
            </w:pPr>
            <w:r w:rsidRPr="0053423A">
              <w:rPr>
                <w:rFonts w:cs="Times New Roman"/>
                <w:sz w:val="20"/>
                <w:szCs w:val="20"/>
                <w:lang w:val="hy-AM"/>
              </w:rPr>
              <w:t xml:space="preserve">Անհրաժեշտությունը բխում է Սահմանադրության 19-րդ հոդվածի 1-ին մասի պահանջներից (ոլորտային նորմատիվ իրավական ակտեր չկան): Նպատակն է </w:t>
            </w:r>
            <w:r w:rsidRPr="0053423A">
              <w:rPr>
                <w:rFonts w:cs="Times New Roman"/>
                <w:color w:val="000000"/>
                <w:sz w:val="20"/>
                <w:szCs w:val="20"/>
                <w:shd w:val="clear" w:color="auto" w:fill="FFFFFF"/>
                <w:lang w:val="hy-AM"/>
              </w:rPr>
              <w:t>հայկական սփյուռքի հետ համակողմանի կապերի զարգացման և հայապահպանմանն ուղղված քաղաքականության իրականացումը, հայրենադարձությանը նպաստումը:</w:t>
            </w:r>
            <w:r w:rsidRPr="0053423A">
              <w:rPr>
                <w:rFonts w:cs="Times New Roman"/>
                <w:b/>
                <w:sz w:val="20"/>
                <w:szCs w:val="20"/>
                <w:lang w:val="ro-RO"/>
              </w:rPr>
              <w:t xml:space="preserve"> </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ro-RO"/>
              </w:rPr>
              <w:t>1.1. 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Sylfaen"/>
                <w:sz w:val="20"/>
                <w:szCs w:val="20"/>
                <w:lang w:val="ro-RO"/>
              </w:rPr>
            </w:pPr>
            <w:r w:rsidRPr="0053423A">
              <w:rPr>
                <w:rFonts w:eastAsia="Calibri" w:cs="Sylfaen"/>
                <w:sz w:val="20"/>
                <w:szCs w:val="20"/>
                <w:lang w:val="hy-AM"/>
              </w:rPr>
              <w:t>Սրտաբանության Եվրակովկասյան համաժողովի և մասնագիտական սեմինարների կազմակերպման</w:t>
            </w:r>
            <w:r w:rsidRPr="0053423A">
              <w:rPr>
                <w:rFonts w:eastAsia="Calibri" w:cs="Sylfaen"/>
                <w:sz w:val="20"/>
                <w:szCs w:val="20"/>
                <w:lang w:val="ro-RO"/>
              </w:rPr>
              <w:t xml:space="preserve"> </w:t>
            </w:r>
            <w:r w:rsidRPr="0053423A">
              <w:rPr>
                <w:rFonts w:eastAsia="Calibri" w:cs="Sylfaen"/>
                <w:sz w:val="20"/>
                <w:szCs w:val="20"/>
                <w:lang w:val="hy-AM"/>
              </w:rPr>
              <w:t>ծրագրի</w:t>
            </w:r>
            <w:r w:rsidRPr="0053423A">
              <w:rPr>
                <w:rFonts w:cs="Sylfaen"/>
                <w:sz w:val="20"/>
                <w:szCs w:val="20"/>
                <w:lang w:val="ro-RO"/>
              </w:rPr>
              <w:t xml:space="preserve"> </w:t>
            </w:r>
            <w:r w:rsidRPr="0053423A">
              <w:rPr>
                <w:rFonts w:cs="Sylfaen"/>
                <w:sz w:val="20"/>
                <w:szCs w:val="20"/>
                <w:lang w:val="hy-AM"/>
              </w:rPr>
              <w:t>խնդիրներն</w:t>
            </w:r>
            <w:r w:rsidRPr="0053423A">
              <w:rPr>
                <w:rFonts w:cs="Sylfaen"/>
                <w:sz w:val="20"/>
                <w:szCs w:val="20"/>
                <w:lang w:val="ro-RO"/>
              </w:rPr>
              <w:t xml:space="preserve"> </w:t>
            </w:r>
            <w:r w:rsidRPr="0053423A">
              <w:rPr>
                <w:rFonts w:cs="Sylfaen"/>
                <w:sz w:val="20"/>
                <w:szCs w:val="20"/>
                <w:lang w:val="hy-AM"/>
              </w:rPr>
              <w:t>են</w:t>
            </w:r>
            <w:r w:rsidRPr="0053423A">
              <w:rPr>
                <w:rFonts w:cs="Sylfaen"/>
                <w:sz w:val="20"/>
                <w:szCs w:val="20"/>
                <w:lang w:val="ro-RO"/>
              </w:rPr>
              <w:t xml:space="preserve"> </w:t>
            </w:r>
            <w:r w:rsidRPr="0053423A">
              <w:rPr>
                <w:rFonts w:cs="Sylfaen"/>
                <w:sz w:val="20"/>
                <w:szCs w:val="20"/>
                <w:lang w:val="hy-AM"/>
              </w:rPr>
              <w:t>Հայաստանի</w:t>
            </w:r>
            <w:r w:rsidRPr="0053423A">
              <w:rPr>
                <w:rFonts w:cs="Sylfaen"/>
                <w:sz w:val="20"/>
                <w:szCs w:val="20"/>
                <w:lang w:val="ro-RO"/>
              </w:rPr>
              <w:t xml:space="preserve"> </w:t>
            </w:r>
            <w:r w:rsidRPr="0053423A">
              <w:rPr>
                <w:rFonts w:cs="Sylfaen"/>
                <w:sz w:val="20"/>
                <w:szCs w:val="20"/>
                <w:lang w:val="hy-AM"/>
              </w:rPr>
              <w:t>և</w:t>
            </w:r>
            <w:r w:rsidRPr="0053423A">
              <w:rPr>
                <w:rFonts w:cs="Sylfaen"/>
                <w:sz w:val="20"/>
                <w:szCs w:val="20"/>
                <w:lang w:val="ro-RO"/>
              </w:rPr>
              <w:t xml:space="preserve"> </w:t>
            </w:r>
            <w:r w:rsidRPr="0053423A">
              <w:rPr>
                <w:rFonts w:cs="Sylfaen"/>
                <w:sz w:val="20"/>
                <w:szCs w:val="20"/>
                <w:lang w:val="hy-AM"/>
              </w:rPr>
              <w:t>Արցախի</w:t>
            </w:r>
            <w:r w:rsidRPr="0053423A">
              <w:rPr>
                <w:rFonts w:cs="Sylfaen"/>
                <w:sz w:val="20"/>
                <w:szCs w:val="20"/>
                <w:lang w:val="ro-RO"/>
              </w:rPr>
              <w:t xml:space="preserve"> </w:t>
            </w:r>
            <w:r w:rsidRPr="0053423A">
              <w:rPr>
                <w:rFonts w:cs="Sylfaen"/>
                <w:sz w:val="20"/>
                <w:szCs w:val="20"/>
                <w:lang w:val="hy-AM"/>
              </w:rPr>
              <w:t>սրտաբանների</w:t>
            </w:r>
            <w:r w:rsidRPr="0053423A">
              <w:rPr>
                <w:rFonts w:cs="Sylfaen"/>
                <w:sz w:val="20"/>
                <w:szCs w:val="20"/>
                <w:lang w:val="ro-RO"/>
              </w:rPr>
              <w:t xml:space="preserve"> </w:t>
            </w:r>
            <w:r w:rsidRPr="0053423A">
              <w:rPr>
                <w:rFonts w:cs="Sylfaen"/>
                <w:sz w:val="20"/>
                <w:szCs w:val="20"/>
                <w:lang w:val="hy-AM"/>
              </w:rPr>
              <w:t>համար</w:t>
            </w:r>
            <w:r w:rsidRPr="0053423A">
              <w:rPr>
                <w:rFonts w:cs="Sylfaen"/>
                <w:sz w:val="20"/>
                <w:szCs w:val="20"/>
                <w:lang w:val="ro-RO"/>
              </w:rPr>
              <w:t xml:space="preserve"> </w:t>
            </w:r>
            <w:r w:rsidRPr="0053423A">
              <w:rPr>
                <w:rFonts w:cs="Sylfaen"/>
                <w:sz w:val="20"/>
                <w:szCs w:val="20"/>
                <w:lang w:val="hy-AM"/>
              </w:rPr>
              <w:t>անվճար</w:t>
            </w:r>
            <w:r w:rsidRPr="0053423A">
              <w:rPr>
                <w:rFonts w:cs="Sylfaen"/>
                <w:sz w:val="20"/>
                <w:szCs w:val="20"/>
                <w:lang w:val="ro-RO"/>
              </w:rPr>
              <w:t xml:space="preserve"> </w:t>
            </w:r>
            <w:r w:rsidRPr="0053423A">
              <w:rPr>
                <w:rFonts w:cs="Sylfaen"/>
                <w:sz w:val="20"/>
                <w:szCs w:val="20"/>
                <w:lang w:val="hy-AM"/>
              </w:rPr>
              <w:t>վերապատրաստվելու</w:t>
            </w:r>
            <w:r w:rsidRPr="0053423A">
              <w:rPr>
                <w:rFonts w:cs="Sylfaen"/>
                <w:sz w:val="20"/>
                <w:szCs w:val="20"/>
                <w:lang w:val="ro-RO"/>
              </w:rPr>
              <w:t xml:space="preserve"> </w:t>
            </w:r>
            <w:r w:rsidRPr="0053423A">
              <w:rPr>
                <w:rFonts w:cs="Sylfaen"/>
                <w:sz w:val="20"/>
                <w:szCs w:val="20"/>
                <w:lang w:val="hy-AM"/>
              </w:rPr>
              <w:t>հնարավորությունների</w:t>
            </w:r>
            <w:r w:rsidRPr="0053423A">
              <w:rPr>
                <w:rFonts w:cs="Sylfaen"/>
                <w:sz w:val="20"/>
                <w:szCs w:val="20"/>
                <w:lang w:val="ro-RO"/>
              </w:rPr>
              <w:t xml:space="preserve"> </w:t>
            </w:r>
            <w:r w:rsidRPr="0053423A">
              <w:rPr>
                <w:rFonts w:cs="Sylfaen"/>
                <w:sz w:val="20"/>
                <w:szCs w:val="20"/>
                <w:lang w:val="hy-AM"/>
              </w:rPr>
              <w:t>ընձեռումը</w:t>
            </w:r>
            <w:r w:rsidRPr="0053423A">
              <w:rPr>
                <w:rFonts w:cs="Sylfaen"/>
                <w:sz w:val="20"/>
                <w:szCs w:val="20"/>
                <w:lang w:val="ro-RO"/>
              </w:rPr>
              <w:t xml:space="preserve">, </w:t>
            </w:r>
            <w:r w:rsidRPr="0053423A">
              <w:rPr>
                <w:rFonts w:cs="Sylfaen"/>
                <w:sz w:val="20"/>
                <w:szCs w:val="20"/>
                <w:lang w:val="hy-AM"/>
              </w:rPr>
              <w:t>առողջապահության</w:t>
            </w:r>
            <w:r w:rsidRPr="0053423A">
              <w:rPr>
                <w:rFonts w:cs="Sylfaen"/>
                <w:sz w:val="20"/>
                <w:szCs w:val="20"/>
                <w:lang w:val="ro-RO"/>
              </w:rPr>
              <w:t xml:space="preserve"> </w:t>
            </w:r>
            <w:r w:rsidRPr="0053423A">
              <w:rPr>
                <w:rFonts w:cs="Sylfaen"/>
                <w:sz w:val="20"/>
                <w:szCs w:val="20"/>
                <w:lang w:val="hy-AM"/>
              </w:rPr>
              <w:t>բնագավառում</w:t>
            </w:r>
            <w:r w:rsidRPr="0053423A">
              <w:rPr>
                <w:rFonts w:cs="Sylfaen"/>
                <w:sz w:val="20"/>
                <w:szCs w:val="20"/>
                <w:lang w:val="ro-RO"/>
              </w:rPr>
              <w:t xml:space="preserve"> </w:t>
            </w:r>
            <w:r w:rsidRPr="0053423A">
              <w:rPr>
                <w:rFonts w:cs="Sylfaen"/>
                <w:sz w:val="20"/>
                <w:szCs w:val="20"/>
                <w:lang w:val="hy-AM"/>
              </w:rPr>
              <w:t>Կառավարության</w:t>
            </w:r>
            <w:r w:rsidRPr="0053423A">
              <w:rPr>
                <w:rFonts w:cs="Sylfaen"/>
                <w:sz w:val="20"/>
                <w:szCs w:val="20"/>
                <w:lang w:val="ro-RO"/>
              </w:rPr>
              <w:t xml:space="preserve"> </w:t>
            </w:r>
            <w:r w:rsidRPr="0053423A">
              <w:rPr>
                <w:rFonts w:cs="Sylfaen"/>
                <w:sz w:val="20"/>
                <w:szCs w:val="20"/>
                <w:lang w:val="hy-AM"/>
              </w:rPr>
              <w:t>կողմից</w:t>
            </w:r>
            <w:r w:rsidRPr="0053423A">
              <w:rPr>
                <w:rFonts w:cs="Sylfaen"/>
                <w:sz w:val="20"/>
                <w:szCs w:val="20"/>
                <w:lang w:val="ro-RO"/>
              </w:rPr>
              <w:t xml:space="preserve"> </w:t>
            </w:r>
            <w:r w:rsidRPr="0053423A">
              <w:rPr>
                <w:rFonts w:cs="Sylfaen"/>
                <w:sz w:val="20"/>
                <w:szCs w:val="20"/>
                <w:lang w:val="hy-AM"/>
              </w:rPr>
              <w:t>նմանատիպ</w:t>
            </w:r>
            <w:r w:rsidRPr="0053423A">
              <w:rPr>
                <w:rFonts w:cs="Sylfaen"/>
                <w:sz w:val="20"/>
                <w:szCs w:val="20"/>
                <w:lang w:val="ro-RO"/>
              </w:rPr>
              <w:t xml:space="preserve"> </w:t>
            </w:r>
            <w:r w:rsidRPr="0053423A">
              <w:rPr>
                <w:rFonts w:cs="Sylfaen"/>
                <w:sz w:val="20"/>
                <w:szCs w:val="20"/>
                <w:lang w:val="hy-AM"/>
              </w:rPr>
              <w:t>վերապատրաստումների</w:t>
            </w:r>
            <w:r w:rsidRPr="0053423A">
              <w:rPr>
                <w:rFonts w:cs="Sylfaen"/>
                <w:sz w:val="20"/>
                <w:szCs w:val="20"/>
                <w:lang w:val="ro-RO"/>
              </w:rPr>
              <w:t xml:space="preserve"> </w:t>
            </w:r>
            <w:r w:rsidRPr="0053423A">
              <w:rPr>
                <w:rFonts w:cs="Sylfaen"/>
                <w:sz w:val="20"/>
                <w:szCs w:val="20"/>
                <w:lang w:val="hy-AM"/>
              </w:rPr>
              <w:t>համար</w:t>
            </w:r>
            <w:r w:rsidRPr="0053423A">
              <w:rPr>
                <w:rFonts w:cs="Sylfaen"/>
                <w:sz w:val="20"/>
                <w:szCs w:val="20"/>
                <w:lang w:val="ro-RO"/>
              </w:rPr>
              <w:t xml:space="preserve"> </w:t>
            </w:r>
            <w:r w:rsidRPr="0053423A">
              <w:rPr>
                <w:rFonts w:cs="Sylfaen"/>
                <w:sz w:val="20"/>
                <w:szCs w:val="20"/>
                <w:lang w:val="hy-AM"/>
              </w:rPr>
              <w:t>հատկացվող</w:t>
            </w:r>
            <w:r w:rsidRPr="0053423A">
              <w:rPr>
                <w:rFonts w:cs="Sylfaen"/>
                <w:sz w:val="20"/>
                <w:szCs w:val="20"/>
                <w:lang w:val="ro-RO"/>
              </w:rPr>
              <w:t xml:space="preserve"> </w:t>
            </w:r>
            <w:r w:rsidRPr="0053423A">
              <w:rPr>
                <w:rFonts w:cs="Sylfaen"/>
                <w:sz w:val="20"/>
                <w:szCs w:val="20"/>
                <w:lang w:val="hy-AM"/>
              </w:rPr>
              <w:t>ֆինանսական</w:t>
            </w:r>
            <w:r w:rsidRPr="0053423A">
              <w:rPr>
                <w:rFonts w:cs="Sylfaen"/>
                <w:sz w:val="20"/>
                <w:szCs w:val="20"/>
                <w:lang w:val="ro-RO"/>
              </w:rPr>
              <w:t xml:space="preserve"> </w:t>
            </w:r>
            <w:r w:rsidRPr="0053423A">
              <w:rPr>
                <w:rFonts w:cs="Sylfaen"/>
                <w:sz w:val="20"/>
                <w:szCs w:val="20"/>
                <w:lang w:val="hy-AM"/>
              </w:rPr>
              <w:t>միջոցների</w:t>
            </w:r>
            <w:r w:rsidRPr="0053423A">
              <w:rPr>
                <w:rFonts w:cs="Sylfaen"/>
                <w:sz w:val="20"/>
                <w:szCs w:val="20"/>
                <w:lang w:val="ro-RO"/>
              </w:rPr>
              <w:t xml:space="preserve"> </w:t>
            </w:r>
            <w:r w:rsidRPr="0053423A">
              <w:rPr>
                <w:rFonts w:cs="Sylfaen"/>
                <w:sz w:val="20"/>
                <w:szCs w:val="20"/>
                <w:lang w:val="hy-AM"/>
              </w:rPr>
              <w:t>տնտեսումը</w:t>
            </w:r>
            <w:r w:rsidRPr="0053423A">
              <w:rPr>
                <w:rFonts w:cs="Sylfaen"/>
                <w:sz w:val="20"/>
                <w:szCs w:val="20"/>
                <w:lang w:val="ro-RO"/>
              </w:rPr>
              <w:t xml:space="preserve">, </w:t>
            </w:r>
            <w:r w:rsidRPr="0053423A">
              <w:rPr>
                <w:rFonts w:cs="Sylfaen"/>
                <w:sz w:val="20"/>
                <w:szCs w:val="20"/>
                <w:lang w:val="hy-AM"/>
              </w:rPr>
              <w:t>սփյուռքի</w:t>
            </w:r>
            <w:r w:rsidRPr="0053423A">
              <w:rPr>
                <w:rFonts w:cs="Sylfaen"/>
                <w:sz w:val="20"/>
                <w:szCs w:val="20"/>
                <w:lang w:val="ro-RO"/>
              </w:rPr>
              <w:t xml:space="preserve"> </w:t>
            </w:r>
            <w:r w:rsidRPr="0053423A">
              <w:rPr>
                <w:rFonts w:cs="Sylfaen"/>
                <w:sz w:val="20"/>
                <w:szCs w:val="20"/>
                <w:lang w:val="hy-AM"/>
              </w:rPr>
              <w:t>օգնությամբ</w:t>
            </w:r>
            <w:r w:rsidRPr="0053423A">
              <w:rPr>
                <w:rFonts w:cs="Sylfaen"/>
                <w:sz w:val="20"/>
                <w:szCs w:val="20"/>
                <w:lang w:val="ro-RO"/>
              </w:rPr>
              <w:t xml:space="preserve"> </w:t>
            </w:r>
            <w:r w:rsidRPr="0053423A">
              <w:rPr>
                <w:rFonts w:cs="Sylfaen"/>
                <w:sz w:val="20"/>
                <w:szCs w:val="20"/>
                <w:lang w:val="hy-AM"/>
              </w:rPr>
              <w:t>Հայաստանում</w:t>
            </w:r>
            <w:r w:rsidRPr="0053423A">
              <w:rPr>
                <w:rFonts w:cs="Sylfaen"/>
                <w:sz w:val="20"/>
                <w:szCs w:val="20"/>
                <w:lang w:val="ro-RO"/>
              </w:rPr>
              <w:t xml:space="preserve"> </w:t>
            </w:r>
            <w:r w:rsidRPr="0053423A">
              <w:rPr>
                <w:rFonts w:cs="Sylfaen"/>
                <w:sz w:val="20"/>
                <w:szCs w:val="20"/>
                <w:lang w:val="hy-AM"/>
              </w:rPr>
              <w:t>սրտաբանության</w:t>
            </w:r>
            <w:r w:rsidRPr="0053423A">
              <w:rPr>
                <w:rFonts w:cs="Sylfaen"/>
                <w:sz w:val="20"/>
                <w:szCs w:val="20"/>
                <w:lang w:val="ro-RO"/>
              </w:rPr>
              <w:t xml:space="preserve"> </w:t>
            </w:r>
            <w:r w:rsidRPr="0053423A">
              <w:rPr>
                <w:rFonts w:cs="Sylfaen"/>
                <w:sz w:val="20"/>
                <w:szCs w:val="20"/>
                <w:lang w:val="hy-AM"/>
              </w:rPr>
              <w:t>ոլորտը</w:t>
            </w:r>
            <w:r w:rsidRPr="0053423A">
              <w:rPr>
                <w:rFonts w:cs="Sylfaen"/>
                <w:sz w:val="20"/>
                <w:szCs w:val="20"/>
                <w:lang w:val="ro-RO"/>
              </w:rPr>
              <w:t xml:space="preserve"> </w:t>
            </w:r>
            <w:r w:rsidRPr="0053423A">
              <w:rPr>
                <w:rFonts w:cs="Sylfaen"/>
                <w:sz w:val="20"/>
                <w:szCs w:val="20"/>
                <w:lang w:val="hy-AM"/>
              </w:rPr>
              <w:t>զարգացնելը</w:t>
            </w:r>
            <w:r w:rsidRPr="0053423A">
              <w:rPr>
                <w:rFonts w:cs="Sylfaen"/>
                <w:sz w:val="20"/>
                <w:szCs w:val="20"/>
                <w:lang w:val="ro-RO"/>
              </w:rPr>
              <w:t xml:space="preserve">: </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jc w:val="both"/>
              <w:rPr>
                <w:rFonts w:cs="Sylfaen"/>
                <w:sz w:val="20"/>
                <w:szCs w:val="20"/>
                <w:lang w:val="ro-RO"/>
              </w:rPr>
            </w:pPr>
            <w:r w:rsidRPr="0053423A">
              <w:rPr>
                <w:rFonts w:cs="Sylfaen"/>
                <w:sz w:val="20"/>
                <w:szCs w:val="20"/>
                <w:lang w:val="ro-RO"/>
              </w:rPr>
              <w:t xml:space="preserve">5. </w:t>
            </w:r>
            <w:r w:rsidRPr="0053423A">
              <w:rPr>
                <w:rFonts w:cs="Sylfaen"/>
                <w:sz w:val="20"/>
                <w:szCs w:val="20"/>
                <w:lang w:val="hy-AM"/>
              </w:rPr>
              <w:t>Հայաստանում սրտաբանության ոլորտի մասնագետների զգալի մասը հնարավորություններ չունեն վերապատրաստվելու աշխարհի առաջատար կլինիկաներում և ստանալ նոր ու</w:t>
            </w:r>
            <w:r w:rsidRPr="0053423A">
              <w:rPr>
                <w:rFonts w:cs="Sylfaen"/>
                <w:sz w:val="20"/>
                <w:szCs w:val="20"/>
                <w:lang w:val="ro-RO"/>
              </w:rPr>
              <w:t xml:space="preserve"> </w:t>
            </w:r>
            <w:r w:rsidRPr="0053423A">
              <w:rPr>
                <w:rFonts w:cs="Sylfaen"/>
                <w:sz w:val="20"/>
                <w:szCs w:val="20"/>
                <w:lang w:val="hy-AM"/>
              </w:rPr>
              <w:t>արդիական</w:t>
            </w:r>
            <w:r w:rsidRPr="0053423A">
              <w:rPr>
                <w:rFonts w:cs="Sylfaen"/>
                <w:sz w:val="20"/>
                <w:szCs w:val="20"/>
                <w:lang w:val="ro-RO"/>
              </w:rPr>
              <w:t xml:space="preserve"> </w:t>
            </w:r>
            <w:r w:rsidRPr="0053423A">
              <w:rPr>
                <w:rFonts w:cs="Sylfaen"/>
                <w:sz w:val="20"/>
                <w:szCs w:val="20"/>
                <w:lang w:val="hy-AM"/>
              </w:rPr>
              <w:t>գիտելիքներ:</w:t>
            </w:r>
            <w:r w:rsidRPr="0053423A">
              <w:rPr>
                <w:rFonts w:cs="Sylfaen"/>
                <w:sz w:val="20"/>
                <w:szCs w:val="20"/>
                <w:lang w:val="ro-RO"/>
              </w:rPr>
              <w:t xml:space="preserve"> </w:t>
            </w:r>
            <w:r w:rsidRPr="0053423A">
              <w:rPr>
                <w:rFonts w:cs="Sylfaen"/>
                <w:sz w:val="20"/>
                <w:szCs w:val="20"/>
                <w:lang w:val="hy-AM"/>
              </w:rPr>
              <w:t>Հետևաբար, սփյուռքի համապատասխան ոլորտի մասնագետների ներուժի օգտագործմամբ Հայաստանի սրտաբանների համար Հայաստանում վերապատրաստումներ անցկացնելն արդիական է և արդյունավետ, քանի որ վերապատրաստումներն</w:t>
            </w:r>
            <w:r w:rsidRPr="0053423A">
              <w:rPr>
                <w:rFonts w:cs="Sylfaen"/>
                <w:sz w:val="20"/>
                <w:szCs w:val="20"/>
                <w:lang w:val="ro-RO"/>
              </w:rPr>
              <w:t xml:space="preserve"> </w:t>
            </w:r>
            <w:r w:rsidRPr="0053423A">
              <w:rPr>
                <w:rFonts w:cs="Sylfaen"/>
                <w:sz w:val="20"/>
                <w:szCs w:val="20"/>
                <w:lang w:val="hy-AM"/>
              </w:rPr>
              <w:t>անցկացվում են անվճար հիմունքներով</w:t>
            </w:r>
            <w:r w:rsidRPr="0053423A">
              <w:rPr>
                <w:rFonts w:cs="Sylfaen"/>
                <w:sz w:val="20"/>
                <w:szCs w:val="20"/>
                <w:lang w:val="ro-RO"/>
              </w:rPr>
              <w:t xml:space="preserve"> </w:t>
            </w:r>
            <w:r w:rsidRPr="0053423A">
              <w:rPr>
                <w:rFonts w:cs="Sylfaen"/>
                <w:sz w:val="20"/>
                <w:szCs w:val="20"/>
                <w:lang w:val="hy-AM"/>
              </w:rPr>
              <w:t>և</w:t>
            </w:r>
            <w:r w:rsidRPr="0053423A">
              <w:rPr>
                <w:rFonts w:cs="Sylfaen"/>
                <w:sz w:val="20"/>
                <w:szCs w:val="20"/>
                <w:lang w:val="ro-RO"/>
              </w:rPr>
              <w:t xml:space="preserve"> </w:t>
            </w:r>
            <w:r w:rsidRPr="0053423A">
              <w:rPr>
                <w:rFonts w:cs="Sylfaen"/>
                <w:sz w:val="20"/>
                <w:szCs w:val="20"/>
                <w:lang w:val="hy-AM"/>
              </w:rPr>
              <w:t>մասնագետների՝</w:t>
            </w:r>
            <w:r w:rsidRPr="0053423A">
              <w:rPr>
                <w:rFonts w:cs="Sylfaen"/>
                <w:sz w:val="20"/>
                <w:szCs w:val="20"/>
                <w:lang w:val="ro-RO"/>
              </w:rPr>
              <w:t xml:space="preserve"> </w:t>
            </w:r>
            <w:r w:rsidRPr="0053423A">
              <w:rPr>
                <w:rFonts w:cs="Sylfaen"/>
                <w:sz w:val="20"/>
                <w:szCs w:val="20"/>
                <w:lang w:val="hy-AM"/>
              </w:rPr>
              <w:t>Հայաստան</w:t>
            </w:r>
            <w:r w:rsidRPr="0053423A">
              <w:rPr>
                <w:rFonts w:cs="Sylfaen"/>
                <w:sz w:val="20"/>
                <w:szCs w:val="20"/>
                <w:lang w:val="ro-RO"/>
              </w:rPr>
              <w:t xml:space="preserve"> </w:t>
            </w:r>
            <w:r w:rsidRPr="0053423A">
              <w:rPr>
                <w:rFonts w:cs="Sylfaen"/>
                <w:sz w:val="20"/>
                <w:szCs w:val="20"/>
                <w:lang w:val="hy-AM"/>
              </w:rPr>
              <w:t>գալու</w:t>
            </w:r>
            <w:r w:rsidRPr="0053423A">
              <w:rPr>
                <w:rFonts w:cs="Sylfaen"/>
                <w:sz w:val="20"/>
                <w:szCs w:val="20"/>
                <w:lang w:val="ro-RO"/>
              </w:rPr>
              <w:t xml:space="preserve"> </w:t>
            </w:r>
            <w:r w:rsidRPr="0053423A">
              <w:rPr>
                <w:rFonts w:cs="Sylfaen"/>
                <w:sz w:val="20"/>
                <w:szCs w:val="20"/>
                <w:lang w:val="hy-AM"/>
              </w:rPr>
              <w:t>և</w:t>
            </w:r>
            <w:r w:rsidRPr="0053423A">
              <w:rPr>
                <w:rFonts w:cs="Sylfaen"/>
                <w:sz w:val="20"/>
                <w:szCs w:val="20"/>
                <w:lang w:val="ro-RO"/>
              </w:rPr>
              <w:t xml:space="preserve"> </w:t>
            </w:r>
            <w:r w:rsidRPr="0053423A">
              <w:rPr>
                <w:rFonts w:cs="Sylfaen"/>
                <w:sz w:val="20"/>
                <w:szCs w:val="20"/>
                <w:lang w:val="hy-AM"/>
              </w:rPr>
              <w:t>հետադարձի</w:t>
            </w:r>
            <w:r w:rsidRPr="0053423A">
              <w:rPr>
                <w:rFonts w:cs="Sylfaen"/>
                <w:sz w:val="20"/>
                <w:szCs w:val="20"/>
                <w:lang w:val="ro-RO"/>
              </w:rPr>
              <w:t xml:space="preserve"> </w:t>
            </w:r>
            <w:r w:rsidRPr="0053423A">
              <w:rPr>
                <w:rFonts w:cs="Sylfaen"/>
                <w:sz w:val="20"/>
                <w:szCs w:val="20"/>
                <w:lang w:val="hy-AM"/>
              </w:rPr>
              <w:t>ինքնաթիռի</w:t>
            </w:r>
            <w:r w:rsidRPr="0053423A">
              <w:rPr>
                <w:rFonts w:cs="Sylfaen"/>
                <w:sz w:val="20"/>
                <w:szCs w:val="20"/>
                <w:lang w:val="ro-RO"/>
              </w:rPr>
              <w:t xml:space="preserve"> </w:t>
            </w:r>
            <w:r w:rsidRPr="0053423A">
              <w:rPr>
                <w:rFonts w:cs="Sylfaen"/>
                <w:sz w:val="20"/>
                <w:szCs w:val="20"/>
                <w:lang w:val="hy-AM"/>
              </w:rPr>
              <w:t>տոմսերը</w:t>
            </w:r>
            <w:r w:rsidRPr="0053423A">
              <w:rPr>
                <w:rFonts w:cs="Sylfaen"/>
                <w:sz w:val="20"/>
                <w:szCs w:val="20"/>
                <w:lang w:val="ro-RO"/>
              </w:rPr>
              <w:t xml:space="preserve">, </w:t>
            </w:r>
            <w:r w:rsidRPr="0053423A">
              <w:rPr>
                <w:rFonts w:cs="Sylfaen"/>
                <w:sz w:val="20"/>
                <w:szCs w:val="20"/>
                <w:lang w:val="hy-AM"/>
              </w:rPr>
              <w:t>գիշերակացն</w:t>
            </w:r>
            <w:r w:rsidRPr="0053423A">
              <w:rPr>
                <w:rFonts w:cs="Sylfaen"/>
                <w:sz w:val="20"/>
                <w:szCs w:val="20"/>
                <w:lang w:val="ro-RO"/>
              </w:rPr>
              <w:t xml:space="preserve"> </w:t>
            </w:r>
            <w:r w:rsidRPr="0053423A">
              <w:rPr>
                <w:rFonts w:cs="Sylfaen"/>
                <w:sz w:val="20"/>
                <w:szCs w:val="20"/>
                <w:lang w:val="hy-AM"/>
              </w:rPr>
              <w:t>ապահովում</w:t>
            </w:r>
            <w:r w:rsidRPr="0053423A">
              <w:rPr>
                <w:rFonts w:cs="Sylfaen"/>
                <w:sz w:val="20"/>
                <w:szCs w:val="20"/>
                <w:lang w:val="ro-RO"/>
              </w:rPr>
              <w:t xml:space="preserve"> </w:t>
            </w:r>
            <w:r w:rsidRPr="0053423A">
              <w:rPr>
                <w:rFonts w:cs="Sylfaen"/>
                <w:sz w:val="20"/>
                <w:szCs w:val="20"/>
                <w:lang w:val="hy-AM"/>
              </w:rPr>
              <w:t>է</w:t>
            </w:r>
            <w:r w:rsidRPr="0053423A">
              <w:rPr>
                <w:rFonts w:cs="Sylfaen"/>
                <w:sz w:val="20"/>
                <w:szCs w:val="20"/>
                <w:lang w:val="ro-RO"/>
              </w:rPr>
              <w:t xml:space="preserve"> «</w:t>
            </w:r>
            <w:r w:rsidRPr="0053423A">
              <w:rPr>
                <w:rFonts w:cs="Sylfaen"/>
                <w:sz w:val="20"/>
                <w:szCs w:val="20"/>
                <w:lang w:val="fr-FR"/>
              </w:rPr>
              <w:t>Ակցիա</w:t>
            </w:r>
            <w:r w:rsidRPr="0053423A">
              <w:rPr>
                <w:rFonts w:cs="Times Armenian"/>
                <w:sz w:val="20"/>
                <w:szCs w:val="20"/>
                <w:lang w:val="ro-RO"/>
              </w:rPr>
              <w:t xml:space="preserve"> </w:t>
            </w:r>
            <w:r w:rsidRPr="0053423A">
              <w:rPr>
                <w:rFonts w:cs="Sylfaen"/>
                <w:sz w:val="20"/>
                <w:szCs w:val="20"/>
                <w:lang w:val="fr-FR"/>
              </w:rPr>
              <w:t>առողջություն</w:t>
            </w:r>
            <w:r w:rsidRPr="0053423A">
              <w:rPr>
                <w:rFonts w:cs="Times Armenian"/>
                <w:sz w:val="20"/>
                <w:szCs w:val="20"/>
                <w:lang w:val="ro-RO"/>
              </w:rPr>
              <w:t xml:space="preserve"> </w:t>
            </w:r>
            <w:r w:rsidRPr="0053423A">
              <w:rPr>
                <w:rFonts w:cs="Sylfaen"/>
                <w:sz w:val="20"/>
                <w:szCs w:val="20"/>
                <w:lang w:val="fr-FR"/>
              </w:rPr>
              <w:t>Հայաստան</w:t>
            </w:r>
            <w:r w:rsidRPr="0053423A">
              <w:rPr>
                <w:rFonts w:cs="Times Armenian"/>
                <w:sz w:val="20"/>
                <w:szCs w:val="20"/>
                <w:lang w:val="ro-RO"/>
              </w:rPr>
              <w:t>-</w:t>
            </w:r>
            <w:r w:rsidRPr="0053423A">
              <w:rPr>
                <w:rFonts w:cs="Sylfaen"/>
                <w:sz w:val="20"/>
                <w:szCs w:val="20"/>
                <w:lang w:val="fr-FR"/>
              </w:rPr>
              <w:t>Ֆրանսիա</w:t>
            </w:r>
            <w:r w:rsidRPr="0053423A">
              <w:rPr>
                <w:rFonts w:cs="Sylfaen"/>
                <w:sz w:val="20"/>
                <w:szCs w:val="20"/>
                <w:lang w:val="ro-RO"/>
              </w:rPr>
              <w:t>»</w:t>
            </w:r>
            <w:r w:rsidRPr="0053423A">
              <w:rPr>
                <w:rFonts w:cs="Times Armenian"/>
                <w:sz w:val="20"/>
                <w:szCs w:val="20"/>
                <w:lang w:val="ro-RO"/>
              </w:rPr>
              <w:t xml:space="preserve"> </w:t>
            </w:r>
            <w:r w:rsidRPr="0053423A">
              <w:rPr>
                <w:rFonts w:cs="Sylfaen"/>
                <w:sz w:val="20"/>
                <w:szCs w:val="20"/>
                <w:lang w:val="fr-FR"/>
              </w:rPr>
              <w:t>կազմակերպության</w:t>
            </w:r>
            <w:r w:rsidRPr="0053423A">
              <w:rPr>
                <w:rFonts w:cs="Sylfaen"/>
                <w:sz w:val="20"/>
                <w:szCs w:val="20"/>
                <w:lang w:val="ro-RO"/>
              </w:rPr>
              <w:t xml:space="preserve"> </w:t>
            </w:r>
            <w:r w:rsidRPr="0053423A">
              <w:rPr>
                <w:rFonts w:cs="Sylfaen"/>
                <w:sz w:val="20"/>
                <w:szCs w:val="20"/>
                <w:lang w:val="hy-AM"/>
              </w:rPr>
              <w:t>կողմից</w:t>
            </w:r>
            <w:r w:rsidRPr="0053423A">
              <w:rPr>
                <w:rFonts w:cs="Sylfaen"/>
                <w:sz w:val="20"/>
                <w:szCs w:val="20"/>
                <w:lang w:val="ro-RO"/>
              </w:rPr>
              <w:t xml:space="preserve">: </w:t>
            </w:r>
            <w:r w:rsidRPr="0053423A">
              <w:rPr>
                <w:rFonts w:cs="Sylfaen"/>
                <w:sz w:val="20"/>
                <w:szCs w:val="20"/>
                <w:lang w:val="hy-AM"/>
              </w:rPr>
              <w:t>Կազմակերպությունն</w:t>
            </w:r>
            <w:r w:rsidRPr="0053423A">
              <w:rPr>
                <w:rFonts w:cs="Sylfaen"/>
                <w:sz w:val="20"/>
                <w:szCs w:val="20"/>
                <w:lang w:val="ro-RO"/>
              </w:rPr>
              <w:t xml:space="preserve"> </w:t>
            </w:r>
            <w:r w:rsidRPr="0053423A">
              <w:rPr>
                <w:rFonts w:cs="Sylfaen"/>
                <w:sz w:val="20"/>
                <w:szCs w:val="20"/>
                <w:lang w:val="hy-AM"/>
              </w:rPr>
              <w:t>իր</w:t>
            </w:r>
            <w:r w:rsidRPr="0053423A">
              <w:rPr>
                <w:rFonts w:cs="Sylfaen"/>
                <w:sz w:val="20"/>
                <w:szCs w:val="20"/>
                <w:lang w:val="ro-RO"/>
              </w:rPr>
              <w:t xml:space="preserve"> </w:t>
            </w:r>
            <w:r w:rsidRPr="0053423A">
              <w:rPr>
                <w:rFonts w:cs="Sylfaen"/>
                <w:sz w:val="20"/>
                <w:szCs w:val="20"/>
                <w:lang w:val="hy-AM"/>
              </w:rPr>
              <w:t>վրա</w:t>
            </w:r>
            <w:r w:rsidRPr="0053423A">
              <w:rPr>
                <w:rFonts w:cs="Sylfaen"/>
                <w:sz w:val="20"/>
                <w:szCs w:val="20"/>
                <w:lang w:val="ro-RO"/>
              </w:rPr>
              <w:t xml:space="preserve"> </w:t>
            </w:r>
            <w:r w:rsidRPr="0053423A">
              <w:rPr>
                <w:rFonts w:cs="Sylfaen"/>
                <w:sz w:val="20"/>
                <w:szCs w:val="20"/>
                <w:lang w:val="hy-AM"/>
              </w:rPr>
              <w:t>է</w:t>
            </w:r>
            <w:r w:rsidRPr="0053423A">
              <w:rPr>
                <w:rFonts w:cs="Sylfaen"/>
                <w:sz w:val="20"/>
                <w:szCs w:val="20"/>
                <w:lang w:val="ro-RO"/>
              </w:rPr>
              <w:t xml:space="preserve"> </w:t>
            </w:r>
            <w:r w:rsidRPr="0053423A">
              <w:rPr>
                <w:rFonts w:cs="Sylfaen"/>
                <w:sz w:val="20"/>
                <w:szCs w:val="20"/>
                <w:lang w:val="hy-AM"/>
              </w:rPr>
              <w:t>վերցնում</w:t>
            </w:r>
            <w:r w:rsidRPr="0053423A">
              <w:rPr>
                <w:rFonts w:cs="Sylfaen"/>
                <w:sz w:val="20"/>
                <w:szCs w:val="20"/>
                <w:lang w:val="ro-RO"/>
              </w:rPr>
              <w:t xml:space="preserve"> </w:t>
            </w:r>
            <w:r w:rsidRPr="0053423A">
              <w:rPr>
                <w:rFonts w:cs="Sylfaen"/>
                <w:sz w:val="20"/>
                <w:szCs w:val="20"/>
                <w:lang w:val="hy-AM"/>
              </w:rPr>
              <w:t>նաև</w:t>
            </w:r>
            <w:r w:rsidRPr="0053423A">
              <w:rPr>
                <w:rFonts w:cs="Sylfaen"/>
                <w:sz w:val="20"/>
                <w:szCs w:val="20"/>
                <w:lang w:val="ro-RO"/>
              </w:rPr>
              <w:t xml:space="preserve"> </w:t>
            </w:r>
            <w:r w:rsidRPr="0053423A">
              <w:rPr>
                <w:rFonts w:cs="Sylfaen"/>
                <w:sz w:val="20"/>
                <w:szCs w:val="20"/>
                <w:lang w:val="hy-AM"/>
              </w:rPr>
              <w:t>կազմակերպչական</w:t>
            </w:r>
            <w:r w:rsidRPr="0053423A">
              <w:rPr>
                <w:rFonts w:cs="Sylfaen"/>
                <w:sz w:val="20"/>
                <w:szCs w:val="20"/>
                <w:lang w:val="ro-RO"/>
              </w:rPr>
              <w:t xml:space="preserve"> </w:t>
            </w:r>
            <w:r w:rsidRPr="0053423A">
              <w:rPr>
                <w:rFonts w:cs="Sylfaen"/>
                <w:sz w:val="20"/>
                <w:szCs w:val="20"/>
                <w:lang w:val="hy-AM"/>
              </w:rPr>
              <w:t>բնույթի</w:t>
            </w:r>
            <w:r w:rsidRPr="0053423A">
              <w:rPr>
                <w:rFonts w:cs="Sylfaen"/>
                <w:sz w:val="20"/>
                <w:szCs w:val="20"/>
                <w:lang w:val="ro-RO"/>
              </w:rPr>
              <w:t xml:space="preserve"> </w:t>
            </w:r>
            <w:r w:rsidRPr="0053423A">
              <w:rPr>
                <w:rFonts w:cs="Sylfaen"/>
                <w:sz w:val="20"/>
                <w:szCs w:val="20"/>
                <w:lang w:val="hy-AM"/>
              </w:rPr>
              <w:t>ծախսերի</w:t>
            </w:r>
            <w:r w:rsidRPr="0053423A">
              <w:rPr>
                <w:rFonts w:cs="Sylfaen"/>
                <w:sz w:val="20"/>
                <w:szCs w:val="20"/>
                <w:lang w:val="ro-RO"/>
              </w:rPr>
              <w:t xml:space="preserve"> </w:t>
            </w:r>
            <w:r w:rsidRPr="0053423A">
              <w:rPr>
                <w:rFonts w:cs="Sylfaen"/>
                <w:sz w:val="20"/>
                <w:szCs w:val="20"/>
                <w:lang w:val="hy-AM"/>
              </w:rPr>
              <w:t>զգալի</w:t>
            </w:r>
            <w:r w:rsidRPr="0053423A">
              <w:rPr>
                <w:rFonts w:cs="Sylfaen"/>
                <w:sz w:val="20"/>
                <w:szCs w:val="20"/>
                <w:lang w:val="ro-RO"/>
              </w:rPr>
              <w:t xml:space="preserve"> </w:t>
            </w:r>
            <w:r w:rsidRPr="0053423A">
              <w:rPr>
                <w:rFonts w:cs="Sylfaen"/>
                <w:sz w:val="20"/>
                <w:szCs w:val="20"/>
                <w:lang w:val="hy-AM"/>
              </w:rPr>
              <w:t>մասը</w:t>
            </w:r>
            <w:r w:rsidRPr="0053423A">
              <w:rPr>
                <w:rFonts w:cs="Sylfaen"/>
                <w:sz w:val="20"/>
                <w:szCs w:val="20"/>
                <w:lang w:val="ro-RO"/>
              </w:rPr>
              <w:t xml:space="preserve">: </w:t>
            </w:r>
          </w:p>
          <w:p w:rsidR="002B2CAB" w:rsidRPr="0053423A" w:rsidRDefault="002B2CAB" w:rsidP="00A67858">
            <w:pPr>
              <w:shd w:val="clear" w:color="auto" w:fill="FFFFFF"/>
              <w:spacing w:line="276" w:lineRule="auto"/>
              <w:jc w:val="both"/>
              <w:rPr>
                <w:rFonts w:eastAsia="Calibri" w:cs="Times New Roman"/>
                <w:b/>
                <w:color w:val="000000"/>
                <w:sz w:val="20"/>
                <w:szCs w:val="20"/>
                <w:lang w:val="hy-AM"/>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shd w:val="clear" w:color="auto" w:fill="FFFFFF"/>
              <w:tabs>
                <w:tab w:val="left" w:pos="-450"/>
                <w:tab w:val="left" w:pos="-180"/>
              </w:tabs>
              <w:spacing w:line="276" w:lineRule="auto"/>
              <w:jc w:val="both"/>
              <w:rPr>
                <w:rFonts w:cs="Lucida Grande"/>
                <w:sz w:val="20"/>
                <w:szCs w:val="20"/>
                <w:lang w:val="hy-AM"/>
              </w:rPr>
            </w:pPr>
            <w:r w:rsidRPr="0053423A">
              <w:rPr>
                <w:rFonts w:eastAsia="Calibri" w:cs="Lucida Grande"/>
                <w:sz w:val="20"/>
                <w:szCs w:val="20"/>
                <w:lang w:val="hy-AM"/>
              </w:rPr>
              <w:t xml:space="preserve">Ամրապնդել ոլորտի մասնագետների միջև գործակցությունն ու կապերը </w:t>
            </w:r>
            <w:r w:rsidRPr="0053423A">
              <w:rPr>
                <w:rFonts w:cs="Lucida Grande"/>
                <w:sz w:val="20"/>
                <w:szCs w:val="20"/>
                <w:lang w:val="hy-AM"/>
              </w:rPr>
              <w:t xml:space="preserve">Հայրենիք-սփյուռք ձևաչափով:Հայաստանի և Արցախի սրտաբանության ոլորտի մասնագետների համար անվճար վերապատրաստվելու և նոր գիտելիքներ ձեռք բերելու համար հնարավորությունների ստեղծում: </w:t>
            </w:r>
          </w:p>
          <w:p w:rsidR="002B2CAB" w:rsidRPr="0053423A" w:rsidRDefault="002B2CAB" w:rsidP="00A67858">
            <w:pPr>
              <w:spacing w:line="276" w:lineRule="auto"/>
              <w:jc w:val="both"/>
              <w:rPr>
                <w:rFonts w:cs="Sylfaen"/>
                <w:sz w:val="20"/>
                <w:szCs w:val="20"/>
                <w:lang w:val="ro-RO"/>
              </w:rPr>
            </w:pPr>
            <w:r w:rsidRPr="0053423A">
              <w:rPr>
                <w:rFonts w:cs="Lucida Grande"/>
                <w:sz w:val="20"/>
                <w:szCs w:val="20"/>
                <w:lang w:val="hy-AM"/>
              </w:rPr>
              <w:t>Հայաստանում սրտաբանության ոլորտի զարգացմանը նպաստում:</w:t>
            </w:r>
            <w:r w:rsidRPr="0053423A">
              <w:rPr>
                <w:rFonts w:cs="Sylfaen"/>
                <w:sz w:val="20"/>
                <w:szCs w:val="20"/>
                <w:lang w:val="hy-AM"/>
              </w:rPr>
              <w:t>Առողջապահության բնագավառում կառավարության կողմից նմանատիպ վերապատրաստումների համար հատկացվող շուրջ 30 մլն. դրամի ֆինանսական միջոցների տնտեսում:</w:t>
            </w:r>
            <w:r w:rsidRPr="0053423A">
              <w:rPr>
                <w:rFonts w:cs="Sylfaen"/>
                <w:sz w:val="20"/>
                <w:szCs w:val="20"/>
                <w:lang w:val="ro-RO"/>
              </w:rPr>
              <w:t xml:space="preserve"> Ծրագրի իրականացումն ապահովելու նպատակով անհրաժեշտ է նաև, որ այն առողջապահության նախարարությունը տրամադրի սրտաբանական կլինիկաներին՝ սրտաբաններին տեղեկացնելու համար:</w:t>
            </w:r>
          </w:p>
          <w:p w:rsidR="002B2CAB" w:rsidRPr="0053423A" w:rsidRDefault="002B2CAB" w:rsidP="00A67858">
            <w:pPr>
              <w:spacing w:line="276" w:lineRule="auto"/>
              <w:jc w:val="both"/>
              <w:rPr>
                <w:rFonts w:cs="Sylfaen"/>
                <w:sz w:val="20"/>
                <w:szCs w:val="20"/>
                <w:lang w:val="ro-RO"/>
              </w:rPr>
            </w:pPr>
          </w:p>
        </w:tc>
      </w:tr>
      <w:tr w:rsidR="002B2CAB" w:rsidRPr="00DE2EFA" w:rsidTr="002B2CAB">
        <w:tc>
          <w:tcPr>
            <w:tcW w:w="540" w:type="dxa"/>
            <w:vMerge w:val="restart"/>
          </w:tcPr>
          <w:p w:rsidR="002B2CAB" w:rsidRPr="0053423A" w:rsidRDefault="002B2CAB" w:rsidP="00A67858">
            <w:pPr>
              <w:spacing w:line="276" w:lineRule="auto"/>
              <w:jc w:val="center"/>
              <w:rPr>
                <w:rFonts w:cs="Times New Roman"/>
                <w:b/>
                <w:sz w:val="20"/>
                <w:szCs w:val="20"/>
                <w:lang w:val="hy-AM"/>
              </w:rPr>
            </w:pPr>
            <w:r w:rsidRPr="0053423A">
              <w:rPr>
                <w:rFonts w:cs="Times New Roman"/>
                <w:b/>
                <w:sz w:val="20"/>
                <w:szCs w:val="20"/>
                <w:lang w:val="hy-AM"/>
              </w:rPr>
              <w:t>5</w:t>
            </w: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cs="Sylfaen"/>
                <w:b/>
                <w:sz w:val="20"/>
                <w:szCs w:val="20"/>
                <w:u w:val="single"/>
                <w:lang w:val="fr-FR"/>
              </w:rPr>
              <w:t>5.1</w:t>
            </w:r>
            <w:r w:rsidRPr="0053423A">
              <w:rPr>
                <w:rFonts w:cs="Sylfaen"/>
                <w:b/>
                <w:sz w:val="20"/>
                <w:szCs w:val="20"/>
                <w:u w:val="single"/>
                <w:lang w:val="hy-AM"/>
              </w:rPr>
              <w:t xml:space="preserve"> Արևմտյան</w:t>
            </w:r>
            <w:r w:rsidRPr="0053423A">
              <w:rPr>
                <w:rFonts w:cs="Sylfaen"/>
                <w:b/>
                <w:sz w:val="20"/>
                <w:szCs w:val="20"/>
                <w:u w:val="single"/>
                <w:lang w:val="fr-FR"/>
              </w:rPr>
              <w:t xml:space="preserve"> </w:t>
            </w:r>
            <w:r w:rsidRPr="0053423A">
              <w:rPr>
                <w:rFonts w:cs="Sylfaen"/>
                <w:b/>
                <w:sz w:val="20"/>
                <w:szCs w:val="20"/>
                <w:u w:val="single"/>
                <w:lang w:val="hy-AM"/>
              </w:rPr>
              <w:t>Հայաստանում</w:t>
            </w:r>
            <w:r w:rsidRPr="0053423A">
              <w:rPr>
                <w:rFonts w:cs="Sylfaen"/>
                <w:b/>
                <w:sz w:val="20"/>
                <w:szCs w:val="20"/>
                <w:u w:val="single"/>
                <w:lang w:val="fr-FR"/>
              </w:rPr>
              <w:t xml:space="preserve"> </w:t>
            </w:r>
            <w:r w:rsidRPr="0053423A">
              <w:rPr>
                <w:rFonts w:cs="Sylfaen"/>
                <w:b/>
                <w:sz w:val="20"/>
                <w:szCs w:val="20"/>
                <w:u w:val="single"/>
                <w:lang w:val="hy-AM"/>
              </w:rPr>
              <w:t>իսլամացված</w:t>
            </w:r>
            <w:r w:rsidRPr="0053423A">
              <w:rPr>
                <w:rFonts w:cs="Sylfaen"/>
                <w:b/>
                <w:sz w:val="20"/>
                <w:szCs w:val="20"/>
                <w:u w:val="single"/>
                <w:lang w:val="fr-FR"/>
              </w:rPr>
              <w:t xml:space="preserve"> </w:t>
            </w:r>
            <w:r w:rsidRPr="0053423A">
              <w:rPr>
                <w:rFonts w:cs="Sylfaen"/>
                <w:b/>
                <w:sz w:val="20"/>
                <w:szCs w:val="20"/>
                <w:u w:val="single"/>
                <w:lang w:val="hy-AM"/>
              </w:rPr>
              <w:t>հայերի</w:t>
            </w:r>
            <w:r w:rsidRPr="0053423A">
              <w:rPr>
                <w:rFonts w:cs="Sylfaen"/>
                <w:b/>
                <w:sz w:val="20"/>
                <w:szCs w:val="20"/>
                <w:u w:val="single"/>
                <w:lang w:val="fr-FR"/>
              </w:rPr>
              <w:t xml:space="preserve"> </w:t>
            </w:r>
            <w:r w:rsidRPr="0053423A">
              <w:rPr>
                <w:rFonts w:cs="Sylfaen"/>
                <w:b/>
                <w:sz w:val="20"/>
                <w:szCs w:val="20"/>
                <w:u w:val="single"/>
                <w:lang w:val="hy-AM"/>
              </w:rPr>
              <w:t>հիմնախնդիրների</w:t>
            </w:r>
            <w:r w:rsidRPr="0053423A">
              <w:rPr>
                <w:rFonts w:cs="Sylfaen"/>
                <w:b/>
                <w:sz w:val="20"/>
                <w:szCs w:val="20"/>
                <w:u w:val="single"/>
                <w:lang w:val="fr-FR"/>
              </w:rPr>
              <w:t xml:space="preserve"> </w:t>
            </w:r>
            <w:r w:rsidRPr="0053423A">
              <w:rPr>
                <w:rFonts w:cs="Sylfaen"/>
                <w:b/>
                <w:sz w:val="20"/>
                <w:szCs w:val="20"/>
                <w:u w:val="single"/>
                <w:lang w:val="hy-AM"/>
              </w:rPr>
              <w:t>ուսումնասիրության</w:t>
            </w:r>
            <w:r w:rsidRPr="0053423A">
              <w:rPr>
                <w:rFonts w:cs="Sylfaen"/>
                <w:b/>
                <w:sz w:val="20"/>
                <w:szCs w:val="20"/>
                <w:u w:val="single"/>
                <w:lang w:val="fr-FR"/>
              </w:rPr>
              <w:t xml:space="preserve"> </w:t>
            </w:r>
            <w:r w:rsidRPr="0053423A">
              <w:rPr>
                <w:rFonts w:cs="Sylfaen"/>
                <w:b/>
                <w:sz w:val="20"/>
                <w:szCs w:val="20"/>
                <w:u w:val="single"/>
                <w:lang w:val="hy-AM"/>
              </w:rPr>
              <w:t>նպատակով</w:t>
            </w:r>
            <w:r w:rsidRPr="0053423A">
              <w:rPr>
                <w:rFonts w:cs="Sylfaen"/>
                <w:b/>
                <w:sz w:val="20"/>
                <w:szCs w:val="20"/>
                <w:u w:val="single"/>
                <w:lang w:val="fr-FR"/>
              </w:rPr>
              <w:t xml:space="preserve"> տեղում (</w:t>
            </w:r>
            <w:r w:rsidRPr="0053423A">
              <w:rPr>
                <w:rFonts w:cs="Sylfaen"/>
                <w:b/>
                <w:sz w:val="20"/>
                <w:szCs w:val="20"/>
                <w:u w:val="single"/>
                <w:lang w:val="hy-AM"/>
              </w:rPr>
              <w:t>Արևմտյան Հայաստան)</w:t>
            </w:r>
            <w:r w:rsidRPr="0053423A">
              <w:rPr>
                <w:rFonts w:cs="Sylfaen"/>
                <w:b/>
                <w:sz w:val="20"/>
                <w:szCs w:val="20"/>
                <w:u w:val="single"/>
                <w:lang w:val="fr-FR"/>
              </w:rPr>
              <w:t xml:space="preserve"> հետազոտական </w:t>
            </w:r>
            <w:r w:rsidRPr="0053423A">
              <w:rPr>
                <w:rFonts w:cs="Sylfaen"/>
                <w:b/>
                <w:sz w:val="20"/>
                <w:szCs w:val="20"/>
                <w:u w:val="single"/>
                <w:lang w:val="hy-AM"/>
              </w:rPr>
              <w:t>աշխատանքներ</w:t>
            </w:r>
            <w:r w:rsidRPr="0053423A">
              <w:rPr>
                <w:rFonts w:cs="Sylfaen"/>
                <w:b/>
                <w:sz w:val="20"/>
                <w:szCs w:val="20"/>
                <w:u w:val="single"/>
                <w:lang w:val="fr-FR"/>
              </w:rPr>
              <w:t xml:space="preserve"> </w:t>
            </w:r>
            <w:r w:rsidRPr="0053423A">
              <w:rPr>
                <w:rFonts w:cs="Sylfaen"/>
                <w:b/>
                <w:sz w:val="20"/>
                <w:szCs w:val="20"/>
                <w:u w:val="single"/>
                <w:lang w:val="hy-AM"/>
              </w:rPr>
              <w:t>կատարողներին</w:t>
            </w:r>
            <w:r w:rsidRPr="0053423A">
              <w:rPr>
                <w:rFonts w:cs="Sylfaen"/>
                <w:b/>
                <w:sz w:val="20"/>
                <w:szCs w:val="20"/>
                <w:u w:val="single"/>
                <w:lang w:val="fr-FR"/>
              </w:rPr>
              <w:t xml:space="preserve"> </w:t>
            </w:r>
            <w:r w:rsidRPr="0053423A">
              <w:rPr>
                <w:rFonts w:cs="Sylfaen"/>
                <w:b/>
                <w:sz w:val="20"/>
                <w:szCs w:val="20"/>
                <w:u w:val="single"/>
                <w:lang w:val="hy-AM"/>
              </w:rPr>
              <w:t>աջակցություն</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pacing w:line="276" w:lineRule="auto"/>
              <w:jc w:val="both"/>
              <w:rPr>
                <w:rFonts w:cs="Times New Roman"/>
                <w:color w:val="000000"/>
                <w:sz w:val="20"/>
                <w:szCs w:val="20"/>
                <w:shd w:val="clear" w:color="auto" w:fill="FFFFFF"/>
                <w:lang w:val="hy-AM"/>
              </w:rPr>
            </w:pPr>
            <w:r w:rsidRPr="0053423A">
              <w:rPr>
                <w:rFonts w:cs="Times New Roman"/>
                <w:sz w:val="20"/>
                <w:szCs w:val="20"/>
                <w:lang w:val="hy-AM"/>
              </w:rPr>
              <w:t xml:space="preserve">Անհրաժեշտությունը բխում է Սահմանադրության 19-րդ հոդվածի 2-րդ մասի պահանջներից </w:t>
            </w:r>
            <w:r w:rsidRPr="0053423A">
              <w:rPr>
                <w:rFonts w:cs="Times New Roman"/>
                <w:color w:val="000000"/>
                <w:sz w:val="20"/>
                <w:szCs w:val="20"/>
                <w:shd w:val="clear" w:color="auto" w:fill="FFFFFF"/>
                <w:lang w:val="hy-AM"/>
              </w:rPr>
              <w:t>Հայաստանի Հանրապետությունը միջազգային իրավունքի հիման վրա նպաստում է այլ պետություններում հայոց լեզվի, հայկական պատմական և մշակութային արժեքների պահպանմանը, հայ կրթական և մշակութային կյանքի զարգացմանը։</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ro-RO"/>
              </w:rPr>
              <w:t>1.1.Կ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Times New Roman"/>
                <w:b/>
                <w:sz w:val="20"/>
                <w:szCs w:val="20"/>
                <w:lang w:val="hy-AM"/>
              </w:rPr>
            </w:pPr>
            <w:r w:rsidRPr="0053423A">
              <w:rPr>
                <w:rFonts w:cs="Sylfaen"/>
                <w:sz w:val="20"/>
                <w:szCs w:val="20"/>
                <w:lang w:val="hy-AM"/>
              </w:rPr>
              <w:t xml:space="preserve">Հիմնական խնդիրը Հայոց ցեղասպանության ճանաչմանը, դատապարտմանը և հետևանքների վերացմանը նպատակաուղղված տարբեր միջոցառումների իրականացման միջոցով հայկական ու համաշխարհային հանրությանը 20-րդ դարի ամենախոշոր ոճրագործության մասին բարձրաձայնելն է, Հայաստան-Սփյուռք կապերի ամրապնդումը, Հայոց ցեղասպանության միջազգային ճանաչմանը նպաստելը և այդ գործում սփյուռքի ներուժի օգտագործումը: </w:t>
            </w:r>
          </w:p>
          <w:p w:rsidR="002B2CAB" w:rsidRPr="0053423A" w:rsidRDefault="002B2CAB" w:rsidP="00A67858">
            <w:pPr>
              <w:spacing w:line="276" w:lineRule="auto"/>
              <w:jc w:val="both"/>
              <w:rPr>
                <w:rFonts w:cs="Sylfaen"/>
                <w:sz w:val="20"/>
                <w:szCs w:val="20"/>
                <w:lang w:val="af-ZA"/>
              </w:rPr>
            </w:pPr>
            <w:r w:rsidRPr="0053423A">
              <w:rPr>
                <w:rFonts w:cs="Sylfaen"/>
                <w:b/>
                <w:sz w:val="20"/>
                <w:szCs w:val="20"/>
                <w:lang w:val="af-ZA"/>
              </w:rPr>
              <w:t>1.2.</w:t>
            </w:r>
            <w:r w:rsidRPr="0053423A">
              <w:rPr>
                <w:rFonts w:cs="Sylfaen"/>
                <w:b/>
                <w:sz w:val="20"/>
                <w:szCs w:val="20"/>
                <w:lang w:val="hy-AM"/>
              </w:rPr>
              <w:t>Առկա</w:t>
            </w:r>
            <w:r w:rsidRPr="0053423A">
              <w:rPr>
                <w:rFonts w:cs="Times New Roman"/>
                <w:b/>
                <w:sz w:val="20"/>
                <w:szCs w:val="20"/>
                <w:lang w:val="hy-AM"/>
              </w:rPr>
              <w:t xml:space="preserve"> խնդիրների առաջարկվող լուծումները</w:t>
            </w:r>
            <w:r w:rsidRPr="0053423A">
              <w:rPr>
                <w:rFonts w:cs="Sylfaen"/>
                <w:sz w:val="20"/>
                <w:szCs w:val="20"/>
                <w:lang w:val="af-ZA"/>
              </w:rPr>
              <w:t xml:space="preserve"> </w:t>
            </w:r>
          </w:p>
          <w:p w:rsidR="002B2CAB" w:rsidRPr="0053423A" w:rsidRDefault="002B2CAB" w:rsidP="00A67858">
            <w:pPr>
              <w:spacing w:line="276" w:lineRule="auto"/>
              <w:jc w:val="both"/>
              <w:rPr>
                <w:rFonts w:cs="Sylfaen"/>
                <w:sz w:val="20"/>
                <w:szCs w:val="20"/>
                <w:lang w:val="af-ZA"/>
              </w:rPr>
            </w:pPr>
            <w:r w:rsidRPr="0053423A">
              <w:rPr>
                <w:rFonts w:cs="Sylfaen"/>
                <w:sz w:val="20"/>
                <w:szCs w:val="20"/>
                <w:lang w:val="hy-AM"/>
              </w:rPr>
              <w:t>Հետազոտությունների իրականացում՝ հիմնախնդրին առնչվող արժեքավոր նյութերի՝ տարբեր լեզուներով թարգմանությունների կազմակերպում:</w:t>
            </w:r>
          </w:p>
          <w:p w:rsidR="002B2CAB" w:rsidRPr="0053423A" w:rsidRDefault="002B2CAB" w:rsidP="00A67858">
            <w:pPr>
              <w:spacing w:line="276" w:lineRule="auto"/>
              <w:ind w:right="67"/>
              <w:jc w:val="both"/>
              <w:rPr>
                <w:rFonts w:cs="Times New Roman"/>
                <w:b/>
                <w:sz w:val="20"/>
                <w:szCs w:val="20"/>
                <w:lang w:val="af-ZA"/>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ind w:right="67"/>
              <w:jc w:val="both"/>
              <w:rPr>
                <w:rFonts w:cs="Times New Roman"/>
                <w:b/>
                <w:sz w:val="20"/>
                <w:szCs w:val="20"/>
                <w:lang w:val="af-ZA"/>
              </w:rPr>
            </w:pPr>
            <w:r w:rsidRPr="0053423A">
              <w:rPr>
                <w:rFonts w:cs="Sylfaen"/>
                <w:sz w:val="20"/>
                <w:szCs w:val="20"/>
                <w:lang w:val="hy-AM"/>
              </w:rPr>
              <w:t xml:space="preserve">Հայոց ցեղասպանության ճանաչմանը, դատապարտմանը </w:t>
            </w:r>
            <w:r w:rsidRPr="0053423A">
              <w:rPr>
                <w:rFonts w:cs="Sylfaen"/>
                <w:sz w:val="20"/>
                <w:szCs w:val="20"/>
              </w:rPr>
              <w:t>և</w:t>
            </w:r>
            <w:r w:rsidRPr="0053423A">
              <w:rPr>
                <w:rFonts w:cs="Sylfaen"/>
                <w:sz w:val="20"/>
                <w:szCs w:val="20"/>
                <w:lang w:val="hy-AM"/>
              </w:rPr>
              <w:t xml:space="preserve"> հետ</w:t>
            </w:r>
            <w:r w:rsidRPr="0053423A">
              <w:rPr>
                <w:rFonts w:cs="Sylfaen"/>
                <w:sz w:val="20"/>
                <w:szCs w:val="20"/>
              </w:rPr>
              <w:t>և</w:t>
            </w:r>
            <w:r w:rsidRPr="0053423A">
              <w:rPr>
                <w:rFonts w:cs="Sylfaen"/>
                <w:sz w:val="20"/>
                <w:szCs w:val="20"/>
                <w:lang w:val="hy-AM"/>
              </w:rPr>
              <w:t>անքների վերացմանը նպատակաուղղված միջոցառումների իրականացում</w:t>
            </w:r>
            <w:r w:rsidRPr="0053423A">
              <w:rPr>
                <w:rFonts w:cs="Sylfaen"/>
                <w:sz w:val="20"/>
                <w:szCs w:val="20"/>
                <w:lang w:val="af-ZA"/>
              </w:rPr>
              <w:t>:</w:t>
            </w:r>
          </w:p>
          <w:p w:rsidR="002B2CAB" w:rsidRPr="0053423A" w:rsidRDefault="002B2CAB" w:rsidP="00A67858">
            <w:pPr>
              <w:spacing w:line="276" w:lineRule="auto"/>
              <w:jc w:val="both"/>
              <w:rPr>
                <w:rFonts w:cs="Times New Roman"/>
                <w:sz w:val="20"/>
                <w:szCs w:val="20"/>
                <w:lang w:val="af-ZA"/>
              </w:rPr>
            </w:pPr>
            <w:r w:rsidRPr="0053423A">
              <w:rPr>
                <w:rFonts w:cs="Times New Roman"/>
                <w:b/>
                <w:sz w:val="20"/>
                <w:szCs w:val="20"/>
                <w:lang w:val="hy-AM"/>
              </w:rPr>
              <w:t>3.Միջոցառման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cs="Times New Roman"/>
                <w:b/>
                <w:color w:val="000000"/>
                <w:sz w:val="20"/>
                <w:szCs w:val="20"/>
                <w:lang w:val="hy-AM"/>
              </w:rPr>
              <w:t>կնկալվող արդյունքը</w:t>
            </w:r>
            <w:r w:rsidRPr="0053423A">
              <w:rPr>
                <w:rFonts w:cs="Times New Roman"/>
                <w:sz w:val="20"/>
                <w:szCs w:val="20"/>
                <w:lang w:val="hy-AM"/>
              </w:rPr>
              <w:t xml:space="preserve"> </w:t>
            </w:r>
          </w:p>
          <w:p w:rsidR="002B2CAB" w:rsidRPr="0053423A" w:rsidRDefault="002B2CAB" w:rsidP="00A67858">
            <w:pPr>
              <w:spacing w:line="276" w:lineRule="auto"/>
              <w:jc w:val="both"/>
              <w:rPr>
                <w:rFonts w:cs="Sylfaen"/>
                <w:sz w:val="20"/>
                <w:szCs w:val="20"/>
                <w:lang w:val="hy-AM"/>
              </w:rPr>
            </w:pPr>
            <w:r w:rsidRPr="0053423A">
              <w:rPr>
                <w:rFonts w:cs="Times New Roman"/>
                <w:sz w:val="20"/>
                <w:szCs w:val="20"/>
                <w:lang w:val="hy-AM"/>
              </w:rPr>
              <w:t>Ծրագրի</w:t>
            </w:r>
            <w:r w:rsidRPr="0053423A">
              <w:rPr>
                <w:rFonts w:cs="Times New Roman"/>
                <w:sz w:val="20"/>
                <w:szCs w:val="20"/>
                <w:lang w:val="fr-FR"/>
              </w:rPr>
              <w:t xml:space="preserve"> </w:t>
            </w:r>
            <w:r w:rsidRPr="0053423A">
              <w:rPr>
                <w:rFonts w:cs="Times New Roman"/>
                <w:sz w:val="20"/>
                <w:szCs w:val="20"/>
                <w:lang w:val="hy-AM"/>
              </w:rPr>
              <w:t>արդյունքում</w:t>
            </w:r>
            <w:r w:rsidRPr="0053423A">
              <w:rPr>
                <w:rFonts w:cs="Times New Roman"/>
                <w:sz w:val="20"/>
                <w:szCs w:val="20"/>
                <w:lang w:val="fr-FR"/>
              </w:rPr>
              <w:t xml:space="preserve"> կ</w:t>
            </w:r>
            <w:r w:rsidRPr="0053423A">
              <w:rPr>
                <w:rFonts w:cs="Times New Roman"/>
                <w:sz w:val="20"/>
                <w:szCs w:val="20"/>
                <w:lang w:val="hy-AM"/>
              </w:rPr>
              <w:t>հանրայնացվեն</w:t>
            </w:r>
            <w:r w:rsidRPr="0053423A">
              <w:rPr>
                <w:rFonts w:cs="Times New Roman"/>
                <w:sz w:val="20"/>
                <w:szCs w:val="20"/>
                <w:lang w:val="fr-FR"/>
              </w:rPr>
              <w:t xml:space="preserve"> </w:t>
            </w:r>
            <w:r w:rsidRPr="0053423A">
              <w:rPr>
                <w:rFonts w:cs="Times New Roman"/>
                <w:sz w:val="20"/>
                <w:szCs w:val="20"/>
                <w:lang w:val="hy-AM"/>
              </w:rPr>
              <w:t>արևմտահայության</w:t>
            </w:r>
            <w:r w:rsidRPr="0053423A">
              <w:rPr>
                <w:rFonts w:cs="Times New Roman"/>
                <w:sz w:val="20"/>
                <w:szCs w:val="20"/>
                <w:lang w:val="fr-FR"/>
              </w:rPr>
              <w:t xml:space="preserve"> </w:t>
            </w:r>
            <w:r w:rsidRPr="0053423A">
              <w:rPr>
                <w:rFonts w:cs="Times New Roman"/>
                <w:sz w:val="20"/>
                <w:szCs w:val="20"/>
                <w:lang w:val="hy-AM"/>
              </w:rPr>
              <w:t>չուսումնասիրված</w:t>
            </w:r>
            <w:r w:rsidRPr="0053423A">
              <w:rPr>
                <w:rFonts w:cs="Times New Roman"/>
                <w:sz w:val="20"/>
                <w:szCs w:val="20"/>
                <w:lang w:val="fr-FR"/>
              </w:rPr>
              <w:t xml:space="preserve"> </w:t>
            </w:r>
            <w:r w:rsidRPr="0053423A">
              <w:rPr>
                <w:rFonts w:cs="Times New Roman"/>
                <w:sz w:val="20"/>
                <w:szCs w:val="20"/>
                <w:lang w:val="hy-AM"/>
              </w:rPr>
              <w:t>հիմնախնդիրները</w:t>
            </w:r>
            <w:r w:rsidRPr="0053423A">
              <w:rPr>
                <w:rFonts w:cs="Times New Roman"/>
                <w:sz w:val="20"/>
                <w:szCs w:val="20"/>
                <w:lang w:val="fr-FR"/>
              </w:rPr>
              <w:t xml:space="preserve">, </w:t>
            </w:r>
            <w:r w:rsidRPr="0053423A">
              <w:rPr>
                <w:rFonts w:cs="Times New Roman"/>
                <w:sz w:val="20"/>
                <w:szCs w:val="20"/>
                <w:lang w:val="hy-AM"/>
              </w:rPr>
              <w:t>շուրջ</w:t>
            </w:r>
            <w:r w:rsidRPr="0053423A">
              <w:rPr>
                <w:rFonts w:cs="Times New Roman"/>
                <w:sz w:val="20"/>
                <w:szCs w:val="20"/>
                <w:lang w:val="fr-FR"/>
              </w:rPr>
              <w:t xml:space="preserve"> 9 </w:t>
            </w:r>
            <w:r w:rsidRPr="0053423A">
              <w:rPr>
                <w:rFonts w:cs="Times New Roman"/>
                <w:sz w:val="20"/>
                <w:szCs w:val="20"/>
                <w:lang w:val="hy-AM"/>
              </w:rPr>
              <w:t>հետազոտության</w:t>
            </w:r>
            <w:r w:rsidRPr="0053423A">
              <w:rPr>
                <w:rFonts w:cs="Times New Roman"/>
                <w:sz w:val="20"/>
                <w:szCs w:val="20"/>
                <w:lang w:val="fr-FR"/>
              </w:rPr>
              <w:t xml:space="preserve">/ </w:t>
            </w:r>
            <w:r w:rsidRPr="0053423A">
              <w:rPr>
                <w:rFonts w:cs="Times New Roman"/>
                <w:sz w:val="20"/>
                <w:szCs w:val="20"/>
                <w:lang w:val="hy-AM"/>
              </w:rPr>
              <w:t>ուսումնասիրության</w:t>
            </w:r>
            <w:r w:rsidRPr="0053423A">
              <w:rPr>
                <w:rFonts w:cs="Times New Roman"/>
                <w:sz w:val="20"/>
                <w:szCs w:val="20"/>
                <w:lang w:val="fr-FR"/>
              </w:rPr>
              <w:t xml:space="preserve"> </w:t>
            </w:r>
            <w:r w:rsidRPr="0053423A">
              <w:rPr>
                <w:rFonts w:cs="Times New Roman"/>
                <w:sz w:val="20"/>
                <w:szCs w:val="20"/>
                <w:lang w:val="hy-AM"/>
              </w:rPr>
              <w:t>իրականացմանն</w:t>
            </w:r>
            <w:r w:rsidRPr="0053423A">
              <w:rPr>
                <w:rFonts w:cs="Times New Roman"/>
                <w:sz w:val="20"/>
                <w:szCs w:val="20"/>
                <w:lang w:val="fr-FR"/>
              </w:rPr>
              <w:t xml:space="preserve"> </w:t>
            </w:r>
            <w:r w:rsidRPr="0053423A">
              <w:rPr>
                <w:rFonts w:cs="Times New Roman"/>
                <w:sz w:val="20"/>
                <w:szCs w:val="20"/>
                <w:lang w:val="hy-AM"/>
              </w:rPr>
              <w:t>աջակցություն</w:t>
            </w:r>
            <w:r w:rsidRPr="0053423A">
              <w:rPr>
                <w:rFonts w:cs="Times New Roman"/>
                <w:sz w:val="20"/>
                <w:szCs w:val="20"/>
                <w:lang w:val="fr-FR"/>
              </w:rPr>
              <w:t>: Կ</w:t>
            </w:r>
            <w:r w:rsidRPr="0053423A">
              <w:rPr>
                <w:rFonts w:cs="Times New Roman"/>
                <w:sz w:val="20"/>
                <w:szCs w:val="20"/>
                <w:lang w:val="hy-AM"/>
              </w:rPr>
              <w:t>իրականացվի</w:t>
            </w:r>
            <w:r w:rsidRPr="0053423A">
              <w:rPr>
                <w:rFonts w:cs="Times New Roman"/>
                <w:sz w:val="20"/>
                <w:szCs w:val="20"/>
                <w:lang w:val="fr-FR"/>
              </w:rPr>
              <w:t xml:space="preserve"> </w:t>
            </w:r>
            <w:r w:rsidRPr="0053423A">
              <w:rPr>
                <w:rFonts w:cs="Times New Roman"/>
                <w:sz w:val="20"/>
                <w:szCs w:val="20"/>
                <w:lang w:val="hy-AM"/>
              </w:rPr>
              <w:t>Արևմտյան</w:t>
            </w:r>
            <w:r w:rsidRPr="0053423A">
              <w:rPr>
                <w:rFonts w:cs="Times New Roman"/>
                <w:sz w:val="20"/>
                <w:szCs w:val="20"/>
                <w:lang w:val="fr-FR"/>
              </w:rPr>
              <w:t xml:space="preserve"> </w:t>
            </w:r>
            <w:r w:rsidRPr="0053423A">
              <w:rPr>
                <w:rFonts w:cs="Times New Roman"/>
                <w:sz w:val="20"/>
                <w:szCs w:val="20"/>
                <w:lang w:val="hy-AM"/>
              </w:rPr>
              <w:t>Հայաստանի</w:t>
            </w:r>
            <w:r w:rsidRPr="0053423A">
              <w:rPr>
                <w:rFonts w:cs="Times New Roman"/>
                <w:sz w:val="20"/>
                <w:szCs w:val="20"/>
                <w:lang w:val="fr-FR"/>
              </w:rPr>
              <w:t xml:space="preserve"> </w:t>
            </w:r>
            <w:r w:rsidRPr="0053423A">
              <w:rPr>
                <w:rFonts w:cs="Times New Roman"/>
                <w:sz w:val="20"/>
                <w:szCs w:val="20"/>
                <w:lang w:val="hy-AM"/>
              </w:rPr>
              <w:t>պատմամշակութային</w:t>
            </w:r>
            <w:r w:rsidRPr="0053423A">
              <w:rPr>
                <w:rFonts w:cs="Times New Roman"/>
                <w:sz w:val="20"/>
                <w:szCs w:val="20"/>
                <w:lang w:val="fr-FR"/>
              </w:rPr>
              <w:t xml:space="preserve"> </w:t>
            </w:r>
            <w:r w:rsidRPr="0053423A">
              <w:rPr>
                <w:rFonts w:cs="Times New Roman"/>
                <w:sz w:val="20"/>
                <w:szCs w:val="20"/>
                <w:lang w:val="hy-AM"/>
              </w:rPr>
              <w:t>ժառանգության</w:t>
            </w:r>
            <w:r w:rsidRPr="0053423A">
              <w:rPr>
                <w:rFonts w:cs="Times New Roman"/>
                <w:sz w:val="20"/>
                <w:szCs w:val="20"/>
                <w:lang w:val="fr-FR"/>
              </w:rPr>
              <w:t xml:space="preserve"> </w:t>
            </w:r>
            <w:r w:rsidRPr="0053423A">
              <w:rPr>
                <w:rFonts w:cs="Times New Roman"/>
                <w:sz w:val="20"/>
                <w:szCs w:val="20"/>
                <w:lang w:val="hy-AM"/>
              </w:rPr>
              <w:t>հաշվառում</w:t>
            </w:r>
            <w:r w:rsidRPr="0053423A">
              <w:rPr>
                <w:rFonts w:cs="Times New Roman"/>
                <w:sz w:val="20"/>
                <w:szCs w:val="20"/>
                <w:lang w:val="fr-FR"/>
              </w:rPr>
              <w:t xml:space="preserve">, </w:t>
            </w:r>
            <w:r w:rsidRPr="0053423A">
              <w:rPr>
                <w:rFonts w:cs="Times New Roman"/>
                <w:sz w:val="20"/>
                <w:szCs w:val="20"/>
                <w:lang w:val="hy-AM"/>
              </w:rPr>
              <w:t>տվյալների</w:t>
            </w:r>
            <w:r w:rsidRPr="0053423A">
              <w:rPr>
                <w:rFonts w:cs="Times New Roman"/>
                <w:sz w:val="20"/>
                <w:szCs w:val="20"/>
                <w:lang w:val="fr-FR"/>
              </w:rPr>
              <w:t xml:space="preserve"> </w:t>
            </w:r>
            <w:r w:rsidRPr="0053423A">
              <w:rPr>
                <w:rFonts w:cs="Times New Roman"/>
                <w:sz w:val="20"/>
                <w:szCs w:val="20"/>
                <w:lang w:val="hy-AM"/>
              </w:rPr>
              <w:t>թարմացում՝</w:t>
            </w:r>
            <w:r w:rsidRPr="0053423A">
              <w:rPr>
                <w:rFonts w:cs="Times New Roman"/>
                <w:sz w:val="20"/>
                <w:szCs w:val="20"/>
                <w:lang w:val="fr-FR"/>
              </w:rPr>
              <w:t xml:space="preserve"> </w:t>
            </w:r>
            <w:r w:rsidRPr="0053423A">
              <w:rPr>
                <w:rFonts w:cs="Times New Roman"/>
                <w:sz w:val="20"/>
                <w:szCs w:val="20"/>
                <w:lang w:val="hy-AM"/>
              </w:rPr>
              <w:t>ոչնչացումից</w:t>
            </w:r>
            <w:r w:rsidRPr="0053423A">
              <w:rPr>
                <w:rFonts w:cs="Times New Roman"/>
                <w:sz w:val="20"/>
                <w:szCs w:val="20"/>
                <w:lang w:val="fr-FR"/>
              </w:rPr>
              <w:t xml:space="preserve"> </w:t>
            </w:r>
            <w:r w:rsidRPr="0053423A">
              <w:rPr>
                <w:rFonts w:cs="Times New Roman"/>
                <w:sz w:val="20"/>
                <w:szCs w:val="20"/>
                <w:lang w:val="hy-AM"/>
              </w:rPr>
              <w:t>և</w:t>
            </w:r>
            <w:r w:rsidRPr="0053423A">
              <w:rPr>
                <w:rFonts w:cs="Times New Roman"/>
                <w:sz w:val="20"/>
                <w:szCs w:val="20"/>
                <w:lang w:val="fr-FR"/>
              </w:rPr>
              <w:t xml:space="preserve"> </w:t>
            </w:r>
            <w:r w:rsidRPr="0053423A">
              <w:rPr>
                <w:rFonts w:cs="Times New Roman"/>
                <w:sz w:val="20"/>
                <w:szCs w:val="20"/>
                <w:lang w:val="hy-AM"/>
              </w:rPr>
              <w:t>անհայտությունից</w:t>
            </w:r>
            <w:r w:rsidRPr="0053423A">
              <w:rPr>
                <w:rFonts w:cs="Times New Roman"/>
                <w:sz w:val="20"/>
                <w:szCs w:val="20"/>
                <w:lang w:val="fr-FR"/>
              </w:rPr>
              <w:t xml:space="preserve"> </w:t>
            </w:r>
            <w:r w:rsidRPr="0053423A">
              <w:rPr>
                <w:rFonts w:cs="Times New Roman"/>
                <w:sz w:val="20"/>
                <w:szCs w:val="20"/>
                <w:lang w:val="hy-AM"/>
              </w:rPr>
              <w:t>փրկելու</w:t>
            </w:r>
            <w:r w:rsidRPr="0053423A">
              <w:rPr>
                <w:rFonts w:cs="Times New Roman"/>
                <w:sz w:val="20"/>
                <w:szCs w:val="20"/>
                <w:lang w:val="fr-FR"/>
              </w:rPr>
              <w:t xml:space="preserve"> </w:t>
            </w:r>
            <w:r w:rsidRPr="0053423A">
              <w:rPr>
                <w:rFonts w:cs="Times New Roman"/>
                <w:sz w:val="20"/>
                <w:szCs w:val="20"/>
                <w:lang w:val="hy-AM"/>
              </w:rPr>
              <w:t>նպատակով</w:t>
            </w:r>
          </w:p>
        </w:tc>
      </w:tr>
      <w:tr w:rsidR="002B2CAB" w:rsidRPr="00DE2EFA" w:rsidTr="002B2CAB">
        <w:tc>
          <w:tcPr>
            <w:tcW w:w="540" w:type="dxa"/>
            <w:vMerge/>
          </w:tcPr>
          <w:p w:rsidR="002B2CAB" w:rsidRPr="0053423A" w:rsidRDefault="002B2CAB" w:rsidP="00A67858">
            <w:pPr>
              <w:spacing w:line="276" w:lineRule="auto"/>
              <w:jc w:val="both"/>
              <w:rPr>
                <w:rFonts w:cs="Times New Roman"/>
                <w:b/>
                <w:sz w:val="20"/>
                <w:szCs w:val="20"/>
                <w:lang w:val="hy-AM"/>
              </w:rPr>
            </w:pP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cs="Times New Roman"/>
                <w:b/>
                <w:sz w:val="20"/>
                <w:szCs w:val="20"/>
                <w:u w:val="single"/>
                <w:lang w:val="it-IT"/>
              </w:rPr>
              <w:t>5.2.Արևմտյան Հայաստանից, Ստամբուլից հայ երիտասարդների և հայոց լեզվի ուսուցիչների ներգրավումը Հայաստանում մշակութային և կրթական միջոցառումներին</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pacing w:line="276" w:lineRule="auto"/>
              <w:jc w:val="both"/>
              <w:rPr>
                <w:rFonts w:cs="Times New Roman"/>
                <w:color w:val="000000"/>
                <w:sz w:val="20"/>
                <w:szCs w:val="20"/>
                <w:shd w:val="clear" w:color="auto" w:fill="FFFFFF"/>
                <w:lang w:val="hy-AM"/>
              </w:rPr>
            </w:pPr>
            <w:r w:rsidRPr="0053423A">
              <w:rPr>
                <w:rFonts w:cs="Times New Roman"/>
                <w:sz w:val="20"/>
                <w:szCs w:val="20"/>
                <w:lang w:val="hy-AM"/>
              </w:rPr>
              <w:t xml:space="preserve">Անհրաժեշտությունը բխում է Սահմանադրության 19-րդ հոդվածի 2-րդ մասի պահանջներից </w:t>
            </w:r>
            <w:r w:rsidRPr="0053423A">
              <w:rPr>
                <w:rFonts w:cs="Times New Roman"/>
                <w:color w:val="000000"/>
                <w:sz w:val="20"/>
                <w:szCs w:val="20"/>
                <w:shd w:val="clear" w:color="auto" w:fill="FFFFFF"/>
                <w:lang w:val="hy-AM"/>
              </w:rPr>
              <w:t>Հայաստանի Հանրապետությունը միջազգային իրավունքի հիման վրա նպաստում է այլ պետություններում հայոց լեզվի, հայկական պատմական և մշակութային արժեքների պահպանմանը, հայ կրթական և մշակութային կյանքի զարգացմանը։</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ro-RO"/>
              </w:rPr>
              <w:t>1.1.Կ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Times New Roman"/>
                <w:b/>
                <w:sz w:val="20"/>
                <w:szCs w:val="20"/>
                <w:lang w:val="hy-AM"/>
              </w:rPr>
            </w:pPr>
            <w:r w:rsidRPr="0053423A">
              <w:rPr>
                <w:rFonts w:cs="Sylfaen"/>
                <w:sz w:val="20"/>
                <w:szCs w:val="20"/>
                <w:lang w:val="hy-AM"/>
              </w:rPr>
              <w:t xml:space="preserve">Հիմնական խնդիրը Հայոց ցեղասպանության ճանաչմանը, դատապարտմանը և հետևանքների վերացմանը նպատակաուղղված տարբեր միջոցառումների իրականացման միջոցով հայկական ու համաշխարհային հանրությանը 20-րդ դարի ամենախոշոր ոճրագործության մասին բարձրաձայնելն է, Հայաստան-Սփյուռք կապերի ամրապնդումը, Հայոց ցեղասպանության միջազգային ճանաչմանը նպաստելը և այդ գործում սփյուռքի ներուժի օգտագործումը: </w:t>
            </w:r>
          </w:p>
          <w:p w:rsidR="002B2CAB" w:rsidRPr="0053423A" w:rsidRDefault="002B2CAB" w:rsidP="00A67858">
            <w:pPr>
              <w:spacing w:line="276" w:lineRule="auto"/>
              <w:jc w:val="both"/>
              <w:rPr>
                <w:rFonts w:cs="Sylfaen"/>
                <w:sz w:val="20"/>
                <w:szCs w:val="20"/>
                <w:lang w:val="af-ZA"/>
              </w:rPr>
            </w:pPr>
            <w:r w:rsidRPr="0053423A">
              <w:rPr>
                <w:rFonts w:cs="Sylfaen"/>
                <w:b/>
                <w:sz w:val="20"/>
                <w:szCs w:val="20"/>
                <w:lang w:val="af-ZA"/>
              </w:rPr>
              <w:t>1.2.</w:t>
            </w:r>
            <w:r w:rsidRPr="0053423A">
              <w:rPr>
                <w:rFonts w:cs="Sylfaen"/>
                <w:b/>
                <w:sz w:val="20"/>
                <w:szCs w:val="20"/>
                <w:lang w:val="hy-AM"/>
              </w:rPr>
              <w:t>Առկա</w:t>
            </w:r>
            <w:r w:rsidRPr="0053423A">
              <w:rPr>
                <w:rFonts w:cs="Times New Roman"/>
                <w:b/>
                <w:sz w:val="20"/>
                <w:szCs w:val="20"/>
                <w:lang w:val="hy-AM"/>
              </w:rPr>
              <w:t xml:space="preserve"> խնդիրների առաջարկվող լուծումները</w:t>
            </w:r>
            <w:r w:rsidRPr="0053423A">
              <w:rPr>
                <w:rFonts w:cs="Sylfaen"/>
                <w:sz w:val="20"/>
                <w:szCs w:val="20"/>
                <w:lang w:val="af-ZA"/>
              </w:rPr>
              <w:t xml:space="preserve"> </w:t>
            </w:r>
          </w:p>
          <w:p w:rsidR="002B2CAB" w:rsidRPr="0053423A" w:rsidRDefault="002B2CAB" w:rsidP="00A67858">
            <w:pPr>
              <w:spacing w:line="276" w:lineRule="auto"/>
              <w:jc w:val="both"/>
              <w:rPr>
                <w:rFonts w:cs="Sylfaen"/>
                <w:sz w:val="20"/>
                <w:szCs w:val="20"/>
                <w:lang w:val="af-ZA"/>
              </w:rPr>
            </w:pPr>
            <w:r w:rsidRPr="0053423A">
              <w:rPr>
                <w:rFonts w:cs="Sylfaen"/>
                <w:sz w:val="20"/>
                <w:szCs w:val="20"/>
                <w:lang w:val="hy-AM"/>
              </w:rPr>
              <w:t>Քարոզչական ֆիլմերի նկարահանում, ինչպես նաև գրքերի և արխիվային փաստաթղթերի, տարբեր ժողովածուների և անհրաժեշտ փաստաթղթերի հրատարակությունների իրականացում, հիմնախնդրին առնչվող արժեքավոր նյութերի՝ տարբեր լեզուներով թարգմանությունների կազմակերպում:</w:t>
            </w:r>
          </w:p>
          <w:p w:rsidR="002B2CAB" w:rsidRPr="0053423A" w:rsidRDefault="002B2CAB" w:rsidP="00A67858">
            <w:pPr>
              <w:spacing w:line="276" w:lineRule="auto"/>
              <w:ind w:right="67"/>
              <w:jc w:val="both"/>
              <w:rPr>
                <w:rFonts w:cs="Times New Roman"/>
                <w:b/>
                <w:sz w:val="20"/>
                <w:szCs w:val="20"/>
                <w:lang w:val="af-ZA"/>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ind w:right="67"/>
              <w:jc w:val="both"/>
              <w:rPr>
                <w:rFonts w:cs="Times New Roman"/>
                <w:b/>
                <w:sz w:val="20"/>
                <w:szCs w:val="20"/>
                <w:lang w:val="af-ZA"/>
              </w:rPr>
            </w:pPr>
            <w:r w:rsidRPr="0053423A">
              <w:rPr>
                <w:rFonts w:cs="Sylfaen"/>
                <w:sz w:val="20"/>
                <w:szCs w:val="20"/>
                <w:lang w:val="hy-AM"/>
              </w:rPr>
              <w:t xml:space="preserve">Հայոց ցեղասպանության ճանաչմանը, դատապարտմանը </w:t>
            </w:r>
            <w:r w:rsidRPr="0053423A">
              <w:rPr>
                <w:rFonts w:cs="Sylfaen"/>
                <w:sz w:val="20"/>
                <w:szCs w:val="20"/>
              </w:rPr>
              <w:t>և</w:t>
            </w:r>
            <w:r w:rsidRPr="0053423A">
              <w:rPr>
                <w:rFonts w:cs="Sylfaen"/>
                <w:sz w:val="20"/>
                <w:szCs w:val="20"/>
                <w:lang w:val="hy-AM"/>
              </w:rPr>
              <w:t xml:space="preserve"> հետ</w:t>
            </w:r>
            <w:r w:rsidRPr="0053423A">
              <w:rPr>
                <w:rFonts w:cs="Sylfaen"/>
                <w:sz w:val="20"/>
                <w:szCs w:val="20"/>
              </w:rPr>
              <w:t>և</w:t>
            </w:r>
            <w:r w:rsidRPr="0053423A">
              <w:rPr>
                <w:rFonts w:cs="Sylfaen"/>
                <w:sz w:val="20"/>
                <w:szCs w:val="20"/>
                <w:lang w:val="hy-AM"/>
              </w:rPr>
              <w:t>անքների վերացմանը նպատակաուղղված միջոցառումների իրականացում</w:t>
            </w:r>
            <w:r w:rsidRPr="0053423A">
              <w:rPr>
                <w:rFonts w:cs="Sylfaen"/>
                <w:sz w:val="20"/>
                <w:szCs w:val="20"/>
                <w:lang w:val="af-ZA"/>
              </w:rPr>
              <w:t>:</w:t>
            </w:r>
          </w:p>
          <w:p w:rsidR="002B2CAB" w:rsidRPr="0053423A" w:rsidRDefault="002B2CAB" w:rsidP="00A67858">
            <w:pPr>
              <w:shd w:val="clear" w:color="auto" w:fill="FFFFFF"/>
              <w:spacing w:line="276" w:lineRule="auto"/>
              <w:jc w:val="both"/>
              <w:rPr>
                <w:rFonts w:eastAsia="Calibri" w:cs="Times New Roman"/>
                <w:b/>
                <w:color w:val="000000"/>
                <w:sz w:val="20"/>
                <w:szCs w:val="20"/>
                <w:lang w:val="af-ZA"/>
              </w:rPr>
            </w:pPr>
          </w:p>
          <w:p w:rsidR="002B2CAB" w:rsidRPr="0053423A" w:rsidRDefault="002B2CAB" w:rsidP="00A67858">
            <w:pPr>
              <w:shd w:val="clear" w:color="auto" w:fill="FFFFFF"/>
              <w:spacing w:line="276" w:lineRule="auto"/>
              <w:jc w:val="both"/>
              <w:rPr>
                <w:rFonts w:eastAsia="Calibri" w:cs="Times New Roman"/>
                <w:b/>
                <w:color w:val="000000"/>
                <w:sz w:val="20"/>
                <w:szCs w:val="20"/>
                <w:lang w:val="hy-AM"/>
              </w:rPr>
            </w:pPr>
            <w:r w:rsidRPr="0053423A">
              <w:rPr>
                <w:rFonts w:eastAsia="Calibri"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eastAsia="Calibri" w:cs="Times New Roman"/>
                <w:b/>
                <w:color w:val="000000"/>
                <w:sz w:val="20"/>
                <w:szCs w:val="20"/>
                <w:lang w:val="hy-AM"/>
              </w:rPr>
              <w:t>կնկալվող արդյունքը</w:t>
            </w:r>
          </w:p>
          <w:p w:rsidR="002B2CAB" w:rsidRPr="0053423A" w:rsidRDefault="002B2CAB" w:rsidP="00A67858">
            <w:pPr>
              <w:tabs>
                <w:tab w:val="left" w:pos="3119"/>
                <w:tab w:val="left" w:pos="3402"/>
              </w:tabs>
              <w:spacing w:line="276" w:lineRule="auto"/>
              <w:jc w:val="both"/>
              <w:rPr>
                <w:rFonts w:cs="Times New Roman"/>
                <w:sz w:val="20"/>
                <w:szCs w:val="20"/>
                <w:lang w:val="it-IT"/>
              </w:rPr>
            </w:pPr>
            <w:r w:rsidRPr="0053423A">
              <w:rPr>
                <w:rFonts w:cs="Times New Roman"/>
                <w:sz w:val="20"/>
                <w:szCs w:val="20"/>
                <w:lang w:val="hy-AM"/>
              </w:rPr>
              <w:t>Ծրագրի</w:t>
            </w:r>
            <w:r w:rsidRPr="0053423A">
              <w:rPr>
                <w:rFonts w:cs="Times New Roman"/>
                <w:sz w:val="20"/>
                <w:szCs w:val="20"/>
                <w:lang w:val="fr-FR"/>
              </w:rPr>
              <w:t xml:space="preserve"> </w:t>
            </w:r>
            <w:r w:rsidRPr="0053423A">
              <w:rPr>
                <w:rFonts w:cs="Times New Roman"/>
                <w:sz w:val="20"/>
                <w:szCs w:val="20"/>
                <w:lang w:val="hy-AM"/>
              </w:rPr>
              <w:t>արդյունքում</w:t>
            </w:r>
            <w:r w:rsidRPr="0053423A">
              <w:rPr>
                <w:rFonts w:cs="Times New Roman"/>
                <w:sz w:val="20"/>
                <w:szCs w:val="20"/>
                <w:lang w:val="it-IT"/>
              </w:rPr>
              <w:t xml:space="preserve"> կիրականացվեն </w:t>
            </w:r>
            <w:r w:rsidRPr="0053423A">
              <w:rPr>
                <w:rFonts w:cs="Times New Roman"/>
                <w:sz w:val="20"/>
                <w:szCs w:val="20"/>
                <w:lang w:val="hy-AM"/>
              </w:rPr>
              <w:t>Թուրքիայում</w:t>
            </w:r>
            <w:r w:rsidRPr="0053423A">
              <w:rPr>
                <w:rFonts w:cs="Times New Roman"/>
                <w:sz w:val="20"/>
                <w:szCs w:val="20"/>
                <w:lang w:val="it-IT"/>
              </w:rPr>
              <w:t xml:space="preserve">  </w:t>
            </w:r>
            <w:r w:rsidRPr="0053423A">
              <w:rPr>
                <w:rFonts w:cs="Times New Roman"/>
                <w:sz w:val="20"/>
                <w:szCs w:val="20"/>
                <w:lang w:val="hy-AM"/>
              </w:rPr>
              <w:t>թրքախոս</w:t>
            </w:r>
            <w:r w:rsidRPr="0053423A">
              <w:rPr>
                <w:rFonts w:cs="Times New Roman"/>
                <w:sz w:val="20"/>
                <w:szCs w:val="20"/>
                <w:lang w:val="it-IT"/>
              </w:rPr>
              <w:t xml:space="preserve"> </w:t>
            </w:r>
            <w:r w:rsidRPr="0053423A">
              <w:rPr>
                <w:rFonts w:cs="Times New Roman"/>
                <w:sz w:val="20"/>
                <w:szCs w:val="20"/>
                <w:lang w:val="hy-AM"/>
              </w:rPr>
              <w:t>հայերի</w:t>
            </w:r>
            <w:r w:rsidRPr="0053423A">
              <w:rPr>
                <w:rFonts w:cs="Times New Roman"/>
                <w:sz w:val="20"/>
                <w:szCs w:val="20"/>
                <w:lang w:val="it-IT"/>
              </w:rPr>
              <w:t xml:space="preserve"> </w:t>
            </w:r>
            <w:r w:rsidRPr="0053423A">
              <w:rPr>
                <w:rFonts w:cs="Times New Roman"/>
                <w:sz w:val="20"/>
                <w:szCs w:val="20"/>
                <w:lang w:val="hy-AM"/>
              </w:rPr>
              <w:t>համար</w:t>
            </w:r>
            <w:r w:rsidRPr="0053423A">
              <w:rPr>
                <w:rFonts w:cs="Times New Roman"/>
                <w:sz w:val="20"/>
                <w:szCs w:val="20"/>
                <w:lang w:val="it-IT"/>
              </w:rPr>
              <w:t xml:space="preserve"> </w:t>
            </w:r>
            <w:r w:rsidRPr="0053423A">
              <w:rPr>
                <w:rFonts w:cs="Times New Roman"/>
                <w:sz w:val="20"/>
                <w:szCs w:val="20"/>
                <w:lang w:val="hy-AM"/>
              </w:rPr>
              <w:t>հայագիտության</w:t>
            </w:r>
            <w:r w:rsidRPr="0053423A">
              <w:rPr>
                <w:rFonts w:cs="Times New Roman"/>
                <w:sz w:val="20"/>
                <w:szCs w:val="20"/>
                <w:lang w:val="it-IT"/>
              </w:rPr>
              <w:t xml:space="preserve">, </w:t>
            </w:r>
            <w:r w:rsidRPr="0053423A">
              <w:rPr>
                <w:rFonts w:cs="Times New Roman"/>
                <w:sz w:val="20"/>
                <w:szCs w:val="20"/>
                <w:lang w:val="hy-AM"/>
              </w:rPr>
              <w:t>մշակութային</w:t>
            </w:r>
            <w:r w:rsidRPr="0053423A">
              <w:rPr>
                <w:rFonts w:cs="Times New Roman"/>
                <w:sz w:val="20"/>
                <w:szCs w:val="20"/>
                <w:lang w:val="it-IT"/>
              </w:rPr>
              <w:t xml:space="preserve"> </w:t>
            </w:r>
            <w:r w:rsidRPr="0053423A">
              <w:rPr>
                <w:rFonts w:cs="Times New Roman"/>
                <w:sz w:val="20"/>
                <w:szCs w:val="20"/>
                <w:lang w:val="hy-AM"/>
              </w:rPr>
              <w:t>առանձնահատկությունների</w:t>
            </w:r>
            <w:r w:rsidRPr="0053423A">
              <w:rPr>
                <w:rFonts w:cs="Times New Roman"/>
                <w:sz w:val="20"/>
                <w:szCs w:val="20"/>
                <w:lang w:val="it-IT"/>
              </w:rPr>
              <w:t xml:space="preserve"> </w:t>
            </w:r>
            <w:r w:rsidRPr="0053423A">
              <w:rPr>
                <w:rFonts w:cs="Times New Roman"/>
                <w:sz w:val="20"/>
                <w:szCs w:val="20"/>
                <w:lang w:val="hy-AM"/>
              </w:rPr>
              <w:t>ծանոթացման</w:t>
            </w:r>
            <w:r w:rsidRPr="0053423A">
              <w:rPr>
                <w:rFonts w:cs="Times New Roman"/>
                <w:sz w:val="20"/>
                <w:szCs w:val="20"/>
                <w:lang w:val="it-IT"/>
              </w:rPr>
              <w:t xml:space="preserve"> </w:t>
            </w:r>
            <w:r w:rsidRPr="0053423A">
              <w:rPr>
                <w:rFonts w:cs="Times New Roman"/>
                <w:sz w:val="20"/>
                <w:szCs w:val="20"/>
                <w:lang w:val="hy-AM"/>
              </w:rPr>
              <w:t>ծրագրերի</w:t>
            </w:r>
            <w:r w:rsidRPr="0053423A">
              <w:rPr>
                <w:rFonts w:cs="Times New Roman"/>
                <w:sz w:val="20"/>
                <w:szCs w:val="20"/>
                <w:lang w:val="it-IT"/>
              </w:rPr>
              <w:t xml:space="preserve"> </w:t>
            </w:r>
            <w:r w:rsidRPr="0053423A">
              <w:rPr>
                <w:rFonts w:cs="Times New Roman"/>
                <w:sz w:val="20"/>
                <w:szCs w:val="20"/>
                <w:lang w:val="hy-AM"/>
              </w:rPr>
              <w:t>կազմում</w:t>
            </w:r>
            <w:r w:rsidRPr="0053423A">
              <w:rPr>
                <w:rFonts w:cs="Times New Roman"/>
                <w:sz w:val="20"/>
                <w:szCs w:val="20"/>
                <w:lang w:val="it-IT"/>
              </w:rPr>
              <w:t xml:space="preserve">, </w:t>
            </w:r>
            <w:r w:rsidRPr="0053423A">
              <w:rPr>
                <w:rFonts w:cs="Times New Roman"/>
                <w:sz w:val="20"/>
                <w:szCs w:val="20"/>
                <w:lang w:val="hy-AM"/>
              </w:rPr>
              <w:t>սեփական</w:t>
            </w:r>
            <w:r w:rsidRPr="0053423A">
              <w:rPr>
                <w:rFonts w:cs="Times New Roman"/>
                <w:sz w:val="20"/>
                <w:szCs w:val="20"/>
                <w:lang w:val="it-IT"/>
              </w:rPr>
              <w:t xml:space="preserve"> </w:t>
            </w:r>
            <w:r w:rsidRPr="0053423A">
              <w:rPr>
                <w:rFonts w:cs="Times New Roman"/>
                <w:sz w:val="20"/>
                <w:szCs w:val="20"/>
                <w:lang w:val="hy-AM"/>
              </w:rPr>
              <w:t>պատմության</w:t>
            </w:r>
            <w:r w:rsidRPr="0053423A">
              <w:rPr>
                <w:rFonts w:cs="Times New Roman"/>
                <w:sz w:val="20"/>
                <w:szCs w:val="20"/>
                <w:lang w:val="it-IT"/>
              </w:rPr>
              <w:t xml:space="preserve"> </w:t>
            </w:r>
            <w:r w:rsidRPr="0053423A">
              <w:rPr>
                <w:rFonts w:cs="Times New Roman"/>
                <w:sz w:val="20"/>
                <w:szCs w:val="20"/>
                <w:lang w:val="hy-AM"/>
              </w:rPr>
              <w:t>ուսումնասիրում</w:t>
            </w:r>
            <w:r w:rsidRPr="0053423A">
              <w:rPr>
                <w:rFonts w:cs="Times New Roman"/>
                <w:sz w:val="20"/>
                <w:szCs w:val="20"/>
                <w:lang w:val="it-IT"/>
              </w:rPr>
              <w:t xml:space="preserve">, </w:t>
            </w:r>
            <w:r w:rsidRPr="0053423A">
              <w:rPr>
                <w:rFonts w:cs="Times New Roman"/>
                <w:sz w:val="20"/>
                <w:szCs w:val="20"/>
                <w:lang w:val="hy-AM"/>
              </w:rPr>
              <w:t>վերադարձ</w:t>
            </w:r>
            <w:r w:rsidRPr="0053423A">
              <w:rPr>
                <w:rFonts w:cs="Times New Roman"/>
                <w:sz w:val="20"/>
                <w:szCs w:val="20"/>
                <w:lang w:val="it-IT"/>
              </w:rPr>
              <w:t xml:space="preserve"> </w:t>
            </w:r>
            <w:r w:rsidRPr="0053423A">
              <w:rPr>
                <w:rFonts w:cs="Times New Roman"/>
                <w:sz w:val="20"/>
                <w:szCs w:val="20"/>
                <w:lang w:val="hy-AM"/>
              </w:rPr>
              <w:t>հայկական</w:t>
            </w:r>
            <w:r w:rsidRPr="0053423A">
              <w:rPr>
                <w:rFonts w:cs="Times New Roman"/>
                <w:sz w:val="20"/>
                <w:szCs w:val="20"/>
                <w:lang w:val="it-IT"/>
              </w:rPr>
              <w:t xml:space="preserve"> </w:t>
            </w:r>
            <w:r w:rsidRPr="0053423A">
              <w:rPr>
                <w:rFonts w:cs="Times New Roman"/>
                <w:sz w:val="20"/>
                <w:szCs w:val="20"/>
                <w:lang w:val="hy-AM"/>
              </w:rPr>
              <w:t>արմատներին</w:t>
            </w:r>
            <w:r w:rsidRPr="0053423A">
              <w:rPr>
                <w:rFonts w:cs="Times New Roman"/>
                <w:sz w:val="20"/>
                <w:szCs w:val="20"/>
                <w:lang w:val="it-IT"/>
              </w:rPr>
              <w:t xml:space="preserve">, </w:t>
            </w:r>
            <w:r w:rsidRPr="0053423A">
              <w:rPr>
                <w:rFonts w:cs="Times New Roman"/>
                <w:sz w:val="20"/>
                <w:szCs w:val="20"/>
                <w:lang w:val="hy-AM"/>
              </w:rPr>
              <w:t>ինչպես</w:t>
            </w:r>
            <w:r w:rsidRPr="0053423A">
              <w:rPr>
                <w:rFonts w:cs="Times New Roman"/>
                <w:sz w:val="20"/>
                <w:szCs w:val="20"/>
                <w:lang w:val="it-IT"/>
              </w:rPr>
              <w:t xml:space="preserve"> </w:t>
            </w:r>
            <w:r w:rsidRPr="0053423A">
              <w:rPr>
                <w:rFonts w:cs="Times New Roman"/>
                <w:sz w:val="20"/>
                <w:szCs w:val="20"/>
                <w:lang w:val="hy-AM"/>
              </w:rPr>
              <w:t>նաև</w:t>
            </w:r>
            <w:r w:rsidRPr="0053423A">
              <w:rPr>
                <w:rFonts w:cs="Times New Roman"/>
                <w:sz w:val="20"/>
                <w:szCs w:val="20"/>
                <w:lang w:val="it-IT"/>
              </w:rPr>
              <w:t xml:space="preserve"> </w:t>
            </w:r>
            <w:r w:rsidRPr="0053423A">
              <w:rPr>
                <w:rFonts w:cs="Times New Roman"/>
                <w:sz w:val="20"/>
                <w:szCs w:val="20"/>
                <w:lang w:val="hy-AM"/>
              </w:rPr>
              <w:t>կրոնափոխ</w:t>
            </w:r>
            <w:r w:rsidRPr="0053423A">
              <w:rPr>
                <w:rFonts w:cs="Times New Roman"/>
                <w:sz w:val="20"/>
                <w:szCs w:val="20"/>
                <w:lang w:val="fr-FR"/>
              </w:rPr>
              <w:t xml:space="preserve"> </w:t>
            </w:r>
            <w:r w:rsidRPr="0053423A">
              <w:rPr>
                <w:rFonts w:cs="Times New Roman"/>
                <w:sz w:val="20"/>
                <w:szCs w:val="20"/>
                <w:lang w:val="hy-AM"/>
              </w:rPr>
              <w:t>հայերին</w:t>
            </w:r>
            <w:r w:rsidRPr="0053423A">
              <w:rPr>
                <w:rFonts w:cs="Times New Roman"/>
                <w:sz w:val="20"/>
                <w:szCs w:val="20"/>
                <w:lang w:val="it-IT"/>
              </w:rPr>
              <w:t xml:space="preserve"> </w:t>
            </w:r>
            <w:r w:rsidRPr="0053423A">
              <w:rPr>
                <w:rFonts w:cs="Times New Roman"/>
                <w:sz w:val="20"/>
                <w:szCs w:val="20"/>
                <w:lang w:val="hy-AM"/>
              </w:rPr>
              <w:t>հայոց</w:t>
            </w:r>
            <w:r w:rsidRPr="0053423A">
              <w:rPr>
                <w:rFonts w:cs="Times New Roman"/>
                <w:sz w:val="20"/>
                <w:szCs w:val="20"/>
                <w:lang w:val="fr-FR"/>
              </w:rPr>
              <w:t xml:space="preserve"> </w:t>
            </w:r>
            <w:r w:rsidRPr="0053423A">
              <w:rPr>
                <w:rFonts w:cs="Times New Roman"/>
                <w:sz w:val="20"/>
                <w:szCs w:val="20"/>
                <w:lang w:val="hy-AM"/>
              </w:rPr>
              <w:t>լեզվի</w:t>
            </w:r>
            <w:r w:rsidRPr="0053423A">
              <w:rPr>
                <w:rFonts w:cs="Times New Roman"/>
                <w:sz w:val="20"/>
                <w:szCs w:val="20"/>
                <w:lang w:val="fr-FR"/>
              </w:rPr>
              <w:t xml:space="preserve">  </w:t>
            </w:r>
            <w:r w:rsidRPr="0053423A">
              <w:rPr>
                <w:rFonts w:cs="Times New Roman"/>
                <w:sz w:val="20"/>
                <w:szCs w:val="20"/>
                <w:lang w:val="hy-AM"/>
              </w:rPr>
              <w:t>ուսուցում</w:t>
            </w:r>
            <w:r w:rsidRPr="0053423A">
              <w:rPr>
                <w:rFonts w:cs="Times New Roman"/>
                <w:sz w:val="20"/>
                <w:szCs w:val="20"/>
                <w:lang w:val="it-IT"/>
              </w:rPr>
              <w:t>:</w:t>
            </w:r>
            <w:r w:rsidRPr="0053423A">
              <w:rPr>
                <w:rFonts w:cs="Times New Roman"/>
                <w:sz w:val="20"/>
                <w:szCs w:val="20"/>
              </w:rPr>
              <w:t>Նախատեսվում</w:t>
            </w:r>
            <w:r w:rsidRPr="0053423A">
              <w:rPr>
                <w:rFonts w:cs="Times New Roman"/>
                <w:sz w:val="20"/>
                <w:szCs w:val="20"/>
                <w:lang w:val="fr-FR"/>
              </w:rPr>
              <w:t xml:space="preserve"> </w:t>
            </w:r>
            <w:r w:rsidRPr="0053423A">
              <w:rPr>
                <w:rFonts w:cs="Times New Roman"/>
                <w:sz w:val="20"/>
                <w:szCs w:val="20"/>
              </w:rPr>
              <w:t>է</w:t>
            </w:r>
            <w:r w:rsidRPr="0053423A">
              <w:rPr>
                <w:rFonts w:cs="Times New Roman"/>
                <w:sz w:val="20"/>
                <w:szCs w:val="20"/>
                <w:lang w:val="fr-FR"/>
              </w:rPr>
              <w:t xml:space="preserve"> </w:t>
            </w:r>
            <w:r w:rsidRPr="0053423A">
              <w:rPr>
                <w:rFonts w:cs="Times New Roman"/>
                <w:sz w:val="20"/>
                <w:szCs w:val="20"/>
              </w:rPr>
              <w:t>առնվազն</w:t>
            </w:r>
            <w:r w:rsidRPr="0053423A">
              <w:rPr>
                <w:rFonts w:cs="Times New Roman"/>
                <w:sz w:val="20"/>
                <w:szCs w:val="20"/>
                <w:lang w:val="fr-FR"/>
              </w:rPr>
              <w:t xml:space="preserve"> 14 </w:t>
            </w:r>
            <w:r w:rsidRPr="0053423A">
              <w:rPr>
                <w:rFonts w:cs="Times New Roman"/>
                <w:sz w:val="20"/>
                <w:szCs w:val="20"/>
              </w:rPr>
              <w:t>միջոցառումների</w:t>
            </w:r>
            <w:r w:rsidRPr="0053423A">
              <w:rPr>
                <w:rFonts w:cs="Times New Roman"/>
                <w:sz w:val="20"/>
                <w:szCs w:val="20"/>
                <w:lang w:val="it-IT"/>
              </w:rPr>
              <w:t xml:space="preserve"> </w:t>
            </w:r>
            <w:r w:rsidRPr="0053423A">
              <w:rPr>
                <w:rFonts w:cs="Times New Roman"/>
                <w:sz w:val="20"/>
                <w:szCs w:val="20"/>
              </w:rPr>
              <w:t>կազմակերպում</w:t>
            </w:r>
            <w:r w:rsidRPr="0053423A">
              <w:rPr>
                <w:rFonts w:cs="Times New Roman"/>
                <w:sz w:val="20"/>
                <w:szCs w:val="20"/>
                <w:lang w:val="it-IT"/>
              </w:rPr>
              <w:t>:</w:t>
            </w:r>
          </w:p>
          <w:p w:rsidR="002B2CAB" w:rsidRPr="0053423A" w:rsidRDefault="002B2CAB" w:rsidP="00A67858">
            <w:pPr>
              <w:spacing w:line="276" w:lineRule="auto"/>
              <w:rPr>
                <w:rFonts w:cs="Sylfaen"/>
                <w:sz w:val="20"/>
                <w:szCs w:val="20"/>
                <w:lang w:val="it-IT"/>
              </w:rPr>
            </w:pPr>
          </w:p>
        </w:tc>
      </w:tr>
      <w:tr w:rsidR="002B2CAB" w:rsidRPr="00DE2EFA" w:rsidTr="002B2CAB">
        <w:tc>
          <w:tcPr>
            <w:tcW w:w="540" w:type="dxa"/>
            <w:vMerge/>
          </w:tcPr>
          <w:p w:rsidR="002B2CAB" w:rsidRPr="0053423A" w:rsidRDefault="002B2CAB" w:rsidP="00A67858">
            <w:pPr>
              <w:spacing w:line="276" w:lineRule="auto"/>
              <w:jc w:val="both"/>
              <w:rPr>
                <w:rFonts w:cs="Times New Roman"/>
                <w:b/>
                <w:sz w:val="20"/>
                <w:szCs w:val="20"/>
                <w:lang w:val="hy-AM"/>
              </w:rPr>
            </w:pP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cs="Times New Roman"/>
                <w:b/>
                <w:sz w:val="20"/>
                <w:szCs w:val="20"/>
                <w:u w:val="single"/>
                <w:lang w:val="fr-FR"/>
              </w:rPr>
              <w:t>5.3</w:t>
            </w:r>
            <w:r w:rsidRPr="0053423A">
              <w:rPr>
                <w:rFonts w:cs="Times New Roman"/>
                <w:b/>
                <w:sz w:val="20"/>
                <w:szCs w:val="20"/>
                <w:u w:val="single"/>
                <w:lang w:val="hy-AM"/>
              </w:rPr>
              <w:t xml:space="preserve"> Հայոց</w:t>
            </w:r>
            <w:r w:rsidRPr="0053423A">
              <w:rPr>
                <w:rFonts w:cs="Times New Roman"/>
                <w:b/>
                <w:sz w:val="20"/>
                <w:szCs w:val="20"/>
                <w:u w:val="single"/>
                <w:lang w:val="ro-RO"/>
              </w:rPr>
              <w:t xml:space="preserve"> </w:t>
            </w:r>
            <w:r w:rsidRPr="0053423A">
              <w:rPr>
                <w:rFonts w:cs="Times New Roman"/>
                <w:b/>
                <w:sz w:val="20"/>
                <w:szCs w:val="20"/>
                <w:u w:val="single"/>
                <w:lang w:val="hy-AM"/>
              </w:rPr>
              <w:t>ցեղասպանության</w:t>
            </w:r>
            <w:r w:rsidRPr="0053423A">
              <w:rPr>
                <w:rFonts w:cs="Times New Roman"/>
                <w:b/>
                <w:sz w:val="20"/>
                <w:szCs w:val="20"/>
                <w:u w:val="single"/>
                <w:lang w:val="ro-RO"/>
              </w:rPr>
              <w:t xml:space="preserve"> և իսլամացված հայերի </w:t>
            </w:r>
            <w:r w:rsidRPr="0053423A">
              <w:rPr>
                <w:rFonts w:cs="Times New Roman"/>
                <w:b/>
                <w:sz w:val="20"/>
                <w:szCs w:val="20"/>
                <w:u w:val="single"/>
                <w:lang w:val="hy-AM"/>
              </w:rPr>
              <w:t>հիմնախնդիրներին</w:t>
            </w:r>
            <w:r w:rsidRPr="0053423A">
              <w:rPr>
                <w:rFonts w:cs="Times New Roman"/>
                <w:b/>
                <w:sz w:val="20"/>
                <w:szCs w:val="20"/>
                <w:u w:val="single"/>
                <w:lang w:val="ro-RO"/>
              </w:rPr>
              <w:t xml:space="preserve">  </w:t>
            </w:r>
            <w:r w:rsidRPr="0053423A">
              <w:rPr>
                <w:rFonts w:cs="Times New Roman"/>
                <w:b/>
                <w:sz w:val="20"/>
                <w:szCs w:val="20"/>
                <w:u w:val="single"/>
                <w:lang w:val="fr-FR"/>
              </w:rPr>
              <w:t xml:space="preserve">նվիրված միջոցառումներ </w:t>
            </w:r>
            <w:r w:rsidRPr="0053423A">
              <w:rPr>
                <w:rFonts w:cs="Times New Roman"/>
                <w:b/>
                <w:sz w:val="20"/>
                <w:szCs w:val="20"/>
                <w:u w:val="single"/>
                <w:lang w:val="ro-RO"/>
              </w:rPr>
              <w:t>(</w:t>
            </w:r>
            <w:r w:rsidRPr="0053423A">
              <w:rPr>
                <w:rFonts w:cs="Times New Roman"/>
                <w:b/>
                <w:sz w:val="20"/>
                <w:szCs w:val="20"/>
                <w:u w:val="single"/>
                <w:lang w:val="hy-AM"/>
              </w:rPr>
              <w:t>գրքերի</w:t>
            </w:r>
            <w:r w:rsidRPr="0053423A">
              <w:rPr>
                <w:rFonts w:cs="Times New Roman"/>
                <w:b/>
                <w:sz w:val="20"/>
                <w:szCs w:val="20"/>
                <w:u w:val="single"/>
                <w:lang w:val="fr-FR"/>
              </w:rPr>
              <w:t xml:space="preserve"> </w:t>
            </w:r>
            <w:r w:rsidRPr="0053423A">
              <w:rPr>
                <w:rFonts w:cs="Times New Roman"/>
                <w:b/>
                <w:sz w:val="20"/>
                <w:szCs w:val="20"/>
                <w:u w:val="single"/>
                <w:lang w:val="hy-AM"/>
              </w:rPr>
              <w:t>հրատարակություն</w:t>
            </w:r>
            <w:r w:rsidRPr="0053423A">
              <w:rPr>
                <w:rFonts w:cs="Times New Roman"/>
                <w:b/>
                <w:sz w:val="20"/>
                <w:szCs w:val="20"/>
                <w:u w:val="single"/>
                <w:lang w:val="ro-RO"/>
              </w:rPr>
              <w:t xml:space="preserve">, ֆիլմերի նկարահանում, </w:t>
            </w:r>
            <w:r w:rsidRPr="0053423A">
              <w:rPr>
                <w:rFonts w:cs="Sylfaen"/>
                <w:b/>
                <w:sz w:val="20"/>
                <w:szCs w:val="20"/>
                <w:u w:val="single"/>
                <w:lang w:val="hy-AM"/>
              </w:rPr>
              <w:t>Հայոց</w:t>
            </w:r>
            <w:r w:rsidRPr="0053423A">
              <w:rPr>
                <w:rFonts w:cs="Sylfaen"/>
                <w:b/>
                <w:sz w:val="20"/>
                <w:szCs w:val="20"/>
                <w:u w:val="single"/>
                <w:lang w:val="it-IT"/>
              </w:rPr>
              <w:t xml:space="preserve"> </w:t>
            </w:r>
            <w:r w:rsidRPr="0053423A">
              <w:rPr>
                <w:rFonts w:cs="Sylfaen"/>
                <w:b/>
                <w:sz w:val="20"/>
                <w:szCs w:val="20"/>
                <w:u w:val="single"/>
                <w:lang w:val="hy-AM"/>
              </w:rPr>
              <w:t>ցեղասպանությանը</w:t>
            </w:r>
            <w:r w:rsidRPr="0053423A">
              <w:rPr>
                <w:rFonts w:cs="Sylfaen"/>
                <w:b/>
                <w:sz w:val="20"/>
                <w:szCs w:val="20"/>
                <w:u w:val="single"/>
                <w:lang w:val="it-IT"/>
              </w:rPr>
              <w:t xml:space="preserve"> </w:t>
            </w:r>
            <w:r w:rsidRPr="0053423A">
              <w:rPr>
                <w:rFonts w:cs="Sylfaen"/>
                <w:b/>
                <w:sz w:val="20"/>
                <w:szCs w:val="20"/>
                <w:u w:val="single"/>
                <w:lang w:val="hy-AM"/>
              </w:rPr>
              <w:t>նվիրված</w:t>
            </w:r>
            <w:r w:rsidRPr="0053423A">
              <w:rPr>
                <w:rFonts w:cs="Sylfaen"/>
                <w:b/>
                <w:sz w:val="20"/>
                <w:szCs w:val="20"/>
                <w:u w:val="single"/>
                <w:lang w:val="it-IT"/>
              </w:rPr>
              <w:t xml:space="preserve"> </w:t>
            </w:r>
            <w:r w:rsidRPr="0053423A">
              <w:rPr>
                <w:rFonts w:cs="Sylfaen"/>
                <w:b/>
                <w:sz w:val="20"/>
                <w:szCs w:val="20"/>
                <w:u w:val="single"/>
                <w:lang w:val="hy-AM"/>
              </w:rPr>
              <w:t>նյութերի</w:t>
            </w:r>
            <w:r w:rsidRPr="0053423A">
              <w:rPr>
                <w:rFonts w:cs="Sylfaen"/>
                <w:b/>
                <w:sz w:val="20"/>
                <w:szCs w:val="20"/>
                <w:u w:val="single"/>
                <w:lang w:val="it-IT"/>
              </w:rPr>
              <w:t xml:space="preserve"> </w:t>
            </w:r>
            <w:r w:rsidRPr="0053423A">
              <w:rPr>
                <w:rFonts w:cs="Sylfaen"/>
                <w:b/>
                <w:sz w:val="20"/>
                <w:szCs w:val="20"/>
                <w:u w:val="single"/>
                <w:lang w:val="hy-AM"/>
              </w:rPr>
              <w:t>ցուցադրությունների</w:t>
            </w:r>
            <w:r w:rsidRPr="0053423A">
              <w:rPr>
                <w:rFonts w:cs="Sylfaen"/>
                <w:b/>
                <w:sz w:val="20"/>
                <w:szCs w:val="20"/>
                <w:u w:val="single"/>
                <w:lang w:val="it-IT"/>
              </w:rPr>
              <w:t xml:space="preserve"> </w:t>
            </w:r>
            <w:r w:rsidRPr="0053423A">
              <w:rPr>
                <w:rFonts w:cs="Sylfaen"/>
                <w:b/>
                <w:sz w:val="20"/>
                <w:szCs w:val="20"/>
                <w:u w:val="single"/>
                <w:lang w:val="hy-AM"/>
              </w:rPr>
              <w:t>կազմակերպում</w:t>
            </w:r>
            <w:r w:rsidRPr="0053423A">
              <w:rPr>
                <w:rFonts w:cs="Sylfaen"/>
                <w:b/>
                <w:sz w:val="20"/>
                <w:szCs w:val="20"/>
                <w:u w:val="single"/>
                <w:lang w:val="it-IT"/>
              </w:rPr>
              <w:t>)</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Միջոցառման իրականացման անհրաժեշտությունը և նպատակը</w:t>
            </w:r>
          </w:p>
          <w:p w:rsidR="002B2CAB" w:rsidRPr="0053423A" w:rsidRDefault="002B2CAB" w:rsidP="00A67858">
            <w:pPr>
              <w:spacing w:line="276" w:lineRule="auto"/>
              <w:jc w:val="both"/>
              <w:rPr>
                <w:rFonts w:cs="Times New Roman"/>
                <w:color w:val="000000"/>
                <w:sz w:val="20"/>
                <w:szCs w:val="20"/>
                <w:shd w:val="clear" w:color="auto" w:fill="FFFFFF"/>
                <w:lang w:val="hy-AM"/>
              </w:rPr>
            </w:pPr>
            <w:r w:rsidRPr="0053423A">
              <w:rPr>
                <w:rFonts w:cs="Times New Roman"/>
                <w:sz w:val="20"/>
                <w:szCs w:val="20"/>
                <w:lang w:val="hy-AM"/>
              </w:rPr>
              <w:t xml:space="preserve">Անհրաժեշտությունը բխում է Սահմանադրության 19-րդ հոդվածի 2-րդ մասի պահանջներից </w:t>
            </w:r>
            <w:r w:rsidRPr="0053423A">
              <w:rPr>
                <w:rFonts w:cs="Times New Roman"/>
                <w:color w:val="000000"/>
                <w:sz w:val="20"/>
                <w:szCs w:val="20"/>
                <w:shd w:val="clear" w:color="auto" w:fill="FFFFFF"/>
                <w:lang w:val="hy-AM"/>
              </w:rPr>
              <w:t>Հայաստանի Հանրապետությունը միջազգային իրավունքի հիման վրա նպաստում է այլ պետություններում հայոց լեզվի, հայկական պատմական և մշակութային արժեքների պահպանմանը, հայ կրթական և մշակութային կյանքի զարգացմանը։</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ro-RO"/>
              </w:rPr>
              <w:t>1.1.Կ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Times New Roman"/>
                <w:b/>
                <w:sz w:val="20"/>
                <w:szCs w:val="20"/>
                <w:lang w:val="hy-AM"/>
              </w:rPr>
            </w:pPr>
            <w:r w:rsidRPr="0053423A">
              <w:rPr>
                <w:rFonts w:cs="Sylfaen"/>
                <w:sz w:val="20"/>
                <w:szCs w:val="20"/>
                <w:lang w:val="hy-AM"/>
              </w:rPr>
              <w:t xml:space="preserve">Հիմնական խնդիրը Հայոց ցեղասպանության ճանաչմանը, դատապարտմանը և հետևանքների վերացմանը նպատակաուղղված տարբեր միջոցառումների իրականացման միջոցով հայկական ու համաշխարհային հանրությանը 20-րդ դարի ամենախոշոր ոճրագործության մասին բարձրաձայնելն է, Հայաստան-Սփյուռք կապերի ամրապնդումը, Հայոց ցեղասպանության միջազգային ճանաչմանը նպաստելը և այդ գործում սփյուռքի ներուժի օգտագործումը: </w:t>
            </w:r>
          </w:p>
          <w:p w:rsidR="002B2CAB" w:rsidRPr="0053423A" w:rsidRDefault="002B2CAB" w:rsidP="00A67858">
            <w:pPr>
              <w:spacing w:line="276" w:lineRule="auto"/>
              <w:jc w:val="both"/>
              <w:rPr>
                <w:rFonts w:cs="Sylfaen"/>
                <w:sz w:val="20"/>
                <w:szCs w:val="20"/>
                <w:lang w:val="af-ZA"/>
              </w:rPr>
            </w:pPr>
            <w:r w:rsidRPr="0053423A">
              <w:rPr>
                <w:rFonts w:cs="Sylfaen"/>
                <w:b/>
                <w:sz w:val="20"/>
                <w:szCs w:val="20"/>
                <w:lang w:val="af-ZA"/>
              </w:rPr>
              <w:t>1.2.</w:t>
            </w:r>
            <w:r w:rsidRPr="0053423A">
              <w:rPr>
                <w:rFonts w:cs="Sylfaen"/>
                <w:b/>
                <w:sz w:val="20"/>
                <w:szCs w:val="20"/>
                <w:lang w:val="hy-AM"/>
              </w:rPr>
              <w:t>Առկա</w:t>
            </w:r>
            <w:r w:rsidRPr="0053423A">
              <w:rPr>
                <w:rFonts w:cs="Times New Roman"/>
                <w:b/>
                <w:sz w:val="20"/>
                <w:szCs w:val="20"/>
                <w:lang w:val="hy-AM"/>
              </w:rPr>
              <w:t xml:space="preserve"> խնդիրների առաջարկվող լուծումները</w:t>
            </w:r>
            <w:r w:rsidRPr="0053423A">
              <w:rPr>
                <w:rFonts w:cs="Sylfaen"/>
                <w:sz w:val="20"/>
                <w:szCs w:val="20"/>
                <w:lang w:val="af-ZA"/>
              </w:rPr>
              <w:t xml:space="preserve"> </w:t>
            </w:r>
          </w:p>
          <w:p w:rsidR="002B2CAB" w:rsidRPr="0053423A" w:rsidRDefault="002B2CAB" w:rsidP="00A67858">
            <w:pPr>
              <w:spacing w:line="276" w:lineRule="auto"/>
              <w:jc w:val="both"/>
              <w:rPr>
                <w:rFonts w:cs="Sylfaen"/>
                <w:sz w:val="20"/>
                <w:szCs w:val="20"/>
                <w:lang w:val="af-ZA"/>
              </w:rPr>
            </w:pPr>
            <w:r w:rsidRPr="0053423A">
              <w:rPr>
                <w:rFonts w:cs="Sylfaen"/>
                <w:sz w:val="20"/>
                <w:szCs w:val="20"/>
                <w:lang w:val="hy-AM"/>
              </w:rPr>
              <w:t>Քարոզչական ֆիլմերի նկարահանում, ինչպես նաև գրքերի և արխիվային փաստաթղթերի, տարբեր ժողովածուների և անհրաժեշտ փաստաթղթերի հրատարակությունների իրականացում, հիմնախնդրին առնչվող արժեքավոր նյութերի՝ տարբեր լեզուներով թարգմանությունների կազմակերպում:</w:t>
            </w:r>
          </w:p>
          <w:p w:rsidR="002B2CAB" w:rsidRPr="0053423A" w:rsidRDefault="002B2CAB" w:rsidP="00A67858">
            <w:pPr>
              <w:spacing w:line="276" w:lineRule="auto"/>
              <w:ind w:right="67"/>
              <w:jc w:val="both"/>
              <w:rPr>
                <w:rFonts w:cs="Times New Roman"/>
                <w:b/>
                <w:sz w:val="20"/>
                <w:szCs w:val="20"/>
                <w:lang w:val="af-ZA"/>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ind w:right="67"/>
              <w:jc w:val="both"/>
              <w:rPr>
                <w:rFonts w:cs="Times New Roman"/>
                <w:b/>
                <w:sz w:val="20"/>
                <w:szCs w:val="20"/>
                <w:lang w:val="af-ZA"/>
              </w:rPr>
            </w:pPr>
            <w:r w:rsidRPr="0053423A">
              <w:rPr>
                <w:rFonts w:cs="Sylfaen"/>
                <w:sz w:val="20"/>
                <w:szCs w:val="20"/>
                <w:lang w:val="hy-AM"/>
              </w:rPr>
              <w:t xml:space="preserve">Հայոց ցեղասպանության ճանաչմանը, դատապարտմանը </w:t>
            </w:r>
            <w:r w:rsidRPr="0053423A">
              <w:rPr>
                <w:rFonts w:cs="Sylfaen"/>
                <w:sz w:val="20"/>
                <w:szCs w:val="20"/>
              </w:rPr>
              <w:t>և</w:t>
            </w:r>
            <w:r w:rsidRPr="0053423A">
              <w:rPr>
                <w:rFonts w:cs="Sylfaen"/>
                <w:sz w:val="20"/>
                <w:szCs w:val="20"/>
                <w:lang w:val="hy-AM"/>
              </w:rPr>
              <w:t xml:space="preserve"> հետ</w:t>
            </w:r>
            <w:r w:rsidRPr="0053423A">
              <w:rPr>
                <w:rFonts w:cs="Sylfaen"/>
                <w:sz w:val="20"/>
                <w:szCs w:val="20"/>
              </w:rPr>
              <w:t>և</w:t>
            </w:r>
            <w:r w:rsidRPr="0053423A">
              <w:rPr>
                <w:rFonts w:cs="Sylfaen"/>
                <w:sz w:val="20"/>
                <w:szCs w:val="20"/>
                <w:lang w:val="hy-AM"/>
              </w:rPr>
              <w:t>անքների վերացմանը նպատակաուղղված միջոցառումների իրականացում</w:t>
            </w:r>
            <w:r w:rsidRPr="0053423A">
              <w:rPr>
                <w:rFonts w:cs="Sylfaen"/>
                <w:sz w:val="20"/>
                <w:szCs w:val="20"/>
                <w:lang w:val="af-ZA"/>
              </w:rPr>
              <w:t>:</w:t>
            </w:r>
          </w:p>
          <w:p w:rsidR="002B2CAB" w:rsidRPr="0053423A" w:rsidRDefault="002B2CAB" w:rsidP="00A67858">
            <w:pPr>
              <w:spacing w:line="276" w:lineRule="auto"/>
              <w:jc w:val="both"/>
              <w:rPr>
                <w:rFonts w:cs="Times New Roman"/>
                <w:sz w:val="20"/>
                <w:szCs w:val="20"/>
                <w:lang w:val="af-ZA"/>
              </w:rPr>
            </w:pPr>
            <w:r w:rsidRPr="0053423A">
              <w:rPr>
                <w:rFonts w:cs="Times New Roman"/>
                <w:b/>
                <w:sz w:val="20"/>
                <w:szCs w:val="20"/>
                <w:lang w:val="hy-AM"/>
              </w:rPr>
              <w:t>3.Միջոցառման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cs="Times New Roman"/>
                <w:b/>
                <w:color w:val="000000"/>
                <w:sz w:val="20"/>
                <w:szCs w:val="20"/>
                <w:lang w:val="hy-AM"/>
              </w:rPr>
              <w:t>կնկալվող արդյունքը</w:t>
            </w:r>
            <w:r w:rsidRPr="0053423A">
              <w:rPr>
                <w:rFonts w:cs="Times New Roman"/>
                <w:sz w:val="20"/>
                <w:szCs w:val="20"/>
                <w:lang w:val="hy-AM"/>
              </w:rPr>
              <w:t xml:space="preserve"> </w:t>
            </w:r>
          </w:p>
          <w:p w:rsidR="002B2CAB" w:rsidRPr="0053423A" w:rsidRDefault="002B2CAB" w:rsidP="00A67858">
            <w:pPr>
              <w:spacing w:line="276" w:lineRule="auto"/>
              <w:jc w:val="both"/>
              <w:rPr>
                <w:rFonts w:cs="Times New Roman"/>
                <w:sz w:val="20"/>
                <w:szCs w:val="20"/>
                <w:lang w:val="fr-FR"/>
              </w:rPr>
            </w:pPr>
            <w:r w:rsidRPr="0053423A">
              <w:rPr>
                <w:rFonts w:cs="Times New Roman"/>
                <w:sz w:val="20"/>
                <w:szCs w:val="20"/>
                <w:lang w:val="fr-FR"/>
              </w:rPr>
              <w:t>Ծրագրի արդյունքում կ</w:t>
            </w:r>
            <w:r w:rsidRPr="0053423A">
              <w:rPr>
                <w:rFonts w:cs="Times New Roman"/>
                <w:sz w:val="20"/>
                <w:szCs w:val="20"/>
                <w:lang w:val="hy-AM"/>
              </w:rPr>
              <w:t>հավաքագրվեն</w:t>
            </w:r>
            <w:r w:rsidRPr="0053423A">
              <w:rPr>
                <w:rFonts w:cs="Times New Roman"/>
                <w:sz w:val="20"/>
                <w:szCs w:val="20"/>
                <w:lang w:val="fr-FR"/>
              </w:rPr>
              <w:t xml:space="preserve"> </w:t>
            </w:r>
            <w:r w:rsidRPr="0053423A">
              <w:rPr>
                <w:rFonts w:cs="Times New Roman"/>
                <w:sz w:val="20"/>
                <w:szCs w:val="20"/>
                <w:lang w:val="hy-AM"/>
              </w:rPr>
              <w:t>և</w:t>
            </w:r>
            <w:r w:rsidRPr="0053423A">
              <w:rPr>
                <w:rFonts w:cs="Times New Roman"/>
                <w:sz w:val="20"/>
                <w:szCs w:val="20"/>
                <w:lang w:val="fr-FR"/>
              </w:rPr>
              <w:t xml:space="preserve">  կ</w:t>
            </w:r>
            <w:r w:rsidRPr="0053423A">
              <w:rPr>
                <w:rFonts w:cs="Times New Roman"/>
                <w:sz w:val="20"/>
                <w:szCs w:val="20"/>
                <w:lang w:val="hy-AM"/>
              </w:rPr>
              <w:t>հրատարակվեն</w:t>
            </w:r>
            <w:r w:rsidRPr="0053423A">
              <w:rPr>
                <w:rFonts w:cs="Times New Roman"/>
                <w:sz w:val="20"/>
                <w:szCs w:val="20"/>
                <w:lang w:val="fr-FR"/>
              </w:rPr>
              <w:t xml:space="preserve"> հ</w:t>
            </w:r>
            <w:r w:rsidRPr="0053423A">
              <w:rPr>
                <w:rFonts w:cs="Times New Roman"/>
                <w:sz w:val="20"/>
                <w:szCs w:val="20"/>
                <w:lang w:val="hy-AM"/>
              </w:rPr>
              <w:t>ամշենահայության</w:t>
            </w:r>
            <w:r w:rsidRPr="0053423A">
              <w:rPr>
                <w:rFonts w:cs="Times New Roman"/>
                <w:sz w:val="20"/>
                <w:szCs w:val="20"/>
                <w:lang w:val="fr-FR"/>
              </w:rPr>
              <w:t xml:space="preserve"> </w:t>
            </w:r>
            <w:r w:rsidRPr="0053423A">
              <w:rPr>
                <w:rFonts w:cs="Times New Roman"/>
                <w:sz w:val="20"/>
                <w:szCs w:val="20"/>
                <w:lang w:val="hy-AM"/>
              </w:rPr>
              <w:t>մասին</w:t>
            </w:r>
            <w:r w:rsidRPr="0053423A">
              <w:rPr>
                <w:rFonts w:cs="Times New Roman"/>
                <w:sz w:val="20"/>
                <w:szCs w:val="20"/>
                <w:lang w:val="fr-FR"/>
              </w:rPr>
              <w:t xml:space="preserve"> </w:t>
            </w:r>
            <w:r w:rsidRPr="0053423A">
              <w:rPr>
                <w:rFonts w:cs="Times New Roman"/>
                <w:sz w:val="20"/>
                <w:szCs w:val="20"/>
                <w:lang w:val="hy-AM"/>
              </w:rPr>
              <w:t>տեղեկատվության</w:t>
            </w:r>
            <w:r w:rsidRPr="0053423A">
              <w:rPr>
                <w:rFonts w:cs="Times New Roman"/>
                <w:sz w:val="20"/>
                <w:szCs w:val="20"/>
                <w:lang w:val="fr-FR"/>
              </w:rPr>
              <w:t xml:space="preserve"> </w:t>
            </w:r>
            <w:r w:rsidRPr="0053423A">
              <w:rPr>
                <w:rFonts w:cs="Times New Roman"/>
                <w:sz w:val="20"/>
                <w:szCs w:val="20"/>
                <w:lang w:val="hy-AM"/>
              </w:rPr>
              <w:t>և</w:t>
            </w:r>
            <w:r w:rsidRPr="0053423A">
              <w:rPr>
                <w:rFonts w:cs="Times New Roman"/>
                <w:sz w:val="20"/>
                <w:szCs w:val="20"/>
                <w:lang w:val="fr-FR"/>
              </w:rPr>
              <w:t xml:space="preserve"> </w:t>
            </w:r>
            <w:r w:rsidRPr="0053423A">
              <w:rPr>
                <w:rFonts w:cs="Times New Roman"/>
                <w:sz w:val="20"/>
                <w:szCs w:val="20"/>
                <w:lang w:val="hy-AM"/>
              </w:rPr>
              <w:t>բանահյուսության</w:t>
            </w:r>
            <w:r w:rsidRPr="0053423A">
              <w:rPr>
                <w:rFonts w:cs="Times New Roman"/>
                <w:sz w:val="20"/>
                <w:szCs w:val="20"/>
                <w:lang w:val="fr-FR"/>
              </w:rPr>
              <w:t xml:space="preserve"> </w:t>
            </w:r>
            <w:r w:rsidRPr="0053423A">
              <w:rPr>
                <w:rFonts w:cs="Times New Roman"/>
                <w:sz w:val="20"/>
                <w:szCs w:val="20"/>
                <w:lang w:val="hy-AM"/>
              </w:rPr>
              <w:t>նյութեր</w:t>
            </w:r>
            <w:r w:rsidRPr="0053423A">
              <w:rPr>
                <w:rFonts w:cs="Times New Roman"/>
                <w:sz w:val="20"/>
                <w:szCs w:val="20"/>
                <w:lang w:val="fr-FR"/>
              </w:rPr>
              <w:t xml:space="preserve">, </w:t>
            </w:r>
            <w:r w:rsidRPr="0053423A">
              <w:rPr>
                <w:rFonts w:cs="Times New Roman"/>
                <w:sz w:val="20"/>
                <w:szCs w:val="20"/>
                <w:lang w:val="hy-AM"/>
              </w:rPr>
              <w:t>կհանրայնացվեն</w:t>
            </w:r>
            <w:r w:rsidRPr="0053423A">
              <w:rPr>
                <w:rFonts w:cs="Times New Roman"/>
                <w:sz w:val="20"/>
                <w:szCs w:val="20"/>
                <w:lang w:val="fr-FR"/>
              </w:rPr>
              <w:t xml:space="preserve"> կ</w:t>
            </w:r>
            <w:r w:rsidRPr="0053423A">
              <w:rPr>
                <w:rFonts w:cs="Times New Roman"/>
                <w:sz w:val="20"/>
                <w:szCs w:val="20"/>
                <w:lang w:val="hy-AM"/>
              </w:rPr>
              <w:t>րոնափոխ</w:t>
            </w:r>
            <w:r w:rsidRPr="0053423A">
              <w:rPr>
                <w:rFonts w:cs="Times New Roman"/>
                <w:sz w:val="20"/>
                <w:szCs w:val="20"/>
                <w:lang w:val="ro-RO"/>
              </w:rPr>
              <w:t xml:space="preserve"> </w:t>
            </w:r>
            <w:r w:rsidRPr="0053423A">
              <w:rPr>
                <w:rFonts w:cs="Times New Roman"/>
                <w:sz w:val="20"/>
                <w:szCs w:val="20"/>
                <w:lang w:val="hy-AM"/>
              </w:rPr>
              <w:t>արևմտահայության</w:t>
            </w:r>
            <w:r w:rsidRPr="0053423A">
              <w:rPr>
                <w:rFonts w:cs="Times New Roman"/>
                <w:sz w:val="20"/>
                <w:szCs w:val="20"/>
                <w:lang w:val="fr-FR"/>
              </w:rPr>
              <w:t xml:space="preserve"> </w:t>
            </w:r>
            <w:r w:rsidRPr="0053423A">
              <w:rPr>
                <w:rFonts w:cs="Times New Roman"/>
                <w:sz w:val="20"/>
                <w:szCs w:val="20"/>
                <w:lang w:val="hy-AM"/>
              </w:rPr>
              <w:t>և</w:t>
            </w:r>
            <w:r w:rsidRPr="0053423A">
              <w:rPr>
                <w:rFonts w:cs="Times New Roman"/>
                <w:sz w:val="20"/>
                <w:szCs w:val="20"/>
                <w:lang w:val="fr-FR"/>
              </w:rPr>
              <w:t xml:space="preserve"> </w:t>
            </w:r>
            <w:r w:rsidRPr="0053423A">
              <w:rPr>
                <w:rFonts w:cs="Times New Roman"/>
                <w:sz w:val="20"/>
                <w:szCs w:val="20"/>
                <w:lang w:val="hy-AM"/>
              </w:rPr>
              <w:t>Հայոց</w:t>
            </w:r>
            <w:r w:rsidRPr="0053423A">
              <w:rPr>
                <w:rFonts w:cs="Times New Roman"/>
                <w:sz w:val="20"/>
                <w:szCs w:val="20"/>
                <w:lang w:val="it-IT"/>
              </w:rPr>
              <w:t xml:space="preserve"> </w:t>
            </w:r>
            <w:r w:rsidRPr="0053423A">
              <w:rPr>
                <w:rFonts w:cs="Times New Roman"/>
                <w:sz w:val="20"/>
                <w:szCs w:val="20"/>
                <w:lang w:val="hy-AM"/>
              </w:rPr>
              <w:t>ցեղասպանության</w:t>
            </w:r>
            <w:r w:rsidRPr="0053423A">
              <w:rPr>
                <w:rFonts w:cs="Times New Roman"/>
                <w:sz w:val="20"/>
                <w:szCs w:val="20"/>
                <w:lang w:val="it-IT"/>
              </w:rPr>
              <w:t xml:space="preserve"> </w:t>
            </w:r>
            <w:r w:rsidRPr="0053423A">
              <w:rPr>
                <w:rFonts w:cs="Times New Roman"/>
                <w:sz w:val="20"/>
                <w:szCs w:val="20"/>
                <w:lang w:val="hy-AM"/>
              </w:rPr>
              <w:t>մասին</w:t>
            </w:r>
            <w:r w:rsidRPr="0053423A">
              <w:rPr>
                <w:rFonts w:cs="Times New Roman"/>
                <w:sz w:val="20"/>
                <w:szCs w:val="20"/>
                <w:lang w:val="it-IT"/>
              </w:rPr>
              <w:t xml:space="preserve"> </w:t>
            </w:r>
            <w:r w:rsidRPr="0053423A">
              <w:rPr>
                <w:rFonts w:cs="Times New Roman"/>
                <w:sz w:val="20"/>
                <w:szCs w:val="20"/>
                <w:lang w:val="hy-AM"/>
              </w:rPr>
              <w:t>տեղեկատվության</w:t>
            </w:r>
            <w:r w:rsidRPr="0053423A">
              <w:rPr>
                <w:rFonts w:cs="Times New Roman"/>
                <w:sz w:val="20"/>
                <w:szCs w:val="20"/>
                <w:lang w:val="ro-RO"/>
              </w:rPr>
              <w:t xml:space="preserve"> </w:t>
            </w:r>
            <w:r w:rsidRPr="0053423A">
              <w:rPr>
                <w:rFonts w:cs="Times New Roman"/>
                <w:sz w:val="20"/>
                <w:szCs w:val="20"/>
                <w:lang w:val="hy-AM"/>
              </w:rPr>
              <w:t>հիմնախնդիրները</w:t>
            </w:r>
            <w:r w:rsidRPr="0053423A">
              <w:rPr>
                <w:rFonts w:cs="Times New Roman"/>
                <w:sz w:val="20"/>
                <w:szCs w:val="20"/>
                <w:lang w:val="fr-FR"/>
              </w:rPr>
              <w:t xml:space="preserve">, ինչպես նաև </w:t>
            </w:r>
            <w:r w:rsidRPr="0053423A">
              <w:rPr>
                <w:rFonts w:cs="Times New Roman"/>
                <w:sz w:val="20"/>
                <w:szCs w:val="20"/>
                <w:lang w:val="hy-AM"/>
              </w:rPr>
              <w:t>Հայոց</w:t>
            </w:r>
            <w:r w:rsidRPr="0053423A">
              <w:rPr>
                <w:rFonts w:cs="Times New Roman"/>
                <w:sz w:val="20"/>
                <w:szCs w:val="20"/>
                <w:lang w:val="fr-FR"/>
              </w:rPr>
              <w:t xml:space="preserve"> </w:t>
            </w:r>
            <w:r w:rsidRPr="0053423A">
              <w:rPr>
                <w:rFonts w:cs="Times New Roman"/>
                <w:sz w:val="20"/>
                <w:szCs w:val="20"/>
                <w:lang w:val="hy-AM"/>
              </w:rPr>
              <w:t>ցեղասպանության</w:t>
            </w:r>
            <w:r w:rsidRPr="0053423A">
              <w:rPr>
                <w:rFonts w:cs="Times New Roman"/>
                <w:sz w:val="20"/>
                <w:szCs w:val="20"/>
                <w:lang w:val="fr-FR"/>
              </w:rPr>
              <w:t xml:space="preserve"> </w:t>
            </w:r>
            <w:r w:rsidRPr="0053423A">
              <w:rPr>
                <w:rFonts w:cs="Times New Roman"/>
                <w:sz w:val="20"/>
                <w:szCs w:val="20"/>
                <w:lang w:val="hy-AM"/>
              </w:rPr>
              <w:t>մասին</w:t>
            </w:r>
            <w:r w:rsidRPr="0053423A">
              <w:rPr>
                <w:rFonts w:cs="Times New Roman"/>
                <w:sz w:val="20"/>
                <w:szCs w:val="20"/>
                <w:lang w:val="fr-FR"/>
              </w:rPr>
              <w:t xml:space="preserve"> </w:t>
            </w:r>
            <w:r w:rsidRPr="0053423A">
              <w:rPr>
                <w:rFonts w:cs="Times New Roman"/>
                <w:sz w:val="20"/>
                <w:szCs w:val="20"/>
                <w:lang w:val="hy-AM"/>
              </w:rPr>
              <w:t>նոր</w:t>
            </w:r>
            <w:r w:rsidRPr="0053423A">
              <w:rPr>
                <w:rFonts w:cs="Times New Roman"/>
                <w:sz w:val="20"/>
                <w:szCs w:val="20"/>
                <w:lang w:val="fr-FR"/>
              </w:rPr>
              <w:t xml:space="preserve"> </w:t>
            </w:r>
            <w:r w:rsidRPr="0053423A">
              <w:rPr>
                <w:rFonts w:cs="Times New Roman"/>
                <w:sz w:val="20"/>
                <w:szCs w:val="20"/>
                <w:lang w:val="hy-AM"/>
              </w:rPr>
              <w:t>տեղեկատվության</w:t>
            </w:r>
            <w:r w:rsidRPr="0053423A">
              <w:rPr>
                <w:rFonts w:cs="Times New Roman"/>
                <w:sz w:val="20"/>
                <w:szCs w:val="20"/>
                <w:lang w:val="fr-FR"/>
              </w:rPr>
              <w:t xml:space="preserve"> </w:t>
            </w:r>
            <w:r w:rsidRPr="0053423A">
              <w:rPr>
                <w:rFonts w:cs="Times New Roman"/>
                <w:sz w:val="20"/>
                <w:szCs w:val="20"/>
                <w:lang w:val="hy-AM"/>
              </w:rPr>
              <w:t>հանրահռչակում</w:t>
            </w:r>
            <w:r w:rsidRPr="0053423A">
              <w:rPr>
                <w:rFonts w:cs="Times New Roman"/>
                <w:sz w:val="20"/>
                <w:szCs w:val="20"/>
                <w:lang w:val="fr-FR"/>
              </w:rPr>
              <w:t xml:space="preserve">, </w:t>
            </w:r>
            <w:r w:rsidRPr="0053423A">
              <w:rPr>
                <w:rFonts w:cs="Times New Roman"/>
                <w:sz w:val="20"/>
                <w:szCs w:val="20"/>
                <w:lang w:val="hy-AM"/>
              </w:rPr>
              <w:t>երիտասարդ</w:t>
            </w:r>
            <w:r w:rsidRPr="0053423A">
              <w:rPr>
                <w:rFonts w:cs="Times New Roman"/>
                <w:sz w:val="20"/>
                <w:szCs w:val="20"/>
                <w:lang w:val="fr-FR"/>
              </w:rPr>
              <w:t xml:space="preserve"> </w:t>
            </w:r>
            <w:r w:rsidRPr="0053423A">
              <w:rPr>
                <w:rFonts w:cs="Times New Roman"/>
                <w:sz w:val="20"/>
                <w:szCs w:val="20"/>
                <w:lang w:val="hy-AM"/>
              </w:rPr>
              <w:t>սերնդի</w:t>
            </w:r>
            <w:r w:rsidRPr="0053423A">
              <w:rPr>
                <w:rFonts w:cs="Times New Roman"/>
                <w:sz w:val="20"/>
                <w:szCs w:val="20"/>
                <w:lang w:val="fr-FR"/>
              </w:rPr>
              <w:t xml:space="preserve"> </w:t>
            </w:r>
            <w:r w:rsidRPr="0053423A">
              <w:rPr>
                <w:rFonts w:cs="Times New Roman"/>
                <w:sz w:val="20"/>
                <w:szCs w:val="20"/>
                <w:lang w:val="hy-AM"/>
              </w:rPr>
              <w:t>դաստիարակությանն</w:t>
            </w:r>
            <w:r w:rsidRPr="0053423A">
              <w:rPr>
                <w:rFonts w:cs="Times New Roman"/>
                <w:sz w:val="20"/>
                <w:szCs w:val="20"/>
                <w:lang w:val="fr-FR"/>
              </w:rPr>
              <w:t xml:space="preserve"> </w:t>
            </w:r>
            <w:r w:rsidRPr="0053423A">
              <w:rPr>
                <w:rFonts w:cs="Times New Roman"/>
                <w:sz w:val="20"/>
                <w:szCs w:val="20"/>
                <w:lang w:val="hy-AM"/>
              </w:rPr>
              <w:t>ուղղված</w:t>
            </w:r>
            <w:r w:rsidRPr="0053423A">
              <w:rPr>
                <w:rFonts w:cs="Times New Roman"/>
                <w:sz w:val="20"/>
                <w:szCs w:val="20"/>
                <w:lang w:val="fr-FR"/>
              </w:rPr>
              <w:t xml:space="preserve"> </w:t>
            </w:r>
            <w:r w:rsidRPr="0053423A">
              <w:rPr>
                <w:rFonts w:cs="Times New Roman"/>
                <w:sz w:val="20"/>
                <w:szCs w:val="20"/>
                <w:lang w:val="hy-AM"/>
              </w:rPr>
              <w:t>աշխատանքների</w:t>
            </w:r>
            <w:r w:rsidRPr="0053423A">
              <w:rPr>
                <w:rFonts w:cs="Times New Roman"/>
                <w:sz w:val="20"/>
                <w:szCs w:val="20"/>
                <w:lang w:val="fr-FR"/>
              </w:rPr>
              <w:t xml:space="preserve"> </w:t>
            </w:r>
            <w:r w:rsidRPr="0053423A">
              <w:rPr>
                <w:rFonts w:cs="Times New Roman"/>
                <w:sz w:val="20"/>
                <w:szCs w:val="20"/>
                <w:lang w:val="hy-AM"/>
              </w:rPr>
              <w:t>շրջանակում</w:t>
            </w:r>
            <w:r w:rsidRPr="0053423A">
              <w:rPr>
                <w:rFonts w:cs="Times New Roman"/>
                <w:sz w:val="20"/>
                <w:szCs w:val="20"/>
                <w:lang w:val="fr-FR"/>
              </w:rPr>
              <w:t xml:space="preserve">: </w:t>
            </w:r>
            <w:r w:rsidRPr="0053423A">
              <w:rPr>
                <w:rFonts w:cs="Times New Roman"/>
                <w:sz w:val="20"/>
                <w:szCs w:val="20"/>
                <w:lang w:val="hy-AM"/>
              </w:rPr>
              <w:t>Նախատեսվում</w:t>
            </w:r>
            <w:r w:rsidRPr="0053423A">
              <w:rPr>
                <w:rFonts w:cs="Times New Roman"/>
                <w:sz w:val="20"/>
                <w:szCs w:val="20"/>
                <w:lang w:val="fr-FR"/>
              </w:rPr>
              <w:t xml:space="preserve"> </w:t>
            </w:r>
            <w:r w:rsidRPr="0053423A">
              <w:rPr>
                <w:rFonts w:cs="Times New Roman"/>
                <w:sz w:val="20"/>
                <w:szCs w:val="20"/>
                <w:lang w:val="hy-AM"/>
              </w:rPr>
              <w:t>է</w:t>
            </w:r>
            <w:r w:rsidRPr="0053423A">
              <w:rPr>
                <w:rFonts w:cs="Times New Roman"/>
                <w:sz w:val="20"/>
                <w:szCs w:val="20"/>
                <w:lang w:val="fr-FR"/>
              </w:rPr>
              <w:t xml:space="preserve"> </w:t>
            </w:r>
            <w:r w:rsidRPr="0053423A">
              <w:rPr>
                <w:rFonts w:cs="Times New Roman"/>
                <w:sz w:val="20"/>
                <w:szCs w:val="20"/>
                <w:lang w:val="hy-AM"/>
              </w:rPr>
              <w:t>առնվազն</w:t>
            </w:r>
            <w:r w:rsidRPr="0053423A">
              <w:rPr>
                <w:rFonts w:cs="Times New Roman"/>
                <w:sz w:val="20"/>
                <w:szCs w:val="20"/>
                <w:lang w:val="fr-FR"/>
              </w:rPr>
              <w:t xml:space="preserve"> 10 </w:t>
            </w:r>
            <w:r w:rsidRPr="0053423A">
              <w:rPr>
                <w:rFonts w:cs="Times New Roman"/>
                <w:sz w:val="20"/>
                <w:szCs w:val="20"/>
                <w:lang w:val="hy-AM"/>
              </w:rPr>
              <w:t>միջոցառումների</w:t>
            </w:r>
            <w:r w:rsidRPr="0053423A">
              <w:rPr>
                <w:rFonts w:cs="Times New Roman"/>
                <w:sz w:val="20"/>
                <w:szCs w:val="20"/>
                <w:lang w:val="ro-RO"/>
              </w:rPr>
              <w:t xml:space="preserve"> </w:t>
            </w:r>
            <w:r w:rsidRPr="0053423A">
              <w:rPr>
                <w:rFonts w:cs="Times New Roman"/>
                <w:sz w:val="20"/>
                <w:szCs w:val="20"/>
                <w:lang w:val="hy-AM"/>
              </w:rPr>
              <w:t>կազմակերպում</w:t>
            </w:r>
            <w:r w:rsidRPr="0053423A">
              <w:rPr>
                <w:rFonts w:cs="Times New Roman"/>
                <w:sz w:val="20"/>
                <w:szCs w:val="20"/>
                <w:lang w:val="ro-RO"/>
              </w:rPr>
              <w:t>:</w:t>
            </w:r>
          </w:p>
        </w:tc>
      </w:tr>
      <w:tr w:rsidR="002B2CAB" w:rsidRPr="0053423A" w:rsidTr="002B2CAB">
        <w:tc>
          <w:tcPr>
            <w:tcW w:w="540" w:type="dxa"/>
            <w:vMerge/>
          </w:tcPr>
          <w:p w:rsidR="002B2CAB" w:rsidRPr="0053423A" w:rsidRDefault="002B2CAB" w:rsidP="00A67858">
            <w:pPr>
              <w:spacing w:line="276" w:lineRule="auto"/>
              <w:jc w:val="both"/>
              <w:rPr>
                <w:rFonts w:cs="Times New Roman"/>
                <w:b/>
                <w:sz w:val="20"/>
                <w:szCs w:val="20"/>
                <w:lang w:val="hy-AM"/>
              </w:rPr>
            </w:pPr>
          </w:p>
        </w:tc>
        <w:tc>
          <w:tcPr>
            <w:tcW w:w="10876" w:type="dxa"/>
          </w:tcPr>
          <w:p w:rsidR="002B2CAB" w:rsidRPr="0053423A" w:rsidRDefault="002B2CAB" w:rsidP="00A67858">
            <w:pPr>
              <w:spacing w:line="276" w:lineRule="auto"/>
              <w:jc w:val="center"/>
              <w:rPr>
                <w:rFonts w:cs="Times New Roman"/>
                <w:b/>
                <w:sz w:val="20"/>
                <w:szCs w:val="20"/>
                <w:u w:val="single"/>
                <w:lang w:val="hy-AM"/>
              </w:rPr>
            </w:pPr>
            <w:r w:rsidRPr="0053423A">
              <w:rPr>
                <w:rFonts w:cs="Times New Roman"/>
                <w:b/>
                <w:sz w:val="20"/>
                <w:szCs w:val="20"/>
                <w:u w:val="single"/>
                <w:lang w:val="fr-FR"/>
              </w:rPr>
              <w:t xml:space="preserve">5.4 </w:t>
            </w:r>
            <w:r w:rsidRPr="0053423A">
              <w:rPr>
                <w:rFonts w:cs="Sylfaen"/>
                <w:b/>
                <w:sz w:val="20"/>
                <w:szCs w:val="20"/>
                <w:u w:val="single"/>
                <w:lang w:val="it-IT"/>
              </w:rPr>
              <w:t>Ա</w:t>
            </w:r>
            <w:r w:rsidRPr="0053423A">
              <w:rPr>
                <w:rFonts w:cs="Times New Roman"/>
                <w:b/>
                <w:sz w:val="20"/>
                <w:szCs w:val="20"/>
                <w:u w:val="single"/>
                <w:lang w:val="hy-AM"/>
              </w:rPr>
              <w:t>ջակցություն</w:t>
            </w:r>
            <w:r w:rsidRPr="0053423A">
              <w:rPr>
                <w:rFonts w:cs="Times New Roman"/>
                <w:b/>
                <w:sz w:val="20"/>
                <w:szCs w:val="20"/>
                <w:u w:val="single"/>
                <w:lang w:val="fr-FR"/>
              </w:rPr>
              <w:t xml:space="preserve"> </w:t>
            </w:r>
            <w:r w:rsidRPr="0053423A">
              <w:rPr>
                <w:rFonts w:cs="Times New Roman"/>
                <w:b/>
                <w:sz w:val="20"/>
                <w:szCs w:val="20"/>
                <w:u w:val="single"/>
                <w:lang w:val="hy-AM"/>
              </w:rPr>
              <w:t>հետազոտությունների</w:t>
            </w:r>
            <w:r w:rsidRPr="0053423A">
              <w:rPr>
                <w:rFonts w:cs="Times New Roman"/>
                <w:b/>
                <w:sz w:val="20"/>
                <w:szCs w:val="20"/>
                <w:u w:val="single"/>
                <w:lang w:val="fr-FR"/>
              </w:rPr>
              <w:t xml:space="preserve"> </w:t>
            </w:r>
            <w:r w:rsidRPr="0053423A">
              <w:rPr>
                <w:rFonts w:cs="Times New Roman"/>
                <w:b/>
                <w:sz w:val="20"/>
                <w:szCs w:val="20"/>
                <w:u w:val="single"/>
                <w:lang w:val="hy-AM"/>
              </w:rPr>
              <w:t>անցկացմանը</w:t>
            </w:r>
            <w:r w:rsidRPr="0053423A">
              <w:rPr>
                <w:rFonts w:cs="Times New Roman"/>
                <w:b/>
                <w:sz w:val="20"/>
                <w:szCs w:val="20"/>
                <w:u w:val="single"/>
                <w:lang w:val="fr-FR"/>
              </w:rPr>
              <w:t xml:space="preserve"> </w:t>
            </w:r>
            <w:r w:rsidRPr="0053423A">
              <w:rPr>
                <w:rFonts w:cs="Times New Roman"/>
                <w:b/>
                <w:sz w:val="20"/>
                <w:szCs w:val="20"/>
                <w:u w:val="single"/>
                <w:lang w:val="hy-AM"/>
              </w:rPr>
              <w:t>Երուսաղեմի</w:t>
            </w:r>
            <w:r w:rsidRPr="0053423A">
              <w:rPr>
                <w:rFonts w:cs="Times New Roman"/>
                <w:b/>
                <w:sz w:val="20"/>
                <w:szCs w:val="20"/>
                <w:u w:val="single"/>
                <w:lang w:val="fr-FR"/>
              </w:rPr>
              <w:t xml:space="preserve"> </w:t>
            </w:r>
            <w:r w:rsidRPr="0053423A">
              <w:rPr>
                <w:rFonts w:cs="Times New Roman"/>
                <w:b/>
                <w:sz w:val="20"/>
                <w:szCs w:val="20"/>
                <w:u w:val="single"/>
                <w:lang w:val="hy-AM"/>
              </w:rPr>
              <w:t>Հայոց</w:t>
            </w:r>
            <w:r w:rsidRPr="0053423A">
              <w:rPr>
                <w:rFonts w:cs="Times New Roman"/>
                <w:b/>
                <w:sz w:val="20"/>
                <w:szCs w:val="20"/>
                <w:u w:val="single"/>
                <w:lang w:val="fr-FR"/>
              </w:rPr>
              <w:t xml:space="preserve"> </w:t>
            </w:r>
            <w:r w:rsidRPr="0053423A">
              <w:rPr>
                <w:rFonts w:cs="Times New Roman"/>
                <w:b/>
                <w:sz w:val="20"/>
                <w:szCs w:val="20"/>
                <w:u w:val="single"/>
                <w:lang w:val="hy-AM"/>
              </w:rPr>
              <w:t>պատրիարքարանի</w:t>
            </w:r>
            <w:r w:rsidRPr="0053423A">
              <w:rPr>
                <w:rFonts w:cs="Times New Roman"/>
                <w:b/>
                <w:sz w:val="20"/>
                <w:szCs w:val="20"/>
                <w:u w:val="single"/>
                <w:lang w:val="fr-FR"/>
              </w:rPr>
              <w:t xml:space="preserve"> </w:t>
            </w:r>
            <w:r w:rsidRPr="0053423A">
              <w:rPr>
                <w:rFonts w:cs="Times New Roman"/>
                <w:b/>
                <w:sz w:val="20"/>
                <w:szCs w:val="20"/>
                <w:u w:val="single"/>
                <w:lang w:val="hy-AM"/>
              </w:rPr>
              <w:t>և</w:t>
            </w:r>
            <w:r w:rsidRPr="0053423A">
              <w:rPr>
                <w:rFonts w:cs="Times New Roman"/>
                <w:b/>
                <w:sz w:val="20"/>
                <w:szCs w:val="20"/>
                <w:u w:val="single"/>
                <w:lang w:val="ro-RO"/>
              </w:rPr>
              <w:t xml:space="preserve"> </w:t>
            </w:r>
            <w:r w:rsidRPr="0053423A">
              <w:rPr>
                <w:rFonts w:cs="Times New Roman"/>
                <w:b/>
                <w:sz w:val="20"/>
                <w:szCs w:val="20"/>
                <w:u w:val="single"/>
                <w:lang w:val="hy-AM"/>
              </w:rPr>
              <w:t>Պոլսո</w:t>
            </w:r>
            <w:r w:rsidRPr="0053423A">
              <w:rPr>
                <w:rFonts w:cs="Times New Roman"/>
                <w:b/>
                <w:sz w:val="20"/>
                <w:szCs w:val="20"/>
                <w:u w:val="single"/>
                <w:lang w:val="ro-RO"/>
              </w:rPr>
              <w:t xml:space="preserve"> </w:t>
            </w:r>
            <w:r w:rsidRPr="0053423A">
              <w:rPr>
                <w:rFonts w:cs="Times New Roman"/>
                <w:b/>
                <w:sz w:val="20"/>
                <w:szCs w:val="20"/>
                <w:u w:val="single"/>
                <w:lang w:val="hy-AM"/>
              </w:rPr>
              <w:t>Հայոց</w:t>
            </w:r>
            <w:r w:rsidRPr="0053423A">
              <w:rPr>
                <w:rFonts w:cs="Times New Roman"/>
                <w:b/>
                <w:sz w:val="20"/>
                <w:szCs w:val="20"/>
                <w:u w:val="single"/>
                <w:lang w:val="fr-FR"/>
              </w:rPr>
              <w:t xml:space="preserve"> </w:t>
            </w:r>
            <w:r w:rsidRPr="0053423A">
              <w:rPr>
                <w:rFonts w:cs="Times New Roman"/>
                <w:b/>
                <w:sz w:val="20"/>
                <w:szCs w:val="20"/>
                <w:u w:val="single"/>
                <w:lang w:val="hy-AM"/>
              </w:rPr>
              <w:t>պատրիարքության</w:t>
            </w:r>
            <w:r w:rsidRPr="0053423A">
              <w:rPr>
                <w:rFonts w:cs="Times New Roman"/>
                <w:b/>
                <w:sz w:val="20"/>
                <w:szCs w:val="20"/>
                <w:u w:val="single"/>
                <w:lang w:val="fr-FR"/>
              </w:rPr>
              <w:t xml:space="preserve"> </w:t>
            </w:r>
            <w:r w:rsidRPr="0053423A">
              <w:rPr>
                <w:rFonts w:cs="Times New Roman"/>
                <w:b/>
                <w:sz w:val="20"/>
                <w:szCs w:val="20"/>
                <w:u w:val="single"/>
                <w:lang w:val="hy-AM"/>
              </w:rPr>
              <w:t>արխիվներում</w:t>
            </w:r>
          </w:p>
          <w:p w:rsidR="002B2CAB" w:rsidRPr="0053423A" w:rsidRDefault="002B2CAB" w:rsidP="00A67858">
            <w:pPr>
              <w:spacing w:line="276" w:lineRule="auto"/>
              <w:jc w:val="both"/>
              <w:rPr>
                <w:rFonts w:cs="Times New Roman"/>
                <w:b/>
                <w:sz w:val="20"/>
                <w:szCs w:val="20"/>
                <w:lang w:val="hy-AM"/>
              </w:rPr>
            </w:pPr>
          </w:p>
          <w:p w:rsidR="002B2CAB" w:rsidRPr="0053423A" w:rsidRDefault="002B2CAB" w:rsidP="00A67858">
            <w:pPr>
              <w:spacing w:line="276" w:lineRule="auto"/>
              <w:jc w:val="both"/>
              <w:rPr>
                <w:rFonts w:cs="Times New Roman"/>
                <w:sz w:val="20"/>
                <w:szCs w:val="20"/>
                <w:lang w:val="hy-AM"/>
              </w:rPr>
            </w:pPr>
            <w:r w:rsidRPr="0053423A">
              <w:rPr>
                <w:rFonts w:cs="Times New Roman"/>
                <w:b/>
                <w:sz w:val="20"/>
                <w:szCs w:val="20"/>
                <w:lang w:val="hy-AM"/>
              </w:rPr>
              <w:t>1. 1. Միջոցառման իրականացման անհրաժեշտությունը և նպատակը</w:t>
            </w:r>
          </w:p>
          <w:p w:rsidR="002B2CAB" w:rsidRPr="0053423A" w:rsidRDefault="002B2CAB" w:rsidP="00A67858">
            <w:pPr>
              <w:spacing w:line="276" w:lineRule="auto"/>
              <w:jc w:val="both"/>
              <w:rPr>
                <w:rFonts w:cs="Times New Roman"/>
                <w:color w:val="000000"/>
                <w:sz w:val="20"/>
                <w:szCs w:val="20"/>
                <w:shd w:val="clear" w:color="auto" w:fill="FFFFFF"/>
                <w:lang w:val="hy-AM"/>
              </w:rPr>
            </w:pPr>
            <w:r w:rsidRPr="0053423A">
              <w:rPr>
                <w:rFonts w:cs="Times New Roman"/>
                <w:sz w:val="20"/>
                <w:szCs w:val="20"/>
                <w:lang w:val="hy-AM"/>
              </w:rPr>
              <w:t xml:space="preserve">Անհրաժեշտությունը բխում է Սահմանադրության 19-րդ հոդվածի 2-րդ մասի պահանջներից </w:t>
            </w:r>
            <w:r w:rsidRPr="0053423A">
              <w:rPr>
                <w:rFonts w:cs="Times New Roman"/>
                <w:color w:val="000000"/>
                <w:sz w:val="20"/>
                <w:szCs w:val="20"/>
                <w:shd w:val="clear" w:color="auto" w:fill="FFFFFF"/>
                <w:lang w:val="hy-AM"/>
              </w:rPr>
              <w:t>Հայաստանի Հանրապետությունը միջազգային իրավունքի հիման վրա նպաստում է այլ պետություններում հայոց լեզվի, հայկական պատմական և մշակութային արժեքների պահպանմանը, հայ կրթական և մշակութային կյանքի զարգացմանը։</w:t>
            </w:r>
          </w:p>
          <w:p w:rsidR="002B2CAB" w:rsidRPr="0053423A" w:rsidRDefault="002B2CAB" w:rsidP="00A67858">
            <w:pPr>
              <w:spacing w:line="276" w:lineRule="auto"/>
              <w:jc w:val="both"/>
              <w:rPr>
                <w:rFonts w:cs="Times New Roman"/>
                <w:b/>
                <w:sz w:val="20"/>
                <w:szCs w:val="20"/>
                <w:lang w:val="hy-AM"/>
              </w:rPr>
            </w:pPr>
            <w:r w:rsidRPr="0053423A">
              <w:rPr>
                <w:rFonts w:cs="Times New Roman"/>
                <w:b/>
                <w:sz w:val="20"/>
                <w:szCs w:val="20"/>
                <w:lang w:val="ro-RO"/>
              </w:rPr>
              <w:t>1.1.Կ</w:t>
            </w:r>
            <w:r w:rsidRPr="0053423A">
              <w:rPr>
                <w:rFonts w:cs="Times New Roman"/>
                <w:b/>
                <w:sz w:val="20"/>
                <w:szCs w:val="20"/>
                <w:lang w:val="hy-AM"/>
              </w:rPr>
              <w:t>արգավորման</w:t>
            </w:r>
            <w:r w:rsidRPr="0053423A">
              <w:rPr>
                <w:rFonts w:cs="Times New Roman"/>
                <w:b/>
                <w:sz w:val="20"/>
                <w:szCs w:val="20"/>
                <w:lang w:val="ro-RO"/>
              </w:rPr>
              <w:t xml:space="preserve"> </w:t>
            </w:r>
            <w:r w:rsidRPr="0053423A">
              <w:rPr>
                <w:rFonts w:cs="Times New Roman"/>
                <w:b/>
                <w:sz w:val="20"/>
                <w:szCs w:val="20"/>
                <w:lang w:val="hy-AM"/>
              </w:rPr>
              <w:t>հարաբերությունների</w:t>
            </w:r>
            <w:r w:rsidRPr="0053423A">
              <w:rPr>
                <w:rFonts w:cs="Times New Roman"/>
                <w:b/>
                <w:sz w:val="20"/>
                <w:szCs w:val="20"/>
                <w:lang w:val="ro-RO"/>
              </w:rPr>
              <w:t xml:space="preserve"> </w:t>
            </w:r>
            <w:r w:rsidRPr="0053423A">
              <w:rPr>
                <w:rFonts w:cs="Times New Roman"/>
                <w:b/>
                <w:sz w:val="20"/>
                <w:szCs w:val="20"/>
                <w:lang w:val="hy-AM"/>
              </w:rPr>
              <w:t>ներկա</w:t>
            </w:r>
            <w:r w:rsidRPr="0053423A">
              <w:rPr>
                <w:rFonts w:cs="Times New Roman"/>
                <w:b/>
                <w:sz w:val="20"/>
                <w:szCs w:val="20"/>
                <w:lang w:val="ro-RO"/>
              </w:rPr>
              <w:t xml:space="preserve"> </w:t>
            </w:r>
            <w:r w:rsidRPr="0053423A">
              <w:rPr>
                <w:rFonts w:cs="Times New Roman"/>
                <w:b/>
                <w:sz w:val="20"/>
                <w:szCs w:val="20"/>
                <w:lang w:val="hy-AM"/>
              </w:rPr>
              <w:t>վիճակը</w:t>
            </w:r>
            <w:r w:rsidRPr="0053423A">
              <w:rPr>
                <w:rFonts w:cs="Times New Roman"/>
                <w:b/>
                <w:sz w:val="20"/>
                <w:szCs w:val="20"/>
                <w:lang w:val="ro-RO"/>
              </w:rPr>
              <w:t xml:space="preserve"> </w:t>
            </w:r>
            <w:r w:rsidRPr="0053423A">
              <w:rPr>
                <w:rFonts w:cs="Times New Roman"/>
                <w:b/>
                <w:sz w:val="20"/>
                <w:szCs w:val="20"/>
                <w:lang w:val="hy-AM"/>
              </w:rPr>
              <w:t>և</w:t>
            </w:r>
            <w:r w:rsidRPr="0053423A">
              <w:rPr>
                <w:rFonts w:cs="Times New Roman"/>
                <w:b/>
                <w:sz w:val="20"/>
                <w:szCs w:val="20"/>
                <w:lang w:val="ro-RO"/>
              </w:rPr>
              <w:t xml:space="preserve"> </w:t>
            </w:r>
            <w:r w:rsidRPr="0053423A">
              <w:rPr>
                <w:rFonts w:cs="Times New Roman"/>
                <w:b/>
                <w:sz w:val="20"/>
                <w:szCs w:val="20"/>
                <w:lang w:val="hy-AM"/>
              </w:rPr>
              <w:t>առկա</w:t>
            </w:r>
            <w:r w:rsidRPr="0053423A">
              <w:rPr>
                <w:rFonts w:cs="Times New Roman"/>
                <w:b/>
                <w:sz w:val="20"/>
                <w:szCs w:val="20"/>
                <w:lang w:val="ro-RO"/>
              </w:rPr>
              <w:t xml:space="preserve"> </w:t>
            </w:r>
            <w:r w:rsidRPr="0053423A">
              <w:rPr>
                <w:rFonts w:cs="Times New Roman"/>
                <w:b/>
                <w:sz w:val="20"/>
                <w:szCs w:val="20"/>
                <w:lang w:val="hy-AM"/>
              </w:rPr>
              <w:t>խնդիրները</w:t>
            </w:r>
          </w:p>
          <w:p w:rsidR="002B2CAB" w:rsidRPr="0053423A" w:rsidRDefault="002B2CAB" w:rsidP="00A67858">
            <w:pPr>
              <w:spacing w:line="276" w:lineRule="auto"/>
              <w:jc w:val="both"/>
              <w:rPr>
                <w:rFonts w:cs="Times New Roman"/>
                <w:b/>
                <w:sz w:val="20"/>
                <w:szCs w:val="20"/>
                <w:lang w:val="hy-AM"/>
              </w:rPr>
            </w:pPr>
            <w:r w:rsidRPr="0053423A">
              <w:rPr>
                <w:rFonts w:cs="Sylfaen"/>
                <w:sz w:val="20"/>
                <w:szCs w:val="20"/>
                <w:lang w:val="hy-AM"/>
              </w:rPr>
              <w:t xml:space="preserve">Հիմնական խնդիրը Հայոց ցեղասպանության ճանաչմանը, դատապարտմանը և հետևանքների վերացմանը նպատակաուղղված տարբեր միջոցառումների իրականացման միջոցով հայկական ու համաշխարհային հանրությանը 20-րդ դարի ամենախոշոր ոճրագործության մասին բարձրաձայնելն է, Հայաստան-Սփյուռք կապերի ամրապնդումը, Հայոց ցեղասպանության միջազգային ճանաչմանը նպաստելը և այդ գործում սփյուռքի ներուժի օգտագործումը: </w:t>
            </w:r>
          </w:p>
          <w:p w:rsidR="002B2CAB" w:rsidRPr="0053423A" w:rsidRDefault="002B2CAB" w:rsidP="00A67858">
            <w:pPr>
              <w:spacing w:line="276" w:lineRule="auto"/>
              <w:jc w:val="both"/>
              <w:rPr>
                <w:rFonts w:cs="Sylfaen"/>
                <w:sz w:val="20"/>
                <w:szCs w:val="20"/>
                <w:lang w:val="af-ZA"/>
              </w:rPr>
            </w:pPr>
            <w:r w:rsidRPr="0053423A">
              <w:rPr>
                <w:rFonts w:cs="Sylfaen"/>
                <w:b/>
                <w:sz w:val="20"/>
                <w:szCs w:val="20"/>
                <w:lang w:val="af-ZA"/>
              </w:rPr>
              <w:t>1.2.</w:t>
            </w:r>
            <w:r w:rsidRPr="0053423A">
              <w:rPr>
                <w:rFonts w:cs="Sylfaen"/>
                <w:b/>
                <w:sz w:val="20"/>
                <w:szCs w:val="20"/>
                <w:lang w:val="hy-AM"/>
              </w:rPr>
              <w:t>Առկա</w:t>
            </w:r>
            <w:r w:rsidRPr="0053423A">
              <w:rPr>
                <w:rFonts w:cs="Times New Roman"/>
                <w:b/>
                <w:sz w:val="20"/>
                <w:szCs w:val="20"/>
                <w:lang w:val="hy-AM"/>
              </w:rPr>
              <w:t xml:space="preserve"> խնդիրների առաջարկվող լուծումները</w:t>
            </w:r>
            <w:r w:rsidRPr="0053423A">
              <w:rPr>
                <w:rFonts w:cs="Sylfaen"/>
                <w:sz w:val="20"/>
                <w:szCs w:val="20"/>
                <w:lang w:val="af-ZA"/>
              </w:rPr>
              <w:t xml:space="preserve"> </w:t>
            </w:r>
          </w:p>
          <w:p w:rsidR="002B2CAB" w:rsidRPr="0053423A" w:rsidRDefault="002B2CAB" w:rsidP="00A67858">
            <w:pPr>
              <w:spacing w:line="276" w:lineRule="auto"/>
              <w:jc w:val="both"/>
              <w:rPr>
                <w:rFonts w:cs="Sylfaen"/>
                <w:sz w:val="20"/>
                <w:szCs w:val="20"/>
                <w:lang w:val="af-ZA"/>
              </w:rPr>
            </w:pPr>
            <w:r w:rsidRPr="0053423A">
              <w:rPr>
                <w:rFonts w:cs="Sylfaen"/>
                <w:sz w:val="20"/>
                <w:szCs w:val="20"/>
                <w:lang w:val="hy-AM"/>
              </w:rPr>
              <w:t>Հետազոտությունների իրականացում և արխիվային փաստաթղթերի, տարբեր ժողովածուների և անհրաժեշտ փաստաթղթերի հրատարակությունների իրականացում, հիմնախնդրին առնչվող արժեքավոր նյութերի՝ տարբեր լեզուներով թարգմանությունների կազմակերպում:</w:t>
            </w:r>
          </w:p>
          <w:p w:rsidR="002B2CAB" w:rsidRPr="0053423A" w:rsidRDefault="002B2CAB" w:rsidP="00A67858">
            <w:pPr>
              <w:spacing w:line="276" w:lineRule="auto"/>
              <w:ind w:right="67"/>
              <w:jc w:val="both"/>
              <w:rPr>
                <w:rFonts w:cs="Times New Roman"/>
                <w:b/>
                <w:sz w:val="20"/>
                <w:szCs w:val="20"/>
                <w:lang w:val="af-ZA"/>
              </w:rPr>
            </w:pPr>
            <w:r w:rsidRPr="0053423A">
              <w:rPr>
                <w:rFonts w:cs="Times New Roman"/>
                <w:b/>
                <w:sz w:val="20"/>
                <w:szCs w:val="20"/>
                <w:lang w:val="af-ZA"/>
              </w:rPr>
              <w:t>2</w:t>
            </w:r>
            <w:r w:rsidRPr="0053423A">
              <w:rPr>
                <w:rFonts w:cs="Times New Roman"/>
                <w:b/>
                <w:sz w:val="20"/>
                <w:szCs w:val="20"/>
                <w:lang w:val="hy-AM"/>
              </w:rPr>
              <w:t>.Կարգավորման առարկան</w:t>
            </w:r>
          </w:p>
          <w:p w:rsidR="002B2CAB" w:rsidRPr="0053423A" w:rsidRDefault="002B2CAB" w:rsidP="00A67858">
            <w:pPr>
              <w:spacing w:line="276" w:lineRule="auto"/>
              <w:ind w:right="67"/>
              <w:jc w:val="both"/>
              <w:rPr>
                <w:rFonts w:cs="Times New Roman"/>
                <w:b/>
                <w:sz w:val="20"/>
                <w:szCs w:val="20"/>
                <w:lang w:val="af-ZA"/>
              </w:rPr>
            </w:pPr>
            <w:r w:rsidRPr="0053423A">
              <w:rPr>
                <w:rFonts w:cs="Sylfaen"/>
                <w:sz w:val="20"/>
                <w:szCs w:val="20"/>
                <w:lang w:val="hy-AM"/>
              </w:rPr>
              <w:t xml:space="preserve">Հայոց ցեղասպանության ճանաչմանը, դատապարտմանը </w:t>
            </w:r>
            <w:r w:rsidRPr="0053423A">
              <w:rPr>
                <w:rFonts w:cs="Sylfaen"/>
                <w:sz w:val="20"/>
                <w:szCs w:val="20"/>
              </w:rPr>
              <w:t>և</w:t>
            </w:r>
            <w:r w:rsidRPr="0053423A">
              <w:rPr>
                <w:rFonts w:cs="Sylfaen"/>
                <w:sz w:val="20"/>
                <w:szCs w:val="20"/>
                <w:lang w:val="hy-AM"/>
              </w:rPr>
              <w:t xml:space="preserve"> հետ</w:t>
            </w:r>
            <w:r w:rsidRPr="0053423A">
              <w:rPr>
                <w:rFonts w:cs="Sylfaen"/>
                <w:sz w:val="20"/>
                <w:szCs w:val="20"/>
              </w:rPr>
              <w:t>և</w:t>
            </w:r>
            <w:r w:rsidRPr="0053423A">
              <w:rPr>
                <w:rFonts w:cs="Sylfaen"/>
                <w:sz w:val="20"/>
                <w:szCs w:val="20"/>
                <w:lang w:val="hy-AM"/>
              </w:rPr>
              <w:t>անքների վերացմանը նպատակաուղղված միջոցառումների իրականացում</w:t>
            </w:r>
            <w:r w:rsidRPr="0053423A">
              <w:rPr>
                <w:rFonts w:cs="Sylfaen"/>
                <w:sz w:val="20"/>
                <w:szCs w:val="20"/>
                <w:lang w:val="af-ZA"/>
              </w:rPr>
              <w:t>:</w:t>
            </w:r>
          </w:p>
          <w:p w:rsidR="002B2CAB" w:rsidRPr="0053423A" w:rsidRDefault="002B2CAB" w:rsidP="00A67858">
            <w:pPr>
              <w:spacing w:line="276" w:lineRule="auto"/>
              <w:jc w:val="both"/>
              <w:rPr>
                <w:rFonts w:cs="Times New Roman"/>
                <w:b/>
                <w:sz w:val="20"/>
                <w:szCs w:val="20"/>
                <w:lang w:val="ro-RO"/>
              </w:rPr>
            </w:pPr>
            <w:r w:rsidRPr="0053423A">
              <w:rPr>
                <w:rFonts w:cs="Times New Roman"/>
                <w:b/>
                <w:color w:val="000000"/>
                <w:sz w:val="20"/>
                <w:szCs w:val="20"/>
                <w:lang w:val="hy-AM"/>
              </w:rPr>
              <w:t xml:space="preserve">3. </w:t>
            </w:r>
            <w:r w:rsidRPr="0053423A">
              <w:rPr>
                <w:rFonts w:cs="Times New Roman"/>
                <w:b/>
                <w:sz w:val="20"/>
                <w:szCs w:val="20"/>
                <w:lang w:val="hy-AM"/>
              </w:rPr>
              <w:t>Միջոցառման</w:t>
            </w:r>
            <w:r w:rsidRPr="0053423A">
              <w:rPr>
                <w:rFonts w:cs="Times New Roman"/>
                <w:b/>
                <w:sz w:val="20"/>
                <w:szCs w:val="20"/>
                <w:lang w:val="ro-RO"/>
              </w:rPr>
              <w:t xml:space="preserve"> </w:t>
            </w:r>
            <w:r w:rsidRPr="0053423A">
              <w:rPr>
                <w:rFonts w:cs="Times New Roman"/>
                <w:b/>
                <w:sz w:val="20"/>
                <w:szCs w:val="20"/>
                <w:lang w:val="hy-AM"/>
              </w:rPr>
              <w:t>իրականացումից</w:t>
            </w:r>
            <w:r w:rsidRPr="0053423A">
              <w:rPr>
                <w:rFonts w:cs="Times New Roman"/>
                <w:b/>
                <w:sz w:val="20"/>
                <w:szCs w:val="20"/>
                <w:lang w:val="ro-RO"/>
              </w:rPr>
              <w:t xml:space="preserve"> ա</w:t>
            </w:r>
            <w:r w:rsidRPr="0053423A">
              <w:rPr>
                <w:rFonts w:cs="Times New Roman"/>
                <w:b/>
                <w:color w:val="000000"/>
                <w:sz w:val="20"/>
                <w:szCs w:val="20"/>
                <w:lang w:val="hy-AM"/>
              </w:rPr>
              <w:t>կնկալվող արդյունքը</w:t>
            </w:r>
          </w:p>
          <w:p w:rsidR="002B2CAB" w:rsidRPr="0053423A" w:rsidRDefault="002B2CAB" w:rsidP="00A67858">
            <w:pPr>
              <w:tabs>
                <w:tab w:val="left" w:pos="3119"/>
                <w:tab w:val="left" w:pos="3402"/>
              </w:tabs>
              <w:spacing w:line="276" w:lineRule="auto"/>
              <w:jc w:val="both"/>
              <w:rPr>
                <w:rFonts w:cs="Times New Roman"/>
                <w:sz w:val="20"/>
                <w:szCs w:val="20"/>
                <w:lang w:val="fr-FR"/>
              </w:rPr>
            </w:pPr>
            <w:r w:rsidRPr="0053423A">
              <w:rPr>
                <w:rFonts w:cs="Times New Roman"/>
                <w:sz w:val="20"/>
                <w:szCs w:val="20"/>
                <w:lang w:val="hy-AM"/>
              </w:rPr>
              <w:t>Ծրագրի</w:t>
            </w:r>
            <w:r w:rsidRPr="0053423A">
              <w:rPr>
                <w:rFonts w:cs="Times New Roman"/>
                <w:sz w:val="20"/>
                <w:szCs w:val="20"/>
                <w:lang w:val="fr-FR"/>
              </w:rPr>
              <w:t xml:space="preserve"> </w:t>
            </w:r>
            <w:r w:rsidRPr="0053423A">
              <w:rPr>
                <w:rFonts w:cs="Times New Roman"/>
                <w:sz w:val="20"/>
                <w:szCs w:val="20"/>
                <w:lang w:val="hy-AM"/>
              </w:rPr>
              <w:t>արդյունքում</w:t>
            </w:r>
            <w:r w:rsidRPr="0053423A">
              <w:rPr>
                <w:rFonts w:cs="Times New Roman"/>
                <w:sz w:val="20"/>
                <w:szCs w:val="20"/>
                <w:lang w:val="fr-FR"/>
              </w:rPr>
              <w:t xml:space="preserve"> կ</w:t>
            </w:r>
            <w:r w:rsidRPr="0053423A">
              <w:rPr>
                <w:rFonts w:cs="Times New Roman"/>
                <w:sz w:val="20"/>
                <w:szCs w:val="20"/>
                <w:lang w:val="hy-AM"/>
              </w:rPr>
              <w:t>հանրայնացվի</w:t>
            </w:r>
            <w:r w:rsidRPr="0053423A">
              <w:rPr>
                <w:rFonts w:cs="Times New Roman"/>
                <w:sz w:val="20"/>
                <w:szCs w:val="20"/>
                <w:lang w:val="ro-RO"/>
              </w:rPr>
              <w:t xml:space="preserve"> </w:t>
            </w:r>
            <w:r w:rsidRPr="0053423A">
              <w:rPr>
                <w:rFonts w:cs="Times New Roman"/>
                <w:sz w:val="20"/>
                <w:szCs w:val="20"/>
                <w:lang w:val="hy-AM"/>
              </w:rPr>
              <w:t>Հայոց</w:t>
            </w:r>
            <w:r w:rsidRPr="0053423A">
              <w:rPr>
                <w:rFonts w:cs="Times New Roman"/>
                <w:sz w:val="20"/>
                <w:szCs w:val="20"/>
                <w:lang w:val="it-IT"/>
              </w:rPr>
              <w:t xml:space="preserve"> </w:t>
            </w:r>
            <w:r w:rsidRPr="0053423A">
              <w:rPr>
                <w:rFonts w:cs="Times New Roman"/>
                <w:sz w:val="20"/>
                <w:szCs w:val="20"/>
                <w:lang w:val="hy-AM"/>
              </w:rPr>
              <w:t>ցեղասպանության</w:t>
            </w:r>
            <w:r w:rsidRPr="0053423A">
              <w:rPr>
                <w:rFonts w:cs="Times New Roman"/>
                <w:sz w:val="20"/>
                <w:szCs w:val="20"/>
                <w:lang w:val="it-IT"/>
              </w:rPr>
              <w:t xml:space="preserve"> </w:t>
            </w:r>
            <w:r w:rsidRPr="0053423A">
              <w:rPr>
                <w:rFonts w:cs="Times New Roman"/>
                <w:sz w:val="20"/>
                <w:szCs w:val="20"/>
                <w:lang w:val="hy-AM"/>
              </w:rPr>
              <w:t>մասին</w:t>
            </w:r>
            <w:r w:rsidRPr="0053423A">
              <w:rPr>
                <w:rFonts w:cs="Times New Roman"/>
                <w:sz w:val="20"/>
                <w:szCs w:val="20"/>
                <w:lang w:val="it-IT"/>
              </w:rPr>
              <w:t xml:space="preserve"> </w:t>
            </w:r>
            <w:r w:rsidRPr="0053423A">
              <w:rPr>
                <w:rFonts w:cs="Times New Roman"/>
                <w:sz w:val="20"/>
                <w:szCs w:val="20"/>
                <w:lang w:val="hy-AM"/>
              </w:rPr>
              <w:t>տեղեկատվությունը</w:t>
            </w:r>
            <w:r w:rsidRPr="0053423A">
              <w:rPr>
                <w:rFonts w:cs="Times New Roman"/>
                <w:sz w:val="20"/>
                <w:szCs w:val="20"/>
                <w:lang w:val="ro-RO"/>
              </w:rPr>
              <w:t xml:space="preserve">, </w:t>
            </w:r>
            <w:r w:rsidRPr="0053423A">
              <w:rPr>
                <w:rFonts w:cs="Times New Roman"/>
                <w:sz w:val="20"/>
                <w:szCs w:val="20"/>
                <w:lang w:val="hy-AM"/>
              </w:rPr>
              <w:t>տեղի</w:t>
            </w:r>
            <w:r w:rsidRPr="0053423A">
              <w:rPr>
                <w:rFonts w:cs="Times New Roman"/>
                <w:sz w:val="20"/>
                <w:szCs w:val="20"/>
                <w:lang w:val="ro-RO"/>
              </w:rPr>
              <w:t xml:space="preserve"> </w:t>
            </w:r>
            <w:r w:rsidRPr="0053423A">
              <w:rPr>
                <w:rFonts w:cs="Times New Roman"/>
                <w:sz w:val="20"/>
                <w:szCs w:val="20"/>
                <w:lang w:val="hy-AM"/>
              </w:rPr>
              <w:t>կունենա</w:t>
            </w:r>
            <w:r w:rsidRPr="0053423A">
              <w:rPr>
                <w:rFonts w:cs="Times New Roman"/>
                <w:sz w:val="20"/>
                <w:szCs w:val="20"/>
                <w:lang w:val="ro-RO"/>
              </w:rPr>
              <w:t xml:space="preserve"> </w:t>
            </w:r>
            <w:r w:rsidRPr="0053423A">
              <w:rPr>
                <w:rFonts w:cs="Times New Roman"/>
                <w:sz w:val="20"/>
                <w:szCs w:val="20"/>
                <w:lang w:val="hy-AM"/>
              </w:rPr>
              <w:t>ն</w:t>
            </w:r>
            <w:r w:rsidRPr="0053423A">
              <w:rPr>
                <w:rFonts w:cs="Times New Roman"/>
                <w:sz w:val="20"/>
                <w:szCs w:val="20"/>
                <w:lang w:val="fr-FR"/>
              </w:rPr>
              <w:t xml:space="preserve">յութերի հավաքում, թվայնացում և ըստ անհրաժեշտության թարգմանչական աշխատանքների իրականացում և այլն, </w:t>
            </w:r>
            <w:r w:rsidRPr="0053423A">
              <w:rPr>
                <w:rFonts w:cs="Times New Roman"/>
                <w:sz w:val="20"/>
                <w:szCs w:val="20"/>
                <w:lang w:val="hy-AM"/>
              </w:rPr>
              <w:t>նախատեսվում</w:t>
            </w:r>
            <w:r w:rsidRPr="0053423A">
              <w:rPr>
                <w:rFonts w:cs="Times New Roman"/>
                <w:sz w:val="20"/>
                <w:szCs w:val="20"/>
                <w:lang w:val="fr-FR"/>
              </w:rPr>
              <w:t xml:space="preserve"> </w:t>
            </w:r>
            <w:r w:rsidRPr="0053423A">
              <w:rPr>
                <w:rFonts w:cs="Times New Roman"/>
                <w:sz w:val="20"/>
                <w:szCs w:val="20"/>
                <w:lang w:val="hy-AM"/>
              </w:rPr>
              <w:t>է</w:t>
            </w:r>
            <w:r w:rsidRPr="0053423A">
              <w:rPr>
                <w:rFonts w:cs="Times New Roman"/>
                <w:sz w:val="20"/>
                <w:szCs w:val="20"/>
                <w:lang w:val="fr-FR"/>
              </w:rPr>
              <w:t xml:space="preserve"> </w:t>
            </w:r>
          </w:p>
          <w:p w:rsidR="002B2CAB" w:rsidRPr="0053423A" w:rsidRDefault="002B2CAB" w:rsidP="00A67858">
            <w:pPr>
              <w:spacing w:line="276" w:lineRule="auto"/>
              <w:jc w:val="both"/>
              <w:rPr>
                <w:rFonts w:cs="Times New Roman"/>
                <w:b/>
                <w:sz w:val="20"/>
                <w:szCs w:val="20"/>
                <w:lang w:val="fr-FR"/>
              </w:rPr>
            </w:pPr>
            <w:r w:rsidRPr="0053423A">
              <w:rPr>
                <w:rFonts w:cs="Times New Roman"/>
                <w:sz w:val="20"/>
                <w:szCs w:val="20"/>
              </w:rPr>
              <w:t xml:space="preserve">2 </w:t>
            </w:r>
            <w:r w:rsidRPr="0053423A">
              <w:rPr>
                <w:rFonts w:cs="Times New Roman"/>
                <w:sz w:val="20"/>
                <w:szCs w:val="20"/>
                <w:lang w:val="fr-FR"/>
              </w:rPr>
              <w:t xml:space="preserve"> </w:t>
            </w:r>
            <w:r w:rsidRPr="0053423A">
              <w:rPr>
                <w:rFonts w:cs="Times New Roman"/>
                <w:sz w:val="20"/>
                <w:szCs w:val="20"/>
              </w:rPr>
              <w:t>միջոցառում:</w:t>
            </w:r>
          </w:p>
        </w:tc>
      </w:tr>
    </w:tbl>
    <w:p w:rsidR="002B2CAB" w:rsidRPr="0053423A" w:rsidRDefault="002B2CAB" w:rsidP="00A67858">
      <w:pPr>
        <w:spacing w:after="0" w:line="276" w:lineRule="auto"/>
        <w:rPr>
          <w:rFonts w:eastAsia="Times New Roman" w:cs="Times New Roman"/>
          <w:sz w:val="20"/>
          <w:szCs w:val="20"/>
          <w:lang w:val="fr-FR"/>
        </w:rPr>
      </w:pPr>
    </w:p>
    <w:p w:rsidR="000B3115" w:rsidRPr="0053423A" w:rsidRDefault="000B3115" w:rsidP="00A67858">
      <w:pPr>
        <w:spacing w:after="0" w:line="276" w:lineRule="auto"/>
        <w:rPr>
          <w:sz w:val="20"/>
          <w:szCs w:val="20"/>
          <w:lang w:val="hy-AM"/>
        </w:rPr>
      </w:pPr>
    </w:p>
    <w:p w:rsidR="000B3115" w:rsidRPr="0053423A" w:rsidRDefault="000B3115" w:rsidP="00A67858">
      <w:pPr>
        <w:spacing w:after="0" w:line="276" w:lineRule="auto"/>
        <w:rPr>
          <w:sz w:val="20"/>
          <w:szCs w:val="20"/>
          <w:lang w:val="hy-AM"/>
        </w:rPr>
      </w:pPr>
    </w:p>
    <w:p w:rsidR="000B3115" w:rsidRPr="0053423A" w:rsidRDefault="000B3115" w:rsidP="00A67858">
      <w:pPr>
        <w:spacing w:after="0" w:line="276" w:lineRule="auto"/>
        <w:rPr>
          <w:sz w:val="20"/>
          <w:szCs w:val="20"/>
          <w:lang w:val="hy-AM"/>
        </w:rPr>
      </w:pPr>
    </w:p>
    <w:p w:rsidR="000B3115" w:rsidRPr="0053423A" w:rsidRDefault="000B3115" w:rsidP="00A67858">
      <w:pPr>
        <w:spacing w:after="0" w:line="276" w:lineRule="auto"/>
        <w:rPr>
          <w:sz w:val="20"/>
          <w:szCs w:val="20"/>
          <w:lang w:val="hy-AM"/>
        </w:rPr>
      </w:pPr>
    </w:p>
    <w:tbl>
      <w:tblPr>
        <w:tblStyle w:val="TableGrid"/>
        <w:tblW w:w="11491" w:type="dxa"/>
        <w:tblInd w:w="137" w:type="dxa"/>
        <w:shd w:val="clear" w:color="auto" w:fill="FFFF00"/>
        <w:tblLook w:val="04A0" w:firstRow="1" w:lastRow="0" w:firstColumn="1" w:lastColumn="0" w:noHBand="0" w:noVBand="1"/>
      </w:tblPr>
      <w:tblGrid>
        <w:gridCol w:w="11491"/>
      </w:tblGrid>
      <w:tr w:rsidR="00CE4992" w:rsidRPr="00DE2EFA" w:rsidTr="00CE4992">
        <w:tc>
          <w:tcPr>
            <w:tcW w:w="11491" w:type="dxa"/>
            <w:shd w:val="clear" w:color="auto" w:fill="FFFF00"/>
          </w:tcPr>
          <w:p w:rsidR="00CE4992" w:rsidRPr="0053423A" w:rsidRDefault="00CE4992" w:rsidP="00A67858">
            <w:pPr>
              <w:spacing w:line="276" w:lineRule="auto"/>
              <w:jc w:val="center"/>
              <w:rPr>
                <w:rFonts w:cs="Sylfaen"/>
                <w:b/>
                <w:lang w:val="hy-AM" w:eastAsia="en-GB"/>
              </w:rPr>
            </w:pPr>
            <w:r w:rsidRPr="0053423A">
              <w:rPr>
                <w:rFonts w:cs="Sylfaen"/>
                <w:b/>
                <w:lang w:val="hy-AM" w:eastAsia="en-GB"/>
              </w:rPr>
              <w:t>Տարածքային կառավարման և զարգացման</w:t>
            </w:r>
            <w:r w:rsidRPr="0053423A">
              <w:rPr>
                <w:b/>
                <w:lang w:val="hy-AM"/>
              </w:rPr>
              <w:t xml:space="preserve"> </w:t>
            </w:r>
            <w:r w:rsidRPr="0053423A">
              <w:rPr>
                <w:rFonts w:cs="Arial Unicode"/>
                <w:b/>
                <w:lang w:val="hy-AM"/>
              </w:rPr>
              <w:t>նախարարություն</w:t>
            </w:r>
          </w:p>
        </w:tc>
      </w:tr>
    </w:tbl>
    <w:p w:rsidR="00CE4992" w:rsidRDefault="00CE4992">
      <w:pPr>
        <w:rPr>
          <w:sz w:val="20"/>
          <w:szCs w:val="20"/>
          <w:lang w:val="hy-AM"/>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10915"/>
      </w:tblGrid>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1.</w:t>
            </w:r>
          </w:p>
        </w:tc>
        <w:tc>
          <w:tcPr>
            <w:tcW w:w="10915" w:type="dxa"/>
            <w:shd w:val="clear" w:color="auto" w:fill="auto"/>
          </w:tcPr>
          <w:p w:rsidR="0068680D" w:rsidRPr="00BC61ED" w:rsidRDefault="0068680D" w:rsidP="00F47DC4">
            <w:pPr>
              <w:spacing w:after="0" w:line="276" w:lineRule="auto"/>
              <w:ind w:left="994"/>
              <w:jc w:val="center"/>
              <w:rPr>
                <w:rFonts w:cs="Sylfaen"/>
                <w:b/>
                <w:i/>
                <w:noProof/>
                <w:sz w:val="20"/>
                <w:szCs w:val="20"/>
                <w:u w:val="single"/>
                <w:lang w:val="hy-AM"/>
              </w:rPr>
            </w:pPr>
            <w:r w:rsidRPr="00BC61ED">
              <w:rPr>
                <w:rFonts w:cs="Sylfaen"/>
                <w:b/>
                <w:i/>
                <w:noProof/>
                <w:sz w:val="20"/>
                <w:szCs w:val="20"/>
                <w:u w:val="single"/>
                <w:lang w:val="hy-AM"/>
              </w:rPr>
              <w:t>Մարզպետարանների կազմակերպական կառուցվածքների վերանայում</w:t>
            </w:r>
          </w:p>
          <w:p w:rsidR="0068680D" w:rsidRPr="00BC61ED" w:rsidRDefault="0068680D" w:rsidP="00F47DC4">
            <w:pPr>
              <w:spacing w:after="0" w:line="276" w:lineRule="auto"/>
              <w:ind w:left="994"/>
              <w:rPr>
                <w:b/>
                <w:i/>
                <w:sz w:val="20"/>
                <w:szCs w:val="20"/>
                <w:u w:val="single"/>
                <w:lang w:val="hy-AM"/>
              </w:rPr>
            </w:pPr>
            <w:r>
              <w:rPr>
                <w:rFonts w:cs="Sylfaen"/>
                <w:b/>
                <w:noProof/>
                <w:sz w:val="20"/>
                <w:szCs w:val="20"/>
                <w:lang w:val="hy-AM"/>
              </w:rPr>
              <w:t xml:space="preserve">1.1 </w:t>
            </w:r>
            <w:r w:rsidRPr="00BC61ED">
              <w:rPr>
                <w:rFonts w:cs="Sylfaen"/>
                <w:b/>
                <w:noProof/>
                <w:sz w:val="20"/>
                <w:szCs w:val="20"/>
                <w:lang w:val="hy-AM"/>
              </w:rPr>
              <w:t>«Մարզպետարանների կանոնադրությունները և կառուցվածքները հաստատելու մասին» կառավարության որոշման նախագիծը վարչապետի աշխատակազմ ներկայացնելը</w:t>
            </w:r>
          </w:p>
          <w:p w:rsidR="0068680D" w:rsidRPr="00BC61ED" w:rsidRDefault="0068680D" w:rsidP="00F47DC4">
            <w:pPr>
              <w:spacing w:after="0" w:line="276" w:lineRule="auto"/>
              <w:ind w:firstLine="634"/>
              <w:rPr>
                <w:b/>
                <w:sz w:val="20"/>
                <w:szCs w:val="20"/>
                <w:lang w:val="hy-AM"/>
              </w:rPr>
            </w:pPr>
            <w:r w:rsidRPr="00BC61ED">
              <w:rPr>
                <w:b/>
                <w:sz w:val="20"/>
                <w:szCs w:val="20"/>
                <w:lang w:val="hy-AM"/>
              </w:rPr>
              <w:t>1.Իրավական ակտի անհրաժեշտությունը (նպատակ)</w:t>
            </w:r>
          </w:p>
          <w:p w:rsidR="0068680D" w:rsidRPr="00BC61ED" w:rsidRDefault="0068680D" w:rsidP="00F47DC4">
            <w:pPr>
              <w:spacing w:after="0" w:line="276" w:lineRule="auto"/>
              <w:ind w:firstLine="375"/>
              <w:rPr>
                <w:sz w:val="20"/>
                <w:szCs w:val="20"/>
                <w:lang w:val="hy-AM"/>
              </w:rPr>
            </w:pPr>
            <w:r w:rsidRPr="00BC61ED">
              <w:rPr>
                <w:rFonts w:cs="Arial"/>
                <w:sz w:val="20"/>
                <w:szCs w:val="20"/>
                <w:lang w:val="hy-AM"/>
              </w:rPr>
              <w:t>Մարզպետարանների կազմակերպական կառուցվածքների վերանայման անհրաժեշտությունը</w:t>
            </w:r>
            <w:r w:rsidRPr="00BC61ED">
              <w:rPr>
                <w:rFonts w:cs="Sylfaen"/>
                <w:b/>
                <w:i/>
                <w:noProof/>
                <w:sz w:val="20"/>
                <w:szCs w:val="20"/>
                <w:lang w:val="hy-AM"/>
              </w:rPr>
              <w:t xml:space="preserve"> </w:t>
            </w:r>
            <w:r w:rsidRPr="00BC61ED">
              <w:rPr>
                <w:rFonts w:cs="Arial"/>
                <w:sz w:val="20"/>
                <w:szCs w:val="20"/>
                <w:lang w:val="hy-AM"/>
              </w:rPr>
              <w:t>պայմանավորված է Հայաստանի Հանրապետությունում Սահմանադրական բարեփոխումներով՝ ելնելով «Տարածքային կառավարման մասին» նոր ՀՀ օրենքի ընդունման և դրանից բխող ՀՀ մարզպետարանների կառուցվածքի և գործառույթների նկարագրման անհրաժեշտությամբ։</w:t>
            </w:r>
            <w:r w:rsidRPr="00BC61ED">
              <w:rPr>
                <w:sz w:val="20"/>
                <w:szCs w:val="20"/>
                <w:lang w:val="hy-AM"/>
              </w:rPr>
              <w:t xml:space="preserve"> 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6.1 բաժնով նախատեսված հանձնառություններից:</w:t>
            </w:r>
          </w:p>
          <w:p w:rsidR="0068680D" w:rsidRPr="00BC61ED" w:rsidRDefault="0068680D" w:rsidP="00F47DC4">
            <w:pPr>
              <w:shd w:val="clear" w:color="auto" w:fill="FFFFFF"/>
              <w:spacing w:after="0" w:line="276" w:lineRule="auto"/>
              <w:ind w:right="-29" w:firstLine="446"/>
              <w:rPr>
                <w:b/>
                <w:sz w:val="20"/>
                <w:szCs w:val="20"/>
                <w:lang w:val="hy-AM"/>
              </w:rPr>
            </w:pPr>
            <w:r w:rsidRPr="00BC61ED">
              <w:rPr>
                <w:color w:val="000000"/>
                <w:sz w:val="20"/>
                <w:szCs w:val="20"/>
                <w:lang w:val="hy-AM"/>
              </w:rPr>
              <w:t xml:space="preserve">  </w:t>
            </w:r>
            <w:r w:rsidRPr="00BC61ED">
              <w:rPr>
                <w:b/>
                <w:sz w:val="20"/>
                <w:szCs w:val="20"/>
                <w:lang w:val="hy-AM"/>
              </w:rPr>
              <w:t>Կարգավորման հարաբերությունների ներկա վիճակը և առկա խնդիրները</w:t>
            </w:r>
          </w:p>
          <w:p w:rsidR="0068680D" w:rsidRPr="00BC61ED" w:rsidRDefault="0068680D" w:rsidP="00F47DC4">
            <w:pPr>
              <w:spacing w:after="0" w:line="276" w:lineRule="auto"/>
              <w:ind w:right="-29" w:firstLine="360"/>
              <w:rPr>
                <w:sz w:val="20"/>
                <w:szCs w:val="20"/>
                <w:lang w:val="hy-AM"/>
              </w:rPr>
            </w:pPr>
            <w:r w:rsidRPr="00BC61ED">
              <w:rPr>
                <w:rFonts w:cs="Arial"/>
                <w:sz w:val="20"/>
                <w:szCs w:val="20"/>
                <w:lang w:val="hy-AM"/>
              </w:rPr>
              <w:t>«Տարածքային կառավարման մասին» նոր ՀՀ օրենքով ն</w:t>
            </w:r>
            <w:r w:rsidRPr="00BC61ED">
              <w:rPr>
                <w:sz w:val="20"/>
                <w:szCs w:val="20"/>
                <w:lang w:val="hy-AM"/>
              </w:rPr>
              <w:t>ախատեսվում է նկարագրել մարզպետների լիազորությունները վերջիններիս գործունեության հիմնական ոլորտներում, ինչպես նաև մարզպետների հարաբերությունները պետական կառավարման համակարգի մարմինների տարածքային ստորաբաժանումների հետ։ Վերջինիս հիման վրա պետք է նկարագրվեն մարզպետարանների գործառույթները և դրանց հետ կապված քաղաքացիաիրավական հարաբերությունները։</w:t>
            </w:r>
          </w:p>
          <w:p w:rsidR="0068680D" w:rsidRPr="00BC61ED" w:rsidRDefault="0068680D" w:rsidP="00F47DC4">
            <w:pPr>
              <w:spacing w:after="0" w:line="276" w:lineRule="auto"/>
              <w:ind w:right="-29" w:firstLine="446"/>
              <w:rPr>
                <w:b/>
                <w:sz w:val="20"/>
                <w:szCs w:val="20"/>
                <w:lang w:val="hy-AM"/>
              </w:rPr>
            </w:pPr>
            <w:r w:rsidRPr="00BC61ED">
              <w:rPr>
                <w:b/>
                <w:sz w:val="20"/>
                <w:szCs w:val="20"/>
                <w:lang w:val="hy-AM"/>
              </w:rPr>
              <w:t>1.2 Առկա խնդիրների համար առաջարկվող լուծումները</w:t>
            </w:r>
          </w:p>
          <w:p w:rsidR="0068680D" w:rsidRPr="00BC61ED" w:rsidRDefault="0068680D" w:rsidP="00F47DC4">
            <w:pPr>
              <w:spacing w:after="0" w:line="276" w:lineRule="auto"/>
              <w:ind w:right="-29" w:firstLine="446"/>
              <w:rPr>
                <w:rFonts w:cs="Arial"/>
                <w:sz w:val="20"/>
                <w:szCs w:val="20"/>
                <w:lang w:val="hy-AM"/>
              </w:rPr>
            </w:pPr>
            <w:r w:rsidRPr="00BC61ED">
              <w:rPr>
                <w:rFonts w:cs="Arial"/>
                <w:sz w:val="20"/>
                <w:szCs w:val="20"/>
                <w:lang w:val="hy-AM"/>
              </w:rPr>
              <w:t>Խնդրի լուծումն առաջարկվում է իրականացնել ««Մարզպետարանների կանոնադրությունները և կառուցվածքները հաստատելու մասին»</w:t>
            </w:r>
            <w:r w:rsidRPr="00BC61ED">
              <w:rPr>
                <w:rFonts w:cs="Sylfaen"/>
                <w:noProof/>
                <w:sz w:val="20"/>
                <w:szCs w:val="20"/>
                <w:lang w:val="hy-AM"/>
              </w:rPr>
              <w:t xml:space="preserve"> </w:t>
            </w:r>
            <w:r w:rsidRPr="00BC61ED">
              <w:rPr>
                <w:rFonts w:cs="Arial"/>
                <w:sz w:val="20"/>
                <w:szCs w:val="20"/>
                <w:lang w:val="hy-AM"/>
              </w:rPr>
              <w:t>կառավարության որոշման նախագծի ընդունմամբ։</w:t>
            </w:r>
          </w:p>
          <w:p w:rsidR="0068680D" w:rsidRPr="00BC61ED" w:rsidRDefault="0068680D" w:rsidP="00F47DC4">
            <w:pPr>
              <w:spacing w:after="0" w:line="276" w:lineRule="auto"/>
              <w:ind w:right="-29" w:firstLine="446"/>
              <w:rPr>
                <w:b/>
                <w:sz w:val="20"/>
                <w:szCs w:val="20"/>
                <w:lang w:val="af-ZA"/>
              </w:rPr>
            </w:pPr>
            <w:r w:rsidRPr="00BC61ED">
              <w:rPr>
                <w:b/>
                <w:sz w:val="20"/>
                <w:szCs w:val="20"/>
                <w:lang w:val="af-ZA"/>
              </w:rPr>
              <w:t xml:space="preserve">2. </w:t>
            </w:r>
            <w:r w:rsidRPr="00BC61ED">
              <w:rPr>
                <w:b/>
                <w:sz w:val="20"/>
                <w:szCs w:val="20"/>
                <w:lang w:val="hy-AM"/>
              </w:rPr>
              <w:t>Կարգավորման</w:t>
            </w:r>
            <w:r w:rsidRPr="00BC61ED">
              <w:rPr>
                <w:b/>
                <w:sz w:val="20"/>
                <w:szCs w:val="20"/>
                <w:lang w:val="af-ZA"/>
              </w:rPr>
              <w:t xml:space="preserve"> </w:t>
            </w:r>
            <w:r w:rsidRPr="00BC61ED">
              <w:rPr>
                <w:b/>
                <w:sz w:val="20"/>
                <w:szCs w:val="20"/>
                <w:lang w:val="hy-AM"/>
              </w:rPr>
              <w:t>առարկան</w:t>
            </w:r>
          </w:p>
          <w:p w:rsidR="0068680D" w:rsidRPr="00BC61ED" w:rsidRDefault="0068680D" w:rsidP="00F47DC4">
            <w:pPr>
              <w:spacing w:after="0" w:line="276" w:lineRule="auto"/>
              <w:ind w:firstLine="446"/>
              <w:rPr>
                <w:sz w:val="20"/>
                <w:szCs w:val="20"/>
                <w:lang w:val="hy-AM"/>
              </w:rPr>
            </w:pPr>
            <w:r w:rsidRPr="00BC61ED">
              <w:rPr>
                <w:sz w:val="20"/>
                <w:szCs w:val="20"/>
                <w:lang w:val="hy-AM"/>
              </w:rPr>
              <w:t>Տարածքային կառավարման մարմինների միատեսակ գործառույթների և կառուցվածքի սահմանում՝ «Տարածքային կառավարման մասին» ՀՀ նոր օրենքի նկաագրված լիազորությունների շրջանակներում։</w:t>
            </w:r>
          </w:p>
          <w:p w:rsidR="0068680D" w:rsidRPr="00BC61ED" w:rsidRDefault="0068680D" w:rsidP="00F47DC4">
            <w:pPr>
              <w:spacing w:after="0" w:line="276" w:lineRule="auto"/>
              <w:ind w:right="-29" w:firstLine="446"/>
              <w:rPr>
                <w:b/>
                <w:sz w:val="20"/>
                <w:szCs w:val="20"/>
                <w:lang w:val="hy-AM"/>
              </w:rPr>
            </w:pPr>
            <w:r w:rsidRPr="00BC61ED">
              <w:rPr>
                <w:b/>
                <w:sz w:val="20"/>
                <w:szCs w:val="20"/>
                <w:lang w:val="hy-AM"/>
              </w:rPr>
              <w:t>3. Իրավական ակտի կիրառման դեպքում ակնկալվող արդյունքը.</w:t>
            </w:r>
          </w:p>
          <w:p w:rsidR="0068680D" w:rsidRPr="00BC61ED" w:rsidRDefault="0068680D" w:rsidP="00F47DC4">
            <w:pPr>
              <w:spacing w:after="0" w:line="276" w:lineRule="auto"/>
              <w:ind w:firstLine="446"/>
              <w:rPr>
                <w:sz w:val="20"/>
                <w:szCs w:val="20"/>
                <w:lang w:val="hy-AM"/>
              </w:rPr>
            </w:pPr>
            <w:r w:rsidRPr="00BC61ED">
              <w:rPr>
                <w:sz w:val="20"/>
                <w:szCs w:val="20"/>
                <w:lang w:val="hy-AM"/>
              </w:rPr>
              <w:t>Տարածքային կառավարման մարմինների միատեսակ գործառույթների և կառուցվածքի սահմանում։</w:t>
            </w: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2.</w:t>
            </w:r>
          </w:p>
        </w:tc>
        <w:tc>
          <w:tcPr>
            <w:tcW w:w="10915" w:type="dxa"/>
            <w:shd w:val="clear" w:color="auto" w:fill="auto"/>
          </w:tcPr>
          <w:p w:rsidR="0068680D" w:rsidRPr="00BC61ED" w:rsidRDefault="0068680D" w:rsidP="00F47DC4">
            <w:pPr>
              <w:spacing w:after="0" w:line="276" w:lineRule="auto"/>
              <w:jc w:val="center"/>
              <w:rPr>
                <w:rFonts w:cs="Sylfaen"/>
                <w:b/>
                <w:i/>
                <w:noProof/>
                <w:sz w:val="20"/>
                <w:szCs w:val="20"/>
                <w:u w:val="single"/>
                <w:lang w:val="hy-AM"/>
              </w:rPr>
            </w:pPr>
            <w:r w:rsidRPr="00BC61ED">
              <w:rPr>
                <w:rFonts w:cs="Sylfaen"/>
                <w:b/>
                <w:i/>
                <w:noProof/>
                <w:sz w:val="20"/>
                <w:szCs w:val="20"/>
                <w:u w:val="single"/>
                <w:lang w:val="hy-AM"/>
              </w:rPr>
              <w:t>Հանրապետության տարածքային  համաչափ զարգացման, տարածքների սոցիալ-տնտեսական կայունության և հետագա տնտեսական ակտիվության և աճի ապահովում</w:t>
            </w:r>
          </w:p>
          <w:p w:rsidR="0068680D" w:rsidRPr="00BC61ED" w:rsidRDefault="0068680D" w:rsidP="00F47DC4">
            <w:pPr>
              <w:spacing w:after="0" w:line="276" w:lineRule="auto"/>
              <w:ind w:firstLine="634"/>
              <w:rPr>
                <w:b/>
                <w:sz w:val="20"/>
                <w:szCs w:val="20"/>
                <w:lang w:val="hy-AM"/>
              </w:rPr>
            </w:pPr>
          </w:p>
          <w:p w:rsidR="0068680D" w:rsidRPr="00BC61ED" w:rsidRDefault="0068680D" w:rsidP="00F47DC4">
            <w:pPr>
              <w:spacing w:after="0" w:line="276" w:lineRule="auto"/>
              <w:ind w:firstLine="426"/>
              <w:rPr>
                <w:sz w:val="20"/>
                <w:szCs w:val="20"/>
                <w:lang w:val="hy-AM"/>
              </w:rPr>
            </w:pPr>
            <w:r w:rsidRPr="00BC61ED">
              <w:rPr>
                <w:sz w:val="20"/>
                <w:szCs w:val="20"/>
                <w:lang w:val="hy-AM"/>
              </w:rPr>
              <w:t>Հայաստանի Հանրապետությունում տարածքային զարգացման անհամաչափությունները խորությամբ նկարագրվել են Հայաստանի Հանրապետության 2016-2025 թվականների տարածքային զարգացման ռազմավարությամբ, որով սահմանվել են նաև տարածքային զարգացման ծրագրավորման ընթացքում կիրառվող հիմնական սկզբունքները, գերակայությունները և արդյունքային ցուցանիշները։ Տարածքային զարգացման ապահովմանն են ուղղված նաև ՀՀ բոլոր մարզերի 2017-2025 թվականների զարգացման ռազմավարությունները, ինչպես նաև ՀՀ 2018-2020 թվականների տարածքային զարգացման գործառնական ծրագիրը։ Նշված փաստաթղթերի տրամաբանությամբ են նկարագրվել հետևյալ միջոցառումները՝</w:t>
            </w:r>
          </w:p>
          <w:p w:rsidR="0068680D" w:rsidRPr="00BC61ED" w:rsidRDefault="0068680D" w:rsidP="00F47DC4">
            <w:pPr>
              <w:spacing w:after="0" w:line="276" w:lineRule="auto"/>
              <w:ind w:firstLine="426"/>
              <w:rPr>
                <w:sz w:val="20"/>
                <w:szCs w:val="20"/>
                <w:lang w:val="hy-AM"/>
              </w:rPr>
            </w:pPr>
          </w:p>
          <w:p w:rsidR="0068680D" w:rsidRPr="00BC61ED" w:rsidRDefault="0068680D" w:rsidP="00F47DC4">
            <w:pPr>
              <w:pStyle w:val="ListParagraph"/>
              <w:spacing w:after="0" w:line="276" w:lineRule="auto"/>
              <w:ind w:left="28" w:firstLine="332"/>
              <w:rPr>
                <w:rFonts w:cs="Sylfaen"/>
                <w:b/>
                <w:noProof/>
                <w:sz w:val="20"/>
                <w:szCs w:val="20"/>
                <w:lang w:val="fr-FR"/>
              </w:rPr>
            </w:pPr>
            <w:r w:rsidRPr="00BC61ED">
              <w:rPr>
                <w:rFonts w:cs="Sylfaen"/>
                <w:b/>
                <w:noProof/>
                <w:sz w:val="20"/>
                <w:szCs w:val="20"/>
                <w:lang w:val="fr-FR"/>
              </w:rPr>
              <w:t>2</w:t>
            </w:r>
            <w:r w:rsidRPr="00BC61ED">
              <w:rPr>
                <w:rFonts w:ascii="Cambria Math" w:hAnsi="Cambria Math" w:cs="Cambria Math"/>
                <w:b/>
                <w:noProof/>
                <w:sz w:val="20"/>
                <w:szCs w:val="20"/>
                <w:lang w:val="hy-AM"/>
              </w:rPr>
              <w:t>․</w:t>
            </w:r>
            <w:r w:rsidRPr="00BC61ED">
              <w:rPr>
                <w:rFonts w:cs="Sylfaen"/>
                <w:b/>
                <w:noProof/>
                <w:sz w:val="20"/>
                <w:szCs w:val="20"/>
                <w:lang w:val="fr-FR"/>
              </w:rPr>
              <w:t>1 ՀՀ համայնքների տնտեսական և սոցիալական ենթակառուցվածքների զարգացմանն ուղղված, համայնքների կողմից ներկայացված և սահմանված չափորոշիչներին բավարարող ծրագրերի իրականացման համար` ՀՀ պետական բյուջեից սուբվենցիաների տրամադրման գործընթացի ապահովում</w:t>
            </w:r>
          </w:p>
          <w:p w:rsidR="0068680D" w:rsidRPr="00BC61ED" w:rsidRDefault="0068680D" w:rsidP="00F47DC4">
            <w:pPr>
              <w:spacing w:after="0" w:line="276" w:lineRule="auto"/>
              <w:ind w:left="28" w:right="-630" w:firstLine="332"/>
              <w:rPr>
                <w:b/>
                <w:sz w:val="20"/>
                <w:szCs w:val="20"/>
                <w:lang w:val="fr-FR"/>
              </w:rPr>
            </w:pPr>
            <w:r w:rsidRPr="00BC61ED">
              <w:rPr>
                <w:b/>
                <w:sz w:val="20"/>
                <w:szCs w:val="20"/>
                <w:lang w:val="hy-AM"/>
              </w:rPr>
              <w:t>1</w:t>
            </w:r>
            <w:r w:rsidRPr="00BC61ED">
              <w:rPr>
                <w:rFonts w:ascii="Cambria Math" w:hAnsi="Cambria Math" w:cs="Cambria Math"/>
                <w:b/>
                <w:sz w:val="20"/>
                <w:szCs w:val="20"/>
                <w:lang w:val="hy-AM"/>
              </w:rPr>
              <w:t>․</w:t>
            </w:r>
            <w:r w:rsidRPr="00BC61ED">
              <w:rPr>
                <w:rFonts w:cs="Cambria Math"/>
                <w:b/>
                <w:sz w:val="20"/>
                <w:szCs w:val="20"/>
                <w:lang w:val="hy-AM"/>
              </w:rPr>
              <w:t xml:space="preserve"> </w:t>
            </w:r>
            <w:r w:rsidRPr="00BC61ED">
              <w:rPr>
                <w:b/>
                <w:sz w:val="20"/>
                <w:szCs w:val="20"/>
                <w:lang w:val="hy-AM"/>
              </w:rPr>
              <w:t>Միջոցառման անհրաժեշտությունը (նպատակ)</w:t>
            </w:r>
          </w:p>
          <w:p w:rsidR="0068680D" w:rsidRPr="00BC61ED" w:rsidRDefault="0068680D" w:rsidP="00F47DC4">
            <w:pPr>
              <w:spacing w:after="0" w:line="276" w:lineRule="auto"/>
              <w:ind w:left="28" w:firstLine="332"/>
              <w:rPr>
                <w:sz w:val="20"/>
                <w:szCs w:val="20"/>
                <w:lang w:val="hy-AM"/>
              </w:rPr>
            </w:pPr>
            <w:r w:rsidRPr="00BC61ED">
              <w:rPr>
                <w:sz w:val="20"/>
                <w:szCs w:val="20"/>
                <w:lang w:val="hy-AM"/>
              </w:rPr>
              <w:t xml:space="preserve">   Միջոցառման անհրաժեշտությունը պայմանավորված է ՀՀ տարածքային համաչափ զարգացումն ապահովելու նպատակով՝ Հայաստանի Հանրապետության կառավարության 2006 թվականի նոյեմբերի 16-ի «Հայաստանի Հանրապետության պետական բյուջեից համայնքներին սուբվենցիաների տրամադրման կարգը հաստատելու մասին» N 1708-Ն որոշման  2-րդ կետով հաստատված  Հայաստանի Հանրապետության պետական տարեկան բյուջեներով նախատեսված սուբվենցիաներից բացի Հայաստանի Հանրապետության համայնքների տնտեսական և սոցիալական ենթակառուցվածքների զարգացմանն ուղղված սուբվենցիայի տրամադրման գործընթացի ապահովմամբ: 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w:t>
            </w:r>
            <w:r>
              <w:rPr>
                <w:sz w:val="20"/>
                <w:lang w:val="af-ZA"/>
              </w:rPr>
              <w:t>ծրագր</w:t>
            </w:r>
            <w:r w:rsidRPr="00BC61ED">
              <w:rPr>
                <w:sz w:val="20"/>
                <w:szCs w:val="20"/>
                <w:lang w:val="hy-AM"/>
              </w:rPr>
              <w:t>ով նախատեսված հանձնառություններից:</w:t>
            </w:r>
          </w:p>
          <w:p w:rsidR="0068680D" w:rsidRPr="00BC61ED" w:rsidRDefault="0068680D" w:rsidP="00F47DC4">
            <w:pPr>
              <w:spacing w:after="0" w:line="276" w:lineRule="auto"/>
              <w:ind w:left="28" w:right="141" w:firstLine="332"/>
              <w:rPr>
                <w:sz w:val="20"/>
                <w:szCs w:val="20"/>
                <w:lang w:val="hy-AM"/>
              </w:rPr>
            </w:pPr>
          </w:p>
          <w:p w:rsidR="0068680D" w:rsidRPr="00BC61ED" w:rsidRDefault="0068680D" w:rsidP="00F47DC4">
            <w:pPr>
              <w:pStyle w:val="Style15"/>
              <w:spacing w:line="276" w:lineRule="auto"/>
              <w:ind w:left="28" w:right="141" w:firstLine="332"/>
              <w:rPr>
                <w:rFonts w:ascii="GHEA Grapalat" w:eastAsia="Calibri" w:hAnsi="GHEA Grapalat"/>
                <w:sz w:val="20"/>
                <w:lang w:val="hy-AM" w:eastAsia="en-US"/>
              </w:rPr>
            </w:pPr>
            <w:r w:rsidRPr="00BC61ED">
              <w:rPr>
                <w:rFonts w:ascii="GHEA Grapalat" w:eastAsia="Calibri" w:hAnsi="GHEA Grapalat"/>
                <w:sz w:val="20"/>
                <w:lang w:val="hy-AM" w:eastAsia="en-US"/>
              </w:rPr>
              <w:t>1</w:t>
            </w:r>
            <w:r w:rsidRPr="00BC61ED">
              <w:rPr>
                <w:rFonts w:ascii="Cambria Math" w:eastAsia="Calibri" w:hAnsi="Cambria Math" w:cs="Cambria Math"/>
                <w:sz w:val="20"/>
                <w:lang w:val="hy-AM" w:eastAsia="en-US"/>
              </w:rPr>
              <w:t>․</w:t>
            </w:r>
            <w:r w:rsidRPr="00BC61ED">
              <w:rPr>
                <w:rFonts w:ascii="GHEA Grapalat" w:eastAsia="Calibri" w:hAnsi="GHEA Grapalat"/>
                <w:sz w:val="20"/>
                <w:lang w:val="hy-AM" w:eastAsia="en-US"/>
              </w:rPr>
              <w:t xml:space="preserve">1 Կարգավորման հարաբերությունների ներկա վիճակը և առկա խնդիրները  </w:t>
            </w:r>
          </w:p>
          <w:p w:rsidR="0068680D" w:rsidRPr="00BC61ED" w:rsidRDefault="0068680D" w:rsidP="00F47DC4">
            <w:pPr>
              <w:pStyle w:val="Text"/>
              <w:spacing w:after="0" w:line="276" w:lineRule="auto"/>
              <w:ind w:left="28" w:right="141" w:firstLine="332"/>
              <w:rPr>
                <w:rFonts w:ascii="GHEA Grapalat" w:eastAsia="Calibri" w:hAnsi="GHEA Grapalat"/>
                <w:sz w:val="20"/>
                <w:lang w:val="hy-AM"/>
              </w:rPr>
            </w:pPr>
            <w:r w:rsidRPr="00BC61ED">
              <w:rPr>
                <w:rFonts w:ascii="GHEA Grapalat" w:eastAsia="Calibri" w:hAnsi="GHEA Grapalat"/>
                <w:sz w:val="20"/>
                <w:lang w:val="hy-AM"/>
              </w:rPr>
              <w:t xml:space="preserve">ՀՀ տարածքային համաչափ զարգացումն ապահովելու`  ՀՀ համայնքների տնտեսական և սոցիալական ենթակառուցվածքների զարգացման նպատակով ՀՀ կառավարությունը 2018 թվականից նախաձեռնել և իրականացրել է համայնքներին սուբվենցիաների տրամադրման գործընթացը, որի շրջանակներում համայնքներում տնտեսական ենթակառուցվածքների զարգացման դեպքում (ոռոգում, գյուղատնտեսական և կոմունալ տեխնիկայի ձեռք բերում) ծրագրի արժեքի մինչև 60 տոկոսը համաֆինանսավորվել է պետական բյուջեից, իսկ սոցիալական ենթակառուցվածքների՝ մանկապարտեզի, մշակութային տների, փողոցների լուսավորության համակարգի կառուցման, վերանորոգման գործընթացի պարագայում` պետության կողմից համաֆինանսավորվել է  ծրագրի արժեքի մինչև 40 տոկոսը։ </w:t>
            </w:r>
          </w:p>
          <w:p w:rsidR="0068680D" w:rsidRPr="00BC61ED" w:rsidRDefault="0068680D" w:rsidP="00F47DC4">
            <w:pPr>
              <w:tabs>
                <w:tab w:val="left" w:pos="720"/>
              </w:tabs>
              <w:spacing w:after="0" w:line="276" w:lineRule="auto"/>
              <w:ind w:left="28" w:right="141" w:firstLine="332"/>
              <w:rPr>
                <w:sz w:val="20"/>
                <w:szCs w:val="20"/>
                <w:lang w:val="hy-AM"/>
              </w:rPr>
            </w:pPr>
            <w:r w:rsidRPr="00BC61ED">
              <w:rPr>
                <w:sz w:val="20"/>
                <w:szCs w:val="20"/>
                <w:lang w:val="hy-AM"/>
              </w:rPr>
              <w:t xml:space="preserve">2018 թվականի ընթացքում ՀՀ 117 համայնքներից ստացվել և ուսումնասիրվել են թվով 230 սուբվենցիայի հայտ։ Ուսումնասիրության և շահագրգիռ մարմինների հետ քննարկման արդյունքներով՝ սուբվենցիաներ ստանալու համար ծրագրային հայտերի գնահատման միջգերատեսչական հանձնաժողովի կայացած թվով 7 նիստերի ընթացքում քննարկվել և հանձնաժողովի կողմից հավանության են արժանացել 180-ը։ </w:t>
            </w:r>
          </w:p>
          <w:p w:rsidR="0068680D" w:rsidRPr="00BC61ED" w:rsidRDefault="0068680D" w:rsidP="00F47DC4">
            <w:pPr>
              <w:spacing w:after="0" w:line="276" w:lineRule="auto"/>
              <w:ind w:left="28" w:right="141" w:firstLine="332"/>
              <w:rPr>
                <w:sz w:val="20"/>
                <w:szCs w:val="20"/>
                <w:lang w:val="hy-AM"/>
              </w:rPr>
            </w:pPr>
            <w:r w:rsidRPr="00BC61ED">
              <w:rPr>
                <w:sz w:val="20"/>
                <w:szCs w:val="20"/>
                <w:lang w:val="hy-AM"/>
              </w:rPr>
              <w:t xml:space="preserve">«Գնումների մասին» ՀՀ օրենքի համաձայն ՀՀ համայնքներում կազմակերպված մրցույթների արդյունքներով նոյեմբերի-դեկտեմբեր ամիսներին նախարարության կողմից մշակվել և Կառավարության կողմից հաստատվել են կառավարության թվով 7 որոշումներ, որոնցով  152 սուբվենցիայի ծրագիր համաֆինանսավորվել է ՀՀ պետական բյուջեից 1,620 մլրդ ՀՀ դրամի չափով։  </w:t>
            </w:r>
          </w:p>
          <w:p w:rsidR="0068680D" w:rsidRPr="00BC61ED" w:rsidRDefault="0068680D" w:rsidP="00F47DC4">
            <w:pPr>
              <w:tabs>
                <w:tab w:val="left" w:pos="720"/>
              </w:tabs>
              <w:spacing w:after="0" w:line="276" w:lineRule="auto"/>
              <w:ind w:left="28" w:right="141" w:firstLine="332"/>
              <w:rPr>
                <w:sz w:val="20"/>
                <w:szCs w:val="20"/>
                <w:lang w:val="hy-AM"/>
              </w:rPr>
            </w:pPr>
            <w:r w:rsidRPr="00BC61ED">
              <w:rPr>
                <w:sz w:val="20"/>
                <w:szCs w:val="20"/>
                <w:lang w:val="hy-AM"/>
              </w:rPr>
              <w:t xml:space="preserve">2018 թվականի ընթացքում  իրականացված ՀՀ համայնքների տնտեսական և սոցիալական ենթակառուցվածքների զարգացմանն ուղղված սուբվենցիայի տրամադրման պիլոտային գործընթացի ընթացքում խնդիրներ էին առաջանում սուբվենցիայի հայտերի սոցիալական և տնտեսական ուղղությունների տարբերակման, փոքր բյուջե ունեցող համայնքների ծրագրին մասնակցության անհնարինության, ինչպես նաև ծրագրով չէր նախատեսվում  բնակավայրերի գազաֆիկացման, բազմաբնակարան շեքների ընդհանուր բաժնային սեփականության տարրերի նորոգման աշխատանքները։ </w:t>
            </w:r>
          </w:p>
          <w:p w:rsidR="0068680D" w:rsidRPr="00BC61ED" w:rsidRDefault="0068680D" w:rsidP="0068680D">
            <w:pPr>
              <w:pStyle w:val="Style15"/>
              <w:numPr>
                <w:ilvl w:val="1"/>
                <w:numId w:val="134"/>
              </w:numPr>
              <w:spacing w:line="276" w:lineRule="auto"/>
              <w:ind w:left="28" w:right="141" w:firstLine="332"/>
              <w:rPr>
                <w:rFonts w:ascii="GHEA Grapalat" w:eastAsia="Calibri" w:hAnsi="GHEA Grapalat"/>
                <w:sz w:val="20"/>
                <w:lang w:val="hy-AM" w:eastAsia="en-US"/>
              </w:rPr>
            </w:pPr>
            <w:r w:rsidRPr="00BC61ED">
              <w:rPr>
                <w:rFonts w:ascii="GHEA Grapalat" w:eastAsia="Calibri" w:hAnsi="GHEA Grapalat"/>
                <w:sz w:val="20"/>
                <w:lang w:val="hy-AM" w:eastAsia="en-US"/>
              </w:rPr>
              <w:t xml:space="preserve">Առկա խնդիրների առաջարկվող լուծումները </w:t>
            </w:r>
          </w:p>
          <w:p w:rsidR="0068680D" w:rsidRPr="00BC61ED" w:rsidRDefault="0068680D" w:rsidP="00F47DC4">
            <w:pPr>
              <w:spacing w:after="0" w:line="276" w:lineRule="auto"/>
              <w:ind w:left="28" w:right="141" w:firstLine="332"/>
              <w:rPr>
                <w:sz w:val="20"/>
                <w:szCs w:val="20"/>
                <w:lang w:val="hy-AM"/>
              </w:rPr>
            </w:pPr>
            <w:r w:rsidRPr="00BC61ED">
              <w:rPr>
                <w:sz w:val="20"/>
                <w:szCs w:val="20"/>
                <w:lang w:val="hy-AM"/>
              </w:rPr>
              <w:t>ՀՀ կառավարության 2019 թվականի փետրվարի 7-ի թիվ 62-Ն որոշմամբ հաստատված Հայաստանի Հանրապետության պետական տարեկան բյուջեներով նախատեսված սուբվենցիաներից բացի Հայաստանի Հանրապետության համայնքների տնտեսական և սոցիալական ենթակառուցվածքների զարգացմանն ուղղված սուբվենցիայի տրամադրման  կարգի համաձայն, նախատեսվում է մեծ թվով համայնքների ներգրավում սուբվենցիայի տրամադրման գործընթացում, ինչը հնարավորություն կտա զարգացնել համայնքների տնտեսական և սոցիալական ենթակառուցվածքները։ Ընդ որում ՀՀ վարչապետի 2019 19  մարտի 2019 թվականի  N   278 – Ա որոշմամբ ստեղծված միջգերատեսչական հանձնաժողովի շրջանակներում նախատեսվում է մրցակցային սկզբունքով սուբվենցիայի տրամադրում լավագույն ծրագրեր ներկայացրած համայնքներին:</w:t>
            </w:r>
          </w:p>
          <w:p w:rsidR="0068680D" w:rsidRPr="00BC61ED" w:rsidRDefault="0068680D" w:rsidP="00F47DC4">
            <w:pPr>
              <w:spacing w:after="0" w:line="276" w:lineRule="auto"/>
              <w:ind w:left="28" w:right="141" w:firstLine="332"/>
              <w:rPr>
                <w:sz w:val="20"/>
                <w:szCs w:val="20"/>
                <w:lang w:val="hy-AM"/>
              </w:rPr>
            </w:pPr>
            <w:r w:rsidRPr="00BC61ED">
              <w:rPr>
                <w:sz w:val="20"/>
                <w:szCs w:val="20"/>
                <w:lang w:val="hy-AM"/>
              </w:rPr>
              <w:t xml:space="preserve">    2</w:t>
            </w:r>
            <w:r w:rsidRPr="00BC61ED">
              <w:rPr>
                <w:rFonts w:ascii="Cambria Math" w:hAnsi="Cambria Math" w:cs="Cambria Math"/>
                <w:sz w:val="20"/>
                <w:szCs w:val="20"/>
                <w:lang w:val="hy-AM"/>
              </w:rPr>
              <w:t>․</w:t>
            </w:r>
            <w:r w:rsidRPr="00BC61ED">
              <w:rPr>
                <w:sz w:val="20"/>
                <w:szCs w:val="20"/>
                <w:lang w:val="hy-AM"/>
              </w:rPr>
              <w:t xml:space="preserve"> Միջոցառման իրականացումից ակնկալվող արդյունքը</w:t>
            </w:r>
          </w:p>
          <w:p w:rsidR="0068680D" w:rsidRPr="00BC61ED" w:rsidRDefault="0068680D" w:rsidP="00F47DC4">
            <w:pPr>
              <w:spacing w:after="0" w:line="276" w:lineRule="auto"/>
              <w:ind w:left="28" w:right="141" w:firstLine="332"/>
              <w:rPr>
                <w:sz w:val="20"/>
                <w:szCs w:val="20"/>
                <w:lang w:val="hy-AM"/>
              </w:rPr>
            </w:pPr>
            <w:r w:rsidRPr="00BC61ED">
              <w:rPr>
                <w:sz w:val="20"/>
                <w:szCs w:val="20"/>
                <w:lang w:val="hy-AM"/>
              </w:rPr>
              <w:t xml:space="preserve">Միջոցառման կատարման արդյունքում ՀՀ համայնքներում կիրականացվեն կապիտալ ծախսեր` նպատակաուղղված ճանապարհների, այգիների, հրապարակների կառուցմանն ու վերանորոգմանը, էներգախնայող լուսավորության անցկացմանը, հանրային և համայնքային  շենքերի վերանորոգմանը, խմելու և ոռոգման ջրագծերի կառուցմանն ու վերանորոգմանը, համայնքների գազաֆիկացմանը, բազմաբնակարան շենքերի ընդհանուր բաժնային սեփականության տարրերի նորոգմանը և այլն: Միաժամանակ, այս գործընթացում չափազանց կարևորվում է համայնքների դերակատարությունն ու անմիջական մասնակցությունը` համայնքների կարիքների գնահատման, առաջնահերթ խնդիրների բացահայտման և դրանց լուծումների ապահովման մասով: </w:t>
            </w:r>
          </w:p>
          <w:p w:rsidR="0068680D" w:rsidRPr="00BC61ED" w:rsidRDefault="0068680D" w:rsidP="00F47DC4">
            <w:pPr>
              <w:pStyle w:val="ListParagraph"/>
              <w:spacing w:after="0" w:line="276" w:lineRule="auto"/>
              <w:ind w:left="-450" w:right="-630" w:firstLine="720"/>
              <w:rPr>
                <w:b/>
                <w:sz w:val="20"/>
                <w:szCs w:val="20"/>
                <w:lang w:val="hy-AM"/>
              </w:rPr>
            </w:pPr>
          </w:p>
          <w:p w:rsidR="0068680D" w:rsidRPr="00BC61ED" w:rsidRDefault="0068680D" w:rsidP="00F47DC4">
            <w:pPr>
              <w:spacing w:after="0" w:line="276" w:lineRule="auto"/>
              <w:ind w:left="644"/>
              <w:rPr>
                <w:b/>
                <w:sz w:val="20"/>
                <w:szCs w:val="20"/>
                <w:lang w:val="hy-AM"/>
              </w:rPr>
            </w:pPr>
            <w:r w:rsidRPr="00BC61ED">
              <w:rPr>
                <w:b/>
                <w:sz w:val="20"/>
                <w:szCs w:val="20"/>
                <w:lang w:val="hy-AM"/>
              </w:rPr>
              <w:t>2.2 Տարածքային համաչափ զարգացմանն ուղղված տարածքային զարգացման 8 փորձնական ծրագրի իրականացման ապահովում</w:t>
            </w:r>
          </w:p>
          <w:p w:rsidR="0068680D" w:rsidRPr="00BC61ED" w:rsidRDefault="0068680D" w:rsidP="00F47DC4">
            <w:pPr>
              <w:spacing w:after="0" w:line="276" w:lineRule="auto"/>
              <w:ind w:firstLine="426"/>
              <w:rPr>
                <w:b/>
                <w:sz w:val="20"/>
                <w:szCs w:val="20"/>
                <w:lang w:val="hy-AM"/>
              </w:rPr>
            </w:pPr>
            <w:r w:rsidRPr="00BC61ED">
              <w:rPr>
                <w:b/>
                <w:sz w:val="20"/>
                <w:szCs w:val="20"/>
                <w:lang w:val="hy-AM"/>
              </w:rPr>
              <w:t>1.  Միջոցառման անհրաժեշտությունը (նպատակ)</w:t>
            </w:r>
          </w:p>
          <w:p w:rsidR="0068680D" w:rsidRPr="00BC61ED" w:rsidRDefault="0068680D" w:rsidP="00F47DC4">
            <w:pPr>
              <w:spacing w:after="0" w:line="276" w:lineRule="auto"/>
              <w:ind w:firstLine="375"/>
              <w:rPr>
                <w:sz w:val="20"/>
                <w:szCs w:val="20"/>
                <w:lang w:val="hy-AM"/>
              </w:rPr>
            </w:pPr>
            <w:r w:rsidRPr="00BC61ED">
              <w:rPr>
                <w:sz w:val="20"/>
                <w:szCs w:val="20"/>
                <w:lang w:val="hy-AM"/>
              </w:rPr>
              <w:t xml:space="preserve">Թվով 8 փորձնական ծրագրերի իրականացումը պայմանավորված է մարզերում տարածքային համաչափ զարգացում ապահովող ենթակառուցվածքների ձևավորման, ինչպես նաև փաստացի արդյունք ստանալու անհրաժեշտությամբ։ 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6.1 բաժնով նախատեսված հանձնառություններից:</w:t>
            </w:r>
          </w:p>
          <w:p w:rsidR="0068680D" w:rsidRPr="00BC61ED" w:rsidRDefault="0068680D" w:rsidP="00F47DC4">
            <w:pPr>
              <w:spacing w:after="0" w:line="276" w:lineRule="auto"/>
              <w:ind w:firstLine="426"/>
              <w:rPr>
                <w:sz w:val="20"/>
                <w:szCs w:val="20"/>
                <w:lang w:val="hy-AM"/>
              </w:rPr>
            </w:pPr>
            <w:r w:rsidRPr="00BC61ED">
              <w:rPr>
                <w:sz w:val="20"/>
                <w:szCs w:val="20"/>
                <w:lang w:val="hy-AM"/>
              </w:rPr>
              <w:t>Տարածքային զարգացման 8 փորձնական ծրագրերն իրականացվում են ԵՄ ֆինանսավորմամբ և ՀՀ կառավարության ու առանձին ՀԿ-ների ու տեղական ինքնակառավարման մարմինների համաֆինանսավորմամբ։ Ծրագրերի ընդհանուր արժեքը կազմում է շուրջ 10 մլն Եվրո։</w:t>
            </w:r>
          </w:p>
          <w:p w:rsidR="0068680D" w:rsidRPr="00BC61ED" w:rsidRDefault="0068680D" w:rsidP="00F47DC4">
            <w:pPr>
              <w:spacing w:after="0" w:line="276" w:lineRule="auto"/>
              <w:ind w:firstLine="426"/>
              <w:rPr>
                <w:b/>
                <w:sz w:val="20"/>
                <w:szCs w:val="20"/>
                <w:lang w:val="hy-AM"/>
              </w:rPr>
            </w:pPr>
            <w:r w:rsidRPr="00BC61ED">
              <w:rPr>
                <w:b/>
                <w:sz w:val="20"/>
                <w:szCs w:val="20"/>
                <w:lang w:val="hy-AM"/>
              </w:rPr>
              <w:t>2. Ակնկալվող արդյունքը</w:t>
            </w:r>
          </w:p>
          <w:p w:rsidR="0068680D" w:rsidRPr="00BC61ED" w:rsidRDefault="0068680D" w:rsidP="00F47DC4">
            <w:pPr>
              <w:spacing w:after="0" w:line="276" w:lineRule="auto"/>
              <w:ind w:firstLine="426"/>
              <w:rPr>
                <w:sz w:val="20"/>
                <w:szCs w:val="20"/>
                <w:lang w:val="hy-AM"/>
              </w:rPr>
            </w:pPr>
            <w:r w:rsidRPr="00BC61ED">
              <w:rPr>
                <w:sz w:val="20"/>
                <w:szCs w:val="20"/>
                <w:lang w:val="hy-AM"/>
              </w:rPr>
              <w:t>Ծրագրերի իրականացմամբ կստեղծվի շուրջ 500 նոր աշխատատեղ և գրեթե նույնքան կազմակերպություններ՝ մեծամասամբ ՓՄՁ-ներ կընդլայնեն իրենց գործունեությունը, կձևավորվեն  կայուն ենթակառուցվածքներ և հմտություններ, ինչը կարող է խթանել սոցիալական և  տնտեսական հետագա առաջընթացը մարզերում:</w:t>
            </w:r>
          </w:p>
          <w:p w:rsidR="0068680D" w:rsidRPr="00BC61ED" w:rsidRDefault="0068680D" w:rsidP="00F47DC4">
            <w:pPr>
              <w:spacing w:after="0" w:line="276" w:lineRule="auto"/>
              <w:ind w:firstLine="426"/>
              <w:rPr>
                <w:b/>
                <w:sz w:val="20"/>
                <w:szCs w:val="20"/>
                <w:lang w:val="hy-AM"/>
              </w:rPr>
            </w:pPr>
          </w:p>
          <w:p w:rsidR="0068680D" w:rsidRPr="00BC61ED" w:rsidRDefault="0068680D" w:rsidP="00F47DC4">
            <w:pPr>
              <w:spacing w:after="0" w:line="276" w:lineRule="auto"/>
              <w:ind w:firstLine="426"/>
              <w:rPr>
                <w:b/>
                <w:sz w:val="20"/>
                <w:szCs w:val="20"/>
                <w:lang w:val="hy-AM"/>
              </w:rPr>
            </w:pPr>
            <w:r w:rsidRPr="00BC61ED">
              <w:rPr>
                <w:b/>
                <w:sz w:val="20"/>
                <w:szCs w:val="20"/>
                <w:lang w:val="hy-AM"/>
              </w:rPr>
              <w:t>2.3 Շարունակել և ընդլայնել սահմանամերձ համայնքներում իրականացվող սոցիալական ու տնտեսական աջակցության ծրագրերը</w:t>
            </w:r>
          </w:p>
          <w:p w:rsidR="0068680D" w:rsidRPr="00BC61ED" w:rsidRDefault="0068680D" w:rsidP="00F47DC4">
            <w:pPr>
              <w:spacing w:after="0" w:line="276" w:lineRule="auto"/>
              <w:ind w:firstLine="426"/>
              <w:rPr>
                <w:b/>
                <w:sz w:val="20"/>
                <w:szCs w:val="20"/>
                <w:lang w:val="hy-AM"/>
              </w:rPr>
            </w:pPr>
            <w:r w:rsidRPr="00BC61ED">
              <w:rPr>
                <w:b/>
                <w:sz w:val="20"/>
                <w:szCs w:val="20"/>
                <w:lang w:val="hy-AM"/>
              </w:rPr>
              <w:t>1.  Միջոցառման անհրաժեշտությունը (նպատակ)</w:t>
            </w:r>
          </w:p>
          <w:p w:rsidR="0068680D" w:rsidRPr="00BC61ED" w:rsidRDefault="0068680D" w:rsidP="00F47DC4">
            <w:pPr>
              <w:spacing w:after="0" w:line="276" w:lineRule="auto"/>
              <w:ind w:firstLine="426"/>
              <w:rPr>
                <w:bCs/>
                <w:sz w:val="20"/>
                <w:szCs w:val="20"/>
                <w:lang w:val="hy-AM"/>
              </w:rPr>
            </w:pPr>
            <w:r w:rsidRPr="00BC61ED">
              <w:rPr>
                <w:sz w:val="20"/>
                <w:szCs w:val="20"/>
                <w:lang w:val="hy-AM"/>
              </w:rPr>
              <w:t>Սահմանամերձ համայնքների սոցիալական աջակցությունն իրականացվում է &lt;&lt;Ս</w:t>
            </w:r>
            <w:r w:rsidRPr="00BC61ED">
              <w:rPr>
                <w:bCs/>
                <w:sz w:val="20"/>
                <w:szCs w:val="20"/>
                <w:lang w:val="hy-AM"/>
              </w:rPr>
              <w:t>ահմանամերձ համայնքների</w:t>
            </w:r>
            <w:r w:rsidRPr="00BC61ED">
              <w:rPr>
                <w:rFonts w:ascii="Calibri" w:hAnsi="Calibri" w:cs="Calibri"/>
                <w:bCs/>
                <w:sz w:val="20"/>
                <w:szCs w:val="20"/>
                <w:lang w:val="hy-AM"/>
              </w:rPr>
              <w:t> </w:t>
            </w:r>
            <w:r w:rsidRPr="00BC61ED">
              <w:rPr>
                <w:bCs/>
                <w:sz w:val="20"/>
                <w:szCs w:val="20"/>
                <w:lang w:val="hy-AM"/>
              </w:rPr>
              <w:t>սոցիալական</w:t>
            </w:r>
            <w:r w:rsidRPr="00BC61ED">
              <w:rPr>
                <w:rFonts w:ascii="Calibri" w:hAnsi="Calibri" w:cs="Calibri"/>
                <w:bCs/>
                <w:sz w:val="20"/>
                <w:szCs w:val="20"/>
                <w:lang w:val="hy-AM"/>
              </w:rPr>
              <w:t> </w:t>
            </w:r>
            <w:r w:rsidRPr="00BC61ED">
              <w:rPr>
                <w:bCs/>
                <w:sz w:val="20"/>
                <w:szCs w:val="20"/>
                <w:lang w:val="hy-AM"/>
              </w:rPr>
              <w:t xml:space="preserve">աջակցության մասին&gt;&gt; ՀՀ օրենքի հիման վրա, որի գործողության ժամկետը երկարաձգվել է մինչև 2021 թվականի հունվարի 1-ը։ Նշվածը  ենթադրում է, որ առնվազն մինչև նշված ժամկետի ավարտը սահմանամերձ համայնքների բնակիչներին պետք է տրամադրվի &lt;&lt;Սահմանամերձ համայնքների սոցիալական աջակցության մասին&gt;&gt; ՀՀ օրենքով նախատեսված աջակցությունը։ Նշված աջակցությունը տրամադրվում է Կառավարության 18.12.2014 թ-ի N 1444-Ն որոշմամբ սահմանված կարգով՝ սահմանամերձ 16 համայնքների 38 բնակավայրերի բնակիչներին։ ՀՀ պետական բյուջեով այս ծրագրի իրականացման համար հատկացվել է 928,8 մլն դրամ գումար։ </w:t>
            </w:r>
          </w:p>
          <w:p w:rsidR="0068680D" w:rsidRPr="00BC61ED" w:rsidRDefault="0068680D" w:rsidP="00F47DC4">
            <w:pPr>
              <w:spacing w:after="0" w:line="276" w:lineRule="auto"/>
              <w:ind w:firstLine="375"/>
              <w:rPr>
                <w:sz w:val="20"/>
                <w:szCs w:val="20"/>
                <w:lang w:val="hy-AM"/>
              </w:rPr>
            </w:pPr>
            <w:r w:rsidRPr="00BC61ED">
              <w:rPr>
                <w:sz w:val="20"/>
                <w:szCs w:val="20"/>
                <w:lang w:val="hy-AM"/>
              </w:rPr>
              <w:t xml:space="preserve">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6.1 բաժնով նախատեսված հանձնառություններից:</w:t>
            </w:r>
          </w:p>
          <w:p w:rsidR="0068680D" w:rsidRPr="00BC61ED" w:rsidRDefault="0068680D" w:rsidP="00F47DC4">
            <w:pPr>
              <w:spacing w:after="0" w:line="276" w:lineRule="auto"/>
              <w:ind w:firstLine="426"/>
              <w:rPr>
                <w:b/>
                <w:sz w:val="20"/>
                <w:szCs w:val="20"/>
                <w:lang w:val="hy-AM"/>
              </w:rPr>
            </w:pPr>
            <w:r w:rsidRPr="00BC61ED">
              <w:rPr>
                <w:b/>
                <w:sz w:val="20"/>
                <w:szCs w:val="20"/>
                <w:lang w:val="hy-AM"/>
              </w:rPr>
              <w:t>2. Ակնկալվող արդյունքը</w:t>
            </w:r>
          </w:p>
          <w:p w:rsidR="0068680D" w:rsidRPr="00BC61ED" w:rsidRDefault="0068680D" w:rsidP="00F47DC4">
            <w:pPr>
              <w:spacing w:after="0" w:line="276" w:lineRule="auto"/>
              <w:ind w:firstLine="426"/>
              <w:rPr>
                <w:sz w:val="20"/>
                <w:szCs w:val="20"/>
                <w:lang w:val="hy-AM"/>
              </w:rPr>
            </w:pPr>
            <w:r w:rsidRPr="00BC61ED">
              <w:rPr>
                <w:sz w:val="20"/>
                <w:szCs w:val="20"/>
                <w:lang w:val="hy-AM"/>
              </w:rPr>
              <w:t>Ծրագրի իրականացման արդյունքում 17736 տնտեսության 58043 բնակչի կտրամադրվի առնվազն հետևյալ աջակցությունը՝</w:t>
            </w:r>
          </w:p>
          <w:p w:rsidR="0068680D" w:rsidRPr="00BC61ED" w:rsidRDefault="0068680D" w:rsidP="00F47DC4">
            <w:pPr>
              <w:spacing w:after="0" w:line="276" w:lineRule="auto"/>
              <w:ind w:firstLine="426"/>
              <w:rPr>
                <w:sz w:val="20"/>
                <w:szCs w:val="20"/>
                <w:lang w:val="hy-AM"/>
              </w:rPr>
            </w:pPr>
            <w:r w:rsidRPr="00BC61ED">
              <w:rPr>
                <w:sz w:val="20"/>
                <w:szCs w:val="20"/>
                <w:lang w:val="hy-AM"/>
              </w:rPr>
              <w:t xml:space="preserve"> 1)</w:t>
            </w:r>
            <w:r w:rsidRPr="00BC61ED">
              <w:rPr>
                <w:sz w:val="20"/>
                <w:szCs w:val="20"/>
                <w:lang w:val="hy-AM"/>
              </w:rPr>
              <w:tab/>
              <w:t xml:space="preserve"> էլեկտրաէներգիա - օրացուցային տարվա ընթացքում գումարային մինչև 1440 կՎտ/ժ էլեկտրաէներգիայի վճարումները գանձվում են հաստատված սակագնից նվազեցված գնով` 50 %-ի չափով (ներառյալ ավելացված  արժեքի հարկը):</w:t>
            </w:r>
          </w:p>
          <w:p w:rsidR="0068680D" w:rsidRPr="00BC61ED" w:rsidRDefault="0068680D" w:rsidP="00F47DC4">
            <w:pPr>
              <w:spacing w:after="0" w:line="276" w:lineRule="auto"/>
              <w:ind w:firstLine="426"/>
              <w:rPr>
                <w:sz w:val="20"/>
                <w:szCs w:val="20"/>
                <w:lang w:val="hy-AM"/>
              </w:rPr>
            </w:pPr>
            <w:r w:rsidRPr="00BC61ED">
              <w:rPr>
                <w:sz w:val="20"/>
                <w:szCs w:val="20"/>
                <w:lang w:val="hy-AM"/>
              </w:rPr>
              <w:t>2)</w:t>
            </w:r>
            <w:r w:rsidRPr="00BC61ED">
              <w:rPr>
                <w:sz w:val="20"/>
                <w:szCs w:val="20"/>
                <w:lang w:val="hy-AM"/>
              </w:rPr>
              <w:tab/>
              <w:t>բնական գազ - օրացուցային տարվա ընթացքում գումարային մինչև 360 խ.մ. բնական գազի վճարումները գանձվում են հաստատված սակագնից նվազեցված գնով` 50 %-ի չափով (ներառյալ ավելացված  արժեքի հարկը),</w:t>
            </w:r>
          </w:p>
          <w:p w:rsidR="0068680D" w:rsidRPr="00BC61ED" w:rsidRDefault="0068680D" w:rsidP="00F47DC4">
            <w:pPr>
              <w:spacing w:after="0" w:line="276" w:lineRule="auto"/>
              <w:ind w:firstLine="426"/>
              <w:rPr>
                <w:sz w:val="20"/>
                <w:szCs w:val="20"/>
                <w:lang w:val="hy-AM"/>
              </w:rPr>
            </w:pPr>
            <w:r w:rsidRPr="00BC61ED">
              <w:rPr>
                <w:sz w:val="20"/>
                <w:szCs w:val="20"/>
                <w:lang w:val="hy-AM"/>
              </w:rPr>
              <w:t>3)</w:t>
            </w:r>
            <w:r w:rsidRPr="00BC61ED">
              <w:rPr>
                <w:sz w:val="20"/>
                <w:szCs w:val="20"/>
                <w:lang w:val="hy-AM"/>
              </w:rPr>
              <w:tab/>
              <w:t>բնական գազի փոխարեն փոխհատուցում էլեկտրաէներգիայի տեսքով - «էլեկտրաէներգիայի ծախս ունեցող ամիսներին տրամադրվում է 15 խոր. մետր, տարվա ընթացքում աճողական մինչև 180 խոր. մետր բնական գազի քանակության արժեքին համապատասխան գումար:</w:t>
            </w:r>
          </w:p>
          <w:p w:rsidR="0068680D" w:rsidRPr="00BC61ED" w:rsidRDefault="0068680D" w:rsidP="00F47DC4">
            <w:pPr>
              <w:spacing w:after="0" w:line="276" w:lineRule="auto"/>
              <w:ind w:firstLine="426"/>
              <w:rPr>
                <w:sz w:val="20"/>
                <w:szCs w:val="20"/>
                <w:lang w:val="hy-AM"/>
              </w:rPr>
            </w:pPr>
            <w:r w:rsidRPr="00BC61ED">
              <w:rPr>
                <w:sz w:val="20"/>
                <w:szCs w:val="20"/>
                <w:lang w:val="hy-AM"/>
              </w:rPr>
              <w:t>4)</w:t>
            </w:r>
            <w:r w:rsidRPr="00BC61ED">
              <w:rPr>
                <w:sz w:val="20"/>
                <w:szCs w:val="20"/>
                <w:lang w:val="hy-AM"/>
              </w:rPr>
              <w:tab/>
              <w:t>ոռոգման ջուր - ֆիզիկական և իրավաբանական անձանց կողմից օգտագործված ոռոգման ջրի դիմաց տվյալ տարում գանձվող վարձավճարների 50 %-ի չափով:</w:t>
            </w:r>
          </w:p>
          <w:p w:rsidR="0068680D" w:rsidRPr="00BC61ED" w:rsidRDefault="0068680D" w:rsidP="00F47DC4">
            <w:pPr>
              <w:spacing w:after="0" w:line="276" w:lineRule="auto"/>
              <w:ind w:firstLine="426"/>
              <w:rPr>
                <w:sz w:val="20"/>
                <w:szCs w:val="20"/>
                <w:lang w:val="hy-AM"/>
              </w:rPr>
            </w:pPr>
            <w:r w:rsidRPr="00BC61ED">
              <w:rPr>
                <w:sz w:val="20"/>
                <w:szCs w:val="20"/>
                <w:lang w:val="hy-AM"/>
              </w:rPr>
              <w:t>5)</w:t>
            </w:r>
            <w:r w:rsidRPr="00BC61ED">
              <w:rPr>
                <w:sz w:val="20"/>
                <w:szCs w:val="20"/>
                <w:lang w:val="hy-AM"/>
              </w:rPr>
              <w:tab/>
              <w:t>հողի հարկ և անշարժ գույքի գույքահարկ - վճարման ենթակա հողի հարկի և այդ հողերի վրա ունեցած անշարժ գույքի գույքահարկը Կառավարությունը նրանց փոխարեն համապատասխան համայնքի բյուջե է վճարում Հայաստանի Հանրապետության պետական բյուջեով այդ նպատակի համար նախատեսված գումարներից:</w:t>
            </w:r>
          </w:p>
          <w:p w:rsidR="0068680D" w:rsidRPr="00BC61ED" w:rsidRDefault="0068680D" w:rsidP="00F47DC4">
            <w:pPr>
              <w:spacing w:after="0" w:line="276" w:lineRule="auto"/>
              <w:ind w:firstLine="426"/>
              <w:rPr>
                <w:sz w:val="20"/>
                <w:szCs w:val="20"/>
                <w:lang w:val="hy-AM"/>
              </w:rPr>
            </w:pPr>
          </w:p>
          <w:p w:rsidR="0068680D" w:rsidRPr="00BC61ED" w:rsidRDefault="0068680D" w:rsidP="00F47DC4">
            <w:pPr>
              <w:spacing w:after="0" w:line="276" w:lineRule="auto"/>
              <w:rPr>
                <w:rFonts w:eastAsia="Times New Roman"/>
                <w:sz w:val="20"/>
                <w:szCs w:val="20"/>
                <w:lang w:val="hy-AM"/>
              </w:rPr>
            </w:pPr>
            <w:r w:rsidRPr="00BC61ED">
              <w:rPr>
                <w:rFonts w:eastAsia="Times New Roman"/>
                <w:b/>
                <w:i/>
                <w:sz w:val="20"/>
                <w:szCs w:val="20"/>
                <w:lang w:val="hy-AM"/>
              </w:rPr>
              <w:t>2</w:t>
            </w:r>
            <w:r w:rsidRPr="00BC61ED">
              <w:rPr>
                <w:rFonts w:ascii="Cambria Math" w:eastAsia="Times New Roman" w:hAnsi="Cambria Math" w:cs="Cambria Math"/>
                <w:b/>
                <w:i/>
                <w:sz w:val="20"/>
                <w:szCs w:val="20"/>
                <w:lang w:val="hy-AM"/>
              </w:rPr>
              <w:t>․</w:t>
            </w:r>
            <w:r w:rsidRPr="00BC61ED">
              <w:rPr>
                <w:rFonts w:eastAsia="Times New Roman"/>
                <w:b/>
                <w:i/>
                <w:sz w:val="20"/>
                <w:szCs w:val="20"/>
                <w:lang w:val="hy-AM"/>
              </w:rPr>
              <w:t>4 - 2.7 կետերի միջոցառումներ (ՀՀ տարածքներում տարածքային աճի բևեռների ձևավորում)</w:t>
            </w:r>
          </w:p>
          <w:p w:rsidR="0068680D" w:rsidRPr="00BC61ED" w:rsidRDefault="0068680D" w:rsidP="00F47DC4">
            <w:pPr>
              <w:spacing w:after="0" w:line="276" w:lineRule="auto"/>
              <w:ind w:firstLine="375"/>
              <w:rPr>
                <w:b/>
                <w:sz w:val="20"/>
                <w:szCs w:val="20"/>
                <w:lang w:val="hy-AM"/>
              </w:rPr>
            </w:pPr>
          </w:p>
          <w:p w:rsidR="0068680D" w:rsidRPr="00BC61ED" w:rsidRDefault="0068680D" w:rsidP="00F47DC4">
            <w:pPr>
              <w:spacing w:after="0" w:line="276" w:lineRule="auto"/>
              <w:ind w:firstLine="426"/>
              <w:rPr>
                <w:b/>
                <w:sz w:val="20"/>
                <w:szCs w:val="20"/>
                <w:lang w:val="hy-AM"/>
              </w:rPr>
            </w:pPr>
            <w:r w:rsidRPr="00BC61ED">
              <w:rPr>
                <w:b/>
                <w:sz w:val="20"/>
                <w:szCs w:val="20"/>
                <w:lang w:val="hy-AM"/>
              </w:rPr>
              <w:t>1.  Միջոցառման անհրաժեշտությունը (նպատակ)</w:t>
            </w:r>
          </w:p>
          <w:p w:rsidR="0068680D" w:rsidRPr="00BC61ED" w:rsidRDefault="0068680D" w:rsidP="00F47DC4">
            <w:pPr>
              <w:pStyle w:val="ListParagraph"/>
              <w:spacing w:after="0" w:line="276" w:lineRule="auto"/>
              <w:ind w:left="360"/>
              <w:rPr>
                <w:rFonts w:eastAsia="Times New Roman"/>
                <w:b/>
                <w:i/>
                <w:sz w:val="20"/>
                <w:szCs w:val="20"/>
                <w:lang w:val="hy-AM"/>
              </w:rPr>
            </w:pPr>
          </w:p>
          <w:p w:rsidR="0068680D" w:rsidRPr="00BC61ED" w:rsidRDefault="0068680D" w:rsidP="00F47DC4">
            <w:pPr>
              <w:pStyle w:val="ListParagraph"/>
              <w:tabs>
                <w:tab w:val="left" w:pos="360"/>
                <w:tab w:val="left" w:pos="720"/>
                <w:tab w:val="left" w:pos="1080"/>
              </w:tabs>
              <w:spacing w:after="0" w:line="276" w:lineRule="auto"/>
              <w:ind w:left="450"/>
              <w:rPr>
                <w:sz w:val="20"/>
                <w:szCs w:val="20"/>
                <w:lang w:val="hy-AM"/>
              </w:rPr>
            </w:pPr>
            <w:r w:rsidRPr="00BC61ED">
              <w:rPr>
                <w:sz w:val="20"/>
                <w:szCs w:val="20"/>
                <w:lang w:val="hy-AM"/>
              </w:rPr>
              <w:t>ՀՀ տարածքներում տարածքային աճի բևեռների ձևավորման անհրաժեշտությունը բխում է ստորև ներկայացված իրավական հիմքերից.</w:t>
            </w:r>
          </w:p>
          <w:p w:rsidR="0068680D" w:rsidRPr="00BC61ED" w:rsidRDefault="0068680D" w:rsidP="0068680D">
            <w:pPr>
              <w:pStyle w:val="ListParagraph"/>
              <w:numPr>
                <w:ilvl w:val="0"/>
                <w:numId w:val="131"/>
              </w:numPr>
              <w:spacing w:after="0" w:line="276" w:lineRule="auto"/>
              <w:ind w:left="720" w:firstLine="0"/>
              <w:rPr>
                <w:rFonts w:cs="Sylfaen"/>
                <w:i/>
                <w:color w:val="000000"/>
                <w:sz w:val="20"/>
                <w:szCs w:val="20"/>
                <w:lang w:val="hy-AM"/>
              </w:rPr>
            </w:pPr>
            <w:r w:rsidRPr="00BC61ED">
              <w:rPr>
                <w:rFonts w:cs="Sylfaen"/>
                <w:i/>
                <w:color w:val="000000"/>
                <w:sz w:val="20"/>
                <w:szCs w:val="20"/>
                <w:lang w:val="hy-AM"/>
              </w:rPr>
              <w:t>ՀՀ կառավարության 2016 թվականի հուլիսի 29-ի N29 արձանագրային որոշմամբ հավանության արժանացած Հայաստանի Հանրապետության</w:t>
            </w:r>
            <w:r w:rsidRPr="00BC61ED">
              <w:rPr>
                <w:rFonts w:ascii="Calibri" w:hAnsi="Calibri" w:cs="Calibri"/>
                <w:i/>
                <w:color w:val="000000"/>
                <w:sz w:val="20"/>
                <w:szCs w:val="20"/>
                <w:lang w:val="hy-AM"/>
              </w:rPr>
              <w:t> </w:t>
            </w:r>
            <w:r w:rsidRPr="00BC61ED">
              <w:rPr>
                <w:rFonts w:cs="Sylfaen"/>
                <w:i/>
                <w:color w:val="000000"/>
                <w:sz w:val="20"/>
                <w:szCs w:val="20"/>
                <w:lang w:val="hy-AM"/>
              </w:rPr>
              <w:t>2016-2025</w:t>
            </w:r>
            <w:r w:rsidRPr="00BC61ED">
              <w:rPr>
                <w:rFonts w:ascii="Calibri" w:hAnsi="Calibri" w:cs="Calibri"/>
                <w:i/>
                <w:color w:val="000000"/>
                <w:sz w:val="20"/>
                <w:szCs w:val="20"/>
                <w:lang w:val="hy-AM"/>
              </w:rPr>
              <w:t> </w:t>
            </w:r>
            <w:r w:rsidRPr="00BC61ED">
              <w:rPr>
                <w:rFonts w:cs="Sylfaen"/>
                <w:i/>
                <w:color w:val="000000"/>
                <w:sz w:val="20"/>
                <w:szCs w:val="20"/>
                <w:lang w:val="hy-AM"/>
              </w:rPr>
              <w:t>թվականների տարածքային զարգացման ռազմավարություն:</w:t>
            </w:r>
          </w:p>
          <w:p w:rsidR="0068680D" w:rsidRPr="00BC61ED" w:rsidRDefault="0068680D" w:rsidP="0068680D">
            <w:pPr>
              <w:pStyle w:val="ListParagraph"/>
              <w:numPr>
                <w:ilvl w:val="0"/>
                <w:numId w:val="131"/>
              </w:numPr>
              <w:spacing w:after="0" w:line="276" w:lineRule="auto"/>
              <w:ind w:left="720" w:firstLine="0"/>
              <w:rPr>
                <w:rFonts w:cs="Sylfaen"/>
                <w:i/>
                <w:color w:val="000000"/>
                <w:sz w:val="20"/>
                <w:szCs w:val="20"/>
                <w:lang w:val="hy-AM"/>
              </w:rPr>
            </w:pPr>
            <w:r w:rsidRPr="00BC61ED">
              <w:rPr>
                <w:rFonts w:cs="Sylfaen"/>
                <w:i/>
                <w:spacing w:val="-8"/>
                <w:sz w:val="20"/>
                <w:szCs w:val="20"/>
                <w:lang w:val="hy-AM"/>
              </w:rPr>
              <w:t xml:space="preserve">ՀՀ կառավարության  2017 թվականի դեկտեմբերի 21-ին  </w:t>
            </w:r>
            <w:r w:rsidRPr="00BC61ED">
              <w:rPr>
                <w:i/>
                <w:sz w:val="20"/>
                <w:szCs w:val="20"/>
                <w:lang w:val="hy-AM"/>
              </w:rPr>
              <w:t>N 53 արձանագրային որոշմամբ հավանության արժանացած Տ</w:t>
            </w:r>
            <w:r w:rsidRPr="00BC61ED">
              <w:rPr>
                <w:rFonts w:cs="Sylfaen"/>
                <w:i/>
                <w:spacing w:val="-8"/>
                <w:sz w:val="20"/>
                <w:szCs w:val="20"/>
                <w:lang w:val="af-ZA"/>
              </w:rPr>
              <w:t>արածքային աճի բև</w:t>
            </w:r>
            <w:r w:rsidRPr="00BC61ED">
              <w:rPr>
                <w:rFonts w:cs="Sylfaen"/>
                <w:i/>
                <w:spacing w:val="-8"/>
                <w:sz w:val="20"/>
                <w:szCs w:val="20"/>
                <w:lang w:val="hy-AM"/>
              </w:rPr>
              <w:t>ե</w:t>
            </w:r>
            <w:r w:rsidRPr="00BC61ED">
              <w:rPr>
                <w:rFonts w:cs="Sylfaen"/>
                <w:i/>
                <w:spacing w:val="-8"/>
                <w:sz w:val="20"/>
                <w:szCs w:val="20"/>
                <w:lang w:val="af-ZA"/>
              </w:rPr>
              <w:t>ռների զարգացման հայեցա</w:t>
            </w:r>
            <w:r w:rsidRPr="00BC61ED">
              <w:rPr>
                <w:rFonts w:cs="Sylfaen"/>
                <w:i/>
                <w:spacing w:val="-8"/>
                <w:sz w:val="20"/>
                <w:szCs w:val="20"/>
                <w:lang w:val="af-ZA"/>
              </w:rPr>
              <w:softHyphen/>
              <w:t>կար</w:t>
            </w:r>
            <w:r w:rsidRPr="00BC61ED">
              <w:rPr>
                <w:rFonts w:cs="Sylfaen"/>
                <w:i/>
                <w:spacing w:val="-8"/>
                <w:sz w:val="20"/>
                <w:szCs w:val="20"/>
                <w:lang w:val="af-ZA"/>
              </w:rPr>
              <w:softHyphen/>
            </w:r>
            <w:r w:rsidRPr="00BC61ED">
              <w:rPr>
                <w:rFonts w:cs="Sylfaen"/>
                <w:i/>
                <w:sz w:val="20"/>
                <w:szCs w:val="20"/>
                <w:lang w:val="af-ZA"/>
              </w:rPr>
              <w:t>գ</w:t>
            </w:r>
            <w:r w:rsidRPr="00BC61ED">
              <w:rPr>
                <w:rFonts w:cs="Sylfaen"/>
                <w:i/>
                <w:sz w:val="20"/>
                <w:szCs w:val="20"/>
                <w:lang w:val="hy-AM"/>
              </w:rPr>
              <w:t>:</w:t>
            </w:r>
          </w:p>
          <w:p w:rsidR="0068680D" w:rsidRPr="00BC61ED" w:rsidRDefault="0068680D" w:rsidP="0068680D">
            <w:pPr>
              <w:pStyle w:val="ListParagraph"/>
              <w:numPr>
                <w:ilvl w:val="0"/>
                <w:numId w:val="131"/>
              </w:numPr>
              <w:spacing w:after="0" w:line="276" w:lineRule="auto"/>
              <w:ind w:left="720" w:firstLine="0"/>
              <w:rPr>
                <w:rFonts w:cs="Sylfaen"/>
                <w:i/>
                <w:color w:val="000000"/>
                <w:sz w:val="20"/>
                <w:szCs w:val="20"/>
                <w:lang w:val="hy-AM"/>
              </w:rPr>
            </w:pPr>
            <w:r w:rsidRPr="00BC61ED">
              <w:rPr>
                <w:i/>
                <w:color w:val="000000"/>
                <w:sz w:val="20"/>
                <w:szCs w:val="20"/>
                <w:shd w:val="clear" w:color="auto" w:fill="FFFFFF"/>
                <w:lang w:val="hy-AM"/>
              </w:rPr>
              <w:t xml:space="preserve">ՀՀ-ԵՄ Համապարփակ և ընդլայնված գործընկերության համաձայնագրի դրույթներից բխող ՀՀ կառավարության կողմից կազմված </w:t>
            </w:r>
            <w:r w:rsidRPr="00BC61ED">
              <w:rPr>
                <w:rFonts w:cs="Sylfaen"/>
                <w:i/>
                <w:color w:val="000000"/>
                <w:sz w:val="20"/>
                <w:szCs w:val="20"/>
                <w:lang w:val="hy-AM"/>
              </w:rPr>
              <w:t>ՀԸԳՀ-ի կիրառկումն ապահովող  ճանապարհային քարտեզի 175-րդ կետ:</w:t>
            </w:r>
          </w:p>
          <w:p w:rsidR="0068680D" w:rsidRPr="00BC61ED" w:rsidRDefault="0068680D" w:rsidP="0068680D">
            <w:pPr>
              <w:pStyle w:val="ListParagraph"/>
              <w:numPr>
                <w:ilvl w:val="0"/>
                <w:numId w:val="131"/>
              </w:numPr>
              <w:spacing w:after="0" w:line="276" w:lineRule="auto"/>
              <w:rPr>
                <w:sz w:val="20"/>
                <w:szCs w:val="20"/>
                <w:lang w:val="hy-AM"/>
              </w:rPr>
            </w:pP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6.1 բաժին:</w:t>
            </w:r>
          </w:p>
          <w:p w:rsidR="0068680D" w:rsidRPr="00BC61ED" w:rsidRDefault="0068680D" w:rsidP="00F47DC4">
            <w:pPr>
              <w:spacing w:after="0" w:line="276" w:lineRule="auto"/>
              <w:ind w:firstLine="375"/>
              <w:rPr>
                <w:rFonts w:eastAsia="Times New Roman"/>
                <w:b/>
                <w:i/>
                <w:sz w:val="20"/>
                <w:szCs w:val="20"/>
                <w:lang w:val="hy-AM"/>
              </w:rPr>
            </w:pPr>
            <w:r w:rsidRPr="00BC61ED">
              <w:rPr>
                <w:rFonts w:eastAsia="Times New Roman"/>
                <w:b/>
                <w:sz w:val="20"/>
                <w:szCs w:val="20"/>
                <w:lang w:val="hy-AM"/>
              </w:rPr>
              <w:t>1.1.</w:t>
            </w:r>
            <w:r w:rsidRPr="00BC61ED">
              <w:rPr>
                <w:rFonts w:eastAsia="Times New Roman"/>
                <w:sz w:val="20"/>
                <w:szCs w:val="20"/>
                <w:lang w:val="hy-AM"/>
              </w:rPr>
              <w:t xml:space="preserve"> </w:t>
            </w:r>
            <w:r w:rsidRPr="00BC61ED">
              <w:rPr>
                <w:rFonts w:eastAsia="Times New Roman"/>
                <w:b/>
                <w:i/>
                <w:sz w:val="20"/>
                <w:szCs w:val="20"/>
                <w:lang w:val="hy-AM"/>
              </w:rPr>
              <w:t xml:space="preserve">կարգավորման հարաբերությունների ներկա վիճակը և առկա խնդիրները (նշելով նաև ելակետային տվյալներ, եթե դրանք առկա են) </w:t>
            </w:r>
          </w:p>
          <w:p w:rsidR="0068680D" w:rsidRPr="00BC61ED" w:rsidRDefault="0068680D" w:rsidP="00F47DC4">
            <w:pPr>
              <w:tabs>
                <w:tab w:val="left" w:pos="720"/>
              </w:tabs>
              <w:spacing w:after="0" w:line="276" w:lineRule="auto"/>
              <w:ind w:right="146" w:firstLine="90"/>
              <w:rPr>
                <w:sz w:val="20"/>
                <w:szCs w:val="20"/>
                <w:lang w:val="af-ZA"/>
              </w:rPr>
            </w:pPr>
            <w:r w:rsidRPr="00BC61ED">
              <w:rPr>
                <w:rFonts w:cs="Sylfaen"/>
                <w:sz w:val="20"/>
                <w:szCs w:val="20"/>
                <w:lang w:val="hy-AM"/>
              </w:rPr>
              <w:tab/>
              <w:t>Չնայած այն բանի, որ վերջին</w:t>
            </w:r>
            <w:r w:rsidRPr="00BC61ED">
              <w:rPr>
                <w:sz w:val="20"/>
                <w:szCs w:val="20"/>
                <w:lang w:val="af-ZA"/>
              </w:rPr>
              <w:t xml:space="preserve"> </w:t>
            </w:r>
            <w:r w:rsidRPr="00BC61ED">
              <w:rPr>
                <w:rFonts w:cs="Sylfaen"/>
                <w:sz w:val="20"/>
                <w:szCs w:val="20"/>
                <w:lang w:val="hy-AM"/>
              </w:rPr>
              <w:t>երկու</w:t>
            </w:r>
            <w:r w:rsidRPr="00BC61ED">
              <w:rPr>
                <w:sz w:val="20"/>
                <w:szCs w:val="20"/>
                <w:lang w:val="af-ZA"/>
              </w:rPr>
              <w:t xml:space="preserve"> </w:t>
            </w:r>
            <w:r w:rsidRPr="00BC61ED">
              <w:rPr>
                <w:rFonts w:cs="Sylfaen"/>
                <w:sz w:val="20"/>
                <w:szCs w:val="20"/>
                <w:lang w:val="hy-AM"/>
              </w:rPr>
              <w:t>տասնամյակում</w:t>
            </w:r>
            <w:r w:rsidRPr="00BC61ED">
              <w:rPr>
                <w:sz w:val="20"/>
                <w:szCs w:val="20"/>
                <w:lang w:val="af-ZA"/>
              </w:rPr>
              <w:t xml:space="preserve"> </w:t>
            </w:r>
            <w:r w:rsidRPr="00BC61ED">
              <w:rPr>
                <w:rFonts w:cs="Sylfaen"/>
                <w:sz w:val="20"/>
                <w:szCs w:val="20"/>
                <w:lang w:val="hy-AM"/>
              </w:rPr>
              <w:t>ՀՀ</w:t>
            </w:r>
            <w:r w:rsidRPr="00BC61ED">
              <w:rPr>
                <w:sz w:val="20"/>
                <w:szCs w:val="20"/>
                <w:lang w:val="af-ZA"/>
              </w:rPr>
              <w:t>-</w:t>
            </w:r>
            <w:r w:rsidRPr="00BC61ED">
              <w:rPr>
                <w:rFonts w:cs="Sylfaen"/>
                <w:sz w:val="20"/>
                <w:szCs w:val="20"/>
                <w:lang w:val="hy-AM"/>
              </w:rPr>
              <w:t>ում</w:t>
            </w:r>
            <w:r w:rsidRPr="00BC61ED">
              <w:rPr>
                <w:sz w:val="20"/>
                <w:szCs w:val="20"/>
                <w:lang w:val="af-ZA"/>
              </w:rPr>
              <w:t xml:space="preserve"> </w:t>
            </w:r>
            <w:r w:rsidRPr="00BC61ED">
              <w:rPr>
                <w:rFonts w:cs="Sylfaen"/>
                <w:sz w:val="20"/>
                <w:szCs w:val="20"/>
                <w:lang w:val="hy-AM"/>
              </w:rPr>
              <w:t>տարածական</w:t>
            </w:r>
            <w:r w:rsidRPr="00BC61ED">
              <w:rPr>
                <w:sz w:val="20"/>
                <w:szCs w:val="20"/>
                <w:lang w:val="af-ZA"/>
              </w:rPr>
              <w:t xml:space="preserve"> </w:t>
            </w:r>
            <w:r w:rsidRPr="00BC61ED">
              <w:rPr>
                <w:rFonts w:cs="Sylfaen"/>
                <w:sz w:val="20"/>
                <w:szCs w:val="20"/>
                <w:lang w:val="hy-AM"/>
              </w:rPr>
              <w:t>տնտեսական</w:t>
            </w:r>
            <w:r w:rsidRPr="00BC61ED">
              <w:rPr>
                <w:sz w:val="20"/>
                <w:szCs w:val="20"/>
                <w:lang w:val="af-ZA"/>
              </w:rPr>
              <w:t xml:space="preserve"> </w:t>
            </w:r>
            <w:r w:rsidRPr="00BC61ED">
              <w:rPr>
                <w:rFonts w:cs="Sylfaen"/>
                <w:sz w:val="20"/>
                <w:szCs w:val="20"/>
                <w:lang w:val="hy-AM"/>
              </w:rPr>
              <w:t>քաղաքականության</w:t>
            </w:r>
            <w:r w:rsidRPr="00BC61ED">
              <w:rPr>
                <w:sz w:val="20"/>
                <w:szCs w:val="20"/>
                <w:lang w:val="af-ZA"/>
              </w:rPr>
              <w:t xml:space="preserve"> </w:t>
            </w:r>
            <w:r w:rsidRPr="00BC61ED">
              <w:rPr>
                <w:rFonts w:cs="Sylfaen"/>
                <w:sz w:val="20"/>
                <w:szCs w:val="20"/>
                <w:lang w:val="hy-AM"/>
              </w:rPr>
              <w:t>իրականացման</w:t>
            </w:r>
            <w:r w:rsidRPr="00BC61ED">
              <w:rPr>
                <w:sz w:val="20"/>
                <w:szCs w:val="20"/>
                <w:lang w:val="af-ZA"/>
              </w:rPr>
              <w:t xml:space="preserve"> </w:t>
            </w:r>
            <w:r w:rsidRPr="00BC61ED">
              <w:rPr>
                <w:rFonts w:cs="Sylfaen"/>
                <w:sz w:val="20"/>
                <w:szCs w:val="20"/>
                <w:lang w:val="hy-AM"/>
              </w:rPr>
              <w:t>համար</w:t>
            </w:r>
            <w:r w:rsidRPr="00BC61ED">
              <w:rPr>
                <w:sz w:val="20"/>
                <w:szCs w:val="20"/>
                <w:lang w:val="af-ZA"/>
              </w:rPr>
              <w:t xml:space="preserve"> </w:t>
            </w:r>
            <w:r w:rsidRPr="00BC61ED">
              <w:rPr>
                <w:rFonts w:cs="Sylfaen"/>
                <w:sz w:val="20"/>
                <w:szCs w:val="20"/>
                <w:lang w:val="hy-AM"/>
              </w:rPr>
              <w:t>ստեղծվել</w:t>
            </w:r>
            <w:r w:rsidRPr="00BC61ED">
              <w:rPr>
                <w:sz w:val="20"/>
                <w:szCs w:val="20"/>
                <w:lang w:val="af-ZA"/>
              </w:rPr>
              <w:t xml:space="preserve"> </w:t>
            </w:r>
            <w:r w:rsidRPr="00BC61ED">
              <w:rPr>
                <w:sz w:val="20"/>
                <w:szCs w:val="20"/>
                <w:lang w:val="hy-AM"/>
              </w:rPr>
              <w:t>էին</w:t>
            </w:r>
            <w:r w:rsidRPr="00BC61ED">
              <w:rPr>
                <w:sz w:val="20"/>
                <w:szCs w:val="20"/>
                <w:lang w:val="af-ZA"/>
              </w:rPr>
              <w:t xml:space="preserve"> </w:t>
            </w:r>
            <w:r w:rsidRPr="00BC61ED">
              <w:rPr>
                <w:rFonts w:cs="Sylfaen"/>
                <w:sz w:val="20"/>
                <w:szCs w:val="20"/>
                <w:lang w:val="hy-AM"/>
              </w:rPr>
              <w:t>որոշակի</w:t>
            </w:r>
            <w:r w:rsidRPr="00BC61ED">
              <w:rPr>
                <w:sz w:val="20"/>
                <w:szCs w:val="20"/>
                <w:lang w:val="af-ZA"/>
              </w:rPr>
              <w:t xml:space="preserve"> </w:t>
            </w:r>
            <w:r w:rsidRPr="00BC61ED">
              <w:rPr>
                <w:rFonts w:cs="Sylfaen"/>
                <w:sz w:val="20"/>
                <w:szCs w:val="20"/>
                <w:lang w:val="hy-AM"/>
              </w:rPr>
              <w:t>նախադրյալներ</w:t>
            </w:r>
            <w:r w:rsidRPr="00BC61ED">
              <w:rPr>
                <w:sz w:val="20"/>
                <w:szCs w:val="20"/>
                <w:lang w:val="af-ZA"/>
              </w:rPr>
              <w:t xml:space="preserve">, </w:t>
            </w:r>
            <w:r w:rsidRPr="00BC61ED">
              <w:rPr>
                <w:rFonts w:cs="Sylfaen"/>
                <w:sz w:val="20"/>
                <w:szCs w:val="20"/>
                <w:lang w:val="hy-AM"/>
              </w:rPr>
              <w:t>մշակվել</w:t>
            </w:r>
            <w:r w:rsidRPr="00BC61ED">
              <w:rPr>
                <w:sz w:val="20"/>
                <w:szCs w:val="20"/>
                <w:lang w:val="af-ZA"/>
              </w:rPr>
              <w:t xml:space="preserve"> </w:t>
            </w:r>
            <w:r w:rsidRPr="00BC61ED">
              <w:rPr>
                <w:rFonts w:cs="Sylfaen"/>
                <w:sz w:val="20"/>
                <w:szCs w:val="20"/>
                <w:lang w:val="hy-AM"/>
              </w:rPr>
              <w:t>և</w:t>
            </w:r>
            <w:r w:rsidRPr="00BC61ED">
              <w:rPr>
                <w:sz w:val="20"/>
                <w:szCs w:val="20"/>
                <w:lang w:val="af-ZA"/>
              </w:rPr>
              <w:t xml:space="preserve"> </w:t>
            </w:r>
            <w:r w:rsidRPr="00BC61ED">
              <w:rPr>
                <w:rFonts w:cs="Sylfaen"/>
                <w:sz w:val="20"/>
                <w:szCs w:val="20"/>
                <w:lang w:val="hy-AM"/>
              </w:rPr>
              <w:t>կենսագործվում</w:t>
            </w:r>
            <w:r w:rsidRPr="00BC61ED">
              <w:rPr>
                <w:sz w:val="20"/>
                <w:szCs w:val="20"/>
                <w:lang w:val="af-ZA"/>
              </w:rPr>
              <w:t xml:space="preserve"> </w:t>
            </w:r>
            <w:r w:rsidRPr="00BC61ED">
              <w:rPr>
                <w:rFonts w:cs="Sylfaen"/>
                <w:sz w:val="20"/>
                <w:szCs w:val="20"/>
                <w:lang w:val="hy-AM"/>
              </w:rPr>
              <w:t>են</w:t>
            </w:r>
            <w:r w:rsidRPr="00BC61ED">
              <w:rPr>
                <w:sz w:val="20"/>
                <w:szCs w:val="20"/>
                <w:lang w:val="af-ZA"/>
              </w:rPr>
              <w:t xml:space="preserve"> </w:t>
            </w:r>
            <w:r w:rsidRPr="00BC61ED">
              <w:rPr>
                <w:rFonts w:cs="Sylfaen"/>
                <w:sz w:val="20"/>
                <w:szCs w:val="20"/>
                <w:lang w:val="hy-AM"/>
              </w:rPr>
              <w:t>տարաբնույթ</w:t>
            </w:r>
            <w:r w:rsidRPr="00BC61ED">
              <w:rPr>
                <w:sz w:val="20"/>
                <w:szCs w:val="20"/>
                <w:lang w:val="af-ZA"/>
              </w:rPr>
              <w:t xml:space="preserve"> </w:t>
            </w:r>
            <w:r w:rsidRPr="00BC61ED">
              <w:rPr>
                <w:rFonts w:cs="Sylfaen"/>
                <w:sz w:val="20"/>
                <w:szCs w:val="20"/>
                <w:lang w:val="hy-AM"/>
              </w:rPr>
              <w:t>սոցիալ</w:t>
            </w:r>
            <w:r w:rsidRPr="00BC61ED">
              <w:rPr>
                <w:sz w:val="20"/>
                <w:szCs w:val="20"/>
                <w:lang w:val="af-ZA"/>
              </w:rPr>
              <w:t>-</w:t>
            </w:r>
            <w:r w:rsidRPr="00BC61ED">
              <w:rPr>
                <w:rFonts w:cs="Sylfaen"/>
                <w:sz w:val="20"/>
                <w:szCs w:val="20"/>
                <w:lang w:val="hy-AM"/>
              </w:rPr>
              <w:t>տնտեսական</w:t>
            </w:r>
            <w:r w:rsidRPr="00BC61ED">
              <w:rPr>
                <w:sz w:val="20"/>
                <w:szCs w:val="20"/>
                <w:lang w:val="af-ZA"/>
              </w:rPr>
              <w:t xml:space="preserve"> </w:t>
            </w:r>
            <w:r w:rsidRPr="00BC61ED">
              <w:rPr>
                <w:rFonts w:cs="Sylfaen"/>
                <w:sz w:val="20"/>
                <w:szCs w:val="20"/>
                <w:lang w:val="hy-AM"/>
              </w:rPr>
              <w:t>զարգացման</w:t>
            </w:r>
            <w:r w:rsidRPr="00BC61ED">
              <w:rPr>
                <w:sz w:val="20"/>
                <w:szCs w:val="20"/>
                <w:lang w:val="af-ZA"/>
              </w:rPr>
              <w:t xml:space="preserve"> </w:t>
            </w:r>
            <w:r w:rsidRPr="00BC61ED">
              <w:rPr>
                <w:rFonts w:cs="Sylfaen"/>
                <w:sz w:val="20"/>
                <w:szCs w:val="20"/>
                <w:lang w:val="hy-AM"/>
              </w:rPr>
              <w:t>ծրագրեր</w:t>
            </w:r>
            <w:r w:rsidRPr="00BC61ED">
              <w:rPr>
                <w:sz w:val="20"/>
                <w:szCs w:val="20"/>
                <w:lang w:val="af-ZA"/>
              </w:rPr>
              <w:t xml:space="preserve">, </w:t>
            </w:r>
            <w:r w:rsidRPr="00BC61ED">
              <w:rPr>
                <w:rFonts w:cs="Sylfaen"/>
                <w:sz w:val="20"/>
                <w:szCs w:val="20"/>
                <w:lang w:val="hy-AM"/>
              </w:rPr>
              <w:t>տարածքային</w:t>
            </w:r>
            <w:r w:rsidRPr="00BC61ED">
              <w:rPr>
                <w:sz w:val="20"/>
                <w:szCs w:val="20"/>
                <w:lang w:val="af-ZA"/>
              </w:rPr>
              <w:t xml:space="preserve"> </w:t>
            </w:r>
            <w:r w:rsidRPr="00BC61ED">
              <w:rPr>
                <w:rFonts w:cs="Sylfaen"/>
                <w:sz w:val="20"/>
                <w:szCs w:val="20"/>
                <w:lang w:val="hy-AM"/>
              </w:rPr>
              <w:t>զարգացման</w:t>
            </w:r>
            <w:r w:rsidRPr="00BC61ED">
              <w:rPr>
                <w:sz w:val="20"/>
                <w:szCs w:val="20"/>
                <w:lang w:val="af-ZA"/>
              </w:rPr>
              <w:t xml:space="preserve"> </w:t>
            </w:r>
            <w:r w:rsidRPr="00BC61ED">
              <w:rPr>
                <w:rFonts w:cs="Sylfaen"/>
                <w:sz w:val="20"/>
                <w:szCs w:val="20"/>
                <w:lang w:val="hy-AM"/>
              </w:rPr>
              <w:t>անհամաչափություններն</w:t>
            </w:r>
            <w:r w:rsidRPr="00BC61ED">
              <w:rPr>
                <w:sz w:val="20"/>
                <w:szCs w:val="20"/>
                <w:lang w:val="af-ZA"/>
              </w:rPr>
              <w:t xml:space="preserve"> </w:t>
            </w:r>
            <w:r w:rsidRPr="00BC61ED">
              <w:rPr>
                <w:sz w:val="20"/>
                <w:szCs w:val="20"/>
                <w:lang w:val="hy-AM"/>
              </w:rPr>
              <w:t>շարունակում</w:t>
            </w:r>
            <w:r w:rsidRPr="00BC61ED">
              <w:rPr>
                <w:sz w:val="20"/>
                <w:szCs w:val="20"/>
                <w:lang w:val="af-ZA"/>
              </w:rPr>
              <w:t xml:space="preserve"> </w:t>
            </w:r>
            <w:r w:rsidRPr="00BC61ED">
              <w:rPr>
                <w:rFonts w:cs="Sylfaen"/>
                <w:sz w:val="20"/>
                <w:szCs w:val="20"/>
                <w:lang w:val="hy-AM"/>
              </w:rPr>
              <w:t>են</w:t>
            </w:r>
            <w:r w:rsidRPr="00BC61ED">
              <w:rPr>
                <w:sz w:val="20"/>
                <w:szCs w:val="20"/>
                <w:lang w:val="af-ZA"/>
              </w:rPr>
              <w:t xml:space="preserve"> </w:t>
            </w:r>
            <w:r w:rsidRPr="00BC61ED">
              <w:rPr>
                <w:rFonts w:cs="Sylfaen"/>
                <w:sz w:val="20"/>
                <w:szCs w:val="20"/>
                <w:lang w:val="hy-AM"/>
              </w:rPr>
              <w:t>խորանալ</w:t>
            </w:r>
            <w:r w:rsidRPr="00BC61ED">
              <w:rPr>
                <w:sz w:val="20"/>
                <w:szCs w:val="20"/>
                <w:lang w:val="af-ZA"/>
              </w:rPr>
              <w:t xml:space="preserve"> </w:t>
            </w:r>
            <w:r w:rsidRPr="00BC61ED">
              <w:rPr>
                <w:rFonts w:cs="Sylfaen"/>
                <w:sz w:val="20"/>
                <w:szCs w:val="20"/>
                <w:lang w:val="hy-AM"/>
              </w:rPr>
              <w:t>և</w:t>
            </w:r>
            <w:r w:rsidRPr="00BC61ED">
              <w:rPr>
                <w:sz w:val="20"/>
                <w:szCs w:val="20"/>
                <w:lang w:val="af-ZA"/>
              </w:rPr>
              <w:t xml:space="preserve"> </w:t>
            </w:r>
            <w:r w:rsidRPr="00BC61ED">
              <w:rPr>
                <w:rFonts w:cs="Sylfaen"/>
                <w:sz w:val="20"/>
                <w:szCs w:val="20"/>
                <w:lang w:val="hy-AM"/>
              </w:rPr>
              <w:t>հիմնականում</w:t>
            </w:r>
            <w:r w:rsidRPr="00BC61ED">
              <w:rPr>
                <w:sz w:val="20"/>
                <w:szCs w:val="20"/>
                <w:lang w:val="af-ZA"/>
              </w:rPr>
              <w:t xml:space="preserve"> </w:t>
            </w:r>
            <w:r w:rsidRPr="00BC61ED">
              <w:rPr>
                <w:rFonts w:cs="Sylfaen"/>
                <w:sz w:val="20"/>
                <w:szCs w:val="20"/>
                <w:lang w:val="hy-AM"/>
              </w:rPr>
              <w:t>արտահայտվում</w:t>
            </w:r>
            <w:r w:rsidRPr="00BC61ED">
              <w:rPr>
                <w:sz w:val="20"/>
                <w:szCs w:val="20"/>
                <w:lang w:val="af-ZA"/>
              </w:rPr>
              <w:t xml:space="preserve"> </w:t>
            </w:r>
            <w:r w:rsidRPr="00BC61ED">
              <w:rPr>
                <w:rFonts w:cs="Sylfaen"/>
                <w:sz w:val="20"/>
                <w:szCs w:val="20"/>
                <w:lang w:val="hy-AM"/>
              </w:rPr>
              <w:t>են</w:t>
            </w:r>
            <w:r w:rsidRPr="00BC61ED">
              <w:rPr>
                <w:sz w:val="20"/>
                <w:szCs w:val="20"/>
                <w:lang w:val="af-ZA"/>
              </w:rPr>
              <w:t xml:space="preserve"> </w:t>
            </w:r>
            <w:r w:rsidRPr="00BC61ED">
              <w:rPr>
                <w:rFonts w:cs="Sylfaen"/>
                <w:sz w:val="20"/>
                <w:szCs w:val="20"/>
                <w:lang w:val="hy-AM"/>
              </w:rPr>
              <w:t>մայրաքաղաքի</w:t>
            </w:r>
            <w:r w:rsidRPr="00BC61ED">
              <w:rPr>
                <w:sz w:val="20"/>
                <w:szCs w:val="20"/>
                <w:lang w:val="af-ZA"/>
              </w:rPr>
              <w:t xml:space="preserve"> </w:t>
            </w:r>
            <w:r w:rsidRPr="00BC61ED">
              <w:rPr>
                <w:rFonts w:cs="Sylfaen"/>
                <w:sz w:val="20"/>
                <w:szCs w:val="20"/>
                <w:lang w:val="hy-AM"/>
              </w:rPr>
              <w:t>տնտեսական</w:t>
            </w:r>
            <w:r w:rsidRPr="00BC61ED">
              <w:rPr>
                <w:sz w:val="20"/>
                <w:szCs w:val="20"/>
                <w:lang w:val="af-ZA"/>
              </w:rPr>
              <w:t xml:space="preserve"> </w:t>
            </w:r>
            <w:r w:rsidRPr="00BC61ED">
              <w:rPr>
                <w:rFonts w:cs="Sylfaen"/>
                <w:sz w:val="20"/>
                <w:szCs w:val="20"/>
                <w:lang w:val="hy-AM"/>
              </w:rPr>
              <w:t>դերի</w:t>
            </w:r>
            <w:r w:rsidRPr="00BC61ED">
              <w:rPr>
                <w:sz w:val="20"/>
                <w:szCs w:val="20"/>
                <w:lang w:val="af-ZA"/>
              </w:rPr>
              <w:t xml:space="preserve"> </w:t>
            </w:r>
            <w:r w:rsidRPr="00BC61ED">
              <w:rPr>
                <w:rFonts w:cs="Sylfaen"/>
                <w:sz w:val="20"/>
                <w:szCs w:val="20"/>
                <w:lang w:val="hy-AM"/>
              </w:rPr>
              <w:t>և</w:t>
            </w:r>
            <w:r w:rsidRPr="00BC61ED">
              <w:rPr>
                <w:sz w:val="20"/>
                <w:szCs w:val="20"/>
                <w:lang w:val="af-ZA"/>
              </w:rPr>
              <w:t xml:space="preserve"> </w:t>
            </w:r>
            <w:r w:rsidRPr="00BC61ED">
              <w:rPr>
                <w:rFonts w:cs="Sylfaen"/>
                <w:sz w:val="20"/>
                <w:szCs w:val="20"/>
                <w:lang w:val="hy-AM"/>
              </w:rPr>
              <w:t>նշանակության</w:t>
            </w:r>
            <w:r w:rsidRPr="00BC61ED">
              <w:rPr>
                <w:sz w:val="20"/>
                <w:szCs w:val="20"/>
                <w:lang w:val="af-ZA"/>
              </w:rPr>
              <w:t xml:space="preserve"> </w:t>
            </w:r>
            <w:r w:rsidRPr="00BC61ED">
              <w:rPr>
                <w:rFonts w:cs="Sylfaen"/>
                <w:sz w:val="20"/>
                <w:szCs w:val="20"/>
                <w:lang w:val="hy-AM"/>
              </w:rPr>
              <w:t>աճով</w:t>
            </w:r>
            <w:r w:rsidRPr="00BC61ED">
              <w:rPr>
                <w:sz w:val="20"/>
                <w:szCs w:val="20"/>
                <w:lang w:val="af-ZA"/>
              </w:rPr>
              <w:t xml:space="preserve">, </w:t>
            </w:r>
            <w:r w:rsidRPr="00BC61ED">
              <w:rPr>
                <w:rFonts w:cs="Sylfaen"/>
                <w:sz w:val="20"/>
                <w:szCs w:val="20"/>
                <w:lang w:val="hy-AM"/>
              </w:rPr>
              <w:t>ինչի</w:t>
            </w:r>
            <w:r w:rsidRPr="00BC61ED">
              <w:rPr>
                <w:sz w:val="20"/>
                <w:szCs w:val="20"/>
                <w:lang w:val="af-ZA"/>
              </w:rPr>
              <w:t xml:space="preserve"> </w:t>
            </w:r>
            <w:r w:rsidRPr="00BC61ED">
              <w:rPr>
                <w:rFonts w:cs="Sylfaen"/>
                <w:sz w:val="20"/>
                <w:szCs w:val="20"/>
                <w:lang w:val="hy-AM"/>
              </w:rPr>
              <w:t>արդյունքում</w:t>
            </w:r>
            <w:r w:rsidRPr="00BC61ED">
              <w:rPr>
                <w:sz w:val="20"/>
                <w:szCs w:val="20"/>
                <w:lang w:val="af-ZA"/>
              </w:rPr>
              <w:t xml:space="preserve"> </w:t>
            </w:r>
            <w:r w:rsidRPr="00BC61ED">
              <w:rPr>
                <w:rFonts w:cs="Sylfaen"/>
                <w:sz w:val="20"/>
                <w:szCs w:val="20"/>
                <w:lang w:val="hy-AM"/>
              </w:rPr>
              <w:t>էլ</w:t>
            </w:r>
            <w:r w:rsidRPr="00BC61ED">
              <w:rPr>
                <w:sz w:val="20"/>
                <w:szCs w:val="20"/>
                <w:lang w:val="af-ZA"/>
              </w:rPr>
              <w:t xml:space="preserve"> </w:t>
            </w:r>
            <w:r w:rsidRPr="00BC61ED">
              <w:rPr>
                <w:rFonts w:cs="Sylfaen"/>
                <w:sz w:val="20"/>
                <w:szCs w:val="20"/>
                <w:lang w:val="hy-AM"/>
              </w:rPr>
              <w:t>ավելի</w:t>
            </w:r>
            <w:r w:rsidRPr="00BC61ED">
              <w:rPr>
                <w:sz w:val="20"/>
                <w:szCs w:val="20"/>
                <w:lang w:val="af-ZA"/>
              </w:rPr>
              <w:t xml:space="preserve"> </w:t>
            </w:r>
            <w:r w:rsidRPr="00BC61ED">
              <w:rPr>
                <w:rFonts w:cs="Sylfaen"/>
                <w:sz w:val="20"/>
                <w:szCs w:val="20"/>
                <w:lang w:val="hy-AM"/>
              </w:rPr>
              <w:t>է</w:t>
            </w:r>
            <w:r w:rsidRPr="00BC61ED">
              <w:rPr>
                <w:sz w:val="20"/>
                <w:szCs w:val="20"/>
                <w:lang w:val="af-ZA"/>
              </w:rPr>
              <w:t xml:space="preserve"> </w:t>
            </w:r>
            <w:r w:rsidRPr="00BC61ED">
              <w:rPr>
                <w:rFonts w:cs="Sylfaen"/>
                <w:sz w:val="20"/>
                <w:szCs w:val="20"/>
                <w:lang w:val="hy-AM"/>
              </w:rPr>
              <w:t>աճել</w:t>
            </w:r>
            <w:r w:rsidRPr="00BC61ED">
              <w:rPr>
                <w:sz w:val="20"/>
                <w:szCs w:val="20"/>
                <w:lang w:val="af-ZA"/>
              </w:rPr>
              <w:t xml:space="preserve"> </w:t>
            </w:r>
            <w:r w:rsidRPr="00BC61ED">
              <w:rPr>
                <w:rFonts w:cs="Sylfaen"/>
                <w:sz w:val="20"/>
                <w:szCs w:val="20"/>
                <w:lang w:val="hy-AM"/>
              </w:rPr>
              <w:t>Երևանի</w:t>
            </w:r>
            <w:r w:rsidRPr="00BC61ED">
              <w:rPr>
                <w:sz w:val="20"/>
                <w:szCs w:val="20"/>
                <w:lang w:val="af-ZA"/>
              </w:rPr>
              <w:t xml:space="preserve"> </w:t>
            </w:r>
            <w:r w:rsidRPr="00BC61ED">
              <w:rPr>
                <w:rFonts w:cs="Sylfaen"/>
                <w:sz w:val="20"/>
                <w:szCs w:val="20"/>
                <w:lang w:val="hy-AM"/>
              </w:rPr>
              <w:t>և</w:t>
            </w:r>
            <w:r w:rsidRPr="00BC61ED">
              <w:rPr>
                <w:sz w:val="20"/>
                <w:szCs w:val="20"/>
                <w:lang w:val="af-ZA"/>
              </w:rPr>
              <w:t xml:space="preserve"> </w:t>
            </w:r>
            <w:r w:rsidRPr="00BC61ED">
              <w:rPr>
                <w:rFonts w:cs="Sylfaen"/>
                <w:sz w:val="20"/>
                <w:szCs w:val="20"/>
                <w:lang w:val="hy-AM"/>
              </w:rPr>
              <w:t>մարզերի</w:t>
            </w:r>
            <w:r w:rsidRPr="00BC61ED">
              <w:rPr>
                <w:sz w:val="20"/>
                <w:szCs w:val="20"/>
                <w:lang w:val="af-ZA"/>
              </w:rPr>
              <w:t xml:space="preserve"> </w:t>
            </w:r>
            <w:r w:rsidRPr="00BC61ED">
              <w:rPr>
                <w:rFonts w:cs="Sylfaen"/>
                <w:sz w:val="20"/>
                <w:szCs w:val="20"/>
                <w:lang w:val="hy-AM"/>
              </w:rPr>
              <w:t>միջև</w:t>
            </w:r>
            <w:r w:rsidRPr="00BC61ED">
              <w:rPr>
                <w:sz w:val="20"/>
                <w:szCs w:val="20"/>
                <w:lang w:val="af-ZA"/>
              </w:rPr>
              <w:t xml:space="preserve"> </w:t>
            </w:r>
            <w:r w:rsidRPr="00BC61ED">
              <w:rPr>
                <w:rFonts w:cs="Sylfaen"/>
                <w:sz w:val="20"/>
                <w:szCs w:val="20"/>
                <w:lang w:val="hy-AM"/>
              </w:rPr>
              <w:t>կենսամակարդակի</w:t>
            </w:r>
            <w:r w:rsidRPr="00BC61ED">
              <w:rPr>
                <w:sz w:val="20"/>
                <w:szCs w:val="20"/>
                <w:lang w:val="af-ZA"/>
              </w:rPr>
              <w:t xml:space="preserve"> </w:t>
            </w:r>
            <w:r w:rsidRPr="00BC61ED">
              <w:rPr>
                <w:rFonts w:cs="Sylfaen"/>
                <w:sz w:val="20"/>
                <w:szCs w:val="20"/>
                <w:lang w:val="hy-AM"/>
              </w:rPr>
              <w:t>ճեղքվածքը։</w:t>
            </w:r>
            <w:r w:rsidRPr="00BC61ED">
              <w:rPr>
                <w:sz w:val="20"/>
                <w:szCs w:val="20"/>
                <w:lang w:val="af-ZA"/>
              </w:rPr>
              <w:t xml:space="preserve"> </w:t>
            </w:r>
          </w:p>
          <w:p w:rsidR="0068680D" w:rsidRPr="00BC61ED" w:rsidRDefault="0068680D" w:rsidP="00F47DC4">
            <w:pPr>
              <w:tabs>
                <w:tab w:val="left" w:pos="720"/>
              </w:tabs>
              <w:spacing w:after="0" w:line="276" w:lineRule="auto"/>
              <w:ind w:left="90" w:right="146"/>
              <w:rPr>
                <w:rFonts w:cs="Sylfaen"/>
                <w:sz w:val="20"/>
                <w:szCs w:val="20"/>
                <w:lang w:val="hy-AM"/>
              </w:rPr>
            </w:pPr>
            <w:r w:rsidRPr="00BC61ED">
              <w:rPr>
                <w:rFonts w:cs="Sylfaen"/>
                <w:sz w:val="20"/>
                <w:szCs w:val="20"/>
              </w:rPr>
              <w:t>Գյուղական</w:t>
            </w:r>
            <w:r w:rsidRPr="00BC61ED">
              <w:rPr>
                <w:rFonts w:cs="Sylfaen"/>
                <w:sz w:val="20"/>
                <w:szCs w:val="20"/>
                <w:lang w:val="af-ZA"/>
              </w:rPr>
              <w:t xml:space="preserve"> </w:t>
            </w:r>
            <w:r w:rsidRPr="00BC61ED">
              <w:rPr>
                <w:rFonts w:cs="Sylfaen"/>
                <w:sz w:val="20"/>
                <w:szCs w:val="20"/>
              </w:rPr>
              <w:t>բնակավայրերի</w:t>
            </w:r>
            <w:r w:rsidRPr="00BC61ED">
              <w:rPr>
                <w:rFonts w:cs="Sylfaen"/>
                <w:sz w:val="20"/>
                <w:szCs w:val="20"/>
                <w:lang w:val="af-ZA"/>
              </w:rPr>
              <w:t xml:space="preserve"> </w:t>
            </w:r>
            <w:r w:rsidRPr="00BC61ED">
              <w:rPr>
                <w:rFonts w:cs="Sylfaen"/>
                <w:sz w:val="20"/>
                <w:szCs w:val="20"/>
              </w:rPr>
              <w:t>մեծ</w:t>
            </w:r>
            <w:r w:rsidRPr="00BC61ED">
              <w:rPr>
                <w:rFonts w:cs="Sylfaen"/>
                <w:sz w:val="20"/>
                <w:szCs w:val="20"/>
                <w:lang w:val="af-ZA"/>
              </w:rPr>
              <w:t xml:space="preserve"> </w:t>
            </w:r>
            <w:r w:rsidRPr="00BC61ED">
              <w:rPr>
                <w:rFonts w:cs="Sylfaen"/>
                <w:sz w:val="20"/>
                <w:szCs w:val="20"/>
              </w:rPr>
              <w:t>մասը</w:t>
            </w:r>
            <w:r w:rsidRPr="00BC61ED">
              <w:rPr>
                <w:rFonts w:cs="Sylfaen"/>
                <w:sz w:val="20"/>
                <w:szCs w:val="20"/>
                <w:lang w:val="af-ZA"/>
              </w:rPr>
              <w:t xml:space="preserve"> </w:t>
            </w:r>
            <w:r w:rsidRPr="00BC61ED">
              <w:rPr>
                <w:rFonts w:cs="Sylfaen"/>
                <w:sz w:val="20"/>
                <w:szCs w:val="20"/>
                <w:lang w:val="hy-AM"/>
              </w:rPr>
              <w:t>60%</w:t>
            </w:r>
            <w:r w:rsidRPr="00BC61ED">
              <w:rPr>
                <w:rFonts w:cs="Sylfaen"/>
                <w:sz w:val="20"/>
                <w:szCs w:val="20"/>
                <w:lang w:val="af-ZA"/>
              </w:rPr>
              <w:t xml:space="preserve"> </w:t>
            </w:r>
            <w:r w:rsidRPr="00BC61ED">
              <w:rPr>
                <w:rFonts w:cs="Sylfaen"/>
                <w:sz w:val="20"/>
                <w:szCs w:val="20"/>
              </w:rPr>
              <w:t>և</w:t>
            </w:r>
            <w:r w:rsidRPr="00BC61ED">
              <w:rPr>
                <w:rFonts w:cs="Sylfaen"/>
                <w:sz w:val="20"/>
                <w:szCs w:val="20"/>
                <w:lang w:val="af-ZA"/>
              </w:rPr>
              <w:t xml:space="preserve"> </w:t>
            </w:r>
            <w:r w:rsidRPr="00BC61ED">
              <w:rPr>
                <w:rFonts w:cs="Sylfaen"/>
                <w:sz w:val="20"/>
                <w:szCs w:val="20"/>
              </w:rPr>
              <w:t>ավել</w:t>
            </w:r>
            <w:r w:rsidRPr="00BC61ED">
              <w:rPr>
                <w:rFonts w:cs="Sylfaen"/>
                <w:sz w:val="20"/>
                <w:szCs w:val="20"/>
                <w:lang w:val="af-ZA"/>
              </w:rPr>
              <w:t xml:space="preserve"> </w:t>
            </w:r>
            <w:r w:rsidRPr="00BC61ED">
              <w:rPr>
                <w:rFonts w:cs="Sylfaen"/>
                <w:sz w:val="20"/>
                <w:szCs w:val="20"/>
              </w:rPr>
              <w:t>գտնվում</w:t>
            </w:r>
            <w:r w:rsidRPr="00BC61ED">
              <w:rPr>
                <w:rFonts w:cs="Sylfaen"/>
                <w:sz w:val="20"/>
                <w:szCs w:val="20"/>
                <w:lang w:val="af-ZA"/>
              </w:rPr>
              <w:t xml:space="preserve"> </w:t>
            </w:r>
            <w:r w:rsidRPr="00BC61ED">
              <w:rPr>
                <w:rFonts w:cs="Sylfaen"/>
                <w:sz w:val="20"/>
                <w:szCs w:val="20"/>
              </w:rPr>
              <w:t>են</w:t>
            </w:r>
            <w:r w:rsidRPr="00BC61ED">
              <w:rPr>
                <w:rFonts w:cs="Sylfaen"/>
                <w:sz w:val="20"/>
                <w:szCs w:val="20"/>
                <w:lang w:val="af-ZA"/>
              </w:rPr>
              <w:t xml:space="preserve"> </w:t>
            </w:r>
            <w:r w:rsidRPr="00BC61ED">
              <w:rPr>
                <w:rFonts w:cs="Sylfaen"/>
                <w:sz w:val="20"/>
                <w:szCs w:val="20"/>
              </w:rPr>
              <w:t>քաղաքների</w:t>
            </w:r>
            <w:r w:rsidRPr="00BC61ED">
              <w:rPr>
                <w:rFonts w:cs="Sylfaen"/>
                <w:sz w:val="20"/>
                <w:szCs w:val="20"/>
                <w:lang w:val="af-ZA"/>
              </w:rPr>
              <w:t xml:space="preserve"> </w:t>
            </w:r>
            <w:r w:rsidRPr="00BC61ED">
              <w:rPr>
                <w:rFonts w:cs="Sylfaen"/>
                <w:sz w:val="20"/>
                <w:szCs w:val="20"/>
              </w:rPr>
              <w:t>ազդեցության</w:t>
            </w:r>
            <w:r w:rsidRPr="00BC61ED">
              <w:rPr>
                <w:rFonts w:cs="Sylfaen"/>
                <w:sz w:val="20"/>
                <w:szCs w:val="20"/>
                <w:lang w:val="af-ZA"/>
              </w:rPr>
              <w:t xml:space="preserve"> </w:t>
            </w:r>
            <w:r w:rsidRPr="00BC61ED">
              <w:rPr>
                <w:rFonts w:cs="Sylfaen"/>
                <w:sz w:val="20"/>
                <w:szCs w:val="20"/>
              </w:rPr>
              <w:t>գոտում</w:t>
            </w:r>
            <w:r w:rsidRPr="00BC61ED">
              <w:rPr>
                <w:rFonts w:cs="Sylfaen"/>
                <w:sz w:val="20"/>
                <w:szCs w:val="20"/>
                <w:lang w:val="af-ZA"/>
              </w:rPr>
              <w:t xml:space="preserve"> </w:t>
            </w:r>
            <w:r w:rsidRPr="00BC61ED">
              <w:rPr>
                <w:rFonts w:cs="Sylfaen"/>
                <w:sz w:val="20"/>
                <w:szCs w:val="20"/>
              </w:rPr>
              <w:t>և</w:t>
            </w:r>
            <w:r w:rsidRPr="00BC61ED">
              <w:rPr>
                <w:rFonts w:cs="Sylfaen"/>
                <w:sz w:val="20"/>
                <w:szCs w:val="20"/>
                <w:lang w:val="af-ZA"/>
              </w:rPr>
              <w:t xml:space="preserve"> </w:t>
            </w:r>
            <w:r w:rsidRPr="00BC61ED">
              <w:rPr>
                <w:rFonts w:cs="Sylfaen"/>
                <w:sz w:val="20"/>
                <w:szCs w:val="20"/>
              </w:rPr>
              <w:t>գյուղական</w:t>
            </w:r>
            <w:r w:rsidRPr="00BC61ED">
              <w:rPr>
                <w:rFonts w:cs="Sylfaen"/>
                <w:sz w:val="20"/>
                <w:szCs w:val="20"/>
                <w:lang w:val="af-ZA"/>
              </w:rPr>
              <w:t xml:space="preserve"> </w:t>
            </w:r>
            <w:r w:rsidRPr="00BC61ED">
              <w:rPr>
                <w:rFonts w:cs="Sylfaen"/>
                <w:sz w:val="20"/>
                <w:szCs w:val="20"/>
              </w:rPr>
              <w:t>բնակչության</w:t>
            </w:r>
            <w:r w:rsidRPr="00BC61ED">
              <w:rPr>
                <w:rFonts w:cs="Sylfaen"/>
                <w:sz w:val="20"/>
                <w:szCs w:val="20"/>
                <w:lang w:val="af-ZA"/>
              </w:rPr>
              <w:t xml:space="preserve"> </w:t>
            </w:r>
            <w:r w:rsidRPr="00BC61ED">
              <w:rPr>
                <w:rFonts w:cs="Sylfaen"/>
                <w:sz w:val="20"/>
                <w:szCs w:val="20"/>
              </w:rPr>
              <w:t>մեծ</w:t>
            </w:r>
            <w:r w:rsidRPr="00BC61ED">
              <w:rPr>
                <w:rFonts w:cs="Sylfaen"/>
                <w:sz w:val="20"/>
                <w:szCs w:val="20"/>
                <w:lang w:val="af-ZA"/>
              </w:rPr>
              <w:t xml:space="preserve"> </w:t>
            </w:r>
            <w:r w:rsidRPr="00BC61ED">
              <w:rPr>
                <w:rFonts w:cs="Sylfaen"/>
                <w:sz w:val="20"/>
                <w:szCs w:val="20"/>
              </w:rPr>
              <w:t>մասը</w:t>
            </w:r>
            <w:r w:rsidRPr="00BC61ED">
              <w:rPr>
                <w:rFonts w:cs="Sylfaen"/>
                <w:sz w:val="20"/>
                <w:szCs w:val="20"/>
                <w:lang w:val="af-ZA"/>
              </w:rPr>
              <w:t xml:space="preserve"> </w:t>
            </w:r>
            <w:r w:rsidRPr="00BC61ED">
              <w:rPr>
                <w:rFonts w:cs="Sylfaen"/>
                <w:sz w:val="20"/>
                <w:szCs w:val="20"/>
              </w:rPr>
              <w:t>բնակվում</w:t>
            </w:r>
            <w:r w:rsidRPr="00BC61ED">
              <w:rPr>
                <w:rFonts w:cs="Sylfaen"/>
                <w:sz w:val="20"/>
                <w:szCs w:val="20"/>
                <w:lang w:val="af-ZA"/>
              </w:rPr>
              <w:t xml:space="preserve"> </w:t>
            </w:r>
            <w:r w:rsidRPr="00BC61ED">
              <w:rPr>
                <w:rFonts w:cs="Sylfaen"/>
                <w:sz w:val="20"/>
                <w:szCs w:val="20"/>
              </w:rPr>
              <w:t>է</w:t>
            </w:r>
            <w:r w:rsidRPr="00BC61ED">
              <w:rPr>
                <w:rFonts w:cs="Sylfaen"/>
                <w:sz w:val="20"/>
                <w:szCs w:val="20"/>
                <w:lang w:val="af-ZA"/>
              </w:rPr>
              <w:t xml:space="preserve"> </w:t>
            </w:r>
            <w:r w:rsidRPr="00BC61ED">
              <w:rPr>
                <w:rFonts w:cs="Sylfaen"/>
                <w:sz w:val="20"/>
                <w:szCs w:val="20"/>
              </w:rPr>
              <w:t>Երևանի</w:t>
            </w:r>
            <w:r w:rsidRPr="00BC61ED">
              <w:rPr>
                <w:rFonts w:cs="Sylfaen"/>
                <w:sz w:val="20"/>
                <w:szCs w:val="20"/>
                <w:lang w:val="af-ZA"/>
              </w:rPr>
              <w:t xml:space="preserve">, </w:t>
            </w:r>
            <w:r w:rsidRPr="00BC61ED">
              <w:rPr>
                <w:rFonts w:cs="Sylfaen"/>
                <w:sz w:val="20"/>
                <w:szCs w:val="20"/>
              </w:rPr>
              <w:t>Վանաձորի</w:t>
            </w:r>
            <w:r w:rsidRPr="00BC61ED">
              <w:rPr>
                <w:rFonts w:cs="Sylfaen"/>
                <w:sz w:val="20"/>
                <w:szCs w:val="20"/>
                <w:lang w:val="af-ZA"/>
              </w:rPr>
              <w:t xml:space="preserve"> </w:t>
            </w:r>
            <w:r w:rsidRPr="00BC61ED">
              <w:rPr>
                <w:rFonts w:cs="Sylfaen"/>
                <w:sz w:val="20"/>
                <w:szCs w:val="20"/>
              </w:rPr>
              <w:t>և</w:t>
            </w:r>
            <w:r w:rsidRPr="00BC61ED">
              <w:rPr>
                <w:rFonts w:cs="Sylfaen"/>
                <w:sz w:val="20"/>
                <w:szCs w:val="20"/>
                <w:lang w:val="af-ZA"/>
              </w:rPr>
              <w:t xml:space="preserve"> </w:t>
            </w:r>
            <w:r w:rsidRPr="00BC61ED">
              <w:rPr>
                <w:rFonts w:cs="Sylfaen"/>
                <w:sz w:val="20"/>
                <w:szCs w:val="20"/>
              </w:rPr>
              <w:t>Գյումրու</w:t>
            </w:r>
            <w:r w:rsidRPr="00BC61ED">
              <w:rPr>
                <w:rFonts w:cs="Sylfaen"/>
                <w:sz w:val="20"/>
                <w:szCs w:val="20"/>
                <w:lang w:val="af-ZA"/>
              </w:rPr>
              <w:t xml:space="preserve"> </w:t>
            </w:r>
            <w:r w:rsidRPr="00BC61ED">
              <w:rPr>
                <w:rFonts w:cs="Sylfaen"/>
                <w:sz w:val="20"/>
                <w:szCs w:val="20"/>
              </w:rPr>
              <w:t>մերձակա</w:t>
            </w:r>
            <w:r w:rsidRPr="00BC61ED">
              <w:rPr>
                <w:rFonts w:cs="Sylfaen"/>
                <w:sz w:val="20"/>
                <w:szCs w:val="20"/>
                <w:lang w:val="af-ZA"/>
              </w:rPr>
              <w:t xml:space="preserve"> </w:t>
            </w:r>
            <w:r w:rsidRPr="00BC61ED">
              <w:rPr>
                <w:rFonts w:cs="Sylfaen"/>
                <w:sz w:val="20"/>
                <w:szCs w:val="20"/>
              </w:rPr>
              <w:t>գյուղերում</w:t>
            </w:r>
            <w:r w:rsidRPr="00BC61ED">
              <w:rPr>
                <w:rFonts w:cs="Sylfaen"/>
                <w:sz w:val="20"/>
                <w:szCs w:val="20"/>
                <w:lang w:val="af-ZA"/>
              </w:rPr>
              <w:t xml:space="preserve">: </w:t>
            </w:r>
            <w:r w:rsidRPr="00BC61ED">
              <w:rPr>
                <w:rFonts w:cs="Sylfaen"/>
                <w:sz w:val="20"/>
                <w:szCs w:val="20"/>
                <w:lang w:val="hy-AM"/>
              </w:rPr>
              <w:t>Հ</w:t>
            </w:r>
            <w:r w:rsidRPr="00BC61ED">
              <w:rPr>
                <w:rFonts w:cs="Sylfaen"/>
                <w:sz w:val="20"/>
                <w:szCs w:val="20"/>
              </w:rPr>
              <w:t>եռավոր</w:t>
            </w:r>
            <w:r w:rsidRPr="00BC61ED">
              <w:rPr>
                <w:rFonts w:cs="Sylfaen"/>
                <w:sz w:val="20"/>
                <w:szCs w:val="20"/>
                <w:lang w:val="af-ZA"/>
              </w:rPr>
              <w:t xml:space="preserve"> </w:t>
            </w:r>
            <w:r w:rsidRPr="00BC61ED">
              <w:rPr>
                <w:rFonts w:cs="Sylfaen"/>
                <w:sz w:val="20"/>
                <w:szCs w:val="20"/>
              </w:rPr>
              <w:t>տարածաշրջանների</w:t>
            </w:r>
            <w:r w:rsidRPr="00BC61ED">
              <w:rPr>
                <w:rFonts w:cs="Sylfaen"/>
                <w:sz w:val="20"/>
                <w:szCs w:val="20"/>
                <w:lang w:val="af-ZA"/>
              </w:rPr>
              <w:t xml:space="preserve">  </w:t>
            </w:r>
            <w:r w:rsidRPr="00BC61ED">
              <w:rPr>
                <w:rFonts w:cs="Sylfaen"/>
                <w:sz w:val="20"/>
                <w:szCs w:val="20"/>
              </w:rPr>
              <w:t>և</w:t>
            </w:r>
            <w:r w:rsidRPr="00BC61ED">
              <w:rPr>
                <w:rFonts w:cs="Sylfaen"/>
                <w:sz w:val="20"/>
                <w:szCs w:val="20"/>
                <w:lang w:val="af-ZA"/>
              </w:rPr>
              <w:t xml:space="preserve"> </w:t>
            </w:r>
            <w:r w:rsidRPr="00BC61ED">
              <w:rPr>
                <w:rFonts w:cs="Sylfaen"/>
                <w:sz w:val="20"/>
                <w:szCs w:val="20"/>
              </w:rPr>
              <w:t>սահմանամերձ</w:t>
            </w:r>
            <w:r w:rsidRPr="00BC61ED">
              <w:rPr>
                <w:rFonts w:cs="Sylfaen"/>
                <w:sz w:val="20"/>
                <w:szCs w:val="20"/>
                <w:lang w:val="af-ZA"/>
              </w:rPr>
              <w:t xml:space="preserve">  </w:t>
            </w:r>
            <w:r w:rsidRPr="00BC61ED">
              <w:rPr>
                <w:rFonts w:cs="Sylfaen"/>
                <w:sz w:val="20"/>
                <w:szCs w:val="20"/>
              </w:rPr>
              <w:t>գոտու</w:t>
            </w:r>
            <w:r w:rsidRPr="00BC61ED">
              <w:rPr>
                <w:rFonts w:cs="Sylfaen"/>
                <w:sz w:val="20"/>
                <w:szCs w:val="20"/>
                <w:lang w:val="af-ZA"/>
              </w:rPr>
              <w:t xml:space="preserve"> </w:t>
            </w:r>
            <w:r w:rsidRPr="00BC61ED">
              <w:rPr>
                <w:rFonts w:cs="Sylfaen"/>
                <w:sz w:val="20"/>
                <w:szCs w:val="20"/>
              </w:rPr>
              <w:t>բնակավայրերի</w:t>
            </w:r>
            <w:r w:rsidRPr="00BC61ED">
              <w:rPr>
                <w:rFonts w:cs="Sylfaen"/>
                <w:sz w:val="20"/>
                <w:szCs w:val="20"/>
                <w:lang w:val="af-ZA"/>
              </w:rPr>
              <w:t xml:space="preserve"> </w:t>
            </w:r>
            <w:r w:rsidRPr="00BC61ED">
              <w:rPr>
                <w:rFonts w:cs="Sylfaen"/>
                <w:sz w:val="20"/>
                <w:szCs w:val="20"/>
              </w:rPr>
              <w:t>սոցիալ</w:t>
            </w:r>
            <w:r w:rsidRPr="00BC61ED">
              <w:rPr>
                <w:rFonts w:cs="Sylfaen"/>
                <w:sz w:val="20"/>
                <w:szCs w:val="20"/>
                <w:lang w:val="af-ZA"/>
              </w:rPr>
              <w:t>-</w:t>
            </w:r>
            <w:r w:rsidRPr="00BC61ED">
              <w:rPr>
                <w:rFonts w:cs="Sylfaen"/>
                <w:sz w:val="20"/>
                <w:szCs w:val="20"/>
              </w:rPr>
              <w:t>տնտեսական</w:t>
            </w:r>
            <w:r w:rsidRPr="00BC61ED">
              <w:rPr>
                <w:rFonts w:cs="Sylfaen"/>
                <w:sz w:val="20"/>
                <w:szCs w:val="20"/>
                <w:lang w:val="af-ZA"/>
              </w:rPr>
              <w:t xml:space="preserve"> </w:t>
            </w:r>
            <w:r w:rsidRPr="00BC61ED">
              <w:rPr>
                <w:rFonts w:cs="Sylfaen"/>
                <w:sz w:val="20"/>
                <w:szCs w:val="20"/>
              </w:rPr>
              <w:t>վիճակն</w:t>
            </w:r>
            <w:r w:rsidRPr="00BC61ED">
              <w:rPr>
                <w:rFonts w:cs="Sylfaen"/>
                <w:sz w:val="20"/>
                <w:szCs w:val="20"/>
                <w:lang w:val="af-ZA"/>
              </w:rPr>
              <w:t xml:space="preserve"> </w:t>
            </w:r>
            <w:r w:rsidRPr="00BC61ED">
              <w:rPr>
                <w:rFonts w:cs="Sylfaen"/>
                <w:sz w:val="20"/>
                <w:szCs w:val="20"/>
              </w:rPr>
              <w:t>ունի</w:t>
            </w:r>
            <w:r w:rsidRPr="00BC61ED">
              <w:rPr>
                <w:rFonts w:cs="Sylfaen"/>
                <w:sz w:val="20"/>
                <w:szCs w:val="20"/>
                <w:lang w:val="af-ZA"/>
              </w:rPr>
              <w:t xml:space="preserve"> </w:t>
            </w:r>
            <w:r w:rsidRPr="00BC61ED">
              <w:rPr>
                <w:rFonts w:cs="Sylfaen"/>
                <w:sz w:val="20"/>
                <w:szCs w:val="20"/>
              </w:rPr>
              <w:t>վատթարացման</w:t>
            </w:r>
            <w:r w:rsidRPr="00BC61ED">
              <w:rPr>
                <w:rFonts w:cs="Sylfaen"/>
                <w:sz w:val="20"/>
                <w:szCs w:val="20"/>
                <w:lang w:val="af-ZA"/>
              </w:rPr>
              <w:t xml:space="preserve">  միտում, ինչը գլխավորապես պայմանավորված է գործարար ակտիվության ցածր մակարդակով, աշխատատեղերի բացակայությամբ, սոցիալական ենթակառուցվածքների ոչ բավարար վիճակով</w:t>
            </w:r>
            <w:r w:rsidRPr="00BC61ED">
              <w:rPr>
                <w:rFonts w:cs="Sylfaen"/>
                <w:sz w:val="20"/>
                <w:szCs w:val="20"/>
                <w:lang w:val="hy-AM"/>
              </w:rPr>
              <w:t>:</w:t>
            </w:r>
            <w:r w:rsidRPr="00BC61ED">
              <w:rPr>
                <w:rFonts w:cs="Sylfaen"/>
                <w:sz w:val="20"/>
                <w:szCs w:val="20"/>
                <w:lang w:val="af-ZA"/>
              </w:rPr>
              <w:t xml:space="preserve"> </w:t>
            </w:r>
          </w:p>
          <w:p w:rsidR="0068680D" w:rsidRPr="00BC61ED" w:rsidRDefault="0068680D" w:rsidP="00F47DC4">
            <w:pPr>
              <w:tabs>
                <w:tab w:val="left" w:pos="720"/>
              </w:tabs>
              <w:spacing w:after="0" w:line="276" w:lineRule="auto"/>
              <w:ind w:left="28" w:right="4" w:firstLine="540"/>
              <w:rPr>
                <w:rFonts w:cs="Sylfaen"/>
                <w:i/>
                <w:sz w:val="20"/>
                <w:szCs w:val="20"/>
                <w:lang w:val="hy-AM"/>
              </w:rPr>
            </w:pPr>
            <w:r w:rsidRPr="00BC61ED">
              <w:rPr>
                <w:rFonts w:cs="Sylfaen"/>
                <w:sz w:val="20"/>
                <w:szCs w:val="20"/>
                <w:lang w:val="hy-AM"/>
              </w:rPr>
              <w:tab/>
              <w:t>Հետևապես, ՀՀ մարզերն</w:t>
            </w:r>
            <w:r w:rsidRPr="00BC61ED">
              <w:rPr>
                <w:rFonts w:cs="Sylfaen"/>
                <w:sz w:val="20"/>
                <w:szCs w:val="20"/>
                <w:lang w:val="af-ZA"/>
              </w:rPr>
              <w:t xml:space="preserve"> </w:t>
            </w:r>
            <w:r w:rsidRPr="00BC61ED">
              <w:rPr>
                <w:rFonts w:cs="Sylfaen"/>
                <w:sz w:val="20"/>
                <w:szCs w:val="20"/>
                <w:lang w:val="hy-AM"/>
              </w:rPr>
              <w:t>առանձնակի</w:t>
            </w:r>
            <w:r w:rsidRPr="00BC61ED">
              <w:rPr>
                <w:rFonts w:cs="Sylfaen"/>
                <w:i/>
                <w:sz w:val="20"/>
                <w:szCs w:val="20"/>
                <w:lang w:val="af-ZA"/>
              </w:rPr>
              <w:t xml:space="preserve"> </w:t>
            </w:r>
            <w:r w:rsidRPr="00BC61ED">
              <w:rPr>
                <w:rFonts w:cs="Sylfaen"/>
                <w:b/>
                <w:i/>
                <w:sz w:val="20"/>
                <w:szCs w:val="20"/>
                <w:lang w:val="hy-AM"/>
              </w:rPr>
              <w:t>ոլորտային</w:t>
            </w:r>
            <w:r w:rsidRPr="00BC61ED">
              <w:rPr>
                <w:rFonts w:cs="Sylfaen"/>
                <w:b/>
                <w:i/>
                <w:sz w:val="20"/>
                <w:szCs w:val="20"/>
                <w:lang w:val="af-ZA"/>
              </w:rPr>
              <w:t xml:space="preserve"> </w:t>
            </w:r>
            <w:r w:rsidRPr="00BC61ED">
              <w:rPr>
                <w:rFonts w:cs="Sylfaen"/>
                <w:b/>
                <w:i/>
                <w:sz w:val="20"/>
                <w:szCs w:val="20"/>
                <w:lang w:val="hy-AM"/>
              </w:rPr>
              <w:t>զարգացման</w:t>
            </w:r>
            <w:r w:rsidRPr="00BC61ED">
              <w:rPr>
                <w:rFonts w:cs="Sylfaen"/>
                <w:b/>
                <w:i/>
                <w:sz w:val="20"/>
                <w:szCs w:val="20"/>
                <w:lang w:val="af-ZA"/>
              </w:rPr>
              <w:t xml:space="preserve">  </w:t>
            </w:r>
            <w:r w:rsidRPr="00BC61ED">
              <w:rPr>
                <w:rFonts w:cs="Sylfaen"/>
                <w:b/>
                <w:i/>
                <w:sz w:val="20"/>
                <w:szCs w:val="20"/>
                <w:lang w:val="hy-AM"/>
              </w:rPr>
              <w:t>կենտրոնների</w:t>
            </w:r>
            <w:r w:rsidRPr="00BC61ED">
              <w:rPr>
                <w:rFonts w:cs="Sylfaen"/>
                <w:b/>
                <w:i/>
                <w:sz w:val="20"/>
                <w:szCs w:val="20"/>
                <w:lang w:val="af-ZA"/>
              </w:rPr>
              <w:t xml:space="preserve"> </w:t>
            </w:r>
            <w:r w:rsidRPr="00BC61ED">
              <w:rPr>
                <w:rFonts w:cs="Sylfaen"/>
                <w:b/>
                <w:i/>
                <w:sz w:val="20"/>
                <w:szCs w:val="20"/>
                <w:lang w:val="hy-AM"/>
              </w:rPr>
              <w:t>ձևավորման</w:t>
            </w:r>
            <w:r w:rsidRPr="00BC61ED">
              <w:rPr>
                <w:rFonts w:cs="Sylfaen"/>
                <w:b/>
                <w:i/>
                <w:sz w:val="20"/>
                <w:szCs w:val="20"/>
                <w:lang w:val="af-ZA"/>
              </w:rPr>
              <w:t xml:space="preserve"> </w:t>
            </w:r>
            <w:r w:rsidRPr="00BC61ED">
              <w:rPr>
                <w:rFonts w:cs="Sylfaen"/>
                <w:b/>
                <w:i/>
                <w:sz w:val="20"/>
                <w:szCs w:val="20"/>
                <w:lang w:val="hy-AM"/>
              </w:rPr>
              <w:t>անհրաժեշտություն</w:t>
            </w:r>
            <w:r w:rsidRPr="00BC61ED">
              <w:rPr>
                <w:rFonts w:cs="Sylfaen"/>
                <w:b/>
                <w:i/>
                <w:sz w:val="20"/>
                <w:szCs w:val="20"/>
                <w:lang w:val="af-ZA"/>
              </w:rPr>
              <w:t xml:space="preserve"> </w:t>
            </w:r>
            <w:r w:rsidRPr="00BC61ED">
              <w:rPr>
                <w:rFonts w:cs="Sylfaen"/>
                <w:b/>
                <w:i/>
                <w:sz w:val="20"/>
                <w:szCs w:val="20"/>
                <w:lang w:val="hy-AM"/>
              </w:rPr>
              <w:t>ունեն</w:t>
            </w:r>
            <w:r w:rsidRPr="00BC61ED">
              <w:rPr>
                <w:rFonts w:cs="Sylfaen"/>
                <w:i/>
                <w:sz w:val="20"/>
                <w:szCs w:val="20"/>
                <w:lang w:val="af-ZA"/>
              </w:rPr>
              <w:t xml:space="preserve">: </w:t>
            </w:r>
          </w:p>
          <w:p w:rsidR="0068680D" w:rsidRPr="00BC61ED" w:rsidRDefault="0068680D" w:rsidP="00F47DC4">
            <w:pPr>
              <w:spacing w:after="0" w:line="276" w:lineRule="auto"/>
              <w:ind w:firstLine="360"/>
              <w:rPr>
                <w:rFonts w:eastAsia="Times New Roman"/>
                <w:sz w:val="20"/>
                <w:szCs w:val="20"/>
                <w:lang w:val="hy-AM"/>
              </w:rPr>
            </w:pPr>
            <w:r w:rsidRPr="00BC61ED">
              <w:rPr>
                <w:rFonts w:cs="Sylfaen"/>
                <w:spacing w:val="-8"/>
                <w:sz w:val="20"/>
                <w:szCs w:val="20"/>
                <w:lang w:val="hy-AM" w:eastAsia="x-none"/>
              </w:rPr>
              <w:t xml:space="preserve">Դրան միտված ՀՀ ՏԿԶՆ կողմից մշակվել և 2017 թվականի դեկտեմբերի 21-ին  ՀՀ կառավարության  </w:t>
            </w:r>
            <w:r w:rsidRPr="00BC61ED">
              <w:rPr>
                <w:sz w:val="20"/>
                <w:szCs w:val="20"/>
                <w:lang w:val="hy-AM"/>
              </w:rPr>
              <w:t>N 53 արձանագրային որոշմամբ հավանության է արժանացել Տ</w:t>
            </w:r>
            <w:r w:rsidRPr="00BC61ED">
              <w:rPr>
                <w:rFonts w:cs="Sylfaen"/>
                <w:spacing w:val="-8"/>
                <w:sz w:val="20"/>
                <w:szCs w:val="20"/>
                <w:lang w:val="af-ZA" w:eastAsia="x-none"/>
              </w:rPr>
              <w:t>արածքային աճի բև</w:t>
            </w:r>
            <w:r w:rsidRPr="00BC61ED">
              <w:rPr>
                <w:rFonts w:cs="Sylfaen"/>
                <w:spacing w:val="-8"/>
                <w:sz w:val="20"/>
                <w:szCs w:val="20"/>
                <w:lang w:val="hy-AM" w:eastAsia="x-none"/>
              </w:rPr>
              <w:t>ե</w:t>
            </w:r>
            <w:r w:rsidRPr="00BC61ED">
              <w:rPr>
                <w:rFonts w:cs="Sylfaen"/>
                <w:spacing w:val="-8"/>
                <w:sz w:val="20"/>
                <w:szCs w:val="20"/>
                <w:lang w:val="af-ZA" w:eastAsia="x-none"/>
              </w:rPr>
              <w:t>ռների զարգացման հայեցա</w:t>
            </w:r>
            <w:r w:rsidRPr="00BC61ED">
              <w:rPr>
                <w:rFonts w:cs="Sylfaen"/>
                <w:spacing w:val="-8"/>
                <w:sz w:val="20"/>
                <w:szCs w:val="20"/>
                <w:lang w:val="af-ZA" w:eastAsia="x-none"/>
              </w:rPr>
              <w:softHyphen/>
              <w:t>կար</w:t>
            </w:r>
            <w:r w:rsidRPr="00BC61ED">
              <w:rPr>
                <w:rFonts w:cs="Sylfaen"/>
                <w:spacing w:val="-8"/>
                <w:sz w:val="20"/>
                <w:szCs w:val="20"/>
                <w:lang w:val="af-ZA" w:eastAsia="x-none"/>
              </w:rPr>
              <w:softHyphen/>
            </w:r>
            <w:r w:rsidRPr="00BC61ED">
              <w:rPr>
                <w:rFonts w:cs="Sylfaen"/>
                <w:sz w:val="20"/>
                <w:szCs w:val="20"/>
                <w:lang w:val="af-ZA" w:eastAsia="x-none"/>
              </w:rPr>
              <w:t>գ</w:t>
            </w:r>
            <w:r w:rsidRPr="00BC61ED">
              <w:rPr>
                <w:rFonts w:cs="Sylfaen"/>
                <w:sz w:val="20"/>
                <w:szCs w:val="20"/>
                <w:lang w:val="hy-AM" w:eastAsia="x-none"/>
              </w:rPr>
              <w:t>ը</w:t>
            </w:r>
            <w:r w:rsidRPr="00BC61ED">
              <w:rPr>
                <w:rFonts w:cs="Sylfaen"/>
                <w:sz w:val="20"/>
                <w:szCs w:val="20"/>
                <w:lang w:val="af-ZA" w:eastAsia="x-none"/>
              </w:rPr>
              <w:t></w:t>
            </w:r>
            <w:r w:rsidRPr="00BC61ED">
              <w:rPr>
                <w:rFonts w:cs="Sylfaen"/>
                <w:sz w:val="20"/>
                <w:szCs w:val="20"/>
                <w:lang w:val="hy-AM" w:eastAsia="x-none"/>
              </w:rPr>
              <w:t>:  ՀՀ կ</w:t>
            </w:r>
            <w:r w:rsidRPr="00BC61ED">
              <w:rPr>
                <w:rFonts w:eastAsia="Times New Roman"/>
                <w:sz w:val="20"/>
                <w:szCs w:val="20"/>
                <w:lang w:val="hy-AM"/>
              </w:rPr>
              <w:t xml:space="preserve">առավարության աշխատակազմ է ներկայացվել «Տարածքային աճի բևեռների զարգացման հայեցակարգի իրականացումն ապահովող միջոցառումների ցանկը հաստատելու մասին» Կառավարության որոշման նախագիծը, որը Մշտապես գործող տարածքային զարգացման և շրջակա միջավայրի նախարարական կոմիտեի 2018 թվականի նոյեմբերի 16-ի նիստի N 24.9/[491359]-18 արձանագրության 1-ին կետի համաձայն առաջարկվել է  իրականացնել ՀՀ տարածքային կառավարման և զարգացման նախարարության լիազորությունների շրջանակներում: </w:t>
            </w:r>
          </w:p>
          <w:p w:rsidR="0068680D" w:rsidRPr="00BC61ED" w:rsidRDefault="0068680D" w:rsidP="00F47DC4">
            <w:pPr>
              <w:spacing w:after="0" w:line="276" w:lineRule="auto"/>
              <w:ind w:firstLine="360"/>
              <w:rPr>
                <w:rFonts w:cs="Sylfaen"/>
                <w:sz w:val="20"/>
                <w:szCs w:val="20"/>
                <w:lang w:val="hy-AM"/>
              </w:rPr>
            </w:pPr>
            <w:r w:rsidRPr="00BC61ED">
              <w:rPr>
                <w:rFonts w:eastAsia="Times New Roman"/>
                <w:sz w:val="20"/>
                <w:szCs w:val="20"/>
                <w:lang w:val="hy-AM"/>
              </w:rPr>
              <w:t xml:space="preserve">Ներկայումս ՀՀ տարածքային կառավարման և զարգացման նախարարությունն արդեն իսկ ձեռնարկել է վերոնշյալ միջոցառումների ծրագրով նախատեսված՝ տարածքային աճի բևեռների ձևավորման և զարգացման հարցերով աշխատանքային խմբի ձևավորման աշխատանքները: </w:t>
            </w:r>
          </w:p>
          <w:p w:rsidR="0068680D" w:rsidRPr="00BC61ED" w:rsidRDefault="0068680D" w:rsidP="00F47DC4">
            <w:pPr>
              <w:spacing w:after="0" w:line="276" w:lineRule="auto"/>
              <w:ind w:left="90" w:firstLine="15"/>
              <w:rPr>
                <w:rFonts w:eastAsia="Times New Roman"/>
                <w:b/>
                <w:i/>
                <w:sz w:val="20"/>
                <w:szCs w:val="20"/>
                <w:lang w:val="hy-AM"/>
              </w:rPr>
            </w:pPr>
          </w:p>
          <w:p w:rsidR="0068680D" w:rsidRPr="00BC61ED" w:rsidRDefault="0068680D" w:rsidP="00F47DC4">
            <w:pPr>
              <w:spacing w:after="0" w:line="276" w:lineRule="auto"/>
              <w:ind w:firstLine="375"/>
              <w:rPr>
                <w:b/>
                <w:bCs/>
                <w:i/>
                <w:sz w:val="20"/>
                <w:szCs w:val="20"/>
                <w:lang w:val="hy-AM"/>
              </w:rPr>
            </w:pPr>
            <w:r w:rsidRPr="00BC61ED">
              <w:rPr>
                <w:rFonts w:eastAsia="Times New Roman"/>
                <w:b/>
                <w:sz w:val="20"/>
                <w:szCs w:val="20"/>
                <w:lang w:val="hy-AM"/>
              </w:rPr>
              <w:t>1.2.</w:t>
            </w:r>
            <w:r w:rsidRPr="00BC61ED">
              <w:rPr>
                <w:rFonts w:eastAsia="Times New Roman"/>
                <w:sz w:val="20"/>
                <w:szCs w:val="20"/>
                <w:lang w:val="hy-AM"/>
              </w:rPr>
              <w:t xml:space="preserve"> </w:t>
            </w:r>
            <w:r w:rsidRPr="00BC61ED">
              <w:rPr>
                <w:rFonts w:eastAsia="Times New Roman"/>
                <w:b/>
                <w:i/>
                <w:sz w:val="20"/>
                <w:szCs w:val="20"/>
                <w:lang w:val="hy-AM"/>
              </w:rPr>
              <w:t xml:space="preserve">առկա խնդիրների առաջարկվող լուծումները (միջոցառումը </w:t>
            </w:r>
            <w:r w:rsidRPr="00BC61ED">
              <w:rPr>
                <w:b/>
                <w:bCs/>
                <w:i/>
                <w:sz w:val="20"/>
                <w:szCs w:val="20"/>
                <w:lang w:val="hy-AM"/>
              </w:rPr>
              <w:t xml:space="preserve">համակատարող ունենալու դեպքում </w:t>
            </w:r>
            <w:r w:rsidRPr="00BC61ED">
              <w:rPr>
                <w:rFonts w:eastAsia="Times New Roman"/>
                <w:b/>
                <w:i/>
                <w:sz w:val="20"/>
                <w:szCs w:val="20"/>
                <w:lang w:val="hy-AM"/>
              </w:rPr>
              <w:t xml:space="preserve">նշելով նաև համակատարողի </w:t>
            </w:r>
            <w:r w:rsidRPr="00BC61ED">
              <w:rPr>
                <w:b/>
                <w:bCs/>
                <w:i/>
                <w:sz w:val="20"/>
                <w:szCs w:val="20"/>
                <w:lang w:val="hy-AM"/>
              </w:rPr>
              <w:t>կողմից համապատասխան միջոցառման առնչությամբ կատարման ենթակա գործողությունները)</w:t>
            </w:r>
          </w:p>
          <w:p w:rsidR="0068680D" w:rsidRPr="00BC61ED" w:rsidRDefault="0068680D" w:rsidP="00F47DC4">
            <w:pPr>
              <w:tabs>
                <w:tab w:val="left" w:pos="720"/>
              </w:tabs>
              <w:spacing w:after="0" w:line="276" w:lineRule="auto"/>
              <w:ind w:left="-360" w:right="-360" w:firstLine="630"/>
              <w:rPr>
                <w:rFonts w:eastAsia="Times New Roman"/>
                <w:sz w:val="20"/>
                <w:szCs w:val="20"/>
                <w:lang w:val="hy-AM"/>
              </w:rPr>
            </w:pPr>
            <w:r w:rsidRPr="00BC61ED">
              <w:rPr>
                <w:sz w:val="20"/>
                <w:szCs w:val="20"/>
                <w:lang w:val="hy-AM"/>
              </w:rPr>
              <w:t>ՀՀ տարածաշրջաններում տարածքային աճի բևեռների զարգացումը թույլ կտա անցում կատարել միաբևեռ, մայրաքաղաքում կենտրոնացած տնտեսությունից բազմաբևեռ, կայուն, համաչափ զարգացող տնտեսությանը: Այդ նպատակով առաջարկվող լուծումներն են. տ</w:t>
            </w:r>
            <w:r w:rsidRPr="00BC61ED">
              <w:rPr>
                <w:rFonts w:eastAsia="Times New Roman"/>
                <w:sz w:val="20"/>
                <w:szCs w:val="20"/>
                <w:lang w:val="hy-AM"/>
              </w:rPr>
              <w:t>արածքային աճի բևեռի տեղակայման և զարգացման ուղղվածության ընտրություն չափորոշիչների և երկրի զարգացման տեսլականի հիման վրա, տարածքային աճի բևեռներում առաջնային իմպուլսներ ապահովող նախագծերի իրականացման համար անհրաժեշտ ենթակառուցվածքների ապահովում</w:t>
            </w:r>
            <w:r w:rsidRPr="00BC61ED">
              <w:rPr>
                <w:sz w:val="20"/>
                <w:szCs w:val="20"/>
                <w:lang w:val="hy-AM"/>
              </w:rPr>
              <w:t>, տ</w:t>
            </w:r>
            <w:r w:rsidRPr="00BC61ED">
              <w:rPr>
                <w:rFonts w:eastAsia="Times New Roman"/>
                <w:sz w:val="20"/>
                <w:szCs w:val="20"/>
                <w:lang w:val="hy-AM"/>
              </w:rPr>
              <w:t>արածքային աճի բևեռների զարգացման կոնցեպտին (ուղղվածությանը համապատասխան զարգացման առաջնային իմպուսներ ապահովող նախագծերի մշակում և իրականացում</w:t>
            </w:r>
            <w:r w:rsidRPr="00BC61ED">
              <w:rPr>
                <w:sz w:val="20"/>
                <w:szCs w:val="20"/>
                <w:lang w:val="hy-AM"/>
              </w:rPr>
              <w:t xml:space="preserve">, </w:t>
            </w:r>
            <w:r w:rsidRPr="00BC61ED">
              <w:rPr>
                <w:rFonts w:eastAsia="Times New Roman"/>
                <w:sz w:val="20"/>
                <w:szCs w:val="20"/>
                <w:lang w:val="hy-AM"/>
              </w:rPr>
              <w:t xml:space="preserve">տարածքային աճի բևեռների հարակից համայնքներում բևեռի զարգացմանը նպաստող հարակից ոլորտների զարգացմանն ուղղված ծրագրերի մշակում և իրականացում: </w:t>
            </w:r>
            <w:r w:rsidRPr="00BC61ED">
              <w:rPr>
                <w:sz w:val="20"/>
                <w:szCs w:val="20"/>
                <w:lang w:val="hy-AM"/>
              </w:rPr>
              <w:t xml:space="preserve">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b/>
                <w:sz w:val="20"/>
                <w:szCs w:val="20"/>
                <w:lang w:val="hy-AM"/>
              </w:rPr>
              <w:t>2.</w:t>
            </w:r>
            <w:r w:rsidRPr="00BC61ED">
              <w:rPr>
                <w:rFonts w:eastAsia="Times New Roman"/>
                <w:sz w:val="20"/>
                <w:szCs w:val="20"/>
                <w:lang w:val="hy-AM"/>
              </w:rPr>
              <w:t xml:space="preserve"> </w:t>
            </w:r>
            <w:r w:rsidRPr="00BC61ED">
              <w:rPr>
                <w:rFonts w:ascii="Calibri" w:eastAsia="Times New Roman" w:hAnsi="Calibri" w:cs="Calibri"/>
                <w:sz w:val="20"/>
                <w:szCs w:val="20"/>
                <w:lang w:val="hy-AM"/>
              </w:rPr>
              <w:t> </w:t>
            </w:r>
            <w:r w:rsidRPr="00BC61ED">
              <w:rPr>
                <w:rFonts w:eastAsia="Times New Roman"/>
                <w:b/>
                <w:i/>
                <w:sz w:val="20"/>
                <w:szCs w:val="20"/>
                <w:lang w:val="hy-AM"/>
              </w:rPr>
              <w:t>Միջոցառման իրականացումից ակնկալվող արդյունքը</w:t>
            </w:r>
          </w:p>
          <w:p w:rsidR="0068680D" w:rsidRPr="00BC61ED" w:rsidRDefault="0068680D" w:rsidP="00F47DC4">
            <w:pPr>
              <w:pStyle w:val="ListParagraph"/>
              <w:tabs>
                <w:tab w:val="left" w:pos="720"/>
                <w:tab w:val="left" w:pos="1134"/>
              </w:tabs>
              <w:spacing w:after="0" w:line="276" w:lineRule="auto"/>
              <w:ind w:left="90" w:right="90" w:hanging="90"/>
              <w:rPr>
                <w:sz w:val="20"/>
                <w:szCs w:val="20"/>
                <w:lang w:val="hy-AM"/>
              </w:rPr>
            </w:pPr>
            <w:r w:rsidRPr="00BC61ED">
              <w:rPr>
                <w:color w:val="000000"/>
                <w:sz w:val="20"/>
                <w:szCs w:val="20"/>
                <w:shd w:val="clear" w:color="auto" w:fill="FFFFFF"/>
                <w:lang w:val="hy-AM"/>
              </w:rPr>
              <w:t>ՀՀ տարածքներում տա</w:t>
            </w:r>
            <w:r w:rsidRPr="00BC61ED">
              <w:rPr>
                <w:sz w:val="20"/>
                <w:szCs w:val="20"/>
                <w:lang w:val="hy-AM"/>
              </w:rPr>
              <w:t>րածքային աճի բևեռների զարգացումը հնարավորություն կընձեռի</w:t>
            </w:r>
            <w:r w:rsidRPr="00BC61ED">
              <w:rPr>
                <w:sz w:val="20"/>
                <w:szCs w:val="20"/>
                <w:lang w:val="af-ZA"/>
              </w:rPr>
              <w:t xml:space="preserve"> </w:t>
            </w:r>
            <w:r w:rsidRPr="00BC61ED">
              <w:rPr>
                <w:sz w:val="20"/>
                <w:szCs w:val="20"/>
                <w:lang w:val="hy-AM"/>
              </w:rPr>
              <w:t xml:space="preserve">համակարգված  և փուլային եղանակով իրականացնել ՀՀ տարածքային համաչափ սոցիալ-տնտեսական զարգացման գործընթացը: </w:t>
            </w:r>
            <w:r w:rsidRPr="00BC61ED">
              <w:rPr>
                <w:sz w:val="20"/>
                <w:szCs w:val="20"/>
                <w:lang w:val="af-ZA"/>
              </w:rPr>
              <w:t xml:space="preserve"> </w:t>
            </w:r>
          </w:p>
          <w:p w:rsidR="0068680D" w:rsidRPr="00BC61ED" w:rsidRDefault="0068680D" w:rsidP="00F47DC4">
            <w:pPr>
              <w:pStyle w:val="ListParagraph"/>
              <w:tabs>
                <w:tab w:val="left" w:pos="720"/>
                <w:tab w:val="left" w:pos="1134"/>
              </w:tabs>
              <w:spacing w:after="0" w:line="276" w:lineRule="auto"/>
              <w:ind w:left="0" w:right="90" w:firstLine="540"/>
              <w:rPr>
                <w:sz w:val="20"/>
                <w:szCs w:val="20"/>
                <w:lang w:val="hy-AM"/>
              </w:rPr>
            </w:pPr>
            <w:r w:rsidRPr="00BC61ED">
              <w:rPr>
                <w:sz w:val="20"/>
                <w:szCs w:val="20"/>
                <w:lang w:val="hy-AM"/>
              </w:rPr>
              <w:t>Ձևավորված տարածքային աճի</w:t>
            </w:r>
            <w:r w:rsidRPr="00BC61ED">
              <w:rPr>
                <w:sz w:val="20"/>
                <w:szCs w:val="20"/>
                <w:lang w:val="af-ZA"/>
              </w:rPr>
              <w:t xml:space="preserve"> </w:t>
            </w:r>
            <w:r w:rsidRPr="00BC61ED">
              <w:rPr>
                <w:sz w:val="20"/>
                <w:szCs w:val="20"/>
                <w:lang w:val="hy-AM"/>
              </w:rPr>
              <w:t>բևեռներում</w:t>
            </w:r>
            <w:r w:rsidRPr="00BC61ED">
              <w:rPr>
                <w:sz w:val="20"/>
                <w:szCs w:val="20"/>
                <w:lang w:val="af-ZA"/>
              </w:rPr>
              <w:t xml:space="preserve"> </w:t>
            </w:r>
            <w:r w:rsidRPr="00BC61ED">
              <w:rPr>
                <w:sz w:val="20"/>
                <w:szCs w:val="20"/>
                <w:lang w:val="hy-AM"/>
              </w:rPr>
              <w:t>գործարար</w:t>
            </w:r>
            <w:r w:rsidRPr="00BC61ED">
              <w:rPr>
                <w:sz w:val="20"/>
                <w:szCs w:val="20"/>
                <w:lang w:val="af-ZA"/>
              </w:rPr>
              <w:t xml:space="preserve"> </w:t>
            </w:r>
            <w:r w:rsidRPr="00BC61ED">
              <w:rPr>
                <w:sz w:val="20"/>
                <w:szCs w:val="20"/>
                <w:lang w:val="hy-AM"/>
              </w:rPr>
              <w:t>ակտիվության</w:t>
            </w:r>
            <w:r w:rsidRPr="00BC61ED">
              <w:rPr>
                <w:sz w:val="20"/>
                <w:szCs w:val="20"/>
                <w:lang w:val="af-ZA"/>
              </w:rPr>
              <w:t xml:space="preserve"> </w:t>
            </w:r>
            <w:r w:rsidRPr="00BC61ED">
              <w:rPr>
                <w:sz w:val="20"/>
                <w:szCs w:val="20"/>
                <w:lang w:val="hy-AM"/>
              </w:rPr>
              <w:t>մակարդակի</w:t>
            </w:r>
            <w:r w:rsidRPr="00BC61ED">
              <w:rPr>
                <w:sz w:val="20"/>
                <w:szCs w:val="20"/>
                <w:lang w:val="af-ZA"/>
              </w:rPr>
              <w:t xml:space="preserve"> </w:t>
            </w:r>
            <w:r w:rsidRPr="00BC61ED">
              <w:rPr>
                <w:sz w:val="20"/>
                <w:szCs w:val="20"/>
                <w:lang w:val="hy-AM"/>
              </w:rPr>
              <w:t>բարձրացումը</w:t>
            </w:r>
            <w:r w:rsidRPr="00BC61ED">
              <w:rPr>
                <w:sz w:val="20"/>
                <w:szCs w:val="20"/>
                <w:lang w:val="af-ZA"/>
              </w:rPr>
              <w:t xml:space="preserve"> </w:t>
            </w:r>
            <w:r w:rsidRPr="00BC61ED">
              <w:rPr>
                <w:sz w:val="20"/>
                <w:szCs w:val="20"/>
                <w:lang w:val="hy-AM"/>
              </w:rPr>
              <w:t>կապահովի</w:t>
            </w:r>
            <w:r w:rsidRPr="00BC61ED">
              <w:rPr>
                <w:sz w:val="20"/>
                <w:szCs w:val="20"/>
                <w:lang w:val="af-ZA"/>
              </w:rPr>
              <w:t xml:space="preserve"> </w:t>
            </w:r>
            <w:r w:rsidRPr="00BC61ED">
              <w:rPr>
                <w:sz w:val="20"/>
                <w:szCs w:val="20"/>
                <w:lang w:val="hy-AM"/>
              </w:rPr>
              <w:t>տեղական</w:t>
            </w:r>
            <w:r w:rsidRPr="00BC61ED">
              <w:rPr>
                <w:sz w:val="20"/>
                <w:szCs w:val="20"/>
                <w:lang w:val="af-ZA"/>
              </w:rPr>
              <w:t xml:space="preserve"> </w:t>
            </w:r>
            <w:r w:rsidRPr="00BC61ED">
              <w:rPr>
                <w:sz w:val="20"/>
                <w:szCs w:val="20"/>
                <w:lang w:val="hy-AM"/>
              </w:rPr>
              <w:t>և</w:t>
            </w:r>
            <w:r w:rsidRPr="00BC61ED">
              <w:rPr>
                <w:sz w:val="20"/>
                <w:szCs w:val="20"/>
                <w:lang w:val="af-ZA"/>
              </w:rPr>
              <w:t xml:space="preserve"> </w:t>
            </w:r>
            <w:r w:rsidRPr="00BC61ED">
              <w:rPr>
                <w:sz w:val="20"/>
                <w:szCs w:val="20"/>
                <w:lang w:val="hy-AM"/>
              </w:rPr>
              <w:t>օտարերկրյա</w:t>
            </w:r>
            <w:r w:rsidRPr="00BC61ED">
              <w:rPr>
                <w:sz w:val="20"/>
                <w:szCs w:val="20"/>
                <w:lang w:val="af-ZA"/>
              </w:rPr>
              <w:t xml:space="preserve"> </w:t>
            </w:r>
            <w:r w:rsidRPr="00BC61ED">
              <w:rPr>
                <w:sz w:val="20"/>
                <w:szCs w:val="20"/>
                <w:lang w:val="hy-AM"/>
              </w:rPr>
              <w:t>ներդրումների</w:t>
            </w:r>
            <w:r w:rsidRPr="00BC61ED">
              <w:rPr>
                <w:sz w:val="20"/>
                <w:szCs w:val="20"/>
                <w:lang w:val="af-ZA"/>
              </w:rPr>
              <w:t xml:space="preserve"> </w:t>
            </w:r>
            <w:r w:rsidRPr="00BC61ED">
              <w:rPr>
                <w:sz w:val="20"/>
                <w:szCs w:val="20"/>
                <w:lang w:val="hy-AM"/>
              </w:rPr>
              <w:t>անընդհատ</w:t>
            </w:r>
            <w:r w:rsidRPr="00BC61ED">
              <w:rPr>
                <w:sz w:val="20"/>
                <w:szCs w:val="20"/>
                <w:lang w:val="af-ZA"/>
              </w:rPr>
              <w:t xml:space="preserve"> </w:t>
            </w:r>
            <w:r w:rsidRPr="00BC61ED">
              <w:rPr>
                <w:sz w:val="20"/>
                <w:szCs w:val="20"/>
                <w:lang w:val="hy-AM"/>
              </w:rPr>
              <w:t>ներհոսք</w:t>
            </w:r>
            <w:r w:rsidRPr="00BC61ED">
              <w:rPr>
                <w:sz w:val="20"/>
                <w:szCs w:val="20"/>
                <w:lang w:val="af-ZA"/>
              </w:rPr>
              <w:t xml:space="preserve">,  </w:t>
            </w:r>
            <w:r w:rsidRPr="00BC61ED">
              <w:rPr>
                <w:sz w:val="20"/>
                <w:szCs w:val="20"/>
                <w:lang w:val="hy-AM"/>
              </w:rPr>
              <w:t>տարածքային</w:t>
            </w:r>
            <w:r w:rsidRPr="00BC61ED">
              <w:rPr>
                <w:sz w:val="20"/>
                <w:szCs w:val="20"/>
                <w:lang w:val="af-ZA"/>
              </w:rPr>
              <w:t xml:space="preserve"> </w:t>
            </w:r>
            <w:r w:rsidRPr="00BC61ED">
              <w:rPr>
                <w:sz w:val="20"/>
                <w:szCs w:val="20"/>
                <w:lang w:val="hy-AM"/>
              </w:rPr>
              <w:t>աճի</w:t>
            </w:r>
            <w:r w:rsidRPr="00BC61ED">
              <w:rPr>
                <w:sz w:val="20"/>
                <w:szCs w:val="20"/>
                <w:lang w:val="af-ZA"/>
              </w:rPr>
              <w:t xml:space="preserve"> </w:t>
            </w:r>
            <w:r w:rsidRPr="00BC61ED">
              <w:rPr>
                <w:sz w:val="20"/>
                <w:szCs w:val="20"/>
                <w:lang w:val="hy-AM"/>
              </w:rPr>
              <w:t>բևեռներում</w:t>
            </w:r>
            <w:r w:rsidRPr="00BC61ED">
              <w:rPr>
                <w:sz w:val="20"/>
                <w:szCs w:val="20"/>
                <w:lang w:val="af-ZA"/>
              </w:rPr>
              <w:t xml:space="preserve"> </w:t>
            </w:r>
            <w:r w:rsidRPr="00BC61ED">
              <w:rPr>
                <w:sz w:val="20"/>
                <w:szCs w:val="20"/>
                <w:lang w:val="hy-AM"/>
              </w:rPr>
              <w:t>կբարելավվեն</w:t>
            </w:r>
            <w:r w:rsidRPr="00BC61ED">
              <w:rPr>
                <w:sz w:val="20"/>
                <w:szCs w:val="20"/>
                <w:lang w:val="af-ZA"/>
              </w:rPr>
              <w:t xml:space="preserve"> </w:t>
            </w:r>
            <w:r w:rsidRPr="00BC61ED">
              <w:rPr>
                <w:sz w:val="20"/>
                <w:szCs w:val="20"/>
                <w:lang w:val="hy-AM"/>
              </w:rPr>
              <w:t>տեղական</w:t>
            </w:r>
            <w:r w:rsidRPr="00BC61ED">
              <w:rPr>
                <w:sz w:val="20"/>
                <w:szCs w:val="20"/>
                <w:lang w:val="af-ZA"/>
              </w:rPr>
              <w:t xml:space="preserve"> </w:t>
            </w:r>
            <w:r w:rsidRPr="00BC61ED">
              <w:rPr>
                <w:sz w:val="20"/>
                <w:szCs w:val="20"/>
                <w:lang w:val="hy-AM"/>
              </w:rPr>
              <w:t>ենթակառուցվածքները ստեղծելով բարենպաստ պայմաններ բիզնես միջավայրի ակտիվացման համար</w:t>
            </w:r>
            <w:r w:rsidRPr="00BC61ED">
              <w:rPr>
                <w:sz w:val="20"/>
                <w:szCs w:val="20"/>
                <w:lang w:val="af-ZA"/>
              </w:rPr>
              <w:t xml:space="preserve">, </w:t>
            </w:r>
            <w:r w:rsidRPr="00BC61ED">
              <w:rPr>
                <w:sz w:val="20"/>
                <w:szCs w:val="20"/>
                <w:lang w:val="hy-AM"/>
              </w:rPr>
              <w:t>կարձանագրվի</w:t>
            </w:r>
            <w:r w:rsidRPr="00BC61ED">
              <w:rPr>
                <w:sz w:val="20"/>
                <w:szCs w:val="20"/>
                <w:lang w:val="af-ZA"/>
              </w:rPr>
              <w:t xml:space="preserve"> </w:t>
            </w:r>
            <w:r w:rsidRPr="00BC61ED">
              <w:rPr>
                <w:sz w:val="20"/>
                <w:szCs w:val="20"/>
                <w:lang w:val="hy-AM"/>
              </w:rPr>
              <w:t>կյանքի</w:t>
            </w:r>
            <w:r w:rsidRPr="00BC61ED">
              <w:rPr>
                <w:sz w:val="20"/>
                <w:szCs w:val="20"/>
                <w:lang w:val="af-ZA"/>
              </w:rPr>
              <w:t xml:space="preserve"> </w:t>
            </w:r>
            <w:r w:rsidRPr="00BC61ED">
              <w:rPr>
                <w:sz w:val="20"/>
                <w:szCs w:val="20"/>
                <w:lang w:val="hy-AM"/>
              </w:rPr>
              <w:t>որակի</w:t>
            </w:r>
            <w:r w:rsidRPr="00BC61ED">
              <w:rPr>
                <w:sz w:val="20"/>
                <w:szCs w:val="20"/>
                <w:lang w:val="af-ZA"/>
              </w:rPr>
              <w:t xml:space="preserve"> </w:t>
            </w:r>
            <w:r w:rsidRPr="00BC61ED">
              <w:rPr>
                <w:sz w:val="20"/>
                <w:szCs w:val="20"/>
                <w:lang w:val="hy-AM"/>
              </w:rPr>
              <w:t>և</w:t>
            </w:r>
            <w:r w:rsidRPr="00BC61ED">
              <w:rPr>
                <w:sz w:val="20"/>
                <w:szCs w:val="20"/>
                <w:lang w:val="af-ZA"/>
              </w:rPr>
              <w:t xml:space="preserve"> </w:t>
            </w:r>
            <w:r w:rsidRPr="00BC61ED">
              <w:rPr>
                <w:sz w:val="20"/>
                <w:szCs w:val="20"/>
                <w:lang w:val="hy-AM"/>
              </w:rPr>
              <w:t>բնակչության</w:t>
            </w:r>
            <w:r w:rsidRPr="00BC61ED">
              <w:rPr>
                <w:sz w:val="20"/>
                <w:szCs w:val="20"/>
                <w:lang w:val="af-ZA"/>
              </w:rPr>
              <w:t xml:space="preserve"> </w:t>
            </w:r>
            <w:r w:rsidRPr="00BC61ED">
              <w:rPr>
                <w:sz w:val="20"/>
                <w:szCs w:val="20"/>
                <w:lang w:val="hy-AM"/>
              </w:rPr>
              <w:t>սոցիալ</w:t>
            </w:r>
            <w:r w:rsidRPr="00BC61ED">
              <w:rPr>
                <w:sz w:val="20"/>
                <w:szCs w:val="20"/>
                <w:lang w:val="af-ZA"/>
              </w:rPr>
              <w:t>-</w:t>
            </w:r>
            <w:r w:rsidRPr="00BC61ED">
              <w:rPr>
                <w:sz w:val="20"/>
                <w:szCs w:val="20"/>
                <w:lang w:val="hy-AM"/>
              </w:rPr>
              <w:t>տնտեսական</w:t>
            </w:r>
            <w:r w:rsidRPr="00BC61ED">
              <w:rPr>
                <w:sz w:val="20"/>
                <w:szCs w:val="20"/>
                <w:lang w:val="af-ZA"/>
              </w:rPr>
              <w:t xml:space="preserve"> </w:t>
            </w:r>
            <w:r w:rsidRPr="00BC61ED">
              <w:rPr>
                <w:sz w:val="20"/>
                <w:szCs w:val="20"/>
                <w:lang w:val="hy-AM"/>
              </w:rPr>
              <w:t>վիճակի</w:t>
            </w:r>
            <w:r w:rsidRPr="00BC61ED">
              <w:rPr>
                <w:sz w:val="20"/>
                <w:szCs w:val="20"/>
                <w:lang w:val="af-ZA"/>
              </w:rPr>
              <w:t xml:space="preserve"> </w:t>
            </w:r>
            <w:r w:rsidRPr="00BC61ED">
              <w:rPr>
                <w:sz w:val="20"/>
                <w:szCs w:val="20"/>
                <w:lang w:val="hy-AM"/>
              </w:rPr>
              <w:t>բարելավում՝</w:t>
            </w:r>
            <w:r w:rsidRPr="00BC61ED">
              <w:rPr>
                <w:sz w:val="20"/>
                <w:szCs w:val="20"/>
                <w:lang w:val="af-ZA"/>
              </w:rPr>
              <w:t xml:space="preserve">  </w:t>
            </w:r>
            <w:r w:rsidRPr="00BC61ED">
              <w:rPr>
                <w:sz w:val="20"/>
                <w:szCs w:val="20"/>
                <w:lang w:val="hy-AM"/>
              </w:rPr>
              <w:t>ի</w:t>
            </w:r>
            <w:r w:rsidRPr="00BC61ED">
              <w:rPr>
                <w:sz w:val="20"/>
                <w:szCs w:val="20"/>
                <w:lang w:val="af-ZA"/>
              </w:rPr>
              <w:t xml:space="preserve"> </w:t>
            </w:r>
            <w:r w:rsidRPr="00BC61ED">
              <w:rPr>
                <w:sz w:val="20"/>
                <w:szCs w:val="20"/>
                <w:lang w:val="hy-AM"/>
              </w:rPr>
              <w:t>հաշիվ</w:t>
            </w:r>
            <w:r w:rsidRPr="00BC61ED">
              <w:rPr>
                <w:sz w:val="20"/>
                <w:szCs w:val="20"/>
                <w:lang w:val="af-ZA"/>
              </w:rPr>
              <w:t xml:space="preserve"> </w:t>
            </w:r>
            <w:r w:rsidRPr="00BC61ED">
              <w:rPr>
                <w:sz w:val="20"/>
                <w:szCs w:val="20"/>
                <w:lang w:val="hy-AM"/>
              </w:rPr>
              <w:t>գործազրկության</w:t>
            </w:r>
            <w:r w:rsidRPr="00BC61ED">
              <w:rPr>
                <w:sz w:val="20"/>
                <w:szCs w:val="20"/>
                <w:lang w:val="af-ZA"/>
              </w:rPr>
              <w:t xml:space="preserve"> </w:t>
            </w:r>
            <w:r w:rsidRPr="00BC61ED">
              <w:rPr>
                <w:sz w:val="20"/>
                <w:szCs w:val="20"/>
                <w:lang w:val="hy-AM"/>
              </w:rPr>
              <w:t>և</w:t>
            </w:r>
            <w:r w:rsidRPr="00BC61ED">
              <w:rPr>
                <w:sz w:val="20"/>
                <w:szCs w:val="20"/>
                <w:lang w:val="af-ZA"/>
              </w:rPr>
              <w:t xml:space="preserve"> </w:t>
            </w:r>
            <w:r w:rsidRPr="00BC61ED">
              <w:rPr>
                <w:sz w:val="20"/>
                <w:szCs w:val="20"/>
                <w:lang w:val="hy-AM"/>
              </w:rPr>
              <w:t>աղքատության</w:t>
            </w:r>
            <w:r w:rsidRPr="00BC61ED">
              <w:rPr>
                <w:sz w:val="20"/>
                <w:szCs w:val="20"/>
                <w:lang w:val="af-ZA"/>
              </w:rPr>
              <w:t xml:space="preserve"> </w:t>
            </w:r>
            <w:r w:rsidRPr="00BC61ED">
              <w:rPr>
                <w:sz w:val="20"/>
                <w:szCs w:val="20"/>
                <w:lang w:val="hy-AM"/>
              </w:rPr>
              <w:t>նվազեցման</w:t>
            </w:r>
            <w:r w:rsidRPr="00BC61ED">
              <w:rPr>
                <w:sz w:val="20"/>
                <w:szCs w:val="20"/>
                <w:lang w:val="af-ZA"/>
              </w:rPr>
              <w:t xml:space="preserve">, </w:t>
            </w:r>
            <w:r w:rsidRPr="00BC61ED">
              <w:rPr>
                <w:sz w:val="20"/>
                <w:szCs w:val="20"/>
                <w:lang w:val="hy-AM"/>
              </w:rPr>
              <w:t>կլուծվեն</w:t>
            </w:r>
            <w:r w:rsidRPr="00BC61ED">
              <w:rPr>
                <w:sz w:val="20"/>
                <w:szCs w:val="20"/>
                <w:lang w:val="af-ZA"/>
              </w:rPr>
              <w:t xml:space="preserve"> </w:t>
            </w:r>
            <w:r w:rsidRPr="00BC61ED">
              <w:rPr>
                <w:sz w:val="20"/>
                <w:szCs w:val="20"/>
                <w:lang w:val="hy-AM"/>
              </w:rPr>
              <w:t>տրանսակցիոն</w:t>
            </w:r>
            <w:r w:rsidRPr="00BC61ED">
              <w:rPr>
                <w:sz w:val="20"/>
                <w:szCs w:val="20"/>
                <w:lang w:val="af-ZA"/>
              </w:rPr>
              <w:t xml:space="preserve"> </w:t>
            </w:r>
            <w:r w:rsidRPr="00BC61ED">
              <w:rPr>
                <w:sz w:val="20"/>
                <w:szCs w:val="20"/>
                <w:lang w:val="hy-AM"/>
              </w:rPr>
              <w:t>և</w:t>
            </w:r>
            <w:r w:rsidRPr="00BC61ED">
              <w:rPr>
                <w:sz w:val="20"/>
                <w:szCs w:val="20"/>
                <w:lang w:val="af-ZA"/>
              </w:rPr>
              <w:t xml:space="preserve"> </w:t>
            </w:r>
            <w:r w:rsidRPr="00BC61ED">
              <w:rPr>
                <w:sz w:val="20"/>
                <w:szCs w:val="20"/>
                <w:lang w:val="hy-AM"/>
              </w:rPr>
              <w:t>արտադրական</w:t>
            </w:r>
            <w:r w:rsidRPr="00BC61ED">
              <w:rPr>
                <w:sz w:val="20"/>
                <w:szCs w:val="20"/>
                <w:lang w:val="af-ZA"/>
              </w:rPr>
              <w:t xml:space="preserve"> </w:t>
            </w:r>
            <w:r w:rsidRPr="00BC61ED">
              <w:rPr>
                <w:sz w:val="20"/>
                <w:szCs w:val="20"/>
                <w:lang w:val="hy-AM"/>
              </w:rPr>
              <w:t>ծախքերի</w:t>
            </w:r>
            <w:r w:rsidRPr="00BC61ED">
              <w:rPr>
                <w:sz w:val="20"/>
                <w:szCs w:val="20"/>
                <w:lang w:val="af-ZA"/>
              </w:rPr>
              <w:t xml:space="preserve"> </w:t>
            </w:r>
            <w:r w:rsidRPr="00BC61ED">
              <w:rPr>
                <w:sz w:val="20"/>
                <w:szCs w:val="20"/>
                <w:lang w:val="hy-AM"/>
              </w:rPr>
              <w:t>նվազեցման</w:t>
            </w:r>
            <w:r w:rsidRPr="00BC61ED">
              <w:rPr>
                <w:sz w:val="20"/>
                <w:szCs w:val="20"/>
                <w:lang w:val="af-ZA"/>
              </w:rPr>
              <w:t xml:space="preserve"> </w:t>
            </w:r>
            <w:r w:rsidRPr="00BC61ED">
              <w:rPr>
                <w:sz w:val="20"/>
                <w:szCs w:val="20"/>
                <w:lang w:val="hy-AM"/>
              </w:rPr>
              <w:t>խնդիրները, կաճեն տարածաշրջանի</w:t>
            </w:r>
            <w:r w:rsidRPr="00BC61ED">
              <w:rPr>
                <w:sz w:val="20"/>
                <w:szCs w:val="20"/>
                <w:lang w:val="af-ZA"/>
              </w:rPr>
              <w:t xml:space="preserve"> </w:t>
            </w:r>
            <w:r w:rsidRPr="00BC61ED">
              <w:rPr>
                <w:sz w:val="20"/>
                <w:szCs w:val="20"/>
                <w:lang w:val="hy-AM"/>
              </w:rPr>
              <w:t>և</w:t>
            </w:r>
            <w:r w:rsidRPr="00BC61ED">
              <w:rPr>
                <w:sz w:val="20"/>
                <w:szCs w:val="20"/>
                <w:lang w:val="af-ZA"/>
              </w:rPr>
              <w:t xml:space="preserve"> </w:t>
            </w:r>
            <w:r w:rsidRPr="00BC61ED">
              <w:rPr>
                <w:sz w:val="20"/>
                <w:szCs w:val="20"/>
                <w:lang w:val="hy-AM"/>
              </w:rPr>
              <w:t>երկրի</w:t>
            </w:r>
            <w:r w:rsidRPr="00BC61ED">
              <w:rPr>
                <w:sz w:val="20"/>
                <w:szCs w:val="20"/>
                <w:lang w:val="af-ZA"/>
              </w:rPr>
              <w:t xml:space="preserve"> </w:t>
            </w:r>
            <w:r w:rsidRPr="00BC61ED">
              <w:rPr>
                <w:sz w:val="20"/>
                <w:szCs w:val="20"/>
                <w:lang w:val="hy-AM"/>
              </w:rPr>
              <w:t>մրցակցային</w:t>
            </w:r>
            <w:r w:rsidRPr="00BC61ED">
              <w:rPr>
                <w:sz w:val="20"/>
                <w:szCs w:val="20"/>
                <w:lang w:val="af-ZA"/>
              </w:rPr>
              <w:t xml:space="preserve"> </w:t>
            </w:r>
            <w:r w:rsidRPr="00BC61ED">
              <w:rPr>
                <w:sz w:val="20"/>
                <w:szCs w:val="20"/>
                <w:lang w:val="hy-AM"/>
              </w:rPr>
              <w:t>առավելությունները</w:t>
            </w:r>
            <w:r w:rsidRPr="00BC61ED">
              <w:rPr>
                <w:sz w:val="20"/>
                <w:szCs w:val="20"/>
                <w:lang w:val="af-ZA"/>
              </w:rPr>
              <w:t xml:space="preserve">:  </w:t>
            </w:r>
          </w:p>
          <w:p w:rsidR="0068680D" w:rsidRPr="00BC61ED" w:rsidRDefault="0068680D" w:rsidP="00F47DC4">
            <w:pPr>
              <w:tabs>
                <w:tab w:val="left" w:pos="720"/>
              </w:tabs>
              <w:spacing w:after="0" w:line="276" w:lineRule="auto"/>
              <w:ind w:left="-90" w:right="-360"/>
              <w:rPr>
                <w:sz w:val="20"/>
                <w:szCs w:val="20"/>
                <w:lang w:val="hy-AM"/>
              </w:rPr>
            </w:pPr>
            <w:r w:rsidRPr="00BC61ED">
              <w:rPr>
                <w:sz w:val="20"/>
                <w:szCs w:val="20"/>
                <w:lang w:val="hy-AM"/>
              </w:rPr>
              <w:t xml:space="preserve">Տարածքային աճի բևեռների ձևավորումը և զարգացումը կապահովի մարզերի և երկրի որակական զարգացում, մարզային ՀՆԱ-ի և երկրի ՀՆԱ-ի փաստացի աճ ՝ ի հաշիվ ընտրված տարածքների կոնցեպտուալ և համակարգված զարգացման: </w:t>
            </w:r>
          </w:p>
          <w:p w:rsidR="0068680D" w:rsidRPr="00BC61ED" w:rsidRDefault="0068680D" w:rsidP="00F47DC4">
            <w:pPr>
              <w:autoSpaceDE w:val="0"/>
              <w:autoSpaceDN w:val="0"/>
              <w:adjustRightInd w:val="0"/>
              <w:spacing w:after="0" w:line="276" w:lineRule="auto"/>
              <w:ind w:left="90" w:right="90" w:hanging="90"/>
              <w:rPr>
                <w:rFonts w:cs="Sylfaen"/>
                <w:sz w:val="20"/>
                <w:szCs w:val="20"/>
                <w:lang w:val="hy-AM"/>
              </w:rPr>
            </w:pPr>
          </w:p>
          <w:p w:rsidR="0068680D" w:rsidRPr="00BC61ED" w:rsidRDefault="0068680D" w:rsidP="00F47DC4">
            <w:pPr>
              <w:spacing w:after="0" w:line="276" w:lineRule="auto"/>
              <w:jc w:val="center"/>
              <w:rPr>
                <w:rFonts w:eastAsia="Times New Roman"/>
                <w:b/>
                <w:i/>
                <w:sz w:val="20"/>
                <w:szCs w:val="20"/>
                <w:lang w:val="hy-AM"/>
              </w:rPr>
            </w:pPr>
            <w:r w:rsidRPr="00BC61ED">
              <w:rPr>
                <w:rFonts w:eastAsia="Times New Roman"/>
                <w:b/>
                <w:i/>
                <w:sz w:val="20"/>
                <w:szCs w:val="20"/>
                <w:lang w:val="hy-AM"/>
              </w:rPr>
              <w:t>2</w:t>
            </w:r>
            <w:r w:rsidRPr="00BC61ED">
              <w:rPr>
                <w:rFonts w:ascii="Cambria Math" w:eastAsia="Times New Roman" w:hAnsi="Cambria Math" w:cs="Cambria Math"/>
                <w:b/>
                <w:i/>
                <w:sz w:val="20"/>
                <w:szCs w:val="20"/>
                <w:lang w:val="hy-AM"/>
              </w:rPr>
              <w:t>․</w:t>
            </w:r>
            <w:r w:rsidRPr="00BC61ED">
              <w:rPr>
                <w:rFonts w:eastAsia="Times New Roman"/>
                <w:b/>
                <w:i/>
                <w:sz w:val="20"/>
                <w:szCs w:val="20"/>
                <w:lang w:val="hy-AM"/>
              </w:rPr>
              <w:t>8 ՀՀ տարածքների  համաչափ զարգացմանը միտված հարթակի շահագործում</w:t>
            </w:r>
          </w:p>
          <w:p w:rsidR="0068680D" w:rsidRPr="00BC61ED" w:rsidRDefault="0068680D" w:rsidP="00F47DC4">
            <w:pPr>
              <w:spacing w:after="0" w:line="276" w:lineRule="auto"/>
              <w:ind w:firstLine="375"/>
              <w:rPr>
                <w:rFonts w:eastAsia="Times New Roman"/>
                <w:b/>
                <w:i/>
                <w:sz w:val="20"/>
                <w:szCs w:val="20"/>
                <w:lang w:val="hy-AM"/>
              </w:rPr>
            </w:pPr>
            <w:r w:rsidRPr="00BC61ED">
              <w:rPr>
                <w:rFonts w:ascii="Calibri" w:eastAsia="Times New Roman" w:hAnsi="Calibri" w:cs="Calibri"/>
                <w:sz w:val="20"/>
                <w:szCs w:val="20"/>
                <w:lang w:val="hy-AM"/>
              </w:rPr>
              <w:t> </w:t>
            </w:r>
            <w:r w:rsidRPr="00BC61ED">
              <w:rPr>
                <w:rFonts w:eastAsia="Times New Roman"/>
                <w:b/>
                <w:i/>
                <w:sz w:val="20"/>
                <w:szCs w:val="20"/>
                <w:lang w:val="hy-AM"/>
              </w:rPr>
              <w:t>Միջոցառման իրականացման անհրաժեշտությունը և նպատակը</w:t>
            </w:r>
            <w:r w:rsidRPr="00BC61ED">
              <w:rPr>
                <w:rFonts w:eastAsia="Times New Roman"/>
                <w:i/>
                <w:sz w:val="20"/>
                <w:szCs w:val="20"/>
                <w:lang w:val="hy-AM"/>
              </w:rPr>
              <w:t xml:space="preserve"> </w:t>
            </w:r>
            <w:r w:rsidRPr="00BC61ED">
              <w:rPr>
                <w:rFonts w:eastAsia="Times New Roman"/>
                <w:b/>
                <w:i/>
                <w:sz w:val="20"/>
                <w:szCs w:val="20"/>
                <w:lang w:val="hy-AM"/>
              </w:rPr>
              <w:t xml:space="preserve">(նշելով նաև ծրագրի համաձայն ընդունման ենթակա ենթաօրենսդրական նորմատիվ իրավական ակտերի ընդունման համար հիմք հանդիսացող ՀՀ Սահմանադրության կամ օրենքների դրույթները, ինչպես նաև կառավարության ծրագրի համապատասխան կետը) </w:t>
            </w:r>
          </w:p>
          <w:p w:rsidR="0068680D" w:rsidRPr="00BC61ED" w:rsidRDefault="0068680D" w:rsidP="00F47DC4">
            <w:pPr>
              <w:spacing w:after="0" w:line="276" w:lineRule="auto"/>
              <w:rPr>
                <w:sz w:val="20"/>
                <w:szCs w:val="20"/>
                <w:lang w:val="hy-AM"/>
              </w:rPr>
            </w:pPr>
            <w:r w:rsidRPr="00BC61ED">
              <w:rPr>
                <w:rFonts w:eastAsia="Times New Roman"/>
                <w:sz w:val="20"/>
                <w:szCs w:val="20"/>
                <w:lang w:val="hy-AM"/>
              </w:rPr>
              <w:t xml:space="preserve">ՀՀ տարածքների  համաչափ զարգացմանը միտված հարթակի շահագործումը </w:t>
            </w:r>
            <w:r w:rsidRPr="00BC61ED">
              <w:rPr>
                <w:sz w:val="20"/>
                <w:szCs w:val="20"/>
                <w:lang w:val="hy-AM"/>
              </w:rPr>
              <w:t>բխում է ստորև ներկայացված իրավական հիմքերից.</w:t>
            </w:r>
          </w:p>
          <w:p w:rsidR="0068680D" w:rsidRPr="00BC61ED" w:rsidRDefault="0068680D" w:rsidP="0068680D">
            <w:pPr>
              <w:pStyle w:val="ListParagraph"/>
              <w:numPr>
                <w:ilvl w:val="0"/>
                <w:numId w:val="131"/>
              </w:numPr>
              <w:spacing w:after="0" w:line="276" w:lineRule="auto"/>
              <w:ind w:left="720" w:firstLine="0"/>
              <w:rPr>
                <w:rFonts w:cs="Sylfaen"/>
                <w:i/>
                <w:color w:val="000000"/>
                <w:sz w:val="20"/>
                <w:szCs w:val="20"/>
                <w:lang w:val="hy-AM"/>
              </w:rPr>
            </w:pPr>
            <w:r w:rsidRPr="00BC61ED">
              <w:rPr>
                <w:rFonts w:cs="Sylfaen"/>
                <w:i/>
                <w:color w:val="000000"/>
                <w:sz w:val="20"/>
                <w:szCs w:val="20"/>
                <w:lang w:val="hy-AM"/>
              </w:rPr>
              <w:t>ՀՀ կառավարության 2016 թվականի հուլիսի 29-ի N29 արձանագրային որոշմամբ հավանության արժանացած Հայաստանի Հանրապետության</w:t>
            </w:r>
            <w:r w:rsidRPr="00BC61ED">
              <w:rPr>
                <w:rFonts w:ascii="Calibri" w:hAnsi="Calibri" w:cs="Calibri"/>
                <w:i/>
                <w:color w:val="000000"/>
                <w:sz w:val="20"/>
                <w:szCs w:val="20"/>
                <w:lang w:val="hy-AM"/>
              </w:rPr>
              <w:t> </w:t>
            </w:r>
            <w:r w:rsidRPr="00BC61ED">
              <w:rPr>
                <w:rFonts w:cs="Sylfaen"/>
                <w:i/>
                <w:color w:val="000000"/>
                <w:sz w:val="20"/>
                <w:szCs w:val="20"/>
                <w:lang w:val="hy-AM"/>
              </w:rPr>
              <w:t>2016-2025</w:t>
            </w:r>
            <w:r w:rsidRPr="00BC61ED">
              <w:rPr>
                <w:rFonts w:ascii="Calibri" w:hAnsi="Calibri" w:cs="Calibri"/>
                <w:i/>
                <w:color w:val="000000"/>
                <w:sz w:val="20"/>
                <w:szCs w:val="20"/>
                <w:lang w:val="hy-AM"/>
              </w:rPr>
              <w:t> </w:t>
            </w:r>
            <w:r w:rsidRPr="00BC61ED">
              <w:rPr>
                <w:rFonts w:cs="Sylfaen"/>
                <w:i/>
                <w:color w:val="000000"/>
                <w:sz w:val="20"/>
                <w:szCs w:val="20"/>
                <w:lang w:val="hy-AM"/>
              </w:rPr>
              <w:t>թվականների տարածքային զարգացման ռազմավարություն:</w:t>
            </w:r>
          </w:p>
          <w:p w:rsidR="0068680D" w:rsidRPr="00BC61ED" w:rsidRDefault="0068680D" w:rsidP="0068680D">
            <w:pPr>
              <w:numPr>
                <w:ilvl w:val="0"/>
                <w:numId w:val="131"/>
              </w:numPr>
              <w:spacing w:after="0" w:line="276" w:lineRule="auto"/>
              <w:jc w:val="both"/>
              <w:rPr>
                <w:rFonts w:eastAsia="Times New Roman"/>
                <w:i/>
                <w:sz w:val="20"/>
                <w:szCs w:val="20"/>
                <w:lang w:val="hy-AM"/>
              </w:rPr>
            </w:pP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6.1 բաժին</w:t>
            </w:r>
          </w:p>
          <w:p w:rsidR="0068680D" w:rsidRPr="00BC61ED" w:rsidRDefault="0068680D" w:rsidP="00F47DC4">
            <w:pPr>
              <w:spacing w:after="0" w:line="276" w:lineRule="auto"/>
              <w:ind w:firstLine="375"/>
              <w:rPr>
                <w:rFonts w:eastAsia="Times New Roman"/>
                <w:b/>
                <w:i/>
                <w:sz w:val="20"/>
                <w:szCs w:val="20"/>
                <w:lang w:val="hy-AM"/>
              </w:rPr>
            </w:pPr>
            <w:r w:rsidRPr="00BC61ED">
              <w:rPr>
                <w:rFonts w:eastAsia="Times New Roman"/>
                <w:b/>
                <w:sz w:val="20"/>
                <w:szCs w:val="20"/>
                <w:lang w:val="hy-AM"/>
              </w:rPr>
              <w:t>1.1.</w:t>
            </w:r>
            <w:r w:rsidRPr="00BC61ED">
              <w:rPr>
                <w:rFonts w:eastAsia="Times New Roman"/>
                <w:sz w:val="20"/>
                <w:szCs w:val="20"/>
                <w:lang w:val="hy-AM"/>
              </w:rPr>
              <w:t xml:space="preserve"> </w:t>
            </w:r>
            <w:r w:rsidRPr="00BC61ED">
              <w:rPr>
                <w:rFonts w:eastAsia="Times New Roman"/>
                <w:b/>
                <w:i/>
                <w:sz w:val="20"/>
                <w:szCs w:val="20"/>
                <w:lang w:val="hy-AM"/>
              </w:rPr>
              <w:t xml:space="preserve">կարգավորման հարաբերությունների ներկա վիճակը և առկա խնդիրները (նշելով նաև ելակետային տվյալներ, եթե դրանք առկա են) </w:t>
            </w:r>
          </w:p>
          <w:p w:rsidR="0068680D" w:rsidRPr="00BC61ED" w:rsidRDefault="0068680D" w:rsidP="00F47DC4">
            <w:pPr>
              <w:spacing w:after="0" w:line="276" w:lineRule="auto"/>
              <w:ind w:firstLine="720"/>
              <w:rPr>
                <w:sz w:val="20"/>
                <w:szCs w:val="20"/>
                <w:lang w:val="hy-AM"/>
              </w:rPr>
            </w:pPr>
            <w:r w:rsidRPr="00BC61ED">
              <w:rPr>
                <w:rFonts w:cs="Sylfaen"/>
                <w:sz w:val="20"/>
                <w:szCs w:val="20"/>
                <w:lang w:val="hy-AM"/>
              </w:rPr>
              <w:t xml:space="preserve"> </w:t>
            </w:r>
            <w:r w:rsidRPr="00BC61ED">
              <w:rPr>
                <w:rFonts w:cs="Sylfaen"/>
                <w:sz w:val="20"/>
                <w:szCs w:val="20"/>
                <w:lang w:val="hy-AM"/>
              </w:rPr>
              <w:tab/>
              <w:t>Չնայած այն բանի, որ վերջին</w:t>
            </w:r>
            <w:r w:rsidRPr="00BC61ED">
              <w:rPr>
                <w:sz w:val="20"/>
                <w:szCs w:val="20"/>
                <w:lang w:val="af-ZA"/>
              </w:rPr>
              <w:t xml:space="preserve"> </w:t>
            </w:r>
            <w:r w:rsidRPr="00BC61ED">
              <w:rPr>
                <w:rFonts w:cs="Sylfaen"/>
                <w:sz w:val="20"/>
                <w:szCs w:val="20"/>
                <w:lang w:val="hy-AM"/>
              </w:rPr>
              <w:t>տասնամյակում</w:t>
            </w:r>
            <w:r w:rsidRPr="00BC61ED">
              <w:rPr>
                <w:sz w:val="20"/>
                <w:szCs w:val="20"/>
                <w:lang w:val="af-ZA"/>
              </w:rPr>
              <w:t xml:space="preserve"> </w:t>
            </w:r>
            <w:r w:rsidRPr="00BC61ED">
              <w:rPr>
                <w:rFonts w:cs="Sylfaen"/>
                <w:sz w:val="20"/>
                <w:szCs w:val="20"/>
                <w:lang w:val="hy-AM"/>
              </w:rPr>
              <w:t>ՀՀ</w:t>
            </w:r>
            <w:r w:rsidRPr="00BC61ED">
              <w:rPr>
                <w:sz w:val="20"/>
                <w:szCs w:val="20"/>
                <w:lang w:val="hy-AM"/>
              </w:rPr>
              <w:t xml:space="preserve"> տարածքների համաչափ զարգացմանը, համայնքների սոցիալ-տնտեսական կենսապայմանների բարելավմանն ու զարգացմանը միտված պետությունը վարում է ակտիվ քաղաքականություն և տարբեր ձևաչափերով իրականացնում է տարբեր ծրագրեր ինչպես պետական բյուջեից տրամադրվող միջոցների, այնպես էլ միջազգային կազմակերպությունների ֆինանսավորմամբ, այնուամենայնիվ դրանց արդյունքների և ընթացքի վերաբերյալ միասնական բազայի բացակայությունը հնարավորություն չի տալիս ամբողջական պատկեր կազմել այդ ուղղությամբ պետության կողմից վարվող քաղաքականության մասին: Մյուս կողմից համայնքներում տնտեսական ակտիվության խթանումը, փոքր և միջին բիզնես նախագծերի իրականացումը մշտապես լինելով  օրակարգային խնդիր կարիք ունի ինչպես ֆինանսավորման այլ միջոցների ներգրավման, այնպես էլ  ինֆորմացիոն աջակցության: Բացի այդ մարզերում առկա ռեսուրսների վերաբերյալ միասնական բազայի բացակայությունը դանդաղեցնում է մի շարք գործընթացներ ծրագրերի իրականացման փուլում՝ առաջացնելով երբեմն թե ժամանակի, թե ռեսուրսների կորուստ:  </w:t>
            </w:r>
          </w:p>
          <w:p w:rsidR="0068680D" w:rsidRPr="00BC61ED" w:rsidRDefault="0068680D" w:rsidP="00F47DC4">
            <w:pPr>
              <w:spacing w:after="0" w:line="276" w:lineRule="auto"/>
              <w:ind w:firstLine="375"/>
              <w:rPr>
                <w:b/>
                <w:bCs/>
                <w:i/>
                <w:sz w:val="20"/>
                <w:szCs w:val="20"/>
                <w:lang w:val="hy-AM"/>
              </w:rPr>
            </w:pPr>
            <w:r w:rsidRPr="00BC61ED">
              <w:rPr>
                <w:rFonts w:eastAsia="Times New Roman"/>
                <w:b/>
                <w:sz w:val="20"/>
                <w:szCs w:val="20"/>
                <w:lang w:val="hy-AM"/>
              </w:rPr>
              <w:t>1.2.</w:t>
            </w:r>
            <w:r w:rsidRPr="00BC61ED">
              <w:rPr>
                <w:rFonts w:eastAsia="Times New Roman"/>
                <w:sz w:val="20"/>
                <w:szCs w:val="20"/>
                <w:lang w:val="hy-AM"/>
              </w:rPr>
              <w:t xml:space="preserve"> </w:t>
            </w:r>
            <w:r w:rsidRPr="00BC61ED">
              <w:rPr>
                <w:rFonts w:eastAsia="Times New Roman"/>
                <w:b/>
                <w:i/>
                <w:sz w:val="20"/>
                <w:szCs w:val="20"/>
                <w:lang w:val="hy-AM"/>
              </w:rPr>
              <w:t xml:space="preserve">առկա խնդիրների առաջարկվող լուծումները (միջոցառումը </w:t>
            </w:r>
            <w:r w:rsidRPr="00BC61ED">
              <w:rPr>
                <w:b/>
                <w:bCs/>
                <w:i/>
                <w:sz w:val="20"/>
                <w:szCs w:val="20"/>
                <w:lang w:val="hy-AM"/>
              </w:rPr>
              <w:t xml:space="preserve">համակատարող ունենալու դեպքում </w:t>
            </w:r>
            <w:r w:rsidRPr="00BC61ED">
              <w:rPr>
                <w:rFonts w:eastAsia="Times New Roman"/>
                <w:b/>
                <w:i/>
                <w:sz w:val="20"/>
                <w:szCs w:val="20"/>
                <w:lang w:val="hy-AM"/>
              </w:rPr>
              <w:t xml:space="preserve">նշելով նաև համակատարողի </w:t>
            </w:r>
            <w:r w:rsidRPr="00BC61ED">
              <w:rPr>
                <w:b/>
                <w:bCs/>
                <w:i/>
                <w:sz w:val="20"/>
                <w:szCs w:val="20"/>
                <w:lang w:val="hy-AM"/>
              </w:rPr>
              <w:t>կողմից համապատասխան միջոցառման առնչությամբ կատարման ենթակա գործողությունները)</w:t>
            </w:r>
          </w:p>
          <w:p w:rsidR="0068680D" w:rsidRPr="00BC61ED" w:rsidRDefault="0068680D" w:rsidP="00F47DC4">
            <w:pPr>
              <w:spacing w:after="0" w:line="276" w:lineRule="auto"/>
              <w:ind w:firstLine="720"/>
              <w:rPr>
                <w:rFonts w:cs="Arial"/>
                <w:sz w:val="20"/>
                <w:szCs w:val="20"/>
                <w:lang w:val="hy-AM"/>
              </w:rPr>
            </w:pPr>
            <w:r w:rsidRPr="00BC61ED">
              <w:rPr>
                <w:sz w:val="20"/>
                <w:szCs w:val="20"/>
                <w:lang w:val="hy-AM"/>
              </w:rPr>
              <w:t xml:space="preserve">Վերոնշյալ խնդիրների լուծմանն ուղղված  ՀՀ տարածքային կառավարման և զարգացման նախարարությունը 2018 թվականին արդեն իսկ նախաձեռնել է </w:t>
            </w:r>
            <w:r w:rsidRPr="00BC61ED">
              <w:rPr>
                <w:rFonts w:eastAsia="Times New Roman"/>
                <w:sz w:val="20"/>
                <w:szCs w:val="20"/>
                <w:lang w:val="hy-AM"/>
              </w:rPr>
              <w:t>ՀՀ տարածքների  համաչափ զարգացմանը միտված հարթակի ստեղծման աշխատանքները:</w:t>
            </w:r>
            <w:r w:rsidRPr="00BC61ED">
              <w:rPr>
                <w:rFonts w:eastAsia="Times New Roman"/>
                <w:b/>
                <w:i/>
                <w:sz w:val="20"/>
                <w:szCs w:val="20"/>
                <w:lang w:val="hy-AM"/>
              </w:rPr>
              <w:t xml:space="preserve"> </w:t>
            </w:r>
            <w:r w:rsidRPr="00BC61ED">
              <w:rPr>
                <w:rFonts w:eastAsia="Times New Roman"/>
                <w:sz w:val="20"/>
                <w:szCs w:val="20"/>
                <w:lang w:val="hy-AM"/>
              </w:rPr>
              <w:t xml:space="preserve">Հարթակում կըդգրկվեն ՀՀ համայնքների սոցիալ-տնտեսական զարգացմանն ուղղված պետական աջակցությամբ, ինչպես նաև միջազգային կազմակերպությունների ֆինանսավորմամբ/համաֆինանսավորմամբ իրականացվող ծրագրերը, ՀՀ տարածքների  տնտեսական ակտիվությունը խթանելու, տեղական և օտարերկրյա ներդրումներ ներգրավելու նպատակով մարզային ներդրումային ծրագրերը՝ այդ թվում </w:t>
            </w:r>
            <w:r w:rsidRPr="00BC61ED">
              <w:rPr>
                <w:rFonts w:cs="Arial"/>
                <w:sz w:val="20"/>
                <w:szCs w:val="20"/>
                <w:lang w:val="hy-AM"/>
              </w:rPr>
              <w:t>Իմ քայլը հանուն մարզի համաժողովների շրջանակում ներկայացված</w:t>
            </w:r>
            <w:r w:rsidRPr="00BC61ED">
              <w:rPr>
                <w:rFonts w:eastAsia="Times New Roman"/>
                <w:sz w:val="20"/>
                <w:szCs w:val="20"/>
                <w:lang w:val="hy-AM"/>
              </w:rPr>
              <w:t xml:space="preserve">,  </w:t>
            </w:r>
            <w:r w:rsidRPr="00BC61ED">
              <w:rPr>
                <w:rFonts w:cs="Arial"/>
                <w:sz w:val="20"/>
                <w:szCs w:val="20"/>
                <w:lang w:val="hy-AM"/>
              </w:rPr>
              <w:t xml:space="preserve">ՀՀ մարզերում առկա ռեսուրսների վերաբերյալ ամբողջական բազան: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b/>
                <w:sz w:val="20"/>
                <w:szCs w:val="20"/>
                <w:lang w:val="hy-AM"/>
              </w:rPr>
              <w:t>2.</w:t>
            </w:r>
            <w:r w:rsidRPr="00BC61ED">
              <w:rPr>
                <w:rFonts w:eastAsia="Times New Roman"/>
                <w:sz w:val="20"/>
                <w:szCs w:val="20"/>
                <w:lang w:val="hy-AM"/>
              </w:rPr>
              <w:t xml:space="preserve"> </w:t>
            </w:r>
            <w:r w:rsidRPr="00BC61ED">
              <w:rPr>
                <w:rFonts w:ascii="Calibri" w:eastAsia="Times New Roman" w:hAnsi="Calibri" w:cs="Calibri"/>
                <w:sz w:val="20"/>
                <w:szCs w:val="20"/>
                <w:lang w:val="hy-AM"/>
              </w:rPr>
              <w:t> </w:t>
            </w:r>
            <w:r w:rsidRPr="00BC61ED">
              <w:rPr>
                <w:rFonts w:eastAsia="Times New Roman"/>
                <w:b/>
                <w:i/>
                <w:sz w:val="20"/>
                <w:szCs w:val="20"/>
                <w:lang w:val="hy-AM"/>
              </w:rPr>
              <w:t>Միջոցառման իրականացումից ակնկալվող արդյունքը</w:t>
            </w:r>
          </w:p>
          <w:p w:rsidR="0068680D" w:rsidRPr="00BC61ED" w:rsidRDefault="0068680D" w:rsidP="00F47DC4">
            <w:pPr>
              <w:spacing w:after="0" w:line="276" w:lineRule="auto"/>
              <w:rPr>
                <w:rFonts w:cs="Arial"/>
                <w:sz w:val="20"/>
                <w:szCs w:val="20"/>
                <w:lang w:val="hy-AM"/>
              </w:rPr>
            </w:pPr>
            <w:r w:rsidRPr="00BC61ED">
              <w:rPr>
                <w:rFonts w:eastAsia="Times New Roman"/>
                <w:sz w:val="20"/>
                <w:szCs w:val="20"/>
                <w:lang w:val="hy-AM"/>
              </w:rPr>
              <w:t xml:space="preserve">ՀՀ տարածքների  համաչափ զարգացմանը միտված հարթակի շահագործումը հնարավորություն կընձեռի ներկայացնել և գնահատել համայնքների համաչափ սոցիալ-տնտեսական զարգացման ուղղությամբ պետության կողմից վարվող քաղաքականությունը, </w:t>
            </w:r>
            <w:r w:rsidRPr="00BC61ED">
              <w:rPr>
                <w:rFonts w:cs="Arial"/>
                <w:sz w:val="20"/>
                <w:szCs w:val="20"/>
                <w:lang w:val="hy-AM"/>
              </w:rPr>
              <w:t>ենթակառուցվածքների և ՀՀ տարածքների համաչափ զարգացմանը միտված միջազգային կազմակերպությունների ֆինանսավորմամբ/ համաֆինանսավորմամբ իրականացվող ծրագրերը,</w:t>
            </w:r>
            <w:r w:rsidRPr="00BC61ED">
              <w:rPr>
                <w:rFonts w:eastAsia="Times New Roman"/>
                <w:sz w:val="20"/>
                <w:szCs w:val="20"/>
                <w:lang w:val="hy-AM"/>
              </w:rPr>
              <w:t xml:space="preserve"> պատկերացում կազմել ՀՀ մարզերում առկա ռեսուրսային պոտենցիալի մասին՝ նպատակաուղղված գործունեություն ծավալելու համար, </w:t>
            </w:r>
            <w:r w:rsidRPr="00BC61ED">
              <w:rPr>
                <w:rFonts w:cs="Arial"/>
                <w:sz w:val="20"/>
                <w:szCs w:val="20"/>
                <w:lang w:val="hy-AM"/>
              </w:rPr>
              <w:t xml:space="preserve">յուրաքանչյուր փորձառու կամ սկսնակ գործարարին  իր բիզնեսը ստեղծելու, վերագործարկելու, ընդլայնելու համար ներգրավել ֆինանսական միջոցներ, տեղեկանալ բիզնես գործունեության համար տրամադրվող պետական աջակցության գործող գործիքակազմի մասին: Բացի այդ, հարթակում Իմ քայլը հանուն մարզի համաժողովների շրջանակներում ներկայացվող ծրագրերի ներկայացումը  և պարբերական թարմացումը  կապահովի ացկացվող համաժողովների շարունակական արդյունքը երկարաժամկետ հեռանկարում: </w:t>
            </w: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3</w:t>
            </w:r>
          </w:p>
        </w:tc>
        <w:tc>
          <w:tcPr>
            <w:tcW w:w="10915" w:type="dxa"/>
            <w:shd w:val="clear" w:color="auto" w:fill="auto"/>
          </w:tcPr>
          <w:p w:rsidR="0068680D" w:rsidRPr="00BC61ED" w:rsidRDefault="0068680D" w:rsidP="00F47DC4">
            <w:pPr>
              <w:spacing w:after="0" w:line="276" w:lineRule="auto"/>
              <w:ind w:firstLine="720"/>
              <w:jc w:val="center"/>
              <w:rPr>
                <w:rFonts w:eastAsia="Times New Roman"/>
                <w:b/>
                <w:bCs/>
                <w:sz w:val="20"/>
                <w:szCs w:val="20"/>
                <w:lang w:val="hy-AM"/>
              </w:rPr>
            </w:pPr>
            <w:r w:rsidRPr="00BC61ED">
              <w:rPr>
                <w:rFonts w:eastAsia="Times New Roman"/>
                <w:b/>
                <w:bCs/>
                <w:sz w:val="20"/>
                <w:szCs w:val="20"/>
                <w:lang w:val="hy-AM"/>
              </w:rPr>
              <w:t>Վարչատարածքային բարեփոխումների շարունակականության ապահովում (3.1-3.3 միջոցառումներ)</w:t>
            </w:r>
          </w:p>
          <w:p w:rsidR="0068680D" w:rsidRPr="00BC61ED" w:rsidRDefault="0068680D" w:rsidP="00F47DC4">
            <w:pPr>
              <w:spacing w:after="0" w:line="276" w:lineRule="auto"/>
              <w:ind w:firstLine="375"/>
              <w:rPr>
                <w:rFonts w:eastAsia="Times New Roman"/>
                <w:sz w:val="20"/>
                <w:szCs w:val="20"/>
                <w:lang w:val="hy-AM"/>
              </w:rPr>
            </w:pPr>
            <w:r w:rsidRPr="00BC61ED">
              <w:rPr>
                <w:rFonts w:ascii="Calibri" w:eastAsia="Times New Roman" w:hAnsi="Calibri" w:cs="Calibri"/>
                <w:sz w:val="20"/>
                <w:szCs w:val="20"/>
                <w:lang w:val="hy-AM"/>
              </w:rPr>
              <w:t> </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1. Միջոցառման իրակացման անհրաժեշտությունը և նպատակը</w:t>
            </w:r>
          </w:p>
          <w:p w:rsidR="0068680D" w:rsidRPr="00BC61ED" w:rsidRDefault="0068680D" w:rsidP="00F47DC4">
            <w:pPr>
              <w:spacing w:after="0" w:line="276" w:lineRule="auto"/>
              <w:ind w:firstLine="425"/>
              <w:rPr>
                <w:sz w:val="20"/>
                <w:szCs w:val="20"/>
                <w:lang w:val="hy-AM"/>
              </w:rPr>
            </w:pPr>
            <w:r w:rsidRPr="00BC61ED">
              <w:rPr>
                <w:rFonts w:eastAsia="Times New Roman"/>
                <w:sz w:val="20"/>
                <w:szCs w:val="20"/>
                <w:lang w:val="hy-AM"/>
              </w:rPr>
              <w:t xml:space="preserve"> </w:t>
            </w:r>
            <w:r w:rsidRPr="00BC61ED">
              <w:rPr>
                <w:sz w:val="20"/>
                <w:szCs w:val="20"/>
                <w:lang w:val="hy-AM"/>
              </w:rPr>
              <w:t xml:space="preserve">Վարչատարածքային բարեփոխումներն ավարտին հասցնելու և լիազորությունների ապակենտրոնացման համար բարենպաստ միջավայր ստեղծելու նպատակով՝ անհրաժեշտություն է առաջացել շարունակել համայնքների միավորման գործընթացը: 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6.1 բաժնով նախատեսված հանձնառություններից:</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b/>
                <w:sz w:val="20"/>
                <w:szCs w:val="20"/>
                <w:lang w:val="hy-AM"/>
              </w:rPr>
              <w:t>1.1. կարգավորման հարաբերությունների ներկա վիճակը և առկա խնդիրները</w:t>
            </w:r>
            <w:r w:rsidRPr="00BC61ED">
              <w:rPr>
                <w:rFonts w:eastAsia="Times New Roman"/>
                <w:sz w:val="20"/>
                <w:szCs w:val="20"/>
                <w:lang w:val="hy-AM"/>
              </w:rPr>
              <w:t xml:space="preserve">              </w:t>
            </w:r>
          </w:p>
          <w:p w:rsidR="0068680D" w:rsidRPr="00BC61ED" w:rsidRDefault="0068680D" w:rsidP="00F47DC4">
            <w:pPr>
              <w:spacing w:after="0" w:line="276" w:lineRule="auto"/>
              <w:ind w:firstLine="425"/>
              <w:rPr>
                <w:sz w:val="20"/>
                <w:szCs w:val="20"/>
                <w:lang w:val="hy-AM"/>
              </w:rPr>
            </w:pPr>
            <w:r w:rsidRPr="00BC61ED">
              <w:rPr>
                <w:sz w:val="20"/>
                <w:szCs w:val="20"/>
                <w:lang w:val="hy-AM"/>
              </w:rPr>
              <w:t>Մինչ այս պահը գործընթացն իրականացվել է 3 փուլով.</w:t>
            </w:r>
          </w:p>
          <w:p w:rsidR="0068680D" w:rsidRPr="00BC61ED" w:rsidRDefault="0068680D" w:rsidP="00F47DC4">
            <w:pPr>
              <w:spacing w:after="0" w:line="276" w:lineRule="auto"/>
              <w:ind w:firstLine="425"/>
              <w:rPr>
                <w:sz w:val="20"/>
                <w:szCs w:val="20"/>
                <w:lang w:val="hy-AM"/>
              </w:rPr>
            </w:pPr>
            <w:r w:rsidRPr="00BC61ED">
              <w:rPr>
                <w:sz w:val="20"/>
                <w:szCs w:val="20"/>
                <w:lang w:val="hy-AM"/>
              </w:rPr>
              <w:t>1-ին փուլ՝ թվով 22 համայնքի միավորման արդյունքում ձևավորվեց 3 համայնք,</w:t>
            </w:r>
          </w:p>
          <w:p w:rsidR="0068680D" w:rsidRPr="00BC61ED" w:rsidRDefault="0068680D" w:rsidP="00F47DC4">
            <w:pPr>
              <w:spacing w:after="0" w:line="276" w:lineRule="auto"/>
              <w:ind w:firstLine="425"/>
              <w:rPr>
                <w:sz w:val="20"/>
                <w:szCs w:val="20"/>
                <w:lang w:val="hy-AM"/>
              </w:rPr>
            </w:pPr>
            <w:r w:rsidRPr="00BC61ED">
              <w:rPr>
                <w:sz w:val="20"/>
                <w:szCs w:val="20"/>
                <w:lang w:val="hy-AM"/>
              </w:rPr>
              <w:t>2-րդ փուլ՝ թվով 118 համայնքի միավորման արդյունքում ձևավորվեց 15 համայնք,</w:t>
            </w:r>
          </w:p>
          <w:p w:rsidR="0068680D" w:rsidRPr="00BC61ED" w:rsidRDefault="0068680D" w:rsidP="00F47DC4">
            <w:pPr>
              <w:spacing w:after="0" w:line="276" w:lineRule="auto"/>
              <w:ind w:firstLine="425"/>
              <w:rPr>
                <w:sz w:val="20"/>
                <w:szCs w:val="20"/>
                <w:lang w:val="hy-AM"/>
              </w:rPr>
            </w:pPr>
            <w:r w:rsidRPr="00BC61ED">
              <w:rPr>
                <w:sz w:val="20"/>
                <w:szCs w:val="20"/>
                <w:lang w:val="hy-AM"/>
              </w:rPr>
              <w:t>3-րդ փուլ՝ թվով 325 համայնքի միավորման արդյունքում ձևավորվեց 34 համայնք:</w:t>
            </w:r>
          </w:p>
          <w:p w:rsidR="0068680D" w:rsidRPr="00BC61ED" w:rsidRDefault="0068680D" w:rsidP="00F47DC4">
            <w:pPr>
              <w:spacing w:after="0" w:line="276" w:lineRule="auto"/>
              <w:ind w:firstLine="375"/>
              <w:rPr>
                <w:rFonts w:eastAsia="Times New Roman"/>
                <w:sz w:val="20"/>
                <w:szCs w:val="20"/>
                <w:lang w:val="hy-AM"/>
              </w:rPr>
            </w:pPr>
            <w:r w:rsidRPr="00BC61ED">
              <w:rPr>
                <w:sz w:val="20"/>
                <w:szCs w:val="20"/>
                <w:lang w:val="hy-AM"/>
              </w:rPr>
              <w:t>Այսպիսով, ներկայումս Հայաստանում առկա է թվով 502 համայնք (մինչ միավորումը՝ 915), որից 52-ը՝ միավորված համայնքներ են:</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1.2. առկա խնդիրների առաջարկվող լուծումները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Համայնքների միավորման հետագա ծրագրերն իրականացնելիս ավելի մեծ ուշադրություն և ժամանակ է տրամադրվելու շահառու համայնքների բնակչության իրազեկման աշխատանքներին, կազմակերպվելու են քննարկումներ, որոնց ընթացքում կպարզաբանվեն բնակչության կողմից բարձրացվող հարցերը, մտահոգությունները, միավորման գործընթացի արդյունքում ակնկալվող  ձեռքբերումները, ինչպես նաև կներկայացվեն արդեն միավորված համայնքներում ֆինանսական նոր հնարավորությունները, ինչի արդյունքում հնարավոր կլինի ունենալ համապատասխան համայնքային կառույցներ, ենթակառուցվածքներ, որոնք էապես կբարելավեն համայնքի սոցիալ-տնտեսական վիճակը: </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2. Միջոցառման իրականացումից ակնկալվող արդյունքը</w:t>
            </w:r>
          </w:p>
          <w:p w:rsidR="0068680D" w:rsidRPr="00BC61ED" w:rsidRDefault="0068680D" w:rsidP="00F47DC4">
            <w:pPr>
              <w:spacing w:after="0" w:line="276" w:lineRule="auto"/>
              <w:ind w:firstLine="375"/>
              <w:rPr>
                <w:sz w:val="20"/>
                <w:szCs w:val="20"/>
                <w:lang w:val="hy-AM"/>
              </w:rPr>
            </w:pPr>
            <w:r w:rsidRPr="00BC61ED">
              <w:rPr>
                <w:rFonts w:ascii="Calibri" w:eastAsia="Times New Roman" w:hAnsi="Calibri" w:cs="Calibri"/>
                <w:sz w:val="20"/>
                <w:szCs w:val="20"/>
                <w:lang w:val="hy-AM"/>
              </w:rPr>
              <w:t> </w:t>
            </w:r>
            <w:r w:rsidRPr="00BC61ED">
              <w:rPr>
                <w:sz w:val="20"/>
                <w:szCs w:val="20"/>
                <w:lang w:val="hy-AM"/>
              </w:rPr>
              <w:t>Միջոցառման իրականացման արդյուքում կապահովվի վարչատարածքային բարեփոխումների շարունակականությունը, ինչի ընթացքում 425-430 համայնքի միավորման արդյունքում կձևավորվի շուրջ 65-70 համայնք:</w:t>
            </w:r>
          </w:p>
          <w:p w:rsidR="0068680D" w:rsidRPr="00BC61ED" w:rsidRDefault="0068680D" w:rsidP="00F47DC4">
            <w:pPr>
              <w:spacing w:after="0" w:line="276" w:lineRule="auto"/>
              <w:ind w:firstLine="426"/>
              <w:rPr>
                <w:sz w:val="20"/>
                <w:szCs w:val="20"/>
                <w:lang w:val="hy-AM"/>
              </w:rPr>
            </w:pPr>
            <w:r w:rsidRPr="00BC61ED">
              <w:rPr>
                <w:sz w:val="20"/>
                <w:szCs w:val="20"/>
                <w:lang w:val="hy-AM"/>
              </w:rPr>
              <w:t>Միջոցառման իրականացումը լիազորությունների հետագա ապակենտրոնացման, համայնքի կառավարման արդյունավետության բարձրացման, ռեսուրսների համախմբման, առավել մրցակցային ավագանու ձևավորման, համայնքային ծրագրերի մշակման և իրականացման հնարավորությունների բարձրացման, բնակչությանը մատուցվող ծառայությունների քանակի ավելացման, որակի և մատչելիության բարձրացման կարևորագույն նախապայման կդառնա:</w:t>
            </w: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4.</w:t>
            </w:r>
          </w:p>
        </w:tc>
        <w:tc>
          <w:tcPr>
            <w:tcW w:w="10915" w:type="dxa"/>
            <w:shd w:val="clear" w:color="auto" w:fill="auto"/>
          </w:tcPr>
          <w:p w:rsidR="0068680D" w:rsidRPr="00BC61ED" w:rsidRDefault="0068680D" w:rsidP="00F47DC4">
            <w:pPr>
              <w:spacing w:after="0" w:line="276" w:lineRule="auto"/>
              <w:ind w:firstLine="375"/>
              <w:jc w:val="center"/>
              <w:rPr>
                <w:rFonts w:eastAsia="Times New Roman"/>
                <w:b/>
                <w:bCs/>
                <w:sz w:val="20"/>
                <w:szCs w:val="20"/>
                <w:lang w:val="hy-AM"/>
              </w:rPr>
            </w:pPr>
            <w:r w:rsidRPr="00BC61ED">
              <w:rPr>
                <w:rFonts w:eastAsia="Times New Roman"/>
                <w:b/>
                <w:bCs/>
                <w:sz w:val="20"/>
                <w:szCs w:val="20"/>
                <w:lang w:val="hy-AM"/>
              </w:rPr>
              <w:t>Լիազորությունների ապակենտրոնացում (4.1-4.2 միջոցառումներ)</w:t>
            </w:r>
          </w:p>
          <w:p w:rsidR="0068680D" w:rsidRPr="00BC61ED" w:rsidRDefault="0068680D" w:rsidP="00F47DC4">
            <w:pPr>
              <w:spacing w:after="0" w:line="276" w:lineRule="auto"/>
              <w:ind w:firstLine="375"/>
              <w:rPr>
                <w:rFonts w:eastAsia="Times New Roman"/>
                <w:b/>
                <w:bCs/>
                <w:sz w:val="20"/>
                <w:szCs w:val="20"/>
                <w:lang w:val="hy-AM"/>
              </w:rPr>
            </w:pP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1. Միջոցառման իրակացման անհրաժեշտությունը և նպատակը</w:t>
            </w:r>
          </w:p>
          <w:p w:rsidR="0068680D" w:rsidRPr="00BC61ED" w:rsidRDefault="0068680D" w:rsidP="00F47DC4">
            <w:pPr>
              <w:spacing w:after="0" w:line="276" w:lineRule="auto"/>
              <w:ind w:firstLine="425"/>
              <w:rPr>
                <w:sz w:val="20"/>
                <w:szCs w:val="20"/>
                <w:lang w:val="hy-AM"/>
              </w:rPr>
            </w:pPr>
            <w:r w:rsidRPr="00BC61ED">
              <w:rPr>
                <w:rFonts w:eastAsia="Times New Roman"/>
                <w:sz w:val="20"/>
                <w:szCs w:val="20"/>
                <w:lang w:val="hy-AM"/>
              </w:rPr>
              <w:t xml:space="preserve"> </w:t>
            </w:r>
            <w:r w:rsidRPr="00BC61ED">
              <w:rPr>
                <w:sz w:val="20"/>
                <w:szCs w:val="20"/>
                <w:lang w:val="hy-AM"/>
              </w:rPr>
              <w:t xml:space="preserve">Միջոցառման իրականացումը հնարավորություն կընձեռի ծավալելու ապակենտրոնացման քաղաքականության խորացում և դրա արդյունքում տեղական ինքնակառավարման մարմիններին նոր լիազորությունների փոխանցում: 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6.1 բաժնով նախատեսված հանձնառություններից:</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b/>
                <w:sz w:val="20"/>
                <w:szCs w:val="20"/>
                <w:lang w:val="hy-AM"/>
              </w:rPr>
              <w:t>1.1. կարգավորման հարաբերությունների ներկա վիճակը և առկա խնդիրները</w:t>
            </w:r>
            <w:r w:rsidRPr="00BC61ED">
              <w:rPr>
                <w:rFonts w:eastAsia="Times New Roman"/>
                <w:sz w:val="20"/>
                <w:szCs w:val="20"/>
                <w:lang w:val="hy-AM"/>
              </w:rPr>
              <w:t xml:space="preserve">              </w:t>
            </w:r>
          </w:p>
          <w:p w:rsidR="0068680D" w:rsidRPr="00BC61ED" w:rsidRDefault="0068680D" w:rsidP="00F47DC4">
            <w:pPr>
              <w:spacing w:after="0" w:line="276" w:lineRule="auto"/>
              <w:ind w:firstLine="375"/>
              <w:rPr>
                <w:rFonts w:eastAsia="Times New Roman"/>
                <w:sz w:val="20"/>
                <w:szCs w:val="20"/>
                <w:lang w:val="hy-AM"/>
              </w:rPr>
            </w:pPr>
            <w:r w:rsidRPr="00BC61ED">
              <w:rPr>
                <w:sz w:val="20"/>
                <w:szCs w:val="20"/>
                <w:lang w:val="hy-AM"/>
              </w:rPr>
              <w:t>Լիազորությունների ապակենտրոնացման համար լուրջ խոչընդոտ էր հանդիսանում համայնքների մեծ թիվը և դրանց կարողությունների ցածր մակարդակը: Համայնքների միավորման և դրանց կարողությունների ամրապնդմանը միտված վարչատարածքային վերջին բարեփոխումներն արդեն ստեղծում են բավարար հիմքեր՝ լիազորությունների ապակենտրոնացում իրականացնելու համար:</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1.2. առկա խնդիրների առաջարկվող լուծումները</w:t>
            </w:r>
          </w:p>
          <w:p w:rsidR="0068680D" w:rsidRPr="00BC61ED" w:rsidRDefault="0068680D" w:rsidP="00F47DC4">
            <w:pPr>
              <w:spacing w:after="0" w:line="276" w:lineRule="auto"/>
              <w:ind w:firstLine="375"/>
              <w:rPr>
                <w:rFonts w:eastAsia="Times New Roman"/>
                <w:sz w:val="20"/>
                <w:szCs w:val="20"/>
                <w:lang w:val="hy-AM"/>
              </w:rPr>
            </w:pPr>
            <w:r w:rsidRPr="00BC61ED">
              <w:rPr>
                <w:sz w:val="20"/>
                <w:szCs w:val="20"/>
                <w:lang w:val="hy-AM"/>
              </w:rPr>
              <w:t xml:space="preserve">Հայաստանի Հանրապետությունում 2016 թվականին տեղական ինքնակառավարման ոլորտում իրականացված օրենսդրական փոփոխությունների արդյունքում համայնքների միավորումը հնարավորություն է ընձեռել  խորացնելու լիազորությունների ապակենտրոնացման քաղաքականությունը` նոր կազմավորված բազմաբնակավայր  համայնքներում տեղական ինքնակառավարման մարմիններին վերապահելով ավելի մեծ ծավալի լիազորություններ՝ մեծացնելով դրանց դերը հանրային կառավարման համակարգում: </w:t>
            </w:r>
            <w:r w:rsidRPr="00BC61ED">
              <w:rPr>
                <w:rFonts w:eastAsia="Times New Roman"/>
                <w:sz w:val="20"/>
                <w:szCs w:val="20"/>
                <w:lang w:val="hy-AM"/>
              </w:rPr>
              <w:t xml:space="preserve"> </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2. Միջոցառման իրականացումից ակնկալվող արդյունքը</w:t>
            </w:r>
          </w:p>
          <w:p w:rsidR="0068680D" w:rsidRPr="00BC61ED" w:rsidRDefault="0068680D" w:rsidP="00F47DC4">
            <w:pPr>
              <w:spacing w:after="0" w:line="276" w:lineRule="auto"/>
              <w:ind w:firstLine="375"/>
              <w:rPr>
                <w:sz w:val="20"/>
                <w:szCs w:val="20"/>
                <w:lang w:val="hy-AM"/>
              </w:rPr>
            </w:pPr>
            <w:r w:rsidRPr="00BC61ED">
              <w:rPr>
                <w:rFonts w:ascii="Calibri" w:eastAsia="Times New Roman" w:hAnsi="Calibri" w:cs="Calibri"/>
                <w:sz w:val="20"/>
                <w:szCs w:val="20"/>
                <w:lang w:val="hy-AM"/>
              </w:rPr>
              <w:t> </w:t>
            </w:r>
            <w:r w:rsidRPr="00BC61ED">
              <w:rPr>
                <w:sz w:val="20"/>
                <w:szCs w:val="20"/>
                <w:lang w:val="hy-AM"/>
              </w:rPr>
              <w:t>Օրենսդրորեն տեղական ինքնակառավարման մարմիններին կփոխանցվեն նոր լիազորություններ, ինչի արդյունքում կբարձրանան տեղական ինքնակառավարման արդյունավետությունը և բնակչությանը մատուցվող համայնքային ծառայությունների որակն ու մատչելիությունը:</w:t>
            </w: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5.</w:t>
            </w:r>
          </w:p>
        </w:tc>
        <w:tc>
          <w:tcPr>
            <w:tcW w:w="10915" w:type="dxa"/>
            <w:shd w:val="clear" w:color="auto" w:fill="auto"/>
          </w:tcPr>
          <w:p w:rsidR="0068680D" w:rsidRPr="00BC61ED" w:rsidRDefault="0068680D" w:rsidP="00F47DC4">
            <w:pPr>
              <w:spacing w:after="0" w:line="276" w:lineRule="auto"/>
              <w:ind w:firstLine="426"/>
              <w:jc w:val="center"/>
              <w:rPr>
                <w:b/>
                <w:bCs/>
                <w:sz w:val="20"/>
                <w:szCs w:val="20"/>
                <w:lang w:val="hy-AM"/>
              </w:rPr>
            </w:pPr>
            <w:r w:rsidRPr="00BC61ED">
              <w:rPr>
                <w:b/>
                <w:sz w:val="20"/>
                <w:szCs w:val="20"/>
                <w:lang w:val="hy-AM"/>
              </w:rPr>
              <w:t xml:space="preserve">Համայնքների միավորմանը զուգընթաց՝ անցում տեղական ինքնակառավարման մարմինների համամասնական ընտրակարգին </w:t>
            </w:r>
            <w:r w:rsidRPr="00BC61ED">
              <w:rPr>
                <w:b/>
                <w:bCs/>
                <w:sz w:val="20"/>
                <w:szCs w:val="20"/>
                <w:lang w:val="hy-AM"/>
              </w:rPr>
              <w:t>(5.1-5.2 միջոցառումներ)</w:t>
            </w:r>
          </w:p>
          <w:p w:rsidR="0068680D" w:rsidRPr="00BC61ED" w:rsidRDefault="0068680D" w:rsidP="00F47DC4">
            <w:pPr>
              <w:spacing w:after="0" w:line="276" w:lineRule="auto"/>
              <w:ind w:firstLine="426"/>
              <w:rPr>
                <w:b/>
                <w:sz w:val="20"/>
                <w:szCs w:val="20"/>
                <w:lang w:val="hy-AM"/>
              </w:rPr>
            </w:pPr>
          </w:p>
          <w:p w:rsidR="0068680D" w:rsidRPr="00BC61ED" w:rsidRDefault="0068680D" w:rsidP="0068680D">
            <w:pPr>
              <w:pStyle w:val="ListParagraph"/>
              <w:numPr>
                <w:ilvl w:val="0"/>
                <w:numId w:val="132"/>
              </w:numPr>
              <w:spacing w:after="0" w:line="276" w:lineRule="auto"/>
              <w:rPr>
                <w:rFonts w:eastAsia="Times New Roman"/>
                <w:b/>
                <w:sz w:val="20"/>
                <w:szCs w:val="20"/>
              </w:rPr>
            </w:pPr>
            <w:r w:rsidRPr="00BC61ED">
              <w:rPr>
                <w:rFonts w:eastAsia="Times New Roman"/>
                <w:b/>
                <w:sz w:val="20"/>
                <w:szCs w:val="20"/>
                <w:lang w:val="hy-AM"/>
              </w:rPr>
              <w:t>Միջոցառման իրակացման անհրաժեշտությունը և նպատակը</w:t>
            </w:r>
          </w:p>
          <w:p w:rsidR="0068680D" w:rsidRPr="00BC61ED" w:rsidRDefault="0068680D" w:rsidP="00F47DC4">
            <w:pPr>
              <w:spacing w:after="0" w:line="276" w:lineRule="auto"/>
              <w:ind w:firstLine="375"/>
              <w:rPr>
                <w:sz w:val="20"/>
                <w:szCs w:val="20"/>
                <w:lang w:val="hy-AM"/>
              </w:rPr>
            </w:pPr>
            <w:r w:rsidRPr="00BC61ED">
              <w:rPr>
                <w:rFonts w:eastAsia="Times New Roman"/>
                <w:sz w:val="20"/>
                <w:szCs w:val="20"/>
              </w:rPr>
              <w:t xml:space="preserve">Համաձայն Հայաստանի Հանրապետության Սահմանադրության 2015թ. փոփոխությունների 181-րդ հոդվածի 1-ին մասի՝ ընտրական օրենսգրքով կարող են սահմանվել համայնքի ղեկավարի ուղղակի կամ անուղղակի ընտրություն: Նշված սահմանադրական նորմի հիման վրա 25.05.2016թ. ընդունված «Հայաստանի Հանրապետության ընտրական օրենսգիրք» սահմանադրական օրենքով սահմանվեցին համայնքի ավագանու երկու տարբեր ընտրակարգեր: Համամասնական ընտրակարգ՝ որը վերաբերում է միայն Երևան քաղաքի և Գյումրի, Վանաձոր համայնքների ավագանիներին, և մեծամասնական ընտրակարգ, որը վերաբերում է Հայաստանի Հանրապետության մնացած բոլոր համայնքներին: </w:t>
            </w:r>
            <w:r w:rsidRPr="00BC61ED">
              <w:rPr>
                <w:sz w:val="20"/>
                <w:szCs w:val="20"/>
                <w:lang w:val="hy-AM"/>
              </w:rPr>
              <w:t xml:space="preserve">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6.1 բաժնով նախատեսված հանձնառություններից:</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b/>
                <w:sz w:val="20"/>
                <w:szCs w:val="20"/>
                <w:lang w:val="hy-AM"/>
              </w:rPr>
              <w:t>1.1. կարգավորման հարաբերությունների ներկա վիճակը և առկա խնդիրները</w:t>
            </w:r>
            <w:r w:rsidRPr="00BC61ED">
              <w:rPr>
                <w:rFonts w:eastAsia="Times New Roman"/>
                <w:sz w:val="20"/>
                <w:szCs w:val="20"/>
                <w:lang w:val="hy-AM"/>
              </w:rPr>
              <w:t xml:space="preserve">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  Ընտրական օրենսգրքով, Գյումրի և Վանաձոր համայնքների ավագանիների մասով համամասնական ընտրակարգի անցումով պայմանավորված, համապատասխան փոփոխություններ և լրացումներ կատարվեցին նաև «Տեղական ինքնակառավարման մասին» Հայաստանի Հանրապետության օրենքում: Մասնավորապես՝ 16.12.2016թ. ընդունված և 2017 թվականի հունվարի 1-ից ուժի մեջ մտած «Տեղական ինքնակառավարման մասին» Հայաստանի Հանրապետության օրենքի (նոր խմբագրությամբ) 5-րդ գլխով սահմանվեցին տեղական ինքնակառավարման առանձնահատկությունները Գյումրի և Վանաձոր համայնքներում: Վերը նշված գլխի շրջանակներում, ամրագրվեց նաև համայնքի ղեկավարի անուղղակի ընտրության կառուցակարգերը, այն է՝ համայնքի ավագանու կողմից համայնքի ղեկավար ընտրելու մեխանիզմները:</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1.2. առկա խնդիրների առաջարկվող լուծումները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Նախատեսվում  է, որպեսզի նույն սկզբունքը, որը ընդունված է Երևան, Գյումրի և Վանաձոր համայնքներում  տեղական ինքնակառավարման մարմինների ձևավորման մասով, կիրառվի նաև 4000-ից ավելի ընտրող ունեցող  համայնքերում: Նախատեսվում է անցնել 4000-ից ավելի ընտրող ունեցող համայնքի ավագանու ընտրության ամբողջական համամասնական ընտրակարգի և համապատասխանաբար համայնքի ղեկավարի ընտրության մասով՝ անուղղակի ընտրակարգի:</w:t>
            </w:r>
          </w:p>
          <w:p w:rsidR="0068680D" w:rsidRPr="00BC61ED" w:rsidRDefault="0068680D" w:rsidP="0068680D">
            <w:pPr>
              <w:pStyle w:val="ListParagraph"/>
              <w:numPr>
                <w:ilvl w:val="0"/>
                <w:numId w:val="132"/>
              </w:numPr>
              <w:spacing w:after="0" w:line="276" w:lineRule="auto"/>
              <w:rPr>
                <w:rFonts w:eastAsia="Times New Roman"/>
                <w:b/>
                <w:sz w:val="20"/>
                <w:szCs w:val="20"/>
                <w:lang w:val="ru-RU"/>
              </w:rPr>
            </w:pPr>
            <w:r w:rsidRPr="00BC61ED">
              <w:rPr>
                <w:rFonts w:eastAsia="Times New Roman"/>
                <w:b/>
                <w:sz w:val="20"/>
                <w:szCs w:val="20"/>
                <w:lang w:val="hy-AM"/>
              </w:rPr>
              <w:t>Միջոցառման իրականացումից ակնկալվող արդյունքը</w:t>
            </w:r>
          </w:p>
          <w:p w:rsidR="0068680D" w:rsidRPr="00BC61ED" w:rsidRDefault="0068680D" w:rsidP="00F47DC4">
            <w:pPr>
              <w:spacing w:after="0" w:line="276" w:lineRule="auto"/>
              <w:ind w:firstLine="375"/>
              <w:rPr>
                <w:rFonts w:eastAsia="Times New Roman" w:cs="Sylfaen"/>
                <w:sz w:val="20"/>
                <w:szCs w:val="20"/>
                <w:lang w:val="hy-AM"/>
              </w:rPr>
            </w:pPr>
            <w:r w:rsidRPr="00BC61ED">
              <w:rPr>
                <w:rFonts w:eastAsia="Times New Roman" w:cs="Sylfaen"/>
                <w:sz w:val="20"/>
                <w:szCs w:val="20"/>
                <w:lang w:val="hy-AM"/>
              </w:rPr>
              <w:t>ՀՀ 4000-ից ավելի ընտրող ունեցող  համայնքների ղեկավարների մասով կգործի համայնքի ավագանու կողմից վերջինիս անվստահություն հայտնելու ինստիտուտը: Այն ոչ միայն կհանդիսանա որպես փոխզսպման մեխանիզմ ավագանու և համայնքի ղեկավարի փոխհարաբերություններում, այլև հնարավորություն կընձեռի լիարժեքորեն ապահովելու սահմանադրական նորմի իրացումը, այն է՝ «Համայնքի ղեկավարը պատասխանատու է համայնքի ավագանու առջև» (ՀՀ Սահմանադրության 182-րդ հոդվածի 4-րդ մաս): 4000-ից ավելի ընտրող ունեցող համայնքներում անցում կկատարվի համայնքի ավագանու ընտրության ամբողջական համամասնական ընտրակարգի, որով օրենսդրական մակարդակով համայնքի ներկայացուցչական մարմնի համար կընձեռվեն մրցակցային պայմաններ, կապահովվի լայն  քաղաքական ներգրավվածություն և ուժերի հարաբերակցություն: Այն լրացուցիչ խթան կհանդիսանա Հայաստանի Հանրապետության տեղական ինքնակառավարման համակարգում՝ համայնքի ավագանու ինստիտուտի զարգացման մասով:</w:t>
            </w: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6.</w:t>
            </w:r>
          </w:p>
        </w:tc>
        <w:tc>
          <w:tcPr>
            <w:tcW w:w="10915"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Միջհամայնքային համագործակցության տարբեր ձևերի ներդրում</w:t>
            </w:r>
          </w:p>
          <w:p w:rsidR="0068680D" w:rsidRPr="00BC61ED" w:rsidRDefault="0068680D" w:rsidP="00F47DC4">
            <w:pPr>
              <w:spacing w:after="0" w:line="276" w:lineRule="auto"/>
              <w:jc w:val="center"/>
              <w:rPr>
                <w:b/>
                <w:sz w:val="20"/>
                <w:szCs w:val="20"/>
                <w:lang w:val="hy-AM"/>
              </w:rPr>
            </w:pPr>
            <w:r w:rsidRPr="00BC61ED">
              <w:rPr>
                <w:b/>
                <w:sz w:val="20"/>
                <w:szCs w:val="20"/>
                <w:lang w:val="hy-AM"/>
              </w:rPr>
              <w:t>(6.1-6.2 միջոցառումներ)</w:t>
            </w:r>
          </w:p>
          <w:p w:rsidR="0068680D" w:rsidRPr="00BC61ED" w:rsidRDefault="0068680D" w:rsidP="00F47DC4">
            <w:pPr>
              <w:spacing w:after="0" w:line="276" w:lineRule="auto"/>
              <w:jc w:val="center"/>
              <w:rPr>
                <w:b/>
                <w:sz w:val="20"/>
                <w:szCs w:val="20"/>
                <w:lang w:val="hy-AM"/>
              </w:rPr>
            </w:pPr>
          </w:p>
          <w:p w:rsidR="0068680D" w:rsidRPr="00BC61ED" w:rsidRDefault="0068680D" w:rsidP="00F47DC4">
            <w:pPr>
              <w:spacing w:after="0" w:line="276" w:lineRule="auto"/>
              <w:ind w:firstLine="426"/>
              <w:rPr>
                <w:b/>
                <w:sz w:val="20"/>
                <w:szCs w:val="20"/>
                <w:lang w:val="hy-AM"/>
              </w:rPr>
            </w:pPr>
            <w:r w:rsidRPr="00BC61ED">
              <w:rPr>
                <w:b/>
                <w:sz w:val="20"/>
                <w:szCs w:val="20"/>
                <w:lang w:val="hy-AM"/>
              </w:rPr>
              <w:t>1.</w:t>
            </w:r>
            <w:r w:rsidRPr="00BC61ED">
              <w:rPr>
                <w:b/>
                <w:sz w:val="20"/>
                <w:szCs w:val="20"/>
                <w:lang w:val="hy-AM"/>
              </w:rPr>
              <w:tab/>
              <w:t>Միջոցառման անհրաժեշտությունը և նպատակը</w:t>
            </w:r>
          </w:p>
          <w:p w:rsidR="0068680D" w:rsidRPr="00BC61ED" w:rsidRDefault="0068680D" w:rsidP="00F47DC4">
            <w:pPr>
              <w:spacing w:after="0" w:line="276" w:lineRule="auto"/>
              <w:ind w:firstLine="375"/>
              <w:rPr>
                <w:sz w:val="20"/>
                <w:szCs w:val="20"/>
                <w:lang w:val="hy-AM"/>
              </w:rPr>
            </w:pPr>
            <w:r w:rsidRPr="00BC61ED">
              <w:rPr>
                <w:sz w:val="20"/>
                <w:szCs w:val="20"/>
                <w:lang w:val="hy-AM"/>
              </w:rPr>
              <w:t xml:space="preserve">«Տեղական ինքնակառավարման մասին» օրենքի 9-րդ գլխում նկարագրվում է միջհամայնքային համագործակցության ձևերից մեկը՝ միջհամայնքային միավորումները: 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6.1 բաժնով նախատեսված հանձնառություններից:</w:t>
            </w:r>
          </w:p>
          <w:p w:rsidR="0068680D" w:rsidRPr="00BC61ED" w:rsidRDefault="0068680D" w:rsidP="00F47DC4">
            <w:pPr>
              <w:spacing w:after="0" w:line="276" w:lineRule="auto"/>
              <w:ind w:firstLine="426"/>
              <w:rPr>
                <w:sz w:val="20"/>
                <w:szCs w:val="20"/>
                <w:lang w:val="hy-AM"/>
              </w:rPr>
            </w:pPr>
            <w:r w:rsidRPr="00BC61ED">
              <w:rPr>
                <w:b/>
                <w:sz w:val="20"/>
                <w:szCs w:val="20"/>
                <w:lang w:val="hy-AM"/>
              </w:rPr>
              <w:t>1.1</w:t>
            </w:r>
            <w:r w:rsidRPr="00BC61ED">
              <w:rPr>
                <w:sz w:val="20"/>
                <w:szCs w:val="20"/>
                <w:lang w:val="hy-AM"/>
              </w:rPr>
              <w:t xml:space="preserve"> </w:t>
            </w:r>
            <w:r w:rsidRPr="00BC61ED">
              <w:rPr>
                <w:rFonts w:eastAsia="Times New Roman"/>
                <w:b/>
                <w:sz w:val="20"/>
                <w:szCs w:val="20"/>
                <w:lang w:val="hy-AM"/>
              </w:rPr>
              <w:t>կարգավորման հարաբերությունների ներկա վիճակը և առկա խնդիրները</w:t>
            </w:r>
            <w:r w:rsidRPr="00BC61ED">
              <w:rPr>
                <w:sz w:val="20"/>
                <w:szCs w:val="20"/>
                <w:lang w:val="hy-AM"/>
              </w:rPr>
              <w:t xml:space="preserve"> </w:t>
            </w:r>
          </w:p>
          <w:p w:rsidR="0068680D" w:rsidRPr="00BC61ED" w:rsidRDefault="0068680D" w:rsidP="00F47DC4">
            <w:pPr>
              <w:spacing w:after="0" w:line="276" w:lineRule="auto"/>
              <w:ind w:firstLine="426"/>
              <w:rPr>
                <w:sz w:val="20"/>
                <w:szCs w:val="20"/>
                <w:lang w:val="hy-AM"/>
              </w:rPr>
            </w:pPr>
            <w:r w:rsidRPr="00BC61ED">
              <w:rPr>
                <w:sz w:val="20"/>
                <w:szCs w:val="20"/>
                <w:lang w:val="hy-AM"/>
              </w:rPr>
              <w:t>Սակայն, առկա են միջհամայնքային համագործակցության այլ ձևեր ևս` ասոցիացիաներ, կոմիտեներ, աշխատանքային միություններ, հանրային-իրավական համաձայնություն, նպատակային միություններ, համատեղ վարչական մարմիններ և այլն:</w:t>
            </w:r>
          </w:p>
          <w:p w:rsidR="0068680D" w:rsidRPr="00BC61ED" w:rsidRDefault="0068680D" w:rsidP="00F47DC4">
            <w:pPr>
              <w:spacing w:after="0" w:line="276" w:lineRule="auto"/>
              <w:ind w:firstLine="426"/>
              <w:rPr>
                <w:sz w:val="20"/>
                <w:szCs w:val="20"/>
                <w:lang w:val="hy-AM"/>
              </w:rPr>
            </w:pPr>
            <w:r w:rsidRPr="00BC61ED">
              <w:rPr>
                <w:b/>
                <w:sz w:val="20"/>
                <w:szCs w:val="20"/>
                <w:lang w:val="hy-AM"/>
              </w:rPr>
              <w:t xml:space="preserve">1.2 </w:t>
            </w:r>
            <w:r w:rsidRPr="00BC61ED">
              <w:rPr>
                <w:rFonts w:eastAsia="Times New Roman"/>
                <w:b/>
                <w:sz w:val="20"/>
                <w:szCs w:val="20"/>
                <w:lang w:val="hy-AM"/>
              </w:rPr>
              <w:t>առկա խնդիրների առաջարկվող լուծումները</w:t>
            </w:r>
            <w:r w:rsidRPr="00BC61ED">
              <w:rPr>
                <w:sz w:val="20"/>
                <w:szCs w:val="20"/>
                <w:lang w:val="hy-AM"/>
              </w:rPr>
              <w:t xml:space="preserve"> </w:t>
            </w:r>
          </w:p>
          <w:p w:rsidR="0068680D" w:rsidRPr="00BC61ED" w:rsidRDefault="0068680D" w:rsidP="00F47DC4">
            <w:pPr>
              <w:spacing w:after="0" w:line="276" w:lineRule="auto"/>
              <w:ind w:firstLine="426"/>
              <w:rPr>
                <w:sz w:val="20"/>
                <w:szCs w:val="20"/>
                <w:lang w:val="hy-AM"/>
              </w:rPr>
            </w:pPr>
            <w:r w:rsidRPr="00BC61ED">
              <w:rPr>
                <w:sz w:val="20"/>
                <w:szCs w:val="20"/>
                <w:lang w:val="hy-AM"/>
              </w:rPr>
              <w:t>Առաջարկվում է «Տեղական ինքնակառավարման մասին» օրենքի 9-րդ գլուխը վերանվանել «Միջհամայնքային համագործակցություն» և ըստ այդմ այդ գլխում նկարագրել միջազգային պրակտիկայում առկա և միջհամայնքային համագործակցության Հայաստանի Հանրապետության օրենսդրությանը և կառավարման համակարգին համապատասխանող ձևերը:</w:t>
            </w:r>
          </w:p>
          <w:p w:rsidR="0068680D" w:rsidRPr="00BC61ED" w:rsidRDefault="0068680D" w:rsidP="00F47DC4">
            <w:pPr>
              <w:spacing w:after="0" w:line="276" w:lineRule="auto"/>
              <w:ind w:firstLine="426"/>
              <w:rPr>
                <w:b/>
                <w:sz w:val="20"/>
                <w:szCs w:val="20"/>
                <w:lang w:val="hy-AM"/>
              </w:rPr>
            </w:pPr>
            <w:r w:rsidRPr="00BC61ED">
              <w:rPr>
                <w:b/>
                <w:sz w:val="20"/>
                <w:szCs w:val="20"/>
                <w:lang w:val="hy-AM"/>
              </w:rPr>
              <w:t>2.</w:t>
            </w:r>
            <w:r w:rsidRPr="00BC61ED">
              <w:rPr>
                <w:b/>
                <w:sz w:val="20"/>
                <w:szCs w:val="20"/>
                <w:lang w:val="hy-AM"/>
              </w:rPr>
              <w:tab/>
              <w:t>Ակնկալվող արդյունքը</w:t>
            </w:r>
          </w:p>
          <w:p w:rsidR="0068680D" w:rsidRPr="00BC61ED" w:rsidRDefault="0068680D" w:rsidP="00F47DC4">
            <w:pPr>
              <w:spacing w:after="0" w:line="276" w:lineRule="auto"/>
              <w:jc w:val="center"/>
              <w:rPr>
                <w:b/>
                <w:sz w:val="20"/>
                <w:szCs w:val="20"/>
                <w:lang w:val="hy-AM"/>
              </w:rPr>
            </w:pPr>
            <w:r w:rsidRPr="00BC61ED">
              <w:rPr>
                <w:sz w:val="20"/>
                <w:szCs w:val="20"/>
                <w:lang w:val="hy-AM"/>
              </w:rPr>
              <w:tab/>
              <w:t>Արդյունքում՝ համայնքների համար օրենսդրորեն հնարավորություն կընձեռնվի ընտրելու իրենց առջև դրված նպատակներին համապատասխանող միջհամայնքային համագործակցության ձևեր:</w:t>
            </w:r>
            <w:r w:rsidRPr="00BC61ED">
              <w:rPr>
                <w:sz w:val="20"/>
                <w:szCs w:val="20"/>
                <w:lang w:val="hy-AM"/>
              </w:rPr>
              <w:tab/>
            </w: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7.</w:t>
            </w:r>
          </w:p>
        </w:tc>
        <w:tc>
          <w:tcPr>
            <w:tcW w:w="10915" w:type="dxa"/>
            <w:shd w:val="clear" w:color="auto" w:fill="auto"/>
          </w:tcPr>
          <w:p w:rsidR="0068680D" w:rsidRPr="00BC61ED" w:rsidRDefault="0068680D" w:rsidP="00F47DC4">
            <w:pPr>
              <w:spacing w:after="0" w:line="276" w:lineRule="auto"/>
              <w:ind w:firstLine="426"/>
              <w:jc w:val="center"/>
              <w:rPr>
                <w:b/>
                <w:sz w:val="20"/>
                <w:szCs w:val="20"/>
                <w:lang w:val="hy-AM"/>
              </w:rPr>
            </w:pPr>
            <w:r w:rsidRPr="00BC61ED">
              <w:rPr>
                <w:b/>
                <w:sz w:val="20"/>
                <w:szCs w:val="20"/>
                <w:lang w:val="hy-AM"/>
              </w:rPr>
              <w:t>Միավորված բազմաբնակավայր համայնքներում տեղեկատվական համակարգերի ներդրում, քաղաքացիներին տրամադրվող վարչական ծառայությունների որակի բարելավում (7.1-7.2 միջոցառումներ)</w:t>
            </w:r>
          </w:p>
          <w:p w:rsidR="0068680D" w:rsidRPr="00BC61ED" w:rsidRDefault="0068680D" w:rsidP="00F47DC4">
            <w:pPr>
              <w:spacing w:after="0" w:line="276" w:lineRule="auto"/>
              <w:ind w:firstLine="426"/>
              <w:rPr>
                <w:b/>
                <w:sz w:val="20"/>
                <w:szCs w:val="20"/>
                <w:lang w:val="hy-AM"/>
              </w:rPr>
            </w:pPr>
            <w:r w:rsidRPr="00BC61ED">
              <w:rPr>
                <w:b/>
                <w:sz w:val="20"/>
                <w:szCs w:val="20"/>
                <w:lang w:val="hy-AM"/>
              </w:rPr>
              <w:t>1.</w:t>
            </w:r>
            <w:r w:rsidRPr="00BC61ED">
              <w:rPr>
                <w:b/>
                <w:sz w:val="20"/>
                <w:szCs w:val="20"/>
                <w:lang w:val="hy-AM"/>
              </w:rPr>
              <w:tab/>
              <w:t>Միջոցառման անհրաժեշտությունը և նպատակը</w:t>
            </w:r>
          </w:p>
          <w:p w:rsidR="0068680D" w:rsidRPr="00BC61ED" w:rsidRDefault="0068680D" w:rsidP="00F47DC4">
            <w:pPr>
              <w:spacing w:after="0" w:line="276" w:lineRule="auto"/>
              <w:ind w:firstLine="375"/>
              <w:rPr>
                <w:sz w:val="20"/>
                <w:szCs w:val="20"/>
                <w:lang w:val="hy-AM"/>
              </w:rPr>
            </w:pPr>
            <w:r w:rsidRPr="00BC61ED">
              <w:rPr>
                <w:sz w:val="20"/>
                <w:szCs w:val="20"/>
                <w:lang w:val="hy-AM"/>
              </w:rPr>
              <w:t xml:space="preserve">Միջոցառման իրականացման անհրաժեշտությունը բխում է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«6.1 Տարածքային կառավարումը և տեղական ինքակառավարումը» կետի՝ վարչատարածքային բարեփոխումներին վերաբերող ենթակետից  (« - կշարունակվեն միավորված բազմաբնակավայր համայնքներում կառավարման տեղեկատվական համակարգերի, «մեկ պատուհան» սկզբունքով քաղաքացիների սպասարկման գրասենյակների ներդրման աշխատանքները»): </w:t>
            </w:r>
          </w:p>
          <w:p w:rsidR="0068680D" w:rsidRPr="00BC61ED" w:rsidRDefault="0068680D" w:rsidP="00F47DC4">
            <w:pPr>
              <w:spacing w:after="0" w:line="276" w:lineRule="auto"/>
              <w:ind w:firstLine="426"/>
              <w:rPr>
                <w:sz w:val="20"/>
                <w:szCs w:val="20"/>
                <w:lang w:val="hy-AM"/>
              </w:rPr>
            </w:pPr>
            <w:r w:rsidRPr="00BC61ED">
              <w:rPr>
                <w:b/>
                <w:sz w:val="20"/>
                <w:szCs w:val="20"/>
                <w:lang w:val="hy-AM"/>
              </w:rPr>
              <w:t>1.1</w:t>
            </w:r>
            <w:r w:rsidRPr="00BC61ED">
              <w:rPr>
                <w:sz w:val="20"/>
                <w:szCs w:val="20"/>
                <w:lang w:val="hy-AM"/>
              </w:rPr>
              <w:t xml:space="preserve"> </w:t>
            </w:r>
            <w:r w:rsidRPr="00BC61ED">
              <w:rPr>
                <w:rFonts w:eastAsia="Times New Roman"/>
                <w:b/>
                <w:sz w:val="20"/>
                <w:szCs w:val="20"/>
                <w:lang w:val="hy-AM"/>
              </w:rPr>
              <w:t>կարգավորման հարաբերությունների ներկա վիճակը և առկա խնդիրները</w:t>
            </w:r>
            <w:r w:rsidRPr="00BC61ED">
              <w:rPr>
                <w:sz w:val="20"/>
                <w:szCs w:val="20"/>
                <w:lang w:val="hy-AM"/>
              </w:rPr>
              <w:t xml:space="preserve"> </w:t>
            </w:r>
          </w:p>
          <w:p w:rsidR="0068680D" w:rsidRPr="00BC61ED" w:rsidRDefault="0068680D" w:rsidP="00F47DC4">
            <w:pPr>
              <w:spacing w:after="0" w:line="276" w:lineRule="auto"/>
              <w:ind w:firstLine="425"/>
              <w:rPr>
                <w:sz w:val="20"/>
                <w:szCs w:val="20"/>
                <w:lang w:val="hy-AM"/>
              </w:rPr>
            </w:pPr>
            <w:r w:rsidRPr="00BC61ED">
              <w:rPr>
                <w:sz w:val="20"/>
                <w:szCs w:val="20"/>
                <w:lang w:val="hy-AM"/>
              </w:rPr>
              <w:t xml:space="preserve">Համայնքների միավորման պարագայում, ի թիվս այլ խնդիրների, անհրաժեշտություն է առաջանում քայլեր ձեռնարկել ՏԻՄ-երի կողմից տրամադրվող վարչական ծառայությունների որակի բարելավման և դրանք՝ միավորված բազմաբնակավայր համայնքի կազմի մեջ մտնող բոլոր բնակավայրերի համար հավասարապես հասանելի ուղղությամբ: </w:t>
            </w:r>
          </w:p>
          <w:p w:rsidR="0068680D" w:rsidRPr="00BC61ED" w:rsidRDefault="0068680D" w:rsidP="00F47DC4">
            <w:pPr>
              <w:spacing w:after="0" w:line="276" w:lineRule="auto"/>
              <w:ind w:firstLine="426"/>
              <w:rPr>
                <w:sz w:val="20"/>
                <w:szCs w:val="20"/>
                <w:lang w:val="hy-AM"/>
              </w:rPr>
            </w:pPr>
            <w:r w:rsidRPr="00BC61ED">
              <w:rPr>
                <w:sz w:val="20"/>
                <w:szCs w:val="20"/>
                <w:lang w:val="hy-AM"/>
              </w:rPr>
              <w:t xml:space="preserve">Ներկա դրությամբ միավորված համայնքների թիվը հանրապետությունում 52 է: Համայնքային կառավարման տեղեկատվական համակարգ (ՀԿՏՀ) ներդրված է դրանցից 37-ում, քաղաքացիների սպասարկման գրասենյակներ ունեն միավորված համայնքներից 33-ը:  </w:t>
            </w:r>
          </w:p>
          <w:p w:rsidR="0068680D" w:rsidRPr="00BC61ED" w:rsidRDefault="0068680D" w:rsidP="00F47DC4">
            <w:pPr>
              <w:spacing w:after="0" w:line="276" w:lineRule="auto"/>
              <w:ind w:firstLine="426"/>
              <w:rPr>
                <w:sz w:val="20"/>
                <w:szCs w:val="20"/>
                <w:lang w:val="hy-AM"/>
              </w:rPr>
            </w:pPr>
            <w:r w:rsidRPr="00BC61ED">
              <w:rPr>
                <w:b/>
                <w:sz w:val="20"/>
                <w:szCs w:val="20"/>
                <w:lang w:val="hy-AM"/>
              </w:rPr>
              <w:t xml:space="preserve">1.2 </w:t>
            </w:r>
            <w:r w:rsidRPr="00BC61ED">
              <w:rPr>
                <w:rFonts w:eastAsia="Times New Roman"/>
                <w:b/>
                <w:sz w:val="20"/>
                <w:szCs w:val="20"/>
                <w:lang w:val="hy-AM"/>
              </w:rPr>
              <w:t>առկա խնդիրների առաջարկվող լուծումները</w:t>
            </w:r>
            <w:r w:rsidRPr="00BC61ED">
              <w:rPr>
                <w:sz w:val="20"/>
                <w:szCs w:val="20"/>
                <w:lang w:val="hy-AM"/>
              </w:rPr>
              <w:t xml:space="preserve"> </w:t>
            </w:r>
          </w:p>
          <w:p w:rsidR="0068680D" w:rsidRPr="00BC61ED" w:rsidRDefault="0068680D" w:rsidP="00F47DC4">
            <w:pPr>
              <w:spacing w:after="0" w:line="276" w:lineRule="auto"/>
              <w:ind w:firstLine="426"/>
              <w:rPr>
                <w:sz w:val="20"/>
                <w:szCs w:val="20"/>
                <w:lang w:val="hy-AM"/>
              </w:rPr>
            </w:pPr>
            <w:r w:rsidRPr="00BC61ED">
              <w:rPr>
                <w:sz w:val="20"/>
                <w:szCs w:val="20"/>
                <w:lang w:val="hy-AM"/>
              </w:rPr>
              <w:t>Միավորված համայնքներում ՀԿՏՀ-ի և ՔՍԳ-ների ներդրման նպատակը</w:t>
            </w:r>
            <w:r w:rsidRPr="00BC61ED">
              <w:rPr>
                <w:b/>
                <w:sz w:val="20"/>
                <w:szCs w:val="20"/>
                <w:lang w:val="hy-AM"/>
              </w:rPr>
              <w:t xml:space="preserve"> </w:t>
            </w:r>
            <w:r w:rsidRPr="00BC61ED">
              <w:rPr>
                <w:sz w:val="20"/>
                <w:szCs w:val="20"/>
                <w:lang w:val="hy-AM"/>
              </w:rPr>
              <w:t xml:space="preserve">վարչական ծառայությունների որակի բարելավումն է, այդ ծառայությունների հասանելիության ընդլայնումը:  </w:t>
            </w:r>
          </w:p>
          <w:p w:rsidR="0068680D" w:rsidRPr="00BC61ED" w:rsidRDefault="0068680D" w:rsidP="00F47DC4">
            <w:pPr>
              <w:spacing w:after="0" w:line="276" w:lineRule="auto"/>
              <w:ind w:firstLine="426"/>
              <w:rPr>
                <w:b/>
                <w:sz w:val="20"/>
                <w:szCs w:val="20"/>
                <w:lang w:val="hy-AM"/>
              </w:rPr>
            </w:pPr>
            <w:r w:rsidRPr="00BC61ED">
              <w:rPr>
                <w:b/>
                <w:sz w:val="20"/>
                <w:szCs w:val="20"/>
                <w:lang w:val="hy-AM"/>
              </w:rPr>
              <w:t>2.</w:t>
            </w:r>
            <w:r w:rsidRPr="00BC61ED">
              <w:rPr>
                <w:b/>
                <w:sz w:val="20"/>
                <w:szCs w:val="20"/>
                <w:lang w:val="hy-AM"/>
              </w:rPr>
              <w:tab/>
              <w:t>Ակնկալվող արդյունքը</w:t>
            </w:r>
          </w:p>
          <w:p w:rsidR="0068680D" w:rsidRPr="00BC61ED" w:rsidRDefault="0068680D" w:rsidP="00F47DC4">
            <w:pPr>
              <w:spacing w:after="0" w:line="276" w:lineRule="auto"/>
              <w:ind w:firstLine="426"/>
              <w:rPr>
                <w:sz w:val="20"/>
                <w:szCs w:val="20"/>
                <w:lang w:val="hy-AM"/>
              </w:rPr>
            </w:pPr>
            <w:r w:rsidRPr="00BC61ED">
              <w:rPr>
                <w:sz w:val="20"/>
                <w:szCs w:val="20"/>
                <w:lang w:val="hy-AM"/>
              </w:rPr>
              <w:t xml:space="preserve">2019 թվականի ընթացքում ՀԿՏՀ կներդրվի միավորված համայնքներից 15-ում, իսկ քաղաքացիների սպասարկման գրասենյակներ կհիմնվեն այդ համայնքներից առնվազն 6-ում: </w:t>
            </w:r>
          </w:p>
          <w:p w:rsidR="0068680D" w:rsidRPr="00BC61ED" w:rsidRDefault="0068680D" w:rsidP="00F47DC4">
            <w:pPr>
              <w:spacing w:after="0" w:line="276" w:lineRule="auto"/>
              <w:ind w:firstLine="426"/>
              <w:rPr>
                <w:sz w:val="20"/>
                <w:szCs w:val="20"/>
                <w:lang w:val="hy-AM"/>
              </w:rPr>
            </w:pPr>
            <w:r w:rsidRPr="00BC61ED">
              <w:rPr>
                <w:sz w:val="20"/>
                <w:szCs w:val="20"/>
                <w:lang w:val="hy-AM"/>
              </w:rPr>
              <w:t xml:space="preserve">Այդպիսով, 2019 թվականի ավարտին ներկայումս գործող բոլոր 52 միավորված համայնքները ապահովված կլինեն ՀԿՏՀ-ով և ՔՍԳ-ներ կունենան դրանցից առնվազն 39-ը: Մնացած՝ առավելագույնը 13 համայնքներում ՔՍԳ-ները կհիմնվեն 2020-2023թթ. ընթացքում: </w:t>
            </w:r>
          </w:p>
          <w:p w:rsidR="0068680D" w:rsidRPr="00BC61ED" w:rsidRDefault="0068680D" w:rsidP="00F47DC4">
            <w:pPr>
              <w:spacing w:after="0" w:line="276" w:lineRule="auto"/>
              <w:ind w:firstLine="426"/>
              <w:rPr>
                <w:sz w:val="20"/>
                <w:szCs w:val="20"/>
                <w:lang w:val="hy-AM"/>
              </w:rPr>
            </w:pPr>
            <w:r w:rsidRPr="00BC61ED">
              <w:rPr>
                <w:sz w:val="20"/>
                <w:szCs w:val="20"/>
                <w:lang w:val="hy-AM"/>
              </w:rPr>
              <w:t>ՀԿՏՀ-ի կիրառությունը հնարավորություն կտա միավորված  համայնքին մեկ միասնական տեղեկատվական տարածության մեջ ներառել համայնքի կենտրոնի և բնակավայրերի վարչական ղեկավարների գրասենյակները՝ համայնքային ծառայությունները բնակիչների համար հավասարապես դարձնելով համայնքի բոլոր բնակավայրերում:</w:t>
            </w:r>
          </w:p>
          <w:p w:rsidR="0068680D" w:rsidRPr="00BC61ED" w:rsidRDefault="0068680D" w:rsidP="00F47DC4">
            <w:pPr>
              <w:spacing w:after="0" w:line="276" w:lineRule="auto"/>
              <w:ind w:firstLine="426"/>
              <w:rPr>
                <w:sz w:val="20"/>
                <w:szCs w:val="20"/>
                <w:lang w:val="hy-AM"/>
              </w:rPr>
            </w:pPr>
            <w:r w:rsidRPr="00BC61ED">
              <w:rPr>
                <w:sz w:val="20"/>
                <w:szCs w:val="20"/>
                <w:lang w:val="hy-AM"/>
              </w:rPr>
              <w:t xml:space="preserve">ՔՍԳ-ներում, «մեկ պատուհան, մեկ կանգառ» սկզբունքի կիրառման շնորհիվ, կբարելավվի քաղաքացիներին մատուցվող ծառայությունների որակը, կբարձրանա համայնքապետարանի աշխատանքի արդյունավետությունն ու թափանցիկությունը, կհեշտանան վարչական գործընթացները: </w:t>
            </w:r>
          </w:p>
          <w:p w:rsidR="0068680D" w:rsidRPr="00BC61ED" w:rsidRDefault="0068680D" w:rsidP="00F47DC4">
            <w:pPr>
              <w:spacing w:after="0" w:line="276" w:lineRule="auto"/>
              <w:ind w:firstLine="425"/>
              <w:rPr>
                <w:sz w:val="20"/>
                <w:szCs w:val="20"/>
                <w:lang w:val="hy-AM"/>
              </w:rPr>
            </w:pPr>
            <w:r w:rsidRPr="00BC61ED">
              <w:rPr>
                <w:sz w:val="20"/>
                <w:szCs w:val="20"/>
                <w:lang w:val="hy-AM"/>
              </w:rPr>
              <w:t xml:space="preserve">Ինչ վերաբերում է 2020-2023 թվականներին վերոնշյալ երկու ուղղություններով ակնկալվող վերջնական արդյունքներին, ապա դրանք կախված կլինեն վարչատարածքային բարեփոխումների հետագա ընթացքից և դրա արդյունքում ձևավորվելիք միավորված բազմաբնակավայր համայնքների թվից: Դրանց վերաբերյալ տեղեկատվությունը ՀՀ վարչապետի աշխատակազմ կներկայացվի ՀՀ վարչապետի 2019 թվականի մարտի 14-ի N 244-Լ որոշմամբ հաստատված հավելվածով սահմանված կարգի 6-րդ կետին համապատասխան:  </w:t>
            </w: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Pr>
                <w:b/>
                <w:sz w:val="20"/>
                <w:szCs w:val="20"/>
                <w:lang w:val="hy-AM"/>
              </w:rPr>
              <w:t>8</w:t>
            </w:r>
            <w:r w:rsidRPr="00BC61ED">
              <w:rPr>
                <w:b/>
                <w:sz w:val="20"/>
                <w:szCs w:val="20"/>
                <w:lang w:val="hy-AM"/>
              </w:rPr>
              <w:t>.</w:t>
            </w:r>
          </w:p>
        </w:tc>
        <w:tc>
          <w:tcPr>
            <w:tcW w:w="10915" w:type="dxa"/>
            <w:shd w:val="clear" w:color="auto" w:fill="auto"/>
          </w:tcPr>
          <w:p w:rsidR="0068680D" w:rsidRPr="00BC61ED" w:rsidRDefault="0068680D" w:rsidP="00F47DC4">
            <w:pPr>
              <w:spacing w:after="0" w:line="276" w:lineRule="auto"/>
              <w:ind w:firstLine="634"/>
              <w:jc w:val="center"/>
              <w:rPr>
                <w:rFonts w:cs="Sylfaen"/>
                <w:b/>
                <w:noProof/>
                <w:sz w:val="20"/>
                <w:szCs w:val="20"/>
                <w:lang w:val="hy-AM"/>
              </w:rPr>
            </w:pPr>
            <w:r w:rsidRPr="00BC61ED">
              <w:rPr>
                <w:b/>
                <w:sz w:val="20"/>
                <w:szCs w:val="20"/>
                <w:lang w:val="hy-AM"/>
              </w:rPr>
              <w:t>Համայնքային ծառայության համակարգի զարգացում</w:t>
            </w:r>
          </w:p>
          <w:p w:rsidR="0068680D" w:rsidRPr="00BC61ED" w:rsidRDefault="0068680D" w:rsidP="00F47DC4">
            <w:pPr>
              <w:spacing w:after="0" w:line="276" w:lineRule="auto"/>
              <w:ind w:firstLine="634"/>
              <w:rPr>
                <w:rFonts w:cs="Sylfaen"/>
                <w:b/>
                <w:noProof/>
                <w:sz w:val="20"/>
                <w:szCs w:val="20"/>
                <w:lang w:val="hy-AM"/>
              </w:rPr>
            </w:pPr>
          </w:p>
          <w:p w:rsidR="0068680D" w:rsidRPr="00BC61ED" w:rsidRDefault="0068680D" w:rsidP="00F47DC4">
            <w:pPr>
              <w:spacing w:after="0" w:line="276" w:lineRule="auto"/>
              <w:ind w:firstLine="634"/>
              <w:rPr>
                <w:rFonts w:cs="Sylfaen"/>
                <w:b/>
                <w:noProof/>
                <w:sz w:val="20"/>
                <w:szCs w:val="20"/>
                <w:lang w:val="hy-AM"/>
              </w:rPr>
            </w:pPr>
            <w:r>
              <w:rPr>
                <w:rFonts w:cs="Sylfaen"/>
                <w:b/>
                <w:noProof/>
                <w:sz w:val="20"/>
                <w:szCs w:val="20"/>
                <w:lang w:val="hy-AM"/>
              </w:rPr>
              <w:t>8</w:t>
            </w:r>
            <w:r w:rsidRPr="00BC61ED">
              <w:rPr>
                <w:rFonts w:cs="Sylfaen"/>
                <w:b/>
                <w:noProof/>
                <w:sz w:val="20"/>
                <w:szCs w:val="20"/>
                <w:lang w:val="hy-AM"/>
              </w:rPr>
              <w:t>.1 «Համայնքային ծառայության մասին» ՀՀ օրենքի նախագիծը վարչապետի աշխատակազմ ներկայացնելը</w:t>
            </w:r>
          </w:p>
          <w:p w:rsidR="0068680D" w:rsidRPr="00BC61ED" w:rsidRDefault="0068680D" w:rsidP="00F47DC4">
            <w:pPr>
              <w:spacing w:after="0" w:line="276" w:lineRule="auto"/>
              <w:ind w:firstLine="634"/>
              <w:rPr>
                <w:b/>
                <w:i/>
                <w:sz w:val="20"/>
                <w:szCs w:val="20"/>
                <w:u w:val="single"/>
                <w:lang w:val="hy-AM"/>
              </w:rPr>
            </w:pPr>
          </w:p>
          <w:p w:rsidR="0068680D" w:rsidRPr="00BC61ED" w:rsidRDefault="0068680D" w:rsidP="00F47DC4">
            <w:pPr>
              <w:spacing w:after="0" w:line="276" w:lineRule="auto"/>
              <w:ind w:firstLine="634"/>
              <w:rPr>
                <w:b/>
                <w:sz w:val="20"/>
                <w:szCs w:val="20"/>
                <w:lang w:val="hy-AM"/>
              </w:rPr>
            </w:pPr>
            <w:r w:rsidRPr="00BC61ED">
              <w:rPr>
                <w:b/>
                <w:sz w:val="20"/>
                <w:szCs w:val="20"/>
                <w:lang w:val="hy-AM"/>
              </w:rPr>
              <w:t>1.Իրավական ակտի անհրաժեշտությունը (նպատակ)</w:t>
            </w:r>
          </w:p>
          <w:p w:rsidR="0068680D" w:rsidRPr="00BC61ED" w:rsidRDefault="0068680D" w:rsidP="00F47DC4">
            <w:pPr>
              <w:spacing w:after="0" w:line="276" w:lineRule="auto"/>
              <w:ind w:firstLine="375"/>
              <w:rPr>
                <w:sz w:val="20"/>
                <w:szCs w:val="20"/>
                <w:lang w:val="hy-AM"/>
              </w:rPr>
            </w:pPr>
            <w:r w:rsidRPr="00BC61ED">
              <w:rPr>
                <w:sz w:val="20"/>
                <w:szCs w:val="20"/>
                <w:lang w:val="hy-AM"/>
              </w:rPr>
              <w:t xml:space="preserve">«Համայնքային ծառայության մասին» ՀՀ օրենքի նախագծի ընդունումը </w:t>
            </w:r>
            <w:r w:rsidRPr="00BC61ED">
              <w:rPr>
                <w:rFonts w:cs="Arial Armenian"/>
                <w:sz w:val="20"/>
                <w:szCs w:val="20"/>
                <w:lang w:val="hy-AM"/>
              </w:rPr>
              <w:t>պայմանավորված է համայնքային ծառայության մասին ՀՀ օրենսդրությամբ  նախատեսված  գործընթացների դիտարկման արդյունքներով  բացահայտված  խնդիրներին  լուծում  տալու,  ինչպես նաև  սույն օրենքով և &lt;&lt;Քաղաքացիական ծառայության մասին&gt;&gt; ՀՀ օրենքով սահմանված համանման գործընթացների համապատասխանեցման անհրաժեշտությամբ։</w:t>
            </w:r>
            <w:r w:rsidRPr="00BC61ED">
              <w:rPr>
                <w:sz w:val="20"/>
                <w:szCs w:val="20"/>
                <w:lang w:val="hy-AM"/>
              </w:rPr>
              <w:t xml:space="preserve"> 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6.1 բաժնով նախատեսված հանձնառություններից:</w:t>
            </w:r>
          </w:p>
          <w:p w:rsidR="0068680D" w:rsidRPr="00BC61ED" w:rsidRDefault="0068680D" w:rsidP="0068680D">
            <w:pPr>
              <w:numPr>
                <w:ilvl w:val="1"/>
                <w:numId w:val="129"/>
              </w:numPr>
              <w:spacing w:after="0" w:line="276" w:lineRule="auto"/>
              <w:ind w:right="-29"/>
              <w:jc w:val="both"/>
              <w:rPr>
                <w:b/>
                <w:sz w:val="20"/>
                <w:szCs w:val="20"/>
                <w:lang w:val="hy-AM"/>
              </w:rPr>
            </w:pPr>
            <w:r w:rsidRPr="00BC61ED">
              <w:rPr>
                <w:b/>
                <w:sz w:val="20"/>
                <w:szCs w:val="20"/>
                <w:lang w:val="hy-AM"/>
              </w:rPr>
              <w:t>Կարգավորման հարաբերությունների ներկա վիճակը և առկա խնդիրները</w:t>
            </w:r>
          </w:p>
          <w:p w:rsidR="0068680D" w:rsidRPr="00BC61ED" w:rsidRDefault="0068680D" w:rsidP="00F47DC4">
            <w:pPr>
              <w:spacing w:after="0" w:line="276" w:lineRule="auto"/>
              <w:ind w:firstLine="446"/>
              <w:rPr>
                <w:rFonts w:cs="Arial Armenian"/>
                <w:sz w:val="20"/>
                <w:szCs w:val="20"/>
                <w:lang w:val="hy-AM"/>
              </w:rPr>
            </w:pPr>
            <w:r w:rsidRPr="00BC61ED">
              <w:rPr>
                <w:rFonts w:cs="Arial Armenian"/>
                <w:sz w:val="20"/>
                <w:szCs w:val="20"/>
                <w:lang w:val="hy-AM"/>
              </w:rPr>
              <w:t>ՀՀ օրենսդրությամբ նախատեսված գործընթացների դիտարկման արդյունքներով բացահայտվել են մի շարք խնդիրներ, մասնավորապես`</w:t>
            </w:r>
          </w:p>
          <w:p w:rsidR="0068680D" w:rsidRPr="00BC61ED" w:rsidRDefault="0068680D" w:rsidP="00F47DC4">
            <w:pPr>
              <w:spacing w:after="0" w:line="276" w:lineRule="auto"/>
              <w:rPr>
                <w:rFonts w:cs="Arial Armenian"/>
                <w:sz w:val="20"/>
                <w:szCs w:val="20"/>
                <w:lang w:val="hy-AM"/>
              </w:rPr>
            </w:pPr>
            <w:r w:rsidRPr="00BC61ED">
              <w:rPr>
                <w:rFonts w:cs="Arial Armenian"/>
                <w:sz w:val="20"/>
                <w:szCs w:val="20"/>
                <w:lang w:val="hy-AM"/>
              </w:rPr>
              <w:t xml:space="preserve"> - համայնքային ծառայության թափուր պաշտոնների համալրման գործընթացում օրենսդրությամբ  սահմանված աշխատանքային փորձի չափանիշների կիրառման  հարցում. </w:t>
            </w:r>
          </w:p>
          <w:p w:rsidR="0068680D" w:rsidRPr="00BC61ED" w:rsidRDefault="0068680D" w:rsidP="00F47DC4">
            <w:pPr>
              <w:spacing w:after="0" w:line="276" w:lineRule="auto"/>
              <w:rPr>
                <w:rFonts w:cs="Arial Armenian"/>
                <w:sz w:val="20"/>
                <w:szCs w:val="20"/>
                <w:lang w:val="hy-AM"/>
              </w:rPr>
            </w:pPr>
            <w:r w:rsidRPr="00BC61ED">
              <w:rPr>
                <w:rFonts w:cs="Arial Armenian"/>
                <w:sz w:val="20"/>
                <w:szCs w:val="20"/>
                <w:lang w:val="hy-AM"/>
              </w:rPr>
              <w:t>- պետական մարմիններին վերապահված լիազորությունը համայնքին պատվիրակելու հետևանքով համայնքային</w:t>
            </w:r>
            <w:r w:rsidRPr="00BC61ED">
              <w:rPr>
                <w:rFonts w:ascii="Calibri" w:hAnsi="Calibri" w:cs="Calibri"/>
                <w:sz w:val="20"/>
                <w:szCs w:val="20"/>
                <w:lang w:val="hy-AM"/>
              </w:rPr>
              <w:t> </w:t>
            </w:r>
            <w:r w:rsidRPr="00BC61ED">
              <w:rPr>
                <w:rFonts w:cs="Arial Armenian"/>
                <w:sz w:val="20"/>
                <w:szCs w:val="20"/>
                <w:lang w:val="hy-AM"/>
              </w:rPr>
              <w:t>ծառայության պաշտոնների անվանացանկում ընդգրկված պաշտոնները Կառավարության կողմից նախատեսված լինելու դեպքում միավորվող համայնքներում  արտամրցութային կարգով համալրման հարցում.</w:t>
            </w:r>
          </w:p>
          <w:p w:rsidR="0068680D" w:rsidRPr="00BC61ED" w:rsidRDefault="0068680D" w:rsidP="00F47DC4">
            <w:pPr>
              <w:spacing w:after="0" w:line="276" w:lineRule="auto"/>
              <w:rPr>
                <w:b/>
                <w:sz w:val="20"/>
                <w:szCs w:val="20"/>
                <w:lang w:val="hy-AM"/>
              </w:rPr>
            </w:pPr>
            <w:r w:rsidRPr="00BC61ED">
              <w:rPr>
                <w:rFonts w:cs="Arial Armenian"/>
                <w:sz w:val="20"/>
                <w:szCs w:val="20"/>
                <w:lang w:val="hy-AM"/>
              </w:rPr>
              <w:tab/>
            </w:r>
            <w:r w:rsidRPr="00BC61ED">
              <w:rPr>
                <w:b/>
                <w:sz w:val="20"/>
                <w:szCs w:val="20"/>
                <w:lang w:val="hy-AM"/>
              </w:rPr>
              <w:t>1.2 Առկա խնդիրների համար առաջարկվող լուծումները</w:t>
            </w:r>
          </w:p>
          <w:p w:rsidR="0068680D" w:rsidRPr="00BC61ED" w:rsidRDefault="0068680D" w:rsidP="00F47DC4">
            <w:pPr>
              <w:spacing w:after="0" w:line="276" w:lineRule="auto"/>
              <w:ind w:right="-29" w:firstLine="446"/>
              <w:rPr>
                <w:rFonts w:cs="Arial"/>
                <w:sz w:val="20"/>
                <w:szCs w:val="20"/>
                <w:lang w:val="hy-AM"/>
              </w:rPr>
            </w:pPr>
            <w:r w:rsidRPr="00BC61ED">
              <w:rPr>
                <w:rFonts w:cs="Arial"/>
                <w:sz w:val="20"/>
                <w:szCs w:val="20"/>
                <w:lang w:val="hy-AM"/>
              </w:rPr>
              <w:t>Վերոնշյալ խնդիրներին լուծում տալու համար առաջարկվում է «Համայնքային ծառայության մասին» ՀՀ օրենքում կատարել համապատասխան փոփոխություններ։</w:t>
            </w:r>
          </w:p>
          <w:p w:rsidR="0068680D" w:rsidRPr="00BC61ED" w:rsidRDefault="0068680D" w:rsidP="00F47DC4">
            <w:pPr>
              <w:spacing w:after="0" w:line="276" w:lineRule="auto"/>
              <w:ind w:right="-29" w:firstLine="446"/>
              <w:rPr>
                <w:b/>
                <w:sz w:val="20"/>
                <w:szCs w:val="20"/>
                <w:lang w:val="af-ZA"/>
              </w:rPr>
            </w:pPr>
            <w:r w:rsidRPr="00BC61ED">
              <w:rPr>
                <w:b/>
                <w:sz w:val="20"/>
                <w:szCs w:val="20"/>
                <w:lang w:val="af-ZA"/>
              </w:rPr>
              <w:t xml:space="preserve">2. </w:t>
            </w:r>
            <w:r w:rsidRPr="00BC61ED">
              <w:rPr>
                <w:b/>
                <w:sz w:val="20"/>
                <w:szCs w:val="20"/>
                <w:lang w:val="hy-AM"/>
              </w:rPr>
              <w:t>Կարգավորման</w:t>
            </w:r>
            <w:r w:rsidRPr="00BC61ED">
              <w:rPr>
                <w:b/>
                <w:sz w:val="20"/>
                <w:szCs w:val="20"/>
                <w:lang w:val="af-ZA"/>
              </w:rPr>
              <w:t xml:space="preserve"> </w:t>
            </w:r>
            <w:r w:rsidRPr="00BC61ED">
              <w:rPr>
                <w:b/>
                <w:sz w:val="20"/>
                <w:szCs w:val="20"/>
                <w:lang w:val="hy-AM"/>
              </w:rPr>
              <w:t>առարկան</w:t>
            </w:r>
          </w:p>
          <w:p w:rsidR="0068680D" w:rsidRPr="00BC61ED" w:rsidRDefault="0068680D" w:rsidP="00F47DC4">
            <w:pPr>
              <w:spacing w:after="0" w:line="276" w:lineRule="auto"/>
              <w:ind w:firstLine="446"/>
              <w:rPr>
                <w:rFonts w:cs="Arial Armenian"/>
                <w:sz w:val="20"/>
                <w:szCs w:val="20"/>
                <w:lang w:val="hy-AM"/>
              </w:rPr>
            </w:pPr>
            <w:r w:rsidRPr="00BC61ED">
              <w:rPr>
                <w:rFonts w:cs="Arial Armenian"/>
                <w:sz w:val="20"/>
                <w:szCs w:val="20"/>
                <w:lang w:val="hy-AM"/>
              </w:rPr>
              <w:t>Ներկայացված օրենքի նախագծի նպատակը` «Համայնքային ծառայության մասին»  և «Քաղաքացիական ծառայության մասին» ՀՀ օրենքներով սահմանված համանման գործընթացների համապատասխանեցումն է, ինչպես նաև համայնքային ծառայության մասին ՀՀ օրենսդրությամբ նախատեսված գործընթացների դիտարկման արդյունքներով բացահայտված խնդիրներին լուծում տալը:</w:t>
            </w:r>
          </w:p>
          <w:p w:rsidR="0068680D" w:rsidRPr="00BC61ED" w:rsidRDefault="0068680D" w:rsidP="00F47DC4">
            <w:pPr>
              <w:spacing w:after="0" w:line="276" w:lineRule="auto"/>
              <w:ind w:right="-29" w:firstLine="446"/>
              <w:rPr>
                <w:b/>
                <w:sz w:val="20"/>
                <w:szCs w:val="20"/>
                <w:lang w:val="hy-AM"/>
              </w:rPr>
            </w:pPr>
            <w:r w:rsidRPr="00BC61ED">
              <w:rPr>
                <w:b/>
                <w:sz w:val="20"/>
                <w:szCs w:val="20"/>
                <w:lang w:val="hy-AM"/>
              </w:rPr>
              <w:t>3. Իրավական ակտի կիրառման դեպքում ակնկալվող արդյունքը.</w:t>
            </w:r>
          </w:p>
          <w:p w:rsidR="0068680D" w:rsidRPr="00BC61ED" w:rsidRDefault="0068680D" w:rsidP="00F47DC4">
            <w:pPr>
              <w:spacing w:after="0" w:line="276" w:lineRule="auto"/>
              <w:rPr>
                <w:rFonts w:cs="Arial Armenian"/>
                <w:sz w:val="20"/>
                <w:szCs w:val="20"/>
                <w:lang w:val="hy-AM"/>
              </w:rPr>
            </w:pPr>
            <w:r w:rsidRPr="00BC61ED">
              <w:rPr>
                <w:rFonts w:cs="Arial Armenian"/>
                <w:sz w:val="20"/>
                <w:szCs w:val="20"/>
                <w:lang w:val="hy-AM"/>
              </w:rPr>
              <w:t>Նախագծի ընդունմամբ ակնկալվում է.</w:t>
            </w:r>
          </w:p>
          <w:p w:rsidR="0068680D" w:rsidRPr="00BC61ED" w:rsidRDefault="0068680D" w:rsidP="00F47DC4">
            <w:pPr>
              <w:spacing w:after="0" w:line="276" w:lineRule="auto"/>
              <w:rPr>
                <w:rFonts w:cs="Arial Armenian"/>
                <w:sz w:val="20"/>
                <w:szCs w:val="20"/>
                <w:lang w:val="hy-AM"/>
              </w:rPr>
            </w:pPr>
            <w:r w:rsidRPr="00BC61ED">
              <w:rPr>
                <w:rFonts w:cs="Arial Armenian"/>
                <w:sz w:val="20"/>
                <w:szCs w:val="20"/>
                <w:lang w:val="hy-AM"/>
              </w:rPr>
              <w:t xml:space="preserve"> </w:t>
            </w:r>
            <w:r w:rsidRPr="00BC61ED">
              <w:rPr>
                <w:rFonts w:cs="Arial Armenian"/>
                <w:sz w:val="20"/>
                <w:szCs w:val="20"/>
                <w:lang w:val="hy-AM"/>
              </w:rPr>
              <w:tab/>
              <w:t xml:space="preserve">- համայնքային ծառայության թափուր պաշտոններ զբաղեցնելու համար սահմանված աշխատանքային փորձի չափանիշների վերանայում և համայնքային ծառայության պաշտոնների համալրման գործընթացի դյուրացում. </w:t>
            </w:r>
          </w:p>
          <w:p w:rsidR="0068680D" w:rsidRDefault="0068680D" w:rsidP="00F47DC4">
            <w:pPr>
              <w:spacing w:after="0" w:line="276" w:lineRule="auto"/>
              <w:rPr>
                <w:rFonts w:cs="Arial Armenian"/>
                <w:sz w:val="20"/>
                <w:szCs w:val="20"/>
                <w:lang w:val="hy-AM"/>
              </w:rPr>
            </w:pPr>
            <w:r w:rsidRPr="00BC61ED">
              <w:rPr>
                <w:rFonts w:cs="Arial Armenian"/>
                <w:sz w:val="20"/>
                <w:szCs w:val="20"/>
                <w:lang w:val="hy-AM"/>
              </w:rPr>
              <w:tab/>
              <w:t>- պետական մարմիններին վերապահված լիազորությունը համայնքին պատվիրակելու հետևանքով համայնքային</w:t>
            </w:r>
            <w:r w:rsidRPr="00BC61ED">
              <w:rPr>
                <w:rFonts w:ascii="Calibri" w:hAnsi="Calibri" w:cs="Calibri"/>
                <w:sz w:val="20"/>
                <w:szCs w:val="20"/>
                <w:lang w:val="hy-AM"/>
              </w:rPr>
              <w:t> </w:t>
            </w:r>
            <w:r w:rsidRPr="00BC61ED">
              <w:rPr>
                <w:rFonts w:cs="Arial Armenian"/>
                <w:sz w:val="20"/>
                <w:szCs w:val="20"/>
                <w:lang w:val="hy-AM"/>
              </w:rPr>
              <w:t>ծառայության պաշտոնների անվանացանկում ընդգրկված պաշտոնները Կառավարության կողմից նախատեսված լինելու դեպքում արտամրցութային կարգով համալրելու հնարավորության ընձեռում:</w:t>
            </w:r>
          </w:p>
          <w:p w:rsidR="0068680D" w:rsidRDefault="0068680D" w:rsidP="00F47DC4">
            <w:pPr>
              <w:spacing w:after="0" w:line="276" w:lineRule="auto"/>
              <w:rPr>
                <w:rFonts w:cs="Arial Armenian"/>
                <w:sz w:val="20"/>
                <w:szCs w:val="20"/>
                <w:lang w:val="hy-AM"/>
              </w:rPr>
            </w:pPr>
          </w:p>
          <w:p w:rsidR="0068680D" w:rsidRPr="00C714BD" w:rsidRDefault="0068680D" w:rsidP="00F47DC4">
            <w:pPr>
              <w:spacing w:after="0" w:line="276" w:lineRule="auto"/>
              <w:ind w:firstLine="426"/>
              <w:jc w:val="center"/>
              <w:rPr>
                <w:rFonts w:cs="Sylfaen"/>
                <w:b/>
                <w:i/>
                <w:sz w:val="20"/>
                <w:szCs w:val="20"/>
                <w:u w:val="single"/>
                <w:lang w:val="hy-AM"/>
              </w:rPr>
            </w:pPr>
            <w:r w:rsidRPr="00D62B39">
              <w:rPr>
                <w:rFonts w:cs="Sylfaen"/>
                <w:b/>
                <w:i/>
                <w:noProof/>
                <w:sz w:val="20"/>
                <w:szCs w:val="20"/>
                <w:u w:val="single"/>
                <w:lang w:val="hy-AM"/>
              </w:rPr>
              <w:t>8</w:t>
            </w:r>
            <w:r w:rsidRPr="00C714BD">
              <w:rPr>
                <w:rFonts w:cs="Sylfaen"/>
                <w:b/>
                <w:i/>
                <w:noProof/>
                <w:sz w:val="20"/>
                <w:szCs w:val="20"/>
                <w:u w:val="single"/>
                <w:lang w:val="hy-AM"/>
              </w:rPr>
              <w:t>.2 Համայնքային ծառայողների վերապատրաստման գործընթացի կատարելագործում</w:t>
            </w:r>
          </w:p>
          <w:p w:rsidR="0068680D" w:rsidRPr="00C714BD" w:rsidRDefault="0068680D" w:rsidP="00F47DC4">
            <w:pPr>
              <w:spacing w:after="0" w:line="276" w:lineRule="auto"/>
              <w:jc w:val="center"/>
              <w:rPr>
                <w:b/>
                <w:sz w:val="20"/>
                <w:szCs w:val="20"/>
                <w:lang w:val="hy-AM"/>
              </w:rPr>
            </w:pPr>
          </w:p>
          <w:p w:rsidR="0068680D" w:rsidRPr="00C714BD" w:rsidRDefault="0068680D" w:rsidP="00F47DC4">
            <w:pPr>
              <w:spacing w:after="0" w:line="276" w:lineRule="auto"/>
              <w:ind w:left="426"/>
              <w:rPr>
                <w:b/>
                <w:sz w:val="20"/>
                <w:szCs w:val="20"/>
                <w:lang w:val="hy-AM"/>
              </w:rPr>
            </w:pPr>
            <w:r w:rsidRPr="00C714BD">
              <w:rPr>
                <w:b/>
                <w:sz w:val="20"/>
                <w:szCs w:val="20"/>
                <w:lang w:val="hy-AM"/>
              </w:rPr>
              <w:t>1. Իրավական ակտի անհրաժեշտությունը (նպատակ)</w:t>
            </w:r>
          </w:p>
          <w:p w:rsidR="0068680D" w:rsidRPr="00C714BD" w:rsidRDefault="0068680D" w:rsidP="00F47DC4">
            <w:pPr>
              <w:spacing w:after="0" w:line="276" w:lineRule="auto"/>
              <w:ind w:firstLine="426"/>
              <w:rPr>
                <w:sz w:val="20"/>
                <w:szCs w:val="20"/>
                <w:lang w:val="hy-AM"/>
              </w:rPr>
            </w:pPr>
            <w:r w:rsidRPr="00C714BD">
              <w:rPr>
                <w:sz w:val="20"/>
                <w:szCs w:val="20"/>
                <w:lang w:val="hy-AM"/>
              </w:rPr>
              <w:tab/>
              <w:t>Համայնքային ծառայողների վերապատրաստման կարիքների գնահատումը և դրա արդյունքներին համապատասխան  վերապատրաստման ծրագրի մշակումը պայմանավորված է համայնքային ծառայողների մասնագիտական գիտելիքների և աշխատանքային ունակությունների փոխանցման գործընթացի արդյունավետության բարձրացմամբ:</w:t>
            </w:r>
          </w:p>
          <w:p w:rsidR="0068680D" w:rsidRPr="00C714BD" w:rsidRDefault="0068680D" w:rsidP="0068680D">
            <w:pPr>
              <w:numPr>
                <w:ilvl w:val="1"/>
                <w:numId w:val="443"/>
              </w:numPr>
              <w:spacing w:after="0" w:line="276" w:lineRule="auto"/>
              <w:ind w:right="-29"/>
              <w:jc w:val="both"/>
              <w:rPr>
                <w:b/>
                <w:sz w:val="20"/>
                <w:szCs w:val="20"/>
                <w:lang w:val="hy-AM"/>
              </w:rPr>
            </w:pPr>
            <w:r w:rsidRPr="00C714BD">
              <w:rPr>
                <w:b/>
                <w:sz w:val="20"/>
                <w:szCs w:val="20"/>
                <w:lang w:val="hy-AM"/>
              </w:rPr>
              <w:t xml:space="preserve"> Կարգավորման հարաբերությունների ներկա վիճակը և առկա խնդիրները</w:t>
            </w:r>
          </w:p>
          <w:p w:rsidR="0068680D" w:rsidRPr="00C714BD" w:rsidRDefault="0068680D" w:rsidP="00F47DC4">
            <w:pPr>
              <w:spacing w:after="0" w:line="276" w:lineRule="auto"/>
              <w:ind w:firstLine="426"/>
              <w:rPr>
                <w:sz w:val="20"/>
                <w:szCs w:val="20"/>
                <w:lang w:val="hy-AM"/>
              </w:rPr>
            </w:pPr>
            <w:r w:rsidRPr="00C714BD">
              <w:rPr>
                <w:sz w:val="20"/>
                <w:szCs w:val="20"/>
                <w:lang w:val="hy-AM"/>
              </w:rPr>
              <w:t xml:space="preserve">Ներկայումս վերապատրաստման գործող ծրագրում ներառված են ընդհանուր թեմաներ, որոնց համաձայն իրականացվող վերապատրաստումները լիարժեքորեն չեն ապահովում համայնքային ծառայողների մասնագիտական վերապատրաստման կարիքները: </w:t>
            </w:r>
          </w:p>
          <w:p w:rsidR="0068680D" w:rsidRPr="00C714BD" w:rsidRDefault="0068680D" w:rsidP="00F47DC4">
            <w:pPr>
              <w:spacing w:after="0" w:line="276" w:lineRule="auto"/>
              <w:ind w:right="-29" w:firstLine="446"/>
              <w:rPr>
                <w:b/>
                <w:sz w:val="20"/>
                <w:szCs w:val="20"/>
                <w:lang w:val="hy-AM"/>
              </w:rPr>
            </w:pPr>
            <w:r w:rsidRPr="00C714BD">
              <w:rPr>
                <w:b/>
                <w:sz w:val="20"/>
                <w:szCs w:val="20"/>
                <w:lang w:val="hy-AM"/>
              </w:rPr>
              <w:t>1.2 Առկա խնդիրների համար առաջարկվող լուծումները</w:t>
            </w:r>
          </w:p>
          <w:p w:rsidR="0068680D" w:rsidRPr="00C714BD" w:rsidRDefault="0068680D" w:rsidP="00F47DC4">
            <w:pPr>
              <w:spacing w:after="0" w:line="276" w:lineRule="auto"/>
              <w:ind w:right="-29" w:firstLine="446"/>
              <w:rPr>
                <w:rFonts w:cs="Arial"/>
                <w:sz w:val="20"/>
                <w:szCs w:val="20"/>
                <w:lang w:val="hy-AM"/>
              </w:rPr>
            </w:pPr>
            <w:r w:rsidRPr="00C714BD">
              <w:rPr>
                <w:rFonts w:cs="Arial"/>
                <w:sz w:val="20"/>
                <w:szCs w:val="20"/>
                <w:lang w:val="hy-AM"/>
              </w:rPr>
              <w:t xml:space="preserve">Վերոնշյալ խնդիրներին լուծում տալու համար առաջարկվում է գնահատել համայնքային ծառայողների վերապատրաստման կարիքները և դրանց արդյունքներին համապատասխան  մշակել վերապատրաստման ծրագիր։ </w:t>
            </w:r>
          </w:p>
          <w:p w:rsidR="0068680D" w:rsidRPr="00C714BD" w:rsidRDefault="0068680D" w:rsidP="00F47DC4">
            <w:pPr>
              <w:spacing w:after="0" w:line="276" w:lineRule="auto"/>
              <w:ind w:left="426"/>
              <w:rPr>
                <w:b/>
                <w:sz w:val="20"/>
                <w:szCs w:val="20"/>
                <w:lang w:val="hy-AM"/>
              </w:rPr>
            </w:pPr>
            <w:r w:rsidRPr="00C714BD">
              <w:rPr>
                <w:b/>
                <w:sz w:val="20"/>
                <w:szCs w:val="20"/>
                <w:lang w:val="hy-AM"/>
              </w:rPr>
              <w:t>2. Կարգավորման առարկան</w:t>
            </w:r>
          </w:p>
          <w:p w:rsidR="0068680D" w:rsidRPr="00C714BD" w:rsidRDefault="0068680D" w:rsidP="00F47DC4">
            <w:pPr>
              <w:spacing w:after="0" w:line="276" w:lineRule="auto"/>
              <w:ind w:firstLine="426"/>
              <w:rPr>
                <w:sz w:val="20"/>
                <w:szCs w:val="20"/>
                <w:lang w:val="hy-AM"/>
              </w:rPr>
            </w:pPr>
            <w:r w:rsidRPr="00C714BD">
              <w:rPr>
                <w:sz w:val="20"/>
                <w:szCs w:val="20"/>
                <w:lang w:val="hy-AM"/>
              </w:rPr>
              <w:t>Համայնքային ծառայության վերապատրաստման գործընթացի կատարելագործու ։</w:t>
            </w:r>
          </w:p>
          <w:p w:rsidR="0068680D" w:rsidRPr="00C714BD" w:rsidRDefault="0068680D" w:rsidP="00F47DC4">
            <w:pPr>
              <w:spacing w:after="0" w:line="276" w:lineRule="auto"/>
              <w:rPr>
                <w:b/>
                <w:sz w:val="20"/>
                <w:szCs w:val="20"/>
                <w:lang w:val="hy-AM"/>
              </w:rPr>
            </w:pPr>
            <w:r w:rsidRPr="00C714BD">
              <w:rPr>
                <w:b/>
                <w:sz w:val="20"/>
                <w:szCs w:val="20"/>
                <w:lang w:val="hy-AM"/>
              </w:rPr>
              <w:t>3. Իրավական ակտի կիրառման դեպքում ակնկալվող արդյունքը</w:t>
            </w:r>
          </w:p>
          <w:p w:rsidR="0068680D" w:rsidRPr="00C714BD" w:rsidRDefault="0068680D" w:rsidP="00F47DC4">
            <w:pPr>
              <w:spacing w:after="0" w:line="276" w:lineRule="auto"/>
              <w:ind w:firstLine="426"/>
              <w:rPr>
                <w:sz w:val="20"/>
                <w:szCs w:val="20"/>
                <w:lang w:val="hy-AM"/>
              </w:rPr>
            </w:pPr>
            <w:r w:rsidRPr="00C714BD">
              <w:rPr>
                <w:sz w:val="20"/>
                <w:szCs w:val="20"/>
                <w:lang w:val="hy-AM"/>
              </w:rPr>
              <w:t xml:space="preserve">Համայնքային ծառայողների վերապատրաստման միջոցով </w:t>
            </w:r>
            <w:r w:rsidRPr="00C714BD">
              <w:rPr>
                <w:rFonts w:cs="Arial Armenian"/>
                <w:sz w:val="20"/>
                <w:szCs w:val="20"/>
                <w:lang w:val="hy-AM"/>
              </w:rPr>
              <w:t xml:space="preserve">համայնքային ծառայողների </w:t>
            </w:r>
            <w:r w:rsidRPr="00C714BD">
              <w:rPr>
                <w:sz w:val="20"/>
                <w:szCs w:val="20"/>
                <w:lang w:val="hy-AM"/>
              </w:rPr>
              <w:t>մասնագիտական կարողությունների կատարելագործում,  ինչը կապահովի համայնքների զարգացման ռազմավարական խնդիրների արդյունավետ իրականացումը:</w:t>
            </w:r>
          </w:p>
          <w:p w:rsidR="0068680D" w:rsidRPr="00BC61ED" w:rsidRDefault="0068680D" w:rsidP="00F47DC4">
            <w:pPr>
              <w:spacing w:after="0" w:line="276" w:lineRule="auto"/>
              <w:rPr>
                <w:rFonts w:cs="Arial Armenian"/>
                <w:sz w:val="20"/>
                <w:szCs w:val="20"/>
                <w:lang w:val="hy-AM"/>
              </w:rPr>
            </w:pP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Pr>
                <w:b/>
                <w:sz w:val="20"/>
                <w:szCs w:val="20"/>
                <w:lang w:val="hy-AM"/>
              </w:rPr>
              <w:t>9</w:t>
            </w:r>
            <w:r w:rsidRPr="00BC61ED">
              <w:rPr>
                <w:b/>
                <w:sz w:val="20"/>
                <w:szCs w:val="20"/>
                <w:lang w:val="hy-AM"/>
              </w:rPr>
              <w:t>.</w:t>
            </w:r>
          </w:p>
        </w:tc>
        <w:tc>
          <w:tcPr>
            <w:tcW w:w="10915"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Բնակչության  համար հարմարավետ և էկոլոգիապես անվտանգ պայմաններ ապահովելու նպառակով  Հայաստանի Հանրապետության բնակավայրերում աղբահանության  և կոշտ կենցաղային թափոնների կառավարման համակարգի բարելավում</w:t>
            </w:r>
          </w:p>
          <w:p w:rsidR="0068680D" w:rsidRPr="00BC61ED" w:rsidRDefault="0068680D" w:rsidP="00F47DC4">
            <w:pPr>
              <w:spacing w:after="0" w:line="276" w:lineRule="auto"/>
              <w:jc w:val="center"/>
              <w:rPr>
                <w:b/>
                <w:sz w:val="20"/>
                <w:szCs w:val="20"/>
                <w:lang w:val="hy-AM"/>
              </w:rPr>
            </w:pPr>
          </w:p>
          <w:p w:rsidR="0068680D" w:rsidRPr="00BC61ED" w:rsidRDefault="0068680D" w:rsidP="00F47DC4">
            <w:pPr>
              <w:spacing w:after="0" w:line="276" w:lineRule="auto"/>
              <w:ind w:left="28" w:firstLine="720"/>
              <w:rPr>
                <w:b/>
                <w:sz w:val="20"/>
                <w:szCs w:val="20"/>
                <w:lang w:val="hy-AM"/>
              </w:rPr>
            </w:pPr>
            <w:r>
              <w:rPr>
                <w:rFonts w:cs="Cambria Math"/>
                <w:b/>
                <w:bCs/>
                <w:color w:val="000000"/>
                <w:sz w:val="20"/>
                <w:szCs w:val="20"/>
                <w:lang w:val="hy-AM" w:eastAsia="hy-AM"/>
              </w:rPr>
              <w:t>9</w:t>
            </w:r>
            <w:r w:rsidRPr="00BC61ED">
              <w:rPr>
                <w:rFonts w:ascii="Cambria Math" w:hAnsi="Cambria Math" w:cs="Cambria Math"/>
                <w:b/>
                <w:bCs/>
                <w:color w:val="000000"/>
                <w:sz w:val="20"/>
                <w:szCs w:val="20"/>
                <w:lang w:val="hy-AM" w:eastAsia="hy-AM"/>
              </w:rPr>
              <w:t>․</w:t>
            </w:r>
            <w:r w:rsidRPr="00BC61ED">
              <w:rPr>
                <w:rFonts w:cs="Cambria Math"/>
                <w:b/>
                <w:bCs/>
                <w:color w:val="000000"/>
                <w:sz w:val="20"/>
                <w:szCs w:val="20"/>
                <w:lang w:val="hy-AM" w:eastAsia="hy-AM"/>
              </w:rPr>
              <w:t xml:space="preserve">1 </w:t>
            </w:r>
            <w:r w:rsidRPr="00BC61ED">
              <w:rPr>
                <w:b/>
                <w:sz w:val="20"/>
                <w:szCs w:val="20"/>
                <w:lang w:val="hy-AM"/>
              </w:rPr>
              <w:t>«Աղբահանության և սանիտարական մաքրման ոլորտում  լիազոր մարմին ճանաչելու մասին» ՀՀ կառավարության որոշման նախագծի ներկայացում ՀՀ վարչապետի աշխատակազմ</w:t>
            </w:r>
          </w:p>
          <w:p w:rsidR="0068680D" w:rsidRPr="00BC61ED" w:rsidRDefault="0068680D" w:rsidP="00F47DC4">
            <w:pPr>
              <w:spacing w:after="0" w:line="276" w:lineRule="auto"/>
              <w:ind w:left="-450" w:right="-142" w:firstLine="720"/>
              <w:rPr>
                <w:b/>
                <w:sz w:val="20"/>
                <w:szCs w:val="20"/>
                <w:lang w:val="hy-AM"/>
              </w:rPr>
            </w:pPr>
            <w:r w:rsidRPr="00BC61ED">
              <w:rPr>
                <w:sz w:val="20"/>
                <w:szCs w:val="20"/>
                <w:lang w:val="hy-AM"/>
              </w:rPr>
              <w:t xml:space="preserve">  </w:t>
            </w:r>
            <w:r w:rsidRPr="00BC61ED">
              <w:rPr>
                <w:b/>
                <w:sz w:val="20"/>
                <w:szCs w:val="20"/>
                <w:lang w:val="hy-AM"/>
              </w:rPr>
              <w:t>1</w:t>
            </w:r>
            <w:r w:rsidRPr="00BC61ED">
              <w:rPr>
                <w:rFonts w:ascii="Cambria Math" w:hAnsi="Cambria Math" w:cs="Cambria Math"/>
                <w:b/>
                <w:sz w:val="20"/>
                <w:szCs w:val="20"/>
                <w:lang w:val="hy-AM"/>
              </w:rPr>
              <w:t>․</w:t>
            </w:r>
            <w:r w:rsidRPr="00BC61ED">
              <w:rPr>
                <w:rFonts w:cs="Cambria Math"/>
                <w:b/>
                <w:sz w:val="20"/>
                <w:szCs w:val="20"/>
                <w:lang w:val="hy-AM"/>
              </w:rPr>
              <w:t xml:space="preserve"> </w:t>
            </w:r>
            <w:r w:rsidRPr="00BC61ED">
              <w:rPr>
                <w:b/>
                <w:sz w:val="20"/>
                <w:szCs w:val="20"/>
                <w:lang w:val="hy-AM"/>
              </w:rPr>
              <w:t>Միջոցառման անհրաժեշտությունը (նպատակ)</w:t>
            </w:r>
          </w:p>
          <w:p w:rsidR="0068680D" w:rsidRPr="00BC61ED" w:rsidRDefault="0068680D" w:rsidP="00F47DC4">
            <w:pPr>
              <w:spacing w:after="0" w:line="276" w:lineRule="auto"/>
              <w:ind w:firstLine="375"/>
              <w:rPr>
                <w:sz w:val="20"/>
                <w:szCs w:val="20"/>
                <w:lang w:val="hy-AM"/>
              </w:rPr>
            </w:pPr>
            <w:r w:rsidRPr="00BC61ED">
              <w:rPr>
                <w:sz w:val="20"/>
                <w:szCs w:val="20"/>
                <w:lang w:val="hy-AM"/>
              </w:rPr>
              <w:t xml:space="preserve"> Միջոցառման անհրաժեշտությունը պայմանավորված է «Աղբահանության և սանիտարական մաքրման մասին» Հայաստանի Հանրապետության օրենքի 4</w:t>
            </w:r>
            <w:r w:rsidRPr="00BC61ED">
              <w:rPr>
                <w:rFonts w:ascii="Cambria Math" w:hAnsi="Cambria Math" w:cs="Cambria Math"/>
                <w:sz w:val="20"/>
                <w:szCs w:val="20"/>
                <w:lang w:val="hy-AM"/>
              </w:rPr>
              <w:t>․</w:t>
            </w:r>
            <w:r w:rsidRPr="00BC61ED">
              <w:rPr>
                <w:sz w:val="20"/>
                <w:szCs w:val="20"/>
                <w:lang w:val="hy-AM"/>
              </w:rPr>
              <w:t xml:space="preserve">2 հոդվածի դրույթների կատարմամբ։ 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6.1 բաժնով նախատեսված հանձնառություններից:</w:t>
            </w:r>
          </w:p>
          <w:p w:rsidR="0068680D" w:rsidRPr="00BC61ED" w:rsidRDefault="0068680D" w:rsidP="00F47DC4">
            <w:pPr>
              <w:pStyle w:val="Style15"/>
              <w:spacing w:line="276" w:lineRule="auto"/>
              <w:ind w:left="-450" w:right="-142" w:firstLine="720"/>
              <w:rPr>
                <w:rFonts w:ascii="GHEA Grapalat" w:hAnsi="GHEA Grapalat"/>
                <w:b/>
                <w:sz w:val="20"/>
                <w:lang w:val="hy-AM"/>
              </w:rPr>
            </w:pPr>
            <w:r w:rsidRPr="00BC61ED">
              <w:rPr>
                <w:rFonts w:ascii="GHEA Grapalat" w:hAnsi="GHEA Grapalat"/>
                <w:b/>
                <w:sz w:val="20"/>
                <w:lang w:val="hy-AM"/>
              </w:rPr>
              <w:t>1</w:t>
            </w:r>
            <w:r w:rsidRPr="00BC61ED">
              <w:rPr>
                <w:rFonts w:ascii="Cambria Math" w:hAnsi="Cambria Math" w:cs="Cambria Math"/>
                <w:b/>
                <w:sz w:val="20"/>
                <w:lang w:val="hy-AM"/>
              </w:rPr>
              <w:t>․</w:t>
            </w:r>
            <w:r w:rsidRPr="00BC61ED">
              <w:rPr>
                <w:rFonts w:ascii="GHEA Grapalat" w:hAnsi="GHEA Grapalat"/>
                <w:b/>
                <w:sz w:val="20"/>
                <w:lang w:val="hy-AM"/>
              </w:rPr>
              <w:t>1 Կ</w:t>
            </w:r>
            <w:r w:rsidRPr="00BC61ED">
              <w:rPr>
                <w:rFonts w:ascii="GHEA Grapalat" w:hAnsi="GHEA Grapalat" w:cs="Arial"/>
                <w:b/>
                <w:sz w:val="20"/>
                <w:lang w:val="hy-AM"/>
              </w:rPr>
              <w:t>արգավորման</w:t>
            </w:r>
            <w:r w:rsidRPr="00BC61ED">
              <w:rPr>
                <w:rFonts w:ascii="GHEA Grapalat" w:hAnsi="GHEA Grapalat" w:cs="Arial Armenian"/>
                <w:b/>
                <w:sz w:val="20"/>
                <w:lang w:val="hy-AM"/>
              </w:rPr>
              <w:t xml:space="preserve"> </w:t>
            </w:r>
            <w:r w:rsidRPr="00BC61ED">
              <w:rPr>
                <w:rFonts w:ascii="GHEA Grapalat" w:hAnsi="GHEA Grapalat" w:cs="Arial"/>
                <w:b/>
                <w:sz w:val="20"/>
                <w:lang w:val="hy-AM"/>
              </w:rPr>
              <w:t>հարաբերությունների</w:t>
            </w:r>
            <w:r w:rsidRPr="00BC61ED">
              <w:rPr>
                <w:rFonts w:ascii="GHEA Grapalat" w:hAnsi="GHEA Grapalat" w:cs="Arial Armenian"/>
                <w:b/>
                <w:sz w:val="20"/>
                <w:lang w:val="hy-AM"/>
              </w:rPr>
              <w:t xml:space="preserve"> </w:t>
            </w:r>
            <w:r w:rsidRPr="00BC61ED">
              <w:rPr>
                <w:rFonts w:ascii="GHEA Grapalat" w:hAnsi="GHEA Grapalat" w:cs="Arial"/>
                <w:b/>
                <w:sz w:val="20"/>
                <w:lang w:val="hy-AM"/>
              </w:rPr>
              <w:t>ներկա</w:t>
            </w:r>
            <w:r w:rsidRPr="00BC61ED">
              <w:rPr>
                <w:rFonts w:ascii="GHEA Grapalat" w:hAnsi="GHEA Grapalat" w:cs="Arial Armenian"/>
                <w:b/>
                <w:sz w:val="20"/>
                <w:lang w:val="hy-AM"/>
              </w:rPr>
              <w:t xml:space="preserve"> </w:t>
            </w:r>
            <w:r w:rsidRPr="00BC61ED">
              <w:rPr>
                <w:rFonts w:ascii="GHEA Grapalat" w:hAnsi="GHEA Grapalat" w:cs="Arial"/>
                <w:b/>
                <w:sz w:val="20"/>
                <w:lang w:val="hy-AM"/>
              </w:rPr>
              <w:t>վիճակը</w:t>
            </w:r>
            <w:r w:rsidRPr="00BC61ED">
              <w:rPr>
                <w:rFonts w:ascii="GHEA Grapalat" w:hAnsi="GHEA Grapalat" w:cs="Arial Armenian"/>
                <w:b/>
                <w:sz w:val="20"/>
                <w:lang w:val="hy-AM"/>
              </w:rPr>
              <w:t xml:space="preserve"> </w:t>
            </w:r>
            <w:r w:rsidRPr="00BC61ED">
              <w:rPr>
                <w:rFonts w:ascii="GHEA Grapalat" w:hAnsi="GHEA Grapalat" w:cs="Arial"/>
                <w:b/>
                <w:sz w:val="20"/>
                <w:lang w:val="hy-AM"/>
              </w:rPr>
              <w:t>և</w:t>
            </w:r>
            <w:r w:rsidRPr="00BC61ED">
              <w:rPr>
                <w:rFonts w:ascii="GHEA Grapalat" w:hAnsi="GHEA Grapalat" w:cs="Arial Armenian"/>
                <w:b/>
                <w:sz w:val="20"/>
                <w:lang w:val="hy-AM"/>
              </w:rPr>
              <w:t xml:space="preserve"> </w:t>
            </w:r>
            <w:r w:rsidRPr="00BC61ED">
              <w:rPr>
                <w:rFonts w:ascii="GHEA Grapalat" w:hAnsi="GHEA Grapalat" w:cs="Arial"/>
                <w:b/>
                <w:sz w:val="20"/>
                <w:lang w:val="hy-AM"/>
              </w:rPr>
              <w:t>առկա</w:t>
            </w:r>
            <w:r w:rsidRPr="00BC61ED">
              <w:rPr>
                <w:rFonts w:ascii="GHEA Grapalat" w:hAnsi="GHEA Grapalat" w:cs="Arial Armenian"/>
                <w:b/>
                <w:sz w:val="20"/>
                <w:lang w:val="hy-AM"/>
              </w:rPr>
              <w:t xml:space="preserve"> </w:t>
            </w:r>
            <w:r w:rsidRPr="00BC61ED">
              <w:rPr>
                <w:rFonts w:ascii="GHEA Grapalat" w:hAnsi="GHEA Grapalat" w:cs="Arial"/>
                <w:b/>
                <w:sz w:val="20"/>
                <w:lang w:val="hy-AM"/>
              </w:rPr>
              <w:t>խնդիրները</w:t>
            </w:r>
            <w:r w:rsidRPr="00BC61ED">
              <w:rPr>
                <w:rFonts w:ascii="GHEA Grapalat" w:hAnsi="GHEA Grapalat"/>
                <w:b/>
                <w:sz w:val="20"/>
                <w:lang w:val="hy-AM"/>
              </w:rPr>
              <w:t xml:space="preserve">  </w:t>
            </w:r>
          </w:p>
          <w:p w:rsidR="0068680D" w:rsidRPr="00BC61ED" w:rsidRDefault="0068680D" w:rsidP="00F47DC4">
            <w:pPr>
              <w:autoSpaceDE w:val="0"/>
              <w:autoSpaceDN w:val="0"/>
              <w:adjustRightInd w:val="0"/>
              <w:spacing w:after="0" w:line="276" w:lineRule="auto"/>
              <w:ind w:right="146" w:firstLine="720"/>
              <w:rPr>
                <w:rFonts w:cs="Sylfaen"/>
                <w:sz w:val="20"/>
                <w:szCs w:val="20"/>
                <w:lang w:val="hy-AM"/>
              </w:rPr>
            </w:pPr>
            <w:r w:rsidRPr="00BC61ED">
              <w:rPr>
                <w:rFonts w:cs="Sylfaen"/>
                <w:sz w:val="20"/>
                <w:szCs w:val="20"/>
                <w:lang w:val="hy-AM"/>
              </w:rPr>
              <w:t>«Աղբահանության և սանիտարական մաքրման մասին Հայաստանի Հանրապետության  օրենքով սահմանվում են</w:t>
            </w:r>
            <w:r w:rsidRPr="00BC61ED">
              <w:rPr>
                <w:rFonts w:ascii="Calibri" w:hAnsi="Calibri" w:cs="Calibri"/>
                <w:sz w:val="20"/>
                <w:szCs w:val="20"/>
                <w:lang w:val="hy-AM"/>
              </w:rPr>
              <w:t> </w:t>
            </w:r>
            <w:r w:rsidRPr="00BC61ED">
              <w:rPr>
                <w:rFonts w:cs="Sylfaen"/>
                <w:sz w:val="20"/>
                <w:szCs w:val="20"/>
                <w:lang w:val="hy-AM"/>
              </w:rPr>
              <w:t>աղբահանության և սանիտարական մաքրման գործընթացի կազմակերպման սկզբունքները,</w:t>
            </w:r>
            <w:r w:rsidRPr="00BC61ED">
              <w:rPr>
                <w:rFonts w:ascii="Calibri" w:hAnsi="Calibri" w:cs="Calibri"/>
                <w:sz w:val="20"/>
                <w:szCs w:val="20"/>
                <w:lang w:val="hy-AM"/>
              </w:rPr>
              <w:t> </w:t>
            </w:r>
            <w:r w:rsidRPr="00BC61ED">
              <w:rPr>
                <w:rFonts w:cs="Sylfaen"/>
                <w:sz w:val="20"/>
                <w:szCs w:val="20"/>
                <w:lang w:val="hy-AM"/>
              </w:rPr>
              <w:t>աղբահանության վճարը, տեղական ինքնակառավարման մարմինների լիազորությունների իրականացման կարգը</w:t>
            </w:r>
            <w:r w:rsidRPr="00BC61ED">
              <w:rPr>
                <w:rFonts w:ascii="Calibri" w:hAnsi="Calibri" w:cs="Calibri"/>
                <w:sz w:val="20"/>
                <w:szCs w:val="20"/>
                <w:lang w:val="hy-AM"/>
              </w:rPr>
              <w:t> </w:t>
            </w:r>
            <w:r w:rsidRPr="00BC61ED">
              <w:rPr>
                <w:rFonts w:cs="Sylfaen"/>
                <w:sz w:val="20"/>
                <w:szCs w:val="20"/>
                <w:lang w:val="hy-AM"/>
              </w:rPr>
              <w:t xml:space="preserve">աղբահանության և սանիտարական մաքրման կազմակերպման բնագավառներում:  «Թափոնների մասին» ՀՀ օրենքի 11-րդ հոդվածով սահմանված են տեղական ինքնակառավարման մարմինների իրավասությունները թափոնների գործածության ոլորտում:  «Թափոնների մասին» ՀՀ օրենքի 10-րդ հոդվածով սահմանված են տարածքային կառավարման մարմինների  լիազորություններն ու իրավասությունները այդ բնագավառում: </w:t>
            </w:r>
          </w:p>
          <w:p w:rsidR="0068680D" w:rsidRPr="00BC61ED" w:rsidRDefault="0068680D" w:rsidP="00F47DC4">
            <w:pPr>
              <w:autoSpaceDE w:val="0"/>
              <w:autoSpaceDN w:val="0"/>
              <w:adjustRightInd w:val="0"/>
              <w:spacing w:after="0" w:line="276" w:lineRule="auto"/>
              <w:ind w:right="146" w:firstLine="720"/>
              <w:rPr>
                <w:rFonts w:cs="Sylfaen"/>
                <w:sz w:val="20"/>
                <w:szCs w:val="20"/>
                <w:lang w:val="hy-AM"/>
              </w:rPr>
            </w:pPr>
            <w:r w:rsidRPr="00BC61ED">
              <w:rPr>
                <w:rFonts w:cs="Sylfaen"/>
                <w:sz w:val="20"/>
                <w:szCs w:val="20"/>
                <w:lang w:val="hy-AM"/>
              </w:rPr>
              <w:t xml:space="preserve">Սակայն հաշվի առնելով ներկայումս հանրապետությունում առկա  աղբահանության և սանիտարական մաքրման ծառայությունների ցածր որակը և դրանց ընդգրկվածության ծավալները, ինչպես նաև այն փաստը, որ անարդյունավետ ինստիտուցիոնալ դաշտի, ֆինանսական հոսքերի և ներդրումների ոչ  համակարգված  կիրառումը  հանգեցրել են  աղբահանության և սանիտարական մաքրման անարդյունավետ համակարգի՝ բնագավառի համակարգված և միասնական քաղաքականության վարման անհրաժեշտություն է  առաջանում: </w:t>
            </w:r>
          </w:p>
          <w:p w:rsidR="0068680D" w:rsidRPr="00BC61ED" w:rsidRDefault="0068680D" w:rsidP="0068680D">
            <w:pPr>
              <w:pStyle w:val="Style15"/>
              <w:numPr>
                <w:ilvl w:val="1"/>
                <w:numId w:val="137"/>
              </w:numPr>
              <w:spacing w:line="276" w:lineRule="auto"/>
              <w:ind w:left="0" w:right="146" w:firstLine="720"/>
              <w:rPr>
                <w:rFonts w:ascii="GHEA Grapalat" w:hAnsi="GHEA Grapalat"/>
                <w:sz w:val="20"/>
                <w:lang w:val="hy-AM"/>
              </w:rPr>
            </w:pPr>
            <w:r w:rsidRPr="00BC61ED">
              <w:rPr>
                <w:rFonts w:ascii="GHEA Grapalat" w:hAnsi="GHEA Grapalat" w:cs="Arial"/>
                <w:b/>
                <w:sz w:val="20"/>
                <w:lang w:val="hy-AM"/>
              </w:rPr>
              <w:t>Առկա</w:t>
            </w:r>
            <w:r w:rsidRPr="00BC61ED">
              <w:rPr>
                <w:rFonts w:ascii="GHEA Grapalat" w:hAnsi="GHEA Grapalat" w:cs="Arial Armenian"/>
                <w:b/>
                <w:sz w:val="20"/>
                <w:lang w:val="hy-AM"/>
              </w:rPr>
              <w:t xml:space="preserve"> </w:t>
            </w:r>
            <w:r w:rsidRPr="00BC61ED">
              <w:rPr>
                <w:rFonts w:ascii="GHEA Grapalat" w:hAnsi="GHEA Grapalat" w:cs="Arial"/>
                <w:b/>
                <w:sz w:val="20"/>
                <w:lang w:val="hy-AM"/>
              </w:rPr>
              <w:t>խնդիրների</w:t>
            </w:r>
            <w:r w:rsidRPr="00BC61ED">
              <w:rPr>
                <w:rFonts w:ascii="GHEA Grapalat" w:hAnsi="GHEA Grapalat" w:cs="Arial Armenian"/>
                <w:b/>
                <w:sz w:val="20"/>
                <w:lang w:val="hy-AM"/>
              </w:rPr>
              <w:t xml:space="preserve"> </w:t>
            </w:r>
            <w:r w:rsidRPr="00BC61ED">
              <w:rPr>
                <w:rFonts w:ascii="GHEA Grapalat" w:hAnsi="GHEA Grapalat" w:cs="Arial"/>
                <w:b/>
                <w:sz w:val="20"/>
                <w:lang w:val="hy-AM"/>
              </w:rPr>
              <w:t>առաջարկվող</w:t>
            </w:r>
            <w:r w:rsidRPr="00BC61ED">
              <w:rPr>
                <w:rFonts w:ascii="GHEA Grapalat" w:hAnsi="GHEA Grapalat" w:cs="Arial Armenian"/>
                <w:b/>
                <w:sz w:val="20"/>
                <w:lang w:val="hy-AM"/>
              </w:rPr>
              <w:t xml:space="preserve"> </w:t>
            </w:r>
            <w:r w:rsidRPr="00BC61ED">
              <w:rPr>
                <w:rFonts w:ascii="GHEA Grapalat" w:hAnsi="GHEA Grapalat" w:cs="Arial"/>
                <w:b/>
                <w:sz w:val="20"/>
                <w:lang w:val="hy-AM"/>
              </w:rPr>
              <w:t>լուծումները</w:t>
            </w:r>
            <w:r w:rsidRPr="00BC61ED">
              <w:rPr>
                <w:rFonts w:ascii="GHEA Grapalat" w:hAnsi="GHEA Grapalat"/>
                <w:sz w:val="20"/>
                <w:lang w:val="hy-AM"/>
              </w:rPr>
              <w:t xml:space="preserve"> </w:t>
            </w:r>
          </w:p>
          <w:p w:rsidR="0068680D" w:rsidRPr="00BC61ED" w:rsidRDefault="0068680D" w:rsidP="00F47DC4">
            <w:pPr>
              <w:autoSpaceDE w:val="0"/>
              <w:autoSpaceDN w:val="0"/>
              <w:adjustRightInd w:val="0"/>
              <w:spacing w:after="0" w:line="276" w:lineRule="auto"/>
              <w:ind w:right="146" w:firstLine="720"/>
              <w:rPr>
                <w:rFonts w:cs="Sylfaen"/>
                <w:sz w:val="20"/>
                <w:szCs w:val="20"/>
                <w:lang w:val="hy-AM"/>
              </w:rPr>
            </w:pPr>
            <w:r w:rsidRPr="00BC61ED">
              <w:rPr>
                <w:rFonts w:cs="Sylfaen"/>
                <w:sz w:val="20"/>
                <w:szCs w:val="20"/>
                <w:lang w:val="hy-AM"/>
              </w:rPr>
              <w:t>Հաշվի առնելով հանրապետությունում աղբահանության և սանիտարական մաքրման ծառայությունների ցածր մակարդակը, դրա հետ կապված սոցիալական, բնապահպանական և ընդհանուր սանիտարական խնդիրները, անհրաժեշտություն է առաջանում ՀՀ բնակավայրերի աղբահանության և սանիտարական մաքրման, կոշտ կենցաղային թափոնների կառավարման բնագավառում պետական միասնական և համակարգված  քաղաքականության գերակայությունների ձևավորման,  հիմնական սկզբունքների և ուղղությունների սահմանման և ոլորտում պետական-տեղական ինքնակառավարման մարմինների գործունեության արդյունավետության բարձրացման:</w:t>
            </w:r>
          </w:p>
          <w:p w:rsidR="0068680D" w:rsidRPr="00BC61ED" w:rsidRDefault="0068680D" w:rsidP="00F47DC4">
            <w:pPr>
              <w:autoSpaceDE w:val="0"/>
              <w:autoSpaceDN w:val="0"/>
              <w:adjustRightInd w:val="0"/>
              <w:spacing w:after="0" w:line="276" w:lineRule="auto"/>
              <w:ind w:right="146" w:firstLine="720"/>
              <w:rPr>
                <w:rFonts w:cs="Sylfaen"/>
                <w:sz w:val="20"/>
                <w:szCs w:val="20"/>
                <w:lang w:val="hy-AM"/>
              </w:rPr>
            </w:pPr>
            <w:r w:rsidRPr="00BC61ED">
              <w:rPr>
                <w:rFonts w:cs="Sylfaen"/>
                <w:sz w:val="20"/>
                <w:szCs w:val="20"/>
                <w:lang w:val="hy-AM"/>
              </w:rPr>
              <w:t>Աղբահանության և սանիտարական մաքրման բնագավառի պետական լիազոր մարմնի ճանաչումը հնարավորություն կտա հանրապետությունում կիրառել աղբահանության և սանիտարական մաքրման  արդյունավետ, համակարգված և միասնական քաղաքականություն: Մասնավորապես. հնարավորություն կընձեռվի կանոնակարգել նորմատիվա-իրավական դաշտը, մշակել աղբահանության կառավարման մոդելներ, բնակավայրերի աղբահանության և սանիտարական մաքրման «խելացի» սխեմաներ, աղբավայրերի շահագործման, նոր աղբավայրերի նախագծման ու շինարարության, բարելավել պայմանագրային դաշտը, սահմանել և վերահսկել բնագավառում ներգրավված անձնաց  գործունեության պայմանները և ոչ պատշաճ գործունեություն իրականացնելու դեպքում կիրառել հարկադրանքի միջոցներ, ինչպես նաև ձևավորել  մշտադիտարկման միասնական համակարգ:</w:t>
            </w:r>
          </w:p>
          <w:p w:rsidR="0068680D" w:rsidRPr="00BC61ED" w:rsidRDefault="0068680D" w:rsidP="0068680D">
            <w:pPr>
              <w:pStyle w:val="ListParagraph"/>
              <w:numPr>
                <w:ilvl w:val="0"/>
                <w:numId w:val="136"/>
              </w:numPr>
              <w:spacing w:after="0" w:line="276" w:lineRule="auto"/>
              <w:ind w:left="0" w:right="146" w:firstLine="720"/>
              <w:jc w:val="both"/>
              <w:rPr>
                <w:rFonts w:cs="Arial"/>
                <w:b/>
                <w:sz w:val="20"/>
                <w:szCs w:val="20"/>
                <w:lang w:val="hy-AM"/>
              </w:rPr>
            </w:pPr>
            <w:r w:rsidRPr="00BC61ED">
              <w:rPr>
                <w:rFonts w:cs="Arial"/>
                <w:b/>
                <w:sz w:val="20"/>
                <w:szCs w:val="20"/>
                <w:lang w:val="hy-AM"/>
              </w:rPr>
              <w:t>Միջոցառման</w:t>
            </w:r>
            <w:r w:rsidRPr="00BC61ED">
              <w:rPr>
                <w:rFonts w:cs="Arial Armenian"/>
                <w:b/>
                <w:sz w:val="20"/>
                <w:szCs w:val="20"/>
                <w:lang w:val="hy-AM"/>
              </w:rPr>
              <w:t xml:space="preserve"> </w:t>
            </w:r>
            <w:r w:rsidRPr="00BC61ED">
              <w:rPr>
                <w:rFonts w:cs="Arial"/>
                <w:b/>
                <w:sz w:val="20"/>
                <w:szCs w:val="20"/>
                <w:lang w:val="hy-AM"/>
              </w:rPr>
              <w:t>իրականացումից</w:t>
            </w:r>
            <w:r w:rsidRPr="00BC61ED">
              <w:rPr>
                <w:rFonts w:cs="Arial Armenian"/>
                <w:b/>
                <w:sz w:val="20"/>
                <w:szCs w:val="20"/>
                <w:lang w:val="hy-AM"/>
              </w:rPr>
              <w:t xml:space="preserve"> </w:t>
            </w:r>
            <w:r w:rsidRPr="00BC61ED">
              <w:rPr>
                <w:rFonts w:cs="Arial"/>
                <w:b/>
                <w:sz w:val="20"/>
                <w:szCs w:val="20"/>
                <w:lang w:val="hy-AM"/>
              </w:rPr>
              <w:t>ակնկալվող</w:t>
            </w:r>
            <w:r w:rsidRPr="00BC61ED">
              <w:rPr>
                <w:rFonts w:cs="Arial Armenian"/>
                <w:b/>
                <w:sz w:val="20"/>
                <w:szCs w:val="20"/>
                <w:lang w:val="hy-AM"/>
              </w:rPr>
              <w:t xml:space="preserve"> </w:t>
            </w:r>
            <w:r w:rsidRPr="00BC61ED">
              <w:rPr>
                <w:rFonts w:cs="Arial"/>
                <w:b/>
                <w:sz w:val="20"/>
                <w:szCs w:val="20"/>
                <w:lang w:val="hy-AM"/>
              </w:rPr>
              <w:t>արդյունքը</w:t>
            </w:r>
          </w:p>
          <w:p w:rsidR="0068680D" w:rsidRPr="00BC61ED" w:rsidRDefault="0068680D" w:rsidP="00F47DC4">
            <w:pPr>
              <w:autoSpaceDE w:val="0"/>
              <w:autoSpaceDN w:val="0"/>
              <w:adjustRightInd w:val="0"/>
              <w:spacing w:after="0" w:line="276" w:lineRule="auto"/>
              <w:ind w:right="146" w:firstLine="720"/>
              <w:rPr>
                <w:sz w:val="20"/>
                <w:szCs w:val="20"/>
                <w:lang w:val="hy-AM"/>
              </w:rPr>
            </w:pPr>
            <w:r w:rsidRPr="00BC61ED">
              <w:rPr>
                <w:sz w:val="20"/>
                <w:szCs w:val="20"/>
                <w:lang w:val="hy-AM"/>
              </w:rPr>
              <w:t xml:space="preserve">  Միջոցառման կատարման արդյունքում ակնկալվում է բարելավել հանրապետության աղբահանության և սանիտարական մաքրման ծառայությունների որակը, ձևավորել բնագավառում կայուն կառավարման համակարգ, ապահովել հանրապետության բոլոր համայնքների ընդգրկումը կազմակերպված աղբահանության և սանիտարական մաքրման համակարգում, ինչպես նաև կատարելագործել ոլորտի նորմատիվատեխնիկական դաշտը ու ներդնել բնագավառում պետական կառավարման, վիճակագրական հաշվառման և մոնիթորինգի միասնական համակարգ։ </w:t>
            </w:r>
          </w:p>
          <w:p w:rsidR="0068680D" w:rsidRPr="00BC61ED" w:rsidRDefault="0068680D" w:rsidP="00F47DC4">
            <w:pPr>
              <w:autoSpaceDE w:val="0"/>
              <w:autoSpaceDN w:val="0"/>
              <w:adjustRightInd w:val="0"/>
              <w:spacing w:after="0" w:line="276" w:lineRule="auto"/>
              <w:ind w:right="146" w:firstLine="720"/>
              <w:rPr>
                <w:sz w:val="20"/>
                <w:szCs w:val="20"/>
                <w:lang w:val="hy-AM"/>
              </w:rPr>
            </w:pPr>
          </w:p>
          <w:p w:rsidR="0068680D" w:rsidRPr="00BC61ED" w:rsidRDefault="0068680D" w:rsidP="00F47DC4">
            <w:pPr>
              <w:spacing w:after="0" w:line="276" w:lineRule="auto"/>
              <w:ind w:right="146" w:firstLine="720"/>
              <w:rPr>
                <w:b/>
                <w:sz w:val="20"/>
                <w:szCs w:val="20"/>
                <w:lang w:val="hy-AM"/>
              </w:rPr>
            </w:pPr>
            <w:r w:rsidRPr="00BC61ED">
              <w:rPr>
                <w:b/>
                <w:sz w:val="20"/>
                <w:szCs w:val="20"/>
                <w:lang w:val="hy-AM"/>
              </w:rPr>
              <w:t xml:space="preserve">   </w:t>
            </w:r>
            <w:r>
              <w:rPr>
                <w:b/>
                <w:sz w:val="20"/>
                <w:szCs w:val="20"/>
                <w:lang w:val="hy-AM"/>
              </w:rPr>
              <w:t>9</w:t>
            </w:r>
            <w:r w:rsidRPr="00BC61ED">
              <w:rPr>
                <w:rFonts w:ascii="Cambria Math" w:hAnsi="Cambria Math" w:cs="Cambria Math"/>
                <w:b/>
                <w:sz w:val="20"/>
                <w:szCs w:val="20"/>
                <w:lang w:val="hy-AM"/>
              </w:rPr>
              <w:t>․</w:t>
            </w:r>
            <w:r w:rsidRPr="00BC61ED">
              <w:rPr>
                <w:rFonts w:cs="Cambria Math"/>
                <w:b/>
                <w:sz w:val="20"/>
                <w:szCs w:val="20"/>
                <w:lang w:val="hy-AM"/>
              </w:rPr>
              <w:t>2</w:t>
            </w:r>
            <w:r w:rsidRPr="00BC61ED">
              <w:rPr>
                <w:b/>
                <w:sz w:val="20"/>
                <w:szCs w:val="20"/>
                <w:lang w:val="hy-AM"/>
              </w:rPr>
              <w:t xml:space="preserve"> ՀՀ բնակավայրերում աղբահանության ծառայությունների դիմաց վարձավճարների հավաքագրման մակարդակի բարձրացում, այդ թվում՝ ՀՀ բոլոր համայնքների ներգրավում  աղբահանության համակարգում, տնտեսվարող սուբյեկտների հետ աղբահանության ծառայությունների մատուցման իրավա-պայմանագրային դաշտի կանոնակարգում։</w:t>
            </w:r>
          </w:p>
          <w:p w:rsidR="0068680D" w:rsidRPr="00BC61ED" w:rsidRDefault="0068680D" w:rsidP="00F47DC4">
            <w:pPr>
              <w:spacing w:after="0" w:line="276" w:lineRule="auto"/>
              <w:ind w:right="146" w:firstLine="720"/>
              <w:rPr>
                <w:b/>
                <w:sz w:val="20"/>
                <w:szCs w:val="20"/>
                <w:lang w:val="hy-AM"/>
              </w:rPr>
            </w:pPr>
            <w:r w:rsidRPr="00BC61ED">
              <w:rPr>
                <w:b/>
                <w:sz w:val="20"/>
                <w:szCs w:val="20"/>
                <w:lang w:val="hy-AM"/>
              </w:rPr>
              <w:t>1</w:t>
            </w:r>
            <w:r w:rsidRPr="00BC61ED">
              <w:rPr>
                <w:rFonts w:ascii="Cambria Math" w:hAnsi="Cambria Math" w:cs="Cambria Math"/>
                <w:b/>
                <w:sz w:val="20"/>
                <w:szCs w:val="20"/>
                <w:lang w:val="hy-AM"/>
              </w:rPr>
              <w:t>․</w:t>
            </w:r>
            <w:r w:rsidRPr="00BC61ED">
              <w:rPr>
                <w:rFonts w:cs="Cambria Math"/>
                <w:b/>
                <w:sz w:val="20"/>
                <w:szCs w:val="20"/>
                <w:lang w:val="hy-AM"/>
              </w:rPr>
              <w:t xml:space="preserve"> </w:t>
            </w:r>
            <w:r w:rsidRPr="00BC61ED">
              <w:rPr>
                <w:b/>
                <w:sz w:val="20"/>
                <w:szCs w:val="20"/>
                <w:lang w:val="hy-AM"/>
              </w:rPr>
              <w:t>Միջոցառման անհրաժեշտությունը (նպատակ)</w:t>
            </w:r>
          </w:p>
          <w:p w:rsidR="0068680D" w:rsidRPr="00BC61ED" w:rsidRDefault="0068680D" w:rsidP="00F47DC4">
            <w:pPr>
              <w:spacing w:after="0" w:line="276" w:lineRule="auto"/>
              <w:ind w:right="146" w:firstLine="375"/>
              <w:rPr>
                <w:sz w:val="20"/>
                <w:szCs w:val="20"/>
                <w:lang w:val="hy-AM"/>
              </w:rPr>
            </w:pPr>
            <w:r w:rsidRPr="00BC61ED">
              <w:rPr>
                <w:sz w:val="20"/>
                <w:szCs w:val="20"/>
                <w:lang w:val="hy-AM"/>
              </w:rPr>
              <w:t xml:space="preserve">Միջոցառման անհրաժեշտությունը պայմանավորված է «Աղբահանության և սանիտարական մաքրման մասին» Հայաստանի Հանրապետության օրենքի 14-րդ հոդվածի դրույթների կատարմամբ։ 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6.1 բաժնով նախատեսված հանձնառություններից:</w:t>
            </w:r>
          </w:p>
          <w:p w:rsidR="0068680D" w:rsidRPr="00BC61ED" w:rsidRDefault="0068680D" w:rsidP="00F47DC4">
            <w:pPr>
              <w:pStyle w:val="Style15"/>
              <w:spacing w:line="276" w:lineRule="auto"/>
              <w:ind w:right="146" w:firstLine="720"/>
              <w:rPr>
                <w:rFonts w:ascii="GHEA Grapalat" w:hAnsi="GHEA Grapalat"/>
                <w:b/>
                <w:sz w:val="20"/>
                <w:lang w:val="hy-AM"/>
              </w:rPr>
            </w:pPr>
            <w:r w:rsidRPr="00BC61ED">
              <w:rPr>
                <w:rFonts w:ascii="GHEA Grapalat" w:hAnsi="GHEA Grapalat"/>
                <w:b/>
                <w:sz w:val="20"/>
                <w:lang w:val="hy-AM"/>
              </w:rPr>
              <w:t>1</w:t>
            </w:r>
            <w:r w:rsidRPr="00BC61ED">
              <w:rPr>
                <w:rFonts w:ascii="Cambria Math" w:hAnsi="Cambria Math" w:cs="Cambria Math"/>
                <w:b/>
                <w:sz w:val="20"/>
                <w:lang w:val="hy-AM"/>
              </w:rPr>
              <w:t>․</w:t>
            </w:r>
            <w:r w:rsidRPr="00BC61ED">
              <w:rPr>
                <w:rFonts w:ascii="GHEA Grapalat" w:hAnsi="GHEA Grapalat"/>
                <w:b/>
                <w:sz w:val="20"/>
                <w:lang w:val="hy-AM"/>
              </w:rPr>
              <w:t>1 Կ</w:t>
            </w:r>
            <w:r w:rsidRPr="00BC61ED">
              <w:rPr>
                <w:rFonts w:ascii="GHEA Grapalat" w:hAnsi="GHEA Grapalat" w:cs="Arial"/>
                <w:b/>
                <w:sz w:val="20"/>
                <w:lang w:val="hy-AM"/>
              </w:rPr>
              <w:t>արգավորման</w:t>
            </w:r>
            <w:r w:rsidRPr="00BC61ED">
              <w:rPr>
                <w:rFonts w:ascii="GHEA Grapalat" w:hAnsi="GHEA Grapalat" w:cs="Arial Armenian"/>
                <w:b/>
                <w:sz w:val="20"/>
                <w:lang w:val="hy-AM"/>
              </w:rPr>
              <w:t xml:space="preserve"> </w:t>
            </w:r>
            <w:r w:rsidRPr="00BC61ED">
              <w:rPr>
                <w:rFonts w:ascii="GHEA Grapalat" w:hAnsi="GHEA Grapalat" w:cs="Arial"/>
                <w:b/>
                <w:sz w:val="20"/>
                <w:lang w:val="hy-AM"/>
              </w:rPr>
              <w:t>հարաբերությունների</w:t>
            </w:r>
            <w:r w:rsidRPr="00BC61ED">
              <w:rPr>
                <w:rFonts w:ascii="GHEA Grapalat" w:hAnsi="GHEA Grapalat" w:cs="Arial Armenian"/>
                <w:b/>
                <w:sz w:val="20"/>
                <w:lang w:val="hy-AM"/>
              </w:rPr>
              <w:t xml:space="preserve"> </w:t>
            </w:r>
            <w:r w:rsidRPr="00BC61ED">
              <w:rPr>
                <w:rFonts w:ascii="GHEA Grapalat" w:hAnsi="GHEA Grapalat" w:cs="Arial"/>
                <w:b/>
                <w:sz w:val="20"/>
                <w:lang w:val="hy-AM"/>
              </w:rPr>
              <w:t>ներկա</w:t>
            </w:r>
            <w:r w:rsidRPr="00BC61ED">
              <w:rPr>
                <w:rFonts w:ascii="GHEA Grapalat" w:hAnsi="GHEA Grapalat" w:cs="Arial Armenian"/>
                <w:b/>
                <w:sz w:val="20"/>
                <w:lang w:val="hy-AM"/>
              </w:rPr>
              <w:t xml:space="preserve"> </w:t>
            </w:r>
            <w:r w:rsidRPr="00BC61ED">
              <w:rPr>
                <w:rFonts w:ascii="GHEA Grapalat" w:hAnsi="GHEA Grapalat" w:cs="Arial"/>
                <w:b/>
                <w:sz w:val="20"/>
                <w:lang w:val="hy-AM"/>
              </w:rPr>
              <w:t>վիճակը</w:t>
            </w:r>
            <w:r w:rsidRPr="00BC61ED">
              <w:rPr>
                <w:rFonts w:ascii="GHEA Grapalat" w:hAnsi="GHEA Grapalat" w:cs="Arial Armenian"/>
                <w:b/>
                <w:sz w:val="20"/>
                <w:lang w:val="hy-AM"/>
              </w:rPr>
              <w:t xml:space="preserve"> </w:t>
            </w:r>
            <w:r w:rsidRPr="00BC61ED">
              <w:rPr>
                <w:rFonts w:ascii="GHEA Grapalat" w:hAnsi="GHEA Grapalat" w:cs="Arial"/>
                <w:b/>
                <w:sz w:val="20"/>
                <w:lang w:val="hy-AM"/>
              </w:rPr>
              <w:t>և</w:t>
            </w:r>
            <w:r w:rsidRPr="00BC61ED">
              <w:rPr>
                <w:rFonts w:ascii="GHEA Grapalat" w:hAnsi="GHEA Grapalat" w:cs="Arial Armenian"/>
                <w:b/>
                <w:sz w:val="20"/>
                <w:lang w:val="hy-AM"/>
              </w:rPr>
              <w:t xml:space="preserve"> </w:t>
            </w:r>
            <w:r w:rsidRPr="00BC61ED">
              <w:rPr>
                <w:rFonts w:ascii="GHEA Grapalat" w:hAnsi="GHEA Grapalat" w:cs="Arial"/>
                <w:b/>
                <w:sz w:val="20"/>
                <w:lang w:val="hy-AM"/>
              </w:rPr>
              <w:t>առկա</w:t>
            </w:r>
            <w:r w:rsidRPr="00BC61ED">
              <w:rPr>
                <w:rFonts w:ascii="GHEA Grapalat" w:hAnsi="GHEA Grapalat" w:cs="Arial Armenian"/>
                <w:b/>
                <w:sz w:val="20"/>
                <w:lang w:val="hy-AM"/>
              </w:rPr>
              <w:t xml:space="preserve"> </w:t>
            </w:r>
            <w:r w:rsidRPr="00BC61ED">
              <w:rPr>
                <w:rFonts w:ascii="GHEA Grapalat" w:hAnsi="GHEA Grapalat" w:cs="Arial"/>
                <w:b/>
                <w:sz w:val="20"/>
                <w:lang w:val="hy-AM"/>
              </w:rPr>
              <w:t>խնդիրները</w:t>
            </w:r>
            <w:r w:rsidRPr="00BC61ED">
              <w:rPr>
                <w:rFonts w:ascii="GHEA Grapalat" w:hAnsi="GHEA Grapalat"/>
                <w:b/>
                <w:sz w:val="20"/>
                <w:lang w:val="hy-AM"/>
              </w:rPr>
              <w:t xml:space="preserve">  </w:t>
            </w:r>
          </w:p>
          <w:p w:rsidR="0068680D" w:rsidRPr="00BC61ED" w:rsidRDefault="0068680D" w:rsidP="00F47DC4">
            <w:pPr>
              <w:spacing w:after="0" w:line="276" w:lineRule="auto"/>
              <w:ind w:right="146" w:firstLine="720"/>
              <w:rPr>
                <w:rFonts w:eastAsia="Times New Roman"/>
                <w:sz w:val="20"/>
                <w:szCs w:val="20"/>
                <w:lang w:val="hy-AM" w:eastAsia="en-GB"/>
              </w:rPr>
            </w:pPr>
            <w:r w:rsidRPr="00BC61ED">
              <w:rPr>
                <w:rFonts w:eastAsia="Times New Roman" w:cs="Arial"/>
                <w:sz w:val="20"/>
                <w:szCs w:val="20"/>
                <w:lang w:val="hy-AM" w:eastAsia="en-GB"/>
              </w:rPr>
              <w:t>Հայաստանի բնակավայրերում աղբահանության և սանիտարական մաքրման համակարգը չի համապատասխանում ժամանակակից պահանջներին, մասնավորապես`</w:t>
            </w:r>
          </w:p>
          <w:p w:rsidR="0068680D" w:rsidRPr="00BC61ED" w:rsidRDefault="0068680D" w:rsidP="00F47DC4">
            <w:pPr>
              <w:spacing w:after="0" w:line="276" w:lineRule="auto"/>
              <w:ind w:right="146" w:firstLine="720"/>
              <w:rPr>
                <w:rFonts w:eastAsia="Times New Roman" w:cs="Arial"/>
                <w:sz w:val="20"/>
                <w:szCs w:val="20"/>
                <w:lang w:val="hy-AM" w:eastAsia="en-GB"/>
              </w:rPr>
            </w:pPr>
            <w:r w:rsidRPr="00BC61ED">
              <w:rPr>
                <w:rFonts w:eastAsia="Times New Roman" w:cs="Arial"/>
                <w:sz w:val="20"/>
                <w:szCs w:val="20"/>
                <w:lang w:val="hy-AM" w:eastAsia="en-GB"/>
              </w:rPr>
              <w:t>-կազմակերպված աղբահանություն իրականացվում է հանրապետության  քաղաքային համայնքներում և մի շարք քաղաքամերձ գյուղական համայնքներում: Գյուղական համայնքների զգալի մասում կազմակերպված աղբահանություն չի իրականացվում։</w:t>
            </w:r>
          </w:p>
          <w:p w:rsidR="0068680D" w:rsidRPr="00BC61ED" w:rsidRDefault="0068680D" w:rsidP="00F47DC4">
            <w:pPr>
              <w:spacing w:after="0" w:line="276" w:lineRule="auto"/>
              <w:ind w:right="146" w:firstLine="720"/>
              <w:rPr>
                <w:rFonts w:eastAsia="Times New Roman" w:cs="Arial"/>
                <w:sz w:val="20"/>
                <w:szCs w:val="20"/>
                <w:lang w:val="hy-AM" w:eastAsia="en-GB"/>
              </w:rPr>
            </w:pPr>
            <w:r w:rsidRPr="00BC61ED">
              <w:rPr>
                <w:rFonts w:eastAsia="Times New Roman" w:cs="Arial"/>
                <w:sz w:val="20"/>
                <w:szCs w:val="20"/>
                <w:lang w:val="hy-AM" w:eastAsia="en-GB"/>
              </w:rPr>
              <w:t xml:space="preserve"> - ցածր է մատուցվող ծառայությունների որակը և հանրային իրազեկման մակարդակը</w:t>
            </w:r>
          </w:p>
          <w:p w:rsidR="0068680D" w:rsidRPr="00BC61ED" w:rsidRDefault="0068680D" w:rsidP="00F47DC4">
            <w:pPr>
              <w:spacing w:after="0" w:line="276" w:lineRule="auto"/>
              <w:ind w:right="146" w:firstLine="720"/>
              <w:rPr>
                <w:rFonts w:eastAsia="Times New Roman" w:cs="Arial"/>
                <w:sz w:val="20"/>
                <w:szCs w:val="20"/>
                <w:lang w:val="hy-AM" w:eastAsia="en-GB"/>
              </w:rPr>
            </w:pPr>
            <w:r w:rsidRPr="00BC61ED">
              <w:rPr>
                <w:rFonts w:eastAsia="Times New Roman" w:cs="Arial"/>
                <w:sz w:val="20"/>
                <w:szCs w:val="20"/>
                <w:lang w:val="hy-AM" w:eastAsia="en-GB"/>
              </w:rPr>
              <w:t>-ոչ բոլոր տնտեսվարող սուբյեկտներն են աղբահանության ծառայությունների մատուցման պայմանագրեր կնքում  և այլն։</w:t>
            </w:r>
          </w:p>
          <w:p w:rsidR="0068680D" w:rsidRPr="00BC61ED" w:rsidRDefault="0068680D" w:rsidP="00F47DC4">
            <w:pPr>
              <w:spacing w:after="0" w:line="276" w:lineRule="auto"/>
              <w:ind w:right="146" w:firstLine="720"/>
              <w:rPr>
                <w:rFonts w:eastAsia="Times New Roman" w:cs="Arial"/>
                <w:sz w:val="20"/>
                <w:szCs w:val="20"/>
                <w:lang w:val="hy-AM" w:eastAsia="en-GB"/>
              </w:rPr>
            </w:pPr>
            <w:r w:rsidRPr="00BC61ED">
              <w:rPr>
                <w:rFonts w:eastAsia="Times New Roman" w:cs="Arial"/>
                <w:sz w:val="20"/>
                <w:szCs w:val="20"/>
                <w:lang w:val="hy-AM" w:eastAsia="en-GB"/>
              </w:rPr>
              <w:t xml:space="preserve">2018 թվականին ՀՀ մարզերում աղբահանության և սանիտարական մաքրման ուղղությամբ կատարված ծախսերը կրկնակի անգամ ավել են քան աղբահանության ծառայությունների դիմաց հավաքագրված վարձավճարները։ </w:t>
            </w:r>
          </w:p>
          <w:p w:rsidR="0068680D" w:rsidRPr="00BC61ED" w:rsidRDefault="0068680D" w:rsidP="0068680D">
            <w:pPr>
              <w:pStyle w:val="Style15"/>
              <w:numPr>
                <w:ilvl w:val="1"/>
                <w:numId w:val="135"/>
              </w:numPr>
              <w:spacing w:line="276" w:lineRule="auto"/>
              <w:ind w:left="0" w:right="146" w:firstLine="720"/>
              <w:rPr>
                <w:rFonts w:ascii="GHEA Grapalat" w:hAnsi="GHEA Grapalat"/>
                <w:sz w:val="20"/>
                <w:lang w:val="hy-AM"/>
              </w:rPr>
            </w:pPr>
            <w:r w:rsidRPr="00BC61ED">
              <w:rPr>
                <w:rFonts w:ascii="GHEA Grapalat" w:hAnsi="GHEA Grapalat" w:cs="Arial"/>
                <w:b/>
                <w:sz w:val="20"/>
                <w:lang w:val="hy-AM"/>
              </w:rPr>
              <w:t>Առկա</w:t>
            </w:r>
            <w:r w:rsidRPr="00BC61ED">
              <w:rPr>
                <w:rFonts w:ascii="GHEA Grapalat" w:hAnsi="GHEA Grapalat" w:cs="Arial Armenian"/>
                <w:b/>
                <w:sz w:val="20"/>
                <w:lang w:val="hy-AM"/>
              </w:rPr>
              <w:t xml:space="preserve"> </w:t>
            </w:r>
            <w:r w:rsidRPr="00BC61ED">
              <w:rPr>
                <w:rFonts w:ascii="GHEA Grapalat" w:hAnsi="GHEA Grapalat" w:cs="Arial"/>
                <w:b/>
                <w:sz w:val="20"/>
                <w:lang w:val="hy-AM"/>
              </w:rPr>
              <w:t>խնդիրների</w:t>
            </w:r>
            <w:r w:rsidRPr="00BC61ED">
              <w:rPr>
                <w:rFonts w:ascii="GHEA Grapalat" w:hAnsi="GHEA Grapalat" w:cs="Arial Armenian"/>
                <w:b/>
                <w:sz w:val="20"/>
                <w:lang w:val="hy-AM"/>
              </w:rPr>
              <w:t xml:space="preserve"> </w:t>
            </w:r>
            <w:r w:rsidRPr="00BC61ED">
              <w:rPr>
                <w:rFonts w:ascii="GHEA Grapalat" w:hAnsi="GHEA Grapalat" w:cs="Arial"/>
                <w:b/>
                <w:sz w:val="20"/>
                <w:lang w:val="hy-AM"/>
              </w:rPr>
              <w:t>առաջարկվող</w:t>
            </w:r>
            <w:r w:rsidRPr="00BC61ED">
              <w:rPr>
                <w:rFonts w:ascii="GHEA Grapalat" w:hAnsi="GHEA Grapalat" w:cs="Arial Armenian"/>
                <w:b/>
                <w:sz w:val="20"/>
                <w:lang w:val="hy-AM"/>
              </w:rPr>
              <w:t xml:space="preserve"> </w:t>
            </w:r>
            <w:r w:rsidRPr="00BC61ED">
              <w:rPr>
                <w:rFonts w:ascii="GHEA Grapalat" w:hAnsi="GHEA Grapalat" w:cs="Arial"/>
                <w:b/>
                <w:sz w:val="20"/>
                <w:lang w:val="hy-AM"/>
              </w:rPr>
              <w:t>լուծումները</w:t>
            </w:r>
            <w:r w:rsidRPr="00BC61ED">
              <w:rPr>
                <w:rFonts w:ascii="GHEA Grapalat" w:hAnsi="GHEA Grapalat"/>
                <w:sz w:val="20"/>
                <w:lang w:val="hy-AM"/>
              </w:rPr>
              <w:t xml:space="preserve"> </w:t>
            </w:r>
          </w:p>
          <w:p w:rsidR="0068680D" w:rsidRPr="00BC61ED" w:rsidRDefault="0068680D" w:rsidP="00F47DC4">
            <w:pPr>
              <w:pStyle w:val="ListParagraph"/>
              <w:spacing w:after="0" w:line="276" w:lineRule="auto"/>
              <w:ind w:left="0" w:right="146" w:firstLine="720"/>
              <w:rPr>
                <w:rFonts w:cs="Arial"/>
                <w:sz w:val="20"/>
                <w:szCs w:val="20"/>
                <w:lang w:val="hy-AM"/>
              </w:rPr>
            </w:pPr>
            <w:r w:rsidRPr="00BC61ED">
              <w:rPr>
                <w:rFonts w:cs="Arial"/>
                <w:sz w:val="20"/>
                <w:szCs w:val="20"/>
                <w:lang w:val="hy-AM"/>
              </w:rPr>
              <w:t>Ն</w:t>
            </w:r>
            <w:r w:rsidRPr="00BC61ED">
              <w:rPr>
                <w:sz w:val="20"/>
                <w:szCs w:val="20"/>
                <w:lang w:val="hy-AM"/>
              </w:rPr>
              <w:t xml:space="preserve">ախատեսվում է բարելավել հանրապետության բոլոր մարզերում աղբահանության ծառայությունների որակը` աղբահանության համակարգում ընդգրկելով ՀՀ բոլոր բնակավայրերը։ Բարելավել հանրապետության բոլոր համայնքների աղբահանության եկամուտների և ծախսերի ցուցանիշները, աղբահանության համակարգում ընդգրկել աղբ առաջացնող բոլոր սուբյեկտներին և բարելավել իրավապայմանագրային հարաբերությունները։ </w:t>
            </w:r>
          </w:p>
          <w:p w:rsidR="0068680D" w:rsidRPr="00BC61ED" w:rsidRDefault="0068680D" w:rsidP="0068680D">
            <w:pPr>
              <w:pStyle w:val="ListParagraph"/>
              <w:numPr>
                <w:ilvl w:val="0"/>
                <w:numId w:val="139"/>
              </w:numPr>
              <w:spacing w:after="0" w:line="276" w:lineRule="auto"/>
              <w:ind w:left="0" w:right="146" w:firstLine="720"/>
              <w:jc w:val="both"/>
              <w:rPr>
                <w:rFonts w:cs="Arial"/>
                <w:b/>
                <w:sz w:val="20"/>
                <w:szCs w:val="20"/>
                <w:lang w:val="hy-AM"/>
              </w:rPr>
            </w:pPr>
            <w:r w:rsidRPr="00BC61ED">
              <w:rPr>
                <w:rFonts w:cs="Arial"/>
                <w:b/>
                <w:sz w:val="20"/>
                <w:szCs w:val="20"/>
                <w:lang w:val="hy-AM"/>
              </w:rPr>
              <w:t>Միջոցառման</w:t>
            </w:r>
            <w:r w:rsidRPr="00BC61ED">
              <w:rPr>
                <w:rFonts w:cs="Arial Armenian"/>
                <w:b/>
                <w:sz w:val="20"/>
                <w:szCs w:val="20"/>
                <w:lang w:val="hy-AM"/>
              </w:rPr>
              <w:t xml:space="preserve"> </w:t>
            </w:r>
            <w:r w:rsidRPr="00BC61ED">
              <w:rPr>
                <w:rFonts w:cs="Arial"/>
                <w:b/>
                <w:sz w:val="20"/>
                <w:szCs w:val="20"/>
                <w:lang w:val="hy-AM"/>
              </w:rPr>
              <w:t>իրականացումից</w:t>
            </w:r>
            <w:r w:rsidRPr="00BC61ED">
              <w:rPr>
                <w:rFonts w:cs="Arial Armenian"/>
                <w:b/>
                <w:sz w:val="20"/>
                <w:szCs w:val="20"/>
                <w:lang w:val="hy-AM"/>
              </w:rPr>
              <w:t xml:space="preserve"> </w:t>
            </w:r>
            <w:r w:rsidRPr="00BC61ED">
              <w:rPr>
                <w:rFonts w:cs="Arial"/>
                <w:b/>
                <w:sz w:val="20"/>
                <w:szCs w:val="20"/>
                <w:lang w:val="hy-AM"/>
              </w:rPr>
              <w:t>ակնկալվող</w:t>
            </w:r>
            <w:r w:rsidRPr="00BC61ED">
              <w:rPr>
                <w:rFonts w:cs="Arial Armenian"/>
                <w:b/>
                <w:sz w:val="20"/>
                <w:szCs w:val="20"/>
                <w:lang w:val="hy-AM"/>
              </w:rPr>
              <w:t xml:space="preserve"> </w:t>
            </w:r>
            <w:r w:rsidRPr="00BC61ED">
              <w:rPr>
                <w:rFonts w:cs="Arial"/>
                <w:b/>
                <w:sz w:val="20"/>
                <w:szCs w:val="20"/>
                <w:lang w:val="hy-AM"/>
              </w:rPr>
              <w:t>արդյունքը</w:t>
            </w:r>
          </w:p>
          <w:p w:rsidR="0068680D" w:rsidRPr="00BC61ED" w:rsidRDefault="0068680D" w:rsidP="00F47DC4">
            <w:pPr>
              <w:spacing w:after="0" w:line="276" w:lineRule="auto"/>
              <w:ind w:right="146" w:firstLine="720"/>
              <w:rPr>
                <w:sz w:val="20"/>
                <w:szCs w:val="20"/>
                <w:lang w:val="hy-AM"/>
              </w:rPr>
            </w:pPr>
            <w:r w:rsidRPr="00BC61ED">
              <w:rPr>
                <w:rFonts w:cs="GHEA Grapalat"/>
                <w:sz w:val="20"/>
                <w:szCs w:val="20"/>
                <w:lang w:val="hy-AM"/>
              </w:rPr>
              <w:t xml:space="preserve">Միջոցառման իրականացման արդյունքում ակնկալվում է բարձրացնել ՀՀ համայնքներում մատուցվող աղբահանության ծառայությունների որակը, ապահովել </w:t>
            </w:r>
            <w:r w:rsidRPr="00BC61ED">
              <w:rPr>
                <w:sz w:val="20"/>
                <w:szCs w:val="20"/>
                <w:lang w:val="hy-AM"/>
              </w:rPr>
              <w:t xml:space="preserve"> աղբահանության  ինքնածախսածակող համակարգի ինչի դեպքում  աղբահանության գծով եկամուտների ավելացմամբ և աղբահանության ծախսերի հստակեցամբ համայնքային բյուջեներից խնայվող ֆինանսական զգալի միջոցներ կուղղվեն համայնքների  զարգացմանմանն ուղղված կապիտալ այլ ծախսերին։ </w:t>
            </w:r>
          </w:p>
          <w:p w:rsidR="0068680D" w:rsidRPr="00BC61ED" w:rsidRDefault="0068680D" w:rsidP="00F47DC4">
            <w:pPr>
              <w:pStyle w:val="Style15"/>
              <w:spacing w:line="276" w:lineRule="auto"/>
              <w:ind w:right="146" w:firstLine="720"/>
              <w:rPr>
                <w:rFonts w:ascii="GHEA Grapalat" w:hAnsi="GHEA Grapalat"/>
                <w:b/>
                <w:sz w:val="20"/>
                <w:lang w:val="hy-AM"/>
              </w:rPr>
            </w:pPr>
          </w:p>
          <w:p w:rsidR="0068680D" w:rsidRPr="00664A80" w:rsidRDefault="0068680D" w:rsidP="00F47DC4">
            <w:pPr>
              <w:pStyle w:val="Style15"/>
              <w:spacing w:line="276" w:lineRule="auto"/>
              <w:ind w:left="284" w:right="142" w:firstLine="720"/>
              <w:rPr>
                <w:rFonts w:ascii="GHEA Grapalat" w:hAnsi="GHEA Grapalat"/>
                <w:b/>
                <w:sz w:val="20"/>
                <w:szCs w:val="24"/>
                <w:lang w:val="hy-AM"/>
              </w:rPr>
            </w:pPr>
            <w:r>
              <w:rPr>
                <w:rFonts w:ascii="GHEA Grapalat" w:hAnsi="GHEA Grapalat" w:cs="Cambria Math"/>
                <w:b/>
                <w:sz w:val="20"/>
                <w:lang w:val="hy-AM"/>
              </w:rPr>
              <w:t>9</w:t>
            </w:r>
            <w:r w:rsidRPr="00BC61ED">
              <w:rPr>
                <w:rFonts w:ascii="Cambria Math" w:hAnsi="Cambria Math" w:cs="Cambria Math"/>
                <w:b/>
                <w:sz w:val="20"/>
                <w:lang w:val="hy-AM"/>
              </w:rPr>
              <w:t>․</w:t>
            </w:r>
            <w:r w:rsidRPr="00BC61ED">
              <w:rPr>
                <w:rFonts w:ascii="GHEA Grapalat" w:hAnsi="GHEA Grapalat" w:cs="Cambria Math"/>
                <w:b/>
                <w:sz w:val="20"/>
                <w:lang w:val="hy-AM"/>
              </w:rPr>
              <w:t>3</w:t>
            </w:r>
            <w:r w:rsidRPr="00BC61ED">
              <w:rPr>
                <w:rFonts w:ascii="GHEA Grapalat" w:hAnsi="GHEA Grapalat"/>
                <w:b/>
                <w:sz w:val="20"/>
                <w:lang w:val="hy-AM"/>
              </w:rPr>
              <w:t xml:space="preserve"> </w:t>
            </w:r>
            <w:r w:rsidRPr="00664A80">
              <w:rPr>
                <w:rFonts w:ascii="GHEA Grapalat" w:hAnsi="GHEA Grapalat"/>
                <w:b/>
                <w:sz w:val="20"/>
                <w:szCs w:val="24"/>
                <w:lang w:val="hy-AM"/>
              </w:rPr>
              <w:t>Աղբահանության համակարգի ռազմավարության մշակում</w:t>
            </w:r>
          </w:p>
          <w:p w:rsidR="0068680D" w:rsidRPr="00664A80" w:rsidRDefault="0068680D" w:rsidP="00F47DC4">
            <w:pPr>
              <w:pStyle w:val="Style15"/>
              <w:spacing w:line="276" w:lineRule="auto"/>
              <w:ind w:left="284" w:right="142" w:firstLine="720"/>
              <w:rPr>
                <w:rFonts w:ascii="GHEA Grapalat" w:hAnsi="GHEA Grapalat"/>
                <w:b/>
                <w:sz w:val="20"/>
                <w:szCs w:val="24"/>
                <w:lang w:val="hy-AM"/>
              </w:rPr>
            </w:pPr>
          </w:p>
          <w:p w:rsidR="0068680D" w:rsidRPr="00664A80" w:rsidRDefault="0068680D" w:rsidP="00F47DC4">
            <w:pPr>
              <w:spacing w:line="276" w:lineRule="auto"/>
              <w:ind w:left="284" w:right="142" w:firstLine="720"/>
              <w:jc w:val="both"/>
              <w:rPr>
                <w:b/>
                <w:sz w:val="20"/>
                <w:szCs w:val="24"/>
                <w:lang w:val="hy-AM"/>
              </w:rPr>
            </w:pPr>
            <w:r w:rsidRPr="00664A80">
              <w:rPr>
                <w:sz w:val="20"/>
                <w:szCs w:val="24"/>
                <w:lang w:val="hy-AM"/>
              </w:rPr>
              <w:t xml:space="preserve"> </w:t>
            </w:r>
            <w:r w:rsidRPr="00664A80">
              <w:rPr>
                <w:b/>
                <w:sz w:val="20"/>
                <w:szCs w:val="24"/>
                <w:lang w:val="hy-AM"/>
              </w:rPr>
              <w:t>1</w:t>
            </w:r>
            <w:r w:rsidRPr="00664A80">
              <w:rPr>
                <w:rFonts w:ascii="Cambria Math" w:hAnsi="Cambria Math" w:cs="Cambria Math"/>
                <w:b/>
                <w:sz w:val="20"/>
                <w:szCs w:val="24"/>
                <w:lang w:val="hy-AM"/>
              </w:rPr>
              <w:t>․</w:t>
            </w:r>
            <w:r w:rsidRPr="00664A80">
              <w:rPr>
                <w:rFonts w:cs="Cambria Math"/>
                <w:b/>
                <w:sz w:val="20"/>
                <w:szCs w:val="24"/>
                <w:lang w:val="hy-AM"/>
              </w:rPr>
              <w:t xml:space="preserve"> </w:t>
            </w:r>
            <w:r w:rsidRPr="00664A80">
              <w:rPr>
                <w:b/>
                <w:sz w:val="20"/>
                <w:szCs w:val="24"/>
                <w:lang w:val="hy-AM"/>
              </w:rPr>
              <w:t>Միջոցառման անհրաժեշտությունը (նպատակ)</w:t>
            </w:r>
          </w:p>
          <w:p w:rsidR="0068680D" w:rsidRPr="00664A80" w:rsidRDefault="0068680D" w:rsidP="00F47DC4">
            <w:pPr>
              <w:spacing w:line="276" w:lineRule="auto"/>
              <w:ind w:left="284" w:right="142" w:firstLine="720"/>
              <w:jc w:val="both"/>
              <w:rPr>
                <w:rFonts w:cs="Arial"/>
                <w:sz w:val="20"/>
                <w:szCs w:val="24"/>
                <w:lang w:val="hy-AM"/>
              </w:rPr>
            </w:pPr>
            <w:r w:rsidRPr="00664A80">
              <w:rPr>
                <w:sz w:val="20"/>
                <w:szCs w:val="24"/>
                <w:lang w:val="hy-AM"/>
              </w:rPr>
              <w:t>Միջոցառման կատարումը բխում է «Աղբահանության և սանիտարական մաքրման մասին» Հայաստանի Հանրապետության օրենքի 4</w:t>
            </w:r>
            <w:r w:rsidRPr="00664A80">
              <w:rPr>
                <w:rFonts w:ascii="Cambria Math" w:hAnsi="Cambria Math" w:cs="Cambria Math"/>
                <w:sz w:val="20"/>
                <w:szCs w:val="24"/>
                <w:lang w:val="hy-AM"/>
              </w:rPr>
              <w:t>․</w:t>
            </w:r>
            <w:r w:rsidRPr="00664A80">
              <w:rPr>
                <w:sz w:val="20"/>
                <w:szCs w:val="24"/>
                <w:lang w:val="hy-AM"/>
              </w:rPr>
              <w:t>1 և 4</w:t>
            </w:r>
            <w:r w:rsidRPr="00664A80">
              <w:rPr>
                <w:rFonts w:ascii="Cambria Math" w:hAnsi="Cambria Math" w:cs="Cambria Math"/>
                <w:sz w:val="20"/>
                <w:szCs w:val="24"/>
                <w:lang w:val="hy-AM"/>
              </w:rPr>
              <w:t>․</w:t>
            </w:r>
            <w:r w:rsidRPr="00664A80">
              <w:rPr>
                <w:sz w:val="20"/>
                <w:szCs w:val="24"/>
                <w:lang w:val="hy-AM"/>
              </w:rPr>
              <w:t xml:space="preserve">2 հոդվածներից և անհրաժեշտությունը պայմանավորված է </w:t>
            </w:r>
            <w:r w:rsidRPr="00664A80">
              <w:rPr>
                <w:rFonts w:cs="Arial"/>
                <w:sz w:val="20"/>
                <w:szCs w:val="24"/>
                <w:lang w:val="pt-BR"/>
              </w:rPr>
              <w:t>ՀՀ</w:t>
            </w:r>
            <w:r w:rsidRPr="00664A80">
              <w:rPr>
                <w:sz w:val="20"/>
                <w:szCs w:val="24"/>
                <w:lang w:val="pt-BR"/>
              </w:rPr>
              <w:t xml:space="preserve"> </w:t>
            </w:r>
            <w:r w:rsidRPr="00664A80">
              <w:rPr>
                <w:rFonts w:cs="Arial"/>
                <w:sz w:val="20"/>
                <w:szCs w:val="24"/>
                <w:lang w:val="pt-BR"/>
              </w:rPr>
              <w:t>տարածքներում</w:t>
            </w:r>
            <w:r w:rsidRPr="00664A80">
              <w:rPr>
                <w:rFonts w:cs="Arial"/>
                <w:sz w:val="20"/>
                <w:szCs w:val="24"/>
                <w:lang w:val="hy-AM"/>
              </w:rPr>
              <w:t xml:space="preserve"> բ</w:t>
            </w:r>
            <w:r w:rsidRPr="00664A80">
              <w:rPr>
                <w:rFonts w:cs="Arial"/>
                <w:sz w:val="20"/>
                <w:szCs w:val="24"/>
                <w:lang w:val="pt-BR"/>
              </w:rPr>
              <w:t>նակչության</w:t>
            </w:r>
            <w:r w:rsidRPr="00664A80">
              <w:rPr>
                <w:sz w:val="20"/>
                <w:szCs w:val="24"/>
                <w:lang w:val="pt-BR"/>
              </w:rPr>
              <w:t xml:space="preserve"> </w:t>
            </w:r>
            <w:r w:rsidRPr="00664A80">
              <w:rPr>
                <w:rFonts w:cs="Arial"/>
                <w:sz w:val="20"/>
                <w:szCs w:val="24"/>
                <w:lang w:val="pt-BR"/>
              </w:rPr>
              <w:t>համար</w:t>
            </w:r>
            <w:r w:rsidRPr="00664A80">
              <w:rPr>
                <w:sz w:val="20"/>
                <w:szCs w:val="24"/>
                <w:lang w:val="pt-BR"/>
              </w:rPr>
              <w:t xml:space="preserve"> </w:t>
            </w:r>
            <w:r w:rsidRPr="00664A80">
              <w:rPr>
                <w:rFonts w:cs="Arial"/>
                <w:sz w:val="20"/>
                <w:szCs w:val="24"/>
                <w:lang w:val="pt-BR"/>
              </w:rPr>
              <w:t>հարմարավետ</w:t>
            </w:r>
            <w:r w:rsidRPr="00664A80">
              <w:rPr>
                <w:sz w:val="20"/>
                <w:szCs w:val="24"/>
                <w:lang w:val="pt-BR"/>
              </w:rPr>
              <w:t xml:space="preserve"> </w:t>
            </w:r>
            <w:r w:rsidRPr="00664A80">
              <w:rPr>
                <w:rFonts w:cs="Arial"/>
                <w:sz w:val="20"/>
                <w:szCs w:val="24"/>
                <w:lang w:val="pt-BR"/>
              </w:rPr>
              <w:t>և</w:t>
            </w:r>
            <w:r w:rsidRPr="00664A80">
              <w:rPr>
                <w:sz w:val="20"/>
                <w:szCs w:val="24"/>
                <w:lang w:val="pt-BR"/>
              </w:rPr>
              <w:t xml:space="preserve"> </w:t>
            </w:r>
            <w:r w:rsidRPr="00664A80">
              <w:rPr>
                <w:rFonts w:cs="Arial"/>
                <w:sz w:val="20"/>
                <w:szCs w:val="24"/>
                <w:lang w:val="pt-BR"/>
              </w:rPr>
              <w:t>էկոլոգիապես</w:t>
            </w:r>
            <w:r w:rsidRPr="00664A80">
              <w:rPr>
                <w:sz w:val="20"/>
                <w:szCs w:val="24"/>
                <w:lang w:val="pt-BR"/>
              </w:rPr>
              <w:t xml:space="preserve"> </w:t>
            </w:r>
            <w:r w:rsidRPr="00664A80">
              <w:rPr>
                <w:rFonts w:cs="Arial"/>
                <w:sz w:val="20"/>
                <w:szCs w:val="24"/>
                <w:lang w:val="pt-BR"/>
              </w:rPr>
              <w:t>անվտանգ</w:t>
            </w:r>
            <w:r w:rsidRPr="00664A80">
              <w:rPr>
                <w:sz w:val="20"/>
                <w:szCs w:val="24"/>
                <w:lang w:val="pt-BR"/>
              </w:rPr>
              <w:t xml:space="preserve"> </w:t>
            </w:r>
            <w:r w:rsidRPr="00664A80">
              <w:rPr>
                <w:rFonts w:cs="Arial"/>
                <w:sz w:val="20"/>
                <w:szCs w:val="24"/>
                <w:lang w:val="pt-BR"/>
              </w:rPr>
              <w:t>պայմանների</w:t>
            </w:r>
            <w:r w:rsidRPr="00664A80">
              <w:rPr>
                <w:sz w:val="20"/>
                <w:szCs w:val="24"/>
                <w:lang w:val="pt-BR"/>
              </w:rPr>
              <w:t xml:space="preserve"> </w:t>
            </w:r>
            <w:r w:rsidRPr="00664A80">
              <w:rPr>
                <w:rFonts w:cs="Arial"/>
                <w:sz w:val="20"/>
                <w:szCs w:val="24"/>
                <w:lang w:val="pt-BR"/>
              </w:rPr>
              <w:t>ապահովմա</w:t>
            </w:r>
            <w:r w:rsidRPr="00664A80">
              <w:rPr>
                <w:rFonts w:cs="Arial"/>
                <w:sz w:val="20"/>
                <w:szCs w:val="24"/>
                <w:lang w:val="hy-AM"/>
              </w:rPr>
              <w:t>մբ։</w:t>
            </w:r>
          </w:p>
          <w:p w:rsidR="0068680D" w:rsidRPr="00664A80" w:rsidRDefault="0068680D" w:rsidP="00F47DC4">
            <w:pPr>
              <w:pStyle w:val="Style15"/>
              <w:spacing w:line="276" w:lineRule="auto"/>
              <w:ind w:left="284" w:right="142" w:firstLine="720"/>
              <w:rPr>
                <w:rFonts w:ascii="GHEA Grapalat" w:hAnsi="GHEA Grapalat"/>
                <w:b/>
                <w:sz w:val="20"/>
                <w:szCs w:val="24"/>
                <w:lang w:val="hy-AM"/>
              </w:rPr>
            </w:pPr>
            <w:r w:rsidRPr="00664A80">
              <w:rPr>
                <w:rFonts w:ascii="GHEA Grapalat" w:hAnsi="GHEA Grapalat"/>
                <w:b/>
                <w:sz w:val="20"/>
                <w:szCs w:val="24"/>
                <w:lang w:val="hy-AM"/>
              </w:rPr>
              <w:t>1</w:t>
            </w:r>
            <w:r w:rsidRPr="00664A80">
              <w:rPr>
                <w:rFonts w:ascii="Cambria Math" w:hAnsi="Cambria Math" w:cs="Cambria Math"/>
                <w:b/>
                <w:sz w:val="20"/>
                <w:szCs w:val="24"/>
                <w:lang w:val="hy-AM"/>
              </w:rPr>
              <w:t>․</w:t>
            </w:r>
            <w:r w:rsidRPr="00664A80">
              <w:rPr>
                <w:rFonts w:ascii="GHEA Grapalat" w:hAnsi="GHEA Grapalat"/>
                <w:b/>
                <w:sz w:val="20"/>
                <w:szCs w:val="24"/>
                <w:lang w:val="hy-AM"/>
              </w:rPr>
              <w:t>1 Կ</w:t>
            </w:r>
            <w:r w:rsidRPr="00664A80">
              <w:rPr>
                <w:rFonts w:ascii="GHEA Grapalat" w:hAnsi="GHEA Grapalat" w:cs="Arial"/>
                <w:b/>
                <w:sz w:val="20"/>
                <w:szCs w:val="24"/>
                <w:lang w:val="hy-AM"/>
              </w:rPr>
              <w:t>արգավորման</w:t>
            </w:r>
            <w:r w:rsidRPr="00664A80">
              <w:rPr>
                <w:rFonts w:ascii="GHEA Grapalat" w:hAnsi="GHEA Grapalat" w:cs="Arial Armenian"/>
                <w:b/>
                <w:sz w:val="20"/>
                <w:szCs w:val="24"/>
                <w:lang w:val="hy-AM"/>
              </w:rPr>
              <w:t xml:space="preserve"> </w:t>
            </w:r>
            <w:r w:rsidRPr="00664A80">
              <w:rPr>
                <w:rFonts w:ascii="GHEA Grapalat" w:hAnsi="GHEA Grapalat" w:cs="Arial"/>
                <w:b/>
                <w:sz w:val="20"/>
                <w:szCs w:val="24"/>
                <w:lang w:val="hy-AM"/>
              </w:rPr>
              <w:t>հարաբերությունների</w:t>
            </w:r>
            <w:r w:rsidRPr="00664A80">
              <w:rPr>
                <w:rFonts w:ascii="GHEA Grapalat" w:hAnsi="GHEA Grapalat" w:cs="Arial Armenian"/>
                <w:b/>
                <w:sz w:val="20"/>
                <w:szCs w:val="24"/>
                <w:lang w:val="hy-AM"/>
              </w:rPr>
              <w:t xml:space="preserve"> </w:t>
            </w:r>
            <w:r w:rsidRPr="00664A80">
              <w:rPr>
                <w:rFonts w:ascii="GHEA Grapalat" w:hAnsi="GHEA Grapalat" w:cs="Arial"/>
                <w:b/>
                <w:sz w:val="20"/>
                <w:szCs w:val="24"/>
                <w:lang w:val="hy-AM"/>
              </w:rPr>
              <w:t>ներկա</w:t>
            </w:r>
            <w:r w:rsidRPr="00664A80">
              <w:rPr>
                <w:rFonts w:ascii="GHEA Grapalat" w:hAnsi="GHEA Grapalat" w:cs="Arial Armenian"/>
                <w:b/>
                <w:sz w:val="20"/>
                <w:szCs w:val="24"/>
                <w:lang w:val="hy-AM"/>
              </w:rPr>
              <w:t xml:space="preserve"> </w:t>
            </w:r>
            <w:r w:rsidRPr="00664A80">
              <w:rPr>
                <w:rFonts w:ascii="GHEA Grapalat" w:hAnsi="GHEA Grapalat" w:cs="Arial"/>
                <w:b/>
                <w:sz w:val="20"/>
                <w:szCs w:val="24"/>
                <w:lang w:val="hy-AM"/>
              </w:rPr>
              <w:t>վիճակը</w:t>
            </w:r>
            <w:r w:rsidRPr="00664A80">
              <w:rPr>
                <w:rFonts w:ascii="GHEA Grapalat" w:hAnsi="GHEA Grapalat" w:cs="Arial Armenian"/>
                <w:b/>
                <w:sz w:val="20"/>
                <w:szCs w:val="24"/>
                <w:lang w:val="hy-AM"/>
              </w:rPr>
              <w:t xml:space="preserve"> </w:t>
            </w:r>
            <w:r w:rsidRPr="00664A80">
              <w:rPr>
                <w:rFonts w:ascii="GHEA Grapalat" w:hAnsi="GHEA Grapalat" w:cs="Arial"/>
                <w:b/>
                <w:sz w:val="20"/>
                <w:szCs w:val="24"/>
                <w:lang w:val="hy-AM"/>
              </w:rPr>
              <w:t>և</w:t>
            </w:r>
            <w:r w:rsidRPr="00664A80">
              <w:rPr>
                <w:rFonts w:ascii="GHEA Grapalat" w:hAnsi="GHEA Grapalat" w:cs="Arial Armenian"/>
                <w:b/>
                <w:sz w:val="20"/>
                <w:szCs w:val="24"/>
                <w:lang w:val="hy-AM"/>
              </w:rPr>
              <w:t xml:space="preserve"> </w:t>
            </w:r>
            <w:r w:rsidRPr="00664A80">
              <w:rPr>
                <w:rFonts w:ascii="GHEA Grapalat" w:hAnsi="GHEA Grapalat" w:cs="Arial"/>
                <w:b/>
                <w:sz w:val="20"/>
                <w:szCs w:val="24"/>
                <w:lang w:val="hy-AM"/>
              </w:rPr>
              <w:t>առկա</w:t>
            </w:r>
            <w:r w:rsidRPr="00664A80">
              <w:rPr>
                <w:rFonts w:ascii="GHEA Grapalat" w:hAnsi="GHEA Grapalat" w:cs="Arial Armenian"/>
                <w:b/>
                <w:sz w:val="20"/>
                <w:szCs w:val="24"/>
                <w:lang w:val="hy-AM"/>
              </w:rPr>
              <w:t xml:space="preserve"> </w:t>
            </w:r>
            <w:r w:rsidRPr="00664A80">
              <w:rPr>
                <w:rFonts w:ascii="GHEA Grapalat" w:hAnsi="GHEA Grapalat" w:cs="Arial"/>
                <w:b/>
                <w:sz w:val="20"/>
                <w:szCs w:val="24"/>
                <w:lang w:val="hy-AM"/>
              </w:rPr>
              <w:t>խնդիրները</w:t>
            </w:r>
            <w:r w:rsidRPr="00664A80">
              <w:rPr>
                <w:rFonts w:ascii="GHEA Grapalat" w:hAnsi="GHEA Grapalat"/>
                <w:b/>
                <w:sz w:val="20"/>
                <w:szCs w:val="24"/>
                <w:lang w:val="hy-AM"/>
              </w:rPr>
              <w:t xml:space="preserve">  </w:t>
            </w:r>
          </w:p>
          <w:p w:rsidR="0068680D" w:rsidRPr="00664A80" w:rsidRDefault="0068680D" w:rsidP="00F47DC4">
            <w:pPr>
              <w:pStyle w:val="Style15"/>
              <w:spacing w:line="276" w:lineRule="auto"/>
              <w:ind w:left="284" w:right="142" w:firstLine="720"/>
              <w:rPr>
                <w:rFonts w:ascii="GHEA Grapalat" w:hAnsi="GHEA Grapalat" w:cs="Arial"/>
                <w:sz w:val="20"/>
                <w:szCs w:val="24"/>
                <w:lang w:val="hy-AM" w:eastAsia="en-GB"/>
              </w:rPr>
            </w:pPr>
            <w:r w:rsidRPr="00664A80">
              <w:rPr>
                <w:rFonts w:ascii="GHEA Grapalat" w:hAnsi="GHEA Grapalat"/>
                <w:sz w:val="20"/>
                <w:szCs w:val="24"/>
                <w:lang w:val="hy-AM"/>
              </w:rPr>
              <w:t xml:space="preserve">Հանրապետության բնակավայրերում չի գործում կազմակերպված աղբահավաքություն։ Եթե քաղաքային համայնքներում աղբը ինչ որ կերպ հավաքվում է, ապա գյուղական շատ համայնքներում  այն չի իրականացվում, կամ իրականացվում է շաբաթը մեկ կամ երկու շաբաթը մեկ, ինչը բացասական ազդեցություն է թողնում շրջակա միջավայրի և մարդու առողջության վրա։ </w:t>
            </w:r>
            <w:r w:rsidRPr="00664A80">
              <w:rPr>
                <w:rFonts w:ascii="GHEA Grapalat" w:hAnsi="GHEA Grapalat" w:cs="Arial"/>
                <w:sz w:val="20"/>
                <w:szCs w:val="24"/>
                <w:lang w:val="hy-AM" w:eastAsia="en-GB"/>
              </w:rPr>
              <w:t>Համայնքային միջոցների սղությունն ու մասնավոր հատվածի կողմից հետաքրքրվածության բացակայությունը բավարար չեն բարձրորակ ծառայություններ մատուցելու համար, իսկ ֆոնդային միջոցների բացակայությունը պատճառ է ներդրումների բացակայության։</w:t>
            </w:r>
          </w:p>
          <w:p w:rsidR="0068680D" w:rsidRPr="00664A80" w:rsidRDefault="0068680D" w:rsidP="00F47DC4">
            <w:pPr>
              <w:spacing w:line="276" w:lineRule="auto"/>
              <w:ind w:left="284" w:right="142" w:firstLine="720"/>
              <w:jc w:val="both"/>
              <w:rPr>
                <w:sz w:val="20"/>
                <w:szCs w:val="24"/>
                <w:lang w:val="hy-AM" w:eastAsia="en-GB"/>
              </w:rPr>
            </w:pPr>
            <w:r w:rsidRPr="00664A80">
              <w:rPr>
                <w:rFonts w:cs="Arial"/>
                <w:sz w:val="20"/>
                <w:szCs w:val="24"/>
                <w:lang w:val="hy-AM" w:eastAsia="en-GB"/>
              </w:rPr>
              <w:t>Բացակայում են նվազագույն չափանիշներին համապատասխանող աղբավայրերը։ Բնակավայրերում տարիների ընթացքում ստեղծվել են կամ տարերայնորեն ձևավորվել են բազմաթիվ աղբավայրեր և աղբանոցներ, որոնք զբաղեցնում են զգալի տարածքներ և առաջացնում են լուրջ բնապահպանական և սանիտարական խնդիրներ: Պրակտիկայում կենցաղային աղբը թափվում է աղբի համար նախատեսված վայրերից դուրս` պատահական վայրերում` բակային տարածքներում, այգիներում, բանջարանոցներում, ավտոճանապարհների եզրերին, ձորերում, գետափերին՝ առաջացնելով հողերի, մակերևութային և ստորգետնյա ջրերի, մթնոլորտային օդի ախտոտման ռիսկեր։</w:t>
            </w:r>
          </w:p>
          <w:p w:rsidR="0068680D" w:rsidRPr="00664A80" w:rsidRDefault="0068680D" w:rsidP="00F47DC4">
            <w:pPr>
              <w:pStyle w:val="Style15"/>
              <w:spacing w:line="276" w:lineRule="auto"/>
              <w:ind w:left="284" w:right="142" w:firstLine="720"/>
              <w:rPr>
                <w:rFonts w:ascii="GHEA Grapalat" w:hAnsi="GHEA Grapalat"/>
                <w:sz w:val="20"/>
                <w:szCs w:val="24"/>
                <w:lang w:val="hy-AM"/>
              </w:rPr>
            </w:pPr>
            <w:r w:rsidRPr="00664A80">
              <w:rPr>
                <w:rFonts w:ascii="GHEA Grapalat" w:hAnsi="GHEA Grapalat" w:cs="Arial"/>
                <w:sz w:val="20"/>
                <w:szCs w:val="24"/>
                <w:lang w:val="hy-AM" w:eastAsia="en-GB"/>
              </w:rPr>
              <w:t xml:space="preserve"> Բացակայում են նաև աղբի տեսակավորման և վերամշակման ենթակառուցվածքները, բացառությամբ մի քանի օրինակների։</w:t>
            </w:r>
          </w:p>
          <w:p w:rsidR="0068680D" w:rsidRPr="00664A80" w:rsidRDefault="0068680D" w:rsidP="0068680D">
            <w:pPr>
              <w:pStyle w:val="Style15"/>
              <w:numPr>
                <w:ilvl w:val="1"/>
                <w:numId w:val="138"/>
              </w:numPr>
              <w:spacing w:line="276" w:lineRule="auto"/>
              <w:ind w:left="284" w:right="142" w:firstLine="720"/>
              <w:rPr>
                <w:rFonts w:ascii="GHEA Grapalat" w:hAnsi="GHEA Grapalat"/>
                <w:sz w:val="20"/>
                <w:szCs w:val="24"/>
                <w:lang w:val="hy-AM"/>
              </w:rPr>
            </w:pPr>
            <w:r w:rsidRPr="00664A80">
              <w:rPr>
                <w:rFonts w:ascii="GHEA Grapalat" w:hAnsi="GHEA Grapalat" w:cs="Arial"/>
                <w:b/>
                <w:sz w:val="20"/>
                <w:szCs w:val="24"/>
                <w:lang w:val="hy-AM"/>
              </w:rPr>
              <w:t>Առկա</w:t>
            </w:r>
            <w:r w:rsidRPr="00664A80">
              <w:rPr>
                <w:rFonts w:ascii="GHEA Grapalat" w:hAnsi="GHEA Grapalat" w:cs="Arial Armenian"/>
                <w:b/>
                <w:sz w:val="20"/>
                <w:szCs w:val="24"/>
                <w:lang w:val="hy-AM"/>
              </w:rPr>
              <w:t xml:space="preserve"> </w:t>
            </w:r>
            <w:r w:rsidRPr="00664A80">
              <w:rPr>
                <w:rFonts w:ascii="GHEA Grapalat" w:hAnsi="GHEA Grapalat" w:cs="Arial"/>
                <w:b/>
                <w:sz w:val="20"/>
                <w:szCs w:val="24"/>
                <w:lang w:val="hy-AM"/>
              </w:rPr>
              <w:t>խնդիրների</w:t>
            </w:r>
            <w:r w:rsidRPr="00664A80">
              <w:rPr>
                <w:rFonts w:ascii="GHEA Grapalat" w:hAnsi="GHEA Grapalat" w:cs="Arial Armenian"/>
                <w:b/>
                <w:sz w:val="20"/>
                <w:szCs w:val="24"/>
                <w:lang w:val="hy-AM"/>
              </w:rPr>
              <w:t xml:space="preserve"> </w:t>
            </w:r>
            <w:r w:rsidRPr="00664A80">
              <w:rPr>
                <w:rFonts w:ascii="GHEA Grapalat" w:hAnsi="GHEA Grapalat" w:cs="Arial"/>
                <w:b/>
                <w:sz w:val="20"/>
                <w:szCs w:val="24"/>
                <w:lang w:val="hy-AM"/>
              </w:rPr>
              <w:t>առաջարկվող</w:t>
            </w:r>
            <w:r w:rsidRPr="00664A80">
              <w:rPr>
                <w:rFonts w:ascii="GHEA Grapalat" w:hAnsi="GHEA Grapalat" w:cs="Arial Armenian"/>
                <w:b/>
                <w:sz w:val="20"/>
                <w:szCs w:val="24"/>
                <w:lang w:val="hy-AM"/>
              </w:rPr>
              <w:t xml:space="preserve"> </w:t>
            </w:r>
            <w:r w:rsidRPr="00664A80">
              <w:rPr>
                <w:rFonts w:ascii="GHEA Grapalat" w:hAnsi="GHEA Grapalat" w:cs="Arial"/>
                <w:b/>
                <w:sz w:val="20"/>
                <w:szCs w:val="24"/>
                <w:lang w:val="hy-AM"/>
              </w:rPr>
              <w:t>լուծումները</w:t>
            </w:r>
            <w:r w:rsidRPr="00664A80">
              <w:rPr>
                <w:rFonts w:ascii="GHEA Grapalat" w:hAnsi="GHEA Grapalat"/>
                <w:sz w:val="20"/>
                <w:szCs w:val="24"/>
                <w:lang w:val="hy-AM"/>
              </w:rPr>
              <w:t xml:space="preserve"> </w:t>
            </w:r>
          </w:p>
          <w:p w:rsidR="0068680D" w:rsidRPr="00664A80" w:rsidRDefault="0068680D" w:rsidP="00F47DC4">
            <w:pPr>
              <w:pStyle w:val="Style15"/>
              <w:spacing w:line="276" w:lineRule="auto"/>
              <w:ind w:left="284" w:right="142" w:firstLine="720"/>
              <w:rPr>
                <w:rFonts w:ascii="GHEA Grapalat" w:hAnsi="GHEA Grapalat"/>
                <w:sz w:val="20"/>
                <w:szCs w:val="24"/>
                <w:lang w:val="hy-AM"/>
              </w:rPr>
            </w:pPr>
            <w:r w:rsidRPr="00664A80">
              <w:rPr>
                <w:rFonts w:ascii="GHEA Grapalat" w:hAnsi="GHEA Grapalat"/>
                <w:sz w:val="20"/>
                <w:szCs w:val="24"/>
                <w:lang w:val="hy-AM"/>
              </w:rPr>
              <w:t>Առաջարկվում է մշակել հանրապետության բոլոր բնակավայրերում աղբի հավաքման, հեռացման և անվնաս տեղադրման կամ  վերամշակման սխեմաները, հաշվի առնելով հանրապետությունում գոյացող աղբի քանակն ու տեսակը՝ ըստ տարածքների, և ներդնել  կոշտ կենցաղային թափոնների վերամշակման մեխանիզմները։</w:t>
            </w:r>
          </w:p>
          <w:p w:rsidR="0068680D" w:rsidRPr="00664A80" w:rsidRDefault="0068680D" w:rsidP="00F47DC4">
            <w:pPr>
              <w:pStyle w:val="Style15"/>
              <w:spacing w:line="276" w:lineRule="auto"/>
              <w:ind w:left="284" w:right="142" w:firstLine="720"/>
              <w:rPr>
                <w:rFonts w:ascii="GHEA Grapalat" w:hAnsi="GHEA Grapalat"/>
                <w:sz w:val="20"/>
                <w:szCs w:val="24"/>
                <w:lang w:val="hy-AM"/>
              </w:rPr>
            </w:pPr>
            <w:r w:rsidRPr="00664A80">
              <w:rPr>
                <w:rFonts w:ascii="GHEA Grapalat" w:hAnsi="GHEA Grapalat" w:cs="Arial"/>
                <w:sz w:val="20"/>
                <w:szCs w:val="24"/>
                <w:lang w:val="hy-AM"/>
              </w:rPr>
              <w:t xml:space="preserve">հաշվի առնելով, որ </w:t>
            </w:r>
            <w:r w:rsidRPr="00664A80">
              <w:rPr>
                <w:rFonts w:ascii="GHEA Grapalat" w:hAnsi="GHEA Grapalat"/>
                <w:sz w:val="20"/>
                <w:szCs w:val="24"/>
                <w:lang w:val="hy-AM"/>
              </w:rPr>
              <w:t>Հայաստանի</w:t>
            </w:r>
            <w:r w:rsidRPr="00664A80">
              <w:rPr>
                <w:rFonts w:ascii="GHEA Grapalat" w:hAnsi="GHEA Grapalat" w:cs="ArialArmenianMT"/>
                <w:sz w:val="20"/>
                <w:szCs w:val="24"/>
                <w:lang w:val="hy-AM"/>
              </w:rPr>
              <w:t xml:space="preserve"> </w:t>
            </w:r>
            <w:r w:rsidRPr="00664A80">
              <w:rPr>
                <w:rFonts w:ascii="GHEA Grapalat" w:hAnsi="GHEA Grapalat"/>
                <w:sz w:val="20"/>
                <w:szCs w:val="24"/>
                <w:lang w:val="hy-AM"/>
              </w:rPr>
              <w:t>աղբավայրերի</w:t>
            </w:r>
            <w:r w:rsidRPr="00664A80">
              <w:rPr>
                <w:rFonts w:ascii="GHEA Grapalat" w:hAnsi="GHEA Grapalat" w:cs="ArialArmenianMT"/>
                <w:sz w:val="20"/>
                <w:szCs w:val="24"/>
                <w:lang w:val="hy-AM"/>
              </w:rPr>
              <w:t xml:space="preserve"> </w:t>
            </w:r>
            <w:r w:rsidRPr="00664A80">
              <w:rPr>
                <w:rFonts w:ascii="GHEA Grapalat" w:hAnsi="GHEA Grapalat"/>
                <w:sz w:val="20"/>
                <w:szCs w:val="24"/>
                <w:lang w:val="hy-AM"/>
              </w:rPr>
              <w:t>մեծ</w:t>
            </w:r>
            <w:r w:rsidRPr="00664A80">
              <w:rPr>
                <w:rFonts w:ascii="GHEA Grapalat" w:hAnsi="GHEA Grapalat" w:cs="ArialArmenianMT"/>
                <w:sz w:val="20"/>
                <w:szCs w:val="24"/>
                <w:lang w:val="hy-AM"/>
              </w:rPr>
              <w:t xml:space="preserve"> </w:t>
            </w:r>
            <w:r w:rsidRPr="00664A80">
              <w:rPr>
                <w:rFonts w:ascii="GHEA Grapalat" w:hAnsi="GHEA Grapalat"/>
                <w:sz w:val="20"/>
                <w:szCs w:val="24"/>
                <w:lang w:val="hy-AM"/>
              </w:rPr>
              <w:t>մասը</w:t>
            </w:r>
            <w:r w:rsidRPr="00664A80">
              <w:rPr>
                <w:rFonts w:ascii="GHEA Grapalat" w:hAnsi="GHEA Grapalat" w:cs="ArialArmenianMT"/>
                <w:sz w:val="20"/>
                <w:szCs w:val="24"/>
                <w:lang w:val="hy-AM"/>
              </w:rPr>
              <w:t xml:space="preserve"> </w:t>
            </w:r>
            <w:r w:rsidRPr="00664A80">
              <w:rPr>
                <w:rFonts w:ascii="GHEA Grapalat" w:hAnsi="GHEA Grapalat"/>
                <w:sz w:val="20"/>
                <w:szCs w:val="24"/>
                <w:lang w:val="hy-AM"/>
              </w:rPr>
              <w:t>չի համապատասխանում</w:t>
            </w:r>
            <w:r w:rsidRPr="00664A80">
              <w:rPr>
                <w:rFonts w:ascii="GHEA Grapalat" w:hAnsi="GHEA Grapalat" w:cs="ArialArmenianMT"/>
                <w:sz w:val="20"/>
                <w:szCs w:val="24"/>
                <w:lang w:val="hy-AM"/>
              </w:rPr>
              <w:t xml:space="preserve"> </w:t>
            </w:r>
            <w:r w:rsidRPr="00664A80">
              <w:rPr>
                <w:rFonts w:ascii="GHEA Grapalat" w:hAnsi="GHEA Grapalat"/>
                <w:sz w:val="20"/>
                <w:szCs w:val="24"/>
                <w:lang w:val="hy-AM"/>
              </w:rPr>
              <w:t>սանիտարահիգիենիկ</w:t>
            </w:r>
            <w:r w:rsidRPr="00664A80">
              <w:rPr>
                <w:rFonts w:ascii="GHEA Grapalat" w:hAnsi="GHEA Grapalat" w:cs="ArialArmenianMT"/>
                <w:sz w:val="20"/>
                <w:szCs w:val="24"/>
                <w:lang w:val="hy-AM"/>
              </w:rPr>
              <w:t xml:space="preserve"> </w:t>
            </w:r>
            <w:r w:rsidRPr="00664A80">
              <w:rPr>
                <w:rFonts w:ascii="GHEA Grapalat" w:hAnsi="GHEA Grapalat"/>
                <w:sz w:val="20"/>
                <w:szCs w:val="24"/>
                <w:lang w:val="hy-AM"/>
              </w:rPr>
              <w:t>և</w:t>
            </w:r>
            <w:r w:rsidRPr="00664A80">
              <w:rPr>
                <w:rFonts w:ascii="GHEA Grapalat" w:hAnsi="GHEA Grapalat" w:cs="ArialArmenianMT"/>
                <w:sz w:val="20"/>
                <w:szCs w:val="24"/>
                <w:lang w:val="hy-AM"/>
              </w:rPr>
              <w:t xml:space="preserve"> բ</w:t>
            </w:r>
            <w:r w:rsidRPr="00664A80">
              <w:rPr>
                <w:rFonts w:ascii="GHEA Grapalat" w:hAnsi="GHEA Grapalat"/>
                <w:sz w:val="20"/>
                <w:szCs w:val="24"/>
                <w:lang w:val="hy-AM"/>
              </w:rPr>
              <w:t>նապահպանական</w:t>
            </w:r>
            <w:r w:rsidRPr="00664A80">
              <w:rPr>
                <w:rFonts w:ascii="GHEA Grapalat" w:hAnsi="GHEA Grapalat" w:cs="ArialArmenianMT"/>
                <w:sz w:val="20"/>
                <w:szCs w:val="24"/>
                <w:lang w:val="hy-AM"/>
              </w:rPr>
              <w:t xml:space="preserve"> </w:t>
            </w:r>
            <w:r w:rsidRPr="00664A80">
              <w:rPr>
                <w:rFonts w:ascii="GHEA Grapalat" w:hAnsi="GHEA Grapalat"/>
                <w:sz w:val="20"/>
                <w:szCs w:val="24"/>
                <w:lang w:val="hy-AM"/>
              </w:rPr>
              <w:t>պահանջներին և հետևաբար  անպատշաճ</w:t>
            </w:r>
            <w:r w:rsidRPr="00664A80">
              <w:rPr>
                <w:rFonts w:ascii="GHEA Grapalat" w:hAnsi="GHEA Grapalat" w:cs="ArialArmenianMT"/>
                <w:sz w:val="20"/>
                <w:szCs w:val="24"/>
                <w:lang w:val="hy-AM"/>
              </w:rPr>
              <w:t xml:space="preserve"> </w:t>
            </w:r>
            <w:r w:rsidRPr="00664A80">
              <w:rPr>
                <w:rFonts w:ascii="GHEA Grapalat" w:hAnsi="GHEA Grapalat"/>
                <w:sz w:val="20"/>
                <w:szCs w:val="24"/>
                <w:lang w:val="hy-AM"/>
              </w:rPr>
              <w:t>շահագործման հետևանքով</w:t>
            </w:r>
            <w:r w:rsidRPr="00664A80">
              <w:rPr>
                <w:rFonts w:ascii="GHEA Grapalat" w:hAnsi="GHEA Grapalat" w:cs="ArialArmenianMT"/>
                <w:sz w:val="20"/>
                <w:szCs w:val="24"/>
                <w:lang w:val="hy-AM"/>
              </w:rPr>
              <w:t xml:space="preserve"> </w:t>
            </w:r>
            <w:r w:rsidRPr="00664A80">
              <w:rPr>
                <w:rFonts w:ascii="GHEA Grapalat" w:hAnsi="GHEA Grapalat"/>
                <w:sz w:val="20"/>
                <w:szCs w:val="24"/>
                <w:lang w:val="hy-AM"/>
              </w:rPr>
              <w:t>գրեթե</w:t>
            </w:r>
            <w:r w:rsidRPr="00664A80">
              <w:rPr>
                <w:rFonts w:ascii="GHEA Grapalat" w:hAnsi="GHEA Grapalat" w:cs="ArialArmenianMT"/>
                <w:sz w:val="20"/>
                <w:szCs w:val="24"/>
                <w:lang w:val="hy-AM"/>
              </w:rPr>
              <w:t xml:space="preserve"> </w:t>
            </w:r>
            <w:r w:rsidRPr="00664A80">
              <w:rPr>
                <w:rFonts w:ascii="GHEA Grapalat" w:hAnsi="GHEA Grapalat"/>
                <w:sz w:val="20"/>
                <w:szCs w:val="24"/>
                <w:lang w:val="hy-AM"/>
              </w:rPr>
              <w:t>բոլոր</w:t>
            </w:r>
            <w:r w:rsidRPr="00664A80">
              <w:rPr>
                <w:rFonts w:ascii="GHEA Grapalat" w:hAnsi="GHEA Grapalat" w:cs="ArialArmenianMT"/>
                <w:sz w:val="20"/>
                <w:szCs w:val="24"/>
                <w:lang w:val="hy-AM"/>
              </w:rPr>
              <w:t xml:space="preserve"> </w:t>
            </w:r>
            <w:r w:rsidRPr="00664A80">
              <w:rPr>
                <w:rFonts w:ascii="GHEA Grapalat" w:hAnsi="GHEA Grapalat"/>
                <w:sz w:val="20"/>
                <w:szCs w:val="24"/>
                <w:lang w:val="hy-AM"/>
              </w:rPr>
              <w:t>աղբավայրերում</w:t>
            </w:r>
            <w:r w:rsidRPr="00664A80">
              <w:rPr>
                <w:rFonts w:ascii="GHEA Grapalat" w:hAnsi="GHEA Grapalat" w:cs="ArialArmenianMT"/>
                <w:sz w:val="20"/>
                <w:szCs w:val="24"/>
                <w:lang w:val="hy-AM"/>
              </w:rPr>
              <w:t xml:space="preserve"> </w:t>
            </w:r>
            <w:r w:rsidRPr="00664A80">
              <w:rPr>
                <w:rFonts w:ascii="GHEA Grapalat" w:hAnsi="GHEA Grapalat"/>
                <w:sz w:val="20"/>
                <w:szCs w:val="24"/>
                <w:lang w:val="hy-AM"/>
              </w:rPr>
              <w:t>տեղի</w:t>
            </w:r>
            <w:r w:rsidRPr="00664A80">
              <w:rPr>
                <w:rFonts w:ascii="GHEA Grapalat" w:hAnsi="GHEA Grapalat" w:cs="ArialArmenianMT"/>
                <w:sz w:val="20"/>
                <w:szCs w:val="24"/>
                <w:lang w:val="hy-AM"/>
              </w:rPr>
              <w:t xml:space="preserve"> </w:t>
            </w:r>
            <w:r w:rsidRPr="00664A80">
              <w:rPr>
                <w:rFonts w:ascii="GHEA Grapalat" w:hAnsi="GHEA Grapalat"/>
                <w:sz w:val="20"/>
                <w:szCs w:val="24"/>
                <w:lang w:val="hy-AM"/>
              </w:rPr>
              <w:t>է</w:t>
            </w:r>
            <w:r w:rsidRPr="00664A80">
              <w:rPr>
                <w:rFonts w:ascii="GHEA Grapalat" w:hAnsi="GHEA Grapalat" w:cs="ArialArmenianMT"/>
                <w:sz w:val="20"/>
                <w:szCs w:val="24"/>
                <w:lang w:val="hy-AM"/>
              </w:rPr>
              <w:t xml:space="preserve"> </w:t>
            </w:r>
            <w:r w:rsidRPr="00664A80">
              <w:rPr>
                <w:rFonts w:ascii="GHEA Grapalat" w:hAnsi="GHEA Grapalat"/>
                <w:sz w:val="20"/>
                <w:szCs w:val="24"/>
                <w:lang w:val="hy-AM"/>
              </w:rPr>
              <w:t>ունենում</w:t>
            </w:r>
            <w:r w:rsidRPr="00664A80">
              <w:rPr>
                <w:rFonts w:ascii="GHEA Grapalat" w:hAnsi="GHEA Grapalat" w:cs="ArialArmenianMT"/>
                <w:sz w:val="20"/>
                <w:szCs w:val="24"/>
                <w:lang w:val="hy-AM"/>
              </w:rPr>
              <w:t xml:space="preserve"> </w:t>
            </w:r>
            <w:r w:rsidRPr="00664A80">
              <w:rPr>
                <w:rFonts w:ascii="GHEA Grapalat" w:hAnsi="GHEA Grapalat"/>
                <w:sz w:val="20"/>
                <w:szCs w:val="24"/>
                <w:lang w:val="hy-AM"/>
              </w:rPr>
              <w:t>թափոնների</w:t>
            </w:r>
            <w:r w:rsidRPr="00664A80">
              <w:rPr>
                <w:rFonts w:ascii="GHEA Grapalat" w:hAnsi="GHEA Grapalat" w:cs="ArialArmenianMT"/>
                <w:sz w:val="20"/>
                <w:szCs w:val="24"/>
                <w:lang w:val="hy-AM"/>
              </w:rPr>
              <w:t xml:space="preserve"> </w:t>
            </w:r>
            <w:r w:rsidRPr="00664A80">
              <w:rPr>
                <w:rFonts w:ascii="GHEA Grapalat" w:hAnsi="GHEA Grapalat"/>
                <w:sz w:val="20"/>
                <w:szCs w:val="24"/>
                <w:lang w:val="hy-AM"/>
              </w:rPr>
              <w:t>տարերային</w:t>
            </w:r>
            <w:r w:rsidRPr="00664A80">
              <w:rPr>
                <w:rFonts w:ascii="GHEA Grapalat" w:hAnsi="GHEA Grapalat" w:cs="ArialArmenianMT"/>
                <w:sz w:val="20"/>
                <w:szCs w:val="24"/>
                <w:lang w:val="hy-AM"/>
              </w:rPr>
              <w:t xml:space="preserve"> </w:t>
            </w:r>
            <w:r w:rsidRPr="00664A80">
              <w:rPr>
                <w:rFonts w:ascii="GHEA Grapalat" w:hAnsi="GHEA Grapalat"/>
                <w:sz w:val="20"/>
                <w:szCs w:val="24"/>
                <w:lang w:val="hy-AM"/>
              </w:rPr>
              <w:t xml:space="preserve">այրում, նախատեսվում է միջոցներ ձեռնարկել նման աղբանոցների փակման կամ բարելավման ուղղությամբ:   </w:t>
            </w:r>
          </w:p>
          <w:p w:rsidR="0068680D" w:rsidRPr="00664A80" w:rsidRDefault="0068680D" w:rsidP="0068680D">
            <w:pPr>
              <w:pStyle w:val="Style15"/>
              <w:numPr>
                <w:ilvl w:val="0"/>
                <w:numId w:val="134"/>
              </w:numPr>
              <w:spacing w:line="276" w:lineRule="auto"/>
              <w:ind w:left="284" w:right="142" w:firstLine="720"/>
              <w:rPr>
                <w:rFonts w:ascii="GHEA Grapalat" w:hAnsi="GHEA Grapalat" w:cs="Arial"/>
                <w:b/>
                <w:sz w:val="20"/>
                <w:szCs w:val="24"/>
                <w:lang w:val="hy-AM"/>
              </w:rPr>
            </w:pPr>
            <w:r w:rsidRPr="00664A80">
              <w:rPr>
                <w:rFonts w:ascii="GHEA Grapalat" w:hAnsi="GHEA Grapalat" w:cs="Arial"/>
                <w:b/>
                <w:sz w:val="20"/>
                <w:szCs w:val="24"/>
                <w:lang w:val="hy-AM"/>
              </w:rPr>
              <w:t>Միջոցառման</w:t>
            </w:r>
            <w:r w:rsidRPr="00664A80">
              <w:rPr>
                <w:rFonts w:ascii="GHEA Grapalat" w:hAnsi="GHEA Grapalat" w:cs="Arial Armenian"/>
                <w:b/>
                <w:sz w:val="20"/>
                <w:szCs w:val="24"/>
                <w:lang w:val="hy-AM"/>
              </w:rPr>
              <w:t xml:space="preserve"> </w:t>
            </w:r>
            <w:r w:rsidRPr="00664A80">
              <w:rPr>
                <w:rFonts w:ascii="GHEA Grapalat" w:hAnsi="GHEA Grapalat" w:cs="Arial"/>
                <w:b/>
                <w:sz w:val="20"/>
                <w:szCs w:val="24"/>
                <w:lang w:val="hy-AM"/>
              </w:rPr>
              <w:t>իրականացումից</w:t>
            </w:r>
            <w:r w:rsidRPr="00664A80">
              <w:rPr>
                <w:rFonts w:ascii="GHEA Grapalat" w:hAnsi="GHEA Grapalat" w:cs="Arial Armenian"/>
                <w:b/>
                <w:sz w:val="20"/>
                <w:szCs w:val="24"/>
                <w:lang w:val="hy-AM"/>
              </w:rPr>
              <w:t xml:space="preserve"> </w:t>
            </w:r>
            <w:r w:rsidRPr="00664A80">
              <w:rPr>
                <w:rFonts w:ascii="GHEA Grapalat" w:hAnsi="GHEA Grapalat" w:cs="Arial"/>
                <w:b/>
                <w:sz w:val="20"/>
                <w:szCs w:val="24"/>
                <w:lang w:val="hy-AM"/>
              </w:rPr>
              <w:t>ակնկալվող</w:t>
            </w:r>
            <w:r w:rsidRPr="00664A80">
              <w:rPr>
                <w:rFonts w:ascii="GHEA Grapalat" w:hAnsi="GHEA Grapalat" w:cs="Arial Armenian"/>
                <w:b/>
                <w:sz w:val="20"/>
                <w:szCs w:val="24"/>
                <w:lang w:val="hy-AM"/>
              </w:rPr>
              <w:t xml:space="preserve"> </w:t>
            </w:r>
            <w:r w:rsidRPr="00664A80">
              <w:rPr>
                <w:rFonts w:ascii="GHEA Grapalat" w:hAnsi="GHEA Grapalat" w:cs="Arial"/>
                <w:b/>
                <w:sz w:val="20"/>
                <w:szCs w:val="24"/>
                <w:lang w:val="hy-AM"/>
              </w:rPr>
              <w:t>արդյունքը</w:t>
            </w:r>
          </w:p>
          <w:p w:rsidR="0068680D" w:rsidRPr="00C950F9" w:rsidRDefault="0068680D" w:rsidP="00F47DC4">
            <w:pPr>
              <w:spacing w:line="276" w:lineRule="auto"/>
              <w:ind w:left="284" w:right="142" w:firstLine="720"/>
              <w:jc w:val="both"/>
              <w:rPr>
                <w:b/>
                <w:sz w:val="20"/>
                <w:szCs w:val="24"/>
                <w:lang w:val="hy-AM"/>
              </w:rPr>
            </w:pPr>
            <w:r w:rsidRPr="00664A80">
              <w:rPr>
                <w:rFonts w:cs="Arial"/>
                <w:sz w:val="20"/>
                <w:szCs w:val="24"/>
                <w:lang w:val="hy-AM"/>
              </w:rPr>
              <w:t xml:space="preserve">Միջոցառման կատարման արդյունքում ակնկալվում է ունենալ ռազմավարություն՝ նպատակաուղղված՝ </w:t>
            </w:r>
            <w:r w:rsidRPr="00664A80">
              <w:rPr>
                <w:rFonts w:cs="Arial"/>
                <w:sz w:val="20"/>
                <w:szCs w:val="24"/>
                <w:lang w:val="pt-BR"/>
              </w:rPr>
              <w:t>ՀՀ</w:t>
            </w:r>
            <w:r w:rsidRPr="00664A80">
              <w:rPr>
                <w:sz w:val="20"/>
                <w:szCs w:val="24"/>
                <w:lang w:val="pt-BR"/>
              </w:rPr>
              <w:t xml:space="preserve"> </w:t>
            </w:r>
            <w:r w:rsidRPr="00664A80">
              <w:rPr>
                <w:rFonts w:cs="Arial"/>
                <w:sz w:val="20"/>
                <w:szCs w:val="24"/>
                <w:lang w:val="pt-BR"/>
              </w:rPr>
              <w:t>տարածքներում</w:t>
            </w:r>
            <w:r w:rsidRPr="00664A80">
              <w:rPr>
                <w:rFonts w:cs="Arial"/>
                <w:sz w:val="20"/>
                <w:szCs w:val="24"/>
                <w:lang w:val="hy-AM"/>
              </w:rPr>
              <w:t xml:space="preserve"> բ</w:t>
            </w:r>
            <w:r w:rsidRPr="00664A80">
              <w:rPr>
                <w:rFonts w:cs="Arial"/>
                <w:sz w:val="20"/>
                <w:szCs w:val="24"/>
                <w:lang w:val="pt-BR"/>
              </w:rPr>
              <w:t>նակչության</w:t>
            </w:r>
            <w:r w:rsidRPr="00664A80">
              <w:rPr>
                <w:sz w:val="20"/>
                <w:szCs w:val="24"/>
                <w:lang w:val="pt-BR"/>
              </w:rPr>
              <w:t xml:space="preserve"> </w:t>
            </w:r>
            <w:r w:rsidRPr="00664A80">
              <w:rPr>
                <w:rFonts w:cs="Arial"/>
                <w:sz w:val="20"/>
                <w:szCs w:val="24"/>
                <w:lang w:val="pt-BR"/>
              </w:rPr>
              <w:t>համար</w:t>
            </w:r>
            <w:r w:rsidRPr="00664A80">
              <w:rPr>
                <w:sz w:val="20"/>
                <w:szCs w:val="24"/>
                <w:lang w:val="pt-BR"/>
              </w:rPr>
              <w:t xml:space="preserve"> </w:t>
            </w:r>
            <w:r w:rsidRPr="00664A80">
              <w:rPr>
                <w:rFonts w:cs="Arial"/>
                <w:sz w:val="20"/>
                <w:szCs w:val="24"/>
                <w:lang w:val="pt-BR"/>
              </w:rPr>
              <w:t>հարմարավետ</w:t>
            </w:r>
            <w:r w:rsidRPr="00664A80">
              <w:rPr>
                <w:sz w:val="20"/>
                <w:szCs w:val="24"/>
                <w:lang w:val="pt-BR"/>
              </w:rPr>
              <w:t xml:space="preserve"> </w:t>
            </w:r>
            <w:r w:rsidRPr="00664A80">
              <w:rPr>
                <w:rFonts w:cs="Arial"/>
                <w:sz w:val="20"/>
                <w:szCs w:val="24"/>
                <w:lang w:val="pt-BR"/>
              </w:rPr>
              <w:t>և</w:t>
            </w:r>
            <w:r w:rsidRPr="00664A80">
              <w:rPr>
                <w:sz w:val="20"/>
                <w:szCs w:val="24"/>
                <w:lang w:val="pt-BR"/>
              </w:rPr>
              <w:t xml:space="preserve"> </w:t>
            </w:r>
            <w:r w:rsidRPr="00664A80">
              <w:rPr>
                <w:rFonts w:cs="Arial"/>
                <w:sz w:val="20"/>
                <w:szCs w:val="24"/>
                <w:lang w:val="pt-BR"/>
              </w:rPr>
              <w:t>էկոլոգիապես</w:t>
            </w:r>
            <w:r w:rsidRPr="00664A80">
              <w:rPr>
                <w:sz w:val="20"/>
                <w:szCs w:val="24"/>
                <w:lang w:val="pt-BR"/>
              </w:rPr>
              <w:t xml:space="preserve"> </w:t>
            </w:r>
            <w:r w:rsidRPr="00664A80">
              <w:rPr>
                <w:rFonts w:cs="Arial"/>
                <w:sz w:val="20"/>
                <w:szCs w:val="24"/>
                <w:lang w:val="pt-BR"/>
              </w:rPr>
              <w:t>անվտանգ</w:t>
            </w:r>
            <w:r w:rsidRPr="00664A80">
              <w:rPr>
                <w:sz w:val="20"/>
                <w:szCs w:val="24"/>
                <w:lang w:val="pt-BR"/>
              </w:rPr>
              <w:t xml:space="preserve"> </w:t>
            </w:r>
            <w:r w:rsidRPr="00664A80">
              <w:rPr>
                <w:rFonts w:cs="Arial"/>
                <w:sz w:val="20"/>
                <w:szCs w:val="24"/>
                <w:lang w:val="pt-BR"/>
              </w:rPr>
              <w:t>պայմաններ</w:t>
            </w:r>
            <w:r w:rsidRPr="00664A80">
              <w:rPr>
                <w:rFonts w:cs="Arial"/>
                <w:sz w:val="20"/>
                <w:szCs w:val="24"/>
                <w:lang w:val="hy-AM"/>
              </w:rPr>
              <w:t xml:space="preserve">ի ապահովմանը, </w:t>
            </w:r>
            <w:r w:rsidRPr="00664A80">
              <w:rPr>
                <w:rFonts w:cs="Arial"/>
                <w:sz w:val="20"/>
                <w:szCs w:val="24"/>
                <w:lang w:val="pt-BR"/>
              </w:rPr>
              <w:t>մարդու</w:t>
            </w:r>
            <w:r w:rsidRPr="00664A80">
              <w:rPr>
                <w:sz w:val="20"/>
                <w:szCs w:val="24"/>
                <w:lang w:val="pt-BR"/>
              </w:rPr>
              <w:t xml:space="preserve"> </w:t>
            </w:r>
            <w:r w:rsidRPr="00664A80">
              <w:rPr>
                <w:rFonts w:cs="Arial"/>
                <w:sz w:val="20"/>
                <w:szCs w:val="24"/>
                <w:lang w:val="pt-BR"/>
              </w:rPr>
              <w:t>առողջության</w:t>
            </w:r>
            <w:r w:rsidRPr="00664A80">
              <w:rPr>
                <w:sz w:val="20"/>
                <w:szCs w:val="24"/>
                <w:lang w:val="pt-BR"/>
              </w:rPr>
              <w:t xml:space="preserve"> </w:t>
            </w:r>
            <w:r w:rsidRPr="00664A80">
              <w:rPr>
                <w:rFonts w:cs="Arial"/>
                <w:sz w:val="20"/>
                <w:szCs w:val="24"/>
                <w:lang w:val="pt-BR"/>
              </w:rPr>
              <w:t>և</w:t>
            </w:r>
            <w:r w:rsidRPr="00664A80">
              <w:rPr>
                <w:sz w:val="20"/>
                <w:szCs w:val="24"/>
                <w:lang w:val="pt-BR"/>
              </w:rPr>
              <w:t xml:space="preserve"> </w:t>
            </w:r>
            <w:r w:rsidRPr="00664A80">
              <w:rPr>
                <w:rFonts w:cs="Arial"/>
                <w:sz w:val="20"/>
                <w:szCs w:val="24"/>
                <w:lang w:val="pt-BR"/>
              </w:rPr>
              <w:t>շրջակա</w:t>
            </w:r>
            <w:r w:rsidRPr="00664A80">
              <w:rPr>
                <w:sz w:val="20"/>
                <w:szCs w:val="24"/>
                <w:lang w:val="pt-BR"/>
              </w:rPr>
              <w:t xml:space="preserve"> </w:t>
            </w:r>
            <w:r w:rsidRPr="00664A80">
              <w:rPr>
                <w:rFonts w:cs="Arial"/>
                <w:sz w:val="20"/>
                <w:szCs w:val="24"/>
                <w:lang w:val="pt-BR"/>
              </w:rPr>
              <w:t>միջավայրի</w:t>
            </w:r>
            <w:r w:rsidRPr="00664A80">
              <w:rPr>
                <w:sz w:val="20"/>
                <w:szCs w:val="24"/>
                <w:lang w:val="pt-BR"/>
              </w:rPr>
              <w:t xml:space="preserve"> </w:t>
            </w:r>
            <w:r w:rsidRPr="00664A80">
              <w:rPr>
                <w:rFonts w:cs="Arial"/>
                <w:sz w:val="20"/>
                <w:szCs w:val="24"/>
                <w:lang w:val="pt-BR"/>
              </w:rPr>
              <w:t>վրա</w:t>
            </w:r>
            <w:r w:rsidRPr="00664A80">
              <w:rPr>
                <w:sz w:val="20"/>
                <w:szCs w:val="24"/>
                <w:lang w:val="pt-BR"/>
              </w:rPr>
              <w:t xml:space="preserve"> </w:t>
            </w:r>
            <w:r w:rsidRPr="00664A80">
              <w:rPr>
                <w:rFonts w:cs="Arial"/>
                <w:sz w:val="20"/>
                <w:szCs w:val="24"/>
                <w:lang w:val="pt-BR"/>
              </w:rPr>
              <w:t>կոշտ</w:t>
            </w:r>
            <w:r w:rsidRPr="00664A80">
              <w:rPr>
                <w:sz w:val="20"/>
                <w:szCs w:val="24"/>
                <w:lang w:val="pt-BR"/>
              </w:rPr>
              <w:t xml:space="preserve"> </w:t>
            </w:r>
            <w:r w:rsidRPr="00664A80">
              <w:rPr>
                <w:rFonts w:cs="Arial"/>
                <w:sz w:val="20"/>
                <w:szCs w:val="24"/>
                <w:lang w:val="pt-BR"/>
              </w:rPr>
              <w:t>կենցաղային</w:t>
            </w:r>
            <w:r w:rsidRPr="00664A80">
              <w:rPr>
                <w:sz w:val="20"/>
                <w:szCs w:val="24"/>
                <w:lang w:val="pt-BR"/>
              </w:rPr>
              <w:t xml:space="preserve"> </w:t>
            </w:r>
            <w:r w:rsidRPr="00664A80">
              <w:rPr>
                <w:rFonts w:cs="Arial"/>
                <w:sz w:val="20"/>
                <w:szCs w:val="24"/>
                <w:lang w:val="pt-BR"/>
              </w:rPr>
              <w:t>թափոնների</w:t>
            </w:r>
            <w:r w:rsidRPr="00664A80">
              <w:rPr>
                <w:sz w:val="20"/>
                <w:szCs w:val="24"/>
                <w:lang w:val="pt-BR"/>
              </w:rPr>
              <w:t xml:space="preserve"> </w:t>
            </w:r>
            <w:r w:rsidRPr="00664A80">
              <w:rPr>
                <w:rFonts w:cs="Arial"/>
                <w:sz w:val="20"/>
                <w:szCs w:val="24"/>
                <w:lang w:val="pt-BR"/>
              </w:rPr>
              <w:t>բացասական</w:t>
            </w:r>
            <w:r w:rsidRPr="00664A80">
              <w:rPr>
                <w:sz w:val="20"/>
                <w:szCs w:val="24"/>
                <w:lang w:val="pt-BR"/>
              </w:rPr>
              <w:t xml:space="preserve"> (</w:t>
            </w:r>
            <w:r w:rsidRPr="00664A80">
              <w:rPr>
                <w:rFonts w:cs="Arial"/>
                <w:sz w:val="20"/>
                <w:szCs w:val="24"/>
                <w:lang w:val="pt-BR"/>
              </w:rPr>
              <w:t>վտանգավոր</w:t>
            </w:r>
            <w:r w:rsidRPr="00664A80">
              <w:rPr>
                <w:sz w:val="20"/>
                <w:szCs w:val="24"/>
                <w:lang w:val="pt-BR"/>
              </w:rPr>
              <w:t xml:space="preserve">) </w:t>
            </w:r>
            <w:r w:rsidRPr="00664A80">
              <w:rPr>
                <w:rFonts w:cs="Arial"/>
                <w:sz w:val="20"/>
                <w:szCs w:val="24"/>
                <w:lang w:val="pt-BR"/>
              </w:rPr>
              <w:t>ներգործությ</w:t>
            </w:r>
            <w:r w:rsidRPr="00664A80">
              <w:rPr>
                <w:rFonts w:cs="Arial"/>
                <w:sz w:val="20"/>
                <w:szCs w:val="24"/>
                <w:lang w:val="hy-AM"/>
              </w:rPr>
              <w:t xml:space="preserve">ան նվազեցմանը, ինչպես նաև բնապահանական և տնտեսական տեսանյունից թափոնների վերամշակման արդյունավետ համակարգի ներդրմանը։ </w:t>
            </w: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1</w:t>
            </w:r>
            <w:r>
              <w:rPr>
                <w:b/>
                <w:sz w:val="20"/>
                <w:szCs w:val="20"/>
                <w:lang w:val="hy-AM"/>
              </w:rPr>
              <w:t>0</w:t>
            </w:r>
            <w:r w:rsidRPr="00BC61ED">
              <w:rPr>
                <w:b/>
                <w:sz w:val="20"/>
                <w:szCs w:val="20"/>
                <w:lang w:val="hy-AM"/>
              </w:rPr>
              <w:t>.</w:t>
            </w:r>
          </w:p>
        </w:tc>
        <w:tc>
          <w:tcPr>
            <w:tcW w:w="10915" w:type="dxa"/>
            <w:shd w:val="clear" w:color="auto" w:fill="auto"/>
          </w:tcPr>
          <w:p w:rsidR="0068680D" w:rsidRPr="00BC61ED" w:rsidRDefault="0068680D" w:rsidP="00F47DC4">
            <w:pPr>
              <w:spacing w:after="0" w:line="276" w:lineRule="auto"/>
              <w:ind w:firstLine="426"/>
              <w:jc w:val="center"/>
              <w:rPr>
                <w:b/>
                <w:sz w:val="20"/>
                <w:szCs w:val="20"/>
                <w:lang w:val="hy-AM"/>
              </w:rPr>
            </w:pPr>
            <w:r w:rsidRPr="00BC61ED">
              <w:rPr>
                <w:b/>
                <w:sz w:val="20"/>
                <w:szCs w:val="20"/>
                <w:lang w:val="hy-AM"/>
              </w:rPr>
              <w:t>Համայնքների վարչական տվյալների շտեմարանի զարգացում</w:t>
            </w:r>
          </w:p>
          <w:p w:rsidR="0068680D" w:rsidRPr="00BC61ED" w:rsidRDefault="0068680D" w:rsidP="00F47DC4">
            <w:pPr>
              <w:spacing w:after="0" w:line="276" w:lineRule="auto"/>
              <w:ind w:firstLine="426"/>
              <w:jc w:val="center"/>
              <w:rPr>
                <w:b/>
                <w:sz w:val="20"/>
                <w:szCs w:val="20"/>
                <w:lang w:val="hy-AM"/>
              </w:rPr>
            </w:pPr>
            <w:r w:rsidRPr="00BC61ED">
              <w:rPr>
                <w:b/>
                <w:sz w:val="20"/>
                <w:szCs w:val="20"/>
                <w:lang w:val="hy-AM"/>
              </w:rPr>
              <w:t>(</w:t>
            </w:r>
            <w:r>
              <w:rPr>
                <w:b/>
                <w:sz w:val="20"/>
                <w:szCs w:val="20"/>
                <w:lang w:val="hy-AM"/>
              </w:rPr>
              <w:t>10</w:t>
            </w:r>
            <w:r w:rsidRPr="00BC61ED">
              <w:rPr>
                <w:b/>
                <w:sz w:val="20"/>
                <w:szCs w:val="20"/>
                <w:lang w:val="hy-AM"/>
              </w:rPr>
              <w:t>.1-</w:t>
            </w:r>
            <w:r>
              <w:rPr>
                <w:b/>
                <w:sz w:val="20"/>
                <w:szCs w:val="20"/>
                <w:lang w:val="hy-AM"/>
              </w:rPr>
              <w:t>10</w:t>
            </w:r>
            <w:r w:rsidRPr="00BC61ED">
              <w:rPr>
                <w:b/>
                <w:sz w:val="20"/>
                <w:szCs w:val="20"/>
                <w:lang w:val="hy-AM"/>
              </w:rPr>
              <w:t>.2 միջոցառումներ)</w:t>
            </w:r>
          </w:p>
          <w:p w:rsidR="0068680D" w:rsidRPr="00BC61ED" w:rsidRDefault="0068680D" w:rsidP="00F47DC4">
            <w:pPr>
              <w:spacing w:after="0" w:line="276" w:lineRule="auto"/>
              <w:ind w:firstLine="426"/>
              <w:rPr>
                <w:b/>
                <w:sz w:val="20"/>
                <w:szCs w:val="20"/>
                <w:lang w:val="hy-AM"/>
              </w:rPr>
            </w:pPr>
          </w:p>
          <w:p w:rsidR="0068680D" w:rsidRPr="00BC61ED" w:rsidRDefault="0068680D" w:rsidP="00F47DC4">
            <w:pPr>
              <w:spacing w:after="0" w:line="276" w:lineRule="auto"/>
              <w:ind w:firstLine="426"/>
              <w:rPr>
                <w:b/>
                <w:sz w:val="20"/>
                <w:szCs w:val="20"/>
                <w:lang w:val="hy-AM"/>
              </w:rPr>
            </w:pPr>
            <w:r w:rsidRPr="00BC61ED">
              <w:rPr>
                <w:b/>
                <w:sz w:val="20"/>
                <w:szCs w:val="20"/>
                <w:lang w:val="hy-AM"/>
              </w:rPr>
              <w:t>1.</w:t>
            </w:r>
            <w:r w:rsidRPr="00BC61ED">
              <w:rPr>
                <w:b/>
                <w:sz w:val="20"/>
                <w:szCs w:val="20"/>
                <w:lang w:val="hy-AM"/>
              </w:rPr>
              <w:tab/>
              <w:t>Միջոցառման անհրաժեշտությունը (նպատակ)</w:t>
            </w:r>
          </w:p>
          <w:p w:rsidR="0068680D" w:rsidRPr="00BC61ED" w:rsidRDefault="0068680D" w:rsidP="00F47DC4">
            <w:pPr>
              <w:spacing w:after="0" w:line="276" w:lineRule="auto"/>
              <w:ind w:firstLine="375"/>
              <w:rPr>
                <w:sz w:val="20"/>
                <w:szCs w:val="20"/>
                <w:lang w:val="hy-AM"/>
              </w:rPr>
            </w:pPr>
            <w:r w:rsidRPr="00BC61ED">
              <w:rPr>
                <w:sz w:val="20"/>
                <w:szCs w:val="20"/>
                <w:lang w:val="hy-AM"/>
              </w:rPr>
              <w:t xml:space="preserve">Վարչական տվյալների շտեմարանի ձևավորման համար մշակվել է նոր հարցաշար, որի համաձայն համայնքներից արդեն ստացվում են համապատասխան տեղեկություններ՝ ըստ համայնքներում ընդգրկված յուրաքանչյուր բնակավայրի։ Համայնքների վարչական տվյալների շտեմարանի ձևավորումը հնարավորություն կստեղծի շահագրգիռ կողմերին կատարել ոլորտային վերլուծություններ: 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6.1 բաժնով նախատեսված հանձնառություններից:</w:t>
            </w:r>
          </w:p>
          <w:p w:rsidR="0068680D" w:rsidRPr="00BC61ED" w:rsidRDefault="0068680D" w:rsidP="00F47DC4">
            <w:pPr>
              <w:spacing w:after="0" w:line="276" w:lineRule="auto"/>
              <w:ind w:firstLine="426"/>
              <w:rPr>
                <w:b/>
                <w:sz w:val="20"/>
                <w:szCs w:val="20"/>
                <w:lang w:val="hy-AM"/>
              </w:rPr>
            </w:pPr>
            <w:r w:rsidRPr="00BC61ED">
              <w:rPr>
                <w:b/>
                <w:sz w:val="20"/>
                <w:szCs w:val="20"/>
                <w:lang w:val="hy-AM"/>
              </w:rPr>
              <w:t>2.Ակնկալվող արդյունքը</w:t>
            </w:r>
          </w:p>
          <w:p w:rsidR="0068680D" w:rsidRPr="00BC61ED" w:rsidRDefault="0068680D" w:rsidP="00F47DC4">
            <w:pPr>
              <w:spacing w:after="0" w:line="276" w:lineRule="auto"/>
              <w:ind w:firstLine="426"/>
              <w:rPr>
                <w:sz w:val="20"/>
                <w:szCs w:val="20"/>
                <w:lang w:val="hy-AM"/>
              </w:rPr>
            </w:pPr>
            <w:r w:rsidRPr="00BC61ED">
              <w:rPr>
                <w:sz w:val="20"/>
                <w:szCs w:val="20"/>
                <w:lang w:val="hy-AM"/>
              </w:rPr>
              <w:t xml:space="preserve">Համայնքների վարչական տվյալների շտեմարանի ձևավորմամբ, ըստ բնակավայրերի, կհավաքագրվի մեծածավալ տեղեկատվություն, որը կօգտագործվի ոլորտում անհրաժեշտ ուսումնասիրություններ և վերլուծություններ կատարելու գործում:  </w:t>
            </w: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1</w:t>
            </w:r>
            <w:r>
              <w:rPr>
                <w:b/>
                <w:sz w:val="20"/>
                <w:szCs w:val="20"/>
                <w:lang w:val="hy-AM"/>
              </w:rPr>
              <w:t>1</w:t>
            </w:r>
            <w:r w:rsidRPr="00BC61ED">
              <w:rPr>
                <w:b/>
                <w:sz w:val="20"/>
                <w:szCs w:val="20"/>
                <w:lang w:val="hy-AM"/>
              </w:rPr>
              <w:t>.</w:t>
            </w:r>
          </w:p>
        </w:tc>
        <w:tc>
          <w:tcPr>
            <w:tcW w:w="10915" w:type="dxa"/>
            <w:shd w:val="clear" w:color="auto" w:fill="auto"/>
          </w:tcPr>
          <w:p w:rsidR="0068680D" w:rsidRPr="00BC61ED" w:rsidRDefault="0068680D" w:rsidP="00F47DC4">
            <w:pPr>
              <w:spacing w:after="0" w:line="276" w:lineRule="auto"/>
              <w:ind w:firstLine="426"/>
              <w:jc w:val="center"/>
              <w:rPr>
                <w:b/>
                <w:sz w:val="20"/>
                <w:szCs w:val="20"/>
                <w:lang w:val="hy-AM"/>
              </w:rPr>
            </w:pPr>
            <w:r w:rsidRPr="00BC61ED">
              <w:rPr>
                <w:b/>
                <w:sz w:val="20"/>
                <w:szCs w:val="20"/>
                <w:lang w:val="hy-AM"/>
              </w:rPr>
              <w:t>Ավտոմոբիլային ճանապարհներին հարող տարածքներում տեղակայված առևտրի կետերում, այդ թվում՝ հեղուկ վառելիքի, սեղմված բնական կամ հեղուկացված նավթային գազերի մանրածախ առևտրի կետերում առկա սանիտարական հանգույցների վիճակի բարելավման ուղղությամբ շարունակականության գործընթացների ապահովում</w:t>
            </w:r>
          </w:p>
          <w:p w:rsidR="0068680D" w:rsidRPr="00BC61ED" w:rsidRDefault="0068680D" w:rsidP="00F47DC4">
            <w:pPr>
              <w:spacing w:after="0" w:line="276" w:lineRule="auto"/>
              <w:ind w:firstLine="426"/>
              <w:rPr>
                <w:b/>
                <w:i/>
                <w:sz w:val="20"/>
                <w:szCs w:val="20"/>
                <w:lang w:val="hy-AM"/>
              </w:rPr>
            </w:pPr>
          </w:p>
          <w:p w:rsidR="0068680D" w:rsidRPr="00BC61ED" w:rsidRDefault="0068680D" w:rsidP="0068680D">
            <w:pPr>
              <w:numPr>
                <w:ilvl w:val="0"/>
                <w:numId w:val="130"/>
              </w:numPr>
              <w:spacing w:after="0" w:line="276" w:lineRule="auto"/>
              <w:jc w:val="both"/>
              <w:rPr>
                <w:b/>
                <w:sz w:val="20"/>
                <w:szCs w:val="20"/>
              </w:rPr>
            </w:pPr>
            <w:r w:rsidRPr="00BC61ED">
              <w:rPr>
                <w:b/>
                <w:sz w:val="20"/>
                <w:szCs w:val="20"/>
                <w:lang w:val="hy-AM"/>
              </w:rPr>
              <w:t>Միջոցառման անհրաժեշտությունը (նպատակ)</w:t>
            </w:r>
          </w:p>
          <w:p w:rsidR="0068680D" w:rsidRPr="00BC61ED" w:rsidRDefault="0068680D" w:rsidP="00F47DC4">
            <w:pPr>
              <w:spacing w:after="0" w:line="276" w:lineRule="auto"/>
              <w:ind w:firstLine="375"/>
              <w:rPr>
                <w:sz w:val="20"/>
                <w:szCs w:val="20"/>
                <w:lang w:val="hy-AM"/>
              </w:rPr>
            </w:pPr>
            <w:r w:rsidRPr="00BC61ED">
              <w:rPr>
                <w:sz w:val="20"/>
                <w:szCs w:val="20"/>
                <w:lang w:val="hy-AM"/>
              </w:rPr>
              <w:t xml:space="preserve">  Ավտոմոբիլային ճանապարհներին հարող տարածքներում տեղակայված առևտրի կետերում առկա բազմաթիվ հասարակական զուգարաններ գտնվում են ոչ բարվոք վիճակում, ինչը որոշ դեպքերում հանգեցնում է դրանցից օգտվելու անհնարինության։ Ներկայացված պատկերը խոչնդոտում է նաև զբոսաշրջության զարգացմանը։ 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6.1 բաժնով նախատեսված հանձնառություններից:</w:t>
            </w:r>
          </w:p>
          <w:p w:rsidR="0068680D" w:rsidRPr="00BC61ED" w:rsidRDefault="0068680D" w:rsidP="0068680D">
            <w:pPr>
              <w:numPr>
                <w:ilvl w:val="0"/>
                <w:numId w:val="130"/>
              </w:numPr>
              <w:spacing w:after="0" w:line="276" w:lineRule="auto"/>
              <w:jc w:val="both"/>
              <w:rPr>
                <w:b/>
                <w:sz w:val="20"/>
                <w:szCs w:val="20"/>
                <w:lang w:val="hy-AM"/>
              </w:rPr>
            </w:pPr>
            <w:r w:rsidRPr="00BC61ED">
              <w:rPr>
                <w:b/>
                <w:sz w:val="20"/>
                <w:szCs w:val="20"/>
                <w:lang w:val="hy-AM"/>
              </w:rPr>
              <w:t>Ակնկալվող արդյունքը</w:t>
            </w:r>
          </w:p>
          <w:p w:rsidR="0068680D" w:rsidRPr="00BC61ED" w:rsidRDefault="0068680D" w:rsidP="00F47DC4">
            <w:pPr>
              <w:spacing w:after="0" w:line="276" w:lineRule="auto"/>
              <w:ind w:firstLine="426"/>
              <w:rPr>
                <w:sz w:val="20"/>
                <w:szCs w:val="20"/>
                <w:lang w:val="hy-AM"/>
              </w:rPr>
            </w:pPr>
            <w:r w:rsidRPr="00BC61ED">
              <w:rPr>
                <w:sz w:val="20"/>
                <w:szCs w:val="20"/>
                <w:lang w:val="hy-AM"/>
              </w:rPr>
              <w:t xml:space="preserve">Միջոցառման կատարման արդյունքում </w:t>
            </w:r>
            <w:r w:rsidRPr="00BC61ED">
              <w:rPr>
                <w:sz w:val="20"/>
                <w:szCs w:val="20"/>
                <w:lang w:val="fr-FR"/>
              </w:rPr>
              <w:t xml:space="preserve">Ավտոմոբիլային ճանապարհներին հարող տարածքներում տեղակայված առևտրի կետերում </w:t>
            </w:r>
            <w:r w:rsidRPr="00BC61ED">
              <w:rPr>
                <w:sz w:val="20"/>
                <w:szCs w:val="20"/>
                <w:lang w:val="hy-AM"/>
              </w:rPr>
              <w:t>կլինեն ՀՀ օրենսդրությամբ սահմանված պահանջներին համպատասխանող հասարակական զուգարաններ։ Միջոցառման կատարման ընթացքում կքննարկվի նաև հասարակական զուգարանների նկատմամբ օրենսդրական նոր պահանջներ նախատեսելու հարցը, որի նպատակահարմարության դեպքում կմշակվի և շրջանառության մեջ կդրվի իրավական ակտերի նախագծերի փաթեթ։</w:t>
            </w: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1</w:t>
            </w:r>
            <w:r>
              <w:rPr>
                <w:b/>
                <w:sz w:val="20"/>
                <w:szCs w:val="20"/>
                <w:lang w:val="hy-AM"/>
              </w:rPr>
              <w:t>2</w:t>
            </w:r>
            <w:r w:rsidRPr="00BC61ED">
              <w:rPr>
                <w:b/>
                <w:sz w:val="20"/>
                <w:szCs w:val="20"/>
                <w:lang w:val="hy-AM"/>
              </w:rPr>
              <w:t>.</w:t>
            </w:r>
          </w:p>
        </w:tc>
        <w:tc>
          <w:tcPr>
            <w:tcW w:w="10915" w:type="dxa"/>
            <w:shd w:val="clear" w:color="auto" w:fill="auto"/>
          </w:tcPr>
          <w:p w:rsidR="0068680D" w:rsidRPr="00BC61ED" w:rsidRDefault="0068680D" w:rsidP="00F47DC4">
            <w:pPr>
              <w:pStyle w:val="Style15"/>
              <w:spacing w:line="276" w:lineRule="auto"/>
              <w:ind w:right="4" w:firstLine="0"/>
              <w:jc w:val="center"/>
              <w:rPr>
                <w:rFonts w:ascii="GHEA Grapalat" w:hAnsi="GHEA Grapalat"/>
                <w:b/>
                <w:sz w:val="20"/>
                <w:lang w:val="hy-AM"/>
              </w:rPr>
            </w:pPr>
            <w:r w:rsidRPr="00BC61ED">
              <w:rPr>
                <w:rFonts w:ascii="GHEA Grapalat" w:hAnsi="GHEA Grapalat"/>
                <w:b/>
                <w:sz w:val="20"/>
                <w:lang w:val="hy-AM"/>
              </w:rPr>
              <w:t>Հայաստանի Հանրապե</w:t>
            </w:r>
            <w:r w:rsidRPr="00BC61ED">
              <w:rPr>
                <w:rFonts w:ascii="GHEA Grapalat" w:hAnsi="GHEA Grapalat"/>
                <w:b/>
                <w:sz w:val="20"/>
                <w:lang w:val="hy-AM"/>
              </w:rPr>
              <w:softHyphen/>
              <w:t>տության 2016-2025թթ</w:t>
            </w:r>
            <w:r w:rsidRPr="00BC61ED">
              <w:rPr>
                <w:rFonts w:ascii="Cambria Math" w:hAnsi="Cambria Math" w:cs="Cambria Math"/>
                <w:b/>
                <w:sz w:val="20"/>
                <w:lang w:val="hy-AM"/>
              </w:rPr>
              <w:t>․</w:t>
            </w:r>
            <w:r w:rsidRPr="00BC61ED">
              <w:rPr>
                <w:rFonts w:ascii="GHEA Grapalat" w:hAnsi="GHEA Grapalat"/>
                <w:b/>
                <w:sz w:val="20"/>
                <w:lang w:val="hy-AM"/>
              </w:rPr>
              <w:t xml:space="preserve"> տարածքային զարգացման ռազմավարության վերանայում՝ հաշվի առնելով ԵՄ համապարփակ և ընդլայնված գործընկերության համաձայնագրի ճանապարհային քարտեզի դրույթներին ու ՀՀ կառավարության միջազգային համագործակցության ծրագրերին համապատասխանության անհրաժեշտությունը</w:t>
            </w:r>
          </w:p>
          <w:p w:rsidR="0068680D" w:rsidRDefault="0068680D" w:rsidP="00F47DC4">
            <w:pPr>
              <w:pStyle w:val="Style15"/>
              <w:spacing w:line="276" w:lineRule="auto"/>
              <w:ind w:right="4" w:firstLine="720"/>
              <w:rPr>
                <w:rFonts w:ascii="GHEA Grapalat" w:hAnsi="GHEA Grapalat"/>
                <w:b/>
                <w:sz w:val="20"/>
                <w:lang w:val="hy-AM"/>
              </w:rPr>
            </w:pPr>
          </w:p>
          <w:p w:rsidR="0068680D" w:rsidRPr="00C87C0A" w:rsidRDefault="0068680D" w:rsidP="00F47DC4">
            <w:pPr>
              <w:pStyle w:val="Style15"/>
              <w:spacing w:line="276" w:lineRule="auto"/>
              <w:ind w:right="4" w:firstLine="720"/>
              <w:rPr>
                <w:rFonts w:ascii="GHEA Grapalat" w:hAnsi="GHEA Grapalat"/>
                <w:b/>
                <w:sz w:val="20"/>
                <w:lang w:val="hy-AM"/>
              </w:rPr>
            </w:pPr>
            <w:r w:rsidRPr="00C87C0A">
              <w:rPr>
                <w:rFonts w:ascii="GHEA Grapalat" w:hAnsi="GHEA Grapalat" w:cs="Sylfaen"/>
                <w:b/>
                <w:noProof/>
                <w:sz w:val="20"/>
                <w:lang w:val="hy-AM"/>
              </w:rPr>
              <w:t>12.1 Հայաստանի Հանրապե</w:t>
            </w:r>
            <w:r w:rsidRPr="00C87C0A">
              <w:rPr>
                <w:rFonts w:ascii="GHEA Grapalat" w:hAnsi="GHEA Grapalat" w:cs="Sylfaen"/>
                <w:b/>
                <w:noProof/>
                <w:sz w:val="20"/>
                <w:lang w:val="hy-AM"/>
              </w:rPr>
              <w:softHyphen/>
              <w:t>տության 2020-2025 թվականների տարածքային զարգացման ռազմավարությունը հաստատելու վերաբերյալ ՀՀ կառավարության որոշման նախագիծը ՀՀ վարչապետի աշխատակազմ ներկայացնելը</w:t>
            </w:r>
          </w:p>
          <w:p w:rsidR="0068680D" w:rsidRPr="00BC61ED" w:rsidRDefault="0068680D" w:rsidP="00F47DC4">
            <w:pPr>
              <w:spacing w:after="0" w:line="276" w:lineRule="auto"/>
              <w:ind w:right="4" w:firstLine="720"/>
              <w:rPr>
                <w:b/>
                <w:sz w:val="20"/>
                <w:szCs w:val="20"/>
                <w:lang w:val="hy-AM"/>
              </w:rPr>
            </w:pPr>
            <w:r w:rsidRPr="00BC61ED">
              <w:rPr>
                <w:sz w:val="20"/>
                <w:szCs w:val="20"/>
                <w:lang w:val="hy-AM"/>
              </w:rPr>
              <w:t xml:space="preserve">  </w:t>
            </w:r>
            <w:r w:rsidRPr="00BC61ED">
              <w:rPr>
                <w:b/>
                <w:sz w:val="20"/>
                <w:szCs w:val="20"/>
                <w:lang w:val="hy-AM"/>
              </w:rPr>
              <w:t>1</w:t>
            </w:r>
            <w:r w:rsidRPr="00BC61ED">
              <w:rPr>
                <w:rFonts w:ascii="Cambria Math" w:hAnsi="Cambria Math" w:cs="Cambria Math"/>
                <w:b/>
                <w:sz w:val="20"/>
                <w:szCs w:val="20"/>
                <w:lang w:val="hy-AM"/>
              </w:rPr>
              <w:t>․</w:t>
            </w:r>
            <w:r w:rsidRPr="00BC61ED">
              <w:rPr>
                <w:rFonts w:cs="Cambria Math"/>
                <w:b/>
                <w:sz w:val="20"/>
                <w:szCs w:val="20"/>
                <w:lang w:val="hy-AM"/>
              </w:rPr>
              <w:t xml:space="preserve"> </w:t>
            </w:r>
            <w:r w:rsidRPr="00BC61ED">
              <w:rPr>
                <w:b/>
                <w:sz w:val="20"/>
                <w:szCs w:val="20"/>
                <w:lang w:val="hy-AM"/>
              </w:rPr>
              <w:t>Միջոցառման անհրաժեշտությունը (նպատակ)</w:t>
            </w:r>
          </w:p>
          <w:p w:rsidR="0068680D" w:rsidRPr="00BC61ED" w:rsidRDefault="0068680D" w:rsidP="00F47DC4">
            <w:pPr>
              <w:spacing w:after="0" w:line="276" w:lineRule="auto"/>
              <w:ind w:right="4" w:firstLine="375"/>
              <w:rPr>
                <w:sz w:val="20"/>
                <w:szCs w:val="20"/>
                <w:lang w:val="hy-AM"/>
              </w:rPr>
            </w:pPr>
            <w:r w:rsidRPr="00BC61ED">
              <w:rPr>
                <w:sz w:val="20"/>
                <w:szCs w:val="20"/>
                <w:lang w:val="hy-AM"/>
              </w:rPr>
              <w:t xml:space="preserve">Միջոցառման կատարումը բխում է Հայաստանի Հանրապետության 2016-2025 թվականների տարածքային զարգացման ռազմավարությունը ԵՄ համապարփակ և ընդլայնված գործընկերության համաձայնագրի ճանապարհային քարտեզի դրույթներին ու ՀՀ կառավարության միջազգային համագործակցության ծրագրերին համապատասխանեցնելու անհրաժեշտությունից։ 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6.1 բաժնով նախատեսված հանձնառություններից:</w:t>
            </w:r>
          </w:p>
          <w:p w:rsidR="0068680D" w:rsidRPr="00BC61ED" w:rsidRDefault="0068680D" w:rsidP="00F47DC4">
            <w:pPr>
              <w:pStyle w:val="Style15"/>
              <w:spacing w:line="276" w:lineRule="auto"/>
              <w:ind w:right="4" w:firstLine="0"/>
              <w:rPr>
                <w:rFonts w:ascii="GHEA Grapalat" w:hAnsi="GHEA Grapalat"/>
                <w:sz w:val="20"/>
                <w:lang w:val="hy-AM"/>
              </w:rPr>
            </w:pPr>
            <w:r w:rsidRPr="00BC61ED">
              <w:rPr>
                <w:rFonts w:ascii="GHEA Grapalat" w:hAnsi="GHEA Grapalat" w:cs="Arial"/>
                <w:b/>
                <w:sz w:val="20"/>
                <w:lang w:val="hy-AM"/>
              </w:rPr>
              <w:t>2. Առկա</w:t>
            </w:r>
            <w:r w:rsidRPr="00BC61ED">
              <w:rPr>
                <w:rFonts w:ascii="GHEA Grapalat" w:hAnsi="GHEA Grapalat" w:cs="Arial Armenian"/>
                <w:b/>
                <w:sz w:val="20"/>
                <w:lang w:val="hy-AM"/>
              </w:rPr>
              <w:t xml:space="preserve"> </w:t>
            </w:r>
            <w:r w:rsidRPr="00BC61ED">
              <w:rPr>
                <w:rFonts w:ascii="GHEA Grapalat" w:hAnsi="GHEA Grapalat" w:cs="Arial"/>
                <w:b/>
                <w:sz w:val="20"/>
                <w:lang w:val="hy-AM"/>
              </w:rPr>
              <w:t>խնդիրների</w:t>
            </w:r>
            <w:r w:rsidRPr="00BC61ED">
              <w:rPr>
                <w:rFonts w:ascii="GHEA Grapalat" w:hAnsi="GHEA Grapalat" w:cs="Arial Armenian"/>
                <w:b/>
                <w:sz w:val="20"/>
                <w:lang w:val="hy-AM"/>
              </w:rPr>
              <w:t xml:space="preserve"> </w:t>
            </w:r>
            <w:r w:rsidRPr="00BC61ED">
              <w:rPr>
                <w:rFonts w:ascii="GHEA Grapalat" w:hAnsi="GHEA Grapalat" w:cs="Arial"/>
                <w:b/>
                <w:sz w:val="20"/>
                <w:lang w:val="hy-AM"/>
              </w:rPr>
              <w:t>առաջարկվող</w:t>
            </w:r>
            <w:r w:rsidRPr="00BC61ED">
              <w:rPr>
                <w:rFonts w:ascii="GHEA Grapalat" w:hAnsi="GHEA Grapalat" w:cs="Arial Armenian"/>
                <w:b/>
                <w:sz w:val="20"/>
                <w:lang w:val="hy-AM"/>
              </w:rPr>
              <w:t xml:space="preserve"> </w:t>
            </w:r>
            <w:r w:rsidRPr="00BC61ED">
              <w:rPr>
                <w:rFonts w:ascii="GHEA Grapalat" w:hAnsi="GHEA Grapalat" w:cs="Arial"/>
                <w:b/>
                <w:sz w:val="20"/>
                <w:lang w:val="hy-AM"/>
              </w:rPr>
              <w:t>լուծումները</w:t>
            </w:r>
            <w:r w:rsidRPr="00BC61ED">
              <w:rPr>
                <w:rFonts w:ascii="GHEA Grapalat" w:hAnsi="GHEA Grapalat"/>
                <w:sz w:val="20"/>
                <w:lang w:val="hy-AM"/>
              </w:rPr>
              <w:t xml:space="preserve"> </w:t>
            </w:r>
          </w:p>
          <w:p w:rsidR="0068680D" w:rsidRPr="00BC61ED" w:rsidRDefault="0068680D" w:rsidP="00F47DC4">
            <w:pPr>
              <w:pStyle w:val="Style15"/>
              <w:spacing w:line="276" w:lineRule="auto"/>
              <w:ind w:right="4" w:firstLine="720"/>
              <w:rPr>
                <w:rFonts w:ascii="GHEA Grapalat" w:hAnsi="GHEA Grapalat"/>
                <w:sz w:val="20"/>
                <w:lang w:val="hy-AM"/>
              </w:rPr>
            </w:pPr>
            <w:r w:rsidRPr="00BC61ED">
              <w:rPr>
                <w:rFonts w:ascii="GHEA Grapalat" w:hAnsi="GHEA Grapalat"/>
                <w:sz w:val="20"/>
                <w:lang w:val="hy-AM"/>
              </w:rPr>
              <w:t>Նախատեսվում է վերլուծել ԵՄ համապարփակ և ընդլայնված գործընկերության համաձայնագրի ճանապարհային քարտեզի դրույթներն ու ՀՀ կառավարության միջազգային համագործակցության ծրագրերը և վերանայել Հայաստանի Հանրապետության 2016-2025 թվականների տարածքային զարգացման գործող ռազմավարությունը՝ դրանում նկարագրելով վերը նշված փաստաթղթերին համահունչ ուղղություններ և գործիքակազմ։</w:t>
            </w:r>
          </w:p>
          <w:p w:rsidR="0068680D" w:rsidRPr="00BC61ED" w:rsidRDefault="0068680D" w:rsidP="0068680D">
            <w:pPr>
              <w:pStyle w:val="Style15"/>
              <w:numPr>
                <w:ilvl w:val="0"/>
                <w:numId w:val="134"/>
              </w:numPr>
              <w:spacing w:line="276" w:lineRule="auto"/>
              <w:ind w:left="0" w:right="4" w:firstLine="720"/>
              <w:rPr>
                <w:rFonts w:ascii="GHEA Grapalat" w:hAnsi="GHEA Grapalat" w:cs="Arial"/>
                <w:b/>
                <w:sz w:val="20"/>
                <w:lang w:val="hy-AM"/>
              </w:rPr>
            </w:pPr>
            <w:r w:rsidRPr="00BC61ED">
              <w:rPr>
                <w:rFonts w:ascii="GHEA Grapalat" w:hAnsi="GHEA Grapalat" w:cs="Arial"/>
                <w:b/>
                <w:sz w:val="20"/>
                <w:lang w:val="hy-AM"/>
              </w:rPr>
              <w:t>Միջոցառման</w:t>
            </w:r>
            <w:r w:rsidRPr="00BC61ED">
              <w:rPr>
                <w:rFonts w:ascii="GHEA Grapalat" w:hAnsi="GHEA Grapalat" w:cs="Arial Armenian"/>
                <w:b/>
                <w:sz w:val="20"/>
                <w:lang w:val="hy-AM"/>
              </w:rPr>
              <w:t xml:space="preserve"> </w:t>
            </w:r>
            <w:r w:rsidRPr="00BC61ED">
              <w:rPr>
                <w:rFonts w:ascii="GHEA Grapalat" w:hAnsi="GHEA Grapalat" w:cs="Arial"/>
                <w:b/>
                <w:sz w:val="20"/>
                <w:lang w:val="hy-AM"/>
              </w:rPr>
              <w:t>իրականացումից</w:t>
            </w:r>
            <w:r w:rsidRPr="00BC61ED">
              <w:rPr>
                <w:rFonts w:ascii="GHEA Grapalat" w:hAnsi="GHEA Grapalat" w:cs="Arial Armenian"/>
                <w:b/>
                <w:sz w:val="20"/>
                <w:lang w:val="hy-AM"/>
              </w:rPr>
              <w:t xml:space="preserve"> </w:t>
            </w:r>
            <w:r w:rsidRPr="00BC61ED">
              <w:rPr>
                <w:rFonts w:ascii="GHEA Grapalat" w:hAnsi="GHEA Grapalat" w:cs="Arial"/>
                <w:b/>
                <w:sz w:val="20"/>
                <w:lang w:val="hy-AM"/>
              </w:rPr>
              <w:t>ակնկալվող</w:t>
            </w:r>
            <w:r w:rsidRPr="00BC61ED">
              <w:rPr>
                <w:rFonts w:ascii="GHEA Grapalat" w:hAnsi="GHEA Grapalat" w:cs="Arial Armenian"/>
                <w:b/>
                <w:sz w:val="20"/>
                <w:lang w:val="hy-AM"/>
              </w:rPr>
              <w:t xml:space="preserve"> </w:t>
            </w:r>
            <w:r w:rsidRPr="00BC61ED">
              <w:rPr>
                <w:rFonts w:ascii="GHEA Grapalat" w:hAnsi="GHEA Grapalat" w:cs="Arial"/>
                <w:b/>
                <w:sz w:val="20"/>
                <w:lang w:val="hy-AM"/>
              </w:rPr>
              <w:t>արդյունքը</w:t>
            </w:r>
          </w:p>
          <w:p w:rsidR="0068680D" w:rsidRPr="00BC61ED" w:rsidRDefault="0068680D" w:rsidP="00F47DC4">
            <w:pPr>
              <w:spacing w:after="0" w:line="276" w:lineRule="auto"/>
              <w:ind w:right="4" w:firstLine="720"/>
              <w:rPr>
                <w:b/>
                <w:sz w:val="20"/>
                <w:szCs w:val="20"/>
                <w:lang w:val="hy-AM"/>
              </w:rPr>
            </w:pPr>
            <w:r w:rsidRPr="00BC61ED">
              <w:rPr>
                <w:rFonts w:cs="Arial"/>
                <w:sz w:val="20"/>
                <w:szCs w:val="20"/>
                <w:lang w:val="hy-AM"/>
              </w:rPr>
              <w:t xml:space="preserve">Միջոցառման կատարման արդյունքում կապահովվի ռազմավարության և վերը նշված փաստաթղթերի տրամաբանական կապը և դրանով հանդերձ՝ տարածքային զարգացման անհամաչափությունները մեղմելուն ուղղված փոխկապակցված միջոցառումների պլանավորումն ու իրականացումը։ </w:t>
            </w: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1</w:t>
            </w:r>
            <w:r>
              <w:rPr>
                <w:b/>
                <w:sz w:val="20"/>
                <w:szCs w:val="20"/>
                <w:lang w:val="hy-AM"/>
              </w:rPr>
              <w:t>3</w:t>
            </w:r>
            <w:r w:rsidRPr="00BC61ED">
              <w:rPr>
                <w:b/>
                <w:sz w:val="20"/>
                <w:szCs w:val="20"/>
                <w:lang w:val="hy-AM"/>
              </w:rPr>
              <w:t>.</w:t>
            </w:r>
          </w:p>
        </w:tc>
        <w:tc>
          <w:tcPr>
            <w:tcW w:w="10915" w:type="dxa"/>
            <w:shd w:val="clear" w:color="auto" w:fill="auto"/>
          </w:tcPr>
          <w:p w:rsidR="0068680D" w:rsidRDefault="0068680D" w:rsidP="00F47DC4">
            <w:pPr>
              <w:tabs>
                <w:tab w:val="left" w:pos="315"/>
              </w:tabs>
              <w:spacing w:after="0" w:line="276" w:lineRule="auto"/>
              <w:jc w:val="center"/>
              <w:rPr>
                <w:rFonts w:eastAsia="Times New Roman"/>
                <w:b/>
                <w:sz w:val="20"/>
                <w:szCs w:val="20"/>
                <w:lang w:val="hy-AM" w:eastAsia="ru-RU"/>
              </w:rPr>
            </w:pPr>
            <w:r w:rsidRPr="00BC61ED">
              <w:rPr>
                <w:rFonts w:eastAsia="Times New Roman"/>
                <w:b/>
                <w:sz w:val="20"/>
                <w:szCs w:val="20"/>
                <w:lang w:val="hy-AM" w:eastAsia="ru-RU"/>
              </w:rPr>
              <w:t>Աղտոտված, ինչպես նաև դեգրադացված հողերի վերականգնում</w:t>
            </w:r>
          </w:p>
          <w:p w:rsidR="0068680D" w:rsidRPr="00C87C0A" w:rsidRDefault="0068680D" w:rsidP="00F47DC4">
            <w:pPr>
              <w:tabs>
                <w:tab w:val="left" w:pos="315"/>
              </w:tabs>
              <w:spacing w:after="0" w:line="276" w:lineRule="auto"/>
              <w:jc w:val="center"/>
              <w:rPr>
                <w:rFonts w:eastAsia="Times New Roman"/>
                <w:b/>
                <w:sz w:val="20"/>
                <w:szCs w:val="20"/>
                <w:lang w:val="hy-AM" w:eastAsia="ru-RU"/>
              </w:rPr>
            </w:pPr>
            <w:r w:rsidRPr="00C87C0A">
              <w:rPr>
                <w:rFonts w:cs="Sylfaen"/>
                <w:b/>
                <w:noProof/>
                <w:sz w:val="20"/>
                <w:szCs w:val="20"/>
                <w:lang w:val="hy-AM"/>
              </w:rPr>
              <w:t>13.1 Աղտոտված, դեգրադացված հողերի մոնիթորինգի արդյունքների հիման վրա հողերի վերականգնման միջոցառումների մշակում և իրականացում</w:t>
            </w:r>
          </w:p>
          <w:p w:rsidR="0068680D" w:rsidRPr="00BC61ED" w:rsidRDefault="0068680D" w:rsidP="00F47DC4">
            <w:pPr>
              <w:tabs>
                <w:tab w:val="left" w:pos="315"/>
              </w:tabs>
              <w:spacing w:after="0" w:line="276" w:lineRule="auto"/>
              <w:jc w:val="center"/>
              <w:rPr>
                <w:rFonts w:eastAsia="Times New Roman"/>
                <w:b/>
                <w:sz w:val="20"/>
                <w:szCs w:val="20"/>
                <w:lang w:val="hy-AM" w:eastAsia="ru-RU"/>
              </w:rPr>
            </w:pPr>
          </w:p>
          <w:p w:rsidR="0068680D" w:rsidRPr="00BC61ED" w:rsidRDefault="0068680D" w:rsidP="00F47DC4">
            <w:pPr>
              <w:pStyle w:val="ListParagraph"/>
              <w:numPr>
                <w:ilvl w:val="0"/>
                <w:numId w:val="13"/>
              </w:numPr>
              <w:spacing w:after="0" w:line="276" w:lineRule="auto"/>
              <w:jc w:val="both"/>
              <w:rPr>
                <w:rFonts w:eastAsia="Times New Roman"/>
                <w:b/>
                <w:i/>
                <w:sz w:val="20"/>
                <w:szCs w:val="20"/>
                <w:lang w:val="hy-AM"/>
              </w:rPr>
            </w:pPr>
            <w:r w:rsidRPr="00BC61ED">
              <w:rPr>
                <w:rFonts w:eastAsia="Times New Roman"/>
                <w:b/>
                <w:i/>
                <w:sz w:val="20"/>
                <w:szCs w:val="20"/>
                <w:lang w:val="hy-AM"/>
              </w:rPr>
              <w:t>Միջոցառման իրակացման անհրաժեշտությունը և նպատակը</w:t>
            </w:r>
          </w:p>
          <w:p w:rsidR="0068680D" w:rsidRPr="00BC61ED" w:rsidRDefault="0068680D" w:rsidP="00F47DC4">
            <w:pPr>
              <w:spacing w:after="0" w:line="276" w:lineRule="auto"/>
              <w:ind w:firstLine="374"/>
              <w:rPr>
                <w:rFonts w:cs="Sylfaen"/>
                <w:b/>
                <w:iCs/>
                <w:sz w:val="20"/>
                <w:szCs w:val="20"/>
                <w:lang w:val="hy-AM"/>
              </w:rPr>
            </w:pPr>
            <w:r w:rsidRPr="00BC61ED">
              <w:rPr>
                <w:rFonts w:cs="Sylfaen"/>
                <w:kern w:val="16"/>
                <w:sz w:val="20"/>
                <w:szCs w:val="20"/>
                <w:lang w:val="it-IT"/>
              </w:rPr>
              <w:t xml:space="preserve">Հողերի վիճակի ուսումնասիրության, գնահատման և դրա փոփոխության ժամանակին բացահայտման (աղտոտվածության մոնիթորինգը)  անհրաժեշտությունը բխում է ՀՀ հողային օրենսգրքի 32-րդ հոդվածի և ՀՀ կառավարության 19.02.2009թ.-ի N 276-Ն դրույթներից: </w:t>
            </w:r>
            <w:r w:rsidRPr="00BC61ED">
              <w:rPr>
                <w:rFonts w:cs="Sylfaen"/>
                <w:noProof/>
                <w:sz w:val="20"/>
                <w:szCs w:val="20"/>
                <w:lang w:val="hy-AM"/>
              </w:rPr>
              <w:t>Աղտոտված, դեգրադացված հողերի մոնիթորինգի արդյունքների հիման վրա հողերի վերականգնման միջոցառումների մշակման և իրականացման արդյունքում ակնկալվում է ա</w:t>
            </w:r>
            <w:r w:rsidRPr="00BC61ED">
              <w:rPr>
                <w:rFonts w:cs="GHEA Grapalat"/>
                <w:sz w:val="20"/>
                <w:szCs w:val="20"/>
                <w:lang w:val="hy-AM"/>
              </w:rPr>
              <w:t xml:space="preserve">ղտոտված, դեգրադացված հողերի  ընդհանուր մակերեսների կրճատում։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b/>
                <w:sz w:val="20"/>
                <w:szCs w:val="20"/>
                <w:lang w:val="hy-AM"/>
              </w:rPr>
              <w:t>1.1. Կարգավորման հարաբերությունների ներկա վիճակը և առկա խնդիրները</w:t>
            </w:r>
            <w:r w:rsidRPr="00BC61ED">
              <w:rPr>
                <w:rFonts w:eastAsia="Times New Roman"/>
                <w:sz w:val="20"/>
                <w:szCs w:val="20"/>
                <w:lang w:val="hy-AM"/>
              </w:rPr>
              <w:t xml:space="preserve"> </w:t>
            </w:r>
          </w:p>
          <w:p w:rsidR="0068680D" w:rsidRPr="00BC61ED" w:rsidRDefault="0068680D" w:rsidP="00F47DC4">
            <w:pPr>
              <w:spacing w:after="0" w:line="276" w:lineRule="auto"/>
              <w:ind w:firstLine="374"/>
              <w:rPr>
                <w:rFonts w:cs="Sylfaen"/>
                <w:bCs/>
                <w:spacing w:val="-8"/>
                <w:sz w:val="20"/>
                <w:szCs w:val="20"/>
                <w:lang w:val="it-IT"/>
              </w:rPr>
            </w:pPr>
            <w:r w:rsidRPr="00BC61ED">
              <w:rPr>
                <w:rFonts w:cs="GHEA Grapalat"/>
                <w:sz w:val="20"/>
                <w:szCs w:val="20"/>
                <w:lang w:val="hy-AM"/>
              </w:rPr>
              <w:t>Աղտոտված, դեգրադացված հողերի մոնիթորինգի իրականացման</w:t>
            </w:r>
            <w:r w:rsidRPr="00BC61ED">
              <w:rPr>
                <w:rFonts w:cs="GHEA Grapalat"/>
                <w:sz w:val="20"/>
                <w:szCs w:val="20"/>
                <w:lang w:val="it-IT"/>
              </w:rPr>
              <w:t xml:space="preserve"> </w:t>
            </w:r>
            <w:r w:rsidRPr="00BC61ED">
              <w:rPr>
                <w:rFonts w:cs="GHEA Grapalat"/>
                <w:sz w:val="20"/>
                <w:szCs w:val="20"/>
                <w:lang w:val="hy-AM"/>
              </w:rPr>
              <w:t>անհրաժեշտությունը</w:t>
            </w:r>
            <w:r w:rsidRPr="00BC61ED">
              <w:rPr>
                <w:rFonts w:cs="GHEA Grapalat"/>
                <w:sz w:val="20"/>
                <w:szCs w:val="20"/>
                <w:lang w:val="it-IT"/>
              </w:rPr>
              <w:t xml:space="preserve"> </w:t>
            </w:r>
            <w:r w:rsidRPr="00BC61ED">
              <w:rPr>
                <w:rFonts w:cs="GHEA Grapalat"/>
                <w:sz w:val="20"/>
                <w:szCs w:val="20"/>
                <w:lang w:val="hy-AM"/>
              </w:rPr>
              <w:t>ամրագրված</w:t>
            </w:r>
            <w:r w:rsidRPr="00BC61ED">
              <w:rPr>
                <w:rFonts w:cs="GHEA Grapalat"/>
                <w:sz w:val="20"/>
                <w:szCs w:val="20"/>
                <w:lang w:val="it-IT"/>
              </w:rPr>
              <w:t xml:space="preserve"> </w:t>
            </w:r>
            <w:r w:rsidRPr="00BC61ED">
              <w:rPr>
                <w:rFonts w:cs="GHEA Grapalat"/>
                <w:sz w:val="20"/>
                <w:szCs w:val="20"/>
                <w:lang w:val="hy-AM"/>
              </w:rPr>
              <w:t>է</w:t>
            </w:r>
            <w:r w:rsidRPr="00BC61ED">
              <w:rPr>
                <w:rFonts w:cs="GHEA Grapalat"/>
                <w:sz w:val="20"/>
                <w:szCs w:val="20"/>
                <w:lang w:val="it-IT"/>
              </w:rPr>
              <w:t xml:space="preserve"> </w:t>
            </w:r>
            <w:r w:rsidRPr="00DD1660">
              <w:rPr>
                <w:sz w:val="20"/>
                <w:lang w:val="af-ZA"/>
              </w:rPr>
              <w:t xml:space="preserve">ՀՀ Ազգային ժողովի 14.02.2019թ. N ԱԺՈ-002-Ն որոշմամբ հավանության արժանացած </w:t>
            </w:r>
            <w:r w:rsidRPr="00DD1660">
              <w:rPr>
                <w:sz w:val="20"/>
                <w:lang w:val="hy-AM"/>
              </w:rPr>
              <w:t>ՀՀ</w:t>
            </w:r>
            <w:r w:rsidRPr="00DD1660">
              <w:rPr>
                <w:sz w:val="20"/>
                <w:lang w:val="af-ZA"/>
              </w:rPr>
              <w:t xml:space="preserve"> կառավարության ծրագրի</w:t>
            </w:r>
            <w:r w:rsidRPr="00BC61ED">
              <w:rPr>
                <w:rFonts w:cs="GHEA Grapalat"/>
                <w:sz w:val="20"/>
                <w:szCs w:val="20"/>
                <w:lang w:val="it-IT"/>
              </w:rPr>
              <w:t xml:space="preserve"> 4.8 գլխում՝ որպես </w:t>
            </w:r>
            <w:r w:rsidRPr="00BC61ED">
              <w:rPr>
                <w:rFonts w:cs="Sylfaen"/>
                <w:sz w:val="20"/>
                <w:szCs w:val="20"/>
                <w:lang w:val="hy-AM"/>
              </w:rPr>
              <w:t>շրջակա</w:t>
            </w:r>
            <w:r w:rsidRPr="00BC61ED">
              <w:rPr>
                <w:sz w:val="20"/>
                <w:szCs w:val="20"/>
                <w:lang w:val="it-IT"/>
              </w:rPr>
              <w:t xml:space="preserve"> </w:t>
            </w:r>
            <w:r w:rsidRPr="00BC61ED">
              <w:rPr>
                <w:rFonts w:cs="Sylfaen"/>
                <w:sz w:val="20"/>
                <w:szCs w:val="20"/>
                <w:lang w:val="hy-AM"/>
              </w:rPr>
              <w:t>միջավայրի</w:t>
            </w:r>
            <w:r w:rsidRPr="00BC61ED">
              <w:rPr>
                <w:sz w:val="20"/>
                <w:szCs w:val="20"/>
                <w:lang w:val="it-IT"/>
              </w:rPr>
              <w:t xml:space="preserve"> </w:t>
            </w:r>
            <w:r w:rsidRPr="00BC61ED">
              <w:rPr>
                <w:rFonts w:cs="Sylfaen"/>
                <w:sz w:val="20"/>
                <w:szCs w:val="20"/>
                <w:lang w:val="hy-AM"/>
              </w:rPr>
              <w:t>կառավարման</w:t>
            </w:r>
            <w:r w:rsidRPr="00BC61ED">
              <w:rPr>
                <w:sz w:val="20"/>
                <w:szCs w:val="20"/>
                <w:lang w:val="it-IT"/>
              </w:rPr>
              <w:t xml:space="preserve"> </w:t>
            </w:r>
            <w:r w:rsidRPr="00BC61ED">
              <w:rPr>
                <w:rFonts w:cs="Sylfaen"/>
                <w:sz w:val="20"/>
                <w:szCs w:val="20"/>
                <w:lang w:val="hy-AM"/>
              </w:rPr>
              <w:t>առաջնահերթ</w:t>
            </w:r>
            <w:r w:rsidRPr="00BC61ED">
              <w:rPr>
                <w:sz w:val="20"/>
                <w:szCs w:val="20"/>
                <w:lang w:val="it-IT"/>
              </w:rPr>
              <w:t xml:space="preserve"> </w:t>
            </w:r>
            <w:r w:rsidRPr="00BC61ED">
              <w:rPr>
                <w:rFonts w:cs="Sylfaen"/>
                <w:sz w:val="20"/>
                <w:szCs w:val="20"/>
                <w:lang w:val="hy-AM"/>
              </w:rPr>
              <w:t>ուղղություն</w:t>
            </w:r>
            <w:r w:rsidRPr="00BC61ED">
              <w:rPr>
                <w:rFonts w:cs="Sylfaen"/>
                <w:sz w:val="20"/>
                <w:szCs w:val="20"/>
                <w:lang w:val="it-IT"/>
              </w:rPr>
              <w:t xml:space="preserve">, ինչպես նաև </w:t>
            </w:r>
            <w:r w:rsidRPr="00BC61ED">
              <w:rPr>
                <w:rFonts w:cs="Sylfaen"/>
                <w:sz w:val="20"/>
                <w:szCs w:val="20"/>
                <w:lang w:val="hy-AM"/>
              </w:rPr>
              <w:t>Կառավարության 22.03.2018թ.-ի N 11 արձանագրային որոշմամբ հաստատված շրջակա</w:t>
            </w:r>
            <w:r w:rsidRPr="00BC61ED">
              <w:rPr>
                <w:rFonts w:cs="Arial Armenian"/>
                <w:sz w:val="20"/>
                <w:szCs w:val="20"/>
                <w:lang w:val="hy-AM"/>
              </w:rPr>
              <w:t xml:space="preserve"> </w:t>
            </w:r>
            <w:r w:rsidRPr="00BC61ED">
              <w:rPr>
                <w:rFonts w:cs="Sylfaen"/>
                <w:sz w:val="20"/>
                <w:szCs w:val="20"/>
                <w:lang w:val="hy-AM"/>
              </w:rPr>
              <w:t>միջավայրի</w:t>
            </w:r>
            <w:r w:rsidRPr="00BC61ED">
              <w:rPr>
                <w:rFonts w:cs="Arial Armenian"/>
                <w:sz w:val="20"/>
                <w:szCs w:val="20"/>
                <w:lang w:val="hy-AM"/>
              </w:rPr>
              <w:t xml:space="preserve"> </w:t>
            </w:r>
            <w:r w:rsidRPr="00BC61ED">
              <w:rPr>
                <w:rFonts w:cs="Sylfaen"/>
                <w:sz w:val="20"/>
                <w:szCs w:val="20"/>
                <w:lang w:val="hy-AM"/>
              </w:rPr>
              <w:t>պահպանության</w:t>
            </w:r>
            <w:r w:rsidRPr="00BC61ED">
              <w:rPr>
                <w:rFonts w:cs="Arial Armenian"/>
                <w:sz w:val="20"/>
                <w:szCs w:val="20"/>
                <w:lang w:val="hy-AM"/>
              </w:rPr>
              <w:t xml:space="preserve"> </w:t>
            </w:r>
            <w:r w:rsidRPr="00BC61ED">
              <w:rPr>
                <w:rFonts w:cs="Sylfaen"/>
                <w:sz w:val="20"/>
                <w:szCs w:val="20"/>
                <w:lang w:val="hy-AM"/>
              </w:rPr>
              <w:t>և</w:t>
            </w:r>
            <w:r w:rsidRPr="00BC61ED">
              <w:rPr>
                <w:rFonts w:cs="Arial Armenian"/>
                <w:sz w:val="20"/>
                <w:szCs w:val="20"/>
                <w:lang w:val="hy-AM"/>
              </w:rPr>
              <w:t xml:space="preserve"> </w:t>
            </w:r>
            <w:r w:rsidRPr="00BC61ED">
              <w:rPr>
                <w:rFonts w:cs="Sylfaen"/>
                <w:sz w:val="20"/>
                <w:szCs w:val="20"/>
                <w:lang w:val="hy-AM"/>
              </w:rPr>
              <w:t>բնական</w:t>
            </w:r>
            <w:r w:rsidRPr="00BC61ED">
              <w:rPr>
                <w:rFonts w:cs="Arial Armenian"/>
                <w:sz w:val="20"/>
                <w:szCs w:val="20"/>
                <w:lang w:val="hy-AM"/>
              </w:rPr>
              <w:t xml:space="preserve"> </w:t>
            </w:r>
            <w:r w:rsidRPr="00BC61ED">
              <w:rPr>
                <w:rFonts w:cs="Sylfaen"/>
                <w:sz w:val="20"/>
                <w:szCs w:val="20"/>
                <w:lang w:val="hy-AM"/>
              </w:rPr>
              <w:t>ռեսուրսների</w:t>
            </w:r>
            <w:r w:rsidRPr="00BC61ED">
              <w:rPr>
                <w:rFonts w:cs="Arial Armenian"/>
                <w:sz w:val="20"/>
                <w:szCs w:val="20"/>
                <w:lang w:val="hy-AM"/>
              </w:rPr>
              <w:t xml:space="preserve"> </w:t>
            </w:r>
            <w:r w:rsidRPr="00BC61ED">
              <w:rPr>
                <w:rFonts w:cs="Sylfaen"/>
                <w:sz w:val="20"/>
                <w:szCs w:val="20"/>
                <w:lang w:val="hy-AM"/>
              </w:rPr>
              <w:t>օգտագործման</w:t>
            </w:r>
            <w:r w:rsidRPr="00BC61ED">
              <w:rPr>
                <w:rFonts w:cs="Arial Armenian"/>
                <w:sz w:val="20"/>
                <w:szCs w:val="20"/>
                <w:lang w:val="hy-AM"/>
              </w:rPr>
              <w:t xml:space="preserve"> </w:t>
            </w:r>
            <w:r w:rsidRPr="00BC61ED">
              <w:rPr>
                <w:rFonts w:cs="Sylfaen"/>
                <w:sz w:val="20"/>
                <w:szCs w:val="20"/>
                <w:lang w:val="hy-AM"/>
              </w:rPr>
              <w:t>կառավարման</w:t>
            </w:r>
            <w:r w:rsidRPr="00BC61ED">
              <w:rPr>
                <w:rFonts w:cs="Arial Armenian"/>
                <w:sz w:val="20"/>
                <w:szCs w:val="20"/>
                <w:lang w:val="hy-AM"/>
              </w:rPr>
              <w:t xml:space="preserve"> </w:t>
            </w:r>
            <w:r w:rsidRPr="00BC61ED">
              <w:rPr>
                <w:rFonts w:cs="Sylfaen"/>
                <w:sz w:val="20"/>
                <w:szCs w:val="20"/>
                <w:lang w:val="hy-AM"/>
              </w:rPr>
              <w:t>ն</w:t>
            </w:r>
            <w:r w:rsidRPr="00BC61ED">
              <w:rPr>
                <w:rFonts w:cs="Sylfaen"/>
                <w:bCs/>
                <w:spacing w:val="-8"/>
                <w:sz w:val="20"/>
                <w:szCs w:val="20"/>
                <w:lang w:val="hy-AM"/>
              </w:rPr>
              <w:t xml:space="preserve"> միջոցառումների</w:t>
            </w:r>
            <w:r w:rsidRPr="00BC61ED">
              <w:rPr>
                <w:rFonts w:cs="Tahoma"/>
                <w:bCs/>
                <w:spacing w:val="-8"/>
                <w:sz w:val="20"/>
                <w:szCs w:val="20"/>
                <w:lang w:val="hy-AM"/>
              </w:rPr>
              <w:t xml:space="preserve"> 2018-2022 </w:t>
            </w:r>
            <w:r w:rsidRPr="00BC61ED">
              <w:rPr>
                <w:rFonts w:cs="Sylfaen"/>
                <w:bCs/>
                <w:spacing w:val="-8"/>
                <w:sz w:val="20"/>
                <w:szCs w:val="20"/>
                <w:lang w:val="hy-AM"/>
              </w:rPr>
              <w:t>թվականների</w:t>
            </w:r>
            <w:r w:rsidRPr="00BC61ED">
              <w:rPr>
                <w:rFonts w:cs="Tahoma"/>
                <w:bCs/>
                <w:spacing w:val="-8"/>
                <w:sz w:val="20"/>
                <w:szCs w:val="20"/>
                <w:lang w:val="hy-AM"/>
              </w:rPr>
              <w:t xml:space="preserve"> </w:t>
            </w:r>
            <w:r w:rsidRPr="00BC61ED">
              <w:rPr>
                <w:rFonts w:cs="Sylfaen"/>
                <w:bCs/>
                <w:spacing w:val="-8"/>
                <w:sz w:val="20"/>
                <w:szCs w:val="20"/>
                <w:lang w:val="hy-AM"/>
              </w:rPr>
              <w:t>ծրագրում</w:t>
            </w:r>
            <w:r w:rsidRPr="00BC61ED">
              <w:rPr>
                <w:rFonts w:cs="Sylfaen"/>
                <w:bCs/>
                <w:spacing w:val="-8"/>
                <w:sz w:val="20"/>
                <w:szCs w:val="20"/>
                <w:lang w:val="it-IT"/>
              </w:rPr>
              <w:t>:</w:t>
            </w:r>
          </w:p>
          <w:p w:rsidR="0068680D" w:rsidRPr="00BC61ED" w:rsidRDefault="0068680D" w:rsidP="00F47DC4">
            <w:pPr>
              <w:spacing w:after="0" w:line="276" w:lineRule="auto"/>
              <w:ind w:firstLine="375"/>
              <w:rPr>
                <w:rFonts w:cs="Sylfaen"/>
                <w:kern w:val="16"/>
                <w:sz w:val="20"/>
                <w:szCs w:val="20"/>
                <w:lang w:val="it-IT"/>
              </w:rPr>
            </w:pPr>
            <w:r w:rsidRPr="00BC61ED">
              <w:rPr>
                <w:rFonts w:cs="Sylfaen"/>
                <w:kern w:val="16"/>
                <w:sz w:val="20"/>
                <w:szCs w:val="20"/>
                <w:lang w:val="it-IT"/>
              </w:rPr>
              <w:t xml:space="preserve"> Հողային ռեսուրսների արդյունավետ կառավարումը, հողերի աղտոտման և դեգրադացման կանխարգելմանն ու նվազմանն ուղղված քաղաքականության մշակման և իրականացման արդյունքում իրականացվող մոնիթորինգի արդյունքների հիման վրա կիրականացվեն հողերի վերականգնման միջոցառումներ։</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1.2. Առկա խնդիրների առաջարկվող լուծումները</w:t>
            </w:r>
          </w:p>
          <w:p w:rsidR="0068680D" w:rsidRPr="00BC61ED" w:rsidRDefault="0068680D" w:rsidP="00F47DC4">
            <w:pPr>
              <w:spacing w:after="0" w:line="276" w:lineRule="auto"/>
              <w:ind w:firstLine="360"/>
              <w:rPr>
                <w:rFonts w:cs="Sylfaen"/>
                <w:kern w:val="16"/>
                <w:sz w:val="20"/>
                <w:szCs w:val="20"/>
                <w:lang w:val="hy-AM"/>
              </w:rPr>
            </w:pPr>
            <w:r w:rsidRPr="00BC61ED">
              <w:rPr>
                <w:kern w:val="16"/>
                <w:sz w:val="20"/>
                <w:szCs w:val="20"/>
                <w:lang w:val="hy-AM"/>
              </w:rPr>
              <w:t xml:space="preserve">Իրականացված մոնիթորինգի տեղեկատվության հավաքարման, գրանցման արդյունքներով կմշակվեն և կիրականացվեն հողերի վերականգնման միջոցառումներ: </w:t>
            </w:r>
          </w:p>
          <w:p w:rsidR="0068680D" w:rsidRPr="00BC61ED" w:rsidRDefault="0068680D" w:rsidP="00F47DC4">
            <w:pPr>
              <w:pStyle w:val="ListParagraph"/>
              <w:numPr>
                <w:ilvl w:val="0"/>
                <w:numId w:val="13"/>
              </w:numPr>
              <w:spacing w:after="0" w:line="276" w:lineRule="auto"/>
              <w:jc w:val="both"/>
              <w:rPr>
                <w:rFonts w:eastAsia="Times New Roman"/>
                <w:b/>
                <w:i/>
                <w:sz w:val="20"/>
                <w:szCs w:val="20"/>
                <w:lang w:val="hy-AM"/>
              </w:rPr>
            </w:pPr>
            <w:r w:rsidRPr="00BC61ED">
              <w:rPr>
                <w:rFonts w:eastAsia="Times New Roman"/>
                <w:b/>
                <w:i/>
                <w:sz w:val="20"/>
                <w:szCs w:val="20"/>
                <w:lang w:val="hy-AM"/>
              </w:rPr>
              <w:t>Միջոցառման իրականացումից ակնկալվող արդյունքը</w:t>
            </w:r>
          </w:p>
          <w:p w:rsidR="0068680D" w:rsidRPr="00BC61ED" w:rsidRDefault="0068680D" w:rsidP="00F47DC4">
            <w:pPr>
              <w:spacing w:after="0" w:line="276" w:lineRule="auto"/>
              <w:ind w:firstLine="375"/>
              <w:rPr>
                <w:sz w:val="20"/>
                <w:szCs w:val="20"/>
                <w:lang w:val="hy-AM"/>
              </w:rPr>
            </w:pPr>
            <w:r w:rsidRPr="00BC61ED">
              <w:rPr>
                <w:rFonts w:cs="Sylfaen"/>
                <w:kern w:val="16"/>
                <w:sz w:val="20"/>
                <w:szCs w:val="20"/>
                <w:lang w:val="hy-AM"/>
              </w:rPr>
              <w:t>Միջոցառման</w:t>
            </w:r>
            <w:r w:rsidRPr="00BC61ED">
              <w:rPr>
                <w:kern w:val="16"/>
                <w:sz w:val="20"/>
                <w:szCs w:val="20"/>
                <w:lang w:val="hy-AM"/>
              </w:rPr>
              <w:t xml:space="preserve"> իրականացման արդյունքում կկրճատվեն աղտոտված, դեգրատացված հողերի ընդհանուր մակերեսները։ </w:t>
            </w: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1</w:t>
            </w:r>
            <w:r>
              <w:rPr>
                <w:b/>
                <w:sz w:val="20"/>
                <w:szCs w:val="20"/>
                <w:lang w:val="hy-AM"/>
              </w:rPr>
              <w:t>4</w:t>
            </w:r>
            <w:r w:rsidRPr="00BC61ED">
              <w:rPr>
                <w:b/>
                <w:sz w:val="20"/>
                <w:szCs w:val="20"/>
                <w:lang w:val="hy-AM"/>
              </w:rPr>
              <w:t>.</w:t>
            </w:r>
          </w:p>
        </w:tc>
        <w:tc>
          <w:tcPr>
            <w:tcW w:w="10915" w:type="dxa"/>
            <w:shd w:val="clear" w:color="auto" w:fill="auto"/>
          </w:tcPr>
          <w:p w:rsidR="0068680D" w:rsidRDefault="0068680D" w:rsidP="00F47DC4">
            <w:pPr>
              <w:spacing w:after="0" w:line="276" w:lineRule="auto"/>
              <w:ind w:firstLine="720"/>
              <w:rPr>
                <w:rFonts w:eastAsia="Times New Roman"/>
                <w:b/>
                <w:bCs/>
                <w:sz w:val="20"/>
                <w:szCs w:val="20"/>
                <w:lang w:val="hy-AM"/>
              </w:rPr>
            </w:pPr>
            <w:r w:rsidRPr="00BC61ED">
              <w:rPr>
                <w:rFonts w:eastAsia="Times New Roman"/>
                <w:b/>
                <w:bCs/>
                <w:sz w:val="20"/>
                <w:szCs w:val="20"/>
                <w:lang w:val="hy-AM"/>
              </w:rPr>
              <w:t>Տեղական հարկերի, տուրքերի և վճարների վճարման համակարգի ընդլայնում</w:t>
            </w:r>
          </w:p>
          <w:p w:rsidR="0068680D" w:rsidRPr="00C87C0A" w:rsidRDefault="0068680D" w:rsidP="00F47DC4">
            <w:pPr>
              <w:spacing w:after="0" w:line="276" w:lineRule="auto"/>
              <w:ind w:firstLine="720"/>
              <w:rPr>
                <w:rFonts w:eastAsia="Times New Roman"/>
                <w:b/>
                <w:bCs/>
                <w:sz w:val="20"/>
                <w:szCs w:val="20"/>
                <w:lang w:val="hy-AM"/>
              </w:rPr>
            </w:pPr>
            <w:r w:rsidRPr="00C87C0A">
              <w:rPr>
                <w:rFonts w:cs="Sylfaen"/>
                <w:b/>
                <w:noProof/>
                <w:sz w:val="20"/>
                <w:szCs w:val="20"/>
                <w:lang w:val="hy-AM"/>
              </w:rPr>
              <w:t>14.1 Տեղական հարկերի, տուրքերի և վճարների վճարման դիվերսիֆիկացված համակարգի ներդրում</w:t>
            </w:r>
          </w:p>
          <w:p w:rsidR="0068680D" w:rsidRPr="00BC61ED" w:rsidRDefault="0068680D" w:rsidP="00F47DC4">
            <w:pPr>
              <w:spacing w:after="0" w:line="276" w:lineRule="auto"/>
              <w:ind w:firstLine="375"/>
              <w:rPr>
                <w:rFonts w:eastAsia="Times New Roman"/>
                <w:sz w:val="20"/>
                <w:szCs w:val="20"/>
                <w:lang w:val="hy-AM"/>
              </w:rPr>
            </w:pPr>
            <w:r w:rsidRPr="00BC61ED">
              <w:rPr>
                <w:rFonts w:ascii="Calibri" w:eastAsia="Times New Roman" w:hAnsi="Calibri" w:cs="Calibri"/>
                <w:sz w:val="20"/>
                <w:szCs w:val="20"/>
                <w:lang w:val="hy-AM"/>
              </w:rPr>
              <w:t> </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1. Միջոցառման իրակացման անհրաժեշտությունը և նպատակը</w:t>
            </w:r>
          </w:p>
          <w:p w:rsidR="0068680D" w:rsidRPr="00BC61ED" w:rsidRDefault="0068680D" w:rsidP="00F47DC4">
            <w:pPr>
              <w:spacing w:after="0" w:line="276" w:lineRule="auto"/>
              <w:ind w:firstLine="425"/>
              <w:rPr>
                <w:rFonts w:eastAsia="Times New Roman"/>
                <w:sz w:val="20"/>
                <w:szCs w:val="20"/>
                <w:lang w:val="hy-AM"/>
              </w:rPr>
            </w:pPr>
            <w:r w:rsidRPr="00BC61ED">
              <w:rPr>
                <w:rFonts w:eastAsia="Times New Roman"/>
                <w:sz w:val="20"/>
                <w:szCs w:val="20"/>
                <w:lang w:val="hy-AM"/>
              </w:rPr>
              <w:t xml:space="preserve">Միջոցառման իրականացման նպատակն է մշակել և ներդնել էլեկտրոնային գործիքներ, որոնց միջոցով քաղաքացիները հնարավորություն կունենան առանց համայնքապետարաններ այցելելու կատարել տեղական հարկերի, տուրքերի և վճարների մասով ունեցած իրենց պարտավորությունները: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b/>
                <w:sz w:val="20"/>
                <w:szCs w:val="20"/>
                <w:lang w:val="hy-AM"/>
              </w:rPr>
              <w:t>1.1. կարգավորման հարաբերությունների ներկա վիճակը և առկա խնդիրները</w:t>
            </w:r>
            <w:r w:rsidRPr="00BC61ED">
              <w:rPr>
                <w:rFonts w:eastAsia="Times New Roman"/>
                <w:sz w:val="20"/>
                <w:szCs w:val="20"/>
                <w:lang w:val="hy-AM"/>
              </w:rPr>
              <w:t xml:space="preserve">              </w:t>
            </w:r>
          </w:p>
          <w:p w:rsidR="0068680D" w:rsidRPr="00BC61ED" w:rsidRDefault="0068680D" w:rsidP="00F47DC4">
            <w:pPr>
              <w:spacing w:after="0" w:line="276" w:lineRule="auto"/>
              <w:ind w:firstLine="375"/>
              <w:rPr>
                <w:sz w:val="20"/>
                <w:szCs w:val="20"/>
                <w:lang w:val="hy-AM"/>
              </w:rPr>
            </w:pPr>
            <w:r w:rsidRPr="00BC61ED">
              <w:rPr>
                <w:sz w:val="20"/>
                <w:szCs w:val="20"/>
                <w:lang w:val="hy-AM"/>
              </w:rPr>
              <w:t xml:space="preserve">Ներկայումս տեղական հարկերի, տուրքերի և վճարների հավաքագրումն իրականացվում է ավելի քան 400 համայնքապետարաններում շահագործվող էլեկտրոնային համակարգերի կիրառմամբ: Այս պարագայում, տեղական ինքնակառավարման մարմինների հանդեպ ունեցած իրենց ֆինանսական պարտավորությունների կատարման նպատակով համապատասխան անձինք ստիպված են այցելելու համայնքապետարան: </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1.2. առկա խնդիրների առաջարկվող լուծումները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Առաջարկվում է մշակել և ներդնել էլեկտրոնային գործիքներ, որոնք հնարավորություն կընձեռեն համայնքային ծառայություններից օգտվող քաղաքացիներին՝ տեղական հարկերի, տուրքերի և վճարների մասով իրենց ունեցած վճարումներն իրականացնել նաև էլեկտրոնային եղանակով՝ առանց համապատասխան համայնքապետարան այցելելու: </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2. Միջոցառման իրականացումից ակնկալվող արդյունքը</w:t>
            </w:r>
          </w:p>
          <w:p w:rsidR="0068680D" w:rsidRPr="00BC61ED" w:rsidRDefault="0068680D" w:rsidP="00F47DC4">
            <w:pPr>
              <w:spacing w:after="0" w:line="276" w:lineRule="auto"/>
              <w:ind w:firstLine="375"/>
              <w:rPr>
                <w:sz w:val="20"/>
                <w:szCs w:val="20"/>
                <w:lang w:val="hy-AM"/>
              </w:rPr>
            </w:pPr>
            <w:r w:rsidRPr="00BC61ED">
              <w:rPr>
                <w:rFonts w:ascii="Calibri" w:eastAsia="Times New Roman" w:hAnsi="Calibri" w:cs="Calibri"/>
                <w:sz w:val="20"/>
                <w:szCs w:val="20"/>
                <w:lang w:val="hy-AM"/>
              </w:rPr>
              <w:t> </w:t>
            </w:r>
            <w:r w:rsidRPr="00BC61ED">
              <w:rPr>
                <w:sz w:val="20"/>
                <w:szCs w:val="20"/>
                <w:lang w:val="hy-AM"/>
              </w:rPr>
              <w:t>Տեղական հարկերի, տուրքերի և վճարների վճարման համակարգի հասանելիության ընդլայնում:</w:t>
            </w:r>
          </w:p>
        </w:tc>
      </w:tr>
      <w:tr w:rsidR="0068680D" w:rsidRPr="00BC61ED"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1</w:t>
            </w:r>
            <w:r>
              <w:rPr>
                <w:b/>
                <w:sz w:val="20"/>
                <w:szCs w:val="20"/>
                <w:lang w:val="hy-AM"/>
              </w:rPr>
              <w:t>5</w:t>
            </w:r>
            <w:r w:rsidRPr="00BC61ED">
              <w:rPr>
                <w:b/>
                <w:sz w:val="20"/>
                <w:szCs w:val="20"/>
                <w:lang w:val="hy-AM"/>
              </w:rPr>
              <w:t>.</w:t>
            </w:r>
          </w:p>
        </w:tc>
        <w:tc>
          <w:tcPr>
            <w:tcW w:w="10915"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Հայաստանի Հանրապետությունում ապաստան հայցող օտարերկրյա քաղաքացիների և քաղաքացիություն չունեցող անձանց ընդունման մեխանիզմների</w:t>
            </w:r>
          </w:p>
          <w:p w:rsidR="0068680D" w:rsidRPr="00BC61ED" w:rsidRDefault="0068680D" w:rsidP="00F47DC4">
            <w:pPr>
              <w:spacing w:after="0" w:line="276" w:lineRule="auto"/>
              <w:ind w:firstLine="375"/>
              <w:jc w:val="center"/>
              <w:rPr>
                <w:rFonts w:eastAsia="Times New Roman"/>
                <w:b/>
                <w:sz w:val="20"/>
                <w:szCs w:val="20"/>
                <w:lang w:val="hy-AM"/>
              </w:rPr>
            </w:pPr>
            <w:r w:rsidRPr="00BC61ED">
              <w:rPr>
                <w:b/>
                <w:sz w:val="20"/>
                <w:szCs w:val="20"/>
                <w:lang w:val="hy-AM"/>
              </w:rPr>
              <w:t>Շարունակական կատարելագործում</w:t>
            </w:r>
          </w:p>
          <w:p w:rsidR="0068680D" w:rsidRPr="00BC61ED" w:rsidRDefault="0068680D" w:rsidP="00F47DC4">
            <w:pPr>
              <w:spacing w:after="0" w:line="276" w:lineRule="auto"/>
              <w:ind w:firstLine="375"/>
              <w:rPr>
                <w:rFonts w:eastAsia="Times New Roman"/>
                <w:b/>
                <w:sz w:val="20"/>
                <w:szCs w:val="20"/>
                <w:lang w:val="hy-AM"/>
              </w:rPr>
            </w:pP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1</w:t>
            </w:r>
            <w:r>
              <w:rPr>
                <w:rFonts w:eastAsia="Times New Roman"/>
                <w:b/>
                <w:sz w:val="20"/>
                <w:szCs w:val="20"/>
                <w:lang w:val="hy-AM"/>
              </w:rPr>
              <w:t>5</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1 «Փախստականների  և  ապաստանի  մասին»  ՀՀ  օրենքում փոփոխություններ  և լրացումներ  կատարելու մասին» ՀՀ  օրենքի նախագծի մշակում</w:t>
            </w:r>
          </w:p>
          <w:p w:rsidR="0068680D" w:rsidRPr="00BC61ED" w:rsidRDefault="0068680D" w:rsidP="0068680D">
            <w:pPr>
              <w:pStyle w:val="ListParagraph"/>
              <w:numPr>
                <w:ilvl w:val="0"/>
                <w:numId w:val="141"/>
              </w:numPr>
              <w:spacing w:after="0" w:line="276" w:lineRule="auto"/>
              <w:ind w:left="375"/>
              <w:jc w:val="both"/>
              <w:rPr>
                <w:rFonts w:eastAsia="Times New Roman"/>
                <w:b/>
                <w:sz w:val="20"/>
                <w:szCs w:val="20"/>
                <w:lang w:val="hy-AM"/>
              </w:rPr>
            </w:pPr>
            <w:r w:rsidRPr="00BC61ED">
              <w:rPr>
                <w:rFonts w:eastAsia="Times New Roman"/>
                <w:b/>
                <w:sz w:val="20"/>
                <w:szCs w:val="20"/>
                <w:lang w:val="hy-AM"/>
              </w:rPr>
              <w:t xml:space="preserve">Միջոցառման իրականացման անհրաժեշտությունը և նպատակը </w:t>
            </w:r>
          </w:p>
          <w:p w:rsidR="0068680D" w:rsidRPr="00BC61ED" w:rsidRDefault="0068680D" w:rsidP="00F47DC4">
            <w:pPr>
              <w:pStyle w:val="ListParagraph"/>
              <w:spacing w:after="0" w:line="276" w:lineRule="auto"/>
              <w:ind w:left="0"/>
              <w:rPr>
                <w:rFonts w:eastAsia="Times New Roman"/>
                <w:b/>
                <w:sz w:val="20"/>
                <w:szCs w:val="20"/>
                <w:lang w:val="hy-AM"/>
              </w:rPr>
            </w:pPr>
            <w:r w:rsidRPr="00BC61ED">
              <w:rPr>
                <w:rFonts w:eastAsia="Times New Roman"/>
                <w:b/>
                <w:sz w:val="20"/>
                <w:szCs w:val="20"/>
                <w:lang w:val="hy-AM"/>
              </w:rPr>
              <w:t xml:space="preserve">      Միջոցառման իրականացման անհրաժեշտությունը</w:t>
            </w:r>
          </w:p>
          <w:p w:rsidR="0068680D" w:rsidRPr="00BC61ED" w:rsidRDefault="0068680D" w:rsidP="00F47DC4">
            <w:pPr>
              <w:spacing w:after="0" w:line="276" w:lineRule="auto"/>
              <w:ind w:firstLine="375"/>
              <w:rPr>
                <w:sz w:val="20"/>
                <w:szCs w:val="20"/>
                <w:lang w:val="hy-AM"/>
              </w:rPr>
            </w:pPr>
            <w:r w:rsidRPr="00BC61ED">
              <w:rPr>
                <w:rFonts w:eastAsia="Times New Roman"/>
                <w:sz w:val="20"/>
                <w:szCs w:val="20"/>
                <w:lang w:val="hy-AM"/>
              </w:rPr>
              <w:t xml:space="preserve"> «Փախստականների  և  ապաստանի  մասին»  ՀՀ  օրենքի  կիրարկման  ընթացքում  ի  հայտ  են  եկել  մի  շարք  բացեր,  որոնք  խոչընդոտում են Հայաստանի Հանրապետությունում ապաստան հայցող օտարերկրյա քաղաքացիների և քաղաքացիություն չունեցող անձանց ընդունման և միջազգային պածտպանությնա տրամադրման գործընթացի  արդյունավետ  կազմակերպմանը:</w:t>
            </w:r>
            <w:r w:rsidRPr="00BC61ED">
              <w:rPr>
                <w:sz w:val="20"/>
                <w:szCs w:val="20"/>
                <w:lang w:val="hy-AM"/>
              </w:rPr>
              <w:t xml:space="preserve"> 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6.7-րդ բաժնով նախատեսված հանձնառություններից:</w:t>
            </w:r>
          </w:p>
          <w:p w:rsidR="0068680D" w:rsidRPr="00BC61ED" w:rsidRDefault="0068680D" w:rsidP="00F47DC4">
            <w:pPr>
              <w:pStyle w:val="ListParagraph"/>
              <w:spacing w:after="0" w:line="276" w:lineRule="auto"/>
              <w:ind w:left="0"/>
              <w:rPr>
                <w:rFonts w:eastAsia="Times New Roman"/>
                <w:b/>
                <w:sz w:val="20"/>
                <w:szCs w:val="20"/>
                <w:lang w:val="hy-AM"/>
              </w:rPr>
            </w:pPr>
            <w:r w:rsidRPr="00BC61ED">
              <w:rPr>
                <w:rFonts w:eastAsia="Times New Roman"/>
                <w:b/>
                <w:sz w:val="20"/>
                <w:szCs w:val="20"/>
                <w:lang w:val="hy-AM"/>
              </w:rPr>
              <w:t>Միջոցառման իրականացման  նպատակը</w:t>
            </w:r>
          </w:p>
          <w:p w:rsidR="0068680D" w:rsidRPr="00BC61ED" w:rsidRDefault="0068680D" w:rsidP="00F47DC4">
            <w:pPr>
              <w:pStyle w:val="ListParagraph"/>
              <w:spacing w:after="0" w:line="276" w:lineRule="auto"/>
              <w:ind w:left="375" w:firstLine="345"/>
              <w:rPr>
                <w:rFonts w:eastAsia="Times New Roman"/>
                <w:sz w:val="20"/>
                <w:szCs w:val="20"/>
                <w:lang w:val="hy-AM"/>
              </w:rPr>
            </w:pPr>
            <w:r w:rsidRPr="00BC61ED">
              <w:rPr>
                <w:rFonts w:eastAsia="Times New Roman"/>
                <w:sz w:val="20"/>
                <w:szCs w:val="20"/>
                <w:lang w:val="hy-AM"/>
              </w:rPr>
              <w:t>Հայաստանի Հանրապետությունում ապաստան հայցող օտարերկրյա քաղաքացիների և քաղաքացիություն չունեցող անձանց ընդունման իրավական հիմքերի կատարելագործումը։</w:t>
            </w:r>
          </w:p>
          <w:p w:rsidR="0068680D" w:rsidRPr="00BC61ED" w:rsidRDefault="0068680D" w:rsidP="00F47DC4">
            <w:pPr>
              <w:pStyle w:val="ListParagraph"/>
              <w:spacing w:after="0" w:line="276" w:lineRule="auto"/>
              <w:ind w:left="1095"/>
              <w:rPr>
                <w:rFonts w:eastAsia="Times New Roman"/>
                <w:b/>
                <w:sz w:val="20"/>
                <w:szCs w:val="20"/>
                <w:lang w:val="hy-AM"/>
              </w:rPr>
            </w:pPr>
            <w:r w:rsidRPr="00BC61ED">
              <w:rPr>
                <w:rFonts w:eastAsia="Times New Roman"/>
                <w:b/>
                <w:sz w:val="20"/>
                <w:szCs w:val="20"/>
                <w:lang w:val="hy-AM"/>
              </w:rPr>
              <w:t xml:space="preserve">1.1. կարգավորման հարաբերությունների ներկա վիճակը և առկա խնդիրները </w:t>
            </w:r>
          </w:p>
          <w:p w:rsidR="0068680D" w:rsidRPr="00BC61ED" w:rsidRDefault="0068680D" w:rsidP="00F47DC4">
            <w:pPr>
              <w:pStyle w:val="ListParagraph"/>
              <w:tabs>
                <w:tab w:val="left" w:pos="142"/>
              </w:tabs>
              <w:spacing w:after="0" w:line="276" w:lineRule="auto"/>
              <w:ind w:left="142" w:firstLine="811"/>
              <w:rPr>
                <w:color w:val="000000"/>
                <w:sz w:val="20"/>
                <w:szCs w:val="20"/>
                <w:shd w:val="clear" w:color="auto" w:fill="FFFFFF"/>
                <w:lang w:val="hy-AM"/>
              </w:rPr>
            </w:pPr>
            <w:r w:rsidRPr="00BC61ED">
              <w:rPr>
                <w:rFonts w:eastAsia="Times New Roman"/>
                <w:sz w:val="20"/>
                <w:szCs w:val="20"/>
                <w:lang w:val="hy-AM"/>
              </w:rPr>
              <w:t xml:space="preserve">Ներկայումս օրենքի կարգավորումները գործնական որոշակի խնդիրներ են առաջացնում: Մասնավորապես,  «Փախստականների  և  ապաստանի  մասին»  ՀՀ  օրենքով այն դեպքում, երբ ապաստան հայցողը չի բավարարում փախստականի սահմանմանը, սակայն նրա նկատմամբ կիրառելի է չվերադարձելիության սկզբունքը, այսինքն՝ ծագման երկիր վերադառնալու դեպքում իրական </w:t>
            </w:r>
            <w:r w:rsidRPr="00BC61ED">
              <w:rPr>
                <w:color w:val="000000"/>
                <w:sz w:val="20"/>
                <w:szCs w:val="20"/>
                <w:shd w:val="clear" w:color="auto" w:fill="FFFFFF"/>
                <w:lang w:val="hy-AM"/>
              </w:rPr>
              <w:t>սպառնալիք կա, որ տվյալ անձը կարող է այդ երկրում կենթարկվի դաժան և անմարդկային կամ ստորացուցիչ վերաբերմունքի կամ պատժի, ներառյալ` խոշտանգումների, բացակայում է ապաստան հայցողին արդյունավետ պաշտպանության մեխանիզմները և լիազոր մարմնի լիազորությունները այս հարցում հստակ չեն: Գործնականում խնդիրներ են առաջանում նաև Ազգային անվտանգության ծառայության կողմից տրամադրվող եզրակացության առնչությամբ, ուստի անհրաժեշտ է ավելի արդյունավետ կառուցակարգ մշակել Միգրացիոն ծառայության և ԱԱԾ-ի միջև փոխշահավետ համագործակցության ապահովման համար:</w:t>
            </w:r>
          </w:p>
          <w:p w:rsidR="0068680D" w:rsidRPr="00BC61ED" w:rsidRDefault="0068680D" w:rsidP="00F47DC4">
            <w:pPr>
              <w:pStyle w:val="ListParagraph"/>
              <w:tabs>
                <w:tab w:val="left" w:pos="142"/>
              </w:tabs>
              <w:spacing w:after="0" w:line="276" w:lineRule="auto"/>
              <w:ind w:left="142" w:firstLine="811"/>
              <w:rPr>
                <w:color w:val="000000"/>
                <w:sz w:val="20"/>
                <w:szCs w:val="20"/>
                <w:shd w:val="clear" w:color="auto" w:fill="FFFFFF"/>
                <w:lang w:val="hy-AM"/>
              </w:rPr>
            </w:pPr>
            <w:r w:rsidRPr="00BC61ED">
              <w:rPr>
                <w:color w:val="000000"/>
                <w:sz w:val="20"/>
                <w:szCs w:val="20"/>
                <w:shd w:val="clear" w:color="auto" w:fill="FFFFFF"/>
                <w:lang w:val="hy-AM"/>
              </w:rPr>
              <w:t>Բավականին խնդրահարույց է նաև ապաստան հայցողների հատուկ կարիքների բացահայտումը հենց ապաստանի դիմում ներկայացնելու ժամանակ: Ժամանակին հատուկ կարիքների չբացահայտումը խոչընդոտներ է առաջացնում վարչական վարույթի պատշաճ իրականացման համար:</w:t>
            </w:r>
          </w:p>
          <w:p w:rsidR="0068680D" w:rsidRPr="00BC61ED" w:rsidRDefault="0068680D" w:rsidP="00F47DC4">
            <w:pPr>
              <w:pStyle w:val="ListParagraph"/>
              <w:tabs>
                <w:tab w:val="left" w:pos="142"/>
              </w:tabs>
              <w:spacing w:after="0" w:line="276" w:lineRule="auto"/>
              <w:ind w:left="142" w:firstLine="811"/>
              <w:rPr>
                <w:rFonts w:eastAsia="Times New Roman"/>
                <w:sz w:val="20"/>
                <w:szCs w:val="20"/>
                <w:highlight w:val="yellow"/>
                <w:lang w:val="hy-AM"/>
              </w:rPr>
            </w:pPr>
            <w:r w:rsidRPr="00BC61ED">
              <w:rPr>
                <w:color w:val="000000"/>
                <w:sz w:val="20"/>
                <w:szCs w:val="20"/>
                <w:shd w:val="clear" w:color="auto" w:fill="FFFFFF"/>
                <w:lang w:val="hy-AM"/>
              </w:rPr>
              <w:t>Գործնականում խնդիրներ են ծագում նաև ապաստան հայցողների կամավոր վերադարձի դեպքում հարուցված վարչական վարույթի ավարտման հետ:</w:t>
            </w:r>
          </w:p>
          <w:p w:rsidR="0068680D" w:rsidRPr="00BC61ED" w:rsidRDefault="0068680D" w:rsidP="00F47DC4">
            <w:pPr>
              <w:pStyle w:val="ListParagraph"/>
              <w:spacing w:after="0" w:line="276" w:lineRule="auto"/>
              <w:ind w:left="375"/>
              <w:rPr>
                <w:rFonts w:eastAsia="Times New Roman"/>
                <w:b/>
                <w:sz w:val="20"/>
                <w:szCs w:val="20"/>
                <w:lang w:val="hy-AM"/>
              </w:rPr>
            </w:pPr>
            <w:r w:rsidRPr="00BC61ED">
              <w:rPr>
                <w:rFonts w:eastAsia="Times New Roman"/>
                <w:b/>
                <w:sz w:val="20"/>
                <w:szCs w:val="20"/>
                <w:lang w:val="hy-AM"/>
              </w:rPr>
              <w:t xml:space="preserve">         1.2. առկա խնդիրների առաջարկվող լուծումները </w:t>
            </w:r>
          </w:p>
          <w:p w:rsidR="0068680D" w:rsidRPr="00BC61ED" w:rsidRDefault="0068680D" w:rsidP="00F47DC4">
            <w:pPr>
              <w:pStyle w:val="ListParagraph"/>
              <w:spacing w:after="0" w:line="276" w:lineRule="auto"/>
              <w:ind w:left="284" w:firstLine="425"/>
              <w:rPr>
                <w:color w:val="000000"/>
                <w:sz w:val="20"/>
                <w:szCs w:val="20"/>
                <w:shd w:val="clear" w:color="auto" w:fill="FFFFFF"/>
                <w:lang w:val="hy-AM"/>
              </w:rPr>
            </w:pPr>
            <w:r w:rsidRPr="00BC61ED">
              <w:rPr>
                <w:rFonts w:eastAsia="Times New Roman"/>
                <w:sz w:val="20"/>
                <w:szCs w:val="20"/>
                <w:lang w:val="hy-AM"/>
              </w:rPr>
              <w:t>Առաջարկվում է</w:t>
            </w:r>
            <w:r w:rsidRPr="00BC61ED">
              <w:rPr>
                <w:rFonts w:eastAsia="Times New Roman"/>
                <w:b/>
                <w:sz w:val="20"/>
                <w:szCs w:val="20"/>
                <w:lang w:val="hy-AM"/>
              </w:rPr>
              <w:t xml:space="preserve"> </w:t>
            </w:r>
            <w:r w:rsidRPr="00BC61ED">
              <w:rPr>
                <w:color w:val="000000"/>
                <w:sz w:val="20"/>
                <w:szCs w:val="20"/>
                <w:shd w:val="clear" w:color="auto" w:fill="FFFFFF"/>
                <w:lang w:val="hy-AM"/>
              </w:rPr>
              <w:t xml:space="preserve">չվերադարձնելիության սկզբունքի կիրառելիության, սակայն փախստականի կարգավիճակի տրամադրման մերժման դեպքում սահմանել ապաստան հայցողին ժամանակավոր պաշտպանության կարգավիճակ տրամադրելու հնարավորությունը: </w:t>
            </w:r>
          </w:p>
          <w:p w:rsidR="0068680D" w:rsidRPr="00BC61ED" w:rsidRDefault="0068680D" w:rsidP="00F47DC4">
            <w:pPr>
              <w:pStyle w:val="ListParagraph"/>
              <w:spacing w:after="0" w:line="276" w:lineRule="auto"/>
              <w:ind w:left="284" w:firstLine="425"/>
              <w:rPr>
                <w:color w:val="000000"/>
                <w:sz w:val="20"/>
                <w:szCs w:val="20"/>
                <w:shd w:val="clear" w:color="auto" w:fill="FFFFFF"/>
                <w:lang w:val="hy-AM"/>
              </w:rPr>
            </w:pPr>
            <w:r w:rsidRPr="00BC61ED">
              <w:rPr>
                <w:color w:val="000000"/>
                <w:sz w:val="20"/>
                <w:szCs w:val="20"/>
                <w:shd w:val="clear" w:color="auto" w:fill="FFFFFF"/>
                <w:lang w:val="hy-AM"/>
              </w:rPr>
              <w:t>Օրենքով հստակեցնել ԱԱԾ լիազորությունները և վերջինիս կողմից տրամադրվող եզրակացության ներկայացվող պահանջները:</w:t>
            </w:r>
          </w:p>
          <w:p w:rsidR="0068680D" w:rsidRPr="00BC61ED" w:rsidRDefault="0068680D" w:rsidP="00F47DC4">
            <w:pPr>
              <w:pStyle w:val="ListParagraph"/>
              <w:spacing w:after="0" w:line="276" w:lineRule="auto"/>
              <w:ind w:left="284" w:firstLine="425"/>
              <w:rPr>
                <w:color w:val="000000"/>
                <w:sz w:val="20"/>
                <w:szCs w:val="20"/>
                <w:shd w:val="clear" w:color="auto" w:fill="FFFFFF"/>
                <w:lang w:val="hy-AM"/>
              </w:rPr>
            </w:pPr>
            <w:r w:rsidRPr="00BC61ED">
              <w:rPr>
                <w:color w:val="000000"/>
                <w:sz w:val="20"/>
                <w:szCs w:val="20"/>
                <w:shd w:val="clear" w:color="auto" w:fill="FFFFFF"/>
                <w:lang w:val="hy-AM"/>
              </w:rPr>
              <w:t>Ապաստանի հայց ներկայացվելու դեպքում ապաստան հայցողները նախնական պարտադիր բուժզննում անցնեն վերջիններիս հատուկ կարիքները բացահայտելու համար:</w:t>
            </w:r>
          </w:p>
          <w:p w:rsidR="0068680D" w:rsidRPr="00BC61ED" w:rsidRDefault="0068680D" w:rsidP="00F47DC4">
            <w:pPr>
              <w:pStyle w:val="ListParagraph"/>
              <w:spacing w:after="0" w:line="276" w:lineRule="auto"/>
              <w:ind w:left="284" w:firstLine="425"/>
              <w:rPr>
                <w:color w:val="000000"/>
                <w:sz w:val="20"/>
                <w:szCs w:val="20"/>
                <w:shd w:val="clear" w:color="auto" w:fill="FFFFFF"/>
                <w:lang w:val="hy-AM"/>
              </w:rPr>
            </w:pPr>
            <w:r w:rsidRPr="00BC61ED">
              <w:rPr>
                <w:color w:val="000000"/>
                <w:sz w:val="20"/>
                <w:szCs w:val="20"/>
                <w:shd w:val="clear" w:color="auto" w:fill="FFFFFF"/>
                <w:lang w:val="hy-AM"/>
              </w:rPr>
              <w:t>Օրենքում անհրաժեշտ է համակողմանի կարագավորել ապաստանի հայցով վարչական վարույթի կարճման և կասեցման հիմքերը, մասնավորապես ապաստան հայցողի կամավոր վերադարձի դեպքում:</w:t>
            </w:r>
          </w:p>
          <w:p w:rsidR="0068680D" w:rsidRPr="00BC61ED" w:rsidRDefault="0068680D" w:rsidP="00F47DC4">
            <w:pPr>
              <w:pStyle w:val="ListParagraph"/>
              <w:spacing w:after="0" w:line="276" w:lineRule="auto"/>
              <w:ind w:left="284" w:firstLine="425"/>
              <w:rPr>
                <w:color w:val="000000"/>
                <w:sz w:val="20"/>
                <w:szCs w:val="20"/>
                <w:shd w:val="clear" w:color="auto" w:fill="FFFFFF"/>
                <w:lang w:val="hy-AM"/>
              </w:rPr>
            </w:pPr>
            <w:r w:rsidRPr="00BC61ED">
              <w:rPr>
                <w:rFonts w:eastAsia="Times New Roman"/>
                <w:sz w:val="20"/>
                <w:szCs w:val="20"/>
                <w:lang w:val="hy-AM"/>
              </w:rPr>
              <w:t>Անհրաժեշտ է վերանայել արագացված կարգով քննվող գործերի իրավակարագավորումները, որը կնպաստի գործնականում արագացված ընթացակարգով արդյունավետ վարույթ ի իրականացմանը:</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2. Միջոցառման իրականացումից ակնկալվող արդյունքը</w:t>
            </w:r>
          </w:p>
          <w:p w:rsidR="0068680D" w:rsidRPr="00BC61ED" w:rsidRDefault="0068680D" w:rsidP="00F47DC4">
            <w:pPr>
              <w:spacing w:after="0" w:line="276" w:lineRule="auto"/>
              <w:ind w:firstLine="375"/>
              <w:rPr>
                <w:rFonts w:eastAsia="Times New Roman"/>
                <w:sz w:val="20"/>
                <w:szCs w:val="20"/>
                <w:lang w:val="hy-AM"/>
              </w:rPr>
            </w:pPr>
            <w:r w:rsidRPr="00BC61ED">
              <w:rPr>
                <w:rFonts w:ascii="Calibri" w:eastAsia="Times New Roman" w:hAnsi="Calibri" w:cs="Calibri"/>
                <w:sz w:val="20"/>
                <w:szCs w:val="20"/>
                <w:lang w:val="hy-AM"/>
              </w:rPr>
              <w:t> </w:t>
            </w:r>
            <w:r w:rsidRPr="00BC61ED">
              <w:rPr>
                <w:rFonts w:eastAsia="Times New Roman"/>
                <w:sz w:val="20"/>
                <w:szCs w:val="20"/>
                <w:lang w:val="hy-AM"/>
              </w:rPr>
              <w:t>«Փախստականների  և  ապաստանի  մասին»  ՀՀ  օրենքի  կիրարկման ընթացքում  ի  հայտ  եկած  բացերը  վերացված  են։</w:t>
            </w:r>
          </w:p>
          <w:p w:rsidR="0068680D" w:rsidRPr="00BC61ED" w:rsidRDefault="0068680D" w:rsidP="00F47DC4">
            <w:pPr>
              <w:spacing w:after="0" w:line="276" w:lineRule="auto"/>
              <w:rPr>
                <w:rFonts w:eastAsia="Times New Roman"/>
                <w:b/>
                <w:sz w:val="20"/>
                <w:szCs w:val="20"/>
                <w:lang w:val="hy-AM"/>
              </w:rPr>
            </w:pPr>
          </w:p>
          <w:p w:rsidR="0068680D" w:rsidRPr="00BC61ED" w:rsidRDefault="0068680D" w:rsidP="00F47DC4">
            <w:pPr>
              <w:spacing w:after="0" w:line="276" w:lineRule="auto"/>
              <w:rPr>
                <w:rFonts w:eastAsia="Times New Roman" w:cs="Calibri"/>
                <w:sz w:val="20"/>
                <w:szCs w:val="20"/>
                <w:lang w:val="hy-AM"/>
              </w:rPr>
            </w:pPr>
            <w:r w:rsidRPr="00BC61ED">
              <w:rPr>
                <w:rFonts w:eastAsia="Times New Roman"/>
                <w:b/>
                <w:sz w:val="20"/>
                <w:szCs w:val="20"/>
                <w:lang w:val="hy-AM"/>
              </w:rPr>
              <w:t>1</w:t>
            </w:r>
            <w:r>
              <w:rPr>
                <w:rFonts w:eastAsia="Times New Roman"/>
                <w:b/>
                <w:sz w:val="20"/>
                <w:szCs w:val="20"/>
                <w:lang w:val="hy-AM"/>
              </w:rPr>
              <w:t>5</w:t>
            </w:r>
            <w:r w:rsidRPr="00BC61ED">
              <w:rPr>
                <w:rFonts w:eastAsia="Times New Roman"/>
                <w:b/>
                <w:sz w:val="20"/>
                <w:szCs w:val="20"/>
                <w:lang w:val="hy-AM"/>
              </w:rPr>
              <w:t xml:space="preserve">.2. Ժամանակավոր տեղավորման նոր կենտրոնի գործունեության վերաբերյալ  ՀՀ  կառավարության  որոշման նախագծի  մշակում, </w:t>
            </w:r>
            <w:r w:rsidRPr="00BC61ED">
              <w:rPr>
                <w:rFonts w:eastAsia="Times New Roman"/>
                <w:sz w:val="20"/>
                <w:szCs w:val="20"/>
                <w:lang w:val="hy-AM"/>
              </w:rPr>
              <w:t>որով կսահմանվեն նոր կենտրոնի կողմից իրականացվելիք</w:t>
            </w:r>
            <w:r w:rsidRPr="00BC61ED">
              <w:rPr>
                <w:rFonts w:ascii="Calibri" w:eastAsia="Times New Roman" w:hAnsi="Calibri" w:cs="Calibri"/>
                <w:sz w:val="20"/>
                <w:szCs w:val="20"/>
                <w:lang w:val="hy-AM"/>
              </w:rPr>
              <w:t> </w:t>
            </w:r>
            <w:r w:rsidRPr="00BC61ED">
              <w:rPr>
                <w:rFonts w:eastAsia="Times New Roman" w:cs="Calibri"/>
                <w:sz w:val="20"/>
                <w:szCs w:val="20"/>
                <w:lang w:val="hy-AM"/>
              </w:rPr>
              <w:t>գործառույթները, ուղղված ապաստան հայցողների տեղավորմանը և նրանց կենսաապահովման հետ կապված հարցերի լուծմանը:</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2. Միջոցառման իրականացումից ակնկալվող արդյունքը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Կառուցված  և կահավորված  է  ապաստան հայցողների համար ժամանակավոր տեղավորման նոր՝ միջազգային չափանիշներին համապատասխան կենտրոն</w:t>
            </w:r>
            <w:r w:rsidRPr="00BC61ED">
              <w:rPr>
                <w:rFonts w:ascii="Calibri" w:eastAsia="Times New Roman" w:hAnsi="Calibri" w:cs="Calibri"/>
                <w:sz w:val="20"/>
                <w:szCs w:val="20"/>
                <w:lang w:val="hy-AM"/>
              </w:rPr>
              <w:t> </w:t>
            </w:r>
            <w:r w:rsidRPr="00BC61ED">
              <w:rPr>
                <w:rFonts w:eastAsia="Times New Roman" w:cs="Calibri"/>
                <w:sz w:val="20"/>
                <w:szCs w:val="20"/>
                <w:lang w:val="hy-AM"/>
              </w:rPr>
              <w:t>։</w:t>
            </w:r>
          </w:p>
          <w:p w:rsidR="0068680D" w:rsidRPr="00BC61ED" w:rsidRDefault="0068680D" w:rsidP="00F47DC4">
            <w:pPr>
              <w:spacing w:after="0" w:line="276" w:lineRule="auto"/>
              <w:ind w:firstLine="375"/>
              <w:rPr>
                <w:rFonts w:eastAsia="Times New Roman"/>
                <w:b/>
                <w:sz w:val="20"/>
                <w:szCs w:val="20"/>
                <w:lang w:val="hy-AM"/>
              </w:rPr>
            </w:pP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1</w:t>
            </w:r>
            <w:r>
              <w:rPr>
                <w:rFonts w:eastAsia="Times New Roman"/>
                <w:b/>
                <w:sz w:val="20"/>
                <w:szCs w:val="20"/>
                <w:lang w:val="hy-AM"/>
              </w:rPr>
              <w:t>5</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3 Ապաստան հայցողների համար նախատեսված   ժամանակավոր տեղավորման նոր  կենտրոնի կառուցում, կահավորում</w:t>
            </w:r>
          </w:p>
          <w:p w:rsidR="0068680D" w:rsidRPr="00BC61ED" w:rsidRDefault="0068680D" w:rsidP="0068680D">
            <w:pPr>
              <w:pStyle w:val="ListParagraph"/>
              <w:numPr>
                <w:ilvl w:val="0"/>
                <w:numId w:val="142"/>
              </w:numPr>
              <w:spacing w:after="0" w:line="276" w:lineRule="auto"/>
              <w:jc w:val="both"/>
              <w:rPr>
                <w:rFonts w:eastAsia="Times New Roman"/>
                <w:b/>
                <w:sz w:val="20"/>
                <w:szCs w:val="20"/>
                <w:lang w:val="hy-AM"/>
              </w:rPr>
            </w:pPr>
            <w:r w:rsidRPr="00BC61ED">
              <w:rPr>
                <w:rFonts w:eastAsia="Times New Roman"/>
                <w:b/>
                <w:sz w:val="20"/>
                <w:szCs w:val="20"/>
                <w:lang w:val="hy-AM"/>
              </w:rPr>
              <w:t xml:space="preserve">Միջոցառման իրականացման անհրաժեշտությունը և նպատակը </w:t>
            </w:r>
          </w:p>
          <w:p w:rsidR="0068680D" w:rsidRPr="00BC61ED" w:rsidRDefault="0068680D" w:rsidP="00F47DC4">
            <w:pPr>
              <w:pStyle w:val="ListParagraph"/>
              <w:spacing w:after="0" w:line="276" w:lineRule="auto"/>
              <w:ind w:left="375" w:firstLine="345"/>
              <w:rPr>
                <w:rFonts w:eastAsia="Times New Roman"/>
                <w:b/>
                <w:sz w:val="20"/>
                <w:szCs w:val="20"/>
                <w:lang w:val="hy-AM"/>
              </w:rPr>
            </w:pPr>
            <w:r w:rsidRPr="00BC61ED">
              <w:rPr>
                <w:rFonts w:eastAsia="Times New Roman"/>
                <w:b/>
                <w:sz w:val="20"/>
                <w:szCs w:val="20"/>
                <w:lang w:val="hy-AM"/>
              </w:rPr>
              <w:t xml:space="preserve">Միջոցառման իրականացման անհրաժեշտությունը  </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sz w:val="20"/>
                <w:szCs w:val="20"/>
                <w:lang w:val="hy-AM"/>
              </w:rPr>
              <w:t>«Փախստականների  և  ապաստանի  մասին»  ՀՀ  օրենքի  14-րդ հոդվածի 1-ին մասի  համաձայն</w:t>
            </w:r>
            <w:r w:rsidRPr="00BC61ED">
              <w:rPr>
                <w:rFonts w:ascii="Calibri" w:hAnsi="Calibri" w:cs="Calibri"/>
                <w:color w:val="000000"/>
                <w:sz w:val="20"/>
                <w:szCs w:val="20"/>
                <w:shd w:val="clear" w:color="auto" w:fill="FFFFFF"/>
                <w:lang w:val="hy-AM"/>
              </w:rPr>
              <w:t> </w:t>
            </w:r>
            <w:r w:rsidRPr="00BC61ED">
              <w:rPr>
                <w:rFonts w:eastAsia="Times New Roman"/>
                <w:sz w:val="20"/>
                <w:szCs w:val="20"/>
                <w:lang w:val="hy-AM"/>
              </w:rPr>
              <w:t>կացարանի կարիք ունեցող ապաստան հայցողները մինչև նրանց ապաստանի հայցի վերաբերյալ վերջնական որոշում կայացվելը տեղավորվում են ապաստան հայցողների ժամանակավոր տեղավորման կենտրոնում, որն այդ նպատակով ստեղծված հատուկ հաստատություն է: Ժամանակավոր տեղավորման կենտրոնում տեղավորված ապաստան հայցողներին տրամադրվում են կենսաապահովման պայմաններ՝ համաձայն  օրենքի 24-րդ հոդվածի:</w:t>
            </w:r>
          </w:p>
          <w:p w:rsidR="0068680D" w:rsidRPr="00BC61ED" w:rsidRDefault="0068680D" w:rsidP="00F47DC4">
            <w:pPr>
              <w:spacing w:after="0" w:line="276" w:lineRule="auto"/>
              <w:rPr>
                <w:rFonts w:eastAsia="Times New Roman"/>
                <w:sz w:val="20"/>
                <w:szCs w:val="20"/>
                <w:lang w:val="hy-AM"/>
              </w:rPr>
            </w:pPr>
            <w:r w:rsidRPr="00BC61ED">
              <w:rPr>
                <w:rFonts w:eastAsia="Times New Roman"/>
                <w:sz w:val="20"/>
                <w:szCs w:val="20"/>
                <w:lang w:val="hy-AM"/>
              </w:rPr>
              <w:t xml:space="preserve"> Ներկայիս գործող  կացարանը նախատեսված  է  45 անձի համար  և գտնվում  է Երևանի համեմատաբար խիտ  բնակեցված թաղամասում: Սիրիական ճգնաժամը  և այլ երկրներից ապաստան հայցողների շարունականան հոսքը ցույց է տալիս, որ  նրանց ընդունելու համար եղած հնարավորությունը խիստ անբավարար  է:   Վերջին  հինգ տարիների ընթացքում  ՀՀ-ում  ստացված  ապաստանի  հայցերի  վիճակագրությունը  փաստում  է  որ  միջին հաշվով  տարեկան  200  անձ  դիմում  է  ՀՀ  իշխանություններին   ապաստանի  խնդրանքով։</w:t>
            </w:r>
          </w:p>
          <w:p w:rsidR="0068680D" w:rsidRPr="00BC61ED" w:rsidRDefault="0068680D" w:rsidP="00F47DC4">
            <w:pPr>
              <w:pStyle w:val="ListParagraph"/>
              <w:spacing w:after="0" w:line="276" w:lineRule="auto"/>
              <w:ind w:left="375" w:firstLine="345"/>
              <w:rPr>
                <w:rFonts w:eastAsia="Times New Roman"/>
                <w:b/>
                <w:sz w:val="20"/>
                <w:szCs w:val="20"/>
                <w:lang w:val="hy-AM"/>
              </w:rPr>
            </w:pPr>
            <w:r w:rsidRPr="00BC61ED">
              <w:rPr>
                <w:rFonts w:eastAsia="Times New Roman"/>
                <w:b/>
                <w:sz w:val="20"/>
                <w:szCs w:val="20"/>
                <w:lang w:val="hy-AM"/>
              </w:rPr>
              <w:t>Միջոցառման իրականացման  նպատակը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Ապաստան հայցողների ժամանակավոր տեղավորման կենտրոնի  ընդունման հնարավորության համապատասխանեցումը առկա  պահանջարկի  հետ, ապաստան հայցողների  տրամադրվող կենսապահովման  պայմանների բարելավումը՝ դրանք  համապատասխանեցնելով   միջազգային չափանիշների հետ։</w:t>
            </w:r>
          </w:p>
          <w:p w:rsidR="0068680D" w:rsidRPr="00BC61ED" w:rsidRDefault="0068680D" w:rsidP="00F47DC4">
            <w:pPr>
              <w:spacing w:after="0" w:line="276" w:lineRule="auto"/>
              <w:rPr>
                <w:rFonts w:eastAsia="Times New Roman"/>
                <w:b/>
                <w:sz w:val="20"/>
                <w:szCs w:val="20"/>
                <w:lang w:val="hy-AM"/>
              </w:rPr>
            </w:pPr>
            <w:r w:rsidRPr="00BC61ED">
              <w:rPr>
                <w:rFonts w:eastAsia="Times New Roman"/>
                <w:b/>
                <w:sz w:val="20"/>
                <w:szCs w:val="20"/>
                <w:lang w:val="hy-AM"/>
              </w:rPr>
              <w:t xml:space="preserve">      1.1 կարգավորման հարաբերությունների ներկա վիճակը և առկա խնդիրները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ՀՀ Կոտայքի մարզի Աբովյանի քաղաքային համայնքի կողմից ՀՀ ՏԿԶՆ միգրացիոն պետական ծառայությանը 2017թ. թվականի սեպտեմբեր ամսին Աբովյան քաղաքում հատկացվել է 2,0 հեկտար հողատարածք` ժամանակավոր տեղավորման  նոր կենտրոնի կառուցման նպատակով: Միգրացիոն քաղաքականության զարգացման միջազգային կենտրոնի (ՄՔԶՄԿ) հայաստանյան գրասենյակը   «Աջակցություն Հայաստանին միգրացիայի և սահմանների կառավարման ոլորտներում»  ծրագրի շրջանակներում մշակել է ժամանակավոր տեղավորման նոր կենտրոնի ստեղծման նախագծային-նախահաշվային փաստաթուղթը: Կենտրոնի շինարարության   նպատակով   Դանիայի կառավարությունը ՄՔԶՄԿ-ին  է փոխանցել 800 </w:t>
            </w:r>
            <w:r w:rsidRPr="00BC61ED">
              <w:rPr>
                <w:rFonts w:ascii="Cambria Math" w:eastAsia="Times New Roman" w:hAnsi="Cambria Math" w:cs="Cambria Math"/>
                <w:sz w:val="20"/>
                <w:szCs w:val="20"/>
                <w:lang w:val="hy-AM"/>
              </w:rPr>
              <w:t>․</w:t>
            </w:r>
            <w:r w:rsidRPr="00BC61ED">
              <w:rPr>
                <w:rFonts w:eastAsia="Times New Roman"/>
                <w:sz w:val="20"/>
                <w:szCs w:val="20"/>
                <w:lang w:val="hy-AM"/>
              </w:rPr>
              <w:t xml:space="preserve">000 </w:t>
            </w:r>
            <w:r w:rsidRPr="00BC61ED">
              <w:rPr>
                <w:rFonts w:eastAsia="Times New Roman" w:cs="GHEA Grapalat"/>
                <w:sz w:val="20"/>
                <w:szCs w:val="20"/>
                <w:lang w:val="hy-AM"/>
              </w:rPr>
              <w:t>եվրո</w:t>
            </w:r>
            <w:r w:rsidRPr="00BC61ED">
              <w:rPr>
                <w:rFonts w:eastAsia="Times New Roman"/>
                <w:sz w:val="20"/>
                <w:szCs w:val="20"/>
                <w:lang w:val="hy-AM"/>
              </w:rPr>
              <w:t>, իսկ  Հոլանդիայի կառավարությունը՝ 400</w:t>
            </w:r>
            <w:r w:rsidRPr="00BC61ED">
              <w:rPr>
                <w:rFonts w:ascii="Cambria Math" w:eastAsia="Times New Roman" w:hAnsi="Cambria Math" w:cs="Cambria Math"/>
                <w:sz w:val="20"/>
                <w:szCs w:val="20"/>
                <w:lang w:val="hy-AM"/>
              </w:rPr>
              <w:t>․</w:t>
            </w:r>
            <w:r w:rsidRPr="00BC61ED">
              <w:rPr>
                <w:rFonts w:eastAsia="Times New Roman"/>
                <w:sz w:val="20"/>
                <w:szCs w:val="20"/>
                <w:lang w:val="hy-AM"/>
              </w:rPr>
              <w:t xml:space="preserve">000 </w:t>
            </w:r>
            <w:r w:rsidRPr="00BC61ED">
              <w:rPr>
                <w:rFonts w:eastAsia="Times New Roman" w:cs="GHEA Grapalat"/>
                <w:sz w:val="20"/>
                <w:szCs w:val="20"/>
                <w:lang w:val="hy-AM"/>
              </w:rPr>
              <w:t>եվրո։</w:t>
            </w:r>
            <w:r w:rsidRPr="00BC61ED">
              <w:rPr>
                <w:rFonts w:eastAsia="Times New Roman"/>
                <w:sz w:val="20"/>
                <w:szCs w:val="20"/>
                <w:lang w:val="hy-AM"/>
              </w:rPr>
              <w:t xml:space="preserve">   </w:t>
            </w:r>
            <w:r w:rsidRPr="00BC61ED">
              <w:rPr>
                <w:rFonts w:eastAsia="Times New Roman" w:cs="GHEA Grapalat"/>
                <w:sz w:val="20"/>
                <w:szCs w:val="20"/>
                <w:lang w:val="hy-AM"/>
              </w:rPr>
              <w:t>ՄԱԿ</w:t>
            </w:r>
            <w:r w:rsidRPr="00BC61ED">
              <w:rPr>
                <w:rFonts w:eastAsia="Times New Roman"/>
                <w:sz w:val="20"/>
                <w:szCs w:val="20"/>
                <w:lang w:val="hy-AM"/>
              </w:rPr>
              <w:t xml:space="preserve"> </w:t>
            </w:r>
            <w:r w:rsidRPr="00BC61ED">
              <w:rPr>
                <w:rFonts w:eastAsia="Times New Roman" w:cs="GHEA Grapalat"/>
                <w:sz w:val="20"/>
                <w:szCs w:val="20"/>
                <w:lang w:val="hy-AM"/>
              </w:rPr>
              <w:t>ՓԳՀ</w:t>
            </w:r>
            <w:r w:rsidRPr="00BC61ED">
              <w:rPr>
                <w:rFonts w:eastAsia="Times New Roman"/>
                <w:sz w:val="20"/>
                <w:szCs w:val="20"/>
                <w:lang w:val="hy-AM"/>
              </w:rPr>
              <w:t>-</w:t>
            </w:r>
            <w:r w:rsidRPr="00BC61ED">
              <w:rPr>
                <w:rFonts w:eastAsia="Times New Roman" w:cs="GHEA Grapalat"/>
                <w:sz w:val="20"/>
                <w:szCs w:val="20"/>
                <w:lang w:val="hy-AM"/>
              </w:rPr>
              <w:t>ի</w:t>
            </w:r>
            <w:r w:rsidRPr="00BC61ED">
              <w:rPr>
                <w:rFonts w:eastAsia="Times New Roman"/>
                <w:sz w:val="20"/>
                <w:szCs w:val="20"/>
                <w:lang w:val="hy-AM"/>
              </w:rPr>
              <w:t xml:space="preserve">  </w:t>
            </w:r>
            <w:r w:rsidRPr="00BC61ED">
              <w:rPr>
                <w:rFonts w:eastAsia="Times New Roman" w:cs="GHEA Grapalat"/>
                <w:sz w:val="20"/>
                <w:szCs w:val="20"/>
                <w:lang w:val="hy-AM"/>
              </w:rPr>
              <w:t>հայաստանյան</w:t>
            </w:r>
            <w:r w:rsidRPr="00BC61ED">
              <w:rPr>
                <w:rFonts w:eastAsia="Times New Roman"/>
                <w:sz w:val="20"/>
                <w:szCs w:val="20"/>
                <w:lang w:val="hy-AM"/>
              </w:rPr>
              <w:t xml:space="preserve"> </w:t>
            </w:r>
            <w:r w:rsidRPr="00BC61ED">
              <w:rPr>
                <w:rFonts w:eastAsia="Times New Roman" w:cs="GHEA Grapalat"/>
                <w:sz w:val="20"/>
                <w:szCs w:val="20"/>
                <w:lang w:val="hy-AM"/>
              </w:rPr>
              <w:t>գրասենյակը</w:t>
            </w:r>
            <w:r w:rsidRPr="00BC61ED">
              <w:rPr>
                <w:rFonts w:eastAsia="Times New Roman"/>
                <w:sz w:val="20"/>
                <w:szCs w:val="20"/>
                <w:lang w:val="hy-AM"/>
              </w:rPr>
              <w:t xml:space="preserve"> </w:t>
            </w:r>
            <w:r w:rsidRPr="00BC61ED">
              <w:rPr>
                <w:rFonts w:eastAsia="Times New Roman" w:cs="GHEA Grapalat"/>
                <w:sz w:val="20"/>
                <w:szCs w:val="20"/>
                <w:lang w:val="hy-AM"/>
              </w:rPr>
              <w:t>հանձն</w:t>
            </w:r>
            <w:r w:rsidRPr="00BC61ED">
              <w:rPr>
                <w:rFonts w:eastAsia="Times New Roman"/>
                <w:sz w:val="20"/>
                <w:szCs w:val="20"/>
                <w:lang w:val="hy-AM"/>
              </w:rPr>
              <w:t xml:space="preserve"> </w:t>
            </w:r>
            <w:r w:rsidRPr="00BC61ED">
              <w:rPr>
                <w:rFonts w:eastAsia="Times New Roman" w:cs="GHEA Grapalat"/>
                <w:sz w:val="20"/>
                <w:szCs w:val="20"/>
                <w:lang w:val="hy-AM"/>
              </w:rPr>
              <w:t>է</w:t>
            </w:r>
            <w:r w:rsidRPr="00BC61ED">
              <w:rPr>
                <w:rFonts w:eastAsia="Times New Roman"/>
                <w:sz w:val="20"/>
                <w:szCs w:val="20"/>
                <w:lang w:val="hy-AM"/>
              </w:rPr>
              <w:t xml:space="preserve"> </w:t>
            </w:r>
            <w:r w:rsidRPr="00BC61ED">
              <w:rPr>
                <w:rFonts w:eastAsia="Times New Roman" w:cs="GHEA Grapalat"/>
                <w:sz w:val="20"/>
                <w:szCs w:val="20"/>
                <w:lang w:val="hy-AM"/>
              </w:rPr>
              <w:t>առել</w:t>
            </w:r>
            <w:r w:rsidRPr="00BC61ED">
              <w:rPr>
                <w:rFonts w:eastAsia="Times New Roman"/>
                <w:sz w:val="20"/>
                <w:szCs w:val="20"/>
                <w:lang w:val="hy-AM"/>
              </w:rPr>
              <w:t xml:space="preserve"> </w:t>
            </w:r>
            <w:r w:rsidRPr="00BC61ED">
              <w:rPr>
                <w:rFonts w:eastAsia="Times New Roman" w:cs="GHEA Grapalat"/>
                <w:sz w:val="20"/>
                <w:szCs w:val="20"/>
                <w:lang w:val="hy-AM"/>
              </w:rPr>
              <w:t>շենքի</w:t>
            </w:r>
            <w:r w:rsidRPr="00BC61ED">
              <w:rPr>
                <w:rFonts w:eastAsia="Times New Roman"/>
                <w:sz w:val="20"/>
                <w:szCs w:val="20"/>
                <w:lang w:val="hy-AM"/>
              </w:rPr>
              <w:t xml:space="preserve"> </w:t>
            </w:r>
            <w:r w:rsidRPr="00BC61ED">
              <w:rPr>
                <w:rFonts w:eastAsia="Times New Roman" w:cs="GHEA Grapalat"/>
                <w:sz w:val="20"/>
                <w:szCs w:val="20"/>
                <w:lang w:val="hy-AM"/>
              </w:rPr>
              <w:t>ամբողջ</w:t>
            </w:r>
            <w:r w:rsidRPr="00BC61ED">
              <w:rPr>
                <w:rFonts w:eastAsia="Times New Roman"/>
                <w:sz w:val="20"/>
                <w:szCs w:val="20"/>
                <w:lang w:val="hy-AM"/>
              </w:rPr>
              <w:t xml:space="preserve"> </w:t>
            </w:r>
            <w:r w:rsidRPr="00BC61ED">
              <w:rPr>
                <w:rFonts w:eastAsia="Times New Roman" w:cs="GHEA Grapalat"/>
                <w:sz w:val="20"/>
                <w:szCs w:val="20"/>
                <w:lang w:val="hy-AM"/>
              </w:rPr>
              <w:t>կահավորման</w:t>
            </w:r>
            <w:r w:rsidRPr="00BC61ED">
              <w:rPr>
                <w:rFonts w:eastAsia="Times New Roman"/>
                <w:sz w:val="20"/>
                <w:szCs w:val="20"/>
                <w:lang w:val="hy-AM"/>
              </w:rPr>
              <w:t xml:space="preserve">  </w:t>
            </w:r>
            <w:r w:rsidRPr="00BC61ED">
              <w:rPr>
                <w:rFonts w:eastAsia="Times New Roman" w:cs="GHEA Grapalat"/>
                <w:sz w:val="20"/>
                <w:szCs w:val="20"/>
                <w:lang w:val="hy-AM"/>
              </w:rPr>
              <w:t>ծախսերը՝</w:t>
            </w:r>
            <w:r w:rsidRPr="00BC61ED">
              <w:rPr>
                <w:rFonts w:eastAsia="Times New Roman"/>
                <w:sz w:val="20"/>
                <w:szCs w:val="20"/>
                <w:lang w:val="hy-AM"/>
              </w:rPr>
              <w:t xml:space="preserve">  80</w:t>
            </w:r>
            <w:r w:rsidRPr="00BC61ED">
              <w:rPr>
                <w:rFonts w:ascii="Cambria Math" w:eastAsia="Times New Roman" w:hAnsi="Cambria Math" w:cs="Cambria Math"/>
                <w:sz w:val="20"/>
                <w:szCs w:val="20"/>
                <w:lang w:val="hy-AM"/>
              </w:rPr>
              <w:t>․</w:t>
            </w:r>
            <w:r w:rsidRPr="00BC61ED">
              <w:rPr>
                <w:rFonts w:eastAsia="Times New Roman"/>
                <w:sz w:val="20"/>
                <w:szCs w:val="20"/>
                <w:lang w:val="hy-AM"/>
              </w:rPr>
              <w:t xml:space="preserve">000 </w:t>
            </w:r>
            <w:r w:rsidRPr="00BC61ED">
              <w:rPr>
                <w:rFonts w:eastAsia="Times New Roman" w:cs="GHEA Grapalat"/>
                <w:sz w:val="20"/>
                <w:szCs w:val="20"/>
                <w:lang w:val="hy-AM"/>
              </w:rPr>
              <w:t>դոլլար</w:t>
            </w:r>
            <w:r w:rsidRPr="00BC61ED">
              <w:rPr>
                <w:rFonts w:eastAsia="Times New Roman"/>
                <w:sz w:val="20"/>
                <w:szCs w:val="20"/>
                <w:lang w:val="hy-AM"/>
              </w:rPr>
              <w:t xml:space="preserve">ի չափով: Ինտենսիվ աշխատանքներ են տարվում շինարարության համար անհրաժեշտ մնացած  գումարը դոնոր այլ աղբյուրներից հայթայթելու ուղղությամբ:   </w:t>
            </w:r>
          </w:p>
          <w:p w:rsidR="0068680D" w:rsidRPr="00BC61ED" w:rsidRDefault="0068680D" w:rsidP="00F47DC4">
            <w:pPr>
              <w:spacing w:after="0" w:line="276" w:lineRule="auto"/>
              <w:rPr>
                <w:rFonts w:eastAsia="Times New Roman"/>
                <w:b/>
                <w:sz w:val="20"/>
                <w:szCs w:val="20"/>
                <w:lang w:val="hy-AM"/>
              </w:rPr>
            </w:pPr>
            <w:r w:rsidRPr="00BC61ED">
              <w:rPr>
                <w:rFonts w:eastAsia="Times New Roman"/>
                <w:b/>
                <w:sz w:val="20"/>
                <w:szCs w:val="20"/>
                <w:lang w:val="hy-AM"/>
              </w:rPr>
              <w:t xml:space="preserve">         1.2 առկա խնդիրների առաջարկվող լուծումները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 ՄՔԶՄԿ  հայաստանյան գրասենյակի  կողմից  </w:t>
            </w:r>
            <w:r w:rsidRPr="00BC61ED">
              <w:rPr>
                <w:rFonts w:eastAsia="Times New Roman" w:cs="GHEA Grapalat"/>
                <w:sz w:val="20"/>
                <w:szCs w:val="20"/>
                <w:lang w:val="hy-AM"/>
              </w:rPr>
              <w:t xml:space="preserve">կենտրոնի շինարարության համար </w:t>
            </w:r>
            <w:r w:rsidRPr="00BC61ED">
              <w:rPr>
                <w:rFonts w:eastAsia="Times New Roman"/>
                <w:sz w:val="20"/>
                <w:szCs w:val="20"/>
                <w:lang w:val="hy-AM"/>
              </w:rPr>
              <w:t>2019թ</w:t>
            </w:r>
            <w:r w:rsidRPr="00BC61ED">
              <w:rPr>
                <w:rFonts w:ascii="Cambria Math" w:eastAsia="Times New Roman" w:hAnsi="Cambria Math" w:cs="Cambria Math"/>
                <w:sz w:val="20"/>
                <w:szCs w:val="20"/>
                <w:lang w:val="hy-AM"/>
              </w:rPr>
              <w:t>․</w:t>
            </w:r>
            <w:r w:rsidRPr="00BC61ED">
              <w:rPr>
                <w:rFonts w:eastAsia="Times New Roman"/>
                <w:sz w:val="20"/>
                <w:szCs w:val="20"/>
                <w:lang w:val="hy-AM"/>
              </w:rPr>
              <w:t xml:space="preserve">   մարտին հայտարարված </w:t>
            </w:r>
            <w:r w:rsidRPr="00BC61ED">
              <w:rPr>
                <w:rFonts w:eastAsia="Times New Roman" w:cs="GHEA Grapalat"/>
                <w:sz w:val="20"/>
                <w:szCs w:val="20"/>
                <w:lang w:val="hy-AM"/>
              </w:rPr>
              <w:t>մրցույթի  արդյունքների  ամփոփումից  հետո</w:t>
            </w:r>
            <w:r w:rsidRPr="00BC61ED">
              <w:rPr>
                <w:rFonts w:eastAsia="Times New Roman"/>
                <w:sz w:val="20"/>
                <w:szCs w:val="20"/>
                <w:lang w:val="hy-AM"/>
              </w:rPr>
              <w:t xml:space="preserve">,   </w:t>
            </w:r>
            <w:r w:rsidRPr="00BC61ED">
              <w:rPr>
                <w:rFonts w:eastAsia="Times New Roman" w:cs="GHEA Grapalat"/>
                <w:sz w:val="20"/>
                <w:szCs w:val="20"/>
                <w:lang w:val="hy-AM"/>
              </w:rPr>
              <w:t>կսկսվեն բուն շինարարարական</w:t>
            </w:r>
            <w:r w:rsidRPr="00BC61ED">
              <w:rPr>
                <w:rFonts w:eastAsia="Times New Roman"/>
                <w:sz w:val="20"/>
                <w:szCs w:val="20"/>
                <w:lang w:val="hy-AM"/>
              </w:rPr>
              <w:t xml:space="preserve"> աշխատանքները։  Զուգահեռ  աշխատանքներ կտարվեն  շինարարության համար պակասող  գումարը  հայթայթելու  նպատակով։</w:t>
            </w: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1</w:t>
            </w:r>
            <w:r>
              <w:rPr>
                <w:b/>
                <w:sz w:val="20"/>
                <w:szCs w:val="20"/>
                <w:lang w:val="hy-AM"/>
              </w:rPr>
              <w:t>6</w:t>
            </w:r>
            <w:r w:rsidRPr="00BC61ED">
              <w:rPr>
                <w:b/>
                <w:sz w:val="20"/>
                <w:szCs w:val="20"/>
                <w:lang w:val="hy-AM"/>
              </w:rPr>
              <w:t>.</w:t>
            </w:r>
          </w:p>
        </w:tc>
        <w:tc>
          <w:tcPr>
            <w:tcW w:w="10915"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Հայաստանի  Հանրապետություն վերադարձող  քաղաքացիների, ինչպես  նաև  Հայաստանի Հանրապետությունում  ապաստան ստացած  և  փախստական ճանաչված  ու երկարաժամկետ իմիգրանտների ինտեգրման միասնական  քաղաքականության մշակում</w:t>
            </w:r>
          </w:p>
          <w:p w:rsidR="0068680D" w:rsidRPr="00BC61ED" w:rsidRDefault="0068680D" w:rsidP="00F47DC4">
            <w:pPr>
              <w:spacing w:after="0" w:line="276" w:lineRule="auto"/>
              <w:jc w:val="center"/>
              <w:rPr>
                <w:b/>
                <w:sz w:val="20"/>
                <w:szCs w:val="20"/>
                <w:lang w:val="hy-AM"/>
              </w:rPr>
            </w:pPr>
          </w:p>
          <w:p w:rsidR="0068680D" w:rsidRPr="00BC61ED" w:rsidRDefault="0068680D" w:rsidP="00F47DC4">
            <w:pPr>
              <w:spacing w:after="0" w:line="276" w:lineRule="auto"/>
              <w:ind w:firstLine="375"/>
              <w:rPr>
                <w:rFonts w:eastAsia="Times New Roman"/>
                <w:b/>
                <w:sz w:val="20"/>
                <w:szCs w:val="20"/>
                <w:lang w:val="hy-AM"/>
              </w:rPr>
            </w:pPr>
            <w:r>
              <w:rPr>
                <w:rFonts w:eastAsia="Times New Roman"/>
                <w:b/>
                <w:sz w:val="20"/>
                <w:szCs w:val="20"/>
                <w:lang w:val="hy-AM"/>
              </w:rPr>
              <w:t xml:space="preserve">16.1 </w:t>
            </w:r>
            <w:r w:rsidRPr="00BC61ED">
              <w:rPr>
                <w:rFonts w:eastAsia="Times New Roman"/>
                <w:b/>
                <w:sz w:val="20"/>
                <w:szCs w:val="20"/>
                <w:lang w:val="hy-AM"/>
              </w:rPr>
              <w:t>«Հայաստանի  Հանրապետություն վերադարձող  քաղաքացիների,  ինչպես  նաև  Հայաստանի Հանրապետությունում  ապաստան ստացած  և  փախստական ճանաչված ու երկարաժամկետ իմիգրանտների ինտեգրման միասնական  քաղաքականության ռազմավարության  մասին»  ՀՀ  կառավարության  որոշման  նախագծի մշակում</w:t>
            </w:r>
          </w:p>
          <w:p w:rsidR="0068680D" w:rsidRPr="00BC61ED" w:rsidRDefault="0068680D" w:rsidP="00F47DC4">
            <w:pPr>
              <w:spacing w:after="0" w:line="276" w:lineRule="auto"/>
              <w:ind w:firstLine="375"/>
              <w:rPr>
                <w:rFonts w:eastAsia="Times New Roman"/>
                <w:b/>
                <w:sz w:val="20"/>
                <w:szCs w:val="20"/>
                <w:lang w:val="hy-AM"/>
              </w:rPr>
            </w:pPr>
          </w:p>
          <w:p w:rsidR="0068680D" w:rsidRPr="00BC61ED" w:rsidRDefault="0068680D" w:rsidP="00F47DC4">
            <w:pPr>
              <w:pStyle w:val="ListParagraph"/>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 </w:t>
            </w:r>
            <w:r w:rsidRPr="00BC61ED">
              <w:rPr>
                <w:rFonts w:eastAsia="Times New Roman" w:cs="GHEA Grapalat"/>
                <w:b/>
                <w:sz w:val="20"/>
                <w:szCs w:val="20"/>
                <w:lang w:val="hy-AM"/>
              </w:rPr>
              <w:t>Միջոցառման</w:t>
            </w:r>
            <w:r w:rsidRPr="00BC61ED">
              <w:rPr>
                <w:rFonts w:eastAsia="Times New Roman"/>
                <w:b/>
                <w:sz w:val="20"/>
                <w:szCs w:val="20"/>
                <w:lang w:val="hy-AM"/>
              </w:rPr>
              <w:t xml:space="preserve"> </w:t>
            </w:r>
            <w:r w:rsidRPr="00BC61ED">
              <w:rPr>
                <w:rFonts w:eastAsia="Times New Roman" w:cs="GHEA Grapalat"/>
                <w:b/>
                <w:sz w:val="20"/>
                <w:szCs w:val="20"/>
                <w:lang w:val="hy-AM"/>
              </w:rPr>
              <w:t>իրականացման</w:t>
            </w:r>
            <w:r w:rsidRPr="00BC61ED">
              <w:rPr>
                <w:rFonts w:eastAsia="Times New Roman"/>
                <w:b/>
                <w:sz w:val="20"/>
                <w:szCs w:val="20"/>
                <w:lang w:val="hy-AM"/>
              </w:rPr>
              <w:t xml:space="preserve"> </w:t>
            </w:r>
            <w:r w:rsidRPr="00BC61ED">
              <w:rPr>
                <w:rFonts w:eastAsia="Times New Roman" w:cs="GHEA Grapalat"/>
                <w:b/>
                <w:sz w:val="20"/>
                <w:szCs w:val="20"/>
                <w:lang w:val="hy-AM"/>
              </w:rPr>
              <w:t>անհրաժեշտությունը</w:t>
            </w:r>
            <w:r w:rsidRPr="00BC61ED">
              <w:rPr>
                <w:rFonts w:eastAsia="Times New Roman"/>
                <w:b/>
                <w:sz w:val="20"/>
                <w:szCs w:val="20"/>
                <w:lang w:val="hy-AM"/>
              </w:rPr>
              <w:t xml:space="preserve"> </w:t>
            </w:r>
            <w:r w:rsidRPr="00BC61ED">
              <w:rPr>
                <w:rFonts w:eastAsia="Times New Roman" w:cs="GHEA Grapalat"/>
                <w:b/>
                <w:sz w:val="20"/>
                <w:szCs w:val="20"/>
                <w:lang w:val="hy-AM"/>
              </w:rPr>
              <w:t>և</w:t>
            </w:r>
            <w:r w:rsidRPr="00BC61ED">
              <w:rPr>
                <w:rFonts w:eastAsia="Times New Roman"/>
                <w:b/>
                <w:sz w:val="20"/>
                <w:szCs w:val="20"/>
                <w:lang w:val="hy-AM"/>
              </w:rPr>
              <w:t xml:space="preserve"> </w:t>
            </w:r>
            <w:r w:rsidRPr="00BC61ED">
              <w:rPr>
                <w:rFonts w:eastAsia="Times New Roman" w:cs="GHEA Grapalat"/>
                <w:b/>
                <w:sz w:val="20"/>
                <w:szCs w:val="20"/>
                <w:lang w:val="hy-AM"/>
              </w:rPr>
              <w:t>նպատակը</w:t>
            </w:r>
            <w:r w:rsidRPr="00BC61ED">
              <w:rPr>
                <w:rFonts w:eastAsia="Times New Roman"/>
                <w:b/>
                <w:sz w:val="20"/>
                <w:szCs w:val="20"/>
                <w:lang w:val="hy-AM"/>
              </w:rPr>
              <w:t xml:space="preserve"> </w:t>
            </w:r>
          </w:p>
          <w:p w:rsidR="0068680D" w:rsidRPr="00BC61ED" w:rsidRDefault="0068680D" w:rsidP="00F47DC4">
            <w:pPr>
              <w:pStyle w:val="ListParagraph"/>
              <w:spacing w:after="0" w:line="276" w:lineRule="auto"/>
              <w:ind w:left="375" w:firstLine="345"/>
              <w:rPr>
                <w:rFonts w:eastAsia="Times New Roman"/>
                <w:b/>
                <w:sz w:val="20"/>
                <w:szCs w:val="20"/>
                <w:lang w:val="hy-AM"/>
              </w:rPr>
            </w:pPr>
            <w:r w:rsidRPr="00BC61ED">
              <w:rPr>
                <w:rFonts w:eastAsia="Times New Roman"/>
                <w:b/>
                <w:sz w:val="20"/>
                <w:szCs w:val="20"/>
                <w:lang w:val="hy-AM"/>
              </w:rPr>
              <w:t xml:space="preserve">Միջոցառման իրականացման անհրաժեշտությունը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ՀՀ  կառավարության 2017 թ.-ի օգոստոսի 31-ի նիստի  թիվ  37 արձանագրային  որոշմամբ հաստատված «Հայաստանի Հանրապետության միգրացիայի քաղաքականության 2017-2021 թվականների ռազմավարության արդյունավետ  իրականացումն ապահովող միջոցառումների ծրագրով»  նախատեսվում է  2019 թվականին  մշակել  և ՀՀ  կառավարության  հաստատմանը ներկայացնել   Հայաստան վերադարձող ՀՀ քաղաքացիների վերաինտեգրման ապահովմանն ուղղված   հայեցակարգ: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Սույն  հայեցակարգի մշակման անհրաժեշտությունը բխում է այն իրողությունից, որ այսօր գոյություն չունի Հայաստանում վերադարձող միգրանտների վերաինտեգրմանն ուղղված համապարփակ քաղաքականություն, չեն իրականացվում պետական նպատակային ծրագրեր, ինչպես նաև իրավասու պետական մարմինների համար սահմանված հստակ գործառույթներ չկան։ Գործում են վերադարձող քաղաքացիների վերաինտեգրմանն ուղղված որոշ ծրագրեր, որոնք իրականացվում են հիմնականում հասարակական կազմակերպությունների կողմից` գլխավորապես միջազգային կառույցների և միգրանտներին վերադարձնող երկրների ֆինանսավորմամբ, որոնց երբեմն մասնակցում են նաև պետական կառավարման որոշ մարմիններ: Այդպիսի ծրագրերը, սակայն, շարունակական բնույթ չեն կրում: Բաց է մնում նաև այս ուղղությամբ տարբեր կառույցների կողմից իրականացվող աշխատանքների համակարգման հարցը, ինչը բացասաբար է անդրադառնում ոչ միայն պետական մարմինների, այլև այդ ոլորտում գործող միջազգային կազմակերպությունների և հասարակական  կազմակերպությունների գործունեության ու համագործակցության վրա: Տարբեր են նաև իրականացվող ծրագրերի միջոցով տրամադրվող աջակցող ծառայությունների փաթեթները: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Մյուս  կողմից  վերջին տարիներին  նկատվում  է  Հայաստանում   տարբեր  նպատակներով բնակություն հաստատող  օտարերկրացիների  թվի  աճ,  և դրանով իսկ  մեր  պետությունը  բացառապես էմիգրանտների ծագման երկրից վերածվում   է   նաև իմիգրանտներ ընդունող երկրի: Այս  անձանց  խնդիրներին լուծում տալու  նպատակով  ՀՀ կառավարությունը  2016թ. հուլիսի 21-ի թիվ 28 արձանագրային որոշմամբ  ընդունել  է  ՀՀ-ում  փախստական ճանաչված  և ապաստան ստացած անձանց, ինչպես նաև  երկրաժամակետ  միգրանտների  ինտեգրման  քաղաքականության  հայեցակարգը, 2017թ. փետրվարի 23-ի թիվ 8 արձանագրային որոշմամբ  էլ  հաստատել  է   հայեցակարգի կիրարկմանն ուղղված գործողությունների ծրագիրը:</w:t>
            </w:r>
          </w:p>
          <w:p w:rsidR="0068680D" w:rsidRPr="00BC61ED" w:rsidRDefault="0068680D" w:rsidP="00F47DC4">
            <w:pPr>
              <w:spacing w:after="0" w:line="276" w:lineRule="auto"/>
              <w:ind w:firstLine="375"/>
              <w:rPr>
                <w:sz w:val="20"/>
                <w:szCs w:val="20"/>
                <w:lang w:val="hy-AM"/>
              </w:rPr>
            </w:pPr>
            <w:r w:rsidRPr="00BC61ED">
              <w:rPr>
                <w:rFonts w:eastAsia="Times New Roman"/>
                <w:sz w:val="20"/>
                <w:szCs w:val="20"/>
                <w:lang w:val="hy-AM"/>
              </w:rPr>
              <w:t>Ըստ  էության,  ինչպես Հայաստան վերադարձողների, այնպես  էլ  ՀՀ-ում գտնվող օտարերկրացիների ինտեգրման  նպատակով իրականացվելիք  միջոցառումները  նույնն  են լինելու`  հայոց  լեզվի  ուսուցում,  քաղաքացիական կողմնորոշման դասընթացների  կազմակերպում, կացարանի  խնդրի  լուծում  և  տնտեսական  ինտեգրում` զբաղվածության  ապահովման ճանապարհով:  Հարաբերությունները ուրվագծվելու են միասնական հայեցակարգի ԳԾճներում ՝ ըստ թիրախային խմբերի։</w:t>
            </w:r>
            <w:r w:rsidRPr="00BC61ED">
              <w:rPr>
                <w:sz w:val="20"/>
                <w:szCs w:val="20"/>
                <w:lang w:val="hy-AM"/>
              </w:rPr>
              <w:t xml:space="preserve"> Դա բխում է նաև </w:t>
            </w:r>
            <w:r w:rsidRPr="00DD1660">
              <w:rPr>
                <w:sz w:val="20"/>
                <w:lang w:val="af-ZA"/>
              </w:rPr>
              <w:t xml:space="preserve">ՀՀ Ազգային ժողովի 14.02.2019թ. N ԱԺՈ-002-Ն որոշմամբ հավանության արժանացած </w:t>
            </w:r>
            <w:r w:rsidRPr="00DD1660">
              <w:rPr>
                <w:sz w:val="20"/>
                <w:lang w:val="hy-AM"/>
              </w:rPr>
              <w:t>ՀՀ</w:t>
            </w:r>
            <w:r w:rsidRPr="00DD1660">
              <w:rPr>
                <w:sz w:val="20"/>
                <w:lang w:val="af-ZA"/>
              </w:rPr>
              <w:t xml:space="preserve"> կառավարության ծրագրի</w:t>
            </w:r>
            <w:r w:rsidRPr="00BC61ED">
              <w:rPr>
                <w:sz w:val="20"/>
                <w:szCs w:val="20"/>
                <w:lang w:val="hy-AM"/>
              </w:rPr>
              <w:t xml:space="preserve"> 6.7-րդ բաժնով նախատեսված հանձնառություններից:</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Միջոցառման իրականացման  նպատակը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Հայաստանի  Հանրապետություն վերադարձող  քաղաքացիների,  ինչպես  նաև  Հայաստանի Հանրապետությունում  ապաստան ստացած  և  փախստական ճանաչված ու երկարաժամկետ իմիգրանտների ինտեգրման քաղաքականության   միասնականացումն ու հստակեցումը։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Միջոցառման իրականացման համար հիմք  է  «Փախստականների և ապաստանի մասին» ՀՀ օրենքի 31-րդ հոդվածի 1-ին մասը:</w:t>
            </w:r>
          </w:p>
          <w:p w:rsidR="0068680D" w:rsidRPr="00BC61ED" w:rsidRDefault="0068680D" w:rsidP="00F47DC4">
            <w:pPr>
              <w:spacing w:after="0" w:line="276" w:lineRule="auto"/>
              <w:ind w:left="375"/>
              <w:rPr>
                <w:rFonts w:eastAsia="Times New Roman"/>
                <w:b/>
                <w:sz w:val="20"/>
                <w:szCs w:val="20"/>
                <w:lang w:val="hy-AM"/>
              </w:rPr>
            </w:pPr>
            <w:r w:rsidRPr="00BC61ED">
              <w:rPr>
                <w:rFonts w:eastAsia="Times New Roman"/>
                <w:b/>
                <w:sz w:val="20"/>
                <w:szCs w:val="20"/>
                <w:lang w:val="hy-AM"/>
              </w:rPr>
              <w:t xml:space="preserve">1.1 կարգավորման հարաբերությունների ներկա վիճակը և առկա խնդիրները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Նախատեսվում էր 2019 թվականին  մշակել  և ՀՀ  կառավարության  հաստատմանը ներկայացնել   Հայաստան վերադարձող ՀՀ քաղաքացիների վերաինտեգրման ապահովմանն ուղղված   հայեցակարգ: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Մյուս  կողմից առկա  է  ՀՀ կառավարության կողմից  հաստատված    ՀՀ-ում  փախստական ճանաչված  և ապաստան ստացած անձանց, ինչպես նաև  երկրաժամակետ  միգրանտների  ինտեգրման  քաղաքականության  հայեցակարգ։</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Հաշվի  առնելով այն  հանգամանքը  որ ինչպես Հայաստան վերադարձողների, այնպես  էլ  ՀՀ-ում գտնվող օտարերկրացիների ինտեգրման  նպատակով իրականացվելիք  միջոցառումները  նույնն  են լինելու`  հայոց  լեզվի  ուսուցում,  քաղաքացիական կողմնորոշման դասընթացների  կազմակերպում, կացարանի  խնդրի  լուծում  և  տնտեսական  ինտեգրում` զբաղվածության  ապահովման ճանապարհով</w:t>
            </w:r>
            <w:r w:rsidRPr="00BC61ED">
              <w:rPr>
                <w:rFonts w:ascii="Cambria Math" w:eastAsia="Times New Roman" w:hAnsi="Cambria Math" w:cs="Cambria Math"/>
                <w:sz w:val="20"/>
                <w:szCs w:val="20"/>
                <w:lang w:val="hy-AM"/>
              </w:rPr>
              <w:t>․</w:t>
            </w:r>
            <w:r w:rsidRPr="00BC61ED">
              <w:rPr>
                <w:rFonts w:eastAsia="Times New Roman"/>
                <w:sz w:val="20"/>
                <w:szCs w:val="20"/>
                <w:lang w:val="hy-AM"/>
              </w:rPr>
              <w:t xml:space="preserve">  խնդիր  է   դրվում  մշակել   մեկ միասնական փաստաթղուղթ  որն  ուղղված  կլինի   վերոհիշյալ   բոլոր  խմբերի  ինտեգրման   կարիքների  բավարամանը: </w:t>
            </w:r>
          </w:p>
          <w:p w:rsidR="0068680D" w:rsidRPr="00BC61ED" w:rsidRDefault="0068680D" w:rsidP="00F47DC4">
            <w:pPr>
              <w:spacing w:after="0" w:line="276" w:lineRule="auto"/>
              <w:rPr>
                <w:rFonts w:eastAsia="Times New Roman"/>
                <w:b/>
                <w:sz w:val="20"/>
                <w:szCs w:val="20"/>
                <w:lang w:val="hy-AM"/>
              </w:rPr>
            </w:pPr>
            <w:r w:rsidRPr="00BC61ED">
              <w:rPr>
                <w:rFonts w:eastAsia="Times New Roman"/>
                <w:b/>
                <w:sz w:val="20"/>
                <w:szCs w:val="20"/>
                <w:lang w:val="hy-AM"/>
              </w:rPr>
              <w:t xml:space="preserve"> 1.2 առկա խնդիրների առաջարկվող լուծումները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Նախատեսվում է   ունենալ  մեկ ռազմավարական  փաստաթուղթ,  որը  կունենա   գործողությունների  երեք ծրագիր՝ առաջինն ուղղված  Հայաստան վերադարձող  ՀՀ  քաղաքացիների,  երկրորդը ՀՀ-ում  փախստական ճանաչված  և ապաստան ստացած անձանց, ինչպես նաև  երկրաժամակետ  միգրանտների ինտեգրմանը, իսկ երրորդ ծրագիրը՝ հատուկ սիրահայերի համար։</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Միջոցառման   համակատարողներն  են՝ ՀՀ աշխատանքի և սոցիալական հարցերի, կրթության և գիտության, առողջապահության նախարարությունները, ՀՀ ոստիկանությունը  որոնք   անդամակցում  են  ռազմավարության մշակման նպատակով  ստեղծված  աշխատանքային խմբին, և  պետք  է  մասնակցեն նախագծի  մշակմանը՝ յուրաքանչյուրն  իր  մարմնի  գործառույթներին  առնչվող  մասով։</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 Գերմանիայի միջազգային  համագործակցության  ընկերությունը (GIZ) փաստաթղթի մշակման  նպատակով   վարձելու  է    տեղացի փորձագետ,  իսկ  ԵԱՀԿ/ԺՀՄԻԳ-ը (OSCE  ODHIR)ոլորտի միջազգային փորձը ներկայացնելու նպատակով միջազգային  փորձագետ։</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2. Միջոցառման իրականացումից ակնկալվող արդյունքը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Ամբողջացված  է   Հայաստանի  Հանրապետություն վերադարձող  քաղաքացիների, ինչպես  նաև  Հայաստանի Հանրապետությունում  ապաստան ստացած  և  փախստական ճանաչված  ու երկարաժամկետ իմիգրանտների  ինտեգրման  ուղղությամբ  պետության  կողմից   վարվող  քաղաքականությունը։  </w:t>
            </w:r>
          </w:p>
          <w:p w:rsidR="0068680D" w:rsidRPr="00BC61ED" w:rsidRDefault="0068680D" w:rsidP="00F47DC4">
            <w:pPr>
              <w:spacing w:after="0" w:line="276" w:lineRule="auto"/>
              <w:jc w:val="center"/>
              <w:rPr>
                <w:b/>
                <w:sz w:val="20"/>
                <w:szCs w:val="20"/>
                <w:lang w:val="hy-AM"/>
              </w:rPr>
            </w:pP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1</w:t>
            </w:r>
            <w:r>
              <w:rPr>
                <w:b/>
                <w:sz w:val="20"/>
                <w:szCs w:val="20"/>
                <w:lang w:val="hy-AM"/>
              </w:rPr>
              <w:t>7</w:t>
            </w:r>
            <w:r w:rsidRPr="00BC61ED">
              <w:rPr>
                <w:b/>
                <w:sz w:val="20"/>
                <w:szCs w:val="20"/>
                <w:lang w:val="hy-AM"/>
              </w:rPr>
              <w:t>.</w:t>
            </w:r>
          </w:p>
        </w:tc>
        <w:tc>
          <w:tcPr>
            <w:tcW w:w="10915"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Դեպի  Հայաստան  ուղղված իմիգրացիոն հոսքերիկառավարմանն  ու  կանոնակարգմանն  ուղղված իմիգրացիոն ամբողջական քաղաքականության  մշակում</w:t>
            </w:r>
          </w:p>
          <w:p w:rsidR="0068680D" w:rsidRPr="00BC61ED" w:rsidRDefault="0068680D" w:rsidP="00F47DC4">
            <w:pPr>
              <w:spacing w:after="0" w:line="276" w:lineRule="auto"/>
              <w:jc w:val="center"/>
              <w:rPr>
                <w:b/>
                <w:sz w:val="20"/>
                <w:szCs w:val="20"/>
                <w:lang w:val="hy-AM"/>
              </w:rPr>
            </w:pP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1</w:t>
            </w:r>
            <w:r>
              <w:rPr>
                <w:rFonts w:eastAsia="Times New Roman"/>
                <w:b/>
                <w:sz w:val="20"/>
                <w:szCs w:val="20"/>
                <w:lang w:val="hy-AM"/>
              </w:rPr>
              <w:t>7</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1 «Հայաստանի Հանրապետության միգրացիայի քաղաքականության 2017-2021 թվականների ռազմավարությանը հավանություն  տալու մասին» ՀՀ  կառավարության 2017 թվականի մարտի 23-ի թիվ 12 արձանագրային որոշման  մեջ լրացում  կատարելու  մասին» ՀՀ  կառավարության  արձանագրային  որոշման նախագծի մշակում</w:t>
            </w:r>
          </w:p>
          <w:p w:rsidR="0068680D" w:rsidRPr="00BC61ED" w:rsidRDefault="0068680D" w:rsidP="00F47DC4">
            <w:pPr>
              <w:pStyle w:val="ListParagraph"/>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 </w:t>
            </w:r>
            <w:r w:rsidRPr="00BC61ED">
              <w:rPr>
                <w:rFonts w:eastAsia="Times New Roman" w:cs="GHEA Grapalat"/>
                <w:b/>
                <w:sz w:val="20"/>
                <w:szCs w:val="20"/>
                <w:lang w:val="hy-AM"/>
              </w:rPr>
              <w:t>Միջոցառման</w:t>
            </w:r>
            <w:r w:rsidRPr="00BC61ED">
              <w:rPr>
                <w:rFonts w:eastAsia="Times New Roman"/>
                <w:b/>
                <w:sz w:val="20"/>
                <w:szCs w:val="20"/>
                <w:lang w:val="hy-AM"/>
              </w:rPr>
              <w:t xml:space="preserve"> </w:t>
            </w:r>
            <w:r w:rsidRPr="00BC61ED">
              <w:rPr>
                <w:rFonts w:eastAsia="Times New Roman" w:cs="GHEA Grapalat"/>
                <w:b/>
                <w:sz w:val="20"/>
                <w:szCs w:val="20"/>
                <w:lang w:val="hy-AM"/>
              </w:rPr>
              <w:t>իրականացման</w:t>
            </w:r>
            <w:r w:rsidRPr="00BC61ED">
              <w:rPr>
                <w:rFonts w:eastAsia="Times New Roman"/>
                <w:b/>
                <w:sz w:val="20"/>
                <w:szCs w:val="20"/>
                <w:lang w:val="hy-AM"/>
              </w:rPr>
              <w:t xml:space="preserve"> </w:t>
            </w:r>
            <w:r w:rsidRPr="00BC61ED">
              <w:rPr>
                <w:rFonts w:eastAsia="Times New Roman" w:cs="GHEA Grapalat"/>
                <w:b/>
                <w:sz w:val="20"/>
                <w:szCs w:val="20"/>
                <w:lang w:val="hy-AM"/>
              </w:rPr>
              <w:t>անհրաժեշտությունը</w:t>
            </w:r>
            <w:r w:rsidRPr="00BC61ED">
              <w:rPr>
                <w:rFonts w:eastAsia="Times New Roman"/>
                <w:b/>
                <w:sz w:val="20"/>
                <w:szCs w:val="20"/>
                <w:lang w:val="hy-AM"/>
              </w:rPr>
              <w:t xml:space="preserve"> </w:t>
            </w:r>
            <w:r w:rsidRPr="00BC61ED">
              <w:rPr>
                <w:rFonts w:eastAsia="Times New Roman" w:cs="GHEA Grapalat"/>
                <w:b/>
                <w:sz w:val="20"/>
                <w:szCs w:val="20"/>
                <w:lang w:val="hy-AM"/>
              </w:rPr>
              <w:t>և</w:t>
            </w:r>
            <w:r w:rsidRPr="00BC61ED">
              <w:rPr>
                <w:rFonts w:eastAsia="Times New Roman"/>
                <w:b/>
                <w:sz w:val="20"/>
                <w:szCs w:val="20"/>
                <w:lang w:val="hy-AM"/>
              </w:rPr>
              <w:t xml:space="preserve"> </w:t>
            </w:r>
            <w:r w:rsidRPr="00BC61ED">
              <w:rPr>
                <w:rFonts w:eastAsia="Times New Roman" w:cs="GHEA Grapalat"/>
                <w:b/>
                <w:sz w:val="20"/>
                <w:szCs w:val="20"/>
                <w:lang w:val="hy-AM"/>
              </w:rPr>
              <w:t>նպատակը</w:t>
            </w:r>
            <w:r w:rsidRPr="00BC61ED">
              <w:rPr>
                <w:rFonts w:eastAsia="Times New Roman"/>
                <w:b/>
                <w:sz w:val="20"/>
                <w:szCs w:val="20"/>
                <w:lang w:val="hy-AM"/>
              </w:rPr>
              <w:t xml:space="preserve"> </w:t>
            </w:r>
          </w:p>
          <w:p w:rsidR="0068680D" w:rsidRPr="00BC61ED" w:rsidRDefault="0068680D" w:rsidP="00F47DC4">
            <w:pPr>
              <w:pStyle w:val="ListParagraph"/>
              <w:spacing w:after="0" w:line="276" w:lineRule="auto"/>
              <w:ind w:left="375" w:firstLine="345"/>
              <w:rPr>
                <w:rFonts w:eastAsia="Times New Roman"/>
                <w:b/>
                <w:sz w:val="20"/>
                <w:szCs w:val="20"/>
                <w:lang w:val="hy-AM"/>
              </w:rPr>
            </w:pPr>
            <w:r w:rsidRPr="00BC61ED">
              <w:rPr>
                <w:rFonts w:eastAsia="Times New Roman"/>
                <w:b/>
                <w:sz w:val="20"/>
                <w:szCs w:val="20"/>
                <w:lang w:val="hy-AM"/>
              </w:rPr>
              <w:t xml:space="preserve">Միջոցառման իրականացման անհրաժեշտությունը  </w:t>
            </w:r>
          </w:p>
          <w:p w:rsidR="0068680D" w:rsidRPr="00BC61ED" w:rsidRDefault="0068680D" w:rsidP="00F47DC4">
            <w:pPr>
              <w:spacing w:after="0" w:line="276" w:lineRule="auto"/>
              <w:ind w:firstLine="375"/>
              <w:rPr>
                <w:sz w:val="20"/>
                <w:szCs w:val="20"/>
                <w:lang w:val="hy-AM"/>
              </w:rPr>
            </w:pPr>
            <w:r w:rsidRPr="00BC61ED">
              <w:rPr>
                <w:rFonts w:eastAsia="Times New Roman"/>
                <w:sz w:val="20"/>
                <w:szCs w:val="20"/>
                <w:lang w:val="hy-AM"/>
              </w:rPr>
              <w:t xml:space="preserve">Վերջին շրջանում  արձանագրվում  է   դեպի Հայաստան  ուղղված  իմիգրացիոն հոսքերի  աճ, մասնավորապես աշխատանքի նպատակով։ Անհրաժեշտ  է  ունենալ  այդ հոսքերի կառավարմանն  ու  կանոնակարգմանն  ուղղված իմիգրացիոն ամբողջական քաղաքականություն՝ նկատի  ունենալով   նաև   այդ  համատեսքտում  երկրի  ազգային անվտանգությանը  սպառնացող  վտանգները չեզոքացնելու  անհրաժեշտությունը։  Նաև  անհրաժեշտ  է  այդ քաղաքականությունը  ներառել  Հայաստանի Հանրապետության միգրացիայի քաղաքականության 2017-2021 ռազմավարության մեջ։ </w:t>
            </w:r>
            <w:r w:rsidRPr="00BC61ED">
              <w:rPr>
                <w:sz w:val="20"/>
                <w:szCs w:val="20"/>
                <w:lang w:val="hy-AM"/>
              </w:rPr>
              <w:t xml:space="preserve">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6.7-րդ բաժնով նախատեսված հանձնառություններից:</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Միջոցառման իրականացման  նպատակը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Իմիգրացիայի  ոլորտի պետական  քաղաքականության մշակում,  որում  ներառված  կարգավորումները  համարժեք  են    այս  ոլորտում  պետության  առջև  կանգնած  մարտահրավերներին,  մասնավորապես  կապված </w:t>
            </w:r>
            <w:r w:rsidRPr="00BC61ED">
              <w:rPr>
                <w:rFonts w:cs="Sylfaen"/>
                <w:sz w:val="20"/>
                <w:szCs w:val="20"/>
                <w:lang w:val="hy-AM"/>
              </w:rPr>
              <w:t>սոցիալ</w:t>
            </w:r>
            <w:r w:rsidRPr="00BC61ED">
              <w:rPr>
                <w:sz w:val="20"/>
                <w:szCs w:val="20"/>
                <w:lang w:val="hy-AM"/>
              </w:rPr>
              <w:t>-</w:t>
            </w:r>
            <w:r w:rsidRPr="00BC61ED">
              <w:rPr>
                <w:rFonts w:cs="Sylfaen"/>
                <w:sz w:val="20"/>
                <w:szCs w:val="20"/>
                <w:lang w:val="hy-AM"/>
              </w:rPr>
              <w:t>տնտեսական զարգացման</w:t>
            </w:r>
            <w:r w:rsidRPr="00BC61ED">
              <w:rPr>
                <w:sz w:val="20"/>
                <w:szCs w:val="20"/>
                <w:lang w:val="hy-AM"/>
              </w:rPr>
              <w:t xml:space="preserve">, ժողովրդագրության, </w:t>
            </w:r>
            <w:r w:rsidRPr="00BC61ED">
              <w:rPr>
                <w:rFonts w:cs="Sylfaen"/>
                <w:sz w:val="20"/>
                <w:szCs w:val="20"/>
                <w:lang w:val="hy-AM"/>
              </w:rPr>
              <w:t>ազգային անվտանգության</w:t>
            </w:r>
            <w:r w:rsidRPr="00BC61ED">
              <w:rPr>
                <w:sz w:val="20"/>
                <w:szCs w:val="20"/>
                <w:lang w:val="hy-AM"/>
              </w:rPr>
              <w:t xml:space="preserve">  խնդիրների  հետ</w:t>
            </w:r>
            <w:r w:rsidRPr="00BC61ED">
              <w:rPr>
                <w:rFonts w:eastAsia="Times New Roman"/>
                <w:sz w:val="20"/>
                <w:szCs w:val="20"/>
                <w:lang w:val="hy-AM"/>
              </w:rPr>
              <w:t xml:space="preserve">։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Միջոցառման իրականացման համար  հիմք  է  «Փախստականների և ապաստանի մասին» ՀՀ օրենքի 34-րդ հոդվածը:</w:t>
            </w:r>
          </w:p>
          <w:p w:rsidR="0068680D" w:rsidRPr="00BC61ED" w:rsidRDefault="0068680D" w:rsidP="00F47DC4">
            <w:pPr>
              <w:spacing w:after="0" w:line="276" w:lineRule="auto"/>
              <w:ind w:left="375"/>
              <w:rPr>
                <w:rFonts w:eastAsia="Times New Roman"/>
                <w:b/>
                <w:sz w:val="20"/>
                <w:szCs w:val="20"/>
                <w:lang w:val="hy-AM"/>
              </w:rPr>
            </w:pPr>
            <w:r w:rsidRPr="00BC61ED">
              <w:rPr>
                <w:rFonts w:eastAsia="Times New Roman"/>
                <w:b/>
                <w:sz w:val="20"/>
                <w:szCs w:val="20"/>
                <w:lang w:val="hy-AM"/>
              </w:rPr>
              <w:t xml:space="preserve">1.1 կարգավորման հարաբերությունների ներկա վիճակը և առկա խնդիրները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ՀՀ  կառավարության  կողմից 2017 թվականի մարտի 23-ին ընդունված  Հայաստանի Հանրապետության միգրացիայի քաղաքականության 2017-2021 ռազմավարությունը  Հայաստանի միգրացիոն քաղաքականության սահմանման 4-րդ հիմնարար փաստաթուղթն է 2000 թվականից  ի  վեր:  Այս փաստաթղթում  ներառված  են  են   8 հիմնորոշ  ուղղություներ  որոնք  պետք  է  իրականացվեն   78 միջոցառումների  միջոցով:  Եվս  մեկ` 9-րդ ուղղությունը վերաբերում  է   ռազմավարության   մոնիթորինգին  և  գնահատմանը:  Փաստաթուղթը  չի  անդրադառնում    իմիգրացիոն  քաղաքականության  հետ կապված  խմդիրներին,  մինչդեռ   ռազմավարության  ընդունումից՝ 2017թ</w:t>
            </w:r>
            <w:r w:rsidRPr="00BC61ED">
              <w:rPr>
                <w:rFonts w:ascii="Cambria Math" w:eastAsia="Times New Roman" w:hAnsi="Cambria Math" w:cs="Cambria Math"/>
                <w:sz w:val="20"/>
                <w:szCs w:val="20"/>
                <w:lang w:val="hy-AM"/>
              </w:rPr>
              <w:t>․</w:t>
            </w:r>
            <w:r w:rsidRPr="00BC61ED">
              <w:rPr>
                <w:rFonts w:eastAsia="Times New Roman"/>
                <w:sz w:val="20"/>
                <w:szCs w:val="20"/>
                <w:lang w:val="hy-AM"/>
              </w:rPr>
              <w:t>-</w:t>
            </w:r>
            <w:r w:rsidRPr="00BC61ED">
              <w:rPr>
                <w:rFonts w:eastAsia="Times New Roman" w:cs="GHEA Grapalat"/>
                <w:sz w:val="20"/>
                <w:szCs w:val="20"/>
                <w:lang w:val="hy-AM"/>
              </w:rPr>
              <w:t>ից</w:t>
            </w:r>
            <w:r w:rsidRPr="00BC61ED">
              <w:rPr>
                <w:rFonts w:eastAsia="Times New Roman"/>
                <w:sz w:val="20"/>
                <w:szCs w:val="20"/>
                <w:lang w:val="hy-AM"/>
              </w:rPr>
              <w:t xml:space="preserve">  </w:t>
            </w:r>
            <w:r w:rsidRPr="00BC61ED">
              <w:rPr>
                <w:rFonts w:eastAsia="Times New Roman" w:cs="GHEA Grapalat"/>
                <w:sz w:val="20"/>
                <w:szCs w:val="20"/>
                <w:lang w:val="hy-AM"/>
              </w:rPr>
              <w:t>հետո</w:t>
            </w:r>
            <w:r w:rsidRPr="00BC61ED">
              <w:rPr>
                <w:rFonts w:eastAsia="Times New Roman"/>
                <w:sz w:val="20"/>
                <w:szCs w:val="20"/>
                <w:lang w:val="hy-AM"/>
              </w:rPr>
              <w:t xml:space="preserve">  </w:t>
            </w:r>
            <w:r w:rsidRPr="00BC61ED">
              <w:rPr>
                <w:rFonts w:eastAsia="Times New Roman" w:cs="GHEA Grapalat"/>
                <w:sz w:val="20"/>
                <w:szCs w:val="20"/>
                <w:lang w:val="hy-AM"/>
              </w:rPr>
              <w:t>ի</w:t>
            </w:r>
            <w:r w:rsidRPr="00BC61ED">
              <w:rPr>
                <w:rFonts w:eastAsia="Times New Roman"/>
                <w:sz w:val="20"/>
                <w:szCs w:val="20"/>
                <w:lang w:val="hy-AM"/>
              </w:rPr>
              <w:t xml:space="preserve"> </w:t>
            </w:r>
            <w:r w:rsidRPr="00BC61ED">
              <w:rPr>
                <w:rFonts w:eastAsia="Times New Roman" w:cs="GHEA Grapalat"/>
                <w:sz w:val="20"/>
                <w:szCs w:val="20"/>
                <w:lang w:val="hy-AM"/>
              </w:rPr>
              <w:t>հայտ</w:t>
            </w:r>
            <w:r w:rsidRPr="00BC61ED">
              <w:rPr>
                <w:rFonts w:eastAsia="Times New Roman"/>
                <w:sz w:val="20"/>
                <w:szCs w:val="20"/>
                <w:lang w:val="hy-AM"/>
              </w:rPr>
              <w:t xml:space="preserve">  </w:t>
            </w:r>
            <w:r w:rsidRPr="00BC61ED">
              <w:rPr>
                <w:rFonts w:eastAsia="Times New Roman" w:cs="GHEA Grapalat"/>
                <w:sz w:val="20"/>
                <w:szCs w:val="20"/>
                <w:lang w:val="hy-AM"/>
              </w:rPr>
              <w:t>են</w:t>
            </w:r>
            <w:r w:rsidRPr="00BC61ED">
              <w:rPr>
                <w:rFonts w:eastAsia="Times New Roman"/>
                <w:sz w:val="20"/>
                <w:szCs w:val="20"/>
                <w:lang w:val="hy-AM"/>
              </w:rPr>
              <w:t xml:space="preserve">  </w:t>
            </w:r>
            <w:r w:rsidRPr="00BC61ED">
              <w:rPr>
                <w:rFonts w:eastAsia="Times New Roman" w:cs="GHEA Grapalat"/>
                <w:sz w:val="20"/>
                <w:szCs w:val="20"/>
                <w:lang w:val="hy-AM"/>
              </w:rPr>
              <w:t>եկել</w:t>
            </w:r>
            <w:r w:rsidRPr="00BC61ED">
              <w:rPr>
                <w:rFonts w:eastAsia="Times New Roman"/>
                <w:sz w:val="20"/>
                <w:szCs w:val="20"/>
                <w:lang w:val="hy-AM"/>
              </w:rPr>
              <w:t xml:space="preserve">  </w:t>
            </w:r>
            <w:r w:rsidRPr="00BC61ED">
              <w:rPr>
                <w:rFonts w:eastAsia="Times New Roman" w:cs="GHEA Grapalat"/>
                <w:sz w:val="20"/>
                <w:szCs w:val="20"/>
                <w:lang w:val="hy-AM"/>
              </w:rPr>
              <w:t>նոր</w:t>
            </w:r>
            <w:r w:rsidRPr="00BC61ED">
              <w:rPr>
                <w:rFonts w:eastAsia="Times New Roman"/>
                <w:sz w:val="20"/>
                <w:szCs w:val="20"/>
                <w:lang w:val="hy-AM"/>
              </w:rPr>
              <w:t xml:space="preserve">  </w:t>
            </w:r>
            <w:r w:rsidRPr="00BC61ED">
              <w:rPr>
                <w:rFonts w:eastAsia="Times New Roman" w:cs="GHEA Grapalat"/>
                <w:sz w:val="20"/>
                <w:szCs w:val="20"/>
                <w:lang w:val="hy-AM"/>
              </w:rPr>
              <w:t>իրողություններ՝</w:t>
            </w:r>
            <w:r w:rsidRPr="00BC61ED">
              <w:rPr>
                <w:rFonts w:eastAsia="Times New Roman"/>
                <w:sz w:val="20"/>
                <w:szCs w:val="20"/>
                <w:lang w:val="hy-AM"/>
              </w:rPr>
              <w:t xml:space="preserve">   </w:t>
            </w:r>
            <w:r w:rsidRPr="00BC61ED">
              <w:rPr>
                <w:rFonts w:eastAsia="Times New Roman" w:cs="GHEA Grapalat"/>
                <w:sz w:val="20"/>
                <w:szCs w:val="20"/>
                <w:lang w:val="hy-AM"/>
              </w:rPr>
              <w:t>աշխուժացել</w:t>
            </w:r>
            <w:r w:rsidRPr="00BC61ED">
              <w:rPr>
                <w:rFonts w:eastAsia="Times New Roman"/>
                <w:sz w:val="20"/>
                <w:szCs w:val="20"/>
                <w:lang w:val="hy-AM"/>
              </w:rPr>
              <w:t xml:space="preserve">   </w:t>
            </w:r>
            <w:r w:rsidRPr="00BC61ED">
              <w:rPr>
                <w:rFonts w:eastAsia="Times New Roman" w:cs="GHEA Grapalat"/>
                <w:sz w:val="20"/>
                <w:szCs w:val="20"/>
                <w:lang w:val="hy-AM"/>
              </w:rPr>
              <w:t>են</w:t>
            </w:r>
            <w:r w:rsidRPr="00BC61ED">
              <w:rPr>
                <w:rFonts w:eastAsia="Times New Roman"/>
                <w:sz w:val="20"/>
                <w:szCs w:val="20"/>
                <w:lang w:val="hy-AM"/>
              </w:rPr>
              <w:t xml:space="preserve">  </w:t>
            </w:r>
            <w:r w:rsidRPr="00BC61ED">
              <w:rPr>
                <w:rFonts w:eastAsia="Times New Roman" w:cs="GHEA Grapalat"/>
                <w:sz w:val="20"/>
                <w:szCs w:val="20"/>
                <w:lang w:val="hy-AM"/>
              </w:rPr>
              <w:t>դեպի</w:t>
            </w:r>
            <w:r w:rsidRPr="00BC61ED">
              <w:rPr>
                <w:rFonts w:eastAsia="Times New Roman"/>
                <w:sz w:val="20"/>
                <w:szCs w:val="20"/>
                <w:lang w:val="hy-AM"/>
              </w:rPr>
              <w:t xml:space="preserve">  </w:t>
            </w:r>
            <w:r w:rsidRPr="00BC61ED">
              <w:rPr>
                <w:rFonts w:eastAsia="Times New Roman" w:cs="GHEA Grapalat"/>
                <w:sz w:val="20"/>
                <w:szCs w:val="20"/>
                <w:lang w:val="hy-AM"/>
              </w:rPr>
              <w:t>ՀՀ</w:t>
            </w:r>
            <w:r w:rsidRPr="00BC61ED">
              <w:rPr>
                <w:rFonts w:eastAsia="Times New Roman"/>
                <w:sz w:val="20"/>
                <w:szCs w:val="20"/>
                <w:lang w:val="hy-AM"/>
              </w:rPr>
              <w:t xml:space="preserve">   </w:t>
            </w:r>
            <w:r w:rsidRPr="00BC61ED">
              <w:rPr>
                <w:rFonts w:eastAsia="Times New Roman" w:cs="GHEA Grapalat"/>
                <w:sz w:val="20"/>
                <w:szCs w:val="20"/>
                <w:lang w:val="hy-AM"/>
              </w:rPr>
              <w:t>ուղղված</w:t>
            </w:r>
            <w:r w:rsidRPr="00BC61ED">
              <w:rPr>
                <w:rFonts w:eastAsia="Times New Roman"/>
                <w:sz w:val="20"/>
                <w:szCs w:val="20"/>
                <w:lang w:val="hy-AM"/>
              </w:rPr>
              <w:t xml:space="preserve">  իմիգրացիոն հոսքերը՝  իրենց  հետ  բերելով  բազմաթիվ  խնդիրներ,  որոնց  լուծումը  պահանջում է   պետության կողմից    համապատասխան կարգավորող  մեխանիզմների  մշակում  և  ներդրում։</w:t>
            </w:r>
          </w:p>
          <w:p w:rsidR="0068680D" w:rsidRPr="00BC61ED" w:rsidRDefault="0068680D" w:rsidP="00F47DC4">
            <w:pPr>
              <w:spacing w:after="0" w:line="276" w:lineRule="auto"/>
              <w:rPr>
                <w:rFonts w:eastAsia="Times New Roman"/>
                <w:b/>
                <w:sz w:val="20"/>
                <w:szCs w:val="20"/>
                <w:lang w:val="hy-AM"/>
              </w:rPr>
            </w:pPr>
            <w:r w:rsidRPr="00BC61ED">
              <w:rPr>
                <w:rFonts w:eastAsia="Times New Roman"/>
                <w:b/>
                <w:sz w:val="20"/>
                <w:szCs w:val="20"/>
                <w:lang w:val="hy-AM"/>
              </w:rPr>
              <w:t xml:space="preserve"> 1.2  առկա խնդիրների առաջարկվող լուծումները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Նախատեսվում է Հայաստանի Հանրապետության միգրացիայի քաղաքականության 2017-2021 ռազմավարությունը  լրացնել  նոր  ուղղությամբ,  որը  կվերաբերի    իմիգրացիոն  քաղաքականությանը։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 Միջոցառման   համակատարողներն  են՝ ՀՀ ոստիկանությունը,  ազգային անվտանգության  ծառայությունը, արտաքին գործերի,կրթության և գիտության, առողջապահության, աշխատանքի և սոցիալական հարցերի նախարարությունները,  որոնք  պետք  է  մասնակցեն նախագծի  մշակմանը՝ յուրաքանչյուրն  իր  մարմնի  գործառույթներին  առնչվող  մասով։</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Միգրացիոն քաղաքականության միջազգային կենտրոնը  ստանձնել  է   նախագծի մշակման  նպատակով  փորձագետ  վարձելու  պարտավորությունը,  իսկ  հասարակական կազմակերպությունները  իրենց  մասնակցությունը  կունենան    նախագծի հանրային  քննարկման փուլում։</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2. Միջոցառման իրականացումից ակնկալվող արդյունքը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Մշակված  են  Հայաստան  մուտք  գործող օտարերկրացիների  ազատ  և անվտանգ տեղաշարժը  ապահովող՝   երկրի  ազգային  անվտանգության պահպանման շահերի  հետ հավասարակշռված   քաղաքականության  հիմնադրույթները,  որոնք  արտացոլված   են  Հայաստանի Հանրապետության միգրացիայի քաղաքականության 2017-2021 թվականների ռազմավարության մեջ</w:t>
            </w:r>
          </w:p>
          <w:p w:rsidR="0068680D" w:rsidRPr="00BC61ED" w:rsidRDefault="0068680D" w:rsidP="00F47DC4">
            <w:pPr>
              <w:spacing w:after="0" w:line="276" w:lineRule="auto"/>
              <w:rPr>
                <w:rFonts w:eastAsia="Times New Roman"/>
                <w:b/>
                <w:sz w:val="20"/>
                <w:szCs w:val="20"/>
                <w:lang w:val="hy-AM"/>
              </w:rPr>
            </w:pP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1</w:t>
            </w:r>
            <w:r>
              <w:rPr>
                <w:rFonts w:eastAsia="Times New Roman"/>
                <w:b/>
                <w:sz w:val="20"/>
                <w:szCs w:val="20"/>
                <w:lang w:val="hy-AM"/>
              </w:rPr>
              <w:t>7</w:t>
            </w:r>
            <w:r w:rsidRPr="00BC61ED">
              <w:rPr>
                <w:rFonts w:eastAsia="Times New Roman"/>
                <w:b/>
                <w:sz w:val="20"/>
                <w:szCs w:val="20"/>
                <w:lang w:val="hy-AM"/>
              </w:rPr>
              <w:t>.2 «Հայաստանի Հանրապետության միգրացիայի քաղաքականության 2017-2021 թվականների ռազմավարության  արդյունավետ իրականացումն  ապահովող միջոցառումների  ծրագրին հավանություն  տալու մասին» ՀՀ  կառավարության 2017 թվականի օգոստոսի 31-ի թիվ 37 արձանագրային որոշման  մեջ լրացում  կատարելու  մասին» ՀՀ  կառավարության  արձանագրային  որոշման նախագծի մշակում</w:t>
            </w:r>
          </w:p>
          <w:p w:rsidR="0068680D" w:rsidRPr="00BC61ED" w:rsidRDefault="0068680D" w:rsidP="00F47DC4">
            <w:pPr>
              <w:pStyle w:val="ListParagraph"/>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 </w:t>
            </w:r>
            <w:r w:rsidRPr="00BC61ED">
              <w:rPr>
                <w:rFonts w:eastAsia="Times New Roman" w:cs="GHEA Grapalat"/>
                <w:b/>
                <w:sz w:val="20"/>
                <w:szCs w:val="20"/>
                <w:lang w:val="hy-AM"/>
              </w:rPr>
              <w:t>Միջոցառման</w:t>
            </w:r>
            <w:r w:rsidRPr="00BC61ED">
              <w:rPr>
                <w:rFonts w:eastAsia="Times New Roman"/>
                <w:b/>
                <w:sz w:val="20"/>
                <w:szCs w:val="20"/>
                <w:lang w:val="hy-AM"/>
              </w:rPr>
              <w:t xml:space="preserve"> </w:t>
            </w:r>
            <w:r w:rsidRPr="00BC61ED">
              <w:rPr>
                <w:rFonts w:eastAsia="Times New Roman" w:cs="GHEA Grapalat"/>
                <w:b/>
                <w:sz w:val="20"/>
                <w:szCs w:val="20"/>
                <w:lang w:val="hy-AM"/>
              </w:rPr>
              <w:t>իրականացման</w:t>
            </w:r>
            <w:r w:rsidRPr="00BC61ED">
              <w:rPr>
                <w:rFonts w:eastAsia="Times New Roman"/>
                <w:b/>
                <w:sz w:val="20"/>
                <w:szCs w:val="20"/>
                <w:lang w:val="hy-AM"/>
              </w:rPr>
              <w:t xml:space="preserve"> </w:t>
            </w:r>
            <w:r w:rsidRPr="00BC61ED">
              <w:rPr>
                <w:rFonts w:eastAsia="Times New Roman" w:cs="GHEA Grapalat"/>
                <w:b/>
                <w:sz w:val="20"/>
                <w:szCs w:val="20"/>
                <w:lang w:val="hy-AM"/>
              </w:rPr>
              <w:t>անհրաժեշտությունը</w:t>
            </w:r>
            <w:r w:rsidRPr="00BC61ED">
              <w:rPr>
                <w:rFonts w:eastAsia="Times New Roman"/>
                <w:b/>
                <w:sz w:val="20"/>
                <w:szCs w:val="20"/>
                <w:lang w:val="hy-AM"/>
              </w:rPr>
              <w:t xml:space="preserve"> </w:t>
            </w:r>
            <w:r w:rsidRPr="00BC61ED">
              <w:rPr>
                <w:rFonts w:eastAsia="Times New Roman" w:cs="GHEA Grapalat"/>
                <w:b/>
                <w:sz w:val="20"/>
                <w:szCs w:val="20"/>
                <w:lang w:val="hy-AM"/>
              </w:rPr>
              <w:t>և</w:t>
            </w:r>
            <w:r w:rsidRPr="00BC61ED">
              <w:rPr>
                <w:rFonts w:eastAsia="Times New Roman"/>
                <w:b/>
                <w:sz w:val="20"/>
                <w:szCs w:val="20"/>
                <w:lang w:val="hy-AM"/>
              </w:rPr>
              <w:t xml:space="preserve"> </w:t>
            </w:r>
            <w:r w:rsidRPr="00BC61ED">
              <w:rPr>
                <w:rFonts w:eastAsia="Times New Roman" w:cs="GHEA Grapalat"/>
                <w:b/>
                <w:sz w:val="20"/>
                <w:szCs w:val="20"/>
                <w:lang w:val="hy-AM"/>
              </w:rPr>
              <w:t>նպատակը</w:t>
            </w:r>
            <w:r w:rsidRPr="00BC61ED">
              <w:rPr>
                <w:rFonts w:eastAsia="Times New Roman"/>
                <w:b/>
                <w:sz w:val="20"/>
                <w:szCs w:val="20"/>
                <w:lang w:val="hy-AM"/>
              </w:rPr>
              <w:t xml:space="preserve"> </w:t>
            </w:r>
          </w:p>
          <w:p w:rsidR="0068680D" w:rsidRPr="00BC61ED" w:rsidRDefault="0068680D" w:rsidP="00F47DC4">
            <w:pPr>
              <w:pStyle w:val="ListParagraph"/>
              <w:spacing w:after="0" w:line="276" w:lineRule="auto"/>
              <w:ind w:left="375" w:firstLine="345"/>
              <w:rPr>
                <w:rFonts w:eastAsia="Times New Roman"/>
                <w:b/>
                <w:sz w:val="20"/>
                <w:szCs w:val="20"/>
                <w:lang w:val="hy-AM"/>
              </w:rPr>
            </w:pPr>
            <w:r w:rsidRPr="00BC61ED">
              <w:rPr>
                <w:rFonts w:eastAsia="Times New Roman"/>
                <w:b/>
                <w:sz w:val="20"/>
                <w:szCs w:val="20"/>
                <w:lang w:val="hy-AM"/>
              </w:rPr>
              <w:t xml:space="preserve">Միջոցառման իրականացման անհրաժեշտությունը  </w:t>
            </w:r>
          </w:p>
          <w:p w:rsidR="0068680D" w:rsidRPr="00BC61ED" w:rsidRDefault="0068680D" w:rsidP="00F47DC4">
            <w:pPr>
              <w:spacing w:after="0" w:line="276" w:lineRule="auto"/>
              <w:ind w:firstLine="375"/>
              <w:rPr>
                <w:sz w:val="20"/>
                <w:szCs w:val="20"/>
                <w:lang w:val="hy-AM"/>
              </w:rPr>
            </w:pPr>
            <w:r w:rsidRPr="00BC61ED">
              <w:rPr>
                <w:rFonts w:eastAsia="Times New Roman"/>
                <w:sz w:val="20"/>
                <w:szCs w:val="20"/>
                <w:lang w:val="hy-AM"/>
              </w:rPr>
              <w:t xml:space="preserve">  Դեպի Հայաստան  ուղղված  իմիգրացիոն  հոսքերի կառավարմանն  ու  կանոնակարգմանն  ուղղված իմիգրացիոն  քաղաքականության  կիրարկումն ապահովելու  նպատակով   անհրաժեշտ  է  մշակել  համապատասխան միջոցառումների  ծրագիր  և  այն  ներառել Հայաստանի Հանրապետության միգրացիայի քաղաքականության 2017-2021 թվականների ռազմավարության  արդյունավետ իրականացումն  ապահովող միջոցառումների  ծրագրում։</w:t>
            </w:r>
            <w:r w:rsidRPr="00BC61ED">
              <w:rPr>
                <w:sz w:val="20"/>
                <w:szCs w:val="20"/>
                <w:lang w:val="hy-AM"/>
              </w:rPr>
              <w:t xml:space="preserve"> 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6.7-րդ բաժնով նախատեսված հանձնառություններից:</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Միջոցառման իրականացման  նպատակը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  Հայաստան  ուղղված  իմիգրացիոն  հոսքերի կառավարմանն  ու  կանոնակարգմանն  ուղղված իմիգրացիոն  քաղաքականության  կիրարկման ապահովումը։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Միջոցառման իրականացման համար  հիմք  է  «Փախստականների և ապաստանի մասին» ՀՀ օրենքի 34-րդ հոդվածը:</w:t>
            </w:r>
          </w:p>
          <w:p w:rsidR="0068680D" w:rsidRPr="00BC61ED" w:rsidRDefault="0068680D" w:rsidP="00F47DC4">
            <w:pPr>
              <w:spacing w:after="0" w:line="276" w:lineRule="auto"/>
              <w:rPr>
                <w:rFonts w:eastAsia="Times New Roman"/>
                <w:b/>
                <w:sz w:val="20"/>
                <w:szCs w:val="20"/>
                <w:lang w:val="hy-AM"/>
              </w:rPr>
            </w:pPr>
            <w:r w:rsidRPr="00BC61ED">
              <w:rPr>
                <w:rFonts w:eastAsia="Times New Roman"/>
                <w:b/>
                <w:sz w:val="20"/>
                <w:szCs w:val="20"/>
                <w:lang w:val="hy-AM"/>
              </w:rPr>
              <w:t xml:space="preserve"> 1.1 կարգավորման հարաբերությունների ներկա վիճակը և առկա խնդիրները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Հայաստանի Հանրապետության միգրացիայի քաղաքականության 2017-2021 թվականների ռազմավարության  արդյունավետ իրականացումն  ապահովող միջոցառումների  ծրագրում   ներառված  են  են   9 հիմնորոշ  ուղղություներով   իրականացվելիք  միջոցառումներ: Միջոցառումների  ծրագրում  առկա  չեն    իմիգրացիոն  քաղաքականության  կիրարկման  ապահովմանն   ուղղված  միջոցառումներ։</w:t>
            </w:r>
          </w:p>
          <w:p w:rsidR="0068680D" w:rsidRPr="00BC61ED" w:rsidRDefault="0068680D" w:rsidP="00F47DC4">
            <w:pPr>
              <w:spacing w:after="0" w:line="276" w:lineRule="auto"/>
              <w:rPr>
                <w:rFonts w:eastAsia="Times New Roman"/>
                <w:b/>
                <w:sz w:val="20"/>
                <w:szCs w:val="20"/>
                <w:lang w:val="hy-AM"/>
              </w:rPr>
            </w:pPr>
            <w:r w:rsidRPr="00BC61ED">
              <w:rPr>
                <w:rFonts w:eastAsia="Times New Roman"/>
                <w:b/>
                <w:sz w:val="20"/>
                <w:szCs w:val="20"/>
                <w:lang w:val="hy-AM"/>
              </w:rPr>
              <w:t xml:space="preserve">1.2 առկա խնդիրների առաջարկվող լուծումները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Նախատեսվում Հայաստանի Հանրապետության միգրացիայի քաղաքականության 2017-2021 թվականների ռազմավարության  արդյունավետ իրականացումն  ապահովող միջոցառումների  ծրագիրը   լրացնել  նոր  ուղղությամբ,  որը  կվերաբերի    իմիգրացիոն  քաղաքականության  կիրարկմանը։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 Միջոցառման   համակատարողներն  են ՀՀ ոստիկանությունը,  ազգային անվտանգության  ծառայությունը, արտաքին գործերի, կրթության և գիտության, առողջապահության, աշխատանքի և սոցիալական հարցերի նախարարությունները,  որոնք  պետք  է  մասնակցեն նախագծի  մշակմանը՝ յուրաքանչյուրն  իր  մարմնի  գործառույթներին  առնչվող  մասով։</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Միջազգային  կազմակերպությունները  կմասնակցեն  նախագծի մշակմանը  իրենց  մանդատի  շրջանակներում, իսկ   հասարակական կազմակերպությունները ՝    նախագծի հանրային  քննարկման փուլում։</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2. Միջոցառման իրականացումից ակնկալվող արդյունքը</w:t>
            </w:r>
          </w:p>
          <w:p w:rsidR="0068680D" w:rsidRPr="00BC61ED" w:rsidRDefault="0068680D" w:rsidP="00F47DC4">
            <w:pPr>
              <w:spacing w:after="0" w:line="276" w:lineRule="auto"/>
              <w:rPr>
                <w:rFonts w:eastAsia="Times New Roman"/>
                <w:sz w:val="20"/>
                <w:szCs w:val="20"/>
                <w:lang w:val="hy-AM"/>
              </w:rPr>
            </w:pPr>
            <w:r w:rsidRPr="00BC61ED">
              <w:rPr>
                <w:rFonts w:eastAsia="Times New Roman"/>
                <w:sz w:val="20"/>
                <w:szCs w:val="20"/>
                <w:lang w:val="hy-AM"/>
              </w:rPr>
              <w:t>Սահմանված  են  դեպի  Հայաստան  ուղղված իմիգրացիոն հոսքերի կառավարմանն  ու  կանոնակարգմանն  ուղղված   կոնկրետ գործողությունները,  որոնք  ներառված  են  Հայաստանի Հանրապետության միգրացիայի քաղաքականության 2017-2021 թվականների ռազմավարության  արդյունավետ իրականացումն  ապահովող միջոցառումների  ծրագրում։</w:t>
            </w: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Pr>
                <w:b/>
                <w:sz w:val="20"/>
                <w:szCs w:val="20"/>
                <w:lang w:val="hy-AM"/>
              </w:rPr>
              <w:t>18</w:t>
            </w:r>
            <w:r w:rsidRPr="00BC61ED">
              <w:rPr>
                <w:b/>
                <w:sz w:val="20"/>
                <w:szCs w:val="20"/>
                <w:lang w:val="hy-AM"/>
              </w:rPr>
              <w:t>.</w:t>
            </w:r>
          </w:p>
        </w:tc>
        <w:tc>
          <w:tcPr>
            <w:tcW w:w="10915"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Արտագնա աշխատանքի մեկնող Հայաստանի Հանրապետության քաղաքացիների իրավունքների և շահերի պաշտպանության նպատակով, մուտքի երկրների պատկան մարմինների հետ  համագործակցության  հաստատում, ներգրավելովայդ երկրներում գործող սփյուռքի կառույցները</w:t>
            </w:r>
          </w:p>
          <w:p w:rsidR="0068680D" w:rsidRPr="00BC61ED" w:rsidRDefault="0068680D" w:rsidP="00F47DC4">
            <w:pPr>
              <w:spacing w:after="0" w:line="276" w:lineRule="auto"/>
              <w:jc w:val="center"/>
              <w:rPr>
                <w:b/>
                <w:sz w:val="20"/>
                <w:szCs w:val="20"/>
                <w:lang w:val="hy-AM"/>
              </w:rPr>
            </w:pP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1</w:t>
            </w:r>
            <w:r>
              <w:rPr>
                <w:rFonts w:eastAsia="Times New Roman"/>
                <w:b/>
                <w:sz w:val="20"/>
                <w:szCs w:val="20"/>
                <w:lang w:val="hy-AM"/>
              </w:rPr>
              <w:t>8</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1 ՀՀ  քաղաքացի աշխատանքային միգրանտների    իրազեկվածության   մակարդակի բարձրացմանն  ուղղված միջոցառումների    կազմակերպում՝ մուտքի,  այդ թվում  ԵԱՏՄ  անդամ պետությունների  միգրացիոն օրենսդրության  վերաբերյալ</w:t>
            </w:r>
          </w:p>
          <w:p w:rsidR="0068680D" w:rsidRPr="00BC61ED" w:rsidRDefault="0068680D" w:rsidP="00F47DC4">
            <w:pPr>
              <w:pStyle w:val="ListParagraph"/>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 Միջոցառման իրականացման անհրաժեշտությունը և նպատակը </w:t>
            </w:r>
          </w:p>
          <w:p w:rsidR="0068680D" w:rsidRPr="00BC61ED" w:rsidRDefault="0068680D" w:rsidP="00F47DC4">
            <w:pPr>
              <w:pStyle w:val="ListParagraph"/>
              <w:spacing w:after="0" w:line="276" w:lineRule="auto"/>
              <w:ind w:left="375" w:firstLine="345"/>
              <w:rPr>
                <w:rFonts w:eastAsia="Times New Roman"/>
                <w:b/>
                <w:sz w:val="20"/>
                <w:szCs w:val="20"/>
                <w:lang w:val="hy-AM"/>
              </w:rPr>
            </w:pPr>
            <w:r w:rsidRPr="00BC61ED">
              <w:rPr>
                <w:rFonts w:eastAsia="Times New Roman"/>
                <w:b/>
                <w:sz w:val="20"/>
                <w:szCs w:val="20"/>
                <w:lang w:val="hy-AM"/>
              </w:rPr>
              <w:t xml:space="preserve">Միջոցառման իրականացման անհրաժեշտությունը  </w:t>
            </w:r>
          </w:p>
          <w:p w:rsidR="0068680D" w:rsidRPr="00BC61ED" w:rsidRDefault="0068680D" w:rsidP="00F47DC4">
            <w:pPr>
              <w:spacing w:after="0" w:line="276" w:lineRule="auto"/>
              <w:ind w:firstLine="708"/>
              <w:rPr>
                <w:rFonts w:cs="Sylfaen"/>
                <w:sz w:val="20"/>
                <w:szCs w:val="20"/>
                <w:lang w:val="hy-AM"/>
              </w:rPr>
            </w:pPr>
            <w:r w:rsidRPr="00BC61ED">
              <w:rPr>
                <w:rFonts w:cs="Sylfaen"/>
                <w:sz w:val="20"/>
                <w:szCs w:val="20"/>
                <w:lang w:val="hy-AM"/>
              </w:rPr>
              <w:t>Հայաստանից սկիզբ առնող միգրացիոն հոսքերը հիմնականում ունեն աշխատանքային բնույթ։ Ռուսաստանի Դաշնությունը հանդիսանում է Հայաստանի աշխատանքային միգրացիոն հոսքերի հիմնական նպատակակետ երկիրԸ: Միևնույն  ժամանակ, վերջին շրջանում    նկատվում  են   նաև    դեպի  այլ  երկրներ  ուղղված  հոսքեր,  և  այդ  երկրներից   հիմնականը  Չինաստանն  է։</w:t>
            </w:r>
          </w:p>
          <w:p w:rsidR="0068680D" w:rsidRPr="00BC61ED" w:rsidRDefault="0068680D" w:rsidP="00F47DC4">
            <w:pPr>
              <w:spacing w:after="0" w:line="276" w:lineRule="auto"/>
              <w:ind w:firstLine="708"/>
              <w:rPr>
                <w:rFonts w:cs="Sylfaen"/>
                <w:sz w:val="20"/>
                <w:szCs w:val="20"/>
                <w:lang w:val="hy-AM"/>
              </w:rPr>
            </w:pPr>
            <w:r w:rsidRPr="00BC61ED">
              <w:rPr>
                <w:rFonts w:cs="Sylfaen"/>
                <w:sz w:val="20"/>
                <w:szCs w:val="20"/>
                <w:lang w:val="hy-AM"/>
              </w:rPr>
              <w:t>Վերոհիշյալ  երկրներում  ՀՀ  քաղաքացի  աշխատանքային միգրանտների  իրավունքների  պաշտպանության   բաղադրիչներից մեկը   մուտքի  երկրների  միգրացիոն  և աշխատանքային  օրենսդրության  վերաբերյալ   ՀՀ քաղաքացի  աշխատանքային  միգրանտների  շրջանում  տեղեկատվության տարածումն  է։</w:t>
            </w:r>
          </w:p>
          <w:p w:rsidR="0068680D" w:rsidRPr="00BC61ED" w:rsidRDefault="0068680D" w:rsidP="00F47DC4">
            <w:pPr>
              <w:spacing w:after="0" w:line="276" w:lineRule="auto"/>
              <w:ind w:firstLine="375"/>
              <w:rPr>
                <w:sz w:val="20"/>
                <w:szCs w:val="20"/>
                <w:lang w:val="hy-AM"/>
              </w:rPr>
            </w:pPr>
            <w:r w:rsidRPr="00BC61ED">
              <w:rPr>
                <w:sz w:val="20"/>
                <w:szCs w:val="20"/>
                <w:lang w:val="hy-AM"/>
              </w:rPr>
              <w:t xml:space="preserve">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6.7-րդ բաժնով նախատեսված հանձնառություններից:</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Միջոցառման իրականացման  նպատակը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ՀՀ  քաղաքացի աշխատանքային միգրանտների    իրազեկվածության   մակարդակի բարձրացում մուտքի,  այդ թվում՝  ԵԱՏՄ  անդամ պետությունների  միգրացիոն օրենսդրության  վերաբերյալ։</w:t>
            </w:r>
          </w:p>
          <w:p w:rsidR="0068680D" w:rsidRPr="00BC61ED" w:rsidRDefault="0068680D" w:rsidP="00F47DC4">
            <w:pPr>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1 կարգավորման հարաբերությունների ներկա վիճակը և առկա խնդիրները </w:t>
            </w:r>
          </w:p>
          <w:p w:rsidR="0068680D" w:rsidRPr="00BC61ED" w:rsidRDefault="0068680D" w:rsidP="00F47DC4">
            <w:pPr>
              <w:spacing w:after="0" w:line="276" w:lineRule="auto"/>
              <w:rPr>
                <w:rFonts w:cs="Arian AMU"/>
                <w:sz w:val="20"/>
                <w:szCs w:val="20"/>
                <w:lang w:val="hy-AM"/>
              </w:rPr>
            </w:pPr>
            <w:r w:rsidRPr="00BC61ED">
              <w:rPr>
                <w:rFonts w:eastAsia="Times New Roman"/>
                <w:sz w:val="20"/>
                <w:szCs w:val="20"/>
                <w:lang w:val="hy-AM"/>
              </w:rPr>
              <w:t xml:space="preserve">ՀՀ  քաղաքացի աշխատանքային միգրանտների    իրազեկվածության   մակարդակի  բարձրացմանն  ուղղված   միջոցառումներ  իրականացվել  են   նաև </w:t>
            </w:r>
            <w:r w:rsidRPr="00BC61ED">
              <w:rPr>
                <w:rFonts w:cs="Arian AMU"/>
                <w:sz w:val="20"/>
                <w:szCs w:val="20"/>
                <w:lang w:val="hy-AM"/>
              </w:rPr>
              <w:t>միգրացիայի կարգավորման քաղաքականության  նախորդ հայեցակարգերի</w:t>
            </w:r>
            <w:r w:rsidRPr="00BC61ED">
              <w:rPr>
                <w:rFonts w:cs="Arian AMU"/>
                <w:sz w:val="20"/>
                <w:szCs w:val="20"/>
                <w:lang w:val="af-ZA"/>
              </w:rPr>
              <w:t>շրջանակներում</w:t>
            </w:r>
            <w:r w:rsidRPr="00BC61ED">
              <w:rPr>
                <w:rFonts w:cs="Arian AMU"/>
                <w:sz w:val="20"/>
                <w:szCs w:val="20"/>
                <w:lang w:val="hy-AM"/>
              </w:rPr>
              <w:t xml:space="preserve">։ Մասնավորապես </w:t>
            </w:r>
            <w:r w:rsidRPr="00BC61ED">
              <w:rPr>
                <w:rFonts w:cs="Arian AMU"/>
                <w:sz w:val="20"/>
                <w:szCs w:val="20"/>
                <w:lang w:val="af-ZA"/>
              </w:rPr>
              <w:t>2015թ.-ից  հետո</w:t>
            </w:r>
            <w:r w:rsidRPr="00BC61ED">
              <w:rPr>
                <w:rFonts w:cs="Arian AMU"/>
                <w:sz w:val="20"/>
                <w:szCs w:val="20"/>
                <w:lang w:val="hy-AM"/>
              </w:rPr>
              <w:t xml:space="preserve">կազմակերպված </w:t>
            </w:r>
            <w:r w:rsidRPr="00BC61ED">
              <w:rPr>
                <w:rFonts w:cs="Arian AMU"/>
                <w:sz w:val="20"/>
                <w:szCs w:val="20"/>
                <w:lang w:val="af-ZA"/>
              </w:rPr>
              <w:t>տեղեկատվական արշավները հիմնականում  ուղղված  են</w:t>
            </w:r>
            <w:r w:rsidRPr="00BC61ED">
              <w:rPr>
                <w:rFonts w:cs="Arian AMU"/>
                <w:sz w:val="20"/>
                <w:szCs w:val="20"/>
                <w:lang w:val="hy-AM"/>
              </w:rPr>
              <w:t xml:space="preserve">  եղել  «</w:t>
            </w:r>
            <w:r w:rsidRPr="00BC61ED">
              <w:rPr>
                <w:rFonts w:cs="Arian AMU"/>
                <w:sz w:val="20"/>
                <w:szCs w:val="20"/>
                <w:lang w:val="af-ZA"/>
              </w:rPr>
              <w:t>Եվրասիական  տնտեսական միության</w:t>
            </w:r>
            <w:r w:rsidRPr="00BC61ED">
              <w:rPr>
                <w:rFonts w:cs="Arian AMU"/>
                <w:sz w:val="20"/>
                <w:szCs w:val="20"/>
                <w:lang w:val="hy-AM"/>
              </w:rPr>
              <w:t>»</w:t>
            </w:r>
            <w:r w:rsidRPr="00BC61ED">
              <w:rPr>
                <w:rFonts w:cs="Arian AMU"/>
                <w:sz w:val="20"/>
                <w:szCs w:val="20"/>
                <w:lang w:val="af-ZA"/>
              </w:rPr>
              <w:t xml:space="preserve">  մասին  պայմանագրի  </w:t>
            </w:r>
            <w:r w:rsidRPr="00BC61ED">
              <w:rPr>
                <w:rFonts w:cs="Arian AMU"/>
                <w:sz w:val="20"/>
                <w:szCs w:val="20"/>
                <w:lang w:val="hy-AM"/>
              </w:rPr>
              <w:t xml:space="preserve">աշխատանքային միգրացիայի վերաբերյալ </w:t>
            </w:r>
            <w:r w:rsidRPr="00BC61ED">
              <w:rPr>
                <w:rFonts w:cs="Arian AMU"/>
                <w:sz w:val="20"/>
                <w:szCs w:val="20"/>
                <w:lang w:val="af-ZA"/>
              </w:rPr>
              <w:t xml:space="preserve">դրույթների  պարզաբանմանը:  </w:t>
            </w:r>
          </w:p>
          <w:p w:rsidR="0068680D" w:rsidRPr="00BC61ED" w:rsidRDefault="0068680D" w:rsidP="00F47DC4">
            <w:pPr>
              <w:spacing w:after="0" w:line="276" w:lineRule="auto"/>
              <w:rPr>
                <w:rFonts w:cs="Arian AMU"/>
                <w:sz w:val="20"/>
                <w:szCs w:val="20"/>
                <w:lang w:val="hy-AM"/>
              </w:rPr>
            </w:pPr>
            <w:r w:rsidRPr="00BC61ED">
              <w:rPr>
                <w:rFonts w:cs="Arian AMU"/>
                <w:sz w:val="20"/>
                <w:szCs w:val="20"/>
                <w:lang w:val="hy-AM"/>
              </w:rPr>
              <w:t xml:space="preserve">Այդ  </w:t>
            </w:r>
            <w:r w:rsidRPr="00BC61ED">
              <w:rPr>
                <w:rFonts w:cs="Arian AMU"/>
                <w:sz w:val="20"/>
                <w:szCs w:val="20"/>
                <w:lang w:val="af-ZA"/>
              </w:rPr>
              <w:t xml:space="preserve"> թեմաներով պատրաստվել են տասնյակ հեռուստա</w:t>
            </w:r>
            <w:r w:rsidRPr="00BC61ED">
              <w:rPr>
                <w:rFonts w:cs="Arian AMU"/>
                <w:sz w:val="20"/>
                <w:szCs w:val="20"/>
                <w:lang w:val="hy-AM"/>
              </w:rPr>
              <w:t>տեսային</w:t>
            </w:r>
            <w:r w:rsidRPr="00BC61ED">
              <w:rPr>
                <w:rFonts w:cs="Arian AMU"/>
                <w:sz w:val="20"/>
                <w:szCs w:val="20"/>
                <w:lang w:val="af-ZA"/>
              </w:rPr>
              <w:t>, ռադիո և մուլտիմեդիա լրագրողական նյութեր, ԶԼՄ-ների համար կազմակերպվել  մրցույթներ:</w:t>
            </w:r>
          </w:p>
          <w:p w:rsidR="0068680D" w:rsidRPr="00BC61ED" w:rsidRDefault="0068680D" w:rsidP="00F47DC4">
            <w:pPr>
              <w:spacing w:after="0" w:line="276" w:lineRule="auto"/>
              <w:ind w:firstLine="708"/>
              <w:rPr>
                <w:bCs/>
                <w:sz w:val="20"/>
                <w:szCs w:val="20"/>
                <w:lang w:val="hy-AM"/>
              </w:rPr>
            </w:pPr>
            <w:r w:rsidRPr="00BC61ED">
              <w:rPr>
                <w:rFonts w:eastAsia="Times New Roman"/>
                <w:sz w:val="20"/>
                <w:szCs w:val="20"/>
                <w:lang w:val="hy-AM"/>
              </w:rPr>
              <w:t xml:space="preserve">ՀՀ  քաղաքացի աշխատանքային միգրանտների    իրազեկվածության   մակարդակի  բարձրացման  խնդիրը   </w:t>
            </w:r>
            <w:r w:rsidRPr="00BC61ED">
              <w:rPr>
                <w:rFonts w:cs="Arian AMU"/>
                <w:sz w:val="20"/>
                <w:szCs w:val="20"/>
                <w:lang w:val="hy-AM"/>
              </w:rPr>
              <w:t xml:space="preserve"> այսօր  էլ  </w:t>
            </w:r>
            <w:r w:rsidRPr="00BC61ED">
              <w:rPr>
                <w:rFonts w:cs="Sylfaen"/>
                <w:sz w:val="20"/>
                <w:szCs w:val="20"/>
                <w:lang w:val="hy-AM"/>
              </w:rPr>
              <w:t>շարունակում է մնալօրակարգային,  քանի  որ   մուտքի  երկրների  և  հատկապես   Ռուսաստանի Դաշնության  միգրացիոն օրենսդրությունը  պարբերաբար  փոփոխությունների  է  ենթարկվում  և  ՀՀ  քաղաքացիների կողմից    դրանց  չիմացությունը    հանգեցնում  է  անցանկալի հետևանքների՝  ընդհուպ  մինչև  ՌԴ-ից  արտաքսում  և  մուտքի  արգելում</w:t>
            </w:r>
            <w:r w:rsidRPr="00BC61ED">
              <w:rPr>
                <w:bCs/>
                <w:sz w:val="20"/>
                <w:szCs w:val="20"/>
                <w:lang w:val="af-ZA"/>
              </w:rPr>
              <w:t>:</w:t>
            </w:r>
            <w:r w:rsidRPr="00BC61ED">
              <w:rPr>
                <w:bCs/>
                <w:sz w:val="20"/>
                <w:szCs w:val="20"/>
                <w:lang w:val="hy-AM"/>
              </w:rPr>
              <w:t xml:space="preserve"> Մյուս  կողմից,    մեր  քաղաքացի  աշխատանքային  միգրանտների  կողմից   վերջին  շրջանում որպես աշխատանքային միգրացիայի ուղղություն  ընտրվող  Չինաստանի պարագայում  առկա  է   այդ երկրի  միգրացիոն  և  աշխատանքային  օրենսդրությունը    ուսումնասիրելու  և  դրա  վերաբերյալ  տեղեկություններ  տրամադրելու  անհրաժեշտություն։   </w:t>
            </w:r>
          </w:p>
          <w:p w:rsidR="0068680D" w:rsidRPr="00BC61ED" w:rsidRDefault="0068680D" w:rsidP="00F47DC4">
            <w:pPr>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2 առկա խնդիրների առաջարկվող լուծումները </w:t>
            </w:r>
          </w:p>
          <w:p w:rsidR="0068680D" w:rsidRPr="00BC61ED" w:rsidRDefault="0068680D" w:rsidP="00F47DC4">
            <w:pPr>
              <w:spacing w:after="0" w:line="276" w:lineRule="auto"/>
              <w:ind w:firstLine="360"/>
              <w:rPr>
                <w:rFonts w:cs="Sylfaen"/>
                <w:sz w:val="20"/>
                <w:szCs w:val="20"/>
                <w:lang w:val="hy-AM" w:eastAsia="ru-RU"/>
              </w:rPr>
            </w:pPr>
            <w:r w:rsidRPr="00BC61ED">
              <w:rPr>
                <w:rFonts w:cs="Sylfaen"/>
                <w:sz w:val="20"/>
                <w:szCs w:val="20"/>
                <w:lang w:val="hy-AM"/>
              </w:rPr>
              <w:t xml:space="preserve">Արտագնա աշխատանքի մեկնող քաղաքացիների իրավունքների և շահերի պաշտպանության նպատակով  նախատեսվում  է </w:t>
            </w:r>
            <w:r w:rsidRPr="00BC61ED">
              <w:rPr>
                <w:rFonts w:cs="Sylfaen"/>
                <w:sz w:val="20"/>
                <w:szCs w:val="20"/>
                <w:lang w:val="hy-AM" w:eastAsia="ru-RU"/>
              </w:rPr>
              <w:t xml:space="preserve">միգրացիոն գործընթացում գործնականում  հանդիպող իրավական, սոցիալական, մշակութային և հոգեբանական բնույթի  մարտահրավերներին  նրանց նախապատրաստումը, կոնկրետ երկրների երկրների առնչությամբ կողմնորոշման  միջոցառումների կազմակերպումը: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Միջոցառման   համակատարողն  է  ՀՀ աշխատանքի և սոցիալական հարցերի նախարարությունը,   քանի  որ   նախարարության զբաղվածության  գործակալության  տարածքային  կենտրոններում  գործող  միգրացիոն ռեսուրս կենտրոնները  պետք  է    ակտիվ  մասնակցություն  ունենան  իրականացվելիք միջոցառումների  կազմակերպմանը։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Միգրացիայի  միջազգային  կազմակերպությունը  հանձն  է առել   ծրագրի  ֆինանսավորումը։</w:t>
            </w:r>
          </w:p>
          <w:p w:rsidR="0068680D" w:rsidRPr="00BC61ED" w:rsidRDefault="0068680D" w:rsidP="00F47DC4">
            <w:pPr>
              <w:spacing w:after="0" w:line="276" w:lineRule="auto"/>
              <w:ind w:firstLine="375"/>
              <w:rPr>
                <w:rFonts w:eastAsia="Times New Roman"/>
                <w:sz w:val="20"/>
                <w:szCs w:val="20"/>
                <w:lang w:val="hy-AM"/>
              </w:rPr>
            </w:pPr>
          </w:p>
          <w:p w:rsidR="0068680D" w:rsidRPr="00BC61ED" w:rsidRDefault="0068680D" w:rsidP="00F47DC4">
            <w:pPr>
              <w:spacing w:after="0" w:line="276" w:lineRule="auto"/>
              <w:ind w:firstLine="375"/>
              <w:rPr>
                <w:rFonts w:eastAsia="Times New Roman"/>
                <w:b/>
                <w:sz w:val="20"/>
                <w:szCs w:val="20"/>
                <w:lang w:val="hy-AM"/>
              </w:rPr>
            </w:pPr>
            <w:r>
              <w:rPr>
                <w:rFonts w:eastAsia="Times New Roman"/>
                <w:sz w:val="20"/>
                <w:szCs w:val="20"/>
                <w:lang w:val="hy-AM"/>
              </w:rPr>
              <w:t>18.2</w:t>
            </w:r>
            <w:r w:rsidRPr="00BC61ED">
              <w:rPr>
                <w:rFonts w:eastAsia="Times New Roman"/>
                <w:sz w:val="20"/>
                <w:szCs w:val="20"/>
                <w:lang w:val="hy-AM"/>
              </w:rPr>
              <w:t xml:space="preserve">. </w:t>
            </w:r>
            <w:r w:rsidRPr="00BC61ED">
              <w:rPr>
                <w:rFonts w:eastAsia="Times New Roman"/>
                <w:b/>
                <w:sz w:val="20"/>
                <w:szCs w:val="20"/>
                <w:lang w:val="hy-AM"/>
              </w:rPr>
              <w:t>ՀՀ-ի համար աշխատանքային միգրացիայի տեսանկյունից առավել հետաքրքրություն ներկայացնող պետություններին առաջարկությունների ներկայացում աշխատանքային միգրանտների և նրանց ընտանիքի անդամների իրավունքների պաշտպանության հարցերով միջպետական համաձայնագրերի կնքման նպատակով</w:t>
            </w:r>
          </w:p>
          <w:p w:rsidR="0068680D" w:rsidRPr="00BC61ED" w:rsidRDefault="0068680D" w:rsidP="00F47DC4">
            <w:pPr>
              <w:pStyle w:val="ListParagraph"/>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 Միջոցառման իրականացման անհրաժեշտությունը և նպատակը </w:t>
            </w:r>
          </w:p>
          <w:p w:rsidR="0068680D" w:rsidRPr="00BC61ED" w:rsidRDefault="0068680D" w:rsidP="00F47DC4">
            <w:pPr>
              <w:pStyle w:val="ListParagraph"/>
              <w:spacing w:after="0" w:line="276" w:lineRule="auto"/>
              <w:ind w:left="375" w:firstLine="345"/>
              <w:rPr>
                <w:rFonts w:eastAsia="Times New Roman"/>
                <w:b/>
                <w:sz w:val="20"/>
                <w:szCs w:val="20"/>
                <w:lang w:val="hy-AM"/>
              </w:rPr>
            </w:pPr>
            <w:r w:rsidRPr="00BC61ED">
              <w:rPr>
                <w:rFonts w:eastAsia="Times New Roman"/>
                <w:b/>
                <w:sz w:val="20"/>
                <w:szCs w:val="20"/>
                <w:lang w:val="hy-AM"/>
              </w:rPr>
              <w:t xml:space="preserve">Միջոցառման իրականացման անհրաժեշտությունը  </w:t>
            </w:r>
          </w:p>
          <w:p w:rsidR="0068680D" w:rsidRPr="00BC61ED" w:rsidRDefault="0068680D" w:rsidP="00F47DC4">
            <w:pPr>
              <w:spacing w:after="0" w:line="276" w:lineRule="auto"/>
              <w:ind w:firstLine="708"/>
              <w:rPr>
                <w:rFonts w:cs="Sylfaen"/>
                <w:sz w:val="20"/>
                <w:szCs w:val="20"/>
                <w:lang w:val="hy-AM"/>
              </w:rPr>
            </w:pPr>
            <w:r w:rsidRPr="00BC61ED">
              <w:rPr>
                <w:rFonts w:cs="Sylfaen"/>
                <w:sz w:val="20"/>
                <w:szCs w:val="20"/>
                <w:lang w:val="hy-AM"/>
              </w:rPr>
              <w:t xml:space="preserve">Հայաստանից սկիզբ առնող միգրացիոն հոսքերը հիմնականում ունեն աշխատանքային/սեզոնային բնույթ և ուղղված են հիմնականում  դեպի Ռուսաստանի Դաշնություն,   և  ոչ  մեծ  ծավալով  նաև   դեպի  ԵՄ  երկրներ: </w:t>
            </w:r>
          </w:p>
          <w:p w:rsidR="0068680D" w:rsidRPr="00BC61ED" w:rsidRDefault="0068680D" w:rsidP="00F47DC4">
            <w:pPr>
              <w:spacing w:after="0" w:line="276" w:lineRule="auto"/>
              <w:ind w:firstLine="708"/>
              <w:rPr>
                <w:rFonts w:cs="Sylfaen"/>
                <w:sz w:val="20"/>
                <w:szCs w:val="20"/>
                <w:lang w:val="hy-AM"/>
              </w:rPr>
            </w:pPr>
            <w:r w:rsidRPr="00BC61ED">
              <w:rPr>
                <w:rFonts w:cs="Sylfaen"/>
                <w:sz w:val="20"/>
                <w:szCs w:val="20"/>
                <w:lang w:val="hy-AM"/>
              </w:rPr>
              <w:t>Աշխատանքային միգրանտների և նրանց ընտանիքի անդամների իրավունքների պաշտպանության հարցերով միջպետական համաձայնագրերի կնքումը կապահովի միջպետական համաձայնագրերի շրջանակում ՀՀ-ից մեկնող ՀՀ աշխատանքային միգրանտների և նրանց ընտանիքի անդամների իրավունքների և շահերի պաշտպանությունը։</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Միջոցառման իրականացման  նպատակը</w:t>
            </w:r>
          </w:p>
          <w:p w:rsidR="0068680D" w:rsidRPr="00BC61ED" w:rsidRDefault="0068680D" w:rsidP="00F47DC4">
            <w:pPr>
              <w:spacing w:after="0" w:line="276" w:lineRule="auto"/>
              <w:ind w:firstLine="708"/>
              <w:rPr>
                <w:rFonts w:cs="Sylfaen"/>
                <w:sz w:val="20"/>
                <w:szCs w:val="20"/>
                <w:lang w:val="hy-AM"/>
              </w:rPr>
            </w:pPr>
            <w:r w:rsidRPr="00BC61ED">
              <w:rPr>
                <w:rFonts w:cs="Sylfaen"/>
                <w:sz w:val="20"/>
                <w:szCs w:val="20"/>
                <w:lang w:val="hy-AM"/>
              </w:rPr>
              <w:t xml:space="preserve">Օրինական  աշխատանքային  էմիգրացիայի ուղիների ստեղծման  ճանապարհով   կանխարգելել  ՀՀ-ից սկիզբ առնող  անօրինական   աշխատանքային  միգրացիան։ </w:t>
            </w:r>
          </w:p>
          <w:p w:rsidR="0068680D" w:rsidRPr="00BC61ED" w:rsidRDefault="0068680D" w:rsidP="00F47DC4">
            <w:pPr>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1 կարգավորման հարաբերությունների ներկա վիճակը և առկա խնդիրները </w:t>
            </w:r>
          </w:p>
          <w:p w:rsidR="0068680D" w:rsidRPr="00BC61ED" w:rsidRDefault="0068680D" w:rsidP="00F47DC4">
            <w:pPr>
              <w:spacing w:after="0" w:line="276" w:lineRule="auto"/>
              <w:ind w:firstLine="708"/>
              <w:rPr>
                <w:rFonts w:eastAsia="Times New Roman"/>
                <w:sz w:val="20"/>
                <w:szCs w:val="20"/>
                <w:lang w:val="hy-AM"/>
              </w:rPr>
            </w:pPr>
            <w:r w:rsidRPr="00BC61ED">
              <w:rPr>
                <w:rFonts w:eastAsia="Times New Roman"/>
                <w:sz w:val="20"/>
                <w:szCs w:val="20"/>
                <w:lang w:val="hy-AM"/>
              </w:rPr>
              <w:t xml:space="preserve">ՌԴ-ում  գտնվող  ՀՀ  քաղաքացի  աշխատանքային  միգրանտների  և նրանց ընտանիքի  անդամների   իրավունքների պաշտպանության  հետ  կապված հարցերը կարգավորվում  են   «ԵԱՏՄ  մասին»  պայմանագրի  շրջանակներում։ </w:t>
            </w:r>
          </w:p>
          <w:p w:rsidR="0068680D" w:rsidRPr="00BC61ED" w:rsidRDefault="0068680D" w:rsidP="00F47DC4">
            <w:pPr>
              <w:spacing w:after="0" w:line="276" w:lineRule="auto"/>
              <w:ind w:firstLine="708"/>
              <w:rPr>
                <w:rFonts w:eastAsia="Times New Roman"/>
                <w:sz w:val="20"/>
                <w:szCs w:val="20"/>
                <w:lang w:val="hy-AM"/>
              </w:rPr>
            </w:pPr>
            <w:r w:rsidRPr="00BC61ED">
              <w:rPr>
                <w:rFonts w:eastAsia="Times New Roman"/>
                <w:sz w:val="20"/>
                <w:szCs w:val="20"/>
                <w:lang w:val="hy-AM"/>
              </w:rPr>
              <w:t>ԵՄ երկրները   զգուշավոր  քաղաքականություն  են  վարում  երրորդ  երկրների  աշխատանքային  միգրանտների նկատմամբ  և  նրանց մուտքը  այդ  երկրների  աշխատաշուկա  բավականաչափ  դժվարացված  է։ Այնուհանդերձ  այսօր,  ՀՀ-ԵՄ  վիզաների ազատականացման շուրջ  սկսված  երկխոսության  ֆոնին  իրատեսական  է  քննարկումներ ծավալել  Կողմերի   քաղաքացիների  որոշակի խմբերի  շարժունակության  ակտիվացման   և  համապատասխան  փաստաթղթեր  ստորագրելու  շուրջ՝  «Հայաստանի Հանրապետության Կառավարության և Ֆրանսիայի Հանրապետության Կառավարության միջև միգրացիոն գործընկերության վերաբերյալ» 2016թ. հոկտեմբերի 27-ի համաձայնագրի     օրինակով։</w:t>
            </w:r>
          </w:p>
          <w:p w:rsidR="0068680D" w:rsidRPr="00BC61ED" w:rsidRDefault="0068680D" w:rsidP="00F47DC4">
            <w:pPr>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2 առկա խնդիրների առաջարկվող լուծումները </w:t>
            </w:r>
          </w:p>
          <w:p w:rsidR="0068680D" w:rsidRPr="00BC61ED" w:rsidRDefault="0068680D" w:rsidP="00F47DC4">
            <w:pPr>
              <w:spacing w:after="0" w:line="276" w:lineRule="auto"/>
              <w:ind w:firstLine="360"/>
              <w:rPr>
                <w:rFonts w:eastAsia="Times New Roman"/>
                <w:sz w:val="20"/>
                <w:szCs w:val="20"/>
                <w:lang w:val="hy-AM"/>
              </w:rPr>
            </w:pPr>
            <w:r w:rsidRPr="00BC61ED">
              <w:rPr>
                <w:rFonts w:eastAsia="Times New Roman"/>
                <w:sz w:val="20"/>
                <w:szCs w:val="20"/>
                <w:lang w:val="hy-AM"/>
              </w:rPr>
              <w:t xml:space="preserve">  Կնքվելիք համաձայնագրերի  առանցքը  զարգացման  նպատակ հետապնդող բնակչության տեղաշարժերին  օժանդակելն  է`   կանոնակարգելով   ուսանողների,  մասնագիտական փորձ ձեռք բերելու  նպատակով երիտասարդ մասնագետների փոխանակումների, և որակյալ  մասնագետների  տեղաշարժերի հետ կապված  խնդիրները:</w:t>
            </w:r>
          </w:p>
          <w:p w:rsidR="0068680D" w:rsidRPr="00BC61ED" w:rsidRDefault="0068680D" w:rsidP="00F47DC4">
            <w:pPr>
              <w:tabs>
                <w:tab w:val="left" w:pos="936"/>
              </w:tabs>
              <w:spacing w:after="0" w:line="276" w:lineRule="auto"/>
              <w:rPr>
                <w:rFonts w:eastAsia="Times New Roman"/>
                <w:sz w:val="20"/>
                <w:szCs w:val="20"/>
                <w:lang w:val="hy-AM"/>
              </w:rPr>
            </w:pPr>
            <w:r w:rsidRPr="00BC61ED">
              <w:rPr>
                <w:rFonts w:eastAsia="Times New Roman"/>
                <w:sz w:val="20"/>
                <w:szCs w:val="20"/>
                <w:lang w:val="hy-AM"/>
              </w:rPr>
              <w:t xml:space="preserve">      Համաձայնագրերը   Կողմերի համար  որպես   պարտավորություն  են   սահմանում    Կողմերի  տարածք մուտք  գործելու, այնտեղ  բնակվելու  և աշխատելու  համար  անհրաժեշտ փաստաթղթերի  տրամադրումը` հնարավոր կարճ ժամկետներում:</w:t>
            </w:r>
          </w:p>
          <w:p w:rsidR="0068680D" w:rsidRPr="00BC61ED" w:rsidRDefault="0068680D" w:rsidP="00F47DC4">
            <w:pPr>
              <w:tabs>
                <w:tab w:val="left" w:pos="936"/>
              </w:tabs>
              <w:spacing w:after="0" w:line="276" w:lineRule="auto"/>
              <w:rPr>
                <w:rFonts w:eastAsia="Times New Roman"/>
                <w:sz w:val="20"/>
                <w:szCs w:val="20"/>
                <w:lang w:val="hy-AM"/>
              </w:rPr>
            </w:pPr>
            <w:r w:rsidRPr="00BC61ED">
              <w:rPr>
                <w:rFonts w:eastAsia="Times New Roman"/>
                <w:sz w:val="20"/>
                <w:szCs w:val="20"/>
                <w:lang w:val="hy-AM"/>
              </w:rPr>
              <w:t xml:space="preserve">       Առանձին  անդրադարձ  է  կատարվում  Հայաստանում  վերաինտեգրման խնդիրներին,  ընդ  որում  խոսքը վերաբերում է    ոչ  միայն  այն հայ ուսանողներին և մասնագետներին,  ովքեր Հայաստան  են վերադառնում ԵՄ  երկրներում իրենց  փորձառությունը ավարտելուց   հետո, այլև  այդ երկրներում անօրինական գտնվող Հայաստանի այն քաղաքացիներին, ովքեր Հայաստան  կամավոր  վերադարձի մտադրություն  ունեն:</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2. Միջոցառման իրականացումից ակնկալվող արդյունքը</w:t>
            </w:r>
          </w:p>
          <w:p w:rsidR="0068680D" w:rsidRPr="00BC61ED" w:rsidRDefault="0068680D" w:rsidP="00F47DC4">
            <w:pPr>
              <w:pStyle w:val="ListParagraph"/>
              <w:spacing w:after="0" w:line="276" w:lineRule="auto"/>
              <w:ind w:left="0" w:firstLine="360"/>
              <w:rPr>
                <w:rFonts w:eastAsia="Times New Roman"/>
                <w:sz w:val="20"/>
                <w:szCs w:val="20"/>
                <w:lang w:val="hy-AM"/>
              </w:rPr>
            </w:pPr>
            <w:r w:rsidRPr="00BC61ED">
              <w:rPr>
                <w:rFonts w:eastAsia="Times New Roman"/>
                <w:sz w:val="20"/>
                <w:szCs w:val="20"/>
                <w:lang w:val="hy-AM"/>
              </w:rPr>
              <w:t xml:space="preserve">Օժանդակություն  է  ցուցաբերվում զարգացման  նպատակ հետապնդող բնակչության տեղաշարժերին, ինչը  նպաստում  է    Հայաստանից  սկիզբ   առնող  անկանոն  միգրացիոն  հոսքի  կանխարգելմանը  և  դրա  վերափոխմանը   օրինական շրջանառու  միգրացիոն  հոսքի: </w:t>
            </w:r>
          </w:p>
          <w:p w:rsidR="0068680D" w:rsidRPr="00BC61ED" w:rsidRDefault="0068680D" w:rsidP="00F47DC4">
            <w:pPr>
              <w:spacing w:after="0" w:line="276" w:lineRule="auto"/>
              <w:ind w:firstLine="454"/>
              <w:rPr>
                <w:rFonts w:eastAsia="Times New Roman"/>
                <w:b/>
                <w:sz w:val="20"/>
                <w:szCs w:val="20"/>
                <w:lang w:val="hy-AM"/>
              </w:rPr>
            </w:pPr>
            <w:r w:rsidRPr="00BC61ED">
              <w:rPr>
                <w:rFonts w:eastAsia="Times New Roman"/>
                <w:sz w:val="20"/>
                <w:szCs w:val="20"/>
                <w:lang w:val="hy-AM"/>
              </w:rPr>
              <w:t>Աշխատանքային միգրանտների իրազեկվածությունը բարձրացված  է,  նրանց  օրինական աշխատելու հնարավորությունները մեծացված  են:</w:t>
            </w: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Pr>
                <w:b/>
                <w:sz w:val="20"/>
                <w:szCs w:val="20"/>
                <w:lang w:val="hy-AM"/>
              </w:rPr>
              <w:t>19</w:t>
            </w:r>
            <w:r w:rsidRPr="00BC61ED">
              <w:rPr>
                <w:b/>
                <w:sz w:val="20"/>
                <w:szCs w:val="20"/>
                <w:lang w:val="hy-AM"/>
              </w:rPr>
              <w:t>.</w:t>
            </w:r>
          </w:p>
        </w:tc>
        <w:tc>
          <w:tcPr>
            <w:tcW w:w="10915"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Հետվերադարձի (ռեադմիսիայի) գործընթացների արդյունավետ կազմակերպման շարունակում՝ այդ բնագավառում ստանձնած միջազգային պարտավորություններին  համապատասխան</w:t>
            </w:r>
          </w:p>
          <w:p w:rsidR="0068680D" w:rsidRPr="00BC61ED" w:rsidRDefault="0068680D" w:rsidP="00F47DC4">
            <w:pPr>
              <w:spacing w:after="0" w:line="276" w:lineRule="auto"/>
              <w:jc w:val="center"/>
              <w:rPr>
                <w:b/>
                <w:sz w:val="20"/>
                <w:szCs w:val="20"/>
                <w:lang w:val="hy-AM"/>
              </w:rPr>
            </w:pPr>
          </w:p>
          <w:p w:rsidR="0068680D" w:rsidRPr="00BC61ED" w:rsidRDefault="0068680D" w:rsidP="00F47DC4">
            <w:pPr>
              <w:spacing w:after="0" w:line="276" w:lineRule="auto"/>
              <w:ind w:firstLine="375"/>
              <w:rPr>
                <w:rFonts w:eastAsia="Times New Roman"/>
                <w:b/>
                <w:sz w:val="20"/>
                <w:szCs w:val="20"/>
                <w:lang w:val="hy-AM"/>
              </w:rPr>
            </w:pPr>
            <w:r>
              <w:rPr>
                <w:rFonts w:eastAsia="Times New Roman"/>
                <w:b/>
                <w:sz w:val="20"/>
                <w:szCs w:val="20"/>
                <w:lang w:val="hy-AM"/>
              </w:rPr>
              <w:t>19</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1 ՀՀ-ԵՄ ռեադմիսիոն  համաձայնագրի կիրարկման  արձանագրությունների  ստորագրման հարցի  շուրջ բանակցությունների վարում  ԵՄ անդամ պետությունների  հետ    </w:t>
            </w:r>
          </w:p>
          <w:p w:rsidR="0068680D" w:rsidRPr="00BC61ED" w:rsidRDefault="0068680D" w:rsidP="00F47DC4">
            <w:pPr>
              <w:pStyle w:val="ListParagraph"/>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 Միջոցառման իրականացման անհրաժեշտությունը և նպատակը </w:t>
            </w:r>
          </w:p>
          <w:p w:rsidR="0068680D" w:rsidRPr="00BC61ED" w:rsidRDefault="0068680D" w:rsidP="00F47DC4">
            <w:pPr>
              <w:pStyle w:val="ListParagraph"/>
              <w:spacing w:after="0" w:line="276" w:lineRule="auto"/>
              <w:ind w:left="375" w:firstLine="345"/>
              <w:rPr>
                <w:rFonts w:eastAsia="Times New Roman"/>
                <w:b/>
                <w:sz w:val="20"/>
                <w:szCs w:val="20"/>
                <w:lang w:val="hy-AM"/>
              </w:rPr>
            </w:pPr>
            <w:r w:rsidRPr="00BC61ED">
              <w:rPr>
                <w:rFonts w:eastAsia="Times New Roman"/>
                <w:b/>
                <w:sz w:val="20"/>
                <w:szCs w:val="20"/>
                <w:lang w:val="hy-AM"/>
              </w:rPr>
              <w:t xml:space="preserve">Միջոցառման իրականացման անհրաժեշտությունը  </w:t>
            </w:r>
          </w:p>
          <w:p w:rsidR="0068680D" w:rsidRPr="00BC61ED" w:rsidRDefault="0068680D" w:rsidP="00F47DC4">
            <w:pPr>
              <w:spacing w:after="0" w:line="276" w:lineRule="auto"/>
              <w:ind w:firstLine="375"/>
              <w:rPr>
                <w:rFonts w:eastAsia="Times New Roman"/>
                <w:sz w:val="20"/>
                <w:szCs w:val="20"/>
                <w:lang w:val="hy-AM"/>
              </w:rPr>
            </w:pPr>
            <w:r w:rsidRPr="00BC61ED">
              <w:rPr>
                <w:rFonts w:cs="Sylfaen"/>
                <w:sz w:val="20"/>
                <w:szCs w:val="20"/>
                <w:lang w:val="hy-AM"/>
              </w:rPr>
              <w:t>«</w:t>
            </w:r>
            <w:r w:rsidRPr="00BC61ED">
              <w:rPr>
                <w:rFonts w:eastAsia="Times New Roman"/>
                <w:sz w:val="20"/>
                <w:szCs w:val="20"/>
                <w:lang w:val="hy-AM"/>
              </w:rPr>
              <w:t>Հայաստանի  Հանրապետության և Եվրոպական միության միջև առանց թույլտվության բնակվող անձանց հետընդունման (ռեադմիսիայի) մասին» համաձայնագիրը  ստորագրվել է 2013 թվականի ապրիլի 19-ին և  ուժի  մեջ  է  մտել 2014թ. հունվարի  1-ից:</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  Համաձայնագրի նպատակն  է  փոխադարձության հիման վրա  ստեղծել  արագ և արդյունավետ  ընթացակարգեր այն անձանց հայտնաբերման և անվտանգ ու կանոնակարգված վերադարձի  համար, որոնք  չեն բավարարում, կամ այլևս  չեն բավարարում  Հայաստանի կամ Եվրոպական միության  անդամ պետություններից մեկի տարածք  մուտք  գործելու, այնտեղ գտնվելու, կամ բնակվելու համար պահանջներին, և  դյուրացնելու այդպիսի  անձանց տարանցումը: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Համաձայնագրով  սահմանված  են հետընդունման  մասով Հայաստանի  և Եվրոպական  միության պարտավորությունները, հետընդունման ընթացակարգը, տարանցման գործողությունները, ծախսերը, տվյալների պաշտպանությունը և մի  շարք  այլ  հարցեր:</w:t>
            </w:r>
          </w:p>
          <w:p w:rsidR="0068680D" w:rsidRPr="00BC61ED" w:rsidRDefault="0068680D" w:rsidP="00F47DC4">
            <w:pPr>
              <w:spacing w:after="0" w:line="276" w:lineRule="auto"/>
              <w:ind w:firstLine="375"/>
              <w:rPr>
                <w:sz w:val="20"/>
                <w:szCs w:val="20"/>
                <w:lang w:val="hy-AM"/>
              </w:rPr>
            </w:pPr>
            <w:r w:rsidRPr="00BC61ED">
              <w:rPr>
                <w:rFonts w:eastAsia="Times New Roman"/>
                <w:sz w:val="20"/>
                <w:szCs w:val="20"/>
                <w:lang w:val="hy-AM"/>
              </w:rPr>
              <w:t>Միաժամանակ  Համաձայնագրի  20-րդ  հոդվածը  սահմանում  է   որ Կողմերը կարող  են կազմել  Կիրարկող  Արձանագրություն  որում  ի  թիվս  այլի  կորոշակիացվի  նաև   տեղեկատվությունը  իրավասու  մարմինների  և  կոնտակտային  անձանց, սահմանային անցակետերի, ուղեկցությամբ վերադարձի պայմանների, քաղաքացիության  ապացուցման միջոցների, արագացված ընթացակարգի  ներքո հետընդունման  ձևերի,հարցազրույցների  ընթացակարգի  և  այլնի  մասին։</w:t>
            </w:r>
            <w:r w:rsidRPr="00BC61ED">
              <w:rPr>
                <w:sz w:val="20"/>
                <w:szCs w:val="20"/>
                <w:lang w:val="hy-AM"/>
              </w:rPr>
              <w:t xml:space="preserve"> 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6.7-րդ բաժնով նախատեսված հանձնառություններից:</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Միջոցառման իրականացման  նպատակը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Հայաստանի Հանրապետության և Եվրոպական Միության միջև առանց թույտվության բնակվող անձանց հետընդունման (ռեադմիսիայի) մասին» Համաձայնագրի  շրջանակներում   ԵՄ   պետությունների  կողմից   ներկայացրած   հետընդունման    հայցերին  պատշաճ  կարգով  և  սահմանված ժամկետներում  պատասխանելու  հնարավորության ապահովումը:</w:t>
            </w:r>
          </w:p>
          <w:p w:rsidR="0068680D" w:rsidRPr="00BC61ED" w:rsidRDefault="0068680D" w:rsidP="00F47DC4">
            <w:pPr>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1 կարգավորման հարաբերությունների ներկա վիճակը և առկա խնդիրները </w:t>
            </w:r>
          </w:p>
          <w:p w:rsidR="0068680D" w:rsidRPr="00BC61ED" w:rsidRDefault="0068680D" w:rsidP="00F47DC4">
            <w:pPr>
              <w:spacing w:after="0" w:line="276" w:lineRule="auto"/>
              <w:ind w:firstLine="360"/>
              <w:contextualSpacing/>
              <w:rPr>
                <w:sz w:val="20"/>
                <w:szCs w:val="20"/>
                <w:lang w:val="hy-AM"/>
              </w:rPr>
            </w:pPr>
            <w:r w:rsidRPr="00BC61ED">
              <w:rPr>
                <w:sz w:val="20"/>
                <w:szCs w:val="20"/>
                <w:lang w:val="hy-AM"/>
              </w:rPr>
              <w:t xml:space="preserve"> «Հայաստանի Հանրապետության և Եվրոպական միության միջև՝ առանց թույլտվության բնակվող անձանց հետընդունման (ռեադմիսիայի) մասին համաձայնագրի» կիրարկման մասին արձանագրությունները  ստորագրված  են   Էստոնիայի, Ֆրանսիայի  և  Բենիլյուքսի  պետությունների հետ։ Չեխիայի  և  Բուլղարիայի  հետ արձանագրությունները  պատրաստ  են  ստորագրման։   Արձանագրությունների  տեսքտերի  շուրջ փոխհամաձայնեցման աշխատանքներն ընթացքի  մեջ  են  Լեհաստանի, Լիտվայի, Լատվիայի, Շվեդիայի, Գերմանիայի  հետ։</w:t>
            </w:r>
          </w:p>
          <w:p w:rsidR="0068680D" w:rsidRPr="00BC61ED" w:rsidRDefault="0068680D" w:rsidP="00F47DC4">
            <w:pPr>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2 առկա խնդիրների առաջարկվող լուծումները </w:t>
            </w:r>
          </w:p>
          <w:p w:rsidR="0068680D" w:rsidRPr="00BC61ED" w:rsidRDefault="0068680D" w:rsidP="00F47DC4">
            <w:pPr>
              <w:spacing w:after="0" w:line="276" w:lineRule="auto"/>
              <w:ind w:firstLine="360"/>
              <w:contextualSpacing/>
              <w:rPr>
                <w:sz w:val="20"/>
                <w:szCs w:val="20"/>
                <w:lang w:val="hy-AM"/>
              </w:rPr>
            </w:pPr>
            <w:r w:rsidRPr="00BC61ED">
              <w:rPr>
                <w:sz w:val="20"/>
                <w:szCs w:val="20"/>
                <w:lang w:val="hy-AM"/>
              </w:rPr>
              <w:t xml:space="preserve"> Շարունակել  բանակցությունները  արձանագրությունների  տեսքտերի  փոխհամաձայնեցման շուրջ  Լեհաստանի, Լիտվայի, Լատվիայի, Շվեդիայի, Գերմանիայի  հետ։  Ընթացք  տալ  արձանագրությունների  ստորագրման  վերաբերյալ  ԵՄ  այլ պետություններից   ստացվելիք  առաջարկներին։</w:t>
            </w:r>
          </w:p>
          <w:p w:rsidR="0068680D" w:rsidRPr="00BC61ED" w:rsidRDefault="0068680D" w:rsidP="00F47DC4">
            <w:pPr>
              <w:spacing w:after="0" w:line="276" w:lineRule="auto"/>
              <w:rPr>
                <w:rFonts w:eastAsia="Times New Roman"/>
                <w:sz w:val="20"/>
                <w:szCs w:val="20"/>
                <w:lang w:val="hy-AM"/>
              </w:rPr>
            </w:pPr>
            <w:r w:rsidRPr="00BC61ED">
              <w:rPr>
                <w:rFonts w:eastAsia="Times New Roman"/>
                <w:sz w:val="20"/>
                <w:szCs w:val="20"/>
                <w:lang w:val="hy-AM"/>
              </w:rPr>
              <w:t xml:space="preserve">    Միջոցառման   համակատարողն  է  ՀՀարտաքին գործերի նախարարությունը  որպես   օտարերկրյա  պետությունների  հետ  շփումն  ապահովող  իրավասու  մարմին։</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2. Միջոցառման իրականացումից ակնկալվող արդյունքը</w:t>
            </w:r>
          </w:p>
          <w:p w:rsidR="0068680D" w:rsidRPr="00BC61ED" w:rsidRDefault="0068680D" w:rsidP="00F47DC4">
            <w:pPr>
              <w:spacing w:after="0" w:line="276" w:lineRule="auto"/>
              <w:ind w:firstLine="360"/>
              <w:contextualSpacing/>
              <w:rPr>
                <w:sz w:val="20"/>
                <w:szCs w:val="20"/>
                <w:lang w:val="hy-AM"/>
              </w:rPr>
            </w:pPr>
            <w:r w:rsidRPr="00BC61ED">
              <w:rPr>
                <w:sz w:val="20"/>
                <w:szCs w:val="20"/>
                <w:lang w:val="hy-AM"/>
              </w:rPr>
              <w:t>ՀՀ-ԵՄ ռեադմիսիոն  համաձայնագրի  կիրարկման   պայմանները համաձայնեցված  են  երկկողմ մակարդակում</w:t>
            </w:r>
          </w:p>
          <w:p w:rsidR="0068680D" w:rsidRPr="00BC61ED" w:rsidRDefault="0068680D" w:rsidP="00F47DC4">
            <w:pPr>
              <w:spacing w:after="0" w:line="276" w:lineRule="auto"/>
              <w:ind w:firstLine="375"/>
              <w:rPr>
                <w:rFonts w:eastAsia="Times New Roman"/>
                <w:sz w:val="20"/>
                <w:szCs w:val="20"/>
                <w:lang w:val="hy-AM"/>
              </w:rPr>
            </w:pPr>
          </w:p>
          <w:p w:rsidR="0068680D" w:rsidRPr="00BC61ED" w:rsidRDefault="0068680D" w:rsidP="00F47DC4">
            <w:pPr>
              <w:spacing w:after="0" w:line="276" w:lineRule="auto"/>
              <w:ind w:firstLine="375"/>
              <w:rPr>
                <w:rFonts w:eastAsia="Times New Roman"/>
                <w:b/>
                <w:sz w:val="20"/>
                <w:szCs w:val="20"/>
                <w:lang w:val="hy-AM"/>
              </w:rPr>
            </w:pPr>
            <w:r>
              <w:rPr>
                <w:rFonts w:eastAsia="Times New Roman"/>
                <w:b/>
                <w:sz w:val="20"/>
                <w:szCs w:val="20"/>
                <w:lang w:val="hy-AM"/>
              </w:rPr>
              <w:t>19</w:t>
            </w:r>
            <w:r w:rsidRPr="00BC61ED">
              <w:rPr>
                <w:rFonts w:eastAsia="Times New Roman"/>
                <w:b/>
                <w:sz w:val="20"/>
                <w:szCs w:val="20"/>
                <w:lang w:val="hy-AM"/>
              </w:rPr>
              <w:t xml:space="preserve">.2 Ռեադմիսիոն էլեկտրոնային կառավարման համակարգի  ամբողջականացում՝ ընդլայնելով  այդ համակարգով աշխատող  երկրների  թիվը </w:t>
            </w:r>
          </w:p>
          <w:p w:rsidR="0068680D" w:rsidRPr="00BC61ED" w:rsidRDefault="0068680D" w:rsidP="00F47DC4">
            <w:pPr>
              <w:pStyle w:val="ListParagraph"/>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 Միջոցառման իրականացման անհրաժեշտությունը և նպատակը </w:t>
            </w:r>
          </w:p>
          <w:p w:rsidR="0068680D" w:rsidRPr="00BC61ED" w:rsidRDefault="0068680D" w:rsidP="00F47DC4">
            <w:pPr>
              <w:spacing w:after="0" w:line="276" w:lineRule="auto"/>
              <w:ind w:firstLine="720"/>
              <w:rPr>
                <w:rFonts w:eastAsia="Times New Roman"/>
                <w:b/>
                <w:sz w:val="20"/>
                <w:szCs w:val="20"/>
                <w:lang w:val="hy-AM"/>
              </w:rPr>
            </w:pPr>
            <w:r w:rsidRPr="00BC61ED">
              <w:rPr>
                <w:rFonts w:eastAsia="Times New Roman"/>
                <w:b/>
                <w:sz w:val="20"/>
                <w:szCs w:val="20"/>
                <w:lang w:val="hy-AM"/>
              </w:rPr>
              <w:t xml:space="preserve">Միջոցառման իրականացման անհրաժեշտությունը  </w:t>
            </w:r>
          </w:p>
          <w:p w:rsidR="0068680D" w:rsidRPr="00BC61ED" w:rsidRDefault="0068680D" w:rsidP="00F47DC4">
            <w:pPr>
              <w:spacing w:after="0" w:line="276" w:lineRule="auto"/>
              <w:ind w:firstLine="375"/>
              <w:rPr>
                <w:sz w:val="20"/>
                <w:szCs w:val="20"/>
                <w:lang w:val="hy-AM"/>
              </w:rPr>
            </w:pPr>
            <w:r w:rsidRPr="00BC61ED">
              <w:rPr>
                <w:rFonts w:cs="Sylfaen"/>
                <w:b/>
                <w:bCs/>
                <w:i/>
                <w:color w:val="000000"/>
                <w:sz w:val="20"/>
                <w:szCs w:val="20"/>
                <w:lang w:val="hy-AM"/>
              </w:rPr>
              <w:t xml:space="preserve">Ռեադմիսիոն հայցերի կառավարման էլեկտրոնային համակարգի </w:t>
            </w:r>
            <w:r w:rsidRPr="00BC61ED">
              <w:rPr>
                <w:rFonts w:eastAsia="Times New Roman" w:cs="Sylfaen"/>
                <w:sz w:val="20"/>
                <w:szCs w:val="20"/>
                <w:lang w:val="hy-AM" w:eastAsia="ar-SA"/>
              </w:rPr>
              <w:t>ստեղծման անհրաժեշտությունը պայմանավորված է հետընդունման (ռեադմիսոն) համաձայնագրերի շրջանակներում ստացվող հայցերի տարեց տարի աճով, ինչպես նաև  հետընդունման</w:t>
            </w:r>
            <w:r w:rsidRPr="00BC61ED">
              <w:rPr>
                <w:rFonts w:cs="Sylfaen"/>
                <w:bCs/>
                <w:color w:val="000000"/>
                <w:sz w:val="20"/>
                <w:szCs w:val="20"/>
                <w:lang w:val="hy-AM"/>
              </w:rPr>
              <w:t xml:space="preserve"> </w:t>
            </w:r>
            <w:r w:rsidRPr="00BC61ED">
              <w:rPr>
                <w:rFonts w:eastAsia="Times New Roman" w:cs="Sylfaen"/>
                <w:sz w:val="20"/>
                <w:szCs w:val="20"/>
                <w:lang w:val="hy-AM" w:eastAsia="ar-SA"/>
              </w:rPr>
              <w:t>գործընթացն արագ և արդյունավետ իրականացնելու նպատակով՝ ժամանակակից, ավտոմատացված համակարգի ներդրման միջոցով:</w:t>
            </w:r>
            <w:r w:rsidRPr="00BC61ED">
              <w:rPr>
                <w:sz w:val="20"/>
                <w:szCs w:val="20"/>
                <w:lang w:val="hy-AM"/>
              </w:rPr>
              <w:t xml:space="preserve"> 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6.7-րդ բաժնով նախատեսված հանձնառություններից:</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Միջոցառման իրականացման  նպատակը</w:t>
            </w:r>
          </w:p>
          <w:p w:rsidR="0068680D" w:rsidRPr="00BC61ED" w:rsidRDefault="0068680D" w:rsidP="00F47DC4">
            <w:pPr>
              <w:suppressAutoHyphens/>
              <w:spacing w:after="0" w:line="276" w:lineRule="auto"/>
              <w:ind w:firstLine="360"/>
              <w:rPr>
                <w:rFonts w:cs="Sylfaen"/>
                <w:bCs/>
                <w:color w:val="000000"/>
                <w:sz w:val="20"/>
                <w:szCs w:val="20"/>
                <w:lang w:val="hy-AM"/>
              </w:rPr>
            </w:pPr>
            <w:r w:rsidRPr="00BC61ED">
              <w:rPr>
                <w:rFonts w:cs="Sylfaen"/>
                <w:b/>
                <w:bCs/>
                <w:i/>
                <w:color w:val="000000"/>
                <w:sz w:val="20"/>
                <w:szCs w:val="20"/>
                <w:lang w:val="hy-AM"/>
              </w:rPr>
              <w:t>Ռեադմիսիոն հայցերի կառավարման էլեկտրոնային համակարգի</w:t>
            </w:r>
            <w:r w:rsidRPr="00BC61ED">
              <w:rPr>
                <w:rFonts w:cs="Sylfaen"/>
                <w:b/>
                <w:bCs/>
                <w:i/>
                <w:color w:val="000000"/>
                <w:sz w:val="20"/>
                <w:szCs w:val="20"/>
                <w:lang w:val="pt-PT"/>
              </w:rPr>
              <w:t xml:space="preserve"> </w:t>
            </w:r>
            <w:r w:rsidRPr="00BC61ED">
              <w:rPr>
                <w:rFonts w:cs="Sylfaen"/>
                <w:bCs/>
                <w:color w:val="000000"/>
                <w:sz w:val="20"/>
                <w:szCs w:val="20"/>
                <w:lang w:val="hy-AM"/>
              </w:rPr>
              <w:t xml:space="preserve">շնորհիվ անձի վերաբերյալ ռեադմիսիոն հայցի և դրա պատասխանի  փոխանցման ավարտական գործընթացի իրականացումը: </w:t>
            </w:r>
          </w:p>
          <w:p w:rsidR="0068680D" w:rsidRPr="00BC61ED" w:rsidRDefault="0068680D" w:rsidP="00F47DC4">
            <w:pPr>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1 կարգավորման հարաբերությունների ներկա վիճակը և առկա խնդիրները </w:t>
            </w:r>
          </w:p>
          <w:p w:rsidR="0068680D" w:rsidRPr="00BC61ED" w:rsidRDefault="0068680D" w:rsidP="00F47DC4">
            <w:pPr>
              <w:spacing w:after="0" w:line="276" w:lineRule="auto"/>
              <w:ind w:firstLine="375"/>
              <w:rPr>
                <w:rFonts w:cs="Sylfaen"/>
                <w:bCs/>
                <w:color w:val="000000"/>
                <w:sz w:val="20"/>
                <w:szCs w:val="20"/>
                <w:lang w:val="hy-AM"/>
              </w:rPr>
            </w:pPr>
            <w:r w:rsidRPr="00BC61ED">
              <w:rPr>
                <w:rFonts w:cs="Sylfaen"/>
                <w:bCs/>
                <w:color w:val="000000"/>
                <w:sz w:val="20"/>
                <w:szCs w:val="20"/>
                <w:lang w:val="hy-AM"/>
              </w:rPr>
              <w:t xml:space="preserve">Հայաստանում համակարգի ներդրմանն աջակցում է ԵՄ-ի ֆինանսական աջակցությամբ </w:t>
            </w:r>
            <w:r w:rsidRPr="00BC61ED">
              <w:rPr>
                <w:sz w:val="20"/>
                <w:szCs w:val="20"/>
                <w:lang w:val="hy-AM"/>
              </w:rPr>
              <w:t>Միգրացիոն քաղաքականության մշակման միջազգային կենտրոնի (</w:t>
            </w:r>
            <w:r w:rsidRPr="00BC61ED">
              <w:rPr>
                <w:rFonts w:cs="Sylfaen"/>
                <w:bCs/>
                <w:color w:val="000000"/>
                <w:sz w:val="20"/>
                <w:szCs w:val="20"/>
                <w:lang w:val="hy-AM"/>
              </w:rPr>
              <w:t xml:space="preserve">ICMPD) կողմից ՀՀ-ում իրականացվող «Միգրացիայի և սահմանների կառավարմանն աջակցություն» ծրագիրը: </w:t>
            </w:r>
          </w:p>
          <w:p w:rsidR="0068680D" w:rsidRPr="00BC61ED" w:rsidRDefault="0068680D" w:rsidP="00F47DC4">
            <w:pPr>
              <w:spacing w:after="0" w:line="276" w:lineRule="auto"/>
              <w:ind w:firstLine="375"/>
              <w:rPr>
                <w:rFonts w:cs="Sylfaen"/>
                <w:bCs/>
                <w:color w:val="000000"/>
                <w:sz w:val="20"/>
                <w:szCs w:val="20"/>
                <w:lang w:val="hy-AM"/>
              </w:rPr>
            </w:pPr>
            <w:r w:rsidRPr="00BC61ED">
              <w:rPr>
                <w:rFonts w:cs="Sylfaen"/>
                <w:bCs/>
                <w:color w:val="000000"/>
                <w:sz w:val="20"/>
                <w:szCs w:val="20"/>
                <w:lang w:val="hy-AM"/>
              </w:rPr>
              <w:t>Համակարգի ստեղծման առնչությամբ առկա է ՀՀ կառավարության 2016թ-ի նոյեմբերի 4-ի թիվ 02/24.10/17194-16 հանձնարարականը:</w:t>
            </w:r>
          </w:p>
          <w:p w:rsidR="0068680D" w:rsidRPr="00BC61ED" w:rsidRDefault="0068680D" w:rsidP="00F47DC4">
            <w:pPr>
              <w:spacing w:after="0" w:line="276" w:lineRule="auto"/>
              <w:ind w:firstLine="375"/>
              <w:rPr>
                <w:rFonts w:cs="Sylfaen"/>
                <w:bCs/>
                <w:color w:val="000000"/>
                <w:sz w:val="20"/>
                <w:szCs w:val="20"/>
                <w:lang w:val="hy-AM"/>
              </w:rPr>
            </w:pPr>
            <w:r w:rsidRPr="00BC61ED">
              <w:rPr>
                <w:rFonts w:eastAsia="Times New Roman" w:cs="Sylfaen"/>
                <w:i/>
                <w:sz w:val="20"/>
                <w:szCs w:val="20"/>
                <w:lang w:val="hy-AM" w:eastAsia="ar-SA"/>
              </w:rPr>
              <w:t>Ռեադմիսիոն հայցերի կառավարման էլեկտրոնային համակարգի</w:t>
            </w:r>
            <w:r w:rsidRPr="00BC61ED">
              <w:rPr>
                <w:rFonts w:eastAsia="Times New Roman" w:cs="Sylfaen"/>
                <w:sz w:val="20"/>
                <w:szCs w:val="20"/>
                <w:lang w:val="hy-AM" w:eastAsia="ar-SA"/>
              </w:rPr>
              <w:t xml:space="preserve"> մշակման աշխատանքներն ավարտվել են և ներկայումս ԵՄ առանձին անդամ երկրների </w:t>
            </w:r>
            <w:r w:rsidRPr="00BC61ED">
              <w:rPr>
                <w:rFonts w:cs="Sylfaen"/>
                <w:bCs/>
                <w:color w:val="000000"/>
                <w:sz w:val="20"/>
                <w:szCs w:val="20"/>
                <w:lang w:val="hy-AM"/>
              </w:rPr>
              <w:t xml:space="preserve">համապատասխան կառույցների հետ աշխատանքներ են տարվում  համակարգի  շահագործման   ուղղությամբ։ 2019թ-ի հունվարի 22-ին ՀՀ ՏԿԶՆ միգրացիոն ծառայության կողմից նախապատրաստվել և ԵՄ անդամ երկրների համապատասխան կառույցներին ուղարկվել են գրություններ՝ համակարգին միանալու նպատակով: Ներկայումս համակարգին միացել են Գերմանիան (առանձին երկրամասեր), Նիդերլանդերը և Լեհաստանը։ </w:t>
            </w:r>
          </w:p>
          <w:p w:rsidR="0068680D" w:rsidRPr="00BC61ED" w:rsidRDefault="0068680D" w:rsidP="00F47DC4">
            <w:pPr>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2 առկա խնդիրների առաջարկվող լուծումները </w:t>
            </w:r>
          </w:p>
          <w:p w:rsidR="0068680D" w:rsidRPr="00BC61ED" w:rsidRDefault="0068680D" w:rsidP="00F47DC4">
            <w:pPr>
              <w:spacing w:after="0" w:line="276" w:lineRule="auto"/>
              <w:ind w:firstLine="720"/>
              <w:rPr>
                <w:rFonts w:cs="Sylfaen"/>
                <w:bCs/>
                <w:color w:val="000000"/>
                <w:sz w:val="20"/>
                <w:szCs w:val="20"/>
                <w:lang w:val="hy-AM"/>
              </w:rPr>
            </w:pPr>
            <w:r w:rsidRPr="00BC61ED">
              <w:rPr>
                <w:rFonts w:cs="Sylfaen"/>
                <w:bCs/>
                <w:color w:val="000000"/>
                <w:sz w:val="20"/>
                <w:szCs w:val="20"/>
                <w:lang w:val="hy-AM"/>
              </w:rPr>
              <w:t>«Հայաստանի Հանրապետության և Եվրոպական միության միջև առանց թույլտվության բնակվող անձանց հետընդունման (ռեադմիսիա) մասին» համաձայնագրի հետընդունման հարցերով համատեղ կոմիտեի 2019թ-ի ապրիլի 2-ին կայացած հերթական՝ 5-րդ նիստի ընթացքում հայկական կողմից բարձրացվել է ԵՄ անդամ երկրների համապատասխան կառույցների՝ համակարգին միանալու հարցը։ Նիստին մասնակցող Եվրոպական հանձնաժողովի ներկայացուցիչները խոստացան հարցը բարձրացնել ԵՄ անդամ երկրների առջև։</w:t>
            </w:r>
          </w:p>
          <w:p w:rsidR="0068680D" w:rsidRPr="00BC61ED" w:rsidRDefault="0068680D" w:rsidP="00F47DC4">
            <w:pPr>
              <w:pStyle w:val="ListParagraph"/>
              <w:spacing w:after="0" w:line="276" w:lineRule="auto"/>
              <w:ind w:left="735"/>
              <w:rPr>
                <w:rFonts w:eastAsia="Times New Roman"/>
                <w:b/>
                <w:sz w:val="20"/>
                <w:szCs w:val="20"/>
                <w:lang w:val="hy-AM"/>
              </w:rPr>
            </w:pPr>
            <w:r w:rsidRPr="00BC61ED">
              <w:rPr>
                <w:rFonts w:eastAsia="Times New Roman"/>
                <w:b/>
                <w:sz w:val="20"/>
                <w:szCs w:val="20"/>
                <w:lang w:val="hy-AM"/>
              </w:rPr>
              <w:t>2.Միջոցառման իրականացումից ակնկալվող արդյունքը</w:t>
            </w:r>
          </w:p>
          <w:p w:rsidR="0068680D" w:rsidRPr="00BC61ED" w:rsidRDefault="0068680D" w:rsidP="00F47DC4">
            <w:pPr>
              <w:spacing w:after="0" w:line="276" w:lineRule="auto"/>
              <w:ind w:firstLine="720"/>
              <w:rPr>
                <w:rFonts w:cs="Sylfaen"/>
                <w:bCs/>
                <w:color w:val="000000"/>
                <w:sz w:val="20"/>
                <w:szCs w:val="20"/>
                <w:lang w:val="hy-AM"/>
              </w:rPr>
            </w:pPr>
            <w:r w:rsidRPr="00BC61ED">
              <w:rPr>
                <w:rFonts w:cs="Sylfaen"/>
                <w:bCs/>
                <w:color w:val="000000"/>
                <w:sz w:val="20"/>
                <w:szCs w:val="20"/>
                <w:lang w:val="hy-AM"/>
              </w:rPr>
              <w:t xml:space="preserve">Ռեադմիսիոն հայցերի և դրանց պատասխաների փոխանցման արդյունավետ գործընթացն ապահովված է </w:t>
            </w:r>
            <w:r w:rsidRPr="00BC61ED">
              <w:rPr>
                <w:rFonts w:cs="Sylfaen"/>
                <w:b/>
                <w:bCs/>
                <w:i/>
                <w:color w:val="000000"/>
                <w:sz w:val="20"/>
                <w:szCs w:val="20"/>
                <w:lang w:val="hy-AM"/>
              </w:rPr>
              <w:t>Ռեադմիսիոն հայցերի կառավարման էլեկտրոնային համակարգի միջոցով</w:t>
            </w:r>
            <w:r w:rsidRPr="00BC61ED">
              <w:rPr>
                <w:rFonts w:cs="Sylfaen"/>
                <w:bCs/>
                <w:color w:val="000000"/>
                <w:sz w:val="20"/>
                <w:szCs w:val="20"/>
                <w:lang w:val="hy-AM"/>
              </w:rPr>
              <w:t xml:space="preserve">: </w:t>
            </w: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2</w:t>
            </w:r>
            <w:r>
              <w:rPr>
                <w:b/>
                <w:sz w:val="20"/>
                <w:szCs w:val="20"/>
                <w:lang w:val="hy-AM"/>
              </w:rPr>
              <w:t>0</w:t>
            </w:r>
            <w:r w:rsidRPr="00BC61ED">
              <w:rPr>
                <w:b/>
                <w:sz w:val="20"/>
                <w:szCs w:val="20"/>
                <w:lang w:val="hy-AM"/>
              </w:rPr>
              <w:t>.</w:t>
            </w:r>
          </w:p>
        </w:tc>
        <w:tc>
          <w:tcPr>
            <w:tcW w:w="10915" w:type="dxa"/>
            <w:shd w:val="clear" w:color="auto" w:fill="auto"/>
          </w:tcPr>
          <w:p w:rsidR="0068680D" w:rsidRPr="00BC61ED" w:rsidRDefault="0068680D" w:rsidP="00F47DC4">
            <w:pPr>
              <w:spacing w:after="0" w:line="276" w:lineRule="auto"/>
              <w:jc w:val="center"/>
              <w:rPr>
                <w:rFonts w:eastAsia="Times New Roman"/>
                <w:b/>
                <w:sz w:val="20"/>
                <w:szCs w:val="20"/>
                <w:lang w:val="hy-AM"/>
              </w:rPr>
            </w:pPr>
            <w:r w:rsidRPr="00BC61ED">
              <w:rPr>
                <w:b/>
                <w:sz w:val="20"/>
                <w:szCs w:val="20"/>
                <w:lang w:val="hy-AM"/>
              </w:rPr>
              <w:t>Միգրանտների,  այդ  թվում` վերադարձող միգրանտների, ինչպես  նաև  աշխատանքային միգրանտների  և նրանց ընտանիքների  անդամների տնտեսական և մարդկային ներուժի օգտագործման  համար պայմանների  ստեղծում՝   միգրացիայի դրական  ազդեցություններն առավելագույնս  օգտագործելու  ևդրանք  երկրի  տնտեսության  զարգացմանը  ծառայացնելու  նպատակով</w:t>
            </w:r>
          </w:p>
          <w:p w:rsidR="0068680D" w:rsidRPr="00BC61ED" w:rsidRDefault="0068680D" w:rsidP="00F47DC4">
            <w:pPr>
              <w:spacing w:after="0" w:line="276" w:lineRule="auto"/>
              <w:ind w:firstLine="375"/>
              <w:rPr>
                <w:rFonts w:eastAsia="Times New Roman"/>
                <w:b/>
                <w:sz w:val="20"/>
                <w:szCs w:val="20"/>
                <w:lang w:val="hy-AM"/>
              </w:rPr>
            </w:pP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2</w:t>
            </w:r>
            <w:r>
              <w:rPr>
                <w:rFonts w:eastAsia="Times New Roman"/>
                <w:b/>
                <w:sz w:val="20"/>
                <w:szCs w:val="20"/>
                <w:lang w:val="hy-AM"/>
              </w:rPr>
              <w:t>0</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1 Դոնոր կազմակերպությունների հետ համագործակցությամբ միգրանտների, այդ  թվում՝  վերադարձած, ինչպես  նաև  աշխատանքային միգրանտների  և  նրանց ընտանքիների անդամների ներդրումների համար համահավասար ֆինանսավորմամբ փորձնական ծրագրերի մշակում և իրականացում</w:t>
            </w:r>
          </w:p>
          <w:p w:rsidR="0068680D" w:rsidRPr="00BC61ED" w:rsidRDefault="0068680D" w:rsidP="00F47DC4">
            <w:pPr>
              <w:pStyle w:val="ListParagraph"/>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 Միջոցառման իրականացման անհրաժեշտությունը և նպատակը </w:t>
            </w:r>
          </w:p>
          <w:p w:rsidR="0068680D" w:rsidRPr="00BC61ED" w:rsidRDefault="0068680D" w:rsidP="00F47DC4">
            <w:pPr>
              <w:spacing w:after="0" w:line="276" w:lineRule="auto"/>
              <w:rPr>
                <w:rFonts w:eastAsia="Times New Roman"/>
                <w:b/>
                <w:sz w:val="20"/>
                <w:szCs w:val="20"/>
                <w:lang w:val="hy-AM"/>
              </w:rPr>
            </w:pPr>
            <w:r w:rsidRPr="00BC61ED">
              <w:rPr>
                <w:rFonts w:eastAsia="Times New Roman"/>
                <w:b/>
                <w:sz w:val="20"/>
                <w:szCs w:val="20"/>
                <w:lang w:val="hy-AM"/>
              </w:rPr>
              <w:t xml:space="preserve">      Միջոցառման իրականացման անհրաժեշտությունը  </w:t>
            </w:r>
          </w:p>
          <w:p w:rsidR="0068680D" w:rsidRPr="00BC61ED" w:rsidRDefault="0068680D" w:rsidP="00F47DC4">
            <w:pPr>
              <w:spacing w:after="0" w:line="276" w:lineRule="auto"/>
              <w:ind w:firstLine="720"/>
              <w:rPr>
                <w:sz w:val="20"/>
                <w:szCs w:val="20"/>
                <w:lang w:val="de-DE"/>
              </w:rPr>
            </w:pPr>
            <w:r w:rsidRPr="00BC61ED">
              <w:rPr>
                <w:sz w:val="20"/>
                <w:szCs w:val="20"/>
                <w:lang w:val="hy-AM"/>
              </w:rPr>
              <w:t>Ըստ</w:t>
            </w:r>
            <w:r w:rsidRPr="00BC61ED">
              <w:rPr>
                <w:sz w:val="20"/>
                <w:szCs w:val="20"/>
                <w:lang w:val="de-DE"/>
              </w:rPr>
              <w:t xml:space="preserve"> </w:t>
            </w:r>
            <w:r w:rsidRPr="00BC61ED">
              <w:rPr>
                <w:sz w:val="20"/>
                <w:szCs w:val="20"/>
                <w:lang w:val="hy-AM"/>
              </w:rPr>
              <w:t>ՀՀ</w:t>
            </w:r>
            <w:r w:rsidRPr="00BC61ED">
              <w:rPr>
                <w:sz w:val="20"/>
                <w:szCs w:val="20"/>
                <w:lang w:val="de-DE"/>
              </w:rPr>
              <w:t xml:space="preserve"> </w:t>
            </w:r>
            <w:r w:rsidRPr="00BC61ED">
              <w:rPr>
                <w:sz w:val="20"/>
                <w:szCs w:val="20"/>
                <w:lang w:val="hy-AM"/>
              </w:rPr>
              <w:t>կենտրոնական</w:t>
            </w:r>
            <w:r w:rsidRPr="00BC61ED">
              <w:rPr>
                <w:sz w:val="20"/>
                <w:szCs w:val="20"/>
                <w:lang w:val="de-DE"/>
              </w:rPr>
              <w:t xml:space="preserve"> </w:t>
            </w:r>
            <w:r w:rsidRPr="00BC61ED">
              <w:rPr>
                <w:sz w:val="20"/>
                <w:szCs w:val="20"/>
                <w:lang w:val="hy-AM"/>
              </w:rPr>
              <w:t>բանկի</w:t>
            </w:r>
            <w:r w:rsidRPr="00BC61ED">
              <w:rPr>
                <w:sz w:val="20"/>
                <w:szCs w:val="20"/>
                <w:lang w:val="de-DE"/>
              </w:rPr>
              <w:t xml:space="preserve"> </w:t>
            </w:r>
            <w:r w:rsidRPr="00BC61ED">
              <w:rPr>
                <w:sz w:val="20"/>
                <w:szCs w:val="20"/>
                <w:lang w:val="hy-AM"/>
              </w:rPr>
              <w:t>տվյալների</w:t>
            </w:r>
            <w:r w:rsidRPr="00BC61ED">
              <w:rPr>
                <w:sz w:val="20"/>
                <w:szCs w:val="20"/>
                <w:lang w:val="de-DE"/>
              </w:rPr>
              <w:t xml:space="preserve">` </w:t>
            </w:r>
            <w:r w:rsidRPr="00BC61ED">
              <w:rPr>
                <w:sz w:val="20"/>
                <w:szCs w:val="20"/>
                <w:lang w:val="hy-AM"/>
              </w:rPr>
              <w:t>ֆիզիկական</w:t>
            </w:r>
            <w:r w:rsidRPr="00BC61ED">
              <w:rPr>
                <w:sz w:val="20"/>
                <w:szCs w:val="20"/>
                <w:lang w:val="de-DE"/>
              </w:rPr>
              <w:t xml:space="preserve"> </w:t>
            </w:r>
            <w:r w:rsidRPr="00BC61ED">
              <w:rPr>
                <w:sz w:val="20"/>
                <w:szCs w:val="20"/>
                <w:lang w:val="hy-AM"/>
              </w:rPr>
              <w:t>անձանց</w:t>
            </w:r>
            <w:r w:rsidRPr="00BC61ED">
              <w:rPr>
                <w:sz w:val="20"/>
                <w:szCs w:val="20"/>
                <w:lang w:val="de-DE"/>
              </w:rPr>
              <w:t xml:space="preserve"> </w:t>
            </w:r>
            <w:r w:rsidRPr="00BC61ED">
              <w:rPr>
                <w:sz w:val="20"/>
                <w:szCs w:val="20"/>
                <w:lang w:val="hy-AM"/>
              </w:rPr>
              <w:t>կողմից</w:t>
            </w:r>
            <w:r w:rsidRPr="00BC61ED">
              <w:rPr>
                <w:sz w:val="20"/>
                <w:szCs w:val="20"/>
                <w:lang w:val="de-DE"/>
              </w:rPr>
              <w:t xml:space="preserve"> </w:t>
            </w:r>
            <w:r w:rsidRPr="00BC61ED">
              <w:rPr>
                <w:sz w:val="20"/>
                <w:szCs w:val="20"/>
                <w:lang w:val="hy-AM"/>
              </w:rPr>
              <w:t>ոչ</w:t>
            </w:r>
            <w:r w:rsidRPr="00BC61ED">
              <w:rPr>
                <w:sz w:val="20"/>
                <w:szCs w:val="20"/>
                <w:lang w:val="de-DE"/>
              </w:rPr>
              <w:t xml:space="preserve"> </w:t>
            </w:r>
            <w:r w:rsidRPr="00BC61ED">
              <w:rPr>
                <w:sz w:val="20"/>
                <w:szCs w:val="20"/>
                <w:lang w:val="hy-AM"/>
              </w:rPr>
              <w:t>առևտրային</w:t>
            </w:r>
            <w:r w:rsidRPr="00BC61ED">
              <w:rPr>
                <w:sz w:val="20"/>
                <w:szCs w:val="20"/>
                <w:lang w:val="de-DE"/>
              </w:rPr>
              <w:t xml:space="preserve"> </w:t>
            </w:r>
            <w:r w:rsidRPr="00BC61ED">
              <w:rPr>
                <w:sz w:val="20"/>
                <w:szCs w:val="20"/>
                <w:lang w:val="hy-AM"/>
              </w:rPr>
              <w:t>նպատակով</w:t>
            </w:r>
            <w:r w:rsidRPr="00BC61ED">
              <w:rPr>
                <w:sz w:val="20"/>
                <w:szCs w:val="20"/>
                <w:lang w:val="de-DE"/>
              </w:rPr>
              <w:t xml:space="preserve"> </w:t>
            </w:r>
            <w:r w:rsidRPr="00BC61ED">
              <w:rPr>
                <w:sz w:val="20"/>
                <w:szCs w:val="20"/>
                <w:lang w:val="hy-AM"/>
              </w:rPr>
              <w:t>դեպի</w:t>
            </w:r>
            <w:r w:rsidRPr="00BC61ED">
              <w:rPr>
                <w:sz w:val="20"/>
                <w:szCs w:val="20"/>
                <w:lang w:val="de-DE"/>
              </w:rPr>
              <w:t xml:space="preserve"> </w:t>
            </w:r>
            <w:r w:rsidRPr="00BC61ED">
              <w:rPr>
                <w:sz w:val="20"/>
                <w:szCs w:val="20"/>
                <w:lang w:val="hy-AM"/>
              </w:rPr>
              <w:t>Հայաստան</w:t>
            </w:r>
            <w:r w:rsidRPr="00BC61ED">
              <w:rPr>
                <w:sz w:val="20"/>
                <w:szCs w:val="20"/>
                <w:lang w:val="de-DE"/>
              </w:rPr>
              <w:t xml:space="preserve"> </w:t>
            </w:r>
            <w:r w:rsidRPr="00BC61ED">
              <w:rPr>
                <w:sz w:val="20"/>
                <w:szCs w:val="20"/>
                <w:lang w:val="hy-AM"/>
              </w:rPr>
              <w:t>կատարված</w:t>
            </w:r>
            <w:r w:rsidRPr="00BC61ED">
              <w:rPr>
                <w:sz w:val="20"/>
                <w:szCs w:val="20"/>
                <w:lang w:val="de-DE"/>
              </w:rPr>
              <w:t xml:space="preserve"> </w:t>
            </w:r>
            <w:r w:rsidRPr="00BC61ED">
              <w:rPr>
                <w:sz w:val="20"/>
                <w:szCs w:val="20"/>
                <w:lang w:val="hy-AM"/>
              </w:rPr>
              <w:t>դրամական</w:t>
            </w:r>
            <w:r w:rsidRPr="00BC61ED">
              <w:rPr>
                <w:sz w:val="20"/>
                <w:szCs w:val="20"/>
                <w:lang w:val="de-DE"/>
              </w:rPr>
              <w:t xml:space="preserve"> </w:t>
            </w:r>
            <w:r w:rsidRPr="00BC61ED">
              <w:rPr>
                <w:sz w:val="20"/>
                <w:szCs w:val="20"/>
                <w:lang w:val="hy-AM"/>
              </w:rPr>
              <w:t>փոխանցումների</w:t>
            </w:r>
            <w:r w:rsidRPr="00BC61ED">
              <w:rPr>
                <w:sz w:val="20"/>
                <w:szCs w:val="20"/>
                <w:lang w:val="de-DE"/>
              </w:rPr>
              <w:t xml:space="preserve"> </w:t>
            </w:r>
            <w:r w:rsidRPr="00BC61ED">
              <w:rPr>
                <w:sz w:val="20"/>
                <w:szCs w:val="20"/>
                <w:lang w:val="hy-AM"/>
              </w:rPr>
              <w:t>ընդհանուր</w:t>
            </w:r>
            <w:r w:rsidRPr="00BC61ED">
              <w:rPr>
                <w:sz w:val="20"/>
                <w:szCs w:val="20"/>
                <w:lang w:val="de-DE"/>
              </w:rPr>
              <w:t xml:space="preserve"> </w:t>
            </w:r>
            <w:r w:rsidRPr="00BC61ED">
              <w:rPr>
                <w:sz w:val="20"/>
                <w:szCs w:val="20"/>
                <w:lang w:val="hy-AM"/>
              </w:rPr>
              <w:t>ծավալը</w:t>
            </w:r>
            <w:r w:rsidRPr="00BC61ED">
              <w:rPr>
                <w:sz w:val="20"/>
                <w:szCs w:val="20"/>
                <w:lang w:val="de-DE"/>
              </w:rPr>
              <w:t xml:space="preserve"> 2017</w:t>
            </w:r>
            <w:r w:rsidRPr="00BC61ED">
              <w:rPr>
                <w:sz w:val="20"/>
                <w:szCs w:val="20"/>
                <w:lang w:val="hy-AM"/>
              </w:rPr>
              <w:t>թ</w:t>
            </w:r>
            <w:r w:rsidRPr="00BC61ED">
              <w:rPr>
                <w:sz w:val="20"/>
                <w:szCs w:val="20"/>
                <w:lang w:val="de-DE"/>
              </w:rPr>
              <w:t xml:space="preserve">. </w:t>
            </w:r>
            <w:r w:rsidRPr="00BC61ED">
              <w:rPr>
                <w:sz w:val="20"/>
                <w:szCs w:val="20"/>
                <w:lang w:val="hy-AM"/>
              </w:rPr>
              <w:t>կազմել</w:t>
            </w:r>
            <w:r w:rsidRPr="00BC61ED">
              <w:rPr>
                <w:sz w:val="20"/>
                <w:szCs w:val="20"/>
                <w:lang w:val="de-DE"/>
              </w:rPr>
              <w:t xml:space="preserve"> </w:t>
            </w:r>
            <w:r w:rsidRPr="00BC61ED">
              <w:rPr>
                <w:sz w:val="20"/>
                <w:szCs w:val="20"/>
                <w:lang w:val="hy-AM"/>
              </w:rPr>
              <w:t>է</w:t>
            </w:r>
            <w:r w:rsidRPr="00BC61ED">
              <w:rPr>
                <w:sz w:val="20"/>
                <w:szCs w:val="20"/>
                <w:lang w:val="de-DE"/>
              </w:rPr>
              <w:t xml:space="preserve"> 1.6 </w:t>
            </w:r>
            <w:r w:rsidRPr="00BC61ED">
              <w:rPr>
                <w:sz w:val="20"/>
                <w:szCs w:val="20"/>
                <w:lang w:val="hy-AM"/>
              </w:rPr>
              <w:t>մլն</w:t>
            </w:r>
            <w:r w:rsidRPr="00BC61ED">
              <w:rPr>
                <w:sz w:val="20"/>
                <w:szCs w:val="20"/>
                <w:lang w:val="de-DE"/>
              </w:rPr>
              <w:t xml:space="preserve"> </w:t>
            </w:r>
            <w:r w:rsidRPr="00BC61ED">
              <w:rPr>
                <w:sz w:val="20"/>
                <w:szCs w:val="20"/>
                <w:lang w:val="hy-AM"/>
              </w:rPr>
              <w:t>ԱՄՆ</w:t>
            </w:r>
            <w:r w:rsidRPr="00BC61ED">
              <w:rPr>
                <w:sz w:val="20"/>
                <w:szCs w:val="20"/>
                <w:lang w:val="de-DE"/>
              </w:rPr>
              <w:t xml:space="preserve"> </w:t>
            </w:r>
            <w:r w:rsidRPr="00BC61ED">
              <w:rPr>
                <w:sz w:val="20"/>
                <w:szCs w:val="20"/>
                <w:lang w:val="hy-AM"/>
              </w:rPr>
              <w:t>դոլար</w:t>
            </w:r>
            <w:r w:rsidRPr="00BC61ED">
              <w:rPr>
                <w:sz w:val="20"/>
                <w:szCs w:val="20"/>
                <w:lang w:val="de-DE"/>
              </w:rPr>
              <w:t xml:space="preserve">, </w:t>
            </w:r>
            <w:r w:rsidRPr="00BC61ED">
              <w:rPr>
                <w:sz w:val="20"/>
                <w:szCs w:val="20"/>
                <w:lang w:val="hy-AM"/>
              </w:rPr>
              <w:t>որը</w:t>
            </w:r>
            <w:r w:rsidRPr="00BC61ED">
              <w:rPr>
                <w:sz w:val="20"/>
                <w:szCs w:val="20"/>
                <w:lang w:val="de-DE"/>
              </w:rPr>
              <w:t xml:space="preserve"> </w:t>
            </w:r>
            <w:r w:rsidRPr="00BC61ED">
              <w:rPr>
                <w:sz w:val="20"/>
                <w:szCs w:val="20"/>
                <w:lang w:val="hy-AM"/>
              </w:rPr>
              <w:t>կազմում</w:t>
            </w:r>
            <w:r w:rsidRPr="00BC61ED">
              <w:rPr>
                <w:sz w:val="20"/>
                <w:szCs w:val="20"/>
                <w:lang w:val="de-DE"/>
              </w:rPr>
              <w:t xml:space="preserve"> </w:t>
            </w:r>
            <w:r w:rsidRPr="00BC61ED">
              <w:rPr>
                <w:sz w:val="20"/>
                <w:szCs w:val="20"/>
                <w:lang w:val="hy-AM"/>
              </w:rPr>
              <w:t>է</w:t>
            </w:r>
            <w:r w:rsidRPr="00BC61ED">
              <w:rPr>
                <w:sz w:val="20"/>
                <w:szCs w:val="20"/>
                <w:lang w:val="de-DE"/>
              </w:rPr>
              <w:t xml:space="preserve"> </w:t>
            </w:r>
            <w:r w:rsidRPr="00BC61ED">
              <w:rPr>
                <w:sz w:val="20"/>
                <w:szCs w:val="20"/>
                <w:lang w:val="hy-AM"/>
              </w:rPr>
              <w:t>ՀՆԱ</w:t>
            </w:r>
            <w:r w:rsidRPr="00BC61ED">
              <w:rPr>
                <w:sz w:val="20"/>
                <w:szCs w:val="20"/>
                <w:lang w:val="de-DE"/>
              </w:rPr>
              <w:t>-</w:t>
            </w:r>
            <w:r w:rsidRPr="00BC61ED">
              <w:rPr>
                <w:sz w:val="20"/>
                <w:szCs w:val="20"/>
                <w:lang w:val="hy-AM"/>
              </w:rPr>
              <w:t>ի</w:t>
            </w:r>
            <w:r w:rsidRPr="00BC61ED">
              <w:rPr>
                <w:sz w:val="20"/>
                <w:szCs w:val="20"/>
                <w:lang w:val="de-DE"/>
              </w:rPr>
              <w:t xml:space="preserve"> 15% </w:t>
            </w:r>
            <w:r w:rsidRPr="00BC61ED">
              <w:rPr>
                <w:sz w:val="20"/>
                <w:szCs w:val="20"/>
                <w:lang w:val="hy-AM"/>
              </w:rPr>
              <w:t>տոկոսը</w:t>
            </w:r>
            <w:r w:rsidRPr="00BC61ED">
              <w:rPr>
                <w:sz w:val="20"/>
                <w:szCs w:val="20"/>
                <w:lang w:val="de-DE"/>
              </w:rPr>
              <w:t xml:space="preserve">: </w:t>
            </w:r>
            <w:r w:rsidRPr="00BC61ED">
              <w:rPr>
                <w:sz w:val="20"/>
                <w:szCs w:val="20"/>
                <w:lang w:val="hy-AM"/>
              </w:rPr>
              <w:t>Դեպի</w:t>
            </w:r>
            <w:r w:rsidRPr="00BC61ED">
              <w:rPr>
                <w:sz w:val="20"/>
                <w:szCs w:val="20"/>
                <w:lang w:val="de-DE"/>
              </w:rPr>
              <w:t xml:space="preserve"> </w:t>
            </w:r>
            <w:r w:rsidRPr="00BC61ED">
              <w:rPr>
                <w:sz w:val="20"/>
                <w:szCs w:val="20"/>
                <w:lang w:val="hy-AM"/>
              </w:rPr>
              <w:t>Հայաստան</w:t>
            </w:r>
            <w:r w:rsidRPr="00BC61ED">
              <w:rPr>
                <w:sz w:val="20"/>
                <w:szCs w:val="20"/>
                <w:lang w:val="de-DE"/>
              </w:rPr>
              <w:t xml:space="preserve"> </w:t>
            </w:r>
            <w:r w:rsidRPr="00BC61ED">
              <w:rPr>
                <w:sz w:val="20"/>
                <w:szCs w:val="20"/>
                <w:lang w:val="hy-AM"/>
              </w:rPr>
              <w:t>դրամական</w:t>
            </w:r>
            <w:r w:rsidRPr="00BC61ED">
              <w:rPr>
                <w:sz w:val="20"/>
                <w:szCs w:val="20"/>
                <w:lang w:val="de-DE"/>
              </w:rPr>
              <w:t xml:space="preserve"> </w:t>
            </w:r>
            <w:r w:rsidRPr="00BC61ED">
              <w:rPr>
                <w:sz w:val="20"/>
                <w:szCs w:val="20"/>
                <w:lang w:val="hy-AM"/>
              </w:rPr>
              <w:t>փոխանցումների</w:t>
            </w:r>
            <w:r w:rsidRPr="00BC61ED">
              <w:rPr>
                <w:sz w:val="20"/>
                <w:szCs w:val="20"/>
                <w:lang w:val="de-DE"/>
              </w:rPr>
              <w:t xml:space="preserve"> </w:t>
            </w:r>
            <w:r w:rsidRPr="00BC61ED">
              <w:rPr>
                <w:sz w:val="20"/>
                <w:szCs w:val="20"/>
                <w:lang w:val="hy-AM"/>
              </w:rPr>
              <w:t>հիմնական</w:t>
            </w:r>
            <w:r w:rsidRPr="00BC61ED">
              <w:rPr>
                <w:sz w:val="20"/>
                <w:szCs w:val="20"/>
                <w:lang w:val="de-DE"/>
              </w:rPr>
              <w:t xml:space="preserve"> </w:t>
            </w:r>
            <w:r w:rsidRPr="00BC61ED">
              <w:rPr>
                <w:sz w:val="20"/>
                <w:szCs w:val="20"/>
                <w:lang w:val="hy-AM"/>
              </w:rPr>
              <w:t>աղբյուր</w:t>
            </w:r>
            <w:r w:rsidRPr="00BC61ED">
              <w:rPr>
                <w:sz w:val="20"/>
                <w:szCs w:val="20"/>
                <w:lang w:val="de-DE"/>
              </w:rPr>
              <w:t xml:space="preserve"> </w:t>
            </w:r>
            <w:r w:rsidRPr="00BC61ED">
              <w:rPr>
                <w:sz w:val="20"/>
                <w:szCs w:val="20"/>
                <w:lang w:val="hy-AM"/>
              </w:rPr>
              <w:t>երկրներն</w:t>
            </w:r>
            <w:r w:rsidRPr="00BC61ED">
              <w:rPr>
                <w:sz w:val="20"/>
                <w:szCs w:val="20"/>
                <w:lang w:val="de-DE"/>
              </w:rPr>
              <w:t xml:space="preserve"> </w:t>
            </w:r>
            <w:r w:rsidRPr="00BC61ED">
              <w:rPr>
                <w:sz w:val="20"/>
                <w:szCs w:val="20"/>
                <w:lang w:val="hy-AM"/>
              </w:rPr>
              <w:t>են</w:t>
            </w:r>
            <w:r w:rsidRPr="00BC61ED">
              <w:rPr>
                <w:sz w:val="20"/>
                <w:szCs w:val="20"/>
                <w:lang w:val="de-DE"/>
              </w:rPr>
              <w:t xml:space="preserve">` </w:t>
            </w:r>
            <w:r w:rsidRPr="00BC61ED">
              <w:rPr>
                <w:sz w:val="20"/>
                <w:szCs w:val="20"/>
                <w:lang w:val="hy-AM"/>
              </w:rPr>
              <w:t>Ռուսաստանը</w:t>
            </w:r>
            <w:r w:rsidRPr="00BC61ED">
              <w:rPr>
                <w:sz w:val="20"/>
                <w:szCs w:val="20"/>
                <w:lang w:val="de-DE"/>
              </w:rPr>
              <w:t xml:space="preserve">, </w:t>
            </w:r>
            <w:r w:rsidRPr="00BC61ED">
              <w:rPr>
                <w:sz w:val="20"/>
                <w:szCs w:val="20"/>
                <w:lang w:val="hy-AM"/>
              </w:rPr>
              <w:t>ԱՄՆ</w:t>
            </w:r>
            <w:r w:rsidRPr="00BC61ED">
              <w:rPr>
                <w:sz w:val="20"/>
                <w:szCs w:val="20"/>
                <w:lang w:val="de-DE"/>
              </w:rPr>
              <w:t>-</w:t>
            </w:r>
            <w:r w:rsidRPr="00BC61ED">
              <w:rPr>
                <w:sz w:val="20"/>
                <w:szCs w:val="20"/>
                <w:lang w:val="hy-AM"/>
              </w:rPr>
              <w:t>ն</w:t>
            </w:r>
            <w:r w:rsidRPr="00BC61ED">
              <w:rPr>
                <w:sz w:val="20"/>
                <w:szCs w:val="20"/>
                <w:lang w:val="de-DE"/>
              </w:rPr>
              <w:t xml:space="preserve">, </w:t>
            </w:r>
            <w:r w:rsidRPr="00BC61ED">
              <w:rPr>
                <w:sz w:val="20"/>
                <w:szCs w:val="20"/>
                <w:lang w:val="hy-AM"/>
              </w:rPr>
              <w:t>Ղազախստանը</w:t>
            </w:r>
            <w:r w:rsidRPr="00BC61ED">
              <w:rPr>
                <w:sz w:val="20"/>
                <w:szCs w:val="20"/>
                <w:lang w:val="de-DE"/>
              </w:rPr>
              <w:t xml:space="preserve">, </w:t>
            </w:r>
            <w:r w:rsidRPr="00BC61ED">
              <w:rPr>
                <w:sz w:val="20"/>
                <w:szCs w:val="20"/>
                <w:lang w:val="hy-AM"/>
              </w:rPr>
              <w:t>Գերմանիան</w:t>
            </w:r>
            <w:r w:rsidRPr="00BC61ED">
              <w:rPr>
                <w:sz w:val="20"/>
                <w:szCs w:val="20"/>
                <w:lang w:val="de-DE"/>
              </w:rPr>
              <w:t xml:space="preserve"> </w:t>
            </w:r>
            <w:r w:rsidRPr="00BC61ED">
              <w:rPr>
                <w:sz w:val="20"/>
                <w:szCs w:val="20"/>
                <w:lang w:val="hy-AM"/>
              </w:rPr>
              <w:t>և</w:t>
            </w:r>
            <w:r w:rsidRPr="00BC61ED">
              <w:rPr>
                <w:sz w:val="20"/>
                <w:szCs w:val="20"/>
                <w:lang w:val="de-DE"/>
              </w:rPr>
              <w:t xml:space="preserve"> </w:t>
            </w:r>
            <w:r w:rsidRPr="00BC61ED">
              <w:rPr>
                <w:sz w:val="20"/>
                <w:szCs w:val="20"/>
                <w:lang w:val="hy-AM"/>
              </w:rPr>
              <w:t>Ֆրանսիան</w:t>
            </w:r>
            <w:r w:rsidRPr="00BC61ED">
              <w:rPr>
                <w:sz w:val="20"/>
                <w:szCs w:val="20"/>
                <w:lang w:val="de-DE"/>
              </w:rPr>
              <w:t xml:space="preserve">: </w:t>
            </w:r>
            <w:r w:rsidRPr="00BC61ED">
              <w:rPr>
                <w:sz w:val="20"/>
                <w:szCs w:val="20"/>
                <w:lang w:val="hy-AM"/>
              </w:rPr>
              <w:t>Միգրանտների</w:t>
            </w:r>
            <w:r w:rsidRPr="00BC61ED">
              <w:rPr>
                <w:sz w:val="20"/>
                <w:szCs w:val="20"/>
                <w:lang w:val="de-DE"/>
              </w:rPr>
              <w:t xml:space="preserve"> տրանսֆերտների </w:t>
            </w:r>
            <w:r w:rsidRPr="00BC61ED">
              <w:rPr>
                <w:sz w:val="20"/>
                <w:szCs w:val="20"/>
                <w:lang w:val="hy-AM"/>
              </w:rPr>
              <w:t>ճնշող</w:t>
            </w:r>
            <w:r w:rsidRPr="00BC61ED">
              <w:rPr>
                <w:sz w:val="20"/>
                <w:szCs w:val="20"/>
                <w:lang w:val="de-DE"/>
              </w:rPr>
              <w:t xml:space="preserve"> </w:t>
            </w:r>
            <w:r w:rsidRPr="00BC61ED">
              <w:rPr>
                <w:sz w:val="20"/>
                <w:szCs w:val="20"/>
                <w:lang w:val="hy-AM"/>
              </w:rPr>
              <w:t>մեծամասնությունը</w:t>
            </w:r>
            <w:r w:rsidRPr="00BC61ED">
              <w:rPr>
                <w:sz w:val="20"/>
                <w:szCs w:val="20"/>
                <w:lang w:val="de-DE"/>
              </w:rPr>
              <w:t xml:space="preserve"> </w:t>
            </w:r>
            <w:r w:rsidRPr="00BC61ED">
              <w:rPr>
                <w:sz w:val="20"/>
                <w:szCs w:val="20"/>
                <w:lang w:val="hy-AM"/>
              </w:rPr>
              <w:t>ուղղվում</w:t>
            </w:r>
            <w:r w:rsidRPr="00BC61ED">
              <w:rPr>
                <w:sz w:val="20"/>
                <w:szCs w:val="20"/>
                <w:lang w:val="de-DE"/>
              </w:rPr>
              <w:t xml:space="preserve"> </w:t>
            </w:r>
            <w:r w:rsidRPr="00BC61ED">
              <w:rPr>
                <w:sz w:val="20"/>
                <w:szCs w:val="20"/>
                <w:lang w:val="hy-AM"/>
              </w:rPr>
              <w:t>է</w:t>
            </w:r>
            <w:r w:rsidRPr="00BC61ED">
              <w:rPr>
                <w:sz w:val="20"/>
                <w:szCs w:val="20"/>
                <w:lang w:val="de-DE"/>
              </w:rPr>
              <w:t xml:space="preserve"> </w:t>
            </w:r>
            <w:r w:rsidRPr="00BC61ED">
              <w:rPr>
                <w:sz w:val="20"/>
                <w:szCs w:val="20"/>
                <w:lang w:val="hy-AM"/>
              </w:rPr>
              <w:t>սպառմանը</w:t>
            </w:r>
            <w:r w:rsidRPr="00BC61ED">
              <w:rPr>
                <w:sz w:val="20"/>
                <w:szCs w:val="20"/>
                <w:lang w:val="de-DE"/>
              </w:rPr>
              <w:t xml:space="preserve">, </w:t>
            </w:r>
            <w:r w:rsidRPr="00BC61ED">
              <w:rPr>
                <w:sz w:val="20"/>
                <w:szCs w:val="20"/>
                <w:lang w:val="hy-AM"/>
              </w:rPr>
              <w:t>ընդ</w:t>
            </w:r>
            <w:r w:rsidRPr="00BC61ED">
              <w:rPr>
                <w:sz w:val="20"/>
                <w:szCs w:val="20"/>
                <w:lang w:val="de-DE"/>
              </w:rPr>
              <w:t xml:space="preserve"> </w:t>
            </w:r>
            <w:r w:rsidRPr="00BC61ED">
              <w:rPr>
                <w:sz w:val="20"/>
                <w:szCs w:val="20"/>
                <w:lang w:val="hy-AM"/>
              </w:rPr>
              <w:t>որում</w:t>
            </w:r>
            <w:r w:rsidRPr="00BC61ED">
              <w:rPr>
                <w:sz w:val="20"/>
                <w:szCs w:val="20"/>
                <w:lang w:val="de-DE"/>
              </w:rPr>
              <w:t xml:space="preserve"> </w:t>
            </w:r>
            <w:r w:rsidRPr="00BC61ED">
              <w:rPr>
                <w:sz w:val="20"/>
                <w:szCs w:val="20"/>
                <w:lang w:val="hy-AM"/>
              </w:rPr>
              <w:t>գերազանցապես</w:t>
            </w:r>
            <w:r w:rsidRPr="00BC61ED">
              <w:rPr>
                <w:sz w:val="20"/>
                <w:szCs w:val="20"/>
                <w:lang w:val="de-DE"/>
              </w:rPr>
              <w:t xml:space="preserve"> </w:t>
            </w:r>
            <w:r w:rsidRPr="00BC61ED">
              <w:rPr>
                <w:sz w:val="20"/>
                <w:szCs w:val="20"/>
                <w:lang w:val="hy-AM"/>
              </w:rPr>
              <w:t>առաջին</w:t>
            </w:r>
            <w:r w:rsidRPr="00BC61ED">
              <w:rPr>
                <w:sz w:val="20"/>
                <w:szCs w:val="20"/>
                <w:lang w:val="de-DE"/>
              </w:rPr>
              <w:t xml:space="preserve"> </w:t>
            </w:r>
            <w:r w:rsidRPr="00BC61ED">
              <w:rPr>
                <w:sz w:val="20"/>
                <w:szCs w:val="20"/>
                <w:lang w:val="hy-AM"/>
              </w:rPr>
              <w:t>անհրաժեշտության</w:t>
            </w:r>
            <w:r w:rsidRPr="00BC61ED">
              <w:rPr>
                <w:sz w:val="20"/>
                <w:szCs w:val="20"/>
                <w:lang w:val="de-DE"/>
              </w:rPr>
              <w:t xml:space="preserve"> </w:t>
            </w:r>
            <w:r w:rsidRPr="00BC61ED">
              <w:rPr>
                <w:sz w:val="20"/>
                <w:szCs w:val="20"/>
                <w:lang w:val="hy-AM"/>
              </w:rPr>
              <w:t>ապրանքների</w:t>
            </w:r>
            <w:r w:rsidRPr="00BC61ED">
              <w:rPr>
                <w:sz w:val="20"/>
                <w:szCs w:val="20"/>
                <w:lang w:val="de-DE"/>
              </w:rPr>
              <w:t xml:space="preserve"> </w:t>
            </w:r>
            <w:r w:rsidRPr="00BC61ED">
              <w:rPr>
                <w:sz w:val="20"/>
                <w:szCs w:val="20"/>
                <w:lang w:val="hy-AM"/>
              </w:rPr>
              <w:t>և</w:t>
            </w:r>
            <w:r w:rsidRPr="00BC61ED">
              <w:rPr>
                <w:sz w:val="20"/>
                <w:szCs w:val="20"/>
                <w:lang w:val="de-DE"/>
              </w:rPr>
              <w:t xml:space="preserve"> </w:t>
            </w:r>
            <w:r w:rsidRPr="00BC61ED">
              <w:rPr>
                <w:sz w:val="20"/>
                <w:szCs w:val="20"/>
                <w:lang w:val="hy-AM"/>
              </w:rPr>
              <w:t>ծառայությունների</w:t>
            </w:r>
            <w:r w:rsidRPr="00BC61ED">
              <w:rPr>
                <w:sz w:val="20"/>
                <w:szCs w:val="20"/>
                <w:lang w:val="de-DE"/>
              </w:rPr>
              <w:t xml:space="preserve">  </w:t>
            </w:r>
            <w:r w:rsidRPr="00BC61ED">
              <w:rPr>
                <w:sz w:val="20"/>
                <w:szCs w:val="20"/>
                <w:lang w:val="hy-AM"/>
              </w:rPr>
              <w:t>ծախսածածկմանը</w:t>
            </w:r>
            <w:r w:rsidRPr="00BC61ED">
              <w:rPr>
                <w:sz w:val="20"/>
                <w:szCs w:val="20"/>
                <w:lang w:val="de-DE"/>
              </w:rPr>
              <w:t xml:space="preserve"> (</w:t>
            </w:r>
            <w:r w:rsidRPr="00BC61ED">
              <w:rPr>
                <w:sz w:val="20"/>
                <w:szCs w:val="20"/>
                <w:lang w:val="hy-AM"/>
              </w:rPr>
              <w:t>սննդամթերք</w:t>
            </w:r>
            <w:r w:rsidRPr="00BC61ED">
              <w:rPr>
                <w:sz w:val="20"/>
                <w:szCs w:val="20"/>
                <w:lang w:val="de-DE"/>
              </w:rPr>
              <w:t xml:space="preserve">, </w:t>
            </w:r>
            <w:r w:rsidRPr="00BC61ED">
              <w:rPr>
                <w:sz w:val="20"/>
                <w:szCs w:val="20"/>
                <w:lang w:val="hy-AM"/>
              </w:rPr>
              <w:t>հագուստ</w:t>
            </w:r>
            <w:r w:rsidRPr="00BC61ED">
              <w:rPr>
                <w:sz w:val="20"/>
                <w:szCs w:val="20"/>
                <w:lang w:val="de-DE"/>
              </w:rPr>
              <w:t xml:space="preserve">, </w:t>
            </w:r>
            <w:r w:rsidRPr="00BC61ED">
              <w:rPr>
                <w:sz w:val="20"/>
                <w:szCs w:val="20"/>
                <w:lang w:val="hy-AM"/>
              </w:rPr>
              <w:t>կոմունալ</w:t>
            </w:r>
            <w:r w:rsidRPr="00BC61ED">
              <w:rPr>
                <w:sz w:val="20"/>
                <w:szCs w:val="20"/>
                <w:lang w:val="de-DE"/>
              </w:rPr>
              <w:t xml:space="preserve"> </w:t>
            </w:r>
            <w:r w:rsidRPr="00BC61ED">
              <w:rPr>
                <w:sz w:val="20"/>
                <w:szCs w:val="20"/>
                <w:lang w:val="hy-AM"/>
              </w:rPr>
              <w:t>ծառայությունների</w:t>
            </w:r>
            <w:r w:rsidRPr="00BC61ED">
              <w:rPr>
                <w:sz w:val="20"/>
                <w:szCs w:val="20"/>
                <w:lang w:val="de-DE"/>
              </w:rPr>
              <w:t xml:space="preserve"> </w:t>
            </w:r>
            <w:r w:rsidRPr="00BC61ED">
              <w:rPr>
                <w:sz w:val="20"/>
                <w:szCs w:val="20"/>
                <w:lang w:val="hy-AM"/>
              </w:rPr>
              <w:t>վարձավճարներ</w:t>
            </w:r>
            <w:r w:rsidRPr="00BC61ED">
              <w:rPr>
                <w:sz w:val="20"/>
                <w:szCs w:val="20"/>
                <w:lang w:val="de-DE"/>
              </w:rPr>
              <w:t xml:space="preserve"> </w:t>
            </w:r>
            <w:r w:rsidRPr="00BC61ED">
              <w:rPr>
                <w:sz w:val="20"/>
                <w:szCs w:val="20"/>
                <w:lang w:val="hy-AM"/>
              </w:rPr>
              <w:t>և</w:t>
            </w:r>
            <w:r w:rsidRPr="00BC61ED">
              <w:rPr>
                <w:sz w:val="20"/>
                <w:szCs w:val="20"/>
                <w:lang w:val="de-DE"/>
              </w:rPr>
              <w:t xml:space="preserve"> </w:t>
            </w:r>
            <w:r w:rsidRPr="00BC61ED">
              <w:rPr>
                <w:sz w:val="20"/>
                <w:szCs w:val="20"/>
                <w:lang w:val="hy-AM"/>
              </w:rPr>
              <w:t>այլն</w:t>
            </w:r>
            <w:r w:rsidRPr="00BC61ED">
              <w:rPr>
                <w:sz w:val="20"/>
                <w:szCs w:val="20"/>
                <w:lang w:val="de-DE"/>
              </w:rPr>
              <w:t xml:space="preserve">): </w:t>
            </w:r>
            <w:r w:rsidRPr="00BC61ED">
              <w:rPr>
                <w:sz w:val="20"/>
                <w:szCs w:val="20"/>
                <w:lang w:val="hy-AM"/>
              </w:rPr>
              <w:t>Դրամական</w:t>
            </w:r>
            <w:r w:rsidRPr="00BC61ED">
              <w:rPr>
                <w:sz w:val="20"/>
                <w:szCs w:val="20"/>
                <w:lang w:val="de-DE"/>
              </w:rPr>
              <w:t xml:space="preserve"> </w:t>
            </w:r>
            <w:r w:rsidRPr="00BC61ED">
              <w:rPr>
                <w:sz w:val="20"/>
                <w:szCs w:val="20"/>
                <w:lang w:val="hy-AM"/>
              </w:rPr>
              <w:t>փոխանցումների հաշվին</w:t>
            </w:r>
            <w:r w:rsidRPr="00BC61ED">
              <w:rPr>
                <w:sz w:val="20"/>
                <w:szCs w:val="20"/>
                <w:lang w:val="de-DE"/>
              </w:rPr>
              <w:t xml:space="preserve"> </w:t>
            </w:r>
            <w:r w:rsidRPr="00BC61ED">
              <w:rPr>
                <w:sz w:val="20"/>
                <w:szCs w:val="20"/>
                <w:lang w:val="hy-AM"/>
              </w:rPr>
              <w:t>կուտակված</w:t>
            </w:r>
            <w:r w:rsidRPr="00BC61ED">
              <w:rPr>
                <w:sz w:val="20"/>
                <w:szCs w:val="20"/>
                <w:lang w:val="de-DE"/>
              </w:rPr>
              <w:t xml:space="preserve"> </w:t>
            </w:r>
            <w:r w:rsidRPr="00BC61ED">
              <w:rPr>
                <w:sz w:val="20"/>
                <w:szCs w:val="20"/>
                <w:lang w:val="hy-AM"/>
              </w:rPr>
              <w:t>և</w:t>
            </w:r>
            <w:r w:rsidRPr="00BC61ED">
              <w:rPr>
                <w:sz w:val="20"/>
                <w:szCs w:val="20"/>
                <w:lang w:val="de-DE"/>
              </w:rPr>
              <w:t xml:space="preserve"> </w:t>
            </w:r>
            <w:r w:rsidRPr="00BC61ED">
              <w:rPr>
                <w:sz w:val="20"/>
                <w:szCs w:val="20"/>
                <w:lang w:val="hy-AM"/>
              </w:rPr>
              <w:t>ձեռնարկատիրական</w:t>
            </w:r>
            <w:r w:rsidRPr="00BC61ED">
              <w:rPr>
                <w:sz w:val="20"/>
                <w:szCs w:val="20"/>
                <w:lang w:val="de-DE"/>
              </w:rPr>
              <w:t xml:space="preserve"> </w:t>
            </w:r>
            <w:r w:rsidRPr="00BC61ED">
              <w:rPr>
                <w:sz w:val="20"/>
                <w:szCs w:val="20"/>
                <w:lang w:val="hy-AM"/>
              </w:rPr>
              <w:t>գործունեության</w:t>
            </w:r>
            <w:r w:rsidRPr="00BC61ED">
              <w:rPr>
                <w:sz w:val="20"/>
                <w:szCs w:val="20"/>
                <w:lang w:val="de-DE"/>
              </w:rPr>
              <w:t xml:space="preserve"> </w:t>
            </w:r>
            <w:r w:rsidRPr="00BC61ED">
              <w:rPr>
                <w:sz w:val="20"/>
                <w:szCs w:val="20"/>
                <w:lang w:val="hy-AM"/>
              </w:rPr>
              <w:t>մեջ</w:t>
            </w:r>
            <w:r w:rsidRPr="00BC61ED">
              <w:rPr>
                <w:sz w:val="20"/>
                <w:szCs w:val="20"/>
                <w:lang w:val="de-DE"/>
              </w:rPr>
              <w:t xml:space="preserve"> </w:t>
            </w:r>
            <w:r w:rsidRPr="00BC61ED">
              <w:rPr>
                <w:sz w:val="20"/>
                <w:szCs w:val="20"/>
                <w:lang w:val="hy-AM"/>
              </w:rPr>
              <w:t>ներդրված</w:t>
            </w:r>
            <w:r w:rsidRPr="00BC61ED">
              <w:rPr>
                <w:sz w:val="20"/>
                <w:szCs w:val="20"/>
                <w:lang w:val="de-DE"/>
              </w:rPr>
              <w:t xml:space="preserve"> </w:t>
            </w:r>
            <w:r w:rsidRPr="00BC61ED">
              <w:rPr>
                <w:sz w:val="20"/>
                <w:szCs w:val="20"/>
                <w:lang w:val="hy-AM"/>
              </w:rPr>
              <w:t>դրամական</w:t>
            </w:r>
            <w:r w:rsidRPr="00BC61ED">
              <w:rPr>
                <w:sz w:val="20"/>
                <w:szCs w:val="20"/>
                <w:lang w:val="de-DE"/>
              </w:rPr>
              <w:t xml:space="preserve"> </w:t>
            </w:r>
            <w:r w:rsidRPr="00BC61ED">
              <w:rPr>
                <w:sz w:val="20"/>
                <w:szCs w:val="20"/>
                <w:lang w:val="hy-AM"/>
              </w:rPr>
              <w:t>միջոցների</w:t>
            </w:r>
            <w:r w:rsidRPr="00BC61ED">
              <w:rPr>
                <w:sz w:val="20"/>
                <w:szCs w:val="20"/>
                <w:lang w:val="de-DE"/>
              </w:rPr>
              <w:t xml:space="preserve"> </w:t>
            </w:r>
            <w:r w:rsidRPr="00BC61ED">
              <w:rPr>
                <w:sz w:val="20"/>
                <w:szCs w:val="20"/>
                <w:lang w:val="hy-AM"/>
              </w:rPr>
              <w:t>մասնակցությունը</w:t>
            </w:r>
            <w:r w:rsidRPr="00BC61ED">
              <w:rPr>
                <w:sz w:val="20"/>
                <w:szCs w:val="20"/>
                <w:lang w:val="de-DE"/>
              </w:rPr>
              <w:t xml:space="preserve"> </w:t>
            </w:r>
            <w:r w:rsidRPr="00BC61ED">
              <w:rPr>
                <w:sz w:val="20"/>
                <w:szCs w:val="20"/>
                <w:lang w:val="hy-AM"/>
              </w:rPr>
              <w:t>Հայաստանում</w:t>
            </w:r>
            <w:r w:rsidRPr="00BC61ED">
              <w:rPr>
                <w:sz w:val="20"/>
                <w:szCs w:val="20"/>
                <w:lang w:val="de-DE"/>
              </w:rPr>
              <w:t xml:space="preserve"> </w:t>
            </w:r>
            <w:r w:rsidRPr="00BC61ED">
              <w:rPr>
                <w:sz w:val="20"/>
                <w:szCs w:val="20"/>
                <w:lang w:val="hy-AM"/>
              </w:rPr>
              <w:t>շատ</w:t>
            </w:r>
            <w:r w:rsidRPr="00BC61ED">
              <w:rPr>
                <w:sz w:val="20"/>
                <w:szCs w:val="20"/>
                <w:lang w:val="de-DE"/>
              </w:rPr>
              <w:t xml:space="preserve"> </w:t>
            </w:r>
            <w:r w:rsidRPr="00BC61ED">
              <w:rPr>
                <w:sz w:val="20"/>
                <w:szCs w:val="20"/>
                <w:lang w:val="hy-AM"/>
              </w:rPr>
              <w:t>ցածր</w:t>
            </w:r>
            <w:r w:rsidRPr="00BC61ED">
              <w:rPr>
                <w:sz w:val="20"/>
                <w:szCs w:val="20"/>
                <w:lang w:val="de-DE"/>
              </w:rPr>
              <w:t xml:space="preserve"> </w:t>
            </w:r>
            <w:r w:rsidRPr="00BC61ED">
              <w:rPr>
                <w:sz w:val="20"/>
                <w:szCs w:val="20"/>
                <w:lang w:val="hy-AM"/>
              </w:rPr>
              <w:t>է</w:t>
            </w:r>
            <w:r w:rsidRPr="00BC61ED">
              <w:rPr>
                <w:sz w:val="20"/>
                <w:szCs w:val="20"/>
                <w:lang w:val="de-DE"/>
              </w:rPr>
              <w:t xml:space="preserve">: </w:t>
            </w:r>
            <w:r w:rsidRPr="00BC61ED">
              <w:rPr>
                <w:sz w:val="20"/>
                <w:szCs w:val="20"/>
                <w:lang w:val="hy-AM"/>
              </w:rPr>
              <w:t>Վերադարձած</w:t>
            </w:r>
            <w:r w:rsidRPr="00BC61ED">
              <w:rPr>
                <w:sz w:val="20"/>
                <w:szCs w:val="20"/>
                <w:lang w:val="de-DE"/>
              </w:rPr>
              <w:t xml:space="preserve"> </w:t>
            </w:r>
            <w:r w:rsidRPr="00BC61ED">
              <w:rPr>
                <w:sz w:val="20"/>
                <w:szCs w:val="20"/>
                <w:lang w:val="hy-AM"/>
              </w:rPr>
              <w:t>միգրանտների</w:t>
            </w:r>
            <w:r w:rsidRPr="00BC61ED">
              <w:rPr>
                <w:sz w:val="20"/>
                <w:szCs w:val="20"/>
                <w:lang w:val="de-DE"/>
              </w:rPr>
              <w:t xml:space="preserve"> </w:t>
            </w:r>
            <w:r w:rsidRPr="00BC61ED">
              <w:rPr>
                <w:sz w:val="20"/>
                <w:szCs w:val="20"/>
                <w:lang w:val="hy-AM"/>
              </w:rPr>
              <w:t>մեծամասնության՝</w:t>
            </w:r>
            <w:r w:rsidRPr="00BC61ED">
              <w:rPr>
                <w:sz w:val="20"/>
                <w:szCs w:val="20"/>
                <w:lang w:val="de-DE"/>
              </w:rPr>
              <w:t xml:space="preserve"> 57,7%-</w:t>
            </w:r>
            <w:r w:rsidRPr="00BC61ED">
              <w:rPr>
                <w:sz w:val="20"/>
                <w:szCs w:val="20"/>
                <w:lang w:val="hy-AM"/>
              </w:rPr>
              <w:t>ի</w:t>
            </w:r>
            <w:r w:rsidRPr="00BC61ED">
              <w:rPr>
                <w:sz w:val="20"/>
                <w:szCs w:val="20"/>
                <w:lang w:val="de-DE"/>
              </w:rPr>
              <w:t xml:space="preserve"> </w:t>
            </w:r>
            <w:r w:rsidRPr="00BC61ED">
              <w:rPr>
                <w:sz w:val="20"/>
                <w:szCs w:val="20"/>
                <w:lang w:val="hy-AM"/>
              </w:rPr>
              <w:t>գնահատմամբ</w:t>
            </w:r>
            <w:r w:rsidRPr="00BC61ED">
              <w:rPr>
                <w:sz w:val="20"/>
                <w:szCs w:val="20"/>
                <w:lang w:val="de-DE"/>
              </w:rPr>
              <w:t xml:space="preserve"> </w:t>
            </w:r>
            <w:r w:rsidRPr="00BC61ED">
              <w:rPr>
                <w:sz w:val="20"/>
                <w:szCs w:val="20"/>
                <w:lang w:val="hy-AM"/>
              </w:rPr>
              <w:t>միգրացիոն</w:t>
            </w:r>
            <w:r w:rsidRPr="00BC61ED">
              <w:rPr>
                <w:sz w:val="20"/>
                <w:szCs w:val="20"/>
                <w:lang w:val="de-DE"/>
              </w:rPr>
              <w:t xml:space="preserve"> </w:t>
            </w:r>
            <w:r w:rsidRPr="00BC61ED">
              <w:rPr>
                <w:sz w:val="20"/>
                <w:szCs w:val="20"/>
                <w:lang w:val="hy-AM"/>
              </w:rPr>
              <w:t>ուղևորության</w:t>
            </w:r>
            <w:r w:rsidRPr="00BC61ED">
              <w:rPr>
                <w:sz w:val="20"/>
                <w:szCs w:val="20"/>
                <w:lang w:val="de-DE"/>
              </w:rPr>
              <w:t xml:space="preserve"> </w:t>
            </w:r>
            <w:r w:rsidRPr="00BC61ED">
              <w:rPr>
                <w:sz w:val="20"/>
                <w:szCs w:val="20"/>
                <w:lang w:val="hy-AM"/>
              </w:rPr>
              <w:t>արդյունքում</w:t>
            </w:r>
            <w:r w:rsidRPr="00BC61ED">
              <w:rPr>
                <w:sz w:val="20"/>
                <w:szCs w:val="20"/>
                <w:lang w:val="de-DE"/>
              </w:rPr>
              <w:t xml:space="preserve"> </w:t>
            </w:r>
            <w:r w:rsidRPr="00BC61ED">
              <w:rPr>
                <w:sz w:val="20"/>
                <w:szCs w:val="20"/>
                <w:lang w:val="hy-AM"/>
              </w:rPr>
              <w:t>տեղի</w:t>
            </w:r>
            <w:r w:rsidRPr="00BC61ED">
              <w:rPr>
                <w:sz w:val="20"/>
                <w:szCs w:val="20"/>
                <w:lang w:val="de-DE"/>
              </w:rPr>
              <w:t xml:space="preserve"> </w:t>
            </w:r>
            <w:r w:rsidRPr="00BC61ED">
              <w:rPr>
                <w:sz w:val="20"/>
                <w:szCs w:val="20"/>
                <w:lang w:val="hy-AM"/>
              </w:rPr>
              <w:t>է</w:t>
            </w:r>
            <w:r w:rsidRPr="00BC61ED">
              <w:rPr>
                <w:sz w:val="20"/>
                <w:szCs w:val="20"/>
                <w:lang w:val="de-DE"/>
              </w:rPr>
              <w:t xml:space="preserve"> </w:t>
            </w:r>
            <w:r w:rsidRPr="00BC61ED">
              <w:rPr>
                <w:sz w:val="20"/>
                <w:szCs w:val="20"/>
                <w:lang w:val="hy-AM"/>
              </w:rPr>
              <w:t>ունեցել</w:t>
            </w:r>
            <w:r w:rsidRPr="00BC61ED">
              <w:rPr>
                <w:sz w:val="20"/>
                <w:szCs w:val="20"/>
                <w:lang w:val="de-DE"/>
              </w:rPr>
              <w:t xml:space="preserve"> </w:t>
            </w:r>
            <w:r w:rsidRPr="00BC61ED">
              <w:rPr>
                <w:sz w:val="20"/>
                <w:szCs w:val="20"/>
                <w:lang w:val="hy-AM"/>
              </w:rPr>
              <w:t>իրենց</w:t>
            </w:r>
            <w:r w:rsidRPr="00BC61ED">
              <w:rPr>
                <w:sz w:val="20"/>
                <w:szCs w:val="20"/>
                <w:lang w:val="de-DE"/>
              </w:rPr>
              <w:t xml:space="preserve"> </w:t>
            </w:r>
            <w:r w:rsidRPr="00BC61ED">
              <w:rPr>
                <w:sz w:val="20"/>
                <w:szCs w:val="20"/>
                <w:lang w:val="hy-AM"/>
              </w:rPr>
              <w:t>գիտելիքների</w:t>
            </w:r>
            <w:r w:rsidRPr="00BC61ED">
              <w:rPr>
                <w:sz w:val="20"/>
                <w:szCs w:val="20"/>
                <w:lang w:val="de-DE"/>
              </w:rPr>
              <w:t xml:space="preserve"> </w:t>
            </w:r>
            <w:r w:rsidRPr="00BC61ED">
              <w:rPr>
                <w:sz w:val="20"/>
                <w:szCs w:val="20"/>
                <w:lang w:val="hy-AM"/>
              </w:rPr>
              <w:t>և</w:t>
            </w:r>
            <w:r w:rsidRPr="00BC61ED">
              <w:rPr>
                <w:sz w:val="20"/>
                <w:szCs w:val="20"/>
                <w:lang w:val="de-DE"/>
              </w:rPr>
              <w:t xml:space="preserve"> </w:t>
            </w:r>
            <w:r w:rsidRPr="00BC61ED">
              <w:rPr>
                <w:sz w:val="20"/>
                <w:szCs w:val="20"/>
                <w:lang w:val="hy-AM"/>
              </w:rPr>
              <w:t>հմտությունների</w:t>
            </w:r>
            <w:r w:rsidRPr="00BC61ED">
              <w:rPr>
                <w:sz w:val="20"/>
                <w:szCs w:val="20"/>
                <w:lang w:val="de-DE"/>
              </w:rPr>
              <w:t xml:space="preserve"> </w:t>
            </w:r>
            <w:r w:rsidRPr="00BC61ED">
              <w:rPr>
                <w:sz w:val="20"/>
                <w:szCs w:val="20"/>
                <w:lang w:val="hy-AM"/>
              </w:rPr>
              <w:t>ավելացում</w:t>
            </w:r>
            <w:r w:rsidRPr="00BC61ED">
              <w:rPr>
                <w:sz w:val="20"/>
                <w:szCs w:val="20"/>
                <w:lang w:val="de-DE"/>
              </w:rPr>
              <w:t xml:space="preserve">, </w:t>
            </w:r>
            <w:r w:rsidRPr="00BC61ED">
              <w:rPr>
                <w:sz w:val="20"/>
                <w:szCs w:val="20"/>
                <w:lang w:val="hy-AM"/>
              </w:rPr>
              <w:t>ընդ</w:t>
            </w:r>
            <w:r w:rsidRPr="00BC61ED">
              <w:rPr>
                <w:sz w:val="20"/>
                <w:szCs w:val="20"/>
                <w:lang w:val="de-DE"/>
              </w:rPr>
              <w:t xml:space="preserve"> </w:t>
            </w:r>
            <w:r w:rsidRPr="00BC61ED">
              <w:rPr>
                <w:sz w:val="20"/>
                <w:szCs w:val="20"/>
                <w:lang w:val="hy-AM"/>
              </w:rPr>
              <w:t>որում</w:t>
            </w:r>
            <w:r w:rsidRPr="00BC61ED">
              <w:rPr>
                <w:sz w:val="20"/>
                <w:szCs w:val="20"/>
                <w:lang w:val="de-DE"/>
              </w:rPr>
              <w:t xml:space="preserve"> </w:t>
            </w:r>
            <w:r w:rsidRPr="00BC61ED">
              <w:rPr>
                <w:sz w:val="20"/>
                <w:szCs w:val="20"/>
                <w:lang w:val="hy-AM"/>
              </w:rPr>
              <w:t>բավական</w:t>
            </w:r>
            <w:r w:rsidRPr="00BC61ED">
              <w:rPr>
                <w:sz w:val="20"/>
                <w:szCs w:val="20"/>
                <w:lang w:val="de-DE"/>
              </w:rPr>
              <w:t xml:space="preserve"> </w:t>
            </w:r>
            <w:r w:rsidRPr="00BC61ED">
              <w:rPr>
                <w:sz w:val="20"/>
                <w:szCs w:val="20"/>
                <w:lang w:val="hy-AM"/>
              </w:rPr>
              <w:t>պատկառելի</w:t>
            </w:r>
            <w:r w:rsidRPr="00BC61ED">
              <w:rPr>
                <w:sz w:val="20"/>
                <w:szCs w:val="20"/>
                <w:lang w:val="de-DE"/>
              </w:rPr>
              <w:t xml:space="preserve"> </w:t>
            </w:r>
            <w:r w:rsidRPr="00BC61ED">
              <w:rPr>
                <w:sz w:val="20"/>
                <w:szCs w:val="20"/>
                <w:lang w:val="hy-AM"/>
              </w:rPr>
              <w:t>մասի՝</w:t>
            </w:r>
            <w:r w:rsidRPr="00BC61ED">
              <w:rPr>
                <w:sz w:val="20"/>
                <w:szCs w:val="20"/>
                <w:lang w:val="de-DE"/>
              </w:rPr>
              <w:t xml:space="preserve"> 15,5%-</w:t>
            </w:r>
            <w:r w:rsidRPr="00BC61ED">
              <w:rPr>
                <w:sz w:val="20"/>
                <w:szCs w:val="20"/>
                <w:lang w:val="hy-AM"/>
              </w:rPr>
              <w:t>ի</w:t>
            </w:r>
            <w:r w:rsidRPr="00BC61ED">
              <w:rPr>
                <w:sz w:val="20"/>
                <w:szCs w:val="20"/>
                <w:lang w:val="de-DE"/>
              </w:rPr>
              <w:t xml:space="preserve">, </w:t>
            </w:r>
            <w:r w:rsidRPr="00BC61ED">
              <w:rPr>
                <w:sz w:val="20"/>
                <w:szCs w:val="20"/>
                <w:lang w:val="hy-AM"/>
              </w:rPr>
              <w:t>կարծիքով՝</w:t>
            </w:r>
            <w:r w:rsidRPr="00BC61ED">
              <w:rPr>
                <w:sz w:val="20"/>
                <w:szCs w:val="20"/>
                <w:lang w:val="de-DE"/>
              </w:rPr>
              <w:t xml:space="preserve"> «զգալի»:</w:t>
            </w:r>
          </w:p>
          <w:p w:rsidR="0068680D" w:rsidRPr="00BC61ED" w:rsidRDefault="0068680D" w:rsidP="00F47DC4">
            <w:pPr>
              <w:spacing w:after="0" w:line="276" w:lineRule="auto"/>
              <w:ind w:firstLine="375"/>
              <w:rPr>
                <w:sz w:val="20"/>
                <w:szCs w:val="20"/>
                <w:lang w:val="hy-AM"/>
              </w:rPr>
            </w:pPr>
            <w:r w:rsidRPr="00BC61ED">
              <w:rPr>
                <w:sz w:val="20"/>
                <w:szCs w:val="20"/>
                <w:lang w:val="de-DE"/>
              </w:rPr>
              <w:t>Միգրացիայի դրական ազդեցության ուժեղացումը ուղղակիորեն կապված է էմիգրանտների, ինչպես նաև իմիգրանտների և վերադարձող միգրանտների ֆինանսական ռեսուրսների համախմբման և բոլոր այս խմբերին ազգային ու տեղական մակարդակներում տնտեսության զարգացման մեջ ընդգրկման հետ:</w:t>
            </w:r>
            <w:r w:rsidRPr="00BC61ED">
              <w:rPr>
                <w:sz w:val="20"/>
                <w:szCs w:val="20"/>
                <w:lang w:val="hy-AM"/>
              </w:rPr>
              <w:t xml:space="preserve"> 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6.7-րդ բաժնով նախատեսված հանձնառություններից:</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Միջոցառման իրականացման  նպատակը</w:t>
            </w:r>
          </w:p>
          <w:p w:rsidR="0068680D" w:rsidRPr="00BC61ED" w:rsidRDefault="0068680D" w:rsidP="00F47DC4">
            <w:pPr>
              <w:spacing w:after="0" w:line="276" w:lineRule="auto"/>
              <w:ind w:firstLine="375"/>
              <w:rPr>
                <w:rFonts w:eastAsia="Times New Roman"/>
                <w:sz w:val="20"/>
                <w:szCs w:val="20"/>
                <w:lang w:val="hy-AM"/>
              </w:rPr>
            </w:pPr>
            <w:r w:rsidRPr="00BC61ED">
              <w:rPr>
                <w:sz w:val="20"/>
                <w:szCs w:val="20"/>
                <w:lang w:val="hy-AM"/>
              </w:rPr>
              <w:t>Միգրանտների տնտեսական և մարդկային ներուժի ուղղորդումը երկրի սոցիալ</w:t>
            </w:r>
            <w:r w:rsidRPr="00BC61ED">
              <w:rPr>
                <w:sz w:val="20"/>
                <w:szCs w:val="20"/>
                <w:lang w:val="de-DE"/>
              </w:rPr>
              <w:t>-</w:t>
            </w:r>
            <w:r w:rsidRPr="00BC61ED">
              <w:rPr>
                <w:sz w:val="20"/>
                <w:szCs w:val="20"/>
                <w:lang w:val="hy-AM"/>
              </w:rPr>
              <w:t>տնտեսական</w:t>
            </w:r>
            <w:r w:rsidRPr="00BC61ED">
              <w:rPr>
                <w:sz w:val="20"/>
                <w:szCs w:val="20"/>
                <w:lang w:val="de-DE"/>
              </w:rPr>
              <w:t xml:space="preserve"> </w:t>
            </w:r>
            <w:r w:rsidRPr="00BC61ED">
              <w:rPr>
                <w:sz w:val="20"/>
                <w:szCs w:val="20"/>
                <w:lang w:val="hy-AM"/>
              </w:rPr>
              <w:t xml:space="preserve">զարգացման գործին: </w:t>
            </w:r>
            <w:r w:rsidRPr="00BC61ED">
              <w:rPr>
                <w:rFonts w:eastAsia="Times New Roman"/>
                <w:sz w:val="20"/>
                <w:szCs w:val="20"/>
                <w:lang w:val="hy-AM"/>
              </w:rPr>
              <w:t>Միգրանտների հյուրընկալ երկրում կուտակած ֆինանսական ռեսուրսները Հայաստանում ներդնելու համար նպաստավոր միջավայրի ստեղծում, աշխատանքային միգրանտներին և վերադարձողներին իրականացնելու իրենց ձեռնարկատիրական/բիզնես գաղափարների աջակցում՝ արդյունքում ապահովելով հայ միգրանտների արդյունավետ և հաջող վերադարձը հայրենիք։</w:t>
            </w:r>
          </w:p>
          <w:p w:rsidR="0068680D" w:rsidRPr="00BC61ED" w:rsidRDefault="0068680D" w:rsidP="00F47DC4">
            <w:pPr>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1 կարգավորման հարաբերությունների ներկա վիճակը և առկա խնդիրները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Միջազգային փորձի ուսումնասիրության արդյունքում ՀՀ ՏԿԶՆ միգրացիոն ծառայության կողմից մշակվել է </w:t>
            </w:r>
            <w:r w:rsidRPr="00BC61ED">
              <w:rPr>
                <w:rFonts w:cs="Arial"/>
                <w:sz w:val="20"/>
                <w:szCs w:val="20"/>
                <w:shd w:val="clear" w:color="auto" w:fill="FFFFFF"/>
                <w:lang w:val="hy-AM"/>
              </w:rPr>
              <w:t>«</w:t>
            </w:r>
            <w:r w:rsidRPr="00BC61ED">
              <w:rPr>
                <w:rFonts w:cs="Arial"/>
                <w:b/>
                <w:i/>
                <w:sz w:val="20"/>
                <w:szCs w:val="20"/>
                <w:shd w:val="clear" w:color="auto" w:fill="FFFFFF"/>
                <w:lang w:val="hy-AM"/>
              </w:rPr>
              <w:t>Միգրանտները վերադառնում և գործում են. 1+1</w:t>
            </w:r>
            <w:r w:rsidRPr="00BC61ED">
              <w:rPr>
                <w:rFonts w:cs="Arial"/>
                <w:sz w:val="20"/>
                <w:szCs w:val="20"/>
                <w:shd w:val="clear" w:color="auto" w:fill="FFFFFF"/>
                <w:lang w:val="hy-AM"/>
              </w:rPr>
              <w:t>»</w:t>
            </w:r>
            <w:r w:rsidRPr="00BC61ED">
              <w:rPr>
                <w:rFonts w:eastAsia="Times New Roman"/>
                <w:sz w:val="20"/>
                <w:szCs w:val="20"/>
                <w:lang w:val="hy-AM"/>
              </w:rPr>
              <w:t xml:space="preserve"> ծրագրի նախագիծը։ Ծրագրի շնորհիվ միգրանտները, այդ  թվում՝  վերադարձած, ինչպես  նաև  աշխատանքային միգրանտների  և  նրանց ընտանքիների անդամներին, տրվում է հնարավորություն սկսելու փոքր կամ միջին բիզնես իրենց համայնքներում։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Ծրագրի ձևաչափը հետևյալն է՝ միգրանտը, այդ  թվում՝  վերադարձած, ինչպես  նաև  աշխատանքային միգրանտների  և  նրանց ընտանքիների անդամները, հյուրընկալ երկրում կուտակած իրենց ֆինանսական ռեսուրսների և դոնոր կազմակերպությունից ստացած համահավասար ֆինանսավորմամբ Հայաստանի Հանրապետության տարածքում կատարում է ներդրում՝ սեփական ձեռնարկատիրական և բիզնես ծրագրերը իրականացնելու համար։ Ծրագրային նախագիծը քննարկվում է ՀՀ տնտեսական զարգացման և ներդրումների նախարարության հետ՝ ծրագրի հետագա ֆինանսավորման հարցը դոնոր կազմակերպությունների միջոցով լուծելու նպատակով։</w:t>
            </w:r>
          </w:p>
          <w:p w:rsidR="0068680D" w:rsidRPr="00BC61ED" w:rsidRDefault="0068680D" w:rsidP="00F47DC4">
            <w:pPr>
              <w:spacing w:after="0" w:line="276" w:lineRule="auto"/>
              <w:ind w:left="375"/>
              <w:rPr>
                <w:rFonts w:eastAsia="Times New Roman"/>
                <w:b/>
                <w:sz w:val="20"/>
                <w:szCs w:val="20"/>
                <w:lang w:val="hy-AM"/>
              </w:rPr>
            </w:pPr>
            <w:r w:rsidRPr="00BC61ED">
              <w:rPr>
                <w:rFonts w:eastAsia="Times New Roman"/>
                <w:b/>
                <w:sz w:val="20"/>
                <w:szCs w:val="20"/>
                <w:lang w:val="hy-AM"/>
              </w:rPr>
              <w:t>1</w:t>
            </w:r>
            <w:r w:rsidRPr="00BC61ED">
              <w:rPr>
                <w:rFonts w:ascii="Cambria Math" w:eastAsia="Times New Roman" w:hAnsi="Cambria Math" w:cs="Cambria Math"/>
                <w:b/>
                <w:sz w:val="20"/>
                <w:szCs w:val="20"/>
                <w:lang w:val="hy-AM"/>
              </w:rPr>
              <w:t>․</w:t>
            </w:r>
            <w:r w:rsidRPr="00BC61ED">
              <w:rPr>
                <w:rFonts w:eastAsia="Times New Roman"/>
                <w:b/>
                <w:sz w:val="20"/>
                <w:szCs w:val="20"/>
                <w:lang w:val="hy-AM"/>
              </w:rPr>
              <w:t xml:space="preserve">2 առկա խնդիրների առաջարկվող լուծումները </w:t>
            </w:r>
          </w:p>
          <w:p w:rsidR="0068680D" w:rsidRPr="00BC61ED" w:rsidRDefault="0068680D" w:rsidP="00F47DC4">
            <w:pPr>
              <w:spacing w:after="0" w:line="276" w:lineRule="auto"/>
              <w:ind w:firstLine="375"/>
              <w:contextualSpacing/>
              <w:rPr>
                <w:sz w:val="20"/>
                <w:szCs w:val="20"/>
                <w:lang w:val="hy-AM"/>
              </w:rPr>
            </w:pPr>
            <w:r w:rsidRPr="00BC61ED">
              <w:rPr>
                <w:rFonts w:cs="Sylfaen"/>
                <w:sz w:val="20"/>
                <w:szCs w:val="20"/>
                <w:lang w:val="hy-AM"/>
              </w:rPr>
              <w:t>Միջազգային կազմակերպությունների հետ համատեղ մշակել</w:t>
            </w:r>
            <w:r w:rsidRPr="00BC61ED">
              <w:rPr>
                <w:sz w:val="20"/>
                <w:szCs w:val="20"/>
                <w:lang w:val="hy-AM"/>
              </w:rPr>
              <w:t xml:space="preserve"> և իրականացնել </w:t>
            </w:r>
            <w:r w:rsidRPr="00BC61ED">
              <w:rPr>
                <w:rFonts w:cs="Sylfaen"/>
                <w:sz w:val="20"/>
                <w:szCs w:val="20"/>
                <w:lang w:val="hy-AM"/>
              </w:rPr>
              <w:t>թիրախային</w:t>
            </w:r>
            <w:r w:rsidRPr="00BC61ED">
              <w:rPr>
                <w:sz w:val="20"/>
                <w:szCs w:val="20"/>
                <w:lang w:val="hy-AM"/>
              </w:rPr>
              <w:t xml:space="preserve"> </w:t>
            </w:r>
            <w:r w:rsidRPr="00BC61ED">
              <w:rPr>
                <w:rFonts w:cs="Sylfaen"/>
                <w:sz w:val="20"/>
                <w:szCs w:val="20"/>
                <w:lang w:val="hy-AM"/>
              </w:rPr>
              <w:t>ծրագրեր՝</w:t>
            </w:r>
            <w:r w:rsidRPr="00BC61ED">
              <w:rPr>
                <w:sz w:val="20"/>
                <w:szCs w:val="20"/>
                <w:lang w:val="hy-AM"/>
              </w:rPr>
              <w:t xml:space="preserve"> </w:t>
            </w:r>
            <w:r w:rsidRPr="00BC61ED">
              <w:rPr>
                <w:rFonts w:cs="Sylfaen"/>
                <w:sz w:val="20"/>
                <w:szCs w:val="20"/>
                <w:lang w:val="hy-AM"/>
              </w:rPr>
              <w:t>ապահովելու</w:t>
            </w:r>
            <w:r w:rsidRPr="00BC61ED">
              <w:rPr>
                <w:sz w:val="20"/>
                <w:szCs w:val="20"/>
                <w:lang w:val="hy-AM"/>
              </w:rPr>
              <w:t xml:space="preserve"> </w:t>
            </w:r>
            <w:r w:rsidRPr="00BC61ED">
              <w:rPr>
                <w:rFonts w:cs="Sylfaen"/>
                <w:sz w:val="20"/>
                <w:szCs w:val="20"/>
                <w:lang w:val="hy-AM"/>
              </w:rPr>
              <w:t>արտերկրում</w:t>
            </w:r>
            <w:r w:rsidRPr="00BC61ED">
              <w:rPr>
                <w:sz w:val="20"/>
                <w:szCs w:val="20"/>
                <w:lang w:val="hy-AM"/>
              </w:rPr>
              <w:t xml:space="preserve"> </w:t>
            </w:r>
            <w:r w:rsidRPr="00BC61ED">
              <w:rPr>
                <w:rFonts w:cs="Sylfaen"/>
                <w:sz w:val="20"/>
                <w:szCs w:val="20"/>
                <w:lang w:val="hy-AM"/>
              </w:rPr>
              <w:t>բնակվող</w:t>
            </w:r>
            <w:r w:rsidRPr="00BC61ED">
              <w:rPr>
                <w:sz w:val="20"/>
                <w:szCs w:val="20"/>
                <w:lang w:val="hy-AM"/>
              </w:rPr>
              <w:t xml:space="preserve"> աշխատանքային </w:t>
            </w:r>
            <w:r w:rsidRPr="00BC61ED">
              <w:rPr>
                <w:sz w:val="20"/>
                <w:szCs w:val="20"/>
                <w:lang w:val="de-DE"/>
              </w:rPr>
              <w:t xml:space="preserve">միգրանտների </w:t>
            </w:r>
            <w:r w:rsidRPr="00BC61ED">
              <w:rPr>
                <w:sz w:val="20"/>
                <w:szCs w:val="20"/>
                <w:lang w:val="hy-AM"/>
              </w:rPr>
              <w:t>հմտությունների, մտավոր ներուժի</w:t>
            </w:r>
            <w:r w:rsidRPr="00BC61ED">
              <w:rPr>
                <w:rFonts w:cs="Sylfaen"/>
                <w:sz w:val="20"/>
                <w:szCs w:val="20"/>
                <w:lang w:val="hy-AM"/>
              </w:rPr>
              <w:t>, փորձի և ֆինանսական ռեսուրսների արդյունավետ օգտագործումը</w:t>
            </w:r>
            <w:r w:rsidRPr="00BC61ED">
              <w:rPr>
                <w:sz w:val="20"/>
                <w:szCs w:val="20"/>
                <w:lang w:val="hy-AM"/>
              </w:rPr>
              <w:t xml:space="preserve"> Հայաստանում։ </w:t>
            </w:r>
          </w:p>
          <w:p w:rsidR="0068680D" w:rsidRPr="00BC61ED" w:rsidRDefault="0068680D" w:rsidP="0068680D">
            <w:pPr>
              <w:pStyle w:val="ListParagraph"/>
              <w:numPr>
                <w:ilvl w:val="0"/>
                <w:numId w:val="141"/>
              </w:numPr>
              <w:spacing w:after="0" w:line="276" w:lineRule="auto"/>
              <w:jc w:val="both"/>
              <w:rPr>
                <w:rFonts w:eastAsia="Times New Roman"/>
                <w:b/>
                <w:sz w:val="20"/>
                <w:szCs w:val="20"/>
                <w:lang w:val="hy-AM"/>
              </w:rPr>
            </w:pPr>
            <w:r w:rsidRPr="00BC61ED">
              <w:rPr>
                <w:rFonts w:eastAsia="Times New Roman"/>
                <w:b/>
                <w:sz w:val="20"/>
                <w:szCs w:val="20"/>
                <w:lang w:val="hy-AM"/>
              </w:rPr>
              <w:t>Միջոցառման իրականացումից ակնկալվող արդյունքը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Հայ միգրանտների հաջողված և կայուն վերաինտեգրումը հայրենիքում, տեղական ձեռնարկատիրության խրախուսում, ինչպես նաև Հայաստանի համայնքների, մասնավորապես՝ գյուղական համայնքների զարգացում։</w:t>
            </w:r>
          </w:p>
          <w:p w:rsidR="0068680D" w:rsidRPr="00BC61ED" w:rsidRDefault="0068680D" w:rsidP="00F47DC4">
            <w:pPr>
              <w:spacing w:after="0" w:line="276" w:lineRule="auto"/>
              <w:ind w:firstLine="375"/>
              <w:rPr>
                <w:rFonts w:eastAsia="Times New Roman"/>
                <w:sz w:val="20"/>
                <w:szCs w:val="20"/>
                <w:lang w:val="hy-AM"/>
              </w:rPr>
            </w:pP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2</w:t>
            </w:r>
            <w:r>
              <w:rPr>
                <w:rFonts w:eastAsia="Times New Roman"/>
                <w:b/>
                <w:sz w:val="20"/>
                <w:szCs w:val="20"/>
                <w:lang w:val="hy-AM"/>
              </w:rPr>
              <w:t>0</w:t>
            </w:r>
            <w:r w:rsidRPr="00BC61ED">
              <w:rPr>
                <w:rFonts w:eastAsia="Times New Roman"/>
                <w:b/>
                <w:sz w:val="20"/>
                <w:szCs w:val="20"/>
                <w:lang w:val="hy-AM"/>
              </w:rPr>
              <w:t>.2 Միգրանտների կողմից Հայաստանի համայնքներում կատարած ներդրումների  հաջողված պատմությունների ներկայացում պետական մարմինների կայքէջերի, սոցիալական ցանցերի և տեղեկատվական այլ միջոցներով</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 xml:space="preserve">1. Միջոցառման իրականացման անհրաժեշտությունը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ՀՀ բնակչության մի զգալի հատվածը ներգրավված է աշխատանքային միգրացիայի գործընթացում, ինչի արդյունքում բավականին մեծ գումարներ դրամական փոխանցումների տեսքով փոխանցվում են ՀՀ և մասնավորապես համայնքներ։ </w:t>
            </w:r>
          </w:p>
          <w:p w:rsidR="0068680D" w:rsidRPr="00BC61ED" w:rsidRDefault="0068680D" w:rsidP="00F47DC4">
            <w:pPr>
              <w:spacing w:after="0" w:line="276" w:lineRule="auto"/>
              <w:ind w:firstLine="375"/>
              <w:rPr>
                <w:sz w:val="20"/>
                <w:szCs w:val="20"/>
                <w:lang w:val="hy-AM"/>
              </w:rPr>
            </w:pPr>
            <w:r w:rsidRPr="00BC61ED">
              <w:rPr>
                <w:rFonts w:eastAsia="Times New Roman"/>
                <w:sz w:val="20"/>
                <w:szCs w:val="20"/>
                <w:lang w:val="hy-AM"/>
              </w:rPr>
              <w:t xml:space="preserve">Ստացված դրամական փոխանցումները դեպի ներդրումներ ուղղելու արդյունքում հնարավորություն կստեղծվի ոչ միայն ապահովել համայնքային զարգացումը, այլև կրճատել աշխատանքային միգրացիայում ներգրավված անձանց թիվը, ինչը իր հերթին կհանգեցնի համայնքի բարոյահոգեբանական մթնոլորտի բարելավմանը։ </w:t>
            </w:r>
            <w:r w:rsidRPr="00BC61ED">
              <w:rPr>
                <w:sz w:val="20"/>
                <w:szCs w:val="20"/>
                <w:lang w:val="hy-AM"/>
              </w:rPr>
              <w:t xml:space="preserve">Դա բխում է նաև </w:t>
            </w:r>
            <w:r w:rsidRPr="008B587D">
              <w:rPr>
                <w:sz w:val="20"/>
                <w:lang w:val="af-ZA"/>
              </w:rPr>
              <w:t xml:space="preserve">ՀՀ Ազգային ժողովի 14.02.2019թ. N ԱԺՈ-002-Ն որոշմամբ հավանության արժանացած </w:t>
            </w:r>
            <w:r>
              <w:rPr>
                <w:sz w:val="20"/>
                <w:lang w:val="hy-AM"/>
              </w:rPr>
              <w:t>ՀՀ</w:t>
            </w:r>
            <w:r w:rsidRPr="008B587D">
              <w:rPr>
                <w:sz w:val="20"/>
                <w:lang w:val="af-ZA"/>
              </w:rPr>
              <w:t xml:space="preserve"> կառավարության ծրագրի</w:t>
            </w:r>
            <w:r w:rsidRPr="00BC61ED">
              <w:rPr>
                <w:sz w:val="20"/>
                <w:szCs w:val="20"/>
                <w:lang w:val="hy-AM"/>
              </w:rPr>
              <w:t xml:space="preserve"> 6.7-րդ բաժնով նախատեսված հանձնառություններից:</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Միջոցառման իրականացման  նպատակը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Պայմանավորված տարբեր համայնքների զարգացվածության աստիճանից, ինչպես նաև կարիքներից և բնակլիմայական պայմաններից յուրաքանչյուր համայնքում ծրագրի իրականացումը կարող է ունենալ տարբեր նպատակներ։ </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 xml:space="preserve">Ծրագրի իրականացման նպատակն է թիրախավորված տեղեկատվության տրամադրում կոնկրետ համայնքներում առկա զարգացման հնարավորությունների մասին միգրանտների կոնկրետ խմբերին։ </w:t>
            </w:r>
          </w:p>
          <w:p w:rsidR="0068680D" w:rsidRPr="00BC61ED" w:rsidRDefault="0068680D" w:rsidP="00F47DC4">
            <w:pPr>
              <w:spacing w:after="0" w:line="276" w:lineRule="auto"/>
              <w:ind w:firstLine="375"/>
              <w:rPr>
                <w:rFonts w:eastAsia="Times New Roman"/>
                <w:b/>
                <w:sz w:val="20"/>
                <w:szCs w:val="20"/>
                <w:lang w:val="hy-AM"/>
              </w:rPr>
            </w:pPr>
            <w:r w:rsidRPr="00BC61ED">
              <w:rPr>
                <w:rFonts w:eastAsia="Times New Roman"/>
                <w:b/>
                <w:sz w:val="20"/>
                <w:szCs w:val="20"/>
                <w:lang w:val="hy-AM"/>
              </w:rPr>
              <w:t>2. Միջոցառման իրականացումից ակնկալվող արդյունքը</w:t>
            </w:r>
          </w:p>
          <w:p w:rsidR="0068680D" w:rsidRPr="00BC61ED" w:rsidRDefault="0068680D" w:rsidP="00F47DC4">
            <w:pPr>
              <w:spacing w:after="0" w:line="276" w:lineRule="auto"/>
              <w:ind w:firstLine="375"/>
              <w:rPr>
                <w:rFonts w:eastAsia="Times New Roman"/>
                <w:sz w:val="20"/>
                <w:szCs w:val="20"/>
                <w:lang w:val="hy-AM"/>
              </w:rPr>
            </w:pPr>
            <w:r w:rsidRPr="00BC61ED">
              <w:rPr>
                <w:rFonts w:eastAsia="Times New Roman"/>
                <w:sz w:val="20"/>
                <w:szCs w:val="20"/>
                <w:lang w:val="hy-AM"/>
              </w:rPr>
              <w:t>Ծրագրի արդյունավետ կիրարկման արդյունքում հնարավոր կլինի.</w:t>
            </w:r>
          </w:p>
          <w:p w:rsidR="0068680D" w:rsidRPr="00BC61ED" w:rsidRDefault="0068680D" w:rsidP="0068680D">
            <w:pPr>
              <w:pStyle w:val="ListParagraph"/>
              <w:numPr>
                <w:ilvl w:val="0"/>
                <w:numId w:val="143"/>
              </w:numPr>
              <w:spacing w:after="0" w:line="276" w:lineRule="auto"/>
              <w:jc w:val="both"/>
              <w:rPr>
                <w:rFonts w:eastAsia="Times New Roman"/>
                <w:sz w:val="20"/>
                <w:szCs w:val="20"/>
                <w:lang w:val="hy-AM"/>
              </w:rPr>
            </w:pPr>
            <w:r w:rsidRPr="00BC61ED">
              <w:rPr>
                <w:rFonts w:eastAsia="Times New Roman"/>
                <w:sz w:val="20"/>
                <w:szCs w:val="20"/>
                <w:lang w:val="hy-AM"/>
              </w:rPr>
              <w:t>Դրամական փոխանցումների ուղղումը դեպի համայնքային զարգացման ծրագրեր՝ ներդրումների տեսքով,</w:t>
            </w:r>
          </w:p>
          <w:p w:rsidR="0068680D" w:rsidRPr="00BC61ED" w:rsidRDefault="0068680D" w:rsidP="0068680D">
            <w:pPr>
              <w:pStyle w:val="ListParagraph"/>
              <w:numPr>
                <w:ilvl w:val="0"/>
                <w:numId w:val="143"/>
              </w:numPr>
              <w:spacing w:after="0" w:line="276" w:lineRule="auto"/>
              <w:jc w:val="both"/>
              <w:rPr>
                <w:rFonts w:eastAsia="Times New Roman"/>
                <w:sz w:val="20"/>
                <w:szCs w:val="20"/>
                <w:lang w:val="hy-AM"/>
              </w:rPr>
            </w:pPr>
            <w:r w:rsidRPr="00BC61ED">
              <w:rPr>
                <w:rFonts w:eastAsia="Times New Roman"/>
                <w:sz w:val="20"/>
                <w:szCs w:val="20"/>
                <w:lang w:val="hy-AM"/>
              </w:rPr>
              <w:t>Համայնքների ներդրումային ներուժի և գրավչության աճ,</w:t>
            </w:r>
          </w:p>
          <w:p w:rsidR="0068680D" w:rsidRPr="00BC61ED" w:rsidRDefault="0068680D" w:rsidP="0068680D">
            <w:pPr>
              <w:pStyle w:val="ListParagraph"/>
              <w:numPr>
                <w:ilvl w:val="0"/>
                <w:numId w:val="143"/>
              </w:numPr>
              <w:spacing w:after="0" w:line="276" w:lineRule="auto"/>
              <w:jc w:val="both"/>
              <w:rPr>
                <w:rFonts w:eastAsia="Times New Roman"/>
                <w:sz w:val="20"/>
                <w:szCs w:val="20"/>
                <w:lang w:val="hy-AM"/>
              </w:rPr>
            </w:pPr>
            <w:r w:rsidRPr="00BC61ED">
              <w:rPr>
                <w:rFonts w:eastAsia="Times New Roman"/>
                <w:sz w:val="20"/>
                <w:szCs w:val="20"/>
                <w:lang w:val="hy-AM"/>
              </w:rPr>
              <w:t xml:space="preserve">Միգրանտների օտարերկրյա կապերի շնորհիվ օտարերկյա ուղղիղ ներդրումների հոսքի ապահովում։ </w:t>
            </w:r>
          </w:p>
          <w:p w:rsidR="0068680D" w:rsidRPr="00BC61ED" w:rsidRDefault="0068680D" w:rsidP="00F47DC4">
            <w:pPr>
              <w:spacing w:after="0" w:line="276" w:lineRule="auto"/>
              <w:jc w:val="center"/>
              <w:rPr>
                <w:b/>
                <w:sz w:val="20"/>
                <w:szCs w:val="20"/>
                <w:lang w:val="hy-AM"/>
              </w:rPr>
            </w:pPr>
          </w:p>
        </w:tc>
      </w:tr>
      <w:tr w:rsidR="0068680D" w:rsidRPr="00DE2EFA" w:rsidTr="00F47DC4">
        <w:tc>
          <w:tcPr>
            <w:tcW w:w="601" w:type="dxa"/>
            <w:shd w:val="clear" w:color="auto" w:fill="auto"/>
          </w:tcPr>
          <w:p w:rsidR="0068680D" w:rsidRPr="00BC61ED" w:rsidRDefault="0068680D" w:rsidP="00F47DC4">
            <w:pPr>
              <w:spacing w:after="0" w:line="276" w:lineRule="auto"/>
              <w:jc w:val="center"/>
              <w:rPr>
                <w:b/>
                <w:sz w:val="20"/>
                <w:szCs w:val="20"/>
                <w:lang w:val="hy-AM"/>
              </w:rPr>
            </w:pPr>
            <w:r w:rsidRPr="00BC61ED">
              <w:rPr>
                <w:b/>
                <w:sz w:val="20"/>
                <w:szCs w:val="20"/>
                <w:lang w:val="hy-AM"/>
              </w:rPr>
              <w:t>2</w:t>
            </w:r>
            <w:r>
              <w:rPr>
                <w:b/>
                <w:sz w:val="20"/>
                <w:szCs w:val="20"/>
                <w:lang w:val="hy-AM"/>
              </w:rPr>
              <w:t>1</w:t>
            </w:r>
            <w:r w:rsidRPr="00BC61ED">
              <w:rPr>
                <w:b/>
                <w:sz w:val="20"/>
                <w:szCs w:val="20"/>
                <w:lang w:val="hy-AM"/>
              </w:rPr>
              <w:t>.</w:t>
            </w:r>
          </w:p>
        </w:tc>
        <w:tc>
          <w:tcPr>
            <w:tcW w:w="10915" w:type="dxa"/>
            <w:shd w:val="clear" w:color="auto" w:fill="auto"/>
          </w:tcPr>
          <w:p w:rsidR="0068680D" w:rsidRPr="00BC61ED" w:rsidRDefault="0068680D" w:rsidP="00F47DC4">
            <w:pPr>
              <w:spacing w:after="0" w:line="276" w:lineRule="auto"/>
              <w:ind w:left="426"/>
              <w:jc w:val="center"/>
              <w:rPr>
                <w:rFonts w:cs="Courier New"/>
                <w:b/>
                <w:sz w:val="20"/>
                <w:szCs w:val="20"/>
                <w:lang w:val="hy-AM"/>
              </w:rPr>
            </w:pPr>
            <w:r w:rsidRPr="00BC61ED">
              <w:rPr>
                <w:rFonts w:cs="Sylfaen"/>
                <w:b/>
                <w:noProof/>
                <w:sz w:val="20"/>
                <w:szCs w:val="20"/>
                <w:lang w:val="hy-AM"/>
              </w:rPr>
              <w:t>Պետական կառավարման մարմինների կողմից տնօրինվող տեղեկատվության թվայնացման, միասնական և համապարփակ տեղեկատվական շտեմարանների ձևավորման, պետական տեղեկատվական ծրագրերի համաժամանակեցման իրականացում, տեղեկատվական համակարգերի փոխադարձ համալրում և ռացիոնալ օգտագործում</w:t>
            </w:r>
          </w:p>
          <w:p w:rsidR="0068680D" w:rsidRPr="00BC61ED" w:rsidRDefault="0068680D" w:rsidP="00F47DC4">
            <w:pPr>
              <w:spacing w:after="0" w:line="276" w:lineRule="auto"/>
              <w:ind w:firstLine="375"/>
              <w:rPr>
                <w:sz w:val="20"/>
                <w:szCs w:val="20"/>
                <w:lang w:val="hy-AM"/>
              </w:rPr>
            </w:pPr>
          </w:p>
          <w:p w:rsidR="0068680D" w:rsidRPr="00BC61ED" w:rsidRDefault="0068680D" w:rsidP="0068680D">
            <w:pPr>
              <w:numPr>
                <w:ilvl w:val="0"/>
                <w:numId w:val="140"/>
              </w:numPr>
              <w:spacing w:after="0" w:line="276" w:lineRule="auto"/>
              <w:jc w:val="both"/>
              <w:rPr>
                <w:b/>
                <w:sz w:val="20"/>
                <w:szCs w:val="20"/>
                <w:lang w:val="fr-FR"/>
              </w:rPr>
            </w:pPr>
            <w:r w:rsidRPr="00BC61ED">
              <w:rPr>
                <w:b/>
                <w:sz w:val="20"/>
                <w:szCs w:val="20"/>
                <w:lang w:val="fr-FR"/>
              </w:rPr>
              <w:t xml:space="preserve">Միջոցառման իրակացման անհրաժեշտությունը և նպատակը </w:t>
            </w:r>
          </w:p>
          <w:p w:rsidR="0068680D" w:rsidRPr="00BC61ED" w:rsidRDefault="0068680D" w:rsidP="00F47DC4">
            <w:pPr>
              <w:spacing w:after="0" w:line="276" w:lineRule="auto"/>
              <w:ind w:left="28" w:firstLine="426"/>
              <w:rPr>
                <w:sz w:val="20"/>
                <w:szCs w:val="20"/>
                <w:lang w:val="fr-FR"/>
              </w:rPr>
            </w:pPr>
            <w:r w:rsidRPr="00BC61ED">
              <w:rPr>
                <w:sz w:val="20"/>
                <w:szCs w:val="20"/>
                <w:lang w:val="fr-FR"/>
              </w:rPr>
              <w:t>ՀՀ կառավարության ծրագրում (7.2 ենթաբաժին) մեծ տեղ է հատկացվում քաղա</w:t>
            </w:r>
            <w:r w:rsidRPr="00BC61ED">
              <w:rPr>
                <w:sz w:val="20"/>
                <w:szCs w:val="20"/>
                <w:lang w:val="fr-FR"/>
              </w:rPr>
              <w:softHyphen/>
              <w:t>քացիներին մատուցվող ծառայությունների որակի բարձրացմանը, որի իրա</w:t>
            </w:r>
            <w:r w:rsidRPr="00BC61ED">
              <w:rPr>
                <w:sz w:val="20"/>
                <w:szCs w:val="20"/>
                <w:lang w:val="fr-FR"/>
              </w:rPr>
              <w:softHyphen/>
              <w:t>կա</w:t>
            </w:r>
            <w:r w:rsidRPr="00BC61ED">
              <w:rPr>
                <w:sz w:val="20"/>
                <w:szCs w:val="20"/>
                <w:lang w:val="fr-FR"/>
              </w:rPr>
              <w:softHyphen/>
              <w:t>նացման առաջին գրավականը քաղաքացիներին էլեկտրոնային եղանակով ծառա</w:t>
            </w:r>
            <w:r w:rsidRPr="00BC61ED">
              <w:rPr>
                <w:sz w:val="20"/>
                <w:szCs w:val="20"/>
                <w:lang w:val="fr-FR"/>
              </w:rPr>
              <w:softHyphen/>
              <w:t>յությունների մատուցումն է: Նրանց անհրաժեշտ արխիվային տեղեկությունների տրամադրման գործընթացների դյուրացումը կարևոր նշանակություն ունի հասարակությունում վստահության ամրապնդմանն ուղղված ՀՀ կառավա</w:t>
            </w:r>
            <w:r w:rsidRPr="00BC61ED">
              <w:rPr>
                <w:sz w:val="20"/>
                <w:szCs w:val="20"/>
                <w:lang w:val="fr-FR"/>
              </w:rPr>
              <w:softHyphen/>
              <w:t>րության որդեգրած ծրագրերի կենսագործման գործընթացում: Ուստի Հայաստանի Հանրա</w:t>
            </w:r>
            <w:r w:rsidRPr="00BC61ED">
              <w:rPr>
                <w:sz w:val="20"/>
                <w:szCs w:val="20"/>
                <w:lang w:val="fr-FR"/>
              </w:rPr>
              <w:softHyphen/>
              <w:t>պե</w:t>
            </w:r>
            <w:r w:rsidRPr="00BC61ED">
              <w:rPr>
                <w:sz w:val="20"/>
                <w:szCs w:val="20"/>
                <w:lang w:val="fr-FR"/>
              </w:rPr>
              <w:softHyphen/>
              <w:t>տու</w:t>
            </w:r>
            <w:r w:rsidRPr="00BC61ED">
              <w:rPr>
                <w:sz w:val="20"/>
                <w:szCs w:val="20"/>
                <w:lang w:val="fr-FR"/>
              </w:rPr>
              <w:softHyphen/>
              <w:t>թյան արխիվային հավա</w:t>
            </w:r>
            <w:r w:rsidRPr="00BC61ED">
              <w:rPr>
                <w:sz w:val="20"/>
                <w:szCs w:val="20"/>
                <w:lang w:val="fr-FR"/>
              </w:rPr>
              <w:softHyphen/>
              <w:t>քածուի փաստաթղթերի  ցուցակների թվայնացում և տեղադրում համացանցում առավել մատչելի կդարձնի քաղա</w:t>
            </w:r>
            <w:r w:rsidRPr="00BC61ED">
              <w:rPr>
                <w:sz w:val="20"/>
                <w:szCs w:val="20"/>
                <w:lang w:val="fr-FR"/>
              </w:rPr>
              <w:softHyphen/>
              <w:t>քացիների կողմից արխիվային տեղեկությունների ստացումը, կրճատելով տեղեկության ստացման տևողությունը:</w:t>
            </w:r>
          </w:p>
          <w:p w:rsidR="0068680D" w:rsidRPr="00BC61ED" w:rsidRDefault="0068680D" w:rsidP="0068680D">
            <w:pPr>
              <w:pStyle w:val="Style15"/>
              <w:numPr>
                <w:ilvl w:val="1"/>
                <w:numId w:val="133"/>
              </w:numPr>
              <w:spacing w:line="276" w:lineRule="auto"/>
              <w:rPr>
                <w:rFonts w:ascii="GHEA Grapalat" w:eastAsia="Calibri" w:hAnsi="GHEA Grapalat"/>
                <w:b/>
                <w:sz w:val="20"/>
                <w:lang w:val="fr-FR" w:eastAsia="en-US"/>
              </w:rPr>
            </w:pPr>
            <w:r w:rsidRPr="00BC61ED">
              <w:rPr>
                <w:rFonts w:ascii="GHEA Grapalat" w:eastAsia="Calibri" w:hAnsi="GHEA Grapalat"/>
                <w:b/>
                <w:sz w:val="20"/>
                <w:lang w:val="fr-FR" w:eastAsia="en-US"/>
              </w:rPr>
              <w:t xml:space="preserve">կարգավորման հարաբերությունների ներկա վիճակը և առկա խնդիրները </w:t>
            </w:r>
          </w:p>
          <w:p w:rsidR="0068680D" w:rsidRPr="00BC61ED" w:rsidRDefault="0068680D" w:rsidP="00F47DC4">
            <w:pPr>
              <w:pStyle w:val="Style15"/>
              <w:spacing w:line="276" w:lineRule="auto"/>
              <w:ind w:firstLine="426"/>
              <w:rPr>
                <w:rFonts w:ascii="GHEA Grapalat" w:eastAsia="Calibri" w:hAnsi="GHEA Grapalat"/>
                <w:sz w:val="20"/>
                <w:lang w:val="fr-FR" w:eastAsia="en-US"/>
              </w:rPr>
            </w:pPr>
            <w:r w:rsidRPr="00BC61ED">
              <w:rPr>
                <w:rFonts w:ascii="GHEA Grapalat" w:eastAsia="Calibri" w:hAnsi="GHEA Grapalat"/>
                <w:sz w:val="20"/>
                <w:lang w:val="fr-FR" w:eastAsia="en-US"/>
              </w:rPr>
              <w:t>Հայաստանի Հանրա</w:t>
            </w:r>
            <w:r w:rsidRPr="00BC61ED">
              <w:rPr>
                <w:rFonts w:ascii="GHEA Grapalat" w:eastAsia="Calibri" w:hAnsi="GHEA Grapalat"/>
                <w:sz w:val="20"/>
                <w:lang w:val="fr-FR" w:eastAsia="en-US"/>
              </w:rPr>
              <w:softHyphen/>
              <w:t>պե</w:t>
            </w:r>
            <w:r w:rsidRPr="00BC61ED">
              <w:rPr>
                <w:rFonts w:ascii="GHEA Grapalat" w:eastAsia="Calibri" w:hAnsi="GHEA Grapalat"/>
                <w:sz w:val="20"/>
                <w:lang w:val="fr-FR" w:eastAsia="en-US"/>
              </w:rPr>
              <w:softHyphen/>
              <w:t>տու</w:t>
            </w:r>
            <w:r w:rsidRPr="00BC61ED">
              <w:rPr>
                <w:rFonts w:ascii="GHEA Grapalat" w:eastAsia="Calibri" w:hAnsi="GHEA Grapalat"/>
                <w:sz w:val="20"/>
                <w:lang w:val="fr-FR" w:eastAsia="en-US"/>
              </w:rPr>
              <w:softHyphen/>
              <w:t>թյան արխիվային հավա</w:t>
            </w:r>
            <w:r w:rsidRPr="00BC61ED">
              <w:rPr>
                <w:rFonts w:ascii="GHEA Grapalat" w:eastAsia="Calibri" w:hAnsi="GHEA Grapalat"/>
                <w:sz w:val="20"/>
                <w:lang w:val="fr-FR" w:eastAsia="en-US"/>
              </w:rPr>
              <w:softHyphen/>
              <w:t>քածուի փաստաթղթերի  ցուցակները թվայնացված չեն, ինչը հնարավորություն չի համացանցի միջոցով ծանոթանալ, ուսումնասիրել և ձևակերպել անհրաժեշտ պատվերներ:</w:t>
            </w:r>
          </w:p>
          <w:p w:rsidR="0068680D" w:rsidRPr="00BC61ED" w:rsidRDefault="0068680D" w:rsidP="0068680D">
            <w:pPr>
              <w:pStyle w:val="Style15"/>
              <w:numPr>
                <w:ilvl w:val="1"/>
                <w:numId w:val="133"/>
              </w:numPr>
              <w:spacing w:line="276" w:lineRule="auto"/>
              <w:rPr>
                <w:rFonts w:ascii="GHEA Grapalat" w:eastAsia="Calibri" w:hAnsi="GHEA Grapalat"/>
                <w:b/>
                <w:sz w:val="20"/>
                <w:lang w:val="fr-FR" w:eastAsia="en-US"/>
              </w:rPr>
            </w:pPr>
            <w:r w:rsidRPr="00BC61ED">
              <w:rPr>
                <w:rFonts w:ascii="GHEA Grapalat" w:eastAsia="Calibri" w:hAnsi="GHEA Grapalat"/>
                <w:b/>
                <w:sz w:val="20"/>
                <w:lang w:val="fr-FR" w:eastAsia="en-US"/>
              </w:rPr>
              <w:t xml:space="preserve">առկա խնդիրների առաջարկվող լուծումները </w:t>
            </w:r>
          </w:p>
          <w:p w:rsidR="0068680D" w:rsidRPr="00BC61ED" w:rsidRDefault="0068680D" w:rsidP="00F47DC4">
            <w:pPr>
              <w:spacing w:after="0" w:line="276" w:lineRule="auto"/>
              <w:ind w:firstLine="426"/>
              <w:rPr>
                <w:sz w:val="20"/>
                <w:szCs w:val="20"/>
                <w:lang w:val="fr-FR"/>
              </w:rPr>
            </w:pPr>
            <w:r w:rsidRPr="00BC61ED">
              <w:rPr>
                <w:sz w:val="20"/>
                <w:szCs w:val="20"/>
                <w:lang w:val="fr-FR"/>
              </w:rPr>
              <w:t>1.Ցուցակների արդի պահանջ</w:t>
            </w:r>
            <w:r w:rsidRPr="00BC61ED">
              <w:rPr>
                <w:sz w:val="20"/>
                <w:szCs w:val="20"/>
                <w:lang w:val="fr-FR"/>
              </w:rPr>
              <w:softHyphen/>
              <w:t>ներին համապատասխան խմբագրում,</w:t>
            </w:r>
          </w:p>
          <w:p w:rsidR="0068680D" w:rsidRPr="00BC61ED" w:rsidRDefault="0068680D" w:rsidP="00F47DC4">
            <w:pPr>
              <w:spacing w:after="0" w:line="276" w:lineRule="auto"/>
              <w:ind w:firstLine="426"/>
              <w:rPr>
                <w:sz w:val="20"/>
                <w:szCs w:val="20"/>
                <w:lang w:val="fr-FR"/>
              </w:rPr>
            </w:pPr>
            <w:r w:rsidRPr="00BC61ED">
              <w:rPr>
                <w:sz w:val="20"/>
                <w:szCs w:val="20"/>
                <w:lang w:val="fr-FR"/>
              </w:rPr>
              <w:t>2. Ցուցակների PDF տարբե</w:t>
            </w:r>
            <w:r w:rsidRPr="00BC61ED">
              <w:rPr>
                <w:sz w:val="20"/>
                <w:szCs w:val="20"/>
                <w:lang w:val="fr-FR"/>
              </w:rPr>
              <w:softHyphen/>
              <w:t>րակների ստեղծում,</w:t>
            </w:r>
          </w:p>
          <w:p w:rsidR="0068680D" w:rsidRPr="00BC61ED" w:rsidRDefault="0068680D" w:rsidP="00F47DC4">
            <w:pPr>
              <w:pStyle w:val="Style15"/>
              <w:spacing w:line="276" w:lineRule="auto"/>
              <w:ind w:firstLine="426"/>
              <w:rPr>
                <w:rFonts w:ascii="GHEA Grapalat" w:eastAsia="Calibri" w:hAnsi="GHEA Grapalat"/>
                <w:sz w:val="20"/>
                <w:lang w:val="fr-FR" w:eastAsia="en-US"/>
              </w:rPr>
            </w:pPr>
            <w:r w:rsidRPr="00BC61ED">
              <w:rPr>
                <w:rFonts w:ascii="GHEA Grapalat" w:eastAsia="Calibri" w:hAnsi="GHEA Grapalat"/>
                <w:sz w:val="20"/>
                <w:lang w:val="fr-FR" w:eastAsia="en-US"/>
              </w:rPr>
              <w:t>3.Ցուցակների տեղադրում &lt;&lt;Հայաստանի ազգային արխիվ&gt;&gt; ՊՈԱԿ-ի կայքէջում:</w:t>
            </w:r>
          </w:p>
          <w:p w:rsidR="0068680D" w:rsidRPr="00BC61ED" w:rsidRDefault="0068680D" w:rsidP="00F47DC4">
            <w:pPr>
              <w:pStyle w:val="Style15"/>
              <w:spacing w:line="276" w:lineRule="auto"/>
              <w:ind w:firstLine="426"/>
              <w:rPr>
                <w:rFonts w:ascii="GHEA Grapalat" w:eastAsia="Calibri" w:hAnsi="GHEA Grapalat"/>
                <w:b/>
                <w:sz w:val="20"/>
                <w:lang w:val="fr-FR" w:eastAsia="en-US"/>
              </w:rPr>
            </w:pPr>
            <w:r w:rsidRPr="00BC61ED">
              <w:rPr>
                <w:rFonts w:ascii="GHEA Grapalat" w:eastAsia="Calibri" w:hAnsi="GHEA Grapalat"/>
                <w:b/>
                <w:sz w:val="20"/>
                <w:lang w:val="fr-FR" w:eastAsia="en-US"/>
              </w:rPr>
              <w:t>2. Միջոցառման իրականացումից ակնկալվող արդյունքը</w:t>
            </w:r>
          </w:p>
          <w:p w:rsidR="0068680D" w:rsidRPr="00BC61ED" w:rsidRDefault="0068680D" w:rsidP="00F47DC4">
            <w:pPr>
              <w:spacing w:after="0" w:line="276" w:lineRule="auto"/>
              <w:ind w:firstLine="426"/>
              <w:rPr>
                <w:sz w:val="20"/>
                <w:szCs w:val="20"/>
                <w:lang w:val="fr-FR"/>
              </w:rPr>
            </w:pPr>
            <w:r w:rsidRPr="00BC61ED">
              <w:rPr>
                <w:sz w:val="20"/>
                <w:szCs w:val="20"/>
                <w:lang w:val="fr-FR"/>
              </w:rPr>
              <w:t>1.Միասնական տեղեկա</w:t>
            </w:r>
            <w:r w:rsidRPr="00BC61ED">
              <w:rPr>
                <w:sz w:val="20"/>
                <w:szCs w:val="20"/>
                <w:lang w:val="fr-FR"/>
              </w:rPr>
              <w:softHyphen/>
              <w:t>տվական դաշտ ստեղծում և քաղաքացիների իրավունքը արխիվային փաստաթղթերի՝ որպես Հայաստանի Հանրա</w:t>
            </w:r>
            <w:r w:rsidRPr="00BC61ED">
              <w:rPr>
                <w:sz w:val="20"/>
                <w:szCs w:val="20"/>
                <w:lang w:val="fr-FR"/>
              </w:rPr>
              <w:softHyphen/>
              <w:t>պետությունում տեղեկատ</w:t>
            </w:r>
            <w:r w:rsidRPr="00BC61ED">
              <w:rPr>
                <w:sz w:val="20"/>
                <w:szCs w:val="20"/>
                <w:lang w:val="fr-FR"/>
              </w:rPr>
              <w:softHyphen/>
              <w:t>վական պաշարների բաղ</w:t>
            </w:r>
            <w:r w:rsidRPr="00BC61ED">
              <w:rPr>
                <w:sz w:val="20"/>
                <w:szCs w:val="20"/>
                <w:lang w:val="fr-FR"/>
              </w:rPr>
              <w:softHyphen/>
              <w:t>կացուցիչ մաս, օգտագործման ապահովում,</w:t>
            </w:r>
          </w:p>
          <w:p w:rsidR="0068680D" w:rsidRPr="00BC61ED" w:rsidRDefault="0068680D" w:rsidP="00F47DC4">
            <w:pPr>
              <w:spacing w:after="0" w:line="276" w:lineRule="auto"/>
              <w:ind w:firstLine="426"/>
              <w:rPr>
                <w:sz w:val="20"/>
                <w:szCs w:val="20"/>
                <w:lang w:val="fr-FR"/>
              </w:rPr>
            </w:pPr>
            <w:r w:rsidRPr="00BC61ED">
              <w:rPr>
                <w:sz w:val="20"/>
                <w:szCs w:val="20"/>
                <w:lang w:val="fr-FR"/>
              </w:rPr>
              <w:t>2. Քաղաքացիների հնարա</w:t>
            </w:r>
            <w:r w:rsidRPr="00BC61ED">
              <w:rPr>
                <w:sz w:val="20"/>
                <w:szCs w:val="20"/>
                <w:lang w:val="fr-FR"/>
              </w:rPr>
              <w:softHyphen/>
              <w:t>վորու</w:t>
            </w:r>
            <w:r w:rsidRPr="00BC61ED">
              <w:rPr>
                <w:sz w:val="20"/>
                <w:szCs w:val="20"/>
                <w:lang w:val="fr-FR"/>
              </w:rPr>
              <w:softHyphen/>
              <w:t>թյուն կունենան Հայաստանի Հանրա</w:t>
            </w:r>
            <w:r w:rsidRPr="00BC61ED">
              <w:rPr>
                <w:sz w:val="20"/>
                <w:szCs w:val="20"/>
                <w:lang w:val="fr-FR"/>
              </w:rPr>
              <w:softHyphen/>
              <w:t>պե</w:t>
            </w:r>
            <w:r w:rsidRPr="00BC61ED">
              <w:rPr>
                <w:sz w:val="20"/>
                <w:szCs w:val="20"/>
                <w:lang w:val="fr-FR"/>
              </w:rPr>
              <w:softHyphen/>
              <w:t>տու</w:t>
            </w:r>
            <w:r w:rsidRPr="00BC61ED">
              <w:rPr>
                <w:sz w:val="20"/>
                <w:szCs w:val="20"/>
                <w:lang w:val="fr-FR"/>
              </w:rPr>
              <w:softHyphen/>
              <w:t>թյան արխիվային հավա</w:t>
            </w:r>
            <w:r w:rsidRPr="00BC61ED">
              <w:rPr>
                <w:sz w:val="20"/>
                <w:szCs w:val="20"/>
                <w:lang w:val="fr-FR"/>
              </w:rPr>
              <w:softHyphen/>
              <w:t>քածուի կազմի և բովանդակության վերաբերյալ համակարգված տեղեկությունը որոնել, դիմել և ստանալ առցանց համա</w:t>
            </w:r>
            <w:r w:rsidRPr="00BC61ED">
              <w:rPr>
                <w:sz w:val="20"/>
                <w:szCs w:val="20"/>
                <w:lang w:val="fr-FR"/>
              </w:rPr>
              <w:softHyphen/>
              <w:t>կարգով,</w:t>
            </w:r>
          </w:p>
          <w:p w:rsidR="0068680D" w:rsidRPr="00BC61ED" w:rsidRDefault="0068680D" w:rsidP="00F47DC4">
            <w:pPr>
              <w:spacing w:after="0" w:line="276" w:lineRule="auto"/>
              <w:ind w:firstLine="708"/>
              <w:rPr>
                <w:sz w:val="20"/>
                <w:szCs w:val="20"/>
                <w:lang w:val="fr-FR"/>
              </w:rPr>
            </w:pPr>
            <w:r w:rsidRPr="00BC61ED">
              <w:rPr>
                <w:sz w:val="20"/>
                <w:szCs w:val="20"/>
                <w:lang w:val="fr-FR"/>
              </w:rPr>
              <w:t>3.Հայաստանի Հանրա</w:t>
            </w:r>
            <w:r w:rsidRPr="00BC61ED">
              <w:rPr>
                <w:sz w:val="20"/>
                <w:szCs w:val="20"/>
                <w:lang w:val="fr-FR"/>
              </w:rPr>
              <w:softHyphen/>
              <w:t>պետու</w:t>
            </w:r>
            <w:r w:rsidRPr="00BC61ED">
              <w:rPr>
                <w:sz w:val="20"/>
                <w:szCs w:val="20"/>
                <w:lang w:val="fr-FR"/>
              </w:rPr>
              <w:softHyphen/>
              <w:t>թյան արխիվային հավաքածուի տեղեկատ</w:t>
            </w:r>
            <w:r w:rsidRPr="00BC61ED">
              <w:rPr>
                <w:sz w:val="20"/>
                <w:szCs w:val="20"/>
                <w:lang w:val="fr-FR"/>
              </w:rPr>
              <w:softHyphen/>
              <w:t>վական կարողությունների զարգացում:</w:t>
            </w:r>
          </w:p>
        </w:tc>
      </w:tr>
    </w:tbl>
    <w:p w:rsidR="0068680D" w:rsidRPr="0068680D" w:rsidRDefault="0068680D">
      <w:pPr>
        <w:rPr>
          <w:sz w:val="20"/>
          <w:szCs w:val="20"/>
          <w:lang w:val="fr-FR"/>
        </w:rPr>
      </w:pPr>
    </w:p>
    <w:p w:rsidR="0068680D" w:rsidRDefault="0068680D">
      <w:pPr>
        <w:rPr>
          <w:sz w:val="20"/>
          <w:szCs w:val="20"/>
          <w:lang w:val="hy-AM"/>
        </w:rPr>
      </w:pPr>
    </w:p>
    <w:p w:rsidR="0068680D" w:rsidRPr="0053423A" w:rsidRDefault="0068680D">
      <w:pPr>
        <w:rPr>
          <w:sz w:val="20"/>
          <w:szCs w:val="20"/>
          <w:lang w:val="hy-AM"/>
        </w:rPr>
      </w:pPr>
    </w:p>
    <w:p w:rsidR="00A67858" w:rsidRPr="0053423A" w:rsidRDefault="00A67858" w:rsidP="00A67858">
      <w:pPr>
        <w:spacing w:after="0" w:line="276" w:lineRule="auto"/>
        <w:rPr>
          <w:sz w:val="20"/>
          <w:szCs w:val="20"/>
          <w:lang w:val="hy-AM"/>
        </w:rPr>
      </w:pPr>
    </w:p>
    <w:tbl>
      <w:tblPr>
        <w:tblStyle w:val="TableGrid"/>
        <w:tblW w:w="0" w:type="auto"/>
        <w:tblInd w:w="137" w:type="dxa"/>
        <w:tblLook w:val="04A0" w:firstRow="1" w:lastRow="0" w:firstColumn="1" w:lastColumn="0" w:noHBand="0" w:noVBand="1"/>
      </w:tblPr>
      <w:tblGrid>
        <w:gridCol w:w="11453"/>
      </w:tblGrid>
      <w:tr w:rsidR="00A67858" w:rsidRPr="00DE2EFA" w:rsidTr="00CE4992">
        <w:tc>
          <w:tcPr>
            <w:tcW w:w="11453" w:type="dxa"/>
            <w:shd w:val="clear" w:color="auto" w:fill="FFFF00"/>
          </w:tcPr>
          <w:p w:rsidR="00A67858" w:rsidRPr="0053423A" w:rsidRDefault="00A67858" w:rsidP="00A67858">
            <w:pPr>
              <w:spacing w:line="276" w:lineRule="auto"/>
              <w:jc w:val="center"/>
              <w:rPr>
                <w:rFonts w:cs="Sylfaen"/>
                <w:b/>
                <w:caps/>
                <w:lang w:val="hy-AM"/>
              </w:rPr>
            </w:pPr>
            <w:r w:rsidRPr="0053423A">
              <w:rPr>
                <w:b/>
                <w:lang w:val="hy-AM"/>
              </w:rPr>
              <w:t>Տնտեսական զարգացման և ներդրումների նախարարություն</w:t>
            </w:r>
          </w:p>
        </w:tc>
      </w:tr>
    </w:tbl>
    <w:p w:rsidR="00CE4992" w:rsidRDefault="00CE4992">
      <w:pPr>
        <w:rPr>
          <w:sz w:val="20"/>
          <w:szCs w:val="20"/>
          <w:lang w:val="hy-AM"/>
        </w:rPr>
      </w:pPr>
    </w:p>
    <w:tbl>
      <w:tblPr>
        <w:tblStyle w:val="TableGrid"/>
        <w:tblW w:w="0" w:type="auto"/>
        <w:tblInd w:w="137" w:type="dxa"/>
        <w:tblLook w:val="04A0" w:firstRow="1" w:lastRow="0" w:firstColumn="1" w:lastColumn="0" w:noHBand="0" w:noVBand="1"/>
      </w:tblPr>
      <w:tblGrid>
        <w:gridCol w:w="568"/>
        <w:gridCol w:w="10885"/>
      </w:tblGrid>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1.</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720"/>
              <w:outlineLvl w:val="0"/>
              <w:rPr>
                <w:rFonts w:ascii="GHEA Grapalat" w:hAnsi="GHEA Grapalat"/>
                <w:sz w:val="20"/>
                <w:szCs w:val="20"/>
                <w:lang w:val="hy-AM"/>
              </w:rPr>
            </w:pPr>
            <w:r>
              <w:rPr>
                <w:rFonts w:ascii="GHEA Grapalat" w:hAnsi="GHEA Grapalat" w:cs="Sylfaen"/>
                <w:sz w:val="20"/>
                <w:szCs w:val="20"/>
                <w:lang w:val="hy-AM"/>
              </w:rPr>
              <w:t>«Զ</w:t>
            </w:r>
            <w:r w:rsidRPr="00423B76">
              <w:rPr>
                <w:rFonts w:ascii="GHEA Grapalat" w:hAnsi="GHEA Grapalat" w:cs="Sylfaen"/>
                <w:sz w:val="20"/>
                <w:szCs w:val="20"/>
                <w:lang w:val="hy-AM"/>
              </w:rPr>
              <w:t>րոյից</w:t>
            </w:r>
            <w:r w:rsidRPr="00423B76">
              <w:rPr>
                <w:rFonts w:ascii="GHEA Grapalat" w:hAnsi="GHEA Grapalat" w:cs="Cambria"/>
                <w:sz w:val="20"/>
                <w:szCs w:val="20"/>
                <w:lang w:val="hy-AM"/>
              </w:rPr>
              <w:t>»</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բիզնես</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ստեղծելու</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ձգտում</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ունեցող</w:t>
            </w:r>
            <w:r w:rsidRPr="00423B76">
              <w:rPr>
                <w:rFonts w:ascii="GHEA Grapalat" w:hAnsi="GHEA Grapalat"/>
                <w:sz w:val="20"/>
                <w:szCs w:val="20"/>
                <w:lang w:val="hy-AM"/>
              </w:rPr>
              <w:t xml:space="preserve"> </w:t>
            </w:r>
            <w:r w:rsidRPr="00423B76">
              <w:rPr>
                <w:rFonts w:ascii="GHEA Grapalat" w:hAnsi="GHEA Grapalat" w:cs="Sylfaen"/>
                <w:sz w:val="20"/>
                <w:szCs w:val="20"/>
                <w:lang w:val="hy-AM"/>
              </w:rPr>
              <w:t>քաղաքացիների</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հմտությունների</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զարգացում</w:t>
            </w:r>
            <w:r w:rsidRPr="00423B76">
              <w:rPr>
                <w:rFonts w:ascii="GHEA Grapalat" w:hAnsi="GHEA Grapalat"/>
                <w:sz w:val="20"/>
                <w:szCs w:val="20"/>
                <w:lang w:val="hy-AM"/>
              </w:rPr>
              <w:t xml:space="preserve">, </w:t>
            </w:r>
            <w:r w:rsidRPr="00423B76">
              <w:rPr>
                <w:rFonts w:ascii="GHEA Grapalat" w:hAnsi="GHEA Grapalat" w:cs="Sylfaen"/>
                <w:sz w:val="20"/>
                <w:szCs w:val="20"/>
                <w:lang w:val="hy-AM"/>
              </w:rPr>
              <w:t>քաղաքացիների</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ստեղծարար</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ներուժի</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գործարար</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կարողու</w:t>
            </w:r>
            <w:r w:rsidRPr="00423B76">
              <w:rPr>
                <w:rFonts w:ascii="GHEA Grapalat" w:hAnsi="GHEA Grapalat"/>
                <w:sz w:val="20"/>
                <w:szCs w:val="20"/>
                <w:lang w:val="hy-AM"/>
              </w:rPr>
              <w:softHyphen/>
            </w:r>
            <w:r w:rsidRPr="00423B76">
              <w:rPr>
                <w:rFonts w:ascii="GHEA Grapalat" w:hAnsi="GHEA Grapalat" w:cs="Sylfaen"/>
                <w:sz w:val="20"/>
                <w:szCs w:val="20"/>
                <w:lang w:val="hy-AM"/>
              </w:rPr>
              <w:t>թյուն</w:t>
            </w:r>
            <w:r w:rsidRPr="00423B76">
              <w:rPr>
                <w:rFonts w:ascii="GHEA Grapalat" w:hAnsi="GHEA Grapalat"/>
                <w:sz w:val="20"/>
                <w:szCs w:val="20"/>
                <w:lang w:val="hy-AM"/>
              </w:rPr>
              <w:softHyphen/>
            </w:r>
            <w:r w:rsidRPr="00423B76">
              <w:rPr>
                <w:rFonts w:ascii="GHEA Grapalat" w:hAnsi="GHEA Grapalat" w:cs="Sylfaen"/>
                <w:sz w:val="20"/>
                <w:szCs w:val="20"/>
                <w:lang w:val="hy-AM"/>
              </w:rPr>
              <w:t>ների</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աշխա</w:t>
            </w:r>
            <w:r w:rsidRPr="00423B76">
              <w:rPr>
                <w:rFonts w:ascii="GHEA Grapalat" w:hAnsi="GHEA Grapalat"/>
                <w:sz w:val="20"/>
                <w:szCs w:val="20"/>
                <w:lang w:val="hy-AM"/>
              </w:rPr>
              <w:softHyphen/>
            </w:r>
            <w:r w:rsidRPr="00423B76">
              <w:rPr>
                <w:rFonts w:ascii="GHEA Grapalat" w:hAnsi="GHEA Grapalat" w:cs="Sylfaen"/>
                <w:sz w:val="20"/>
                <w:szCs w:val="20"/>
                <w:lang w:val="hy-AM"/>
              </w:rPr>
              <w:t>տանքային</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ունակութ</w:t>
            </w:r>
            <w:r w:rsidRPr="00423B76">
              <w:rPr>
                <w:rFonts w:ascii="GHEA Grapalat" w:hAnsi="GHEA Grapalat"/>
                <w:sz w:val="20"/>
                <w:szCs w:val="20"/>
                <w:lang w:val="hy-AM"/>
              </w:rPr>
              <w:softHyphen/>
            </w:r>
            <w:r w:rsidRPr="00423B76">
              <w:rPr>
                <w:rFonts w:ascii="GHEA Grapalat" w:hAnsi="GHEA Grapalat" w:cs="Sylfaen"/>
                <w:sz w:val="20"/>
                <w:szCs w:val="20"/>
                <w:lang w:val="hy-AM"/>
              </w:rPr>
              <w:t>յուն</w:t>
            </w:r>
            <w:r w:rsidRPr="00423B76">
              <w:rPr>
                <w:rFonts w:ascii="GHEA Grapalat" w:hAnsi="GHEA Grapalat"/>
                <w:sz w:val="20"/>
                <w:szCs w:val="20"/>
                <w:lang w:val="hy-AM"/>
              </w:rPr>
              <w:softHyphen/>
            </w:r>
            <w:r w:rsidRPr="00423B76">
              <w:rPr>
                <w:rFonts w:ascii="GHEA Grapalat" w:hAnsi="GHEA Grapalat" w:cs="Sylfaen"/>
                <w:sz w:val="20"/>
                <w:szCs w:val="20"/>
                <w:lang w:val="hy-AM"/>
              </w:rPr>
              <w:t>ների</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ընդլայնման</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աջակցություն</w:t>
            </w:r>
            <w:r w:rsidRPr="00423B76">
              <w:rPr>
                <w:rFonts w:ascii="GHEA Grapalat" w:hAnsi="GHEA Grapalat"/>
                <w:sz w:val="20"/>
                <w:szCs w:val="20"/>
                <w:lang w:val="hy-AM"/>
              </w:rPr>
              <w:t xml:space="preserve"> </w:t>
            </w:r>
            <w:r>
              <w:rPr>
                <w:rFonts w:ascii="GHEA Grapalat" w:hAnsi="GHEA Grapalat" w:cs="Sylfaen"/>
                <w:sz w:val="20"/>
                <w:szCs w:val="20"/>
                <w:lang w:val="hy-AM"/>
              </w:rPr>
              <w:t>և</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նորագույն</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տեխնոլոգիաների</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կիրառության</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խրախուսում</w:t>
            </w:r>
            <w:r w:rsidRPr="00423B76">
              <w:rPr>
                <w:rFonts w:ascii="GHEA Grapalat" w:hAnsi="GHEA Grapalat"/>
                <w:sz w:val="20"/>
                <w:szCs w:val="20"/>
                <w:lang w:val="hy-AM"/>
              </w:rPr>
              <w:t xml:space="preserve">, </w:t>
            </w:r>
            <w:r w:rsidRPr="00423B76">
              <w:rPr>
                <w:rFonts w:ascii="GHEA Grapalat" w:hAnsi="GHEA Grapalat" w:cs="Sylfaen"/>
                <w:sz w:val="20"/>
                <w:szCs w:val="20"/>
                <w:lang w:val="hy-AM"/>
              </w:rPr>
              <w:t>ՓՄՁ</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սուբյեկտների</w:t>
            </w:r>
            <w:r w:rsidRPr="00423B76">
              <w:rPr>
                <w:rFonts w:ascii="GHEA Grapalat" w:hAnsi="GHEA Grapalat"/>
                <w:sz w:val="20"/>
                <w:szCs w:val="20"/>
                <w:lang w:val="hy-AM"/>
              </w:rPr>
              <w:t xml:space="preserve"> </w:t>
            </w:r>
            <w:r w:rsidRPr="00423B76">
              <w:rPr>
                <w:rFonts w:ascii="GHEA Grapalat" w:hAnsi="GHEA Grapalat" w:cs="Sylfaen"/>
                <w:sz w:val="20"/>
                <w:szCs w:val="20"/>
                <w:lang w:val="hy-AM"/>
              </w:rPr>
              <w:t>ֆինանսների</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հասանելիության</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բարձրացում</w:t>
            </w:r>
          </w:p>
          <w:p w:rsidR="0068680D" w:rsidRDefault="0068680D" w:rsidP="00F47DC4">
            <w:pPr>
              <w:pStyle w:val="Heading2"/>
              <w:spacing w:before="0" w:beforeAutospacing="0" w:after="0" w:afterAutospacing="0" w:line="276" w:lineRule="auto"/>
              <w:ind w:left="360"/>
              <w:outlineLvl w:val="1"/>
              <w:rPr>
                <w:rFonts w:ascii="GHEA Grapalat" w:hAnsi="GHEA Grapalat" w:cs="Sylfaen"/>
                <w:sz w:val="20"/>
                <w:szCs w:val="20"/>
                <w:lang w:val="hy-AM"/>
              </w:rPr>
            </w:pPr>
          </w:p>
          <w:p w:rsidR="0068680D" w:rsidRPr="00423B76" w:rsidRDefault="0068680D" w:rsidP="00F47DC4">
            <w:pPr>
              <w:pStyle w:val="Heading2"/>
              <w:spacing w:before="0" w:beforeAutospacing="0" w:after="0" w:afterAutospacing="0" w:line="276" w:lineRule="auto"/>
              <w:ind w:left="360"/>
              <w:outlineLvl w:val="1"/>
              <w:rPr>
                <w:rFonts w:ascii="GHEA Grapalat" w:hAnsi="GHEA Grapalat"/>
                <w:caps/>
                <w:sz w:val="20"/>
                <w:szCs w:val="20"/>
                <w:lang w:val="hy-AM"/>
              </w:rPr>
            </w:pPr>
            <w:r>
              <w:rPr>
                <w:rFonts w:ascii="GHEA Grapalat" w:hAnsi="GHEA Grapalat" w:cs="Sylfaen"/>
                <w:sz w:val="20"/>
                <w:szCs w:val="20"/>
                <w:lang w:val="hy-AM"/>
              </w:rPr>
              <w:t xml:space="preserve"> 1.1 </w:t>
            </w:r>
            <w:r w:rsidRPr="00423B76">
              <w:rPr>
                <w:rFonts w:ascii="GHEA Grapalat" w:hAnsi="GHEA Grapalat" w:cs="Sylfaen"/>
                <w:sz w:val="20"/>
                <w:szCs w:val="20"/>
                <w:lang w:val="hy-AM"/>
              </w:rPr>
              <w:t>Գործարար</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խորհրդա</w:t>
            </w:r>
            <w:r w:rsidRPr="00423B76">
              <w:rPr>
                <w:rFonts w:ascii="GHEA Grapalat" w:hAnsi="GHEA Grapalat"/>
                <w:sz w:val="20"/>
                <w:szCs w:val="20"/>
                <w:lang w:val="hy-AM"/>
              </w:rPr>
              <w:softHyphen/>
            </w:r>
            <w:r w:rsidRPr="00423B76">
              <w:rPr>
                <w:rFonts w:ascii="GHEA Grapalat" w:hAnsi="GHEA Grapalat" w:cs="Sylfaen"/>
                <w:sz w:val="20"/>
                <w:szCs w:val="20"/>
                <w:lang w:val="hy-AM"/>
              </w:rPr>
              <w:t>տվութ</w:t>
            </w:r>
            <w:r w:rsidRPr="00423B76">
              <w:rPr>
                <w:rFonts w:ascii="GHEA Grapalat" w:hAnsi="GHEA Grapalat"/>
                <w:sz w:val="20"/>
                <w:szCs w:val="20"/>
                <w:lang w:val="hy-AM"/>
              </w:rPr>
              <w:softHyphen/>
            </w:r>
            <w:r w:rsidRPr="00423B76">
              <w:rPr>
                <w:rFonts w:ascii="GHEA Grapalat" w:hAnsi="GHEA Grapalat" w:cs="Sylfaen"/>
                <w:sz w:val="20"/>
                <w:szCs w:val="20"/>
                <w:lang w:val="hy-AM"/>
              </w:rPr>
              <w:t>յան</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ապահովման</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միջոցառումների</w:t>
            </w:r>
            <w:r w:rsidRPr="00423B76">
              <w:rPr>
                <w:rFonts w:ascii="GHEA Grapalat" w:hAnsi="GHEA Grapalat"/>
                <w:sz w:val="20"/>
                <w:szCs w:val="20"/>
                <w:lang w:val="hy-AM"/>
              </w:rPr>
              <w:t xml:space="preserve"> </w:t>
            </w:r>
            <w:r w:rsidRPr="00423B76">
              <w:rPr>
                <w:rFonts w:ascii="GHEA Grapalat" w:hAnsi="GHEA Grapalat" w:cs="Sylfaen"/>
                <w:sz w:val="20"/>
                <w:szCs w:val="20"/>
                <w:lang w:val="hy-AM"/>
              </w:rPr>
              <w:t>իրականացում</w:t>
            </w:r>
          </w:p>
          <w:p w:rsidR="0068680D" w:rsidRPr="00423B76" w:rsidRDefault="0068680D" w:rsidP="0068680D">
            <w:pPr>
              <w:pStyle w:val="NormalWeb"/>
              <w:widowControl w:val="0"/>
              <w:numPr>
                <w:ilvl w:val="0"/>
                <w:numId w:val="399"/>
              </w:numPr>
              <w:spacing w:before="0" w:beforeAutospacing="0" w:after="0" w:afterAutospacing="0" w:line="276" w:lineRule="auto"/>
              <w:ind w:right="115"/>
              <w:jc w:val="both"/>
              <w:rPr>
                <w:rFonts w:ascii="GHEA Grapalat" w:hAnsi="GHEA Grapalat"/>
                <w:b/>
                <w:color w:val="000000"/>
                <w:sz w:val="20"/>
                <w:szCs w:val="20"/>
                <w:lang w:val="hy-AM"/>
              </w:rPr>
            </w:pPr>
            <w:r w:rsidRPr="00423B76">
              <w:rPr>
                <w:rFonts w:ascii="GHEA Grapalat" w:hAnsi="GHEA Grapalat"/>
                <w:b/>
                <w:color w:val="000000"/>
                <w:sz w:val="20"/>
                <w:szCs w:val="20"/>
                <w:lang w:val="hy-AM"/>
              </w:rPr>
              <w:t>Միջոցառման իրականացման անհրաժեշտությունը և նպատակը</w:t>
            </w:r>
          </w:p>
          <w:p w:rsidR="0068680D" w:rsidRPr="00423B76" w:rsidRDefault="0068680D" w:rsidP="00F47DC4">
            <w:pPr>
              <w:shd w:val="clear" w:color="auto" w:fill="FFFFFF"/>
              <w:spacing w:line="276" w:lineRule="auto"/>
              <w:jc w:val="both"/>
              <w:rPr>
                <w:rFonts w:cs="Sylfaen"/>
                <w:color w:val="000000"/>
                <w:lang w:val="hy-AM"/>
              </w:rPr>
            </w:pPr>
            <w:r w:rsidRPr="00423B76">
              <w:rPr>
                <w:rFonts w:cs="Sylfaen"/>
                <w:color w:val="000000"/>
                <w:lang w:val="hy-AM"/>
              </w:rPr>
              <w:t xml:space="preserve">Միջոցառման իրականացման հիմքերն են «Փոքր և միջին ձեռնարկատիրությանը պետական աջակցության մասին» ՀՀ օրենքը (4-րդ հոդված), ՀՀ կառավարության 19 դեկտեմբերի 2018թ. 1515-Ն որոշումը (13-րդ կետի 1-ին ենթակետ) ինչպես նաև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5.1, 5.2 բաժինները:</w:t>
            </w:r>
          </w:p>
          <w:p w:rsidR="0068680D" w:rsidRPr="00423B76" w:rsidRDefault="0068680D" w:rsidP="00F47DC4">
            <w:pPr>
              <w:shd w:val="clear" w:color="auto" w:fill="FFFFFF"/>
              <w:spacing w:line="276" w:lineRule="auto"/>
              <w:jc w:val="both"/>
              <w:rPr>
                <w:rFonts w:cs="Sylfaen"/>
                <w:color w:val="000000"/>
                <w:lang w:val="hy-AM"/>
              </w:rPr>
            </w:pPr>
            <w:r w:rsidRPr="00423B76">
              <w:rPr>
                <w:rFonts w:cs="Sylfaen"/>
                <w:color w:val="000000"/>
                <w:lang w:val="hy-AM"/>
              </w:rPr>
              <w:t>Ծրագրի</w:t>
            </w:r>
            <w:r w:rsidRPr="00423B76">
              <w:rPr>
                <w:rFonts w:ascii="Calibri" w:hAnsi="Calibri" w:cs="Calibri"/>
                <w:color w:val="000000"/>
                <w:lang w:val="hy-AM"/>
              </w:rPr>
              <w:t> </w:t>
            </w:r>
            <w:r w:rsidRPr="00423B76">
              <w:rPr>
                <w:rFonts w:cs="Sylfaen"/>
                <w:color w:val="000000"/>
                <w:lang w:val="hy-AM"/>
              </w:rPr>
              <w:t>նպատակներն են պետական ուղղակի աջակցության մեխանիզմների (գործիքների) միջոցով երկրում ՓՄՁ-ի զարգացման խթանումը, ՓՄՁ-ի զարգացման միջոցով երկրի, հատկապես նրա հեռավոր ու սահմանամերձ բնակավայրերի տնտեսական զարգացմանը և անհամամասնությունների հաղթահար</w:t>
            </w:r>
            <w:r w:rsidRPr="00423B76">
              <w:rPr>
                <w:rFonts w:cs="Sylfaen"/>
                <w:color w:val="000000"/>
                <w:lang w:val="hy-AM"/>
              </w:rPr>
              <w:softHyphen/>
              <w:t>մանը նպաստելը, երկրի տնտեսության բազմազանեցմանը նպաստելը և զբաղվածության ու ինքնազբաղվածության մակարդակի բարձրացման ապահովումը:</w:t>
            </w:r>
          </w:p>
          <w:p w:rsidR="0068680D" w:rsidRPr="00423B76" w:rsidRDefault="0068680D" w:rsidP="0068680D">
            <w:pPr>
              <w:widowControl w:val="0"/>
              <w:numPr>
                <w:ilvl w:val="1"/>
                <w:numId w:val="335"/>
              </w:numPr>
              <w:spacing w:line="276" w:lineRule="auto"/>
              <w:ind w:right="115"/>
              <w:rPr>
                <w:b/>
                <w:lang w:val="hy-AM"/>
              </w:rPr>
            </w:pPr>
            <w:r w:rsidRPr="00423B76">
              <w:rPr>
                <w:b/>
                <w:lang w:val="hy-AM"/>
              </w:rPr>
              <w:t>Կարգավորման հարաբերությունների ներկա վիճակը և առկա խնդիրները</w:t>
            </w:r>
            <w:r>
              <w:rPr>
                <w:b/>
                <w:lang w:val="hy-AM"/>
              </w:rPr>
              <w:t xml:space="preserve"> </w:t>
            </w:r>
          </w:p>
          <w:p w:rsidR="0068680D" w:rsidRPr="00423B76" w:rsidRDefault="0068680D" w:rsidP="00F47DC4">
            <w:pPr>
              <w:shd w:val="clear" w:color="auto" w:fill="FFFFFF"/>
              <w:spacing w:line="276" w:lineRule="auto"/>
              <w:jc w:val="both"/>
              <w:rPr>
                <w:rFonts w:cs="Sylfaen"/>
                <w:color w:val="000000"/>
                <w:lang w:val="hy-AM"/>
              </w:rPr>
            </w:pPr>
            <w:r w:rsidRPr="00423B76">
              <w:rPr>
                <w:rFonts w:cs="Sylfaen"/>
                <w:color w:val="000000"/>
                <w:lang w:val="hy-AM"/>
              </w:rPr>
              <w:t>ՓՄՁ սուբյեկները, հատկապես սկսնակ գործարարները, ձեռնարկատիրական անհրաժեշտ կրթության և կարողությունների զարգացման կարիք ունեն նոր տեխնոլոգիաների, շուկայավարման, բիզնես պլանավորման, հաշվապահական հաշվառման, մարդկային ռեսուրսների և ֆինանսական կառավարման և այլ հարցերում: Այս հմտությունների բացակայությունը լուրջ խոչընդոտ է հանդիսանում ոլորտի զարգացման համար, և այն  առավել հաճախ հանդիպող պատճառներից է, որի հետևանքով շատ ընկերություններ դադարում են գործել:</w:t>
            </w:r>
          </w:p>
          <w:p w:rsidR="0068680D" w:rsidRPr="00423B76" w:rsidRDefault="0068680D" w:rsidP="0068680D">
            <w:pPr>
              <w:widowControl w:val="0"/>
              <w:numPr>
                <w:ilvl w:val="1"/>
                <w:numId w:val="335"/>
              </w:numPr>
              <w:spacing w:line="276" w:lineRule="auto"/>
              <w:ind w:right="115"/>
              <w:rPr>
                <w:b/>
                <w:lang w:val="hy-AM"/>
              </w:rPr>
            </w:pPr>
            <w:r w:rsidRPr="00423B76">
              <w:rPr>
                <w:b/>
                <w:lang w:val="hy-AM"/>
              </w:rPr>
              <w:t xml:space="preserve"> Առկա խնդիրների առաջարկվող լուծումները</w:t>
            </w:r>
          </w:p>
          <w:p w:rsidR="0068680D" w:rsidRPr="00423B76" w:rsidRDefault="0068680D" w:rsidP="00F47DC4">
            <w:pPr>
              <w:shd w:val="clear" w:color="auto" w:fill="FFFFFF"/>
              <w:spacing w:line="276" w:lineRule="auto"/>
              <w:jc w:val="both"/>
              <w:rPr>
                <w:lang w:val="hy-AM"/>
              </w:rPr>
            </w:pPr>
            <w:r w:rsidRPr="00423B76">
              <w:rPr>
                <w:rFonts w:cs="Sylfaen"/>
                <w:color w:val="000000"/>
                <w:lang w:val="hy-AM"/>
              </w:rPr>
              <w:t>Նշված նպտակների իրականացման համար ՓՄՁ պետական աջակցության շրջանակներում առաջարկվում է միջոցառումների շրջանակ, որի իրականացմամբ տեղեկատվական, խորհրդատվական և ուսուցողական համալիր</w:t>
            </w:r>
            <w:r w:rsidRPr="00423B76">
              <w:rPr>
                <w:lang w:val="af-ZA"/>
              </w:rPr>
              <w:t xml:space="preserve"> </w:t>
            </w:r>
            <w:r w:rsidRPr="00423B76">
              <w:rPr>
                <w:lang w:val="hy-AM"/>
              </w:rPr>
              <w:t xml:space="preserve">օգնություն կցուվաբերվի ՓՄՁ սուբյեկտներին` գործունեության պլանավորման, մեկնարկի, ընթացիկ կառավարման և զարգացման փուլերում` օգտագործելով անհատական և խմբային խորհրդատվության/ուսուցման, </w:t>
            </w:r>
            <w:r w:rsidRPr="00423B76">
              <w:rPr>
                <w:rFonts w:cs="Sylfaen"/>
                <w:lang w:val="hy-AM"/>
              </w:rPr>
              <w:t>տեղեկատվության ընդհանրացման և ստանդարտացման,</w:t>
            </w:r>
            <w:r w:rsidRPr="00423B76">
              <w:rPr>
                <w:lang w:val="hy-AM"/>
              </w:rPr>
              <w:t xml:space="preserve"> ինչպես նաև տեղեկատվության տարածման և հեռահաղարդակցության առցանց հնարավորությունները:</w:t>
            </w:r>
          </w:p>
          <w:p w:rsidR="0068680D" w:rsidRPr="00423B76" w:rsidRDefault="0068680D" w:rsidP="00F47DC4">
            <w:pPr>
              <w:shd w:val="clear" w:color="auto" w:fill="FFFFFF"/>
              <w:spacing w:line="276" w:lineRule="auto"/>
              <w:jc w:val="both"/>
              <w:rPr>
                <w:rFonts w:cs="Sylfaen"/>
                <w:lang w:val="hy-AM"/>
              </w:rPr>
            </w:pPr>
            <w:r w:rsidRPr="00423B76">
              <w:rPr>
                <w:lang w:val="hy-AM"/>
              </w:rPr>
              <w:t xml:space="preserve">Մասնավորապես կիրականացվեն հետևյալ միջոցառումները` </w:t>
            </w:r>
            <w:r w:rsidRPr="00423B76">
              <w:rPr>
                <w:rFonts w:cs="Sylfaen"/>
                <w:lang w:val="hy-AM"/>
              </w:rPr>
              <w:t>սկսնակ գործարարների համար ձեռնարկատիրական հմտությունների զարգացման «Հաջող սկիզբ» ծրագրի իրականացում, գիտելիքային առցանց հարթակի մշակում և գործարկում, ձեռնարկատիրությանն առնչվող թեմատիկ ուսուցողական և պարզաբանող տեսանյnւթերի պատրաստում և տարածում, գործարար ծրագրի մշակման առցանց գործիքի ներդրում, օրինակելի բիզնես մոդելների/ձեռնարկների մշակում և տարածում, ձեռնարկատիրությանն առնչվող իրավաօրենսդրական դաշտի վերաբերյալ անհատական խորհրդատվությունների իրականացում և օրենսդրության փոփոխությունների վերաբերյալ իրազեկման միջոցառումների իրականացում: ՀՀ տրանսպորտի, կապի և տեղեկատվական տեխնոլոգիաների նախարարությունը որպես համակատարող աջակցություն կցուցաբերի հատկապես գիտելիքային առցանց հարթակի մշակման և գործարկման, գործարար ծրագրի մշակման առցանց գործիքի ներդրման մասերով:</w:t>
            </w:r>
          </w:p>
          <w:p w:rsidR="0068680D" w:rsidRPr="00423B76" w:rsidRDefault="0068680D" w:rsidP="0068680D">
            <w:pPr>
              <w:pStyle w:val="NormalWeb"/>
              <w:widowControl w:val="0"/>
              <w:numPr>
                <w:ilvl w:val="0"/>
                <w:numId w:val="399"/>
              </w:numPr>
              <w:spacing w:before="0" w:beforeAutospacing="0" w:after="0" w:afterAutospacing="0" w:line="276" w:lineRule="auto"/>
              <w:ind w:right="115"/>
              <w:rPr>
                <w:rFonts w:ascii="GHEA Grapalat" w:hAnsi="GHEA Grapalat" w:cs="Sylfaen"/>
                <w:b/>
                <w:sz w:val="20"/>
                <w:szCs w:val="20"/>
                <w:lang w:val="hy-AM"/>
              </w:rPr>
            </w:pPr>
            <w:r w:rsidRPr="00423B76">
              <w:rPr>
                <w:rFonts w:ascii="GHEA Grapalat" w:hAnsi="GHEA Grapalat" w:cs="Sylfaen"/>
                <w:b/>
                <w:sz w:val="20"/>
                <w:szCs w:val="20"/>
                <w:lang w:val="hy-AM"/>
              </w:rPr>
              <w:t>Միջոցառման իրականացումից ակնկալվող արդյունքը</w:t>
            </w:r>
          </w:p>
          <w:p w:rsidR="0068680D" w:rsidRDefault="0068680D" w:rsidP="00F47DC4">
            <w:pPr>
              <w:spacing w:line="276" w:lineRule="auto"/>
              <w:jc w:val="both"/>
              <w:rPr>
                <w:rFonts w:cs="Sylfaen"/>
                <w:lang w:val="hy-AM"/>
              </w:rPr>
            </w:pPr>
            <w:r w:rsidRPr="00423B76">
              <w:rPr>
                <w:rFonts w:cs="Sylfaen"/>
                <w:lang w:val="hy-AM"/>
              </w:rPr>
              <w:t>Միջոցառման իրականացման արդյունքում ակնկալվում է բարձրացնել ՓՄՁ սուբյեկտների ձեռնարկատիրական կարողությունները և մրցունակությունը, նվազեցնել ձախողումների ռիսկերը, բարձրացնել իրազեկվածության մակարդակը, արագացնել ձեռնարկատիրական պլանավորման և մեկնարկի փուլերը:</w:t>
            </w:r>
          </w:p>
          <w:p w:rsidR="0068680D" w:rsidRPr="00423B76" w:rsidRDefault="0068680D" w:rsidP="00F47DC4">
            <w:pPr>
              <w:spacing w:line="276" w:lineRule="auto"/>
              <w:jc w:val="both"/>
              <w:rPr>
                <w:rFonts w:cs="Sylfaen"/>
                <w:lang w:val="hy-AM"/>
              </w:rPr>
            </w:pPr>
          </w:p>
          <w:p w:rsidR="0068680D" w:rsidRPr="00423B76" w:rsidRDefault="0068680D" w:rsidP="00F47DC4">
            <w:pPr>
              <w:pStyle w:val="Heading2"/>
              <w:spacing w:before="0" w:beforeAutospacing="0" w:after="0" w:afterAutospacing="0" w:line="276" w:lineRule="auto"/>
              <w:ind w:left="360"/>
              <w:outlineLvl w:val="1"/>
              <w:rPr>
                <w:rFonts w:ascii="GHEA Grapalat" w:hAnsi="GHEA Grapalat" w:cs="Sylfaen"/>
                <w:sz w:val="20"/>
                <w:szCs w:val="20"/>
                <w:lang w:val="hy-AM"/>
              </w:rPr>
            </w:pPr>
            <w:r>
              <w:rPr>
                <w:rFonts w:ascii="GHEA Grapalat" w:hAnsi="GHEA Grapalat" w:cs="Sylfaen"/>
                <w:sz w:val="20"/>
                <w:szCs w:val="20"/>
                <w:lang w:val="hy-AM"/>
              </w:rPr>
              <w:t xml:space="preserve">  1.2 </w:t>
            </w:r>
            <w:r w:rsidRPr="00423B76">
              <w:rPr>
                <w:rFonts w:ascii="GHEA Grapalat" w:hAnsi="GHEA Grapalat" w:cs="Sylfaen"/>
                <w:sz w:val="20"/>
                <w:szCs w:val="20"/>
                <w:lang w:val="hy-AM"/>
              </w:rPr>
              <w:t>Շուկաների հասանելիության և միջազգայնացման կարողությունների զարգացման միջոցառումների իրականացում</w:t>
            </w:r>
          </w:p>
          <w:p w:rsidR="0068680D" w:rsidRPr="00423B76" w:rsidRDefault="0068680D" w:rsidP="0068680D">
            <w:pPr>
              <w:pStyle w:val="NormalWeb"/>
              <w:widowControl w:val="0"/>
              <w:numPr>
                <w:ilvl w:val="0"/>
                <w:numId w:val="401"/>
              </w:numPr>
              <w:spacing w:before="0" w:beforeAutospacing="0" w:after="0" w:afterAutospacing="0" w:line="276" w:lineRule="auto"/>
              <w:ind w:right="115"/>
              <w:jc w:val="both"/>
              <w:rPr>
                <w:rFonts w:ascii="GHEA Grapalat" w:hAnsi="GHEA Grapalat"/>
                <w:b/>
                <w:color w:val="000000"/>
                <w:sz w:val="20"/>
                <w:szCs w:val="20"/>
                <w:lang w:val="hy-AM"/>
              </w:rPr>
            </w:pPr>
            <w:r w:rsidRPr="00423B76">
              <w:rPr>
                <w:rFonts w:ascii="GHEA Grapalat" w:hAnsi="GHEA Grapalat"/>
                <w:b/>
                <w:color w:val="000000"/>
                <w:sz w:val="20"/>
                <w:szCs w:val="20"/>
                <w:lang w:val="hy-AM"/>
              </w:rPr>
              <w:t>Միջոցառման իրականացման անհրաժեշտությունը և նպատակը</w:t>
            </w:r>
          </w:p>
          <w:p w:rsidR="0068680D" w:rsidRPr="00423B76" w:rsidRDefault="0068680D" w:rsidP="00F47DC4">
            <w:pPr>
              <w:spacing w:line="276" w:lineRule="auto"/>
              <w:jc w:val="both"/>
              <w:rPr>
                <w:rFonts w:cs="Sylfaen"/>
                <w:lang w:val="hy-AM"/>
              </w:rPr>
            </w:pPr>
            <w:r w:rsidRPr="00423B76">
              <w:rPr>
                <w:rFonts w:cs="Sylfaen"/>
                <w:lang w:val="hy-AM"/>
              </w:rPr>
              <w:t xml:space="preserve">Միջոցառման մշակման և իրականացման հիմքերն են «Փոքր և միջին ձեռնարկատիրությանը պետական աջակցության մասին» ՀՀ օրենքը (4-րդ հոդված), ՀՀ կառավարության 19 դեկտեմբերի 2018թ. 1515-Ն որոշումը (13-րդ կետի 1-ին ենթակետ) ինչպես նաև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5.1, 5.2 բաժինները</w:t>
            </w:r>
            <w:r w:rsidRPr="00423B76">
              <w:rPr>
                <w:rFonts w:cs="Sylfaen"/>
                <w:lang w:val="hy-AM"/>
              </w:rPr>
              <w:t>:</w:t>
            </w:r>
          </w:p>
          <w:p w:rsidR="0068680D" w:rsidRPr="00423B76" w:rsidRDefault="0068680D" w:rsidP="00F47DC4">
            <w:pPr>
              <w:shd w:val="clear" w:color="auto" w:fill="FFFFFF"/>
              <w:spacing w:line="276" w:lineRule="auto"/>
              <w:jc w:val="both"/>
              <w:rPr>
                <w:rFonts w:cs="Sylfaen"/>
                <w:lang w:val="hy-AM"/>
              </w:rPr>
            </w:pPr>
            <w:r w:rsidRPr="00423B76">
              <w:rPr>
                <w:rFonts w:cs="Sylfaen"/>
                <w:lang w:val="hy-AM"/>
              </w:rPr>
              <w:t>Ծրագրի</w:t>
            </w:r>
            <w:r w:rsidRPr="00423B76">
              <w:rPr>
                <w:rFonts w:ascii="Calibri" w:hAnsi="Calibri" w:cs="Calibri"/>
                <w:lang w:val="hy-AM"/>
              </w:rPr>
              <w:t> </w:t>
            </w:r>
            <w:r w:rsidRPr="00423B76">
              <w:rPr>
                <w:rFonts w:cs="Sylfaen"/>
                <w:lang w:val="hy-AM"/>
              </w:rPr>
              <w:t>նպատակներն են պետական ուղղակի աջակցության մեխանիզմների (գործիքների) միջոցով երկրում ՓՄՁ-ի զարգացման խթանումը, ՓՄՁ-ի զարգացման միջոցով երկրի, հատկապես նրա հեռավոր ու սահմանամերձ բնակավայրերի տնտեսական զարգացմանը և անհամամասնությունների հաղթահար</w:t>
            </w:r>
            <w:r w:rsidRPr="00423B76">
              <w:rPr>
                <w:rFonts w:cs="Sylfaen"/>
                <w:lang w:val="hy-AM"/>
              </w:rPr>
              <w:softHyphen/>
              <w:t>մանը նպաստելը, երկրի տնտեսության բազմազանեցմանը նպաստելը և զբաղվածության ու ինքնազբաղվածության մակարդակի բարձրացման ապահովումը:</w:t>
            </w:r>
          </w:p>
          <w:p w:rsidR="0068680D" w:rsidRPr="00423B76" w:rsidRDefault="0068680D" w:rsidP="0068680D">
            <w:pPr>
              <w:widowControl w:val="0"/>
              <w:numPr>
                <w:ilvl w:val="1"/>
                <w:numId w:val="402"/>
              </w:numPr>
              <w:spacing w:line="276" w:lineRule="auto"/>
              <w:ind w:right="115"/>
              <w:rPr>
                <w:rFonts w:cs="Sylfaen"/>
                <w:lang w:val="hy-AM"/>
              </w:rPr>
            </w:pPr>
            <w:r w:rsidRPr="00423B76">
              <w:rPr>
                <w:b/>
                <w:lang w:val="hy-AM"/>
              </w:rPr>
              <w:t>Կարգավորման հարաբերությունների ներկա վիճակը և առկա խնդիրները</w:t>
            </w:r>
          </w:p>
          <w:p w:rsidR="0068680D" w:rsidRPr="00423B76" w:rsidRDefault="0068680D" w:rsidP="00F47DC4">
            <w:pPr>
              <w:shd w:val="clear" w:color="auto" w:fill="FFFFFF"/>
              <w:spacing w:line="276" w:lineRule="auto"/>
              <w:jc w:val="both"/>
              <w:rPr>
                <w:rFonts w:cs="Sylfaen"/>
                <w:lang w:val="hy-AM"/>
              </w:rPr>
            </w:pPr>
            <w:r w:rsidRPr="00423B76">
              <w:rPr>
                <w:rFonts w:cs="Sylfaen"/>
                <w:lang w:val="hy-AM"/>
              </w:rPr>
              <w:t>Հայաստանի ներքին շուկայի սահմանափակությունը, բնակչության ցածր գնողունակությունը և տեղական տեխնոլոգիաների ու փորձի սակավությունը ՓՄՁ ոլորտի զարգացման համար կենսական անհրաժեշտություն են դարձնում արտաքին շուկաների հասանելիությունը և բիզնեսի միջազգայնացումը: Այս տեսակետից հայաստանյան ՓՄՁ սուբյեկտների խնդիրները հիմնականում կապված են արտադրության որակի կառավարման, միջազգային ստանդարտներին համապատասխանեցման, արտահանման առկա ռեժիմների, արտաքին գործընկերների հետ համագործացության հաստատման և փորձի փոխանակման, ապրանքների սերտիֆիկացման, արտաքին շուկաներում շուկայավարման և մի շարք այլ կարևոր հարցերում փորձի, գիտելիքի և համապատասխան ծառայությունների անբավարարության հետ:</w:t>
            </w:r>
          </w:p>
          <w:p w:rsidR="0068680D" w:rsidRPr="00423B76" w:rsidRDefault="0068680D" w:rsidP="0068680D">
            <w:pPr>
              <w:widowControl w:val="0"/>
              <w:numPr>
                <w:ilvl w:val="1"/>
                <w:numId w:val="402"/>
              </w:numPr>
              <w:spacing w:line="276" w:lineRule="auto"/>
              <w:ind w:right="115"/>
              <w:rPr>
                <w:b/>
                <w:lang w:val="hy-AM"/>
              </w:rPr>
            </w:pPr>
            <w:r w:rsidRPr="00423B76">
              <w:rPr>
                <w:b/>
                <w:lang w:val="hy-AM"/>
              </w:rPr>
              <w:t>Առկա խնդիրների առաջարկվող լուծումները</w:t>
            </w:r>
          </w:p>
          <w:p w:rsidR="0068680D" w:rsidRPr="00423B76" w:rsidRDefault="0068680D" w:rsidP="00F47DC4">
            <w:pPr>
              <w:shd w:val="clear" w:color="auto" w:fill="FFFFFF"/>
              <w:spacing w:line="276" w:lineRule="auto"/>
              <w:jc w:val="both"/>
              <w:rPr>
                <w:rFonts w:cs="Sylfaen"/>
                <w:lang w:val="hy-AM"/>
              </w:rPr>
            </w:pPr>
            <w:r w:rsidRPr="00423B76">
              <w:rPr>
                <w:rFonts w:cs="Sylfaen"/>
                <w:lang w:val="hy-AM"/>
              </w:rPr>
              <w:t>Նշված նպտակների իրականացման համար առաջարկվում է իրականացնել միջոցառումներ ուղղված ՓՄՁ-ների շուկաների հասենլիության ապահովմանը, միջազգայնացման կարողությունների զարգացմանը: Մասնավորապես ՓՄՁ սուբյեկտներին կտրամադրվի անհատական տեղեկատվական և խորհրդատվական աջակցություն արտահանման գործընթացի բոլոր փուլերում (արտահանման ռեժիմներ, ընթացակարգեր անհրաժեշտ փստաթղթեր, սերտիֆիկացման հետ կապված հարցեր), որոշ դեպքերում համաֆինանսավորման սկզբունքով աջակցություն կցուցաբերվի որակի և սննդի անվտանգության կառավարման համակարգերի ներդրման, միջազգային ցուցահանդեսներին մասնակցության, արտահանմանը վերաբերող համապատասխան դասընթացների/զարգացման ծրագրերի մասնակցության և այլն: Հայաստանում Ձեռնարկությունների եվրոպական ցանցի (</w:t>
            </w:r>
            <w:hyperlink r:id="rId11" w:history="1">
              <w:r w:rsidRPr="00423B76">
                <w:rPr>
                  <w:rFonts w:cs="Sylfaen"/>
                  <w:lang w:val="hy-AM"/>
                </w:rPr>
                <w:t>https://een.ec.europa.eu</w:t>
              </w:r>
            </w:hyperlink>
            <w:r w:rsidRPr="00423B76">
              <w:rPr>
                <w:rFonts w:cs="Sylfaen"/>
                <w:lang w:val="hy-AM"/>
              </w:rPr>
              <w:t xml:space="preserve">, </w:t>
            </w:r>
            <w:hyperlink r:id="rId12" w:history="1">
              <w:r w:rsidRPr="00423B76">
                <w:rPr>
                  <w:rFonts w:cs="Sylfaen"/>
                  <w:lang w:val="hy-AM"/>
                </w:rPr>
                <w:t>http://eenarmenia.am/</w:t>
              </w:r>
            </w:hyperlink>
            <w:r w:rsidRPr="00423B76">
              <w:rPr>
                <w:rFonts w:cs="Sylfaen"/>
                <w:lang w:val="hy-AM"/>
              </w:rPr>
              <w:t>) գործունեության շրջանակներում ՓՄՁ սուբյեկտներին աջակցություն կցուցաբերվի միջազգայնացման կարողությունների գնահատման, արտերկրյա շուկաների պահանջների պարզբանման,</w:t>
            </w:r>
            <w:r w:rsidRPr="00423B76">
              <w:rPr>
                <w:rFonts w:ascii="Calibri" w:hAnsi="Calibri" w:cs="Calibri"/>
                <w:lang w:val="hy-AM"/>
              </w:rPr>
              <w:t> </w:t>
            </w:r>
            <w:r w:rsidRPr="00423B76">
              <w:rPr>
                <w:rFonts w:cs="Sylfaen"/>
                <w:lang w:val="hy-AM"/>
              </w:rPr>
              <w:t>արտաքին գործընկերների որոնման, գործարար կապերի հաստատման, բանակցությունների վարման և այլ հարցերում: Նորարարական ՓՄՁ-երին աջակցություն կցուցաբերվի ԵՄ Հորիզոն 2020 ծրագրի ՓՄՁ ֆինանսավորման գործիքին դիմելու համար։ Սկսնակ գործարարնների միջազգայնացման կարողությունների, փորձի փոխանակման և գործարար կապերի զարգացման նպատակով վերջիններիս աջակցություն կցուցաբերվի «ԷՐԱՍՄՈՒՍ երիտասարդ ձեռնարկատերերի» փոխանակման ծրագրի շրջանակներում:</w:t>
            </w:r>
          </w:p>
          <w:p w:rsidR="0068680D" w:rsidRPr="00423B76" w:rsidRDefault="0068680D" w:rsidP="00F47DC4">
            <w:pPr>
              <w:shd w:val="clear" w:color="auto" w:fill="FFFFFF"/>
              <w:spacing w:line="276" w:lineRule="auto"/>
              <w:jc w:val="both"/>
              <w:rPr>
                <w:rFonts w:cs="Sylfaen"/>
                <w:lang w:val="hy-AM"/>
              </w:rPr>
            </w:pPr>
            <w:r w:rsidRPr="00423B76">
              <w:rPr>
                <w:rFonts w:cs="Sylfaen"/>
                <w:lang w:val="hy-AM"/>
              </w:rPr>
              <w:t>ՀՀ տրանսպորտի, կապի և տեղեկատվական տեխնոլոգիաների նախարարությունը որպես համակատարող աջակցություն կցուցաբերի նորարարական կարողություն</w:t>
            </w:r>
            <w:r w:rsidRPr="00423B76">
              <w:rPr>
                <w:rFonts w:cs="Sylfaen"/>
                <w:lang w:val="hy-AM"/>
              </w:rPr>
              <w:softHyphen/>
              <w:t>ների զարգացման նպատակով աջակցության նոր մխանիզմ</w:t>
            </w:r>
            <w:r w:rsidRPr="00423B76">
              <w:rPr>
                <w:rFonts w:cs="Sylfaen"/>
                <w:lang w:val="hy-AM"/>
              </w:rPr>
              <w:softHyphen/>
              <w:t xml:space="preserve">ների մշակման և ներդրման մասով: </w:t>
            </w:r>
          </w:p>
          <w:p w:rsidR="0068680D" w:rsidRPr="00423B76" w:rsidRDefault="0068680D" w:rsidP="0068680D">
            <w:pPr>
              <w:pStyle w:val="NormalWeb"/>
              <w:widowControl w:val="0"/>
              <w:numPr>
                <w:ilvl w:val="0"/>
                <w:numId w:val="401"/>
              </w:numPr>
              <w:spacing w:before="0" w:beforeAutospacing="0" w:after="0" w:afterAutospacing="0" w:line="276" w:lineRule="auto"/>
              <w:ind w:right="115"/>
              <w:rPr>
                <w:rFonts w:ascii="GHEA Grapalat" w:hAnsi="GHEA Grapalat" w:cs="Sylfaen"/>
                <w:b/>
                <w:sz w:val="20"/>
                <w:szCs w:val="20"/>
                <w:lang w:val="hy-AM"/>
              </w:rPr>
            </w:pPr>
            <w:r w:rsidRPr="00423B76">
              <w:rPr>
                <w:rFonts w:ascii="GHEA Grapalat" w:hAnsi="GHEA Grapalat" w:cs="Sylfaen"/>
                <w:b/>
                <w:sz w:val="20"/>
                <w:szCs w:val="20"/>
                <w:lang w:val="hy-AM"/>
              </w:rPr>
              <w:t>Միջոցառման իրականացումից ակնկալվող արդյունքը</w:t>
            </w:r>
          </w:p>
          <w:p w:rsidR="0068680D" w:rsidRDefault="0068680D" w:rsidP="00F47DC4">
            <w:pPr>
              <w:spacing w:line="276" w:lineRule="auto"/>
              <w:jc w:val="both"/>
              <w:rPr>
                <w:rFonts w:cs="Sylfaen"/>
                <w:lang w:val="hy-AM"/>
              </w:rPr>
            </w:pPr>
            <w:r w:rsidRPr="00423B76">
              <w:rPr>
                <w:rFonts w:cs="Sylfaen"/>
                <w:lang w:val="hy-AM"/>
              </w:rPr>
              <w:t>Միջոցառման իրականացումից ակնկալվում է բարձրացնել ՓՄՁ սուբյեկտների մրցունակությունը արտաքին շուկաներում, ավելացնել արտաքին ներդրումները ՓՄՁ ոլորտում, ՓՄՁ-երի կողմից արտահանման ծավալները, նոր տեխնոլոգիաների ներթափանցումը Հայաստան, տեղական ՓՄՁ-երի կողմից արտադրվող նոր տեսակի ապրանքատեսակները և ծառայությունները:</w:t>
            </w:r>
          </w:p>
          <w:p w:rsidR="0068680D" w:rsidRPr="00423B76" w:rsidRDefault="0068680D" w:rsidP="00F47DC4">
            <w:pPr>
              <w:spacing w:line="276" w:lineRule="auto"/>
              <w:jc w:val="both"/>
              <w:rPr>
                <w:rFonts w:cs="Sylfaen"/>
                <w:lang w:val="hy-AM"/>
              </w:rPr>
            </w:pPr>
          </w:p>
          <w:p w:rsidR="0068680D" w:rsidRPr="00423B76" w:rsidRDefault="0068680D" w:rsidP="00F47DC4">
            <w:pPr>
              <w:pStyle w:val="Heading2"/>
              <w:spacing w:before="0" w:beforeAutospacing="0" w:after="0" w:afterAutospacing="0" w:line="276" w:lineRule="auto"/>
              <w:ind w:left="360"/>
              <w:outlineLvl w:val="1"/>
              <w:rPr>
                <w:rFonts w:ascii="GHEA Grapalat" w:hAnsi="GHEA Grapalat" w:cs="Sylfaen"/>
                <w:sz w:val="20"/>
                <w:szCs w:val="20"/>
                <w:lang w:val="hy-AM"/>
              </w:rPr>
            </w:pPr>
            <w:r>
              <w:rPr>
                <w:rFonts w:ascii="GHEA Grapalat" w:hAnsi="GHEA Grapalat" w:cs="Sylfaen"/>
                <w:sz w:val="20"/>
                <w:szCs w:val="20"/>
                <w:lang w:val="hy-AM"/>
              </w:rPr>
              <w:t xml:space="preserve">  1.3 </w:t>
            </w:r>
            <w:r w:rsidRPr="00423B76">
              <w:rPr>
                <w:rFonts w:ascii="GHEA Grapalat" w:hAnsi="GHEA Grapalat" w:cs="Sylfaen"/>
                <w:sz w:val="20"/>
                <w:szCs w:val="20"/>
                <w:lang w:val="hy-AM"/>
              </w:rPr>
              <w:t>ՓՄՁ սուբյեկտներին ֆինանսների հասանելիության ապահովման միջոցառումներ</w:t>
            </w:r>
          </w:p>
          <w:p w:rsidR="0068680D" w:rsidRPr="00423B76" w:rsidRDefault="0068680D" w:rsidP="0068680D">
            <w:pPr>
              <w:pStyle w:val="NormalWeb"/>
              <w:widowControl w:val="0"/>
              <w:numPr>
                <w:ilvl w:val="0"/>
                <w:numId w:val="403"/>
              </w:numPr>
              <w:spacing w:before="0" w:beforeAutospacing="0" w:after="0" w:afterAutospacing="0" w:line="276" w:lineRule="auto"/>
              <w:ind w:right="115"/>
              <w:jc w:val="both"/>
              <w:rPr>
                <w:rFonts w:ascii="GHEA Grapalat" w:hAnsi="GHEA Grapalat"/>
                <w:b/>
                <w:color w:val="000000"/>
                <w:sz w:val="20"/>
                <w:szCs w:val="20"/>
                <w:lang w:val="hy-AM"/>
              </w:rPr>
            </w:pPr>
            <w:r w:rsidRPr="00423B76">
              <w:rPr>
                <w:rFonts w:ascii="GHEA Grapalat" w:hAnsi="GHEA Grapalat"/>
                <w:b/>
                <w:color w:val="000000"/>
                <w:sz w:val="20"/>
                <w:szCs w:val="20"/>
                <w:lang w:val="hy-AM"/>
              </w:rPr>
              <w:t>Միջոցառման իրականացման անհրաժեշտությունը և նպատակը</w:t>
            </w:r>
          </w:p>
          <w:p w:rsidR="0068680D" w:rsidRPr="00423B76" w:rsidRDefault="0068680D" w:rsidP="00F47DC4">
            <w:pPr>
              <w:spacing w:line="276" w:lineRule="auto"/>
              <w:jc w:val="both"/>
              <w:rPr>
                <w:rFonts w:cs="Sylfaen"/>
                <w:lang w:val="hy-AM"/>
              </w:rPr>
            </w:pPr>
            <w:r w:rsidRPr="00423B76">
              <w:rPr>
                <w:rFonts w:cs="Sylfaen"/>
                <w:lang w:val="hy-AM"/>
              </w:rPr>
              <w:t xml:space="preserve">Միջոցառման մշակման և իրականացման հիմքերն են «Փոքր և միջին ձեռնարկատիրությանը պետական աջակցության մասին» ՀՀ օրենքը (4-րդ հոդված), ՀՀ կառավարության 19 դեկտեմբերի 2018թ. 1515-Ն որոշումը (13-րդ կետի 1-ին ենթակետ) ինչպես նաև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5.8 բաժինը</w:t>
            </w:r>
            <w:r w:rsidRPr="00423B76">
              <w:rPr>
                <w:rFonts w:cs="Sylfaen"/>
                <w:lang w:val="hy-AM"/>
              </w:rPr>
              <w:t>:</w:t>
            </w:r>
          </w:p>
          <w:p w:rsidR="0068680D" w:rsidRPr="00423B76" w:rsidRDefault="0068680D" w:rsidP="00F47DC4">
            <w:pPr>
              <w:shd w:val="clear" w:color="auto" w:fill="FFFFFF"/>
              <w:spacing w:line="276" w:lineRule="auto"/>
              <w:jc w:val="both"/>
              <w:rPr>
                <w:rFonts w:cs="Sylfaen"/>
                <w:lang w:val="hy-AM"/>
              </w:rPr>
            </w:pPr>
            <w:r w:rsidRPr="00423B76">
              <w:rPr>
                <w:rFonts w:cs="Sylfaen"/>
                <w:lang w:val="hy-AM"/>
              </w:rPr>
              <w:t>Ծրագրի</w:t>
            </w:r>
            <w:r w:rsidRPr="00423B76">
              <w:rPr>
                <w:rFonts w:ascii="Calibri" w:hAnsi="Calibri" w:cs="Calibri"/>
                <w:lang w:val="hy-AM"/>
              </w:rPr>
              <w:t> </w:t>
            </w:r>
            <w:r w:rsidRPr="00423B76">
              <w:rPr>
                <w:rFonts w:cs="Sylfaen"/>
                <w:lang w:val="hy-AM"/>
              </w:rPr>
              <w:t>նպատակներն են պետական ուղղակի աջակցության մեխանիզմների (գործիքների) միջոցով երկրում ՓՄՁ-ի զարգացման խթանումը, ՓՄՁ-ի զարգացման միջոցով երկրի, հատկապես նրա հեռավոր ու սահմանամերձ բնակավայրերի տնտեսական զարգացմանը և անհամամասնությունների հաղթահար</w:t>
            </w:r>
            <w:r w:rsidRPr="00423B76">
              <w:rPr>
                <w:rFonts w:cs="Sylfaen"/>
                <w:lang w:val="hy-AM"/>
              </w:rPr>
              <w:softHyphen/>
              <w:t>մանը նպաստելը, երկրի տնտեսության բազմազանեցմանը նպաստելը և զբաղվածության ու ինքնազբաղվածության մակարդակի բարձրացման ապահովումը:</w:t>
            </w:r>
          </w:p>
          <w:p w:rsidR="0068680D" w:rsidRPr="00423B76" w:rsidRDefault="0068680D" w:rsidP="0068680D">
            <w:pPr>
              <w:widowControl w:val="0"/>
              <w:numPr>
                <w:ilvl w:val="1"/>
                <w:numId w:val="404"/>
              </w:numPr>
              <w:spacing w:line="276" w:lineRule="auto"/>
              <w:ind w:right="115"/>
              <w:jc w:val="both"/>
              <w:rPr>
                <w:i/>
                <w:lang w:val="hy-AM"/>
              </w:rPr>
            </w:pPr>
            <w:r w:rsidRPr="00423B76">
              <w:rPr>
                <w:b/>
                <w:lang w:val="hy-AM"/>
              </w:rPr>
              <w:t>Կարգավորման հարաբերությունների ներկա վիճակը և առկա խնդիրները</w:t>
            </w:r>
          </w:p>
          <w:p w:rsidR="0068680D" w:rsidRPr="00423B76" w:rsidRDefault="0068680D" w:rsidP="00F47DC4">
            <w:pPr>
              <w:spacing w:line="276" w:lineRule="auto"/>
              <w:jc w:val="both"/>
              <w:rPr>
                <w:rFonts w:cs="Sylfaen"/>
                <w:lang w:val="hy-AM"/>
              </w:rPr>
            </w:pPr>
            <w:r w:rsidRPr="00423B76">
              <w:rPr>
                <w:rFonts w:cs="Sylfaen"/>
                <w:lang w:val="hy-AM"/>
              </w:rPr>
              <w:t>Ֆինանսական ռեսուրներին հասանելիությունը ՓՄՁ զարգացման հիմնական խոչընդոտներից մեկն է, որը բազմիցս արտացոլվել է տարբեր հետազոտություններում և զեկույցներում: Հայաստանում ՓՄՁ-ները բավարարված չեն շուկայում առկա բիզնեսի ֆինանսավորման պայմաններով: Առավել բացասական են գնահատվել վարկի տոկոսադրույքի և այլ միջնորդավճարների, գրավի վերաբերյալ պահանջների (գրավի գնահատում, գրավ/վարկ հարաբերակցություն), երաշխավորներ ներկայացնելու պահանջի և երաշխավորների թվի, երաշխավորի գույքի և եկամտի վերաբերյալ պահանջների պայմանները: Խնդիրը էլ ավելի արդիական է սկսնակ գործարարների վարկավորման տեսակետից, քանի որ վարկի բարձր տոկոսադրույքին և գրավի անբավարարությանը ավելանում է նաև նախկինում դրամական հոսքերի բացակայությունը, ինչը լրացուցիչ արգելք է առևտրային բանկերի վարկային ռեսուրսների հասանելիության համար:</w:t>
            </w:r>
          </w:p>
          <w:p w:rsidR="0068680D" w:rsidRPr="00423B76" w:rsidRDefault="0068680D" w:rsidP="0068680D">
            <w:pPr>
              <w:widowControl w:val="0"/>
              <w:numPr>
                <w:ilvl w:val="1"/>
                <w:numId w:val="404"/>
              </w:numPr>
              <w:spacing w:line="276" w:lineRule="auto"/>
              <w:ind w:right="115"/>
              <w:jc w:val="both"/>
              <w:rPr>
                <w:b/>
                <w:lang w:val="hy-AM"/>
              </w:rPr>
            </w:pPr>
            <w:r w:rsidRPr="00423B76">
              <w:rPr>
                <w:b/>
                <w:lang w:val="hy-AM"/>
              </w:rPr>
              <w:t>Առկա խնդիրների առաջարկվող լուծումները</w:t>
            </w:r>
          </w:p>
          <w:p w:rsidR="0068680D" w:rsidRPr="00423B76" w:rsidRDefault="0068680D" w:rsidP="00F47DC4">
            <w:pPr>
              <w:spacing w:line="276" w:lineRule="auto"/>
              <w:jc w:val="both"/>
              <w:rPr>
                <w:rFonts w:cs="Sylfaen"/>
                <w:lang w:val="hy-AM"/>
              </w:rPr>
            </w:pPr>
            <w:r w:rsidRPr="00423B76">
              <w:rPr>
                <w:rFonts w:cs="Sylfaen"/>
                <w:lang w:val="hy-AM"/>
              </w:rPr>
              <w:t>Նշված խնդիրների մեղմացման համար առաջարկվում է իրականացնել միջոցառումներ ուղղված ՓՄՁ-ների ֆինանսական հասանելիության ապահովմանը: Այս նպատակով, որպես հիմնական գործիքակազմ առաջարկվում է Հայաստանի ՓՄՁ ԶԱԿ հիմնադրամի վարկային երաշխավորությունների դրամագլխի (շուրջ 1.8 մլրդ ՀՀ դրամ) շրջանակներում իրականացվող ֆինանսական աջակցության հետևյալ ծրագրերը.</w:t>
            </w:r>
          </w:p>
          <w:p w:rsidR="0068680D" w:rsidRPr="00423B76" w:rsidRDefault="0068680D" w:rsidP="0068680D">
            <w:pPr>
              <w:pStyle w:val="ListParagraph"/>
              <w:numPr>
                <w:ilvl w:val="0"/>
                <w:numId w:val="423"/>
              </w:numPr>
              <w:spacing w:line="276" w:lineRule="auto"/>
              <w:jc w:val="both"/>
              <w:rPr>
                <w:rFonts w:cs="Sylfaen"/>
                <w:lang w:val="hy-AM"/>
              </w:rPr>
            </w:pPr>
            <w:r w:rsidRPr="00423B76">
              <w:rPr>
                <w:rFonts w:cs="Sylfaen"/>
                <w:lang w:val="hy-AM"/>
              </w:rPr>
              <w:t>Սկսնակ գործարարներին ֆինանսական աջակցություն (վարկային երաշխավորոթյան տրամադրմամբ): Այս բաղադրիչի շրջանակներում առավել իրատեսական գործարար ծրագրեր ներկայացրած և/կամ գործունեության կենսունակությունն ապացուցած սկսնակ գործարարներին կտրամադրվեն վարկային երաշխավորություններ՝ գործընկեր առևտրային բանկերից արտոնյալ պայմաններով (առանց գրավ, ցածր տոկոսադրույքով, 5 տարի մարման ժամկետով) վարկ ստանալու նպատակով:</w:t>
            </w:r>
          </w:p>
          <w:p w:rsidR="0068680D" w:rsidRPr="00423B76" w:rsidRDefault="0068680D" w:rsidP="0068680D">
            <w:pPr>
              <w:pStyle w:val="ListParagraph"/>
              <w:numPr>
                <w:ilvl w:val="0"/>
                <w:numId w:val="423"/>
              </w:numPr>
              <w:spacing w:line="276" w:lineRule="auto"/>
              <w:jc w:val="both"/>
              <w:rPr>
                <w:rFonts w:cs="Sylfaen"/>
                <w:lang w:val="hy-AM"/>
              </w:rPr>
            </w:pPr>
            <w:r w:rsidRPr="00423B76">
              <w:rPr>
                <w:rFonts w:cs="Sylfaen"/>
                <w:lang w:val="hy-AM"/>
              </w:rPr>
              <w:t xml:space="preserve">Վարկերի դիմաց Հայաստանի ՓՄՁ ԶԱԿ-ի կողմից երաշխավորությունների տրամդրում: Այս բաղադրիչի նպատակաուղղված է ՓՄՁ-ի սուբյեկտներին վարկային երաշխավորությունների տրամադրման միջոցով գրավադրման խնդրի հաղթահարմանը, ՀՀ մարզերում, հատկապես սահմանամերձ և հեռավոր բնակավայրերում ՓՄՁ-ի սուբյեկտների վարկավորման հնարավորությունների ընդլայնմանը: ՓՄՁ-ի սուբյեկտներին վարկային երաշխավորությունների տրամադրման առավելագույն ժամկետը 5 տարի է: Ծրագրի շրջանակներում գործող ՓՄՁ-ի սուբյեկտներին տրամադրվող վարկային երաշխավորության գումարը չի կարող գերազանցել վարկի գումարի 70 տոկոսը և 15.0 մլն ՀՀ դրամը: </w:t>
            </w:r>
          </w:p>
          <w:p w:rsidR="0068680D" w:rsidRPr="00423B76" w:rsidRDefault="0068680D" w:rsidP="00F47DC4">
            <w:pPr>
              <w:spacing w:line="276" w:lineRule="auto"/>
              <w:jc w:val="both"/>
              <w:rPr>
                <w:rFonts w:cs="Sylfaen"/>
                <w:lang w:val="hy-AM"/>
              </w:rPr>
            </w:pPr>
            <w:r w:rsidRPr="00423B76">
              <w:rPr>
                <w:rFonts w:cs="Sylfaen"/>
                <w:lang w:val="hy-AM"/>
              </w:rPr>
              <w:t>Վերոնշյալ ծրագրերի միջոցով 2019թ. ընթացքում նախատեսվում է աջակցություն ցուցաբերել շուրջ 100 սկսնակ և գործող ՓՄՁ սուբյեկտների, որոնց կտրամադրվի շուրջ 500 մլն դրամ գումարի վարկային երաշխավորություններ: Սրան զուգահեռ, նշված ծրագրերի արդյունավետությունը բարձրացնելու նպատակով նախատեսվում է աշխատանքներ իրականացնել բանկերի կողմից վարկային ռիսկը Հայաստանի ՓՄՁ ԶԱԿ-ի հետ հավասարաչափ կիսելու, ինչպես նաև հիմնադրամի կողմից գրավադրված մեկ միավոր գումարի դիմաց մինչև չորս միավոր վարկ տրամադրելու հնարավորությունների ստեղծման ուղղությամբ: Վարկային երածխավորությունների դրամագլխի հնարավորություններն օգտագործելով նախատեսվում է նաև լիզինգով ձեռքբերվող գույքի կանխավճարի գումարի մասնակի կամ ամբողջական երաշխավորման ծրագրի իրականացում ԱԳԲԱ լիզինգի հետ համատեղ:</w:t>
            </w:r>
          </w:p>
          <w:p w:rsidR="0068680D" w:rsidRPr="00423B76" w:rsidRDefault="0068680D" w:rsidP="0068680D">
            <w:pPr>
              <w:pStyle w:val="NormalWeb"/>
              <w:widowControl w:val="0"/>
              <w:numPr>
                <w:ilvl w:val="0"/>
                <w:numId w:val="403"/>
              </w:numPr>
              <w:spacing w:before="0" w:beforeAutospacing="0" w:after="0" w:afterAutospacing="0" w:line="276" w:lineRule="auto"/>
              <w:ind w:right="115"/>
              <w:jc w:val="both"/>
              <w:rPr>
                <w:rFonts w:ascii="GHEA Grapalat" w:hAnsi="GHEA Grapalat"/>
                <w:b/>
                <w:color w:val="000000"/>
                <w:sz w:val="20"/>
                <w:szCs w:val="20"/>
                <w:lang w:val="hy-AM"/>
              </w:rPr>
            </w:pPr>
            <w:r w:rsidRPr="00423B76">
              <w:rPr>
                <w:rFonts w:ascii="GHEA Grapalat" w:hAnsi="GHEA Grapalat"/>
                <w:b/>
                <w:color w:val="000000"/>
                <w:sz w:val="20"/>
                <w:szCs w:val="20"/>
                <w:lang w:val="hy-AM"/>
              </w:rPr>
              <w:t>Միջոցառման իրականացումից ակնկալվող արդյունքը</w:t>
            </w:r>
          </w:p>
          <w:p w:rsidR="0068680D" w:rsidRPr="00423B76" w:rsidRDefault="0068680D" w:rsidP="00F47DC4">
            <w:pPr>
              <w:spacing w:line="276" w:lineRule="auto"/>
              <w:jc w:val="both"/>
              <w:rPr>
                <w:rFonts w:cs="Sylfaen"/>
                <w:lang w:val="hy-AM"/>
              </w:rPr>
            </w:pPr>
            <w:r w:rsidRPr="00423B76">
              <w:rPr>
                <w:rFonts w:cs="Sylfaen"/>
                <w:lang w:val="hy-AM"/>
              </w:rPr>
              <w:t>Միջոցառման իրականացման արդյունքում ակնկալվում է բարձրացնել ՓՄՁ սուբյեկտների համար ֆինանսական/վարկային ռեսուրների հասանելիությունը՝ հնրավորություն ընձեռելով կյանքի կոչել ծրագրավորված գործարար նախաձեռնությունները և ստեղծել նոր աշխատատեղեր:</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2.</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720"/>
              <w:outlineLvl w:val="0"/>
              <w:rPr>
                <w:rFonts w:ascii="GHEA Grapalat" w:hAnsi="GHEA Grapalat" w:cs="Sylfaen"/>
                <w:sz w:val="20"/>
                <w:szCs w:val="20"/>
                <w:lang w:val="hy-AM"/>
              </w:rPr>
            </w:pPr>
            <w:r w:rsidRPr="00423B76">
              <w:rPr>
                <w:rFonts w:ascii="GHEA Grapalat" w:hAnsi="GHEA Grapalat"/>
                <w:sz w:val="20"/>
                <w:szCs w:val="20"/>
                <w:lang w:val="hy-AM"/>
              </w:rPr>
              <w:t xml:space="preserve">ՓՄՁ ոլորտում խոչընդոտների վերացում՝ ձեռնարկատիրական մշակույթի զարգացման, նպաստավոր օրենսդրական </w:t>
            </w:r>
            <w:r>
              <w:rPr>
                <w:rFonts w:ascii="GHEA Grapalat" w:hAnsi="GHEA Grapalat"/>
                <w:sz w:val="20"/>
                <w:szCs w:val="20"/>
                <w:lang w:val="hy-AM"/>
              </w:rPr>
              <w:t>և</w:t>
            </w:r>
            <w:r w:rsidRPr="00423B76">
              <w:rPr>
                <w:rFonts w:ascii="GHEA Grapalat" w:hAnsi="GHEA Grapalat"/>
                <w:sz w:val="20"/>
                <w:szCs w:val="20"/>
                <w:lang w:val="hy-AM"/>
              </w:rPr>
              <w:t xml:space="preserve"> ինստիտուցիոնալ դաշտի կայացման, ՓՄՁ կարողությունների զարգացման ճանապարհով. փմձ խոշորացման խթանների համակարգի զարգացում</w:t>
            </w:r>
          </w:p>
          <w:p w:rsidR="0068680D" w:rsidRDefault="0068680D" w:rsidP="00F47DC4">
            <w:pPr>
              <w:pStyle w:val="Heading2"/>
              <w:spacing w:before="0" w:beforeAutospacing="0" w:after="0" w:afterAutospacing="0" w:line="276" w:lineRule="auto"/>
              <w:ind w:left="360"/>
              <w:outlineLvl w:val="1"/>
              <w:rPr>
                <w:rFonts w:ascii="GHEA Grapalat" w:hAnsi="GHEA Grapalat" w:cs="Sylfaen"/>
                <w:sz w:val="20"/>
                <w:szCs w:val="20"/>
                <w:lang w:val="hy-AM"/>
              </w:rPr>
            </w:pPr>
          </w:p>
          <w:p w:rsidR="0068680D" w:rsidRPr="00423B76" w:rsidRDefault="0068680D" w:rsidP="00F47DC4">
            <w:pPr>
              <w:pStyle w:val="Heading2"/>
              <w:spacing w:before="0" w:beforeAutospacing="0" w:after="0" w:afterAutospacing="0" w:line="276" w:lineRule="auto"/>
              <w:ind w:left="360"/>
              <w:outlineLvl w:val="1"/>
              <w:rPr>
                <w:rFonts w:ascii="GHEA Grapalat" w:hAnsi="GHEA Grapalat" w:cs="Sylfaen"/>
                <w:sz w:val="20"/>
                <w:szCs w:val="20"/>
                <w:lang w:val="hy-AM"/>
              </w:rPr>
            </w:pPr>
            <w:r>
              <w:rPr>
                <w:rFonts w:ascii="GHEA Grapalat" w:hAnsi="GHEA Grapalat" w:cs="Sylfaen"/>
                <w:sz w:val="20"/>
                <w:szCs w:val="20"/>
                <w:lang w:val="hy-AM"/>
              </w:rPr>
              <w:t xml:space="preserve"> 2.1 </w:t>
            </w:r>
            <w:r w:rsidRPr="00423B76">
              <w:rPr>
                <w:rFonts w:ascii="GHEA Grapalat" w:hAnsi="GHEA Grapalat" w:cs="Sylfaen"/>
                <w:sz w:val="20"/>
                <w:szCs w:val="20"/>
                <w:lang w:val="hy-AM"/>
              </w:rPr>
              <w:t>«ՓՄՁ ոլորտի զարգացման ռազմավարության և դրա իրականացման միջոցառումների ծրագրին հավանություն տալու մասին» ՀՀ կառավա</w:t>
            </w:r>
            <w:r w:rsidRPr="00423B76">
              <w:rPr>
                <w:rFonts w:ascii="GHEA Grapalat" w:hAnsi="GHEA Grapalat" w:cs="Sylfaen"/>
                <w:sz w:val="20"/>
                <w:szCs w:val="20"/>
                <w:lang w:val="hy-AM"/>
              </w:rPr>
              <w:softHyphen/>
              <w:t>րութ</w:t>
            </w:r>
            <w:r w:rsidRPr="00423B76">
              <w:rPr>
                <w:rFonts w:ascii="GHEA Grapalat" w:hAnsi="GHEA Grapalat" w:cs="Sylfaen"/>
                <w:sz w:val="20"/>
                <w:szCs w:val="20"/>
                <w:lang w:val="hy-AM"/>
              </w:rPr>
              <w:softHyphen/>
              <w:t>յան որոշման նախագիծ</w:t>
            </w:r>
          </w:p>
          <w:p w:rsidR="0068680D" w:rsidRPr="00423B76" w:rsidRDefault="0068680D" w:rsidP="0068680D">
            <w:pPr>
              <w:pStyle w:val="NormalWeb"/>
              <w:widowControl w:val="0"/>
              <w:numPr>
                <w:ilvl w:val="0"/>
                <w:numId w:val="400"/>
              </w:numPr>
              <w:spacing w:before="0" w:beforeAutospacing="0" w:after="0" w:afterAutospacing="0" w:line="276" w:lineRule="auto"/>
              <w:ind w:right="115"/>
              <w:rPr>
                <w:rFonts w:ascii="GHEA Grapalat" w:hAnsi="GHEA Grapalat"/>
                <w:b/>
                <w:color w:val="000000"/>
                <w:sz w:val="20"/>
                <w:szCs w:val="20"/>
                <w:lang w:val="hy-AM"/>
              </w:rPr>
            </w:pPr>
            <w:r w:rsidRPr="00423B76">
              <w:rPr>
                <w:rFonts w:ascii="GHEA Grapalat" w:hAnsi="GHEA Grapalat"/>
                <w:b/>
                <w:color w:val="000000"/>
                <w:sz w:val="20"/>
                <w:szCs w:val="20"/>
                <w:lang w:val="hy-AM"/>
              </w:rPr>
              <w:t>Միջոցառման իրականացման անհրաժեշտությունը և նպատակը</w:t>
            </w:r>
          </w:p>
          <w:p w:rsidR="0068680D" w:rsidRPr="00423B76" w:rsidRDefault="0068680D" w:rsidP="00F47DC4">
            <w:pPr>
              <w:widowControl w:val="0"/>
              <w:spacing w:line="276" w:lineRule="auto"/>
              <w:jc w:val="both"/>
              <w:rPr>
                <w:rFonts w:eastAsia="Calibri" w:cs="GHEA Grapalat"/>
                <w:lang w:val="hy-AM"/>
              </w:rPr>
            </w:pPr>
            <w:r w:rsidRPr="00423B76">
              <w:rPr>
                <w:rFonts w:eastAsia="Calibri" w:cs="GHEA Grapalat"/>
                <w:lang w:val="hy-AM"/>
              </w:rPr>
              <w:t xml:space="preserve">ՓՄՁ ոլորտի զարգացման ռազմավարության մշակման անհրաժեշտությունը պայմանավորված է ՀՀ կառավարության 2018 թվականի դեկտեմբերի 27-ի «Հայաստանի Հանրապետության 2019 թվականի պետական բյուջեի կատարումն ապահովող միջոցառումների մասին» N1515-Ն որոշման 13-րդ կետի 1-ին ենթակետով սահմանված դրույթով,  ինչպես նաև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BC61ED">
              <w:rPr>
                <w:lang w:val="hy-AM"/>
              </w:rPr>
              <w:t xml:space="preserve"> </w:t>
            </w:r>
            <w:r w:rsidRPr="00423B76">
              <w:rPr>
                <w:rFonts w:cs="Sylfaen"/>
                <w:color w:val="000000"/>
                <w:lang w:val="hy-AM"/>
              </w:rPr>
              <w:t>5.8 բաժնի դրույթներով</w:t>
            </w:r>
            <w:r w:rsidRPr="00423B76">
              <w:rPr>
                <w:rFonts w:eastAsia="Calibri" w:cs="GHEA Grapalat"/>
                <w:lang w:val="hy-AM"/>
              </w:rPr>
              <w:t xml:space="preserve">։ </w:t>
            </w:r>
          </w:p>
          <w:p w:rsidR="0068680D" w:rsidRPr="00423B76" w:rsidRDefault="0068680D" w:rsidP="0068680D">
            <w:pPr>
              <w:widowControl w:val="0"/>
              <w:numPr>
                <w:ilvl w:val="1"/>
                <w:numId w:val="400"/>
              </w:numPr>
              <w:spacing w:line="276" w:lineRule="auto"/>
              <w:ind w:right="115"/>
              <w:rPr>
                <w:b/>
                <w:lang w:val="hy-AM"/>
              </w:rPr>
            </w:pPr>
            <w:r w:rsidRPr="00423B76">
              <w:rPr>
                <w:b/>
                <w:lang w:val="hy-AM"/>
              </w:rPr>
              <w:t>Կարգավորման հարաբերությունների ներկա վիճակը և առկա խնդիրները</w:t>
            </w:r>
          </w:p>
          <w:p w:rsidR="0068680D" w:rsidRPr="00423B76" w:rsidRDefault="0068680D" w:rsidP="00F47DC4">
            <w:pPr>
              <w:widowControl w:val="0"/>
              <w:spacing w:line="276" w:lineRule="auto"/>
              <w:jc w:val="both"/>
              <w:rPr>
                <w:rFonts w:eastAsia="Calibri" w:cs="GHEA Grapalat"/>
                <w:lang w:val="hy-AM"/>
              </w:rPr>
            </w:pPr>
            <w:r w:rsidRPr="00423B76">
              <w:rPr>
                <w:rFonts w:eastAsia="Calibri" w:cs="GHEA Grapalat"/>
                <w:lang w:val="hy-AM"/>
              </w:rPr>
              <w:t>2001թ. սկսած մշակվում և իրականացվում են</w:t>
            </w:r>
            <w:r w:rsidRPr="00423B76">
              <w:rPr>
                <w:rFonts w:ascii="Calibri" w:eastAsia="Calibri" w:hAnsi="Calibri" w:cs="Calibri"/>
                <w:lang w:val="hy-AM"/>
              </w:rPr>
              <w:t> </w:t>
            </w:r>
            <w:r w:rsidRPr="00423B76">
              <w:rPr>
                <w:rFonts w:eastAsia="Calibri" w:cs="GHEA Grapalat"/>
                <w:lang w:val="hy-AM"/>
              </w:rPr>
              <w:t>ՓՄՁ պետական աջակցության տարեկան ծրագրեր, որոնք նպատակաուղղված են իրականացնելու «Փոքր և միջին ձեռնարկատիրության պետական աջակցության մասին» ՀՀ օրենքով ամրագրված ՓՄՁ ոլորտի պետական աջակցության հետևյալ ուղղությունները` ՓՄՁ-ի սուբյեկտներին աջակցության ենթակառուցվածքների պահպանում և ամրապնդում, գործարար ուսուցողական աջակցություն (կարողու</w:t>
            </w:r>
            <w:r w:rsidRPr="00423B76">
              <w:rPr>
                <w:rFonts w:eastAsia="Calibri" w:cs="GHEA Grapalat"/>
                <w:lang w:val="hy-AM"/>
              </w:rPr>
              <w:softHyphen/>
              <w:t>թյունների զարգացում), ՓՄՁ-ի սուբյեկտներին գործարար տեղեկատվական և խորհրդատվական աջակցություն, ֆինանսական և ներդրումային աջակցություն, տեղական տնտեսական զարգացում, ոլորտային բիզնեսներին աջակցություն, կանանց ձեռներեցությանն աջակցություն, տեղական արտադրանքի արտահանմանն աջակցություն և ՓՄՁ-ի սուբյեկտ</w:t>
            </w:r>
            <w:r w:rsidRPr="00423B76">
              <w:rPr>
                <w:rFonts w:eastAsia="Calibri" w:cs="GHEA Grapalat"/>
                <w:lang w:val="hy-AM"/>
              </w:rPr>
              <w:softHyphen/>
              <w:t>ների միջազգային համագործակցության ընդլայնման ապահովում, միջազգային և օտարերկրյա դոնոր կազմակերպությունների հետ ՓՄՁ-ի զարգացման համատեղ (համաֆինանսավորման սկզբունքով) ծրագրերի մշակում և իրակա</w:t>
            </w:r>
            <w:r w:rsidRPr="00423B76">
              <w:rPr>
                <w:rFonts w:eastAsia="Calibri" w:cs="GHEA Grapalat"/>
                <w:lang w:val="hy-AM"/>
              </w:rPr>
              <w:softHyphen/>
              <w:t>նացում:</w:t>
            </w:r>
          </w:p>
          <w:p w:rsidR="0068680D" w:rsidRPr="00423B76" w:rsidRDefault="0068680D" w:rsidP="00F47DC4">
            <w:pPr>
              <w:widowControl w:val="0"/>
              <w:spacing w:line="276" w:lineRule="auto"/>
              <w:jc w:val="both"/>
              <w:rPr>
                <w:rFonts w:eastAsia="Calibri" w:cs="GHEA Grapalat"/>
                <w:lang w:val="hy-AM"/>
              </w:rPr>
            </w:pPr>
            <w:r w:rsidRPr="00423B76">
              <w:rPr>
                <w:rFonts w:eastAsia="Calibri" w:cs="GHEA Grapalat"/>
                <w:lang w:val="hy-AM"/>
              </w:rPr>
              <w:t>Վերոնշյալ ուղղությունները մշակվում են մեկ տարվա համար և համարվում են կարճաժամկետ փաստաթղթեր՝ ինչը հնարավորություն չի տալիս սահմանել ոլորտում իրականացվող երկարաժամկետ քաղաքականության նպատակները, նախանշել պետական քաղաքականության սկզբունքներն ու հիկնական ուղղությունները:</w:t>
            </w:r>
          </w:p>
          <w:p w:rsidR="0068680D" w:rsidRPr="00423B76" w:rsidRDefault="0068680D" w:rsidP="0068680D">
            <w:pPr>
              <w:widowControl w:val="0"/>
              <w:numPr>
                <w:ilvl w:val="1"/>
                <w:numId w:val="400"/>
              </w:numPr>
              <w:spacing w:line="276" w:lineRule="auto"/>
              <w:ind w:right="115"/>
              <w:rPr>
                <w:b/>
                <w:lang w:val="hy-AM"/>
              </w:rPr>
            </w:pPr>
            <w:r w:rsidRPr="00423B76">
              <w:rPr>
                <w:b/>
                <w:lang w:val="hy-AM"/>
              </w:rPr>
              <w:t>Առկա խնդիրների առաջարկվող լուծումները</w:t>
            </w:r>
          </w:p>
          <w:p w:rsidR="0068680D" w:rsidRPr="00423B76" w:rsidRDefault="0068680D" w:rsidP="00F47DC4">
            <w:pPr>
              <w:widowControl w:val="0"/>
              <w:spacing w:line="276" w:lineRule="auto"/>
              <w:jc w:val="both"/>
              <w:rPr>
                <w:color w:val="000000"/>
                <w:lang w:val="hy-AM"/>
              </w:rPr>
            </w:pPr>
            <w:r w:rsidRPr="00423B76">
              <w:rPr>
                <w:rFonts w:cs="Sylfaen"/>
                <w:lang w:val="hy-AM"/>
              </w:rPr>
              <w:t xml:space="preserve">Փոքր և միջին ձեռնարկատիրության զարգացման համատեքստում առկա խնդիրների հաղթահարման նպատակով հարկ է </w:t>
            </w:r>
            <w:r w:rsidRPr="00423B76">
              <w:rPr>
                <w:rFonts w:eastAsia="Calibri" w:cs="GHEA Grapalat"/>
                <w:lang w:val="hy-AM"/>
              </w:rPr>
              <w:t>շարունակել</w:t>
            </w:r>
            <w:r w:rsidRPr="00423B76">
              <w:rPr>
                <w:rFonts w:cs="Sylfaen"/>
                <w:lang w:val="hy-AM"/>
              </w:rPr>
              <w:t xml:space="preserve"> համապատասխան պետական քաղա</w:t>
            </w:r>
            <w:r w:rsidRPr="00423B76">
              <w:rPr>
                <w:rFonts w:cs="Sylfaen"/>
                <w:lang w:val="hy-AM"/>
              </w:rPr>
              <w:softHyphen/>
              <w:t xml:space="preserve">քականության իրականացումը` միտված երկրում գործարար միջավայրի բարելավմանը։ Հատկապես կարևորվում է աշխատանքների իրականացումը հետևյալ ռազմավարական նպատակների իրականացման ուղղությամբ. </w:t>
            </w:r>
          </w:p>
          <w:p w:rsidR="0068680D" w:rsidRPr="00423B76" w:rsidRDefault="0068680D" w:rsidP="0068680D">
            <w:pPr>
              <w:pStyle w:val="BodyText30"/>
              <w:numPr>
                <w:ilvl w:val="0"/>
                <w:numId w:val="334"/>
              </w:numPr>
              <w:shd w:val="clear" w:color="auto" w:fill="auto"/>
              <w:spacing w:before="0" w:line="276" w:lineRule="auto"/>
              <w:ind w:left="1066" w:right="14"/>
              <w:contextualSpacing/>
              <w:jc w:val="both"/>
              <w:rPr>
                <w:rFonts w:ascii="GHEA Grapalat" w:hAnsi="GHEA Grapalat"/>
                <w:lang w:val="hy-AM"/>
              </w:rPr>
            </w:pPr>
            <w:r w:rsidRPr="00423B76">
              <w:rPr>
                <w:rFonts w:ascii="GHEA Grapalat" w:hAnsi="GHEA Grapalat"/>
                <w:lang w:val="hy-AM"/>
              </w:rPr>
              <w:t>Ինստիտուցիոնալ, օրենսդրական և գործառնական միջավայրի բարելավում  ՓՄՁ-ների ստեղծման և զարգացման համար,</w:t>
            </w:r>
          </w:p>
          <w:p w:rsidR="0068680D" w:rsidRPr="00423B76" w:rsidRDefault="0068680D" w:rsidP="0068680D">
            <w:pPr>
              <w:pStyle w:val="BodyText30"/>
              <w:numPr>
                <w:ilvl w:val="0"/>
                <w:numId w:val="334"/>
              </w:numPr>
              <w:shd w:val="clear" w:color="auto" w:fill="auto"/>
              <w:spacing w:before="0" w:line="276" w:lineRule="auto"/>
              <w:ind w:left="1066" w:right="14"/>
              <w:contextualSpacing/>
              <w:jc w:val="both"/>
              <w:rPr>
                <w:rFonts w:ascii="GHEA Grapalat" w:hAnsi="GHEA Grapalat"/>
                <w:lang w:val="hy-AM"/>
              </w:rPr>
            </w:pPr>
            <w:r w:rsidRPr="00423B76">
              <w:rPr>
                <w:rFonts w:ascii="GHEA Grapalat" w:hAnsi="GHEA Grapalat"/>
                <w:lang w:val="hy-AM"/>
              </w:rPr>
              <w:t>ՓՄՁ սուբյեկտներին ֆինանսավորման հասանելիության բարելավում,</w:t>
            </w:r>
          </w:p>
          <w:p w:rsidR="0068680D" w:rsidRPr="00423B76" w:rsidRDefault="0068680D" w:rsidP="0068680D">
            <w:pPr>
              <w:pStyle w:val="BodyText30"/>
              <w:numPr>
                <w:ilvl w:val="0"/>
                <w:numId w:val="334"/>
              </w:numPr>
              <w:shd w:val="clear" w:color="auto" w:fill="auto"/>
              <w:spacing w:before="0" w:line="276" w:lineRule="auto"/>
              <w:ind w:left="1066" w:right="14"/>
              <w:contextualSpacing/>
              <w:jc w:val="both"/>
              <w:rPr>
                <w:rFonts w:ascii="GHEA Grapalat" w:hAnsi="GHEA Grapalat"/>
                <w:lang w:val="hy-AM"/>
              </w:rPr>
            </w:pPr>
            <w:r w:rsidRPr="00423B76">
              <w:rPr>
                <w:rFonts w:ascii="GHEA Grapalat" w:hAnsi="GHEA Grapalat"/>
                <w:lang w:val="hy-AM"/>
              </w:rPr>
              <w:t>Ձեռնարկատիրական կարողությունների (մշակույթի) խթանում և զարգացում,</w:t>
            </w:r>
          </w:p>
          <w:p w:rsidR="0068680D" w:rsidRPr="00423B76" w:rsidRDefault="0068680D" w:rsidP="0068680D">
            <w:pPr>
              <w:pStyle w:val="BodyText30"/>
              <w:numPr>
                <w:ilvl w:val="0"/>
                <w:numId w:val="334"/>
              </w:numPr>
              <w:shd w:val="clear" w:color="auto" w:fill="auto"/>
              <w:spacing w:before="0" w:line="276" w:lineRule="auto"/>
              <w:ind w:left="1066" w:right="14"/>
              <w:contextualSpacing/>
              <w:jc w:val="both"/>
              <w:rPr>
                <w:rFonts w:ascii="GHEA Grapalat" w:hAnsi="GHEA Grapalat"/>
                <w:lang w:val="hy-AM"/>
              </w:rPr>
            </w:pPr>
            <w:r w:rsidRPr="00423B76">
              <w:rPr>
                <w:rFonts w:ascii="GHEA Grapalat" w:hAnsi="GHEA Grapalat"/>
                <w:lang w:val="hy-AM"/>
              </w:rPr>
              <w:t>ՓՄՁ սուբյեկտների ներքին և արտաքին մրցունակության բարձրացում,</w:t>
            </w:r>
          </w:p>
          <w:p w:rsidR="0068680D" w:rsidRPr="00423B76" w:rsidRDefault="0068680D" w:rsidP="0068680D">
            <w:pPr>
              <w:pStyle w:val="BodyText30"/>
              <w:numPr>
                <w:ilvl w:val="0"/>
                <w:numId w:val="334"/>
              </w:numPr>
              <w:shd w:val="clear" w:color="auto" w:fill="auto"/>
              <w:spacing w:before="0" w:line="276" w:lineRule="auto"/>
              <w:ind w:left="1066" w:right="14"/>
              <w:contextualSpacing/>
              <w:jc w:val="both"/>
              <w:rPr>
                <w:rFonts w:ascii="GHEA Grapalat" w:hAnsi="GHEA Grapalat"/>
                <w:lang w:val="hy-AM"/>
              </w:rPr>
            </w:pPr>
            <w:r w:rsidRPr="00423B76">
              <w:rPr>
                <w:rFonts w:ascii="GHEA Grapalat" w:hAnsi="GHEA Grapalat"/>
                <w:lang w:val="hy-AM"/>
              </w:rPr>
              <w:t>Պետություն–մասնավոր հատված երկխոսության բարելավում,</w:t>
            </w:r>
          </w:p>
          <w:p w:rsidR="0068680D" w:rsidRPr="00423B76" w:rsidRDefault="0068680D" w:rsidP="0068680D">
            <w:pPr>
              <w:pStyle w:val="BodyText30"/>
              <w:numPr>
                <w:ilvl w:val="0"/>
                <w:numId w:val="334"/>
              </w:numPr>
              <w:shd w:val="clear" w:color="auto" w:fill="auto"/>
              <w:spacing w:before="0" w:line="276" w:lineRule="auto"/>
              <w:ind w:left="1066" w:right="14"/>
              <w:contextualSpacing/>
              <w:jc w:val="both"/>
              <w:rPr>
                <w:rFonts w:ascii="GHEA Grapalat" w:hAnsi="GHEA Grapalat"/>
                <w:lang w:val="hy-AM"/>
              </w:rPr>
            </w:pPr>
            <w:r w:rsidRPr="00423B76">
              <w:rPr>
                <w:rFonts w:ascii="GHEA Grapalat" w:hAnsi="GHEA Grapalat"/>
                <w:lang w:val="hy-AM"/>
              </w:rPr>
              <w:t>ՓՄՁ ոլորտի զարգացմանն աջակցող կառույցների ուժեղացում,</w:t>
            </w:r>
          </w:p>
          <w:p w:rsidR="0068680D" w:rsidRPr="00423B76" w:rsidRDefault="0068680D" w:rsidP="0068680D">
            <w:pPr>
              <w:pStyle w:val="BodyText30"/>
              <w:numPr>
                <w:ilvl w:val="0"/>
                <w:numId w:val="334"/>
              </w:numPr>
              <w:shd w:val="clear" w:color="auto" w:fill="auto"/>
              <w:spacing w:before="0" w:line="276" w:lineRule="auto"/>
              <w:ind w:left="1066" w:right="14"/>
              <w:contextualSpacing/>
              <w:jc w:val="both"/>
              <w:rPr>
                <w:rFonts w:ascii="GHEA Grapalat" w:hAnsi="GHEA Grapalat"/>
                <w:lang w:val="hy-AM"/>
              </w:rPr>
            </w:pPr>
            <w:r w:rsidRPr="00423B76">
              <w:rPr>
                <w:rFonts w:ascii="GHEA Grapalat" w:hAnsi="GHEA Grapalat"/>
                <w:lang w:val="hy-AM"/>
              </w:rPr>
              <w:t>Կանանց ձեռներեցության խթանում, ինչպես նաև սկսնակ գործարարներին աջակցության տրամադրում:</w:t>
            </w:r>
          </w:p>
          <w:p w:rsidR="0068680D" w:rsidRPr="00423B76" w:rsidRDefault="0068680D" w:rsidP="0068680D">
            <w:pPr>
              <w:pStyle w:val="NormalWeb"/>
              <w:widowControl w:val="0"/>
              <w:numPr>
                <w:ilvl w:val="0"/>
                <w:numId w:val="336"/>
              </w:numPr>
              <w:spacing w:before="0" w:beforeAutospacing="0" w:after="0" w:afterAutospacing="0" w:line="276" w:lineRule="auto"/>
              <w:ind w:right="115"/>
              <w:rPr>
                <w:rFonts w:ascii="GHEA Grapalat" w:hAnsi="GHEA Grapalat" w:cs="Sylfaen"/>
                <w:b/>
                <w:sz w:val="20"/>
                <w:szCs w:val="20"/>
                <w:lang w:val="hy-AM"/>
              </w:rPr>
            </w:pPr>
            <w:r w:rsidRPr="00423B76">
              <w:rPr>
                <w:rFonts w:ascii="GHEA Grapalat" w:hAnsi="GHEA Grapalat" w:cs="Sylfaen"/>
                <w:b/>
                <w:sz w:val="20"/>
                <w:szCs w:val="20"/>
                <w:lang w:val="hy-AM"/>
              </w:rPr>
              <w:t>Միջոցառման իրականացումից ակնկալվող արդյունքը</w:t>
            </w:r>
          </w:p>
          <w:p w:rsidR="0068680D" w:rsidRPr="00423B76" w:rsidRDefault="0068680D" w:rsidP="00F47DC4">
            <w:pPr>
              <w:widowControl w:val="0"/>
              <w:spacing w:line="276" w:lineRule="auto"/>
              <w:jc w:val="both"/>
              <w:rPr>
                <w:lang w:val="hy-AM"/>
              </w:rPr>
            </w:pPr>
            <w:r w:rsidRPr="00423B76">
              <w:rPr>
                <w:lang w:val="hy-AM"/>
              </w:rPr>
              <w:t xml:space="preserve">ՓՄՁ ոլորտի զարգացման երկարաժամկետ ռազմավարության իրականացման միասնական նպատակը գիտելիքի և նորարարության </w:t>
            </w:r>
            <w:r w:rsidRPr="00423B76">
              <w:rPr>
                <w:rFonts w:cs="Sylfaen"/>
                <w:lang w:val="hy-AM"/>
              </w:rPr>
              <w:t>հիման</w:t>
            </w:r>
            <w:r w:rsidRPr="00423B76">
              <w:rPr>
                <w:lang w:val="hy-AM"/>
              </w:rPr>
              <w:t xml:space="preserve"> վրա, կառավարման որակի բարձրացման միջոցով, ՓՄՁ սուբյեկտների և ընդհանրապես ոլորտի որակական զարգացման ու մրցունակության բարձրացումն է։</w:t>
            </w:r>
          </w:p>
          <w:p w:rsidR="0068680D"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p>
          <w:p w:rsidR="0068680D" w:rsidRPr="00423B76" w:rsidRDefault="0068680D" w:rsidP="00F47DC4">
            <w:pPr>
              <w:pStyle w:val="Heading2"/>
              <w:spacing w:before="0" w:beforeAutospacing="0" w:after="0" w:afterAutospacing="0" w:line="276" w:lineRule="auto"/>
              <w:ind w:left="360"/>
              <w:outlineLvl w:val="1"/>
              <w:rPr>
                <w:rFonts w:ascii="GHEA Grapalat" w:hAnsi="GHEA Grapalat" w:cs="Sylfaen"/>
                <w:sz w:val="20"/>
                <w:szCs w:val="20"/>
                <w:lang w:val="hy-AM"/>
              </w:rPr>
            </w:pPr>
            <w:r>
              <w:rPr>
                <w:rFonts w:ascii="GHEA Grapalat" w:hAnsi="GHEA Grapalat" w:cs="Sylfaen"/>
                <w:sz w:val="20"/>
                <w:szCs w:val="20"/>
                <w:lang w:val="hy-AM"/>
              </w:rPr>
              <w:t xml:space="preserve">2.2 </w:t>
            </w:r>
            <w:r w:rsidRPr="00423B76">
              <w:rPr>
                <w:rFonts w:ascii="GHEA Grapalat" w:hAnsi="GHEA Grapalat" w:cs="Sylfaen"/>
                <w:sz w:val="20"/>
                <w:szCs w:val="20"/>
                <w:lang w:val="hy-AM"/>
              </w:rPr>
              <w:t>«Հայաստանի Հանրապետության վարչապետի 2018 թվականի N1281-Ն որոշման մեջ փոփոխություններ կատարելու մասին» ՀՀ վարչապետի որոշման նախագծի մշակում և ներկայացում ՀՀ վարչապետի աշխատակազմ</w:t>
            </w:r>
          </w:p>
          <w:p w:rsidR="0068680D" w:rsidRPr="00423B76" w:rsidRDefault="0068680D" w:rsidP="0068680D">
            <w:pPr>
              <w:pStyle w:val="ListParagraph"/>
              <w:numPr>
                <w:ilvl w:val="0"/>
                <w:numId w:val="380"/>
              </w:numPr>
              <w:spacing w:line="276" w:lineRule="auto"/>
              <w:ind w:left="450"/>
              <w:contextualSpacing w:val="0"/>
              <w:rPr>
                <w:b/>
                <w:lang w:val="hy-AM"/>
              </w:rPr>
            </w:pPr>
            <w:r w:rsidRPr="00423B76">
              <w:rPr>
                <w:b/>
                <w:lang w:val="hy-AM"/>
              </w:rPr>
              <w:t xml:space="preserve"> Միջոցառման իրականացման անհրաժեշտությունը և նպատակը</w:t>
            </w:r>
          </w:p>
          <w:p w:rsidR="0068680D" w:rsidRPr="00423B76" w:rsidRDefault="0068680D" w:rsidP="00F47DC4">
            <w:pPr>
              <w:spacing w:line="276" w:lineRule="auto"/>
              <w:jc w:val="both"/>
              <w:rPr>
                <w:lang w:val="hy-AM"/>
              </w:rPr>
            </w:pPr>
            <w:r w:rsidRPr="00423B76">
              <w:rPr>
                <w:rFonts w:cs="Arial"/>
                <w:lang w:val="hy-AM"/>
              </w:rPr>
              <w:t xml:space="preserve">Նախագծի մշակման </w:t>
            </w:r>
            <w:r w:rsidRPr="00423B76">
              <w:rPr>
                <w:lang w:val="hy-AM"/>
              </w:rPr>
              <w:t>անհրաժեշտությունը</w:t>
            </w:r>
            <w:r w:rsidRPr="00423B76">
              <w:rPr>
                <w:rFonts w:cs="Arial"/>
                <w:lang w:val="hy-AM"/>
              </w:rPr>
              <w:t xml:space="preserve">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5.8 բաժնի դրույթներով, ինչպես նաև</w:t>
            </w:r>
            <w:r w:rsidRPr="00423B76">
              <w:rPr>
                <w:lang w:val="hy-AM"/>
              </w:rPr>
              <w:t xml:space="preserve"> ՓՄՁ աջակցություն տրամադրող դոնոր կազմակերպությունների, միջազգային ծրագրերի, մասնավոր նախաձեռնությամբ իրականացվող ՓՄՁ աջակցության ծրագրերի ու պետական աջակցության ծրագրերի համախմբման և փոխլրացման հրամայականով։ Միաժամանակ, կարևորվում է նաև ՓՄՁ և խոշոր կազմակերպությունների համագործակցության հնարավորությունների բացահայտումը և դրանց խորացման ուղղությամբ աշխատանքների իրականացումը։</w:t>
            </w:r>
          </w:p>
          <w:p w:rsidR="0068680D" w:rsidRPr="00423B76" w:rsidRDefault="0068680D" w:rsidP="0068680D">
            <w:pPr>
              <w:pStyle w:val="ListParagraph"/>
              <w:numPr>
                <w:ilvl w:val="1"/>
                <w:numId w:val="377"/>
              </w:numPr>
              <w:spacing w:line="276" w:lineRule="auto"/>
              <w:contextualSpacing w:val="0"/>
              <w:rPr>
                <w:b/>
                <w:lang w:val="hy-AM"/>
              </w:rPr>
            </w:pPr>
            <w:r w:rsidRPr="00423B76">
              <w:rPr>
                <w:b/>
                <w:lang w:val="hy-AM"/>
              </w:rPr>
              <w:t>Կարգավորման հարաբերությունների ներկա վիճակը և առկա խնդիրները</w:t>
            </w:r>
          </w:p>
          <w:p w:rsidR="0068680D" w:rsidRPr="00423B76" w:rsidRDefault="0068680D" w:rsidP="00F47DC4">
            <w:pPr>
              <w:spacing w:line="276" w:lineRule="auto"/>
              <w:jc w:val="both"/>
              <w:rPr>
                <w:lang w:val="hy-AM"/>
              </w:rPr>
            </w:pPr>
            <w:r w:rsidRPr="00423B76">
              <w:rPr>
                <w:lang w:val="hy-AM"/>
              </w:rPr>
              <w:t xml:space="preserve">Ներկայումս դոնոր կազմակերպությունների, միջազգային ծրագրերի, ինչպես նաև մասնավոր նախաձեռնությամբ իրականացվում են ՓՄՁ աջակցության բազմաթիվ միջոցառումներ, որոնք երբեմն հատվածային են, կրկնում են միմյանց և պետական աջակցության ծրագրերին ու հասանելի չեն ՓՄՁ լայն շրջանակներին։ </w:t>
            </w:r>
          </w:p>
          <w:p w:rsidR="0068680D" w:rsidRPr="00423B76" w:rsidRDefault="0068680D" w:rsidP="00F47DC4">
            <w:pPr>
              <w:spacing w:line="276" w:lineRule="auto"/>
              <w:jc w:val="both"/>
              <w:rPr>
                <w:lang w:val="hy-AM"/>
              </w:rPr>
            </w:pPr>
            <w:r w:rsidRPr="00423B76">
              <w:rPr>
                <w:lang w:val="hy-AM"/>
              </w:rPr>
              <w:t xml:space="preserve">Միաժամանակ՝ ներկայումս գնահատված չէ խոշոր կազմակերպություններին անհրաժեշտ այն ապրանքների և ծառայությունների ծավալն, որը հնարավոր է որոշակի աջակցության կամ ուղղորդման դեպքում արտադրել/մատուցել ՓՄՁ-ների կողմից։ </w:t>
            </w:r>
          </w:p>
          <w:p w:rsidR="0068680D" w:rsidRPr="00423B76" w:rsidRDefault="0068680D" w:rsidP="0068680D">
            <w:pPr>
              <w:pStyle w:val="ListParagraph"/>
              <w:numPr>
                <w:ilvl w:val="1"/>
                <w:numId w:val="377"/>
              </w:numPr>
              <w:spacing w:line="276" w:lineRule="auto"/>
              <w:contextualSpacing w:val="0"/>
              <w:rPr>
                <w:b/>
                <w:lang w:val="hy-AM"/>
              </w:rPr>
            </w:pPr>
            <w:r w:rsidRPr="00423B76">
              <w:rPr>
                <w:b/>
                <w:lang w:val="hy-AM"/>
              </w:rPr>
              <w:t>Առկա խնդիրների առաջարկվող լուծումները և կարգավորման առարկան</w:t>
            </w:r>
          </w:p>
          <w:p w:rsidR="0068680D" w:rsidRPr="00423B76" w:rsidRDefault="0068680D" w:rsidP="00F47DC4">
            <w:pPr>
              <w:spacing w:line="276" w:lineRule="auto"/>
              <w:jc w:val="both"/>
              <w:rPr>
                <w:lang w:val="hy-AM"/>
              </w:rPr>
            </w:pPr>
            <w:r w:rsidRPr="00423B76">
              <w:rPr>
                <w:lang w:val="hy-AM"/>
              </w:rPr>
              <w:t>Նշված խնդիրների լուծման նպատակով առաջարկվում է ՓՄՁ զարգացման խորհրդի և ենթախորհրդի ձևաչափի և կազմի փոփոխություն, ներկայումս իրականացվող գործառույթների ընդլայնում, ինչը հնարավորություն կտա խորհրդի և ենթախորհրդի նիստերում քննարկել դոնոր կազմակերպությունների, միջազգային ծրագրերի, ինչպես նաև մասնավոր նախաձեռնությամբ իրականացվող ՓՄՁ աջակցության ծրագրերի ու պետական աջակցության ծրագրերի փոխլրացման հարցերը, դրանց արդյունավետության բարձրացման հնարավորությունները, բացահայտել ծրագրերի իրականացման ընթացքում առաջացած խնդիրները և քննարկել հնարավոր լուծումները։</w:t>
            </w:r>
          </w:p>
          <w:p w:rsidR="0068680D" w:rsidRPr="00423B76" w:rsidRDefault="0068680D" w:rsidP="00F47DC4">
            <w:pPr>
              <w:spacing w:line="276" w:lineRule="auto"/>
              <w:jc w:val="both"/>
              <w:rPr>
                <w:lang w:val="hy-AM"/>
              </w:rPr>
            </w:pPr>
            <w:r w:rsidRPr="00423B76">
              <w:rPr>
                <w:lang w:val="hy-AM"/>
              </w:rPr>
              <w:t xml:space="preserve">Առաջարկվում է նաև ՓՄՁ զարգացման խորհուրդը և ենթախորհուրդը դարձնել հարթակ ՓՄՁ և խոշոր կազմակերպությունների համագործակցության հնարավորությունների բացահայտման և դրանց խորացման համար, ինչպես նաև բոլոր շահագրգիռ կառույցների կողմից ՓՄՁ-ին վերաբերվող միջոցառումների ամսական կտրվածքով հավաքագրման և տեղեկատվությունը ՓՄՁ հնարավորինս լայն շրջանակին հասանելի դարձնելու համար։  </w:t>
            </w:r>
          </w:p>
          <w:p w:rsidR="0068680D" w:rsidRPr="00423B76" w:rsidRDefault="0068680D" w:rsidP="00F47DC4">
            <w:pPr>
              <w:pStyle w:val="BodyText30"/>
              <w:shd w:val="clear" w:color="auto" w:fill="auto"/>
              <w:spacing w:before="0" w:line="276" w:lineRule="auto"/>
              <w:ind w:right="20" w:firstLine="0"/>
              <w:jc w:val="both"/>
              <w:rPr>
                <w:rFonts w:ascii="GHEA Grapalat" w:hAnsi="GHEA Grapalat"/>
                <w:lang w:val="hy-AM"/>
              </w:rPr>
            </w:pPr>
            <w:r w:rsidRPr="00423B76">
              <w:rPr>
                <w:rFonts w:ascii="GHEA Grapalat" w:hAnsi="GHEA Grapalat"/>
                <w:lang w:val="hy-AM"/>
              </w:rPr>
              <w:t>Նշված փոփոխությունների իրականացման արդյունքում ՓՄՁ աջակցության ուղղությամբ իրականացվող քաղաքականությունը կլինի առավել արդյունավետ և թիրախավորված, կբարելավվի աջակցության ծրագրերի մոնիտորինգն ու գնահատումը և ոլորտում առկա խնդիրների լուծման նպատակով կխթանվի տարբեր շահառուների միջև առավել սերտ համագործակցությունը:</w:t>
            </w:r>
          </w:p>
          <w:p w:rsidR="0068680D" w:rsidRPr="00423B76" w:rsidRDefault="0068680D" w:rsidP="00F47DC4">
            <w:pPr>
              <w:spacing w:line="276" w:lineRule="auto"/>
              <w:rPr>
                <w:b/>
                <w:i/>
                <w:u w:val="single"/>
                <w:lang w:val="hy-AM"/>
              </w:rPr>
            </w:pPr>
            <w:r w:rsidRPr="00423B76">
              <w:rPr>
                <w:b/>
                <w:lang w:val="hy-AM"/>
              </w:rPr>
              <w:t>2</w:t>
            </w:r>
            <w:r w:rsidRPr="00423B76">
              <w:rPr>
                <w:rFonts w:ascii="Cambria Math" w:eastAsia="MS Mincho" w:hAnsi="Cambria Math" w:cs="Cambria Math"/>
                <w:b/>
                <w:lang w:val="hy-AM"/>
              </w:rPr>
              <w:t>․</w:t>
            </w:r>
            <w:r w:rsidRPr="00423B76">
              <w:rPr>
                <w:b/>
                <w:lang w:val="hy-AM"/>
              </w:rPr>
              <w:t xml:space="preserve"> Միջոցառման իրականացումից ակնկալվող արդյունքը</w:t>
            </w:r>
          </w:p>
          <w:p w:rsidR="0068680D" w:rsidRPr="00423B76" w:rsidRDefault="0068680D" w:rsidP="00F47DC4">
            <w:pPr>
              <w:pStyle w:val="NormalWeb"/>
              <w:widowControl w:val="0"/>
              <w:spacing w:before="0" w:beforeAutospacing="0" w:after="0" w:afterAutospacing="0" w:line="276" w:lineRule="auto"/>
              <w:ind w:right="28"/>
              <w:jc w:val="both"/>
              <w:rPr>
                <w:rFonts w:ascii="GHEA Grapalat" w:hAnsi="GHEA Grapalat"/>
                <w:b/>
                <w:bCs/>
                <w:caps/>
                <w:sz w:val="20"/>
                <w:szCs w:val="20"/>
                <w:lang w:val="hy-AM"/>
              </w:rPr>
            </w:pPr>
            <w:r w:rsidRPr="00423B76">
              <w:rPr>
                <w:rFonts w:ascii="GHEA Grapalat" w:hAnsi="GHEA Grapalat"/>
                <w:sz w:val="20"/>
                <w:szCs w:val="20"/>
                <w:lang w:val="hy-AM"/>
              </w:rPr>
              <w:t>ՓՄՁ որորտի զարգացմանը ուղղված պետական առավել նպատակային և արդյունավետ քաղաքանության իրականացում և որպես արդյունք ՓՄՁ սուբյեկտների թվի ավելացում, նոր աշխատատեղերի ստեղծում:</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3.</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720"/>
              <w:outlineLvl w:val="0"/>
              <w:rPr>
                <w:rFonts w:ascii="GHEA Grapalat" w:hAnsi="GHEA Grapalat"/>
                <w:sz w:val="20"/>
                <w:szCs w:val="20"/>
                <w:lang w:val="hy-AM"/>
              </w:rPr>
            </w:pPr>
            <w:r>
              <w:rPr>
                <w:rFonts w:ascii="GHEA Grapalat" w:hAnsi="GHEA Grapalat"/>
                <w:sz w:val="20"/>
                <w:szCs w:val="20"/>
                <w:lang w:val="hy-AM"/>
              </w:rPr>
              <w:t>Մ</w:t>
            </w:r>
            <w:r w:rsidRPr="00423B76">
              <w:rPr>
                <w:rFonts w:ascii="GHEA Grapalat" w:hAnsi="GHEA Grapalat"/>
                <w:sz w:val="20"/>
                <w:szCs w:val="20"/>
                <w:lang w:val="hy-AM"/>
              </w:rPr>
              <w:t>ասնավոր հատվածում արտադրողականության բարձրացմանն ուղղված ծրագրային նախաձեռ</w:t>
            </w:r>
            <w:r w:rsidRPr="00423B76">
              <w:rPr>
                <w:rFonts w:ascii="GHEA Grapalat" w:hAnsi="GHEA Grapalat"/>
                <w:sz w:val="20"/>
                <w:szCs w:val="20"/>
                <w:lang w:val="hy-AM"/>
              </w:rPr>
              <w:softHyphen/>
              <w:t>նությունների խրա</w:t>
            </w:r>
            <w:r w:rsidRPr="00423B76">
              <w:rPr>
                <w:rFonts w:ascii="GHEA Grapalat" w:hAnsi="GHEA Grapalat"/>
                <w:sz w:val="20"/>
                <w:szCs w:val="20"/>
                <w:lang w:val="hy-AM"/>
              </w:rPr>
              <w:softHyphen/>
              <w:t>խուսում</w:t>
            </w:r>
          </w:p>
          <w:p w:rsidR="0068680D" w:rsidRDefault="0068680D" w:rsidP="00F47DC4">
            <w:pPr>
              <w:pStyle w:val="Heading2"/>
              <w:spacing w:before="0" w:beforeAutospacing="0" w:after="0" w:afterAutospacing="0" w:line="276" w:lineRule="auto"/>
              <w:ind w:left="360"/>
              <w:outlineLvl w:val="1"/>
              <w:rPr>
                <w:rFonts w:ascii="GHEA Grapalat" w:hAnsi="GHEA Grapalat" w:cs="Sylfaen"/>
                <w:sz w:val="20"/>
                <w:szCs w:val="20"/>
                <w:lang w:val="hy-AM"/>
              </w:rPr>
            </w:pPr>
          </w:p>
          <w:p w:rsidR="0068680D" w:rsidRPr="00423B76" w:rsidRDefault="0068680D" w:rsidP="00F47DC4">
            <w:pPr>
              <w:pStyle w:val="Heading2"/>
              <w:spacing w:before="0" w:beforeAutospacing="0" w:after="0" w:afterAutospacing="0" w:line="276" w:lineRule="auto"/>
              <w:ind w:left="360"/>
              <w:outlineLvl w:val="1"/>
              <w:rPr>
                <w:rFonts w:ascii="GHEA Grapalat" w:hAnsi="GHEA Grapalat" w:cs="Sylfaen"/>
                <w:sz w:val="20"/>
                <w:szCs w:val="20"/>
                <w:lang w:val="hy-AM"/>
              </w:rPr>
            </w:pPr>
            <w:r>
              <w:rPr>
                <w:rFonts w:ascii="GHEA Grapalat" w:hAnsi="GHEA Grapalat" w:cs="Sylfaen"/>
                <w:sz w:val="20"/>
                <w:szCs w:val="20"/>
                <w:lang w:val="hy-AM"/>
              </w:rPr>
              <w:t xml:space="preserve"> 3.1 </w:t>
            </w:r>
            <w:r w:rsidRPr="00423B76">
              <w:rPr>
                <w:rFonts w:ascii="GHEA Grapalat" w:hAnsi="GHEA Grapalat" w:cs="Sylfaen"/>
                <w:sz w:val="20"/>
                <w:szCs w:val="20"/>
                <w:lang w:val="hy-AM"/>
              </w:rPr>
              <w:t>Թեթև արդյունաբերության ոլորտի կազմակերպություններին բարձրորակ կադրեր և տեխնոլոգիաներ ապահովող ծառայությունների կենտրոնի գործարկում</w:t>
            </w:r>
          </w:p>
          <w:p w:rsidR="0068680D" w:rsidRPr="00423B76" w:rsidRDefault="0068680D" w:rsidP="0068680D">
            <w:pPr>
              <w:pStyle w:val="ListParagraph"/>
              <w:numPr>
                <w:ilvl w:val="0"/>
                <w:numId w:val="414"/>
              </w:numPr>
              <w:spacing w:line="276" w:lineRule="auto"/>
              <w:contextualSpacing w:val="0"/>
              <w:jc w:val="both"/>
              <w:rPr>
                <w:rFonts w:eastAsia="Sylfaen" w:cs="Sylfaen"/>
                <w:b/>
                <w:lang w:val="hy-AM"/>
              </w:rPr>
            </w:pPr>
            <w:r w:rsidRPr="00423B76">
              <w:rPr>
                <w:rFonts w:eastAsia="Sylfaen" w:cs="Sylfaen"/>
                <w:b/>
                <w:lang w:val="hy-AM"/>
              </w:rPr>
              <w:t>Միջոցառման իրականացման անհրաժեշտությունը և նպատակը</w:t>
            </w:r>
          </w:p>
          <w:p w:rsidR="0068680D" w:rsidRPr="00423B76" w:rsidRDefault="0068680D" w:rsidP="00F47DC4">
            <w:pPr>
              <w:spacing w:line="276" w:lineRule="auto"/>
              <w:jc w:val="both"/>
              <w:rPr>
                <w:rFonts w:eastAsia="Sylfaen" w:cs="Sylfaen"/>
                <w:lang w:val="hy-AM"/>
              </w:rPr>
            </w:pPr>
            <w:r w:rsidRPr="00423B76">
              <w:rPr>
                <w:rFonts w:cs="Sylfaen"/>
                <w:color w:val="000000"/>
                <w:lang w:val="hy-AM"/>
              </w:rPr>
              <w:t xml:space="preserve">Միջոցառման իրականացման անհրաժեշտությունը բխում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BC61ED">
              <w:rPr>
                <w:lang w:val="hy-AM"/>
              </w:rPr>
              <w:t xml:space="preserve"> </w:t>
            </w:r>
            <w:r w:rsidRPr="00423B76">
              <w:rPr>
                <w:rFonts w:cs="Sylfaen"/>
                <w:color w:val="000000"/>
                <w:lang w:val="hy-AM"/>
              </w:rPr>
              <w:t>5.9 բաժնի դրույթներով:</w:t>
            </w:r>
            <w:r w:rsidRPr="00423B76">
              <w:rPr>
                <w:rFonts w:eastAsia="Sylfaen" w:cs="Sylfaen"/>
                <w:lang w:val="hy-AM"/>
              </w:rPr>
              <w:t xml:space="preserve"> Միջոցառման իրականացման նպատակը պայմանավորված է թեթև արդյունաբերության ոլորտը տեխնոլոգիական զինվածության մակարդակի բարձրացման և որակյալ կադրերով ապահովման անհրաժեշտությամբ:</w:t>
            </w:r>
          </w:p>
          <w:p w:rsidR="0068680D" w:rsidRPr="00423B76" w:rsidRDefault="0068680D" w:rsidP="0068680D">
            <w:pPr>
              <w:pStyle w:val="ListParagraph"/>
              <w:widowControl w:val="0"/>
              <w:numPr>
                <w:ilvl w:val="1"/>
                <w:numId w:val="414"/>
              </w:numPr>
              <w:spacing w:line="276" w:lineRule="auto"/>
              <w:contextualSpacing w:val="0"/>
              <w:jc w:val="both"/>
              <w:rPr>
                <w:rFonts w:eastAsia="Sylfaen" w:cs="Sylfaen"/>
                <w:b/>
                <w:lang w:val="hy-AM"/>
              </w:rPr>
            </w:pPr>
            <w:r w:rsidRPr="00423B76">
              <w:rPr>
                <w:rFonts w:eastAsia="Sylfaen" w:cs="Sylfaen"/>
                <w:b/>
                <w:lang w:val="hy-AM"/>
              </w:rPr>
              <w:t xml:space="preserve">Կարգավորման հարաբերությունների ներկա վիճակը և առկա խնդիրները </w:t>
            </w:r>
          </w:p>
          <w:p w:rsidR="0068680D" w:rsidRPr="00423B76" w:rsidRDefault="0068680D" w:rsidP="00F47DC4">
            <w:pPr>
              <w:widowControl w:val="0"/>
              <w:spacing w:line="276" w:lineRule="auto"/>
              <w:jc w:val="both"/>
              <w:rPr>
                <w:rFonts w:eastAsia="Sylfaen" w:cs="Sylfaen"/>
                <w:lang w:val="hy-AM"/>
              </w:rPr>
            </w:pPr>
            <w:r w:rsidRPr="00423B76">
              <w:rPr>
                <w:rFonts w:eastAsia="Sylfaen" w:cs="Sylfaen"/>
                <w:lang w:val="hy-AM"/>
              </w:rPr>
              <w:t>Թեթև արդյունաբերության ոլորտում ներկայումս առկա է բարձրորակ կադրերով և նոր տեխնոլոգիաներով համալրման կարիք: Թեթև արդյունաբերության ոլորտի ընկերությունների՝ արտերկրի ընկերությունների հետ համագործակցության և արտահանման ծավալների ընդլայնմամբ պայմանավորված անհրաժեշտ է ոլորտը համալրել որակյալ կարդրեով` մրցունակ արտադրանքով արտերկրում ներկայանալու նպատակով:</w:t>
            </w:r>
          </w:p>
          <w:p w:rsidR="0068680D" w:rsidRPr="00423B76" w:rsidRDefault="0068680D" w:rsidP="00F47DC4">
            <w:pPr>
              <w:widowControl w:val="0"/>
              <w:spacing w:line="276" w:lineRule="auto"/>
              <w:ind w:left="720" w:hanging="360"/>
              <w:jc w:val="both"/>
              <w:rPr>
                <w:rFonts w:eastAsia="Sylfaen" w:cs="Sylfaen"/>
                <w:b/>
                <w:lang w:val="hy-AM"/>
              </w:rPr>
            </w:pPr>
            <w:r w:rsidRPr="00423B76">
              <w:rPr>
                <w:rFonts w:eastAsia="Sylfaen" w:cs="Sylfaen"/>
                <w:b/>
                <w:lang w:val="hy-AM"/>
              </w:rPr>
              <w:t>1.2</w:t>
            </w:r>
            <w:r w:rsidRPr="00423B76">
              <w:rPr>
                <w:rFonts w:eastAsia="Sylfaen" w:cs="Sylfaen"/>
                <w:lang w:val="hy-AM"/>
              </w:rPr>
              <w:t xml:space="preserve"> </w:t>
            </w:r>
            <w:r w:rsidRPr="00423B76">
              <w:rPr>
                <w:rFonts w:eastAsia="Sylfaen" w:cs="Sylfaen"/>
                <w:b/>
                <w:lang w:val="hy-AM"/>
              </w:rPr>
              <w:t xml:space="preserve">Առկա խնդիրների առաջարկվող լուծումները </w:t>
            </w:r>
          </w:p>
          <w:p w:rsidR="0068680D" w:rsidRPr="00423B76" w:rsidRDefault="0068680D" w:rsidP="00F47DC4">
            <w:pPr>
              <w:spacing w:line="276" w:lineRule="auto"/>
              <w:jc w:val="both"/>
              <w:rPr>
                <w:rFonts w:eastAsia="Sylfaen" w:cs="Sylfaen"/>
                <w:lang w:val="hy-AM"/>
              </w:rPr>
            </w:pPr>
            <w:r w:rsidRPr="00423B76">
              <w:rPr>
                <w:rFonts w:eastAsia="Sylfaen" w:cs="Sylfaen"/>
                <w:lang w:val="hy-AM"/>
              </w:rPr>
              <w:t>Առաջարկվում է թեթև արդյունաբերության ոլորտի կազմակերպություններին տեխնոլոգիական և բարձրորակ կադրերով ապահովման ծառայությունների կենտրոնի հիմնում` համապատասպան տարածքի տրամադրման, կադրերի վերապատրաստման և սարքավորումներով կահավորման միջոցով:</w:t>
            </w:r>
          </w:p>
          <w:p w:rsidR="0068680D" w:rsidRPr="00423B76" w:rsidRDefault="0068680D" w:rsidP="0068680D">
            <w:pPr>
              <w:pStyle w:val="ListParagraph"/>
              <w:numPr>
                <w:ilvl w:val="0"/>
                <w:numId w:val="414"/>
              </w:numPr>
              <w:spacing w:line="276" w:lineRule="auto"/>
              <w:contextualSpacing w:val="0"/>
              <w:jc w:val="both"/>
              <w:rPr>
                <w:rFonts w:eastAsia="Sylfaen" w:cs="Sylfaen"/>
                <w:b/>
                <w:lang w:val="hy-AM"/>
              </w:rPr>
            </w:pPr>
            <w:r w:rsidRPr="00423B76">
              <w:rPr>
                <w:rFonts w:eastAsia="Sylfaen" w:cs="Sylfaen"/>
                <w:b/>
                <w:lang w:val="hy-AM"/>
              </w:rPr>
              <w:t>Միջոցառման իրականացումից ակնկալվող արդյունքը</w:t>
            </w:r>
          </w:p>
          <w:p w:rsidR="0068680D" w:rsidRPr="00423B76" w:rsidRDefault="0068680D" w:rsidP="00F47DC4">
            <w:pPr>
              <w:spacing w:line="276" w:lineRule="auto"/>
              <w:jc w:val="both"/>
              <w:rPr>
                <w:rFonts w:eastAsia="Sylfaen" w:cs="Sylfaen"/>
                <w:lang w:val="hy-AM"/>
              </w:rPr>
            </w:pPr>
            <w:r w:rsidRPr="00423B76">
              <w:rPr>
                <w:rFonts w:eastAsia="Sylfaen" w:cs="Sylfaen"/>
                <w:lang w:val="hy-AM"/>
              </w:rPr>
              <w:t>Միջոցառման արդյունքում ակնկալվում է հագուստի, կոշիկի և կաշվե իրերի արտադրության ոլորտներում գործող կազմակերպությունների համար հասանելի կդառնան ծախսատար և նոր տեխնոլոգիաները:</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4.</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60"/>
              <w:outlineLvl w:val="0"/>
              <w:rPr>
                <w:rFonts w:ascii="GHEA Grapalat" w:hAnsi="GHEA Grapalat"/>
                <w:sz w:val="20"/>
                <w:szCs w:val="20"/>
                <w:lang w:val="hy-AM"/>
              </w:rPr>
            </w:pPr>
            <w:r>
              <w:rPr>
                <w:rFonts w:ascii="GHEA Grapalat" w:hAnsi="GHEA Grapalat"/>
                <w:sz w:val="20"/>
                <w:szCs w:val="20"/>
                <w:lang w:val="hy-AM"/>
              </w:rPr>
              <w:t>Տ</w:t>
            </w:r>
            <w:r w:rsidRPr="00423B76">
              <w:rPr>
                <w:rFonts w:ascii="GHEA Grapalat" w:hAnsi="GHEA Grapalat"/>
                <w:sz w:val="20"/>
                <w:szCs w:val="20"/>
                <w:lang w:val="hy-AM"/>
              </w:rPr>
              <w:t>եխնոլոգիական վերա</w:t>
            </w:r>
            <w:r w:rsidRPr="00423B76">
              <w:rPr>
                <w:rFonts w:ascii="GHEA Grapalat" w:hAnsi="GHEA Grapalat"/>
                <w:sz w:val="20"/>
                <w:szCs w:val="20"/>
                <w:lang w:val="hy-AM"/>
              </w:rPr>
              <w:softHyphen/>
              <w:t>զինման ուղղությամբ մասնավոր հատվածի ծրագրերը խթանող գործիքակազմի կիրառում</w:t>
            </w:r>
          </w:p>
          <w:p w:rsidR="0068680D" w:rsidRDefault="0068680D" w:rsidP="00F47DC4">
            <w:pPr>
              <w:pStyle w:val="Heading2"/>
              <w:spacing w:before="0" w:beforeAutospacing="0" w:after="0" w:afterAutospacing="0" w:line="276" w:lineRule="auto"/>
              <w:ind w:left="360"/>
              <w:outlineLvl w:val="1"/>
              <w:rPr>
                <w:rFonts w:ascii="GHEA Grapalat" w:hAnsi="GHEA Grapalat" w:cs="Sylfaen"/>
                <w:sz w:val="20"/>
                <w:szCs w:val="20"/>
                <w:lang w:val="hy-AM"/>
              </w:rPr>
            </w:pPr>
          </w:p>
          <w:p w:rsidR="0068680D" w:rsidRPr="00423B76" w:rsidRDefault="0068680D" w:rsidP="00F47DC4">
            <w:pPr>
              <w:pStyle w:val="Heading2"/>
              <w:spacing w:before="0" w:beforeAutospacing="0" w:after="0" w:afterAutospacing="0" w:line="276" w:lineRule="auto"/>
              <w:ind w:left="360"/>
              <w:outlineLvl w:val="1"/>
              <w:rPr>
                <w:rFonts w:ascii="GHEA Grapalat" w:hAnsi="GHEA Grapalat" w:cs="Sylfaen"/>
                <w:sz w:val="20"/>
                <w:szCs w:val="20"/>
                <w:lang w:val="hy-AM"/>
              </w:rPr>
            </w:pPr>
            <w:r>
              <w:rPr>
                <w:rFonts w:ascii="GHEA Grapalat" w:hAnsi="GHEA Grapalat" w:cs="Sylfaen"/>
                <w:sz w:val="20"/>
                <w:szCs w:val="20"/>
                <w:lang w:val="hy-AM"/>
              </w:rPr>
              <w:t xml:space="preserve"> 4.1 </w:t>
            </w:r>
            <w:r w:rsidRPr="00423B76">
              <w:rPr>
                <w:rFonts w:ascii="GHEA Grapalat" w:hAnsi="GHEA Grapalat" w:cs="Sylfaen"/>
                <w:sz w:val="20"/>
                <w:szCs w:val="20"/>
                <w:lang w:val="hy-AM"/>
              </w:rPr>
              <w:t>Արդյունաբերական քաղաքականության ռազմավարության և միջոցառում</w:t>
            </w:r>
            <w:r w:rsidRPr="00423B76">
              <w:rPr>
                <w:rFonts w:ascii="GHEA Grapalat" w:hAnsi="GHEA Grapalat" w:cs="Sylfaen"/>
                <w:sz w:val="20"/>
                <w:szCs w:val="20"/>
                <w:lang w:val="hy-AM"/>
              </w:rPr>
              <w:softHyphen/>
              <w:t>նե</w:t>
            </w:r>
            <w:r w:rsidRPr="00423B76">
              <w:rPr>
                <w:rFonts w:ascii="GHEA Grapalat" w:hAnsi="GHEA Grapalat" w:cs="Sylfaen"/>
                <w:sz w:val="20"/>
                <w:szCs w:val="20"/>
                <w:lang w:val="hy-AM"/>
              </w:rPr>
              <w:softHyphen/>
              <w:t xml:space="preserve">րի ծրագրին հավանություն տալու մասին ՀՀ կառավարության արձանագրային որոշման նախագծի մշակում և ներկայացում ՀՀ վարչապետի աշխատակազմ </w:t>
            </w:r>
          </w:p>
          <w:p w:rsidR="0068680D" w:rsidRPr="00423B76" w:rsidRDefault="0068680D" w:rsidP="0068680D">
            <w:pPr>
              <w:pStyle w:val="ListParagraph"/>
              <w:numPr>
                <w:ilvl w:val="0"/>
                <w:numId w:val="424"/>
              </w:numPr>
              <w:spacing w:line="276" w:lineRule="auto"/>
              <w:rPr>
                <w:b/>
                <w:lang w:val="hy-AM"/>
              </w:rPr>
            </w:pPr>
            <w:r w:rsidRPr="00423B76">
              <w:rPr>
                <w:b/>
                <w:lang w:val="hy-AM"/>
              </w:rPr>
              <w:t>Միջոցառման իրականացման անհրաժեշտությունը և նպատակը</w:t>
            </w:r>
          </w:p>
          <w:p w:rsidR="0068680D" w:rsidRPr="00423B76" w:rsidRDefault="0068680D" w:rsidP="00F47DC4">
            <w:pPr>
              <w:widowControl w:val="0"/>
              <w:spacing w:line="276" w:lineRule="auto"/>
              <w:jc w:val="both"/>
              <w:rPr>
                <w:rFonts w:cs="Sylfaen"/>
                <w:color w:val="000000"/>
                <w:lang w:val="hy-AM"/>
              </w:rPr>
            </w:pPr>
            <w:r w:rsidRPr="00423B76">
              <w:rPr>
                <w:rFonts w:cs="Sylfaen"/>
                <w:color w:val="000000"/>
                <w:lang w:val="hy-AM"/>
              </w:rPr>
              <w:t xml:space="preserve">Միջոցառման իրականացման անհրաժեշտությունը բխում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5.9 բաժնի դրույթներով:</w:t>
            </w:r>
          </w:p>
          <w:p w:rsidR="0068680D" w:rsidRPr="00423B76" w:rsidRDefault="0068680D" w:rsidP="00F47DC4">
            <w:pPr>
              <w:widowControl w:val="0"/>
              <w:spacing w:line="276" w:lineRule="auto"/>
              <w:jc w:val="both"/>
              <w:rPr>
                <w:lang w:val="hy-AM"/>
              </w:rPr>
            </w:pPr>
            <w:r w:rsidRPr="00423B76">
              <w:rPr>
                <w:rFonts w:cs="Sylfaen"/>
                <w:lang w:val="hy-AM"/>
              </w:rPr>
              <w:t>Հաշվի առնելով տեխնոլոգիական վեր</w:t>
            </w:r>
            <w:r w:rsidRPr="00423B76">
              <w:rPr>
                <w:rFonts w:cs="Sylfaen"/>
                <w:lang w:val="hy-AM"/>
              </w:rPr>
              <w:softHyphen/>
              <w:t>ազինման ուղղությամբ մասնավոր հատվածի ծրագրերը խթանող գործիքակազմի կիրառման կարևորությունը` անհրաժեշտություն է առաջանում մշակելու համապատասխան</w:t>
            </w:r>
            <w:r w:rsidRPr="00423B76">
              <w:rPr>
                <w:lang w:val="hy-AM"/>
              </w:rPr>
              <w:t xml:space="preserve"> ռազմավարություն և միջոցառումների ծրագիր</w:t>
            </w:r>
            <w:r w:rsidRPr="00423B76">
              <w:rPr>
                <w:rFonts w:cs="Sylfaen"/>
                <w:lang w:val="hy-AM"/>
              </w:rPr>
              <w:t>, որով կնախանշվեն ոլորտի զարգացման հիմնական ուղղությունները և ռազմավարական մոտեցումները, նպատակներն ու խնդիրները, ինչպես նաև ոլորտի հետագա զարգացման ուղղությամբ իրականացվելիք գործողությունները:</w:t>
            </w:r>
            <w:r w:rsidRPr="00423B76">
              <w:rPr>
                <w:lang w:val="hy-AM"/>
              </w:rPr>
              <w:t xml:space="preserve">  </w:t>
            </w:r>
          </w:p>
          <w:p w:rsidR="0068680D" w:rsidRPr="00423B76" w:rsidRDefault="0068680D" w:rsidP="0068680D">
            <w:pPr>
              <w:pStyle w:val="ListParagraph"/>
              <w:widowControl w:val="0"/>
              <w:numPr>
                <w:ilvl w:val="1"/>
                <w:numId w:val="425"/>
              </w:numPr>
              <w:spacing w:line="276" w:lineRule="auto"/>
              <w:jc w:val="both"/>
              <w:rPr>
                <w:rFonts w:cs="Sylfaen"/>
                <w:lang w:val="hy-AM"/>
              </w:rPr>
            </w:pPr>
            <w:r w:rsidRPr="00423B76">
              <w:rPr>
                <w:b/>
                <w:lang w:val="hy-AM"/>
              </w:rPr>
              <w:t xml:space="preserve">Կարգավորման հարաբերությունների ներկա վիճակը և առկա խնդիրները </w:t>
            </w:r>
          </w:p>
          <w:p w:rsidR="0068680D" w:rsidRPr="00423B76" w:rsidRDefault="0068680D" w:rsidP="00F47DC4">
            <w:pPr>
              <w:widowControl w:val="0"/>
              <w:spacing w:line="276" w:lineRule="auto"/>
              <w:jc w:val="both"/>
              <w:rPr>
                <w:rFonts w:cs="Sylfaen"/>
                <w:lang w:val="hy-AM"/>
              </w:rPr>
            </w:pPr>
            <w:r w:rsidRPr="00423B76">
              <w:rPr>
                <w:rFonts w:cs="Sylfaen"/>
                <w:lang w:val="hy-AM"/>
              </w:rPr>
              <w:t xml:space="preserve">ՀՀ կառավարության 2011թ. փետրվարի 17-ի N6 արձանագրային որոշմամբ հավանության է արժանացել ինովացիոն տնտեսության ձևավորման մեկնարկային ռազմավարության հայեցակարգը, որի ներքո իրականացվել են ոլորտի զարգացմանն ուղղված մի շարք նախաձեռնություններ: </w:t>
            </w:r>
          </w:p>
          <w:p w:rsidR="0068680D" w:rsidRPr="00423B76" w:rsidRDefault="0068680D" w:rsidP="00F47DC4">
            <w:pPr>
              <w:widowControl w:val="0"/>
              <w:spacing w:line="276" w:lineRule="auto"/>
              <w:jc w:val="both"/>
              <w:rPr>
                <w:rFonts w:cs="Sylfaen"/>
                <w:lang w:val="hy-AM"/>
              </w:rPr>
            </w:pPr>
            <w:r w:rsidRPr="00423B76">
              <w:rPr>
                <w:rFonts w:cs="Sylfaen"/>
                <w:lang w:val="hy-AM"/>
              </w:rPr>
              <w:t>Ներկայումս անհրաժեշտություն է առաջացել մշակելու արդյունաբերության ոլորտում գիտության, տեխնոլոգիաների և նորարարության զարգացման</w:t>
            </w:r>
            <w:r w:rsidRPr="00423B76">
              <w:rPr>
                <w:lang w:val="hy-AM"/>
              </w:rPr>
              <w:t xml:space="preserve"> ռազմավարություն և միջոցառումների ծրագիր</w:t>
            </w:r>
            <w:r w:rsidRPr="00423B76">
              <w:rPr>
                <w:rFonts w:cs="Sylfaen"/>
                <w:lang w:val="hy-AM"/>
              </w:rPr>
              <w:t>, որը կանդրադառնա արդյունաբերության ոլորտում ինովացիոն արդյունքների առևտրայնացման, ինովացիոն գործունեության խթանման նախաձեռնությունների ինստի</w:t>
            </w:r>
            <w:r w:rsidRPr="00423B76">
              <w:rPr>
                <w:rFonts w:cs="Sylfaen"/>
                <w:lang w:val="hy-AM"/>
              </w:rPr>
              <w:softHyphen/>
              <w:t>տուցիոնալ հիմքերի զարգացման, ինովացիոն ենթակառույցների ձևավորման ու զարգացման, ինովացիոն ոլորտում միջազգային համագործակցության ակտիվացման և ոլորտի զարգացմանն ուղղված այլ կարևոր հարցերի:  Այս ուղղությամբ, ԵՄ համաֆինանսավորմամբ իրականացվող «Աջակցություն Հայաստանում ՓՄՁ զարգացմանը» ծրագրի շրջանակում Գերմանական միջազգային համա</w:t>
            </w:r>
            <w:r w:rsidRPr="00423B76">
              <w:rPr>
                <w:rFonts w:cs="Sylfaen"/>
                <w:lang w:val="hy-AM"/>
              </w:rPr>
              <w:softHyphen/>
              <w:t>գոր</w:t>
            </w:r>
            <w:r w:rsidRPr="00423B76">
              <w:rPr>
                <w:rFonts w:cs="Sylfaen"/>
                <w:lang w:val="hy-AM"/>
              </w:rPr>
              <w:softHyphen/>
              <w:t>ծակցության ընկերակցության /GiZ/ աջակցությամբ ներգրավված տեղական և միջազգային փորձագետների հետ համատեղ արդեն իսկ իրականացվել է ինովացիոն էկոհամակարգի քարտեզագրում, և ներկայումս «Արտահանման և նորարարությանն ուղղված արդյունաբերական զարգացման» ծրագրի շրջանակում աշխատանքներ են իրականացվում Ասիական զարգացման բանկի հետ համատեղ Արդյունաբերության ոլորտում գիտության, տեխնոլոգիաների և նորարարության զարգացման</w:t>
            </w:r>
            <w:r w:rsidRPr="00423B76">
              <w:rPr>
                <w:lang w:val="hy-AM"/>
              </w:rPr>
              <w:t xml:space="preserve"> </w:t>
            </w:r>
            <w:r w:rsidRPr="00423B76">
              <w:rPr>
                <w:rFonts w:cs="Sylfaen"/>
                <w:lang w:val="hy-AM"/>
              </w:rPr>
              <w:t>ռազմավարության և միջոցառումների ծրագրի մշակման ուղղությամբ:</w:t>
            </w:r>
          </w:p>
          <w:p w:rsidR="0068680D" w:rsidRPr="00423B76" w:rsidRDefault="0068680D" w:rsidP="0068680D">
            <w:pPr>
              <w:pStyle w:val="ListParagraph"/>
              <w:widowControl w:val="0"/>
              <w:numPr>
                <w:ilvl w:val="1"/>
                <w:numId w:val="425"/>
              </w:numPr>
              <w:spacing w:line="276" w:lineRule="auto"/>
              <w:jc w:val="both"/>
              <w:rPr>
                <w:b/>
                <w:lang w:val="hy-AM"/>
              </w:rPr>
            </w:pPr>
            <w:r w:rsidRPr="00423B76">
              <w:rPr>
                <w:b/>
                <w:lang w:val="hy-AM"/>
              </w:rPr>
              <w:t xml:space="preserve">Առկա խնդիրների առաջարկվող լուծումները </w:t>
            </w:r>
          </w:p>
          <w:p w:rsidR="0068680D" w:rsidRPr="00423B76" w:rsidRDefault="0068680D" w:rsidP="00F47DC4">
            <w:pPr>
              <w:widowControl w:val="0"/>
              <w:spacing w:line="276" w:lineRule="auto"/>
              <w:ind w:right="85"/>
              <w:jc w:val="both"/>
              <w:rPr>
                <w:rFonts w:cs="Sylfaen"/>
                <w:color w:val="000000"/>
                <w:lang w:val="hy-AM"/>
              </w:rPr>
            </w:pPr>
            <w:r w:rsidRPr="00423B76">
              <w:rPr>
                <w:rFonts w:cs="Sylfaen"/>
                <w:color w:val="000000"/>
                <w:lang w:val="hy-AM"/>
              </w:rPr>
              <w:t>Առաջարկվում</w:t>
            </w:r>
            <w:r w:rsidRPr="00423B76">
              <w:rPr>
                <w:color w:val="000000"/>
                <w:lang w:val="hy-AM"/>
              </w:rPr>
              <w:t xml:space="preserve"> </w:t>
            </w:r>
            <w:r w:rsidRPr="00423B76">
              <w:rPr>
                <w:rFonts w:cs="Sylfaen"/>
                <w:color w:val="000000"/>
                <w:lang w:val="hy-AM"/>
              </w:rPr>
              <w:t>է</w:t>
            </w:r>
            <w:r w:rsidRPr="00423B76">
              <w:rPr>
                <w:color w:val="000000"/>
                <w:lang w:val="hy-AM"/>
              </w:rPr>
              <w:t xml:space="preserve"> </w:t>
            </w:r>
            <w:r w:rsidRPr="00423B76">
              <w:rPr>
                <w:rFonts w:cs="Sylfaen"/>
                <w:color w:val="000000"/>
                <w:lang w:val="hy-AM"/>
              </w:rPr>
              <w:t>բոլոր</w:t>
            </w:r>
            <w:r w:rsidRPr="00423B76">
              <w:rPr>
                <w:color w:val="000000"/>
                <w:lang w:val="hy-AM"/>
              </w:rPr>
              <w:t xml:space="preserve"> </w:t>
            </w:r>
            <w:r w:rsidRPr="00423B76">
              <w:rPr>
                <w:rFonts w:cs="Sylfaen"/>
                <w:color w:val="000000"/>
                <w:lang w:val="hy-AM"/>
              </w:rPr>
              <w:t>շահագրգիռ կողմերի ներգրավմամբ մշակել և ՀՀ վարչապետի աշխատակազմ ներկայացնել Արդյունաբերական քաղաքականության ռազմավարությունը և միջոցառումների ծրագիրը: ՀՀ տրանսպորտի, կապի և տեղեկատվական տեխնոլոգիաների նախարարությունը որպես համակատարող աջակցություն կցուցաբերի հատկապես տեխնոլոգիական վերազինման աջակցության ամրագրված մեխանիզմների, ուղղությունների և գործողություններ մշակման մասերով:</w:t>
            </w:r>
          </w:p>
          <w:p w:rsidR="0068680D" w:rsidRPr="00423B76" w:rsidRDefault="0068680D" w:rsidP="0068680D">
            <w:pPr>
              <w:pStyle w:val="ListParagraph"/>
              <w:numPr>
                <w:ilvl w:val="0"/>
                <w:numId w:val="425"/>
              </w:numPr>
              <w:spacing w:line="276" w:lineRule="auto"/>
              <w:rPr>
                <w:b/>
                <w:lang w:val="hy-AM"/>
              </w:rPr>
            </w:pPr>
            <w:r w:rsidRPr="00423B76">
              <w:rPr>
                <w:b/>
                <w:lang w:val="hy-AM"/>
              </w:rPr>
              <w:t>Միջոցառման իրականացումից ակնկալվող արդյունքը</w:t>
            </w:r>
          </w:p>
          <w:p w:rsidR="0068680D" w:rsidRPr="00423B76" w:rsidRDefault="0068680D" w:rsidP="00F47DC4">
            <w:pPr>
              <w:spacing w:line="276" w:lineRule="auto"/>
              <w:jc w:val="both"/>
              <w:rPr>
                <w:rFonts w:cs="Sylfaen"/>
                <w:color w:val="000000"/>
                <w:lang w:val="hy-AM"/>
              </w:rPr>
            </w:pPr>
            <w:r w:rsidRPr="00423B76">
              <w:rPr>
                <w:rFonts w:cs="Sylfaen"/>
                <w:color w:val="000000"/>
                <w:lang w:val="hy-AM"/>
              </w:rPr>
              <w:t>Ակնկալվում է ռազմավարությամբ ամրագրել արդյունաբերության ոլորտի տեխնոլոգիական վերազինման աջակցության ամրագրված հիմնական մեխանիզմներ, ուղղություններ և գործողություններ:</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5.</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720"/>
              <w:outlineLvl w:val="0"/>
              <w:rPr>
                <w:rFonts w:ascii="GHEA Grapalat" w:hAnsi="GHEA Grapalat"/>
                <w:sz w:val="20"/>
                <w:szCs w:val="20"/>
                <w:lang w:val="hy-AM"/>
              </w:rPr>
            </w:pPr>
            <w:r>
              <w:rPr>
                <w:rFonts w:ascii="GHEA Grapalat" w:hAnsi="GHEA Grapalat"/>
                <w:sz w:val="20"/>
                <w:szCs w:val="20"/>
                <w:lang w:val="hy-AM"/>
              </w:rPr>
              <w:t>Մ</w:t>
            </w:r>
            <w:r w:rsidRPr="00423B76">
              <w:rPr>
                <w:rFonts w:ascii="GHEA Grapalat" w:hAnsi="GHEA Grapalat"/>
                <w:sz w:val="20"/>
                <w:szCs w:val="20"/>
                <w:lang w:val="hy-AM"/>
              </w:rPr>
              <w:t>ասնավոր հատվածում կորպորատիվ կառա</w:t>
            </w:r>
            <w:r w:rsidRPr="00423B76">
              <w:rPr>
                <w:rFonts w:ascii="GHEA Grapalat" w:hAnsi="GHEA Grapalat"/>
                <w:sz w:val="20"/>
                <w:szCs w:val="20"/>
                <w:lang w:val="hy-AM"/>
              </w:rPr>
              <w:softHyphen/>
              <w:t>վար</w:t>
            </w:r>
            <w:r w:rsidRPr="00423B76">
              <w:rPr>
                <w:rFonts w:ascii="GHEA Grapalat" w:hAnsi="GHEA Grapalat"/>
                <w:sz w:val="20"/>
                <w:szCs w:val="20"/>
                <w:lang w:val="hy-AM"/>
              </w:rPr>
              <w:softHyphen/>
              <w:t xml:space="preserve">ման սկզբունքների կիրառության խրախուսում </w:t>
            </w:r>
            <w:r>
              <w:rPr>
                <w:rFonts w:ascii="GHEA Grapalat" w:hAnsi="GHEA Grapalat"/>
                <w:sz w:val="20"/>
                <w:szCs w:val="20"/>
                <w:lang w:val="hy-AM"/>
              </w:rPr>
              <w:t>և</w:t>
            </w:r>
            <w:r w:rsidRPr="00423B76">
              <w:rPr>
                <w:rFonts w:ascii="GHEA Grapalat" w:hAnsi="GHEA Grapalat"/>
                <w:sz w:val="20"/>
                <w:szCs w:val="20"/>
                <w:lang w:val="hy-AM"/>
              </w:rPr>
              <w:t xml:space="preserve"> այդ ուղղությամբ իրականացվող ծրագրերի առաջխաղա</w:t>
            </w:r>
            <w:r w:rsidRPr="00423B76">
              <w:rPr>
                <w:rFonts w:ascii="GHEA Grapalat" w:hAnsi="GHEA Grapalat"/>
                <w:sz w:val="20"/>
                <w:szCs w:val="20"/>
                <w:lang w:val="hy-AM"/>
              </w:rPr>
              <w:softHyphen/>
              <w:t>ցմանն աջակցություն</w:t>
            </w:r>
          </w:p>
          <w:p w:rsidR="0068680D" w:rsidRDefault="0068680D" w:rsidP="00F47DC4">
            <w:pPr>
              <w:pStyle w:val="Heading2"/>
              <w:spacing w:before="0" w:beforeAutospacing="0" w:after="0" w:afterAutospacing="0" w:line="276" w:lineRule="auto"/>
              <w:ind w:left="360"/>
              <w:outlineLvl w:val="1"/>
              <w:rPr>
                <w:rFonts w:ascii="GHEA Grapalat" w:hAnsi="GHEA Grapalat" w:cs="Sylfaen"/>
                <w:sz w:val="20"/>
                <w:szCs w:val="20"/>
                <w:lang w:val="hy-AM"/>
              </w:rPr>
            </w:pPr>
          </w:p>
          <w:p w:rsidR="0068680D" w:rsidRPr="00423B76" w:rsidRDefault="0068680D" w:rsidP="00F47DC4">
            <w:pPr>
              <w:pStyle w:val="Heading2"/>
              <w:spacing w:before="0" w:beforeAutospacing="0" w:after="0" w:afterAutospacing="0" w:line="276" w:lineRule="auto"/>
              <w:ind w:left="360"/>
              <w:outlineLvl w:val="1"/>
              <w:rPr>
                <w:rFonts w:ascii="GHEA Grapalat" w:hAnsi="GHEA Grapalat" w:cs="Sylfaen"/>
                <w:sz w:val="20"/>
                <w:szCs w:val="20"/>
                <w:lang w:val="hy-AM"/>
              </w:rPr>
            </w:pPr>
            <w:r>
              <w:rPr>
                <w:rFonts w:ascii="GHEA Grapalat" w:hAnsi="GHEA Grapalat" w:cs="Sylfaen"/>
                <w:sz w:val="20"/>
                <w:szCs w:val="20"/>
                <w:lang w:val="hy-AM"/>
              </w:rPr>
              <w:t xml:space="preserve"> 5.1 </w:t>
            </w:r>
            <w:r w:rsidRPr="00423B76">
              <w:rPr>
                <w:rFonts w:ascii="GHEA Grapalat" w:hAnsi="GHEA Grapalat" w:cs="Sylfaen"/>
                <w:sz w:val="20"/>
                <w:szCs w:val="20"/>
                <w:lang w:val="hy-AM"/>
              </w:rPr>
              <w:t>«ՀՀ կառավարության 2010 թվականի դեկտեմբերի 30-ի N1769-Ա որոշման մեջ փոփոխություններ և լրացումներ կատարելու մասին ՀՀ կառավարության որոշման նախագծի ներկայացում ՀՀ վարչապետի աշխատակազմ, վերանայված կանոնակարգի ներդնման ուղեցույցի  մշակման աշխատանքների համակարգում</w:t>
            </w:r>
          </w:p>
          <w:p w:rsidR="0068680D" w:rsidRPr="00423B76" w:rsidRDefault="0068680D" w:rsidP="0068680D">
            <w:pPr>
              <w:pStyle w:val="ListParagraph"/>
              <w:numPr>
                <w:ilvl w:val="0"/>
                <w:numId w:val="426"/>
              </w:numPr>
              <w:spacing w:line="276" w:lineRule="auto"/>
              <w:jc w:val="both"/>
              <w:rPr>
                <w:b/>
                <w:lang w:val="hy-AM"/>
              </w:rPr>
            </w:pPr>
            <w:r w:rsidRPr="00423B76">
              <w:rPr>
                <w:b/>
                <w:lang w:val="hy-AM"/>
              </w:rPr>
              <w:t xml:space="preserve">Միջոցառման իրակացման անհրաժեշտությունը և նպատակը </w:t>
            </w:r>
          </w:p>
          <w:p w:rsidR="0068680D" w:rsidRPr="00423B76" w:rsidRDefault="0068680D" w:rsidP="00F47DC4">
            <w:pPr>
              <w:widowControl w:val="0"/>
              <w:spacing w:line="276" w:lineRule="auto"/>
              <w:jc w:val="both"/>
              <w:rPr>
                <w:rFonts w:cs="Sylfaen"/>
                <w:color w:val="000000"/>
                <w:lang w:val="hy-AM"/>
              </w:rPr>
            </w:pPr>
            <w:r w:rsidRPr="00423B76">
              <w:rPr>
                <w:rFonts w:cs="Sylfaen"/>
                <w:color w:val="000000"/>
                <w:lang w:val="hy-AM"/>
              </w:rPr>
              <w:t xml:space="preserve">Միջոցառման իրականացման անհրաժեշտությունը բխում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5.3 բաժնի դրույթներով:</w:t>
            </w:r>
          </w:p>
          <w:p w:rsidR="0068680D" w:rsidRPr="00423B76" w:rsidRDefault="0068680D" w:rsidP="00F47DC4">
            <w:pPr>
              <w:spacing w:line="276" w:lineRule="auto"/>
              <w:ind w:right="17"/>
              <w:jc w:val="both"/>
              <w:rPr>
                <w:rFonts w:eastAsia="Calibri"/>
                <w:lang w:val="hy-AM"/>
              </w:rPr>
            </w:pPr>
            <w:r w:rsidRPr="00423B76">
              <w:rPr>
                <w:rFonts w:eastAsia="Calibri"/>
                <w:lang w:val="hy-AM"/>
              </w:rPr>
              <w:t xml:space="preserve">Հիմք ընդունելով այն հանգամանքը, որ Կորպորատիվ կառավարման սկզբունքների կիրառումը հանդիսանում է մասնավոր հատվածի կայուն զարգացման և փոքր բաժնետերերի շահերի պաշտպանության կարևոր գործոններից մեկը՝ ՀՀ կառավարությունը կարևորում է նշված սկզբունքների ներդնումը՝ կազմակերպությունների կառավարման մարմինների պատասխանատվության, հաշվետվողականության և թափանցիկության բարձրացման նպատակով։ </w:t>
            </w:r>
            <w:r w:rsidRPr="00423B76">
              <w:rPr>
                <w:rFonts w:eastAsia="Calibri"/>
                <w:lang w:val="hy-AM"/>
              </w:rPr>
              <w:tab/>
            </w:r>
          </w:p>
          <w:p w:rsidR="0068680D" w:rsidRPr="00423B76" w:rsidRDefault="0068680D" w:rsidP="0068680D">
            <w:pPr>
              <w:numPr>
                <w:ilvl w:val="1"/>
                <w:numId w:val="375"/>
              </w:numPr>
              <w:spacing w:line="276" w:lineRule="auto"/>
              <w:ind w:left="810" w:hanging="360"/>
              <w:rPr>
                <w:b/>
                <w:lang w:val="hy-AM"/>
              </w:rPr>
            </w:pPr>
            <w:r w:rsidRPr="00423B76">
              <w:rPr>
                <w:b/>
                <w:lang w:val="hy-AM"/>
              </w:rPr>
              <w:t xml:space="preserve"> Կարգավորման հարաբերությունների ներկա վիճակը և առկա խնդիրները </w:t>
            </w:r>
          </w:p>
          <w:p w:rsidR="0068680D" w:rsidRPr="00423B76" w:rsidRDefault="0068680D" w:rsidP="00F47DC4">
            <w:pPr>
              <w:spacing w:line="276" w:lineRule="auto"/>
              <w:jc w:val="both"/>
              <w:rPr>
                <w:rFonts w:eastAsia="Calibri"/>
                <w:lang w:val="hy-AM"/>
              </w:rPr>
            </w:pPr>
            <w:r w:rsidRPr="00423B76">
              <w:rPr>
                <w:rFonts w:eastAsia="Calibri"/>
                <w:lang w:val="hy-AM"/>
              </w:rPr>
              <w:t>Առաջարկվող միջոցառումը պայմանավորված է կազմակերպությունների կառավարման մարմինների պատասխանատվության, հաշվետվողականության և թափանցիկության բարձրացման անհրաժեշտությամբ։</w:t>
            </w:r>
          </w:p>
          <w:p w:rsidR="0068680D" w:rsidRPr="00423B76" w:rsidRDefault="0068680D" w:rsidP="0068680D">
            <w:pPr>
              <w:numPr>
                <w:ilvl w:val="1"/>
                <w:numId w:val="375"/>
              </w:numPr>
              <w:spacing w:line="276" w:lineRule="auto"/>
              <w:ind w:left="900" w:hanging="450"/>
              <w:rPr>
                <w:b/>
                <w:bCs/>
                <w:lang w:val="hy-AM"/>
              </w:rPr>
            </w:pPr>
            <w:r w:rsidRPr="00423B76">
              <w:rPr>
                <w:b/>
                <w:lang w:val="hy-AM"/>
              </w:rPr>
              <w:t xml:space="preserve">Առկա խնդիրների առաջարկվող լուծումները </w:t>
            </w:r>
          </w:p>
          <w:p w:rsidR="0068680D" w:rsidRPr="00423B76" w:rsidRDefault="0068680D" w:rsidP="00F47DC4">
            <w:pPr>
              <w:spacing w:line="276" w:lineRule="auto"/>
              <w:ind w:right="17"/>
              <w:jc w:val="both"/>
              <w:rPr>
                <w:rFonts w:eastAsia="Calibri"/>
                <w:lang w:val="hy-AM"/>
              </w:rPr>
            </w:pPr>
            <w:r w:rsidRPr="00423B76">
              <w:rPr>
                <w:rFonts w:eastAsia="Calibri"/>
                <w:lang w:val="hy-AM"/>
              </w:rPr>
              <w:t>Վերոգրյալի համատեքստում կորպորատիվ կառավարման մշակույթի ձևավորման և վերջինիս ՏՀԶԿ ներկայումս գործող սկզբունքներին մոտարկելու և ներդնելու նպատակով նախատեսվում է վերանայել Հայաս</w:t>
            </w:r>
            <w:r w:rsidRPr="00423B76">
              <w:rPr>
                <w:rFonts w:eastAsia="Calibri"/>
                <w:lang w:val="hy-AM"/>
              </w:rPr>
              <w:softHyphen/>
              <w:t>տանի Հանրա</w:t>
            </w:r>
            <w:r w:rsidRPr="00423B76">
              <w:rPr>
                <w:rFonts w:eastAsia="Calibri"/>
                <w:lang w:val="hy-AM"/>
              </w:rPr>
              <w:softHyphen/>
              <w:t>պետության կորպորա</w:t>
            </w:r>
            <w:r w:rsidRPr="00423B76">
              <w:rPr>
                <w:rFonts w:eastAsia="Calibri"/>
                <w:lang w:val="hy-AM"/>
              </w:rPr>
              <w:softHyphen/>
              <w:t>տիվ կառա</w:t>
            </w:r>
            <w:r w:rsidRPr="00423B76">
              <w:rPr>
                <w:rFonts w:eastAsia="Calibri"/>
                <w:lang w:val="hy-AM"/>
              </w:rPr>
              <w:softHyphen/>
              <w:t>վարման կա</w:t>
            </w:r>
            <w:r w:rsidRPr="00423B76">
              <w:rPr>
                <w:rFonts w:eastAsia="Calibri"/>
                <w:lang w:val="hy-AM"/>
              </w:rPr>
              <w:softHyphen/>
              <w:t>նոնա</w:t>
            </w:r>
            <w:r w:rsidRPr="00423B76">
              <w:rPr>
                <w:rFonts w:eastAsia="Calibri"/>
                <w:lang w:val="hy-AM"/>
              </w:rPr>
              <w:softHyphen/>
              <w:t xml:space="preserve">գիրքը  և մշակել վերջինիս ներդրման ուղեցույցը։   </w:t>
            </w:r>
          </w:p>
          <w:p w:rsidR="0068680D" w:rsidRPr="00423B76" w:rsidRDefault="0068680D" w:rsidP="0068680D">
            <w:pPr>
              <w:pStyle w:val="ListParagraph"/>
              <w:numPr>
                <w:ilvl w:val="0"/>
                <w:numId w:val="426"/>
              </w:numPr>
              <w:spacing w:line="276" w:lineRule="auto"/>
              <w:jc w:val="both"/>
              <w:rPr>
                <w:lang w:val="hy-AM"/>
              </w:rPr>
            </w:pPr>
            <w:r w:rsidRPr="00423B76">
              <w:rPr>
                <w:b/>
                <w:lang w:val="hy-AM"/>
              </w:rPr>
              <w:t>Միջոցառման իրականացումից ակնկալվող արդյունքը</w:t>
            </w:r>
          </w:p>
          <w:p w:rsidR="0068680D" w:rsidRDefault="0068680D" w:rsidP="00F47DC4">
            <w:pPr>
              <w:spacing w:line="276" w:lineRule="auto"/>
              <w:jc w:val="both"/>
              <w:rPr>
                <w:rFonts w:eastAsia="Calibri"/>
                <w:lang w:val="hy-AM"/>
              </w:rPr>
            </w:pPr>
            <w:r w:rsidRPr="00423B76">
              <w:rPr>
                <w:rFonts w:eastAsia="Calibri"/>
                <w:lang w:val="hy-AM"/>
              </w:rPr>
              <w:t>Միջոցառման իրականացումից ակնկալվող արդյունքը կորպորատիվ կառավարման կանոնակարգի կիրառման դաշտի ընդլայնումն է։</w:t>
            </w:r>
          </w:p>
          <w:p w:rsidR="0068680D" w:rsidRPr="00423B76" w:rsidRDefault="0068680D" w:rsidP="00F47DC4">
            <w:pPr>
              <w:spacing w:line="276" w:lineRule="auto"/>
              <w:jc w:val="both"/>
              <w:rPr>
                <w:rFonts w:eastAsia="Calibri"/>
                <w:lang w:val="hy-AM"/>
              </w:rPr>
            </w:pPr>
          </w:p>
          <w:p w:rsidR="0068680D" w:rsidRPr="00423B76" w:rsidRDefault="0068680D" w:rsidP="00F47DC4">
            <w:pPr>
              <w:pStyle w:val="Heading2"/>
              <w:spacing w:before="0" w:beforeAutospacing="0" w:after="0" w:afterAutospacing="0" w:line="276" w:lineRule="auto"/>
              <w:ind w:left="360"/>
              <w:outlineLvl w:val="1"/>
              <w:rPr>
                <w:rFonts w:ascii="GHEA Grapalat" w:hAnsi="GHEA Grapalat" w:cs="Sylfaen"/>
                <w:sz w:val="20"/>
                <w:szCs w:val="20"/>
                <w:lang w:val="hy-AM"/>
              </w:rPr>
            </w:pPr>
            <w:r>
              <w:rPr>
                <w:rFonts w:ascii="GHEA Grapalat" w:hAnsi="GHEA Grapalat" w:cs="Sylfaen"/>
                <w:sz w:val="20"/>
                <w:szCs w:val="20"/>
                <w:lang w:val="hy-AM"/>
              </w:rPr>
              <w:t xml:space="preserve"> 5.2 </w:t>
            </w:r>
            <w:r w:rsidRPr="00423B76">
              <w:rPr>
                <w:rFonts w:ascii="GHEA Grapalat" w:hAnsi="GHEA Grapalat" w:cs="Sylfaen"/>
                <w:sz w:val="20"/>
                <w:szCs w:val="20"/>
                <w:lang w:val="hy-AM"/>
              </w:rPr>
              <w:t>Կորպորատիվ կառավարման վերանայված կանոնակարգի հիման վրա օրենսդրական փոփոխությունների  նախաձեռնում և ներկայացում ՀՀ վարչապետի աշխատակազմ մ</w:t>
            </w:r>
          </w:p>
          <w:p w:rsidR="0068680D" w:rsidRPr="00423B76" w:rsidRDefault="0068680D" w:rsidP="0068680D">
            <w:pPr>
              <w:pStyle w:val="ListParagraph"/>
              <w:numPr>
                <w:ilvl w:val="0"/>
                <w:numId w:val="427"/>
              </w:numPr>
              <w:spacing w:line="276" w:lineRule="auto"/>
              <w:jc w:val="both"/>
              <w:rPr>
                <w:b/>
                <w:lang w:val="hy-AM"/>
              </w:rPr>
            </w:pPr>
            <w:r w:rsidRPr="00423B76">
              <w:rPr>
                <w:b/>
                <w:lang w:val="hy-AM"/>
              </w:rPr>
              <w:t xml:space="preserve">Միջոցառման իրակացման անհրաժեշտությունը և նպատակը </w:t>
            </w:r>
          </w:p>
          <w:p w:rsidR="0068680D" w:rsidRPr="00423B76" w:rsidRDefault="0068680D" w:rsidP="00F47DC4">
            <w:pPr>
              <w:widowControl w:val="0"/>
              <w:spacing w:line="276" w:lineRule="auto"/>
              <w:jc w:val="both"/>
              <w:rPr>
                <w:rFonts w:eastAsia="Calibri"/>
                <w:lang w:val="hy-AM"/>
              </w:rPr>
            </w:pPr>
            <w:r w:rsidRPr="00423B76">
              <w:rPr>
                <w:rFonts w:cs="Sylfaen"/>
                <w:color w:val="000000"/>
                <w:lang w:val="hy-AM"/>
              </w:rPr>
              <w:t xml:space="preserve">Միջոցառման իրականացման անհրաժեշտությունը բխում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5.3 բաժնի դրույթներով: </w:t>
            </w:r>
            <w:r w:rsidRPr="00423B76">
              <w:rPr>
                <w:rFonts w:eastAsia="Calibri"/>
                <w:lang w:val="hy-AM"/>
              </w:rPr>
              <w:t xml:space="preserve">Հիմք ընդունելով այն հանգամանքը, որ Կորպորատիվ կառավարման սկզբունքների կիրառումը հանդիսանում է մասնավոր հատվածի կայուն զարգացման և փոքր բաժնետերերի շահերի պաշտպանության կարևոր գործոններից՝ ՀՀ կառավարությունը կարևորում է նշված սկզբունքների ներդնումը՝ կազմակերպությունների կառավարման մարմինների պատասխանատվության, հաշվետվողականության և թափանցիկության բարձրացման նպատակով։ </w:t>
            </w:r>
            <w:r w:rsidRPr="00423B76">
              <w:rPr>
                <w:rFonts w:eastAsia="Calibri"/>
                <w:lang w:val="hy-AM"/>
              </w:rPr>
              <w:tab/>
            </w:r>
          </w:p>
          <w:p w:rsidR="0068680D" w:rsidRPr="00423B76" w:rsidRDefault="0068680D" w:rsidP="0068680D">
            <w:pPr>
              <w:numPr>
                <w:ilvl w:val="1"/>
                <w:numId w:val="376"/>
              </w:numPr>
              <w:spacing w:line="276" w:lineRule="auto"/>
              <w:ind w:left="810" w:hanging="360"/>
              <w:rPr>
                <w:rFonts w:eastAsia="Calibri"/>
                <w:lang w:val="hy-AM"/>
              </w:rPr>
            </w:pPr>
            <w:r w:rsidRPr="00423B76">
              <w:rPr>
                <w:b/>
                <w:lang w:val="hy-AM"/>
              </w:rPr>
              <w:t xml:space="preserve"> Կարգավորման հարաբերությունների ներկա վիճակը և առկա խնդիրները</w:t>
            </w:r>
          </w:p>
          <w:p w:rsidR="0068680D" w:rsidRPr="00423B76" w:rsidRDefault="0068680D" w:rsidP="00F47DC4">
            <w:pPr>
              <w:spacing w:line="276" w:lineRule="auto"/>
              <w:jc w:val="both"/>
              <w:rPr>
                <w:rFonts w:eastAsia="Calibri"/>
                <w:lang w:val="hy-AM"/>
              </w:rPr>
            </w:pPr>
            <w:r w:rsidRPr="00423B76">
              <w:rPr>
                <w:rFonts w:eastAsia="Calibri"/>
                <w:lang w:val="hy-AM"/>
              </w:rPr>
              <w:t>Առաջարկվող միջոցառումը պայմանավորված է կազմակերպությունների կառավարման մարմինների պատասխանատվության, հաշվետվողականության և թափանցիկության բարձրացման անհրաժեշտությամբ։</w:t>
            </w:r>
          </w:p>
          <w:p w:rsidR="0068680D" w:rsidRPr="00423B76" w:rsidRDefault="0068680D" w:rsidP="0068680D">
            <w:pPr>
              <w:numPr>
                <w:ilvl w:val="1"/>
                <w:numId w:val="376"/>
              </w:numPr>
              <w:spacing w:line="276" w:lineRule="auto"/>
              <w:ind w:left="900" w:hanging="450"/>
              <w:rPr>
                <w:b/>
                <w:bCs/>
                <w:lang w:val="hy-AM"/>
              </w:rPr>
            </w:pPr>
            <w:r w:rsidRPr="00423B76">
              <w:rPr>
                <w:b/>
                <w:lang w:val="hy-AM"/>
              </w:rPr>
              <w:t xml:space="preserve">Առկա խնդիրների առաջարկվող լուծումները </w:t>
            </w:r>
          </w:p>
          <w:p w:rsidR="0068680D" w:rsidRPr="00423B76" w:rsidRDefault="0068680D" w:rsidP="00F47DC4">
            <w:pPr>
              <w:spacing w:line="276" w:lineRule="auto"/>
              <w:ind w:right="17"/>
              <w:jc w:val="both"/>
              <w:rPr>
                <w:rFonts w:eastAsia="Calibri"/>
                <w:b/>
                <w:lang w:val="hy-AM"/>
              </w:rPr>
            </w:pPr>
            <w:r w:rsidRPr="00423B76">
              <w:rPr>
                <w:rFonts w:eastAsia="Calibri"/>
                <w:lang w:val="hy-AM"/>
              </w:rPr>
              <w:t>Վերոգրյալի համատեքստում կորպորատիվ կառավարման մշակույթի ձևավորման և վերջինիս սկզբունքների ներդնման  ապահովման նպատակով նախատեսվում է վերանայել Հայաս</w:t>
            </w:r>
            <w:r w:rsidRPr="00423B76">
              <w:rPr>
                <w:rFonts w:eastAsia="Calibri"/>
                <w:lang w:val="hy-AM"/>
              </w:rPr>
              <w:softHyphen/>
              <w:t>տանի Հանրա</w:t>
            </w:r>
            <w:r w:rsidRPr="00423B76">
              <w:rPr>
                <w:rFonts w:eastAsia="Calibri"/>
                <w:lang w:val="hy-AM"/>
              </w:rPr>
              <w:softHyphen/>
              <w:t>պետության կորպորա</w:t>
            </w:r>
            <w:r w:rsidRPr="00423B76">
              <w:rPr>
                <w:rFonts w:eastAsia="Calibri"/>
                <w:lang w:val="hy-AM"/>
              </w:rPr>
              <w:softHyphen/>
              <w:t>տիվ կառա</w:t>
            </w:r>
            <w:r w:rsidRPr="00423B76">
              <w:rPr>
                <w:rFonts w:eastAsia="Calibri"/>
                <w:lang w:val="hy-AM"/>
              </w:rPr>
              <w:softHyphen/>
              <w:t>վարման կա</w:t>
            </w:r>
            <w:r w:rsidRPr="00423B76">
              <w:rPr>
                <w:rFonts w:eastAsia="Calibri"/>
                <w:lang w:val="hy-AM"/>
              </w:rPr>
              <w:softHyphen/>
              <w:t>նոնա</w:t>
            </w:r>
            <w:r w:rsidRPr="00423B76">
              <w:rPr>
                <w:rFonts w:eastAsia="Calibri"/>
                <w:lang w:val="hy-AM"/>
              </w:rPr>
              <w:softHyphen/>
              <w:t>կար</w:t>
            </w:r>
            <w:r w:rsidRPr="00423B76">
              <w:rPr>
                <w:rFonts w:eastAsia="Calibri"/>
                <w:lang w:val="hy-AM"/>
              </w:rPr>
              <w:softHyphen/>
            </w:r>
            <w:r w:rsidRPr="00423B76">
              <w:rPr>
                <w:rFonts w:eastAsia="Calibri"/>
                <w:lang w:val="hy-AM"/>
              </w:rPr>
              <w:softHyphen/>
              <w:t xml:space="preserve">գը  և մշակել վերջինիս ներդրման ուղեցույցը։ Միաժամանակ, վերոգրյալ աշխատանքների հիման վրա նախատեսվում է նախաձեռնել օրենսդրական փոփոխություններ  և ներկայացնել դրանք ՀՀ վարչապետի աշխատակազմ՝ ապահովելով կորպորատիվ կառավարման սկզբունքների գործնականում կիրառումը։ </w:t>
            </w:r>
          </w:p>
          <w:p w:rsidR="0068680D" w:rsidRPr="00423B76" w:rsidRDefault="0068680D" w:rsidP="00F47DC4">
            <w:pPr>
              <w:spacing w:line="276" w:lineRule="auto"/>
              <w:rPr>
                <w:lang w:val="hy-AM"/>
              </w:rPr>
            </w:pPr>
            <w:r w:rsidRPr="00423B76">
              <w:rPr>
                <w:b/>
                <w:lang w:val="hy-AM"/>
              </w:rPr>
              <w:t>2. Միջոցառման իրականացումից ակնկալվող արդյունքը</w:t>
            </w:r>
          </w:p>
          <w:p w:rsidR="0068680D" w:rsidRPr="00423B76" w:rsidRDefault="0068680D" w:rsidP="00F47DC4">
            <w:pPr>
              <w:spacing w:line="276" w:lineRule="auto"/>
              <w:jc w:val="both"/>
              <w:rPr>
                <w:rFonts w:eastAsia="Calibri"/>
                <w:lang w:val="hy-AM"/>
              </w:rPr>
            </w:pPr>
            <w:r w:rsidRPr="00423B76">
              <w:rPr>
                <w:rFonts w:eastAsia="Calibri"/>
                <w:lang w:val="hy-AM"/>
              </w:rPr>
              <w:t>Միջոցառման իրականացումից ակնկալվող արդյունքը կորպորատիվ կառավարման կանոնակարգի կիրառման դաշտի ընդլայնումն է։</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6.</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60"/>
              <w:outlineLvl w:val="0"/>
              <w:rPr>
                <w:rFonts w:ascii="GHEA Grapalat" w:hAnsi="GHEA Grapalat"/>
                <w:sz w:val="20"/>
                <w:szCs w:val="20"/>
                <w:lang w:val="hy-AM"/>
              </w:rPr>
            </w:pPr>
            <w:r>
              <w:rPr>
                <w:rFonts w:ascii="GHEA Grapalat" w:hAnsi="GHEA Grapalat"/>
                <w:sz w:val="20"/>
                <w:szCs w:val="20"/>
                <w:lang w:val="hy-AM"/>
              </w:rPr>
              <w:t>Կ</w:t>
            </w:r>
            <w:r w:rsidRPr="00423B76">
              <w:rPr>
                <w:rFonts w:ascii="GHEA Grapalat" w:hAnsi="GHEA Grapalat"/>
                <w:sz w:val="20"/>
                <w:szCs w:val="20"/>
                <w:lang w:val="hy-AM"/>
              </w:rPr>
              <w:t>արգավորիչ արդյունա</w:t>
            </w:r>
            <w:r w:rsidRPr="00423B76">
              <w:rPr>
                <w:rFonts w:ascii="GHEA Grapalat" w:hAnsi="GHEA Grapalat"/>
                <w:sz w:val="20"/>
                <w:szCs w:val="20"/>
                <w:lang w:val="hy-AM"/>
              </w:rPr>
              <w:softHyphen/>
              <w:t>վետ մեխանիզմների գործարկման միջոցով տնտեսական մրցակցության պաշտպանության ապահովում</w:t>
            </w:r>
          </w:p>
          <w:p w:rsidR="0068680D"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p>
          <w:p w:rsidR="0068680D" w:rsidRPr="00423B76"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r>
              <w:rPr>
                <w:rFonts w:ascii="GHEA Grapalat" w:hAnsi="GHEA Grapalat" w:cs="Sylfaen"/>
                <w:sz w:val="20"/>
                <w:szCs w:val="20"/>
                <w:lang w:val="hy-AM"/>
              </w:rPr>
              <w:t xml:space="preserve"> 6.1 </w:t>
            </w:r>
            <w:r w:rsidRPr="00423B76">
              <w:rPr>
                <w:rFonts w:ascii="GHEA Grapalat" w:hAnsi="GHEA Grapalat" w:cs="Sylfaen"/>
                <w:sz w:val="20"/>
                <w:szCs w:val="20"/>
                <w:lang w:val="hy-AM"/>
              </w:rPr>
              <w:t>Սահմանափակ ռեսուրսներից օգտվելու նպատակով լիցենզիաների և թույտվությունների տրամադրումը՝ բացառապես աճուրդի միջոցով իրականացնելու վերաբերյալ վերլուծության իրականացում և դրա արդյունքների հիման վրա առաջարկությունների ներկայացում ՀՀ վարչապետի աշխատակազմ</w:t>
            </w:r>
          </w:p>
          <w:p w:rsidR="0068680D" w:rsidRPr="00423B76" w:rsidRDefault="0068680D" w:rsidP="00F47DC4">
            <w:pPr>
              <w:spacing w:line="276" w:lineRule="auto"/>
              <w:jc w:val="both"/>
              <w:rPr>
                <w:b/>
                <w:lang w:val="hy-AM"/>
              </w:rPr>
            </w:pPr>
            <w:r w:rsidRPr="00423B76">
              <w:rPr>
                <w:b/>
                <w:lang w:val="hy-AM"/>
              </w:rPr>
              <w:t xml:space="preserve">1. Միջոցառման իրակացման անհրաժեշտությունը և նպատակը  </w:t>
            </w:r>
          </w:p>
          <w:p w:rsidR="0068680D" w:rsidRPr="00423B76" w:rsidRDefault="0068680D" w:rsidP="00F47DC4">
            <w:pPr>
              <w:widowControl w:val="0"/>
              <w:spacing w:line="276" w:lineRule="auto"/>
              <w:jc w:val="both"/>
              <w:rPr>
                <w:rFonts w:cs="Sylfaen"/>
                <w:color w:val="000000"/>
                <w:lang w:val="hy-AM"/>
              </w:rPr>
            </w:pPr>
            <w:r w:rsidRPr="00423B76">
              <w:rPr>
                <w:rFonts w:cs="Sylfaen"/>
                <w:color w:val="000000"/>
                <w:lang w:val="hy-AM"/>
              </w:rPr>
              <w:t xml:space="preserve">Միջոցառման իրականացման անհրաժեշտությունը բխում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5.4 բաժնի դրույթներով:</w:t>
            </w:r>
          </w:p>
          <w:p w:rsidR="0068680D" w:rsidRPr="00423B76" w:rsidRDefault="0068680D" w:rsidP="00F47DC4">
            <w:pPr>
              <w:spacing w:line="276" w:lineRule="auto"/>
              <w:jc w:val="both"/>
              <w:rPr>
                <w:rFonts w:eastAsia="Calibri"/>
                <w:lang w:val="hy-AM"/>
              </w:rPr>
            </w:pPr>
            <w:r w:rsidRPr="00423B76">
              <w:rPr>
                <w:rFonts w:eastAsia="Calibri" w:cs="Arial"/>
                <w:lang w:val="hy-AM"/>
              </w:rPr>
              <w:t xml:space="preserve">Միջոցառման իրականացման նպատակը սահմանափակ ռեսուրսներից օգտվելու նպատակով բացառիկ լիցենզիաների և թույտվությունների տրամադրումը մրցակցային պայմաններով իրականացնելն է։ </w:t>
            </w:r>
          </w:p>
          <w:p w:rsidR="0068680D" w:rsidRPr="00423B76" w:rsidRDefault="0068680D" w:rsidP="00F47DC4">
            <w:pPr>
              <w:spacing w:line="276" w:lineRule="auto"/>
              <w:jc w:val="both"/>
              <w:rPr>
                <w:b/>
                <w:lang w:val="hy-AM"/>
              </w:rPr>
            </w:pPr>
            <w:r w:rsidRPr="00423B76">
              <w:rPr>
                <w:b/>
                <w:lang w:val="hy-AM"/>
              </w:rPr>
              <w:t xml:space="preserve">1.1. Կարգավորման հարաբերությունների ներկա վիճակը և առկա խնդիրները  </w:t>
            </w:r>
          </w:p>
          <w:p w:rsidR="0068680D" w:rsidRPr="00423B76" w:rsidRDefault="0068680D" w:rsidP="00F47DC4">
            <w:pPr>
              <w:tabs>
                <w:tab w:val="left" w:pos="2364"/>
              </w:tabs>
              <w:spacing w:line="276" w:lineRule="auto"/>
              <w:jc w:val="both"/>
              <w:rPr>
                <w:rFonts w:eastAsia="Calibri" w:cs="Arial"/>
                <w:lang w:val="hy-AM"/>
              </w:rPr>
            </w:pPr>
            <w:r w:rsidRPr="00423B76">
              <w:rPr>
                <w:rFonts w:eastAsia="Calibri" w:cs="Arial"/>
                <w:lang w:val="hy-AM"/>
              </w:rPr>
              <w:t xml:space="preserve">ՀՀ կառավարությունը կարևորում է տնտեսական մրցակցության պաշտպանությունը՝ ելնելով այն հրամայականից, որ տնտեսական գործունեության որևէ ոլորտում չպետք է անհամաչափ սահմանափակվի գործունեությամբ զբաղվելու հնարավորությունը։ Տնտեսական մրցակցության ապահովման կարևորագույն գործոններից մեկը տնտեսավարողների համար հավասար պայմանների և խաղի միևնույն կանոնների ապահովումն է, քանի որ ներկայումս </w:t>
            </w:r>
            <w:r w:rsidRPr="00423B76">
              <w:rPr>
                <w:lang w:val="hy-AM"/>
              </w:rPr>
              <w:t xml:space="preserve"> </w:t>
            </w:r>
            <w:r w:rsidRPr="00423B76">
              <w:rPr>
                <w:rFonts w:eastAsia="Calibri" w:cs="Arial"/>
                <w:lang w:val="hy-AM"/>
              </w:rPr>
              <w:t xml:space="preserve">սահմանափակ ռեսուրսներից օգտվելու նպատակով բացառիկ լիցենզիաների և թույտվությունների տրամադրումն իրականացվում է ոչ մրցակցային պայմաններով։ </w:t>
            </w:r>
          </w:p>
          <w:p w:rsidR="0068680D" w:rsidRPr="00423B76" w:rsidRDefault="0068680D" w:rsidP="00F47DC4">
            <w:pPr>
              <w:spacing w:line="276" w:lineRule="auto"/>
              <w:rPr>
                <w:b/>
                <w:bCs/>
                <w:lang w:val="hy-AM"/>
              </w:rPr>
            </w:pPr>
            <w:r w:rsidRPr="00423B76">
              <w:rPr>
                <w:b/>
                <w:lang w:val="hy-AM"/>
              </w:rPr>
              <w:t xml:space="preserve">1.2. Առկա խնդիրների առաջարկվող լուծումները </w:t>
            </w:r>
          </w:p>
          <w:p w:rsidR="0068680D" w:rsidRPr="00423B76" w:rsidRDefault="0068680D" w:rsidP="00F47DC4">
            <w:pPr>
              <w:spacing w:line="276" w:lineRule="auto"/>
              <w:jc w:val="both"/>
              <w:rPr>
                <w:lang w:val="hy-AM"/>
              </w:rPr>
            </w:pPr>
            <w:r w:rsidRPr="00423B76">
              <w:rPr>
                <w:lang w:val="hy-AM"/>
              </w:rPr>
              <w:t xml:space="preserve">Առաջարկվում է պետական գերատեսչությունների կողմից սահմանափակ ռեսուրսներից օգտվելու նպատակով լիցենզիաների և թույտվությունների տրամադրումը՝ բացառապես աճուրդի միջոցով իրականացնելու վերաբերյալ իրականացնել համապատասխան վերլուծություն և առաջարկություններ ներկայացնել ՀՀ վարչապետի աշխատակազմ։ </w:t>
            </w:r>
          </w:p>
          <w:p w:rsidR="0068680D" w:rsidRPr="00423B76" w:rsidRDefault="0068680D" w:rsidP="00F47DC4">
            <w:pPr>
              <w:spacing w:line="276" w:lineRule="auto"/>
              <w:jc w:val="both"/>
              <w:rPr>
                <w:lang w:val="hy-AM"/>
              </w:rPr>
            </w:pPr>
            <w:r w:rsidRPr="00423B76">
              <w:rPr>
                <w:lang w:val="hy-AM"/>
              </w:rPr>
              <w:t>ՀՀ տնտեսական մրցակցության պաշտպանության պետական հանձնաժողովի կողմից նախկինում իրականացվել են խնդրի առնչությամբ ուսումնասիրություններ: Վերջիններս, ինչպես նաև ՀՀ ՏՄՊՊ-ում կուտակված փորձառությունն ու գործնական դրսևորումների առնչությամբ առկա դիտարկումները մեծապես կնպաստեն արժեքավոր վերլուծություն իրականացնելու և համարժեք առաջարկություններ ձևավորելու գործում:</w:t>
            </w:r>
          </w:p>
          <w:p w:rsidR="0068680D" w:rsidRPr="00423B76" w:rsidRDefault="0068680D" w:rsidP="00F47DC4">
            <w:pPr>
              <w:spacing w:line="276" w:lineRule="auto"/>
              <w:rPr>
                <w:lang w:val="hy-AM"/>
              </w:rPr>
            </w:pPr>
            <w:r w:rsidRPr="00423B76">
              <w:rPr>
                <w:b/>
                <w:lang w:val="hy-AM"/>
              </w:rPr>
              <w:t>2. Միջոցառման իրականացումից ակնկալվող արդյունքը</w:t>
            </w:r>
          </w:p>
          <w:p w:rsidR="0068680D" w:rsidRPr="00423B76" w:rsidRDefault="0068680D" w:rsidP="00F47DC4">
            <w:pPr>
              <w:pStyle w:val="NormalWeb"/>
              <w:widowControl w:val="0"/>
              <w:spacing w:before="0" w:beforeAutospacing="0" w:after="0" w:afterAutospacing="0" w:line="276" w:lineRule="auto"/>
              <w:ind w:right="28"/>
              <w:jc w:val="both"/>
              <w:rPr>
                <w:rFonts w:ascii="GHEA Grapalat" w:eastAsia="Calibri" w:hAnsi="GHEA Grapalat" w:cs="Arial"/>
                <w:b/>
                <w:sz w:val="20"/>
                <w:szCs w:val="20"/>
                <w:lang w:val="hy-AM"/>
              </w:rPr>
            </w:pPr>
            <w:r w:rsidRPr="00423B76">
              <w:rPr>
                <w:rFonts w:ascii="GHEA Grapalat" w:hAnsi="GHEA Grapalat"/>
                <w:sz w:val="20"/>
                <w:szCs w:val="20"/>
                <w:lang w:val="hy-AM"/>
              </w:rPr>
              <w:t>Միջոցառման իրականացումից ակնկալվող արդյունքը սահմանափակ ռեսուրսներից օգտվելու նպատակով բացառիկ լիցենզիաների և թույտվությունների տրամադրումը մրցակցային պայմաններով իրականացնելն է։</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7.</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60"/>
              <w:outlineLvl w:val="0"/>
              <w:rPr>
                <w:rFonts w:ascii="GHEA Grapalat" w:hAnsi="GHEA Grapalat"/>
                <w:sz w:val="20"/>
                <w:szCs w:val="20"/>
                <w:lang w:val="hy-AM"/>
              </w:rPr>
            </w:pPr>
            <w:r>
              <w:rPr>
                <w:rFonts w:ascii="GHEA Grapalat" w:hAnsi="GHEA Grapalat"/>
                <w:sz w:val="20"/>
                <w:szCs w:val="20"/>
                <w:lang w:val="hy-AM"/>
              </w:rPr>
              <w:t>Ա</w:t>
            </w:r>
            <w:r w:rsidRPr="00423B76">
              <w:rPr>
                <w:rFonts w:ascii="GHEA Grapalat" w:hAnsi="GHEA Grapalat"/>
                <w:sz w:val="20"/>
                <w:szCs w:val="20"/>
                <w:lang w:val="hy-AM"/>
              </w:rPr>
              <w:t xml:space="preserve">պրանքների </w:t>
            </w:r>
            <w:r>
              <w:rPr>
                <w:rFonts w:ascii="GHEA Grapalat" w:hAnsi="GHEA Grapalat"/>
                <w:sz w:val="20"/>
                <w:szCs w:val="20"/>
                <w:lang w:val="hy-AM"/>
              </w:rPr>
              <w:t>և</w:t>
            </w:r>
            <w:r w:rsidRPr="00423B76">
              <w:rPr>
                <w:rFonts w:ascii="GHEA Grapalat" w:hAnsi="GHEA Grapalat"/>
                <w:sz w:val="20"/>
                <w:szCs w:val="20"/>
                <w:lang w:val="hy-AM"/>
              </w:rPr>
              <w:t xml:space="preserve"> ծառա</w:t>
            </w:r>
            <w:r w:rsidRPr="00423B76">
              <w:rPr>
                <w:rFonts w:ascii="GHEA Grapalat" w:hAnsi="GHEA Grapalat"/>
                <w:sz w:val="20"/>
                <w:szCs w:val="20"/>
                <w:lang w:val="hy-AM"/>
              </w:rPr>
              <w:softHyphen/>
              <w:t>յությունների շուկա</w:t>
            </w:r>
            <w:r w:rsidRPr="00423B76">
              <w:rPr>
                <w:rFonts w:ascii="GHEA Grapalat" w:hAnsi="GHEA Grapalat"/>
                <w:sz w:val="20"/>
                <w:szCs w:val="20"/>
                <w:lang w:val="hy-AM"/>
              </w:rPr>
              <w:softHyphen/>
              <w:t>ներում նոր մասնակից</w:t>
            </w:r>
            <w:r w:rsidRPr="00423B76">
              <w:rPr>
                <w:rFonts w:ascii="GHEA Grapalat" w:hAnsi="GHEA Grapalat"/>
                <w:sz w:val="20"/>
                <w:szCs w:val="20"/>
                <w:lang w:val="hy-AM"/>
              </w:rPr>
              <w:softHyphen/>
              <w:t>ների մուտքի եվ առաջ</w:t>
            </w:r>
            <w:r w:rsidRPr="00423B76">
              <w:rPr>
                <w:rFonts w:ascii="GHEA Grapalat" w:hAnsi="GHEA Grapalat"/>
                <w:sz w:val="20"/>
                <w:szCs w:val="20"/>
                <w:lang w:val="hy-AM"/>
              </w:rPr>
              <w:softHyphen/>
              <w:t>խա</w:t>
            </w:r>
            <w:r w:rsidRPr="00423B76">
              <w:rPr>
                <w:rFonts w:ascii="GHEA Grapalat" w:hAnsi="GHEA Grapalat"/>
                <w:sz w:val="20"/>
                <w:szCs w:val="20"/>
                <w:lang w:val="hy-AM"/>
              </w:rPr>
              <w:softHyphen/>
              <w:t>ղաց</w:t>
            </w:r>
            <w:r w:rsidRPr="00423B76">
              <w:rPr>
                <w:rFonts w:ascii="GHEA Grapalat" w:hAnsi="GHEA Grapalat"/>
                <w:sz w:val="20"/>
                <w:szCs w:val="20"/>
                <w:lang w:val="hy-AM"/>
              </w:rPr>
              <w:softHyphen/>
              <w:t>ման խրախու</w:t>
            </w:r>
            <w:r w:rsidRPr="00423B76">
              <w:rPr>
                <w:rFonts w:ascii="GHEA Grapalat" w:hAnsi="GHEA Grapalat"/>
                <w:sz w:val="20"/>
                <w:szCs w:val="20"/>
                <w:lang w:val="hy-AM"/>
              </w:rPr>
              <w:softHyphen/>
              <w:t>սում՝ այդ թվում, պետության կողմից սահմանված ինստիտու</w:t>
            </w:r>
            <w:r w:rsidRPr="00423B76">
              <w:rPr>
                <w:rFonts w:ascii="GHEA Grapalat" w:hAnsi="GHEA Grapalat"/>
                <w:sz w:val="20"/>
                <w:szCs w:val="20"/>
                <w:lang w:val="hy-AM"/>
              </w:rPr>
              <w:softHyphen/>
              <w:t>ցիոնալ կամ այլ տնտե</w:t>
            </w:r>
            <w:r w:rsidRPr="00423B76">
              <w:rPr>
                <w:rFonts w:ascii="GHEA Grapalat" w:hAnsi="GHEA Grapalat"/>
                <w:sz w:val="20"/>
                <w:szCs w:val="20"/>
                <w:lang w:val="hy-AM"/>
              </w:rPr>
              <w:softHyphen/>
              <w:t>սական (լիցենզա</w:t>
            </w:r>
            <w:r w:rsidRPr="00423B76">
              <w:rPr>
                <w:rFonts w:ascii="GHEA Grapalat" w:hAnsi="GHEA Grapalat"/>
                <w:sz w:val="20"/>
                <w:szCs w:val="20"/>
                <w:lang w:val="hy-AM"/>
              </w:rPr>
              <w:softHyphen/>
              <w:t>վոր</w:t>
            </w:r>
            <w:r w:rsidRPr="00423B76">
              <w:rPr>
                <w:rFonts w:ascii="GHEA Grapalat" w:hAnsi="GHEA Grapalat"/>
                <w:sz w:val="20"/>
                <w:szCs w:val="20"/>
                <w:lang w:val="hy-AM"/>
              </w:rPr>
              <w:softHyphen/>
              <w:t xml:space="preserve">ման պահանջներ </w:t>
            </w:r>
            <w:r>
              <w:rPr>
                <w:rFonts w:ascii="GHEA Grapalat" w:hAnsi="GHEA Grapalat"/>
                <w:sz w:val="20"/>
                <w:szCs w:val="20"/>
                <w:lang w:val="hy-AM"/>
              </w:rPr>
              <w:t>և</w:t>
            </w:r>
            <w:r w:rsidRPr="00423B76">
              <w:rPr>
                <w:rFonts w:ascii="GHEA Grapalat" w:hAnsi="GHEA Grapalat"/>
                <w:sz w:val="20"/>
                <w:szCs w:val="20"/>
                <w:lang w:val="hy-AM"/>
              </w:rPr>
              <w:t xml:space="preserve"> այլն) արգելքների կամ սահմանափակումների թվաքանակի կրճատման միջոցով</w:t>
            </w:r>
          </w:p>
          <w:p w:rsidR="0068680D"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p>
          <w:p w:rsidR="0068680D" w:rsidRPr="00423B76"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r>
              <w:rPr>
                <w:rFonts w:ascii="GHEA Grapalat" w:hAnsi="GHEA Grapalat" w:cs="Sylfaen"/>
                <w:sz w:val="20"/>
                <w:szCs w:val="20"/>
                <w:lang w:val="hy-AM"/>
              </w:rPr>
              <w:t xml:space="preserve"> 7.1 </w:t>
            </w:r>
            <w:r w:rsidRPr="00423B76">
              <w:rPr>
                <w:rFonts w:ascii="GHEA Grapalat" w:hAnsi="GHEA Grapalat" w:cs="Sylfaen"/>
                <w:sz w:val="20"/>
                <w:szCs w:val="20"/>
                <w:lang w:val="hy-AM"/>
              </w:rPr>
              <w:t>Էլեկտրոնային առևտրի մասին ՀՀ օրենքի նախագծի ներկայացում ՀՀ վարչապետի աշխատակազմ</w:t>
            </w:r>
          </w:p>
          <w:p w:rsidR="0068680D" w:rsidRPr="00423B76" w:rsidRDefault="0068680D" w:rsidP="00F47DC4">
            <w:pPr>
              <w:spacing w:line="276" w:lineRule="auto"/>
              <w:jc w:val="both"/>
              <w:rPr>
                <w:color w:val="000000" w:themeColor="text1"/>
                <w:lang w:val="hy-AM"/>
              </w:rPr>
            </w:pPr>
            <w:r w:rsidRPr="00423B76">
              <w:rPr>
                <w:b/>
                <w:lang w:val="hy-AM"/>
              </w:rPr>
              <w:t>1. Միջոցառման իրակացման անհրաժեշտությունը և նպատակը</w:t>
            </w:r>
          </w:p>
          <w:p w:rsidR="0068680D" w:rsidRPr="00423B76" w:rsidRDefault="0068680D" w:rsidP="00F47DC4">
            <w:pPr>
              <w:widowControl w:val="0"/>
              <w:spacing w:line="276" w:lineRule="auto"/>
              <w:jc w:val="both"/>
              <w:rPr>
                <w:rFonts w:cs="Sylfaen"/>
                <w:color w:val="000000"/>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5.4 բաժնի դրույթներով: </w:t>
            </w:r>
          </w:p>
          <w:p w:rsidR="0068680D" w:rsidRPr="00423B76" w:rsidRDefault="0068680D" w:rsidP="00F47DC4">
            <w:pPr>
              <w:widowControl w:val="0"/>
              <w:spacing w:line="276" w:lineRule="auto"/>
              <w:jc w:val="both"/>
              <w:rPr>
                <w:color w:val="000000" w:themeColor="text1"/>
                <w:lang w:val="hy-AM"/>
              </w:rPr>
            </w:pPr>
            <w:r w:rsidRPr="00423B76">
              <w:rPr>
                <w:rFonts w:cs="Sylfaen"/>
                <w:color w:val="000000"/>
                <w:lang w:val="hy-AM"/>
              </w:rPr>
              <w:t xml:space="preserve">Միջոցառման իրականացման նպատակը </w:t>
            </w:r>
            <w:r w:rsidRPr="00423B76">
              <w:rPr>
                <w:color w:val="000000" w:themeColor="text1"/>
                <w:lang w:val="hy-AM"/>
              </w:rPr>
              <w:t>Հայաստանի Հանրապետությունում Էլեկտրոնային առևտրի ա</w:t>
            </w:r>
            <w:r w:rsidRPr="00423B76">
              <w:rPr>
                <w:rFonts w:cs="Sylfaen"/>
                <w:color w:val="000000" w:themeColor="text1"/>
                <w:lang w:val="hy-AM"/>
              </w:rPr>
              <w:t>պրանքների</w:t>
            </w:r>
            <w:r w:rsidRPr="00423B76">
              <w:rPr>
                <w:rFonts w:cs="ArialUnicode"/>
                <w:color w:val="000000" w:themeColor="text1"/>
                <w:lang w:val="hy-AM"/>
              </w:rPr>
              <w:t xml:space="preserve"> </w:t>
            </w:r>
            <w:r w:rsidRPr="00423B76">
              <w:rPr>
                <w:rFonts w:cs="Sylfaen"/>
                <w:color w:val="000000" w:themeColor="text1"/>
                <w:lang w:val="hy-AM"/>
              </w:rPr>
              <w:t>և ծառա</w:t>
            </w:r>
            <w:r w:rsidRPr="00423B76">
              <w:rPr>
                <w:rFonts w:cs="Sylfaen"/>
                <w:color w:val="000000" w:themeColor="text1"/>
                <w:lang w:val="hy-AM"/>
              </w:rPr>
              <w:softHyphen/>
              <w:t>յությունների</w:t>
            </w:r>
            <w:r w:rsidRPr="00423B76">
              <w:rPr>
                <w:rFonts w:cs="ArialUnicode"/>
                <w:color w:val="000000" w:themeColor="text1"/>
                <w:lang w:val="hy-AM"/>
              </w:rPr>
              <w:t xml:space="preserve"> </w:t>
            </w:r>
            <w:r w:rsidRPr="00423B76">
              <w:rPr>
                <w:color w:val="000000" w:themeColor="text1"/>
                <w:lang w:val="hy-AM"/>
              </w:rPr>
              <w:t xml:space="preserve">շուկաներում առկա ժամանակակից պահանջներին համապատասխանության խնդրի լուծումն է: </w:t>
            </w:r>
          </w:p>
          <w:p w:rsidR="0068680D" w:rsidRPr="00423B76" w:rsidRDefault="0068680D" w:rsidP="0068680D">
            <w:pPr>
              <w:pStyle w:val="ListParagraph"/>
              <w:numPr>
                <w:ilvl w:val="1"/>
                <w:numId w:val="384"/>
              </w:numPr>
              <w:spacing w:line="276" w:lineRule="auto"/>
              <w:ind w:left="810" w:hanging="450"/>
              <w:contextualSpacing w:val="0"/>
              <w:jc w:val="both"/>
              <w:rPr>
                <w:b/>
                <w:lang w:val="hy-AM"/>
              </w:rPr>
            </w:pPr>
            <w:r w:rsidRPr="00423B76">
              <w:rPr>
                <w:b/>
                <w:lang w:val="hy-AM"/>
              </w:rPr>
              <w:t xml:space="preserve">Կարգավորման հարաբերությունների ներկա վիճակը և առկա խնդիրները </w:t>
            </w:r>
          </w:p>
          <w:p w:rsidR="0068680D" w:rsidRPr="00423B76" w:rsidRDefault="0068680D" w:rsidP="00F47DC4">
            <w:pPr>
              <w:spacing w:line="276" w:lineRule="auto"/>
              <w:jc w:val="both"/>
              <w:rPr>
                <w:lang w:val="hy-AM"/>
              </w:rPr>
            </w:pPr>
            <w:r w:rsidRPr="00423B76">
              <w:rPr>
                <w:lang w:val="hy-AM"/>
              </w:rPr>
              <w:t xml:space="preserve">Ներկայումս էլեկտրոնային առևտրի մասով բացակայում են մի շարք օրենսդրական կարգավորումներ, ինչը խոչընդոտներ է ստողծում երկրում </w:t>
            </w:r>
            <w:r w:rsidRPr="00423B76">
              <w:rPr>
                <w:color w:val="000000" w:themeColor="text1"/>
                <w:lang w:val="hy-AM"/>
              </w:rPr>
              <w:t>էլեկտրոնային առևտրի զարգացման համար:</w:t>
            </w:r>
          </w:p>
          <w:p w:rsidR="0068680D" w:rsidRPr="00423B76" w:rsidRDefault="0068680D" w:rsidP="0068680D">
            <w:pPr>
              <w:pStyle w:val="ListParagraph"/>
              <w:numPr>
                <w:ilvl w:val="1"/>
                <w:numId w:val="384"/>
              </w:numPr>
              <w:spacing w:line="276" w:lineRule="auto"/>
              <w:ind w:left="810" w:hanging="450"/>
              <w:contextualSpacing w:val="0"/>
              <w:jc w:val="both"/>
              <w:rPr>
                <w:b/>
              </w:rPr>
            </w:pPr>
            <w:r w:rsidRPr="00423B76">
              <w:rPr>
                <w:b/>
                <w:lang w:val="hy-AM"/>
              </w:rPr>
              <w:t xml:space="preserve">Առկա խնդիրների առաջարկվող լուծումները </w:t>
            </w:r>
          </w:p>
          <w:p w:rsidR="0068680D" w:rsidRPr="00423B76" w:rsidRDefault="0068680D" w:rsidP="00F47DC4">
            <w:pPr>
              <w:spacing w:line="276" w:lineRule="auto"/>
              <w:jc w:val="both"/>
              <w:rPr>
                <w:lang w:val="hy-AM"/>
              </w:rPr>
            </w:pPr>
            <w:r w:rsidRPr="00423B76">
              <w:rPr>
                <w:lang w:val="hy-AM"/>
              </w:rPr>
              <w:t>Առկա խնդիրների լուծման նպատակով առաջարկվում է մշակել Էլեկտրոնային առևտրի մասին ՀՀ օրենքի նախագ</w:t>
            </w:r>
            <w:r w:rsidRPr="00423B76">
              <w:t>ի</w:t>
            </w:r>
            <w:r w:rsidRPr="00423B76">
              <w:rPr>
                <w:lang w:val="hy-AM"/>
              </w:rPr>
              <w:t>ծ, որտեղ առկա կլինեն համապատասխան իրավական կարգավորման մեխանիզմները:  Հաշվի առնելով այն հանգամանքը, որ այդուհանդերձ ոլորտ</w:t>
            </w:r>
            <w:r w:rsidRPr="00423B76">
              <w:t>ն</w:t>
            </w:r>
            <w:r w:rsidRPr="00423B76">
              <w:rPr>
                <w:lang w:val="hy-AM"/>
              </w:rPr>
              <w:t xml:space="preserve"> առանձնահատկություններ ունի, որոնցով այն տարբերակվում է ընդհանուր առևտրի ոլորտից, ՀՀ </w:t>
            </w:r>
            <w:hyperlink r:id="rId13" w:history="1">
              <w:r w:rsidRPr="00423B76">
                <w:rPr>
                  <w:lang w:val="hy-AM"/>
                </w:rPr>
                <w:t>տրանսպորտի, կապի և տեղեկատվական տեխնոլոգիաների նախարարություն</w:t>
              </w:r>
            </w:hyperlink>
            <w:r w:rsidRPr="00423B76">
              <w:rPr>
                <w:lang w:val="hy-AM"/>
              </w:rPr>
              <w:t xml:space="preserve">ը </w:t>
            </w:r>
            <w:r w:rsidRPr="00423B76">
              <w:t xml:space="preserve">և ՀՀ կենտրոնական բանկը </w:t>
            </w:r>
            <w:r w:rsidRPr="00423B76">
              <w:rPr>
                <w:lang w:val="hy-AM"/>
              </w:rPr>
              <w:t xml:space="preserve">նախատեսվել </w:t>
            </w:r>
            <w:r w:rsidRPr="00423B76">
              <w:t>են</w:t>
            </w:r>
            <w:r w:rsidRPr="00423B76">
              <w:rPr>
                <w:lang w:val="hy-AM"/>
              </w:rPr>
              <w:t xml:space="preserve"> որպես համակարատարող</w:t>
            </w:r>
            <w:r w:rsidRPr="00423B76">
              <w:t>ներ</w:t>
            </w:r>
            <w:r w:rsidRPr="00423B76">
              <w:rPr>
                <w:lang w:val="hy-AM"/>
              </w:rPr>
              <w:t xml:space="preserve">:  </w:t>
            </w:r>
          </w:p>
          <w:p w:rsidR="0068680D" w:rsidRPr="00423B76" w:rsidRDefault="0068680D" w:rsidP="00F47DC4">
            <w:pPr>
              <w:spacing w:line="276" w:lineRule="auto"/>
              <w:jc w:val="both"/>
              <w:rPr>
                <w:color w:val="000000" w:themeColor="text1"/>
                <w:lang w:val="hy-AM"/>
              </w:rPr>
            </w:pPr>
            <w:r w:rsidRPr="00423B76">
              <w:rPr>
                <w:b/>
                <w:lang w:val="hy-AM"/>
              </w:rPr>
              <w:t>2. Միջոցառման իրականացումից ակնկալվող արդյունքը</w:t>
            </w:r>
          </w:p>
          <w:p w:rsidR="0068680D" w:rsidRDefault="0068680D" w:rsidP="00F47DC4">
            <w:pPr>
              <w:spacing w:line="276" w:lineRule="auto"/>
              <w:jc w:val="both"/>
              <w:rPr>
                <w:color w:val="000000" w:themeColor="text1"/>
                <w:lang w:val="hy-AM"/>
              </w:rPr>
            </w:pPr>
            <w:r w:rsidRPr="00423B76">
              <w:rPr>
                <w:color w:val="000000" w:themeColor="text1"/>
                <w:lang w:val="hy-AM"/>
              </w:rPr>
              <w:t>Միջոցառման իրակացման արդյունքն է Հայաստանի Հանրապետությունում  Էլեկտրոնային առևտրի իրականացման մեխանիզմի կատարելագործումը, իրավական կարգավորման ապահովումը:</w:t>
            </w:r>
          </w:p>
          <w:p w:rsidR="0068680D" w:rsidRPr="00423B76" w:rsidRDefault="0068680D" w:rsidP="00F47DC4">
            <w:pPr>
              <w:spacing w:line="276" w:lineRule="auto"/>
              <w:jc w:val="both"/>
              <w:rPr>
                <w:color w:val="000000" w:themeColor="text1"/>
                <w:lang w:val="hy-AM"/>
              </w:rPr>
            </w:pPr>
          </w:p>
          <w:p w:rsidR="0068680D" w:rsidRPr="00423B76"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r>
              <w:rPr>
                <w:rFonts w:ascii="GHEA Grapalat" w:hAnsi="GHEA Grapalat" w:cs="Sylfaen"/>
                <w:sz w:val="20"/>
                <w:szCs w:val="20"/>
                <w:lang w:val="hy-AM"/>
              </w:rPr>
              <w:t xml:space="preserve"> 7.2 </w:t>
            </w:r>
            <w:r w:rsidRPr="00423B76">
              <w:rPr>
                <w:rFonts w:ascii="GHEA Grapalat" w:hAnsi="GHEA Grapalat" w:cs="Sylfaen"/>
                <w:sz w:val="20"/>
                <w:szCs w:val="20"/>
                <w:lang w:val="hy-AM"/>
              </w:rPr>
              <w:t xml:space="preserve">Երրորդ երկրներից ՀՀ ներմուծման և արտահանման քվոտաների համակարգի ընթացակարգերը սահմանող ՀՀ կառավարության որոշումների նախագծերի մշակում և իրականացում </w:t>
            </w:r>
          </w:p>
          <w:p w:rsidR="0068680D" w:rsidRPr="00423B76" w:rsidRDefault="0068680D" w:rsidP="0068680D">
            <w:pPr>
              <w:pStyle w:val="ListParagraph"/>
              <w:numPr>
                <w:ilvl w:val="0"/>
                <w:numId w:val="381"/>
              </w:numPr>
              <w:spacing w:line="276" w:lineRule="auto"/>
              <w:jc w:val="both"/>
              <w:rPr>
                <w:color w:val="000000" w:themeColor="text1"/>
                <w:lang w:val="hy-AM"/>
              </w:rPr>
            </w:pPr>
            <w:r w:rsidRPr="00423B76">
              <w:rPr>
                <w:b/>
                <w:lang w:val="hy-AM"/>
              </w:rPr>
              <w:t>Միջոցառման իրակացման անհրաժեշտությունը և նպատակը</w:t>
            </w:r>
          </w:p>
          <w:p w:rsidR="0068680D" w:rsidRPr="00423B76" w:rsidRDefault="0068680D" w:rsidP="00F47DC4">
            <w:pPr>
              <w:widowControl w:val="0"/>
              <w:spacing w:line="276" w:lineRule="auto"/>
              <w:jc w:val="both"/>
              <w:rPr>
                <w:rFonts w:cs="Sylfaen"/>
                <w:color w:val="000000"/>
                <w:lang w:val="hy-AM"/>
              </w:rPr>
            </w:pPr>
            <w:r w:rsidRPr="00423B76">
              <w:rPr>
                <w:rFonts w:cs="Sylfaen"/>
                <w:color w:val="000000"/>
                <w:lang w:val="hy-AM"/>
              </w:rPr>
              <w:t xml:space="preserve">Միջոցառման իրականացման անհրաժեշտությունը բխում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5.4 բաժնի դրույթներով: </w:t>
            </w:r>
          </w:p>
          <w:p w:rsidR="0068680D" w:rsidRPr="00423B76" w:rsidRDefault="0068680D" w:rsidP="00F47DC4">
            <w:pPr>
              <w:spacing w:line="276" w:lineRule="auto"/>
              <w:jc w:val="both"/>
              <w:rPr>
                <w:color w:val="000000" w:themeColor="text1"/>
                <w:lang w:val="hy-AM"/>
              </w:rPr>
            </w:pPr>
            <w:r w:rsidRPr="00423B76">
              <w:rPr>
                <w:color w:val="000000" w:themeColor="text1"/>
                <w:lang w:val="hy-AM"/>
              </w:rPr>
              <w:t>Միջոցառման իրականացման նպատակը երրորդ երկրներից ՀՀ ներմուծման և ՀՀ-ից արտահանման ժամանակ ՀՀ տնտեսվարող սուբյեկտների համար ազատ առևտրի համաձայնագրերով ամրագրված արտոնություններից օգտվելու հնարավորության ստեղծումն է, ինչպես նաև ներքին շուկայում տնտեսվարող սուբյեկտների շահերի պաշտպանությունը:</w:t>
            </w:r>
          </w:p>
          <w:p w:rsidR="0068680D" w:rsidRPr="00423B76" w:rsidRDefault="0068680D" w:rsidP="0068680D">
            <w:pPr>
              <w:pStyle w:val="ListParagraph"/>
              <w:numPr>
                <w:ilvl w:val="1"/>
                <w:numId w:val="421"/>
              </w:numPr>
              <w:spacing w:line="276" w:lineRule="auto"/>
              <w:ind w:left="810" w:hanging="450"/>
              <w:contextualSpacing w:val="0"/>
              <w:jc w:val="both"/>
              <w:rPr>
                <w:b/>
                <w:lang w:val="hy-AM"/>
              </w:rPr>
            </w:pPr>
            <w:r w:rsidRPr="00423B76">
              <w:rPr>
                <w:b/>
                <w:lang w:val="hy-AM"/>
              </w:rPr>
              <w:t xml:space="preserve">Կարգավորման հարաբերությունների ներկա վիճակը և առկա խնդիրները </w:t>
            </w:r>
          </w:p>
          <w:p w:rsidR="0068680D" w:rsidRPr="00423B76" w:rsidRDefault="0068680D" w:rsidP="00F47DC4">
            <w:pPr>
              <w:spacing w:line="276" w:lineRule="auto"/>
              <w:jc w:val="both"/>
              <w:rPr>
                <w:b/>
                <w:lang w:val="hy-AM"/>
              </w:rPr>
            </w:pPr>
            <w:r w:rsidRPr="00423B76">
              <w:rPr>
                <w:color w:val="000000" w:themeColor="text1"/>
                <w:lang w:val="hy-AM"/>
              </w:rPr>
              <w:t>ՀՀ տնտեսվարող սուբյեկտների համար գործող ազատ առևտրի համաձայնագրերով ամրագրված որոշ ապրանքների մասով արտոնություններից օգտվելու հնարավորության բացակայությունը:</w:t>
            </w:r>
          </w:p>
          <w:p w:rsidR="0068680D" w:rsidRPr="00423B76" w:rsidRDefault="0068680D" w:rsidP="0068680D">
            <w:pPr>
              <w:pStyle w:val="ListParagraph"/>
              <w:numPr>
                <w:ilvl w:val="1"/>
                <w:numId w:val="421"/>
              </w:numPr>
              <w:spacing w:line="276" w:lineRule="auto"/>
              <w:ind w:left="810" w:hanging="450"/>
              <w:contextualSpacing w:val="0"/>
              <w:jc w:val="both"/>
              <w:rPr>
                <w:b/>
              </w:rPr>
            </w:pPr>
            <w:r w:rsidRPr="00423B76">
              <w:rPr>
                <w:b/>
                <w:lang w:val="hy-AM"/>
              </w:rPr>
              <w:t xml:space="preserve">Առկա խնդիրների առաջարկվող լուծումները </w:t>
            </w:r>
          </w:p>
          <w:p w:rsidR="0068680D" w:rsidRPr="00423B76" w:rsidRDefault="0068680D" w:rsidP="00F47DC4">
            <w:pPr>
              <w:spacing w:line="276" w:lineRule="auto"/>
              <w:jc w:val="both"/>
              <w:rPr>
                <w:color w:val="000000" w:themeColor="text1"/>
                <w:lang w:val="hy-AM"/>
              </w:rPr>
            </w:pPr>
            <w:r w:rsidRPr="00423B76">
              <w:rPr>
                <w:color w:val="000000" w:themeColor="text1"/>
                <w:lang w:val="hy-AM"/>
              </w:rPr>
              <w:t>Առկա խնդիրների լուծման նպատակով առաջարկվում է ՀՀ ներմուծման և ՀՀ-ից արտահանման ժամանակ քվոտավորման համակարգի ներդրում:</w:t>
            </w:r>
          </w:p>
          <w:p w:rsidR="0068680D" w:rsidRPr="00423B76" w:rsidRDefault="0068680D" w:rsidP="0068680D">
            <w:pPr>
              <w:pStyle w:val="ListParagraph"/>
              <w:numPr>
                <w:ilvl w:val="0"/>
                <w:numId w:val="421"/>
              </w:numPr>
              <w:spacing w:line="276" w:lineRule="auto"/>
              <w:jc w:val="both"/>
              <w:rPr>
                <w:b/>
                <w:lang w:val="hy-AM"/>
              </w:rPr>
            </w:pPr>
            <w:r w:rsidRPr="00423B76">
              <w:rPr>
                <w:b/>
                <w:lang w:val="hy-AM"/>
              </w:rPr>
              <w:t>Միջոցառման իրականացումից ակնկալվող արդյունքը</w:t>
            </w:r>
          </w:p>
          <w:p w:rsidR="0068680D" w:rsidRPr="00423B76" w:rsidRDefault="0068680D" w:rsidP="00F47DC4">
            <w:pPr>
              <w:spacing w:line="276" w:lineRule="auto"/>
              <w:jc w:val="both"/>
              <w:rPr>
                <w:color w:val="000000" w:themeColor="text1"/>
                <w:lang w:val="hy-AM"/>
              </w:rPr>
            </w:pPr>
            <w:r w:rsidRPr="00423B76">
              <w:rPr>
                <w:color w:val="000000" w:themeColor="text1"/>
                <w:lang w:val="hy-AM"/>
              </w:rPr>
              <w:t>Միջոցառման իրակացման արդյունքն է կնքված ազատ առևտրի մասին համաձայնագրերի, ինչպես նաև ԵԱՏՄ անդամակցության պայմանագրից բխող պարտավորությունների շրջանակներում մի շարք ապրանքատեսակների մասով արտոնյալ դրույքաչափերի կիրառմամբ քվոտավորման մեխանիզմի ներդրումը:</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8.</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60"/>
              <w:outlineLvl w:val="0"/>
              <w:rPr>
                <w:rFonts w:ascii="GHEA Grapalat" w:hAnsi="GHEA Grapalat"/>
                <w:sz w:val="20"/>
                <w:szCs w:val="20"/>
                <w:lang w:val="hy-AM"/>
              </w:rPr>
            </w:pPr>
            <w:r>
              <w:rPr>
                <w:rFonts w:ascii="GHEA Grapalat" w:hAnsi="GHEA Grapalat"/>
                <w:sz w:val="20"/>
                <w:szCs w:val="20"/>
                <w:lang w:val="hy-AM"/>
              </w:rPr>
              <w:t>«Գ</w:t>
            </w:r>
            <w:r w:rsidRPr="00423B76">
              <w:rPr>
                <w:rFonts w:ascii="GHEA Grapalat" w:hAnsi="GHEA Grapalat"/>
                <w:sz w:val="20"/>
                <w:szCs w:val="20"/>
                <w:lang w:val="hy-AM"/>
              </w:rPr>
              <w:t>ործարար միջավայրի վրա պետական քաղա</w:t>
            </w:r>
            <w:r w:rsidRPr="00423B76">
              <w:rPr>
                <w:rFonts w:ascii="GHEA Grapalat" w:hAnsi="GHEA Grapalat"/>
                <w:sz w:val="20"/>
                <w:szCs w:val="20"/>
                <w:lang w:val="hy-AM"/>
              </w:rPr>
              <w:softHyphen/>
              <w:t>քա</w:t>
            </w:r>
            <w:r w:rsidRPr="00423B76">
              <w:rPr>
                <w:rFonts w:ascii="GHEA Grapalat" w:hAnsi="GHEA Grapalat"/>
                <w:sz w:val="20"/>
                <w:szCs w:val="20"/>
                <w:lang w:val="hy-AM"/>
              </w:rPr>
              <w:softHyphen/>
            </w:r>
            <w:r w:rsidRPr="00423B76">
              <w:rPr>
                <w:rFonts w:ascii="GHEA Grapalat" w:hAnsi="GHEA Grapalat"/>
                <w:sz w:val="20"/>
                <w:szCs w:val="20"/>
                <w:lang w:val="hy-AM"/>
              </w:rPr>
              <w:softHyphen/>
              <w:t>կանութ</w:t>
            </w:r>
            <w:r w:rsidRPr="00423B76">
              <w:rPr>
                <w:rFonts w:ascii="GHEA Grapalat" w:hAnsi="GHEA Grapalat"/>
                <w:sz w:val="20"/>
                <w:szCs w:val="20"/>
                <w:lang w:val="hy-AM"/>
              </w:rPr>
              <w:softHyphen/>
              <w:t>յան ազդեցութ</w:t>
            </w:r>
            <w:r w:rsidRPr="00423B76">
              <w:rPr>
                <w:rFonts w:ascii="GHEA Grapalat" w:hAnsi="GHEA Grapalat"/>
                <w:sz w:val="20"/>
                <w:szCs w:val="20"/>
                <w:lang w:val="hy-AM"/>
              </w:rPr>
              <w:softHyphen/>
              <w:t>յան գնահատում համա</w:t>
            </w:r>
            <w:r w:rsidRPr="00423B76">
              <w:rPr>
                <w:rFonts w:ascii="GHEA Grapalat" w:hAnsi="GHEA Grapalat"/>
                <w:sz w:val="20"/>
                <w:szCs w:val="20"/>
                <w:lang w:val="hy-AM"/>
              </w:rPr>
              <w:softHyphen/>
              <w:t>շխարհա</w:t>
            </w:r>
            <w:r w:rsidRPr="00423B76">
              <w:rPr>
                <w:rFonts w:ascii="GHEA Grapalat" w:hAnsi="GHEA Grapalat"/>
                <w:sz w:val="20"/>
                <w:szCs w:val="20"/>
                <w:lang w:val="hy-AM"/>
              </w:rPr>
              <w:softHyphen/>
              <w:t>յին տնտեսա</w:t>
            </w:r>
            <w:r w:rsidRPr="00423B76">
              <w:rPr>
                <w:rFonts w:ascii="GHEA Grapalat" w:hAnsi="GHEA Grapalat"/>
                <w:sz w:val="20"/>
                <w:szCs w:val="20"/>
                <w:lang w:val="hy-AM"/>
              </w:rPr>
              <w:softHyphen/>
              <w:t>կան ֆորումի գլոբալ մրցունա</w:t>
            </w:r>
            <w:r w:rsidRPr="00423B76">
              <w:rPr>
                <w:rFonts w:ascii="GHEA Grapalat" w:hAnsi="GHEA Grapalat"/>
                <w:sz w:val="20"/>
                <w:szCs w:val="20"/>
                <w:lang w:val="hy-AM"/>
              </w:rPr>
              <w:softHyphen/>
              <w:t>կության ինդեք</w:t>
            </w:r>
            <w:r w:rsidRPr="00423B76">
              <w:rPr>
                <w:rFonts w:ascii="GHEA Grapalat" w:hAnsi="GHEA Grapalat"/>
                <w:sz w:val="20"/>
                <w:szCs w:val="20"/>
                <w:lang w:val="hy-AM"/>
              </w:rPr>
              <w:softHyphen/>
              <w:t xml:space="preserve">սի </w:t>
            </w:r>
            <w:r>
              <w:rPr>
                <w:rFonts w:ascii="GHEA Grapalat" w:hAnsi="GHEA Grapalat"/>
                <w:sz w:val="20"/>
                <w:szCs w:val="20"/>
                <w:lang w:val="hy-AM"/>
              </w:rPr>
              <w:t>և</w:t>
            </w:r>
            <w:r w:rsidRPr="00423B76">
              <w:rPr>
                <w:rFonts w:ascii="GHEA Grapalat" w:hAnsi="GHEA Grapalat"/>
                <w:sz w:val="20"/>
                <w:szCs w:val="20"/>
                <w:lang w:val="hy-AM"/>
              </w:rPr>
              <w:t xml:space="preserve"> ներա</w:t>
            </w:r>
            <w:r w:rsidRPr="00423B76">
              <w:rPr>
                <w:rFonts w:ascii="GHEA Grapalat" w:hAnsi="GHEA Grapalat"/>
                <w:sz w:val="20"/>
                <w:szCs w:val="20"/>
                <w:lang w:val="hy-AM"/>
              </w:rPr>
              <w:softHyphen/>
              <w:t>ռական զարգաց</w:t>
            </w:r>
            <w:r w:rsidRPr="00423B76">
              <w:rPr>
                <w:rFonts w:ascii="GHEA Grapalat" w:hAnsi="GHEA Grapalat"/>
                <w:sz w:val="20"/>
                <w:szCs w:val="20"/>
                <w:lang w:val="hy-AM"/>
              </w:rPr>
              <w:softHyphen/>
              <w:t>ման ինդեքսի, համաշ</w:t>
            </w:r>
            <w:r w:rsidRPr="00423B76">
              <w:rPr>
                <w:rFonts w:ascii="GHEA Grapalat" w:hAnsi="GHEA Grapalat"/>
                <w:sz w:val="20"/>
                <w:szCs w:val="20"/>
                <w:lang w:val="hy-AM"/>
              </w:rPr>
              <w:softHyphen/>
              <w:t>խար</w:t>
            </w:r>
            <w:r w:rsidRPr="00423B76">
              <w:rPr>
                <w:rFonts w:ascii="GHEA Grapalat" w:hAnsi="GHEA Grapalat"/>
                <w:sz w:val="20"/>
                <w:szCs w:val="20"/>
                <w:lang w:val="hy-AM"/>
              </w:rPr>
              <w:softHyphen/>
              <w:t>հային բանկի գործա</w:t>
            </w:r>
            <w:r w:rsidRPr="00423B76">
              <w:rPr>
                <w:rFonts w:ascii="GHEA Grapalat" w:hAnsi="GHEA Grapalat"/>
                <w:sz w:val="20"/>
                <w:szCs w:val="20"/>
                <w:lang w:val="hy-AM"/>
              </w:rPr>
              <w:softHyphen/>
              <w:t>րարու</w:t>
            </w:r>
            <w:r w:rsidRPr="00423B76">
              <w:rPr>
                <w:rFonts w:ascii="GHEA Grapalat" w:hAnsi="GHEA Grapalat"/>
                <w:sz w:val="20"/>
                <w:szCs w:val="20"/>
                <w:lang w:val="hy-AM"/>
              </w:rPr>
              <w:softHyphen/>
              <w:t>թյամբ զբաղվելը» զեկույցի միջոցով</w:t>
            </w:r>
          </w:p>
          <w:p w:rsidR="0068680D"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p>
          <w:p w:rsidR="0068680D" w:rsidRPr="00423B76"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r>
              <w:rPr>
                <w:rFonts w:ascii="GHEA Grapalat" w:hAnsi="GHEA Grapalat" w:cs="Sylfaen"/>
                <w:sz w:val="20"/>
                <w:szCs w:val="20"/>
                <w:lang w:val="hy-AM"/>
              </w:rPr>
              <w:t xml:space="preserve">8.1 </w:t>
            </w:r>
            <w:r w:rsidRPr="00423B76">
              <w:rPr>
                <w:rFonts w:ascii="GHEA Grapalat" w:hAnsi="GHEA Grapalat" w:cs="Sylfaen"/>
                <w:sz w:val="20"/>
                <w:szCs w:val="20"/>
                <w:lang w:val="hy-AM"/>
              </w:rPr>
              <w:t>«Հայաստանի գոր</w:t>
            </w:r>
            <w:r w:rsidRPr="00423B76">
              <w:rPr>
                <w:rFonts w:ascii="GHEA Grapalat" w:hAnsi="GHEA Grapalat" w:cs="Sylfaen"/>
                <w:sz w:val="20"/>
                <w:szCs w:val="20"/>
                <w:lang w:val="hy-AM"/>
              </w:rPr>
              <w:softHyphen/>
              <w:t>ծա</w:t>
            </w:r>
            <w:r w:rsidRPr="00423B76">
              <w:rPr>
                <w:rFonts w:ascii="GHEA Grapalat" w:hAnsi="GHEA Grapalat" w:cs="Sylfaen"/>
                <w:sz w:val="20"/>
                <w:szCs w:val="20"/>
                <w:lang w:val="hy-AM"/>
              </w:rPr>
              <w:softHyphen/>
              <w:t>րար միջավայրի բարելավման միջոցա</w:t>
            </w:r>
            <w:r w:rsidRPr="00423B76">
              <w:rPr>
                <w:rFonts w:ascii="GHEA Grapalat" w:hAnsi="GHEA Grapalat" w:cs="Sylfaen"/>
                <w:sz w:val="20"/>
                <w:szCs w:val="20"/>
                <w:lang w:val="hy-AM"/>
              </w:rPr>
              <w:softHyphen/>
            </w:r>
            <w:r w:rsidRPr="00423B76">
              <w:rPr>
                <w:rFonts w:ascii="GHEA Grapalat" w:hAnsi="GHEA Grapalat" w:cs="Sylfaen"/>
                <w:sz w:val="20"/>
                <w:szCs w:val="20"/>
                <w:lang w:val="hy-AM"/>
              </w:rPr>
              <w:softHyphen/>
              <w:t>ռումների ծրագ</w:t>
            </w:r>
            <w:r w:rsidRPr="00423B76">
              <w:rPr>
                <w:rFonts w:ascii="GHEA Grapalat" w:hAnsi="GHEA Grapalat" w:cs="Sylfaen"/>
                <w:sz w:val="20"/>
                <w:szCs w:val="20"/>
                <w:lang w:val="hy-AM"/>
              </w:rPr>
              <w:softHyphen/>
              <w:t>րին հավա</w:t>
            </w:r>
            <w:r w:rsidRPr="00423B76">
              <w:rPr>
                <w:rFonts w:ascii="GHEA Grapalat" w:hAnsi="GHEA Grapalat" w:cs="Sylfaen"/>
                <w:sz w:val="20"/>
                <w:szCs w:val="20"/>
                <w:lang w:val="hy-AM"/>
              </w:rPr>
              <w:softHyphen/>
            </w:r>
            <w:r w:rsidRPr="00423B76">
              <w:rPr>
                <w:rFonts w:ascii="GHEA Grapalat" w:hAnsi="GHEA Grapalat" w:cs="Sylfaen"/>
                <w:sz w:val="20"/>
                <w:szCs w:val="20"/>
                <w:lang w:val="hy-AM"/>
              </w:rPr>
              <w:softHyphen/>
              <w:t>նություն տալու մասին» ՀՀ կառավարու</w:t>
            </w:r>
            <w:r w:rsidRPr="00423B76">
              <w:rPr>
                <w:rFonts w:ascii="GHEA Grapalat" w:hAnsi="GHEA Grapalat" w:cs="Sylfaen"/>
                <w:sz w:val="20"/>
                <w:szCs w:val="20"/>
                <w:lang w:val="hy-AM"/>
              </w:rPr>
              <w:softHyphen/>
              <w:t>թյան որոշման նախագծի մշակում և ներկայացում հհ վարչապետի աշխատակազմ</w:t>
            </w:r>
          </w:p>
          <w:p w:rsidR="0068680D" w:rsidRPr="00423B76" w:rsidRDefault="0068680D" w:rsidP="0068680D">
            <w:pPr>
              <w:pStyle w:val="ListParagraph"/>
              <w:numPr>
                <w:ilvl w:val="0"/>
                <w:numId w:val="382"/>
              </w:numPr>
              <w:spacing w:line="276" w:lineRule="auto"/>
              <w:ind w:left="360"/>
              <w:jc w:val="both"/>
              <w:rPr>
                <w:b/>
                <w:lang w:val="hy-AM"/>
              </w:rPr>
            </w:pPr>
            <w:r w:rsidRPr="00423B76">
              <w:rPr>
                <w:b/>
                <w:lang w:val="hy-AM"/>
              </w:rPr>
              <w:t xml:space="preserve">Միջոցառման իրակացման անհրաժեշտությունը և նպատակը </w:t>
            </w:r>
          </w:p>
          <w:p w:rsidR="0068680D" w:rsidRPr="00423B76" w:rsidRDefault="0068680D" w:rsidP="00F47DC4">
            <w:pPr>
              <w:widowControl w:val="0"/>
              <w:spacing w:line="276" w:lineRule="auto"/>
              <w:jc w:val="both"/>
              <w:rPr>
                <w:rFonts w:cs="Sylfaen"/>
                <w:color w:val="000000"/>
                <w:lang w:val="hy-AM"/>
              </w:rPr>
            </w:pPr>
            <w:r w:rsidRPr="00423B76">
              <w:rPr>
                <w:rFonts w:cs="Sylfaen"/>
                <w:color w:val="000000"/>
                <w:lang w:val="hy-AM"/>
              </w:rPr>
              <w:t xml:space="preserve">Միջոցառման իրականացման անհրաժեշտությունը բխում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5.4 բաժնի դրույթներով: </w:t>
            </w:r>
          </w:p>
          <w:p w:rsidR="0068680D" w:rsidRPr="00423B76" w:rsidRDefault="0068680D" w:rsidP="00F47DC4">
            <w:pPr>
              <w:spacing w:line="276" w:lineRule="auto"/>
              <w:jc w:val="both"/>
              <w:rPr>
                <w:lang w:val="hy-AM"/>
              </w:rPr>
            </w:pPr>
            <w:r w:rsidRPr="00423B76">
              <w:rPr>
                <w:lang w:val="hy-AM"/>
              </w:rPr>
              <w:t xml:space="preserve">Հայաստանի Հանրապետության Կառավարությունը նպատակ է հետապնդում Հայաստանում ստեղծել բարենպաստ գործարար միջավայր, ինչպես նաև Հայաստանը` որպես ներդրումների ներգրավման առումով գրավիչ երկիր ապահովելու տեսանկյունից բարելավել վերջինիս դիրքը միջազգային հեղինակություն վայելող զեկույցներում: </w:t>
            </w:r>
            <w:r w:rsidRPr="00423B76">
              <w:rPr>
                <w:lang w:val="hy-AM"/>
              </w:rPr>
              <w:tab/>
            </w:r>
          </w:p>
          <w:p w:rsidR="0068680D" w:rsidRPr="00423B76" w:rsidRDefault="0068680D" w:rsidP="0068680D">
            <w:pPr>
              <w:pStyle w:val="ListParagraph"/>
              <w:numPr>
                <w:ilvl w:val="1"/>
                <w:numId w:val="382"/>
              </w:numPr>
              <w:spacing w:line="276" w:lineRule="auto"/>
              <w:ind w:left="990" w:hanging="450"/>
              <w:jc w:val="both"/>
              <w:rPr>
                <w:b/>
                <w:lang w:val="hy-AM"/>
              </w:rPr>
            </w:pPr>
            <w:r w:rsidRPr="00423B76">
              <w:rPr>
                <w:b/>
                <w:lang w:val="hy-AM"/>
              </w:rPr>
              <w:t xml:space="preserve">Կարգավորման հարաբերությունների ներկա վիճակը և առկա խնդիրները </w:t>
            </w:r>
          </w:p>
          <w:p w:rsidR="0068680D" w:rsidRDefault="0068680D" w:rsidP="00F47DC4">
            <w:pPr>
              <w:spacing w:line="276" w:lineRule="auto"/>
              <w:jc w:val="both"/>
              <w:rPr>
                <w:lang w:val="hy-AM"/>
              </w:rPr>
            </w:pPr>
            <w:r w:rsidRPr="00423B76">
              <w:rPr>
                <w:lang w:val="hy-AM"/>
              </w:rPr>
              <w:t xml:space="preserve">Իրականացված միջոցառումների արդյունքում վերջին տարիներին էական առաջընթաց է գրանցվել մի շարք ուղղություններով, որոնք իրենց արտացոլումն են գտել նաև Համաշխարհային բանկի և Միջազգային ֆինանսական կորպորացիայի գնահատումներում: Մասնավորապես, «Գործարարությամբ զբաղվելը 2019. Վերապատրաստում և բարեփոխումներ» վարկանիշային զեկույցի տվյալներով Հայաստանը 190 երկրների շարքում արձանագրել է դիրքի առաջընթաց 6 կետով՝ 47-րդ տեղից բարձրանալով 41-րդ տեղը: «Գործարարությամբ զբաղվելու դյուրինության» ցուցանիշով գրանցվել է 75.37 միավոր` 73.31 միավորի փոխարեն: Չնայած մի շարք ոլորտներում Հայաստանի արձանագրած լուրջ հաջողությունների` գործարարությամբ զբաղվելու համար անհրաժեշտ պայմանների բարելավումն իրականացվում է ոչ համաչափ և որոշ ոլորտներում առկա են խնդիրներ` առավելապես վարչարարական բնույթի: </w:t>
            </w:r>
          </w:p>
          <w:p w:rsidR="0068680D" w:rsidRPr="00423B76" w:rsidRDefault="0068680D" w:rsidP="00F47DC4">
            <w:pPr>
              <w:spacing w:line="276" w:lineRule="auto"/>
              <w:jc w:val="both"/>
              <w:rPr>
                <w:rFonts w:eastAsia="Calibri"/>
                <w:b/>
                <w:bCs/>
                <w:lang w:val="hy-AM"/>
              </w:rPr>
            </w:pPr>
            <w:r>
              <w:rPr>
                <w:lang w:val="hy-AM"/>
              </w:rPr>
              <w:t xml:space="preserve">            </w:t>
            </w:r>
            <w:r w:rsidRPr="00423B76">
              <w:rPr>
                <w:b/>
                <w:lang w:val="hy-AM"/>
              </w:rPr>
              <w:t xml:space="preserve">1.2. Առկա խնդիրների առաջարկվող լուծումները </w:t>
            </w:r>
          </w:p>
          <w:p w:rsidR="0068680D" w:rsidRPr="00423B76" w:rsidRDefault="0068680D" w:rsidP="00F47DC4">
            <w:pPr>
              <w:spacing w:line="276" w:lineRule="auto"/>
              <w:jc w:val="both"/>
              <w:rPr>
                <w:lang w:val="hy-AM"/>
              </w:rPr>
            </w:pPr>
            <w:r w:rsidRPr="00423B76">
              <w:rPr>
                <w:lang w:val="hy-AM"/>
              </w:rPr>
              <w:t>Նշված խնդիրների լուծման և գործարար միջավայրի զարգացման համաչափությունն ապահովելու նպատակով ՀՀ կառավարության կողմից կատարվելու են գործարար միջավայրի բարելավման միջոցառումների տարեկան ծրագրերի մշակման և իրականացման աշխատանքներ։ Միջոցառումների իրականացման արդյունքում կապահովվի ՀՀ գործարար և ներդրումային միջավայրի բարելավմանն ուղղված ՀՀ կառավարության կողմից իրականացվող բարեփոխումների շարունակականությունը,  առաջին հերթին կթեթևացվի կատարելագործման մեծ պոտենցիալ ունեցող ոլորտներում առկա վարչարարական և ֆինանսական բեռը` միաժամանակ ապահովելով վերջին տարիներին հաջողություններ գրանցած ոլորտների զարգացումը, իսկ դրա արդյունքում նաև՝ ՀՀ դիրքի բարելավումը՝ ՀԲ-ի «Գործարարությամբ զբաղվելը» զեկույցում։</w:t>
            </w:r>
            <w:r w:rsidRPr="00423B76">
              <w:rPr>
                <w:lang w:val="hy-AM"/>
              </w:rPr>
              <w:tab/>
            </w:r>
          </w:p>
          <w:p w:rsidR="0068680D" w:rsidRPr="00423B76" w:rsidRDefault="0068680D" w:rsidP="00F47DC4">
            <w:pPr>
              <w:spacing w:line="276" w:lineRule="auto"/>
              <w:ind w:firstLine="375"/>
              <w:jc w:val="both"/>
              <w:rPr>
                <w:b/>
                <w:lang w:val="hy-AM"/>
              </w:rPr>
            </w:pPr>
            <w:r w:rsidRPr="00423B76">
              <w:rPr>
                <w:b/>
                <w:lang w:val="hy-AM"/>
              </w:rPr>
              <w:t>2. Միջոցառման իրականացումից ակնկալվող արդյունքը</w:t>
            </w:r>
          </w:p>
          <w:p w:rsidR="0068680D" w:rsidRPr="00423B76" w:rsidRDefault="0068680D" w:rsidP="00F47DC4">
            <w:pPr>
              <w:pStyle w:val="NormalWeb"/>
              <w:widowControl w:val="0"/>
              <w:spacing w:before="0" w:beforeAutospacing="0" w:after="0" w:afterAutospacing="0" w:line="276" w:lineRule="auto"/>
              <w:ind w:right="28"/>
              <w:jc w:val="both"/>
              <w:rPr>
                <w:rFonts w:ascii="GHEA Grapalat" w:eastAsia="Calibri" w:hAnsi="GHEA Grapalat" w:cs="Sylfaen"/>
                <w:b/>
                <w:sz w:val="20"/>
                <w:szCs w:val="20"/>
                <w:lang w:val="hy-AM"/>
              </w:rPr>
            </w:pPr>
            <w:r w:rsidRPr="00423B76">
              <w:rPr>
                <w:rFonts w:ascii="GHEA Grapalat" w:hAnsi="GHEA Grapalat"/>
                <w:sz w:val="20"/>
                <w:szCs w:val="20"/>
                <w:lang w:val="hy-AM"/>
              </w:rPr>
              <w:t>Միջոցառումների իրականացման արդյունքում ակնկալվում է պարբերաբար նվազեզնել պետական և համայնքային մարմինների հետ շփման վարչարարական բեռը, կրճատել կոռուպցիոն ռիսկերը, բարձրացնել գործարարներին ծառայություններ մատուցող մարմինների գործունեության թափանցիկությունը, իսկ դրա արդյունքում նաև բարելավել Հայաստանի դիրքը Համաշխարհային բանկի «Գործարարությամբ զբաղվելը» զեկույցում, մասնավորապես՝ ակնկալվում է</w:t>
            </w:r>
            <w:r w:rsidRPr="00423B76">
              <w:rPr>
                <w:rFonts w:ascii="GHEA Grapalat" w:hAnsi="GHEA Grapalat"/>
                <w:bCs/>
                <w:sz w:val="20"/>
                <w:szCs w:val="20"/>
                <w:lang w:val="hy-AM"/>
              </w:rPr>
              <w:t>, որ Հայաստանն առաջիկա 2-3 տարիների բարեփոխումների արդյունքում այլ հավասար պայմաններում կդիրքավորվի Համաշխարհային բանկի «Գործարարությամբ զբաղվելը» զեկույցի լավագույն 10 երկրների շարքում:</w:t>
            </w:r>
            <w:r w:rsidRPr="00423B76">
              <w:rPr>
                <w:rFonts w:ascii="GHEA Grapalat" w:hAnsi="GHEA Grapalat"/>
                <w:bCs/>
                <w:sz w:val="20"/>
                <w:szCs w:val="20"/>
                <w:lang w:val="hy-AM"/>
              </w:rPr>
              <w:tab/>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9.</w:t>
            </w:r>
          </w:p>
        </w:tc>
        <w:tc>
          <w:tcPr>
            <w:tcW w:w="10885" w:type="dxa"/>
          </w:tcPr>
          <w:p w:rsidR="0068680D" w:rsidRDefault="0068680D" w:rsidP="00F47DC4">
            <w:pPr>
              <w:pStyle w:val="Heading1"/>
              <w:pBdr>
                <w:bottom w:val="single" w:sz="4" w:space="1" w:color="auto"/>
              </w:pBdr>
              <w:spacing w:before="0" w:beforeAutospacing="0" w:after="0" w:afterAutospacing="0" w:line="276" w:lineRule="auto"/>
              <w:ind w:left="360"/>
              <w:outlineLvl w:val="0"/>
              <w:rPr>
                <w:rFonts w:ascii="GHEA Grapalat" w:hAnsi="GHEA Grapalat"/>
                <w:sz w:val="20"/>
                <w:szCs w:val="20"/>
                <w:lang w:val="hy-AM"/>
              </w:rPr>
            </w:pPr>
            <w:r w:rsidRPr="00D1769E">
              <w:rPr>
                <w:rFonts w:ascii="GHEA Grapalat" w:hAnsi="GHEA Grapalat"/>
                <w:sz w:val="20"/>
                <w:szCs w:val="20"/>
                <w:highlight w:val="yellow"/>
                <w:lang w:val="hy-AM"/>
              </w:rPr>
              <w:t>Գործարար միջավայրի բարելավում</w:t>
            </w:r>
          </w:p>
          <w:p w:rsidR="0068680D" w:rsidRDefault="0068680D" w:rsidP="00F47DC4">
            <w:pPr>
              <w:pStyle w:val="Heading1"/>
              <w:pBdr>
                <w:bottom w:val="single" w:sz="4" w:space="1" w:color="auto"/>
              </w:pBdr>
              <w:spacing w:before="0" w:beforeAutospacing="0" w:after="0" w:afterAutospacing="0" w:line="276" w:lineRule="auto"/>
              <w:ind w:left="360"/>
              <w:outlineLvl w:val="0"/>
              <w:rPr>
                <w:rFonts w:ascii="GHEA Grapalat" w:hAnsi="GHEA Grapalat"/>
                <w:sz w:val="20"/>
                <w:szCs w:val="20"/>
                <w:lang w:val="hy-AM"/>
              </w:rPr>
            </w:pPr>
          </w:p>
          <w:p w:rsidR="0068680D" w:rsidRDefault="0068680D" w:rsidP="00F47DC4">
            <w:pPr>
              <w:pStyle w:val="Heading1"/>
              <w:pBdr>
                <w:bottom w:val="single" w:sz="4" w:space="1" w:color="auto"/>
              </w:pBdr>
              <w:spacing w:before="0" w:beforeAutospacing="0" w:after="0" w:afterAutospacing="0" w:line="276" w:lineRule="auto"/>
              <w:ind w:left="360"/>
              <w:outlineLvl w:val="0"/>
              <w:rPr>
                <w:rFonts w:ascii="GHEA Grapalat" w:hAnsi="GHEA Grapalat"/>
                <w:sz w:val="20"/>
                <w:szCs w:val="20"/>
                <w:lang w:val="hy-AM"/>
              </w:rPr>
            </w:pPr>
            <w:r>
              <w:rPr>
                <w:rFonts w:ascii="GHEA Grapalat" w:hAnsi="GHEA Grapalat"/>
                <w:sz w:val="20"/>
                <w:szCs w:val="20"/>
                <w:highlight w:val="yellow"/>
                <w:lang w:val="hy-AM"/>
              </w:rPr>
              <w:t>9</w:t>
            </w:r>
            <w:r w:rsidRPr="00D1769E">
              <w:rPr>
                <w:rFonts w:ascii="GHEA Grapalat" w:hAnsi="GHEA Grapalat"/>
                <w:sz w:val="20"/>
                <w:szCs w:val="20"/>
                <w:highlight w:val="yellow"/>
                <w:lang w:val="hy-AM"/>
              </w:rPr>
              <w:t>.1 Գործարար միջավայրի բարելավման ռազմավարական փաստաթուղթը ՀՀ վարչապետի աշխատակազմ ներկայացնելը</w:t>
            </w:r>
          </w:p>
          <w:p w:rsidR="0068680D" w:rsidRDefault="0068680D" w:rsidP="00F47DC4">
            <w:pPr>
              <w:pStyle w:val="Heading1"/>
              <w:pBdr>
                <w:bottom w:val="single" w:sz="4" w:space="1" w:color="auto"/>
              </w:pBdr>
              <w:spacing w:before="0" w:beforeAutospacing="0" w:after="0" w:afterAutospacing="0" w:line="276" w:lineRule="auto"/>
              <w:ind w:left="360"/>
              <w:outlineLvl w:val="0"/>
              <w:rPr>
                <w:rFonts w:ascii="GHEA Grapalat" w:hAnsi="GHEA Grapalat"/>
                <w:sz w:val="20"/>
                <w:szCs w:val="20"/>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10.</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60"/>
              <w:outlineLvl w:val="0"/>
              <w:rPr>
                <w:rFonts w:ascii="GHEA Grapalat" w:hAnsi="GHEA Grapalat"/>
                <w:sz w:val="20"/>
                <w:szCs w:val="20"/>
                <w:lang w:val="hy-AM"/>
              </w:rPr>
            </w:pPr>
            <w:r>
              <w:rPr>
                <w:rFonts w:ascii="GHEA Grapalat" w:hAnsi="GHEA Grapalat"/>
                <w:sz w:val="20"/>
                <w:szCs w:val="20"/>
                <w:lang w:val="hy-AM"/>
              </w:rPr>
              <w:t>Թ</w:t>
            </w:r>
            <w:r w:rsidRPr="00423B76">
              <w:rPr>
                <w:rFonts w:ascii="GHEA Grapalat" w:hAnsi="GHEA Grapalat"/>
                <w:sz w:val="20"/>
                <w:szCs w:val="20"/>
                <w:lang w:val="hy-AM"/>
              </w:rPr>
              <w:t>իրախային շուկանե</w:t>
            </w:r>
            <w:r w:rsidRPr="00423B76">
              <w:rPr>
                <w:rFonts w:ascii="GHEA Grapalat" w:hAnsi="GHEA Grapalat"/>
                <w:sz w:val="20"/>
                <w:szCs w:val="20"/>
                <w:lang w:val="hy-AM"/>
              </w:rPr>
              <w:softHyphen/>
              <w:t>րում հայաստանյան արտադ</w:t>
            </w:r>
            <w:r w:rsidRPr="00423B76">
              <w:rPr>
                <w:rFonts w:ascii="GHEA Grapalat" w:hAnsi="GHEA Grapalat"/>
                <w:sz w:val="20"/>
                <w:szCs w:val="20"/>
                <w:lang w:val="hy-AM"/>
              </w:rPr>
              <w:softHyphen/>
              <w:t>րողների համար բարենպաստ առեվտրային պայմանների պահպա</w:t>
            </w:r>
            <w:r w:rsidRPr="00423B76">
              <w:rPr>
                <w:rFonts w:ascii="GHEA Grapalat" w:hAnsi="GHEA Grapalat"/>
                <w:sz w:val="20"/>
                <w:szCs w:val="20"/>
                <w:lang w:val="hy-AM"/>
              </w:rPr>
              <w:softHyphen/>
              <w:t>նում, նորերի հաստա</w:t>
            </w:r>
            <w:r w:rsidRPr="00423B76">
              <w:rPr>
                <w:rFonts w:ascii="GHEA Grapalat" w:hAnsi="GHEA Grapalat"/>
                <w:sz w:val="20"/>
                <w:szCs w:val="20"/>
                <w:lang w:val="hy-AM"/>
              </w:rPr>
              <w:softHyphen/>
              <w:t xml:space="preserve">տում </w:t>
            </w:r>
            <w:r>
              <w:rPr>
                <w:rFonts w:ascii="GHEA Grapalat" w:hAnsi="GHEA Grapalat"/>
                <w:sz w:val="20"/>
                <w:szCs w:val="20"/>
                <w:lang w:val="hy-AM"/>
              </w:rPr>
              <w:t>և</w:t>
            </w:r>
            <w:r w:rsidRPr="00423B76">
              <w:rPr>
                <w:rFonts w:ascii="GHEA Grapalat" w:hAnsi="GHEA Grapalat"/>
                <w:sz w:val="20"/>
                <w:szCs w:val="20"/>
                <w:lang w:val="hy-AM"/>
              </w:rPr>
              <w:t xml:space="preserve"> դրանց կիրառության խորացում, մասնավորապես՝ եմ, ահկ, եատմ, ինչպես նաեվ եատմ համագործակցության շրջանակում երրորդ երկրների հետ հարաբերություններում արտոնյալ պայմանների ստացում</w:t>
            </w:r>
          </w:p>
          <w:p w:rsidR="0068680D"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p>
          <w:p w:rsidR="0068680D" w:rsidRPr="00423B76"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r>
              <w:rPr>
                <w:rFonts w:ascii="GHEA Grapalat" w:hAnsi="GHEA Grapalat" w:cs="Sylfaen"/>
                <w:sz w:val="20"/>
                <w:szCs w:val="20"/>
                <w:lang w:val="hy-AM"/>
              </w:rPr>
              <w:t xml:space="preserve"> 10.1 </w:t>
            </w:r>
            <w:r w:rsidRPr="00423B76">
              <w:rPr>
                <w:rFonts w:ascii="GHEA Grapalat" w:hAnsi="GHEA Grapalat" w:cs="Sylfaen"/>
                <w:sz w:val="20"/>
                <w:szCs w:val="20"/>
                <w:lang w:val="hy-AM"/>
              </w:rPr>
              <w:t>ԵԱՏՄ շրջա</w:t>
            </w:r>
            <w:r w:rsidRPr="00423B76">
              <w:rPr>
                <w:rFonts w:ascii="GHEA Grapalat" w:hAnsi="GHEA Grapalat" w:cs="Sylfaen"/>
                <w:sz w:val="20"/>
                <w:szCs w:val="20"/>
                <w:lang w:val="hy-AM"/>
              </w:rPr>
              <w:softHyphen/>
              <w:t>նակ</w:t>
            </w:r>
            <w:r w:rsidRPr="00423B76">
              <w:rPr>
                <w:rFonts w:ascii="GHEA Grapalat" w:hAnsi="GHEA Grapalat" w:cs="Sylfaen"/>
                <w:sz w:val="20"/>
                <w:szCs w:val="20"/>
                <w:lang w:val="hy-AM"/>
              </w:rPr>
              <w:softHyphen/>
            </w:r>
            <w:r w:rsidRPr="00423B76">
              <w:rPr>
                <w:rFonts w:ascii="GHEA Grapalat" w:hAnsi="GHEA Grapalat" w:cs="Sylfaen"/>
                <w:sz w:val="20"/>
                <w:szCs w:val="20"/>
                <w:lang w:val="hy-AM"/>
              </w:rPr>
              <w:softHyphen/>
              <w:t>նե</w:t>
            </w:r>
            <w:r w:rsidRPr="00423B76">
              <w:rPr>
                <w:rFonts w:ascii="GHEA Grapalat" w:hAnsi="GHEA Grapalat" w:cs="Sylfaen"/>
                <w:sz w:val="20"/>
                <w:szCs w:val="20"/>
                <w:lang w:val="hy-AM"/>
              </w:rPr>
              <w:softHyphen/>
              <w:t>րում  Սինգա</w:t>
            </w:r>
            <w:r w:rsidRPr="00423B76">
              <w:rPr>
                <w:rFonts w:ascii="GHEA Grapalat" w:hAnsi="GHEA Grapalat" w:cs="Sylfaen"/>
                <w:sz w:val="20"/>
                <w:szCs w:val="20"/>
                <w:lang w:val="hy-AM"/>
              </w:rPr>
              <w:softHyphen/>
              <w:t>պուրի և Սերբիայի հետ ազատ առևտրի համաձայ</w:t>
            </w:r>
            <w:r w:rsidRPr="00423B76">
              <w:rPr>
                <w:rFonts w:ascii="GHEA Grapalat" w:hAnsi="GHEA Grapalat" w:cs="Sylfaen"/>
                <w:sz w:val="20"/>
                <w:szCs w:val="20"/>
                <w:lang w:val="hy-AM"/>
              </w:rPr>
              <w:softHyphen/>
              <w:t>նա</w:t>
            </w:r>
            <w:r w:rsidRPr="00423B76">
              <w:rPr>
                <w:rFonts w:ascii="GHEA Grapalat" w:hAnsi="GHEA Grapalat" w:cs="Sylfaen"/>
                <w:sz w:val="20"/>
                <w:szCs w:val="20"/>
                <w:lang w:val="hy-AM"/>
              </w:rPr>
              <w:softHyphen/>
            </w:r>
            <w:r w:rsidRPr="00423B76">
              <w:rPr>
                <w:rFonts w:ascii="GHEA Grapalat" w:hAnsi="GHEA Grapalat" w:cs="Sylfaen"/>
                <w:sz w:val="20"/>
                <w:szCs w:val="20"/>
                <w:lang w:val="hy-AM"/>
              </w:rPr>
              <w:softHyphen/>
              <w:t>գրերի կնքման գործընթացի՝ հայաստանի անունից համակարգում</w:t>
            </w:r>
          </w:p>
          <w:p w:rsidR="0068680D" w:rsidRPr="00423B76" w:rsidRDefault="0068680D" w:rsidP="0068680D">
            <w:pPr>
              <w:pStyle w:val="ListParagraph"/>
              <w:numPr>
                <w:ilvl w:val="0"/>
                <w:numId w:val="383"/>
              </w:numPr>
              <w:spacing w:line="276" w:lineRule="auto"/>
              <w:ind w:left="360" w:hanging="270"/>
              <w:jc w:val="both"/>
              <w:rPr>
                <w:b/>
                <w:lang w:val="hy-AM"/>
              </w:rPr>
            </w:pPr>
            <w:r w:rsidRPr="00423B76">
              <w:rPr>
                <w:b/>
                <w:lang w:val="hy-AM"/>
              </w:rPr>
              <w:t xml:space="preserve">Միջոցառման իրակացման անհրաժեշտությունը և նպատակը </w:t>
            </w:r>
          </w:p>
          <w:p w:rsidR="0068680D" w:rsidRPr="00423B76" w:rsidRDefault="0068680D" w:rsidP="00F47DC4">
            <w:pPr>
              <w:widowControl w:val="0"/>
              <w:spacing w:line="276" w:lineRule="auto"/>
              <w:jc w:val="both"/>
              <w:rPr>
                <w:color w:val="000000" w:themeColor="text1"/>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5.5 բաժնի դրույթներով, ինչպես նաև </w:t>
            </w:r>
            <w:r w:rsidRPr="00423B76">
              <w:rPr>
                <w:color w:val="000000" w:themeColor="text1"/>
                <w:lang w:val="hy-AM"/>
              </w:rPr>
              <w:t>Հայաստանի Հանրապետության մասնակցությամբ արտոնյալ առևտրային ռեժիմների առևտրատնտեսական համագործակցության շրջանակի, դրանց կիրառության գործիքակազմի ընդլայնմամբ, ԵԱՏՄ անդամ պետությունների և երրորդ երկրների հետ համագործակցությամբ: Միջոցառման իրակացման նպատակն է կնքվող ազատ առևտրի համաձայնագրերի շրջանակներում հայրենական արտադրանքի մրցունակության ապահովումը, ինչպես նաև նոր շուկաներ մուտք գործելու ընթացակարգերի դյուրացումը:</w:t>
            </w:r>
          </w:p>
          <w:p w:rsidR="0068680D" w:rsidRPr="00423B76" w:rsidRDefault="0068680D" w:rsidP="00F47DC4">
            <w:pPr>
              <w:spacing w:line="276" w:lineRule="auto"/>
              <w:ind w:left="360"/>
              <w:jc w:val="both"/>
              <w:rPr>
                <w:b/>
                <w:lang w:val="hy-AM"/>
              </w:rPr>
            </w:pPr>
            <w:r w:rsidRPr="00423B76">
              <w:rPr>
                <w:b/>
                <w:lang w:val="hy-AM"/>
              </w:rPr>
              <w:t xml:space="preserve">1.1. Կարգավորման հարաբերությունների ներկա վիճակը և առկա խնդիրները </w:t>
            </w:r>
          </w:p>
          <w:p w:rsidR="0068680D" w:rsidRPr="00423B76" w:rsidRDefault="0068680D" w:rsidP="00F47DC4">
            <w:pPr>
              <w:spacing w:line="276" w:lineRule="auto"/>
              <w:jc w:val="both"/>
              <w:rPr>
                <w:color w:val="000000" w:themeColor="text1"/>
                <w:lang w:val="hy-AM"/>
              </w:rPr>
            </w:pPr>
            <w:r w:rsidRPr="00423B76">
              <w:rPr>
                <w:color w:val="000000" w:themeColor="text1"/>
                <w:lang w:val="hy-AM"/>
              </w:rPr>
              <w:t xml:space="preserve">Մինչ  այժմ Սինգապուրի և Սերբիայի հետ փոխադարձ առևտրում չի կիրառվում արտոնյալ առևտրային ռեժիմ: Սերբիայի հետ երկկողմ ձևաչափով Ռուսաստանի Դաշնությունը, Ղազախստանը և Բելառուսը արդեն իսկ ունեին գործող ազատ առևտրի համաձայնագրեր:  </w:t>
            </w:r>
          </w:p>
          <w:p w:rsidR="0068680D" w:rsidRPr="00423B76" w:rsidRDefault="0068680D" w:rsidP="0068680D">
            <w:pPr>
              <w:pStyle w:val="ListParagraph"/>
              <w:numPr>
                <w:ilvl w:val="1"/>
                <w:numId w:val="422"/>
              </w:numPr>
              <w:spacing w:line="276" w:lineRule="auto"/>
              <w:jc w:val="both"/>
              <w:rPr>
                <w:b/>
              </w:rPr>
            </w:pPr>
            <w:r w:rsidRPr="00423B76">
              <w:rPr>
                <w:b/>
                <w:lang w:val="hy-AM"/>
              </w:rPr>
              <w:t xml:space="preserve">Առկա խնդիրների առաջարկվող լուծումները </w:t>
            </w:r>
          </w:p>
          <w:p w:rsidR="0068680D" w:rsidRPr="00423B76" w:rsidRDefault="0068680D" w:rsidP="00F47DC4">
            <w:pPr>
              <w:spacing w:line="276" w:lineRule="auto"/>
              <w:jc w:val="both"/>
              <w:rPr>
                <w:color w:val="000000" w:themeColor="text1"/>
                <w:lang w:val="hy-AM"/>
              </w:rPr>
            </w:pPr>
            <w:r w:rsidRPr="00423B76">
              <w:rPr>
                <w:color w:val="000000" w:themeColor="text1"/>
                <w:lang w:val="hy-AM"/>
              </w:rPr>
              <w:t>Առաջարկվում է ԵԱՏՄ համագործակցության շրջանակներում Սինգապուրի և Սերբիայի հետ ազատ առևտրի համաձայնագրերի կնքում:</w:t>
            </w:r>
          </w:p>
          <w:p w:rsidR="0068680D" w:rsidRPr="00423B76" w:rsidRDefault="0068680D" w:rsidP="0068680D">
            <w:pPr>
              <w:pStyle w:val="ListParagraph"/>
              <w:numPr>
                <w:ilvl w:val="0"/>
                <w:numId w:val="384"/>
              </w:numPr>
              <w:spacing w:line="276" w:lineRule="auto"/>
              <w:ind w:left="360" w:hanging="270"/>
              <w:jc w:val="both"/>
              <w:rPr>
                <w:b/>
                <w:lang w:val="hy-AM"/>
              </w:rPr>
            </w:pPr>
            <w:r w:rsidRPr="00423B76">
              <w:rPr>
                <w:b/>
                <w:lang w:val="hy-AM"/>
              </w:rPr>
              <w:t>Միջոցառման իրականացումից ակնկալվող արդյունքը</w:t>
            </w:r>
          </w:p>
          <w:p w:rsidR="0068680D" w:rsidRPr="00423B76" w:rsidRDefault="0068680D" w:rsidP="00F47DC4">
            <w:pPr>
              <w:spacing w:line="276" w:lineRule="auto"/>
              <w:jc w:val="both"/>
              <w:rPr>
                <w:rFonts w:cs="Sylfaen"/>
                <w:color w:val="000000" w:themeColor="text1"/>
                <w:lang w:val="hy-AM"/>
              </w:rPr>
            </w:pPr>
            <w:r w:rsidRPr="00423B76">
              <w:rPr>
                <w:color w:val="000000" w:themeColor="text1"/>
                <w:lang w:val="hy-AM"/>
              </w:rPr>
              <w:t xml:space="preserve">Միջոցառման իրակացման արդյունքն է ազատ առևտրի համաձայնագրերի կողմ հանդիսացող երկրների շուկաներ </w:t>
            </w:r>
            <w:r w:rsidRPr="00423B76">
              <w:rPr>
                <w:rFonts w:cs="Sylfaen"/>
                <w:color w:val="000000" w:themeColor="text1"/>
                <w:lang w:val="hy-AM"/>
              </w:rPr>
              <w:t>արտոնյալ պայմաններով հասանելիության ընդլայնումը:</w:t>
            </w:r>
          </w:p>
          <w:p w:rsidR="0068680D"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p>
          <w:p w:rsidR="0068680D" w:rsidRPr="00423B76"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r>
              <w:rPr>
                <w:rFonts w:ascii="GHEA Grapalat" w:hAnsi="GHEA Grapalat" w:cs="Sylfaen"/>
                <w:sz w:val="20"/>
                <w:szCs w:val="20"/>
                <w:lang w:val="hy-AM"/>
              </w:rPr>
              <w:t xml:space="preserve"> 10.2 </w:t>
            </w:r>
            <w:r w:rsidRPr="00423B76">
              <w:rPr>
                <w:rFonts w:ascii="GHEA Grapalat" w:hAnsi="GHEA Grapalat" w:cs="Sylfaen"/>
                <w:sz w:val="20"/>
                <w:szCs w:val="20"/>
                <w:lang w:val="hy-AM"/>
              </w:rPr>
              <w:t>ԵԱՏՄ շրջա</w:t>
            </w:r>
            <w:r w:rsidRPr="00423B76">
              <w:rPr>
                <w:rFonts w:ascii="GHEA Grapalat" w:hAnsi="GHEA Grapalat" w:cs="Sylfaen"/>
                <w:sz w:val="20"/>
                <w:szCs w:val="20"/>
                <w:lang w:val="hy-AM"/>
              </w:rPr>
              <w:softHyphen/>
              <w:t>նակ</w:t>
            </w:r>
            <w:r w:rsidRPr="00423B76">
              <w:rPr>
                <w:rFonts w:ascii="GHEA Grapalat" w:hAnsi="GHEA Grapalat" w:cs="Sylfaen"/>
                <w:sz w:val="20"/>
                <w:szCs w:val="20"/>
                <w:lang w:val="hy-AM"/>
              </w:rPr>
              <w:softHyphen/>
            </w:r>
            <w:r w:rsidRPr="00423B76">
              <w:rPr>
                <w:rFonts w:ascii="GHEA Grapalat" w:hAnsi="GHEA Grapalat" w:cs="Sylfaen"/>
                <w:sz w:val="20"/>
                <w:szCs w:val="20"/>
                <w:lang w:val="hy-AM"/>
              </w:rPr>
              <w:softHyphen/>
              <w:t>նե</w:t>
            </w:r>
            <w:r w:rsidRPr="00423B76">
              <w:rPr>
                <w:rFonts w:ascii="GHEA Grapalat" w:hAnsi="GHEA Grapalat" w:cs="Sylfaen"/>
                <w:sz w:val="20"/>
                <w:szCs w:val="20"/>
                <w:lang w:val="hy-AM"/>
              </w:rPr>
              <w:softHyphen/>
              <w:t>րում Իսրա</w:t>
            </w:r>
            <w:r w:rsidRPr="00423B76">
              <w:rPr>
                <w:rFonts w:ascii="GHEA Grapalat" w:hAnsi="GHEA Grapalat" w:cs="Sylfaen"/>
                <w:sz w:val="20"/>
                <w:szCs w:val="20"/>
                <w:lang w:val="hy-AM"/>
              </w:rPr>
              <w:softHyphen/>
              <w:t>յելի եվ Եգիպ</w:t>
            </w:r>
            <w:r w:rsidRPr="00423B76">
              <w:rPr>
                <w:rFonts w:ascii="GHEA Grapalat" w:hAnsi="GHEA Grapalat" w:cs="Sylfaen"/>
                <w:sz w:val="20"/>
                <w:szCs w:val="20"/>
                <w:lang w:val="hy-AM"/>
              </w:rPr>
              <w:softHyphen/>
              <w:t>տոսի հետ ազատ առեվտրի համաձայ</w:t>
            </w:r>
            <w:r w:rsidRPr="00423B76">
              <w:rPr>
                <w:rFonts w:ascii="GHEA Grapalat" w:hAnsi="GHEA Grapalat" w:cs="Sylfaen"/>
                <w:sz w:val="20"/>
                <w:szCs w:val="20"/>
                <w:lang w:val="hy-AM"/>
              </w:rPr>
              <w:softHyphen/>
              <w:t>նա</w:t>
            </w:r>
            <w:r w:rsidRPr="00423B76">
              <w:rPr>
                <w:rFonts w:ascii="GHEA Grapalat" w:hAnsi="GHEA Grapalat" w:cs="Sylfaen"/>
                <w:sz w:val="20"/>
                <w:szCs w:val="20"/>
                <w:lang w:val="hy-AM"/>
              </w:rPr>
              <w:softHyphen/>
            </w:r>
            <w:r w:rsidRPr="00423B76">
              <w:rPr>
                <w:rFonts w:ascii="GHEA Grapalat" w:hAnsi="GHEA Grapalat" w:cs="Sylfaen"/>
                <w:sz w:val="20"/>
                <w:szCs w:val="20"/>
                <w:lang w:val="hy-AM"/>
              </w:rPr>
              <w:softHyphen/>
              <w:t>գրերի կնքման գործընթացի՝ հայաստանի անունից համակարգում</w:t>
            </w:r>
          </w:p>
          <w:p w:rsidR="0068680D" w:rsidRPr="00423B76" w:rsidRDefault="0068680D" w:rsidP="0068680D">
            <w:pPr>
              <w:pStyle w:val="ListParagraph"/>
              <w:numPr>
                <w:ilvl w:val="0"/>
                <w:numId w:val="385"/>
              </w:numPr>
              <w:spacing w:line="276" w:lineRule="auto"/>
              <w:contextualSpacing w:val="0"/>
              <w:jc w:val="both"/>
              <w:rPr>
                <w:b/>
                <w:lang w:val="hy-AM"/>
              </w:rPr>
            </w:pPr>
            <w:r w:rsidRPr="00423B76">
              <w:rPr>
                <w:b/>
                <w:lang w:val="hy-AM"/>
              </w:rPr>
              <w:t xml:space="preserve">Միջոցառման իրակացման անհրաժեշտությունը և նպատակը </w:t>
            </w:r>
          </w:p>
          <w:p w:rsidR="0068680D" w:rsidRPr="00423B76" w:rsidRDefault="0068680D" w:rsidP="00F47DC4">
            <w:pPr>
              <w:widowControl w:val="0"/>
              <w:spacing w:line="276" w:lineRule="auto"/>
              <w:jc w:val="both"/>
              <w:rPr>
                <w:color w:val="000000" w:themeColor="text1"/>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5.5 բաժնի դրույթներով, ինչպես նաև </w:t>
            </w:r>
            <w:r w:rsidRPr="00423B76">
              <w:rPr>
                <w:color w:val="000000" w:themeColor="text1"/>
                <w:lang w:val="hy-AM"/>
              </w:rPr>
              <w:t>Հայաստանի Հանրապետության մասնակցությամբ արտոնյալ առևտրային ռեժիմների առևտրատնտեսական համագործակցության շրջանակի, դրանց կիրառության գործիքակազմի ընդլայնմամբ, ԵԱՏՄ անդամ պետությունների և երրորդ երկրների հետ համագործակցությամբ: Միջոցառման իրակացման նպատակն է կնքվող ազատ առևտրի համաձայնագրերի շրջանակներում հայրենական արտադրանքի մրցունակության ապահովումը, ինչպես նաև նոր շուկաներ մուտք գործելու ընթացակարգերի դյուրացումը:</w:t>
            </w:r>
          </w:p>
          <w:p w:rsidR="0068680D" w:rsidRPr="00423B76" w:rsidRDefault="0068680D" w:rsidP="0068680D">
            <w:pPr>
              <w:pStyle w:val="ListParagraph"/>
              <w:numPr>
                <w:ilvl w:val="1"/>
                <w:numId w:val="429"/>
              </w:numPr>
              <w:spacing w:line="276" w:lineRule="auto"/>
              <w:jc w:val="both"/>
              <w:rPr>
                <w:b/>
                <w:lang w:val="hy-AM"/>
              </w:rPr>
            </w:pPr>
            <w:r w:rsidRPr="00423B76">
              <w:rPr>
                <w:b/>
                <w:lang w:val="hy-AM"/>
              </w:rPr>
              <w:t xml:space="preserve">Կարգավորման հարաբերությունների ներկա վիճակը և առկա խնդիրները </w:t>
            </w:r>
          </w:p>
          <w:p w:rsidR="0068680D" w:rsidRPr="00423B76" w:rsidRDefault="0068680D" w:rsidP="00F47DC4">
            <w:pPr>
              <w:spacing w:line="276" w:lineRule="auto"/>
              <w:jc w:val="both"/>
              <w:rPr>
                <w:color w:val="000000" w:themeColor="text1"/>
                <w:lang w:val="hy-AM"/>
              </w:rPr>
            </w:pPr>
            <w:r w:rsidRPr="00423B76">
              <w:rPr>
                <w:color w:val="000000" w:themeColor="text1"/>
                <w:lang w:val="hy-AM"/>
              </w:rPr>
              <w:t xml:space="preserve">Մինչ  այժմ Իսրայելի և Եգիպտոսի հետ փոխադարձ առևտրում չի կիրառվում արտոնյալ առևտրային ռեժիմ: Եգիպտոսի հետ ազատ առևտրի համաձայնագրի կնքման ոչ պաշտոնական նախաձեռնող կողմն է հանդիսանում Հայաստանի Հանրապետությունը:  </w:t>
            </w:r>
          </w:p>
          <w:p w:rsidR="0068680D" w:rsidRPr="00423B76" w:rsidRDefault="0068680D" w:rsidP="0068680D">
            <w:pPr>
              <w:pStyle w:val="ListParagraph"/>
              <w:numPr>
                <w:ilvl w:val="1"/>
                <w:numId w:val="429"/>
              </w:numPr>
              <w:spacing w:line="276" w:lineRule="auto"/>
              <w:jc w:val="both"/>
              <w:rPr>
                <w:b/>
                <w:lang w:val="hy-AM"/>
              </w:rPr>
            </w:pPr>
            <w:r w:rsidRPr="00423B76">
              <w:rPr>
                <w:b/>
                <w:lang w:val="hy-AM"/>
              </w:rPr>
              <w:t xml:space="preserve">Առկա խնդիրների առաջարկվող լուծումները </w:t>
            </w:r>
          </w:p>
          <w:p w:rsidR="0068680D" w:rsidRPr="00423B76" w:rsidRDefault="0068680D" w:rsidP="00F47DC4">
            <w:pPr>
              <w:spacing w:line="276" w:lineRule="auto"/>
              <w:jc w:val="both"/>
              <w:rPr>
                <w:color w:val="000000" w:themeColor="text1"/>
                <w:lang w:val="hy-AM"/>
              </w:rPr>
            </w:pPr>
            <w:r w:rsidRPr="00423B76">
              <w:rPr>
                <w:color w:val="000000" w:themeColor="text1"/>
                <w:lang w:val="hy-AM"/>
              </w:rPr>
              <w:t>Առաջարկվում է ԵԱՏՄ համագործակցության շրջանակներում Իսրայելի և Եգիպտոսի հետ ազատ առևտրի համաձայնագրերի կնքումը:</w:t>
            </w:r>
          </w:p>
          <w:p w:rsidR="0068680D" w:rsidRPr="00423B76" w:rsidRDefault="0068680D" w:rsidP="0068680D">
            <w:pPr>
              <w:pStyle w:val="ListParagraph"/>
              <w:numPr>
                <w:ilvl w:val="0"/>
                <w:numId w:val="385"/>
              </w:numPr>
              <w:spacing w:line="276" w:lineRule="auto"/>
              <w:contextualSpacing w:val="0"/>
              <w:jc w:val="both"/>
              <w:rPr>
                <w:b/>
                <w:lang w:val="hy-AM"/>
              </w:rPr>
            </w:pPr>
            <w:r w:rsidRPr="00423B76">
              <w:rPr>
                <w:b/>
                <w:lang w:val="hy-AM"/>
              </w:rPr>
              <w:t>Միջոցառման իրականացումից ակնկալվող արդյունքը</w:t>
            </w:r>
          </w:p>
          <w:p w:rsidR="0068680D" w:rsidRPr="00423B76" w:rsidRDefault="0068680D" w:rsidP="00F47DC4">
            <w:pPr>
              <w:spacing w:line="276" w:lineRule="auto"/>
              <w:jc w:val="both"/>
              <w:rPr>
                <w:rFonts w:cs="Sylfaen"/>
                <w:color w:val="000000" w:themeColor="text1"/>
                <w:lang w:val="hy-AM"/>
              </w:rPr>
            </w:pPr>
            <w:r w:rsidRPr="00423B76">
              <w:rPr>
                <w:color w:val="000000" w:themeColor="text1"/>
                <w:lang w:val="hy-AM"/>
              </w:rPr>
              <w:t xml:space="preserve">Միջոցառման իրակացման արդյունքն է ազատ առևտրի համաձայնագրերի կողմ հանդիսացող երկրների շուկաներ </w:t>
            </w:r>
            <w:r w:rsidRPr="00423B76">
              <w:rPr>
                <w:rFonts w:cs="Sylfaen"/>
                <w:color w:val="000000" w:themeColor="text1"/>
                <w:lang w:val="hy-AM"/>
              </w:rPr>
              <w:t>արտոնյալ պայմաններով հասանելիության ընդլայնումը:</w:t>
            </w:r>
          </w:p>
          <w:p w:rsidR="0068680D"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p>
          <w:p w:rsidR="0068680D" w:rsidRPr="00423B76"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r>
              <w:rPr>
                <w:rFonts w:ascii="GHEA Grapalat" w:hAnsi="GHEA Grapalat" w:cs="Sylfaen"/>
                <w:sz w:val="20"/>
                <w:szCs w:val="20"/>
                <w:lang w:val="hy-AM"/>
              </w:rPr>
              <w:t xml:space="preserve">10.3 </w:t>
            </w:r>
            <w:r w:rsidRPr="00423B76">
              <w:rPr>
                <w:rFonts w:ascii="GHEA Grapalat" w:hAnsi="GHEA Grapalat" w:cs="Sylfaen"/>
                <w:sz w:val="20"/>
                <w:szCs w:val="20"/>
                <w:lang w:val="hy-AM"/>
              </w:rPr>
              <w:t>Հայաստանի համար թիրախային շուկա</w:t>
            </w:r>
            <w:r w:rsidRPr="00423B76">
              <w:rPr>
                <w:rFonts w:ascii="GHEA Grapalat" w:hAnsi="GHEA Grapalat" w:cs="Sylfaen"/>
                <w:sz w:val="20"/>
                <w:szCs w:val="20"/>
                <w:lang w:val="hy-AM"/>
              </w:rPr>
              <w:softHyphen/>
              <w:t>նե</w:t>
            </w:r>
            <w:r w:rsidRPr="00423B76">
              <w:rPr>
                <w:rFonts w:ascii="GHEA Grapalat" w:hAnsi="GHEA Grapalat" w:cs="Sylfaen"/>
                <w:sz w:val="20"/>
                <w:szCs w:val="20"/>
                <w:lang w:val="hy-AM"/>
              </w:rPr>
              <w:softHyphen/>
              <w:t>րում գործող ներմուծ</w:t>
            </w:r>
            <w:r w:rsidRPr="00423B76">
              <w:rPr>
                <w:rFonts w:ascii="GHEA Grapalat" w:hAnsi="GHEA Grapalat" w:cs="Sylfaen"/>
                <w:sz w:val="20"/>
                <w:szCs w:val="20"/>
                <w:lang w:val="hy-AM"/>
              </w:rPr>
              <w:softHyphen/>
              <w:t>ման ընթա</w:t>
            </w:r>
            <w:r w:rsidRPr="00423B76">
              <w:rPr>
                <w:rFonts w:ascii="GHEA Grapalat" w:hAnsi="GHEA Grapalat" w:cs="Sylfaen"/>
                <w:sz w:val="20"/>
                <w:szCs w:val="20"/>
                <w:lang w:val="hy-AM"/>
              </w:rPr>
              <w:softHyphen/>
              <w:t>ցա</w:t>
            </w:r>
            <w:r w:rsidRPr="00423B76">
              <w:rPr>
                <w:rFonts w:ascii="GHEA Grapalat" w:hAnsi="GHEA Grapalat" w:cs="Sylfaen"/>
                <w:sz w:val="20"/>
                <w:szCs w:val="20"/>
                <w:lang w:val="hy-AM"/>
              </w:rPr>
              <w:softHyphen/>
            </w:r>
            <w:r w:rsidRPr="00423B76">
              <w:rPr>
                <w:rFonts w:ascii="GHEA Grapalat" w:hAnsi="GHEA Grapalat" w:cs="Sylfaen"/>
                <w:sz w:val="20"/>
                <w:szCs w:val="20"/>
                <w:lang w:val="hy-AM"/>
              </w:rPr>
              <w:softHyphen/>
            </w:r>
            <w:r w:rsidRPr="00423B76">
              <w:rPr>
                <w:rFonts w:ascii="GHEA Grapalat" w:hAnsi="GHEA Grapalat" w:cs="Sylfaen"/>
                <w:sz w:val="20"/>
                <w:szCs w:val="20"/>
                <w:lang w:val="hy-AM"/>
              </w:rPr>
              <w:softHyphen/>
              <w:t>կար</w:t>
            </w:r>
            <w:r w:rsidRPr="00423B76">
              <w:rPr>
                <w:rFonts w:ascii="GHEA Grapalat" w:hAnsi="GHEA Grapalat" w:cs="Sylfaen"/>
                <w:sz w:val="20"/>
                <w:szCs w:val="20"/>
                <w:lang w:val="hy-AM"/>
              </w:rPr>
              <w:softHyphen/>
              <w:t>գերի վերա</w:t>
            </w:r>
            <w:r w:rsidRPr="00423B76">
              <w:rPr>
                <w:rFonts w:ascii="GHEA Grapalat" w:hAnsi="GHEA Grapalat" w:cs="Sylfaen"/>
                <w:sz w:val="20"/>
                <w:szCs w:val="20"/>
                <w:lang w:val="hy-AM"/>
              </w:rPr>
              <w:softHyphen/>
              <w:t>բեր</w:t>
            </w:r>
            <w:r w:rsidRPr="00423B76">
              <w:rPr>
                <w:rFonts w:ascii="GHEA Grapalat" w:hAnsi="GHEA Grapalat" w:cs="Sylfaen"/>
                <w:sz w:val="20"/>
                <w:szCs w:val="20"/>
                <w:lang w:val="hy-AM"/>
              </w:rPr>
              <w:softHyphen/>
              <w:t>յալ տեղե</w:t>
            </w:r>
            <w:r w:rsidRPr="00423B76">
              <w:rPr>
                <w:rFonts w:ascii="GHEA Grapalat" w:hAnsi="GHEA Grapalat" w:cs="Sylfaen"/>
                <w:sz w:val="20"/>
                <w:szCs w:val="20"/>
                <w:lang w:val="hy-AM"/>
              </w:rPr>
              <w:softHyphen/>
              <w:t>կատ</w:t>
            </w:r>
            <w:r w:rsidRPr="00423B76">
              <w:rPr>
                <w:rFonts w:ascii="GHEA Grapalat" w:hAnsi="GHEA Grapalat" w:cs="Sylfaen"/>
                <w:sz w:val="20"/>
                <w:szCs w:val="20"/>
                <w:lang w:val="hy-AM"/>
              </w:rPr>
              <w:softHyphen/>
            </w:r>
            <w:r w:rsidRPr="00423B76">
              <w:rPr>
                <w:rFonts w:ascii="GHEA Grapalat" w:hAnsi="GHEA Grapalat" w:cs="Sylfaen"/>
                <w:sz w:val="20"/>
                <w:szCs w:val="20"/>
                <w:lang w:val="hy-AM"/>
              </w:rPr>
              <w:softHyphen/>
            </w:r>
            <w:r w:rsidRPr="00423B76">
              <w:rPr>
                <w:rFonts w:ascii="GHEA Grapalat" w:hAnsi="GHEA Grapalat" w:cs="Sylfaen"/>
                <w:sz w:val="20"/>
                <w:szCs w:val="20"/>
                <w:lang w:val="hy-AM"/>
              </w:rPr>
              <w:softHyphen/>
              <w:t>վա</w:t>
            </w:r>
            <w:r w:rsidRPr="00423B76">
              <w:rPr>
                <w:rFonts w:ascii="GHEA Grapalat" w:hAnsi="GHEA Grapalat" w:cs="Sylfaen"/>
                <w:sz w:val="20"/>
                <w:szCs w:val="20"/>
                <w:lang w:val="hy-AM"/>
              </w:rPr>
              <w:softHyphen/>
              <w:t>կան ամբող</w:t>
            </w:r>
            <w:r w:rsidRPr="00423B76">
              <w:rPr>
                <w:rFonts w:ascii="GHEA Grapalat" w:hAnsi="GHEA Grapalat" w:cs="Sylfaen"/>
                <w:sz w:val="20"/>
                <w:szCs w:val="20"/>
                <w:lang w:val="hy-AM"/>
              </w:rPr>
              <w:softHyphen/>
              <w:t>ջական հասանելիու</w:t>
            </w:r>
            <w:r w:rsidRPr="00423B76">
              <w:rPr>
                <w:rFonts w:ascii="GHEA Grapalat" w:hAnsi="GHEA Grapalat" w:cs="Sylfaen"/>
                <w:sz w:val="20"/>
                <w:szCs w:val="20"/>
                <w:lang w:val="hy-AM"/>
              </w:rPr>
              <w:softHyphen/>
              <w:t>թյան ապահովում</w:t>
            </w:r>
          </w:p>
          <w:p w:rsidR="0068680D" w:rsidRPr="00423B76" w:rsidRDefault="0068680D" w:rsidP="0068680D">
            <w:pPr>
              <w:pStyle w:val="ListParagraph"/>
              <w:numPr>
                <w:ilvl w:val="0"/>
                <w:numId w:val="428"/>
              </w:numPr>
              <w:spacing w:line="276" w:lineRule="auto"/>
              <w:jc w:val="both"/>
              <w:rPr>
                <w:b/>
                <w:lang w:val="hy-AM"/>
              </w:rPr>
            </w:pPr>
            <w:r w:rsidRPr="00423B76">
              <w:rPr>
                <w:b/>
                <w:lang w:val="hy-AM"/>
              </w:rPr>
              <w:t xml:space="preserve">Միջոցառման իրակացման անհրաժեշտությունը և նպատակը </w:t>
            </w:r>
          </w:p>
          <w:p w:rsidR="0068680D" w:rsidRPr="00423B76" w:rsidRDefault="0068680D" w:rsidP="00F47DC4">
            <w:pPr>
              <w:spacing w:line="276" w:lineRule="auto"/>
              <w:jc w:val="both"/>
              <w:rPr>
                <w:color w:val="000000" w:themeColor="text1"/>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5.5 բաժնի դրույթներով, ինչպես նաև</w:t>
            </w:r>
            <w:r w:rsidRPr="00423B76">
              <w:rPr>
                <w:color w:val="000000" w:themeColor="text1"/>
                <w:lang w:val="hy-AM"/>
              </w:rPr>
              <w:t xml:space="preserve"> Հայաստանի համար թիրախային շուկաների վերաբերյալ տեղեկատվության մատչելիության ապհովմամբ: Միջոցառման իրակացման նպատակն է ՀՀ տնտեսվարող սուբյեկտների համար նշված շուկաներում </w:t>
            </w:r>
            <w:r w:rsidRPr="00423B76">
              <w:rPr>
                <w:rFonts w:cs="Arial"/>
                <w:color w:val="000000" w:themeColor="text1"/>
                <w:lang w:val="hy-AM"/>
              </w:rPr>
              <w:t xml:space="preserve">ըստ առանձին ապրանքատեսակների արտահանման գործընթացի և ընթացակարգերի մասով տեղեկատվական հասանեուլիության ապահովումը: </w:t>
            </w:r>
          </w:p>
          <w:p w:rsidR="0068680D" w:rsidRPr="00423B76" w:rsidRDefault="0068680D" w:rsidP="0068680D">
            <w:pPr>
              <w:pStyle w:val="ListParagraph"/>
              <w:numPr>
                <w:ilvl w:val="1"/>
                <w:numId w:val="428"/>
              </w:numPr>
              <w:spacing w:line="276" w:lineRule="auto"/>
              <w:jc w:val="both"/>
              <w:rPr>
                <w:b/>
                <w:lang w:val="hy-AM"/>
              </w:rPr>
            </w:pPr>
            <w:r w:rsidRPr="00423B76">
              <w:rPr>
                <w:b/>
                <w:lang w:val="hy-AM"/>
              </w:rPr>
              <w:t xml:space="preserve">Կարգավորման հարաբերությունների ներկա վիճակը և առկա խնդիրները </w:t>
            </w:r>
          </w:p>
          <w:p w:rsidR="0068680D" w:rsidRPr="00423B76" w:rsidRDefault="0068680D" w:rsidP="00F47DC4">
            <w:pPr>
              <w:spacing w:line="276" w:lineRule="auto"/>
              <w:jc w:val="both"/>
              <w:rPr>
                <w:b/>
                <w:lang w:val="hy-AM"/>
              </w:rPr>
            </w:pPr>
            <w:r w:rsidRPr="00423B76">
              <w:rPr>
                <w:color w:val="000000" w:themeColor="text1"/>
                <w:lang w:val="hy-AM"/>
              </w:rPr>
              <w:t>Հայաստանի համար թիրախային շուկաների վերաբերյալ ՀՀ տնտեսվարող սուբյեկտների ոչ բավարար իրազեկված լինելը:</w:t>
            </w:r>
          </w:p>
          <w:p w:rsidR="0068680D" w:rsidRPr="00423B76" w:rsidRDefault="0068680D" w:rsidP="0068680D">
            <w:pPr>
              <w:pStyle w:val="ListParagraph"/>
              <w:numPr>
                <w:ilvl w:val="1"/>
                <w:numId w:val="428"/>
              </w:numPr>
              <w:spacing w:line="276" w:lineRule="auto"/>
              <w:jc w:val="both"/>
              <w:rPr>
                <w:b/>
                <w:lang w:val="hy-AM"/>
              </w:rPr>
            </w:pPr>
            <w:r w:rsidRPr="00423B76">
              <w:rPr>
                <w:b/>
                <w:lang w:val="hy-AM"/>
              </w:rPr>
              <w:t xml:space="preserve">Առկա խնդիրների առաջարկվող լուծումները </w:t>
            </w:r>
          </w:p>
          <w:p w:rsidR="0068680D" w:rsidRPr="00423B76" w:rsidRDefault="0068680D" w:rsidP="00F47DC4">
            <w:pPr>
              <w:spacing w:line="276" w:lineRule="auto"/>
              <w:jc w:val="both"/>
              <w:rPr>
                <w:lang w:val="hy-AM"/>
              </w:rPr>
            </w:pPr>
            <w:r w:rsidRPr="00423B76">
              <w:rPr>
                <w:lang w:val="hy-AM"/>
              </w:rPr>
              <w:t xml:space="preserve">Առաջարկվում է թիրախային շուկաներ արտահանվող առանձին ապրանքատեսակների մասով հայրենական արտահանողներին տեղեկակացվածության մակարդակի բարձրացումը` առնվազն 3 շուկաների մասով, ըստ առանձին ապրանքատեսակների, հայրենական արտահանողների տեղեկացվածության ապահովման միջոցով:  </w:t>
            </w:r>
          </w:p>
          <w:p w:rsidR="0068680D" w:rsidRPr="00423B76" w:rsidRDefault="0068680D" w:rsidP="0068680D">
            <w:pPr>
              <w:pStyle w:val="ListParagraph"/>
              <w:numPr>
                <w:ilvl w:val="0"/>
                <w:numId w:val="428"/>
              </w:numPr>
              <w:spacing w:line="276" w:lineRule="auto"/>
              <w:jc w:val="both"/>
              <w:rPr>
                <w:b/>
                <w:lang w:val="hy-AM"/>
              </w:rPr>
            </w:pPr>
            <w:r w:rsidRPr="00423B76">
              <w:rPr>
                <w:b/>
                <w:lang w:val="hy-AM"/>
              </w:rPr>
              <w:t>Միջոցառման իրականացումից ակնկալվող արդյունքը</w:t>
            </w:r>
          </w:p>
          <w:p w:rsidR="0068680D" w:rsidRDefault="0068680D" w:rsidP="00F47DC4">
            <w:pPr>
              <w:spacing w:line="276" w:lineRule="auto"/>
              <w:jc w:val="both"/>
              <w:rPr>
                <w:color w:val="000000" w:themeColor="text1"/>
                <w:lang w:val="hy-AM"/>
              </w:rPr>
            </w:pPr>
            <w:r w:rsidRPr="00423B76">
              <w:rPr>
                <w:color w:val="000000" w:themeColor="text1"/>
                <w:lang w:val="hy-AM"/>
              </w:rPr>
              <w:t>Միջոցառման իրակացման արդյունքն է արտահանման խթաննմանն ուղված գործիքակազմի կիրառումը, արտահանման ծավալների աճի ապահովումը:</w:t>
            </w:r>
          </w:p>
          <w:p w:rsidR="0068680D" w:rsidRPr="00423B76" w:rsidRDefault="0068680D" w:rsidP="00F47DC4">
            <w:pPr>
              <w:spacing w:line="276" w:lineRule="auto"/>
              <w:jc w:val="both"/>
              <w:rPr>
                <w:color w:val="000000" w:themeColor="text1"/>
                <w:lang w:val="hy-AM"/>
              </w:rPr>
            </w:pPr>
          </w:p>
          <w:p w:rsidR="0068680D" w:rsidRPr="00423B76"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r>
              <w:rPr>
                <w:rFonts w:ascii="GHEA Grapalat" w:hAnsi="GHEA Grapalat" w:cs="Sylfaen"/>
                <w:sz w:val="20"/>
                <w:szCs w:val="20"/>
                <w:lang w:val="hy-AM"/>
              </w:rPr>
              <w:t xml:space="preserve">10.4 </w:t>
            </w:r>
            <w:r w:rsidRPr="00423B76">
              <w:rPr>
                <w:rFonts w:ascii="GHEA Grapalat" w:hAnsi="GHEA Grapalat" w:cs="Sylfaen"/>
                <w:sz w:val="20"/>
                <w:szCs w:val="20"/>
                <w:lang w:val="hy-AM"/>
              </w:rPr>
              <w:t>ԵԱՏՄ համագործակցության շրջանակներում, ինչպես նաև երրորդ երկրների հետ փոխադարձ առևտրում խոչընդոտների և արգելքների բացահայտում և վերացման ուղղությամբ առաջարկությունների ներկայացում</w:t>
            </w:r>
          </w:p>
          <w:p w:rsidR="0068680D" w:rsidRPr="00423B76" w:rsidRDefault="0068680D" w:rsidP="00F47DC4">
            <w:pPr>
              <w:spacing w:line="276" w:lineRule="auto"/>
              <w:ind w:left="360"/>
              <w:jc w:val="both"/>
              <w:rPr>
                <w:b/>
                <w:lang w:val="hy-AM"/>
              </w:rPr>
            </w:pPr>
            <w:r w:rsidRPr="00423B76">
              <w:rPr>
                <w:b/>
                <w:lang w:val="hy-AM"/>
              </w:rPr>
              <w:t xml:space="preserve">1. Միջոցառման իրակացման անհրաժեշտությունը և նպատակը </w:t>
            </w:r>
          </w:p>
          <w:p w:rsidR="0068680D" w:rsidRPr="00423B76" w:rsidRDefault="0068680D" w:rsidP="00F47DC4">
            <w:pPr>
              <w:spacing w:line="276" w:lineRule="auto"/>
              <w:jc w:val="both"/>
              <w:rPr>
                <w:color w:val="000000" w:themeColor="text1"/>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5.5 բաժնի դրույթներով, ինչպես նաև</w:t>
            </w:r>
            <w:r w:rsidRPr="00423B76">
              <w:rPr>
                <w:color w:val="000000" w:themeColor="text1"/>
                <w:lang w:val="hy-AM"/>
              </w:rPr>
              <w:t xml:space="preserve"> Եվրասիական տնտեսական միության հետ համագործակցության շրջանակներում ներքին շուկայի պաշտպանությամբ: Միջոցառման իրակացման նպատակն է ՀՀ տնտեսվարող սուբյեկտների կողմից ներկայացված փոխադարձ առևտրում առկա խոչընդոտների հավաքագրումը և դրանց լուծման մեխանիզմների մշակումը:</w:t>
            </w:r>
          </w:p>
          <w:p w:rsidR="0068680D" w:rsidRPr="00423B76" w:rsidRDefault="0068680D" w:rsidP="0068680D">
            <w:pPr>
              <w:pStyle w:val="ListParagraph"/>
              <w:numPr>
                <w:ilvl w:val="1"/>
                <w:numId w:val="427"/>
              </w:numPr>
              <w:spacing w:line="276" w:lineRule="auto"/>
              <w:jc w:val="both"/>
              <w:rPr>
                <w:b/>
                <w:lang w:val="hy-AM"/>
              </w:rPr>
            </w:pPr>
            <w:r w:rsidRPr="00423B76">
              <w:rPr>
                <w:b/>
                <w:lang w:val="hy-AM"/>
              </w:rPr>
              <w:t xml:space="preserve">Կարգավորման հարաբերությունների ներկա վիճակը և առկա խնդիրները </w:t>
            </w:r>
          </w:p>
          <w:p w:rsidR="0068680D" w:rsidRPr="00423B76" w:rsidRDefault="0068680D" w:rsidP="00F47DC4">
            <w:pPr>
              <w:spacing w:line="276" w:lineRule="auto"/>
              <w:jc w:val="both"/>
              <w:rPr>
                <w:b/>
                <w:lang w:val="hy-AM"/>
              </w:rPr>
            </w:pPr>
            <w:r w:rsidRPr="00423B76">
              <w:rPr>
                <w:rFonts w:cs="Sylfaen"/>
                <w:lang w:val="hy-AM"/>
              </w:rPr>
              <w:t xml:space="preserve">ԵԱՏՄ համագործակցության շրջանակներում, ինչպես նաև երրորդ երկրների հետ փոխադարձ առևտրում առկա են մի շարք խոչընդոտներ և </w:t>
            </w:r>
            <w:r w:rsidRPr="00423B76">
              <w:rPr>
                <w:color w:val="000000" w:themeColor="text1"/>
                <w:lang w:val="hy-AM"/>
              </w:rPr>
              <w:t xml:space="preserve">ապրանքների և ծառայությունների ազատ տեղաշարժի </w:t>
            </w:r>
            <w:r w:rsidRPr="00423B76">
              <w:rPr>
                <w:rFonts w:cs="Sylfaen"/>
                <w:lang w:val="hy-AM"/>
              </w:rPr>
              <w:t>սահմանափակումներ</w:t>
            </w:r>
          </w:p>
          <w:p w:rsidR="0068680D" w:rsidRPr="00423B76" w:rsidRDefault="0068680D" w:rsidP="0068680D">
            <w:pPr>
              <w:pStyle w:val="ListParagraph"/>
              <w:numPr>
                <w:ilvl w:val="1"/>
                <w:numId w:val="427"/>
              </w:numPr>
              <w:spacing w:line="276" w:lineRule="auto"/>
              <w:jc w:val="both"/>
              <w:rPr>
                <w:b/>
                <w:lang w:val="hy-AM"/>
              </w:rPr>
            </w:pPr>
            <w:r w:rsidRPr="00423B76">
              <w:rPr>
                <w:b/>
                <w:lang w:val="hy-AM"/>
              </w:rPr>
              <w:t xml:space="preserve">Առկա խնդիրների առաջարկվող լուծումները </w:t>
            </w:r>
          </w:p>
          <w:p w:rsidR="0068680D" w:rsidRPr="00423B76" w:rsidRDefault="0068680D" w:rsidP="00F47DC4">
            <w:pPr>
              <w:spacing w:line="276" w:lineRule="auto"/>
              <w:jc w:val="both"/>
              <w:rPr>
                <w:color w:val="000000" w:themeColor="text1"/>
                <w:lang w:val="hy-AM"/>
              </w:rPr>
            </w:pPr>
            <w:r w:rsidRPr="00423B76">
              <w:rPr>
                <w:color w:val="000000" w:themeColor="text1"/>
                <w:lang w:val="hy-AM"/>
              </w:rPr>
              <w:t xml:space="preserve">Առաջարկվում է իրականցնել ԵԱՏՄ համագործակցության շրջանակներում, ինչպես նաև երրորդ երկրների հետ փոխադարձ առևտրում խոչընդոտների ռեեստրի վարում և նշված խոչընդոտների վերացման ուղղությամբ ճանապարհային քարտեզի ձևավորում, ինչպես նաև իրավական կարգավորման ապահովում: </w:t>
            </w:r>
          </w:p>
          <w:p w:rsidR="0068680D" w:rsidRPr="00423B76" w:rsidRDefault="0068680D" w:rsidP="00F47DC4">
            <w:pPr>
              <w:spacing w:line="276" w:lineRule="auto"/>
              <w:ind w:left="720" w:hanging="360"/>
              <w:jc w:val="both"/>
              <w:rPr>
                <w:b/>
                <w:lang w:val="hy-AM"/>
              </w:rPr>
            </w:pPr>
            <w:r w:rsidRPr="00423B76">
              <w:rPr>
                <w:b/>
                <w:lang w:val="hy-AM"/>
              </w:rPr>
              <w:t>2. Միջոցառման իրականացումից ակնկալվող արդյունքը</w:t>
            </w:r>
          </w:p>
          <w:p w:rsidR="0068680D" w:rsidRDefault="0068680D" w:rsidP="00F47DC4">
            <w:pPr>
              <w:spacing w:line="276" w:lineRule="auto"/>
              <w:jc w:val="both"/>
              <w:rPr>
                <w:color w:val="000000" w:themeColor="text1"/>
                <w:lang w:val="hy-AM"/>
              </w:rPr>
            </w:pPr>
            <w:r w:rsidRPr="00423B76">
              <w:rPr>
                <w:color w:val="000000" w:themeColor="text1"/>
                <w:lang w:val="hy-AM"/>
              </w:rPr>
              <w:t>Միջոցառման իրակացման արդյունքն է փոխադարձ առևտրում առկա սահմանափակումների վերացումը, ապրանքների և ծառայությունների ազատ տեղաշարժի ապահովումը:</w:t>
            </w:r>
          </w:p>
          <w:p w:rsidR="0068680D" w:rsidRPr="00423B76" w:rsidRDefault="0068680D" w:rsidP="00F47DC4">
            <w:pPr>
              <w:spacing w:line="276" w:lineRule="auto"/>
              <w:jc w:val="both"/>
              <w:rPr>
                <w:color w:val="000000" w:themeColor="text1"/>
                <w:lang w:val="hy-AM"/>
              </w:rPr>
            </w:pPr>
          </w:p>
          <w:p w:rsidR="0068680D" w:rsidRPr="00423B76"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r>
              <w:rPr>
                <w:rFonts w:ascii="GHEA Grapalat" w:hAnsi="GHEA Grapalat" w:cs="Sylfaen"/>
                <w:sz w:val="20"/>
                <w:szCs w:val="20"/>
                <w:lang w:val="hy-AM"/>
              </w:rPr>
              <w:t xml:space="preserve">10.5 </w:t>
            </w:r>
            <w:r w:rsidRPr="00423B76">
              <w:rPr>
                <w:rFonts w:ascii="GHEA Grapalat" w:hAnsi="GHEA Grapalat" w:cs="Sylfaen"/>
                <w:sz w:val="20"/>
                <w:szCs w:val="20"/>
                <w:lang w:val="hy-AM"/>
              </w:rPr>
              <w:t>ԵԱՏՄանդամակցությամբ պայմանավորված ԱՀԿ-ում ՀՀ մաքսատուրքերի սահմանային դրույքաչափերի պարտավորութ</w:t>
            </w:r>
            <w:r w:rsidRPr="00423B76">
              <w:rPr>
                <w:rFonts w:ascii="GHEA Grapalat" w:hAnsi="GHEA Grapalat" w:cs="Sylfaen"/>
                <w:sz w:val="20"/>
                <w:szCs w:val="20"/>
                <w:lang w:val="hy-AM"/>
              </w:rPr>
              <w:softHyphen/>
              <w:t>յուն</w:t>
            </w:r>
            <w:r w:rsidRPr="00423B76">
              <w:rPr>
                <w:rFonts w:ascii="GHEA Grapalat" w:hAnsi="GHEA Grapalat" w:cs="Sylfaen"/>
                <w:sz w:val="20"/>
                <w:szCs w:val="20"/>
                <w:lang w:val="hy-AM"/>
              </w:rPr>
              <w:softHyphen/>
              <w:t>ների փոփոխության բանակցությունների անցկացման ապահովում և ամփոփում</w:t>
            </w:r>
          </w:p>
          <w:p w:rsidR="0068680D" w:rsidRPr="00423B76" w:rsidRDefault="0068680D" w:rsidP="0068680D">
            <w:pPr>
              <w:pStyle w:val="ListParagraph"/>
              <w:numPr>
                <w:ilvl w:val="0"/>
                <w:numId w:val="386"/>
              </w:numPr>
              <w:spacing w:line="276" w:lineRule="auto"/>
              <w:rPr>
                <w:rFonts w:eastAsia="Calibri" w:cs="Sylfaen"/>
                <w:b/>
                <w:lang w:val="hy-AM"/>
              </w:rPr>
            </w:pPr>
            <w:r w:rsidRPr="00423B76">
              <w:rPr>
                <w:rFonts w:eastAsia="Calibri" w:cs="Sylfaen"/>
                <w:b/>
                <w:lang w:val="hy-AM"/>
              </w:rPr>
              <w:t xml:space="preserve">Միջոցառման իրակացման անհրաժեշտությունը և նպատակը </w:t>
            </w:r>
          </w:p>
          <w:p w:rsidR="0068680D" w:rsidRPr="00423B76" w:rsidRDefault="0068680D" w:rsidP="00F47DC4">
            <w:pPr>
              <w:spacing w:line="276" w:lineRule="auto"/>
              <w:jc w:val="both"/>
              <w:rPr>
                <w:rFonts w:cs="Arial"/>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5.5 բաժնի դրույթներով, ինչպես նաև</w:t>
            </w:r>
            <w:r w:rsidRPr="00423B76">
              <w:rPr>
                <w:rFonts w:cs="Arial"/>
                <w:lang w:val="hy-AM"/>
              </w:rPr>
              <w:t xml:space="preserve"> ԱՀԿ Մաքսերի և առևտրի գլխավոր համաձայնագրով: </w:t>
            </w:r>
          </w:p>
          <w:p w:rsidR="0068680D" w:rsidRPr="00423B76" w:rsidRDefault="0068680D" w:rsidP="00F47DC4">
            <w:pPr>
              <w:spacing w:line="276" w:lineRule="auto"/>
              <w:jc w:val="both"/>
              <w:rPr>
                <w:rFonts w:cs="Arial"/>
                <w:lang w:val="hy-AM"/>
              </w:rPr>
            </w:pPr>
            <w:r w:rsidRPr="00423B76">
              <w:rPr>
                <w:rFonts w:cs="Arial"/>
                <w:lang w:val="hy-AM"/>
              </w:rPr>
              <w:t>Միջոցառման իրականացման նպատակը ԱՀԿ համաձայնագրերով ՀՀ ստանձնած պարտավորությունների կատարումն է:</w:t>
            </w:r>
          </w:p>
          <w:p w:rsidR="0068680D" w:rsidRPr="00423B76" w:rsidRDefault="0068680D" w:rsidP="0068680D">
            <w:pPr>
              <w:pStyle w:val="NormalWeb"/>
              <w:widowControl w:val="0"/>
              <w:numPr>
                <w:ilvl w:val="1"/>
                <w:numId w:val="430"/>
              </w:numPr>
              <w:spacing w:before="0" w:beforeAutospacing="0" w:after="0" w:afterAutospacing="0" w:line="276" w:lineRule="auto"/>
              <w:ind w:right="28" w:hanging="11"/>
              <w:rPr>
                <w:rFonts w:ascii="GHEA Grapalat" w:eastAsia="Calibri" w:hAnsi="GHEA Grapalat" w:cs="Sylfaen"/>
                <w:b/>
                <w:sz w:val="20"/>
                <w:szCs w:val="20"/>
                <w:lang w:val="hy-AM"/>
              </w:rPr>
            </w:pPr>
            <w:r w:rsidRPr="00423B76">
              <w:rPr>
                <w:rFonts w:ascii="GHEA Grapalat" w:eastAsia="Calibri" w:hAnsi="GHEA Grapalat" w:cs="Sylfaen"/>
                <w:b/>
                <w:sz w:val="20"/>
                <w:szCs w:val="20"/>
                <w:lang w:val="hy-AM"/>
              </w:rPr>
              <w:t xml:space="preserve">Կարգավորման հարաբերությունների ներկա վիճակը և առկա խնդիրները </w:t>
            </w:r>
          </w:p>
          <w:p w:rsidR="0068680D" w:rsidRPr="00423B76" w:rsidRDefault="0068680D" w:rsidP="00F47DC4">
            <w:pPr>
              <w:pStyle w:val="ListParagraph"/>
              <w:tabs>
                <w:tab w:val="left" w:pos="567"/>
              </w:tabs>
              <w:spacing w:line="276" w:lineRule="auto"/>
              <w:ind w:left="0"/>
              <w:contextualSpacing w:val="0"/>
              <w:jc w:val="both"/>
              <w:rPr>
                <w:rFonts w:cs="Sylfaen"/>
                <w:lang w:val="hy-AM"/>
              </w:rPr>
            </w:pPr>
            <w:r w:rsidRPr="00423B76">
              <w:rPr>
                <w:rFonts w:cs="Sylfaen"/>
                <w:lang w:val="hy-AM"/>
              </w:rPr>
              <w:t>Համաձայն ԱՀԿ համաձայնագրերի դրույթների՝ ԵԱՏՄ անդամակցությամբ պայմանավորված ՀՀ 2014թ.-ից մեկնարկել է ԱՀԿ-ում ՀՀ մաքսատուրքերի սահմանային ամրագրված դրույքաչափերի պարտավորությունների փոփոխման փոխհատուցումային բանակցությունների գործընթացը: Բանակցային գործընթացում ներառված են 11 ԱՀԿ անդամ երկրներ: Բանակցային գործընթացի անհաջողության դեպքում նշված ԱՀԿ անդամ երկրները իրավունք կունենան միակողմանի ՀՀ արտահանումների նկատմամբ կիրառել բարձրացված մաքսատուրքեր: Ներկա պահին բանակցություններն ընթանում են ԵՄ հետ, սակայն դեռ որոշակի համաձայնություն չկա:</w:t>
            </w:r>
          </w:p>
          <w:p w:rsidR="0068680D" w:rsidRPr="00423B76" w:rsidRDefault="0068680D" w:rsidP="0068680D">
            <w:pPr>
              <w:pStyle w:val="NormalWeb"/>
              <w:widowControl w:val="0"/>
              <w:numPr>
                <w:ilvl w:val="1"/>
                <w:numId w:val="430"/>
              </w:numPr>
              <w:spacing w:before="0" w:beforeAutospacing="0" w:after="0" w:afterAutospacing="0" w:line="276" w:lineRule="auto"/>
              <w:ind w:right="28" w:hanging="11"/>
              <w:rPr>
                <w:rFonts w:ascii="GHEA Grapalat" w:eastAsia="Calibri" w:hAnsi="GHEA Grapalat" w:cs="Sylfaen"/>
                <w:b/>
                <w:sz w:val="20"/>
                <w:szCs w:val="20"/>
                <w:lang w:val="hy-AM"/>
              </w:rPr>
            </w:pPr>
            <w:r w:rsidRPr="00423B76">
              <w:rPr>
                <w:rFonts w:ascii="GHEA Grapalat" w:eastAsia="Calibri" w:hAnsi="GHEA Grapalat" w:cs="Sylfaen"/>
                <w:b/>
                <w:sz w:val="20"/>
                <w:szCs w:val="20"/>
                <w:lang w:val="hy-AM"/>
              </w:rPr>
              <w:t>Առկա խնդիրների առաջարկվող լուծումները</w:t>
            </w:r>
          </w:p>
          <w:p w:rsidR="0068680D" w:rsidRPr="00423B76" w:rsidRDefault="0068680D" w:rsidP="00F47DC4">
            <w:pPr>
              <w:pStyle w:val="NormalWeb"/>
              <w:widowControl w:val="0"/>
              <w:spacing w:before="0" w:beforeAutospacing="0" w:after="0" w:afterAutospacing="0" w:line="276" w:lineRule="auto"/>
              <w:ind w:right="28"/>
              <w:jc w:val="both"/>
              <w:rPr>
                <w:rFonts w:ascii="GHEA Grapalat" w:eastAsiaTheme="minorHAnsi" w:hAnsi="GHEA Grapalat" w:cs="Sylfaen"/>
                <w:sz w:val="20"/>
                <w:szCs w:val="20"/>
                <w:lang w:val="hy-AM"/>
              </w:rPr>
            </w:pPr>
            <w:r w:rsidRPr="00423B76">
              <w:rPr>
                <w:rFonts w:ascii="GHEA Grapalat" w:eastAsiaTheme="minorHAnsi" w:hAnsi="GHEA Grapalat" w:cs="Sylfaen"/>
                <w:sz w:val="20"/>
                <w:szCs w:val="20"/>
                <w:lang w:val="hy-AM"/>
              </w:rPr>
              <w:t>Շարունակվելու են բանակցությունները գործընթացում ընդգրկված ԱՀԿ անդամ երկրների հետ՝ առաջարկելով փոխհատուցումային փաթեթ, որը ձեռնտու կլինի ՀՀ տնտեսությանը:</w:t>
            </w:r>
          </w:p>
          <w:p w:rsidR="0068680D" w:rsidRPr="00423B76" w:rsidRDefault="0068680D" w:rsidP="0068680D">
            <w:pPr>
              <w:pStyle w:val="ListParagraph"/>
              <w:numPr>
                <w:ilvl w:val="0"/>
                <w:numId w:val="386"/>
              </w:numPr>
              <w:spacing w:line="276" w:lineRule="auto"/>
              <w:rPr>
                <w:b/>
                <w:lang w:val="hy-AM"/>
              </w:rPr>
            </w:pPr>
            <w:r w:rsidRPr="00423B76">
              <w:rPr>
                <w:b/>
                <w:lang w:val="hy-AM"/>
              </w:rPr>
              <w:t>Միջոցառման իրականացումից ակնկալվող արդյունքը</w:t>
            </w:r>
          </w:p>
          <w:p w:rsidR="0068680D" w:rsidRDefault="0068680D" w:rsidP="00F47DC4">
            <w:pPr>
              <w:pStyle w:val="NormalWeb"/>
              <w:widowControl w:val="0"/>
              <w:spacing w:before="0" w:beforeAutospacing="0" w:after="0" w:afterAutospacing="0" w:line="276" w:lineRule="auto"/>
              <w:ind w:right="28"/>
              <w:jc w:val="both"/>
              <w:rPr>
                <w:rFonts w:ascii="GHEA Grapalat" w:eastAsiaTheme="minorHAnsi" w:hAnsi="GHEA Grapalat" w:cs="Sylfaen"/>
                <w:sz w:val="20"/>
                <w:szCs w:val="20"/>
                <w:lang w:val="hy-AM"/>
              </w:rPr>
            </w:pPr>
            <w:r w:rsidRPr="00423B76">
              <w:rPr>
                <w:rFonts w:ascii="GHEA Grapalat" w:eastAsiaTheme="minorHAnsi" w:hAnsi="GHEA Grapalat" w:cs="Sylfaen"/>
                <w:sz w:val="20"/>
                <w:szCs w:val="20"/>
                <w:lang w:val="hy-AM"/>
              </w:rPr>
              <w:t>Միջոցառման իրականացումը կապահովի ՀՀ ԱՀԿ պարտավորությունների պատշաճ իրականացումը, ԱՀԿ անդամ երկրների հետ երկկողմ բանակցությունների ավարտը, ՀՀ մաքսատուրքերի սահմանային դրույքաչափերի պարտավորությունների նոր ժամանակացանկի ամրագրումը:</w:t>
            </w:r>
          </w:p>
          <w:p w:rsidR="0068680D" w:rsidRPr="00423B76" w:rsidRDefault="0068680D" w:rsidP="00F47DC4">
            <w:pPr>
              <w:pStyle w:val="NormalWeb"/>
              <w:widowControl w:val="0"/>
              <w:spacing w:before="0" w:beforeAutospacing="0" w:after="0" w:afterAutospacing="0" w:line="276" w:lineRule="auto"/>
              <w:ind w:right="28"/>
              <w:jc w:val="both"/>
              <w:rPr>
                <w:rFonts w:ascii="GHEA Grapalat" w:eastAsiaTheme="minorHAnsi" w:hAnsi="GHEA Grapalat" w:cs="Sylfaen"/>
                <w:sz w:val="20"/>
                <w:szCs w:val="20"/>
                <w:lang w:val="hy-AM"/>
              </w:rPr>
            </w:pPr>
          </w:p>
          <w:p w:rsidR="0068680D" w:rsidRPr="00423B76"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r>
              <w:rPr>
                <w:rFonts w:ascii="GHEA Grapalat" w:hAnsi="GHEA Grapalat" w:cs="Sylfaen"/>
                <w:sz w:val="20"/>
                <w:szCs w:val="20"/>
                <w:lang w:val="hy-AM"/>
              </w:rPr>
              <w:t xml:space="preserve"> 10.6 </w:t>
            </w:r>
            <w:r w:rsidRPr="00423B76">
              <w:rPr>
                <w:rFonts w:ascii="GHEA Grapalat" w:hAnsi="GHEA Grapalat" w:cs="Sylfaen"/>
                <w:sz w:val="20"/>
                <w:szCs w:val="20"/>
                <w:lang w:val="hy-AM"/>
              </w:rPr>
              <w:t>ԵՄ «արտոնությունների ընդհանրացված և համալրված համակարգի» (GSP+) երկրի տարեկան զեկույցի պատրաստում, արտոնյալ առևտրային ռեժիմի և նրա ներքո  գործող «գրանցված արտահանողների համակարգի» (REX) կիրառման ապահովում</w:t>
            </w:r>
          </w:p>
          <w:p w:rsidR="0068680D" w:rsidRPr="00423B76" w:rsidRDefault="0068680D" w:rsidP="0068680D">
            <w:pPr>
              <w:pStyle w:val="ListParagraph"/>
              <w:numPr>
                <w:ilvl w:val="0"/>
                <w:numId w:val="387"/>
              </w:numPr>
              <w:spacing w:line="276" w:lineRule="auto"/>
              <w:rPr>
                <w:b/>
                <w:lang w:val="hy-AM"/>
              </w:rPr>
            </w:pPr>
            <w:r w:rsidRPr="00423B76">
              <w:rPr>
                <w:rFonts w:cs="Sylfaen"/>
                <w:b/>
                <w:lang w:val="hy-AM"/>
              </w:rPr>
              <w:t>Միջոցառման</w:t>
            </w:r>
            <w:r w:rsidRPr="00423B76">
              <w:rPr>
                <w:b/>
                <w:lang w:val="hy-AM"/>
              </w:rPr>
              <w:t xml:space="preserve"> իրականացման անհրաժեշտությունը և նպատակը</w:t>
            </w:r>
          </w:p>
          <w:p w:rsidR="0068680D" w:rsidRPr="00423B76" w:rsidRDefault="0068680D" w:rsidP="00F47DC4">
            <w:pPr>
              <w:spacing w:line="276" w:lineRule="auto"/>
              <w:jc w:val="both"/>
              <w:rPr>
                <w:rFonts w:cs="Sylfaen"/>
                <w:color w:val="000000"/>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5.5 բաժնի դրույթներով:</w:t>
            </w:r>
          </w:p>
          <w:p w:rsidR="0068680D" w:rsidRPr="00423B76" w:rsidRDefault="0068680D" w:rsidP="00F47DC4">
            <w:pPr>
              <w:spacing w:line="276" w:lineRule="auto"/>
              <w:jc w:val="both"/>
              <w:rPr>
                <w:lang w:val="hy-AM"/>
              </w:rPr>
            </w:pPr>
            <w:r w:rsidRPr="00423B76">
              <w:rPr>
                <w:rFonts w:cs="Sylfaen"/>
                <w:color w:val="000000"/>
                <w:lang w:val="hy-AM"/>
              </w:rPr>
              <w:t>Միջոցառման իրականացման</w:t>
            </w:r>
            <w:r w:rsidRPr="00423B76">
              <w:rPr>
                <w:lang w:val="hy-AM"/>
              </w:rPr>
              <w:t xml:space="preserve"> նպատակը ԵՄ շուկայի մատչելիության ավելացումն է, դեպի ԵՄ ՀՀ արտահանման աճի և դիվերսիֆիկացիայի հնարավորության ստեղծումը:</w:t>
            </w:r>
          </w:p>
          <w:p w:rsidR="0068680D" w:rsidRPr="00423B76" w:rsidRDefault="0068680D" w:rsidP="0068680D">
            <w:pPr>
              <w:pStyle w:val="ListParagraph"/>
              <w:numPr>
                <w:ilvl w:val="1"/>
                <w:numId w:val="387"/>
              </w:numPr>
              <w:spacing w:line="276" w:lineRule="auto"/>
              <w:rPr>
                <w:lang w:val="hy-AM"/>
              </w:rPr>
            </w:pPr>
            <w:r w:rsidRPr="00423B76">
              <w:rPr>
                <w:rFonts w:cs="Sylfaen"/>
                <w:b/>
                <w:lang w:val="hy-AM"/>
              </w:rPr>
              <w:t>Ընթացիկ</w:t>
            </w:r>
            <w:r w:rsidRPr="00423B76">
              <w:rPr>
                <w:b/>
                <w:lang w:val="hy-AM"/>
              </w:rPr>
              <w:t xml:space="preserve"> </w:t>
            </w:r>
            <w:r w:rsidRPr="00423B76">
              <w:rPr>
                <w:rFonts w:cs="Sylfaen"/>
                <w:b/>
                <w:lang w:val="hy-AM"/>
              </w:rPr>
              <w:t>իրավիճակը</w:t>
            </w:r>
            <w:r w:rsidRPr="00423B76">
              <w:rPr>
                <w:b/>
                <w:lang w:val="hy-AM"/>
              </w:rPr>
              <w:t xml:space="preserve"> </w:t>
            </w:r>
            <w:r w:rsidRPr="00423B76">
              <w:rPr>
                <w:rFonts w:cs="Sylfaen"/>
                <w:b/>
                <w:lang w:val="hy-AM"/>
              </w:rPr>
              <w:t>և</w:t>
            </w:r>
            <w:r w:rsidRPr="00423B76">
              <w:rPr>
                <w:b/>
                <w:lang w:val="hy-AM"/>
              </w:rPr>
              <w:t xml:space="preserve"> </w:t>
            </w:r>
            <w:r w:rsidRPr="00423B76">
              <w:rPr>
                <w:rFonts w:cs="Sylfaen"/>
                <w:b/>
                <w:lang w:val="hy-AM"/>
              </w:rPr>
              <w:t>խնդիրները</w:t>
            </w:r>
          </w:p>
          <w:p w:rsidR="0068680D" w:rsidRPr="00423B76" w:rsidRDefault="0068680D" w:rsidP="00F47DC4">
            <w:pPr>
              <w:spacing w:line="276" w:lineRule="auto"/>
              <w:jc w:val="both"/>
              <w:rPr>
                <w:rFonts w:cs="Sylfaen"/>
                <w:lang w:val="hy-AM"/>
              </w:rPr>
            </w:pPr>
            <w:r w:rsidRPr="00423B76">
              <w:rPr>
                <w:rFonts w:cs="Sylfaen"/>
                <w:lang w:val="hy-AM"/>
              </w:rPr>
              <w:t>2009թ. հունվարի 1-ից ՀՀ-ն օգտվում է կայուն զարգացման և արդյունավետ կառավարման համար ԵՄ կողմից տրամադրվող «Արտոնությունների ընդհանրացված և համալրված համակարգից» (GSP+): 2014թ. հունվարի 1-ից Եվրոպական Հանձնաժողովի որոշմամբ ՀՀ-ն  ընդգրկվել է ԵՄ վերանայված «Արտոնությունների ընդհանրացված և համալրված համակարգի (GSP+)» արտոնյալ առևտրային ռեժիմի նոր փուլում: «GSP+» համակարգից օգտվելու նախապայման է հանդիսանում մարդու իրավունքներին, աշխատանքային իրավունքներին, բնապահպանությանը և արդյունավետ կառավարմանն առնչվող 27 միջազգային կոնվենցիաների արդյունավետ իրականացման ընթացքը երկրում: «GSP+» արտոնյալ առևտրային ռեժիմը հնարավորություն է տալիս հայկական ծագման ավելի քան 6200 ապրանքատեսակ ԵՄ շուկա արտահանել զրոյական կամ նվազեցված մաքսատուրքերով: Նոր փուլի կանոնակարգի համաձայն` Եվրոպական Հանձնաժողովը ներդրել է «GSP+» դիտանցման նոր մեխանիզմ, որի համաձայն շահառու երկրները պարբերաբար զեկույցներ են ներկայացնում նշյալ կոնվենցիաների իրականացման ընթացքի վերաբերյալ: Սույն տարվա ընթացքի վերաբերյալ զեկույցը պատրաստման փուլում է:</w:t>
            </w:r>
          </w:p>
          <w:p w:rsidR="0068680D" w:rsidRPr="00423B76" w:rsidRDefault="0068680D" w:rsidP="0068680D">
            <w:pPr>
              <w:pStyle w:val="ListParagraph"/>
              <w:numPr>
                <w:ilvl w:val="1"/>
                <w:numId w:val="387"/>
              </w:numPr>
              <w:spacing w:line="276" w:lineRule="auto"/>
              <w:rPr>
                <w:lang w:val="hy-AM"/>
              </w:rPr>
            </w:pPr>
            <w:r w:rsidRPr="00423B76">
              <w:rPr>
                <w:rFonts w:cs="Sylfaen"/>
                <w:b/>
              </w:rPr>
              <w:t>Առկա</w:t>
            </w:r>
            <w:r w:rsidRPr="00423B76">
              <w:rPr>
                <w:b/>
              </w:rPr>
              <w:t xml:space="preserve"> </w:t>
            </w:r>
            <w:r w:rsidRPr="00423B76">
              <w:rPr>
                <w:rFonts w:cs="Sylfaen"/>
                <w:b/>
              </w:rPr>
              <w:t>խնդիրների</w:t>
            </w:r>
            <w:r w:rsidRPr="00423B76">
              <w:rPr>
                <w:b/>
              </w:rPr>
              <w:t xml:space="preserve"> </w:t>
            </w:r>
            <w:r w:rsidRPr="00423B76">
              <w:rPr>
                <w:rFonts w:cs="Sylfaen"/>
                <w:b/>
              </w:rPr>
              <w:t>առաջարկվող</w:t>
            </w:r>
            <w:r w:rsidRPr="00423B76">
              <w:rPr>
                <w:b/>
              </w:rPr>
              <w:t xml:space="preserve"> </w:t>
            </w:r>
            <w:r w:rsidRPr="00423B76">
              <w:rPr>
                <w:rFonts w:cs="Sylfaen"/>
                <w:b/>
              </w:rPr>
              <w:t>լուծումները</w:t>
            </w:r>
            <w:r w:rsidRPr="00423B76">
              <w:rPr>
                <w:b/>
                <w:lang w:val="hy-AM"/>
              </w:rPr>
              <w:t xml:space="preserve">   </w:t>
            </w:r>
          </w:p>
          <w:p w:rsidR="0068680D" w:rsidRPr="00423B76" w:rsidRDefault="0068680D" w:rsidP="00F47DC4">
            <w:pPr>
              <w:spacing w:line="276" w:lineRule="auto"/>
              <w:jc w:val="both"/>
              <w:rPr>
                <w:rFonts w:cs="Sylfaen"/>
                <w:lang w:val="hy-AM"/>
              </w:rPr>
            </w:pPr>
            <w:r w:rsidRPr="00423B76">
              <w:rPr>
                <w:rFonts w:cs="Sylfaen"/>
                <w:lang w:val="hy-AM"/>
              </w:rPr>
              <w:t xml:space="preserve">Կոնվենցիաների իրականացման ընթացքի վերաբերյալ պատրաստվելու են և ԵՄ-ին են տրամադրվելու անհրաժեշտ զեկույցները: </w:t>
            </w:r>
          </w:p>
          <w:p w:rsidR="0068680D" w:rsidRPr="00423B76" w:rsidRDefault="0068680D" w:rsidP="0068680D">
            <w:pPr>
              <w:pStyle w:val="ListParagraph"/>
              <w:numPr>
                <w:ilvl w:val="0"/>
                <w:numId w:val="387"/>
              </w:numPr>
              <w:spacing w:line="276" w:lineRule="auto"/>
              <w:jc w:val="both"/>
              <w:rPr>
                <w:rFonts w:cs="Sylfaen"/>
                <w:lang w:val="hy-AM"/>
              </w:rPr>
            </w:pPr>
            <w:r w:rsidRPr="00423B76">
              <w:rPr>
                <w:rFonts w:cs="Sylfaen"/>
                <w:b/>
              </w:rPr>
              <w:t>Միջոցառման</w:t>
            </w:r>
            <w:r w:rsidRPr="00423B76">
              <w:rPr>
                <w:b/>
              </w:rPr>
              <w:t xml:space="preserve"> </w:t>
            </w:r>
            <w:r w:rsidRPr="00423B76">
              <w:rPr>
                <w:rFonts w:cs="Sylfaen"/>
                <w:b/>
              </w:rPr>
              <w:t>իրականացումից</w:t>
            </w:r>
            <w:r w:rsidRPr="00423B76">
              <w:rPr>
                <w:b/>
              </w:rPr>
              <w:t xml:space="preserve"> </w:t>
            </w:r>
            <w:r w:rsidRPr="00423B76">
              <w:rPr>
                <w:rFonts w:cs="Sylfaen"/>
                <w:b/>
              </w:rPr>
              <w:t>ակնկալվող</w:t>
            </w:r>
            <w:r w:rsidRPr="00423B76">
              <w:rPr>
                <w:b/>
              </w:rPr>
              <w:t xml:space="preserve"> </w:t>
            </w:r>
            <w:r w:rsidRPr="00423B76">
              <w:rPr>
                <w:rFonts w:cs="Sylfaen"/>
                <w:b/>
              </w:rPr>
              <w:t>արդյունքը</w:t>
            </w:r>
          </w:p>
          <w:p w:rsidR="0068680D" w:rsidRDefault="0068680D" w:rsidP="00F47DC4">
            <w:pPr>
              <w:spacing w:line="276" w:lineRule="auto"/>
              <w:jc w:val="both"/>
              <w:rPr>
                <w:rFonts w:cs="Sylfaen"/>
                <w:lang w:val="hy-AM"/>
              </w:rPr>
            </w:pPr>
            <w:r w:rsidRPr="00423B76">
              <w:rPr>
                <w:rFonts w:cs="Sylfaen"/>
                <w:lang w:val="hy-AM"/>
              </w:rPr>
              <w:t>Միջոցառման իրականացումը հնարավորություն կստեղծի ԵՄ երկերներ արտահանման խթանման, արտահանման ծավալների աճի և ապրանքատեսակների դիվերսիֆիկացիայի համար:</w:t>
            </w:r>
          </w:p>
          <w:p w:rsidR="0068680D" w:rsidRPr="00423B76" w:rsidRDefault="0068680D" w:rsidP="00F47DC4">
            <w:pPr>
              <w:spacing w:line="276" w:lineRule="auto"/>
              <w:jc w:val="both"/>
              <w:rPr>
                <w:rFonts w:cs="Sylfaen"/>
                <w:lang w:val="hy-AM"/>
              </w:rPr>
            </w:pPr>
          </w:p>
          <w:p w:rsidR="0068680D" w:rsidRPr="00423B76"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r>
              <w:rPr>
                <w:rFonts w:ascii="GHEA Grapalat" w:hAnsi="GHEA Grapalat" w:cs="Sylfaen"/>
                <w:sz w:val="20"/>
                <w:szCs w:val="20"/>
                <w:lang w:val="hy-AM"/>
              </w:rPr>
              <w:t xml:space="preserve">10.7 </w:t>
            </w:r>
            <w:r w:rsidRPr="00423B76">
              <w:rPr>
                <w:rFonts w:ascii="GHEA Grapalat" w:hAnsi="GHEA Grapalat" w:cs="Sylfaen"/>
                <w:sz w:val="20"/>
                <w:szCs w:val="20"/>
                <w:lang w:val="hy-AM"/>
              </w:rPr>
              <w:t>ՀՀ-ԵՄ «համապարփակ և ընդլայնված գործընկերության համաձայնագրի» առեվտուր և առևտրին առնչվող հարցեր մասում ամրագրված դրույթների իրականացման համակարգում</w:t>
            </w:r>
          </w:p>
          <w:p w:rsidR="0068680D" w:rsidRPr="00423B76" w:rsidRDefault="0068680D" w:rsidP="0068680D">
            <w:pPr>
              <w:pStyle w:val="NormalWeb"/>
              <w:widowControl w:val="0"/>
              <w:numPr>
                <w:ilvl w:val="0"/>
                <w:numId w:val="379"/>
              </w:numPr>
              <w:spacing w:before="0" w:beforeAutospacing="0" w:after="0" w:afterAutospacing="0" w:line="276" w:lineRule="auto"/>
              <w:ind w:right="115"/>
              <w:jc w:val="both"/>
              <w:rPr>
                <w:rFonts w:ascii="GHEA Grapalat" w:hAnsi="GHEA Grapalat"/>
                <w:b/>
                <w:color w:val="000000"/>
                <w:sz w:val="20"/>
                <w:szCs w:val="20"/>
                <w:lang w:val="hy-AM"/>
              </w:rPr>
            </w:pPr>
            <w:r w:rsidRPr="00423B76">
              <w:rPr>
                <w:rFonts w:ascii="GHEA Grapalat" w:hAnsi="GHEA Grapalat"/>
                <w:b/>
                <w:color w:val="000000"/>
                <w:sz w:val="20"/>
                <w:szCs w:val="20"/>
                <w:lang w:val="hy-AM"/>
              </w:rPr>
              <w:t>Միջոցառման իրականացման անհրաժեշտությունը և նպատակը</w:t>
            </w:r>
          </w:p>
          <w:p w:rsidR="0068680D" w:rsidRPr="00423B76" w:rsidRDefault="0068680D" w:rsidP="00F47DC4">
            <w:pPr>
              <w:spacing w:line="276" w:lineRule="auto"/>
              <w:jc w:val="both"/>
              <w:rPr>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5.4 բաժնի դրույթներով: </w:t>
            </w:r>
            <w:r w:rsidRPr="00423B76">
              <w:rPr>
                <w:rFonts w:cs="Arial"/>
                <w:lang w:val="hy-AM"/>
              </w:rPr>
              <w:t>Միջոցառման իրականացման իրավական</w:t>
            </w:r>
            <w:r w:rsidRPr="00423B76">
              <w:rPr>
                <w:lang w:val="hy-AM"/>
              </w:rPr>
              <w:t xml:space="preserve"> </w:t>
            </w:r>
            <w:r w:rsidRPr="00423B76">
              <w:rPr>
                <w:rFonts w:cs="Arial"/>
                <w:lang w:val="hy-AM"/>
              </w:rPr>
              <w:t>հիմքն</w:t>
            </w:r>
            <w:r w:rsidRPr="00423B76">
              <w:rPr>
                <w:lang w:val="hy-AM"/>
              </w:rPr>
              <w:t xml:space="preserve"> </w:t>
            </w:r>
            <w:r w:rsidRPr="00423B76">
              <w:rPr>
                <w:rFonts w:cs="Arial"/>
                <w:lang w:val="hy-AM"/>
              </w:rPr>
              <w:t>է</w:t>
            </w:r>
            <w:r w:rsidRPr="00423B76">
              <w:rPr>
                <w:lang w:val="hy-AM"/>
              </w:rPr>
              <w:t xml:space="preserve"> </w:t>
            </w:r>
            <w:r w:rsidRPr="00423B76">
              <w:rPr>
                <w:rFonts w:cs="Arial"/>
                <w:lang w:val="hy-AM"/>
              </w:rPr>
              <w:t>ՀՀ</w:t>
            </w:r>
            <w:r w:rsidRPr="00423B76">
              <w:rPr>
                <w:lang w:val="hy-AM"/>
              </w:rPr>
              <w:t>-</w:t>
            </w:r>
            <w:r w:rsidRPr="00423B76">
              <w:rPr>
                <w:rFonts w:cs="Arial"/>
                <w:lang w:val="hy-AM"/>
              </w:rPr>
              <w:t>ԵՄ</w:t>
            </w:r>
            <w:r w:rsidRPr="00423B76">
              <w:rPr>
                <w:lang w:val="hy-AM"/>
              </w:rPr>
              <w:t xml:space="preserve"> «</w:t>
            </w:r>
            <w:r w:rsidRPr="00423B76">
              <w:rPr>
                <w:rFonts w:cs="Arial"/>
                <w:lang w:val="hy-AM"/>
              </w:rPr>
              <w:t>Համապարփակ</w:t>
            </w:r>
            <w:r w:rsidRPr="00423B76">
              <w:rPr>
                <w:lang w:val="hy-AM"/>
              </w:rPr>
              <w:t xml:space="preserve"> </w:t>
            </w:r>
            <w:r w:rsidRPr="00423B76">
              <w:rPr>
                <w:rFonts w:cs="Arial"/>
                <w:lang w:val="hy-AM"/>
              </w:rPr>
              <w:t>և</w:t>
            </w:r>
            <w:r w:rsidRPr="00423B76">
              <w:rPr>
                <w:lang w:val="hy-AM"/>
              </w:rPr>
              <w:t xml:space="preserve"> </w:t>
            </w:r>
            <w:r w:rsidRPr="00423B76">
              <w:rPr>
                <w:rFonts w:cs="Arial"/>
                <w:lang w:val="hy-AM"/>
              </w:rPr>
              <w:t>ընդլայնված</w:t>
            </w:r>
            <w:r w:rsidRPr="00423B76">
              <w:rPr>
                <w:lang w:val="hy-AM"/>
              </w:rPr>
              <w:t xml:space="preserve"> </w:t>
            </w:r>
            <w:r w:rsidRPr="00423B76">
              <w:rPr>
                <w:rFonts w:cs="Arial"/>
                <w:lang w:val="hy-AM"/>
              </w:rPr>
              <w:t>գործընկերության</w:t>
            </w:r>
            <w:r w:rsidRPr="00423B76">
              <w:rPr>
                <w:lang w:val="hy-AM"/>
              </w:rPr>
              <w:t xml:space="preserve"> </w:t>
            </w:r>
            <w:r w:rsidRPr="00423B76">
              <w:rPr>
                <w:rFonts w:cs="Arial"/>
                <w:lang w:val="hy-AM"/>
              </w:rPr>
              <w:t>համաձայնագիրը</w:t>
            </w:r>
            <w:r w:rsidRPr="00423B76">
              <w:rPr>
                <w:lang w:val="hy-AM"/>
              </w:rPr>
              <w:t>», իսկ նպատակը բխում է ՀՀ-ԵՄ Համապարփակ և ընդլայնված գործընկերության համաձայնագրով ՀՀ կողմից ստանձնած պարտավորություններից:</w:t>
            </w:r>
          </w:p>
          <w:p w:rsidR="0068680D" w:rsidRPr="00423B76" w:rsidRDefault="0068680D" w:rsidP="0068680D">
            <w:pPr>
              <w:pStyle w:val="NormalWeb"/>
              <w:widowControl w:val="0"/>
              <w:numPr>
                <w:ilvl w:val="1"/>
                <w:numId w:val="379"/>
              </w:numPr>
              <w:spacing w:before="0" w:beforeAutospacing="0" w:after="0" w:afterAutospacing="0" w:line="276" w:lineRule="auto"/>
              <w:ind w:right="115"/>
              <w:jc w:val="both"/>
              <w:rPr>
                <w:rFonts w:ascii="GHEA Grapalat" w:hAnsi="GHEA Grapalat"/>
                <w:b/>
                <w:color w:val="000000" w:themeColor="text1"/>
                <w:sz w:val="20"/>
                <w:szCs w:val="20"/>
                <w:lang w:val="hy-AM"/>
              </w:rPr>
            </w:pPr>
            <w:r w:rsidRPr="00423B76">
              <w:rPr>
                <w:rFonts w:ascii="GHEA Grapalat" w:hAnsi="GHEA Grapalat"/>
                <w:b/>
                <w:color w:val="000000" w:themeColor="text1"/>
                <w:sz w:val="20"/>
                <w:szCs w:val="20"/>
                <w:lang w:val="hy-AM"/>
              </w:rPr>
              <w:t>Կարգավորման հարաբերությունների ներկա վիճակը և առկա խնդիրները</w:t>
            </w:r>
          </w:p>
          <w:p w:rsidR="0068680D" w:rsidRPr="00423B76" w:rsidRDefault="0068680D" w:rsidP="00F47DC4">
            <w:pPr>
              <w:spacing w:line="276" w:lineRule="auto"/>
              <w:jc w:val="both"/>
              <w:rPr>
                <w:lang w:val="hy-AM"/>
              </w:rPr>
            </w:pPr>
            <w:r w:rsidRPr="00423B76">
              <w:rPr>
                <w:lang w:val="hy-AM"/>
              </w:rPr>
              <w:t>2018թ. հունիսի 1-ից պայմանականորեն ուժի մեջ է մտել ՀՀ-ԵՄ «Համապարփակ և ընդլայնված գործընկերության համաձայնագիրը»: ՀՀ տնտեսական զարգացման և ներդրումների նախարարությունը հանդիսանում է Համաձայնագրի «Առևտուր և առևտրին առնչվող հարցեր մասի իրականացման համակարգող մարմինը: Համաձայնագրով նախատեսված է յուրաքանչուր տարի անցկացնել ՀՀ-ԵՄ Առևտրի գործընկերության կոմիտեի, ինչպես նաև առևտրի ոլորտում համապատասխան ենթակոմիտեների նիստեր, որոնց ընթացքում քննարկվելու են Համաձայնագրի իրականացման ընթացքը, ինչպես նաև ՀՀ-ԵՄ առևտրատնտեսական համագործակցության խորացման հնարավորությունները:</w:t>
            </w:r>
          </w:p>
          <w:p w:rsidR="0068680D" w:rsidRPr="00423B76" w:rsidRDefault="0068680D" w:rsidP="0068680D">
            <w:pPr>
              <w:pStyle w:val="NormalWeb"/>
              <w:widowControl w:val="0"/>
              <w:numPr>
                <w:ilvl w:val="1"/>
                <w:numId w:val="379"/>
              </w:numPr>
              <w:spacing w:before="0" w:beforeAutospacing="0" w:after="0" w:afterAutospacing="0" w:line="276" w:lineRule="auto"/>
              <w:ind w:right="115"/>
              <w:jc w:val="both"/>
              <w:rPr>
                <w:rFonts w:ascii="GHEA Grapalat" w:hAnsi="GHEA Grapalat"/>
                <w:b/>
                <w:color w:val="000000" w:themeColor="text1"/>
                <w:sz w:val="20"/>
                <w:szCs w:val="20"/>
                <w:lang w:val="hy-AM"/>
              </w:rPr>
            </w:pPr>
            <w:r w:rsidRPr="00423B76">
              <w:rPr>
                <w:rFonts w:ascii="GHEA Grapalat" w:hAnsi="GHEA Grapalat"/>
                <w:b/>
                <w:color w:val="000000" w:themeColor="text1"/>
                <w:sz w:val="20"/>
                <w:szCs w:val="20"/>
                <w:lang w:val="hy-AM"/>
              </w:rPr>
              <w:t>Առկա խնդիրների առաջարկվող լուծումները</w:t>
            </w:r>
          </w:p>
          <w:p w:rsidR="0068680D" w:rsidRPr="00423B76" w:rsidRDefault="0068680D" w:rsidP="00F47DC4">
            <w:pPr>
              <w:spacing w:line="276" w:lineRule="auto"/>
              <w:jc w:val="both"/>
              <w:rPr>
                <w:lang w:val="hy-AM"/>
              </w:rPr>
            </w:pPr>
            <w:r w:rsidRPr="00423B76">
              <w:rPr>
                <w:lang w:val="hy-AM"/>
              </w:rPr>
              <w:t>Իրականացվելու է ՀՀ-ԵՄ «Համապարփակ և ընդլայնված գործընկերության համաձայնագրի» «Առևտուր և առևտրին առնչվող հարցեր մասի իրականացման գործընթացը համակարգումը, կազմակերպելվելու են ՀՀ-ԵՄ Առևտրի գործընկերության կոմիտեի, ինչպես նաև առևտրի ոլորտում համապատասխան ենթակոմիտեների նիստերը, ուսումնասիրվելու են և ԵՄ կողմի հետ քննարկվելու են ՀՀ-ԵՄ առևտրատնտեսական համագործակցության խորացման հնարավորությունները:</w:t>
            </w:r>
          </w:p>
          <w:p w:rsidR="0068680D" w:rsidRPr="00423B76" w:rsidRDefault="0068680D" w:rsidP="0068680D">
            <w:pPr>
              <w:pStyle w:val="ListParagraph"/>
              <w:numPr>
                <w:ilvl w:val="0"/>
                <w:numId w:val="379"/>
              </w:numPr>
              <w:spacing w:line="276" w:lineRule="auto"/>
              <w:contextualSpacing w:val="0"/>
              <w:jc w:val="both"/>
              <w:rPr>
                <w:lang w:val="hy-AM"/>
              </w:rPr>
            </w:pPr>
            <w:r w:rsidRPr="00423B76">
              <w:rPr>
                <w:rFonts w:cs="Arial"/>
                <w:b/>
              </w:rPr>
              <w:t>Միջոցառման</w:t>
            </w:r>
            <w:r w:rsidRPr="00423B76">
              <w:rPr>
                <w:b/>
              </w:rPr>
              <w:t xml:space="preserve"> </w:t>
            </w:r>
            <w:r w:rsidRPr="00423B76">
              <w:rPr>
                <w:rFonts w:cs="Arial"/>
                <w:b/>
              </w:rPr>
              <w:t>իրականացումից</w:t>
            </w:r>
            <w:r w:rsidRPr="00423B76">
              <w:rPr>
                <w:b/>
              </w:rPr>
              <w:t xml:space="preserve"> </w:t>
            </w:r>
            <w:r w:rsidRPr="00423B76">
              <w:rPr>
                <w:rFonts w:cs="Arial"/>
                <w:b/>
              </w:rPr>
              <w:t>ակնկալվող</w:t>
            </w:r>
            <w:r w:rsidRPr="00423B76">
              <w:rPr>
                <w:b/>
              </w:rPr>
              <w:t xml:space="preserve"> </w:t>
            </w:r>
            <w:r w:rsidRPr="00423B76">
              <w:rPr>
                <w:rFonts w:cs="Arial"/>
                <w:b/>
              </w:rPr>
              <w:t>արդյունքը</w:t>
            </w:r>
          </w:p>
          <w:p w:rsidR="0068680D" w:rsidRPr="00423B76" w:rsidRDefault="0068680D" w:rsidP="00F47DC4">
            <w:pPr>
              <w:spacing w:line="276" w:lineRule="auto"/>
              <w:jc w:val="both"/>
              <w:rPr>
                <w:lang w:val="hy-AM"/>
              </w:rPr>
            </w:pPr>
            <w:r w:rsidRPr="00423B76">
              <w:rPr>
                <w:lang w:val="hy-AM"/>
              </w:rPr>
              <w:t>Ակնկալվում է ՀՀ-ԵՄ առևտրատնտեսական համագործակցության խորացում:</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11.</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60"/>
              <w:outlineLvl w:val="0"/>
              <w:rPr>
                <w:rFonts w:ascii="GHEA Grapalat" w:hAnsi="GHEA Grapalat"/>
                <w:sz w:val="20"/>
                <w:szCs w:val="20"/>
                <w:lang w:val="hy-AM"/>
              </w:rPr>
            </w:pPr>
            <w:r w:rsidRPr="00423B76">
              <w:rPr>
                <w:rFonts w:ascii="GHEA Grapalat" w:hAnsi="GHEA Grapalat"/>
                <w:sz w:val="20"/>
                <w:szCs w:val="20"/>
                <w:lang w:val="hy-AM"/>
              </w:rPr>
              <w:t>ԵՄ կողմից ՀՀ-ին տրամադրվող աջակցության համակարգում</w:t>
            </w:r>
          </w:p>
          <w:p w:rsidR="0068680D" w:rsidRDefault="0068680D" w:rsidP="00F47DC4">
            <w:pPr>
              <w:pStyle w:val="Heading2"/>
              <w:spacing w:before="0" w:beforeAutospacing="0" w:after="0" w:afterAutospacing="0" w:line="276" w:lineRule="auto"/>
              <w:ind w:left="60"/>
              <w:outlineLvl w:val="1"/>
              <w:rPr>
                <w:rFonts w:ascii="GHEA Grapalat" w:hAnsi="GHEA Grapalat" w:cs="Sylfaen"/>
                <w:sz w:val="20"/>
                <w:szCs w:val="20"/>
                <w:lang w:val="hy-AM"/>
              </w:rPr>
            </w:pPr>
          </w:p>
          <w:p w:rsidR="0068680D" w:rsidRPr="00423B76" w:rsidRDefault="0068680D" w:rsidP="00F47DC4">
            <w:pPr>
              <w:pStyle w:val="Heading2"/>
              <w:spacing w:before="0" w:beforeAutospacing="0" w:after="0" w:afterAutospacing="0" w:line="276" w:lineRule="auto"/>
              <w:ind w:left="60"/>
              <w:outlineLvl w:val="1"/>
              <w:rPr>
                <w:rFonts w:ascii="GHEA Grapalat" w:hAnsi="GHEA Grapalat" w:cs="Sylfaen"/>
                <w:sz w:val="20"/>
                <w:szCs w:val="20"/>
                <w:lang w:val="hy-AM"/>
              </w:rPr>
            </w:pPr>
            <w:r>
              <w:rPr>
                <w:rFonts w:ascii="GHEA Grapalat" w:hAnsi="GHEA Grapalat" w:cs="Sylfaen"/>
                <w:sz w:val="20"/>
                <w:szCs w:val="20"/>
                <w:lang w:val="hy-AM"/>
              </w:rPr>
              <w:t xml:space="preserve"> 11.1  </w:t>
            </w:r>
            <w:r w:rsidRPr="00423B76">
              <w:rPr>
                <w:rFonts w:ascii="GHEA Grapalat" w:hAnsi="GHEA Grapalat" w:cs="Sylfaen"/>
                <w:sz w:val="20"/>
                <w:szCs w:val="20"/>
                <w:lang w:val="hy-AM"/>
              </w:rPr>
              <w:t>ԵՄ 2019թ. տարեկան գործողությունների ծրագրի ներքո ֆինանսավորման համաձայնագրերի շուրջ քննարկումների և բանակցությունների համակարգում, դրանց ներքո իրականացվելիք ենթածրագրերի համակարգում, ուժի մեջ մտնելու համար անհրաժեշտ ներպետական ընթացակարգերի ապահովում</w:t>
            </w:r>
          </w:p>
          <w:p w:rsidR="0068680D" w:rsidRPr="00423B76" w:rsidRDefault="0068680D" w:rsidP="0068680D">
            <w:pPr>
              <w:pStyle w:val="NormalWeb"/>
              <w:widowControl w:val="0"/>
              <w:numPr>
                <w:ilvl w:val="0"/>
                <w:numId w:val="388"/>
              </w:numPr>
              <w:spacing w:before="0" w:beforeAutospacing="0" w:after="0" w:afterAutospacing="0" w:line="276" w:lineRule="auto"/>
              <w:ind w:right="115"/>
              <w:jc w:val="both"/>
              <w:rPr>
                <w:rFonts w:ascii="GHEA Grapalat" w:hAnsi="GHEA Grapalat"/>
                <w:b/>
                <w:color w:val="000000"/>
                <w:sz w:val="20"/>
                <w:szCs w:val="20"/>
                <w:lang w:val="hy-AM"/>
              </w:rPr>
            </w:pPr>
            <w:r w:rsidRPr="00423B76">
              <w:rPr>
                <w:rFonts w:ascii="GHEA Grapalat" w:hAnsi="GHEA Grapalat"/>
                <w:b/>
                <w:color w:val="000000"/>
                <w:sz w:val="20"/>
                <w:szCs w:val="20"/>
                <w:lang w:val="hy-AM"/>
              </w:rPr>
              <w:t>Միջոցառման իրականացման անհրաժեշտությունը և նպատակը</w:t>
            </w:r>
          </w:p>
          <w:p w:rsidR="0068680D" w:rsidRPr="00423B76" w:rsidRDefault="0068680D" w:rsidP="00F47DC4">
            <w:pPr>
              <w:pStyle w:val="NormalWeb"/>
              <w:widowControl w:val="0"/>
              <w:spacing w:before="0" w:beforeAutospacing="0" w:after="0" w:afterAutospacing="0" w:line="276" w:lineRule="auto"/>
              <w:ind w:right="28"/>
              <w:jc w:val="both"/>
              <w:rPr>
                <w:rFonts w:ascii="GHEA Grapalat" w:eastAsiaTheme="minorHAnsi" w:hAnsi="GHEA Grapalat" w:cstheme="minorBidi"/>
                <w:sz w:val="20"/>
                <w:szCs w:val="20"/>
                <w:lang w:val="hy-AM"/>
              </w:rPr>
            </w:pPr>
            <w:r w:rsidRPr="00423B76">
              <w:rPr>
                <w:rFonts w:ascii="GHEA Grapalat" w:hAnsi="GHEA Grapalat"/>
                <w:color w:val="000000" w:themeColor="text1"/>
                <w:sz w:val="20"/>
                <w:szCs w:val="20"/>
                <w:lang w:val="hy-AM"/>
              </w:rPr>
              <w:t xml:space="preserve">Միջոցառման իրակացման անհրաժեշտությունը պայմանավորված է </w:t>
            </w:r>
            <w:r w:rsidRPr="008B587D">
              <w:rPr>
                <w:rFonts w:ascii="GHEA Grapalat" w:hAnsi="GHEA Grapalat"/>
                <w:sz w:val="20"/>
                <w:lang w:val="af-ZA"/>
              </w:rPr>
              <w:t xml:space="preserve">ՀՀ Ազգային ժողովի 14.02.2019թ. N ԱԺՈ-002-Ն որոշմամբ հավանության արժանացած </w:t>
            </w:r>
            <w:r>
              <w:rPr>
                <w:sz w:val="20"/>
                <w:lang w:val="hy-AM"/>
              </w:rPr>
              <w:t>ՀՀ</w:t>
            </w:r>
            <w:r w:rsidRPr="008B587D">
              <w:rPr>
                <w:rFonts w:ascii="GHEA Grapalat" w:hAnsi="GHEA Grapalat"/>
                <w:sz w:val="20"/>
                <w:lang w:val="af-ZA"/>
              </w:rPr>
              <w:t xml:space="preserve"> կառավարության ծրագրի</w:t>
            </w:r>
            <w:r w:rsidRPr="00423B76">
              <w:rPr>
                <w:rFonts w:ascii="GHEA Grapalat" w:hAnsi="GHEA Grapalat" w:cs="Sylfaen"/>
                <w:color w:val="000000"/>
                <w:sz w:val="20"/>
                <w:szCs w:val="20"/>
                <w:lang w:val="hy-AM"/>
              </w:rPr>
              <w:t xml:space="preserve"> 5.5 բաժնի դրույթներով: </w:t>
            </w:r>
            <w:r w:rsidRPr="00423B76">
              <w:rPr>
                <w:rFonts w:ascii="GHEA Grapalat" w:eastAsiaTheme="minorHAnsi" w:hAnsi="GHEA Grapalat" w:cstheme="minorBidi"/>
                <w:sz w:val="20"/>
                <w:szCs w:val="20"/>
                <w:lang w:val="hy-AM"/>
              </w:rPr>
              <w:t xml:space="preserve"> ԵՄ 2019թ. տարեկան գործողությունների ծրագրի ներքո ֆինանսավորման համաձայնագրերի և դրանց ներքո իրականացվելիք ենթածրագրերի և միջոցառումների մասով աշխատանքների իրականացումը բխում է Եվրամիության կողմից ՀՀ-ին տրամադրվող աջակցության համակարգման անհրաժեշտությունից: Նպատակն է ԵՄ տեխնիկական աջակցության շրջանակներում ֆինանսավորման համաձայնագրերի շուրջ բանակցությունների համակարգումը, համաձայնագրերի ստորագրման և ուժի մեջ մտնելու համար օրենքով սահմանված բոլոր ընթացակարգերի ապահովումը, ֆինանսավորման համաձայնագրերի շրջանակներում նախատեսված ծրագրերի իրականացման ընթացքի մշտադիտարկումը և գնահատումը, թիրախային ոլորտներում զարգացման ծրագրերի իրականացման ապահովումը:</w:t>
            </w:r>
          </w:p>
          <w:p w:rsidR="0068680D" w:rsidRPr="00423B76" w:rsidRDefault="0068680D" w:rsidP="0068680D">
            <w:pPr>
              <w:pStyle w:val="NormalWeb"/>
              <w:widowControl w:val="0"/>
              <w:numPr>
                <w:ilvl w:val="1"/>
                <w:numId w:val="388"/>
              </w:numPr>
              <w:spacing w:before="0" w:beforeAutospacing="0" w:after="0" w:afterAutospacing="0" w:line="276" w:lineRule="auto"/>
              <w:ind w:left="810" w:right="28" w:hanging="450"/>
              <w:jc w:val="both"/>
              <w:rPr>
                <w:rFonts w:ascii="GHEA Grapalat" w:hAnsi="GHEA Grapalat" w:cs="Arial"/>
                <w:b/>
                <w:sz w:val="20"/>
                <w:szCs w:val="20"/>
                <w:lang w:val="hy-AM"/>
              </w:rPr>
            </w:pPr>
            <w:r w:rsidRPr="00423B76">
              <w:rPr>
                <w:rFonts w:ascii="GHEA Grapalat" w:hAnsi="GHEA Grapalat" w:cs="Arial"/>
                <w:b/>
                <w:sz w:val="20"/>
                <w:szCs w:val="20"/>
                <w:lang w:val="hy-AM"/>
              </w:rPr>
              <w:t>Ընթացիկ իրավիճակը և խնդիրները</w:t>
            </w:r>
          </w:p>
          <w:p w:rsidR="0068680D" w:rsidRPr="00423B76" w:rsidRDefault="0068680D" w:rsidP="00F47DC4">
            <w:pPr>
              <w:pStyle w:val="NormalWeb"/>
              <w:widowControl w:val="0"/>
              <w:spacing w:before="0" w:beforeAutospacing="0" w:after="0" w:afterAutospacing="0" w:line="276" w:lineRule="auto"/>
              <w:ind w:right="28"/>
              <w:jc w:val="both"/>
              <w:rPr>
                <w:rFonts w:ascii="GHEA Grapalat" w:eastAsiaTheme="minorHAnsi" w:hAnsi="GHEA Grapalat" w:cstheme="minorBidi"/>
                <w:sz w:val="20"/>
                <w:szCs w:val="20"/>
                <w:lang w:val="hy-AM"/>
              </w:rPr>
            </w:pPr>
            <w:r w:rsidRPr="00423B76">
              <w:rPr>
                <w:rFonts w:ascii="GHEA Grapalat" w:eastAsiaTheme="minorHAnsi" w:hAnsi="GHEA Grapalat" w:cstheme="minorBidi"/>
                <w:sz w:val="20"/>
                <w:szCs w:val="20"/>
                <w:lang w:val="hy-AM"/>
              </w:rPr>
              <w:t xml:space="preserve">Եվրոպական Միության «Միասնական աջակցության շրջանակ» (Single Support Framework) փաստաթղթով սահմանվում է 2017-2020թթ. համար Հայաստանին տրամադրվելիք երկարաժամկետ աջակցությունը: Նախատեսված աջակցության ինդիկատիվ գումարը 144 մլն-176 մլն եվրո է` հետևյալ 4 ուղղություններով՝ </w:t>
            </w:r>
          </w:p>
          <w:p w:rsidR="0068680D" w:rsidRPr="00423B76" w:rsidRDefault="0068680D" w:rsidP="0068680D">
            <w:pPr>
              <w:pStyle w:val="NormalWeb"/>
              <w:widowControl w:val="0"/>
              <w:numPr>
                <w:ilvl w:val="0"/>
                <w:numId w:val="389"/>
              </w:numPr>
              <w:spacing w:before="0" w:beforeAutospacing="0" w:after="0" w:afterAutospacing="0" w:line="276" w:lineRule="auto"/>
              <w:ind w:right="28"/>
              <w:jc w:val="both"/>
              <w:rPr>
                <w:rFonts w:ascii="GHEA Grapalat" w:hAnsi="GHEA Grapalat"/>
                <w:sz w:val="20"/>
                <w:szCs w:val="20"/>
                <w:lang w:val="hy-AM"/>
              </w:rPr>
            </w:pPr>
            <w:r w:rsidRPr="00423B76">
              <w:rPr>
                <w:rFonts w:ascii="GHEA Grapalat" w:eastAsiaTheme="minorHAnsi" w:hAnsi="GHEA Grapalat" w:cstheme="minorBidi"/>
                <w:sz w:val="20"/>
                <w:szCs w:val="20"/>
                <w:lang w:val="hy-AM"/>
              </w:rPr>
              <w:t xml:space="preserve">Տնտեսական զարգացում ու շուկայական հնարավորություններ, </w:t>
            </w:r>
          </w:p>
          <w:p w:rsidR="0068680D" w:rsidRPr="00423B76" w:rsidRDefault="0068680D" w:rsidP="0068680D">
            <w:pPr>
              <w:pStyle w:val="NormalWeb"/>
              <w:widowControl w:val="0"/>
              <w:numPr>
                <w:ilvl w:val="0"/>
                <w:numId w:val="389"/>
              </w:numPr>
              <w:spacing w:before="0" w:beforeAutospacing="0" w:after="0" w:afterAutospacing="0" w:line="276" w:lineRule="auto"/>
              <w:ind w:right="28"/>
              <w:jc w:val="both"/>
              <w:rPr>
                <w:rFonts w:ascii="GHEA Grapalat" w:hAnsi="GHEA Grapalat"/>
                <w:sz w:val="20"/>
                <w:szCs w:val="20"/>
                <w:lang w:val="hy-AM"/>
              </w:rPr>
            </w:pPr>
            <w:r w:rsidRPr="00423B76">
              <w:rPr>
                <w:rFonts w:ascii="GHEA Grapalat" w:eastAsiaTheme="minorHAnsi" w:hAnsi="GHEA Grapalat" w:cstheme="minorBidi"/>
                <w:sz w:val="20"/>
                <w:szCs w:val="20"/>
                <w:lang w:val="hy-AM"/>
              </w:rPr>
              <w:t xml:space="preserve">Ինստիտուցիոնալ հզորացում և լավ կառավարում, </w:t>
            </w:r>
          </w:p>
          <w:p w:rsidR="0068680D" w:rsidRPr="00423B76" w:rsidRDefault="0068680D" w:rsidP="0068680D">
            <w:pPr>
              <w:pStyle w:val="NormalWeb"/>
              <w:widowControl w:val="0"/>
              <w:numPr>
                <w:ilvl w:val="0"/>
                <w:numId w:val="389"/>
              </w:numPr>
              <w:spacing w:before="0" w:beforeAutospacing="0" w:after="0" w:afterAutospacing="0" w:line="276" w:lineRule="auto"/>
              <w:ind w:right="28"/>
              <w:jc w:val="both"/>
              <w:rPr>
                <w:rFonts w:ascii="GHEA Grapalat" w:hAnsi="GHEA Grapalat"/>
                <w:sz w:val="20"/>
                <w:szCs w:val="20"/>
                <w:lang w:val="hy-AM"/>
              </w:rPr>
            </w:pPr>
            <w:r w:rsidRPr="00423B76">
              <w:rPr>
                <w:rFonts w:ascii="GHEA Grapalat" w:eastAsiaTheme="minorHAnsi" w:hAnsi="GHEA Grapalat" w:cstheme="minorBidi"/>
                <w:sz w:val="20"/>
                <w:szCs w:val="20"/>
                <w:lang w:val="hy-AM"/>
              </w:rPr>
              <w:t xml:space="preserve">Հաղորդակցություն, էներգետիկ արդյունավետություն, բնապահպանություն ու կլիմայի փոփոխություն, </w:t>
            </w:r>
          </w:p>
          <w:p w:rsidR="0068680D" w:rsidRPr="00423B76" w:rsidRDefault="0068680D" w:rsidP="0068680D">
            <w:pPr>
              <w:pStyle w:val="NormalWeb"/>
              <w:widowControl w:val="0"/>
              <w:numPr>
                <w:ilvl w:val="0"/>
                <w:numId w:val="389"/>
              </w:numPr>
              <w:spacing w:before="0" w:beforeAutospacing="0" w:after="0" w:afterAutospacing="0" w:line="276" w:lineRule="auto"/>
              <w:ind w:right="28"/>
              <w:jc w:val="both"/>
              <w:rPr>
                <w:rFonts w:ascii="GHEA Grapalat" w:hAnsi="GHEA Grapalat"/>
                <w:sz w:val="20"/>
                <w:szCs w:val="20"/>
                <w:lang w:val="hy-AM"/>
              </w:rPr>
            </w:pPr>
            <w:r w:rsidRPr="00423B76">
              <w:rPr>
                <w:rFonts w:ascii="GHEA Grapalat" w:eastAsiaTheme="minorHAnsi" w:hAnsi="GHEA Grapalat" w:cstheme="minorBidi"/>
                <w:sz w:val="20"/>
                <w:szCs w:val="20"/>
                <w:lang w:val="hy-AM"/>
              </w:rPr>
              <w:t xml:space="preserve">Շարժունակություն ու մարդկանց միջև շփումներ: </w:t>
            </w:r>
          </w:p>
          <w:p w:rsidR="0068680D" w:rsidRPr="00423B76" w:rsidRDefault="0068680D" w:rsidP="00F47DC4">
            <w:pPr>
              <w:pStyle w:val="NormalWeb"/>
              <w:widowControl w:val="0"/>
              <w:spacing w:before="0" w:beforeAutospacing="0" w:after="0" w:afterAutospacing="0" w:line="276" w:lineRule="auto"/>
              <w:ind w:right="28"/>
              <w:jc w:val="both"/>
              <w:rPr>
                <w:rFonts w:ascii="GHEA Grapalat" w:hAnsi="GHEA Grapalat"/>
                <w:sz w:val="20"/>
                <w:szCs w:val="20"/>
                <w:lang w:val="hy-AM"/>
              </w:rPr>
            </w:pPr>
            <w:r w:rsidRPr="00423B76">
              <w:rPr>
                <w:rFonts w:ascii="GHEA Grapalat" w:eastAsiaTheme="minorHAnsi" w:hAnsi="GHEA Grapalat" w:cstheme="minorBidi"/>
                <w:sz w:val="20"/>
                <w:szCs w:val="20"/>
                <w:lang w:val="hy-AM"/>
              </w:rPr>
              <w:t xml:space="preserve">Միասնական աջակցության շրջանակով նախատեսված աջակցությունը տրամադրվում է տարեկան գործողությունների ծրագրի ներքո ֆինանսավորման համաձայնագրերի միջոցով, որոնց հաստատումը և իրականացումը ՀՀ-ԵՄ երկկողմ արդյունավետ աշխատանքի գրավականն է: </w:t>
            </w:r>
            <w:r w:rsidRPr="00423B76">
              <w:rPr>
                <w:rFonts w:ascii="GHEA Grapalat" w:hAnsi="GHEA Grapalat" w:cs="Arial"/>
                <w:sz w:val="20"/>
                <w:szCs w:val="20"/>
                <w:lang w:val="hy-AM"/>
              </w:rPr>
              <w:t>Պատրաստվել և եվրոպական կողմին են տրամադրվել ԵՄ բյուջետային աջակցության 4 ֆինանսավորման համաձայնագրերով ամրագրված պայմանների իրականացման մասով գնահատման զեկույցները: 4 համաձայնագրերով նախատեսված որոշ պայմանների վերախմբագրման և/կամ  իրականացման ժամկետների երկարաձգման խնդրանք-գրություններ են տրամադրվել եվրոպական կողմին: Որոշ նախապայմանների մասով անհրաժեշտ են համապատասխան օրենքների և իրավական ակտերի ընդունում</w:t>
            </w:r>
            <w:r w:rsidRPr="00423B76">
              <w:rPr>
                <w:rFonts w:ascii="GHEA Grapalat" w:hAnsi="GHEA Grapalat"/>
                <w:sz w:val="20"/>
                <w:szCs w:val="20"/>
                <w:lang w:val="hy-AM"/>
              </w:rPr>
              <w:t>:</w:t>
            </w:r>
          </w:p>
          <w:p w:rsidR="0068680D" w:rsidRPr="00423B76" w:rsidRDefault="0068680D" w:rsidP="0068680D">
            <w:pPr>
              <w:pStyle w:val="NormalWeb"/>
              <w:widowControl w:val="0"/>
              <w:numPr>
                <w:ilvl w:val="1"/>
                <w:numId w:val="388"/>
              </w:numPr>
              <w:spacing w:before="0" w:beforeAutospacing="0" w:after="0" w:afterAutospacing="0" w:line="276" w:lineRule="auto"/>
              <w:ind w:left="810" w:right="28" w:hanging="450"/>
              <w:jc w:val="both"/>
              <w:rPr>
                <w:rFonts w:ascii="GHEA Grapalat" w:hAnsi="GHEA Grapalat"/>
                <w:b/>
                <w:sz w:val="20"/>
                <w:szCs w:val="20"/>
                <w:lang w:val="hy-AM"/>
              </w:rPr>
            </w:pPr>
            <w:r w:rsidRPr="00423B76">
              <w:rPr>
                <w:rFonts w:ascii="GHEA Grapalat" w:hAnsi="GHEA Grapalat"/>
                <w:b/>
                <w:sz w:val="20"/>
                <w:szCs w:val="20"/>
                <w:lang w:val="hy-AM"/>
              </w:rPr>
              <w:t xml:space="preserve">Առկա խնդիրների առաջարկվող լուծումները   </w:t>
            </w:r>
          </w:p>
          <w:p w:rsidR="0068680D" w:rsidRPr="00423B76" w:rsidRDefault="0068680D" w:rsidP="00F47DC4">
            <w:pPr>
              <w:pStyle w:val="NormalWeb"/>
              <w:widowControl w:val="0"/>
              <w:spacing w:before="0" w:beforeAutospacing="0" w:after="0" w:afterAutospacing="0" w:line="276" w:lineRule="auto"/>
              <w:ind w:right="28"/>
              <w:jc w:val="both"/>
              <w:rPr>
                <w:rFonts w:ascii="GHEA Grapalat" w:hAnsi="GHEA Grapalat"/>
                <w:color w:val="000000"/>
                <w:sz w:val="20"/>
                <w:szCs w:val="20"/>
                <w:lang w:val="hy-AM"/>
              </w:rPr>
            </w:pPr>
            <w:r w:rsidRPr="00423B76">
              <w:rPr>
                <w:rFonts w:ascii="GHEA Grapalat" w:hAnsi="GHEA Grapalat"/>
                <w:color w:val="000000"/>
                <w:sz w:val="20"/>
                <w:szCs w:val="20"/>
                <w:lang w:val="hy-AM"/>
              </w:rPr>
              <w:t>Տարեկան գործողությունների ծրագրերի կազմման գործընթացում, որպես ԵՄ աջակցության ազգային համակարգող, համագործակցելով ՀՀ շահագրգիռ նախարարությունների և մարմինների հետ, իրականացվելու է կարիքների և կարողությունների գնահատում, ինչպես նաև թիրախավորված ոլորտների զարգացմանն ուղղված ծրագրերի և միջոցառումների իրականացման համակարգում:</w:t>
            </w:r>
          </w:p>
          <w:p w:rsidR="0068680D" w:rsidRPr="00423B76" w:rsidRDefault="0068680D" w:rsidP="0068680D">
            <w:pPr>
              <w:pStyle w:val="NormalWeb"/>
              <w:widowControl w:val="0"/>
              <w:numPr>
                <w:ilvl w:val="0"/>
                <w:numId w:val="388"/>
              </w:numPr>
              <w:spacing w:before="0" w:beforeAutospacing="0" w:after="0" w:afterAutospacing="0" w:line="276" w:lineRule="auto"/>
              <w:ind w:right="115"/>
              <w:jc w:val="both"/>
              <w:rPr>
                <w:rFonts w:ascii="GHEA Grapalat" w:hAnsi="GHEA Grapalat"/>
                <w:b/>
                <w:color w:val="000000"/>
                <w:sz w:val="20"/>
                <w:szCs w:val="20"/>
                <w:lang w:val="hy-AM"/>
              </w:rPr>
            </w:pPr>
            <w:r w:rsidRPr="00423B76">
              <w:rPr>
                <w:rFonts w:ascii="GHEA Grapalat" w:hAnsi="GHEA Grapalat"/>
                <w:b/>
                <w:color w:val="000000"/>
                <w:sz w:val="20"/>
                <w:szCs w:val="20"/>
                <w:lang w:val="hy-AM"/>
              </w:rPr>
              <w:t>Միջոցառման իրականացումից ակնկալվող արդյունքը</w:t>
            </w:r>
          </w:p>
          <w:p w:rsidR="0068680D" w:rsidRDefault="0068680D" w:rsidP="00F47DC4">
            <w:pPr>
              <w:pStyle w:val="NormalWeb"/>
              <w:widowControl w:val="0"/>
              <w:spacing w:before="0" w:beforeAutospacing="0" w:after="0" w:afterAutospacing="0" w:line="276" w:lineRule="auto"/>
              <w:ind w:right="28"/>
              <w:jc w:val="both"/>
              <w:rPr>
                <w:rFonts w:ascii="GHEA Grapalat" w:hAnsi="GHEA Grapalat"/>
                <w:color w:val="000000"/>
                <w:sz w:val="20"/>
                <w:szCs w:val="20"/>
                <w:lang w:val="hy-AM"/>
              </w:rPr>
            </w:pPr>
            <w:r w:rsidRPr="00423B76">
              <w:rPr>
                <w:rFonts w:ascii="GHEA Grapalat" w:hAnsi="GHEA Grapalat"/>
                <w:color w:val="000000"/>
                <w:sz w:val="20"/>
                <w:szCs w:val="20"/>
                <w:lang w:val="hy-AM"/>
              </w:rPr>
              <w:t>Միջոցառման իրականացումը կապահովի թիրախային ոլորտներում բարեփոխումների և զարգացման ծրագրերի իրականացում, կարողությունների և ենթակառուցվածքների զարգացում:</w:t>
            </w:r>
          </w:p>
          <w:p w:rsidR="0068680D" w:rsidRPr="00423B76" w:rsidRDefault="0068680D" w:rsidP="00F47DC4">
            <w:pPr>
              <w:pStyle w:val="NormalWeb"/>
              <w:widowControl w:val="0"/>
              <w:spacing w:before="0" w:beforeAutospacing="0" w:after="0" w:afterAutospacing="0" w:line="276" w:lineRule="auto"/>
              <w:ind w:right="28"/>
              <w:jc w:val="both"/>
              <w:rPr>
                <w:rFonts w:ascii="GHEA Grapalat" w:hAnsi="GHEA Grapalat"/>
                <w:color w:val="000000"/>
                <w:sz w:val="20"/>
                <w:szCs w:val="20"/>
                <w:lang w:val="hy-AM"/>
              </w:rPr>
            </w:pPr>
          </w:p>
          <w:p w:rsidR="0068680D" w:rsidRPr="00423B76" w:rsidRDefault="0068680D" w:rsidP="00F47DC4">
            <w:pPr>
              <w:pStyle w:val="Heading2"/>
              <w:spacing w:before="0" w:beforeAutospacing="0" w:after="0" w:afterAutospacing="0" w:line="276" w:lineRule="auto"/>
              <w:ind w:left="60"/>
              <w:outlineLvl w:val="1"/>
              <w:rPr>
                <w:rFonts w:ascii="GHEA Grapalat" w:hAnsi="GHEA Grapalat" w:cs="Sylfaen"/>
                <w:sz w:val="20"/>
                <w:szCs w:val="20"/>
                <w:lang w:val="hy-AM"/>
              </w:rPr>
            </w:pPr>
            <w:r>
              <w:rPr>
                <w:rFonts w:ascii="GHEA Grapalat" w:hAnsi="GHEA Grapalat" w:cs="Sylfaen"/>
                <w:sz w:val="20"/>
                <w:szCs w:val="20"/>
                <w:lang w:val="hy-AM"/>
              </w:rPr>
              <w:t xml:space="preserve"> 11.2 </w:t>
            </w:r>
            <w:r w:rsidRPr="00423B76">
              <w:rPr>
                <w:rFonts w:ascii="GHEA Grapalat" w:hAnsi="GHEA Grapalat" w:cs="Sylfaen"/>
                <w:sz w:val="20"/>
                <w:szCs w:val="20"/>
                <w:lang w:val="hy-AM"/>
              </w:rPr>
              <w:t>ԵՄ բյուջետային աջակցության ընթացիկ ֆինանսավորման համաձայնագրերով նախատեսված տարեկան հատկացումների (տրանշների)  շրջանակներում ամրագրված նախապայմանների իրականացման ընթացքի մշտադիտարկում, տարեկան առաջընթացի զեկույցների պատրաստման համակարգում</w:t>
            </w:r>
          </w:p>
          <w:p w:rsidR="0068680D" w:rsidRPr="00423B76" w:rsidRDefault="0068680D" w:rsidP="0068680D">
            <w:pPr>
              <w:pStyle w:val="NormalWeb"/>
              <w:widowControl w:val="0"/>
              <w:numPr>
                <w:ilvl w:val="0"/>
                <w:numId w:val="390"/>
              </w:numPr>
              <w:spacing w:before="0" w:beforeAutospacing="0" w:after="0" w:afterAutospacing="0" w:line="276" w:lineRule="auto"/>
              <w:ind w:right="28"/>
              <w:rPr>
                <w:rFonts w:ascii="GHEA Grapalat" w:eastAsiaTheme="majorEastAsia" w:hAnsi="GHEA Grapalat" w:cs="Sylfaen"/>
                <w:b/>
                <w:bCs/>
                <w:sz w:val="20"/>
                <w:szCs w:val="20"/>
                <w:lang w:val="hy-AM"/>
              </w:rPr>
            </w:pPr>
            <w:r w:rsidRPr="00423B76">
              <w:rPr>
                <w:rFonts w:ascii="GHEA Grapalat" w:hAnsi="GHEA Grapalat" w:cs="Sylfaen"/>
                <w:b/>
                <w:sz w:val="20"/>
                <w:szCs w:val="20"/>
                <w:lang w:val="hy-AM"/>
              </w:rPr>
              <w:t>Միջոցառման</w:t>
            </w:r>
            <w:r w:rsidRPr="00423B76">
              <w:rPr>
                <w:rFonts w:ascii="GHEA Grapalat" w:hAnsi="GHEA Grapalat"/>
                <w:b/>
                <w:sz w:val="20"/>
                <w:szCs w:val="20"/>
                <w:lang w:val="hy-AM"/>
              </w:rPr>
              <w:t xml:space="preserve"> </w:t>
            </w:r>
            <w:r w:rsidRPr="00423B76">
              <w:rPr>
                <w:rFonts w:ascii="GHEA Grapalat" w:hAnsi="GHEA Grapalat" w:cs="Sylfaen"/>
                <w:b/>
                <w:sz w:val="20"/>
                <w:szCs w:val="20"/>
                <w:lang w:val="hy-AM"/>
              </w:rPr>
              <w:t>իրականացման</w:t>
            </w:r>
            <w:r w:rsidRPr="00423B76">
              <w:rPr>
                <w:rFonts w:ascii="GHEA Grapalat" w:hAnsi="GHEA Grapalat"/>
                <w:b/>
                <w:sz w:val="20"/>
                <w:szCs w:val="20"/>
                <w:lang w:val="hy-AM"/>
              </w:rPr>
              <w:t xml:space="preserve"> </w:t>
            </w:r>
            <w:r w:rsidRPr="00423B76">
              <w:rPr>
                <w:rFonts w:ascii="GHEA Grapalat" w:hAnsi="GHEA Grapalat" w:cs="Sylfaen"/>
                <w:b/>
                <w:sz w:val="20"/>
                <w:szCs w:val="20"/>
                <w:lang w:val="hy-AM"/>
              </w:rPr>
              <w:t>անհրաժեշտությունը</w:t>
            </w:r>
            <w:r w:rsidRPr="00423B76">
              <w:rPr>
                <w:rFonts w:ascii="GHEA Grapalat" w:hAnsi="GHEA Grapalat"/>
                <w:b/>
                <w:sz w:val="20"/>
                <w:szCs w:val="20"/>
                <w:lang w:val="hy-AM"/>
              </w:rPr>
              <w:t xml:space="preserve"> </w:t>
            </w:r>
            <w:r w:rsidRPr="00423B76">
              <w:rPr>
                <w:rFonts w:ascii="GHEA Grapalat" w:hAnsi="GHEA Grapalat" w:cs="Sylfaen"/>
                <w:b/>
                <w:sz w:val="20"/>
                <w:szCs w:val="20"/>
                <w:lang w:val="hy-AM"/>
              </w:rPr>
              <w:t>և</w:t>
            </w:r>
            <w:r w:rsidRPr="00423B76">
              <w:rPr>
                <w:rFonts w:ascii="GHEA Grapalat" w:hAnsi="GHEA Grapalat"/>
                <w:b/>
                <w:sz w:val="20"/>
                <w:szCs w:val="20"/>
                <w:lang w:val="hy-AM"/>
              </w:rPr>
              <w:t xml:space="preserve"> </w:t>
            </w:r>
            <w:r w:rsidRPr="00423B76">
              <w:rPr>
                <w:rFonts w:ascii="GHEA Grapalat" w:hAnsi="GHEA Grapalat" w:cs="Sylfaen"/>
                <w:b/>
                <w:sz w:val="20"/>
                <w:szCs w:val="20"/>
                <w:lang w:val="hy-AM"/>
              </w:rPr>
              <w:t>նպատակը</w:t>
            </w:r>
          </w:p>
          <w:p w:rsidR="0068680D" w:rsidRPr="00423B76" w:rsidRDefault="0068680D" w:rsidP="00F47DC4">
            <w:pPr>
              <w:pStyle w:val="NormalWeb"/>
              <w:widowControl w:val="0"/>
              <w:spacing w:before="0" w:beforeAutospacing="0" w:after="0" w:afterAutospacing="0" w:line="276" w:lineRule="auto"/>
              <w:ind w:right="28"/>
              <w:jc w:val="both"/>
              <w:rPr>
                <w:rFonts w:ascii="GHEA Grapalat" w:eastAsiaTheme="minorHAnsi" w:hAnsi="GHEA Grapalat" w:cstheme="minorBidi"/>
                <w:sz w:val="20"/>
                <w:szCs w:val="20"/>
                <w:lang w:val="hy-AM"/>
              </w:rPr>
            </w:pPr>
            <w:r w:rsidRPr="00423B76">
              <w:rPr>
                <w:rFonts w:ascii="GHEA Grapalat" w:hAnsi="GHEA Grapalat"/>
                <w:color w:val="000000" w:themeColor="text1"/>
                <w:sz w:val="20"/>
                <w:szCs w:val="20"/>
                <w:lang w:val="hy-AM"/>
              </w:rPr>
              <w:t xml:space="preserve">Միջոցառման իրակացման անհրաժեշտությունը պայմանավորված է </w:t>
            </w:r>
            <w:r w:rsidRPr="008B587D">
              <w:rPr>
                <w:rFonts w:ascii="GHEA Grapalat" w:hAnsi="GHEA Grapalat"/>
                <w:sz w:val="20"/>
                <w:lang w:val="af-ZA"/>
              </w:rPr>
              <w:t xml:space="preserve">ՀՀ Ազգային ժողովի 14.02.2019թ. N ԱԺՈ-002-Ն որոշմամբ հավանության արժանացած </w:t>
            </w:r>
            <w:r>
              <w:rPr>
                <w:sz w:val="20"/>
                <w:lang w:val="hy-AM"/>
              </w:rPr>
              <w:t>ՀՀ</w:t>
            </w:r>
            <w:r w:rsidRPr="008B587D">
              <w:rPr>
                <w:rFonts w:ascii="GHEA Grapalat" w:hAnsi="GHEA Grapalat"/>
                <w:sz w:val="20"/>
                <w:lang w:val="af-ZA"/>
              </w:rPr>
              <w:t xml:space="preserve"> կառավարության ծրագրի</w:t>
            </w:r>
            <w:r w:rsidRPr="00423B76">
              <w:rPr>
                <w:rFonts w:ascii="GHEA Grapalat" w:hAnsi="GHEA Grapalat" w:cs="Sylfaen"/>
                <w:color w:val="000000"/>
                <w:sz w:val="20"/>
                <w:szCs w:val="20"/>
                <w:lang w:val="hy-AM"/>
              </w:rPr>
              <w:t xml:space="preserve"> 5.5 բաժնի դրույթներով: </w:t>
            </w:r>
            <w:r w:rsidRPr="00423B76">
              <w:rPr>
                <w:rFonts w:ascii="GHEA Grapalat" w:eastAsiaTheme="minorHAnsi" w:hAnsi="GHEA Grapalat" w:cstheme="minorBidi"/>
                <w:sz w:val="20"/>
                <w:szCs w:val="20"/>
                <w:lang w:val="hy-AM"/>
              </w:rPr>
              <w:t>ԵՄ բյուջետային աջակցության ֆինանսավորման համաձայնագրերի ներքո ամրագրված պայմանների իրականացումը բխում է Եվրամիության կողմից ՀՀ-ին տրամադրվող աջակցության համակարգման անհրաժեշտությունից:   Նպատակն է ԵՄ բյուջետային աջակցության 4 ֆինանսավորման համաձայնագրերի ներքո ամրագրված ընդհանուր և հատուկ պայմանների իրականացման ընթացքի կիսամյակային մշտադիտարկումը և ՀՀ պատասխանատու պետական կառավարման մարմինների կողմից ներկայացվող տարեկան առաջընթացի զեկույցների պատրաստման համակարգումը:</w:t>
            </w:r>
          </w:p>
          <w:p w:rsidR="0068680D" w:rsidRPr="00423B76" w:rsidRDefault="0068680D" w:rsidP="0068680D">
            <w:pPr>
              <w:pStyle w:val="NormalWeb"/>
              <w:widowControl w:val="0"/>
              <w:numPr>
                <w:ilvl w:val="1"/>
                <w:numId w:val="392"/>
              </w:numPr>
              <w:spacing w:before="0" w:beforeAutospacing="0" w:after="0" w:afterAutospacing="0" w:line="276" w:lineRule="auto"/>
              <w:ind w:right="28"/>
              <w:jc w:val="both"/>
              <w:rPr>
                <w:rFonts w:ascii="GHEA Grapalat" w:hAnsi="GHEA Grapalat" w:cs="Arial"/>
                <w:b/>
                <w:sz w:val="20"/>
                <w:szCs w:val="20"/>
                <w:lang w:val="hy-AM"/>
              </w:rPr>
            </w:pPr>
            <w:r w:rsidRPr="00423B76">
              <w:rPr>
                <w:rFonts w:ascii="GHEA Grapalat" w:hAnsi="GHEA Grapalat" w:cs="Arial"/>
                <w:b/>
                <w:sz w:val="20"/>
                <w:szCs w:val="20"/>
                <w:lang w:val="hy-AM"/>
              </w:rPr>
              <w:t>Ընթացիկ իրավիճակը և խնդիրները</w:t>
            </w:r>
          </w:p>
          <w:p w:rsidR="0068680D" w:rsidRPr="00423B76" w:rsidRDefault="0068680D" w:rsidP="00F47DC4">
            <w:pPr>
              <w:pStyle w:val="NormalWeb"/>
              <w:widowControl w:val="0"/>
              <w:spacing w:before="0" w:beforeAutospacing="0" w:after="0" w:afterAutospacing="0" w:line="276" w:lineRule="auto"/>
              <w:ind w:right="28"/>
              <w:jc w:val="both"/>
              <w:rPr>
                <w:rFonts w:ascii="GHEA Grapalat" w:eastAsiaTheme="minorHAnsi" w:hAnsi="GHEA Grapalat" w:cstheme="minorBidi"/>
                <w:sz w:val="20"/>
                <w:szCs w:val="20"/>
                <w:lang w:val="hy-AM"/>
              </w:rPr>
            </w:pPr>
            <w:r w:rsidRPr="00423B76">
              <w:rPr>
                <w:rFonts w:ascii="GHEA Grapalat" w:eastAsiaTheme="minorHAnsi" w:hAnsi="GHEA Grapalat" w:cstheme="minorBidi"/>
                <w:sz w:val="20"/>
                <w:szCs w:val="20"/>
                <w:lang w:val="hy-AM"/>
              </w:rPr>
              <w:t xml:space="preserve">Եվրոպական Միության «Միասնական աջակցության շրջանակ» (Single Support Framework) փաստաթղթով է սահմանվում 2017-2020թթ. Համար Հայաստանին տրամադրվելիք երկարաժամկետ աջակցությունը: Փաստաթղթով նախատեսված աջակցության ինդիկատիվ գումարը 144 մլն-176 մլն եվրո է` հետևյալ 4 ուղղություններով՝ </w:t>
            </w:r>
          </w:p>
          <w:p w:rsidR="0068680D" w:rsidRPr="00423B76" w:rsidRDefault="0068680D" w:rsidP="0068680D">
            <w:pPr>
              <w:pStyle w:val="NormalWeb"/>
              <w:widowControl w:val="0"/>
              <w:numPr>
                <w:ilvl w:val="0"/>
                <w:numId w:val="389"/>
              </w:numPr>
              <w:spacing w:before="0" w:beforeAutospacing="0" w:after="0" w:afterAutospacing="0" w:line="276" w:lineRule="auto"/>
              <w:ind w:right="28"/>
              <w:jc w:val="both"/>
              <w:rPr>
                <w:rFonts w:ascii="GHEA Grapalat" w:hAnsi="GHEA Grapalat"/>
                <w:sz w:val="20"/>
                <w:szCs w:val="20"/>
                <w:lang w:val="hy-AM"/>
              </w:rPr>
            </w:pPr>
            <w:r w:rsidRPr="00423B76">
              <w:rPr>
                <w:rFonts w:ascii="GHEA Grapalat" w:eastAsiaTheme="minorHAnsi" w:hAnsi="GHEA Grapalat" w:cstheme="minorBidi"/>
                <w:sz w:val="20"/>
                <w:szCs w:val="20"/>
                <w:lang w:val="hy-AM"/>
              </w:rPr>
              <w:t xml:space="preserve">Տնտեսական զարգացում ու շուկայական հնարավորություններ, </w:t>
            </w:r>
          </w:p>
          <w:p w:rsidR="0068680D" w:rsidRPr="00423B76" w:rsidRDefault="0068680D" w:rsidP="0068680D">
            <w:pPr>
              <w:pStyle w:val="NormalWeb"/>
              <w:widowControl w:val="0"/>
              <w:numPr>
                <w:ilvl w:val="0"/>
                <w:numId w:val="389"/>
              </w:numPr>
              <w:spacing w:before="0" w:beforeAutospacing="0" w:after="0" w:afterAutospacing="0" w:line="276" w:lineRule="auto"/>
              <w:ind w:right="28"/>
              <w:jc w:val="both"/>
              <w:rPr>
                <w:rFonts w:ascii="GHEA Grapalat" w:hAnsi="GHEA Grapalat"/>
                <w:sz w:val="20"/>
                <w:szCs w:val="20"/>
                <w:lang w:val="hy-AM"/>
              </w:rPr>
            </w:pPr>
            <w:r w:rsidRPr="00423B76">
              <w:rPr>
                <w:rFonts w:ascii="GHEA Grapalat" w:eastAsiaTheme="minorHAnsi" w:hAnsi="GHEA Grapalat" w:cstheme="minorBidi"/>
                <w:sz w:val="20"/>
                <w:szCs w:val="20"/>
                <w:lang w:val="hy-AM"/>
              </w:rPr>
              <w:t xml:space="preserve">Ինստիտուցիոնալ հզորացում և լավ կառավարում, </w:t>
            </w:r>
          </w:p>
          <w:p w:rsidR="0068680D" w:rsidRPr="00423B76" w:rsidRDefault="0068680D" w:rsidP="0068680D">
            <w:pPr>
              <w:pStyle w:val="NormalWeb"/>
              <w:widowControl w:val="0"/>
              <w:numPr>
                <w:ilvl w:val="0"/>
                <w:numId w:val="389"/>
              </w:numPr>
              <w:spacing w:before="0" w:beforeAutospacing="0" w:after="0" w:afterAutospacing="0" w:line="276" w:lineRule="auto"/>
              <w:ind w:right="28"/>
              <w:jc w:val="both"/>
              <w:rPr>
                <w:rFonts w:ascii="GHEA Grapalat" w:hAnsi="GHEA Grapalat"/>
                <w:sz w:val="20"/>
                <w:szCs w:val="20"/>
                <w:lang w:val="hy-AM"/>
              </w:rPr>
            </w:pPr>
            <w:r w:rsidRPr="00423B76">
              <w:rPr>
                <w:rFonts w:ascii="GHEA Grapalat" w:eastAsiaTheme="minorHAnsi" w:hAnsi="GHEA Grapalat" w:cstheme="minorBidi"/>
                <w:sz w:val="20"/>
                <w:szCs w:val="20"/>
                <w:lang w:val="hy-AM"/>
              </w:rPr>
              <w:t xml:space="preserve">Հաղորդակցություն, էներգետիկ արդյունավետություն, բնապահպանություն ու կլիմայի փոփոխություն, </w:t>
            </w:r>
          </w:p>
          <w:p w:rsidR="0068680D" w:rsidRPr="00423B76" w:rsidRDefault="0068680D" w:rsidP="0068680D">
            <w:pPr>
              <w:pStyle w:val="NormalWeb"/>
              <w:widowControl w:val="0"/>
              <w:numPr>
                <w:ilvl w:val="0"/>
                <w:numId w:val="389"/>
              </w:numPr>
              <w:spacing w:before="0" w:beforeAutospacing="0" w:after="0" w:afterAutospacing="0" w:line="276" w:lineRule="auto"/>
              <w:ind w:right="28"/>
              <w:jc w:val="both"/>
              <w:rPr>
                <w:rFonts w:ascii="GHEA Grapalat" w:hAnsi="GHEA Grapalat"/>
                <w:sz w:val="20"/>
                <w:szCs w:val="20"/>
                <w:lang w:val="hy-AM"/>
              </w:rPr>
            </w:pPr>
            <w:r w:rsidRPr="00423B76">
              <w:rPr>
                <w:rFonts w:ascii="GHEA Grapalat" w:eastAsiaTheme="minorHAnsi" w:hAnsi="GHEA Grapalat" w:cstheme="minorBidi"/>
                <w:sz w:val="20"/>
                <w:szCs w:val="20"/>
                <w:lang w:val="hy-AM"/>
              </w:rPr>
              <w:t xml:space="preserve">Շարժունակություն ու մարդկանց միջև շփումներ: </w:t>
            </w:r>
          </w:p>
          <w:p w:rsidR="0068680D" w:rsidRPr="00423B76" w:rsidRDefault="0068680D" w:rsidP="00F47DC4">
            <w:pPr>
              <w:pStyle w:val="NormalWeb"/>
              <w:widowControl w:val="0"/>
              <w:spacing w:before="0" w:beforeAutospacing="0" w:after="0" w:afterAutospacing="0" w:line="276" w:lineRule="auto"/>
              <w:ind w:right="28"/>
              <w:jc w:val="both"/>
              <w:rPr>
                <w:rFonts w:ascii="GHEA Grapalat" w:eastAsiaTheme="minorHAnsi" w:hAnsi="GHEA Grapalat" w:cstheme="minorBidi"/>
                <w:sz w:val="20"/>
                <w:szCs w:val="20"/>
                <w:lang w:val="hy-AM"/>
              </w:rPr>
            </w:pPr>
            <w:r w:rsidRPr="00423B76">
              <w:rPr>
                <w:rFonts w:ascii="GHEA Grapalat" w:eastAsiaTheme="minorHAnsi" w:hAnsi="GHEA Grapalat" w:cstheme="minorBidi"/>
                <w:sz w:val="20"/>
                <w:szCs w:val="20"/>
                <w:lang w:val="hy-AM"/>
              </w:rPr>
              <w:t>Միասնական աջակցության շրջանակով նախատեսված աջակցությունը տրամադրվում է տարեկան գործողությունների ծրագրի ներքո ֆինանսավորման համաձայնագրերի միջոցով, որոնց հաստատումը և իրականացումը ՀՀ-ԵՄ երկկողմ արդյունավետ աշխատանքի գրավականն է: Պատրաստվել և եվրոպական կողմին են տրամադրվել ԵՄ բյուջետային աջակցության 4 ֆինանսավորման համաձայնագրերով ամրագրված պայմանների իրականացման մասով գնահատման զեկույցները: 4 համաձայնագրերով նախատեսված որոշ պայմանների վերախմբագրման և/կամ  իրականացման ժամկետների երկարաձգման խնդրանք-գրություններ են տրամադրվել եվրոպական կողմին: Որոշ նախապայմանների մասով անհրաժեշտ են համապատասխան օրենքների և իրավական ակտերի ընդունում:</w:t>
            </w:r>
          </w:p>
          <w:p w:rsidR="0068680D" w:rsidRPr="00423B76" w:rsidRDefault="0068680D" w:rsidP="0068680D">
            <w:pPr>
              <w:pStyle w:val="NormalWeb"/>
              <w:widowControl w:val="0"/>
              <w:numPr>
                <w:ilvl w:val="1"/>
                <w:numId w:val="392"/>
              </w:numPr>
              <w:spacing w:before="0" w:beforeAutospacing="0" w:after="0" w:afterAutospacing="0" w:line="276" w:lineRule="auto"/>
              <w:ind w:right="28"/>
              <w:jc w:val="both"/>
              <w:rPr>
                <w:rFonts w:ascii="GHEA Grapalat" w:hAnsi="GHEA Grapalat"/>
                <w:b/>
                <w:sz w:val="20"/>
                <w:szCs w:val="20"/>
                <w:lang w:val="hy-AM"/>
              </w:rPr>
            </w:pPr>
            <w:r w:rsidRPr="00423B76">
              <w:rPr>
                <w:rFonts w:ascii="GHEA Grapalat" w:hAnsi="GHEA Grapalat"/>
                <w:b/>
                <w:sz w:val="20"/>
                <w:szCs w:val="20"/>
                <w:lang w:val="hy-AM"/>
              </w:rPr>
              <w:t xml:space="preserve">Առկա խնդիրների առաջարկվող լուծումները   </w:t>
            </w:r>
          </w:p>
          <w:p w:rsidR="0068680D" w:rsidRPr="00423B76" w:rsidRDefault="0068680D" w:rsidP="00F47DC4">
            <w:pPr>
              <w:pStyle w:val="NormalWeb"/>
              <w:widowControl w:val="0"/>
              <w:spacing w:before="0" w:beforeAutospacing="0" w:after="0" w:afterAutospacing="0" w:line="276" w:lineRule="auto"/>
              <w:ind w:right="28"/>
              <w:jc w:val="both"/>
              <w:rPr>
                <w:rFonts w:ascii="GHEA Grapalat" w:hAnsi="GHEA Grapalat"/>
                <w:color w:val="000000"/>
                <w:sz w:val="20"/>
                <w:szCs w:val="20"/>
                <w:lang w:val="hy-AM"/>
              </w:rPr>
            </w:pPr>
            <w:r w:rsidRPr="00423B76">
              <w:rPr>
                <w:rFonts w:ascii="GHEA Grapalat" w:hAnsi="GHEA Grapalat"/>
                <w:color w:val="000000"/>
                <w:sz w:val="20"/>
                <w:szCs w:val="20"/>
                <w:lang w:val="hy-AM"/>
              </w:rPr>
              <w:t>ԵՄ բյուջետային աջակցության ծրագրերի իրականացման գործընթացում, որպես ԵՄ աջակցության ազգային համակարգող, համագործակցելով ՀՀ պատասխանատու պետական կառավարման մարմինների հետ, իրականացվելու են 4 ֆինանսավորման համաձայնագրերով ամրագրված պայմանների իրականացման ընթացքի մշտադիտարկումը և իրականացման ռիսկայնության գնահատումը, ինչը կապահովի համաձայնագրերի շրջանակներում բյուջետային հատկացումների ժամանակին տրամադրումը:</w:t>
            </w:r>
          </w:p>
          <w:p w:rsidR="0068680D" w:rsidRPr="00423B76" w:rsidRDefault="0068680D" w:rsidP="0068680D">
            <w:pPr>
              <w:pStyle w:val="NormalWeb"/>
              <w:widowControl w:val="0"/>
              <w:numPr>
                <w:ilvl w:val="0"/>
                <w:numId w:val="392"/>
              </w:numPr>
              <w:spacing w:before="0" w:beforeAutospacing="0" w:after="0" w:afterAutospacing="0" w:line="276" w:lineRule="auto"/>
              <w:ind w:right="115"/>
              <w:jc w:val="both"/>
              <w:rPr>
                <w:rFonts w:ascii="GHEA Grapalat" w:hAnsi="GHEA Grapalat"/>
                <w:b/>
                <w:color w:val="000000"/>
                <w:sz w:val="20"/>
                <w:szCs w:val="20"/>
                <w:lang w:val="hy-AM"/>
              </w:rPr>
            </w:pPr>
            <w:r w:rsidRPr="00423B76">
              <w:rPr>
                <w:rFonts w:ascii="GHEA Grapalat" w:hAnsi="GHEA Grapalat"/>
                <w:b/>
                <w:color w:val="000000"/>
                <w:sz w:val="20"/>
                <w:szCs w:val="20"/>
                <w:lang w:val="hy-AM"/>
              </w:rPr>
              <w:t>Միջոցառման իրականացումից ակնկալվող արդյունքը</w:t>
            </w:r>
          </w:p>
          <w:p w:rsidR="0068680D" w:rsidRDefault="0068680D" w:rsidP="00F47DC4">
            <w:pPr>
              <w:pStyle w:val="NormalWeb"/>
              <w:widowControl w:val="0"/>
              <w:spacing w:before="0" w:beforeAutospacing="0" w:after="0" w:afterAutospacing="0" w:line="276" w:lineRule="auto"/>
              <w:ind w:right="28"/>
              <w:jc w:val="both"/>
              <w:rPr>
                <w:rFonts w:ascii="GHEA Grapalat" w:hAnsi="GHEA Grapalat"/>
                <w:color w:val="000000"/>
                <w:sz w:val="20"/>
                <w:szCs w:val="20"/>
                <w:lang w:val="hy-AM"/>
              </w:rPr>
            </w:pPr>
            <w:r w:rsidRPr="00423B76">
              <w:rPr>
                <w:rFonts w:ascii="GHEA Grapalat" w:hAnsi="GHEA Grapalat"/>
                <w:color w:val="000000"/>
                <w:sz w:val="20"/>
                <w:szCs w:val="20"/>
                <w:lang w:val="hy-AM"/>
              </w:rPr>
              <w:t>ԵՄ բյուջետային աջակցության 4 ֆինանսավորման համաձայնագրերի ներքո ամրագրված պայմանների արդյունավետ իրականացման արդյունքում կապահովվի բյուջետային հատկացումների (տրանշների) տրամադրում:</w:t>
            </w:r>
          </w:p>
          <w:p w:rsidR="0068680D" w:rsidRPr="00423B76" w:rsidRDefault="0068680D" w:rsidP="00F47DC4">
            <w:pPr>
              <w:pStyle w:val="NormalWeb"/>
              <w:widowControl w:val="0"/>
              <w:spacing w:before="0" w:beforeAutospacing="0" w:after="0" w:afterAutospacing="0" w:line="276" w:lineRule="auto"/>
              <w:ind w:right="28"/>
              <w:jc w:val="both"/>
              <w:rPr>
                <w:rFonts w:ascii="GHEA Grapalat" w:hAnsi="GHEA Grapalat"/>
                <w:color w:val="000000"/>
                <w:sz w:val="20"/>
                <w:szCs w:val="20"/>
                <w:lang w:val="hy-AM"/>
              </w:rPr>
            </w:pPr>
          </w:p>
          <w:p w:rsidR="0068680D" w:rsidRPr="00423B76" w:rsidRDefault="0068680D" w:rsidP="00F47DC4">
            <w:pPr>
              <w:pStyle w:val="Heading2"/>
              <w:spacing w:before="0" w:beforeAutospacing="0" w:after="0" w:afterAutospacing="0" w:line="276" w:lineRule="auto"/>
              <w:outlineLvl w:val="1"/>
              <w:rPr>
                <w:rFonts w:ascii="GHEA Grapalat" w:hAnsi="GHEA Grapalat" w:cs="Sylfaen"/>
                <w:sz w:val="20"/>
                <w:szCs w:val="20"/>
                <w:lang w:val="hy-AM"/>
              </w:rPr>
            </w:pPr>
            <w:r>
              <w:rPr>
                <w:rFonts w:ascii="GHEA Grapalat" w:hAnsi="GHEA Grapalat" w:cs="Sylfaen"/>
                <w:sz w:val="20"/>
                <w:szCs w:val="20"/>
                <w:lang w:val="hy-AM"/>
              </w:rPr>
              <w:t xml:space="preserve">  11.3 </w:t>
            </w:r>
            <w:r w:rsidRPr="00423B76">
              <w:rPr>
                <w:rFonts w:ascii="GHEA Grapalat" w:hAnsi="GHEA Grapalat" w:cs="Sylfaen"/>
                <w:sz w:val="20"/>
                <w:szCs w:val="20"/>
                <w:lang w:val="hy-AM"/>
              </w:rPr>
              <w:t>ՀՀ-ում ԵՀԿ գործիքի ներքո (թվինինգ, թայեքս, սոսյու, սևծովյան ավազանի անդրսայմանային համագործակցություն, սիգմա և այլն) տեխնիկական աջակցության ծրագրերի մշակման, հաստատման և իրականացման համակարգում</w:t>
            </w:r>
          </w:p>
          <w:p w:rsidR="0068680D" w:rsidRPr="00423B76" w:rsidRDefault="0068680D" w:rsidP="0068680D">
            <w:pPr>
              <w:pStyle w:val="NormalWeb"/>
              <w:widowControl w:val="0"/>
              <w:numPr>
                <w:ilvl w:val="0"/>
                <w:numId w:val="391"/>
              </w:numPr>
              <w:spacing w:before="0" w:beforeAutospacing="0" w:after="0" w:afterAutospacing="0" w:line="276" w:lineRule="auto"/>
              <w:ind w:right="115"/>
              <w:jc w:val="both"/>
              <w:rPr>
                <w:rFonts w:ascii="GHEA Grapalat" w:hAnsi="GHEA Grapalat"/>
                <w:b/>
                <w:color w:val="000000"/>
                <w:sz w:val="20"/>
                <w:szCs w:val="20"/>
                <w:lang w:val="hy-AM"/>
              </w:rPr>
            </w:pPr>
            <w:r w:rsidRPr="00423B76">
              <w:rPr>
                <w:rFonts w:ascii="GHEA Grapalat" w:hAnsi="GHEA Grapalat"/>
                <w:b/>
                <w:color w:val="000000"/>
                <w:sz w:val="20"/>
                <w:szCs w:val="20"/>
                <w:lang w:val="hy-AM"/>
              </w:rPr>
              <w:t>Միջոցառման իրականացման անհրաժեշտությունը և նպատակը</w:t>
            </w:r>
          </w:p>
          <w:p w:rsidR="0068680D" w:rsidRPr="00423B76" w:rsidRDefault="0068680D" w:rsidP="00F47DC4">
            <w:pPr>
              <w:pStyle w:val="NormalWeb"/>
              <w:widowControl w:val="0"/>
              <w:spacing w:before="0" w:beforeAutospacing="0" w:after="0" w:afterAutospacing="0" w:line="276" w:lineRule="auto"/>
              <w:ind w:right="115"/>
              <w:jc w:val="both"/>
              <w:rPr>
                <w:rFonts w:ascii="GHEA Grapalat" w:eastAsiaTheme="minorHAnsi" w:hAnsi="GHEA Grapalat" w:cs="Arial"/>
                <w:sz w:val="20"/>
                <w:szCs w:val="20"/>
                <w:lang w:val="hy-AM"/>
              </w:rPr>
            </w:pPr>
            <w:r w:rsidRPr="00423B76">
              <w:rPr>
                <w:rFonts w:ascii="GHEA Grapalat" w:hAnsi="GHEA Grapalat"/>
                <w:color w:val="000000" w:themeColor="text1"/>
                <w:sz w:val="20"/>
                <w:szCs w:val="20"/>
                <w:lang w:val="hy-AM"/>
              </w:rPr>
              <w:t xml:space="preserve">Միջոցառման իրակացման անհրաժեշտությունը պայմանավորված է </w:t>
            </w:r>
            <w:r w:rsidRPr="008B587D">
              <w:rPr>
                <w:rFonts w:ascii="GHEA Grapalat" w:hAnsi="GHEA Grapalat"/>
                <w:sz w:val="20"/>
                <w:lang w:val="af-ZA"/>
              </w:rPr>
              <w:t xml:space="preserve">ՀՀ Ազգային ժողովի 14.02.2019թ. N ԱԺՈ-002-Ն որոշմամբ հավանության արժանացած </w:t>
            </w:r>
            <w:r>
              <w:rPr>
                <w:sz w:val="20"/>
                <w:lang w:val="hy-AM"/>
              </w:rPr>
              <w:t>ՀՀ</w:t>
            </w:r>
            <w:r w:rsidRPr="008B587D">
              <w:rPr>
                <w:rFonts w:ascii="GHEA Grapalat" w:hAnsi="GHEA Grapalat"/>
                <w:sz w:val="20"/>
                <w:lang w:val="af-ZA"/>
              </w:rPr>
              <w:t xml:space="preserve"> կառավարության ծրագրի</w:t>
            </w:r>
            <w:r w:rsidRPr="00423B76">
              <w:rPr>
                <w:rFonts w:ascii="GHEA Grapalat" w:hAnsi="GHEA Grapalat" w:cs="Sylfaen"/>
                <w:color w:val="000000"/>
                <w:sz w:val="20"/>
                <w:szCs w:val="20"/>
                <w:lang w:val="hy-AM"/>
              </w:rPr>
              <w:t xml:space="preserve"> 5.5 բաժնի դրույթներով: </w:t>
            </w:r>
            <w:r w:rsidRPr="00423B76">
              <w:rPr>
                <w:rFonts w:ascii="GHEA Grapalat" w:eastAsiaTheme="minorHAnsi" w:hAnsi="GHEA Grapalat" w:cs="Arial"/>
                <w:sz w:val="20"/>
                <w:szCs w:val="20"/>
                <w:lang w:val="hy-AM"/>
              </w:rPr>
              <w:t>Կառավարության ծրագրից բխող ՀՀ-ում ԵՀՔ գործիքի ներքո (Թվինինգ, Թայեքս, Սոսյու, Սևծովյան ավազանի անդրսահմանային համագործակցություն, ՍԻԳՄԱ և այլն) տեխնիկական աջակցության ծրագրերի մշակման, հաստատման և իրականացման համակարգման  անհրաժեշտությունը բխում է ԵՄ կողմից ՀՀ-ին տրամադրվելիք աջակցության արդյունավետության և թիրախավորված ու կառավարության առաջնահերթությունների համապատասխանելության ապահովման տեսանկյունից:</w:t>
            </w:r>
          </w:p>
          <w:p w:rsidR="0068680D" w:rsidRPr="00423B76" w:rsidRDefault="0068680D" w:rsidP="00F47DC4">
            <w:pPr>
              <w:pStyle w:val="NormalWeb"/>
              <w:widowControl w:val="0"/>
              <w:spacing w:before="0" w:beforeAutospacing="0" w:after="0" w:afterAutospacing="0" w:line="276" w:lineRule="auto"/>
              <w:ind w:right="115"/>
              <w:jc w:val="both"/>
              <w:rPr>
                <w:rFonts w:ascii="GHEA Grapalat" w:eastAsiaTheme="minorHAnsi" w:hAnsi="GHEA Grapalat" w:cs="Arial"/>
                <w:sz w:val="20"/>
                <w:szCs w:val="20"/>
                <w:lang w:val="hy-AM"/>
              </w:rPr>
            </w:pPr>
            <w:r w:rsidRPr="00423B76">
              <w:rPr>
                <w:rFonts w:ascii="GHEA Grapalat" w:eastAsiaTheme="minorHAnsi" w:hAnsi="GHEA Grapalat" w:cs="Arial"/>
                <w:sz w:val="20"/>
                <w:szCs w:val="20"/>
                <w:lang w:val="hy-AM"/>
              </w:rPr>
              <w:t>Միջոցառման իրականացման համար hիմք է հանդիսանում Համապարփակ և ընդլայնված գործընկերության համաձայնագրիրը (ՀԸԳՀ), որի կիրարկումը դիտվում է որպես Հայաստանի զարգացմանն ուղղված Կառավարության բարեփոխումների օրակարգին նպաստող նշանակալից գործոն։ (Կառավարության ծրագիր՝ 2.3. Արտաքին քաղաքականություն):</w:t>
            </w:r>
          </w:p>
          <w:p w:rsidR="0068680D" w:rsidRPr="00423B76" w:rsidRDefault="0068680D" w:rsidP="0068680D">
            <w:pPr>
              <w:pStyle w:val="NormalWeb"/>
              <w:widowControl w:val="0"/>
              <w:numPr>
                <w:ilvl w:val="1"/>
                <w:numId w:val="391"/>
              </w:numPr>
              <w:spacing w:before="0" w:beforeAutospacing="0" w:after="0" w:afterAutospacing="0" w:line="276" w:lineRule="auto"/>
              <w:ind w:right="115"/>
              <w:jc w:val="both"/>
              <w:rPr>
                <w:rFonts w:ascii="GHEA Grapalat" w:eastAsia="MS Mincho" w:hAnsi="GHEA Grapalat" w:cs="MS Mincho"/>
                <w:b/>
                <w:color w:val="000000" w:themeColor="text1"/>
                <w:sz w:val="20"/>
                <w:szCs w:val="20"/>
                <w:lang w:val="hy-AM"/>
              </w:rPr>
            </w:pPr>
            <w:r w:rsidRPr="00423B76">
              <w:rPr>
                <w:rFonts w:ascii="GHEA Grapalat" w:eastAsia="MS Mincho" w:hAnsi="GHEA Grapalat" w:cs="MS Mincho"/>
                <w:b/>
                <w:color w:val="000000" w:themeColor="text1"/>
                <w:sz w:val="20"/>
                <w:szCs w:val="20"/>
                <w:lang w:val="hy-AM"/>
              </w:rPr>
              <w:t>Ընթացիկ իրավիճակը և խնդիրները</w:t>
            </w:r>
          </w:p>
          <w:p w:rsidR="0068680D" w:rsidRPr="00423B76" w:rsidRDefault="0068680D" w:rsidP="00F47DC4">
            <w:pPr>
              <w:pStyle w:val="NormalWeb"/>
              <w:widowControl w:val="0"/>
              <w:spacing w:before="0" w:beforeAutospacing="0" w:after="0" w:afterAutospacing="0" w:line="276" w:lineRule="auto"/>
              <w:ind w:right="115"/>
              <w:jc w:val="both"/>
              <w:rPr>
                <w:rFonts w:ascii="GHEA Grapalat" w:hAnsi="GHEA Grapalat" w:cstheme="majorBidi"/>
                <w:bCs/>
                <w:sz w:val="20"/>
                <w:szCs w:val="20"/>
                <w:lang w:val="hy-AM"/>
              </w:rPr>
            </w:pPr>
            <w:r w:rsidRPr="00423B76">
              <w:rPr>
                <w:rFonts w:ascii="GHEA Grapalat" w:hAnsi="GHEA Grapalat" w:cs="Arial"/>
                <w:sz w:val="20"/>
                <w:szCs w:val="20"/>
                <w:lang w:val="hy-AM"/>
              </w:rPr>
              <w:t>ՀՀ-ԵՄ հարաբերությունների կարգավորման առանցքային փաստաթղթերից է հանդիսանում Եվրոպական Միության «Միասնական աջակցության շրջանակը», որով նախատեսված է  ՀՀ-ին տրամադրվելիք աջակցությունը 2017-2020 թվականների համար: Աջակցության ընդհանուր ծավալը նախատեսված է 144 մլն-176 մլն եվրո: Ներկա փուլում է գտնվում ՀՀ կողմից առաջնային ոլորտների գնահատման գործընթացը, որոնցով հետագայում կիրականացվեն համապատասխան ծրագրերը:</w:t>
            </w:r>
            <w:r w:rsidRPr="00423B76">
              <w:rPr>
                <w:rFonts w:ascii="GHEA Grapalat" w:hAnsi="GHEA Grapalat" w:cstheme="majorBidi"/>
                <w:bCs/>
                <w:sz w:val="20"/>
                <w:szCs w:val="20"/>
                <w:lang w:val="hy-AM"/>
              </w:rPr>
              <w:t>:</w:t>
            </w:r>
          </w:p>
          <w:p w:rsidR="0068680D" w:rsidRPr="00423B76" w:rsidRDefault="0068680D" w:rsidP="00F47DC4">
            <w:pPr>
              <w:widowControl w:val="0"/>
              <w:spacing w:line="276" w:lineRule="auto"/>
              <w:ind w:right="115" w:firstLine="375"/>
              <w:jc w:val="both"/>
              <w:rPr>
                <w:b/>
                <w:lang w:val="hy-AM"/>
              </w:rPr>
            </w:pPr>
            <w:r w:rsidRPr="00423B76">
              <w:rPr>
                <w:b/>
                <w:lang w:val="hy-AM"/>
              </w:rPr>
              <w:t>1.</w:t>
            </w:r>
            <w:r w:rsidRPr="00423B76">
              <w:rPr>
                <w:rFonts w:eastAsia="MS Mincho" w:cs="MS Mincho"/>
                <w:b/>
                <w:lang w:val="hy-AM"/>
              </w:rPr>
              <w:t xml:space="preserve">2. </w:t>
            </w:r>
            <w:r w:rsidRPr="00423B76">
              <w:rPr>
                <w:b/>
                <w:lang w:val="hy-AM"/>
              </w:rPr>
              <w:t>Առկա խնդիրների առաջարկվող լուծումները</w:t>
            </w:r>
          </w:p>
          <w:p w:rsidR="0068680D" w:rsidRPr="00423B76" w:rsidRDefault="0068680D" w:rsidP="00F47DC4">
            <w:pPr>
              <w:spacing w:line="276" w:lineRule="auto"/>
              <w:jc w:val="both"/>
              <w:rPr>
                <w:lang w:val="hy-AM"/>
              </w:rPr>
            </w:pPr>
            <w:r w:rsidRPr="00423B76">
              <w:rPr>
                <w:lang w:val="hy-AM"/>
              </w:rPr>
              <w:t>Առկա գործընթացը արդյունավետ կազմակերպելու համար աշխատանքներ են իրականացվելու ոլորտային պետական կառավարման մարմինների հետ ծրագրերի հնարավորությունների և դրանց իրագործման հմտությունների փոխանցման նպատակով:</w:t>
            </w:r>
          </w:p>
          <w:p w:rsidR="0068680D" w:rsidRPr="00423B76" w:rsidRDefault="0068680D" w:rsidP="00F47DC4">
            <w:pPr>
              <w:spacing w:line="276" w:lineRule="auto"/>
              <w:jc w:val="both"/>
              <w:rPr>
                <w:lang w:val="hy-AM"/>
              </w:rPr>
            </w:pPr>
            <w:r w:rsidRPr="00423B76">
              <w:rPr>
                <w:rFonts w:cs="Arial"/>
                <w:b/>
                <w:lang w:val="hy-AM"/>
              </w:rPr>
              <w:t>2. Միջոցառման</w:t>
            </w:r>
            <w:r w:rsidRPr="00423B76">
              <w:rPr>
                <w:b/>
                <w:lang w:val="hy-AM"/>
              </w:rPr>
              <w:t xml:space="preserve"> </w:t>
            </w:r>
            <w:r w:rsidRPr="00423B76">
              <w:rPr>
                <w:rFonts w:cs="Arial"/>
                <w:b/>
                <w:lang w:val="hy-AM"/>
              </w:rPr>
              <w:t>իրականացումից</w:t>
            </w:r>
            <w:r w:rsidRPr="00423B76">
              <w:rPr>
                <w:b/>
                <w:lang w:val="hy-AM"/>
              </w:rPr>
              <w:t xml:space="preserve"> </w:t>
            </w:r>
            <w:r w:rsidRPr="00423B76">
              <w:rPr>
                <w:rFonts w:cs="Arial"/>
                <w:b/>
                <w:lang w:val="hy-AM"/>
              </w:rPr>
              <w:t>ակնկալվող</w:t>
            </w:r>
            <w:r w:rsidRPr="00423B76">
              <w:rPr>
                <w:b/>
                <w:lang w:val="hy-AM"/>
              </w:rPr>
              <w:t xml:space="preserve"> </w:t>
            </w:r>
            <w:r w:rsidRPr="00423B76">
              <w:rPr>
                <w:rFonts w:cs="Arial"/>
                <w:b/>
                <w:lang w:val="hy-AM"/>
              </w:rPr>
              <w:t>արդյունքը</w:t>
            </w:r>
          </w:p>
          <w:p w:rsidR="0068680D" w:rsidRPr="00423B76" w:rsidRDefault="0068680D" w:rsidP="00F47DC4">
            <w:pPr>
              <w:pStyle w:val="NormalWeb"/>
              <w:widowControl w:val="0"/>
              <w:spacing w:before="0" w:beforeAutospacing="0" w:after="0" w:afterAutospacing="0" w:line="276" w:lineRule="auto"/>
              <w:ind w:right="28"/>
              <w:jc w:val="both"/>
              <w:rPr>
                <w:rFonts w:ascii="GHEA Grapalat" w:eastAsia="Calibri" w:hAnsi="GHEA Grapalat" w:cs="Sylfaen"/>
                <w:b/>
                <w:sz w:val="20"/>
                <w:szCs w:val="20"/>
                <w:lang w:val="hy-AM"/>
              </w:rPr>
            </w:pPr>
            <w:r w:rsidRPr="00423B76">
              <w:rPr>
                <w:rFonts w:ascii="GHEA Grapalat" w:eastAsiaTheme="minorHAnsi" w:hAnsi="GHEA Grapalat" w:cstheme="minorBidi"/>
                <w:sz w:val="20"/>
                <w:szCs w:val="20"/>
                <w:lang w:val="hy-AM"/>
              </w:rPr>
              <w:t>Միջոցառման իրականացումը կապահովվի ՀՀ կառավարության ծրագրի վերոնշյալ դրույթի իրականացումը, ինչպես նաև ծրագրի իրականացման ոլորտներում բարեփոխումների իրականացման, ԵՄ օրենսդրության մոտարկման, ռազմավարությունների և հայեցակարգերի մշակման, և մարմինների կարողությունների զարգացման և հզորացման ապահովումը:</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12.</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60"/>
              <w:outlineLvl w:val="0"/>
              <w:rPr>
                <w:rFonts w:ascii="GHEA Grapalat" w:hAnsi="GHEA Grapalat"/>
                <w:sz w:val="20"/>
                <w:szCs w:val="20"/>
                <w:lang w:val="hy-AM"/>
              </w:rPr>
            </w:pPr>
            <w:r w:rsidRPr="00423B76">
              <w:rPr>
                <w:rFonts w:ascii="GHEA Grapalat" w:hAnsi="GHEA Grapalat"/>
                <w:sz w:val="20"/>
                <w:szCs w:val="20"/>
                <w:lang w:val="hy-AM"/>
              </w:rPr>
              <w:t>Արտահանմանն առնչ</w:t>
            </w:r>
            <w:r w:rsidRPr="00423B76">
              <w:rPr>
                <w:rFonts w:ascii="GHEA Grapalat" w:hAnsi="GHEA Grapalat"/>
                <w:sz w:val="20"/>
                <w:szCs w:val="20"/>
                <w:lang w:val="hy-AM"/>
              </w:rPr>
              <w:softHyphen/>
              <w:t>վող մաքսային ընթացա</w:t>
            </w:r>
            <w:r w:rsidRPr="00423B76">
              <w:rPr>
                <w:rFonts w:ascii="GHEA Grapalat" w:hAnsi="GHEA Grapalat"/>
                <w:sz w:val="20"/>
                <w:szCs w:val="20"/>
                <w:lang w:val="hy-AM"/>
              </w:rPr>
              <w:softHyphen/>
              <w:t>կար</w:t>
            </w:r>
            <w:r w:rsidRPr="00423B76">
              <w:rPr>
                <w:rFonts w:ascii="GHEA Grapalat" w:hAnsi="GHEA Grapalat"/>
                <w:sz w:val="20"/>
                <w:szCs w:val="20"/>
                <w:lang w:val="hy-AM"/>
              </w:rPr>
              <w:softHyphen/>
              <w:t xml:space="preserve">գերի </w:t>
            </w:r>
            <w:r>
              <w:rPr>
                <w:rFonts w:ascii="GHEA Grapalat" w:hAnsi="GHEA Grapalat"/>
                <w:sz w:val="20"/>
                <w:szCs w:val="20"/>
                <w:lang w:val="hy-AM"/>
              </w:rPr>
              <w:t>և</w:t>
            </w:r>
            <w:r w:rsidRPr="00423B76">
              <w:rPr>
                <w:rFonts w:ascii="GHEA Grapalat" w:hAnsi="GHEA Grapalat"/>
                <w:sz w:val="20"/>
                <w:szCs w:val="20"/>
                <w:lang w:val="hy-AM"/>
              </w:rPr>
              <w:t xml:space="preserve"> դրանցով պայմանավորված վարչարարության պարզեցում</w:t>
            </w:r>
          </w:p>
          <w:p w:rsidR="0068680D" w:rsidRDefault="0068680D" w:rsidP="00F47DC4">
            <w:pPr>
              <w:pStyle w:val="Heading2"/>
              <w:spacing w:before="0" w:beforeAutospacing="0" w:after="0" w:afterAutospacing="0" w:line="276" w:lineRule="auto"/>
              <w:ind w:left="60"/>
              <w:outlineLvl w:val="1"/>
              <w:rPr>
                <w:rFonts w:ascii="GHEA Grapalat" w:hAnsi="GHEA Grapalat" w:cs="Sylfaen"/>
                <w:sz w:val="20"/>
                <w:szCs w:val="20"/>
                <w:lang w:val="hy-AM"/>
              </w:rPr>
            </w:pPr>
          </w:p>
          <w:p w:rsidR="0068680D" w:rsidRPr="00423B76" w:rsidRDefault="0068680D" w:rsidP="00F47DC4">
            <w:pPr>
              <w:pStyle w:val="Heading2"/>
              <w:spacing w:before="0" w:beforeAutospacing="0" w:after="0" w:afterAutospacing="0" w:line="276" w:lineRule="auto"/>
              <w:ind w:left="60"/>
              <w:outlineLvl w:val="1"/>
              <w:rPr>
                <w:rFonts w:ascii="GHEA Grapalat" w:hAnsi="GHEA Grapalat" w:cs="Sylfaen"/>
                <w:sz w:val="20"/>
                <w:szCs w:val="20"/>
                <w:lang w:val="hy-AM"/>
              </w:rPr>
            </w:pPr>
            <w:r>
              <w:rPr>
                <w:rFonts w:ascii="GHEA Grapalat" w:hAnsi="GHEA Grapalat" w:cs="Sylfaen"/>
                <w:sz w:val="20"/>
                <w:szCs w:val="20"/>
                <w:lang w:val="hy-AM"/>
              </w:rPr>
              <w:t xml:space="preserve"> 12.1 </w:t>
            </w:r>
            <w:r w:rsidRPr="00423B76">
              <w:rPr>
                <w:rFonts w:ascii="GHEA Grapalat" w:hAnsi="GHEA Grapalat" w:cs="Sylfaen"/>
                <w:sz w:val="20"/>
                <w:szCs w:val="20"/>
                <w:lang w:val="hy-AM"/>
              </w:rPr>
              <w:t>Հայաստանի Հանրապետութ</w:t>
            </w:r>
            <w:r w:rsidRPr="00423B76">
              <w:rPr>
                <w:rFonts w:ascii="GHEA Grapalat" w:hAnsi="GHEA Grapalat" w:cs="Sylfaen"/>
                <w:sz w:val="20"/>
                <w:szCs w:val="20"/>
                <w:lang w:val="hy-AM"/>
              </w:rPr>
              <w:softHyphen/>
              <w:t>յունից արտա</w:t>
            </w:r>
            <w:r w:rsidRPr="00423B76">
              <w:rPr>
                <w:rFonts w:ascii="GHEA Grapalat" w:hAnsi="GHEA Grapalat" w:cs="Sylfaen"/>
                <w:sz w:val="20"/>
                <w:szCs w:val="20"/>
                <w:lang w:val="hy-AM"/>
              </w:rPr>
              <w:softHyphen/>
              <w:t>հանվող և Հայաստա</w:t>
            </w:r>
            <w:r w:rsidRPr="00423B76">
              <w:rPr>
                <w:rFonts w:ascii="GHEA Grapalat" w:hAnsi="GHEA Grapalat" w:cs="Sylfaen"/>
                <w:sz w:val="20"/>
                <w:szCs w:val="20"/>
                <w:lang w:val="hy-AM"/>
              </w:rPr>
              <w:softHyphen/>
              <w:t>նի Հանրապետության տարածքով տարանցիկ փոխադրվող երկակի նշանակության հսկվող ապրանք</w:t>
            </w:r>
            <w:r w:rsidRPr="00423B76">
              <w:rPr>
                <w:rFonts w:ascii="GHEA Grapalat" w:hAnsi="GHEA Grapalat" w:cs="Sylfaen"/>
                <w:sz w:val="20"/>
                <w:szCs w:val="20"/>
                <w:lang w:val="hy-AM"/>
              </w:rPr>
              <w:softHyphen/>
              <w:t>ների, ինչպես  նաև  փոխանցվող երկակի  նշա</w:t>
            </w:r>
            <w:r w:rsidRPr="00423B76">
              <w:rPr>
                <w:rFonts w:ascii="GHEA Grapalat" w:hAnsi="GHEA Grapalat" w:cs="Sylfaen"/>
                <w:sz w:val="20"/>
                <w:szCs w:val="20"/>
                <w:lang w:val="hy-AM"/>
              </w:rPr>
              <w:softHyphen/>
              <w:t>նակության տեղեկա</w:t>
            </w:r>
            <w:r w:rsidRPr="00423B76">
              <w:rPr>
                <w:rFonts w:ascii="GHEA Grapalat" w:hAnsi="GHEA Grapalat" w:cs="Sylfaen"/>
                <w:sz w:val="20"/>
                <w:szCs w:val="20"/>
                <w:lang w:val="hy-AM"/>
              </w:rPr>
              <w:softHyphen/>
              <w:t>տվութ</w:t>
            </w:r>
            <w:r w:rsidRPr="00423B76">
              <w:rPr>
                <w:rFonts w:ascii="GHEA Grapalat" w:hAnsi="GHEA Grapalat" w:cs="Sylfaen"/>
                <w:sz w:val="20"/>
                <w:szCs w:val="20"/>
                <w:lang w:val="hy-AM"/>
              </w:rPr>
              <w:softHyphen/>
              <w:t>յան և մտավոր գործունեութ</w:t>
            </w:r>
            <w:r w:rsidRPr="00423B76">
              <w:rPr>
                <w:rFonts w:ascii="GHEA Grapalat" w:hAnsi="GHEA Grapalat" w:cs="Sylfaen"/>
                <w:sz w:val="20"/>
                <w:szCs w:val="20"/>
                <w:lang w:val="hy-AM"/>
              </w:rPr>
              <w:softHyphen/>
              <w:t>յան արդյունքների` հսկվող ոչ նյութական արժեքների ցանկի հաստատում, ընթացակարգերի վերանայում</w:t>
            </w:r>
          </w:p>
          <w:p w:rsidR="0068680D" w:rsidRPr="00423B76" w:rsidRDefault="0068680D" w:rsidP="0068680D">
            <w:pPr>
              <w:pStyle w:val="ListParagraph"/>
              <w:numPr>
                <w:ilvl w:val="0"/>
                <w:numId w:val="415"/>
              </w:numPr>
              <w:tabs>
                <w:tab w:val="left" w:pos="90"/>
              </w:tabs>
              <w:spacing w:line="276" w:lineRule="auto"/>
              <w:ind w:left="360" w:hanging="270"/>
              <w:contextualSpacing w:val="0"/>
              <w:rPr>
                <w:rFonts w:eastAsia="Calibri" w:cs="Sylfaen"/>
                <w:b/>
                <w:lang w:val="hy-AM"/>
              </w:rPr>
            </w:pPr>
            <w:r w:rsidRPr="00423B76">
              <w:rPr>
                <w:rFonts w:eastAsia="Calibri" w:cs="Sylfaen"/>
                <w:b/>
                <w:lang w:val="hy-AM"/>
              </w:rPr>
              <w:t>Միջոցառման իրականացման անհրաժեշտությունը և նպատակը</w:t>
            </w:r>
          </w:p>
          <w:p w:rsidR="0068680D" w:rsidRPr="00423B76" w:rsidRDefault="0068680D" w:rsidP="00F47DC4">
            <w:pPr>
              <w:spacing w:line="276" w:lineRule="auto"/>
              <w:jc w:val="both"/>
              <w:rPr>
                <w:rFonts w:eastAsia="Calibri" w:cs="Sylfaen"/>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5.5 բաժնի դրույթներով: </w:t>
            </w:r>
            <w:r w:rsidRPr="00423B76">
              <w:rPr>
                <w:color w:val="000000" w:themeColor="text1"/>
                <w:lang w:val="hy-AM"/>
              </w:rPr>
              <w:t>Միջոցառման իրակացման</w:t>
            </w:r>
            <w:r w:rsidRPr="00423B76">
              <w:rPr>
                <w:rFonts w:eastAsia="Calibri" w:cs="Sylfaen"/>
                <w:lang w:val="hy-AM"/>
              </w:rPr>
              <w:t xml:space="preserve"> նպատակը վերահսկվող ապրանքների և մտավոր գործունեության արդյունքների կարգավորումների եվրոպական երկների օրենսդրությանը ներդաշնակեցումն է և արտահանման ընթացակարգերի պարզեցումը:</w:t>
            </w:r>
          </w:p>
          <w:p w:rsidR="0068680D" w:rsidRPr="00423B76" w:rsidRDefault="0068680D" w:rsidP="0068680D">
            <w:pPr>
              <w:pStyle w:val="NormalWeb"/>
              <w:widowControl w:val="0"/>
              <w:numPr>
                <w:ilvl w:val="1"/>
                <w:numId w:val="390"/>
              </w:numPr>
              <w:spacing w:before="0" w:beforeAutospacing="0" w:after="0" w:afterAutospacing="0" w:line="276" w:lineRule="auto"/>
              <w:ind w:right="28"/>
              <w:rPr>
                <w:rFonts w:ascii="GHEA Grapalat" w:eastAsia="Calibri" w:hAnsi="GHEA Grapalat" w:cs="Sylfaen"/>
                <w:b/>
                <w:sz w:val="20"/>
                <w:szCs w:val="20"/>
                <w:lang w:val="hy-AM"/>
              </w:rPr>
            </w:pPr>
            <w:r w:rsidRPr="00423B76">
              <w:rPr>
                <w:rFonts w:ascii="GHEA Grapalat" w:eastAsia="Calibri" w:hAnsi="GHEA Grapalat" w:cs="Sylfaen"/>
                <w:b/>
                <w:sz w:val="20"/>
                <w:szCs w:val="20"/>
                <w:lang w:val="hy-AM"/>
              </w:rPr>
              <w:t>Ընթացիկ իրավիճակը և խնդիրները</w:t>
            </w:r>
          </w:p>
          <w:p w:rsidR="0068680D" w:rsidRPr="00423B76" w:rsidRDefault="0068680D" w:rsidP="00F47DC4">
            <w:pPr>
              <w:pStyle w:val="NormalWeb"/>
              <w:widowControl w:val="0"/>
              <w:spacing w:before="0" w:beforeAutospacing="0" w:after="0" w:afterAutospacing="0" w:line="276" w:lineRule="auto"/>
              <w:ind w:right="28"/>
              <w:jc w:val="both"/>
              <w:rPr>
                <w:rFonts w:ascii="GHEA Grapalat" w:eastAsia="Calibri" w:hAnsi="GHEA Grapalat" w:cs="Sylfaen"/>
                <w:b/>
                <w:sz w:val="20"/>
                <w:szCs w:val="20"/>
                <w:lang w:val="hy-AM"/>
              </w:rPr>
            </w:pPr>
            <w:r w:rsidRPr="00423B76">
              <w:rPr>
                <w:rFonts w:ascii="GHEA Grapalat" w:hAnsi="GHEA Grapalat" w:cs="Sylfaen"/>
                <w:sz w:val="20"/>
                <w:szCs w:val="20"/>
                <w:lang w:val="hy-AM"/>
              </w:rPr>
              <w:t>Ներկայումս Հայաստանում օգտագործվում են երկակի նշանակության հսկվող ապրանքների, ինչպես  նաև  փոխանցվող  երկակի  նշա</w:t>
            </w:r>
            <w:r w:rsidRPr="00423B76">
              <w:rPr>
                <w:rFonts w:ascii="GHEA Grapalat" w:hAnsi="GHEA Grapalat" w:cs="Sylfaen"/>
                <w:sz w:val="20"/>
                <w:szCs w:val="20"/>
                <w:lang w:val="hy-AM"/>
              </w:rPr>
              <w:softHyphen/>
              <w:t>նակության տեղեկա</w:t>
            </w:r>
            <w:r w:rsidRPr="00423B76">
              <w:rPr>
                <w:rFonts w:ascii="GHEA Grapalat" w:hAnsi="GHEA Grapalat" w:cs="Sylfaen"/>
                <w:sz w:val="20"/>
                <w:szCs w:val="20"/>
                <w:lang w:val="hy-AM"/>
              </w:rPr>
              <w:softHyphen/>
              <w:t>տվութ</w:t>
            </w:r>
            <w:r w:rsidRPr="00423B76">
              <w:rPr>
                <w:rFonts w:ascii="GHEA Grapalat" w:hAnsi="GHEA Grapalat" w:cs="Sylfaen"/>
                <w:sz w:val="20"/>
                <w:szCs w:val="20"/>
                <w:lang w:val="hy-AM"/>
              </w:rPr>
              <w:softHyphen/>
              <w:t>յան և մտավոր գործունեութ</w:t>
            </w:r>
            <w:r w:rsidRPr="00423B76">
              <w:rPr>
                <w:rFonts w:ascii="GHEA Grapalat" w:hAnsi="GHEA Grapalat" w:cs="Sylfaen"/>
                <w:sz w:val="20"/>
                <w:szCs w:val="20"/>
                <w:lang w:val="hy-AM"/>
              </w:rPr>
              <w:softHyphen/>
              <w:t>յան արդյունքների` հսկվող ոչ նյութական արժեքների 2011 թվականի ցանկերը, որոնք որոշակիորեն կորցրել են իրենց արդիականությունը:</w:t>
            </w:r>
          </w:p>
          <w:p w:rsidR="0068680D" w:rsidRPr="00423B76" w:rsidRDefault="0068680D" w:rsidP="0068680D">
            <w:pPr>
              <w:pStyle w:val="NormalWeb"/>
              <w:widowControl w:val="0"/>
              <w:numPr>
                <w:ilvl w:val="1"/>
                <w:numId w:val="390"/>
              </w:numPr>
              <w:spacing w:before="0" w:beforeAutospacing="0" w:after="0" w:afterAutospacing="0" w:line="276" w:lineRule="auto"/>
              <w:ind w:right="28"/>
              <w:rPr>
                <w:rFonts w:ascii="GHEA Grapalat" w:eastAsia="Calibri" w:hAnsi="GHEA Grapalat" w:cs="Sylfaen"/>
                <w:b/>
                <w:sz w:val="20"/>
                <w:szCs w:val="20"/>
                <w:lang w:val="hy-AM"/>
              </w:rPr>
            </w:pPr>
            <w:r w:rsidRPr="00423B76">
              <w:rPr>
                <w:rFonts w:ascii="GHEA Grapalat" w:eastAsia="Calibri" w:hAnsi="GHEA Grapalat" w:cs="Sylfaen"/>
                <w:b/>
                <w:sz w:val="20"/>
                <w:szCs w:val="20"/>
                <w:lang w:val="hy-AM"/>
              </w:rPr>
              <w:t>1.2 Առկա խնդիրների առաջարկվող լուծումները</w:t>
            </w:r>
          </w:p>
          <w:p w:rsidR="0068680D" w:rsidRPr="00423B76" w:rsidRDefault="0068680D" w:rsidP="00F47DC4">
            <w:pPr>
              <w:pStyle w:val="NormalWeb"/>
              <w:widowControl w:val="0"/>
              <w:spacing w:before="0" w:beforeAutospacing="0" w:after="0" w:afterAutospacing="0" w:line="276" w:lineRule="auto"/>
              <w:ind w:right="28"/>
              <w:jc w:val="both"/>
              <w:rPr>
                <w:rFonts w:ascii="GHEA Grapalat" w:hAnsi="GHEA Grapalat" w:cs="Sylfaen"/>
                <w:sz w:val="20"/>
                <w:szCs w:val="20"/>
                <w:vertAlign w:val="superscript"/>
                <w:lang w:val="hy-AM"/>
              </w:rPr>
            </w:pPr>
            <w:r w:rsidRPr="00423B76">
              <w:rPr>
                <w:rFonts w:ascii="GHEA Grapalat" w:hAnsi="GHEA Grapalat" w:cs="Sylfaen"/>
                <w:sz w:val="20"/>
                <w:szCs w:val="20"/>
                <w:lang w:val="hy-AM"/>
              </w:rPr>
              <w:t>Առաջարկվում է երկակի նշանակության հսկվող ապրանք</w:t>
            </w:r>
            <w:r w:rsidRPr="00423B76">
              <w:rPr>
                <w:rFonts w:ascii="GHEA Grapalat" w:hAnsi="GHEA Grapalat" w:cs="Sylfaen"/>
                <w:sz w:val="20"/>
                <w:szCs w:val="20"/>
                <w:lang w:val="hy-AM"/>
              </w:rPr>
              <w:softHyphen/>
              <w:t>ների, ինչպես  նաև  փոխանցվող  երկակի նշա</w:t>
            </w:r>
            <w:r w:rsidRPr="00423B76">
              <w:rPr>
                <w:rFonts w:ascii="GHEA Grapalat" w:hAnsi="GHEA Grapalat" w:cs="Sylfaen"/>
                <w:sz w:val="20"/>
                <w:szCs w:val="20"/>
                <w:lang w:val="hy-AM"/>
              </w:rPr>
              <w:softHyphen/>
              <w:t>նակության տեղեկա</w:t>
            </w:r>
            <w:r w:rsidRPr="00423B76">
              <w:rPr>
                <w:rFonts w:ascii="GHEA Grapalat" w:hAnsi="GHEA Grapalat" w:cs="Sylfaen"/>
                <w:sz w:val="20"/>
                <w:szCs w:val="20"/>
                <w:lang w:val="hy-AM"/>
              </w:rPr>
              <w:softHyphen/>
              <w:t>տվութ</w:t>
            </w:r>
            <w:r w:rsidRPr="00423B76">
              <w:rPr>
                <w:rFonts w:ascii="GHEA Grapalat" w:hAnsi="GHEA Grapalat" w:cs="Sylfaen"/>
                <w:sz w:val="20"/>
                <w:szCs w:val="20"/>
                <w:lang w:val="hy-AM"/>
              </w:rPr>
              <w:softHyphen/>
              <w:t>յան և մտավոր գործունեութ</w:t>
            </w:r>
            <w:r w:rsidRPr="00423B76">
              <w:rPr>
                <w:rFonts w:ascii="GHEA Grapalat" w:hAnsi="GHEA Grapalat" w:cs="Sylfaen"/>
                <w:sz w:val="20"/>
                <w:szCs w:val="20"/>
                <w:lang w:val="hy-AM"/>
              </w:rPr>
              <w:softHyphen/>
              <w:t>յան արդյունքների` հսկվող ոչ նյութական արժեքների ցանկը համահունչ դարձնել եվրոպական երկրներում օգտագործվող 2016 թվականին հաստատված ցանկերի հետ:</w:t>
            </w:r>
          </w:p>
          <w:p w:rsidR="0068680D" w:rsidRPr="00423B76" w:rsidRDefault="0068680D" w:rsidP="0068680D">
            <w:pPr>
              <w:pStyle w:val="ListParagraph"/>
              <w:numPr>
                <w:ilvl w:val="0"/>
                <w:numId w:val="415"/>
              </w:numPr>
              <w:tabs>
                <w:tab w:val="left" w:pos="360"/>
              </w:tabs>
              <w:spacing w:line="276" w:lineRule="auto"/>
              <w:ind w:hanging="720"/>
              <w:contextualSpacing w:val="0"/>
              <w:rPr>
                <w:rFonts w:eastAsia="Calibri" w:cs="Sylfaen"/>
                <w:b/>
                <w:lang w:val="hy-AM"/>
              </w:rPr>
            </w:pPr>
            <w:r w:rsidRPr="00423B76">
              <w:rPr>
                <w:rFonts w:eastAsia="Calibri" w:cs="Sylfaen"/>
                <w:b/>
                <w:lang w:val="hy-AM"/>
              </w:rPr>
              <w:t>Միջոցառման իրականացումից ակնկալվող արդյունքը</w:t>
            </w:r>
          </w:p>
          <w:p w:rsidR="0068680D" w:rsidRPr="00423B76" w:rsidRDefault="0068680D" w:rsidP="00F47DC4">
            <w:pPr>
              <w:spacing w:line="276" w:lineRule="auto"/>
              <w:jc w:val="both"/>
              <w:rPr>
                <w:lang w:val="hy-AM"/>
              </w:rPr>
            </w:pPr>
            <w:r w:rsidRPr="00423B76">
              <w:rPr>
                <w:rFonts w:cs="Sylfaen"/>
                <w:lang w:val="hy-AM"/>
              </w:rPr>
              <w:t>Երկակի նշանակության ապրանքների արտահանման և տարանցիկ փոխադրման թույլտվությունների տրամադրման համար գործընթացի կանոնակարգում, միջազգային պահանջներին համապատասխանե-ցում, ռիսկերի նվազեցում, ընթացակարգերի պարզեցում:</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13.</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60"/>
              <w:outlineLvl w:val="0"/>
              <w:rPr>
                <w:rFonts w:ascii="GHEA Grapalat" w:hAnsi="GHEA Grapalat"/>
                <w:sz w:val="20"/>
                <w:szCs w:val="20"/>
                <w:lang w:val="hy-AM"/>
              </w:rPr>
            </w:pPr>
            <w:r w:rsidRPr="00423B76">
              <w:rPr>
                <w:rFonts w:ascii="GHEA Grapalat" w:hAnsi="GHEA Grapalat"/>
                <w:sz w:val="20"/>
                <w:szCs w:val="20"/>
                <w:lang w:val="hy-AM"/>
              </w:rPr>
              <w:t>Որակի ենթակառուց</w:t>
            </w:r>
            <w:r w:rsidRPr="00423B76">
              <w:rPr>
                <w:rFonts w:ascii="GHEA Grapalat" w:hAnsi="GHEA Grapalat"/>
                <w:sz w:val="20"/>
                <w:szCs w:val="20"/>
                <w:lang w:val="hy-AM"/>
              </w:rPr>
              <w:softHyphen/>
              <w:t>ված</w:t>
            </w:r>
            <w:r w:rsidRPr="00423B76">
              <w:rPr>
                <w:rFonts w:ascii="GHEA Grapalat" w:hAnsi="GHEA Grapalat"/>
                <w:sz w:val="20"/>
                <w:szCs w:val="20"/>
                <w:lang w:val="hy-AM"/>
              </w:rPr>
              <w:softHyphen/>
              <w:t>քի համակարգի արդյու</w:t>
            </w:r>
            <w:r w:rsidRPr="00423B76">
              <w:rPr>
                <w:rFonts w:ascii="GHEA Grapalat" w:hAnsi="GHEA Grapalat"/>
                <w:sz w:val="20"/>
                <w:szCs w:val="20"/>
                <w:lang w:val="hy-AM"/>
              </w:rPr>
              <w:softHyphen/>
              <w:t>նա</w:t>
            </w:r>
            <w:r w:rsidRPr="00423B76">
              <w:rPr>
                <w:rFonts w:ascii="GHEA Grapalat" w:hAnsi="GHEA Grapalat"/>
                <w:sz w:val="20"/>
                <w:szCs w:val="20"/>
                <w:lang w:val="hy-AM"/>
              </w:rPr>
              <w:softHyphen/>
              <w:t>վե</w:t>
            </w:r>
            <w:r w:rsidRPr="00423B76">
              <w:rPr>
                <w:rFonts w:ascii="GHEA Grapalat" w:hAnsi="GHEA Grapalat"/>
                <w:sz w:val="20"/>
                <w:szCs w:val="20"/>
                <w:lang w:val="hy-AM"/>
              </w:rPr>
              <w:softHyphen/>
              <w:t>տության բարձրա</w:t>
            </w:r>
            <w:r w:rsidRPr="00423B76">
              <w:rPr>
                <w:rFonts w:ascii="GHEA Grapalat" w:hAnsi="GHEA Grapalat"/>
                <w:sz w:val="20"/>
                <w:szCs w:val="20"/>
                <w:lang w:val="hy-AM"/>
              </w:rPr>
              <w:softHyphen/>
              <w:t>ցում, համապատասխա</w:t>
            </w:r>
            <w:r w:rsidRPr="00423B76">
              <w:rPr>
                <w:rFonts w:ascii="GHEA Grapalat" w:hAnsi="GHEA Grapalat"/>
                <w:sz w:val="20"/>
                <w:szCs w:val="20"/>
                <w:lang w:val="hy-AM"/>
              </w:rPr>
              <w:softHyphen/>
              <w:t>նության գնահատման փաստաթղթերի, ինչպես նա</w:t>
            </w:r>
            <w:r>
              <w:rPr>
                <w:rFonts w:ascii="GHEA Grapalat" w:hAnsi="GHEA Grapalat"/>
                <w:sz w:val="20"/>
                <w:szCs w:val="20"/>
                <w:lang w:val="hy-AM"/>
              </w:rPr>
              <w:t>և</w:t>
            </w:r>
            <w:r w:rsidRPr="00423B76">
              <w:rPr>
                <w:rFonts w:ascii="GHEA Grapalat" w:hAnsi="GHEA Grapalat"/>
                <w:sz w:val="20"/>
                <w:szCs w:val="20"/>
                <w:lang w:val="hy-AM"/>
              </w:rPr>
              <w:t xml:space="preserve"> փորձարկման լաբորատորիաների կողմից իրականացվող լաբորատոր փորձաքն</w:t>
            </w:r>
            <w:r w:rsidRPr="00423B76">
              <w:rPr>
                <w:rFonts w:ascii="GHEA Grapalat" w:hAnsi="GHEA Grapalat"/>
                <w:sz w:val="20"/>
                <w:szCs w:val="20"/>
                <w:lang w:val="hy-AM"/>
              </w:rPr>
              <w:softHyphen/>
              <w:t>նու</w:t>
            </w:r>
            <w:r w:rsidRPr="00423B76">
              <w:rPr>
                <w:rFonts w:ascii="GHEA Grapalat" w:hAnsi="GHEA Grapalat"/>
                <w:sz w:val="20"/>
                <w:szCs w:val="20"/>
                <w:lang w:val="hy-AM"/>
              </w:rPr>
              <w:softHyphen/>
            </w:r>
            <w:r w:rsidRPr="00423B76">
              <w:rPr>
                <w:rFonts w:ascii="GHEA Grapalat" w:hAnsi="GHEA Grapalat"/>
                <w:sz w:val="20"/>
                <w:szCs w:val="20"/>
                <w:lang w:val="hy-AM"/>
              </w:rPr>
              <w:softHyphen/>
              <w:t>թ</w:t>
            </w:r>
            <w:r w:rsidRPr="00423B76">
              <w:rPr>
                <w:rFonts w:ascii="GHEA Grapalat" w:hAnsi="GHEA Grapalat"/>
                <w:sz w:val="20"/>
                <w:szCs w:val="20"/>
                <w:lang w:val="hy-AM"/>
              </w:rPr>
              <w:softHyphen/>
            </w:r>
            <w:r w:rsidRPr="00423B76">
              <w:rPr>
                <w:rFonts w:ascii="GHEA Grapalat" w:hAnsi="GHEA Grapalat"/>
                <w:sz w:val="20"/>
                <w:szCs w:val="20"/>
                <w:lang w:val="hy-AM"/>
              </w:rPr>
              <w:softHyphen/>
              <w:t>յունների հասանե</w:t>
            </w:r>
            <w:r w:rsidRPr="00423B76">
              <w:rPr>
                <w:rFonts w:ascii="GHEA Grapalat" w:hAnsi="GHEA Grapalat"/>
                <w:sz w:val="20"/>
                <w:szCs w:val="20"/>
                <w:lang w:val="hy-AM"/>
              </w:rPr>
              <w:softHyphen/>
              <w:t xml:space="preserve">լիության </w:t>
            </w:r>
            <w:r>
              <w:rPr>
                <w:rFonts w:ascii="GHEA Grapalat" w:hAnsi="GHEA Grapalat"/>
                <w:sz w:val="20"/>
                <w:szCs w:val="20"/>
                <w:lang w:val="hy-AM"/>
              </w:rPr>
              <w:t>և</w:t>
            </w:r>
            <w:r w:rsidRPr="00423B76">
              <w:rPr>
                <w:rFonts w:ascii="GHEA Grapalat" w:hAnsi="GHEA Grapalat"/>
                <w:sz w:val="20"/>
                <w:szCs w:val="20"/>
                <w:lang w:val="hy-AM"/>
              </w:rPr>
              <w:t xml:space="preserve"> մատչե</w:t>
            </w:r>
            <w:r w:rsidRPr="00423B76">
              <w:rPr>
                <w:rFonts w:ascii="GHEA Grapalat" w:hAnsi="GHEA Grapalat"/>
                <w:sz w:val="20"/>
                <w:szCs w:val="20"/>
                <w:lang w:val="hy-AM"/>
              </w:rPr>
              <w:softHyphen/>
              <w:t>լիութ</w:t>
            </w:r>
            <w:r w:rsidRPr="00423B76">
              <w:rPr>
                <w:rFonts w:ascii="GHEA Grapalat" w:hAnsi="GHEA Grapalat"/>
                <w:sz w:val="20"/>
                <w:szCs w:val="20"/>
                <w:lang w:val="hy-AM"/>
              </w:rPr>
              <w:softHyphen/>
              <w:t>յան բարձրացում, հիմնա</w:t>
            </w:r>
            <w:r w:rsidRPr="00423B76">
              <w:rPr>
                <w:rFonts w:ascii="GHEA Grapalat" w:hAnsi="GHEA Grapalat"/>
                <w:sz w:val="20"/>
                <w:szCs w:val="20"/>
                <w:lang w:val="hy-AM"/>
              </w:rPr>
              <w:softHyphen/>
              <w:t>կան արտահանման շուկաներում համապա</w:t>
            </w:r>
            <w:r w:rsidRPr="00423B76">
              <w:rPr>
                <w:rFonts w:ascii="GHEA Grapalat" w:hAnsi="GHEA Grapalat"/>
                <w:sz w:val="20"/>
                <w:szCs w:val="20"/>
                <w:lang w:val="hy-AM"/>
              </w:rPr>
              <w:softHyphen/>
              <w:t>տաս</w:t>
            </w:r>
            <w:r w:rsidRPr="00423B76">
              <w:rPr>
                <w:rFonts w:ascii="GHEA Grapalat" w:hAnsi="GHEA Grapalat"/>
                <w:sz w:val="20"/>
                <w:szCs w:val="20"/>
                <w:lang w:val="hy-AM"/>
              </w:rPr>
              <w:softHyphen/>
              <w:t>խանության գնահա</w:t>
            </w:r>
            <w:r w:rsidRPr="00423B76">
              <w:rPr>
                <w:rFonts w:ascii="GHEA Grapalat" w:hAnsi="GHEA Grapalat"/>
                <w:sz w:val="20"/>
                <w:szCs w:val="20"/>
                <w:lang w:val="hy-AM"/>
              </w:rPr>
              <w:softHyphen/>
              <w:t>տման փաստաթղթերի ճանաչելիության ապահովում</w:t>
            </w:r>
          </w:p>
          <w:p w:rsidR="0068680D" w:rsidRDefault="0068680D" w:rsidP="00F47DC4">
            <w:pPr>
              <w:pStyle w:val="Heading2"/>
              <w:spacing w:before="0" w:beforeAutospacing="0" w:after="0" w:afterAutospacing="0" w:line="276" w:lineRule="auto"/>
              <w:ind w:left="60"/>
              <w:outlineLvl w:val="1"/>
              <w:rPr>
                <w:rFonts w:ascii="GHEA Grapalat" w:hAnsi="GHEA Grapalat" w:cs="Sylfaen"/>
                <w:sz w:val="20"/>
                <w:szCs w:val="20"/>
                <w:lang w:val="hy-AM"/>
              </w:rPr>
            </w:pPr>
            <w:r>
              <w:rPr>
                <w:rFonts w:ascii="GHEA Grapalat" w:hAnsi="GHEA Grapalat" w:cs="Sylfaen"/>
                <w:sz w:val="20"/>
                <w:szCs w:val="20"/>
                <w:lang w:val="hy-AM"/>
              </w:rPr>
              <w:t xml:space="preserve">  </w:t>
            </w:r>
          </w:p>
          <w:p w:rsidR="0068680D" w:rsidRPr="00423B76" w:rsidRDefault="0068680D" w:rsidP="00F47DC4">
            <w:pPr>
              <w:pStyle w:val="Heading2"/>
              <w:spacing w:before="0" w:beforeAutospacing="0" w:after="0" w:afterAutospacing="0" w:line="276" w:lineRule="auto"/>
              <w:ind w:left="60"/>
              <w:outlineLvl w:val="1"/>
              <w:rPr>
                <w:rFonts w:ascii="GHEA Grapalat" w:hAnsi="GHEA Grapalat" w:cs="Sylfaen"/>
                <w:sz w:val="20"/>
                <w:szCs w:val="20"/>
                <w:lang w:val="hy-AM"/>
              </w:rPr>
            </w:pPr>
            <w:r>
              <w:rPr>
                <w:rFonts w:ascii="GHEA Grapalat" w:hAnsi="GHEA Grapalat" w:cs="Sylfaen"/>
                <w:sz w:val="20"/>
                <w:szCs w:val="20"/>
                <w:lang w:val="hy-AM"/>
              </w:rPr>
              <w:t xml:space="preserve">13.1  </w:t>
            </w:r>
            <w:r w:rsidRPr="00423B76">
              <w:rPr>
                <w:rFonts w:ascii="GHEA Grapalat" w:hAnsi="GHEA Grapalat" w:cs="Sylfaen"/>
                <w:sz w:val="20"/>
                <w:szCs w:val="20"/>
                <w:lang w:val="hy-AM"/>
              </w:rPr>
              <w:t>«Չափագիտության ոլորտի զարգացման ռազմավարությունը և միջոցառումների ցանկը հաստատելու վերաբերյալ» ՀՀ կառավարության որոշման նախագծի մշակում և ներկայացում ՀՀ վարչապետի աշխատակազմ</w:t>
            </w:r>
          </w:p>
          <w:p w:rsidR="0068680D" w:rsidRPr="00423B76" w:rsidRDefault="0068680D" w:rsidP="00F47DC4">
            <w:pPr>
              <w:pStyle w:val="NormalWeb"/>
              <w:widowControl w:val="0"/>
              <w:spacing w:before="0" w:beforeAutospacing="0" w:after="0" w:afterAutospacing="0" w:line="276" w:lineRule="auto"/>
              <w:ind w:right="115"/>
              <w:jc w:val="both"/>
              <w:rPr>
                <w:rFonts w:ascii="GHEA Grapalat" w:hAnsi="GHEA Grapalat"/>
                <w:b/>
                <w:color w:val="000000"/>
                <w:sz w:val="20"/>
                <w:szCs w:val="20"/>
                <w:lang w:val="hy-AM"/>
              </w:rPr>
            </w:pPr>
            <w:r w:rsidRPr="00423B76">
              <w:rPr>
                <w:rFonts w:ascii="GHEA Grapalat" w:hAnsi="GHEA Grapalat"/>
                <w:b/>
                <w:color w:val="000000"/>
                <w:sz w:val="20"/>
                <w:szCs w:val="20"/>
                <w:lang w:val="hy-AM"/>
              </w:rPr>
              <w:t>1. Միջոցառման իրականացման անհրաժեշտությունը և նպատակը</w:t>
            </w:r>
          </w:p>
          <w:p w:rsidR="0068680D" w:rsidRPr="00423B76" w:rsidRDefault="0068680D" w:rsidP="00F47DC4">
            <w:pPr>
              <w:pStyle w:val="NormalWeb"/>
              <w:widowControl w:val="0"/>
              <w:spacing w:before="0" w:beforeAutospacing="0" w:after="0" w:afterAutospacing="0" w:line="276" w:lineRule="auto"/>
              <w:ind w:right="9"/>
              <w:jc w:val="both"/>
              <w:rPr>
                <w:rFonts w:ascii="GHEA Grapalat" w:hAnsi="GHEA Grapalat" w:cs="Arial CIT"/>
                <w:sz w:val="20"/>
                <w:szCs w:val="20"/>
                <w:lang w:val="hy-AM"/>
              </w:rPr>
            </w:pPr>
            <w:r w:rsidRPr="00423B76">
              <w:rPr>
                <w:rFonts w:ascii="GHEA Grapalat" w:hAnsi="GHEA Grapalat"/>
                <w:color w:val="000000" w:themeColor="text1"/>
                <w:sz w:val="20"/>
                <w:szCs w:val="20"/>
                <w:lang w:val="hy-AM"/>
              </w:rPr>
              <w:t xml:space="preserve">Միջոցառման իրակացման անհրաժեշտությունը պայմանավորված է </w:t>
            </w:r>
            <w:r w:rsidRPr="008B587D">
              <w:rPr>
                <w:rFonts w:ascii="GHEA Grapalat" w:hAnsi="GHEA Grapalat"/>
                <w:sz w:val="20"/>
                <w:lang w:val="af-ZA"/>
              </w:rPr>
              <w:t xml:space="preserve">ՀՀ Ազգային ժողովի 14.02.2019թ. N ԱԺՈ-002-Ն որոշմամբ հավանության արժանացած </w:t>
            </w:r>
            <w:r>
              <w:rPr>
                <w:sz w:val="20"/>
                <w:lang w:val="hy-AM"/>
              </w:rPr>
              <w:t>ՀՀ</w:t>
            </w:r>
            <w:r w:rsidRPr="008B587D">
              <w:rPr>
                <w:rFonts w:ascii="GHEA Grapalat" w:hAnsi="GHEA Grapalat"/>
                <w:sz w:val="20"/>
                <w:lang w:val="af-ZA"/>
              </w:rPr>
              <w:t xml:space="preserve"> կառավարության ծրագրի</w:t>
            </w:r>
            <w:r w:rsidRPr="00423B76">
              <w:rPr>
                <w:rFonts w:ascii="GHEA Grapalat" w:hAnsi="GHEA Grapalat" w:cs="Sylfaen"/>
                <w:color w:val="000000"/>
                <w:sz w:val="20"/>
                <w:szCs w:val="20"/>
                <w:lang w:val="hy-AM"/>
              </w:rPr>
              <w:t xml:space="preserve"> 5.5 բաժնի դրույթներով: </w:t>
            </w:r>
            <w:r w:rsidRPr="00423B76">
              <w:rPr>
                <w:rFonts w:ascii="GHEA Grapalat" w:eastAsia="Calibri" w:hAnsi="GHEA Grapalat" w:cs="Sylfaen"/>
                <w:sz w:val="20"/>
                <w:szCs w:val="20"/>
                <w:lang w:val="hy-AM"/>
              </w:rPr>
              <w:t>ՀՀ կառավարության 2010թ</w:t>
            </w:r>
            <w:r w:rsidRPr="00423B76">
              <w:rPr>
                <w:rFonts w:ascii="GHEA Grapalat" w:eastAsia="MS Mincho" w:hAnsi="GHEA Grapalat" w:cs="MS Mincho"/>
                <w:sz w:val="20"/>
                <w:szCs w:val="20"/>
                <w:lang w:val="hy-AM"/>
              </w:rPr>
              <w:t>.</w:t>
            </w:r>
            <w:r w:rsidRPr="00423B76">
              <w:rPr>
                <w:rFonts w:ascii="GHEA Grapalat" w:eastAsia="Calibri" w:hAnsi="GHEA Grapalat" w:cs="Sylfaen"/>
                <w:sz w:val="20"/>
                <w:szCs w:val="20"/>
                <w:lang w:val="hy-AM"/>
              </w:rPr>
              <w:t xml:space="preserve"> դեկտեմբերի 16-ի «</w:t>
            </w:r>
            <w:r w:rsidRPr="00423B76">
              <w:rPr>
                <w:rFonts w:ascii="GHEA Grapalat" w:eastAsia="Calibri" w:hAnsi="GHEA Grapalat"/>
                <w:bCs/>
                <w:color w:val="000000"/>
                <w:sz w:val="20"/>
                <w:szCs w:val="20"/>
                <w:shd w:val="clear" w:color="auto" w:fill="FFFFFF"/>
                <w:lang w:val="hy-AM"/>
              </w:rPr>
              <w:t>Հայաստանի Հանրապետության որակի ենթակառուցվածքի բարեփոխման ռազմավարությանը հավանություն տալու</w:t>
            </w:r>
            <w:r w:rsidRPr="00423B76">
              <w:rPr>
                <w:rFonts w:ascii="GHEA Grapalat" w:eastAsia="Calibri" w:hAnsi="GHEA Grapalat" w:cs="Courier New"/>
                <w:bCs/>
                <w:color w:val="000000"/>
                <w:sz w:val="20"/>
                <w:szCs w:val="20"/>
                <w:shd w:val="clear" w:color="auto" w:fill="FFFFFF"/>
                <w:lang w:val="hy-AM"/>
              </w:rPr>
              <w:t xml:space="preserve"> </w:t>
            </w:r>
            <w:r w:rsidRPr="00423B76">
              <w:rPr>
                <w:rFonts w:ascii="GHEA Grapalat" w:eastAsia="Calibri" w:hAnsi="GHEA Grapalat" w:cs="Arial Unicode"/>
                <w:bCs/>
                <w:color w:val="000000"/>
                <w:sz w:val="20"/>
                <w:szCs w:val="20"/>
                <w:shd w:val="clear" w:color="auto" w:fill="FFFFFF"/>
                <w:lang w:val="hy-AM"/>
              </w:rPr>
              <w:t>մասի</w:t>
            </w:r>
            <w:r w:rsidRPr="00423B76">
              <w:rPr>
                <w:rFonts w:ascii="GHEA Grapalat" w:eastAsia="Calibri" w:hAnsi="GHEA Grapalat"/>
                <w:bCs/>
                <w:color w:val="000000"/>
                <w:sz w:val="20"/>
                <w:szCs w:val="20"/>
                <w:shd w:val="clear" w:color="auto" w:fill="FFFFFF"/>
                <w:lang w:val="hy-AM"/>
              </w:rPr>
              <w:t>ն</w:t>
            </w:r>
            <w:r w:rsidRPr="00423B76">
              <w:rPr>
                <w:rFonts w:ascii="GHEA Grapalat" w:eastAsia="Calibri" w:hAnsi="GHEA Grapalat"/>
                <w:b/>
                <w:bCs/>
                <w:color w:val="000000"/>
                <w:sz w:val="20"/>
                <w:szCs w:val="20"/>
                <w:shd w:val="clear" w:color="auto" w:fill="FFFFFF"/>
                <w:lang w:val="hy-AM"/>
              </w:rPr>
              <w:t xml:space="preserve">» </w:t>
            </w:r>
            <w:r w:rsidRPr="00423B76">
              <w:rPr>
                <w:rFonts w:ascii="GHEA Grapalat" w:eastAsia="Calibri" w:hAnsi="GHEA Grapalat"/>
                <w:bCs/>
                <w:color w:val="000000"/>
                <w:sz w:val="20"/>
                <w:szCs w:val="20"/>
                <w:shd w:val="clear" w:color="auto" w:fill="FFFFFF"/>
                <w:lang w:val="hy-AM"/>
              </w:rPr>
              <w:t xml:space="preserve">N1693-Ն որոշմամբ հաստատվել էր ՀՀ որակի ենթակառուցվածքի բարեփոխման ռազմավարությունը, ինչպես նաև </w:t>
            </w:r>
            <w:r w:rsidRPr="00423B76">
              <w:rPr>
                <w:rFonts w:ascii="GHEA Grapalat" w:eastAsia="Calibri" w:hAnsi="GHEA Grapalat"/>
                <w:color w:val="000000"/>
                <w:sz w:val="20"/>
                <w:szCs w:val="20"/>
                <w:shd w:val="clear" w:color="auto" w:fill="FFFFFF"/>
                <w:lang w:val="hy-AM"/>
              </w:rPr>
              <w:t xml:space="preserve">ռազմավարության գործողությունների ծրագիրը </w:t>
            </w:r>
            <w:r w:rsidRPr="00423B76">
              <w:rPr>
                <w:rFonts w:ascii="GHEA Grapalat" w:eastAsia="Calibri" w:hAnsi="GHEA Grapalat"/>
                <w:bCs/>
                <w:caps/>
                <w:color w:val="000000"/>
                <w:sz w:val="20"/>
                <w:szCs w:val="20"/>
                <w:shd w:val="clear" w:color="auto" w:fill="FFFFFF"/>
                <w:lang w:val="hy-AM"/>
              </w:rPr>
              <w:t>(2010-2020</w:t>
            </w:r>
            <w:r w:rsidRPr="00423B76">
              <w:rPr>
                <w:rFonts w:ascii="GHEA Grapalat" w:eastAsia="Calibri" w:hAnsi="GHEA Grapalat"/>
                <w:bCs/>
                <w:color w:val="000000"/>
                <w:sz w:val="20"/>
                <w:szCs w:val="20"/>
                <w:shd w:val="clear" w:color="auto" w:fill="FFFFFF"/>
                <w:lang w:val="hy-AM"/>
              </w:rPr>
              <w:t>թթ.), որը ներառում է չափագիտության ոլորտը</w:t>
            </w:r>
            <w:r w:rsidRPr="00423B76">
              <w:rPr>
                <w:rFonts w:ascii="GHEA Grapalat" w:eastAsia="Calibri" w:hAnsi="GHEA Grapalat"/>
                <w:color w:val="000000"/>
                <w:sz w:val="20"/>
                <w:szCs w:val="20"/>
                <w:shd w:val="clear" w:color="auto" w:fill="FFFFFF"/>
                <w:lang w:val="hy-AM"/>
              </w:rPr>
              <w:t xml:space="preserve">։ Ծրագրի գործողության ժամկետը թեև 1 տարի հետո ավարտվում է, սակայն </w:t>
            </w:r>
            <w:r w:rsidRPr="00423B76">
              <w:rPr>
                <w:rFonts w:ascii="GHEA Grapalat" w:hAnsi="GHEA Grapalat"/>
                <w:sz w:val="20"/>
                <w:szCs w:val="20"/>
                <w:lang w:val="hy-AM"/>
              </w:rPr>
              <w:t>ոլորտում</w:t>
            </w:r>
            <w:r w:rsidRPr="00423B76">
              <w:rPr>
                <w:rFonts w:ascii="GHEA Grapalat" w:hAnsi="GHEA Grapalat" w:cs="Arial CIT"/>
                <w:sz w:val="20"/>
                <w:szCs w:val="20"/>
                <w:lang w:val="hy-AM"/>
              </w:rPr>
              <w:t xml:space="preserve"> առկա է </w:t>
            </w:r>
            <w:r w:rsidRPr="00423B76">
              <w:rPr>
                <w:rFonts w:ascii="GHEA Grapalat" w:eastAsia="Calibri" w:hAnsi="GHEA Grapalat"/>
                <w:color w:val="000000"/>
                <w:sz w:val="20"/>
                <w:szCs w:val="20"/>
                <w:shd w:val="clear" w:color="auto" w:fill="FFFFFF"/>
                <w:lang w:val="hy-AM"/>
              </w:rPr>
              <w:t xml:space="preserve">փոփոխությունների անհրաժեշտություն, ուստի ոլորտային, </w:t>
            </w:r>
            <w:r w:rsidRPr="00423B76">
              <w:rPr>
                <w:rFonts w:ascii="GHEA Grapalat" w:eastAsia="Calibri" w:hAnsi="GHEA Grapalat" w:cs="Arial CIT"/>
                <w:sz w:val="20"/>
                <w:szCs w:val="20"/>
                <w:lang w:val="hy-AM"/>
              </w:rPr>
              <w:t>կառուցվածքային բարեփոխումներ իրականացնելու համար անհրաժեշտ է</w:t>
            </w:r>
            <w:r w:rsidRPr="00423B76">
              <w:rPr>
                <w:rFonts w:ascii="GHEA Grapalat" w:eastAsia="Calibri" w:hAnsi="GHEA Grapalat"/>
                <w:color w:val="000000"/>
                <w:sz w:val="20"/>
                <w:szCs w:val="20"/>
                <w:shd w:val="clear" w:color="auto" w:fill="FFFFFF"/>
                <w:lang w:val="hy-AM"/>
              </w:rPr>
              <w:t xml:space="preserve"> </w:t>
            </w:r>
            <w:r w:rsidRPr="00423B76">
              <w:rPr>
                <w:rFonts w:ascii="GHEA Grapalat" w:eastAsia="Calibri" w:hAnsi="GHEA Grapalat" w:cs="Arial CIT"/>
                <w:sz w:val="20"/>
                <w:szCs w:val="20"/>
                <w:lang w:val="hy-AM"/>
              </w:rPr>
              <w:t>լիովին վերհանել և վերլուծել առկա թերությունները՝ սահմանելով համակարգի ոլորտների զարգացման միտումներն ու հնարավոր ուղղությունները</w:t>
            </w:r>
            <w:r w:rsidRPr="00423B76">
              <w:rPr>
                <w:rFonts w:ascii="GHEA Grapalat" w:hAnsi="GHEA Grapalat" w:cs="Arial CIT"/>
                <w:sz w:val="20"/>
                <w:szCs w:val="20"/>
                <w:lang w:val="hy-AM"/>
              </w:rPr>
              <w:t xml:space="preserve">, միջազգային պահանջներին համապատասխան համակարգի բարեփոխումը՝ չհակասելով ԵԱՏՄ շրջանակներում ՀՀ ստանձնած պարտավորություններին: </w:t>
            </w:r>
          </w:p>
          <w:p w:rsidR="0068680D" w:rsidRPr="00423B76" w:rsidRDefault="0068680D" w:rsidP="0068680D">
            <w:pPr>
              <w:pStyle w:val="NormalWeb"/>
              <w:widowControl w:val="0"/>
              <w:numPr>
                <w:ilvl w:val="1"/>
                <w:numId w:val="431"/>
              </w:numPr>
              <w:spacing w:before="0" w:beforeAutospacing="0" w:after="0" w:afterAutospacing="0" w:line="276" w:lineRule="auto"/>
              <w:ind w:right="9" w:hanging="11"/>
              <w:jc w:val="both"/>
              <w:rPr>
                <w:rFonts w:ascii="GHEA Grapalat" w:hAnsi="GHEA Grapalat"/>
                <w:b/>
                <w:color w:val="000000" w:themeColor="text1"/>
                <w:sz w:val="20"/>
                <w:szCs w:val="20"/>
                <w:lang w:val="hy-AM"/>
              </w:rPr>
            </w:pPr>
            <w:r w:rsidRPr="00423B76">
              <w:rPr>
                <w:rFonts w:ascii="GHEA Grapalat" w:hAnsi="GHEA Grapalat"/>
                <w:b/>
                <w:color w:val="000000" w:themeColor="text1"/>
                <w:sz w:val="20"/>
                <w:szCs w:val="20"/>
                <w:lang w:val="hy-AM"/>
              </w:rPr>
              <w:t>Կարգավորման հարաբերությունների ներկա վիճակը և առկա խնդիրները</w:t>
            </w:r>
          </w:p>
          <w:p w:rsidR="0068680D" w:rsidRPr="00423B76" w:rsidRDefault="0068680D" w:rsidP="00F47DC4">
            <w:pPr>
              <w:pStyle w:val="NormalWeb"/>
              <w:widowControl w:val="0"/>
              <w:spacing w:before="0" w:beforeAutospacing="0" w:after="0" w:afterAutospacing="0" w:line="276" w:lineRule="auto"/>
              <w:ind w:right="9"/>
              <w:jc w:val="both"/>
              <w:rPr>
                <w:rFonts w:ascii="GHEA Grapalat" w:hAnsi="GHEA Grapalat"/>
                <w:color w:val="000000" w:themeColor="text1"/>
                <w:sz w:val="20"/>
                <w:szCs w:val="20"/>
                <w:lang w:val="hy-AM"/>
              </w:rPr>
            </w:pPr>
            <w:r w:rsidRPr="00423B76">
              <w:rPr>
                <w:rFonts w:ascii="GHEA Grapalat" w:hAnsi="GHEA Grapalat"/>
                <w:color w:val="000000" w:themeColor="text1"/>
                <w:sz w:val="20"/>
                <w:szCs w:val="20"/>
                <w:lang w:val="hy-AM"/>
              </w:rPr>
              <w:t xml:space="preserve">Ներկայումս երկրում </w:t>
            </w:r>
            <w:r w:rsidRPr="00423B76">
              <w:rPr>
                <w:rFonts w:ascii="GHEA Grapalat" w:hAnsi="GHEA Grapalat" w:cs="Arial CIT"/>
                <w:color w:val="000000" w:themeColor="text1"/>
                <w:sz w:val="20"/>
                <w:szCs w:val="20"/>
                <w:lang w:val="hy-AM"/>
              </w:rPr>
              <w:t>ցածր է չափումների միասնականության ապահովման մասին իրազեկության մակարդակը, բավարար չեն մ</w:t>
            </w:r>
            <w:r w:rsidRPr="00423B76">
              <w:rPr>
                <w:rFonts w:ascii="GHEA Grapalat" w:hAnsi="GHEA Grapalat"/>
                <w:color w:val="000000" w:themeColor="text1"/>
                <w:sz w:val="20"/>
                <w:szCs w:val="20"/>
                <w:lang w:val="hy-AM"/>
              </w:rPr>
              <w:t>արդկային և ֆինանսական ռեսուրսները,  ցածր է վերապատրաստման և միջազգային փորձի փոխանակման մակարդակը, ինչպես նաև առկա է ԵՄ և ԵԱՏՄ փորձագիտական խորհրդատվական խմբերի աջակցության անհրաժեշտություն:</w:t>
            </w:r>
          </w:p>
          <w:p w:rsidR="0068680D" w:rsidRPr="00423B76" w:rsidRDefault="0068680D" w:rsidP="0068680D">
            <w:pPr>
              <w:pStyle w:val="NormalWeb"/>
              <w:widowControl w:val="0"/>
              <w:numPr>
                <w:ilvl w:val="1"/>
                <w:numId w:val="431"/>
              </w:numPr>
              <w:spacing w:before="0" w:beforeAutospacing="0" w:after="0" w:afterAutospacing="0" w:line="276" w:lineRule="auto"/>
              <w:ind w:right="9" w:hanging="11"/>
              <w:jc w:val="both"/>
              <w:rPr>
                <w:rFonts w:ascii="GHEA Grapalat" w:hAnsi="GHEA Grapalat"/>
                <w:b/>
                <w:color w:val="000000" w:themeColor="text1"/>
                <w:sz w:val="20"/>
                <w:szCs w:val="20"/>
                <w:lang w:val="hy-AM"/>
              </w:rPr>
            </w:pPr>
            <w:r w:rsidRPr="00423B76">
              <w:rPr>
                <w:rFonts w:ascii="GHEA Grapalat" w:hAnsi="GHEA Grapalat"/>
                <w:b/>
                <w:color w:val="000000" w:themeColor="text1"/>
                <w:sz w:val="20"/>
                <w:szCs w:val="20"/>
                <w:lang w:val="hy-AM"/>
              </w:rPr>
              <w:t>Առկա խնդիրների առաջարկվող լուծումները</w:t>
            </w:r>
          </w:p>
          <w:p w:rsidR="0068680D" w:rsidRPr="00423B76" w:rsidRDefault="0068680D" w:rsidP="00F47DC4">
            <w:pPr>
              <w:pStyle w:val="NormalWeb"/>
              <w:spacing w:before="0" w:beforeAutospacing="0" w:after="0" w:afterAutospacing="0" w:line="276" w:lineRule="auto"/>
              <w:jc w:val="both"/>
              <w:rPr>
                <w:rFonts w:ascii="GHEA Grapalat" w:hAnsi="GHEA Grapalat"/>
                <w:color w:val="000000" w:themeColor="text1"/>
                <w:sz w:val="20"/>
                <w:szCs w:val="20"/>
                <w:lang w:val="hy-AM"/>
              </w:rPr>
            </w:pPr>
            <w:r w:rsidRPr="00423B76">
              <w:rPr>
                <w:rFonts w:ascii="GHEA Grapalat" w:hAnsi="GHEA Grapalat"/>
                <w:color w:val="000000" w:themeColor="text1"/>
                <w:sz w:val="20"/>
                <w:szCs w:val="20"/>
                <w:lang w:val="hy-AM"/>
              </w:rPr>
              <w:t xml:space="preserve">Չափագիտության ոլորտը կարևորվում է </w:t>
            </w:r>
            <w:r w:rsidRPr="00423B76">
              <w:rPr>
                <w:rFonts w:ascii="GHEA Grapalat" w:hAnsi="GHEA Grapalat" w:cs="Arial"/>
                <w:color w:val="000000" w:themeColor="text1"/>
                <w:sz w:val="20"/>
                <w:szCs w:val="20"/>
                <w:lang w:val="hy-AM"/>
              </w:rPr>
              <w:t xml:space="preserve">արտադրանքի անվտանգության և որակի ապահովման, նոր տեխնոլոգիաների ներդրման, համապատասխանության գնահատման արդյունքների ճշտության և հավաստիության, վկայագրված մեթոդիկաների կիրառման, հավատարմագրման արդյունքների ճանաչման և այլնի համար: Սա ևս մեկ անգամ ապացուցում է Որակի ենթակառուցվածքների փոխկապակցվածության անհրաժեշտու-թյունը: </w:t>
            </w:r>
            <w:r w:rsidRPr="00423B76">
              <w:rPr>
                <w:rFonts w:ascii="GHEA Grapalat" w:hAnsi="GHEA Grapalat"/>
                <w:color w:val="000000" w:themeColor="text1"/>
                <w:sz w:val="20"/>
                <w:szCs w:val="20"/>
                <w:lang w:val="hy-AM"/>
              </w:rPr>
              <w:t xml:space="preserve">Որպես </w:t>
            </w:r>
            <w:r w:rsidRPr="00423B76">
              <w:rPr>
                <w:rFonts w:ascii="GHEA Grapalat" w:hAnsi="GHEA Grapalat"/>
                <w:sz w:val="20"/>
                <w:szCs w:val="20"/>
                <w:lang w:val="hy-AM"/>
              </w:rPr>
              <w:t>առաջարկվող լուծում</w:t>
            </w:r>
            <w:r w:rsidRPr="00423B76">
              <w:rPr>
                <w:rFonts w:ascii="GHEA Grapalat" w:hAnsi="GHEA Grapalat"/>
                <w:color w:val="000000" w:themeColor="text1"/>
                <w:sz w:val="20"/>
                <w:szCs w:val="20"/>
                <w:lang w:val="hy-AM"/>
              </w:rPr>
              <w:t xml:space="preserve"> չափագիտության ռազմավարության վերանայման համար նախատեսվում է ստեղծել համապատասխան աշխատանքային խումբ՝ խորհրդատվական խմբի, շահագրգիռ մարմինների հետ համատեղ, որի միջոցով կվերանայվի դեռևս գործող ռազմավարությունը, կ</w:t>
            </w:r>
            <w:r w:rsidRPr="00423B76">
              <w:rPr>
                <w:rFonts w:ascii="GHEA Grapalat" w:hAnsi="GHEA Grapalat" w:cs="Arial CIT"/>
                <w:color w:val="000000" w:themeColor="text1"/>
                <w:sz w:val="20"/>
                <w:szCs w:val="20"/>
                <w:lang w:val="hy-AM"/>
              </w:rPr>
              <w:t>վերհանվեն և կվերլուծվեն</w:t>
            </w:r>
            <w:r w:rsidRPr="00423B76">
              <w:rPr>
                <w:rFonts w:ascii="GHEA Grapalat" w:hAnsi="GHEA Grapalat"/>
                <w:color w:val="000000" w:themeColor="text1"/>
                <w:sz w:val="20"/>
                <w:szCs w:val="20"/>
                <w:lang w:val="hy-AM"/>
              </w:rPr>
              <w:t xml:space="preserve"> ոլորտում առկա թերությունները, 2019-2024թթ</w:t>
            </w:r>
            <w:r w:rsidRPr="00423B76">
              <w:rPr>
                <w:rFonts w:ascii="Cambria Math" w:eastAsia="MS Mincho" w:hAnsi="Cambria Math" w:cs="Cambria Math"/>
                <w:color w:val="000000" w:themeColor="text1"/>
                <w:sz w:val="20"/>
                <w:szCs w:val="20"/>
                <w:lang w:val="hy-AM"/>
              </w:rPr>
              <w:t>․</w:t>
            </w:r>
            <w:r w:rsidRPr="00423B76">
              <w:rPr>
                <w:rFonts w:ascii="GHEA Grapalat" w:eastAsia="MS Mincho" w:hAnsi="GHEA Grapalat" w:cs="MS Mincho"/>
                <w:color w:val="000000" w:themeColor="text1"/>
                <w:sz w:val="20"/>
                <w:szCs w:val="20"/>
                <w:lang w:val="hy-AM"/>
              </w:rPr>
              <w:t xml:space="preserve"> </w:t>
            </w:r>
            <w:r w:rsidRPr="00423B76">
              <w:rPr>
                <w:rFonts w:ascii="GHEA Grapalat" w:eastAsia="MS Mincho" w:hAnsi="GHEA Grapalat" w:cs="Courier New"/>
                <w:color w:val="000000" w:themeColor="text1"/>
                <w:sz w:val="20"/>
                <w:szCs w:val="20"/>
                <w:lang w:val="hy-AM"/>
              </w:rPr>
              <w:t xml:space="preserve">համար </w:t>
            </w:r>
            <w:r w:rsidRPr="00423B76">
              <w:rPr>
                <w:rFonts w:ascii="GHEA Grapalat" w:hAnsi="GHEA Grapalat"/>
                <w:color w:val="000000" w:themeColor="text1"/>
                <w:sz w:val="20"/>
                <w:szCs w:val="20"/>
                <w:lang w:val="hy-AM"/>
              </w:rPr>
              <w:t xml:space="preserve">կսահմանվեն հնարավոր փոփոխությունները և դրանց կիրարկման հնարավորությունները, համատեղելով Համաշխարհային բանկի որակի ենթակառուցվածքի զարգացման վարկային ծրագրով նախատեսված միջոցառումների և ԵՄ կողմից տրամադրվող աջակցության հետ։  </w:t>
            </w:r>
          </w:p>
          <w:p w:rsidR="0068680D" w:rsidRPr="00423B76" w:rsidRDefault="0068680D" w:rsidP="00F47DC4">
            <w:pPr>
              <w:pStyle w:val="NormalWeb"/>
              <w:widowControl w:val="0"/>
              <w:spacing w:before="0" w:beforeAutospacing="0" w:after="0" w:afterAutospacing="0" w:line="276" w:lineRule="auto"/>
              <w:ind w:right="115" w:firstLine="375"/>
              <w:jc w:val="both"/>
              <w:rPr>
                <w:rFonts w:ascii="GHEA Grapalat" w:hAnsi="GHEA Grapalat" w:cs="Sylfaen"/>
                <w:b/>
                <w:sz w:val="20"/>
                <w:szCs w:val="20"/>
                <w:lang w:val="hy-AM"/>
              </w:rPr>
            </w:pPr>
            <w:r w:rsidRPr="00423B76">
              <w:rPr>
                <w:rFonts w:ascii="GHEA Grapalat" w:hAnsi="GHEA Grapalat" w:cs="Sylfaen"/>
                <w:b/>
                <w:sz w:val="20"/>
                <w:szCs w:val="20"/>
                <w:lang w:val="hy-AM"/>
              </w:rPr>
              <w:t>2</w:t>
            </w:r>
            <w:r w:rsidRPr="00423B76">
              <w:rPr>
                <w:rFonts w:ascii="GHEA Grapalat" w:eastAsia="MS Mincho" w:hAnsi="GHEA Grapalat" w:cs="MS Mincho"/>
                <w:b/>
                <w:sz w:val="20"/>
                <w:szCs w:val="20"/>
                <w:lang w:val="hy-AM"/>
              </w:rPr>
              <w:t xml:space="preserve">. </w:t>
            </w:r>
            <w:r w:rsidRPr="00423B76">
              <w:rPr>
                <w:rFonts w:ascii="GHEA Grapalat" w:hAnsi="GHEA Grapalat" w:cs="Sylfaen"/>
                <w:b/>
                <w:sz w:val="20"/>
                <w:szCs w:val="20"/>
                <w:lang w:val="hy-AM"/>
              </w:rPr>
              <w:t>Միջոցառման իրականացումից ակնկալվող արդյունքը</w:t>
            </w:r>
          </w:p>
          <w:p w:rsidR="0068680D" w:rsidRPr="00423B76" w:rsidRDefault="0068680D" w:rsidP="00F47DC4">
            <w:pPr>
              <w:tabs>
                <w:tab w:val="left" w:pos="342"/>
              </w:tabs>
              <w:autoSpaceDE w:val="0"/>
              <w:autoSpaceDN w:val="0"/>
              <w:spacing w:line="276" w:lineRule="auto"/>
              <w:jc w:val="both"/>
              <w:rPr>
                <w:rFonts w:cs="Arial CIT"/>
                <w:lang w:val="hy-AM"/>
              </w:rPr>
            </w:pPr>
            <w:r w:rsidRPr="00423B76">
              <w:rPr>
                <w:rFonts w:cs="Arial CIT"/>
                <w:lang w:val="hy-AM"/>
              </w:rPr>
              <w:t>Միջոցառման իրականացման արդյունէում ակնկալվում է.</w:t>
            </w:r>
          </w:p>
          <w:p w:rsidR="0068680D" w:rsidRPr="00423B76" w:rsidRDefault="0068680D" w:rsidP="0068680D">
            <w:pPr>
              <w:numPr>
                <w:ilvl w:val="0"/>
                <w:numId w:val="396"/>
              </w:numPr>
              <w:tabs>
                <w:tab w:val="left" w:pos="342"/>
              </w:tabs>
              <w:autoSpaceDE w:val="0"/>
              <w:autoSpaceDN w:val="0"/>
              <w:spacing w:line="276" w:lineRule="auto"/>
              <w:contextualSpacing/>
              <w:jc w:val="both"/>
              <w:rPr>
                <w:rFonts w:cs="Arial CIT"/>
                <w:lang w:val="hy-AM"/>
              </w:rPr>
            </w:pPr>
            <w:r w:rsidRPr="00423B76">
              <w:rPr>
                <w:rFonts w:cs="Arial CIT"/>
                <w:lang w:val="hy-AM"/>
              </w:rPr>
              <w:t>Ոլորտի օրենսդրության բարելավմանն ուղղված՝ 2019-2024թթ</w:t>
            </w:r>
            <w:r w:rsidRPr="00423B76">
              <w:rPr>
                <w:rFonts w:ascii="Cambria Math" w:eastAsia="MS Mincho" w:hAnsi="Cambria Math" w:cs="Cambria Math"/>
                <w:lang w:val="hy-AM"/>
              </w:rPr>
              <w:t>․</w:t>
            </w:r>
            <w:r w:rsidRPr="00423B76">
              <w:rPr>
                <w:rFonts w:eastAsia="MS Mincho" w:cs="MS Mincho"/>
                <w:lang w:val="hy-AM"/>
              </w:rPr>
              <w:t xml:space="preserve"> </w:t>
            </w:r>
            <w:r w:rsidRPr="00423B76">
              <w:rPr>
                <w:rFonts w:cs="Arial CIT"/>
                <w:lang w:val="hy-AM"/>
              </w:rPr>
              <w:t>ռազմավարության և ռազմավարությունից բխող գործողությունների ծրագրի մշակում,</w:t>
            </w:r>
          </w:p>
          <w:p w:rsidR="0068680D" w:rsidRPr="00423B76" w:rsidRDefault="0068680D" w:rsidP="0068680D">
            <w:pPr>
              <w:numPr>
                <w:ilvl w:val="0"/>
                <w:numId w:val="396"/>
              </w:numPr>
              <w:tabs>
                <w:tab w:val="left" w:pos="342"/>
              </w:tabs>
              <w:autoSpaceDE w:val="0"/>
              <w:autoSpaceDN w:val="0"/>
              <w:spacing w:line="276" w:lineRule="auto"/>
              <w:contextualSpacing/>
              <w:jc w:val="both"/>
              <w:rPr>
                <w:rFonts w:cs="Arial CIT"/>
                <w:lang w:val="hy-AM"/>
              </w:rPr>
            </w:pPr>
            <w:r w:rsidRPr="00423B76">
              <w:rPr>
                <w:rFonts w:eastAsia="Calibri" w:cs="Arial CIT"/>
                <w:lang w:val="hy-AM"/>
              </w:rPr>
              <w:t xml:space="preserve">ՀՀ </w:t>
            </w:r>
            <w:r w:rsidRPr="00423B76">
              <w:rPr>
                <w:rFonts w:eastAsia="Calibri"/>
                <w:color w:val="000000"/>
                <w:lang w:val="hy-AM"/>
              </w:rPr>
              <w:t>չափագիտության</w:t>
            </w:r>
            <w:r w:rsidRPr="00423B76">
              <w:rPr>
                <w:rFonts w:eastAsia="Calibri" w:cs="Arial CIT"/>
                <w:lang w:val="hy-AM"/>
              </w:rPr>
              <w:t xml:space="preserve">  ոլորտը կանոնակարգող օրենսդրության վերանայում, ոլորտի ազատականացում, </w:t>
            </w:r>
            <w:r w:rsidRPr="00423B76">
              <w:rPr>
                <w:rFonts w:cs="Arial"/>
                <w:lang w:val="hy-AM"/>
              </w:rPr>
              <w:t xml:space="preserve">ազգային գործող օրենսդրության և </w:t>
            </w:r>
            <w:r w:rsidRPr="00423B76">
              <w:rPr>
                <w:color w:val="000000"/>
                <w:lang w:val="hy-AM"/>
              </w:rPr>
              <w:t xml:space="preserve">չափագիտության ոլորտի ԵԱՏՄ, </w:t>
            </w:r>
            <w:r w:rsidRPr="00423B76">
              <w:rPr>
                <w:rFonts w:cs="Arial"/>
                <w:lang w:val="hy-AM"/>
              </w:rPr>
              <w:t>միջազգային համանման  օրենսդրության</w:t>
            </w:r>
            <w:r w:rsidRPr="00423B76">
              <w:rPr>
                <w:rFonts w:cs="Arial CIT"/>
                <w:lang w:val="hy-AM"/>
              </w:rPr>
              <w:t xml:space="preserve"> ուսումնասիրման արդյունքում համապատասխան թիրախների սահմանում,</w:t>
            </w:r>
          </w:p>
          <w:p w:rsidR="0068680D" w:rsidRPr="00423B76" w:rsidRDefault="0068680D" w:rsidP="0068680D">
            <w:pPr>
              <w:numPr>
                <w:ilvl w:val="0"/>
                <w:numId w:val="396"/>
              </w:numPr>
              <w:tabs>
                <w:tab w:val="left" w:pos="342"/>
              </w:tabs>
              <w:autoSpaceDE w:val="0"/>
              <w:autoSpaceDN w:val="0"/>
              <w:spacing w:line="276" w:lineRule="auto"/>
              <w:contextualSpacing/>
              <w:jc w:val="both"/>
              <w:rPr>
                <w:rFonts w:cs="Arial CIT"/>
                <w:lang w:val="hy-AM"/>
              </w:rPr>
            </w:pPr>
            <w:r w:rsidRPr="00423B76">
              <w:rPr>
                <w:rFonts w:eastAsia="Calibri"/>
                <w:color w:val="000000"/>
                <w:lang w:val="hy-AM"/>
              </w:rPr>
              <w:t>ՀՀ չափագիտության</w:t>
            </w:r>
            <w:r w:rsidRPr="00423B76">
              <w:rPr>
                <w:rFonts w:eastAsia="Calibri" w:cs="Arial CIT"/>
                <w:lang w:val="hy-AM"/>
              </w:rPr>
              <w:t xml:space="preserve"> ոլորտը </w:t>
            </w:r>
            <w:r w:rsidRPr="00423B76">
              <w:rPr>
                <w:rFonts w:cs="Arial CIT"/>
                <w:lang w:val="hy-AM"/>
              </w:rPr>
              <w:t xml:space="preserve">միջազգային պահանջներին </w:t>
            </w:r>
            <w:r w:rsidRPr="00423B76">
              <w:rPr>
                <w:rFonts w:eastAsia="Calibri" w:cs="Arial CIT"/>
                <w:lang w:val="hy-AM"/>
              </w:rPr>
              <w:t xml:space="preserve">համապատասխանեցնելու համար </w:t>
            </w:r>
            <w:r w:rsidRPr="00423B76">
              <w:rPr>
                <w:rFonts w:cs="Arial CIT"/>
                <w:lang w:val="hy-AM"/>
              </w:rPr>
              <w:t>ոլորտի զարգացման հեռանկարային ուղղությունների սահմանում,</w:t>
            </w:r>
          </w:p>
          <w:p w:rsidR="0068680D" w:rsidRPr="00423B76" w:rsidRDefault="0068680D" w:rsidP="0068680D">
            <w:pPr>
              <w:numPr>
                <w:ilvl w:val="0"/>
                <w:numId w:val="396"/>
              </w:numPr>
              <w:tabs>
                <w:tab w:val="left" w:pos="342"/>
              </w:tabs>
              <w:autoSpaceDE w:val="0"/>
              <w:autoSpaceDN w:val="0"/>
              <w:spacing w:line="276" w:lineRule="auto"/>
              <w:contextualSpacing/>
              <w:jc w:val="both"/>
              <w:rPr>
                <w:rFonts w:cs="Arial CIT"/>
                <w:lang w:val="hy-AM"/>
              </w:rPr>
            </w:pPr>
            <w:r w:rsidRPr="00423B76">
              <w:rPr>
                <w:rFonts w:cs="Arial CIT"/>
                <w:lang w:val="hy-AM"/>
              </w:rPr>
              <w:t>Միջազգային լավագույն փորձի կիրառման համար ՉԱԻ կառուցվածքի, գործառույթների վերանայում, կարողությունների հզորացում և մարդկային ռեսուրսների զարգացում,</w:t>
            </w:r>
          </w:p>
          <w:p w:rsidR="0068680D" w:rsidRPr="005C238A" w:rsidRDefault="0068680D" w:rsidP="0068680D">
            <w:pPr>
              <w:numPr>
                <w:ilvl w:val="0"/>
                <w:numId w:val="396"/>
              </w:numPr>
              <w:tabs>
                <w:tab w:val="left" w:pos="342"/>
              </w:tabs>
              <w:autoSpaceDE w:val="0"/>
              <w:autoSpaceDN w:val="0"/>
              <w:spacing w:line="276" w:lineRule="auto"/>
              <w:contextualSpacing/>
              <w:jc w:val="both"/>
              <w:rPr>
                <w:rFonts w:cs="Sylfaen"/>
                <w:b/>
                <w:lang w:val="hy-AM"/>
              </w:rPr>
            </w:pPr>
            <w:r w:rsidRPr="00423B76">
              <w:rPr>
                <w:rFonts w:cs="Arial CIT"/>
                <w:lang w:val="hy-AM"/>
              </w:rPr>
              <w:t>Չափագիտության</w:t>
            </w:r>
            <w:r w:rsidRPr="00423B76">
              <w:rPr>
                <w:rFonts w:eastAsia="Calibri"/>
                <w:lang w:val="hy-AM"/>
              </w:rPr>
              <w:t xml:space="preserve"> ոլորտում միջազգային ճանաչում ունեցող մարմինների հետ համագործակցության, փոխըմբռնման և մասնագիտական փորձի փոխանակման հուշագրերի/hամաձայնագրերի կնքում:</w:t>
            </w:r>
            <w:r w:rsidRPr="00423B76">
              <w:rPr>
                <w:rFonts w:ascii="Calibri" w:eastAsia="Calibri" w:hAnsi="Calibri" w:cs="Calibri"/>
                <w:lang w:val="hy-AM"/>
              </w:rPr>
              <w:t> </w:t>
            </w:r>
          </w:p>
          <w:p w:rsidR="0068680D" w:rsidRPr="00423B76" w:rsidRDefault="0068680D" w:rsidP="00F47DC4">
            <w:pPr>
              <w:tabs>
                <w:tab w:val="left" w:pos="342"/>
              </w:tabs>
              <w:autoSpaceDE w:val="0"/>
              <w:autoSpaceDN w:val="0"/>
              <w:spacing w:line="276" w:lineRule="auto"/>
              <w:ind w:left="720"/>
              <w:contextualSpacing/>
              <w:jc w:val="both"/>
              <w:rPr>
                <w:rFonts w:cs="Sylfaen"/>
                <w:b/>
                <w:lang w:val="hy-AM"/>
              </w:rPr>
            </w:pPr>
          </w:p>
          <w:p w:rsidR="0068680D" w:rsidRPr="00423B76" w:rsidRDefault="0068680D" w:rsidP="00F47DC4">
            <w:pPr>
              <w:pStyle w:val="Heading2"/>
              <w:spacing w:before="0" w:beforeAutospacing="0" w:after="0" w:afterAutospacing="0" w:line="276" w:lineRule="auto"/>
              <w:ind w:left="60"/>
              <w:outlineLvl w:val="1"/>
              <w:rPr>
                <w:rFonts w:ascii="GHEA Grapalat" w:hAnsi="GHEA Grapalat" w:cs="Sylfaen"/>
                <w:sz w:val="20"/>
                <w:szCs w:val="20"/>
                <w:lang w:val="hy-AM"/>
              </w:rPr>
            </w:pPr>
            <w:r>
              <w:rPr>
                <w:rFonts w:ascii="GHEA Grapalat" w:hAnsi="GHEA Grapalat" w:cs="Sylfaen"/>
                <w:sz w:val="20"/>
                <w:szCs w:val="20"/>
                <w:lang w:val="hy-AM"/>
              </w:rPr>
              <w:t xml:space="preserve"> 13.2  </w:t>
            </w:r>
            <w:r w:rsidRPr="00423B76">
              <w:rPr>
                <w:rFonts w:ascii="GHEA Grapalat" w:hAnsi="GHEA Grapalat" w:cs="Sylfaen"/>
                <w:sz w:val="20"/>
                <w:szCs w:val="20"/>
                <w:lang w:val="hy-AM"/>
              </w:rPr>
              <w:t>ՀՀ-ում գործող ոչ պարենային, ԵԱՏՄ գործող, տեխնիկական կանոնակարգերի վերանայում, ԵԱՏՄ նոր մշակվող տեխնիկական կանոնակարգերի մշակմանը մասնակցություն</w:t>
            </w:r>
          </w:p>
          <w:p w:rsidR="0068680D" w:rsidRPr="00423B76" w:rsidRDefault="0068680D" w:rsidP="0068680D">
            <w:pPr>
              <w:pStyle w:val="NormalWeb"/>
              <w:widowControl w:val="0"/>
              <w:numPr>
                <w:ilvl w:val="0"/>
                <w:numId w:val="378"/>
              </w:numPr>
              <w:spacing w:before="0" w:beforeAutospacing="0" w:after="0" w:afterAutospacing="0" w:line="276" w:lineRule="auto"/>
              <w:ind w:left="0" w:right="115" w:firstLine="375"/>
              <w:jc w:val="both"/>
              <w:rPr>
                <w:rFonts w:ascii="GHEA Grapalat" w:hAnsi="GHEA Grapalat"/>
                <w:b/>
                <w:color w:val="000000"/>
                <w:sz w:val="20"/>
                <w:szCs w:val="20"/>
                <w:lang w:val="hy-AM"/>
              </w:rPr>
            </w:pPr>
            <w:r w:rsidRPr="00423B76">
              <w:rPr>
                <w:rFonts w:ascii="GHEA Grapalat" w:hAnsi="GHEA Grapalat"/>
                <w:b/>
                <w:color w:val="000000"/>
                <w:sz w:val="20"/>
                <w:szCs w:val="20"/>
                <w:lang w:val="hy-AM"/>
              </w:rPr>
              <w:t>Միջոցառման իրականացման անհրաժեշտությունը և նպատակը</w:t>
            </w:r>
          </w:p>
          <w:p w:rsidR="0068680D" w:rsidRPr="00423B76" w:rsidRDefault="0068680D" w:rsidP="00F47DC4">
            <w:pPr>
              <w:pStyle w:val="NormalWeb"/>
              <w:widowControl w:val="0"/>
              <w:spacing w:before="0" w:beforeAutospacing="0" w:after="0" w:afterAutospacing="0" w:line="276" w:lineRule="auto"/>
              <w:ind w:right="9"/>
              <w:jc w:val="both"/>
              <w:rPr>
                <w:rFonts w:ascii="GHEA Grapalat" w:hAnsi="GHEA Grapalat" w:cs="Sylfaen"/>
                <w:color w:val="000000"/>
                <w:kern w:val="24"/>
                <w:sz w:val="20"/>
                <w:szCs w:val="20"/>
                <w:lang w:val="hy-AM"/>
              </w:rPr>
            </w:pPr>
            <w:r w:rsidRPr="00423B76">
              <w:rPr>
                <w:rFonts w:ascii="GHEA Grapalat" w:hAnsi="GHEA Grapalat"/>
                <w:color w:val="000000" w:themeColor="text1"/>
                <w:sz w:val="20"/>
                <w:szCs w:val="20"/>
                <w:lang w:val="hy-AM"/>
              </w:rPr>
              <w:t xml:space="preserve">Միջոցառման իրակացման անհրաժեշտությունը պայմանավորված է </w:t>
            </w:r>
            <w:r w:rsidRPr="008B587D">
              <w:rPr>
                <w:rFonts w:ascii="GHEA Grapalat" w:hAnsi="GHEA Grapalat"/>
                <w:sz w:val="20"/>
                <w:lang w:val="af-ZA"/>
              </w:rPr>
              <w:t xml:space="preserve">ՀՀ Ազգային ժողովի 14.02.2019թ. N ԱԺՈ-002-Ն որոշմամբ հավանության արժանացած </w:t>
            </w:r>
            <w:r>
              <w:rPr>
                <w:sz w:val="20"/>
                <w:lang w:val="hy-AM"/>
              </w:rPr>
              <w:t>ՀՀ</w:t>
            </w:r>
            <w:r w:rsidRPr="008B587D">
              <w:rPr>
                <w:rFonts w:ascii="GHEA Grapalat" w:hAnsi="GHEA Grapalat"/>
                <w:sz w:val="20"/>
                <w:lang w:val="af-ZA"/>
              </w:rPr>
              <w:t xml:space="preserve"> կառավարության ծրագրի</w:t>
            </w:r>
            <w:r w:rsidRPr="00423B76">
              <w:rPr>
                <w:rFonts w:ascii="GHEA Grapalat" w:hAnsi="GHEA Grapalat" w:cs="Sylfaen"/>
                <w:color w:val="000000"/>
                <w:sz w:val="20"/>
                <w:szCs w:val="20"/>
                <w:lang w:val="hy-AM"/>
              </w:rPr>
              <w:t xml:space="preserve"> 5.5 բաժնի դրույթներով: </w:t>
            </w:r>
            <w:r w:rsidRPr="00423B76">
              <w:rPr>
                <w:rFonts w:ascii="GHEA Grapalat" w:hAnsi="GHEA Grapalat"/>
                <w:color w:val="000000"/>
                <w:sz w:val="20"/>
                <w:szCs w:val="20"/>
                <w:lang w:val="hy-AM"/>
              </w:rPr>
              <w:t xml:space="preserve">ԵԱՏՄ պայմանագրով ամրագրված է ԵԱՏՄ տեխնիկական կանոնակարգերի ուղիղ կիրառման պահանջ ԵԱՏՄ անդամ պետություններում։ ԵԱՏՀ խորհրդի 2011թ. N526 որոշմամբ սահմանված է թվով 66 արտադրանք, որոնց նկատմամբ միայն ԵԱՏՄ շրջանակներում պետք է գործեն տեխնիկական կանոնակարգեր և ցանկում չներառված արտադրանքին ներկայացվող պահանջների սահմանումը արգելվում է։ Միաժամանակ արգելվում է ցանկում ներառված արտադրանքի ԵԱՏՄ տեխնիկական կանոնակարգի ուժի մեջ մտնելուց հետո տվյալ արտադրանքի համար ազգային օրենսդրության առկայությունը (կամ լրացուցիչ պահանջների սահմանումը)։ </w:t>
            </w:r>
            <w:r w:rsidRPr="00423B76">
              <w:rPr>
                <w:rFonts w:ascii="GHEA Grapalat" w:hAnsi="GHEA Grapalat" w:cs="Arial"/>
                <w:color w:val="000000"/>
                <w:sz w:val="20"/>
                <w:szCs w:val="20"/>
                <w:lang w:val="hy-AM"/>
              </w:rPr>
              <w:t>Բացի</w:t>
            </w:r>
            <w:r w:rsidRPr="00423B76">
              <w:rPr>
                <w:rFonts w:ascii="GHEA Grapalat" w:hAnsi="GHEA Grapalat"/>
                <w:color w:val="000000"/>
                <w:sz w:val="20"/>
                <w:szCs w:val="20"/>
                <w:lang w:val="hy-AM"/>
              </w:rPr>
              <w:t xml:space="preserve"> այդ ՀՀ կառավարության 09.08.2012թ. «</w:t>
            </w:r>
            <w:r w:rsidRPr="00423B76">
              <w:rPr>
                <w:rStyle w:val="Strong"/>
                <w:rFonts w:ascii="GHEA Grapalat" w:hAnsi="GHEA Grapalat"/>
                <w:color w:val="000000"/>
                <w:sz w:val="20"/>
                <w:szCs w:val="20"/>
                <w:shd w:val="clear" w:color="auto" w:fill="FFFFFF"/>
                <w:lang w:val="hy-AM"/>
              </w:rPr>
              <w:t>Ոչ պարենային արտադրանքի տեխնիկական կանոնակարգերի վերանայման պլանավորման ծրագիրը հաստատելու մասին»</w:t>
            </w:r>
            <w:r w:rsidRPr="00423B76">
              <w:rPr>
                <w:rFonts w:ascii="GHEA Grapalat" w:hAnsi="GHEA Grapalat"/>
                <w:color w:val="000000"/>
                <w:sz w:val="20"/>
                <w:szCs w:val="20"/>
                <w:lang w:val="hy-AM"/>
              </w:rPr>
              <w:t xml:space="preserve"> N1015 որոշմամբ սահմանված է թվով 7 ազգին գործող տեխնիկական կանոնակարգերի  (ԵԱՏՄ-ում դեռևս չգործող) վերանայում ԵՄ համանման կանոնակարգերին մոտարկելու տեսանկյունից։ </w:t>
            </w:r>
            <w:r w:rsidRPr="00423B76">
              <w:rPr>
                <w:rFonts w:ascii="GHEA Grapalat" w:hAnsi="GHEA Grapalat"/>
                <w:color w:val="000000"/>
                <w:kern w:val="24"/>
                <w:sz w:val="20"/>
                <w:szCs w:val="20"/>
                <w:lang w:val="hy-AM"/>
              </w:rPr>
              <w:t xml:space="preserve">Գործող տեխնիկական կանոնակարգերում անհրաժեշտ է միջազգային ընդունված ստանդարտներին ներդաշնակ այնպիսի ստանդարտների ներառում, որոնք միտված կլինեն ապահովել և </w:t>
            </w:r>
            <w:r w:rsidRPr="00423B76">
              <w:rPr>
                <w:rFonts w:ascii="GHEA Grapalat" w:hAnsi="GHEA Grapalat" w:cs="Sylfaen"/>
                <w:color w:val="000000"/>
                <w:kern w:val="24"/>
                <w:sz w:val="20"/>
                <w:szCs w:val="20"/>
                <w:lang w:val="hy-AM"/>
              </w:rPr>
              <w:t>նպաստել</w:t>
            </w:r>
            <w:r w:rsidRPr="00423B76">
              <w:rPr>
                <w:rFonts w:ascii="GHEA Grapalat" w:hAnsi="GHEA Grapalat"/>
                <w:color w:val="000000"/>
                <w:kern w:val="24"/>
                <w:sz w:val="20"/>
                <w:szCs w:val="20"/>
                <w:lang w:val="hy-AM"/>
              </w:rPr>
              <w:t xml:space="preserve">  տեղական արտադրողների կողմից անվտանգ արտադրանքի արտադրմանը, </w:t>
            </w:r>
            <w:r w:rsidRPr="00423B76">
              <w:rPr>
                <w:rFonts w:ascii="GHEA Grapalat" w:hAnsi="GHEA Grapalat" w:cs="Arial CIT"/>
                <w:sz w:val="20"/>
                <w:szCs w:val="20"/>
                <w:lang w:val="hy-AM"/>
              </w:rPr>
              <w:t>ինչպես ներքին, այնպես էլ արտաքին շուկաներում</w:t>
            </w:r>
            <w:r w:rsidRPr="00423B76">
              <w:rPr>
                <w:rFonts w:ascii="GHEA Grapalat" w:hAnsi="GHEA Grapalat"/>
                <w:color w:val="000000"/>
                <w:kern w:val="24"/>
                <w:sz w:val="20"/>
                <w:szCs w:val="20"/>
                <w:lang w:val="hy-AM"/>
              </w:rPr>
              <w:t xml:space="preserve"> արտադրանքի մրցունակության բարձրացմանը, </w:t>
            </w:r>
            <w:r w:rsidRPr="00423B76">
              <w:rPr>
                <w:rFonts w:ascii="GHEA Grapalat" w:hAnsi="GHEA Grapalat" w:cs="Sylfaen"/>
                <w:color w:val="000000"/>
                <w:kern w:val="24"/>
                <w:sz w:val="20"/>
                <w:szCs w:val="20"/>
                <w:lang w:val="hy-AM"/>
              </w:rPr>
              <w:t>առևտրում</w:t>
            </w:r>
            <w:r w:rsidRPr="00423B76">
              <w:rPr>
                <w:rFonts w:ascii="GHEA Grapalat" w:hAnsi="GHEA Grapalat"/>
                <w:color w:val="000000"/>
                <w:kern w:val="24"/>
                <w:sz w:val="20"/>
                <w:szCs w:val="20"/>
                <w:lang w:val="hy-AM"/>
              </w:rPr>
              <w:t xml:space="preserve"> առկա </w:t>
            </w:r>
            <w:r w:rsidRPr="00423B76">
              <w:rPr>
                <w:rFonts w:ascii="GHEA Grapalat" w:hAnsi="GHEA Grapalat" w:cs="Sylfaen"/>
                <w:color w:val="000000"/>
                <w:kern w:val="24"/>
                <w:sz w:val="20"/>
                <w:szCs w:val="20"/>
                <w:lang w:val="hy-AM"/>
              </w:rPr>
              <w:t>տեխնիկական</w:t>
            </w:r>
            <w:r w:rsidRPr="00423B76">
              <w:rPr>
                <w:rFonts w:ascii="GHEA Grapalat" w:hAnsi="GHEA Grapalat"/>
                <w:color w:val="000000"/>
                <w:kern w:val="24"/>
                <w:sz w:val="20"/>
                <w:szCs w:val="20"/>
                <w:lang w:val="hy-AM"/>
              </w:rPr>
              <w:t xml:space="preserve"> </w:t>
            </w:r>
            <w:r w:rsidRPr="00423B76">
              <w:rPr>
                <w:rFonts w:ascii="GHEA Grapalat" w:hAnsi="GHEA Grapalat" w:cs="Sylfaen"/>
                <w:color w:val="000000"/>
                <w:kern w:val="24"/>
                <w:sz w:val="20"/>
                <w:szCs w:val="20"/>
                <w:lang w:val="hy-AM"/>
              </w:rPr>
              <w:t>խոչընդոտների</w:t>
            </w:r>
            <w:r w:rsidRPr="00423B76">
              <w:rPr>
                <w:rFonts w:ascii="GHEA Grapalat" w:hAnsi="GHEA Grapalat"/>
                <w:color w:val="000000"/>
                <w:kern w:val="24"/>
                <w:sz w:val="20"/>
                <w:szCs w:val="20"/>
                <w:lang w:val="hy-AM"/>
              </w:rPr>
              <w:t xml:space="preserve"> </w:t>
            </w:r>
            <w:r w:rsidRPr="00423B76">
              <w:rPr>
                <w:rFonts w:ascii="GHEA Grapalat" w:hAnsi="GHEA Grapalat" w:cs="Sylfaen"/>
                <w:color w:val="000000"/>
                <w:kern w:val="24"/>
                <w:sz w:val="20"/>
                <w:szCs w:val="20"/>
                <w:lang w:val="hy-AM"/>
              </w:rPr>
              <w:t>նվազեցմանը,</w:t>
            </w:r>
            <w:r w:rsidRPr="00423B76">
              <w:rPr>
                <w:rFonts w:ascii="GHEA Grapalat" w:hAnsi="GHEA Grapalat"/>
                <w:color w:val="000000"/>
                <w:kern w:val="24"/>
                <w:sz w:val="20"/>
                <w:szCs w:val="20"/>
                <w:lang w:val="hy-AM"/>
              </w:rPr>
              <w:t xml:space="preserve"> տեղական </w:t>
            </w:r>
            <w:r w:rsidRPr="00423B76">
              <w:rPr>
                <w:rFonts w:ascii="GHEA Grapalat" w:hAnsi="GHEA Grapalat" w:cs="Sylfaen"/>
                <w:color w:val="000000"/>
                <w:kern w:val="24"/>
                <w:sz w:val="20"/>
                <w:szCs w:val="20"/>
                <w:lang w:val="hy-AM"/>
              </w:rPr>
              <w:t>արտադրանքի</w:t>
            </w:r>
            <w:r w:rsidRPr="00423B76">
              <w:rPr>
                <w:rFonts w:ascii="GHEA Grapalat" w:hAnsi="GHEA Grapalat"/>
                <w:color w:val="000000"/>
                <w:kern w:val="24"/>
                <w:sz w:val="20"/>
                <w:szCs w:val="20"/>
                <w:lang w:val="hy-AM"/>
              </w:rPr>
              <w:t xml:space="preserve"> համար </w:t>
            </w:r>
            <w:r w:rsidRPr="00423B76">
              <w:rPr>
                <w:rFonts w:ascii="GHEA Grapalat" w:hAnsi="GHEA Grapalat" w:cs="Sylfaen"/>
                <w:color w:val="000000"/>
                <w:kern w:val="24"/>
                <w:sz w:val="20"/>
                <w:szCs w:val="20"/>
                <w:lang w:val="hy-AM"/>
              </w:rPr>
              <w:t>նոր</w:t>
            </w:r>
            <w:r w:rsidRPr="00423B76">
              <w:rPr>
                <w:rFonts w:ascii="GHEA Grapalat" w:hAnsi="GHEA Grapalat"/>
                <w:color w:val="000000"/>
                <w:kern w:val="24"/>
                <w:sz w:val="20"/>
                <w:szCs w:val="20"/>
                <w:lang w:val="hy-AM"/>
              </w:rPr>
              <w:t xml:space="preserve"> </w:t>
            </w:r>
            <w:r w:rsidRPr="00423B76">
              <w:rPr>
                <w:rFonts w:ascii="GHEA Grapalat" w:hAnsi="GHEA Grapalat" w:cs="Sylfaen"/>
                <w:color w:val="000000"/>
                <w:kern w:val="24"/>
                <w:sz w:val="20"/>
                <w:szCs w:val="20"/>
                <w:lang w:val="hy-AM"/>
              </w:rPr>
              <w:t>շուկաների</w:t>
            </w:r>
            <w:r w:rsidRPr="00423B76">
              <w:rPr>
                <w:rFonts w:ascii="GHEA Grapalat" w:hAnsi="GHEA Grapalat"/>
                <w:color w:val="000000"/>
                <w:kern w:val="24"/>
                <w:sz w:val="20"/>
                <w:szCs w:val="20"/>
                <w:lang w:val="hy-AM"/>
              </w:rPr>
              <w:t xml:space="preserve"> </w:t>
            </w:r>
            <w:r w:rsidRPr="00423B76">
              <w:rPr>
                <w:rFonts w:ascii="GHEA Grapalat" w:hAnsi="GHEA Grapalat" w:cs="Sylfaen"/>
                <w:color w:val="000000"/>
                <w:kern w:val="24"/>
                <w:sz w:val="20"/>
                <w:szCs w:val="20"/>
                <w:lang w:val="hy-AM"/>
              </w:rPr>
              <w:t xml:space="preserve">ձեռքբերմանը։ </w:t>
            </w:r>
          </w:p>
          <w:p w:rsidR="0068680D" w:rsidRPr="00423B76" w:rsidRDefault="0068680D" w:rsidP="00F47DC4">
            <w:pPr>
              <w:pStyle w:val="NormalWeb"/>
              <w:widowControl w:val="0"/>
              <w:spacing w:before="0" w:beforeAutospacing="0" w:after="0" w:afterAutospacing="0" w:line="276" w:lineRule="auto"/>
              <w:ind w:right="9"/>
              <w:jc w:val="both"/>
              <w:rPr>
                <w:rFonts w:ascii="GHEA Grapalat" w:hAnsi="GHEA Grapalat" w:cs="Sylfaen"/>
                <w:color w:val="000000"/>
                <w:kern w:val="24"/>
                <w:sz w:val="20"/>
                <w:szCs w:val="20"/>
                <w:lang w:val="hy-AM"/>
              </w:rPr>
            </w:pPr>
            <w:r w:rsidRPr="00423B76">
              <w:rPr>
                <w:rFonts w:ascii="GHEA Grapalat" w:hAnsi="GHEA Grapalat"/>
                <w:color w:val="000000"/>
                <w:sz w:val="20"/>
                <w:szCs w:val="20"/>
                <w:lang w:val="hy-AM"/>
              </w:rPr>
              <w:t>ԵԱՏՄ գործող տեխնիկական կանոնակարգերի վերանայման, ինչպես նաև նոր տեխնիկական</w:t>
            </w:r>
            <w:r w:rsidRPr="00423B76">
              <w:rPr>
                <w:rFonts w:ascii="GHEA Grapalat" w:eastAsia="MS Mincho" w:hAnsi="GHEA Grapalat" w:cs="Courier New"/>
                <w:sz w:val="20"/>
                <w:szCs w:val="20"/>
                <w:lang w:val="hy-AM"/>
              </w:rPr>
              <w:t xml:space="preserve"> կանոնակարգերի նախագծերի մշակմանը մասնակցության անհրաժեշտությունը պայմանավորված է տեխնիկական կանոնակարգերի կիրարկումն ապահովող ստանդարտների ցանկում ընդգրկված հնացած կամ ուժը կորցրած ստանդարտների արդիականացմամբ,  ցանկում բացակա ստանդարտների ներառմամբ, ԵԱՏՀ 2018թ</w:t>
            </w:r>
            <w:r w:rsidRPr="00423B76">
              <w:rPr>
                <w:rFonts w:ascii="GHEA Grapalat" w:eastAsia="MS Mincho" w:hAnsi="GHEA Grapalat" w:cs="MS Mincho"/>
                <w:sz w:val="20"/>
                <w:szCs w:val="20"/>
                <w:lang w:val="hy-AM"/>
              </w:rPr>
              <w:t xml:space="preserve">. </w:t>
            </w:r>
            <w:r w:rsidRPr="00423B76">
              <w:rPr>
                <w:rFonts w:ascii="GHEA Grapalat" w:eastAsia="MS Mincho" w:hAnsi="GHEA Grapalat" w:cs="Courier New"/>
                <w:sz w:val="20"/>
                <w:szCs w:val="20"/>
                <w:lang w:val="hy-AM"/>
              </w:rPr>
              <w:t>դեկտեմբերի N44 որոշմամբ պայմանավորված նոր տիպային սխեմաների (համապատասխանության գնահատման ընթացակարգերի) վերանայմամբ, ԵԱՏՄ ԱՏԳԱԱ ծածկագրերի արդիականացմամբ։</w:t>
            </w:r>
          </w:p>
          <w:p w:rsidR="0068680D" w:rsidRPr="00423B76" w:rsidRDefault="0068680D" w:rsidP="0068680D">
            <w:pPr>
              <w:pStyle w:val="ListParagraph"/>
              <w:widowControl w:val="0"/>
              <w:numPr>
                <w:ilvl w:val="1"/>
                <w:numId w:val="378"/>
              </w:numPr>
              <w:spacing w:line="276" w:lineRule="auto"/>
              <w:ind w:right="9"/>
              <w:jc w:val="both"/>
              <w:rPr>
                <w:b/>
                <w:color w:val="000000" w:themeColor="text1"/>
                <w:lang w:val="hy-AM"/>
              </w:rPr>
            </w:pPr>
            <w:r w:rsidRPr="00423B76">
              <w:rPr>
                <w:b/>
                <w:color w:val="000000" w:themeColor="text1"/>
                <w:lang w:val="hy-AM"/>
              </w:rPr>
              <w:t>Կարգավորման հարաբերությունների ներկա վիճակը և առկա խնդիրները</w:t>
            </w:r>
          </w:p>
          <w:p w:rsidR="0068680D" w:rsidRPr="00423B76" w:rsidRDefault="0068680D" w:rsidP="00F47DC4">
            <w:pPr>
              <w:pStyle w:val="NormalWeb"/>
              <w:widowControl w:val="0"/>
              <w:spacing w:before="0" w:beforeAutospacing="0" w:after="0" w:afterAutospacing="0" w:line="276" w:lineRule="auto"/>
              <w:ind w:right="9"/>
              <w:jc w:val="both"/>
              <w:rPr>
                <w:rFonts w:ascii="GHEA Grapalat" w:hAnsi="GHEA Grapalat" w:cs="Arial CIT"/>
                <w:sz w:val="20"/>
                <w:szCs w:val="20"/>
                <w:lang w:val="hy-AM"/>
              </w:rPr>
            </w:pPr>
            <w:r w:rsidRPr="00423B76">
              <w:rPr>
                <w:rFonts w:ascii="GHEA Grapalat" w:hAnsi="GHEA Grapalat"/>
                <w:color w:val="000000" w:themeColor="text1"/>
                <w:sz w:val="20"/>
                <w:szCs w:val="20"/>
                <w:lang w:val="hy-AM"/>
              </w:rPr>
              <w:t xml:space="preserve">Ներկայումս ՀՀ-ում գործում են թվով 64 </w:t>
            </w:r>
            <w:r w:rsidRPr="00423B76">
              <w:rPr>
                <w:rFonts w:ascii="GHEA Grapalat" w:eastAsia="MS Mincho" w:hAnsi="GHEA Grapalat" w:cs="Courier New"/>
                <w:color w:val="000000" w:themeColor="text1"/>
                <w:sz w:val="20"/>
                <w:szCs w:val="20"/>
                <w:lang w:val="hy-AM"/>
              </w:rPr>
              <w:t>ոչ պարենային տեխնիկական կանոնակարգեր, որոնք ենթակա են վերանայման «Տեխնիկական կանոնակարգման մասին» ՀՀ օրենքի, ԵԱՏՄ պայմանագրի, ԵԱՏՄ տվյալ ոլորտում գործող օրենսդրության, ԵՄ համանման դիրեկտիվաների մոտարկման տեսանկյունից։ «Տեխնիկական կանոնակարգման մասին» ՀՀ օրենքով, ինչպես նաև «</w:t>
            </w:r>
            <w:r w:rsidRPr="00423B76">
              <w:rPr>
                <w:rFonts w:ascii="GHEA Grapalat" w:hAnsi="GHEA Grapalat" w:cs="Arial"/>
                <w:color w:val="000000" w:themeColor="text1"/>
                <w:sz w:val="20"/>
                <w:szCs w:val="20"/>
                <w:shd w:val="clear" w:color="auto" w:fill="FFFFFF"/>
                <w:lang w:val="hy-AM"/>
              </w:rPr>
              <w:t>Առևտրի տեխնիկական խոչընդոտների մասին» համաձայնագրով սահմանված է առնվազն 5 տարին մեկ գործող տեխնիկական կանոնակարգերի վերանայում։ Դեռևս 2012թ</w:t>
            </w:r>
            <w:r w:rsidRPr="00423B76">
              <w:rPr>
                <w:rFonts w:ascii="GHEA Grapalat" w:eastAsia="MS Mincho" w:hAnsi="GHEA Grapalat" w:cs="MS Mincho"/>
                <w:color w:val="000000" w:themeColor="text1"/>
                <w:sz w:val="20"/>
                <w:szCs w:val="20"/>
                <w:shd w:val="clear" w:color="auto" w:fill="FFFFFF"/>
                <w:lang w:val="hy-AM"/>
              </w:rPr>
              <w:t xml:space="preserve">. </w:t>
            </w:r>
            <w:r w:rsidRPr="00423B76">
              <w:rPr>
                <w:rFonts w:ascii="GHEA Grapalat" w:eastAsia="MS Mincho" w:hAnsi="GHEA Grapalat" w:cs="Courier New"/>
                <w:color w:val="000000" w:themeColor="text1"/>
                <w:sz w:val="20"/>
                <w:szCs w:val="20"/>
                <w:lang w:val="hy-AM"/>
              </w:rPr>
              <w:t>ԵՄ համանման դիրեկտիվաների մոտարկման տեսանկյունից</w:t>
            </w:r>
            <w:r w:rsidRPr="00423B76">
              <w:rPr>
                <w:rFonts w:ascii="GHEA Grapalat" w:eastAsia="MS Mincho" w:hAnsi="GHEA Grapalat" w:cs="Courier New"/>
                <w:color w:val="000000" w:themeColor="text1"/>
                <w:sz w:val="20"/>
                <w:szCs w:val="20"/>
                <w:shd w:val="clear" w:color="auto" w:fill="FFFFFF"/>
                <w:lang w:val="hy-AM"/>
              </w:rPr>
              <w:t xml:space="preserve"> ՀՀ կառավարության 2012թ</w:t>
            </w:r>
            <w:r w:rsidRPr="00423B76">
              <w:rPr>
                <w:rFonts w:ascii="Cambria Math" w:eastAsia="MS Mincho" w:hAnsi="Cambria Math" w:cs="Cambria Math"/>
                <w:color w:val="000000" w:themeColor="text1"/>
                <w:sz w:val="20"/>
                <w:szCs w:val="20"/>
                <w:shd w:val="clear" w:color="auto" w:fill="FFFFFF"/>
                <w:lang w:val="hy-AM"/>
              </w:rPr>
              <w:t>․</w:t>
            </w:r>
            <w:r w:rsidRPr="00423B76">
              <w:rPr>
                <w:rFonts w:ascii="GHEA Grapalat" w:eastAsia="MS Mincho" w:hAnsi="GHEA Grapalat" w:cs="Courier New"/>
                <w:color w:val="000000" w:themeColor="text1"/>
                <w:sz w:val="20"/>
                <w:szCs w:val="20"/>
                <w:shd w:val="clear" w:color="auto" w:fill="FFFFFF"/>
                <w:lang w:val="hy-AM"/>
              </w:rPr>
              <w:t xml:space="preserve"> 1015-Ն որոշմամբ սահմանվել է թվով 46 ազգային տեխնիկական կանոնակարգերի (32 ոչ պարենային, 14 պարենային) վերանայում մինչև 2020թ</w:t>
            </w:r>
            <w:r w:rsidRPr="00423B76">
              <w:rPr>
                <w:rFonts w:ascii="Cambria Math" w:eastAsia="MS Mincho" w:hAnsi="Cambria Math" w:cs="Cambria Math"/>
                <w:color w:val="000000" w:themeColor="text1"/>
                <w:sz w:val="20"/>
                <w:szCs w:val="20"/>
                <w:shd w:val="clear" w:color="auto" w:fill="FFFFFF"/>
                <w:lang w:val="hy-AM"/>
              </w:rPr>
              <w:t>․</w:t>
            </w:r>
            <w:r w:rsidRPr="00423B76">
              <w:rPr>
                <w:rFonts w:ascii="GHEA Grapalat" w:eastAsia="MS Mincho" w:hAnsi="GHEA Grapalat" w:cs="Courier New"/>
                <w:color w:val="000000" w:themeColor="text1"/>
                <w:sz w:val="20"/>
                <w:szCs w:val="20"/>
                <w:lang w:val="hy-AM"/>
              </w:rPr>
              <w:t xml:space="preserve">,  ինչի արդյունքում վերանայվել են թվով 3 տեխնիկական կանոնակարգեր (ծխախոտ, խաղալիք, ցածր լարման սարքավորումներ), ինչը ՀՀ ԵԱՏՄ-ի պայմանագրին միացման </w:t>
            </w:r>
            <w:r w:rsidRPr="00423B76">
              <w:rPr>
                <w:rFonts w:ascii="GHEA Grapalat" w:eastAsia="MS Mincho" w:hAnsi="GHEA Grapalat" w:cs="Courier New"/>
                <w:color w:val="000000" w:themeColor="text1"/>
                <w:sz w:val="20"/>
                <w:szCs w:val="20"/>
                <w:shd w:val="clear" w:color="auto" w:fill="FFFFFF"/>
                <w:lang w:val="hy-AM"/>
              </w:rPr>
              <w:t>պատճառով</w:t>
            </w:r>
            <w:r w:rsidRPr="00423B76">
              <w:rPr>
                <w:rFonts w:ascii="GHEA Grapalat" w:eastAsia="MS Mincho" w:hAnsi="GHEA Grapalat" w:cs="Courier New"/>
                <w:color w:val="000000" w:themeColor="text1"/>
                <w:sz w:val="20"/>
                <w:szCs w:val="20"/>
                <w:lang w:val="hy-AM"/>
              </w:rPr>
              <w:t xml:space="preserve"> հետագայում շարունակականություն չի ունեցել</w:t>
            </w:r>
            <w:r w:rsidRPr="00423B76">
              <w:rPr>
                <w:rFonts w:ascii="GHEA Grapalat" w:eastAsia="MS Mincho" w:hAnsi="GHEA Grapalat" w:cs="Courier New"/>
                <w:color w:val="000000" w:themeColor="text1"/>
                <w:sz w:val="20"/>
                <w:szCs w:val="20"/>
                <w:shd w:val="clear" w:color="auto" w:fill="FFFFFF"/>
                <w:lang w:val="hy-AM"/>
              </w:rPr>
              <w:t>։</w:t>
            </w:r>
            <w:r w:rsidRPr="00423B76">
              <w:rPr>
                <w:rFonts w:ascii="GHEA Grapalat" w:hAnsi="GHEA Grapalat" w:cs="Arial"/>
                <w:color w:val="000000" w:themeColor="text1"/>
                <w:sz w:val="20"/>
                <w:szCs w:val="20"/>
                <w:shd w:val="clear" w:color="auto" w:fill="FFFFFF"/>
                <w:lang w:val="hy-AM"/>
              </w:rPr>
              <w:t xml:space="preserve"> </w:t>
            </w:r>
            <w:r w:rsidRPr="00423B76">
              <w:rPr>
                <w:rFonts w:ascii="GHEA Grapalat" w:hAnsi="GHEA Grapalat"/>
                <w:color w:val="000000"/>
                <w:sz w:val="20"/>
                <w:szCs w:val="20"/>
                <w:lang w:val="hy-AM"/>
              </w:rPr>
              <w:t>2014 թվականի մայիսի 29-ի «</w:t>
            </w:r>
            <w:r w:rsidRPr="00423B76">
              <w:rPr>
                <w:rFonts w:ascii="GHEA Grapalat" w:hAnsi="GHEA Grapalat" w:cs="Sylfaen"/>
                <w:bCs/>
                <w:sz w:val="20"/>
                <w:szCs w:val="20"/>
                <w:lang w:val="hy-AM"/>
              </w:rPr>
              <w:t>Եվրասիական</w:t>
            </w:r>
            <w:r w:rsidRPr="00423B76">
              <w:rPr>
                <w:rFonts w:ascii="GHEA Grapalat" w:hAnsi="GHEA Grapalat"/>
                <w:bCs/>
                <w:sz w:val="20"/>
                <w:szCs w:val="20"/>
                <w:lang w:val="hy-AM"/>
              </w:rPr>
              <w:t xml:space="preserve"> </w:t>
            </w:r>
            <w:r w:rsidRPr="00423B76">
              <w:rPr>
                <w:rFonts w:ascii="GHEA Grapalat" w:hAnsi="GHEA Grapalat" w:cs="Sylfaen"/>
                <w:bCs/>
                <w:sz w:val="20"/>
                <w:szCs w:val="20"/>
                <w:lang w:val="hy-AM"/>
              </w:rPr>
              <w:t>տնտեսական</w:t>
            </w:r>
            <w:r w:rsidRPr="00423B76">
              <w:rPr>
                <w:rFonts w:ascii="GHEA Grapalat" w:hAnsi="GHEA Grapalat"/>
                <w:bCs/>
                <w:sz w:val="20"/>
                <w:szCs w:val="20"/>
                <w:lang w:val="hy-AM"/>
              </w:rPr>
              <w:t xml:space="preserve"> </w:t>
            </w:r>
            <w:r w:rsidRPr="00423B76">
              <w:rPr>
                <w:rFonts w:ascii="GHEA Grapalat" w:hAnsi="GHEA Grapalat" w:cs="Sylfaen"/>
                <w:bCs/>
                <w:sz w:val="20"/>
                <w:szCs w:val="20"/>
                <w:lang w:val="hy-AM"/>
              </w:rPr>
              <w:t>միության</w:t>
            </w:r>
            <w:r w:rsidRPr="00423B76">
              <w:rPr>
                <w:rFonts w:ascii="GHEA Grapalat" w:hAnsi="GHEA Grapalat"/>
                <w:bCs/>
                <w:sz w:val="20"/>
                <w:szCs w:val="20"/>
                <w:lang w:val="hy-AM"/>
              </w:rPr>
              <w:t xml:space="preserve"> </w:t>
            </w:r>
            <w:r w:rsidRPr="00423B76">
              <w:rPr>
                <w:rFonts w:ascii="GHEA Grapalat" w:hAnsi="GHEA Grapalat" w:cs="Sylfaen"/>
                <w:bCs/>
                <w:sz w:val="20"/>
                <w:szCs w:val="20"/>
                <w:lang w:val="hy-AM"/>
              </w:rPr>
              <w:t>մասին» պայմանագրին ՀՀ-ի միացումից հետո</w:t>
            </w:r>
            <w:r w:rsidRPr="00423B76">
              <w:rPr>
                <w:rFonts w:ascii="GHEA Grapalat" w:eastAsia="MS Mincho" w:hAnsi="GHEA Grapalat" w:cs="Courier New"/>
                <w:color w:val="000000" w:themeColor="text1"/>
                <w:sz w:val="20"/>
                <w:szCs w:val="20"/>
                <w:lang w:val="hy-AM"/>
              </w:rPr>
              <w:t xml:space="preserve"> ՀՀ ազգային ՏԿ-ների ԵՄ համանման դիրեկտիվաներին մոտարկման</w:t>
            </w:r>
            <w:r w:rsidRPr="00423B76">
              <w:rPr>
                <w:rFonts w:ascii="GHEA Grapalat" w:hAnsi="GHEA Grapalat" w:cs="Sylfaen"/>
                <w:bCs/>
                <w:sz w:val="20"/>
                <w:szCs w:val="20"/>
                <w:lang w:val="hy-AM"/>
              </w:rPr>
              <w:t xml:space="preserve"> գործընթացը սառեցվել է, </w:t>
            </w:r>
            <w:r w:rsidRPr="00423B76">
              <w:rPr>
                <w:rFonts w:ascii="GHEA Grapalat" w:hAnsi="GHEA Grapalat" w:cs="Arial"/>
                <w:color w:val="000000" w:themeColor="text1"/>
                <w:sz w:val="20"/>
                <w:szCs w:val="20"/>
                <w:shd w:val="clear" w:color="auto" w:fill="FFFFFF"/>
                <w:lang w:val="hy-AM"/>
              </w:rPr>
              <w:t xml:space="preserve">այս ուղղությամբ աշխատանքների իրականացումը, </w:t>
            </w:r>
            <w:r w:rsidRPr="00423B76">
              <w:rPr>
                <w:rFonts w:ascii="GHEA Grapalat" w:eastAsia="MS Mincho" w:hAnsi="GHEA Grapalat" w:cs="Courier New"/>
                <w:color w:val="000000" w:themeColor="text1"/>
                <w:sz w:val="20"/>
                <w:szCs w:val="20"/>
                <w:lang w:val="hy-AM"/>
              </w:rPr>
              <w:t>արդի պահանջներին</w:t>
            </w:r>
            <w:r w:rsidRPr="00423B76">
              <w:rPr>
                <w:rFonts w:ascii="GHEA Grapalat" w:hAnsi="GHEA Grapalat" w:cs="Arial"/>
                <w:color w:val="000000" w:themeColor="text1"/>
                <w:sz w:val="20"/>
                <w:szCs w:val="20"/>
                <w:shd w:val="clear" w:color="auto" w:fill="FFFFFF"/>
                <w:lang w:val="hy-AM"/>
              </w:rPr>
              <w:t xml:space="preserve"> համապատասխանեցումը ներկայումս հրատապ է ու անհետաձգելի։ Հաշվի առնելով ՀՀ-ԵՄ համագործակցության վերսկսումը, միաժամանակ ԵԱՏՄ պայմանագրով ՀՀ-ի ստանձնած պարտավորությունները կրկին անհրաժեշտություն է առաջացել այդ համատեքստում վերանայել գործող ազգային տեխնիկական կանոնակարգերը։ </w:t>
            </w:r>
            <w:r w:rsidRPr="00423B76">
              <w:rPr>
                <w:rFonts w:ascii="GHEA Grapalat" w:hAnsi="GHEA Grapalat"/>
                <w:sz w:val="20"/>
                <w:szCs w:val="20"/>
                <w:lang w:val="hy-AM"/>
              </w:rPr>
              <w:t xml:space="preserve">Ներկայումս </w:t>
            </w:r>
            <w:r w:rsidRPr="00423B76">
              <w:rPr>
                <w:rFonts w:ascii="GHEA Grapalat" w:hAnsi="GHEA Grapalat" w:cs="Arial CIT"/>
                <w:sz w:val="20"/>
                <w:szCs w:val="20"/>
                <w:lang w:val="hy-AM"/>
              </w:rPr>
              <w:t xml:space="preserve">առկա է </w:t>
            </w:r>
            <w:r w:rsidRPr="00423B76">
              <w:rPr>
                <w:rFonts w:ascii="GHEA Grapalat" w:hAnsi="GHEA Grapalat"/>
                <w:sz w:val="20"/>
                <w:szCs w:val="20"/>
                <w:lang w:val="hy-AM"/>
              </w:rPr>
              <w:t>ստանդարտացման, ինչպես նաև ո</w:t>
            </w:r>
            <w:r w:rsidRPr="00423B76">
              <w:rPr>
                <w:rFonts w:ascii="GHEA Grapalat" w:hAnsi="GHEA Grapalat"/>
                <w:sz w:val="20"/>
                <w:szCs w:val="20"/>
                <w:lang w:val="pt-BR"/>
              </w:rPr>
              <w:t>րակի ենթակառուցվածք</w:t>
            </w:r>
            <w:r w:rsidRPr="00423B76">
              <w:rPr>
                <w:rFonts w:ascii="GHEA Grapalat" w:hAnsi="GHEA Grapalat"/>
                <w:sz w:val="20"/>
                <w:szCs w:val="20"/>
                <w:lang w:val="hy-AM"/>
              </w:rPr>
              <w:t xml:space="preserve">ի մյուս ոլորտներում առկա </w:t>
            </w:r>
            <w:r w:rsidRPr="00423B76">
              <w:rPr>
                <w:rFonts w:ascii="GHEA Grapalat" w:hAnsi="GHEA Grapalat" w:cs="Arial CIT"/>
                <w:sz w:val="20"/>
                <w:szCs w:val="20"/>
                <w:lang w:val="hy-AM"/>
              </w:rPr>
              <w:t xml:space="preserve">իրազեկության ցածր մակարդակ, ինչը պայմանավորված է նաև մասնավոր հատվածի, տեղական արտադրողի համեմատաբար անտարբերությամբ և պասիվությամբ։  Գործող տեխնիկական կանոնակարգերի կիրարկումն ապահովող ստանդարտները հաճախ արդիականացված և ներդաշնակ չեն ստանդարտացման միջազգային կազմակերպությունների կողմից ընդունված ստանդարտներին, կամ տեխնիկական կանոնակարգերի կիրարկումն ապահովող ստանդարտների ցանկերում բացակայում են անվտանգության բոլոր ցուցանիշներն ապահովող ստանդարտներ և չեն արտացոլում արդի պահանջները, ինչպես նաև չեն ապահովում շուկայահանման, համապատասխանության գնահատման գործընթացների իրականացումն ամբողջ ծավալով։ Վերոնշյալը հանգեցնում է տեղական արտադրողների կողմից անմրցունակ և ոչ անվտանգ արտադրանքի արտադրմանը։ </w:t>
            </w:r>
          </w:p>
          <w:p w:rsidR="0068680D" w:rsidRPr="00423B76" w:rsidRDefault="0068680D" w:rsidP="00F47DC4">
            <w:pPr>
              <w:pStyle w:val="NormalWeb"/>
              <w:widowControl w:val="0"/>
              <w:spacing w:before="0" w:beforeAutospacing="0" w:after="0" w:afterAutospacing="0" w:line="276" w:lineRule="auto"/>
              <w:ind w:right="9"/>
              <w:jc w:val="both"/>
              <w:rPr>
                <w:rFonts w:ascii="GHEA Grapalat" w:hAnsi="GHEA Grapalat" w:cs="Arial CIT"/>
                <w:sz w:val="20"/>
                <w:szCs w:val="20"/>
                <w:lang w:val="hy-AM"/>
              </w:rPr>
            </w:pPr>
            <w:r w:rsidRPr="00423B76">
              <w:rPr>
                <w:rFonts w:ascii="GHEA Grapalat" w:hAnsi="GHEA Grapalat"/>
                <w:sz w:val="20"/>
                <w:szCs w:val="20"/>
                <w:lang w:val="hy-AM"/>
              </w:rPr>
              <w:t>ԵԱՏՄ տեխնիկական կանոնակարգերը մշակվել և ընդունվել են դեռևս 2011-2012թթ</w:t>
            </w:r>
            <w:r w:rsidRPr="00423B76">
              <w:rPr>
                <w:rFonts w:ascii="GHEA Grapalat" w:eastAsia="MS Mincho" w:hAnsi="GHEA Grapalat" w:cs="MS Mincho"/>
                <w:sz w:val="20"/>
                <w:szCs w:val="20"/>
                <w:lang w:val="hy-AM"/>
              </w:rPr>
              <w:t xml:space="preserve">., իսկ գիտատեխնիկական զարգացման արդյունքում մշակվել են նոր ստանդարտներ: ԵԱՏՄ տեխնիկական կանոնակարգերի կիրարկումն ապահովող ստանդարտների ցանկերի վերլուծության ընթացքում, ինչպես նաև շահագրգիռ  մարմինների կողմից տրամադրված տեղեկատվության արդյունքում պարզվել է, որ  ստանդարտները հնացել կամ ուժը կորցրած են ճանաչվել կամ փոխարինվել են նոր ստանդարտներով: </w:t>
            </w:r>
            <w:r w:rsidRPr="00423B76">
              <w:rPr>
                <w:rFonts w:ascii="GHEA Grapalat" w:hAnsi="GHEA Grapalat" w:cs="Arial"/>
                <w:color w:val="000000"/>
                <w:sz w:val="20"/>
                <w:szCs w:val="20"/>
                <w:lang w:val="hy-AM"/>
              </w:rPr>
              <w:t>Բացի</w:t>
            </w:r>
            <w:r w:rsidRPr="00423B76">
              <w:rPr>
                <w:rFonts w:ascii="GHEA Grapalat" w:hAnsi="GHEA Grapalat"/>
                <w:color w:val="000000"/>
                <w:sz w:val="20"/>
                <w:szCs w:val="20"/>
                <w:lang w:val="hy-AM"/>
              </w:rPr>
              <w:t xml:space="preserve"> այդ տեխնիկական կանոնակարգերով կան սահմանված ցուցանիշներ, որոնց համապատասխանությունն ապահովող մեթոդիկաները բացակայում են: </w:t>
            </w:r>
            <w:r w:rsidRPr="00423B76">
              <w:rPr>
                <w:rFonts w:ascii="GHEA Grapalat" w:hAnsi="GHEA Grapalat"/>
                <w:sz w:val="20"/>
                <w:szCs w:val="20"/>
                <w:lang w:val="hy-AM"/>
              </w:rPr>
              <w:t xml:space="preserve">ԵԱՏՄ տեխնիկական կանոնակարգերի զգալի մասում համապատասխանության գնահատման ընթացակարգերը հին տիպային սխեմաներով են նախատեսված: </w:t>
            </w:r>
            <w:r w:rsidRPr="00423B76">
              <w:rPr>
                <w:rFonts w:ascii="GHEA Grapalat" w:eastAsia="MS Mincho" w:hAnsi="GHEA Grapalat" w:cs="MS Mincho"/>
                <w:sz w:val="20"/>
                <w:szCs w:val="20"/>
                <w:lang w:val="hy-AM"/>
              </w:rPr>
              <w:t xml:space="preserve">Ոլորտում առկա իրավիճակի վերլուծության արդյունքում անհրաժեշտություն է առաջացել </w:t>
            </w:r>
            <w:r w:rsidRPr="00423B76">
              <w:rPr>
                <w:rFonts w:ascii="GHEA Grapalat" w:eastAsia="MS Mincho" w:hAnsi="GHEA Grapalat" w:cs="Courier New"/>
                <w:sz w:val="20"/>
                <w:szCs w:val="20"/>
                <w:lang w:val="hy-AM"/>
              </w:rPr>
              <w:t xml:space="preserve">արդիականացնել տեխնիկական կանոնակարգերը՝ ստանդարտների, ցուցանիշների և գնահատման ընթացակարգերի տեսանկյունից:  </w:t>
            </w:r>
          </w:p>
          <w:p w:rsidR="0068680D" w:rsidRPr="00423B76" w:rsidRDefault="0068680D" w:rsidP="0068680D">
            <w:pPr>
              <w:pStyle w:val="ListParagraph"/>
              <w:widowControl w:val="0"/>
              <w:numPr>
                <w:ilvl w:val="1"/>
                <w:numId w:val="378"/>
              </w:numPr>
              <w:spacing w:line="276" w:lineRule="auto"/>
              <w:ind w:right="9"/>
              <w:jc w:val="both"/>
              <w:rPr>
                <w:b/>
                <w:color w:val="000000" w:themeColor="text1"/>
                <w:lang w:val="hy-AM"/>
              </w:rPr>
            </w:pPr>
            <w:r w:rsidRPr="00423B76">
              <w:rPr>
                <w:b/>
                <w:color w:val="000000" w:themeColor="text1"/>
                <w:lang w:val="hy-AM"/>
              </w:rPr>
              <w:t>Առկա խնդիրների առաջարկվող լուծումները</w:t>
            </w:r>
          </w:p>
          <w:p w:rsidR="0068680D" w:rsidRPr="00423B76" w:rsidRDefault="0068680D" w:rsidP="00F47DC4">
            <w:pPr>
              <w:pStyle w:val="NormalWeb"/>
              <w:widowControl w:val="0"/>
              <w:tabs>
                <w:tab w:val="left" w:pos="10170"/>
              </w:tabs>
              <w:spacing w:before="0" w:beforeAutospacing="0" w:after="0" w:afterAutospacing="0" w:line="276" w:lineRule="auto"/>
              <w:ind w:right="9"/>
              <w:jc w:val="both"/>
              <w:rPr>
                <w:rFonts w:ascii="GHEA Grapalat" w:eastAsia="MS Mincho" w:hAnsi="GHEA Grapalat" w:cs="Courier New"/>
                <w:color w:val="000000" w:themeColor="text1"/>
                <w:sz w:val="20"/>
                <w:szCs w:val="20"/>
                <w:lang w:val="hy-AM"/>
              </w:rPr>
            </w:pPr>
            <w:r w:rsidRPr="00423B76">
              <w:rPr>
                <w:rFonts w:ascii="GHEA Grapalat" w:hAnsi="GHEA Grapalat"/>
                <w:color w:val="000000"/>
                <w:sz w:val="20"/>
                <w:szCs w:val="20"/>
                <w:lang w:val="hy-AM"/>
              </w:rPr>
              <w:t xml:space="preserve">Ներկայումս ՀՀ-ում գործում են թվով 64 </w:t>
            </w:r>
            <w:r w:rsidRPr="00423B76">
              <w:rPr>
                <w:rFonts w:ascii="GHEA Grapalat" w:eastAsia="MS Mincho" w:hAnsi="GHEA Grapalat" w:cs="Courier New"/>
                <w:color w:val="000000" w:themeColor="text1"/>
                <w:sz w:val="20"/>
                <w:szCs w:val="20"/>
                <w:lang w:val="hy-AM"/>
              </w:rPr>
              <w:t xml:space="preserve">ոչ պարենային տեխնիկական կանոնակարգեր, որոնց. </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hAnsi="GHEA Grapalat"/>
                <w:color w:val="000000"/>
                <w:sz w:val="20"/>
                <w:szCs w:val="20"/>
                <w:lang w:val="hy-AM"/>
              </w:rPr>
            </w:pPr>
            <w:r w:rsidRPr="00423B76">
              <w:rPr>
                <w:rFonts w:ascii="GHEA Grapalat" w:eastAsia="MS Mincho" w:hAnsi="GHEA Grapalat" w:cs="Courier New"/>
                <w:color w:val="000000" w:themeColor="text1"/>
                <w:sz w:val="20"/>
                <w:szCs w:val="20"/>
                <w:lang w:val="hy-AM"/>
              </w:rPr>
              <w:t xml:space="preserve">մի մասը չեն կարող հանդիսանալ տեխնիկական կանոնակարգեր, քանի որ դրանցում ներառված պահանջները չեն վերաբերում արտադրանքին կամ արտադրանքին և դրա հետ կապված գործընթացներին (այդ իրավական ակտերը պետք է ուժը կորցնեն), </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hAnsi="GHEA Grapalat"/>
                <w:color w:val="000000"/>
                <w:sz w:val="20"/>
                <w:szCs w:val="20"/>
                <w:lang w:val="hy-AM"/>
              </w:rPr>
            </w:pPr>
            <w:r w:rsidRPr="00423B76">
              <w:rPr>
                <w:rFonts w:ascii="GHEA Grapalat" w:eastAsia="MS Mincho" w:hAnsi="GHEA Grapalat" w:cs="Courier New"/>
                <w:color w:val="000000" w:themeColor="text1"/>
                <w:sz w:val="20"/>
                <w:szCs w:val="20"/>
                <w:lang w:val="hy-AM"/>
              </w:rPr>
              <w:t>մյուս մասի օբյեկտ հանդիսացող արտադրանքն արդեն իսկ կանոնակարգվում է ԵԱՏՄ օրենսդրությամբ  ուստի դրանցով սահմանված պահանջները պետք է վերանայվեն,</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hAnsi="GHEA Grapalat"/>
                <w:color w:val="000000"/>
                <w:sz w:val="20"/>
                <w:szCs w:val="20"/>
                <w:lang w:val="hy-AM"/>
              </w:rPr>
            </w:pPr>
            <w:r w:rsidRPr="00423B76">
              <w:rPr>
                <w:rFonts w:ascii="GHEA Grapalat" w:hAnsi="GHEA Grapalat"/>
                <w:color w:val="000000"/>
                <w:sz w:val="20"/>
                <w:szCs w:val="20"/>
                <w:lang w:val="hy-AM"/>
              </w:rPr>
              <w:t xml:space="preserve">մյուս մասի </w:t>
            </w:r>
            <w:r w:rsidRPr="00423B76">
              <w:rPr>
                <w:rFonts w:ascii="GHEA Grapalat" w:eastAsia="MS Mincho" w:hAnsi="GHEA Grapalat" w:cs="Courier New"/>
                <w:color w:val="000000" w:themeColor="text1"/>
                <w:sz w:val="20"/>
                <w:szCs w:val="20"/>
                <w:lang w:val="hy-AM"/>
              </w:rPr>
              <w:t xml:space="preserve">օբյեկտ հանդիսացող արտադրանքը ներառված է ԵԱՏՀ ցանկում, սակայն դրա ԵԱՏՄ տեխնիկական կանոնակարգը բացակայում է (նախագծային փուլում է կամ դեռևս մշակված չէ), ուստի տվյալ արտադրանքի համար ազգային օրենսդրությունը արդիականացման/վերանայման անհրաժեշտություն ունի։  </w:t>
            </w:r>
          </w:p>
          <w:p w:rsidR="0068680D" w:rsidRPr="00423B76" w:rsidRDefault="0068680D" w:rsidP="00F47DC4">
            <w:pPr>
              <w:widowControl w:val="0"/>
              <w:tabs>
                <w:tab w:val="left" w:pos="0"/>
                <w:tab w:val="left" w:pos="990"/>
                <w:tab w:val="left" w:pos="10170"/>
              </w:tabs>
              <w:spacing w:line="276" w:lineRule="auto"/>
              <w:ind w:right="9"/>
              <w:jc w:val="both"/>
              <w:rPr>
                <w:lang w:val="hy-AM"/>
              </w:rPr>
            </w:pPr>
            <w:r w:rsidRPr="00423B76">
              <w:rPr>
                <w:lang w:val="hy-AM"/>
              </w:rPr>
              <w:t xml:space="preserve">ԵԱՏՄ տեխնիկական կանոնակարգերի մասով առաջարկվում է շահագրգիռ կողմ հանդիսացող մարմինների՝ Ստանդարտների ազգային ինստիտուտի, համապատասխանության գնահատման մարմինների, հավատարմագրման ազգային մարմնի, ինչպես նաև կանոնակարգող մարմինների աջակցությամբ և համապատասխան աշխատանքային խմբերի ստեղծմամբ ազգային հետաքրքրություն ներկայացնող ստանդարտների,  ինչպես նաև </w:t>
            </w:r>
            <w:r w:rsidRPr="00423B76">
              <w:rPr>
                <w:rFonts w:cs="Arial CIT"/>
                <w:iCs/>
                <w:lang w:val="hy-AM"/>
              </w:rPr>
              <w:t xml:space="preserve">ստանդարտացման միջազգային կազմակերպությունների կողմից մշակված արդի ստանդարտների </w:t>
            </w:r>
            <w:r w:rsidRPr="00423B76">
              <w:rPr>
                <w:lang w:val="hy-AM"/>
              </w:rPr>
              <w:t xml:space="preserve">ներառում տեխնիկական կանոնակարգերի միասնական ցանկերում, ինչպես նաև </w:t>
            </w:r>
            <w:r w:rsidRPr="00423B76">
              <w:rPr>
                <w:rFonts w:eastAsia="MS Mincho" w:cs="MS Mincho"/>
                <w:lang w:val="hy-AM"/>
              </w:rPr>
              <w:t>ԵԱՏՄ գործող տեխնիկական կանոնակարգերի վերանայում՝</w:t>
            </w:r>
            <w:r w:rsidRPr="00423B76">
              <w:rPr>
                <w:rFonts w:eastAsia="MS Mincho" w:cs="Courier New"/>
                <w:lang w:val="hy-AM"/>
              </w:rPr>
              <w:t xml:space="preserve"> </w:t>
            </w:r>
            <w:r w:rsidRPr="00423B76">
              <w:rPr>
                <w:lang w:val="hy-AM"/>
              </w:rPr>
              <w:t xml:space="preserve">համապատասխանության գնահատման ընթացակարգերը </w:t>
            </w:r>
            <w:r w:rsidRPr="00423B76">
              <w:rPr>
                <w:rFonts w:eastAsia="MS Mincho" w:cs="Courier New"/>
                <w:lang w:val="hy-AM"/>
              </w:rPr>
              <w:t>ԵԱՏՀ 2018թ</w:t>
            </w:r>
            <w:r w:rsidRPr="00423B76">
              <w:rPr>
                <w:rFonts w:eastAsia="MS Mincho" w:cs="MS Mincho"/>
                <w:lang w:val="hy-AM"/>
              </w:rPr>
              <w:t xml:space="preserve">. </w:t>
            </w:r>
            <w:r w:rsidRPr="00423B76">
              <w:rPr>
                <w:rFonts w:eastAsia="MS Mincho" w:cs="Courier New"/>
                <w:lang w:val="hy-AM"/>
              </w:rPr>
              <w:t>դեկտեմբերի N44 որոշմամբ սահմանված նոր տիպային սխեմաներին համապատասխանեցնելու նպատակով:</w:t>
            </w:r>
          </w:p>
          <w:p w:rsidR="0068680D" w:rsidRPr="00423B76" w:rsidRDefault="0068680D" w:rsidP="00F47DC4">
            <w:pPr>
              <w:pStyle w:val="NormalWeb"/>
              <w:widowControl w:val="0"/>
              <w:tabs>
                <w:tab w:val="left" w:pos="10170"/>
              </w:tabs>
              <w:spacing w:before="0" w:beforeAutospacing="0" w:after="0" w:afterAutospacing="0" w:line="276" w:lineRule="auto"/>
              <w:ind w:right="9" w:firstLine="375"/>
              <w:jc w:val="both"/>
              <w:rPr>
                <w:rFonts w:ascii="GHEA Grapalat" w:hAnsi="GHEA Grapalat" w:cs="Sylfaen"/>
                <w:b/>
                <w:sz w:val="20"/>
                <w:szCs w:val="20"/>
                <w:lang w:val="hy-AM"/>
              </w:rPr>
            </w:pPr>
            <w:r w:rsidRPr="00423B76">
              <w:rPr>
                <w:rFonts w:ascii="GHEA Grapalat" w:hAnsi="GHEA Grapalat" w:cs="Sylfaen"/>
                <w:b/>
                <w:sz w:val="20"/>
                <w:szCs w:val="20"/>
                <w:lang w:val="hy-AM"/>
              </w:rPr>
              <w:t>2</w:t>
            </w:r>
            <w:r w:rsidRPr="00423B76">
              <w:rPr>
                <w:rFonts w:ascii="Cambria Math" w:eastAsia="MS Mincho" w:hAnsi="Cambria Math" w:cs="Cambria Math"/>
                <w:b/>
                <w:sz w:val="20"/>
                <w:szCs w:val="20"/>
                <w:lang w:val="hy-AM"/>
              </w:rPr>
              <w:t>․</w:t>
            </w:r>
            <w:r w:rsidRPr="00423B76">
              <w:rPr>
                <w:rFonts w:ascii="GHEA Grapalat" w:eastAsia="MS Mincho" w:hAnsi="GHEA Grapalat" w:cs="MS Mincho"/>
                <w:b/>
                <w:sz w:val="20"/>
                <w:szCs w:val="20"/>
                <w:lang w:val="hy-AM"/>
              </w:rPr>
              <w:t xml:space="preserve"> </w:t>
            </w:r>
            <w:r w:rsidRPr="00423B76">
              <w:rPr>
                <w:rFonts w:ascii="GHEA Grapalat" w:hAnsi="GHEA Grapalat" w:cs="Sylfaen"/>
                <w:b/>
                <w:sz w:val="20"/>
                <w:szCs w:val="20"/>
                <w:lang w:val="hy-AM"/>
              </w:rPr>
              <w:t>Միջոցառման իրականացումից ակնկալվող արդյունքը</w:t>
            </w:r>
          </w:p>
          <w:p w:rsidR="0068680D" w:rsidRPr="00423B76" w:rsidRDefault="0068680D" w:rsidP="00F47DC4">
            <w:pPr>
              <w:tabs>
                <w:tab w:val="left" w:pos="10170"/>
              </w:tabs>
              <w:spacing w:line="276" w:lineRule="auto"/>
              <w:ind w:right="9"/>
              <w:jc w:val="both"/>
              <w:rPr>
                <w:rFonts w:eastAsia="MS Mincho" w:cs="MS Mincho"/>
                <w:bCs/>
                <w:color w:val="000000"/>
                <w:lang w:val="hy-AM"/>
              </w:rPr>
            </w:pPr>
            <w:r w:rsidRPr="00423B76">
              <w:rPr>
                <w:rFonts w:eastAsia="MS Mincho" w:cs="MS Mincho"/>
                <w:bCs/>
                <w:color w:val="000000"/>
                <w:lang w:val="hy-AM"/>
              </w:rPr>
              <w:t>Գործող ազգային տեխնիկական կանոնակարգերի վերանայման արդյունքում կապահովվի.</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Տեխնիկական կանոնակարգերով սահմանված պահանջների արդիականացում՝ ժամանակակից ստանդարտներով, մեթոդիկաներով, համապատասխանության գնահատման ընթացակարգերով (վերանայված ՀՀ կառավարության «Համապատասխանության գնահատման ընթացակարգերը սահմանելու մասին» N56-Ն որոշում)</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արտադրանքի արտադրմանը, շուկայահանմանը, մակնշմանը ներկայացվող արդի պահանջների սահմանում</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առևտրում առկա տեխնիկական խոչընդոտների նվազեցում</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մրցունակ արտադրանքի արտադրություն</w:t>
            </w:r>
          </w:p>
          <w:p w:rsidR="0068680D"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արտահանման ծավալների ավելացում, տեղական արտադրանքի համար նոր շուկաների ձեռքբերում տեղական արտադրողների կողմից անվտանգ արտադրանքի արտադրում:</w:t>
            </w:r>
          </w:p>
          <w:p w:rsidR="0068680D" w:rsidRPr="00423B76" w:rsidRDefault="0068680D" w:rsidP="00F47DC4">
            <w:pPr>
              <w:pStyle w:val="NormalWeb"/>
              <w:widowControl w:val="0"/>
              <w:tabs>
                <w:tab w:val="left" w:pos="10170"/>
              </w:tabs>
              <w:spacing w:before="0" w:beforeAutospacing="0" w:after="0" w:afterAutospacing="0" w:line="276" w:lineRule="auto"/>
              <w:ind w:left="720" w:right="9"/>
              <w:contextualSpacing/>
              <w:jc w:val="both"/>
              <w:rPr>
                <w:rFonts w:ascii="GHEA Grapalat" w:eastAsia="MS Mincho" w:hAnsi="GHEA Grapalat" w:cs="Courier New"/>
                <w:color w:val="000000" w:themeColor="text1"/>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13.3 </w:t>
            </w:r>
            <w:r w:rsidRPr="00423B76">
              <w:rPr>
                <w:rFonts w:ascii="GHEA Grapalat" w:hAnsi="GHEA Grapalat" w:cs="Sylfaen"/>
                <w:sz w:val="20"/>
                <w:szCs w:val="20"/>
                <w:lang w:val="hy-AM"/>
              </w:rPr>
              <w:t>ՀՀ-ում հավատարմագրման և համապատասխանութ</w:t>
            </w:r>
            <w:r w:rsidRPr="00423B76">
              <w:rPr>
                <w:rFonts w:ascii="GHEA Grapalat" w:hAnsi="GHEA Grapalat" w:cs="Sylfaen"/>
                <w:sz w:val="20"/>
                <w:szCs w:val="20"/>
                <w:lang w:val="hy-AM"/>
              </w:rPr>
              <w:softHyphen/>
              <w:t>յան գնահատման գործընթացների էլեկտրոնային համակարգերի մշակում և ներդնում</w:t>
            </w:r>
          </w:p>
          <w:p w:rsidR="0068680D" w:rsidRPr="00423B76" w:rsidRDefault="0068680D" w:rsidP="0068680D">
            <w:pPr>
              <w:pStyle w:val="NormalWeb"/>
              <w:widowControl w:val="0"/>
              <w:numPr>
                <w:ilvl w:val="0"/>
                <w:numId w:val="432"/>
              </w:numPr>
              <w:tabs>
                <w:tab w:val="left" w:pos="10170"/>
              </w:tabs>
              <w:spacing w:before="0" w:beforeAutospacing="0" w:after="0" w:afterAutospacing="0" w:line="276" w:lineRule="auto"/>
              <w:ind w:right="9"/>
              <w:jc w:val="both"/>
              <w:rPr>
                <w:rFonts w:ascii="GHEA Grapalat" w:hAnsi="GHEA Grapalat"/>
                <w:b/>
                <w:color w:val="000000"/>
                <w:sz w:val="20"/>
                <w:szCs w:val="20"/>
              </w:rPr>
            </w:pPr>
            <w:r w:rsidRPr="00423B76">
              <w:rPr>
                <w:rFonts w:ascii="GHEA Grapalat" w:hAnsi="GHEA Grapalat"/>
                <w:b/>
                <w:color w:val="000000"/>
                <w:sz w:val="20"/>
                <w:szCs w:val="20"/>
                <w:lang w:val="hy-AM"/>
              </w:rPr>
              <w:t>Միջոցառման իրականացման անհրաժեշտությունը և նպատակը</w:t>
            </w:r>
          </w:p>
          <w:p w:rsidR="0068680D" w:rsidRPr="00423B76" w:rsidRDefault="0068680D" w:rsidP="00F47DC4">
            <w:pPr>
              <w:pStyle w:val="NormalWeb"/>
              <w:widowControl w:val="0"/>
              <w:tabs>
                <w:tab w:val="left" w:pos="10170"/>
              </w:tabs>
              <w:spacing w:before="0" w:beforeAutospacing="0" w:after="0" w:afterAutospacing="0" w:line="276" w:lineRule="auto"/>
              <w:ind w:right="9"/>
              <w:jc w:val="both"/>
              <w:rPr>
                <w:rFonts w:ascii="GHEA Grapalat" w:hAnsi="GHEA Grapalat" w:cs="Sylfaen"/>
                <w:b/>
                <w:sz w:val="20"/>
                <w:szCs w:val="20"/>
                <w:lang w:val="hy-AM"/>
              </w:rPr>
            </w:pPr>
            <w:r w:rsidRPr="00423B76">
              <w:rPr>
                <w:rFonts w:ascii="GHEA Grapalat" w:hAnsi="GHEA Grapalat"/>
                <w:color w:val="000000" w:themeColor="text1"/>
                <w:sz w:val="20"/>
                <w:szCs w:val="20"/>
                <w:lang w:val="hy-AM"/>
              </w:rPr>
              <w:t xml:space="preserve">Միջոցառման իրակացման անհրաժեշտությունը պայմանավորված է </w:t>
            </w:r>
            <w:r w:rsidRPr="008B587D">
              <w:rPr>
                <w:rFonts w:ascii="GHEA Grapalat" w:hAnsi="GHEA Grapalat"/>
                <w:sz w:val="20"/>
                <w:lang w:val="af-ZA"/>
              </w:rPr>
              <w:t xml:space="preserve">ՀՀ Ազգային ժողովի 14.02.2019թ. N ԱԺՈ-002-Ն որոշմամբ հավանության արժանացած </w:t>
            </w:r>
            <w:r>
              <w:rPr>
                <w:sz w:val="20"/>
                <w:lang w:val="hy-AM"/>
              </w:rPr>
              <w:t>ՀՀ</w:t>
            </w:r>
            <w:r w:rsidRPr="008B587D">
              <w:rPr>
                <w:rFonts w:ascii="GHEA Grapalat" w:hAnsi="GHEA Grapalat"/>
                <w:sz w:val="20"/>
                <w:lang w:val="af-ZA"/>
              </w:rPr>
              <w:t xml:space="preserve"> կառավարության ծրագրի</w:t>
            </w:r>
            <w:r w:rsidRPr="00423B76">
              <w:rPr>
                <w:rFonts w:ascii="GHEA Grapalat" w:hAnsi="GHEA Grapalat" w:cs="Sylfaen"/>
                <w:color w:val="000000"/>
                <w:sz w:val="20"/>
                <w:szCs w:val="20"/>
              </w:rPr>
              <w:t xml:space="preserve"> 5.5 բաժնի դրույթներով: </w:t>
            </w:r>
            <w:r w:rsidRPr="00423B76">
              <w:rPr>
                <w:rFonts w:ascii="GHEA Grapalat" w:hAnsi="GHEA Grapalat"/>
                <w:color w:val="000000"/>
                <w:sz w:val="20"/>
                <w:szCs w:val="20"/>
                <w:lang w:val="hy-AM"/>
              </w:rPr>
              <w:t xml:space="preserve">Հավատարմագրման ազգային մարմնի կարողությունների զարգացման և հավատարմագրման գործընթացի  արդյունավետության բարձրացման նպատակով  ՀՀ տնտեսական զարգացման և ներդրումների նախարարությունը նախատեսում է Էլեկտրոնային հավատարմագրման գործընթացի (e-accreditation) ավտոմատացման համակարգի մշակում և ներդրում։ Բացի այդ </w:t>
            </w:r>
            <w:r w:rsidRPr="00423B76">
              <w:rPr>
                <w:rFonts w:ascii="GHEA Grapalat" w:eastAsia="Merriweather" w:hAnsi="GHEA Grapalat" w:cs="Merriweather"/>
                <w:sz w:val="20"/>
                <w:szCs w:val="20"/>
                <w:lang w:val="hy-AM"/>
              </w:rPr>
              <w:t xml:space="preserve">համապատասխանության գնահատման մարմինների </w:t>
            </w:r>
            <w:r w:rsidRPr="00423B76">
              <w:rPr>
                <w:rFonts w:ascii="GHEA Grapalat" w:eastAsia="Merriweather" w:hAnsi="GHEA Grapalat" w:cs="Merriweather"/>
                <w:kern w:val="3"/>
                <w:sz w:val="20"/>
                <w:szCs w:val="20"/>
                <w:lang w:val="hy-AM"/>
              </w:rPr>
              <w:t xml:space="preserve">կարողությունների </w:t>
            </w:r>
            <w:r w:rsidRPr="00423B76">
              <w:rPr>
                <w:rFonts w:ascii="GHEA Grapalat" w:eastAsia="Merriweather" w:hAnsi="GHEA Grapalat" w:cs="Merriweather"/>
                <w:sz w:val="20"/>
                <w:szCs w:val="20"/>
                <w:lang w:val="hy-AM"/>
              </w:rPr>
              <w:t>զարգացման</w:t>
            </w:r>
            <w:r w:rsidRPr="00423B76">
              <w:rPr>
                <w:rFonts w:ascii="GHEA Grapalat" w:eastAsia="Merriweather" w:hAnsi="GHEA Grapalat" w:cs="Merriweather"/>
                <w:kern w:val="3"/>
                <w:sz w:val="20"/>
                <w:szCs w:val="20"/>
                <w:lang w:val="hy-AM"/>
              </w:rPr>
              <w:t xml:space="preserve"> և </w:t>
            </w:r>
            <w:r w:rsidRPr="00423B76">
              <w:rPr>
                <w:rFonts w:ascii="GHEA Grapalat" w:eastAsia="Merriweather" w:hAnsi="GHEA Grapalat" w:cs="Merriweather"/>
                <w:sz w:val="20"/>
                <w:szCs w:val="20"/>
                <w:lang w:val="hy-AM"/>
              </w:rPr>
              <w:t xml:space="preserve">վերջիններիս կողմից իրականացվող համապատասխանության գնահատման գործընթացի </w:t>
            </w:r>
            <w:r w:rsidRPr="00423B76">
              <w:rPr>
                <w:rFonts w:ascii="GHEA Grapalat" w:eastAsia="Merriweather" w:hAnsi="GHEA Grapalat" w:cs="Merriweather"/>
                <w:kern w:val="3"/>
                <w:sz w:val="20"/>
                <w:szCs w:val="20"/>
                <w:lang w:val="hy-AM"/>
              </w:rPr>
              <w:t xml:space="preserve">արդյունավետության </w:t>
            </w:r>
            <w:r w:rsidRPr="00423B76">
              <w:rPr>
                <w:rFonts w:ascii="GHEA Grapalat" w:eastAsia="Merriweather" w:hAnsi="GHEA Grapalat" w:cs="Merriweather"/>
                <w:sz w:val="20"/>
                <w:szCs w:val="20"/>
                <w:lang w:val="hy-AM"/>
              </w:rPr>
              <w:t xml:space="preserve">բարձրացման նպատակով նախատեսվում է ՀՀ-ում գործող հավատարմագրված </w:t>
            </w:r>
            <w:r w:rsidRPr="00423B76">
              <w:rPr>
                <w:rFonts w:ascii="GHEA Grapalat" w:eastAsia="Merriweather" w:hAnsi="GHEA Grapalat" w:cs="Merriweather"/>
                <w:bCs/>
                <w:sz w:val="20"/>
                <w:szCs w:val="20"/>
                <w:lang w:val="hy-AM"/>
              </w:rPr>
              <w:t>հ</w:t>
            </w:r>
            <w:r w:rsidRPr="00423B76">
              <w:rPr>
                <w:rFonts w:ascii="GHEA Grapalat" w:eastAsia="Merriweather" w:hAnsi="GHEA Grapalat" w:cs="Merriweather"/>
                <w:bCs/>
                <w:kern w:val="3"/>
                <w:sz w:val="20"/>
                <w:szCs w:val="20"/>
                <w:lang w:val="hy-AM"/>
              </w:rPr>
              <w:t xml:space="preserve">ամապատասխա-նության գնահատման մարմինների </w:t>
            </w:r>
            <w:r w:rsidRPr="00423B76">
              <w:rPr>
                <w:rFonts w:ascii="GHEA Grapalat" w:eastAsia="Merriweather" w:hAnsi="GHEA Grapalat" w:cs="Merriweather"/>
                <w:kern w:val="3"/>
                <w:sz w:val="20"/>
                <w:szCs w:val="20"/>
                <w:lang w:val="hy-AM"/>
              </w:rPr>
              <w:t>համար մշակել հ</w:t>
            </w:r>
            <w:r w:rsidRPr="00423B76">
              <w:rPr>
                <w:rFonts w:ascii="GHEA Grapalat" w:eastAsia="Merriweather" w:hAnsi="GHEA Grapalat" w:cs="Merriweather"/>
                <w:bCs/>
                <w:kern w:val="3"/>
                <w:sz w:val="20"/>
                <w:szCs w:val="20"/>
                <w:lang w:val="hy-AM"/>
              </w:rPr>
              <w:t>ամապատասխանության գնահատման գործընթացի</w:t>
            </w:r>
            <w:r w:rsidRPr="00423B76">
              <w:rPr>
                <w:rFonts w:ascii="GHEA Grapalat" w:eastAsia="Merriweather" w:hAnsi="GHEA Grapalat" w:cs="Merriweather"/>
                <w:b/>
                <w:bCs/>
                <w:kern w:val="3"/>
                <w:sz w:val="20"/>
                <w:szCs w:val="20"/>
                <w:lang w:val="hy-AM"/>
              </w:rPr>
              <w:t xml:space="preserve"> </w:t>
            </w:r>
            <w:r w:rsidRPr="00423B76">
              <w:rPr>
                <w:rFonts w:ascii="GHEA Grapalat" w:eastAsia="Merriweather" w:hAnsi="GHEA Grapalat" w:cs="Merriweather"/>
                <w:kern w:val="3"/>
                <w:sz w:val="20"/>
                <w:szCs w:val="20"/>
                <w:lang w:val="hy-AM"/>
              </w:rPr>
              <w:t>էլեկտրոնային համակարգ</w:t>
            </w:r>
            <w:r w:rsidRPr="00423B76">
              <w:rPr>
                <w:rFonts w:ascii="GHEA Grapalat" w:eastAsia="Merriweather" w:hAnsi="GHEA Grapalat" w:cs="Merriweather"/>
                <w:sz w:val="20"/>
                <w:szCs w:val="20"/>
                <w:lang w:val="hy-AM"/>
              </w:rPr>
              <w:t>։</w:t>
            </w:r>
            <w:r w:rsidRPr="00423B76">
              <w:rPr>
                <w:rFonts w:ascii="GHEA Grapalat" w:hAnsi="GHEA Grapalat"/>
                <w:sz w:val="20"/>
                <w:szCs w:val="20"/>
                <w:lang w:val="hy-AM"/>
              </w:rPr>
              <w:t xml:space="preserve"> Վերոգրյալ համակարգերի ներդրումը կնպաստի ՀԱՄ-ի կողմից հավատարմագրման գործընթացի իրականացման թափանցիկությանը, համապատասխանության գնահատման աշխատանքների իրականացման համար պահանջվող ժամանակի կրճատմանը, </w:t>
            </w:r>
            <w:r w:rsidRPr="00423B76">
              <w:rPr>
                <w:rFonts w:ascii="GHEA Grapalat" w:eastAsia="Merriweather" w:hAnsi="GHEA Grapalat" w:cs="Merriweather"/>
                <w:sz w:val="20"/>
                <w:szCs w:val="20"/>
                <w:lang w:val="hy-AM"/>
              </w:rPr>
              <w:t xml:space="preserve">համապատասխանության գնահատման մարմինների </w:t>
            </w:r>
            <w:r w:rsidRPr="00423B76">
              <w:rPr>
                <w:rFonts w:ascii="GHEA Grapalat" w:eastAsia="Merriweather" w:hAnsi="GHEA Grapalat" w:cs="Merriweather"/>
                <w:kern w:val="3"/>
                <w:sz w:val="20"/>
                <w:szCs w:val="20"/>
                <w:lang w:val="hy-AM"/>
              </w:rPr>
              <w:t xml:space="preserve">կարողությունների </w:t>
            </w:r>
            <w:r w:rsidRPr="00423B76">
              <w:rPr>
                <w:rFonts w:ascii="GHEA Grapalat" w:eastAsia="Merriweather" w:hAnsi="GHEA Grapalat" w:cs="Merriweather"/>
                <w:sz w:val="20"/>
                <w:szCs w:val="20"/>
                <w:lang w:val="hy-AM"/>
              </w:rPr>
              <w:t>զարգացում</w:t>
            </w:r>
            <w:r w:rsidRPr="00423B76">
              <w:rPr>
                <w:rFonts w:ascii="GHEA Grapalat" w:hAnsi="GHEA Grapalat" w:cs="Sylfaen"/>
                <w:b/>
                <w:sz w:val="20"/>
                <w:szCs w:val="20"/>
                <w:lang w:val="hy-AM"/>
              </w:rPr>
              <w:t xml:space="preserve">, </w:t>
            </w:r>
            <w:r w:rsidRPr="00423B76">
              <w:rPr>
                <w:rFonts w:ascii="GHEA Grapalat" w:eastAsia="Merriweather" w:hAnsi="GHEA Grapalat" w:cs="Merriweather"/>
                <w:sz w:val="20"/>
                <w:szCs w:val="20"/>
                <w:lang w:val="hy-AM"/>
              </w:rPr>
              <w:t xml:space="preserve">համապատասխանության գնահատման գործընթացի </w:t>
            </w:r>
            <w:r w:rsidRPr="00423B76">
              <w:rPr>
                <w:rFonts w:ascii="GHEA Grapalat" w:eastAsia="Merriweather" w:hAnsi="GHEA Grapalat" w:cs="Merriweather"/>
                <w:kern w:val="3"/>
                <w:sz w:val="20"/>
                <w:szCs w:val="20"/>
                <w:lang w:val="hy-AM"/>
              </w:rPr>
              <w:t xml:space="preserve">արդյունավետության </w:t>
            </w:r>
            <w:r w:rsidRPr="00423B76">
              <w:rPr>
                <w:rFonts w:ascii="GHEA Grapalat" w:eastAsia="Merriweather" w:hAnsi="GHEA Grapalat" w:cs="Merriweather"/>
                <w:sz w:val="20"/>
                <w:szCs w:val="20"/>
                <w:lang w:val="hy-AM"/>
              </w:rPr>
              <w:t xml:space="preserve">բարձրացմանը: </w:t>
            </w:r>
          </w:p>
          <w:p w:rsidR="0068680D" w:rsidRPr="00423B76" w:rsidRDefault="0068680D" w:rsidP="0068680D">
            <w:pPr>
              <w:pStyle w:val="ListParagraph"/>
              <w:numPr>
                <w:ilvl w:val="1"/>
                <w:numId w:val="432"/>
              </w:numPr>
              <w:tabs>
                <w:tab w:val="left" w:pos="10170"/>
              </w:tabs>
              <w:spacing w:line="276" w:lineRule="auto"/>
              <w:ind w:right="9"/>
              <w:jc w:val="both"/>
              <w:rPr>
                <w:b/>
                <w:lang w:val="hy-AM"/>
              </w:rPr>
            </w:pPr>
            <w:r w:rsidRPr="00423B76">
              <w:rPr>
                <w:rFonts w:cs="Sylfaen"/>
                <w:b/>
                <w:lang w:val="hy-AM"/>
              </w:rPr>
              <w:t>Կ</w:t>
            </w:r>
            <w:r w:rsidRPr="00423B76">
              <w:rPr>
                <w:b/>
                <w:lang w:val="hy-AM"/>
              </w:rPr>
              <w:t>արգավորման հարաբերությունների ներկա վիճակը և առկա խնդիրները</w:t>
            </w:r>
          </w:p>
          <w:p w:rsidR="0068680D" w:rsidRPr="00423B76" w:rsidRDefault="0068680D" w:rsidP="00F47DC4">
            <w:pPr>
              <w:tabs>
                <w:tab w:val="left" w:pos="360"/>
                <w:tab w:val="left" w:pos="10170"/>
              </w:tabs>
              <w:spacing w:line="276" w:lineRule="auto"/>
              <w:ind w:right="9"/>
              <w:jc w:val="both"/>
              <w:rPr>
                <w:b/>
                <w:color w:val="FF0000"/>
                <w:lang w:val="hy-AM"/>
              </w:rPr>
            </w:pPr>
            <w:r w:rsidRPr="00423B76">
              <w:rPr>
                <w:lang w:val="hy-AM"/>
              </w:rPr>
              <w:t xml:space="preserve">2016թ. նոյեմբերի 24-ին  ՀԱՄ-ի և Հավատարմագրման եվրոպական համագործակցության (EA) միջև կնքված անդամակցության համաձայնագրի համաձայն ՀԱՄ-ը հանդիսանում է կազմակերպության ասոցացված անդամ: 2017թ. ընթացքում իրականացվել են աշխատանքներ հավատարմագրման արդյունքների բազմակողմ և երկկողմ ճանաչման համաձայնագրերի կնքման ուղղությամբ։ </w:t>
            </w:r>
          </w:p>
          <w:p w:rsidR="0068680D" w:rsidRPr="00423B76" w:rsidRDefault="0068680D" w:rsidP="0068680D">
            <w:pPr>
              <w:pStyle w:val="ListParagraph"/>
              <w:numPr>
                <w:ilvl w:val="1"/>
                <w:numId w:val="432"/>
              </w:numPr>
              <w:tabs>
                <w:tab w:val="left" w:pos="10170"/>
              </w:tabs>
              <w:spacing w:line="276" w:lineRule="auto"/>
              <w:ind w:right="9"/>
              <w:jc w:val="both"/>
              <w:rPr>
                <w:rFonts w:cs="Sylfaen"/>
                <w:b/>
                <w:lang w:val="hy-AM"/>
              </w:rPr>
            </w:pPr>
            <w:r w:rsidRPr="00423B76">
              <w:rPr>
                <w:rFonts w:cs="Sylfaen"/>
                <w:b/>
                <w:lang w:val="hy-AM"/>
              </w:rPr>
              <w:t>Առկա խնդիրների առաջարկվող լուծումները</w:t>
            </w:r>
          </w:p>
          <w:p w:rsidR="0068680D" w:rsidRPr="00423B76" w:rsidRDefault="0068680D" w:rsidP="00F47DC4">
            <w:pPr>
              <w:widowControl w:val="0"/>
              <w:tabs>
                <w:tab w:val="left" w:pos="10170"/>
              </w:tabs>
              <w:spacing w:line="276" w:lineRule="auto"/>
              <w:ind w:right="9"/>
              <w:jc w:val="both"/>
              <w:rPr>
                <w:b/>
                <w:lang w:val="hy-AM"/>
              </w:rPr>
            </w:pPr>
            <w:r w:rsidRPr="00423B76">
              <w:rPr>
                <w:lang w:val="hy-AM"/>
              </w:rPr>
              <w:t xml:space="preserve">Պետության կողմից ոլորտը վերահսկելի դարձնելու համար միջազգային փորձագետների կողմից համապատասխան մեխանիզմների սահմանումը, ՀՀ-ում ներդրումը և կիրառումը կնպաստի ՀԱՄ-ի կողմից հավատարմագրման գործընթացի իրականացման ապահովմանը՝ միջազգային ԻՍՕ/ԻԷԿ 17011 ստանդարտի պահանջներին համապատասխան։ Միաժամանակ նշված մեխանիզմների ներդրումը հնարավորություն կընձեռնի ապահովել ՀԱՄ-ի կողմից հավատարմագրման գործընթացում գնահատվող՝ փորձարկման </w:t>
            </w:r>
            <w:r w:rsidRPr="00423B76">
              <w:rPr>
                <w:rFonts w:eastAsia="Calibri"/>
                <w:color w:val="000000"/>
                <w:lang w:val="hy-AM"/>
              </w:rPr>
              <w:t xml:space="preserve">լաբորատորիաների կողմից իրականացվող փորձարկումների թափանցիկությունը, կփաստի համապատասխան ՓԼ-ներում ռեագենտների օգտագործումը և պահեստային ֆոնդում առկա մնացորդները, ինչպես նաև հնարավորություն կընձեռի պահպանել/արխիվացնել իրականացված փորձարկումների վերաբերող համապատասխան տեղեկատվությունները։ Վերը թվարկվածները </w:t>
            </w:r>
            <w:r w:rsidRPr="00423B76">
              <w:rPr>
                <w:rFonts w:eastAsia="Verdana" w:cs="Verdana"/>
                <w:kern w:val="3"/>
                <w:lang w:val="hy-AM"/>
              </w:rPr>
              <w:t>կբացառեն հավատարմագրման</w:t>
            </w:r>
            <w:r w:rsidRPr="00423B76">
              <w:rPr>
                <w:lang w:val="hy-AM"/>
              </w:rPr>
              <w:t xml:space="preserve"> գործընթացում (ներառյալ պարբերական և արտահերթ գնահատումների ժամանակ)  ռիսկերի առկայությունը և կհանդիսանան միջազգային ԻՍՕ/ԻԷԿ 17011 ստանդարտի պահանջների բավարարման ապացույցներ։</w:t>
            </w:r>
          </w:p>
          <w:p w:rsidR="0068680D" w:rsidRPr="00423B76" w:rsidRDefault="0068680D" w:rsidP="0068680D">
            <w:pPr>
              <w:pStyle w:val="NormalWeb"/>
              <w:widowControl w:val="0"/>
              <w:numPr>
                <w:ilvl w:val="0"/>
                <w:numId w:val="432"/>
              </w:numPr>
              <w:tabs>
                <w:tab w:val="left" w:pos="10170"/>
              </w:tabs>
              <w:spacing w:before="0" w:beforeAutospacing="0" w:after="0" w:afterAutospacing="0" w:line="276" w:lineRule="auto"/>
              <w:ind w:right="9"/>
              <w:jc w:val="both"/>
              <w:rPr>
                <w:rFonts w:ascii="GHEA Grapalat" w:hAnsi="GHEA Grapalat" w:cs="Sylfaen"/>
                <w:b/>
                <w:sz w:val="20"/>
                <w:szCs w:val="20"/>
                <w:lang w:val="hy-AM"/>
              </w:rPr>
            </w:pPr>
            <w:r w:rsidRPr="00423B76">
              <w:rPr>
                <w:rFonts w:ascii="GHEA Grapalat" w:hAnsi="GHEA Grapalat" w:cs="Sylfaen"/>
                <w:b/>
                <w:sz w:val="20"/>
                <w:szCs w:val="20"/>
                <w:lang w:val="hy-AM"/>
              </w:rPr>
              <w:t>Միջոցառման իրականացումից ակնկալվող արդյունքը</w:t>
            </w:r>
          </w:p>
          <w:p w:rsidR="0068680D" w:rsidRPr="00423B76" w:rsidRDefault="0068680D" w:rsidP="00F47DC4">
            <w:pPr>
              <w:pStyle w:val="NormalWeb"/>
              <w:widowControl w:val="0"/>
              <w:tabs>
                <w:tab w:val="left" w:pos="10170"/>
              </w:tabs>
              <w:spacing w:before="0" w:beforeAutospacing="0" w:after="0" w:afterAutospacing="0" w:line="276" w:lineRule="auto"/>
              <w:ind w:right="9"/>
              <w:jc w:val="both"/>
              <w:rPr>
                <w:rFonts w:ascii="GHEA Grapalat" w:hAnsi="GHEA Grapalat" w:cs="Sylfaen"/>
                <w:sz w:val="20"/>
                <w:szCs w:val="20"/>
                <w:lang w:val="hy-AM"/>
              </w:rPr>
            </w:pPr>
            <w:r w:rsidRPr="00423B76">
              <w:rPr>
                <w:rFonts w:ascii="GHEA Grapalat" w:hAnsi="GHEA Grapalat" w:cs="Sylfaen"/>
                <w:sz w:val="20"/>
                <w:szCs w:val="20"/>
                <w:lang w:val="hy-AM"/>
              </w:rPr>
              <w:t>Միջոցառման իրականացման արդյունքում ակնկալվում է.</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Հավատարմագրման ազգային մարմնի կարողությունների զարգացում</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Հավատարմագրման գործընթացի մատչելիության, թափանցիկության ապահովում, արդյունավետության բարձրացում</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Համապատասխանության գնահատման մարմինների կարողությունների զարգացում</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Համապատասխանության գնահատման գործընթացի արդյունավետության բարձրացում, թղթավաճառության նվազեցում</w:t>
            </w:r>
          </w:p>
          <w:p w:rsidR="0068680D"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Հավատարմագրման և համապատասխանության գնահատման գործընթացների վերահսկելիության ապահովում:</w:t>
            </w:r>
          </w:p>
          <w:p w:rsidR="0068680D" w:rsidRPr="00423B76" w:rsidRDefault="0068680D" w:rsidP="00F47DC4">
            <w:pPr>
              <w:pStyle w:val="NormalWeb"/>
              <w:widowControl w:val="0"/>
              <w:tabs>
                <w:tab w:val="left" w:pos="10170"/>
              </w:tabs>
              <w:spacing w:before="0" w:beforeAutospacing="0" w:after="0" w:afterAutospacing="0" w:line="276" w:lineRule="auto"/>
              <w:ind w:left="720" w:right="9"/>
              <w:contextualSpacing/>
              <w:jc w:val="both"/>
              <w:rPr>
                <w:rFonts w:ascii="GHEA Grapalat" w:eastAsia="MS Mincho" w:hAnsi="GHEA Grapalat" w:cs="Courier New"/>
                <w:color w:val="000000" w:themeColor="text1"/>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13.4 </w:t>
            </w:r>
            <w:r w:rsidRPr="00423B76">
              <w:rPr>
                <w:rFonts w:ascii="GHEA Grapalat" w:hAnsi="GHEA Grapalat" w:cs="Sylfaen"/>
                <w:sz w:val="20"/>
                <w:szCs w:val="20"/>
                <w:lang w:val="hy-AM"/>
              </w:rPr>
              <w:t>Հավատարմագրման ազգային  մարմնի միջազգային ճանաչմանն ուղղված երկկողմ և բազմակողմ ճանաչման համաձայնագրերի կնքում տարածաշրջանային և միջազգային հավատարմագրման կազմակերպությունների հետ (EA, ILAC, IAF)</w:t>
            </w:r>
          </w:p>
          <w:p w:rsidR="0068680D" w:rsidRPr="00423B76" w:rsidRDefault="0068680D" w:rsidP="0068680D">
            <w:pPr>
              <w:pStyle w:val="NormalWeb"/>
              <w:widowControl w:val="0"/>
              <w:numPr>
                <w:ilvl w:val="0"/>
                <w:numId w:val="433"/>
              </w:numPr>
              <w:tabs>
                <w:tab w:val="left" w:pos="10170"/>
              </w:tabs>
              <w:spacing w:before="0" w:beforeAutospacing="0" w:after="0" w:afterAutospacing="0" w:line="276" w:lineRule="auto"/>
              <w:ind w:right="9"/>
              <w:jc w:val="both"/>
              <w:rPr>
                <w:rFonts w:ascii="GHEA Grapalat" w:hAnsi="GHEA Grapalat"/>
                <w:b/>
                <w:color w:val="000000"/>
                <w:sz w:val="20"/>
                <w:szCs w:val="20"/>
                <w:lang w:val="hy-AM"/>
              </w:rPr>
            </w:pPr>
            <w:r w:rsidRPr="00423B76">
              <w:rPr>
                <w:rFonts w:ascii="GHEA Grapalat" w:hAnsi="GHEA Grapalat"/>
                <w:b/>
                <w:color w:val="000000"/>
                <w:sz w:val="20"/>
                <w:szCs w:val="20"/>
                <w:lang w:val="hy-AM"/>
              </w:rPr>
              <w:t>Միջոցառման իրականացման անհրաժեշտությունը և նպատակը</w:t>
            </w:r>
          </w:p>
          <w:p w:rsidR="0068680D" w:rsidRPr="00423B76" w:rsidRDefault="0068680D" w:rsidP="00F47DC4">
            <w:pPr>
              <w:pStyle w:val="NormalWeb"/>
              <w:widowControl w:val="0"/>
              <w:tabs>
                <w:tab w:val="left" w:pos="10170"/>
              </w:tabs>
              <w:spacing w:before="0" w:beforeAutospacing="0" w:after="0" w:afterAutospacing="0" w:line="276" w:lineRule="auto"/>
              <w:ind w:right="9"/>
              <w:jc w:val="both"/>
              <w:rPr>
                <w:rFonts w:ascii="GHEA Grapalat" w:hAnsi="GHEA Grapalat" w:cs="Sylfaen"/>
                <w:bCs/>
                <w:color w:val="000000"/>
                <w:sz w:val="20"/>
                <w:szCs w:val="20"/>
                <w:lang w:val="fr-FR"/>
              </w:rPr>
            </w:pPr>
            <w:r w:rsidRPr="00423B76">
              <w:rPr>
                <w:rFonts w:ascii="GHEA Grapalat" w:hAnsi="GHEA Grapalat"/>
                <w:color w:val="000000" w:themeColor="text1"/>
                <w:sz w:val="20"/>
                <w:szCs w:val="20"/>
                <w:lang w:val="hy-AM"/>
              </w:rPr>
              <w:t xml:space="preserve">Միջոցառման իրակացման անհրաժեշտությունը պայմանավորված է </w:t>
            </w:r>
            <w:r w:rsidRPr="008B587D">
              <w:rPr>
                <w:rFonts w:ascii="GHEA Grapalat" w:hAnsi="GHEA Grapalat"/>
                <w:sz w:val="20"/>
                <w:lang w:val="af-ZA"/>
              </w:rPr>
              <w:t xml:space="preserve">ՀՀ Ազգային ժողովի 14.02.2019թ. N ԱԺՈ-002-Ն որոշմամբ հավանության արժանացած </w:t>
            </w:r>
            <w:r>
              <w:rPr>
                <w:sz w:val="20"/>
                <w:lang w:val="hy-AM"/>
              </w:rPr>
              <w:t>ՀՀ</w:t>
            </w:r>
            <w:r w:rsidRPr="008B587D">
              <w:rPr>
                <w:rFonts w:ascii="GHEA Grapalat" w:hAnsi="GHEA Grapalat"/>
                <w:sz w:val="20"/>
                <w:lang w:val="af-ZA"/>
              </w:rPr>
              <w:t xml:space="preserve"> կառավարության ծրագրի</w:t>
            </w:r>
            <w:r w:rsidRPr="00423B76">
              <w:rPr>
                <w:rFonts w:ascii="GHEA Grapalat" w:hAnsi="GHEA Grapalat" w:cs="Sylfaen"/>
                <w:color w:val="000000"/>
                <w:sz w:val="20"/>
                <w:szCs w:val="20"/>
                <w:lang w:val="hy-AM"/>
              </w:rPr>
              <w:t xml:space="preserve"> 5.5 բաժնի դրույթներով: </w:t>
            </w:r>
            <w:r w:rsidRPr="00423B76">
              <w:rPr>
                <w:rFonts w:ascii="GHEA Grapalat" w:hAnsi="GHEA Grapalat"/>
                <w:iCs/>
                <w:color w:val="000000"/>
                <w:kern w:val="16"/>
                <w:sz w:val="20"/>
                <w:szCs w:val="20"/>
                <w:lang w:val="hy-AM"/>
              </w:rPr>
              <w:t>Հ</w:t>
            </w:r>
            <w:r w:rsidRPr="00423B76">
              <w:rPr>
                <w:rFonts w:ascii="GHEA Grapalat" w:hAnsi="GHEA Grapalat"/>
                <w:iCs/>
                <w:color w:val="000000"/>
                <w:kern w:val="16"/>
                <w:sz w:val="20"/>
                <w:szCs w:val="20"/>
                <w:lang w:val="it-IT"/>
              </w:rPr>
              <w:t xml:space="preserve">ավատարմագրման հիմնական նպատակներից է </w:t>
            </w:r>
            <w:r w:rsidRPr="00423B76">
              <w:rPr>
                <w:rFonts w:ascii="GHEA Grapalat" w:hAnsi="GHEA Grapalat"/>
                <w:iCs/>
                <w:color w:val="000000"/>
                <w:kern w:val="16"/>
                <w:sz w:val="20"/>
                <w:szCs w:val="20"/>
                <w:lang w:val="hy-AM"/>
              </w:rPr>
              <w:t>Հավատարմագրման ազգային մարմնի հավատարմագրման աշխատանքների արդյունքների, հավատարմագրված ՀԳՄ-ների կողմից տրամադրվող փաստաթղթերի</w:t>
            </w:r>
            <w:r w:rsidRPr="00423B76">
              <w:rPr>
                <w:rFonts w:ascii="GHEA Grapalat" w:hAnsi="GHEA Grapalat"/>
                <w:iCs/>
                <w:color w:val="000000"/>
                <w:kern w:val="16"/>
                <w:sz w:val="20"/>
                <w:szCs w:val="20"/>
                <w:lang w:val="it-IT"/>
              </w:rPr>
              <w:t xml:space="preserve"> (</w:t>
            </w:r>
            <w:r w:rsidRPr="00423B76">
              <w:rPr>
                <w:rFonts w:ascii="GHEA Grapalat" w:hAnsi="GHEA Grapalat"/>
                <w:iCs/>
                <w:color w:val="000000"/>
                <w:kern w:val="16"/>
                <w:sz w:val="20"/>
                <w:szCs w:val="20"/>
                <w:lang w:val="hy-AM"/>
              </w:rPr>
              <w:t>համապատասխանության սերտիֆիկատների, փորձարկման արձանագրությունների և այլն) միջազգային ճանաչման</w:t>
            </w:r>
            <w:r w:rsidRPr="00423B76">
              <w:rPr>
                <w:rFonts w:ascii="GHEA Grapalat" w:hAnsi="GHEA Grapalat"/>
                <w:iCs/>
                <w:color w:val="000000"/>
                <w:kern w:val="16"/>
                <w:sz w:val="20"/>
                <w:szCs w:val="20"/>
                <w:lang w:val="it-IT"/>
              </w:rPr>
              <w:t xml:space="preserve"> </w:t>
            </w:r>
            <w:r w:rsidRPr="00423B76">
              <w:rPr>
                <w:rFonts w:ascii="GHEA Grapalat" w:hAnsi="GHEA Grapalat"/>
                <w:iCs/>
                <w:color w:val="000000"/>
                <w:kern w:val="16"/>
                <w:sz w:val="20"/>
                <w:szCs w:val="20"/>
                <w:lang w:val="hy-AM"/>
              </w:rPr>
              <w:t>համար</w:t>
            </w:r>
            <w:r w:rsidRPr="00423B76">
              <w:rPr>
                <w:rFonts w:ascii="GHEA Grapalat" w:hAnsi="GHEA Grapalat"/>
                <w:iCs/>
                <w:color w:val="000000"/>
                <w:kern w:val="16"/>
                <w:sz w:val="20"/>
                <w:szCs w:val="20"/>
                <w:lang w:val="it-IT"/>
              </w:rPr>
              <w:t xml:space="preserve"> </w:t>
            </w:r>
            <w:r w:rsidRPr="00423B76">
              <w:rPr>
                <w:rFonts w:ascii="GHEA Grapalat" w:hAnsi="GHEA Grapalat"/>
                <w:iCs/>
                <w:color w:val="000000"/>
                <w:kern w:val="16"/>
                <w:sz w:val="20"/>
                <w:szCs w:val="20"/>
                <w:lang w:val="hy-AM"/>
              </w:rPr>
              <w:t>պայմանների</w:t>
            </w:r>
            <w:r w:rsidRPr="00423B76">
              <w:rPr>
                <w:rFonts w:ascii="GHEA Grapalat" w:hAnsi="GHEA Grapalat"/>
                <w:iCs/>
                <w:color w:val="000000"/>
                <w:kern w:val="16"/>
                <w:sz w:val="20"/>
                <w:szCs w:val="20"/>
                <w:lang w:val="it-IT"/>
              </w:rPr>
              <w:t xml:space="preserve"> </w:t>
            </w:r>
            <w:r w:rsidRPr="00423B76">
              <w:rPr>
                <w:rFonts w:ascii="GHEA Grapalat" w:hAnsi="GHEA Grapalat"/>
                <w:iCs/>
                <w:color w:val="000000"/>
                <w:kern w:val="16"/>
                <w:sz w:val="20"/>
                <w:szCs w:val="20"/>
                <w:lang w:val="hy-AM"/>
              </w:rPr>
              <w:t>ստեղծումը</w:t>
            </w:r>
            <w:r w:rsidRPr="00423B76">
              <w:rPr>
                <w:rFonts w:ascii="GHEA Grapalat" w:hAnsi="GHEA Grapalat"/>
                <w:iCs/>
                <w:color w:val="000000"/>
                <w:kern w:val="16"/>
                <w:sz w:val="20"/>
                <w:szCs w:val="20"/>
                <w:lang w:val="it-IT"/>
              </w:rPr>
              <w:t>:</w:t>
            </w:r>
            <w:r w:rsidRPr="00423B76">
              <w:rPr>
                <w:rFonts w:ascii="GHEA Grapalat" w:hAnsi="GHEA Grapalat"/>
                <w:iCs/>
                <w:color w:val="000000"/>
                <w:kern w:val="16"/>
                <w:sz w:val="20"/>
                <w:szCs w:val="20"/>
                <w:lang w:val="hy-AM"/>
              </w:rPr>
              <w:t xml:space="preserve"> </w:t>
            </w:r>
            <w:r w:rsidRPr="00423B76">
              <w:rPr>
                <w:rFonts w:ascii="GHEA Grapalat" w:hAnsi="GHEA Grapalat" w:cs="Sylfaen"/>
                <w:bCs/>
                <w:color w:val="000000"/>
                <w:sz w:val="20"/>
                <w:szCs w:val="20"/>
                <w:lang w:val="hy-AM"/>
              </w:rPr>
              <w:t>Հավատարմագրման ազգային մարմինը</w:t>
            </w:r>
            <w:r w:rsidRPr="00423B76">
              <w:rPr>
                <w:rFonts w:ascii="GHEA Grapalat" w:hAnsi="GHEA Grapalat" w:cs="Sylfaen"/>
                <w:bCs/>
                <w:color w:val="000000"/>
                <w:sz w:val="20"/>
                <w:szCs w:val="20"/>
                <w:lang w:val="fr-FR"/>
              </w:rPr>
              <w:t xml:space="preserve"> </w:t>
            </w:r>
            <w:r w:rsidRPr="00423B76">
              <w:rPr>
                <w:rFonts w:ascii="GHEA Grapalat" w:hAnsi="GHEA Grapalat" w:cs="Sylfaen"/>
                <w:bCs/>
                <w:color w:val="000000"/>
                <w:sz w:val="20"/>
                <w:szCs w:val="20"/>
                <w:lang w:val="hy-AM"/>
              </w:rPr>
              <w:t>ն</w:t>
            </w:r>
            <w:r w:rsidRPr="00423B76">
              <w:rPr>
                <w:rFonts w:ascii="GHEA Grapalat" w:hAnsi="GHEA Grapalat" w:cs="Sylfaen"/>
                <w:bCs/>
                <w:color w:val="000000"/>
                <w:sz w:val="20"/>
                <w:szCs w:val="20"/>
                <w:lang w:val="fr-FR"/>
              </w:rPr>
              <w:t>շված նպատակին հասնելու համար հավատարմագրման արդյունքների բազմակողմ և երկկողմ ճանաչման համաձայնագրերում</w:t>
            </w:r>
            <w:r w:rsidRPr="00423B76">
              <w:rPr>
                <w:rFonts w:ascii="GHEA Grapalat" w:hAnsi="GHEA Grapalat" w:cs="Sylfaen"/>
                <w:bCs/>
                <w:color w:val="000000"/>
                <w:sz w:val="20"/>
                <w:szCs w:val="20"/>
                <w:lang w:val="hy-AM"/>
              </w:rPr>
              <w:t xml:space="preserve"> պետք է </w:t>
            </w:r>
            <w:r w:rsidRPr="00423B76">
              <w:rPr>
                <w:rFonts w:ascii="GHEA Grapalat" w:hAnsi="GHEA Grapalat" w:cs="Sylfaen"/>
                <w:bCs/>
                <w:color w:val="000000"/>
                <w:sz w:val="20"/>
                <w:szCs w:val="20"/>
                <w:lang w:val="fr-FR"/>
              </w:rPr>
              <w:t xml:space="preserve">ստորագրող կողմ հանդիսանա: </w:t>
            </w:r>
            <w:r w:rsidRPr="00423B76">
              <w:rPr>
                <w:rFonts w:ascii="GHEA Grapalat" w:hAnsi="GHEA Grapalat" w:cs="Sylfaen"/>
                <w:bCs/>
                <w:color w:val="000000"/>
                <w:sz w:val="20"/>
                <w:szCs w:val="20"/>
                <w:lang w:val="hy-AM"/>
              </w:rPr>
              <w:t>Նշված պահանջն ապահովելու համար</w:t>
            </w:r>
            <w:r w:rsidRPr="00423B76">
              <w:rPr>
                <w:rFonts w:ascii="GHEA Grapalat" w:hAnsi="GHEA Grapalat" w:cs="Sylfaen"/>
                <w:bCs/>
                <w:color w:val="000000"/>
                <w:sz w:val="20"/>
                <w:szCs w:val="20"/>
                <w:lang w:val="fr-FR"/>
              </w:rPr>
              <w:t xml:space="preserve"> </w:t>
            </w:r>
            <w:r w:rsidRPr="00423B76">
              <w:rPr>
                <w:rFonts w:ascii="GHEA Grapalat" w:hAnsi="GHEA Grapalat" w:cs="Sylfaen"/>
                <w:bCs/>
                <w:color w:val="000000"/>
                <w:sz w:val="20"/>
                <w:szCs w:val="20"/>
                <w:lang w:val="hy-AM"/>
              </w:rPr>
              <w:t xml:space="preserve">ՊՈԱԿ-ի կողմից </w:t>
            </w:r>
            <w:r w:rsidRPr="00423B76">
              <w:rPr>
                <w:rFonts w:ascii="GHEA Grapalat" w:eastAsia="Calibri" w:hAnsi="GHEA Grapalat" w:cs="Helvetica"/>
                <w:color w:val="000000"/>
                <w:sz w:val="20"/>
                <w:szCs w:val="20"/>
                <w:shd w:val="clear" w:color="auto" w:fill="FFFFFF"/>
                <w:lang w:val="fr-FR"/>
              </w:rPr>
              <w:t xml:space="preserve">2016 </w:t>
            </w:r>
            <w:r w:rsidRPr="00423B76">
              <w:rPr>
                <w:rFonts w:ascii="GHEA Grapalat" w:eastAsia="Calibri" w:hAnsi="GHEA Grapalat" w:cs="Helvetica"/>
                <w:color w:val="000000"/>
                <w:sz w:val="20"/>
                <w:szCs w:val="20"/>
                <w:shd w:val="clear" w:color="auto" w:fill="FFFFFF"/>
                <w:lang w:val="hy-AM"/>
              </w:rPr>
              <w:t>թվականի</w:t>
            </w:r>
            <w:r w:rsidRPr="00423B76">
              <w:rPr>
                <w:rFonts w:ascii="GHEA Grapalat" w:eastAsia="Calibri" w:hAnsi="GHEA Grapalat" w:cs="Helvetica"/>
                <w:color w:val="000000"/>
                <w:sz w:val="20"/>
                <w:szCs w:val="20"/>
                <w:shd w:val="clear" w:color="auto" w:fill="FFFFFF"/>
                <w:lang w:val="fr-FR"/>
              </w:rPr>
              <w:t xml:space="preserve"> </w:t>
            </w:r>
            <w:r w:rsidRPr="00423B76">
              <w:rPr>
                <w:rFonts w:ascii="GHEA Grapalat" w:eastAsia="Calibri" w:hAnsi="GHEA Grapalat" w:cs="Helvetica"/>
                <w:color w:val="000000"/>
                <w:sz w:val="20"/>
                <w:szCs w:val="20"/>
                <w:shd w:val="clear" w:color="auto" w:fill="FFFFFF"/>
                <w:lang w:val="hy-AM"/>
              </w:rPr>
              <w:t>հուլիսի</w:t>
            </w:r>
            <w:r w:rsidRPr="00423B76">
              <w:rPr>
                <w:rFonts w:ascii="GHEA Grapalat" w:eastAsia="Calibri" w:hAnsi="GHEA Grapalat" w:cs="Helvetica"/>
                <w:color w:val="000000"/>
                <w:sz w:val="20"/>
                <w:szCs w:val="20"/>
                <w:shd w:val="clear" w:color="auto" w:fill="FFFFFF"/>
                <w:lang w:val="fr-FR"/>
              </w:rPr>
              <w:t xml:space="preserve"> 22-</w:t>
            </w:r>
            <w:r w:rsidRPr="00423B76">
              <w:rPr>
                <w:rFonts w:ascii="GHEA Grapalat" w:eastAsia="Calibri" w:hAnsi="GHEA Grapalat" w:cs="Helvetica"/>
                <w:color w:val="000000"/>
                <w:sz w:val="20"/>
                <w:szCs w:val="20"/>
                <w:shd w:val="clear" w:color="auto" w:fill="FFFFFF"/>
                <w:lang w:val="hy-AM"/>
              </w:rPr>
              <w:t xml:space="preserve">ին </w:t>
            </w:r>
            <w:r w:rsidRPr="00423B76">
              <w:rPr>
                <w:rFonts w:ascii="GHEA Grapalat" w:hAnsi="GHEA Grapalat" w:cs="Sylfaen"/>
                <w:bCs/>
                <w:color w:val="000000"/>
                <w:sz w:val="20"/>
                <w:szCs w:val="20"/>
                <w:lang w:val="fr-FR"/>
              </w:rPr>
              <w:t xml:space="preserve">հայտ է ներկայացվել EA-ի քարտուղարություն՝ եվրոպական (EA) հավատարմագրման համագործակցությանը որպես ասոցացված անդամ դառնալու նպատակով: </w:t>
            </w:r>
            <w:r w:rsidRPr="00423B76">
              <w:rPr>
                <w:rFonts w:ascii="GHEA Grapalat" w:hAnsi="GHEA Grapalat" w:cs="Sylfaen"/>
                <w:bCs/>
                <w:color w:val="000000"/>
                <w:sz w:val="20"/>
                <w:szCs w:val="20"/>
                <w:lang w:val="hy-AM"/>
              </w:rPr>
              <w:t>Պետք է արձանագրել, որ</w:t>
            </w:r>
            <w:r w:rsidRPr="00423B76">
              <w:rPr>
                <w:rFonts w:ascii="GHEA Grapalat" w:hAnsi="GHEA Grapalat" w:cs="Sylfaen"/>
                <w:bCs/>
                <w:color w:val="000000"/>
                <w:sz w:val="20"/>
                <w:szCs w:val="20"/>
                <w:lang w:val="fr-FR"/>
              </w:rPr>
              <w:t xml:space="preserve">  </w:t>
            </w:r>
            <w:r w:rsidRPr="00423B76">
              <w:rPr>
                <w:rFonts w:ascii="GHEA Grapalat" w:hAnsi="GHEA Grapalat" w:cs="Sylfaen"/>
                <w:bCs/>
                <w:color w:val="000000"/>
                <w:sz w:val="20"/>
                <w:szCs w:val="20"/>
                <w:lang w:val="hy-AM"/>
              </w:rPr>
              <w:t>ա</w:t>
            </w:r>
            <w:r w:rsidRPr="00423B76">
              <w:rPr>
                <w:rFonts w:ascii="GHEA Grapalat" w:hAnsi="GHEA Grapalat" w:cs="Sylfaen"/>
                <w:bCs/>
                <w:color w:val="000000"/>
                <w:sz w:val="20"/>
                <w:szCs w:val="20"/>
                <w:lang w:val="fr-FR"/>
              </w:rPr>
              <w:t xml:space="preserve">նդամակցությունը արդյունավետ կերպով կկրճատի </w:t>
            </w:r>
            <w:r w:rsidRPr="00423B76">
              <w:rPr>
                <w:rFonts w:ascii="GHEA Grapalat" w:hAnsi="GHEA Grapalat" w:cs="Sylfaen"/>
                <w:bCs/>
                <w:color w:val="000000"/>
                <w:sz w:val="20"/>
                <w:szCs w:val="20"/>
                <w:lang w:val="hy-AM"/>
              </w:rPr>
              <w:t>ինչպես</w:t>
            </w:r>
            <w:r w:rsidRPr="00423B76">
              <w:rPr>
                <w:rFonts w:ascii="GHEA Grapalat" w:hAnsi="GHEA Grapalat" w:cs="Sylfaen"/>
                <w:bCs/>
                <w:color w:val="000000"/>
                <w:sz w:val="20"/>
                <w:szCs w:val="20"/>
                <w:lang w:val="fr-FR"/>
              </w:rPr>
              <w:t xml:space="preserve"> արտադրողի</w:t>
            </w:r>
            <w:r w:rsidRPr="00423B76">
              <w:rPr>
                <w:rFonts w:ascii="GHEA Grapalat" w:hAnsi="GHEA Grapalat" w:cs="Sylfaen"/>
                <w:bCs/>
                <w:color w:val="000000"/>
                <w:sz w:val="20"/>
                <w:szCs w:val="20"/>
                <w:lang w:val="hy-AM"/>
              </w:rPr>
              <w:t>, այնպես էլ</w:t>
            </w:r>
            <w:r w:rsidRPr="00423B76">
              <w:rPr>
                <w:rFonts w:ascii="GHEA Grapalat" w:hAnsi="GHEA Grapalat" w:cs="Sylfaen"/>
                <w:bCs/>
                <w:color w:val="000000"/>
                <w:sz w:val="20"/>
                <w:szCs w:val="20"/>
                <w:lang w:val="fr-FR"/>
              </w:rPr>
              <w:t xml:space="preserve"> ներմուծողի ծախսերը, քանի որ </w:t>
            </w:r>
            <w:r w:rsidRPr="00423B76">
              <w:rPr>
                <w:rFonts w:ascii="GHEA Grapalat" w:hAnsi="GHEA Grapalat" w:cs="Sylfaen"/>
                <w:bCs/>
                <w:color w:val="000000"/>
                <w:sz w:val="20"/>
                <w:szCs w:val="20"/>
                <w:lang w:val="hy-AM"/>
              </w:rPr>
              <w:t>անդամակցության դեպքում</w:t>
            </w:r>
            <w:r w:rsidRPr="00423B76">
              <w:rPr>
                <w:rFonts w:ascii="GHEA Grapalat" w:hAnsi="GHEA Grapalat" w:cs="Sylfaen"/>
                <w:bCs/>
                <w:color w:val="000000"/>
                <w:sz w:val="20"/>
                <w:szCs w:val="20"/>
                <w:lang w:val="fr-FR"/>
              </w:rPr>
              <w:t xml:space="preserve"> կրճատ</w:t>
            </w:r>
            <w:r w:rsidRPr="00423B76">
              <w:rPr>
                <w:rFonts w:ascii="GHEA Grapalat" w:hAnsi="GHEA Grapalat" w:cs="Sylfaen"/>
                <w:bCs/>
                <w:color w:val="000000"/>
                <w:sz w:val="20"/>
                <w:szCs w:val="20"/>
                <w:lang w:val="hy-AM"/>
              </w:rPr>
              <w:t>վ</w:t>
            </w:r>
            <w:r w:rsidRPr="00423B76">
              <w:rPr>
                <w:rFonts w:ascii="GHEA Grapalat" w:hAnsi="GHEA Grapalat" w:cs="Sylfaen"/>
                <w:bCs/>
                <w:color w:val="000000"/>
                <w:sz w:val="20"/>
                <w:szCs w:val="20"/>
                <w:lang w:val="fr-FR"/>
              </w:rPr>
              <w:t>ում կամ վերանում է արտադրանքի (ծառայության)` մյուս երկրում վերագնահատման:</w:t>
            </w:r>
          </w:p>
          <w:p w:rsidR="0068680D" w:rsidRPr="00423B76" w:rsidRDefault="0068680D" w:rsidP="0068680D">
            <w:pPr>
              <w:pStyle w:val="NormalWeb"/>
              <w:widowControl w:val="0"/>
              <w:numPr>
                <w:ilvl w:val="1"/>
                <w:numId w:val="434"/>
              </w:numPr>
              <w:tabs>
                <w:tab w:val="left" w:pos="10170"/>
              </w:tabs>
              <w:spacing w:before="0" w:beforeAutospacing="0" w:after="0" w:afterAutospacing="0" w:line="276" w:lineRule="auto"/>
              <w:ind w:left="1276" w:right="9" w:hanging="567"/>
              <w:jc w:val="both"/>
              <w:rPr>
                <w:rFonts w:ascii="GHEA Grapalat" w:hAnsi="GHEA Grapalat" w:cs="Sylfaen"/>
                <w:bCs/>
                <w:color w:val="000000"/>
                <w:sz w:val="20"/>
                <w:szCs w:val="20"/>
                <w:lang w:val="fr-FR"/>
              </w:rPr>
            </w:pPr>
            <w:r w:rsidRPr="00423B76">
              <w:rPr>
                <w:rFonts w:ascii="GHEA Grapalat" w:hAnsi="GHEA Grapalat"/>
                <w:b/>
                <w:sz w:val="20"/>
                <w:szCs w:val="20"/>
                <w:lang w:val="hy-AM"/>
              </w:rPr>
              <w:t>Կարգավորման հարաբերությունների ներկա վիճակը և առկա խնդիրները</w:t>
            </w:r>
          </w:p>
          <w:p w:rsidR="0068680D" w:rsidRPr="00423B76" w:rsidRDefault="0068680D" w:rsidP="00F47DC4">
            <w:pPr>
              <w:pStyle w:val="NormalWeb"/>
              <w:widowControl w:val="0"/>
              <w:tabs>
                <w:tab w:val="left" w:pos="10170"/>
              </w:tabs>
              <w:spacing w:before="0" w:beforeAutospacing="0" w:after="0" w:afterAutospacing="0" w:line="276" w:lineRule="auto"/>
              <w:ind w:right="9"/>
              <w:jc w:val="both"/>
              <w:rPr>
                <w:rFonts w:ascii="GHEA Grapalat" w:hAnsi="GHEA Grapalat" w:cs="Sylfaen"/>
                <w:bCs/>
                <w:color w:val="000000" w:themeColor="text1"/>
                <w:sz w:val="20"/>
                <w:szCs w:val="20"/>
                <w:lang w:val="hy-AM"/>
              </w:rPr>
            </w:pPr>
            <w:r w:rsidRPr="00423B76">
              <w:rPr>
                <w:rFonts w:ascii="GHEA Grapalat" w:hAnsi="GHEA Grapalat"/>
                <w:color w:val="000000" w:themeColor="text1"/>
                <w:sz w:val="20"/>
                <w:szCs w:val="20"/>
                <w:shd w:val="clear" w:color="auto" w:fill="FFFFFF"/>
                <w:lang w:val="fr-FR"/>
              </w:rPr>
              <w:t xml:space="preserve">2016 </w:t>
            </w:r>
            <w:r w:rsidRPr="00423B76">
              <w:rPr>
                <w:rFonts w:ascii="GHEA Grapalat" w:hAnsi="GHEA Grapalat"/>
                <w:color w:val="000000" w:themeColor="text1"/>
                <w:sz w:val="20"/>
                <w:szCs w:val="20"/>
                <w:shd w:val="clear" w:color="auto" w:fill="FFFFFF"/>
              </w:rPr>
              <w:t>թվականի</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հուլիսի</w:t>
            </w:r>
            <w:r w:rsidRPr="00423B76">
              <w:rPr>
                <w:rFonts w:ascii="GHEA Grapalat" w:hAnsi="GHEA Grapalat"/>
                <w:color w:val="000000" w:themeColor="text1"/>
                <w:sz w:val="20"/>
                <w:szCs w:val="20"/>
                <w:shd w:val="clear" w:color="auto" w:fill="FFFFFF"/>
                <w:lang w:val="fr-FR"/>
              </w:rPr>
              <w:t xml:space="preserve"> 22-</w:t>
            </w:r>
            <w:r w:rsidRPr="00423B76">
              <w:rPr>
                <w:rFonts w:ascii="GHEA Grapalat" w:hAnsi="GHEA Grapalat"/>
                <w:color w:val="000000" w:themeColor="text1"/>
                <w:sz w:val="20"/>
                <w:szCs w:val="20"/>
                <w:shd w:val="clear" w:color="auto" w:fill="FFFFFF"/>
              </w:rPr>
              <w:t>ին</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Հավատարմագրման</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ազգային</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մարմին</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ՊՈԱԿ</w:t>
            </w:r>
            <w:r w:rsidRPr="00423B76">
              <w:rPr>
                <w:rFonts w:ascii="GHEA Grapalat" w:hAnsi="GHEA Grapalat"/>
                <w:color w:val="000000" w:themeColor="text1"/>
                <w:sz w:val="20"/>
                <w:szCs w:val="20"/>
                <w:shd w:val="clear" w:color="auto" w:fill="FFFFFF"/>
                <w:lang w:val="fr-FR"/>
              </w:rPr>
              <w:t>-</w:t>
            </w:r>
            <w:r w:rsidRPr="00423B76">
              <w:rPr>
                <w:rFonts w:ascii="GHEA Grapalat" w:hAnsi="GHEA Grapalat"/>
                <w:color w:val="000000" w:themeColor="text1"/>
                <w:sz w:val="20"/>
                <w:szCs w:val="20"/>
                <w:shd w:val="clear" w:color="auto" w:fill="FFFFFF"/>
                <w:lang w:val="hy-AM"/>
              </w:rPr>
              <w:t>ի կողմից</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հայտ</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է</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ներկայաց</w:t>
            </w:r>
            <w:r w:rsidRPr="00423B76">
              <w:rPr>
                <w:rFonts w:ascii="GHEA Grapalat" w:hAnsi="GHEA Grapalat"/>
                <w:color w:val="000000" w:themeColor="text1"/>
                <w:sz w:val="20"/>
                <w:szCs w:val="20"/>
                <w:shd w:val="clear" w:color="auto" w:fill="FFFFFF"/>
                <w:lang w:val="hy-AM"/>
              </w:rPr>
              <w:t>վ</w:t>
            </w:r>
            <w:r w:rsidRPr="00423B76">
              <w:rPr>
                <w:rFonts w:ascii="GHEA Grapalat" w:hAnsi="GHEA Grapalat"/>
                <w:color w:val="000000" w:themeColor="text1"/>
                <w:sz w:val="20"/>
                <w:szCs w:val="20"/>
                <w:shd w:val="clear" w:color="auto" w:fill="FFFFFF"/>
              </w:rPr>
              <w:t>ել</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հավատարմագրման</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եվրոպական</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համագործակցության</w:t>
            </w:r>
            <w:r w:rsidRPr="00423B76">
              <w:rPr>
                <w:rFonts w:ascii="GHEA Grapalat" w:hAnsi="GHEA Grapalat"/>
                <w:color w:val="000000" w:themeColor="text1"/>
                <w:sz w:val="20"/>
                <w:szCs w:val="20"/>
                <w:shd w:val="clear" w:color="auto" w:fill="FFFFFF"/>
                <w:lang w:val="fr-FR"/>
              </w:rPr>
              <w:t xml:space="preserve"> (EA) </w:t>
            </w:r>
            <w:r w:rsidRPr="00423B76">
              <w:rPr>
                <w:rFonts w:ascii="GHEA Grapalat" w:hAnsi="GHEA Grapalat"/>
                <w:color w:val="000000" w:themeColor="text1"/>
                <w:sz w:val="20"/>
                <w:szCs w:val="20"/>
                <w:shd w:val="clear" w:color="auto" w:fill="FFFFFF"/>
              </w:rPr>
              <w:t>քարտուղարություն՝</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ասոցացված</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անդամ</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դառնալու</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նպատակով</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lang w:val="hy-AM"/>
              </w:rPr>
              <w:t>Նույն</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թվականի</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նոյեմբերի</w:t>
            </w:r>
            <w:r w:rsidRPr="00423B76">
              <w:rPr>
                <w:rFonts w:ascii="GHEA Grapalat" w:hAnsi="GHEA Grapalat"/>
                <w:color w:val="000000" w:themeColor="text1"/>
                <w:sz w:val="20"/>
                <w:szCs w:val="20"/>
                <w:shd w:val="clear" w:color="auto" w:fill="FFFFFF"/>
                <w:lang w:val="fr-FR"/>
              </w:rPr>
              <w:t xml:space="preserve"> 22-24-</w:t>
            </w:r>
            <w:r w:rsidRPr="00423B76">
              <w:rPr>
                <w:rFonts w:ascii="GHEA Grapalat" w:hAnsi="GHEA Grapalat"/>
                <w:color w:val="000000" w:themeColor="text1"/>
                <w:sz w:val="20"/>
                <w:szCs w:val="20"/>
                <w:shd w:val="clear" w:color="auto" w:fill="FFFFFF"/>
              </w:rPr>
              <w:t>ը</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Շվեդիայում</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կայացած</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գագաթնաժողովում</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միաձայն</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ընդունվե</w:t>
            </w:r>
            <w:r w:rsidRPr="00423B76">
              <w:rPr>
                <w:rFonts w:ascii="GHEA Grapalat" w:hAnsi="GHEA Grapalat"/>
                <w:color w:val="000000" w:themeColor="text1"/>
                <w:sz w:val="20"/>
                <w:szCs w:val="20"/>
                <w:shd w:val="clear" w:color="auto" w:fill="FFFFFF"/>
                <w:lang w:val="hy-AM"/>
              </w:rPr>
              <w:t>լ է</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ՀՀ</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Հավատարմագրման</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ազգային</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մարմին</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ՊՈԱԿ</w:t>
            </w:r>
            <w:r w:rsidRPr="00423B76">
              <w:rPr>
                <w:rFonts w:ascii="GHEA Grapalat" w:hAnsi="GHEA Grapalat"/>
                <w:color w:val="000000" w:themeColor="text1"/>
                <w:sz w:val="20"/>
                <w:szCs w:val="20"/>
                <w:shd w:val="clear" w:color="auto" w:fill="FFFFFF"/>
                <w:lang w:val="fr-FR"/>
              </w:rPr>
              <w:t>-</w:t>
            </w:r>
            <w:r w:rsidRPr="00423B76">
              <w:rPr>
                <w:rFonts w:ascii="GHEA Grapalat" w:hAnsi="GHEA Grapalat"/>
                <w:color w:val="000000" w:themeColor="text1"/>
                <w:sz w:val="20"/>
                <w:szCs w:val="20"/>
                <w:shd w:val="clear" w:color="auto" w:fill="FFFFFF"/>
              </w:rPr>
              <w:t>ը</w:t>
            </w:r>
            <w:r w:rsidRPr="00423B76">
              <w:rPr>
                <w:rFonts w:ascii="GHEA Grapalat" w:hAnsi="GHEA Grapalat"/>
                <w:color w:val="000000" w:themeColor="text1"/>
                <w:sz w:val="20"/>
                <w:szCs w:val="20"/>
                <w:shd w:val="clear" w:color="auto" w:fill="FFFFFF"/>
                <w:lang w:val="fr-FR"/>
              </w:rPr>
              <w:t xml:space="preserve"> (ARMNAB) (EA)-</w:t>
            </w:r>
            <w:r w:rsidRPr="00423B76">
              <w:rPr>
                <w:rFonts w:ascii="GHEA Grapalat" w:hAnsi="GHEA Grapalat"/>
                <w:color w:val="000000" w:themeColor="text1"/>
                <w:sz w:val="20"/>
                <w:szCs w:val="20"/>
                <w:shd w:val="clear" w:color="auto" w:fill="FFFFFF"/>
              </w:rPr>
              <w:t>ի</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ասոցացված</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անդամ</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դառնալու</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վերաբերյալ</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որոշում</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և</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ստորագրվե</w:t>
            </w:r>
            <w:r w:rsidRPr="00423B76">
              <w:rPr>
                <w:rFonts w:ascii="GHEA Grapalat" w:hAnsi="GHEA Grapalat"/>
                <w:color w:val="000000" w:themeColor="text1"/>
                <w:sz w:val="20"/>
                <w:szCs w:val="20"/>
                <w:shd w:val="clear" w:color="auto" w:fill="FFFFFF"/>
                <w:lang w:val="hy-AM"/>
              </w:rPr>
              <w:t>լ է</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անդամակցության</w:t>
            </w:r>
            <w:r w:rsidRPr="00423B76">
              <w:rPr>
                <w:rFonts w:ascii="GHEA Grapalat" w:hAnsi="GHEA Grapalat"/>
                <w:color w:val="000000" w:themeColor="text1"/>
                <w:sz w:val="20"/>
                <w:szCs w:val="20"/>
                <w:shd w:val="clear" w:color="auto" w:fill="FFFFFF"/>
                <w:lang w:val="fr-FR"/>
              </w:rPr>
              <w:t xml:space="preserve"> </w:t>
            </w:r>
            <w:r w:rsidRPr="00423B76">
              <w:rPr>
                <w:rFonts w:ascii="GHEA Grapalat" w:hAnsi="GHEA Grapalat"/>
                <w:color w:val="000000" w:themeColor="text1"/>
                <w:sz w:val="20"/>
                <w:szCs w:val="20"/>
                <w:shd w:val="clear" w:color="auto" w:fill="FFFFFF"/>
              </w:rPr>
              <w:t>համաձայնագիր</w:t>
            </w:r>
            <w:r w:rsidRPr="00423B76">
              <w:rPr>
                <w:rFonts w:ascii="GHEA Grapalat" w:hAnsi="GHEA Grapalat"/>
                <w:color w:val="000000" w:themeColor="text1"/>
                <w:sz w:val="20"/>
                <w:szCs w:val="20"/>
                <w:shd w:val="clear" w:color="auto" w:fill="FFFFFF"/>
                <w:lang w:val="fr-FR"/>
              </w:rPr>
              <w:t>:</w:t>
            </w:r>
            <w:r w:rsidRPr="00423B76">
              <w:rPr>
                <w:rFonts w:ascii="GHEA Grapalat" w:hAnsi="GHEA Grapalat"/>
                <w:color w:val="000000" w:themeColor="text1"/>
                <w:sz w:val="20"/>
                <w:szCs w:val="20"/>
                <w:shd w:val="clear" w:color="auto" w:fill="FFFFFF"/>
                <w:lang w:val="hy-AM"/>
              </w:rPr>
              <w:t xml:space="preserve"> Թեև ՊՈԱԿ-ը ներկայումս հանդիսանում է </w:t>
            </w:r>
            <w:r w:rsidRPr="00423B76">
              <w:rPr>
                <w:rFonts w:ascii="GHEA Grapalat" w:hAnsi="GHEA Grapalat"/>
                <w:color w:val="000000" w:themeColor="text1"/>
                <w:sz w:val="20"/>
                <w:szCs w:val="20"/>
                <w:shd w:val="clear" w:color="auto" w:fill="FFFFFF"/>
                <w:lang w:val="fr-FR"/>
              </w:rPr>
              <w:t>EA-</w:t>
            </w:r>
            <w:r w:rsidRPr="00423B76">
              <w:rPr>
                <w:rFonts w:ascii="GHEA Grapalat" w:hAnsi="GHEA Grapalat"/>
                <w:color w:val="000000" w:themeColor="text1"/>
                <w:sz w:val="20"/>
                <w:szCs w:val="20"/>
                <w:shd w:val="clear" w:color="auto" w:fill="FFFFFF"/>
                <w:lang w:val="hy-AM"/>
              </w:rPr>
              <w:t xml:space="preserve">ի ասոցացված անդամ, սակայն ազգային համապատասխանության գնահատման մարմինների կողմից տրամադրված համապատասխանության գնահատման փաստաթղթերը միջազգային ճանաչում չունեն։ </w:t>
            </w:r>
          </w:p>
          <w:p w:rsidR="0068680D" w:rsidRPr="00423B76" w:rsidRDefault="0068680D" w:rsidP="0068680D">
            <w:pPr>
              <w:pStyle w:val="NormalWeb"/>
              <w:widowControl w:val="0"/>
              <w:numPr>
                <w:ilvl w:val="1"/>
                <w:numId w:val="434"/>
              </w:numPr>
              <w:tabs>
                <w:tab w:val="left" w:pos="10170"/>
              </w:tabs>
              <w:spacing w:before="0" w:beforeAutospacing="0" w:after="0" w:afterAutospacing="0" w:line="276" w:lineRule="auto"/>
              <w:ind w:left="1276" w:right="9" w:hanging="567"/>
              <w:jc w:val="both"/>
              <w:rPr>
                <w:rFonts w:ascii="GHEA Grapalat" w:hAnsi="GHEA Grapalat"/>
                <w:b/>
                <w:sz w:val="20"/>
                <w:szCs w:val="20"/>
                <w:lang w:val="hy-AM"/>
              </w:rPr>
            </w:pPr>
            <w:r w:rsidRPr="00423B76">
              <w:rPr>
                <w:rFonts w:ascii="GHEA Grapalat" w:hAnsi="GHEA Grapalat"/>
                <w:b/>
                <w:sz w:val="20"/>
                <w:szCs w:val="20"/>
                <w:lang w:val="hy-AM"/>
              </w:rPr>
              <w:t>Առկա խնդիրների առաջարկվող լուծումները</w:t>
            </w:r>
          </w:p>
          <w:p w:rsidR="0068680D" w:rsidRPr="00423B76" w:rsidRDefault="0068680D" w:rsidP="00F47DC4">
            <w:pPr>
              <w:pStyle w:val="NormalWeb"/>
              <w:widowControl w:val="0"/>
              <w:tabs>
                <w:tab w:val="left" w:pos="10170"/>
              </w:tabs>
              <w:spacing w:before="0" w:beforeAutospacing="0" w:after="0" w:afterAutospacing="0" w:line="276" w:lineRule="auto"/>
              <w:ind w:right="9"/>
              <w:jc w:val="both"/>
              <w:rPr>
                <w:rFonts w:ascii="GHEA Grapalat" w:eastAsia="MS Mincho" w:hAnsi="GHEA Grapalat" w:cs="MS Mincho"/>
                <w:sz w:val="20"/>
                <w:szCs w:val="20"/>
                <w:lang w:val="hy-AM"/>
              </w:rPr>
            </w:pPr>
            <w:r w:rsidRPr="00423B76">
              <w:rPr>
                <w:rFonts w:ascii="GHEA Grapalat" w:hAnsi="GHEA Grapalat"/>
                <w:sz w:val="20"/>
                <w:szCs w:val="20"/>
                <w:lang w:val="hy-AM"/>
              </w:rPr>
              <w:t>Տարածաշրջանային և միջազգային հավատարմագրման կազմակերպությունների հետ (EA, ILAC, IAF) հավատարմագրման ազգային մարմնի միջազգային ճանաչմանն ուղղված երկկողմ և բազմակողմ ճանաչման համաձայնագրերի կնքմանը հասնելու համար անհրաժեշտ է</w:t>
            </w:r>
            <w:r w:rsidRPr="00423B76">
              <w:rPr>
                <w:rFonts w:ascii="GHEA Grapalat" w:eastAsia="MS Mincho" w:hAnsi="GHEA Grapalat" w:cs="MS Mincho"/>
                <w:sz w:val="20"/>
                <w:szCs w:val="20"/>
                <w:lang w:val="hy-AM"/>
              </w:rPr>
              <w:t>.</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ՀՀ հավատարմագրման օրենսդրության համապատասխանեցում միջազգային պահանջներին</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ՀԱՄ կարողությունների զարգացում, անձնակազմի շարունակական վերապատրաստում</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Տարածաշրջանային և միջազգային հավատարմագրման կազմակերպությունների կողմից մշակված փաստաթղթերի թարգմանություն, ներդնում, տեղայնացում</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ԻՍՕ/ԻԵԿ 17011-2017 նոր ստանդարտի ներդնում հավատարմագրման ազգային մարմնում</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ՀԱՄ-ի և ՀԳՄ-ների կողմից մատուցվող ծառայությունների որակի բարձրացում, թափանցիկության ապահովում</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Եվրոպական հավատարմագրման համագործակցության կոմիտեների աշխատաժողովներին և գագաթնաժողովներին մասնակցություն:</w:t>
            </w:r>
          </w:p>
          <w:p w:rsidR="0068680D" w:rsidRPr="00423B76" w:rsidRDefault="0068680D" w:rsidP="0068680D">
            <w:pPr>
              <w:pStyle w:val="NormalWeb"/>
              <w:widowControl w:val="0"/>
              <w:numPr>
                <w:ilvl w:val="0"/>
                <w:numId w:val="434"/>
              </w:numPr>
              <w:spacing w:before="0" w:beforeAutospacing="0" w:after="0" w:afterAutospacing="0" w:line="276" w:lineRule="auto"/>
              <w:ind w:right="9"/>
              <w:jc w:val="both"/>
              <w:rPr>
                <w:rFonts w:ascii="GHEA Grapalat" w:hAnsi="GHEA Grapalat" w:cs="Sylfaen"/>
                <w:b/>
                <w:bCs/>
                <w:color w:val="000000"/>
                <w:sz w:val="20"/>
                <w:szCs w:val="20"/>
                <w:lang w:val="hy-AM"/>
              </w:rPr>
            </w:pPr>
            <w:r w:rsidRPr="00423B76">
              <w:rPr>
                <w:rFonts w:ascii="GHEA Grapalat" w:hAnsi="GHEA Grapalat" w:cs="Sylfaen"/>
                <w:b/>
                <w:bCs/>
                <w:color w:val="000000"/>
                <w:sz w:val="20"/>
                <w:szCs w:val="20"/>
                <w:lang w:val="hy-AM"/>
              </w:rPr>
              <w:t>Միջոցառման իրականացումից ակնկալվող արդյունքը</w:t>
            </w:r>
          </w:p>
          <w:p w:rsidR="0068680D" w:rsidRPr="00423B76" w:rsidRDefault="0068680D" w:rsidP="00F47DC4">
            <w:pPr>
              <w:pStyle w:val="NormalWeb"/>
              <w:widowControl w:val="0"/>
              <w:tabs>
                <w:tab w:val="left" w:pos="10170"/>
              </w:tabs>
              <w:spacing w:before="0" w:beforeAutospacing="0" w:after="0" w:afterAutospacing="0" w:line="276" w:lineRule="auto"/>
              <w:ind w:right="9"/>
              <w:jc w:val="both"/>
              <w:rPr>
                <w:rFonts w:ascii="GHEA Grapalat" w:hAnsi="GHEA Grapalat" w:cs="Sylfaen"/>
                <w:sz w:val="20"/>
                <w:szCs w:val="20"/>
                <w:lang w:val="hy-AM"/>
              </w:rPr>
            </w:pPr>
            <w:r w:rsidRPr="00423B76">
              <w:rPr>
                <w:rFonts w:ascii="GHEA Grapalat" w:hAnsi="GHEA Grapalat" w:cs="Sylfaen"/>
                <w:sz w:val="20"/>
                <w:szCs w:val="20"/>
                <w:lang w:val="hy-AM"/>
              </w:rPr>
              <w:t>Միջոցառման իրականացման արդյունքում ակնկալվում է.</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ՀՀ համապատասխանության գնահատման փաստաթղթերի ճանաչելիության ապահովում</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Առանց լրացուցիչ համապատասխանության գնահատման, առանց խոչընդոտների ԵՄ երկրներ արտադրանքի արտահանում</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Արտաքին առևտրի պայմանների դյուրացում, արտահանման ծավալների մեծացում և բիզնեսի զարգացում,</w:t>
            </w:r>
          </w:p>
          <w:p w:rsidR="0068680D"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Համապատասխանության գնահատման աշխատանքների իրականացման համար պահանջվող ժամանակի և ֆինանսական ռեսուրսների կրճատում՝ կրճատելով տեղական արտադրողի, ներմուծողի ծախսերը, ստեղծելով բարենպաստ պայմաններ տեղական արտադրողի համար և բացառելով նույն արտադրանքի վերագնահատման (կրկնակի փորձարկման և սերտիֆիկացման) անհրաժեշտությունը։</w:t>
            </w:r>
          </w:p>
          <w:p w:rsidR="0068680D" w:rsidRPr="00423B76" w:rsidRDefault="0068680D" w:rsidP="00F47DC4">
            <w:pPr>
              <w:pStyle w:val="NormalWeb"/>
              <w:widowControl w:val="0"/>
              <w:tabs>
                <w:tab w:val="left" w:pos="10170"/>
              </w:tabs>
              <w:spacing w:before="0" w:beforeAutospacing="0" w:after="0" w:afterAutospacing="0" w:line="276" w:lineRule="auto"/>
              <w:ind w:left="720" w:right="9"/>
              <w:contextualSpacing/>
              <w:jc w:val="both"/>
              <w:rPr>
                <w:rFonts w:ascii="GHEA Grapalat" w:eastAsia="MS Mincho" w:hAnsi="GHEA Grapalat" w:cs="Courier New"/>
                <w:color w:val="000000" w:themeColor="text1"/>
                <w:sz w:val="20"/>
                <w:szCs w:val="20"/>
                <w:lang w:val="hy-AM"/>
              </w:rPr>
            </w:pPr>
          </w:p>
          <w:p w:rsidR="0068680D" w:rsidRPr="00423B76" w:rsidRDefault="0068680D" w:rsidP="00F47DC4">
            <w:pPr>
              <w:pStyle w:val="Heading2"/>
              <w:keepNext/>
              <w:keepLines/>
              <w:tabs>
                <w:tab w:val="left" w:pos="10170"/>
              </w:tabs>
              <w:spacing w:before="0" w:beforeAutospacing="0" w:after="0" w:afterAutospacing="0" w:line="276" w:lineRule="auto"/>
              <w:ind w:left="60" w:right="9"/>
              <w:jc w:val="left"/>
              <w:outlineLvl w:val="1"/>
              <w:rPr>
                <w:rFonts w:ascii="GHEA Grapalat" w:hAnsi="GHEA Grapalat" w:cs="Sylfaen"/>
                <w:sz w:val="20"/>
                <w:szCs w:val="20"/>
                <w:lang w:val="hy-AM"/>
              </w:rPr>
            </w:pPr>
            <w:r>
              <w:rPr>
                <w:rFonts w:ascii="GHEA Grapalat" w:hAnsi="GHEA Grapalat" w:cs="Sylfaen"/>
                <w:sz w:val="20"/>
                <w:szCs w:val="20"/>
                <w:lang w:val="hy-AM"/>
              </w:rPr>
              <w:t xml:space="preserve">13.5 </w:t>
            </w:r>
            <w:r w:rsidRPr="00423B76">
              <w:rPr>
                <w:rFonts w:ascii="GHEA Grapalat" w:hAnsi="GHEA Grapalat" w:cs="Sylfaen"/>
                <w:sz w:val="20"/>
                <w:szCs w:val="20"/>
                <w:lang w:val="hy-AM"/>
              </w:rPr>
              <w:t>Միջազգային ճանաչում ունեցող տրամաչափարկման լաբորատորիաների ստեղծման ապահովում</w:t>
            </w:r>
          </w:p>
          <w:p w:rsidR="0068680D" w:rsidRPr="00423B76" w:rsidRDefault="0068680D" w:rsidP="00F47DC4">
            <w:pPr>
              <w:pStyle w:val="NormalWeb"/>
              <w:widowControl w:val="0"/>
              <w:tabs>
                <w:tab w:val="left" w:pos="10170"/>
              </w:tabs>
              <w:spacing w:before="0" w:beforeAutospacing="0" w:after="0" w:afterAutospacing="0" w:line="276" w:lineRule="auto"/>
              <w:ind w:left="720" w:right="9"/>
              <w:jc w:val="both"/>
              <w:rPr>
                <w:rFonts w:ascii="GHEA Grapalat" w:hAnsi="GHEA Grapalat"/>
                <w:b/>
                <w:color w:val="000000"/>
                <w:sz w:val="20"/>
                <w:szCs w:val="20"/>
                <w:lang w:val="hy-AM"/>
              </w:rPr>
            </w:pPr>
            <w:r w:rsidRPr="00423B76">
              <w:rPr>
                <w:rFonts w:ascii="GHEA Grapalat" w:hAnsi="GHEA Grapalat"/>
                <w:b/>
                <w:color w:val="000000"/>
                <w:sz w:val="20"/>
                <w:szCs w:val="20"/>
                <w:lang w:val="hy-AM"/>
              </w:rPr>
              <w:t>1</w:t>
            </w:r>
            <w:r w:rsidRPr="00423B76">
              <w:rPr>
                <w:rFonts w:ascii="GHEA Grapalat" w:eastAsia="MS Mincho" w:hAnsi="GHEA Grapalat" w:cs="MS Mincho"/>
                <w:b/>
                <w:color w:val="000000"/>
                <w:sz w:val="20"/>
                <w:szCs w:val="20"/>
                <w:lang w:val="hy-AM"/>
              </w:rPr>
              <w:t xml:space="preserve">. </w:t>
            </w:r>
            <w:r w:rsidRPr="00423B76">
              <w:rPr>
                <w:rFonts w:ascii="GHEA Grapalat" w:hAnsi="GHEA Grapalat"/>
                <w:b/>
                <w:color w:val="000000"/>
                <w:sz w:val="20"/>
                <w:szCs w:val="20"/>
                <w:lang w:val="hy-AM"/>
              </w:rPr>
              <w:t>Միջոցառման իրականացման անհրաժեշտությունը և նպատակը</w:t>
            </w:r>
          </w:p>
          <w:p w:rsidR="0068680D" w:rsidRPr="00423B76" w:rsidRDefault="0068680D" w:rsidP="00F47DC4">
            <w:pPr>
              <w:pStyle w:val="NormalWeb"/>
              <w:widowControl w:val="0"/>
              <w:tabs>
                <w:tab w:val="left" w:pos="10170"/>
              </w:tabs>
              <w:spacing w:before="0" w:beforeAutospacing="0" w:after="0" w:afterAutospacing="0" w:line="276" w:lineRule="auto"/>
              <w:ind w:right="9"/>
              <w:jc w:val="both"/>
              <w:rPr>
                <w:rFonts w:ascii="GHEA Grapalat" w:eastAsia="MS Mincho" w:hAnsi="GHEA Grapalat" w:cs="Courier New"/>
                <w:sz w:val="20"/>
                <w:szCs w:val="20"/>
                <w:lang w:val="hy-AM"/>
              </w:rPr>
            </w:pPr>
            <w:r w:rsidRPr="00423B76">
              <w:rPr>
                <w:rFonts w:ascii="GHEA Grapalat" w:hAnsi="GHEA Grapalat"/>
                <w:color w:val="000000" w:themeColor="text1"/>
                <w:sz w:val="20"/>
                <w:szCs w:val="20"/>
                <w:lang w:val="hy-AM"/>
              </w:rPr>
              <w:t xml:space="preserve">Միջոցառման իրակացման անհրաժեշտությունը պայմանավորված է </w:t>
            </w:r>
            <w:r w:rsidRPr="008B587D">
              <w:rPr>
                <w:rFonts w:ascii="GHEA Grapalat" w:hAnsi="GHEA Grapalat"/>
                <w:sz w:val="20"/>
                <w:lang w:val="af-ZA"/>
              </w:rPr>
              <w:t xml:space="preserve">ՀՀ Ազգային ժողովի 14.02.2019թ. N ԱԺՈ-002-Ն որոշմամբ հավանության արժանացած </w:t>
            </w:r>
            <w:r>
              <w:rPr>
                <w:sz w:val="20"/>
                <w:lang w:val="hy-AM"/>
              </w:rPr>
              <w:t>ՀՀ</w:t>
            </w:r>
            <w:r w:rsidRPr="008B587D">
              <w:rPr>
                <w:rFonts w:ascii="GHEA Grapalat" w:hAnsi="GHEA Grapalat"/>
                <w:sz w:val="20"/>
                <w:lang w:val="af-ZA"/>
              </w:rPr>
              <w:t xml:space="preserve"> կառավարության ծրագրի</w:t>
            </w:r>
            <w:r w:rsidRPr="00423B76">
              <w:rPr>
                <w:rFonts w:ascii="GHEA Grapalat" w:hAnsi="GHEA Grapalat" w:cs="Sylfaen"/>
                <w:color w:val="000000"/>
                <w:sz w:val="20"/>
                <w:szCs w:val="20"/>
                <w:lang w:val="hy-AM"/>
              </w:rPr>
              <w:t xml:space="preserve"> 5.5 բաժնի դրույթներով: </w:t>
            </w:r>
            <w:r w:rsidRPr="00423B76">
              <w:rPr>
                <w:rFonts w:ascii="GHEA Grapalat" w:eastAsia="MS Mincho" w:hAnsi="GHEA Grapalat" w:cs="Courier New"/>
                <w:sz w:val="20"/>
                <w:szCs w:val="20"/>
                <w:lang w:val="hy-AM"/>
              </w:rPr>
              <w:t>Արդյունաբերական չափագիտությունը չափագիտության այն ճյուղն է, որն ապահովում է գրեթե բոլոր ոլորտներում կիրառվող չափման միջոցների ճիշտ աշխատանքը, միջազգային մակարդակով չափումների հետևելիությունը, ինչը նպաստում է այդ ոլորտների, գիտության, տեխնիկայի, տնտեսության զարգացմանը, քաղաքացիների կյանքի որակի բարձրացմանը: Չափումների միասնականության ապահովման բնագավառում լուրջ և հիմնարար դեր է խաղում ժամանակակից պահանջներին համապատասխան սարքավորումներով հագեցված՝ արդյունաբերական չափագիտության կենտրոնի, տրամաչափարկման լաբորատորիաների առկայությունը, որը կապահովի արդյունաբերական ձեռնարկությունների չափագիտական սպասարկման որակի էական աճ, ինչպես նաև  օրենսդրական և գիտական չափագիտության զարգացում: Ներկայումս խիստ կարևոր է և հրատապ ՀՀ-ում հիմնական չափագիտական ուղղություններն ընդգրկող ժամանակակից տրամաչափարկման լաբորատորիաների հիմնումը:</w:t>
            </w:r>
          </w:p>
          <w:p w:rsidR="0068680D" w:rsidRPr="00423B76" w:rsidRDefault="0068680D" w:rsidP="00F47DC4">
            <w:pPr>
              <w:pStyle w:val="NormalWeb"/>
              <w:widowControl w:val="0"/>
              <w:tabs>
                <w:tab w:val="left" w:pos="10170"/>
              </w:tabs>
              <w:spacing w:before="0" w:beforeAutospacing="0" w:after="0" w:afterAutospacing="0" w:line="276" w:lineRule="auto"/>
              <w:ind w:right="9" w:firstLine="375"/>
              <w:jc w:val="both"/>
              <w:rPr>
                <w:rFonts w:ascii="GHEA Grapalat" w:hAnsi="GHEA Grapalat"/>
                <w:b/>
                <w:sz w:val="20"/>
                <w:szCs w:val="20"/>
                <w:lang w:val="hy-AM"/>
              </w:rPr>
            </w:pPr>
            <w:r w:rsidRPr="00423B76">
              <w:rPr>
                <w:rFonts w:ascii="GHEA Grapalat" w:hAnsi="GHEA Grapalat"/>
                <w:b/>
                <w:color w:val="000000"/>
                <w:sz w:val="20"/>
                <w:szCs w:val="20"/>
                <w:lang w:val="hy-AM"/>
              </w:rPr>
              <w:t>1</w:t>
            </w:r>
            <w:r w:rsidRPr="00423B76">
              <w:rPr>
                <w:rFonts w:ascii="GHEA Grapalat" w:eastAsia="MS Mincho" w:hAnsi="GHEA Grapalat" w:cs="MS Mincho"/>
                <w:b/>
                <w:color w:val="000000"/>
                <w:sz w:val="20"/>
                <w:szCs w:val="20"/>
                <w:lang w:val="hy-AM"/>
              </w:rPr>
              <w:t xml:space="preserve">.1. </w:t>
            </w:r>
            <w:r w:rsidRPr="00423B76">
              <w:rPr>
                <w:rFonts w:ascii="GHEA Grapalat" w:hAnsi="GHEA Grapalat"/>
                <w:b/>
                <w:sz w:val="20"/>
                <w:szCs w:val="20"/>
                <w:lang w:val="hy-AM"/>
              </w:rPr>
              <w:t>Կարգավորման հարաբերությունների ներկա վիճակը և առկա խնդիրները</w:t>
            </w:r>
          </w:p>
          <w:p w:rsidR="0068680D" w:rsidRPr="00423B76" w:rsidRDefault="0068680D" w:rsidP="00F47DC4">
            <w:pPr>
              <w:tabs>
                <w:tab w:val="left" w:pos="10170"/>
              </w:tabs>
              <w:spacing w:line="276" w:lineRule="auto"/>
              <w:ind w:right="9"/>
              <w:jc w:val="both"/>
              <w:rPr>
                <w:lang w:val="hy-AM" w:eastAsia="x-none"/>
              </w:rPr>
            </w:pPr>
            <w:r w:rsidRPr="00423B76">
              <w:rPr>
                <w:lang w:val="hy-AM" w:eastAsia="x-none"/>
              </w:rPr>
              <w:t xml:space="preserve">Նշված նպատակի իրականացման համար առկա հիմնական խնդիրներն </w:t>
            </w:r>
            <w:r w:rsidRPr="00423B76">
              <w:rPr>
                <w:rFonts w:cs="Sylfaen"/>
                <w:lang w:val="hy-AM" w:eastAsia="x-none"/>
              </w:rPr>
              <w:t>են</w:t>
            </w:r>
            <w:r w:rsidRPr="00423B76">
              <w:rPr>
                <w:lang w:val="hy-AM" w:eastAsia="x-none"/>
              </w:rPr>
              <w:t>.</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ՉԱԻ վերակազմակերպում, միջազգային չափանիշներին համապատասխան արդյունաբերական կենտրոն ստեղծելու նպատակով, ինչը կապահովի միջազգայնորեն ճանաչված որակի կառավարման համակարգերի /ՈԿՀ/ ներքո գործող չափագիտական ծառայություններ,</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 xml:space="preserve">Արդյունաբերական չափագիտության կենտրոնի շենքի և լաբորատորիաների վերանորոգում, լաբորատորիաների համար անհրաժեշտ սարքավորումների, գուքի ձեռք բերում, </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ՉԱԻ անձնակազմի մասնագիտական կարողությունների ոչ բավարար մակարդակ՝ սարքավորումներով աշխատելու համար ոչ բավարար հմտություններ։</w:t>
            </w:r>
          </w:p>
          <w:p w:rsidR="0068680D" w:rsidRPr="00423B76" w:rsidRDefault="0068680D" w:rsidP="00F47DC4">
            <w:pPr>
              <w:tabs>
                <w:tab w:val="left" w:pos="10170"/>
              </w:tabs>
              <w:spacing w:line="276" w:lineRule="auto"/>
              <w:ind w:left="375" w:right="9"/>
              <w:jc w:val="both"/>
              <w:rPr>
                <w:b/>
                <w:lang w:val="hy-AM"/>
              </w:rPr>
            </w:pPr>
            <w:r w:rsidRPr="00423B76">
              <w:rPr>
                <w:b/>
                <w:lang w:val="hy-AM"/>
              </w:rPr>
              <w:t>1</w:t>
            </w:r>
            <w:r w:rsidRPr="00423B76">
              <w:rPr>
                <w:rFonts w:eastAsia="MS Mincho" w:cs="MS Mincho"/>
                <w:b/>
                <w:lang w:val="hy-AM"/>
              </w:rPr>
              <w:t xml:space="preserve">.2. </w:t>
            </w:r>
            <w:r w:rsidRPr="00423B76">
              <w:rPr>
                <w:b/>
                <w:lang w:val="hy-AM"/>
              </w:rPr>
              <w:t>Առկա խնդիրների առաջարկվող լուծումները</w:t>
            </w:r>
          </w:p>
          <w:p w:rsidR="0068680D" w:rsidRPr="00423B76" w:rsidRDefault="0068680D" w:rsidP="00F47DC4">
            <w:pPr>
              <w:tabs>
                <w:tab w:val="left" w:pos="10170"/>
              </w:tabs>
              <w:spacing w:line="276" w:lineRule="auto"/>
              <w:ind w:right="9"/>
              <w:jc w:val="both"/>
              <w:rPr>
                <w:rFonts w:eastAsia="Calibri"/>
                <w:lang w:val="hy-AM"/>
              </w:rPr>
            </w:pPr>
            <w:r w:rsidRPr="00423B76">
              <w:rPr>
                <w:rFonts w:eastAsia="Calibri" w:cs="Arial"/>
                <w:lang w:val="hy-AM"/>
              </w:rPr>
              <w:t>Ելնելով</w:t>
            </w:r>
            <w:r w:rsidRPr="00423B76">
              <w:rPr>
                <w:rFonts w:eastAsia="Calibri"/>
                <w:lang w:val="hy-AM"/>
              </w:rPr>
              <w:t xml:space="preserve"> </w:t>
            </w:r>
            <w:r w:rsidRPr="00423B76">
              <w:rPr>
                <w:rFonts w:eastAsia="Calibri" w:cs="Arial"/>
                <w:lang w:val="hy-AM"/>
              </w:rPr>
              <w:t>ՀՀ</w:t>
            </w:r>
            <w:r w:rsidRPr="00423B76">
              <w:rPr>
                <w:rFonts w:eastAsia="Calibri"/>
                <w:lang w:val="hy-AM"/>
              </w:rPr>
              <w:t>-</w:t>
            </w:r>
            <w:r w:rsidRPr="00423B76">
              <w:rPr>
                <w:rFonts w:eastAsia="Calibri" w:cs="Arial"/>
                <w:lang w:val="hy-AM"/>
              </w:rPr>
              <w:t>ում</w:t>
            </w:r>
            <w:r w:rsidRPr="00423B76">
              <w:rPr>
                <w:rFonts w:eastAsia="Calibri"/>
                <w:lang w:val="hy-AM"/>
              </w:rPr>
              <w:t xml:space="preserve"> </w:t>
            </w:r>
            <w:r w:rsidRPr="00423B76">
              <w:rPr>
                <w:rFonts w:eastAsia="Calibri" w:cs="Arial"/>
                <w:lang w:val="hy-AM"/>
              </w:rPr>
              <w:t>տրամաչափարկման</w:t>
            </w:r>
            <w:r w:rsidRPr="00423B76">
              <w:rPr>
                <w:rFonts w:eastAsia="Calibri"/>
                <w:lang w:val="hy-AM"/>
              </w:rPr>
              <w:t xml:space="preserve"> </w:t>
            </w:r>
            <w:r w:rsidRPr="00423B76">
              <w:rPr>
                <w:rFonts w:eastAsia="Calibri" w:cs="Arial"/>
                <w:lang w:val="hy-AM"/>
              </w:rPr>
              <w:t>ենթակա</w:t>
            </w:r>
            <w:r w:rsidRPr="00423B76">
              <w:rPr>
                <w:rFonts w:eastAsia="Calibri"/>
                <w:lang w:val="hy-AM"/>
              </w:rPr>
              <w:t xml:space="preserve"> </w:t>
            </w:r>
            <w:r w:rsidRPr="00423B76">
              <w:rPr>
                <w:rFonts w:eastAsia="Calibri" w:cs="Arial"/>
                <w:lang w:val="hy-AM"/>
              </w:rPr>
              <w:t>սարքավորումների</w:t>
            </w:r>
            <w:r w:rsidRPr="00423B76">
              <w:rPr>
                <w:rFonts w:eastAsia="Calibri"/>
                <w:lang w:val="hy-AM"/>
              </w:rPr>
              <w:t xml:space="preserve"> </w:t>
            </w:r>
            <w:r w:rsidRPr="00423B76">
              <w:rPr>
                <w:rFonts w:eastAsia="Calibri" w:cs="Arial"/>
                <w:lang w:val="hy-AM"/>
              </w:rPr>
              <w:t>պահանջարկի</w:t>
            </w:r>
            <w:r w:rsidRPr="00423B76">
              <w:rPr>
                <w:rFonts w:eastAsia="Calibri"/>
                <w:lang w:val="hy-AM"/>
              </w:rPr>
              <w:t xml:space="preserve"> </w:t>
            </w:r>
            <w:r w:rsidRPr="00423B76">
              <w:rPr>
                <w:rFonts w:eastAsia="Calibri" w:cs="Arial"/>
                <w:lang w:val="hy-AM"/>
              </w:rPr>
              <w:t>վերաբերյալ</w:t>
            </w:r>
            <w:r w:rsidRPr="00423B76">
              <w:rPr>
                <w:rFonts w:eastAsia="Calibri"/>
                <w:lang w:val="hy-AM"/>
              </w:rPr>
              <w:t xml:space="preserve"> </w:t>
            </w:r>
            <w:r w:rsidRPr="00423B76">
              <w:rPr>
                <w:rFonts w:eastAsia="Calibri" w:cs="Arial"/>
                <w:lang w:val="hy-AM"/>
              </w:rPr>
              <w:t>կատարված</w:t>
            </w:r>
            <w:r w:rsidRPr="00423B76">
              <w:rPr>
                <w:rFonts w:eastAsia="Calibri"/>
                <w:lang w:val="hy-AM"/>
              </w:rPr>
              <w:t xml:space="preserve"> </w:t>
            </w:r>
            <w:r w:rsidRPr="00423B76">
              <w:rPr>
                <w:rFonts w:eastAsia="Calibri" w:cs="Arial"/>
                <w:lang w:val="hy-AM"/>
              </w:rPr>
              <w:t>ուսումնասիրություններից</w:t>
            </w:r>
            <w:r w:rsidRPr="00423B76">
              <w:rPr>
                <w:rFonts w:eastAsia="Calibri"/>
                <w:lang w:val="hy-AM"/>
              </w:rPr>
              <w:t xml:space="preserve">, </w:t>
            </w:r>
            <w:r w:rsidRPr="00423B76">
              <w:rPr>
                <w:rFonts w:eastAsia="Calibri" w:cs="Arial"/>
                <w:lang w:val="hy-AM"/>
              </w:rPr>
              <w:t>գործող</w:t>
            </w:r>
            <w:r w:rsidRPr="00423B76">
              <w:rPr>
                <w:rFonts w:eastAsia="Calibri"/>
                <w:lang w:val="hy-AM"/>
              </w:rPr>
              <w:t xml:space="preserve">, </w:t>
            </w:r>
            <w:r w:rsidRPr="00423B76">
              <w:rPr>
                <w:rFonts w:eastAsia="Calibri" w:cs="Arial"/>
                <w:lang w:val="hy-AM"/>
              </w:rPr>
              <w:t>հավատարմագրված</w:t>
            </w:r>
            <w:r w:rsidRPr="00423B76">
              <w:rPr>
                <w:rFonts w:eastAsia="Calibri"/>
                <w:lang w:val="hy-AM"/>
              </w:rPr>
              <w:t xml:space="preserve">, </w:t>
            </w:r>
            <w:r w:rsidRPr="00423B76">
              <w:rPr>
                <w:rFonts w:eastAsia="Calibri" w:cs="Arial"/>
                <w:lang w:val="hy-AM"/>
              </w:rPr>
              <w:t>փորձարկման</w:t>
            </w:r>
            <w:r w:rsidRPr="00423B76">
              <w:rPr>
                <w:rFonts w:eastAsia="Calibri"/>
                <w:lang w:val="hy-AM"/>
              </w:rPr>
              <w:t xml:space="preserve"> </w:t>
            </w:r>
            <w:r w:rsidRPr="00423B76">
              <w:rPr>
                <w:rFonts w:eastAsia="Calibri" w:cs="Arial"/>
                <w:lang w:val="hy-AM"/>
              </w:rPr>
              <w:t>լաբորատորիաներում</w:t>
            </w:r>
            <w:r w:rsidRPr="00423B76">
              <w:rPr>
                <w:rFonts w:eastAsia="Calibri"/>
                <w:lang w:val="hy-AM"/>
              </w:rPr>
              <w:t xml:space="preserve"> </w:t>
            </w:r>
            <w:r w:rsidRPr="00423B76">
              <w:rPr>
                <w:rFonts w:eastAsia="Calibri" w:cs="Arial"/>
                <w:lang w:val="hy-AM"/>
              </w:rPr>
              <w:t>կիրառվող</w:t>
            </w:r>
            <w:r w:rsidRPr="00423B76">
              <w:rPr>
                <w:rFonts w:eastAsia="Calibri"/>
                <w:lang w:val="hy-AM"/>
              </w:rPr>
              <w:t xml:space="preserve"> </w:t>
            </w:r>
            <w:r w:rsidRPr="00423B76">
              <w:rPr>
                <w:rFonts w:eastAsia="Calibri" w:cs="Arial"/>
                <w:lang w:val="hy-AM"/>
              </w:rPr>
              <w:t>սարքավորումների</w:t>
            </w:r>
            <w:r w:rsidRPr="00423B76">
              <w:rPr>
                <w:rFonts w:eastAsia="Calibri"/>
                <w:lang w:val="hy-AM"/>
              </w:rPr>
              <w:t xml:space="preserve"> </w:t>
            </w:r>
            <w:r w:rsidRPr="00423B76">
              <w:rPr>
                <w:rFonts w:eastAsia="Calibri" w:cs="Arial"/>
                <w:lang w:val="hy-AM"/>
              </w:rPr>
              <w:t>տեսականու</w:t>
            </w:r>
            <w:r w:rsidRPr="00423B76">
              <w:rPr>
                <w:rFonts w:eastAsia="Calibri"/>
                <w:lang w:val="hy-AM"/>
              </w:rPr>
              <w:t xml:space="preserve"> </w:t>
            </w:r>
            <w:r w:rsidRPr="00423B76">
              <w:rPr>
                <w:rFonts w:eastAsia="Calibri" w:cs="Arial"/>
                <w:lang w:val="hy-AM"/>
              </w:rPr>
              <w:t>վերլուծությունից</w:t>
            </w:r>
            <w:r w:rsidRPr="00423B76">
              <w:rPr>
                <w:rFonts w:eastAsia="Calibri"/>
                <w:lang w:val="hy-AM"/>
              </w:rPr>
              <w:t xml:space="preserve">, </w:t>
            </w:r>
            <w:r w:rsidRPr="00423B76">
              <w:rPr>
                <w:rFonts w:eastAsia="Calibri" w:cs="Arial"/>
                <w:lang w:val="hy-AM"/>
              </w:rPr>
              <w:t>ՉԱԻ</w:t>
            </w:r>
            <w:r w:rsidRPr="00423B76">
              <w:rPr>
                <w:rFonts w:eastAsia="Calibri"/>
                <w:lang w:val="hy-AM"/>
              </w:rPr>
              <w:t xml:space="preserve"> </w:t>
            </w:r>
            <w:r w:rsidRPr="00423B76">
              <w:rPr>
                <w:rFonts w:eastAsia="Calibri" w:cs="Arial"/>
                <w:lang w:val="hy-AM"/>
              </w:rPr>
              <w:t>ՓԲԸ</w:t>
            </w:r>
            <w:r w:rsidRPr="00423B76">
              <w:rPr>
                <w:rFonts w:eastAsia="Calibri"/>
                <w:lang w:val="hy-AM"/>
              </w:rPr>
              <w:t>-</w:t>
            </w:r>
            <w:r w:rsidRPr="00423B76">
              <w:rPr>
                <w:rFonts w:eastAsia="Calibri" w:cs="Arial"/>
                <w:lang w:val="hy-AM"/>
              </w:rPr>
              <w:t>ում</w:t>
            </w:r>
            <w:r w:rsidRPr="00423B76">
              <w:rPr>
                <w:rFonts w:eastAsia="Calibri"/>
                <w:lang w:val="hy-AM"/>
              </w:rPr>
              <w:t xml:space="preserve"> </w:t>
            </w:r>
            <w:r w:rsidRPr="00423B76">
              <w:rPr>
                <w:rFonts w:eastAsia="Calibri" w:cs="Arial"/>
                <w:lang w:val="hy-AM"/>
              </w:rPr>
              <w:t>առկա</w:t>
            </w:r>
            <w:r w:rsidRPr="00423B76">
              <w:rPr>
                <w:rFonts w:eastAsia="Calibri"/>
                <w:lang w:val="hy-AM"/>
              </w:rPr>
              <w:t xml:space="preserve"> </w:t>
            </w:r>
            <w:r w:rsidRPr="00423B76">
              <w:rPr>
                <w:rFonts w:eastAsia="Calibri" w:cs="Arial"/>
                <w:lang w:val="hy-AM"/>
              </w:rPr>
              <w:t>օրենսդրական</w:t>
            </w:r>
            <w:r w:rsidRPr="00423B76">
              <w:rPr>
                <w:rFonts w:eastAsia="Calibri"/>
                <w:lang w:val="hy-AM"/>
              </w:rPr>
              <w:t xml:space="preserve"> </w:t>
            </w:r>
            <w:r w:rsidRPr="00423B76">
              <w:rPr>
                <w:rFonts w:eastAsia="Calibri" w:cs="Arial"/>
                <w:lang w:val="hy-AM"/>
              </w:rPr>
              <w:t>չափագիտության</w:t>
            </w:r>
            <w:r w:rsidRPr="00423B76">
              <w:rPr>
                <w:rFonts w:eastAsia="Calibri"/>
                <w:lang w:val="hy-AM"/>
              </w:rPr>
              <w:t xml:space="preserve"> </w:t>
            </w:r>
            <w:r w:rsidRPr="00423B76">
              <w:rPr>
                <w:rFonts w:eastAsia="Calibri" w:cs="Arial"/>
                <w:lang w:val="hy-AM"/>
              </w:rPr>
              <w:t>ոլորտում</w:t>
            </w:r>
            <w:r w:rsidRPr="00423B76">
              <w:rPr>
                <w:rFonts w:eastAsia="Calibri"/>
                <w:lang w:val="hy-AM"/>
              </w:rPr>
              <w:t xml:space="preserve"> </w:t>
            </w:r>
            <w:r w:rsidRPr="00423B76">
              <w:rPr>
                <w:rFonts w:eastAsia="Calibri" w:cs="Arial"/>
                <w:lang w:val="hy-AM"/>
              </w:rPr>
              <w:t>կիրառվող</w:t>
            </w:r>
            <w:r w:rsidRPr="00423B76">
              <w:rPr>
                <w:rFonts w:eastAsia="Calibri"/>
                <w:lang w:val="hy-AM"/>
              </w:rPr>
              <w:t xml:space="preserve"> </w:t>
            </w:r>
            <w:r w:rsidRPr="00423B76">
              <w:rPr>
                <w:rFonts w:eastAsia="Calibri" w:cs="Arial"/>
                <w:lang w:val="hy-AM"/>
              </w:rPr>
              <w:t>սարքավորումների</w:t>
            </w:r>
            <w:r w:rsidRPr="00423B76">
              <w:rPr>
                <w:rFonts w:eastAsia="Calibri"/>
                <w:lang w:val="hy-AM"/>
              </w:rPr>
              <w:t xml:space="preserve"> </w:t>
            </w:r>
            <w:r w:rsidRPr="00423B76">
              <w:rPr>
                <w:rFonts w:eastAsia="Calibri" w:cs="Arial"/>
                <w:lang w:val="hy-AM"/>
              </w:rPr>
              <w:t>ներքին</w:t>
            </w:r>
            <w:r w:rsidRPr="00423B76">
              <w:rPr>
                <w:rFonts w:eastAsia="Calibri"/>
                <w:lang w:val="hy-AM"/>
              </w:rPr>
              <w:t xml:space="preserve"> </w:t>
            </w:r>
            <w:r w:rsidRPr="00423B76">
              <w:rPr>
                <w:rFonts w:eastAsia="Calibri" w:cs="Arial"/>
                <w:lang w:val="hy-AM"/>
              </w:rPr>
              <w:t>տրամաչափարկման</w:t>
            </w:r>
            <w:r w:rsidRPr="00423B76">
              <w:rPr>
                <w:rFonts w:eastAsia="Calibri"/>
                <w:lang w:val="hy-AM"/>
              </w:rPr>
              <w:t xml:space="preserve"> </w:t>
            </w:r>
            <w:r w:rsidRPr="00423B76">
              <w:rPr>
                <w:rFonts w:eastAsia="Calibri" w:cs="Arial"/>
                <w:lang w:val="hy-AM"/>
              </w:rPr>
              <w:t>պահանջարկից</w:t>
            </w:r>
            <w:r w:rsidRPr="00423B76">
              <w:rPr>
                <w:rFonts w:eastAsia="Calibri"/>
                <w:lang w:val="hy-AM"/>
              </w:rPr>
              <w:t xml:space="preserve">, գերակա է </w:t>
            </w:r>
            <w:r w:rsidRPr="00423B76">
              <w:rPr>
                <w:rFonts w:eastAsia="Calibri" w:cs="Arial"/>
                <w:lang w:val="hy-AM"/>
              </w:rPr>
              <w:t>ՉԱԻ</w:t>
            </w:r>
            <w:r w:rsidRPr="00423B76">
              <w:rPr>
                <w:rFonts w:eastAsia="Calibri"/>
                <w:lang w:val="hy-AM"/>
              </w:rPr>
              <w:t xml:space="preserve"> </w:t>
            </w:r>
            <w:r w:rsidRPr="00423B76">
              <w:rPr>
                <w:rFonts w:eastAsia="Calibri" w:cs="Arial"/>
                <w:lang w:val="hy-AM"/>
              </w:rPr>
              <w:t>ՓԲԸ</w:t>
            </w:r>
            <w:r w:rsidRPr="00423B76">
              <w:rPr>
                <w:rFonts w:eastAsia="Calibri"/>
                <w:lang w:val="hy-AM"/>
              </w:rPr>
              <w:t>-</w:t>
            </w:r>
            <w:r w:rsidRPr="00423B76">
              <w:rPr>
                <w:rFonts w:eastAsia="Calibri" w:cs="Arial"/>
                <w:lang w:val="hy-AM"/>
              </w:rPr>
              <w:t>ում</w:t>
            </w:r>
            <w:r w:rsidRPr="00423B76">
              <w:rPr>
                <w:rFonts w:eastAsia="Calibri"/>
                <w:lang w:val="hy-AM"/>
              </w:rPr>
              <w:t xml:space="preserve"> </w:t>
            </w:r>
            <w:r w:rsidRPr="00423B76">
              <w:rPr>
                <w:rFonts w:eastAsia="Calibri" w:cs="Arial"/>
                <w:lang w:val="hy-AM"/>
              </w:rPr>
              <w:t>արդյունաբերական</w:t>
            </w:r>
            <w:r w:rsidRPr="00423B76">
              <w:rPr>
                <w:rFonts w:eastAsia="Calibri"/>
                <w:lang w:val="hy-AM"/>
              </w:rPr>
              <w:t xml:space="preserve"> 3 հետևյալ </w:t>
            </w:r>
            <w:r w:rsidRPr="00423B76">
              <w:rPr>
                <w:rFonts w:eastAsia="Calibri" w:cs="Arial"/>
                <w:lang w:val="hy-AM"/>
              </w:rPr>
              <w:t xml:space="preserve">չափագիտական </w:t>
            </w:r>
            <w:r w:rsidRPr="00423B76">
              <w:rPr>
                <w:rFonts w:eastAsia="Calibri"/>
                <w:lang w:val="hy-AM"/>
              </w:rPr>
              <w:t xml:space="preserve"> </w:t>
            </w:r>
            <w:r w:rsidRPr="00423B76">
              <w:rPr>
                <w:rFonts w:eastAsia="Calibri" w:cs="Arial"/>
                <w:lang w:val="hy-AM"/>
              </w:rPr>
              <w:t>լաբորատորիաների հիմնումը</w:t>
            </w:r>
            <w:r w:rsidRPr="00423B76">
              <w:rPr>
                <w:rFonts w:eastAsia="Calibri"/>
                <w:lang w:val="hy-AM"/>
              </w:rPr>
              <w:t>`</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Զանգվածի և հարակից մեծությունների չափումների լաբորատորիա,</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Ջերմային չափումների լաբորատորիա:</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Ուժի և հարակից մեծությունների չափումների լաբորատորիա։</w:t>
            </w:r>
          </w:p>
          <w:p w:rsidR="0068680D" w:rsidRPr="00423B76" w:rsidRDefault="0068680D" w:rsidP="00F47DC4">
            <w:pPr>
              <w:tabs>
                <w:tab w:val="left" w:pos="10170"/>
              </w:tabs>
              <w:spacing w:line="276" w:lineRule="auto"/>
              <w:ind w:right="9"/>
              <w:jc w:val="both"/>
              <w:rPr>
                <w:lang w:val="hy-AM" w:eastAsia="x-none"/>
              </w:rPr>
            </w:pPr>
            <w:r w:rsidRPr="00423B76">
              <w:rPr>
                <w:rFonts w:eastAsia="Calibri" w:cs="Arial"/>
                <w:lang w:val="hy-AM"/>
              </w:rPr>
              <w:t>Նշված</w:t>
            </w:r>
            <w:r w:rsidRPr="00423B76">
              <w:rPr>
                <w:rFonts w:eastAsia="Calibri"/>
                <w:lang w:val="hy-AM"/>
              </w:rPr>
              <w:t xml:space="preserve"> </w:t>
            </w:r>
            <w:r w:rsidRPr="00423B76">
              <w:rPr>
                <w:rFonts w:eastAsia="Calibri" w:cs="Arial"/>
                <w:lang w:val="hy-AM"/>
              </w:rPr>
              <w:t>երեք</w:t>
            </w:r>
            <w:r w:rsidRPr="00423B76">
              <w:rPr>
                <w:rFonts w:eastAsia="Calibri"/>
                <w:lang w:val="hy-AM"/>
              </w:rPr>
              <w:t xml:space="preserve"> </w:t>
            </w:r>
            <w:r w:rsidRPr="00423B76">
              <w:rPr>
                <w:rFonts w:eastAsia="Calibri" w:cs="Arial"/>
                <w:lang w:val="hy-AM"/>
              </w:rPr>
              <w:t>տրամաչափարկման</w:t>
            </w:r>
            <w:r w:rsidRPr="00423B76">
              <w:rPr>
                <w:rFonts w:eastAsia="Calibri"/>
                <w:lang w:val="hy-AM"/>
              </w:rPr>
              <w:t xml:space="preserve"> </w:t>
            </w:r>
            <w:r w:rsidRPr="00423B76">
              <w:rPr>
                <w:rFonts w:eastAsia="Calibri" w:cs="Arial"/>
                <w:lang w:val="hy-AM"/>
              </w:rPr>
              <w:t>լաբորատորիաների առկայությունը</w:t>
            </w:r>
            <w:r w:rsidRPr="00423B76">
              <w:rPr>
                <w:rFonts w:eastAsia="Calibri"/>
                <w:lang w:val="hy-AM"/>
              </w:rPr>
              <w:t xml:space="preserve"> </w:t>
            </w:r>
            <w:r w:rsidRPr="00423B76">
              <w:rPr>
                <w:rFonts w:eastAsia="Calibri" w:cs="Arial"/>
                <w:lang w:val="hy-AM"/>
              </w:rPr>
              <w:t>կստեղծեն</w:t>
            </w:r>
            <w:r w:rsidRPr="00423B76">
              <w:rPr>
                <w:rFonts w:eastAsia="Calibri"/>
                <w:lang w:val="hy-AM"/>
              </w:rPr>
              <w:t xml:space="preserve"> </w:t>
            </w:r>
            <w:r w:rsidRPr="00423B76">
              <w:rPr>
                <w:rFonts w:eastAsia="Calibri" w:cs="Arial"/>
                <w:lang w:val="hy-AM"/>
              </w:rPr>
              <w:t>նախադրյալներ</w:t>
            </w:r>
            <w:r w:rsidRPr="00423B76">
              <w:rPr>
                <w:rFonts w:eastAsia="Calibri"/>
                <w:lang w:val="hy-AM"/>
              </w:rPr>
              <w:t xml:space="preserve"> </w:t>
            </w:r>
            <w:r w:rsidRPr="00423B76">
              <w:rPr>
                <w:rFonts w:eastAsia="Calibri" w:cs="Arial"/>
                <w:lang w:val="hy-AM"/>
              </w:rPr>
              <w:t>գիտական</w:t>
            </w:r>
            <w:r w:rsidRPr="00423B76">
              <w:rPr>
                <w:rFonts w:eastAsia="Calibri"/>
                <w:lang w:val="hy-AM"/>
              </w:rPr>
              <w:t xml:space="preserve"> </w:t>
            </w:r>
            <w:r w:rsidRPr="00423B76">
              <w:rPr>
                <w:rFonts w:eastAsia="Calibri" w:cs="Arial"/>
                <w:lang w:val="hy-AM"/>
              </w:rPr>
              <w:t>չափագիտության</w:t>
            </w:r>
            <w:r w:rsidRPr="00423B76">
              <w:rPr>
                <w:rFonts w:eastAsia="Calibri"/>
                <w:lang w:val="hy-AM"/>
              </w:rPr>
              <w:t xml:space="preserve"> </w:t>
            </w:r>
            <w:r w:rsidRPr="00423B76">
              <w:rPr>
                <w:rFonts w:eastAsia="Calibri" w:cs="Arial"/>
                <w:lang w:val="hy-AM"/>
              </w:rPr>
              <w:t xml:space="preserve">զարգացման, </w:t>
            </w:r>
            <w:r w:rsidRPr="00423B76">
              <w:rPr>
                <w:lang w:val="hy-AM" w:eastAsia="x-none"/>
              </w:rPr>
              <w:t>չափագիտական բարձր որակի ծառայությունների մատուցման և տրամաչափարկման առկա ներքին կարիքների բավարարման համար։</w:t>
            </w:r>
          </w:p>
          <w:p w:rsidR="0068680D" w:rsidRPr="00423B76" w:rsidRDefault="0068680D" w:rsidP="00F47DC4">
            <w:pPr>
              <w:pStyle w:val="NormalWeb"/>
              <w:widowControl w:val="0"/>
              <w:tabs>
                <w:tab w:val="left" w:pos="10170"/>
              </w:tabs>
              <w:spacing w:before="0" w:beforeAutospacing="0" w:after="0" w:afterAutospacing="0" w:line="276" w:lineRule="auto"/>
              <w:ind w:right="9" w:firstLine="375"/>
              <w:jc w:val="both"/>
              <w:rPr>
                <w:rFonts w:ascii="GHEA Grapalat" w:hAnsi="GHEA Grapalat" w:cs="Sylfaen"/>
                <w:b/>
                <w:sz w:val="20"/>
                <w:szCs w:val="20"/>
                <w:lang w:val="hy-AM"/>
              </w:rPr>
            </w:pPr>
            <w:r w:rsidRPr="00423B76">
              <w:rPr>
                <w:rFonts w:ascii="GHEA Grapalat" w:hAnsi="GHEA Grapalat" w:cs="Sylfaen"/>
                <w:b/>
                <w:sz w:val="20"/>
                <w:szCs w:val="20"/>
                <w:lang w:val="hy-AM"/>
              </w:rPr>
              <w:t>2</w:t>
            </w:r>
            <w:r w:rsidRPr="00423B76">
              <w:rPr>
                <w:rFonts w:ascii="GHEA Grapalat" w:eastAsia="MS Mincho" w:hAnsi="GHEA Grapalat" w:cs="MS Mincho"/>
                <w:b/>
                <w:sz w:val="20"/>
                <w:szCs w:val="20"/>
                <w:lang w:val="hy-AM"/>
              </w:rPr>
              <w:t xml:space="preserve">. </w:t>
            </w:r>
            <w:r w:rsidRPr="00423B76">
              <w:rPr>
                <w:rFonts w:ascii="GHEA Grapalat" w:hAnsi="GHEA Grapalat" w:cs="Sylfaen"/>
                <w:b/>
                <w:sz w:val="20"/>
                <w:szCs w:val="20"/>
                <w:lang w:val="hy-AM"/>
              </w:rPr>
              <w:t>Միջոցառման իրականացումից ակնկալվող արդյունքը</w:t>
            </w:r>
          </w:p>
          <w:p w:rsidR="0068680D" w:rsidRPr="00423B76" w:rsidRDefault="0068680D" w:rsidP="00F47DC4">
            <w:pPr>
              <w:tabs>
                <w:tab w:val="left" w:pos="10170"/>
              </w:tabs>
              <w:spacing w:line="276" w:lineRule="auto"/>
              <w:ind w:right="9"/>
              <w:jc w:val="both"/>
              <w:rPr>
                <w:color w:val="222222"/>
                <w:lang w:val="hy-AM"/>
              </w:rPr>
            </w:pPr>
            <w:r w:rsidRPr="00423B76">
              <w:rPr>
                <w:rFonts w:eastAsia="Calibri" w:cs="Sylfaen"/>
                <w:lang w:val="hy-AM"/>
              </w:rPr>
              <w:t>Տրամաչափարկման լաբորատորիաների կողմից</w:t>
            </w:r>
            <w:r w:rsidRPr="00423B76">
              <w:rPr>
                <w:rFonts w:eastAsia="Calibri"/>
                <w:lang w:val="hy-AM"/>
              </w:rPr>
              <w:t xml:space="preserve"> </w:t>
            </w:r>
            <w:r w:rsidRPr="00423B76">
              <w:rPr>
                <w:rFonts w:eastAsia="Calibri" w:cs="Sylfaen"/>
                <w:lang w:val="hy-AM"/>
              </w:rPr>
              <w:t xml:space="preserve">կիրականացվեն տրամաչափարկման աշխատանքներ՝ </w:t>
            </w:r>
            <w:r w:rsidRPr="00423B76">
              <w:rPr>
                <w:rFonts w:eastAsia="Calibri" w:cs="Arial"/>
                <w:lang w:val="hy-AM"/>
              </w:rPr>
              <w:t>ստեղծելով</w:t>
            </w:r>
            <w:r w:rsidRPr="00423B76">
              <w:rPr>
                <w:rFonts w:eastAsia="Calibri"/>
                <w:lang w:val="hy-AM"/>
              </w:rPr>
              <w:t xml:space="preserve"> </w:t>
            </w:r>
            <w:r w:rsidRPr="00423B76">
              <w:rPr>
                <w:rFonts w:eastAsia="Calibri" w:cs="Arial"/>
                <w:lang w:val="hy-AM"/>
              </w:rPr>
              <w:t>նախադրյալներ</w:t>
            </w:r>
            <w:r w:rsidRPr="00423B76">
              <w:rPr>
                <w:rFonts w:eastAsia="Calibri"/>
                <w:lang w:val="hy-AM"/>
              </w:rPr>
              <w:t xml:space="preserve"> </w:t>
            </w:r>
            <w:r w:rsidRPr="00423B76">
              <w:rPr>
                <w:rFonts w:eastAsia="Calibri" w:cs="Arial"/>
                <w:lang w:val="hy-AM"/>
              </w:rPr>
              <w:t>գիտական</w:t>
            </w:r>
            <w:r w:rsidRPr="00423B76">
              <w:rPr>
                <w:rFonts w:eastAsia="Calibri"/>
                <w:lang w:val="hy-AM"/>
              </w:rPr>
              <w:t xml:space="preserve"> </w:t>
            </w:r>
            <w:r w:rsidRPr="00423B76">
              <w:rPr>
                <w:rFonts w:eastAsia="Calibri" w:cs="Arial"/>
                <w:lang w:val="hy-AM"/>
              </w:rPr>
              <w:t>չափագիտության</w:t>
            </w:r>
            <w:r w:rsidRPr="00423B76">
              <w:rPr>
                <w:rFonts w:eastAsia="Calibri"/>
                <w:lang w:val="hy-AM"/>
              </w:rPr>
              <w:t xml:space="preserve"> </w:t>
            </w:r>
            <w:r w:rsidRPr="00423B76">
              <w:rPr>
                <w:rFonts w:eastAsia="Calibri" w:cs="Arial"/>
                <w:lang w:val="hy-AM"/>
              </w:rPr>
              <w:t>զարգացման, իրականացվող փորձարկումների հավաստիության, չափումների ճշտության</w:t>
            </w:r>
            <w:r w:rsidRPr="00423B76">
              <w:rPr>
                <w:rFonts w:eastAsia="Calibri"/>
                <w:lang w:val="hy-AM"/>
              </w:rPr>
              <w:t xml:space="preserve"> </w:t>
            </w:r>
            <w:r w:rsidRPr="00423B76">
              <w:rPr>
                <w:rFonts w:eastAsia="Calibri" w:cs="Arial"/>
                <w:lang w:val="hy-AM"/>
              </w:rPr>
              <w:t>համար</w:t>
            </w:r>
            <w:r w:rsidRPr="00423B76">
              <w:rPr>
                <w:rFonts w:eastAsia="Calibri"/>
                <w:lang w:val="hy-AM"/>
              </w:rPr>
              <w:t xml:space="preserve">: Կստեղծվեն </w:t>
            </w:r>
            <w:r w:rsidRPr="00423B76">
              <w:rPr>
                <w:rFonts w:eastAsia="Calibri" w:cs="Sylfaen"/>
                <w:lang w:val="hy-AM"/>
              </w:rPr>
              <w:t>զանգվածի</w:t>
            </w:r>
            <w:r w:rsidRPr="00423B76">
              <w:rPr>
                <w:rFonts w:eastAsia="Calibri"/>
                <w:lang w:val="hy-AM"/>
              </w:rPr>
              <w:t xml:space="preserve"> </w:t>
            </w:r>
            <w:r w:rsidRPr="00423B76">
              <w:rPr>
                <w:rFonts w:eastAsia="Calibri" w:cs="Sylfaen"/>
                <w:lang w:val="hy-AM"/>
              </w:rPr>
              <w:t>և</w:t>
            </w:r>
            <w:r w:rsidRPr="00423B76">
              <w:rPr>
                <w:rFonts w:eastAsia="Calibri"/>
                <w:lang w:val="hy-AM"/>
              </w:rPr>
              <w:t xml:space="preserve"> </w:t>
            </w:r>
            <w:r w:rsidRPr="00423B76">
              <w:rPr>
                <w:rFonts w:eastAsia="Calibri" w:cs="Sylfaen"/>
                <w:lang w:val="hy-AM"/>
              </w:rPr>
              <w:t>հարակից</w:t>
            </w:r>
            <w:r w:rsidRPr="00423B76">
              <w:rPr>
                <w:rFonts w:eastAsia="Calibri"/>
                <w:lang w:val="hy-AM"/>
              </w:rPr>
              <w:t xml:space="preserve"> </w:t>
            </w:r>
            <w:r w:rsidRPr="00423B76">
              <w:rPr>
                <w:rFonts w:eastAsia="Calibri" w:cs="Sylfaen"/>
                <w:lang w:val="hy-AM"/>
              </w:rPr>
              <w:t>մեծությունների,</w:t>
            </w:r>
            <w:r w:rsidRPr="00423B76">
              <w:rPr>
                <w:rFonts w:eastAsia="Calibri"/>
                <w:lang w:val="hy-AM"/>
              </w:rPr>
              <w:t xml:space="preserve"> </w:t>
            </w:r>
            <w:r w:rsidRPr="00423B76">
              <w:rPr>
                <w:rFonts w:eastAsia="Calibri" w:cs="Sylfaen"/>
                <w:lang w:val="hy-AM"/>
              </w:rPr>
              <w:t>ջերմային</w:t>
            </w:r>
            <w:r w:rsidRPr="00423B76">
              <w:rPr>
                <w:rFonts w:eastAsia="Calibri"/>
                <w:lang w:val="hy-AM"/>
              </w:rPr>
              <w:t xml:space="preserve"> </w:t>
            </w:r>
            <w:r w:rsidRPr="00423B76">
              <w:rPr>
                <w:rFonts w:eastAsia="Calibri" w:cs="Sylfaen"/>
                <w:lang w:val="hy-AM"/>
              </w:rPr>
              <w:t xml:space="preserve">չափումների և </w:t>
            </w:r>
            <w:r w:rsidRPr="00423B76">
              <w:rPr>
                <w:rFonts w:eastAsia="Calibri"/>
                <w:lang w:val="hy-AM"/>
              </w:rPr>
              <w:t>հարակից մեծությունների</w:t>
            </w:r>
            <w:r w:rsidRPr="00423B76">
              <w:rPr>
                <w:rFonts w:eastAsia="Calibri" w:cs="Sylfaen"/>
                <w:lang w:val="hy-AM"/>
              </w:rPr>
              <w:t>,</w:t>
            </w:r>
            <w:r w:rsidRPr="00423B76">
              <w:rPr>
                <w:rFonts w:eastAsia="Calibri"/>
                <w:lang w:val="hy-AM"/>
              </w:rPr>
              <w:t xml:space="preserve"> ուժի և հարակից մեծությունների, ինչպես նաև այլ ուղղություններով </w:t>
            </w:r>
            <w:r w:rsidRPr="00423B76">
              <w:rPr>
                <w:rFonts w:eastAsia="Calibri" w:cs="Sylfaen"/>
                <w:lang w:val="hy-AM"/>
              </w:rPr>
              <w:t>տրամաչափարկման</w:t>
            </w:r>
            <w:r w:rsidRPr="00423B76">
              <w:rPr>
                <w:rFonts w:eastAsia="Calibri"/>
                <w:lang w:val="hy-AM"/>
              </w:rPr>
              <w:t xml:space="preserve"> </w:t>
            </w:r>
            <w:r w:rsidRPr="00423B76">
              <w:rPr>
                <w:rFonts w:eastAsia="Calibri" w:cs="Sylfaen"/>
                <w:lang w:val="hy-AM"/>
              </w:rPr>
              <w:t xml:space="preserve">լաբորատորիաներ՝ </w:t>
            </w:r>
            <w:r w:rsidRPr="00423B76">
              <w:rPr>
                <w:rFonts w:eastAsia="Calibri"/>
                <w:lang w:val="hy-AM"/>
              </w:rPr>
              <w:t xml:space="preserve">ապահովելով </w:t>
            </w:r>
            <w:r w:rsidRPr="00423B76">
              <w:rPr>
                <w:rFonts w:cs="Sylfaen"/>
                <w:color w:val="222222"/>
                <w:lang w:val="hy-AM"/>
              </w:rPr>
              <w:t>ռազմական</w:t>
            </w:r>
            <w:r w:rsidRPr="00423B76">
              <w:rPr>
                <w:rFonts w:cs="Arial"/>
                <w:color w:val="222222"/>
                <w:lang w:val="hy-AM"/>
              </w:rPr>
              <w:t xml:space="preserve"> </w:t>
            </w:r>
            <w:r w:rsidRPr="00423B76">
              <w:rPr>
                <w:rFonts w:cs="Sylfaen"/>
                <w:color w:val="222222"/>
                <w:lang w:val="hy-AM"/>
              </w:rPr>
              <w:t>արդյունաբերության</w:t>
            </w:r>
            <w:r w:rsidRPr="00423B76">
              <w:rPr>
                <w:rFonts w:cs="Arial"/>
                <w:color w:val="222222"/>
                <w:lang w:val="hy-AM"/>
              </w:rPr>
              <w:t>,</w:t>
            </w:r>
            <w:r w:rsidRPr="00423B76">
              <w:rPr>
                <w:rFonts w:eastAsia="Calibri" w:cs="Sylfaen"/>
                <w:lang w:val="hy-AM" w:eastAsia="x-none"/>
              </w:rPr>
              <w:t xml:space="preserve"> </w:t>
            </w:r>
            <w:r w:rsidRPr="00423B76">
              <w:rPr>
                <w:rFonts w:cs="Sylfaen"/>
                <w:color w:val="222222"/>
                <w:lang w:val="hy-AM"/>
              </w:rPr>
              <w:t>առողջապահության</w:t>
            </w:r>
            <w:r w:rsidRPr="00423B76">
              <w:rPr>
                <w:rFonts w:cs="Arial"/>
                <w:color w:val="222222"/>
                <w:lang w:val="hy-AM"/>
              </w:rPr>
              <w:t>,</w:t>
            </w:r>
            <w:r w:rsidRPr="00423B76">
              <w:rPr>
                <w:rFonts w:eastAsia="Calibri" w:cs="Sylfaen"/>
                <w:lang w:val="hy-AM" w:eastAsia="x-none"/>
              </w:rPr>
              <w:t xml:space="preserve"> </w:t>
            </w:r>
            <w:r w:rsidRPr="00423B76">
              <w:rPr>
                <w:rFonts w:cs="Sylfaen"/>
                <w:color w:val="222222"/>
                <w:lang w:val="hy-AM"/>
              </w:rPr>
              <w:t>էներգետիկայի</w:t>
            </w:r>
            <w:r w:rsidRPr="00423B76">
              <w:rPr>
                <w:color w:val="222222"/>
                <w:lang w:val="hy-AM"/>
              </w:rPr>
              <w:t xml:space="preserve">, </w:t>
            </w:r>
            <w:r w:rsidRPr="00423B76">
              <w:rPr>
                <w:rFonts w:cs="Sylfaen"/>
                <w:color w:val="222222"/>
                <w:lang w:val="hy-AM"/>
              </w:rPr>
              <w:t>բնապահպանության</w:t>
            </w:r>
            <w:r w:rsidRPr="00423B76">
              <w:rPr>
                <w:color w:val="222222"/>
                <w:lang w:val="hy-AM"/>
              </w:rPr>
              <w:t xml:space="preserve">, </w:t>
            </w:r>
            <w:r w:rsidRPr="00423B76">
              <w:rPr>
                <w:rFonts w:cs="Sylfaen"/>
                <w:color w:val="222222"/>
                <w:lang w:val="hy-AM"/>
              </w:rPr>
              <w:t>գյուղատնտեսության</w:t>
            </w:r>
            <w:r w:rsidRPr="00423B76">
              <w:rPr>
                <w:color w:val="222222"/>
                <w:lang w:val="hy-AM"/>
              </w:rPr>
              <w:t xml:space="preserve">, </w:t>
            </w:r>
            <w:r w:rsidRPr="00423B76">
              <w:rPr>
                <w:rFonts w:cs="Sylfaen"/>
                <w:color w:val="222222"/>
                <w:lang w:val="hy-AM"/>
              </w:rPr>
              <w:t>հանքարդյունաբերության</w:t>
            </w:r>
            <w:r w:rsidRPr="00423B76">
              <w:rPr>
                <w:rFonts w:cs="Arial"/>
                <w:color w:val="222222"/>
                <w:lang w:val="hy-AM"/>
              </w:rPr>
              <w:t xml:space="preserve">, </w:t>
            </w:r>
            <w:r w:rsidRPr="00423B76">
              <w:rPr>
                <w:rFonts w:cs="Sylfaen"/>
                <w:color w:val="222222"/>
                <w:lang w:val="hy-AM"/>
              </w:rPr>
              <w:t>շինարարության, մետաղամշակման</w:t>
            </w:r>
            <w:r w:rsidRPr="00423B76">
              <w:rPr>
                <w:color w:val="222222"/>
                <w:lang w:val="hy-AM"/>
              </w:rPr>
              <w:t xml:space="preserve">, </w:t>
            </w:r>
            <w:r w:rsidRPr="00423B76">
              <w:rPr>
                <w:rFonts w:cs="Sylfaen"/>
                <w:color w:val="222222"/>
                <w:lang w:val="hy-AM"/>
              </w:rPr>
              <w:t>գործիքաշինության</w:t>
            </w:r>
            <w:r w:rsidRPr="00423B76">
              <w:rPr>
                <w:color w:val="222222"/>
                <w:lang w:val="hy-AM"/>
              </w:rPr>
              <w:t xml:space="preserve"> </w:t>
            </w:r>
            <w:r w:rsidRPr="00423B76">
              <w:rPr>
                <w:rFonts w:cs="Sylfaen"/>
                <w:color w:val="222222"/>
                <w:lang w:val="hy-AM"/>
              </w:rPr>
              <w:t xml:space="preserve">ոլորտներում, </w:t>
            </w:r>
            <w:r w:rsidRPr="00423B76">
              <w:rPr>
                <w:rFonts w:eastAsia="Calibri" w:cs="Sylfaen"/>
                <w:color w:val="222222"/>
                <w:shd w:val="clear" w:color="auto" w:fill="FFFFFF"/>
                <w:lang w:val="hy-AM"/>
              </w:rPr>
              <w:t>գազալցակայաններում</w:t>
            </w:r>
            <w:r w:rsidRPr="00423B76">
              <w:rPr>
                <w:rFonts w:eastAsia="Calibri"/>
                <w:color w:val="222222"/>
                <w:shd w:val="clear" w:color="auto" w:fill="FFFFFF"/>
                <w:lang w:val="hy-AM"/>
              </w:rPr>
              <w:t xml:space="preserve">, </w:t>
            </w:r>
            <w:r w:rsidRPr="00423B76">
              <w:rPr>
                <w:rFonts w:eastAsia="Calibri" w:cs="Sylfaen"/>
                <w:color w:val="222222"/>
                <w:shd w:val="clear" w:color="auto" w:fill="FFFFFF"/>
                <w:lang w:val="hy-AM"/>
              </w:rPr>
              <w:t>հավատարմագրված</w:t>
            </w:r>
            <w:r w:rsidRPr="00423B76">
              <w:rPr>
                <w:rFonts w:eastAsia="Calibri"/>
                <w:color w:val="222222"/>
                <w:shd w:val="clear" w:color="auto" w:fill="FFFFFF"/>
                <w:lang w:val="hy-AM"/>
              </w:rPr>
              <w:t xml:space="preserve"> </w:t>
            </w:r>
            <w:r w:rsidRPr="00423B76">
              <w:rPr>
                <w:rFonts w:eastAsia="Calibri" w:cs="Sylfaen"/>
                <w:color w:val="222222"/>
                <w:shd w:val="clear" w:color="auto" w:fill="FFFFFF"/>
                <w:lang w:val="hy-AM"/>
              </w:rPr>
              <w:t>փորձարկման</w:t>
            </w:r>
            <w:r w:rsidRPr="00423B76">
              <w:rPr>
                <w:rFonts w:eastAsia="Calibri"/>
                <w:color w:val="222222"/>
                <w:shd w:val="clear" w:color="auto" w:fill="FFFFFF"/>
                <w:lang w:val="hy-AM"/>
              </w:rPr>
              <w:t xml:space="preserve"> </w:t>
            </w:r>
            <w:r w:rsidRPr="00423B76">
              <w:rPr>
                <w:rFonts w:eastAsia="Calibri" w:cs="Sylfaen"/>
                <w:color w:val="222222"/>
                <w:shd w:val="clear" w:color="auto" w:fill="FFFFFF"/>
                <w:lang w:val="hy-AM"/>
              </w:rPr>
              <w:t>լաբորատորիաներում</w:t>
            </w:r>
            <w:r w:rsidRPr="00423B76">
              <w:rPr>
                <w:rFonts w:cs="Sylfaen"/>
                <w:color w:val="222222"/>
                <w:lang w:val="hy-AM"/>
              </w:rPr>
              <w:t xml:space="preserve"> ճշգրիտ և </w:t>
            </w:r>
            <w:r w:rsidRPr="00423B76">
              <w:rPr>
                <w:rFonts w:eastAsia="MS Mincho" w:cs="Courier New"/>
                <w:lang w:val="hy-AM"/>
              </w:rPr>
              <w:t xml:space="preserve">միջազգային մակարդակով հետևելի չափումներ։ </w:t>
            </w:r>
          </w:p>
          <w:p w:rsidR="0068680D" w:rsidRPr="00423B76" w:rsidRDefault="0068680D" w:rsidP="00F47DC4">
            <w:pPr>
              <w:shd w:val="clear" w:color="auto" w:fill="FFFFFF"/>
              <w:tabs>
                <w:tab w:val="left" w:pos="10170"/>
              </w:tabs>
              <w:spacing w:line="276" w:lineRule="auto"/>
              <w:ind w:right="9"/>
              <w:jc w:val="both"/>
              <w:rPr>
                <w:color w:val="222222"/>
                <w:lang w:val="hy-AM"/>
              </w:rPr>
            </w:pPr>
            <w:r w:rsidRPr="00423B76">
              <w:rPr>
                <w:rFonts w:eastAsia="Calibri" w:cs="Sylfaen"/>
                <w:lang w:val="hy-AM"/>
              </w:rPr>
              <w:t>Արդյունքում</w:t>
            </w:r>
            <w:r w:rsidRPr="00423B76">
              <w:rPr>
                <w:rFonts w:eastAsia="Calibri" w:cs="Sylfaen"/>
              </w:rPr>
              <w:t>,</w:t>
            </w:r>
            <w:r w:rsidRPr="00423B76">
              <w:rPr>
                <w:rFonts w:eastAsia="Calibri" w:cs="Sylfaen"/>
                <w:lang w:val="hy-AM"/>
              </w:rPr>
              <w:t xml:space="preserve"> Չափագիտության ազգային մարմինը</w:t>
            </w:r>
            <w:r w:rsidRPr="00423B76">
              <w:rPr>
                <w:rFonts w:eastAsia="Calibri" w:cs="Sylfaen"/>
              </w:rPr>
              <w:t>.</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 xml:space="preserve">կհամալրվի միջազգային ճանաչում ունեցող լաբորատորիաներով, </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կմասնակցի միջլաբորատոր համեմատություններին, մասնագիտական որակավորման ծրագրերին և CMC տվյալների հրապարակմանը Չափի և կշռի միջազգային բյուրոյի տվյալների բազայում, ուստի կհանդիսանա չափումների բնագավառում ազգային և միջազգային մակարդակներում կապող կամուրջ,</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կկարողանա կատարել միջազգային ստանդարտներին համապատասխան տրամաչափարկման աշխատանքներ` բավարարելով ներկա տեղական պահանջարկը,</w:t>
            </w:r>
          </w:p>
          <w:p w:rsidR="0068680D" w:rsidRPr="00423B76" w:rsidRDefault="0068680D" w:rsidP="0068680D">
            <w:pPr>
              <w:pStyle w:val="NormalWeb"/>
              <w:widowControl w:val="0"/>
              <w:numPr>
                <w:ilvl w:val="0"/>
                <w:numId w:val="397"/>
              </w:numPr>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կնպաստի պետական և մասնավոր ձեռնարկությունների արտադրանքի որակի լավացմանը, ինչը թույլ կտա արտահանել կամ ներմուծել մրցունակ և որակյալ արտադրանք,</w:t>
            </w:r>
          </w:p>
          <w:p w:rsidR="0068680D" w:rsidRPr="00423B76" w:rsidRDefault="0068680D" w:rsidP="0068680D">
            <w:pPr>
              <w:pStyle w:val="NormalWeb"/>
              <w:widowControl w:val="0"/>
              <w:numPr>
                <w:ilvl w:val="0"/>
                <w:numId w:val="397"/>
              </w:numPr>
              <w:tabs>
                <w:tab w:val="left" w:pos="10170"/>
              </w:tabs>
              <w:spacing w:before="0" w:beforeAutospacing="0" w:after="0" w:afterAutospacing="0" w:line="276" w:lineRule="auto"/>
              <w:ind w:right="9"/>
              <w:contextualSpacing/>
              <w:jc w:val="both"/>
              <w:rPr>
                <w:rFonts w:ascii="GHEA Grapalat" w:eastAsia="MS Mincho" w:hAnsi="GHEA Grapalat" w:cs="Courier New"/>
                <w:color w:val="000000" w:themeColor="text1"/>
                <w:sz w:val="20"/>
                <w:szCs w:val="20"/>
                <w:lang w:val="hy-AM"/>
              </w:rPr>
            </w:pPr>
            <w:r w:rsidRPr="00423B76">
              <w:rPr>
                <w:rFonts w:ascii="GHEA Grapalat" w:eastAsia="MS Mincho" w:hAnsi="GHEA Grapalat" w:cs="Courier New"/>
                <w:color w:val="000000" w:themeColor="text1"/>
                <w:sz w:val="20"/>
                <w:szCs w:val="20"/>
                <w:lang w:val="hy-AM"/>
              </w:rPr>
              <w:t xml:space="preserve">կապահովի ՀՀ-ի բազմաթիվ ոլորտներում կիրառվող սարքավորումների ճշգրտությունը և չափագիտական անկախությունը, </w:t>
            </w:r>
          </w:p>
          <w:p w:rsidR="0068680D" w:rsidRDefault="0068680D" w:rsidP="00F47DC4">
            <w:pPr>
              <w:spacing w:line="276" w:lineRule="auto"/>
              <w:jc w:val="center"/>
              <w:rPr>
                <w:rFonts w:cs="Sylfaen"/>
                <w:b/>
                <w:caps/>
                <w:lang w:val="hy-AM"/>
              </w:rPr>
            </w:pPr>
            <w:r w:rsidRPr="00423B76">
              <w:rPr>
                <w:rFonts w:eastAsia="MS Mincho" w:cs="Courier New"/>
                <w:color w:val="000000" w:themeColor="text1"/>
                <w:lang w:val="hy-AM"/>
              </w:rPr>
              <w:t>լաբորատոր փորձարկումների հիման վրա կկատարվեն ճշգրիտ ախտորոշումներ և այլն:</w:t>
            </w: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14.</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r w:rsidRPr="00423B76">
              <w:rPr>
                <w:rFonts w:ascii="GHEA Grapalat" w:hAnsi="GHEA Grapalat"/>
                <w:sz w:val="20"/>
                <w:szCs w:val="20"/>
                <w:lang w:val="hy-AM"/>
              </w:rPr>
              <w:t xml:space="preserve">Արտաքին շուկաներում Հայաստանի՝ որպես բրենդ դիրքավորում, հաջողված ոլորտներում հայաստանյան արտահանող ապրանքների </w:t>
            </w:r>
            <w:r>
              <w:rPr>
                <w:rFonts w:ascii="GHEA Grapalat" w:hAnsi="GHEA Grapalat"/>
                <w:sz w:val="20"/>
                <w:szCs w:val="20"/>
                <w:lang w:val="hy-AM"/>
              </w:rPr>
              <w:t>և</w:t>
            </w:r>
            <w:r w:rsidRPr="00423B76">
              <w:rPr>
                <w:rFonts w:ascii="GHEA Grapalat" w:hAnsi="GHEA Grapalat"/>
                <w:sz w:val="20"/>
                <w:szCs w:val="20"/>
                <w:lang w:val="hy-AM"/>
              </w:rPr>
              <w:t xml:space="preserve"> ծառայությունների ճանաչելիության արմատավորում</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w:t>
            </w: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14.1  </w:t>
            </w:r>
            <w:r w:rsidRPr="00423B76">
              <w:rPr>
                <w:rFonts w:ascii="GHEA Grapalat" w:hAnsi="GHEA Grapalat" w:cs="Sylfaen"/>
                <w:sz w:val="20"/>
                <w:szCs w:val="20"/>
                <w:lang w:val="hy-AM"/>
              </w:rPr>
              <w:t></w:t>
            </w:r>
            <w:r>
              <w:rPr>
                <w:rFonts w:ascii="GHEA Grapalat" w:hAnsi="GHEA Grapalat" w:cs="Sylfaen"/>
                <w:sz w:val="20"/>
                <w:szCs w:val="20"/>
                <w:lang w:val="hy-AM"/>
              </w:rPr>
              <w:t xml:space="preserve"> </w:t>
            </w:r>
            <w:r w:rsidRPr="00423B76">
              <w:rPr>
                <w:rFonts w:ascii="GHEA Grapalat" w:hAnsi="GHEA Grapalat" w:cs="Sylfaen"/>
                <w:sz w:val="20"/>
                <w:szCs w:val="20"/>
                <w:lang w:val="hy-AM"/>
              </w:rPr>
              <w:t>Պետական աջակցություն՝ ՀՀ արտահանմանն ուղղված արդյունաբերական քաղաքականության ռազմավարությամբ նախատեսված միջոցառումների իրականացման 2019 թվականի ծրագրի հաստատում</w:t>
            </w:r>
          </w:p>
          <w:p w:rsidR="0068680D" w:rsidRPr="00423B76" w:rsidRDefault="0068680D" w:rsidP="0068680D">
            <w:pPr>
              <w:pStyle w:val="NormalWeb"/>
              <w:widowControl w:val="0"/>
              <w:numPr>
                <w:ilvl w:val="0"/>
                <w:numId w:val="338"/>
              </w:numPr>
              <w:spacing w:before="0" w:beforeAutospacing="0" w:after="0" w:afterAutospacing="0" w:line="276" w:lineRule="auto"/>
              <w:ind w:right="115"/>
              <w:rPr>
                <w:rFonts w:ascii="GHEA Grapalat" w:hAnsi="GHEA Grapalat"/>
                <w:b/>
                <w:sz w:val="20"/>
                <w:szCs w:val="20"/>
                <w:lang w:val="hy-AM"/>
              </w:rPr>
            </w:pPr>
            <w:r w:rsidRPr="00423B76">
              <w:rPr>
                <w:rFonts w:ascii="GHEA Grapalat" w:hAnsi="GHEA Grapalat"/>
                <w:b/>
                <w:sz w:val="20"/>
                <w:szCs w:val="20"/>
                <w:lang w:val="hy-AM"/>
              </w:rPr>
              <w:t xml:space="preserve">Միջոցառման իրականացման անհրաժեշտությունը և նպատակը </w:t>
            </w:r>
          </w:p>
          <w:p w:rsidR="0068680D" w:rsidRPr="00423B76" w:rsidRDefault="0068680D" w:rsidP="00F47DC4">
            <w:pPr>
              <w:spacing w:line="276" w:lineRule="auto"/>
              <w:jc w:val="both"/>
              <w:rPr>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5.5 բաժնի դրույթներով, ինչպես նաև </w:t>
            </w:r>
            <w:r w:rsidRPr="00423B76">
              <w:rPr>
                <w:lang w:val="hy-AM"/>
              </w:rPr>
              <w:t>2011 թվականի դեկտեմբերի 15-ին ՀՀ կառվարության</w:t>
            </w:r>
            <w:r w:rsidRPr="00423B76">
              <w:rPr>
                <w:rFonts w:ascii="Calibri" w:hAnsi="Calibri" w:cs="Calibri"/>
                <w:lang w:val="hy-AM"/>
              </w:rPr>
              <w:t> </w:t>
            </w:r>
            <w:r w:rsidRPr="00423B76">
              <w:rPr>
                <w:lang w:val="hy-AM"/>
              </w:rPr>
              <w:t>«Հայաստանի Հանրապետության արտահանմանն ուղղված արդյունաբերական քաղաքականության ռազմավարությանը հավանություն տալու մասին» N49 արձանագրային որոշման դրույթների կատարման անհրաժեշտությամբ։ Միջոցառման իրականացման նպատակը պետական աջակցությամբ արտահանման խթանումն է և տեղական կազմակերպությունների մրցունակության բարձրացումը: Պետական աջակցության գործիքակազմը կրում է շարունակական բնույթ։ Այդ իսկ նպատակով առաջարկվում է 2019 թվականի պետական աջակցության աշխատանքները շարունակել ըստ նախատեսված գործիքակազմի։</w:t>
            </w:r>
          </w:p>
          <w:p w:rsidR="0068680D" w:rsidRPr="00423B76" w:rsidRDefault="0068680D" w:rsidP="0068680D">
            <w:pPr>
              <w:widowControl w:val="0"/>
              <w:numPr>
                <w:ilvl w:val="1"/>
                <w:numId w:val="339"/>
              </w:numPr>
              <w:spacing w:line="276" w:lineRule="auto"/>
              <w:ind w:right="115"/>
              <w:rPr>
                <w:b/>
                <w:lang w:val="hy-AM"/>
              </w:rPr>
            </w:pPr>
            <w:r w:rsidRPr="00423B76">
              <w:rPr>
                <w:b/>
                <w:lang w:val="hy-AM"/>
              </w:rPr>
              <w:t xml:space="preserve">Կարգավորման հարաբերությունների ներկա վիճակը և առկա խնդիրները </w:t>
            </w:r>
          </w:p>
          <w:p w:rsidR="0068680D" w:rsidRPr="00423B76" w:rsidRDefault="0068680D" w:rsidP="00F47DC4">
            <w:pPr>
              <w:pStyle w:val="NormalWeb"/>
              <w:shd w:val="clear" w:color="auto" w:fill="FFFFFF"/>
              <w:spacing w:before="0" w:beforeAutospacing="0" w:after="0" w:afterAutospacing="0" w:line="276" w:lineRule="auto"/>
              <w:jc w:val="both"/>
              <w:rPr>
                <w:rStyle w:val="Strong"/>
                <w:rFonts w:ascii="GHEA Grapalat" w:hAnsi="GHEA Grapalat" w:cs="Arial Unicode"/>
                <w:b w:val="0"/>
                <w:color w:val="000000"/>
                <w:sz w:val="20"/>
                <w:szCs w:val="20"/>
                <w:lang w:val="hy-AM"/>
              </w:rPr>
            </w:pPr>
            <w:r w:rsidRPr="00423B76">
              <w:rPr>
                <w:rFonts w:ascii="GHEA Grapalat" w:eastAsiaTheme="minorHAnsi" w:hAnsi="GHEA Grapalat" w:cstheme="minorBidi"/>
                <w:sz w:val="20"/>
                <w:szCs w:val="20"/>
                <w:lang w:val="hy-AM"/>
              </w:rPr>
              <w:t>ՀՀ արտահանման ուղղված արդյունաբերական քաղաքականության ռազմավարությունը միտված է տնտեսական աճի նոր շարժիչ ուղղությունների ձևավորմանն ու զարգացմանը` ի հաշիվ ներկայումս արտահանող և արտահանման ներուժ ունեցող ոլորտների զա</w:t>
            </w:r>
            <w:r w:rsidRPr="00423B76">
              <w:rPr>
                <w:rFonts w:ascii="GHEA Grapalat" w:hAnsi="GHEA Grapalat"/>
                <w:color w:val="0A0A0A"/>
                <w:sz w:val="20"/>
                <w:szCs w:val="20"/>
                <w:shd w:val="clear" w:color="auto" w:fill="FEFEFE"/>
                <w:lang w:val="hy-AM"/>
              </w:rPr>
              <w:t>րգացման:</w:t>
            </w:r>
          </w:p>
          <w:p w:rsidR="0068680D" w:rsidRPr="00423B76" w:rsidRDefault="0068680D" w:rsidP="0068680D">
            <w:pPr>
              <w:widowControl w:val="0"/>
              <w:numPr>
                <w:ilvl w:val="1"/>
                <w:numId w:val="339"/>
              </w:numPr>
              <w:spacing w:line="276" w:lineRule="auto"/>
              <w:ind w:right="115"/>
              <w:rPr>
                <w:b/>
                <w:bCs/>
                <w:lang w:val="hy-AM"/>
              </w:rPr>
            </w:pPr>
            <w:r w:rsidRPr="00423B76">
              <w:rPr>
                <w:b/>
                <w:lang w:val="hy-AM"/>
              </w:rPr>
              <w:t>Առկա խնդիրների առաջարկվող լուծումները</w:t>
            </w:r>
          </w:p>
          <w:p w:rsidR="0068680D" w:rsidRPr="00423B76" w:rsidRDefault="0068680D" w:rsidP="00F47DC4">
            <w:pPr>
              <w:pStyle w:val="NormalWeb"/>
              <w:shd w:val="clear" w:color="auto" w:fill="FEFEFE"/>
              <w:spacing w:before="0" w:beforeAutospacing="0" w:after="0" w:afterAutospacing="0" w:line="276" w:lineRule="auto"/>
              <w:jc w:val="both"/>
              <w:rPr>
                <w:rFonts w:ascii="GHEA Grapalat" w:hAnsi="GHEA Grapalat"/>
                <w:color w:val="0A0A0A"/>
                <w:sz w:val="20"/>
                <w:szCs w:val="20"/>
                <w:shd w:val="clear" w:color="auto" w:fill="FEFEFE"/>
                <w:lang w:val="hy-AM"/>
              </w:rPr>
            </w:pPr>
            <w:r w:rsidRPr="00423B76">
              <w:rPr>
                <w:rFonts w:ascii="GHEA Grapalat" w:hAnsi="GHEA Grapalat"/>
                <w:color w:val="0A0A0A"/>
                <w:sz w:val="20"/>
                <w:szCs w:val="20"/>
                <w:shd w:val="clear" w:color="auto" w:fill="FEFEFE"/>
                <w:lang w:val="hy-AM"/>
              </w:rPr>
              <w:t>Պետական աջակցությունը տրամադրվում է հետևյալ ուղղություններով.</w:t>
            </w:r>
          </w:p>
          <w:p w:rsidR="0068680D" w:rsidRPr="00423B76" w:rsidRDefault="0068680D" w:rsidP="0068680D">
            <w:pPr>
              <w:pStyle w:val="NormalWeb"/>
              <w:numPr>
                <w:ilvl w:val="0"/>
                <w:numId w:val="337"/>
              </w:numPr>
              <w:shd w:val="clear" w:color="auto" w:fill="FEFEFE"/>
              <w:spacing w:before="0" w:beforeAutospacing="0" w:after="0" w:afterAutospacing="0" w:line="276" w:lineRule="auto"/>
              <w:contextualSpacing/>
              <w:jc w:val="both"/>
              <w:rPr>
                <w:rFonts w:ascii="GHEA Grapalat" w:hAnsi="GHEA Grapalat"/>
                <w:color w:val="0A0A0A"/>
                <w:sz w:val="20"/>
                <w:szCs w:val="20"/>
                <w:lang w:val="hy-AM"/>
              </w:rPr>
            </w:pPr>
            <w:r w:rsidRPr="00423B76">
              <w:rPr>
                <w:rFonts w:ascii="GHEA Grapalat" w:hAnsi="GHEA Grapalat"/>
                <w:color w:val="0A0A0A"/>
                <w:sz w:val="20"/>
                <w:szCs w:val="20"/>
                <w:lang w:val="hy-AM"/>
              </w:rPr>
              <w:t xml:space="preserve">գործարար համաժողովների (ֆորումների), շնորհանդեսների, ինչպես նաև այլ համանման միջոցառումների մասնակցություն և (կամ) կազմակերպում,  </w:t>
            </w:r>
          </w:p>
          <w:p w:rsidR="0068680D" w:rsidRPr="00423B76" w:rsidRDefault="0068680D" w:rsidP="0068680D">
            <w:pPr>
              <w:pStyle w:val="NormalWeb"/>
              <w:numPr>
                <w:ilvl w:val="0"/>
                <w:numId w:val="337"/>
              </w:numPr>
              <w:shd w:val="clear" w:color="auto" w:fill="FEFEFE"/>
              <w:spacing w:before="0" w:beforeAutospacing="0" w:after="0" w:afterAutospacing="0" w:line="276" w:lineRule="auto"/>
              <w:contextualSpacing/>
              <w:jc w:val="both"/>
              <w:rPr>
                <w:rFonts w:ascii="GHEA Grapalat" w:hAnsi="GHEA Grapalat"/>
                <w:color w:val="0A0A0A"/>
                <w:sz w:val="20"/>
                <w:szCs w:val="20"/>
                <w:lang w:val="hy-AM"/>
              </w:rPr>
            </w:pPr>
            <w:r w:rsidRPr="00423B76">
              <w:rPr>
                <w:rFonts w:ascii="GHEA Grapalat" w:hAnsi="GHEA Grapalat"/>
                <w:color w:val="0A0A0A"/>
                <w:sz w:val="20"/>
                <w:szCs w:val="20"/>
                <w:lang w:val="hy-AM"/>
              </w:rPr>
              <w:t xml:space="preserve">ֆինանսական գործիքների կիրառմամբ` արտադրական գործունեության վարկավորման մասնակի սուբսիդավորում, </w:t>
            </w:r>
          </w:p>
          <w:p w:rsidR="0068680D" w:rsidRPr="00423B76" w:rsidRDefault="0068680D" w:rsidP="0068680D">
            <w:pPr>
              <w:pStyle w:val="NormalWeb"/>
              <w:numPr>
                <w:ilvl w:val="0"/>
                <w:numId w:val="337"/>
              </w:numPr>
              <w:shd w:val="clear" w:color="auto" w:fill="FEFEFE"/>
              <w:spacing w:before="0" w:beforeAutospacing="0" w:after="0" w:afterAutospacing="0" w:line="276" w:lineRule="auto"/>
              <w:contextualSpacing/>
              <w:jc w:val="both"/>
              <w:rPr>
                <w:rFonts w:ascii="GHEA Grapalat" w:hAnsi="GHEA Grapalat"/>
                <w:color w:val="0A0A0A"/>
                <w:sz w:val="20"/>
                <w:szCs w:val="20"/>
                <w:lang w:val="hy-AM"/>
              </w:rPr>
            </w:pPr>
            <w:r w:rsidRPr="00423B76">
              <w:rPr>
                <w:rFonts w:ascii="GHEA Grapalat" w:hAnsi="GHEA Grapalat"/>
                <w:color w:val="0A0A0A"/>
                <w:sz w:val="20"/>
                <w:szCs w:val="20"/>
                <w:lang w:val="hy-AM"/>
              </w:rPr>
              <w:t xml:space="preserve">օտարերկրյա պետությունում և (կամ) Հայաստանում հայկական արտադրանքի վերաբերյալ գովազդի և հասարակական կարծիքի ձևավորման (PR) միջոցառումների կազմակերպում և իրականացում,  </w:t>
            </w:r>
          </w:p>
          <w:p w:rsidR="0068680D" w:rsidRPr="00423B76" w:rsidRDefault="0068680D" w:rsidP="0068680D">
            <w:pPr>
              <w:pStyle w:val="NormalWeb"/>
              <w:numPr>
                <w:ilvl w:val="0"/>
                <w:numId w:val="337"/>
              </w:numPr>
              <w:shd w:val="clear" w:color="auto" w:fill="FEFEFE"/>
              <w:spacing w:before="0" w:beforeAutospacing="0" w:after="0" w:afterAutospacing="0" w:line="276" w:lineRule="auto"/>
              <w:contextualSpacing/>
              <w:jc w:val="both"/>
              <w:rPr>
                <w:rFonts w:ascii="GHEA Grapalat" w:hAnsi="GHEA Grapalat"/>
                <w:color w:val="0A0A0A"/>
                <w:sz w:val="20"/>
                <w:szCs w:val="20"/>
                <w:lang w:val="hy-AM"/>
              </w:rPr>
            </w:pPr>
            <w:r w:rsidRPr="00423B76">
              <w:rPr>
                <w:rFonts w:ascii="GHEA Grapalat" w:hAnsi="GHEA Grapalat"/>
                <w:color w:val="0A0A0A"/>
                <w:sz w:val="20"/>
                <w:szCs w:val="20"/>
                <w:lang w:val="hy-AM"/>
              </w:rPr>
              <w:t>ցուցահանդեսների կազմակերպում և մասնակցության ապահովում,</w:t>
            </w:r>
          </w:p>
          <w:p w:rsidR="0068680D" w:rsidRPr="00423B76" w:rsidRDefault="0068680D" w:rsidP="0068680D">
            <w:pPr>
              <w:pStyle w:val="NormalWeb"/>
              <w:numPr>
                <w:ilvl w:val="0"/>
                <w:numId w:val="337"/>
              </w:numPr>
              <w:shd w:val="clear" w:color="auto" w:fill="FEFEFE"/>
              <w:spacing w:before="0" w:beforeAutospacing="0" w:after="0" w:afterAutospacing="0" w:line="276" w:lineRule="auto"/>
              <w:contextualSpacing/>
              <w:jc w:val="both"/>
              <w:rPr>
                <w:rFonts w:ascii="GHEA Grapalat" w:hAnsi="GHEA Grapalat"/>
                <w:color w:val="0A0A0A"/>
                <w:sz w:val="20"/>
                <w:szCs w:val="20"/>
                <w:lang w:val="hy-AM"/>
              </w:rPr>
            </w:pPr>
            <w:r w:rsidRPr="00423B76">
              <w:rPr>
                <w:rFonts w:ascii="GHEA Grapalat" w:hAnsi="GHEA Grapalat"/>
                <w:color w:val="0A0A0A"/>
                <w:sz w:val="20"/>
                <w:szCs w:val="20"/>
                <w:lang w:val="hy-AM"/>
              </w:rPr>
              <w:t xml:space="preserve">գործարար կապերի հաստատում </w:t>
            </w:r>
          </w:p>
          <w:p w:rsidR="0068680D" w:rsidRPr="00423B76" w:rsidRDefault="0068680D" w:rsidP="0068680D">
            <w:pPr>
              <w:pStyle w:val="NormalWeb"/>
              <w:numPr>
                <w:ilvl w:val="0"/>
                <w:numId w:val="337"/>
              </w:numPr>
              <w:shd w:val="clear" w:color="auto" w:fill="FEFEFE"/>
              <w:spacing w:before="0" w:beforeAutospacing="0" w:after="0" w:afterAutospacing="0" w:line="276" w:lineRule="auto"/>
              <w:contextualSpacing/>
              <w:jc w:val="both"/>
              <w:rPr>
                <w:rFonts w:ascii="GHEA Grapalat" w:hAnsi="GHEA Grapalat"/>
                <w:color w:val="0A0A0A"/>
                <w:sz w:val="20"/>
                <w:szCs w:val="20"/>
                <w:lang w:val="hy-AM"/>
              </w:rPr>
            </w:pPr>
            <w:r w:rsidRPr="00423B76">
              <w:rPr>
                <w:rFonts w:ascii="GHEA Grapalat" w:hAnsi="GHEA Grapalat"/>
                <w:color w:val="0A0A0A"/>
                <w:sz w:val="20"/>
                <w:szCs w:val="20"/>
                <w:lang w:val="hy-AM"/>
              </w:rPr>
              <w:t>ուսումնական դասընթացների մշակման, կազմակերպման և իրականացման ֆինանսավորում:</w:t>
            </w:r>
          </w:p>
          <w:p w:rsidR="0068680D" w:rsidRPr="00423B76" w:rsidRDefault="0068680D" w:rsidP="0068680D">
            <w:pPr>
              <w:pStyle w:val="ListParagraph"/>
              <w:numPr>
                <w:ilvl w:val="0"/>
                <w:numId w:val="339"/>
              </w:numPr>
              <w:spacing w:line="276" w:lineRule="auto"/>
              <w:rPr>
                <w:b/>
                <w:lang w:val="hy-AM"/>
              </w:rPr>
            </w:pPr>
            <w:r w:rsidRPr="00423B76">
              <w:rPr>
                <w:b/>
                <w:lang w:val="hy-AM"/>
              </w:rPr>
              <w:t>Միջոցառման իրականացումից ակնկալվող արդյունքը</w:t>
            </w:r>
          </w:p>
          <w:p w:rsidR="0068680D" w:rsidRDefault="0068680D" w:rsidP="00F47DC4">
            <w:pPr>
              <w:spacing w:line="276" w:lineRule="auto"/>
              <w:jc w:val="both"/>
              <w:rPr>
                <w:lang w:val="hy-AM"/>
              </w:rPr>
            </w:pPr>
            <w:r w:rsidRPr="00423B76">
              <w:rPr>
                <w:lang w:val="hy-AM"/>
              </w:rPr>
              <w:t>Արտահանմանն ուղղված պետական աջակցության տրամադրում, մասնավորապես ցուցահանդեսների կազմակերպման, տեղական արտադրանքի առաջմղման և ճանաչելիության բարձրացում, պոտենցիալ գնորդների և դիստրիբյուտորների ներգրավում:</w:t>
            </w:r>
          </w:p>
          <w:p w:rsidR="0068680D" w:rsidRPr="00423B76" w:rsidRDefault="0068680D" w:rsidP="00F47DC4">
            <w:pPr>
              <w:spacing w:line="276" w:lineRule="auto"/>
              <w:jc w:val="both"/>
              <w:rPr>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14.2 </w:t>
            </w:r>
            <w:r w:rsidRPr="00423B76">
              <w:rPr>
                <w:rFonts w:ascii="GHEA Grapalat" w:hAnsi="GHEA Grapalat" w:cs="Sylfaen"/>
                <w:sz w:val="20"/>
                <w:szCs w:val="20"/>
                <w:lang w:val="hy-AM"/>
              </w:rPr>
              <w:t xml:space="preserve">ՀՀ առևտրական կցորդների/ ներկայացուցչությունների համակարգի բարեփոխումների վերաբերյալ հայեցակարգային մոտեցումների ներկայացում  </w:t>
            </w:r>
          </w:p>
          <w:p w:rsidR="0068680D" w:rsidRPr="00423B76" w:rsidRDefault="0068680D" w:rsidP="0068680D">
            <w:pPr>
              <w:pStyle w:val="NormalWeb"/>
              <w:widowControl w:val="0"/>
              <w:numPr>
                <w:ilvl w:val="0"/>
                <w:numId w:val="438"/>
              </w:numPr>
              <w:spacing w:before="0" w:beforeAutospacing="0" w:after="0" w:afterAutospacing="0" w:line="276" w:lineRule="auto"/>
              <w:ind w:right="115"/>
              <w:rPr>
                <w:rFonts w:ascii="GHEA Grapalat" w:hAnsi="GHEA Grapalat"/>
                <w:b/>
                <w:sz w:val="20"/>
                <w:szCs w:val="20"/>
                <w:lang w:val="hy-AM"/>
              </w:rPr>
            </w:pPr>
            <w:r w:rsidRPr="00423B76">
              <w:rPr>
                <w:rFonts w:ascii="GHEA Grapalat" w:hAnsi="GHEA Grapalat"/>
                <w:b/>
                <w:sz w:val="20"/>
                <w:szCs w:val="20"/>
                <w:lang w:val="hy-AM"/>
              </w:rPr>
              <w:t xml:space="preserve">Միջոցառման իրականացման անհրաժեշտությունը և նպատակը </w:t>
            </w:r>
          </w:p>
          <w:p w:rsidR="0068680D" w:rsidRPr="00423B76" w:rsidRDefault="0068680D" w:rsidP="00F47DC4">
            <w:pPr>
              <w:spacing w:line="276" w:lineRule="auto"/>
              <w:jc w:val="both"/>
              <w:rPr>
                <w:lang w:val="hy-AM"/>
              </w:rPr>
            </w:pPr>
            <w:r w:rsidRPr="00423B76">
              <w:rPr>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lang w:val="hy-AM"/>
              </w:rPr>
              <w:t xml:space="preserve"> 5.5 բաժնի դրույթներով: Առևտրական ներկայացուցիչների հիմնական գործառույթը առևտրի և արտահանման խթանումն է, ինչպես նաև երկրի տնտեսական շահերի ներկայացումն ու պաշտպանումը տարբեր կառույցներում։ Աշխարհում առևտրական ներկայացուցիչի ինստիտուտի կառուցվածքի երկու հիմնական մոտեցում կա: Հայաստանի համար ընդունելի և կիրառելի մոդելի որդեգրման նպատակով կմշակվեն հայեցակարգային մոտեցումները:</w:t>
            </w:r>
          </w:p>
          <w:p w:rsidR="0068680D" w:rsidRPr="00423B76" w:rsidRDefault="0068680D" w:rsidP="0068680D">
            <w:pPr>
              <w:pStyle w:val="ListParagraph"/>
              <w:widowControl w:val="0"/>
              <w:numPr>
                <w:ilvl w:val="1"/>
                <w:numId w:val="438"/>
              </w:numPr>
              <w:spacing w:line="276" w:lineRule="auto"/>
              <w:ind w:right="115"/>
              <w:rPr>
                <w:b/>
                <w:lang w:val="hy-AM"/>
              </w:rPr>
            </w:pPr>
            <w:r w:rsidRPr="00423B76">
              <w:rPr>
                <w:b/>
                <w:lang w:val="hy-AM"/>
              </w:rPr>
              <w:t xml:space="preserve">Կարգավորման հարաբերությունների ներկա վիճակը և առկա խնդիրները </w:t>
            </w:r>
          </w:p>
          <w:p w:rsidR="0068680D" w:rsidRPr="00423B76" w:rsidRDefault="0068680D" w:rsidP="00F47DC4">
            <w:pPr>
              <w:spacing w:line="276" w:lineRule="auto"/>
              <w:jc w:val="both"/>
              <w:rPr>
                <w:lang w:val="hy-AM"/>
              </w:rPr>
            </w:pPr>
            <w:r w:rsidRPr="00423B76">
              <w:rPr>
                <w:lang w:val="hy-AM"/>
              </w:rPr>
              <w:t xml:space="preserve">Ներկայումս Հայաստանի Հանրապետությունն ունի մի քանի զուգահեռ ձևաչափեր: ԵՄ-ում և ԱՀԿ-ում մշտական ներկայացուցիչներ, Չինաստանում, ԱՄՆ-ում պետական բյուջեի հաշվին պահվող առևտրական ներկայացուցիչներ, ՌԴ-ում առևտարական ներկայացուցիչ, որը չնայած բյուջեից ուղղակիորեն չի ֆինանսավորվում, սակայն ծախսում է պետությանը հատկացված գույքի օգտագործումից առաջացող ռեսուրսներ, Բելոռուսում դեսպանատան հաստիքացուցակում վճարվող առևտրական հարցերով ներկայացուցիչ, Ավստրիայում և Լիբանանում կամավորության սկզբունքով (անվճար) համագործակցող ներկայացուցիչներ, Թուրքմենստանում, Բիզնես Արմենիայի կողմից կազմակերպության ներկայացոցիչներ նշանակված շուրջ երկու տասնյակ անձինք (նույնպես` պետության կողմից չվճարվող): Շատ հաճախ, ներդրումների և արտահանման հարցերի քննարկումներում ներգրավվում են նաև արտերկրում դիվանագիտական անձնակազմը, ովքեր չունեն տնտեսական քաղաքականությանը վերաբերվող բավարար փորձ ու գիտելիքներ` արդյունավետ լինելու համար։ </w:t>
            </w:r>
          </w:p>
          <w:p w:rsidR="0068680D" w:rsidRPr="00423B76" w:rsidRDefault="0068680D" w:rsidP="0068680D">
            <w:pPr>
              <w:pStyle w:val="ListParagraph"/>
              <w:widowControl w:val="0"/>
              <w:numPr>
                <w:ilvl w:val="1"/>
                <w:numId w:val="438"/>
              </w:numPr>
              <w:spacing w:line="276" w:lineRule="auto"/>
              <w:ind w:right="115"/>
              <w:rPr>
                <w:b/>
                <w:bCs/>
                <w:lang w:val="hy-AM"/>
              </w:rPr>
            </w:pPr>
            <w:r w:rsidRPr="00423B76">
              <w:rPr>
                <w:b/>
                <w:lang w:val="hy-AM"/>
              </w:rPr>
              <w:t>Առկա խնդիրների առաջարկվող լուծումները</w:t>
            </w:r>
          </w:p>
          <w:p w:rsidR="0068680D" w:rsidRPr="00423B76" w:rsidRDefault="0068680D" w:rsidP="00F47DC4">
            <w:pPr>
              <w:pStyle w:val="NormalWeb"/>
              <w:shd w:val="clear" w:color="auto" w:fill="FEFEFE"/>
              <w:spacing w:before="0" w:beforeAutospacing="0" w:after="0" w:afterAutospacing="0" w:line="276" w:lineRule="auto"/>
              <w:contextualSpacing/>
              <w:jc w:val="both"/>
              <w:rPr>
                <w:rFonts w:ascii="GHEA Grapalat" w:hAnsi="GHEA Grapalat"/>
                <w:color w:val="0A0A0A"/>
                <w:sz w:val="20"/>
                <w:szCs w:val="20"/>
                <w:lang w:val="hy-AM"/>
              </w:rPr>
            </w:pPr>
            <w:r w:rsidRPr="00423B76">
              <w:rPr>
                <w:rFonts w:ascii="GHEA Grapalat" w:hAnsi="GHEA Grapalat"/>
                <w:color w:val="0A0A0A"/>
                <w:sz w:val="20"/>
                <w:szCs w:val="20"/>
                <w:lang w:val="hy-AM"/>
              </w:rPr>
              <w:t>Համակարգի արդյունավետության բարձրացման տեսանկյունից շեշտադրվում են մի շարք հարցադրումներ, որոնք լուծման նպատակով նախատեսվում է մշակել հայեցակարգային մոտեցումները: Մասնավորապես՝ հարցադրումների շրջանակը ներառում է.</w:t>
            </w:r>
          </w:p>
          <w:p w:rsidR="0068680D" w:rsidRPr="00423B76" w:rsidRDefault="0068680D" w:rsidP="0068680D">
            <w:pPr>
              <w:pStyle w:val="NormalWeb"/>
              <w:numPr>
                <w:ilvl w:val="0"/>
                <w:numId w:val="337"/>
              </w:numPr>
              <w:shd w:val="clear" w:color="auto" w:fill="FEFEFE"/>
              <w:spacing w:before="0" w:beforeAutospacing="0" w:after="0" w:afterAutospacing="0" w:line="276" w:lineRule="auto"/>
              <w:contextualSpacing/>
              <w:jc w:val="both"/>
              <w:rPr>
                <w:rFonts w:ascii="GHEA Grapalat" w:hAnsi="GHEA Grapalat"/>
                <w:color w:val="0A0A0A"/>
                <w:sz w:val="20"/>
                <w:szCs w:val="20"/>
                <w:lang w:val="hy-AM"/>
              </w:rPr>
            </w:pPr>
            <w:r w:rsidRPr="00423B76">
              <w:rPr>
                <w:rFonts w:ascii="GHEA Grapalat" w:hAnsi="GHEA Grapalat"/>
                <w:color w:val="0A0A0A"/>
                <w:sz w:val="20"/>
                <w:szCs w:val="20"/>
                <w:lang w:val="hy-AM"/>
              </w:rPr>
              <w:t>Տնտեսական համագործակցության օրակարգի ձևավորում, հայկական արտահանողների շահերի սպասարկում, ներդրումների ներգրավման խթանում.</w:t>
            </w:r>
          </w:p>
          <w:p w:rsidR="0068680D" w:rsidRPr="00423B76" w:rsidRDefault="0068680D" w:rsidP="0068680D">
            <w:pPr>
              <w:pStyle w:val="NormalWeb"/>
              <w:numPr>
                <w:ilvl w:val="0"/>
                <w:numId w:val="337"/>
              </w:numPr>
              <w:shd w:val="clear" w:color="auto" w:fill="FEFEFE"/>
              <w:spacing w:before="0" w:beforeAutospacing="0" w:after="0" w:afterAutospacing="0" w:line="276" w:lineRule="auto"/>
              <w:contextualSpacing/>
              <w:jc w:val="both"/>
              <w:rPr>
                <w:rFonts w:ascii="GHEA Grapalat" w:hAnsi="GHEA Grapalat"/>
                <w:color w:val="0A0A0A"/>
                <w:sz w:val="20"/>
                <w:szCs w:val="20"/>
                <w:lang w:val="hy-AM"/>
              </w:rPr>
            </w:pPr>
            <w:r w:rsidRPr="00423B76">
              <w:rPr>
                <w:rFonts w:ascii="GHEA Grapalat" w:hAnsi="GHEA Grapalat"/>
                <w:color w:val="0A0A0A"/>
                <w:sz w:val="20"/>
                <w:szCs w:val="20"/>
                <w:lang w:val="hy-AM"/>
              </w:rPr>
              <w:t>Թվարկված ֆունկցիաների տեսանկյունից նշանակման երկրում առևտրական մշտական ներկայացուցիչներ ունենալու արդյունավետություն.</w:t>
            </w:r>
          </w:p>
          <w:p w:rsidR="0068680D" w:rsidRPr="00423B76" w:rsidRDefault="0068680D" w:rsidP="0068680D">
            <w:pPr>
              <w:pStyle w:val="NormalWeb"/>
              <w:numPr>
                <w:ilvl w:val="0"/>
                <w:numId w:val="337"/>
              </w:numPr>
              <w:shd w:val="clear" w:color="auto" w:fill="FEFEFE"/>
              <w:spacing w:before="0" w:beforeAutospacing="0" w:after="0" w:afterAutospacing="0" w:line="276" w:lineRule="auto"/>
              <w:contextualSpacing/>
              <w:jc w:val="both"/>
              <w:rPr>
                <w:rFonts w:ascii="GHEA Grapalat" w:hAnsi="GHEA Grapalat"/>
                <w:color w:val="0A0A0A"/>
                <w:sz w:val="20"/>
                <w:szCs w:val="20"/>
                <w:lang w:val="hy-AM"/>
              </w:rPr>
            </w:pPr>
            <w:r w:rsidRPr="00423B76">
              <w:rPr>
                <w:rFonts w:ascii="GHEA Grapalat" w:hAnsi="GHEA Grapalat"/>
                <w:color w:val="0A0A0A"/>
                <w:sz w:val="20"/>
                <w:szCs w:val="20"/>
                <w:lang w:val="hy-AM"/>
              </w:rPr>
              <w:t>Նշանակնման երկրում կամավորության սկզբունքով համագործակցել ցանկացող անձանց հետ հետ հարաբերությունները.</w:t>
            </w:r>
          </w:p>
          <w:p w:rsidR="0068680D" w:rsidRPr="00423B76" w:rsidRDefault="0068680D" w:rsidP="0068680D">
            <w:pPr>
              <w:pStyle w:val="NormalWeb"/>
              <w:numPr>
                <w:ilvl w:val="0"/>
                <w:numId w:val="337"/>
              </w:numPr>
              <w:shd w:val="clear" w:color="auto" w:fill="FEFEFE"/>
              <w:spacing w:before="0" w:beforeAutospacing="0" w:after="0" w:afterAutospacing="0" w:line="276" w:lineRule="auto"/>
              <w:contextualSpacing/>
              <w:jc w:val="both"/>
              <w:rPr>
                <w:rFonts w:ascii="GHEA Grapalat" w:hAnsi="GHEA Grapalat"/>
                <w:color w:val="0A0A0A"/>
                <w:sz w:val="20"/>
                <w:szCs w:val="20"/>
                <w:lang w:val="hy-AM"/>
              </w:rPr>
            </w:pPr>
            <w:r w:rsidRPr="00423B76">
              <w:rPr>
                <w:rFonts w:ascii="GHEA Grapalat" w:hAnsi="GHEA Grapalat"/>
                <w:color w:val="0A0A0A"/>
                <w:sz w:val="20"/>
                <w:szCs w:val="20"/>
                <w:lang w:val="hy-AM"/>
              </w:rPr>
              <w:t>ԱԳՆ դիվանագիտական անձնակազմի ներգրավվածության հարցեր:</w:t>
            </w:r>
          </w:p>
          <w:p w:rsidR="0068680D" w:rsidRPr="00423B76" w:rsidRDefault="0068680D" w:rsidP="0068680D">
            <w:pPr>
              <w:pStyle w:val="ListParagraph"/>
              <w:numPr>
                <w:ilvl w:val="0"/>
                <w:numId w:val="438"/>
              </w:numPr>
              <w:spacing w:line="276" w:lineRule="auto"/>
              <w:rPr>
                <w:b/>
                <w:lang w:val="hy-AM"/>
              </w:rPr>
            </w:pPr>
            <w:r w:rsidRPr="00423B76">
              <w:rPr>
                <w:b/>
                <w:lang w:val="hy-AM"/>
              </w:rPr>
              <w:t>Միջոցառման իրականացումից ակնկալվող արդյունքը</w:t>
            </w:r>
          </w:p>
          <w:p w:rsidR="0068680D" w:rsidRPr="00423B76" w:rsidRDefault="0068680D" w:rsidP="00F47DC4">
            <w:pPr>
              <w:spacing w:line="276" w:lineRule="auto"/>
              <w:jc w:val="both"/>
              <w:rPr>
                <w:lang w:val="hy-AM"/>
              </w:rPr>
            </w:pPr>
            <w:r w:rsidRPr="00423B76">
              <w:rPr>
                <w:lang w:val="hy-AM"/>
              </w:rPr>
              <w:t>Միջոցառման իրականացման արդյունքում ակնկալվում է ՀՀ առևտրական կցորդների/ներկայացուցչությունների համակարգի առավել արդյունավետ մոդելի բացահայտում:</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15.</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outlineLvl w:val="0"/>
              <w:rPr>
                <w:rFonts w:ascii="GHEA Grapalat" w:hAnsi="GHEA Grapalat"/>
                <w:sz w:val="20"/>
                <w:szCs w:val="20"/>
                <w:lang w:val="hy-AM"/>
              </w:rPr>
            </w:pPr>
            <w:r>
              <w:rPr>
                <w:rFonts w:ascii="GHEA Grapalat" w:hAnsi="GHEA Grapalat"/>
                <w:sz w:val="20"/>
                <w:szCs w:val="20"/>
                <w:lang w:val="hy-AM"/>
              </w:rPr>
              <w:t>Օ</w:t>
            </w:r>
            <w:r w:rsidRPr="00423B76">
              <w:rPr>
                <w:rFonts w:ascii="GHEA Grapalat" w:hAnsi="GHEA Grapalat"/>
                <w:sz w:val="20"/>
                <w:szCs w:val="20"/>
                <w:lang w:val="hy-AM"/>
              </w:rPr>
              <w:t>տարերկրյա ներդրում</w:t>
            </w:r>
            <w:r w:rsidRPr="00423B76">
              <w:rPr>
                <w:rFonts w:ascii="GHEA Grapalat" w:hAnsi="GHEA Grapalat"/>
                <w:sz w:val="20"/>
                <w:szCs w:val="20"/>
                <w:lang w:val="hy-AM"/>
              </w:rPr>
              <w:softHyphen/>
              <w:t>ների պաշտպանության մեխանիզմների զարգա</w:t>
            </w:r>
            <w:r w:rsidRPr="00423B76">
              <w:rPr>
                <w:rFonts w:ascii="GHEA Grapalat" w:hAnsi="GHEA Grapalat"/>
                <w:sz w:val="20"/>
                <w:szCs w:val="20"/>
                <w:lang w:val="hy-AM"/>
              </w:rPr>
              <w:softHyphen/>
              <w:t>ցում</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15.1 </w:t>
            </w:r>
            <w:r w:rsidRPr="00423B76">
              <w:rPr>
                <w:rFonts w:ascii="GHEA Grapalat" w:hAnsi="GHEA Grapalat" w:cs="Sylfaen"/>
                <w:sz w:val="20"/>
                <w:szCs w:val="20"/>
                <w:lang w:val="hy-AM"/>
              </w:rPr>
              <w:t>Ներդրումային քաղաքակա</w:t>
            </w:r>
            <w:r w:rsidRPr="00423B76">
              <w:rPr>
                <w:rFonts w:ascii="GHEA Grapalat" w:hAnsi="GHEA Grapalat" w:cs="Sylfaen"/>
                <w:sz w:val="20"/>
                <w:szCs w:val="20"/>
                <w:lang w:val="hy-AM"/>
              </w:rPr>
              <w:softHyphen/>
              <w:t>նու</w:t>
            </w:r>
            <w:r w:rsidRPr="00423B76">
              <w:rPr>
                <w:rFonts w:ascii="GHEA Grapalat" w:hAnsi="GHEA Grapalat" w:cs="Sylfaen"/>
                <w:sz w:val="20"/>
                <w:szCs w:val="20"/>
                <w:lang w:val="hy-AM"/>
              </w:rPr>
              <w:softHyphen/>
              <w:t>թյան ուսումնասիրություն, վերանա</w:t>
            </w:r>
            <w:r w:rsidRPr="00423B76">
              <w:rPr>
                <w:rFonts w:ascii="GHEA Grapalat" w:hAnsi="GHEA Grapalat" w:cs="Sylfaen"/>
                <w:sz w:val="20"/>
                <w:szCs w:val="20"/>
                <w:lang w:val="hy-AM"/>
              </w:rPr>
              <w:softHyphen/>
              <w:t>յում և զեկույցի պատրաստում ՄԱԿ-ի Առևտրի և Զարգացման Համա</w:t>
            </w:r>
            <w:r w:rsidRPr="00423B76">
              <w:rPr>
                <w:rFonts w:ascii="GHEA Grapalat" w:hAnsi="GHEA Grapalat" w:cs="Sylfaen"/>
                <w:sz w:val="20"/>
                <w:szCs w:val="20"/>
                <w:lang w:val="hy-AM"/>
              </w:rPr>
              <w:softHyphen/>
              <w:t>ժող</w:t>
            </w:r>
            <w:r w:rsidRPr="00423B76">
              <w:rPr>
                <w:rFonts w:ascii="GHEA Grapalat" w:hAnsi="GHEA Grapalat" w:cs="Sylfaen"/>
                <w:sz w:val="20"/>
                <w:szCs w:val="20"/>
                <w:lang w:val="hy-AM"/>
              </w:rPr>
              <w:softHyphen/>
              <w:t>ովի (UNCTAD) աջակցությամբ</w:t>
            </w:r>
          </w:p>
          <w:p w:rsidR="0068680D" w:rsidRPr="00423B76" w:rsidRDefault="0068680D" w:rsidP="0068680D">
            <w:pPr>
              <w:pStyle w:val="ListParagraph"/>
              <w:numPr>
                <w:ilvl w:val="0"/>
                <w:numId w:val="341"/>
              </w:numPr>
              <w:spacing w:line="276" w:lineRule="auto"/>
              <w:contextualSpacing w:val="0"/>
              <w:jc w:val="both"/>
              <w:rPr>
                <w:b/>
                <w:color w:val="000000"/>
                <w:lang w:val="hy-AM"/>
              </w:rPr>
            </w:pPr>
            <w:r w:rsidRPr="00423B76">
              <w:rPr>
                <w:b/>
                <w:color w:val="000000"/>
                <w:lang w:val="hy-AM"/>
              </w:rPr>
              <w:t>Միջոցառման իրականացման անհրաժեշտությունը և նպատակը</w:t>
            </w:r>
          </w:p>
          <w:p w:rsidR="0068680D" w:rsidRPr="00423B76" w:rsidRDefault="0068680D" w:rsidP="00F47DC4">
            <w:pPr>
              <w:spacing w:line="276" w:lineRule="auto"/>
              <w:ind w:right="9"/>
              <w:jc w:val="both"/>
              <w:rPr>
                <w:bCs/>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5.6 բաժնի դրույթներով: </w:t>
            </w:r>
            <w:r w:rsidRPr="00423B76">
              <w:rPr>
                <w:rFonts w:cs="Sylfaen"/>
                <w:shd w:val="clear" w:color="auto" w:fill="FFFFFF"/>
                <w:lang w:val="hy-AM"/>
              </w:rPr>
              <w:t>Հայաստանում ներդրումային ոլորտում</w:t>
            </w:r>
            <w:r w:rsidRPr="00423B76">
              <w:rPr>
                <w:shd w:val="clear" w:color="auto" w:fill="FFFFFF"/>
                <w:lang w:val="hy-AM"/>
              </w:rPr>
              <w:t xml:space="preserve"> պետական քաղաքականության հիմնական նպատակներն են` </w:t>
            </w:r>
            <w:r w:rsidRPr="00423B76">
              <w:rPr>
                <w:rFonts w:cs="Sylfaen"/>
                <w:shd w:val="clear" w:color="auto" w:fill="FFFFFF"/>
                <w:lang w:val="hy-AM"/>
              </w:rPr>
              <w:t xml:space="preserve">ներդրումային միջավայրի բարելավում, օրենսդրական դաշտի կատարելագործում և Հայաստանի Հանրապետության տնտեսության մեջ ներդրումների, այդ թվում` օտարերկրյա ուղղակի ներդրումների խթանում: </w:t>
            </w:r>
            <w:r w:rsidRPr="00423B76">
              <w:rPr>
                <w:bCs/>
                <w:lang w:val="hy-AM"/>
              </w:rPr>
              <w:t>Ներդրումային</w:t>
            </w:r>
            <w:r w:rsidRPr="00423B76">
              <w:rPr>
                <w:bCs/>
                <w:lang w:val="it-IT"/>
              </w:rPr>
              <w:t xml:space="preserve"> </w:t>
            </w:r>
            <w:r w:rsidRPr="00423B76">
              <w:rPr>
                <w:bCs/>
                <w:lang w:val="hy-AM"/>
              </w:rPr>
              <w:t>քաղաքականության</w:t>
            </w:r>
            <w:r w:rsidRPr="00423B76">
              <w:rPr>
                <w:bCs/>
                <w:lang w:val="it-IT"/>
              </w:rPr>
              <w:t xml:space="preserve"> </w:t>
            </w:r>
            <w:r w:rsidRPr="00423B76">
              <w:rPr>
                <w:bCs/>
                <w:lang w:val="hy-AM"/>
              </w:rPr>
              <w:t>կատարելագործմամբ</w:t>
            </w:r>
            <w:r w:rsidRPr="00423B76">
              <w:rPr>
                <w:bCs/>
                <w:lang w:val="it-IT"/>
              </w:rPr>
              <w:t xml:space="preserve"> </w:t>
            </w:r>
            <w:r w:rsidRPr="00423B76">
              <w:rPr>
                <w:bCs/>
                <w:lang w:val="hy-AM"/>
              </w:rPr>
              <w:t>կիրագործվեն</w:t>
            </w:r>
            <w:r w:rsidRPr="00423B76">
              <w:rPr>
                <w:bCs/>
                <w:lang w:val="it-IT"/>
              </w:rPr>
              <w:t xml:space="preserve"> </w:t>
            </w:r>
            <w:r w:rsidRPr="00423B76">
              <w:rPr>
                <w:bCs/>
                <w:lang w:val="hy-AM"/>
              </w:rPr>
              <w:t>հետևյալ</w:t>
            </w:r>
            <w:r w:rsidRPr="00423B76">
              <w:rPr>
                <w:bCs/>
                <w:lang w:val="it-IT"/>
              </w:rPr>
              <w:t xml:space="preserve"> </w:t>
            </w:r>
            <w:r w:rsidRPr="00423B76">
              <w:rPr>
                <w:bCs/>
                <w:lang w:val="hy-AM"/>
              </w:rPr>
              <w:t>նպատակները</w:t>
            </w:r>
            <w:r w:rsidRPr="00423B76">
              <w:rPr>
                <w:bCs/>
                <w:lang w:val="it-IT"/>
              </w:rPr>
              <w:t xml:space="preserve">` </w:t>
            </w:r>
            <w:r w:rsidRPr="00423B76">
              <w:rPr>
                <w:bCs/>
                <w:lang w:val="hy-AM"/>
              </w:rPr>
              <w:t>ներդրողների համար առանցքային նշանակության ոլորտներ մուտք գործելու խոչընդոտների</w:t>
            </w:r>
            <w:r w:rsidRPr="00423B76">
              <w:rPr>
                <w:bCs/>
                <w:lang w:val="it-IT"/>
              </w:rPr>
              <w:t xml:space="preserve"> </w:t>
            </w:r>
            <w:r w:rsidRPr="00423B76">
              <w:rPr>
                <w:bCs/>
                <w:lang w:val="hy-AM"/>
              </w:rPr>
              <w:t>նվազում,</w:t>
            </w:r>
            <w:r w:rsidRPr="00423B76">
              <w:rPr>
                <w:bCs/>
                <w:lang w:val="it-IT"/>
              </w:rPr>
              <w:t xml:space="preserve"> </w:t>
            </w:r>
            <w:r w:rsidRPr="00423B76">
              <w:rPr>
                <w:bCs/>
                <w:lang w:val="hy-AM"/>
              </w:rPr>
              <w:t>ներդրողների պաշտպանվածության</w:t>
            </w:r>
            <w:r w:rsidRPr="00423B76">
              <w:rPr>
                <w:bCs/>
                <w:lang w:val="it-IT"/>
              </w:rPr>
              <w:t xml:space="preserve">, </w:t>
            </w:r>
            <w:r w:rsidRPr="00423B76">
              <w:rPr>
                <w:bCs/>
                <w:lang w:val="hy-AM"/>
              </w:rPr>
              <w:t>երաշխիքների մակարդակի և օրենսդրական դաշտի կայունության</w:t>
            </w:r>
            <w:r w:rsidRPr="00423B76">
              <w:rPr>
                <w:bCs/>
                <w:lang w:val="it-IT"/>
              </w:rPr>
              <w:t xml:space="preserve"> </w:t>
            </w:r>
            <w:r w:rsidRPr="00423B76">
              <w:rPr>
                <w:bCs/>
                <w:lang w:val="hy-AM"/>
              </w:rPr>
              <w:t>բարձրացում, ավելի թափանցիկ, արդյունավետ և գործուն խթանների համակարգ</w:t>
            </w:r>
            <w:r w:rsidRPr="00423B76">
              <w:rPr>
                <w:bCs/>
                <w:lang w:val="it-IT"/>
              </w:rPr>
              <w:t xml:space="preserve">, </w:t>
            </w:r>
            <w:r w:rsidRPr="00423B76">
              <w:rPr>
                <w:bCs/>
                <w:lang w:val="hy-AM"/>
              </w:rPr>
              <w:t>ինչի</w:t>
            </w:r>
            <w:r w:rsidRPr="00423B76">
              <w:rPr>
                <w:bCs/>
                <w:lang w:val="it-IT"/>
              </w:rPr>
              <w:t xml:space="preserve"> </w:t>
            </w:r>
            <w:r w:rsidRPr="00423B76">
              <w:rPr>
                <w:bCs/>
                <w:lang w:val="hy-AM"/>
              </w:rPr>
              <w:t>արդյունքում</w:t>
            </w:r>
            <w:r w:rsidRPr="00423B76">
              <w:rPr>
                <w:bCs/>
                <w:lang w:val="it-IT"/>
              </w:rPr>
              <w:t xml:space="preserve"> </w:t>
            </w:r>
            <w:r w:rsidRPr="00423B76">
              <w:rPr>
                <w:bCs/>
                <w:lang w:val="hy-AM"/>
              </w:rPr>
              <w:t>կարձանագրվի</w:t>
            </w:r>
            <w:r w:rsidRPr="00423B76">
              <w:rPr>
                <w:bCs/>
                <w:lang w:val="it-IT"/>
              </w:rPr>
              <w:t xml:space="preserve"> </w:t>
            </w:r>
            <w:r w:rsidRPr="00423B76">
              <w:rPr>
                <w:bCs/>
                <w:lang w:val="hy-AM"/>
              </w:rPr>
              <w:t>ներդրումների</w:t>
            </w:r>
            <w:r w:rsidRPr="00423B76">
              <w:rPr>
                <w:bCs/>
                <w:lang w:val="it-IT"/>
              </w:rPr>
              <w:t xml:space="preserve"> </w:t>
            </w:r>
            <w:r w:rsidRPr="00423B76">
              <w:rPr>
                <w:bCs/>
                <w:lang w:val="hy-AM"/>
              </w:rPr>
              <w:t>աճ</w:t>
            </w:r>
            <w:r w:rsidRPr="00423B76">
              <w:rPr>
                <w:bCs/>
                <w:lang w:val="it-IT"/>
              </w:rPr>
              <w:t>:</w:t>
            </w:r>
            <w:r w:rsidRPr="00423B76">
              <w:rPr>
                <w:bCs/>
                <w:lang w:val="hy-AM"/>
              </w:rPr>
              <w:t xml:space="preserve"> </w:t>
            </w:r>
          </w:p>
          <w:p w:rsidR="0068680D" w:rsidRPr="00423B76" w:rsidRDefault="0068680D" w:rsidP="00F47DC4">
            <w:pPr>
              <w:spacing w:line="276" w:lineRule="auto"/>
              <w:ind w:right="9"/>
              <w:jc w:val="both"/>
              <w:rPr>
                <w:bCs/>
                <w:lang w:val="hy-AM"/>
              </w:rPr>
            </w:pPr>
            <w:r w:rsidRPr="00423B76">
              <w:rPr>
                <w:lang w:val="nb-NO"/>
              </w:rPr>
              <w:t>ՄԱԿ-ի Առևտրի և Զարգացման Համաժողով</w:t>
            </w:r>
            <w:r w:rsidRPr="00423B76">
              <w:rPr>
                <w:lang w:val="hy-AM"/>
              </w:rPr>
              <w:t>ը</w:t>
            </w:r>
            <w:r w:rsidRPr="00423B76">
              <w:rPr>
                <w:lang w:val="nb-NO"/>
              </w:rPr>
              <w:t xml:space="preserve"> (</w:t>
            </w:r>
            <w:r w:rsidRPr="00423B76">
              <w:rPr>
                <w:lang w:val="hy-AM"/>
              </w:rPr>
              <w:t>UNCTAD</w:t>
            </w:r>
            <w:r w:rsidRPr="00423B76">
              <w:rPr>
                <w:lang w:val="nb-NO"/>
              </w:rPr>
              <w:t>)</w:t>
            </w:r>
            <w:r w:rsidRPr="00423B76">
              <w:rPr>
                <w:lang w:val="hy-AM"/>
              </w:rPr>
              <w:t xml:space="preserve"> ՄԱԿ-ի Քարտուղարության առևտրի և զարգացման հարցերով, ներառյալ օտարեկրյա ուղղակի ներդրումների (ՕՈՒՆ) հիմնական կոնտակտային կենտրոնն է: Այս առումով, այն համարվում է ներդրումային խորհրդատվական ծառայությունների և ՕՈՒՆ վերաբերող կարողությունների զարգացման աջակցության լավագույն կենտրոնը: Ներդրումային քաղաքականության վերանայումը (IPR) այդ ծրագրերից մեկն է, այն համապարփակ, պահանջարկի հիման վրա հիմնված կոնկրետ երկրի տեխնիկական աջակցության միջնաժամկետից երկարաժամկետ գործընթաց է: </w:t>
            </w:r>
          </w:p>
          <w:p w:rsidR="0068680D" w:rsidRPr="00423B76" w:rsidRDefault="0068680D" w:rsidP="0068680D">
            <w:pPr>
              <w:pStyle w:val="ListParagraph"/>
              <w:numPr>
                <w:ilvl w:val="1"/>
                <w:numId w:val="340"/>
              </w:numPr>
              <w:spacing w:line="276" w:lineRule="auto"/>
              <w:ind w:right="9"/>
              <w:contextualSpacing w:val="0"/>
              <w:jc w:val="both"/>
              <w:rPr>
                <w:rFonts w:eastAsia="Calibri" w:cs="GHEA Grapalat"/>
                <w:b/>
                <w:lang w:val="hy-AM"/>
              </w:rPr>
            </w:pPr>
            <w:r w:rsidRPr="00423B76">
              <w:rPr>
                <w:rFonts w:eastAsia="Calibri" w:cs="GHEA Grapalat"/>
                <w:b/>
                <w:lang w:val="hy-AM"/>
              </w:rPr>
              <w:t>Կարգավորման հարաբերությունների ներկա վիճակը և առկա խնդիրները</w:t>
            </w:r>
          </w:p>
          <w:p w:rsidR="0068680D" w:rsidRPr="00423B76" w:rsidRDefault="0068680D" w:rsidP="00F47DC4">
            <w:pPr>
              <w:spacing w:line="276" w:lineRule="auto"/>
              <w:ind w:right="9"/>
              <w:jc w:val="both"/>
              <w:rPr>
                <w:lang w:val="hy-AM"/>
              </w:rPr>
            </w:pPr>
            <w:r w:rsidRPr="00423B76">
              <w:rPr>
                <w:lang w:val="hy-AM"/>
              </w:rPr>
              <w:t>Վերջին տարիներին ՀՀ-ում նկատվում է ներդրումների, մասնավորապես օտարերկրյա ներդրումների նվազման միտում, ինչը նաև կարող է պայմանավորված լինել ներդրումային միջավայրի խոչընդոտներով, ներդրումային քաղաքականության անարդյունավետությամբ, ներդրողների անվստահությամբ և պաշտպանության մեխանիզմների անկատարությամբ:</w:t>
            </w:r>
          </w:p>
          <w:p w:rsidR="0068680D" w:rsidRPr="00423B76" w:rsidRDefault="0068680D" w:rsidP="0068680D">
            <w:pPr>
              <w:pStyle w:val="ListParagraph"/>
              <w:numPr>
                <w:ilvl w:val="1"/>
                <w:numId w:val="340"/>
              </w:numPr>
              <w:tabs>
                <w:tab w:val="left" w:pos="720"/>
              </w:tabs>
              <w:spacing w:line="276" w:lineRule="auto"/>
              <w:ind w:right="9"/>
              <w:contextualSpacing w:val="0"/>
              <w:jc w:val="both"/>
              <w:rPr>
                <w:color w:val="000000"/>
                <w:shd w:val="clear" w:color="auto" w:fill="FFFFFF"/>
                <w:lang w:val="hy-AM"/>
              </w:rPr>
            </w:pPr>
            <w:r w:rsidRPr="00423B76">
              <w:rPr>
                <w:rFonts w:eastAsia="Calibri" w:cs="GHEA Grapalat"/>
                <w:b/>
                <w:lang w:val="hy-AM"/>
              </w:rPr>
              <w:t>Առկա խնդիրների առաջարկվող լուծումները</w:t>
            </w:r>
          </w:p>
          <w:p w:rsidR="0068680D" w:rsidRPr="00423B76" w:rsidRDefault="0068680D" w:rsidP="00F47DC4">
            <w:pPr>
              <w:spacing w:line="276" w:lineRule="auto"/>
              <w:ind w:right="9"/>
              <w:jc w:val="both"/>
              <w:rPr>
                <w:lang w:val="hy-AM"/>
              </w:rPr>
            </w:pPr>
            <w:r w:rsidRPr="00423B76">
              <w:rPr>
                <w:lang w:val="hy-AM"/>
              </w:rPr>
              <w:t>Ներդրումային քաղաքականության վերանայումը գնահատում է երկրի քաղաքականությունը, նորմատիվ և ինստիտուցիոնալ միջավայրը ՕՈՒՆ համար` ընդհանուր տնտեսական և սոցիալական զարգացման նպատակներին համապատասխան:</w:t>
            </w:r>
          </w:p>
          <w:p w:rsidR="0068680D" w:rsidRPr="00423B76" w:rsidRDefault="0068680D" w:rsidP="00F47DC4">
            <w:pPr>
              <w:spacing w:line="276" w:lineRule="auto"/>
              <w:ind w:right="9"/>
              <w:jc w:val="both"/>
              <w:rPr>
                <w:lang w:val="hy-AM"/>
              </w:rPr>
            </w:pPr>
            <w:r w:rsidRPr="00423B76">
              <w:rPr>
                <w:lang w:val="hy-AM"/>
              </w:rPr>
              <w:t xml:space="preserve">ՄԱԿ-ի Առևտրի և Զարգացման Համաժողովի (UNCTAD) կողմից նախատեսվում է Հայաստանի համար պատրաստել «Ներդրումային քաղաքականության ուսումնասիրություն» զեկույցը, որից հետո կմշակվի դրանում տեղ գտած առաջարկությունների իրականացման ճանապարհային քարտեզը: </w:t>
            </w:r>
          </w:p>
          <w:p w:rsidR="0068680D" w:rsidRPr="00423B76" w:rsidRDefault="0068680D" w:rsidP="0068680D">
            <w:pPr>
              <w:pStyle w:val="ListParagraph"/>
              <w:numPr>
                <w:ilvl w:val="0"/>
                <w:numId w:val="340"/>
              </w:numPr>
              <w:spacing w:line="276" w:lineRule="auto"/>
              <w:ind w:left="360" w:right="9"/>
              <w:contextualSpacing w:val="0"/>
              <w:jc w:val="both"/>
              <w:rPr>
                <w:lang w:val="hy-AM"/>
              </w:rPr>
            </w:pPr>
            <w:r w:rsidRPr="00423B76">
              <w:rPr>
                <w:rFonts w:cs="Sylfaen"/>
                <w:b/>
                <w:color w:val="000000"/>
                <w:lang w:val="hy-AM"/>
              </w:rPr>
              <w:t>Միջոցառման</w:t>
            </w:r>
            <w:r w:rsidRPr="00423B76">
              <w:rPr>
                <w:b/>
                <w:color w:val="000000"/>
                <w:lang w:val="hy-AM"/>
              </w:rPr>
              <w:t xml:space="preserve"> իրականացումից ակնկալվող արդյունքը</w:t>
            </w:r>
          </w:p>
          <w:p w:rsidR="0068680D" w:rsidRDefault="0068680D" w:rsidP="00F47DC4">
            <w:pPr>
              <w:spacing w:line="276" w:lineRule="auto"/>
              <w:ind w:right="9"/>
              <w:jc w:val="both"/>
              <w:rPr>
                <w:lang w:val="hy-AM"/>
              </w:rPr>
            </w:pPr>
            <w:r w:rsidRPr="00423B76">
              <w:rPr>
                <w:lang w:val="hy-AM"/>
              </w:rPr>
              <w:t>Երկրի կարիքներին</w:t>
            </w:r>
            <w:r w:rsidRPr="00423B76">
              <w:rPr>
                <w:rFonts w:ascii="Calibri" w:hAnsi="Calibri" w:cs="Calibri"/>
                <w:lang w:val="hy-AM"/>
              </w:rPr>
              <w:t> </w:t>
            </w:r>
            <w:r w:rsidRPr="00423B76">
              <w:rPr>
                <w:lang w:val="hy-AM"/>
              </w:rPr>
              <w:t>հարմարեցված ուսումնասիրություն (ՕՈՒՆ իրավական, կարգավորիչ և ինստիտուցիոնալ հիմքերի գնահատում), որում ներառված առաջարկությունները հստակ են և ուղղված կոնկրետ գործողությունների:</w:t>
            </w:r>
          </w:p>
          <w:p w:rsidR="0068680D" w:rsidRPr="00423B76" w:rsidRDefault="0068680D" w:rsidP="00F47DC4">
            <w:pPr>
              <w:spacing w:line="276" w:lineRule="auto"/>
              <w:ind w:right="9"/>
              <w:jc w:val="both"/>
              <w:rPr>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15.2 </w:t>
            </w:r>
            <w:r w:rsidRPr="00423B76">
              <w:rPr>
                <w:rFonts w:ascii="GHEA Grapalat" w:hAnsi="GHEA Grapalat" w:cs="Sylfaen"/>
                <w:sz w:val="20"/>
                <w:szCs w:val="20"/>
                <w:lang w:val="hy-AM"/>
              </w:rPr>
              <w:t>«Ներդրումային քաղաքակա</w:t>
            </w:r>
            <w:r w:rsidRPr="00423B76">
              <w:rPr>
                <w:rFonts w:ascii="GHEA Grapalat" w:hAnsi="GHEA Grapalat" w:cs="Sylfaen"/>
                <w:sz w:val="20"/>
                <w:szCs w:val="20"/>
                <w:lang w:val="hy-AM"/>
              </w:rPr>
              <w:softHyphen/>
              <w:t>նութ</w:t>
            </w:r>
            <w:r w:rsidRPr="00423B76">
              <w:rPr>
                <w:rFonts w:ascii="GHEA Grapalat" w:hAnsi="GHEA Grapalat" w:cs="Sylfaen"/>
                <w:sz w:val="20"/>
                <w:szCs w:val="20"/>
                <w:lang w:val="hy-AM"/>
              </w:rPr>
              <w:softHyphen/>
              <w:t>յան ուսումնասիրություն» զեկույցի արդյունքների ներկայացում Հայաստանում և ՄԱԿ Առևտրի և Զարգացման Համաժողովի գլխամասում (Ժնև) կայանալիք նիստում</w:t>
            </w:r>
          </w:p>
          <w:p w:rsidR="0068680D" w:rsidRPr="00423B76" w:rsidRDefault="0068680D" w:rsidP="0068680D">
            <w:pPr>
              <w:pStyle w:val="ListParagraph"/>
              <w:numPr>
                <w:ilvl w:val="0"/>
                <w:numId w:val="405"/>
              </w:numPr>
              <w:spacing w:line="276" w:lineRule="auto"/>
              <w:contextualSpacing w:val="0"/>
              <w:jc w:val="both"/>
              <w:rPr>
                <w:b/>
                <w:color w:val="000000"/>
                <w:lang w:val="hy-AM"/>
              </w:rPr>
            </w:pPr>
            <w:r w:rsidRPr="00423B76">
              <w:rPr>
                <w:b/>
                <w:color w:val="000000"/>
                <w:lang w:val="hy-AM"/>
              </w:rPr>
              <w:t>Միջոցառման իրականացման անհրաժեշտությունը և նպատակը</w:t>
            </w:r>
          </w:p>
          <w:p w:rsidR="0068680D" w:rsidRPr="00423B76" w:rsidRDefault="0068680D" w:rsidP="00F47DC4">
            <w:pPr>
              <w:spacing w:line="276" w:lineRule="auto"/>
              <w:ind w:right="9"/>
              <w:jc w:val="both"/>
              <w:rPr>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5.6 բաժնի դրույթներով: </w:t>
            </w:r>
            <w:r w:rsidRPr="00423B76">
              <w:rPr>
                <w:lang w:val="nb-NO"/>
              </w:rPr>
              <w:t>ՄԱԿ-ի Առևտրի և Զարգացման Համաժողով</w:t>
            </w:r>
            <w:r w:rsidRPr="00423B76">
              <w:rPr>
                <w:lang w:val="hy-AM"/>
              </w:rPr>
              <w:t>ը</w:t>
            </w:r>
            <w:r w:rsidRPr="00423B76">
              <w:rPr>
                <w:lang w:val="nb-NO"/>
              </w:rPr>
              <w:t xml:space="preserve"> (</w:t>
            </w:r>
            <w:r w:rsidRPr="00423B76">
              <w:rPr>
                <w:lang w:val="hy-AM"/>
              </w:rPr>
              <w:t>UNCTAD</w:t>
            </w:r>
            <w:r w:rsidRPr="00423B76">
              <w:rPr>
                <w:lang w:val="nb-NO"/>
              </w:rPr>
              <w:t>)</w:t>
            </w:r>
            <w:r w:rsidRPr="00423B76">
              <w:rPr>
                <w:lang w:val="hy-AM"/>
              </w:rPr>
              <w:t xml:space="preserve"> ՄԱԿ-ի Քարտուղարության առևտրի և զարգացման հարցերով, ներառյալ օտարեկրյա ուղղակի ներդրումների (ՕՈՒՆ) հիմնական կոնտակտային կենտրոնն է: Այս առումով, այն համարվում է ներդրումային խորհրդատվական ծառայությունների և ՕՈՒՆ վերաբերող կարողությունների զարգացման աջակցության լավագույն կենտրոնը: Ներդրումային քաղաքականության վերանայումը (IPR) այդ ծրագրերից մեկն է, այն համապարփակ, պահանջարկի հիման վրա հիմնված կոնկրետ երկրի տեխնիկական աջակցության միջնաժամկետից երկարաժամկետ գործընթաց է: </w:t>
            </w:r>
            <w:r w:rsidRPr="00423B76">
              <w:rPr>
                <w:lang w:val="nb-NO"/>
              </w:rPr>
              <w:t>ՄԱԿ-ի Առևտրի և Զարգացման Համաժողովի (</w:t>
            </w:r>
            <w:r w:rsidRPr="00423B76">
              <w:rPr>
                <w:lang w:val="hy-AM"/>
              </w:rPr>
              <w:t>UNCTAD</w:t>
            </w:r>
            <w:r w:rsidRPr="00423B76">
              <w:rPr>
                <w:lang w:val="nb-NO"/>
              </w:rPr>
              <w:t xml:space="preserve">) կողմից նախատեսվում </w:t>
            </w:r>
            <w:r w:rsidRPr="00423B76">
              <w:rPr>
                <w:lang w:val="hy-AM"/>
              </w:rPr>
              <w:t xml:space="preserve">Հայաստանի համար պատրաստել «Ներդրումային քաղաքականության ուսումնասիրություն» զեկույց: Զեկույցը արդյունքները ներկայացվելու են Հայաստանում և ՄԱԿ Առևտրի և Զարգացման Համաժողովի (Ժնև) միջկառավարական մակարդակի Ներդրումների և Ձեռնարկությունների Զարգացման Հանձնաժողովի կայանալիք նիստում:  </w:t>
            </w:r>
          </w:p>
          <w:p w:rsidR="0068680D" w:rsidRPr="00423B76" w:rsidRDefault="0068680D" w:rsidP="0068680D">
            <w:pPr>
              <w:pStyle w:val="ListParagraph"/>
              <w:numPr>
                <w:ilvl w:val="1"/>
                <w:numId w:val="405"/>
              </w:numPr>
              <w:spacing w:line="276" w:lineRule="auto"/>
              <w:ind w:right="9"/>
              <w:jc w:val="both"/>
              <w:rPr>
                <w:rFonts w:eastAsia="Calibri" w:cs="GHEA Grapalat"/>
                <w:b/>
                <w:lang w:val="hy-AM"/>
              </w:rPr>
            </w:pPr>
            <w:r w:rsidRPr="00423B76">
              <w:rPr>
                <w:rFonts w:eastAsia="Calibri" w:cs="GHEA Grapalat"/>
                <w:b/>
                <w:lang w:val="hy-AM"/>
              </w:rPr>
              <w:t>Կարգավորման հարաբերությունների ներկա վիճակը և առկա խնդիրները</w:t>
            </w:r>
          </w:p>
          <w:p w:rsidR="0068680D" w:rsidRPr="00423B76" w:rsidRDefault="0068680D" w:rsidP="00F47DC4">
            <w:pPr>
              <w:spacing w:line="276" w:lineRule="auto"/>
              <w:ind w:right="9"/>
              <w:jc w:val="both"/>
              <w:rPr>
                <w:lang w:val="hy-AM"/>
              </w:rPr>
            </w:pPr>
            <w:r w:rsidRPr="00423B76">
              <w:rPr>
                <w:rFonts w:cs="Sylfaen"/>
                <w:lang w:val="hy-AM"/>
              </w:rPr>
              <w:t>Վերջին</w:t>
            </w:r>
            <w:r w:rsidRPr="00423B76">
              <w:rPr>
                <w:lang w:val="hy-AM"/>
              </w:rPr>
              <w:t xml:space="preserve"> տարիներին ՀՀ-ում նկատվում է ներդրումների, մասնավորապես օտարերկրյա ներդրումների նվազման միտում, ինչը նաև կարող է պայմանավորված լինել ներդրումային միջավայրի խոչընդոտներով, ներդրումային քաղաքականության անարդյունավետությամբ, ներդրողների անվստահությամբ և պաշտպանության մեխանիզմների անկատարությամբ:</w:t>
            </w:r>
          </w:p>
          <w:p w:rsidR="0068680D" w:rsidRPr="00423B76" w:rsidRDefault="0068680D" w:rsidP="0068680D">
            <w:pPr>
              <w:pStyle w:val="ListParagraph"/>
              <w:numPr>
                <w:ilvl w:val="1"/>
                <w:numId w:val="405"/>
              </w:numPr>
              <w:spacing w:line="276" w:lineRule="auto"/>
              <w:ind w:right="9"/>
              <w:jc w:val="both"/>
              <w:rPr>
                <w:rFonts w:eastAsia="Calibri" w:cs="GHEA Grapalat"/>
                <w:b/>
                <w:lang w:val="hy-AM"/>
              </w:rPr>
            </w:pPr>
            <w:r w:rsidRPr="00423B76">
              <w:rPr>
                <w:rFonts w:eastAsia="Calibri" w:cs="GHEA Grapalat"/>
                <w:b/>
                <w:lang w:val="hy-AM"/>
              </w:rPr>
              <w:t>Առկա խնդիրների առաջարկվող լուծումները</w:t>
            </w:r>
          </w:p>
          <w:p w:rsidR="0068680D" w:rsidRPr="00423B76" w:rsidRDefault="0068680D" w:rsidP="00F47DC4">
            <w:pPr>
              <w:spacing w:line="276" w:lineRule="auto"/>
              <w:ind w:right="9"/>
              <w:jc w:val="both"/>
              <w:rPr>
                <w:lang w:val="hy-AM"/>
              </w:rPr>
            </w:pPr>
            <w:r w:rsidRPr="00423B76">
              <w:rPr>
                <w:lang w:val="hy-AM"/>
              </w:rPr>
              <w:t>Զեկույցի արդյունքները ներկայացվելու են Հայաստանում և ՄԱԿ Առևտրի և Զարգացման Համաժողովի (Ժնև) միջկառավարական մակարդակի Ներդրումների և Ձեռնարկությունների Զարգացման Հանձնաժողովի կայանալիք նիստում: Ներկայացման ընթացքում մասնագիտական քննարկումների և զեկույցում տեղ գտած առաջարկությունների հիման վրա կմշակվի միջոցառումների ծրագիր, որի իրականացումը կհանգեցնի ՀՀ ներդրումային միջավայրի կատարելագործման և ներդրումային քաղաքականության արդյունավետության և երկրի ներդրումային համբավի բարձրացման:</w:t>
            </w:r>
          </w:p>
          <w:p w:rsidR="0068680D" w:rsidRPr="00423B76" w:rsidRDefault="0068680D" w:rsidP="0068680D">
            <w:pPr>
              <w:pStyle w:val="ListParagraph"/>
              <w:numPr>
                <w:ilvl w:val="0"/>
                <w:numId w:val="405"/>
              </w:numPr>
              <w:spacing w:line="276" w:lineRule="auto"/>
              <w:ind w:right="9"/>
              <w:contextualSpacing w:val="0"/>
              <w:jc w:val="both"/>
              <w:rPr>
                <w:lang w:val="hy-AM"/>
              </w:rPr>
            </w:pPr>
            <w:r w:rsidRPr="00423B76">
              <w:rPr>
                <w:rFonts w:cs="Sylfaen"/>
                <w:b/>
                <w:color w:val="000000"/>
                <w:lang w:val="hy-AM"/>
              </w:rPr>
              <w:t>Միջոցառման</w:t>
            </w:r>
            <w:r w:rsidRPr="00423B76">
              <w:rPr>
                <w:b/>
                <w:color w:val="000000"/>
                <w:lang w:val="hy-AM"/>
              </w:rPr>
              <w:t xml:space="preserve"> իրականացումից ակնկալվող արդյունքը</w:t>
            </w:r>
          </w:p>
          <w:p w:rsidR="0068680D" w:rsidRDefault="0068680D" w:rsidP="00F47DC4">
            <w:pPr>
              <w:spacing w:line="276" w:lineRule="auto"/>
              <w:ind w:right="9"/>
              <w:jc w:val="both"/>
              <w:rPr>
                <w:lang w:val="hy-AM"/>
              </w:rPr>
            </w:pPr>
            <w:r w:rsidRPr="00423B76">
              <w:rPr>
                <w:lang w:val="hy-AM"/>
              </w:rPr>
              <w:t>Բարեփոխումների միջոցառումների ծրագրի առկայություն, օտարերկրյա հանրությանը ՀՀ ներդրումային միջավայրի մասին տեղեկացում, ներդրումային համբավի բարձրացում:</w:t>
            </w:r>
          </w:p>
          <w:p w:rsidR="0068680D" w:rsidRPr="00423B76" w:rsidRDefault="0068680D" w:rsidP="00F47DC4">
            <w:pPr>
              <w:spacing w:line="276" w:lineRule="auto"/>
              <w:ind w:right="9"/>
              <w:jc w:val="both"/>
              <w:rPr>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15.3 </w:t>
            </w:r>
            <w:r w:rsidRPr="00423B76">
              <w:rPr>
                <w:rFonts w:ascii="GHEA Grapalat" w:hAnsi="GHEA Grapalat" w:cs="Sylfaen"/>
                <w:sz w:val="20"/>
                <w:szCs w:val="20"/>
                <w:lang w:val="hy-AM"/>
              </w:rPr>
              <w:t>Ամփոփված առաջարկություն</w:t>
            </w:r>
            <w:r w:rsidRPr="00423B76">
              <w:rPr>
                <w:rFonts w:ascii="GHEA Grapalat" w:hAnsi="GHEA Grapalat" w:cs="Sylfaen"/>
                <w:sz w:val="20"/>
                <w:szCs w:val="20"/>
                <w:lang w:val="hy-AM"/>
              </w:rPr>
              <w:softHyphen/>
              <w:t>ների հիման վրա միջոցառումների ծրագրի մշակում և իրականացում</w:t>
            </w:r>
          </w:p>
          <w:p w:rsidR="0068680D" w:rsidRPr="00423B76" w:rsidRDefault="0068680D" w:rsidP="0068680D">
            <w:pPr>
              <w:pStyle w:val="ListParagraph"/>
              <w:numPr>
                <w:ilvl w:val="0"/>
                <w:numId w:val="406"/>
              </w:numPr>
              <w:spacing w:line="276" w:lineRule="auto"/>
              <w:ind w:right="14"/>
              <w:contextualSpacing w:val="0"/>
              <w:rPr>
                <w:b/>
                <w:color w:val="000000"/>
                <w:lang w:val="hy-AM"/>
              </w:rPr>
            </w:pPr>
            <w:r w:rsidRPr="00423B76">
              <w:rPr>
                <w:rFonts w:cs="Sylfaen"/>
                <w:b/>
                <w:color w:val="000000"/>
                <w:lang w:val="hy-AM"/>
              </w:rPr>
              <w:t>Միջոցառման</w:t>
            </w:r>
            <w:r w:rsidRPr="00423B76">
              <w:rPr>
                <w:b/>
                <w:color w:val="000000"/>
                <w:lang w:val="hy-AM"/>
              </w:rPr>
              <w:t xml:space="preserve"> իրականացման անհրաժեշտությունը և նպատակը</w:t>
            </w:r>
          </w:p>
          <w:p w:rsidR="0068680D" w:rsidRPr="00423B76" w:rsidRDefault="0068680D" w:rsidP="00F47DC4">
            <w:pPr>
              <w:spacing w:line="276" w:lineRule="auto"/>
              <w:ind w:right="14"/>
              <w:jc w:val="both"/>
              <w:rPr>
                <w:rFonts w:cs="Sylfaen"/>
                <w:shd w:val="clear" w:color="auto" w:fill="FFFFFF"/>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5.6 բաժնի դրույթներով: </w:t>
            </w:r>
            <w:r w:rsidRPr="00423B76">
              <w:rPr>
                <w:rFonts w:cs="Sylfaen"/>
                <w:shd w:val="clear" w:color="auto" w:fill="FFFFFF"/>
                <w:lang w:val="hy-AM"/>
              </w:rPr>
              <w:t>Հայաստանում ներդրումային ոլորտում</w:t>
            </w:r>
            <w:r w:rsidRPr="00423B76">
              <w:rPr>
                <w:shd w:val="clear" w:color="auto" w:fill="FFFFFF"/>
                <w:lang w:val="hy-AM"/>
              </w:rPr>
              <w:t xml:space="preserve"> պետական քաղաքականության հիմնական նպատակներն են` </w:t>
            </w:r>
            <w:r w:rsidRPr="00423B76">
              <w:rPr>
                <w:rFonts w:cs="Sylfaen"/>
                <w:shd w:val="clear" w:color="auto" w:fill="FFFFFF"/>
                <w:lang w:val="hy-AM"/>
              </w:rPr>
              <w:t xml:space="preserve">ներդրումային միջավայրի բարելավումը, օրենսդրական դաշտի կատարելագործումը և Հայաստանի Հանրապետության տնտեսության մեջ ներդրումների, այդ թվում` օտարերկրյա ուղղակի ներդրումների ներգրավման խթանումը: </w:t>
            </w:r>
            <w:r w:rsidRPr="00423B76">
              <w:rPr>
                <w:rFonts w:cs="Sylfaen"/>
                <w:bCs/>
                <w:lang w:val="hy-AM"/>
              </w:rPr>
              <w:t>Ներդրումային</w:t>
            </w:r>
            <w:r w:rsidRPr="00423B76">
              <w:rPr>
                <w:bCs/>
                <w:lang w:val="it-IT"/>
              </w:rPr>
              <w:t xml:space="preserve"> </w:t>
            </w:r>
            <w:r w:rsidRPr="00423B76">
              <w:rPr>
                <w:bCs/>
                <w:lang w:val="hy-AM"/>
              </w:rPr>
              <w:t>քաղաքականության</w:t>
            </w:r>
            <w:r w:rsidRPr="00423B76">
              <w:rPr>
                <w:bCs/>
                <w:lang w:val="it-IT"/>
              </w:rPr>
              <w:t xml:space="preserve"> </w:t>
            </w:r>
            <w:r w:rsidRPr="00423B76">
              <w:rPr>
                <w:bCs/>
                <w:lang w:val="hy-AM"/>
              </w:rPr>
              <w:t>կատարելագործմամբ</w:t>
            </w:r>
            <w:r w:rsidRPr="00423B76">
              <w:rPr>
                <w:bCs/>
                <w:lang w:val="it-IT"/>
              </w:rPr>
              <w:t xml:space="preserve"> </w:t>
            </w:r>
            <w:r w:rsidRPr="00423B76">
              <w:rPr>
                <w:bCs/>
                <w:lang w:val="hy-AM"/>
              </w:rPr>
              <w:t>կիրագործվեն</w:t>
            </w:r>
            <w:r w:rsidRPr="00423B76">
              <w:rPr>
                <w:bCs/>
                <w:lang w:val="it-IT"/>
              </w:rPr>
              <w:t xml:space="preserve"> </w:t>
            </w:r>
            <w:r w:rsidRPr="00423B76">
              <w:rPr>
                <w:bCs/>
                <w:lang w:val="hy-AM"/>
              </w:rPr>
              <w:t>հետևյալ</w:t>
            </w:r>
            <w:r w:rsidRPr="00423B76">
              <w:rPr>
                <w:bCs/>
                <w:lang w:val="it-IT"/>
              </w:rPr>
              <w:t xml:space="preserve"> </w:t>
            </w:r>
            <w:r w:rsidRPr="00423B76">
              <w:rPr>
                <w:bCs/>
                <w:lang w:val="hy-AM"/>
              </w:rPr>
              <w:t>նպատակները</w:t>
            </w:r>
            <w:r w:rsidRPr="00423B76">
              <w:rPr>
                <w:bCs/>
                <w:lang w:val="it-IT"/>
              </w:rPr>
              <w:t xml:space="preserve">` </w:t>
            </w:r>
            <w:r w:rsidRPr="00423B76">
              <w:rPr>
                <w:bCs/>
                <w:lang w:val="hy-AM"/>
              </w:rPr>
              <w:t>ներդրողների համար առանցքային նշանակության ոլորտներ մուտք գործելու խոչընդոտների</w:t>
            </w:r>
            <w:r w:rsidRPr="00423B76">
              <w:rPr>
                <w:bCs/>
                <w:lang w:val="it-IT"/>
              </w:rPr>
              <w:t xml:space="preserve"> </w:t>
            </w:r>
            <w:r w:rsidRPr="00423B76">
              <w:rPr>
                <w:bCs/>
                <w:lang w:val="hy-AM"/>
              </w:rPr>
              <w:t>նվազում,</w:t>
            </w:r>
            <w:r w:rsidRPr="00423B76">
              <w:rPr>
                <w:bCs/>
                <w:lang w:val="it-IT"/>
              </w:rPr>
              <w:t xml:space="preserve"> </w:t>
            </w:r>
            <w:r w:rsidRPr="00423B76">
              <w:rPr>
                <w:bCs/>
                <w:lang w:val="hy-AM"/>
              </w:rPr>
              <w:t>ներդրողների պաշտպանվածության</w:t>
            </w:r>
            <w:r w:rsidRPr="00423B76">
              <w:rPr>
                <w:bCs/>
                <w:lang w:val="it-IT"/>
              </w:rPr>
              <w:t xml:space="preserve">, </w:t>
            </w:r>
            <w:r w:rsidRPr="00423B76">
              <w:rPr>
                <w:bCs/>
                <w:lang w:val="hy-AM"/>
              </w:rPr>
              <w:t>երաշխիքների մակարդակի և օրենսդրական դաշտի կայունության</w:t>
            </w:r>
            <w:r w:rsidRPr="00423B76">
              <w:rPr>
                <w:bCs/>
                <w:lang w:val="it-IT"/>
              </w:rPr>
              <w:t xml:space="preserve"> </w:t>
            </w:r>
            <w:r w:rsidRPr="00423B76">
              <w:rPr>
                <w:bCs/>
                <w:lang w:val="hy-AM"/>
              </w:rPr>
              <w:t>բարձրացում, ավելի թափանցիկ, արդյունավետ և գործուն խթանների համակարգ</w:t>
            </w:r>
            <w:r w:rsidRPr="00423B76">
              <w:rPr>
                <w:bCs/>
                <w:lang w:val="it-IT"/>
              </w:rPr>
              <w:t xml:space="preserve">, </w:t>
            </w:r>
            <w:r w:rsidRPr="00423B76">
              <w:rPr>
                <w:bCs/>
                <w:lang w:val="hy-AM"/>
              </w:rPr>
              <w:t>ինչի</w:t>
            </w:r>
            <w:r w:rsidRPr="00423B76">
              <w:rPr>
                <w:bCs/>
                <w:lang w:val="it-IT"/>
              </w:rPr>
              <w:t xml:space="preserve"> </w:t>
            </w:r>
            <w:r w:rsidRPr="00423B76">
              <w:rPr>
                <w:bCs/>
                <w:lang w:val="hy-AM"/>
              </w:rPr>
              <w:t>արդյունքում</w:t>
            </w:r>
            <w:r w:rsidRPr="00423B76">
              <w:rPr>
                <w:bCs/>
                <w:lang w:val="it-IT"/>
              </w:rPr>
              <w:t xml:space="preserve"> </w:t>
            </w:r>
            <w:r w:rsidRPr="00423B76">
              <w:rPr>
                <w:bCs/>
                <w:lang w:val="hy-AM"/>
              </w:rPr>
              <w:t>կարձանագրվի</w:t>
            </w:r>
            <w:r w:rsidRPr="00423B76">
              <w:rPr>
                <w:bCs/>
                <w:lang w:val="it-IT"/>
              </w:rPr>
              <w:t xml:space="preserve"> </w:t>
            </w:r>
            <w:r w:rsidRPr="00423B76">
              <w:rPr>
                <w:bCs/>
                <w:lang w:val="hy-AM"/>
              </w:rPr>
              <w:t>ներդրումների</w:t>
            </w:r>
            <w:r w:rsidRPr="00423B76">
              <w:rPr>
                <w:bCs/>
                <w:lang w:val="it-IT"/>
              </w:rPr>
              <w:t xml:space="preserve"> </w:t>
            </w:r>
            <w:r w:rsidRPr="00423B76">
              <w:rPr>
                <w:bCs/>
                <w:lang w:val="hy-AM"/>
              </w:rPr>
              <w:t>աճ</w:t>
            </w:r>
            <w:r w:rsidRPr="00423B76">
              <w:rPr>
                <w:bCs/>
                <w:lang w:val="it-IT"/>
              </w:rPr>
              <w:t>:</w:t>
            </w:r>
            <w:r w:rsidRPr="00423B76">
              <w:rPr>
                <w:bCs/>
                <w:lang w:val="hy-AM"/>
              </w:rPr>
              <w:t xml:space="preserve"> </w:t>
            </w:r>
          </w:p>
          <w:p w:rsidR="0068680D" w:rsidRPr="00423B76" w:rsidRDefault="0068680D" w:rsidP="00F47DC4">
            <w:pPr>
              <w:spacing w:line="276" w:lineRule="auto"/>
              <w:ind w:right="14"/>
              <w:jc w:val="both"/>
              <w:rPr>
                <w:rFonts w:cs="Sylfaen"/>
                <w:shd w:val="clear" w:color="auto" w:fill="FFFFFF"/>
                <w:lang w:val="it-IT"/>
              </w:rPr>
            </w:pPr>
            <w:r w:rsidRPr="00423B76">
              <w:rPr>
                <w:lang w:val="nb-NO"/>
              </w:rPr>
              <w:t>ՄԱԿ-ի Առևտրի և Զարգացման Համաժողով</w:t>
            </w:r>
            <w:r w:rsidRPr="00423B76">
              <w:rPr>
                <w:lang w:val="hy-AM"/>
              </w:rPr>
              <w:t>ը</w:t>
            </w:r>
            <w:r w:rsidRPr="00423B76">
              <w:rPr>
                <w:lang w:val="nb-NO"/>
              </w:rPr>
              <w:t xml:space="preserve"> (</w:t>
            </w:r>
            <w:r w:rsidRPr="00423B76">
              <w:rPr>
                <w:lang w:val="hy-AM"/>
              </w:rPr>
              <w:t>UNCTAD</w:t>
            </w:r>
            <w:r w:rsidRPr="00423B76">
              <w:rPr>
                <w:lang w:val="nb-NO"/>
              </w:rPr>
              <w:t>)</w:t>
            </w:r>
            <w:r w:rsidRPr="00423B76">
              <w:rPr>
                <w:lang w:val="hy-AM"/>
              </w:rPr>
              <w:t xml:space="preserve"> ՄԱԿ-ի Քարտուղարության առևտրի և զարգացման հարցերով, ներառյալ օտարեկրյա ուղղակի ներդրումների (ՕՈՒՆ) հիմնական կոնտակտային կենտրոնն է: Այս առումով, այն համարվում է ներդրումային խորհրդատվական ծառայությունների և ՕՈՒՆ վերաբերող կարողությունների զարգացման աջակցության լավագույն կենտրոնը: Ներդրումային քաղաքականության վերանայումը (IPR) այդ ծրագրերից մեկն է, այն համապարփակ, պահանջարկի հիման վրա հիմնված կոնկրետ երկրի տեխնիկական աջակցության միջնաժամկետից երկարաժամկետ գործընթաց է: </w:t>
            </w:r>
          </w:p>
          <w:p w:rsidR="0068680D" w:rsidRPr="00423B76" w:rsidRDefault="0068680D" w:rsidP="00F47DC4">
            <w:pPr>
              <w:spacing w:line="276" w:lineRule="auto"/>
              <w:ind w:right="14"/>
              <w:jc w:val="both"/>
              <w:rPr>
                <w:bCs/>
                <w:lang w:val="hy-AM"/>
              </w:rPr>
            </w:pPr>
            <w:r w:rsidRPr="00423B76">
              <w:rPr>
                <w:lang w:val="nb-NO"/>
              </w:rPr>
              <w:t>ՄԱԿ-ի Առևտրի և Զարգացման Համաժողովի (</w:t>
            </w:r>
            <w:r w:rsidRPr="00423B76">
              <w:rPr>
                <w:lang w:val="hy-AM"/>
              </w:rPr>
              <w:t>UNCTAD</w:t>
            </w:r>
            <w:r w:rsidRPr="00423B76">
              <w:rPr>
                <w:lang w:val="nb-NO"/>
              </w:rPr>
              <w:t xml:space="preserve">) կողմից նախատեսվում </w:t>
            </w:r>
            <w:r w:rsidRPr="00423B76">
              <w:rPr>
                <w:lang w:val="hy-AM"/>
              </w:rPr>
              <w:t xml:space="preserve">է Հայաստանի համար պատրաստել «Ներդրումային քաղաքականության ուսումնասիրություն» զեկույց: Զեկույցը արդյունքները ներկայացվելու են Հայաստանում և ՄԱԿ Առևտրի և Զարգացման Համաժողովի (Ժնև) միջկառավարական մակարդակի Ներդրումների և Ձեռնարկությունների Զարգացման Հանձնաժողովի կայանալիք նիստում:  </w:t>
            </w:r>
          </w:p>
          <w:p w:rsidR="0068680D" w:rsidRPr="00423B76" w:rsidRDefault="0068680D" w:rsidP="00F47DC4">
            <w:pPr>
              <w:spacing w:line="276" w:lineRule="auto"/>
              <w:ind w:right="14"/>
              <w:jc w:val="both"/>
              <w:rPr>
                <w:bCs/>
                <w:lang w:val="hy-AM"/>
              </w:rPr>
            </w:pPr>
            <w:r w:rsidRPr="00423B76">
              <w:rPr>
                <w:lang w:val="hy-AM"/>
              </w:rPr>
              <w:t>Արդյունքում կմշակվի կոնկրետ գործողություններին միտված միջոցառումների ծրագիր, որի իրականացումը կբերի ՀՀ ներդրումային միջավայրի կատարելագործման և ներդրումային քաղաքականության արդյունավետության և երկրի ներդրումային համբավի բարձրացման:</w:t>
            </w:r>
          </w:p>
          <w:p w:rsidR="0068680D" w:rsidRPr="00423B76" w:rsidRDefault="0068680D" w:rsidP="0068680D">
            <w:pPr>
              <w:pStyle w:val="ListParagraph"/>
              <w:numPr>
                <w:ilvl w:val="1"/>
                <w:numId w:val="341"/>
              </w:numPr>
              <w:spacing w:line="276" w:lineRule="auto"/>
              <w:ind w:right="14" w:hanging="11"/>
              <w:rPr>
                <w:rFonts w:eastAsia="Calibri" w:cs="GHEA Grapalat"/>
                <w:b/>
                <w:lang w:val="hy-AM"/>
              </w:rPr>
            </w:pPr>
            <w:r w:rsidRPr="00423B76">
              <w:rPr>
                <w:rFonts w:eastAsia="Calibri" w:cs="GHEA Grapalat"/>
                <w:b/>
                <w:lang w:val="hy-AM"/>
              </w:rPr>
              <w:t>Կարգավորման հարաբերությունների ներկա վիճակը և առկա խնդիրները</w:t>
            </w:r>
          </w:p>
          <w:p w:rsidR="0068680D" w:rsidRPr="00423B76" w:rsidRDefault="0068680D" w:rsidP="00F47DC4">
            <w:pPr>
              <w:spacing w:line="276" w:lineRule="auto"/>
              <w:ind w:right="14"/>
              <w:jc w:val="both"/>
              <w:rPr>
                <w:lang w:val="hy-AM"/>
              </w:rPr>
            </w:pPr>
            <w:r w:rsidRPr="00423B76">
              <w:rPr>
                <w:rFonts w:cs="Sylfaen"/>
                <w:lang w:val="hy-AM"/>
              </w:rPr>
              <w:t>Վերջին</w:t>
            </w:r>
            <w:r w:rsidRPr="00423B76">
              <w:rPr>
                <w:lang w:val="hy-AM"/>
              </w:rPr>
              <w:t xml:space="preserve"> տարիներին ՀՀ-ում նկատվում է ներդրումների, մասնավորապես օտարերկրյա ներդրումների նվազման միտում, ինչը նաև կարող է պայմանավորված լինել ներդրումային միջավայրի խոչընդոտներով, ներդրումային քաղաքականության անարդյունավետությամբ, ներդրողների անվստահությամբ և պաշտպանության մեխանիզմների անկատարությամբ:</w:t>
            </w:r>
          </w:p>
          <w:p w:rsidR="0068680D" w:rsidRPr="00423B76" w:rsidRDefault="0068680D" w:rsidP="0068680D">
            <w:pPr>
              <w:pStyle w:val="ListParagraph"/>
              <w:numPr>
                <w:ilvl w:val="1"/>
                <w:numId w:val="341"/>
              </w:numPr>
              <w:spacing w:line="276" w:lineRule="auto"/>
              <w:ind w:right="14" w:hanging="11"/>
              <w:rPr>
                <w:rFonts w:eastAsia="Calibri" w:cs="GHEA Grapalat"/>
                <w:b/>
                <w:lang w:val="hy-AM"/>
              </w:rPr>
            </w:pPr>
            <w:r w:rsidRPr="00423B76">
              <w:rPr>
                <w:rFonts w:eastAsia="Calibri" w:cs="GHEA Grapalat"/>
                <w:b/>
                <w:lang w:val="hy-AM"/>
              </w:rPr>
              <w:t>Առկա խնդիրների առաջարկվող լուծումները</w:t>
            </w:r>
          </w:p>
          <w:p w:rsidR="0068680D" w:rsidRPr="00423B76" w:rsidRDefault="0068680D" w:rsidP="00F47DC4">
            <w:pPr>
              <w:spacing w:line="276" w:lineRule="auto"/>
              <w:ind w:right="14"/>
              <w:jc w:val="both"/>
              <w:rPr>
                <w:lang w:val="hy-AM"/>
              </w:rPr>
            </w:pPr>
            <w:r w:rsidRPr="00423B76">
              <w:rPr>
                <w:lang w:val="hy-AM"/>
              </w:rPr>
              <w:t>Զեկույցի արդյունքները ներկայացվելու են Հայաստանում և ՄԱԿ Առևտրի և Զարգացման Համաժողովի (Ժնև) միջկառավարական մակարդակի Ներդրումների և Ձեռնարկությունների Զարգացման Հանձնաժողովի կայանալիք նիստում: Ներկայացման ընթացքում մասնագիտական քննարկումների և զեկույցում տեղ գտած առաջարկությունների հիման վրա կմշակվի միջոցառումների ծրագիր, որի իրականացումը կբերի ՀՀ ներդրումային միջավայրի կատարելագործման և ներդրումային քաղաքականության արդյունավետության և երկրի ներդրումային համբավի բարձրացման:</w:t>
            </w:r>
          </w:p>
          <w:p w:rsidR="0068680D" w:rsidRPr="00423B76" w:rsidRDefault="0068680D" w:rsidP="0068680D">
            <w:pPr>
              <w:pStyle w:val="ListParagraph"/>
              <w:numPr>
                <w:ilvl w:val="0"/>
                <w:numId w:val="406"/>
              </w:numPr>
              <w:spacing w:line="276" w:lineRule="auto"/>
              <w:ind w:left="360" w:right="14"/>
              <w:contextualSpacing w:val="0"/>
              <w:jc w:val="both"/>
              <w:rPr>
                <w:lang w:val="hy-AM"/>
              </w:rPr>
            </w:pPr>
            <w:r w:rsidRPr="00423B76">
              <w:rPr>
                <w:rFonts w:cs="Sylfaen"/>
                <w:b/>
                <w:color w:val="000000"/>
                <w:lang w:val="hy-AM"/>
              </w:rPr>
              <w:t>Միջոցառման</w:t>
            </w:r>
            <w:r w:rsidRPr="00423B76">
              <w:rPr>
                <w:b/>
                <w:color w:val="000000"/>
                <w:lang w:val="hy-AM"/>
              </w:rPr>
              <w:t xml:space="preserve"> իրականացումից ակնկալվող արդյունքը</w:t>
            </w:r>
          </w:p>
          <w:p w:rsidR="0068680D" w:rsidRDefault="0068680D" w:rsidP="00F47DC4">
            <w:pPr>
              <w:spacing w:line="276" w:lineRule="auto"/>
              <w:jc w:val="center"/>
              <w:rPr>
                <w:rFonts w:cs="Sylfaen"/>
                <w:b/>
                <w:caps/>
                <w:lang w:val="hy-AM"/>
              </w:rPr>
            </w:pPr>
            <w:r w:rsidRPr="00423B76">
              <w:rPr>
                <w:lang w:val="hy-AM"/>
              </w:rPr>
              <w:t>Ներդրումային քաղաքականության բարելավման ճանապարհային քարտեզի մշակում:</w:t>
            </w: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sz w:val="18"/>
                <w:lang w:val="hy-AM"/>
              </w:rPr>
              <w:t>16</w:t>
            </w:r>
            <w:r w:rsidRPr="003322CC">
              <w:rPr>
                <w:rFonts w:cs="Sylfaen"/>
                <w:b/>
                <w:caps/>
                <w:sz w:val="18"/>
                <w:lang w:val="hy-AM"/>
              </w:rPr>
              <w:t>.</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r>
              <w:rPr>
                <w:rFonts w:ascii="GHEA Grapalat" w:hAnsi="GHEA Grapalat"/>
                <w:sz w:val="20"/>
                <w:szCs w:val="20"/>
                <w:lang w:val="hy-AM"/>
              </w:rPr>
              <w:t>Պ</w:t>
            </w:r>
            <w:r w:rsidRPr="00423B76">
              <w:rPr>
                <w:rFonts w:ascii="GHEA Grapalat" w:hAnsi="GHEA Grapalat"/>
                <w:sz w:val="20"/>
                <w:szCs w:val="20"/>
                <w:lang w:val="hy-AM"/>
              </w:rPr>
              <w:t>ետություն-մասնավոր գործընկերության իրավական կարգավո</w:t>
            </w:r>
            <w:r w:rsidRPr="00423B76">
              <w:rPr>
                <w:rFonts w:ascii="GHEA Grapalat" w:hAnsi="GHEA Grapalat"/>
                <w:sz w:val="20"/>
                <w:szCs w:val="20"/>
                <w:lang w:val="hy-AM"/>
              </w:rPr>
              <w:softHyphen/>
              <w:t>րում</w:t>
            </w:r>
            <w:r w:rsidRPr="00423B76">
              <w:rPr>
                <w:rFonts w:ascii="GHEA Grapalat" w:hAnsi="GHEA Grapalat"/>
                <w:sz w:val="20"/>
                <w:szCs w:val="20"/>
                <w:lang w:val="hy-AM"/>
              </w:rPr>
              <w:softHyphen/>
              <w:t xml:space="preserve">ների </w:t>
            </w:r>
            <w:r>
              <w:rPr>
                <w:rFonts w:ascii="GHEA Grapalat" w:hAnsi="GHEA Grapalat"/>
                <w:sz w:val="20"/>
                <w:szCs w:val="20"/>
                <w:lang w:val="hy-AM"/>
              </w:rPr>
              <w:t>և</w:t>
            </w:r>
            <w:r w:rsidRPr="00423B76">
              <w:rPr>
                <w:rFonts w:ascii="GHEA Grapalat" w:hAnsi="GHEA Grapalat"/>
                <w:sz w:val="20"/>
                <w:szCs w:val="20"/>
                <w:lang w:val="hy-AM"/>
              </w:rPr>
              <w:t xml:space="preserve"> դրանց կիրառության ինստի</w:t>
            </w:r>
            <w:r w:rsidRPr="00423B76">
              <w:rPr>
                <w:rFonts w:ascii="GHEA Grapalat" w:hAnsi="GHEA Grapalat"/>
                <w:sz w:val="20"/>
                <w:szCs w:val="20"/>
                <w:lang w:val="hy-AM"/>
              </w:rPr>
              <w:softHyphen/>
              <w:t>տու</w:t>
            </w:r>
            <w:r w:rsidRPr="00423B76">
              <w:rPr>
                <w:rFonts w:ascii="GHEA Grapalat" w:hAnsi="GHEA Grapalat"/>
                <w:sz w:val="20"/>
                <w:szCs w:val="20"/>
                <w:lang w:val="hy-AM"/>
              </w:rPr>
              <w:softHyphen/>
              <w:t>ցիոնալ կարողութ</w:t>
            </w:r>
            <w:r w:rsidRPr="00423B76">
              <w:rPr>
                <w:rFonts w:ascii="GHEA Grapalat" w:hAnsi="GHEA Grapalat"/>
                <w:sz w:val="20"/>
                <w:szCs w:val="20"/>
                <w:lang w:val="hy-AM"/>
              </w:rPr>
              <w:softHyphen/>
              <w:t>յուն</w:t>
            </w:r>
            <w:r w:rsidRPr="00423B76">
              <w:rPr>
                <w:rFonts w:ascii="GHEA Grapalat" w:hAnsi="GHEA Grapalat"/>
                <w:sz w:val="20"/>
                <w:szCs w:val="20"/>
                <w:lang w:val="hy-AM"/>
              </w:rPr>
              <w:softHyphen/>
              <w:t>ների զարգացում</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w:t>
            </w: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16.1 </w:t>
            </w:r>
            <w:r w:rsidRPr="00423B76">
              <w:rPr>
                <w:rFonts w:ascii="GHEA Grapalat" w:hAnsi="GHEA Grapalat" w:cs="Sylfaen"/>
                <w:sz w:val="20"/>
                <w:szCs w:val="20"/>
                <w:lang w:val="hy-AM"/>
              </w:rPr>
              <w:t>Պետական-մասնավոր գործընկերության մասին ՀՀ օրենքի ուժի մեջ մտնելուց հետո անհրաժեշտ կանոնակարգերի և մեթոդաբանական ձեռնարկների մշակում և ներկայացում ՀՀ վարչապետի աշխատակազմի</w:t>
            </w:r>
          </w:p>
          <w:p w:rsidR="0068680D" w:rsidRPr="00423B76" w:rsidRDefault="0068680D" w:rsidP="0068680D">
            <w:pPr>
              <w:pStyle w:val="ListParagraph"/>
              <w:numPr>
                <w:ilvl w:val="0"/>
                <w:numId w:val="407"/>
              </w:numPr>
              <w:spacing w:line="276" w:lineRule="auto"/>
              <w:contextualSpacing w:val="0"/>
              <w:jc w:val="both"/>
              <w:rPr>
                <w:b/>
                <w:color w:val="000000"/>
                <w:lang w:val="hy-AM"/>
              </w:rPr>
            </w:pPr>
            <w:r w:rsidRPr="00423B76">
              <w:rPr>
                <w:rFonts w:cs="Sylfaen"/>
                <w:b/>
                <w:color w:val="000000"/>
                <w:lang w:val="hy-AM"/>
              </w:rPr>
              <w:t>Միջոցառման</w:t>
            </w:r>
            <w:r w:rsidRPr="00423B76">
              <w:rPr>
                <w:b/>
                <w:color w:val="000000"/>
                <w:lang w:val="hy-AM"/>
              </w:rPr>
              <w:t xml:space="preserve"> իրականացման անհրաժեշտությունը և նպատակը</w:t>
            </w:r>
          </w:p>
          <w:p w:rsidR="0068680D" w:rsidRPr="00423B76" w:rsidRDefault="0068680D" w:rsidP="00F47DC4">
            <w:pPr>
              <w:spacing w:line="276" w:lineRule="auto"/>
              <w:jc w:val="both"/>
              <w:rPr>
                <w:rFonts w:eastAsia="Calibri" w:cs="GHEA Grapalat"/>
                <w:b/>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5.6 բաժնի դրույթներով: </w:t>
            </w:r>
            <w:r w:rsidRPr="00423B76">
              <w:rPr>
                <w:rFonts w:cs="Sylfaen"/>
                <w:lang w:val="hy-AM"/>
              </w:rPr>
              <w:t>Միջոցառման</w:t>
            </w:r>
            <w:r w:rsidRPr="00423B76">
              <w:rPr>
                <w:lang w:val="hy-AM"/>
              </w:rPr>
              <w:t xml:space="preserve"> իրականացման անհրաժեշտությունը պայմանավորված է պետություն-մասնավոր գործընկերության (ՊՄԳ) օրենսդրական դաշտի բարելավմամբ, ինչպես նաև </w:t>
            </w:r>
            <w:r w:rsidRPr="00423B76">
              <w:rPr>
                <w:rFonts w:eastAsia="Calibri" w:cs="Sylfaen"/>
                <w:lang w:val="hy-AM"/>
              </w:rPr>
              <w:t>Հայաստանում արդյունավետ ՊՄԳ ծրագրի պատրաստման, գնման և կառավարման աշխատանքների ապահովման նպատակով</w:t>
            </w:r>
            <w:r w:rsidRPr="00423B76">
              <w:rPr>
                <w:rFonts w:eastAsia="Calibri" w:cs="Sylfaen"/>
                <w:lang w:val="es-ES"/>
              </w:rPr>
              <w:t xml:space="preserve"> </w:t>
            </w:r>
            <w:r w:rsidRPr="00423B76">
              <w:rPr>
                <w:lang w:val="hy-AM"/>
              </w:rPr>
              <w:t>անհրաժեշտ կանոնակարգերի ու</w:t>
            </w:r>
            <w:r w:rsidRPr="00423B76">
              <w:rPr>
                <w:rFonts w:cs="Courier New"/>
                <w:lang w:val="hy-AM"/>
              </w:rPr>
              <w:t xml:space="preserve"> </w:t>
            </w:r>
            <w:r w:rsidRPr="00423B76">
              <w:rPr>
                <w:lang w:val="hy-AM"/>
              </w:rPr>
              <w:t>մեթոդաբանական ձեռնարկների և</w:t>
            </w:r>
            <w:r w:rsidRPr="00423B76">
              <w:rPr>
                <w:lang w:val="es-ES"/>
              </w:rPr>
              <w:t xml:space="preserve"> </w:t>
            </w:r>
            <w:r w:rsidRPr="00423B76">
              <w:rPr>
                <w:lang w:val="hy-AM"/>
              </w:rPr>
              <w:t>ուղեցույցների մշակմամբ, որտեղ</w:t>
            </w:r>
            <w:r w:rsidRPr="00423B76">
              <w:rPr>
                <w:rFonts w:eastAsia="Calibri" w:cs="Sylfaen"/>
                <w:lang w:val="hy-AM"/>
              </w:rPr>
              <w:t xml:space="preserve"> մանրամասն կնկարագրվեն </w:t>
            </w:r>
            <w:r w:rsidRPr="00423B76">
              <w:rPr>
                <w:lang w:val="hy-AM"/>
              </w:rPr>
              <w:t xml:space="preserve">միջազգային լավագույն փորձին համապատասխան հաջողված ՊՄԳ ծրագրեր իրականացնելու ընթացակարգերը, քայլերն ու դրանց իրականացման հաջորդականությունը: </w:t>
            </w:r>
          </w:p>
          <w:p w:rsidR="0068680D" w:rsidRPr="00423B76" w:rsidRDefault="0068680D" w:rsidP="0068680D">
            <w:pPr>
              <w:pStyle w:val="ListParagraph"/>
              <w:numPr>
                <w:ilvl w:val="1"/>
                <w:numId w:val="407"/>
              </w:numPr>
              <w:spacing w:line="276" w:lineRule="auto"/>
              <w:ind w:left="810" w:hanging="450"/>
              <w:contextualSpacing w:val="0"/>
              <w:jc w:val="both"/>
              <w:rPr>
                <w:rFonts w:eastAsia="Calibri" w:cs="GHEA Grapalat"/>
                <w:b/>
                <w:lang w:val="hy-AM"/>
              </w:rPr>
            </w:pPr>
            <w:r w:rsidRPr="00423B76">
              <w:rPr>
                <w:rFonts w:eastAsia="Calibri" w:cs="GHEA Grapalat"/>
                <w:b/>
                <w:lang w:val="hy-AM"/>
              </w:rPr>
              <w:t>Կարգավորման հարաբերությունների ներկա վիճակը և առկա խնդիրները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Ներկայումս ՊՄԳ-ն կարգավորող համակողմանի օրենդրության բացակայությունը խոչընդոտում է ինստիտուտի լիարժեք զարգացումը` որոշակի ռիսկեր առաջացնելով ՊՄԳ ծրագերի ընտրության և իրականացման բոլոր փուլերում:</w:t>
            </w:r>
          </w:p>
          <w:p w:rsidR="0068680D" w:rsidRPr="00423B76" w:rsidRDefault="0068680D" w:rsidP="0068680D">
            <w:pPr>
              <w:pStyle w:val="ListParagraph"/>
              <w:numPr>
                <w:ilvl w:val="1"/>
                <w:numId w:val="407"/>
              </w:numPr>
              <w:spacing w:line="276" w:lineRule="auto"/>
              <w:ind w:left="810" w:hanging="450"/>
              <w:contextualSpacing w:val="0"/>
              <w:jc w:val="both"/>
              <w:rPr>
                <w:color w:val="000000"/>
                <w:shd w:val="clear" w:color="auto" w:fill="FFFFFF"/>
                <w:lang w:val="hy-AM"/>
              </w:rPr>
            </w:pPr>
            <w:r w:rsidRPr="00423B76">
              <w:rPr>
                <w:rFonts w:eastAsia="Calibri" w:cs="GHEA Grapalat"/>
                <w:b/>
                <w:lang w:val="hy-AM"/>
              </w:rPr>
              <w:t>Առկա խնդիրների առաջարկվող լուծումները</w:t>
            </w:r>
          </w:p>
          <w:p w:rsidR="0068680D" w:rsidRPr="00423B76" w:rsidRDefault="0068680D" w:rsidP="00F47DC4">
            <w:pPr>
              <w:spacing w:line="276" w:lineRule="auto"/>
              <w:jc w:val="both"/>
              <w:rPr>
                <w:lang w:val="hy-AM"/>
              </w:rPr>
            </w:pPr>
            <w:r w:rsidRPr="00423B76">
              <w:rPr>
                <w:rFonts w:cs="Sylfaen"/>
                <w:lang w:val="hy-AM"/>
              </w:rPr>
              <w:t>Հայաստանում</w:t>
            </w:r>
            <w:r w:rsidRPr="00423B76">
              <w:rPr>
                <w:lang w:val="hy-AM"/>
              </w:rPr>
              <w:t xml:space="preserve"> </w:t>
            </w:r>
            <w:r w:rsidRPr="00423B76">
              <w:rPr>
                <w:rFonts w:cs="Sylfaen"/>
                <w:lang w:val="hy-AM"/>
              </w:rPr>
              <w:t>ՊՄԳ</w:t>
            </w:r>
            <w:r w:rsidRPr="00423B76">
              <w:rPr>
                <w:lang w:val="hy-AM"/>
              </w:rPr>
              <w:t>-</w:t>
            </w:r>
            <w:r w:rsidRPr="00423B76">
              <w:rPr>
                <w:rFonts w:cs="Sylfaen"/>
                <w:lang w:val="hy-AM"/>
              </w:rPr>
              <w:t>ների</w:t>
            </w:r>
            <w:r w:rsidRPr="00423B76">
              <w:rPr>
                <w:lang w:val="hy-AM"/>
              </w:rPr>
              <w:t xml:space="preserve"> </w:t>
            </w:r>
            <w:r w:rsidRPr="00423B76">
              <w:rPr>
                <w:rFonts w:cs="Sylfaen"/>
                <w:lang w:val="hy-AM"/>
              </w:rPr>
              <w:t>սահմանման</w:t>
            </w:r>
            <w:r w:rsidRPr="00423B76">
              <w:rPr>
                <w:lang w:val="hy-AM"/>
              </w:rPr>
              <w:t xml:space="preserve">, </w:t>
            </w:r>
            <w:r w:rsidRPr="00423B76">
              <w:rPr>
                <w:rFonts w:cs="Sylfaen"/>
                <w:lang w:val="hy-AM"/>
              </w:rPr>
              <w:t>շնորհման</w:t>
            </w:r>
            <w:r w:rsidRPr="00423B76">
              <w:rPr>
                <w:lang w:val="hy-AM"/>
              </w:rPr>
              <w:t xml:space="preserve"> </w:t>
            </w:r>
            <w:r w:rsidRPr="00423B76">
              <w:rPr>
                <w:rFonts w:cs="Sylfaen"/>
                <w:lang w:val="hy-AM"/>
              </w:rPr>
              <w:t>և</w:t>
            </w:r>
            <w:r w:rsidRPr="00423B76">
              <w:rPr>
                <w:lang w:val="hy-AM"/>
              </w:rPr>
              <w:t xml:space="preserve"> </w:t>
            </w:r>
            <w:r w:rsidRPr="00423B76">
              <w:rPr>
                <w:rFonts w:cs="Sylfaen"/>
                <w:lang w:val="hy-AM"/>
              </w:rPr>
              <w:t>իրականացման</w:t>
            </w:r>
            <w:r w:rsidRPr="00423B76">
              <w:rPr>
                <w:lang w:val="hy-AM"/>
              </w:rPr>
              <w:t xml:space="preserve"> </w:t>
            </w:r>
            <w:r w:rsidRPr="00423B76">
              <w:rPr>
                <w:rFonts w:cs="Sylfaen"/>
                <w:lang w:val="hy-AM"/>
              </w:rPr>
              <w:t>մասով</w:t>
            </w:r>
            <w:r w:rsidRPr="00423B76">
              <w:rPr>
                <w:lang w:val="hy-AM"/>
              </w:rPr>
              <w:t xml:space="preserve"> </w:t>
            </w:r>
            <w:r w:rsidRPr="00423B76">
              <w:rPr>
                <w:rFonts w:cs="Sylfaen"/>
                <w:lang w:val="hy-AM"/>
              </w:rPr>
              <w:t>կիրառելի</w:t>
            </w:r>
            <w:r w:rsidRPr="00423B76">
              <w:rPr>
                <w:lang w:val="hy-AM"/>
              </w:rPr>
              <w:t xml:space="preserve"> </w:t>
            </w:r>
            <w:r w:rsidRPr="00423B76">
              <w:rPr>
                <w:rFonts w:cs="Sylfaen"/>
                <w:lang w:val="hy-AM"/>
              </w:rPr>
              <w:t>կանոն</w:t>
            </w:r>
            <w:r w:rsidRPr="00423B76">
              <w:rPr>
                <w:lang w:val="hy-AM"/>
              </w:rPr>
              <w:softHyphen/>
            </w:r>
            <w:r w:rsidRPr="00423B76">
              <w:rPr>
                <w:rFonts w:cs="Sylfaen"/>
                <w:lang w:val="hy-AM"/>
              </w:rPr>
              <w:t>ների</w:t>
            </w:r>
            <w:r w:rsidRPr="00423B76">
              <w:rPr>
                <w:lang w:val="hy-AM"/>
              </w:rPr>
              <w:t xml:space="preserve"> </w:t>
            </w:r>
            <w:r w:rsidRPr="00423B76">
              <w:rPr>
                <w:rFonts w:cs="Sylfaen"/>
                <w:lang w:val="hy-AM"/>
              </w:rPr>
              <w:t>և</w:t>
            </w:r>
            <w:r w:rsidRPr="00423B76">
              <w:rPr>
                <w:lang w:val="hy-AM"/>
              </w:rPr>
              <w:t xml:space="preserve"> </w:t>
            </w:r>
            <w:r w:rsidRPr="00423B76">
              <w:rPr>
                <w:rFonts w:cs="Sylfaen"/>
                <w:lang w:val="hy-AM"/>
              </w:rPr>
              <w:t>ընթացակարգերի</w:t>
            </w:r>
            <w:r w:rsidRPr="00423B76">
              <w:rPr>
                <w:lang w:val="hy-AM"/>
              </w:rPr>
              <w:t xml:space="preserve"> </w:t>
            </w:r>
            <w:r w:rsidRPr="00423B76">
              <w:rPr>
                <w:rFonts w:cs="Sylfaen"/>
                <w:lang w:val="hy-AM"/>
              </w:rPr>
              <w:t>հստակ</w:t>
            </w:r>
            <w:r w:rsidRPr="00423B76">
              <w:rPr>
                <w:lang w:val="hy-AM"/>
              </w:rPr>
              <w:t xml:space="preserve"> </w:t>
            </w:r>
            <w:r w:rsidRPr="00423B76">
              <w:rPr>
                <w:rFonts w:cs="Sylfaen"/>
                <w:lang w:val="hy-AM"/>
              </w:rPr>
              <w:t>հա</w:t>
            </w:r>
            <w:r w:rsidRPr="00423B76">
              <w:rPr>
                <w:lang w:val="hy-AM"/>
              </w:rPr>
              <w:softHyphen/>
            </w:r>
            <w:r w:rsidRPr="00423B76">
              <w:rPr>
                <w:rFonts w:cs="Sylfaen"/>
                <w:lang w:val="hy-AM"/>
              </w:rPr>
              <w:t>մա</w:t>
            </w:r>
            <w:r w:rsidRPr="00423B76">
              <w:rPr>
                <w:lang w:val="hy-AM"/>
              </w:rPr>
              <w:softHyphen/>
            </w:r>
            <w:r w:rsidRPr="00423B76">
              <w:rPr>
                <w:rFonts w:cs="Sylfaen"/>
                <w:lang w:val="hy-AM"/>
              </w:rPr>
              <w:t>խմբի մշակում</w:t>
            </w:r>
            <w:r w:rsidRPr="00423B76">
              <w:rPr>
                <w:lang w:val="hy-AM"/>
              </w:rPr>
              <w:t xml:space="preserve">, </w:t>
            </w:r>
            <w:r w:rsidRPr="00423B76">
              <w:rPr>
                <w:rFonts w:cs="Sylfaen"/>
                <w:lang w:val="hy-AM"/>
              </w:rPr>
              <w:t>որը</w:t>
            </w:r>
            <w:r w:rsidRPr="00423B76">
              <w:rPr>
                <w:lang w:val="hy-AM"/>
              </w:rPr>
              <w:t xml:space="preserve"> </w:t>
            </w:r>
            <w:r w:rsidRPr="00423B76">
              <w:rPr>
                <w:rFonts w:cs="Sylfaen"/>
                <w:lang w:val="hy-AM"/>
              </w:rPr>
              <w:t>կօժանդակի</w:t>
            </w:r>
            <w:r w:rsidRPr="00423B76">
              <w:rPr>
                <w:lang w:val="hy-AM"/>
              </w:rPr>
              <w:t xml:space="preserve"> </w:t>
            </w:r>
            <w:r w:rsidRPr="00423B76">
              <w:rPr>
                <w:rFonts w:cs="Sylfaen"/>
                <w:lang w:val="hy-AM"/>
              </w:rPr>
              <w:t>ՊՄԳ</w:t>
            </w:r>
            <w:r w:rsidRPr="00423B76">
              <w:rPr>
                <w:lang w:val="hy-AM"/>
              </w:rPr>
              <w:t xml:space="preserve"> </w:t>
            </w:r>
            <w:r w:rsidRPr="00423B76">
              <w:rPr>
                <w:rFonts w:cs="Sylfaen"/>
                <w:lang w:val="hy-AM"/>
              </w:rPr>
              <w:t>նոր</w:t>
            </w:r>
            <w:r w:rsidRPr="00423B76">
              <w:rPr>
                <w:lang w:val="hy-AM"/>
              </w:rPr>
              <w:t xml:space="preserve"> </w:t>
            </w:r>
            <w:r w:rsidRPr="00423B76">
              <w:rPr>
                <w:rFonts w:cs="Sylfaen"/>
                <w:lang w:val="hy-AM"/>
              </w:rPr>
              <w:t>համակարգն</w:t>
            </w:r>
            <w:r w:rsidRPr="00423B76">
              <w:rPr>
                <w:lang w:val="hy-AM"/>
              </w:rPr>
              <w:t xml:space="preserve"> </w:t>
            </w:r>
            <w:r w:rsidRPr="00423B76">
              <w:rPr>
                <w:rFonts w:cs="Sylfaen"/>
                <w:lang w:val="hy-AM"/>
              </w:rPr>
              <w:t>առավել</w:t>
            </w:r>
            <w:r w:rsidRPr="00423B76">
              <w:rPr>
                <w:lang w:val="hy-AM"/>
              </w:rPr>
              <w:t xml:space="preserve"> </w:t>
            </w:r>
            <w:r w:rsidRPr="00423B76">
              <w:rPr>
                <w:rFonts w:cs="Sylfaen"/>
                <w:lang w:val="hy-AM"/>
              </w:rPr>
              <w:t>ամբողջական</w:t>
            </w:r>
            <w:r w:rsidRPr="00423B76">
              <w:rPr>
                <w:lang w:val="hy-AM"/>
              </w:rPr>
              <w:t xml:space="preserve"> </w:t>
            </w:r>
            <w:r w:rsidRPr="00423B76">
              <w:rPr>
                <w:rFonts w:cs="Sylfaen"/>
                <w:lang w:val="hy-AM"/>
              </w:rPr>
              <w:t>դարձնելուն</w:t>
            </w:r>
            <w:r w:rsidRPr="00423B76">
              <w:rPr>
                <w:lang w:val="hy-AM"/>
              </w:rPr>
              <w:t xml:space="preserve"> </w:t>
            </w:r>
            <w:r w:rsidRPr="00423B76">
              <w:rPr>
                <w:rFonts w:cs="Sylfaen"/>
                <w:lang w:val="hy-AM"/>
              </w:rPr>
              <w:t>և</w:t>
            </w:r>
            <w:r w:rsidRPr="00423B76">
              <w:rPr>
                <w:lang w:val="hy-AM"/>
              </w:rPr>
              <w:t xml:space="preserve"> </w:t>
            </w:r>
            <w:r w:rsidRPr="00423B76">
              <w:rPr>
                <w:rFonts w:cs="Sylfaen"/>
                <w:lang w:val="hy-AM"/>
              </w:rPr>
              <w:t>վերջինիս</w:t>
            </w:r>
            <w:r w:rsidRPr="00423B76">
              <w:rPr>
                <w:lang w:val="hy-AM"/>
              </w:rPr>
              <w:t xml:space="preserve"> </w:t>
            </w:r>
            <w:r w:rsidRPr="00423B76">
              <w:rPr>
                <w:rFonts w:cs="Sylfaen"/>
                <w:lang w:val="hy-AM"/>
              </w:rPr>
              <w:t>համար</w:t>
            </w:r>
            <w:r w:rsidRPr="00423B76">
              <w:rPr>
                <w:lang w:val="hy-AM"/>
              </w:rPr>
              <w:t xml:space="preserve"> </w:t>
            </w:r>
            <w:r w:rsidRPr="00423B76">
              <w:rPr>
                <w:rFonts w:cs="Sylfaen"/>
                <w:lang w:val="hy-AM"/>
              </w:rPr>
              <w:t>հստակ</w:t>
            </w:r>
            <w:r w:rsidRPr="00423B76">
              <w:rPr>
                <w:lang w:val="hy-AM"/>
              </w:rPr>
              <w:t xml:space="preserve"> </w:t>
            </w:r>
            <w:r w:rsidRPr="00423B76">
              <w:rPr>
                <w:rFonts w:cs="Sylfaen"/>
                <w:lang w:val="hy-AM"/>
              </w:rPr>
              <w:t>իրավական</w:t>
            </w:r>
            <w:r w:rsidRPr="00423B76">
              <w:rPr>
                <w:lang w:val="hy-AM"/>
              </w:rPr>
              <w:t xml:space="preserve"> </w:t>
            </w:r>
            <w:r w:rsidRPr="00423B76">
              <w:rPr>
                <w:rFonts w:cs="Sylfaen"/>
                <w:lang w:val="hy-AM"/>
              </w:rPr>
              <w:t>շրջանակ ձևավորելուն</w:t>
            </w:r>
            <w:r w:rsidRPr="00423B76">
              <w:rPr>
                <w:lang w:val="hy-AM"/>
              </w:rPr>
              <w:t xml:space="preserve">: </w:t>
            </w:r>
          </w:p>
          <w:p w:rsidR="0068680D" w:rsidRPr="00423B76" w:rsidRDefault="0068680D" w:rsidP="0068680D">
            <w:pPr>
              <w:pStyle w:val="ListParagraph"/>
              <w:numPr>
                <w:ilvl w:val="0"/>
                <w:numId w:val="407"/>
              </w:numPr>
              <w:spacing w:line="276" w:lineRule="auto"/>
              <w:contextualSpacing w:val="0"/>
              <w:jc w:val="both"/>
              <w:rPr>
                <w:lang w:val="hy-AM"/>
              </w:rPr>
            </w:pPr>
            <w:r w:rsidRPr="00423B76">
              <w:rPr>
                <w:rFonts w:cs="Sylfaen"/>
                <w:b/>
                <w:color w:val="000000"/>
                <w:lang w:val="hy-AM"/>
              </w:rPr>
              <w:t>Միջոցառման</w:t>
            </w:r>
            <w:r w:rsidRPr="00423B76">
              <w:rPr>
                <w:b/>
                <w:color w:val="000000"/>
                <w:lang w:val="hy-AM"/>
              </w:rPr>
              <w:t xml:space="preserve"> իրականացումից ակնկալվող արդյունքը</w:t>
            </w:r>
          </w:p>
          <w:p w:rsidR="0068680D" w:rsidRPr="00423B76" w:rsidRDefault="0068680D" w:rsidP="00F47DC4">
            <w:pPr>
              <w:tabs>
                <w:tab w:val="left" w:pos="720"/>
                <w:tab w:val="left" w:pos="810"/>
              </w:tabs>
              <w:spacing w:line="276" w:lineRule="auto"/>
              <w:jc w:val="both"/>
              <w:rPr>
                <w:lang w:val="hy-AM"/>
              </w:rPr>
            </w:pPr>
            <w:r w:rsidRPr="00423B76">
              <w:rPr>
                <w:rFonts w:cs="Sylfaen"/>
                <w:lang w:val="hy-AM"/>
              </w:rPr>
              <w:t>Միջոցառման</w:t>
            </w:r>
            <w:r w:rsidRPr="00423B76">
              <w:rPr>
                <w:lang w:val="hy-AM"/>
              </w:rPr>
              <w:t xml:space="preserve"> իրականացմամբ կձևավորվեն ՊՄԳ ծրագրի ստեղծման, խթանման նպատակով անհրաժեշտ օրենսդրական և ինստիտուցիոնալ հիմքերը, կապահովվի ՊՄԳ արդյունավետ կիրառության ինստիտուցիոնալ կարողությունների զարգացումը, ինչպես նաև կընդլայնվեն ՊՄԳ ձևաչափով ենթակառուցվածքային ծրագրերում և՛ տե</w:t>
            </w:r>
            <w:r w:rsidRPr="00423B76">
              <w:rPr>
                <w:lang w:val="hy-AM"/>
              </w:rPr>
              <w:softHyphen/>
              <w:t>ղա</w:t>
            </w:r>
            <w:r w:rsidRPr="00423B76">
              <w:rPr>
                <w:lang w:val="hy-AM"/>
              </w:rPr>
              <w:softHyphen/>
              <w:t xml:space="preserve">կան, և՛ օտարերկրյա մասնավոր հատվածների ներգրավման հնարավորությունները: </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16.2    </w:t>
            </w:r>
            <w:r w:rsidRPr="00423B76">
              <w:rPr>
                <w:rFonts w:ascii="GHEA Grapalat" w:hAnsi="GHEA Grapalat" w:cs="Sylfaen"/>
                <w:sz w:val="20"/>
                <w:szCs w:val="20"/>
                <w:lang w:val="hy-AM"/>
              </w:rPr>
              <w:t>ՊՄԳ ծրագրերի մշակման, ստուգման, կառուցվածքի սահմանման, իրականաց</w:t>
            </w:r>
            <w:r w:rsidRPr="00423B76">
              <w:rPr>
                <w:rFonts w:ascii="GHEA Grapalat" w:hAnsi="GHEA Grapalat" w:cs="Sylfaen"/>
                <w:sz w:val="20"/>
                <w:szCs w:val="20"/>
                <w:lang w:val="hy-AM"/>
              </w:rPr>
              <w:softHyphen/>
              <w:t>ման և մշտադիտարկման կարողությունների ձևավորում</w:t>
            </w:r>
          </w:p>
          <w:p w:rsidR="0068680D" w:rsidRPr="00423B76" w:rsidRDefault="0068680D" w:rsidP="0068680D">
            <w:pPr>
              <w:pStyle w:val="ListParagraph"/>
              <w:numPr>
                <w:ilvl w:val="0"/>
                <w:numId w:val="408"/>
              </w:numPr>
              <w:spacing w:line="276" w:lineRule="auto"/>
              <w:rPr>
                <w:b/>
                <w:color w:val="000000"/>
                <w:lang w:val="hy-AM"/>
              </w:rPr>
            </w:pPr>
            <w:r w:rsidRPr="00423B76">
              <w:rPr>
                <w:rFonts w:cs="Sylfaen"/>
                <w:b/>
                <w:color w:val="000000"/>
                <w:lang w:val="hy-AM"/>
              </w:rPr>
              <w:t>Միջոցառման</w:t>
            </w:r>
            <w:r w:rsidRPr="00423B76">
              <w:rPr>
                <w:b/>
                <w:color w:val="000000"/>
                <w:lang w:val="hy-AM"/>
              </w:rPr>
              <w:t xml:space="preserve"> իրականացման անհրաժեշտությունը և նպատակը</w:t>
            </w:r>
          </w:p>
          <w:p w:rsidR="0068680D" w:rsidRPr="00423B76" w:rsidRDefault="0068680D" w:rsidP="00F47DC4">
            <w:pPr>
              <w:spacing w:line="276" w:lineRule="auto"/>
              <w:jc w:val="both"/>
              <w:rPr>
                <w:b/>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5.6 բաժնի դրույթներով, ինչպես նաև </w:t>
            </w:r>
            <w:r w:rsidRPr="00423B76">
              <w:rPr>
                <w:lang w:val="hy-AM"/>
              </w:rPr>
              <w:t xml:space="preserve">պետություն-մասնավոր գործընկերության (ՊՄԳ) օրենսդրական դաշտի բարելավմամբ, ինչպես նաև </w:t>
            </w:r>
            <w:r w:rsidRPr="00423B76">
              <w:rPr>
                <w:rFonts w:eastAsia="Calibri" w:cs="Sylfaen"/>
                <w:lang w:val="hy-AM"/>
              </w:rPr>
              <w:t>Հայաստանում արդյունավետ ՊՄԳ ծրագրի պատրաստման, գնման և կառավարման աշխատանքների ապահովման նպատակով</w:t>
            </w:r>
            <w:r w:rsidRPr="00423B76">
              <w:rPr>
                <w:rFonts w:eastAsia="Calibri" w:cs="Sylfaen"/>
                <w:lang w:val="es-ES"/>
              </w:rPr>
              <w:t xml:space="preserve"> </w:t>
            </w:r>
            <w:r w:rsidRPr="00423B76">
              <w:rPr>
                <w:lang w:val="hy-AM"/>
              </w:rPr>
              <w:t>անհրաժեշտ կանոնակարգերի,</w:t>
            </w:r>
            <w:r w:rsidRPr="00423B76">
              <w:rPr>
                <w:rFonts w:cs="Courier New"/>
                <w:lang w:val="hy-AM"/>
              </w:rPr>
              <w:t xml:space="preserve"> </w:t>
            </w:r>
            <w:r w:rsidRPr="00423B76">
              <w:rPr>
                <w:lang w:val="hy-AM"/>
              </w:rPr>
              <w:t xml:space="preserve">մեթոդաբանական ձեռնարկների մշակմամբ: </w:t>
            </w:r>
          </w:p>
          <w:p w:rsidR="0068680D" w:rsidRPr="00423B76" w:rsidRDefault="0068680D" w:rsidP="0068680D">
            <w:pPr>
              <w:pStyle w:val="ListParagraph"/>
              <w:numPr>
                <w:ilvl w:val="1"/>
                <w:numId w:val="409"/>
              </w:numPr>
              <w:spacing w:line="276" w:lineRule="auto"/>
              <w:ind w:left="567" w:firstLine="0"/>
              <w:rPr>
                <w:rFonts w:eastAsia="Calibri" w:cs="GHEA Grapalat"/>
                <w:b/>
                <w:lang w:val="hy-AM"/>
              </w:rPr>
            </w:pPr>
            <w:r w:rsidRPr="00423B76">
              <w:rPr>
                <w:rFonts w:eastAsia="Calibri" w:cs="GHEA Grapalat"/>
                <w:b/>
                <w:lang w:val="hy-AM"/>
              </w:rPr>
              <w:t>Կարգավորման հարաբերությունների ներկա վիճակը և առկա խնդիրները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Ներկայումս ՊՄԳ-ն կարգավորող համակողմանի օրենդրության բացակայությունը խոչընդոտում է ինստիտուտի լիարժեք զարգացումը` որոշակի ռիսկեր առաջացնելով ՊՄԳ ծրագերի ընտրության և իրականացման բոլոր փուլերում:</w:t>
            </w:r>
          </w:p>
          <w:p w:rsidR="0068680D" w:rsidRPr="00423B76" w:rsidRDefault="0068680D" w:rsidP="0068680D">
            <w:pPr>
              <w:pStyle w:val="ListParagraph"/>
              <w:numPr>
                <w:ilvl w:val="1"/>
                <w:numId w:val="409"/>
              </w:numPr>
              <w:spacing w:line="276" w:lineRule="auto"/>
              <w:ind w:left="567" w:firstLine="0"/>
              <w:rPr>
                <w:rFonts w:eastAsia="Calibri" w:cs="GHEA Grapalat"/>
                <w:b/>
                <w:lang w:val="hy-AM"/>
              </w:rPr>
            </w:pPr>
            <w:r w:rsidRPr="00423B76">
              <w:rPr>
                <w:rFonts w:eastAsia="Calibri" w:cs="GHEA Grapalat"/>
                <w:b/>
                <w:lang w:val="hy-AM"/>
              </w:rPr>
              <w:t>Առկա խնդիրների առաջարկվող լուծումները</w:t>
            </w:r>
          </w:p>
          <w:p w:rsidR="0068680D" w:rsidRPr="00423B76" w:rsidRDefault="0068680D" w:rsidP="00F47DC4">
            <w:pPr>
              <w:tabs>
                <w:tab w:val="left" w:pos="360"/>
                <w:tab w:val="left" w:pos="720"/>
              </w:tabs>
              <w:spacing w:line="276" w:lineRule="auto"/>
              <w:jc w:val="both"/>
              <w:rPr>
                <w:lang w:val="hy-AM"/>
              </w:rPr>
            </w:pPr>
            <w:r w:rsidRPr="00423B76">
              <w:rPr>
                <w:rFonts w:cs="Sylfaen"/>
                <w:lang w:val="hy-AM"/>
              </w:rPr>
              <w:t>Հայաստանում</w:t>
            </w:r>
            <w:r w:rsidRPr="00423B76">
              <w:rPr>
                <w:lang w:val="hy-AM"/>
              </w:rPr>
              <w:t xml:space="preserve"> </w:t>
            </w:r>
            <w:r w:rsidRPr="00423B76">
              <w:rPr>
                <w:rFonts w:cs="Sylfaen"/>
                <w:lang w:val="hy-AM"/>
              </w:rPr>
              <w:t>ՊՄԳ</w:t>
            </w:r>
            <w:r w:rsidRPr="00423B76">
              <w:rPr>
                <w:lang w:val="hy-AM"/>
              </w:rPr>
              <w:t>-</w:t>
            </w:r>
            <w:r w:rsidRPr="00423B76">
              <w:rPr>
                <w:rFonts w:cs="Sylfaen"/>
                <w:lang w:val="hy-AM"/>
              </w:rPr>
              <w:t>ների</w:t>
            </w:r>
            <w:r w:rsidRPr="00423B76">
              <w:rPr>
                <w:lang w:val="hy-AM"/>
              </w:rPr>
              <w:t xml:space="preserve"> </w:t>
            </w:r>
            <w:r w:rsidRPr="00423B76">
              <w:rPr>
                <w:rFonts w:cs="Sylfaen"/>
                <w:lang w:val="hy-AM"/>
              </w:rPr>
              <w:t>սահմանման</w:t>
            </w:r>
            <w:r w:rsidRPr="00423B76">
              <w:rPr>
                <w:lang w:val="hy-AM"/>
              </w:rPr>
              <w:t xml:space="preserve">, </w:t>
            </w:r>
            <w:r w:rsidRPr="00423B76">
              <w:rPr>
                <w:rFonts w:cs="Sylfaen"/>
                <w:lang w:val="hy-AM"/>
              </w:rPr>
              <w:t>շնորհման</w:t>
            </w:r>
            <w:r w:rsidRPr="00423B76">
              <w:rPr>
                <w:lang w:val="hy-AM"/>
              </w:rPr>
              <w:t xml:space="preserve"> </w:t>
            </w:r>
            <w:r w:rsidRPr="00423B76">
              <w:rPr>
                <w:rFonts w:cs="Sylfaen"/>
                <w:lang w:val="hy-AM"/>
              </w:rPr>
              <w:t>և</w:t>
            </w:r>
            <w:r w:rsidRPr="00423B76">
              <w:rPr>
                <w:lang w:val="hy-AM"/>
              </w:rPr>
              <w:t xml:space="preserve"> </w:t>
            </w:r>
            <w:r w:rsidRPr="00423B76">
              <w:rPr>
                <w:rFonts w:cs="Sylfaen"/>
                <w:lang w:val="hy-AM"/>
              </w:rPr>
              <w:t>իրականացման</w:t>
            </w:r>
            <w:r w:rsidRPr="00423B76">
              <w:rPr>
                <w:lang w:val="hy-AM"/>
              </w:rPr>
              <w:t xml:space="preserve"> </w:t>
            </w:r>
            <w:r w:rsidRPr="00423B76">
              <w:rPr>
                <w:rFonts w:cs="Sylfaen"/>
                <w:lang w:val="hy-AM"/>
              </w:rPr>
              <w:t>մասով</w:t>
            </w:r>
            <w:r w:rsidRPr="00423B76">
              <w:rPr>
                <w:lang w:val="hy-AM"/>
              </w:rPr>
              <w:t xml:space="preserve"> </w:t>
            </w:r>
            <w:r w:rsidRPr="00423B76">
              <w:rPr>
                <w:rFonts w:cs="Sylfaen"/>
                <w:lang w:val="hy-AM"/>
              </w:rPr>
              <w:t>կիրառելի</w:t>
            </w:r>
            <w:r w:rsidRPr="00423B76">
              <w:rPr>
                <w:lang w:val="hy-AM"/>
              </w:rPr>
              <w:t xml:space="preserve"> </w:t>
            </w:r>
            <w:r w:rsidRPr="00423B76">
              <w:rPr>
                <w:rFonts w:cs="Sylfaen"/>
                <w:lang w:val="hy-AM"/>
              </w:rPr>
              <w:t>կանոն</w:t>
            </w:r>
            <w:r w:rsidRPr="00423B76">
              <w:rPr>
                <w:lang w:val="hy-AM"/>
              </w:rPr>
              <w:softHyphen/>
            </w:r>
            <w:r w:rsidRPr="00423B76">
              <w:rPr>
                <w:rFonts w:cs="Sylfaen"/>
                <w:lang w:val="hy-AM"/>
              </w:rPr>
              <w:t>ների</w:t>
            </w:r>
            <w:r w:rsidRPr="00423B76">
              <w:rPr>
                <w:lang w:val="hy-AM"/>
              </w:rPr>
              <w:t xml:space="preserve"> </w:t>
            </w:r>
            <w:r w:rsidRPr="00423B76">
              <w:rPr>
                <w:rFonts w:cs="Sylfaen"/>
                <w:lang w:val="hy-AM"/>
              </w:rPr>
              <w:t>և</w:t>
            </w:r>
            <w:r w:rsidRPr="00423B76">
              <w:rPr>
                <w:lang w:val="hy-AM"/>
              </w:rPr>
              <w:t xml:space="preserve"> </w:t>
            </w:r>
            <w:r w:rsidRPr="00423B76">
              <w:rPr>
                <w:rFonts w:cs="Sylfaen"/>
                <w:lang w:val="hy-AM"/>
              </w:rPr>
              <w:t>ընթացակարգերի</w:t>
            </w:r>
            <w:r w:rsidRPr="00423B76">
              <w:rPr>
                <w:lang w:val="hy-AM"/>
              </w:rPr>
              <w:t xml:space="preserve"> </w:t>
            </w:r>
            <w:r w:rsidRPr="00423B76">
              <w:rPr>
                <w:rFonts w:cs="Sylfaen"/>
                <w:lang w:val="hy-AM"/>
              </w:rPr>
              <w:t>հստակ</w:t>
            </w:r>
            <w:r w:rsidRPr="00423B76">
              <w:rPr>
                <w:lang w:val="hy-AM"/>
              </w:rPr>
              <w:t xml:space="preserve"> </w:t>
            </w:r>
            <w:r w:rsidRPr="00423B76">
              <w:rPr>
                <w:rFonts w:cs="Sylfaen"/>
                <w:lang w:val="hy-AM"/>
              </w:rPr>
              <w:t>հա</w:t>
            </w:r>
            <w:r w:rsidRPr="00423B76">
              <w:rPr>
                <w:lang w:val="hy-AM"/>
              </w:rPr>
              <w:softHyphen/>
            </w:r>
            <w:r w:rsidRPr="00423B76">
              <w:rPr>
                <w:rFonts w:cs="Sylfaen"/>
                <w:lang w:val="hy-AM"/>
              </w:rPr>
              <w:t>մա</w:t>
            </w:r>
            <w:r w:rsidRPr="00423B76">
              <w:rPr>
                <w:lang w:val="hy-AM"/>
              </w:rPr>
              <w:softHyphen/>
            </w:r>
            <w:r w:rsidRPr="00423B76">
              <w:rPr>
                <w:rFonts w:cs="Sylfaen"/>
                <w:lang w:val="hy-AM"/>
              </w:rPr>
              <w:t>խմբի մշակում</w:t>
            </w:r>
            <w:r w:rsidRPr="00423B76">
              <w:rPr>
                <w:lang w:val="hy-AM"/>
              </w:rPr>
              <w:t xml:space="preserve">, </w:t>
            </w:r>
            <w:r w:rsidRPr="00423B76">
              <w:rPr>
                <w:rFonts w:cs="Sylfaen"/>
                <w:lang w:val="hy-AM"/>
              </w:rPr>
              <w:t>որը</w:t>
            </w:r>
            <w:r w:rsidRPr="00423B76">
              <w:rPr>
                <w:lang w:val="hy-AM"/>
              </w:rPr>
              <w:t xml:space="preserve"> </w:t>
            </w:r>
            <w:r w:rsidRPr="00423B76">
              <w:rPr>
                <w:rFonts w:cs="Sylfaen"/>
                <w:lang w:val="hy-AM"/>
              </w:rPr>
              <w:t>կօժանդակի</w:t>
            </w:r>
            <w:r w:rsidRPr="00423B76">
              <w:rPr>
                <w:lang w:val="hy-AM"/>
              </w:rPr>
              <w:t xml:space="preserve"> </w:t>
            </w:r>
            <w:r w:rsidRPr="00423B76">
              <w:rPr>
                <w:rFonts w:cs="Sylfaen"/>
                <w:lang w:val="hy-AM"/>
              </w:rPr>
              <w:t>ՊՄԳ</w:t>
            </w:r>
            <w:r w:rsidRPr="00423B76">
              <w:rPr>
                <w:lang w:val="hy-AM"/>
              </w:rPr>
              <w:t xml:space="preserve"> </w:t>
            </w:r>
            <w:r w:rsidRPr="00423B76">
              <w:rPr>
                <w:rFonts w:cs="Sylfaen"/>
                <w:lang w:val="hy-AM"/>
              </w:rPr>
              <w:t>նոր</w:t>
            </w:r>
            <w:r w:rsidRPr="00423B76">
              <w:rPr>
                <w:lang w:val="hy-AM"/>
              </w:rPr>
              <w:t xml:space="preserve"> </w:t>
            </w:r>
            <w:r w:rsidRPr="00423B76">
              <w:rPr>
                <w:rFonts w:cs="Sylfaen"/>
                <w:lang w:val="hy-AM"/>
              </w:rPr>
              <w:t>համակարգն</w:t>
            </w:r>
            <w:r w:rsidRPr="00423B76">
              <w:rPr>
                <w:lang w:val="hy-AM"/>
              </w:rPr>
              <w:t xml:space="preserve"> </w:t>
            </w:r>
            <w:r w:rsidRPr="00423B76">
              <w:rPr>
                <w:rFonts w:cs="Sylfaen"/>
                <w:lang w:val="hy-AM"/>
              </w:rPr>
              <w:t>ավելի</w:t>
            </w:r>
            <w:r w:rsidRPr="00423B76">
              <w:rPr>
                <w:lang w:val="hy-AM"/>
              </w:rPr>
              <w:t xml:space="preserve"> </w:t>
            </w:r>
            <w:r w:rsidRPr="00423B76">
              <w:rPr>
                <w:rFonts w:cs="Sylfaen"/>
                <w:lang w:val="hy-AM"/>
              </w:rPr>
              <w:t>ամբողջական</w:t>
            </w:r>
            <w:r w:rsidRPr="00423B76">
              <w:rPr>
                <w:lang w:val="hy-AM"/>
              </w:rPr>
              <w:t xml:space="preserve"> </w:t>
            </w:r>
            <w:r w:rsidRPr="00423B76">
              <w:rPr>
                <w:rFonts w:cs="Sylfaen"/>
                <w:lang w:val="hy-AM"/>
              </w:rPr>
              <w:t>դարձնելուն</w:t>
            </w:r>
            <w:r w:rsidRPr="00423B76">
              <w:rPr>
                <w:lang w:val="hy-AM"/>
              </w:rPr>
              <w:t xml:space="preserve"> </w:t>
            </w:r>
            <w:r w:rsidRPr="00423B76">
              <w:rPr>
                <w:rFonts w:cs="Sylfaen"/>
                <w:lang w:val="hy-AM"/>
              </w:rPr>
              <w:t>և</w:t>
            </w:r>
            <w:r w:rsidRPr="00423B76">
              <w:rPr>
                <w:lang w:val="hy-AM"/>
              </w:rPr>
              <w:t xml:space="preserve"> </w:t>
            </w:r>
            <w:r w:rsidRPr="00423B76">
              <w:rPr>
                <w:rFonts w:cs="Sylfaen"/>
                <w:lang w:val="hy-AM"/>
              </w:rPr>
              <w:t>վերջինիս</w:t>
            </w:r>
            <w:r w:rsidRPr="00423B76">
              <w:rPr>
                <w:lang w:val="hy-AM"/>
              </w:rPr>
              <w:t xml:space="preserve"> </w:t>
            </w:r>
            <w:r w:rsidRPr="00423B76">
              <w:rPr>
                <w:rFonts w:cs="Sylfaen"/>
                <w:lang w:val="hy-AM"/>
              </w:rPr>
              <w:t>համար</w:t>
            </w:r>
            <w:r w:rsidRPr="00423B76">
              <w:rPr>
                <w:lang w:val="hy-AM"/>
              </w:rPr>
              <w:t xml:space="preserve"> </w:t>
            </w:r>
            <w:r w:rsidRPr="00423B76">
              <w:rPr>
                <w:rFonts w:cs="Sylfaen"/>
                <w:lang w:val="hy-AM"/>
              </w:rPr>
              <w:t>հստակ</w:t>
            </w:r>
            <w:r w:rsidRPr="00423B76">
              <w:rPr>
                <w:lang w:val="hy-AM"/>
              </w:rPr>
              <w:t xml:space="preserve">, </w:t>
            </w:r>
            <w:r w:rsidRPr="00423B76">
              <w:rPr>
                <w:rFonts w:cs="Sylfaen"/>
                <w:lang w:val="hy-AM"/>
              </w:rPr>
              <w:t>ուժեղ</w:t>
            </w:r>
            <w:r w:rsidRPr="00423B76">
              <w:rPr>
                <w:lang w:val="hy-AM"/>
              </w:rPr>
              <w:t xml:space="preserve"> </w:t>
            </w:r>
            <w:r w:rsidRPr="00423B76">
              <w:rPr>
                <w:rFonts w:cs="Sylfaen"/>
                <w:lang w:val="hy-AM"/>
              </w:rPr>
              <w:t>իրավական</w:t>
            </w:r>
            <w:r w:rsidRPr="00423B76">
              <w:rPr>
                <w:lang w:val="hy-AM"/>
              </w:rPr>
              <w:t xml:space="preserve"> </w:t>
            </w:r>
            <w:r w:rsidRPr="00423B76">
              <w:rPr>
                <w:rFonts w:cs="Sylfaen"/>
                <w:lang w:val="hy-AM"/>
              </w:rPr>
              <w:t>շրջանակ ձևավորելուն</w:t>
            </w:r>
            <w:r w:rsidRPr="00423B76">
              <w:rPr>
                <w:lang w:val="hy-AM"/>
              </w:rPr>
              <w:t xml:space="preserve">: </w:t>
            </w:r>
          </w:p>
          <w:p w:rsidR="0068680D" w:rsidRPr="00423B76" w:rsidRDefault="0068680D" w:rsidP="0068680D">
            <w:pPr>
              <w:pStyle w:val="ListParagraph"/>
              <w:numPr>
                <w:ilvl w:val="0"/>
                <w:numId w:val="408"/>
              </w:numPr>
              <w:spacing w:line="276" w:lineRule="auto"/>
              <w:ind w:left="360" w:firstLine="0"/>
              <w:jc w:val="both"/>
              <w:rPr>
                <w:lang w:val="hy-AM"/>
              </w:rPr>
            </w:pPr>
            <w:r w:rsidRPr="00423B76">
              <w:rPr>
                <w:rFonts w:cs="Sylfaen"/>
                <w:b/>
                <w:color w:val="000000"/>
                <w:lang w:val="hy-AM"/>
              </w:rPr>
              <w:t>Միջոցառման</w:t>
            </w:r>
            <w:r w:rsidRPr="00423B76">
              <w:rPr>
                <w:b/>
                <w:color w:val="000000"/>
                <w:lang w:val="hy-AM"/>
              </w:rPr>
              <w:t xml:space="preserve"> իրականացումից ակնկալվող արդյունքը</w:t>
            </w:r>
          </w:p>
          <w:p w:rsidR="0068680D" w:rsidRPr="00423B76" w:rsidRDefault="0068680D" w:rsidP="00F47DC4">
            <w:pPr>
              <w:spacing w:line="276" w:lineRule="auto"/>
              <w:jc w:val="both"/>
              <w:rPr>
                <w:lang w:val="hy-AM"/>
              </w:rPr>
            </w:pPr>
            <w:r w:rsidRPr="00423B76">
              <w:rPr>
                <w:rFonts w:cs="Sylfaen"/>
                <w:lang w:val="hy-AM"/>
              </w:rPr>
              <w:t>Միջոցառման</w:t>
            </w:r>
            <w:r w:rsidRPr="00423B76">
              <w:rPr>
                <w:lang w:val="hy-AM"/>
              </w:rPr>
              <w:t xml:space="preserve"> իրականացմամբ նախատեսվում է առավել արդյունավետ ՊՄԳ ծրագրերի մշակում ու խթանում, ինչպես նաև նոր ենթակառուցվածքների զարգացում:</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16.3 </w:t>
            </w:r>
            <w:r w:rsidRPr="00423B76">
              <w:rPr>
                <w:rFonts w:ascii="GHEA Grapalat" w:hAnsi="GHEA Grapalat" w:cs="Sylfaen"/>
                <w:sz w:val="20"/>
                <w:szCs w:val="20"/>
                <w:lang w:val="hy-AM"/>
              </w:rPr>
              <w:t>ՊՄԳ-ների վերաբերյալ տվյալների շտեմարանի ստեղծում</w:t>
            </w:r>
          </w:p>
          <w:p w:rsidR="0068680D" w:rsidRPr="00423B76" w:rsidRDefault="0068680D" w:rsidP="0068680D">
            <w:pPr>
              <w:pStyle w:val="ListParagraph"/>
              <w:numPr>
                <w:ilvl w:val="0"/>
                <w:numId w:val="410"/>
              </w:numPr>
              <w:spacing w:line="276" w:lineRule="auto"/>
              <w:contextualSpacing w:val="0"/>
              <w:jc w:val="both"/>
              <w:rPr>
                <w:b/>
                <w:color w:val="000000"/>
                <w:lang w:val="hy-AM"/>
              </w:rPr>
            </w:pPr>
            <w:r w:rsidRPr="00423B76">
              <w:rPr>
                <w:b/>
                <w:color w:val="000000"/>
                <w:lang w:val="hy-AM"/>
              </w:rPr>
              <w:t>Միջոցառման իրականացման անհրաժեշտությունը և նպատակը</w:t>
            </w:r>
          </w:p>
          <w:p w:rsidR="0068680D" w:rsidRPr="00423B76" w:rsidRDefault="0068680D" w:rsidP="00F47DC4">
            <w:pPr>
              <w:spacing w:line="276" w:lineRule="auto"/>
              <w:jc w:val="both"/>
              <w:rPr>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5.6 բաժնի դրույթներով, ինչպես նաև </w:t>
            </w:r>
            <w:r w:rsidRPr="00423B76">
              <w:rPr>
                <w:lang w:val="hy-AM"/>
              </w:rPr>
              <w:t xml:space="preserve">պետություն-մասնավոր գործընկերության (ՊՄԳ) օրենսդրական դաշտի բարելավմամբ, ինչպես նաև </w:t>
            </w:r>
            <w:r w:rsidRPr="00423B76">
              <w:rPr>
                <w:rFonts w:eastAsia="Calibri" w:cs="Sylfaen"/>
                <w:lang w:val="hy-AM"/>
              </w:rPr>
              <w:t>Հայաստանում արդյունավետ ՊՄԳ ծրագրի պատրաստման, գնման և կառավարման աշխատանքների արդյունավետ իրականացման նպատակով</w:t>
            </w:r>
            <w:r w:rsidRPr="00423B76">
              <w:rPr>
                <w:rFonts w:eastAsia="Calibri" w:cs="Sylfaen"/>
                <w:lang w:val="es-ES"/>
              </w:rPr>
              <w:t xml:space="preserve"> </w:t>
            </w:r>
            <w:r w:rsidRPr="00423B76">
              <w:rPr>
                <w:lang w:val="hy-AM"/>
              </w:rPr>
              <w:t xml:space="preserve">անհրաժեշտ կանոնակարգերի մշակմամբ, ինչն էլ կբարելավի ՊՄԳ ծրագրերի մշտադիտարկման գործընթացի իրականացումը: </w:t>
            </w:r>
          </w:p>
          <w:p w:rsidR="0068680D" w:rsidRPr="00423B76" w:rsidRDefault="0068680D" w:rsidP="0068680D">
            <w:pPr>
              <w:pStyle w:val="ListParagraph"/>
              <w:numPr>
                <w:ilvl w:val="1"/>
                <w:numId w:val="410"/>
              </w:numPr>
              <w:spacing w:line="276" w:lineRule="auto"/>
              <w:contextualSpacing w:val="0"/>
              <w:jc w:val="both"/>
              <w:rPr>
                <w:rFonts w:eastAsia="Calibri" w:cs="GHEA Grapalat"/>
                <w:b/>
                <w:lang w:val="hy-AM"/>
              </w:rPr>
            </w:pPr>
            <w:r w:rsidRPr="00423B76">
              <w:rPr>
                <w:rFonts w:eastAsia="Calibri" w:cs="GHEA Grapalat"/>
                <w:b/>
                <w:lang w:val="hy-AM"/>
              </w:rPr>
              <w:t>Կարգավորման հարաբերությունների ներկա վիճակը և առկա խնդիրները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Ներկայումս ՊՄԳ-ն կարգավորող համակողմանի օրենդրության բացակայությունը խոչընդոտում է ինստիտուտի լիարժեք զարգացումը` որոշակի ռիսկեր առաջացնելով ՊՄԳ ծրագերի ընտրության և իրականացման բոլոր փուլերում:</w:t>
            </w:r>
          </w:p>
          <w:p w:rsidR="0068680D" w:rsidRPr="00423B76" w:rsidRDefault="0068680D" w:rsidP="00F47DC4">
            <w:pPr>
              <w:spacing w:line="276" w:lineRule="auto"/>
              <w:jc w:val="both"/>
              <w:rPr>
                <w:rFonts w:eastAsia="Calibri" w:cs="GHEA Grapalat"/>
                <w:b/>
                <w:lang w:val="hy-AM"/>
              </w:rPr>
            </w:pPr>
            <w:r w:rsidRPr="00423B76">
              <w:rPr>
                <w:lang w:val="hy-AM"/>
              </w:rPr>
              <w:t xml:space="preserve"> </w:t>
            </w:r>
            <w:r w:rsidRPr="00423B76">
              <w:rPr>
                <w:b/>
                <w:lang w:val="hy-AM"/>
              </w:rPr>
              <w:tab/>
              <w:t xml:space="preserve">1.2 </w:t>
            </w:r>
            <w:r w:rsidRPr="00423B76">
              <w:rPr>
                <w:rFonts w:eastAsia="Calibri" w:cs="GHEA Grapalat"/>
                <w:b/>
                <w:lang w:val="hy-AM"/>
              </w:rPr>
              <w:t>Առկա խնդիրների առաջարկվող լուծումները</w:t>
            </w:r>
          </w:p>
          <w:p w:rsidR="0068680D" w:rsidRPr="00423B76" w:rsidRDefault="0068680D" w:rsidP="00F47DC4">
            <w:pPr>
              <w:tabs>
                <w:tab w:val="left" w:pos="360"/>
                <w:tab w:val="left" w:pos="720"/>
              </w:tabs>
              <w:spacing w:line="276" w:lineRule="auto"/>
              <w:jc w:val="both"/>
              <w:rPr>
                <w:lang w:val="hy-AM"/>
              </w:rPr>
            </w:pPr>
            <w:r w:rsidRPr="00423B76">
              <w:rPr>
                <w:rFonts w:cs="Sylfaen"/>
                <w:lang w:val="hy-AM"/>
              </w:rPr>
              <w:t>Հայաստանում</w:t>
            </w:r>
            <w:r w:rsidRPr="00423B76">
              <w:rPr>
                <w:lang w:val="hy-AM"/>
              </w:rPr>
              <w:t xml:space="preserve"> </w:t>
            </w:r>
            <w:r w:rsidRPr="00423B76">
              <w:rPr>
                <w:rFonts w:cs="Sylfaen"/>
                <w:lang w:val="hy-AM"/>
              </w:rPr>
              <w:t>ՊՄԳ</w:t>
            </w:r>
            <w:r w:rsidRPr="00423B76">
              <w:rPr>
                <w:lang w:val="hy-AM"/>
              </w:rPr>
              <w:t>-</w:t>
            </w:r>
            <w:r w:rsidRPr="00423B76">
              <w:rPr>
                <w:rFonts w:cs="Sylfaen"/>
                <w:lang w:val="hy-AM"/>
              </w:rPr>
              <w:t>ների</w:t>
            </w:r>
            <w:r w:rsidRPr="00423B76">
              <w:rPr>
                <w:lang w:val="hy-AM"/>
              </w:rPr>
              <w:t xml:space="preserve"> </w:t>
            </w:r>
            <w:r w:rsidRPr="00423B76">
              <w:rPr>
                <w:rFonts w:cs="Sylfaen"/>
                <w:lang w:val="hy-AM"/>
              </w:rPr>
              <w:t>սահմանման</w:t>
            </w:r>
            <w:r w:rsidRPr="00423B76">
              <w:rPr>
                <w:lang w:val="hy-AM"/>
              </w:rPr>
              <w:t xml:space="preserve">, </w:t>
            </w:r>
            <w:r w:rsidRPr="00423B76">
              <w:rPr>
                <w:rFonts w:cs="Sylfaen"/>
                <w:lang w:val="hy-AM"/>
              </w:rPr>
              <w:t>շնորհման</w:t>
            </w:r>
            <w:r w:rsidRPr="00423B76">
              <w:rPr>
                <w:lang w:val="hy-AM"/>
              </w:rPr>
              <w:t xml:space="preserve"> </w:t>
            </w:r>
            <w:r w:rsidRPr="00423B76">
              <w:rPr>
                <w:rFonts w:cs="Sylfaen"/>
                <w:lang w:val="hy-AM"/>
              </w:rPr>
              <w:t>և</w:t>
            </w:r>
            <w:r w:rsidRPr="00423B76">
              <w:rPr>
                <w:lang w:val="hy-AM"/>
              </w:rPr>
              <w:t xml:space="preserve"> </w:t>
            </w:r>
            <w:r w:rsidRPr="00423B76">
              <w:rPr>
                <w:rFonts w:cs="Sylfaen"/>
                <w:lang w:val="hy-AM"/>
              </w:rPr>
              <w:t>իրականացման</w:t>
            </w:r>
            <w:r w:rsidRPr="00423B76">
              <w:rPr>
                <w:lang w:val="hy-AM"/>
              </w:rPr>
              <w:t xml:space="preserve"> </w:t>
            </w:r>
            <w:r w:rsidRPr="00423B76">
              <w:rPr>
                <w:rFonts w:cs="Sylfaen"/>
                <w:lang w:val="hy-AM"/>
              </w:rPr>
              <w:t>մասով</w:t>
            </w:r>
            <w:r w:rsidRPr="00423B76">
              <w:rPr>
                <w:lang w:val="hy-AM"/>
              </w:rPr>
              <w:t xml:space="preserve"> </w:t>
            </w:r>
            <w:r w:rsidRPr="00423B76">
              <w:rPr>
                <w:rFonts w:cs="Sylfaen"/>
                <w:lang w:val="hy-AM"/>
              </w:rPr>
              <w:t>կիրառելի</w:t>
            </w:r>
            <w:r w:rsidRPr="00423B76">
              <w:rPr>
                <w:lang w:val="hy-AM"/>
              </w:rPr>
              <w:t xml:space="preserve"> </w:t>
            </w:r>
            <w:r w:rsidRPr="00423B76">
              <w:rPr>
                <w:rFonts w:cs="Sylfaen"/>
                <w:lang w:val="hy-AM"/>
              </w:rPr>
              <w:t>կա</w:t>
            </w:r>
            <w:r w:rsidRPr="00423B76">
              <w:rPr>
                <w:lang w:val="hy-AM"/>
              </w:rPr>
              <w:softHyphen/>
            </w:r>
            <w:r w:rsidRPr="00423B76">
              <w:rPr>
                <w:rFonts w:cs="Sylfaen"/>
                <w:lang w:val="hy-AM"/>
              </w:rPr>
              <w:t>նոն</w:t>
            </w:r>
            <w:r w:rsidRPr="00423B76">
              <w:rPr>
                <w:lang w:val="hy-AM"/>
              </w:rPr>
              <w:softHyphen/>
            </w:r>
            <w:r w:rsidRPr="00423B76">
              <w:rPr>
                <w:rFonts w:cs="Sylfaen"/>
                <w:lang w:val="hy-AM"/>
              </w:rPr>
              <w:t>ների</w:t>
            </w:r>
            <w:r w:rsidRPr="00423B76">
              <w:rPr>
                <w:lang w:val="hy-AM"/>
              </w:rPr>
              <w:t xml:space="preserve"> </w:t>
            </w:r>
            <w:r w:rsidRPr="00423B76">
              <w:rPr>
                <w:rFonts w:cs="Sylfaen"/>
                <w:lang w:val="hy-AM"/>
              </w:rPr>
              <w:t>և</w:t>
            </w:r>
            <w:r w:rsidRPr="00423B76">
              <w:rPr>
                <w:lang w:val="hy-AM"/>
              </w:rPr>
              <w:t xml:space="preserve"> </w:t>
            </w:r>
            <w:r w:rsidRPr="00423B76">
              <w:rPr>
                <w:rFonts w:cs="Sylfaen"/>
                <w:lang w:val="hy-AM"/>
              </w:rPr>
              <w:t>ընթացակարգերի</w:t>
            </w:r>
            <w:r w:rsidRPr="00423B76">
              <w:rPr>
                <w:lang w:val="hy-AM"/>
              </w:rPr>
              <w:t xml:space="preserve"> </w:t>
            </w:r>
            <w:r w:rsidRPr="00423B76">
              <w:rPr>
                <w:rFonts w:cs="Sylfaen"/>
                <w:lang w:val="hy-AM"/>
              </w:rPr>
              <w:t>հստակ</w:t>
            </w:r>
            <w:r w:rsidRPr="00423B76">
              <w:rPr>
                <w:lang w:val="hy-AM"/>
              </w:rPr>
              <w:t xml:space="preserve"> </w:t>
            </w:r>
            <w:r w:rsidRPr="00423B76">
              <w:rPr>
                <w:rFonts w:cs="Sylfaen"/>
                <w:lang w:val="hy-AM"/>
              </w:rPr>
              <w:t>հա</w:t>
            </w:r>
            <w:r w:rsidRPr="00423B76">
              <w:rPr>
                <w:lang w:val="hy-AM"/>
              </w:rPr>
              <w:softHyphen/>
            </w:r>
            <w:r w:rsidRPr="00423B76">
              <w:rPr>
                <w:rFonts w:cs="Sylfaen"/>
                <w:lang w:val="hy-AM"/>
              </w:rPr>
              <w:t>մա</w:t>
            </w:r>
            <w:r w:rsidRPr="00423B76">
              <w:rPr>
                <w:lang w:val="hy-AM"/>
              </w:rPr>
              <w:softHyphen/>
            </w:r>
            <w:r w:rsidRPr="00423B76">
              <w:rPr>
                <w:rFonts w:cs="Sylfaen"/>
                <w:lang w:val="hy-AM"/>
              </w:rPr>
              <w:t>խմբի մշակում</w:t>
            </w:r>
            <w:r w:rsidRPr="00423B76">
              <w:rPr>
                <w:lang w:val="hy-AM"/>
              </w:rPr>
              <w:t xml:space="preserve">, </w:t>
            </w:r>
            <w:r w:rsidRPr="00423B76">
              <w:rPr>
                <w:rFonts w:cs="Sylfaen"/>
                <w:lang w:val="hy-AM"/>
              </w:rPr>
              <w:t>որը</w:t>
            </w:r>
            <w:r w:rsidRPr="00423B76">
              <w:rPr>
                <w:lang w:val="hy-AM"/>
              </w:rPr>
              <w:t xml:space="preserve"> </w:t>
            </w:r>
            <w:r w:rsidRPr="00423B76">
              <w:rPr>
                <w:rFonts w:cs="Sylfaen"/>
                <w:lang w:val="hy-AM"/>
              </w:rPr>
              <w:t>կօժանդակի</w:t>
            </w:r>
            <w:r w:rsidRPr="00423B76">
              <w:rPr>
                <w:lang w:val="hy-AM"/>
              </w:rPr>
              <w:t xml:space="preserve"> </w:t>
            </w:r>
            <w:r w:rsidRPr="00423B76">
              <w:rPr>
                <w:rFonts w:cs="Sylfaen"/>
                <w:lang w:val="hy-AM"/>
              </w:rPr>
              <w:t>ՊՄԳ</w:t>
            </w:r>
            <w:r w:rsidRPr="00423B76">
              <w:rPr>
                <w:lang w:val="hy-AM"/>
              </w:rPr>
              <w:t xml:space="preserve"> </w:t>
            </w:r>
            <w:r w:rsidRPr="00423B76">
              <w:rPr>
                <w:rFonts w:cs="Sylfaen"/>
                <w:lang w:val="hy-AM"/>
              </w:rPr>
              <w:t>նոր</w:t>
            </w:r>
            <w:r w:rsidRPr="00423B76">
              <w:rPr>
                <w:lang w:val="hy-AM"/>
              </w:rPr>
              <w:t xml:space="preserve"> </w:t>
            </w:r>
            <w:r w:rsidRPr="00423B76">
              <w:rPr>
                <w:rFonts w:cs="Sylfaen"/>
                <w:lang w:val="hy-AM"/>
              </w:rPr>
              <w:t>համակարգն</w:t>
            </w:r>
            <w:r w:rsidRPr="00423B76">
              <w:rPr>
                <w:lang w:val="hy-AM"/>
              </w:rPr>
              <w:t xml:space="preserve"> </w:t>
            </w:r>
            <w:r w:rsidRPr="00423B76">
              <w:rPr>
                <w:rFonts w:cs="Sylfaen"/>
                <w:lang w:val="hy-AM"/>
              </w:rPr>
              <w:t>ավելի</w:t>
            </w:r>
            <w:r w:rsidRPr="00423B76">
              <w:rPr>
                <w:lang w:val="hy-AM"/>
              </w:rPr>
              <w:t xml:space="preserve"> </w:t>
            </w:r>
            <w:r w:rsidRPr="00423B76">
              <w:rPr>
                <w:rFonts w:cs="Sylfaen"/>
                <w:lang w:val="hy-AM"/>
              </w:rPr>
              <w:t>ամբողջական</w:t>
            </w:r>
            <w:r w:rsidRPr="00423B76">
              <w:rPr>
                <w:lang w:val="hy-AM"/>
              </w:rPr>
              <w:t xml:space="preserve"> </w:t>
            </w:r>
            <w:r w:rsidRPr="00423B76">
              <w:rPr>
                <w:rFonts w:cs="Sylfaen"/>
                <w:lang w:val="hy-AM"/>
              </w:rPr>
              <w:t>դարձնելուն</w:t>
            </w:r>
            <w:r w:rsidRPr="00423B76">
              <w:rPr>
                <w:lang w:val="hy-AM"/>
              </w:rPr>
              <w:t xml:space="preserve"> </w:t>
            </w:r>
            <w:r w:rsidRPr="00423B76">
              <w:rPr>
                <w:rFonts w:cs="Sylfaen"/>
                <w:lang w:val="hy-AM"/>
              </w:rPr>
              <w:t>և</w:t>
            </w:r>
            <w:r w:rsidRPr="00423B76">
              <w:rPr>
                <w:lang w:val="hy-AM"/>
              </w:rPr>
              <w:t xml:space="preserve"> </w:t>
            </w:r>
            <w:r w:rsidRPr="00423B76">
              <w:rPr>
                <w:rFonts w:cs="Sylfaen"/>
                <w:lang w:val="hy-AM"/>
              </w:rPr>
              <w:t>վերջինիս</w:t>
            </w:r>
            <w:r w:rsidRPr="00423B76">
              <w:rPr>
                <w:lang w:val="hy-AM"/>
              </w:rPr>
              <w:t xml:space="preserve"> </w:t>
            </w:r>
            <w:r w:rsidRPr="00423B76">
              <w:rPr>
                <w:rFonts w:cs="Sylfaen"/>
                <w:lang w:val="hy-AM"/>
              </w:rPr>
              <w:t>համար</w:t>
            </w:r>
            <w:r w:rsidRPr="00423B76">
              <w:rPr>
                <w:lang w:val="hy-AM"/>
              </w:rPr>
              <w:t xml:space="preserve"> </w:t>
            </w:r>
            <w:r w:rsidRPr="00423B76">
              <w:rPr>
                <w:rFonts w:cs="Sylfaen"/>
                <w:lang w:val="hy-AM"/>
              </w:rPr>
              <w:t>հստակ</w:t>
            </w:r>
            <w:r w:rsidRPr="00423B76">
              <w:rPr>
                <w:lang w:val="hy-AM"/>
              </w:rPr>
              <w:t xml:space="preserve">, </w:t>
            </w:r>
            <w:r w:rsidRPr="00423B76">
              <w:rPr>
                <w:rFonts w:cs="Sylfaen"/>
                <w:lang w:val="hy-AM"/>
              </w:rPr>
              <w:t>ուժեղ</w:t>
            </w:r>
            <w:r w:rsidRPr="00423B76">
              <w:rPr>
                <w:lang w:val="hy-AM"/>
              </w:rPr>
              <w:t xml:space="preserve"> </w:t>
            </w:r>
            <w:r w:rsidRPr="00423B76">
              <w:rPr>
                <w:rFonts w:cs="Sylfaen"/>
                <w:lang w:val="hy-AM"/>
              </w:rPr>
              <w:t>իրավական</w:t>
            </w:r>
            <w:r w:rsidRPr="00423B76">
              <w:rPr>
                <w:lang w:val="hy-AM"/>
              </w:rPr>
              <w:t xml:space="preserve"> </w:t>
            </w:r>
            <w:r w:rsidRPr="00423B76">
              <w:rPr>
                <w:rFonts w:cs="Sylfaen"/>
                <w:lang w:val="hy-AM"/>
              </w:rPr>
              <w:t>շրջանակ ձևավորելուն</w:t>
            </w:r>
            <w:r w:rsidRPr="00423B76">
              <w:rPr>
                <w:lang w:val="hy-AM"/>
              </w:rPr>
              <w:t xml:space="preserve">: </w:t>
            </w:r>
          </w:p>
          <w:p w:rsidR="0068680D" w:rsidRPr="00423B76" w:rsidRDefault="0068680D" w:rsidP="0068680D">
            <w:pPr>
              <w:pStyle w:val="ListParagraph"/>
              <w:numPr>
                <w:ilvl w:val="0"/>
                <w:numId w:val="410"/>
              </w:numPr>
              <w:spacing w:line="276" w:lineRule="auto"/>
              <w:contextualSpacing w:val="0"/>
              <w:jc w:val="both"/>
              <w:rPr>
                <w:lang w:val="hy-AM"/>
              </w:rPr>
            </w:pPr>
            <w:r w:rsidRPr="00423B76">
              <w:rPr>
                <w:rFonts w:cs="Sylfaen"/>
                <w:b/>
                <w:color w:val="000000"/>
                <w:lang w:val="hy-AM"/>
              </w:rPr>
              <w:t>Միջոցառման</w:t>
            </w:r>
            <w:r w:rsidRPr="00423B76">
              <w:rPr>
                <w:b/>
                <w:color w:val="000000"/>
                <w:lang w:val="hy-AM"/>
              </w:rPr>
              <w:t xml:space="preserve"> իրականացումից ակնկալվող արդյունքը</w:t>
            </w:r>
          </w:p>
          <w:p w:rsidR="0068680D" w:rsidRPr="00423B76" w:rsidRDefault="0068680D" w:rsidP="00F47DC4">
            <w:pPr>
              <w:pStyle w:val="ListParagraph"/>
              <w:spacing w:line="276" w:lineRule="auto"/>
              <w:ind w:left="0"/>
              <w:contextualSpacing w:val="0"/>
              <w:jc w:val="both"/>
              <w:rPr>
                <w:lang w:val="hy-AM"/>
              </w:rPr>
            </w:pPr>
            <w:r w:rsidRPr="00423B76">
              <w:rPr>
                <w:rFonts w:cs="Sylfaen"/>
                <w:lang w:val="hy-AM"/>
              </w:rPr>
              <w:t>Միջոցառման</w:t>
            </w:r>
            <w:r w:rsidRPr="00423B76">
              <w:rPr>
                <w:lang w:val="hy-AM"/>
              </w:rPr>
              <w:t xml:space="preserve"> իրականացմամբ կձևավորվի և կբարելավվի ՊՄԳ ծրագրերի մշտադիտարկման իրականացման գործընթացը և կխթանվի արդյունավետ ծրագրերի մշակումը:</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16.4 </w:t>
            </w:r>
            <w:r w:rsidRPr="00423B76">
              <w:rPr>
                <w:rFonts w:ascii="GHEA Grapalat" w:hAnsi="GHEA Grapalat" w:cs="Sylfaen"/>
                <w:sz w:val="20"/>
                <w:szCs w:val="20"/>
                <w:lang w:val="hy-AM"/>
              </w:rPr>
              <w:t>Հանրային ներդրումների կառավարման ինստիտուցիոնալ կարողությունների ձևավորում</w:t>
            </w:r>
          </w:p>
          <w:p w:rsidR="0068680D" w:rsidRPr="00423B76" w:rsidRDefault="0068680D" w:rsidP="0068680D">
            <w:pPr>
              <w:pStyle w:val="ListParagraph"/>
              <w:numPr>
                <w:ilvl w:val="0"/>
                <w:numId w:val="411"/>
              </w:numPr>
              <w:spacing w:line="276" w:lineRule="auto"/>
              <w:contextualSpacing w:val="0"/>
              <w:jc w:val="both"/>
              <w:rPr>
                <w:lang w:val="hy-AM"/>
              </w:rPr>
            </w:pPr>
            <w:r w:rsidRPr="00423B76">
              <w:rPr>
                <w:rFonts w:cs="Sylfaen"/>
                <w:b/>
                <w:color w:val="000000"/>
                <w:lang w:val="hy-AM"/>
              </w:rPr>
              <w:t>Միջոցառման</w:t>
            </w:r>
            <w:r w:rsidRPr="00423B76">
              <w:rPr>
                <w:b/>
                <w:color w:val="000000"/>
                <w:lang w:val="hy-AM"/>
              </w:rPr>
              <w:t xml:space="preserve"> իրականացման անհրաժեշտությունը և նպատակը</w:t>
            </w:r>
          </w:p>
          <w:p w:rsidR="0068680D" w:rsidRPr="00423B76" w:rsidRDefault="0068680D" w:rsidP="00F47DC4">
            <w:pPr>
              <w:spacing w:line="276" w:lineRule="auto"/>
              <w:jc w:val="both"/>
              <w:rPr>
                <w:rFonts w:cs="Sylfaen"/>
                <w:color w:val="000000"/>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5.6 բաժնի դրույթներով, ինչպես նաև Հայաստանում հանրային ֆինանսների կառավարման առկա համակարգի և հանրային ներդրումային որոշումների կայացման գործընթացի զարգացման անհրաժեշտությամբ:</w:t>
            </w:r>
            <w:r w:rsidRPr="00423B76">
              <w:rPr>
                <w:lang w:val="hy-AM"/>
              </w:rPr>
              <w:t xml:space="preserve"> Այն նոր մակարդակի վրա կբարձրացնի հանրային ռեսուրսների կառավարման արդյունավետությունը` հիմքեր ստեղծելով երկարաժամկետ ծրագրերի, քաղաքականությունների և իրականացվող ներդրումների միջև կապի ամրապնդման, հանրային ներդրումների սոցիալական և տնտեսական տարբեր ազդեցությունների ամբողջական գնահատման և կառավարման համար: </w:t>
            </w:r>
          </w:p>
          <w:p w:rsidR="0068680D" w:rsidRPr="00423B76" w:rsidRDefault="0068680D" w:rsidP="0068680D">
            <w:pPr>
              <w:pStyle w:val="ListParagraph"/>
              <w:numPr>
                <w:ilvl w:val="1"/>
                <w:numId w:val="411"/>
              </w:numPr>
              <w:spacing w:line="276" w:lineRule="auto"/>
              <w:ind w:left="810" w:hanging="450"/>
              <w:contextualSpacing w:val="0"/>
              <w:rPr>
                <w:rFonts w:eastAsia="Calibri" w:cs="GHEA Grapalat"/>
                <w:b/>
                <w:lang w:val="hy-AM"/>
              </w:rPr>
            </w:pPr>
            <w:r w:rsidRPr="00423B76">
              <w:rPr>
                <w:rFonts w:eastAsia="Calibri" w:cs="GHEA Grapalat"/>
                <w:b/>
                <w:lang w:val="hy-AM"/>
              </w:rPr>
              <w:t>Կարգավորման հարաբերությունների ներկա վիճակը և առկա խնդիրները</w:t>
            </w:r>
          </w:p>
          <w:p w:rsidR="0068680D" w:rsidRPr="00423B76" w:rsidRDefault="0068680D" w:rsidP="00F47DC4">
            <w:pPr>
              <w:pStyle w:val="ListParagraph"/>
              <w:tabs>
                <w:tab w:val="left" w:pos="0"/>
                <w:tab w:val="left" w:pos="360"/>
              </w:tabs>
              <w:spacing w:line="276" w:lineRule="auto"/>
              <w:ind w:left="0"/>
              <w:contextualSpacing w:val="0"/>
              <w:jc w:val="both"/>
              <w:rPr>
                <w:rFonts w:eastAsia="Calibri" w:cs="GHEA Grapalat"/>
                <w:lang w:val="hy-AM"/>
              </w:rPr>
            </w:pPr>
            <w:r w:rsidRPr="00423B76">
              <w:rPr>
                <w:rFonts w:eastAsia="Calibri" w:cs="GHEA Grapalat"/>
                <w:lang w:val="hy-AM"/>
              </w:rPr>
              <w:t>Պետական բյուջեից ֆինանսավորվող ներդրումային ծրագրերի գնահատման իրականացման և գերակայությունների սահմանման ընթացքում առկա են ինստիտուցիոնալ բացեր և անհրաժեշտ է ձևավորել համապատասխան համակարգ և կիրառելի մեխնիզմներ:</w:t>
            </w:r>
          </w:p>
          <w:p w:rsidR="0068680D" w:rsidRPr="00423B76" w:rsidRDefault="0068680D" w:rsidP="0068680D">
            <w:pPr>
              <w:pStyle w:val="ListParagraph"/>
              <w:numPr>
                <w:ilvl w:val="1"/>
                <w:numId w:val="411"/>
              </w:numPr>
              <w:spacing w:line="276" w:lineRule="auto"/>
              <w:ind w:left="810" w:hanging="450"/>
              <w:contextualSpacing w:val="0"/>
              <w:rPr>
                <w:rFonts w:eastAsia="Calibri" w:cs="GHEA Grapalat"/>
                <w:b/>
                <w:lang w:val="hy-AM"/>
              </w:rPr>
            </w:pPr>
            <w:r w:rsidRPr="00423B76">
              <w:rPr>
                <w:rFonts w:eastAsia="Calibri" w:cs="GHEA Grapalat"/>
                <w:b/>
                <w:lang w:val="hy-AM"/>
              </w:rPr>
              <w:t>Առկա խնդիրների առաջարկվող լուծումները</w:t>
            </w:r>
          </w:p>
          <w:p w:rsidR="0068680D" w:rsidRPr="00423B76" w:rsidRDefault="0068680D" w:rsidP="00F47DC4">
            <w:pPr>
              <w:pStyle w:val="ListParagraph"/>
              <w:spacing w:line="276" w:lineRule="auto"/>
              <w:ind w:left="0"/>
              <w:contextualSpacing w:val="0"/>
              <w:jc w:val="both"/>
              <w:rPr>
                <w:rFonts w:cs="Sylfaen"/>
                <w:color w:val="000000"/>
                <w:lang w:val="hy-AM"/>
              </w:rPr>
            </w:pPr>
            <w:r w:rsidRPr="00423B76">
              <w:rPr>
                <w:rFonts w:cs="Sylfaen"/>
                <w:color w:val="000000"/>
                <w:lang w:val="hy-AM"/>
              </w:rPr>
              <w:t>Հանրային ներդրումների կառավարման ինստիտուցիոնալ կարողությունների ձևավորված համակարգը կնպաստի հանրային ռեսուրսների առավել արդյունավետ բաշխմանն ու կառավարմանը:</w:t>
            </w:r>
          </w:p>
          <w:p w:rsidR="0068680D" w:rsidRPr="00423B76" w:rsidRDefault="0068680D" w:rsidP="0068680D">
            <w:pPr>
              <w:pStyle w:val="ListParagraph"/>
              <w:numPr>
                <w:ilvl w:val="0"/>
                <w:numId w:val="411"/>
              </w:numPr>
              <w:spacing w:line="276" w:lineRule="auto"/>
              <w:contextualSpacing w:val="0"/>
              <w:jc w:val="both"/>
              <w:rPr>
                <w:b/>
                <w:i/>
                <w:lang w:val="hy-AM"/>
              </w:rPr>
            </w:pPr>
            <w:r w:rsidRPr="00423B76">
              <w:rPr>
                <w:rFonts w:cs="Sylfaen"/>
                <w:b/>
                <w:color w:val="000000"/>
                <w:lang w:val="hy-AM"/>
              </w:rPr>
              <w:t>Միջոցառման</w:t>
            </w:r>
            <w:r w:rsidRPr="00423B76">
              <w:rPr>
                <w:b/>
                <w:color w:val="000000"/>
                <w:lang w:val="hy-AM"/>
              </w:rPr>
              <w:t xml:space="preserve"> իրականացումից ակնկալվող արդյունքը</w:t>
            </w:r>
          </w:p>
          <w:p w:rsidR="0068680D" w:rsidRPr="00423B76" w:rsidRDefault="0068680D" w:rsidP="00F47DC4">
            <w:pPr>
              <w:pStyle w:val="ListParagraph"/>
              <w:spacing w:line="276" w:lineRule="auto"/>
              <w:ind w:left="0"/>
              <w:contextualSpacing w:val="0"/>
              <w:jc w:val="both"/>
              <w:rPr>
                <w:b/>
                <w:i/>
                <w:lang w:val="hy-AM"/>
              </w:rPr>
            </w:pPr>
            <w:r w:rsidRPr="00423B76">
              <w:rPr>
                <w:rFonts w:cs="Sylfaen"/>
                <w:lang w:val="hy-AM"/>
              </w:rPr>
              <w:t>Միջոցառման</w:t>
            </w:r>
            <w:r w:rsidRPr="00423B76">
              <w:rPr>
                <w:lang w:val="hy-AM"/>
              </w:rPr>
              <w:t xml:space="preserve"> իրականացմամբ նախատեսվում է ներդնել հանրային ներդրումների կառավարման ժամանակակից մեխանիզմներ պետական միջոցներն առավել արդյունավետ կառավարելու նպատակով:</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17</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r>
              <w:rPr>
                <w:rFonts w:ascii="GHEA Grapalat" w:hAnsi="GHEA Grapalat"/>
                <w:sz w:val="20"/>
                <w:szCs w:val="20"/>
                <w:lang w:val="hy-AM"/>
              </w:rPr>
              <w:t>Պ</w:t>
            </w:r>
            <w:r w:rsidRPr="00423B76">
              <w:rPr>
                <w:rFonts w:ascii="GHEA Grapalat" w:hAnsi="GHEA Grapalat"/>
                <w:sz w:val="20"/>
                <w:szCs w:val="20"/>
                <w:lang w:val="hy-AM"/>
              </w:rPr>
              <w:t>ոտենցիալ ներդրողների նախնական ուսումնասիրու</w:t>
            </w:r>
            <w:r w:rsidRPr="00423B76">
              <w:rPr>
                <w:rFonts w:ascii="GHEA Grapalat" w:hAnsi="GHEA Grapalat"/>
                <w:sz w:val="20"/>
                <w:szCs w:val="20"/>
                <w:lang w:val="hy-AM"/>
              </w:rPr>
              <w:softHyphen/>
              <w:t>թ</w:t>
            </w:r>
            <w:r w:rsidRPr="00423B76">
              <w:rPr>
                <w:rFonts w:ascii="GHEA Grapalat" w:hAnsi="GHEA Grapalat"/>
                <w:sz w:val="20"/>
                <w:szCs w:val="20"/>
                <w:lang w:val="hy-AM"/>
              </w:rPr>
              <w:softHyphen/>
              <w:t>յուն</w:t>
            </w:r>
            <w:r w:rsidRPr="00423B76">
              <w:rPr>
                <w:rFonts w:ascii="GHEA Grapalat" w:hAnsi="GHEA Grapalat"/>
                <w:sz w:val="20"/>
                <w:szCs w:val="20"/>
                <w:lang w:val="hy-AM"/>
              </w:rPr>
              <w:softHyphen/>
              <w:t xml:space="preserve">ների հետ կապված ծախսերի կրճատում </w:t>
            </w:r>
            <w:r>
              <w:rPr>
                <w:rFonts w:ascii="GHEA Grapalat" w:hAnsi="GHEA Grapalat"/>
                <w:sz w:val="20"/>
                <w:szCs w:val="20"/>
                <w:lang w:val="hy-AM"/>
              </w:rPr>
              <w:t>և</w:t>
            </w:r>
            <w:r w:rsidRPr="00423B76">
              <w:rPr>
                <w:rFonts w:ascii="GHEA Grapalat" w:hAnsi="GHEA Grapalat"/>
                <w:sz w:val="20"/>
                <w:szCs w:val="20"/>
                <w:lang w:val="hy-AM"/>
              </w:rPr>
              <w:t xml:space="preserve"> արդյունավետության բարձրացում, հետներդրու</w:t>
            </w:r>
            <w:r w:rsidRPr="00423B76">
              <w:rPr>
                <w:rFonts w:ascii="GHEA Grapalat" w:hAnsi="GHEA Grapalat"/>
                <w:sz w:val="20"/>
                <w:szCs w:val="20"/>
                <w:lang w:val="hy-AM"/>
              </w:rPr>
              <w:softHyphen/>
              <w:t>մային սպասարկման ծառայությունների տրամադրում՝ տեղական միջավայրին հարմարվելու նպատակով</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17.1 </w:t>
            </w:r>
            <w:r w:rsidRPr="00423B76">
              <w:rPr>
                <w:rFonts w:ascii="GHEA Grapalat" w:hAnsi="GHEA Grapalat" w:cs="Sylfaen"/>
                <w:sz w:val="20"/>
                <w:szCs w:val="20"/>
                <w:lang w:val="hy-AM"/>
              </w:rPr>
              <w:t>Հայաստանում ներդրումային որոշումների նախապատրաստման փուլում օտարերկրյա ներդրողների ժամանակա</w:t>
            </w:r>
            <w:r w:rsidRPr="00423B76">
              <w:rPr>
                <w:rFonts w:ascii="GHEA Grapalat" w:hAnsi="GHEA Grapalat" w:cs="Sylfaen"/>
                <w:sz w:val="20"/>
                <w:szCs w:val="20"/>
                <w:lang w:val="hy-AM"/>
              </w:rPr>
              <w:softHyphen/>
              <w:t>յին և ֆինանսական ծախսերը կրճատելու, ներդրում</w:t>
            </w:r>
            <w:r w:rsidRPr="00423B76">
              <w:rPr>
                <w:rFonts w:ascii="GHEA Grapalat" w:hAnsi="GHEA Grapalat" w:cs="Sylfaen"/>
                <w:sz w:val="20"/>
                <w:szCs w:val="20"/>
                <w:lang w:val="hy-AM"/>
              </w:rPr>
              <w:softHyphen/>
              <w:t>ները և վերաներդրումները խթանելու համար «մեկ կանգառի» ծառայություններ մատուցող համակարգի ներդնում</w:t>
            </w:r>
          </w:p>
          <w:p w:rsidR="0068680D" w:rsidRPr="00423B76" w:rsidRDefault="0068680D" w:rsidP="0068680D">
            <w:pPr>
              <w:pStyle w:val="ListParagraph"/>
              <w:numPr>
                <w:ilvl w:val="0"/>
                <w:numId w:val="412"/>
              </w:numPr>
              <w:spacing w:line="276" w:lineRule="auto"/>
              <w:contextualSpacing w:val="0"/>
              <w:jc w:val="both"/>
              <w:rPr>
                <w:b/>
                <w:color w:val="000000"/>
                <w:lang w:val="hy-AM"/>
              </w:rPr>
            </w:pPr>
            <w:r w:rsidRPr="00423B76">
              <w:rPr>
                <w:rFonts w:cs="Sylfaen"/>
                <w:b/>
                <w:color w:val="000000"/>
                <w:lang w:val="hy-AM"/>
              </w:rPr>
              <w:t>Միջոցառման</w:t>
            </w:r>
            <w:r w:rsidRPr="00423B76">
              <w:rPr>
                <w:b/>
                <w:color w:val="000000"/>
                <w:lang w:val="hy-AM"/>
              </w:rPr>
              <w:t xml:space="preserve"> իրականացման անհրաժեշտությունը և նպատակը</w:t>
            </w:r>
          </w:p>
          <w:p w:rsidR="0068680D" w:rsidRPr="00423B76" w:rsidRDefault="0068680D" w:rsidP="00F47DC4">
            <w:pPr>
              <w:spacing w:line="276" w:lineRule="auto"/>
              <w:jc w:val="both"/>
              <w:rPr>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5.6 բաժնի դրույթներով:</w:t>
            </w:r>
            <w:r w:rsidRPr="00423B76">
              <w:rPr>
                <w:lang w:val="hy-AM"/>
              </w:rPr>
              <w:t xml:space="preserve"> Տնտեսության և նրա ոլորտների ներդրումային վարկանիշի ձևավորման, պետական մարմինների և գործարարների միջև համագործակցությանը, պետություն-մասնավոր հատված արդյունավետ երկխոսության և համագործակցության շարունակական կատարելագործմանը նպաստման, օտարերկրյա ներդրողներին Հայաստանի Հանրապետությունում ներդրումային և գործարար միջավայրի, առավելությունների և հնարավորությունների վերաբերյալ անհրաժեշտ տեղեկատվություն տրամադրման, օտարերկրյա ներդրումներ ներգրավման, քարոզարշավների իրականացման, հետներդրու</w:t>
            </w:r>
            <w:r w:rsidRPr="00423B76">
              <w:rPr>
                <w:lang w:val="hy-AM"/>
              </w:rPr>
              <w:softHyphen/>
              <w:t>մային սպասարկման ծառայությունների տրամադրման համար անհրաժեշտ է ստեղծել ներդրողներին, այդ թվում օտարերկրյա` «մեկ կանգառի» ծառայություններ մատուցող կառույց:</w:t>
            </w:r>
          </w:p>
          <w:p w:rsidR="0068680D" w:rsidRPr="00423B76" w:rsidRDefault="0068680D" w:rsidP="0068680D">
            <w:pPr>
              <w:pStyle w:val="ListParagraph"/>
              <w:numPr>
                <w:ilvl w:val="1"/>
                <w:numId w:val="412"/>
              </w:numPr>
              <w:spacing w:line="276" w:lineRule="auto"/>
              <w:contextualSpacing w:val="0"/>
              <w:jc w:val="both"/>
              <w:rPr>
                <w:rFonts w:eastAsia="Calibri" w:cs="GHEA Grapalat"/>
                <w:b/>
                <w:lang w:val="hy-AM"/>
              </w:rPr>
            </w:pPr>
            <w:r w:rsidRPr="00423B76">
              <w:rPr>
                <w:rFonts w:eastAsia="Calibri" w:cs="GHEA Grapalat"/>
                <w:b/>
                <w:lang w:val="hy-AM"/>
              </w:rPr>
              <w:t>Կարգավորման հարաբերությունների ներկա վիճակը և առկա խնդիրները</w:t>
            </w:r>
          </w:p>
          <w:p w:rsidR="0068680D" w:rsidRPr="00423B76" w:rsidRDefault="0068680D" w:rsidP="00F47DC4">
            <w:pPr>
              <w:spacing w:line="276" w:lineRule="auto"/>
              <w:jc w:val="both"/>
              <w:rPr>
                <w:lang w:val="hy-AM"/>
              </w:rPr>
            </w:pPr>
            <w:r w:rsidRPr="00423B76">
              <w:rPr>
                <w:rFonts w:cs="Sylfaen"/>
                <w:lang w:val="hy-AM"/>
              </w:rPr>
              <w:t>Ներկայումս</w:t>
            </w:r>
            <w:r w:rsidRPr="00423B76">
              <w:rPr>
                <w:lang w:val="hy-AM"/>
              </w:rPr>
              <w:t xml:space="preserve"> ՀՀ-ում բացակայում է «մեկ կանգառի» ծառայություններ մատուցող կառույց (այդ գործառույթը որոշակի ծավալով իրականացնող «Բիզնես Արմենիա» հիմնադրամը լուծարման գործընթացում է): Վերջինիս առկայությունը հնարավորություն կտա առավել արագ կազմակերպել մի շարք գործընթացներ, աջակցել օտարերկրյա ներդրողների ներգրավմանը, առավել դյուրին դարձնել պետական մարմինների և գործարարների միջև համագործակցությունը:</w:t>
            </w:r>
          </w:p>
          <w:p w:rsidR="0068680D" w:rsidRPr="00423B76" w:rsidRDefault="0068680D" w:rsidP="0068680D">
            <w:pPr>
              <w:pStyle w:val="ListParagraph"/>
              <w:numPr>
                <w:ilvl w:val="1"/>
                <w:numId w:val="412"/>
              </w:numPr>
              <w:tabs>
                <w:tab w:val="left" w:pos="720"/>
              </w:tabs>
              <w:spacing w:line="276" w:lineRule="auto"/>
              <w:contextualSpacing w:val="0"/>
              <w:jc w:val="both"/>
              <w:rPr>
                <w:color w:val="000000"/>
                <w:shd w:val="clear" w:color="auto" w:fill="FFFFFF"/>
                <w:lang w:val="hy-AM"/>
              </w:rPr>
            </w:pPr>
            <w:r w:rsidRPr="00423B76">
              <w:rPr>
                <w:rFonts w:eastAsia="Calibri" w:cs="GHEA Grapalat"/>
                <w:b/>
                <w:lang w:val="hy-AM"/>
              </w:rPr>
              <w:t>Առկա խնդիրների առաջարկվող լուծումները</w:t>
            </w:r>
          </w:p>
          <w:p w:rsidR="0068680D" w:rsidRPr="00423B76" w:rsidRDefault="0068680D" w:rsidP="00F47DC4">
            <w:pPr>
              <w:spacing w:line="276" w:lineRule="auto"/>
              <w:jc w:val="both"/>
              <w:rPr>
                <w:rFonts w:cs="Sylfaen"/>
                <w:bCs/>
                <w:color w:val="000000"/>
                <w:lang w:val="hy-AM"/>
              </w:rPr>
            </w:pPr>
            <w:r w:rsidRPr="00423B76">
              <w:rPr>
                <w:rFonts w:cs="Sylfaen"/>
                <w:bCs/>
                <w:color w:val="000000"/>
                <w:lang w:val="hy-AM"/>
              </w:rPr>
              <w:t>Հայաստանում ներդրումային որոշումների նախապատրաստման փուլում օտարերկրյա ներդրողների ժամնակա</w:t>
            </w:r>
            <w:r w:rsidRPr="00423B76">
              <w:rPr>
                <w:rFonts w:cs="Sylfaen"/>
                <w:bCs/>
                <w:color w:val="000000"/>
                <w:lang w:val="hy-AM"/>
              </w:rPr>
              <w:softHyphen/>
              <w:t>յին և ֆինանսական ծախսերը կրճատելու, ներդրում</w:t>
            </w:r>
            <w:r w:rsidRPr="00423B76">
              <w:rPr>
                <w:rFonts w:cs="Sylfaen"/>
                <w:bCs/>
                <w:color w:val="000000"/>
                <w:lang w:val="hy-AM"/>
              </w:rPr>
              <w:softHyphen/>
              <w:t>ները և վերաներդրումները խթանելու համար «մեկ կանգառի» ծառայություններ մատուցող կառույցի ստեղծում:</w:t>
            </w:r>
          </w:p>
          <w:p w:rsidR="0068680D" w:rsidRPr="00423B76" w:rsidRDefault="0068680D" w:rsidP="0068680D">
            <w:pPr>
              <w:pStyle w:val="ListParagraph"/>
              <w:numPr>
                <w:ilvl w:val="0"/>
                <w:numId w:val="412"/>
              </w:numPr>
              <w:spacing w:line="276" w:lineRule="auto"/>
              <w:contextualSpacing w:val="0"/>
              <w:jc w:val="both"/>
              <w:rPr>
                <w:lang w:val="hy-AM"/>
              </w:rPr>
            </w:pPr>
            <w:r w:rsidRPr="00423B76">
              <w:rPr>
                <w:rFonts w:cs="Sylfaen"/>
                <w:b/>
                <w:color w:val="000000"/>
                <w:lang w:val="hy-AM"/>
              </w:rPr>
              <w:t>Միջոցառման</w:t>
            </w:r>
            <w:r w:rsidRPr="00423B76">
              <w:rPr>
                <w:b/>
                <w:color w:val="000000"/>
                <w:lang w:val="hy-AM"/>
              </w:rPr>
              <w:t xml:space="preserve"> իրականացումից ակնկալվող արդյունքը</w:t>
            </w:r>
          </w:p>
          <w:p w:rsidR="0068680D" w:rsidRPr="00423B76" w:rsidRDefault="0068680D" w:rsidP="00F47DC4">
            <w:pPr>
              <w:spacing w:line="276" w:lineRule="auto"/>
              <w:jc w:val="both"/>
              <w:rPr>
                <w:lang w:val="hy-AM"/>
              </w:rPr>
            </w:pPr>
            <w:r w:rsidRPr="00423B76">
              <w:rPr>
                <w:lang w:val="hy-AM"/>
              </w:rPr>
              <w:t>«Մեկ կանգառի» ծառայություններ մատուցող կառույցի ստեղծման դեպքում օտարերկրյա ներդրողը հնարավորություն կունենա ստանալ իրենց անհրաժեշտ ամբողջական և համապարփակ տեղեկատվությունը մեկ վայրից, հնարավորինս կրճատել տարբեր փաստթղթերի հավաքման գործընթացը, նվազեցնել պետական մարմինների հետ ուղիղ կապը, ստանալ հետներդրումային սպասարկման մի շարք ծառայություններ, ինչն իր հերթին կխթանի ներդրումները Հայաստանում:</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18.</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r>
              <w:rPr>
                <w:rFonts w:ascii="GHEA Grapalat" w:hAnsi="GHEA Grapalat"/>
                <w:sz w:val="20"/>
                <w:szCs w:val="20"/>
                <w:lang w:val="hy-AM"/>
              </w:rPr>
              <w:t>Մ</w:t>
            </w:r>
            <w:r w:rsidRPr="00423B76">
              <w:rPr>
                <w:rFonts w:ascii="GHEA Grapalat" w:hAnsi="GHEA Grapalat"/>
                <w:sz w:val="20"/>
                <w:szCs w:val="20"/>
                <w:lang w:val="hy-AM"/>
              </w:rPr>
              <w:t>տավոր սեփականության պահպանության իրավական դաշտի կատարելագործում</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18.1 </w:t>
            </w:r>
            <w:r w:rsidRPr="00423B76">
              <w:rPr>
                <w:rFonts w:ascii="GHEA Grapalat" w:hAnsi="GHEA Grapalat" w:cs="Sylfaen"/>
                <w:sz w:val="20"/>
                <w:szCs w:val="20"/>
                <w:lang w:val="hy-AM"/>
              </w:rPr>
              <w:t>«Գյուտի հայտի ձևակերպման, ներկայացման և քննարկման կարգի մասին» և «Պետական և ծառայողական գաղտնիք կազմող տեղեկություններ պարունակող գյուտերի գաղտնիության աստիճա</w:t>
            </w:r>
            <w:r w:rsidRPr="00423B76">
              <w:rPr>
                <w:rFonts w:ascii="GHEA Grapalat" w:hAnsi="GHEA Grapalat" w:cs="Sylfaen"/>
                <w:sz w:val="20"/>
                <w:szCs w:val="20"/>
                <w:lang w:val="hy-AM"/>
              </w:rPr>
              <w:softHyphen/>
              <w:t>նի որոշման, դրանց օգտագործման և դրանց մասին տեղեկությունների հրապարակման կարգի մասին» ՀՀ կառավարության որոշման նախա</w:t>
            </w:r>
            <w:r w:rsidRPr="00423B76">
              <w:rPr>
                <w:rFonts w:ascii="GHEA Grapalat" w:hAnsi="GHEA Grapalat" w:cs="Sylfaen"/>
                <w:sz w:val="20"/>
                <w:szCs w:val="20"/>
                <w:lang w:val="hy-AM"/>
              </w:rPr>
              <w:softHyphen/>
              <w:t>գծե</w:t>
            </w:r>
            <w:r w:rsidRPr="00423B76">
              <w:rPr>
                <w:rFonts w:ascii="GHEA Grapalat" w:hAnsi="GHEA Grapalat" w:cs="Sylfaen"/>
                <w:sz w:val="20"/>
                <w:szCs w:val="20"/>
                <w:lang w:val="hy-AM"/>
              </w:rPr>
              <w:softHyphen/>
              <w:t>րի մշակում և ՀՀ վարչապետի աշխատակազմ ներկայացում</w:t>
            </w:r>
          </w:p>
          <w:p w:rsidR="0068680D" w:rsidRPr="00423B76" w:rsidRDefault="0068680D" w:rsidP="0068680D">
            <w:pPr>
              <w:pStyle w:val="ListParagraph"/>
              <w:numPr>
                <w:ilvl w:val="0"/>
                <w:numId w:val="413"/>
              </w:numPr>
              <w:spacing w:line="276" w:lineRule="auto"/>
              <w:contextualSpacing w:val="0"/>
              <w:rPr>
                <w:b/>
                <w:color w:val="000000"/>
                <w:lang w:val="hy-AM"/>
              </w:rPr>
            </w:pPr>
            <w:r w:rsidRPr="00423B76">
              <w:rPr>
                <w:b/>
                <w:color w:val="000000"/>
                <w:lang w:val="hy-AM"/>
              </w:rPr>
              <w:t>Միջոցառման իրականացման անհրաժեշտությունը և նպատակը</w:t>
            </w:r>
          </w:p>
          <w:p w:rsidR="0068680D" w:rsidRPr="00423B76" w:rsidRDefault="0068680D" w:rsidP="00F47DC4">
            <w:pPr>
              <w:spacing w:line="276" w:lineRule="auto"/>
              <w:jc w:val="both"/>
              <w:rPr>
                <w:rFonts w:eastAsia="Calibri" w:cs="GHEA Grapalat"/>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5.6 բաժնի դրույթներով, ինչպես նաև</w:t>
            </w:r>
            <w:r w:rsidRPr="00423B76">
              <w:rPr>
                <w:rFonts w:eastAsia="Calibri" w:cs="GHEA Grapalat"/>
                <w:lang w:val="hy-AM"/>
              </w:rPr>
              <w:t xml:space="preserve"> Հայաստանի Հանրապետությունում մտավոր սեփականության ոլորտում հարաբերությունների կարգավորման իրավական դաշտի կատարելագործման անհրաժեշտությամբ, մասնավորապես՝ գյուտերի իրավական պահպանության տրամադրման, ինչպես նաև պետական կամ ծառայողական գաղտնիք կազմող տեղեկություններ պարունակող գյուտերի գաղտնագրման, գաղտնիության աստիճանի որոշման, գաղտնազերծման, դրանց օգտագործման և դրանց մասին տեղեկությունների հրապարակման հետ կապված հարցերի կարգավորման առավել կատարելագործված համակարգի ներդրմամբ:</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Միջոցառման նպատակն է՝ «Արտոնագրերի մասին» Հայաստանի Հանրապետության նոր օրենքի ընդունմամբ պայմանավորված համապատասխան ընթացակարգերի համապատասխանեցումը օրենքի դրույթներին:</w:t>
            </w:r>
          </w:p>
          <w:p w:rsidR="0068680D" w:rsidRPr="00423B76" w:rsidRDefault="0068680D" w:rsidP="0068680D">
            <w:pPr>
              <w:pStyle w:val="ListParagraph"/>
              <w:numPr>
                <w:ilvl w:val="1"/>
                <w:numId w:val="413"/>
              </w:numPr>
              <w:spacing w:line="276" w:lineRule="auto"/>
              <w:ind w:hanging="11"/>
              <w:rPr>
                <w:rFonts w:eastAsia="Calibri" w:cs="GHEA Grapalat"/>
                <w:b/>
                <w:lang w:val="hy-AM"/>
              </w:rPr>
            </w:pPr>
            <w:r w:rsidRPr="00423B76">
              <w:rPr>
                <w:rFonts w:eastAsia="Calibri" w:cs="GHEA Grapalat"/>
                <w:b/>
                <w:lang w:val="hy-AM"/>
              </w:rPr>
              <w:t>Կարգավորման հարաբերությունների ներկա վիճակը և առկա խնդիրները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Մինչ այժմ գործող՝ «Գյուտի, օգտակար մոդելի, արդյունաբերական նմուշի հայտի ձևակերպման, ներկայացման և քննարկման» կարգում պարզաբանված են արդյունաբերական սեփականության միաժամանակ երեք օբյեկտներին վերաբերող ընթացակարգերը, որոնք իրենց հերթին բխում են «Գյուտերի, օգտակար մոդելների և արդյունաբերական նմուշների մասին» ՀՀ օրենքում տեղ գտած ընթացակարգերից, որոնցից շատերը «Արտոնագրերի մասին» Հայաստանի Հանրապետության նոր մշակված  օրենքում տեղ գտած ընթացակարգերից էականորեն տարբերվում են, մի շարք էական (գյուտի ըստ էության փորձաքննության, լրացուցիչ իրավական պահպանության տրամադրման, ժամկետների հաշվառման, գյուտի կարճաժամկետ արտոնագիր տալու դեմ առարկություն ներկայացնելու և այլն) ընթացակարգեր նոր են ընդգրկվել օրենսդրության մեջ, իսկ արդյունաբերական նմուշներին վերաբերող ընթացակարգերը ընդհանրապես հանված են «Արտոնագրերի մասին» Հայաստանի Հանրապետության օրենքից, քանի որ արդյունաբերական նմուշներին վերաբերող օրենսդրական կարգավորումներն այժմ տրվում են առանձին օրենքով:</w:t>
            </w:r>
          </w:p>
          <w:p w:rsidR="0068680D" w:rsidRPr="00423B76" w:rsidRDefault="0068680D" w:rsidP="0068680D">
            <w:pPr>
              <w:pStyle w:val="ListParagraph"/>
              <w:numPr>
                <w:ilvl w:val="1"/>
                <w:numId w:val="413"/>
              </w:numPr>
              <w:spacing w:line="276" w:lineRule="auto"/>
              <w:ind w:hanging="11"/>
              <w:rPr>
                <w:rFonts w:eastAsia="Calibri" w:cs="GHEA Grapalat"/>
                <w:b/>
                <w:lang w:val="hy-AM"/>
              </w:rPr>
            </w:pPr>
            <w:r w:rsidRPr="00423B76">
              <w:rPr>
                <w:rFonts w:eastAsia="Calibri" w:cs="GHEA Grapalat"/>
                <w:b/>
                <w:lang w:val="hy-AM"/>
              </w:rPr>
              <w:t xml:space="preserve"> Առկա խնդիրների առաջարկվող լուծումները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Նախատեսվում է ընդունել «Գյուտի հայտի ձևակերպման, ներկայացման և քննարկման» և «Պետական և ծառայողական գաղտնիք կազմող տեղեկություններ պարունակող գյուտերի գաղտնիության աստիճանի որոշման, դրանց օգտագործման և դրանց մասին տեղեկությունների հրապարակման» կարգեր, որոնցով կսահմանվեն «Արտոնագրերի մասին» Հայաստանի Հանրապետության նոր մշակված օրենքով նախատեսված՝ գյուտի հայտի ձևակերպմանը, ներկայացմանը և հատկապես քննարկմանը վերաբերող ընթացակարգերի առանձնահատկություններն ու պարզաբանումները, ինչպես նաև կհստակեցվեն պետական գաղտնիքի շարքը դասվող տեղեկությունների ցանկի, գյուտերի օգտագործման և դրանց մասին տեղեկությունների հրապարակման հետ կապված հարցերը:</w:t>
            </w:r>
          </w:p>
          <w:p w:rsidR="0068680D" w:rsidRPr="00423B76" w:rsidRDefault="0068680D" w:rsidP="0068680D">
            <w:pPr>
              <w:pStyle w:val="ListParagraph"/>
              <w:numPr>
                <w:ilvl w:val="0"/>
                <w:numId w:val="413"/>
              </w:numPr>
              <w:spacing w:line="276" w:lineRule="auto"/>
              <w:contextualSpacing w:val="0"/>
              <w:rPr>
                <w:b/>
                <w:color w:val="000000"/>
                <w:lang w:val="hy-AM"/>
              </w:rPr>
            </w:pPr>
            <w:r w:rsidRPr="00423B76">
              <w:rPr>
                <w:b/>
                <w:color w:val="000000"/>
                <w:lang w:val="hy-AM"/>
              </w:rPr>
              <w:t>Միջոցառման իրականացումից ակնկալվող արդյունքը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 xml:space="preserve">Սույն  նախագծի ընդունման արդյունքում ակնկալվում է ունենալ առավել հստակեցված, ամբողջականացված ենթաօրենսդրական իրավական ակտեր: Նախագծի ընդունման արդյունքում կապահովվի իրավակիրարկման պրակտիկայում առկա խնդիրների լուծումը, ինչը հնարավորություն կտա հուսալի և արդյունավետ կարգավորել գյուտերին իրավական պահպանություն տրամադրելու հետ կապված հարաբերությունները։ </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18.2 </w:t>
            </w:r>
            <w:r w:rsidRPr="00423B76">
              <w:rPr>
                <w:rFonts w:ascii="GHEA Grapalat" w:hAnsi="GHEA Grapalat" w:cs="Sylfaen"/>
                <w:sz w:val="20"/>
                <w:szCs w:val="20"/>
                <w:lang w:val="hy-AM"/>
              </w:rPr>
              <w:t>«Արդյունաբերական դիզայնի հայտի ձևակերպման, ներկայաց</w:t>
            </w:r>
            <w:r w:rsidRPr="00423B76">
              <w:rPr>
                <w:rFonts w:ascii="GHEA Grapalat" w:hAnsi="GHEA Grapalat" w:cs="Sylfaen"/>
                <w:sz w:val="20"/>
                <w:szCs w:val="20"/>
                <w:lang w:val="hy-AM"/>
              </w:rPr>
              <w:softHyphen/>
              <w:t>ման և քննարկման կարգի մասին» ՀՀ կառավարության որոշման նախագծի մշակում և ՀՀ վարչապետի աշխատակազմ ներկայացում</w:t>
            </w:r>
          </w:p>
          <w:p w:rsidR="0068680D" w:rsidRPr="00423B76" w:rsidRDefault="0068680D" w:rsidP="0068680D">
            <w:pPr>
              <w:pStyle w:val="ListParagraph"/>
              <w:numPr>
                <w:ilvl w:val="0"/>
                <w:numId w:val="342"/>
              </w:numPr>
              <w:spacing w:line="276" w:lineRule="auto"/>
              <w:contextualSpacing w:val="0"/>
              <w:rPr>
                <w:b/>
                <w:color w:val="000000"/>
                <w:lang w:val="hy-AM"/>
              </w:rPr>
            </w:pPr>
            <w:r w:rsidRPr="00423B76">
              <w:rPr>
                <w:b/>
                <w:color w:val="000000"/>
                <w:lang w:val="hy-AM"/>
              </w:rPr>
              <w:t>Միջոցառման իրականացման անհրաժեշտությունը և նպատակը</w:t>
            </w:r>
          </w:p>
          <w:p w:rsidR="0068680D" w:rsidRPr="00423B76" w:rsidRDefault="0068680D" w:rsidP="00F47DC4">
            <w:pPr>
              <w:spacing w:line="276" w:lineRule="auto"/>
              <w:jc w:val="both"/>
              <w:rPr>
                <w:rFonts w:eastAsia="Calibri" w:cs="GHEA Grapalat"/>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5.6 բաժնի դրույթներով, ինչպես նաև</w:t>
            </w:r>
            <w:r w:rsidRPr="00423B76">
              <w:rPr>
                <w:rFonts w:eastAsia="Calibri" w:cs="GHEA Grapalat"/>
                <w:lang w:val="hy-AM"/>
              </w:rPr>
              <w:t xml:space="preserve"> Հայաստանի Հանրապետությունում մտավոր սեփականության ոլորտը կարգավորող իրավական դաշտի  կատարելագործման անհրաժեշտությամբ, մասնավորապես՝ արդյունաբերական դիզայններին իրավական պահպանության տրամադրման առավել կատարելագործված համակարգի ներդրմամբ: </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Միջոցառման նպատակն է՝ «Արդյունաբերական դիզայնի մասին» Հայաստանի Հանրապետության նոր օրենքի ընդունմամբ պայմանավորված համապատասխան ընթացակարգերի համապատասխանեցումը օրենքի դրույթներին:</w:t>
            </w:r>
          </w:p>
          <w:p w:rsidR="0068680D" w:rsidRPr="00423B76" w:rsidRDefault="0068680D" w:rsidP="0068680D">
            <w:pPr>
              <w:pStyle w:val="ListParagraph"/>
              <w:numPr>
                <w:ilvl w:val="1"/>
                <w:numId w:val="343"/>
              </w:numPr>
              <w:spacing w:line="276" w:lineRule="auto"/>
              <w:contextualSpacing w:val="0"/>
              <w:rPr>
                <w:rFonts w:eastAsia="Calibri" w:cs="GHEA Grapalat"/>
                <w:b/>
                <w:lang w:val="hy-AM"/>
              </w:rPr>
            </w:pPr>
            <w:r w:rsidRPr="00423B76">
              <w:rPr>
                <w:rFonts w:eastAsia="Calibri" w:cs="GHEA Grapalat"/>
                <w:b/>
                <w:lang w:val="hy-AM"/>
              </w:rPr>
              <w:t>Կարգավորման հարաբերությունների ներկա վիճակը և առկա խնդիրները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 xml:space="preserve">Մինչ այժմ գործող՝ «Գյուտի, օգտակար մոդելի, արդյունաբերական նմուշի հայտի ձևակերպման, ներկայացման և քննարկման» կարգում պարզաբանված են արդյունաբերական սեփականության միաժամանակ երեք օբյեկտներին վերաբերող ընթացակարգերը, որոնք իրենց հերթին առաջացնում են մի շարք խնդիրներ, քանի որ հայտերի լրացնելու և ներկայացնելու, դրանց քննարկման հետ կապված հարաբերությունները ներկայացված են բավական ընդհանրացված, որն էլ կիրառողների համար դժվարություններ է  առաջացնում: Բացի դրանից, նոր օրենքով նախատեսված` արդյունաբերական դիզայնին իրավական պահպանության տրամադրման ընթացակարգը ենթադրում է նաև արդյունաբերական դիզայնի հայտի հրապարակում, դրանց վերաբերյալ հնարավոր առարկությունների ստացում ու քննարկում, ինչպես նաև ավելի համակողմանի փորձաքննության անցկացում: Նշված ընթացակարգի իրականացման համար նախատեսվող փաստաթղթով առավելագույնս պետք է սահմանվեն Գործակալություն-հայտատու-երրորդ անձինք հարաբերություններով, ինչպես նաև փորձաքննության առանձնահատկություններով պայմանավորված պահանջների հստակ մոտեցումներ: </w:t>
            </w:r>
          </w:p>
          <w:p w:rsidR="0068680D" w:rsidRPr="00423B76" w:rsidRDefault="0068680D" w:rsidP="0068680D">
            <w:pPr>
              <w:pStyle w:val="ListParagraph"/>
              <w:numPr>
                <w:ilvl w:val="1"/>
                <w:numId w:val="343"/>
              </w:numPr>
              <w:spacing w:line="276" w:lineRule="auto"/>
              <w:contextualSpacing w:val="0"/>
              <w:rPr>
                <w:rFonts w:eastAsia="Calibri" w:cs="GHEA Grapalat"/>
                <w:b/>
                <w:lang w:val="hy-AM"/>
              </w:rPr>
            </w:pPr>
            <w:r w:rsidRPr="00423B76">
              <w:rPr>
                <w:rFonts w:eastAsia="Calibri" w:cs="GHEA Grapalat"/>
                <w:b/>
                <w:lang w:val="hy-AM"/>
              </w:rPr>
              <w:t>Առկա խնդիրների առաջարկվող լուծումները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Նախատեսվում է ընդունել «Արդյունաբերական դիզայնի հայտի ձևակերպման, ներկայացման և քննարկման» կարգ, որով կնախատեսվեն «Արդյունաբերական դիզայնի մասին» Հայաստանի Հանրապետության նոր մշակված օրենքով նախատեսված՝ արդյունաբերական դիզայնի հայտի ձևակերպմանը, ներկայացմանը և հատկապես քննարկմանը վերաբերող ընթացակարգերի պարզաբանումները:</w:t>
            </w:r>
          </w:p>
          <w:p w:rsidR="0068680D" w:rsidRPr="00423B76" w:rsidRDefault="0068680D" w:rsidP="0068680D">
            <w:pPr>
              <w:pStyle w:val="ListParagraph"/>
              <w:numPr>
                <w:ilvl w:val="0"/>
                <w:numId w:val="342"/>
              </w:numPr>
              <w:spacing w:line="276" w:lineRule="auto"/>
              <w:contextualSpacing w:val="0"/>
              <w:rPr>
                <w:b/>
                <w:color w:val="000000"/>
                <w:lang w:val="hy-AM"/>
              </w:rPr>
            </w:pPr>
            <w:r w:rsidRPr="00423B76">
              <w:rPr>
                <w:b/>
                <w:color w:val="000000"/>
                <w:lang w:val="hy-AM"/>
              </w:rPr>
              <w:t>Միջոցառման իրականացումից ակնկալվող արդյունքը</w:t>
            </w:r>
          </w:p>
          <w:p w:rsidR="0068680D" w:rsidRDefault="0068680D" w:rsidP="00F47DC4">
            <w:pPr>
              <w:spacing w:line="276" w:lineRule="auto"/>
              <w:jc w:val="both"/>
              <w:rPr>
                <w:rFonts w:eastAsia="Calibri" w:cs="GHEA Grapalat"/>
                <w:lang w:val="hy-AM"/>
              </w:rPr>
            </w:pPr>
            <w:r w:rsidRPr="00423B76">
              <w:rPr>
                <w:rFonts w:eastAsia="Calibri" w:cs="GHEA Grapalat"/>
                <w:lang w:val="hy-AM"/>
              </w:rPr>
              <w:t>Սույն  նախագծի ընդունման արդյունքում ակնկալվում է ունենալ առավել հստակեցված, ամբողջականացված ենթաօրենսդրական իրավական ակտ: Նախագծի ընդունման արդյունքում կապահովվի իրավակիրարկման պրակտիկայում առկա խնդիրների լուծումը, ինչը հնարավորություն կտա հուսալի և արդյունավետ կարգավորել արդյունաբերական դիզայնին իրավական պահպանություն տրամադրելու հետ կապված հարաբերությունները։</w:t>
            </w:r>
          </w:p>
          <w:p w:rsidR="0068680D" w:rsidRPr="00423B76" w:rsidRDefault="0068680D" w:rsidP="00F47DC4">
            <w:pPr>
              <w:spacing w:line="276" w:lineRule="auto"/>
              <w:jc w:val="both"/>
              <w:rPr>
                <w:rFonts w:eastAsia="Calibri" w:cs="GHEA Grapalat"/>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18.3 </w:t>
            </w:r>
            <w:r w:rsidRPr="00423B76">
              <w:rPr>
                <w:rFonts w:ascii="GHEA Grapalat" w:hAnsi="GHEA Grapalat" w:cs="Sylfaen"/>
                <w:sz w:val="20"/>
                <w:szCs w:val="20"/>
                <w:lang w:val="hy-AM"/>
              </w:rPr>
              <w:t>«Հայաստանի Հանրապե</w:t>
            </w:r>
            <w:r w:rsidRPr="00423B76">
              <w:rPr>
                <w:rFonts w:ascii="GHEA Grapalat" w:hAnsi="GHEA Grapalat" w:cs="Sylfaen"/>
                <w:sz w:val="20"/>
                <w:szCs w:val="20"/>
                <w:lang w:val="hy-AM"/>
              </w:rPr>
              <w:softHyphen/>
              <w:t>տության կառավարության 2010 թվականի նոյեմբերի 18-ի N1538-Ն որոշման մեջ փոփոխություններ և լրացումներ կատարելու մասին» ՀՀ կառավարության որոշման նախա</w:t>
            </w:r>
            <w:r w:rsidRPr="00423B76">
              <w:rPr>
                <w:rFonts w:ascii="GHEA Grapalat" w:hAnsi="GHEA Grapalat" w:cs="Sylfaen"/>
                <w:sz w:val="20"/>
                <w:szCs w:val="20"/>
                <w:lang w:val="hy-AM"/>
              </w:rPr>
              <w:softHyphen/>
              <w:t>գծի մշակում և ՀՀ վարչապետի աշխատակազմ ներկայացում</w:t>
            </w:r>
          </w:p>
          <w:p w:rsidR="0068680D" w:rsidRPr="00423B76" w:rsidRDefault="0068680D" w:rsidP="0068680D">
            <w:pPr>
              <w:pStyle w:val="ListParagraph"/>
              <w:numPr>
                <w:ilvl w:val="0"/>
                <w:numId w:val="344"/>
              </w:numPr>
              <w:spacing w:line="276" w:lineRule="auto"/>
              <w:contextualSpacing w:val="0"/>
              <w:jc w:val="both"/>
              <w:rPr>
                <w:rFonts w:eastAsia="Calibri" w:cs="GHEA Grapalat"/>
                <w:lang w:val="hy-AM"/>
              </w:rPr>
            </w:pPr>
            <w:r w:rsidRPr="00423B76">
              <w:rPr>
                <w:b/>
                <w:color w:val="000000"/>
                <w:lang w:val="hy-AM"/>
              </w:rPr>
              <w:t>Միջոցառման իրականացման անհրաժեշտությունը և նպատակը</w:t>
            </w:r>
          </w:p>
          <w:p w:rsidR="0068680D" w:rsidRPr="00423B76" w:rsidRDefault="0068680D" w:rsidP="00F47DC4">
            <w:pPr>
              <w:spacing w:line="276" w:lineRule="auto"/>
              <w:jc w:val="both"/>
              <w:rPr>
                <w:rFonts w:eastAsia="Calibri" w:cs="GHEA Grapalat"/>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5.6 բաժնի դրույթներով: ինչպես նաև</w:t>
            </w:r>
            <w:r w:rsidRPr="00423B76">
              <w:rPr>
                <w:rFonts w:eastAsia="Calibri" w:cs="GHEA Grapalat"/>
                <w:lang w:val="hy-AM"/>
              </w:rPr>
              <w:t xml:space="preserve"> բխում է «Ապրանքային նշանների մասին» Հայաստանի Հանրապետության օրենքում փոփոխություններ և լրացումներ կատարելու մասին» ՀՀ օրենքի նախագծի պահանջներից, ինչպես նաև ապրանքային նշանների հայտերը լրացնելու և ներկայացնելու, դրանց նախնական և ըստ էության փորձաքննություններ անցկացնելու, զատելու, դրանցում փոփոխություններ կատարելու հետ կապված հարաբերությունների կատարելագործումից և հստակեցումից:</w:t>
            </w:r>
          </w:p>
          <w:p w:rsidR="0068680D" w:rsidRPr="00423B76" w:rsidRDefault="0068680D" w:rsidP="0068680D">
            <w:pPr>
              <w:pStyle w:val="ListParagraph"/>
              <w:numPr>
                <w:ilvl w:val="1"/>
                <w:numId w:val="345"/>
              </w:numPr>
              <w:spacing w:line="276" w:lineRule="auto"/>
              <w:contextualSpacing w:val="0"/>
              <w:rPr>
                <w:rFonts w:eastAsia="Calibri" w:cs="GHEA Grapalat"/>
                <w:lang w:val="hy-AM"/>
              </w:rPr>
            </w:pPr>
            <w:r w:rsidRPr="00423B76">
              <w:rPr>
                <w:rFonts w:eastAsia="Calibri" w:cs="GHEA Grapalat"/>
                <w:b/>
                <w:lang w:val="hy-AM"/>
              </w:rPr>
              <w:t>Կարգավորման հարաբերությունների ներկա վիճակը և առկա խնդիրները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«Ապրանքային նշանների մասին» ՀՀ օրենքի կիրառման պրակտիկայում առաջացած մի շարք խնդրահարույց դրույթներ, որոնց կիրառման պարզաբանումները ներառված են գործող`  Հայաստանի հանրապետության կառավարության 2010 թվականի նոյեմբերի 18-ի N1538–Ն որոշման 1-ին կետի 3-րդ ենթակետով  նախատեսված` Ապրանքային նշանների հայտերը լրացնելու, ներկայացնելու և քննարկելու կարգում (այսուհետ՝ Կարգ,) օրենքի փոփոխությամբ պայմանավորված պետք է ստանան իրենց կիրառման պարզաբանումները: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Բացի դրանից, Կարգով նախատեսված դրույթների կիրառման ընթացքում ի հայտ են եկել Կարգում առկա որոշ վիպակներ և մի շարք խնդիրներ, որոնց լուծման, ինչպես նաև համապատասխան ընթացակարգերի կարգավորման համար անհրաժեշտ է սահմանել հստակ մոտեցումներ։</w:t>
            </w:r>
          </w:p>
          <w:p w:rsidR="0068680D" w:rsidRPr="00423B76" w:rsidRDefault="0068680D" w:rsidP="0068680D">
            <w:pPr>
              <w:pStyle w:val="ListParagraph"/>
              <w:numPr>
                <w:ilvl w:val="1"/>
                <w:numId w:val="345"/>
              </w:numPr>
              <w:spacing w:line="276" w:lineRule="auto"/>
              <w:contextualSpacing w:val="0"/>
              <w:rPr>
                <w:rFonts w:eastAsia="Calibri" w:cs="GHEA Grapalat"/>
                <w:b/>
                <w:lang w:val="hy-AM"/>
              </w:rPr>
            </w:pPr>
            <w:r w:rsidRPr="00423B76">
              <w:rPr>
                <w:rFonts w:eastAsia="Calibri" w:cs="GHEA Grapalat"/>
                <w:b/>
                <w:lang w:val="hy-AM"/>
              </w:rPr>
              <w:t>Առկա խնդիրների առաջարկվող լուծումները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 xml:space="preserve">Նախատեսվում է ընթացակարգային դրույթների կարգավորման համար սահմանել հստակ մոտեցումներ, մասնավորապես՝ հստակեցնել ապրանքային նշանների տարբերակիչ հատկությունները, որոնք ձեռք են բերվել այն ապրանքների և (կամ) ծառայությունների նկատմամբ, որոնց համար գրանցման հայտ է ներկայացվել: Բացի այդ, կիրառման նպատակահարմարությունից ելնելով՝ կհստակեցվեն ապրանքային նշաններում չպահպանվող տարրերին ինքնուրույն պահպանություն չտրամադրելուն վերաբերող որոշ մոտեցումներ: </w:t>
            </w:r>
          </w:p>
          <w:p w:rsidR="0068680D" w:rsidRPr="00423B76" w:rsidRDefault="0068680D" w:rsidP="0068680D">
            <w:pPr>
              <w:pStyle w:val="ListParagraph"/>
              <w:numPr>
                <w:ilvl w:val="0"/>
                <w:numId w:val="344"/>
              </w:numPr>
              <w:spacing w:line="276" w:lineRule="auto"/>
              <w:contextualSpacing w:val="0"/>
              <w:jc w:val="both"/>
              <w:rPr>
                <w:b/>
                <w:color w:val="000000"/>
                <w:lang w:val="hy-AM"/>
              </w:rPr>
            </w:pPr>
            <w:r w:rsidRPr="00423B76">
              <w:rPr>
                <w:b/>
                <w:color w:val="000000"/>
                <w:lang w:val="hy-AM"/>
              </w:rPr>
              <w:t>Միջոցառման իրականացումից ակնկալվող արդյունքը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Սույն  նախագծի ընդունման արդյունքում ակնկալվում է ունենալ առավել հստակեցված, ամբողջականացված  ենթաօրենսդրական իրավական ակտ:</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18.4 </w:t>
            </w:r>
            <w:r w:rsidRPr="00423B76">
              <w:rPr>
                <w:rFonts w:ascii="GHEA Grapalat" w:hAnsi="GHEA Grapalat" w:cs="Sylfaen"/>
                <w:sz w:val="20"/>
                <w:szCs w:val="20"/>
                <w:lang w:val="hy-AM"/>
              </w:rPr>
              <w:t>«Հայաստանի Հանրապե</w:t>
            </w:r>
            <w:r w:rsidRPr="00423B76">
              <w:rPr>
                <w:rFonts w:ascii="GHEA Grapalat" w:hAnsi="GHEA Grapalat" w:cs="Sylfaen"/>
                <w:sz w:val="20"/>
                <w:szCs w:val="20"/>
                <w:lang w:val="hy-AM"/>
              </w:rPr>
              <w:softHyphen/>
              <w:t>տության կառավարության 2012 թվականի նոյեմբերի 8-ի N1501-Ն որոշման մեջ փոփոխություններ և լրացումներ կատարելու մասին» ՀՀ կառավարության որոշման նախագծի մշակում և ՀՀ վարչապետի աշխատակազմ ներկայացում</w:t>
            </w:r>
          </w:p>
          <w:p w:rsidR="0068680D" w:rsidRPr="00423B76" w:rsidRDefault="0068680D" w:rsidP="0068680D">
            <w:pPr>
              <w:pStyle w:val="ListParagraph"/>
              <w:numPr>
                <w:ilvl w:val="0"/>
                <w:numId w:val="346"/>
              </w:numPr>
              <w:spacing w:line="276" w:lineRule="auto"/>
              <w:contextualSpacing w:val="0"/>
              <w:jc w:val="both"/>
              <w:rPr>
                <w:b/>
                <w:color w:val="000000"/>
                <w:lang w:val="hy-AM"/>
              </w:rPr>
            </w:pPr>
            <w:r w:rsidRPr="00423B76">
              <w:rPr>
                <w:b/>
                <w:color w:val="000000"/>
                <w:lang w:val="hy-AM"/>
              </w:rPr>
              <w:t>Միջոցառման իրականացման անհրաժեշտությունը և նպատակը</w:t>
            </w:r>
          </w:p>
          <w:p w:rsidR="0068680D" w:rsidRPr="00423B76" w:rsidRDefault="0068680D" w:rsidP="00F47DC4">
            <w:pPr>
              <w:spacing w:line="276" w:lineRule="auto"/>
              <w:jc w:val="both"/>
              <w:rPr>
                <w:rFonts w:eastAsia="Calibri" w:cs="GHEA Grapalat"/>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5.6 բաժնի դրույթներով, ինչպես նաև</w:t>
            </w:r>
            <w:r w:rsidRPr="00423B76">
              <w:rPr>
                <w:rFonts w:eastAsia="Calibri" w:cs="GHEA Grapalat"/>
                <w:lang w:val="hy-AM"/>
              </w:rPr>
              <w:t xml:space="preserve"> Հայաստանի Հանրապետությունում գյուտերի իրավական պահպանության տրամադրման առավել կատարելագործված համակարգի ներդրմամբ:</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Միջոցառման նպատակը պայմանավորված է Հայաստանի Հանրապետությունում Մտավոր սեփականության ոլորտը կարգավորող ընթացակարգերի կատարելագործման անհրաժեշտությամբ, մասնավորապես՝ որոշմամբ հաստատված համապատասխան կարգով չնախատեսված այն մոտեցումները որոնք վերաբերում են գյուտի կարճաժամկետ արտոնագիր տալու դեմ, ինչպես նաև նոր օրենքով սահմանված կարգով` արդյունաբերական դիզայնի արտոնագիր տալու դեմ  բողոքարկման խորհուրդ բողոքներ ներկայացնելուն, որոնց վերաբերյալ ներկայումս գործող կարգով հստակ պարզաբանումներ նախատեսված չեն:</w:t>
            </w:r>
          </w:p>
          <w:p w:rsidR="0068680D" w:rsidRPr="00423B76" w:rsidRDefault="0068680D" w:rsidP="0068680D">
            <w:pPr>
              <w:pStyle w:val="ListParagraph"/>
              <w:numPr>
                <w:ilvl w:val="1"/>
                <w:numId w:val="347"/>
              </w:numPr>
              <w:spacing w:line="276" w:lineRule="auto"/>
              <w:contextualSpacing w:val="0"/>
              <w:rPr>
                <w:rFonts w:eastAsia="Calibri" w:cs="GHEA Grapalat"/>
                <w:b/>
                <w:lang w:val="hy-AM"/>
              </w:rPr>
            </w:pPr>
            <w:r w:rsidRPr="00423B76">
              <w:rPr>
                <w:rFonts w:eastAsia="Calibri" w:cs="GHEA Grapalat"/>
                <w:b/>
                <w:lang w:val="hy-AM"/>
              </w:rPr>
              <w:t>Կարգավորման հարաբերությունների ներկա վիճակը և առկա խնդիրները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Գործող՝ «Հայաստանի Հանրապետության էկոնոմիկայի նախարարության աշխատակազմի մտավոր սեփականության գործակալության բողոքարկման խորհրդում բողոքների քննարկման» կարգում պարզաբանված են արդյունաբերական սեփականության տարբեր օբյեկտներին վերաբերող բողոքների քննարկման ընթացակարգերը, որոնք իրենց հերթին բխում են ոլորտը կարգավորող տարբեր իրավական ակտերից, այդ թվում՝ «Գյուտերի, օգտակար մոդելների և արդյունաբերական նմուշների մասին» ՀՀ օրենքից: «Արտոնագրերի մասին» և «Արդյունաբերական դիզայնի մասին» Հայաստանի Հանրապետության օրենքներում տեղ են գտել մի շարք բովանդակային փոփոխություններ, մասնավորապես՝ դուրս է եկել «օգտակար մոդել» հասկացությունը, որի փոխարեն օրենսդրության մեջ ներառվել է «գյուտի կարճաժամկետ արտոնագիր» հասկացությունը: Բացի այդ «Արտոնագրերի մասին» ՀՀ օրենքով նախատեսված է նոր՝ գյուտի կարճաժամկետ արտոնագրի տալու դեմ բողոքարկման խորհուրդ առարկություն ներկայացնելու ընթացակարգ, որի վերաբերյալ պարզաբանումները գործող կարգով նախատեսված չեն: «Արդյունաբերական դիզայնի մասին» օրենքով սահմանվել են մի շարք ընթացակարգային ու փորձաքննության բովանդակային փոփոխություններ, որոնց համաձայն նախատեսվում է հայտի հրապարակում, առարկությունների ստացում և քննարկում, ինչպես նաև հայտարկված արդյունաբերական դիզայնի ըստ էության փորձաքննություն, որոնց հետ կապված վեճերի վերաբերյալ բողոքների ներկայացման և քննության անցկացման  կարգը պետք է ներառվի նշված փաստաթղթում:</w:t>
            </w:r>
          </w:p>
          <w:p w:rsidR="0068680D" w:rsidRPr="00423B76" w:rsidRDefault="0068680D" w:rsidP="0068680D">
            <w:pPr>
              <w:pStyle w:val="ListParagraph"/>
              <w:numPr>
                <w:ilvl w:val="1"/>
                <w:numId w:val="347"/>
              </w:numPr>
              <w:spacing w:line="276" w:lineRule="auto"/>
              <w:contextualSpacing w:val="0"/>
              <w:rPr>
                <w:rFonts w:eastAsia="Calibri" w:cs="GHEA Grapalat"/>
                <w:b/>
                <w:lang w:val="hy-AM"/>
              </w:rPr>
            </w:pPr>
            <w:r w:rsidRPr="00423B76">
              <w:rPr>
                <w:rFonts w:eastAsia="Calibri" w:cs="GHEA Grapalat"/>
                <w:b/>
                <w:lang w:val="hy-AM"/>
              </w:rPr>
              <w:t>Առկա խնդիրների առաջարկվող լուծումները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Նախատեսվում է ընդունել «ՀՀ տնտեսական զարգացման և ներդրումների նախարարության մտավոր սեփականության գործակալության բողոքարկման խորհրդում բողոքների և առարկությունների քննարկման» կարգ, որում տեղ կգտնեն «Արտոնագրերի մասին» ՀՀ օրենքով նախատեսված՝ գյուտի կարճաժամկետ արտոնագիր տալու հետ կապված, ինչպես նաև «Արդյունաբերական դիզայնի մասին» օրենքով սահմանված` արդյունաբերական դիզայնի իրավական պահպանության տրամադրման հետ կապված   բողոքարկման խորհուրդ բողոքներ ներկայացնելուն վերաբերող ընթացակարգերի պարզաբանումները:</w:t>
            </w:r>
          </w:p>
          <w:p w:rsidR="0068680D" w:rsidRPr="00423B76" w:rsidRDefault="0068680D" w:rsidP="0068680D">
            <w:pPr>
              <w:pStyle w:val="ListParagraph"/>
              <w:numPr>
                <w:ilvl w:val="0"/>
                <w:numId w:val="346"/>
              </w:numPr>
              <w:spacing w:line="276" w:lineRule="auto"/>
              <w:contextualSpacing w:val="0"/>
              <w:jc w:val="both"/>
              <w:rPr>
                <w:b/>
                <w:color w:val="000000"/>
                <w:lang w:val="hy-AM"/>
              </w:rPr>
            </w:pPr>
            <w:r w:rsidRPr="00423B76">
              <w:rPr>
                <w:b/>
                <w:color w:val="000000"/>
                <w:lang w:val="hy-AM"/>
              </w:rPr>
              <w:t>Միջոցառման իրականացումից ակնկալվող արդյունքը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Սույն  նախագծի ընդունման արդյունքում ակնկալվում է ունենալ առավել հստակեցված, ամբողջականացված  ենթաօրենսդրական իրավական ակտ, որտեղ ի թիվս այլոց ներառված կլինեն գյուտի կարճաժամկետ արտոնագրի տալու և արդյունաբերական դիզայնի արտոնագիր տալու հետ կապված վիճելի հարցերի վերաբերյալ բողոքարկման խորհուրդ բողոքներ ներկայացնելու ընթացակարգերի պարզաբանումները:</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18.5 </w:t>
            </w:r>
            <w:r w:rsidRPr="00423B76">
              <w:rPr>
                <w:rFonts w:ascii="GHEA Grapalat" w:hAnsi="GHEA Grapalat" w:cs="Sylfaen"/>
                <w:sz w:val="20"/>
                <w:szCs w:val="20"/>
                <w:lang w:val="hy-AM"/>
              </w:rPr>
              <w:t>«Հայաստանի Հանրապե</w:t>
            </w:r>
            <w:r w:rsidRPr="00423B76">
              <w:rPr>
                <w:rFonts w:ascii="GHEA Grapalat" w:hAnsi="GHEA Grapalat" w:cs="Sylfaen"/>
                <w:sz w:val="20"/>
                <w:szCs w:val="20"/>
                <w:lang w:val="hy-AM"/>
              </w:rPr>
              <w:softHyphen/>
              <w:t>տության կառավարության 2007 թվականի հունվարի 11-ի N506-Ն որոշման մեջ փոփոխություններ և լրացումներ կատարելու մասին» ՀՀ կառավարության որոշման նախագծի մշակում և ՀՀ վարչա</w:t>
            </w:r>
            <w:r w:rsidRPr="00423B76">
              <w:rPr>
                <w:rFonts w:ascii="GHEA Grapalat" w:hAnsi="GHEA Grapalat" w:cs="Sylfaen"/>
                <w:sz w:val="20"/>
                <w:szCs w:val="20"/>
                <w:lang w:val="hy-AM"/>
              </w:rPr>
              <w:softHyphen/>
              <w:t>պետի աշխատակազմ ներկայացում</w:t>
            </w:r>
          </w:p>
          <w:p w:rsidR="0068680D" w:rsidRPr="00423B76" w:rsidRDefault="0068680D" w:rsidP="0068680D">
            <w:pPr>
              <w:pStyle w:val="ListParagraph"/>
              <w:numPr>
                <w:ilvl w:val="0"/>
                <w:numId w:val="348"/>
              </w:numPr>
              <w:spacing w:line="276" w:lineRule="auto"/>
              <w:contextualSpacing w:val="0"/>
              <w:jc w:val="both"/>
              <w:rPr>
                <w:b/>
                <w:color w:val="000000"/>
                <w:lang w:val="hy-AM"/>
              </w:rPr>
            </w:pPr>
            <w:r w:rsidRPr="00423B76">
              <w:rPr>
                <w:b/>
                <w:color w:val="000000"/>
                <w:lang w:val="hy-AM"/>
              </w:rPr>
              <w:t>Միջոցառման իրականացման անհրաժեշտությունը և նպատակը</w:t>
            </w:r>
          </w:p>
          <w:p w:rsidR="0068680D" w:rsidRPr="00423B76" w:rsidRDefault="0068680D" w:rsidP="00F47DC4">
            <w:pPr>
              <w:spacing w:line="276" w:lineRule="auto"/>
              <w:jc w:val="both"/>
              <w:rPr>
                <w:rFonts w:eastAsia="Calibri" w:cs="GHEA Grapalat"/>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5.6 բաժնի դրույթներով, ինչպես նաև</w:t>
            </w:r>
            <w:r w:rsidRPr="00423B76">
              <w:rPr>
                <w:rFonts w:eastAsia="Calibri" w:cs="GHEA Grapalat"/>
                <w:lang w:val="hy-AM"/>
              </w:rPr>
              <w:t xml:space="preserve"> Հայաստանի Հանրապետությունում հեղինակային իրավունքի և հարակից իրավունքների բնագավառի հարաբերությունները կարգավորող առավել կատարելագործված համակարգի ներդրմամբ:</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Միջոցառման նպատակն է՝ «Հեղինակային իրավունքի և հարակից իրավունքների մասին»» ՀՀ նոր օրենքի ընդունմամբ պայմանավորված համապատասխան ընթացակարգերի համապատասխանեցումը օրենքի դրույթներին:</w:t>
            </w:r>
          </w:p>
          <w:p w:rsidR="0068680D" w:rsidRPr="00423B76" w:rsidRDefault="0068680D" w:rsidP="0068680D">
            <w:pPr>
              <w:pStyle w:val="ListParagraph"/>
              <w:numPr>
                <w:ilvl w:val="1"/>
                <w:numId w:val="349"/>
              </w:numPr>
              <w:spacing w:line="276" w:lineRule="auto"/>
              <w:contextualSpacing w:val="0"/>
              <w:rPr>
                <w:rFonts w:eastAsia="Calibri" w:cs="GHEA Grapalat"/>
                <w:b/>
                <w:lang w:val="hy-AM"/>
              </w:rPr>
            </w:pPr>
            <w:r w:rsidRPr="00423B76">
              <w:rPr>
                <w:rFonts w:eastAsia="Calibri" w:cs="GHEA Grapalat"/>
                <w:b/>
                <w:lang w:val="hy-AM"/>
              </w:rPr>
              <w:t>Կարգավորման հարաբերությունների ներկա վիճակը և առկա խնդիրները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 xml:space="preserve">«Հեղինակային իրավունքի և հարակից իրավունքների մասին» ՀՀ նոր օրենքի համաձայն` գույքային իրավունքները կոլեկտիվ հիմունքներով կառավարող կազմակերպություններն օգտագործողների հետ լիցենզային պայմանագրեր կնքելիս պետք է կիրառեն ՀՀ կառավարության համապատասխան որոշմամբ հաստատված դրույքաչափերից ոչ պակաս դրույքաչափեր, եթե օրենքով այլ բան նախատեսված չէ: </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 xml:space="preserve">Ռեստորաններում, սրճարաններում և հասարակական այլ վայրերում երաժշտական ստեղծագործությունների կենդանի կատարման կամ ձայնագրությունների միջոցով օգտագործման ձևի համար (հրապարակային կատարում)  անհրաժեշտ է դրույքաչափի փոփոխություն, որը պայմանավորված է հեղինակներին գոնե նվազագույն վարձատրություն ապահովելու անհրաժեշտությամբ, քանի որ նույնիսկ պարզ հաշվարկներով էլ երևում է, որ սահմանված դրույքաչափերով հավաքված գումարները հեղինակների միջև բաշխելիս՝ ստացվում են չնչին գումարներ, որոնք ողջամիտ վարձատրություն համարել չի կարելի։ </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 xml:space="preserve">«Հեղինակային իրավունքի և հարակից իրավունքների մասին» Հայաստանի Հանրապետության նոր օրենքի  համապատասխան դրույթով սահմանում է դրույքաչափերի հաշվարկման մեթոդ, որն էլ իր հերթին հիմք կհանդիսանա նվազագույն դրույքաչափերը սահմանելու համար: </w:t>
            </w:r>
          </w:p>
          <w:p w:rsidR="0068680D" w:rsidRPr="00423B76" w:rsidRDefault="0068680D" w:rsidP="0068680D">
            <w:pPr>
              <w:pStyle w:val="ListParagraph"/>
              <w:numPr>
                <w:ilvl w:val="1"/>
                <w:numId w:val="349"/>
              </w:numPr>
              <w:spacing w:line="276" w:lineRule="auto"/>
              <w:contextualSpacing w:val="0"/>
              <w:rPr>
                <w:rFonts w:eastAsia="Calibri" w:cs="GHEA Grapalat"/>
                <w:b/>
                <w:lang w:val="hy-AM"/>
              </w:rPr>
            </w:pPr>
            <w:r w:rsidRPr="00423B76">
              <w:rPr>
                <w:rFonts w:eastAsia="Calibri" w:cs="GHEA Grapalat"/>
                <w:b/>
                <w:lang w:val="hy-AM"/>
              </w:rPr>
              <w:t>Առկա խնդիրների առաջարկվող լուծումները</w:t>
            </w:r>
          </w:p>
          <w:p w:rsidR="0068680D" w:rsidRPr="00423B76" w:rsidRDefault="0068680D" w:rsidP="00F47DC4">
            <w:pPr>
              <w:shd w:val="clear" w:color="auto" w:fill="FFFFFF"/>
              <w:spacing w:line="276" w:lineRule="auto"/>
              <w:jc w:val="both"/>
              <w:rPr>
                <w:rFonts w:eastAsia="Calibri" w:cs="GHEA Grapalat"/>
                <w:lang w:val="hy-AM"/>
              </w:rPr>
            </w:pPr>
            <w:r w:rsidRPr="00423B76">
              <w:rPr>
                <w:rFonts w:eastAsia="Calibri" w:cs="GHEA Grapalat"/>
                <w:lang w:val="hy-AM"/>
              </w:rPr>
              <w:t>Նախատեսվում է սահմանել և ընդունել ստեղծագործությունների հրապարակային կատարման, հեռարձակման, ձայնագրությունների միջոցով վերարտադրության, վարձույթով տալու, դիզայնի ստեղծագործություններն արդյունաբերության մեջ վերարտադրելու համար հեղինակային վարձատրության նոր նվազագույն դրույքաչափեր:</w:t>
            </w:r>
          </w:p>
          <w:p w:rsidR="0068680D" w:rsidRPr="00423B76" w:rsidRDefault="0068680D" w:rsidP="0068680D">
            <w:pPr>
              <w:pStyle w:val="ListParagraph"/>
              <w:numPr>
                <w:ilvl w:val="0"/>
                <w:numId w:val="348"/>
              </w:numPr>
              <w:spacing w:line="276" w:lineRule="auto"/>
              <w:contextualSpacing w:val="0"/>
              <w:jc w:val="both"/>
              <w:rPr>
                <w:b/>
                <w:color w:val="000000"/>
                <w:lang w:val="hy-AM"/>
              </w:rPr>
            </w:pPr>
            <w:r w:rsidRPr="00423B76">
              <w:rPr>
                <w:b/>
                <w:color w:val="000000"/>
                <w:lang w:val="hy-AM"/>
              </w:rPr>
              <w:t>Միջոցառման իրականացումից ակնկալվող արդյունքը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Սույն  նախագծի ընդունման արդյունքում ակնկալվում է ունենալ առավել հստակեցված, ամբողջականացված ենթաօրենսդրական իրավական ակտ, որով կսահմանվեն ստեղծագործությունների օգտագործման դիմաց հեղինակային վարձատրության առավել հստակեցված, ամբողջականացված և  խելամիտ դրույքաչափեր, ինչը և հնարավորություն կտա խթանել գիտության, գրականության, արվեստի ստեղծագործությունների ստեղծման գործընթացը, հեղինակների համար ստեղծել  հուսալի և արդյունավետ պայմաններ  և ապահովել նրանց բարեկեցությունը:</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18.6 </w:t>
            </w:r>
            <w:r w:rsidRPr="00423B76">
              <w:rPr>
                <w:rFonts w:ascii="GHEA Grapalat" w:hAnsi="GHEA Grapalat" w:cs="Sylfaen"/>
                <w:sz w:val="20"/>
                <w:szCs w:val="20"/>
                <w:lang w:val="hy-AM"/>
              </w:rPr>
              <w:t>Մարաքեշի «Կույրերի, տեսողական խնդիրների հետևան</w:t>
            </w:r>
            <w:r w:rsidRPr="00423B76">
              <w:rPr>
                <w:rFonts w:ascii="GHEA Grapalat" w:hAnsi="GHEA Grapalat" w:cs="Sylfaen"/>
                <w:sz w:val="20"/>
                <w:szCs w:val="20"/>
                <w:lang w:val="hy-AM"/>
              </w:rPr>
              <w:softHyphen/>
              <w:t>քով հաշման</w:t>
            </w:r>
            <w:r w:rsidRPr="00423B76">
              <w:rPr>
                <w:rFonts w:ascii="GHEA Grapalat" w:hAnsi="GHEA Grapalat" w:cs="Sylfaen"/>
                <w:sz w:val="20"/>
                <w:szCs w:val="20"/>
                <w:lang w:val="hy-AM"/>
              </w:rPr>
              <w:softHyphen/>
              <w:t>դա</w:t>
            </w:r>
            <w:r w:rsidRPr="00423B76">
              <w:rPr>
                <w:rFonts w:ascii="GHEA Grapalat" w:hAnsi="GHEA Grapalat" w:cs="Sylfaen"/>
                <w:sz w:val="20"/>
                <w:szCs w:val="20"/>
                <w:lang w:val="hy-AM"/>
              </w:rPr>
              <w:softHyphen/>
              <w:t>մություն ձեռք բերած կամ ընթերցողական այլ դժվարութ</w:t>
            </w:r>
            <w:r w:rsidRPr="00423B76">
              <w:rPr>
                <w:rFonts w:ascii="GHEA Grapalat" w:hAnsi="GHEA Grapalat" w:cs="Sylfaen"/>
                <w:sz w:val="20"/>
                <w:szCs w:val="20"/>
                <w:lang w:val="hy-AM"/>
              </w:rPr>
              <w:softHyphen/>
              <w:t>յուն</w:t>
            </w:r>
            <w:r w:rsidRPr="00423B76">
              <w:rPr>
                <w:rFonts w:ascii="GHEA Grapalat" w:hAnsi="GHEA Grapalat" w:cs="Sylfaen"/>
                <w:sz w:val="20"/>
                <w:szCs w:val="20"/>
                <w:lang w:val="hy-AM"/>
              </w:rPr>
              <w:softHyphen/>
              <w:t>ներ ունեցող անձանց համար հրատարակված ստեղծա</w:t>
            </w:r>
            <w:r w:rsidRPr="00423B76">
              <w:rPr>
                <w:rFonts w:ascii="GHEA Grapalat" w:hAnsi="GHEA Grapalat" w:cs="Sylfaen"/>
                <w:sz w:val="20"/>
                <w:szCs w:val="20"/>
                <w:lang w:val="hy-AM"/>
              </w:rPr>
              <w:softHyphen/>
              <w:t>գոր</w:t>
            </w:r>
            <w:r w:rsidRPr="00423B76">
              <w:rPr>
                <w:rFonts w:ascii="GHEA Grapalat" w:hAnsi="GHEA Grapalat" w:cs="Sylfaen"/>
                <w:sz w:val="20"/>
                <w:szCs w:val="20"/>
                <w:lang w:val="hy-AM"/>
              </w:rPr>
              <w:softHyphen/>
              <w:t>ծութ</w:t>
            </w:r>
            <w:r w:rsidRPr="00423B76">
              <w:rPr>
                <w:rFonts w:ascii="GHEA Grapalat" w:hAnsi="GHEA Grapalat" w:cs="Sylfaen"/>
                <w:sz w:val="20"/>
                <w:szCs w:val="20"/>
                <w:lang w:val="hy-AM"/>
              </w:rPr>
              <w:softHyphen/>
            </w:r>
            <w:r w:rsidRPr="00423B76">
              <w:rPr>
                <w:rFonts w:ascii="GHEA Grapalat" w:hAnsi="GHEA Grapalat" w:cs="Sylfaen"/>
                <w:sz w:val="20"/>
                <w:szCs w:val="20"/>
                <w:lang w:val="hy-AM"/>
              </w:rPr>
              <w:softHyphen/>
              <w:t>յունների հասանելիությունը դյու</w:t>
            </w:r>
            <w:r w:rsidRPr="00423B76">
              <w:rPr>
                <w:rFonts w:ascii="GHEA Grapalat" w:hAnsi="GHEA Grapalat" w:cs="Sylfaen"/>
                <w:sz w:val="20"/>
                <w:szCs w:val="20"/>
                <w:lang w:val="hy-AM"/>
              </w:rPr>
              <w:softHyphen/>
              <w:t>րաց</w:t>
            </w:r>
            <w:r w:rsidRPr="00423B76">
              <w:rPr>
                <w:rFonts w:ascii="GHEA Grapalat" w:hAnsi="GHEA Grapalat" w:cs="Sylfaen"/>
                <w:sz w:val="20"/>
                <w:szCs w:val="20"/>
                <w:lang w:val="hy-AM"/>
              </w:rPr>
              <w:softHyphen/>
              <w:t>նելու մասին» պայմանա</w:t>
            </w:r>
            <w:r w:rsidRPr="00423B76">
              <w:rPr>
                <w:rFonts w:ascii="GHEA Grapalat" w:hAnsi="GHEA Grapalat" w:cs="Sylfaen"/>
                <w:sz w:val="20"/>
                <w:szCs w:val="20"/>
                <w:lang w:val="hy-AM"/>
              </w:rPr>
              <w:softHyphen/>
              <w:t>գրին միանալու նպատակով պայմանա</w:t>
            </w:r>
            <w:r w:rsidRPr="00423B76">
              <w:rPr>
                <w:rFonts w:ascii="GHEA Grapalat" w:hAnsi="GHEA Grapalat" w:cs="Sylfaen"/>
                <w:sz w:val="20"/>
                <w:szCs w:val="20"/>
                <w:lang w:val="hy-AM"/>
              </w:rPr>
              <w:softHyphen/>
              <w:t>գրի նախագիծը և կից փաստա</w:t>
            </w:r>
            <w:r w:rsidRPr="00423B76">
              <w:rPr>
                <w:rFonts w:ascii="GHEA Grapalat" w:hAnsi="GHEA Grapalat" w:cs="Sylfaen"/>
                <w:sz w:val="20"/>
                <w:szCs w:val="20"/>
                <w:lang w:val="hy-AM"/>
              </w:rPr>
              <w:softHyphen/>
              <w:t>թղթերը ՀՀ վարչապետի աշխատակազմ ներկայացնելը</w:t>
            </w:r>
          </w:p>
          <w:p w:rsidR="0068680D" w:rsidRPr="00423B76" w:rsidRDefault="0068680D" w:rsidP="0068680D">
            <w:pPr>
              <w:pStyle w:val="ListParagraph"/>
              <w:numPr>
                <w:ilvl w:val="0"/>
                <w:numId w:val="350"/>
              </w:numPr>
              <w:spacing w:line="276" w:lineRule="auto"/>
              <w:contextualSpacing w:val="0"/>
              <w:jc w:val="both"/>
              <w:rPr>
                <w:b/>
                <w:color w:val="000000"/>
                <w:lang w:val="hy-AM"/>
              </w:rPr>
            </w:pPr>
            <w:r w:rsidRPr="00423B76">
              <w:rPr>
                <w:b/>
                <w:color w:val="000000"/>
                <w:lang w:val="hy-AM"/>
              </w:rPr>
              <w:t>Միջոցառման իրականացման անհրաժեշտությունը և նպատակը</w:t>
            </w:r>
          </w:p>
          <w:p w:rsidR="0068680D" w:rsidRPr="00423B76" w:rsidRDefault="0068680D" w:rsidP="00F47DC4">
            <w:pPr>
              <w:spacing w:line="276" w:lineRule="auto"/>
              <w:jc w:val="both"/>
              <w:rPr>
                <w:rFonts w:eastAsia="Calibri" w:cs="GHEA Grapalat"/>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5.6 բաժնի դրույթներով, ինչպես նաև</w:t>
            </w:r>
            <w:r w:rsidRPr="00423B76">
              <w:rPr>
                <w:rFonts w:eastAsia="Calibri" w:cs="GHEA Grapalat"/>
                <w:lang w:val="hy-AM"/>
              </w:rPr>
              <w:t xml:space="preserve"> Հայաստանի Հանրապետությունում հեղինակային իրավունքի և հարակից իրավունքների բնագավառի հարաբերությունները կարգավորող առավել կատարելագործված համակարգի ներդրմամբ:</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Միջոցառման նպատակն է՝ մտավոր սեփականության բնագավառին վերաբերող կարևոր միջազգային պայմանագրերով նախատեսված դրույթներից բխող առանձնահատկու-թյունների կիրառումը:</w:t>
            </w:r>
          </w:p>
          <w:p w:rsidR="0068680D" w:rsidRPr="00423B76" w:rsidRDefault="0068680D" w:rsidP="0068680D">
            <w:pPr>
              <w:pStyle w:val="ListParagraph"/>
              <w:numPr>
                <w:ilvl w:val="1"/>
                <w:numId w:val="351"/>
              </w:numPr>
              <w:spacing w:line="276" w:lineRule="auto"/>
              <w:contextualSpacing w:val="0"/>
              <w:rPr>
                <w:rFonts w:eastAsia="Calibri" w:cs="GHEA Grapalat"/>
                <w:lang w:val="hy-AM"/>
              </w:rPr>
            </w:pPr>
            <w:r w:rsidRPr="00423B76">
              <w:rPr>
                <w:rFonts w:eastAsia="Calibri" w:cs="GHEA Grapalat"/>
                <w:b/>
                <w:lang w:val="hy-AM"/>
              </w:rPr>
              <w:t>Կարգավորման հարաբերությունների ներկա վիճակը և առկա խնդիրները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Ներկայումս մի շարք դժվարություններ են առաջանում կույրերի, տեսողական խնդիրների հետևանքով հաշմանդամություն ձեռք բերած կամ ընթերցողական այլ դժվարություններ ունեցող անձանց համար հասանելի ձևաչափով կրթական նյութերը առանց իրավատիրոջ համաձայնության ներմուծելու կամ  արտահանելու ընթացքում:</w:t>
            </w:r>
          </w:p>
          <w:p w:rsidR="0068680D" w:rsidRPr="00423B76" w:rsidRDefault="0068680D" w:rsidP="0068680D">
            <w:pPr>
              <w:pStyle w:val="ListParagraph"/>
              <w:numPr>
                <w:ilvl w:val="1"/>
                <w:numId w:val="351"/>
              </w:numPr>
              <w:spacing w:line="276" w:lineRule="auto"/>
              <w:contextualSpacing w:val="0"/>
              <w:rPr>
                <w:rFonts w:eastAsia="Calibri" w:cs="GHEA Grapalat"/>
                <w:lang w:val="hy-AM"/>
              </w:rPr>
            </w:pPr>
            <w:r w:rsidRPr="00423B76">
              <w:rPr>
                <w:rFonts w:eastAsia="Calibri" w:cs="GHEA Grapalat"/>
                <w:lang w:val="hy-AM"/>
              </w:rPr>
              <w:t xml:space="preserve"> </w:t>
            </w:r>
            <w:r w:rsidRPr="00423B76">
              <w:rPr>
                <w:rFonts w:eastAsia="Calibri" w:cs="GHEA Grapalat"/>
                <w:b/>
                <w:lang w:val="hy-AM"/>
              </w:rPr>
              <w:t>Առկա խնդիրների առաջարկվող լուծումները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 xml:space="preserve">Կնախատեսվեն սահմանափակումներ և բացառություններ, որոնք հնարավորություն  կտան վերարտադրել, տարածել և մատչելի դարձնել հեղինակային իրավունքով պահպանվող ստեղծագործությունները այն ձևաչափով, որով տեսողությունից հաշմանդամ կամ ընթերցողության ֆունկցիայի այլ դժվարություններ ունեցող անձանց համար դրանք կլինեն հասանելի:  </w:t>
            </w:r>
          </w:p>
          <w:p w:rsidR="0068680D" w:rsidRPr="00423B76" w:rsidRDefault="0068680D" w:rsidP="0068680D">
            <w:pPr>
              <w:pStyle w:val="ListParagraph"/>
              <w:numPr>
                <w:ilvl w:val="0"/>
                <w:numId w:val="350"/>
              </w:numPr>
              <w:spacing w:line="276" w:lineRule="auto"/>
              <w:contextualSpacing w:val="0"/>
              <w:jc w:val="both"/>
              <w:rPr>
                <w:b/>
                <w:color w:val="000000"/>
                <w:lang w:val="hy-AM"/>
              </w:rPr>
            </w:pPr>
            <w:r w:rsidRPr="00423B76">
              <w:rPr>
                <w:b/>
                <w:color w:val="000000"/>
                <w:lang w:val="hy-AM"/>
              </w:rPr>
              <w:t>Միջոցառման իրականացումից ակնկալվող արդյունքը</w:t>
            </w:r>
          </w:p>
          <w:p w:rsidR="0068680D" w:rsidRDefault="0068680D" w:rsidP="00F47DC4">
            <w:pPr>
              <w:spacing w:line="276" w:lineRule="auto"/>
              <w:jc w:val="both"/>
              <w:rPr>
                <w:rFonts w:eastAsia="Calibri" w:cs="GHEA Grapalat"/>
                <w:lang w:val="hy-AM"/>
              </w:rPr>
            </w:pPr>
            <w:r w:rsidRPr="00423B76">
              <w:rPr>
                <w:rFonts w:eastAsia="Calibri" w:cs="GHEA Grapalat"/>
                <w:lang w:val="hy-AM"/>
              </w:rPr>
              <w:t>Սույն  նախագծի ընդունման արդյունքում ակնկալվում է կույրերի, տեսողական խնդիրների հետևանքով հաշմանդամություն ձեռք բերած կամ ընթերցողական այլ դժվարություններ ունեցող անձանց համար հրատարակված ստեղծագործությունների հասանելի ձևաչափով օրինակների մատչելիության  ապահովում:</w:t>
            </w:r>
          </w:p>
          <w:p w:rsidR="0068680D" w:rsidRPr="00423B76" w:rsidRDefault="0068680D" w:rsidP="00F47DC4">
            <w:pPr>
              <w:spacing w:line="276" w:lineRule="auto"/>
              <w:jc w:val="both"/>
              <w:rPr>
                <w:rFonts w:eastAsia="Calibri" w:cs="GHEA Grapalat"/>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18.7 </w:t>
            </w:r>
            <w:r w:rsidRPr="00423B76">
              <w:rPr>
                <w:rFonts w:ascii="GHEA Grapalat" w:hAnsi="GHEA Grapalat" w:cs="Sylfaen"/>
                <w:sz w:val="20"/>
                <w:szCs w:val="20"/>
                <w:lang w:val="hy-AM"/>
              </w:rPr>
              <w:t>Պեկինի «Տեսալսողական կատարումների մասին» պայմանագրին միանալու նպատակով պայմանագրի նախագիծը և կից փաստաթղթերը ՀՀ վարչապետի աշխատակազմ ներկայացնելը</w:t>
            </w:r>
          </w:p>
          <w:p w:rsidR="0068680D" w:rsidRPr="00423B76" w:rsidRDefault="0068680D" w:rsidP="0068680D">
            <w:pPr>
              <w:pStyle w:val="ListParagraph"/>
              <w:numPr>
                <w:ilvl w:val="0"/>
                <w:numId w:val="352"/>
              </w:numPr>
              <w:spacing w:line="276" w:lineRule="auto"/>
              <w:contextualSpacing w:val="0"/>
              <w:jc w:val="both"/>
              <w:rPr>
                <w:b/>
                <w:color w:val="000000"/>
                <w:lang w:val="hy-AM"/>
              </w:rPr>
            </w:pPr>
            <w:r w:rsidRPr="00423B76">
              <w:rPr>
                <w:b/>
                <w:color w:val="000000"/>
                <w:lang w:val="hy-AM"/>
              </w:rPr>
              <w:t>Միջոցառման իրականացման անհրաժեշտությունը և նպատակը</w:t>
            </w:r>
          </w:p>
          <w:p w:rsidR="0068680D" w:rsidRPr="00423B76" w:rsidRDefault="0068680D" w:rsidP="00F47DC4">
            <w:pPr>
              <w:spacing w:line="276" w:lineRule="auto"/>
              <w:jc w:val="both"/>
              <w:rPr>
                <w:rFonts w:eastAsia="Calibri" w:cs="GHEA Grapalat"/>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5.6 բաժնի դրույթներով, ինչպես նաև</w:t>
            </w:r>
            <w:r w:rsidRPr="00423B76">
              <w:rPr>
                <w:rFonts w:eastAsia="Calibri" w:cs="GHEA Grapalat"/>
                <w:lang w:val="hy-AM"/>
              </w:rPr>
              <w:t xml:space="preserve"> տեխնիկական սարքավորումների զարգացմամբ ու կատարելագործմամբ, հատկապես նոր թվային տեխնոլոգիաների առաջացմամբ, ինչպես նաև տեսալսողական ամրագրումներում ամրագրված կատարումների կատարողներին՝ ավելի լայն իրավական պահպանության տրամադրմամբ:</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 xml:space="preserve">Միջոցառման նպատակն է՝ մտավոր սեփականության բնագավառին վերաբերող կարևոր միջազգային պայմանագրերով նախատեսված դրույթներից բխող առանձնահատկու-թյունների կիրառումը: </w:t>
            </w:r>
          </w:p>
          <w:p w:rsidR="0068680D" w:rsidRPr="00423B76" w:rsidRDefault="0068680D" w:rsidP="0068680D">
            <w:pPr>
              <w:pStyle w:val="ListParagraph"/>
              <w:numPr>
                <w:ilvl w:val="1"/>
                <w:numId w:val="353"/>
              </w:numPr>
              <w:spacing w:line="276" w:lineRule="auto"/>
              <w:contextualSpacing w:val="0"/>
              <w:rPr>
                <w:rFonts w:eastAsia="Calibri" w:cs="GHEA Grapalat"/>
                <w:b/>
                <w:lang w:val="hy-AM"/>
              </w:rPr>
            </w:pPr>
            <w:r w:rsidRPr="00423B76">
              <w:rPr>
                <w:rFonts w:eastAsia="Calibri" w:cs="GHEA Grapalat"/>
                <w:b/>
                <w:lang w:val="hy-AM"/>
              </w:rPr>
              <w:t>Կարգավորման հարաբերությունների ներկա վիճակը և առկա խնդիրները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Հաշվի առնելով տեղեկատվության և կապի տեխնոլոգիաների, տեխնիկական թվային սարքավորումների մեծ ազդեցությունը կատարումների ստեղծման և օգտագործման վրա՝ անհրաժեշտ է նախատեսել երգչների, երաժիշտների, պարողների և դերասանների իրավունքներին վերաբերող նոր մոտեցումներ իրենց տեսալսողական կատարումների նկատմամբ:</w:t>
            </w:r>
          </w:p>
          <w:p w:rsidR="0068680D" w:rsidRPr="00423B76" w:rsidRDefault="0068680D" w:rsidP="0068680D">
            <w:pPr>
              <w:pStyle w:val="ListParagraph"/>
              <w:numPr>
                <w:ilvl w:val="1"/>
                <w:numId w:val="353"/>
              </w:numPr>
              <w:spacing w:line="276" w:lineRule="auto"/>
              <w:contextualSpacing w:val="0"/>
              <w:rPr>
                <w:rFonts w:eastAsia="Calibri" w:cs="GHEA Grapalat"/>
                <w:b/>
                <w:lang w:val="hy-AM"/>
              </w:rPr>
            </w:pPr>
            <w:r w:rsidRPr="00423B76">
              <w:rPr>
                <w:rFonts w:eastAsia="Calibri" w:cs="GHEA Grapalat"/>
                <w:b/>
                <w:lang w:val="hy-AM"/>
              </w:rPr>
              <w:t>Առկա խնդիրների առաջարկվող լուծումները</w:t>
            </w:r>
          </w:p>
          <w:p w:rsidR="0068680D" w:rsidRPr="00423B76" w:rsidRDefault="0068680D" w:rsidP="00F47DC4">
            <w:pPr>
              <w:spacing w:line="276" w:lineRule="auto"/>
              <w:jc w:val="both"/>
              <w:rPr>
                <w:rFonts w:eastAsia="Calibri" w:cs="GHEA Grapalat"/>
                <w:lang w:val="hy-AM"/>
              </w:rPr>
            </w:pPr>
            <w:r w:rsidRPr="00423B76">
              <w:rPr>
                <w:rFonts w:eastAsia="Calibri" w:cs="GHEA Grapalat"/>
                <w:lang w:val="hy-AM"/>
              </w:rPr>
              <w:t>Հարակից իրավունքների բնագավառում՝ երաշխիքներ կստեղծվեն հարակից իրավունքների իրավատերերի և հասարակության շահերի միջև հավասարակշռության պահպանման համար, ինչպես նաև անդամ պետությունը լիարժեք պահպանություն կապահովեն մյուս անդամ պետության քաղաքացուն, դրանով իսկ երաշխավորելով տեղական արտադրողներին և կատարողներին օգտվելու իրենց գույքային իրավունքներից, երբ նրանց ֆիլմերը, հեռուստասերիալներն ու այլ տեսալսողական ստեղծագործությունները կցուցադրվեն կամ այլ կերպ մատչելի կդառնան այլ երկրներում:</w:t>
            </w:r>
          </w:p>
          <w:p w:rsidR="0068680D" w:rsidRPr="00423B76" w:rsidRDefault="0068680D" w:rsidP="0068680D">
            <w:pPr>
              <w:pStyle w:val="ListParagraph"/>
              <w:numPr>
                <w:ilvl w:val="0"/>
                <w:numId w:val="352"/>
              </w:numPr>
              <w:spacing w:line="276" w:lineRule="auto"/>
              <w:contextualSpacing w:val="0"/>
              <w:jc w:val="both"/>
              <w:rPr>
                <w:b/>
                <w:color w:val="000000"/>
                <w:lang w:val="hy-AM"/>
              </w:rPr>
            </w:pPr>
            <w:r w:rsidRPr="00423B76">
              <w:rPr>
                <w:b/>
                <w:color w:val="000000"/>
                <w:lang w:val="hy-AM"/>
              </w:rPr>
              <w:t>Միջոցառման իրականացումից ակնկալվող արդյունքը</w:t>
            </w:r>
          </w:p>
          <w:p w:rsidR="0068680D" w:rsidRDefault="0068680D" w:rsidP="00F47DC4">
            <w:pPr>
              <w:spacing w:line="276" w:lineRule="auto"/>
              <w:jc w:val="center"/>
              <w:rPr>
                <w:rFonts w:cs="Sylfaen"/>
                <w:b/>
                <w:caps/>
                <w:lang w:val="hy-AM"/>
              </w:rPr>
            </w:pPr>
            <w:r w:rsidRPr="00423B76">
              <w:rPr>
                <w:rFonts w:eastAsia="Calibri" w:cs="GHEA Grapalat"/>
                <w:lang w:val="hy-AM"/>
              </w:rPr>
              <w:t>Սույն  նախագծի ընդունման արդյունքում ակնկալվում է տեսալսողական ամրագրումներում ամրագրված կատարումների կատարողներին՝ ավելի լայն իրավական պահպանության տրամադրում:</w:t>
            </w: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19.</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r>
              <w:rPr>
                <w:rFonts w:ascii="GHEA Grapalat" w:hAnsi="GHEA Grapalat"/>
                <w:sz w:val="20"/>
                <w:szCs w:val="20"/>
                <w:lang w:val="hy-AM"/>
              </w:rPr>
              <w:t>Զ</w:t>
            </w:r>
            <w:r w:rsidRPr="00423B76">
              <w:rPr>
                <w:rFonts w:ascii="GHEA Grapalat" w:hAnsi="GHEA Grapalat"/>
                <w:sz w:val="20"/>
                <w:szCs w:val="20"/>
                <w:lang w:val="hy-AM"/>
              </w:rPr>
              <w:t xml:space="preserve">բոսաշրջային արդյունքի մրցունակության ապահովմանն ուղղված քայլերի մշակում, զբոսաշրջային ենթակառուցվածքների </w:t>
            </w:r>
            <w:r>
              <w:rPr>
                <w:rFonts w:ascii="GHEA Grapalat" w:hAnsi="GHEA Grapalat"/>
                <w:sz w:val="20"/>
                <w:szCs w:val="20"/>
                <w:lang w:val="hy-AM"/>
              </w:rPr>
              <w:t>և</w:t>
            </w:r>
            <w:r w:rsidRPr="00423B76">
              <w:rPr>
                <w:rFonts w:ascii="GHEA Grapalat" w:hAnsi="GHEA Grapalat"/>
                <w:sz w:val="20"/>
                <w:szCs w:val="20"/>
                <w:lang w:val="hy-AM"/>
              </w:rPr>
              <w:t xml:space="preserve"> հարակից ծառայությունների բարելավում</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19.1 </w:t>
            </w:r>
            <w:r w:rsidRPr="00423B76">
              <w:rPr>
                <w:rFonts w:ascii="GHEA Grapalat" w:hAnsi="GHEA Grapalat" w:cs="Sylfaen"/>
                <w:sz w:val="20"/>
                <w:szCs w:val="20"/>
                <w:lang w:val="hy-AM"/>
              </w:rPr>
              <w:t>«Տեղական տնտեսությունների և ենթակառուցվածքների զարգացում» Համաշխարհային բանկի վարկային ծրագրի վերանայում</w:t>
            </w:r>
          </w:p>
          <w:p w:rsidR="0068680D" w:rsidRPr="00423B76" w:rsidRDefault="0068680D" w:rsidP="0068680D">
            <w:pPr>
              <w:pStyle w:val="ListParagraph"/>
              <w:widowControl w:val="0"/>
              <w:numPr>
                <w:ilvl w:val="0"/>
                <w:numId w:val="394"/>
              </w:numPr>
              <w:spacing w:line="276" w:lineRule="auto"/>
              <w:contextualSpacing w:val="0"/>
              <w:jc w:val="both"/>
              <w:rPr>
                <w:b/>
                <w:lang w:val="hy-AM" w:eastAsia="en-GB"/>
              </w:rPr>
            </w:pPr>
            <w:r w:rsidRPr="00423B76">
              <w:rPr>
                <w:b/>
                <w:lang w:val="hy-AM" w:eastAsia="en-GB"/>
              </w:rPr>
              <w:t>Միջոցառման իրականացման անհրաժեշտությունը և նպատակը</w:t>
            </w:r>
          </w:p>
          <w:p w:rsidR="0068680D" w:rsidRPr="00423B76" w:rsidRDefault="0068680D" w:rsidP="00F47DC4">
            <w:pPr>
              <w:widowControl w:val="0"/>
              <w:spacing w:line="276" w:lineRule="auto"/>
              <w:jc w:val="both"/>
              <w:rPr>
                <w:lang w:val="hy-AM"/>
              </w:rPr>
            </w:pPr>
            <w:r w:rsidRPr="00423B76">
              <w:rPr>
                <w:color w:val="000000" w:themeColor="text1"/>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5.7 բաժնի դրույթներով, ինչպես նաև</w:t>
            </w:r>
            <w:r w:rsidRPr="00423B76">
              <w:rPr>
                <w:lang w:val="hy-AM"/>
              </w:rPr>
              <w:t xml:space="preserve"> Հայաստանի և հայկական զբոսաշրջային արդյունքի մրցունակության բարձրացման, ժամանակակից ենթակառուցվածքների ստեղծման և կատարելագործման անհրաժեշտությամբ: </w:t>
            </w:r>
          </w:p>
          <w:p w:rsidR="0068680D" w:rsidRPr="00423B76" w:rsidRDefault="0068680D" w:rsidP="00F47DC4">
            <w:pPr>
              <w:widowControl w:val="0"/>
              <w:spacing w:line="276" w:lineRule="auto"/>
              <w:jc w:val="both"/>
              <w:rPr>
                <w:lang w:val="hy-AM"/>
              </w:rPr>
            </w:pPr>
            <w:r w:rsidRPr="00423B76">
              <w:rPr>
                <w:rFonts w:cs="Calibri"/>
                <w:bCs/>
                <w:lang w:val="hy-AM" w:eastAsia="en-GB"/>
              </w:rPr>
              <w:t>Միջոցառման նպատակն է</w:t>
            </w:r>
            <w:r w:rsidRPr="00423B76">
              <w:rPr>
                <w:rFonts w:eastAsia="MS Mincho" w:cs="MS Mincho"/>
                <w:bCs/>
                <w:lang w:val="hy-AM" w:eastAsia="en-GB"/>
              </w:rPr>
              <w:t xml:space="preserve"> </w:t>
            </w:r>
            <w:r w:rsidRPr="00423B76">
              <w:rPr>
                <w:rFonts w:cs="Calibri"/>
                <w:bCs/>
                <w:lang w:val="hy-AM"/>
              </w:rPr>
              <w:t>դեպի զբոսաշրջային վայրեր հասանելիության ապահովման բարելավումը, Հայաստանում առաջանային զարգացման վայրերում զբոսաշրջային և այլ ենթակառուցվածքների ստեղծում և շարունակական զարգացումը</w:t>
            </w:r>
            <w:r w:rsidRPr="00423B76">
              <w:rPr>
                <w:rFonts w:cs="Calibri"/>
                <w:bCs/>
                <w:lang w:val="hy-AM" w:eastAsia="en-GB"/>
              </w:rPr>
              <w:t>։</w:t>
            </w:r>
          </w:p>
          <w:p w:rsidR="0068680D" w:rsidRPr="00423B76" w:rsidRDefault="0068680D" w:rsidP="0068680D">
            <w:pPr>
              <w:pStyle w:val="ListParagraph"/>
              <w:widowControl w:val="0"/>
              <w:numPr>
                <w:ilvl w:val="1"/>
                <w:numId w:val="395"/>
              </w:numPr>
              <w:shd w:val="clear" w:color="auto" w:fill="FFFFFF"/>
              <w:spacing w:line="276" w:lineRule="auto"/>
              <w:contextualSpacing w:val="0"/>
              <w:jc w:val="both"/>
              <w:rPr>
                <w:rFonts w:cs="Calibri"/>
                <w:b/>
                <w:bCs/>
                <w:color w:val="222222"/>
                <w:lang w:val="hy-AM" w:eastAsia="en-GB"/>
              </w:rPr>
            </w:pPr>
            <w:r w:rsidRPr="00423B76">
              <w:rPr>
                <w:b/>
                <w:lang w:val="hy-AM" w:eastAsia="en-GB"/>
              </w:rPr>
              <w:t>Կարգավորման հարաբերությունների ներկա վիճակը և առկա խնդիրները</w:t>
            </w:r>
          </w:p>
          <w:p w:rsidR="0068680D" w:rsidRPr="00423B76" w:rsidRDefault="0068680D" w:rsidP="00F47DC4">
            <w:pPr>
              <w:widowControl w:val="0"/>
              <w:spacing w:line="276" w:lineRule="auto"/>
              <w:jc w:val="both"/>
              <w:rPr>
                <w:rFonts w:cs="Sylfaen"/>
                <w:lang w:val="hy-AM"/>
              </w:rPr>
            </w:pPr>
            <w:r w:rsidRPr="00423B76">
              <w:rPr>
                <w:lang w:val="hy-AM"/>
              </w:rPr>
              <w:t xml:space="preserve">Համաշխարհային բանկի </w:t>
            </w:r>
            <w:r w:rsidRPr="00423B76">
              <w:rPr>
                <w:rFonts w:cs="Sylfaen"/>
                <w:lang w:val="hy-AM"/>
              </w:rPr>
              <w:t xml:space="preserve">«Տեղական տնտեսությունների և ենթակառուցվածքների զարգացում» վարկային ծրագրի իրականացումը մեկնարկել է 2017 թվականին, իրականցվում են և նախատեսվում են մի շարք ենթածրագրեր: Ներկա փուլում առաջացել է ծրագրի կառավարման բարելավման, ինչպես նաև ծրագրում ընգրկված զբոսաշրջային վայրերի ընտրության, հաստատման և հստակեցման խնդիր։ </w:t>
            </w:r>
          </w:p>
          <w:p w:rsidR="0068680D" w:rsidRPr="00423B76" w:rsidRDefault="0068680D" w:rsidP="00F47DC4">
            <w:pPr>
              <w:widowControl w:val="0"/>
              <w:shd w:val="clear" w:color="auto" w:fill="FFFFFF"/>
              <w:spacing w:line="276" w:lineRule="auto"/>
              <w:ind w:left="375"/>
              <w:jc w:val="both"/>
              <w:rPr>
                <w:rFonts w:cs="Calibri"/>
                <w:b/>
                <w:color w:val="222222"/>
                <w:lang w:val="hy-AM" w:eastAsia="en-GB"/>
              </w:rPr>
            </w:pPr>
            <w:r w:rsidRPr="00423B76">
              <w:rPr>
                <w:b/>
                <w:lang w:val="hy-AM" w:eastAsia="en-GB"/>
              </w:rPr>
              <w:t>1</w:t>
            </w:r>
            <w:r w:rsidRPr="00423B76">
              <w:rPr>
                <w:rFonts w:eastAsia="MS Mincho" w:cs="MS Mincho"/>
                <w:b/>
                <w:lang w:val="hy-AM" w:eastAsia="en-GB"/>
              </w:rPr>
              <w:t xml:space="preserve">.2. </w:t>
            </w:r>
            <w:r w:rsidRPr="00423B76">
              <w:rPr>
                <w:b/>
                <w:lang w:val="hy-AM" w:eastAsia="en-GB"/>
              </w:rPr>
              <w:t>Առկա խնդիրների առաջարկվող լուծումները</w:t>
            </w:r>
            <w:r w:rsidRPr="00423B76">
              <w:rPr>
                <w:rFonts w:cs="Courier New"/>
                <w:b/>
                <w:bCs/>
                <w:color w:val="222222"/>
                <w:lang w:val="hy-AM" w:eastAsia="en-GB"/>
              </w:rPr>
              <w:t xml:space="preserve"> </w:t>
            </w:r>
          </w:p>
          <w:p w:rsidR="0068680D" w:rsidRPr="00423B76" w:rsidRDefault="0068680D" w:rsidP="00F47DC4">
            <w:pPr>
              <w:widowControl w:val="0"/>
              <w:spacing w:line="276" w:lineRule="auto"/>
              <w:jc w:val="both"/>
              <w:rPr>
                <w:rFonts w:cs="Sylfaen"/>
                <w:lang w:val="hy-AM"/>
              </w:rPr>
            </w:pPr>
            <w:r w:rsidRPr="00423B76">
              <w:rPr>
                <w:rFonts w:cs="Sylfaen"/>
                <w:lang w:val="hy-AM"/>
              </w:rPr>
              <w:t>Առկա խնդիրների լուծման ուղղությամբ առաջարկվում է բարելավել ծրագրի կառավարման համակարգը, մասնավորապես փոփոխություններ իրականացնել ծրագրի կառավարման կոմիտեիկազմում, ինչպես նաև վերանայել աշխատանքային խմբի անհարաժեշտությունը: Նախատեղվում է նաև Ծրագրի առաջին բաղադրիչի (Ժառանգության վերածնունդ և զբոսաշրջային հանգույցների զարգացում) շրջանակներում հստակեցնել ընդգրկված զբոսաշրջային վայերի շրջականը, իրականացվող աշխատանքները և մշակել  նոր ժամանակացույց։</w:t>
            </w:r>
          </w:p>
          <w:p w:rsidR="0068680D" w:rsidRPr="00423B76" w:rsidRDefault="0068680D" w:rsidP="00F47DC4">
            <w:pPr>
              <w:spacing w:line="276" w:lineRule="auto"/>
              <w:ind w:firstLine="375"/>
              <w:jc w:val="both"/>
              <w:rPr>
                <w:b/>
                <w:lang w:val="hy-AM"/>
              </w:rPr>
            </w:pPr>
            <w:r w:rsidRPr="00423B76">
              <w:rPr>
                <w:b/>
                <w:lang w:val="hy-AM"/>
              </w:rPr>
              <w:t>2.</w:t>
            </w:r>
            <w:r w:rsidRPr="00423B76">
              <w:rPr>
                <w:lang w:val="hy-AM"/>
              </w:rPr>
              <w:t xml:space="preserve"> </w:t>
            </w:r>
            <w:r w:rsidRPr="00423B76">
              <w:rPr>
                <w:b/>
                <w:lang w:val="hy-AM"/>
              </w:rPr>
              <w:t>Միջոցառման իրականացումից ակնկալվող արդյունքը</w:t>
            </w:r>
          </w:p>
          <w:p w:rsidR="0068680D" w:rsidRPr="00423B76" w:rsidRDefault="0068680D" w:rsidP="00F47DC4">
            <w:pPr>
              <w:widowControl w:val="0"/>
              <w:spacing w:line="276" w:lineRule="auto"/>
              <w:jc w:val="both"/>
              <w:rPr>
                <w:rFonts w:cs="Sylfaen"/>
                <w:lang w:val="hy-AM"/>
              </w:rPr>
            </w:pPr>
            <w:r w:rsidRPr="00423B76">
              <w:rPr>
                <w:rFonts w:cs="Sylfaen"/>
                <w:lang w:val="hy-AM"/>
              </w:rPr>
              <w:t>Միջոցառման իրականացման արդյունքում ակնկալվում է բարձրացնել ծրագրի կառավարման և իրականացման արդյունավետությունը, բարելավել զբոսաշրջային ենթակառուցվածքները, զբոսաշրջային վայրերի հասանելիությունը, ինչպես նաև բարձրացնել ընդգրված համայնքների բնակչության ներգրավվածությունը զբոսաշրջային գործընթացներին։</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20.</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r>
              <w:rPr>
                <w:rFonts w:ascii="GHEA Grapalat" w:hAnsi="GHEA Grapalat"/>
                <w:sz w:val="20"/>
                <w:szCs w:val="20"/>
                <w:lang w:val="hy-AM"/>
              </w:rPr>
              <w:t>Զ</w:t>
            </w:r>
            <w:r w:rsidRPr="00423B76">
              <w:rPr>
                <w:rFonts w:ascii="GHEA Grapalat" w:hAnsi="GHEA Grapalat"/>
                <w:sz w:val="20"/>
                <w:szCs w:val="20"/>
                <w:lang w:val="hy-AM"/>
              </w:rPr>
              <w:t>բոսաշրջության ոլորտի ինստիտուցիոնալ բարեփոխումներ</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20.1 </w:t>
            </w:r>
            <w:r w:rsidRPr="00423B76">
              <w:rPr>
                <w:rFonts w:ascii="GHEA Grapalat" w:hAnsi="GHEA Grapalat" w:cs="Sylfaen"/>
                <w:sz w:val="20"/>
                <w:szCs w:val="20"/>
                <w:lang w:val="hy-AM"/>
              </w:rPr>
              <w:t>Զբոսաշրջության մասին ՀՀ օրենքի նախագծի լրամշակում և  ներկայացում ՀՀ վարչապետի աշխատակազմ</w:t>
            </w:r>
          </w:p>
          <w:p w:rsidR="0068680D" w:rsidRPr="00423B76" w:rsidRDefault="0068680D" w:rsidP="0068680D">
            <w:pPr>
              <w:pStyle w:val="ListParagraph"/>
              <w:numPr>
                <w:ilvl w:val="0"/>
                <w:numId w:val="374"/>
              </w:numPr>
              <w:spacing w:line="276" w:lineRule="auto"/>
              <w:contextualSpacing w:val="0"/>
              <w:jc w:val="both"/>
              <w:rPr>
                <w:b/>
                <w:color w:val="000000"/>
                <w:lang w:val="hy-AM"/>
              </w:rPr>
            </w:pPr>
            <w:r w:rsidRPr="00423B76">
              <w:rPr>
                <w:b/>
                <w:color w:val="000000"/>
                <w:lang w:val="hy-AM"/>
              </w:rPr>
              <w:t>Միջոցառման իրականացման անհրաժեշտությունը և նպատակը</w:t>
            </w:r>
          </w:p>
          <w:p w:rsidR="0068680D" w:rsidRPr="00423B76" w:rsidRDefault="0068680D" w:rsidP="00F47DC4">
            <w:pPr>
              <w:spacing w:line="276" w:lineRule="auto"/>
              <w:jc w:val="both"/>
              <w:rPr>
                <w:rFonts w:cs="Sylfaen"/>
                <w:color w:val="000000"/>
                <w:lang w:val="hy-AM"/>
              </w:rPr>
            </w:pPr>
            <w:r w:rsidRPr="00423B76">
              <w:rPr>
                <w:rFonts w:cs="Sylfaen"/>
                <w:color w:val="000000"/>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5.7 բաժնի դրույթներով: Գործող իրավական դաշտի բարելավման անհրաժեշտությունն առաջացել է զբոսաշրջության բնագավառին բնորոշ դինամիկ զարգացման և նոր մարտահրավերների պայմաններում Հայաստանի և հայկական զբոսաշրջային արդյունքի` համաշխարհային զբոսաշրջային շուկայում մրցունակության ամրապնդման ու բարձրացման անհրաժեշտությունից:</w:t>
            </w:r>
          </w:p>
          <w:p w:rsidR="0068680D" w:rsidRPr="00423B76" w:rsidRDefault="0068680D" w:rsidP="00F47DC4">
            <w:pPr>
              <w:widowControl w:val="0"/>
              <w:spacing w:line="276" w:lineRule="auto"/>
              <w:jc w:val="both"/>
              <w:rPr>
                <w:rFonts w:eastAsia="Calibri" w:cs="GHEA Grapalat"/>
                <w:lang w:val="hy-AM"/>
              </w:rPr>
            </w:pPr>
            <w:r w:rsidRPr="00423B76">
              <w:rPr>
                <w:rFonts w:eastAsia="Calibri" w:cs="GHEA Grapalat"/>
                <w:lang w:val="hy-AM"/>
              </w:rPr>
              <w:t>Օրենքի նախագծի և առնչվող այլ իրավական ակտերի մշակմամբ նպատակ է դրվում գործող օրենսդրական դաշտի կատարելագործման` արդյունքում անհրաժեշտ իրավական հիմքեր ապահովելով զբոսաշրջության ոլորտում իրականացվող պետական քաղաքա</w:t>
            </w:r>
            <w:r w:rsidRPr="00423B76">
              <w:rPr>
                <w:rFonts w:eastAsia="Calibri" w:cs="GHEA Grapalat"/>
                <w:lang w:val="hy-AM"/>
              </w:rPr>
              <w:softHyphen/>
              <w:t>կա</w:t>
            </w:r>
            <w:r w:rsidRPr="00423B76">
              <w:rPr>
                <w:rFonts w:eastAsia="Calibri" w:cs="GHEA Grapalat"/>
                <w:lang w:val="hy-AM"/>
              </w:rPr>
              <w:softHyphen/>
              <w:t>նության համար համարժեք տեղեկատվական ռեսուրսների հավաքագրման, ինչպես նաև` մատուցվող ծառայությունների որակի ու ներդրումային միջավայրի բարելավման համար:</w:t>
            </w:r>
          </w:p>
          <w:p w:rsidR="0068680D" w:rsidRPr="00423B76" w:rsidRDefault="0068680D" w:rsidP="0068680D">
            <w:pPr>
              <w:pStyle w:val="ListParagraph"/>
              <w:widowControl w:val="0"/>
              <w:numPr>
                <w:ilvl w:val="1"/>
                <w:numId w:val="373"/>
              </w:numPr>
              <w:shd w:val="clear" w:color="auto" w:fill="FFFFFF"/>
              <w:spacing w:line="276" w:lineRule="auto"/>
              <w:contextualSpacing w:val="0"/>
              <w:rPr>
                <w:rFonts w:eastAsia="Calibri" w:cs="GHEA Grapalat"/>
                <w:b/>
                <w:lang w:val="hy-AM"/>
              </w:rPr>
            </w:pPr>
            <w:r w:rsidRPr="00423B76">
              <w:rPr>
                <w:rFonts w:eastAsia="Calibri" w:cs="GHEA Grapalat"/>
                <w:b/>
                <w:lang w:val="hy-AM"/>
              </w:rPr>
              <w:t>Կարգավորման հարաբերությունների ներկա վիճակը և առկա խնդիրները</w:t>
            </w:r>
          </w:p>
          <w:p w:rsidR="0068680D" w:rsidRPr="00423B76" w:rsidRDefault="0068680D" w:rsidP="00F47DC4">
            <w:pPr>
              <w:widowControl w:val="0"/>
              <w:spacing w:line="276" w:lineRule="auto"/>
              <w:jc w:val="both"/>
              <w:rPr>
                <w:rFonts w:eastAsia="Calibri" w:cs="GHEA Grapalat"/>
                <w:lang w:val="hy-AM"/>
              </w:rPr>
            </w:pPr>
            <w:r w:rsidRPr="00423B76">
              <w:rPr>
                <w:rFonts w:eastAsia="Calibri" w:cs="GHEA Grapalat"/>
                <w:lang w:val="hy-AM"/>
              </w:rPr>
              <w:t>Զբոսաշրջության բնագավառում վարչական ռեգիստրի և ծառայությունների որակավորման համակարգերի ներդրման, գործարար ներդրումային դաշտի բարելավման հետ կապված իրավահարաբերությունների կարգավորում։</w:t>
            </w:r>
          </w:p>
          <w:p w:rsidR="0068680D" w:rsidRPr="00423B76" w:rsidRDefault="0068680D" w:rsidP="00F47DC4">
            <w:pPr>
              <w:widowControl w:val="0"/>
              <w:shd w:val="clear" w:color="auto" w:fill="FFFFFF"/>
              <w:spacing w:line="276" w:lineRule="auto"/>
              <w:jc w:val="both"/>
              <w:rPr>
                <w:rFonts w:eastAsia="Calibri" w:cs="GHEA Grapalat"/>
                <w:lang w:val="hy-AM"/>
              </w:rPr>
            </w:pPr>
            <w:r w:rsidRPr="00423B76">
              <w:rPr>
                <w:rFonts w:eastAsia="Calibri" w:cs="GHEA Grapalat"/>
                <w:lang w:val="hy-AM"/>
              </w:rPr>
              <w:t>Օրենսդրական փաթեթն ուղղվելու է ոլորտում վիճակագրական, տեղեկատվական համա</w:t>
            </w:r>
            <w:r w:rsidRPr="00423B76">
              <w:rPr>
                <w:rFonts w:eastAsia="Calibri" w:cs="GHEA Grapalat"/>
                <w:lang w:val="hy-AM"/>
              </w:rPr>
              <w:softHyphen/>
              <w:t>կար</w:t>
            </w:r>
            <w:r w:rsidRPr="00423B76">
              <w:rPr>
                <w:rFonts w:eastAsia="Calibri" w:cs="GHEA Grapalat"/>
                <w:lang w:val="hy-AM"/>
              </w:rPr>
              <w:softHyphen/>
              <w:t>գի բարելավմանն ու այդ նպատակով նաև վարչական ռեգիստրի, ծառայությունների որակա</w:t>
            </w:r>
            <w:r w:rsidRPr="00423B76">
              <w:rPr>
                <w:rFonts w:eastAsia="Calibri" w:cs="GHEA Grapalat"/>
                <w:lang w:val="hy-AM"/>
              </w:rPr>
              <w:softHyphen/>
              <w:t>վորման համակարգերի ներդրմանը, գործարար ներդրումային միջավայրի բարելավմանը։</w:t>
            </w:r>
          </w:p>
          <w:p w:rsidR="0068680D" w:rsidRPr="00423B76" w:rsidRDefault="0068680D" w:rsidP="0068680D">
            <w:pPr>
              <w:pStyle w:val="ListParagraph"/>
              <w:widowControl w:val="0"/>
              <w:numPr>
                <w:ilvl w:val="1"/>
                <w:numId w:val="373"/>
              </w:numPr>
              <w:shd w:val="clear" w:color="auto" w:fill="FFFFFF"/>
              <w:spacing w:line="276" w:lineRule="auto"/>
              <w:contextualSpacing w:val="0"/>
              <w:jc w:val="both"/>
              <w:rPr>
                <w:rFonts w:eastAsia="Calibri" w:cs="GHEA Grapalat"/>
                <w:b/>
                <w:lang w:val="hy-AM"/>
              </w:rPr>
            </w:pPr>
            <w:r w:rsidRPr="00423B76">
              <w:rPr>
                <w:rFonts w:eastAsia="Calibri" w:cs="GHEA Grapalat"/>
                <w:b/>
                <w:lang w:val="hy-AM"/>
              </w:rPr>
              <w:t xml:space="preserve">Առկա խնդիրների առաջարկվող լուծումները </w:t>
            </w:r>
          </w:p>
          <w:p w:rsidR="0068680D" w:rsidRPr="00423B76" w:rsidRDefault="0068680D" w:rsidP="00F47DC4">
            <w:pPr>
              <w:widowControl w:val="0"/>
              <w:shd w:val="clear" w:color="auto" w:fill="FFFFFF"/>
              <w:spacing w:line="276" w:lineRule="auto"/>
              <w:jc w:val="both"/>
              <w:rPr>
                <w:rFonts w:eastAsia="Calibri" w:cs="GHEA Grapalat"/>
                <w:lang w:val="hy-AM"/>
              </w:rPr>
            </w:pPr>
            <w:r w:rsidRPr="00423B76">
              <w:rPr>
                <w:rFonts w:eastAsia="Calibri" w:cs="GHEA Grapalat"/>
                <w:lang w:val="hy-AM"/>
              </w:rPr>
              <w:t>Նախատեսվում է մասնավոր հատվածի և միջազգային գործընկերների հետ համագործակ</w:t>
            </w:r>
            <w:r w:rsidRPr="00423B76">
              <w:rPr>
                <w:rFonts w:eastAsia="Calibri" w:cs="GHEA Grapalat"/>
                <w:lang w:val="hy-AM"/>
              </w:rPr>
              <w:softHyphen/>
              <w:t>ցությամբ ու միջազգային համարժեք փորձի ուսումնասիրության հիման վրա օրենսդրական փաթեթի մշակում: Մասնավորապես նախատեսվում է՝</w:t>
            </w:r>
          </w:p>
          <w:p w:rsidR="0068680D" w:rsidRPr="00423B76" w:rsidRDefault="0068680D" w:rsidP="0068680D">
            <w:pPr>
              <w:pStyle w:val="ListParagraph"/>
              <w:widowControl w:val="0"/>
              <w:numPr>
                <w:ilvl w:val="0"/>
                <w:numId w:val="435"/>
              </w:numPr>
              <w:suppressLineNumbers/>
              <w:suppressAutoHyphens/>
              <w:autoSpaceDN w:val="0"/>
              <w:spacing w:line="276" w:lineRule="auto"/>
              <w:jc w:val="both"/>
              <w:rPr>
                <w:rFonts w:eastAsia="DejaVu Sans" w:cs="DejaVu Sans"/>
                <w:kern w:val="3"/>
                <w:lang w:val="hy-AM" w:eastAsia="zh-CN" w:bidi="hi-IN"/>
              </w:rPr>
            </w:pPr>
            <w:r w:rsidRPr="00423B76">
              <w:rPr>
                <w:rFonts w:eastAsia="DejaVu Sans" w:cs="DejaVu Sans"/>
                <w:kern w:val="3"/>
                <w:lang w:val="hy-AM" w:eastAsia="zh-CN" w:bidi="hi-IN"/>
              </w:rPr>
              <w:t>Հստակեցնել զբոսաշրջության բնագավառում օգտագործվող հասկացությունները, սահմանել հասկացություններ,</w:t>
            </w:r>
          </w:p>
          <w:p w:rsidR="0068680D" w:rsidRPr="00423B76" w:rsidRDefault="0068680D" w:rsidP="0068680D">
            <w:pPr>
              <w:pStyle w:val="ListParagraph"/>
              <w:widowControl w:val="0"/>
              <w:numPr>
                <w:ilvl w:val="0"/>
                <w:numId w:val="435"/>
              </w:numPr>
              <w:suppressLineNumbers/>
              <w:suppressAutoHyphens/>
              <w:autoSpaceDN w:val="0"/>
              <w:spacing w:line="276" w:lineRule="auto"/>
              <w:jc w:val="both"/>
              <w:rPr>
                <w:rFonts w:eastAsia="DejaVu Sans" w:cs="DejaVu Sans"/>
                <w:kern w:val="3"/>
                <w:lang w:val="hy-AM" w:eastAsia="zh-CN" w:bidi="hi-IN"/>
              </w:rPr>
            </w:pPr>
            <w:r w:rsidRPr="00423B76">
              <w:rPr>
                <w:rFonts w:eastAsia="DejaVu Sans" w:cs="DejaVu Sans"/>
                <w:kern w:val="3"/>
                <w:lang w:val="hy-AM" w:eastAsia="zh-CN" w:bidi="hi-IN"/>
              </w:rPr>
              <w:t>Զբոսաշրջության բնագավառում ճշգրիտ վիճակագրության վարում</w:t>
            </w:r>
          </w:p>
          <w:p w:rsidR="0068680D" w:rsidRPr="00423B76" w:rsidRDefault="0068680D" w:rsidP="0068680D">
            <w:pPr>
              <w:pStyle w:val="ListParagraph"/>
              <w:widowControl w:val="0"/>
              <w:numPr>
                <w:ilvl w:val="0"/>
                <w:numId w:val="435"/>
              </w:numPr>
              <w:suppressLineNumbers/>
              <w:suppressAutoHyphens/>
              <w:autoSpaceDN w:val="0"/>
              <w:spacing w:line="276" w:lineRule="auto"/>
              <w:jc w:val="both"/>
              <w:rPr>
                <w:rFonts w:eastAsia="DejaVu Sans" w:cs="DejaVu Sans"/>
                <w:kern w:val="3"/>
                <w:lang w:val="hy-AM" w:eastAsia="zh-CN" w:bidi="hi-IN"/>
              </w:rPr>
            </w:pPr>
            <w:r w:rsidRPr="00423B76">
              <w:rPr>
                <w:rFonts w:eastAsia="DejaVu Sans" w:cs="Sylfaen"/>
                <w:kern w:val="3"/>
                <w:lang w:val="hy-AM" w:eastAsia="zh-CN" w:bidi="hi-IN"/>
              </w:rPr>
              <w:t>Զբոսաշրջային</w:t>
            </w:r>
            <w:r w:rsidRPr="00423B76">
              <w:rPr>
                <w:rFonts w:eastAsia="DejaVu Sans" w:cs="DejaVu Sans"/>
                <w:kern w:val="3"/>
                <w:lang w:val="hy-AM" w:eastAsia="zh-CN" w:bidi="hi-IN"/>
              </w:rPr>
              <w:t xml:space="preserve"> </w:t>
            </w:r>
            <w:r w:rsidRPr="00423B76">
              <w:rPr>
                <w:rFonts w:eastAsia="DejaVu Sans" w:cs="Sylfaen"/>
                <w:kern w:val="3"/>
                <w:lang w:val="hy-AM" w:eastAsia="zh-CN" w:bidi="hi-IN"/>
              </w:rPr>
              <w:t>ծառայությունների</w:t>
            </w:r>
            <w:r w:rsidRPr="00423B76">
              <w:rPr>
                <w:rFonts w:eastAsia="DejaVu Sans" w:cs="DejaVu Sans"/>
                <w:kern w:val="3"/>
                <w:lang w:val="hy-AM" w:eastAsia="zh-CN" w:bidi="hi-IN"/>
              </w:rPr>
              <w:t xml:space="preserve"> </w:t>
            </w:r>
            <w:r w:rsidRPr="00423B76">
              <w:rPr>
                <w:rFonts w:eastAsia="DejaVu Sans" w:cs="Sylfaen"/>
                <w:kern w:val="3"/>
                <w:lang w:val="hy-AM" w:eastAsia="zh-CN" w:bidi="hi-IN"/>
              </w:rPr>
              <w:t>որակի</w:t>
            </w:r>
            <w:r w:rsidRPr="00423B76">
              <w:rPr>
                <w:rFonts w:eastAsia="DejaVu Sans" w:cs="DejaVu Sans"/>
                <w:kern w:val="3"/>
                <w:lang w:val="hy-AM" w:eastAsia="zh-CN" w:bidi="hi-IN"/>
              </w:rPr>
              <w:t xml:space="preserve"> </w:t>
            </w:r>
            <w:r w:rsidRPr="00423B76">
              <w:rPr>
                <w:rFonts w:eastAsia="DejaVu Sans" w:cs="Sylfaen"/>
                <w:kern w:val="3"/>
                <w:lang w:val="hy-AM" w:eastAsia="zh-CN" w:bidi="hi-IN"/>
              </w:rPr>
              <w:t xml:space="preserve">բարելավում, ծառայությունների նկատմամբ չափանիշների սահմանում և պահպանում, սպառողի իրավունքների լիարժեք իրականացման ապահովման և այդպիսով Հայաստանի զբոսաշրջային արդյունքի մրցունակության բարձրացման </w:t>
            </w:r>
            <w:r w:rsidRPr="00423B76">
              <w:rPr>
                <w:rFonts w:eastAsia="DejaVu Sans" w:cs="DejaVu Sans"/>
                <w:kern w:val="3"/>
                <w:lang w:val="hy-AM" w:eastAsia="zh-CN" w:bidi="hi-IN"/>
              </w:rPr>
              <w:t xml:space="preserve"> </w:t>
            </w:r>
            <w:r w:rsidRPr="00423B76">
              <w:rPr>
                <w:rFonts w:eastAsia="DejaVu Sans" w:cs="Sylfaen"/>
                <w:kern w:val="3"/>
                <w:lang w:val="hy-AM" w:eastAsia="zh-CN" w:bidi="hi-IN"/>
              </w:rPr>
              <w:t>նպատակով</w:t>
            </w:r>
            <w:r w:rsidRPr="00423B76">
              <w:rPr>
                <w:rFonts w:eastAsia="DejaVu Sans" w:cs="DejaVu Sans"/>
                <w:kern w:val="3"/>
                <w:lang w:val="hy-AM" w:eastAsia="zh-CN" w:bidi="hi-IN"/>
              </w:rPr>
              <w:t xml:space="preserve"> նախատեսել զբոսաշրջային գործունեության սուբյեկտների, զբոսավարների, ուղեկցորդների հաշվառում, հյուրանոցային ծառայությունների որակավորում, ռեստորանների և զբոսաշրջային ավտոբուսների կամավոր որակավորում,  ինչպես նաև պահանջներ զբոսաշրջային տեղեկատվական կենտրոնների նկատմամբ:</w:t>
            </w:r>
          </w:p>
          <w:p w:rsidR="0068680D" w:rsidRPr="00423B76" w:rsidRDefault="0068680D" w:rsidP="0068680D">
            <w:pPr>
              <w:pStyle w:val="ListParagraph"/>
              <w:numPr>
                <w:ilvl w:val="0"/>
                <w:numId w:val="374"/>
              </w:numPr>
              <w:spacing w:line="276" w:lineRule="auto"/>
              <w:contextualSpacing w:val="0"/>
              <w:jc w:val="both"/>
              <w:rPr>
                <w:b/>
                <w:color w:val="000000"/>
                <w:lang w:val="hy-AM"/>
              </w:rPr>
            </w:pPr>
            <w:r w:rsidRPr="00423B76">
              <w:rPr>
                <w:b/>
                <w:color w:val="000000"/>
                <w:lang w:val="hy-AM"/>
              </w:rPr>
              <w:t>Միջոցառման իրականացումից ակնկալվող արդյունքը</w:t>
            </w:r>
          </w:p>
          <w:p w:rsidR="0068680D" w:rsidRPr="00423B76" w:rsidRDefault="0068680D" w:rsidP="00F47DC4">
            <w:pPr>
              <w:pStyle w:val="NormalWeb"/>
              <w:widowControl w:val="0"/>
              <w:spacing w:before="0" w:beforeAutospacing="0" w:after="0" w:afterAutospacing="0" w:line="276" w:lineRule="auto"/>
              <w:ind w:right="28"/>
              <w:jc w:val="both"/>
              <w:rPr>
                <w:rFonts w:ascii="GHEA Grapalat" w:eastAsia="Calibri" w:hAnsi="GHEA Grapalat" w:cs="GHEA Grapalat"/>
                <w:sz w:val="20"/>
                <w:szCs w:val="20"/>
                <w:lang w:val="hy-AM"/>
              </w:rPr>
            </w:pPr>
            <w:r w:rsidRPr="00423B76">
              <w:rPr>
                <w:rFonts w:ascii="GHEA Grapalat" w:eastAsia="Calibri" w:hAnsi="GHEA Grapalat" w:cs="GHEA Grapalat"/>
                <w:sz w:val="20"/>
                <w:szCs w:val="20"/>
                <w:lang w:val="hy-AM"/>
              </w:rPr>
              <w:t>Առաջարկվող օրենսդրական կարգավորումները հիմք են հանդիսանալու վարչական ռեգիստրի ներդրմանը` ի նպաստ զբոսաշրջության ոլորտում վիճակագրական, տեղեկատվական համակարգի բարելավման և քաղաքականության վերաբերյալ որոշումների ընդունման համար անհրաժեշտ ուսումնասիրությունների ու վերլուծությունների</w:t>
            </w:r>
          </w:p>
          <w:p w:rsidR="0068680D" w:rsidRPr="00423B76" w:rsidRDefault="0068680D" w:rsidP="00F47DC4">
            <w:pPr>
              <w:pStyle w:val="NormalWeb"/>
              <w:widowControl w:val="0"/>
              <w:spacing w:before="0" w:beforeAutospacing="0" w:after="0" w:afterAutospacing="0" w:line="276" w:lineRule="auto"/>
              <w:ind w:right="28"/>
              <w:jc w:val="both"/>
              <w:rPr>
                <w:rFonts w:ascii="GHEA Grapalat" w:eastAsia="Calibri" w:hAnsi="GHEA Grapalat" w:cs="GHEA Grapalat"/>
                <w:sz w:val="20"/>
                <w:szCs w:val="20"/>
                <w:lang w:val="hy-AM"/>
              </w:rPr>
            </w:pPr>
            <w:r w:rsidRPr="00423B76">
              <w:rPr>
                <w:rFonts w:ascii="GHEA Grapalat" w:eastAsia="Calibri" w:hAnsi="GHEA Grapalat" w:cs="GHEA Grapalat"/>
                <w:sz w:val="20"/>
                <w:szCs w:val="20"/>
                <w:lang w:val="hy-AM"/>
              </w:rPr>
              <w:t xml:space="preserve">Նախագծով նախատեսվող որակյալ ուսումնասիրությունների իրականացումը, զբոսաշրջային ռեսուրսների գույքագրումն ու դրա տվյալների հիման վրա նոր մրցունակ զբոսաշրջային արդյունքների մշակումն ու խթանումը, հայկական զբոսաշրջային արդյունքի և զբոսաշրջային շուկաների դիվերսիֆիկացումը, զբոսաշրջային ծառայությունների որակի բարձրացումը, սպառողի իրավունքների իրականացման ապահովումը էապես կնպաստեն Հայաստանում զբոսաշրջության զարգացմանը, զբոսաշրջային համաշխարհային շուկայում հայկական զբոսաշրջային արդյունքի և Հայաստանի` որպես զբոսաշրջային երկրի մրցունակության բարձրացմանը: Նախագծերի ընդունումը նշանակալի ներդրում կունենա Հայաստանում տնտեսական զարգացման, Հայաստանի տարածքային համաչափ զարգացման, մարզերում և համայնքներում ենթակառուցվածքների զարգացման և եկամուտների լրացուցիչ աղբյուրների ձևավորման, հանրապետությունում զբաղվածության ավելացման խնդիրների լուծման գործում: Այն նաև լայն թափ կհաղորդի ընթացիկ զբոսաշրջային ծրագրերի բարեհաջող իրականացմանը և նոր ծրագրերի մշակմանն ու իրականացմանը, այդ թվում` նպաստելով հայկական զբոսաշրջային արդյունքի դիվերսիֆիկացմանը, համայնքներում զբոսաշրջության զարգացմանը, համաչափ տարածքային տնտեսական զարգացմանը, մարդկային ռեսուրսների զարգացմանը, միջազգային համագործակցության ակտիվացմանը և այլն: </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20.2 </w:t>
            </w:r>
            <w:r w:rsidRPr="00423B76">
              <w:rPr>
                <w:rFonts w:ascii="GHEA Grapalat" w:hAnsi="GHEA Grapalat" w:cs="Sylfaen"/>
                <w:sz w:val="20"/>
                <w:szCs w:val="20"/>
                <w:lang w:val="hy-AM"/>
              </w:rPr>
              <w:t>Սահմանային էլեկտ</w:t>
            </w:r>
            <w:r w:rsidRPr="00423B76">
              <w:rPr>
                <w:rFonts w:ascii="GHEA Grapalat" w:hAnsi="GHEA Grapalat" w:cs="Sylfaen"/>
                <w:sz w:val="20"/>
                <w:szCs w:val="20"/>
                <w:lang w:val="hy-AM"/>
              </w:rPr>
              <w:softHyphen/>
            </w:r>
            <w:r w:rsidRPr="00423B76">
              <w:rPr>
                <w:rFonts w:ascii="GHEA Grapalat" w:hAnsi="GHEA Grapalat" w:cs="Sylfaen"/>
                <w:sz w:val="20"/>
                <w:szCs w:val="20"/>
                <w:lang w:val="hy-AM"/>
              </w:rPr>
              <w:softHyphen/>
              <w:t>րո</w:t>
            </w:r>
            <w:r w:rsidRPr="00423B76">
              <w:rPr>
                <w:rFonts w:ascii="GHEA Grapalat" w:hAnsi="GHEA Grapalat" w:cs="Sylfaen"/>
                <w:sz w:val="20"/>
                <w:szCs w:val="20"/>
                <w:lang w:val="hy-AM"/>
              </w:rPr>
              <w:softHyphen/>
              <w:t>նային կառա</w:t>
            </w:r>
            <w:r w:rsidRPr="00423B76">
              <w:rPr>
                <w:rFonts w:ascii="GHEA Grapalat" w:hAnsi="GHEA Grapalat" w:cs="Sylfaen"/>
                <w:sz w:val="20"/>
                <w:szCs w:val="20"/>
                <w:lang w:val="hy-AM"/>
              </w:rPr>
              <w:softHyphen/>
              <w:t>վար</w:t>
            </w:r>
            <w:r w:rsidRPr="00423B76">
              <w:rPr>
                <w:rFonts w:ascii="GHEA Grapalat" w:hAnsi="GHEA Grapalat" w:cs="Sylfaen"/>
                <w:sz w:val="20"/>
                <w:szCs w:val="20"/>
                <w:lang w:val="hy-AM"/>
              </w:rPr>
              <w:softHyphen/>
              <w:t>ման տեղեկա</w:t>
            </w:r>
            <w:r w:rsidRPr="00423B76">
              <w:rPr>
                <w:rFonts w:ascii="GHEA Grapalat" w:hAnsi="GHEA Grapalat" w:cs="Sylfaen"/>
                <w:sz w:val="20"/>
                <w:szCs w:val="20"/>
                <w:lang w:val="hy-AM"/>
              </w:rPr>
              <w:softHyphen/>
              <w:t>տվական (ՍԷԿՏ) համակարգի օգտա</w:t>
            </w:r>
            <w:r w:rsidRPr="00423B76">
              <w:rPr>
                <w:rFonts w:ascii="GHEA Grapalat" w:hAnsi="GHEA Grapalat" w:cs="Sylfaen"/>
                <w:sz w:val="20"/>
                <w:szCs w:val="20"/>
                <w:lang w:val="hy-AM"/>
              </w:rPr>
              <w:softHyphen/>
              <w:t>գործմամբ զբոսա</w:t>
            </w:r>
            <w:r w:rsidRPr="00423B76">
              <w:rPr>
                <w:rFonts w:ascii="GHEA Grapalat" w:hAnsi="GHEA Grapalat" w:cs="Sylfaen"/>
                <w:sz w:val="20"/>
                <w:szCs w:val="20"/>
                <w:lang w:val="hy-AM"/>
              </w:rPr>
              <w:softHyphen/>
              <w:t>շրջության ոլորտի վիճակագ</w:t>
            </w:r>
            <w:r w:rsidRPr="00423B76">
              <w:rPr>
                <w:rFonts w:ascii="GHEA Grapalat" w:hAnsi="GHEA Grapalat" w:cs="Sylfaen"/>
                <w:sz w:val="20"/>
                <w:szCs w:val="20"/>
                <w:lang w:val="hy-AM"/>
              </w:rPr>
              <w:softHyphen/>
              <w:t>րութ</w:t>
            </w:r>
            <w:r w:rsidRPr="00423B76">
              <w:rPr>
                <w:rFonts w:ascii="GHEA Grapalat" w:hAnsi="GHEA Grapalat" w:cs="Sylfaen"/>
                <w:sz w:val="20"/>
                <w:szCs w:val="20"/>
                <w:lang w:val="hy-AM"/>
              </w:rPr>
              <w:softHyphen/>
              <w:t>յան բարելավման աշխա</w:t>
            </w:r>
            <w:r w:rsidRPr="00423B76">
              <w:rPr>
                <w:rFonts w:ascii="GHEA Grapalat" w:hAnsi="GHEA Grapalat" w:cs="Sylfaen"/>
                <w:sz w:val="20"/>
                <w:szCs w:val="20"/>
                <w:lang w:val="hy-AM"/>
              </w:rPr>
              <w:softHyphen/>
              <w:t>տանքների իրականացում</w:t>
            </w:r>
          </w:p>
          <w:p w:rsidR="0068680D" w:rsidRPr="00423B76" w:rsidRDefault="0068680D" w:rsidP="0068680D">
            <w:pPr>
              <w:pStyle w:val="NormalWeb"/>
              <w:widowControl w:val="0"/>
              <w:numPr>
                <w:ilvl w:val="0"/>
                <w:numId w:val="359"/>
              </w:numPr>
              <w:spacing w:before="0" w:beforeAutospacing="0" w:after="0" w:afterAutospacing="0" w:line="276" w:lineRule="auto"/>
              <w:ind w:right="115"/>
              <w:rPr>
                <w:rFonts w:ascii="GHEA Grapalat" w:hAnsi="GHEA Grapalat"/>
                <w:b/>
                <w:sz w:val="20"/>
                <w:szCs w:val="20"/>
                <w:lang w:val="hy-AM" w:eastAsia="en-GB"/>
              </w:rPr>
            </w:pPr>
            <w:r w:rsidRPr="00423B76">
              <w:rPr>
                <w:rFonts w:ascii="GHEA Grapalat" w:hAnsi="GHEA Grapalat"/>
                <w:b/>
                <w:sz w:val="20"/>
                <w:szCs w:val="20"/>
                <w:lang w:val="hy-AM" w:eastAsia="en-GB"/>
              </w:rPr>
              <w:t>Միջոցառման իրականացման անհրաժեշտությունը և նպատակը</w:t>
            </w:r>
            <w:r w:rsidRPr="00423B76">
              <w:rPr>
                <w:rFonts w:ascii="Calibri" w:hAnsi="Calibri" w:cs="Calibri"/>
                <w:b/>
                <w:sz w:val="20"/>
                <w:szCs w:val="20"/>
                <w:lang w:val="hy-AM" w:eastAsia="en-GB"/>
              </w:rPr>
              <w:t> </w:t>
            </w:r>
          </w:p>
          <w:p w:rsidR="0068680D" w:rsidRPr="00423B76" w:rsidRDefault="0068680D" w:rsidP="00F47DC4">
            <w:pPr>
              <w:spacing w:line="276" w:lineRule="auto"/>
              <w:ind w:right="9"/>
              <w:jc w:val="both"/>
              <w:rPr>
                <w:lang w:val="hy-AM"/>
              </w:rPr>
            </w:pPr>
            <w:r w:rsidRPr="00423B76">
              <w:rPr>
                <w:rFonts w:cs="Sylfaen"/>
                <w:color w:val="000000"/>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5.7 բաժնի դրույթներով: </w:t>
            </w:r>
            <w:r w:rsidRPr="00423B76">
              <w:rPr>
                <w:rFonts w:cs="Sylfaen"/>
                <w:lang w:val="hy-AM"/>
              </w:rPr>
              <w:t>Այն</w:t>
            </w:r>
            <w:r w:rsidRPr="00423B76">
              <w:rPr>
                <w:lang w:val="hy-AM"/>
              </w:rPr>
              <w:t xml:space="preserve"> բխում է նաև «Զբոսաշրջության և զբոսաշրջային գործունեության» մասին ՀՀ օրենքի և «Զբոսաշրջության զարգացման հայեցակարգի» դրույթներից, որոնց համաձայն զբոսաշրջության վիճակագրության բարելավումը և ստույգ վիճակագրական տվյալների հիման վրա բարձրորակ հետազոտությունների ու վերլուծությունների ապահովումը ոլորտում վարվող պետական քաղաքականության հիմնական խնդիրներից են:  </w:t>
            </w:r>
          </w:p>
          <w:p w:rsidR="0068680D" w:rsidRPr="00423B76" w:rsidRDefault="0068680D" w:rsidP="0068680D">
            <w:pPr>
              <w:pStyle w:val="ListParagraph"/>
              <w:widowControl w:val="0"/>
              <w:numPr>
                <w:ilvl w:val="1"/>
                <w:numId w:val="360"/>
              </w:numPr>
              <w:shd w:val="clear" w:color="auto" w:fill="FFFFFF"/>
              <w:spacing w:line="276" w:lineRule="auto"/>
              <w:contextualSpacing w:val="0"/>
              <w:rPr>
                <w:rFonts w:eastAsia="Calibri" w:cs="GHEA Grapalat"/>
                <w:b/>
                <w:lang w:val="hy-AM"/>
              </w:rPr>
            </w:pPr>
            <w:r w:rsidRPr="00423B76">
              <w:rPr>
                <w:rFonts w:eastAsia="Calibri" w:cs="GHEA Grapalat"/>
                <w:b/>
                <w:lang w:val="hy-AM"/>
              </w:rPr>
              <w:t>Կարգավորման հարաբերությունների ներկա վիճակը և առկա խնդիրները</w:t>
            </w:r>
          </w:p>
          <w:p w:rsidR="0068680D" w:rsidRPr="00423B76" w:rsidRDefault="0068680D" w:rsidP="00F47DC4">
            <w:pPr>
              <w:spacing w:line="276" w:lineRule="auto"/>
              <w:ind w:right="9"/>
              <w:jc w:val="both"/>
              <w:rPr>
                <w:lang w:val="hy-AM"/>
              </w:rPr>
            </w:pPr>
            <w:r w:rsidRPr="00423B76">
              <w:rPr>
                <w:rFonts w:cs="Sylfaen"/>
                <w:lang w:val="hy-AM"/>
              </w:rPr>
              <w:t>Ներկայ</w:t>
            </w:r>
            <w:r w:rsidRPr="00423B76">
              <w:rPr>
                <w:lang w:val="hy-AM"/>
              </w:rPr>
              <w:t>ումս ստացվող վիճակագրական տվյալները բավարար չեն զբոսաշրջության ճշգրիտ վիճակագրության վարման և ճշգրիտ վերլուծությունների իրականացման, թիրախային շուկաների բացահայտման և համագործակցության հստակ ռազմավարության մշակման համար։ Բացակայում են առավելագույն ճշգրտությամբ տվյալներ, մասնավորապես Հայաստան այցելած զբոսաշրջիկների քանակի վերաբերյալ` ըստ քաղաքացիության, սեռատարիքային խմբերի, սահմանային անցման կետերի, ինչպես նաև զբոսաշրջային այցելությունների թվում կրկնվող այցելությունների քանակի վերաբերյալ։</w:t>
            </w:r>
          </w:p>
          <w:p w:rsidR="0068680D" w:rsidRPr="00423B76" w:rsidRDefault="0068680D" w:rsidP="0068680D">
            <w:pPr>
              <w:widowControl w:val="0"/>
              <w:numPr>
                <w:ilvl w:val="1"/>
                <w:numId w:val="360"/>
              </w:numPr>
              <w:spacing w:line="276" w:lineRule="auto"/>
              <w:ind w:right="9"/>
              <w:rPr>
                <w:b/>
                <w:lang w:val="hy-AM"/>
              </w:rPr>
            </w:pPr>
            <w:r w:rsidRPr="00423B76">
              <w:rPr>
                <w:b/>
                <w:lang w:val="hy-AM"/>
              </w:rPr>
              <w:t>Առկա խնդիրների առաջարկվող լուծումները</w:t>
            </w:r>
            <w:r w:rsidRPr="00423B76">
              <w:rPr>
                <w:rFonts w:ascii="Calibri" w:hAnsi="Calibri" w:cs="Calibri"/>
                <w:b/>
                <w:lang w:val="hy-AM"/>
              </w:rPr>
              <w:t> </w:t>
            </w:r>
          </w:p>
          <w:p w:rsidR="0068680D" w:rsidRPr="00423B76" w:rsidRDefault="0068680D" w:rsidP="00F47DC4">
            <w:pPr>
              <w:spacing w:line="276" w:lineRule="auto"/>
              <w:ind w:right="9"/>
              <w:jc w:val="both"/>
              <w:rPr>
                <w:lang w:val="hy-AM"/>
              </w:rPr>
            </w:pPr>
            <w:r w:rsidRPr="00423B76">
              <w:rPr>
                <w:rFonts w:cs="Sylfaen"/>
                <w:lang w:val="hy-AM"/>
              </w:rPr>
              <w:t>Աշխատանքային</w:t>
            </w:r>
            <w:r w:rsidRPr="00423B76">
              <w:rPr>
                <w:lang w:val="hy-AM"/>
              </w:rPr>
              <w:t xml:space="preserve"> քննարկումների արդյունքում ձևավորվել է ընդհանուր ընկալում, որ ՍԷԿՏ համակարգի օգնությամբ հնարավոր է էապես բարելավել զբոսաշրջության վիճակագրությունը` ապահովելով առավելագույն ճշգրտությամբ տվյալներ Հայաստան այցելած զբոսաշրջիկների քանակի վերաբերյալ: Դա հնարավոր է իրականացնել ՍԷԿՏ համակարգի տվյալների հիման վրա համապատասխան համակարգչային ծրագրի կիրառմամբ` բոլոր սահմանային անցման կետերով Հայաստան ժամանած անձանց մասին տվյալներից առանձնացնելով այն անձանց քանակները, ովքեր ՄԱԿ Զբոսաշրջության Համաշխարհային Կազմակերպության (ՄԱԿ ԶՀԿ) մեթոդաբանությանը և «Զբոսաշրջության և զբոսաշրջային գործունեության մասին» ՀՀ օրենքին համապատասխան համարվում են զբոսաշրջիկներ: </w:t>
            </w:r>
          </w:p>
          <w:p w:rsidR="0068680D" w:rsidRPr="00423B76" w:rsidRDefault="0068680D" w:rsidP="00F47DC4">
            <w:pPr>
              <w:spacing w:line="276" w:lineRule="auto"/>
              <w:ind w:right="14"/>
              <w:jc w:val="both"/>
              <w:rPr>
                <w:lang w:val="hy-AM"/>
              </w:rPr>
            </w:pPr>
            <w:r w:rsidRPr="00423B76">
              <w:rPr>
                <w:lang w:val="hy-AM"/>
              </w:rPr>
              <w:t xml:space="preserve">«Հայաստանի Հանրապետությունում զբոսաշրջության վիճակագրության վարման մեթոդի կատարելագործմանն ուղղված միջոցառումներին հավանություն տալու մասին» ՀՀ կառավարության N14-24 արձանագրային որոշման իրականացումն ապահովելու նպատակով շահագրգիռ կողմերի հետ համագործակցությամբ հաստատվել է համապատասխան համակարգչային ծրագրի մշակման տեխնիկական առաջադրանքը։ </w:t>
            </w:r>
            <w:r w:rsidRPr="00423B76">
              <w:rPr>
                <w:rFonts w:cs="Sylfaen"/>
                <w:lang w:val="hy-AM"/>
              </w:rPr>
              <w:t>Տեխնիկական</w:t>
            </w:r>
            <w:r w:rsidRPr="00423B76">
              <w:rPr>
                <w:lang w:val="hy-AM"/>
              </w:rPr>
              <w:t xml:space="preserve"> առաջադրանքն ուղարկվել է համապատասխան կազմակերպությունների՝ գնային առաջարկ ստանալու նպատակով։ Գնային առաջարկների քննարկումից հետո նախատեսվում է հայտարարել տենդեր՝ տեխնիկական առաջադրանքի իրականացման համար համապատասխան կազմակերպություն ընտրելու նպատակով։</w:t>
            </w:r>
          </w:p>
          <w:p w:rsidR="0068680D" w:rsidRPr="00423B76" w:rsidRDefault="0068680D" w:rsidP="0068680D">
            <w:pPr>
              <w:pStyle w:val="NormalWeb"/>
              <w:widowControl w:val="0"/>
              <w:numPr>
                <w:ilvl w:val="0"/>
                <w:numId w:val="359"/>
              </w:numPr>
              <w:spacing w:before="0" w:beforeAutospacing="0" w:after="0" w:afterAutospacing="0" w:line="276" w:lineRule="auto"/>
              <w:ind w:right="9"/>
              <w:rPr>
                <w:rFonts w:ascii="GHEA Grapalat" w:hAnsi="GHEA Grapalat" w:cs="Arial"/>
                <w:color w:val="222222"/>
                <w:sz w:val="20"/>
                <w:szCs w:val="20"/>
                <w:lang w:val="hy-AM"/>
              </w:rPr>
            </w:pPr>
            <w:r w:rsidRPr="00423B76">
              <w:rPr>
                <w:rFonts w:ascii="GHEA Grapalat" w:hAnsi="GHEA Grapalat"/>
                <w:b/>
                <w:sz w:val="20"/>
                <w:szCs w:val="20"/>
                <w:lang w:val="hy-AM" w:eastAsia="en-GB"/>
              </w:rPr>
              <w:t>Միջոցառման իրականացումից ակնկալվող արդյունքը</w:t>
            </w:r>
          </w:p>
          <w:p w:rsidR="0068680D" w:rsidRPr="00423B76" w:rsidRDefault="0068680D" w:rsidP="00F47DC4">
            <w:pPr>
              <w:pStyle w:val="ListParagraph"/>
              <w:tabs>
                <w:tab w:val="left" w:pos="360"/>
              </w:tabs>
              <w:spacing w:line="276" w:lineRule="auto"/>
              <w:ind w:left="90" w:right="9"/>
              <w:contextualSpacing w:val="0"/>
              <w:jc w:val="both"/>
              <w:rPr>
                <w:lang w:val="hy-AM"/>
              </w:rPr>
            </w:pPr>
            <w:r w:rsidRPr="00423B76">
              <w:rPr>
                <w:lang w:val="hy-AM"/>
              </w:rPr>
              <w:t xml:space="preserve">ՍԷԿՏ համակարգի օգնությամբ էապես կբարելավվի զբոսաշրջության վիճակագրությունը` ապահովելով առավելագույն ճշգրտությամբ տվյալներ Հայաստան այցելած զբոսաշրջիկների քանակի վերաբերյալ, այդ թվում ըստ քաղաքացիության, սեռատարիքային խմբերի, սահմանային անցման կետերի, ինչպես նաև զբոսաշրջային այցելությունների թվում կրկնվող այցելությունների քանակի վերաբերյալ: </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20.3 </w:t>
            </w:r>
            <w:r w:rsidRPr="00423B76">
              <w:rPr>
                <w:rFonts w:ascii="GHEA Grapalat" w:hAnsi="GHEA Grapalat" w:cs="Sylfaen"/>
                <w:sz w:val="20"/>
                <w:szCs w:val="20"/>
                <w:lang w:val="hy-AM"/>
              </w:rPr>
              <w:t>Սատելիտա</w:t>
            </w:r>
            <w:r w:rsidRPr="00423B76">
              <w:rPr>
                <w:rFonts w:ascii="GHEA Grapalat" w:hAnsi="GHEA Grapalat" w:cs="Sylfaen"/>
                <w:sz w:val="20"/>
                <w:szCs w:val="20"/>
                <w:lang w:val="hy-AM"/>
              </w:rPr>
              <w:softHyphen/>
              <w:t>յին հաշիվ համակար</w:t>
            </w:r>
            <w:r w:rsidRPr="00423B76">
              <w:rPr>
                <w:rFonts w:ascii="GHEA Grapalat" w:hAnsi="GHEA Grapalat" w:cs="Sylfaen"/>
                <w:sz w:val="20"/>
                <w:szCs w:val="20"/>
                <w:lang w:val="hy-AM"/>
              </w:rPr>
              <w:softHyphen/>
              <w:t>գի ներդրման նպատակով Հայաստանի սահմանային անցման կետերում միջազգային այցելությունների վերաբերյալ ընտրանքային երրորդ հետազոտության իրականացում</w:t>
            </w:r>
          </w:p>
          <w:p w:rsidR="0068680D" w:rsidRPr="00423B76" w:rsidRDefault="0068680D" w:rsidP="0068680D">
            <w:pPr>
              <w:pStyle w:val="NormalWeb"/>
              <w:widowControl w:val="0"/>
              <w:numPr>
                <w:ilvl w:val="0"/>
                <w:numId w:val="358"/>
              </w:numPr>
              <w:spacing w:before="0" w:beforeAutospacing="0" w:after="0" w:afterAutospacing="0" w:line="276" w:lineRule="auto"/>
              <w:ind w:right="14"/>
              <w:rPr>
                <w:rFonts w:ascii="GHEA Grapalat" w:hAnsi="GHEA Grapalat"/>
                <w:b/>
                <w:sz w:val="20"/>
                <w:szCs w:val="20"/>
                <w:lang w:val="hy-AM" w:eastAsia="en-GB"/>
              </w:rPr>
            </w:pPr>
            <w:r w:rsidRPr="00423B76">
              <w:rPr>
                <w:rFonts w:ascii="GHEA Grapalat" w:hAnsi="GHEA Grapalat"/>
                <w:b/>
                <w:sz w:val="20"/>
                <w:szCs w:val="20"/>
                <w:lang w:val="hy-AM" w:eastAsia="en-GB"/>
              </w:rPr>
              <w:t>Միջոցառման իրականացման անհրաժեշտությունը և նպատակը</w:t>
            </w:r>
          </w:p>
          <w:p w:rsidR="0068680D" w:rsidRPr="00423B76" w:rsidRDefault="0068680D" w:rsidP="00F47DC4">
            <w:pPr>
              <w:spacing w:line="276" w:lineRule="auto"/>
              <w:ind w:right="14"/>
              <w:jc w:val="both"/>
              <w:rPr>
                <w:lang w:val="hy-AM"/>
              </w:rPr>
            </w:pPr>
            <w:r w:rsidRPr="00423B76">
              <w:rPr>
                <w:rFonts w:cs="Sylfaen"/>
                <w:color w:val="000000"/>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5.7 բաժնի դրույթներով: </w:t>
            </w:r>
            <w:r w:rsidRPr="00423B76">
              <w:rPr>
                <w:lang w:val="hy-AM"/>
              </w:rPr>
              <w:t xml:space="preserve">Այն բխում է նաև «Զբոսաշրջության և զբոսաշրջային գործունեության» մասին ՀՀ օրենքի և «Զբոսաշրջության զարգացման հայեցակարգի» դրույթներից, որոնց համաձայն զբոսաշրջության վիճակագրության բարելավումը և ստույգ վիճակագրական տվյալների հիման վրա բարձրորակ հետազոտությունների ու վերլուծությունների ապահովումը ոլորտում վարվող պետական քաղաքականության հիմնական խնդիրներից են: </w:t>
            </w:r>
          </w:p>
          <w:p w:rsidR="0068680D" w:rsidRPr="00423B76" w:rsidRDefault="0068680D" w:rsidP="0068680D">
            <w:pPr>
              <w:pStyle w:val="ListParagraph"/>
              <w:numPr>
                <w:ilvl w:val="1"/>
                <w:numId w:val="358"/>
              </w:numPr>
              <w:spacing w:line="276" w:lineRule="auto"/>
              <w:ind w:right="14"/>
              <w:contextualSpacing w:val="0"/>
              <w:jc w:val="both"/>
              <w:rPr>
                <w:lang w:val="hy-AM"/>
              </w:rPr>
            </w:pPr>
            <w:r w:rsidRPr="00423B76">
              <w:rPr>
                <w:rFonts w:cs="Sylfaen"/>
                <w:b/>
                <w:lang w:val="hy-AM" w:eastAsia="en-GB"/>
              </w:rPr>
              <w:t>Կարգավորման</w:t>
            </w:r>
            <w:r w:rsidRPr="00423B76">
              <w:rPr>
                <w:b/>
                <w:lang w:val="hy-AM" w:eastAsia="en-GB"/>
              </w:rPr>
              <w:t xml:space="preserve"> հարաբերությունների ներկա վիճակը և առկա խնդիրները</w:t>
            </w:r>
            <w:r w:rsidRPr="00423B76">
              <w:rPr>
                <w:lang w:val="hy-AM"/>
              </w:rPr>
              <w:t xml:space="preserve"> </w:t>
            </w:r>
          </w:p>
          <w:p w:rsidR="0068680D" w:rsidRPr="00423B76" w:rsidRDefault="0068680D" w:rsidP="00F47DC4">
            <w:pPr>
              <w:spacing w:line="276" w:lineRule="auto"/>
              <w:jc w:val="both"/>
              <w:rPr>
                <w:lang w:val="hy-AM"/>
              </w:rPr>
            </w:pPr>
            <w:r w:rsidRPr="00423B76">
              <w:rPr>
                <w:lang w:val="hy-AM"/>
              </w:rPr>
              <w:t>ՀՀ տնտեսական զարգացման և ներդրումների նախարարության, ՀՀ</w:t>
            </w:r>
            <w:r w:rsidRPr="00423B76">
              <w:rPr>
                <w:rFonts w:ascii="Calibri" w:hAnsi="Calibri" w:cs="Calibri"/>
                <w:lang w:val="hy-AM"/>
              </w:rPr>
              <w:t> </w:t>
            </w:r>
            <w:r w:rsidRPr="00423B76">
              <w:rPr>
                <w:lang w:val="hy-AM"/>
              </w:rPr>
              <w:t xml:space="preserve"> վիճակագրական կոմիտեի, Հայաստանում դոնոր կազմակերպությունների` Գերմանիայի Դաշնային ծառայության, ԱՄՆ միջազգային զարգացման գործակալության և Հայաստանի ազգային մրցունակության հիմնադրամի համագործակցությամբ ՄԱԿ Զբոսաշրջության համաշխարհային կազմակերպության</w:t>
            </w:r>
            <w:r w:rsidRPr="00423B76">
              <w:rPr>
                <w:rFonts w:ascii="Calibri" w:hAnsi="Calibri" w:cs="Calibri"/>
                <w:lang w:val="hy-AM"/>
              </w:rPr>
              <w:t> </w:t>
            </w:r>
            <w:r w:rsidRPr="00423B76">
              <w:rPr>
                <w:lang w:val="hy-AM"/>
              </w:rPr>
              <w:t>մեթոդաբանության համաձայն 2007-2008թթ. և</w:t>
            </w:r>
            <w:r w:rsidRPr="00423B76">
              <w:rPr>
                <w:rFonts w:ascii="Calibri" w:hAnsi="Calibri" w:cs="Calibri"/>
                <w:lang w:val="hy-AM"/>
              </w:rPr>
              <w:t> </w:t>
            </w:r>
            <w:r w:rsidRPr="00423B76">
              <w:rPr>
                <w:lang w:val="hy-AM"/>
              </w:rPr>
              <w:t>2013թ. ՀՀ սահմանային անցման կետերում իրականացվել են վիճակագրական հետազոտություններ: Վիճակագրական հետազոտությունների նպատակն էր իրականացնել հանրապետություն ժամանողների և հանրապետությունից մեկնողնեի շրջանում զբոսաշրջիկների</w:t>
            </w:r>
            <w:r w:rsidRPr="00423B76">
              <w:rPr>
                <w:rFonts w:ascii="Calibri" w:hAnsi="Calibri" w:cs="Calibri"/>
                <w:lang w:val="hy-AM"/>
              </w:rPr>
              <w:t> </w:t>
            </w:r>
            <w:r w:rsidRPr="00423B76">
              <w:rPr>
                <w:lang w:val="hy-AM"/>
              </w:rPr>
              <w:t xml:space="preserve">վերաբերյալ հնարավորինս հավաստի տվյալների հավաքագրումը: Հավաքագրված տվյալները բնորոշում են զբոսաշրջիկների աշխարհագրական բաշխվածությունը, ժամանման/մեկնման նպատակը, զբոսաշրջիկների սեռատարիքային կազմը, ճամփորդության կազմակերպման տարբերակները, կատարված ծախսերի կառուցվածքը և այլն: </w:t>
            </w:r>
          </w:p>
          <w:p w:rsidR="0068680D" w:rsidRPr="00423B76" w:rsidRDefault="0068680D" w:rsidP="00F47DC4">
            <w:pPr>
              <w:spacing w:line="276" w:lineRule="auto"/>
              <w:ind w:right="14"/>
              <w:jc w:val="both"/>
              <w:rPr>
                <w:rFonts w:cs="Sylfaen"/>
                <w:lang w:val="hy-AM"/>
              </w:rPr>
            </w:pPr>
            <w:r w:rsidRPr="00423B76">
              <w:rPr>
                <w:lang w:val="hy-AM"/>
              </w:rPr>
              <w:t>Ներկա դրությամբ ոլորտային վերլուծություններ իրականացնելու նպատակով օգտագործվում են 2013թ. իրականացված հետազոտության արդյունքում ստացված տվյալները, որոնք այլևս արդիական չեն և թույլ չեն տալիս բացահայտել Հայաստանի զբոսաշրջության ոլորտի</w:t>
            </w:r>
            <w:r w:rsidRPr="00423B76">
              <w:rPr>
                <w:rFonts w:ascii="Calibri" w:hAnsi="Calibri" w:cs="Calibri"/>
                <w:lang w:val="hy-AM"/>
              </w:rPr>
              <w:t> </w:t>
            </w:r>
            <w:r w:rsidRPr="00423B76">
              <w:rPr>
                <w:lang w:val="hy-AM"/>
              </w:rPr>
              <w:t>խնդիրները, վերանայել զբոսաշրջության ռազմավարությունը, մշակել զբոսաշրջային նոր փաթեթներ և բարելավել զբոսաշրջության ոլորտում իրականացվող ծառայությունների որակը:</w:t>
            </w:r>
          </w:p>
          <w:p w:rsidR="0068680D" w:rsidRPr="00423B76" w:rsidRDefault="0068680D" w:rsidP="00F47DC4">
            <w:pPr>
              <w:spacing w:line="276" w:lineRule="auto"/>
              <w:ind w:left="360" w:right="14"/>
              <w:jc w:val="both"/>
              <w:rPr>
                <w:rFonts w:cs="Calibri"/>
                <w:b/>
                <w:color w:val="222222"/>
                <w:lang w:val="hy-AM" w:eastAsia="en-GB"/>
              </w:rPr>
            </w:pPr>
            <w:r w:rsidRPr="00423B76">
              <w:rPr>
                <w:lang w:val="hy-AM"/>
              </w:rPr>
              <w:t xml:space="preserve">      </w:t>
            </w:r>
            <w:r w:rsidRPr="00423B76">
              <w:rPr>
                <w:b/>
                <w:lang w:val="hy-AM" w:eastAsia="en-GB"/>
              </w:rPr>
              <w:t>1</w:t>
            </w:r>
            <w:r w:rsidRPr="00423B76">
              <w:rPr>
                <w:rFonts w:eastAsia="MS Mincho" w:cs="MS Mincho"/>
                <w:b/>
                <w:lang w:val="hy-AM" w:eastAsia="en-GB"/>
              </w:rPr>
              <w:t xml:space="preserve">.2. </w:t>
            </w:r>
            <w:r w:rsidRPr="00423B76">
              <w:rPr>
                <w:b/>
                <w:lang w:val="hy-AM" w:eastAsia="en-GB"/>
              </w:rPr>
              <w:t>Առկա խնդիրների առաջարկվող լուծումները</w:t>
            </w:r>
            <w:r w:rsidRPr="00423B76">
              <w:rPr>
                <w:rFonts w:cs="Courier New"/>
                <w:b/>
                <w:bCs/>
                <w:color w:val="222222"/>
                <w:lang w:val="hy-AM" w:eastAsia="en-GB"/>
              </w:rPr>
              <w:t xml:space="preserve"> </w:t>
            </w:r>
          </w:p>
          <w:p w:rsidR="0068680D" w:rsidRPr="00423B76" w:rsidRDefault="0068680D" w:rsidP="00F47DC4">
            <w:pPr>
              <w:spacing w:line="276" w:lineRule="auto"/>
              <w:ind w:right="14"/>
              <w:jc w:val="both"/>
              <w:rPr>
                <w:rFonts w:cs="Sylfaen"/>
                <w:lang w:val="hy-AM"/>
              </w:rPr>
            </w:pPr>
            <w:r w:rsidRPr="00423B76">
              <w:rPr>
                <w:rFonts w:cs="Sylfaen"/>
                <w:lang w:val="hy-AM"/>
              </w:rPr>
              <w:t>Հայաստանի զբոսաշրջային վիճակագրության կայուն հիմքերի ապահովման, զբոսաշրջության ողջ բնագավառն արտացոլող, ներառյալ՝ տնտեսական ցուցանիշների, զբոսաշրջիկների քաղաքացիության աշխարհագրական բաշխվածության, սեռի և տարիքի, այցելության նպատակի, տևողության և կրկնվողականության, զբոսաշրջային վարքագծի և զբոսաշրջիկների նախասիրությունների</w:t>
            </w:r>
            <w:r w:rsidRPr="00423B76">
              <w:rPr>
                <w:rFonts w:ascii="Calibri" w:hAnsi="Calibri" w:cs="Calibri"/>
                <w:lang w:val="hy-AM"/>
              </w:rPr>
              <w:t> </w:t>
            </w:r>
            <w:r w:rsidRPr="00423B76">
              <w:rPr>
                <w:rFonts w:cs="Sylfaen"/>
                <w:lang w:val="hy-AM"/>
              </w:rPr>
              <w:t>վերաբերյալ ամբողջական վիճակագրական տվյալների հավաքումը և մշակումը հնարավոր կլինի իրականացնել Հայաստանի սահմանային անցման կետերում զբոսաշրջային այցելությունների վիճակագրական հետազոտություն իրականացնելու և արդյունքում ՄԱԿ Զբոսաշրջության համաշխարհային կազմակերպության (ՄԱԿ ԶՀԿ) կողմից մշակված մեթոդաբանությանը համապատասխան զբոսաշրջության սատելիտային հաշիվ ներդնելու միջոցով։</w:t>
            </w:r>
          </w:p>
          <w:p w:rsidR="0068680D" w:rsidRPr="00423B76" w:rsidRDefault="0068680D" w:rsidP="00F47DC4">
            <w:pPr>
              <w:spacing w:line="276" w:lineRule="auto"/>
              <w:ind w:right="14"/>
              <w:rPr>
                <w:b/>
                <w:lang w:val="hy-AM"/>
              </w:rPr>
            </w:pPr>
            <w:r w:rsidRPr="00423B76">
              <w:rPr>
                <w:b/>
                <w:lang w:val="hy-AM"/>
              </w:rPr>
              <w:t>2. Միջոցառման իրականացումից ակնկալվող արդյունքը</w:t>
            </w:r>
          </w:p>
          <w:p w:rsidR="0068680D" w:rsidRPr="00423B76" w:rsidRDefault="0068680D" w:rsidP="00F47DC4">
            <w:pPr>
              <w:tabs>
                <w:tab w:val="left" w:pos="360"/>
              </w:tabs>
              <w:spacing w:line="276" w:lineRule="auto"/>
              <w:ind w:right="14"/>
              <w:jc w:val="both"/>
              <w:rPr>
                <w:rFonts w:cs="Sylfaen"/>
                <w:lang w:val="hy-AM"/>
              </w:rPr>
            </w:pPr>
            <w:r w:rsidRPr="00423B76">
              <w:rPr>
                <w:rFonts w:cs="Sylfaen"/>
                <w:lang w:val="hy-AM"/>
              </w:rPr>
              <w:t>Հայաստանի</w:t>
            </w:r>
            <w:r w:rsidRPr="00423B76">
              <w:rPr>
                <w:lang w:val="hy-AM"/>
              </w:rPr>
              <w:t xml:space="preserve"> </w:t>
            </w:r>
            <w:r w:rsidRPr="00423B76">
              <w:rPr>
                <w:rFonts w:cs="Sylfaen"/>
                <w:lang w:val="hy-AM"/>
              </w:rPr>
              <w:t>սահմանային</w:t>
            </w:r>
            <w:r w:rsidRPr="00423B76">
              <w:rPr>
                <w:lang w:val="hy-AM"/>
              </w:rPr>
              <w:t xml:space="preserve"> </w:t>
            </w:r>
            <w:r w:rsidRPr="00423B76">
              <w:rPr>
                <w:rFonts w:cs="Sylfaen"/>
                <w:lang w:val="hy-AM"/>
              </w:rPr>
              <w:t>անցման</w:t>
            </w:r>
            <w:r w:rsidRPr="00423B76">
              <w:rPr>
                <w:lang w:val="hy-AM"/>
              </w:rPr>
              <w:t xml:space="preserve"> </w:t>
            </w:r>
            <w:r w:rsidRPr="00423B76">
              <w:rPr>
                <w:rFonts w:cs="Sylfaen"/>
                <w:lang w:val="hy-AM"/>
              </w:rPr>
              <w:t>կետերում</w:t>
            </w:r>
            <w:r w:rsidRPr="00423B76">
              <w:rPr>
                <w:lang w:val="hy-AM"/>
              </w:rPr>
              <w:t xml:space="preserve"> </w:t>
            </w:r>
            <w:r w:rsidRPr="00423B76">
              <w:rPr>
                <w:rFonts w:cs="Sylfaen"/>
                <w:lang w:val="hy-AM"/>
              </w:rPr>
              <w:t xml:space="preserve">զբոսաշրջային այցելությունների վերաբերյալ </w:t>
            </w:r>
            <w:r w:rsidRPr="00423B76">
              <w:rPr>
                <w:lang w:val="hy-AM"/>
              </w:rPr>
              <w:t xml:space="preserve">ընտրանքային երրորդ </w:t>
            </w:r>
            <w:r w:rsidRPr="00423B76">
              <w:rPr>
                <w:rFonts w:cs="Sylfaen"/>
                <w:lang w:val="hy-AM"/>
              </w:rPr>
              <w:t>հետազոտության իրականացումը կնպաստի առաջիկայում Հայաստանում Սատելիտային հաշիվ համակարգի ներդրմանը, ինչն ուղղված կլինի երկրի զբոսաշրջային արդյունաբերության ողջ բնագավառն արտացոլող ամբողջական վիճակագրական տվյալների հավաքագրմանն ու մշակմանը, ճշգրիտ հետազոտությունների և վերլուծությունների իրականացմանը։</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20.4 </w:t>
            </w:r>
            <w:r w:rsidRPr="00423B76">
              <w:rPr>
                <w:rFonts w:ascii="GHEA Grapalat" w:hAnsi="GHEA Grapalat" w:cs="Sylfaen"/>
                <w:sz w:val="20"/>
                <w:szCs w:val="20"/>
                <w:lang w:val="hy-AM"/>
              </w:rPr>
              <w:t>Պետության կողմից սոցիալական փաթեթի շրջանակներում իրականացվող ծառայությունների համակարգման էլեկտրոնային համակարգի ներդնում</w:t>
            </w:r>
          </w:p>
          <w:p w:rsidR="0068680D" w:rsidRPr="00423B76" w:rsidRDefault="0068680D" w:rsidP="00F47DC4">
            <w:pPr>
              <w:spacing w:line="276" w:lineRule="auto"/>
              <w:ind w:left="360"/>
              <w:jc w:val="both"/>
              <w:rPr>
                <w:rFonts w:cs="Sylfaen"/>
                <w:b/>
                <w:lang w:val="hy-AM"/>
              </w:rPr>
            </w:pPr>
            <w:r w:rsidRPr="00423B76">
              <w:rPr>
                <w:rFonts w:cs="Sylfaen"/>
                <w:b/>
                <w:lang w:val="hy-AM"/>
              </w:rPr>
              <w:t>1.Միջոցառման իրականացման անհրաժեշտությունը և նպատակը</w:t>
            </w:r>
          </w:p>
          <w:p w:rsidR="0068680D" w:rsidRPr="00423B76" w:rsidRDefault="0068680D" w:rsidP="00F47DC4">
            <w:pPr>
              <w:spacing w:line="276" w:lineRule="auto"/>
              <w:jc w:val="both"/>
              <w:rPr>
                <w:rFonts w:cs="Sylfaen"/>
                <w:lang w:val="hy-AM"/>
              </w:rPr>
            </w:pPr>
            <w:r w:rsidRPr="00423B76">
              <w:rPr>
                <w:rFonts w:cs="Sylfaen"/>
                <w:color w:val="000000"/>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5.7 բաժնի դրույթներով: </w:t>
            </w:r>
            <w:r w:rsidRPr="00423B76">
              <w:rPr>
                <w:rFonts w:cs="Sylfaen"/>
                <w:lang w:val="hy-AM"/>
              </w:rPr>
              <w:t xml:space="preserve">Սոցիալական փաթեթի հանգստի ապահովման ծառայության շրջանակներում զբոսաշրջային փաթեթների և առանձին հյուրանոցային ծառայությունների ամրագրման և հաշվետվական էլեկտրոնային համակարգի ներդրման նպատակն է սոցիալական փաթեթի հանգստի ապահովման ծառայության բաղադրիչը դարձնել առավել թափանցիկ և վերահսկելի` չխոչընդոտելով մասնավոր հատվածի բնականոն գործունեությանը, նվազագույնի հասցնել հնարավոր չարաշահումների ռիսկը: Համակարգի ներդրումը նպատակ ունի պարզեցնել սոցիալական փաթեթի հանգստի ապահովման ծառայության մեջ ընդգրկված զբոսաշրջային օպերատորների, ծառայություններ մատուցող այլ անձանց (այդ թվում` հյուրանոցային ծառայություններ մատուցող անձանց) գործառույթները` ծառայությունների մատուցումը առավել մատչելի դարձնելով շահառուների համար: </w:t>
            </w:r>
          </w:p>
          <w:p w:rsidR="0068680D" w:rsidRPr="00423B76" w:rsidRDefault="0068680D" w:rsidP="0068680D">
            <w:pPr>
              <w:pStyle w:val="ListParagraph"/>
              <w:numPr>
                <w:ilvl w:val="1"/>
                <w:numId w:val="394"/>
              </w:numPr>
              <w:spacing w:line="276" w:lineRule="auto"/>
              <w:jc w:val="both"/>
              <w:rPr>
                <w:rFonts w:cs="Sylfaen"/>
                <w:b/>
                <w:lang w:val="hy-AM"/>
              </w:rPr>
            </w:pPr>
            <w:r w:rsidRPr="00423B76">
              <w:rPr>
                <w:rFonts w:cs="Sylfaen"/>
                <w:b/>
                <w:lang w:val="hy-AM"/>
              </w:rPr>
              <w:t>Կարգավորման</w:t>
            </w:r>
            <w:r w:rsidRPr="00423B76">
              <w:rPr>
                <w:b/>
                <w:lang w:val="hy-AM"/>
              </w:rPr>
              <w:t xml:space="preserve"> </w:t>
            </w:r>
            <w:r w:rsidRPr="00423B76">
              <w:rPr>
                <w:rFonts w:cs="Sylfaen"/>
                <w:b/>
                <w:lang w:val="hy-AM"/>
              </w:rPr>
              <w:t>հարաբերությունների</w:t>
            </w:r>
            <w:r w:rsidRPr="00423B76">
              <w:rPr>
                <w:b/>
                <w:lang w:val="hy-AM"/>
              </w:rPr>
              <w:t xml:space="preserve"> </w:t>
            </w:r>
            <w:r w:rsidRPr="00423B76">
              <w:rPr>
                <w:rFonts w:cs="Sylfaen"/>
                <w:b/>
                <w:lang w:val="hy-AM"/>
              </w:rPr>
              <w:t>ներկա</w:t>
            </w:r>
            <w:r w:rsidRPr="00423B76">
              <w:rPr>
                <w:b/>
                <w:lang w:val="hy-AM"/>
              </w:rPr>
              <w:t xml:space="preserve"> </w:t>
            </w:r>
            <w:r w:rsidRPr="00423B76">
              <w:rPr>
                <w:rFonts w:cs="Sylfaen"/>
                <w:b/>
                <w:lang w:val="hy-AM"/>
              </w:rPr>
              <w:t>վիճակը</w:t>
            </w:r>
            <w:r w:rsidRPr="00423B76">
              <w:rPr>
                <w:b/>
                <w:lang w:val="hy-AM"/>
              </w:rPr>
              <w:t xml:space="preserve"> </w:t>
            </w:r>
            <w:r w:rsidRPr="00423B76">
              <w:rPr>
                <w:rFonts w:cs="Sylfaen"/>
                <w:b/>
                <w:lang w:val="hy-AM"/>
              </w:rPr>
              <w:t>և</w:t>
            </w:r>
            <w:r w:rsidRPr="00423B76">
              <w:rPr>
                <w:b/>
                <w:lang w:val="hy-AM"/>
              </w:rPr>
              <w:t xml:space="preserve"> </w:t>
            </w:r>
            <w:r w:rsidRPr="00423B76">
              <w:rPr>
                <w:rFonts w:cs="Sylfaen"/>
                <w:b/>
                <w:lang w:val="hy-AM"/>
              </w:rPr>
              <w:t>առկա</w:t>
            </w:r>
            <w:r w:rsidRPr="00423B76">
              <w:rPr>
                <w:b/>
                <w:lang w:val="hy-AM"/>
              </w:rPr>
              <w:t xml:space="preserve"> </w:t>
            </w:r>
            <w:r w:rsidRPr="00423B76">
              <w:rPr>
                <w:rFonts w:cs="Sylfaen"/>
                <w:b/>
                <w:lang w:val="hy-AM"/>
              </w:rPr>
              <w:t>խնդիրները</w:t>
            </w:r>
          </w:p>
          <w:p w:rsidR="0068680D" w:rsidRPr="00423B76" w:rsidRDefault="0068680D" w:rsidP="00F47DC4">
            <w:pPr>
              <w:spacing w:line="276" w:lineRule="auto"/>
              <w:jc w:val="both"/>
              <w:rPr>
                <w:rFonts w:cs="Sylfaen"/>
                <w:lang w:val="hy-AM"/>
              </w:rPr>
            </w:pPr>
            <w:r w:rsidRPr="00423B76">
              <w:rPr>
                <w:rFonts w:cs="Sylfaen"/>
                <w:lang w:val="hy-AM"/>
              </w:rPr>
              <w:t>Սոցիալական փաթեթի հանգստի ապահովման ծառայության շրջանակներում զբոսաշրջային փաթեթները և առանձին հյուրանոցային ծառայությունները ներկայումս իրացվում են ավելի քան 70 զբոսաշրջային օպերատորների կողմից: Հետզհետե ավելի է բարդանում զբոսաշրջային օպերատորների նկատմամբ վերահսկողության իրականացումը, ինչպես նաև դժվարանում է զբոսաշրջային օպերատորների կողմից հնարավոր չարաշահումները բացահայտումը: Առկա են նաև բազմաթիվ խնդիրներ հյուրանոցային ծառայություն մատուցող անձ և զբոսաշրջային օպերատոր համագործակցության շրջանակներում (կուտակված պարտքեր, հյուրանոցային ծառայություն մատուցող անձանց կողմից հայտարարված մանրածախ գնից առավել ցածր գնով վերջնական սպառողին ծառայությունների մատուցում և այլն):</w:t>
            </w:r>
          </w:p>
          <w:p w:rsidR="0068680D" w:rsidRPr="00423B76" w:rsidRDefault="0068680D" w:rsidP="0068680D">
            <w:pPr>
              <w:pStyle w:val="ListParagraph"/>
              <w:numPr>
                <w:ilvl w:val="1"/>
                <w:numId w:val="394"/>
              </w:numPr>
              <w:spacing w:line="276" w:lineRule="auto"/>
              <w:jc w:val="both"/>
              <w:rPr>
                <w:rFonts w:cs="Sylfaen"/>
                <w:b/>
                <w:lang w:val="hy-AM"/>
              </w:rPr>
            </w:pPr>
            <w:r w:rsidRPr="00423B76">
              <w:rPr>
                <w:rFonts w:cs="Sylfaen"/>
                <w:b/>
                <w:lang w:val="hy-AM"/>
              </w:rPr>
              <w:t>Առկա խնդիրների առաջարկվող լուծումները</w:t>
            </w:r>
          </w:p>
          <w:p w:rsidR="0068680D" w:rsidRPr="00423B76" w:rsidRDefault="0068680D" w:rsidP="00F47DC4">
            <w:pPr>
              <w:spacing w:line="276" w:lineRule="auto"/>
              <w:jc w:val="both"/>
              <w:rPr>
                <w:rFonts w:cs="Sylfaen"/>
                <w:lang w:val="hy-AM"/>
              </w:rPr>
            </w:pPr>
            <w:r w:rsidRPr="00423B76">
              <w:rPr>
                <w:rFonts w:cs="Sylfaen"/>
                <w:lang w:val="hy-AM"/>
              </w:rPr>
              <w:t xml:space="preserve">Առկա խնդիրների լուծման նպատակով առաջարկվում է ներդնել Սոցիալական փաթեթի հանգստի ապահովման ծառայության շրջանակներում զբոսաշրջային փաթեթների և առանձին հյուրանոցային ծառայությունների ամրագրման և հաշվետվական էլեկտրոնային համակարգ: </w:t>
            </w:r>
          </w:p>
          <w:p w:rsidR="0068680D" w:rsidRPr="00423B76" w:rsidRDefault="0068680D" w:rsidP="0068680D">
            <w:pPr>
              <w:pStyle w:val="ListParagraph"/>
              <w:numPr>
                <w:ilvl w:val="0"/>
                <w:numId w:val="394"/>
              </w:numPr>
              <w:spacing w:line="276" w:lineRule="auto"/>
              <w:jc w:val="both"/>
              <w:rPr>
                <w:rFonts w:cs="Sylfaen"/>
                <w:b/>
                <w:lang w:val="hy-AM"/>
              </w:rPr>
            </w:pPr>
            <w:r w:rsidRPr="00423B76">
              <w:rPr>
                <w:rFonts w:cs="Sylfaen"/>
                <w:b/>
                <w:lang w:val="hy-AM"/>
              </w:rPr>
              <w:t>Միջոցառման</w:t>
            </w:r>
            <w:r w:rsidRPr="00423B76">
              <w:rPr>
                <w:b/>
                <w:lang w:val="hy-AM"/>
              </w:rPr>
              <w:t xml:space="preserve"> </w:t>
            </w:r>
            <w:r w:rsidRPr="00423B76">
              <w:rPr>
                <w:rFonts w:cs="Sylfaen"/>
                <w:b/>
                <w:lang w:val="hy-AM"/>
              </w:rPr>
              <w:t>իրականացումից</w:t>
            </w:r>
            <w:r w:rsidRPr="00423B76">
              <w:rPr>
                <w:b/>
                <w:lang w:val="hy-AM"/>
              </w:rPr>
              <w:t xml:space="preserve"> </w:t>
            </w:r>
            <w:r w:rsidRPr="00423B76">
              <w:rPr>
                <w:rFonts w:cs="Sylfaen"/>
                <w:b/>
                <w:lang w:val="hy-AM"/>
              </w:rPr>
              <w:t>ակնկալվող</w:t>
            </w:r>
            <w:r w:rsidRPr="00423B76">
              <w:rPr>
                <w:b/>
                <w:lang w:val="hy-AM"/>
              </w:rPr>
              <w:t xml:space="preserve"> </w:t>
            </w:r>
            <w:r w:rsidRPr="00423B76">
              <w:rPr>
                <w:rFonts w:cs="Sylfaen"/>
                <w:b/>
                <w:lang w:val="hy-AM"/>
              </w:rPr>
              <w:t>արդյունքը</w:t>
            </w:r>
          </w:p>
          <w:p w:rsidR="0068680D" w:rsidRPr="00423B76" w:rsidRDefault="0068680D" w:rsidP="00F47DC4">
            <w:pPr>
              <w:spacing w:line="276" w:lineRule="auto"/>
              <w:jc w:val="both"/>
              <w:rPr>
                <w:rFonts w:cs="Sylfaen"/>
                <w:lang w:val="hy-AM"/>
              </w:rPr>
            </w:pPr>
            <w:r w:rsidRPr="00423B76">
              <w:rPr>
                <w:rFonts w:cs="Sylfaen"/>
                <w:lang w:val="hy-AM"/>
              </w:rPr>
              <w:t xml:space="preserve">Սոցիալական փաթեթի հանգստի ապահովման ծառայության շրջանակներում զբոսաշրջային փաթեթների և առանձին հյուրանոցային ծառայությունների ամրագրման և հաշվետվական էլեկտրոնային համակարգի ներդրմամբ հնարավորություն կստեղծվի կանխել հնարավոր չարաշահումները: Համակարգը հնարավորություն կտա ցանկացած պահին ունենալ վերլուծական տեղեկատվություն տվյալ պահին կնքված, իրացված, վաղաժամկետ դադարած պայմանագրերի, շահառուների քանակի, նախընտրելի ուղղությունների և այլնի վերաբերյալ:   </w:t>
            </w:r>
          </w:p>
          <w:p w:rsidR="0068680D" w:rsidRPr="00423B76" w:rsidRDefault="0068680D" w:rsidP="00F47DC4">
            <w:pPr>
              <w:spacing w:line="276" w:lineRule="auto"/>
              <w:jc w:val="both"/>
              <w:rPr>
                <w:lang w:val="hy-AM"/>
              </w:rPr>
            </w:pPr>
            <w:r w:rsidRPr="00423B76">
              <w:rPr>
                <w:lang w:val="hy-AM"/>
              </w:rPr>
              <w:t>Այս դեպքում կարիք չի լինի նաև զբոսաշրջային օպերատորների կողմից եռամսյակային հաշվետվությունների ներկայացման, քանի որ համակարգում առկա կլինի ամենօրյա տեղեկատվություն: Համակարգի միջոցով հնարավորություն կստեղծվի նաև կանխել հյուրանոցային ծառայություն մատուցող անձանց և զբոսաշրջային օպերատորների համագործակցության ընթացքում առաջացած խնդիրները:</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20.5 </w:t>
            </w:r>
            <w:r w:rsidRPr="00423B76">
              <w:rPr>
                <w:rFonts w:ascii="GHEA Grapalat" w:hAnsi="GHEA Grapalat" w:cs="Sylfaen"/>
                <w:sz w:val="20"/>
                <w:szCs w:val="20"/>
                <w:lang w:val="hy-AM"/>
              </w:rPr>
              <w:t>Հայաստանի զբոսաշրջութ</w:t>
            </w:r>
            <w:r w:rsidRPr="00423B76">
              <w:rPr>
                <w:rFonts w:ascii="GHEA Grapalat" w:hAnsi="GHEA Grapalat" w:cs="Sylfaen"/>
                <w:sz w:val="20"/>
                <w:szCs w:val="20"/>
                <w:lang w:val="hy-AM"/>
              </w:rPr>
              <w:softHyphen/>
              <w:t>յան ռազմավարությանը հավանութ</w:t>
            </w:r>
            <w:r w:rsidRPr="00423B76">
              <w:rPr>
                <w:rFonts w:ascii="GHEA Grapalat" w:hAnsi="GHEA Grapalat" w:cs="Sylfaen"/>
                <w:sz w:val="20"/>
                <w:szCs w:val="20"/>
                <w:lang w:val="hy-AM"/>
              </w:rPr>
              <w:softHyphen/>
              <w:t>յուն տալու մասին ՀՀ կառավա</w:t>
            </w:r>
            <w:r w:rsidRPr="00423B76">
              <w:rPr>
                <w:rFonts w:ascii="GHEA Grapalat" w:hAnsi="GHEA Grapalat" w:cs="Sylfaen"/>
                <w:sz w:val="20"/>
                <w:szCs w:val="20"/>
                <w:lang w:val="hy-AM"/>
              </w:rPr>
              <w:softHyphen/>
              <w:t>րութ</w:t>
            </w:r>
            <w:r w:rsidRPr="00423B76">
              <w:rPr>
                <w:rFonts w:ascii="GHEA Grapalat" w:hAnsi="GHEA Grapalat" w:cs="Sylfaen"/>
                <w:sz w:val="20"/>
                <w:szCs w:val="20"/>
                <w:lang w:val="hy-AM"/>
              </w:rPr>
              <w:softHyphen/>
              <w:t>յան որոշման նախագծի մշակում և ներկայացում ՀՀ վարչապետի աշխատակազմ</w:t>
            </w:r>
          </w:p>
          <w:p w:rsidR="0068680D" w:rsidRPr="00423B76" w:rsidRDefault="0068680D" w:rsidP="0068680D">
            <w:pPr>
              <w:pStyle w:val="ListParagraph"/>
              <w:widowControl w:val="0"/>
              <w:numPr>
                <w:ilvl w:val="0"/>
                <w:numId w:val="398"/>
              </w:numPr>
              <w:spacing w:line="276" w:lineRule="auto"/>
              <w:contextualSpacing w:val="0"/>
              <w:rPr>
                <w:b/>
                <w:lang w:val="hy-AM" w:eastAsia="en-GB"/>
              </w:rPr>
            </w:pPr>
            <w:r w:rsidRPr="00423B76">
              <w:rPr>
                <w:b/>
                <w:lang w:val="hy-AM" w:eastAsia="en-GB"/>
              </w:rPr>
              <w:t>Միջոցառման իրականացման անհրաժեշտությունը և նպատակը</w:t>
            </w:r>
          </w:p>
          <w:p w:rsidR="0068680D" w:rsidRPr="00423B76" w:rsidRDefault="0068680D" w:rsidP="00F47DC4">
            <w:pPr>
              <w:widowControl w:val="0"/>
              <w:spacing w:line="276" w:lineRule="auto"/>
              <w:jc w:val="both"/>
              <w:rPr>
                <w:lang w:val="hy-AM"/>
              </w:rPr>
            </w:pPr>
            <w:r w:rsidRPr="00423B76">
              <w:rPr>
                <w:rFonts w:cs="Sylfaen"/>
                <w:color w:val="000000"/>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5.7 բաժնի դրույթներով:</w:t>
            </w:r>
            <w:r w:rsidRPr="00423B76">
              <w:rPr>
                <w:rFonts w:cs="Sylfaen"/>
                <w:lang w:val="hy-AM"/>
              </w:rPr>
              <w:t xml:space="preserve"> </w:t>
            </w:r>
            <w:r w:rsidRPr="00423B76">
              <w:rPr>
                <w:lang w:val="hy-AM"/>
              </w:rPr>
              <w:t>Հայաստանի զբոսաշրջության ռազմավարության մշակման նպատակն է ստեղծել զբոսաշրջության ոլորտի հիմնարար փաստաթուղթ՝ ուղղված ոլորտի պետական քաղաքականության արդյունավետ իրականացմանը։ Ռազմավարության   անհրաժեշտու-թյունը բխում է ուղղորդված միջոցառումների համակարգի առկայությունից, որոնց լուծմանը ուղղված կլինի ոլորտի քաղաքականությունը։</w:t>
            </w:r>
          </w:p>
          <w:p w:rsidR="0068680D" w:rsidRPr="00423B76" w:rsidRDefault="0068680D" w:rsidP="0068680D">
            <w:pPr>
              <w:pStyle w:val="ListParagraph"/>
              <w:numPr>
                <w:ilvl w:val="1"/>
                <w:numId w:val="398"/>
              </w:numPr>
              <w:spacing w:line="276" w:lineRule="auto"/>
              <w:ind w:right="-288"/>
              <w:jc w:val="both"/>
              <w:rPr>
                <w:rFonts w:cs="Sylfaen"/>
                <w:b/>
                <w:lang w:val="hy-AM"/>
              </w:rPr>
            </w:pPr>
            <w:r w:rsidRPr="00423B76">
              <w:rPr>
                <w:rFonts w:cs="Sylfaen"/>
                <w:b/>
                <w:lang w:val="hy-AM" w:eastAsia="en-GB"/>
              </w:rPr>
              <w:t>Կարգավորման</w:t>
            </w:r>
            <w:r w:rsidRPr="00423B76">
              <w:rPr>
                <w:b/>
                <w:lang w:val="hy-AM" w:eastAsia="en-GB"/>
              </w:rPr>
              <w:t xml:space="preserve"> հարաբերությունների ներկա վիճակը և առկա խնդիրները</w:t>
            </w:r>
            <w:r w:rsidRPr="00423B76">
              <w:rPr>
                <w:rFonts w:cs="Sylfaen"/>
                <w:b/>
                <w:lang w:val="hy-AM"/>
              </w:rPr>
              <w:t xml:space="preserve"> </w:t>
            </w:r>
          </w:p>
          <w:p w:rsidR="0068680D" w:rsidRPr="00423B76" w:rsidRDefault="0068680D" w:rsidP="00F47DC4">
            <w:pPr>
              <w:spacing w:line="276" w:lineRule="auto"/>
              <w:ind w:right="17"/>
              <w:jc w:val="both"/>
              <w:rPr>
                <w:rFonts w:cs="Sylfaen"/>
                <w:lang w:val="hy-AM"/>
              </w:rPr>
            </w:pPr>
            <w:r w:rsidRPr="00423B76">
              <w:rPr>
                <w:rFonts w:cs="Sylfaen"/>
                <w:lang w:val="hy-AM"/>
              </w:rPr>
              <w:t xml:space="preserve">Ներկա փուլում գործող փաստաթուղթն է Հայաստանի զարգացման հայեցակարգը հաստատված 2008 թվականին, որը արդեն իսկ արդիկան չէ։ Փաստաթղթում ներառված միջոցառումները հստակեցման և լրամշակման կարիք ունեն։ </w:t>
            </w:r>
          </w:p>
          <w:p w:rsidR="0068680D" w:rsidRPr="00423B76" w:rsidRDefault="0068680D" w:rsidP="00F47DC4">
            <w:pPr>
              <w:spacing w:line="276" w:lineRule="auto"/>
              <w:jc w:val="both"/>
              <w:rPr>
                <w:rFonts w:cs="Sylfaen"/>
                <w:lang w:val="hy-AM"/>
              </w:rPr>
            </w:pPr>
            <w:r w:rsidRPr="00423B76">
              <w:rPr>
                <w:lang w:val="hy-AM"/>
              </w:rPr>
              <w:t xml:space="preserve">Զբոսաշրջության բնագավառին բնորոշ դինամիկ զարգացման և նոր մարտահրավերների պայմաններում Հայաստանի և </w:t>
            </w:r>
            <w:r w:rsidRPr="00423B76">
              <w:rPr>
                <w:rFonts w:cs="Sylfaen"/>
                <w:lang w:val="hy-AM"/>
              </w:rPr>
              <w:t xml:space="preserve">հայկական զբոսաշրջային արդյունքի` </w:t>
            </w:r>
            <w:r w:rsidRPr="00423B76">
              <w:rPr>
                <w:lang w:val="hy-AM"/>
              </w:rPr>
              <w:t xml:space="preserve">համաշխարհային զբոսաշրջային շուկայում </w:t>
            </w:r>
            <w:r w:rsidRPr="00423B76">
              <w:rPr>
                <w:rFonts w:cs="Sylfaen"/>
                <w:lang w:val="hy-AM"/>
              </w:rPr>
              <w:t xml:space="preserve">մրցունակության </w:t>
            </w:r>
            <w:r w:rsidRPr="00423B76">
              <w:rPr>
                <w:rFonts w:cs="Times Armenian"/>
                <w:lang w:val="hy-AM"/>
              </w:rPr>
              <w:t xml:space="preserve">ամրապնդման ու </w:t>
            </w:r>
            <w:r w:rsidRPr="00423B76">
              <w:rPr>
                <w:rFonts w:cs="Sylfaen"/>
                <w:lang w:val="hy-AM"/>
              </w:rPr>
              <w:t xml:space="preserve">բարձրացման անհրաժեշտությունից ելնելով </w:t>
            </w:r>
            <w:r w:rsidRPr="00423B76">
              <w:rPr>
                <w:rFonts w:cs="Times Armenian"/>
                <w:lang w:val="hy-AM"/>
              </w:rPr>
              <w:t>առաջացել է զբոսաշրջության ոլորտի ռազմավարության մշակման անհրաժեշտություն</w:t>
            </w:r>
            <w:r w:rsidRPr="00423B76">
              <w:rPr>
                <w:rFonts w:cs="Sylfaen"/>
                <w:lang w:val="hy-AM"/>
              </w:rPr>
              <w:t xml:space="preserve">: </w:t>
            </w:r>
          </w:p>
          <w:p w:rsidR="0068680D" w:rsidRPr="00423B76" w:rsidRDefault="0068680D" w:rsidP="0068680D">
            <w:pPr>
              <w:pStyle w:val="ListParagraph"/>
              <w:numPr>
                <w:ilvl w:val="1"/>
                <w:numId w:val="398"/>
              </w:numPr>
              <w:spacing w:line="276" w:lineRule="auto"/>
              <w:ind w:right="-288"/>
              <w:jc w:val="both"/>
              <w:rPr>
                <w:rFonts w:cs="Sylfaen"/>
                <w:b/>
                <w:lang w:val="hy-AM" w:eastAsia="en-GB"/>
              </w:rPr>
            </w:pPr>
            <w:r w:rsidRPr="00423B76">
              <w:rPr>
                <w:rFonts w:cs="Sylfaen"/>
                <w:b/>
                <w:lang w:val="hy-AM" w:eastAsia="en-GB"/>
              </w:rPr>
              <w:t xml:space="preserve">Առկա խնդիրների առաջարկվող լուծումները </w:t>
            </w:r>
          </w:p>
          <w:p w:rsidR="0068680D" w:rsidRPr="00423B76" w:rsidRDefault="0068680D" w:rsidP="00F47DC4">
            <w:pPr>
              <w:widowControl w:val="0"/>
              <w:spacing w:line="276" w:lineRule="auto"/>
              <w:jc w:val="both"/>
              <w:rPr>
                <w:rFonts w:cs="Sylfaen"/>
                <w:lang w:val="hy-AM"/>
              </w:rPr>
            </w:pPr>
            <w:r w:rsidRPr="00423B76">
              <w:rPr>
                <w:rFonts w:cs="Sylfaen"/>
                <w:lang w:val="hy-AM"/>
              </w:rPr>
              <w:t xml:space="preserve">Լուծումները ուղղված կլինեն հետազոտությունների, վերլուծությունների իրականացմանը, որոնց հիման վրա կմշակվեն միջնաժամկետ և երկարաժամկետ միջոցառումներ` ուղղված ոլորտի դինամիկ աճի պահպանմանը։ Ռազմավարության մշակման համար անհրաժեշտ է ներգրավել համապատասխան ռեսուրսներ:  </w:t>
            </w:r>
          </w:p>
          <w:p w:rsidR="0068680D" w:rsidRPr="00423B76" w:rsidRDefault="0068680D" w:rsidP="0068680D">
            <w:pPr>
              <w:pStyle w:val="ListParagraph"/>
              <w:numPr>
                <w:ilvl w:val="0"/>
                <w:numId w:val="398"/>
              </w:numPr>
              <w:spacing w:line="276" w:lineRule="auto"/>
              <w:rPr>
                <w:b/>
              </w:rPr>
            </w:pPr>
            <w:r w:rsidRPr="00423B76">
              <w:rPr>
                <w:b/>
                <w:lang w:val="hy-AM"/>
              </w:rPr>
              <w:t>Միջոցառման իրականացումից ակնկալվող արդյունքը</w:t>
            </w:r>
          </w:p>
          <w:p w:rsidR="0068680D" w:rsidRPr="00423B76" w:rsidRDefault="0068680D" w:rsidP="00F47DC4">
            <w:pPr>
              <w:spacing w:line="276" w:lineRule="auto"/>
              <w:jc w:val="both"/>
              <w:rPr>
                <w:rFonts w:cs="ArialUnicode"/>
              </w:rPr>
            </w:pPr>
            <w:r w:rsidRPr="00423B76">
              <w:rPr>
                <w:rFonts w:cs="ArialUnicode"/>
              </w:rPr>
              <w:t>Հայաստանի զբոսաշրջության զարգացման ռազմավարության և գործողությունների ծրագրի/ժամանակացույցի առկայությունը հիմք կհանդիսանա</w:t>
            </w:r>
            <w:r w:rsidRPr="00423B76">
              <w:rPr>
                <w:rFonts w:cs="ArialUnicode"/>
                <w:lang w:val="hy-AM"/>
              </w:rPr>
              <w:t xml:space="preserve"> զբոսաշրջության բնակագավառում </w:t>
            </w:r>
            <w:r w:rsidRPr="00423B76">
              <w:rPr>
                <w:rFonts w:cs="ArialUnicode"/>
              </w:rPr>
              <w:t>զարգացման գործընթացներ</w:t>
            </w:r>
            <w:r w:rsidRPr="00423B76">
              <w:rPr>
                <w:rFonts w:cs="ArialUnicode"/>
                <w:lang w:val="hy-AM"/>
              </w:rPr>
              <w:t>ի</w:t>
            </w:r>
            <w:r w:rsidRPr="00423B76">
              <w:rPr>
                <w:rFonts w:cs="ArialUnicode"/>
              </w:rPr>
              <w:t xml:space="preserve"> պլանավոր</w:t>
            </w:r>
            <w:r w:rsidRPr="00423B76">
              <w:rPr>
                <w:rFonts w:cs="ArialUnicode"/>
                <w:lang w:val="hy-AM"/>
              </w:rPr>
              <w:t>ման</w:t>
            </w:r>
            <w:r w:rsidRPr="00423B76">
              <w:rPr>
                <w:rFonts w:cs="ArialUnicode"/>
              </w:rPr>
              <w:t xml:space="preserve"> և իրականաց</w:t>
            </w:r>
            <w:r w:rsidRPr="00423B76">
              <w:rPr>
                <w:rFonts w:cs="ArialUnicode"/>
                <w:lang w:val="hy-AM"/>
              </w:rPr>
              <w:t>ման համար</w:t>
            </w:r>
            <w:r w:rsidRPr="00423B76">
              <w:rPr>
                <w:rFonts w:cs="ArialUnicode"/>
              </w:rPr>
              <w:t xml:space="preserve">։ </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21.</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r>
              <w:rPr>
                <w:rFonts w:ascii="GHEA Grapalat" w:hAnsi="GHEA Grapalat"/>
                <w:sz w:val="20"/>
                <w:szCs w:val="20"/>
                <w:lang w:val="hy-AM"/>
              </w:rPr>
              <w:t>Ե</w:t>
            </w:r>
            <w:r w:rsidRPr="00423B76">
              <w:rPr>
                <w:rFonts w:ascii="GHEA Grapalat" w:hAnsi="GHEA Grapalat"/>
                <w:sz w:val="20"/>
                <w:szCs w:val="20"/>
                <w:lang w:val="hy-AM"/>
              </w:rPr>
              <w:t xml:space="preserve">րկրի ճանաչողությանն ուղղված </w:t>
            </w:r>
            <w:r>
              <w:rPr>
                <w:rFonts w:ascii="GHEA Grapalat" w:hAnsi="GHEA Grapalat"/>
                <w:sz w:val="20"/>
                <w:szCs w:val="20"/>
                <w:lang w:val="hy-AM"/>
              </w:rPr>
              <w:t>ծրագրի</w:t>
            </w:r>
            <w:r w:rsidRPr="00423B76">
              <w:rPr>
                <w:rFonts w:ascii="GHEA Grapalat" w:hAnsi="GHEA Grapalat"/>
                <w:sz w:val="20"/>
                <w:szCs w:val="20"/>
                <w:lang w:val="hy-AM"/>
              </w:rPr>
              <w:t xml:space="preserve"> իրականացում</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21.1 </w:t>
            </w:r>
            <w:r w:rsidRPr="00423B76">
              <w:rPr>
                <w:rFonts w:ascii="GHEA Grapalat" w:hAnsi="GHEA Grapalat" w:cs="Sylfaen"/>
                <w:sz w:val="20"/>
                <w:szCs w:val="20"/>
                <w:lang w:val="hy-AM"/>
              </w:rPr>
              <w:t>Զբոսաշրջության զարգացման 2019 թվականի տարեկան ծրագրի իրականացում</w:t>
            </w:r>
          </w:p>
          <w:p w:rsidR="0068680D" w:rsidRPr="00423B76" w:rsidRDefault="0068680D" w:rsidP="0068680D">
            <w:pPr>
              <w:pStyle w:val="NormalWeb"/>
              <w:widowControl w:val="0"/>
              <w:numPr>
                <w:ilvl w:val="0"/>
                <w:numId w:val="354"/>
              </w:numPr>
              <w:spacing w:before="0" w:beforeAutospacing="0" w:after="0" w:afterAutospacing="0" w:line="276" w:lineRule="auto"/>
              <w:ind w:left="360" w:right="115"/>
              <w:rPr>
                <w:rFonts w:ascii="GHEA Grapalat" w:hAnsi="GHEA Grapalat"/>
                <w:b/>
                <w:sz w:val="20"/>
                <w:szCs w:val="20"/>
                <w:lang w:val="hy-AM" w:eastAsia="en-GB"/>
              </w:rPr>
            </w:pPr>
            <w:r w:rsidRPr="00423B76">
              <w:rPr>
                <w:rFonts w:ascii="GHEA Grapalat" w:hAnsi="GHEA Grapalat"/>
                <w:b/>
                <w:sz w:val="20"/>
                <w:szCs w:val="20"/>
                <w:lang w:val="hy-AM" w:eastAsia="en-GB"/>
              </w:rPr>
              <w:t>Միջոցառման իրականացման անհրաժեշտությունը և նպատակը</w:t>
            </w:r>
          </w:p>
          <w:p w:rsidR="0068680D" w:rsidRPr="00423B76" w:rsidRDefault="0068680D" w:rsidP="00F47DC4">
            <w:pPr>
              <w:widowControl w:val="0"/>
              <w:spacing w:line="276" w:lineRule="auto"/>
              <w:jc w:val="both"/>
              <w:rPr>
                <w:lang w:val="hy-AM"/>
              </w:rPr>
            </w:pPr>
            <w:r w:rsidRPr="00423B76">
              <w:rPr>
                <w:rFonts w:cs="Sylfaen"/>
                <w:color w:val="000000"/>
                <w:lang w:val="hy-AM"/>
              </w:rPr>
              <w:t xml:space="preserve">Միջոցառման իրակացման անհրաժեշտությունը պայմանավորված է </w:t>
            </w:r>
            <w:r w:rsidRPr="008B587D">
              <w:rPr>
                <w:lang w:val="af-ZA"/>
              </w:rPr>
              <w:t xml:space="preserve">ՀՀ Ազգային ժողովի 14.02.2019թ. N ԱԺՈ-002-Ն որոշմամբ հավանության արժանացած </w:t>
            </w:r>
            <w:r>
              <w:rPr>
                <w:lang w:val="hy-AM"/>
              </w:rPr>
              <w:t>ՀՀ</w:t>
            </w:r>
            <w:r w:rsidRPr="008B587D">
              <w:rPr>
                <w:lang w:val="af-ZA"/>
              </w:rPr>
              <w:t xml:space="preserve"> կառավարության ծրագրի</w:t>
            </w:r>
            <w:r w:rsidRPr="00423B76">
              <w:rPr>
                <w:rFonts w:cs="Sylfaen"/>
                <w:color w:val="000000"/>
                <w:lang w:val="hy-AM"/>
              </w:rPr>
              <w:t xml:space="preserve"> 5.7 բաժնի դրույթներով:</w:t>
            </w:r>
            <w:r w:rsidRPr="00423B76">
              <w:rPr>
                <w:rFonts w:cs="Sylfaen"/>
                <w:lang w:val="hy-AM"/>
              </w:rPr>
              <w:t xml:space="preserve"> </w:t>
            </w:r>
            <w:r w:rsidRPr="00423B76">
              <w:rPr>
                <w:lang w:val="hy-AM"/>
              </w:rPr>
              <w:t xml:space="preserve">Միջոցառման իրականացումն ուղղված է Հայաստանի և հայկական զբոսաշրջային արդյունքի ճանաչելիության և մրցունակության, վիճակագրական տեղեկատվական համակարգի կատարելագործման ապահովմանը, զբոսաշրջային արդյունքի դիվերսիֆիկացմանը, ենթակառուցվածքների և մարդկային ռեսուրսների զարգացմանը, միջազգային համագործակցության ակտիվացմանը:  </w:t>
            </w:r>
          </w:p>
          <w:p w:rsidR="0068680D" w:rsidRPr="00423B76" w:rsidRDefault="0068680D" w:rsidP="00F47DC4">
            <w:pPr>
              <w:widowControl w:val="0"/>
              <w:spacing w:line="276" w:lineRule="auto"/>
              <w:jc w:val="both"/>
              <w:rPr>
                <w:rFonts w:eastAsia="MS Mincho" w:cs="MS Mincho"/>
                <w:bCs/>
                <w:lang w:val="hy-AM"/>
              </w:rPr>
            </w:pPr>
            <w:r w:rsidRPr="00423B76">
              <w:rPr>
                <w:rFonts w:cs="Calibri"/>
                <w:bCs/>
                <w:lang w:val="hy-AM" w:eastAsia="en-GB"/>
              </w:rPr>
              <w:t>Մ</w:t>
            </w:r>
            <w:r w:rsidRPr="00423B76">
              <w:rPr>
                <w:lang w:val="hy-AM"/>
              </w:rPr>
              <w:t>իջոցառման նպատակն է նպաստել.</w:t>
            </w:r>
            <w:r w:rsidRPr="00423B76">
              <w:rPr>
                <w:rFonts w:eastAsia="MS Mincho" w:cs="MS Mincho"/>
                <w:bCs/>
                <w:lang w:val="hy-AM" w:eastAsia="en-GB"/>
              </w:rPr>
              <w:t xml:space="preserve"> </w:t>
            </w:r>
          </w:p>
          <w:p w:rsidR="0068680D" w:rsidRPr="00423B76" w:rsidRDefault="0068680D" w:rsidP="0068680D">
            <w:pPr>
              <w:pStyle w:val="ListParagraph"/>
              <w:widowControl w:val="0"/>
              <w:numPr>
                <w:ilvl w:val="0"/>
                <w:numId w:val="355"/>
              </w:numPr>
              <w:spacing w:line="276" w:lineRule="auto"/>
              <w:jc w:val="both"/>
              <w:rPr>
                <w:lang w:val="hy-AM"/>
              </w:rPr>
            </w:pPr>
            <w:r w:rsidRPr="00423B76">
              <w:rPr>
                <w:lang w:val="hy-AM"/>
              </w:rPr>
              <w:t>Հայաստան զբոսաշրջային այցելությունների շարունակական ավելացմանը,</w:t>
            </w:r>
          </w:p>
          <w:p w:rsidR="0068680D" w:rsidRPr="00423B76" w:rsidRDefault="0068680D" w:rsidP="0068680D">
            <w:pPr>
              <w:pStyle w:val="ListParagraph"/>
              <w:widowControl w:val="0"/>
              <w:numPr>
                <w:ilvl w:val="0"/>
                <w:numId w:val="355"/>
              </w:numPr>
              <w:spacing w:line="276" w:lineRule="auto"/>
              <w:jc w:val="both"/>
              <w:rPr>
                <w:lang w:val="hy-AM"/>
              </w:rPr>
            </w:pPr>
            <w:r w:rsidRPr="00423B76">
              <w:rPr>
                <w:lang w:val="hy-AM"/>
              </w:rPr>
              <w:t>Հայաստանի  կայուն և համաչափ տարածքային տնտեսական զարգացմանը, ազգային եկամտի ավելացմանը, բնակչության կենսամակարդակի բարձրացմանը,</w:t>
            </w:r>
          </w:p>
          <w:p w:rsidR="0068680D" w:rsidRPr="00423B76" w:rsidRDefault="0068680D" w:rsidP="0068680D">
            <w:pPr>
              <w:pStyle w:val="ListParagraph"/>
              <w:widowControl w:val="0"/>
              <w:numPr>
                <w:ilvl w:val="0"/>
                <w:numId w:val="355"/>
              </w:numPr>
              <w:spacing w:line="276" w:lineRule="auto"/>
              <w:jc w:val="both"/>
              <w:rPr>
                <w:lang w:val="hy-AM"/>
              </w:rPr>
            </w:pPr>
            <w:r w:rsidRPr="00423B76">
              <w:rPr>
                <w:lang w:val="hy-AM"/>
              </w:rPr>
              <w:t>Հայաստանի, որպես զբոաշրջության համար գրավիչ երկրի նկարագրի ձևավորմանը, կատարելագործմանը և պատշաճ ներկայացմանն ու խթանմանը,</w:t>
            </w:r>
          </w:p>
          <w:p w:rsidR="0068680D" w:rsidRPr="00423B76" w:rsidRDefault="0068680D" w:rsidP="0068680D">
            <w:pPr>
              <w:pStyle w:val="ListParagraph"/>
              <w:widowControl w:val="0"/>
              <w:numPr>
                <w:ilvl w:val="0"/>
                <w:numId w:val="355"/>
              </w:numPr>
              <w:spacing w:line="276" w:lineRule="auto"/>
              <w:jc w:val="both"/>
              <w:rPr>
                <w:lang w:val="hy-AM"/>
              </w:rPr>
            </w:pPr>
            <w:r w:rsidRPr="00423B76">
              <w:rPr>
                <w:lang w:val="hy-AM"/>
              </w:rPr>
              <w:t>Հայաստանի և հայկական զբոսաշրջային արդյունքի համաշխարհային ճանաչելիության բարձրացմանը։</w:t>
            </w:r>
          </w:p>
          <w:p w:rsidR="0068680D" w:rsidRPr="00423B76" w:rsidRDefault="0068680D" w:rsidP="0068680D">
            <w:pPr>
              <w:widowControl w:val="0"/>
              <w:numPr>
                <w:ilvl w:val="1"/>
                <w:numId w:val="356"/>
              </w:numPr>
              <w:spacing w:line="276" w:lineRule="auto"/>
              <w:ind w:right="115"/>
              <w:rPr>
                <w:b/>
                <w:lang w:val="hy-AM"/>
              </w:rPr>
            </w:pPr>
            <w:r w:rsidRPr="00423B76">
              <w:rPr>
                <w:b/>
                <w:lang w:val="hy-AM"/>
              </w:rPr>
              <w:t>Կարգավորման հարաբերությունների ներկա վիճակը և առկա խնդիրները</w:t>
            </w:r>
          </w:p>
          <w:p w:rsidR="0068680D" w:rsidRPr="00423B76" w:rsidRDefault="0068680D" w:rsidP="00F47DC4">
            <w:pPr>
              <w:widowControl w:val="0"/>
              <w:spacing w:line="276" w:lineRule="auto"/>
              <w:jc w:val="both"/>
              <w:rPr>
                <w:lang w:val="hy-AM"/>
              </w:rPr>
            </w:pPr>
            <w:r w:rsidRPr="00423B76">
              <w:rPr>
                <w:lang w:val="hy-AM"/>
              </w:rPr>
              <w:t>«Զբոսաշրջության և զբոսաշրջային գործունեության մասին» ՀՀ օրենքի համաձայն յուրաքանչյուր տարի մշակվում և իրականացվում է զբոսաշրջության զարգացման ծրագիր, որի շրջանակներում իրականացվում են մարքեթինգային միջոցառումներ, միջոցառումներ ուղղված զբոսաշրջային արդյունքի դիվերսիֆիկացմանը, մարդկային ռեսուրսների և ենթա</w:t>
            </w:r>
            <w:r w:rsidRPr="00423B76">
              <w:rPr>
                <w:lang w:val="hy-AM"/>
              </w:rPr>
              <w:softHyphen/>
              <w:t>կա</w:t>
            </w:r>
            <w:r w:rsidRPr="00423B76">
              <w:rPr>
                <w:lang w:val="hy-AM"/>
              </w:rPr>
              <w:softHyphen/>
              <w:t xml:space="preserve">ռուցվածքների զարգացմանը, միջազգային համագործակցության ապահովմանը: </w:t>
            </w:r>
          </w:p>
          <w:p w:rsidR="0068680D" w:rsidRPr="00423B76" w:rsidRDefault="0068680D" w:rsidP="0068680D">
            <w:pPr>
              <w:widowControl w:val="0"/>
              <w:numPr>
                <w:ilvl w:val="1"/>
                <w:numId w:val="356"/>
              </w:numPr>
              <w:spacing w:line="276" w:lineRule="auto"/>
              <w:ind w:right="115"/>
              <w:rPr>
                <w:b/>
                <w:lang w:val="hy-AM"/>
              </w:rPr>
            </w:pPr>
            <w:r w:rsidRPr="00423B76">
              <w:rPr>
                <w:b/>
                <w:lang w:val="hy-AM"/>
              </w:rPr>
              <w:t xml:space="preserve">Առկա խնդիրների առաջարկվող լուծումները </w:t>
            </w:r>
          </w:p>
          <w:p w:rsidR="0068680D" w:rsidRPr="00423B76" w:rsidRDefault="0068680D" w:rsidP="00F47DC4">
            <w:pPr>
              <w:widowControl w:val="0"/>
              <w:spacing w:line="276" w:lineRule="auto"/>
              <w:jc w:val="both"/>
              <w:rPr>
                <w:lang w:val="hy-AM"/>
              </w:rPr>
            </w:pPr>
            <w:r w:rsidRPr="00423B76">
              <w:rPr>
                <w:lang w:val="hy-AM"/>
              </w:rPr>
              <w:t>«Զբոսաշրջության զարգացման 2019 թվականի տարեկան ծրագրի» իրականացման շրջանակներում մասնավորապես նախատե</w:t>
            </w:r>
            <w:r>
              <w:rPr>
                <w:lang w:val="hy-AM"/>
              </w:rPr>
              <w:t>ս</w:t>
            </w:r>
            <w:r w:rsidRPr="00423B76">
              <w:rPr>
                <w:lang w:val="hy-AM"/>
              </w:rPr>
              <w:t xml:space="preserve">ված են հետևյալ միջոցառումները. </w:t>
            </w:r>
          </w:p>
          <w:p w:rsidR="0068680D" w:rsidRPr="00423B76" w:rsidRDefault="0068680D" w:rsidP="0068680D">
            <w:pPr>
              <w:pStyle w:val="ListParagraph"/>
              <w:widowControl w:val="0"/>
              <w:numPr>
                <w:ilvl w:val="0"/>
                <w:numId w:val="357"/>
              </w:numPr>
              <w:spacing w:line="276" w:lineRule="auto"/>
              <w:ind w:left="714" w:hanging="357"/>
              <w:contextualSpacing w:val="0"/>
              <w:jc w:val="both"/>
              <w:rPr>
                <w:lang w:val="hy-AM"/>
              </w:rPr>
            </w:pPr>
            <w:r w:rsidRPr="00423B76">
              <w:rPr>
                <w:lang w:val="hy-AM"/>
              </w:rPr>
              <w:t xml:space="preserve">իրականացնել  Հայաստանի և հայկական զբոսաշրջային արդյունքի ճանաչելիության բարձրացում և թիրախավորված զբոսաշրջային շուկաներում առավել ակտիվ մարքեթինգային քաղաքականություն, </w:t>
            </w:r>
          </w:p>
          <w:p w:rsidR="0068680D" w:rsidRPr="00423B76" w:rsidRDefault="0068680D" w:rsidP="0068680D">
            <w:pPr>
              <w:pStyle w:val="ListParagraph"/>
              <w:widowControl w:val="0"/>
              <w:numPr>
                <w:ilvl w:val="0"/>
                <w:numId w:val="357"/>
              </w:numPr>
              <w:spacing w:line="276" w:lineRule="auto"/>
              <w:ind w:left="714" w:hanging="357"/>
              <w:contextualSpacing w:val="0"/>
              <w:jc w:val="both"/>
              <w:rPr>
                <w:lang w:val="hy-AM"/>
              </w:rPr>
            </w:pPr>
            <w:r w:rsidRPr="00423B76">
              <w:rPr>
                <w:lang w:val="hy-AM"/>
              </w:rPr>
              <w:t xml:space="preserve">զբոսաշրջության զարգացման գործընթացներում Հայաստանի համայնքների և դրանց բնակչությանի առավել ակտիվ ներգրավում, զբոսաշրջային արդյունքի դիվերսիֆիկացում, զբոսաշրջային նոր, գրավիչ և մրցունակ փաթեթների ձևավորում, </w:t>
            </w:r>
          </w:p>
          <w:p w:rsidR="0068680D" w:rsidRPr="00423B76" w:rsidRDefault="0068680D" w:rsidP="0068680D">
            <w:pPr>
              <w:pStyle w:val="ListParagraph"/>
              <w:widowControl w:val="0"/>
              <w:numPr>
                <w:ilvl w:val="0"/>
                <w:numId w:val="357"/>
              </w:numPr>
              <w:spacing w:line="276" w:lineRule="auto"/>
              <w:ind w:left="714" w:hanging="357"/>
              <w:contextualSpacing w:val="0"/>
              <w:jc w:val="both"/>
              <w:rPr>
                <w:lang w:val="hy-AM"/>
              </w:rPr>
            </w:pPr>
            <w:r w:rsidRPr="00423B76">
              <w:rPr>
                <w:lang w:val="hy-AM"/>
              </w:rPr>
              <w:t xml:space="preserve">մարդկային ռեսուրսների զարգացում և մատուցվող ծառայությունների որակի բարձրացում, </w:t>
            </w:r>
          </w:p>
          <w:p w:rsidR="0068680D" w:rsidRPr="00423B76" w:rsidRDefault="0068680D" w:rsidP="0068680D">
            <w:pPr>
              <w:pStyle w:val="ListParagraph"/>
              <w:widowControl w:val="0"/>
              <w:numPr>
                <w:ilvl w:val="0"/>
                <w:numId w:val="357"/>
              </w:numPr>
              <w:spacing w:line="276" w:lineRule="auto"/>
              <w:ind w:left="714" w:hanging="357"/>
              <w:contextualSpacing w:val="0"/>
              <w:jc w:val="both"/>
              <w:rPr>
                <w:lang w:val="hy-AM"/>
              </w:rPr>
            </w:pPr>
            <w:r w:rsidRPr="00423B76">
              <w:rPr>
                <w:lang w:val="hy-AM"/>
              </w:rPr>
              <w:t xml:space="preserve">երկկողմ և բազմակողմ համագործակցության ակտիվացում,  </w:t>
            </w:r>
          </w:p>
          <w:p w:rsidR="0068680D" w:rsidRPr="00423B76" w:rsidRDefault="0068680D" w:rsidP="0068680D">
            <w:pPr>
              <w:pStyle w:val="ListParagraph"/>
              <w:widowControl w:val="0"/>
              <w:numPr>
                <w:ilvl w:val="0"/>
                <w:numId w:val="357"/>
              </w:numPr>
              <w:spacing w:line="276" w:lineRule="auto"/>
              <w:ind w:left="714" w:hanging="357"/>
              <w:contextualSpacing w:val="0"/>
              <w:jc w:val="both"/>
              <w:rPr>
                <w:lang w:val="hy-AM"/>
              </w:rPr>
            </w:pPr>
            <w:r w:rsidRPr="00423B76">
              <w:rPr>
                <w:lang w:val="hy-AM"/>
              </w:rPr>
              <w:t>զբոսաշրջային մեծ ներուժ ունեցող զբոսաշրջային ձևերի զարգացմանն ուղղված նոր երթուղիների մշակում` զբոսաշրջիկների համար մեր երկիրն առավել գրավիչ դարձնելու նպատակով։</w:t>
            </w:r>
          </w:p>
          <w:p w:rsidR="0068680D" w:rsidRPr="00423B76" w:rsidRDefault="0068680D" w:rsidP="0068680D">
            <w:pPr>
              <w:pStyle w:val="NormalWeb"/>
              <w:widowControl w:val="0"/>
              <w:numPr>
                <w:ilvl w:val="0"/>
                <w:numId w:val="354"/>
              </w:numPr>
              <w:spacing w:before="0" w:beforeAutospacing="0" w:after="0" w:afterAutospacing="0" w:line="276" w:lineRule="auto"/>
              <w:ind w:right="115"/>
              <w:rPr>
                <w:rFonts w:ascii="GHEA Grapalat" w:hAnsi="GHEA Grapalat"/>
                <w:b/>
                <w:sz w:val="20"/>
                <w:szCs w:val="20"/>
                <w:lang w:val="hy-AM" w:eastAsia="en-GB"/>
              </w:rPr>
            </w:pPr>
            <w:r w:rsidRPr="00423B76">
              <w:rPr>
                <w:rFonts w:ascii="GHEA Grapalat" w:hAnsi="GHEA Grapalat"/>
                <w:b/>
                <w:sz w:val="20"/>
                <w:szCs w:val="20"/>
                <w:lang w:val="hy-AM" w:eastAsia="en-GB"/>
              </w:rPr>
              <w:t>Միջոցառման իրականացումից ակնկալվող արդյունքը</w:t>
            </w:r>
          </w:p>
          <w:p w:rsidR="0068680D" w:rsidRPr="00423B76" w:rsidRDefault="0068680D" w:rsidP="0068680D">
            <w:pPr>
              <w:pStyle w:val="ListParagraph"/>
              <w:widowControl w:val="0"/>
              <w:numPr>
                <w:ilvl w:val="0"/>
                <w:numId w:val="357"/>
              </w:numPr>
              <w:spacing w:line="276" w:lineRule="auto"/>
              <w:ind w:left="714" w:hanging="357"/>
              <w:contextualSpacing w:val="0"/>
              <w:jc w:val="both"/>
              <w:rPr>
                <w:lang w:val="hy-AM"/>
              </w:rPr>
            </w:pPr>
            <w:r w:rsidRPr="00423B76">
              <w:rPr>
                <w:lang w:val="hy-AM"/>
              </w:rPr>
              <w:t xml:space="preserve">Հայկական զբոսաշրջային արդյունքի մրցունակության բարձրացում, </w:t>
            </w:r>
          </w:p>
          <w:p w:rsidR="0068680D" w:rsidRPr="00423B76" w:rsidRDefault="0068680D" w:rsidP="0068680D">
            <w:pPr>
              <w:pStyle w:val="ListParagraph"/>
              <w:widowControl w:val="0"/>
              <w:numPr>
                <w:ilvl w:val="0"/>
                <w:numId w:val="357"/>
              </w:numPr>
              <w:spacing w:line="276" w:lineRule="auto"/>
              <w:ind w:left="714" w:hanging="357"/>
              <w:contextualSpacing w:val="0"/>
              <w:jc w:val="both"/>
              <w:rPr>
                <w:lang w:val="hy-AM"/>
              </w:rPr>
            </w:pPr>
            <w:r w:rsidRPr="00423B76">
              <w:rPr>
                <w:lang w:val="hy-AM"/>
              </w:rPr>
              <w:t>Համաշխարհային շուկայում Հայաստանի,  որպես կայուն, ապահով, ձեռնարկատիրության, ներդրումների և զբոսաշրջության համար բարենպաստ ու գրավիչ երկրի նկարագրի ամրապնդում,</w:t>
            </w:r>
          </w:p>
          <w:p w:rsidR="0068680D" w:rsidRPr="00423B76" w:rsidRDefault="0068680D" w:rsidP="0068680D">
            <w:pPr>
              <w:pStyle w:val="ListParagraph"/>
              <w:widowControl w:val="0"/>
              <w:numPr>
                <w:ilvl w:val="0"/>
                <w:numId w:val="357"/>
              </w:numPr>
              <w:spacing w:line="276" w:lineRule="auto"/>
              <w:ind w:left="714" w:hanging="357"/>
              <w:contextualSpacing w:val="0"/>
              <w:jc w:val="both"/>
              <w:rPr>
                <w:lang w:val="hy-AM"/>
              </w:rPr>
            </w:pPr>
            <w:r w:rsidRPr="00423B76">
              <w:rPr>
                <w:lang w:val="hy-AM"/>
              </w:rPr>
              <w:t>Հայաստանը թիրախավորված դիրքավորում,</w:t>
            </w:r>
          </w:p>
          <w:p w:rsidR="0068680D" w:rsidRPr="00423B76" w:rsidRDefault="0068680D" w:rsidP="0068680D">
            <w:pPr>
              <w:pStyle w:val="ListParagraph"/>
              <w:widowControl w:val="0"/>
              <w:numPr>
                <w:ilvl w:val="0"/>
                <w:numId w:val="357"/>
              </w:numPr>
              <w:spacing w:line="276" w:lineRule="auto"/>
              <w:ind w:left="714" w:hanging="357"/>
              <w:contextualSpacing w:val="0"/>
              <w:jc w:val="both"/>
              <w:rPr>
                <w:lang w:val="hy-AM"/>
              </w:rPr>
            </w:pPr>
            <w:r w:rsidRPr="00423B76">
              <w:rPr>
                <w:lang w:val="hy-AM"/>
              </w:rPr>
              <w:t xml:space="preserve">ծառայությունների որակի  շարունակական բարձրացում՝ ոլորտը որակյալ և պահանջարկին համապատասխանող կադրերով ապահովում, </w:t>
            </w:r>
          </w:p>
          <w:p w:rsidR="0068680D" w:rsidRPr="00423B76" w:rsidRDefault="0068680D" w:rsidP="0068680D">
            <w:pPr>
              <w:pStyle w:val="ListParagraph"/>
              <w:widowControl w:val="0"/>
              <w:numPr>
                <w:ilvl w:val="0"/>
                <w:numId w:val="357"/>
              </w:numPr>
              <w:spacing w:line="276" w:lineRule="auto"/>
              <w:ind w:left="714" w:hanging="357"/>
              <w:contextualSpacing w:val="0"/>
              <w:jc w:val="both"/>
              <w:rPr>
                <w:lang w:val="hy-AM"/>
              </w:rPr>
            </w:pPr>
            <w:r w:rsidRPr="00423B76">
              <w:rPr>
                <w:lang w:val="hy-AM"/>
              </w:rPr>
              <w:t>համաշխարհային զբոսաշրջային արդյունաբերությանը Հայաստանի արդյունավետ ինտեգրում,</w:t>
            </w:r>
          </w:p>
          <w:p w:rsidR="0068680D" w:rsidRPr="00423B76" w:rsidRDefault="0068680D" w:rsidP="0068680D">
            <w:pPr>
              <w:pStyle w:val="ListParagraph"/>
              <w:widowControl w:val="0"/>
              <w:numPr>
                <w:ilvl w:val="0"/>
                <w:numId w:val="357"/>
              </w:numPr>
              <w:spacing w:line="276" w:lineRule="auto"/>
              <w:ind w:left="714" w:hanging="357"/>
              <w:contextualSpacing w:val="0"/>
              <w:jc w:val="both"/>
              <w:rPr>
                <w:lang w:val="hy-AM"/>
              </w:rPr>
            </w:pPr>
            <w:r w:rsidRPr="00423B76">
              <w:rPr>
                <w:lang w:val="hy-AM"/>
              </w:rPr>
              <w:t xml:space="preserve">հայկական զբոսաշրջային արդյունքի դիվերսիֆիկացում, նոր, մրցունակ զբոսաշրջային արդյունքների ձևավորում՝ էկոտուրիզմի,  գաստրոտուրիզմի,  արկածային զբոսաշրջության ձևերի զարգացման վերաբերյալ ռազմավարական միջոցառումների ծրագիր </w:t>
            </w:r>
          </w:p>
          <w:p w:rsidR="0068680D" w:rsidRPr="00423B76" w:rsidRDefault="0068680D" w:rsidP="0068680D">
            <w:pPr>
              <w:pStyle w:val="ListParagraph"/>
              <w:widowControl w:val="0"/>
              <w:numPr>
                <w:ilvl w:val="0"/>
                <w:numId w:val="357"/>
              </w:numPr>
              <w:spacing w:line="276" w:lineRule="auto"/>
              <w:ind w:left="714" w:hanging="357"/>
              <w:contextualSpacing w:val="0"/>
              <w:jc w:val="both"/>
              <w:rPr>
                <w:lang w:val="hy-AM"/>
              </w:rPr>
            </w:pPr>
            <w:r w:rsidRPr="00423B76">
              <w:rPr>
                <w:lang w:val="hy-AM"/>
              </w:rPr>
              <w:t>համաշխարհային հանրությանը Հայաստանի ու հայկական պատմամշակութային ժառանգության պատշաճ ներկայացում,</w:t>
            </w:r>
          </w:p>
          <w:p w:rsidR="0068680D" w:rsidRPr="00423B76" w:rsidRDefault="0068680D" w:rsidP="0068680D">
            <w:pPr>
              <w:pStyle w:val="ListParagraph"/>
              <w:widowControl w:val="0"/>
              <w:numPr>
                <w:ilvl w:val="0"/>
                <w:numId w:val="357"/>
              </w:numPr>
              <w:spacing w:line="276" w:lineRule="auto"/>
              <w:ind w:left="714" w:hanging="357"/>
              <w:contextualSpacing w:val="0"/>
              <w:jc w:val="both"/>
              <w:rPr>
                <w:lang w:val="hy-AM"/>
              </w:rPr>
            </w:pPr>
            <w:r w:rsidRPr="00423B76">
              <w:rPr>
                <w:lang w:val="hy-AM"/>
              </w:rPr>
              <w:t>Միջազգային երկկողմ և բազմակողմ կապերի ամրապնդում  և զարգացում։</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22.</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r>
              <w:rPr>
                <w:rFonts w:ascii="GHEA Grapalat" w:hAnsi="GHEA Grapalat"/>
                <w:sz w:val="20"/>
                <w:szCs w:val="20"/>
                <w:lang w:val="hy-AM"/>
              </w:rPr>
              <w:t>Վ</w:t>
            </w:r>
            <w:r w:rsidRPr="00423B76">
              <w:rPr>
                <w:rFonts w:ascii="GHEA Grapalat" w:hAnsi="GHEA Grapalat"/>
                <w:sz w:val="20"/>
                <w:szCs w:val="20"/>
                <w:lang w:val="hy-AM"/>
              </w:rPr>
              <w:t xml:space="preserve">երամշակող արդյունաբերության ոլորտում խնդիրների վերհանում </w:t>
            </w:r>
            <w:r>
              <w:rPr>
                <w:rFonts w:ascii="GHEA Grapalat" w:hAnsi="GHEA Grapalat"/>
                <w:sz w:val="20"/>
                <w:szCs w:val="20"/>
                <w:lang w:val="hy-AM"/>
              </w:rPr>
              <w:t>և</w:t>
            </w:r>
            <w:r w:rsidRPr="00423B76">
              <w:rPr>
                <w:rFonts w:ascii="GHEA Grapalat" w:hAnsi="GHEA Grapalat"/>
                <w:sz w:val="20"/>
                <w:szCs w:val="20"/>
                <w:lang w:val="hy-AM"/>
              </w:rPr>
              <w:t xml:space="preserve"> կարգավորումների վերանայում</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right="9"/>
              <w:outlineLvl w:val="1"/>
              <w:rPr>
                <w:rFonts w:ascii="GHEA Grapalat" w:hAnsi="GHEA Grapalat" w:cs="Sylfaen"/>
                <w:sz w:val="20"/>
                <w:szCs w:val="20"/>
                <w:lang w:val="hy-AM"/>
              </w:rPr>
            </w:pPr>
            <w:r>
              <w:rPr>
                <w:rFonts w:ascii="GHEA Grapalat" w:hAnsi="GHEA Grapalat" w:cs="Sylfaen"/>
                <w:sz w:val="20"/>
                <w:szCs w:val="20"/>
                <w:lang w:val="hy-AM"/>
              </w:rPr>
              <w:t xml:space="preserve">  22.1 </w:t>
            </w:r>
            <w:r w:rsidRPr="00423B76">
              <w:rPr>
                <w:rFonts w:ascii="GHEA Grapalat" w:hAnsi="GHEA Grapalat" w:cs="Sylfaen"/>
                <w:sz w:val="20"/>
                <w:szCs w:val="20"/>
                <w:lang w:val="hy-AM"/>
              </w:rPr>
              <w:t>Տնտեսության ճյուղերի Էներգախնայողության հետազոտության իրականացում, էներգատար ճյուղերի վերհանում</w:t>
            </w:r>
          </w:p>
          <w:p w:rsidR="0068680D" w:rsidRPr="00423B76" w:rsidRDefault="0068680D" w:rsidP="0068680D">
            <w:pPr>
              <w:pStyle w:val="NormalWeb"/>
              <w:widowControl w:val="0"/>
              <w:numPr>
                <w:ilvl w:val="0"/>
                <w:numId w:val="419"/>
              </w:numPr>
              <w:spacing w:before="0" w:beforeAutospacing="0" w:after="0" w:afterAutospacing="0" w:line="276" w:lineRule="auto"/>
              <w:ind w:right="115"/>
              <w:jc w:val="both"/>
              <w:rPr>
                <w:rFonts w:ascii="GHEA Grapalat" w:hAnsi="GHEA Grapalat"/>
                <w:b/>
                <w:sz w:val="20"/>
                <w:szCs w:val="20"/>
                <w:lang w:val="hy-AM" w:eastAsia="en-GB"/>
              </w:rPr>
            </w:pPr>
            <w:r w:rsidRPr="00423B76">
              <w:rPr>
                <w:rFonts w:ascii="GHEA Grapalat" w:hAnsi="GHEA Grapalat"/>
                <w:b/>
                <w:sz w:val="20"/>
                <w:szCs w:val="20"/>
                <w:lang w:val="hy-AM" w:eastAsia="en-GB"/>
              </w:rPr>
              <w:t>Միջոցառման իրականացման անհրաժեշտությունը և նպատակը</w:t>
            </w:r>
          </w:p>
          <w:p w:rsidR="0068680D" w:rsidRPr="00423B76" w:rsidRDefault="0068680D" w:rsidP="00F47DC4">
            <w:pPr>
              <w:pStyle w:val="NormalWeb"/>
              <w:widowControl w:val="0"/>
              <w:spacing w:before="0" w:beforeAutospacing="0" w:after="0" w:afterAutospacing="0" w:line="276" w:lineRule="auto"/>
              <w:ind w:right="115"/>
              <w:jc w:val="both"/>
              <w:rPr>
                <w:rFonts w:ascii="GHEA Grapalat" w:hAnsi="GHEA Grapalat"/>
                <w:sz w:val="20"/>
                <w:szCs w:val="20"/>
                <w:lang w:val="hy-AM" w:eastAsia="en-GB"/>
              </w:rPr>
            </w:pPr>
            <w:r w:rsidRPr="00423B76">
              <w:rPr>
                <w:rFonts w:ascii="GHEA Grapalat" w:eastAsiaTheme="minorHAnsi" w:hAnsi="GHEA Grapalat" w:cs="Sylfaen"/>
                <w:color w:val="000000"/>
                <w:sz w:val="20"/>
                <w:szCs w:val="20"/>
                <w:lang w:val="hy-AM"/>
              </w:rPr>
              <w:t xml:space="preserve">Միջոցառման իրակացման անհրաժեշտությունը պայմանավորված է </w:t>
            </w:r>
            <w:r w:rsidRPr="00DD1660">
              <w:rPr>
                <w:rFonts w:ascii="GHEA Grapalat" w:hAnsi="GHEA Grapalat"/>
                <w:sz w:val="20"/>
                <w:lang w:val="af-ZA"/>
              </w:rPr>
              <w:t xml:space="preserve">ՀՀ Ազգային ժողովի 14.02.2019թ. N ԱԺՈ-002-Ն որոշմամբ հավանության արժանացած </w:t>
            </w:r>
            <w:r w:rsidRPr="00DD1660">
              <w:rPr>
                <w:rFonts w:ascii="GHEA Grapalat" w:hAnsi="GHEA Grapalat"/>
                <w:sz w:val="20"/>
                <w:lang w:val="hy-AM"/>
              </w:rPr>
              <w:t>ՀՀ</w:t>
            </w:r>
            <w:r w:rsidRPr="00DD1660">
              <w:rPr>
                <w:rFonts w:ascii="GHEA Grapalat" w:hAnsi="GHEA Grapalat"/>
                <w:sz w:val="20"/>
                <w:lang w:val="af-ZA"/>
              </w:rPr>
              <w:t xml:space="preserve"> կառավարության ծրագրի</w:t>
            </w:r>
            <w:r w:rsidRPr="00DD1660">
              <w:rPr>
                <w:rFonts w:ascii="GHEA Grapalat" w:hAnsi="GHEA Grapalat" w:cs="Sylfaen"/>
                <w:color w:val="000000"/>
                <w:sz w:val="16"/>
                <w:szCs w:val="20"/>
                <w:lang w:val="hy-AM"/>
              </w:rPr>
              <w:t xml:space="preserve"> </w:t>
            </w:r>
            <w:r w:rsidRPr="00423B76">
              <w:rPr>
                <w:rFonts w:ascii="GHEA Grapalat" w:hAnsi="GHEA Grapalat" w:cs="Sylfaen"/>
                <w:color w:val="000000"/>
                <w:sz w:val="20"/>
                <w:szCs w:val="20"/>
                <w:lang w:val="hy-AM"/>
              </w:rPr>
              <w:t>5.9 բաժնի դրույթներով:</w:t>
            </w:r>
            <w:r w:rsidRPr="00423B76">
              <w:rPr>
                <w:rFonts w:ascii="GHEA Grapalat" w:hAnsi="GHEA Grapalat" w:cs="Sylfaen"/>
                <w:sz w:val="20"/>
                <w:szCs w:val="20"/>
                <w:lang w:val="hy-AM"/>
              </w:rPr>
              <w:t xml:space="preserve"> Միջոցառման իրականացման նպատակն է խ</w:t>
            </w:r>
            <w:r w:rsidRPr="00423B76">
              <w:rPr>
                <w:rFonts w:ascii="GHEA Grapalat" w:hAnsi="GHEA Grapalat"/>
                <w:sz w:val="20"/>
                <w:szCs w:val="20"/>
                <w:lang w:val="hy-AM" w:eastAsia="en-GB"/>
              </w:rPr>
              <w:t>թանել տնտեսության ճյուղերին կիրառելո ժամանակակից, էներգախնայող տեխնոլոգիաներ:</w:t>
            </w:r>
          </w:p>
          <w:p w:rsidR="0068680D" w:rsidRPr="00423B76" w:rsidRDefault="0068680D" w:rsidP="0068680D">
            <w:pPr>
              <w:widowControl w:val="0"/>
              <w:numPr>
                <w:ilvl w:val="1"/>
                <w:numId w:val="420"/>
              </w:numPr>
              <w:spacing w:line="276" w:lineRule="auto"/>
              <w:ind w:right="115"/>
              <w:jc w:val="both"/>
              <w:rPr>
                <w:b/>
                <w:lang w:val="hy-AM"/>
              </w:rPr>
            </w:pPr>
            <w:r w:rsidRPr="00423B76">
              <w:rPr>
                <w:b/>
                <w:lang w:val="hy-AM"/>
              </w:rPr>
              <w:t>Կարգավորման հարաբերությունների ներկա վիճակը և առկա խնդիրները</w:t>
            </w:r>
          </w:p>
          <w:p w:rsidR="0068680D" w:rsidRPr="00423B76" w:rsidRDefault="0068680D" w:rsidP="00F47DC4">
            <w:pPr>
              <w:widowControl w:val="0"/>
              <w:spacing w:line="276" w:lineRule="auto"/>
              <w:ind w:right="115"/>
              <w:jc w:val="both"/>
              <w:rPr>
                <w:lang w:val="hy-AM"/>
              </w:rPr>
            </w:pPr>
            <w:r w:rsidRPr="00423B76">
              <w:rPr>
                <w:lang w:val="hy-AM"/>
              </w:rPr>
              <w:t>Ներկայումս ընկերությունները օգտագործում են հիմնականում ոչ ժամանակակից տեխնոլոգիաներ, որոնք առավել էներգատար են, ինչի արդյունքում արտադրվում է ավելի բարձր ինքնարժեքով արտադրանք:</w:t>
            </w:r>
          </w:p>
          <w:p w:rsidR="0068680D" w:rsidRPr="00423B76" w:rsidRDefault="0068680D" w:rsidP="0068680D">
            <w:pPr>
              <w:widowControl w:val="0"/>
              <w:numPr>
                <w:ilvl w:val="1"/>
                <w:numId w:val="420"/>
              </w:numPr>
              <w:spacing w:line="276" w:lineRule="auto"/>
              <w:ind w:right="115"/>
              <w:jc w:val="both"/>
              <w:rPr>
                <w:b/>
                <w:lang w:val="hy-AM"/>
              </w:rPr>
            </w:pPr>
            <w:r w:rsidRPr="00423B76">
              <w:rPr>
                <w:b/>
                <w:lang w:val="hy-AM"/>
              </w:rPr>
              <w:t xml:space="preserve">Առկա խնդիրների առաջարկվող լուծումները </w:t>
            </w:r>
          </w:p>
          <w:p w:rsidR="0068680D" w:rsidRPr="00423B76" w:rsidRDefault="0068680D" w:rsidP="00F47DC4">
            <w:pPr>
              <w:widowControl w:val="0"/>
              <w:spacing w:line="276" w:lineRule="auto"/>
              <w:ind w:right="115"/>
              <w:jc w:val="both"/>
              <w:rPr>
                <w:b/>
                <w:lang w:val="hy-AM"/>
              </w:rPr>
            </w:pPr>
            <w:r w:rsidRPr="00423B76">
              <w:rPr>
                <w:lang w:val="hy-AM"/>
              </w:rPr>
              <w:t>Ուսումնասիրությունների արդյունքում տնտեսության  ճյուղերի համար մշակել էներգատարության նորմատիվներ` սահմանելով բարձր, միջին և ցածր մակարդակներով ցուցանիշներ:</w:t>
            </w:r>
          </w:p>
          <w:p w:rsidR="0068680D" w:rsidRPr="00423B76" w:rsidRDefault="0068680D" w:rsidP="0068680D">
            <w:pPr>
              <w:pStyle w:val="NormalWeb"/>
              <w:widowControl w:val="0"/>
              <w:numPr>
                <w:ilvl w:val="0"/>
                <w:numId w:val="419"/>
              </w:numPr>
              <w:spacing w:before="0" w:beforeAutospacing="0" w:after="0" w:afterAutospacing="0" w:line="276" w:lineRule="auto"/>
              <w:ind w:right="115"/>
              <w:jc w:val="both"/>
              <w:rPr>
                <w:rFonts w:ascii="GHEA Grapalat" w:hAnsi="GHEA Grapalat"/>
                <w:b/>
                <w:sz w:val="20"/>
                <w:szCs w:val="20"/>
                <w:lang w:val="hy-AM" w:eastAsia="en-GB"/>
              </w:rPr>
            </w:pPr>
            <w:r w:rsidRPr="00423B76">
              <w:rPr>
                <w:rFonts w:ascii="GHEA Grapalat" w:hAnsi="GHEA Grapalat"/>
                <w:b/>
                <w:sz w:val="20"/>
                <w:szCs w:val="20"/>
                <w:lang w:val="hy-AM" w:eastAsia="en-GB"/>
              </w:rPr>
              <w:t>Միջոցառման իրականացումից ակնկալվող արդյունքը</w:t>
            </w:r>
          </w:p>
          <w:p w:rsidR="0068680D" w:rsidRPr="00423B76" w:rsidRDefault="0068680D" w:rsidP="00F47DC4">
            <w:pPr>
              <w:pStyle w:val="NormalWeb"/>
              <w:widowControl w:val="0"/>
              <w:tabs>
                <w:tab w:val="left" w:pos="900"/>
              </w:tabs>
              <w:spacing w:before="0" w:beforeAutospacing="0" w:after="0" w:afterAutospacing="0" w:line="276" w:lineRule="auto"/>
              <w:ind w:right="115"/>
              <w:jc w:val="both"/>
              <w:rPr>
                <w:rFonts w:ascii="GHEA Grapalat" w:hAnsi="GHEA Grapalat"/>
                <w:sz w:val="20"/>
                <w:szCs w:val="20"/>
                <w:lang w:val="hy-AM"/>
              </w:rPr>
            </w:pPr>
            <w:r w:rsidRPr="00423B76">
              <w:rPr>
                <w:rFonts w:ascii="GHEA Grapalat" w:hAnsi="GHEA Grapalat"/>
                <w:sz w:val="20"/>
                <w:szCs w:val="20"/>
                <w:lang w:val="hy-AM"/>
              </w:rPr>
              <w:t>Էներգակիրների խնայողաբար օգտագործում և մրցունակ ապրանքների արտադրություն:</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23.</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r>
              <w:rPr>
                <w:rFonts w:ascii="GHEA Grapalat" w:hAnsi="GHEA Grapalat"/>
                <w:sz w:val="20"/>
                <w:szCs w:val="20"/>
                <w:lang w:val="hy-AM"/>
              </w:rPr>
              <w:t>Ձ</w:t>
            </w:r>
            <w:r w:rsidRPr="00423B76">
              <w:rPr>
                <w:rFonts w:ascii="GHEA Grapalat" w:hAnsi="GHEA Grapalat"/>
                <w:sz w:val="20"/>
                <w:szCs w:val="20"/>
                <w:lang w:val="hy-AM"/>
              </w:rPr>
              <w:t xml:space="preserve">եռնարկատիրական գործունեության պայմանների պարզեցմանը </w:t>
            </w:r>
            <w:r>
              <w:rPr>
                <w:rFonts w:ascii="GHEA Grapalat" w:hAnsi="GHEA Grapalat"/>
                <w:sz w:val="20"/>
                <w:szCs w:val="20"/>
                <w:lang w:val="hy-AM"/>
              </w:rPr>
              <w:t>և</w:t>
            </w:r>
            <w:r w:rsidRPr="00423B76">
              <w:rPr>
                <w:rFonts w:ascii="GHEA Grapalat" w:hAnsi="GHEA Grapalat"/>
                <w:sz w:val="20"/>
                <w:szCs w:val="20"/>
                <w:lang w:val="hy-AM"/>
              </w:rPr>
              <w:t xml:space="preserve"> ԵԱՏՄ շուկաներում առաջխաղացման հնարավորությունների ընդլայնմանն ուղղված ԵԱՏՄ շուկաներում սահմանված տարիֆային </w:t>
            </w:r>
            <w:r>
              <w:rPr>
                <w:rFonts w:ascii="GHEA Grapalat" w:hAnsi="GHEA Grapalat"/>
                <w:sz w:val="20"/>
                <w:szCs w:val="20"/>
                <w:lang w:val="hy-AM"/>
              </w:rPr>
              <w:t>և</w:t>
            </w:r>
            <w:r w:rsidRPr="00423B76">
              <w:rPr>
                <w:rFonts w:ascii="GHEA Grapalat" w:hAnsi="GHEA Grapalat"/>
                <w:sz w:val="20"/>
                <w:szCs w:val="20"/>
                <w:lang w:val="hy-AM"/>
              </w:rPr>
              <w:t xml:space="preserve"> ոչ տարիֆային կարգավորումների զարգացման միջոցների ձեռնարկում</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23.1 </w:t>
            </w:r>
            <w:r w:rsidRPr="00423B76">
              <w:rPr>
                <w:rFonts w:ascii="GHEA Grapalat" w:hAnsi="GHEA Grapalat" w:cs="Sylfaen"/>
                <w:sz w:val="20"/>
                <w:szCs w:val="20"/>
                <w:lang w:val="hy-AM"/>
              </w:rPr>
              <w:t>Տարիֆային և ոչ տարիֆային կարգավորման մասով ՀՀ համար զգայուն ապրանքների ցանկի ձևավորում, դրանց ուղղությամբ մաքսատուրքի դրույքաչափերի և/կամ ոչ տարիֆային միջոցների կիրառման առնչությամբ սահմանված ընթացակարգերի նախաձեռնում</w:t>
            </w:r>
          </w:p>
          <w:p w:rsidR="0068680D" w:rsidRPr="00423B76" w:rsidRDefault="0068680D" w:rsidP="00F47DC4">
            <w:pPr>
              <w:spacing w:line="276" w:lineRule="auto"/>
              <w:ind w:left="360"/>
              <w:jc w:val="both"/>
              <w:rPr>
                <w:color w:val="000000" w:themeColor="text1"/>
                <w:lang w:val="hy-AM"/>
              </w:rPr>
            </w:pPr>
            <w:r w:rsidRPr="00423B76">
              <w:rPr>
                <w:b/>
                <w:lang w:val="hy-AM"/>
              </w:rPr>
              <w:t>1. Միջոցառման իրականացման անհրաժեշտությունը և նպատակը</w:t>
            </w:r>
          </w:p>
          <w:p w:rsidR="0068680D" w:rsidRPr="00423B76" w:rsidRDefault="0068680D" w:rsidP="00F47DC4">
            <w:pPr>
              <w:spacing w:line="276" w:lineRule="auto"/>
              <w:jc w:val="both"/>
              <w:rPr>
                <w:color w:val="000000" w:themeColor="text1"/>
                <w:lang w:val="hy-AM"/>
              </w:rPr>
            </w:pPr>
            <w:r w:rsidRPr="00423B76">
              <w:rPr>
                <w:rFonts w:cs="Sylfaen"/>
                <w:color w:val="000000"/>
                <w:lang w:val="hy-AM"/>
              </w:rPr>
              <w:t xml:space="preserve">Միջոցառման իրակացման անհրաժեշտությունը պայմանավորված է </w:t>
            </w:r>
            <w:r w:rsidRPr="00DD1660">
              <w:rPr>
                <w:lang w:val="af-ZA"/>
              </w:rPr>
              <w:t xml:space="preserve">ՀՀ Ազգային ժողովի 14.02.2019թ. N ԱԺՈ-002-Ն որոշմամբ հավանության արժանացած </w:t>
            </w:r>
            <w:r w:rsidRPr="00DD1660">
              <w:rPr>
                <w:lang w:val="hy-AM"/>
              </w:rPr>
              <w:t>ՀՀ</w:t>
            </w:r>
            <w:r w:rsidRPr="00DD1660">
              <w:rPr>
                <w:lang w:val="af-ZA"/>
              </w:rPr>
              <w:t xml:space="preserve"> կառավարության ծրագրի</w:t>
            </w:r>
            <w:r w:rsidRPr="00423B76">
              <w:rPr>
                <w:rFonts w:cs="Sylfaen"/>
                <w:color w:val="000000"/>
                <w:lang w:val="hy-AM"/>
              </w:rPr>
              <w:t xml:space="preserve"> 5.9 բաժնի դրույթներով, ինչպես նաև</w:t>
            </w:r>
            <w:r w:rsidRPr="00423B76">
              <w:rPr>
                <w:rFonts w:cs="Sylfaen"/>
                <w:lang w:val="hy-AM"/>
              </w:rPr>
              <w:t xml:space="preserve"> </w:t>
            </w:r>
            <w:r w:rsidRPr="00423B76">
              <w:rPr>
                <w:color w:val="000000" w:themeColor="text1"/>
                <w:lang w:val="hy-AM"/>
              </w:rPr>
              <w:t xml:space="preserve">ԵԱՏՄ համագործակցության շրջանակներում սակագնային և ոչ սակագնային կարգավորման ոլորտում իրականացվող միջոցառումների մշակմամբ և համակարգմամբ, ԵԱՏՄ չափանիշներին համապատասխանեցմամբ: Միջոցառման իրակացման նպատակն է ՀՀ տնտեսվարող սուբյեկտների համար արտահանման և ներմուծման գործընթացների դյուրացումը, բարենպաստ պայմանների ապահովումը, արտադրական հզորությունների ավելացումը: </w:t>
            </w:r>
          </w:p>
          <w:p w:rsidR="0068680D" w:rsidRPr="00423B76" w:rsidRDefault="0068680D" w:rsidP="0068680D">
            <w:pPr>
              <w:pStyle w:val="ListParagraph"/>
              <w:widowControl w:val="0"/>
              <w:numPr>
                <w:ilvl w:val="1"/>
                <w:numId w:val="338"/>
              </w:numPr>
              <w:spacing w:line="276" w:lineRule="auto"/>
              <w:ind w:right="14"/>
              <w:jc w:val="both"/>
              <w:rPr>
                <w:b/>
                <w:bCs/>
                <w:lang w:val="hy-AM"/>
              </w:rPr>
            </w:pPr>
            <w:r w:rsidRPr="00423B76">
              <w:rPr>
                <w:rFonts w:cs="Sylfaen"/>
                <w:b/>
                <w:bCs/>
                <w:lang w:val="hy-AM"/>
              </w:rPr>
              <w:t>Կարգավորման</w:t>
            </w:r>
            <w:r w:rsidRPr="00423B76">
              <w:rPr>
                <w:b/>
                <w:bCs/>
                <w:lang w:val="hy-AM"/>
              </w:rPr>
              <w:t xml:space="preserve"> հարաբերությունների ներկա վիճակը և առկա խնդիրները</w:t>
            </w:r>
          </w:p>
          <w:p w:rsidR="0068680D" w:rsidRPr="00423B76" w:rsidRDefault="0068680D" w:rsidP="00F47DC4">
            <w:pPr>
              <w:spacing w:line="276" w:lineRule="auto"/>
              <w:jc w:val="both"/>
              <w:rPr>
                <w:color w:val="000000" w:themeColor="text1"/>
                <w:lang w:val="hy-AM"/>
              </w:rPr>
            </w:pPr>
            <w:r w:rsidRPr="00423B76">
              <w:rPr>
                <w:color w:val="000000" w:themeColor="text1"/>
                <w:lang w:val="hy-AM"/>
              </w:rPr>
              <w:t>Ներկայումս ՀՀ տնտեսվարող սուբյեկտների համար որոշ ապրանքների մասով գործող մաքսատուրքերի դրույքաչափերի, ինչպես նաև ոչ սակագնային կարգավորման միջոցների կիրառման հետ կապված առկա են որոշակի դժվարություններ:</w:t>
            </w:r>
          </w:p>
          <w:p w:rsidR="0068680D" w:rsidRPr="00423B76" w:rsidRDefault="0068680D" w:rsidP="0068680D">
            <w:pPr>
              <w:pStyle w:val="ListParagraph"/>
              <w:widowControl w:val="0"/>
              <w:numPr>
                <w:ilvl w:val="1"/>
                <w:numId w:val="338"/>
              </w:numPr>
              <w:spacing w:line="276" w:lineRule="auto"/>
              <w:ind w:right="14"/>
              <w:jc w:val="both"/>
              <w:rPr>
                <w:rFonts w:cs="Sylfaen"/>
                <w:b/>
                <w:bCs/>
                <w:lang w:val="hy-AM"/>
              </w:rPr>
            </w:pPr>
            <w:r w:rsidRPr="00423B76">
              <w:rPr>
                <w:rFonts w:cs="Sylfaen"/>
                <w:b/>
                <w:bCs/>
                <w:lang w:val="hy-AM"/>
              </w:rPr>
              <w:t>Առկա խնդիրների առաջարկվող լուծումները</w:t>
            </w:r>
          </w:p>
          <w:p w:rsidR="0068680D" w:rsidRPr="00423B76" w:rsidRDefault="0068680D" w:rsidP="00F47DC4">
            <w:pPr>
              <w:spacing w:line="276" w:lineRule="auto"/>
              <w:ind w:right="14"/>
              <w:jc w:val="both"/>
              <w:rPr>
                <w:color w:val="000000" w:themeColor="text1"/>
                <w:lang w:val="hy-AM"/>
              </w:rPr>
            </w:pPr>
            <w:r w:rsidRPr="00423B76">
              <w:rPr>
                <w:lang w:val="hy-AM"/>
              </w:rPr>
              <w:t>Առաջարկվում է իրականացնել ՀՀ համար զգայուն հանդիսացող ապրանքների մասով գործող մաքսատուրքերի դրույքաչափերի, ինչպես նաև ոչ սակագնային կարգավորման միջոցների մասով հիմնախնդիրների ուսումնասիրություն և դրանց լուծման ուղղությամբ աշխատանքների իրականացում: Մասնավորապես ա</w:t>
            </w:r>
            <w:r w:rsidRPr="00423B76">
              <w:rPr>
                <w:color w:val="000000" w:themeColor="text1"/>
                <w:lang w:val="hy-AM"/>
              </w:rPr>
              <w:t xml:space="preserve">ռաջարկվում է ՀՀ համար զգայուն հանդիսացող ապրանքների մասով Եվրասիական տնտեսական հանձնաժողով առաջարկությունների ներկայացում՝ իրավական կարգավորումն ապահովման նպատակով: </w:t>
            </w:r>
          </w:p>
          <w:p w:rsidR="0068680D" w:rsidRPr="00423B76" w:rsidRDefault="0068680D" w:rsidP="00F47DC4">
            <w:pPr>
              <w:pStyle w:val="NormalWeb"/>
              <w:widowControl w:val="0"/>
              <w:spacing w:before="0" w:beforeAutospacing="0" w:after="0" w:afterAutospacing="0" w:line="276" w:lineRule="auto"/>
              <w:ind w:right="14" w:firstLine="360"/>
              <w:jc w:val="both"/>
              <w:rPr>
                <w:rFonts w:ascii="GHEA Grapalat" w:hAnsi="GHEA Grapalat"/>
                <w:b/>
                <w:sz w:val="20"/>
                <w:szCs w:val="20"/>
                <w:lang w:val="hy-AM" w:eastAsia="en-GB"/>
              </w:rPr>
            </w:pPr>
            <w:r w:rsidRPr="00423B76">
              <w:rPr>
                <w:rFonts w:ascii="GHEA Grapalat" w:hAnsi="GHEA Grapalat"/>
                <w:b/>
                <w:sz w:val="20"/>
                <w:szCs w:val="20"/>
                <w:lang w:val="hy-AM" w:eastAsia="en-GB"/>
              </w:rPr>
              <w:t>2. Միջոցառման իրականացումից ակնկալվող արդյունքը</w:t>
            </w:r>
          </w:p>
          <w:p w:rsidR="0068680D" w:rsidRPr="00423B76" w:rsidRDefault="0068680D" w:rsidP="00F47DC4">
            <w:pPr>
              <w:spacing w:line="276" w:lineRule="auto"/>
              <w:jc w:val="both"/>
              <w:rPr>
                <w:color w:val="000000" w:themeColor="text1"/>
                <w:lang w:val="hy-AM"/>
              </w:rPr>
            </w:pPr>
            <w:r w:rsidRPr="00423B76">
              <w:rPr>
                <w:color w:val="000000" w:themeColor="text1"/>
                <w:lang w:val="hy-AM"/>
              </w:rPr>
              <w:t>Միջոցառման իրակացման արդյունքում ակնկալվում է մ</w:t>
            </w:r>
            <w:r w:rsidRPr="00423B76">
              <w:rPr>
                <w:lang w:val="hy-AM"/>
              </w:rPr>
              <w:t>ի շարք ապրանքատեսակների մասով հայրենական արտադրողների և/կամ սպառողների համար առավել նպաստավոր պայմանների ապահովում:</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24.</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r>
              <w:rPr>
                <w:rFonts w:ascii="GHEA Grapalat" w:hAnsi="GHEA Grapalat"/>
                <w:sz w:val="20"/>
                <w:szCs w:val="20"/>
                <w:lang w:val="hy-AM"/>
              </w:rPr>
              <w:t>Ա</w:t>
            </w:r>
            <w:r w:rsidRPr="00423B76">
              <w:rPr>
                <w:rFonts w:ascii="GHEA Grapalat" w:hAnsi="GHEA Grapalat"/>
                <w:sz w:val="20"/>
                <w:szCs w:val="20"/>
                <w:lang w:val="hy-AM"/>
              </w:rPr>
              <w:t xml:space="preserve">րտահանման մեծ ներուժ ունեցող ոլորտներում ներդրումային ծրագրերի օժանդակություն՝ օրենսդրությամբ սահմանված հարկային </w:t>
            </w:r>
            <w:r>
              <w:rPr>
                <w:rFonts w:ascii="GHEA Grapalat" w:hAnsi="GHEA Grapalat"/>
                <w:sz w:val="20"/>
                <w:szCs w:val="20"/>
                <w:lang w:val="hy-AM"/>
              </w:rPr>
              <w:t>և</w:t>
            </w:r>
            <w:r w:rsidRPr="00423B76">
              <w:rPr>
                <w:rFonts w:ascii="GHEA Grapalat" w:hAnsi="GHEA Grapalat"/>
                <w:sz w:val="20"/>
                <w:szCs w:val="20"/>
                <w:lang w:val="hy-AM"/>
              </w:rPr>
              <w:t xml:space="preserve"> մաքսային խթանիչ պայմաններ ստեղծելու ճանապարհով</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24.1 </w:t>
            </w:r>
            <w:r w:rsidRPr="00423B76">
              <w:rPr>
                <w:rFonts w:ascii="GHEA Grapalat" w:hAnsi="GHEA Grapalat" w:cs="Sylfaen"/>
                <w:sz w:val="20"/>
                <w:szCs w:val="20"/>
                <w:lang w:val="hy-AM"/>
              </w:rPr>
              <w:t>ՀՀ-ում ազատ տնտեսական գոտիների զարգացման հայեցակարգային մոտեցումների մշակում</w:t>
            </w:r>
          </w:p>
          <w:p w:rsidR="0068680D" w:rsidRPr="00423B76" w:rsidRDefault="0068680D" w:rsidP="0068680D">
            <w:pPr>
              <w:pStyle w:val="NormalWeb"/>
              <w:widowControl w:val="0"/>
              <w:numPr>
                <w:ilvl w:val="0"/>
                <w:numId w:val="436"/>
              </w:numPr>
              <w:spacing w:before="0" w:beforeAutospacing="0" w:after="0" w:afterAutospacing="0" w:line="276" w:lineRule="auto"/>
              <w:ind w:right="14"/>
              <w:jc w:val="both"/>
              <w:rPr>
                <w:rFonts w:ascii="GHEA Grapalat" w:hAnsi="GHEA Grapalat"/>
                <w:b/>
                <w:sz w:val="20"/>
                <w:szCs w:val="20"/>
                <w:lang w:val="hy-AM" w:eastAsia="en-GB"/>
              </w:rPr>
            </w:pPr>
            <w:r w:rsidRPr="00423B76">
              <w:rPr>
                <w:rFonts w:ascii="GHEA Grapalat" w:hAnsi="GHEA Grapalat"/>
                <w:b/>
                <w:sz w:val="20"/>
                <w:szCs w:val="20"/>
                <w:lang w:val="hy-AM" w:eastAsia="en-GB"/>
              </w:rPr>
              <w:t>Միջոցառման իրականացման անհրաժեշտությունը և նպատակը</w:t>
            </w:r>
          </w:p>
          <w:p w:rsidR="0068680D" w:rsidRPr="00423B76" w:rsidRDefault="0068680D" w:rsidP="00F47DC4">
            <w:pPr>
              <w:widowControl w:val="0"/>
              <w:spacing w:line="276" w:lineRule="auto"/>
              <w:ind w:right="14"/>
              <w:jc w:val="both"/>
              <w:rPr>
                <w:lang w:val="hy-AM"/>
              </w:rPr>
            </w:pPr>
            <w:r w:rsidRPr="00423B76">
              <w:rPr>
                <w:lang w:val="hy-AM"/>
              </w:rPr>
              <w:t>Ներկա դրությամբ Հայաստանում գործում է 4 ազատ տնտեսական գոտի։ Վերոնշյալ ազատ տնտեսական գոտիներում շահագործողների ներգրավվածության մակարդակի և փաստացի արդյունքների կատարման ուսումնասիրությունը ցույց տվեց հայտարարագրված ցուցանիշների էական թերկատարում, որը պայմանավորված է մի շարք օբյեկտիվ և սուբյեկտիվ գործոններով: Վերոնշյալ խնդիրները լուծելու և դրա արդյունքում ազատ տնտեսական գոտիների գործունեությունն ակտիվացնելու համար անհրաժեշտություն է առաջացել ազատ տնտեսական գոտիների զարգացման հայեցակարգային մոտեցումների մշակման:</w:t>
            </w:r>
          </w:p>
          <w:p w:rsidR="0068680D" w:rsidRPr="00423B76" w:rsidRDefault="0068680D" w:rsidP="0068680D">
            <w:pPr>
              <w:pStyle w:val="ListParagraph"/>
              <w:widowControl w:val="0"/>
              <w:numPr>
                <w:ilvl w:val="1"/>
                <w:numId w:val="437"/>
              </w:numPr>
              <w:tabs>
                <w:tab w:val="left" w:pos="1134"/>
              </w:tabs>
              <w:spacing w:line="276" w:lineRule="auto"/>
              <w:ind w:right="14" w:hanging="153"/>
              <w:jc w:val="both"/>
              <w:rPr>
                <w:b/>
                <w:lang w:val="hy-AM"/>
              </w:rPr>
            </w:pPr>
            <w:r w:rsidRPr="00423B76">
              <w:rPr>
                <w:b/>
                <w:lang w:val="hy-AM"/>
              </w:rPr>
              <w:t>Կարգավորման հարաբերությունների ներկա վիճակը և առկա խնդիրները</w:t>
            </w:r>
          </w:p>
          <w:p w:rsidR="0068680D" w:rsidRPr="00423B76" w:rsidRDefault="0068680D" w:rsidP="00F47DC4">
            <w:pPr>
              <w:widowControl w:val="0"/>
              <w:spacing w:line="276" w:lineRule="auto"/>
              <w:ind w:right="14"/>
              <w:jc w:val="both"/>
              <w:rPr>
                <w:lang w:val="hy-AM"/>
              </w:rPr>
            </w:pPr>
            <w:r w:rsidRPr="00423B76">
              <w:rPr>
                <w:lang w:val="hy-AM"/>
              </w:rPr>
              <w:t>Հայաստանում ազատ տնտեսական գոտիների ստեղծման հիմնական նպատակներից են ուղղակի օտարերկրյա ներդրումների ներգրավումը, դրա արդյունքում առաջադեմ տեխնոլոգիաների ներդրման միջոցով արտահանման ծավալների աճի խթանումը, նոր աշխատատեղերի ստեղծումը: Հայաստանում գործում է 4 ազատ տնտեսական գոտի, որոնցից ամենահինը` 2013 թվականից: Այնուամենայնիվ ներկա փուլում ազատ տնտեսական գոտիները գրանցում են հայտարարված ցուցանիշների թերկատարում ներդրումների և աշխատատեղերի մասով: Ուսումնասիրությունների արդյունքում դուրս են բերվել ազատ տնտեսական գոտիների արդյունավետությանը խոչընդոտող մի շարք գործոններ, ինչպիսիք են, օրինակ, հարկային արտոնությունների ոչ ամբողջ ծավալով գործելը, ԵԱՏՄ շրջանակներում մաքսային կարգավորումները, մաքսային կարգավորումների բազմազանությունը,  (և մաքսային կարգավորումները, ԱՏԳ կառավարման խնդիրները, շահագործողների ներգրավման / մարկետինգային պասիվ քաղաքականությունը, կազմակերպիչների կարողությունների պակասը, ենթակառուցվածքների թերզարգացվածությունը և այլն: Վերոնշյալ խնդիրները պահանջում են շահագրգիռ կողմերի ընդգրկվածություն և համալիր լուծումներ,  որոնք համահունչ կլինեն երկրի տնտեսական զարգացման տեսլականին:</w:t>
            </w:r>
          </w:p>
          <w:p w:rsidR="0068680D" w:rsidRPr="00423B76" w:rsidRDefault="0068680D" w:rsidP="0068680D">
            <w:pPr>
              <w:pStyle w:val="ListParagraph"/>
              <w:widowControl w:val="0"/>
              <w:numPr>
                <w:ilvl w:val="1"/>
                <w:numId w:val="437"/>
              </w:numPr>
              <w:tabs>
                <w:tab w:val="left" w:pos="1134"/>
              </w:tabs>
              <w:spacing w:line="276" w:lineRule="auto"/>
              <w:ind w:right="14" w:hanging="153"/>
              <w:jc w:val="both"/>
              <w:rPr>
                <w:b/>
                <w:lang w:val="hy-AM"/>
              </w:rPr>
            </w:pPr>
            <w:r w:rsidRPr="00423B76">
              <w:rPr>
                <w:b/>
                <w:lang w:val="hy-AM"/>
              </w:rPr>
              <w:t>Առկա խնդիրների առաջարկվող լուծումները</w:t>
            </w:r>
          </w:p>
          <w:p w:rsidR="0068680D" w:rsidRPr="00423B76" w:rsidRDefault="0068680D" w:rsidP="00F47DC4">
            <w:pPr>
              <w:widowControl w:val="0"/>
              <w:spacing w:line="276" w:lineRule="auto"/>
              <w:ind w:right="14"/>
              <w:jc w:val="both"/>
              <w:rPr>
                <w:lang w:val="hy-AM"/>
              </w:rPr>
            </w:pPr>
            <w:r w:rsidRPr="00423B76">
              <w:rPr>
                <w:lang w:val="hy-AM"/>
              </w:rPr>
              <w:t>Ազատ տնտեսական գոտիների արդյունավետության բարձրացման նպատակով նախատեսված է ազատ տնտեսական գոտիների զարգացման համակարգի մշակում, որով կգնահատվի ազատ տնտեսական գոտիների զարգացման մասով տարվեղ քաղաքականությունը, նորմատիվ և ինստիտուցիոնալ միջավայրը, կազմակերպման խնիրները, պետության և մասնավոր կազմակերպիչների համագործակցության մոտեցումները, ինչպե նաև կառաջարկվեն վերոնշյալ խնդիրների լուծումները:</w:t>
            </w:r>
          </w:p>
          <w:p w:rsidR="0068680D" w:rsidRPr="00423B76" w:rsidRDefault="0068680D" w:rsidP="0068680D">
            <w:pPr>
              <w:pStyle w:val="NormalWeb"/>
              <w:widowControl w:val="0"/>
              <w:numPr>
                <w:ilvl w:val="0"/>
                <w:numId w:val="437"/>
              </w:numPr>
              <w:spacing w:before="0" w:beforeAutospacing="0" w:after="0" w:afterAutospacing="0" w:line="276" w:lineRule="auto"/>
              <w:ind w:right="14"/>
              <w:jc w:val="both"/>
              <w:rPr>
                <w:rFonts w:ascii="GHEA Grapalat" w:hAnsi="GHEA Grapalat"/>
                <w:b/>
                <w:sz w:val="20"/>
                <w:szCs w:val="20"/>
                <w:lang w:val="hy-AM" w:eastAsia="en-GB"/>
              </w:rPr>
            </w:pPr>
            <w:r w:rsidRPr="00423B76">
              <w:rPr>
                <w:rFonts w:ascii="GHEA Grapalat" w:hAnsi="GHEA Grapalat"/>
                <w:b/>
                <w:sz w:val="20"/>
                <w:szCs w:val="20"/>
                <w:lang w:val="hy-AM" w:eastAsia="en-GB"/>
              </w:rPr>
              <w:t>Միջոցառման իրականացումից ակնկալվող արդյունքը</w:t>
            </w:r>
          </w:p>
          <w:p w:rsidR="0068680D" w:rsidRPr="00423B76" w:rsidRDefault="0068680D" w:rsidP="00F47DC4">
            <w:pPr>
              <w:widowControl w:val="0"/>
              <w:spacing w:line="276" w:lineRule="auto"/>
              <w:ind w:right="14"/>
              <w:jc w:val="both"/>
              <w:rPr>
                <w:lang w:val="hy-AM"/>
              </w:rPr>
            </w:pPr>
            <w:r w:rsidRPr="00423B76">
              <w:rPr>
                <w:lang w:val="hy-AM"/>
              </w:rPr>
              <w:t>Հայաստանում ազատ տնտեսական գոտիների զարգացման հայեցակարգային մոտեցումների առկայություն:</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25.</w:t>
            </w:r>
          </w:p>
        </w:tc>
        <w:tc>
          <w:tcPr>
            <w:tcW w:w="10885" w:type="dxa"/>
          </w:tcPr>
          <w:p w:rsidR="0068680D"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r w:rsidRPr="00D1769E">
              <w:rPr>
                <w:rFonts w:ascii="GHEA Grapalat" w:hAnsi="GHEA Grapalat"/>
                <w:sz w:val="20"/>
                <w:szCs w:val="20"/>
                <w:highlight w:val="yellow"/>
                <w:lang w:val="hy-AM"/>
              </w:rPr>
              <w:t>Պետական գույքի կառավարման ոլորտի բարեփոխում</w:t>
            </w:r>
          </w:p>
          <w:p w:rsidR="0068680D"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p>
          <w:p w:rsidR="0068680D"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r>
              <w:rPr>
                <w:rFonts w:ascii="GHEA Grapalat" w:hAnsi="GHEA Grapalat"/>
                <w:sz w:val="20"/>
                <w:szCs w:val="20"/>
                <w:highlight w:val="yellow"/>
                <w:lang w:val="hy-AM"/>
              </w:rPr>
              <w:t xml:space="preserve">25.1 </w:t>
            </w:r>
            <w:r w:rsidRPr="00D1769E">
              <w:rPr>
                <w:rFonts w:ascii="GHEA Grapalat" w:hAnsi="GHEA Grapalat"/>
                <w:sz w:val="20"/>
                <w:szCs w:val="20"/>
                <w:highlight w:val="yellow"/>
                <w:lang w:val="hy-AM"/>
              </w:rPr>
              <w:t>Պետական գույքի ոլորտի ռազմավարական փաստաթուղթը ՀՀ վարչապետի աշխատակազմ ներկայացնելը</w:t>
            </w:r>
          </w:p>
          <w:p w:rsidR="0068680D"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p>
          <w:p w:rsidR="0068680D"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p>
          <w:p w:rsidR="0068680D"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26.</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outlineLvl w:val="0"/>
              <w:rPr>
                <w:rFonts w:ascii="GHEA Grapalat" w:hAnsi="GHEA Grapalat"/>
                <w:sz w:val="20"/>
                <w:szCs w:val="20"/>
                <w:lang w:val="hy-AM"/>
              </w:rPr>
            </w:pPr>
            <w:r w:rsidRPr="00423B76">
              <w:rPr>
                <w:rFonts w:ascii="GHEA Grapalat" w:hAnsi="GHEA Grapalat"/>
                <w:sz w:val="20"/>
                <w:szCs w:val="20"/>
                <w:lang w:val="hy-AM"/>
              </w:rPr>
              <w:t>Պետական գույքի հաշվառման գործընթացի բարելավում անշարժ գույքի մոնիտորինգի համակարգի ներդրում</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26.1 </w:t>
            </w:r>
            <w:r w:rsidRPr="00423B76">
              <w:rPr>
                <w:rFonts w:ascii="GHEA Grapalat" w:hAnsi="GHEA Grapalat" w:cs="Sylfaen"/>
                <w:sz w:val="20"/>
                <w:szCs w:val="20"/>
                <w:lang w:val="hy-AM"/>
              </w:rPr>
              <w:t>«Հայաստանի Հանրապետության կառավարության 2006 թվականի հունվարի 26-ի N346-Ն որոշման մեջ փոփոխություններ և լրացումներ կատարելու մասին» ՀՀ կառավարության որոշման նախագիծը ՀՀ վարչապետի աշխատակազմ ներկայացնելը</w:t>
            </w:r>
          </w:p>
          <w:p w:rsidR="0068680D" w:rsidRPr="00423B76" w:rsidRDefault="0068680D" w:rsidP="0068680D">
            <w:pPr>
              <w:pStyle w:val="NormalWeb"/>
              <w:widowControl w:val="0"/>
              <w:numPr>
                <w:ilvl w:val="0"/>
                <w:numId w:val="361"/>
              </w:numPr>
              <w:spacing w:before="0" w:beforeAutospacing="0" w:after="0" w:afterAutospacing="0" w:line="276" w:lineRule="auto"/>
              <w:ind w:right="115"/>
              <w:rPr>
                <w:rFonts w:ascii="GHEA Grapalat" w:hAnsi="GHEA Grapalat"/>
                <w:b/>
                <w:sz w:val="20"/>
                <w:szCs w:val="20"/>
                <w:lang w:val="hy-AM" w:eastAsia="en-GB"/>
              </w:rPr>
            </w:pPr>
            <w:r w:rsidRPr="00423B76">
              <w:rPr>
                <w:rFonts w:ascii="GHEA Grapalat" w:hAnsi="GHEA Grapalat"/>
                <w:b/>
                <w:sz w:val="20"/>
                <w:szCs w:val="20"/>
                <w:lang w:val="hy-AM" w:eastAsia="en-GB"/>
              </w:rPr>
              <w:t>Միջոցառման իրակացման անհրաժեշտությունը և նպատակը</w:t>
            </w:r>
          </w:p>
          <w:p w:rsidR="0068680D" w:rsidRPr="00423B76" w:rsidRDefault="0068680D" w:rsidP="00F47DC4">
            <w:pPr>
              <w:pStyle w:val="NormalWeb"/>
              <w:spacing w:before="0" w:beforeAutospacing="0" w:after="0" w:afterAutospacing="0" w:line="276" w:lineRule="auto"/>
              <w:jc w:val="both"/>
              <w:rPr>
                <w:rFonts w:ascii="GHEA Grapalat" w:hAnsi="GHEA Grapalat" w:cs="Arial"/>
                <w:bCs/>
                <w:kern w:val="16"/>
                <w:sz w:val="20"/>
                <w:szCs w:val="20"/>
                <w:lang w:val="hy-AM"/>
              </w:rPr>
            </w:pPr>
            <w:r w:rsidRPr="00423B76">
              <w:rPr>
                <w:rFonts w:ascii="GHEA Grapalat" w:hAnsi="GHEA Grapalat" w:cs="Arial"/>
                <w:bCs/>
                <w:kern w:val="16"/>
                <w:sz w:val="20"/>
                <w:szCs w:val="20"/>
                <w:lang w:val="hy-AM"/>
              </w:rPr>
              <w:t xml:space="preserve">Հայաստանի Հանրապետության կառավարության 2006 թվականի հունվարի 26-ի N346-Ն որոշման մեջ փոփոխությունները և լրացումները պայմանավորմած է </w:t>
            </w:r>
            <w:r w:rsidRPr="00DD1660">
              <w:rPr>
                <w:rFonts w:ascii="GHEA Grapalat" w:hAnsi="GHEA Grapalat"/>
                <w:sz w:val="20"/>
                <w:lang w:val="af-ZA"/>
              </w:rPr>
              <w:t xml:space="preserve">ՀՀ Ազգային ժողովի 14.02.2019թ. N ԱԺՈ-002-Ն որոշմամբ հավանության արժանացած </w:t>
            </w:r>
            <w:r w:rsidRPr="00DD1660">
              <w:rPr>
                <w:rFonts w:ascii="GHEA Grapalat" w:hAnsi="GHEA Grapalat"/>
                <w:sz w:val="20"/>
                <w:lang w:val="hy-AM"/>
              </w:rPr>
              <w:t>ՀՀ</w:t>
            </w:r>
            <w:r w:rsidRPr="00DD1660">
              <w:rPr>
                <w:rFonts w:ascii="GHEA Grapalat" w:hAnsi="GHEA Grapalat"/>
                <w:sz w:val="20"/>
                <w:lang w:val="af-ZA"/>
              </w:rPr>
              <w:t xml:space="preserve"> կառավարության ծրագրի</w:t>
            </w:r>
            <w:r w:rsidRPr="00423B76">
              <w:rPr>
                <w:rFonts w:ascii="GHEA Grapalat" w:hAnsi="GHEA Grapalat" w:cs="Arial"/>
                <w:bCs/>
                <w:kern w:val="16"/>
                <w:sz w:val="20"/>
                <w:szCs w:val="20"/>
                <w:lang w:val="hy-AM"/>
              </w:rPr>
              <w:t xml:space="preserve"> 6-րդ բաժնի 6.6.-րդ կետի 1-ին պարբերության կատարումն ապահովելու անհրաժեշտությամբ: Մասնավորապես՝ պետական սեփականություն հանդիսացող շենքերն ու տարածքները պետական գույքի կառավարման լիազոր մարմնին հանձնելը, սեփականության իրավունքի գրանցում չունեցող շենքերի, շինությունների նկատմամբ Հայաստանի Հանրապետության սեփականության իրավունքի գրանցման աշխատանքների իրականացնելը։</w:t>
            </w:r>
          </w:p>
          <w:p w:rsidR="0068680D" w:rsidRPr="00423B76" w:rsidRDefault="0068680D" w:rsidP="0068680D">
            <w:pPr>
              <w:widowControl w:val="0"/>
              <w:numPr>
                <w:ilvl w:val="1"/>
                <w:numId w:val="362"/>
              </w:numPr>
              <w:spacing w:line="276" w:lineRule="auto"/>
              <w:ind w:right="115"/>
              <w:rPr>
                <w:rFonts w:cs="Arial"/>
                <w:bCs/>
                <w:kern w:val="16"/>
                <w:lang w:val="hy-AM"/>
              </w:rPr>
            </w:pPr>
            <w:r w:rsidRPr="00423B76">
              <w:rPr>
                <w:b/>
                <w:lang w:val="hy-AM"/>
              </w:rPr>
              <w:t>Կարգավորման հարաբերությունների ներկա վիճակը և առկա խնդիրները</w:t>
            </w:r>
          </w:p>
          <w:p w:rsidR="0068680D" w:rsidRPr="00423B76" w:rsidRDefault="0068680D" w:rsidP="00F47DC4">
            <w:pPr>
              <w:spacing w:line="276" w:lineRule="auto"/>
              <w:jc w:val="both"/>
              <w:rPr>
                <w:rFonts w:cs="Arial"/>
                <w:bCs/>
                <w:kern w:val="16"/>
                <w:lang w:val="hy-AM"/>
              </w:rPr>
            </w:pPr>
            <w:r w:rsidRPr="00423B76">
              <w:rPr>
                <w:rFonts w:cs="Arial"/>
                <w:bCs/>
                <w:kern w:val="16"/>
                <w:lang w:val="hy-AM"/>
              </w:rPr>
              <w:t>Ներկայումս  ՀՀ կառավարության 2006 թվականի հունվարի 26-ի N346-Ն որոշմամբ  իրականացվում է պետական ոչ առևտրային կազմակերպություններին (բացառությամբ</w:t>
            </w:r>
            <w:r w:rsidRPr="00423B76">
              <w:rPr>
                <w:rFonts w:ascii="Calibri" w:hAnsi="Calibri" w:cs="Calibri"/>
                <w:bCs/>
                <w:kern w:val="16"/>
                <w:lang w:val="hy-AM"/>
              </w:rPr>
              <w:t> </w:t>
            </w:r>
            <w:r w:rsidRPr="00423B76">
              <w:rPr>
                <w:rFonts w:cs="Arial"/>
                <w:bCs/>
                <w:kern w:val="16"/>
                <w:lang w:val="hy-AM"/>
              </w:rPr>
              <w:t xml:space="preserve"> </w:t>
            </w:r>
            <w:r w:rsidRPr="00423B76">
              <w:rPr>
                <w:rFonts w:cs="GHEA Grapalat"/>
                <w:bCs/>
                <w:kern w:val="16"/>
                <w:lang w:val="hy-AM"/>
              </w:rPr>
              <w:t>ՀՀ</w:t>
            </w:r>
            <w:r w:rsidRPr="00423B76">
              <w:rPr>
                <w:rFonts w:cs="Arial"/>
                <w:bCs/>
                <w:kern w:val="16"/>
                <w:lang w:val="hy-AM"/>
              </w:rPr>
              <w:t xml:space="preserve"> </w:t>
            </w:r>
            <w:r w:rsidRPr="00423B76">
              <w:rPr>
                <w:rFonts w:cs="GHEA Grapalat"/>
                <w:bCs/>
                <w:kern w:val="16"/>
                <w:lang w:val="hy-AM"/>
              </w:rPr>
              <w:t>պաշտպանության</w:t>
            </w:r>
            <w:r w:rsidRPr="00423B76">
              <w:rPr>
                <w:rFonts w:cs="Arial"/>
                <w:bCs/>
                <w:kern w:val="16"/>
                <w:lang w:val="hy-AM"/>
              </w:rPr>
              <w:t xml:space="preserve"> </w:t>
            </w:r>
            <w:r w:rsidRPr="00423B76">
              <w:rPr>
                <w:rFonts w:cs="GHEA Grapalat"/>
                <w:bCs/>
                <w:kern w:val="16"/>
                <w:lang w:val="hy-AM"/>
              </w:rPr>
              <w:t>նախարարության</w:t>
            </w:r>
            <w:r w:rsidRPr="00423B76">
              <w:rPr>
                <w:rFonts w:cs="Arial"/>
                <w:bCs/>
                <w:kern w:val="16"/>
                <w:lang w:val="hy-AM"/>
              </w:rPr>
              <w:t xml:space="preserve">, </w:t>
            </w:r>
            <w:r w:rsidRPr="00423B76">
              <w:rPr>
                <w:rFonts w:cs="GHEA Grapalat"/>
                <w:bCs/>
                <w:kern w:val="16"/>
                <w:lang w:val="hy-AM"/>
              </w:rPr>
              <w:t>ՀՀ</w:t>
            </w:r>
            <w:r w:rsidRPr="00423B76">
              <w:rPr>
                <w:rFonts w:cs="Arial"/>
                <w:bCs/>
                <w:kern w:val="16"/>
                <w:lang w:val="hy-AM"/>
              </w:rPr>
              <w:t xml:space="preserve"> </w:t>
            </w:r>
            <w:r w:rsidRPr="00423B76">
              <w:rPr>
                <w:rFonts w:cs="GHEA Grapalat"/>
                <w:bCs/>
                <w:kern w:val="16"/>
                <w:lang w:val="hy-AM"/>
              </w:rPr>
              <w:t>ազգայի</w:t>
            </w:r>
            <w:r w:rsidRPr="00423B76">
              <w:rPr>
                <w:rFonts w:cs="Arial"/>
                <w:bCs/>
                <w:kern w:val="16"/>
                <w:lang w:val="hy-AM"/>
              </w:rPr>
              <w:t xml:space="preserve">ն անվտանգության ծառայության, Հայաստանի Հանրապետության ոստիկանության ենթակայության պետական ոչ առևտրային կազմակերպությունների), պետական մասնակցությամբ առևտրային կազմակերպություններին անհատույց օգտագործման իրավունքով տրամադրված շենքերն ու շինությունները հանձնումը Կոմիտեին։ </w:t>
            </w:r>
          </w:p>
          <w:p w:rsidR="0068680D" w:rsidRPr="00423B76" w:rsidRDefault="0068680D" w:rsidP="00F47DC4">
            <w:pPr>
              <w:pStyle w:val="ListParagraph"/>
              <w:spacing w:line="276" w:lineRule="auto"/>
              <w:ind w:left="0"/>
              <w:contextualSpacing w:val="0"/>
              <w:jc w:val="both"/>
              <w:rPr>
                <w:rFonts w:cs="Arial"/>
                <w:bCs/>
                <w:kern w:val="16"/>
                <w:lang w:val="hy-AM"/>
              </w:rPr>
            </w:pPr>
            <w:r w:rsidRPr="00423B76">
              <w:rPr>
                <w:rFonts w:cs="Arial"/>
                <w:bCs/>
                <w:kern w:val="16"/>
                <w:lang w:val="hy-AM"/>
              </w:rPr>
              <w:t>Պետական գույքի կառավարման արդյունավետության հիմնախնդիրն առաջանում է գրեթե ամեն անգամ, երբ որոշում է կայացվում այդ գույքն օգտագործման, վարձակալության, հավատարմագրային կառավարման, կոնցեսիայի իրավունքով մասնավոր անձանց փոխանցելու, անհատույց օգտագործման իրավունքով տրամադրելու, ինչպես նաև պետական գույքի օտարման կամ մասնավորեցման մասին որոշումներ կայացնելու ժամանակ։ Կոմիտեի կողմից արձանագրվել են պետական մարմիններին, պետական ոչ առևտրային և այլ կազմակերպություններին ամրացված մի շարք անշարժ գույք, որոնք փաստացի չեն օգտագործվում կամ օգտագործվում են ոչ արդյունավետ, ոչ մասնակի և միաժամանակ այդ գույքի սպասարկման և պահպանման ծախսերը հիմնականում իրականացվում են պետական բյուջեի միջոցներով:</w:t>
            </w:r>
            <w:r w:rsidRPr="00423B76">
              <w:rPr>
                <w:rFonts w:ascii="Calibri" w:hAnsi="Calibri" w:cs="Calibri"/>
                <w:bCs/>
                <w:kern w:val="16"/>
                <w:lang w:val="hy-AM"/>
              </w:rPr>
              <w:t> </w:t>
            </w:r>
            <w:r w:rsidRPr="00423B76">
              <w:rPr>
                <w:rFonts w:cs="GHEA Grapalat"/>
                <w:bCs/>
                <w:kern w:val="16"/>
                <w:lang w:val="hy-AM"/>
              </w:rPr>
              <w:t>Կարելի</w:t>
            </w:r>
            <w:r w:rsidRPr="00423B76">
              <w:rPr>
                <w:rFonts w:cs="Arial"/>
                <w:bCs/>
                <w:kern w:val="16"/>
                <w:lang w:val="hy-AM"/>
              </w:rPr>
              <w:t xml:space="preserve"> </w:t>
            </w:r>
            <w:r w:rsidRPr="00423B76">
              <w:rPr>
                <w:rFonts w:cs="GHEA Grapalat"/>
                <w:bCs/>
                <w:kern w:val="16"/>
                <w:lang w:val="hy-AM"/>
              </w:rPr>
              <w:t>է</w:t>
            </w:r>
            <w:r w:rsidRPr="00423B76">
              <w:rPr>
                <w:rFonts w:cs="Arial"/>
                <w:bCs/>
                <w:kern w:val="16"/>
                <w:lang w:val="hy-AM"/>
              </w:rPr>
              <w:t xml:space="preserve"> </w:t>
            </w:r>
            <w:r w:rsidRPr="00423B76">
              <w:rPr>
                <w:rFonts w:cs="GHEA Grapalat"/>
                <w:bCs/>
                <w:kern w:val="16"/>
                <w:lang w:val="hy-AM"/>
              </w:rPr>
              <w:t>ասել</w:t>
            </w:r>
            <w:r w:rsidRPr="00423B76">
              <w:rPr>
                <w:rFonts w:cs="Arial"/>
                <w:bCs/>
                <w:kern w:val="16"/>
                <w:lang w:val="hy-AM"/>
              </w:rPr>
              <w:t xml:space="preserve">, </w:t>
            </w:r>
            <w:r w:rsidRPr="00423B76">
              <w:rPr>
                <w:rFonts w:cs="GHEA Grapalat"/>
                <w:bCs/>
                <w:kern w:val="16"/>
                <w:lang w:val="hy-AM"/>
              </w:rPr>
              <w:t>որ</w:t>
            </w:r>
            <w:r w:rsidRPr="00423B76">
              <w:rPr>
                <w:rFonts w:cs="Arial"/>
                <w:bCs/>
                <w:kern w:val="16"/>
                <w:lang w:val="hy-AM"/>
              </w:rPr>
              <w:t xml:space="preserve"> </w:t>
            </w:r>
            <w:r w:rsidRPr="00423B76">
              <w:rPr>
                <w:rFonts w:cs="GHEA Grapalat"/>
                <w:bCs/>
                <w:kern w:val="16"/>
                <w:lang w:val="hy-AM"/>
              </w:rPr>
              <w:t>պետական</w:t>
            </w:r>
            <w:r w:rsidRPr="00423B76">
              <w:rPr>
                <w:rFonts w:cs="Arial"/>
                <w:bCs/>
                <w:kern w:val="16"/>
                <w:lang w:val="hy-AM"/>
              </w:rPr>
              <w:t xml:space="preserve"> </w:t>
            </w:r>
            <w:r w:rsidRPr="00423B76">
              <w:rPr>
                <w:rFonts w:cs="GHEA Grapalat"/>
                <w:bCs/>
                <w:kern w:val="16"/>
                <w:lang w:val="hy-AM"/>
              </w:rPr>
              <w:t>գույքի</w:t>
            </w:r>
            <w:r w:rsidRPr="00423B76">
              <w:rPr>
                <w:rFonts w:cs="Arial"/>
                <w:bCs/>
                <w:kern w:val="16"/>
                <w:lang w:val="hy-AM"/>
              </w:rPr>
              <w:t xml:space="preserve"> </w:t>
            </w:r>
            <w:r w:rsidRPr="00423B76">
              <w:rPr>
                <w:rFonts w:cs="GHEA Grapalat"/>
                <w:bCs/>
                <w:kern w:val="16"/>
                <w:lang w:val="hy-AM"/>
              </w:rPr>
              <w:t>արդյունավետ</w:t>
            </w:r>
            <w:r w:rsidRPr="00423B76">
              <w:rPr>
                <w:rFonts w:cs="Arial"/>
                <w:bCs/>
                <w:kern w:val="16"/>
                <w:lang w:val="hy-AM"/>
              </w:rPr>
              <w:t xml:space="preserve">, </w:t>
            </w:r>
            <w:r w:rsidRPr="00423B76">
              <w:rPr>
                <w:rFonts w:cs="GHEA Grapalat"/>
                <w:bCs/>
                <w:kern w:val="16"/>
                <w:lang w:val="hy-AM"/>
              </w:rPr>
              <w:t>նպատակային</w:t>
            </w:r>
            <w:r w:rsidRPr="00423B76">
              <w:rPr>
                <w:rFonts w:cs="Arial"/>
                <w:bCs/>
                <w:kern w:val="16"/>
                <w:lang w:val="hy-AM"/>
              </w:rPr>
              <w:t xml:space="preserve"> </w:t>
            </w:r>
            <w:r w:rsidRPr="00423B76">
              <w:rPr>
                <w:rFonts w:cs="GHEA Grapalat"/>
                <w:bCs/>
                <w:kern w:val="16"/>
                <w:lang w:val="hy-AM"/>
              </w:rPr>
              <w:t>և</w:t>
            </w:r>
            <w:r w:rsidRPr="00423B76">
              <w:rPr>
                <w:rFonts w:cs="Arial"/>
                <w:bCs/>
                <w:kern w:val="16"/>
                <w:lang w:val="hy-AM"/>
              </w:rPr>
              <w:t xml:space="preserve"> </w:t>
            </w:r>
            <w:r w:rsidRPr="00423B76">
              <w:rPr>
                <w:rFonts w:cs="GHEA Grapalat"/>
                <w:bCs/>
                <w:kern w:val="16"/>
                <w:lang w:val="hy-AM"/>
              </w:rPr>
              <w:t>խելամիտ</w:t>
            </w:r>
            <w:r w:rsidRPr="00423B76">
              <w:rPr>
                <w:rFonts w:cs="Arial"/>
                <w:bCs/>
                <w:kern w:val="16"/>
                <w:lang w:val="hy-AM"/>
              </w:rPr>
              <w:t xml:space="preserve"> </w:t>
            </w:r>
            <w:r w:rsidRPr="00423B76">
              <w:rPr>
                <w:rFonts w:cs="GHEA Grapalat"/>
                <w:bCs/>
                <w:kern w:val="16"/>
                <w:lang w:val="hy-AM"/>
              </w:rPr>
              <w:t>կա</w:t>
            </w:r>
            <w:r w:rsidRPr="00423B76">
              <w:rPr>
                <w:rFonts w:cs="Arial"/>
                <w:bCs/>
                <w:kern w:val="16"/>
                <w:lang w:val="hy-AM"/>
              </w:rPr>
              <w:t xml:space="preserve">ռավարումն այսօր լուրջ խնդիր է դարձել պետական կառույցների համար: </w:t>
            </w:r>
          </w:p>
          <w:p w:rsidR="0068680D" w:rsidRPr="00423B76" w:rsidRDefault="0068680D" w:rsidP="0068680D">
            <w:pPr>
              <w:widowControl w:val="0"/>
              <w:numPr>
                <w:ilvl w:val="1"/>
                <w:numId w:val="362"/>
              </w:numPr>
              <w:spacing w:line="276" w:lineRule="auto"/>
              <w:ind w:right="115"/>
              <w:rPr>
                <w:b/>
                <w:lang w:val="hy-AM"/>
              </w:rPr>
            </w:pPr>
            <w:r w:rsidRPr="00423B76">
              <w:rPr>
                <w:b/>
                <w:lang w:val="hy-AM"/>
              </w:rPr>
              <w:t xml:space="preserve">Առկա խնդիրների առաջարկվող լուծումները </w:t>
            </w:r>
          </w:p>
          <w:p w:rsidR="0068680D" w:rsidRPr="00423B76" w:rsidRDefault="0068680D" w:rsidP="00F47DC4">
            <w:pPr>
              <w:spacing w:line="276" w:lineRule="auto"/>
              <w:jc w:val="both"/>
              <w:rPr>
                <w:rFonts w:cs="Arial"/>
                <w:bCs/>
                <w:kern w:val="16"/>
                <w:lang w:val="hy-AM"/>
              </w:rPr>
            </w:pPr>
            <w:r w:rsidRPr="00423B76">
              <w:rPr>
                <w:rFonts w:cs="Arial"/>
                <w:bCs/>
                <w:kern w:val="16"/>
                <w:lang w:val="hy-AM"/>
              </w:rPr>
              <w:t>Այդ հիմնախնդիրները լուծելու համար նպատակահարմար է որ լիազորված մարմինը՝ Կոմիտեն (որի իրավասությունն որպես լիազոր մարմին ամրագրված է նաև «Պետական գույքի կառավարման մասին» ՀՀ օրենքի 6.1-րդ հոդվածով) ապահովվի պետության սեփականություն համարվող գույքի կառավարումը, որի արդյունքում կբարձրանա դրա օգտագործման արդյունավետությունը։ Դա է վկայում նաև պետական գույքի օգտագործման օրենսդրական դաշտի կատարելագործումը, որն հանգեցնում է պետական գույքի հիմնականում մեկ՝ կառավարման լիազորված մարմնի և դրան համապատասխան գործառույթներով օժտելու մոդելի ձևավորումը։</w:t>
            </w:r>
          </w:p>
          <w:p w:rsidR="0068680D" w:rsidRPr="00423B76" w:rsidRDefault="0068680D" w:rsidP="00F47DC4">
            <w:pPr>
              <w:spacing w:line="276" w:lineRule="auto"/>
              <w:jc w:val="both"/>
              <w:rPr>
                <w:rFonts w:cs="Arial"/>
                <w:bCs/>
                <w:kern w:val="16"/>
                <w:lang w:val="hy-AM"/>
              </w:rPr>
            </w:pPr>
            <w:r w:rsidRPr="00423B76">
              <w:rPr>
                <w:rFonts w:cs="Arial"/>
                <w:bCs/>
                <w:kern w:val="16"/>
                <w:lang w:val="hy-AM"/>
              </w:rPr>
              <w:t xml:space="preserve">Նախագծով առաջարկվում է պետական մարմիններին ամրացված պետական ոչ առևտրային կազմակերպությունների, պետական մասնակցությամբ առևտրային կազմակերպություններին անհատույց օգտագործման իրավունքով հանձնված պետական սեփականություն հանդիսացող անշարժ գույքի տնօրինումն իրականացնել Կոմիտեի կողմից։ </w:t>
            </w:r>
          </w:p>
          <w:p w:rsidR="0068680D" w:rsidRPr="00423B76" w:rsidRDefault="0068680D" w:rsidP="00F47DC4">
            <w:pPr>
              <w:pStyle w:val="NormalWeb"/>
              <w:spacing w:before="0" w:beforeAutospacing="0" w:after="0" w:afterAutospacing="0" w:line="276" w:lineRule="auto"/>
              <w:jc w:val="both"/>
              <w:rPr>
                <w:rFonts w:ascii="GHEA Grapalat" w:hAnsi="GHEA Grapalat" w:cs="Arial"/>
                <w:bCs/>
                <w:kern w:val="16"/>
                <w:sz w:val="20"/>
                <w:szCs w:val="20"/>
                <w:lang w:val="hy-AM"/>
              </w:rPr>
            </w:pPr>
            <w:r w:rsidRPr="00423B76">
              <w:rPr>
                <w:rFonts w:ascii="GHEA Grapalat" w:hAnsi="GHEA Grapalat" w:cs="Arial"/>
                <w:bCs/>
                <w:kern w:val="16"/>
                <w:sz w:val="20"/>
                <w:szCs w:val="20"/>
                <w:lang w:val="hy-AM"/>
              </w:rPr>
              <w:t xml:space="preserve">Պետական գույքի կառավարման և դրա օգտագործման արդյունավետության բարձրացման հիմնական ուղղությունները բացահայտելու համար անհրաժեշտություն է առաջանում պետական մարմիններին ամրացված  պետական ոչ առևտրային կազմակերպությունների, պետական մասնակցությամբ առևտրային կազմակերպություններին անհատույց օգտագործման իրավունքով հանձնված պետական սեփականություն հանդիսացող անշարժ գույքը հստակ ամրագրված ժամանակահատվածում հանձնել Կոմիտեի տնօրինությանը։ </w:t>
            </w:r>
          </w:p>
          <w:p w:rsidR="0068680D" w:rsidRPr="00423B76" w:rsidRDefault="0068680D" w:rsidP="0068680D">
            <w:pPr>
              <w:pStyle w:val="NormalWeb"/>
              <w:widowControl w:val="0"/>
              <w:numPr>
                <w:ilvl w:val="0"/>
                <w:numId w:val="361"/>
              </w:numPr>
              <w:spacing w:before="0" w:beforeAutospacing="0" w:after="0" w:afterAutospacing="0" w:line="276" w:lineRule="auto"/>
              <w:ind w:right="115"/>
              <w:rPr>
                <w:rFonts w:ascii="GHEA Grapalat" w:hAnsi="GHEA Grapalat" w:cs="Arial"/>
                <w:bCs/>
                <w:kern w:val="16"/>
                <w:sz w:val="20"/>
                <w:szCs w:val="20"/>
                <w:lang w:val="hy-AM"/>
              </w:rPr>
            </w:pPr>
            <w:r w:rsidRPr="00423B76">
              <w:rPr>
                <w:rFonts w:ascii="GHEA Grapalat" w:hAnsi="GHEA Grapalat"/>
                <w:b/>
                <w:sz w:val="20"/>
                <w:szCs w:val="20"/>
                <w:lang w:val="hy-AM" w:eastAsia="en-GB"/>
              </w:rPr>
              <w:t>Միջոցառման իրականացումից ակնկալվող արդյունքը</w:t>
            </w:r>
          </w:p>
          <w:p w:rsidR="0068680D" w:rsidRPr="00423B76" w:rsidRDefault="0068680D" w:rsidP="00F47DC4">
            <w:pPr>
              <w:pStyle w:val="NormalWeb"/>
              <w:spacing w:before="0" w:beforeAutospacing="0" w:after="0" w:afterAutospacing="0" w:line="276" w:lineRule="auto"/>
              <w:jc w:val="both"/>
              <w:rPr>
                <w:rFonts w:ascii="GHEA Grapalat" w:hAnsi="GHEA Grapalat" w:cs="Arial"/>
                <w:bCs/>
                <w:kern w:val="16"/>
                <w:sz w:val="20"/>
                <w:szCs w:val="20"/>
                <w:lang w:val="hy-AM"/>
              </w:rPr>
            </w:pPr>
            <w:r w:rsidRPr="00423B76">
              <w:rPr>
                <w:rFonts w:ascii="GHEA Grapalat" w:hAnsi="GHEA Grapalat" w:cs="Arial"/>
                <w:bCs/>
                <w:kern w:val="16"/>
                <w:sz w:val="20"/>
                <w:szCs w:val="20"/>
                <w:lang w:val="hy-AM"/>
              </w:rPr>
              <w:t>Իրավական ակտի ընդունման դեպքում՝ կապահովվի պետական սեփականություն համարվող անշարժ գույքի կառավարման ոլորտում պետական գույքի ամբողջական հաշվառումն ու հրապարակայնությունը, թափանցիկ գործընթացների միջոցով կվարվի լիարժեք միասնական քաղաքականություն, կիրականացվի  բոլոր պետական մարմինների ենթակայության իրավունքի գրանցման վկայական ունեցող և չունեցող գույքի հանձնումը Կոմիտեին, որի արդյունքում կբարձրացվի պետական գույքի կառավարման և դրա օգտագործման արդյունավետությունը։</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26.2 </w:t>
            </w:r>
            <w:r w:rsidRPr="00423B76">
              <w:rPr>
                <w:rFonts w:ascii="GHEA Grapalat" w:hAnsi="GHEA Grapalat" w:cs="Sylfaen"/>
                <w:sz w:val="20"/>
                <w:szCs w:val="20"/>
                <w:lang w:val="hy-AM"/>
              </w:rPr>
              <w:t>Սեփականության իրավունքի գրանցում չունեցող անշարժ գույքի ցանկի առանձնացման և  Հայաստանի Հանրապետության սեփականության իրավունքի գրանցման աշխատանքների կազմակերպման և իրականացման նպատակով միջգերատեսչական հանձնաժողովի ստեղծում</w:t>
            </w:r>
          </w:p>
          <w:p w:rsidR="0068680D" w:rsidRPr="00423B76" w:rsidRDefault="0068680D" w:rsidP="00F47DC4">
            <w:pPr>
              <w:pStyle w:val="NormalWeb"/>
              <w:widowControl w:val="0"/>
              <w:spacing w:before="0" w:beforeAutospacing="0" w:after="0" w:afterAutospacing="0" w:line="276" w:lineRule="auto"/>
              <w:ind w:left="180"/>
              <w:jc w:val="both"/>
              <w:rPr>
                <w:rFonts w:ascii="GHEA Grapalat" w:hAnsi="GHEA Grapalat"/>
                <w:b/>
                <w:sz w:val="20"/>
                <w:szCs w:val="20"/>
                <w:lang w:val="hy-AM" w:eastAsia="en-GB"/>
              </w:rPr>
            </w:pPr>
            <w:r w:rsidRPr="00423B76">
              <w:rPr>
                <w:rFonts w:ascii="GHEA Grapalat" w:hAnsi="GHEA Grapalat"/>
                <w:b/>
                <w:sz w:val="20"/>
                <w:szCs w:val="20"/>
                <w:lang w:val="hy-AM" w:eastAsia="en-GB"/>
              </w:rPr>
              <w:t>1. Միջոցառման իրակացման անհրաժեշտությունը և նպատակը</w:t>
            </w:r>
          </w:p>
          <w:p w:rsidR="0068680D" w:rsidRPr="00423B76" w:rsidRDefault="0068680D" w:rsidP="00F47DC4">
            <w:pPr>
              <w:pStyle w:val="ListParagraph"/>
              <w:spacing w:line="276" w:lineRule="auto"/>
              <w:ind w:left="0"/>
              <w:contextualSpacing w:val="0"/>
              <w:jc w:val="both"/>
              <w:rPr>
                <w:rFonts w:cs="Arial"/>
                <w:bCs/>
                <w:kern w:val="16"/>
                <w:lang w:val="hy-AM"/>
              </w:rPr>
            </w:pPr>
            <w:r w:rsidRPr="00423B76">
              <w:rPr>
                <w:rFonts w:cs="Arial"/>
                <w:bCs/>
                <w:kern w:val="16"/>
                <w:lang w:val="hy-AM"/>
              </w:rPr>
              <w:t xml:space="preserve">Միջոցառման իրականացումը բխում է </w:t>
            </w:r>
            <w:r w:rsidRPr="00DD1660">
              <w:rPr>
                <w:lang w:val="af-ZA"/>
              </w:rPr>
              <w:t xml:space="preserve">ՀՀ Ազգային ժողովի 14.02.2019թ. N ԱԺՈ-002-Ն որոշմամբ հավանության արժանացած </w:t>
            </w:r>
            <w:r w:rsidRPr="00DD1660">
              <w:rPr>
                <w:lang w:val="hy-AM"/>
              </w:rPr>
              <w:t>ՀՀ</w:t>
            </w:r>
            <w:r w:rsidRPr="00DD1660">
              <w:rPr>
                <w:lang w:val="af-ZA"/>
              </w:rPr>
              <w:t xml:space="preserve"> կառավարության ծրագրի</w:t>
            </w:r>
            <w:r w:rsidRPr="00423B76">
              <w:rPr>
                <w:rFonts w:cs="Arial"/>
                <w:bCs/>
                <w:kern w:val="16"/>
                <w:lang w:val="hy-AM"/>
              </w:rPr>
              <w:t xml:space="preserve"> 6-րդ բաժնի 6.6.-րդ կետի 1-ին պարբերության դրույթի կատարումն ապահովելու, մասնավորապես՝ պետական սեփականություն համարվող, բայց սեփականության իրավունքի գրանցում չունեցող գույքի նկատմամբ պետական սեփականության իրավունքի ճանաչման անհրաժեշտությունից։</w:t>
            </w:r>
          </w:p>
          <w:p w:rsidR="0068680D" w:rsidRPr="00423B76" w:rsidRDefault="0068680D" w:rsidP="0068680D">
            <w:pPr>
              <w:widowControl w:val="0"/>
              <w:numPr>
                <w:ilvl w:val="1"/>
                <w:numId w:val="418"/>
              </w:numPr>
              <w:spacing w:line="276" w:lineRule="auto"/>
              <w:ind w:left="0" w:firstLine="720"/>
              <w:jc w:val="both"/>
              <w:rPr>
                <w:b/>
                <w:lang w:val="hy-AM"/>
              </w:rPr>
            </w:pPr>
            <w:r w:rsidRPr="00423B76">
              <w:rPr>
                <w:b/>
                <w:lang w:val="hy-AM"/>
              </w:rPr>
              <w:t>Կարգավորման հարաբերությունների ներկա վիճակը և առկա խնդիրները</w:t>
            </w:r>
          </w:p>
          <w:p w:rsidR="0068680D" w:rsidRPr="00423B76" w:rsidRDefault="0068680D" w:rsidP="00F47DC4">
            <w:pPr>
              <w:pStyle w:val="ListParagraph"/>
              <w:spacing w:line="276" w:lineRule="auto"/>
              <w:ind w:left="0"/>
              <w:contextualSpacing w:val="0"/>
              <w:jc w:val="both"/>
              <w:rPr>
                <w:lang w:val="hy-AM"/>
              </w:rPr>
            </w:pPr>
            <w:r w:rsidRPr="00423B76">
              <w:rPr>
                <w:lang w:val="hy-AM"/>
              </w:rPr>
              <w:t>Ներկայումս առկա են զգալի քանակությամբ պետական սեփականություն հանդիսացող շենքեր և շինություններ, որոնց նկատմամաբ ավարտված չէ համապատասխան ընթացակարգով սեփականության իրավունքի գրանցման աշխատանքները։ Նման վիճակը պայմանավորված է հիմնականում գրանցման համար անհրաժեշտ ֆինանսական միջոցների անբավարարությամբ և պետական տարբեր մարմինների կողմից տվյալ բնագավառում տարվող աշխատանքների չհամակարգմամբ։</w:t>
            </w:r>
          </w:p>
          <w:p w:rsidR="0068680D" w:rsidRPr="00423B76" w:rsidRDefault="0068680D" w:rsidP="0068680D">
            <w:pPr>
              <w:widowControl w:val="0"/>
              <w:numPr>
                <w:ilvl w:val="1"/>
                <w:numId w:val="418"/>
              </w:numPr>
              <w:spacing w:line="276" w:lineRule="auto"/>
              <w:ind w:left="0" w:firstLine="720"/>
              <w:jc w:val="both"/>
              <w:rPr>
                <w:b/>
                <w:lang w:val="hy-AM"/>
              </w:rPr>
            </w:pPr>
            <w:r w:rsidRPr="00423B76">
              <w:rPr>
                <w:b/>
                <w:lang w:val="hy-AM"/>
              </w:rPr>
              <w:t xml:space="preserve">Առկա խնդիրների առաջարկվող լուծումները </w:t>
            </w:r>
          </w:p>
          <w:p w:rsidR="0068680D" w:rsidRPr="00423B76" w:rsidRDefault="0068680D" w:rsidP="00F47DC4">
            <w:pPr>
              <w:pStyle w:val="ListParagraph"/>
              <w:spacing w:line="276" w:lineRule="auto"/>
              <w:ind w:left="0"/>
              <w:contextualSpacing w:val="0"/>
              <w:jc w:val="both"/>
              <w:rPr>
                <w:lang w:val="hy-AM"/>
              </w:rPr>
            </w:pPr>
            <w:r w:rsidRPr="00423B76">
              <w:rPr>
                <w:lang w:val="hy-AM"/>
              </w:rPr>
              <w:t xml:space="preserve">Պետական սեփականություն հանդիսացող վերոնշյալ գույքի գրանցման գործընթացն ապահովելու համար նախատեսվում է ստեղծել միջգերատեսչական հանձնաժողով, որն իրականացնելու է </w:t>
            </w:r>
            <w:r w:rsidRPr="00423B76">
              <w:rPr>
                <w:rFonts w:cs="Arial"/>
                <w:bCs/>
                <w:kern w:val="16"/>
                <w:lang w:val="hy-AM"/>
              </w:rPr>
              <w:t>պետական գրանցում չունեցող պետական սեփականություն հանդիսացող անշարժ գույքի վերաբերյալ տեղեկատվության հստակեցում, ամփոփում և գրանցման խնդիրների լուծում։</w:t>
            </w:r>
          </w:p>
          <w:p w:rsidR="0068680D" w:rsidRPr="00423B76" w:rsidRDefault="0068680D" w:rsidP="00F47DC4">
            <w:pPr>
              <w:pStyle w:val="NormalWeb"/>
              <w:widowControl w:val="0"/>
              <w:spacing w:before="0" w:beforeAutospacing="0" w:after="0" w:afterAutospacing="0" w:line="276" w:lineRule="auto"/>
              <w:jc w:val="both"/>
              <w:rPr>
                <w:rFonts w:ascii="GHEA Grapalat" w:hAnsi="GHEA Grapalat"/>
                <w:b/>
                <w:sz w:val="20"/>
                <w:szCs w:val="20"/>
                <w:lang w:val="hy-AM" w:eastAsia="en-GB"/>
              </w:rPr>
            </w:pPr>
            <w:r w:rsidRPr="00423B76">
              <w:rPr>
                <w:rFonts w:ascii="GHEA Grapalat" w:hAnsi="GHEA Grapalat"/>
                <w:b/>
                <w:sz w:val="20"/>
                <w:szCs w:val="20"/>
                <w:lang w:val="hy-AM" w:eastAsia="en-GB"/>
              </w:rPr>
              <w:t>2. Միջոցառման իրականացումից ակնկալվող արդյունքը</w:t>
            </w:r>
          </w:p>
          <w:p w:rsidR="0068680D" w:rsidRDefault="0068680D" w:rsidP="00F47DC4">
            <w:pPr>
              <w:spacing w:line="276" w:lineRule="auto"/>
              <w:jc w:val="both"/>
              <w:rPr>
                <w:rFonts w:cs="Arial"/>
                <w:bCs/>
                <w:kern w:val="16"/>
                <w:lang w:val="hy-AM"/>
              </w:rPr>
            </w:pPr>
            <w:r w:rsidRPr="00423B76">
              <w:rPr>
                <w:rFonts w:cs="Arial"/>
                <w:bCs/>
                <w:kern w:val="16"/>
                <w:lang w:val="hy-AM"/>
              </w:rPr>
              <w:t>Միջոցառման իրականացման արդյունքում ակնկալվում է, որ ավարտին կհասցվի գույքի նկատմամբ պետական սեփականության իրավունքի ճանաչման գործընթացը։</w:t>
            </w:r>
          </w:p>
          <w:p w:rsidR="0068680D" w:rsidRPr="00423B76" w:rsidRDefault="0068680D" w:rsidP="00F47DC4">
            <w:pPr>
              <w:spacing w:line="276" w:lineRule="auto"/>
              <w:jc w:val="both"/>
              <w:rPr>
                <w:rFonts w:cs="Arial"/>
                <w:bCs/>
                <w:kern w:val="16"/>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26.3 </w:t>
            </w:r>
            <w:r w:rsidRPr="00423B76">
              <w:rPr>
                <w:rFonts w:ascii="GHEA Grapalat" w:hAnsi="GHEA Grapalat" w:cs="Sylfaen"/>
                <w:sz w:val="20"/>
                <w:szCs w:val="20"/>
                <w:lang w:val="hy-AM"/>
              </w:rPr>
              <w:t>Շահագրգիռ  պետական մարմինների և Երևանի քաղաքապետարանի կողմից Կոմիտեին պետական սեփականության իրավունքի վկայական ունեցող գույքի հանձնման-ընդունման աշխատանքների ավարտում</w:t>
            </w:r>
          </w:p>
          <w:p w:rsidR="0068680D" w:rsidRPr="00423B76" w:rsidRDefault="0068680D" w:rsidP="00F47DC4">
            <w:pPr>
              <w:pStyle w:val="NormalWeb"/>
              <w:widowControl w:val="0"/>
              <w:spacing w:before="0" w:beforeAutospacing="0" w:after="0" w:afterAutospacing="0" w:line="276" w:lineRule="auto"/>
              <w:ind w:left="180"/>
              <w:jc w:val="both"/>
              <w:rPr>
                <w:rFonts w:ascii="GHEA Grapalat" w:hAnsi="GHEA Grapalat"/>
                <w:b/>
                <w:sz w:val="20"/>
                <w:szCs w:val="20"/>
                <w:lang w:val="hy-AM" w:eastAsia="en-GB"/>
              </w:rPr>
            </w:pPr>
            <w:r w:rsidRPr="00423B76">
              <w:rPr>
                <w:rFonts w:ascii="GHEA Grapalat" w:hAnsi="GHEA Grapalat"/>
                <w:b/>
                <w:sz w:val="20"/>
                <w:szCs w:val="20"/>
                <w:lang w:val="hy-AM" w:eastAsia="en-GB"/>
              </w:rPr>
              <w:t>1. Միջոցառման իրակացման անհրաժեշտությունը և նպատակը</w:t>
            </w:r>
          </w:p>
          <w:p w:rsidR="0068680D" w:rsidRPr="00423B76" w:rsidRDefault="0068680D" w:rsidP="00F47DC4">
            <w:pPr>
              <w:spacing w:line="276" w:lineRule="auto"/>
              <w:jc w:val="both"/>
              <w:rPr>
                <w:rFonts w:cs="Arial"/>
                <w:bCs/>
                <w:kern w:val="16"/>
                <w:lang w:val="hy-AM"/>
              </w:rPr>
            </w:pPr>
            <w:r w:rsidRPr="00423B76">
              <w:rPr>
                <w:rFonts w:cs="Arial"/>
                <w:bCs/>
                <w:kern w:val="16"/>
                <w:lang w:val="hy-AM"/>
              </w:rPr>
              <w:t xml:space="preserve">        Միջոցառման իրականացումը բխում է </w:t>
            </w:r>
            <w:r w:rsidRPr="00DD1660">
              <w:rPr>
                <w:lang w:val="af-ZA"/>
              </w:rPr>
              <w:t xml:space="preserve">ՀՀ Ազգային ժողովի 14.02.2019թ. N ԱԺՈ-002-Ն որոշմամբ հավանության արժանացած </w:t>
            </w:r>
            <w:r w:rsidRPr="00DD1660">
              <w:rPr>
                <w:lang w:val="hy-AM"/>
              </w:rPr>
              <w:t>ՀՀ</w:t>
            </w:r>
            <w:r w:rsidRPr="00DD1660">
              <w:rPr>
                <w:lang w:val="af-ZA"/>
              </w:rPr>
              <w:t xml:space="preserve"> կառավարության ծրագրի</w:t>
            </w:r>
            <w:r w:rsidRPr="00423B76">
              <w:rPr>
                <w:rFonts w:cs="Arial"/>
                <w:bCs/>
                <w:kern w:val="16"/>
                <w:lang w:val="hy-AM"/>
              </w:rPr>
              <w:t xml:space="preserve"> 6-րդ բաժնի 6.6.-րդ կետի 1-ին պարբերության դրույթի կատարումն ապահովելու անհրաժեշտությունից։</w:t>
            </w:r>
          </w:p>
          <w:p w:rsidR="0068680D" w:rsidRPr="00423B76" w:rsidRDefault="0068680D" w:rsidP="0068680D">
            <w:pPr>
              <w:widowControl w:val="0"/>
              <w:numPr>
                <w:ilvl w:val="1"/>
                <w:numId w:val="439"/>
              </w:numPr>
              <w:spacing w:line="276" w:lineRule="auto"/>
              <w:ind w:left="0" w:firstLine="630"/>
              <w:jc w:val="both"/>
              <w:rPr>
                <w:b/>
                <w:lang w:val="hy-AM"/>
              </w:rPr>
            </w:pPr>
            <w:r w:rsidRPr="00423B76">
              <w:rPr>
                <w:b/>
                <w:lang w:val="hy-AM"/>
              </w:rPr>
              <w:t>Կարգավորման հարաբերությունների ներկա վիճակը և առկա խնդիրները</w:t>
            </w:r>
          </w:p>
          <w:p w:rsidR="0068680D" w:rsidRPr="00423B76" w:rsidRDefault="0068680D" w:rsidP="00F47DC4">
            <w:pPr>
              <w:pStyle w:val="NormalWeb"/>
              <w:spacing w:before="0" w:beforeAutospacing="0" w:after="0" w:afterAutospacing="0" w:line="276" w:lineRule="auto"/>
              <w:ind w:firstLine="630"/>
              <w:jc w:val="both"/>
              <w:rPr>
                <w:rFonts w:ascii="GHEA Grapalat" w:hAnsi="GHEA Grapalat" w:cs="Arial"/>
                <w:bCs/>
                <w:kern w:val="16"/>
                <w:sz w:val="20"/>
                <w:szCs w:val="20"/>
                <w:lang w:val="hy-AM"/>
              </w:rPr>
            </w:pPr>
            <w:r w:rsidRPr="00423B76">
              <w:rPr>
                <w:rFonts w:ascii="GHEA Grapalat" w:hAnsi="GHEA Grapalat" w:cs="Arial"/>
                <w:bCs/>
                <w:kern w:val="16"/>
                <w:sz w:val="20"/>
                <w:szCs w:val="20"/>
                <w:lang w:val="hy-AM"/>
              </w:rPr>
              <w:t xml:space="preserve">Պետական գույքի կառավարման և դրա օգտագործման արդյունավետության բարձրացման հիմնական ուղղությունները բացահայտելու համար անհրաժեշտություն է առաջանում պետական մարմիններին և Երևանի քաղաքապետարանի ամրացված  պետական ոչ առևտրային կազմակերպությունների, պետական մասնակցությամբ առևտրային կազմակերպություններին անհատույց օգտագործման իրավունքով հանձնված պետական սեփականություն հանդիսացող անշարժ գույքը հստակ ամրագրված ժամանակահատվածում հանձնել Կոմիտեի տնօրինությանը։ </w:t>
            </w:r>
          </w:p>
          <w:p w:rsidR="0068680D" w:rsidRPr="00423B76" w:rsidRDefault="0068680D" w:rsidP="0068680D">
            <w:pPr>
              <w:widowControl w:val="0"/>
              <w:numPr>
                <w:ilvl w:val="1"/>
                <w:numId w:val="440"/>
              </w:numPr>
              <w:spacing w:line="276" w:lineRule="auto"/>
              <w:ind w:hanging="6930"/>
              <w:jc w:val="both"/>
              <w:rPr>
                <w:b/>
                <w:lang w:val="hy-AM"/>
              </w:rPr>
            </w:pPr>
            <w:r w:rsidRPr="00423B76">
              <w:rPr>
                <w:b/>
                <w:lang w:val="hy-AM"/>
              </w:rPr>
              <w:t xml:space="preserve">Առկա խնդիրների առաջարկվող լուծումները </w:t>
            </w:r>
          </w:p>
          <w:p w:rsidR="0068680D" w:rsidRPr="00423B76" w:rsidRDefault="0068680D" w:rsidP="00F47DC4">
            <w:pPr>
              <w:pStyle w:val="ListParagraph"/>
              <w:spacing w:line="276" w:lineRule="auto"/>
              <w:ind w:left="0" w:firstLine="585"/>
              <w:jc w:val="both"/>
              <w:rPr>
                <w:rFonts w:eastAsiaTheme="majorEastAsia" w:cs="Sylfaen"/>
                <w:b/>
                <w:bCs/>
                <w:lang w:val="hy-AM"/>
              </w:rPr>
            </w:pPr>
            <w:r w:rsidRPr="00423B76">
              <w:rPr>
                <w:rFonts w:cs="Arial"/>
                <w:bCs/>
                <w:kern w:val="16"/>
                <w:lang w:val="hy-AM"/>
              </w:rPr>
              <w:t xml:space="preserve">Պետական գույքի կառավարման մեկ մարմնի կողմից իրականացնելու համար </w:t>
            </w:r>
            <w:r w:rsidRPr="00423B76">
              <w:rPr>
                <w:lang w:val="hy-AM"/>
              </w:rPr>
              <w:t>պետական մարմինների և Երևանի քաղաքապետարանի կողմից Կոմիտեին պետական սեփականության իրավունքի վկայական ունեցող գույքը հանձնման-ընդունման աշխատանքների իրականացումը։</w:t>
            </w:r>
          </w:p>
          <w:p w:rsidR="0068680D" w:rsidRPr="00423B76" w:rsidRDefault="0068680D" w:rsidP="00F47DC4">
            <w:pPr>
              <w:pStyle w:val="NormalWeb"/>
              <w:widowControl w:val="0"/>
              <w:spacing w:before="0" w:beforeAutospacing="0" w:after="0" w:afterAutospacing="0" w:line="276" w:lineRule="auto"/>
              <w:ind w:left="180"/>
              <w:jc w:val="both"/>
              <w:rPr>
                <w:rFonts w:ascii="GHEA Grapalat" w:hAnsi="GHEA Grapalat"/>
                <w:b/>
                <w:sz w:val="20"/>
                <w:szCs w:val="20"/>
                <w:lang w:val="hy-AM" w:eastAsia="en-GB"/>
              </w:rPr>
            </w:pPr>
            <w:r w:rsidRPr="00423B76">
              <w:rPr>
                <w:rFonts w:ascii="GHEA Grapalat" w:hAnsi="GHEA Grapalat"/>
                <w:b/>
                <w:sz w:val="20"/>
                <w:szCs w:val="20"/>
                <w:lang w:val="hy-AM" w:eastAsia="en-GB"/>
              </w:rPr>
              <w:t>2. Միջոցառման իրականացումից ակնկալվող արդյունքը</w:t>
            </w:r>
          </w:p>
          <w:p w:rsidR="0068680D" w:rsidRPr="00423B76" w:rsidRDefault="0068680D" w:rsidP="00F47DC4">
            <w:pPr>
              <w:pStyle w:val="ListParagraph"/>
              <w:spacing w:line="276" w:lineRule="auto"/>
              <w:ind w:left="0" w:firstLine="630"/>
              <w:jc w:val="both"/>
              <w:rPr>
                <w:bCs/>
                <w:lang w:val="hy-AM"/>
              </w:rPr>
            </w:pPr>
            <w:r w:rsidRPr="00423B76">
              <w:rPr>
                <w:bCs/>
                <w:lang w:val="hy-AM"/>
              </w:rPr>
              <w:t xml:space="preserve">Պետական գույքի միասնական կառավարման և դրա օգտագործման արդյունավետության բարձրացման նպատակով պետական </w:t>
            </w:r>
            <w:r w:rsidRPr="00423B76">
              <w:rPr>
                <w:lang w:val="hy-AM"/>
              </w:rPr>
              <w:t xml:space="preserve"> սեփականություն հանդիսացող անշարժ գույքը, հստակ ամրագրված ժամանակահատվածում, Կոմիտեի տնօրինությանը հանձնելու </w:t>
            </w:r>
            <w:r w:rsidRPr="00423B76">
              <w:rPr>
                <w:bCs/>
                <w:lang w:val="hy-AM"/>
              </w:rPr>
              <w:t>աշխատանքների կատարում։</w:t>
            </w:r>
          </w:p>
          <w:p w:rsidR="0068680D" w:rsidRPr="00423B76" w:rsidRDefault="0068680D" w:rsidP="00F47DC4">
            <w:pPr>
              <w:pStyle w:val="ListParagraph"/>
              <w:spacing w:line="276" w:lineRule="auto"/>
              <w:ind w:left="0" w:firstLine="630"/>
              <w:jc w:val="both"/>
              <w:rPr>
                <w:bCs/>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26.4 </w:t>
            </w:r>
            <w:r w:rsidRPr="00423B76">
              <w:rPr>
                <w:rFonts w:ascii="GHEA Grapalat" w:hAnsi="GHEA Grapalat" w:cs="Sylfaen"/>
                <w:sz w:val="20"/>
                <w:szCs w:val="20"/>
                <w:lang w:val="hy-AM"/>
              </w:rPr>
              <w:t>«Պետական սեփականություն հանդիսացող անշարժ գույքի ֆինանսատնտեսական վիճակի դիտարկումներ անցկացնելու և գույքի վիճակի վերաբերյալ առաջարկություններ ներկայացնելու կարգը հաստատելու մասին» ՀՀ կառավարության որոշման նախագիծը ՀՀ վարչապետի աշխատակազմ ներկայացնելը</w:t>
            </w:r>
          </w:p>
          <w:p w:rsidR="0068680D" w:rsidRPr="00423B76" w:rsidRDefault="0068680D" w:rsidP="0068680D">
            <w:pPr>
              <w:pStyle w:val="NormalWeb"/>
              <w:widowControl w:val="0"/>
              <w:numPr>
                <w:ilvl w:val="0"/>
                <w:numId w:val="363"/>
              </w:numPr>
              <w:spacing w:before="0" w:beforeAutospacing="0" w:after="0" w:afterAutospacing="0" w:line="276" w:lineRule="auto"/>
              <w:ind w:right="9"/>
              <w:rPr>
                <w:rFonts w:ascii="GHEA Grapalat" w:hAnsi="GHEA Grapalat"/>
                <w:b/>
                <w:sz w:val="20"/>
                <w:szCs w:val="20"/>
                <w:lang w:val="hy-AM" w:eastAsia="en-GB"/>
              </w:rPr>
            </w:pPr>
            <w:r w:rsidRPr="00423B76">
              <w:rPr>
                <w:rFonts w:ascii="GHEA Grapalat" w:hAnsi="GHEA Grapalat"/>
                <w:b/>
                <w:sz w:val="20"/>
                <w:szCs w:val="20"/>
                <w:lang w:val="hy-AM" w:eastAsia="en-GB"/>
              </w:rPr>
              <w:t>Միջոցառման իրակացման անհրաժեշտությունը և նպատակը</w:t>
            </w:r>
          </w:p>
          <w:p w:rsidR="0068680D" w:rsidRPr="00423B76" w:rsidRDefault="0068680D" w:rsidP="00F47DC4">
            <w:pPr>
              <w:pStyle w:val="ListParagraph"/>
              <w:spacing w:line="276" w:lineRule="auto"/>
              <w:ind w:left="0" w:right="14"/>
              <w:contextualSpacing w:val="0"/>
              <w:jc w:val="both"/>
              <w:rPr>
                <w:rFonts w:cs="Arial"/>
                <w:bCs/>
                <w:kern w:val="16"/>
                <w:lang w:val="hy-AM"/>
              </w:rPr>
            </w:pPr>
            <w:r w:rsidRPr="00423B76">
              <w:rPr>
                <w:rFonts w:cs="Arial"/>
                <w:bCs/>
                <w:kern w:val="16"/>
                <w:lang w:val="hy-AM"/>
              </w:rPr>
              <w:t xml:space="preserve">Իրավական ակտի ընդունումը պայմանավորված է </w:t>
            </w:r>
            <w:r w:rsidRPr="00DD1660">
              <w:rPr>
                <w:lang w:val="af-ZA"/>
              </w:rPr>
              <w:t xml:space="preserve">ՀՀ Ազգային ժողովի 14.02.2019թ. N ԱԺՈ-002-Ն որոշմամբ հավանության արժանացած </w:t>
            </w:r>
            <w:r w:rsidRPr="00DD1660">
              <w:rPr>
                <w:lang w:val="hy-AM"/>
              </w:rPr>
              <w:t>ՀՀ</w:t>
            </w:r>
            <w:r w:rsidRPr="00DD1660">
              <w:rPr>
                <w:lang w:val="af-ZA"/>
              </w:rPr>
              <w:t xml:space="preserve"> կառավարության ծրագրի</w:t>
            </w:r>
            <w:r w:rsidRPr="00DD1660">
              <w:rPr>
                <w:rFonts w:cs="Sylfaen"/>
                <w:color w:val="000000"/>
                <w:sz w:val="16"/>
                <w:lang w:val="hy-AM"/>
              </w:rPr>
              <w:t xml:space="preserve"> </w:t>
            </w:r>
            <w:r w:rsidRPr="00423B76">
              <w:rPr>
                <w:rFonts w:cs="Arial"/>
                <w:bCs/>
                <w:kern w:val="16"/>
                <w:lang w:val="hy-AM"/>
              </w:rPr>
              <w:t>6-րդ բաժնի 6.6.-րդ կետի 1-ին պարբերության կատարումն ապահովելու, մասնավորապես՝ պետական գույքի օգտագործման և պահպանման վիճակը բացահայտելու նպատակով լիազոր մարմնին հանձնված պետական գույքի օգտագործման և պահպանման նկատմամբ ֆինանսատնտեսական մոնիտորինգի իրականացման անհրաժեշտությամբ։</w:t>
            </w:r>
          </w:p>
          <w:p w:rsidR="0068680D" w:rsidRPr="00423B76" w:rsidRDefault="0068680D" w:rsidP="0068680D">
            <w:pPr>
              <w:widowControl w:val="0"/>
              <w:numPr>
                <w:ilvl w:val="1"/>
                <w:numId w:val="364"/>
              </w:numPr>
              <w:spacing w:line="276" w:lineRule="auto"/>
              <w:ind w:right="14"/>
              <w:rPr>
                <w:b/>
                <w:lang w:val="hy-AM"/>
              </w:rPr>
            </w:pPr>
            <w:r w:rsidRPr="00423B76">
              <w:rPr>
                <w:b/>
                <w:lang w:val="hy-AM"/>
              </w:rPr>
              <w:t>Կարգավորման հարաբերությունների ներկա վիճակը և առկա խնդիրները</w:t>
            </w:r>
          </w:p>
          <w:p w:rsidR="0068680D" w:rsidRPr="00423B76" w:rsidRDefault="0068680D" w:rsidP="00F47DC4">
            <w:pPr>
              <w:pStyle w:val="ListParagraph"/>
              <w:spacing w:line="276" w:lineRule="auto"/>
              <w:ind w:left="0" w:right="14"/>
              <w:contextualSpacing w:val="0"/>
              <w:jc w:val="both"/>
              <w:rPr>
                <w:rFonts w:cs="Arial"/>
                <w:bCs/>
                <w:kern w:val="16"/>
                <w:lang w:val="hy-AM"/>
              </w:rPr>
            </w:pPr>
            <w:r w:rsidRPr="00423B76">
              <w:rPr>
                <w:rFonts w:cs="Arial"/>
                <w:bCs/>
                <w:kern w:val="16"/>
                <w:lang w:val="hy-AM"/>
              </w:rPr>
              <w:t xml:space="preserve">Պետական գույքի կառավարման և դրա օգտագործման արդյունավետության բարձրացման հիմնական ուղղությունները բացահայտելու համար անհրաժեշտություն է առաջանում պետական մարմիններին ամրացված պետական ոչ առևտրային կազմակերպությունների, պետական մասնակցությամբ առևտրային կազմակերպություններին անհատույց օգտագործման իրավունքով հանձնված պետական սեփականություն հանդիսացող անշարժ գույքի օգտագործման վիճակի վերաբերյալ ֆինանսատնտեսական դիտարկում (մոնիտորինգ) իրականացնել։ Վերջինս չափազանց կարևոր գործիքակազմ է պետական գույքի հետագա կառավարման ժամանակ հիմնավորված որոշումներ ընդունելու համար։ Դրա հետ կապված անհրաժեշտ է հնարավոր սեղմ ժամկետում ստեղծել նաև անշարժ գույքի մոնիտորինգի համակարգ, որը մինչ օրս գոյություն չունի և որի պատճառով չի կատարվել անշարժ գույքի օգտագործման արդյունավետության գնահատում։ </w:t>
            </w:r>
          </w:p>
          <w:p w:rsidR="0068680D" w:rsidRPr="00423B76" w:rsidRDefault="0068680D" w:rsidP="0068680D">
            <w:pPr>
              <w:widowControl w:val="0"/>
              <w:numPr>
                <w:ilvl w:val="1"/>
                <w:numId w:val="364"/>
              </w:numPr>
              <w:spacing w:line="276" w:lineRule="auto"/>
              <w:ind w:right="14"/>
              <w:rPr>
                <w:b/>
                <w:lang w:val="hy-AM"/>
              </w:rPr>
            </w:pPr>
            <w:r w:rsidRPr="00423B76">
              <w:rPr>
                <w:b/>
                <w:lang w:val="hy-AM"/>
              </w:rPr>
              <w:t xml:space="preserve">Առկա խնդիրների առաջարկվող լուծումները </w:t>
            </w:r>
          </w:p>
          <w:p w:rsidR="0068680D" w:rsidRPr="00423B76" w:rsidRDefault="0068680D" w:rsidP="00F47DC4">
            <w:pPr>
              <w:pStyle w:val="ListParagraph"/>
              <w:spacing w:line="276" w:lineRule="auto"/>
              <w:ind w:left="0" w:right="14"/>
              <w:contextualSpacing w:val="0"/>
              <w:jc w:val="both"/>
              <w:rPr>
                <w:rFonts w:cs="Arial"/>
                <w:bCs/>
                <w:kern w:val="16"/>
                <w:lang w:val="hy-AM"/>
              </w:rPr>
            </w:pPr>
            <w:r w:rsidRPr="00423B76">
              <w:rPr>
                <w:rFonts w:cs="Sylfaen"/>
                <w:lang w:val="hy-AM"/>
              </w:rPr>
              <w:t>Պետական սեփականություն հանդիսացող անշարժ գույքի ֆինանսատնտեսական վիճակի դիտարկումներ անցկացնելու նպատակով առաջարկվում է ստեղծել մ</w:t>
            </w:r>
            <w:r w:rsidRPr="00423B76">
              <w:rPr>
                <w:rFonts w:cs="Arial"/>
                <w:bCs/>
                <w:kern w:val="16"/>
                <w:lang w:val="hy-AM"/>
              </w:rPr>
              <w:t>ոնիտորինգի համակարգ, որի ներդրման շնորհիվ լուծում կստանան հետևյալ հարցերը.</w:t>
            </w:r>
          </w:p>
          <w:p w:rsidR="0068680D" w:rsidRPr="00423B76" w:rsidRDefault="0068680D" w:rsidP="0068680D">
            <w:pPr>
              <w:pStyle w:val="ListParagraph"/>
              <w:numPr>
                <w:ilvl w:val="1"/>
                <w:numId w:val="365"/>
              </w:numPr>
              <w:spacing w:line="276" w:lineRule="auto"/>
              <w:ind w:left="1094" w:right="14" w:hanging="547"/>
              <w:jc w:val="both"/>
              <w:rPr>
                <w:rFonts w:cs="Arial"/>
                <w:bCs/>
                <w:kern w:val="16"/>
                <w:lang w:val="hy-AM"/>
              </w:rPr>
            </w:pPr>
            <w:r w:rsidRPr="00423B76">
              <w:rPr>
                <w:rFonts w:cs="Arial"/>
                <w:bCs/>
                <w:kern w:val="16"/>
                <w:lang w:val="hy-AM"/>
              </w:rPr>
              <w:t>պետական գույքի բոլոր տարրերի վերաբերյալ նախորդ ժամանակահատվածի համեմատությամբ տեղի ունեցած փոփոխությունների դինամիկան, այդ փոփոխությունների դրական կամ բացասական միտումները,</w:t>
            </w:r>
          </w:p>
          <w:p w:rsidR="0068680D" w:rsidRPr="00423B76" w:rsidRDefault="0068680D" w:rsidP="0068680D">
            <w:pPr>
              <w:pStyle w:val="ListParagraph"/>
              <w:numPr>
                <w:ilvl w:val="1"/>
                <w:numId w:val="365"/>
              </w:numPr>
              <w:spacing w:line="276" w:lineRule="auto"/>
              <w:ind w:left="1094" w:right="14" w:hanging="547"/>
              <w:jc w:val="both"/>
              <w:rPr>
                <w:rFonts w:cs="Arial"/>
                <w:bCs/>
                <w:kern w:val="16"/>
                <w:lang w:val="hy-AM"/>
              </w:rPr>
            </w:pPr>
            <w:r w:rsidRPr="00423B76">
              <w:rPr>
                <w:rFonts w:cs="Arial"/>
                <w:bCs/>
                <w:kern w:val="16"/>
                <w:lang w:val="hy-AM"/>
              </w:rPr>
              <w:t>չօգտագործվող կամ ոչ արդյունավետ օգտագործող պետական գույքի մակերեսները և բնութագրիչները,</w:t>
            </w:r>
          </w:p>
          <w:p w:rsidR="0068680D" w:rsidRPr="00423B76" w:rsidRDefault="0068680D" w:rsidP="0068680D">
            <w:pPr>
              <w:pStyle w:val="ListParagraph"/>
              <w:numPr>
                <w:ilvl w:val="1"/>
                <w:numId w:val="365"/>
              </w:numPr>
              <w:spacing w:line="276" w:lineRule="auto"/>
              <w:ind w:left="1094" w:right="14" w:hanging="547"/>
              <w:jc w:val="both"/>
              <w:rPr>
                <w:rFonts w:cs="Arial"/>
                <w:bCs/>
                <w:kern w:val="16"/>
                <w:lang w:val="hy-AM"/>
              </w:rPr>
            </w:pPr>
            <w:r w:rsidRPr="00423B76">
              <w:rPr>
                <w:rFonts w:cs="Arial"/>
                <w:bCs/>
                <w:kern w:val="16"/>
                <w:lang w:val="hy-AM"/>
              </w:rPr>
              <w:t>մասնավոր անձանց օգտագործման հանձնված պետական գույքի օգտագործման վիճակը և օգտագործումից ստացված արդյունքների դինամիկան և միտումը,</w:t>
            </w:r>
          </w:p>
          <w:p w:rsidR="0068680D" w:rsidRPr="00423B76" w:rsidRDefault="0068680D" w:rsidP="0068680D">
            <w:pPr>
              <w:pStyle w:val="ListParagraph"/>
              <w:numPr>
                <w:ilvl w:val="1"/>
                <w:numId w:val="365"/>
              </w:numPr>
              <w:spacing w:line="276" w:lineRule="auto"/>
              <w:ind w:left="1094" w:right="14" w:hanging="547"/>
              <w:jc w:val="both"/>
              <w:rPr>
                <w:rFonts w:cs="Arial"/>
                <w:bCs/>
                <w:kern w:val="16"/>
                <w:lang w:val="hy-AM"/>
              </w:rPr>
            </w:pPr>
            <w:r w:rsidRPr="00423B76">
              <w:rPr>
                <w:rFonts w:cs="Arial"/>
                <w:bCs/>
                <w:kern w:val="16"/>
                <w:lang w:val="hy-AM"/>
              </w:rPr>
              <w:t>պետական մարմիններին և կազմակերպություններին ամրացված և օգտագործման հանձնված անշարժ գույքի պահպանման և օգտագործման վիճակը,</w:t>
            </w:r>
          </w:p>
          <w:p w:rsidR="0068680D" w:rsidRPr="00423B76" w:rsidRDefault="0068680D" w:rsidP="0068680D">
            <w:pPr>
              <w:pStyle w:val="ListParagraph"/>
              <w:numPr>
                <w:ilvl w:val="1"/>
                <w:numId w:val="365"/>
              </w:numPr>
              <w:spacing w:line="276" w:lineRule="auto"/>
              <w:ind w:left="1094" w:right="14" w:hanging="547"/>
              <w:jc w:val="both"/>
              <w:rPr>
                <w:rFonts w:cs="Arial"/>
                <w:bCs/>
                <w:kern w:val="16"/>
                <w:lang w:val="hy-AM"/>
              </w:rPr>
            </w:pPr>
            <w:r w:rsidRPr="00423B76">
              <w:rPr>
                <w:rFonts w:cs="Arial"/>
                <w:bCs/>
                <w:kern w:val="16"/>
                <w:lang w:val="hy-AM"/>
              </w:rPr>
              <w:t>օտարման ենթակա գույքի առանձնացումը և անվանացանկի սահմանումը,</w:t>
            </w:r>
          </w:p>
          <w:p w:rsidR="0068680D" w:rsidRPr="00423B76" w:rsidRDefault="0068680D" w:rsidP="0068680D">
            <w:pPr>
              <w:pStyle w:val="ListParagraph"/>
              <w:numPr>
                <w:ilvl w:val="1"/>
                <w:numId w:val="365"/>
              </w:numPr>
              <w:spacing w:line="276" w:lineRule="auto"/>
              <w:ind w:left="1094" w:right="14" w:hanging="547"/>
              <w:jc w:val="both"/>
              <w:rPr>
                <w:b/>
                <w:lang w:val="hy-AM"/>
              </w:rPr>
            </w:pPr>
            <w:r w:rsidRPr="00423B76">
              <w:rPr>
                <w:rFonts w:cs="Arial"/>
                <w:bCs/>
                <w:kern w:val="16"/>
                <w:lang w:val="hy-AM"/>
              </w:rPr>
              <w:t>օգտագործման տրամադրման ենթակա պետական գույքի առանձնացումը և անվանացանկի սահմանումը:</w:t>
            </w:r>
          </w:p>
          <w:p w:rsidR="0068680D" w:rsidRPr="00423B76" w:rsidRDefault="0068680D" w:rsidP="0068680D">
            <w:pPr>
              <w:pStyle w:val="NormalWeb"/>
              <w:widowControl w:val="0"/>
              <w:numPr>
                <w:ilvl w:val="0"/>
                <w:numId w:val="363"/>
              </w:numPr>
              <w:spacing w:before="0" w:beforeAutospacing="0" w:after="0" w:afterAutospacing="0" w:line="276" w:lineRule="auto"/>
              <w:ind w:right="14"/>
              <w:rPr>
                <w:rFonts w:ascii="GHEA Grapalat" w:hAnsi="GHEA Grapalat"/>
                <w:b/>
                <w:sz w:val="20"/>
                <w:szCs w:val="20"/>
                <w:lang w:val="hy-AM" w:eastAsia="en-GB"/>
              </w:rPr>
            </w:pPr>
            <w:r w:rsidRPr="00423B76">
              <w:rPr>
                <w:rFonts w:ascii="GHEA Grapalat" w:hAnsi="GHEA Grapalat"/>
                <w:b/>
                <w:sz w:val="20"/>
                <w:szCs w:val="20"/>
                <w:lang w:val="hy-AM" w:eastAsia="en-GB"/>
              </w:rPr>
              <w:t>Միջոցառման իրականացումից ակնկալվող արդյունքը</w:t>
            </w:r>
          </w:p>
          <w:p w:rsidR="0068680D" w:rsidRPr="00423B76" w:rsidRDefault="0068680D" w:rsidP="00F47DC4">
            <w:pPr>
              <w:pStyle w:val="ListParagraph"/>
              <w:spacing w:line="276" w:lineRule="auto"/>
              <w:ind w:left="0" w:right="14"/>
              <w:contextualSpacing w:val="0"/>
              <w:jc w:val="both"/>
              <w:rPr>
                <w:rFonts w:cs="Arial"/>
                <w:bCs/>
                <w:kern w:val="16"/>
                <w:lang w:val="hy-AM"/>
              </w:rPr>
            </w:pPr>
            <w:r w:rsidRPr="00423B76">
              <w:rPr>
                <w:rFonts w:cs="Arial"/>
                <w:bCs/>
                <w:kern w:val="16"/>
                <w:lang w:val="hy-AM"/>
              </w:rPr>
              <w:t>Իրավական ակտի ընդունման դեպքում՝ պետական գույքի օգտագործման և պահպանման վիճակի բացահայտման համար կստեղծվի պետական սեփականություն համարվող անշարժ գույքի օգտագործման և պահպանման նկատմամբ հսկողություն իրականացնելու գործուն համակարգ, որի շնորհիվ կբարձրացվի օգտագործման արդյունավետությունը։</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26.5 </w:t>
            </w:r>
            <w:r w:rsidRPr="00423B76">
              <w:rPr>
                <w:rFonts w:ascii="GHEA Grapalat" w:hAnsi="GHEA Grapalat" w:cs="Sylfaen"/>
                <w:sz w:val="20"/>
                <w:szCs w:val="20"/>
                <w:lang w:val="hy-AM"/>
              </w:rPr>
              <w:t>Գույքի օգտագործման և պահպանման նկատմամբ հսկողության գործուն համակարգի մշակում</w:t>
            </w:r>
          </w:p>
          <w:p w:rsidR="0068680D" w:rsidRPr="00423B76" w:rsidRDefault="0068680D" w:rsidP="0068680D">
            <w:pPr>
              <w:pStyle w:val="NormalWeb"/>
              <w:widowControl w:val="0"/>
              <w:numPr>
                <w:ilvl w:val="0"/>
                <w:numId w:val="441"/>
              </w:numPr>
              <w:spacing w:before="0" w:beforeAutospacing="0" w:after="0" w:afterAutospacing="0" w:line="276" w:lineRule="auto"/>
              <w:ind w:right="9"/>
              <w:rPr>
                <w:rFonts w:ascii="GHEA Grapalat" w:hAnsi="GHEA Grapalat"/>
                <w:b/>
                <w:sz w:val="20"/>
                <w:szCs w:val="20"/>
                <w:lang w:val="hy-AM" w:eastAsia="en-GB"/>
              </w:rPr>
            </w:pPr>
            <w:r w:rsidRPr="00423B76">
              <w:rPr>
                <w:rFonts w:ascii="GHEA Grapalat" w:hAnsi="GHEA Grapalat"/>
                <w:b/>
                <w:sz w:val="20"/>
                <w:szCs w:val="20"/>
                <w:lang w:val="hy-AM" w:eastAsia="en-GB"/>
              </w:rPr>
              <w:t>Միջոցառման իրականացման անհրաժեշտությունը և նպատակը</w:t>
            </w:r>
          </w:p>
          <w:p w:rsidR="0068680D" w:rsidRPr="00423B76" w:rsidRDefault="0068680D" w:rsidP="00F47DC4">
            <w:pPr>
              <w:widowControl w:val="0"/>
              <w:spacing w:line="276" w:lineRule="auto"/>
              <w:jc w:val="both"/>
              <w:rPr>
                <w:rFonts w:cs="Arial"/>
                <w:bCs/>
                <w:kern w:val="16"/>
                <w:lang w:val="hy-AM"/>
              </w:rPr>
            </w:pPr>
            <w:r w:rsidRPr="00423B76">
              <w:rPr>
                <w:rFonts w:cs="Arial"/>
                <w:bCs/>
                <w:kern w:val="16"/>
                <w:lang w:val="hy-AM"/>
              </w:rPr>
              <w:t xml:space="preserve">Միջոցառման իրականացումը բխում է </w:t>
            </w:r>
            <w:r w:rsidRPr="00DD1660">
              <w:rPr>
                <w:lang w:val="af-ZA"/>
              </w:rPr>
              <w:t xml:space="preserve">ՀՀ Ազգային ժողովի 14.02.2019թ. N ԱԺՈ-002-Ն որոշմամբ հավանության արժանացած </w:t>
            </w:r>
            <w:r w:rsidRPr="00DD1660">
              <w:rPr>
                <w:lang w:val="hy-AM"/>
              </w:rPr>
              <w:t>ՀՀ</w:t>
            </w:r>
            <w:r w:rsidRPr="00DD1660">
              <w:rPr>
                <w:lang w:val="af-ZA"/>
              </w:rPr>
              <w:t xml:space="preserve"> կառավարության ծրագրի</w:t>
            </w:r>
            <w:r w:rsidRPr="00423B76">
              <w:rPr>
                <w:rFonts w:cs="Arial"/>
                <w:bCs/>
                <w:kern w:val="16"/>
                <w:lang w:val="hy-AM"/>
              </w:rPr>
              <w:t xml:space="preserve"> 6-րդ բաժնի 6.6.-րդ կետի 1-ին պարբերության դրույթի կատարումն ապահովելու, մասնավորապես՝ պետական սեփականություն համարվող անշարժ գույքի նպատակային և արդյունավետ օգտագործման ու պահպանման նկատմամբ հսկողության գործուն գործիքակազմի ստեղծման անհրաժեշտությունից։</w:t>
            </w:r>
          </w:p>
          <w:p w:rsidR="0068680D" w:rsidRPr="00423B76" w:rsidRDefault="0068680D" w:rsidP="0068680D">
            <w:pPr>
              <w:pStyle w:val="ListParagraph"/>
              <w:widowControl w:val="0"/>
              <w:numPr>
                <w:ilvl w:val="1"/>
                <w:numId w:val="441"/>
              </w:numPr>
              <w:spacing w:line="276" w:lineRule="auto"/>
              <w:ind w:right="14"/>
              <w:rPr>
                <w:b/>
                <w:lang w:val="hy-AM"/>
              </w:rPr>
            </w:pPr>
            <w:r w:rsidRPr="00423B76">
              <w:rPr>
                <w:b/>
                <w:lang w:val="hy-AM"/>
              </w:rPr>
              <w:t xml:space="preserve">Կարգավորման հարաբերությունների ներկա վիճակը և առկա խնդիրները </w:t>
            </w:r>
          </w:p>
          <w:p w:rsidR="0068680D" w:rsidRPr="00423B76" w:rsidRDefault="0068680D" w:rsidP="00F47DC4">
            <w:pPr>
              <w:spacing w:line="276" w:lineRule="auto"/>
              <w:jc w:val="both"/>
              <w:rPr>
                <w:rStyle w:val="normaltextrun"/>
                <w:rFonts w:cs="Segoe UI"/>
                <w:i/>
                <w:lang w:val="hy-AM"/>
              </w:rPr>
            </w:pPr>
            <w:r w:rsidRPr="00423B76">
              <w:rPr>
                <w:rStyle w:val="normaltextrun"/>
                <w:rFonts w:cs="Segoe UI"/>
                <w:lang w:val="hy-AM"/>
              </w:rPr>
              <w:t>Ներկայումս գործնականում առկա են բազմաթիվ դեպքեր, երբ պետական գույքը օգտագործվում է ոչ նպատակային ու ոչ արդյունավետ։ Մասնավորապես, անհատույց օգտագործման պայմանագրերով տրամադրված գույքն օգտագործվում է ոչ արդյունավետ և նույնիսկ  օրենսդրության պահանջների խախտումներով այն կարող է տրվել վարձակալության և վարձակալությունից ստացված միջոցները ՀՀ պետական բյուջե չեն մուտքագրվում, կամ ամրացված տարածքների մի մասը ընդհանրապես չի օգտագործվում և պատշաճ ձևով չի պահպանվում։</w:t>
            </w:r>
          </w:p>
          <w:p w:rsidR="0068680D" w:rsidRPr="00423B76" w:rsidRDefault="0068680D" w:rsidP="0068680D">
            <w:pPr>
              <w:pStyle w:val="ListParagraph"/>
              <w:widowControl w:val="0"/>
              <w:numPr>
                <w:ilvl w:val="1"/>
                <w:numId w:val="441"/>
              </w:numPr>
              <w:tabs>
                <w:tab w:val="left" w:pos="851"/>
              </w:tabs>
              <w:spacing w:line="276" w:lineRule="auto"/>
              <w:ind w:right="14"/>
              <w:rPr>
                <w:b/>
                <w:lang w:val="hy-AM"/>
              </w:rPr>
            </w:pPr>
            <w:r w:rsidRPr="00423B76">
              <w:rPr>
                <w:b/>
                <w:lang w:val="hy-AM"/>
              </w:rPr>
              <w:t xml:space="preserve">Առկա խնդիրների առաջարկվող լուծումները </w:t>
            </w:r>
          </w:p>
          <w:p w:rsidR="0068680D" w:rsidRPr="00423B76" w:rsidRDefault="0068680D" w:rsidP="00F47DC4">
            <w:pPr>
              <w:spacing w:line="276" w:lineRule="auto"/>
              <w:jc w:val="both"/>
              <w:rPr>
                <w:b/>
                <w:lang w:val="hy-AM"/>
              </w:rPr>
            </w:pPr>
            <w:r w:rsidRPr="00423B76">
              <w:rPr>
                <w:rStyle w:val="normaltextrun"/>
                <w:rFonts w:cs="Segoe UI"/>
                <w:lang w:val="hy-AM"/>
              </w:rPr>
              <w:t>Պետական գույքը նպատակային և արդյունավետ օգտագործման, ինչպես նաև պատշաճ պահպանման համար առաջարկվում է արդիական գործիքակազմի մշակում և կիրառում։</w:t>
            </w:r>
          </w:p>
          <w:p w:rsidR="0068680D" w:rsidRPr="00423B76" w:rsidRDefault="0068680D" w:rsidP="0068680D">
            <w:pPr>
              <w:pStyle w:val="NormalWeb"/>
              <w:widowControl w:val="0"/>
              <w:numPr>
                <w:ilvl w:val="0"/>
                <w:numId w:val="441"/>
              </w:numPr>
              <w:spacing w:before="0" w:beforeAutospacing="0" w:after="0" w:afterAutospacing="0" w:line="276" w:lineRule="auto"/>
              <w:ind w:right="9"/>
              <w:rPr>
                <w:rFonts w:ascii="GHEA Grapalat" w:hAnsi="GHEA Grapalat"/>
                <w:b/>
                <w:sz w:val="20"/>
                <w:szCs w:val="20"/>
                <w:lang w:val="hy-AM" w:eastAsia="en-GB"/>
              </w:rPr>
            </w:pPr>
            <w:r w:rsidRPr="00423B76">
              <w:rPr>
                <w:rFonts w:ascii="GHEA Grapalat" w:hAnsi="GHEA Grapalat"/>
                <w:b/>
                <w:sz w:val="20"/>
                <w:szCs w:val="20"/>
                <w:lang w:val="hy-AM" w:eastAsia="en-GB"/>
              </w:rPr>
              <w:t>Միջոցառման իրականացումից ակնկալվող արդյունքը</w:t>
            </w:r>
          </w:p>
          <w:p w:rsidR="0068680D" w:rsidRPr="00423B76" w:rsidRDefault="0068680D" w:rsidP="00F47DC4">
            <w:pPr>
              <w:spacing w:line="276" w:lineRule="auto"/>
              <w:jc w:val="both"/>
              <w:rPr>
                <w:lang w:val="hy-AM"/>
              </w:rPr>
            </w:pPr>
            <w:r w:rsidRPr="00423B76">
              <w:rPr>
                <w:lang w:val="hy-AM"/>
              </w:rPr>
              <w:t>Գույքի օգտագործման նկատմամբ հսկողություն սահմանելու նպատակով առաջարկվում է փոփոխություն կատարել անհատույց օգտագործման պայմանագրի օրինակելի ձևում։ Օգտագործման տրամադրված գույքի օգտագործման նկատմամբ հսկողություն իրականացնելու համար Կոմիտեում նախատեսվում է առանձին ստորաբաժանման ստեղծում։</w:t>
            </w:r>
          </w:p>
          <w:p w:rsidR="0068680D"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27.</w:t>
            </w:r>
          </w:p>
        </w:tc>
        <w:tc>
          <w:tcPr>
            <w:tcW w:w="10885" w:type="dxa"/>
          </w:tcPr>
          <w:p w:rsidR="0068680D" w:rsidRPr="00DD1660"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r w:rsidRPr="00DD1660">
              <w:rPr>
                <w:rFonts w:ascii="GHEA Grapalat" w:hAnsi="GHEA Grapalat"/>
                <w:sz w:val="20"/>
                <w:szCs w:val="20"/>
                <w:lang w:val="hy-AM"/>
              </w:rPr>
              <w:t>Պետական գույքի մասնավորեցման եվ օտարման գործընթացների բարելավում</w:t>
            </w:r>
          </w:p>
          <w:p w:rsidR="0068680D" w:rsidRPr="00DD1660"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DD1660"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sidRPr="00DD1660">
              <w:rPr>
                <w:rFonts w:ascii="GHEA Grapalat" w:hAnsi="GHEA Grapalat" w:cs="Sylfaen"/>
                <w:sz w:val="20"/>
                <w:szCs w:val="20"/>
                <w:lang w:val="hy-AM"/>
              </w:rPr>
              <w:t xml:space="preserve"> 2</w:t>
            </w:r>
            <w:r>
              <w:rPr>
                <w:rFonts w:ascii="GHEA Grapalat" w:hAnsi="GHEA Grapalat" w:cs="Sylfaen"/>
                <w:sz w:val="20"/>
                <w:szCs w:val="20"/>
                <w:lang w:val="hy-AM"/>
              </w:rPr>
              <w:t>7</w:t>
            </w:r>
            <w:r w:rsidRPr="00DD1660">
              <w:rPr>
                <w:rFonts w:ascii="GHEA Grapalat" w:hAnsi="GHEA Grapalat" w:cs="Sylfaen"/>
                <w:sz w:val="20"/>
                <w:szCs w:val="20"/>
                <w:lang w:val="hy-AM"/>
              </w:rPr>
              <w:t>.1 Պետական գույքի մասնավորեցման և օտարման բնագավառներում աճուրդային և մրցութային ձևերի ընդլայնում և ներդրումների դիմաց ուղղակի ձևով գնահատված շուկայական արժեքից ցածր գնով վաճառքի կազմակերպման սահմանափակում</w:t>
            </w:r>
          </w:p>
          <w:p w:rsidR="0068680D" w:rsidRPr="00DD1660" w:rsidRDefault="0068680D" w:rsidP="00F47DC4">
            <w:pPr>
              <w:pStyle w:val="NormalWeb"/>
              <w:widowControl w:val="0"/>
              <w:spacing w:before="0" w:beforeAutospacing="0" w:after="0" w:afterAutospacing="0" w:line="276" w:lineRule="auto"/>
              <w:ind w:left="360" w:right="14"/>
              <w:jc w:val="both"/>
              <w:rPr>
                <w:rFonts w:ascii="GHEA Grapalat" w:hAnsi="GHEA Grapalat"/>
                <w:b/>
                <w:sz w:val="20"/>
                <w:szCs w:val="20"/>
                <w:lang w:val="hy-AM" w:eastAsia="en-GB"/>
              </w:rPr>
            </w:pPr>
            <w:r w:rsidRPr="00DD1660">
              <w:rPr>
                <w:rFonts w:ascii="GHEA Grapalat" w:hAnsi="GHEA Grapalat"/>
                <w:b/>
                <w:sz w:val="20"/>
                <w:szCs w:val="20"/>
                <w:lang w:val="hy-AM" w:eastAsia="en-GB"/>
              </w:rPr>
              <w:t>1. Միջոցառման իրականացման անհրաժեշտությունը և նպատակը</w:t>
            </w:r>
          </w:p>
          <w:p w:rsidR="0068680D" w:rsidRPr="00DD1660" w:rsidRDefault="0068680D" w:rsidP="00F47DC4">
            <w:pPr>
              <w:pStyle w:val="ListParagraph"/>
              <w:spacing w:line="276" w:lineRule="auto"/>
              <w:ind w:left="0" w:right="14"/>
              <w:contextualSpacing w:val="0"/>
              <w:jc w:val="both"/>
              <w:rPr>
                <w:rFonts w:cs="Arial"/>
                <w:bCs/>
                <w:kern w:val="16"/>
                <w:lang w:val="hy-AM"/>
              </w:rPr>
            </w:pPr>
            <w:r w:rsidRPr="00DD1660">
              <w:rPr>
                <w:rFonts w:cs="Arial"/>
                <w:bCs/>
                <w:kern w:val="16"/>
                <w:lang w:val="hy-AM"/>
              </w:rPr>
              <w:t xml:space="preserve">Միջոցառման իրականացումը բխում է </w:t>
            </w:r>
            <w:r w:rsidRPr="00DD1660">
              <w:rPr>
                <w:lang w:val="af-ZA"/>
              </w:rPr>
              <w:t xml:space="preserve">ՀՀ Ազգային ժողովի 14.02.2019թ. N ԱԺՈ-002-Ն որոշմամբ հավանության արժանացած </w:t>
            </w:r>
            <w:r w:rsidRPr="00DD1660">
              <w:rPr>
                <w:lang w:val="hy-AM"/>
              </w:rPr>
              <w:t>ՀՀ</w:t>
            </w:r>
            <w:r w:rsidRPr="00DD1660">
              <w:rPr>
                <w:lang w:val="af-ZA"/>
              </w:rPr>
              <w:t xml:space="preserve"> կառավարության ծրագրի</w:t>
            </w:r>
            <w:r w:rsidRPr="00DD1660">
              <w:rPr>
                <w:rFonts w:cs="Arial"/>
                <w:bCs/>
                <w:kern w:val="16"/>
                <w:lang w:val="hy-AM"/>
              </w:rPr>
              <w:t xml:space="preserve"> 6-րդ բաժնի 6.6.-րդ կետի 1-ին պարբերության դրույթի կատարումն ապահովելու անհրաժեշտությունից։</w:t>
            </w:r>
          </w:p>
          <w:p w:rsidR="0068680D" w:rsidRPr="00DD1660" w:rsidRDefault="0068680D" w:rsidP="0068680D">
            <w:pPr>
              <w:pStyle w:val="ListParagraph"/>
              <w:widowControl w:val="0"/>
              <w:numPr>
                <w:ilvl w:val="1"/>
                <w:numId w:val="417"/>
              </w:numPr>
              <w:spacing w:line="276" w:lineRule="auto"/>
              <w:ind w:left="0" w:right="14" w:firstLine="720"/>
              <w:contextualSpacing w:val="0"/>
              <w:jc w:val="both"/>
              <w:rPr>
                <w:b/>
                <w:lang w:val="hy-AM"/>
              </w:rPr>
            </w:pPr>
            <w:r w:rsidRPr="00DD1660">
              <w:rPr>
                <w:b/>
                <w:lang w:val="hy-AM"/>
              </w:rPr>
              <w:t>Կարգավորման հարաբերությունների ներկա վիճակը և առկա խնդիրները</w:t>
            </w:r>
          </w:p>
          <w:p w:rsidR="0068680D" w:rsidRPr="00DD1660" w:rsidRDefault="0068680D" w:rsidP="00F47DC4">
            <w:pPr>
              <w:spacing w:line="276" w:lineRule="auto"/>
              <w:ind w:right="14"/>
              <w:jc w:val="both"/>
              <w:rPr>
                <w:b/>
                <w:lang w:val="hy-AM"/>
              </w:rPr>
            </w:pPr>
            <w:r w:rsidRPr="00DD1660">
              <w:rPr>
                <w:lang w:val="hy-AM"/>
              </w:rPr>
              <w:t>Ներկայումս պետական գույքի մասնավորեցման և օտարման գործընթացներում լայնորեն կիրառված չեն պետական գույքի վաճառքի կազմակերպման արդիական, արդյունավետ եղանակները և մեթոդները։ Մասնավորապես, լիկվիդային գույքի օտարման դեպքում բավարար չափով չեն կիրառվում գույքի ներգրավմամբ տարածքային և ոլորտային ներդրումային ծրագրերի իրականացումը, ոչ լիկվիդային գույքի վաճառքի դեպքում՝ հանրային իրազեկման միջոցով հանրային լավագույն  գնային առաջարկությունների հիման վրա հրապարակային սակարկությունների միջոցով գույքի վաճառքի կազմակերպումը, ինչպես նաև շարժական գույքի էլեկտրոնային աճուրդի միջոցով վաճառքի կազմակերպումը և որոշակի պարտավորությունների կատարման դիմաց (որոնք համապատասխանում են տարածքի, համայնքի, ոլորտի տվյալ պահին գործող զարգացման ծրագրերին) պետական գույքի սեփականության իրավունքի անհատույց փոխանցումը։</w:t>
            </w:r>
            <w:r w:rsidRPr="00DD1660">
              <w:rPr>
                <w:b/>
                <w:lang w:val="hy-AM"/>
              </w:rPr>
              <w:t xml:space="preserve">                                                                                                                                                                                                                                                                                                                                                                                                                                                                                                                                                                                                                                                                                                                                                                                                                                                                                                                                                                                                                                                                                                                                                                                                                                                                                                                                                                                                                                                                                                                                                                                                                                                                                                                                                                                                                                                                                                                                                                                                                                                                                                                                                                                                                                                                                                                                                                                                                                                                                                                                                                                                                                                                                                                                                                                                                                                                                                                                                                                                                                                                                                                                                                                                                                                                                                                                                                                                                                                                                                                                                                                                                                                                                                                                                                                                                                                                                                                                                                                                                                                                                                                                                                                                                                                                                                                                                                                                                                                                                                                                                                                                                                                                                                                                                                                                                                                                                                                                                                                                                                                                                                                                                                                                                                                                                                                                                                                                                                                                                                                                                                                                                                                                                                                                                                                                                                                                                                                                                                                                                                                                                                                                                                                                                                                                                                                                                                                                                                                                                                                                                                                                                                                                                                                                                                                                                                                                                                                                                                                                                                                                                                                                                                                                                                                                                                                                                                                                                                                                                                                                                                                                                                                                                                                                                                                                                                                                                                                                                                                                                                                                                                                                                                                                                                                                                                                                                                                                                                                                                                                                                                                                                                                                                                                                                                                               </w:t>
            </w:r>
          </w:p>
          <w:p w:rsidR="0068680D" w:rsidRPr="00DD1660" w:rsidRDefault="0068680D" w:rsidP="0068680D">
            <w:pPr>
              <w:widowControl w:val="0"/>
              <w:numPr>
                <w:ilvl w:val="1"/>
                <w:numId w:val="417"/>
              </w:numPr>
              <w:spacing w:line="276" w:lineRule="auto"/>
              <w:ind w:left="0" w:right="14" w:firstLine="720"/>
              <w:jc w:val="both"/>
              <w:rPr>
                <w:b/>
                <w:lang w:val="hy-AM"/>
              </w:rPr>
            </w:pPr>
            <w:r w:rsidRPr="00DD1660">
              <w:rPr>
                <w:b/>
                <w:lang w:val="hy-AM"/>
              </w:rPr>
              <w:t xml:space="preserve">Առկա խնդիրների առաջարկվող լուծումները </w:t>
            </w:r>
          </w:p>
          <w:p w:rsidR="0068680D" w:rsidRPr="00DD1660" w:rsidRDefault="0068680D" w:rsidP="00F47DC4">
            <w:pPr>
              <w:pStyle w:val="ListParagraph"/>
              <w:spacing w:line="276" w:lineRule="auto"/>
              <w:ind w:left="0" w:right="14"/>
              <w:contextualSpacing w:val="0"/>
              <w:jc w:val="both"/>
              <w:rPr>
                <w:rFonts w:eastAsia="Calibri"/>
                <w:lang w:val="hy-AM"/>
              </w:rPr>
            </w:pPr>
            <w:r w:rsidRPr="00DD1660">
              <w:rPr>
                <w:rFonts w:eastAsia="Calibri"/>
                <w:lang w:val="hy-AM"/>
              </w:rPr>
              <w:t xml:space="preserve">Նախատեսվում է </w:t>
            </w:r>
            <w:r w:rsidRPr="00DD1660">
              <w:rPr>
                <w:lang w:val="hy-AM"/>
              </w:rPr>
              <w:t xml:space="preserve">գույքի ներգրավմամբ տարածքային և ոլորտային ներդրումային ծրագրերի մշակում և </w:t>
            </w:r>
            <w:r w:rsidRPr="00DD1660">
              <w:rPr>
                <w:rFonts w:eastAsia="Calibri"/>
                <w:lang w:val="hy-AM"/>
              </w:rPr>
              <w:t>պետական գույքի օտարման և մասնավորեցման բնագավառներում  հնարավորինս սահմանափակել ուղղակի վաճառքի ձևով ներդրումների դիմաց պետական գույքի շուկայական գնահատված արժեքից ցածր գնով վաճառքի կազմակերպման քաղաքականությունը։</w:t>
            </w:r>
          </w:p>
          <w:p w:rsidR="0068680D" w:rsidRPr="00DD1660" w:rsidRDefault="0068680D" w:rsidP="00F47DC4">
            <w:pPr>
              <w:pStyle w:val="NormalWeb"/>
              <w:widowControl w:val="0"/>
              <w:spacing w:before="0" w:beforeAutospacing="0" w:after="0" w:afterAutospacing="0" w:line="276" w:lineRule="auto"/>
              <w:ind w:right="14"/>
              <w:jc w:val="both"/>
              <w:rPr>
                <w:rFonts w:ascii="GHEA Grapalat" w:hAnsi="GHEA Grapalat"/>
                <w:b/>
                <w:sz w:val="20"/>
                <w:szCs w:val="20"/>
                <w:lang w:val="hy-AM" w:eastAsia="en-GB"/>
              </w:rPr>
            </w:pPr>
            <w:r w:rsidRPr="00DD1660">
              <w:rPr>
                <w:rFonts w:ascii="GHEA Grapalat" w:hAnsi="GHEA Grapalat"/>
                <w:b/>
                <w:sz w:val="20"/>
                <w:szCs w:val="20"/>
                <w:lang w:val="hy-AM" w:eastAsia="en-GB"/>
              </w:rPr>
              <w:t>2. Միջոցառման իրականացումից ակնկալվող արդյունքը</w:t>
            </w:r>
          </w:p>
          <w:p w:rsidR="0068680D" w:rsidRPr="00DD1660" w:rsidRDefault="0068680D" w:rsidP="00F47DC4">
            <w:pPr>
              <w:pStyle w:val="NormalWeb"/>
              <w:widowControl w:val="0"/>
              <w:spacing w:before="0" w:beforeAutospacing="0" w:after="0" w:afterAutospacing="0" w:line="276" w:lineRule="auto"/>
              <w:ind w:right="14"/>
              <w:jc w:val="both"/>
              <w:rPr>
                <w:rFonts w:ascii="GHEA Grapalat" w:hAnsi="GHEA Grapalat"/>
                <w:b/>
                <w:bCs/>
                <w:caps/>
                <w:sz w:val="20"/>
                <w:szCs w:val="20"/>
                <w:lang w:val="hy-AM"/>
              </w:rPr>
            </w:pPr>
            <w:r w:rsidRPr="00DD1660">
              <w:rPr>
                <w:rFonts w:ascii="GHEA Grapalat" w:hAnsi="GHEA Grapalat" w:cs="Arial"/>
                <w:bCs/>
                <w:kern w:val="16"/>
                <w:sz w:val="20"/>
                <w:szCs w:val="20"/>
                <w:lang w:val="hy-AM"/>
              </w:rPr>
              <w:t>Պետական գույքի մասնավորեցման և օտարման բնագավառներում աճուրդային և մրցութային ձևերի կիրառման շրջանակների ընդլայնում, ինչպես նաև վաճառքի կազմակերպման արդիական գործիքակազմի ներդրում և դրանց արդյունքների թափանցիկության և հրապարակայնության ապահովում:</w:t>
            </w:r>
          </w:p>
          <w:p w:rsidR="0068680D" w:rsidRPr="00DD1660"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DD1660"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sidRPr="00DD1660">
              <w:rPr>
                <w:rFonts w:ascii="GHEA Grapalat" w:hAnsi="GHEA Grapalat" w:cs="Sylfaen"/>
                <w:sz w:val="20"/>
                <w:szCs w:val="20"/>
                <w:lang w:val="hy-AM"/>
              </w:rPr>
              <w:t xml:space="preserve"> 2</w:t>
            </w:r>
            <w:r>
              <w:rPr>
                <w:rFonts w:ascii="GHEA Grapalat" w:hAnsi="GHEA Grapalat" w:cs="Sylfaen"/>
                <w:sz w:val="20"/>
                <w:szCs w:val="20"/>
                <w:lang w:val="hy-AM"/>
              </w:rPr>
              <w:t>7</w:t>
            </w:r>
            <w:r w:rsidRPr="00DD1660">
              <w:rPr>
                <w:rFonts w:ascii="GHEA Grapalat" w:hAnsi="GHEA Grapalat" w:cs="Sylfaen"/>
                <w:sz w:val="20"/>
                <w:szCs w:val="20"/>
                <w:lang w:val="hy-AM"/>
              </w:rPr>
              <w:t>.2 «Օտարման ենթակա պետական գույքն առանց գնային առաջարկի վաճառքը կազմակերպելու մասին» ՀՀ կառավարության որոշման նախագիծը ՀՀ վարչապետի աշխատակազմ ներկայացնելը</w:t>
            </w:r>
          </w:p>
          <w:p w:rsidR="0068680D" w:rsidRPr="00DD1660" w:rsidRDefault="0068680D" w:rsidP="0068680D">
            <w:pPr>
              <w:pStyle w:val="NormalWeb"/>
              <w:widowControl w:val="0"/>
              <w:numPr>
                <w:ilvl w:val="0"/>
                <w:numId w:val="366"/>
              </w:numPr>
              <w:spacing w:before="0" w:beforeAutospacing="0" w:after="0" w:afterAutospacing="0" w:line="276" w:lineRule="auto"/>
              <w:ind w:right="115"/>
              <w:rPr>
                <w:rFonts w:ascii="GHEA Grapalat" w:hAnsi="GHEA Grapalat"/>
                <w:b/>
                <w:sz w:val="20"/>
                <w:szCs w:val="20"/>
                <w:lang w:val="hy-AM" w:eastAsia="en-GB"/>
              </w:rPr>
            </w:pPr>
            <w:r w:rsidRPr="00DD1660">
              <w:rPr>
                <w:rFonts w:ascii="GHEA Grapalat" w:hAnsi="GHEA Grapalat"/>
                <w:b/>
                <w:sz w:val="20"/>
                <w:szCs w:val="20"/>
                <w:lang w:val="hy-AM" w:eastAsia="en-GB"/>
              </w:rPr>
              <w:t>Միջոցառման իրակացման անհրաժեշտությունը և նպատակը</w:t>
            </w:r>
          </w:p>
          <w:p w:rsidR="0068680D" w:rsidRPr="00DD1660" w:rsidRDefault="0068680D" w:rsidP="00F47DC4">
            <w:pPr>
              <w:pStyle w:val="BodyText3"/>
              <w:spacing w:after="0" w:line="276" w:lineRule="auto"/>
              <w:jc w:val="both"/>
              <w:rPr>
                <w:rFonts w:ascii="GHEA Grapalat" w:hAnsi="GHEA Grapalat"/>
                <w:color w:val="000000"/>
                <w:sz w:val="20"/>
                <w:szCs w:val="20"/>
                <w:lang w:val="hy-AM" w:eastAsia="x-none"/>
              </w:rPr>
            </w:pPr>
            <w:r w:rsidRPr="00DD1660">
              <w:rPr>
                <w:rFonts w:ascii="GHEA Grapalat" w:hAnsi="GHEA Grapalat"/>
                <w:sz w:val="20"/>
                <w:szCs w:val="20"/>
                <w:lang w:val="hy-AM" w:eastAsia="x-none"/>
              </w:rPr>
              <w:t xml:space="preserve">Իրավական ակտի ընդունումը պայմանավորված օտարման ենթակա պետական գույքն առանց գնային առաջարկի վաճառքի կանոնակարգման, ինչպես նաև </w:t>
            </w:r>
            <w:r w:rsidRPr="00DD1660">
              <w:rPr>
                <w:rFonts w:ascii="GHEA Grapalat" w:hAnsi="GHEA Grapalat"/>
                <w:color w:val="000000"/>
                <w:sz w:val="20"/>
                <w:szCs w:val="20"/>
                <w:lang w:val="hy-AM" w:eastAsia="x-none"/>
              </w:rPr>
              <w:t xml:space="preserve">է </w:t>
            </w:r>
            <w:r w:rsidRPr="00DD1660">
              <w:rPr>
                <w:rFonts w:ascii="GHEA Grapalat" w:hAnsi="GHEA Grapalat"/>
                <w:sz w:val="20"/>
                <w:lang w:val="af-ZA"/>
              </w:rPr>
              <w:t xml:space="preserve">ՀՀ Ազգային ժողովի 14.02.2019թ. N ԱԺՈ-002-Ն որոշմամբ հավանության արժանացած </w:t>
            </w:r>
            <w:r w:rsidRPr="00DD1660">
              <w:rPr>
                <w:rFonts w:ascii="GHEA Grapalat" w:hAnsi="GHEA Grapalat"/>
                <w:sz w:val="20"/>
                <w:lang w:val="hy-AM"/>
              </w:rPr>
              <w:t>ՀՀ</w:t>
            </w:r>
            <w:r w:rsidRPr="00DD1660">
              <w:rPr>
                <w:rFonts w:ascii="GHEA Grapalat" w:hAnsi="GHEA Grapalat"/>
                <w:sz w:val="20"/>
                <w:lang w:val="af-ZA"/>
              </w:rPr>
              <w:t xml:space="preserve"> կառավարության ծրագրի</w:t>
            </w:r>
            <w:r w:rsidRPr="00DD1660">
              <w:rPr>
                <w:rFonts w:ascii="GHEA Grapalat" w:hAnsi="GHEA Grapalat"/>
                <w:color w:val="000000"/>
                <w:sz w:val="20"/>
                <w:szCs w:val="20"/>
                <w:lang w:val="hy-AM" w:eastAsia="x-none"/>
              </w:rPr>
              <w:t xml:space="preserve"> 6-րդ բաժնի 6.6.-րդ կետի 2-րդ պարբերության կատարումն ապահովելու անհրաժեշտությամբ։ </w:t>
            </w:r>
          </w:p>
          <w:p w:rsidR="0068680D" w:rsidRPr="00DD1660" w:rsidRDefault="0068680D" w:rsidP="0068680D">
            <w:pPr>
              <w:widowControl w:val="0"/>
              <w:numPr>
                <w:ilvl w:val="1"/>
                <w:numId w:val="367"/>
              </w:numPr>
              <w:spacing w:line="276" w:lineRule="auto"/>
              <w:ind w:right="115"/>
              <w:rPr>
                <w:b/>
                <w:lang w:val="hy-AM"/>
              </w:rPr>
            </w:pPr>
            <w:r w:rsidRPr="00DD1660">
              <w:rPr>
                <w:b/>
                <w:lang w:val="hy-AM"/>
              </w:rPr>
              <w:t>Կարգավորման հարաբերությունների ներկա վիճակը և առկա խնդիրները</w:t>
            </w:r>
          </w:p>
          <w:p w:rsidR="0068680D" w:rsidRPr="00DD1660" w:rsidRDefault="0068680D" w:rsidP="00F47DC4">
            <w:pPr>
              <w:pStyle w:val="BodyText3"/>
              <w:spacing w:after="0" w:line="276" w:lineRule="auto"/>
              <w:jc w:val="both"/>
              <w:rPr>
                <w:rFonts w:ascii="GHEA Grapalat" w:hAnsi="GHEA Grapalat"/>
                <w:sz w:val="20"/>
                <w:szCs w:val="20"/>
                <w:lang w:val="hy-AM" w:eastAsia="x-none"/>
              </w:rPr>
            </w:pPr>
            <w:r w:rsidRPr="00DD1660">
              <w:rPr>
                <w:rFonts w:ascii="GHEA Grapalat" w:hAnsi="GHEA Grapalat"/>
                <w:color w:val="000000"/>
                <w:sz w:val="20"/>
                <w:szCs w:val="20"/>
                <w:lang w:val="hy-AM" w:eastAsia="x-none"/>
              </w:rPr>
              <w:t xml:space="preserve">Օտարման ենթակա պետական սեփականություն հանդիսացող գույքն առանց գնային առաջարկի վաճառքի կազմակերպման գործընթացն իրականացնելու նպատակով Պետական գույքի կառավարման կոմիտեն ուսումնասիրել է օտարերկրյա պետությունների փորձը: Ուսումնասիրության արդյունքների հիման վրա որոշվել է գույքի օտարման գործընթացը կազմակերպել 2 փուլով և դրան համապատասխան մշակել մեթոդական և իրավական դաշտ: </w:t>
            </w:r>
            <w:r w:rsidRPr="00DD1660">
              <w:rPr>
                <w:rFonts w:ascii="GHEA Grapalat" w:hAnsi="GHEA Grapalat"/>
                <w:sz w:val="20"/>
                <w:szCs w:val="20"/>
                <w:lang w:val="hy-AM" w:eastAsia="x-none"/>
              </w:rPr>
              <w:t>Այս գործընթացը նախատեսվում է կիրառել հիմնականում օտարման ենթակա դժվար իրացվելիք պետական սեփականություն համարվող անշարժ և շարժական գույքը վաճառելու դեպքում: Դժվար իրացվելիք գույք համարվում է պետական այն գույքը, որը մեկ և ավելի անգամ գնահատված շուկայական արժեքով դրվում է վաճառքի և չի վաճառվում։</w:t>
            </w:r>
          </w:p>
          <w:p w:rsidR="0068680D" w:rsidRPr="00DD1660" w:rsidRDefault="0068680D" w:rsidP="0068680D">
            <w:pPr>
              <w:widowControl w:val="0"/>
              <w:numPr>
                <w:ilvl w:val="1"/>
                <w:numId w:val="367"/>
              </w:numPr>
              <w:spacing w:line="276" w:lineRule="auto"/>
              <w:ind w:right="115"/>
              <w:rPr>
                <w:b/>
                <w:lang w:val="hy-AM"/>
              </w:rPr>
            </w:pPr>
            <w:r w:rsidRPr="00DD1660">
              <w:rPr>
                <w:b/>
                <w:lang w:val="hy-AM"/>
              </w:rPr>
              <w:t xml:space="preserve">Առկա խնդիրների առաջարկվող լուծումները </w:t>
            </w:r>
          </w:p>
          <w:p w:rsidR="0068680D" w:rsidRPr="00DD1660" w:rsidRDefault="0068680D" w:rsidP="00F47DC4">
            <w:pPr>
              <w:spacing w:line="276" w:lineRule="auto"/>
              <w:jc w:val="both"/>
              <w:rPr>
                <w:rFonts w:cs="Arial"/>
                <w:bCs/>
                <w:kern w:val="16"/>
                <w:lang w:val="hy-AM"/>
              </w:rPr>
            </w:pPr>
            <w:r w:rsidRPr="00DD1660">
              <w:rPr>
                <w:rFonts w:cs="Arial"/>
                <w:bCs/>
                <w:kern w:val="16"/>
                <w:lang w:val="hy-AM"/>
              </w:rPr>
              <w:t xml:space="preserve">Առաջարկվող մեխանիզմի ներդրման արդյունքում կսահմանվի օտարման ենթակա գույքի ցանկը և պայամանները: Գույքի օտարման գործընթացն առաջարկվում է իրականացնել երկու փուլով. առաջին փուլը` աճուրդի մասնակիցների որակավորման փուլն է, որի ընթացքում հանրային իրազեկման ճանապարհով, օտարման ենթակա յուրաքանչյուր գույքի վերաբերյալ գնային առաջարկների ստացման և այն քննարկման ճանապարհով սահմանվում է օտարման ենթակա գույքի վաճառքի մեկնարկային գինը և մասնակիցների շրջանակը, երկրորդ փուլը՝ սահմանված մեկնարկային գնով՝ դասական աճուրդի միջոցով գույքի վաճառքի կազմակերպումն է: </w:t>
            </w:r>
          </w:p>
          <w:p w:rsidR="0068680D" w:rsidRPr="00DD1660" w:rsidRDefault="0068680D" w:rsidP="0068680D">
            <w:pPr>
              <w:pStyle w:val="NormalWeb"/>
              <w:widowControl w:val="0"/>
              <w:numPr>
                <w:ilvl w:val="0"/>
                <w:numId w:val="366"/>
              </w:numPr>
              <w:spacing w:before="0" w:beforeAutospacing="0" w:after="0" w:afterAutospacing="0" w:line="276" w:lineRule="auto"/>
              <w:ind w:right="115"/>
              <w:rPr>
                <w:rFonts w:ascii="GHEA Grapalat" w:hAnsi="GHEA Grapalat"/>
                <w:b/>
                <w:sz w:val="20"/>
                <w:szCs w:val="20"/>
                <w:lang w:val="hy-AM" w:eastAsia="en-GB"/>
              </w:rPr>
            </w:pPr>
            <w:r w:rsidRPr="00DD1660">
              <w:rPr>
                <w:rFonts w:ascii="GHEA Grapalat" w:hAnsi="GHEA Grapalat"/>
                <w:b/>
                <w:sz w:val="20"/>
                <w:szCs w:val="20"/>
                <w:lang w:val="hy-AM" w:eastAsia="en-GB"/>
              </w:rPr>
              <w:t>Միջոցառման իրականացումից ակնկալվող արդյունքը</w:t>
            </w:r>
          </w:p>
          <w:p w:rsidR="0068680D" w:rsidRPr="00DD1660" w:rsidRDefault="0068680D" w:rsidP="00F47DC4">
            <w:pPr>
              <w:pStyle w:val="NormalWeb"/>
              <w:spacing w:before="0" w:beforeAutospacing="0" w:after="0" w:afterAutospacing="0" w:line="276" w:lineRule="auto"/>
              <w:jc w:val="both"/>
              <w:rPr>
                <w:rFonts w:ascii="GHEA Grapalat" w:hAnsi="GHEA Grapalat" w:cs="Arial"/>
                <w:bCs/>
                <w:kern w:val="16"/>
                <w:sz w:val="20"/>
                <w:szCs w:val="20"/>
                <w:lang w:val="hy-AM"/>
              </w:rPr>
            </w:pPr>
            <w:r w:rsidRPr="00DD1660">
              <w:rPr>
                <w:rFonts w:ascii="GHEA Grapalat" w:hAnsi="GHEA Grapalat" w:cs="Arial"/>
                <w:bCs/>
                <w:kern w:val="16"/>
                <w:sz w:val="20"/>
                <w:szCs w:val="20"/>
                <w:lang w:val="hy-AM"/>
              </w:rPr>
              <w:t>Որոշման ընդունման դեպքում նախատեսվում է օտարման ենթակա դժվար իրացվելիք պետական սեփականություն համարվող անշարժ և շարժական գույքը վաճառել առանց գնային առաջարկի:</w:t>
            </w:r>
          </w:p>
          <w:p w:rsidR="0068680D" w:rsidRPr="00DD1660"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DD1660"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sidRPr="00DD1660">
              <w:rPr>
                <w:rFonts w:ascii="GHEA Grapalat" w:hAnsi="GHEA Grapalat" w:cs="Sylfaen"/>
                <w:sz w:val="20"/>
                <w:szCs w:val="20"/>
                <w:lang w:val="hy-AM"/>
              </w:rPr>
              <w:t xml:space="preserve"> 2</w:t>
            </w:r>
            <w:r>
              <w:rPr>
                <w:rFonts w:ascii="GHEA Grapalat" w:hAnsi="GHEA Grapalat" w:cs="Sylfaen"/>
                <w:sz w:val="20"/>
                <w:szCs w:val="20"/>
                <w:lang w:val="hy-AM"/>
              </w:rPr>
              <w:t>7</w:t>
            </w:r>
            <w:r w:rsidRPr="00DD1660">
              <w:rPr>
                <w:rFonts w:ascii="GHEA Grapalat" w:hAnsi="GHEA Grapalat" w:cs="Sylfaen"/>
                <w:sz w:val="20"/>
                <w:szCs w:val="20"/>
                <w:lang w:val="hy-AM"/>
              </w:rPr>
              <w:t>.3 Օտարման ենթակա գույքի անվանացանկի սահմանում, շուկայական գնահատում և հանրության իրազեկում</w:t>
            </w:r>
          </w:p>
          <w:p w:rsidR="0068680D" w:rsidRPr="00DD1660" w:rsidRDefault="0068680D" w:rsidP="00F47DC4">
            <w:pPr>
              <w:pStyle w:val="NormalWeb"/>
              <w:widowControl w:val="0"/>
              <w:spacing w:before="0" w:beforeAutospacing="0" w:after="0" w:afterAutospacing="0" w:line="276" w:lineRule="auto"/>
              <w:jc w:val="both"/>
              <w:rPr>
                <w:rFonts w:ascii="GHEA Grapalat" w:hAnsi="GHEA Grapalat"/>
                <w:b/>
                <w:sz w:val="20"/>
                <w:szCs w:val="20"/>
                <w:lang w:val="hy-AM" w:eastAsia="en-GB"/>
              </w:rPr>
            </w:pPr>
            <w:r w:rsidRPr="00DD1660">
              <w:rPr>
                <w:rFonts w:ascii="GHEA Grapalat" w:hAnsi="GHEA Grapalat"/>
                <w:b/>
                <w:sz w:val="20"/>
                <w:szCs w:val="20"/>
                <w:lang w:val="hy-AM" w:eastAsia="en-GB"/>
              </w:rPr>
              <w:t>1. Միջոցառման իրականացման անհրաժեշտությունը և նպատակը</w:t>
            </w:r>
          </w:p>
          <w:p w:rsidR="0068680D" w:rsidRPr="00DD1660" w:rsidRDefault="0068680D" w:rsidP="00F47DC4">
            <w:pPr>
              <w:pStyle w:val="ListParagraph"/>
              <w:spacing w:line="276" w:lineRule="auto"/>
              <w:ind w:left="0"/>
              <w:contextualSpacing w:val="0"/>
              <w:jc w:val="both"/>
              <w:rPr>
                <w:rFonts w:cs="Arial"/>
                <w:bCs/>
                <w:kern w:val="16"/>
                <w:lang w:val="hy-AM"/>
              </w:rPr>
            </w:pPr>
            <w:r w:rsidRPr="00DD1660">
              <w:rPr>
                <w:rFonts w:cs="Arial"/>
                <w:bCs/>
                <w:kern w:val="16"/>
                <w:lang w:val="hy-AM"/>
              </w:rPr>
              <w:t xml:space="preserve">Միջոցառման իրականացումը բխում է </w:t>
            </w:r>
            <w:r w:rsidRPr="00DD1660">
              <w:rPr>
                <w:lang w:val="af-ZA"/>
              </w:rPr>
              <w:t xml:space="preserve">ՀՀ Ազգային ժողովի 14.02.2019թ. N ԱԺՈ-002-Ն որոշմամբ հավանության արժանացած </w:t>
            </w:r>
            <w:r w:rsidRPr="00DD1660">
              <w:rPr>
                <w:lang w:val="hy-AM"/>
              </w:rPr>
              <w:t>ՀՀ</w:t>
            </w:r>
            <w:r w:rsidRPr="00DD1660">
              <w:rPr>
                <w:lang w:val="af-ZA"/>
              </w:rPr>
              <w:t xml:space="preserve"> կառավարության ծրագրի</w:t>
            </w:r>
            <w:r w:rsidRPr="00DD1660">
              <w:rPr>
                <w:rFonts w:cs="Arial"/>
                <w:bCs/>
                <w:kern w:val="16"/>
                <w:lang w:val="hy-AM"/>
              </w:rPr>
              <w:t xml:space="preserve"> 6-րդ բաժնի 6.6.-րդ կետի 1-ին պարբերության դրույթի կատարումն ապահովելու անհրաժեշտությունից։</w:t>
            </w:r>
          </w:p>
          <w:p w:rsidR="0068680D" w:rsidRPr="00DD1660" w:rsidRDefault="0068680D" w:rsidP="0068680D">
            <w:pPr>
              <w:pStyle w:val="ListParagraph"/>
              <w:widowControl w:val="0"/>
              <w:numPr>
                <w:ilvl w:val="1"/>
                <w:numId w:val="416"/>
              </w:numPr>
              <w:spacing w:line="276" w:lineRule="auto"/>
              <w:ind w:left="0" w:firstLine="720"/>
              <w:contextualSpacing w:val="0"/>
              <w:jc w:val="both"/>
              <w:rPr>
                <w:b/>
                <w:lang w:val="hy-AM"/>
              </w:rPr>
            </w:pPr>
            <w:r w:rsidRPr="00DD1660">
              <w:rPr>
                <w:b/>
                <w:lang w:val="hy-AM"/>
              </w:rPr>
              <w:t>Կարգավորման հարաբերությունների ներկա վիճակը և առկա խնդիրները</w:t>
            </w:r>
          </w:p>
          <w:p w:rsidR="0068680D" w:rsidRPr="00DD1660" w:rsidRDefault="0068680D" w:rsidP="00F47DC4">
            <w:pPr>
              <w:widowControl w:val="0"/>
              <w:spacing w:line="276" w:lineRule="auto"/>
              <w:jc w:val="both"/>
              <w:rPr>
                <w:b/>
                <w:lang w:val="hy-AM"/>
              </w:rPr>
            </w:pPr>
            <w:r w:rsidRPr="00DD1660">
              <w:rPr>
                <w:rStyle w:val="normaltextrun"/>
                <w:rFonts w:cs="Segoe UI"/>
                <w:lang w:val="hy-AM"/>
              </w:rPr>
              <w:t>Ներկայումս պետության սեփականություն համարվող անշարժ և շարժական գույքը հիմնականում բարոյապես և ֆիզիկապես մաշված է, այդ թվում՝ չօգտագործվող կամ ոչ արդյունավետ օգտագործվող օտարման ենթակա անշարժ և շարժական գույքի իրացվելության մակարդակը և ներդրումային գրավչությունը բավականին ցածր է։ Նման վիճակը պայմանավորված է նաև տվյալ գույքի վաճառքի կազմակերպման բնագավառում առկա բազմաթիվ թերություններով ու բացթողումներով, ինչպես նաև վաճառքի ենթակա գույքի վերաբերյալ հանրային իրազեկման ոչ անհրաժեշտ մակարդակով։</w:t>
            </w:r>
          </w:p>
          <w:p w:rsidR="0068680D" w:rsidRPr="00DD1660" w:rsidRDefault="0068680D" w:rsidP="0068680D">
            <w:pPr>
              <w:widowControl w:val="0"/>
              <w:numPr>
                <w:ilvl w:val="1"/>
                <w:numId w:val="416"/>
              </w:numPr>
              <w:spacing w:line="276" w:lineRule="auto"/>
              <w:ind w:left="0" w:firstLine="720"/>
              <w:jc w:val="both"/>
              <w:rPr>
                <w:b/>
                <w:lang w:val="hy-AM"/>
              </w:rPr>
            </w:pPr>
            <w:r w:rsidRPr="00DD1660">
              <w:rPr>
                <w:b/>
                <w:lang w:val="hy-AM"/>
              </w:rPr>
              <w:t xml:space="preserve">Առկա խնդիրների առաջարկվող լուծումները </w:t>
            </w:r>
          </w:p>
          <w:p w:rsidR="0068680D" w:rsidRPr="00DD1660" w:rsidRDefault="0068680D" w:rsidP="00F47DC4">
            <w:pPr>
              <w:pStyle w:val="ListParagraph"/>
              <w:spacing w:line="276" w:lineRule="auto"/>
              <w:ind w:left="0"/>
              <w:contextualSpacing w:val="0"/>
              <w:jc w:val="both"/>
              <w:rPr>
                <w:b/>
                <w:lang w:val="hy-AM"/>
              </w:rPr>
            </w:pPr>
            <w:r w:rsidRPr="00DD1660">
              <w:rPr>
                <w:rStyle w:val="normaltextrun"/>
                <w:rFonts w:cs="Segoe UI"/>
                <w:lang w:val="hy-AM"/>
              </w:rPr>
              <w:t>Հանրությունը տեղեկություններ չունի օտարման ենթակա պետական գույքի անվանացանկի, այդ անվանացանկում ընդգրկված յուրաքանչյուր միավոր գույքի շուկայական արժեքի և վաճառքի պայմանների մասին։ Ներկայումս պետական գույքի շուկայական արժեքը որոշվում է միայն մասնավորեցման կամ օտարման մասին որոշում նախապատրաստելու փուլում, երբ մասամբ հայտնի է վաճառքի սցենարը։ Ընդհանրապես ներկա դրությամբ հստակ սահմանված չէ նաև օտարման ենթակա գույքի անվանացանկը, բացակայում է այդ գույքի դասակարգումը՝ ըստ տարածքային և ոլորտային բաշխվածության, ըստ իրացվելության աստիճանի՝ դժվար իրացվող և իրացվելի։ Օտարման ժամանակ հստակ սահմանված չեն ըստ գույքի տեսակների օտարման ձևերի կիրառման և վաճառքի գների սահմանման մոտեցումները:</w:t>
            </w:r>
          </w:p>
          <w:p w:rsidR="0068680D" w:rsidRPr="00DD1660" w:rsidRDefault="0068680D" w:rsidP="00F47DC4">
            <w:pPr>
              <w:pStyle w:val="NormalWeb"/>
              <w:widowControl w:val="0"/>
              <w:spacing w:before="0" w:beforeAutospacing="0" w:after="0" w:afterAutospacing="0" w:line="276" w:lineRule="auto"/>
              <w:jc w:val="both"/>
              <w:rPr>
                <w:rFonts w:ascii="GHEA Grapalat" w:hAnsi="GHEA Grapalat"/>
                <w:b/>
                <w:sz w:val="20"/>
                <w:szCs w:val="20"/>
                <w:lang w:val="hy-AM" w:eastAsia="en-GB"/>
              </w:rPr>
            </w:pPr>
            <w:r w:rsidRPr="00DD1660">
              <w:rPr>
                <w:rFonts w:ascii="GHEA Grapalat" w:hAnsi="GHEA Grapalat"/>
                <w:b/>
                <w:sz w:val="20"/>
                <w:szCs w:val="20"/>
                <w:lang w:val="hy-AM" w:eastAsia="en-GB"/>
              </w:rPr>
              <w:t>2. Միջոցառման իրականացումից ակնկալվող արդյունքը</w:t>
            </w:r>
          </w:p>
          <w:p w:rsidR="0068680D" w:rsidRPr="00DD1660" w:rsidRDefault="0068680D" w:rsidP="00F47DC4">
            <w:pPr>
              <w:spacing w:line="276" w:lineRule="auto"/>
              <w:jc w:val="both"/>
              <w:rPr>
                <w:lang w:val="hy-AM"/>
              </w:rPr>
            </w:pPr>
            <w:r w:rsidRPr="00DD1660">
              <w:rPr>
                <w:rFonts w:cs="Arial"/>
                <w:bCs/>
                <w:kern w:val="16"/>
                <w:lang w:val="hy-AM"/>
              </w:rPr>
              <w:t>Հնգամյա կտրվածքով օտարման ենթակա գույքի անվանացանկի սահմանում, դրանում ընդգրկված յուրաքանչյուր գույքի շուկայական արժեքի որոշում, հանրային իրազեկման ապահովում, բաց մրցակցության շնորհիվ ՀՀ պետական և համայնքային բյուջեների մուտքերի ավելացում։</w:t>
            </w:r>
          </w:p>
          <w:p w:rsidR="0068680D" w:rsidRPr="00DD1660"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DD1660"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sidRPr="00DD1660">
              <w:rPr>
                <w:rFonts w:ascii="GHEA Grapalat" w:hAnsi="GHEA Grapalat" w:cs="Sylfaen"/>
                <w:sz w:val="20"/>
                <w:szCs w:val="20"/>
                <w:lang w:val="hy-AM"/>
              </w:rPr>
              <w:t xml:space="preserve"> 2</w:t>
            </w:r>
            <w:r>
              <w:rPr>
                <w:rFonts w:ascii="GHEA Grapalat" w:hAnsi="GHEA Grapalat" w:cs="Sylfaen"/>
                <w:sz w:val="20"/>
                <w:szCs w:val="20"/>
                <w:lang w:val="hy-AM"/>
              </w:rPr>
              <w:t>7</w:t>
            </w:r>
            <w:r w:rsidRPr="00DD1660">
              <w:rPr>
                <w:rFonts w:ascii="GHEA Grapalat" w:hAnsi="GHEA Grapalat" w:cs="Sylfaen"/>
                <w:sz w:val="20"/>
                <w:szCs w:val="20"/>
                <w:lang w:val="hy-AM"/>
              </w:rPr>
              <w:t>.4 «Պետական գույքի օտարման և վարձակալության նպատակով էլեկտրոնային աճուրդի անցկացման կարգը հաստատելու մասին և ՀՀ կառավարության 2003 թվականի հունիսի 13-ի N882-Ն որոշման 6-րդ գլուխն ուժը կորցրած ճանաչելու մասին» ՀՀ կառավարության որոշման նախագիծը ՀՀ վարչապետի աշխատակազմ ներկայացնելը</w:t>
            </w:r>
          </w:p>
          <w:p w:rsidR="0068680D" w:rsidRPr="00DD1660" w:rsidRDefault="0068680D" w:rsidP="0068680D">
            <w:pPr>
              <w:pStyle w:val="NormalWeb"/>
              <w:widowControl w:val="0"/>
              <w:numPr>
                <w:ilvl w:val="0"/>
                <w:numId w:val="368"/>
              </w:numPr>
              <w:spacing w:before="0" w:beforeAutospacing="0" w:after="0" w:afterAutospacing="0" w:line="276" w:lineRule="auto"/>
              <w:ind w:right="115"/>
              <w:rPr>
                <w:rFonts w:ascii="GHEA Grapalat" w:hAnsi="GHEA Grapalat"/>
                <w:b/>
                <w:sz w:val="20"/>
                <w:szCs w:val="20"/>
                <w:lang w:val="hy-AM" w:eastAsia="en-GB"/>
              </w:rPr>
            </w:pPr>
            <w:r w:rsidRPr="00DD1660">
              <w:rPr>
                <w:rFonts w:ascii="GHEA Grapalat" w:hAnsi="GHEA Grapalat"/>
                <w:b/>
                <w:sz w:val="20"/>
                <w:szCs w:val="20"/>
                <w:lang w:val="hy-AM" w:eastAsia="en-GB"/>
              </w:rPr>
              <w:t>Միջոցառման իրակացման անհրաժեշտությունը և նպատակը</w:t>
            </w:r>
          </w:p>
          <w:p w:rsidR="0068680D" w:rsidRPr="00DD1660" w:rsidRDefault="0068680D" w:rsidP="00F47DC4">
            <w:pPr>
              <w:spacing w:line="276" w:lineRule="auto"/>
              <w:jc w:val="both"/>
              <w:rPr>
                <w:rFonts w:cs="Arial"/>
                <w:bCs/>
                <w:kern w:val="16"/>
                <w:lang w:val="hy-AM"/>
              </w:rPr>
            </w:pPr>
            <w:r w:rsidRPr="00DD1660">
              <w:rPr>
                <w:rFonts w:cs="Arial"/>
                <w:bCs/>
                <w:kern w:val="16"/>
                <w:lang w:val="hy-AM"/>
              </w:rPr>
              <w:t xml:space="preserve">Իրավական ակտի ընդունումը պայմանավորված է պետական գույքի վաճառքի կազմակերպման արդյունավետության բարձրացման նպատակով ներդնել պետական գույքի օտարման էլեկտրոնային աճուրդների իրականացման համակարգը։ Միաժամանակ, նախատեսվում է պետական և համայնքային (առաջարկության դեպքում) սեփականություն հանդիսացող գույքի օտարումը, ինչպես նաև պետական այլ մարմինների կողմից իրականացվող գույքի վաճառքը կամ վարձակալությունը իրականացնել մեկ միասնական էլեկտրոնային հարթակի միջոցով, որի ստեղծման և գործարկման պատասխանատուն կհանդիսանա Կոմիտեն և </w:t>
            </w:r>
            <w:r w:rsidRPr="00DD1660">
              <w:rPr>
                <w:lang w:val="af-ZA"/>
              </w:rPr>
              <w:t xml:space="preserve">ՀՀ Ազգային ժողովի 14.02.2019թ. N ԱԺՈ-002-Ն որոշմամբ հավանության արժանացած </w:t>
            </w:r>
            <w:r w:rsidRPr="00DD1660">
              <w:rPr>
                <w:lang w:val="hy-AM"/>
              </w:rPr>
              <w:t>ՀՀ</w:t>
            </w:r>
            <w:r w:rsidRPr="00DD1660">
              <w:rPr>
                <w:lang w:val="af-ZA"/>
              </w:rPr>
              <w:t xml:space="preserve"> կառավարության ծրագրի</w:t>
            </w:r>
            <w:r w:rsidRPr="00DD1660">
              <w:rPr>
                <w:rFonts w:cs="Arial"/>
                <w:bCs/>
                <w:kern w:val="16"/>
                <w:lang w:val="hy-AM"/>
              </w:rPr>
              <w:t xml:space="preserve"> 6-րդ բաժնի 6.6.-րդ կետի 2-րդ պարբերության կատարումն ապահովելու անհրաժեշտությամբ։ </w:t>
            </w:r>
          </w:p>
          <w:p w:rsidR="0068680D" w:rsidRPr="00DD1660" w:rsidRDefault="0068680D" w:rsidP="0068680D">
            <w:pPr>
              <w:widowControl w:val="0"/>
              <w:numPr>
                <w:ilvl w:val="1"/>
                <w:numId w:val="369"/>
              </w:numPr>
              <w:spacing w:line="276" w:lineRule="auto"/>
              <w:ind w:right="115"/>
              <w:rPr>
                <w:b/>
                <w:lang w:val="hy-AM"/>
              </w:rPr>
            </w:pPr>
            <w:r w:rsidRPr="00DD1660">
              <w:rPr>
                <w:b/>
                <w:lang w:val="hy-AM"/>
              </w:rPr>
              <w:t>Կարգավորման հարաբերությունների ներկա վիճակը և առկա խնդիրները</w:t>
            </w:r>
          </w:p>
          <w:p w:rsidR="0068680D" w:rsidRPr="00DD1660" w:rsidRDefault="0068680D" w:rsidP="00F47DC4">
            <w:pPr>
              <w:spacing w:line="276" w:lineRule="auto"/>
              <w:jc w:val="both"/>
              <w:rPr>
                <w:rFonts w:cs="Arial"/>
                <w:bCs/>
                <w:kern w:val="16"/>
                <w:lang w:val="hy-AM"/>
              </w:rPr>
            </w:pPr>
            <w:r w:rsidRPr="00DD1660">
              <w:rPr>
                <w:rFonts w:cs="Arial"/>
                <w:bCs/>
                <w:kern w:val="16"/>
                <w:lang w:val="hy-AM"/>
              </w:rPr>
              <w:t>Պետական գույքի կառավարումն այժմ պահանջում է նոր մոտեցումների կիրառում, որոնց նպատակն է բարձրացնել պետական գույքի տնտեսական շրջանառության արդյունավետությունը և ավելացնել անշարժ գույքից ստացվելիք եկամուտները։</w:t>
            </w:r>
          </w:p>
          <w:p w:rsidR="0068680D" w:rsidRPr="00DD1660" w:rsidRDefault="0068680D" w:rsidP="00F47DC4">
            <w:pPr>
              <w:spacing w:line="276" w:lineRule="auto"/>
              <w:jc w:val="both"/>
              <w:rPr>
                <w:rFonts w:cs="Arial"/>
                <w:bCs/>
                <w:kern w:val="16"/>
                <w:lang w:val="hy-AM"/>
              </w:rPr>
            </w:pPr>
            <w:r w:rsidRPr="00DD1660">
              <w:rPr>
                <w:rFonts w:cs="Arial"/>
                <w:bCs/>
                <w:kern w:val="16"/>
                <w:lang w:val="hy-AM"/>
              </w:rPr>
              <w:t xml:space="preserve">Պետական գույքի մասնավորեցման, օտարման, օգտագործման և սպասարկման ոլորտներում արդիական ձևեր և մեթոդներ չեն կիրառվում, տվյալ ոլորտներում չեն իրականացվում արդյունավետ և նպատակային ծրագրեր, նշված գործընթացների կազմակերպման համար չեն ներդրվում պրակտիկայում լայնորեն կիրառվող գործիքները (նկատի ունենք էլեկտրոնային աճուրդների կազմակերպումը, որակյալ գովազդի իրականացումը, միջնորդավորված բրոքերային կազմակերպությունների ներգրավումը և այլն)։ Պետության կողմից վարվող քաղաքականությունը պետական գույքի կառավարման ոլորտում վարչարարության պարզեցման ուղղությամբ դեռևս բավարար արդյունքներ չի ապահովում, այդ ոլորտում տարվող աշխատանքների մասին հանրային իրազեկման և թափանցիկ կազմակերպման մակարդակը չի համապատասխանում ներկայացվող պահանջներին, ապահովված չէ կառավարման գործընթացին առաջարկությունների հիման վրա հանրային մասնակցությունը, որի պատճառով չի գործում շահերի հավասարակշռության սկզբունքը, որը նախատեսում է տնտեսական արդյունավետության և սոցիալական պատասխանատվության տեսանկյունից երկկողմանի հիմնավորված արդար և մրցակցային դաշտ ապահովող որոշումների ընդունումը, ինչպես նաև կարճաժամկետ և երկարաժամկետ նպատակների սահմանումը։ </w:t>
            </w:r>
          </w:p>
          <w:p w:rsidR="0068680D" w:rsidRPr="00DD1660" w:rsidRDefault="0068680D" w:rsidP="0068680D">
            <w:pPr>
              <w:widowControl w:val="0"/>
              <w:numPr>
                <w:ilvl w:val="1"/>
                <w:numId w:val="369"/>
              </w:numPr>
              <w:spacing w:line="276" w:lineRule="auto"/>
              <w:ind w:right="115"/>
              <w:rPr>
                <w:b/>
                <w:lang w:val="hy-AM"/>
              </w:rPr>
            </w:pPr>
            <w:r w:rsidRPr="00DD1660">
              <w:rPr>
                <w:b/>
                <w:lang w:val="hy-AM"/>
              </w:rPr>
              <w:t xml:space="preserve">Առկա խնդիրների առաջարկվող լուծումները </w:t>
            </w:r>
          </w:p>
          <w:p w:rsidR="0068680D" w:rsidRPr="00DD1660" w:rsidRDefault="0068680D" w:rsidP="00F47DC4">
            <w:pPr>
              <w:spacing w:line="276" w:lineRule="auto"/>
              <w:jc w:val="both"/>
              <w:rPr>
                <w:rFonts w:cs="Arial"/>
                <w:bCs/>
                <w:kern w:val="16"/>
                <w:lang w:val="hy-AM"/>
              </w:rPr>
            </w:pPr>
            <w:r w:rsidRPr="00DD1660">
              <w:rPr>
                <w:rFonts w:cs="Arial"/>
                <w:bCs/>
                <w:kern w:val="16"/>
                <w:lang w:val="hy-AM"/>
              </w:rPr>
              <w:t xml:space="preserve">Ներկայացված նախագծով առաջարկվում է պետական գույքի օտարման և պետական գույքի վարձակալության տրամադրման նպատակով ներդնել էլեկտրոնային աճուրդների կազմակերպման համակարգ:  </w:t>
            </w:r>
          </w:p>
          <w:p w:rsidR="0068680D" w:rsidRPr="00DD1660" w:rsidRDefault="0068680D" w:rsidP="0068680D">
            <w:pPr>
              <w:pStyle w:val="NormalWeb"/>
              <w:widowControl w:val="0"/>
              <w:numPr>
                <w:ilvl w:val="0"/>
                <w:numId w:val="368"/>
              </w:numPr>
              <w:spacing w:before="0" w:beforeAutospacing="0" w:after="0" w:afterAutospacing="0" w:line="276" w:lineRule="auto"/>
              <w:ind w:right="115"/>
              <w:rPr>
                <w:rFonts w:ascii="GHEA Grapalat" w:hAnsi="GHEA Grapalat"/>
                <w:b/>
                <w:sz w:val="20"/>
                <w:szCs w:val="20"/>
                <w:lang w:val="hy-AM" w:eastAsia="en-GB"/>
              </w:rPr>
            </w:pPr>
            <w:r w:rsidRPr="00DD1660">
              <w:rPr>
                <w:rFonts w:ascii="GHEA Grapalat" w:hAnsi="GHEA Grapalat"/>
                <w:b/>
                <w:sz w:val="20"/>
                <w:szCs w:val="20"/>
                <w:lang w:val="hy-AM" w:eastAsia="en-GB"/>
              </w:rPr>
              <w:t>Միջոցառման իրականացումից ակնկալվող արդյունքը</w:t>
            </w:r>
          </w:p>
          <w:p w:rsidR="0068680D" w:rsidRPr="00DD1660" w:rsidRDefault="0068680D" w:rsidP="00F47DC4">
            <w:pPr>
              <w:spacing w:line="276" w:lineRule="auto"/>
              <w:jc w:val="both"/>
              <w:rPr>
                <w:rFonts w:cs="Arial"/>
                <w:bCs/>
                <w:kern w:val="16"/>
                <w:lang w:val="hy-AM"/>
              </w:rPr>
            </w:pPr>
            <w:r w:rsidRPr="00DD1660">
              <w:rPr>
                <w:rFonts w:cs="Arial"/>
                <w:bCs/>
                <w:kern w:val="16"/>
                <w:lang w:val="hy-AM"/>
              </w:rPr>
              <w:t xml:space="preserve">Իրավական ակտի ընդունմամբ հնարավորություն կստեղծվի պետական գույքը վաճառել և վարձակալությամբ տրամադրել էլեկտրոնային եղանակով, ինչը հնարավորություն կտա  ապահովել գործարքների թափանցիկությունը, հանրության լայն շրջանակներին տեղեկատվության հասանելիությունը, ինչպես նաև կնպաստի պետական գույքի վաճառքի արդյունավետության բարձրացմանը: </w:t>
            </w:r>
          </w:p>
          <w:p w:rsidR="0068680D" w:rsidRPr="00DD1660" w:rsidRDefault="0068680D" w:rsidP="00F47DC4">
            <w:pPr>
              <w:spacing w:line="276" w:lineRule="auto"/>
              <w:jc w:val="center"/>
              <w:rPr>
                <w:rFonts w:cs="Sylfaen"/>
                <w:b/>
                <w:caps/>
                <w:lang w:val="hy-AM"/>
              </w:rPr>
            </w:pPr>
          </w:p>
        </w:tc>
      </w:tr>
      <w:tr w:rsidR="0068680D" w:rsidRPr="00DE2EFA" w:rsidTr="00F47DC4">
        <w:tc>
          <w:tcPr>
            <w:tcW w:w="568" w:type="dxa"/>
          </w:tcPr>
          <w:p w:rsidR="0068680D" w:rsidRDefault="0068680D" w:rsidP="00F47DC4">
            <w:pPr>
              <w:spacing w:line="276" w:lineRule="auto"/>
              <w:jc w:val="center"/>
              <w:rPr>
                <w:rFonts w:cs="Sylfaen"/>
                <w:b/>
                <w:caps/>
                <w:lang w:val="hy-AM"/>
              </w:rPr>
            </w:pPr>
            <w:r>
              <w:rPr>
                <w:rFonts w:cs="Sylfaen"/>
                <w:b/>
                <w:caps/>
                <w:lang w:val="hy-AM"/>
              </w:rPr>
              <w:t>28.</w:t>
            </w:r>
          </w:p>
        </w:tc>
        <w:tc>
          <w:tcPr>
            <w:tcW w:w="10885" w:type="dxa"/>
          </w:tcPr>
          <w:p w:rsidR="0068680D" w:rsidRPr="00423B76" w:rsidRDefault="0068680D" w:rsidP="00F47DC4">
            <w:pPr>
              <w:pStyle w:val="Heading1"/>
              <w:pBdr>
                <w:bottom w:val="single" w:sz="4" w:space="1" w:color="auto"/>
              </w:pBdr>
              <w:spacing w:before="0" w:beforeAutospacing="0" w:after="0" w:afterAutospacing="0" w:line="276" w:lineRule="auto"/>
              <w:ind w:left="375"/>
              <w:outlineLvl w:val="0"/>
              <w:rPr>
                <w:rFonts w:ascii="GHEA Grapalat" w:hAnsi="GHEA Grapalat"/>
                <w:sz w:val="20"/>
                <w:szCs w:val="20"/>
                <w:lang w:val="hy-AM"/>
              </w:rPr>
            </w:pPr>
            <w:r>
              <w:rPr>
                <w:rFonts w:ascii="GHEA Grapalat" w:hAnsi="GHEA Grapalat"/>
                <w:sz w:val="20"/>
                <w:szCs w:val="20"/>
                <w:lang w:val="hy-AM"/>
              </w:rPr>
              <w:t>Պ</w:t>
            </w:r>
            <w:r w:rsidRPr="00423B76">
              <w:rPr>
                <w:rFonts w:ascii="GHEA Grapalat" w:hAnsi="GHEA Grapalat"/>
                <w:sz w:val="20"/>
                <w:szCs w:val="20"/>
                <w:lang w:val="hy-AM"/>
              </w:rPr>
              <w:t>ետական գույքի օգտագործման բարելավում</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28.1 </w:t>
            </w:r>
            <w:r w:rsidRPr="00423B76">
              <w:rPr>
                <w:rFonts w:ascii="GHEA Grapalat" w:hAnsi="GHEA Grapalat" w:cs="Sylfaen"/>
                <w:sz w:val="20"/>
                <w:szCs w:val="20"/>
                <w:lang w:val="hy-AM"/>
              </w:rPr>
              <w:t>«Պետական սեփականություն հանդիսացող գույքի վարձակալության տրամադրման գործընթացը կանոնակարգելու և ՀՀ կառավարության 2013 թվականի հոկտեմբերի 3-ի N1106-Ն և 2001 թվականի փետրվարի 22-ի N125 որոշումներն ուժը կորցրած ճանաչելու մասին ՀՀ կառավարության որոշման նախագիծը ՀՀ վարչապետի աշխատակազմ ներկայացնելը</w:t>
            </w:r>
          </w:p>
          <w:p w:rsidR="0068680D" w:rsidRPr="00423B76" w:rsidRDefault="0068680D" w:rsidP="0068680D">
            <w:pPr>
              <w:pStyle w:val="NormalWeb"/>
              <w:widowControl w:val="0"/>
              <w:numPr>
                <w:ilvl w:val="0"/>
                <w:numId w:val="370"/>
              </w:numPr>
              <w:spacing w:before="0" w:beforeAutospacing="0" w:after="0" w:afterAutospacing="0" w:line="276" w:lineRule="auto"/>
              <w:ind w:right="115"/>
              <w:rPr>
                <w:rFonts w:ascii="GHEA Grapalat" w:hAnsi="GHEA Grapalat"/>
                <w:b/>
                <w:sz w:val="20"/>
                <w:szCs w:val="20"/>
                <w:lang w:val="hy-AM" w:eastAsia="en-GB"/>
              </w:rPr>
            </w:pPr>
            <w:r w:rsidRPr="00423B76">
              <w:rPr>
                <w:rFonts w:ascii="GHEA Grapalat" w:hAnsi="GHEA Grapalat"/>
                <w:b/>
                <w:sz w:val="20"/>
                <w:szCs w:val="20"/>
                <w:lang w:val="hy-AM" w:eastAsia="en-GB"/>
              </w:rPr>
              <w:t>Միջոցառման իրակացման անհրաժեշտությունը և նպատակը</w:t>
            </w:r>
          </w:p>
          <w:p w:rsidR="0068680D" w:rsidRPr="00423B76" w:rsidRDefault="0068680D" w:rsidP="00F47DC4">
            <w:pPr>
              <w:spacing w:line="276" w:lineRule="auto"/>
              <w:jc w:val="both"/>
              <w:rPr>
                <w:rFonts w:cs="Arial"/>
                <w:bCs/>
                <w:kern w:val="16"/>
                <w:lang w:val="hy-AM"/>
              </w:rPr>
            </w:pPr>
            <w:r w:rsidRPr="00423B76">
              <w:rPr>
                <w:rFonts w:cs="Arial"/>
                <w:bCs/>
                <w:kern w:val="16"/>
                <w:lang w:val="hy-AM"/>
              </w:rPr>
              <w:t>Իրավական ակտի ընդունումը պայմանավորված է ՀՀ կառավարության 2001 թվականի փետրվարի 22-ի N125 և 2013 թվականի հոկտեմբերի 3-ի N1106-Ն ներկայումս գործող որոշումներով կանոնակարգված ՀՀ պետական կառավարչական հիմնարկներին, ինչպես նաև պետական ոչ առևտրային կազմակերպություններին ամրացված գույքի (տարածքի) վարձակալության տրամադրման ընթացակարգերի փոխարեն գործընթացը կանոնակարգող մեկ միասնական ընթացակարգով և մոտեցումներով իրականացման անհրաժեշտությամբ, որը կնպաստի պետական գույքի վարձակալության տրամադրման գործընթացի արդյունավետության բարձրացմանը և ծառայությունների որակի բարելավմանը։</w:t>
            </w:r>
          </w:p>
          <w:p w:rsidR="0068680D" w:rsidRPr="00423B76" w:rsidRDefault="0068680D" w:rsidP="0068680D">
            <w:pPr>
              <w:widowControl w:val="0"/>
              <w:numPr>
                <w:ilvl w:val="1"/>
                <w:numId w:val="371"/>
              </w:numPr>
              <w:spacing w:line="276" w:lineRule="auto"/>
              <w:ind w:right="115"/>
              <w:rPr>
                <w:rFonts w:cs="Arial"/>
                <w:bCs/>
                <w:kern w:val="16"/>
                <w:lang w:val="hy-AM"/>
              </w:rPr>
            </w:pPr>
            <w:r w:rsidRPr="00423B76">
              <w:rPr>
                <w:b/>
                <w:lang w:val="hy-AM"/>
              </w:rPr>
              <w:t>Կարգավորման հարաբերությունների ներկա վիճակը և առկա խնդիրները</w:t>
            </w:r>
          </w:p>
          <w:p w:rsidR="0068680D" w:rsidRPr="00423B76" w:rsidRDefault="0068680D" w:rsidP="00F47DC4">
            <w:pPr>
              <w:spacing w:line="276" w:lineRule="auto"/>
              <w:jc w:val="both"/>
              <w:rPr>
                <w:rFonts w:cs="Arial"/>
                <w:bCs/>
                <w:kern w:val="16"/>
                <w:lang w:val="hy-AM"/>
              </w:rPr>
            </w:pPr>
            <w:r w:rsidRPr="00423B76">
              <w:rPr>
                <w:rFonts w:cs="Arial"/>
                <w:bCs/>
                <w:kern w:val="16"/>
                <w:lang w:val="hy-AM"/>
              </w:rPr>
              <w:t>Գործող ՀՀ կառավարության 2001 թվականի փետրվարի 22-ի N125 և 2013 թվականի հոկտեմբերի 3-ի N1106-Ն որոշումներով կանոնակարգված են ՀՀ պետական կառավարչական հիմնարկներին, ինչպես նաև պետական ոչ առևտրային կազմակերպություններին ամրացված գույքի (տարածքի) մինչև մեկ տարի և մեկ տարուց ավելի ժամկետով վարձակալության տրամադրման գործընթացը։ Գործող կարգերի համաձայն ըստ էության նույն գործընթացն իրականացվում է երկու տարբեր  ընթացակարգերի և մոտեցումների հիման վրա։</w:t>
            </w:r>
          </w:p>
          <w:p w:rsidR="0068680D" w:rsidRPr="00423B76" w:rsidRDefault="0068680D" w:rsidP="0068680D">
            <w:pPr>
              <w:widowControl w:val="0"/>
              <w:numPr>
                <w:ilvl w:val="1"/>
                <w:numId w:val="371"/>
              </w:numPr>
              <w:spacing w:line="276" w:lineRule="auto"/>
              <w:ind w:right="115"/>
              <w:rPr>
                <w:b/>
                <w:lang w:val="hy-AM"/>
              </w:rPr>
            </w:pPr>
            <w:r w:rsidRPr="00423B76">
              <w:rPr>
                <w:b/>
                <w:lang w:val="hy-AM"/>
              </w:rPr>
              <w:t xml:space="preserve">Առկա խնդիրների առաջարկվող լուծումները </w:t>
            </w:r>
          </w:p>
          <w:p w:rsidR="0068680D" w:rsidRPr="00423B76" w:rsidRDefault="0068680D" w:rsidP="00F47DC4">
            <w:pPr>
              <w:spacing w:line="276" w:lineRule="auto"/>
              <w:jc w:val="both"/>
              <w:rPr>
                <w:rFonts w:cs="Arial"/>
                <w:bCs/>
                <w:kern w:val="16"/>
                <w:lang w:val="hy-AM"/>
              </w:rPr>
            </w:pPr>
            <w:r w:rsidRPr="00423B76">
              <w:rPr>
                <w:rFonts w:cs="Arial"/>
                <w:bCs/>
                <w:kern w:val="16"/>
                <w:lang w:val="hy-AM"/>
              </w:rPr>
              <w:t>Նախագծով առաջարկվում է պետական գույքի վարձակալության տրամադրման գործընթացը կանոնակարգել մեկ միասնական կարգով։ Մասնավորապես առաջարկվում է սահմանել վարձակալական վճարների որոշման և գանձվող վարձակալական վճարների բաշխման գործընթացում միասնական մոտեցումներ, որով կբացառվեն գործընթացում տեղ գտած թերությունները և կպարզեցնեն վարձակալության տրամադրման պայմանները, ինչպես նաև պետական գույքի վարձակալության տրամադրման գործընթացում կիրառել արդյունավետ և ժամանակակից ձևեր (էլեկտրոնային աճուրդ), մրցակցային դաշտի ապահովում և սակարկությունների ձևով վարձակալության տրամադրման պրակտիկայի լայն կիրառում, գույքի բարելավման և ներդրումների ներգրավման նպատակով վարձակալության տրամադրման ժամանակ ներկայացվող ներդրումային ծրագրերի հիմնավորվածության մակարդակի բարձրացում և դրանց հիմնավորվածության վերաբերյալ ընտրանքային փորձաքննության իրականացում:</w:t>
            </w:r>
          </w:p>
          <w:p w:rsidR="0068680D" w:rsidRPr="00423B76" w:rsidRDefault="0068680D" w:rsidP="0068680D">
            <w:pPr>
              <w:pStyle w:val="NormalWeb"/>
              <w:widowControl w:val="0"/>
              <w:numPr>
                <w:ilvl w:val="0"/>
                <w:numId w:val="370"/>
              </w:numPr>
              <w:spacing w:before="0" w:beforeAutospacing="0" w:after="0" w:afterAutospacing="0" w:line="276" w:lineRule="auto"/>
              <w:ind w:right="115"/>
              <w:rPr>
                <w:rFonts w:ascii="GHEA Grapalat" w:hAnsi="GHEA Grapalat"/>
                <w:b/>
                <w:sz w:val="20"/>
                <w:szCs w:val="20"/>
                <w:lang w:val="hy-AM" w:eastAsia="en-GB"/>
              </w:rPr>
            </w:pPr>
            <w:r w:rsidRPr="00423B76">
              <w:rPr>
                <w:rFonts w:ascii="GHEA Grapalat" w:hAnsi="GHEA Grapalat"/>
                <w:b/>
                <w:sz w:val="20"/>
                <w:szCs w:val="20"/>
                <w:lang w:val="hy-AM" w:eastAsia="en-GB"/>
              </w:rPr>
              <w:t>Միջոցառման իրականացումից ակնկալվող արդյունքը</w:t>
            </w:r>
          </w:p>
          <w:p w:rsidR="0068680D" w:rsidRPr="00423B76" w:rsidRDefault="0068680D" w:rsidP="00F47DC4">
            <w:pPr>
              <w:spacing w:line="276" w:lineRule="auto"/>
              <w:jc w:val="both"/>
              <w:rPr>
                <w:rFonts w:cs="Arial"/>
                <w:bCs/>
                <w:kern w:val="16"/>
                <w:lang w:val="hy-AM"/>
              </w:rPr>
            </w:pPr>
            <w:r w:rsidRPr="00423B76">
              <w:rPr>
                <w:rFonts w:cs="Arial"/>
                <w:bCs/>
                <w:kern w:val="16"/>
                <w:lang w:val="hy-AM"/>
              </w:rPr>
              <w:t>Իրավական ակտի ընդունմամբ պետական մարմինների, պետական ոչ առևտրային կազմակերպությունների տնօրինմանը, տիրապետմանն ու օգտագործմանը հանձնված գույքի վարձակալությամբ տրամադրման գործընթացը կիրականացվի մեկ միասնական կանոնակարգով և մոտեցմամբ, ինչը կնպաստի գործընթացների թափանցիկության և հրապարակայնության աճին, ՊՈԱԿ-ներին անհատույց օգտագործման տրամադրված գույքի վարձակալությունից գանձվող միջոցների բաշխման գործընթացում միասնական սկզբունքների կսահմանմանը (80%-ն ուղղվի պետական բյուջե, իսկ 20%-ը ՊՈԱԿ-ի բյուջե), իսկ վարձակալական վճարների մեծությունը կսահմանվի շուկայական գնահատման արդյունքներից ելնելով։</w:t>
            </w:r>
          </w:p>
          <w:p w:rsidR="0068680D"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p>
          <w:p w:rsidR="0068680D" w:rsidRPr="00423B76" w:rsidRDefault="0068680D" w:rsidP="00F47DC4">
            <w:pPr>
              <w:pStyle w:val="Heading2"/>
              <w:tabs>
                <w:tab w:val="left" w:pos="10170"/>
              </w:tabs>
              <w:spacing w:before="0" w:beforeAutospacing="0" w:after="0" w:afterAutospacing="0" w:line="276" w:lineRule="auto"/>
              <w:ind w:left="60" w:right="9"/>
              <w:outlineLvl w:val="1"/>
              <w:rPr>
                <w:rFonts w:ascii="GHEA Grapalat" w:hAnsi="GHEA Grapalat" w:cs="Sylfaen"/>
                <w:sz w:val="20"/>
                <w:szCs w:val="20"/>
                <w:lang w:val="hy-AM"/>
              </w:rPr>
            </w:pPr>
            <w:r>
              <w:rPr>
                <w:rFonts w:ascii="GHEA Grapalat" w:hAnsi="GHEA Grapalat" w:cs="Sylfaen"/>
                <w:sz w:val="20"/>
                <w:szCs w:val="20"/>
                <w:lang w:val="hy-AM"/>
              </w:rPr>
              <w:t xml:space="preserve"> 28.2 </w:t>
            </w:r>
            <w:r w:rsidRPr="00423B76">
              <w:rPr>
                <w:rFonts w:ascii="GHEA Grapalat" w:hAnsi="GHEA Grapalat" w:cs="Sylfaen"/>
                <w:sz w:val="20"/>
                <w:szCs w:val="20"/>
                <w:lang w:val="hy-AM"/>
              </w:rPr>
              <w:t>«Հայաստանի Հանրապետության կառավարության 2011 թվականի փետրվարի 17-ի N304-Ն որոշման մեջ փոփոխություն կատարելու մասին» ՀՀ կառավարության որոշման նախագիծը ՀՀ վարչապետի աշխատակազմ ներկայացնելը</w:t>
            </w:r>
          </w:p>
          <w:p w:rsidR="0068680D" w:rsidRPr="00423B76" w:rsidRDefault="0068680D" w:rsidP="0068680D">
            <w:pPr>
              <w:pStyle w:val="NormalWeb"/>
              <w:widowControl w:val="0"/>
              <w:numPr>
                <w:ilvl w:val="0"/>
                <w:numId w:val="372"/>
              </w:numPr>
              <w:spacing w:before="0" w:beforeAutospacing="0" w:after="0" w:afterAutospacing="0" w:line="276" w:lineRule="auto"/>
              <w:ind w:right="9"/>
              <w:jc w:val="both"/>
              <w:rPr>
                <w:rFonts w:ascii="GHEA Grapalat" w:hAnsi="GHEA Grapalat" w:cs="Arial"/>
                <w:bCs/>
                <w:kern w:val="16"/>
                <w:sz w:val="20"/>
                <w:szCs w:val="20"/>
                <w:lang w:val="hy-AM"/>
              </w:rPr>
            </w:pPr>
            <w:r w:rsidRPr="00423B76">
              <w:rPr>
                <w:rFonts w:ascii="GHEA Grapalat" w:hAnsi="GHEA Grapalat"/>
                <w:b/>
                <w:sz w:val="20"/>
                <w:szCs w:val="20"/>
                <w:lang w:val="hy-AM" w:eastAsia="en-GB"/>
              </w:rPr>
              <w:t>Միջոցառման իրակացման անհրաժեշտությունը և նպատակը</w:t>
            </w:r>
          </w:p>
          <w:p w:rsidR="0068680D" w:rsidRPr="00423B76" w:rsidRDefault="0068680D" w:rsidP="00F47DC4">
            <w:pPr>
              <w:tabs>
                <w:tab w:val="left" w:pos="858"/>
                <w:tab w:val="left" w:pos="1080"/>
              </w:tabs>
              <w:spacing w:line="276" w:lineRule="auto"/>
              <w:ind w:right="9"/>
              <w:jc w:val="both"/>
              <w:rPr>
                <w:rFonts w:cs="Arial"/>
                <w:bCs/>
                <w:kern w:val="16"/>
                <w:lang w:val="hy-AM"/>
              </w:rPr>
            </w:pPr>
            <w:r w:rsidRPr="00423B76">
              <w:rPr>
                <w:rFonts w:cs="Arial"/>
                <w:bCs/>
                <w:kern w:val="16"/>
                <w:lang w:val="hy-AM"/>
              </w:rPr>
              <w:t>Իրավական ակտի ընդունումը պայմանավորված է պետական գույքը (տարածքները) անհատույց օգտագործման տրամադրելու դեպքում հստակ չափորոշիչների, ինչպես նաև գործարար ծրագրերի օրինակելի ձևում կատարման տեսանկյունից իրատեսական պահանջներ և պայմաններ սահմանելու ու ստանձնած պարտավորությունների կատարման նկատմամբ գործուն վերահսկողություն իրականացնելու անհրաժեշտությամբ։</w:t>
            </w:r>
          </w:p>
          <w:p w:rsidR="0068680D" w:rsidRPr="00423B76" w:rsidRDefault="0068680D" w:rsidP="00F47DC4">
            <w:pPr>
              <w:pStyle w:val="NormalWeb"/>
              <w:spacing w:before="0" w:beforeAutospacing="0" w:after="0" w:afterAutospacing="0" w:line="276" w:lineRule="auto"/>
              <w:ind w:left="720" w:right="9"/>
              <w:jc w:val="both"/>
              <w:rPr>
                <w:rFonts w:ascii="GHEA Grapalat" w:hAnsi="GHEA Grapalat" w:cs="Arial"/>
                <w:b/>
                <w:bCs/>
                <w:kern w:val="16"/>
                <w:sz w:val="20"/>
                <w:szCs w:val="20"/>
                <w:lang w:val="hy-AM"/>
              </w:rPr>
            </w:pPr>
            <w:r w:rsidRPr="00423B76">
              <w:rPr>
                <w:rFonts w:ascii="GHEA Grapalat" w:hAnsi="GHEA Grapalat" w:cs="Arial"/>
                <w:b/>
                <w:bCs/>
                <w:kern w:val="16"/>
                <w:sz w:val="20"/>
                <w:szCs w:val="20"/>
                <w:lang w:val="hy-AM"/>
              </w:rPr>
              <w:t>1.1. Կարգավորման հարաբերությունների ներկա վիճակը և առկա խնդիրները</w:t>
            </w:r>
          </w:p>
          <w:p w:rsidR="0068680D" w:rsidRPr="00423B76" w:rsidRDefault="0068680D" w:rsidP="00F47DC4">
            <w:pPr>
              <w:pStyle w:val="NormalWeb"/>
              <w:spacing w:before="0" w:beforeAutospacing="0" w:after="0" w:afterAutospacing="0" w:line="276" w:lineRule="auto"/>
              <w:ind w:right="9"/>
              <w:jc w:val="both"/>
              <w:rPr>
                <w:rFonts w:ascii="GHEA Grapalat" w:hAnsi="GHEA Grapalat" w:cs="Arial"/>
                <w:bCs/>
                <w:kern w:val="16"/>
                <w:sz w:val="20"/>
                <w:szCs w:val="20"/>
                <w:lang w:val="hy-AM"/>
              </w:rPr>
            </w:pPr>
            <w:r w:rsidRPr="00423B76">
              <w:rPr>
                <w:rFonts w:ascii="GHEA Grapalat" w:hAnsi="GHEA Grapalat" w:cs="Arial"/>
                <w:bCs/>
                <w:kern w:val="16"/>
                <w:sz w:val="20"/>
                <w:szCs w:val="20"/>
                <w:lang w:val="hy-AM"/>
              </w:rPr>
              <w:t>ՀՀ կառավարության 2011 թվականի փետրվարի 17-ի N304-Ն որոշման 3-րդ կետով սահմանվել է պետական գույքն անհատույց օգտագործման տրամադրվող սուբյեկտների շրջանակը և պայմանները։ Պետական սեփականություն հանդիսացող գույքն անհատույց օգտագործման հանձնելու գործընթացի արդյունավետությունը բարձրացնելու նպատակով  անհրաժեշտ է բոլոր սուբյեկտների համար տարածքների անհատույց օգտագործման տրամադրման դեպքում բացառել տարատեսակ մոտեցումների առկայությունը, հստակեցնել սուբյեկտներին ներկայացվող պայմանները (չափորոշիչները), բարեփոխել գործարար ծրագրերի օրինակելի ձևը, ստեղծել պարտավորությունների կատարման նկատմամբ վերահսկողության արդյունավետ գործիքակազմ։</w:t>
            </w:r>
          </w:p>
          <w:p w:rsidR="0068680D" w:rsidRPr="00423B76" w:rsidRDefault="0068680D" w:rsidP="00F47DC4">
            <w:pPr>
              <w:pStyle w:val="NormalWeb"/>
              <w:spacing w:before="0" w:beforeAutospacing="0" w:after="0" w:afterAutospacing="0" w:line="276" w:lineRule="auto"/>
              <w:ind w:right="9" w:firstLine="720"/>
              <w:jc w:val="both"/>
              <w:rPr>
                <w:rFonts w:ascii="GHEA Grapalat" w:hAnsi="GHEA Grapalat" w:cs="Arial"/>
                <w:b/>
                <w:bCs/>
                <w:kern w:val="16"/>
                <w:sz w:val="20"/>
                <w:szCs w:val="20"/>
                <w:lang w:val="hy-AM"/>
              </w:rPr>
            </w:pPr>
            <w:r w:rsidRPr="00423B76">
              <w:rPr>
                <w:rFonts w:ascii="GHEA Grapalat" w:hAnsi="GHEA Grapalat" w:cs="Arial"/>
                <w:b/>
                <w:bCs/>
                <w:kern w:val="16"/>
                <w:sz w:val="20"/>
                <w:szCs w:val="20"/>
                <w:lang w:val="hy-AM"/>
              </w:rPr>
              <w:t xml:space="preserve">1.2. Առկա խնդիրների առաջարկվող լուծումները </w:t>
            </w:r>
          </w:p>
          <w:p w:rsidR="0068680D" w:rsidRPr="00423B76" w:rsidRDefault="0068680D" w:rsidP="00F47DC4">
            <w:pPr>
              <w:pStyle w:val="NormalWeb"/>
              <w:spacing w:before="0" w:beforeAutospacing="0" w:after="0" w:afterAutospacing="0" w:line="276" w:lineRule="auto"/>
              <w:ind w:right="9"/>
              <w:jc w:val="both"/>
              <w:rPr>
                <w:rFonts w:ascii="GHEA Grapalat" w:hAnsi="GHEA Grapalat" w:cs="Arial"/>
                <w:bCs/>
                <w:kern w:val="16"/>
                <w:sz w:val="20"/>
                <w:szCs w:val="20"/>
                <w:lang w:val="hy-AM"/>
              </w:rPr>
            </w:pPr>
            <w:r w:rsidRPr="00423B76">
              <w:rPr>
                <w:rFonts w:ascii="GHEA Grapalat" w:hAnsi="GHEA Grapalat" w:cs="Arial"/>
                <w:bCs/>
                <w:kern w:val="16"/>
                <w:sz w:val="20"/>
                <w:szCs w:val="20"/>
                <w:lang w:val="hy-AM"/>
              </w:rPr>
              <w:t>Պետական գույքի անհատույց օգտագործման տրամադրման գործընթացում պահանջվող գործարար ծրագրերի իրականացման հավաստիության մակարդակը բարձրացնելու և տարածքների տրամադրման պայմանների նկատմամբ վերահսկողությունն արդյունավետ դարձնելու նպատակով առաջարկվում է գործարար ծրագրի և կնքվող պայմանագրի օրինակելի ձևերում կատարել համապատասխան փոփոխություններ և լրացումներ։ Առաջարկվում է նաև հստակ սահմանել ներդրումային ծրագրերի պարտադիր պայմանները և կատարման ժամկետները, ինչպես նաև ըստ ոլորտների գույքն անհատույց օգտագործման տրամադրման ժամանակ սահմանել հստակ չափորոշիչներ` վարչարարության կրճատումն ապահովելու նպատակով։</w:t>
            </w:r>
          </w:p>
          <w:p w:rsidR="0068680D" w:rsidRPr="00423B76" w:rsidRDefault="0068680D" w:rsidP="0068680D">
            <w:pPr>
              <w:pStyle w:val="NormalWeb"/>
              <w:widowControl w:val="0"/>
              <w:numPr>
                <w:ilvl w:val="0"/>
                <w:numId w:val="372"/>
              </w:numPr>
              <w:spacing w:before="0" w:beforeAutospacing="0" w:after="0" w:afterAutospacing="0" w:line="276" w:lineRule="auto"/>
              <w:ind w:right="9"/>
              <w:jc w:val="both"/>
              <w:rPr>
                <w:rFonts w:ascii="GHEA Grapalat" w:hAnsi="GHEA Grapalat"/>
                <w:b/>
                <w:sz w:val="20"/>
                <w:szCs w:val="20"/>
                <w:lang w:val="hy-AM" w:eastAsia="en-GB"/>
              </w:rPr>
            </w:pPr>
            <w:r w:rsidRPr="00423B76">
              <w:rPr>
                <w:rFonts w:ascii="GHEA Grapalat" w:hAnsi="GHEA Grapalat"/>
                <w:b/>
                <w:sz w:val="20"/>
                <w:szCs w:val="20"/>
                <w:lang w:val="hy-AM" w:eastAsia="en-GB"/>
              </w:rPr>
              <w:t>Միջոցառման իրականացումից ակնկալվող արդյունքը</w:t>
            </w:r>
          </w:p>
          <w:p w:rsidR="0068680D" w:rsidRPr="00423B76" w:rsidRDefault="0068680D" w:rsidP="00F47DC4">
            <w:pPr>
              <w:spacing w:line="276" w:lineRule="auto"/>
              <w:ind w:right="9"/>
              <w:jc w:val="both"/>
              <w:rPr>
                <w:rFonts w:cs="Arial"/>
                <w:bCs/>
                <w:kern w:val="16"/>
                <w:lang w:val="hy-AM"/>
              </w:rPr>
            </w:pPr>
            <w:r w:rsidRPr="00423B76">
              <w:rPr>
                <w:rFonts w:cs="Arial"/>
                <w:bCs/>
                <w:kern w:val="16"/>
                <w:lang w:val="hy-AM"/>
              </w:rPr>
              <w:t>Նախագծի ընդունման արդյունքում կվերացվի պետական գույքի անհատույց օգտագործման հանձնելու գործընթացում վարչարարական քաշքշուկները, կսահմանվեն տարածքների անհատույց տրամադրման կիրառելի, արդար և բոլոր շահառուների գործունեության արդյունավետության բարձրացմանը նպաստող և գործունեության համար լիարժեք աջակցությունն ապահովող չափանիշներ և պայմաններ, ինչպես նաև բոլոր սուբյեկտների համար հստակ և միասնական պահանջներ սահմանելու շնորհիվ կբարձրացվի գործընթացի արդյունավետությունը և ծառայությունների մատուցման որակը։</w:t>
            </w:r>
          </w:p>
          <w:p w:rsidR="0068680D" w:rsidRDefault="0068680D" w:rsidP="00F47DC4">
            <w:pPr>
              <w:spacing w:line="276" w:lineRule="auto"/>
              <w:jc w:val="center"/>
              <w:rPr>
                <w:rFonts w:cs="Sylfaen"/>
                <w:b/>
                <w:caps/>
                <w:lang w:val="hy-AM"/>
              </w:rPr>
            </w:pPr>
          </w:p>
        </w:tc>
      </w:tr>
    </w:tbl>
    <w:p w:rsidR="0068680D" w:rsidRPr="001F6D5D" w:rsidRDefault="0068680D">
      <w:pPr>
        <w:rPr>
          <w:sz w:val="20"/>
          <w:szCs w:val="20"/>
          <w:lang w:val="hy-AM"/>
        </w:rPr>
      </w:pPr>
    </w:p>
    <w:p w:rsidR="00A67858" w:rsidRPr="0053423A" w:rsidRDefault="00A67858" w:rsidP="00A67858">
      <w:pPr>
        <w:spacing w:after="0" w:line="276" w:lineRule="auto"/>
        <w:jc w:val="center"/>
        <w:rPr>
          <w:sz w:val="20"/>
          <w:szCs w:val="20"/>
          <w:lang w:val="hy-AM"/>
        </w:rPr>
      </w:pPr>
    </w:p>
    <w:tbl>
      <w:tblPr>
        <w:tblStyle w:val="TableGrid"/>
        <w:tblW w:w="11491" w:type="dxa"/>
        <w:tblInd w:w="137" w:type="dxa"/>
        <w:shd w:val="clear" w:color="auto" w:fill="FFFF00"/>
        <w:tblLook w:val="04A0" w:firstRow="1" w:lastRow="0" w:firstColumn="1" w:lastColumn="0" w:noHBand="0" w:noVBand="1"/>
      </w:tblPr>
      <w:tblGrid>
        <w:gridCol w:w="11491"/>
      </w:tblGrid>
      <w:tr w:rsidR="002F62E8" w:rsidRPr="00DE2EFA" w:rsidTr="002F62E8">
        <w:tc>
          <w:tcPr>
            <w:tcW w:w="11491" w:type="dxa"/>
            <w:shd w:val="clear" w:color="auto" w:fill="FFFF00"/>
          </w:tcPr>
          <w:p w:rsidR="002F62E8" w:rsidRPr="0053423A" w:rsidRDefault="002F62E8" w:rsidP="00A67858">
            <w:pPr>
              <w:spacing w:line="276" w:lineRule="auto"/>
              <w:jc w:val="center"/>
              <w:rPr>
                <w:rFonts w:cs="Sylfaen"/>
                <w:b/>
                <w:lang w:val="hy-AM" w:eastAsia="en-GB"/>
              </w:rPr>
            </w:pPr>
            <w:r w:rsidRPr="0053423A">
              <w:rPr>
                <w:rFonts w:cs="Sylfaen"/>
                <w:b/>
                <w:lang w:val="hy-AM" w:eastAsia="en-GB"/>
              </w:rPr>
              <w:t>Տրանսպորտի, կապի և տեղեկատվական տեխնոլոգիաների</w:t>
            </w:r>
            <w:r w:rsidRPr="0053423A">
              <w:rPr>
                <w:b/>
                <w:lang w:val="hy-AM"/>
              </w:rPr>
              <w:t xml:space="preserve"> </w:t>
            </w:r>
            <w:r w:rsidRPr="0053423A">
              <w:rPr>
                <w:rFonts w:cs="Arial Unicode"/>
                <w:b/>
                <w:lang w:val="hy-AM"/>
              </w:rPr>
              <w:t>նախարարություն</w:t>
            </w:r>
          </w:p>
        </w:tc>
      </w:tr>
    </w:tbl>
    <w:p w:rsidR="00530B14" w:rsidRPr="0053423A" w:rsidRDefault="00530B14" w:rsidP="00A67858">
      <w:pPr>
        <w:spacing w:after="0" w:line="276" w:lineRule="auto"/>
        <w:rPr>
          <w:sz w:val="20"/>
          <w:szCs w:val="20"/>
          <w:lang w:val="hy-AM"/>
        </w:rPr>
      </w:pPr>
    </w:p>
    <w:p w:rsidR="00530B14" w:rsidRDefault="00530B14" w:rsidP="00A67858">
      <w:pPr>
        <w:spacing w:after="0" w:line="276" w:lineRule="auto"/>
        <w:rPr>
          <w:sz w:val="20"/>
          <w:szCs w:val="20"/>
          <w:lang w:val="hy-AM"/>
        </w:rPr>
      </w:pPr>
    </w:p>
    <w:p w:rsidR="002F62E8" w:rsidRDefault="002F62E8" w:rsidP="00A67858">
      <w:pPr>
        <w:spacing w:after="0" w:line="276" w:lineRule="auto"/>
        <w:rPr>
          <w:sz w:val="20"/>
          <w:szCs w:val="20"/>
          <w:lang w:val="hy-AM"/>
        </w:rPr>
      </w:pPr>
    </w:p>
    <w:p w:rsidR="002F62E8" w:rsidRPr="0053423A" w:rsidRDefault="002F62E8" w:rsidP="00A67858">
      <w:pPr>
        <w:spacing w:after="0" w:line="276" w:lineRule="auto"/>
        <w:rPr>
          <w:sz w:val="20"/>
          <w:szCs w:val="20"/>
          <w:lang w:val="hy-AM"/>
        </w:rPr>
      </w:pPr>
    </w:p>
    <w:tbl>
      <w:tblPr>
        <w:tblStyle w:val="TableGrid1"/>
        <w:tblW w:w="11491" w:type="dxa"/>
        <w:tblInd w:w="137" w:type="dxa"/>
        <w:tblLook w:val="04A0" w:firstRow="1" w:lastRow="0" w:firstColumn="1" w:lastColumn="0" w:noHBand="0" w:noVBand="1"/>
      </w:tblPr>
      <w:tblGrid>
        <w:gridCol w:w="11491"/>
      </w:tblGrid>
      <w:tr w:rsidR="002F62E8" w:rsidRPr="0053423A" w:rsidTr="002F62E8">
        <w:tc>
          <w:tcPr>
            <w:tcW w:w="11491" w:type="dxa"/>
            <w:shd w:val="clear" w:color="auto" w:fill="FFFF00"/>
          </w:tcPr>
          <w:p w:rsidR="002F62E8" w:rsidRPr="0053423A" w:rsidRDefault="002F62E8" w:rsidP="00A67858">
            <w:pPr>
              <w:spacing w:line="276" w:lineRule="auto"/>
              <w:jc w:val="center"/>
              <w:rPr>
                <w:rFonts w:eastAsia="Times New Roman" w:cs="Sylfaen"/>
                <w:b/>
                <w:lang w:val="hy-AM" w:eastAsia="en-GB"/>
              </w:rPr>
            </w:pPr>
            <w:r w:rsidRPr="0053423A">
              <w:rPr>
                <w:rFonts w:cs="Sylfaen"/>
                <w:b/>
                <w:lang w:val="hy-AM" w:eastAsia="en-GB"/>
              </w:rPr>
              <w:t>Ֆինանսների</w:t>
            </w:r>
            <w:r w:rsidRPr="0053423A">
              <w:rPr>
                <w:b/>
                <w:lang w:val="hy-AM"/>
              </w:rPr>
              <w:t xml:space="preserve"> </w:t>
            </w:r>
            <w:r w:rsidRPr="0053423A">
              <w:rPr>
                <w:rFonts w:cs="Arial Unicode"/>
                <w:b/>
                <w:lang w:val="hy-AM"/>
              </w:rPr>
              <w:t>նախարարություն</w:t>
            </w:r>
          </w:p>
        </w:tc>
      </w:tr>
    </w:tbl>
    <w:p w:rsidR="002F62E8" w:rsidRDefault="002F62E8"/>
    <w:tbl>
      <w:tblPr>
        <w:tblStyle w:val="TableGrid1"/>
        <w:tblW w:w="11340" w:type="dxa"/>
        <w:tblInd w:w="137" w:type="dxa"/>
        <w:tblLook w:val="04A0" w:firstRow="1" w:lastRow="0" w:firstColumn="1" w:lastColumn="0" w:noHBand="0" w:noVBand="1"/>
      </w:tblPr>
      <w:tblGrid>
        <w:gridCol w:w="480"/>
        <w:gridCol w:w="10860"/>
      </w:tblGrid>
      <w:tr w:rsidR="0068680D" w:rsidRPr="00DE2EFA" w:rsidTr="00F47DC4">
        <w:tc>
          <w:tcPr>
            <w:tcW w:w="480" w:type="dxa"/>
          </w:tcPr>
          <w:p w:rsidR="0068680D" w:rsidRPr="00BC61ED" w:rsidRDefault="0068680D" w:rsidP="00F47DC4">
            <w:pPr>
              <w:spacing w:line="276" w:lineRule="auto"/>
              <w:rPr>
                <w:rFonts w:eastAsia="Times New Roman"/>
                <w:lang w:val="hy-AM"/>
              </w:rPr>
            </w:pPr>
            <w:r w:rsidRPr="00BC61ED">
              <w:rPr>
                <w:rFonts w:eastAsia="Times New Roman"/>
                <w:lang w:val="hy-AM"/>
              </w:rPr>
              <w:t>1.</w:t>
            </w:r>
          </w:p>
        </w:tc>
        <w:tc>
          <w:tcPr>
            <w:tcW w:w="10860" w:type="dxa"/>
          </w:tcPr>
          <w:p w:rsidR="0068680D" w:rsidRPr="00BC61ED" w:rsidRDefault="0068680D" w:rsidP="00F47DC4">
            <w:pPr>
              <w:spacing w:line="276" w:lineRule="auto"/>
              <w:ind w:firstLine="375"/>
              <w:rPr>
                <w:rFonts w:eastAsia="Times New Roman"/>
                <w:b/>
                <w:bCs/>
                <w:lang w:val="hy-AM"/>
              </w:rPr>
            </w:pPr>
            <w:r w:rsidRPr="00BC61ED">
              <w:rPr>
                <w:rFonts w:eastAsia="Times New Roman"/>
                <w:b/>
                <w:bCs/>
                <w:lang w:val="hy-AM"/>
              </w:rPr>
              <w:t xml:space="preserve">«Պետական ֆինասների կառավարման համակարգի արդիականացում» </w:t>
            </w:r>
          </w:p>
          <w:p w:rsidR="0068680D" w:rsidRPr="00BC61ED" w:rsidRDefault="0068680D" w:rsidP="00F47DC4">
            <w:pPr>
              <w:spacing w:line="276" w:lineRule="auto"/>
              <w:ind w:firstLine="375"/>
              <w:rPr>
                <w:rFonts w:eastAsia="Times New Roman"/>
                <w:b/>
                <w:bCs/>
                <w:lang w:val="hy-AM"/>
              </w:rPr>
            </w:pPr>
          </w:p>
          <w:p w:rsidR="0068680D" w:rsidRPr="00BC61ED" w:rsidRDefault="0068680D" w:rsidP="0068680D">
            <w:pPr>
              <w:pStyle w:val="ListParagraph"/>
              <w:numPr>
                <w:ilvl w:val="1"/>
                <w:numId w:val="145"/>
              </w:numPr>
              <w:spacing w:line="276" w:lineRule="auto"/>
              <w:rPr>
                <w:b/>
                <w:lang w:val="hy-AM"/>
              </w:rPr>
            </w:pPr>
            <w:r w:rsidRPr="00BC61ED">
              <w:rPr>
                <w:b/>
                <w:lang w:val="hy-AM"/>
              </w:rPr>
              <w:t>Պետական ֆինանսների կառավարման համակարգի (ՊՖԿՀ) բարեփոխումների ռազմավարության և գործողությունների ծրագրի նախագծի մշակում և ՀՀ վարչապետի աշխատակազմ ներկայացում</w:t>
            </w:r>
          </w:p>
          <w:p w:rsidR="0068680D" w:rsidRPr="00BC61ED" w:rsidRDefault="0068680D" w:rsidP="00F47DC4">
            <w:pPr>
              <w:spacing w:line="276" w:lineRule="auto"/>
              <w:ind w:firstLine="375"/>
              <w:rPr>
                <w:rFonts w:eastAsia="Times New Roman" w:cs="Courier New"/>
                <w:lang w:val="hy-AM"/>
              </w:rPr>
            </w:pPr>
            <w:r w:rsidRPr="00BC61ED">
              <w:rPr>
                <w:rFonts w:ascii="Calibri" w:eastAsia="Times New Roman" w:hAnsi="Calibri" w:cs="Calibri"/>
                <w:lang w:val="hy-AM"/>
              </w:rPr>
              <w:t> </w:t>
            </w:r>
          </w:p>
          <w:p w:rsidR="0068680D" w:rsidRPr="00BC61ED" w:rsidRDefault="0068680D" w:rsidP="0068680D">
            <w:pPr>
              <w:pStyle w:val="ListParagraph"/>
              <w:numPr>
                <w:ilvl w:val="0"/>
                <w:numId w:val="144"/>
              </w:numPr>
              <w:spacing w:line="276" w:lineRule="auto"/>
              <w:ind w:left="0" w:firstLine="375"/>
              <w:rPr>
                <w:rFonts w:eastAsia="Times New Roman"/>
                <w:b/>
                <w:lang w:val="hy-AM"/>
              </w:rPr>
            </w:pPr>
            <w:r w:rsidRPr="00BC61ED">
              <w:rPr>
                <w:rFonts w:eastAsia="Times New Roman"/>
                <w:b/>
                <w:lang w:val="hy-AM"/>
              </w:rPr>
              <w:t xml:space="preserve">Միջոցառման իրակացման անհրաժեշտությունը և նպատակը </w:t>
            </w:r>
          </w:p>
          <w:p w:rsidR="0068680D" w:rsidRPr="00BC61ED" w:rsidRDefault="0068680D" w:rsidP="00F47DC4">
            <w:pPr>
              <w:pStyle w:val="ListParagraph"/>
              <w:spacing w:line="276" w:lineRule="auto"/>
              <w:ind w:left="0" w:firstLine="375"/>
              <w:jc w:val="both"/>
              <w:rPr>
                <w:rFonts w:cs="Sylfaen"/>
                <w:lang w:val="hy-AM"/>
              </w:rPr>
            </w:pPr>
            <w:r w:rsidRPr="00BC61ED">
              <w:rPr>
                <w:rFonts w:eastAsia="Times New Roman"/>
                <w:lang w:val="hy-AM"/>
              </w:rPr>
              <w:t>Միջոցառման իրականացումը պայմանավորված է</w:t>
            </w:r>
            <w:r w:rsidRPr="00BC61ED">
              <w:rPr>
                <w:rFonts w:cs="Sylfaen"/>
                <w:lang w:val="hy-AM"/>
              </w:rPr>
              <w:t xml:space="preserve"> Պետական ֆինանսների կառավարման համակարգի զարգացման առաջնահերթությունների վերագնահատման և վերանայման անհրաժեշտություննից՝ ապահովելով փողի դիմաց արժեք, ինչպես նաև երաշխավորելով, որ պետական միջոցները օգտագործվեն օգտավետ, արդյունավետ ու խնայողաբար։ Այն բխում է նաև </w:t>
            </w:r>
            <w:r w:rsidRPr="00DD1660">
              <w:rPr>
                <w:lang w:val="af-ZA"/>
              </w:rPr>
              <w:t xml:space="preserve">ՀՀ Ազգային ժողովի 14.02.2019թ. N ԱԺՈ-002-Ն որոշմամբ հավանության արժանացած </w:t>
            </w:r>
            <w:r w:rsidRPr="00DD1660">
              <w:rPr>
                <w:lang w:val="hy-AM"/>
              </w:rPr>
              <w:t>ՀՀ</w:t>
            </w:r>
            <w:r w:rsidRPr="00DD1660">
              <w:rPr>
                <w:lang w:val="af-ZA"/>
              </w:rPr>
              <w:t xml:space="preserve"> կառավարության ծրագրի</w:t>
            </w:r>
            <w:r w:rsidRPr="00BC61ED">
              <w:rPr>
                <w:rFonts w:cs="Sylfaen"/>
                <w:lang w:val="hy-AM"/>
              </w:rPr>
              <w:t xml:space="preserve"> «8. Պետական ֆինանսների կառավարումը» բաժնից։</w:t>
            </w:r>
          </w:p>
          <w:p w:rsidR="0068680D" w:rsidRPr="00BC61ED" w:rsidRDefault="0068680D" w:rsidP="0068680D">
            <w:pPr>
              <w:pStyle w:val="ListParagraph"/>
              <w:numPr>
                <w:ilvl w:val="1"/>
                <w:numId w:val="144"/>
              </w:numPr>
              <w:spacing w:line="276" w:lineRule="auto"/>
              <w:ind w:left="0" w:firstLine="375"/>
              <w:rPr>
                <w:rFonts w:eastAsia="Times New Roman"/>
                <w:lang w:val="hy-AM"/>
              </w:rPr>
            </w:pPr>
            <w:r w:rsidRPr="00BC61ED">
              <w:rPr>
                <w:rFonts w:eastAsia="Times New Roman"/>
                <w:b/>
                <w:lang w:val="hy-AM"/>
              </w:rPr>
              <w:t>Կարգավորման հարաբերությունների ներկա վիճակը և առկա խնդիրները</w:t>
            </w:r>
            <w:r w:rsidRPr="00BC61ED">
              <w:rPr>
                <w:rFonts w:eastAsia="Times New Roman"/>
                <w:lang w:val="hy-AM"/>
              </w:rPr>
              <w:t xml:space="preserve"> </w:t>
            </w:r>
          </w:p>
          <w:p w:rsidR="0068680D" w:rsidRPr="00BC61ED" w:rsidRDefault="0068680D" w:rsidP="00F47DC4">
            <w:pPr>
              <w:pStyle w:val="norm"/>
              <w:spacing w:line="276" w:lineRule="auto"/>
              <w:ind w:firstLine="375"/>
              <w:rPr>
                <w:rFonts w:ascii="GHEA Grapalat" w:hAnsi="GHEA Grapalat" w:cs="Sylfaen"/>
                <w:lang w:val="hy-AM"/>
              </w:rPr>
            </w:pPr>
            <w:r w:rsidRPr="00BC61ED">
              <w:rPr>
                <w:rFonts w:ascii="GHEA Grapalat" w:hAnsi="GHEA Grapalat" w:cs="Sylfaen"/>
                <w:lang w:val="hy-AM"/>
              </w:rPr>
              <w:t>ՀՀ կառավարության 2010 թվականի հոկտեմբերի 28-ի նիստի N 42 արձանագրային որոշմամբ հաստատվել է «Պետական ֆինանսների կառավարման համակարգի բարեփոխումների ռազմա</w:t>
            </w:r>
            <w:r w:rsidRPr="00BC61ED">
              <w:rPr>
                <w:rFonts w:ascii="GHEA Grapalat" w:hAnsi="GHEA Grapalat" w:cs="Sylfaen"/>
                <w:lang w:val="hy-AM"/>
              </w:rPr>
              <w:softHyphen/>
              <w:t xml:space="preserve">վարությունը» և բարեփոխումների շրջանակում իրականացվելիք միջոցառումների ծրագիրը: </w:t>
            </w:r>
          </w:p>
          <w:p w:rsidR="0068680D" w:rsidRPr="00BC61ED" w:rsidRDefault="0068680D" w:rsidP="00F47DC4">
            <w:pPr>
              <w:pStyle w:val="norm"/>
              <w:spacing w:line="276" w:lineRule="auto"/>
              <w:ind w:firstLine="375"/>
              <w:rPr>
                <w:rFonts w:ascii="GHEA Grapalat" w:hAnsi="GHEA Grapalat" w:cs="GHEA Grapalat"/>
                <w:lang w:val="hy-AM"/>
              </w:rPr>
            </w:pPr>
            <w:r w:rsidRPr="00BC61ED">
              <w:rPr>
                <w:rFonts w:ascii="GHEA Grapalat" w:hAnsi="GHEA Grapalat" w:cs="Sylfaen"/>
                <w:lang w:val="hy-AM"/>
              </w:rPr>
              <w:t xml:space="preserve">Միաժամանակ 2014թ. Եվրոպական Միության կողմից տրամադրված տեխնիկական աջակցության շրջանակում գնահատվել է 2011-2014թթ. իրականացված միջոցառումները և հիմք ընդունելով գնահատման արդյունքները, ինչպես նաև </w:t>
            </w:r>
            <w:r w:rsidRPr="00BC61ED">
              <w:rPr>
                <w:rFonts w:ascii="GHEA Grapalat" w:hAnsi="GHEA Grapalat"/>
                <w:lang w:val="hy-AM"/>
              </w:rPr>
              <w:t>Պետական ծախսերի և ֆինանսական հաշվետվողականության (ՊԾՖՀ-PEFA) 2016 թվականի փետրվարին ՊԾՖՀ-PEFA քարտուղարության կողմից ընդունված ՊԾՖՀ-2016 նոր շրջանակը,</w:t>
            </w:r>
            <w:r w:rsidRPr="00BC61ED">
              <w:rPr>
                <w:rFonts w:ascii="GHEA Grapalat" w:hAnsi="GHEA Grapalat" w:cs="Sylfaen"/>
                <w:lang w:val="hy-AM"/>
              </w:rPr>
              <w:t xml:space="preserve"> մշակվել և ՀՀ կառավարության </w:t>
            </w:r>
            <w:r w:rsidRPr="00BC61ED">
              <w:rPr>
                <w:rFonts w:ascii="GHEA Grapalat" w:hAnsi="GHEA Grapalat" w:cs="GHEA Grapalat"/>
                <w:lang w:val="af-ZA"/>
              </w:rPr>
              <w:t>2016 թվականի փետրվարի 18-ի N 6 արձանագրության 15-րդ կետով հավանության արժանացած արձանագրային որոշմամբ</w:t>
            </w:r>
            <w:r w:rsidRPr="00BC61ED">
              <w:rPr>
                <w:rFonts w:ascii="GHEA Grapalat" w:hAnsi="GHEA Grapalat" w:cs="Sylfaen"/>
                <w:lang w:val="hy-AM"/>
              </w:rPr>
              <w:t xml:space="preserve"> ընդունվել է Պետական ֆինանսների կառավարման համակարգի (ՊՖԿՀ) բարեփոխումների վերանայված  ռազմավարությունը և 2016-2020 թվականներին ՊՖԿՀ բարեփոխումների ոլորտում իրականացվելիք գործողությունների ծրագիրը</w:t>
            </w:r>
            <w:r w:rsidRPr="00BC61ED">
              <w:rPr>
                <w:rFonts w:ascii="GHEA Grapalat" w:hAnsi="GHEA Grapalat" w:cs="GHEA Grapalat"/>
                <w:lang w:val="af-ZA"/>
              </w:rPr>
              <w:t>:</w:t>
            </w:r>
          </w:p>
          <w:p w:rsidR="0068680D" w:rsidRPr="00BC61ED" w:rsidRDefault="0068680D" w:rsidP="00F47DC4">
            <w:pPr>
              <w:pStyle w:val="Text"/>
              <w:tabs>
                <w:tab w:val="left" w:pos="1134"/>
              </w:tabs>
              <w:spacing w:after="0" w:line="276" w:lineRule="auto"/>
              <w:ind w:firstLine="375"/>
              <w:rPr>
                <w:rFonts w:ascii="GHEA Grapalat" w:hAnsi="GHEA Grapalat"/>
                <w:lang w:val="hy-AM"/>
              </w:rPr>
            </w:pPr>
            <w:r w:rsidRPr="00BC61ED">
              <w:rPr>
                <w:rFonts w:ascii="GHEA Grapalat" w:eastAsia="Calibri" w:hAnsi="GHEA Grapalat" w:cs="Sylfaen"/>
                <w:lang w:val="hy-AM"/>
              </w:rPr>
              <w:t xml:space="preserve">Սակայն </w:t>
            </w:r>
            <w:r w:rsidRPr="00BC61ED">
              <w:rPr>
                <w:rFonts w:ascii="GHEA Grapalat" w:hAnsi="GHEA Grapalat"/>
                <w:lang w:val="hy-AM"/>
              </w:rPr>
              <w:t xml:space="preserve">2016 թվականի փետրվարին ՊԾՖՀ-PEFA քարտուղարության կողմից ընդունված ՊԾՖՀ-2016 նոր շրջանակում ներառվել են մի շարք նոր կատարողական ցուցանիշներ, որոնք կամ չեն ներառվել </w:t>
            </w:r>
            <w:r w:rsidRPr="00BC61ED">
              <w:rPr>
                <w:rFonts w:ascii="GHEA Grapalat" w:hAnsi="GHEA Grapalat" w:cs="Sylfaen"/>
                <w:lang w:val="hy-AM"/>
              </w:rPr>
              <w:t>ՊՖԿՀ</w:t>
            </w:r>
            <w:r w:rsidRPr="00BC61ED">
              <w:rPr>
                <w:rFonts w:ascii="GHEA Grapalat" w:hAnsi="GHEA Grapalat"/>
                <w:lang w:val="hy-AM"/>
              </w:rPr>
              <w:t xml:space="preserve"> </w:t>
            </w:r>
            <w:r w:rsidRPr="00BC61ED">
              <w:rPr>
                <w:rFonts w:ascii="GHEA Grapalat" w:hAnsi="GHEA Grapalat" w:cs="Sylfaen"/>
                <w:lang w:val="hy-AM"/>
              </w:rPr>
              <w:t>գործողությունների ծրագրում, կամ դրանց իրականացման հետ կապված առկա են որոշ խնդիրներ, որոնք դեռևս լուծված չեն։ Մասնավորապես՝ ա</w:t>
            </w:r>
            <w:r w:rsidRPr="00BC61ED">
              <w:rPr>
                <w:rFonts w:ascii="GHEA Grapalat" w:hAnsi="GHEA Grapalat"/>
                <w:lang w:val="hy-AM"/>
              </w:rPr>
              <w:t>նհարժեշտություն կա վերանայելու Գործողությունների ծրագրի միջոցառումների թիրախները, արդյունքի գնահատման ցուցանիշները և իրականացման ժամկետները։</w:t>
            </w:r>
          </w:p>
          <w:p w:rsidR="0068680D" w:rsidRPr="00BC61ED" w:rsidRDefault="0068680D" w:rsidP="00F47DC4">
            <w:pPr>
              <w:pStyle w:val="ListParagraph"/>
              <w:tabs>
                <w:tab w:val="left" w:pos="1080"/>
              </w:tabs>
              <w:spacing w:line="276" w:lineRule="auto"/>
              <w:ind w:left="0" w:firstLine="375"/>
              <w:jc w:val="both"/>
              <w:rPr>
                <w:rFonts w:cs="Sylfaen"/>
                <w:lang w:val="hy-AM"/>
              </w:rPr>
            </w:pPr>
            <w:r w:rsidRPr="00BC61ED">
              <w:rPr>
                <w:rFonts w:cs="Sylfaen"/>
                <w:lang w:val="hy-AM"/>
              </w:rPr>
              <w:t xml:space="preserve">Միաժամանակ </w:t>
            </w:r>
            <w:r w:rsidRPr="00BC61ED">
              <w:rPr>
                <w:lang w:val="hy-AM"/>
              </w:rPr>
              <w:t xml:space="preserve">ՍԻԳՄԱ-ի փորձագետների խմբի «Հայաստանի հանրային կառավարման համակարգի վերաբերյալ փաստերի ստուգման ելակետային գնահատման զեկույցի» նախագծով «Հանրային ֆինանսների կառավարման» ոլորտի վերաբերյալ կատարված վերլուծությունների և գնահատականների արդյունքում վերջիններիս կողմից ներկայացվել են կարճաժամկետ և երկարաժամկետ առաջարկությունները։ Զեկուցի վերջնական տարբերակի ընդունումից հետո կքննարկվի նաև այդ առաջարկությունները </w:t>
            </w:r>
            <w:r w:rsidRPr="00BC61ED">
              <w:rPr>
                <w:rFonts w:cs="Sylfaen"/>
                <w:lang w:val="hy-AM"/>
              </w:rPr>
              <w:t>ՊՖԿՀ բարեփոխումների ռազմավարության նախագծում ներառելու նպատակահարմարության հարցը։</w:t>
            </w:r>
          </w:p>
          <w:p w:rsidR="0068680D" w:rsidRPr="00BC61ED" w:rsidRDefault="0068680D" w:rsidP="0068680D">
            <w:pPr>
              <w:pStyle w:val="ListParagraph"/>
              <w:numPr>
                <w:ilvl w:val="1"/>
                <w:numId w:val="144"/>
              </w:numPr>
              <w:spacing w:line="276" w:lineRule="auto"/>
              <w:ind w:left="0" w:firstLine="375"/>
              <w:jc w:val="both"/>
              <w:rPr>
                <w:rFonts w:eastAsia="Times New Roman"/>
                <w:b/>
                <w:lang w:val="hy-AM"/>
              </w:rPr>
            </w:pPr>
            <w:r w:rsidRPr="00BC61ED">
              <w:rPr>
                <w:rFonts w:eastAsia="Times New Roman"/>
                <w:b/>
                <w:lang w:val="hy-AM"/>
              </w:rPr>
              <w:t xml:space="preserve">Առկա խնդիրների առաջարկվող լուծումները </w:t>
            </w:r>
          </w:p>
          <w:p w:rsidR="0068680D" w:rsidRPr="00BC61ED" w:rsidRDefault="0068680D" w:rsidP="00F47DC4">
            <w:pPr>
              <w:tabs>
                <w:tab w:val="left" w:pos="90"/>
                <w:tab w:val="left" w:pos="900"/>
                <w:tab w:val="left" w:pos="1080"/>
              </w:tabs>
              <w:spacing w:line="276" w:lineRule="auto"/>
              <w:ind w:firstLine="375"/>
              <w:contextualSpacing/>
              <w:jc w:val="both"/>
              <w:rPr>
                <w:rFonts w:cs="Sylfaen"/>
                <w:lang w:val="hy-AM"/>
              </w:rPr>
            </w:pPr>
            <w:r w:rsidRPr="00BC61ED">
              <w:rPr>
                <w:rFonts w:cs="Sylfaen"/>
                <w:lang w:val="hy-AM"/>
              </w:rPr>
              <w:t>Միջոցառուման իրականացման արդյունքում կվերանայվեն ՊՖԿՀ բարեփոխումների ռազմավարությամբ և Գ</w:t>
            </w:r>
            <w:r w:rsidRPr="00BC61ED">
              <w:rPr>
                <w:lang w:val="hy-AM"/>
              </w:rPr>
              <w:t>ործողությունների ծրագրով սահմանված նպատակներն ու թիրախները, արդյունքի գնահատման ցուցանիշները և իրականացման ժամկետները</w:t>
            </w:r>
            <w:r w:rsidRPr="00BC61ED">
              <w:rPr>
                <w:rFonts w:cs="Sylfaen"/>
                <w:lang w:val="hy-AM"/>
              </w:rPr>
              <w:t xml:space="preserve">, որը հնարավորություն կտա նվազեցնելու ՊՖԿ համակարգի տարբեր հատվածների ցուցանիշների միջև առկա տարբերությունը և հստակեցնելու հետագա աշխատանքների առավել առաջնահերթ ուղղությունները։ ՊՖԿՀ բարեփոխումների ռազմավարությամբ կնախատեսվեն նաև </w:t>
            </w:r>
            <w:r w:rsidRPr="00BC61ED">
              <w:rPr>
                <w:rFonts w:eastAsia="Times New Roman"/>
                <w:lang w:val="hy-AM"/>
              </w:rPr>
              <w:t>միջոցառումներ</w:t>
            </w:r>
            <w:r w:rsidRPr="00BC61ED">
              <w:rPr>
                <w:rFonts w:cs="Sylfaen"/>
                <w:lang w:val="hy-AM"/>
              </w:rPr>
              <w:t xml:space="preserve"> </w:t>
            </w:r>
            <w:r w:rsidRPr="00BC61ED">
              <w:rPr>
                <w:rFonts w:eastAsia="Times New Roman"/>
                <w:lang w:val="hy-AM"/>
              </w:rPr>
              <w:t>պետական ծախսերի արդյունավետության և հարկային ոլորտի ռազմավարությունների մշակման ուղղությամբ։</w:t>
            </w:r>
          </w:p>
          <w:p w:rsidR="0068680D" w:rsidRPr="00BC61ED" w:rsidRDefault="0068680D" w:rsidP="00F47DC4">
            <w:pPr>
              <w:spacing w:line="276" w:lineRule="auto"/>
              <w:ind w:firstLine="375"/>
              <w:rPr>
                <w:rFonts w:eastAsia="Times New Roman"/>
                <w:b/>
                <w:lang w:val="hy-AM"/>
              </w:rPr>
            </w:pPr>
            <w:r w:rsidRPr="00BC61ED">
              <w:rPr>
                <w:rFonts w:ascii="Calibri" w:eastAsia="Times New Roman" w:hAnsi="Calibri" w:cs="Calibri"/>
                <w:lang w:val="hy-AM"/>
              </w:rPr>
              <w:t> </w:t>
            </w:r>
            <w:r w:rsidRPr="00BC61ED">
              <w:rPr>
                <w:rFonts w:eastAsia="Times New Roman"/>
                <w:b/>
                <w:lang w:val="hy-AM"/>
              </w:rPr>
              <w:t>2. Միջոցառման իրականացումից ակնկալվող արդյունքը</w:t>
            </w:r>
          </w:p>
          <w:p w:rsidR="0068680D" w:rsidRPr="00BC61ED" w:rsidRDefault="0068680D" w:rsidP="00F47DC4">
            <w:pPr>
              <w:tabs>
                <w:tab w:val="left" w:pos="90"/>
                <w:tab w:val="left" w:pos="720"/>
                <w:tab w:val="left" w:pos="1080"/>
              </w:tabs>
              <w:spacing w:line="276" w:lineRule="auto"/>
              <w:ind w:firstLine="375"/>
              <w:contextualSpacing/>
              <w:jc w:val="both"/>
              <w:rPr>
                <w:lang w:val="hy-AM"/>
              </w:rPr>
            </w:pPr>
            <w:r w:rsidRPr="00BC61ED">
              <w:rPr>
                <w:rFonts w:ascii="Calibri" w:eastAsia="Times New Roman" w:hAnsi="Calibri" w:cs="Calibri"/>
                <w:lang w:val="hy-AM"/>
              </w:rPr>
              <w:t>  </w:t>
            </w:r>
            <w:r w:rsidRPr="00BC61ED">
              <w:rPr>
                <w:lang w:val="hy-AM"/>
              </w:rPr>
              <w:t>ՊՖԿՀ բարեփոխումները, որոնք կիրականացվեն 2020-2023 թվականների ընթացքում, կնպաստեն պետական ֆինանսների կառավարման արդյունավետության բարձրացմանը՝ ապահովելով ընթացակարգերի ու մատուցվող ծառայությունների որակը, որը ենթադրում է՝</w:t>
            </w:r>
          </w:p>
          <w:p w:rsidR="0068680D" w:rsidRPr="00BC61ED" w:rsidRDefault="0068680D" w:rsidP="0068680D">
            <w:pPr>
              <w:numPr>
                <w:ilvl w:val="0"/>
                <w:numId w:val="146"/>
              </w:numPr>
              <w:tabs>
                <w:tab w:val="left" w:pos="90"/>
                <w:tab w:val="left" w:pos="1080"/>
              </w:tabs>
              <w:spacing w:line="276" w:lineRule="auto"/>
              <w:ind w:left="0" w:firstLine="375"/>
              <w:jc w:val="both"/>
              <w:rPr>
                <w:lang w:val="hy-AM"/>
              </w:rPr>
            </w:pPr>
            <w:r w:rsidRPr="00BC61ED">
              <w:rPr>
                <w:lang w:val="hy-AM"/>
              </w:rPr>
              <w:t>ֆիսկալ կարգապահության բարձրացում, որի միջոցով պետք է ապահովի մակրոտնտեսական կայունություն և բյուջետային համակարգի կանխատեսելիության բարձրացում,</w:t>
            </w:r>
          </w:p>
          <w:p w:rsidR="0068680D" w:rsidRPr="00BC61ED" w:rsidRDefault="0068680D" w:rsidP="00F47DC4">
            <w:pPr>
              <w:tabs>
                <w:tab w:val="left" w:pos="90"/>
                <w:tab w:val="left" w:pos="900"/>
                <w:tab w:val="left" w:pos="1080"/>
              </w:tabs>
              <w:spacing w:line="276" w:lineRule="auto"/>
              <w:ind w:firstLine="375"/>
              <w:contextualSpacing/>
              <w:jc w:val="both"/>
              <w:rPr>
                <w:lang w:val="hy-AM"/>
              </w:rPr>
            </w:pPr>
            <w:r w:rsidRPr="00BC61ED">
              <w:rPr>
                <w:lang w:val="hy-AM"/>
              </w:rPr>
              <w:t>2) հավաստիացում, որ միջոցները կապակցված են հիմնական քաղաքականությունների հետ և համապատասխանում են գերակայություններին,</w:t>
            </w:r>
          </w:p>
          <w:p w:rsidR="0068680D" w:rsidRPr="00BC61ED" w:rsidRDefault="0068680D" w:rsidP="00F47DC4">
            <w:pPr>
              <w:tabs>
                <w:tab w:val="left" w:pos="90"/>
                <w:tab w:val="left" w:pos="900"/>
                <w:tab w:val="left" w:pos="1080"/>
              </w:tabs>
              <w:spacing w:line="276" w:lineRule="auto"/>
              <w:ind w:firstLine="375"/>
              <w:contextualSpacing/>
              <w:jc w:val="both"/>
              <w:rPr>
                <w:lang w:val="hy-AM"/>
              </w:rPr>
            </w:pPr>
            <w:r w:rsidRPr="00BC61ED">
              <w:rPr>
                <w:lang w:val="hy-AM"/>
              </w:rPr>
              <w:t>3) փողի դիմաց արժեքի ապահովում` երաշխավորելով, որ միջոցներն օգտագործվեն օգտավետ, արդյունավետ և խնայողաբար,</w:t>
            </w:r>
          </w:p>
          <w:p w:rsidR="0068680D" w:rsidRPr="00BC61ED" w:rsidRDefault="0068680D" w:rsidP="0068680D">
            <w:pPr>
              <w:numPr>
                <w:ilvl w:val="0"/>
                <w:numId w:val="147"/>
              </w:numPr>
              <w:tabs>
                <w:tab w:val="left" w:pos="90"/>
                <w:tab w:val="left" w:pos="900"/>
                <w:tab w:val="left" w:pos="1080"/>
              </w:tabs>
              <w:spacing w:line="276" w:lineRule="auto"/>
              <w:ind w:left="0" w:firstLine="375"/>
              <w:contextualSpacing/>
              <w:jc w:val="both"/>
              <w:rPr>
                <w:lang w:val="hy-AM"/>
              </w:rPr>
            </w:pPr>
            <w:r w:rsidRPr="00BC61ED">
              <w:rPr>
                <w:lang w:val="hy-AM"/>
              </w:rPr>
              <w:t>հանրային միջոցների օգտագործման շնորհիվ հաշվետվողականության ապահովում։</w:t>
            </w:r>
          </w:p>
        </w:tc>
      </w:tr>
      <w:tr w:rsidR="0068680D" w:rsidRPr="00BC61ED" w:rsidTr="00F47DC4">
        <w:tc>
          <w:tcPr>
            <w:tcW w:w="480" w:type="dxa"/>
          </w:tcPr>
          <w:p w:rsidR="0068680D" w:rsidRPr="00BC61ED" w:rsidRDefault="0068680D" w:rsidP="00F47DC4">
            <w:pPr>
              <w:spacing w:line="276" w:lineRule="auto"/>
              <w:rPr>
                <w:rFonts w:eastAsia="Times New Roman"/>
                <w:lang w:val="hy-AM"/>
              </w:rPr>
            </w:pPr>
            <w:r w:rsidRPr="00BC61ED">
              <w:rPr>
                <w:rFonts w:eastAsia="Times New Roman"/>
                <w:lang w:val="hy-AM"/>
              </w:rPr>
              <w:t>2.</w:t>
            </w:r>
          </w:p>
        </w:tc>
        <w:tc>
          <w:tcPr>
            <w:tcW w:w="10860" w:type="dxa"/>
          </w:tcPr>
          <w:p w:rsidR="0068680D" w:rsidRPr="00BC61ED" w:rsidRDefault="0068680D" w:rsidP="00F47DC4">
            <w:pPr>
              <w:spacing w:line="276" w:lineRule="auto"/>
              <w:ind w:firstLine="375"/>
              <w:jc w:val="center"/>
              <w:rPr>
                <w:b/>
                <w:lang w:val="hy-AM"/>
              </w:rPr>
            </w:pPr>
            <w:r w:rsidRPr="00BC61ED">
              <w:rPr>
                <w:rFonts w:cs="Sylfaen"/>
                <w:b/>
                <w:color w:val="000000"/>
                <w:lang w:val="hy-AM"/>
              </w:rPr>
              <w:t>Կառավարման</w:t>
            </w:r>
            <w:r w:rsidRPr="00BC61ED">
              <w:rPr>
                <w:b/>
                <w:color w:val="000000"/>
                <w:lang w:val="hy-AM"/>
              </w:rPr>
              <w:t xml:space="preserve"> </w:t>
            </w:r>
            <w:r w:rsidRPr="00BC61ED">
              <w:rPr>
                <w:rFonts w:cs="Sylfaen"/>
                <w:b/>
                <w:color w:val="000000"/>
                <w:lang w:val="hy-AM"/>
              </w:rPr>
              <w:t>տարբեր</w:t>
            </w:r>
            <w:r w:rsidRPr="00BC61ED">
              <w:rPr>
                <w:b/>
                <w:color w:val="000000"/>
                <w:lang w:val="hy-AM"/>
              </w:rPr>
              <w:t xml:space="preserve"> </w:t>
            </w:r>
            <w:r w:rsidRPr="00BC61ED">
              <w:rPr>
                <w:rFonts w:cs="Sylfaen"/>
                <w:b/>
                <w:color w:val="000000"/>
                <w:lang w:val="hy-AM"/>
              </w:rPr>
              <w:t>մակարդակներում</w:t>
            </w:r>
            <w:r w:rsidRPr="00BC61ED">
              <w:rPr>
                <w:b/>
                <w:color w:val="000000"/>
                <w:lang w:val="hy-AM"/>
              </w:rPr>
              <w:t xml:space="preserve"> </w:t>
            </w:r>
            <w:r w:rsidRPr="00BC61ED">
              <w:rPr>
                <w:rFonts w:cs="Sylfaen"/>
                <w:b/>
                <w:color w:val="000000"/>
                <w:lang w:val="hy-AM"/>
              </w:rPr>
              <w:t>պետական</w:t>
            </w:r>
            <w:r w:rsidRPr="00BC61ED">
              <w:rPr>
                <w:b/>
                <w:color w:val="000000"/>
                <w:lang w:val="hy-AM"/>
              </w:rPr>
              <w:t xml:space="preserve"> </w:t>
            </w:r>
            <w:r w:rsidRPr="00BC61ED">
              <w:rPr>
                <w:rFonts w:cs="Sylfaen"/>
                <w:b/>
                <w:color w:val="000000"/>
                <w:lang w:val="hy-AM"/>
              </w:rPr>
              <w:t>ֆինանսների</w:t>
            </w:r>
            <w:r w:rsidRPr="00BC61ED">
              <w:rPr>
                <w:b/>
                <w:color w:val="000000"/>
                <w:lang w:val="hy-AM"/>
              </w:rPr>
              <w:t xml:space="preserve"> </w:t>
            </w:r>
            <w:r w:rsidRPr="00BC61ED">
              <w:rPr>
                <w:rFonts w:cs="Sylfaen"/>
                <w:b/>
                <w:color w:val="000000"/>
                <w:lang w:val="hy-AM"/>
              </w:rPr>
              <w:t>կառավարման</w:t>
            </w:r>
            <w:r w:rsidRPr="00BC61ED">
              <w:rPr>
                <w:b/>
                <w:color w:val="000000"/>
                <w:lang w:val="hy-AM"/>
              </w:rPr>
              <w:t xml:space="preserve"> </w:t>
            </w:r>
            <w:r w:rsidRPr="00BC61ED">
              <w:rPr>
                <w:rFonts w:cs="Sylfaen"/>
                <w:b/>
                <w:color w:val="000000"/>
                <w:lang w:val="hy-AM"/>
              </w:rPr>
              <w:t>հետ</w:t>
            </w:r>
            <w:r w:rsidRPr="00BC61ED">
              <w:rPr>
                <w:b/>
                <w:color w:val="000000"/>
                <w:lang w:val="hy-AM"/>
              </w:rPr>
              <w:t xml:space="preserve"> </w:t>
            </w:r>
            <w:r w:rsidRPr="00BC61ED">
              <w:rPr>
                <w:rFonts w:cs="Sylfaen"/>
                <w:b/>
                <w:color w:val="000000"/>
                <w:lang w:val="hy-AM"/>
              </w:rPr>
              <w:t>կապված</w:t>
            </w:r>
            <w:r w:rsidRPr="00BC61ED">
              <w:rPr>
                <w:b/>
                <w:color w:val="000000"/>
                <w:lang w:val="hy-AM"/>
              </w:rPr>
              <w:t xml:space="preserve"> </w:t>
            </w:r>
            <w:r w:rsidRPr="00BC61ED">
              <w:rPr>
                <w:rFonts w:cs="Sylfaen"/>
                <w:b/>
                <w:color w:val="000000"/>
                <w:lang w:val="hy-AM"/>
              </w:rPr>
              <w:t>գործընթացների ավտոմատացում և</w:t>
            </w:r>
            <w:r w:rsidRPr="00BC61ED">
              <w:rPr>
                <w:b/>
                <w:color w:val="000000"/>
                <w:lang w:val="hy-AM"/>
              </w:rPr>
              <w:t xml:space="preserve"> </w:t>
            </w:r>
            <w:r w:rsidRPr="00BC61ED">
              <w:rPr>
                <w:rFonts w:cs="Sylfaen"/>
                <w:b/>
                <w:color w:val="000000"/>
                <w:lang w:val="hy-AM"/>
              </w:rPr>
              <w:t>գործարքների</w:t>
            </w:r>
            <w:r w:rsidRPr="00BC61ED">
              <w:rPr>
                <w:b/>
                <w:color w:val="000000"/>
                <w:lang w:val="hy-AM"/>
              </w:rPr>
              <w:t xml:space="preserve"> </w:t>
            </w:r>
            <w:r w:rsidRPr="00BC61ED">
              <w:rPr>
                <w:rFonts w:cs="Sylfaen"/>
                <w:b/>
                <w:color w:val="000000"/>
                <w:lang w:val="hy-AM"/>
              </w:rPr>
              <w:t>արդյունավետվության</w:t>
            </w:r>
            <w:r w:rsidRPr="00BC61ED">
              <w:rPr>
                <w:b/>
                <w:color w:val="000000"/>
                <w:lang w:val="hy-AM"/>
              </w:rPr>
              <w:t xml:space="preserve"> </w:t>
            </w:r>
            <w:r w:rsidRPr="00BC61ED">
              <w:rPr>
                <w:rFonts w:cs="Sylfaen"/>
                <w:b/>
                <w:color w:val="000000"/>
                <w:lang w:val="hy-AM"/>
              </w:rPr>
              <w:t>ու</w:t>
            </w:r>
            <w:r w:rsidRPr="00BC61ED">
              <w:rPr>
                <w:b/>
                <w:color w:val="000000"/>
                <w:lang w:val="hy-AM"/>
              </w:rPr>
              <w:t xml:space="preserve"> </w:t>
            </w:r>
            <w:r w:rsidRPr="00BC61ED">
              <w:rPr>
                <w:rFonts w:cs="Sylfaen"/>
                <w:b/>
                <w:color w:val="000000"/>
                <w:lang w:val="hy-AM"/>
              </w:rPr>
              <w:t>թափանցիկության ապահովում (</w:t>
            </w:r>
            <w:r w:rsidRPr="00BC61ED">
              <w:rPr>
                <w:b/>
                <w:lang w:val="hy-AM"/>
              </w:rPr>
              <w:t>Կառավարության ֆինանսների կառավարման տեղեկատվական համակարգի (GFMIS/ԿՖԿՏՀ-) ներդրում)</w:t>
            </w:r>
          </w:p>
          <w:p w:rsidR="0068680D" w:rsidRPr="00BC61ED" w:rsidRDefault="0068680D" w:rsidP="00F47DC4">
            <w:pPr>
              <w:spacing w:line="276" w:lineRule="auto"/>
              <w:ind w:firstLine="375"/>
              <w:jc w:val="center"/>
              <w:rPr>
                <w:b/>
                <w:lang w:val="hy-AM"/>
              </w:rPr>
            </w:pPr>
          </w:p>
          <w:p w:rsidR="0068680D" w:rsidRPr="00BC61ED" w:rsidRDefault="0068680D" w:rsidP="00F47DC4">
            <w:pPr>
              <w:spacing w:line="276" w:lineRule="auto"/>
              <w:ind w:firstLine="375"/>
              <w:rPr>
                <w:b/>
                <w:lang w:val="hy-AM"/>
              </w:rPr>
            </w:pPr>
            <w:r w:rsidRPr="00BC61ED">
              <w:rPr>
                <w:b/>
                <w:lang w:val="hy-AM"/>
              </w:rPr>
              <w:t xml:space="preserve">2.1 </w:t>
            </w:r>
            <w:r w:rsidRPr="00BC61ED">
              <w:rPr>
                <w:b/>
                <w:color w:val="000000"/>
                <w:lang w:val="hy-AM"/>
              </w:rPr>
              <w:t xml:space="preserve">«Կառավարության ֆինանսների կառավարման տեղեկատվական համակարգի (ԿՖԿՏՀ)» ներդրման նպատակով </w:t>
            </w:r>
            <w:r w:rsidRPr="00BC61ED">
              <w:rPr>
                <w:b/>
                <w:lang w:val="hy-AM"/>
              </w:rPr>
              <w:t xml:space="preserve">ԿՖԿՏՀ տեխնիկական </w:t>
            </w:r>
            <w:r w:rsidRPr="00BC61ED">
              <w:rPr>
                <w:b/>
                <w:color w:val="000000"/>
                <w:lang w:val="hy-AM"/>
              </w:rPr>
              <w:t>առաջադրանքի նախագծում</w:t>
            </w:r>
          </w:p>
          <w:p w:rsidR="0068680D" w:rsidRPr="00BC61ED" w:rsidRDefault="0068680D" w:rsidP="00F47DC4">
            <w:pPr>
              <w:spacing w:line="276" w:lineRule="auto"/>
              <w:ind w:firstLine="375"/>
              <w:rPr>
                <w:rFonts w:eastAsia="Times New Roman"/>
                <w:b/>
                <w:lang w:val="hy-AM"/>
              </w:rPr>
            </w:pPr>
            <w:r w:rsidRPr="00BC61ED">
              <w:rPr>
                <w:rFonts w:eastAsia="Times New Roman"/>
                <w:b/>
                <w:lang w:val="hy-AM"/>
              </w:rPr>
              <w:t xml:space="preserve">2.2 </w:t>
            </w:r>
            <w:r w:rsidRPr="00BC61ED">
              <w:rPr>
                <w:b/>
                <w:color w:val="000000"/>
                <w:lang w:val="hy-AM"/>
              </w:rPr>
              <w:t>ԿՖԿՏՀ-ի գնում</w:t>
            </w:r>
          </w:p>
          <w:p w:rsidR="0068680D" w:rsidRPr="00BC61ED" w:rsidRDefault="0068680D" w:rsidP="00F47DC4">
            <w:pPr>
              <w:spacing w:line="276" w:lineRule="auto"/>
              <w:ind w:firstLine="375"/>
              <w:rPr>
                <w:rFonts w:eastAsia="Times New Roman"/>
                <w:b/>
                <w:lang w:val="hy-AM"/>
              </w:rPr>
            </w:pPr>
            <w:r w:rsidRPr="00BC61ED">
              <w:rPr>
                <w:rFonts w:eastAsia="Times New Roman"/>
                <w:b/>
                <w:lang w:val="hy-AM"/>
              </w:rPr>
              <w:t xml:space="preserve">2.3 </w:t>
            </w:r>
            <w:r w:rsidRPr="00BC61ED">
              <w:rPr>
                <w:b/>
                <w:color w:val="000000"/>
                <w:lang w:val="hy-AM"/>
              </w:rPr>
              <w:t>ԿՖԿՏՀ-ի ներդրում</w:t>
            </w:r>
          </w:p>
          <w:p w:rsidR="0068680D" w:rsidRPr="00BC61ED" w:rsidRDefault="0068680D" w:rsidP="00F47DC4">
            <w:pPr>
              <w:spacing w:line="276" w:lineRule="auto"/>
              <w:ind w:firstLine="375"/>
              <w:rPr>
                <w:rFonts w:eastAsia="Times New Roman"/>
                <w:b/>
                <w:lang w:val="hy-AM"/>
              </w:rPr>
            </w:pPr>
          </w:p>
          <w:p w:rsidR="0068680D" w:rsidRPr="00BC61ED" w:rsidRDefault="0068680D" w:rsidP="0068680D">
            <w:pPr>
              <w:pStyle w:val="ListParagraph"/>
              <w:numPr>
                <w:ilvl w:val="0"/>
                <w:numId w:val="148"/>
              </w:numPr>
              <w:spacing w:line="276" w:lineRule="auto"/>
              <w:rPr>
                <w:rFonts w:eastAsia="Times New Roman"/>
                <w:b/>
                <w:lang w:val="hy-AM"/>
              </w:rPr>
            </w:pPr>
            <w:r w:rsidRPr="00BC61ED">
              <w:rPr>
                <w:rFonts w:eastAsia="Times New Roman"/>
                <w:b/>
                <w:lang w:val="hy-AM"/>
              </w:rPr>
              <w:t>Միջոցառման իրակացման անհրաժեշտությունը և նպատակը</w:t>
            </w:r>
          </w:p>
          <w:p w:rsidR="0068680D" w:rsidRPr="00BC61ED" w:rsidRDefault="0068680D" w:rsidP="00F47DC4">
            <w:pPr>
              <w:tabs>
                <w:tab w:val="left" w:pos="90"/>
                <w:tab w:val="left" w:pos="900"/>
                <w:tab w:val="left" w:pos="1080"/>
              </w:tabs>
              <w:spacing w:line="276" w:lineRule="auto"/>
              <w:ind w:firstLine="720"/>
              <w:contextualSpacing/>
              <w:jc w:val="both"/>
              <w:rPr>
                <w:lang w:val="hy-AM"/>
              </w:rPr>
            </w:pPr>
            <w:r w:rsidRPr="00BC61ED">
              <w:rPr>
                <w:rFonts w:eastAsia="Arial Unicode MS" w:cs="Arial Unicode MS"/>
                <w:lang w:val="hy-AM"/>
              </w:rPr>
              <w:t xml:space="preserve">Պետական ֆինանսների կառավարման համակարգում բարեփոխումների իրականացման գործընթացում առանձնակի կարևորվում է կառավարության ֆինանսների կառավարման տեղեկատվական համակարգի (ԿՖԿՏՀ) ամբողջական ներդրման աշխատանքները: Համակարգի </w:t>
            </w:r>
            <w:r w:rsidRPr="00BC61ED">
              <w:rPr>
                <w:lang w:val="hy-AM"/>
              </w:rPr>
              <w:t>ստեղծման և ներդրման աշխատանքները նախատեսված է իրականացնել Համաշխարհային բանկի (ՀԲ)  պետական հատվածի արդիականացման երրորդ ծրագրի (</w:t>
            </w:r>
            <w:r w:rsidRPr="00BC61ED">
              <w:rPr>
                <w:rFonts w:eastAsia="Arial Unicode MS" w:cs="Arial Unicode MS"/>
                <w:lang w:val="hy-AM"/>
              </w:rPr>
              <w:t>PSMP-3</w:t>
            </w:r>
            <w:r w:rsidRPr="00BC61ED">
              <w:rPr>
                <w:lang w:val="hy-AM"/>
              </w:rPr>
              <w:t xml:space="preserve">) շրջանակներում, որը պայմանավորված է </w:t>
            </w:r>
            <w:r w:rsidRPr="00BC61ED">
              <w:rPr>
                <w:rFonts w:cs="Sylfaen"/>
                <w:color w:val="000000"/>
                <w:lang w:val="hy-AM"/>
              </w:rPr>
              <w:t>կառավարման</w:t>
            </w:r>
            <w:r w:rsidRPr="00BC61ED">
              <w:rPr>
                <w:color w:val="000000"/>
                <w:lang w:val="hy-AM"/>
              </w:rPr>
              <w:t xml:space="preserve"> </w:t>
            </w:r>
            <w:r w:rsidRPr="00BC61ED">
              <w:rPr>
                <w:rFonts w:cs="Sylfaen"/>
                <w:color w:val="000000"/>
                <w:lang w:val="hy-AM"/>
              </w:rPr>
              <w:t>տարբեր</w:t>
            </w:r>
            <w:r w:rsidRPr="00BC61ED">
              <w:rPr>
                <w:color w:val="000000"/>
                <w:lang w:val="hy-AM"/>
              </w:rPr>
              <w:t xml:space="preserve"> </w:t>
            </w:r>
            <w:r w:rsidRPr="00BC61ED">
              <w:rPr>
                <w:rFonts w:cs="Sylfaen"/>
                <w:color w:val="000000"/>
                <w:lang w:val="hy-AM"/>
              </w:rPr>
              <w:t>մակարդակներում</w:t>
            </w:r>
            <w:r w:rsidRPr="00BC61ED">
              <w:rPr>
                <w:color w:val="000000"/>
                <w:lang w:val="hy-AM"/>
              </w:rPr>
              <w:t xml:space="preserve"> </w:t>
            </w:r>
            <w:r w:rsidRPr="00BC61ED">
              <w:rPr>
                <w:rFonts w:cs="Sylfaen"/>
                <w:color w:val="000000"/>
                <w:lang w:val="hy-AM"/>
              </w:rPr>
              <w:t>պետական</w:t>
            </w:r>
            <w:r w:rsidRPr="00BC61ED">
              <w:rPr>
                <w:color w:val="000000"/>
                <w:lang w:val="hy-AM"/>
              </w:rPr>
              <w:t xml:space="preserve"> </w:t>
            </w:r>
            <w:r w:rsidRPr="00BC61ED">
              <w:rPr>
                <w:rFonts w:cs="Sylfaen"/>
                <w:color w:val="000000"/>
                <w:lang w:val="hy-AM"/>
              </w:rPr>
              <w:t>ֆինանսների</w:t>
            </w:r>
            <w:r w:rsidRPr="00BC61ED">
              <w:rPr>
                <w:color w:val="000000"/>
                <w:lang w:val="hy-AM"/>
              </w:rPr>
              <w:t xml:space="preserve"> </w:t>
            </w:r>
            <w:r w:rsidRPr="00BC61ED">
              <w:rPr>
                <w:rFonts w:cs="Sylfaen"/>
                <w:color w:val="000000"/>
                <w:lang w:val="hy-AM"/>
              </w:rPr>
              <w:t>կառավարման</w:t>
            </w:r>
            <w:r w:rsidRPr="00BC61ED">
              <w:rPr>
                <w:color w:val="000000"/>
                <w:lang w:val="hy-AM"/>
              </w:rPr>
              <w:t xml:space="preserve"> </w:t>
            </w:r>
            <w:r w:rsidRPr="00BC61ED">
              <w:rPr>
                <w:rFonts w:cs="Sylfaen"/>
                <w:color w:val="000000"/>
                <w:lang w:val="hy-AM"/>
              </w:rPr>
              <w:t>հետ</w:t>
            </w:r>
            <w:r w:rsidRPr="00BC61ED">
              <w:rPr>
                <w:color w:val="000000"/>
                <w:lang w:val="hy-AM"/>
              </w:rPr>
              <w:t xml:space="preserve"> </w:t>
            </w:r>
            <w:r w:rsidRPr="00BC61ED">
              <w:rPr>
                <w:rFonts w:cs="Sylfaen"/>
                <w:color w:val="000000"/>
                <w:lang w:val="hy-AM"/>
              </w:rPr>
              <w:t>կապված</w:t>
            </w:r>
            <w:r w:rsidRPr="00BC61ED">
              <w:rPr>
                <w:color w:val="000000"/>
                <w:lang w:val="hy-AM"/>
              </w:rPr>
              <w:t xml:space="preserve"> </w:t>
            </w:r>
            <w:r w:rsidRPr="00BC61ED">
              <w:rPr>
                <w:rFonts w:cs="Sylfaen"/>
                <w:color w:val="000000"/>
                <w:lang w:val="hy-AM"/>
              </w:rPr>
              <w:t>գործընթացների ավտոմատացման և</w:t>
            </w:r>
            <w:r w:rsidRPr="00BC61ED">
              <w:rPr>
                <w:color w:val="000000"/>
                <w:lang w:val="hy-AM"/>
              </w:rPr>
              <w:t xml:space="preserve"> </w:t>
            </w:r>
            <w:r w:rsidRPr="00BC61ED">
              <w:rPr>
                <w:rFonts w:cs="Sylfaen"/>
                <w:color w:val="000000"/>
                <w:lang w:val="hy-AM"/>
              </w:rPr>
              <w:t>գործարքների</w:t>
            </w:r>
            <w:r w:rsidRPr="00BC61ED">
              <w:rPr>
                <w:color w:val="000000"/>
                <w:lang w:val="hy-AM"/>
              </w:rPr>
              <w:t xml:space="preserve"> </w:t>
            </w:r>
            <w:r w:rsidRPr="00BC61ED">
              <w:rPr>
                <w:rFonts w:cs="Sylfaen"/>
                <w:color w:val="000000"/>
                <w:lang w:val="hy-AM"/>
              </w:rPr>
              <w:t>արդյունավետվության</w:t>
            </w:r>
            <w:r w:rsidRPr="00BC61ED">
              <w:rPr>
                <w:color w:val="000000"/>
                <w:lang w:val="hy-AM"/>
              </w:rPr>
              <w:t xml:space="preserve"> </w:t>
            </w:r>
            <w:r w:rsidRPr="00BC61ED">
              <w:rPr>
                <w:rFonts w:cs="Sylfaen"/>
                <w:color w:val="000000"/>
                <w:lang w:val="hy-AM"/>
              </w:rPr>
              <w:t>ու</w:t>
            </w:r>
            <w:r w:rsidRPr="00BC61ED">
              <w:rPr>
                <w:color w:val="000000"/>
                <w:lang w:val="hy-AM"/>
              </w:rPr>
              <w:t xml:space="preserve"> </w:t>
            </w:r>
            <w:r w:rsidRPr="00BC61ED">
              <w:rPr>
                <w:rFonts w:cs="Sylfaen"/>
                <w:color w:val="000000"/>
                <w:lang w:val="hy-AM"/>
              </w:rPr>
              <w:t xml:space="preserve">թափանցիկության ապահոման անհրաժեշտությամբ: </w:t>
            </w:r>
            <w:r w:rsidRPr="00BC61ED">
              <w:rPr>
                <w:rFonts w:eastAsia="Arial Unicode MS" w:cs="Arial Unicode MS"/>
                <w:lang w:val="hy-AM"/>
              </w:rPr>
              <w:t xml:space="preserve">ԿՖԿՏՀ-ի ներդրման ընդհանուր նպատակն է պետական հատվածի կազմակերպությունների ամբողջական ֆինանսական տեղեկատվության համախմբման և փոխադարձ ինտեգրման միջոցով՝ պետական հատվածի բարեփոխումների և ֆինանսական համակարգի հաշվառման և հաշվետվողականության գործառույթների, ինչպես նաև հանրային ծառայությունների մատուցման արդյունավետության, որակի և թափանցիկության բարձրացմանն աջակցումը: </w:t>
            </w:r>
            <w:r w:rsidRPr="00BC61ED">
              <w:rPr>
                <w:rFonts w:cs="Sylfaen"/>
                <w:lang w:val="hy-AM"/>
              </w:rPr>
              <w:t xml:space="preserve">Այն բխում է նաև </w:t>
            </w:r>
            <w:r w:rsidRPr="00DD1660">
              <w:rPr>
                <w:lang w:val="af-ZA"/>
              </w:rPr>
              <w:t xml:space="preserve">ՀՀ Ազգային ժողովի 14.02.2019թ. N ԱԺՈ-002-Ն որոշմամբ հավանության արժանացած </w:t>
            </w:r>
            <w:r w:rsidRPr="00DD1660">
              <w:rPr>
                <w:lang w:val="hy-AM"/>
              </w:rPr>
              <w:t>ՀՀ</w:t>
            </w:r>
            <w:r w:rsidRPr="00DD1660">
              <w:rPr>
                <w:lang w:val="af-ZA"/>
              </w:rPr>
              <w:t xml:space="preserve"> կառավարության ծրագրի</w:t>
            </w:r>
            <w:r w:rsidRPr="00BC61ED">
              <w:rPr>
                <w:rFonts w:cs="Sylfaen"/>
                <w:lang w:val="hy-AM"/>
              </w:rPr>
              <w:t xml:space="preserve"> «8. Պետական ֆինանսների կառավարումը» բաժնից։</w:t>
            </w:r>
          </w:p>
          <w:p w:rsidR="0068680D" w:rsidRPr="00BC61ED" w:rsidRDefault="0068680D" w:rsidP="00F47DC4">
            <w:pPr>
              <w:tabs>
                <w:tab w:val="left" w:pos="720"/>
              </w:tabs>
              <w:spacing w:line="276" w:lineRule="auto"/>
              <w:rPr>
                <w:color w:val="000000"/>
                <w:lang w:val="hy-AM"/>
              </w:rPr>
            </w:pPr>
            <w:r w:rsidRPr="00BC61ED">
              <w:rPr>
                <w:rFonts w:eastAsia="Times New Roman"/>
                <w:b/>
                <w:lang w:val="hy-AM"/>
              </w:rPr>
              <w:tab/>
              <w:t>1.1  Կարգավորման հարաբերությունների ներկա վիճակը և առկա խնդիրները</w:t>
            </w:r>
          </w:p>
          <w:p w:rsidR="0068680D" w:rsidRPr="00BC61ED" w:rsidRDefault="0068680D" w:rsidP="00F47DC4">
            <w:pPr>
              <w:tabs>
                <w:tab w:val="left" w:pos="0"/>
              </w:tabs>
              <w:spacing w:line="276" w:lineRule="auto"/>
              <w:ind w:right="-18" w:firstLine="720"/>
              <w:jc w:val="both"/>
              <w:rPr>
                <w:rFonts w:cs="GHEA Grapalat"/>
                <w:lang w:val="hy-AM" w:eastAsia="x-none"/>
              </w:rPr>
            </w:pPr>
            <w:r w:rsidRPr="00BC61ED">
              <w:rPr>
                <w:rFonts w:cs="GHEA Grapalat"/>
                <w:lang w:val="hy-AM" w:eastAsia="x-none"/>
              </w:rPr>
              <w:t xml:space="preserve">ԿՖԿՏՀ ստեղծման և ներդրման նախապատրաստական աշխատանքներին աջակցելու նպատակով Համաշխարհային բանկի կողմից ՌԴ կառավարության «Վստահության հիմնադրամի» միջոցների հաշվին տրամադրված TF 012529 դրամաշնորհի շրջանակում կազմակերպված մրցույթի արդյունքներով ընտրված խորհրդատվական կազմակերպության կողմից մշակվել և ՀՀ ֆինանսների նախարարություն է ներկայացվել ԿՖԿՏՀ-ի մանրամասն տեխնիկական և գործառութային բնութագիրը և դրա հիման վրա իրականացված անհրաժեշտ ֆինանսական միջոցների մանրամասն հաշվարկը: </w:t>
            </w:r>
            <w:r w:rsidRPr="00BC61ED">
              <w:rPr>
                <w:rFonts w:cs="GHEA Grapalat"/>
                <w:lang w:val="hy-AM"/>
              </w:rPr>
              <w:t>Ծրագիրը իրականացվելու է ՀԲ PSMP-3 ծրագրով նախատեսված վարկային և ՌԴ կառավորության կողմից հատկացվող դրամաշնորհային միջոցների հաշվին:</w:t>
            </w:r>
          </w:p>
          <w:p w:rsidR="0068680D" w:rsidRPr="00BC61ED" w:rsidRDefault="0068680D" w:rsidP="00F47DC4">
            <w:pPr>
              <w:pStyle w:val="ListParagraph"/>
              <w:tabs>
                <w:tab w:val="left" w:pos="80"/>
                <w:tab w:val="left" w:pos="173"/>
                <w:tab w:val="left" w:pos="993"/>
                <w:tab w:val="left" w:pos="1170"/>
              </w:tabs>
              <w:spacing w:line="276" w:lineRule="auto"/>
              <w:ind w:left="0" w:firstLine="720"/>
              <w:contextualSpacing w:val="0"/>
              <w:jc w:val="both"/>
              <w:rPr>
                <w:rFonts w:cs="GHEA Grapalat"/>
                <w:lang w:val="hy-AM"/>
              </w:rPr>
            </w:pPr>
            <w:r w:rsidRPr="00BC61ED">
              <w:rPr>
                <w:rFonts w:cs="GHEA Grapalat"/>
                <w:lang w:val="hy-AM"/>
              </w:rPr>
              <w:t>Հիշյալի շրջանակներում ԿՖԿՏՀ ստեղծման և ներդրման նախապատրաստական աշխատանքներին աջակցելու նպատակով Համաշխարհային բանկի կողմից Ռուսաստանի Դաշնության (ՌԴ) կառավարության «Վստահության հիմնադրամի» միջոցների հաշվին տրամադրված TF 012529 դրամաշնորհի շրջանակում կազմակերպված մրցույթի արդյունքներով ընտրված խորհրդատվական կազմակերպության կողմից մշակվել և ՀՀ ֆինանսների նախարարություն է ներկայացվել ԿՖԿՏՀ-ի տեխնիկական և գործառութային բնութագիրը և ծրագրի իրականացման նախահաշվային արժեքը:</w:t>
            </w:r>
          </w:p>
          <w:p w:rsidR="0068680D" w:rsidRPr="00BC61ED" w:rsidRDefault="0068680D" w:rsidP="0068680D">
            <w:pPr>
              <w:pStyle w:val="ListParagraph"/>
              <w:numPr>
                <w:ilvl w:val="1"/>
                <w:numId w:val="145"/>
              </w:numPr>
              <w:spacing w:line="276" w:lineRule="auto"/>
              <w:jc w:val="both"/>
              <w:rPr>
                <w:rFonts w:eastAsia="Times New Roman"/>
                <w:b/>
                <w:lang w:val="hy-AM"/>
              </w:rPr>
            </w:pPr>
            <w:r w:rsidRPr="00BC61ED">
              <w:rPr>
                <w:rFonts w:eastAsia="Times New Roman"/>
                <w:b/>
                <w:lang w:val="hy-AM"/>
              </w:rPr>
              <w:t>Առկա խնդիրների առաջարկվող լուծումները</w:t>
            </w:r>
          </w:p>
          <w:p w:rsidR="0068680D" w:rsidRPr="00BC61ED" w:rsidRDefault="0068680D" w:rsidP="00F47DC4">
            <w:pPr>
              <w:spacing w:line="276" w:lineRule="auto"/>
              <w:ind w:firstLine="720"/>
              <w:rPr>
                <w:rFonts w:cs="Sylfaen"/>
                <w:color w:val="000000"/>
                <w:lang w:val="hy-AM"/>
              </w:rPr>
            </w:pPr>
            <w:r w:rsidRPr="00BC61ED">
              <w:rPr>
                <w:rFonts w:cs="GHEA Grapalat"/>
                <w:lang w:val="hy-AM" w:eastAsia="x-none"/>
              </w:rPr>
              <w:t xml:space="preserve">Միջոցառումների շրջանակներում նախատեսվում է </w:t>
            </w:r>
            <w:r w:rsidRPr="00BC61ED">
              <w:rPr>
                <w:lang w:val="hy-AM"/>
              </w:rPr>
              <w:t>վերանայել և ավարտական տեսքի բերել ԿՖԿՏՀ մրցութային փաստաթուղթը։ Կ</w:t>
            </w:r>
            <w:r w:rsidRPr="00BC61ED">
              <w:rPr>
                <w:rFonts w:cs="Sylfaen"/>
                <w:color w:val="000000"/>
                <w:lang w:val="hy-AM"/>
              </w:rPr>
              <w:t>իրականացվի</w:t>
            </w:r>
            <w:r w:rsidRPr="00BC61ED">
              <w:rPr>
                <w:rFonts w:cs="Arial"/>
                <w:color w:val="000000"/>
                <w:lang w:val="hy-AM"/>
              </w:rPr>
              <w:t xml:space="preserve"> </w:t>
            </w:r>
            <w:r w:rsidRPr="00BC61ED">
              <w:rPr>
                <w:rFonts w:cs="Sylfaen"/>
                <w:color w:val="000000"/>
                <w:lang w:val="hy-AM"/>
              </w:rPr>
              <w:t>ԿՖԿՏՀ</w:t>
            </w:r>
            <w:r w:rsidRPr="00BC61ED">
              <w:rPr>
                <w:rFonts w:cs="Arial"/>
                <w:color w:val="000000"/>
                <w:lang w:val="hy-AM"/>
              </w:rPr>
              <w:t>-</w:t>
            </w:r>
            <w:r w:rsidRPr="00BC61ED">
              <w:rPr>
                <w:rFonts w:cs="Sylfaen"/>
                <w:color w:val="000000"/>
                <w:lang w:val="hy-AM"/>
              </w:rPr>
              <w:t>ի</w:t>
            </w:r>
            <w:r w:rsidRPr="00BC61ED">
              <w:rPr>
                <w:rFonts w:cs="Arial"/>
                <w:color w:val="000000"/>
                <w:lang w:val="hy-AM"/>
              </w:rPr>
              <w:t xml:space="preserve"> </w:t>
            </w:r>
            <w:r w:rsidRPr="00BC61ED">
              <w:rPr>
                <w:rFonts w:cs="Sylfaen"/>
                <w:color w:val="000000"/>
                <w:lang w:val="hy-AM"/>
              </w:rPr>
              <w:t>մրցույթի</w:t>
            </w:r>
            <w:r w:rsidRPr="00BC61ED">
              <w:rPr>
                <w:rFonts w:cs="Arial"/>
                <w:color w:val="000000"/>
                <w:lang w:val="hy-AM"/>
              </w:rPr>
              <w:t xml:space="preserve"> </w:t>
            </w:r>
            <w:r w:rsidRPr="00BC61ED">
              <w:rPr>
                <w:rFonts w:cs="Sylfaen"/>
                <w:color w:val="000000"/>
                <w:lang w:val="hy-AM"/>
              </w:rPr>
              <w:t>իրականացման</w:t>
            </w:r>
            <w:r w:rsidRPr="00BC61ED">
              <w:rPr>
                <w:rFonts w:cs="Arial"/>
                <w:color w:val="000000"/>
                <w:lang w:val="hy-AM"/>
              </w:rPr>
              <w:t xml:space="preserve"> </w:t>
            </w:r>
            <w:r w:rsidRPr="00BC61ED">
              <w:rPr>
                <w:rFonts w:cs="Sylfaen"/>
                <w:color w:val="000000"/>
                <w:lang w:val="hy-AM"/>
              </w:rPr>
              <w:t>փաստաթղթերի</w:t>
            </w:r>
            <w:r w:rsidRPr="00BC61ED">
              <w:rPr>
                <w:rFonts w:cs="Arial"/>
                <w:color w:val="000000"/>
                <w:lang w:val="hy-AM"/>
              </w:rPr>
              <w:t xml:space="preserve"> </w:t>
            </w:r>
            <w:r w:rsidRPr="00BC61ED">
              <w:rPr>
                <w:rFonts w:cs="Sylfaen"/>
                <w:color w:val="000000"/>
                <w:lang w:val="hy-AM"/>
              </w:rPr>
              <w:t>ամբողջական</w:t>
            </w:r>
            <w:r w:rsidRPr="00BC61ED">
              <w:rPr>
                <w:rFonts w:cs="Arial"/>
                <w:color w:val="000000"/>
                <w:lang w:val="hy-AM"/>
              </w:rPr>
              <w:t xml:space="preserve"> </w:t>
            </w:r>
            <w:r w:rsidRPr="00BC61ED">
              <w:rPr>
                <w:rFonts w:cs="Sylfaen"/>
                <w:color w:val="000000"/>
                <w:lang w:val="hy-AM"/>
              </w:rPr>
              <w:t>փաթեթի</w:t>
            </w:r>
            <w:r w:rsidRPr="00BC61ED">
              <w:rPr>
                <w:rFonts w:cs="Arial"/>
                <w:color w:val="000000"/>
                <w:lang w:val="hy-AM"/>
              </w:rPr>
              <w:t xml:space="preserve"> </w:t>
            </w:r>
            <w:r w:rsidRPr="00BC61ED">
              <w:rPr>
                <w:rFonts w:cs="Sylfaen"/>
                <w:color w:val="000000"/>
                <w:lang w:val="hy-AM"/>
              </w:rPr>
              <w:t>կազմում</w:t>
            </w:r>
            <w:r w:rsidRPr="00BC61ED">
              <w:rPr>
                <w:rFonts w:cs="Arial"/>
                <w:color w:val="000000"/>
                <w:lang w:val="hy-AM"/>
              </w:rPr>
              <w:t xml:space="preserve">, </w:t>
            </w:r>
            <w:r w:rsidRPr="00BC61ED">
              <w:rPr>
                <w:rFonts w:cs="Sylfaen"/>
                <w:color w:val="000000"/>
                <w:lang w:val="hy-AM"/>
              </w:rPr>
              <w:t>մրցույթի</w:t>
            </w:r>
            <w:r w:rsidRPr="00BC61ED">
              <w:rPr>
                <w:rFonts w:cs="Arial"/>
                <w:color w:val="000000"/>
                <w:lang w:val="hy-AM"/>
              </w:rPr>
              <w:t xml:space="preserve"> </w:t>
            </w:r>
            <w:r w:rsidRPr="00BC61ED">
              <w:rPr>
                <w:rFonts w:cs="Sylfaen"/>
                <w:color w:val="000000"/>
                <w:lang w:val="hy-AM"/>
              </w:rPr>
              <w:t>իրականացում։ Կիրականացվի</w:t>
            </w:r>
            <w:r w:rsidRPr="00BC61ED">
              <w:rPr>
                <w:rFonts w:cs="Arial"/>
                <w:color w:val="000000"/>
                <w:lang w:val="hy-AM"/>
              </w:rPr>
              <w:t xml:space="preserve"> </w:t>
            </w:r>
            <w:r w:rsidRPr="00BC61ED">
              <w:rPr>
                <w:rFonts w:cs="Sylfaen"/>
                <w:color w:val="000000"/>
                <w:lang w:val="hy-AM"/>
              </w:rPr>
              <w:t>համակարգի</w:t>
            </w:r>
            <w:r w:rsidRPr="00BC61ED">
              <w:rPr>
                <w:rFonts w:cs="Arial"/>
                <w:color w:val="000000"/>
                <w:lang w:val="hy-AM"/>
              </w:rPr>
              <w:t xml:space="preserve"> </w:t>
            </w:r>
            <w:r w:rsidRPr="00BC61ED">
              <w:rPr>
                <w:rFonts w:cs="Sylfaen"/>
                <w:color w:val="000000"/>
                <w:lang w:val="hy-AM"/>
              </w:rPr>
              <w:t>փորձարարական</w:t>
            </w:r>
            <w:r w:rsidRPr="00BC61ED">
              <w:rPr>
                <w:rFonts w:cs="Arial"/>
                <w:color w:val="000000"/>
                <w:lang w:val="hy-AM"/>
              </w:rPr>
              <w:t xml:space="preserve"> </w:t>
            </w:r>
            <w:r w:rsidRPr="00BC61ED">
              <w:rPr>
                <w:rFonts w:cs="Sylfaen"/>
                <w:color w:val="000000"/>
                <w:lang w:val="hy-AM"/>
              </w:rPr>
              <w:t>թեստավորում</w:t>
            </w:r>
            <w:r w:rsidRPr="00BC61ED">
              <w:rPr>
                <w:rFonts w:cs="Arial"/>
                <w:color w:val="000000"/>
                <w:lang w:val="hy-AM"/>
              </w:rPr>
              <w:t xml:space="preserve"> (</w:t>
            </w:r>
            <w:r w:rsidRPr="00BC61ED">
              <w:rPr>
                <w:rFonts w:cs="Sylfaen"/>
                <w:color w:val="000000"/>
                <w:lang w:val="hy-AM"/>
              </w:rPr>
              <w:t>տվյալների</w:t>
            </w:r>
            <w:r w:rsidRPr="00BC61ED">
              <w:rPr>
                <w:rFonts w:cs="Arial"/>
                <w:color w:val="000000"/>
                <w:lang w:val="hy-AM"/>
              </w:rPr>
              <w:t xml:space="preserve"> </w:t>
            </w:r>
            <w:r w:rsidRPr="00BC61ED">
              <w:rPr>
                <w:rFonts w:cs="Sylfaen"/>
                <w:color w:val="000000"/>
                <w:lang w:val="hy-AM"/>
              </w:rPr>
              <w:t>փորձնական</w:t>
            </w:r>
            <w:r w:rsidRPr="00BC61ED">
              <w:rPr>
                <w:rFonts w:cs="Arial"/>
                <w:color w:val="000000"/>
                <w:lang w:val="hy-AM"/>
              </w:rPr>
              <w:t xml:space="preserve"> </w:t>
            </w:r>
            <w:r w:rsidRPr="00BC61ED">
              <w:rPr>
                <w:rFonts w:cs="Sylfaen"/>
                <w:color w:val="000000"/>
                <w:lang w:val="hy-AM"/>
              </w:rPr>
              <w:t>փոխակերպում</w:t>
            </w:r>
            <w:r w:rsidRPr="00BC61ED">
              <w:rPr>
                <w:rFonts w:cs="Arial"/>
                <w:color w:val="000000"/>
                <w:lang w:val="hy-AM"/>
              </w:rPr>
              <w:t xml:space="preserve"> </w:t>
            </w:r>
            <w:r w:rsidRPr="00BC61ED">
              <w:rPr>
                <w:rFonts w:cs="Sylfaen"/>
                <w:color w:val="000000"/>
                <w:lang w:val="hy-AM"/>
              </w:rPr>
              <w:t>և</w:t>
            </w:r>
            <w:r w:rsidRPr="00BC61ED">
              <w:rPr>
                <w:rFonts w:cs="Arial"/>
                <w:color w:val="000000"/>
                <w:lang w:val="hy-AM"/>
              </w:rPr>
              <w:t xml:space="preserve"> </w:t>
            </w:r>
            <w:r w:rsidRPr="00BC61ED">
              <w:rPr>
                <w:rFonts w:cs="Sylfaen"/>
                <w:color w:val="000000"/>
                <w:lang w:val="hy-AM"/>
              </w:rPr>
              <w:t>միգրացիա</w:t>
            </w:r>
            <w:r w:rsidRPr="00BC61ED">
              <w:rPr>
                <w:rFonts w:cs="Arial"/>
                <w:color w:val="000000"/>
                <w:lang w:val="hy-AM"/>
              </w:rPr>
              <w:t xml:space="preserve">): </w:t>
            </w:r>
            <w:r w:rsidRPr="00BC61ED">
              <w:rPr>
                <w:rFonts w:cs="Sylfaen"/>
                <w:color w:val="000000"/>
                <w:lang w:val="hy-AM"/>
              </w:rPr>
              <w:t>Կձևավորվեն</w:t>
            </w:r>
            <w:r w:rsidRPr="00BC61ED">
              <w:rPr>
                <w:rFonts w:cs="Arial"/>
                <w:color w:val="000000"/>
                <w:lang w:val="hy-AM"/>
              </w:rPr>
              <w:t xml:space="preserve"> </w:t>
            </w:r>
            <w:r w:rsidRPr="00BC61ED">
              <w:rPr>
                <w:rFonts w:cs="Sylfaen"/>
                <w:color w:val="000000"/>
                <w:lang w:val="hy-AM"/>
              </w:rPr>
              <w:t>ԿՖԿՏՀ</w:t>
            </w:r>
            <w:r w:rsidRPr="00BC61ED">
              <w:rPr>
                <w:rFonts w:cs="Arial"/>
                <w:color w:val="000000"/>
                <w:lang w:val="hy-AM"/>
              </w:rPr>
              <w:t>-</w:t>
            </w:r>
            <w:r w:rsidRPr="00BC61ED">
              <w:rPr>
                <w:rFonts w:cs="Sylfaen"/>
                <w:color w:val="000000"/>
                <w:lang w:val="hy-AM"/>
              </w:rPr>
              <w:t>ից</w:t>
            </w:r>
            <w:r w:rsidRPr="00BC61ED">
              <w:rPr>
                <w:rFonts w:cs="Arial"/>
                <w:color w:val="000000"/>
                <w:lang w:val="hy-AM"/>
              </w:rPr>
              <w:t xml:space="preserve"> </w:t>
            </w:r>
            <w:r w:rsidRPr="00BC61ED">
              <w:rPr>
                <w:rFonts w:cs="Sylfaen"/>
                <w:color w:val="000000"/>
                <w:lang w:val="hy-AM"/>
              </w:rPr>
              <w:t>օգտվողների</w:t>
            </w:r>
            <w:r w:rsidRPr="00BC61ED">
              <w:rPr>
                <w:rFonts w:cs="Arial"/>
                <w:color w:val="000000"/>
                <w:lang w:val="hy-AM"/>
              </w:rPr>
              <w:t xml:space="preserve"> </w:t>
            </w:r>
            <w:r w:rsidRPr="00BC61ED">
              <w:rPr>
                <w:rFonts w:cs="Sylfaen"/>
                <w:color w:val="000000"/>
                <w:lang w:val="hy-AM"/>
              </w:rPr>
              <w:t>խմբեր</w:t>
            </w:r>
            <w:r w:rsidRPr="00BC61ED">
              <w:rPr>
                <w:rFonts w:cs="Arial"/>
                <w:color w:val="000000"/>
                <w:lang w:val="hy-AM"/>
              </w:rPr>
              <w:t xml:space="preserve">, </w:t>
            </w:r>
            <w:r w:rsidRPr="00BC61ED">
              <w:rPr>
                <w:rFonts w:cs="Sylfaen"/>
                <w:color w:val="000000"/>
                <w:lang w:val="hy-AM"/>
              </w:rPr>
              <w:t>կկազմվի</w:t>
            </w:r>
            <w:r w:rsidRPr="00BC61ED">
              <w:rPr>
                <w:rFonts w:cs="Arial"/>
                <w:color w:val="000000"/>
                <w:lang w:val="hy-AM"/>
              </w:rPr>
              <w:t xml:space="preserve"> </w:t>
            </w:r>
            <w:r w:rsidRPr="00BC61ED">
              <w:rPr>
                <w:rFonts w:cs="Sylfaen"/>
                <w:color w:val="000000"/>
                <w:lang w:val="hy-AM"/>
              </w:rPr>
              <w:t>ուսուցումների</w:t>
            </w:r>
            <w:r w:rsidRPr="00BC61ED">
              <w:rPr>
                <w:rFonts w:cs="Arial"/>
                <w:color w:val="000000"/>
                <w:lang w:val="hy-AM"/>
              </w:rPr>
              <w:t xml:space="preserve"> </w:t>
            </w:r>
            <w:r w:rsidRPr="00BC61ED">
              <w:rPr>
                <w:rFonts w:cs="Sylfaen"/>
                <w:color w:val="000000"/>
                <w:lang w:val="hy-AM"/>
              </w:rPr>
              <w:t>ծրագիր</w:t>
            </w:r>
            <w:r w:rsidRPr="00BC61ED">
              <w:rPr>
                <w:rFonts w:cs="Arial"/>
                <w:color w:val="000000"/>
                <w:lang w:val="hy-AM"/>
              </w:rPr>
              <w:t xml:space="preserve"> </w:t>
            </w:r>
            <w:r w:rsidRPr="00BC61ED">
              <w:rPr>
                <w:rFonts w:cs="Sylfaen"/>
                <w:color w:val="000000"/>
                <w:lang w:val="hy-AM"/>
              </w:rPr>
              <w:t>և</w:t>
            </w:r>
            <w:r w:rsidRPr="00BC61ED">
              <w:rPr>
                <w:rFonts w:cs="Arial"/>
                <w:color w:val="000000"/>
                <w:lang w:val="hy-AM"/>
              </w:rPr>
              <w:t xml:space="preserve"> </w:t>
            </w:r>
            <w:r w:rsidRPr="00BC61ED">
              <w:rPr>
                <w:rFonts w:cs="Sylfaen"/>
                <w:color w:val="000000"/>
                <w:lang w:val="hy-AM"/>
              </w:rPr>
              <w:t>ժամանակացույց</w:t>
            </w:r>
            <w:r w:rsidRPr="00BC61ED">
              <w:rPr>
                <w:rFonts w:cs="Arial"/>
                <w:color w:val="000000"/>
                <w:lang w:val="hy-AM"/>
              </w:rPr>
              <w:t xml:space="preserve">,  </w:t>
            </w:r>
            <w:r w:rsidRPr="00BC61ED">
              <w:rPr>
                <w:rFonts w:cs="Sylfaen"/>
                <w:color w:val="000000"/>
                <w:lang w:val="hy-AM"/>
              </w:rPr>
              <w:t>կիրականացվեն</w:t>
            </w:r>
            <w:r w:rsidRPr="00BC61ED">
              <w:rPr>
                <w:rFonts w:cs="Arial"/>
                <w:color w:val="000000"/>
                <w:lang w:val="hy-AM"/>
              </w:rPr>
              <w:t xml:space="preserve"> </w:t>
            </w:r>
            <w:r w:rsidRPr="00BC61ED">
              <w:rPr>
                <w:rFonts w:cs="Sylfaen"/>
                <w:color w:val="000000"/>
                <w:lang w:val="hy-AM"/>
              </w:rPr>
              <w:t>ԿՖԿՏՀ</w:t>
            </w:r>
            <w:r w:rsidRPr="00BC61ED">
              <w:rPr>
                <w:rFonts w:cs="Arial"/>
                <w:color w:val="000000"/>
                <w:lang w:val="hy-AM"/>
              </w:rPr>
              <w:t>-</w:t>
            </w:r>
            <w:r w:rsidRPr="00BC61ED">
              <w:rPr>
                <w:rFonts w:cs="Sylfaen"/>
                <w:color w:val="000000"/>
                <w:lang w:val="hy-AM"/>
              </w:rPr>
              <w:t>ի</w:t>
            </w:r>
            <w:r w:rsidRPr="00BC61ED">
              <w:rPr>
                <w:rFonts w:cs="Arial"/>
                <w:color w:val="000000"/>
                <w:lang w:val="hy-AM"/>
              </w:rPr>
              <w:t xml:space="preserve"> </w:t>
            </w:r>
            <w:r w:rsidRPr="00BC61ED">
              <w:rPr>
                <w:rFonts w:cs="Sylfaen"/>
                <w:color w:val="000000"/>
                <w:lang w:val="hy-AM"/>
              </w:rPr>
              <w:t>օգտվողների</w:t>
            </w:r>
            <w:r w:rsidRPr="00BC61ED">
              <w:rPr>
                <w:rFonts w:cs="Arial"/>
                <w:color w:val="000000"/>
                <w:lang w:val="hy-AM"/>
              </w:rPr>
              <w:t xml:space="preserve"> </w:t>
            </w:r>
            <w:r w:rsidRPr="00BC61ED">
              <w:rPr>
                <w:rFonts w:cs="Sylfaen"/>
                <w:color w:val="000000"/>
                <w:lang w:val="hy-AM"/>
              </w:rPr>
              <w:t>ուսուցում:</w:t>
            </w:r>
          </w:p>
          <w:p w:rsidR="0068680D" w:rsidRPr="00BC61ED" w:rsidRDefault="0068680D" w:rsidP="0068680D">
            <w:pPr>
              <w:pStyle w:val="ListParagraph"/>
              <w:numPr>
                <w:ilvl w:val="0"/>
                <w:numId w:val="145"/>
              </w:numPr>
              <w:tabs>
                <w:tab w:val="left" w:pos="990"/>
              </w:tabs>
              <w:spacing w:line="276" w:lineRule="auto"/>
              <w:ind w:left="0" w:firstLine="720"/>
              <w:rPr>
                <w:rFonts w:eastAsia="Times New Roman"/>
                <w:b/>
                <w:lang w:val="hy-AM"/>
              </w:rPr>
            </w:pPr>
            <w:r w:rsidRPr="00BC61ED">
              <w:rPr>
                <w:rFonts w:eastAsia="Times New Roman"/>
                <w:b/>
                <w:lang w:val="hy-AM"/>
              </w:rPr>
              <w:t xml:space="preserve"> Միջոցառման իրականացումից ակնկալվող արդյունքը</w:t>
            </w:r>
          </w:p>
          <w:p w:rsidR="0068680D" w:rsidRPr="00BC61ED" w:rsidRDefault="0068680D" w:rsidP="00F47DC4">
            <w:pPr>
              <w:tabs>
                <w:tab w:val="left" w:pos="900"/>
              </w:tabs>
              <w:spacing w:line="276" w:lineRule="auto"/>
              <w:ind w:firstLine="720"/>
              <w:jc w:val="both"/>
              <w:rPr>
                <w:lang w:val="hy-AM"/>
              </w:rPr>
            </w:pPr>
            <w:r w:rsidRPr="00BC61ED">
              <w:rPr>
                <w:rFonts w:eastAsia="Arial Unicode MS" w:cs="Arial Unicode MS"/>
                <w:lang w:val="hy-AM"/>
              </w:rPr>
              <w:t>ԿՖԿՏՀ-ն հնարավորություն կընձեռի պետական հատվածի բոլոր մակարդակներում բարելավել ֆինանսական պլանավորման և կառավարման գործընթացները՝ տեղեկատվության և</w:t>
            </w:r>
            <w:r w:rsidRPr="00BC61ED">
              <w:rPr>
                <w:lang w:val="hy-AM"/>
              </w:rPr>
              <w:t xml:space="preserve"> հաշվետվությունների ժամանակին գրանցման և ներկայացման միջոցով: </w:t>
            </w:r>
          </w:p>
          <w:p w:rsidR="0068680D" w:rsidRPr="00BC61ED" w:rsidRDefault="0068680D" w:rsidP="00F47DC4">
            <w:pPr>
              <w:tabs>
                <w:tab w:val="left" w:pos="900"/>
              </w:tabs>
              <w:spacing w:line="276" w:lineRule="auto"/>
              <w:ind w:firstLine="720"/>
              <w:jc w:val="both"/>
              <w:rPr>
                <w:lang w:val="hy-AM"/>
              </w:rPr>
            </w:pPr>
            <w:r w:rsidRPr="00BC61ED">
              <w:rPr>
                <w:lang w:val="hy-AM"/>
              </w:rPr>
              <w:t>Համակարգի ներդրման արդյունքում հնարավորություն կընձեռվի պետական կառավարման բոլոր մակարդակներում լիովին ավտոմատացնել և ինտեգրել պետական ֆինանսների կառավարման (այսուհետ՝ ՊՖԿ) գործընթացները, մասնավորապես.</w:t>
            </w:r>
          </w:p>
          <w:p w:rsidR="0068680D" w:rsidRPr="00BC61ED" w:rsidRDefault="0068680D" w:rsidP="0068680D">
            <w:pPr>
              <w:pStyle w:val="ListParagraph"/>
              <w:numPr>
                <w:ilvl w:val="0"/>
                <w:numId w:val="149"/>
              </w:numPr>
              <w:tabs>
                <w:tab w:val="left" w:pos="1080"/>
              </w:tabs>
              <w:spacing w:line="276" w:lineRule="auto"/>
              <w:ind w:left="467" w:hanging="425"/>
              <w:jc w:val="both"/>
              <w:rPr>
                <w:lang w:val="hy-AM"/>
              </w:rPr>
            </w:pPr>
            <w:r w:rsidRPr="00BC61ED">
              <w:rPr>
                <w:lang w:val="hy-AM"/>
              </w:rPr>
              <w:t xml:space="preserve">բարձրացնել պետական միջոցների օգտագործման արդյունավետությունը, </w:t>
            </w:r>
          </w:p>
          <w:p w:rsidR="0068680D" w:rsidRPr="00BC61ED" w:rsidRDefault="0068680D" w:rsidP="0068680D">
            <w:pPr>
              <w:pStyle w:val="ListParagraph"/>
              <w:numPr>
                <w:ilvl w:val="0"/>
                <w:numId w:val="149"/>
              </w:numPr>
              <w:tabs>
                <w:tab w:val="left" w:pos="900"/>
                <w:tab w:val="left" w:pos="1080"/>
              </w:tabs>
              <w:spacing w:line="276" w:lineRule="auto"/>
              <w:ind w:left="467" w:hanging="425"/>
              <w:jc w:val="both"/>
              <w:rPr>
                <w:lang w:val="hy-AM"/>
              </w:rPr>
            </w:pPr>
            <w:r w:rsidRPr="00BC61ED">
              <w:rPr>
                <w:rFonts w:cs="Sylfaen"/>
                <w:lang w:val="hy-AM"/>
              </w:rPr>
              <w:t>բարելավ</w:t>
            </w:r>
            <w:r w:rsidRPr="00BC61ED">
              <w:rPr>
                <w:lang w:val="hy-AM"/>
              </w:rPr>
              <w:t xml:space="preserve">ել բյուջետային գործընթացները՝ ծրագրերի վրա հիմնված պետական բյուջեի կազմման միջոցով, </w:t>
            </w:r>
          </w:p>
          <w:p w:rsidR="0068680D" w:rsidRPr="00BC61ED" w:rsidRDefault="0068680D" w:rsidP="0068680D">
            <w:pPr>
              <w:pStyle w:val="ListParagraph"/>
              <w:numPr>
                <w:ilvl w:val="0"/>
                <w:numId w:val="149"/>
              </w:numPr>
              <w:tabs>
                <w:tab w:val="left" w:pos="900"/>
                <w:tab w:val="left" w:pos="1080"/>
              </w:tabs>
              <w:spacing w:line="276" w:lineRule="auto"/>
              <w:ind w:left="467" w:hanging="425"/>
              <w:jc w:val="both"/>
            </w:pPr>
            <w:r w:rsidRPr="00BC61ED">
              <w:t xml:space="preserve">ամրապնդել ներքին հսկողությունը, </w:t>
            </w:r>
          </w:p>
          <w:p w:rsidR="0068680D" w:rsidRPr="00BC61ED" w:rsidRDefault="0068680D" w:rsidP="0068680D">
            <w:pPr>
              <w:pStyle w:val="ListParagraph"/>
              <w:numPr>
                <w:ilvl w:val="0"/>
                <w:numId w:val="149"/>
              </w:numPr>
              <w:tabs>
                <w:tab w:val="left" w:pos="900"/>
                <w:tab w:val="left" w:pos="1080"/>
              </w:tabs>
              <w:spacing w:line="276" w:lineRule="auto"/>
              <w:ind w:left="467" w:hanging="425"/>
              <w:jc w:val="both"/>
            </w:pPr>
            <w:r w:rsidRPr="00BC61ED">
              <w:t xml:space="preserve">բարձրացնել ֆինանսական հաշվետվությունների որակը՝ մասնավորապես կառավարության ակտիվների և պարտավորությունների մասով, </w:t>
            </w:r>
          </w:p>
          <w:p w:rsidR="0068680D" w:rsidRPr="00BC61ED" w:rsidRDefault="0068680D" w:rsidP="0068680D">
            <w:pPr>
              <w:pStyle w:val="ListParagraph"/>
              <w:numPr>
                <w:ilvl w:val="0"/>
                <w:numId w:val="149"/>
              </w:numPr>
              <w:tabs>
                <w:tab w:val="left" w:pos="900"/>
                <w:tab w:val="left" w:pos="1080"/>
              </w:tabs>
              <w:spacing w:line="276" w:lineRule="auto"/>
              <w:ind w:left="467" w:hanging="425"/>
              <w:jc w:val="both"/>
            </w:pPr>
            <w:r w:rsidRPr="00BC61ED">
              <w:t>բարելավել վճարումների ու գնումների գործընթացները և այլն:</w:t>
            </w:r>
          </w:p>
        </w:tc>
      </w:tr>
      <w:tr w:rsidR="0068680D" w:rsidRPr="00DE2EFA" w:rsidTr="00F47DC4">
        <w:tc>
          <w:tcPr>
            <w:tcW w:w="480" w:type="dxa"/>
          </w:tcPr>
          <w:p w:rsidR="0068680D" w:rsidRPr="00BC61ED" w:rsidRDefault="0068680D" w:rsidP="00F47DC4">
            <w:pPr>
              <w:spacing w:line="276" w:lineRule="auto"/>
              <w:rPr>
                <w:rFonts w:eastAsia="Times New Roman"/>
                <w:lang w:val="hy-AM"/>
              </w:rPr>
            </w:pPr>
            <w:r w:rsidRPr="00BC61ED">
              <w:rPr>
                <w:rFonts w:eastAsia="Times New Roman"/>
                <w:lang w:val="hy-AM"/>
              </w:rPr>
              <w:t>3.</w:t>
            </w:r>
          </w:p>
        </w:tc>
        <w:tc>
          <w:tcPr>
            <w:tcW w:w="10860" w:type="dxa"/>
          </w:tcPr>
          <w:p w:rsidR="0068680D" w:rsidRPr="00BC61ED" w:rsidRDefault="0068680D" w:rsidP="00F47DC4">
            <w:pPr>
              <w:spacing w:line="276" w:lineRule="auto"/>
              <w:ind w:firstLine="810"/>
              <w:jc w:val="center"/>
              <w:rPr>
                <w:rFonts w:eastAsia="Times New Roman"/>
                <w:b/>
                <w:lang w:val="hy-AM"/>
              </w:rPr>
            </w:pPr>
            <w:r w:rsidRPr="00BC61ED">
              <w:rPr>
                <w:rFonts w:eastAsia="Times New Roman"/>
                <w:b/>
                <w:lang w:val="hy-AM"/>
              </w:rPr>
              <w:t>Բյուջետային ծրագրերի ծախսերը կազմելու հաշվարկման գործընթացի ավտոմատացում, ծախսակազման գործընթացի արդյունավետվության ապահովում</w:t>
            </w:r>
          </w:p>
          <w:p w:rsidR="0068680D" w:rsidRPr="00BC61ED" w:rsidRDefault="0068680D" w:rsidP="00F47DC4">
            <w:pPr>
              <w:spacing w:line="276" w:lineRule="auto"/>
              <w:ind w:firstLine="810"/>
              <w:jc w:val="center"/>
              <w:rPr>
                <w:rFonts w:eastAsia="Times New Roman"/>
                <w:b/>
                <w:lang w:val="hy-AM"/>
              </w:rPr>
            </w:pPr>
          </w:p>
          <w:p w:rsidR="0068680D" w:rsidRPr="00BC61ED" w:rsidRDefault="0068680D" w:rsidP="0068680D">
            <w:pPr>
              <w:pStyle w:val="ListParagraph"/>
              <w:numPr>
                <w:ilvl w:val="1"/>
                <w:numId w:val="151"/>
              </w:numPr>
              <w:spacing w:line="276" w:lineRule="auto"/>
              <w:jc w:val="both"/>
              <w:rPr>
                <w:rFonts w:eastAsia="Times New Roman"/>
                <w:b/>
                <w:lang w:val="hy-AM"/>
              </w:rPr>
            </w:pPr>
            <w:r w:rsidRPr="00BC61ED">
              <w:rPr>
                <w:rFonts w:cs="Arial"/>
                <w:b/>
                <w:lang w:val="hy-AM"/>
              </w:rPr>
              <w:t>Բ</w:t>
            </w:r>
            <w:r w:rsidRPr="00BC61ED">
              <w:rPr>
                <w:b/>
                <w:spacing w:val="-4"/>
                <w:lang w:val="hy-AM"/>
              </w:rPr>
              <w:t>յուջետային ծրագրերի ծախսակազման  ավտոմատացված  համակարգի փուլային ներդրում</w:t>
            </w:r>
          </w:p>
          <w:p w:rsidR="0068680D" w:rsidRPr="00BC61ED" w:rsidRDefault="0068680D" w:rsidP="0068680D">
            <w:pPr>
              <w:pStyle w:val="ListParagraph"/>
              <w:numPr>
                <w:ilvl w:val="0"/>
                <w:numId w:val="150"/>
              </w:numPr>
              <w:tabs>
                <w:tab w:val="left" w:pos="1080"/>
              </w:tabs>
              <w:spacing w:line="276" w:lineRule="auto"/>
              <w:ind w:left="0" w:firstLine="720"/>
              <w:jc w:val="both"/>
              <w:rPr>
                <w:rFonts w:eastAsia="Times New Roman"/>
                <w:b/>
                <w:lang w:val="hy-AM"/>
              </w:rPr>
            </w:pPr>
            <w:r w:rsidRPr="00BC61ED">
              <w:rPr>
                <w:rFonts w:eastAsia="Times New Roman"/>
                <w:b/>
                <w:lang w:val="hy-AM"/>
              </w:rPr>
              <w:t>Միջոցառման իրակացման անհրաժեշտությունը և նպատակը</w:t>
            </w:r>
          </w:p>
          <w:p w:rsidR="0068680D" w:rsidRPr="00BC61ED" w:rsidRDefault="0068680D" w:rsidP="00F47DC4">
            <w:pPr>
              <w:tabs>
                <w:tab w:val="left" w:pos="900"/>
              </w:tabs>
              <w:spacing w:line="276" w:lineRule="auto"/>
              <w:ind w:firstLine="720"/>
              <w:jc w:val="both"/>
              <w:rPr>
                <w:lang w:val="hy-AM"/>
              </w:rPr>
            </w:pPr>
            <w:r w:rsidRPr="00BC61ED">
              <w:rPr>
                <w:lang w:val="hy-AM"/>
              </w:rPr>
              <w:t xml:space="preserve">Բյուջետային ծրագրերի ծախսակազման  ավտոմատացված  համակարգի ներդրումը պայմանավորված է պետական բյուջեների ծախսերի կազմման և բյուջետավորման օպտիմալացման նպատակով պետական ծախսերը </w:t>
            </w:r>
            <w:r w:rsidRPr="00BC61ED">
              <w:rPr>
                <w:rFonts w:cs="Sylfaen"/>
                <w:lang w:val="hy-AM"/>
              </w:rPr>
              <w:t>բյուջետավորելու</w:t>
            </w:r>
            <w:r w:rsidRPr="00BC61ED">
              <w:rPr>
                <w:lang w:val="hy-AM"/>
              </w:rPr>
              <w:t xml:space="preserve"> (</w:t>
            </w:r>
            <w:r w:rsidRPr="00BC61ED">
              <w:rPr>
                <w:rFonts w:cs="Sylfaen"/>
                <w:lang w:val="hy-AM"/>
              </w:rPr>
              <w:t>համախմբելու</w:t>
            </w:r>
            <w:r w:rsidRPr="00BC61ED">
              <w:rPr>
                <w:lang w:val="hy-AM"/>
              </w:rPr>
              <w:t xml:space="preserve">) </w:t>
            </w:r>
            <w:r w:rsidRPr="00BC61ED">
              <w:rPr>
                <w:rFonts w:cs="Sylfaen"/>
                <w:lang w:val="hy-AM"/>
              </w:rPr>
              <w:t>գործընթացների</w:t>
            </w:r>
            <w:r w:rsidRPr="00BC61ED">
              <w:rPr>
                <w:lang w:val="hy-AM"/>
              </w:rPr>
              <w:t xml:space="preserve"> ավտոմատացման և վերջինս պետական կառավարման համակարգում գործող այլ ավտոմատացված համակարգերի հետ ինտեգրելու՝ տեղեկատվության փոխանակման հնարավորություն ստեղծելու անհրաժեշտությամբ։ Այն բխում է նաև </w:t>
            </w:r>
            <w:r w:rsidRPr="00DD1660">
              <w:rPr>
                <w:lang w:val="af-ZA"/>
              </w:rPr>
              <w:t xml:space="preserve">ՀՀ Ազգային ժողովի 14.02.2019թ. N ԱԺՈ-002-Ն որոշմամբ հավանության արժանացած </w:t>
            </w:r>
            <w:r w:rsidRPr="00DD1660">
              <w:rPr>
                <w:lang w:val="hy-AM"/>
              </w:rPr>
              <w:t>ՀՀ</w:t>
            </w:r>
            <w:r w:rsidRPr="00DD1660">
              <w:rPr>
                <w:lang w:val="af-ZA"/>
              </w:rPr>
              <w:t xml:space="preserve"> կառավարության ծրագրի</w:t>
            </w:r>
            <w:r w:rsidRPr="00BC61ED">
              <w:rPr>
                <w:lang w:val="hy-AM"/>
              </w:rPr>
              <w:t xml:space="preserve"> «8. Պետական ֆինանսների կառավարումը» բաժնից։</w:t>
            </w:r>
          </w:p>
          <w:p w:rsidR="0068680D" w:rsidRPr="00BC61ED" w:rsidRDefault="0068680D" w:rsidP="00F47DC4">
            <w:pPr>
              <w:spacing w:line="276" w:lineRule="auto"/>
              <w:ind w:firstLine="720"/>
              <w:jc w:val="both"/>
              <w:rPr>
                <w:rFonts w:eastAsia="Times New Roman"/>
                <w:b/>
                <w:lang w:val="hy-AM"/>
              </w:rPr>
            </w:pPr>
            <w:r w:rsidRPr="00BC61ED">
              <w:rPr>
                <w:rFonts w:eastAsia="Times New Roman"/>
                <w:b/>
                <w:lang w:val="hy-AM"/>
              </w:rPr>
              <w:t>1.1 Կարգավորման հարաբերությունների ներկա վիճակը և առկա խնդիրները</w:t>
            </w:r>
          </w:p>
          <w:p w:rsidR="0068680D" w:rsidRPr="00BC61ED" w:rsidRDefault="0068680D" w:rsidP="00F47DC4">
            <w:pPr>
              <w:spacing w:line="276" w:lineRule="auto"/>
              <w:ind w:firstLine="720"/>
              <w:jc w:val="both"/>
              <w:rPr>
                <w:lang w:val="hy-AM"/>
              </w:rPr>
            </w:pPr>
            <w:r w:rsidRPr="00BC61ED">
              <w:rPr>
                <w:rFonts w:cs="Sylfaen"/>
                <w:lang w:val="hy-AM"/>
              </w:rPr>
              <w:t>Բյուջետային</w:t>
            </w:r>
            <w:r w:rsidRPr="00BC61ED">
              <w:rPr>
                <w:lang w:val="hy-AM"/>
              </w:rPr>
              <w:t xml:space="preserve"> </w:t>
            </w:r>
            <w:r w:rsidRPr="00BC61ED">
              <w:rPr>
                <w:rFonts w:cs="Sylfaen"/>
                <w:lang w:val="hy-AM"/>
              </w:rPr>
              <w:t>գործընթացի</w:t>
            </w:r>
            <w:r w:rsidRPr="00BC61ED">
              <w:rPr>
                <w:lang w:val="hy-AM"/>
              </w:rPr>
              <w:t xml:space="preserve"> </w:t>
            </w:r>
            <w:r w:rsidRPr="00BC61ED">
              <w:rPr>
                <w:rFonts w:cs="Sylfaen"/>
                <w:lang w:val="hy-AM"/>
              </w:rPr>
              <w:t>շրջանակներում</w:t>
            </w:r>
            <w:r w:rsidRPr="00BC61ED">
              <w:rPr>
                <w:lang w:val="hy-AM"/>
              </w:rPr>
              <w:t xml:space="preserve"> </w:t>
            </w:r>
            <w:r w:rsidRPr="00BC61ED">
              <w:rPr>
                <w:rFonts w:cs="Sylfaen"/>
                <w:lang w:val="hy-AM"/>
              </w:rPr>
              <w:t>ՀՀ</w:t>
            </w:r>
            <w:r w:rsidRPr="00BC61ED">
              <w:rPr>
                <w:lang w:val="hy-AM"/>
              </w:rPr>
              <w:t xml:space="preserve"> </w:t>
            </w:r>
            <w:r w:rsidRPr="00BC61ED">
              <w:rPr>
                <w:rFonts w:cs="Sylfaen"/>
                <w:lang w:val="hy-AM"/>
              </w:rPr>
              <w:t>պետական</w:t>
            </w:r>
            <w:r w:rsidRPr="00BC61ED">
              <w:rPr>
                <w:lang w:val="hy-AM"/>
              </w:rPr>
              <w:t xml:space="preserve"> </w:t>
            </w:r>
            <w:r w:rsidRPr="00BC61ED">
              <w:rPr>
                <w:rFonts w:cs="Sylfaen"/>
                <w:lang w:val="hy-AM"/>
              </w:rPr>
              <w:t>բյուջեում</w:t>
            </w:r>
            <w:r w:rsidRPr="00BC61ED">
              <w:rPr>
                <w:lang w:val="hy-AM"/>
              </w:rPr>
              <w:t xml:space="preserve"> </w:t>
            </w:r>
            <w:r w:rsidRPr="00BC61ED">
              <w:rPr>
                <w:rFonts w:cs="Sylfaen"/>
                <w:lang w:val="hy-AM"/>
              </w:rPr>
              <w:t>արտացոլվող</w:t>
            </w:r>
            <w:r w:rsidRPr="00BC61ED">
              <w:rPr>
                <w:lang w:val="hy-AM"/>
              </w:rPr>
              <w:t xml:space="preserve"> </w:t>
            </w:r>
            <w:r w:rsidRPr="00BC61ED">
              <w:rPr>
                <w:rFonts w:cs="Sylfaen"/>
                <w:lang w:val="hy-AM"/>
              </w:rPr>
              <w:t>պետական</w:t>
            </w:r>
            <w:r w:rsidRPr="00BC61ED">
              <w:rPr>
                <w:lang w:val="hy-AM"/>
              </w:rPr>
              <w:t xml:space="preserve"> </w:t>
            </w:r>
            <w:r w:rsidRPr="00BC61ED">
              <w:rPr>
                <w:rFonts w:cs="Sylfaen"/>
                <w:lang w:val="hy-AM"/>
              </w:rPr>
              <w:t>իշխանության</w:t>
            </w:r>
            <w:r w:rsidRPr="00BC61ED">
              <w:rPr>
                <w:lang w:val="hy-AM"/>
              </w:rPr>
              <w:t xml:space="preserve"> </w:t>
            </w:r>
            <w:r w:rsidRPr="00BC61ED">
              <w:rPr>
                <w:rFonts w:cs="Sylfaen"/>
                <w:lang w:val="hy-AM"/>
              </w:rPr>
              <w:t>մարմինների</w:t>
            </w:r>
            <w:r w:rsidRPr="00BC61ED">
              <w:rPr>
                <w:lang w:val="hy-AM"/>
              </w:rPr>
              <w:t xml:space="preserve"> </w:t>
            </w:r>
            <w:r w:rsidRPr="00BC61ED">
              <w:rPr>
                <w:rFonts w:cs="Sylfaen"/>
                <w:lang w:val="hy-AM"/>
              </w:rPr>
              <w:t>պահպանման</w:t>
            </w:r>
            <w:r w:rsidRPr="00BC61ED">
              <w:rPr>
                <w:lang w:val="hy-AM"/>
              </w:rPr>
              <w:t xml:space="preserve"> </w:t>
            </w:r>
            <w:r w:rsidRPr="00BC61ED">
              <w:rPr>
                <w:rFonts w:cs="Sylfaen"/>
                <w:lang w:val="hy-AM"/>
              </w:rPr>
              <w:t>ծախսերի</w:t>
            </w:r>
            <w:r w:rsidRPr="00BC61ED">
              <w:rPr>
                <w:lang w:val="hy-AM"/>
              </w:rPr>
              <w:t xml:space="preserve"> </w:t>
            </w:r>
            <w:r w:rsidRPr="00BC61ED">
              <w:rPr>
                <w:rFonts w:cs="Sylfaen"/>
                <w:lang w:val="hy-AM"/>
              </w:rPr>
              <w:t>հաշվարկման</w:t>
            </w:r>
            <w:r w:rsidRPr="00BC61ED">
              <w:rPr>
                <w:lang w:val="hy-AM"/>
              </w:rPr>
              <w:t xml:space="preserve"> </w:t>
            </w:r>
            <w:r w:rsidRPr="00BC61ED">
              <w:rPr>
                <w:rFonts w:cs="Sylfaen"/>
                <w:lang w:val="hy-AM"/>
              </w:rPr>
              <w:t>և</w:t>
            </w:r>
            <w:r w:rsidRPr="00BC61ED">
              <w:rPr>
                <w:lang w:val="hy-AM"/>
              </w:rPr>
              <w:t xml:space="preserve"> </w:t>
            </w:r>
            <w:r w:rsidRPr="00BC61ED">
              <w:rPr>
                <w:rFonts w:cs="Sylfaen"/>
                <w:lang w:val="hy-AM"/>
              </w:rPr>
              <w:t>ֆինանսական</w:t>
            </w:r>
            <w:r w:rsidRPr="00BC61ED">
              <w:rPr>
                <w:lang w:val="hy-AM"/>
              </w:rPr>
              <w:t xml:space="preserve"> </w:t>
            </w:r>
            <w:r w:rsidRPr="00BC61ED">
              <w:rPr>
                <w:rFonts w:cs="Sylfaen"/>
                <w:lang w:val="hy-AM"/>
              </w:rPr>
              <w:t>ծրագրավորման</w:t>
            </w:r>
            <w:r w:rsidRPr="00BC61ED">
              <w:rPr>
                <w:lang w:val="hy-AM"/>
              </w:rPr>
              <w:t xml:space="preserve"> </w:t>
            </w:r>
            <w:r w:rsidRPr="00BC61ED">
              <w:rPr>
                <w:rFonts w:cs="Sylfaen"/>
                <w:lang w:val="hy-AM"/>
              </w:rPr>
              <w:t>աշխատանքներն</w:t>
            </w:r>
            <w:r w:rsidRPr="00BC61ED">
              <w:rPr>
                <w:lang w:val="hy-AM"/>
              </w:rPr>
              <w:t xml:space="preserve"> </w:t>
            </w:r>
            <w:r w:rsidRPr="00BC61ED">
              <w:rPr>
                <w:rFonts w:cs="Sylfaen"/>
                <w:lang w:val="hy-AM"/>
              </w:rPr>
              <w:t>իրականացվում</w:t>
            </w:r>
            <w:r w:rsidRPr="00BC61ED">
              <w:rPr>
                <w:lang w:val="hy-AM"/>
              </w:rPr>
              <w:t xml:space="preserve"> </w:t>
            </w:r>
            <w:r w:rsidRPr="00BC61ED">
              <w:rPr>
                <w:rFonts w:cs="Sylfaen"/>
                <w:lang w:val="hy-AM"/>
              </w:rPr>
              <w:t>են</w:t>
            </w:r>
            <w:r w:rsidRPr="00BC61ED">
              <w:rPr>
                <w:lang w:val="hy-AM"/>
              </w:rPr>
              <w:t xml:space="preserve"> </w:t>
            </w:r>
            <w:r w:rsidRPr="00BC61ED">
              <w:rPr>
                <w:rFonts w:cs="Sylfaen"/>
                <w:lang w:val="hy-AM"/>
              </w:rPr>
              <w:t>համապատասխան</w:t>
            </w:r>
            <w:r w:rsidRPr="00BC61ED">
              <w:rPr>
                <w:lang w:val="hy-AM"/>
              </w:rPr>
              <w:t xml:space="preserve"> </w:t>
            </w:r>
            <w:r w:rsidRPr="00BC61ED">
              <w:rPr>
                <w:rFonts w:cs="Sylfaen"/>
                <w:lang w:val="hy-AM"/>
              </w:rPr>
              <w:t>պետական մարմինների</w:t>
            </w:r>
            <w:r w:rsidRPr="00BC61ED">
              <w:rPr>
                <w:lang w:val="hy-AM"/>
              </w:rPr>
              <w:t xml:space="preserve"> </w:t>
            </w:r>
            <w:r w:rsidRPr="00BC61ED">
              <w:rPr>
                <w:rFonts w:cs="Sylfaen"/>
                <w:lang w:val="hy-AM"/>
              </w:rPr>
              <w:t>աշխատակիցների</w:t>
            </w:r>
            <w:r w:rsidRPr="00BC61ED">
              <w:rPr>
                <w:lang w:val="hy-AM"/>
              </w:rPr>
              <w:t xml:space="preserve"> </w:t>
            </w:r>
            <w:r w:rsidRPr="00BC61ED">
              <w:rPr>
                <w:rFonts w:cs="Sylfaen"/>
                <w:lang w:val="hy-AM"/>
              </w:rPr>
              <w:t>անհատական</w:t>
            </w:r>
            <w:r w:rsidRPr="00BC61ED">
              <w:rPr>
                <w:lang w:val="hy-AM"/>
              </w:rPr>
              <w:t xml:space="preserve"> </w:t>
            </w:r>
            <w:r w:rsidRPr="00BC61ED">
              <w:rPr>
                <w:rFonts w:cs="Sylfaen"/>
                <w:lang w:val="hy-AM"/>
              </w:rPr>
              <w:t>հաշվարկների</w:t>
            </w:r>
            <w:r w:rsidRPr="00BC61ED">
              <w:rPr>
                <w:lang w:val="hy-AM"/>
              </w:rPr>
              <w:t xml:space="preserve"> </w:t>
            </w:r>
            <w:r w:rsidRPr="00BC61ED">
              <w:rPr>
                <w:rFonts w:cs="Sylfaen"/>
                <w:lang w:val="hy-AM"/>
              </w:rPr>
              <w:t>հիման</w:t>
            </w:r>
            <w:r w:rsidRPr="00BC61ED">
              <w:rPr>
                <w:lang w:val="hy-AM"/>
              </w:rPr>
              <w:t xml:space="preserve"> </w:t>
            </w:r>
            <w:r w:rsidRPr="00BC61ED">
              <w:rPr>
                <w:rFonts w:cs="Sylfaen"/>
                <w:lang w:val="hy-AM"/>
              </w:rPr>
              <w:t>վրա</w:t>
            </w:r>
            <w:r w:rsidRPr="00BC61ED">
              <w:rPr>
                <w:lang w:val="hy-AM"/>
              </w:rPr>
              <w:t xml:space="preserve">, </w:t>
            </w:r>
            <w:r w:rsidRPr="00BC61ED">
              <w:rPr>
                <w:rFonts w:cs="Sylfaen"/>
                <w:lang w:val="hy-AM"/>
              </w:rPr>
              <w:t>որոնք</w:t>
            </w:r>
            <w:r w:rsidRPr="00BC61ED">
              <w:rPr>
                <w:lang w:val="hy-AM"/>
              </w:rPr>
              <w:t xml:space="preserve"> </w:t>
            </w:r>
            <w:r w:rsidRPr="00BC61ED">
              <w:rPr>
                <w:rFonts w:cs="Sylfaen"/>
                <w:lang w:val="hy-AM"/>
              </w:rPr>
              <w:t>կատարվում</w:t>
            </w:r>
            <w:r w:rsidRPr="00BC61ED">
              <w:rPr>
                <w:lang w:val="hy-AM"/>
              </w:rPr>
              <w:t xml:space="preserve"> </w:t>
            </w:r>
            <w:r w:rsidRPr="00BC61ED">
              <w:rPr>
                <w:rFonts w:cs="Sylfaen"/>
                <w:lang w:val="hy-AM"/>
              </w:rPr>
              <w:t>են՝</w:t>
            </w:r>
            <w:r w:rsidRPr="00BC61ED">
              <w:rPr>
                <w:lang w:val="hy-AM"/>
              </w:rPr>
              <w:t xml:space="preserve"> </w:t>
            </w:r>
            <w:r w:rsidRPr="00BC61ED">
              <w:rPr>
                <w:rFonts w:cs="Sylfaen"/>
                <w:lang w:val="hy-AM"/>
              </w:rPr>
              <w:t>հիմք</w:t>
            </w:r>
            <w:r w:rsidRPr="00BC61ED">
              <w:rPr>
                <w:lang w:val="hy-AM"/>
              </w:rPr>
              <w:t xml:space="preserve"> </w:t>
            </w:r>
            <w:r w:rsidRPr="00BC61ED">
              <w:rPr>
                <w:rFonts w:cs="Sylfaen"/>
                <w:lang w:val="hy-AM"/>
              </w:rPr>
              <w:t>ընդունելով</w:t>
            </w:r>
            <w:r w:rsidRPr="00BC61ED">
              <w:rPr>
                <w:lang w:val="hy-AM"/>
              </w:rPr>
              <w:t xml:space="preserve"> </w:t>
            </w:r>
            <w:r w:rsidRPr="00BC61ED">
              <w:rPr>
                <w:rFonts w:cs="Sylfaen"/>
                <w:lang w:val="hy-AM"/>
              </w:rPr>
              <w:t>բազմաթիվ</w:t>
            </w:r>
            <w:r w:rsidRPr="00BC61ED">
              <w:rPr>
                <w:lang w:val="hy-AM"/>
              </w:rPr>
              <w:t xml:space="preserve"> </w:t>
            </w:r>
            <w:r w:rsidRPr="00BC61ED">
              <w:rPr>
                <w:rFonts w:cs="Sylfaen"/>
                <w:lang w:val="hy-AM"/>
              </w:rPr>
              <w:t>ելակետային</w:t>
            </w:r>
            <w:r w:rsidRPr="00BC61ED">
              <w:rPr>
                <w:lang w:val="hy-AM"/>
              </w:rPr>
              <w:t xml:space="preserve"> </w:t>
            </w:r>
            <w:r w:rsidRPr="00BC61ED">
              <w:rPr>
                <w:rFonts w:cs="Sylfaen"/>
                <w:lang w:val="hy-AM"/>
              </w:rPr>
              <w:t>տվյալներ</w:t>
            </w:r>
            <w:r w:rsidRPr="00BC61ED">
              <w:rPr>
                <w:lang w:val="hy-AM"/>
              </w:rPr>
              <w:t xml:space="preserve">, </w:t>
            </w:r>
            <w:r w:rsidRPr="00BC61ED">
              <w:rPr>
                <w:rFonts w:cs="Sylfaen"/>
                <w:lang w:val="hy-AM"/>
              </w:rPr>
              <w:t>այդ</w:t>
            </w:r>
            <w:r w:rsidRPr="00BC61ED">
              <w:rPr>
                <w:lang w:val="hy-AM"/>
              </w:rPr>
              <w:t xml:space="preserve"> </w:t>
            </w:r>
            <w:r w:rsidRPr="00BC61ED">
              <w:rPr>
                <w:rFonts w:cs="Sylfaen"/>
                <w:lang w:val="hy-AM"/>
              </w:rPr>
              <w:t>թվում՝</w:t>
            </w:r>
            <w:r w:rsidRPr="00BC61ED">
              <w:rPr>
                <w:lang w:val="hy-AM"/>
              </w:rPr>
              <w:t xml:space="preserve"> </w:t>
            </w:r>
            <w:r w:rsidRPr="00BC61ED">
              <w:rPr>
                <w:rFonts w:cs="Sylfaen"/>
                <w:lang w:val="hy-AM"/>
              </w:rPr>
              <w:t>որոշակի</w:t>
            </w:r>
            <w:r w:rsidRPr="00BC61ED">
              <w:rPr>
                <w:lang w:val="hy-AM"/>
              </w:rPr>
              <w:t xml:space="preserve"> </w:t>
            </w:r>
            <w:r w:rsidRPr="00BC61ED">
              <w:rPr>
                <w:rFonts w:cs="Sylfaen"/>
                <w:lang w:val="hy-AM"/>
              </w:rPr>
              <w:t>ծախսերի</w:t>
            </w:r>
            <w:r w:rsidRPr="00BC61ED">
              <w:rPr>
                <w:lang w:val="hy-AM"/>
              </w:rPr>
              <w:t xml:space="preserve"> </w:t>
            </w:r>
            <w:r w:rsidRPr="00BC61ED">
              <w:rPr>
                <w:rFonts w:cs="Sylfaen"/>
                <w:lang w:val="hy-AM"/>
              </w:rPr>
              <w:t>հաշվարկման</w:t>
            </w:r>
            <w:r w:rsidRPr="00BC61ED">
              <w:rPr>
                <w:lang w:val="hy-AM"/>
              </w:rPr>
              <w:t xml:space="preserve"> </w:t>
            </w:r>
            <w:r w:rsidRPr="00BC61ED">
              <w:rPr>
                <w:rFonts w:cs="Sylfaen"/>
                <w:lang w:val="hy-AM"/>
              </w:rPr>
              <w:t>համար</w:t>
            </w:r>
            <w:r w:rsidRPr="00BC61ED">
              <w:rPr>
                <w:lang w:val="hy-AM"/>
              </w:rPr>
              <w:t xml:space="preserve"> </w:t>
            </w:r>
            <w:r w:rsidRPr="00BC61ED">
              <w:rPr>
                <w:rFonts w:cs="Sylfaen"/>
                <w:lang w:val="hy-AM"/>
              </w:rPr>
              <w:t>ՀՀ</w:t>
            </w:r>
            <w:r w:rsidRPr="00BC61ED">
              <w:rPr>
                <w:lang w:val="hy-AM"/>
              </w:rPr>
              <w:t xml:space="preserve"> </w:t>
            </w:r>
            <w:r w:rsidRPr="00BC61ED">
              <w:rPr>
                <w:rFonts w:cs="Sylfaen"/>
                <w:lang w:val="hy-AM"/>
              </w:rPr>
              <w:t>կառավարության</w:t>
            </w:r>
            <w:r w:rsidRPr="00BC61ED">
              <w:rPr>
                <w:lang w:val="hy-AM"/>
              </w:rPr>
              <w:t xml:space="preserve"> </w:t>
            </w:r>
            <w:r w:rsidRPr="00BC61ED">
              <w:rPr>
                <w:rFonts w:cs="Sylfaen"/>
                <w:lang w:val="hy-AM"/>
              </w:rPr>
              <w:t>առանձին</w:t>
            </w:r>
            <w:r w:rsidRPr="00BC61ED">
              <w:rPr>
                <w:lang w:val="hy-AM"/>
              </w:rPr>
              <w:t xml:space="preserve"> </w:t>
            </w:r>
            <w:r w:rsidRPr="00BC61ED">
              <w:rPr>
                <w:rFonts w:cs="Sylfaen"/>
                <w:lang w:val="hy-AM"/>
              </w:rPr>
              <w:t>որոշումներով</w:t>
            </w:r>
            <w:r w:rsidRPr="00BC61ED">
              <w:rPr>
                <w:lang w:val="hy-AM"/>
              </w:rPr>
              <w:t xml:space="preserve"> </w:t>
            </w:r>
            <w:r w:rsidRPr="00BC61ED">
              <w:rPr>
                <w:rFonts w:cs="Sylfaen"/>
                <w:lang w:val="hy-AM"/>
              </w:rPr>
              <w:t>հաստատված</w:t>
            </w:r>
            <w:r w:rsidRPr="00BC61ED">
              <w:rPr>
                <w:lang w:val="hy-AM"/>
              </w:rPr>
              <w:t xml:space="preserve"> </w:t>
            </w:r>
            <w:r w:rsidRPr="00BC61ED">
              <w:rPr>
                <w:rFonts w:cs="Sylfaen"/>
                <w:lang w:val="hy-AM"/>
              </w:rPr>
              <w:t>նորմատիվային</w:t>
            </w:r>
            <w:r w:rsidRPr="00BC61ED">
              <w:rPr>
                <w:lang w:val="hy-AM"/>
              </w:rPr>
              <w:t xml:space="preserve"> </w:t>
            </w:r>
            <w:r w:rsidRPr="00BC61ED">
              <w:rPr>
                <w:rFonts w:cs="Sylfaen"/>
                <w:lang w:val="hy-AM"/>
              </w:rPr>
              <w:t>ցուցանիշները</w:t>
            </w:r>
            <w:r w:rsidRPr="00BC61ED">
              <w:rPr>
                <w:lang w:val="hy-AM"/>
              </w:rPr>
              <w:t xml:space="preserve">, </w:t>
            </w:r>
            <w:r w:rsidRPr="00BC61ED">
              <w:rPr>
                <w:rFonts w:cs="Sylfaen"/>
                <w:lang w:val="hy-AM"/>
              </w:rPr>
              <w:t>աշխատանքի</w:t>
            </w:r>
            <w:r w:rsidRPr="00BC61ED">
              <w:rPr>
                <w:lang w:val="hy-AM"/>
              </w:rPr>
              <w:t xml:space="preserve"> </w:t>
            </w:r>
            <w:r w:rsidRPr="00BC61ED">
              <w:rPr>
                <w:rFonts w:cs="Sylfaen"/>
                <w:lang w:val="hy-AM"/>
              </w:rPr>
              <w:t>վարձատրությանն</w:t>
            </w:r>
            <w:r w:rsidRPr="00BC61ED">
              <w:rPr>
                <w:lang w:val="hy-AM"/>
              </w:rPr>
              <w:t xml:space="preserve"> </w:t>
            </w:r>
            <w:r w:rsidRPr="00BC61ED">
              <w:rPr>
                <w:rFonts w:cs="Sylfaen"/>
                <w:lang w:val="hy-AM"/>
              </w:rPr>
              <w:t>առնչվող</w:t>
            </w:r>
            <w:r w:rsidRPr="00BC61ED">
              <w:rPr>
                <w:lang w:val="hy-AM"/>
              </w:rPr>
              <w:t xml:space="preserve"> </w:t>
            </w:r>
            <w:r w:rsidRPr="00BC61ED">
              <w:rPr>
                <w:rFonts w:cs="Sylfaen"/>
                <w:lang w:val="hy-AM"/>
              </w:rPr>
              <w:t>առանձին</w:t>
            </w:r>
            <w:r w:rsidRPr="00BC61ED">
              <w:rPr>
                <w:lang w:val="hy-AM"/>
              </w:rPr>
              <w:t xml:space="preserve"> </w:t>
            </w:r>
            <w:r w:rsidRPr="00BC61ED">
              <w:rPr>
                <w:rFonts w:cs="Sylfaen"/>
                <w:lang w:val="hy-AM"/>
              </w:rPr>
              <w:t>օրենսդրական</w:t>
            </w:r>
            <w:r w:rsidRPr="00BC61ED">
              <w:rPr>
                <w:lang w:val="hy-AM"/>
              </w:rPr>
              <w:t xml:space="preserve"> </w:t>
            </w:r>
            <w:r w:rsidRPr="00BC61ED">
              <w:rPr>
                <w:rFonts w:cs="Sylfaen"/>
                <w:lang w:val="hy-AM"/>
              </w:rPr>
              <w:t>ակտերով</w:t>
            </w:r>
            <w:r w:rsidRPr="00BC61ED">
              <w:rPr>
                <w:lang w:val="hy-AM"/>
              </w:rPr>
              <w:t xml:space="preserve"> </w:t>
            </w:r>
            <w:r w:rsidRPr="00BC61ED">
              <w:rPr>
                <w:rFonts w:cs="Sylfaen"/>
                <w:lang w:val="hy-AM"/>
              </w:rPr>
              <w:t>հաստատված</w:t>
            </w:r>
            <w:r w:rsidRPr="00BC61ED">
              <w:rPr>
                <w:lang w:val="hy-AM"/>
              </w:rPr>
              <w:t xml:space="preserve"> </w:t>
            </w:r>
            <w:r w:rsidRPr="00BC61ED">
              <w:rPr>
                <w:rFonts w:cs="Sylfaen"/>
                <w:lang w:val="hy-AM"/>
              </w:rPr>
              <w:t>կարգավորումները</w:t>
            </w:r>
            <w:r w:rsidRPr="00BC61ED">
              <w:rPr>
                <w:lang w:val="hy-AM"/>
              </w:rPr>
              <w:t xml:space="preserve"> </w:t>
            </w:r>
            <w:r w:rsidRPr="00BC61ED">
              <w:rPr>
                <w:rFonts w:cs="Sylfaen"/>
                <w:lang w:val="hy-AM"/>
              </w:rPr>
              <w:t>և</w:t>
            </w:r>
            <w:r w:rsidRPr="00BC61ED">
              <w:rPr>
                <w:lang w:val="hy-AM"/>
              </w:rPr>
              <w:t xml:space="preserve">, </w:t>
            </w:r>
            <w:r w:rsidRPr="00BC61ED">
              <w:rPr>
                <w:rFonts w:cs="Sylfaen"/>
                <w:lang w:val="hy-AM"/>
              </w:rPr>
              <w:t>վերջապես</w:t>
            </w:r>
            <w:r w:rsidRPr="00BC61ED">
              <w:rPr>
                <w:lang w:val="hy-AM"/>
              </w:rPr>
              <w:t xml:space="preserve">,  </w:t>
            </w:r>
            <w:r w:rsidRPr="00BC61ED">
              <w:rPr>
                <w:rFonts w:cs="Sylfaen"/>
                <w:lang w:val="hy-AM"/>
              </w:rPr>
              <w:t>հաշվի</w:t>
            </w:r>
            <w:r w:rsidRPr="00BC61ED">
              <w:rPr>
                <w:lang w:val="hy-AM"/>
              </w:rPr>
              <w:t xml:space="preserve"> </w:t>
            </w:r>
            <w:r w:rsidRPr="00BC61ED">
              <w:rPr>
                <w:rFonts w:cs="Sylfaen"/>
                <w:lang w:val="hy-AM"/>
              </w:rPr>
              <w:t>են</w:t>
            </w:r>
            <w:r w:rsidRPr="00BC61ED">
              <w:rPr>
                <w:lang w:val="hy-AM"/>
              </w:rPr>
              <w:t xml:space="preserve"> </w:t>
            </w:r>
            <w:r w:rsidRPr="00BC61ED">
              <w:rPr>
                <w:rFonts w:cs="Sylfaen"/>
                <w:lang w:val="hy-AM"/>
              </w:rPr>
              <w:t>առնվում</w:t>
            </w:r>
            <w:r w:rsidRPr="00BC61ED">
              <w:rPr>
                <w:lang w:val="hy-AM"/>
              </w:rPr>
              <w:t xml:space="preserve"> </w:t>
            </w:r>
            <w:r w:rsidRPr="00BC61ED">
              <w:rPr>
                <w:rFonts w:cs="Sylfaen"/>
                <w:lang w:val="hy-AM"/>
              </w:rPr>
              <w:t>յուրաքանչյուր</w:t>
            </w:r>
            <w:r w:rsidRPr="00BC61ED">
              <w:rPr>
                <w:lang w:val="hy-AM"/>
              </w:rPr>
              <w:t xml:space="preserve"> </w:t>
            </w:r>
            <w:r w:rsidRPr="00BC61ED">
              <w:rPr>
                <w:rFonts w:cs="Sylfaen"/>
                <w:lang w:val="hy-AM"/>
              </w:rPr>
              <w:t>ծախսին</w:t>
            </w:r>
            <w:r w:rsidRPr="00BC61ED">
              <w:rPr>
                <w:lang w:val="hy-AM"/>
              </w:rPr>
              <w:t xml:space="preserve"> </w:t>
            </w:r>
            <w:r w:rsidRPr="00BC61ED">
              <w:rPr>
                <w:rFonts w:cs="Sylfaen"/>
                <w:lang w:val="hy-AM"/>
              </w:rPr>
              <w:t>առնչվող</w:t>
            </w:r>
            <w:r w:rsidRPr="00BC61ED">
              <w:rPr>
                <w:lang w:val="hy-AM"/>
              </w:rPr>
              <w:t xml:space="preserve"> </w:t>
            </w:r>
            <w:r w:rsidRPr="00BC61ED">
              <w:rPr>
                <w:rFonts w:cs="Sylfaen"/>
                <w:lang w:val="hy-AM"/>
              </w:rPr>
              <w:t>այլ</w:t>
            </w:r>
            <w:r w:rsidRPr="00BC61ED">
              <w:rPr>
                <w:lang w:val="hy-AM"/>
              </w:rPr>
              <w:t xml:space="preserve"> </w:t>
            </w:r>
            <w:r w:rsidRPr="00BC61ED">
              <w:rPr>
                <w:rFonts w:cs="Sylfaen"/>
                <w:lang w:val="hy-AM"/>
              </w:rPr>
              <w:t>ցուցանիշներ</w:t>
            </w:r>
            <w:r w:rsidRPr="00BC61ED">
              <w:rPr>
                <w:lang w:val="hy-AM"/>
              </w:rPr>
              <w:t>: Սակայն բյուջեի կազման հիշյալ գործընթացներում բազմաթիվ գործառույթներ ավտոմա</w:t>
            </w:r>
            <w:r w:rsidRPr="00BC61ED">
              <w:rPr>
                <w:lang w:val="hy-AM"/>
              </w:rPr>
              <w:softHyphen/>
              <w:t>տաց</w:t>
            </w:r>
            <w:r w:rsidRPr="00BC61ED">
              <w:rPr>
                <w:lang w:val="hy-AM"/>
              </w:rPr>
              <w:softHyphen/>
              <w:t>ված չեն, որի արդյունքում բյուջետային ծրագրերի կազմման փուլում մեծանում է բյուջետային հսկողության ռեսուրսատարությունը, մեծանում է սխալների կատարման և խեղումների հավանա</w:t>
            </w:r>
            <w:r w:rsidRPr="00BC61ED">
              <w:rPr>
                <w:lang w:val="hy-AM"/>
              </w:rPr>
              <w:softHyphen/>
              <w:t>կա</w:t>
            </w:r>
            <w:r w:rsidRPr="00BC61ED">
              <w:rPr>
                <w:lang w:val="hy-AM"/>
              </w:rPr>
              <w:softHyphen/>
              <w:t>նությունը, հե</w:t>
            </w:r>
            <w:r w:rsidRPr="00BC61ED">
              <w:rPr>
                <w:lang w:val="hy-AM"/>
              </w:rPr>
              <w:softHyphen/>
              <w:t>տա</w:t>
            </w:r>
            <w:r w:rsidRPr="00BC61ED">
              <w:rPr>
                <w:lang w:val="hy-AM"/>
              </w:rPr>
              <w:softHyphen/>
              <w:t>գայում ծրագրերը հնարավորություն չեն ունենում ավտոմատ համակցել կատարողական համակարգերի հետ: Վերջինս նվազեցնում է պե</w:t>
            </w:r>
            <w:r w:rsidRPr="00BC61ED">
              <w:rPr>
                <w:lang w:val="hy-AM"/>
              </w:rPr>
              <w:softHyphen/>
              <w:t>տական ֆինանս</w:t>
            </w:r>
            <w:r w:rsidRPr="00BC61ED">
              <w:rPr>
                <w:lang w:val="hy-AM"/>
              </w:rPr>
              <w:softHyphen/>
              <w:t>նե</w:t>
            </w:r>
            <w:r w:rsidRPr="00BC61ED">
              <w:rPr>
                <w:lang w:val="hy-AM"/>
              </w:rPr>
              <w:softHyphen/>
              <w:t>րի կառավարման արդյունավետությունը: Հիշյալի շրջանակներում 2018 թվականի ընթացքում իրականացվել է՝</w:t>
            </w:r>
          </w:p>
          <w:p w:rsidR="0068680D" w:rsidRPr="00BC61ED" w:rsidRDefault="0068680D" w:rsidP="0068680D">
            <w:pPr>
              <w:pStyle w:val="ListParagraph"/>
              <w:numPr>
                <w:ilvl w:val="0"/>
                <w:numId w:val="152"/>
              </w:numPr>
              <w:tabs>
                <w:tab w:val="left" w:pos="1080"/>
              </w:tabs>
              <w:spacing w:line="276" w:lineRule="auto"/>
              <w:ind w:left="0" w:firstLine="720"/>
              <w:jc w:val="both"/>
              <w:rPr>
                <w:lang w:val="hy-AM"/>
              </w:rPr>
            </w:pPr>
            <w:r w:rsidRPr="00BC61ED">
              <w:rPr>
                <w:lang w:val="hy-AM"/>
              </w:rPr>
              <w:t>ծրագրային բյուջետավորման համակարգի ամբողջական ներդրմամբ պայմանավորված ծրագրերի կառուցվածքների, ներառյալ ծրագրերի ծախսակազմման կարգի փոփոխություն և վերջնականացում</w:t>
            </w:r>
            <w:r w:rsidRPr="00BC61ED">
              <w:rPr>
                <w:rFonts w:ascii="Cambria Math" w:hAnsi="Cambria Math" w:cs="Cambria Math"/>
                <w:lang w:val="hy-AM"/>
              </w:rPr>
              <w:t>․</w:t>
            </w:r>
          </w:p>
          <w:p w:rsidR="0068680D" w:rsidRPr="00BC61ED" w:rsidRDefault="0068680D" w:rsidP="0068680D">
            <w:pPr>
              <w:pStyle w:val="ListParagraph"/>
              <w:numPr>
                <w:ilvl w:val="0"/>
                <w:numId w:val="152"/>
              </w:numPr>
              <w:tabs>
                <w:tab w:val="left" w:pos="1080"/>
              </w:tabs>
              <w:spacing w:line="276" w:lineRule="auto"/>
              <w:ind w:left="0" w:firstLine="720"/>
              <w:jc w:val="both"/>
              <w:rPr>
                <w:lang w:val="hy-AM"/>
              </w:rPr>
            </w:pPr>
            <w:r w:rsidRPr="00BC61ED">
              <w:rPr>
                <w:lang w:val="hy-AM"/>
              </w:rPr>
              <w:t>բոլոր բյուջետային ծրագրերի (սահմանելով յուրաքանչյուր ծրագրի իրականացման համար մեկ գերատեսչության/պետական մարմնի պատասխանատվության  սկզբունք), ինչպես նաև բյուջետային հայտերի կազմման մեթոդաբանության և հայտերի ներկայացման ձևաչափերի վերանայում</w:t>
            </w:r>
            <w:r w:rsidRPr="00BC61ED">
              <w:rPr>
                <w:rFonts w:ascii="Cambria Math" w:hAnsi="Cambria Math" w:cs="Cambria Math"/>
                <w:lang w:val="hy-AM"/>
              </w:rPr>
              <w:t>․</w:t>
            </w:r>
          </w:p>
          <w:p w:rsidR="0068680D" w:rsidRPr="00BC61ED" w:rsidRDefault="0068680D" w:rsidP="0068680D">
            <w:pPr>
              <w:pStyle w:val="ListParagraph"/>
              <w:numPr>
                <w:ilvl w:val="0"/>
                <w:numId w:val="152"/>
              </w:numPr>
              <w:tabs>
                <w:tab w:val="left" w:pos="1080"/>
              </w:tabs>
              <w:spacing w:line="276" w:lineRule="auto"/>
              <w:ind w:left="0" w:firstLine="720"/>
              <w:jc w:val="both"/>
              <w:rPr>
                <w:lang w:val="hy-AM"/>
              </w:rPr>
            </w:pPr>
            <w:r w:rsidRPr="00BC61ED">
              <w:rPr>
                <w:rFonts w:cs="Arial"/>
                <w:lang w:val="hy-AM"/>
              </w:rPr>
              <w:t>մշակվել</w:t>
            </w:r>
            <w:r w:rsidRPr="00BC61ED">
              <w:rPr>
                <w:lang w:val="hy-AM"/>
              </w:rPr>
              <w:t xml:space="preserve"> է պետական ծախսերը կազմելու ավտոմատացված համակարգ, որը ներկայումս գտնվում է փորձարկման փուլում։</w:t>
            </w:r>
          </w:p>
          <w:p w:rsidR="0068680D" w:rsidRPr="00BC61ED" w:rsidRDefault="0068680D" w:rsidP="00F47DC4">
            <w:pPr>
              <w:spacing w:line="276" w:lineRule="auto"/>
              <w:ind w:firstLine="720"/>
              <w:jc w:val="both"/>
              <w:rPr>
                <w:b/>
                <w:lang w:val="hy-AM"/>
              </w:rPr>
            </w:pPr>
            <w:r w:rsidRPr="00BC61ED">
              <w:rPr>
                <w:rFonts w:cs="Sylfaen"/>
                <w:b/>
                <w:lang w:val="hy-AM"/>
              </w:rPr>
              <w:t>1.2 Առկա</w:t>
            </w:r>
            <w:r w:rsidRPr="00BC61ED">
              <w:rPr>
                <w:b/>
                <w:lang w:val="hy-AM"/>
              </w:rPr>
              <w:t xml:space="preserve"> </w:t>
            </w:r>
            <w:r w:rsidRPr="00BC61ED">
              <w:rPr>
                <w:rFonts w:cs="Sylfaen"/>
                <w:b/>
                <w:lang w:val="hy-AM"/>
              </w:rPr>
              <w:t>խնդիրների</w:t>
            </w:r>
            <w:r w:rsidRPr="00BC61ED">
              <w:rPr>
                <w:b/>
                <w:lang w:val="hy-AM"/>
              </w:rPr>
              <w:t xml:space="preserve"> </w:t>
            </w:r>
            <w:r w:rsidRPr="00BC61ED">
              <w:rPr>
                <w:rFonts w:cs="Sylfaen"/>
                <w:b/>
                <w:lang w:val="hy-AM"/>
              </w:rPr>
              <w:t>առաջարկվող</w:t>
            </w:r>
            <w:r w:rsidRPr="00BC61ED">
              <w:rPr>
                <w:b/>
                <w:lang w:val="hy-AM"/>
              </w:rPr>
              <w:t xml:space="preserve"> </w:t>
            </w:r>
            <w:r w:rsidRPr="00BC61ED">
              <w:rPr>
                <w:rFonts w:cs="Sylfaen"/>
                <w:b/>
                <w:lang w:val="hy-AM"/>
              </w:rPr>
              <w:t>լուծումները</w:t>
            </w:r>
          </w:p>
          <w:p w:rsidR="0068680D" w:rsidRPr="00BC61ED" w:rsidRDefault="0068680D" w:rsidP="00F47DC4">
            <w:pPr>
              <w:spacing w:line="276" w:lineRule="auto"/>
              <w:ind w:firstLine="360"/>
              <w:jc w:val="both"/>
              <w:rPr>
                <w:lang w:val="hy-AM"/>
              </w:rPr>
            </w:pPr>
            <w:r w:rsidRPr="00BC61ED">
              <w:rPr>
                <w:lang w:val="hy-AM"/>
              </w:rPr>
              <w:t xml:space="preserve">Բյուջետային ծրագրերի ծախսակազման  ավտոմատացված  համակարգը հնարավորություն կընձեռնի ստեղծելու ՀՀ պետական բյուջեում պետական իշխանության բոլոր մարմինների տարբեր տեսակի ծախսերի հաշվարկման միասնական մեխանիզմի կիրառման, ամփոփ հաշվետվությունների ավելի արագ դուրսբերման, ամփոփման և վերլուծության միասնական ավտոմատացված համակարգ: </w:t>
            </w:r>
          </w:p>
          <w:p w:rsidR="0068680D" w:rsidRPr="00BC61ED" w:rsidRDefault="0068680D" w:rsidP="0068680D">
            <w:pPr>
              <w:pStyle w:val="ListParagraph"/>
              <w:numPr>
                <w:ilvl w:val="0"/>
                <w:numId w:val="150"/>
              </w:numPr>
              <w:tabs>
                <w:tab w:val="left" w:pos="1095"/>
              </w:tabs>
              <w:spacing w:line="276" w:lineRule="auto"/>
              <w:ind w:left="0" w:firstLine="720"/>
              <w:jc w:val="both"/>
              <w:rPr>
                <w:rFonts w:cs="Sylfaen"/>
                <w:b/>
              </w:rPr>
            </w:pPr>
            <w:r w:rsidRPr="00BC61ED">
              <w:rPr>
                <w:rFonts w:cs="Sylfaen"/>
                <w:b/>
              </w:rPr>
              <w:t>Միջոցառման իրականացումից ակնկալվող արդյունքը</w:t>
            </w:r>
          </w:p>
          <w:p w:rsidR="0068680D" w:rsidRPr="00BC61ED" w:rsidRDefault="0068680D" w:rsidP="00F47DC4">
            <w:pPr>
              <w:pStyle w:val="ListParagraph"/>
              <w:tabs>
                <w:tab w:val="left" w:pos="1095"/>
              </w:tabs>
              <w:spacing w:line="276" w:lineRule="auto"/>
              <w:ind w:left="0" w:firstLine="720"/>
              <w:jc w:val="both"/>
              <w:rPr>
                <w:lang w:val="hy-AM"/>
              </w:rPr>
            </w:pPr>
            <w:r w:rsidRPr="00BC61ED">
              <w:rPr>
                <w:lang w:val="hy-AM"/>
              </w:rPr>
              <w:t>Բյուջետային ծրագրերի ծախսակազման  ավտոմատացված  համակարգի ներդրման արդյունքում կբարձրանա հանրային ֆինանսների կառավարման թափանցիկությունը և հաշվետվողականությունը։ Համակարգի ներդրման հետևանքով բյուջետային ծրագրերի ծախսակազման  գործընթացում կկրճատվի սխալների կատարման և խեղումների հավանա</w:t>
            </w:r>
            <w:r w:rsidRPr="00BC61ED">
              <w:rPr>
                <w:lang w:val="hy-AM"/>
              </w:rPr>
              <w:softHyphen/>
              <w:t>կա</w:t>
            </w:r>
            <w:r w:rsidRPr="00BC61ED">
              <w:rPr>
                <w:lang w:val="hy-AM"/>
              </w:rPr>
              <w:softHyphen/>
              <w:t>նությունը։</w:t>
            </w:r>
          </w:p>
        </w:tc>
      </w:tr>
      <w:tr w:rsidR="0068680D" w:rsidRPr="00BC61ED" w:rsidTr="00F47DC4">
        <w:tc>
          <w:tcPr>
            <w:tcW w:w="480" w:type="dxa"/>
          </w:tcPr>
          <w:p w:rsidR="0068680D" w:rsidRPr="00BC61ED" w:rsidRDefault="0068680D" w:rsidP="00F47DC4">
            <w:pPr>
              <w:spacing w:line="276" w:lineRule="auto"/>
              <w:rPr>
                <w:rFonts w:eastAsia="Times New Roman"/>
                <w:lang w:val="hy-AM"/>
              </w:rPr>
            </w:pPr>
            <w:r w:rsidRPr="00BC61ED">
              <w:rPr>
                <w:rFonts w:eastAsia="Times New Roman"/>
                <w:lang w:val="hy-AM"/>
              </w:rPr>
              <w:t>4.</w:t>
            </w:r>
          </w:p>
        </w:tc>
        <w:tc>
          <w:tcPr>
            <w:tcW w:w="10860" w:type="dxa"/>
          </w:tcPr>
          <w:p w:rsidR="0068680D" w:rsidRPr="00BC61ED" w:rsidRDefault="0068680D" w:rsidP="00F47DC4">
            <w:pPr>
              <w:pStyle w:val="ListParagraph"/>
              <w:tabs>
                <w:tab w:val="left" w:pos="1095"/>
              </w:tabs>
              <w:spacing w:line="276" w:lineRule="auto"/>
              <w:ind w:left="0" w:firstLine="720"/>
              <w:jc w:val="center"/>
              <w:rPr>
                <w:rFonts w:eastAsia="Times New Roman"/>
                <w:b/>
                <w:lang w:val="hy-AM"/>
              </w:rPr>
            </w:pPr>
            <w:r w:rsidRPr="00BC61ED">
              <w:rPr>
                <w:rFonts w:eastAsia="Times New Roman"/>
                <w:b/>
                <w:lang w:val="hy-AM"/>
              </w:rPr>
              <w:t>Էլեկտրոնային գնումների համակարգի նոր ծրագրային ապահովման մշակում</w:t>
            </w:r>
          </w:p>
          <w:p w:rsidR="0068680D" w:rsidRPr="00BC61ED" w:rsidRDefault="0068680D" w:rsidP="00F47DC4">
            <w:pPr>
              <w:pStyle w:val="ListParagraph"/>
              <w:tabs>
                <w:tab w:val="left" w:pos="1095"/>
              </w:tabs>
              <w:spacing w:line="276" w:lineRule="auto"/>
              <w:ind w:left="0" w:firstLine="720"/>
              <w:jc w:val="center"/>
              <w:rPr>
                <w:rFonts w:eastAsia="Times New Roman"/>
                <w:b/>
                <w:lang w:val="hy-AM"/>
              </w:rPr>
            </w:pPr>
          </w:p>
          <w:p w:rsidR="0068680D" w:rsidRPr="00BC61ED" w:rsidRDefault="0068680D" w:rsidP="0068680D">
            <w:pPr>
              <w:pStyle w:val="ListParagraph"/>
              <w:numPr>
                <w:ilvl w:val="1"/>
                <w:numId w:val="154"/>
              </w:numPr>
              <w:tabs>
                <w:tab w:val="left" w:pos="851"/>
              </w:tabs>
              <w:spacing w:line="276" w:lineRule="auto"/>
              <w:ind w:left="720" w:firstLine="0"/>
              <w:rPr>
                <w:rFonts w:eastAsia="Times New Roman"/>
                <w:b/>
                <w:lang w:val="hy-AM"/>
              </w:rPr>
            </w:pPr>
            <w:r w:rsidRPr="00BC61ED">
              <w:rPr>
                <w:rFonts w:eastAsia="Times New Roman"/>
                <w:b/>
                <w:lang w:val="hy-AM"/>
              </w:rPr>
              <w:t>Նախաձեռնել նոր ծրագրային ապահովում մշակելու գործընթաց</w:t>
            </w:r>
          </w:p>
          <w:p w:rsidR="0068680D" w:rsidRPr="00BC61ED" w:rsidRDefault="0068680D" w:rsidP="0068680D">
            <w:pPr>
              <w:pStyle w:val="ListParagraph"/>
              <w:numPr>
                <w:ilvl w:val="0"/>
                <w:numId w:val="156"/>
              </w:numPr>
              <w:spacing w:line="276" w:lineRule="auto"/>
              <w:rPr>
                <w:rFonts w:eastAsia="Times New Roman"/>
                <w:b/>
                <w:lang w:val="hy-AM"/>
              </w:rPr>
            </w:pPr>
            <w:r w:rsidRPr="00BC61ED">
              <w:rPr>
                <w:rFonts w:eastAsia="Times New Roman"/>
                <w:b/>
                <w:lang w:val="hy-AM"/>
              </w:rPr>
              <w:t>Միջոցառման իրակացման անհրաժեշտությունը և նպատակը</w:t>
            </w:r>
          </w:p>
          <w:p w:rsidR="0068680D" w:rsidRPr="00BC61ED" w:rsidRDefault="0068680D" w:rsidP="00F47DC4">
            <w:pPr>
              <w:spacing w:line="276" w:lineRule="auto"/>
              <w:ind w:firstLine="567"/>
              <w:jc w:val="both"/>
              <w:rPr>
                <w:rFonts w:eastAsia="Times New Roman"/>
                <w:lang w:val="hy-AM"/>
              </w:rPr>
            </w:pPr>
            <w:r w:rsidRPr="00BC61ED">
              <w:rPr>
                <w:rFonts w:eastAsia="Times New Roman"/>
                <w:lang w:val="hy-AM"/>
              </w:rPr>
              <w:t xml:space="preserve">Միջոցառումը բխում է </w:t>
            </w:r>
            <w:r w:rsidRPr="00DD1660">
              <w:rPr>
                <w:lang w:val="af-ZA"/>
              </w:rPr>
              <w:t xml:space="preserve">ՀՀ Ազգային ժողովի 14.02.2019թ. N ԱԺՈ-002-Ն որոշմամբ հավանության արժանացած </w:t>
            </w:r>
            <w:r w:rsidRPr="00DD1660">
              <w:rPr>
                <w:lang w:val="hy-AM"/>
              </w:rPr>
              <w:t>ՀՀ</w:t>
            </w:r>
            <w:r w:rsidRPr="00DD1660">
              <w:rPr>
                <w:lang w:val="af-ZA"/>
              </w:rPr>
              <w:t xml:space="preserve"> կառավարության ծրագրի</w:t>
            </w:r>
            <w:r w:rsidRPr="00BC61ED">
              <w:rPr>
                <w:rFonts w:eastAsia="Times New Roman"/>
                <w:lang w:val="hy-AM"/>
              </w:rPr>
              <w:t xml:space="preserve"> 8.2 կետի դրույթներից: Միջոցառման նպատակն է գնումների բնագավառում արդար և թափանցիկ էլեկտրոնային գնումների համակարգի ներդրումը:</w:t>
            </w:r>
          </w:p>
          <w:p w:rsidR="0068680D" w:rsidRPr="00BC61ED" w:rsidRDefault="0068680D" w:rsidP="0068680D">
            <w:pPr>
              <w:pStyle w:val="ListParagraph"/>
              <w:numPr>
                <w:ilvl w:val="1"/>
                <w:numId w:val="148"/>
              </w:numPr>
              <w:spacing w:line="276" w:lineRule="auto"/>
              <w:jc w:val="both"/>
              <w:rPr>
                <w:rFonts w:eastAsia="Times New Roman"/>
                <w:b/>
                <w:lang w:val="hy-AM"/>
              </w:rPr>
            </w:pPr>
            <w:r w:rsidRPr="00BC61ED">
              <w:rPr>
                <w:rFonts w:eastAsia="Times New Roman"/>
                <w:b/>
                <w:lang w:val="hy-AM"/>
              </w:rPr>
              <w:t>Կարգավորման հարաբերությունների ներկա վիճակը</w:t>
            </w:r>
          </w:p>
          <w:p w:rsidR="0068680D" w:rsidRPr="00BC61ED" w:rsidRDefault="0068680D" w:rsidP="00F47DC4">
            <w:pPr>
              <w:spacing w:line="276" w:lineRule="auto"/>
              <w:ind w:firstLine="567"/>
              <w:jc w:val="both"/>
              <w:rPr>
                <w:rFonts w:eastAsia="Times New Roman"/>
                <w:lang w:val="hy-AM"/>
              </w:rPr>
            </w:pPr>
            <w:r w:rsidRPr="00BC61ED">
              <w:rPr>
                <w:rFonts w:eastAsia="Times New Roman"/>
                <w:lang w:val="hy-AM"/>
              </w:rPr>
              <w:t>Ներկայումս գործում է էլեկտրոնային գնումների  համակարգ, որի միջոցով բոլոր պետական կառավարման մարմինները, քաղաքային համայնքները, պետության կողմից ստեղծված առևտրային կազմակերպությունները և հիմնադրամները իրականացնում են «Գնումների մասին» ՀՀ օրենքով նախատեսված մրցակցային և հրատապության հիմքով պայմանավորված մեկ անձից գնումները: Նկատի ունենալով, որ նշված համակարգը չի համապատասխանում ժամանակակից պահանջներին՝ անհրաժեշտություն է առաջացել նախաձեռնել էլեկտրոնային գնումների համակարգի նոր ծրագրային ապահովման մշակման գործընթաց:</w:t>
            </w:r>
          </w:p>
          <w:p w:rsidR="0068680D" w:rsidRPr="00BC61ED" w:rsidRDefault="0068680D" w:rsidP="00F47DC4">
            <w:pPr>
              <w:spacing w:line="276" w:lineRule="auto"/>
              <w:ind w:firstLine="567"/>
              <w:jc w:val="both"/>
              <w:rPr>
                <w:rFonts w:eastAsia="Times New Roman"/>
                <w:b/>
                <w:lang w:val="hy-AM"/>
              </w:rPr>
            </w:pPr>
            <w:r w:rsidRPr="00BC61ED">
              <w:rPr>
                <w:rFonts w:eastAsia="Times New Roman"/>
                <w:b/>
                <w:lang w:val="hy-AM"/>
              </w:rPr>
              <w:t xml:space="preserve">1.2 </w:t>
            </w:r>
            <w:r w:rsidRPr="00BC61ED">
              <w:rPr>
                <w:rFonts w:cs="Sylfaen"/>
                <w:b/>
                <w:lang w:val="hy-AM"/>
              </w:rPr>
              <w:t>Առկա</w:t>
            </w:r>
            <w:r w:rsidRPr="00BC61ED">
              <w:rPr>
                <w:b/>
                <w:lang w:val="hy-AM"/>
              </w:rPr>
              <w:t xml:space="preserve"> </w:t>
            </w:r>
            <w:r w:rsidRPr="00BC61ED">
              <w:rPr>
                <w:rFonts w:cs="Sylfaen"/>
                <w:b/>
                <w:lang w:val="hy-AM"/>
              </w:rPr>
              <w:t>խնդիրների</w:t>
            </w:r>
            <w:r w:rsidRPr="00BC61ED">
              <w:rPr>
                <w:b/>
                <w:lang w:val="hy-AM"/>
              </w:rPr>
              <w:t xml:space="preserve"> </w:t>
            </w:r>
            <w:r w:rsidRPr="00BC61ED">
              <w:rPr>
                <w:rFonts w:cs="Sylfaen"/>
                <w:b/>
                <w:lang w:val="hy-AM"/>
              </w:rPr>
              <w:t>առաջարկվող</w:t>
            </w:r>
            <w:r w:rsidRPr="00BC61ED">
              <w:rPr>
                <w:b/>
                <w:lang w:val="hy-AM"/>
              </w:rPr>
              <w:t xml:space="preserve"> </w:t>
            </w:r>
            <w:r w:rsidRPr="00BC61ED">
              <w:rPr>
                <w:rFonts w:cs="Sylfaen"/>
                <w:b/>
                <w:lang w:val="hy-AM"/>
              </w:rPr>
              <w:t>լուծումները</w:t>
            </w:r>
          </w:p>
          <w:p w:rsidR="0068680D" w:rsidRPr="00BC61ED" w:rsidRDefault="0068680D" w:rsidP="00F47DC4">
            <w:pPr>
              <w:spacing w:line="276" w:lineRule="auto"/>
              <w:ind w:firstLine="567"/>
              <w:jc w:val="both"/>
              <w:rPr>
                <w:rFonts w:eastAsia="Times New Roman"/>
                <w:lang w:val="hy-AM"/>
              </w:rPr>
            </w:pPr>
            <w:r w:rsidRPr="00BC61ED">
              <w:rPr>
                <w:rFonts w:eastAsia="Times New Roman"/>
                <w:lang w:val="hy-AM"/>
              </w:rPr>
              <w:t>Նշված միջոցառման արդյունքում նախատեսվում է նախաձեռնել էլեկտրոնային գնումների նոր ծրագրային ապահովման մշակման գործընթաց, որը թույլ կտա նաև ընդլայնել համակարգը շահագործող պատվիրատուների շրջանակը:</w:t>
            </w:r>
          </w:p>
          <w:p w:rsidR="0068680D" w:rsidRPr="00BC61ED" w:rsidRDefault="0068680D" w:rsidP="0068680D">
            <w:pPr>
              <w:pStyle w:val="ListParagraph"/>
              <w:numPr>
                <w:ilvl w:val="0"/>
                <w:numId w:val="148"/>
              </w:numPr>
              <w:tabs>
                <w:tab w:val="left" w:pos="1095"/>
              </w:tabs>
              <w:spacing w:line="276" w:lineRule="auto"/>
              <w:jc w:val="both"/>
              <w:rPr>
                <w:rFonts w:cs="Sylfaen"/>
                <w:b/>
              </w:rPr>
            </w:pPr>
            <w:r w:rsidRPr="00BC61ED">
              <w:rPr>
                <w:rFonts w:cs="Sylfaen"/>
                <w:b/>
              </w:rPr>
              <w:t>Միջոցառման իրականացումից ակնկալվող արդյունքը</w:t>
            </w:r>
          </w:p>
          <w:p w:rsidR="0068680D" w:rsidRPr="00BC61ED" w:rsidRDefault="0068680D" w:rsidP="00F47DC4">
            <w:pPr>
              <w:spacing w:line="276" w:lineRule="auto"/>
              <w:ind w:firstLine="567"/>
              <w:jc w:val="both"/>
              <w:rPr>
                <w:rFonts w:eastAsia="Times New Roman"/>
                <w:lang w:val="hy-AM"/>
              </w:rPr>
            </w:pPr>
            <w:r w:rsidRPr="00BC61ED">
              <w:rPr>
                <w:rFonts w:eastAsia="Times New Roman"/>
                <w:lang w:val="hy-AM"/>
              </w:rPr>
              <w:t>Սույն միջոցառման ակնկալվող արդյունքը ժամանակակից ֆունկցիոնալ պահանջներին համապատասխան էլեկտրոնային գնումների համակարգի շահագործումն է:</w:t>
            </w:r>
          </w:p>
        </w:tc>
      </w:tr>
      <w:tr w:rsidR="0068680D" w:rsidRPr="00BC61ED" w:rsidTr="00F47DC4">
        <w:tc>
          <w:tcPr>
            <w:tcW w:w="480" w:type="dxa"/>
          </w:tcPr>
          <w:p w:rsidR="0068680D" w:rsidRPr="00BC61ED" w:rsidRDefault="0068680D" w:rsidP="00F47DC4">
            <w:pPr>
              <w:spacing w:line="276" w:lineRule="auto"/>
              <w:rPr>
                <w:rFonts w:eastAsia="Times New Roman"/>
                <w:lang w:val="hy-AM"/>
              </w:rPr>
            </w:pPr>
            <w:r w:rsidRPr="00BC61ED">
              <w:rPr>
                <w:rFonts w:eastAsia="Times New Roman"/>
                <w:lang w:val="hy-AM"/>
              </w:rPr>
              <w:t>5.</w:t>
            </w:r>
          </w:p>
        </w:tc>
        <w:tc>
          <w:tcPr>
            <w:tcW w:w="10860" w:type="dxa"/>
          </w:tcPr>
          <w:p w:rsidR="0068680D" w:rsidRPr="00BC61ED" w:rsidRDefault="0068680D" w:rsidP="00F47DC4">
            <w:pPr>
              <w:pStyle w:val="ListParagraph"/>
              <w:tabs>
                <w:tab w:val="left" w:pos="851"/>
              </w:tabs>
              <w:spacing w:line="276" w:lineRule="auto"/>
              <w:ind w:left="567"/>
              <w:jc w:val="center"/>
              <w:rPr>
                <w:rFonts w:eastAsia="Times New Roman"/>
                <w:b/>
                <w:lang w:val="hy-AM"/>
              </w:rPr>
            </w:pPr>
            <w:r w:rsidRPr="00BC61ED">
              <w:rPr>
                <w:rFonts w:eastAsia="Times New Roman"/>
                <w:b/>
                <w:lang w:val="hy-AM"/>
              </w:rPr>
              <w:t>Պատվիրատուի կողմից հաստատվող գնման հայտերի հրապարակային փորձաքննության համակարգի ներդրում</w:t>
            </w:r>
          </w:p>
          <w:p w:rsidR="0068680D" w:rsidRPr="00BC61ED" w:rsidRDefault="0068680D" w:rsidP="00F47DC4">
            <w:pPr>
              <w:tabs>
                <w:tab w:val="left" w:pos="851"/>
              </w:tabs>
              <w:spacing w:line="276" w:lineRule="auto"/>
              <w:ind w:firstLine="567"/>
              <w:rPr>
                <w:rFonts w:eastAsia="Times New Roman"/>
                <w:b/>
                <w:lang w:val="hy-AM"/>
              </w:rPr>
            </w:pPr>
            <w:r w:rsidRPr="00BC61ED">
              <w:rPr>
                <w:rFonts w:eastAsia="Times New Roman"/>
                <w:b/>
                <w:lang w:val="hy-AM"/>
              </w:rPr>
              <w:t>5.1  Համապատասխան իրավական ակտի մշակում</w:t>
            </w:r>
          </w:p>
          <w:p w:rsidR="0068680D" w:rsidRPr="00BC61ED" w:rsidRDefault="0068680D" w:rsidP="0068680D">
            <w:pPr>
              <w:pStyle w:val="ListParagraph"/>
              <w:numPr>
                <w:ilvl w:val="0"/>
                <w:numId w:val="153"/>
              </w:numPr>
              <w:tabs>
                <w:tab w:val="left" w:pos="993"/>
              </w:tabs>
              <w:spacing w:line="276" w:lineRule="auto"/>
              <w:ind w:hanging="153"/>
              <w:rPr>
                <w:rFonts w:eastAsia="Times New Roman"/>
                <w:b/>
                <w:lang w:val="hy-AM"/>
              </w:rPr>
            </w:pPr>
            <w:r w:rsidRPr="00BC61ED">
              <w:rPr>
                <w:rFonts w:eastAsia="Times New Roman"/>
                <w:b/>
                <w:lang w:val="hy-AM"/>
              </w:rPr>
              <w:t>Միջոցառման իրակացման անհրաժեշտությունը և նպատակը</w:t>
            </w:r>
          </w:p>
          <w:p w:rsidR="0068680D" w:rsidRPr="00BC61ED" w:rsidRDefault="0068680D" w:rsidP="00F47DC4">
            <w:pPr>
              <w:spacing w:line="276" w:lineRule="auto"/>
              <w:ind w:firstLine="567"/>
              <w:jc w:val="both"/>
              <w:rPr>
                <w:rFonts w:eastAsia="Times New Roman"/>
                <w:lang w:val="hy-AM"/>
              </w:rPr>
            </w:pPr>
            <w:r w:rsidRPr="00BC61ED">
              <w:rPr>
                <w:rFonts w:eastAsia="Times New Roman"/>
                <w:lang w:val="hy-AM"/>
              </w:rPr>
              <w:t>Սույն միջոցառման նպատակն է հնարավորինս նորմավորել և միասնականացնել գնումները, նկատի ունենալով, որ «Գնումների մասին» ՀՀ օրենքով սահմանված բոլոր պատվիրատուների միանման կարիքները պետք է բավարարվեն միասնական բնութագրեր ունեցող գնման առարկաներով:</w:t>
            </w:r>
          </w:p>
          <w:p w:rsidR="0068680D" w:rsidRPr="00BC61ED" w:rsidRDefault="0068680D" w:rsidP="0068680D">
            <w:pPr>
              <w:pStyle w:val="ListParagraph"/>
              <w:numPr>
                <w:ilvl w:val="1"/>
                <w:numId w:val="157"/>
              </w:numPr>
              <w:tabs>
                <w:tab w:val="left" w:pos="851"/>
              </w:tabs>
              <w:spacing w:line="276" w:lineRule="auto"/>
              <w:ind w:left="720" w:firstLine="0"/>
              <w:jc w:val="both"/>
              <w:rPr>
                <w:rFonts w:eastAsia="Times New Roman"/>
                <w:b/>
                <w:u w:val="single"/>
                <w:lang w:val="hy-AM"/>
              </w:rPr>
            </w:pPr>
            <w:r w:rsidRPr="00BC61ED">
              <w:rPr>
                <w:rFonts w:eastAsia="Times New Roman"/>
                <w:b/>
                <w:u w:val="single"/>
                <w:lang w:val="hy-AM"/>
              </w:rPr>
              <w:t>Կարգավորման հարաբերությունների ներկա վիճակը</w:t>
            </w:r>
          </w:p>
          <w:p w:rsidR="0068680D" w:rsidRPr="00BC61ED" w:rsidRDefault="0068680D" w:rsidP="00F47DC4">
            <w:pPr>
              <w:tabs>
                <w:tab w:val="left" w:pos="851"/>
              </w:tabs>
              <w:spacing w:line="276" w:lineRule="auto"/>
              <w:ind w:firstLine="567"/>
              <w:jc w:val="both"/>
              <w:rPr>
                <w:rFonts w:eastAsia="Times New Roman"/>
                <w:lang w:val="hy-AM"/>
              </w:rPr>
            </w:pPr>
            <w:r w:rsidRPr="00BC61ED">
              <w:rPr>
                <w:rFonts w:eastAsia="Times New Roman"/>
                <w:lang w:val="hy-AM"/>
              </w:rPr>
              <w:t>«Գնումների մասին» ՀՀ օրենքով սահմանված պատվիրատուների կողմից միանման կարիքները բավարարվում են տարբեր բնութագրեր ունեցող գնման առարկաներով: Նշվածով պայմանավորված՝ նախատեսվում է հնարավորինս նորմավորել և միասնականացնել պատվիրատուների կողմից իրականացվող գնումները:</w:t>
            </w:r>
          </w:p>
          <w:p w:rsidR="0068680D" w:rsidRPr="00BC61ED" w:rsidRDefault="0068680D" w:rsidP="00F47DC4">
            <w:pPr>
              <w:pStyle w:val="ListParagraph"/>
              <w:tabs>
                <w:tab w:val="left" w:pos="851"/>
              </w:tabs>
              <w:spacing w:line="276" w:lineRule="auto"/>
              <w:ind w:left="567"/>
              <w:jc w:val="both"/>
              <w:rPr>
                <w:rFonts w:eastAsia="Times New Roman"/>
                <w:b/>
                <w:lang w:val="hy-AM"/>
              </w:rPr>
            </w:pPr>
            <w:r w:rsidRPr="00BC61ED">
              <w:rPr>
                <w:rFonts w:eastAsia="Times New Roman"/>
                <w:b/>
                <w:lang w:val="hy-AM"/>
              </w:rPr>
              <w:t>1.2 Առկա խնդիրների լուծման առաջարկվող միջոցառումները.</w:t>
            </w:r>
          </w:p>
          <w:p w:rsidR="0068680D" w:rsidRPr="00BC61ED" w:rsidRDefault="0068680D" w:rsidP="00F47DC4">
            <w:pPr>
              <w:spacing w:line="276" w:lineRule="auto"/>
              <w:ind w:firstLine="567"/>
              <w:jc w:val="both"/>
              <w:rPr>
                <w:rFonts w:eastAsia="Times New Roman"/>
                <w:lang w:val="hy-AM"/>
              </w:rPr>
            </w:pPr>
            <w:r w:rsidRPr="00BC61ED">
              <w:rPr>
                <w:rFonts w:eastAsia="Times New Roman"/>
                <w:lang w:val="hy-AM"/>
              </w:rPr>
              <w:t>Մշակել ՀՀ կառավարության որոշման նախագիծ և այն ՀՀ կառավարության կողմից հաստատվելուց հետո ապահովել խտրականության բացառման պահանջների պահպանումը:</w:t>
            </w:r>
          </w:p>
          <w:p w:rsidR="0068680D" w:rsidRPr="00BC61ED" w:rsidRDefault="0068680D" w:rsidP="0068680D">
            <w:pPr>
              <w:pStyle w:val="ListParagraph"/>
              <w:numPr>
                <w:ilvl w:val="0"/>
                <w:numId w:val="153"/>
              </w:numPr>
              <w:tabs>
                <w:tab w:val="left" w:pos="1095"/>
              </w:tabs>
              <w:spacing w:line="276" w:lineRule="auto"/>
              <w:jc w:val="both"/>
              <w:rPr>
                <w:rFonts w:cs="Sylfaen"/>
                <w:b/>
              </w:rPr>
            </w:pPr>
            <w:r w:rsidRPr="00BC61ED">
              <w:rPr>
                <w:rFonts w:cs="Sylfaen"/>
                <w:b/>
              </w:rPr>
              <w:t>Միջոցառման իրականացումից ակնկալվող արդյունքը</w:t>
            </w:r>
          </w:p>
          <w:p w:rsidR="0068680D" w:rsidRPr="00BC61ED" w:rsidRDefault="0068680D" w:rsidP="00F47DC4">
            <w:pPr>
              <w:spacing w:line="276" w:lineRule="auto"/>
              <w:ind w:firstLine="567"/>
              <w:jc w:val="both"/>
              <w:rPr>
                <w:rFonts w:eastAsia="Times New Roman"/>
                <w:lang w:val="hy-AM"/>
              </w:rPr>
            </w:pPr>
            <w:r w:rsidRPr="00BC61ED">
              <w:rPr>
                <w:rFonts w:eastAsia="Times New Roman"/>
                <w:lang w:val="hy-AM"/>
              </w:rPr>
              <w:t>Պատվիրատուների միանման կարիքները բավարարել միանման բնութագրեր ունեցող գնման առարկաներով:</w:t>
            </w:r>
          </w:p>
        </w:tc>
      </w:tr>
      <w:tr w:rsidR="0068680D" w:rsidRPr="00BC61ED" w:rsidTr="00F47DC4">
        <w:tc>
          <w:tcPr>
            <w:tcW w:w="480" w:type="dxa"/>
          </w:tcPr>
          <w:p w:rsidR="0068680D" w:rsidRPr="00BC61ED" w:rsidRDefault="0068680D" w:rsidP="00F47DC4">
            <w:pPr>
              <w:spacing w:line="276" w:lineRule="auto"/>
              <w:rPr>
                <w:rFonts w:eastAsia="Times New Roman"/>
                <w:lang w:val="hy-AM"/>
              </w:rPr>
            </w:pPr>
            <w:r w:rsidRPr="00BC61ED">
              <w:rPr>
                <w:rFonts w:eastAsia="Times New Roman"/>
                <w:lang w:val="hy-AM"/>
              </w:rPr>
              <w:t>6.</w:t>
            </w:r>
          </w:p>
        </w:tc>
        <w:tc>
          <w:tcPr>
            <w:tcW w:w="10860" w:type="dxa"/>
          </w:tcPr>
          <w:p w:rsidR="0068680D" w:rsidRPr="00BC61ED" w:rsidRDefault="0068680D" w:rsidP="00F47DC4">
            <w:pPr>
              <w:pStyle w:val="ListParagraph"/>
              <w:tabs>
                <w:tab w:val="left" w:pos="851"/>
              </w:tabs>
              <w:spacing w:line="276" w:lineRule="auto"/>
              <w:ind w:left="567"/>
              <w:jc w:val="center"/>
              <w:rPr>
                <w:rFonts w:eastAsia="Times New Roman"/>
                <w:b/>
                <w:lang w:val="hy-AM"/>
              </w:rPr>
            </w:pPr>
            <w:r w:rsidRPr="00BC61ED">
              <w:rPr>
                <w:rFonts w:eastAsia="Times New Roman"/>
                <w:b/>
                <w:lang w:val="hy-AM"/>
              </w:rPr>
              <w:t>Էլեկտրոնային գործիքների միջոցով՝ ավտոմատ եղանակով, նախահաշվային գների որոշման և պլանավորման միասնական համակարգի ներդրում</w:t>
            </w:r>
          </w:p>
          <w:p w:rsidR="0068680D" w:rsidRPr="00BC61ED" w:rsidRDefault="0068680D" w:rsidP="00F47DC4">
            <w:pPr>
              <w:pStyle w:val="ListParagraph"/>
              <w:tabs>
                <w:tab w:val="left" w:pos="851"/>
              </w:tabs>
              <w:spacing w:line="276" w:lineRule="auto"/>
              <w:ind w:left="567"/>
              <w:jc w:val="center"/>
              <w:rPr>
                <w:rFonts w:eastAsia="Times New Roman"/>
                <w:b/>
                <w:lang w:val="hy-AM"/>
              </w:rPr>
            </w:pPr>
          </w:p>
          <w:p w:rsidR="0068680D" w:rsidRPr="00BC61ED" w:rsidRDefault="0068680D" w:rsidP="0068680D">
            <w:pPr>
              <w:pStyle w:val="ListParagraph"/>
              <w:numPr>
                <w:ilvl w:val="1"/>
                <w:numId w:val="155"/>
              </w:numPr>
              <w:tabs>
                <w:tab w:val="left" w:pos="851"/>
                <w:tab w:val="left" w:pos="993"/>
              </w:tabs>
              <w:spacing w:line="276" w:lineRule="auto"/>
              <w:ind w:left="0" w:firstLine="540"/>
              <w:rPr>
                <w:rFonts w:eastAsia="Times New Roman"/>
                <w:b/>
                <w:lang w:val="hy-AM"/>
              </w:rPr>
            </w:pPr>
            <w:r w:rsidRPr="00BC61ED">
              <w:rPr>
                <w:rFonts w:eastAsia="Times New Roman"/>
                <w:b/>
                <w:lang w:val="hy-AM"/>
              </w:rPr>
              <w:t>Համապատասխան իրավական ակտի մշակում</w:t>
            </w:r>
          </w:p>
          <w:p w:rsidR="0068680D" w:rsidRPr="00BC61ED" w:rsidRDefault="0068680D" w:rsidP="00F47DC4">
            <w:pPr>
              <w:spacing w:line="276" w:lineRule="auto"/>
              <w:ind w:firstLine="426"/>
              <w:rPr>
                <w:rFonts w:eastAsia="Times New Roman"/>
                <w:b/>
                <w:lang w:val="hy-AM"/>
              </w:rPr>
            </w:pPr>
            <w:r w:rsidRPr="00BC61ED">
              <w:rPr>
                <w:rFonts w:eastAsia="Times New Roman"/>
                <w:b/>
                <w:lang w:val="hy-AM"/>
              </w:rPr>
              <w:t>1.Միջոցառման իրակացման անհրաժեշտությունը և նպատակը</w:t>
            </w:r>
          </w:p>
          <w:p w:rsidR="0068680D" w:rsidRPr="00BC61ED" w:rsidRDefault="0068680D" w:rsidP="00F47DC4">
            <w:pPr>
              <w:spacing w:line="276" w:lineRule="auto"/>
              <w:ind w:firstLine="567"/>
              <w:jc w:val="both"/>
              <w:rPr>
                <w:rFonts w:eastAsia="Times New Roman"/>
                <w:lang w:val="hy-AM"/>
              </w:rPr>
            </w:pPr>
            <w:r w:rsidRPr="00BC61ED">
              <w:rPr>
                <w:rFonts w:eastAsia="Times New Roman"/>
                <w:lang w:val="hy-AM"/>
              </w:rPr>
              <w:t xml:space="preserve">Միջոցառումը բխում է </w:t>
            </w:r>
            <w:r w:rsidRPr="00DD1660">
              <w:rPr>
                <w:lang w:val="af-ZA"/>
              </w:rPr>
              <w:t xml:space="preserve">ՀՀ Ազգային ժողովի 14.02.2019թ. N ԱԺՈ-002-Ն որոշմամբ հավանության արժանացած </w:t>
            </w:r>
            <w:r w:rsidRPr="00DD1660">
              <w:rPr>
                <w:lang w:val="hy-AM"/>
              </w:rPr>
              <w:t>ՀՀ</w:t>
            </w:r>
            <w:r w:rsidRPr="00DD1660">
              <w:rPr>
                <w:lang w:val="af-ZA"/>
              </w:rPr>
              <w:t xml:space="preserve"> կառավարության ծրագրի</w:t>
            </w:r>
            <w:r w:rsidRPr="00DD1660">
              <w:rPr>
                <w:rFonts w:cs="Sylfaen"/>
                <w:color w:val="000000"/>
                <w:sz w:val="16"/>
                <w:lang w:val="hy-AM"/>
              </w:rPr>
              <w:t xml:space="preserve"> </w:t>
            </w:r>
            <w:r w:rsidRPr="00BC61ED">
              <w:rPr>
                <w:rFonts w:eastAsia="Times New Roman"/>
                <w:lang w:val="hy-AM"/>
              </w:rPr>
              <w:t>8.2 կետի դրույթներից: Միջոցառման նպատակն է գնումներում միևնույն գնման առարկայի ձեռքբերման համար միևնույն նախահաշվային գների սահմանումը:</w:t>
            </w:r>
          </w:p>
          <w:p w:rsidR="0068680D" w:rsidRPr="00BC61ED" w:rsidRDefault="0068680D" w:rsidP="0068680D">
            <w:pPr>
              <w:pStyle w:val="ListParagraph"/>
              <w:numPr>
                <w:ilvl w:val="1"/>
                <w:numId w:val="158"/>
              </w:numPr>
              <w:tabs>
                <w:tab w:val="left" w:pos="709"/>
                <w:tab w:val="left" w:pos="851"/>
              </w:tabs>
              <w:spacing w:line="276" w:lineRule="auto"/>
              <w:ind w:left="567" w:hanging="141"/>
              <w:jc w:val="both"/>
              <w:rPr>
                <w:rFonts w:eastAsia="Times New Roman"/>
                <w:b/>
                <w:u w:val="single"/>
                <w:lang w:val="hy-AM"/>
              </w:rPr>
            </w:pPr>
            <w:r w:rsidRPr="00BC61ED">
              <w:rPr>
                <w:rFonts w:eastAsia="Times New Roman"/>
                <w:b/>
                <w:u w:val="single"/>
                <w:lang w:val="hy-AM"/>
              </w:rPr>
              <w:t xml:space="preserve"> Կարգավորման հարաբերությունների ներկա վիճակը</w:t>
            </w:r>
          </w:p>
          <w:p w:rsidR="0068680D" w:rsidRPr="00BC61ED" w:rsidRDefault="0068680D" w:rsidP="00F47DC4">
            <w:pPr>
              <w:spacing w:line="276" w:lineRule="auto"/>
              <w:ind w:firstLine="426"/>
              <w:jc w:val="both"/>
              <w:rPr>
                <w:rFonts w:eastAsia="Times New Roman"/>
                <w:lang w:val="hy-AM"/>
              </w:rPr>
            </w:pPr>
            <w:r w:rsidRPr="00BC61ED">
              <w:rPr>
                <w:rFonts w:eastAsia="Times New Roman"/>
                <w:lang w:val="hy-AM"/>
              </w:rPr>
              <w:t>Ներկայումս պետության միջոցների հաշվին իրականացվող գնումների շրջանակում միևնույն գնման առարկայի ձեռքբերման համար պլանավորվում են տարբեր նախահաշվային գներ, որի արդյունքում ի հայտ են գալիս տվյալ առարկաների՝ շուկայում գործող գներից էական շեղումներ:</w:t>
            </w:r>
          </w:p>
          <w:p w:rsidR="0068680D" w:rsidRPr="00BC61ED" w:rsidRDefault="0068680D" w:rsidP="00F47DC4">
            <w:pPr>
              <w:spacing w:line="276" w:lineRule="auto"/>
              <w:ind w:firstLine="426"/>
              <w:jc w:val="both"/>
              <w:rPr>
                <w:rFonts w:eastAsia="Times New Roman"/>
                <w:u w:val="single"/>
                <w:lang w:val="hy-AM"/>
              </w:rPr>
            </w:pPr>
            <w:r w:rsidRPr="00BC61ED">
              <w:rPr>
                <w:rFonts w:eastAsia="Times New Roman"/>
                <w:b/>
                <w:lang w:val="hy-AM"/>
              </w:rPr>
              <w:t>1.2.Առկա խնդիրների լուծման առաջարկվող միջոցառումները</w:t>
            </w:r>
            <w:r w:rsidRPr="00BC61ED">
              <w:rPr>
                <w:rFonts w:eastAsia="Times New Roman"/>
                <w:u w:val="single"/>
                <w:lang w:val="hy-AM"/>
              </w:rPr>
              <w:t>.</w:t>
            </w:r>
          </w:p>
          <w:p w:rsidR="0068680D" w:rsidRPr="00BC61ED" w:rsidRDefault="0068680D" w:rsidP="00F47DC4">
            <w:pPr>
              <w:spacing w:line="276" w:lineRule="auto"/>
              <w:ind w:firstLine="426"/>
              <w:jc w:val="both"/>
              <w:rPr>
                <w:rFonts w:eastAsia="Times New Roman"/>
                <w:lang w:val="hy-AM"/>
              </w:rPr>
            </w:pPr>
            <w:r w:rsidRPr="00BC61ED">
              <w:rPr>
                <w:rFonts w:eastAsia="Times New Roman"/>
                <w:lang w:val="hy-AM"/>
              </w:rPr>
              <w:t xml:space="preserve">Մշակել ՀՀ կառավարության որոշման նախագիծ և այն ՀՀ կառավարության կողմից հաստատվելուց հետո էլեկտրոնային գործիքակազմի միջոցով ներդնել՝ ավտոմատ եղանակով նախահաշվային գների որոշման և պլանավորման համակարգ:  </w:t>
            </w:r>
          </w:p>
          <w:p w:rsidR="0068680D" w:rsidRPr="00BC61ED" w:rsidRDefault="0068680D" w:rsidP="0068680D">
            <w:pPr>
              <w:pStyle w:val="ListParagraph"/>
              <w:numPr>
                <w:ilvl w:val="0"/>
                <w:numId w:val="158"/>
              </w:numPr>
              <w:tabs>
                <w:tab w:val="left" w:pos="1095"/>
              </w:tabs>
              <w:spacing w:line="276" w:lineRule="auto"/>
              <w:jc w:val="both"/>
              <w:rPr>
                <w:rFonts w:cs="Sylfaen"/>
                <w:b/>
              </w:rPr>
            </w:pPr>
            <w:r w:rsidRPr="00BC61ED">
              <w:rPr>
                <w:rFonts w:cs="Sylfaen"/>
                <w:b/>
              </w:rPr>
              <w:t>Միջոցառման իրականացումից ակնկալվող արդյունքը</w:t>
            </w:r>
          </w:p>
          <w:p w:rsidR="0068680D" w:rsidRPr="00BC61ED" w:rsidRDefault="0068680D" w:rsidP="00F47DC4">
            <w:pPr>
              <w:spacing w:line="276" w:lineRule="auto"/>
              <w:ind w:firstLine="284"/>
              <w:jc w:val="both"/>
              <w:rPr>
                <w:rFonts w:eastAsia="Times New Roman"/>
                <w:lang w:val="hy-AM"/>
              </w:rPr>
            </w:pPr>
            <w:r w:rsidRPr="00BC61ED">
              <w:rPr>
                <w:rFonts w:eastAsia="Times New Roman"/>
                <w:lang w:val="hy-AM"/>
              </w:rPr>
              <w:t xml:space="preserve">Սույն միջոցառման իրականացման արդյունքում գնումներում հնարավոր կլինի նվազեցնել միևնույն գնման առարկայի ձեռքբերման համար հատկացվող ֆինանսական միջոցների՝ գործող գներից էական շեղումները, որ կնպաստի ՀՀ պետական բյուջեի միջոցների խնայողություններին: </w:t>
            </w:r>
          </w:p>
        </w:tc>
      </w:tr>
      <w:tr w:rsidR="0068680D" w:rsidRPr="00DE2EFA" w:rsidTr="00F47DC4">
        <w:tc>
          <w:tcPr>
            <w:tcW w:w="480" w:type="dxa"/>
          </w:tcPr>
          <w:p w:rsidR="0068680D" w:rsidRPr="00BC61ED" w:rsidRDefault="0068680D" w:rsidP="00F47DC4">
            <w:pPr>
              <w:spacing w:line="276" w:lineRule="auto"/>
              <w:rPr>
                <w:rFonts w:eastAsia="Times New Roman"/>
                <w:lang w:val="hy-AM"/>
              </w:rPr>
            </w:pPr>
            <w:r>
              <w:rPr>
                <w:rFonts w:eastAsia="Times New Roman"/>
                <w:lang w:val="hy-AM"/>
              </w:rPr>
              <w:t xml:space="preserve">7. </w:t>
            </w:r>
          </w:p>
        </w:tc>
        <w:tc>
          <w:tcPr>
            <w:tcW w:w="10860" w:type="dxa"/>
          </w:tcPr>
          <w:p w:rsidR="0068680D" w:rsidRPr="005A4476" w:rsidRDefault="0068680D" w:rsidP="00F47DC4">
            <w:pPr>
              <w:pStyle w:val="ListParagraph"/>
              <w:tabs>
                <w:tab w:val="left" w:pos="851"/>
              </w:tabs>
              <w:spacing w:line="276" w:lineRule="auto"/>
              <w:ind w:left="567"/>
              <w:jc w:val="center"/>
              <w:rPr>
                <w:rFonts w:eastAsia="Times New Roman"/>
                <w:b/>
                <w:bCs/>
                <w:lang w:val="hy-AM"/>
              </w:rPr>
            </w:pPr>
            <w:r w:rsidRPr="005A4476">
              <w:rPr>
                <w:rFonts w:eastAsia="Times New Roman"/>
                <w:b/>
                <w:bCs/>
                <w:highlight w:val="yellow"/>
                <w:lang w:val="hy-AM"/>
              </w:rPr>
              <w:t>Հարկային օրենսդրության բարեփոխում</w:t>
            </w:r>
          </w:p>
          <w:p w:rsidR="0068680D" w:rsidRPr="005A4476" w:rsidRDefault="0068680D" w:rsidP="00F47DC4">
            <w:pPr>
              <w:pStyle w:val="ListParagraph"/>
              <w:tabs>
                <w:tab w:val="left" w:pos="851"/>
              </w:tabs>
              <w:spacing w:line="276" w:lineRule="auto"/>
              <w:ind w:left="567"/>
              <w:jc w:val="center"/>
              <w:rPr>
                <w:rFonts w:eastAsia="Times New Roman"/>
                <w:b/>
                <w:bCs/>
                <w:lang w:val="hy-AM"/>
              </w:rPr>
            </w:pPr>
          </w:p>
          <w:p w:rsidR="0068680D" w:rsidRPr="00BC61ED" w:rsidRDefault="0068680D" w:rsidP="00F47DC4">
            <w:pPr>
              <w:pStyle w:val="ListParagraph"/>
              <w:tabs>
                <w:tab w:val="left" w:pos="851"/>
              </w:tabs>
              <w:spacing w:line="276" w:lineRule="auto"/>
              <w:ind w:left="567"/>
              <w:jc w:val="center"/>
              <w:rPr>
                <w:rFonts w:eastAsia="Times New Roman"/>
                <w:b/>
                <w:lang w:val="hy-AM"/>
              </w:rPr>
            </w:pPr>
            <w:r w:rsidRPr="005A4476">
              <w:rPr>
                <w:b/>
                <w:highlight w:val="yellow"/>
                <w:lang w:val="hy-AM"/>
              </w:rPr>
              <w:t>7.1 Հարկային բարեփոխումների ռազմավարական փաստաթուղթը ՀՀ վարչապետի աշխատակազմ ներկայացնելը</w:t>
            </w:r>
          </w:p>
        </w:tc>
      </w:tr>
      <w:tr w:rsidR="0068680D" w:rsidRPr="00DE2EFA" w:rsidTr="00F47DC4">
        <w:tc>
          <w:tcPr>
            <w:tcW w:w="480" w:type="dxa"/>
          </w:tcPr>
          <w:p w:rsidR="0068680D" w:rsidRPr="00BC61ED" w:rsidRDefault="0068680D" w:rsidP="00F47DC4">
            <w:pPr>
              <w:spacing w:line="276" w:lineRule="auto"/>
              <w:rPr>
                <w:rFonts w:eastAsia="Times New Roman"/>
                <w:lang w:val="hy-AM"/>
              </w:rPr>
            </w:pPr>
            <w:r>
              <w:rPr>
                <w:rFonts w:eastAsia="Times New Roman"/>
                <w:lang w:val="hy-AM"/>
              </w:rPr>
              <w:t>8</w:t>
            </w:r>
            <w:r w:rsidRPr="00BC61ED">
              <w:rPr>
                <w:rFonts w:eastAsia="Times New Roman"/>
                <w:lang w:val="hy-AM"/>
              </w:rPr>
              <w:t>.</w:t>
            </w:r>
          </w:p>
        </w:tc>
        <w:tc>
          <w:tcPr>
            <w:tcW w:w="10860" w:type="dxa"/>
          </w:tcPr>
          <w:p w:rsidR="0068680D" w:rsidRPr="00BC61ED" w:rsidRDefault="0068680D" w:rsidP="00F47DC4">
            <w:pPr>
              <w:spacing w:line="276" w:lineRule="auto"/>
              <w:ind w:firstLine="810"/>
              <w:jc w:val="center"/>
              <w:rPr>
                <w:rFonts w:eastAsia="Times New Roman"/>
                <w:b/>
                <w:lang w:val="hy-AM"/>
              </w:rPr>
            </w:pPr>
            <w:r w:rsidRPr="00BC61ED">
              <w:rPr>
                <w:rFonts w:eastAsia="Times New Roman"/>
                <w:b/>
                <w:lang w:val="hy-AM"/>
              </w:rPr>
              <w:t>Գույքային հարկերի համակարգը կատարելագործելու  և անշարժ գույքի հարկը գույքի իրական՝ շուկայական արժեքի հիման վրա հաշվարկելու նպատակով օրենսդրական փոփոխությունների իրականացում</w:t>
            </w:r>
          </w:p>
          <w:p w:rsidR="0068680D" w:rsidRPr="00BC61ED" w:rsidRDefault="0068680D" w:rsidP="00F47DC4">
            <w:pPr>
              <w:spacing w:line="276" w:lineRule="auto"/>
              <w:ind w:firstLine="375"/>
              <w:jc w:val="center"/>
              <w:rPr>
                <w:rFonts w:eastAsia="Times New Roman"/>
                <w:lang w:val="hy-AM"/>
              </w:rPr>
            </w:pPr>
          </w:p>
          <w:p w:rsidR="0068680D" w:rsidRPr="00BC61ED" w:rsidRDefault="0068680D" w:rsidP="00F47DC4">
            <w:pPr>
              <w:spacing w:line="276" w:lineRule="auto"/>
              <w:ind w:firstLine="810"/>
              <w:jc w:val="both"/>
              <w:rPr>
                <w:rFonts w:eastAsia="Times New Roman"/>
                <w:b/>
                <w:lang w:val="hy-AM"/>
              </w:rPr>
            </w:pPr>
            <w:r>
              <w:rPr>
                <w:rFonts w:eastAsia="Times New Roman"/>
                <w:b/>
                <w:lang w:val="hy-AM"/>
              </w:rPr>
              <w:t>8</w:t>
            </w:r>
            <w:r w:rsidRPr="00BC61ED">
              <w:rPr>
                <w:rFonts w:eastAsia="Times New Roman"/>
                <w:b/>
                <w:lang w:val="hy-AM"/>
              </w:rPr>
              <w:t>.1 Անշարժ գույքի հարկման համակարգի կատարելագործման ուղղությամբ հարկային օրենսդրության մեջ կատարվելիք փոփոխությունների վերաբերյալ առաջարկությունների մշակում,</w:t>
            </w:r>
          </w:p>
          <w:p w:rsidR="0068680D" w:rsidRPr="00BC61ED" w:rsidRDefault="0068680D" w:rsidP="00F47DC4">
            <w:pPr>
              <w:spacing w:line="276" w:lineRule="auto"/>
              <w:ind w:firstLine="810"/>
              <w:jc w:val="both"/>
              <w:rPr>
                <w:rFonts w:eastAsia="Times New Roman"/>
                <w:b/>
                <w:lang w:val="hy-AM"/>
              </w:rPr>
            </w:pPr>
            <w:r>
              <w:rPr>
                <w:rFonts w:eastAsia="Times New Roman"/>
                <w:b/>
                <w:lang w:val="hy-AM"/>
              </w:rPr>
              <w:t>8</w:t>
            </w:r>
            <w:r w:rsidRPr="00BC61ED">
              <w:rPr>
                <w:rFonts w:eastAsia="Times New Roman"/>
                <w:b/>
                <w:lang w:val="hy-AM"/>
              </w:rPr>
              <w:t>.2 ներկայացված առաջարկությունների քննարկում շահագրգիռ պետական կառավարման մարմինների և մասնագիտական-հասարակական կազմակերպությունների հետ,</w:t>
            </w:r>
          </w:p>
          <w:p w:rsidR="0068680D" w:rsidRPr="00BC61ED" w:rsidRDefault="0068680D" w:rsidP="00F47DC4">
            <w:pPr>
              <w:spacing w:line="276" w:lineRule="auto"/>
              <w:ind w:firstLine="810"/>
              <w:jc w:val="both"/>
              <w:rPr>
                <w:rFonts w:eastAsia="Times New Roman"/>
                <w:b/>
                <w:lang w:val="hy-AM"/>
              </w:rPr>
            </w:pPr>
            <w:r>
              <w:rPr>
                <w:rFonts w:eastAsia="Times New Roman"/>
                <w:b/>
                <w:lang w:val="hy-AM"/>
              </w:rPr>
              <w:t>8</w:t>
            </w:r>
            <w:r w:rsidRPr="00BC61ED">
              <w:rPr>
                <w:rFonts w:eastAsia="Times New Roman"/>
                <w:b/>
                <w:lang w:val="hy-AM"/>
              </w:rPr>
              <w:t>.3 քննարկումների արդյունքների հիման վրա ՀՀ հարկային օրենսգրքում համապատասխան փոփոխություններ և լրացումներ նախատեսող օրենքի նախագծի մշակում և ՀՀ կառավարության քննարկմանը ներկայացում:</w:t>
            </w:r>
          </w:p>
          <w:p w:rsidR="0068680D" w:rsidRPr="00BC61ED" w:rsidRDefault="0068680D" w:rsidP="00F47DC4">
            <w:pPr>
              <w:spacing w:line="276" w:lineRule="auto"/>
              <w:ind w:firstLine="810"/>
              <w:jc w:val="both"/>
              <w:rPr>
                <w:rFonts w:eastAsia="Times New Roman"/>
                <w:b/>
                <w:lang w:val="hy-AM"/>
              </w:rPr>
            </w:pPr>
          </w:p>
          <w:p w:rsidR="0068680D" w:rsidRPr="00BC61ED" w:rsidRDefault="0068680D" w:rsidP="00F47DC4">
            <w:pPr>
              <w:spacing w:line="276" w:lineRule="auto"/>
              <w:ind w:firstLine="375"/>
              <w:jc w:val="both"/>
              <w:rPr>
                <w:rFonts w:eastAsia="Times New Roman"/>
                <w:b/>
                <w:lang w:val="hy-AM"/>
              </w:rPr>
            </w:pPr>
            <w:r w:rsidRPr="00BC61ED">
              <w:rPr>
                <w:rFonts w:eastAsia="Times New Roman"/>
                <w:b/>
                <w:lang w:val="hy-AM"/>
              </w:rPr>
              <w:t>1.</w:t>
            </w:r>
            <w:r w:rsidRPr="00BC61ED">
              <w:rPr>
                <w:rFonts w:eastAsia="Times New Roman"/>
                <w:b/>
                <w:lang w:val="hy-AM"/>
              </w:rPr>
              <w:tab/>
              <w:t>Միջոցառման իրականացման անհրաժեշտությունը և նպատակը</w:t>
            </w:r>
          </w:p>
          <w:p w:rsidR="0068680D" w:rsidRPr="00BC61ED" w:rsidRDefault="0068680D" w:rsidP="00F47DC4">
            <w:pPr>
              <w:spacing w:line="276" w:lineRule="auto"/>
              <w:ind w:firstLine="375"/>
              <w:jc w:val="both"/>
              <w:rPr>
                <w:rFonts w:eastAsia="Times New Roman"/>
                <w:lang w:val="hy-AM"/>
              </w:rPr>
            </w:pPr>
            <w:r w:rsidRPr="00BC61ED">
              <w:rPr>
                <w:rFonts w:eastAsia="Times New Roman"/>
                <w:lang w:val="hy-AM"/>
              </w:rPr>
              <w:t xml:space="preserve">Միջոցառման իրականացումը պայմանավորված է անշարժ գույքի հարկման համակարգը կատարելագործելու և անշարժ գույքի հարկը գույքի իրական՝ շուկայական արժեքի հիման վրա հաշվարկելու ընթացակարգեր ներդրնելու, այն առավել արդարացի սկզբունքներով գործարկելու և համայնքային բյուջեների հարկային եկամուտների կարևոր աղբյուր դարձնելու անհրաժեշտությամբ (հիմքը՝ </w:t>
            </w:r>
            <w:r w:rsidRPr="00DD1660">
              <w:rPr>
                <w:lang w:val="af-ZA"/>
              </w:rPr>
              <w:t xml:space="preserve">ՀՀ Ազգային ժողովի 14.02.2019թ. N ԱԺՈ-002-Ն որոշմամբ հավանության արժանացած </w:t>
            </w:r>
            <w:r w:rsidRPr="00DD1660">
              <w:rPr>
                <w:lang w:val="hy-AM"/>
              </w:rPr>
              <w:t>ՀՀ</w:t>
            </w:r>
            <w:r w:rsidRPr="00DD1660">
              <w:rPr>
                <w:lang w:val="af-ZA"/>
              </w:rPr>
              <w:t xml:space="preserve"> կառավարության ծրագրի</w:t>
            </w:r>
            <w:r w:rsidRPr="00BC61ED">
              <w:rPr>
                <w:rFonts w:eastAsia="Times New Roman"/>
                <w:lang w:val="hy-AM"/>
              </w:rPr>
              <w:t xml:space="preserve"> 8.1-ին՝</w:t>
            </w:r>
            <w:r w:rsidRPr="00BC61ED">
              <w:rPr>
                <w:rFonts w:eastAsia="Times New Roman" w:cs="GHEA Grapalat"/>
                <w:lang w:val="hy-AM"/>
              </w:rPr>
              <w:t xml:space="preserve"> </w:t>
            </w:r>
            <w:r w:rsidRPr="00BC61ED">
              <w:rPr>
                <w:rFonts w:eastAsia="Times New Roman"/>
                <w:lang w:val="hy-AM"/>
              </w:rPr>
              <w:t>«Հարկային համակարգը» մասի 3-րդ պարբերություն):</w:t>
            </w:r>
          </w:p>
          <w:p w:rsidR="0068680D" w:rsidRPr="00BC61ED" w:rsidRDefault="0068680D" w:rsidP="00F47DC4">
            <w:pPr>
              <w:spacing w:line="276" w:lineRule="auto"/>
              <w:ind w:firstLine="375"/>
              <w:jc w:val="both"/>
              <w:rPr>
                <w:rFonts w:eastAsia="Times New Roman"/>
                <w:b/>
                <w:lang w:val="hy-AM"/>
              </w:rPr>
            </w:pPr>
            <w:r w:rsidRPr="00BC61ED">
              <w:rPr>
                <w:rFonts w:eastAsia="Times New Roman"/>
                <w:b/>
                <w:lang w:val="hy-AM"/>
              </w:rPr>
              <w:t>1.1 Կարգավորման հարաբերությունների ներկա վիճակը և առկա խնդիրները</w:t>
            </w:r>
          </w:p>
          <w:p w:rsidR="0068680D" w:rsidRPr="00BC61ED" w:rsidRDefault="0068680D" w:rsidP="00F47DC4">
            <w:pPr>
              <w:spacing w:line="276" w:lineRule="auto"/>
              <w:ind w:firstLine="375"/>
              <w:jc w:val="both"/>
              <w:rPr>
                <w:rFonts w:eastAsia="Times New Roman"/>
                <w:lang w:val="hy-AM"/>
              </w:rPr>
            </w:pPr>
            <w:r w:rsidRPr="00BC61ED">
              <w:rPr>
                <w:rFonts w:eastAsia="Times New Roman"/>
                <w:lang w:val="hy-AM"/>
              </w:rPr>
              <w:t>Անշարժ գույքի հարկման՝ ներկայումս գործող համակարգի շրջանակներում անշարժ գույքի հարկը հաշվարկվում է անշարժ գույքի կադաստրային արժեքների հիման վրա, ինչը գործնականում չի ապահովում հարկման ուղղահայաց արդարության սկզբունքը և չի նպաստում համայնքների ֆինանսական կայունության մակարդակի բարձրացմանը:</w:t>
            </w:r>
          </w:p>
          <w:p w:rsidR="0068680D" w:rsidRPr="00BC61ED" w:rsidRDefault="0068680D" w:rsidP="00F47DC4">
            <w:pPr>
              <w:spacing w:line="276" w:lineRule="auto"/>
              <w:ind w:firstLine="375"/>
              <w:jc w:val="both"/>
              <w:rPr>
                <w:rFonts w:eastAsia="Times New Roman"/>
                <w:b/>
                <w:lang w:val="hy-AM"/>
              </w:rPr>
            </w:pPr>
            <w:r w:rsidRPr="00BC61ED">
              <w:rPr>
                <w:rFonts w:eastAsia="Times New Roman"/>
                <w:b/>
                <w:lang w:val="hy-AM"/>
              </w:rPr>
              <w:t>1.2 Առկա խնդիրների առաջարկվող լուծումները</w:t>
            </w:r>
          </w:p>
          <w:p w:rsidR="0068680D" w:rsidRPr="00BC61ED" w:rsidRDefault="0068680D" w:rsidP="00F47DC4">
            <w:pPr>
              <w:spacing w:line="276" w:lineRule="auto"/>
              <w:ind w:firstLine="375"/>
              <w:jc w:val="both"/>
              <w:rPr>
                <w:rFonts w:eastAsia="Times New Roman"/>
                <w:lang w:val="hy-AM"/>
              </w:rPr>
            </w:pPr>
            <w:r w:rsidRPr="00BC61ED">
              <w:rPr>
                <w:rFonts w:eastAsia="Times New Roman"/>
                <w:lang w:val="hy-AM"/>
              </w:rPr>
              <w:t>ՀՀ կառավարության նշյալ միջոցառմամբ նախատեսվում է մշակել և ՀՀ կառավարության քննարկմանը ներկայացնել անշարժ գույքի հարկման համակարգի կատարելագործմանն ուղղված օրենքի նախագիծ՝ նպատակ ունենալով անցում կատարել անշարժ գույքի շուկայական արժեքների հիման վրա անշարժ գույքի հարկի հաշվարկմանը:</w:t>
            </w:r>
          </w:p>
          <w:p w:rsidR="0068680D" w:rsidRPr="00BC61ED" w:rsidRDefault="0068680D" w:rsidP="00F47DC4">
            <w:pPr>
              <w:spacing w:line="276" w:lineRule="auto"/>
              <w:ind w:firstLine="375"/>
              <w:jc w:val="both"/>
              <w:rPr>
                <w:rFonts w:eastAsia="Times New Roman"/>
                <w:b/>
                <w:lang w:val="hy-AM"/>
              </w:rPr>
            </w:pPr>
            <w:r w:rsidRPr="00BC61ED">
              <w:rPr>
                <w:rFonts w:eastAsia="Times New Roman"/>
                <w:b/>
                <w:lang w:val="hy-AM"/>
              </w:rPr>
              <w:t>2.</w:t>
            </w:r>
            <w:r w:rsidRPr="00BC61ED">
              <w:rPr>
                <w:rFonts w:eastAsia="Times New Roman"/>
                <w:b/>
                <w:lang w:val="hy-AM"/>
              </w:rPr>
              <w:tab/>
              <w:t>Միջոցառման իրականացումից ակնկալվող արդյունքը</w:t>
            </w:r>
          </w:p>
          <w:p w:rsidR="0068680D" w:rsidRPr="00BC61ED" w:rsidRDefault="0068680D" w:rsidP="00F47DC4">
            <w:pPr>
              <w:spacing w:line="276" w:lineRule="auto"/>
              <w:ind w:firstLine="375"/>
              <w:jc w:val="both"/>
              <w:rPr>
                <w:rFonts w:eastAsia="Times New Roman"/>
                <w:lang w:val="hy-AM"/>
              </w:rPr>
            </w:pPr>
            <w:r w:rsidRPr="00BC61ED">
              <w:rPr>
                <w:rFonts w:eastAsia="Times New Roman"/>
                <w:lang w:val="hy-AM"/>
              </w:rPr>
              <w:t>Անշարժ գույքի հարկման համակարգի կատարելագործում և անշարժ գույքի հարկը գույքի իրական՝ շուկայական արժեքի հիման վրա հաշվարկելու ընթացակարգերի ներդրում՝ այն առավել արդարացի սկզբունքներով գործարկելու և համայնքների բյուջեների հարկային եկամուտների կարևոր աղբյուր դարձնելու նպատակով:</w:t>
            </w:r>
          </w:p>
        </w:tc>
      </w:tr>
      <w:tr w:rsidR="0068680D" w:rsidRPr="00DE2EFA" w:rsidTr="00F47DC4">
        <w:tc>
          <w:tcPr>
            <w:tcW w:w="480" w:type="dxa"/>
          </w:tcPr>
          <w:p w:rsidR="0068680D" w:rsidRPr="00BC61ED" w:rsidRDefault="0068680D" w:rsidP="00F47DC4">
            <w:pPr>
              <w:spacing w:line="276" w:lineRule="auto"/>
              <w:rPr>
                <w:rFonts w:eastAsia="Times New Roman"/>
                <w:lang w:val="hy-AM"/>
              </w:rPr>
            </w:pPr>
            <w:r>
              <w:rPr>
                <w:rFonts w:eastAsia="Times New Roman"/>
                <w:lang w:val="hy-AM"/>
              </w:rPr>
              <w:t>9</w:t>
            </w:r>
            <w:r w:rsidRPr="00BC61ED">
              <w:rPr>
                <w:rFonts w:eastAsia="Times New Roman"/>
                <w:lang w:val="hy-AM"/>
              </w:rPr>
              <w:t>.</w:t>
            </w:r>
          </w:p>
        </w:tc>
        <w:tc>
          <w:tcPr>
            <w:tcW w:w="10860" w:type="dxa"/>
          </w:tcPr>
          <w:p w:rsidR="0068680D" w:rsidRPr="00BC61ED" w:rsidRDefault="0068680D" w:rsidP="00F47DC4">
            <w:pPr>
              <w:spacing w:line="276" w:lineRule="auto"/>
              <w:ind w:firstLine="810"/>
              <w:jc w:val="center"/>
              <w:rPr>
                <w:rFonts w:eastAsia="Times New Roman"/>
                <w:b/>
                <w:lang w:val="hy-AM"/>
              </w:rPr>
            </w:pPr>
            <w:r w:rsidRPr="00BC61ED">
              <w:rPr>
                <w:rFonts w:eastAsia="Times New Roman"/>
                <w:b/>
                <w:lang w:val="hy-AM"/>
              </w:rPr>
              <w:t>Ակտիվ աշխատանքների իրականացում՝ ուղղված միջազգային հարկային հարաբերություններում ՀՀ ներգրավվածության ապահովմանը և միջազգային առևտրի հարկման լավագույն փորձին համապատասխան հարկային հարաբերությունների կարգավորումների կատարելագործմանը</w:t>
            </w:r>
          </w:p>
          <w:p w:rsidR="0068680D" w:rsidRPr="00BC61ED" w:rsidRDefault="0068680D" w:rsidP="00F47DC4">
            <w:pPr>
              <w:spacing w:line="276" w:lineRule="auto"/>
              <w:ind w:firstLine="810"/>
              <w:jc w:val="both"/>
              <w:rPr>
                <w:rFonts w:eastAsia="Times New Roman"/>
                <w:lang w:val="hy-AM"/>
              </w:rPr>
            </w:pPr>
          </w:p>
          <w:p w:rsidR="0068680D" w:rsidRPr="00BC61ED" w:rsidRDefault="0068680D" w:rsidP="00F47DC4">
            <w:pPr>
              <w:spacing w:line="276" w:lineRule="auto"/>
              <w:ind w:firstLine="810"/>
              <w:jc w:val="both"/>
              <w:rPr>
                <w:rFonts w:eastAsia="Times New Roman"/>
                <w:b/>
                <w:lang w:val="hy-AM"/>
              </w:rPr>
            </w:pPr>
            <w:r>
              <w:rPr>
                <w:rFonts w:eastAsia="Times New Roman"/>
                <w:b/>
                <w:lang w:val="hy-AM"/>
              </w:rPr>
              <w:t>9</w:t>
            </w:r>
            <w:r w:rsidRPr="00BC61ED">
              <w:rPr>
                <w:rFonts w:eastAsia="Times New Roman"/>
                <w:b/>
                <w:lang w:val="hy-AM"/>
              </w:rPr>
              <w:t>.1 Տնտեսական համագործակցության և զարգացման կազմակերպության (ՏՀԶԿ)` հարկման նպատակով թափանցիկության և տեղեկությունների փոխանակման գլոբալ ֆորումին անդամակցության շրջանակներում ըստ հարցման կամ ինքնաշխատ կերպով տեղեկատվության փոխանակման համակարգերի ներդրման աշխատանքների համակարգում,</w:t>
            </w:r>
          </w:p>
          <w:p w:rsidR="0068680D" w:rsidRPr="00BC61ED" w:rsidRDefault="0068680D" w:rsidP="00F47DC4">
            <w:pPr>
              <w:spacing w:line="276" w:lineRule="auto"/>
              <w:ind w:firstLine="810"/>
              <w:jc w:val="both"/>
              <w:rPr>
                <w:rFonts w:eastAsia="Times New Roman"/>
                <w:b/>
                <w:lang w:val="hy-AM"/>
              </w:rPr>
            </w:pPr>
            <w:r>
              <w:rPr>
                <w:rFonts w:eastAsia="Times New Roman"/>
                <w:b/>
                <w:lang w:val="hy-AM"/>
              </w:rPr>
              <w:t>9</w:t>
            </w:r>
            <w:r w:rsidRPr="00BC61ED">
              <w:rPr>
                <w:rFonts w:eastAsia="Times New Roman"/>
                <w:b/>
                <w:lang w:val="hy-AM"/>
              </w:rPr>
              <w:t>.2 Կրկնակի հարկումը բացառող համաձայնագրերի ցանցի ընդլայնում և արդիականացում:</w:t>
            </w:r>
          </w:p>
          <w:p w:rsidR="0068680D" w:rsidRPr="00BC61ED" w:rsidRDefault="0068680D" w:rsidP="00F47DC4">
            <w:pPr>
              <w:spacing w:line="276" w:lineRule="auto"/>
              <w:ind w:firstLine="375"/>
              <w:jc w:val="both"/>
              <w:rPr>
                <w:rFonts w:eastAsia="Times New Roman"/>
                <w:lang w:val="hy-AM"/>
              </w:rPr>
            </w:pPr>
          </w:p>
          <w:p w:rsidR="0068680D" w:rsidRPr="00BC61ED" w:rsidRDefault="0068680D" w:rsidP="00F47DC4">
            <w:pPr>
              <w:spacing w:line="276" w:lineRule="auto"/>
              <w:ind w:firstLine="375"/>
              <w:jc w:val="both"/>
              <w:rPr>
                <w:rFonts w:eastAsia="Times New Roman"/>
                <w:b/>
                <w:lang w:val="hy-AM"/>
              </w:rPr>
            </w:pPr>
            <w:r w:rsidRPr="00BC61ED">
              <w:rPr>
                <w:rFonts w:eastAsia="Times New Roman"/>
                <w:b/>
                <w:lang w:val="hy-AM"/>
              </w:rPr>
              <w:t>1.</w:t>
            </w:r>
            <w:r w:rsidRPr="00BC61ED">
              <w:rPr>
                <w:rFonts w:eastAsia="Times New Roman"/>
                <w:b/>
                <w:lang w:val="hy-AM"/>
              </w:rPr>
              <w:tab/>
              <w:t xml:space="preserve"> Միջոցառման իրականացման անհրաժեշտությունը և նպատակը</w:t>
            </w:r>
          </w:p>
          <w:p w:rsidR="0068680D" w:rsidRPr="00BC61ED" w:rsidRDefault="0068680D" w:rsidP="00F47DC4">
            <w:pPr>
              <w:spacing w:line="276" w:lineRule="auto"/>
              <w:ind w:firstLine="375"/>
              <w:jc w:val="both"/>
              <w:rPr>
                <w:rFonts w:eastAsia="Times New Roman"/>
                <w:lang w:val="hy-AM"/>
              </w:rPr>
            </w:pPr>
            <w:r w:rsidRPr="00BC61ED">
              <w:rPr>
                <w:rFonts w:eastAsia="Times New Roman"/>
                <w:lang w:val="hy-AM"/>
              </w:rPr>
              <w:t xml:space="preserve">Միջոցառման իրականացման անհրաժեշտությունը բխում է </w:t>
            </w:r>
            <w:r w:rsidRPr="00DD1660">
              <w:rPr>
                <w:lang w:val="af-ZA"/>
              </w:rPr>
              <w:t xml:space="preserve">ՀՀ Ազգային ժողովի 14.02.2019թ. N ԱԺՈ-002-Ն որոշմամբ հավանության արժանացած </w:t>
            </w:r>
            <w:r w:rsidRPr="00DD1660">
              <w:rPr>
                <w:lang w:val="hy-AM"/>
              </w:rPr>
              <w:t>ՀՀ</w:t>
            </w:r>
            <w:r w:rsidRPr="00DD1660">
              <w:rPr>
                <w:lang w:val="af-ZA"/>
              </w:rPr>
              <w:t xml:space="preserve"> կառավարության ծրագրի</w:t>
            </w:r>
            <w:r w:rsidRPr="00BC61ED">
              <w:rPr>
                <w:rFonts w:eastAsia="Times New Roman"/>
                <w:lang w:val="hy-AM"/>
              </w:rPr>
              <w:t xml:space="preserve"> «8. Պետական ֆինանսների կառավարումը» բաժնից:</w:t>
            </w:r>
          </w:p>
          <w:p w:rsidR="0068680D" w:rsidRPr="00BC61ED" w:rsidRDefault="0068680D" w:rsidP="00F47DC4">
            <w:pPr>
              <w:spacing w:line="276" w:lineRule="auto"/>
              <w:ind w:firstLine="375"/>
              <w:jc w:val="both"/>
              <w:rPr>
                <w:rFonts w:eastAsia="Times New Roman"/>
                <w:b/>
                <w:lang w:val="hy-AM"/>
              </w:rPr>
            </w:pPr>
            <w:r w:rsidRPr="00BC61ED">
              <w:rPr>
                <w:rFonts w:eastAsia="Times New Roman"/>
                <w:b/>
                <w:lang w:val="hy-AM"/>
              </w:rPr>
              <w:t>1.1</w:t>
            </w:r>
            <w:r w:rsidRPr="00BC61ED">
              <w:rPr>
                <w:rFonts w:eastAsia="Times New Roman"/>
                <w:b/>
                <w:lang w:val="hy-AM"/>
              </w:rPr>
              <w:tab/>
              <w:t xml:space="preserve">Կարգավորման հարաբերությունների ներկա վիճակը և առկա խնդիրները </w:t>
            </w:r>
          </w:p>
          <w:p w:rsidR="0068680D" w:rsidRPr="00BC61ED" w:rsidRDefault="0068680D" w:rsidP="00F47DC4">
            <w:pPr>
              <w:spacing w:line="276" w:lineRule="auto"/>
              <w:ind w:firstLine="375"/>
              <w:jc w:val="both"/>
              <w:rPr>
                <w:rFonts w:eastAsia="Times New Roman"/>
                <w:lang w:val="hy-AM"/>
              </w:rPr>
            </w:pPr>
            <w:r w:rsidRPr="00BC61ED">
              <w:rPr>
                <w:rFonts w:eastAsia="Times New Roman"/>
                <w:lang w:val="hy-AM"/>
              </w:rPr>
              <w:t>Ներկայումս տարբեր միջազգային կազմակերպությունների (հատկապես Տնտեսական համագործակցության և զարգացման կազմակերպության) և միավորումների կողմից բավականին ակտիվ աշխատանքներ և քննարկումներ են իրականացվում՝ ուղղված միջազգային առևտրին վերաբերող կարգավորումների հստակեցմանը, տարբեր պետություններում ձևավորվող հարկման բազաների պաշտպանության ուղղությամբ համապատասխան կարգավորումների ձևավորմանը, հարկման բազաներին վերաբերող տեղեկատվության փոխանակման միասնական համակարգերի ներդրմանը:</w:t>
            </w:r>
          </w:p>
          <w:p w:rsidR="0068680D" w:rsidRPr="00BC61ED" w:rsidRDefault="0068680D" w:rsidP="00F47DC4">
            <w:pPr>
              <w:spacing w:line="276" w:lineRule="auto"/>
              <w:ind w:firstLine="375"/>
              <w:jc w:val="both"/>
              <w:rPr>
                <w:rFonts w:eastAsia="Times New Roman"/>
                <w:lang w:val="hy-AM"/>
              </w:rPr>
            </w:pPr>
            <w:r w:rsidRPr="00BC61ED">
              <w:rPr>
                <w:rFonts w:eastAsia="Times New Roman"/>
                <w:lang w:val="hy-AM"/>
              </w:rPr>
              <w:t>Խնդիրը կայանում է նրանում, որ անհրաժեշտություն է առաջացել ավելի ակտիվացնել միջազգային հարկային հարաբերություններում ՀՀ ներգրավվածությունը և իրականացնել ակտիվ աշխատանքներ միջազգային առևտրի հարկման մոտեցումներում կատարվող փոփոխությունները ՀՀ հարկային օրենսդրության մեջ տեղայնացնելու համար:</w:t>
            </w:r>
          </w:p>
          <w:p w:rsidR="0068680D" w:rsidRPr="00BC61ED" w:rsidRDefault="0068680D" w:rsidP="00F47DC4">
            <w:pPr>
              <w:spacing w:line="276" w:lineRule="auto"/>
              <w:ind w:firstLine="375"/>
              <w:jc w:val="both"/>
              <w:rPr>
                <w:rFonts w:eastAsia="Times New Roman"/>
                <w:b/>
                <w:lang w:val="hy-AM"/>
              </w:rPr>
            </w:pPr>
            <w:r w:rsidRPr="00BC61ED">
              <w:rPr>
                <w:rFonts w:eastAsia="Times New Roman"/>
                <w:b/>
                <w:lang w:val="hy-AM"/>
              </w:rPr>
              <w:t>1.2 Առկա խնդիրների առաջարկվող լուծումները</w:t>
            </w:r>
          </w:p>
          <w:p w:rsidR="0068680D" w:rsidRPr="00BC61ED" w:rsidRDefault="0068680D" w:rsidP="00F47DC4">
            <w:pPr>
              <w:spacing w:line="276" w:lineRule="auto"/>
              <w:ind w:firstLine="375"/>
              <w:jc w:val="both"/>
              <w:rPr>
                <w:rFonts w:eastAsia="Times New Roman"/>
                <w:lang w:val="hy-AM"/>
              </w:rPr>
            </w:pPr>
            <w:r w:rsidRPr="00BC61ED">
              <w:rPr>
                <w:rFonts w:eastAsia="Times New Roman"/>
                <w:lang w:val="hy-AM"/>
              </w:rPr>
              <w:t>Վերոնշյալ խնդրի լուծման նպատակով առաջարկվում է՝</w:t>
            </w:r>
          </w:p>
          <w:p w:rsidR="0068680D" w:rsidRPr="00BC61ED" w:rsidRDefault="0068680D" w:rsidP="00F47DC4">
            <w:pPr>
              <w:spacing w:line="276" w:lineRule="auto"/>
              <w:ind w:firstLine="375"/>
              <w:jc w:val="both"/>
              <w:rPr>
                <w:rFonts w:eastAsia="Times New Roman"/>
                <w:lang w:val="hy-AM"/>
              </w:rPr>
            </w:pPr>
            <w:r w:rsidRPr="00BC61ED">
              <w:rPr>
                <w:rFonts w:eastAsia="Times New Roman"/>
                <w:lang w:val="hy-AM"/>
              </w:rPr>
              <w:t>ա. ակտիվ աշխատանքներ իրականացնել Տնտեսական համագործակցության և զարգացման կազմակերպության (ՏՀԶԿ)` հարկման նպատակով թափանցիկության և տեղեկությունների փոխանակման գլոբալ ֆորումի անդամակցության շրջանակներում ըստ հարցման կամ ինքնաշխատ կերպով տեղեկատվության փոխանակման համակարգերի ներդրման ուղղությամբ,</w:t>
            </w:r>
          </w:p>
          <w:p w:rsidR="0068680D" w:rsidRPr="00BC61ED" w:rsidRDefault="0068680D" w:rsidP="00F47DC4">
            <w:pPr>
              <w:spacing w:line="276" w:lineRule="auto"/>
              <w:ind w:firstLine="375"/>
              <w:jc w:val="both"/>
              <w:rPr>
                <w:rFonts w:eastAsia="Times New Roman"/>
                <w:lang w:val="hy-AM"/>
              </w:rPr>
            </w:pPr>
            <w:r w:rsidRPr="00BC61ED">
              <w:rPr>
                <w:rFonts w:eastAsia="Times New Roman"/>
                <w:lang w:val="hy-AM"/>
              </w:rPr>
              <w:t>բ. ակտիվ աշխատանքներ իրականացնել կրկնակի հարկումը բացառող համաձայնագրերի ցանցի ընդլայնման և արդիականացման ուղղությամբ:</w:t>
            </w:r>
          </w:p>
          <w:p w:rsidR="0068680D" w:rsidRPr="00BC61ED" w:rsidRDefault="0068680D" w:rsidP="00F47DC4">
            <w:pPr>
              <w:spacing w:line="276" w:lineRule="auto"/>
              <w:ind w:firstLine="375"/>
              <w:jc w:val="both"/>
              <w:rPr>
                <w:rFonts w:eastAsia="Times New Roman"/>
                <w:b/>
                <w:lang w:val="hy-AM"/>
              </w:rPr>
            </w:pPr>
            <w:r w:rsidRPr="00BC61ED">
              <w:rPr>
                <w:rFonts w:eastAsia="Times New Roman"/>
                <w:b/>
                <w:lang w:val="hy-AM"/>
              </w:rPr>
              <w:t>2.</w:t>
            </w:r>
            <w:r w:rsidRPr="00BC61ED">
              <w:rPr>
                <w:rFonts w:eastAsia="Times New Roman"/>
                <w:b/>
                <w:lang w:val="hy-AM"/>
              </w:rPr>
              <w:tab/>
              <w:t>Միջոցառման իրականացումից ակնկալվող արդյունքը</w:t>
            </w:r>
          </w:p>
          <w:p w:rsidR="0068680D" w:rsidRPr="00BC61ED" w:rsidRDefault="0068680D" w:rsidP="00F47DC4">
            <w:pPr>
              <w:spacing w:line="276" w:lineRule="auto"/>
              <w:ind w:firstLine="375"/>
              <w:jc w:val="both"/>
              <w:rPr>
                <w:rFonts w:eastAsia="Times New Roman"/>
                <w:lang w:val="hy-AM"/>
              </w:rPr>
            </w:pPr>
            <w:r w:rsidRPr="00BC61ED">
              <w:rPr>
                <w:rFonts w:eastAsia="Times New Roman"/>
                <w:lang w:val="hy-AM"/>
              </w:rPr>
              <w:t>Միջոցառման իրականացման արդյունքում ակնկալվում է ապահովել միջազգային հարկային հարաբերություններում ՀՀ ներգրավվածությունը և իրականացնել ակտիվ աշխատանքներ միջազգային առևտրի հարկման մոտեցումներում կատարվող փոփոխությունները ՀՀ հարկային օրենսդրության մեջ տեղայնացնելու համար:</w:t>
            </w:r>
          </w:p>
        </w:tc>
      </w:tr>
    </w:tbl>
    <w:p w:rsidR="0068680D" w:rsidRPr="0068680D" w:rsidRDefault="0068680D">
      <w:pPr>
        <w:rPr>
          <w:lang w:val="hy-AM"/>
        </w:rPr>
      </w:pPr>
    </w:p>
    <w:p w:rsidR="002F62E8" w:rsidRPr="001F6D5D" w:rsidRDefault="002F62E8">
      <w:pPr>
        <w:rPr>
          <w:lang w:val="hy-AM"/>
        </w:rPr>
      </w:pPr>
    </w:p>
    <w:tbl>
      <w:tblPr>
        <w:tblStyle w:val="TableGrid1"/>
        <w:tblW w:w="11401" w:type="dxa"/>
        <w:tblInd w:w="137" w:type="dxa"/>
        <w:shd w:val="clear" w:color="auto" w:fill="FFFF00"/>
        <w:tblLook w:val="04A0" w:firstRow="1" w:lastRow="0" w:firstColumn="1" w:lastColumn="0" w:noHBand="0" w:noVBand="1"/>
      </w:tblPr>
      <w:tblGrid>
        <w:gridCol w:w="11401"/>
      </w:tblGrid>
      <w:tr w:rsidR="002F62E8" w:rsidRPr="0053423A" w:rsidTr="002F62E8">
        <w:tc>
          <w:tcPr>
            <w:tcW w:w="11401" w:type="dxa"/>
            <w:shd w:val="clear" w:color="auto" w:fill="FFFF00"/>
          </w:tcPr>
          <w:p w:rsidR="002F62E8" w:rsidRPr="0053423A" w:rsidRDefault="002F62E8" w:rsidP="00A67858">
            <w:pPr>
              <w:spacing w:line="276" w:lineRule="auto"/>
              <w:jc w:val="center"/>
              <w:rPr>
                <w:rFonts w:cs="Sylfaen"/>
                <w:b/>
                <w:lang w:val="hy-AM" w:eastAsia="en-GB"/>
              </w:rPr>
            </w:pPr>
            <w:r w:rsidRPr="0053423A">
              <w:rPr>
                <w:rFonts w:cs="Sylfaen"/>
                <w:b/>
                <w:lang w:val="hy-AM" w:eastAsia="en-GB"/>
              </w:rPr>
              <w:t>Անշարժ գույքի կադաստրի կոմիտե</w:t>
            </w:r>
          </w:p>
        </w:tc>
      </w:tr>
    </w:tbl>
    <w:p w:rsidR="002F62E8" w:rsidRDefault="002F62E8"/>
    <w:tbl>
      <w:tblPr>
        <w:tblStyle w:val="TableGrid2"/>
        <w:tblW w:w="0" w:type="auto"/>
        <w:tblInd w:w="137" w:type="dxa"/>
        <w:tblLayout w:type="fixed"/>
        <w:tblLook w:val="04A0" w:firstRow="1" w:lastRow="0" w:firstColumn="1" w:lastColumn="0" w:noHBand="0" w:noVBand="1"/>
      </w:tblPr>
      <w:tblGrid>
        <w:gridCol w:w="425"/>
        <w:gridCol w:w="10915"/>
      </w:tblGrid>
      <w:tr w:rsidR="0068680D" w:rsidRPr="00DE2EFA"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1.</w:t>
            </w:r>
          </w:p>
        </w:tc>
        <w:tc>
          <w:tcPr>
            <w:tcW w:w="10915" w:type="dxa"/>
          </w:tcPr>
          <w:p w:rsidR="0068680D" w:rsidRPr="00BC61ED" w:rsidRDefault="0068680D" w:rsidP="00F47DC4">
            <w:pPr>
              <w:pStyle w:val="ListParagraph"/>
              <w:spacing w:line="276" w:lineRule="auto"/>
              <w:ind w:left="0"/>
              <w:jc w:val="center"/>
              <w:rPr>
                <w:b/>
                <w:sz w:val="20"/>
                <w:szCs w:val="20"/>
                <w:lang w:val="hy-AM" w:eastAsia="en-GB"/>
              </w:rPr>
            </w:pPr>
            <w:r w:rsidRPr="00BC61ED">
              <w:rPr>
                <w:b/>
                <w:sz w:val="20"/>
                <w:szCs w:val="20"/>
                <w:lang w:val="hy-AM" w:eastAsia="en-GB"/>
              </w:rPr>
              <w:t>Ինտեգրված կադաստրի ստեղծում</w:t>
            </w:r>
          </w:p>
          <w:p w:rsidR="0068680D" w:rsidRPr="00BC61ED" w:rsidRDefault="0068680D" w:rsidP="00F47DC4">
            <w:pPr>
              <w:pStyle w:val="ListParagraph"/>
              <w:spacing w:line="276" w:lineRule="auto"/>
              <w:ind w:left="0"/>
              <w:jc w:val="center"/>
              <w:rPr>
                <w:sz w:val="20"/>
                <w:szCs w:val="20"/>
                <w:lang w:val="hy-AM" w:eastAsia="en-GB"/>
              </w:rPr>
            </w:pPr>
          </w:p>
          <w:p w:rsidR="0068680D" w:rsidRPr="00BC61ED" w:rsidRDefault="0068680D" w:rsidP="00F47DC4">
            <w:pPr>
              <w:spacing w:line="276" w:lineRule="auto"/>
              <w:jc w:val="both"/>
              <w:rPr>
                <w:b/>
                <w:sz w:val="20"/>
                <w:szCs w:val="20"/>
                <w:lang w:val="hy-AM"/>
              </w:rPr>
            </w:pPr>
            <w:r w:rsidRPr="00BC61ED">
              <w:rPr>
                <w:b/>
                <w:sz w:val="20"/>
                <w:szCs w:val="20"/>
                <w:lang w:val="hy-AM"/>
              </w:rPr>
              <w:t xml:space="preserve">   1.  Միջոցառման իրականացման անհրաժեշտությունը և նպատակը</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Ինտեգրված կադաստրի միջոցառման իրականացումը տարածական հղմամբ պետական միասնական տեղեկատվական համակարգի ստեղծումն է, որը կենտրոնացնում է հանրապետության բնական և մարդածին ռեսուրսների, դրանց իրավական կարգավիճակի և արժեքի վերաբերյալ ամբողջական տեքստային ու գրաֆիկական տվյալները և նպատակաուղղված է ռեսուրսների կառավարման արդյունավետության բարձրացմանը:</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Միջոցառման իրականացման համար ընդունման ենթակա են ՀՀ օրենքներ, ՀՀ կառավարության, վարչապետի որոշումներ, ընդունման համար հիմք են հանդիսանում ՀՀ Սահմանադրության 153-րդ հոդվածը, </w:t>
            </w:r>
            <w:r w:rsidRPr="00DD1660">
              <w:rPr>
                <w:sz w:val="20"/>
                <w:lang w:val="af-ZA"/>
              </w:rPr>
              <w:t xml:space="preserve">ՀՀ Ազգային ժողովի 14.02.2019թ. N ԱԺՈ-002-Ն որոշմամբ հավանության արժանացած </w:t>
            </w:r>
            <w:r w:rsidRPr="00DD1660">
              <w:rPr>
                <w:sz w:val="20"/>
                <w:lang w:val="hy-AM"/>
              </w:rPr>
              <w:t>ՀՀ</w:t>
            </w:r>
            <w:r w:rsidRPr="00DD1660">
              <w:rPr>
                <w:sz w:val="20"/>
                <w:lang w:val="af-ZA"/>
              </w:rPr>
              <w:t xml:space="preserve"> կառավարության ծրագրի</w:t>
            </w:r>
            <w:r w:rsidRPr="00BC61ED">
              <w:rPr>
                <w:sz w:val="20"/>
                <w:szCs w:val="20"/>
                <w:lang w:val="hy-AM" w:eastAsia="en-GB"/>
              </w:rPr>
              <w:t xml:space="preserve"> 1-ին բաժնի 4-րդ կետը: </w:t>
            </w:r>
          </w:p>
          <w:p w:rsidR="0068680D" w:rsidRPr="00BC61ED" w:rsidRDefault="0068680D" w:rsidP="00F47DC4">
            <w:pPr>
              <w:pStyle w:val="ListParagraph"/>
              <w:spacing w:line="276" w:lineRule="auto"/>
              <w:ind w:left="0"/>
              <w:jc w:val="both"/>
              <w:rPr>
                <w:b/>
                <w:sz w:val="20"/>
                <w:szCs w:val="20"/>
                <w:lang w:val="hy-AM" w:eastAsia="en-GB"/>
              </w:rPr>
            </w:pPr>
            <w:r w:rsidRPr="00BC61ED">
              <w:rPr>
                <w:b/>
                <w:sz w:val="20"/>
                <w:szCs w:val="20"/>
                <w:lang w:val="hy-AM" w:eastAsia="en-GB"/>
              </w:rPr>
              <w:t xml:space="preserve">   1.1. Կարգավորման հարաբերությունների ներկա վիճակը և առկա խնդիրները</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Հայաստանի Հանրապետության տնտեսության կառավարման մի շարք ոլորտներ կարգավորող օրենսդրությամբ` օրենսգրքերով և օրենքներով, համապատասխան կառավարման մարմինների համար սահմանվել են իրենց ոլորտների կառավարման ներքո գտնվող օբյեկտների, գույքի և ռեսուրսների կադաստրների վարման գործառույթներ, սակայն դրանք հիմնականում չեն իրականացվել, իսկ որոշ դեպքերում ստեղծվել են տեղեկատվական ֆոնդեր կամ համակարգեր  այլ ոլորտներից՝ անկախ, չհամաձայնեցված, որը լուրջ դժվարություններ է հարուցում պետական համալիր ծրագրերի մշակման և արդյունավետ իրագործման համար:</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Ակնհայտ է, որ ոլորտային կադաստրների վարումը անհամեմատ ավելի արդյունավետ կարող է լինել՝ դրանք ամբողջական միասնական համակարգի մեջ ընդգրկելով: Այն փոխկապակցված և փոխհամաձայնեցված կադաստրների և ռեգիստրների համալիր է՝ ընդհանուր և միասնական մեթոդական սկզբունքներով  և տեղեկատվական  հիմքով:   </w:t>
            </w:r>
          </w:p>
          <w:p w:rsidR="0068680D" w:rsidRPr="00BC61ED" w:rsidRDefault="0068680D" w:rsidP="00F47DC4">
            <w:pPr>
              <w:pStyle w:val="ListParagraph"/>
              <w:spacing w:line="276" w:lineRule="auto"/>
              <w:ind w:left="0"/>
              <w:jc w:val="both"/>
              <w:rPr>
                <w:b/>
                <w:sz w:val="20"/>
                <w:szCs w:val="20"/>
                <w:lang w:val="hy-AM" w:eastAsia="en-GB"/>
              </w:rPr>
            </w:pPr>
            <w:r w:rsidRPr="00BC61ED">
              <w:rPr>
                <w:b/>
                <w:sz w:val="20"/>
                <w:szCs w:val="20"/>
                <w:lang w:val="hy-AM" w:eastAsia="en-GB"/>
              </w:rPr>
              <w:t xml:space="preserve">   1.2. Առկա խնդիրների առաջարկվող լուծումները</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Անշարժ գույքի կադաստրի կոմիտեի «Գեոդեզիա և քարտեզագրություն» ՊՈԱԿ-ում զգալի աշխատանքներ են կատարվել երկրատեղեկատվական բազային համակարգերի ստեղծման ուղղությամբ: Ժամանակակից թվային տեխնոլոգիաների կիրառմամբ մշակվել  են Երևան, Գյումրի և Վանաձոր քաղաքների բազային երկրատեղեկատվական համակարգերը: Ձեռք են բերվել մասնագիտական անհրաժեշտ փորձառություն, համապատասխան տեխնիկական միջոցներ, պատրաստվել են կադրեր: Կոմիտեի ստորաբաժանումներում կուտակած տեղեկատվական բանկը և երկրատեղեկատվական համակարգի բազան հնարավորություն են տալիս կազմակերպելու և համակարգելու ոլորտների թեմատիկ կադաստրների տեղեկատվական բանկի ստեղծումը և դրանք ամբողջացնելով՝ ընդգրկել  ինտեգրված կադաստրի և երկրատեղեկատվական համակարգի մեջ:</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Ծրագրի իրականացման համար ստեղծվելու է միջգերատեսչական հանձնաժողով, որում ընդգկվելու են համակատարող մարմիններ՝ Բնապահպանության նախարարությունը, Էներգետիկ ենթակառուցվածքների և բնական պաշարների նախարարությունը, Տարածքային կառավարման և զարգացման նախարարությունը, Մշակույթի նախարարությունը, Գյուղատնտեսության նախարարությունը, Տրանսպորտի, կապի և տեղեկատվական տեխնոլոգիաների նախարարությունը, Արտակարգ իրավիճակների նախարարությունը, Քաղաքաշինության կոմիտեն, Ոստիկանությունը, Երևանի քաղաքապետարանը: Նշված մարմինների կողմից միջոցառման առնչությամբ կատարման ենթակա գործողությունները կհաստատվեն ստեղծվելիք հանձնաժողովի աշխատակարգով:</w:t>
            </w:r>
          </w:p>
          <w:p w:rsidR="0068680D" w:rsidRPr="00BC61ED" w:rsidRDefault="0068680D" w:rsidP="00F47DC4">
            <w:pPr>
              <w:pStyle w:val="ListParagraph"/>
              <w:spacing w:line="276" w:lineRule="auto"/>
              <w:ind w:left="0"/>
              <w:jc w:val="both"/>
              <w:rPr>
                <w:b/>
                <w:sz w:val="20"/>
                <w:szCs w:val="20"/>
                <w:lang w:val="hy-AM" w:eastAsia="en-GB"/>
              </w:rPr>
            </w:pPr>
            <w:r w:rsidRPr="00BC61ED">
              <w:rPr>
                <w:sz w:val="20"/>
                <w:szCs w:val="20"/>
                <w:lang w:val="hy-AM" w:eastAsia="en-GB"/>
              </w:rPr>
              <w:t xml:space="preserve">   </w:t>
            </w:r>
            <w:r w:rsidRPr="00BC61ED">
              <w:rPr>
                <w:b/>
                <w:sz w:val="20"/>
                <w:szCs w:val="20"/>
                <w:lang w:val="hy-AM" w:eastAsia="en-GB"/>
              </w:rPr>
              <w:t>Կիրականացվեն հետևյալ միջոցառումները՝</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1. Հայեցակարգի մշակում և ներկայացում,</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2. Միջգերատեսչական հանձնաժողովի ստեղծում և աշխատակարգի հաստատում,</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3. Տեխնիկական առաջադրանքի կազմում, որը արտացոլված է լինելու նաև ռազմավարական ծրագրում,</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4. Ինտեգրված կադաստրի ստեղծման ռազմավարական ծրագիր,</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5. Համակարգի տեխնիկական (սերվերային համակարգ և կառավարման կենտրոն) և ծրագրային ապահովման միջոցների ձեռքբերում և տեղադրում, </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6. Տարածական տվյալների կառավարման (ԵՏՀ/GIS) մասնագետների վերապատրաստում,</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7. Գործող իրավական ակտերում փոփոխությունների իրականացում, անհրաժեշտության դեպքում նոր կարգավորումների, այդ թվում՝ ազգային տարածական տվյալների ենթակառուցվածքի (ստանդարտների), նախագծերի մշակում,</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8. Բազային կադաստրի մշակման աշխատանքների իրականացում և գործարկում,</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9. Պիլոտային ոլորտային կադաստրի ստեղծում և ներդրում,</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10. Ինտեգրված կադաստրի ոլորտային բաղադրիչների ստեղծում և համակարգի ամբողջական գործարկում:</w:t>
            </w:r>
          </w:p>
          <w:p w:rsidR="0068680D" w:rsidRPr="00BC61ED" w:rsidRDefault="0068680D" w:rsidP="00F47DC4">
            <w:pPr>
              <w:pStyle w:val="ListParagraph"/>
              <w:spacing w:line="276" w:lineRule="auto"/>
              <w:ind w:left="0"/>
              <w:jc w:val="both"/>
              <w:rPr>
                <w:b/>
                <w:sz w:val="20"/>
                <w:szCs w:val="20"/>
                <w:lang w:val="hy-AM"/>
              </w:rPr>
            </w:pPr>
            <w:r w:rsidRPr="00BC61ED">
              <w:rPr>
                <w:b/>
                <w:sz w:val="20"/>
                <w:szCs w:val="20"/>
                <w:lang w:val="hy-AM" w:eastAsia="en-GB"/>
              </w:rPr>
              <w:t xml:space="preserve">   </w:t>
            </w:r>
            <w:r w:rsidRPr="00BC61ED">
              <w:rPr>
                <w:b/>
                <w:sz w:val="20"/>
                <w:szCs w:val="20"/>
                <w:lang w:val="hy-AM"/>
              </w:rPr>
              <w:t>2. Միջոցառման իրականացումից ակնկալվող արդյունքը</w:t>
            </w:r>
          </w:p>
          <w:p w:rsidR="0068680D" w:rsidRPr="00BC61ED" w:rsidRDefault="0068680D" w:rsidP="00F47DC4">
            <w:pPr>
              <w:spacing w:line="276" w:lineRule="auto"/>
              <w:jc w:val="both"/>
              <w:rPr>
                <w:sz w:val="20"/>
                <w:szCs w:val="20"/>
                <w:lang w:val="hy-AM"/>
              </w:rPr>
            </w:pPr>
            <w:r w:rsidRPr="00BC61ED">
              <w:rPr>
                <w:sz w:val="20"/>
                <w:szCs w:val="20"/>
                <w:lang w:val="hy-AM"/>
              </w:rPr>
              <w:t xml:space="preserve">   1) Ինքնաշխատ ամբողջական տեղեկատվական ռեսուրսի ստեղծում՝ փոխկապակցված տեղեկատվական փաստաթղթերի հիման վրա.</w:t>
            </w:r>
          </w:p>
          <w:p w:rsidR="0068680D" w:rsidRPr="00BC61ED" w:rsidRDefault="0068680D" w:rsidP="00F47DC4">
            <w:pPr>
              <w:spacing w:line="276" w:lineRule="auto"/>
              <w:jc w:val="both"/>
              <w:rPr>
                <w:sz w:val="20"/>
                <w:szCs w:val="20"/>
                <w:lang w:val="hy-AM"/>
              </w:rPr>
            </w:pPr>
            <w:r w:rsidRPr="00BC61ED">
              <w:rPr>
                <w:sz w:val="20"/>
                <w:szCs w:val="20"/>
                <w:lang w:val="hy-AM"/>
              </w:rPr>
              <w:t xml:space="preserve">   2) Տարածքների, տնտեսության, բնական պաշարների, բնապահպանական, քաղաքաշինական և այլ գործընթացների արագ և արդյունավետ կառավարում.</w:t>
            </w:r>
          </w:p>
          <w:p w:rsidR="0068680D" w:rsidRPr="00BC61ED" w:rsidRDefault="0068680D" w:rsidP="00F47DC4">
            <w:pPr>
              <w:spacing w:line="276" w:lineRule="auto"/>
              <w:jc w:val="both"/>
              <w:rPr>
                <w:sz w:val="20"/>
                <w:szCs w:val="20"/>
                <w:lang w:val="hy-AM"/>
              </w:rPr>
            </w:pPr>
            <w:r w:rsidRPr="00BC61ED">
              <w:rPr>
                <w:sz w:val="20"/>
                <w:szCs w:val="20"/>
                <w:lang w:val="hy-AM"/>
              </w:rPr>
              <w:t xml:space="preserve">   3) Իրական ժամանակի ռեժիմում, փոխկապակցված, հավաստի տեղեկության միջոցով իրավիճակի համալիր վերլուծությամբ հիմնավորված որոշումների ընդունում` կրճատելով համաձայնեցումների գրավոր ձևերին տրամադրվող ժամանակը.</w:t>
            </w:r>
          </w:p>
          <w:p w:rsidR="0068680D" w:rsidRPr="00BC61ED" w:rsidRDefault="0068680D" w:rsidP="00F47DC4">
            <w:pPr>
              <w:spacing w:line="276" w:lineRule="auto"/>
              <w:jc w:val="both"/>
              <w:rPr>
                <w:sz w:val="20"/>
                <w:szCs w:val="20"/>
                <w:lang w:val="hy-AM"/>
              </w:rPr>
            </w:pPr>
            <w:r w:rsidRPr="00BC61ED">
              <w:rPr>
                <w:sz w:val="20"/>
                <w:szCs w:val="20"/>
                <w:lang w:val="hy-AM"/>
              </w:rPr>
              <w:t xml:space="preserve">   4) Ֆինանսական միջոցների և աշխատանքային ռեսուրսների խնայողություն.</w:t>
            </w:r>
          </w:p>
          <w:p w:rsidR="0068680D" w:rsidRPr="00BC61ED" w:rsidRDefault="0068680D" w:rsidP="00F47DC4">
            <w:pPr>
              <w:spacing w:line="276" w:lineRule="auto"/>
              <w:jc w:val="both"/>
              <w:rPr>
                <w:sz w:val="20"/>
                <w:szCs w:val="20"/>
                <w:lang w:val="hy-AM"/>
              </w:rPr>
            </w:pPr>
            <w:r w:rsidRPr="00BC61ED">
              <w:rPr>
                <w:sz w:val="20"/>
                <w:szCs w:val="20"/>
                <w:lang w:val="hy-AM"/>
              </w:rPr>
              <w:t xml:space="preserve">   5) Հասարակության իրազեկվածության և տեղեկատվության հասանելիության բարձր մակարդակ.</w:t>
            </w:r>
          </w:p>
          <w:p w:rsidR="0068680D" w:rsidRPr="00BC61ED" w:rsidRDefault="0068680D" w:rsidP="00F47DC4">
            <w:pPr>
              <w:spacing w:line="276" w:lineRule="auto"/>
              <w:jc w:val="both"/>
              <w:rPr>
                <w:sz w:val="20"/>
                <w:szCs w:val="20"/>
                <w:lang w:val="hy-AM"/>
              </w:rPr>
            </w:pPr>
            <w:r w:rsidRPr="00BC61ED">
              <w:rPr>
                <w:sz w:val="20"/>
                <w:szCs w:val="20"/>
                <w:lang w:val="hy-AM"/>
              </w:rPr>
              <w:t xml:space="preserve">   6) Նորագույն  ինֆորմացիոն տեխնոլոգիաների և տեխնիկական միջոցների ներդրման արագություն և արդյունավետություն:</w:t>
            </w:r>
          </w:p>
        </w:tc>
      </w:tr>
      <w:tr w:rsidR="0068680D" w:rsidRPr="00DE2EFA"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2.</w:t>
            </w:r>
          </w:p>
        </w:tc>
        <w:tc>
          <w:tcPr>
            <w:tcW w:w="10915" w:type="dxa"/>
          </w:tcPr>
          <w:p w:rsidR="0068680D" w:rsidRPr="00BC61ED" w:rsidRDefault="0068680D" w:rsidP="00F47DC4">
            <w:pPr>
              <w:spacing w:line="276" w:lineRule="auto"/>
              <w:jc w:val="center"/>
              <w:rPr>
                <w:rFonts w:cs="Sylfaen"/>
                <w:b/>
                <w:sz w:val="20"/>
                <w:szCs w:val="20"/>
                <w:lang w:val="hy-AM"/>
              </w:rPr>
            </w:pPr>
            <w:r w:rsidRPr="00BC61ED">
              <w:rPr>
                <w:rFonts w:cs="Sylfaen"/>
                <w:b/>
                <w:sz w:val="20"/>
                <w:szCs w:val="20"/>
                <w:lang w:val="hy-AM"/>
              </w:rPr>
              <w:t>Առցանց</w:t>
            </w:r>
            <w:r w:rsidRPr="00BC61ED">
              <w:rPr>
                <w:rFonts w:cs="Courier New"/>
                <w:b/>
                <w:sz w:val="20"/>
                <w:szCs w:val="20"/>
                <w:lang w:val="hy-AM"/>
              </w:rPr>
              <w:t xml:space="preserve">, </w:t>
            </w:r>
            <w:r w:rsidRPr="00BC61ED">
              <w:rPr>
                <w:rFonts w:cs="Sylfaen"/>
                <w:b/>
                <w:sz w:val="20"/>
                <w:szCs w:val="20"/>
                <w:lang w:val="hy-AM"/>
              </w:rPr>
              <w:t>ինքնաշխատ, անթուղթ</w:t>
            </w:r>
            <w:r w:rsidRPr="00BC61ED">
              <w:rPr>
                <w:rFonts w:cs="Courier New"/>
                <w:b/>
                <w:sz w:val="20"/>
                <w:szCs w:val="20"/>
                <w:lang w:val="hy-AM"/>
              </w:rPr>
              <w:t xml:space="preserve"> </w:t>
            </w:r>
            <w:r w:rsidRPr="00BC61ED">
              <w:rPr>
                <w:rFonts w:cs="Sylfaen"/>
                <w:b/>
                <w:sz w:val="20"/>
                <w:szCs w:val="20"/>
                <w:lang w:val="hy-AM"/>
              </w:rPr>
              <w:t>անշարժ</w:t>
            </w:r>
            <w:r w:rsidRPr="00BC61ED">
              <w:rPr>
                <w:rFonts w:cs="Courier New"/>
                <w:b/>
                <w:sz w:val="20"/>
                <w:szCs w:val="20"/>
                <w:lang w:val="hy-AM"/>
              </w:rPr>
              <w:t xml:space="preserve"> </w:t>
            </w:r>
            <w:r w:rsidRPr="00BC61ED">
              <w:rPr>
                <w:rFonts w:cs="Sylfaen"/>
                <w:b/>
                <w:sz w:val="20"/>
                <w:szCs w:val="20"/>
                <w:lang w:val="hy-AM"/>
              </w:rPr>
              <w:t>գույքի</w:t>
            </w:r>
            <w:r w:rsidRPr="00BC61ED">
              <w:rPr>
                <w:rFonts w:cs="Courier New"/>
                <w:b/>
                <w:sz w:val="20"/>
                <w:szCs w:val="20"/>
                <w:lang w:val="hy-AM"/>
              </w:rPr>
              <w:t xml:space="preserve"> </w:t>
            </w:r>
            <w:r w:rsidRPr="00BC61ED">
              <w:rPr>
                <w:rFonts w:cs="Sylfaen"/>
                <w:b/>
                <w:sz w:val="20"/>
                <w:szCs w:val="20"/>
                <w:lang w:val="hy-AM"/>
              </w:rPr>
              <w:t>կադաստրի ներդրում</w:t>
            </w:r>
          </w:p>
          <w:p w:rsidR="0068680D" w:rsidRPr="00BC61ED" w:rsidRDefault="0068680D" w:rsidP="00F47DC4">
            <w:pPr>
              <w:spacing w:line="276" w:lineRule="auto"/>
              <w:jc w:val="center"/>
              <w:rPr>
                <w:rFonts w:cs="Sylfaen"/>
                <w:sz w:val="20"/>
                <w:szCs w:val="20"/>
                <w:lang w:val="hy-AM"/>
              </w:rPr>
            </w:pPr>
          </w:p>
          <w:p w:rsidR="0068680D" w:rsidRPr="00BC61ED" w:rsidRDefault="0068680D" w:rsidP="00F47DC4">
            <w:pPr>
              <w:spacing w:line="276" w:lineRule="auto"/>
              <w:jc w:val="both"/>
              <w:rPr>
                <w:b/>
                <w:sz w:val="20"/>
                <w:szCs w:val="20"/>
                <w:lang w:val="hy-AM"/>
              </w:rPr>
            </w:pPr>
            <w:r w:rsidRPr="00BC61ED">
              <w:rPr>
                <w:sz w:val="20"/>
                <w:szCs w:val="20"/>
                <w:lang w:val="hy-AM"/>
              </w:rPr>
              <w:t xml:space="preserve">   </w:t>
            </w:r>
            <w:r w:rsidRPr="00BC61ED">
              <w:rPr>
                <w:b/>
                <w:sz w:val="20"/>
                <w:szCs w:val="20"/>
                <w:lang w:val="hy-AM"/>
              </w:rPr>
              <w:t>1.  Միջոցառման իրականացման անհրաժեշտությունը և նպատակը</w:t>
            </w:r>
          </w:p>
          <w:p w:rsidR="0068680D" w:rsidRPr="00BC61ED" w:rsidRDefault="0068680D" w:rsidP="00F47DC4">
            <w:pPr>
              <w:spacing w:line="276" w:lineRule="auto"/>
              <w:jc w:val="both"/>
              <w:rPr>
                <w:sz w:val="20"/>
                <w:szCs w:val="20"/>
                <w:lang w:val="hy-AM"/>
              </w:rPr>
            </w:pPr>
            <w:r w:rsidRPr="00BC61ED">
              <w:rPr>
                <w:sz w:val="20"/>
                <w:szCs w:val="20"/>
                <w:lang w:val="hy-AM"/>
              </w:rPr>
              <w:t>Միջոցառման իրականացումն է էականորեն պարզեցնել և դյուրացնել կադաստրի կոմիտեի կողմից մատուցվող ծառայություններից օգտվելը, հնարավորություն ընձեռել դրանցից օգտվել հիմնականում առանց կադաստր վարող մարմին ներկայանալու և հնարավորինս կարճ ժամկետներում հնարավորինս բացառել քաղաքացիների և պաշտոնատար անձանց անմիջական շփումը, ինչպես նաև նվազեցնել կադաստրի աշխատակիցների ծանրաբեռնվածությունը և հնարավոր դարձնել համակարգի և աշխատակիցների օպտիմալացումը, արդյունքում՝ նվազեցնել համակարգի պահպանման ծախսերը և ավելացնել եկամուտները:</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Միջոցառման իրականացման համար ընդունման ենթակա է ՀՀ օրենք, ընդունման համար հիմք է հանդիսանում ՀՀ կառավարության 2018 թվականի սեպտեմբերի 6-ի N 1030-Լ որոշմամբ հաստատված N 1 հավելվածի 274-րդ կետը: </w:t>
            </w:r>
          </w:p>
          <w:p w:rsidR="0068680D" w:rsidRPr="00BC61ED" w:rsidRDefault="0068680D" w:rsidP="00F47DC4">
            <w:pPr>
              <w:pStyle w:val="ListParagraph"/>
              <w:spacing w:line="276" w:lineRule="auto"/>
              <w:ind w:left="0"/>
              <w:jc w:val="both"/>
              <w:rPr>
                <w:b/>
                <w:sz w:val="20"/>
                <w:szCs w:val="20"/>
                <w:lang w:val="hy-AM" w:eastAsia="en-GB"/>
              </w:rPr>
            </w:pPr>
            <w:r w:rsidRPr="00BC61ED">
              <w:rPr>
                <w:b/>
                <w:sz w:val="20"/>
                <w:szCs w:val="20"/>
                <w:lang w:val="hy-AM" w:eastAsia="en-GB"/>
              </w:rPr>
              <w:t xml:space="preserve">   1.1. Կարգավորման հարաբերությունների ներկա վիճակը և առկա խնդիրները</w:t>
            </w:r>
          </w:p>
          <w:p w:rsidR="0068680D" w:rsidRPr="00BC61ED" w:rsidRDefault="0068680D" w:rsidP="00F47DC4">
            <w:pPr>
              <w:pStyle w:val="ListParagraph"/>
              <w:spacing w:line="276" w:lineRule="auto"/>
              <w:ind w:left="0"/>
              <w:jc w:val="both"/>
              <w:rPr>
                <w:sz w:val="20"/>
                <w:szCs w:val="20"/>
                <w:lang w:val="hy-AM" w:eastAsia="en-GB"/>
              </w:rPr>
            </w:pPr>
            <w:r w:rsidRPr="00BC61ED">
              <w:rPr>
                <w:rFonts w:cs="Sylfaen"/>
                <w:sz w:val="20"/>
                <w:szCs w:val="20"/>
                <w:lang w:val="hy-AM" w:eastAsia="en-GB"/>
              </w:rPr>
              <w:t>Մ</w:t>
            </w:r>
            <w:r w:rsidRPr="00BC61ED">
              <w:rPr>
                <w:sz w:val="20"/>
                <w:szCs w:val="20"/>
                <w:lang w:val="hy-AM" w:eastAsia="en-GB"/>
              </w:rPr>
              <w:t xml:space="preserve">շակված և 2012 թվականից ներդրված է ARPIS գրանցման ինքնաշխատ համակարգը: Այն փաստաթղթաշրջանառության էլեկտրոնային համակարգ է, որը թույլ է տալիս դիմումների ընդունումից սկսած մինչև դրանց հիման վրա կազմված իրավունքների պետական գրանցման վկայականների և տեղեկատվության տրամադրման տեղեկանքների տրամադրումն իրականացնել էլեկտրոնային եղանակով: </w:t>
            </w:r>
          </w:p>
          <w:p w:rsidR="0068680D" w:rsidRPr="00BC61ED" w:rsidRDefault="0068680D" w:rsidP="00F47DC4">
            <w:pPr>
              <w:spacing w:line="276" w:lineRule="auto"/>
              <w:jc w:val="both"/>
              <w:rPr>
                <w:sz w:val="20"/>
                <w:szCs w:val="20"/>
                <w:lang w:val="hy-AM"/>
              </w:rPr>
            </w:pPr>
            <w:r w:rsidRPr="00BC61ED">
              <w:rPr>
                <w:rFonts w:cs="Sylfaen"/>
                <w:sz w:val="20"/>
                <w:szCs w:val="20"/>
                <w:lang w:val="hy-AM"/>
              </w:rPr>
              <w:t xml:space="preserve">   Կադաստրային</w:t>
            </w:r>
            <w:r w:rsidRPr="00BC61ED">
              <w:rPr>
                <w:sz w:val="20"/>
                <w:szCs w:val="20"/>
                <w:lang w:val="hy-AM"/>
              </w:rPr>
              <w:t xml:space="preserve"> տվյալների միասնական էլեկտրոնային բազա և գրանցման ինքնաշխատ համակարգ ունենալը հնարավորություն ընձեռեց անցնելու էլեկտրոնային եղանակով իրավունքների պետական գրանցմանը և տեղեկատվության տրամադրմանը: Արդյունքում դյուրինացվեց կադաստրի կոմիտեի կողմից մատուցվող ծառայություններից օգտվելը, հնարավոր եղավ մատուցել էլեկտրոնային առցանց ծառայություններ: </w:t>
            </w:r>
          </w:p>
          <w:p w:rsidR="0068680D" w:rsidRPr="00BC61ED" w:rsidRDefault="0068680D" w:rsidP="00F47DC4">
            <w:pPr>
              <w:spacing w:line="276" w:lineRule="auto"/>
              <w:jc w:val="both"/>
              <w:rPr>
                <w:sz w:val="20"/>
                <w:szCs w:val="20"/>
                <w:lang w:val="hy-AM"/>
              </w:rPr>
            </w:pPr>
            <w:r w:rsidRPr="00BC61ED">
              <w:rPr>
                <w:sz w:val="20"/>
                <w:szCs w:val="20"/>
                <w:lang w:val="hy-AM"/>
              </w:rPr>
              <w:t xml:space="preserve">   Չնայած վերոգրյալին՝ տեղեկատվության տրամադրման գործընթացը հիմնականում իրականացվում է մարդկային մեծ ռեսուրսների ներգրավմամբ, քանի որ էլեկտրոնային շտեմարաններում առկա է տվյալների ամբողջականացման խնդիր, և անհրաժեշտ է յուրաքանչյուր դիմումի ժամանակ հավաստիանալ հարցվող տեղեկատվության ճիշտ և ամբողջական լինելու մեջ: Տրամադրվող տեղեկանքները պետք է լինեն թղթային, քանի որ հավաստվում են սպասարկման գրասենյակների կնիքով:</w:t>
            </w:r>
          </w:p>
          <w:p w:rsidR="0068680D" w:rsidRPr="00BC61ED" w:rsidRDefault="0068680D" w:rsidP="00F47DC4">
            <w:pPr>
              <w:spacing w:line="276" w:lineRule="auto"/>
              <w:jc w:val="both"/>
              <w:rPr>
                <w:sz w:val="20"/>
                <w:szCs w:val="20"/>
                <w:lang w:val="hy-AM"/>
              </w:rPr>
            </w:pPr>
            <w:r w:rsidRPr="00BC61ED">
              <w:rPr>
                <w:sz w:val="20"/>
                <w:szCs w:val="20"/>
                <w:lang w:val="hy-AM"/>
              </w:rPr>
              <w:t xml:space="preserve">   2018 թվականից ներդրվել է առցանց՝ ինքնաշխատ եղանակով որոշ տեղեկատվությունների տրամադրման համակարգ, սակայն այն դեռևս չունի բավարար պահանջարկ տրամադրվող տեղեկությունների սահմանափակ լինելու, ինչպես նաև տրամադրված տեղեկանքները կնքված չլինելու պատճառով: Տվյալ ծառայության զարգացմանը խոչընդոտում է նաև քաղաքացիների ոչ իրազեկված լինելու հանգամանքը ևս:</w:t>
            </w:r>
          </w:p>
          <w:p w:rsidR="0068680D" w:rsidRPr="00BC61ED" w:rsidRDefault="0068680D" w:rsidP="00F47DC4">
            <w:pPr>
              <w:spacing w:line="276" w:lineRule="auto"/>
              <w:jc w:val="both"/>
              <w:rPr>
                <w:b/>
                <w:sz w:val="20"/>
                <w:szCs w:val="20"/>
                <w:lang w:val="hy-AM"/>
              </w:rPr>
            </w:pPr>
            <w:r w:rsidRPr="00BC61ED">
              <w:rPr>
                <w:b/>
                <w:sz w:val="20"/>
                <w:szCs w:val="20"/>
                <w:lang w:val="hy-AM"/>
              </w:rPr>
              <w:t xml:space="preserve">   1.2. Առկա խնդիրների առաջարկվող լուծումները</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Առկա խնդիրները լուծելու նպատակով նախատեսվում է ընդլայնել առցանց տրամադրվող տեղեկությունների տեսակները, մշակել նոր տեղեկատվական փաթեթներ, ստեղծել տեղեկատվության որոնման առցանց գործող տարածական հարթակ, վերացնել տրամադրվող ավարտական փաստաթղթի կնքված լինելու պահանջը, զարգացնել էլեկտրոնային ծառայությունների մատուցման համար նախատեսված www.e-cadastre.am կայքը, քաղաքացիներին, անշարժ գույքի շուկայի մասնակիցներին իրազեկել ներդրված նոր ծառայությունների և դրանցից հարմարավետ օգտվելու տարբերակների մասին:</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Միջոցառման համակատարող հանդիսացող Տարածքային կառավարման և զարգացման նախարարության, Աշխատանքի և սոցիալական հարցերի նախարարության, Ոստիկանության կողմից կատարման ենթակա գործողությունները կսահմանվեն աշխատանքային խումբ ստեղծելու միջոցով: </w:t>
            </w:r>
          </w:p>
          <w:p w:rsidR="0068680D" w:rsidRPr="00BC61ED" w:rsidRDefault="0068680D" w:rsidP="00F47DC4">
            <w:pPr>
              <w:pStyle w:val="ListParagraph"/>
              <w:spacing w:line="276" w:lineRule="auto"/>
              <w:ind w:left="0"/>
              <w:jc w:val="both"/>
              <w:rPr>
                <w:b/>
                <w:sz w:val="20"/>
                <w:szCs w:val="20"/>
                <w:lang w:val="hy-AM" w:eastAsia="en-GB"/>
              </w:rPr>
            </w:pPr>
            <w:r w:rsidRPr="00BC61ED">
              <w:rPr>
                <w:sz w:val="20"/>
                <w:szCs w:val="20"/>
                <w:lang w:val="hy-AM" w:eastAsia="en-GB"/>
              </w:rPr>
              <w:t xml:space="preserve">   </w:t>
            </w:r>
            <w:r w:rsidRPr="00BC61ED">
              <w:rPr>
                <w:b/>
                <w:sz w:val="20"/>
                <w:szCs w:val="20"/>
                <w:lang w:val="hy-AM" w:eastAsia="en-GB"/>
              </w:rPr>
              <w:t>Կիրականացվեն հետևյալ միջոցառումները՝</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1. Օրենսդրական դաշտի կարգավորում, որի արդյունքում կիրականացվեն իրավունքների գրանցման ու տեղեկատվության տրամադրման բարեփոխումներ գրանցման, տարածական տվյալների և արխիվի ոլորտներում,</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2. Էլեկտրոնային համակարգի տեքստային տվյալների բազայում գործող և դադարած իրավունքների սուբյեկտների ճշգրտում և նույնականացում, այդ թվում համայնքներում և այլ պետական մարմիններում առկա տեղեկատվության հիման վրա,</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3. Կադաստրային գործերի ամբողջական և վերջնական թվայնացումբ տեքստային (OCR) տեսաներածմամբ,</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4. Կադաստրային հաշվառման առցանց գրասենյակի գործարկում,</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5. Առցանց տրամադրվող տեղեկությունների տեսակների ընդլայնում՝ նոր տեղեկատվական փաթեթների մշակում, տեղեկատվության որոնման առցանց գործող տարածական հարթակի ստեղծում,</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6. Յուրաքանչյուր պետական մարմնի պահանջմունքներին համապատասխանող առցանց մատուցվող ծառայության ներդրում,</w:t>
            </w:r>
          </w:p>
          <w:p w:rsidR="0068680D" w:rsidRPr="00BC61ED" w:rsidRDefault="0068680D" w:rsidP="00F47DC4">
            <w:pPr>
              <w:pStyle w:val="ListParagraph"/>
              <w:spacing w:line="276" w:lineRule="auto"/>
              <w:ind w:left="0"/>
              <w:jc w:val="both"/>
              <w:rPr>
                <w:sz w:val="20"/>
                <w:szCs w:val="20"/>
                <w:lang w:val="hy-AM" w:eastAsia="en-GB"/>
              </w:rPr>
            </w:pPr>
            <w:r w:rsidRPr="00BC61ED">
              <w:rPr>
                <w:sz w:val="20"/>
                <w:szCs w:val="20"/>
                <w:lang w:val="hy-AM" w:eastAsia="en-GB"/>
              </w:rPr>
              <w:t xml:space="preserve">   7. Կադաստրի կոմիտեի կողմից էլեկտրոնային ծառայությունների մատուցման համար նախատեսված պաշտոնական կայքի զարգացում, քաղաքացիներին, անշարժ գույքի շուկայի մասնակիցներին իրազեկում:</w:t>
            </w:r>
          </w:p>
          <w:p w:rsidR="0068680D" w:rsidRPr="00BC61ED" w:rsidRDefault="0068680D" w:rsidP="00F47DC4">
            <w:pPr>
              <w:spacing w:line="276" w:lineRule="auto"/>
              <w:jc w:val="both"/>
              <w:rPr>
                <w:b/>
                <w:sz w:val="20"/>
                <w:szCs w:val="20"/>
                <w:lang w:val="hy-AM"/>
              </w:rPr>
            </w:pPr>
            <w:r w:rsidRPr="00BC61ED">
              <w:rPr>
                <w:b/>
                <w:sz w:val="20"/>
                <w:szCs w:val="20"/>
                <w:lang w:val="hy-AM"/>
              </w:rPr>
              <w:t xml:space="preserve">   2. Միջոցառման իրականացումից ակնկալվող արդյունքը</w:t>
            </w:r>
          </w:p>
          <w:p w:rsidR="0068680D" w:rsidRPr="00BC61ED" w:rsidRDefault="0068680D" w:rsidP="00F47DC4">
            <w:pPr>
              <w:spacing w:line="276" w:lineRule="auto"/>
              <w:jc w:val="both"/>
              <w:rPr>
                <w:sz w:val="20"/>
                <w:szCs w:val="20"/>
                <w:lang w:val="hy-AM"/>
              </w:rPr>
            </w:pPr>
            <w:r w:rsidRPr="00BC61ED">
              <w:rPr>
                <w:rFonts w:cs="Courier New"/>
                <w:sz w:val="20"/>
                <w:szCs w:val="20"/>
                <w:lang w:val="hy-AM"/>
              </w:rPr>
              <w:t xml:space="preserve">   Միջոցառման իրականացման արդյունքում ակնկալվում է հնարավորինս բացառել քաղաքացիների և պաշտոնատար անձանց անմիջական շփումը, նվազեցնել այդ շփումներով պայմանավորված առկա կոռուպցիոն ռիսկերը, </w:t>
            </w:r>
            <w:r w:rsidRPr="00BC61ED">
              <w:rPr>
                <w:rFonts w:cs="Sylfaen"/>
                <w:sz w:val="20"/>
                <w:szCs w:val="20"/>
                <w:lang w:val="hy-AM"/>
              </w:rPr>
              <w:t>բարելավել ՀՀ դիրքը «Գործարարությամբ զբաղվելը զեկույց»-ում,</w:t>
            </w:r>
            <w:r w:rsidRPr="00BC61ED">
              <w:rPr>
                <w:rFonts w:cs="Courier New"/>
                <w:sz w:val="20"/>
                <w:szCs w:val="20"/>
                <w:lang w:val="hy-AM"/>
              </w:rPr>
              <w:t xml:space="preserve"> էականորեն պարզեցնել </w:t>
            </w:r>
            <w:r w:rsidRPr="00BC61ED">
              <w:rPr>
                <w:rFonts w:cs="Sylfaen"/>
                <w:sz w:val="20"/>
                <w:szCs w:val="20"/>
                <w:lang w:val="hy-AM"/>
              </w:rPr>
              <w:t>տեղեկատվության</w:t>
            </w:r>
            <w:r w:rsidRPr="00BC61ED">
              <w:rPr>
                <w:rFonts w:cs="Courier New"/>
                <w:sz w:val="20"/>
                <w:szCs w:val="20"/>
                <w:lang w:val="hy-AM"/>
              </w:rPr>
              <w:t xml:space="preserve"> </w:t>
            </w:r>
            <w:r w:rsidRPr="00BC61ED">
              <w:rPr>
                <w:rFonts w:cs="Sylfaen"/>
                <w:sz w:val="20"/>
                <w:szCs w:val="20"/>
                <w:lang w:val="hy-AM"/>
              </w:rPr>
              <w:t>ձեռքբերման</w:t>
            </w:r>
            <w:r w:rsidRPr="00BC61ED">
              <w:rPr>
                <w:rFonts w:cs="Courier New"/>
                <w:sz w:val="20"/>
                <w:szCs w:val="20"/>
                <w:lang w:val="hy-AM"/>
              </w:rPr>
              <w:t xml:space="preserve"> </w:t>
            </w:r>
            <w:r w:rsidRPr="00BC61ED">
              <w:rPr>
                <w:rFonts w:cs="Sylfaen"/>
                <w:sz w:val="20"/>
                <w:szCs w:val="20"/>
                <w:lang w:val="hy-AM"/>
              </w:rPr>
              <w:t>ընթացակարգը</w:t>
            </w:r>
            <w:r w:rsidRPr="00BC61ED">
              <w:rPr>
                <w:rFonts w:cs="Courier New"/>
                <w:sz w:val="20"/>
                <w:szCs w:val="20"/>
                <w:lang w:val="hy-AM"/>
              </w:rPr>
              <w:t xml:space="preserve">, դիմումներ ներկայացնել, ավարտական փաստաթղթեր ստանալ առանց </w:t>
            </w:r>
            <w:r w:rsidRPr="00BC61ED">
              <w:rPr>
                <w:rFonts w:cs="Sylfaen"/>
                <w:sz w:val="20"/>
                <w:szCs w:val="20"/>
                <w:lang w:val="hy-AM"/>
              </w:rPr>
              <w:t>կադաստր</w:t>
            </w:r>
            <w:r w:rsidRPr="00BC61ED">
              <w:rPr>
                <w:rFonts w:cs="Courier New"/>
                <w:sz w:val="20"/>
                <w:szCs w:val="20"/>
                <w:lang w:val="hy-AM"/>
              </w:rPr>
              <w:t xml:space="preserve"> </w:t>
            </w:r>
            <w:r w:rsidRPr="00BC61ED">
              <w:rPr>
                <w:rFonts w:cs="Sylfaen"/>
                <w:sz w:val="20"/>
                <w:szCs w:val="20"/>
                <w:lang w:val="hy-AM"/>
              </w:rPr>
              <w:t>վարող</w:t>
            </w:r>
            <w:r w:rsidRPr="00BC61ED">
              <w:rPr>
                <w:rFonts w:cs="Courier New"/>
                <w:sz w:val="20"/>
                <w:szCs w:val="20"/>
                <w:lang w:val="hy-AM"/>
              </w:rPr>
              <w:t xml:space="preserve"> </w:t>
            </w:r>
            <w:r w:rsidRPr="00BC61ED">
              <w:rPr>
                <w:rFonts w:cs="Sylfaen"/>
                <w:sz w:val="20"/>
                <w:szCs w:val="20"/>
                <w:lang w:val="hy-AM"/>
              </w:rPr>
              <w:t>մարմին</w:t>
            </w:r>
            <w:r w:rsidRPr="00BC61ED">
              <w:rPr>
                <w:rFonts w:cs="Courier New"/>
                <w:sz w:val="20"/>
                <w:szCs w:val="20"/>
                <w:lang w:val="hy-AM"/>
              </w:rPr>
              <w:t xml:space="preserve"> </w:t>
            </w:r>
            <w:r w:rsidRPr="00BC61ED">
              <w:rPr>
                <w:rFonts w:cs="Sylfaen"/>
                <w:sz w:val="20"/>
                <w:szCs w:val="20"/>
                <w:lang w:val="hy-AM"/>
              </w:rPr>
              <w:t>անձամբ</w:t>
            </w:r>
            <w:r w:rsidRPr="00BC61ED">
              <w:rPr>
                <w:rFonts w:cs="Courier New"/>
                <w:sz w:val="20"/>
                <w:szCs w:val="20"/>
                <w:lang w:val="hy-AM"/>
              </w:rPr>
              <w:t xml:space="preserve"> </w:t>
            </w:r>
            <w:r w:rsidRPr="00BC61ED">
              <w:rPr>
                <w:rFonts w:cs="Sylfaen"/>
                <w:sz w:val="20"/>
                <w:szCs w:val="20"/>
                <w:lang w:val="hy-AM"/>
              </w:rPr>
              <w:t>այցելելու, կրճատել տեղեկատվության տրամադրման ժամկետները, ընդհուպ հարցումից</w:t>
            </w:r>
            <w:r w:rsidRPr="00BC61ED">
              <w:rPr>
                <w:rFonts w:cs="Courier New"/>
                <w:sz w:val="20"/>
                <w:szCs w:val="20"/>
                <w:lang w:val="hy-AM"/>
              </w:rPr>
              <w:t xml:space="preserve"> </w:t>
            </w:r>
            <w:r w:rsidRPr="00BC61ED">
              <w:rPr>
                <w:rFonts w:cs="Sylfaen"/>
                <w:sz w:val="20"/>
                <w:szCs w:val="20"/>
                <w:lang w:val="hy-AM"/>
              </w:rPr>
              <w:t>հետո</w:t>
            </w:r>
            <w:r w:rsidRPr="00BC61ED">
              <w:rPr>
                <w:rFonts w:cs="Courier New"/>
                <w:sz w:val="20"/>
                <w:szCs w:val="20"/>
                <w:lang w:val="hy-AM"/>
              </w:rPr>
              <w:t xml:space="preserve"> </w:t>
            </w:r>
            <w:r w:rsidRPr="00BC61ED">
              <w:rPr>
                <w:rFonts w:cs="Sylfaen"/>
                <w:sz w:val="20"/>
                <w:szCs w:val="20"/>
                <w:lang w:val="hy-AM"/>
              </w:rPr>
              <w:t>անմիջապես ստանալու հնարավորությամբ, նվազեցնել տարածքային ստորաբաժանումների</w:t>
            </w:r>
            <w:r w:rsidRPr="00BC61ED">
              <w:rPr>
                <w:rFonts w:cs="Courier New"/>
                <w:sz w:val="20"/>
                <w:szCs w:val="20"/>
                <w:lang w:val="hy-AM"/>
              </w:rPr>
              <w:t xml:space="preserve"> </w:t>
            </w:r>
            <w:r w:rsidRPr="00BC61ED">
              <w:rPr>
                <w:rFonts w:cs="Sylfaen"/>
                <w:sz w:val="20"/>
                <w:szCs w:val="20"/>
                <w:lang w:val="hy-AM"/>
              </w:rPr>
              <w:t>և</w:t>
            </w:r>
            <w:r w:rsidRPr="00BC61ED">
              <w:rPr>
                <w:rFonts w:cs="Courier New"/>
                <w:sz w:val="20"/>
                <w:szCs w:val="20"/>
                <w:lang w:val="hy-AM"/>
              </w:rPr>
              <w:t xml:space="preserve"> </w:t>
            </w:r>
            <w:r w:rsidRPr="00BC61ED">
              <w:rPr>
                <w:rFonts w:cs="Sylfaen"/>
                <w:sz w:val="20"/>
                <w:szCs w:val="20"/>
                <w:lang w:val="hy-AM"/>
              </w:rPr>
              <w:t>սպասարկման</w:t>
            </w:r>
            <w:r w:rsidRPr="00BC61ED">
              <w:rPr>
                <w:rFonts w:cs="Courier New"/>
                <w:sz w:val="20"/>
                <w:szCs w:val="20"/>
                <w:lang w:val="hy-AM"/>
              </w:rPr>
              <w:t xml:space="preserve"> </w:t>
            </w:r>
            <w:r w:rsidRPr="00BC61ED">
              <w:rPr>
                <w:rFonts w:cs="Sylfaen"/>
                <w:sz w:val="20"/>
                <w:szCs w:val="20"/>
                <w:lang w:val="hy-AM"/>
              </w:rPr>
              <w:t>գրասենյակների</w:t>
            </w:r>
            <w:r w:rsidRPr="00BC61ED">
              <w:rPr>
                <w:rFonts w:cs="Courier New"/>
                <w:sz w:val="20"/>
                <w:szCs w:val="20"/>
                <w:lang w:val="hy-AM"/>
              </w:rPr>
              <w:t xml:space="preserve"> </w:t>
            </w:r>
            <w:r w:rsidRPr="00BC61ED">
              <w:rPr>
                <w:rFonts w:cs="Sylfaen"/>
                <w:sz w:val="20"/>
                <w:szCs w:val="20"/>
                <w:lang w:val="hy-AM"/>
              </w:rPr>
              <w:t>աշխատակիցների</w:t>
            </w:r>
            <w:r w:rsidRPr="00BC61ED">
              <w:rPr>
                <w:rFonts w:cs="Courier New"/>
                <w:sz w:val="20"/>
                <w:szCs w:val="20"/>
                <w:lang w:val="hy-AM"/>
              </w:rPr>
              <w:t xml:space="preserve"> </w:t>
            </w:r>
            <w:r w:rsidRPr="00BC61ED">
              <w:rPr>
                <w:rFonts w:cs="Sylfaen"/>
                <w:sz w:val="20"/>
                <w:szCs w:val="20"/>
                <w:lang w:val="hy-AM"/>
              </w:rPr>
              <w:t>ծանրաբեռնվածությունը, հնարավորություն ընձեռել համակարգի և աշխատակիցների օպտիմալացման, էականորեն կրճատել համակարգի պահպանման ծախսերը և ավելացնել կոմիտեի եկամուտները:</w:t>
            </w:r>
          </w:p>
          <w:p w:rsidR="0068680D" w:rsidRPr="00BC61ED" w:rsidRDefault="0068680D" w:rsidP="00F47DC4">
            <w:pPr>
              <w:spacing w:line="276" w:lineRule="auto"/>
              <w:ind w:right="-138"/>
              <w:jc w:val="center"/>
              <w:rPr>
                <w:sz w:val="20"/>
                <w:szCs w:val="20"/>
                <w:lang w:val="hy-AM"/>
              </w:rPr>
            </w:pPr>
          </w:p>
        </w:tc>
      </w:tr>
      <w:tr w:rsidR="0068680D" w:rsidRPr="00DE2EFA"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3.</w:t>
            </w:r>
          </w:p>
        </w:tc>
        <w:tc>
          <w:tcPr>
            <w:tcW w:w="10915" w:type="dxa"/>
          </w:tcPr>
          <w:p w:rsidR="0068680D" w:rsidRPr="00BC61ED" w:rsidRDefault="0068680D" w:rsidP="00F47DC4">
            <w:pPr>
              <w:spacing w:line="276" w:lineRule="auto"/>
              <w:ind w:right="-1"/>
              <w:jc w:val="center"/>
              <w:rPr>
                <w:rFonts w:cs="Sylfaen"/>
                <w:b/>
                <w:sz w:val="20"/>
                <w:szCs w:val="20"/>
                <w:lang w:val="hy-AM"/>
              </w:rPr>
            </w:pPr>
            <w:r w:rsidRPr="00BC61ED">
              <w:rPr>
                <w:rFonts w:cs="Sylfaen"/>
                <w:b/>
                <w:sz w:val="20"/>
                <w:szCs w:val="20"/>
                <w:lang w:val="hy-AM"/>
              </w:rPr>
              <w:t>Հայաստանի Հանրապետության հասցեների միասնական ռեգիստրի ստեղծում և ներդրում</w:t>
            </w:r>
          </w:p>
          <w:p w:rsidR="0068680D" w:rsidRPr="00BC61ED" w:rsidRDefault="0068680D" w:rsidP="00F47DC4">
            <w:pPr>
              <w:spacing w:line="276" w:lineRule="auto"/>
              <w:ind w:right="-1"/>
              <w:jc w:val="center"/>
              <w:rPr>
                <w:rFonts w:cs="Sylfaen"/>
                <w:b/>
                <w:sz w:val="20"/>
                <w:szCs w:val="20"/>
                <w:lang w:val="hy-AM"/>
              </w:rPr>
            </w:pPr>
          </w:p>
          <w:p w:rsidR="0068680D" w:rsidRPr="00BC61ED" w:rsidRDefault="0068680D" w:rsidP="00F47DC4">
            <w:pPr>
              <w:spacing w:line="276" w:lineRule="auto"/>
              <w:ind w:right="-1"/>
              <w:jc w:val="both"/>
              <w:rPr>
                <w:b/>
                <w:sz w:val="20"/>
                <w:szCs w:val="20"/>
                <w:lang w:val="hy-AM"/>
              </w:rPr>
            </w:pPr>
            <w:r w:rsidRPr="00BC61ED">
              <w:rPr>
                <w:b/>
                <w:sz w:val="20"/>
                <w:szCs w:val="20"/>
                <w:lang w:val="hy-AM"/>
              </w:rPr>
              <w:t xml:space="preserve">   1. Միջոցառման իրականացման անհրաժեշտությունը և նպատակը</w:t>
            </w:r>
          </w:p>
          <w:p w:rsidR="0068680D" w:rsidRPr="00BC61ED" w:rsidRDefault="0068680D" w:rsidP="00F47DC4">
            <w:pPr>
              <w:tabs>
                <w:tab w:val="left" w:pos="284"/>
              </w:tabs>
              <w:spacing w:line="276" w:lineRule="auto"/>
              <w:ind w:right="-1"/>
              <w:jc w:val="both"/>
              <w:rPr>
                <w:rFonts w:cs="Sylfaen"/>
                <w:bCs/>
                <w:noProof/>
                <w:sz w:val="20"/>
                <w:szCs w:val="20"/>
                <w:lang w:val="af-ZA"/>
              </w:rPr>
            </w:pPr>
            <w:r w:rsidRPr="00BC61ED">
              <w:rPr>
                <w:rFonts w:cs="Sylfaen"/>
                <w:sz w:val="20"/>
                <w:szCs w:val="20"/>
                <w:lang w:val="hy-AM"/>
              </w:rPr>
              <w:t>Հանրապետությունում հասցեների ճշգրիտ և լիարժեք ռեեստր ստեղծելու համար անհրաժեշտ</w:t>
            </w:r>
            <w:r w:rsidRPr="00BC61ED">
              <w:rPr>
                <w:sz w:val="20"/>
                <w:szCs w:val="20"/>
                <w:lang w:val="hy-AM"/>
              </w:rPr>
              <w:t xml:space="preserve"> </w:t>
            </w:r>
            <w:r w:rsidRPr="00BC61ED">
              <w:rPr>
                <w:rFonts w:cs="Sylfaen"/>
                <w:sz w:val="20"/>
                <w:szCs w:val="20"/>
                <w:lang w:val="hy-AM"/>
              </w:rPr>
              <w:t>է</w:t>
            </w:r>
            <w:r w:rsidRPr="00BC61ED">
              <w:rPr>
                <w:sz w:val="20"/>
                <w:szCs w:val="20"/>
                <w:lang w:val="hy-AM"/>
              </w:rPr>
              <w:t xml:space="preserve"> </w:t>
            </w:r>
            <w:r w:rsidRPr="00BC61ED">
              <w:rPr>
                <w:rFonts w:cs="Sylfaen"/>
                <w:sz w:val="20"/>
                <w:szCs w:val="20"/>
                <w:lang w:val="hy-AM"/>
              </w:rPr>
              <w:t>ունենալ</w:t>
            </w:r>
            <w:r w:rsidRPr="00BC61ED">
              <w:rPr>
                <w:sz w:val="20"/>
                <w:szCs w:val="20"/>
                <w:lang w:val="hy-AM"/>
              </w:rPr>
              <w:t xml:space="preserve"> </w:t>
            </w:r>
            <w:r w:rsidRPr="00BC61ED">
              <w:rPr>
                <w:rFonts w:cs="Sylfaen"/>
                <w:sz w:val="20"/>
                <w:szCs w:val="20"/>
                <w:lang w:val="hy-AM"/>
              </w:rPr>
              <w:t>հավաստի</w:t>
            </w:r>
            <w:r w:rsidRPr="00BC61ED">
              <w:rPr>
                <w:sz w:val="20"/>
                <w:szCs w:val="20"/>
                <w:lang w:val="hy-AM"/>
              </w:rPr>
              <w:t xml:space="preserve">, </w:t>
            </w:r>
            <w:r w:rsidRPr="00BC61ED">
              <w:rPr>
                <w:rFonts w:cs="Sylfaen"/>
                <w:sz w:val="20"/>
                <w:szCs w:val="20"/>
                <w:lang w:val="hy-AM"/>
              </w:rPr>
              <w:t>չկրկնվող</w:t>
            </w:r>
            <w:r w:rsidRPr="00BC61ED">
              <w:rPr>
                <w:sz w:val="20"/>
                <w:szCs w:val="20"/>
                <w:lang w:val="hy-AM"/>
              </w:rPr>
              <w:t xml:space="preserve"> </w:t>
            </w:r>
            <w:r w:rsidRPr="00BC61ED">
              <w:rPr>
                <w:rFonts w:cs="Sylfaen"/>
                <w:sz w:val="20"/>
                <w:szCs w:val="20"/>
                <w:lang w:val="hy-AM"/>
              </w:rPr>
              <w:t>և</w:t>
            </w:r>
            <w:r w:rsidRPr="00BC61ED">
              <w:rPr>
                <w:sz w:val="20"/>
                <w:szCs w:val="20"/>
                <w:lang w:val="hy-AM"/>
              </w:rPr>
              <w:t xml:space="preserve"> </w:t>
            </w:r>
            <w:r w:rsidRPr="00BC61ED">
              <w:rPr>
                <w:rFonts w:cs="Sylfaen"/>
                <w:sz w:val="20"/>
                <w:szCs w:val="20"/>
                <w:lang w:val="hy-AM"/>
              </w:rPr>
              <w:t>ամբողջական</w:t>
            </w:r>
            <w:r w:rsidRPr="00BC61ED">
              <w:rPr>
                <w:sz w:val="20"/>
                <w:szCs w:val="20"/>
                <w:lang w:val="hy-AM"/>
              </w:rPr>
              <w:t xml:space="preserve"> </w:t>
            </w:r>
            <w:r w:rsidRPr="00BC61ED">
              <w:rPr>
                <w:rFonts w:cs="Sylfaen"/>
                <w:sz w:val="20"/>
                <w:szCs w:val="20"/>
                <w:lang w:val="hy-AM"/>
              </w:rPr>
              <w:t>տեղեկատվություն</w:t>
            </w:r>
            <w:r w:rsidRPr="00BC61ED">
              <w:rPr>
                <w:sz w:val="20"/>
                <w:szCs w:val="20"/>
                <w:lang w:val="hy-AM"/>
              </w:rPr>
              <w:t xml:space="preserve"> </w:t>
            </w:r>
            <w:r w:rsidRPr="00BC61ED">
              <w:rPr>
                <w:rFonts w:cs="Sylfaen"/>
                <w:sz w:val="20"/>
                <w:szCs w:val="20"/>
                <w:lang w:val="hy-AM"/>
              </w:rPr>
              <w:t>Հայաստանի</w:t>
            </w:r>
            <w:r w:rsidRPr="00BC61ED">
              <w:rPr>
                <w:sz w:val="20"/>
                <w:szCs w:val="20"/>
                <w:lang w:val="hy-AM"/>
              </w:rPr>
              <w:t xml:space="preserve"> </w:t>
            </w:r>
            <w:r w:rsidRPr="00BC61ED">
              <w:rPr>
                <w:rFonts w:cs="Sylfaen"/>
                <w:sz w:val="20"/>
                <w:szCs w:val="20"/>
                <w:lang w:val="hy-AM"/>
              </w:rPr>
              <w:t>Հանրապետության հասցեների վերաբերյալ</w:t>
            </w:r>
            <w:r w:rsidRPr="00BC61ED">
              <w:rPr>
                <w:sz w:val="20"/>
                <w:szCs w:val="20"/>
                <w:lang w:val="hy-AM"/>
              </w:rPr>
              <w:t>: Նշված արդյունքին հասնելու համար պետք է հ</w:t>
            </w:r>
            <w:r w:rsidRPr="00BC61ED">
              <w:rPr>
                <w:rFonts w:cs="Sylfaen"/>
                <w:bCs/>
                <w:noProof/>
                <w:sz w:val="20"/>
                <w:szCs w:val="20"/>
                <w:lang w:val="af-ZA"/>
              </w:rPr>
              <w:t xml:space="preserve">ստակեցնել և պարզեցնել բնակավայրերում ներբնակավայրային աշխարհագրական oբյեկտների անվանակոչման և անվանափոխման գրանցման և </w:t>
            </w:r>
            <w:r w:rsidRPr="00BC61ED">
              <w:rPr>
                <w:bCs/>
                <w:sz w:val="20"/>
                <w:szCs w:val="20"/>
                <w:lang w:val="af-ZA"/>
              </w:rPr>
              <w:t xml:space="preserve">անշարժ գույքի համարակալման, հաuցեավորման ընթացակարգերը՝ դրանք </w:t>
            </w:r>
            <w:r w:rsidRPr="00BC61ED">
              <w:rPr>
                <w:rFonts w:cs="Sylfaen"/>
                <w:bCs/>
                <w:noProof/>
                <w:sz w:val="20"/>
                <w:szCs w:val="20"/>
                <w:lang w:val="af-ZA"/>
              </w:rPr>
              <w:t xml:space="preserve">դարձնելով համակարգված և ինքնաշխատ: Անհրաժեշտ է ապահովել անշարժ գույքի հասցեների վերաբերյալ տեղեկատվության միատեսակությունը պետական </w:t>
            </w:r>
            <w:r w:rsidRPr="00BC61ED">
              <w:rPr>
                <w:rFonts w:ascii="Cambria Math" w:hAnsi="Cambria Math" w:cs="Cambria Math"/>
                <w:bCs/>
                <w:noProof/>
                <w:sz w:val="20"/>
                <w:szCs w:val="20"/>
                <w:lang w:val="af-ZA"/>
              </w:rPr>
              <w:t>​​</w:t>
            </w:r>
            <w:r w:rsidRPr="00BC61ED">
              <w:rPr>
                <w:rFonts w:cs="Sylfaen"/>
                <w:bCs/>
                <w:noProof/>
                <w:sz w:val="20"/>
                <w:szCs w:val="20"/>
                <w:lang w:val="af-ZA"/>
              </w:rPr>
              <w:t xml:space="preserve">մարմինների գործառույթների իրականացման գործում` բացառելով անշարժ գույքի տարբեր օբյեկտների նույնական հասցեների առկայությունը: </w:t>
            </w:r>
          </w:p>
          <w:p w:rsidR="0068680D" w:rsidRPr="00BC61ED" w:rsidRDefault="0068680D" w:rsidP="00F47DC4">
            <w:pPr>
              <w:pStyle w:val="ListParagraph"/>
              <w:spacing w:line="276" w:lineRule="auto"/>
              <w:ind w:left="0" w:right="-1"/>
              <w:jc w:val="both"/>
              <w:rPr>
                <w:sz w:val="20"/>
                <w:szCs w:val="20"/>
                <w:lang w:val="hy-AM" w:eastAsia="en-GB"/>
              </w:rPr>
            </w:pPr>
            <w:r w:rsidRPr="00BC61ED">
              <w:rPr>
                <w:sz w:val="20"/>
                <w:szCs w:val="20"/>
                <w:lang w:val="hy-AM" w:eastAsia="en-GB"/>
              </w:rPr>
              <w:t xml:space="preserve">   Միջոցառման իրականացման համար ընդունման ենթակա է ՀՀ կառավարության որոշում, ընդունման համար հիմք են հանդիսանում ՀՀ Սահմանադրության 153-րդ հոդվածը, ՀՀ վարչապետի 2018 թվականի դեկտեմբերի 12-ի N 02/24.4/42655-18 հանձնարարականը: </w:t>
            </w:r>
          </w:p>
          <w:p w:rsidR="0068680D" w:rsidRPr="00BC61ED" w:rsidRDefault="0068680D" w:rsidP="00F47DC4">
            <w:pPr>
              <w:spacing w:line="276" w:lineRule="auto"/>
              <w:ind w:right="-1"/>
              <w:jc w:val="both"/>
              <w:rPr>
                <w:b/>
                <w:sz w:val="20"/>
                <w:szCs w:val="20"/>
                <w:lang w:val="hy-AM" w:eastAsia="en-GB"/>
              </w:rPr>
            </w:pPr>
            <w:r w:rsidRPr="00BC61ED">
              <w:rPr>
                <w:rFonts w:cs="Arial"/>
                <w:sz w:val="20"/>
                <w:szCs w:val="20"/>
                <w:lang w:val="hy-AM" w:eastAsia="en-GB"/>
              </w:rPr>
              <w:t xml:space="preserve">   </w:t>
            </w:r>
            <w:r w:rsidRPr="00BC61ED">
              <w:rPr>
                <w:rFonts w:cs="Arial"/>
                <w:b/>
                <w:sz w:val="20"/>
                <w:szCs w:val="20"/>
                <w:lang w:val="hy-AM" w:eastAsia="en-GB"/>
              </w:rPr>
              <w:t>1.1. Կարգավորման</w:t>
            </w:r>
            <w:r w:rsidRPr="00BC61ED">
              <w:rPr>
                <w:b/>
                <w:sz w:val="20"/>
                <w:szCs w:val="20"/>
                <w:lang w:val="hy-AM" w:eastAsia="en-GB"/>
              </w:rPr>
              <w:t xml:space="preserve"> </w:t>
            </w:r>
            <w:r w:rsidRPr="00BC61ED">
              <w:rPr>
                <w:rFonts w:cs="Arial"/>
                <w:b/>
                <w:sz w:val="20"/>
                <w:szCs w:val="20"/>
                <w:lang w:val="hy-AM" w:eastAsia="en-GB"/>
              </w:rPr>
              <w:t>հարաբերությունների</w:t>
            </w:r>
            <w:r w:rsidRPr="00BC61ED">
              <w:rPr>
                <w:b/>
                <w:sz w:val="20"/>
                <w:szCs w:val="20"/>
                <w:lang w:val="hy-AM" w:eastAsia="en-GB"/>
              </w:rPr>
              <w:t xml:space="preserve"> </w:t>
            </w:r>
            <w:r w:rsidRPr="00BC61ED">
              <w:rPr>
                <w:rFonts w:cs="Arial"/>
                <w:b/>
                <w:sz w:val="20"/>
                <w:szCs w:val="20"/>
                <w:lang w:val="hy-AM" w:eastAsia="en-GB"/>
              </w:rPr>
              <w:t>ներկա</w:t>
            </w:r>
            <w:r w:rsidRPr="00BC61ED">
              <w:rPr>
                <w:b/>
                <w:sz w:val="20"/>
                <w:szCs w:val="20"/>
                <w:lang w:val="hy-AM" w:eastAsia="en-GB"/>
              </w:rPr>
              <w:t xml:space="preserve"> </w:t>
            </w:r>
            <w:r w:rsidRPr="00BC61ED">
              <w:rPr>
                <w:rFonts w:cs="Arial"/>
                <w:b/>
                <w:sz w:val="20"/>
                <w:szCs w:val="20"/>
                <w:lang w:val="hy-AM" w:eastAsia="en-GB"/>
              </w:rPr>
              <w:t>վիճակը</w:t>
            </w:r>
            <w:r w:rsidRPr="00BC61ED">
              <w:rPr>
                <w:b/>
                <w:sz w:val="20"/>
                <w:szCs w:val="20"/>
                <w:lang w:val="hy-AM" w:eastAsia="en-GB"/>
              </w:rPr>
              <w:t xml:space="preserve"> </w:t>
            </w:r>
            <w:r w:rsidRPr="00BC61ED">
              <w:rPr>
                <w:rFonts w:cs="Arial"/>
                <w:b/>
                <w:sz w:val="20"/>
                <w:szCs w:val="20"/>
                <w:lang w:val="hy-AM" w:eastAsia="en-GB"/>
              </w:rPr>
              <w:t>և</w:t>
            </w:r>
            <w:r w:rsidRPr="00BC61ED">
              <w:rPr>
                <w:b/>
                <w:sz w:val="20"/>
                <w:szCs w:val="20"/>
                <w:lang w:val="hy-AM" w:eastAsia="en-GB"/>
              </w:rPr>
              <w:t xml:space="preserve"> </w:t>
            </w:r>
            <w:r w:rsidRPr="00BC61ED">
              <w:rPr>
                <w:rFonts w:cs="Arial"/>
                <w:b/>
                <w:sz w:val="20"/>
                <w:szCs w:val="20"/>
                <w:lang w:val="hy-AM" w:eastAsia="en-GB"/>
              </w:rPr>
              <w:t>առկա</w:t>
            </w:r>
            <w:r w:rsidRPr="00BC61ED">
              <w:rPr>
                <w:b/>
                <w:sz w:val="20"/>
                <w:szCs w:val="20"/>
                <w:lang w:val="hy-AM" w:eastAsia="en-GB"/>
              </w:rPr>
              <w:t xml:space="preserve"> </w:t>
            </w:r>
            <w:r w:rsidRPr="00BC61ED">
              <w:rPr>
                <w:rFonts w:cs="Arial"/>
                <w:b/>
                <w:sz w:val="20"/>
                <w:szCs w:val="20"/>
                <w:lang w:val="hy-AM" w:eastAsia="en-GB"/>
              </w:rPr>
              <w:t>խնդիրները</w:t>
            </w:r>
          </w:p>
          <w:p w:rsidR="0068680D" w:rsidRPr="00BC61ED" w:rsidRDefault="0068680D" w:rsidP="00F47DC4">
            <w:pPr>
              <w:tabs>
                <w:tab w:val="left" w:pos="284"/>
              </w:tabs>
              <w:spacing w:line="276" w:lineRule="auto"/>
              <w:ind w:right="-1"/>
              <w:jc w:val="both"/>
              <w:rPr>
                <w:rFonts w:cs="Sylfaen"/>
                <w:bCs/>
                <w:sz w:val="20"/>
                <w:szCs w:val="20"/>
                <w:lang w:val="hy-AM"/>
              </w:rPr>
            </w:pPr>
            <w:r w:rsidRPr="00BC61ED">
              <w:rPr>
                <w:rFonts w:cs="Sylfaen"/>
                <w:bCs/>
                <w:noProof/>
                <w:sz w:val="20"/>
                <w:szCs w:val="20"/>
                <w:lang w:val="hy-AM"/>
              </w:rPr>
              <w:t xml:space="preserve">Ներբնակավայրային աշխարհագրական օբյեկտների անվանակոչման և անվանափոխման մասին որոշումների ընդունումը և անշարժ գույքի հասցեավորումն իրականացվում են </w:t>
            </w:r>
            <w:r w:rsidRPr="00BC61ED">
              <w:rPr>
                <w:sz w:val="20"/>
                <w:szCs w:val="20"/>
                <w:lang w:val="af-ZA"/>
              </w:rPr>
              <w:t>տեղական ինքնակառավարման մարմինների կողմից, իսկ հասցեների գրանցումը, ռեեստրի վարումը՝ ՀՀ անշարժ գույքի կադաստրի կոմիտեի կողմից: Գ</w:t>
            </w:r>
            <w:r w:rsidRPr="00BC61ED">
              <w:rPr>
                <w:rFonts w:cs="Sylfaen"/>
                <w:bCs/>
                <w:sz w:val="20"/>
                <w:szCs w:val="20"/>
                <w:lang w:val="hy-AM"/>
              </w:rPr>
              <w:t>ործառույթների՝ պետական և տեղական ինքնակառավարման մարմինների միջև բաժանված լինելը ոլորտում առաջացնում է տեղական</w:t>
            </w:r>
            <w:r w:rsidRPr="00BC61ED">
              <w:rPr>
                <w:rFonts w:cs="Sylfaen"/>
                <w:bCs/>
                <w:sz w:val="20"/>
                <w:szCs w:val="20"/>
                <w:lang w:val="af-ZA"/>
              </w:rPr>
              <w:t xml:space="preserve"> </w:t>
            </w:r>
            <w:r w:rsidRPr="00BC61ED">
              <w:rPr>
                <w:rFonts w:cs="Sylfaen"/>
                <w:bCs/>
                <w:sz w:val="20"/>
                <w:szCs w:val="20"/>
                <w:lang w:val="hy-AM"/>
              </w:rPr>
              <w:t>ինքնակառավարման</w:t>
            </w:r>
            <w:r w:rsidRPr="00BC61ED">
              <w:rPr>
                <w:rFonts w:cs="Sylfaen"/>
                <w:bCs/>
                <w:sz w:val="20"/>
                <w:szCs w:val="20"/>
                <w:lang w:val="af-ZA"/>
              </w:rPr>
              <w:t xml:space="preserve"> </w:t>
            </w:r>
            <w:r w:rsidRPr="00BC61ED">
              <w:rPr>
                <w:rFonts w:cs="Sylfaen"/>
                <w:bCs/>
                <w:sz w:val="20"/>
                <w:szCs w:val="20"/>
                <w:lang w:val="hy-AM"/>
              </w:rPr>
              <w:t>մարմինների</w:t>
            </w:r>
            <w:r w:rsidRPr="00BC61ED">
              <w:rPr>
                <w:rFonts w:cs="Sylfaen"/>
                <w:bCs/>
                <w:sz w:val="20"/>
                <w:szCs w:val="20"/>
                <w:lang w:val="af-ZA"/>
              </w:rPr>
              <w:t xml:space="preserve"> (</w:t>
            </w:r>
            <w:r w:rsidRPr="00BC61ED">
              <w:rPr>
                <w:rFonts w:cs="Sylfaen"/>
                <w:bCs/>
                <w:sz w:val="20"/>
                <w:szCs w:val="20"/>
                <w:lang w:val="hy-AM"/>
              </w:rPr>
              <w:t>համայնքների</w:t>
            </w:r>
            <w:r w:rsidRPr="00BC61ED">
              <w:rPr>
                <w:rFonts w:cs="Sylfaen"/>
                <w:bCs/>
                <w:sz w:val="20"/>
                <w:szCs w:val="20"/>
                <w:lang w:val="af-ZA"/>
              </w:rPr>
              <w:t>)</w:t>
            </w:r>
            <w:r w:rsidRPr="00BC61ED">
              <w:rPr>
                <w:rFonts w:cs="Sylfaen"/>
                <w:bCs/>
                <w:sz w:val="20"/>
                <w:szCs w:val="20"/>
                <w:lang w:val="hy-AM"/>
              </w:rPr>
              <w:t xml:space="preserve"> և</w:t>
            </w:r>
            <w:r w:rsidRPr="00BC61ED">
              <w:rPr>
                <w:rFonts w:cs="Sylfaen"/>
                <w:bCs/>
                <w:sz w:val="20"/>
                <w:szCs w:val="20"/>
                <w:lang w:val="af-ZA"/>
              </w:rPr>
              <w:t xml:space="preserve"> </w:t>
            </w:r>
            <w:r w:rsidRPr="00BC61ED">
              <w:rPr>
                <w:rFonts w:cs="Sylfaen"/>
                <w:bCs/>
                <w:sz w:val="20"/>
                <w:szCs w:val="20"/>
                <w:lang w:val="hy-AM"/>
              </w:rPr>
              <w:t>պետական</w:t>
            </w:r>
            <w:r w:rsidRPr="00BC61ED">
              <w:rPr>
                <w:rFonts w:cs="Sylfaen"/>
                <w:bCs/>
                <w:sz w:val="20"/>
                <w:szCs w:val="20"/>
                <w:lang w:val="af-ZA"/>
              </w:rPr>
              <w:t xml:space="preserve"> </w:t>
            </w:r>
            <w:r w:rsidRPr="00BC61ED">
              <w:rPr>
                <w:rFonts w:cs="Sylfaen"/>
                <w:bCs/>
                <w:sz w:val="20"/>
                <w:szCs w:val="20"/>
                <w:lang w:val="hy-AM"/>
              </w:rPr>
              <w:t>մարմնի</w:t>
            </w:r>
            <w:r w:rsidRPr="00BC61ED">
              <w:rPr>
                <w:rFonts w:cs="Sylfaen"/>
                <w:bCs/>
                <w:sz w:val="20"/>
                <w:szCs w:val="20"/>
                <w:lang w:val="af-ZA"/>
              </w:rPr>
              <w:t xml:space="preserve"> </w:t>
            </w:r>
            <w:r w:rsidRPr="00BC61ED">
              <w:rPr>
                <w:rFonts w:cs="Sylfaen"/>
                <w:bCs/>
                <w:sz w:val="20"/>
                <w:szCs w:val="20"/>
                <w:lang w:val="hy-AM"/>
              </w:rPr>
              <w:t>միջև տվյալների փոխանակմանն առնչվող մի շարք խնդիրներ, ինչի արդյունքում հասցեների</w:t>
            </w:r>
            <w:r w:rsidRPr="00BC61ED">
              <w:rPr>
                <w:rFonts w:cs="Sylfaen"/>
                <w:bCs/>
                <w:sz w:val="20"/>
                <w:szCs w:val="20"/>
                <w:lang w:val="af-ZA"/>
              </w:rPr>
              <w:t xml:space="preserve"> </w:t>
            </w:r>
            <w:r w:rsidRPr="00BC61ED">
              <w:rPr>
                <w:rFonts w:cs="Sylfaen"/>
                <w:bCs/>
                <w:sz w:val="20"/>
                <w:szCs w:val="20"/>
                <w:lang w:val="hy-AM"/>
              </w:rPr>
              <w:t>ռեեստրը</w:t>
            </w:r>
            <w:r w:rsidRPr="00BC61ED">
              <w:rPr>
                <w:rFonts w:cs="Sylfaen"/>
                <w:bCs/>
                <w:sz w:val="20"/>
                <w:szCs w:val="20"/>
                <w:lang w:val="af-ZA"/>
              </w:rPr>
              <w:t xml:space="preserve"> </w:t>
            </w:r>
            <w:r w:rsidRPr="00BC61ED">
              <w:rPr>
                <w:rFonts w:cs="Sylfaen"/>
                <w:bCs/>
                <w:sz w:val="20"/>
                <w:szCs w:val="20"/>
                <w:lang w:val="hy-AM"/>
              </w:rPr>
              <w:t>պարունակում</w:t>
            </w:r>
            <w:r w:rsidRPr="00BC61ED">
              <w:rPr>
                <w:rFonts w:cs="Sylfaen"/>
                <w:bCs/>
                <w:sz w:val="20"/>
                <w:szCs w:val="20"/>
                <w:lang w:val="af-ZA"/>
              </w:rPr>
              <w:t xml:space="preserve"> </w:t>
            </w:r>
            <w:r w:rsidRPr="00BC61ED">
              <w:rPr>
                <w:rFonts w:cs="Sylfaen"/>
                <w:bCs/>
                <w:sz w:val="20"/>
                <w:szCs w:val="20"/>
                <w:lang w:val="hy-AM"/>
              </w:rPr>
              <w:t>է</w:t>
            </w:r>
            <w:r w:rsidRPr="00BC61ED">
              <w:rPr>
                <w:rFonts w:cs="Sylfaen"/>
                <w:bCs/>
                <w:sz w:val="20"/>
                <w:szCs w:val="20"/>
                <w:lang w:val="af-ZA"/>
              </w:rPr>
              <w:t xml:space="preserve"> </w:t>
            </w:r>
            <w:r w:rsidRPr="00BC61ED">
              <w:rPr>
                <w:rFonts w:cs="Sylfaen"/>
                <w:bCs/>
                <w:sz w:val="20"/>
                <w:szCs w:val="20"/>
                <w:lang w:val="hy-AM"/>
              </w:rPr>
              <w:t>որոշ</w:t>
            </w:r>
            <w:r w:rsidRPr="00BC61ED">
              <w:rPr>
                <w:rFonts w:cs="Sylfaen"/>
                <w:bCs/>
                <w:sz w:val="20"/>
                <w:szCs w:val="20"/>
                <w:lang w:val="af-ZA"/>
              </w:rPr>
              <w:t xml:space="preserve"> </w:t>
            </w:r>
            <w:r w:rsidRPr="00BC61ED">
              <w:rPr>
                <w:rFonts w:cs="Sylfaen"/>
                <w:bCs/>
                <w:sz w:val="20"/>
                <w:szCs w:val="20"/>
                <w:lang w:val="hy-AM"/>
              </w:rPr>
              <w:t>դեպքերում</w:t>
            </w:r>
            <w:r w:rsidRPr="00BC61ED">
              <w:rPr>
                <w:rFonts w:cs="Sylfaen"/>
                <w:bCs/>
                <w:sz w:val="20"/>
                <w:szCs w:val="20"/>
                <w:lang w:val="af-ZA"/>
              </w:rPr>
              <w:t xml:space="preserve"> </w:t>
            </w:r>
            <w:r w:rsidRPr="00BC61ED">
              <w:rPr>
                <w:rFonts w:cs="Sylfaen"/>
                <w:bCs/>
                <w:sz w:val="20"/>
                <w:szCs w:val="20"/>
                <w:lang w:val="hy-AM"/>
              </w:rPr>
              <w:t>սխալ</w:t>
            </w:r>
            <w:r w:rsidRPr="00BC61ED">
              <w:rPr>
                <w:rFonts w:cs="Sylfaen"/>
                <w:bCs/>
                <w:sz w:val="20"/>
                <w:szCs w:val="20"/>
                <w:lang w:val="af-ZA"/>
              </w:rPr>
              <w:t xml:space="preserve"> </w:t>
            </w:r>
            <w:r w:rsidRPr="00BC61ED">
              <w:rPr>
                <w:rFonts w:cs="Sylfaen"/>
                <w:bCs/>
                <w:sz w:val="20"/>
                <w:szCs w:val="20"/>
                <w:lang w:val="hy-AM"/>
              </w:rPr>
              <w:t>և</w:t>
            </w:r>
            <w:r w:rsidRPr="00BC61ED">
              <w:rPr>
                <w:rFonts w:cs="Sylfaen"/>
                <w:bCs/>
                <w:sz w:val="20"/>
                <w:szCs w:val="20"/>
                <w:lang w:val="af-ZA"/>
              </w:rPr>
              <w:t xml:space="preserve"> </w:t>
            </w:r>
            <w:r w:rsidRPr="00BC61ED">
              <w:rPr>
                <w:rFonts w:cs="Sylfaen"/>
                <w:bCs/>
                <w:sz w:val="20"/>
                <w:szCs w:val="20"/>
                <w:lang w:val="hy-AM"/>
              </w:rPr>
              <w:t>թերի</w:t>
            </w:r>
            <w:r w:rsidRPr="00BC61ED">
              <w:rPr>
                <w:rFonts w:cs="Sylfaen"/>
                <w:bCs/>
                <w:sz w:val="20"/>
                <w:szCs w:val="20"/>
                <w:lang w:val="af-ZA"/>
              </w:rPr>
              <w:t xml:space="preserve"> </w:t>
            </w:r>
            <w:r w:rsidRPr="00BC61ED">
              <w:rPr>
                <w:rFonts w:cs="Sylfaen"/>
                <w:bCs/>
                <w:sz w:val="20"/>
                <w:szCs w:val="20"/>
                <w:lang w:val="hy-AM"/>
              </w:rPr>
              <w:t>տեղեկատվություն</w:t>
            </w:r>
            <w:r w:rsidRPr="00BC61ED">
              <w:rPr>
                <w:rFonts w:cs="Sylfaen"/>
                <w:bCs/>
                <w:sz w:val="20"/>
                <w:szCs w:val="20"/>
                <w:lang w:val="af-ZA"/>
              </w:rPr>
              <w:t xml:space="preserve">, մասնավորապես </w:t>
            </w:r>
            <w:r w:rsidRPr="00BC61ED">
              <w:rPr>
                <w:rFonts w:cs="Sylfaen"/>
                <w:bCs/>
                <w:sz w:val="20"/>
                <w:szCs w:val="20"/>
                <w:lang w:val="hy-AM"/>
              </w:rPr>
              <w:t>բազմաթիվ</w:t>
            </w:r>
            <w:r w:rsidRPr="00BC61ED">
              <w:rPr>
                <w:rFonts w:cs="Sylfaen"/>
                <w:bCs/>
                <w:sz w:val="20"/>
                <w:szCs w:val="20"/>
                <w:lang w:val="af-ZA"/>
              </w:rPr>
              <w:t xml:space="preserve"> </w:t>
            </w:r>
            <w:r w:rsidRPr="00BC61ED">
              <w:rPr>
                <w:rFonts w:cs="Sylfaen"/>
                <w:bCs/>
                <w:sz w:val="20"/>
                <w:szCs w:val="20"/>
                <w:lang w:val="hy-AM"/>
              </w:rPr>
              <w:t>համայնքներում</w:t>
            </w:r>
            <w:r w:rsidRPr="00BC61ED">
              <w:rPr>
                <w:rFonts w:cs="Sylfaen"/>
                <w:bCs/>
                <w:sz w:val="20"/>
                <w:szCs w:val="20"/>
                <w:lang w:val="af-ZA"/>
              </w:rPr>
              <w:t xml:space="preserve"> </w:t>
            </w:r>
            <w:r w:rsidRPr="00BC61ED">
              <w:rPr>
                <w:rFonts w:cs="Sylfaen"/>
                <w:bCs/>
                <w:sz w:val="20"/>
                <w:szCs w:val="20"/>
                <w:lang w:val="hy-AM"/>
              </w:rPr>
              <w:t>անշարժ</w:t>
            </w:r>
            <w:r w:rsidRPr="00BC61ED">
              <w:rPr>
                <w:rFonts w:cs="Sylfaen"/>
                <w:bCs/>
                <w:sz w:val="20"/>
                <w:szCs w:val="20"/>
                <w:lang w:val="af-ZA"/>
              </w:rPr>
              <w:t xml:space="preserve"> </w:t>
            </w:r>
            <w:r w:rsidRPr="00BC61ED">
              <w:rPr>
                <w:rFonts w:cs="Sylfaen"/>
                <w:bCs/>
                <w:sz w:val="20"/>
                <w:szCs w:val="20"/>
                <w:lang w:val="hy-AM"/>
              </w:rPr>
              <w:t>գույքի</w:t>
            </w:r>
            <w:r w:rsidRPr="00BC61ED">
              <w:rPr>
                <w:rFonts w:cs="Sylfaen"/>
                <w:bCs/>
                <w:sz w:val="20"/>
                <w:szCs w:val="20"/>
                <w:lang w:val="af-ZA"/>
              </w:rPr>
              <w:t xml:space="preserve"> </w:t>
            </w:r>
            <w:r w:rsidRPr="00BC61ED">
              <w:rPr>
                <w:rFonts w:cs="Sylfaen"/>
                <w:bCs/>
                <w:sz w:val="20"/>
                <w:szCs w:val="20"/>
                <w:lang w:val="hy-AM"/>
              </w:rPr>
              <w:t>առաջին</w:t>
            </w:r>
            <w:r w:rsidRPr="00BC61ED">
              <w:rPr>
                <w:rFonts w:cs="Sylfaen"/>
                <w:bCs/>
                <w:sz w:val="20"/>
                <w:szCs w:val="20"/>
                <w:lang w:val="af-ZA"/>
              </w:rPr>
              <w:t xml:space="preserve"> </w:t>
            </w:r>
            <w:r w:rsidRPr="00BC61ED">
              <w:rPr>
                <w:rFonts w:cs="Sylfaen"/>
                <w:bCs/>
                <w:sz w:val="20"/>
                <w:szCs w:val="20"/>
                <w:lang w:val="hy-AM"/>
              </w:rPr>
              <w:t>հասցեավորմանը</w:t>
            </w:r>
            <w:r w:rsidRPr="00BC61ED">
              <w:rPr>
                <w:rFonts w:cs="Sylfaen"/>
                <w:bCs/>
                <w:sz w:val="20"/>
                <w:szCs w:val="20"/>
                <w:lang w:val="af-ZA"/>
              </w:rPr>
              <w:t xml:space="preserve"> </w:t>
            </w:r>
            <w:r w:rsidRPr="00BC61ED">
              <w:rPr>
                <w:rFonts w:cs="Sylfaen"/>
                <w:bCs/>
                <w:sz w:val="20"/>
                <w:szCs w:val="20"/>
                <w:lang w:val="hy-AM"/>
              </w:rPr>
              <w:t>հաջորդող ժամանակաշրջանում կատարված փոփոխությունները</w:t>
            </w:r>
            <w:r w:rsidRPr="00BC61ED">
              <w:rPr>
                <w:rFonts w:cs="Sylfaen"/>
                <w:bCs/>
                <w:sz w:val="20"/>
                <w:szCs w:val="20"/>
                <w:lang w:val="af-ZA"/>
              </w:rPr>
              <w:t xml:space="preserve"> </w:t>
            </w:r>
            <w:r w:rsidRPr="00BC61ED">
              <w:rPr>
                <w:rFonts w:cs="Sylfaen"/>
                <w:bCs/>
                <w:sz w:val="20"/>
                <w:szCs w:val="20"/>
                <w:lang w:val="hy-AM"/>
              </w:rPr>
              <w:t>չեն</w:t>
            </w:r>
            <w:r w:rsidRPr="00BC61ED">
              <w:rPr>
                <w:rFonts w:cs="Sylfaen"/>
                <w:bCs/>
                <w:sz w:val="20"/>
                <w:szCs w:val="20"/>
                <w:lang w:val="af-ZA"/>
              </w:rPr>
              <w:t xml:space="preserve"> </w:t>
            </w:r>
            <w:r w:rsidRPr="00BC61ED">
              <w:rPr>
                <w:rFonts w:cs="Sylfaen"/>
                <w:bCs/>
                <w:sz w:val="20"/>
                <w:szCs w:val="20"/>
                <w:lang w:val="hy-AM"/>
              </w:rPr>
              <w:t>ընդգրկվել</w:t>
            </w:r>
            <w:r w:rsidRPr="00BC61ED">
              <w:rPr>
                <w:rFonts w:cs="Sylfaen"/>
                <w:bCs/>
                <w:sz w:val="20"/>
                <w:szCs w:val="20"/>
                <w:lang w:val="af-ZA"/>
              </w:rPr>
              <w:t xml:space="preserve"> </w:t>
            </w:r>
            <w:r w:rsidRPr="00BC61ED">
              <w:rPr>
                <w:rFonts w:cs="Sylfaen"/>
                <w:bCs/>
                <w:sz w:val="20"/>
                <w:szCs w:val="20"/>
                <w:lang w:val="hy-AM"/>
              </w:rPr>
              <w:t>հասցեների</w:t>
            </w:r>
            <w:r w:rsidRPr="00BC61ED">
              <w:rPr>
                <w:rFonts w:cs="Sylfaen"/>
                <w:bCs/>
                <w:sz w:val="20"/>
                <w:szCs w:val="20"/>
                <w:lang w:val="af-ZA"/>
              </w:rPr>
              <w:t xml:space="preserve"> </w:t>
            </w:r>
            <w:r w:rsidRPr="00BC61ED">
              <w:rPr>
                <w:rFonts w:cs="Sylfaen"/>
                <w:bCs/>
                <w:sz w:val="20"/>
                <w:szCs w:val="20"/>
                <w:lang w:val="hy-AM"/>
              </w:rPr>
              <w:t>ռեեստրում և</w:t>
            </w:r>
            <w:r w:rsidRPr="00BC61ED">
              <w:rPr>
                <w:rFonts w:cs="Sylfaen"/>
                <w:bCs/>
                <w:sz w:val="20"/>
                <w:szCs w:val="20"/>
                <w:lang w:val="af-ZA"/>
              </w:rPr>
              <w:t xml:space="preserve"> </w:t>
            </w:r>
            <w:r w:rsidRPr="00BC61ED">
              <w:rPr>
                <w:rFonts w:cs="Sylfaen"/>
                <w:bCs/>
                <w:sz w:val="20"/>
                <w:szCs w:val="20"/>
                <w:lang w:val="hy-AM"/>
              </w:rPr>
              <w:t>կադաստրային</w:t>
            </w:r>
            <w:r w:rsidRPr="00BC61ED">
              <w:rPr>
                <w:rFonts w:cs="Sylfaen"/>
                <w:bCs/>
                <w:sz w:val="20"/>
                <w:szCs w:val="20"/>
                <w:lang w:val="af-ZA"/>
              </w:rPr>
              <w:t xml:space="preserve"> </w:t>
            </w:r>
            <w:r w:rsidRPr="00BC61ED">
              <w:rPr>
                <w:rFonts w:cs="Sylfaen"/>
                <w:bCs/>
                <w:sz w:val="20"/>
                <w:szCs w:val="20"/>
                <w:lang w:val="hy-AM"/>
              </w:rPr>
              <w:t>քարտեզներում, քանի որ նոր հասցեավորումներն ու համարակալումները սահմանված</w:t>
            </w:r>
            <w:r w:rsidRPr="00BC61ED">
              <w:rPr>
                <w:rFonts w:cs="Sylfaen"/>
                <w:bCs/>
                <w:sz w:val="20"/>
                <w:szCs w:val="20"/>
                <w:lang w:val="af-ZA"/>
              </w:rPr>
              <w:t xml:space="preserve"> </w:t>
            </w:r>
            <w:r w:rsidRPr="00BC61ED">
              <w:rPr>
                <w:rFonts w:cs="Sylfaen"/>
                <w:bCs/>
                <w:sz w:val="20"/>
                <w:szCs w:val="20"/>
                <w:lang w:val="hy-AM"/>
              </w:rPr>
              <w:t>կարգով</w:t>
            </w:r>
            <w:r w:rsidRPr="00BC61ED">
              <w:rPr>
                <w:rFonts w:cs="Sylfaen"/>
                <w:bCs/>
                <w:sz w:val="20"/>
                <w:szCs w:val="20"/>
                <w:lang w:val="af-ZA"/>
              </w:rPr>
              <w:t xml:space="preserve"> </w:t>
            </w:r>
            <w:r w:rsidRPr="00BC61ED">
              <w:rPr>
                <w:rFonts w:cs="Sylfaen"/>
                <w:bCs/>
                <w:sz w:val="20"/>
                <w:szCs w:val="20"/>
                <w:lang w:val="hy-AM"/>
              </w:rPr>
              <w:t>չեն</w:t>
            </w:r>
            <w:r w:rsidRPr="00BC61ED">
              <w:rPr>
                <w:rFonts w:cs="Sylfaen"/>
                <w:bCs/>
                <w:sz w:val="20"/>
                <w:szCs w:val="20"/>
                <w:lang w:val="af-ZA"/>
              </w:rPr>
              <w:t xml:space="preserve"> </w:t>
            </w:r>
            <w:r w:rsidRPr="00BC61ED">
              <w:rPr>
                <w:rFonts w:cs="Sylfaen"/>
                <w:bCs/>
                <w:sz w:val="20"/>
                <w:szCs w:val="20"/>
                <w:lang w:val="hy-AM"/>
              </w:rPr>
              <w:t>ներկայացվել</w:t>
            </w:r>
            <w:r w:rsidRPr="00BC61ED">
              <w:rPr>
                <w:rFonts w:cs="Sylfaen"/>
                <w:bCs/>
                <w:sz w:val="20"/>
                <w:szCs w:val="20"/>
                <w:lang w:val="af-ZA"/>
              </w:rPr>
              <w:t xml:space="preserve"> </w:t>
            </w:r>
            <w:r w:rsidRPr="00BC61ED">
              <w:rPr>
                <w:rFonts w:cs="Sylfaen"/>
                <w:bCs/>
                <w:sz w:val="20"/>
                <w:szCs w:val="20"/>
                <w:lang w:val="hy-AM"/>
              </w:rPr>
              <w:t>պետական</w:t>
            </w:r>
            <w:r w:rsidRPr="00BC61ED">
              <w:rPr>
                <w:rFonts w:cs="Sylfaen"/>
                <w:bCs/>
                <w:sz w:val="20"/>
                <w:szCs w:val="20"/>
                <w:lang w:val="af-ZA"/>
              </w:rPr>
              <w:t xml:space="preserve"> </w:t>
            </w:r>
            <w:r w:rsidRPr="00BC61ED">
              <w:rPr>
                <w:rFonts w:cs="Sylfaen"/>
                <w:bCs/>
                <w:sz w:val="20"/>
                <w:szCs w:val="20"/>
                <w:lang w:val="hy-AM"/>
              </w:rPr>
              <w:t>գրանցման,</w:t>
            </w:r>
            <w:r w:rsidRPr="00BC61ED">
              <w:rPr>
                <w:rFonts w:cs="Sylfaen"/>
                <w:bCs/>
                <w:sz w:val="20"/>
                <w:szCs w:val="20"/>
                <w:lang w:val="af-ZA"/>
              </w:rPr>
              <w:t xml:space="preserve"> </w:t>
            </w:r>
            <w:r w:rsidRPr="00BC61ED">
              <w:rPr>
                <w:rFonts w:cs="Sylfaen"/>
                <w:bCs/>
                <w:sz w:val="20"/>
                <w:szCs w:val="20"/>
                <w:lang w:val="hy-AM"/>
              </w:rPr>
              <w:t>չեն</w:t>
            </w:r>
            <w:r w:rsidRPr="00BC61ED">
              <w:rPr>
                <w:rFonts w:cs="Sylfaen"/>
                <w:bCs/>
                <w:sz w:val="20"/>
                <w:szCs w:val="20"/>
                <w:lang w:val="af-ZA"/>
              </w:rPr>
              <w:t xml:space="preserve"> </w:t>
            </w:r>
            <w:r w:rsidRPr="00BC61ED">
              <w:rPr>
                <w:rFonts w:cs="Sylfaen"/>
                <w:bCs/>
                <w:sz w:val="20"/>
                <w:szCs w:val="20"/>
                <w:lang w:val="hy-AM"/>
              </w:rPr>
              <w:t>ներառվել</w:t>
            </w:r>
            <w:r w:rsidRPr="00BC61ED">
              <w:rPr>
                <w:rFonts w:cs="Sylfaen"/>
                <w:bCs/>
                <w:sz w:val="20"/>
                <w:szCs w:val="20"/>
                <w:lang w:val="af-ZA"/>
              </w:rPr>
              <w:t xml:space="preserve"> </w:t>
            </w:r>
            <w:r w:rsidRPr="00BC61ED">
              <w:rPr>
                <w:rFonts w:cs="Sylfaen"/>
                <w:bCs/>
                <w:sz w:val="20"/>
                <w:szCs w:val="20"/>
                <w:lang w:val="hy-AM"/>
              </w:rPr>
              <w:t>հասցեների</w:t>
            </w:r>
            <w:r w:rsidRPr="00BC61ED">
              <w:rPr>
                <w:rFonts w:cs="Sylfaen"/>
                <w:bCs/>
                <w:sz w:val="20"/>
                <w:szCs w:val="20"/>
                <w:lang w:val="af-ZA"/>
              </w:rPr>
              <w:t xml:space="preserve"> </w:t>
            </w:r>
            <w:r w:rsidRPr="00BC61ED">
              <w:rPr>
                <w:rFonts w:cs="Sylfaen"/>
                <w:bCs/>
                <w:sz w:val="20"/>
                <w:szCs w:val="20"/>
                <w:lang w:val="hy-AM"/>
              </w:rPr>
              <w:t>ռեեստրում,</w:t>
            </w:r>
            <w:r w:rsidRPr="00BC61ED">
              <w:rPr>
                <w:rFonts w:cs="Sylfaen"/>
                <w:sz w:val="20"/>
                <w:szCs w:val="20"/>
                <w:lang w:val="af-ZA"/>
              </w:rPr>
              <w:t xml:space="preserve"> ինչպես նաև որոշ դեպքերում անվանակոչման լիազոր մարմինների կողմից անշարժ գույքին հասցե տրամադրելու մասին որոշումները չեն համապատասխանում ՀՀ կառավարության 2005 </w:t>
            </w:r>
            <w:r w:rsidRPr="00BC61ED">
              <w:rPr>
                <w:rFonts w:cs="Sylfaen"/>
                <w:sz w:val="20"/>
                <w:szCs w:val="20"/>
                <w:lang w:val="hy-AM"/>
              </w:rPr>
              <w:t xml:space="preserve">թվականի դեկտեմբերի 29-ի </w:t>
            </w:r>
            <w:r w:rsidRPr="00BC61ED">
              <w:rPr>
                <w:rFonts w:cs="Sylfaen"/>
                <w:sz w:val="20"/>
                <w:szCs w:val="20"/>
                <w:lang w:val="af-ZA"/>
              </w:rPr>
              <w:t>N 2387-</w:t>
            </w:r>
            <w:r w:rsidRPr="00BC61ED">
              <w:rPr>
                <w:rFonts w:cs="Sylfaen"/>
                <w:sz w:val="20"/>
                <w:szCs w:val="20"/>
                <w:lang w:val="hy-AM"/>
              </w:rPr>
              <w:t>Ն</w:t>
            </w:r>
            <w:r w:rsidRPr="00BC61ED">
              <w:rPr>
                <w:rFonts w:cs="Sylfaen"/>
                <w:sz w:val="20"/>
                <w:szCs w:val="20"/>
                <w:lang w:val="af-ZA"/>
              </w:rPr>
              <w:t xml:space="preserve"> </w:t>
            </w:r>
            <w:r w:rsidRPr="00BC61ED">
              <w:rPr>
                <w:rFonts w:cs="Sylfaen"/>
                <w:sz w:val="20"/>
                <w:szCs w:val="20"/>
                <w:lang w:val="hy-AM"/>
              </w:rPr>
              <w:t>որոշման</w:t>
            </w:r>
            <w:r w:rsidRPr="00BC61ED">
              <w:rPr>
                <w:rFonts w:cs="Sylfaen"/>
                <w:sz w:val="20"/>
                <w:szCs w:val="20"/>
                <w:lang w:val="af-ZA"/>
              </w:rPr>
              <w:t xml:space="preserve"> </w:t>
            </w:r>
            <w:r w:rsidRPr="00BC61ED">
              <w:rPr>
                <w:rFonts w:cs="Sylfaen"/>
                <w:sz w:val="20"/>
                <w:szCs w:val="20"/>
                <w:lang w:val="hy-AM"/>
              </w:rPr>
              <w:t xml:space="preserve">պահանջներին և այլն: </w:t>
            </w:r>
          </w:p>
          <w:p w:rsidR="0068680D" w:rsidRPr="00BC61ED" w:rsidRDefault="0068680D" w:rsidP="00F47DC4">
            <w:pPr>
              <w:spacing w:line="276" w:lineRule="auto"/>
              <w:ind w:right="-1"/>
              <w:jc w:val="both"/>
              <w:rPr>
                <w:b/>
                <w:sz w:val="20"/>
                <w:szCs w:val="20"/>
                <w:lang w:val="hy-AM"/>
              </w:rPr>
            </w:pPr>
            <w:r w:rsidRPr="00BC61ED">
              <w:rPr>
                <w:b/>
                <w:sz w:val="20"/>
                <w:szCs w:val="20"/>
                <w:lang w:val="hy-AM"/>
              </w:rPr>
              <w:t xml:space="preserve">   1.2. Առկա խնդիրների առաջարկվող լուծումները</w:t>
            </w:r>
          </w:p>
          <w:p w:rsidR="0068680D" w:rsidRPr="00BC61ED" w:rsidRDefault="0068680D" w:rsidP="00F47DC4">
            <w:pPr>
              <w:spacing w:line="276" w:lineRule="auto"/>
              <w:ind w:right="-1"/>
              <w:jc w:val="both"/>
              <w:rPr>
                <w:sz w:val="20"/>
                <w:szCs w:val="20"/>
                <w:lang w:val="hy-AM"/>
              </w:rPr>
            </w:pPr>
            <w:r w:rsidRPr="00BC61ED">
              <w:rPr>
                <w:sz w:val="20"/>
                <w:szCs w:val="20"/>
                <w:lang w:val="hy-AM"/>
              </w:rPr>
              <w:t xml:space="preserve">   Հասցեավորված գույքերի մասով էլեկտրոնային հարթակի ստեղծում, որը հնարավորություն կտա այն հետագայում ինտեգրելու այլ թվային բազաների հետ, այդ թվում՝ ինտեգրված կադաստրին:</w:t>
            </w:r>
          </w:p>
          <w:p w:rsidR="0068680D" w:rsidRPr="00BC61ED" w:rsidRDefault="0068680D" w:rsidP="00F47DC4">
            <w:pPr>
              <w:spacing w:line="276" w:lineRule="auto"/>
              <w:ind w:right="-1"/>
              <w:jc w:val="both"/>
              <w:rPr>
                <w:sz w:val="20"/>
                <w:szCs w:val="20"/>
                <w:lang w:val="hy-AM"/>
              </w:rPr>
            </w:pPr>
            <w:r w:rsidRPr="00BC61ED">
              <w:rPr>
                <w:sz w:val="20"/>
                <w:szCs w:val="20"/>
                <w:lang w:val="hy-AM"/>
              </w:rPr>
              <w:t xml:space="preserve">   Միջոցառման համակատարող Տարածքային կառավարման և զարգացման նախարարության և «ԷԿԵՆԳ» ՓԲԸ-ի կողմից իրականացվելիք գործառույթները սահմանված են ՀՀ կառավարության որոշմամբ հաստատվող հայեցակարգով:</w:t>
            </w:r>
          </w:p>
          <w:p w:rsidR="0068680D" w:rsidRPr="00BC61ED" w:rsidRDefault="0068680D" w:rsidP="00F47DC4">
            <w:pPr>
              <w:pStyle w:val="ListParagraph"/>
              <w:spacing w:line="276" w:lineRule="auto"/>
              <w:ind w:left="0"/>
              <w:jc w:val="both"/>
              <w:rPr>
                <w:b/>
                <w:sz w:val="20"/>
                <w:szCs w:val="20"/>
                <w:lang w:val="hy-AM" w:eastAsia="en-GB"/>
              </w:rPr>
            </w:pPr>
            <w:r w:rsidRPr="00BC61ED">
              <w:rPr>
                <w:b/>
                <w:sz w:val="20"/>
                <w:szCs w:val="20"/>
                <w:lang w:val="hy-AM" w:eastAsia="en-GB"/>
              </w:rPr>
              <w:t xml:space="preserve">   Կիրականացվեն հետևյալ միջոցառումները՝</w:t>
            </w:r>
          </w:p>
          <w:p w:rsidR="0068680D" w:rsidRPr="00BC61ED" w:rsidRDefault="0068680D" w:rsidP="00F47DC4">
            <w:pPr>
              <w:spacing w:line="276" w:lineRule="auto"/>
              <w:jc w:val="both"/>
              <w:rPr>
                <w:sz w:val="20"/>
                <w:szCs w:val="20"/>
                <w:lang w:val="hy-AM"/>
              </w:rPr>
            </w:pPr>
            <w:r w:rsidRPr="00BC61ED">
              <w:rPr>
                <w:sz w:val="20"/>
                <w:szCs w:val="20"/>
                <w:lang w:val="hy-AM"/>
              </w:rPr>
              <w:t xml:space="preserve">   1. </w:t>
            </w:r>
            <w:r w:rsidRPr="00BC61ED">
              <w:rPr>
                <w:rFonts w:cs="Arial"/>
                <w:color w:val="000000"/>
                <w:sz w:val="20"/>
                <w:szCs w:val="20"/>
                <w:lang w:val="hy-AM"/>
              </w:rPr>
              <w:t>Հասցեների միասնական ռեգիստրի ստեղծման</w:t>
            </w:r>
            <w:r w:rsidRPr="00BC61ED">
              <w:rPr>
                <w:rFonts w:cs="Arial"/>
                <w:sz w:val="20"/>
                <w:szCs w:val="20"/>
                <w:lang w:val="hy-AM"/>
              </w:rPr>
              <w:t xml:space="preserve"> հայեցակարգի մշակում և </w:t>
            </w:r>
            <w:r w:rsidRPr="00BC61ED">
              <w:rPr>
                <w:color w:val="000000"/>
                <w:sz w:val="20"/>
                <w:szCs w:val="20"/>
                <w:lang w:val="hy-AM"/>
              </w:rPr>
              <w:t>Հայաստանի Հանրապետության</w:t>
            </w:r>
            <w:r w:rsidRPr="00BC61ED">
              <w:rPr>
                <w:rFonts w:cs="Arial"/>
                <w:sz w:val="20"/>
                <w:szCs w:val="20"/>
                <w:lang w:val="hy-AM"/>
              </w:rPr>
              <w:t xml:space="preserve"> </w:t>
            </w:r>
            <w:r w:rsidRPr="00BC61ED">
              <w:rPr>
                <w:sz w:val="20"/>
                <w:szCs w:val="20"/>
                <w:lang w:val="hy-AM"/>
              </w:rPr>
              <w:t>կառա</w:t>
            </w:r>
            <w:r w:rsidRPr="00BC61ED">
              <w:rPr>
                <w:sz w:val="20"/>
                <w:szCs w:val="20"/>
                <w:lang w:val="hy-AM"/>
              </w:rPr>
              <w:softHyphen/>
              <w:t>վարության հավա</w:t>
            </w:r>
            <w:r w:rsidRPr="00BC61ED">
              <w:rPr>
                <w:sz w:val="20"/>
                <w:szCs w:val="20"/>
                <w:lang w:val="hy-AM"/>
              </w:rPr>
              <w:softHyphen/>
              <w:t>նության քննարկ</w:t>
            </w:r>
            <w:r w:rsidRPr="00BC61ED">
              <w:rPr>
                <w:sz w:val="20"/>
                <w:szCs w:val="20"/>
                <w:lang w:val="hy-AM"/>
              </w:rPr>
              <w:softHyphen/>
              <w:t xml:space="preserve">մանը ներկայացում, </w:t>
            </w:r>
          </w:p>
          <w:p w:rsidR="0068680D" w:rsidRPr="00BC61ED" w:rsidRDefault="0068680D" w:rsidP="00F47DC4">
            <w:pPr>
              <w:spacing w:line="276" w:lineRule="auto"/>
              <w:jc w:val="both"/>
              <w:rPr>
                <w:rFonts w:cs="Sylfaen"/>
                <w:sz w:val="20"/>
                <w:szCs w:val="20"/>
                <w:lang w:val="hy-AM"/>
              </w:rPr>
            </w:pPr>
            <w:r w:rsidRPr="00BC61ED">
              <w:rPr>
                <w:sz w:val="20"/>
                <w:szCs w:val="20"/>
                <w:lang w:val="hy-AM"/>
              </w:rPr>
              <w:t xml:space="preserve">   2. Հ</w:t>
            </w:r>
            <w:r w:rsidRPr="00BC61ED">
              <w:rPr>
                <w:rFonts w:cs="Sylfaen"/>
                <w:sz w:val="20"/>
                <w:szCs w:val="20"/>
                <w:lang w:val="hy-AM"/>
              </w:rPr>
              <w:t>այեցակարգից</w:t>
            </w:r>
            <w:r w:rsidRPr="00BC61ED">
              <w:rPr>
                <w:rFonts w:cs="Arial"/>
                <w:sz w:val="20"/>
                <w:szCs w:val="20"/>
                <w:lang w:val="hy-AM"/>
              </w:rPr>
              <w:t xml:space="preserve"> </w:t>
            </w:r>
            <w:r w:rsidRPr="00BC61ED">
              <w:rPr>
                <w:rFonts w:cs="Sylfaen"/>
                <w:sz w:val="20"/>
                <w:szCs w:val="20"/>
                <w:lang w:val="hy-AM"/>
              </w:rPr>
              <w:t>բխող</w:t>
            </w:r>
            <w:r w:rsidRPr="00BC61ED">
              <w:rPr>
                <w:rFonts w:cs="Arial"/>
                <w:sz w:val="20"/>
                <w:szCs w:val="20"/>
                <w:lang w:val="hy-AM"/>
              </w:rPr>
              <w:t xml:space="preserve"> </w:t>
            </w:r>
            <w:r w:rsidRPr="00BC61ED">
              <w:rPr>
                <w:rFonts w:cs="Sylfaen"/>
                <w:sz w:val="20"/>
                <w:szCs w:val="20"/>
                <w:lang w:val="hy-AM"/>
              </w:rPr>
              <w:t>օրենսդրական</w:t>
            </w:r>
            <w:r w:rsidRPr="00BC61ED">
              <w:rPr>
                <w:rFonts w:cs="Arial"/>
                <w:sz w:val="20"/>
                <w:szCs w:val="20"/>
                <w:lang w:val="hy-AM"/>
              </w:rPr>
              <w:t xml:space="preserve"> </w:t>
            </w:r>
            <w:r w:rsidRPr="00BC61ED">
              <w:rPr>
                <w:rFonts w:cs="Sylfaen"/>
                <w:sz w:val="20"/>
                <w:szCs w:val="20"/>
                <w:lang w:val="hy-AM"/>
              </w:rPr>
              <w:t>փոփոխությունների</w:t>
            </w:r>
            <w:r w:rsidRPr="00BC61ED">
              <w:rPr>
                <w:rFonts w:cs="Arial"/>
                <w:sz w:val="20"/>
                <w:szCs w:val="20"/>
                <w:lang w:val="hy-AM"/>
              </w:rPr>
              <w:t xml:space="preserve"> </w:t>
            </w:r>
            <w:r w:rsidRPr="00BC61ED">
              <w:rPr>
                <w:rFonts w:cs="Sylfaen"/>
                <w:sz w:val="20"/>
                <w:szCs w:val="20"/>
                <w:lang w:val="hy-AM"/>
              </w:rPr>
              <w:t>նախագծերի</w:t>
            </w:r>
            <w:r w:rsidRPr="00BC61ED">
              <w:rPr>
                <w:rFonts w:cs="Arial"/>
                <w:sz w:val="20"/>
                <w:szCs w:val="20"/>
                <w:lang w:val="hy-AM"/>
              </w:rPr>
              <w:t xml:space="preserve"> </w:t>
            </w:r>
            <w:r w:rsidRPr="00BC61ED">
              <w:rPr>
                <w:rFonts w:cs="Sylfaen"/>
                <w:sz w:val="20"/>
                <w:szCs w:val="20"/>
                <w:lang w:val="hy-AM"/>
              </w:rPr>
              <w:t>մշակում,</w:t>
            </w:r>
          </w:p>
          <w:p w:rsidR="0068680D" w:rsidRPr="00BC61ED" w:rsidRDefault="0068680D" w:rsidP="00F47DC4">
            <w:pPr>
              <w:spacing w:line="276" w:lineRule="auto"/>
              <w:jc w:val="both"/>
              <w:rPr>
                <w:rFonts w:cs="Sylfaen"/>
                <w:sz w:val="20"/>
                <w:szCs w:val="20"/>
                <w:lang w:val="hy-AM"/>
              </w:rPr>
            </w:pPr>
            <w:r w:rsidRPr="00BC61ED">
              <w:rPr>
                <w:sz w:val="20"/>
                <w:szCs w:val="20"/>
                <w:lang w:val="hy-AM"/>
              </w:rPr>
              <w:t xml:space="preserve">   3.</w:t>
            </w:r>
            <w:r w:rsidRPr="00BC61ED">
              <w:rPr>
                <w:rFonts w:cs="Sylfaen"/>
                <w:sz w:val="20"/>
                <w:szCs w:val="20"/>
                <w:lang w:val="hy-AM"/>
              </w:rPr>
              <w:t xml:space="preserve"> </w:t>
            </w:r>
            <w:r w:rsidRPr="00BC61ED">
              <w:rPr>
                <w:rFonts w:cs="Sylfaen"/>
                <w:color w:val="000000" w:themeColor="text1"/>
                <w:sz w:val="20"/>
                <w:szCs w:val="20"/>
                <w:lang w:val="hy-AM"/>
              </w:rPr>
              <w:t>Հասցեների միասնական ռեգիստրի և տեղեկատվական համակարգի ստեղծում, ե</w:t>
            </w:r>
            <w:r w:rsidRPr="00BC61ED">
              <w:rPr>
                <w:color w:val="000000" w:themeColor="text1"/>
                <w:sz w:val="20"/>
                <w:szCs w:val="20"/>
                <w:lang w:val="hy-AM"/>
              </w:rPr>
              <w:t>րկու համայնքներից հասցեավորված օբյեկտների վերաբերյալ տվյալների հավաքագրում, մուտքագրում,  համակցում կադաստրային քարտեզներին և համակարգի պիլոտային գործարկում,</w:t>
            </w:r>
            <w:r w:rsidRPr="00BC61ED">
              <w:rPr>
                <w:rFonts w:cs="Sylfaen"/>
                <w:sz w:val="20"/>
                <w:szCs w:val="20"/>
                <w:lang w:val="hy-AM"/>
              </w:rPr>
              <w:t xml:space="preserve"> </w:t>
            </w:r>
          </w:p>
          <w:p w:rsidR="0068680D" w:rsidRPr="00BC61ED" w:rsidRDefault="0068680D" w:rsidP="00F47DC4">
            <w:pPr>
              <w:spacing w:line="276" w:lineRule="auto"/>
              <w:ind w:right="-1"/>
              <w:jc w:val="both"/>
              <w:rPr>
                <w:color w:val="000000" w:themeColor="text1"/>
                <w:sz w:val="20"/>
                <w:szCs w:val="20"/>
                <w:lang w:val="hy-AM"/>
              </w:rPr>
            </w:pPr>
            <w:r w:rsidRPr="00BC61ED">
              <w:rPr>
                <w:sz w:val="20"/>
                <w:szCs w:val="20"/>
                <w:lang w:val="hy-AM"/>
              </w:rPr>
              <w:t xml:space="preserve">   4. </w:t>
            </w:r>
            <w:r w:rsidRPr="00BC61ED">
              <w:rPr>
                <w:color w:val="000000" w:themeColor="text1"/>
                <w:sz w:val="20"/>
                <w:szCs w:val="20"/>
                <w:lang w:val="hy-AM"/>
              </w:rPr>
              <w:t>Մարզկենտրոններում, քաղաքային համայնքներում համայնքի ղեկավարների հետ հանդիպումների կազմակերպում, հասցեների ռեեստրի ինքնաշխատ տեղեկատվական համակարգից օգտվելու կարգի ներկայացում, մասնագետների վերապատրաստում, ինչպես նաև բոլոր համայնքներից հասցեավորված օբյեկտների վերաբերյալ տվյալների հավաքագրում, մուտքագրում և համակցում կադաստրային քարտեզներին,</w:t>
            </w:r>
          </w:p>
          <w:p w:rsidR="0068680D" w:rsidRPr="00BC61ED" w:rsidRDefault="0068680D" w:rsidP="00F47DC4">
            <w:pPr>
              <w:spacing w:line="276" w:lineRule="auto"/>
              <w:ind w:right="-1"/>
              <w:jc w:val="both"/>
              <w:rPr>
                <w:sz w:val="20"/>
                <w:szCs w:val="20"/>
                <w:lang w:val="hy-AM"/>
              </w:rPr>
            </w:pPr>
            <w:r w:rsidRPr="00BC61ED">
              <w:rPr>
                <w:sz w:val="20"/>
                <w:szCs w:val="20"/>
                <w:lang w:val="hy-AM"/>
              </w:rPr>
              <w:t xml:space="preserve">   5.</w:t>
            </w:r>
            <w:r w:rsidRPr="00BC61ED">
              <w:rPr>
                <w:rFonts w:cs="Sylfaen"/>
                <w:color w:val="000000" w:themeColor="text1"/>
                <w:sz w:val="20"/>
                <w:szCs w:val="20"/>
                <w:lang w:val="hy-AM"/>
              </w:rPr>
              <w:t xml:space="preserve"> Հասցեների միասնական ռեգիստրի և հասցեների ռեեստրի ինքնաշխատ տեղեկատվական համակարգի գործարկում՝ ինտեգրված կադաստրի և փոխգործելիության շրջանակներում:</w:t>
            </w:r>
          </w:p>
          <w:p w:rsidR="0068680D" w:rsidRPr="00BC61ED" w:rsidRDefault="0068680D" w:rsidP="00F47DC4">
            <w:pPr>
              <w:spacing w:line="276" w:lineRule="auto"/>
              <w:ind w:right="-1"/>
              <w:jc w:val="both"/>
              <w:rPr>
                <w:b/>
                <w:sz w:val="20"/>
                <w:szCs w:val="20"/>
                <w:lang w:val="hy-AM"/>
              </w:rPr>
            </w:pPr>
            <w:r w:rsidRPr="00BC61ED">
              <w:rPr>
                <w:b/>
                <w:sz w:val="20"/>
                <w:szCs w:val="20"/>
                <w:lang w:val="hy-AM"/>
              </w:rPr>
              <w:t xml:space="preserve">   2. Միջոցառման իրականացումից ակնկալվող արդյունքը</w:t>
            </w:r>
          </w:p>
          <w:p w:rsidR="0068680D" w:rsidRPr="00BC61ED" w:rsidRDefault="0068680D" w:rsidP="00F47DC4">
            <w:pPr>
              <w:tabs>
                <w:tab w:val="left" w:pos="284"/>
              </w:tabs>
              <w:spacing w:line="276" w:lineRule="auto"/>
              <w:ind w:right="-1"/>
              <w:jc w:val="both"/>
              <w:rPr>
                <w:rFonts w:cs="Sylfaen"/>
                <w:bCs/>
                <w:noProof/>
                <w:sz w:val="20"/>
                <w:szCs w:val="20"/>
                <w:lang w:val="af-ZA"/>
              </w:rPr>
            </w:pPr>
            <w:r w:rsidRPr="00BC61ED">
              <w:rPr>
                <w:sz w:val="20"/>
                <w:szCs w:val="20"/>
                <w:lang w:val="hy-AM"/>
              </w:rPr>
              <w:t xml:space="preserve">   Հայեցակարգի ընդունումը հիմք կհանդիսանա ոլորտի բարեփոխումների համար, առկա խնդիրներին կտրվեն համապատասխան լուծումներ: Մասնավորապես հասցեների միասնական ռեգիստրի և հասցեների ինքնաշխատ տեղեկատվական համակարգ ստեղծելով և այն </w:t>
            </w:r>
            <w:r w:rsidRPr="00BC61ED">
              <w:rPr>
                <w:rFonts w:cs="Sylfaen"/>
                <w:bCs/>
                <w:noProof/>
                <w:sz w:val="20"/>
                <w:szCs w:val="20"/>
                <w:lang w:val="af-ZA"/>
              </w:rPr>
              <w:t xml:space="preserve">կառավարության փոխգործելիության հարթակին համակցելով՝ հասցեների ռեեստրում ներառված տեղեկատվությունն առցանց տարբերակով կթարմացվի և հասցեի անվանափոխման, համարակալման ցանկացած փոփոխություն անմիջապես կարտացոլվի համակարգում և հասանելի կլինի օգտվողների համար: Տեղական ինքնակառավարման մարմինները հնարավորություն կստանան մուտք գործելու համակարգ և ներկայացնելու անշարժ գույքի հասցեավորման կամ համարակալման հայտ, </w:t>
            </w:r>
            <w:r w:rsidRPr="00BC61ED">
              <w:rPr>
                <w:rFonts w:cs="Sylfaen"/>
                <w:bCs/>
                <w:noProof/>
                <w:sz w:val="20"/>
                <w:szCs w:val="20"/>
                <w:lang w:val="af-ZA"/>
              </w:rPr>
              <w:tab/>
              <w:t>ռեեստրի տեղեկատվությունն ինքնաշխատ ձևով կարտացոլվի կադաստրային, ինչպես նաև առցանց տիրույթում առկա քարտեզներում (Google Maps, Yandex.Map և այլն):</w:t>
            </w:r>
          </w:p>
        </w:tc>
      </w:tr>
      <w:tr w:rsidR="0068680D" w:rsidRPr="00DE2EFA"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4.</w:t>
            </w:r>
          </w:p>
        </w:tc>
        <w:tc>
          <w:tcPr>
            <w:tcW w:w="10915" w:type="dxa"/>
          </w:tcPr>
          <w:p w:rsidR="0068680D" w:rsidRPr="00BC61ED" w:rsidRDefault="0068680D" w:rsidP="00F47DC4">
            <w:pPr>
              <w:spacing w:line="276" w:lineRule="auto"/>
              <w:jc w:val="center"/>
              <w:rPr>
                <w:rFonts w:cs="Sylfaen"/>
                <w:b/>
                <w:sz w:val="20"/>
                <w:szCs w:val="20"/>
                <w:lang w:val="hy-AM"/>
              </w:rPr>
            </w:pPr>
            <w:r w:rsidRPr="00BC61ED">
              <w:rPr>
                <w:rFonts w:cs="Sylfaen"/>
                <w:b/>
                <w:sz w:val="20"/>
                <w:szCs w:val="20"/>
                <w:lang w:val="hy-AM"/>
              </w:rPr>
              <w:t xml:space="preserve">Անշարժ գույքի շուկայի զարգացման աջակցություն </w:t>
            </w:r>
          </w:p>
          <w:p w:rsidR="0068680D" w:rsidRPr="00BC61ED" w:rsidRDefault="0068680D" w:rsidP="00F47DC4">
            <w:pPr>
              <w:spacing w:line="276" w:lineRule="auto"/>
              <w:jc w:val="center"/>
              <w:rPr>
                <w:b/>
                <w:sz w:val="20"/>
                <w:szCs w:val="20"/>
                <w:lang w:val="hy-AM"/>
              </w:rPr>
            </w:pPr>
          </w:p>
          <w:p w:rsidR="0068680D" w:rsidRPr="00BC61ED" w:rsidRDefault="0068680D" w:rsidP="00F47DC4">
            <w:pPr>
              <w:spacing w:line="276" w:lineRule="auto"/>
              <w:jc w:val="both"/>
              <w:rPr>
                <w:b/>
                <w:sz w:val="20"/>
                <w:szCs w:val="20"/>
                <w:lang w:val="hy-AM"/>
              </w:rPr>
            </w:pPr>
            <w:r w:rsidRPr="00BC61ED">
              <w:rPr>
                <w:b/>
                <w:sz w:val="20"/>
                <w:szCs w:val="20"/>
                <w:lang w:val="hy-AM"/>
              </w:rPr>
              <w:t xml:space="preserve">   1.</w:t>
            </w:r>
            <w:r w:rsidRPr="00BC61ED">
              <w:rPr>
                <w:rFonts w:cs="Sylfaen"/>
                <w:b/>
                <w:sz w:val="20"/>
                <w:szCs w:val="20"/>
                <w:lang w:val="hy-AM"/>
              </w:rPr>
              <w:t>Միջոցառման</w:t>
            </w:r>
            <w:r w:rsidRPr="00BC61ED">
              <w:rPr>
                <w:b/>
                <w:sz w:val="20"/>
                <w:szCs w:val="20"/>
                <w:lang w:val="hy-AM"/>
              </w:rPr>
              <w:t xml:space="preserve"> </w:t>
            </w:r>
            <w:r w:rsidRPr="00BC61ED">
              <w:rPr>
                <w:rFonts w:cs="Sylfaen"/>
                <w:b/>
                <w:sz w:val="20"/>
                <w:szCs w:val="20"/>
                <w:lang w:val="hy-AM"/>
              </w:rPr>
              <w:t>իրականացման</w:t>
            </w:r>
            <w:r w:rsidRPr="00BC61ED">
              <w:rPr>
                <w:b/>
                <w:sz w:val="20"/>
                <w:szCs w:val="20"/>
                <w:lang w:val="hy-AM"/>
              </w:rPr>
              <w:t xml:space="preserve"> </w:t>
            </w:r>
            <w:r w:rsidRPr="00BC61ED">
              <w:rPr>
                <w:rFonts w:cs="Sylfaen"/>
                <w:b/>
                <w:sz w:val="20"/>
                <w:szCs w:val="20"/>
                <w:lang w:val="hy-AM"/>
              </w:rPr>
              <w:t>անհրաժեշտությունը</w:t>
            </w:r>
            <w:r w:rsidRPr="00BC61ED">
              <w:rPr>
                <w:b/>
                <w:sz w:val="20"/>
                <w:szCs w:val="20"/>
                <w:lang w:val="hy-AM"/>
              </w:rPr>
              <w:t xml:space="preserve"> </w:t>
            </w:r>
            <w:r w:rsidRPr="00BC61ED">
              <w:rPr>
                <w:rFonts w:cs="Sylfaen"/>
                <w:b/>
                <w:sz w:val="20"/>
                <w:szCs w:val="20"/>
                <w:lang w:val="hy-AM"/>
              </w:rPr>
              <w:t>և</w:t>
            </w:r>
            <w:r w:rsidRPr="00BC61ED">
              <w:rPr>
                <w:b/>
                <w:sz w:val="20"/>
                <w:szCs w:val="20"/>
                <w:lang w:val="hy-AM"/>
              </w:rPr>
              <w:t xml:space="preserve"> </w:t>
            </w:r>
            <w:r w:rsidRPr="00BC61ED">
              <w:rPr>
                <w:rFonts w:cs="Sylfaen"/>
                <w:b/>
                <w:sz w:val="20"/>
                <w:szCs w:val="20"/>
                <w:lang w:val="hy-AM"/>
              </w:rPr>
              <w:t>նպատակը</w:t>
            </w:r>
          </w:p>
          <w:p w:rsidR="0068680D" w:rsidRPr="00BC61ED" w:rsidRDefault="0068680D" w:rsidP="00F47DC4">
            <w:pPr>
              <w:spacing w:line="276" w:lineRule="auto"/>
              <w:jc w:val="both"/>
              <w:rPr>
                <w:sz w:val="20"/>
                <w:szCs w:val="20"/>
                <w:lang w:val="hy-AM"/>
              </w:rPr>
            </w:pPr>
            <w:r w:rsidRPr="00BC61ED">
              <w:rPr>
                <w:sz w:val="20"/>
                <w:szCs w:val="20"/>
                <w:lang w:val="hy-AM"/>
              </w:rPr>
              <w:t xml:space="preserve">   Միջոցառման նպատակը Հայաստանի Հանրապետությունում անշարժ գույքի շուկայի զարգացման աջակցությունն է:</w:t>
            </w:r>
          </w:p>
          <w:p w:rsidR="0068680D" w:rsidRPr="00BC61ED" w:rsidRDefault="0068680D" w:rsidP="00F47DC4">
            <w:pPr>
              <w:pStyle w:val="ListParagraph"/>
              <w:spacing w:line="276" w:lineRule="auto"/>
              <w:ind w:left="0" w:right="-1"/>
              <w:jc w:val="both"/>
              <w:rPr>
                <w:sz w:val="20"/>
                <w:szCs w:val="20"/>
                <w:lang w:val="hy-AM" w:eastAsia="en-GB"/>
              </w:rPr>
            </w:pPr>
            <w:r w:rsidRPr="00BC61ED">
              <w:rPr>
                <w:sz w:val="20"/>
                <w:szCs w:val="20"/>
                <w:lang w:val="hy-AM" w:eastAsia="en-GB"/>
              </w:rPr>
              <w:t xml:space="preserve">   Միջոցառման իրականացման համար նորմատիվ իրավական ակտերի ընդունման անհրաժեշտություն է առաջանում: </w:t>
            </w:r>
          </w:p>
          <w:p w:rsidR="0068680D" w:rsidRPr="00BC61ED" w:rsidRDefault="0068680D" w:rsidP="00F47DC4">
            <w:pPr>
              <w:spacing w:line="276" w:lineRule="auto"/>
              <w:jc w:val="both"/>
              <w:rPr>
                <w:b/>
                <w:sz w:val="20"/>
                <w:szCs w:val="20"/>
                <w:lang w:val="hy-AM"/>
              </w:rPr>
            </w:pPr>
            <w:r w:rsidRPr="00BC61ED">
              <w:rPr>
                <w:rFonts w:cs="Sylfaen"/>
                <w:b/>
                <w:sz w:val="20"/>
                <w:szCs w:val="20"/>
                <w:lang w:val="hy-AM"/>
              </w:rPr>
              <w:t xml:space="preserve">   1.1. Կարգավորման</w:t>
            </w:r>
            <w:r w:rsidRPr="00BC61ED">
              <w:rPr>
                <w:b/>
                <w:sz w:val="20"/>
                <w:szCs w:val="20"/>
                <w:lang w:val="hy-AM"/>
              </w:rPr>
              <w:t xml:space="preserve"> </w:t>
            </w:r>
            <w:r w:rsidRPr="00BC61ED">
              <w:rPr>
                <w:rFonts w:cs="Sylfaen"/>
                <w:b/>
                <w:sz w:val="20"/>
                <w:szCs w:val="20"/>
                <w:lang w:val="hy-AM"/>
              </w:rPr>
              <w:t>հարաբերությունների</w:t>
            </w:r>
            <w:r w:rsidRPr="00BC61ED">
              <w:rPr>
                <w:b/>
                <w:sz w:val="20"/>
                <w:szCs w:val="20"/>
                <w:lang w:val="hy-AM"/>
              </w:rPr>
              <w:t xml:space="preserve"> </w:t>
            </w:r>
            <w:r w:rsidRPr="00BC61ED">
              <w:rPr>
                <w:rFonts w:cs="Sylfaen"/>
                <w:b/>
                <w:sz w:val="20"/>
                <w:szCs w:val="20"/>
                <w:lang w:val="hy-AM"/>
              </w:rPr>
              <w:t>ներկա</w:t>
            </w:r>
            <w:r w:rsidRPr="00BC61ED">
              <w:rPr>
                <w:b/>
                <w:sz w:val="20"/>
                <w:szCs w:val="20"/>
                <w:lang w:val="hy-AM"/>
              </w:rPr>
              <w:t xml:space="preserve"> </w:t>
            </w:r>
            <w:r w:rsidRPr="00BC61ED">
              <w:rPr>
                <w:rFonts w:cs="Sylfaen"/>
                <w:b/>
                <w:sz w:val="20"/>
                <w:szCs w:val="20"/>
                <w:lang w:val="hy-AM"/>
              </w:rPr>
              <w:t>վիճակը</w:t>
            </w:r>
            <w:r w:rsidRPr="00BC61ED">
              <w:rPr>
                <w:b/>
                <w:sz w:val="20"/>
                <w:szCs w:val="20"/>
                <w:lang w:val="hy-AM"/>
              </w:rPr>
              <w:t xml:space="preserve"> </w:t>
            </w:r>
            <w:r w:rsidRPr="00BC61ED">
              <w:rPr>
                <w:rFonts w:cs="Sylfaen"/>
                <w:b/>
                <w:sz w:val="20"/>
                <w:szCs w:val="20"/>
                <w:lang w:val="hy-AM"/>
              </w:rPr>
              <w:t>և</w:t>
            </w:r>
            <w:r w:rsidRPr="00BC61ED">
              <w:rPr>
                <w:b/>
                <w:sz w:val="20"/>
                <w:szCs w:val="20"/>
                <w:lang w:val="hy-AM"/>
              </w:rPr>
              <w:t xml:space="preserve"> </w:t>
            </w:r>
            <w:r w:rsidRPr="00BC61ED">
              <w:rPr>
                <w:rFonts w:cs="Sylfaen"/>
                <w:b/>
                <w:sz w:val="20"/>
                <w:szCs w:val="20"/>
                <w:lang w:val="hy-AM"/>
              </w:rPr>
              <w:t>առկա</w:t>
            </w:r>
            <w:r w:rsidRPr="00BC61ED">
              <w:rPr>
                <w:b/>
                <w:sz w:val="20"/>
                <w:szCs w:val="20"/>
                <w:lang w:val="hy-AM"/>
              </w:rPr>
              <w:t xml:space="preserve"> </w:t>
            </w:r>
            <w:r w:rsidRPr="00BC61ED">
              <w:rPr>
                <w:rFonts w:cs="Sylfaen"/>
                <w:b/>
                <w:sz w:val="20"/>
                <w:szCs w:val="20"/>
                <w:lang w:val="hy-AM"/>
              </w:rPr>
              <w:t>խնդիրները</w:t>
            </w:r>
          </w:p>
          <w:p w:rsidR="0068680D" w:rsidRPr="00BC61ED" w:rsidRDefault="0068680D" w:rsidP="00F47DC4">
            <w:pPr>
              <w:spacing w:line="276" w:lineRule="auto"/>
              <w:jc w:val="both"/>
              <w:rPr>
                <w:rFonts w:cs="Sylfaen"/>
                <w:sz w:val="20"/>
                <w:szCs w:val="20"/>
                <w:lang w:val="hy-AM"/>
              </w:rPr>
            </w:pPr>
            <w:r w:rsidRPr="00BC61ED">
              <w:rPr>
                <w:rFonts w:cs="Sylfaen"/>
                <w:sz w:val="20"/>
                <w:szCs w:val="20"/>
                <w:lang w:val="hy-AM"/>
              </w:rPr>
              <w:t xml:space="preserve">   Ներկայիս իրավիճակում ուսումնասիրվում է անշարժ գույքի շուկան, սակայն չի կատարվում շուկայի զարգացման վրա ազդող գործոնների համապարփակ և խորը վերլուծություն:</w:t>
            </w:r>
          </w:p>
          <w:p w:rsidR="0068680D" w:rsidRPr="00BC61ED" w:rsidRDefault="0068680D" w:rsidP="00F47DC4">
            <w:pPr>
              <w:spacing w:line="276" w:lineRule="auto"/>
              <w:jc w:val="both"/>
              <w:rPr>
                <w:rFonts w:cs="Sylfaen"/>
                <w:b/>
                <w:sz w:val="20"/>
                <w:szCs w:val="20"/>
                <w:lang w:val="hy-AM"/>
              </w:rPr>
            </w:pPr>
            <w:r w:rsidRPr="00BC61ED">
              <w:rPr>
                <w:rFonts w:cs="Sylfaen"/>
                <w:sz w:val="20"/>
                <w:szCs w:val="20"/>
                <w:lang w:val="hy-AM"/>
              </w:rPr>
              <w:t xml:space="preserve">   </w:t>
            </w:r>
            <w:r w:rsidRPr="00BC61ED">
              <w:rPr>
                <w:rFonts w:cs="Sylfaen"/>
                <w:b/>
                <w:sz w:val="20"/>
                <w:szCs w:val="20"/>
                <w:lang w:val="hy-AM"/>
              </w:rPr>
              <w:t>1.2. Առկա</w:t>
            </w:r>
            <w:r w:rsidRPr="00BC61ED">
              <w:rPr>
                <w:b/>
                <w:sz w:val="20"/>
                <w:szCs w:val="20"/>
                <w:lang w:val="hy-AM"/>
              </w:rPr>
              <w:t xml:space="preserve"> </w:t>
            </w:r>
            <w:r w:rsidRPr="00BC61ED">
              <w:rPr>
                <w:rFonts w:cs="Sylfaen"/>
                <w:b/>
                <w:sz w:val="20"/>
                <w:szCs w:val="20"/>
                <w:lang w:val="hy-AM"/>
              </w:rPr>
              <w:t>խնդիրների</w:t>
            </w:r>
            <w:r w:rsidRPr="00BC61ED">
              <w:rPr>
                <w:b/>
                <w:sz w:val="20"/>
                <w:szCs w:val="20"/>
                <w:lang w:val="hy-AM"/>
              </w:rPr>
              <w:t xml:space="preserve"> </w:t>
            </w:r>
            <w:r w:rsidRPr="00BC61ED">
              <w:rPr>
                <w:rFonts w:cs="Sylfaen"/>
                <w:b/>
                <w:sz w:val="20"/>
                <w:szCs w:val="20"/>
                <w:lang w:val="hy-AM"/>
              </w:rPr>
              <w:t>առաջարկվող</w:t>
            </w:r>
            <w:r w:rsidRPr="00BC61ED">
              <w:rPr>
                <w:b/>
                <w:sz w:val="20"/>
                <w:szCs w:val="20"/>
                <w:lang w:val="hy-AM"/>
              </w:rPr>
              <w:t xml:space="preserve"> </w:t>
            </w:r>
            <w:r w:rsidRPr="00BC61ED">
              <w:rPr>
                <w:rFonts w:cs="Sylfaen"/>
                <w:b/>
                <w:sz w:val="20"/>
                <w:szCs w:val="20"/>
                <w:lang w:val="hy-AM"/>
              </w:rPr>
              <w:t>լուծումները</w:t>
            </w:r>
          </w:p>
          <w:p w:rsidR="0068680D" w:rsidRPr="00BC61ED" w:rsidRDefault="0068680D" w:rsidP="00F47DC4">
            <w:pPr>
              <w:spacing w:line="276" w:lineRule="auto"/>
              <w:jc w:val="both"/>
              <w:rPr>
                <w:sz w:val="20"/>
                <w:szCs w:val="20"/>
                <w:lang w:val="hy-AM"/>
              </w:rPr>
            </w:pPr>
            <w:r w:rsidRPr="00BC61ED">
              <w:rPr>
                <w:sz w:val="20"/>
                <w:szCs w:val="20"/>
                <w:lang w:val="hy-AM"/>
              </w:rPr>
              <w:t xml:space="preserve">   Ծրագրի շրջանակներում նախատեսվում է իրականացնել՝ </w:t>
            </w:r>
          </w:p>
          <w:p w:rsidR="0068680D" w:rsidRPr="00BC61ED" w:rsidRDefault="0068680D" w:rsidP="00F47DC4">
            <w:pPr>
              <w:spacing w:line="276" w:lineRule="auto"/>
              <w:jc w:val="both"/>
              <w:rPr>
                <w:sz w:val="20"/>
                <w:szCs w:val="20"/>
                <w:lang w:val="hy-AM"/>
              </w:rPr>
            </w:pPr>
            <w:r w:rsidRPr="00BC61ED">
              <w:rPr>
                <w:sz w:val="20"/>
                <w:szCs w:val="20"/>
                <w:lang w:val="hy-AM"/>
              </w:rPr>
              <w:t xml:space="preserve">   Գործարքների տեսակների կառուցվածքների, անշարժ գույքի գների, վարձավճարների դինամիկայի և դրանց փոփոխման միտումների վերլուծություններ, ինչպես նաև հանրապետության քաղաքներում անշարժ գույքի գների վրա ազդող ենթակառուցվածքների տեղային ուսումնասիրություններ՝ անշարժ գույքի շուկայի զարգացման վերլուծության կազմման նպատակով:  Անշարժ գույքի գործակալների գործունեության կարգավորում, զարգացում և օրենսդրական նախաձեռնությունների մշակում:</w:t>
            </w:r>
          </w:p>
          <w:p w:rsidR="0068680D" w:rsidRPr="00BC61ED" w:rsidRDefault="0068680D" w:rsidP="00F47DC4">
            <w:pPr>
              <w:pStyle w:val="ListParagraph"/>
              <w:spacing w:line="276" w:lineRule="auto"/>
              <w:ind w:left="0"/>
              <w:jc w:val="both"/>
              <w:rPr>
                <w:b/>
                <w:sz w:val="20"/>
                <w:szCs w:val="20"/>
                <w:lang w:val="hy-AM" w:eastAsia="en-GB"/>
              </w:rPr>
            </w:pPr>
            <w:r w:rsidRPr="00BC61ED">
              <w:rPr>
                <w:b/>
                <w:sz w:val="20"/>
                <w:szCs w:val="20"/>
                <w:lang w:val="hy-AM" w:eastAsia="en-GB"/>
              </w:rPr>
              <w:t xml:space="preserve">   Կիրականացվեն հետևյալ միջոցառումները՝</w:t>
            </w:r>
          </w:p>
          <w:p w:rsidR="0068680D" w:rsidRPr="00BC61ED" w:rsidRDefault="0068680D" w:rsidP="00F47DC4">
            <w:pPr>
              <w:spacing w:line="276" w:lineRule="auto"/>
              <w:jc w:val="both"/>
              <w:rPr>
                <w:rFonts w:cs="Arial"/>
                <w:sz w:val="20"/>
                <w:szCs w:val="20"/>
                <w:lang w:val="hy-AM"/>
              </w:rPr>
            </w:pPr>
            <w:r w:rsidRPr="00BC61ED">
              <w:rPr>
                <w:sz w:val="20"/>
                <w:szCs w:val="20"/>
                <w:lang w:val="hy-AM"/>
              </w:rPr>
              <w:t xml:space="preserve">   1. </w:t>
            </w:r>
            <w:r w:rsidRPr="00BC61ED">
              <w:rPr>
                <w:rFonts w:cs="Arial"/>
                <w:sz w:val="20"/>
                <w:szCs w:val="20"/>
                <w:lang w:val="hy-AM"/>
              </w:rPr>
              <w:t>Գործարքների տեսակների կառուցվածքների, անշարժ գույքի գների, վարձավճարների դինամիկայի և դրանց փոփոխման միտումների վերլուծությունների, ինչպես նաև հանրապետության քաղաքներում անշարժ գույքի գների վրա ազդող ենթակառուցվածքների տեղային ուսումնասիրություններ,</w:t>
            </w:r>
          </w:p>
          <w:p w:rsidR="0068680D" w:rsidRPr="00BC61ED" w:rsidRDefault="0068680D" w:rsidP="00F47DC4">
            <w:pPr>
              <w:spacing w:line="276" w:lineRule="auto"/>
              <w:jc w:val="both"/>
              <w:rPr>
                <w:rFonts w:cs="Arial"/>
                <w:sz w:val="20"/>
                <w:szCs w:val="20"/>
                <w:lang w:val="hy-AM"/>
              </w:rPr>
            </w:pPr>
            <w:r w:rsidRPr="00BC61ED">
              <w:rPr>
                <w:sz w:val="20"/>
                <w:szCs w:val="20"/>
                <w:lang w:val="hy-AM"/>
              </w:rPr>
              <w:t xml:space="preserve">   2. </w:t>
            </w:r>
            <w:r w:rsidRPr="00BC61ED">
              <w:rPr>
                <w:rFonts w:cs="Arial"/>
                <w:sz w:val="20"/>
                <w:szCs w:val="20"/>
                <w:lang w:val="hy-AM"/>
              </w:rPr>
              <w:t>Վերլուծության հիման վրա շուկայի զարգացմանը միտված առաջարկությունների ներկայացում,</w:t>
            </w:r>
          </w:p>
          <w:p w:rsidR="0068680D" w:rsidRPr="00BC61ED" w:rsidRDefault="0068680D" w:rsidP="00F47DC4">
            <w:pPr>
              <w:spacing w:line="276" w:lineRule="auto"/>
              <w:jc w:val="both"/>
              <w:rPr>
                <w:sz w:val="20"/>
                <w:szCs w:val="20"/>
                <w:lang w:val="hy-AM"/>
              </w:rPr>
            </w:pPr>
            <w:r w:rsidRPr="00BC61ED">
              <w:rPr>
                <w:sz w:val="20"/>
                <w:szCs w:val="20"/>
                <w:lang w:val="hy-AM"/>
              </w:rPr>
              <w:t xml:space="preserve">   3. Անշարժ գույքի գործակալների գործունեության կարգավորում և զարգացում:</w:t>
            </w:r>
          </w:p>
          <w:p w:rsidR="0068680D" w:rsidRPr="00BC61ED" w:rsidRDefault="0068680D" w:rsidP="00F47DC4">
            <w:pPr>
              <w:spacing w:line="276" w:lineRule="auto"/>
              <w:jc w:val="both"/>
              <w:rPr>
                <w:b/>
                <w:sz w:val="20"/>
                <w:szCs w:val="20"/>
                <w:lang w:val="hy-AM"/>
              </w:rPr>
            </w:pPr>
            <w:r w:rsidRPr="00BC61ED">
              <w:rPr>
                <w:b/>
                <w:sz w:val="20"/>
                <w:szCs w:val="20"/>
                <w:lang w:val="hy-AM"/>
              </w:rPr>
              <w:t xml:space="preserve">   2. </w:t>
            </w:r>
            <w:r w:rsidRPr="00BC61ED">
              <w:rPr>
                <w:rFonts w:cs="Sylfaen"/>
                <w:b/>
                <w:sz w:val="20"/>
                <w:szCs w:val="20"/>
                <w:lang w:val="hy-AM"/>
              </w:rPr>
              <w:t>Միջոցառման</w:t>
            </w:r>
            <w:r w:rsidRPr="00BC61ED">
              <w:rPr>
                <w:b/>
                <w:sz w:val="20"/>
                <w:szCs w:val="20"/>
                <w:lang w:val="hy-AM"/>
              </w:rPr>
              <w:t xml:space="preserve"> </w:t>
            </w:r>
            <w:r w:rsidRPr="00BC61ED">
              <w:rPr>
                <w:rFonts w:cs="Sylfaen"/>
                <w:b/>
                <w:sz w:val="20"/>
                <w:szCs w:val="20"/>
                <w:lang w:val="hy-AM"/>
              </w:rPr>
              <w:t>իրականացումից</w:t>
            </w:r>
            <w:r w:rsidRPr="00BC61ED">
              <w:rPr>
                <w:b/>
                <w:sz w:val="20"/>
                <w:szCs w:val="20"/>
                <w:lang w:val="hy-AM"/>
              </w:rPr>
              <w:t xml:space="preserve"> </w:t>
            </w:r>
            <w:r w:rsidRPr="00BC61ED">
              <w:rPr>
                <w:rFonts w:cs="Sylfaen"/>
                <w:b/>
                <w:sz w:val="20"/>
                <w:szCs w:val="20"/>
                <w:lang w:val="hy-AM"/>
              </w:rPr>
              <w:t>ակնկալվող</w:t>
            </w:r>
            <w:r w:rsidRPr="00BC61ED">
              <w:rPr>
                <w:b/>
                <w:sz w:val="20"/>
                <w:szCs w:val="20"/>
                <w:lang w:val="hy-AM"/>
              </w:rPr>
              <w:t xml:space="preserve"> </w:t>
            </w:r>
            <w:r w:rsidRPr="00BC61ED">
              <w:rPr>
                <w:rFonts w:cs="Sylfaen"/>
                <w:b/>
                <w:sz w:val="20"/>
                <w:szCs w:val="20"/>
                <w:lang w:val="hy-AM"/>
              </w:rPr>
              <w:t>արդյունքը</w:t>
            </w:r>
          </w:p>
          <w:p w:rsidR="0068680D" w:rsidRPr="00BC61ED" w:rsidRDefault="0068680D" w:rsidP="00F47DC4">
            <w:pPr>
              <w:spacing w:line="276" w:lineRule="auto"/>
              <w:jc w:val="both"/>
              <w:rPr>
                <w:sz w:val="20"/>
                <w:szCs w:val="20"/>
                <w:lang w:val="hy-AM"/>
              </w:rPr>
            </w:pPr>
            <w:r w:rsidRPr="00BC61ED">
              <w:rPr>
                <w:sz w:val="20"/>
                <w:szCs w:val="20"/>
                <w:lang w:val="hy-AM"/>
              </w:rPr>
              <w:t xml:space="preserve">   Ա</w:t>
            </w:r>
            <w:r w:rsidRPr="00BC61ED">
              <w:rPr>
                <w:rFonts w:cs="Sylfaen"/>
                <w:sz w:val="20"/>
                <w:szCs w:val="20"/>
                <w:lang w:val="hy-AM"/>
              </w:rPr>
              <w:t>նշարժ գույքի շուկայի զարգացման վրա ազդող գործոնների վերլուծության արդյունքում ակնկալվում է առաջարկների մշակում և ներկայացում</w:t>
            </w:r>
            <w:r w:rsidRPr="00BC61ED">
              <w:rPr>
                <w:rFonts w:cs="Arial"/>
                <w:sz w:val="20"/>
                <w:szCs w:val="20"/>
                <w:lang w:val="hy-AM"/>
              </w:rPr>
              <w:t xml:space="preserve"> օրենսդրական փոփոխությունների համար:</w:t>
            </w:r>
          </w:p>
        </w:tc>
      </w:tr>
      <w:tr w:rsidR="0068680D" w:rsidRPr="00DE2EFA"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5.</w:t>
            </w:r>
          </w:p>
        </w:tc>
        <w:tc>
          <w:tcPr>
            <w:tcW w:w="10915" w:type="dxa"/>
          </w:tcPr>
          <w:p w:rsidR="0068680D" w:rsidRPr="00BC61ED" w:rsidRDefault="0068680D" w:rsidP="00F47DC4">
            <w:pPr>
              <w:spacing w:line="276" w:lineRule="auto"/>
              <w:ind w:right="-108"/>
              <w:jc w:val="center"/>
              <w:rPr>
                <w:rFonts w:cs="Arial"/>
                <w:b/>
                <w:sz w:val="20"/>
                <w:szCs w:val="20"/>
                <w:lang w:val="hy-AM"/>
              </w:rPr>
            </w:pPr>
            <w:r w:rsidRPr="00BC61ED">
              <w:rPr>
                <w:rFonts w:cs="Arial"/>
                <w:b/>
                <w:sz w:val="20"/>
                <w:szCs w:val="20"/>
                <w:lang w:val="hy-AM"/>
              </w:rPr>
              <w:t>Հայաստանի Հանրապետության միասնական տարածագնահատման նոր գոտևորման սահմանում և Հայաստանի Հանրապետությունում անշարժ գույքի հարկով 2020-2022 և 2023-2025 թվականների հարկման բազաների ձևավորում</w:t>
            </w:r>
          </w:p>
          <w:p w:rsidR="0068680D" w:rsidRPr="00BC61ED" w:rsidRDefault="0068680D" w:rsidP="00F47DC4">
            <w:pPr>
              <w:spacing w:line="276" w:lineRule="auto"/>
              <w:jc w:val="center"/>
              <w:rPr>
                <w:rFonts w:cs="Sylfaen"/>
                <w:b/>
                <w:color w:val="000000"/>
                <w:sz w:val="20"/>
                <w:szCs w:val="20"/>
                <w:lang w:val="hy-AM"/>
              </w:rPr>
            </w:pPr>
          </w:p>
          <w:p w:rsidR="0068680D" w:rsidRPr="00BC61ED" w:rsidRDefault="0068680D" w:rsidP="00F47DC4">
            <w:pPr>
              <w:spacing w:line="276" w:lineRule="auto"/>
              <w:rPr>
                <w:b/>
                <w:sz w:val="20"/>
                <w:szCs w:val="20"/>
                <w:lang w:val="hy-AM"/>
              </w:rPr>
            </w:pPr>
            <w:r w:rsidRPr="00BC61ED">
              <w:rPr>
                <w:b/>
                <w:sz w:val="20"/>
                <w:szCs w:val="20"/>
                <w:lang w:val="hy-AM"/>
              </w:rPr>
              <w:t xml:space="preserve">   1. Միջոցառման իրականացման անհրաժեշտությունը և նպատակը</w:t>
            </w:r>
          </w:p>
          <w:p w:rsidR="0068680D" w:rsidRPr="00BC61ED" w:rsidRDefault="0068680D" w:rsidP="00F47DC4">
            <w:pPr>
              <w:spacing w:line="276" w:lineRule="auto"/>
              <w:jc w:val="both"/>
              <w:rPr>
                <w:sz w:val="20"/>
                <w:szCs w:val="20"/>
                <w:lang w:val="hy-AM"/>
              </w:rPr>
            </w:pPr>
            <w:r w:rsidRPr="00BC61ED">
              <w:rPr>
                <w:rFonts w:cs="Sylfaen"/>
                <w:color w:val="000000"/>
                <w:sz w:val="20"/>
                <w:szCs w:val="20"/>
                <w:lang w:val="hy-AM"/>
              </w:rPr>
              <w:t xml:space="preserve">   Միջոցառման նպատակն է </w:t>
            </w:r>
            <w:r w:rsidRPr="00BC61ED">
              <w:rPr>
                <w:sz w:val="20"/>
                <w:szCs w:val="20"/>
                <w:lang w:val="hy-AM"/>
              </w:rPr>
              <w:t>Հայաստանի Հանրապետության միասնական տարածագնահատման նոր գոտևորման սահմանումը:</w:t>
            </w:r>
          </w:p>
          <w:p w:rsidR="0068680D" w:rsidRPr="00BC61ED" w:rsidRDefault="0068680D" w:rsidP="00F47DC4">
            <w:pPr>
              <w:pStyle w:val="ListParagraph"/>
              <w:spacing w:line="276" w:lineRule="auto"/>
              <w:ind w:left="0" w:right="-1"/>
              <w:jc w:val="both"/>
              <w:rPr>
                <w:sz w:val="20"/>
                <w:szCs w:val="20"/>
                <w:lang w:val="hy-AM" w:eastAsia="en-GB"/>
              </w:rPr>
            </w:pPr>
            <w:r w:rsidRPr="00BC61ED">
              <w:rPr>
                <w:sz w:val="20"/>
                <w:szCs w:val="20"/>
                <w:lang w:val="hy-AM" w:eastAsia="en-GB"/>
              </w:rPr>
              <w:t xml:space="preserve">   Միջոցառման իրականացման համար «Անշարժ գույքի հարկման նպատակով շուկայական գնահատման կարգը սահմանելու մասին» ՀՀ օրենքի ընդունումից հետո անհրաժեշտություն կառաջանա ընդունելու նորմատիվ իրավական ակտեր: </w:t>
            </w:r>
          </w:p>
          <w:p w:rsidR="0068680D" w:rsidRPr="00BC61ED" w:rsidRDefault="0068680D" w:rsidP="00F47DC4">
            <w:pPr>
              <w:spacing w:line="276" w:lineRule="auto"/>
              <w:rPr>
                <w:b/>
                <w:sz w:val="20"/>
                <w:szCs w:val="20"/>
                <w:lang w:val="hy-AM"/>
              </w:rPr>
            </w:pPr>
            <w:r w:rsidRPr="00BC61ED">
              <w:rPr>
                <w:b/>
                <w:sz w:val="20"/>
                <w:szCs w:val="20"/>
                <w:lang w:val="hy-AM"/>
              </w:rPr>
              <w:t xml:space="preserve">   1.1. Կարգավորման հարաբերությունների ներկա վիճակը և առկա խնդիրները</w:t>
            </w:r>
          </w:p>
          <w:p w:rsidR="0068680D" w:rsidRPr="00BC61ED" w:rsidRDefault="0068680D" w:rsidP="00F47DC4">
            <w:pPr>
              <w:spacing w:line="276" w:lineRule="auto"/>
              <w:jc w:val="both"/>
              <w:rPr>
                <w:sz w:val="20"/>
                <w:szCs w:val="20"/>
                <w:lang w:val="hy-AM"/>
              </w:rPr>
            </w:pPr>
            <w:r w:rsidRPr="00BC61ED">
              <w:rPr>
                <w:sz w:val="20"/>
                <w:szCs w:val="20"/>
                <w:lang w:val="hy-AM"/>
              </w:rPr>
              <w:t xml:space="preserve">   Ներկայումս անշարժ գույքի հարկը բաղկացած է երկու բաղադրիչներից՝ շենքերի, շինությունների գույքահարկից և հողամասերի հողի հարկից:</w:t>
            </w:r>
          </w:p>
          <w:p w:rsidR="0068680D" w:rsidRPr="00BC61ED" w:rsidRDefault="0068680D" w:rsidP="00F47DC4">
            <w:pPr>
              <w:spacing w:line="276" w:lineRule="auto"/>
              <w:jc w:val="both"/>
              <w:rPr>
                <w:sz w:val="20"/>
                <w:szCs w:val="20"/>
                <w:lang w:val="hy-AM"/>
              </w:rPr>
            </w:pPr>
            <w:r w:rsidRPr="00BC61ED">
              <w:rPr>
                <w:sz w:val="20"/>
                <w:szCs w:val="20"/>
                <w:lang w:val="hy-AM"/>
              </w:rPr>
              <w:t xml:space="preserve">   Շենքերի, շինությունների կադաստրային գնահատությունն իրականացվում է դեռևս 2000-2002 թվականներին անշարժ գուքերի համակարգված դիտարկումների և շուկայական տվյալների վերլուծությունների արդյունքում՝ ըստ անշարժ գույքի շուկայական մոտեցումների հիման վրա մշակված կարգերի (բանաձև-հաշվարկների հիման վրա): Շենքերի, շինությունների կադաստրային գնահատման գործընթացը ներկայումս կարգավորվում է 2002 թվականին ընդունված «Գույքահարկի մասին» ՀՀ օրենքով և այլ նորմատիվ իրավական ակտերով, և շինությունների կադաստրային արժեքների բանաձև-հաշվարկներում գնագոյացման գործոններ են հանդիսանում 2002 թվականի դրությամբ շուկայական մեխանիզմների հիման վրա վերլուծությունների արդյունքում ձևավորված չափորոշիչները, մասնավորապես շինությունների տեղադրության (տարածագնահատման գոտիականության) գործակիցները հաստատված են ՀՀ կառավարության 2003 թվականի ապրիլի     17-ի N 470-Ն որոշմամբ: Արդյունքում՝ նշված գնագոյացման գործոնները չեն արտացոլում ներկայիս անշաժ գույքի շուկայի իրական պատկերը:</w:t>
            </w:r>
          </w:p>
          <w:p w:rsidR="0068680D" w:rsidRPr="00BC61ED" w:rsidRDefault="0068680D" w:rsidP="00F47DC4">
            <w:pPr>
              <w:spacing w:line="276" w:lineRule="auto"/>
              <w:jc w:val="both"/>
              <w:rPr>
                <w:sz w:val="20"/>
                <w:szCs w:val="20"/>
                <w:lang w:val="hy-AM"/>
              </w:rPr>
            </w:pPr>
            <w:r w:rsidRPr="00BC61ED">
              <w:rPr>
                <w:sz w:val="20"/>
                <w:szCs w:val="20"/>
                <w:lang w:val="hy-AM"/>
              </w:rPr>
              <w:t xml:space="preserve">   Ինչ վերաբերում է հողամասերի կադաստրային գնահատմանը, ապա ներկայումս դրանք գնահատվում են ՀՀ կառավարության 1994, 1997, 2002, 2003 թվականներին տարբեր որոշումներով սահմանված կարգերով:</w:t>
            </w:r>
          </w:p>
          <w:p w:rsidR="0068680D" w:rsidRPr="00BC61ED" w:rsidRDefault="0068680D" w:rsidP="00F47DC4">
            <w:pPr>
              <w:spacing w:line="276" w:lineRule="auto"/>
              <w:jc w:val="both"/>
              <w:rPr>
                <w:b/>
                <w:sz w:val="20"/>
                <w:szCs w:val="20"/>
                <w:lang w:val="hy-AM"/>
              </w:rPr>
            </w:pPr>
            <w:r w:rsidRPr="00BC61ED">
              <w:rPr>
                <w:b/>
                <w:sz w:val="20"/>
                <w:szCs w:val="20"/>
                <w:lang w:val="hy-AM"/>
              </w:rPr>
              <w:t xml:space="preserve">   1.2. Առկա խնդիրների առաջարկվող լուծումները</w:t>
            </w:r>
          </w:p>
          <w:p w:rsidR="0068680D" w:rsidRPr="00BC61ED" w:rsidRDefault="0068680D" w:rsidP="00F47DC4">
            <w:pPr>
              <w:spacing w:line="276" w:lineRule="auto"/>
              <w:jc w:val="both"/>
              <w:rPr>
                <w:sz w:val="20"/>
                <w:szCs w:val="20"/>
                <w:lang w:val="hy-AM"/>
              </w:rPr>
            </w:pPr>
            <w:r w:rsidRPr="00BC61ED">
              <w:rPr>
                <w:sz w:val="20"/>
                <w:szCs w:val="20"/>
                <w:lang w:val="hy-AM"/>
              </w:rPr>
              <w:t xml:space="preserve"> Ծրագրի շրջանակներում նախատեսվում է իրականացնել՝ </w:t>
            </w:r>
          </w:p>
          <w:p w:rsidR="0068680D" w:rsidRPr="00BC61ED" w:rsidRDefault="0068680D" w:rsidP="00F47DC4">
            <w:pPr>
              <w:spacing w:line="276" w:lineRule="auto"/>
              <w:jc w:val="both"/>
              <w:rPr>
                <w:sz w:val="20"/>
                <w:szCs w:val="20"/>
                <w:lang w:val="hy-AM"/>
              </w:rPr>
            </w:pPr>
            <w:r w:rsidRPr="00BC61ED">
              <w:rPr>
                <w:sz w:val="20"/>
                <w:szCs w:val="20"/>
                <w:lang w:val="hy-AM"/>
              </w:rPr>
              <w:t xml:space="preserve">   1) Հայաստանի Հանրապետության բոլոր համայնքներում անշարժ գույքի շուկայական գնահատություններ.</w:t>
            </w:r>
          </w:p>
          <w:p w:rsidR="0068680D" w:rsidRPr="00BC61ED" w:rsidRDefault="0068680D" w:rsidP="00F47DC4">
            <w:pPr>
              <w:spacing w:line="276" w:lineRule="auto"/>
              <w:jc w:val="both"/>
              <w:rPr>
                <w:sz w:val="20"/>
                <w:szCs w:val="20"/>
                <w:lang w:val="hy-AM"/>
              </w:rPr>
            </w:pPr>
            <w:r w:rsidRPr="00BC61ED">
              <w:rPr>
                <w:sz w:val="20"/>
                <w:szCs w:val="20"/>
                <w:lang w:val="hy-AM"/>
              </w:rPr>
              <w:t xml:space="preserve">   2) Անշարժ գույքի շուկայական գնահատու</w:t>
            </w:r>
            <w:r w:rsidRPr="00BC61ED">
              <w:rPr>
                <w:sz w:val="20"/>
                <w:szCs w:val="20"/>
                <w:lang w:val="hy-AM"/>
              </w:rPr>
              <w:softHyphen/>
              <w:t>թյուն</w:t>
            </w:r>
            <w:r w:rsidRPr="00BC61ED">
              <w:rPr>
                <w:sz w:val="20"/>
                <w:szCs w:val="20"/>
                <w:lang w:val="hy-AM"/>
              </w:rPr>
              <w:softHyphen/>
              <w:t>ների տվյալների և ՀՀ անշարժ գույքի կադաստրի կոմիտեի կողմից կատարված  վերջին 5 տարիների փաստացի գործարք</w:t>
            </w:r>
            <w:r w:rsidRPr="00BC61ED">
              <w:rPr>
                <w:sz w:val="20"/>
                <w:szCs w:val="20"/>
                <w:lang w:val="hy-AM"/>
              </w:rPr>
              <w:softHyphen/>
              <w:t>ների պայմանագրային գների, ինչպես նաև անշարժ գույքի առաջարկի շուկայի տվյալների վերլուծություններ.</w:t>
            </w:r>
          </w:p>
          <w:p w:rsidR="0068680D" w:rsidRPr="00BC61ED" w:rsidRDefault="0068680D" w:rsidP="00F47DC4">
            <w:pPr>
              <w:spacing w:line="276" w:lineRule="auto"/>
              <w:jc w:val="both"/>
              <w:rPr>
                <w:sz w:val="20"/>
                <w:szCs w:val="20"/>
                <w:lang w:val="hy-AM"/>
              </w:rPr>
            </w:pPr>
            <w:r w:rsidRPr="00BC61ED">
              <w:rPr>
                <w:sz w:val="20"/>
                <w:szCs w:val="20"/>
                <w:lang w:val="hy-AM"/>
              </w:rPr>
              <w:t xml:space="preserve">   3) Պայմանագրային և գնահատված գների անցկա</w:t>
            </w:r>
            <w:r w:rsidRPr="00BC61ED">
              <w:rPr>
                <w:sz w:val="20"/>
                <w:szCs w:val="20"/>
                <w:lang w:val="hy-AM"/>
              </w:rPr>
              <w:softHyphen/>
              <w:t>ցում (մուտքագրում) քարտեզների վրա, գնային գոտիների առանձնացում, գոտուց գոտի անցման գործակիցների, առանձնացված գնային գոտի</w:t>
            </w:r>
            <w:r w:rsidRPr="00BC61ED">
              <w:rPr>
                <w:sz w:val="20"/>
                <w:szCs w:val="20"/>
                <w:lang w:val="hy-AM"/>
              </w:rPr>
              <w:softHyphen/>
              <w:t>ների նկարագրում, բազային արժեքների որոշում:</w:t>
            </w:r>
          </w:p>
          <w:p w:rsidR="0068680D" w:rsidRPr="00BC61ED" w:rsidRDefault="0068680D" w:rsidP="00F47DC4">
            <w:pPr>
              <w:spacing w:line="276" w:lineRule="auto"/>
              <w:jc w:val="both"/>
              <w:rPr>
                <w:b/>
                <w:sz w:val="20"/>
                <w:szCs w:val="20"/>
                <w:lang w:val="hy-AM"/>
              </w:rPr>
            </w:pPr>
            <w:r w:rsidRPr="00BC61ED">
              <w:rPr>
                <w:b/>
                <w:sz w:val="20"/>
                <w:szCs w:val="20"/>
                <w:lang w:val="hy-AM"/>
              </w:rPr>
              <w:t xml:space="preserve">   Կիրականցվեն հետևյալ միջոցառումները՝</w:t>
            </w:r>
          </w:p>
          <w:p w:rsidR="0068680D" w:rsidRPr="00BC61ED" w:rsidRDefault="0068680D" w:rsidP="00F47DC4">
            <w:pPr>
              <w:spacing w:line="276" w:lineRule="auto"/>
              <w:jc w:val="both"/>
              <w:rPr>
                <w:rFonts w:cs="Arial"/>
                <w:sz w:val="20"/>
                <w:szCs w:val="20"/>
                <w:lang w:val="hy-AM"/>
              </w:rPr>
            </w:pPr>
            <w:r w:rsidRPr="00BC61ED">
              <w:rPr>
                <w:sz w:val="20"/>
                <w:szCs w:val="20"/>
                <w:lang w:val="hy-AM"/>
              </w:rPr>
              <w:t xml:space="preserve">   1.</w:t>
            </w:r>
            <w:r w:rsidRPr="00BC61ED">
              <w:rPr>
                <w:rFonts w:cs="Sylfaen"/>
                <w:sz w:val="20"/>
                <w:szCs w:val="20"/>
                <w:lang w:val="hy-AM"/>
              </w:rPr>
              <w:t xml:space="preserve"> </w:t>
            </w:r>
            <w:r w:rsidRPr="00BC61ED">
              <w:rPr>
                <w:rFonts w:cs="Arial"/>
                <w:sz w:val="20"/>
                <w:szCs w:val="20"/>
                <w:lang w:val="hy-AM"/>
              </w:rPr>
              <w:t>Հայաստանի Հանրապետության միասնական տարածագնահատման նոր գոտևորման սահմանմամբ և «Անշարժ գույքի հարկման նպատակով շուկայական գնահատման կարգը սահմանելու մասին» ՀՀ օրենքի ընդունմամբ պայմանավորված միջոցառումներ,</w:t>
            </w:r>
          </w:p>
          <w:p w:rsidR="0068680D" w:rsidRPr="00BC61ED" w:rsidRDefault="0068680D" w:rsidP="00F47DC4">
            <w:pPr>
              <w:spacing w:line="276" w:lineRule="auto"/>
              <w:jc w:val="both"/>
              <w:rPr>
                <w:sz w:val="20"/>
                <w:szCs w:val="20"/>
                <w:lang w:val="hy-AM"/>
              </w:rPr>
            </w:pPr>
            <w:r w:rsidRPr="00BC61ED">
              <w:rPr>
                <w:sz w:val="20"/>
                <w:szCs w:val="20"/>
                <w:lang w:val="hy-AM"/>
              </w:rPr>
              <w:t xml:space="preserve">   2. Հայաստանի Հանրապետության հողերի և դրանց բարելավումների (շինությունների) գնահատումներ (վերագնահատումներ) և դրանց վերաբերյալ տեղեկությունների (2019 թվականի հուլիսի 1-ի դրությամբ հաշվառված տվյալներով) տեղադրում ՀՀ անշարժ գույքի կադաստրի կոմիտեի կայքէջում,</w:t>
            </w:r>
          </w:p>
          <w:p w:rsidR="0068680D" w:rsidRPr="00BC61ED" w:rsidRDefault="0068680D" w:rsidP="00F47DC4">
            <w:pPr>
              <w:spacing w:line="276" w:lineRule="auto"/>
              <w:jc w:val="both"/>
              <w:rPr>
                <w:sz w:val="20"/>
                <w:szCs w:val="20"/>
                <w:lang w:val="hy-AM"/>
              </w:rPr>
            </w:pPr>
            <w:r w:rsidRPr="00BC61ED">
              <w:rPr>
                <w:sz w:val="20"/>
                <w:szCs w:val="20"/>
                <w:lang w:val="hy-AM"/>
              </w:rPr>
              <w:t xml:space="preserve">   3. Հայաստանի Հանրապետության հողերի և դրանց բարելավումների (շինությունների) գնահատումներ (վերագնահատումներ) և դրանց վերաբերյալ տեղեկությունների (2022 թվականի հուլիսի 1-ի դրությամբ հաշվառված տվյալներով) տեղադրում ՀՀ անշարժ գույքի կադաստրի կոմիտեի կայքէջում:</w:t>
            </w:r>
          </w:p>
          <w:p w:rsidR="0068680D" w:rsidRPr="00BC61ED" w:rsidRDefault="0068680D" w:rsidP="00F47DC4">
            <w:pPr>
              <w:spacing w:line="276" w:lineRule="auto"/>
              <w:rPr>
                <w:rFonts w:cs="Sylfaen"/>
                <w:b/>
                <w:color w:val="000000"/>
                <w:sz w:val="20"/>
                <w:szCs w:val="20"/>
                <w:lang w:val="hy-AM"/>
              </w:rPr>
            </w:pPr>
            <w:r w:rsidRPr="00BC61ED">
              <w:rPr>
                <w:b/>
                <w:sz w:val="20"/>
                <w:szCs w:val="20"/>
                <w:lang w:val="hy-AM"/>
              </w:rPr>
              <w:t xml:space="preserve">   2. Միջոցառման իրականացումից ակնկալվող արդյունքը</w:t>
            </w:r>
            <w:r w:rsidRPr="00BC61ED">
              <w:rPr>
                <w:rFonts w:cs="Sylfaen"/>
                <w:b/>
                <w:color w:val="000000"/>
                <w:sz w:val="20"/>
                <w:szCs w:val="20"/>
                <w:lang w:val="hy-AM"/>
              </w:rPr>
              <w:tab/>
            </w:r>
          </w:p>
          <w:p w:rsidR="0068680D" w:rsidRPr="00BC61ED" w:rsidRDefault="0068680D" w:rsidP="00F47DC4">
            <w:pPr>
              <w:spacing w:line="276" w:lineRule="auto"/>
              <w:jc w:val="both"/>
              <w:rPr>
                <w:sz w:val="20"/>
                <w:szCs w:val="20"/>
                <w:lang w:val="hy-AM"/>
              </w:rPr>
            </w:pPr>
            <w:r w:rsidRPr="00BC61ED">
              <w:rPr>
                <w:sz w:val="20"/>
                <w:szCs w:val="20"/>
                <w:lang w:val="hy-AM"/>
              </w:rPr>
              <w:t xml:space="preserve">   Միջոցառման իրականացման արդյունքում ՀՀ կառավարության որոշմամբ կսահմանվեն Հայաստանի Հանրապետության հողերի (բացառությամբ գյուղատնտեսական նշանակության հողատեսքերի) գնահատման կարգը, տարածագնահատման (գտնվելու վայրի) գոտիականության գործակիցներն ու սահմանները, և որոշմամբ սահմանված գները հիմք կհանդիսանան պետության և համայնքային սեփականությանը պատկանող հողամասերն օտարելու, ինչպես նաև վարձակալության իրավունքով տրամադրելու դեպքերում՝ վաճառքի կամ մեկնարկային նվազագույն գների հաշվարկման համար:</w:t>
            </w:r>
          </w:p>
          <w:p w:rsidR="0068680D" w:rsidRPr="00BC61ED" w:rsidRDefault="0068680D" w:rsidP="00F47DC4">
            <w:pPr>
              <w:spacing w:line="276" w:lineRule="auto"/>
              <w:jc w:val="both"/>
              <w:rPr>
                <w:sz w:val="20"/>
                <w:szCs w:val="20"/>
                <w:lang w:val="hy-AM"/>
              </w:rPr>
            </w:pPr>
            <w:r w:rsidRPr="00BC61ED">
              <w:rPr>
                <w:sz w:val="20"/>
                <w:szCs w:val="20"/>
                <w:lang w:val="hy-AM"/>
              </w:rPr>
              <w:t xml:space="preserve">   Միջոցառման իրականացումը հիմք կհանդիսանա նաև Հայաստանի Հանրապետությունում անշարժ գույքի միասնական հարկման համակարգի ներդրման համար, և կոմիտեի կողմից ՀՀ կառավարության քննարկմանը ներկայացված «Անշարժ գույքի հարկման նպատակով շուկայական գնահատման կարգը սահմանելու մասին» ՀՀ օրենքի ընդունումից հետո սույն միջոցառման արդյունքում ձևավորված համապատասխան տվյալների հիման վրա ՀՀ կառավարության որոշմամբ կսահմանվեն անշարժ գույքի հարկման նպատակով շուկայական գնահատման մեթոդաբանությունը, հողամասի 1 քառակուսի մետր մակերեսի բազային արժեքը, շինությունների բազային արժեքները, տարածագնահատման (գտնվելու վայրի) գոտիականության գործակիցները, շինությունների քանակական և որակական բնութագրիչների գործակիցներն ու մեծությունները, ինչը հնարավորություն կընձեռի, Հայաստանի Հանրապետությունում անշարժ գույքի հարկով արդարացի հարկման մեխանիզմներ ներդնելու, կապահովի անշարժ գույքի շուկայի գնային իրավիճակի վերաբերյալ վերլուծական տեղեկատվությունը, կխթանի պարապուրդում գտնվող գույքի մասնակցությունը տնտեսությունում ավելացված արժեքի ստեղծման գործընթացում:</w:t>
            </w:r>
          </w:p>
          <w:p w:rsidR="0068680D" w:rsidRPr="00BC61ED" w:rsidRDefault="0068680D" w:rsidP="00F47DC4">
            <w:pPr>
              <w:spacing w:line="276" w:lineRule="auto"/>
              <w:jc w:val="both"/>
              <w:rPr>
                <w:sz w:val="20"/>
                <w:szCs w:val="20"/>
                <w:lang w:val="hy-AM"/>
              </w:rPr>
            </w:pPr>
            <w:r w:rsidRPr="00BC61ED">
              <w:rPr>
                <w:rFonts w:cs="Arial"/>
                <w:sz w:val="20"/>
                <w:szCs w:val="20"/>
                <w:lang w:val="hy-AM"/>
              </w:rPr>
              <w:t xml:space="preserve">   Կձևավորվեն Հայաստանի Հանրապետության անշարժ գույքի հարկով հարկման օբյեկտ համարվող անշարժ գույքի՝ հողամասերի և (կամ) դրանց բարելավումների (շինությունների) 2020-2022 թվականների հարկման բազաները, ինչը տեղական ինքնակառավարման մարմիններին հնարավորություն կտա հաշվառելու և իրականացնելու 2020-2022, 2023-2025 թվականների անշարժ գույքի հարկի վճարումների ընդունումը:</w:t>
            </w:r>
          </w:p>
        </w:tc>
      </w:tr>
      <w:tr w:rsidR="0068680D" w:rsidRPr="00DE2EFA"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6.</w:t>
            </w:r>
          </w:p>
        </w:tc>
        <w:tc>
          <w:tcPr>
            <w:tcW w:w="10915" w:type="dxa"/>
          </w:tcPr>
          <w:p w:rsidR="0068680D" w:rsidRPr="00BC61ED" w:rsidRDefault="0068680D" w:rsidP="00F47DC4">
            <w:pPr>
              <w:pStyle w:val="ListParagraph"/>
              <w:spacing w:line="276" w:lineRule="auto"/>
              <w:ind w:left="0"/>
              <w:jc w:val="center"/>
              <w:rPr>
                <w:b/>
                <w:sz w:val="20"/>
                <w:szCs w:val="20"/>
                <w:lang w:val="hy-AM"/>
              </w:rPr>
            </w:pPr>
            <w:r w:rsidRPr="00BC61ED">
              <w:rPr>
                <w:b/>
                <w:sz w:val="20"/>
                <w:szCs w:val="20"/>
                <w:lang w:val="hy-AM"/>
              </w:rPr>
              <w:t xml:space="preserve">Հայաստանի Հանրապետության տարածքի երկրատեղեկատվական համակարգերի բազային շերտերի թարմացում </w:t>
            </w:r>
          </w:p>
          <w:p w:rsidR="0068680D" w:rsidRPr="00BC61ED" w:rsidRDefault="0068680D" w:rsidP="00F47DC4">
            <w:pPr>
              <w:pStyle w:val="ListParagraph"/>
              <w:spacing w:line="276" w:lineRule="auto"/>
              <w:ind w:left="0"/>
              <w:jc w:val="center"/>
              <w:rPr>
                <w:b/>
                <w:sz w:val="20"/>
                <w:szCs w:val="20"/>
                <w:lang w:val="af-ZA"/>
              </w:rPr>
            </w:pPr>
          </w:p>
          <w:p w:rsidR="0068680D" w:rsidRPr="00BC61ED" w:rsidRDefault="0068680D" w:rsidP="00F47DC4">
            <w:pPr>
              <w:spacing w:line="276" w:lineRule="auto"/>
              <w:rPr>
                <w:b/>
                <w:sz w:val="20"/>
                <w:szCs w:val="20"/>
                <w:lang w:val="af-ZA"/>
              </w:rPr>
            </w:pPr>
            <w:r w:rsidRPr="00BC61ED">
              <w:rPr>
                <w:rFonts w:cs="Arial"/>
                <w:b/>
                <w:sz w:val="20"/>
                <w:szCs w:val="20"/>
                <w:lang w:val="hy-AM"/>
              </w:rPr>
              <w:t xml:space="preserve">   1. Միջոցառման</w:t>
            </w:r>
            <w:r w:rsidRPr="00BC61ED">
              <w:rPr>
                <w:b/>
                <w:sz w:val="20"/>
                <w:szCs w:val="20"/>
                <w:lang w:val="af-ZA"/>
              </w:rPr>
              <w:t xml:space="preserve"> </w:t>
            </w:r>
            <w:r w:rsidRPr="00BC61ED">
              <w:rPr>
                <w:b/>
                <w:sz w:val="20"/>
                <w:szCs w:val="20"/>
                <w:lang w:val="hy-AM"/>
              </w:rPr>
              <w:t>իրականացման</w:t>
            </w:r>
            <w:r w:rsidRPr="00BC61ED">
              <w:rPr>
                <w:b/>
                <w:sz w:val="20"/>
                <w:szCs w:val="20"/>
                <w:lang w:val="af-ZA"/>
              </w:rPr>
              <w:t xml:space="preserve"> </w:t>
            </w:r>
            <w:r w:rsidRPr="00BC61ED">
              <w:rPr>
                <w:b/>
                <w:sz w:val="20"/>
                <w:szCs w:val="20"/>
                <w:lang w:val="hy-AM"/>
              </w:rPr>
              <w:t>անհրաժեշտությունը</w:t>
            </w:r>
            <w:r w:rsidRPr="00BC61ED">
              <w:rPr>
                <w:b/>
                <w:sz w:val="20"/>
                <w:szCs w:val="20"/>
                <w:lang w:val="af-ZA"/>
              </w:rPr>
              <w:t xml:space="preserve"> </w:t>
            </w:r>
            <w:r w:rsidRPr="00BC61ED">
              <w:rPr>
                <w:b/>
                <w:sz w:val="20"/>
                <w:szCs w:val="20"/>
                <w:lang w:val="hy-AM"/>
              </w:rPr>
              <w:t>և</w:t>
            </w:r>
            <w:r w:rsidRPr="00BC61ED">
              <w:rPr>
                <w:b/>
                <w:sz w:val="20"/>
                <w:szCs w:val="20"/>
                <w:lang w:val="af-ZA"/>
              </w:rPr>
              <w:t xml:space="preserve"> </w:t>
            </w:r>
            <w:r w:rsidRPr="00BC61ED">
              <w:rPr>
                <w:b/>
                <w:sz w:val="20"/>
                <w:szCs w:val="20"/>
                <w:lang w:val="hy-AM"/>
              </w:rPr>
              <w:t>նպատակը</w:t>
            </w:r>
          </w:p>
          <w:p w:rsidR="0068680D" w:rsidRPr="00BC61ED" w:rsidRDefault="0068680D" w:rsidP="00F47DC4">
            <w:pPr>
              <w:spacing w:line="276" w:lineRule="auto"/>
              <w:jc w:val="both"/>
              <w:rPr>
                <w:sz w:val="20"/>
                <w:szCs w:val="20"/>
                <w:lang w:val="id-ID"/>
              </w:rPr>
            </w:pPr>
            <w:r w:rsidRPr="00BC61ED">
              <w:rPr>
                <w:rFonts w:cs="Arial Armenian"/>
                <w:sz w:val="20"/>
                <w:szCs w:val="20"/>
                <w:lang w:val="hy-AM"/>
              </w:rPr>
              <w:t xml:space="preserve">   </w:t>
            </w:r>
            <w:r w:rsidRPr="00BC61ED">
              <w:rPr>
                <w:rFonts w:cs="Arial Armenian"/>
                <w:sz w:val="20"/>
                <w:szCs w:val="20"/>
                <w:lang w:val="id-ID"/>
              </w:rPr>
              <w:t xml:space="preserve">ՀՀ կառավարության 2014 թվականի հունվարի 16-ի </w:t>
            </w:r>
            <w:r w:rsidRPr="00BC61ED">
              <w:rPr>
                <w:rFonts w:cs="Arial Armenian"/>
                <w:sz w:val="20"/>
                <w:szCs w:val="20"/>
                <w:lang w:val="hy-AM"/>
              </w:rPr>
              <w:t>N</w:t>
            </w:r>
            <w:r w:rsidRPr="00BC61ED">
              <w:rPr>
                <w:rFonts w:cs="Arial Armenian"/>
                <w:sz w:val="20"/>
                <w:szCs w:val="20"/>
                <w:lang w:val="id-ID"/>
              </w:rPr>
              <w:t xml:space="preserve"> 86-Ն որոշման պահանջներին համապատասխան</w:t>
            </w:r>
            <w:r w:rsidRPr="00BC61ED">
              <w:rPr>
                <w:rFonts w:cs="Arial Armenian"/>
                <w:sz w:val="20"/>
                <w:szCs w:val="20"/>
                <w:lang w:val="hy-AM"/>
              </w:rPr>
              <w:t>`</w:t>
            </w:r>
            <w:r w:rsidRPr="00BC61ED">
              <w:rPr>
                <w:rFonts w:cs="Arial Armenian"/>
                <w:sz w:val="20"/>
                <w:szCs w:val="20"/>
                <w:lang w:val="id-ID"/>
              </w:rPr>
              <w:t xml:space="preserve"> ՀՀ մասշտաբային շարքի տեղագրական քարտեզները արդիականացնելու </w:t>
            </w:r>
            <w:r w:rsidRPr="00BC61ED">
              <w:rPr>
                <w:rFonts w:cs="Arial Armenian"/>
                <w:sz w:val="20"/>
                <w:szCs w:val="20"/>
                <w:lang w:val="hy-AM"/>
              </w:rPr>
              <w:t>նպատակով</w:t>
            </w:r>
            <w:r w:rsidRPr="00BC61ED">
              <w:rPr>
                <w:rFonts w:cs="Arial Armenian"/>
                <w:sz w:val="20"/>
                <w:szCs w:val="20"/>
                <w:lang w:val="id-ID"/>
              </w:rPr>
              <w:t xml:space="preserve"> իրականացվելու </w:t>
            </w:r>
            <w:r w:rsidRPr="00BC61ED">
              <w:rPr>
                <w:rFonts w:cs="Arial Armenian"/>
                <w:sz w:val="20"/>
                <w:szCs w:val="20"/>
                <w:lang w:val="hy-AM"/>
              </w:rPr>
              <w:t>է</w:t>
            </w:r>
            <w:r w:rsidRPr="00BC61ED">
              <w:rPr>
                <w:rFonts w:cs="Arial Armenian"/>
                <w:sz w:val="20"/>
                <w:szCs w:val="20"/>
                <w:lang w:val="id-ID"/>
              </w:rPr>
              <w:t xml:space="preserve"> նոր առաջացած տարածական տվյալների և տեղագրական տարրեր պարունակող օբյեկտների տեղադրում տեղագրական քարտեզների վրա: </w:t>
            </w:r>
            <w:r w:rsidRPr="00BC61ED">
              <w:rPr>
                <w:rFonts w:cs="Arial Armenian"/>
                <w:sz w:val="20"/>
                <w:szCs w:val="20"/>
                <w:lang w:val="hy-AM"/>
              </w:rPr>
              <w:t>Այս</w:t>
            </w:r>
            <w:r w:rsidRPr="00BC61ED">
              <w:rPr>
                <w:rFonts w:cs="Arial Armenian"/>
                <w:sz w:val="20"/>
                <w:szCs w:val="20"/>
                <w:lang w:val="id-ID"/>
              </w:rPr>
              <w:t xml:space="preserve"> </w:t>
            </w:r>
            <w:r w:rsidRPr="00BC61ED">
              <w:rPr>
                <w:rFonts w:cs="Arial Armenian"/>
                <w:sz w:val="20"/>
                <w:szCs w:val="20"/>
                <w:lang w:val="hy-AM"/>
              </w:rPr>
              <w:t>աշխատանքները</w:t>
            </w:r>
            <w:r w:rsidRPr="00BC61ED">
              <w:rPr>
                <w:rFonts w:cs="Arial Armenian"/>
                <w:sz w:val="20"/>
                <w:szCs w:val="20"/>
                <w:lang w:val="id-ID"/>
              </w:rPr>
              <w:t xml:space="preserve"> </w:t>
            </w:r>
            <w:r w:rsidRPr="00BC61ED">
              <w:rPr>
                <w:rFonts w:cs="Arial Armenian"/>
                <w:sz w:val="20"/>
                <w:szCs w:val="20"/>
                <w:lang w:val="hy-AM"/>
              </w:rPr>
              <w:t>լինելու</w:t>
            </w:r>
            <w:r w:rsidRPr="00BC61ED">
              <w:rPr>
                <w:rFonts w:cs="Arial Armenian"/>
                <w:sz w:val="20"/>
                <w:szCs w:val="20"/>
                <w:lang w:val="id-ID"/>
              </w:rPr>
              <w:t xml:space="preserve"> </w:t>
            </w:r>
            <w:r w:rsidRPr="00BC61ED">
              <w:rPr>
                <w:rFonts w:cs="Arial Armenian"/>
                <w:sz w:val="20"/>
                <w:szCs w:val="20"/>
                <w:lang w:val="hy-AM"/>
              </w:rPr>
              <w:t>են</w:t>
            </w:r>
            <w:r w:rsidRPr="00BC61ED">
              <w:rPr>
                <w:rFonts w:cs="Arial Armenian"/>
                <w:sz w:val="20"/>
                <w:szCs w:val="20"/>
                <w:lang w:val="id-ID"/>
              </w:rPr>
              <w:t xml:space="preserve"> </w:t>
            </w:r>
            <w:r w:rsidRPr="00BC61ED">
              <w:rPr>
                <w:rFonts w:cs="Arial Armenian"/>
                <w:sz w:val="20"/>
                <w:szCs w:val="20"/>
                <w:lang w:val="hy-AM"/>
              </w:rPr>
              <w:t>շարունակական</w:t>
            </w:r>
            <w:r w:rsidRPr="00BC61ED">
              <w:rPr>
                <w:rFonts w:cs="Arial Armenian"/>
                <w:sz w:val="20"/>
                <w:szCs w:val="20"/>
                <w:lang w:val="id-ID"/>
              </w:rPr>
              <w:t xml:space="preserve">: </w:t>
            </w:r>
            <w:r w:rsidRPr="00BC61ED">
              <w:rPr>
                <w:rFonts w:cs="Sylfaen"/>
                <w:sz w:val="20"/>
                <w:szCs w:val="20"/>
                <w:lang w:val="pt-BR"/>
              </w:rPr>
              <w:t>Միաժամանակ անհրաժեշտ է ՀՀ ամբողջ տարածքի արդեն իսկ ստեղծված թվային քարտեզները տեղափոխել ArcGis ծրագրային փաթեթ:</w:t>
            </w:r>
          </w:p>
          <w:p w:rsidR="0068680D" w:rsidRPr="00BC61ED" w:rsidRDefault="0068680D" w:rsidP="00F47DC4">
            <w:pPr>
              <w:pStyle w:val="BodyText2"/>
              <w:spacing w:after="0" w:line="276" w:lineRule="auto"/>
              <w:ind w:right="127"/>
              <w:jc w:val="both"/>
              <w:rPr>
                <w:rFonts w:ascii="GHEA Grapalat" w:hAnsi="GHEA Grapalat" w:cs="Arial Armenian"/>
                <w:sz w:val="20"/>
                <w:szCs w:val="20"/>
                <w:lang w:val="pt-BR"/>
              </w:rPr>
            </w:pPr>
            <w:r w:rsidRPr="00BC61ED">
              <w:rPr>
                <w:rFonts w:ascii="GHEA Grapalat" w:hAnsi="GHEA Grapalat" w:cs="Sylfaen"/>
                <w:sz w:val="20"/>
                <w:szCs w:val="20"/>
                <w:lang w:val="pt-BR"/>
              </w:rPr>
              <w:t xml:space="preserve">   Միջոցառման իրականացման հիմնական նպատակը Հայաստանի Հանրապետությունում ժամանակակից պահանջներին բավարարող բազային երկրատեղեկատվական համակարգի ստեղծումն է, որն անհրաժեշտ է պետական և տեղական ինքնակառավարման մարմիններին տնտեսության տարբեր ոլորտների խնդիրների արդյունավետ լուծման, հանրապետության բնական և տնտեսական ռեսուրսների վերաբերյալ տվյալների (ինչպես քարտեզագրական, այնպես էլ տեքստային) պետական միասնական տեղեկատվական բանկի ստեղծման և հանրապետության ռեսուրսների կառավարման արդյունավետության բարձրացման համար:</w:t>
            </w:r>
          </w:p>
          <w:p w:rsidR="0068680D" w:rsidRPr="00BC61ED" w:rsidRDefault="0068680D" w:rsidP="00F47DC4">
            <w:pPr>
              <w:pStyle w:val="BodyText2"/>
              <w:spacing w:after="0" w:line="276" w:lineRule="auto"/>
              <w:ind w:right="127"/>
              <w:jc w:val="both"/>
              <w:rPr>
                <w:rFonts w:ascii="GHEA Grapalat" w:hAnsi="GHEA Grapalat" w:cs="Sylfaen"/>
                <w:sz w:val="20"/>
                <w:szCs w:val="20"/>
                <w:lang w:val="pt-BR"/>
              </w:rPr>
            </w:pPr>
            <w:r w:rsidRPr="00BC61ED">
              <w:rPr>
                <w:rFonts w:ascii="GHEA Grapalat" w:hAnsi="GHEA Grapalat" w:cs="Sylfaen"/>
                <w:sz w:val="20"/>
                <w:szCs w:val="20"/>
                <w:lang w:val="pt-BR"/>
              </w:rPr>
              <w:t xml:space="preserve">   Հանրապետության բնական և տնտեսական ռեսուրսների արդյունավետ կառավարման համար անհրաժեշտ է ունենալ հավաստի և ամբողջական տեղեկատվություն ՀՀ և նրա առանձին վարչատարածքային միավորների տնտեսության վիճակի ու բնական ռեսուրսների, այդ թվում՝ հողային, ջրային, անտառային ռեսուրսների, օգտակար հանածոների, տնտեսական զարգացման, արդյունաբերական և գյուղատնտեսական ձեռնարկությունների, անշարժ գույքի, բնակչության տեղաբաշխման, ճանապարհային ցանցի ու ենթակառուցվածքների այլ տարրերի, էկոլոգիական վիճակի վերաբերյալ:</w:t>
            </w:r>
          </w:p>
          <w:p w:rsidR="0068680D" w:rsidRPr="00BC61ED" w:rsidRDefault="0068680D" w:rsidP="00F47DC4">
            <w:pPr>
              <w:pStyle w:val="ListParagraph"/>
              <w:spacing w:line="276" w:lineRule="auto"/>
              <w:ind w:left="0" w:right="-1"/>
              <w:jc w:val="both"/>
              <w:rPr>
                <w:sz w:val="20"/>
                <w:szCs w:val="20"/>
                <w:lang w:val="pt-BR" w:eastAsia="en-GB"/>
              </w:rPr>
            </w:pPr>
            <w:r w:rsidRPr="00BC61ED">
              <w:rPr>
                <w:sz w:val="20"/>
                <w:szCs w:val="20"/>
                <w:lang w:val="pt-BR" w:eastAsia="en-GB"/>
              </w:rPr>
              <w:t xml:space="preserve">   </w:t>
            </w:r>
            <w:r w:rsidRPr="00BC61ED">
              <w:rPr>
                <w:sz w:val="20"/>
                <w:szCs w:val="20"/>
                <w:lang w:eastAsia="en-GB"/>
              </w:rPr>
              <w:t>Միջոցառման</w:t>
            </w:r>
            <w:r w:rsidRPr="00BC61ED">
              <w:rPr>
                <w:sz w:val="20"/>
                <w:szCs w:val="20"/>
                <w:lang w:val="pt-BR" w:eastAsia="en-GB"/>
              </w:rPr>
              <w:t xml:space="preserve"> </w:t>
            </w:r>
            <w:r w:rsidRPr="00BC61ED">
              <w:rPr>
                <w:sz w:val="20"/>
                <w:szCs w:val="20"/>
                <w:lang w:eastAsia="en-GB"/>
              </w:rPr>
              <w:t>իրականացման</w:t>
            </w:r>
            <w:r w:rsidRPr="00BC61ED">
              <w:rPr>
                <w:sz w:val="20"/>
                <w:szCs w:val="20"/>
                <w:lang w:val="pt-BR" w:eastAsia="en-GB"/>
              </w:rPr>
              <w:t xml:space="preserve"> </w:t>
            </w:r>
            <w:r w:rsidRPr="00BC61ED">
              <w:rPr>
                <w:sz w:val="20"/>
                <w:szCs w:val="20"/>
                <w:lang w:eastAsia="en-GB"/>
              </w:rPr>
              <w:t>համար</w:t>
            </w:r>
            <w:r w:rsidRPr="00BC61ED">
              <w:rPr>
                <w:sz w:val="20"/>
                <w:szCs w:val="20"/>
                <w:lang w:val="pt-BR" w:eastAsia="en-GB"/>
              </w:rPr>
              <w:t xml:space="preserve"> </w:t>
            </w:r>
            <w:r w:rsidRPr="00BC61ED">
              <w:rPr>
                <w:sz w:val="20"/>
                <w:szCs w:val="20"/>
                <w:lang w:eastAsia="en-GB"/>
              </w:rPr>
              <w:t>իրավական</w:t>
            </w:r>
            <w:r w:rsidRPr="00BC61ED">
              <w:rPr>
                <w:sz w:val="20"/>
                <w:szCs w:val="20"/>
                <w:lang w:val="pt-BR" w:eastAsia="en-GB"/>
              </w:rPr>
              <w:t xml:space="preserve"> </w:t>
            </w:r>
            <w:r w:rsidRPr="00BC61ED">
              <w:rPr>
                <w:sz w:val="20"/>
                <w:szCs w:val="20"/>
                <w:lang w:eastAsia="en-GB"/>
              </w:rPr>
              <w:t>ակտերի</w:t>
            </w:r>
            <w:r w:rsidRPr="00BC61ED">
              <w:rPr>
                <w:sz w:val="20"/>
                <w:szCs w:val="20"/>
                <w:lang w:val="pt-BR" w:eastAsia="en-GB"/>
              </w:rPr>
              <w:t xml:space="preserve"> </w:t>
            </w:r>
            <w:r w:rsidRPr="00BC61ED">
              <w:rPr>
                <w:sz w:val="20"/>
                <w:szCs w:val="20"/>
                <w:lang w:eastAsia="en-GB"/>
              </w:rPr>
              <w:t>ընդունման</w:t>
            </w:r>
            <w:r w:rsidRPr="00BC61ED">
              <w:rPr>
                <w:sz w:val="20"/>
                <w:szCs w:val="20"/>
                <w:lang w:val="pt-BR" w:eastAsia="en-GB"/>
              </w:rPr>
              <w:t xml:space="preserve"> </w:t>
            </w:r>
            <w:r w:rsidRPr="00BC61ED">
              <w:rPr>
                <w:sz w:val="20"/>
                <w:szCs w:val="20"/>
                <w:lang w:eastAsia="en-GB"/>
              </w:rPr>
              <w:t>անհրաժեշտություն</w:t>
            </w:r>
            <w:r w:rsidRPr="00BC61ED">
              <w:rPr>
                <w:sz w:val="20"/>
                <w:szCs w:val="20"/>
                <w:lang w:val="pt-BR" w:eastAsia="en-GB"/>
              </w:rPr>
              <w:t xml:space="preserve"> </w:t>
            </w:r>
            <w:r w:rsidRPr="00BC61ED">
              <w:rPr>
                <w:sz w:val="20"/>
                <w:szCs w:val="20"/>
                <w:lang w:eastAsia="en-GB"/>
              </w:rPr>
              <w:t>չի</w:t>
            </w:r>
            <w:r w:rsidRPr="00BC61ED">
              <w:rPr>
                <w:sz w:val="20"/>
                <w:szCs w:val="20"/>
                <w:lang w:val="pt-BR" w:eastAsia="en-GB"/>
              </w:rPr>
              <w:t xml:space="preserve"> </w:t>
            </w:r>
            <w:r w:rsidRPr="00BC61ED">
              <w:rPr>
                <w:sz w:val="20"/>
                <w:szCs w:val="20"/>
                <w:lang w:eastAsia="en-GB"/>
              </w:rPr>
              <w:t>առաջանում</w:t>
            </w:r>
            <w:r w:rsidRPr="00BC61ED">
              <w:rPr>
                <w:sz w:val="20"/>
                <w:szCs w:val="20"/>
                <w:lang w:val="pt-BR" w:eastAsia="en-GB"/>
              </w:rPr>
              <w:t xml:space="preserve">: </w:t>
            </w:r>
          </w:p>
          <w:p w:rsidR="0068680D" w:rsidRPr="00BC61ED" w:rsidRDefault="0068680D" w:rsidP="00F47DC4">
            <w:pPr>
              <w:pStyle w:val="ListParagraph"/>
              <w:spacing w:line="276" w:lineRule="auto"/>
              <w:ind w:left="0"/>
              <w:jc w:val="both"/>
              <w:rPr>
                <w:b/>
                <w:sz w:val="20"/>
                <w:szCs w:val="20"/>
                <w:lang w:val="hy-AM"/>
              </w:rPr>
            </w:pPr>
            <w:r w:rsidRPr="00BC61ED">
              <w:rPr>
                <w:b/>
                <w:sz w:val="20"/>
                <w:szCs w:val="20"/>
                <w:lang w:val="pt-BR"/>
              </w:rPr>
              <w:t xml:space="preserve">   </w:t>
            </w:r>
            <w:r w:rsidRPr="00BC61ED">
              <w:rPr>
                <w:b/>
                <w:sz w:val="20"/>
                <w:szCs w:val="20"/>
                <w:lang w:val="hy-AM"/>
              </w:rPr>
              <w:t>1.1</w:t>
            </w:r>
            <w:r w:rsidRPr="00BC61ED">
              <w:rPr>
                <w:b/>
                <w:sz w:val="20"/>
                <w:szCs w:val="20"/>
                <w:lang w:val="pt-BR"/>
              </w:rPr>
              <w:t>.</w:t>
            </w:r>
            <w:r w:rsidRPr="00BC61ED">
              <w:rPr>
                <w:b/>
                <w:sz w:val="20"/>
                <w:szCs w:val="20"/>
                <w:lang w:val="hy-AM"/>
              </w:rPr>
              <w:t xml:space="preserve"> Կարգավորման հարաբերությունների ներկա վիճակը և առկա խնդիրները</w:t>
            </w:r>
          </w:p>
          <w:p w:rsidR="0068680D" w:rsidRPr="00BC61ED" w:rsidRDefault="0068680D" w:rsidP="00F47DC4">
            <w:pPr>
              <w:pStyle w:val="ListParagraph"/>
              <w:spacing w:line="276" w:lineRule="auto"/>
              <w:ind w:left="0"/>
              <w:jc w:val="both"/>
              <w:rPr>
                <w:rFonts w:cs="Arial Armenian"/>
                <w:sz w:val="20"/>
                <w:szCs w:val="20"/>
                <w:lang w:val="pt-BR"/>
              </w:rPr>
            </w:pPr>
            <w:r w:rsidRPr="00BC61ED">
              <w:rPr>
                <w:rFonts w:cs="Arial Armenian"/>
                <w:sz w:val="20"/>
                <w:szCs w:val="20"/>
                <w:lang w:val="pt-BR"/>
              </w:rPr>
              <w:t xml:space="preserve">   ՀՀ պետական մասշտաբային շարքի քարտեզները՝ տեղափոխված ԵՏՀ միջավայր, հիմք են հանդիսանում գերատեսչական տարբեր ոլորտների (քաղաքաշինական, բնապահպանական, արդյունաբերության, կադաստրի, տարածքների պլանավորման, գյուղատնտեսական հողերի հաշվառման, հողերի միավորման, հողերի օգտագործման և գոտիավորման սխեմաների կազմման, վարչական և տնտեսական գործունեության, մելիորացիայի, երկրաբանական հետախուզական աշխատանքների, անտառտնտեսության և այլն) խնդիրների լուծման նպատակով ստեղծվելիք քարտեզագրական նյութերի համար:</w:t>
            </w:r>
          </w:p>
          <w:p w:rsidR="0068680D" w:rsidRPr="00BC61ED" w:rsidRDefault="0068680D" w:rsidP="00F47DC4">
            <w:pPr>
              <w:spacing w:line="276" w:lineRule="auto"/>
              <w:jc w:val="both"/>
              <w:rPr>
                <w:rFonts w:cs="Sylfaen"/>
                <w:sz w:val="20"/>
                <w:szCs w:val="20"/>
                <w:lang w:val="pt-BR"/>
              </w:rPr>
            </w:pPr>
            <w:r w:rsidRPr="00BC61ED">
              <w:rPr>
                <w:rFonts w:cs="Sylfaen"/>
                <w:sz w:val="20"/>
                <w:szCs w:val="20"/>
                <w:lang w:val="pt-BR"/>
              </w:rPr>
              <w:t xml:space="preserve">   Նորվեգական դրամաշնորհով 2014 թվականին նախատեսվել և իրականացվել է ՀՀ տարածքի օդալուսանկարահանում՝ 10 ppm թույլատրելիությամբ Երևան, Գյումրի և Վանաձոր քաղաքների համար 20 ppm թույլատրելիությամբ՝ և մնացած քաղաքների ու բնակավայրերի հարակից տարածքների համար` 1:2000 մասշտաբի օրթոֆոտոհատակագծերի ստեղծման նպատակով:</w:t>
            </w:r>
          </w:p>
          <w:p w:rsidR="0068680D" w:rsidRPr="00BC61ED" w:rsidRDefault="0068680D" w:rsidP="00F47DC4">
            <w:pPr>
              <w:autoSpaceDE w:val="0"/>
              <w:autoSpaceDN w:val="0"/>
              <w:adjustRightInd w:val="0"/>
              <w:spacing w:line="276" w:lineRule="auto"/>
              <w:jc w:val="both"/>
              <w:rPr>
                <w:sz w:val="20"/>
                <w:szCs w:val="20"/>
                <w:lang w:val="id-ID"/>
              </w:rPr>
            </w:pPr>
            <w:r w:rsidRPr="00BC61ED">
              <w:rPr>
                <w:sz w:val="20"/>
                <w:szCs w:val="20"/>
                <w:lang w:val="pt-BR"/>
              </w:rPr>
              <w:t xml:space="preserve">   </w:t>
            </w:r>
            <w:r w:rsidRPr="00BC61ED">
              <w:rPr>
                <w:sz w:val="20"/>
                <w:szCs w:val="20"/>
                <w:lang w:val="id-ID"/>
              </w:rPr>
              <w:t xml:space="preserve">2013 </w:t>
            </w:r>
            <w:r w:rsidRPr="00BC61ED">
              <w:rPr>
                <w:sz w:val="20"/>
                <w:szCs w:val="20"/>
              </w:rPr>
              <w:t>թվականից</w:t>
            </w:r>
            <w:r w:rsidRPr="00BC61ED">
              <w:rPr>
                <w:sz w:val="20"/>
                <w:szCs w:val="20"/>
                <w:lang w:val="id-ID"/>
              </w:rPr>
              <w:t xml:space="preserve"> </w:t>
            </w:r>
            <w:r w:rsidRPr="00BC61ED">
              <w:rPr>
                <w:sz w:val="20"/>
                <w:szCs w:val="20"/>
              </w:rPr>
              <w:t>մասշտաբային</w:t>
            </w:r>
            <w:r w:rsidRPr="00BC61ED">
              <w:rPr>
                <w:sz w:val="20"/>
                <w:szCs w:val="20"/>
                <w:lang w:val="id-ID"/>
              </w:rPr>
              <w:t xml:space="preserve"> </w:t>
            </w:r>
            <w:r w:rsidRPr="00BC61ED">
              <w:rPr>
                <w:sz w:val="20"/>
                <w:szCs w:val="20"/>
              </w:rPr>
              <w:t>շարքի</w:t>
            </w:r>
            <w:r w:rsidRPr="00BC61ED">
              <w:rPr>
                <w:sz w:val="20"/>
                <w:szCs w:val="20"/>
                <w:lang w:val="id-ID"/>
              </w:rPr>
              <w:t xml:space="preserve"> </w:t>
            </w:r>
            <w:r w:rsidRPr="00BC61ED">
              <w:rPr>
                <w:sz w:val="20"/>
                <w:szCs w:val="20"/>
              </w:rPr>
              <w:t>բոլոր</w:t>
            </w:r>
            <w:r w:rsidRPr="00BC61ED">
              <w:rPr>
                <w:sz w:val="20"/>
                <w:szCs w:val="20"/>
                <w:lang w:val="id-ID"/>
              </w:rPr>
              <w:t xml:space="preserve"> </w:t>
            </w:r>
            <w:r w:rsidRPr="00BC61ED">
              <w:rPr>
                <w:sz w:val="20"/>
                <w:szCs w:val="20"/>
              </w:rPr>
              <w:t>տեղագրական</w:t>
            </w:r>
            <w:r w:rsidRPr="00BC61ED">
              <w:rPr>
                <w:sz w:val="20"/>
                <w:szCs w:val="20"/>
                <w:lang w:val="id-ID"/>
              </w:rPr>
              <w:t xml:space="preserve"> </w:t>
            </w:r>
            <w:r w:rsidRPr="00BC61ED">
              <w:rPr>
                <w:sz w:val="20"/>
                <w:szCs w:val="20"/>
              </w:rPr>
              <w:t>քարտեզները</w:t>
            </w:r>
            <w:r w:rsidRPr="00BC61ED">
              <w:rPr>
                <w:sz w:val="20"/>
                <w:szCs w:val="20"/>
                <w:lang w:val="id-ID"/>
              </w:rPr>
              <w:t xml:space="preserve"> </w:t>
            </w:r>
            <w:r w:rsidRPr="00BC61ED">
              <w:rPr>
                <w:sz w:val="20"/>
                <w:szCs w:val="20"/>
              </w:rPr>
              <w:t>տեղափոխվում</w:t>
            </w:r>
            <w:r w:rsidRPr="00BC61ED">
              <w:rPr>
                <w:sz w:val="20"/>
                <w:szCs w:val="20"/>
                <w:lang w:val="id-ID"/>
              </w:rPr>
              <w:t xml:space="preserve"> </w:t>
            </w:r>
            <w:r w:rsidRPr="00BC61ED">
              <w:rPr>
                <w:sz w:val="20"/>
                <w:szCs w:val="20"/>
              </w:rPr>
              <w:t>են</w:t>
            </w:r>
            <w:r w:rsidRPr="00BC61ED">
              <w:rPr>
                <w:sz w:val="20"/>
                <w:szCs w:val="20"/>
                <w:lang w:val="id-ID"/>
              </w:rPr>
              <w:t xml:space="preserve"> ArcGIS </w:t>
            </w:r>
            <w:r w:rsidRPr="00BC61ED">
              <w:rPr>
                <w:sz w:val="20"/>
                <w:szCs w:val="20"/>
              </w:rPr>
              <w:t>միջավայր</w:t>
            </w:r>
            <w:r w:rsidRPr="00BC61ED">
              <w:rPr>
                <w:sz w:val="20"/>
                <w:szCs w:val="20"/>
                <w:lang w:val="id-ID"/>
              </w:rPr>
              <w:t xml:space="preserve">, </w:t>
            </w:r>
            <w:r w:rsidRPr="00BC61ED">
              <w:rPr>
                <w:sz w:val="20"/>
                <w:szCs w:val="20"/>
              </w:rPr>
              <w:t>իսկ</w:t>
            </w:r>
            <w:r w:rsidRPr="00BC61ED">
              <w:rPr>
                <w:sz w:val="20"/>
                <w:szCs w:val="20"/>
                <w:lang w:val="id-ID"/>
              </w:rPr>
              <w:t xml:space="preserve"> 2015 </w:t>
            </w:r>
            <w:r w:rsidRPr="00BC61ED">
              <w:rPr>
                <w:sz w:val="20"/>
                <w:szCs w:val="20"/>
              </w:rPr>
              <w:t>թվականից</w:t>
            </w:r>
            <w:r w:rsidRPr="00BC61ED">
              <w:rPr>
                <w:sz w:val="20"/>
                <w:szCs w:val="20"/>
                <w:lang w:val="id-ID"/>
              </w:rPr>
              <w:t xml:space="preserve"> </w:t>
            </w:r>
            <w:r w:rsidRPr="00BC61ED">
              <w:rPr>
                <w:sz w:val="20"/>
                <w:szCs w:val="20"/>
              </w:rPr>
              <w:t>ՀՀ</w:t>
            </w:r>
            <w:r w:rsidRPr="00BC61ED">
              <w:rPr>
                <w:sz w:val="20"/>
                <w:szCs w:val="20"/>
                <w:lang w:val="id-ID"/>
              </w:rPr>
              <w:t xml:space="preserve"> </w:t>
            </w:r>
            <w:r w:rsidRPr="00BC61ED">
              <w:rPr>
                <w:sz w:val="20"/>
                <w:szCs w:val="20"/>
              </w:rPr>
              <w:t>քաղաքների</w:t>
            </w:r>
            <w:r w:rsidRPr="00BC61ED">
              <w:rPr>
                <w:sz w:val="20"/>
                <w:szCs w:val="20"/>
                <w:lang w:val="id-ID"/>
              </w:rPr>
              <w:t xml:space="preserve"> </w:t>
            </w:r>
            <w:r w:rsidRPr="00BC61ED">
              <w:rPr>
                <w:sz w:val="20"/>
                <w:szCs w:val="20"/>
              </w:rPr>
              <w:t>տեղագրական</w:t>
            </w:r>
            <w:r w:rsidRPr="00BC61ED">
              <w:rPr>
                <w:sz w:val="20"/>
                <w:szCs w:val="20"/>
                <w:lang w:val="id-ID"/>
              </w:rPr>
              <w:t xml:space="preserve"> </w:t>
            </w:r>
            <w:r w:rsidRPr="00BC61ED">
              <w:rPr>
                <w:sz w:val="20"/>
                <w:szCs w:val="20"/>
              </w:rPr>
              <w:t>հատակագծերը</w:t>
            </w:r>
            <w:r w:rsidRPr="00BC61ED">
              <w:rPr>
                <w:sz w:val="20"/>
                <w:szCs w:val="20"/>
                <w:lang w:val="id-ID"/>
              </w:rPr>
              <w:t xml:space="preserve"> </w:t>
            </w:r>
            <w:r w:rsidRPr="00BC61ED">
              <w:rPr>
                <w:sz w:val="20"/>
                <w:szCs w:val="20"/>
              </w:rPr>
              <w:t>արդեն</w:t>
            </w:r>
            <w:r w:rsidRPr="00BC61ED">
              <w:rPr>
                <w:sz w:val="20"/>
                <w:szCs w:val="20"/>
                <w:lang w:val="id-ID"/>
              </w:rPr>
              <w:t xml:space="preserve"> </w:t>
            </w:r>
            <w:r w:rsidRPr="00BC61ED">
              <w:rPr>
                <w:sz w:val="20"/>
                <w:szCs w:val="20"/>
              </w:rPr>
              <w:t>իսկ</w:t>
            </w:r>
            <w:r w:rsidRPr="00BC61ED">
              <w:rPr>
                <w:sz w:val="20"/>
                <w:szCs w:val="20"/>
                <w:lang w:val="id-ID"/>
              </w:rPr>
              <w:t xml:space="preserve"> </w:t>
            </w:r>
            <w:r w:rsidRPr="00BC61ED">
              <w:rPr>
                <w:sz w:val="20"/>
                <w:szCs w:val="20"/>
              </w:rPr>
              <w:t>ստեղծվում</w:t>
            </w:r>
            <w:r w:rsidRPr="00BC61ED">
              <w:rPr>
                <w:sz w:val="20"/>
                <w:szCs w:val="20"/>
                <w:lang w:val="id-ID"/>
              </w:rPr>
              <w:t xml:space="preserve"> </w:t>
            </w:r>
            <w:r w:rsidRPr="00BC61ED">
              <w:rPr>
                <w:sz w:val="20"/>
                <w:szCs w:val="20"/>
              </w:rPr>
              <w:t>են</w:t>
            </w:r>
            <w:r w:rsidRPr="00BC61ED">
              <w:rPr>
                <w:sz w:val="20"/>
                <w:szCs w:val="20"/>
                <w:lang w:val="id-ID"/>
              </w:rPr>
              <w:t xml:space="preserve"> </w:t>
            </w:r>
            <w:r w:rsidRPr="00BC61ED">
              <w:rPr>
                <w:sz w:val="20"/>
                <w:szCs w:val="20"/>
              </w:rPr>
              <w:t>ԵՏՀ</w:t>
            </w:r>
            <w:r w:rsidRPr="00BC61ED">
              <w:rPr>
                <w:sz w:val="20"/>
                <w:szCs w:val="20"/>
                <w:lang w:val="id-ID"/>
              </w:rPr>
              <w:t xml:space="preserve"> </w:t>
            </w:r>
            <w:r w:rsidRPr="00BC61ED">
              <w:rPr>
                <w:sz w:val="20"/>
                <w:szCs w:val="20"/>
              </w:rPr>
              <w:t>միջավայրում</w:t>
            </w:r>
            <w:r w:rsidRPr="00BC61ED">
              <w:rPr>
                <w:sz w:val="20"/>
                <w:szCs w:val="20"/>
                <w:lang w:val="id-ID"/>
              </w:rPr>
              <w:t xml:space="preserve">: </w:t>
            </w:r>
          </w:p>
          <w:p w:rsidR="0068680D" w:rsidRPr="00BC61ED" w:rsidRDefault="0068680D" w:rsidP="00F47DC4">
            <w:pPr>
              <w:autoSpaceDE w:val="0"/>
              <w:autoSpaceDN w:val="0"/>
              <w:adjustRightInd w:val="0"/>
              <w:spacing w:line="276" w:lineRule="auto"/>
              <w:jc w:val="both"/>
              <w:rPr>
                <w:rFonts w:cs="Sylfaen"/>
                <w:sz w:val="20"/>
                <w:szCs w:val="20"/>
                <w:lang w:val="pt-BR"/>
              </w:rPr>
            </w:pPr>
            <w:r w:rsidRPr="00BC61ED">
              <w:rPr>
                <w:rFonts w:cs="Sylfaen"/>
                <w:sz w:val="20"/>
                <w:szCs w:val="20"/>
                <w:lang w:val="pt-BR"/>
              </w:rPr>
              <w:t xml:space="preserve">   Այս ուղղությամբ 2005-2012 թվականներին Երևան քաղաքի բոլոր վարչական շրջաններում իրականացվել են բազային երկրատեղեկատվական համակարգի ստեղծման աշխատանքներ, որոնց հիմնական նպատակն աշխարհագրական անվանումների, հողային ֆոնդի, անշարժ գույքի նպատակային, գործառնական նշանակության, հողատեսքերի, ջրագրության, ռելիեֆի, գծային ենթակառուցվածքների օբյեկտների մասին քարտեզագրական և տեքստային տվյալների տեղեկատվական բանկի ստեղծումն ու կառավարումն էր: Ֆինանսավորման առկայության դեպքում այս նյութերը ենթակա են թարմացման:</w:t>
            </w:r>
          </w:p>
          <w:p w:rsidR="0068680D" w:rsidRPr="00BC61ED" w:rsidRDefault="0068680D" w:rsidP="00F47DC4">
            <w:pPr>
              <w:autoSpaceDE w:val="0"/>
              <w:autoSpaceDN w:val="0"/>
              <w:adjustRightInd w:val="0"/>
              <w:spacing w:line="276" w:lineRule="auto"/>
              <w:jc w:val="both"/>
              <w:rPr>
                <w:rFonts w:cs="Sylfaen"/>
                <w:sz w:val="20"/>
                <w:szCs w:val="20"/>
                <w:lang w:val="pt-BR"/>
              </w:rPr>
            </w:pPr>
            <w:r w:rsidRPr="00BC61ED">
              <w:rPr>
                <w:rFonts w:cs="Sylfaen"/>
                <w:sz w:val="20"/>
                <w:szCs w:val="20"/>
                <w:lang w:val="pt-BR"/>
              </w:rPr>
              <w:t xml:space="preserve">   2016-2017 թվականներին ավարտվել են Գյումրի և Վանաձոր քաղաքնե</w:t>
            </w:r>
            <w:r w:rsidRPr="00BC61ED">
              <w:rPr>
                <w:rFonts w:cs="Sylfaen"/>
                <w:sz w:val="20"/>
                <w:szCs w:val="20"/>
              </w:rPr>
              <w:t>ր</w:t>
            </w:r>
            <w:r w:rsidRPr="00BC61ED">
              <w:rPr>
                <w:rFonts w:cs="Sylfaen"/>
                <w:sz w:val="20"/>
                <w:szCs w:val="20"/>
                <w:lang w:val="pt-BR"/>
              </w:rPr>
              <w:t>ի, իսկ 201</w:t>
            </w:r>
            <w:r w:rsidRPr="00BC61ED">
              <w:rPr>
                <w:rFonts w:cs="Sylfaen"/>
                <w:sz w:val="20"/>
                <w:szCs w:val="20"/>
                <w:lang w:val="hy-AM"/>
              </w:rPr>
              <w:t>7</w:t>
            </w:r>
            <w:r w:rsidRPr="00BC61ED">
              <w:rPr>
                <w:rFonts w:cs="Sylfaen"/>
                <w:sz w:val="20"/>
                <w:szCs w:val="20"/>
                <w:lang w:val="pt-BR"/>
              </w:rPr>
              <w:t>-201</w:t>
            </w:r>
            <w:r w:rsidRPr="00BC61ED">
              <w:rPr>
                <w:rFonts w:cs="Sylfaen"/>
                <w:sz w:val="20"/>
                <w:szCs w:val="20"/>
                <w:lang w:val="hy-AM"/>
              </w:rPr>
              <w:t>8</w:t>
            </w:r>
            <w:r w:rsidRPr="00BC61ED">
              <w:rPr>
                <w:rFonts w:cs="Sylfaen"/>
                <w:sz w:val="20"/>
                <w:szCs w:val="20"/>
                <w:lang w:val="pt-BR"/>
              </w:rPr>
              <w:t xml:space="preserve"> թվականներին՝ </w:t>
            </w:r>
            <w:r w:rsidRPr="00BC61ED">
              <w:rPr>
                <w:rFonts w:cs="Sylfaen"/>
                <w:sz w:val="20"/>
                <w:szCs w:val="20"/>
                <w:lang w:val="hy-AM"/>
              </w:rPr>
              <w:t>Սևան</w:t>
            </w:r>
            <w:r w:rsidRPr="00BC61ED">
              <w:rPr>
                <w:rFonts w:cs="Sylfaen"/>
                <w:sz w:val="20"/>
                <w:szCs w:val="20"/>
                <w:lang w:val="pt-BR"/>
              </w:rPr>
              <w:t xml:space="preserve"> և </w:t>
            </w:r>
            <w:r w:rsidRPr="00BC61ED">
              <w:rPr>
                <w:rFonts w:cs="Sylfaen"/>
                <w:sz w:val="20"/>
                <w:szCs w:val="20"/>
                <w:lang w:val="hy-AM"/>
              </w:rPr>
              <w:t>Սպիտակ</w:t>
            </w:r>
            <w:r w:rsidRPr="00BC61ED">
              <w:rPr>
                <w:rFonts w:cs="Sylfaen"/>
                <w:sz w:val="20"/>
                <w:szCs w:val="20"/>
                <w:lang w:val="pt-BR"/>
              </w:rPr>
              <w:t xml:space="preserve"> քաղաքնե</w:t>
            </w:r>
            <w:r w:rsidRPr="00BC61ED">
              <w:rPr>
                <w:rFonts w:cs="Sylfaen"/>
                <w:sz w:val="20"/>
                <w:szCs w:val="20"/>
              </w:rPr>
              <w:t>ր</w:t>
            </w:r>
            <w:r w:rsidRPr="00BC61ED">
              <w:rPr>
                <w:rFonts w:cs="Sylfaen"/>
                <w:sz w:val="20"/>
                <w:szCs w:val="20"/>
                <w:lang w:val="pt-BR"/>
              </w:rPr>
              <w:t>ի բազային երկրատեղեկատվական համակարգի ստեղծման աշխատանքները:</w:t>
            </w:r>
          </w:p>
          <w:p w:rsidR="0068680D" w:rsidRPr="00BC61ED" w:rsidRDefault="0068680D" w:rsidP="00F47DC4">
            <w:pPr>
              <w:autoSpaceDE w:val="0"/>
              <w:autoSpaceDN w:val="0"/>
              <w:adjustRightInd w:val="0"/>
              <w:spacing w:line="276" w:lineRule="auto"/>
              <w:jc w:val="both"/>
              <w:rPr>
                <w:b/>
                <w:sz w:val="20"/>
                <w:szCs w:val="20"/>
                <w:lang w:val="pt-BR"/>
              </w:rPr>
            </w:pPr>
            <w:r w:rsidRPr="00BC61ED">
              <w:rPr>
                <w:rFonts w:cs="Sylfaen"/>
                <w:b/>
                <w:sz w:val="20"/>
                <w:szCs w:val="20"/>
                <w:lang w:val="pt-BR"/>
              </w:rPr>
              <w:t xml:space="preserve">   </w:t>
            </w:r>
            <w:r w:rsidRPr="00BC61ED">
              <w:rPr>
                <w:b/>
                <w:sz w:val="20"/>
                <w:szCs w:val="20"/>
                <w:lang w:val="pt-BR"/>
              </w:rPr>
              <w:t xml:space="preserve">   1.2. </w:t>
            </w:r>
            <w:r w:rsidRPr="00BC61ED">
              <w:rPr>
                <w:b/>
                <w:sz w:val="20"/>
                <w:szCs w:val="20"/>
                <w:lang w:val="hy-AM"/>
              </w:rPr>
              <w:t>Ա</w:t>
            </w:r>
            <w:r w:rsidRPr="00BC61ED">
              <w:rPr>
                <w:b/>
                <w:sz w:val="20"/>
                <w:szCs w:val="20"/>
              </w:rPr>
              <w:t>ռկա</w:t>
            </w:r>
            <w:r w:rsidRPr="00BC61ED">
              <w:rPr>
                <w:b/>
                <w:sz w:val="20"/>
                <w:szCs w:val="20"/>
                <w:lang w:val="pt-BR"/>
              </w:rPr>
              <w:t xml:space="preserve"> </w:t>
            </w:r>
            <w:r w:rsidRPr="00BC61ED">
              <w:rPr>
                <w:b/>
                <w:sz w:val="20"/>
                <w:szCs w:val="20"/>
              </w:rPr>
              <w:t>խնդիրների</w:t>
            </w:r>
            <w:r w:rsidRPr="00BC61ED">
              <w:rPr>
                <w:b/>
                <w:sz w:val="20"/>
                <w:szCs w:val="20"/>
                <w:lang w:val="pt-BR"/>
              </w:rPr>
              <w:t xml:space="preserve"> </w:t>
            </w:r>
            <w:r w:rsidRPr="00BC61ED">
              <w:rPr>
                <w:b/>
                <w:sz w:val="20"/>
                <w:szCs w:val="20"/>
              </w:rPr>
              <w:t>առաջարկվող</w:t>
            </w:r>
            <w:r w:rsidRPr="00BC61ED">
              <w:rPr>
                <w:b/>
                <w:sz w:val="20"/>
                <w:szCs w:val="20"/>
                <w:lang w:val="pt-BR"/>
              </w:rPr>
              <w:t xml:space="preserve"> </w:t>
            </w:r>
            <w:r w:rsidRPr="00BC61ED">
              <w:rPr>
                <w:b/>
                <w:sz w:val="20"/>
                <w:szCs w:val="20"/>
              </w:rPr>
              <w:t>լուծումները</w:t>
            </w:r>
          </w:p>
          <w:p w:rsidR="0068680D" w:rsidRPr="00BC61ED" w:rsidRDefault="0068680D" w:rsidP="00F47DC4">
            <w:pPr>
              <w:pStyle w:val="BodyText2"/>
              <w:spacing w:after="0" w:line="276" w:lineRule="auto"/>
              <w:ind w:right="127"/>
              <w:jc w:val="both"/>
              <w:rPr>
                <w:rFonts w:ascii="GHEA Grapalat" w:eastAsiaTheme="minorHAnsi" w:hAnsi="GHEA Grapalat" w:cs="Sylfaen"/>
                <w:sz w:val="20"/>
                <w:szCs w:val="20"/>
                <w:lang w:val="pt-BR"/>
              </w:rPr>
            </w:pPr>
            <w:r w:rsidRPr="00BC61ED">
              <w:rPr>
                <w:rFonts w:ascii="GHEA Grapalat" w:eastAsiaTheme="minorHAnsi" w:hAnsi="GHEA Grapalat" w:cs="Sylfaen"/>
                <w:sz w:val="20"/>
                <w:szCs w:val="20"/>
                <w:lang w:val="pt-BR"/>
              </w:rPr>
              <w:t xml:space="preserve">   Ծրագրի հիմնական նպատակը Հայաստանի Հանրապետության ամբողջ տարածքի ապահովումն է նոր օրթոֆոտոհատակագծերով, որոնց կիրառմամբ ստեղծվող քարտեզները անհրաժեշտ է պետական և տեղական ինքնակառավարման մարմիններին տնտեսության տարբեր ոլորտների խնդիրների արդյունավետ լուծման, պետական միասնական տեղեկատվական բանկի ստեղծման և հանրապետության ռեսուրսների կառավարման արդյունավետության բարձրացման համար:</w:t>
            </w:r>
          </w:p>
          <w:p w:rsidR="0068680D" w:rsidRPr="00BC61ED" w:rsidRDefault="0068680D" w:rsidP="00F47DC4">
            <w:pPr>
              <w:spacing w:line="276" w:lineRule="auto"/>
              <w:jc w:val="both"/>
              <w:rPr>
                <w:rFonts w:cs="Arial Armenian"/>
                <w:sz w:val="20"/>
                <w:szCs w:val="20"/>
                <w:lang w:val="pt-BR"/>
              </w:rPr>
            </w:pPr>
            <w:r w:rsidRPr="00BC61ED">
              <w:rPr>
                <w:rFonts w:cs="Arial Armenian"/>
                <w:sz w:val="20"/>
                <w:szCs w:val="20"/>
                <w:lang w:val="pt-BR"/>
              </w:rPr>
              <w:t xml:space="preserve">   Պետական մակարդակով երկրատեղեկատվական համակարգերի ստեղծումը և ներդնումը թույլ կտա բացառել ոչ բավարար հիմնավորում ունեցող որոշումների ընդունումը և անցնել պետական կառավարման որակապես նոր մակարդակի: </w:t>
            </w:r>
          </w:p>
          <w:p w:rsidR="0068680D" w:rsidRPr="00BC61ED" w:rsidRDefault="0068680D" w:rsidP="00F47DC4">
            <w:pPr>
              <w:spacing w:line="276" w:lineRule="auto"/>
              <w:jc w:val="both"/>
              <w:rPr>
                <w:rFonts w:cs="Arial Armenian"/>
                <w:sz w:val="20"/>
                <w:szCs w:val="20"/>
                <w:lang w:val="pt-BR"/>
              </w:rPr>
            </w:pPr>
            <w:r w:rsidRPr="00BC61ED">
              <w:rPr>
                <w:rFonts w:cs="Arial Armenian"/>
                <w:sz w:val="20"/>
                <w:szCs w:val="20"/>
                <w:lang w:val="pt-BR"/>
              </w:rPr>
              <w:t xml:space="preserve">   Պետական կառավարման և տեղական ինքնակառավարման բնագավառում  ժամանակակից երկրատեղեկատվական համակարգի օգտագործումը կնպաստի`</w:t>
            </w:r>
          </w:p>
          <w:p w:rsidR="0068680D" w:rsidRPr="00BC61ED" w:rsidRDefault="0068680D" w:rsidP="00F47DC4">
            <w:pPr>
              <w:spacing w:line="276" w:lineRule="auto"/>
              <w:jc w:val="both"/>
              <w:rPr>
                <w:rFonts w:cs="Arial Armenian"/>
                <w:sz w:val="20"/>
                <w:szCs w:val="20"/>
                <w:lang w:val="pt-BR"/>
              </w:rPr>
            </w:pPr>
            <w:r w:rsidRPr="00BC61ED">
              <w:rPr>
                <w:rFonts w:cs="Arial Armenian"/>
                <w:sz w:val="20"/>
                <w:szCs w:val="20"/>
                <w:lang w:val="pt-BR"/>
              </w:rPr>
              <w:t>Հայաստանի Հանրապետության մարզերի և համայնքների տնտեսական ծրագրերի արդյունավետ մշակմանը,</w:t>
            </w:r>
          </w:p>
          <w:p w:rsidR="0068680D" w:rsidRPr="00BC61ED" w:rsidRDefault="0068680D" w:rsidP="00F47DC4">
            <w:pPr>
              <w:spacing w:line="276" w:lineRule="auto"/>
              <w:jc w:val="both"/>
              <w:rPr>
                <w:rFonts w:cs="Arial Armenian"/>
                <w:sz w:val="20"/>
                <w:szCs w:val="20"/>
                <w:lang w:val="pt-BR"/>
              </w:rPr>
            </w:pPr>
            <w:r w:rsidRPr="00BC61ED">
              <w:rPr>
                <w:rFonts w:cs="Arial Armenian"/>
                <w:sz w:val="20"/>
                <w:szCs w:val="20"/>
                <w:lang w:val="pt-BR"/>
              </w:rPr>
              <w:t xml:space="preserve">   Ա. կառավարման համար անհրաժեշտ տվյալների հավաքագրման և մշակման ստանդարտացման աստիճանի բարձրացմանը,</w:t>
            </w:r>
          </w:p>
          <w:p w:rsidR="0068680D" w:rsidRPr="00BC61ED" w:rsidRDefault="0068680D" w:rsidP="00F47DC4">
            <w:pPr>
              <w:spacing w:line="276" w:lineRule="auto"/>
              <w:jc w:val="both"/>
              <w:rPr>
                <w:rFonts w:cs="Arial Armenian"/>
                <w:sz w:val="20"/>
                <w:szCs w:val="20"/>
                <w:lang w:val="pt-BR"/>
              </w:rPr>
            </w:pPr>
            <w:r w:rsidRPr="00BC61ED">
              <w:rPr>
                <w:rFonts w:cs="Arial Armenian"/>
                <w:sz w:val="20"/>
                <w:szCs w:val="20"/>
                <w:lang w:val="pt-BR"/>
              </w:rPr>
              <w:t xml:space="preserve">   Բ. տնտեսության տարբեր ոլորտներում օգտագործվող տարածական տեղեկատվության անհարկի կրկնօրինակման և տվյալների հակասականության բացառմանը,</w:t>
            </w:r>
          </w:p>
          <w:p w:rsidR="0068680D" w:rsidRPr="00BC61ED" w:rsidRDefault="0068680D" w:rsidP="00F47DC4">
            <w:pPr>
              <w:spacing w:line="276" w:lineRule="auto"/>
              <w:jc w:val="both"/>
              <w:rPr>
                <w:rFonts w:cs="Arial Armenian"/>
                <w:sz w:val="20"/>
                <w:szCs w:val="20"/>
                <w:lang w:val="pt-BR"/>
              </w:rPr>
            </w:pPr>
            <w:r w:rsidRPr="00BC61ED">
              <w:rPr>
                <w:rFonts w:cs="Arial Armenian"/>
                <w:sz w:val="20"/>
                <w:szCs w:val="20"/>
                <w:lang w:val="pt-BR"/>
              </w:rPr>
              <w:t xml:space="preserve">   Գ. տարածական տվյալների ստեղծման գործընթացի հեշտացմանը, օպերատիվության բարձրացմանը և ծախսերի նվազեցմանը,</w:t>
            </w:r>
          </w:p>
          <w:p w:rsidR="0068680D" w:rsidRPr="00BC61ED" w:rsidRDefault="0068680D" w:rsidP="00F47DC4">
            <w:pPr>
              <w:spacing w:line="276" w:lineRule="auto"/>
              <w:jc w:val="both"/>
              <w:rPr>
                <w:rFonts w:cs="Arial Armenian"/>
                <w:sz w:val="20"/>
                <w:szCs w:val="20"/>
                <w:lang w:val="pt-BR"/>
              </w:rPr>
            </w:pPr>
            <w:r w:rsidRPr="00BC61ED">
              <w:rPr>
                <w:rFonts w:cs="Arial Armenian"/>
                <w:sz w:val="20"/>
                <w:szCs w:val="20"/>
                <w:lang w:val="pt-BR"/>
              </w:rPr>
              <w:t xml:space="preserve">   Դ. տարածական տվյալների մատչելիության ապահովմանը,</w:t>
            </w:r>
          </w:p>
          <w:p w:rsidR="0068680D" w:rsidRPr="00BC61ED" w:rsidRDefault="0068680D" w:rsidP="00F47DC4">
            <w:pPr>
              <w:spacing w:line="276" w:lineRule="auto"/>
              <w:jc w:val="both"/>
              <w:rPr>
                <w:rFonts w:cs="Arial Armenian"/>
                <w:sz w:val="20"/>
                <w:szCs w:val="20"/>
                <w:lang w:val="pt-BR"/>
              </w:rPr>
            </w:pPr>
            <w:r w:rsidRPr="00BC61ED">
              <w:rPr>
                <w:rFonts w:cs="Arial Armenian"/>
                <w:sz w:val="20"/>
                <w:szCs w:val="20"/>
                <w:lang w:val="pt-BR"/>
              </w:rPr>
              <w:t>հանրության համար տեղեկատվության հասանելիության ապահովմանը,</w:t>
            </w:r>
          </w:p>
          <w:p w:rsidR="0068680D" w:rsidRPr="00BC61ED" w:rsidRDefault="0068680D" w:rsidP="00F47DC4">
            <w:pPr>
              <w:spacing w:line="276" w:lineRule="auto"/>
              <w:jc w:val="both"/>
              <w:rPr>
                <w:rFonts w:cs="Arial Armenian"/>
                <w:sz w:val="20"/>
                <w:szCs w:val="20"/>
                <w:lang w:val="pt-BR"/>
              </w:rPr>
            </w:pPr>
            <w:r w:rsidRPr="00BC61ED">
              <w:rPr>
                <w:rFonts w:cs="Arial Armenian"/>
                <w:sz w:val="20"/>
                <w:szCs w:val="20"/>
                <w:lang w:val="pt-BR"/>
              </w:rPr>
              <w:t xml:space="preserve">   Ե. տվյալների ամբողջականության, հավաստիության, ճշտության ստուգման ներքին մեխանիզմների մշակմանը,</w:t>
            </w:r>
          </w:p>
          <w:p w:rsidR="0068680D" w:rsidRPr="00BC61ED" w:rsidRDefault="0068680D" w:rsidP="00F47DC4">
            <w:pPr>
              <w:spacing w:line="276" w:lineRule="auto"/>
              <w:jc w:val="both"/>
              <w:rPr>
                <w:rFonts w:cs="Arial Armenian"/>
                <w:sz w:val="20"/>
                <w:szCs w:val="20"/>
                <w:lang w:val="pt-BR"/>
              </w:rPr>
            </w:pPr>
            <w:r w:rsidRPr="00BC61ED">
              <w:rPr>
                <w:rFonts w:cs="Arial Armenian"/>
                <w:sz w:val="20"/>
                <w:szCs w:val="20"/>
                <w:lang w:val="pt-BR"/>
              </w:rPr>
              <w:t xml:space="preserve">   Զ. տարածական տվյալների արդիականության և անընդհատության ապահովմանը:</w:t>
            </w:r>
          </w:p>
          <w:p w:rsidR="0068680D" w:rsidRPr="00BC61ED" w:rsidRDefault="0068680D" w:rsidP="00F47DC4">
            <w:pPr>
              <w:spacing w:line="276" w:lineRule="auto"/>
              <w:jc w:val="both"/>
              <w:rPr>
                <w:rFonts w:cs="Arial Armenian"/>
                <w:sz w:val="20"/>
                <w:szCs w:val="20"/>
                <w:lang w:val="pt-BR"/>
              </w:rPr>
            </w:pPr>
            <w:r w:rsidRPr="00BC61ED">
              <w:rPr>
                <w:rFonts w:cs="Arial Armenian"/>
                <w:sz w:val="20"/>
                <w:szCs w:val="20"/>
                <w:lang w:val="pt-BR"/>
              </w:rPr>
              <w:t xml:space="preserve">   Միջոցառման համակատարող Տարածքային կառավարման և զարգացման նախարարության և Վաղարշապատի համայնքապետարանի գորոծղությունները կսահմանվեն համատեղ աշխատանքային խումբ ստեղծվելու արդյունքում:</w:t>
            </w:r>
          </w:p>
          <w:p w:rsidR="0068680D" w:rsidRPr="00BC61ED" w:rsidRDefault="0068680D" w:rsidP="00F47DC4">
            <w:pPr>
              <w:autoSpaceDE w:val="0"/>
              <w:autoSpaceDN w:val="0"/>
              <w:adjustRightInd w:val="0"/>
              <w:spacing w:line="276" w:lineRule="auto"/>
              <w:jc w:val="both"/>
              <w:rPr>
                <w:rFonts w:cs="Sylfaen"/>
                <w:b/>
                <w:sz w:val="20"/>
                <w:szCs w:val="20"/>
                <w:lang w:val="pt-BR"/>
              </w:rPr>
            </w:pPr>
            <w:r w:rsidRPr="00BC61ED">
              <w:rPr>
                <w:rFonts w:cs="Sylfaen"/>
                <w:b/>
                <w:sz w:val="20"/>
                <w:szCs w:val="20"/>
                <w:lang w:val="pt-BR"/>
              </w:rPr>
              <w:t>Կիրականացվեն հետևյալ միջոցառումները՝</w:t>
            </w:r>
          </w:p>
          <w:p w:rsidR="0068680D" w:rsidRPr="00BC61ED" w:rsidRDefault="0068680D" w:rsidP="00F47DC4">
            <w:pPr>
              <w:spacing w:line="276" w:lineRule="auto"/>
              <w:jc w:val="both"/>
              <w:rPr>
                <w:sz w:val="20"/>
                <w:szCs w:val="20"/>
                <w:lang w:val="pt-BR"/>
              </w:rPr>
            </w:pPr>
            <w:r w:rsidRPr="00BC61ED">
              <w:rPr>
                <w:sz w:val="20"/>
                <w:szCs w:val="20"/>
                <w:lang w:val="pt-BR"/>
              </w:rPr>
              <w:t xml:space="preserve">   1.  </w:t>
            </w:r>
            <w:r w:rsidRPr="00BC61ED">
              <w:rPr>
                <w:sz w:val="20"/>
                <w:szCs w:val="20"/>
                <w:lang w:val="hy-AM"/>
              </w:rPr>
              <w:t>Հանրապետության տարածքի օդալուսանկարահանում,</w:t>
            </w:r>
            <w:r w:rsidRPr="00BC61ED">
              <w:rPr>
                <w:sz w:val="20"/>
                <w:szCs w:val="20"/>
                <w:lang w:val="pt-BR"/>
              </w:rPr>
              <w:t xml:space="preserve"> </w:t>
            </w:r>
            <w:r w:rsidRPr="00BC61ED">
              <w:rPr>
                <w:sz w:val="20"/>
                <w:szCs w:val="20"/>
                <w:lang w:val="hy-AM"/>
              </w:rPr>
              <w:t xml:space="preserve">օրթոֆոտոհատակագծերի </w:t>
            </w:r>
            <w:r w:rsidRPr="00BC61ED">
              <w:rPr>
                <w:rFonts w:cs="Sylfaen"/>
                <w:sz w:val="20"/>
                <w:szCs w:val="20"/>
                <w:lang w:val="hy-AM"/>
              </w:rPr>
              <w:t xml:space="preserve">և թվային բարձունքային մոդելի </w:t>
            </w:r>
            <w:r w:rsidRPr="00BC61ED">
              <w:rPr>
                <w:sz w:val="20"/>
                <w:szCs w:val="20"/>
                <w:lang w:val="hy-AM"/>
              </w:rPr>
              <w:t>ստեղծման աշխատանքներ</w:t>
            </w:r>
            <w:r w:rsidRPr="00BC61ED">
              <w:rPr>
                <w:sz w:val="20"/>
                <w:szCs w:val="20"/>
                <w:lang w:val="pt-BR"/>
              </w:rPr>
              <w:t>,</w:t>
            </w:r>
          </w:p>
          <w:p w:rsidR="0068680D" w:rsidRPr="00BC61ED" w:rsidRDefault="0068680D" w:rsidP="00F47DC4">
            <w:pPr>
              <w:autoSpaceDE w:val="0"/>
              <w:autoSpaceDN w:val="0"/>
              <w:adjustRightInd w:val="0"/>
              <w:spacing w:line="276" w:lineRule="auto"/>
              <w:jc w:val="both"/>
              <w:rPr>
                <w:sz w:val="20"/>
                <w:szCs w:val="20"/>
                <w:lang w:val="pt-BR"/>
              </w:rPr>
            </w:pPr>
            <w:r w:rsidRPr="00BC61ED">
              <w:rPr>
                <w:sz w:val="20"/>
                <w:szCs w:val="20"/>
                <w:lang w:val="pt-BR"/>
              </w:rPr>
              <w:t xml:space="preserve">   2. </w:t>
            </w:r>
            <w:r w:rsidRPr="00BC61ED">
              <w:rPr>
                <w:sz w:val="20"/>
                <w:szCs w:val="20"/>
              </w:rPr>
              <w:t>Վաղարշապատ</w:t>
            </w:r>
            <w:r w:rsidRPr="00BC61ED">
              <w:rPr>
                <w:sz w:val="20"/>
                <w:szCs w:val="20"/>
                <w:lang w:val="pt-BR"/>
              </w:rPr>
              <w:t xml:space="preserve"> </w:t>
            </w:r>
            <w:r w:rsidRPr="00BC61ED">
              <w:rPr>
                <w:sz w:val="20"/>
                <w:szCs w:val="20"/>
              </w:rPr>
              <w:t>քաղաքի</w:t>
            </w:r>
            <w:r w:rsidRPr="00BC61ED">
              <w:rPr>
                <w:sz w:val="20"/>
                <w:szCs w:val="20"/>
                <w:lang w:val="pt-BR"/>
              </w:rPr>
              <w:t xml:space="preserve"> </w:t>
            </w:r>
            <w:r w:rsidRPr="00BC61ED">
              <w:rPr>
                <w:sz w:val="20"/>
                <w:szCs w:val="20"/>
              </w:rPr>
              <w:t>պիլոտային</w:t>
            </w:r>
            <w:r w:rsidRPr="00BC61ED">
              <w:rPr>
                <w:sz w:val="20"/>
                <w:szCs w:val="20"/>
                <w:lang w:val="pt-BR"/>
              </w:rPr>
              <w:t xml:space="preserve"> </w:t>
            </w:r>
            <w:r w:rsidRPr="00BC61ED">
              <w:rPr>
                <w:sz w:val="20"/>
                <w:szCs w:val="20"/>
              </w:rPr>
              <w:t>քարտեզագրական</w:t>
            </w:r>
            <w:r w:rsidRPr="00BC61ED">
              <w:rPr>
                <w:sz w:val="20"/>
                <w:szCs w:val="20"/>
                <w:lang w:val="pt-BR"/>
              </w:rPr>
              <w:t xml:space="preserve"> </w:t>
            </w:r>
            <w:r w:rsidRPr="00BC61ED">
              <w:rPr>
                <w:sz w:val="20"/>
                <w:szCs w:val="20"/>
              </w:rPr>
              <w:t>հենքի</w:t>
            </w:r>
            <w:r w:rsidRPr="00BC61ED">
              <w:rPr>
                <w:sz w:val="20"/>
                <w:szCs w:val="20"/>
                <w:lang w:val="pt-BR"/>
              </w:rPr>
              <w:t xml:space="preserve"> </w:t>
            </w:r>
            <w:r w:rsidRPr="00BC61ED">
              <w:rPr>
                <w:sz w:val="20"/>
                <w:szCs w:val="20"/>
              </w:rPr>
              <w:t>ստեղծման</w:t>
            </w:r>
            <w:r w:rsidRPr="00BC61ED">
              <w:rPr>
                <w:sz w:val="20"/>
                <w:szCs w:val="20"/>
                <w:lang w:val="pt-BR"/>
              </w:rPr>
              <w:t xml:space="preserve"> </w:t>
            </w:r>
            <w:r w:rsidRPr="00BC61ED">
              <w:rPr>
                <w:sz w:val="20"/>
                <w:szCs w:val="20"/>
              </w:rPr>
              <w:t>աշխատանքներ</w:t>
            </w:r>
            <w:r w:rsidRPr="00BC61ED">
              <w:rPr>
                <w:sz w:val="20"/>
                <w:szCs w:val="20"/>
                <w:lang w:val="pt-BR"/>
              </w:rPr>
              <w:t>,</w:t>
            </w:r>
          </w:p>
          <w:p w:rsidR="0068680D" w:rsidRPr="00BC61ED" w:rsidRDefault="0068680D" w:rsidP="00F47DC4">
            <w:pPr>
              <w:autoSpaceDE w:val="0"/>
              <w:autoSpaceDN w:val="0"/>
              <w:adjustRightInd w:val="0"/>
              <w:spacing w:line="276" w:lineRule="auto"/>
              <w:jc w:val="both"/>
              <w:rPr>
                <w:sz w:val="20"/>
                <w:szCs w:val="20"/>
                <w:lang w:val="pt-BR"/>
              </w:rPr>
            </w:pPr>
            <w:r w:rsidRPr="00BC61ED">
              <w:rPr>
                <w:sz w:val="20"/>
                <w:szCs w:val="20"/>
                <w:lang w:val="pt-BR"/>
              </w:rPr>
              <w:t xml:space="preserve">   3. </w:t>
            </w:r>
            <w:r w:rsidRPr="00BC61ED">
              <w:rPr>
                <w:rFonts w:cs="Sylfaen"/>
                <w:sz w:val="20"/>
                <w:szCs w:val="20"/>
                <w:lang w:val="hy-AM"/>
              </w:rPr>
              <w:t>Երկրատեղեկատվական համակարգում Հայաստանի Հանրապետության քաղաքների քարտեզագրական հենքի ստեղծ</w:t>
            </w:r>
            <w:r w:rsidRPr="00BC61ED">
              <w:rPr>
                <w:sz w:val="20"/>
                <w:szCs w:val="20"/>
                <w:lang w:val="hy-AM"/>
              </w:rPr>
              <w:t>ման աշխատանքներ</w:t>
            </w:r>
            <w:r w:rsidRPr="00BC61ED">
              <w:rPr>
                <w:sz w:val="20"/>
                <w:szCs w:val="20"/>
                <w:lang w:val="pt-BR"/>
              </w:rPr>
              <w:t>:</w:t>
            </w:r>
          </w:p>
          <w:p w:rsidR="0068680D" w:rsidRPr="00BC61ED" w:rsidRDefault="0068680D" w:rsidP="00F47DC4">
            <w:pPr>
              <w:tabs>
                <w:tab w:val="left" w:pos="540"/>
              </w:tabs>
              <w:spacing w:line="276" w:lineRule="auto"/>
              <w:ind w:right="180"/>
              <w:jc w:val="both"/>
              <w:rPr>
                <w:b/>
                <w:sz w:val="20"/>
                <w:szCs w:val="20"/>
                <w:lang w:val="pt-BR"/>
              </w:rPr>
            </w:pPr>
            <w:r w:rsidRPr="00BC61ED">
              <w:rPr>
                <w:rFonts w:cs="Arial"/>
                <w:b/>
                <w:sz w:val="20"/>
                <w:szCs w:val="20"/>
                <w:lang w:val="pt-BR"/>
              </w:rPr>
              <w:t xml:space="preserve">   2. </w:t>
            </w:r>
            <w:r w:rsidRPr="00BC61ED">
              <w:rPr>
                <w:rFonts w:cs="Arial"/>
                <w:b/>
                <w:sz w:val="20"/>
                <w:szCs w:val="20"/>
                <w:lang w:val="hy-AM"/>
              </w:rPr>
              <w:t>Միջոցառման</w:t>
            </w:r>
            <w:r w:rsidRPr="00BC61ED">
              <w:rPr>
                <w:b/>
                <w:sz w:val="20"/>
                <w:szCs w:val="20"/>
                <w:lang w:val="hy-AM"/>
              </w:rPr>
              <w:t xml:space="preserve"> իրականացումից ակնկալվող արդյունքը</w:t>
            </w:r>
            <w:r w:rsidRPr="00BC61ED">
              <w:rPr>
                <w:b/>
                <w:sz w:val="20"/>
                <w:szCs w:val="20"/>
                <w:lang w:val="hy-AM"/>
              </w:rPr>
              <w:tab/>
            </w:r>
          </w:p>
          <w:p w:rsidR="0068680D" w:rsidRPr="00BC61ED" w:rsidRDefault="0068680D" w:rsidP="00F47DC4">
            <w:pPr>
              <w:spacing w:line="276" w:lineRule="auto"/>
              <w:ind w:right="25"/>
              <w:jc w:val="both"/>
              <w:rPr>
                <w:sz w:val="20"/>
                <w:szCs w:val="20"/>
                <w:lang w:val="hy-AM"/>
              </w:rPr>
            </w:pPr>
            <w:r w:rsidRPr="00BC61ED">
              <w:rPr>
                <w:rFonts w:cs="00GHEAGrapalat"/>
                <w:sz w:val="20"/>
                <w:szCs w:val="20"/>
                <w:lang w:val="pt-BR"/>
              </w:rPr>
              <w:t xml:space="preserve">   </w:t>
            </w:r>
            <w:r w:rsidRPr="00BC61ED">
              <w:rPr>
                <w:rFonts w:cs="00GHEAGrapalat"/>
                <w:sz w:val="20"/>
                <w:szCs w:val="20"/>
              </w:rPr>
              <w:t>Այս</w:t>
            </w:r>
            <w:r w:rsidRPr="00BC61ED">
              <w:rPr>
                <w:rFonts w:cs="00GHEAGrapalat"/>
                <w:sz w:val="20"/>
                <w:szCs w:val="20"/>
                <w:lang w:val="id-ID"/>
              </w:rPr>
              <w:t xml:space="preserve"> </w:t>
            </w:r>
            <w:r w:rsidRPr="00BC61ED">
              <w:rPr>
                <w:rFonts w:cs="00GHEAGrapalat"/>
                <w:sz w:val="20"/>
                <w:szCs w:val="20"/>
              </w:rPr>
              <w:t>աշխատանքների</w:t>
            </w:r>
            <w:r w:rsidRPr="00BC61ED">
              <w:rPr>
                <w:rFonts w:cs="00GHEAGrapalat"/>
                <w:sz w:val="20"/>
                <w:szCs w:val="20"/>
                <w:lang w:val="id-ID"/>
              </w:rPr>
              <w:t xml:space="preserve"> </w:t>
            </w:r>
            <w:r w:rsidRPr="00BC61ED">
              <w:rPr>
                <w:rFonts w:cs="00GHEAGrapalat"/>
                <w:sz w:val="20"/>
                <w:szCs w:val="20"/>
              </w:rPr>
              <w:t>իրականացման</w:t>
            </w:r>
            <w:r w:rsidRPr="00BC61ED">
              <w:rPr>
                <w:rFonts w:cs="00GHEAGrapalat"/>
                <w:sz w:val="20"/>
                <w:szCs w:val="20"/>
                <w:lang w:val="id-ID"/>
              </w:rPr>
              <w:t xml:space="preserve"> </w:t>
            </w:r>
            <w:r w:rsidRPr="00BC61ED">
              <w:rPr>
                <w:rFonts w:cs="00GHEAGrapalat"/>
                <w:sz w:val="20"/>
                <w:szCs w:val="20"/>
              </w:rPr>
              <w:t>արդյունքում</w:t>
            </w:r>
            <w:r w:rsidRPr="00BC61ED">
              <w:rPr>
                <w:rFonts w:cs="00GHEAGrapalat"/>
                <w:sz w:val="20"/>
                <w:szCs w:val="20"/>
                <w:lang w:val="id-ID"/>
              </w:rPr>
              <w:t xml:space="preserve"> </w:t>
            </w:r>
            <w:r w:rsidRPr="00BC61ED">
              <w:rPr>
                <w:rFonts w:cs="00GHEAGrapalat"/>
                <w:sz w:val="20"/>
                <w:szCs w:val="20"/>
              </w:rPr>
              <w:t>նախատեսվում</w:t>
            </w:r>
            <w:r w:rsidRPr="00BC61ED">
              <w:rPr>
                <w:rFonts w:cs="00GHEAGrapalat"/>
                <w:sz w:val="20"/>
                <w:szCs w:val="20"/>
                <w:lang w:val="id-ID"/>
              </w:rPr>
              <w:t xml:space="preserve"> </w:t>
            </w:r>
            <w:r w:rsidRPr="00BC61ED">
              <w:rPr>
                <w:rFonts w:cs="00GHEAGrapalat"/>
                <w:sz w:val="20"/>
                <w:szCs w:val="20"/>
              </w:rPr>
              <w:t>է</w:t>
            </w:r>
            <w:r w:rsidRPr="00BC61ED">
              <w:rPr>
                <w:rFonts w:cs="00GHEAGrapalat"/>
                <w:sz w:val="20"/>
                <w:szCs w:val="20"/>
                <w:lang w:val="id-ID"/>
              </w:rPr>
              <w:t xml:space="preserve"> </w:t>
            </w:r>
            <w:r w:rsidRPr="00BC61ED">
              <w:rPr>
                <w:rFonts w:cs="00GHEAGrapalat"/>
                <w:sz w:val="20"/>
                <w:szCs w:val="20"/>
              </w:rPr>
              <w:t>ունենալ</w:t>
            </w:r>
            <w:r w:rsidRPr="00BC61ED">
              <w:rPr>
                <w:rFonts w:cs="00GHEAGrapalat"/>
                <w:sz w:val="20"/>
                <w:szCs w:val="20"/>
                <w:lang w:val="id-ID"/>
              </w:rPr>
              <w:t xml:space="preserve"> </w:t>
            </w:r>
            <w:r w:rsidRPr="00BC61ED">
              <w:rPr>
                <w:color w:val="000000"/>
                <w:sz w:val="20"/>
                <w:szCs w:val="20"/>
                <w:lang w:val="hy-AM"/>
              </w:rPr>
              <w:t>Հ</w:t>
            </w:r>
            <w:r w:rsidRPr="00BC61ED">
              <w:rPr>
                <w:color w:val="000000"/>
                <w:sz w:val="20"/>
                <w:szCs w:val="20"/>
              </w:rPr>
              <w:t>այաստանի</w:t>
            </w:r>
            <w:r w:rsidRPr="00BC61ED">
              <w:rPr>
                <w:color w:val="000000"/>
                <w:sz w:val="20"/>
                <w:szCs w:val="20"/>
                <w:lang w:val="id-ID"/>
              </w:rPr>
              <w:t xml:space="preserve"> </w:t>
            </w:r>
            <w:r w:rsidRPr="00BC61ED">
              <w:rPr>
                <w:color w:val="000000"/>
                <w:sz w:val="20"/>
                <w:szCs w:val="20"/>
                <w:lang w:val="hy-AM"/>
              </w:rPr>
              <w:t>Հ</w:t>
            </w:r>
            <w:r w:rsidRPr="00BC61ED">
              <w:rPr>
                <w:color w:val="000000"/>
                <w:sz w:val="20"/>
                <w:szCs w:val="20"/>
              </w:rPr>
              <w:t>անրապետության</w:t>
            </w:r>
            <w:r w:rsidRPr="00BC61ED">
              <w:rPr>
                <w:color w:val="000000"/>
                <w:sz w:val="20"/>
                <w:szCs w:val="20"/>
                <w:lang w:val="hy-AM"/>
              </w:rPr>
              <w:t xml:space="preserve"> </w:t>
            </w:r>
            <w:r w:rsidRPr="00BC61ED">
              <w:rPr>
                <w:rFonts w:cs="Sylfaen"/>
                <w:sz w:val="20"/>
                <w:szCs w:val="20"/>
                <w:lang w:val="hy-AM"/>
              </w:rPr>
              <w:t xml:space="preserve">ամբողջ տարածքի օրթոֆոտոհատակագծերի և թվային բարձունքային մոդելի թարմացված </w:t>
            </w:r>
            <w:r w:rsidRPr="00BC61ED">
              <w:rPr>
                <w:sz w:val="20"/>
                <w:szCs w:val="20"/>
                <w:lang w:val="hy-AM"/>
              </w:rPr>
              <w:t>ժամանակագրական շարք,</w:t>
            </w:r>
            <w:r w:rsidRPr="00BC61ED">
              <w:rPr>
                <w:sz w:val="20"/>
                <w:szCs w:val="20"/>
                <w:lang w:val="pt-BR"/>
              </w:rPr>
              <w:t xml:space="preserve"> </w:t>
            </w:r>
            <w:r w:rsidRPr="00BC61ED">
              <w:rPr>
                <w:rFonts w:cs="Sylfaen"/>
                <w:color w:val="000000" w:themeColor="text1"/>
                <w:sz w:val="20"/>
                <w:szCs w:val="20"/>
                <w:lang w:val="hy-AM"/>
              </w:rPr>
              <w:t xml:space="preserve">Վաղարշապատ քաղաքի տարածական տվյալների  բազա և քարտեզագրական հենք, </w:t>
            </w:r>
            <w:r w:rsidRPr="00BC61ED">
              <w:rPr>
                <w:color w:val="000000"/>
                <w:sz w:val="20"/>
                <w:szCs w:val="20"/>
                <w:lang w:val="hy-AM"/>
              </w:rPr>
              <w:t xml:space="preserve">Հայաստանի Հանրապետության </w:t>
            </w:r>
            <w:r w:rsidRPr="00BC61ED">
              <w:rPr>
                <w:rFonts w:cs="Sylfaen"/>
                <w:sz w:val="20"/>
                <w:szCs w:val="20"/>
                <w:lang w:val="hy-AM"/>
              </w:rPr>
              <w:t>քաղաքների քարտեզագրական հենքի թարմացված ժամանակագրական շարք։</w:t>
            </w:r>
          </w:p>
        </w:tc>
      </w:tr>
      <w:tr w:rsidR="0068680D" w:rsidRPr="00DE2EFA"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7.</w:t>
            </w:r>
          </w:p>
        </w:tc>
        <w:tc>
          <w:tcPr>
            <w:tcW w:w="10915" w:type="dxa"/>
          </w:tcPr>
          <w:p w:rsidR="0068680D" w:rsidRPr="00BC61ED" w:rsidRDefault="0068680D" w:rsidP="00F47DC4">
            <w:pPr>
              <w:spacing w:line="276" w:lineRule="auto"/>
              <w:jc w:val="center"/>
              <w:rPr>
                <w:b/>
                <w:sz w:val="20"/>
                <w:szCs w:val="20"/>
                <w:lang w:val="hy-AM"/>
              </w:rPr>
            </w:pPr>
            <w:r w:rsidRPr="00BC61ED">
              <w:rPr>
                <w:b/>
                <w:sz w:val="20"/>
                <w:szCs w:val="20"/>
                <w:lang w:val="hy-AM"/>
              </w:rPr>
              <w:t>«Ազգային</w:t>
            </w:r>
            <w:r w:rsidRPr="00BC61ED">
              <w:rPr>
                <w:b/>
                <w:sz w:val="20"/>
                <w:szCs w:val="20"/>
                <w:lang w:val="pt-BR"/>
              </w:rPr>
              <w:t xml:space="preserve"> </w:t>
            </w:r>
            <w:r w:rsidRPr="00BC61ED">
              <w:rPr>
                <w:b/>
                <w:sz w:val="20"/>
                <w:szCs w:val="20"/>
                <w:lang w:val="hy-AM"/>
              </w:rPr>
              <w:t>տարածական</w:t>
            </w:r>
            <w:r w:rsidRPr="00BC61ED">
              <w:rPr>
                <w:b/>
                <w:sz w:val="20"/>
                <w:szCs w:val="20"/>
                <w:lang w:val="pt-BR"/>
              </w:rPr>
              <w:t xml:space="preserve"> </w:t>
            </w:r>
            <w:r w:rsidRPr="00BC61ED">
              <w:rPr>
                <w:b/>
                <w:sz w:val="20"/>
                <w:szCs w:val="20"/>
                <w:lang w:val="hy-AM"/>
              </w:rPr>
              <w:t>տվյալների</w:t>
            </w:r>
            <w:r w:rsidRPr="00BC61ED">
              <w:rPr>
                <w:b/>
                <w:sz w:val="20"/>
                <w:szCs w:val="20"/>
                <w:lang w:val="pt-BR"/>
              </w:rPr>
              <w:t xml:space="preserve"> </w:t>
            </w:r>
            <w:r w:rsidRPr="00BC61ED">
              <w:rPr>
                <w:b/>
                <w:sz w:val="20"/>
                <w:szCs w:val="20"/>
                <w:lang w:val="hy-AM"/>
              </w:rPr>
              <w:t>ենթակառուցվածքի</w:t>
            </w:r>
            <w:r w:rsidRPr="00BC61ED">
              <w:rPr>
                <w:b/>
                <w:sz w:val="20"/>
                <w:szCs w:val="20"/>
                <w:lang w:val="pt-BR"/>
              </w:rPr>
              <w:t xml:space="preserve"> (</w:t>
            </w:r>
            <w:r w:rsidRPr="00BC61ED">
              <w:rPr>
                <w:b/>
                <w:sz w:val="20"/>
                <w:szCs w:val="20"/>
                <w:lang w:val="hy-AM"/>
              </w:rPr>
              <w:t>ստանդարտի</w:t>
            </w:r>
            <w:r w:rsidRPr="00BC61ED">
              <w:rPr>
                <w:b/>
                <w:sz w:val="20"/>
                <w:szCs w:val="20"/>
                <w:lang w:val="pt-BR"/>
              </w:rPr>
              <w:t xml:space="preserve">) </w:t>
            </w:r>
            <w:r w:rsidRPr="00BC61ED">
              <w:rPr>
                <w:b/>
                <w:sz w:val="20"/>
                <w:szCs w:val="20"/>
                <w:lang w:val="hy-AM"/>
              </w:rPr>
              <w:t xml:space="preserve">մշակում» </w:t>
            </w:r>
          </w:p>
          <w:p w:rsidR="0068680D" w:rsidRPr="00BC61ED" w:rsidRDefault="0068680D" w:rsidP="00F47DC4">
            <w:pPr>
              <w:spacing w:line="276" w:lineRule="auto"/>
              <w:jc w:val="center"/>
              <w:rPr>
                <w:b/>
                <w:sz w:val="20"/>
                <w:szCs w:val="20"/>
                <w:lang w:val="hy-AM"/>
              </w:rPr>
            </w:pPr>
          </w:p>
          <w:p w:rsidR="0068680D" w:rsidRPr="00BC61ED" w:rsidRDefault="0068680D" w:rsidP="00F47DC4">
            <w:pPr>
              <w:spacing w:line="276" w:lineRule="auto"/>
              <w:jc w:val="both"/>
              <w:rPr>
                <w:sz w:val="20"/>
                <w:szCs w:val="20"/>
                <w:lang w:val="hy-AM"/>
              </w:rPr>
            </w:pPr>
            <w:r w:rsidRPr="00BC61ED">
              <w:rPr>
                <w:b/>
                <w:sz w:val="20"/>
                <w:szCs w:val="20"/>
                <w:lang w:val="pt-BR"/>
              </w:rPr>
              <w:t xml:space="preserve">   </w:t>
            </w:r>
            <w:r w:rsidRPr="00BC61ED">
              <w:rPr>
                <w:b/>
                <w:sz w:val="20"/>
                <w:szCs w:val="20"/>
                <w:lang w:val="hy-AM"/>
              </w:rPr>
              <w:t>1. Միջոցառման իրականացման անհրաժեշտությունը և նպատակը</w:t>
            </w:r>
          </w:p>
          <w:p w:rsidR="0068680D" w:rsidRPr="00BC61ED" w:rsidRDefault="0068680D" w:rsidP="00F47DC4">
            <w:pPr>
              <w:pStyle w:val="ListParagraph"/>
              <w:spacing w:line="276" w:lineRule="auto"/>
              <w:ind w:left="0"/>
              <w:jc w:val="both"/>
              <w:rPr>
                <w:sz w:val="20"/>
                <w:szCs w:val="20"/>
                <w:lang w:val="hy-AM"/>
              </w:rPr>
            </w:pPr>
            <w:r w:rsidRPr="00BC61ED">
              <w:rPr>
                <w:sz w:val="20"/>
                <w:szCs w:val="20"/>
                <w:lang w:val="pt-BR"/>
              </w:rPr>
              <w:t xml:space="preserve">   </w:t>
            </w:r>
            <w:r w:rsidRPr="00BC61ED">
              <w:rPr>
                <w:sz w:val="20"/>
                <w:szCs w:val="20"/>
                <w:lang w:val="hy-AM"/>
              </w:rPr>
              <w:t>Տարածական տվյալների ենթակառուցվածք</w:t>
            </w:r>
            <w:r w:rsidRPr="00BC61ED">
              <w:rPr>
                <w:sz w:val="20"/>
                <w:szCs w:val="20"/>
              </w:rPr>
              <w:t>ը</w:t>
            </w:r>
            <w:r w:rsidRPr="00BC61ED">
              <w:rPr>
                <w:sz w:val="20"/>
                <w:szCs w:val="20"/>
                <w:lang w:val="hy-AM"/>
              </w:rPr>
              <w:t xml:space="preserve"> (ՏՏԵ) տեխնոլոգիաների, իրավական կարգավորումների, ստանդարտների, մարդկային ռեսուրսների և հարակից գործունեությունների համակարգ</w:t>
            </w:r>
            <w:r w:rsidRPr="00BC61ED">
              <w:rPr>
                <w:sz w:val="20"/>
                <w:szCs w:val="20"/>
                <w:lang w:val="pt-BR"/>
              </w:rPr>
              <w:t xml:space="preserve"> </w:t>
            </w:r>
            <w:r w:rsidRPr="00BC61ED">
              <w:rPr>
                <w:sz w:val="20"/>
                <w:szCs w:val="20"/>
              </w:rPr>
              <w:t>է</w:t>
            </w:r>
            <w:r w:rsidRPr="00BC61ED">
              <w:rPr>
                <w:sz w:val="20"/>
                <w:szCs w:val="20"/>
                <w:lang w:val="hy-AM"/>
              </w:rPr>
              <w:t xml:space="preserve">, որն անհրաժեշտ է տարածական տվյաների ստեղծումը, հավաքագրումը, պահպանումը, մշակումը, տարածումը և օգտագործումը արդյունավետ և ճկուն դարձնելու համար։ </w:t>
            </w:r>
          </w:p>
          <w:p w:rsidR="0068680D" w:rsidRPr="00BC61ED" w:rsidRDefault="0068680D" w:rsidP="00F47DC4">
            <w:pPr>
              <w:pStyle w:val="ListParagraph"/>
              <w:spacing w:line="276" w:lineRule="auto"/>
              <w:ind w:left="0"/>
              <w:jc w:val="both"/>
              <w:rPr>
                <w:sz w:val="20"/>
                <w:szCs w:val="20"/>
                <w:lang w:val="hy-AM"/>
              </w:rPr>
            </w:pPr>
            <w:r w:rsidRPr="00BC61ED">
              <w:rPr>
                <w:sz w:val="20"/>
                <w:szCs w:val="20"/>
                <w:lang w:val="pt-BR"/>
              </w:rPr>
              <w:t xml:space="preserve">   </w:t>
            </w:r>
            <w:r w:rsidRPr="00BC61ED">
              <w:rPr>
                <w:sz w:val="20"/>
                <w:szCs w:val="20"/>
                <w:lang w:val="hy-AM"/>
              </w:rPr>
              <w:t xml:space="preserve">Միջոցառման նպատակն է ստեղծել Ազգային տարածական տվյալների ենթակառուցվածք (ստանդարտ), որը կուղղորդի տարածական տվյալների հետ առնչվող բոլոր շահագրգիռ կողմերին։ </w:t>
            </w:r>
          </w:p>
          <w:p w:rsidR="0068680D" w:rsidRPr="00BC61ED" w:rsidRDefault="0068680D" w:rsidP="00F47DC4">
            <w:pPr>
              <w:pStyle w:val="ListParagraph"/>
              <w:spacing w:line="276" w:lineRule="auto"/>
              <w:ind w:left="0" w:right="-1"/>
              <w:jc w:val="both"/>
              <w:rPr>
                <w:sz w:val="20"/>
                <w:szCs w:val="20"/>
                <w:lang w:val="pt-BR" w:eastAsia="en-GB"/>
              </w:rPr>
            </w:pPr>
            <w:r w:rsidRPr="00BC61ED">
              <w:rPr>
                <w:sz w:val="20"/>
                <w:szCs w:val="20"/>
                <w:lang w:val="pt-BR" w:eastAsia="en-GB"/>
              </w:rPr>
              <w:t xml:space="preserve">   </w:t>
            </w:r>
            <w:r w:rsidRPr="00BC61ED">
              <w:rPr>
                <w:sz w:val="20"/>
                <w:szCs w:val="20"/>
                <w:lang w:eastAsia="en-GB"/>
              </w:rPr>
              <w:t>Միջոցառման</w:t>
            </w:r>
            <w:r w:rsidRPr="00BC61ED">
              <w:rPr>
                <w:sz w:val="20"/>
                <w:szCs w:val="20"/>
                <w:lang w:val="pt-BR" w:eastAsia="en-GB"/>
              </w:rPr>
              <w:t xml:space="preserve"> </w:t>
            </w:r>
            <w:r w:rsidRPr="00BC61ED">
              <w:rPr>
                <w:sz w:val="20"/>
                <w:szCs w:val="20"/>
                <w:lang w:eastAsia="en-GB"/>
              </w:rPr>
              <w:t>իրականացման</w:t>
            </w:r>
            <w:r w:rsidRPr="00BC61ED">
              <w:rPr>
                <w:sz w:val="20"/>
                <w:szCs w:val="20"/>
                <w:lang w:val="pt-BR" w:eastAsia="en-GB"/>
              </w:rPr>
              <w:t xml:space="preserve"> </w:t>
            </w:r>
            <w:r w:rsidRPr="00BC61ED">
              <w:rPr>
                <w:sz w:val="20"/>
                <w:szCs w:val="20"/>
                <w:lang w:eastAsia="en-GB"/>
              </w:rPr>
              <w:t>համար</w:t>
            </w:r>
            <w:r w:rsidRPr="00BC61ED">
              <w:rPr>
                <w:sz w:val="20"/>
                <w:szCs w:val="20"/>
                <w:lang w:val="pt-BR" w:eastAsia="en-GB"/>
              </w:rPr>
              <w:t xml:space="preserve"> </w:t>
            </w:r>
            <w:r w:rsidRPr="00BC61ED">
              <w:rPr>
                <w:sz w:val="20"/>
                <w:szCs w:val="20"/>
                <w:lang w:eastAsia="en-GB"/>
              </w:rPr>
              <w:t>նորմատիվ</w:t>
            </w:r>
            <w:r w:rsidRPr="00BC61ED">
              <w:rPr>
                <w:sz w:val="20"/>
                <w:szCs w:val="20"/>
                <w:lang w:val="pt-BR" w:eastAsia="en-GB"/>
              </w:rPr>
              <w:t xml:space="preserve"> </w:t>
            </w:r>
            <w:r w:rsidRPr="00BC61ED">
              <w:rPr>
                <w:sz w:val="20"/>
                <w:szCs w:val="20"/>
                <w:lang w:eastAsia="en-GB"/>
              </w:rPr>
              <w:t>իրավական</w:t>
            </w:r>
            <w:r w:rsidRPr="00BC61ED">
              <w:rPr>
                <w:sz w:val="20"/>
                <w:szCs w:val="20"/>
                <w:lang w:val="pt-BR" w:eastAsia="en-GB"/>
              </w:rPr>
              <w:t xml:space="preserve"> </w:t>
            </w:r>
            <w:r w:rsidRPr="00BC61ED">
              <w:rPr>
                <w:sz w:val="20"/>
                <w:szCs w:val="20"/>
                <w:lang w:eastAsia="en-GB"/>
              </w:rPr>
              <w:t>ակտերի</w:t>
            </w:r>
            <w:r w:rsidRPr="00BC61ED">
              <w:rPr>
                <w:sz w:val="20"/>
                <w:szCs w:val="20"/>
                <w:lang w:val="pt-BR" w:eastAsia="en-GB"/>
              </w:rPr>
              <w:t xml:space="preserve"> </w:t>
            </w:r>
            <w:r w:rsidRPr="00BC61ED">
              <w:rPr>
                <w:sz w:val="20"/>
                <w:szCs w:val="20"/>
                <w:lang w:eastAsia="en-GB"/>
              </w:rPr>
              <w:t>ընդունման</w:t>
            </w:r>
            <w:r w:rsidRPr="00BC61ED">
              <w:rPr>
                <w:sz w:val="20"/>
                <w:szCs w:val="20"/>
                <w:lang w:val="pt-BR" w:eastAsia="en-GB"/>
              </w:rPr>
              <w:t xml:space="preserve"> </w:t>
            </w:r>
            <w:r w:rsidRPr="00BC61ED">
              <w:rPr>
                <w:sz w:val="20"/>
                <w:szCs w:val="20"/>
                <w:lang w:eastAsia="en-GB"/>
              </w:rPr>
              <w:t>անհրաժեշտություն</w:t>
            </w:r>
            <w:r w:rsidRPr="00BC61ED">
              <w:rPr>
                <w:sz w:val="20"/>
                <w:szCs w:val="20"/>
                <w:lang w:val="pt-BR" w:eastAsia="en-GB"/>
              </w:rPr>
              <w:t xml:space="preserve"> </w:t>
            </w:r>
            <w:r w:rsidRPr="00BC61ED">
              <w:rPr>
                <w:sz w:val="20"/>
                <w:szCs w:val="20"/>
                <w:lang w:eastAsia="en-GB"/>
              </w:rPr>
              <w:t>է</w:t>
            </w:r>
            <w:r w:rsidRPr="00BC61ED">
              <w:rPr>
                <w:sz w:val="20"/>
                <w:szCs w:val="20"/>
                <w:lang w:val="pt-BR" w:eastAsia="en-GB"/>
              </w:rPr>
              <w:t xml:space="preserve"> </w:t>
            </w:r>
            <w:r w:rsidRPr="00BC61ED">
              <w:rPr>
                <w:sz w:val="20"/>
                <w:szCs w:val="20"/>
                <w:lang w:eastAsia="en-GB"/>
              </w:rPr>
              <w:t>առաջանում</w:t>
            </w:r>
            <w:r w:rsidRPr="00BC61ED">
              <w:rPr>
                <w:sz w:val="20"/>
                <w:szCs w:val="20"/>
                <w:lang w:val="pt-BR" w:eastAsia="en-GB"/>
              </w:rPr>
              <w:t xml:space="preserve"> </w:t>
            </w:r>
            <w:r w:rsidRPr="00BC61ED">
              <w:rPr>
                <w:sz w:val="20"/>
                <w:szCs w:val="20"/>
                <w:lang w:eastAsia="en-GB"/>
              </w:rPr>
              <w:t>հիմքը՝</w:t>
            </w:r>
            <w:r w:rsidRPr="00BC61ED">
              <w:rPr>
                <w:sz w:val="20"/>
                <w:szCs w:val="20"/>
                <w:lang w:val="pt-BR" w:eastAsia="en-GB"/>
              </w:rPr>
              <w:t xml:space="preserve"> «</w:t>
            </w:r>
            <w:r w:rsidRPr="00BC61ED">
              <w:rPr>
                <w:sz w:val="20"/>
                <w:szCs w:val="20"/>
                <w:lang w:eastAsia="en-GB"/>
              </w:rPr>
              <w:t>Գեոդեզիայի</w:t>
            </w:r>
            <w:r w:rsidRPr="00BC61ED">
              <w:rPr>
                <w:sz w:val="20"/>
                <w:szCs w:val="20"/>
                <w:lang w:val="pt-BR" w:eastAsia="en-GB"/>
              </w:rPr>
              <w:t xml:space="preserve"> </w:t>
            </w:r>
            <w:r w:rsidRPr="00BC61ED">
              <w:rPr>
                <w:sz w:val="20"/>
                <w:szCs w:val="20"/>
                <w:lang w:eastAsia="en-GB"/>
              </w:rPr>
              <w:t>և</w:t>
            </w:r>
            <w:r w:rsidRPr="00BC61ED">
              <w:rPr>
                <w:sz w:val="20"/>
                <w:szCs w:val="20"/>
                <w:lang w:val="pt-BR" w:eastAsia="en-GB"/>
              </w:rPr>
              <w:t xml:space="preserve"> </w:t>
            </w:r>
            <w:r w:rsidRPr="00BC61ED">
              <w:rPr>
                <w:sz w:val="20"/>
                <w:szCs w:val="20"/>
                <w:lang w:eastAsia="en-GB"/>
              </w:rPr>
              <w:t>քարտեզագրության</w:t>
            </w:r>
            <w:r w:rsidRPr="00BC61ED">
              <w:rPr>
                <w:sz w:val="20"/>
                <w:szCs w:val="20"/>
                <w:lang w:val="pt-BR" w:eastAsia="en-GB"/>
              </w:rPr>
              <w:t xml:space="preserve"> </w:t>
            </w:r>
            <w:r w:rsidRPr="00BC61ED">
              <w:rPr>
                <w:sz w:val="20"/>
                <w:szCs w:val="20"/>
                <w:lang w:eastAsia="en-GB"/>
              </w:rPr>
              <w:t>մասին</w:t>
            </w:r>
            <w:r w:rsidRPr="00BC61ED">
              <w:rPr>
                <w:sz w:val="20"/>
                <w:szCs w:val="20"/>
                <w:lang w:val="pt-BR" w:eastAsia="en-GB"/>
              </w:rPr>
              <w:t xml:space="preserve">» </w:t>
            </w:r>
            <w:r w:rsidRPr="00BC61ED">
              <w:rPr>
                <w:sz w:val="20"/>
                <w:szCs w:val="20"/>
                <w:lang w:eastAsia="en-GB"/>
              </w:rPr>
              <w:t>ՀՀ</w:t>
            </w:r>
            <w:r w:rsidRPr="00BC61ED">
              <w:rPr>
                <w:sz w:val="20"/>
                <w:szCs w:val="20"/>
                <w:lang w:val="pt-BR" w:eastAsia="en-GB"/>
              </w:rPr>
              <w:t xml:space="preserve"> </w:t>
            </w:r>
            <w:r w:rsidRPr="00BC61ED">
              <w:rPr>
                <w:sz w:val="20"/>
                <w:szCs w:val="20"/>
                <w:lang w:eastAsia="en-GB"/>
              </w:rPr>
              <w:t>օրենքի</w:t>
            </w:r>
            <w:r w:rsidRPr="00BC61ED">
              <w:rPr>
                <w:sz w:val="20"/>
                <w:szCs w:val="20"/>
                <w:lang w:val="pt-BR" w:eastAsia="en-GB"/>
              </w:rPr>
              <w:t xml:space="preserve"> 8-</w:t>
            </w:r>
            <w:r w:rsidRPr="00BC61ED">
              <w:rPr>
                <w:sz w:val="20"/>
                <w:szCs w:val="20"/>
                <w:lang w:eastAsia="en-GB"/>
              </w:rPr>
              <w:t>րդ</w:t>
            </w:r>
            <w:r w:rsidRPr="00BC61ED">
              <w:rPr>
                <w:sz w:val="20"/>
                <w:szCs w:val="20"/>
                <w:lang w:val="pt-BR" w:eastAsia="en-GB"/>
              </w:rPr>
              <w:t xml:space="preserve"> </w:t>
            </w:r>
            <w:r w:rsidRPr="00BC61ED">
              <w:rPr>
                <w:sz w:val="20"/>
                <w:szCs w:val="20"/>
                <w:lang w:eastAsia="en-GB"/>
              </w:rPr>
              <w:t>հոդված</w:t>
            </w:r>
            <w:r w:rsidRPr="00BC61ED">
              <w:rPr>
                <w:sz w:val="20"/>
                <w:szCs w:val="20"/>
                <w:lang w:val="pt-BR" w:eastAsia="en-GB"/>
              </w:rPr>
              <w:t xml:space="preserve">: </w:t>
            </w:r>
          </w:p>
          <w:p w:rsidR="0068680D" w:rsidRPr="00BC61ED" w:rsidRDefault="0068680D" w:rsidP="00F47DC4">
            <w:pPr>
              <w:spacing w:line="276" w:lineRule="auto"/>
              <w:jc w:val="both"/>
              <w:rPr>
                <w:b/>
                <w:sz w:val="20"/>
                <w:szCs w:val="20"/>
                <w:lang w:val="hy-AM"/>
              </w:rPr>
            </w:pPr>
            <w:r w:rsidRPr="00BC61ED">
              <w:rPr>
                <w:b/>
                <w:sz w:val="20"/>
                <w:szCs w:val="20"/>
                <w:lang w:val="pt-BR"/>
              </w:rPr>
              <w:t xml:space="preserve">   </w:t>
            </w:r>
            <w:r w:rsidRPr="00BC61ED">
              <w:rPr>
                <w:b/>
                <w:sz w:val="20"/>
                <w:szCs w:val="20"/>
                <w:lang w:val="hy-AM"/>
              </w:rPr>
              <w:t>1.1 Կարգավորման հարաբերությունների ներկա վիճակը և առկա խնդիրները</w:t>
            </w:r>
          </w:p>
          <w:p w:rsidR="0068680D" w:rsidRPr="00BC61ED" w:rsidRDefault="0068680D" w:rsidP="00F47DC4">
            <w:pPr>
              <w:pStyle w:val="ListParagraph"/>
              <w:spacing w:line="276" w:lineRule="auto"/>
              <w:ind w:left="0"/>
              <w:jc w:val="both"/>
              <w:rPr>
                <w:sz w:val="20"/>
                <w:szCs w:val="20"/>
                <w:lang w:val="hy-AM"/>
              </w:rPr>
            </w:pPr>
            <w:r w:rsidRPr="00BC61ED">
              <w:rPr>
                <w:sz w:val="20"/>
                <w:szCs w:val="20"/>
                <w:lang w:val="pt-BR"/>
              </w:rPr>
              <w:t xml:space="preserve">   </w:t>
            </w:r>
            <w:r w:rsidRPr="00BC61ED">
              <w:rPr>
                <w:sz w:val="20"/>
                <w:szCs w:val="20"/>
                <w:lang w:val="hy-AM"/>
              </w:rPr>
              <w:t>Հայաստանի Հանրապետությու</w:t>
            </w:r>
            <w:r w:rsidRPr="00BC61ED">
              <w:rPr>
                <w:sz w:val="20"/>
                <w:szCs w:val="20"/>
              </w:rPr>
              <w:t>նու</w:t>
            </w:r>
            <w:r w:rsidRPr="00BC61ED">
              <w:rPr>
                <w:sz w:val="20"/>
                <w:szCs w:val="20"/>
                <w:lang w:val="hy-AM"/>
              </w:rPr>
              <w:t>մ մինչ այժմ ստեղծված չի եղել ազգային ՏՏԵ, ինչը տարածական տվյալների հետ առնչվող անհատների և կազմակերպությունների անհամաձայնեցված գործողությունների</w:t>
            </w:r>
            <w:r w:rsidRPr="00BC61ED">
              <w:rPr>
                <w:sz w:val="20"/>
                <w:szCs w:val="20"/>
                <w:lang w:val="pt-BR"/>
              </w:rPr>
              <w:t xml:space="preserve"> </w:t>
            </w:r>
            <w:r w:rsidRPr="00BC61ED">
              <w:rPr>
                <w:sz w:val="20"/>
                <w:szCs w:val="20"/>
              </w:rPr>
              <w:t>պատճառ</w:t>
            </w:r>
            <w:r w:rsidRPr="00BC61ED">
              <w:rPr>
                <w:sz w:val="20"/>
                <w:szCs w:val="20"/>
                <w:lang w:val="pt-BR"/>
              </w:rPr>
              <w:t xml:space="preserve"> </w:t>
            </w:r>
            <w:r w:rsidRPr="00BC61ED">
              <w:rPr>
                <w:sz w:val="20"/>
                <w:szCs w:val="20"/>
              </w:rPr>
              <w:t>է</w:t>
            </w:r>
            <w:r w:rsidRPr="00BC61ED">
              <w:rPr>
                <w:sz w:val="20"/>
                <w:szCs w:val="20"/>
                <w:lang w:val="pt-BR"/>
              </w:rPr>
              <w:t xml:space="preserve"> </w:t>
            </w:r>
            <w:r w:rsidRPr="00BC61ED">
              <w:rPr>
                <w:sz w:val="20"/>
                <w:szCs w:val="20"/>
              </w:rPr>
              <w:t>դարձել</w:t>
            </w:r>
            <w:r w:rsidRPr="00BC61ED">
              <w:rPr>
                <w:sz w:val="20"/>
                <w:szCs w:val="20"/>
                <w:lang w:val="hy-AM"/>
              </w:rPr>
              <w:t>։</w:t>
            </w:r>
          </w:p>
          <w:p w:rsidR="0068680D" w:rsidRPr="00BC61ED" w:rsidRDefault="0068680D" w:rsidP="00F47DC4">
            <w:pPr>
              <w:spacing w:line="276" w:lineRule="auto"/>
              <w:jc w:val="both"/>
              <w:rPr>
                <w:b/>
                <w:sz w:val="20"/>
                <w:szCs w:val="20"/>
                <w:lang w:val="hy-AM"/>
              </w:rPr>
            </w:pPr>
            <w:r w:rsidRPr="00BC61ED">
              <w:rPr>
                <w:b/>
                <w:sz w:val="20"/>
                <w:szCs w:val="20"/>
                <w:lang w:val="pt-BR"/>
              </w:rPr>
              <w:t xml:space="preserve">   </w:t>
            </w:r>
            <w:r w:rsidRPr="00BC61ED">
              <w:rPr>
                <w:b/>
                <w:sz w:val="20"/>
                <w:szCs w:val="20"/>
                <w:lang w:val="hy-AM"/>
              </w:rPr>
              <w:t>1.2 Առկա խնդիրների առաջարկվող լուծումները</w:t>
            </w:r>
          </w:p>
          <w:p w:rsidR="0068680D" w:rsidRPr="00BC61ED" w:rsidRDefault="0068680D" w:rsidP="00F47DC4">
            <w:pPr>
              <w:spacing w:line="276" w:lineRule="auto"/>
              <w:jc w:val="both"/>
              <w:rPr>
                <w:sz w:val="20"/>
                <w:szCs w:val="20"/>
                <w:lang w:val="hy-AM"/>
              </w:rPr>
            </w:pPr>
            <w:r w:rsidRPr="00BC61ED">
              <w:rPr>
                <w:sz w:val="20"/>
                <w:szCs w:val="20"/>
                <w:lang w:val="pt-BR"/>
              </w:rPr>
              <w:t xml:space="preserve">   </w:t>
            </w:r>
            <w:r w:rsidRPr="00BC61ED">
              <w:rPr>
                <w:sz w:val="20"/>
                <w:szCs w:val="20"/>
                <w:lang w:val="hy-AM"/>
              </w:rPr>
              <w:t>Մշակվելիք ստանդարտների շրջանակներում կհստակեցվեն բոլոր այն մոտեցումներ</w:t>
            </w:r>
            <w:r w:rsidRPr="00BC61ED">
              <w:rPr>
                <w:sz w:val="20"/>
                <w:szCs w:val="20"/>
              </w:rPr>
              <w:t>ը</w:t>
            </w:r>
            <w:r w:rsidRPr="00BC61ED">
              <w:rPr>
                <w:sz w:val="20"/>
                <w:szCs w:val="20"/>
                <w:lang w:val="hy-AM"/>
              </w:rPr>
              <w:t>, որոնք անհրաժեշտ են տարածական տվյալների ստեղծման, պահպանման և տարածման համար։ Կսահմանվեն պահանջներ որակի ապահովման համար, և կստեղծվի մետատվյալների ալբոմ։</w:t>
            </w:r>
          </w:p>
          <w:p w:rsidR="0068680D" w:rsidRPr="00BC61ED" w:rsidRDefault="0068680D" w:rsidP="00F47DC4">
            <w:pPr>
              <w:spacing w:line="276" w:lineRule="auto"/>
              <w:jc w:val="both"/>
              <w:rPr>
                <w:b/>
                <w:sz w:val="20"/>
                <w:szCs w:val="20"/>
                <w:lang w:val="hy-AM"/>
              </w:rPr>
            </w:pPr>
            <w:r w:rsidRPr="00BC61ED">
              <w:rPr>
                <w:b/>
                <w:sz w:val="20"/>
                <w:szCs w:val="20"/>
                <w:lang w:val="hy-AM"/>
              </w:rPr>
              <w:t xml:space="preserve">   Կիրականացվեն հետևյալ միջոցառումները՝</w:t>
            </w:r>
          </w:p>
          <w:p w:rsidR="0068680D" w:rsidRPr="00BC61ED" w:rsidRDefault="0068680D" w:rsidP="00F47DC4">
            <w:pPr>
              <w:spacing w:line="276" w:lineRule="auto"/>
              <w:jc w:val="both"/>
              <w:rPr>
                <w:rFonts w:cs="Sylfaen"/>
                <w:sz w:val="20"/>
                <w:szCs w:val="20"/>
                <w:lang w:val="hy-AM"/>
              </w:rPr>
            </w:pPr>
            <w:r w:rsidRPr="00BC61ED">
              <w:rPr>
                <w:rFonts w:cs="Sylfaen"/>
                <w:sz w:val="20"/>
                <w:szCs w:val="20"/>
                <w:lang w:val="hy-AM"/>
              </w:rPr>
              <w:t xml:space="preserve">   1.  </w:t>
            </w:r>
            <w:r w:rsidRPr="00BC61ED">
              <w:rPr>
                <w:color w:val="000000"/>
                <w:sz w:val="20"/>
                <w:szCs w:val="20"/>
                <w:lang w:val="hy-AM"/>
              </w:rPr>
              <w:t xml:space="preserve">Հայաստանի Հանրապետության </w:t>
            </w:r>
            <w:r w:rsidRPr="00BC61ED">
              <w:rPr>
                <w:rFonts w:cs="Sylfaen"/>
                <w:sz w:val="20"/>
                <w:szCs w:val="20"/>
                <w:lang w:val="hy-AM"/>
              </w:rPr>
              <w:t>տարածական տվյալների՝ պետական, ճյուղային, տարածքային և համայնքային, ինչպես նաև մետատվյալների բանկերի վերաբերյալ նորմատիվ-տեխնիկական և իրավական փաստաթղթերի մշակում և արդիականացում,</w:t>
            </w:r>
          </w:p>
          <w:p w:rsidR="0068680D" w:rsidRPr="00BC61ED" w:rsidRDefault="0068680D" w:rsidP="00F47DC4">
            <w:pPr>
              <w:spacing w:line="276" w:lineRule="auto"/>
              <w:jc w:val="both"/>
              <w:rPr>
                <w:rFonts w:cs="Sylfaen"/>
                <w:sz w:val="20"/>
                <w:szCs w:val="20"/>
                <w:lang w:val="hy-AM"/>
              </w:rPr>
            </w:pPr>
            <w:r w:rsidRPr="00BC61ED">
              <w:rPr>
                <w:rFonts w:cs="Sylfaen"/>
                <w:sz w:val="20"/>
                <w:szCs w:val="20"/>
                <w:lang w:val="hy-AM"/>
              </w:rPr>
              <w:t xml:space="preserve">   2.  ԵՄ տարածական տվյալներին վերաբերող INSPIRE դիրեկտիվների տեղայնացում և ներդաշնակեցում ՀՀ գեոդեզիայի և քարտեզագրության ոլորտներում </w:t>
            </w:r>
            <w:r w:rsidRPr="00BC61ED">
              <w:rPr>
                <w:rFonts w:cs="Sylfaen"/>
                <w:color w:val="000000" w:themeColor="text1"/>
                <w:sz w:val="20"/>
                <w:szCs w:val="20"/>
                <w:lang w:val="hy-AM"/>
              </w:rPr>
              <w:t xml:space="preserve">գործող նորմատիվ-տեխնիկական </w:t>
            </w:r>
            <w:r w:rsidRPr="00BC61ED">
              <w:rPr>
                <w:rFonts w:cs="Sylfaen"/>
                <w:sz w:val="20"/>
                <w:szCs w:val="20"/>
                <w:lang w:val="hy-AM"/>
              </w:rPr>
              <w:t>և իրավական փաստաթղթերին:</w:t>
            </w:r>
          </w:p>
          <w:p w:rsidR="0068680D" w:rsidRPr="00BC61ED" w:rsidRDefault="0068680D" w:rsidP="00F47DC4">
            <w:pPr>
              <w:spacing w:line="276" w:lineRule="auto"/>
              <w:jc w:val="both"/>
              <w:rPr>
                <w:b/>
                <w:sz w:val="20"/>
                <w:szCs w:val="20"/>
                <w:lang w:val="hy-AM"/>
              </w:rPr>
            </w:pPr>
            <w:r w:rsidRPr="00BC61ED">
              <w:rPr>
                <w:sz w:val="20"/>
                <w:szCs w:val="20"/>
                <w:lang w:val="hy-AM"/>
              </w:rPr>
              <w:t xml:space="preserve">   </w:t>
            </w:r>
            <w:r w:rsidRPr="00BC61ED">
              <w:rPr>
                <w:b/>
                <w:sz w:val="20"/>
                <w:szCs w:val="20"/>
                <w:lang w:val="hy-AM"/>
              </w:rPr>
              <w:t>2. Միջոցառման իրականացումից ակնկալվող արդյունքը</w:t>
            </w:r>
          </w:p>
          <w:p w:rsidR="0068680D" w:rsidRPr="00BC61ED" w:rsidRDefault="0068680D" w:rsidP="00F47DC4">
            <w:pPr>
              <w:spacing w:line="276" w:lineRule="auto"/>
              <w:jc w:val="both"/>
              <w:rPr>
                <w:b/>
                <w:sz w:val="20"/>
                <w:szCs w:val="20"/>
                <w:lang w:val="af-ZA"/>
              </w:rPr>
            </w:pPr>
            <w:r w:rsidRPr="00BC61ED">
              <w:rPr>
                <w:rFonts w:cs="Sylfaen"/>
                <w:sz w:val="20"/>
                <w:szCs w:val="20"/>
                <w:lang w:val="hy-AM"/>
              </w:rPr>
              <w:t xml:space="preserve">   Միջոցառման իրականացման արդյունքում կստեղծվի Ազգային տարածական տվյալների ենթակառուցվածքի մշակման և ներդրման համար անհրաժեշտ իրավական կարգավորումների և ստանդարտների փաթեթ։</w:t>
            </w:r>
          </w:p>
        </w:tc>
      </w:tr>
      <w:tr w:rsidR="0068680D" w:rsidRPr="00DE2EFA"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8.</w:t>
            </w:r>
          </w:p>
        </w:tc>
        <w:tc>
          <w:tcPr>
            <w:tcW w:w="10915" w:type="dxa"/>
          </w:tcPr>
          <w:p w:rsidR="0068680D" w:rsidRPr="00BC61ED" w:rsidRDefault="0068680D" w:rsidP="00F47DC4">
            <w:pPr>
              <w:spacing w:line="276" w:lineRule="auto"/>
              <w:ind w:right="-1"/>
              <w:jc w:val="center"/>
              <w:rPr>
                <w:b/>
                <w:sz w:val="20"/>
                <w:szCs w:val="20"/>
                <w:lang w:val="id-ID"/>
              </w:rPr>
            </w:pPr>
            <w:r w:rsidRPr="00BC61ED">
              <w:rPr>
                <w:b/>
                <w:sz w:val="20"/>
                <w:szCs w:val="20"/>
                <w:lang w:val="hy-AM"/>
              </w:rPr>
              <w:t>Անշարժ գույքի գրանցման գործընթացների արդյունավետության բարձրացման նպատակով կառուցվածքային</w:t>
            </w:r>
            <w:r w:rsidRPr="00BC61ED">
              <w:rPr>
                <w:b/>
                <w:sz w:val="20"/>
                <w:szCs w:val="20"/>
                <w:lang w:val="id-ID"/>
              </w:rPr>
              <w:t xml:space="preserve"> </w:t>
            </w:r>
            <w:r w:rsidRPr="00BC61ED">
              <w:rPr>
                <w:b/>
                <w:sz w:val="20"/>
                <w:szCs w:val="20"/>
                <w:lang w:val="hy-AM"/>
              </w:rPr>
              <w:t>բարեփոխումների իրականացում</w:t>
            </w:r>
          </w:p>
          <w:p w:rsidR="0068680D" w:rsidRPr="00BC61ED" w:rsidRDefault="0068680D" w:rsidP="00F47DC4">
            <w:pPr>
              <w:spacing w:line="276" w:lineRule="auto"/>
              <w:ind w:right="-1"/>
              <w:jc w:val="center"/>
              <w:rPr>
                <w:sz w:val="20"/>
                <w:szCs w:val="20"/>
                <w:lang w:val="id-ID"/>
              </w:rPr>
            </w:pPr>
          </w:p>
          <w:p w:rsidR="0068680D" w:rsidRPr="00BC61ED" w:rsidRDefault="0068680D" w:rsidP="00F47DC4">
            <w:pPr>
              <w:spacing w:line="276" w:lineRule="auto"/>
              <w:jc w:val="both"/>
              <w:rPr>
                <w:b/>
                <w:sz w:val="20"/>
                <w:szCs w:val="20"/>
                <w:lang w:val="id-ID"/>
              </w:rPr>
            </w:pPr>
            <w:r w:rsidRPr="00BC61ED">
              <w:rPr>
                <w:sz w:val="20"/>
                <w:szCs w:val="20"/>
                <w:lang w:val="hy-AM"/>
              </w:rPr>
              <w:t xml:space="preserve">   </w:t>
            </w:r>
            <w:r w:rsidRPr="00BC61ED">
              <w:rPr>
                <w:b/>
                <w:sz w:val="20"/>
                <w:szCs w:val="20"/>
                <w:lang w:val="id-ID"/>
              </w:rPr>
              <w:t xml:space="preserve">1.  </w:t>
            </w:r>
            <w:r w:rsidRPr="00BC61ED">
              <w:rPr>
                <w:b/>
                <w:sz w:val="20"/>
                <w:szCs w:val="20"/>
                <w:lang w:val="hy-AM"/>
              </w:rPr>
              <w:t>Միջոցառման</w:t>
            </w:r>
            <w:r w:rsidRPr="00BC61ED">
              <w:rPr>
                <w:b/>
                <w:sz w:val="20"/>
                <w:szCs w:val="20"/>
                <w:lang w:val="id-ID"/>
              </w:rPr>
              <w:t xml:space="preserve"> </w:t>
            </w:r>
            <w:r w:rsidRPr="00BC61ED">
              <w:rPr>
                <w:b/>
                <w:sz w:val="20"/>
                <w:szCs w:val="20"/>
                <w:lang w:val="hy-AM"/>
              </w:rPr>
              <w:t>իրականացման</w:t>
            </w:r>
            <w:r w:rsidRPr="00BC61ED">
              <w:rPr>
                <w:b/>
                <w:sz w:val="20"/>
                <w:szCs w:val="20"/>
                <w:lang w:val="id-ID"/>
              </w:rPr>
              <w:t xml:space="preserve"> </w:t>
            </w:r>
            <w:r w:rsidRPr="00BC61ED">
              <w:rPr>
                <w:b/>
                <w:sz w:val="20"/>
                <w:szCs w:val="20"/>
                <w:lang w:val="hy-AM"/>
              </w:rPr>
              <w:t>անհրաժեշտությունը</w:t>
            </w:r>
            <w:r w:rsidRPr="00BC61ED">
              <w:rPr>
                <w:b/>
                <w:sz w:val="20"/>
                <w:szCs w:val="20"/>
                <w:lang w:val="id-ID"/>
              </w:rPr>
              <w:t xml:space="preserve"> </w:t>
            </w:r>
            <w:r w:rsidRPr="00BC61ED">
              <w:rPr>
                <w:b/>
                <w:sz w:val="20"/>
                <w:szCs w:val="20"/>
                <w:lang w:val="hy-AM"/>
              </w:rPr>
              <w:t>և</w:t>
            </w:r>
            <w:r w:rsidRPr="00BC61ED">
              <w:rPr>
                <w:b/>
                <w:sz w:val="20"/>
                <w:szCs w:val="20"/>
                <w:lang w:val="id-ID"/>
              </w:rPr>
              <w:t xml:space="preserve"> </w:t>
            </w:r>
            <w:r w:rsidRPr="00BC61ED">
              <w:rPr>
                <w:b/>
                <w:sz w:val="20"/>
                <w:szCs w:val="20"/>
                <w:lang w:val="hy-AM"/>
              </w:rPr>
              <w:t>նպատակը</w:t>
            </w:r>
          </w:p>
          <w:p w:rsidR="0068680D" w:rsidRPr="00BC61ED" w:rsidRDefault="0068680D" w:rsidP="00F47DC4">
            <w:pPr>
              <w:spacing w:line="276" w:lineRule="auto"/>
              <w:ind w:right="-1"/>
              <w:jc w:val="both"/>
              <w:rPr>
                <w:bCs/>
                <w:sz w:val="20"/>
                <w:szCs w:val="20"/>
                <w:lang w:val="id-ID"/>
              </w:rPr>
            </w:pPr>
            <w:r w:rsidRPr="00BC61ED">
              <w:rPr>
                <w:sz w:val="20"/>
                <w:szCs w:val="20"/>
                <w:lang w:val="hy-AM"/>
              </w:rPr>
              <w:t xml:space="preserve">   Միջոցառման</w:t>
            </w:r>
            <w:r w:rsidRPr="00BC61ED">
              <w:rPr>
                <w:sz w:val="20"/>
                <w:szCs w:val="20"/>
                <w:lang w:val="id-ID"/>
              </w:rPr>
              <w:t xml:space="preserve"> </w:t>
            </w:r>
            <w:r w:rsidRPr="00BC61ED">
              <w:rPr>
                <w:sz w:val="20"/>
                <w:szCs w:val="20"/>
                <w:lang w:val="hy-AM"/>
              </w:rPr>
              <w:t>իրականացման</w:t>
            </w:r>
            <w:r w:rsidRPr="00BC61ED">
              <w:rPr>
                <w:sz w:val="20"/>
                <w:szCs w:val="20"/>
                <w:lang w:val="id-ID"/>
              </w:rPr>
              <w:t xml:space="preserve"> </w:t>
            </w:r>
            <w:r w:rsidRPr="00BC61ED">
              <w:rPr>
                <w:sz w:val="20"/>
                <w:szCs w:val="20"/>
                <w:lang w:val="pt-BR"/>
              </w:rPr>
              <w:t>անհրաժեշտությունը պայմանավորված է Հայաստանի Հանրապետության անշարժ գույքի կադաստրի կոմիտեի համակարգում գործող վեց տարածքային ստորաբաժանումների գործառույթների ներառմամբ 3 հիմնական, միմյանցից տարանջատված ուղղություններում և գործող 40 սպասարկման գրասենյակների վերակազմակերպմամբ մարզային գրասենյակների, որի նպատակն է կոռուպցիոն ռիսկերի բացառումը և ռեսուրսների կառավարման արդյունավետության բարձրացումը</w:t>
            </w:r>
            <w:r w:rsidRPr="00BC61ED">
              <w:rPr>
                <w:bCs/>
                <w:sz w:val="20"/>
                <w:szCs w:val="20"/>
                <w:lang w:val="id-ID"/>
              </w:rPr>
              <w:t xml:space="preserve">: </w:t>
            </w:r>
          </w:p>
          <w:p w:rsidR="0068680D" w:rsidRPr="00BC61ED" w:rsidRDefault="0068680D" w:rsidP="00F47DC4">
            <w:pPr>
              <w:pStyle w:val="ListParagraph"/>
              <w:spacing w:line="276" w:lineRule="auto"/>
              <w:ind w:left="0" w:right="-1"/>
              <w:jc w:val="both"/>
              <w:rPr>
                <w:sz w:val="20"/>
                <w:szCs w:val="20"/>
                <w:lang w:val="hy-AM" w:eastAsia="en-GB"/>
              </w:rPr>
            </w:pPr>
            <w:r w:rsidRPr="00BC61ED">
              <w:rPr>
                <w:sz w:val="20"/>
                <w:szCs w:val="20"/>
                <w:lang w:val="hy-AM" w:eastAsia="en-GB"/>
              </w:rPr>
              <w:t xml:space="preserve">   Միջոցառման իրականացումը նորմատիվ իրավական ակտերի ընդունման անհրաժեշտություն չի առաջացնում: </w:t>
            </w:r>
          </w:p>
          <w:p w:rsidR="0068680D" w:rsidRPr="00BC61ED" w:rsidRDefault="0068680D" w:rsidP="00F47DC4">
            <w:pPr>
              <w:pStyle w:val="ListParagraph"/>
              <w:spacing w:line="276" w:lineRule="auto"/>
              <w:ind w:left="0"/>
              <w:jc w:val="both"/>
              <w:rPr>
                <w:b/>
                <w:sz w:val="20"/>
                <w:szCs w:val="20"/>
                <w:lang w:val="id-ID" w:eastAsia="en-GB"/>
              </w:rPr>
            </w:pPr>
            <w:r w:rsidRPr="00BC61ED">
              <w:rPr>
                <w:b/>
                <w:sz w:val="20"/>
                <w:szCs w:val="20"/>
                <w:lang w:val="hy-AM" w:eastAsia="en-GB"/>
              </w:rPr>
              <w:t xml:space="preserve">   </w:t>
            </w:r>
            <w:r w:rsidRPr="00BC61ED">
              <w:rPr>
                <w:b/>
                <w:sz w:val="20"/>
                <w:szCs w:val="20"/>
                <w:lang w:val="id-ID" w:eastAsia="en-GB"/>
              </w:rPr>
              <w:t>1.1.</w:t>
            </w:r>
            <w:r w:rsidRPr="00BC61ED">
              <w:rPr>
                <w:b/>
                <w:sz w:val="20"/>
                <w:szCs w:val="20"/>
                <w:lang w:val="hy-AM" w:eastAsia="en-GB"/>
              </w:rPr>
              <w:t xml:space="preserve"> Կարգավորման</w:t>
            </w:r>
            <w:r w:rsidRPr="00BC61ED">
              <w:rPr>
                <w:b/>
                <w:sz w:val="20"/>
                <w:szCs w:val="20"/>
                <w:lang w:val="id-ID" w:eastAsia="en-GB"/>
              </w:rPr>
              <w:t xml:space="preserve"> </w:t>
            </w:r>
            <w:r w:rsidRPr="00BC61ED">
              <w:rPr>
                <w:b/>
                <w:sz w:val="20"/>
                <w:szCs w:val="20"/>
                <w:lang w:val="hy-AM" w:eastAsia="en-GB"/>
              </w:rPr>
              <w:t>հարաբերությունների</w:t>
            </w:r>
            <w:r w:rsidRPr="00BC61ED">
              <w:rPr>
                <w:b/>
                <w:sz w:val="20"/>
                <w:szCs w:val="20"/>
                <w:lang w:val="id-ID" w:eastAsia="en-GB"/>
              </w:rPr>
              <w:t xml:space="preserve"> </w:t>
            </w:r>
            <w:r w:rsidRPr="00BC61ED">
              <w:rPr>
                <w:b/>
                <w:sz w:val="20"/>
                <w:szCs w:val="20"/>
                <w:lang w:val="hy-AM" w:eastAsia="en-GB"/>
              </w:rPr>
              <w:t>ներկա</w:t>
            </w:r>
            <w:r w:rsidRPr="00BC61ED">
              <w:rPr>
                <w:b/>
                <w:sz w:val="20"/>
                <w:szCs w:val="20"/>
                <w:lang w:val="id-ID" w:eastAsia="en-GB"/>
              </w:rPr>
              <w:t xml:space="preserve"> </w:t>
            </w:r>
            <w:r w:rsidRPr="00BC61ED">
              <w:rPr>
                <w:b/>
                <w:sz w:val="20"/>
                <w:szCs w:val="20"/>
                <w:lang w:val="hy-AM" w:eastAsia="en-GB"/>
              </w:rPr>
              <w:t>վիճակը</w:t>
            </w:r>
            <w:r w:rsidRPr="00BC61ED">
              <w:rPr>
                <w:b/>
                <w:sz w:val="20"/>
                <w:szCs w:val="20"/>
                <w:lang w:val="id-ID" w:eastAsia="en-GB"/>
              </w:rPr>
              <w:t xml:space="preserve"> </w:t>
            </w:r>
            <w:r w:rsidRPr="00BC61ED">
              <w:rPr>
                <w:b/>
                <w:sz w:val="20"/>
                <w:szCs w:val="20"/>
                <w:lang w:val="hy-AM" w:eastAsia="en-GB"/>
              </w:rPr>
              <w:t>և</w:t>
            </w:r>
            <w:r w:rsidRPr="00BC61ED">
              <w:rPr>
                <w:b/>
                <w:sz w:val="20"/>
                <w:szCs w:val="20"/>
                <w:lang w:val="id-ID" w:eastAsia="en-GB"/>
              </w:rPr>
              <w:t xml:space="preserve"> </w:t>
            </w:r>
            <w:r w:rsidRPr="00BC61ED">
              <w:rPr>
                <w:b/>
                <w:sz w:val="20"/>
                <w:szCs w:val="20"/>
                <w:lang w:val="hy-AM" w:eastAsia="en-GB"/>
              </w:rPr>
              <w:t>առկա</w:t>
            </w:r>
            <w:r w:rsidRPr="00BC61ED">
              <w:rPr>
                <w:b/>
                <w:sz w:val="20"/>
                <w:szCs w:val="20"/>
                <w:lang w:val="id-ID" w:eastAsia="en-GB"/>
              </w:rPr>
              <w:t xml:space="preserve"> </w:t>
            </w:r>
            <w:r w:rsidRPr="00BC61ED">
              <w:rPr>
                <w:b/>
                <w:sz w:val="20"/>
                <w:szCs w:val="20"/>
                <w:lang w:val="hy-AM" w:eastAsia="en-GB"/>
              </w:rPr>
              <w:t>խնդիրները</w:t>
            </w:r>
          </w:p>
          <w:p w:rsidR="0068680D" w:rsidRPr="00BC61ED" w:rsidRDefault="0068680D" w:rsidP="00F47DC4">
            <w:pPr>
              <w:pStyle w:val="ListParagraph"/>
              <w:spacing w:line="276" w:lineRule="auto"/>
              <w:ind w:left="0"/>
              <w:jc w:val="both"/>
              <w:rPr>
                <w:rFonts w:cs="AK Courier"/>
                <w:sz w:val="20"/>
                <w:szCs w:val="20"/>
                <w:lang w:val="id-ID" w:eastAsia="en-GB"/>
              </w:rPr>
            </w:pPr>
            <w:r w:rsidRPr="00BC61ED">
              <w:rPr>
                <w:rFonts w:cs="AK Courier"/>
                <w:sz w:val="20"/>
                <w:szCs w:val="20"/>
                <w:lang w:val="hy-AM" w:eastAsia="en-GB"/>
              </w:rPr>
              <w:t xml:space="preserve">   Կոմիտեի</w:t>
            </w:r>
            <w:r w:rsidRPr="00BC61ED">
              <w:rPr>
                <w:rFonts w:cs="AK Courier"/>
                <w:sz w:val="20"/>
                <w:szCs w:val="20"/>
                <w:lang w:val="id-ID" w:eastAsia="en-GB"/>
              </w:rPr>
              <w:t xml:space="preserve"> </w:t>
            </w:r>
            <w:r w:rsidRPr="00BC61ED">
              <w:rPr>
                <w:rFonts w:cs="AK Courier"/>
                <w:sz w:val="20"/>
                <w:szCs w:val="20"/>
                <w:lang w:val="hy-AM" w:eastAsia="en-GB"/>
              </w:rPr>
              <w:t>համակարգում</w:t>
            </w:r>
            <w:r w:rsidRPr="00BC61ED">
              <w:rPr>
                <w:rFonts w:cs="AK Courier"/>
                <w:sz w:val="20"/>
                <w:szCs w:val="20"/>
                <w:lang w:val="id-ID" w:eastAsia="en-GB"/>
              </w:rPr>
              <w:t xml:space="preserve"> </w:t>
            </w:r>
            <w:r w:rsidRPr="00BC61ED">
              <w:rPr>
                <w:rFonts w:cs="AK Courier"/>
                <w:sz w:val="20"/>
                <w:szCs w:val="20"/>
                <w:lang w:val="hy-AM" w:eastAsia="en-GB"/>
              </w:rPr>
              <w:t>ներկայումս</w:t>
            </w:r>
            <w:r w:rsidRPr="00BC61ED">
              <w:rPr>
                <w:rFonts w:cs="AK Courier"/>
                <w:sz w:val="20"/>
                <w:szCs w:val="20"/>
                <w:lang w:val="id-ID" w:eastAsia="en-GB"/>
              </w:rPr>
              <w:t xml:space="preserve"> </w:t>
            </w:r>
            <w:r w:rsidRPr="00BC61ED">
              <w:rPr>
                <w:rFonts w:cs="AK Courier"/>
                <w:sz w:val="20"/>
                <w:szCs w:val="20"/>
                <w:lang w:val="hy-AM" w:eastAsia="en-GB"/>
              </w:rPr>
              <w:t>գործում</w:t>
            </w:r>
            <w:r w:rsidRPr="00BC61ED">
              <w:rPr>
                <w:rFonts w:cs="AK Courier"/>
                <w:sz w:val="20"/>
                <w:szCs w:val="20"/>
                <w:lang w:val="id-ID" w:eastAsia="en-GB"/>
              </w:rPr>
              <w:t xml:space="preserve"> </w:t>
            </w:r>
            <w:r w:rsidRPr="00BC61ED">
              <w:rPr>
                <w:rFonts w:cs="AK Courier"/>
                <w:sz w:val="20"/>
                <w:szCs w:val="20"/>
                <w:lang w:val="hy-AM" w:eastAsia="en-GB"/>
              </w:rPr>
              <w:t>է</w:t>
            </w:r>
            <w:r w:rsidRPr="00BC61ED">
              <w:rPr>
                <w:rFonts w:cs="AK Courier"/>
                <w:sz w:val="20"/>
                <w:szCs w:val="20"/>
                <w:lang w:val="id-ID" w:eastAsia="en-GB"/>
              </w:rPr>
              <w:t xml:space="preserve"> </w:t>
            </w:r>
            <w:r w:rsidRPr="00BC61ED">
              <w:rPr>
                <w:rFonts w:cs="AK Courier"/>
                <w:sz w:val="20"/>
                <w:szCs w:val="20"/>
                <w:lang w:val="hy-AM" w:eastAsia="en-GB"/>
              </w:rPr>
              <w:t>4</w:t>
            </w:r>
            <w:r w:rsidRPr="00BC61ED">
              <w:rPr>
                <w:rFonts w:cs="AK Courier"/>
                <w:sz w:val="20"/>
                <w:szCs w:val="20"/>
                <w:lang w:val="id-ID" w:eastAsia="en-GB"/>
              </w:rPr>
              <w:t xml:space="preserve"> </w:t>
            </w:r>
            <w:r w:rsidRPr="00BC61ED">
              <w:rPr>
                <w:rFonts w:cs="AK Courier"/>
                <w:sz w:val="20"/>
                <w:szCs w:val="20"/>
                <w:lang w:val="hy-AM" w:eastAsia="en-GB"/>
              </w:rPr>
              <w:t>տարածքային</w:t>
            </w:r>
            <w:r w:rsidRPr="00BC61ED">
              <w:rPr>
                <w:rFonts w:cs="AK Courier"/>
                <w:sz w:val="20"/>
                <w:szCs w:val="20"/>
                <w:lang w:val="id-ID" w:eastAsia="en-GB"/>
              </w:rPr>
              <w:t xml:space="preserve"> </w:t>
            </w:r>
            <w:r w:rsidRPr="00BC61ED">
              <w:rPr>
                <w:rFonts w:cs="AK Courier"/>
                <w:sz w:val="20"/>
                <w:szCs w:val="20"/>
                <w:lang w:val="hy-AM" w:eastAsia="en-GB"/>
              </w:rPr>
              <w:t>ստորաբաժանում</w:t>
            </w:r>
            <w:r w:rsidRPr="00BC61ED">
              <w:rPr>
                <w:rFonts w:cs="AK Courier"/>
                <w:sz w:val="20"/>
                <w:szCs w:val="20"/>
                <w:lang w:val="id-ID" w:eastAsia="en-GB"/>
              </w:rPr>
              <w:t xml:space="preserve">, </w:t>
            </w:r>
            <w:r w:rsidRPr="00BC61ED">
              <w:rPr>
                <w:rFonts w:cs="AK Courier"/>
                <w:sz w:val="20"/>
                <w:szCs w:val="20"/>
                <w:lang w:val="hy-AM" w:eastAsia="en-GB"/>
              </w:rPr>
              <w:t>որից</w:t>
            </w:r>
            <w:r w:rsidRPr="00BC61ED">
              <w:rPr>
                <w:rFonts w:cs="AK Courier"/>
                <w:sz w:val="20"/>
                <w:szCs w:val="20"/>
                <w:lang w:val="id-ID" w:eastAsia="en-GB"/>
              </w:rPr>
              <w:t xml:space="preserve"> </w:t>
            </w:r>
            <w:r w:rsidRPr="00BC61ED">
              <w:rPr>
                <w:rFonts w:cs="AK Courier"/>
                <w:sz w:val="20"/>
                <w:szCs w:val="20"/>
                <w:lang w:val="hy-AM" w:eastAsia="en-GB"/>
              </w:rPr>
              <w:t>1</w:t>
            </w:r>
            <w:r w:rsidRPr="00BC61ED">
              <w:rPr>
                <w:rFonts w:cs="AK Courier"/>
                <w:sz w:val="20"/>
                <w:szCs w:val="20"/>
                <w:lang w:val="id-ID" w:eastAsia="en-GB"/>
              </w:rPr>
              <w:t>-</w:t>
            </w:r>
            <w:r w:rsidRPr="00BC61ED">
              <w:rPr>
                <w:rFonts w:cs="AK Courier"/>
                <w:sz w:val="20"/>
                <w:szCs w:val="20"/>
                <w:lang w:val="hy-AM" w:eastAsia="en-GB"/>
              </w:rPr>
              <w:t>ը՝</w:t>
            </w:r>
            <w:r w:rsidRPr="00BC61ED">
              <w:rPr>
                <w:rFonts w:cs="AK Courier"/>
                <w:sz w:val="20"/>
                <w:szCs w:val="20"/>
                <w:lang w:val="id-ID" w:eastAsia="en-GB"/>
              </w:rPr>
              <w:t xml:space="preserve"> </w:t>
            </w:r>
            <w:r w:rsidRPr="00BC61ED">
              <w:rPr>
                <w:rFonts w:cs="AK Courier"/>
                <w:sz w:val="20"/>
                <w:szCs w:val="20"/>
                <w:lang w:val="hy-AM" w:eastAsia="en-GB"/>
              </w:rPr>
              <w:t>Երևանում (Անշարժ գույքի գրանցման միասնական ստորաբաժանում)</w:t>
            </w:r>
            <w:r w:rsidRPr="00BC61ED">
              <w:rPr>
                <w:rFonts w:cs="AK Courier"/>
                <w:sz w:val="20"/>
                <w:szCs w:val="20"/>
                <w:lang w:val="id-ID" w:eastAsia="en-GB"/>
              </w:rPr>
              <w:t xml:space="preserve">, </w:t>
            </w:r>
            <w:r w:rsidRPr="00BC61ED">
              <w:rPr>
                <w:rFonts w:cs="AK Courier"/>
                <w:sz w:val="20"/>
                <w:szCs w:val="20"/>
                <w:lang w:val="hy-AM" w:eastAsia="en-GB"/>
              </w:rPr>
              <w:t>3</w:t>
            </w:r>
            <w:r w:rsidRPr="00BC61ED">
              <w:rPr>
                <w:rFonts w:cs="AK Courier"/>
                <w:sz w:val="20"/>
                <w:szCs w:val="20"/>
                <w:lang w:val="id-ID" w:eastAsia="en-GB"/>
              </w:rPr>
              <w:t>-</w:t>
            </w:r>
            <w:r w:rsidRPr="00BC61ED">
              <w:rPr>
                <w:rFonts w:cs="AK Courier"/>
                <w:sz w:val="20"/>
                <w:szCs w:val="20"/>
                <w:lang w:val="hy-AM" w:eastAsia="en-GB"/>
              </w:rPr>
              <w:t>ը</w:t>
            </w:r>
            <w:r w:rsidRPr="00BC61ED">
              <w:rPr>
                <w:rFonts w:cs="AK Courier"/>
                <w:sz w:val="20"/>
                <w:szCs w:val="20"/>
                <w:lang w:val="id-ID" w:eastAsia="en-GB"/>
              </w:rPr>
              <w:t xml:space="preserve">` </w:t>
            </w:r>
            <w:r w:rsidRPr="00BC61ED">
              <w:rPr>
                <w:rFonts w:cs="AK Courier"/>
                <w:sz w:val="20"/>
                <w:szCs w:val="20"/>
                <w:lang w:val="hy-AM" w:eastAsia="en-GB"/>
              </w:rPr>
              <w:t>մարզերում</w:t>
            </w:r>
            <w:r w:rsidRPr="00BC61ED">
              <w:rPr>
                <w:rFonts w:cs="AK Courier"/>
                <w:sz w:val="20"/>
                <w:szCs w:val="20"/>
                <w:lang w:val="id-ID" w:eastAsia="en-GB"/>
              </w:rPr>
              <w:t xml:space="preserve"> </w:t>
            </w:r>
            <w:r w:rsidRPr="00BC61ED">
              <w:rPr>
                <w:rFonts w:cs="Courier New"/>
                <w:sz w:val="20"/>
                <w:szCs w:val="20"/>
                <w:lang w:val="id-ID" w:eastAsia="en-GB"/>
              </w:rPr>
              <w:t>(</w:t>
            </w:r>
            <w:r w:rsidRPr="00BC61ED">
              <w:rPr>
                <w:rFonts w:cs="Courier New"/>
                <w:sz w:val="20"/>
                <w:szCs w:val="20"/>
                <w:lang w:val="hy-AM" w:eastAsia="en-GB"/>
              </w:rPr>
              <w:t>Շիրակ</w:t>
            </w:r>
            <w:r w:rsidRPr="00BC61ED">
              <w:rPr>
                <w:rFonts w:cs="Courier New"/>
                <w:sz w:val="20"/>
                <w:szCs w:val="20"/>
                <w:lang w:val="id-ID" w:eastAsia="en-GB"/>
              </w:rPr>
              <w:t xml:space="preserve">, </w:t>
            </w:r>
            <w:r w:rsidRPr="00BC61ED">
              <w:rPr>
                <w:rFonts w:cs="Courier New"/>
                <w:sz w:val="20"/>
                <w:szCs w:val="20"/>
                <w:lang w:val="hy-AM" w:eastAsia="en-GB"/>
              </w:rPr>
              <w:t>Լոռի</w:t>
            </w:r>
            <w:r w:rsidRPr="00BC61ED">
              <w:rPr>
                <w:rFonts w:cs="Courier New"/>
                <w:sz w:val="20"/>
                <w:szCs w:val="20"/>
                <w:lang w:val="id-ID" w:eastAsia="en-GB"/>
              </w:rPr>
              <w:t xml:space="preserve">, </w:t>
            </w:r>
            <w:r w:rsidRPr="00BC61ED">
              <w:rPr>
                <w:rFonts w:cs="Courier New"/>
                <w:sz w:val="20"/>
                <w:szCs w:val="20"/>
                <w:lang w:val="hy-AM" w:eastAsia="en-GB"/>
              </w:rPr>
              <w:t>Սյունիք</w:t>
            </w:r>
            <w:r w:rsidRPr="00BC61ED">
              <w:rPr>
                <w:rFonts w:cs="Courier New"/>
                <w:sz w:val="20"/>
                <w:szCs w:val="20"/>
                <w:lang w:val="id-ID" w:eastAsia="en-GB"/>
              </w:rPr>
              <w:t xml:space="preserve">) </w:t>
            </w:r>
            <w:r w:rsidRPr="00BC61ED">
              <w:rPr>
                <w:rFonts w:cs="Courier New"/>
                <w:sz w:val="20"/>
                <w:szCs w:val="20"/>
                <w:lang w:val="hy-AM" w:eastAsia="en-GB"/>
              </w:rPr>
              <w:t>և</w:t>
            </w:r>
            <w:r w:rsidRPr="00BC61ED">
              <w:rPr>
                <w:rFonts w:cs="Courier New"/>
                <w:sz w:val="20"/>
                <w:szCs w:val="20"/>
                <w:lang w:val="id-ID" w:eastAsia="en-GB"/>
              </w:rPr>
              <w:t xml:space="preserve"> </w:t>
            </w:r>
            <w:r w:rsidRPr="00BC61ED">
              <w:rPr>
                <w:rFonts w:cs="Courier New"/>
                <w:sz w:val="20"/>
                <w:szCs w:val="20"/>
                <w:lang w:val="hy-AM" w:eastAsia="en-GB"/>
              </w:rPr>
              <w:t>40</w:t>
            </w:r>
            <w:r w:rsidRPr="00BC61ED">
              <w:rPr>
                <w:rFonts w:cs="Courier New"/>
                <w:sz w:val="20"/>
                <w:szCs w:val="20"/>
                <w:lang w:val="id-ID" w:eastAsia="en-GB"/>
              </w:rPr>
              <w:t xml:space="preserve"> </w:t>
            </w:r>
            <w:r w:rsidRPr="00BC61ED">
              <w:rPr>
                <w:rFonts w:cs="Courier New"/>
                <w:sz w:val="20"/>
                <w:szCs w:val="20"/>
                <w:lang w:val="hy-AM" w:eastAsia="en-GB"/>
              </w:rPr>
              <w:t>սպասարկման</w:t>
            </w:r>
            <w:r w:rsidRPr="00BC61ED">
              <w:rPr>
                <w:rFonts w:cs="Courier New"/>
                <w:sz w:val="20"/>
                <w:szCs w:val="20"/>
                <w:lang w:val="id-ID" w:eastAsia="en-GB"/>
              </w:rPr>
              <w:t xml:space="preserve"> </w:t>
            </w:r>
            <w:r w:rsidRPr="00BC61ED">
              <w:rPr>
                <w:rFonts w:cs="Courier New"/>
                <w:sz w:val="20"/>
                <w:szCs w:val="20"/>
                <w:lang w:val="hy-AM" w:eastAsia="en-GB"/>
              </w:rPr>
              <w:t>գրասենյակ</w:t>
            </w:r>
            <w:r w:rsidRPr="00BC61ED">
              <w:rPr>
                <w:rFonts w:cs="Courier New"/>
                <w:sz w:val="20"/>
                <w:szCs w:val="20"/>
                <w:lang w:val="id-ID" w:eastAsia="en-GB"/>
              </w:rPr>
              <w:t xml:space="preserve">, </w:t>
            </w:r>
            <w:r w:rsidRPr="00BC61ED">
              <w:rPr>
                <w:rFonts w:cs="Courier New"/>
                <w:sz w:val="20"/>
                <w:szCs w:val="20"/>
                <w:lang w:val="hy-AM" w:eastAsia="en-GB"/>
              </w:rPr>
              <w:t>որից</w:t>
            </w:r>
            <w:r w:rsidRPr="00BC61ED">
              <w:rPr>
                <w:rFonts w:cs="Courier New"/>
                <w:sz w:val="20"/>
                <w:szCs w:val="20"/>
                <w:lang w:val="id-ID" w:eastAsia="en-GB"/>
              </w:rPr>
              <w:t xml:space="preserve"> 3-</w:t>
            </w:r>
            <w:r w:rsidRPr="00BC61ED">
              <w:rPr>
                <w:rFonts w:cs="Courier New"/>
                <w:sz w:val="20"/>
                <w:szCs w:val="20"/>
                <w:lang w:val="hy-AM" w:eastAsia="en-GB"/>
              </w:rPr>
              <w:t>ը՝</w:t>
            </w:r>
            <w:r w:rsidRPr="00BC61ED">
              <w:rPr>
                <w:rFonts w:cs="Courier New"/>
                <w:sz w:val="20"/>
                <w:szCs w:val="20"/>
                <w:lang w:val="id-ID" w:eastAsia="en-GB"/>
              </w:rPr>
              <w:t xml:space="preserve"> </w:t>
            </w:r>
            <w:r w:rsidRPr="00BC61ED">
              <w:rPr>
                <w:rFonts w:cs="Courier New"/>
                <w:sz w:val="20"/>
                <w:szCs w:val="20"/>
                <w:lang w:val="hy-AM" w:eastAsia="en-GB"/>
              </w:rPr>
              <w:t>Երևանում</w:t>
            </w:r>
            <w:r w:rsidRPr="00BC61ED">
              <w:rPr>
                <w:rFonts w:cs="Courier New"/>
                <w:sz w:val="20"/>
                <w:szCs w:val="20"/>
                <w:lang w:val="id-ID" w:eastAsia="en-GB"/>
              </w:rPr>
              <w:t>, 37-</w:t>
            </w:r>
            <w:r w:rsidRPr="00BC61ED">
              <w:rPr>
                <w:rFonts w:cs="Courier New"/>
                <w:sz w:val="20"/>
                <w:szCs w:val="20"/>
                <w:lang w:val="hy-AM" w:eastAsia="en-GB"/>
              </w:rPr>
              <w:t>ը</w:t>
            </w:r>
            <w:r w:rsidRPr="00BC61ED">
              <w:rPr>
                <w:rFonts w:cs="Courier New"/>
                <w:sz w:val="20"/>
                <w:szCs w:val="20"/>
                <w:lang w:val="id-ID" w:eastAsia="en-GB"/>
              </w:rPr>
              <w:t xml:space="preserve">` </w:t>
            </w:r>
            <w:r w:rsidRPr="00BC61ED">
              <w:rPr>
                <w:rFonts w:cs="Courier New"/>
                <w:sz w:val="20"/>
                <w:szCs w:val="20"/>
                <w:lang w:val="hy-AM" w:eastAsia="en-GB"/>
              </w:rPr>
              <w:t>բոլոր</w:t>
            </w:r>
            <w:r w:rsidRPr="00BC61ED">
              <w:rPr>
                <w:rFonts w:cs="Courier New"/>
                <w:sz w:val="20"/>
                <w:szCs w:val="20"/>
                <w:lang w:val="id-ID" w:eastAsia="en-GB"/>
              </w:rPr>
              <w:t xml:space="preserve"> 10 </w:t>
            </w:r>
            <w:r w:rsidRPr="00BC61ED">
              <w:rPr>
                <w:rFonts w:cs="Courier New"/>
                <w:sz w:val="20"/>
                <w:szCs w:val="20"/>
                <w:lang w:val="hy-AM" w:eastAsia="en-GB"/>
              </w:rPr>
              <w:t>մարզերում</w:t>
            </w:r>
            <w:r w:rsidRPr="00BC61ED">
              <w:rPr>
                <w:rFonts w:cs="Courier New"/>
                <w:sz w:val="20"/>
                <w:szCs w:val="20"/>
                <w:lang w:val="id-ID" w:eastAsia="en-GB"/>
              </w:rPr>
              <w:t xml:space="preserve">, </w:t>
            </w:r>
            <w:r w:rsidRPr="00BC61ED">
              <w:rPr>
                <w:rFonts w:cs="Courier New"/>
                <w:sz w:val="20"/>
                <w:szCs w:val="20"/>
                <w:lang w:val="hy-AM" w:eastAsia="en-GB"/>
              </w:rPr>
              <w:t>որոնց</w:t>
            </w:r>
            <w:r w:rsidRPr="00BC61ED">
              <w:rPr>
                <w:rFonts w:cs="Courier New"/>
                <w:sz w:val="20"/>
                <w:szCs w:val="20"/>
                <w:lang w:val="id-ID" w:eastAsia="en-GB"/>
              </w:rPr>
              <w:t xml:space="preserve"> </w:t>
            </w:r>
            <w:r w:rsidRPr="00BC61ED">
              <w:rPr>
                <w:rFonts w:cs="Courier New"/>
                <w:sz w:val="20"/>
                <w:szCs w:val="20"/>
                <w:lang w:val="hy-AM" w:eastAsia="en-GB"/>
              </w:rPr>
              <w:t>պահպանության</w:t>
            </w:r>
            <w:r w:rsidRPr="00BC61ED">
              <w:rPr>
                <w:rFonts w:cs="Courier New"/>
                <w:sz w:val="20"/>
                <w:szCs w:val="20"/>
                <w:lang w:val="id-ID" w:eastAsia="en-GB"/>
              </w:rPr>
              <w:t xml:space="preserve"> </w:t>
            </w:r>
            <w:r w:rsidRPr="00BC61ED">
              <w:rPr>
                <w:rFonts w:cs="Courier New"/>
                <w:sz w:val="20"/>
                <w:szCs w:val="20"/>
                <w:lang w:val="hy-AM" w:eastAsia="en-GB"/>
              </w:rPr>
              <w:t>ու</w:t>
            </w:r>
            <w:r w:rsidRPr="00BC61ED">
              <w:rPr>
                <w:rFonts w:cs="Courier New"/>
                <w:sz w:val="20"/>
                <w:szCs w:val="20"/>
                <w:lang w:val="id-ID" w:eastAsia="en-GB"/>
              </w:rPr>
              <w:t xml:space="preserve"> </w:t>
            </w:r>
            <w:r w:rsidRPr="00BC61ED">
              <w:rPr>
                <w:rFonts w:cs="Courier New"/>
                <w:sz w:val="20"/>
                <w:szCs w:val="20"/>
                <w:lang w:val="hy-AM" w:eastAsia="en-GB"/>
              </w:rPr>
              <w:t>շահագործման</w:t>
            </w:r>
            <w:r w:rsidRPr="00BC61ED">
              <w:rPr>
                <w:rFonts w:cs="Courier New"/>
                <w:sz w:val="20"/>
                <w:szCs w:val="20"/>
                <w:lang w:val="id-ID" w:eastAsia="en-GB"/>
              </w:rPr>
              <w:t xml:space="preserve"> </w:t>
            </w:r>
            <w:r w:rsidRPr="00BC61ED">
              <w:rPr>
                <w:rFonts w:cs="Courier New"/>
                <w:sz w:val="20"/>
                <w:szCs w:val="20"/>
                <w:lang w:val="hy-AM" w:eastAsia="en-GB"/>
              </w:rPr>
              <w:t>ծախսերն</w:t>
            </w:r>
            <w:r w:rsidRPr="00BC61ED">
              <w:rPr>
                <w:rFonts w:cs="Courier New"/>
                <w:sz w:val="20"/>
                <w:szCs w:val="20"/>
                <w:lang w:val="id-ID" w:eastAsia="en-GB"/>
              </w:rPr>
              <w:t xml:space="preserve"> </w:t>
            </w:r>
            <w:r w:rsidRPr="00BC61ED">
              <w:rPr>
                <w:rFonts w:cs="Courier New"/>
                <w:sz w:val="20"/>
                <w:szCs w:val="20"/>
                <w:lang w:val="hy-AM" w:eastAsia="en-GB"/>
              </w:rPr>
              <w:t>իրականացվում</w:t>
            </w:r>
            <w:r w:rsidRPr="00BC61ED">
              <w:rPr>
                <w:rFonts w:cs="Courier New"/>
                <w:sz w:val="20"/>
                <w:szCs w:val="20"/>
                <w:lang w:val="id-ID" w:eastAsia="en-GB"/>
              </w:rPr>
              <w:t xml:space="preserve"> </w:t>
            </w:r>
            <w:r w:rsidRPr="00BC61ED">
              <w:rPr>
                <w:rFonts w:cs="Courier New"/>
                <w:sz w:val="20"/>
                <w:szCs w:val="20"/>
                <w:lang w:val="hy-AM" w:eastAsia="en-GB"/>
              </w:rPr>
              <w:t>են</w:t>
            </w:r>
            <w:r w:rsidRPr="00BC61ED">
              <w:rPr>
                <w:rFonts w:cs="Courier New"/>
                <w:sz w:val="20"/>
                <w:szCs w:val="20"/>
                <w:lang w:val="id-ID" w:eastAsia="en-GB"/>
              </w:rPr>
              <w:t xml:space="preserve"> </w:t>
            </w:r>
            <w:r w:rsidRPr="00BC61ED">
              <w:rPr>
                <w:rFonts w:cs="Courier New"/>
                <w:sz w:val="20"/>
                <w:szCs w:val="20"/>
                <w:lang w:val="hy-AM" w:eastAsia="en-GB"/>
              </w:rPr>
              <w:t>կոմիտեի</w:t>
            </w:r>
            <w:r w:rsidRPr="00BC61ED">
              <w:rPr>
                <w:rFonts w:cs="Courier New"/>
                <w:sz w:val="20"/>
                <w:szCs w:val="20"/>
                <w:lang w:val="id-ID" w:eastAsia="en-GB"/>
              </w:rPr>
              <w:t xml:space="preserve"> </w:t>
            </w:r>
            <w:r w:rsidRPr="00BC61ED">
              <w:rPr>
                <w:rFonts w:cs="Courier New"/>
                <w:sz w:val="20"/>
                <w:szCs w:val="20"/>
                <w:lang w:val="hy-AM" w:eastAsia="en-GB"/>
              </w:rPr>
              <w:t>միջոցների</w:t>
            </w:r>
            <w:r w:rsidRPr="00BC61ED">
              <w:rPr>
                <w:rFonts w:cs="Courier New"/>
                <w:sz w:val="20"/>
                <w:szCs w:val="20"/>
                <w:lang w:val="id-ID" w:eastAsia="en-GB"/>
              </w:rPr>
              <w:t xml:space="preserve"> </w:t>
            </w:r>
            <w:r w:rsidRPr="00BC61ED">
              <w:rPr>
                <w:rFonts w:cs="Courier New"/>
                <w:sz w:val="20"/>
                <w:szCs w:val="20"/>
                <w:lang w:val="hy-AM" w:eastAsia="en-GB"/>
              </w:rPr>
              <w:t>հաշվին,</w:t>
            </w:r>
            <w:r w:rsidRPr="00BC61ED">
              <w:rPr>
                <w:rFonts w:cs="Courier New"/>
                <w:sz w:val="20"/>
                <w:szCs w:val="20"/>
                <w:lang w:val="id-ID" w:eastAsia="en-GB"/>
              </w:rPr>
              <w:t xml:space="preserve"> </w:t>
            </w:r>
            <w:r w:rsidRPr="00BC61ED">
              <w:rPr>
                <w:rFonts w:cs="Courier New"/>
                <w:sz w:val="20"/>
                <w:szCs w:val="20"/>
                <w:lang w:val="hy-AM" w:eastAsia="en-GB"/>
              </w:rPr>
              <w:t>և</w:t>
            </w:r>
            <w:r w:rsidRPr="00BC61ED">
              <w:rPr>
                <w:rFonts w:cs="Courier New"/>
                <w:sz w:val="20"/>
                <w:szCs w:val="20"/>
                <w:lang w:val="id-ID" w:eastAsia="en-GB"/>
              </w:rPr>
              <w:t xml:space="preserve"> </w:t>
            </w:r>
            <w:r w:rsidRPr="00BC61ED">
              <w:rPr>
                <w:rFonts w:cs="Courier New"/>
                <w:sz w:val="20"/>
                <w:szCs w:val="20"/>
                <w:lang w:val="hy-AM" w:eastAsia="en-GB"/>
              </w:rPr>
              <w:t>հաստիքների</w:t>
            </w:r>
            <w:r w:rsidRPr="00BC61ED">
              <w:rPr>
                <w:rFonts w:cs="Courier New"/>
                <w:sz w:val="20"/>
                <w:szCs w:val="20"/>
                <w:lang w:val="id-ID" w:eastAsia="en-GB"/>
              </w:rPr>
              <w:t xml:space="preserve"> </w:t>
            </w:r>
            <w:r w:rsidRPr="00BC61ED">
              <w:rPr>
                <w:rFonts w:cs="Courier New"/>
                <w:sz w:val="20"/>
                <w:szCs w:val="20"/>
                <w:lang w:val="hy-AM" w:eastAsia="en-GB"/>
              </w:rPr>
              <w:t>որոշակի</w:t>
            </w:r>
            <w:r w:rsidRPr="00BC61ED">
              <w:rPr>
                <w:rFonts w:cs="Courier New"/>
                <w:sz w:val="20"/>
                <w:szCs w:val="20"/>
                <w:lang w:val="id-ID" w:eastAsia="en-GB"/>
              </w:rPr>
              <w:t xml:space="preserve"> </w:t>
            </w:r>
            <w:r w:rsidRPr="00BC61ED">
              <w:rPr>
                <w:rFonts w:cs="Courier New"/>
                <w:sz w:val="20"/>
                <w:szCs w:val="20"/>
                <w:lang w:val="hy-AM" w:eastAsia="en-GB"/>
              </w:rPr>
              <w:t>քանակի</w:t>
            </w:r>
            <w:r w:rsidRPr="00BC61ED">
              <w:rPr>
                <w:rFonts w:cs="Courier New"/>
                <w:sz w:val="20"/>
                <w:szCs w:val="20"/>
                <w:lang w:val="id-ID" w:eastAsia="en-GB"/>
              </w:rPr>
              <w:t xml:space="preserve"> </w:t>
            </w:r>
            <w:r w:rsidRPr="00BC61ED">
              <w:rPr>
                <w:rFonts w:cs="Courier New"/>
                <w:sz w:val="20"/>
                <w:szCs w:val="20"/>
                <w:lang w:val="hy-AM" w:eastAsia="en-GB"/>
              </w:rPr>
              <w:t>անհրաժեշտություն</w:t>
            </w:r>
            <w:r w:rsidRPr="00BC61ED">
              <w:rPr>
                <w:rFonts w:cs="Courier New"/>
                <w:sz w:val="20"/>
                <w:szCs w:val="20"/>
                <w:lang w:val="id-ID" w:eastAsia="en-GB"/>
              </w:rPr>
              <w:t xml:space="preserve"> </w:t>
            </w:r>
            <w:r w:rsidRPr="00BC61ED">
              <w:rPr>
                <w:rFonts w:cs="Courier New"/>
                <w:sz w:val="20"/>
                <w:szCs w:val="20"/>
                <w:lang w:val="hy-AM" w:eastAsia="en-GB"/>
              </w:rPr>
              <w:t>է</w:t>
            </w:r>
            <w:r w:rsidRPr="00BC61ED">
              <w:rPr>
                <w:rFonts w:cs="Courier New"/>
                <w:sz w:val="20"/>
                <w:szCs w:val="20"/>
                <w:lang w:val="id-ID" w:eastAsia="en-GB"/>
              </w:rPr>
              <w:t xml:space="preserve"> </w:t>
            </w:r>
            <w:r w:rsidRPr="00BC61ED">
              <w:rPr>
                <w:rFonts w:cs="Courier New"/>
                <w:sz w:val="20"/>
                <w:szCs w:val="20"/>
                <w:lang w:val="hy-AM" w:eastAsia="en-GB"/>
              </w:rPr>
              <w:t>առաջանում</w:t>
            </w:r>
            <w:r w:rsidRPr="00BC61ED">
              <w:rPr>
                <w:rFonts w:cs="Courier New"/>
                <w:sz w:val="20"/>
                <w:szCs w:val="20"/>
                <w:lang w:val="id-ID" w:eastAsia="en-GB"/>
              </w:rPr>
              <w:t>:</w:t>
            </w:r>
            <w:r w:rsidRPr="00BC61ED">
              <w:rPr>
                <w:rFonts w:cs="AK Courier"/>
                <w:sz w:val="20"/>
                <w:szCs w:val="20"/>
                <w:lang w:val="id-ID" w:eastAsia="en-GB"/>
              </w:rPr>
              <w:t xml:space="preserve">  </w:t>
            </w:r>
          </w:p>
          <w:p w:rsidR="0068680D" w:rsidRPr="00BC61ED" w:rsidRDefault="0068680D" w:rsidP="00F47DC4">
            <w:pPr>
              <w:pStyle w:val="ListParagraph"/>
              <w:spacing w:line="276" w:lineRule="auto"/>
              <w:ind w:left="0"/>
              <w:jc w:val="both"/>
              <w:rPr>
                <w:b/>
                <w:sz w:val="20"/>
                <w:szCs w:val="20"/>
                <w:lang w:val="id-ID" w:eastAsia="en-GB"/>
              </w:rPr>
            </w:pPr>
            <w:r w:rsidRPr="00BC61ED">
              <w:rPr>
                <w:b/>
                <w:sz w:val="20"/>
                <w:szCs w:val="20"/>
                <w:lang w:val="hy-AM" w:eastAsia="en-GB"/>
              </w:rPr>
              <w:t xml:space="preserve">   </w:t>
            </w:r>
            <w:r w:rsidRPr="00BC61ED">
              <w:rPr>
                <w:b/>
                <w:sz w:val="20"/>
                <w:szCs w:val="20"/>
                <w:lang w:val="id-ID" w:eastAsia="en-GB"/>
              </w:rPr>
              <w:t>1.2.</w:t>
            </w:r>
            <w:r w:rsidRPr="00BC61ED">
              <w:rPr>
                <w:b/>
                <w:sz w:val="20"/>
                <w:szCs w:val="20"/>
                <w:lang w:val="hy-AM" w:eastAsia="en-GB"/>
              </w:rPr>
              <w:t xml:space="preserve"> Առկա</w:t>
            </w:r>
            <w:r w:rsidRPr="00BC61ED">
              <w:rPr>
                <w:b/>
                <w:sz w:val="20"/>
                <w:szCs w:val="20"/>
                <w:lang w:val="id-ID" w:eastAsia="en-GB"/>
              </w:rPr>
              <w:t xml:space="preserve"> </w:t>
            </w:r>
            <w:r w:rsidRPr="00BC61ED">
              <w:rPr>
                <w:b/>
                <w:sz w:val="20"/>
                <w:szCs w:val="20"/>
                <w:lang w:val="hy-AM" w:eastAsia="en-GB"/>
              </w:rPr>
              <w:t>խնդիրների</w:t>
            </w:r>
            <w:r w:rsidRPr="00BC61ED">
              <w:rPr>
                <w:b/>
                <w:sz w:val="20"/>
                <w:szCs w:val="20"/>
                <w:lang w:val="id-ID" w:eastAsia="en-GB"/>
              </w:rPr>
              <w:t xml:space="preserve"> </w:t>
            </w:r>
            <w:r w:rsidRPr="00BC61ED">
              <w:rPr>
                <w:b/>
                <w:sz w:val="20"/>
                <w:szCs w:val="20"/>
                <w:lang w:val="hy-AM" w:eastAsia="en-GB"/>
              </w:rPr>
              <w:t>առաջարկվող</w:t>
            </w:r>
            <w:r w:rsidRPr="00BC61ED">
              <w:rPr>
                <w:b/>
                <w:sz w:val="20"/>
                <w:szCs w:val="20"/>
                <w:lang w:val="id-ID" w:eastAsia="en-GB"/>
              </w:rPr>
              <w:t xml:space="preserve"> </w:t>
            </w:r>
            <w:r w:rsidRPr="00BC61ED">
              <w:rPr>
                <w:b/>
                <w:sz w:val="20"/>
                <w:szCs w:val="20"/>
                <w:lang w:val="hy-AM" w:eastAsia="en-GB"/>
              </w:rPr>
              <w:t>լուծումները</w:t>
            </w:r>
          </w:p>
          <w:p w:rsidR="0068680D" w:rsidRPr="00BC61ED" w:rsidRDefault="0068680D" w:rsidP="00F47DC4">
            <w:pPr>
              <w:pStyle w:val="ListParagraph"/>
              <w:spacing w:line="276" w:lineRule="auto"/>
              <w:ind w:left="0"/>
              <w:jc w:val="both"/>
              <w:rPr>
                <w:sz w:val="20"/>
                <w:szCs w:val="20"/>
                <w:lang w:val="id-ID" w:eastAsia="en-GB"/>
              </w:rPr>
            </w:pPr>
            <w:r w:rsidRPr="00BC61ED">
              <w:rPr>
                <w:sz w:val="20"/>
                <w:szCs w:val="20"/>
                <w:lang w:val="id-ID" w:eastAsia="en-GB"/>
              </w:rPr>
              <w:t xml:space="preserve">   </w:t>
            </w:r>
            <w:r w:rsidRPr="00BC61ED">
              <w:rPr>
                <w:sz w:val="20"/>
                <w:szCs w:val="20"/>
                <w:lang w:val="hy-AM" w:eastAsia="en-GB"/>
              </w:rPr>
              <w:t>Բարեփոխումների</w:t>
            </w:r>
            <w:r w:rsidRPr="00BC61ED">
              <w:rPr>
                <w:sz w:val="20"/>
                <w:szCs w:val="20"/>
                <w:lang w:val="id-ID" w:eastAsia="en-GB"/>
              </w:rPr>
              <w:t xml:space="preserve"> </w:t>
            </w:r>
            <w:r w:rsidRPr="00BC61ED">
              <w:rPr>
                <w:sz w:val="20"/>
                <w:szCs w:val="20"/>
                <w:lang w:val="hy-AM" w:eastAsia="en-GB"/>
              </w:rPr>
              <w:t>արդյունքում</w:t>
            </w:r>
            <w:r w:rsidRPr="00BC61ED">
              <w:rPr>
                <w:sz w:val="20"/>
                <w:szCs w:val="20"/>
                <w:lang w:val="id-ID" w:eastAsia="en-GB"/>
              </w:rPr>
              <w:t xml:space="preserve"> </w:t>
            </w:r>
            <w:r w:rsidRPr="00BC61ED">
              <w:rPr>
                <w:sz w:val="20"/>
                <w:szCs w:val="20"/>
                <w:lang w:val="hy-AM" w:eastAsia="en-GB"/>
              </w:rPr>
              <w:t>նախատեսվում</w:t>
            </w:r>
            <w:r w:rsidRPr="00BC61ED">
              <w:rPr>
                <w:sz w:val="20"/>
                <w:szCs w:val="20"/>
                <w:lang w:val="id-ID" w:eastAsia="en-GB"/>
              </w:rPr>
              <w:t xml:space="preserve"> </w:t>
            </w:r>
            <w:r w:rsidRPr="00BC61ED">
              <w:rPr>
                <w:sz w:val="20"/>
                <w:szCs w:val="20"/>
                <w:lang w:val="hy-AM" w:eastAsia="en-GB"/>
              </w:rPr>
              <w:t>է</w:t>
            </w:r>
            <w:r w:rsidRPr="00BC61ED">
              <w:rPr>
                <w:sz w:val="20"/>
                <w:szCs w:val="20"/>
                <w:lang w:val="id-ID" w:eastAsia="en-GB"/>
              </w:rPr>
              <w:t xml:space="preserve"> 6 </w:t>
            </w:r>
            <w:r w:rsidRPr="00BC61ED">
              <w:rPr>
                <w:sz w:val="20"/>
                <w:szCs w:val="20"/>
                <w:lang w:val="hy-AM" w:eastAsia="en-GB"/>
              </w:rPr>
              <w:t>ստորաբաժանումների</w:t>
            </w:r>
            <w:r w:rsidRPr="00BC61ED">
              <w:rPr>
                <w:sz w:val="20"/>
                <w:szCs w:val="20"/>
                <w:lang w:val="id-ID" w:eastAsia="en-GB"/>
              </w:rPr>
              <w:t xml:space="preserve"> </w:t>
            </w:r>
            <w:r w:rsidRPr="00BC61ED">
              <w:rPr>
                <w:sz w:val="20"/>
                <w:szCs w:val="20"/>
                <w:lang w:val="hy-AM" w:eastAsia="en-GB"/>
              </w:rPr>
              <w:t>գործառույթները</w:t>
            </w:r>
            <w:r w:rsidRPr="00BC61ED">
              <w:rPr>
                <w:sz w:val="20"/>
                <w:szCs w:val="20"/>
                <w:lang w:val="id-ID" w:eastAsia="en-GB"/>
              </w:rPr>
              <w:t xml:space="preserve"> </w:t>
            </w:r>
            <w:r w:rsidRPr="00BC61ED">
              <w:rPr>
                <w:sz w:val="20"/>
                <w:szCs w:val="20"/>
                <w:lang w:val="hy-AM" w:eastAsia="en-GB"/>
              </w:rPr>
              <w:t>ներառել</w:t>
            </w:r>
            <w:r w:rsidRPr="00BC61ED">
              <w:rPr>
                <w:sz w:val="20"/>
                <w:szCs w:val="20"/>
                <w:lang w:val="id-ID" w:eastAsia="en-GB"/>
              </w:rPr>
              <w:t xml:space="preserve"> </w:t>
            </w:r>
            <w:r w:rsidRPr="00BC61ED">
              <w:rPr>
                <w:sz w:val="20"/>
                <w:szCs w:val="20"/>
                <w:lang w:val="hy-AM" w:eastAsia="en-GB"/>
              </w:rPr>
              <w:t>երեք</w:t>
            </w:r>
            <w:r w:rsidRPr="00BC61ED">
              <w:rPr>
                <w:sz w:val="20"/>
                <w:szCs w:val="20"/>
                <w:lang w:val="id-ID" w:eastAsia="en-GB"/>
              </w:rPr>
              <w:t xml:space="preserve"> </w:t>
            </w:r>
            <w:r w:rsidRPr="00BC61ED">
              <w:rPr>
                <w:sz w:val="20"/>
                <w:szCs w:val="20"/>
                <w:lang w:val="hy-AM" w:eastAsia="en-GB"/>
              </w:rPr>
              <w:t>միասնական</w:t>
            </w:r>
            <w:r w:rsidRPr="00BC61ED">
              <w:rPr>
                <w:sz w:val="20"/>
                <w:szCs w:val="20"/>
                <w:lang w:val="id-ID" w:eastAsia="en-GB"/>
              </w:rPr>
              <w:t xml:space="preserve"> </w:t>
            </w:r>
            <w:r w:rsidRPr="00BC61ED">
              <w:rPr>
                <w:sz w:val="20"/>
                <w:szCs w:val="20"/>
                <w:lang w:val="hy-AM" w:eastAsia="en-GB"/>
              </w:rPr>
              <w:t>ուղղությունների</w:t>
            </w:r>
            <w:r w:rsidRPr="00BC61ED">
              <w:rPr>
                <w:sz w:val="20"/>
                <w:szCs w:val="20"/>
                <w:lang w:val="id-ID" w:eastAsia="en-GB"/>
              </w:rPr>
              <w:t xml:space="preserve"> </w:t>
            </w:r>
            <w:r w:rsidRPr="00BC61ED">
              <w:rPr>
                <w:sz w:val="20"/>
                <w:szCs w:val="20"/>
                <w:lang w:val="hy-AM" w:eastAsia="en-GB"/>
              </w:rPr>
              <w:t>մեջ</w:t>
            </w:r>
            <w:r w:rsidRPr="00BC61ED">
              <w:rPr>
                <w:sz w:val="20"/>
                <w:szCs w:val="20"/>
                <w:lang w:val="id-ID" w:eastAsia="en-GB"/>
              </w:rPr>
              <w:t xml:space="preserve"> </w:t>
            </w:r>
            <w:r w:rsidRPr="00BC61ED">
              <w:rPr>
                <w:sz w:val="20"/>
                <w:szCs w:val="20"/>
                <w:lang w:val="hy-AM" w:eastAsia="en-GB"/>
              </w:rPr>
              <w:t>ու</w:t>
            </w:r>
            <w:r w:rsidRPr="00BC61ED">
              <w:rPr>
                <w:sz w:val="20"/>
                <w:szCs w:val="20"/>
                <w:lang w:val="id-ID" w:eastAsia="en-GB"/>
              </w:rPr>
              <w:t xml:space="preserve"> </w:t>
            </w:r>
            <w:r w:rsidRPr="00BC61ED">
              <w:rPr>
                <w:sz w:val="20"/>
                <w:szCs w:val="20"/>
                <w:lang w:val="hy-AM" w:eastAsia="en-GB"/>
              </w:rPr>
              <w:t>դրանք</w:t>
            </w:r>
            <w:r w:rsidRPr="00BC61ED">
              <w:rPr>
                <w:sz w:val="20"/>
                <w:szCs w:val="20"/>
                <w:lang w:val="id-ID" w:eastAsia="en-GB"/>
              </w:rPr>
              <w:t xml:space="preserve"> </w:t>
            </w:r>
            <w:r w:rsidRPr="00BC61ED">
              <w:rPr>
                <w:sz w:val="20"/>
                <w:szCs w:val="20"/>
                <w:lang w:val="hy-AM" w:eastAsia="en-GB"/>
              </w:rPr>
              <w:t>տեղակայման</w:t>
            </w:r>
            <w:r w:rsidRPr="00BC61ED">
              <w:rPr>
                <w:sz w:val="20"/>
                <w:szCs w:val="20"/>
                <w:lang w:val="id-ID" w:eastAsia="en-GB"/>
              </w:rPr>
              <w:t xml:space="preserve"> </w:t>
            </w:r>
            <w:r w:rsidRPr="00BC61ED">
              <w:rPr>
                <w:sz w:val="20"/>
                <w:szCs w:val="20"/>
                <w:lang w:val="hy-AM" w:eastAsia="en-GB"/>
              </w:rPr>
              <w:t>առումով</w:t>
            </w:r>
            <w:r w:rsidRPr="00BC61ED">
              <w:rPr>
                <w:sz w:val="20"/>
                <w:szCs w:val="20"/>
                <w:lang w:val="id-ID" w:eastAsia="en-GB"/>
              </w:rPr>
              <w:t xml:space="preserve"> </w:t>
            </w:r>
            <w:r w:rsidRPr="00BC61ED">
              <w:rPr>
                <w:sz w:val="20"/>
                <w:szCs w:val="20"/>
                <w:lang w:val="hy-AM" w:eastAsia="en-GB"/>
              </w:rPr>
              <w:t>տարանջատել</w:t>
            </w:r>
            <w:r w:rsidRPr="00BC61ED">
              <w:rPr>
                <w:sz w:val="20"/>
                <w:szCs w:val="20"/>
                <w:lang w:val="id-ID" w:eastAsia="en-GB"/>
              </w:rPr>
              <w:t xml:space="preserve"> </w:t>
            </w:r>
            <w:r w:rsidRPr="00BC61ED">
              <w:rPr>
                <w:sz w:val="20"/>
                <w:szCs w:val="20"/>
                <w:lang w:val="hy-AM" w:eastAsia="en-GB"/>
              </w:rPr>
              <w:t>միմյանցից</w:t>
            </w:r>
            <w:r w:rsidRPr="00BC61ED">
              <w:rPr>
                <w:sz w:val="20"/>
                <w:szCs w:val="20"/>
                <w:lang w:val="id-ID" w:eastAsia="en-GB"/>
              </w:rPr>
              <w:t xml:space="preserve">, </w:t>
            </w:r>
            <w:r w:rsidRPr="00BC61ED">
              <w:rPr>
                <w:sz w:val="20"/>
                <w:szCs w:val="20"/>
                <w:lang w:val="hy-AM" w:eastAsia="en-GB"/>
              </w:rPr>
              <w:t>իսկ</w:t>
            </w:r>
            <w:r w:rsidRPr="00BC61ED">
              <w:rPr>
                <w:sz w:val="20"/>
                <w:szCs w:val="20"/>
                <w:lang w:val="id-ID" w:eastAsia="en-GB"/>
              </w:rPr>
              <w:t xml:space="preserve"> </w:t>
            </w:r>
            <w:r w:rsidRPr="00BC61ED">
              <w:rPr>
                <w:sz w:val="20"/>
                <w:szCs w:val="20"/>
                <w:lang w:val="hy-AM" w:eastAsia="en-GB"/>
              </w:rPr>
              <w:t>մարզերի</w:t>
            </w:r>
            <w:r w:rsidRPr="00BC61ED">
              <w:rPr>
                <w:sz w:val="20"/>
                <w:szCs w:val="20"/>
                <w:lang w:val="id-ID" w:eastAsia="en-GB"/>
              </w:rPr>
              <w:t xml:space="preserve"> </w:t>
            </w:r>
            <w:r w:rsidRPr="00BC61ED">
              <w:rPr>
                <w:sz w:val="20"/>
                <w:szCs w:val="20"/>
                <w:lang w:val="hy-AM" w:eastAsia="en-GB"/>
              </w:rPr>
              <w:t>տարբեր</w:t>
            </w:r>
            <w:r w:rsidRPr="00BC61ED">
              <w:rPr>
                <w:sz w:val="20"/>
                <w:szCs w:val="20"/>
                <w:lang w:val="id-ID" w:eastAsia="en-GB"/>
              </w:rPr>
              <w:t xml:space="preserve"> </w:t>
            </w:r>
            <w:r w:rsidRPr="00BC61ED">
              <w:rPr>
                <w:sz w:val="20"/>
                <w:szCs w:val="20"/>
                <w:lang w:val="hy-AM" w:eastAsia="en-GB"/>
              </w:rPr>
              <w:t>համայնքներում</w:t>
            </w:r>
            <w:r w:rsidRPr="00BC61ED">
              <w:rPr>
                <w:sz w:val="20"/>
                <w:szCs w:val="20"/>
                <w:lang w:val="id-ID" w:eastAsia="en-GB"/>
              </w:rPr>
              <w:t xml:space="preserve"> </w:t>
            </w:r>
            <w:r w:rsidRPr="00BC61ED">
              <w:rPr>
                <w:sz w:val="20"/>
                <w:szCs w:val="20"/>
                <w:lang w:val="hy-AM" w:eastAsia="en-GB"/>
              </w:rPr>
              <w:t>գործող</w:t>
            </w:r>
            <w:r w:rsidRPr="00BC61ED">
              <w:rPr>
                <w:sz w:val="20"/>
                <w:szCs w:val="20"/>
                <w:lang w:val="id-ID" w:eastAsia="en-GB"/>
              </w:rPr>
              <w:t xml:space="preserve"> </w:t>
            </w:r>
            <w:r w:rsidRPr="00BC61ED">
              <w:rPr>
                <w:sz w:val="20"/>
                <w:szCs w:val="20"/>
                <w:lang w:val="hy-AM" w:eastAsia="en-GB"/>
              </w:rPr>
              <w:t>սպասարկման</w:t>
            </w:r>
            <w:r w:rsidRPr="00BC61ED">
              <w:rPr>
                <w:sz w:val="20"/>
                <w:szCs w:val="20"/>
                <w:lang w:val="id-ID" w:eastAsia="en-GB"/>
              </w:rPr>
              <w:t xml:space="preserve"> </w:t>
            </w:r>
            <w:r w:rsidRPr="00BC61ED">
              <w:rPr>
                <w:sz w:val="20"/>
                <w:szCs w:val="20"/>
                <w:lang w:val="hy-AM" w:eastAsia="en-GB"/>
              </w:rPr>
              <w:t>գրասենյակները</w:t>
            </w:r>
            <w:r w:rsidRPr="00BC61ED">
              <w:rPr>
                <w:sz w:val="20"/>
                <w:szCs w:val="20"/>
                <w:lang w:val="id-ID" w:eastAsia="en-GB"/>
              </w:rPr>
              <w:t xml:space="preserve"> </w:t>
            </w:r>
            <w:r w:rsidRPr="00BC61ED">
              <w:rPr>
                <w:sz w:val="20"/>
                <w:szCs w:val="20"/>
                <w:lang w:val="hy-AM" w:eastAsia="en-GB"/>
              </w:rPr>
              <w:t>վերակազմակերպել</w:t>
            </w:r>
            <w:r w:rsidRPr="00BC61ED">
              <w:rPr>
                <w:sz w:val="20"/>
                <w:szCs w:val="20"/>
                <w:lang w:val="id-ID" w:eastAsia="en-GB"/>
              </w:rPr>
              <w:t xml:space="preserve"> </w:t>
            </w:r>
            <w:r w:rsidRPr="00BC61ED">
              <w:rPr>
                <w:sz w:val="20"/>
                <w:szCs w:val="20"/>
                <w:lang w:val="hy-AM" w:eastAsia="en-GB"/>
              </w:rPr>
              <w:t>մարզային</w:t>
            </w:r>
            <w:r w:rsidRPr="00BC61ED">
              <w:rPr>
                <w:sz w:val="20"/>
                <w:szCs w:val="20"/>
                <w:lang w:val="id-ID" w:eastAsia="en-GB"/>
              </w:rPr>
              <w:t xml:space="preserve"> </w:t>
            </w:r>
            <w:r w:rsidRPr="00BC61ED">
              <w:rPr>
                <w:sz w:val="20"/>
                <w:szCs w:val="20"/>
                <w:lang w:val="hy-AM" w:eastAsia="en-GB"/>
              </w:rPr>
              <w:t>կառուցվածքների</w:t>
            </w:r>
            <w:r w:rsidRPr="00BC61ED">
              <w:rPr>
                <w:sz w:val="20"/>
                <w:szCs w:val="20"/>
                <w:lang w:val="id-ID" w:eastAsia="en-GB"/>
              </w:rPr>
              <w:t xml:space="preserve">` </w:t>
            </w:r>
            <w:r w:rsidRPr="00BC61ED">
              <w:rPr>
                <w:sz w:val="20"/>
                <w:szCs w:val="20"/>
                <w:lang w:val="hy-AM" w:eastAsia="en-GB"/>
              </w:rPr>
              <w:t>միաժամանակ</w:t>
            </w:r>
            <w:r w:rsidRPr="00BC61ED">
              <w:rPr>
                <w:sz w:val="20"/>
                <w:szCs w:val="20"/>
                <w:lang w:val="id-ID" w:eastAsia="en-GB"/>
              </w:rPr>
              <w:t xml:space="preserve"> </w:t>
            </w:r>
            <w:r w:rsidRPr="00BC61ED">
              <w:rPr>
                <w:sz w:val="20"/>
                <w:szCs w:val="20"/>
                <w:lang w:val="hy-AM" w:eastAsia="en-GB"/>
              </w:rPr>
              <w:t>աջակցելով</w:t>
            </w:r>
            <w:r w:rsidRPr="00BC61ED">
              <w:rPr>
                <w:sz w:val="20"/>
                <w:szCs w:val="20"/>
                <w:lang w:val="id-ID" w:eastAsia="en-GB"/>
              </w:rPr>
              <w:t xml:space="preserve"> </w:t>
            </w:r>
            <w:r w:rsidRPr="00BC61ED">
              <w:rPr>
                <w:sz w:val="20"/>
                <w:szCs w:val="20"/>
                <w:lang w:val="hy-AM" w:eastAsia="en-GB"/>
              </w:rPr>
              <w:t>այլ</w:t>
            </w:r>
            <w:r w:rsidRPr="00BC61ED">
              <w:rPr>
                <w:sz w:val="20"/>
                <w:szCs w:val="20"/>
                <w:lang w:val="id-ID" w:eastAsia="en-GB"/>
              </w:rPr>
              <w:t xml:space="preserve"> </w:t>
            </w:r>
            <w:r w:rsidRPr="00BC61ED">
              <w:rPr>
                <w:sz w:val="20"/>
                <w:szCs w:val="20"/>
                <w:lang w:val="hy-AM" w:eastAsia="en-GB"/>
              </w:rPr>
              <w:t>կառույցների</w:t>
            </w:r>
            <w:r w:rsidRPr="00BC61ED">
              <w:rPr>
                <w:sz w:val="20"/>
                <w:szCs w:val="20"/>
                <w:lang w:val="id-ID" w:eastAsia="en-GB"/>
              </w:rPr>
              <w:t xml:space="preserve"> </w:t>
            </w:r>
            <w:r w:rsidRPr="00BC61ED">
              <w:rPr>
                <w:sz w:val="20"/>
                <w:szCs w:val="20"/>
                <w:lang w:val="hy-AM" w:eastAsia="en-GB"/>
              </w:rPr>
              <w:t>կողմից</w:t>
            </w:r>
            <w:r w:rsidRPr="00BC61ED">
              <w:rPr>
                <w:sz w:val="20"/>
                <w:szCs w:val="20"/>
                <w:lang w:val="id-ID" w:eastAsia="en-GB"/>
              </w:rPr>
              <w:t xml:space="preserve"> (</w:t>
            </w:r>
            <w:r w:rsidRPr="00BC61ED">
              <w:rPr>
                <w:sz w:val="20"/>
                <w:szCs w:val="20"/>
                <w:lang w:val="hy-AM" w:eastAsia="en-GB"/>
              </w:rPr>
              <w:t>նոտար</w:t>
            </w:r>
            <w:r w:rsidRPr="00BC61ED">
              <w:rPr>
                <w:sz w:val="20"/>
                <w:szCs w:val="20"/>
                <w:lang w:val="id-ID" w:eastAsia="en-GB"/>
              </w:rPr>
              <w:t xml:space="preserve">, </w:t>
            </w:r>
            <w:r w:rsidRPr="00BC61ED">
              <w:rPr>
                <w:sz w:val="20"/>
                <w:szCs w:val="20"/>
                <w:lang w:val="hy-AM" w:eastAsia="en-GB"/>
              </w:rPr>
              <w:t>բանկեր</w:t>
            </w:r>
            <w:r w:rsidRPr="00BC61ED">
              <w:rPr>
                <w:sz w:val="20"/>
                <w:szCs w:val="20"/>
                <w:lang w:val="id-ID" w:eastAsia="en-GB"/>
              </w:rPr>
              <w:t xml:space="preserve"> </w:t>
            </w:r>
            <w:r w:rsidRPr="00BC61ED">
              <w:rPr>
                <w:sz w:val="20"/>
                <w:szCs w:val="20"/>
                <w:lang w:val="hy-AM" w:eastAsia="en-GB"/>
              </w:rPr>
              <w:t>և</w:t>
            </w:r>
            <w:r w:rsidRPr="00BC61ED">
              <w:rPr>
                <w:sz w:val="20"/>
                <w:szCs w:val="20"/>
                <w:lang w:val="id-ID" w:eastAsia="en-GB"/>
              </w:rPr>
              <w:t xml:space="preserve"> </w:t>
            </w:r>
            <w:r w:rsidRPr="00BC61ED">
              <w:rPr>
                <w:sz w:val="20"/>
                <w:szCs w:val="20"/>
                <w:lang w:val="hy-AM" w:eastAsia="en-GB"/>
              </w:rPr>
              <w:t>այլն</w:t>
            </w:r>
            <w:r w:rsidRPr="00BC61ED">
              <w:rPr>
                <w:sz w:val="20"/>
                <w:szCs w:val="20"/>
                <w:lang w:val="id-ID" w:eastAsia="en-GB"/>
              </w:rPr>
              <w:t xml:space="preserve">) </w:t>
            </w:r>
            <w:r w:rsidRPr="00BC61ED">
              <w:rPr>
                <w:sz w:val="20"/>
                <w:szCs w:val="20"/>
                <w:lang w:val="hy-AM" w:eastAsia="en-GB"/>
              </w:rPr>
              <w:t>նշված</w:t>
            </w:r>
            <w:r w:rsidRPr="00BC61ED">
              <w:rPr>
                <w:sz w:val="20"/>
                <w:szCs w:val="20"/>
                <w:lang w:val="id-ID" w:eastAsia="en-GB"/>
              </w:rPr>
              <w:t xml:space="preserve"> </w:t>
            </w:r>
            <w:r w:rsidRPr="00BC61ED">
              <w:rPr>
                <w:sz w:val="20"/>
                <w:szCs w:val="20"/>
                <w:lang w:val="hy-AM" w:eastAsia="en-GB"/>
              </w:rPr>
              <w:t>գրասենյակների</w:t>
            </w:r>
            <w:r w:rsidRPr="00BC61ED">
              <w:rPr>
                <w:sz w:val="20"/>
                <w:szCs w:val="20"/>
                <w:lang w:val="id-ID" w:eastAsia="en-GB"/>
              </w:rPr>
              <w:t xml:space="preserve"> </w:t>
            </w:r>
            <w:r w:rsidRPr="00BC61ED">
              <w:rPr>
                <w:sz w:val="20"/>
                <w:szCs w:val="20"/>
                <w:lang w:val="hy-AM" w:eastAsia="en-GB"/>
              </w:rPr>
              <w:t>գործառույթների</w:t>
            </w:r>
            <w:r w:rsidRPr="00BC61ED">
              <w:rPr>
                <w:sz w:val="20"/>
                <w:szCs w:val="20"/>
                <w:lang w:val="id-ID" w:eastAsia="en-GB"/>
              </w:rPr>
              <w:t xml:space="preserve"> </w:t>
            </w:r>
            <w:r w:rsidRPr="00BC61ED">
              <w:rPr>
                <w:sz w:val="20"/>
                <w:szCs w:val="20"/>
                <w:lang w:val="hy-AM" w:eastAsia="en-GB"/>
              </w:rPr>
              <w:t>իրականացմանը</w:t>
            </w:r>
            <w:r w:rsidRPr="00BC61ED">
              <w:rPr>
                <w:sz w:val="20"/>
                <w:szCs w:val="20"/>
                <w:lang w:val="id-ID" w:eastAsia="en-GB"/>
              </w:rPr>
              <w:t xml:space="preserve">: </w:t>
            </w:r>
          </w:p>
          <w:p w:rsidR="0068680D" w:rsidRPr="00BC61ED" w:rsidRDefault="0068680D" w:rsidP="00F47DC4">
            <w:pPr>
              <w:pStyle w:val="ListParagraph"/>
              <w:spacing w:line="276" w:lineRule="auto"/>
              <w:ind w:left="0"/>
              <w:jc w:val="both"/>
              <w:rPr>
                <w:b/>
                <w:sz w:val="20"/>
                <w:szCs w:val="20"/>
                <w:lang w:val="hy-AM" w:eastAsia="en-GB"/>
              </w:rPr>
            </w:pPr>
            <w:r w:rsidRPr="00BC61ED">
              <w:rPr>
                <w:sz w:val="20"/>
                <w:szCs w:val="20"/>
                <w:lang w:val="hy-AM" w:eastAsia="en-GB"/>
              </w:rPr>
              <w:t xml:space="preserve">   </w:t>
            </w:r>
            <w:r w:rsidRPr="00BC61ED">
              <w:rPr>
                <w:b/>
                <w:sz w:val="20"/>
                <w:szCs w:val="20"/>
                <w:lang w:val="hy-AM" w:eastAsia="en-GB"/>
              </w:rPr>
              <w:t>Կիրականացվեն հետևյալ միջոցառումները՝</w:t>
            </w:r>
          </w:p>
          <w:p w:rsidR="0068680D" w:rsidRPr="00BC61ED" w:rsidRDefault="0068680D" w:rsidP="00F47DC4">
            <w:pPr>
              <w:pStyle w:val="ListParagraph"/>
              <w:spacing w:line="276" w:lineRule="auto"/>
              <w:ind w:left="0"/>
              <w:jc w:val="both"/>
              <w:rPr>
                <w:rFonts w:cs="Sylfaen"/>
                <w:sz w:val="20"/>
                <w:szCs w:val="20"/>
                <w:lang w:val="hy-AM" w:eastAsia="ru-RU"/>
              </w:rPr>
            </w:pPr>
            <w:r w:rsidRPr="00BC61ED">
              <w:rPr>
                <w:sz w:val="20"/>
                <w:szCs w:val="20"/>
                <w:lang w:val="hy-AM" w:eastAsia="en-GB"/>
              </w:rPr>
              <w:t xml:space="preserve">   </w:t>
            </w:r>
            <w:r w:rsidRPr="00BC61ED">
              <w:rPr>
                <w:rFonts w:cs="Sylfaen"/>
                <w:sz w:val="20"/>
                <w:szCs w:val="20"/>
                <w:lang w:val="hy-AM" w:eastAsia="ru-RU"/>
              </w:rPr>
              <w:t>1. Տարածքային ստորաբաժանումների փոխարեն գործառնական ստորաբաժանումների ստեղծում, մասնավորապես անշարժ գույքի գրանցման միասնական ստորաբաժանման ստեղծում,</w:t>
            </w:r>
          </w:p>
          <w:p w:rsidR="0068680D" w:rsidRPr="00BC61ED" w:rsidRDefault="0068680D" w:rsidP="00F47DC4">
            <w:pPr>
              <w:spacing w:line="276" w:lineRule="auto"/>
              <w:jc w:val="both"/>
              <w:rPr>
                <w:rFonts w:cs="Sylfaen"/>
                <w:sz w:val="20"/>
                <w:szCs w:val="20"/>
                <w:lang w:val="hy-AM"/>
              </w:rPr>
            </w:pPr>
            <w:r w:rsidRPr="00BC61ED">
              <w:rPr>
                <w:rFonts w:cs="Sylfaen"/>
                <w:sz w:val="20"/>
                <w:szCs w:val="20"/>
                <w:lang w:val="hy-AM"/>
              </w:rPr>
              <w:t xml:space="preserve">   2. Տարածական տվյալների կառավարման ստորաբաժանման ստեղծում, </w:t>
            </w:r>
          </w:p>
          <w:p w:rsidR="0068680D" w:rsidRPr="00BC61ED" w:rsidRDefault="0068680D" w:rsidP="00F47DC4">
            <w:pPr>
              <w:spacing w:line="276" w:lineRule="auto"/>
              <w:jc w:val="both"/>
              <w:rPr>
                <w:rFonts w:cs="Sylfaen"/>
                <w:sz w:val="20"/>
                <w:szCs w:val="20"/>
                <w:lang w:val="hy-AM"/>
              </w:rPr>
            </w:pPr>
            <w:r w:rsidRPr="00BC61ED">
              <w:rPr>
                <w:rFonts w:cs="Sylfaen"/>
                <w:sz w:val="20"/>
                <w:szCs w:val="20"/>
                <w:lang w:val="hy-AM"/>
              </w:rPr>
              <w:t xml:space="preserve">   3. Կադաստրային գործերի (արխիվի)  համար նախատեսված նոր ստորաբաժանման ամբողջական արխիվային շենքի կառուցում և շահագործում, </w:t>
            </w:r>
          </w:p>
          <w:p w:rsidR="0068680D" w:rsidRPr="00BC61ED" w:rsidRDefault="0068680D" w:rsidP="00F47DC4">
            <w:pPr>
              <w:spacing w:line="276" w:lineRule="auto"/>
              <w:jc w:val="both"/>
              <w:rPr>
                <w:rFonts w:cs="Sylfaen"/>
                <w:sz w:val="20"/>
                <w:szCs w:val="20"/>
                <w:lang w:val="hy-AM"/>
              </w:rPr>
            </w:pPr>
            <w:r w:rsidRPr="00BC61ED">
              <w:rPr>
                <w:rFonts w:cs="Sylfaen"/>
                <w:sz w:val="20"/>
                <w:szCs w:val="20"/>
                <w:lang w:val="hy-AM"/>
              </w:rPr>
              <w:t xml:space="preserve">   4.  Կադաստրային քարտեզների ուղղման հանձնաժողովի ստեղծում,</w:t>
            </w:r>
          </w:p>
          <w:p w:rsidR="0068680D" w:rsidRPr="00BC61ED" w:rsidRDefault="0068680D" w:rsidP="00F47DC4">
            <w:pPr>
              <w:spacing w:line="276" w:lineRule="auto"/>
              <w:jc w:val="both"/>
              <w:rPr>
                <w:rFonts w:cs="Sylfaen"/>
                <w:sz w:val="20"/>
                <w:szCs w:val="20"/>
                <w:lang w:val="hy-AM"/>
              </w:rPr>
            </w:pPr>
            <w:r w:rsidRPr="00BC61ED">
              <w:rPr>
                <w:rFonts w:cs="Sylfaen"/>
                <w:sz w:val="20"/>
                <w:szCs w:val="20"/>
                <w:lang w:val="hy-AM"/>
              </w:rPr>
              <w:t xml:space="preserve">   5. Առկա և նախատեսվող ծանրաբեռնվածությունների հիման վրա սպասարկման գրասենյակների ցանցի վերանայում, վերադասավորում:</w:t>
            </w:r>
          </w:p>
          <w:p w:rsidR="0068680D" w:rsidRPr="00BC61ED" w:rsidRDefault="0068680D" w:rsidP="00F47DC4">
            <w:pPr>
              <w:pStyle w:val="ListParagraph"/>
              <w:spacing w:line="276" w:lineRule="auto"/>
              <w:ind w:left="0"/>
              <w:jc w:val="both"/>
              <w:rPr>
                <w:b/>
                <w:sz w:val="20"/>
                <w:szCs w:val="20"/>
                <w:lang w:val="id-ID" w:eastAsia="en-GB"/>
              </w:rPr>
            </w:pPr>
            <w:r w:rsidRPr="00BC61ED">
              <w:rPr>
                <w:b/>
                <w:sz w:val="20"/>
                <w:szCs w:val="20"/>
                <w:lang w:val="hy-AM" w:eastAsia="en-GB"/>
              </w:rPr>
              <w:t xml:space="preserve">   2</w:t>
            </w:r>
            <w:r w:rsidRPr="00BC61ED">
              <w:rPr>
                <w:b/>
                <w:sz w:val="20"/>
                <w:szCs w:val="20"/>
                <w:lang w:val="id-ID" w:eastAsia="en-GB"/>
              </w:rPr>
              <w:t xml:space="preserve">. </w:t>
            </w:r>
            <w:r w:rsidRPr="00BC61ED">
              <w:rPr>
                <w:b/>
                <w:sz w:val="20"/>
                <w:szCs w:val="20"/>
                <w:lang w:val="hy-AM" w:eastAsia="en-GB"/>
              </w:rPr>
              <w:t>Միջոցառման</w:t>
            </w:r>
            <w:r w:rsidRPr="00BC61ED">
              <w:rPr>
                <w:b/>
                <w:sz w:val="20"/>
                <w:szCs w:val="20"/>
                <w:lang w:val="id-ID" w:eastAsia="en-GB"/>
              </w:rPr>
              <w:t xml:space="preserve"> </w:t>
            </w:r>
            <w:r w:rsidRPr="00BC61ED">
              <w:rPr>
                <w:b/>
                <w:sz w:val="20"/>
                <w:szCs w:val="20"/>
                <w:lang w:val="hy-AM" w:eastAsia="en-GB"/>
              </w:rPr>
              <w:t>իրականացումից</w:t>
            </w:r>
            <w:r w:rsidRPr="00BC61ED">
              <w:rPr>
                <w:b/>
                <w:sz w:val="20"/>
                <w:szCs w:val="20"/>
                <w:lang w:val="id-ID" w:eastAsia="en-GB"/>
              </w:rPr>
              <w:t xml:space="preserve"> </w:t>
            </w:r>
            <w:r w:rsidRPr="00BC61ED">
              <w:rPr>
                <w:b/>
                <w:sz w:val="20"/>
                <w:szCs w:val="20"/>
                <w:lang w:val="hy-AM" w:eastAsia="en-GB"/>
              </w:rPr>
              <w:t>ակնկալվող</w:t>
            </w:r>
            <w:r w:rsidRPr="00BC61ED">
              <w:rPr>
                <w:b/>
                <w:sz w:val="20"/>
                <w:szCs w:val="20"/>
                <w:lang w:val="id-ID" w:eastAsia="en-GB"/>
              </w:rPr>
              <w:t xml:space="preserve"> </w:t>
            </w:r>
            <w:r w:rsidRPr="00BC61ED">
              <w:rPr>
                <w:b/>
                <w:sz w:val="20"/>
                <w:szCs w:val="20"/>
                <w:lang w:val="hy-AM" w:eastAsia="en-GB"/>
              </w:rPr>
              <w:t>արդյունքը</w:t>
            </w:r>
          </w:p>
          <w:p w:rsidR="0068680D" w:rsidRPr="00BC61ED" w:rsidRDefault="0068680D" w:rsidP="00F47DC4">
            <w:pPr>
              <w:pStyle w:val="ListParagraph"/>
              <w:spacing w:line="276" w:lineRule="auto"/>
              <w:ind w:left="0"/>
              <w:jc w:val="both"/>
              <w:rPr>
                <w:sz w:val="20"/>
                <w:szCs w:val="20"/>
                <w:lang w:val="id-ID" w:eastAsia="en-GB"/>
              </w:rPr>
            </w:pPr>
            <w:r w:rsidRPr="00BC61ED">
              <w:rPr>
                <w:sz w:val="20"/>
                <w:szCs w:val="20"/>
                <w:lang w:val="id-ID" w:eastAsia="en-GB"/>
              </w:rPr>
              <w:t xml:space="preserve">   </w:t>
            </w:r>
            <w:r w:rsidRPr="00BC61ED">
              <w:rPr>
                <w:sz w:val="20"/>
                <w:szCs w:val="20"/>
                <w:lang w:val="hy-AM" w:eastAsia="en-GB"/>
              </w:rPr>
              <w:t>Կոմիտեի</w:t>
            </w:r>
            <w:r w:rsidRPr="00BC61ED">
              <w:rPr>
                <w:sz w:val="20"/>
                <w:szCs w:val="20"/>
                <w:lang w:val="id-ID" w:eastAsia="en-GB"/>
              </w:rPr>
              <w:t xml:space="preserve"> </w:t>
            </w:r>
            <w:r w:rsidRPr="00BC61ED">
              <w:rPr>
                <w:sz w:val="20"/>
                <w:szCs w:val="20"/>
                <w:lang w:val="hy-AM" w:eastAsia="en-GB"/>
              </w:rPr>
              <w:t>համակարգում</w:t>
            </w:r>
            <w:r w:rsidRPr="00BC61ED">
              <w:rPr>
                <w:sz w:val="20"/>
                <w:szCs w:val="20"/>
                <w:lang w:val="id-ID" w:eastAsia="en-GB"/>
              </w:rPr>
              <w:t xml:space="preserve"> </w:t>
            </w:r>
            <w:r w:rsidRPr="00BC61ED">
              <w:rPr>
                <w:sz w:val="20"/>
                <w:szCs w:val="20"/>
                <w:lang w:val="hy-AM" w:eastAsia="en-GB"/>
              </w:rPr>
              <w:t>գործող</w:t>
            </w:r>
            <w:r w:rsidRPr="00BC61ED">
              <w:rPr>
                <w:sz w:val="20"/>
                <w:szCs w:val="20"/>
                <w:lang w:val="id-ID" w:eastAsia="en-GB"/>
              </w:rPr>
              <w:t xml:space="preserve"> </w:t>
            </w:r>
            <w:r w:rsidRPr="00BC61ED">
              <w:rPr>
                <w:sz w:val="20"/>
                <w:szCs w:val="20"/>
                <w:lang w:val="hy-AM" w:eastAsia="en-GB"/>
              </w:rPr>
              <w:t>տարածքային</w:t>
            </w:r>
            <w:r w:rsidRPr="00BC61ED">
              <w:rPr>
                <w:sz w:val="20"/>
                <w:szCs w:val="20"/>
                <w:lang w:val="id-ID" w:eastAsia="en-GB"/>
              </w:rPr>
              <w:t xml:space="preserve"> </w:t>
            </w:r>
            <w:r w:rsidRPr="00BC61ED">
              <w:rPr>
                <w:sz w:val="20"/>
                <w:szCs w:val="20"/>
                <w:lang w:val="hy-AM" w:eastAsia="en-GB"/>
              </w:rPr>
              <w:t>մարմինների</w:t>
            </w:r>
            <w:r w:rsidRPr="00BC61ED">
              <w:rPr>
                <w:sz w:val="20"/>
                <w:szCs w:val="20"/>
                <w:lang w:val="id-ID" w:eastAsia="en-GB"/>
              </w:rPr>
              <w:t xml:space="preserve"> </w:t>
            </w:r>
            <w:r w:rsidRPr="00BC61ED">
              <w:rPr>
                <w:sz w:val="20"/>
                <w:szCs w:val="20"/>
                <w:lang w:val="hy-AM" w:eastAsia="en-GB"/>
              </w:rPr>
              <w:t>գործառույթների</w:t>
            </w:r>
            <w:r w:rsidRPr="00BC61ED">
              <w:rPr>
                <w:sz w:val="20"/>
                <w:szCs w:val="20"/>
                <w:lang w:val="id-ID" w:eastAsia="en-GB"/>
              </w:rPr>
              <w:t xml:space="preserve"> </w:t>
            </w:r>
            <w:r w:rsidRPr="00BC61ED">
              <w:rPr>
                <w:sz w:val="20"/>
                <w:szCs w:val="20"/>
                <w:lang w:val="hy-AM" w:eastAsia="en-GB"/>
              </w:rPr>
              <w:t>վերափոխում</w:t>
            </w:r>
            <w:r w:rsidRPr="00BC61ED">
              <w:rPr>
                <w:sz w:val="20"/>
                <w:szCs w:val="20"/>
                <w:lang w:val="id-ID" w:eastAsia="en-GB"/>
              </w:rPr>
              <w:t xml:space="preserve">, </w:t>
            </w:r>
            <w:r w:rsidRPr="00BC61ED">
              <w:rPr>
                <w:sz w:val="20"/>
                <w:szCs w:val="20"/>
                <w:lang w:val="hy-AM" w:eastAsia="en-GB"/>
              </w:rPr>
              <w:t>օպտիմալացում</w:t>
            </w:r>
            <w:r w:rsidRPr="00BC61ED">
              <w:rPr>
                <w:sz w:val="20"/>
                <w:szCs w:val="20"/>
                <w:lang w:val="id-ID" w:eastAsia="en-GB"/>
              </w:rPr>
              <w:t xml:space="preserve">, </w:t>
            </w:r>
            <w:r w:rsidRPr="00BC61ED">
              <w:rPr>
                <w:sz w:val="20"/>
                <w:szCs w:val="20"/>
                <w:lang w:val="hy-AM" w:eastAsia="en-GB"/>
              </w:rPr>
              <w:t>ռեսուրսների</w:t>
            </w:r>
            <w:r w:rsidRPr="00BC61ED">
              <w:rPr>
                <w:sz w:val="20"/>
                <w:szCs w:val="20"/>
                <w:lang w:val="id-ID" w:eastAsia="en-GB"/>
              </w:rPr>
              <w:t xml:space="preserve"> </w:t>
            </w:r>
            <w:r w:rsidRPr="00BC61ED">
              <w:rPr>
                <w:sz w:val="20"/>
                <w:szCs w:val="20"/>
                <w:lang w:val="hy-AM" w:eastAsia="en-GB"/>
              </w:rPr>
              <w:t>կառավարման</w:t>
            </w:r>
            <w:r w:rsidRPr="00BC61ED">
              <w:rPr>
                <w:sz w:val="20"/>
                <w:szCs w:val="20"/>
                <w:lang w:val="id-ID" w:eastAsia="en-GB"/>
              </w:rPr>
              <w:t xml:space="preserve"> </w:t>
            </w:r>
            <w:r w:rsidRPr="00BC61ED">
              <w:rPr>
                <w:sz w:val="20"/>
                <w:szCs w:val="20"/>
                <w:lang w:val="hy-AM" w:eastAsia="en-GB"/>
              </w:rPr>
              <w:t>արդյունավետության</w:t>
            </w:r>
            <w:r w:rsidRPr="00BC61ED">
              <w:rPr>
                <w:sz w:val="20"/>
                <w:szCs w:val="20"/>
                <w:lang w:val="id-ID" w:eastAsia="en-GB"/>
              </w:rPr>
              <w:t xml:space="preserve"> </w:t>
            </w:r>
            <w:r w:rsidRPr="00BC61ED">
              <w:rPr>
                <w:sz w:val="20"/>
                <w:szCs w:val="20"/>
                <w:lang w:val="hy-AM" w:eastAsia="en-GB"/>
              </w:rPr>
              <w:t>բարձրացում</w:t>
            </w:r>
            <w:r w:rsidRPr="00BC61ED">
              <w:rPr>
                <w:sz w:val="20"/>
                <w:szCs w:val="20"/>
                <w:lang w:val="id-ID" w:eastAsia="en-GB"/>
              </w:rPr>
              <w:t xml:space="preserve">, </w:t>
            </w:r>
            <w:r w:rsidRPr="00BC61ED">
              <w:rPr>
                <w:sz w:val="20"/>
                <w:szCs w:val="20"/>
                <w:lang w:val="hy-AM" w:eastAsia="en-GB"/>
              </w:rPr>
              <w:t>կոռուպցիոն</w:t>
            </w:r>
            <w:r w:rsidRPr="00BC61ED">
              <w:rPr>
                <w:sz w:val="20"/>
                <w:szCs w:val="20"/>
                <w:lang w:val="id-ID" w:eastAsia="en-GB"/>
              </w:rPr>
              <w:t xml:space="preserve"> </w:t>
            </w:r>
            <w:r w:rsidRPr="00BC61ED">
              <w:rPr>
                <w:sz w:val="20"/>
                <w:szCs w:val="20"/>
                <w:lang w:val="hy-AM" w:eastAsia="en-GB"/>
              </w:rPr>
              <w:t>ռիսկերի</w:t>
            </w:r>
            <w:r w:rsidRPr="00BC61ED">
              <w:rPr>
                <w:sz w:val="20"/>
                <w:szCs w:val="20"/>
                <w:lang w:val="id-ID" w:eastAsia="en-GB"/>
              </w:rPr>
              <w:t xml:space="preserve"> </w:t>
            </w:r>
            <w:r w:rsidRPr="00BC61ED">
              <w:rPr>
                <w:sz w:val="20"/>
                <w:szCs w:val="20"/>
                <w:lang w:val="hy-AM" w:eastAsia="en-GB"/>
              </w:rPr>
              <w:t>բացառում</w:t>
            </w:r>
            <w:r w:rsidRPr="00BC61ED">
              <w:rPr>
                <w:sz w:val="20"/>
                <w:szCs w:val="20"/>
                <w:lang w:val="id-ID" w:eastAsia="en-GB"/>
              </w:rPr>
              <w:t>:</w:t>
            </w:r>
          </w:p>
        </w:tc>
      </w:tr>
      <w:tr w:rsidR="0068680D" w:rsidRPr="00DE2EFA"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9.</w:t>
            </w:r>
          </w:p>
        </w:tc>
        <w:tc>
          <w:tcPr>
            <w:tcW w:w="10915" w:type="dxa"/>
          </w:tcPr>
          <w:p w:rsidR="0068680D" w:rsidRPr="00BC61ED" w:rsidRDefault="0068680D" w:rsidP="00F47DC4">
            <w:pPr>
              <w:spacing w:line="276" w:lineRule="auto"/>
              <w:jc w:val="center"/>
              <w:rPr>
                <w:b/>
                <w:sz w:val="20"/>
                <w:szCs w:val="20"/>
                <w:lang w:val="hy-AM"/>
              </w:rPr>
            </w:pPr>
            <w:r w:rsidRPr="00BC61ED">
              <w:rPr>
                <w:rFonts w:cs="Sylfaen"/>
                <w:b/>
                <w:sz w:val="20"/>
                <w:szCs w:val="20"/>
                <w:lang w:val="hy-AM"/>
              </w:rPr>
              <w:t>Հողային հարաբերությունների կարգավորումների պարզեցում</w:t>
            </w:r>
          </w:p>
          <w:p w:rsidR="0068680D" w:rsidRPr="00BC61ED" w:rsidRDefault="0068680D" w:rsidP="00F47DC4">
            <w:pPr>
              <w:spacing w:line="276" w:lineRule="auto"/>
              <w:rPr>
                <w:b/>
                <w:sz w:val="20"/>
                <w:szCs w:val="20"/>
                <w:lang w:val="hy-AM"/>
              </w:rPr>
            </w:pPr>
          </w:p>
          <w:p w:rsidR="0068680D" w:rsidRPr="00BC61ED" w:rsidRDefault="0068680D" w:rsidP="00F47DC4">
            <w:pPr>
              <w:spacing w:line="276" w:lineRule="auto"/>
              <w:jc w:val="both"/>
              <w:rPr>
                <w:b/>
                <w:sz w:val="20"/>
                <w:szCs w:val="20"/>
                <w:lang w:val="hy-AM"/>
              </w:rPr>
            </w:pPr>
            <w:r w:rsidRPr="00BC61ED">
              <w:rPr>
                <w:b/>
                <w:sz w:val="20"/>
                <w:szCs w:val="20"/>
                <w:lang w:val="hy-AM"/>
              </w:rPr>
              <w:t xml:space="preserve">   1. </w:t>
            </w:r>
            <w:r w:rsidRPr="00BC61ED">
              <w:rPr>
                <w:rFonts w:cs="Sylfaen"/>
                <w:b/>
                <w:sz w:val="20"/>
                <w:szCs w:val="20"/>
                <w:lang w:val="hy-AM"/>
              </w:rPr>
              <w:t>Միջոցառման</w:t>
            </w:r>
            <w:r w:rsidRPr="00BC61ED">
              <w:rPr>
                <w:b/>
                <w:sz w:val="20"/>
                <w:szCs w:val="20"/>
                <w:lang w:val="hy-AM"/>
              </w:rPr>
              <w:t xml:space="preserve"> </w:t>
            </w:r>
            <w:r w:rsidRPr="00BC61ED">
              <w:rPr>
                <w:rFonts w:cs="Sylfaen"/>
                <w:b/>
                <w:sz w:val="20"/>
                <w:szCs w:val="20"/>
                <w:lang w:val="hy-AM"/>
              </w:rPr>
              <w:t>իրականացման</w:t>
            </w:r>
            <w:r w:rsidRPr="00BC61ED">
              <w:rPr>
                <w:b/>
                <w:sz w:val="20"/>
                <w:szCs w:val="20"/>
                <w:lang w:val="hy-AM"/>
              </w:rPr>
              <w:t xml:space="preserve"> </w:t>
            </w:r>
            <w:r w:rsidRPr="00BC61ED">
              <w:rPr>
                <w:rFonts w:cs="Sylfaen"/>
                <w:b/>
                <w:sz w:val="20"/>
                <w:szCs w:val="20"/>
                <w:lang w:val="hy-AM"/>
              </w:rPr>
              <w:t>անհրաժեշտությունը</w:t>
            </w:r>
            <w:r w:rsidRPr="00BC61ED">
              <w:rPr>
                <w:b/>
                <w:sz w:val="20"/>
                <w:szCs w:val="20"/>
                <w:lang w:val="hy-AM"/>
              </w:rPr>
              <w:t xml:space="preserve"> </w:t>
            </w:r>
            <w:r w:rsidRPr="00BC61ED">
              <w:rPr>
                <w:rFonts w:cs="Sylfaen"/>
                <w:b/>
                <w:sz w:val="20"/>
                <w:szCs w:val="20"/>
                <w:lang w:val="hy-AM"/>
              </w:rPr>
              <w:t>և</w:t>
            </w:r>
            <w:r w:rsidRPr="00BC61ED">
              <w:rPr>
                <w:b/>
                <w:sz w:val="20"/>
                <w:szCs w:val="20"/>
                <w:lang w:val="hy-AM"/>
              </w:rPr>
              <w:t xml:space="preserve"> </w:t>
            </w:r>
            <w:r w:rsidRPr="00BC61ED">
              <w:rPr>
                <w:rFonts w:cs="Sylfaen"/>
                <w:b/>
                <w:sz w:val="20"/>
                <w:szCs w:val="20"/>
                <w:lang w:val="hy-AM"/>
              </w:rPr>
              <w:t>նպատակը</w:t>
            </w:r>
          </w:p>
          <w:p w:rsidR="0068680D" w:rsidRPr="00BC61ED" w:rsidRDefault="0068680D" w:rsidP="00F47DC4">
            <w:pPr>
              <w:spacing w:line="276" w:lineRule="auto"/>
              <w:jc w:val="both"/>
              <w:rPr>
                <w:sz w:val="20"/>
                <w:szCs w:val="20"/>
                <w:lang w:val="hy-AM"/>
              </w:rPr>
            </w:pPr>
            <w:r w:rsidRPr="00BC61ED">
              <w:rPr>
                <w:rFonts w:cs="Sylfaen"/>
                <w:sz w:val="20"/>
                <w:szCs w:val="20"/>
                <w:lang w:val="hy-AM"/>
              </w:rPr>
              <w:t xml:space="preserve">   Միջոցառման</w:t>
            </w:r>
            <w:r w:rsidRPr="00BC61ED">
              <w:rPr>
                <w:sz w:val="20"/>
                <w:szCs w:val="20"/>
                <w:lang w:val="hy-AM"/>
              </w:rPr>
              <w:t xml:space="preserve"> </w:t>
            </w:r>
            <w:r w:rsidRPr="00BC61ED">
              <w:rPr>
                <w:rFonts w:cs="Sylfaen"/>
                <w:sz w:val="20"/>
                <w:szCs w:val="20"/>
                <w:lang w:val="hy-AM"/>
              </w:rPr>
              <w:t>իրականացման</w:t>
            </w:r>
            <w:r w:rsidRPr="00BC61ED">
              <w:rPr>
                <w:sz w:val="20"/>
                <w:szCs w:val="20"/>
                <w:lang w:val="hy-AM"/>
              </w:rPr>
              <w:t xml:space="preserve"> </w:t>
            </w:r>
            <w:r w:rsidRPr="00BC61ED">
              <w:rPr>
                <w:rFonts w:cs="Sylfaen"/>
                <w:sz w:val="20"/>
                <w:szCs w:val="20"/>
                <w:lang w:val="hy-AM"/>
              </w:rPr>
              <w:t>անհրաժեշտությունը</w:t>
            </w:r>
            <w:r w:rsidRPr="00BC61ED">
              <w:rPr>
                <w:sz w:val="20"/>
                <w:szCs w:val="20"/>
                <w:lang w:val="hy-AM"/>
              </w:rPr>
              <w:t xml:space="preserve"> </w:t>
            </w:r>
            <w:r w:rsidRPr="00BC61ED">
              <w:rPr>
                <w:rFonts w:cs="Sylfaen"/>
                <w:sz w:val="20"/>
                <w:szCs w:val="20"/>
                <w:lang w:val="hy-AM"/>
              </w:rPr>
              <w:t>պայմանավորված</w:t>
            </w:r>
            <w:r w:rsidRPr="00BC61ED">
              <w:rPr>
                <w:sz w:val="20"/>
                <w:szCs w:val="20"/>
                <w:lang w:val="hy-AM"/>
              </w:rPr>
              <w:t xml:space="preserve"> </w:t>
            </w:r>
            <w:r w:rsidRPr="00BC61ED">
              <w:rPr>
                <w:rFonts w:cs="Sylfaen"/>
                <w:sz w:val="20"/>
                <w:szCs w:val="20"/>
                <w:lang w:val="hy-AM"/>
              </w:rPr>
              <w:t>է</w:t>
            </w:r>
            <w:r w:rsidRPr="00BC61ED">
              <w:rPr>
                <w:sz w:val="20"/>
                <w:szCs w:val="20"/>
                <w:lang w:val="hy-AM"/>
              </w:rPr>
              <w:t xml:space="preserve"> ՀՀ կ</w:t>
            </w:r>
            <w:r w:rsidRPr="00BC61ED">
              <w:rPr>
                <w:rFonts w:cs="Sylfaen"/>
                <w:sz w:val="20"/>
                <w:szCs w:val="20"/>
                <w:lang w:val="hy-AM"/>
              </w:rPr>
              <w:t>առավարության</w:t>
            </w:r>
            <w:r w:rsidRPr="00BC61ED">
              <w:rPr>
                <w:sz w:val="20"/>
                <w:szCs w:val="20"/>
                <w:lang w:val="hy-AM"/>
              </w:rPr>
              <w:t xml:space="preserve"> 2019-2023 </w:t>
            </w:r>
            <w:r w:rsidRPr="00BC61ED">
              <w:rPr>
                <w:rFonts w:cs="Sylfaen"/>
                <w:sz w:val="20"/>
                <w:szCs w:val="20"/>
                <w:lang w:val="hy-AM"/>
              </w:rPr>
              <w:t>թվականների</w:t>
            </w:r>
            <w:r w:rsidRPr="00BC61ED">
              <w:rPr>
                <w:sz w:val="20"/>
                <w:szCs w:val="20"/>
                <w:lang w:val="hy-AM"/>
              </w:rPr>
              <w:t xml:space="preserve"> </w:t>
            </w:r>
            <w:r w:rsidRPr="00BC61ED">
              <w:rPr>
                <w:rFonts w:cs="Sylfaen"/>
                <w:sz w:val="20"/>
                <w:szCs w:val="20"/>
                <w:lang w:val="hy-AM"/>
              </w:rPr>
              <w:t>գործունեության</w:t>
            </w:r>
            <w:r w:rsidRPr="00BC61ED">
              <w:rPr>
                <w:sz w:val="20"/>
                <w:szCs w:val="20"/>
                <w:lang w:val="hy-AM"/>
              </w:rPr>
              <w:t xml:space="preserve"> </w:t>
            </w:r>
            <w:r w:rsidRPr="00BC61ED">
              <w:rPr>
                <w:rFonts w:cs="Sylfaen"/>
                <w:sz w:val="20"/>
                <w:szCs w:val="20"/>
                <w:lang w:val="hy-AM"/>
              </w:rPr>
              <w:t>ծրագրի</w:t>
            </w:r>
            <w:r w:rsidRPr="00BC61ED">
              <w:rPr>
                <w:sz w:val="20"/>
                <w:szCs w:val="20"/>
                <w:lang w:val="hy-AM"/>
              </w:rPr>
              <w:t xml:space="preserve"> </w:t>
            </w:r>
            <w:r w:rsidRPr="00BC61ED">
              <w:rPr>
                <w:rFonts w:cs="Sylfaen"/>
                <w:sz w:val="20"/>
                <w:szCs w:val="20"/>
                <w:lang w:val="hy-AM"/>
              </w:rPr>
              <w:t>կատարումն</w:t>
            </w:r>
            <w:r w:rsidRPr="00BC61ED">
              <w:rPr>
                <w:sz w:val="20"/>
                <w:szCs w:val="20"/>
                <w:lang w:val="hy-AM"/>
              </w:rPr>
              <w:t xml:space="preserve"> </w:t>
            </w:r>
            <w:r w:rsidRPr="00BC61ED">
              <w:rPr>
                <w:rFonts w:cs="Sylfaen"/>
                <w:sz w:val="20"/>
                <w:szCs w:val="20"/>
                <w:lang w:val="hy-AM"/>
              </w:rPr>
              <w:t>ապահովող</w:t>
            </w:r>
            <w:r w:rsidRPr="00BC61ED">
              <w:rPr>
                <w:sz w:val="20"/>
                <w:szCs w:val="20"/>
                <w:lang w:val="hy-AM"/>
              </w:rPr>
              <w:t xml:space="preserve"> </w:t>
            </w:r>
            <w:r w:rsidRPr="00BC61ED">
              <w:rPr>
                <w:rFonts w:cs="Sylfaen"/>
                <w:sz w:val="20"/>
                <w:szCs w:val="20"/>
                <w:lang w:val="hy-AM"/>
              </w:rPr>
              <w:t>Հայաստանի</w:t>
            </w:r>
            <w:r w:rsidRPr="00BC61ED">
              <w:rPr>
                <w:sz w:val="20"/>
                <w:szCs w:val="20"/>
                <w:lang w:val="hy-AM"/>
              </w:rPr>
              <w:t xml:space="preserve"> </w:t>
            </w:r>
            <w:r w:rsidRPr="00BC61ED">
              <w:rPr>
                <w:rFonts w:cs="Sylfaen"/>
                <w:sz w:val="20"/>
                <w:szCs w:val="20"/>
                <w:lang w:val="hy-AM"/>
              </w:rPr>
              <w:t>Հանրապետության</w:t>
            </w:r>
            <w:r w:rsidRPr="00BC61ED">
              <w:rPr>
                <w:sz w:val="20"/>
                <w:szCs w:val="20"/>
                <w:lang w:val="hy-AM"/>
              </w:rPr>
              <w:t xml:space="preserve"> </w:t>
            </w:r>
            <w:r w:rsidRPr="00BC61ED">
              <w:rPr>
                <w:rFonts w:cs="Sylfaen"/>
                <w:sz w:val="20"/>
                <w:szCs w:val="20"/>
                <w:lang w:val="hy-AM"/>
              </w:rPr>
              <w:t>անշարժ</w:t>
            </w:r>
            <w:r w:rsidRPr="00BC61ED">
              <w:rPr>
                <w:sz w:val="20"/>
                <w:szCs w:val="20"/>
                <w:lang w:val="hy-AM"/>
              </w:rPr>
              <w:t xml:space="preserve"> </w:t>
            </w:r>
            <w:r w:rsidRPr="00BC61ED">
              <w:rPr>
                <w:rFonts w:cs="Sylfaen"/>
                <w:sz w:val="20"/>
                <w:szCs w:val="20"/>
                <w:lang w:val="hy-AM"/>
              </w:rPr>
              <w:t>գույքի</w:t>
            </w:r>
            <w:r w:rsidRPr="00BC61ED">
              <w:rPr>
                <w:sz w:val="20"/>
                <w:szCs w:val="20"/>
                <w:lang w:val="hy-AM"/>
              </w:rPr>
              <w:t xml:space="preserve"> </w:t>
            </w:r>
            <w:r w:rsidRPr="00BC61ED">
              <w:rPr>
                <w:rFonts w:cs="Sylfaen"/>
                <w:sz w:val="20"/>
                <w:szCs w:val="20"/>
                <w:lang w:val="hy-AM"/>
              </w:rPr>
              <w:t>կադաստրի</w:t>
            </w:r>
            <w:r w:rsidRPr="00BC61ED">
              <w:rPr>
                <w:sz w:val="20"/>
                <w:szCs w:val="20"/>
                <w:lang w:val="hy-AM"/>
              </w:rPr>
              <w:t xml:space="preserve"> </w:t>
            </w:r>
            <w:r w:rsidRPr="00BC61ED">
              <w:rPr>
                <w:rFonts w:cs="Sylfaen"/>
                <w:sz w:val="20"/>
                <w:szCs w:val="20"/>
                <w:lang w:val="hy-AM"/>
              </w:rPr>
              <w:t>կոմիտեի</w:t>
            </w:r>
            <w:r w:rsidRPr="00BC61ED">
              <w:rPr>
                <w:sz w:val="20"/>
                <w:szCs w:val="20"/>
                <w:lang w:val="hy-AM"/>
              </w:rPr>
              <w:t xml:space="preserve"> </w:t>
            </w:r>
            <w:r w:rsidRPr="00BC61ED">
              <w:rPr>
                <w:rFonts w:cs="Sylfaen"/>
                <w:sz w:val="20"/>
                <w:szCs w:val="20"/>
                <w:lang w:val="hy-AM"/>
              </w:rPr>
              <w:t>կողմից</w:t>
            </w:r>
            <w:r w:rsidRPr="00BC61ED">
              <w:rPr>
                <w:sz w:val="20"/>
                <w:szCs w:val="20"/>
                <w:lang w:val="hy-AM"/>
              </w:rPr>
              <w:t xml:space="preserve"> 5-</w:t>
            </w:r>
            <w:r w:rsidRPr="00BC61ED">
              <w:rPr>
                <w:rFonts w:cs="Sylfaen"/>
                <w:sz w:val="20"/>
                <w:szCs w:val="20"/>
                <w:lang w:val="hy-AM"/>
              </w:rPr>
              <w:t>ամյա</w:t>
            </w:r>
            <w:r w:rsidRPr="00BC61ED">
              <w:rPr>
                <w:sz w:val="20"/>
                <w:szCs w:val="20"/>
                <w:lang w:val="hy-AM"/>
              </w:rPr>
              <w:t xml:space="preserve"> </w:t>
            </w:r>
            <w:r w:rsidRPr="00BC61ED">
              <w:rPr>
                <w:rFonts w:cs="Sylfaen"/>
                <w:sz w:val="20"/>
                <w:szCs w:val="20"/>
                <w:lang w:val="hy-AM"/>
              </w:rPr>
              <w:t>միջոցառումներից</w:t>
            </w:r>
            <w:r w:rsidRPr="00BC61ED">
              <w:rPr>
                <w:sz w:val="20"/>
                <w:szCs w:val="20"/>
                <w:lang w:val="hy-AM"/>
              </w:rPr>
              <w:t xml:space="preserve"> </w:t>
            </w:r>
            <w:r w:rsidRPr="00BC61ED">
              <w:rPr>
                <w:rFonts w:cs="Sylfaen"/>
                <w:sz w:val="20"/>
                <w:szCs w:val="20"/>
                <w:lang w:val="hy-AM"/>
              </w:rPr>
              <w:t>բխող</w:t>
            </w:r>
            <w:r w:rsidRPr="00BC61ED">
              <w:rPr>
                <w:sz w:val="20"/>
                <w:szCs w:val="20"/>
                <w:lang w:val="hy-AM"/>
              </w:rPr>
              <w:t xml:space="preserve"> </w:t>
            </w:r>
            <w:r w:rsidRPr="00BC61ED">
              <w:rPr>
                <w:rFonts w:cs="Sylfaen"/>
                <w:sz w:val="20"/>
                <w:szCs w:val="20"/>
                <w:lang w:val="hy-AM"/>
              </w:rPr>
              <w:t>նորմատիվ</w:t>
            </w:r>
            <w:r w:rsidRPr="00BC61ED">
              <w:rPr>
                <w:sz w:val="20"/>
                <w:szCs w:val="20"/>
                <w:lang w:val="hy-AM"/>
              </w:rPr>
              <w:t xml:space="preserve"> </w:t>
            </w:r>
            <w:r w:rsidRPr="00BC61ED">
              <w:rPr>
                <w:rFonts w:cs="Sylfaen"/>
                <w:sz w:val="20"/>
                <w:szCs w:val="20"/>
                <w:lang w:val="hy-AM"/>
              </w:rPr>
              <w:t>իրավական</w:t>
            </w:r>
            <w:r w:rsidRPr="00BC61ED">
              <w:rPr>
                <w:sz w:val="20"/>
                <w:szCs w:val="20"/>
                <w:lang w:val="hy-AM"/>
              </w:rPr>
              <w:t xml:space="preserve"> </w:t>
            </w:r>
            <w:r w:rsidRPr="00BC61ED">
              <w:rPr>
                <w:rFonts w:cs="Sylfaen"/>
                <w:sz w:val="20"/>
                <w:szCs w:val="20"/>
                <w:lang w:val="hy-AM"/>
              </w:rPr>
              <w:t>ակտերի</w:t>
            </w:r>
            <w:r w:rsidRPr="00BC61ED">
              <w:rPr>
                <w:sz w:val="20"/>
                <w:szCs w:val="20"/>
                <w:lang w:val="hy-AM"/>
              </w:rPr>
              <w:t xml:space="preserve"> </w:t>
            </w:r>
            <w:r w:rsidRPr="00BC61ED">
              <w:rPr>
                <w:rFonts w:cs="Sylfaen"/>
                <w:sz w:val="20"/>
                <w:szCs w:val="20"/>
                <w:lang w:val="hy-AM"/>
              </w:rPr>
              <w:t>մշակման</w:t>
            </w:r>
            <w:r w:rsidRPr="00BC61ED">
              <w:rPr>
                <w:sz w:val="20"/>
                <w:szCs w:val="20"/>
                <w:lang w:val="hy-AM"/>
              </w:rPr>
              <w:t xml:space="preserve">, հողային հարաբերությունների պարզեցման և հստակեցման </w:t>
            </w:r>
            <w:r w:rsidRPr="00BC61ED">
              <w:rPr>
                <w:rFonts w:cs="Sylfaen"/>
                <w:sz w:val="20"/>
                <w:szCs w:val="20"/>
                <w:lang w:val="hy-AM"/>
              </w:rPr>
              <w:t>անհրաժեշտությամբ:</w:t>
            </w:r>
          </w:p>
          <w:p w:rsidR="0068680D" w:rsidRPr="00BC61ED" w:rsidRDefault="0068680D" w:rsidP="00F47DC4">
            <w:pPr>
              <w:pStyle w:val="ListParagraph"/>
              <w:spacing w:line="276" w:lineRule="auto"/>
              <w:ind w:left="0" w:right="-1"/>
              <w:jc w:val="both"/>
              <w:rPr>
                <w:sz w:val="20"/>
                <w:szCs w:val="20"/>
                <w:lang w:val="hy-AM" w:eastAsia="en-GB"/>
              </w:rPr>
            </w:pPr>
            <w:r w:rsidRPr="00BC61ED">
              <w:rPr>
                <w:sz w:val="20"/>
                <w:szCs w:val="20"/>
                <w:lang w:val="hy-AM" w:eastAsia="en-GB"/>
              </w:rPr>
              <w:t xml:space="preserve">   Ծրագրի համաձայն նորմատիվ իրավական ակտերի ընդունման անհրաժեշտություն է առաջանում հիմքը՝ ՀՀ հողային օրենսգրքի 7-րդ հոդված: </w:t>
            </w:r>
          </w:p>
          <w:p w:rsidR="0068680D" w:rsidRPr="00BC61ED" w:rsidRDefault="0068680D" w:rsidP="00F47DC4">
            <w:pPr>
              <w:spacing w:line="276" w:lineRule="auto"/>
              <w:jc w:val="both"/>
              <w:rPr>
                <w:b/>
                <w:sz w:val="20"/>
                <w:szCs w:val="20"/>
                <w:lang w:val="hy-AM"/>
              </w:rPr>
            </w:pPr>
            <w:r w:rsidRPr="00BC61ED">
              <w:rPr>
                <w:b/>
                <w:sz w:val="20"/>
                <w:szCs w:val="20"/>
                <w:lang w:val="hy-AM"/>
              </w:rPr>
              <w:t xml:space="preserve">   1.1. </w:t>
            </w:r>
            <w:r w:rsidRPr="00BC61ED">
              <w:rPr>
                <w:rFonts w:cs="Sylfaen"/>
                <w:b/>
                <w:sz w:val="20"/>
                <w:szCs w:val="20"/>
                <w:lang w:val="hy-AM"/>
              </w:rPr>
              <w:t>Կարգավորման</w:t>
            </w:r>
            <w:r w:rsidRPr="00BC61ED">
              <w:rPr>
                <w:b/>
                <w:sz w:val="20"/>
                <w:szCs w:val="20"/>
                <w:lang w:val="hy-AM"/>
              </w:rPr>
              <w:t xml:space="preserve"> </w:t>
            </w:r>
            <w:r w:rsidRPr="00BC61ED">
              <w:rPr>
                <w:rFonts w:cs="Sylfaen"/>
                <w:b/>
                <w:sz w:val="20"/>
                <w:szCs w:val="20"/>
                <w:lang w:val="hy-AM"/>
              </w:rPr>
              <w:t>հարաբերությունների</w:t>
            </w:r>
            <w:r w:rsidRPr="00BC61ED">
              <w:rPr>
                <w:b/>
                <w:sz w:val="20"/>
                <w:szCs w:val="20"/>
                <w:lang w:val="hy-AM"/>
              </w:rPr>
              <w:t xml:space="preserve"> </w:t>
            </w:r>
            <w:r w:rsidRPr="00BC61ED">
              <w:rPr>
                <w:rFonts w:cs="Sylfaen"/>
                <w:b/>
                <w:sz w:val="20"/>
                <w:szCs w:val="20"/>
                <w:lang w:val="hy-AM"/>
              </w:rPr>
              <w:t>ներկա</w:t>
            </w:r>
            <w:r w:rsidRPr="00BC61ED">
              <w:rPr>
                <w:b/>
                <w:sz w:val="20"/>
                <w:szCs w:val="20"/>
                <w:lang w:val="hy-AM"/>
              </w:rPr>
              <w:t xml:space="preserve"> </w:t>
            </w:r>
            <w:r w:rsidRPr="00BC61ED">
              <w:rPr>
                <w:rFonts w:cs="Sylfaen"/>
                <w:b/>
                <w:sz w:val="20"/>
                <w:szCs w:val="20"/>
                <w:lang w:val="hy-AM"/>
              </w:rPr>
              <w:t>վիճակը</w:t>
            </w:r>
            <w:r w:rsidRPr="00BC61ED">
              <w:rPr>
                <w:b/>
                <w:sz w:val="20"/>
                <w:szCs w:val="20"/>
                <w:lang w:val="hy-AM"/>
              </w:rPr>
              <w:t xml:space="preserve"> </w:t>
            </w:r>
            <w:r w:rsidRPr="00BC61ED">
              <w:rPr>
                <w:rFonts w:cs="Sylfaen"/>
                <w:b/>
                <w:sz w:val="20"/>
                <w:szCs w:val="20"/>
                <w:lang w:val="hy-AM"/>
              </w:rPr>
              <w:t>և</w:t>
            </w:r>
            <w:r w:rsidRPr="00BC61ED">
              <w:rPr>
                <w:b/>
                <w:sz w:val="20"/>
                <w:szCs w:val="20"/>
                <w:lang w:val="hy-AM"/>
              </w:rPr>
              <w:t xml:space="preserve"> </w:t>
            </w:r>
            <w:r w:rsidRPr="00BC61ED">
              <w:rPr>
                <w:rFonts w:cs="Sylfaen"/>
                <w:b/>
                <w:sz w:val="20"/>
                <w:szCs w:val="20"/>
                <w:lang w:val="hy-AM"/>
              </w:rPr>
              <w:t>առկա</w:t>
            </w:r>
            <w:r w:rsidRPr="00BC61ED">
              <w:rPr>
                <w:b/>
                <w:sz w:val="20"/>
                <w:szCs w:val="20"/>
                <w:lang w:val="hy-AM"/>
              </w:rPr>
              <w:t xml:space="preserve"> </w:t>
            </w:r>
            <w:r w:rsidRPr="00BC61ED">
              <w:rPr>
                <w:rFonts w:cs="Sylfaen"/>
                <w:b/>
                <w:sz w:val="20"/>
                <w:szCs w:val="20"/>
                <w:lang w:val="hy-AM"/>
              </w:rPr>
              <w:t>խնդիրները</w:t>
            </w:r>
          </w:p>
          <w:p w:rsidR="0068680D" w:rsidRPr="00BC61ED" w:rsidRDefault="0068680D" w:rsidP="00F47DC4">
            <w:pPr>
              <w:spacing w:line="276" w:lineRule="auto"/>
              <w:jc w:val="both"/>
              <w:rPr>
                <w:rFonts w:cs="Sylfaen"/>
                <w:sz w:val="20"/>
                <w:szCs w:val="20"/>
                <w:lang w:val="hy-AM"/>
              </w:rPr>
            </w:pPr>
            <w:r w:rsidRPr="00BC61ED">
              <w:rPr>
                <w:rFonts w:cs="Sylfaen"/>
                <w:sz w:val="20"/>
                <w:szCs w:val="20"/>
                <w:lang w:val="hy-AM"/>
              </w:rPr>
              <w:t xml:space="preserve">   Ներկայումս ՀՀ հողային օրենսգրքում հողային ֆոնդը դասակարգված է ըստ 9 նպատակային նշանակությունների: Նպատակային նշանակությունների փոփոխությունները կարգավորվում են մի շարք օրենքներով, կառավարության և տեղական ինքնակառավարման մարմինների որոշումներով: Յուրաքանչյուր նպատակային նշանակության հողեր ներառում են սահմանափակ քանակի գործառնական նշանակություններ (հողատեսքեր): Քաղաքաշինական փաստաթղթերի մշակման, որևէ նպատակով հողհատկացման, կառուցապատման ծրագրերի իրականացման, գույքի նկատմամբ իրավունքների պետական գրանցման ժամանակ անհրաժեշտություն է առաջանում յուրաքանչյուր տարբեր նպատակային և գործառնական նշանակության տարածքների, շինությունների համար հողամասի նպատակային նշանակությունը փոփոխել հողային օրենսգրքի դասակարգմանը համապատասխան, կամ որևէ կառուցապատման ծրագիր իրականացնելիս անհրաժեշտություն է առաջանում հողամասի տվյալ հատվածի նպատակային  և գործառնական նշանակությունը ևս փոփոխել:</w:t>
            </w:r>
          </w:p>
          <w:p w:rsidR="0068680D" w:rsidRPr="00BC61ED" w:rsidRDefault="0068680D" w:rsidP="00F47DC4">
            <w:pPr>
              <w:spacing w:line="276" w:lineRule="auto"/>
              <w:jc w:val="both"/>
              <w:rPr>
                <w:rFonts w:cs="Sylfaen"/>
                <w:sz w:val="20"/>
                <w:szCs w:val="20"/>
                <w:lang w:val="hy-AM"/>
              </w:rPr>
            </w:pPr>
            <w:r w:rsidRPr="00BC61ED">
              <w:rPr>
                <w:rFonts w:cs="Sylfaen"/>
                <w:sz w:val="20"/>
                <w:szCs w:val="20"/>
                <w:lang w:val="hy-AM"/>
              </w:rPr>
              <w:t xml:space="preserve">   Հողային օրենսգրքում հողային հարաբերությունների կարգավորման առկա վիճակը առաջացնում է որոշակի շփոթություն, պարունակում է կոռուպցիոն ռիսկեր, ժամանակատար է, քանի որ հողերի նպատակային նշանակությունը փոփոխելու համար օրենսդրությամբ պահանջվում է տարբեր մարմինների հետ համաձայնեցումներ:</w:t>
            </w:r>
          </w:p>
          <w:p w:rsidR="0068680D" w:rsidRPr="00BC61ED" w:rsidRDefault="0068680D" w:rsidP="00F47DC4">
            <w:pPr>
              <w:spacing w:line="276" w:lineRule="auto"/>
              <w:jc w:val="both"/>
              <w:rPr>
                <w:b/>
                <w:sz w:val="20"/>
                <w:szCs w:val="20"/>
                <w:lang w:val="hy-AM"/>
              </w:rPr>
            </w:pPr>
            <w:r w:rsidRPr="00BC61ED">
              <w:rPr>
                <w:rFonts w:cs="Sylfaen"/>
                <w:b/>
                <w:sz w:val="20"/>
                <w:szCs w:val="20"/>
                <w:lang w:val="hy-AM"/>
              </w:rPr>
              <w:t xml:space="preserve">   1.2. Առկա</w:t>
            </w:r>
            <w:r w:rsidRPr="00BC61ED">
              <w:rPr>
                <w:b/>
                <w:sz w:val="20"/>
                <w:szCs w:val="20"/>
                <w:lang w:val="hy-AM"/>
              </w:rPr>
              <w:t xml:space="preserve"> </w:t>
            </w:r>
            <w:r w:rsidRPr="00BC61ED">
              <w:rPr>
                <w:rFonts w:cs="Sylfaen"/>
                <w:b/>
                <w:sz w:val="20"/>
                <w:szCs w:val="20"/>
                <w:lang w:val="hy-AM"/>
              </w:rPr>
              <w:t>խնդիրների</w:t>
            </w:r>
            <w:r w:rsidRPr="00BC61ED">
              <w:rPr>
                <w:b/>
                <w:sz w:val="20"/>
                <w:szCs w:val="20"/>
                <w:lang w:val="hy-AM"/>
              </w:rPr>
              <w:t xml:space="preserve"> </w:t>
            </w:r>
            <w:r w:rsidRPr="00BC61ED">
              <w:rPr>
                <w:rFonts w:cs="Sylfaen"/>
                <w:b/>
                <w:sz w:val="20"/>
                <w:szCs w:val="20"/>
                <w:lang w:val="hy-AM"/>
              </w:rPr>
              <w:t>առաջարկվող</w:t>
            </w:r>
            <w:r w:rsidRPr="00BC61ED">
              <w:rPr>
                <w:b/>
                <w:sz w:val="20"/>
                <w:szCs w:val="20"/>
                <w:lang w:val="hy-AM"/>
              </w:rPr>
              <w:t xml:space="preserve"> </w:t>
            </w:r>
            <w:r w:rsidRPr="00BC61ED">
              <w:rPr>
                <w:rFonts w:cs="Sylfaen"/>
                <w:b/>
                <w:sz w:val="20"/>
                <w:szCs w:val="20"/>
                <w:lang w:val="hy-AM"/>
              </w:rPr>
              <w:t>լուծումները</w:t>
            </w:r>
          </w:p>
          <w:p w:rsidR="0068680D" w:rsidRPr="00BC61ED" w:rsidRDefault="0068680D" w:rsidP="00F47DC4">
            <w:pPr>
              <w:spacing w:line="276" w:lineRule="auto"/>
              <w:jc w:val="both"/>
              <w:rPr>
                <w:rFonts w:cs="Sylfaen"/>
                <w:sz w:val="20"/>
                <w:szCs w:val="20"/>
                <w:lang w:val="hy-AM"/>
              </w:rPr>
            </w:pPr>
            <w:r w:rsidRPr="00BC61ED">
              <w:rPr>
                <w:rFonts w:cs="Sylfaen"/>
                <w:sz w:val="20"/>
                <w:szCs w:val="20"/>
                <w:lang w:val="hy-AM"/>
              </w:rPr>
              <w:t xml:space="preserve">   Հողերի նպատակային և գործառնական նշանակությունների վերախմբավորում՝ նվազեցնելով նպատակային նշանակությունների քանակը:</w:t>
            </w:r>
          </w:p>
          <w:p w:rsidR="0068680D" w:rsidRPr="00BC61ED" w:rsidRDefault="0068680D" w:rsidP="00F47DC4">
            <w:pPr>
              <w:spacing w:line="276" w:lineRule="auto"/>
              <w:jc w:val="both"/>
              <w:rPr>
                <w:sz w:val="20"/>
                <w:szCs w:val="20"/>
                <w:lang w:val="hy-AM"/>
              </w:rPr>
            </w:pPr>
            <w:r w:rsidRPr="00BC61ED">
              <w:rPr>
                <w:rFonts w:cs="Sylfaen"/>
                <w:sz w:val="20"/>
                <w:szCs w:val="20"/>
                <w:lang w:val="hy-AM"/>
              </w:rPr>
              <w:t xml:space="preserve">   Օրենսդրական</w:t>
            </w:r>
            <w:r w:rsidRPr="00BC61ED">
              <w:rPr>
                <w:sz w:val="20"/>
                <w:szCs w:val="20"/>
                <w:lang w:val="hy-AM"/>
              </w:rPr>
              <w:t xml:space="preserve"> </w:t>
            </w:r>
            <w:r w:rsidRPr="00BC61ED">
              <w:rPr>
                <w:rFonts w:cs="Sylfaen"/>
                <w:sz w:val="20"/>
                <w:szCs w:val="20"/>
                <w:lang w:val="hy-AM"/>
              </w:rPr>
              <w:t>և</w:t>
            </w:r>
            <w:r w:rsidRPr="00BC61ED">
              <w:rPr>
                <w:sz w:val="20"/>
                <w:szCs w:val="20"/>
                <w:lang w:val="hy-AM"/>
              </w:rPr>
              <w:t xml:space="preserve"> </w:t>
            </w:r>
            <w:r w:rsidRPr="00BC61ED">
              <w:rPr>
                <w:rFonts w:cs="Sylfaen"/>
                <w:sz w:val="20"/>
                <w:szCs w:val="20"/>
                <w:lang w:val="hy-AM"/>
              </w:rPr>
              <w:t>առնչվող</w:t>
            </w:r>
            <w:r w:rsidRPr="00BC61ED">
              <w:rPr>
                <w:sz w:val="20"/>
                <w:szCs w:val="20"/>
                <w:lang w:val="hy-AM"/>
              </w:rPr>
              <w:t xml:space="preserve"> </w:t>
            </w:r>
            <w:r w:rsidRPr="00BC61ED">
              <w:rPr>
                <w:rFonts w:cs="Sylfaen"/>
                <w:sz w:val="20"/>
                <w:szCs w:val="20"/>
                <w:lang w:val="hy-AM"/>
              </w:rPr>
              <w:t>նորմատիվ</w:t>
            </w:r>
            <w:r w:rsidRPr="00BC61ED">
              <w:rPr>
                <w:sz w:val="20"/>
                <w:szCs w:val="20"/>
                <w:lang w:val="hy-AM"/>
              </w:rPr>
              <w:t xml:space="preserve"> </w:t>
            </w:r>
            <w:r w:rsidRPr="00BC61ED">
              <w:rPr>
                <w:rFonts w:cs="Sylfaen"/>
                <w:sz w:val="20"/>
                <w:szCs w:val="20"/>
                <w:lang w:val="hy-AM"/>
              </w:rPr>
              <w:t>իրավական</w:t>
            </w:r>
            <w:r w:rsidRPr="00BC61ED">
              <w:rPr>
                <w:sz w:val="20"/>
                <w:szCs w:val="20"/>
                <w:lang w:val="hy-AM"/>
              </w:rPr>
              <w:t xml:space="preserve"> </w:t>
            </w:r>
            <w:r w:rsidRPr="00BC61ED">
              <w:rPr>
                <w:rFonts w:cs="Sylfaen"/>
                <w:sz w:val="20"/>
                <w:szCs w:val="20"/>
                <w:lang w:val="hy-AM"/>
              </w:rPr>
              <w:t>ակտերի</w:t>
            </w:r>
            <w:r w:rsidRPr="00BC61ED">
              <w:rPr>
                <w:sz w:val="20"/>
                <w:szCs w:val="20"/>
                <w:lang w:val="hy-AM"/>
              </w:rPr>
              <w:t xml:space="preserve"> </w:t>
            </w:r>
            <w:r w:rsidRPr="00BC61ED">
              <w:rPr>
                <w:rFonts w:cs="Sylfaen"/>
                <w:sz w:val="20"/>
                <w:szCs w:val="20"/>
                <w:lang w:val="hy-AM"/>
              </w:rPr>
              <w:t>ընդունում</w:t>
            </w:r>
            <w:r w:rsidRPr="00BC61ED">
              <w:rPr>
                <w:sz w:val="20"/>
                <w:szCs w:val="20"/>
                <w:lang w:val="hy-AM"/>
              </w:rPr>
              <w:t>:</w:t>
            </w:r>
          </w:p>
          <w:p w:rsidR="0068680D" w:rsidRPr="00BC61ED" w:rsidRDefault="0068680D" w:rsidP="00F47DC4">
            <w:pPr>
              <w:spacing w:line="276" w:lineRule="auto"/>
              <w:jc w:val="both"/>
              <w:rPr>
                <w:b/>
                <w:sz w:val="20"/>
                <w:szCs w:val="20"/>
                <w:lang w:val="hy-AM"/>
              </w:rPr>
            </w:pPr>
            <w:r w:rsidRPr="00BC61ED">
              <w:rPr>
                <w:b/>
                <w:sz w:val="20"/>
                <w:szCs w:val="20"/>
                <w:lang w:val="hy-AM"/>
              </w:rPr>
              <w:t xml:space="preserve">   Կիրականացվի հետևյալ միջոցառումը՝</w:t>
            </w:r>
          </w:p>
          <w:p w:rsidR="0068680D" w:rsidRPr="00BC61ED" w:rsidRDefault="0068680D" w:rsidP="00F47DC4">
            <w:pPr>
              <w:spacing w:line="276" w:lineRule="auto"/>
              <w:jc w:val="both"/>
              <w:rPr>
                <w:sz w:val="20"/>
                <w:szCs w:val="20"/>
                <w:lang w:val="hy-AM"/>
              </w:rPr>
            </w:pPr>
            <w:r w:rsidRPr="00BC61ED">
              <w:rPr>
                <w:rFonts w:cs="Sylfaen"/>
                <w:sz w:val="20"/>
                <w:szCs w:val="20"/>
                <w:lang w:val="hy-AM"/>
              </w:rPr>
              <w:t xml:space="preserve">   1.</w:t>
            </w:r>
            <w:r w:rsidRPr="00BC61ED">
              <w:rPr>
                <w:sz w:val="20"/>
                <w:szCs w:val="20"/>
                <w:lang w:val="hy-AM"/>
              </w:rPr>
              <w:t xml:space="preserve"> Հայաստանի Հանրա</w:t>
            </w:r>
            <w:r w:rsidRPr="00BC61ED">
              <w:rPr>
                <w:sz w:val="20"/>
                <w:szCs w:val="20"/>
                <w:lang w:val="hy-AM"/>
              </w:rPr>
              <w:softHyphen/>
              <w:t>պետության հողային օրենսգրքում փոփոխություններ իրականացնելու միջոցով հողերի նպատակային նշանակության, հողատեսքերի, գործառնությունների վերախմբավորման իրականացում:</w:t>
            </w:r>
          </w:p>
          <w:p w:rsidR="0068680D" w:rsidRPr="00BC61ED" w:rsidRDefault="0068680D" w:rsidP="00F47DC4">
            <w:pPr>
              <w:spacing w:line="276" w:lineRule="auto"/>
              <w:jc w:val="both"/>
              <w:rPr>
                <w:b/>
                <w:sz w:val="20"/>
                <w:szCs w:val="20"/>
                <w:lang w:val="hy-AM"/>
              </w:rPr>
            </w:pPr>
            <w:r w:rsidRPr="00BC61ED">
              <w:rPr>
                <w:sz w:val="20"/>
                <w:szCs w:val="20"/>
                <w:lang w:val="hy-AM"/>
              </w:rPr>
              <w:t xml:space="preserve">   </w:t>
            </w:r>
            <w:r w:rsidRPr="00BC61ED">
              <w:rPr>
                <w:b/>
                <w:sz w:val="20"/>
                <w:szCs w:val="20"/>
                <w:lang w:val="hy-AM"/>
              </w:rPr>
              <w:t xml:space="preserve">2. </w:t>
            </w:r>
            <w:r w:rsidRPr="00BC61ED">
              <w:rPr>
                <w:rFonts w:cs="Sylfaen"/>
                <w:b/>
                <w:sz w:val="20"/>
                <w:szCs w:val="20"/>
                <w:lang w:val="hy-AM"/>
              </w:rPr>
              <w:t>Միջոցառման</w:t>
            </w:r>
            <w:r w:rsidRPr="00BC61ED">
              <w:rPr>
                <w:b/>
                <w:sz w:val="20"/>
                <w:szCs w:val="20"/>
                <w:lang w:val="hy-AM"/>
              </w:rPr>
              <w:t xml:space="preserve"> </w:t>
            </w:r>
            <w:r w:rsidRPr="00BC61ED">
              <w:rPr>
                <w:rFonts w:cs="Sylfaen"/>
                <w:b/>
                <w:sz w:val="20"/>
                <w:szCs w:val="20"/>
                <w:lang w:val="hy-AM"/>
              </w:rPr>
              <w:t>իրականացումից</w:t>
            </w:r>
            <w:r w:rsidRPr="00BC61ED">
              <w:rPr>
                <w:b/>
                <w:sz w:val="20"/>
                <w:szCs w:val="20"/>
                <w:lang w:val="hy-AM"/>
              </w:rPr>
              <w:t xml:space="preserve"> </w:t>
            </w:r>
            <w:r w:rsidRPr="00BC61ED">
              <w:rPr>
                <w:rFonts w:cs="Sylfaen"/>
                <w:b/>
                <w:sz w:val="20"/>
                <w:szCs w:val="20"/>
                <w:lang w:val="hy-AM"/>
              </w:rPr>
              <w:t>ակնկալվող</w:t>
            </w:r>
            <w:r w:rsidRPr="00BC61ED">
              <w:rPr>
                <w:b/>
                <w:sz w:val="20"/>
                <w:szCs w:val="20"/>
                <w:lang w:val="hy-AM"/>
              </w:rPr>
              <w:t xml:space="preserve"> </w:t>
            </w:r>
            <w:r w:rsidRPr="00BC61ED">
              <w:rPr>
                <w:rFonts w:cs="Sylfaen"/>
                <w:b/>
                <w:sz w:val="20"/>
                <w:szCs w:val="20"/>
                <w:lang w:val="hy-AM"/>
              </w:rPr>
              <w:t>արդյունքը</w:t>
            </w:r>
          </w:p>
          <w:p w:rsidR="0068680D" w:rsidRPr="00BC61ED" w:rsidRDefault="0068680D" w:rsidP="00F47DC4">
            <w:pPr>
              <w:spacing w:line="276" w:lineRule="auto"/>
              <w:jc w:val="both"/>
              <w:rPr>
                <w:sz w:val="20"/>
                <w:szCs w:val="20"/>
                <w:lang w:val="hy-AM"/>
              </w:rPr>
            </w:pPr>
            <w:r w:rsidRPr="00BC61ED">
              <w:rPr>
                <w:sz w:val="20"/>
                <w:szCs w:val="20"/>
                <w:lang w:val="hy-AM"/>
              </w:rPr>
              <w:t xml:space="preserve">   1) հողերի նպատակային նշանակության փոփոխության պահանջի նվազեցում.</w:t>
            </w:r>
          </w:p>
          <w:p w:rsidR="0068680D" w:rsidRPr="00BC61ED" w:rsidRDefault="0068680D" w:rsidP="00F47DC4">
            <w:pPr>
              <w:spacing w:line="276" w:lineRule="auto"/>
              <w:jc w:val="both"/>
              <w:rPr>
                <w:sz w:val="20"/>
                <w:szCs w:val="20"/>
                <w:lang w:val="hy-AM"/>
              </w:rPr>
            </w:pPr>
            <w:r w:rsidRPr="00BC61ED">
              <w:rPr>
                <w:sz w:val="20"/>
                <w:szCs w:val="20"/>
                <w:lang w:val="hy-AM"/>
              </w:rPr>
              <w:t xml:space="preserve">   2) պետական, տեղական ինքնակառավարման մարմիների, հողի սեփականատերի և հողօգտագործողների համար բյուրոկրատական քաշքշուկների նվազեցում.</w:t>
            </w:r>
          </w:p>
          <w:p w:rsidR="0068680D" w:rsidRPr="00BC61ED" w:rsidRDefault="0068680D" w:rsidP="00F47DC4">
            <w:pPr>
              <w:spacing w:line="276" w:lineRule="auto"/>
              <w:jc w:val="both"/>
              <w:rPr>
                <w:sz w:val="20"/>
                <w:szCs w:val="20"/>
                <w:lang w:val="hy-AM"/>
              </w:rPr>
            </w:pPr>
            <w:r w:rsidRPr="00BC61ED">
              <w:rPr>
                <w:sz w:val="20"/>
                <w:szCs w:val="20"/>
                <w:lang w:val="hy-AM"/>
              </w:rPr>
              <w:t xml:space="preserve">   3) հողային հարաբերությունների կարգավորման համար պահանջվող ժամանակի և միջոցների խնայում:</w:t>
            </w:r>
          </w:p>
        </w:tc>
      </w:tr>
      <w:tr w:rsidR="0068680D" w:rsidRPr="00DE2EFA"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10.</w:t>
            </w:r>
          </w:p>
        </w:tc>
        <w:tc>
          <w:tcPr>
            <w:tcW w:w="10915" w:type="dxa"/>
          </w:tcPr>
          <w:p w:rsidR="0068680D" w:rsidRPr="00BC61ED" w:rsidRDefault="0068680D" w:rsidP="00F47DC4">
            <w:pPr>
              <w:spacing w:line="276" w:lineRule="auto"/>
              <w:jc w:val="center"/>
              <w:rPr>
                <w:b/>
                <w:sz w:val="20"/>
                <w:szCs w:val="20"/>
                <w:lang w:val="hy-AM"/>
              </w:rPr>
            </w:pPr>
            <w:r w:rsidRPr="00BC61ED">
              <w:rPr>
                <w:b/>
                <w:sz w:val="20"/>
                <w:szCs w:val="20"/>
                <w:lang w:val="hy-AM"/>
              </w:rPr>
              <w:t>Գնահատման</w:t>
            </w:r>
            <w:r w:rsidRPr="00BC61ED">
              <w:rPr>
                <w:b/>
                <w:sz w:val="20"/>
                <w:szCs w:val="20"/>
                <w:lang w:val="af-ZA"/>
              </w:rPr>
              <w:t xml:space="preserve"> </w:t>
            </w:r>
            <w:r w:rsidRPr="00BC61ED">
              <w:rPr>
                <w:b/>
                <w:sz w:val="20"/>
                <w:szCs w:val="20"/>
                <w:lang w:val="hy-AM"/>
              </w:rPr>
              <w:t>ոլորտի</w:t>
            </w:r>
            <w:r w:rsidRPr="00BC61ED">
              <w:rPr>
                <w:b/>
                <w:sz w:val="20"/>
                <w:szCs w:val="20"/>
                <w:lang w:val="af-ZA"/>
              </w:rPr>
              <w:t xml:space="preserve"> </w:t>
            </w:r>
            <w:r w:rsidRPr="00BC61ED">
              <w:rPr>
                <w:b/>
                <w:sz w:val="20"/>
                <w:szCs w:val="20"/>
                <w:lang w:val="hy-AM"/>
              </w:rPr>
              <w:t>բարելավում</w:t>
            </w:r>
            <w:r w:rsidRPr="00BC61ED">
              <w:rPr>
                <w:b/>
                <w:sz w:val="20"/>
                <w:szCs w:val="20"/>
                <w:lang w:val="af-ZA"/>
              </w:rPr>
              <w:t xml:space="preserve"> </w:t>
            </w:r>
            <w:r w:rsidRPr="00BC61ED">
              <w:rPr>
                <w:b/>
                <w:sz w:val="20"/>
                <w:szCs w:val="20"/>
                <w:lang w:val="hy-AM"/>
              </w:rPr>
              <w:t>և</w:t>
            </w:r>
            <w:r w:rsidRPr="00BC61ED">
              <w:rPr>
                <w:b/>
                <w:sz w:val="20"/>
                <w:szCs w:val="20"/>
                <w:lang w:val="af-ZA"/>
              </w:rPr>
              <w:t xml:space="preserve"> ընդլայնում</w:t>
            </w:r>
          </w:p>
          <w:p w:rsidR="0068680D" w:rsidRPr="00BC61ED" w:rsidRDefault="0068680D" w:rsidP="00F47DC4">
            <w:pPr>
              <w:spacing w:line="276" w:lineRule="auto"/>
              <w:jc w:val="both"/>
              <w:rPr>
                <w:b/>
                <w:sz w:val="20"/>
                <w:szCs w:val="20"/>
                <w:lang w:val="hy-AM"/>
              </w:rPr>
            </w:pPr>
          </w:p>
          <w:p w:rsidR="0068680D" w:rsidRPr="00BC61ED" w:rsidRDefault="0068680D" w:rsidP="00F47DC4">
            <w:pPr>
              <w:spacing w:line="276" w:lineRule="auto"/>
              <w:jc w:val="both"/>
              <w:rPr>
                <w:b/>
                <w:sz w:val="20"/>
                <w:szCs w:val="20"/>
                <w:lang w:val="af-ZA"/>
              </w:rPr>
            </w:pPr>
            <w:r w:rsidRPr="00BC61ED">
              <w:rPr>
                <w:b/>
                <w:sz w:val="20"/>
                <w:szCs w:val="20"/>
                <w:lang w:val="af-ZA"/>
              </w:rPr>
              <w:t xml:space="preserve">   1. </w:t>
            </w:r>
            <w:r w:rsidRPr="00BC61ED">
              <w:rPr>
                <w:b/>
                <w:sz w:val="20"/>
                <w:szCs w:val="20"/>
                <w:lang w:val="hy-AM"/>
              </w:rPr>
              <w:t>Միջոցառման</w:t>
            </w:r>
            <w:r w:rsidRPr="00BC61ED">
              <w:rPr>
                <w:b/>
                <w:sz w:val="20"/>
                <w:szCs w:val="20"/>
                <w:lang w:val="af-ZA"/>
              </w:rPr>
              <w:t xml:space="preserve"> </w:t>
            </w:r>
            <w:r w:rsidRPr="00BC61ED">
              <w:rPr>
                <w:b/>
                <w:sz w:val="20"/>
                <w:szCs w:val="20"/>
                <w:lang w:val="hy-AM"/>
              </w:rPr>
              <w:t>իրականացման</w:t>
            </w:r>
            <w:r w:rsidRPr="00BC61ED">
              <w:rPr>
                <w:b/>
                <w:sz w:val="20"/>
                <w:szCs w:val="20"/>
                <w:lang w:val="af-ZA"/>
              </w:rPr>
              <w:t xml:space="preserve"> </w:t>
            </w:r>
            <w:r w:rsidRPr="00BC61ED">
              <w:rPr>
                <w:b/>
                <w:sz w:val="20"/>
                <w:szCs w:val="20"/>
                <w:lang w:val="hy-AM"/>
              </w:rPr>
              <w:t>անհրաժեշտությունը</w:t>
            </w:r>
            <w:r w:rsidRPr="00BC61ED">
              <w:rPr>
                <w:b/>
                <w:sz w:val="20"/>
                <w:szCs w:val="20"/>
                <w:lang w:val="af-ZA"/>
              </w:rPr>
              <w:t xml:space="preserve"> </w:t>
            </w:r>
            <w:r w:rsidRPr="00BC61ED">
              <w:rPr>
                <w:b/>
                <w:sz w:val="20"/>
                <w:szCs w:val="20"/>
                <w:lang w:val="hy-AM"/>
              </w:rPr>
              <w:t>և</w:t>
            </w:r>
            <w:r w:rsidRPr="00BC61ED">
              <w:rPr>
                <w:b/>
                <w:sz w:val="20"/>
                <w:szCs w:val="20"/>
                <w:lang w:val="af-ZA"/>
              </w:rPr>
              <w:t xml:space="preserve"> </w:t>
            </w:r>
            <w:r w:rsidRPr="00BC61ED">
              <w:rPr>
                <w:b/>
                <w:sz w:val="20"/>
                <w:szCs w:val="20"/>
                <w:lang w:val="hy-AM"/>
              </w:rPr>
              <w:t>նպատակը</w:t>
            </w:r>
          </w:p>
          <w:p w:rsidR="0068680D" w:rsidRPr="00BC61ED" w:rsidRDefault="0068680D" w:rsidP="00F47DC4">
            <w:pPr>
              <w:spacing w:line="276" w:lineRule="auto"/>
              <w:jc w:val="both"/>
              <w:rPr>
                <w:rFonts w:cs="Sylfaen"/>
                <w:color w:val="000000"/>
                <w:sz w:val="20"/>
                <w:szCs w:val="20"/>
                <w:lang w:val="af-ZA"/>
              </w:rPr>
            </w:pPr>
            <w:r w:rsidRPr="00BC61ED">
              <w:rPr>
                <w:rFonts w:cs="Sylfaen"/>
                <w:color w:val="000000"/>
                <w:sz w:val="20"/>
                <w:szCs w:val="20"/>
                <w:lang w:val="af-ZA"/>
              </w:rPr>
              <w:t xml:space="preserve">   </w:t>
            </w:r>
            <w:r w:rsidRPr="00BC61ED">
              <w:rPr>
                <w:rFonts w:cs="Sylfaen"/>
                <w:color w:val="000000"/>
                <w:sz w:val="20"/>
                <w:szCs w:val="20"/>
              </w:rPr>
              <w:t>Միջոցառման</w:t>
            </w:r>
            <w:r w:rsidRPr="00BC61ED">
              <w:rPr>
                <w:rFonts w:cs="Sylfaen"/>
                <w:color w:val="000000"/>
                <w:sz w:val="20"/>
                <w:szCs w:val="20"/>
                <w:lang w:val="af-ZA"/>
              </w:rPr>
              <w:t xml:space="preserve"> </w:t>
            </w:r>
            <w:r w:rsidRPr="00BC61ED">
              <w:rPr>
                <w:rFonts w:cs="Sylfaen"/>
                <w:color w:val="000000"/>
                <w:sz w:val="20"/>
                <w:szCs w:val="20"/>
              </w:rPr>
              <w:t>նպատակը</w:t>
            </w:r>
            <w:r w:rsidRPr="00BC61ED">
              <w:rPr>
                <w:rFonts w:cs="Sylfaen"/>
                <w:color w:val="000000"/>
                <w:sz w:val="20"/>
                <w:szCs w:val="20"/>
                <w:lang w:val="af-ZA"/>
              </w:rPr>
              <w:t xml:space="preserve"> մատուցվող գնահատման ծառայությունների որակի բարելավումն է:</w:t>
            </w:r>
          </w:p>
          <w:p w:rsidR="0068680D" w:rsidRPr="00BC61ED" w:rsidRDefault="0068680D" w:rsidP="00F47DC4">
            <w:pPr>
              <w:pStyle w:val="ListParagraph"/>
              <w:spacing w:line="276" w:lineRule="auto"/>
              <w:ind w:left="0" w:right="-1"/>
              <w:jc w:val="both"/>
              <w:rPr>
                <w:sz w:val="20"/>
                <w:szCs w:val="20"/>
                <w:lang w:val="af-ZA" w:eastAsia="en-GB"/>
              </w:rPr>
            </w:pPr>
            <w:r w:rsidRPr="00BC61ED">
              <w:rPr>
                <w:sz w:val="20"/>
                <w:szCs w:val="20"/>
                <w:lang w:val="af-ZA" w:eastAsia="en-GB"/>
              </w:rPr>
              <w:t xml:space="preserve">   </w:t>
            </w:r>
            <w:r w:rsidRPr="00BC61ED">
              <w:rPr>
                <w:sz w:val="20"/>
                <w:szCs w:val="20"/>
                <w:lang w:eastAsia="en-GB"/>
              </w:rPr>
              <w:t>Ծրագրի</w:t>
            </w:r>
            <w:r w:rsidRPr="00BC61ED">
              <w:rPr>
                <w:sz w:val="20"/>
                <w:szCs w:val="20"/>
                <w:lang w:val="af-ZA" w:eastAsia="en-GB"/>
              </w:rPr>
              <w:t xml:space="preserve"> </w:t>
            </w:r>
            <w:r w:rsidRPr="00BC61ED">
              <w:rPr>
                <w:sz w:val="20"/>
                <w:szCs w:val="20"/>
                <w:lang w:eastAsia="en-GB"/>
              </w:rPr>
              <w:t>համաձայն</w:t>
            </w:r>
            <w:r w:rsidRPr="00BC61ED">
              <w:rPr>
                <w:sz w:val="20"/>
                <w:szCs w:val="20"/>
                <w:lang w:val="af-ZA" w:eastAsia="en-GB"/>
              </w:rPr>
              <w:t xml:space="preserve"> </w:t>
            </w:r>
            <w:r w:rsidRPr="00BC61ED">
              <w:rPr>
                <w:sz w:val="20"/>
                <w:szCs w:val="20"/>
                <w:lang w:eastAsia="en-GB"/>
              </w:rPr>
              <w:t>նորմատիվ</w:t>
            </w:r>
            <w:r w:rsidRPr="00BC61ED">
              <w:rPr>
                <w:sz w:val="20"/>
                <w:szCs w:val="20"/>
                <w:lang w:val="af-ZA" w:eastAsia="en-GB"/>
              </w:rPr>
              <w:t xml:space="preserve"> </w:t>
            </w:r>
            <w:r w:rsidRPr="00BC61ED">
              <w:rPr>
                <w:sz w:val="20"/>
                <w:szCs w:val="20"/>
                <w:lang w:eastAsia="en-GB"/>
              </w:rPr>
              <w:t>իրավական</w:t>
            </w:r>
            <w:r w:rsidRPr="00BC61ED">
              <w:rPr>
                <w:sz w:val="20"/>
                <w:szCs w:val="20"/>
                <w:lang w:val="af-ZA" w:eastAsia="en-GB"/>
              </w:rPr>
              <w:t xml:space="preserve"> </w:t>
            </w:r>
            <w:r w:rsidRPr="00BC61ED">
              <w:rPr>
                <w:sz w:val="20"/>
                <w:szCs w:val="20"/>
                <w:lang w:eastAsia="en-GB"/>
              </w:rPr>
              <w:t>ակտերի</w:t>
            </w:r>
            <w:r w:rsidRPr="00BC61ED">
              <w:rPr>
                <w:sz w:val="20"/>
                <w:szCs w:val="20"/>
                <w:lang w:val="af-ZA" w:eastAsia="en-GB"/>
              </w:rPr>
              <w:t xml:space="preserve"> </w:t>
            </w:r>
            <w:r w:rsidRPr="00BC61ED">
              <w:rPr>
                <w:sz w:val="20"/>
                <w:szCs w:val="20"/>
                <w:lang w:eastAsia="en-GB"/>
              </w:rPr>
              <w:t>ընդունման</w:t>
            </w:r>
            <w:r w:rsidRPr="00BC61ED">
              <w:rPr>
                <w:sz w:val="20"/>
                <w:szCs w:val="20"/>
                <w:lang w:val="af-ZA" w:eastAsia="en-GB"/>
              </w:rPr>
              <w:t xml:space="preserve"> </w:t>
            </w:r>
            <w:r w:rsidRPr="00BC61ED">
              <w:rPr>
                <w:sz w:val="20"/>
                <w:szCs w:val="20"/>
                <w:lang w:eastAsia="en-GB"/>
              </w:rPr>
              <w:t>անհրաժեշտություն</w:t>
            </w:r>
            <w:r w:rsidRPr="00BC61ED">
              <w:rPr>
                <w:sz w:val="20"/>
                <w:szCs w:val="20"/>
                <w:lang w:val="af-ZA" w:eastAsia="en-GB"/>
              </w:rPr>
              <w:t xml:space="preserve"> </w:t>
            </w:r>
            <w:r w:rsidRPr="00BC61ED">
              <w:rPr>
                <w:sz w:val="20"/>
                <w:szCs w:val="20"/>
                <w:lang w:eastAsia="en-GB"/>
              </w:rPr>
              <w:t>է</w:t>
            </w:r>
            <w:r w:rsidRPr="00BC61ED">
              <w:rPr>
                <w:sz w:val="20"/>
                <w:szCs w:val="20"/>
                <w:lang w:val="af-ZA" w:eastAsia="en-GB"/>
              </w:rPr>
              <w:t xml:space="preserve"> </w:t>
            </w:r>
            <w:r w:rsidRPr="00BC61ED">
              <w:rPr>
                <w:sz w:val="20"/>
                <w:szCs w:val="20"/>
                <w:lang w:eastAsia="en-GB"/>
              </w:rPr>
              <w:t>առաջանում</w:t>
            </w:r>
            <w:r w:rsidRPr="00BC61ED">
              <w:rPr>
                <w:sz w:val="20"/>
                <w:szCs w:val="20"/>
                <w:lang w:val="af-ZA" w:eastAsia="en-GB"/>
              </w:rPr>
              <w:t xml:space="preserve"> (</w:t>
            </w:r>
            <w:r w:rsidRPr="00BC61ED">
              <w:rPr>
                <w:sz w:val="20"/>
                <w:szCs w:val="20"/>
                <w:lang w:eastAsia="en-GB"/>
              </w:rPr>
              <w:t>ՀՀ</w:t>
            </w:r>
            <w:r w:rsidRPr="00BC61ED">
              <w:rPr>
                <w:sz w:val="20"/>
                <w:szCs w:val="20"/>
                <w:lang w:val="af-ZA" w:eastAsia="en-GB"/>
              </w:rPr>
              <w:t xml:space="preserve"> </w:t>
            </w:r>
            <w:r w:rsidRPr="00BC61ED">
              <w:rPr>
                <w:sz w:val="20"/>
                <w:szCs w:val="20"/>
                <w:lang w:eastAsia="en-GB"/>
              </w:rPr>
              <w:t>օրենք</w:t>
            </w:r>
            <w:r w:rsidRPr="00BC61ED">
              <w:rPr>
                <w:sz w:val="20"/>
                <w:szCs w:val="20"/>
                <w:lang w:val="af-ZA" w:eastAsia="en-GB"/>
              </w:rPr>
              <w:t xml:space="preserve">, </w:t>
            </w:r>
            <w:r w:rsidRPr="00BC61ED">
              <w:rPr>
                <w:sz w:val="20"/>
                <w:szCs w:val="20"/>
                <w:lang w:eastAsia="en-GB"/>
              </w:rPr>
              <w:t>ՀՀ</w:t>
            </w:r>
            <w:r w:rsidRPr="00BC61ED">
              <w:rPr>
                <w:sz w:val="20"/>
                <w:szCs w:val="20"/>
                <w:lang w:val="af-ZA" w:eastAsia="en-GB"/>
              </w:rPr>
              <w:t xml:space="preserve"> </w:t>
            </w:r>
            <w:r w:rsidRPr="00BC61ED">
              <w:rPr>
                <w:sz w:val="20"/>
                <w:szCs w:val="20"/>
                <w:lang w:eastAsia="en-GB"/>
              </w:rPr>
              <w:t>կառավարության</w:t>
            </w:r>
            <w:r w:rsidRPr="00BC61ED">
              <w:rPr>
                <w:sz w:val="20"/>
                <w:szCs w:val="20"/>
                <w:lang w:val="af-ZA" w:eastAsia="en-GB"/>
              </w:rPr>
              <w:t xml:space="preserve"> </w:t>
            </w:r>
            <w:r w:rsidRPr="00BC61ED">
              <w:rPr>
                <w:sz w:val="20"/>
                <w:szCs w:val="20"/>
                <w:lang w:eastAsia="en-GB"/>
              </w:rPr>
              <w:t>որոշումներ</w:t>
            </w:r>
            <w:r w:rsidRPr="00BC61ED">
              <w:rPr>
                <w:sz w:val="20"/>
                <w:szCs w:val="20"/>
                <w:lang w:val="af-ZA" w:eastAsia="en-GB"/>
              </w:rPr>
              <w:t xml:space="preserve">) </w:t>
            </w:r>
            <w:r w:rsidRPr="00BC61ED">
              <w:rPr>
                <w:sz w:val="20"/>
                <w:szCs w:val="20"/>
                <w:lang w:eastAsia="en-GB"/>
              </w:rPr>
              <w:t>հիմքը՝</w:t>
            </w:r>
            <w:r w:rsidRPr="00BC61ED">
              <w:rPr>
                <w:sz w:val="20"/>
                <w:szCs w:val="20"/>
                <w:lang w:val="af-ZA"/>
              </w:rPr>
              <w:t>«</w:t>
            </w:r>
            <w:r w:rsidRPr="00BC61ED">
              <w:rPr>
                <w:sz w:val="20"/>
                <w:szCs w:val="20"/>
              </w:rPr>
              <w:t>Անշարժ</w:t>
            </w:r>
            <w:r w:rsidRPr="00BC61ED">
              <w:rPr>
                <w:sz w:val="20"/>
                <w:szCs w:val="20"/>
                <w:lang w:val="af-ZA"/>
              </w:rPr>
              <w:t xml:space="preserve"> </w:t>
            </w:r>
            <w:r w:rsidRPr="00BC61ED">
              <w:rPr>
                <w:sz w:val="20"/>
                <w:szCs w:val="20"/>
              </w:rPr>
              <w:t>գույքի</w:t>
            </w:r>
            <w:r w:rsidRPr="00BC61ED">
              <w:rPr>
                <w:sz w:val="20"/>
                <w:szCs w:val="20"/>
                <w:lang w:val="af-ZA"/>
              </w:rPr>
              <w:t xml:space="preserve"> </w:t>
            </w:r>
            <w:r w:rsidRPr="00BC61ED">
              <w:rPr>
                <w:sz w:val="20"/>
                <w:szCs w:val="20"/>
              </w:rPr>
              <w:t>գնահատման</w:t>
            </w:r>
            <w:hyperlink r:id="rId14" w:history="1">
              <w:r w:rsidRPr="00BC61ED">
                <w:rPr>
                  <w:rFonts w:ascii="Calibri" w:hAnsi="Calibri" w:cs="Calibri"/>
                  <w:sz w:val="20"/>
                  <w:szCs w:val="20"/>
                  <w:lang w:val="af-ZA"/>
                </w:rPr>
                <w:t> </w:t>
              </w:r>
              <w:r w:rsidRPr="00BC61ED">
                <w:rPr>
                  <w:sz w:val="20"/>
                  <w:szCs w:val="20"/>
                </w:rPr>
                <w:t>գործունեության</w:t>
              </w:r>
              <w:r w:rsidRPr="00BC61ED">
                <w:rPr>
                  <w:sz w:val="20"/>
                  <w:szCs w:val="20"/>
                  <w:lang w:val="af-ZA"/>
                </w:rPr>
                <w:t xml:space="preserve"> </w:t>
              </w:r>
              <w:r w:rsidRPr="00BC61ED">
                <w:rPr>
                  <w:sz w:val="20"/>
                  <w:szCs w:val="20"/>
                </w:rPr>
                <w:t>մասին</w:t>
              </w:r>
            </w:hyperlink>
            <w:r w:rsidRPr="00BC61ED">
              <w:rPr>
                <w:sz w:val="20"/>
                <w:szCs w:val="20"/>
                <w:lang w:val="af-ZA"/>
              </w:rPr>
              <w:t xml:space="preserve">» </w:t>
            </w:r>
            <w:r w:rsidRPr="00BC61ED">
              <w:rPr>
                <w:sz w:val="20"/>
                <w:szCs w:val="20"/>
              </w:rPr>
              <w:t>ՀՀ</w:t>
            </w:r>
            <w:r w:rsidRPr="00BC61ED">
              <w:rPr>
                <w:sz w:val="20"/>
                <w:szCs w:val="20"/>
                <w:lang w:val="af-ZA"/>
              </w:rPr>
              <w:t xml:space="preserve"> </w:t>
            </w:r>
            <w:r w:rsidRPr="00BC61ED">
              <w:rPr>
                <w:sz w:val="20"/>
                <w:szCs w:val="20"/>
              </w:rPr>
              <w:t>օրենքը</w:t>
            </w:r>
            <w:r w:rsidRPr="00BC61ED">
              <w:rPr>
                <w:sz w:val="20"/>
                <w:szCs w:val="20"/>
                <w:lang w:val="af-ZA" w:eastAsia="en-GB"/>
              </w:rPr>
              <w:t xml:space="preserve">: </w:t>
            </w:r>
          </w:p>
          <w:p w:rsidR="0068680D" w:rsidRPr="00BC61ED" w:rsidRDefault="0068680D" w:rsidP="00F47DC4">
            <w:pPr>
              <w:spacing w:line="276" w:lineRule="auto"/>
              <w:jc w:val="both"/>
              <w:rPr>
                <w:b/>
                <w:sz w:val="20"/>
                <w:szCs w:val="20"/>
                <w:lang w:val="af-ZA"/>
              </w:rPr>
            </w:pPr>
            <w:r w:rsidRPr="00BC61ED">
              <w:rPr>
                <w:b/>
                <w:sz w:val="20"/>
                <w:szCs w:val="20"/>
                <w:lang w:val="af-ZA"/>
              </w:rPr>
              <w:t xml:space="preserve">   1.1. </w:t>
            </w:r>
            <w:r w:rsidRPr="00BC61ED">
              <w:rPr>
                <w:b/>
                <w:sz w:val="20"/>
                <w:szCs w:val="20"/>
              </w:rPr>
              <w:t>Կարգավորման</w:t>
            </w:r>
            <w:r w:rsidRPr="00BC61ED">
              <w:rPr>
                <w:b/>
                <w:sz w:val="20"/>
                <w:szCs w:val="20"/>
                <w:lang w:val="af-ZA"/>
              </w:rPr>
              <w:t xml:space="preserve"> </w:t>
            </w:r>
            <w:r w:rsidRPr="00BC61ED">
              <w:rPr>
                <w:b/>
                <w:sz w:val="20"/>
                <w:szCs w:val="20"/>
              </w:rPr>
              <w:t>հարաբերությունների</w:t>
            </w:r>
            <w:r w:rsidRPr="00BC61ED">
              <w:rPr>
                <w:b/>
                <w:sz w:val="20"/>
                <w:szCs w:val="20"/>
                <w:lang w:val="af-ZA"/>
              </w:rPr>
              <w:t xml:space="preserve"> </w:t>
            </w:r>
            <w:r w:rsidRPr="00BC61ED">
              <w:rPr>
                <w:b/>
                <w:sz w:val="20"/>
                <w:szCs w:val="20"/>
              </w:rPr>
              <w:t>ներկա</w:t>
            </w:r>
            <w:r w:rsidRPr="00BC61ED">
              <w:rPr>
                <w:b/>
                <w:sz w:val="20"/>
                <w:szCs w:val="20"/>
                <w:lang w:val="af-ZA"/>
              </w:rPr>
              <w:t xml:space="preserve"> </w:t>
            </w:r>
            <w:r w:rsidRPr="00BC61ED">
              <w:rPr>
                <w:b/>
                <w:sz w:val="20"/>
                <w:szCs w:val="20"/>
              </w:rPr>
              <w:t>վիճակը</w:t>
            </w:r>
            <w:r w:rsidRPr="00BC61ED">
              <w:rPr>
                <w:b/>
                <w:sz w:val="20"/>
                <w:szCs w:val="20"/>
                <w:lang w:val="af-ZA"/>
              </w:rPr>
              <w:t xml:space="preserve"> </w:t>
            </w:r>
            <w:r w:rsidRPr="00BC61ED">
              <w:rPr>
                <w:b/>
                <w:sz w:val="20"/>
                <w:szCs w:val="20"/>
              </w:rPr>
              <w:t>և</w:t>
            </w:r>
            <w:r w:rsidRPr="00BC61ED">
              <w:rPr>
                <w:b/>
                <w:sz w:val="20"/>
                <w:szCs w:val="20"/>
                <w:lang w:val="af-ZA"/>
              </w:rPr>
              <w:t xml:space="preserve"> </w:t>
            </w:r>
            <w:r w:rsidRPr="00BC61ED">
              <w:rPr>
                <w:b/>
                <w:sz w:val="20"/>
                <w:szCs w:val="20"/>
              </w:rPr>
              <w:t>առկա</w:t>
            </w:r>
            <w:r w:rsidRPr="00BC61ED">
              <w:rPr>
                <w:b/>
                <w:sz w:val="20"/>
                <w:szCs w:val="20"/>
                <w:lang w:val="af-ZA"/>
              </w:rPr>
              <w:t xml:space="preserve"> </w:t>
            </w:r>
            <w:r w:rsidRPr="00BC61ED">
              <w:rPr>
                <w:b/>
                <w:sz w:val="20"/>
                <w:szCs w:val="20"/>
              </w:rPr>
              <w:t>խնդիրները</w:t>
            </w:r>
          </w:p>
          <w:p w:rsidR="0068680D" w:rsidRPr="00BC61ED" w:rsidRDefault="0068680D" w:rsidP="00F47DC4">
            <w:pPr>
              <w:shd w:val="clear" w:color="auto" w:fill="FFFFFF"/>
              <w:spacing w:line="276" w:lineRule="auto"/>
              <w:jc w:val="both"/>
              <w:textAlignment w:val="baseline"/>
              <w:rPr>
                <w:sz w:val="20"/>
                <w:szCs w:val="20"/>
                <w:lang w:val="af-ZA"/>
              </w:rPr>
            </w:pPr>
            <w:r w:rsidRPr="00BC61ED">
              <w:rPr>
                <w:sz w:val="20"/>
                <w:szCs w:val="20"/>
                <w:lang w:val="af-ZA"/>
              </w:rPr>
              <w:t xml:space="preserve">   </w:t>
            </w:r>
            <w:r w:rsidRPr="00BC61ED">
              <w:rPr>
                <w:sz w:val="20"/>
                <w:szCs w:val="20"/>
              </w:rPr>
              <w:t>Հայաստանի</w:t>
            </w:r>
            <w:r w:rsidRPr="00BC61ED">
              <w:rPr>
                <w:sz w:val="20"/>
                <w:szCs w:val="20"/>
                <w:lang w:val="af-ZA"/>
              </w:rPr>
              <w:t xml:space="preserve"> </w:t>
            </w:r>
            <w:r w:rsidRPr="00BC61ED">
              <w:rPr>
                <w:sz w:val="20"/>
                <w:szCs w:val="20"/>
              </w:rPr>
              <w:t>Հանրապետությունում</w:t>
            </w:r>
            <w:r w:rsidRPr="00BC61ED">
              <w:rPr>
                <w:sz w:val="20"/>
                <w:szCs w:val="20"/>
                <w:lang w:val="af-ZA"/>
              </w:rPr>
              <w:t xml:space="preserve"> </w:t>
            </w:r>
            <w:r w:rsidRPr="00BC61ED">
              <w:rPr>
                <w:sz w:val="20"/>
                <w:szCs w:val="20"/>
              </w:rPr>
              <w:t>գնահատման</w:t>
            </w:r>
            <w:r w:rsidRPr="00BC61ED">
              <w:rPr>
                <w:sz w:val="20"/>
                <w:szCs w:val="20"/>
                <w:lang w:val="af-ZA"/>
              </w:rPr>
              <w:t xml:space="preserve"> </w:t>
            </w:r>
            <w:r w:rsidRPr="00BC61ED">
              <w:rPr>
                <w:sz w:val="20"/>
                <w:szCs w:val="20"/>
              </w:rPr>
              <w:t>գործունեության</w:t>
            </w:r>
            <w:r w:rsidRPr="00BC61ED">
              <w:rPr>
                <w:sz w:val="20"/>
                <w:szCs w:val="20"/>
                <w:lang w:val="af-ZA"/>
              </w:rPr>
              <w:t xml:space="preserve"> </w:t>
            </w:r>
            <w:r w:rsidRPr="00BC61ED">
              <w:rPr>
                <w:sz w:val="20"/>
                <w:szCs w:val="20"/>
              </w:rPr>
              <w:t>կանոնակարգումը</w:t>
            </w:r>
            <w:r w:rsidRPr="00BC61ED">
              <w:rPr>
                <w:sz w:val="20"/>
                <w:szCs w:val="20"/>
                <w:lang w:val="af-ZA"/>
              </w:rPr>
              <w:t xml:space="preserve"> </w:t>
            </w:r>
            <w:r w:rsidRPr="00BC61ED">
              <w:rPr>
                <w:sz w:val="20"/>
                <w:szCs w:val="20"/>
              </w:rPr>
              <w:t>ներկայումս</w:t>
            </w:r>
            <w:r w:rsidRPr="00BC61ED">
              <w:rPr>
                <w:sz w:val="20"/>
                <w:szCs w:val="20"/>
                <w:lang w:val="af-ZA"/>
              </w:rPr>
              <w:t xml:space="preserve"> </w:t>
            </w:r>
            <w:r w:rsidRPr="00BC61ED">
              <w:rPr>
                <w:sz w:val="20"/>
                <w:szCs w:val="20"/>
              </w:rPr>
              <w:t>իրականացվում</w:t>
            </w:r>
            <w:r w:rsidRPr="00BC61ED">
              <w:rPr>
                <w:sz w:val="20"/>
                <w:szCs w:val="20"/>
                <w:lang w:val="af-ZA"/>
              </w:rPr>
              <w:t xml:space="preserve"> </w:t>
            </w:r>
            <w:r w:rsidRPr="00BC61ED">
              <w:rPr>
                <w:sz w:val="20"/>
                <w:szCs w:val="20"/>
              </w:rPr>
              <w:t>է</w:t>
            </w:r>
            <w:r w:rsidRPr="00BC61ED">
              <w:rPr>
                <w:sz w:val="20"/>
                <w:szCs w:val="20"/>
                <w:lang w:val="af-ZA"/>
              </w:rPr>
              <w:t xml:space="preserve"> </w:t>
            </w:r>
            <w:r w:rsidRPr="00BC61ED">
              <w:rPr>
                <w:sz w:val="20"/>
                <w:szCs w:val="20"/>
              </w:rPr>
              <w:t>ՀՀ</w:t>
            </w:r>
            <w:r w:rsidRPr="00BC61ED">
              <w:rPr>
                <w:sz w:val="20"/>
                <w:szCs w:val="20"/>
                <w:lang w:val="af-ZA"/>
              </w:rPr>
              <w:t xml:space="preserve"> </w:t>
            </w:r>
            <w:r w:rsidRPr="00BC61ED">
              <w:rPr>
                <w:sz w:val="20"/>
                <w:szCs w:val="20"/>
              </w:rPr>
              <w:t>քաղաքացիական</w:t>
            </w:r>
            <w:r w:rsidRPr="00BC61ED">
              <w:rPr>
                <w:sz w:val="20"/>
                <w:szCs w:val="20"/>
                <w:lang w:val="af-ZA"/>
              </w:rPr>
              <w:t xml:space="preserve"> </w:t>
            </w:r>
            <w:r w:rsidRPr="00BC61ED">
              <w:rPr>
                <w:sz w:val="20"/>
                <w:szCs w:val="20"/>
              </w:rPr>
              <w:t>օրենսգրքի</w:t>
            </w:r>
            <w:r w:rsidRPr="00BC61ED">
              <w:rPr>
                <w:sz w:val="20"/>
                <w:szCs w:val="20"/>
                <w:lang w:val="af-ZA"/>
              </w:rPr>
              <w:t>, «</w:t>
            </w:r>
            <w:r w:rsidRPr="00BC61ED">
              <w:rPr>
                <w:sz w:val="20"/>
                <w:szCs w:val="20"/>
              </w:rPr>
              <w:t>Անշարժ</w:t>
            </w:r>
            <w:r w:rsidRPr="00BC61ED">
              <w:rPr>
                <w:sz w:val="20"/>
                <w:szCs w:val="20"/>
                <w:lang w:val="af-ZA"/>
              </w:rPr>
              <w:t xml:space="preserve"> </w:t>
            </w:r>
            <w:r w:rsidRPr="00BC61ED">
              <w:rPr>
                <w:sz w:val="20"/>
                <w:szCs w:val="20"/>
              </w:rPr>
              <w:t>գույքի</w:t>
            </w:r>
            <w:r w:rsidRPr="00BC61ED">
              <w:rPr>
                <w:sz w:val="20"/>
                <w:szCs w:val="20"/>
                <w:lang w:val="af-ZA"/>
              </w:rPr>
              <w:t xml:space="preserve"> </w:t>
            </w:r>
            <w:r w:rsidRPr="00BC61ED">
              <w:rPr>
                <w:sz w:val="20"/>
                <w:szCs w:val="20"/>
              </w:rPr>
              <w:t>գնահատման</w:t>
            </w:r>
            <w:hyperlink r:id="rId15" w:history="1">
              <w:r w:rsidRPr="00BC61ED">
                <w:rPr>
                  <w:rFonts w:ascii="Calibri" w:hAnsi="Calibri" w:cs="Calibri"/>
                  <w:sz w:val="20"/>
                  <w:szCs w:val="20"/>
                  <w:lang w:val="af-ZA"/>
                </w:rPr>
                <w:t> </w:t>
              </w:r>
              <w:r w:rsidRPr="00BC61ED">
                <w:rPr>
                  <w:sz w:val="20"/>
                  <w:szCs w:val="20"/>
                </w:rPr>
                <w:t>գործունեության</w:t>
              </w:r>
              <w:r w:rsidRPr="00BC61ED">
                <w:rPr>
                  <w:sz w:val="20"/>
                  <w:szCs w:val="20"/>
                  <w:lang w:val="af-ZA"/>
                </w:rPr>
                <w:t xml:space="preserve"> </w:t>
              </w:r>
              <w:r w:rsidRPr="00BC61ED">
                <w:rPr>
                  <w:sz w:val="20"/>
                  <w:szCs w:val="20"/>
                </w:rPr>
                <w:t>մասին</w:t>
              </w:r>
            </w:hyperlink>
            <w:r w:rsidRPr="00BC61ED">
              <w:rPr>
                <w:sz w:val="20"/>
                <w:szCs w:val="20"/>
                <w:lang w:val="af-ZA"/>
              </w:rPr>
              <w:t xml:space="preserve">» </w:t>
            </w:r>
            <w:r w:rsidRPr="00BC61ED">
              <w:rPr>
                <w:sz w:val="20"/>
                <w:szCs w:val="20"/>
              </w:rPr>
              <w:t>ՀՀ</w:t>
            </w:r>
            <w:r w:rsidRPr="00BC61ED">
              <w:rPr>
                <w:sz w:val="20"/>
                <w:szCs w:val="20"/>
                <w:lang w:val="af-ZA"/>
              </w:rPr>
              <w:t xml:space="preserve"> </w:t>
            </w:r>
            <w:r w:rsidRPr="00BC61ED">
              <w:rPr>
                <w:sz w:val="20"/>
                <w:szCs w:val="20"/>
              </w:rPr>
              <w:t>օրենքի</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ՀՀ</w:t>
            </w:r>
            <w:r w:rsidRPr="00BC61ED">
              <w:rPr>
                <w:sz w:val="20"/>
                <w:szCs w:val="20"/>
                <w:lang w:val="af-ZA"/>
              </w:rPr>
              <w:t>-</w:t>
            </w:r>
            <w:r w:rsidRPr="00BC61ED">
              <w:rPr>
                <w:sz w:val="20"/>
                <w:szCs w:val="20"/>
              </w:rPr>
              <w:t>ում</w:t>
            </w:r>
            <w:r w:rsidRPr="00BC61ED">
              <w:rPr>
                <w:sz w:val="20"/>
                <w:szCs w:val="20"/>
                <w:lang w:val="af-ZA"/>
              </w:rPr>
              <w:t xml:space="preserve"> </w:t>
            </w:r>
            <w:r w:rsidRPr="00BC61ED">
              <w:rPr>
                <w:sz w:val="20"/>
                <w:szCs w:val="20"/>
              </w:rPr>
              <w:t>անշարժ</w:t>
            </w:r>
            <w:r w:rsidRPr="00BC61ED">
              <w:rPr>
                <w:sz w:val="20"/>
                <w:szCs w:val="20"/>
                <w:lang w:val="af-ZA"/>
              </w:rPr>
              <w:t xml:space="preserve"> </w:t>
            </w:r>
            <w:r w:rsidRPr="00BC61ED">
              <w:rPr>
                <w:sz w:val="20"/>
                <w:szCs w:val="20"/>
              </w:rPr>
              <w:t>գույքի</w:t>
            </w:r>
            <w:r w:rsidRPr="00BC61ED">
              <w:rPr>
                <w:sz w:val="20"/>
                <w:szCs w:val="20"/>
                <w:lang w:val="af-ZA"/>
              </w:rPr>
              <w:t xml:space="preserve"> </w:t>
            </w:r>
            <w:r w:rsidRPr="00BC61ED">
              <w:rPr>
                <w:sz w:val="20"/>
                <w:szCs w:val="20"/>
              </w:rPr>
              <w:t>գնահատման</w:t>
            </w:r>
            <w:r w:rsidRPr="00BC61ED">
              <w:rPr>
                <w:sz w:val="20"/>
                <w:szCs w:val="20"/>
                <w:lang w:val="af-ZA"/>
              </w:rPr>
              <w:t xml:space="preserve"> </w:t>
            </w:r>
            <w:r w:rsidRPr="00BC61ED">
              <w:rPr>
                <w:sz w:val="20"/>
                <w:szCs w:val="20"/>
              </w:rPr>
              <w:t>ստանդարտ</w:t>
            </w:r>
            <w:r w:rsidRPr="00BC61ED">
              <w:rPr>
                <w:sz w:val="20"/>
                <w:szCs w:val="20"/>
                <w:lang w:val="af-ZA"/>
              </w:rPr>
              <w:t>»-</w:t>
            </w:r>
            <w:r w:rsidRPr="00BC61ED">
              <w:rPr>
                <w:sz w:val="20"/>
                <w:szCs w:val="20"/>
              </w:rPr>
              <w:t>ի</w:t>
            </w:r>
            <w:r w:rsidRPr="00BC61ED">
              <w:rPr>
                <w:sz w:val="20"/>
                <w:szCs w:val="20"/>
                <w:lang w:val="af-ZA"/>
              </w:rPr>
              <w:t xml:space="preserve"> </w:t>
            </w:r>
            <w:r w:rsidRPr="00BC61ED">
              <w:rPr>
                <w:sz w:val="20"/>
                <w:szCs w:val="20"/>
              </w:rPr>
              <w:t>հիման</w:t>
            </w:r>
            <w:r w:rsidRPr="00BC61ED">
              <w:rPr>
                <w:sz w:val="20"/>
                <w:szCs w:val="20"/>
                <w:lang w:val="af-ZA"/>
              </w:rPr>
              <w:t xml:space="preserve"> </w:t>
            </w:r>
            <w:r w:rsidRPr="00BC61ED">
              <w:rPr>
                <w:sz w:val="20"/>
                <w:szCs w:val="20"/>
              </w:rPr>
              <w:t>վրա</w:t>
            </w:r>
            <w:r w:rsidRPr="00BC61ED">
              <w:rPr>
                <w:sz w:val="20"/>
                <w:szCs w:val="20"/>
                <w:lang w:val="af-ZA"/>
              </w:rPr>
              <w:t>: «</w:t>
            </w:r>
            <w:r w:rsidRPr="00BC61ED">
              <w:rPr>
                <w:sz w:val="20"/>
                <w:szCs w:val="20"/>
              </w:rPr>
              <w:t>Անշարժ</w:t>
            </w:r>
            <w:r w:rsidRPr="00BC61ED">
              <w:rPr>
                <w:sz w:val="20"/>
                <w:szCs w:val="20"/>
                <w:lang w:val="af-ZA"/>
              </w:rPr>
              <w:t xml:space="preserve"> </w:t>
            </w:r>
            <w:r w:rsidRPr="00BC61ED">
              <w:rPr>
                <w:sz w:val="20"/>
                <w:szCs w:val="20"/>
              </w:rPr>
              <w:t>գույքի</w:t>
            </w:r>
            <w:r w:rsidRPr="00BC61ED">
              <w:rPr>
                <w:sz w:val="20"/>
                <w:szCs w:val="20"/>
                <w:lang w:val="af-ZA"/>
              </w:rPr>
              <w:t xml:space="preserve"> </w:t>
            </w:r>
            <w:r w:rsidRPr="00BC61ED">
              <w:rPr>
                <w:sz w:val="20"/>
                <w:szCs w:val="20"/>
              </w:rPr>
              <w:t>գնահատման</w:t>
            </w:r>
            <w:hyperlink r:id="rId16" w:history="1">
              <w:r w:rsidRPr="00BC61ED">
                <w:rPr>
                  <w:rFonts w:ascii="Calibri" w:hAnsi="Calibri" w:cs="Calibri"/>
                  <w:sz w:val="20"/>
                  <w:szCs w:val="20"/>
                  <w:lang w:val="af-ZA"/>
                </w:rPr>
                <w:t> </w:t>
              </w:r>
              <w:r w:rsidRPr="00BC61ED">
                <w:rPr>
                  <w:sz w:val="20"/>
                  <w:szCs w:val="20"/>
                </w:rPr>
                <w:t>գործունեության</w:t>
              </w:r>
              <w:r w:rsidRPr="00BC61ED">
                <w:rPr>
                  <w:sz w:val="20"/>
                  <w:szCs w:val="20"/>
                  <w:lang w:val="af-ZA"/>
                </w:rPr>
                <w:t xml:space="preserve"> </w:t>
              </w:r>
              <w:r w:rsidRPr="00BC61ED">
                <w:rPr>
                  <w:sz w:val="20"/>
                  <w:szCs w:val="20"/>
                </w:rPr>
                <w:t>մասին</w:t>
              </w:r>
            </w:hyperlink>
            <w:r w:rsidRPr="00BC61ED">
              <w:rPr>
                <w:sz w:val="20"/>
                <w:szCs w:val="20"/>
                <w:lang w:val="af-ZA"/>
              </w:rPr>
              <w:t xml:space="preserve">» </w:t>
            </w:r>
            <w:r w:rsidRPr="00BC61ED">
              <w:rPr>
                <w:sz w:val="20"/>
                <w:szCs w:val="20"/>
              </w:rPr>
              <w:t>ՀՀ</w:t>
            </w:r>
            <w:r w:rsidRPr="00BC61ED">
              <w:rPr>
                <w:sz w:val="20"/>
                <w:szCs w:val="20"/>
                <w:lang w:val="af-ZA"/>
              </w:rPr>
              <w:t xml:space="preserve"> </w:t>
            </w:r>
            <w:r w:rsidRPr="00BC61ED">
              <w:rPr>
                <w:sz w:val="20"/>
                <w:szCs w:val="20"/>
              </w:rPr>
              <w:t>օրենքը</w:t>
            </w:r>
            <w:r w:rsidRPr="00BC61ED">
              <w:rPr>
                <w:sz w:val="20"/>
                <w:szCs w:val="20"/>
                <w:lang w:val="af-ZA"/>
              </w:rPr>
              <w:t xml:space="preserve"> </w:t>
            </w:r>
            <w:r w:rsidRPr="00BC61ED">
              <w:rPr>
                <w:sz w:val="20"/>
                <w:szCs w:val="20"/>
              </w:rPr>
              <w:t>ընդունվել</w:t>
            </w:r>
            <w:r w:rsidRPr="00BC61ED">
              <w:rPr>
                <w:sz w:val="20"/>
                <w:szCs w:val="20"/>
                <w:lang w:val="af-ZA"/>
              </w:rPr>
              <w:t xml:space="preserve"> </w:t>
            </w:r>
            <w:r w:rsidRPr="00BC61ED">
              <w:rPr>
                <w:sz w:val="20"/>
                <w:szCs w:val="20"/>
              </w:rPr>
              <w:t>է</w:t>
            </w:r>
            <w:r w:rsidRPr="00BC61ED">
              <w:rPr>
                <w:sz w:val="20"/>
                <w:szCs w:val="20"/>
                <w:lang w:val="af-ZA"/>
              </w:rPr>
              <w:t xml:space="preserve"> 2005 </w:t>
            </w:r>
            <w:r w:rsidRPr="00BC61ED">
              <w:rPr>
                <w:sz w:val="20"/>
                <w:szCs w:val="20"/>
              </w:rPr>
              <w:t>թվականի</w:t>
            </w:r>
            <w:r w:rsidRPr="00BC61ED">
              <w:rPr>
                <w:sz w:val="20"/>
                <w:szCs w:val="20"/>
                <w:lang w:val="af-ZA"/>
              </w:rPr>
              <w:t xml:space="preserve"> </w:t>
            </w:r>
            <w:r w:rsidRPr="00BC61ED">
              <w:rPr>
                <w:sz w:val="20"/>
                <w:szCs w:val="20"/>
              </w:rPr>
              <w:t>հոկտեմբերի</w:t>
            </w:r>
            <w:r w:rsidRPr="00BC61ED">
              <w:rPr>
                <w:sz w:val="20"/>
                <w:szCs w:val="20"/>
                <w:lang w:val="af-ZA"/>
              </w:rPr>
              <w:t xml:space="preserve"> 4-</w:t>
            </w:r>
            <w:r w:rsidRPr="00BC61ED">
              <w:rPr>
                <w:sz w:val="20"/>
                <w:szCs w:val="20"/>
              </w:rPr>
              <w:t>ին</w:t>
            </w:r>
            <w:r w:rsidRPr="00BC61ED">
              <w:rPr>
                <w:sz w:val="20"/>
                <w:szCs w:val="20"/>
                <w:lang w:val="af-ZA"/>
              </w:rPr>
              <w:t xml:space="preserve">: </w:t>
            </w:r>
            <w:r w:rsidRPr="00BC61ED">
              <w:rPr>
                <w:sz w:val="20"/>
                <w:szCs w:val="20"/>
              </w:rPr>
              <w:t>Մինչև</w:t>
            </w:r>
            <w:r w:rsidRPr="00BC61ED">
              <w:rPr>
                <w:sz w:val="20"/>
                <w:szCs w:val="20"/>
                <w:lang w:val="af-ZA"/>
              </w:rPr>
              <w:t xml:space="preserve"> 2011 </w:t>
            </w:r>
            <w:r w:rsidRPr="00BC61ED">
              <w:rPr>
                <w:sz w:val="20"/>
                <w:szCs w:val="20"/>
              </w:rPr>
              <w:t>թվականի</w:t>
            </w:r>
            <w:r w:rsidRPr="00BC61ED">
              <w:rPr>
                <w:sz w:val="20"/>
                <w:szCs w:val="20"/>
                <w:lang w:val="af-ZA"/>
              </w:rPr>
              <w:t xml:space="preserve"> </w:t>
            </w:r>
            <w:r w:rsidRPr="00BC61ED">
              <w:rPr>
                <w:sz w:val="20"/>
                <w:szCs w:val="20"/>
              </w:rPr>
              <w:t>հունվարի</w:t>
            </w:r>
            <w:r w:rsidRPr="00BC61ED">
              <w:rPr>
                <w:sz w:val="20"/>
                <w:szCs w:val="20"/>
                <w:lang w:val="af-ZA"/>
              </w:rPr>
              <w:t xml:space="preserve"> 1-</w:t>
            </w:r>
            <w:r w:rsidRPr="00BC61ED">
              <w:rPr>
                <w:sz w:val="20"/>
                <w:szCs w:val="20"/>
              </w:rPr>
              <w:t>ն</w:t>
            </w:r>
            <w:r w:rsidRPr="00BC61ED">
              <w:rPr>
                <w:sz w:val="20"/>
                <w:szCs w:val="20"/>
                <w:lang w:val="af-ZA"/>
              </w:rPr>
              <w:t xml:space="preserve"> </w:t>
            </w:r>
            <w:r w:rsidRPr="00BC61ED">
              <w:rPr>
                <w:sz w:val="20"/>
                <w:szCs w:val="20"/>
              </w:rPr>
              <w:t>անշարժ</w:t>
            </w:r>
            <w:r w:rsidRPr="00BC61ED">
              <w:rPr>
                <w:sz w:val="20"/>
                <w:szCs w:val="20"/>
                <w:lang w:val="af-ZA"/>
              </w:rPr>
              <w:t xml:space="preserve"> </w:t>
            </w:r>
            <w:r w:rsidRPr="00BC61ED">
              <w:rPr>
                <w:sz w:val="20"/>
                <w:szCs w:val="20"/>
              </w:rPr>
              <w:t>գույքի</w:t>
            </w:r>
            <w:r w:rsidRPr="00BC61ED">
              <w:rPr>
                <w:sz w:val="20"/>
                <w:szCs w:val="20"/>
                <w:lang w:val="af-ZA"/>
              </w:rPr>
              <w:t xml:space="preserve"> </w:t>
            </w:r>
            <w:r w:rsidRPr="00BC61ED">
              <w:rPr>
                <w:sz w:val="20"/>
                <w:szCs w:val="20"/>
              </w:rPr>
              <w:t>գնահատման</w:t>
            </w:r>
            <w:r w:rsidRPr="00BC61ED">
              <w:rPr>
                <w:sz w:val="20"/>
                <w:szCs w:val="20"/>
                <w:lang w:val="af-ZA"/>
              </w:rPr>
              <w:t xml:space="preserve"> </w:t>
            </w:r>
            <w:r w:rsidRPr="00BC61ED">
              <w:rPr>
                <w:sz w:val="20"/>
                <w:szCs w:val="20"/>
              </w:rPr>
              <w:t>գործունեությունը</w:t>
            </w:r>
            <w:r w:rsidRPr="00BC61ED">
              <w:rPr>
                <w:sz w:val="20"/>
                <w:szCs w:val="20"/>
                <w:lang w:val="af-ZA"/>
              </w:rPr>
              <w:t xml:space="preserve"> </w:t>
            </w:r>
            <w:r w:rsidRPr="00BC61ED">
              <w:rPr>
                <w:sz w:val="20"/>
                <w:szCs w:val="20"/>
              </w:rPr>
              <w:t>լիցենզավորվում</w:t>
            </w:r>
            <w:r w:rsidRPr="00BC61ED">
              <w:rPr>
                <w:sz w:val="20"/>
                <w:szCs w:val="20"/>
                <w:lang w:val="af-ZA"/>
              </w:rPr>
              <w:t xml:space="preserve"> </w:t>
            </w:r>
            <w:r w:rsidRPr="00BC61ED">
              <w:rPr>
                <w:sz w:val="20"/>
                <w:szCs w:val="20"/>
              </w:rPr>
              <w:t>էր</w:t>
            </w:r>
            <w:r w:rsidRPr="00BC61ED">
              <w:rPr>
                <w:sz w:val="20"/>
                <w:szCs w:val="20"/>
                <w:lang w:val="af-ZA"/>
              </w:rPr>
              <w:t xml:space="preserve">, </w:t>
            </w:r>
            <w:r w:rsidRPr="00BC61ED">
              <w:rPr>
                <w:sz w:val="20"/>
                <w:szCs w:val="20"/>
              </w:rPr>
              <w:t>իսկ</w:t>
            </w:r>
            <w:r w:rsidRPr="00BC61ED">
              <w:rPr>
                <w:sz w:val="20"/>
                <w:szCs w:val="20"/>
                <w:lang w:val="af-ZA"/>
              </w:rPr>
              <w:t xml:space="preserve"> </w:t>
            </w:r>
            <w:r w:rsidRPr="00BC61ED">
              <w:rPr>
                <w:sz w:val="20"/>
                <w:szCs w:val="20"/>
              </w:rPr>
              <w:t>գնահատողը՝</w:t>
            </w:r>
            <w:r w:rsidRPr="00BC61ED">
              <w:rPr>
                <w:sz w:val="20"/>
                <w:szCs w:val="20"/>
                <w:lang w:val="af-ZA"/>
              </w:rPr>
              <w:t xml:space="preserve"> </w:t>
            </w:r>
            <w:r w:rsidRPr="00BC61ED">
              <w:rPr>
                <w:sz w:val="20"/>
                <w:szCs w:val="20"/>
              </w:rPr>
              <w:t>որակավորվում</w:t>
            </w:r>
            <w:r w:rsidRPr="00BC61ED">
              <w:rPr>
                <w:sz w:val="20"/>
                <w:szCs w:val="20"/>
                <w:lang w:val="af-ZA"/>
              </w:rPr>
              <w:t xml:space="preserve"> </w:t>
            </w:r>
            <w:r w:rsidRPr="00BC61ED">
              <w:rPr>
                <w:sz w:val="20"/>
                <w:szCs w:val="20"/>
              </w:rPr>
              <w:t>լիազոր</w:t>
            </w:r>
            <w:r w:rsidRPr="00BC61ED">
              <w:rPr>
                <w:sz w:val="20"/>
                <w:szCs w:val="20"/>
                <w:lang w:val="af-ZA"/>
              </w:rPr>
              <w:t xml:space="preserve"> </w:t>
            </w:r>
            <w:r w:rsidRPr="00BC61ED">
              <w:rPr>
                <w:sz w:val="20"/>
                <w:szCs w:val="20"/>
              </w:rPr>
              <w:t>մարմնի</w:t>
            </w:r>
            <w:r w:rsidRPr="00BC61ED">
              <w:rPr>
                <w:sz w:val="20"/>
                <w:szCs w:val="20"/>
                <w:lang w:val="af-ZA"/>
              </w:rPr>
              <w:t xml:space="preserve"> </w:t>
            </w:r>
            <w:r w:rsidRPr="00BC61ED">
              <w:rPr>
                <w:sz w:val="20"/>
                <w:szCs w:val="20"/>
              </w:rPr>
              <w:t>կողմից</w:t>
            </w:r>
            <w:r w:rsidRPr="00BC61ED">
              <w:rPr>
                <w:sz w:val="20"/>
                <w:szCs w:val="20"/>
                <w:lang w:val="af-ZA"/>
              </w:rPr>
              <w:t xml:space="preserve">: 2010 </w:t>
            </w:r>
            <w:r w:rsidRPr="00BC61ED">
              <w:rPr>
                <w:sz w:val="20"/>
                <w:szCs w:val="20"/>
              </w:rPr>
              <w:t>թվականի</w:t>
            </w:r>
            <w:r w:rsidRPr="00BC61ED">
              <w:rPr>
                <w:sz w:val="20"/>
                <w:szCs w:val="20"/>
                <w:lang w:val="af-ZA"/>
              </w:rPr>
              <w:t xml:space="preserve"> </w:t>
            </w:r>
            <w:r w:rsidRPr="00BC61ED">
              <w:rPr>
                <w:sz w:val="20"/>
                <w:szCs w:val="20"/>
              </w:rPr>
              <w:t>դեկտեմբերի</w:t>
            </w:r>
            <w:r w:rsidRPr="00BC61ED">
              <w:rPr>
                <w:sz w:val="20"/>
                <w:szCs w:val="20"/>
                <w:lang w:val="af-ZA"/>
              </w:rPr>
              <w:t xml:space="preserve"> 8-</w:t>
            </w:r>
            <w:r w:rsidRPr="00BC61ED">
              <w:rPr>
                <w:sz w:val="20"/>
                <w:szCs w:val="20"/>
              </w:rPr>
              <w:t>ին</w:t>
            </w:r>
            <w:r w:rsidRPr="00BC61ED">
              <w:rPr>
                <w:sz w:val="20"/>
                <w:szCs w:val="20"/>
                <w:lang w:val="af-ZA"/>
              </w:rPr>
              <w:t xml:space="preserve"> </w:t>
            </w:r>
            <w:r w:rsidRPr="00BC61ED">
              <w:rPr>
                <w:sz w:val="20"/>
                <w:szCs w:val="20"/>
              </w:rPr>
              <w:t>ընդունված</w:t>
            </w:r>
            <w:r w:rsidRPr="00BC61ED">
              <w:rPr>
                <w:sz w:val="20"/>
                <w:szCs w:val="20"/>
                <w:lang w:val="af-ZA"/>
              </w:rPr>
              <w:t xml:space="preserve"> N </w:t>
            </w:r>
            <w:r w:rsidRPr="00BC61ED">
              <w:rPr>
                <w:sz w:val="20"/>
                <w:szCs w:val="20"/>
              </w:rPr>
              <w:t>ՀՕ</w:t>
            </w:r>
            <w:r w:rsidRPr="00BC61ED">
              <w:rPr>
                <w:sz w:val="20"/>
                <w:szCs w:val="20"/>
                <w:lang w:val="af-ZA"/>
              </w:rPr>
              <w:t>-237-</w:t>
            </w:r>
            <w:r w:rsidRPr="00BC61ED">
              <w:rPr>
                <w:sz w:val="20"/>
                <w:szCs w:val="20"/>
              </w:rPr>
              <w:t>Ն</w:t>
            </w:r>
            <w:r w:rsidRPr="00BC61ED">
              <w:rPr>
                <w:sz w:val="20"/>
                <w:szCs w:val="20"/>
                <w:lang w:val="af-ZA"/>
              </w:rPr>
              <w:t xml:space="preserve"> </w:t>
            </w:r>
            <w:r w:rsidRPr="00BC61ED">
              <w:rPr>
                <w:sz w:val="20"/>
                <w:szCs w:val="20"/>
              </w:rPr>
              <w:t>օրենքով</w:t>
            </w:r>
            <w:r w:rsidRPr="00BC61ED">
              <w:rPr>
                <w:sz w:val="20"/>
                <w:szCs w:val="20"/>
                <w:lang w:val="af-ZA"/>
              </w:rPr>
              <w:t xml:space="preserve"> </w:t>
            </w:r>
            <w:r w:rsidRPr="00BC61ED">
              <w:rPr>
                <w:sz w:val="20"/>
                <w:szCs w:val="20"/>
              </w:rPr>
              <w:t>անշարժ</w:t>
            </w:r>
            <w:r w:rsidRPr="00BC61ED">
              <w:rPr>
                <w:sz w:val="20"/>
                <w:szCs w:val="20"/>
                <w:lang w:val="af-ZA"/>
              </w:rPr>
              <w:t xml:space="preserve"> </w:t>
            </w:r>
            <w:r w:rsidRPr="00BC61ED">
              <w:rPr>
                <w:sz w:val="20"/>
                <w:szCs w:val="20"/>
              </w:rPr>
              <w:t>գույքի</w:t>
            </w:r>
            <w:r w:rsidRPr="00BC61ED">
              <w:rPr>
                <w:sz w:val="20"/>
                <w:szCs w:val="20"/>
                <w:lang w:val="af-ZA"/>
              </w:rPr>
              <w:t xml:space="preserve"> </w:t>
            </w:r>
            <w:r w:rsidRPr="00BC61ED">
              <w:rPr>
                <w:sz w:val="20"/>
                <w:szCs w:val="20"/>
              </w:rPr>
              <w:t>գնահատման</w:t>
            </w:r>
            <w:r w:rsidRPr="00BC61ED">
              <w:rPr>
                <w:sz w:val="20"/>
                <w:szCs w:val="20"/>
                <w:lang w:val="af-ZA"/>
              </w:rPr>
              <w:t xml:space="preserve"> </w:t>
            </w:r>
            <w:r w:rsidRPr="00BC61ED">
              <w:rPr>
                <w:sz w:val="20"/>
                <w:szCs w:val="20"/>
              </w:rPr>
              <w:t>գործունեության</w:t>
            </w:r>
            <w:r w:rsidRPr="00BC61ED">
              <w:rPr>
                <w:sz w:val="20"/>
                <w:szCs w:val="20"/>
                <w:lang w:val="af-ZA"/>
              </w:rPr>
              <w:t xml:space="preserve"> </w:t>
            </w:r>
            <w:r w:rsidRPr="00BC61ED">
              <w:rPr>
                <w:sz w:val="20"/>
                <w:szCs w:val="20"/>
              </w:rPr>
              <w:t>լիցենզավորման</w:t>
            </w:r>
            <w:r w:rsidRPr="00BC61ED">
              <w:rPr>
                <w:sz w:val="20"/>
                <w:szCs w:val="20"/>
                <w:lang w:val="af-ZA"/>
              </w:rPr>
              <w:t xml:space="preserve"> </w:t>
            </w:r>
            <w:r w:rsidRPr="00BC61ED">
              <w:rPr>
                <w:sz w:val="20"/>
                <w:szCs w:val="20"/>
              </w:rPr>
              <w:t>պահանջը</w:t>
            </w:r>
            <w:r w:rsidRPr="00BC61ED">
              <w:rPr>
                <w:sz w:val="20"/>
                <w:szCs w:val="20"/>
                <w:lang w:val="af-ZA"/>
              </w:rPr>
              <w:t xml:space="preserve"> </w:t>
            </w:r>
            <w:r w:rsidRPr="00BC61ED">
              <w:rPr>
                <w:sz w:val="20"/>
                <w:szCs w:val="20"/>
              </w:rPr>
              <w:t>վերացվեց</w:t>
            </w:r>
            <w:r w:rsidRPr="00BC61ED">
              <w:rPr>
                <w:sz w:val="20"/>
                <w:szCs w:val="20"/>
                <w:lang w:val="af-ZA"/>
              </w:rPr>
              <w:t>:</w:t>
            </w:r>
          </w:p>
          <w:p w:rsidR="0068680D" w:rsidRPr="00BC61ED" w:rsidRDefault="0068680D" w:rsidP="00F47DC4">
            <w:pPr>
              <w:shd w:val="clear" w:color="auto" w:fill="FFFFFF"/>
              <w:spacing w:line="276" w:lineRule="auto"/>
              <w:jc w:val="both"/>
              <w:textAlignment w:val="baseline"/>
              <w:rPr>
                <w:sz w:val="20"/>
                <w:szCs w:val="20"/>
                <w:lang w:val="af-ZA"/>
              </w:rPr>
            </w:pPr>
            <w:r w:rsidRPr="00BC61ED">
              <w:rPr>
                <w:sz w:val="20"/>
                <w:szCs w:val="20"/>
                <w:lang w:val="af-ZA"/>
              </w:rPr>
              <w:t xml:space="preserve">   </w:t>
            </w:r>
            <w:r w:rsidRPr="00BC61ED">
              <w:rPr>
                <w:sz w:val="20"/>
                <w:szCs w:val="20"/>
              </w:rPr>
              <w:t>Վերոնշյալ</w:t>
            </w:r>
            <w:r w:rsidRPr="00BC61ED">
              <w:rPr>
                <w:sz w:val="20"/>
                <w:szCs w:val="20"/>
                <w:lang w:val="af-ZA"/>
              </w:rPr>
              <w:t xml:space="preserve"> </w:t>
            </w:r>
            <w:r w:rsidRPr="00BC61ED">
              <w:rPr>
                <w:sz w:val="20"/>
                <w:szCs w:val="20"/>
              </w:rPr>
              <w:t>օրենքի</w:t>
            </w:r>
            <w:r w:rsidRPr="00BC61ED">
              <w:rPr>
                <w:sz w:val="20"/>
                <w:szCs w:val="20"/>
                <w:lang w:val="af-ZA"/>
              </w:rPr>
              <w:t xml:space="preserve"> </w:t>
            </w:r>
            <w:r w:rsidRPr="00BC61ED">
              <w:rPr>
                <w:sz w:val="20"/>
                <w:szCs w:val="20"/>
              </w:rPr>
              <w:t>գործողությունը</w:t>
            </w:r>
            <w:r w:rsidRPr="00BC61ED">
              <w:rPr>
                <w:sz w:val="20"/>
                <w:szCs w:val="20"/>
                <w:lang w:val="af-ZA"/>
              </w:rPr>
              <w:t xml:space="preserve"> </w:t>
            </w:r>
            <w:r w:rsidRPr="00BC61ED">
              <w:rPr>
                <w:sz w:val="20"/>
                <w:szCs w:val="20"/>
              </w:rPr>
              <w:t>տարածվում</w:t>
            </w:r>
            <w:r w:rsidRPr="00BC61ED">
              <w:rPr>
                <w:sz w:val="20"/>
                <w:szCs w:val="20"/>
                <w:lang w:val="af-ZA"/>
              </w:rPr>
              <w:t xml:space="preserve"> </w:t>
            </w:r>
            <w:r w:rsidRPr="00BC61ED">
              <w:rPr>
                <w:sz w:val="20"/>
                <w:szCs w:val="20"/>
              </w:rPr>
              <w:t>է</w:t>
            </w:r>
            <w:r w:rsidRPr="00BC61ED">
              <w:rPr>
                <w:sz w:val="20"/>
                <w:szCs w:val="20"/>
                <w:lang w:val="af-ZA"/>
              </w:rPr>
              <w:t xml:space="preserve"> </w:t>
            </w:r>
            <w:r w:rsidRPr="00BC61ED">
              <w:rPr>
                <w:sz w:val="20"/>
                <w:szCs w:val="20"/>
              </w:rPr>
              <w:t>միայն</w:t>
            </w:r>
            <w:r w:rsidRPr="00BC61ED">
              <w:rPr>
                <w:sz w:val="20"/>
                <w:szCs w:val="20"/>
                <w:lang w:val="af-ZA"/>
              </w:rPr>
              <w:t xml:space="preserve"> </w:t>
            </w:r>
            <w:r w:rsidRPr="00BC61ED">
              <w:rPr>
                <w:sz w:val="20"/>
                <w:szCs w:val="20"/>
              </w:rPr>
              <w:t>Հայաստանի</w:t>
            </w:r>
            <w:r w:rsidRPr="00BC61ED">
              <w:rPr>
                <w:sz w:val="20"/>
                <w:szCs w:val="20"/>
                <w:lang w:val="af-ZA"/>
              </w:rPr>
              <w:t xml:space="preserve"> </w:t>
            </w:r>
            <w:r w:rsidRPr="00BC61ED">
              <w:rPr>
                <w:sz w:val="20"/>
                <w:szCs w:val="20"/>
              </w:rPr>
              <w:t>Հանրապետության</w:t>
            </w:r>
            <w:r w:rsidRPr="00BC61ED">
              <w:rPr>
                <w:sz w:val="20"/>
                <w:szCs w:val="20"/>
                <w:lang w:val="af-ZA"/>
              </w:rPr>
              <w:t xml:space="preserve"> </w:t>
            </w:r>
            <w:r w:rsidRPr="00BC61ED">
              <w:rPr>
                <w:sz w:val="20"/>
                <w:szCs w:val="20"/>
              </w:rPr>
              <w:t>տարածքում</w:t>
            </w:r>
            <w:r w:rsidRPr="00BC61ED">
              <w:rPr>
                <w:sz w:val="20"/>
                <w:szCs w:val="20"/>
                <w:lang w:val="af-ZA"/>
              </w:rPr>
              <w:t xml:space="preserve"> </w:t>
            </w:r>
            <w:r w:rsidRPr="00BC61ED">
              <w:rPr>
                <w:sz w:val="20"/>
                <w:szCs w:val="20"/>
              </w:rPr>
              <w:t>իրականացվող</w:t>
            </w:r>
            <w:r w:rsidRPr="00BC61ED">
              <w:rPr>
                <w:sz w:val="20"/>
                <w:szCs w:val="20"/>
                <w:lang w:val="af-ZA"/>
              </w:rPr>
              <w:t xml:space="preserve"> </w:t>
            </w:r>
            <w:r w:rsidRPr="00BC61ED">
              <w:rPr>
                <w:sz w:val="20"/>
                <w:szCs w:val="20"/>
              </w:rPr>
              <w:t>անշարժ</w:t>
            </w:r>
            <w:r w:rsidRPr="00BC61ED">
              <w:rPr>
                <w:sz w:val="20"/>
                <w:szCs w:val="20"/>
                <w:lang w:val="af-ZA"/>
              </w:rPr>
              <w:t xml:space="preserve"> </w:t>
            </w:r>
            <w:r w:rsidRPr="00BC61ED">
              <w:rPr>
                <w:sz w:val="20"/>
                <w:szCs w:val="20"/>
              </w:rPr>
              <w:t>գույքի</w:t>
            </w:r>
            <w:r w:rsidRPr="00BC61ED">
              <w:rPr>
                <w:sz w:val="20"/>
                <w:szCs w:val="20"/>
                <w:lang w:val="af-ZA"/>
              </w:rPr>
              <w:t xml:space="preserve"> </w:t>
            </w:r>
            <w:r w:rsidRPr="00BC61ED">
              <w:rPr>
                <w:sz w:val="20"/>
                <w:szCs w:val="20"/>
              </w:rPr>
              <w:t>գնահատման</w:t>
            </w:r>
            <w:r w:rsidRPr="00BC61ED">
              <w:rPr>
                <w:sz w:val="20"/>
                <w:szCs w:val="20"/>
                <w:lang w:val="af-ZA"/>
              </w:rPr>
              <w:t xml:space="preserve"> </w:t>
            </w:r>
            <w:r w:rsidRPr="00BC61ED">
              <w:rPr>
                <w:sz w:val="20"/>
                <w:szCs w:val="20"/>
              </w:rPr>
              <w:t>գործունեության</w:t>
            </w:r>
            <w:r w:rsidRPr="00BC61ED">
              <w:rPr>
                <w:sz w:val="20"/>
                <w:szCs w:val="20"/>
                <w:lang w:val="af-ZA"/>
              </w:rPr>
              <w:t xml:space="preserve"> </w:t>
            </w:r>
            <w:r w:rsidRPr="00BC61ED">
              <w:rPr>
                <w:sz w:val="20"/>
                <w:szCs w:val="20"/>
              </w:rPr>
              <w:t>վրա</w:t>
            </w:r>
            <w:r w:rsidRPr="00BC61ED">
              <w:rPr>
                <w:sz w:val="20"/>
                <w:szCs w:val="20"/>
                <w:lang w:val="af-ZA"/>
              </w:rPr>
              <w:t>:</w:t>
            </w:r>
          </w:p>
          <w:p w:rsidR="0068680D" w:rsidRPr="00BC61ED" w:rsidRDefault="0068680D" w:rsidP="00F47DC4">
            <w:pPr>
              <w:shd w:val="clear" w:color="auto" w:fill="FFFFFF"/>
              <w:spacing w:line="276" w:lineRule="auto"/>
              <w:jc w:val="both"/>
              <w:textAlignment w:val="baseline"/>
              <w:rPr>
                <w:sz w:val="20"/>
                <w:szCs w:val="20"/>
                <w:lang w:val="af-ZA"/>
              </w:rPr>
            </w:pPr>
            <w:r w:rsidRPr="00BC61ED">
              <w:rPr>
                <w:sz w:val="20"/>
                <w:szCs w:val="20"/>
                <w:lang w:val="af-ZA"/>
              </w:rPr>
              <w:t xml:space="preserve">   </w:t>
            </w:r>
            <w:r w:rsidRPr="00BC61ED">
              <w:rPr>
                <w:sz w:val="20"/>
                <w:szCs w:val="20"/>
              </w:rPr>
              <w:t>Հայաստանի</w:t>
            </w:r>
            <w:r w:rsidRPr="00BC61ED">
              <w:rPr>
                <w:sz w:val="20"/>
                <w:szCs w:val="20"/>
                <w:lang w:val="af-ZA"/>
              </w:rPr>
              <w:t xml:space="preserve"> </w:t>
            </w:r>
            <w:r w:rsidRPr="00BC61ED">
              <w:rPr>
                <w:sz w:val="20"/>
                <w:szCs w:val="20"/>
              </w:rPr>
              <w:t>Հանրապետության</w:t>
            </w:r>
            <w:r w:rsidRPr="00BC61ED">
              <w:rPr>
                <w:sz w:val="20"/>
                <w:szCs w:val="20"/>
                <w:lang w:val="af-ZA"/>
              </w:rPr>
              <w:t xml:space="preserve"> </w:t>
            </w:r>
            <w:r w:rsidRPr="00BC61ED">
              <w:rPr>
                <w:sz w:val="20"/>
                <w:szCs w:val="20"/>
              </w:rPr>
              <w:t>կառավարության</w:t>
            </w:r>
            <w:r w:rsidRPr="00BC61ED">
              <w:rPr>
                <w:sz w:val="20"/>
                <w:szCs w:val="20"/>
                <w:lang w:val="af-ZA"/>
              </w:rPr>
              <w:t xml:space="preserve"> 2005 </w:t>
            </w:r>
            <w:r w:rsidRPr="00BC61ED">
              <w:rPr>
                <w:sz w:val="20"/>
                <w:szCs w:val="20"/>
              </w:rPr>
              <w:t>թվականի</w:t>
            </w:r>
            <w:r w:rsidRPr="00BC61ED">
              <w:rPr>
                <w:sz w:val="20"/>
                <w:szCs w:val="20"/>
                <w:lang w:val="af-ZA"/>
              </w:rPr>
              <w:t xml:space="preserve"> </w:t>
            </w:r>
            <w:r w:rsidRPr="00BC61ED">
              <w:rPr>
                <w:sz w:val="20"/>
                <w:szCs w:val="20"/>
              </w:rPr>
              <w:t>դեկտեմբերի</w:t>
            </w:r>
            <w:r w:rsidRPr="00BC61ED">
              <w:rPr>
                <w:sz w:val="20"/>
                <w:szCs w:val="20"/>
                <w:lang w:val="af-ZA"/>
              </w:rPr>
              <w:t xml:space="preserve"> 29-</w:t>
            </w:r>
            <w:r w:rsidRPr="00BC61ED">
              <w:rPr>
                <w:sz w:val="20"/>
                <w:szCs w:val="20"/>
              </w:rPr>
              <w:t>ի</w:t>
            </w:r>
            <w:r w:rsidRPr="00BC61ED">
              <w:rPr>
                <w:sz w:val="20"/>
                <w:szCs w:val="20"/>
                <w:lang w:val="af-ZA"/>
              </w:rPr>
              <w:t xml:space="preserve"> «</w:t>
            </w:r>
            <w:r w:rsidRPr="00BC61ED">
              <w:rPr>
                <w:sz w:val="20"/>
                <w:szCs w:val="20"/>
              </w:rPr>
              <w:t>Անշարժ</w:t>
            </w:r>
            <w:r w:rsidRPr="00BC61ED">
              <w:rPr>
                <w:sz w:val="20"/>
                <w:szCs w:val="20"/>
                <w:lang w:val="af-ZA"/>
              </w:rPr>
              <w:t xml:space="preserve"> </w:t>
            </w:r>
            <w:r w:rsidRPr="00BC61ED">
              <w:rPr>
                <w:sz w:val="20"/>
                <w:szCs w:val="20"/>
              </w:rPr>
              <w:t>գույքի</w:t>
            </w:r>
            <w:r w:rsidRPr="00BC61ED">
              <w:rPr>
                <w:sz w:val="20"/>
                <w:szCs w:val="20"/>
                <w:lang w:val="af-ZA"/>
              </w:rPr>
              <w:t xml:space="preserve"> </w:t>
            </w:r>
            <w:r w:rsidRPr="00BC61ED">
              <w:rPr>
                <w:sz w:val="20"/>
                <w:szCs w:val="20"/>
              </w:rPr>
              <w:t>գնահատման</w:t>
            </w:r>
            <w:r w:rsidRPr="00BC61ED">
              <w:rPr>
                <w:sz w:val="20"/>
                <w:szCs w:val="20"/>
                <w:lang w:val="af-ZA"/>
              </w:rPr>
              <w:t xml:space="preserve"> </w:t>
            </w:r>
            <w:r w:rsidRPr="00BC61ED">
              <w:rPr>
                <w:sz w:val="20"/>
                <w:szCs w:val="20"/>
              </w:rPr>
              <w:t>գործունեության</w:t>
            </w:r>
            <w:r w:rsidRPr="00BC61ED">
              <w:rPr>
                <w:sz w:val="20"/>
                <w:szCs w:val="20"/>
                <w:lang w:val="af-ZA"/>
              </w:rPr>
              <w:t xml:space="preserve"> </w:t>
            </w:r>
            <w:r w:rsidRPr="00BC61ED">
              <w:rPr>
                <w:sz w:val="20"/>
                <w:szCs w:val="20"/>
              </w:rPr>
              <w:t>ոլորտը</w:t>
            </w:r>
            <w:r w:rsidRPr="00BC61ED">
              <w:rPr>
                <w:sz w:val="20"/>
                <w:szCs w:val="20"/>
                <w:lang w:val="af-ZA"/>
              </w:rPr>
              <w:t xml:space="preserve"> </w:t>
            </w:r>
            <w:r w:rsidRPr="00BC61ED">
              <w:rPr>
                <w:sz w:val="20"/>
                <w:szCs w:val="20"/>
              </w:rPr>
              <w:t>կարգավորող</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հսկողություն</w:t>
            </w:r>
            <w:r w:rsidRPr="00BC61ED">
              <w:rPr>
                <w:sz w:val="20"/>
                <w:szCs w:val="20"/>
                <w:lang w:val="af-ZA"/>
              </w:rPr>
              <w:t xml:space="preserve"> </w:t>
            </w:r>
            <w:r w:rsidRPr="00BC61ED">
              <w:rPr>
                <w:sz w:val="20"/>
                <w:szCs w:val="20"/>
              </w:rPr>
              <w:t>իրականացնող</w:t>
            </w:r>
            <w:r w:rsidRPr="00BC61ED">
              <w:rPr>
                <w:sz w:val="20"/>
                <w:szCs w:val="20"/>
                <w:lang w:val="af-ZA"/>
              </w:rPr>
              <w:t xml:space="preserve"> </w:t>
            </w:r>
            <w:r w:rsidRPr="00BC61ED">
              <w:rPr>
                <w:sz w:val="20"/>
                <w:szCs w:val="20"/>
              </w:rPr>
              <w:t>լիազոր</w:t>
            </w:r>
            <w:r w:rsidRPr="00BC61ED">
              <w:rPr>
                <w:sz w:val="20"/>
                <w:szCs w:val="20"/>
                <w:lang w:val="af-ZA"/>
              </w:rPr>
              <w:t xml:space="preserve"> </w:t>
            </w:r>
            <w:r w:rsidRPr="00BC61ED">
              <w:rPr>
                <w:sz w:val="20"/>
                <w:szCs w:val="20"/>
              </w:rPr>
              <w:t>մարմին</w:t>
            </w:r>
            <w:r w:rsidRPr="00BC61ED">
              <w:rPr>
                <w:sz w:val="20"/>
                <w:szCs w:val="20"/>
                <w:lang w:val="af-ZA"/>
              </w:rPr>
              <w:t xml:space="preserve"> </w:t>
            </w:r>
            <w:r w:rsidRPr="00BC61ED">
              <w:rPr>
                <w:sz w:val="20"/>
                <w:szCs w:val="20"/>
              </w:rPr>
              <w:t>սահմանելու</w:t>
            </w:r>
            <w:r w:rsidRPr="00BC61ED">
              <w:rPr>
                <w:sz w:val="20"/>
                <w:szCs w:val="20"/>
                <w:lang w:val="af-ZA"/>
              </w:rPr>
              <w:t xml:space="preserve"> </w:t>
            </w:r>
            <w:r w:rsidRPr="00BC61ED">
              <w:rPr>
                <w:sz w:val="20"/>
                <w:szCs w:val="20"/>
              </w:rPr>
              <w:t>մասին</w:t>
            </w:r>
            <w:r w:rsidRPr="00BC61ED">
              <w:rPr>
                <w:sz w:val="20"/>
                <w:szCs w:val="20"/>
                <w:lang w:val="af-ZA"/>
              </w:rPr>
              <w:t>» N 2277-</w:t>
            </w:r>
            <w:r w:rsidRPr="00BC61ED">
              <w:rPr>
                <w:sz w:val="20"/>
                <w:szCs w:val="20"/>
              </w:rPr>
              <w:t>Ն</w:t>
            </w:r>
            <w:r w:rsidRPr="00BC61ED">
              <w:rPr>
                <w:sz w:val="20"/>
                <w:szCs w:val="20"/>
                <w:lang w:val="af-ZA"/>
              </w:rPr>
              <w:t xml:space="preserve"> </w:t>
            </w:r>
            <w:r w:rsidRPr="00BC61ED">
              <w:rPr>
                <w:sz w:val="20"/>
                <w:szCs w:val="20"/>
              </w:rPr>
              <w:t>որոշմամբ</w:t>
            </w:r>
            <w:r w:rsidRPr="00BC61ED">
              <w:rPr>
                <w:sz w:val="20"/>
                <w:szCs w:val="20"/>
                <w:lang w:val="af-ZA"/>
              </w:rPr>
              <w:t xml:space="preserve"> </w:t>
            </w:r>
            <w:r w:rsidRPr="00BC61ED">
              <w:rPr>
                <w:sz w:val="20"/>
                <w:szCs w:val="20"/>
              </w:rPr>
              <w:t>Հայաստանի</w:t>
            </w:r>
            <w:r w:rsidRPr="00BC61ED">
              <w:rPr>
                <w:sz w:val="20"/>
                <w:szCs w:val="20"/>
                <w:lang w:val="af-ZA"/>
              </w:rPr>
              <w:t xml:space="preserve"> </w:t>
            </w:r>
            <w:r w:rsidRPr="00BC61ED">
              <w:rPr>
                <w:sz w:val="20"/>
                <w:szCs w:val="20"/>
              </w:rPr>
              <w:t>Հանրապետությունում</w:t>
            </w:r>
            <w:r w:rsidRPr="00BC61ED">
              <w:rPr>
                <w:sz w:val="20"/>
                <w:szCs w:val="20"/>
                <w:lang w:val="af-ZA"/>
              </w:rPr>
              <w:t xml:space="preserve"> </w:t>
            </w:r>
            <w:r w:rsidRPr="00BC61ED">
              <w:rPr>
                <w:sz w:val="20"/>
                <w:szCs w:val="20"/>
              </w:rPr>
              <w:t>անշարժ</w:t>
            </w:r>
            <w:r w:rsidRPr="00BC61ED">
              <w:rPr>
                <w:sz w:val="20"/>
                <w:szCs w:val="20"/>
                <w:lang w:val="af-ZA"/>
              </w:rPr>
              <w:t xml:space="preserve"> </w:t>
            </w:r>
            <w:r w:rsidRPr="00BC61ED">
              <w:rPr>
                <w:sz w:val="20"/>
                <w:szCs w:val="20"/>
              </w:rPr>
              <w:t>գույքի</w:t>
            </w:r>
            <w:r w:rsidRPr="00BC61ED">
              <w:rPr>
                <w:sz w:val="20"/>
                <w:szCs w:val="20"/>
                <w:lang w:val="af-ZA"/>
              </w:rPr>
              <w:t xml:space="preserve"> </w:t>
            </w:r>
            <w:r w:rsidRPr="00BC61ED">
              <w:rPr>
                <w:sz w:val="20"/>
                <w:szCs w:val="20"/>
              </w:rPr>
              <w:t>գնահատման</w:t>
            </w:r>
            <w:r w:rsidRPr="00BC61ED">
              <w:rPr>
                <w:sz w:val="20"/>
                <w:szCs w:val="20"/>
                <w:lang w:val="af-ZA"/>
              </w:rPr>
              <w:t xml:space="preserve"> </w:t>
            </w:r>
            <w:r w:rsidRPr="00BC61ED">
              <w:rPr>
                <w:sz w:val="20"/>
                <w:szCs w:val="20"/>
              </w:rPr>
              <w:t>գործունեությունը</w:t>
            </w:r>
            <w:r w:rsidRPr="00BC61ED">
              <w:rPr>
                <w:sz w:val="20"/>
                <w:szCs w:val="20"/>
                <w:lang w:val="af-ZA"/>
              </w:rPr>
              <w:t xml:space="preserve"> </w:t>
            </w:r>
            <w:r w:rsidRPr="00BC61ED">
              <w:rPr>
                <w:sz w:val="20"/>
                <w:szCs w:val="20"/>
              </w:rPr>
              <w:t>կարգավորող</w:t>
            </w:r>
            <w:r w:rsidRPr="00BC61ED">
              <w:rPr>
                <w:sz w:val="20"/>
                <w:szCs w:val="20"/>
                <w:lang w:val="af-ZA"/>
              </w:rPr>
              <w:t xml:space="preserve">, </w:t>
            </w:r>
            <w:r w:rsidRPr="00BC61ED">
              <w:rPr>
                <w:sz w:val="20"/>
                <w:szCs w:val="20"/>
              </w:rPr>
              <w:t>ինչպես</w:t>
            </w:r>
            <w:r w:rsidRPr="00BC61ED">
              <w:rPr>
                <w:sz w:val="20"/>
                <w:szCs w:val="20"/>
                <w:lang w:val="af-ZA"/>
              </w:rPr>
              <w:t xml:space="preserve"> </w:t>
            </w:r>
            <w:r w:rsidRPr="00BC61ED">
              <w:rPr>
                <w:sz w:val="20"/>
                <w:szCs w:val="20"/>
              </w:rPr>
              <w:t>նաև</w:t>
            </w:r>
            <w:r w:rsidRPr="00BC61ED">
              <w:rPr>
                <w:sz w:val="20"/>
                <w:szCs w:val="20"/>
                <w:lang w:val="af-ZA"/>
              </w:rPr>
              <w:t xml:space="preserve"> </w:t>
            </w:r>
            <w:r w:rsidRPr="00BC61ED">
              <w:rPr>
                <w:sz w:val="20"/>
                <w:szCs w:val="20"/>
              </w:rPr>
              <w:t>ֆիզիկական</w:t>
            </w:r>
            <w:r w:rsidRPr="00BC61ED">
              <w:rPr>
                <w:sz w:val="20"/>
                <w:szCs w:val="20"/>
                <w:lang w:val="af-ZA"/>
              </w:rPr>
              <w:t xml:space="preserve"> </w:t>
            </w:r>
            <w:r w:rsidRPr="00BC61ED">
              <w:rPr>
                <w:sz w:val="20"/>
                <w:szCs w:val="20"/>
              </w:rPr>
              <w:t>անձանց</w:t>
            </w:r>
            <w:r w:rsidRPr="00BC61ED">
              <w:rPr>
                <w:sz w:val="20"/>
                <w:szCs w:val="20"/>
                <w:lang w:val="af-ZA"/>
              </w:rPr>
              <w:t xml:space="preserve"> </w:t>
            </w:r>
            <w:r w:rsidRPr="00BC61ED">
              <w:rPr>
                <w:sz w:val="20"/>
                <w:szCs w:val="20"/>
              </w:rPr>
              <w:t>որակավորող</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հսկողություն</w:t>
            </w:r>
            <w:r w:rsidRPr="00BC61ED">
              <w:rPr>
                <w:sz w:val="20"/>
                <w:szCs w:val="20"/>
                <w:lang w:val="af-ZA"/>
              </w:rPr>
              <w:t xml:space="preserve"> </w:t>
            </w:r>
            <w:r w:rsidRPr="00BC61ED">
              <w:rPr>
                <w:sz w:val="20"/>
                <w:szCs w:val="20"/>
              </w:rPr>
              <w:t>իրականացնող</w:t>
            </w:r>
            <w:r w:rsidRPr="00BC61ED">
              <w:rPr>
                <w:sz w:val="20"/>
                <w:szCs w:val="20"/>
                <w:lang w:val="af-ZA"/>
              </w:rPr>
              <w:t xml:space="preserve"> </w:t>
            </w:r>
            <w:r w:rsidRPr="00BC61ED">
              <w:rPr>
                <w:sz w:val="20"/>
                <w:szCs w:val="20"/>
              </w:rPr>
              <w:t>լիազոր</w:t>
            </w:r>
            <w:r w:rsidRPr="00BC61ED">
              <w:rPr>
                <w:sz w:val="20"/>
                <w:szCs w:val="20"/>
                <w:lang w:val="af-ZA"/>
              </w:rPr>
              <w:t xml:space="preserve"> </w:t>
            </w:r>
            <w:r w:rsidRPr="00BC61ED">
              <w:rPr>
                <w:sz w:val="20"/>
                <w:szCs w:val="20"/>
              </w:rPr>
              <w:t>մարմինը</w:t>
            </w:r>
            <w:r w:rsidRPr="00BC61ED">
              <w:rPr>
                <w:sz w:val="20"/>
                <w:szCs w:val="20"/>
                <w:lang w:val="af-ZA"/>
              </w:rPr>
              <w:t xml:space="preserve"> </w:t>
            </w:r>
            <w:r w:rsidRPr="00BC61ED">
              <w:rPr>
                <w:sz w:val="20"/>
                <w:szCs w:val="20"/>
              </w:rPr>
              <w:t>Հայաստանի</w:t>
            </w:r>
            <w:r w:rsidRPr="00BC61ED">
              <w:rPr>
                <w:sz w:val="20"/>
                <w:szCs w:val="20"/>
                <w:lang w:val="af-ZA"/>
              </w:rPr>
              <w:t xml:space="preserve"> </w:t>
            </w:r>
            <w:r w:rsidRPr="00BC61ED">
              <w:rPr>
                <w:sz w:val="20"/>
                <w:szCs w:val="20"/>
              </w:rPr>
              <w:t>Հանրապետության</w:t>
            </w:r>
            <w:r w:rsidRPr="00BC61ED">
              <w:rPr>
                <w:sz w:val="20"/>
                <w:szCs w:val="20"/>
                <w:lang w:val="af-ZA"/>
              </w:rPr>
              <w:t xml:space="preserve"> </w:t>
            </w:r>
            <w:r w:rsidRPr="00BC61ED">
              <w:rPr>
                <w:sz w:val="20"/>
                <w:szCs w:val="20"/>
              </w:rPr>
              <w:t>անշարժ</w:t>
            </w:r>
            <w:r w:rsidRPr="00BC61ED">
              <w:rPr>
                <w:sz w:val="20"/>
                <w:szCs w:val="20"/>
                <w:lang w:val="af-ZA"/>
              </w:rPr>
              <w:t xml:space="preserve"> </w:t>
            </w:r>
            <w:r w:rsidRPr="00BC61ED">
              <w:rPr>
                <w:sz w:val="20"/>
                <w:szCs w:val="20"/>
              </w:rPr>
              <w:t>գույքի</w:t>
            </w:r>
            <w:r w:rsidRPr="00BC61ED">
              <w:rPr>
                <w:sz w:val="20"/>
                <w:szCs w:val="20"/>
                <w:lang w:val="af-ZA"/>
              </w:rPr>
              <w:t xml:space="preserve"> </w:t>
            </w:r>
            <w:r w:rsidRPr="00BC61ED">
              <w:rPr>
                <w:sz w:val="20"/>
                <w:szCs w:val="20"/>
              </w:rPr>
              <w:t>կադաստրի</w:t>
            </w:r>
            <w:r w:rsidRPr="00BC61ED">
              <w:rPr>
                <w:sz w:val="20"/>
                <w:szCs w:val="20"/>
                <w:lang w:val="af-ZA"/>
              </w:rPr>
              <w:t xml:space="preserve"> </w:t>
            </w:r>
            <w:r w:rsidRPr="00BC61ED">
              <w:rPr>
                <w:sz w:val="20"/>
                <w:szCs w:val="20"/>
              </w:rPr>
              <w:t>կոմիտեն</w:t>
            </w:r>
            <w:r w:rsidRPr="00BC61ED">
              <w:rPr>
                <w:sz w:val="20"/>
                <w:szCs w:val="20"/>
                <w:lang w:val="af-ZA"/>
              </w:rPr>
              <w:t xml:space="preserve"> </w:t>
            </w:r>
            <w:r w:rsidRPr="00BC61ED">
              <w:rPr>
                <w:sz w:val="20"/>
                <w:szCs w:val="20"/>
              </w:rPr>
              <w:t>է</w:t>
            </w:r>
            <w:r w:rsidRPr="00BC61ED">
              <w:rPr>
                <w:sz w:val="20"/>
                <w:szCs w:val="20"/>
                <w:lang w:val="af-ZA"/>
              </w:rPr>
              <w:t>:</w:t>
            </w:r>
          </w:p>
          <w:p w:rsidR="0068680D" w:rsidRPr="00BC61ED" w:rsidRDefault="0068680D" w:rsidP="00F47DC4">
            <w:pPr>
              <w:shd w:val="clear" w:color="auto" w:fill="FFFFFF"/>
              <w:spacing w:line="276" w:lineRule="auto"/>
              <w:jc w:val="both"/>
              <w:textAlignment w:val="baseline"/>
              <w:rPr>
                <w:sz w:val="20"/>
                <w:szCs w:val="20"/>
                <w:lang w:val="af-ZA"/>
              </w:rPr>
            </w:pPr>
            <w:r w:rsidRPr="00BC61ED">
              <w:rPr>
                <w:sz w:val="20"/>
                <w:szCs w:val="20"/>
                <w:lang w:val="af-ZA"/>
              </w:rPr>
              <w:t xml:space="preserve">   </w:t>
            </w:r>
            <w:r w:rsidRPr="00BC61ED">
              <w:rPr>
                <w:sz w:val="20"/>
                <w:szCs w:val="20"/>
              </w:rPr>
              <w:t>Կադաստրի</w:t>
            </w:r>
            <w:r w:rsidRPr="00BC61ED">
              <w:rPr>
                <w:sz w:val="20"/>
                <w:szCs w:val="20"/>
                <w:lang w:val="af-ZA"/>
              </w:rPr>
              <w:t xml:space="preserve"> </w:t>
            </w:r>
            <w:r w:rsidRPr="00BC61ED">
              <w:rPr>
                <w:sz w:val="20"/>
                <w:szCs w:val="20"/>
              </w:rPr>
              <w:t>կոմիտեն</w:t>
            </w:r>
            <w:r w:rsidRPr="00BC61ED">
              <w:rPr>
                <w:sz w:val="20"/>
                <w:szCs w:val="20"/>
                <w:lang w:val="af-ZA"/>
              </w:rPr>
              <w:t xml:space="preserve"> </w:t>
            </w:r>
            <w:r w:rsidRPr="00BC61ED">
              <w:rPr>
                <w:sz w:val="20"/>
                <w:szCs w:val="20"/>
              </w:rPr>
              <w:t>կարգավորում</w:t>
            </w:r>
            <w:r w:rsidRPr="00BC61ED">
              <w:rPr>
                <w:sz w:val="20"/>
                <w:szCs w:val="20"/>
                <w:lang w:val="af-ZA"/>
              </w:rPr>
              <w:t xml:space="preserve"> </w:t>
            </w:r>
            <w:r w:rsidRPr="00BC61ED">
              <w:rPr>
                <w:sz w:val="20"/>
                <w:szCs w:val="20"/>
              </w:rPr>
              <w:t>է</w:t>
            </w:r>
            <w:r w:rsidRPr="00BC61ED">
              <w:rPr>
                <w:sz w:val="20"/>
                <w:szCs w:val="20"/>
                <w:lang w:val="af-ZA"/>
              </w:rPr>
              <w:t xml:space="preserve"> </w:t>
            </w:r>
            <w:r w:rsidRPr="00BC61ED">
              <w:rPr>
                <w:sz w:val="20"/>
                <w:szCs w:val="20"/>
              </w:rPr>
              <w:t>գնահատման</w:t>
            </w:r>
            <w:r w:rsidRPr="00BC61ED">
              <w:rPr>
                <w:sz w:val="20"/>
                <w:szCs w:val="20"/>
                <w:lang w:val="af-ZA"/>
              </w:rPr>
              <w:t xml:space="preserve"> </w:t>
            </w:r>
            <w:r w:rsidRPr="00BC61ED">
              <w:rPr>
                <w:sz w:val="20"/>
                <w:szCs w:val="20"/>
              </w:rPr>
              <w:t>ոլորտը</w:t>
            </w:r>
            <w:r w:rsidRPr="00BC61ED">
              <w:rPr>
                <w:sz w:val="20"/>
                <w:szCs w:val="20"/>
                <w:lang w:val="af-ZA"/>
              </w:rPr>
              <w:t xml:space="preserve">, </w:t>
            </w:r>
            <w:r w:rsidRPr="00BC61ED">
              <w:rPr>
                <w:sz w:val="20"/>
                <w:szCs w:val="20"/>
              </w:rPr>
              <w:t>կազմակերպում</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անցկացնում</w:t>
            </w:r>
            <w:r w:rsidRPr="00BC61ED">
              <w:rPr>
                <w:sz w:val="20"/>
                <w:szCs w:val="20"/>
                <w:lang w:val="af-ZA"/>
              </w:rPr>
              <w:t xml:space="preserve"> </w:t>
            </w:r>
            <w:r w:rsidRPr="00BC61ED">
              <w:rPr>
                <w:sz w:val="20"/>
                <w:szCs w:val="20"/>
              </w:rPr>
              <w:t>է</w:t>
            </w:r>
            <w:r w:rsidRPr="00BC61ED">
              <w:rPr>
                <w:sz w:val="20"/>
                <w:szCs w:val="20"/>
                <w:lang w:val="af-ZA"/>
              </w:rPr>
              <w:t xml:space="preserve"> </w:t>
            </w:r>
            <w:r w:rsidRPr="00BC61ED">
              <w:rPr>
                <w:sz w:val="20"/>
                <w:szCs w:val="20"/>
              </w:rPr>
              <w:t>որակավորման</w:t>
            </w:r>
            <w:r w:rsidRPr="00BC61ED">
              <w:rPr>
                <w:sz w:val="20"/>
                <w:szCs w:val="20"/>
                <w:lang w:val="af-ZA"/>
              </w:rPr>
              <w:t xml:space="preserve"> </w:t>
            </w:r>
            <w:r w:rsidRPr="00BC61ED">
              <w:rPr>
                <w:sz w:val="20"/>
                <w:szCs w:val="20"/>
              </w:rPr>
              <w:t>քննությունները</w:t>
            </w:r>
            <w:r w:rsidRPr="00BC61ED">
              <w:rPr>
                <w:sz w:val="20"/>
                <w:szCs w:val="20"/>
                <w:lang w:val="af-ZA"/>
              </w:rPr>
              <w:t xml:space="preserve">, </w:t>
            </w:r>
            <w:r w:rsidRPr="00BC61ED">
              <w:rPr>
                <w:sz w:val="20"/>
                <w:szCs w:val="20"/>
              </w:rPr>
              <w:t>ինչպես</w:t>
            </w:r>
            <w:r w:rsidRPr="00BC61ED">
              <w:rPr>
                <w:sz w:val="20"/>
                <w:szCs w:val="20"/>
                <w:lang w:val="af-ZA"/>
              </w:rPr>
              <w:t xml:space="preserve"> </w:t>
            </w:r>
            <w:r w:rsidRPr="00BC61ED">
              <w:rPr>
                <w:sz w:val="20"/>
                <w:szCs w:val="20"/>
              </w:rPr>
              <w:t>նաև</w:t>
            </w:r>
            <w:r w:rsidRPr="00BC61ED">
              <w:rPr>
                <w:sz w:val="20"/>
                <w:szCs w:val="20"/>
                <w:lang w:val="af-ZA"/>
              </w:rPr>
              <w:t xml:space="preserve"> </w:t>
            </w:r>
            <w:r w:rsidRPr="00BC61ED">
              <w:rPr>
                <w:sz w:val="20"/>
                <w:szCs w:val="20"/>
              </w:rPr>
              <w:t>գնահատողների</w:t>
            </w:r>
            <w:r w:rsidRPr="00BC61ED">
              <w:rPr>
                <w:sz w:val="20"/>
                <w:szCs w:val="20"/>
                <w:lang w:val="af-ZA"/>
              </w:rPr>
              <w:t xml:space="preserve"> </w:t>
            </w:r>
            <w:r w:rsidRPr="00BC61ED">
              <w:rPr>
                <w:sz w:val="20"/>
                <w:szCs w:val="20"/>
              </w:rPr>
              <w:t>կողմից</w:t>
            </w:r>
            <w:r w:rsidRPr="00BC61ED">
              <w:rPr>
                <w:sz w:val="20"/>
                <w:szCs w:val="20"/>
                <w:lang w:val="af-ZA"/>
              </w:rPr>
              <w:t xml:space="preserve"> </w:t>
            </w:r>
            <w:r w:rsidRPr="00BC61ED">
              <w:rPr>
                <w:sz w:val="20"/>
                <w:szCs w:val="20"/>
              </w:rPr>
              <w:t>վերոնշյալ</w:t>
            </w:r>
            <w:r w:rsidRPr="00BC61ED">
              <w:rPr>
                <w:sz w:val="20"/>
                <w:szCs w:val="20"/>
                <w:lang w:val="af-ZA"/>
              </w:rPr>
              <w:t xml:space="preserve"> </w:t>
            </w:r>
            <w:r w:rsidRPr="00BC61ED">
              <w:rPr>
                <w:sz w:val="20"/>
                <w:szCs w:val="20"/>
              </w:rPr>
              <w:t>օրենքի</w:t>
            </w:r>
            <w:r w:rsidRPr="00BC61ED">
              <w:rPr>
                <w:sz w:val="20"/>
                <w:szCs w:val="20"/>
                <w:lang w:val="af-ZA"/>
              </w:rPr>
              <w:t>,</w:t>
            </w:r>
            <w:r w:rsidRPr="00BC61ED">
              <w:rPr>
                <w:rFonts w:ascii="Calibri" w:hAnsi="Calibri" w:cs="Calibri"/>
                <w:sz w:val="20"/>
                <w:szCs w:val="20"/>
                <w:lang w:val="af-ZA"/>
              </w:rPr>
              <w:t> </w:t>
            </w:r>
            <w:r w:rsidRPr="00BC61ED">
              <w:rPr>
                <w:rFonts w:cs="Calibri"/>
                <w:sz w:val="20"/>
                <w:szCs w:val="20"/>
                <w:lang w:val="af-ZA"/>
              </w:rPr>
              <w:t xml:space="preserve"> </w:t>
            </w:r>
            <w:r w:rsidRPr="00BC61ED">
              <w:rPr>
                <w:sz w:val="20"/>
                <w:szCs w:val="20"/>
              </w:rPr>
              <w:t>գնահատման</w:t>
            </w:r>
            <w:r w:rsidRPr="00BC61ED">
              <w:rPr>
                <w:rFonts w:ascii="Calibri" w:hAnsi="Calibri" w:cs="Calibri"/>
                <w:sz w:val="20"/>
                <w:szCs w:val="20"/>
                <w:lang w:val="af-ZA"/>
              </w:rPr>
              <w:t> </w:t>
            </w:r>
            <w:r w:rsidRPr="00BC61ED">
              <w:rPr>
                <w:sz w:val="20"/>
                <w:szCs w:val="20"/>
              </w:rPr>
              <w:t>ստանդարտների</w:t>
            </w:r>
            <w:r w:rsidRPr="00BC61ED">
              <w:rPr>
                <w:sz w:val="20"/>
                <w:szCs w:val="20"/>
                <w:lang w:val="af-ZA"/>
              </w:rPr>
              <w:t xml:space="preserve">, </w:t>
            </w:r>
            <w:r w:rsidRPr="00BC61ED">
              <w:rPr>
                <w:sz w:val="20"/>
                <w:szCs w:val="20"/>
              </w:rPr>
              <w:t>նորմատիվ</w:t>
            </w:r>
            <w:r w:rsidRPr="00BC61ED">
              <w:rPr>
                <w:sz w:val="20"/>
                <w:szCs w:val="20"/>
                <w:lang w:val="af-ZA"/>
              </w:rPr>
              <w:t xml:space="preserve"> </w:t>
            </w:r>
            <w:r w:rsidRPr="00BC61ED">
              <w:rPr>
                <w:sz w:val="20"/>
                <w:szCs w:val="20"/>
              </w:rPr>
              <w:t>իրավական</w:t>
            </w:r>
            <w:r w:rsidRPr="00BC61ED">
              <w:rPr>
                <w:sz w:val="20"/>
                <w:szCs w:val="20"/>
                <w:lang w:val="af-ZA"/>
              </w:rPr>
              <w:t xml:space="preserve"> </w:t>
            </w:r>
            <w:r w:rsidRPr="00BC61ED">
              <w:rPr>
                <w:sz w:val="20"/>
                <w:szCs w:val="20"/>
              </w:rPr>
              <w:t>հսկողություն</w:t>
            </w:r>
            <w:r w:rsidRPr="00BC61ED">
              <w:rPr>
                <w:sz w:val="20"/>
                <w:szCs w:val="20"/>
                <w:lang w:val="af-ZA"/>
              </w:rPr>
              <w:t xml:space="preserve"> </w:t>
            </w:r>
            <w:r w:rsidRPr="00BC61ED">
              <w:rPr>
                <w:sz w:val="20"/>
                <w:szCs w:val="20"/>
              </w:rPr>
              <w:t>է</w:t>
            </w:r>
            <w:r w:rsidRPr="00BC61ED">
              <w:rPr>
                <w:sz w:val="20"/>
                <w:szCs w:val="20"/>
                <w:lang w:val="af-ZA"/>
              </w:rPr>
              <w:t xml:space="preserve"> </w:t>
            </w:r>
            <w:r w:rsidRPr="00BC61ED">
              <w:rPr>
                <w:sz w:val="20"/>
                <w:szCs w:val="20"/>
              </w:rPr>
              <w:t>իրականացնում</w:t>
            </w:r>
            <w:r w:rsidRPr="00BC61ED">
              <w:rPr>
                <w:sz w:val="20"/>
                <w:szCs w:val="20"/>
                <w:lang w:val="af-ZA"/>
              </w:rPr>
              <w:t xml:space="preserve"> </w:t>
            </w:r>
            <w:r w:rsidRPr="00BC61ED">
              <w:rPr>
                <w:sz w:val="20"/>
                <w:szCs w:val="20"/>
              </w:rPr>
              <w:t>իր</w:t>
            </w:r>
            <w:r w:rsidRPr="00BC61ED">
              <w:rPr>
                <w:sz w:val="20"/>
                <w:szCs w:val="20"/>
                <w:lang w:val="af-ZA"/>
              </w:rPr>
              <w:t xml:space="preserve"> </w:t>
            </w:r>
            <w:r w:rsidRPr="00BC61ED">
              <w:rPr>
                <w:sz w:val="20"/>
                <w:szCs w:val="20"/>
              </w:rPr>
              <w:t>կողմից</w:t>
            </w:r>
            <w:r w:rsidRPr="00BC61ED">
              <w:rPr>
                <w:sz w:val="20"/>
                <w:szCs w:val="20"/>
                <w:lang w:val="af-ZA"/>
              </w:rPr>
              <w:t xml:space="preserve"> </w:t>
            </w:r>
            <w:r w:rsidRPr="00BC61ED">
              <w:rPr>
                <w:sz w:val="20"/>
                <w:szCs w:val="20"/>
              </w:rPr>
              <w:t>ստեղծված</w:t>
            </w:r>
            <w:r w:rsidRPr="00BC61ED">
              <w:rPr>
                <w:sz w:val="20"/>
                <w:szCs w:val="20"/>
                <w:lang w:val="af-ZA"/>
              </w:rPr>
              <w:t xml:space="preserve"> </w:t>
            </w:r>
            <w:r w:rsidRPr="00BC61ED">
              <w:rPr>
                <w:sz w:val="20"/>
                <w:szCs w:val="20"/>
              </w:rPr>
              <w:t>որակավորման</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մասնագիտական</w:t>
            </w:r>
            <w:r w:rsidRPr="00BC61ED">
              <w:rPr>
                <w:sz w:val="20"/>
                <w:szCs w:val="20"/>
                <w:lang w:val="af-ZA"/>
              </w:rPr>
              <w:t xml:space="preserve"> </w:t>
            </w:r>
            <w:r w:rsidRPr="00BC61ED">
              <w:rPr>
                <w:sz w:val="20"/>
                <w:szCs w:val="20"/>
              </w:rPr>
              <w:t>հանձնաժողովների</w:t>
            </w:r>
            <w:r w:rsidRPr="00BC61ED">
              <w:rPr>
                <w:sz w:val="20"/>
                <w:szCs w:val="20"/>
                <w:lang w:val="af-ZA"/>
              </w:rPr>
              <w:t xml:space="preserve"> </w:t>
            </w:r>
            <w:r w:rsidRPr="00BC61ED">
              <w:rPr>
                <w:sz w:val="20"/>
                <w:szCs w:val="20"/>
              </w:rPr>
              <w:t>միջոցով</w:t>
            </w:r>
            <w:r w:rsidRPr="00BC61ED">
              <w:rPr>
                <w:sz w:val="20"/>
                <w:szCs w:val="20"/>
                <w:lang w:val="af-ZA"/>
              </w:rPr>
              <w:t xml:space="preserve">: </w:t>
            </w:r>
            <w:r w:rsidRPr="00BC61ED">
              <w:rPr>
                <w:sz w:val="20"/>
                <w:szCs w:val="20"/>
              </w:rPr>
              <w:t>Կադաստրի</w:t>
            </w:r>
            <w:r w:rsidRPr="00BC61ED">
              <w:rPr>
                <w:sz w:val="20"/>
                <w:szCs w:val="20"/>
                <w:lang w:val="af-ZA"/>
              </w:rPr>
              <w:t xml:space="preserve">  </w:t>
            </w:r>
            <w:r w:rsidRPr="00BC61ED">
              <w:rPr>
                <w:sz w:val="20"/>
                <w:szCs w:val="20"/>
              </w:rPr>
              <w:t>կոմիտեն</w:t>
            </w:r>
            <w:r w:rsidRPr="00BC61ED">
              <w:rPr>
                <w:sz w:val="20"/>
                <w:szCs w:val="20"/>
                <w:lang w:val="af-ZA"/>
              </w:rPr>
              <w:t xml:space="preserve"> </w:t>
            </w:r>
            <w:r w:rsidRPr="00BC61ED">
              <w:rPr>
                <w:sz w:val="20"/>
                <w:szCs w:val="20"/>
              </w:rPr>
              <w:t>որակավորման</w:t>
            </w:r>
            <w:r w:rsidRPr="00BC61ED">
              <w:rPr>
                <w:sz w:val="20"/>
                <w:szCs w:val="20"/>
                <w:lang w:val="af-ZA"/>
              </w:rPr>
              <w:t xml:space="preserve"> </w:t>
            </w:r>
            <w:r w:rsidRPr="00BC61ED">
              <w:rPr>
                <w:sz w:val="20"/>
                <w:szCs w:val="20"/>
              </w:rPr>
              <w:t>հանձնաժողովի</w:t>
            </w:r>
            <w:r w:rsidRPr="00BC61ED">
              <w:rPr>
                <w:sz w:val="20"/>
                <w:szCs w:val="20"/>
                <w:lang w:val="af-ZA"/>
              </w:rPr>
              <w:t xml:space="preserve"> </w:t>
            </w:r>
            <w:r w:rsidRPr="00BC61ED">
              <w:rPr>
                <w:sz w:val="20"/>
                <w:szCs w:val="20"/>
              </w:rPr>
              <w:t>միջոցով</w:t>
            </w:r>
            <w:r w:rsidRPr="00BC61ED">
              <w:rPr>
                <w:sz w:val="20"/>
                <w:szCs w:val="20"/>
                <w:lang w:val="af-ZA"/>
              </w:rPr>
              <w:t xml:space="preserve"> </w:t>
            </w:r>
            <w:r w:rsidRPr="00BC61ED">
              <w:rPr>
                <w:sz w:val="20"/>
                <w:szCs w:val="20"/>
              </w:rPr>
              <w:t>կազմակերպում</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անցկացնում</w:t>
            </w:r>
            <w:r w:rsidRPr="00BC61ED">
              <w:rPr>
                <w:sz w:val="20"/>
                <w:szCs w:val="20"/>
                <w:lang w:val="af-ZA"/>
              </w:rPr>
              <w:t xml:space="preserve"> </w:t>
            </w:r>
            <w:r w:rsidRPr="00BC61ED">
              <w:rPr>
                <w:sz w:val="20"/>
                <w:szCs w:val="20"/>
              </w:rPr>
              <w:t>է</w:t>
            </w:r>
            <w:r w:rsidRPr="00BC61ED">
              <w:rPr>
                <w:sz w:val="20"/>
                <w:szCs w:val="20"/>
                <w:lang w:val="af-ZA"/>
              </w:rPr>
              <w:t xml:space="preserve"> </w:t>
            </w:r>
            <w:r w:rsidRPr="00BC61ED">
              <w:rPr>
                <w:sz w:val="20"/>
                <w:szCs w:val="20"/>
              </w:rPr>
              <w:t>որակավորման</w:t>
            </w:r>
            <w:r w:rsidRPr="00BC61ED">
              <w:rPr>
                <w:sz w:val="20"/>
                <w:szCs w:val="20"/>
                <w:lang w:val="af-ZA"/>
              </w:rPr>
              <w:t xml:space="preserve"> </w:t>
            </w:r>
            <w:r w:rsidRPr="00BC61ED">
              <w:rPr>
                <w:sz w:val="20"/>
                <w:szCs w:val="20"/>
              </w:rPr>
              <w:t>քննությունները</w:t>
            </w:r>
            <w:r w:rsidRPr="00BC61ED">
              <w:rPr>
                <w:sz w:val="20"/>
                <w:szCs w:val="20"/>
                <w:lang w:val="af-ZA"/>
              </w:rPr>
              <w:t xml:space="preserve">: </w:t>
            </w:r>
            <w:r w:rsidRPr="00BC61ED">
              <w:rPr>
                <w:sz w:val="20"/>
                <w:szCs w:val="20"/>
              </w:rPr>
              <w:t>Որակավորման</w:t>
            </w:r>
            <w:r w:rsidRPr="00BC61ED">
              <w:rPr>
                <w:sz w:val="20"/>
                <w:szCs w:val="20"/>
                <w:lang w:val="af-ZA"/>
              </w:rPr>
              <w:t xml:space="preserve"> </w:t>
            </w:r>
            <w:r w:rsidRPr="00BC61ED">
              <w:rPr>
                <w:sz w:val="20"/>
                <w:szCs w:val="20"/>
              </w:rPr>
              <w:t>հանձնաժողովի</w:t>
            </w:r>
            <w:r w:rsidRPr="00BC61ED">
              <w:rPr>
                <w:sz w:val="20"/>
                <w:szCs w:val="20"/>
                <w:lang w:val="af-ZA"/>
              </w:rPr>
              <w:t xml:space="preserve"> </w:t>
            </w:r>
            <w:r w:rsidRPr="00BC61ED">
              <w:rPr>
                <w:sz w:val="20"/>
                <w:szCs w:val="20"/>
              </w:rPr>
              <w:t>կազմում</w:t>
            </w:r>
            <w:r w:rsidRPr="00BC61ED">
              <w:rPr>
                <w:sz w:val="20"/>
                <w:szCs w:val="20"/>
                <w:lang w:val="af-ZA"/>
              </w:rPr>
              <w:t xml:space="preserve"> </w:t>
            </w:r>
            <w:r w:rsidRPr="00BC61ED">
              <w:rPr>
                <w:sz w:val="20"/>
                <w:szCs w:val="20"/>
              </w:rPr>
              <w:t>ընդգրկվում</w:t>
            </w:r>
            <w:r w:rsidRPr="00BC61ED">
              <w:rPr>
                <w:sz w:val="20"/>
                <w:szCs w:val="20"/>
                <w:lang w:val="af-ZA"/>
              </w:rPr>
              <w:t xml:space="preserve"> </w:t>
            </w:r>
            <w:r w:rsidRPr="00BC61ED">
              <w:rPr>
                <w:sz w:val="20"/>
                <w:szCs w:val="20"/>
              </w:rPr>
              <w:t>են</w:t>
            </w:r>
            <w:r w:rsidRPr="00BC61ED">
              <w:rPr>
                <w:sz w:val="20"/>
                <w:szCs w:val="20"/>
                <w:lang w:val="af-ZA"/>
              </w:rPr>
              <w:t xml:space="preserve"> </w:t>
            </w:r>
            <w:r w:rsidRPr="00BC61ED">
              <w:rPr>
                <w:sz w:val="20"/>
                <w:szCs w:val="20"/>
              </w:rPr>
              <w:t>կադաստրի</w:t>
            </w:r>
            <w:r w:rsidRPr="00BC61ED">
              <w:rPr>
                <w:sz w:val="20"/>
                <w:szCs w:val="20"/>
                <w:lang w:val="af-ZA"/>
              </w:rPr>
              <w:t xml:space="preserve"> </w:t>
            </w:r>
            <w:r w:rsidRPr="00BC61ED">
              <w:rPr>
                <w:sz w:val="20"/>
                <w:szCs w:val="20"/>
              </w:rPr>
              <w:t>կոմիտեի</w:t>
            </w:r>
            <w:r w:rsidRPr="00BC61ED">
              <w:rPr>
                <w:sz w:val="20"/>
                <w:szCs w:val="20"/>
                <w:lang w:val="af-ZA"/>
              </w:rPr>
              <w:t xml:space="preserve"> </w:t>
            </w:r>
            <w:r w:rsidRPr="00BC61ED">
              <w:rPr>
                <w:sz w:val="20"/>
                <w:szCs w:val="20"/>
              </w:rPr>
              <w:t>ներկայացուցիչներ</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առնվազն</w:t>
            </w:r>
            <w:r w:rsidRPr="00BC61ED">
              <w:rPr>
                <w:sz w:val="20"/>
                <w:szCs w:val="20"/>
                <w:lang w:val="af-ZA"/>
              </w:rPr>
              <w:t xml:space="preserve"> </w:t>
            </w:r>
            <w:r w:rsidRPr="00BC61ED">
              <w:rPr>
                <w:sz w:val="20"/>
                <w:szCs w:val="20"/>
              </w:rPr>
              <w:t>հինգ</w:t>
            </w:r>
            <w:r w:rsidRPr="00BC61ED">
              <w:rPr>
                <w:sz w:val="20"/>
                <w:szCs w:val="20"/>
                <w:lang w:val="af-ZA"/>
              </w:rPr>
              <w:t xml:space="preserve"> </w:t>
            </w:r>
            <w:r w:rsidRPr="00BC61ED">
              <w:rPr>
                <w:sz w:val="20"/>
                <w:szCs w:val="20"/>
              </w:rPr>
              <w:t>տարվա</w:t>
            </w:r>
            <w:r w:rsidRPr="00BC61ED">
              <w:rPr>
                <w:sz w:val="20"/>
                <w:szCs w:val="20"/>
                <w:lang w:val="af-ZA"/>
              </w:rPr>
              <w:t xml:space="preserve"> </w:t>
            </w:r>
            <w:r w:rsidRPr="00BC61ED">
              <w:rPr>
                <w:sz w:val="20"/>
                <w:szCs w:val="20"/>
              </w:rPr>
              <w:t>մասնագիտական</w:t>
            </w:r>
            <w:r w:rsidRPr="00BC61ED">
              <w:rPr>
                <w:sz w:val="20"/>
                <w:szCs w:val="20"/>
                <w:lang w:val="af-ZA"/>
              </w:rPr>
              <w:t xml:space="preserve"> </w:t>
            </w:r>
            <w:r w:rsidRPr="00BC61ED">
              <w:rPr>
                <w:sz w:val="20"/>
                <w:szCs w:val="20"/>
              </w:rPr>
              <w:t>աշխատանքային</w:t>
            </w:r>
            <w:r w:rsidRPr="00BC61ED">
              <w:rPr>
                <w:sz w:val="20"/>
                <w:szCs w:val="20"/>
                <w:lang w:val="af-ZA"/>
              </w:rPr>
              <w:t xml:space="preserve"> </w:t>
            </w:r>
            <w:r w:rsidRPr="00BC61ED">
              <w:rPr>
                <w:sz w:val="20"/>
                <w:szCs w:val="20"/>
              </w:rPr>
              <w:t>փորձ</w:t>
            </w:r>
            <w:r w:rsidRPr="00BC61ED">
              <w:rPr>
                <w:sz w:val="20"/>
                <w:szCs w:val="20"/>
                <w:lang w:val="af-ZA"/>
              </w:rPr>
              <w:t xml:space="preserve"> </w:t>
            </w:r>
            <w:r w:rsidRPr="00BC61ED">
              <w:rPr>
                <w:sz w:val="20"/>
                <w:szCs w:val="20"/>
              </w:rPr>
              <w:t>ունեցող</w:t>
            </w:r>
            <w:r w:rsidRPr="00BC61ED">
              <w:rPr>
                <w:sz w:val="20"/>
                <w:szCs w:val="20"/>
                <w:lang w:val="af-ZA"/>
              </w:rPr>
              <w:t xml:space="preserve"> </w:t>
            </w:r>
            <w:r w:rsidRPr="00BC61ED">
              <w:rPr>
                <w:sz w:val="20"/>
                <w:szCs w:val="20"/>
              </w:rPr>
              <w:t>գնահատողներ</w:t>
            </w:r>
            <w:r w:rsidRPr="00BC61ED">
              <w:rPr>
                <w:sz w:val="20"/>
                <w:szCs w:val="20"/>
                <w:lang w:val="af-ZA"/>
              </w:rPr>
              <w:t xml:space="preserve">`  </w:t>
            </w:r>
            <w:r w:rsidRPr="00BC61ED">
              <w:rPr>
                <w:sz w:val="20"/>
                <w:szCs w:val="20"/>
              </w:rPr>
              <w:t>իրենց</w:t>
            </w:r>
            <w:r w:rsidRPr="00BC61ED">
              <w:rPr>
                <w:sz w:val="20"/>
                <w:szCs w:val="20"/>
                <w:lang w:val="af-ZA"/>
              </w:rPr>
              <w:t xml:space="preserve"> </w:t>
            </w:r>
            <w:r w:rsidRPr="00BC61ED">
              <w:rPr>
                <w:sz w:val="20"/>
                <w:szCs w:val="20"/>
              </w:rPr>
              <w:t>համաձայնությամբ</w:t>
            </w:r>
            <w:r w:rsidRPr="00BC61ED">
              <w:rPr>
                <w:sz w:val="20"/>
                <w:szCs w:val="20"/>
                <w:lang w:val="af-ZA"/>
              </w:rPr>
              <w:t xml:space="preserve">: </w:t>
            </w:r>
            <w:r w:rsidRPr="00BC61ED">
              <w:rPr>
                <w:sz w:val="20"/>
                <w:szCs w:val="20"/>
              </w:rPr>
              <w:t>Կադաստրի</w:t>
            </w:r>
            <w:r w:rsidRPr="00BC61ED">
              <w:rPr>
                <w:sz w:val="20"/>
                <w:szCs w:val="20"/>
                <w:lang w:val="af-ZA"/>
              </w:rPr>
              <w:t xml:space="preserve"> </w:t>
            </w:r>
            <w:r w:rsidRPr="00BC61ED">
              <w:rPr>
                <w:sz w:val="20"/>
                <w:szCs w:val="20"/>
              </w:rPr>
              <w:t>կոմիտեն</w:t>
            </w:r>
            <w:r w:rsidRPr="00BC61ED">
              <w:rPr>
                <w:sz w:val="20"/>
                <w:szCs w:val="20"/>
                <w:lang w:val="af-ZA"/>
              </w:rPr>
              <w:t xml:space="preserve"> </w:t>
            </w:r>
            <w:r w:rsidRPr="00BC61ED">
              <w:rPr>
                <w:sz w:val="20"/>
                <w:szCs w:val="20"/>
              </w:rPr>
              <w:t>մասնագիտական</w:t>
            </w:r>
            <w:r w:rsidRPr="00BC61ED">
              <w:rPr>
                <w:sz w:val="20"/>
                <w:szCs w:val="20"/>
                <w:lang w:val="af-ZA"/>
              </w:rPr>
              <w:t xml:space="preserve"> </w:t>
            </w:r>
            <w:r w:rsidRPr="00BC61ED">
              <w:rPr>
                <w:sz w:val="20"/>
                <w:szCs w:val="20"/>
              </w:rPr>
              <w:t>հանձնաժողովի</w:t>
            </w:r>
            <w:r w:rsidRPr="00BC61ED">
              <w:rPr>
                <w:sz w:val="20"/>
                <w:szCs w:val="20"/>
                <w:lang w:val="af-ZA"/>
              </w:rPr>
              <w:t xml:space="preserve"> </w:t>
            </w:r>
            <w:r w:rsidRPr="00BC61ED">
              <w:rPr>
                <w:sz w:val="20"/>
                <w:szCs w:val="20"/>
              </w:rPr>
              <w:t>միջոցով</w:t>
            </w:r>
            <w:r w:rsidRPr="00BC61ED">
              <w:rPr>
                <w:sz w:val="20"/>
                <w:szCs w:val="20"/>
                <w:lang w:val="af-ZA"/>
              </w:rPr>
              <w:t xml:space="preserve"> </w:t>
            </w:r>
            <w:r w:rsidRPr="00BC61ED">
              <w:rPr>
                <w:sz w:val="20"/>
                <w:szCs w:val="20"/>
              </w:rPr>
              <w:t>իրականացնում</w:t>
            </w:r>
            <w:r w:rsidRPr="00BC61ED">
              <w:rPr>
                <w:sz w:val="20"/>
                <w:szCs w:val="20"/>
                <w:lang w:val="af-ZA"/>
              </w:rPr>
              <w:t xml:space="preserve"> </w:t>
            </w:r>
            <w:r w:rsidRPr="00BC61ED">
              <w:rPr>
                <w:sz w:val="20"/>
                <w:szCs w:val="20"/>
              </w:rPr>
              <w:t>է</w:t>
            </w:r>
            <w:r w:rsidRPr="00BC61ED">
              <w:rPr>
                <w:sz w:val="20"/>
                <w:szCs w:val="20"/>
                <w:lang w:val="af-ZA"/>
              </w:rPr>
              <w:t xml:space="preserve"> </w:t>
            </w:r>
            <w:r w:rsidRPr="00BC61ED">
              <w:rPr>
                <w:sz w:val="20"/>
                <w:szCs w:val="20"/>
              </w:rPr>
              <w:t>հսկողություն</w:t>
            </w:r>
            <w:r w:rsidRPr="00BC61ED">
              <w:rPr>
                <w:sz w:val="20"/>
                <w:szCs w:val="20"/>
                <w:lang w:val="af-ZA"/>
              </w:rPr>
              <w:t xml:space="preserve"> </w:t>
            </w:r>
            <w:r w:rsidRPr="00BC61ED">
              <w:rPr>
                <w:sz w:val="20"/>
                <w:szCs w:val="20"/>
              </w:rPr>
              <w:t>անշարժ</w:t>
            </w:r>
            <w:r w:rsidRPr="00BC61ED">
              <w:rPr>
                <w:sz w:val="20"/>
                <w:szCs w:val="20"/>
                <w:lang w:val="af-ZA"/>
              </w:rPr>
              <w:t xml:space="preserve"> </w:t>
            </w:r>
            <w:r w:rsidRPr="00BC61ED">
              <w:rPr>
                <w:sz w:val="20"/>
                <w:szCs w:val="20"/>
              </w:rPr>
              <w:t>գույքի</w:t>
            </w:r>
            <w:r w:rsidRPr="00BC61ED">
              <w:rPr>
                <w:sz w:val="20"/>
                <w:szCs w:val="20"/>
                <w:lang w:val="af-ZA"/>
              </w:rPr>
              <w:t xml:space="preserve"> </w:t>
            </w:r>
            <w:r w:rsidRPr="00BC61ED">
              <w:rPr>
                <w:sz w:val="20"/>
                <w:szCs w:val="20"/>
              </w:rPr>
              <w:t>գնահատման</w:t>
            </w:r>
            <w:r w:rsidRPr="00BC61ED">
              <w:rPr>
                <w:sz w:val="20"/>
                <w:szCs w:val="20"/>
                <w:lang w:val="af-ZA"/>
              </w:rPr>
              <w:t xml:space="preserve"> </w:t>
            </w:r>
            <w:r w:rsidRPr="00BC61ED">
              <w:rPr>
                <w:sz w:val="20"/>
                <w:szCs w:val="20"/>
              </w:rPr>
              <w:t>գործունեություն</w:t>
            </w:r>
            <w:r w:rsidRPr="00BC61ED">
              <w:rPr>
                <w:sz w:val="20"/>
                <w:szCs w:val="20"/>
                <w:lang w:val="af-ZA"/>
              </w:rPr>
              <w:t xml:space="preserve"> </w:t>
            </w:r>
            <w:r w:rsidRPr="00BC61ED">
              <w:rPr>
                <w:sz w:val="20"/>
                <w:szCs w:val="20"/>
              </w:rPr>
              <w:t>իրականացնող</w:t>
            </w:r>
            <w:r w:rsidRPr="00BC61ED">
              <w:rPr>
                <w:sz w:val="20"/>
                <w:szCs w:val="20"/>
                <w:lang w:val="af-ZA"/>
              </w:rPr>
              <w:t xml:space="preserve"> </w:t>
            </w:r>
            <w:r w:rsidRPr="00BC61ED">
              <w:rPr>
                <w:sz w:val="20"/>
                <w:szCs w:val="20"/>
              </w:rPr>
              <w:t>անձանց</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գնահատողների</w:t>
            </w:r>
            <w:r w:rsidRPr="00BC61ED">
              <w:rPr>
                <w:sz w:val="20"/>
                <w:szCs w:val="20"/>
                <w:lang w:val="af-ZA"/>
              </w:rPr>
              <w:t xml:space="preserve"> </w:t>
            </w:r>
            <w:r w:rsidRPr="00BC61ED">
              <w:rPr>
                <w:sz w:val="20"/>
                <w:szCs w:val="20"/>
              </w:rPr>
              <w:t>կողմից</w:t>
            </w:r>
            <w:r w:rsidRPr="00BC61ED">
              <w:rPr>
                <w:sz w:val="20"/>
                <w:szCs w:val="20"/>
                <w:lang w:val="af-ZA"/>
              </w:rPr>
              <w:t xml:space="preserve"> «</w:t>
            </w:r>
            <w:r w:rsidRPr="00BC61ED">
              <w:rPr>
                <w:sz w:val="20"/>
                <w:szCs w:val="20"/>
              </w:rPr>
              <w:t>Անշարժ</w:t>
            </w:r>
            <w:r w:rsidRPr="00BC61ED">
              <w:rPr>
                <w:sz w:val="20"/>
                <w:szCs w:val="20"/>
                <w:lang w:val="af-ZA"/>
              </w:rPr>
              <w:t xml:space="preserve"> </w:t>
            </w:r>
            <w:r w:rsidRPr="00BC61ED">
              <w:rPr>
                <w:sz w:val="20"/>
                <w:szCs w:val="20"/>
              </w:rPr>
              <w:t>գույքի</w:t>
            </w:r>
            <w:r w:rsidRPr="00BC61ED">
              <w:rPr>
                <w:sz w:val="20"/>
                <w:szCs w:val="20"/>
                <w:lang w:val="af-ZA"/>
              </w:rPr>
              <w:t xml:space="preserve"> </w:t>
            </w:r>
            <w:r w:rsidRPr="00BC61ED">
              <w:rPr>
                <w:sz w:val="20"/>
                <w:szCs w:val="20"/>
              </w:rPr>
              <w:t>գնահատման</w:t>
            </w:r>
            <w:hyperlink r:id="rId17" w:history="1">
              <w:r w:rsidRPr="00BC61ED">
                <w:rPr>
                  <w:rFonts w:ascii="Calibri" w:hAnsi="Calibri" w:cs="Calibri"/>
                  <w:sz w:val="20"/>
                  <w:szCs w:val="20"/>
                  <w:lang w:val="af-ZA"/>
                </w:rPr>
                <w:t> </w:t>
              </w:r>
              <w:r w:rsidRPr="00BC61ED">
                <w:rPr>
                  <w:sz w:val="20"/>
                  <w:szCs w:val="20"/>
                </w:rPr>
                <w:t>գործունեության</w:t>
              </w:r>
              <w:r w:rsidRPr="00BC61ED">
                <w:rPr>
                  <w:sz w:val="20"/>
                  <w:szCs w:val="20"/>
                  <w:lang w:val="af-ZA"/>
                </w:rPr>
                <w:t xml:space="preserve"> </w:t>
              </w:r>
              <w:r w:rsidRPr="00BC61ED">
                <w:rPr>
                  <w:sz w:val="20"/>
                  <w:szCs w:val="20"/>
                </w:rPr>
                <w:t>մասին</w:t>
              </w:r>
            </w:hyperlink>
            <w:r w:rsidRPr="00BC61ED">
              <w:rPr>
                <w:sz w:val="20"/>
                <w:szCs w:val="20"/>
                <w:lang w:val="af-ZA"/>
              </w:rPr>
              <w:t xml:space="preserve">»                   </w:t>
            </w:r>
            <w:r w:rsidRPr="00BC61ED">
              <w:rPr>
                <w:sz w:val="20"/>
                <w:szCs w:val="20"/>
              </w:rPr>
              <w:t>ՀՀ</w:t>
            </w:r>
            <w:r w:rsidRPr="00BC61ED">
              <w:rPr>
                <w:sz w:val="20"/>
                <w:szCs w:val="20"/>
                <w:lang w:val="af-ZA"/>
              </w:rPr>
              <w:t xml:space="preserve"> </w:t>
            </w:r>
            <w:r w:rsidRPr="00BC61ED">
              <w:rPr>
                <w:sz w:val="20"/>
                <w:szCs w:val="20"/>
              </w:rPr>
              <w:t>օրենքի</w:t>
            </w:r>
            <w:r w:rsidRPr="00BC61ED">
              <w:rPr>
                <w:sz w:val="20"/>
                <w:szCs w:val="20"/>
                <w:lang w:val="af-ZA"/>
              </w:rPr>
              <w:t xml:space="preserve">, </w:t>
            </w:r>
            <w:r w:rsidRPr="00BC61ED">
              <w:rPr>
                <w:sz w:val="20"/>
                <w:szCs w:val="20"/>
              </w:rPr>
              <w:t>գնահատման</w:t>
            </w:r>
            <w:r w:rsidRPr="00BC61ED">
              <w:rPr>
                <w:sz w:val="20"/>
                <w:szCs w:val="20"/>
                <w:lang w:val="af-ZA"/>
              </w:rPr>
              <w:t xml:space="preserve"> </w:t>
            </w:r>
            <w:r w:rsidRPr="00BC61ED">
              <w:rPr>
                <w:sz w:val="20"/>
                <w:szCs w:val="20"/>
              </w:rPr>
              <w:t>ստանդարտների</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օրենսդրությամբ</w:t>
            </w:r>
            <w:r w:rsidRPr="00BC61ED">
              <w:rPr>
                <w:sz w:val="20"/>
                <w:szCs w:val="20"/>
                <w:lang w:val="af-ZA"/>
              </w:rPr>
              <w:t xml:space="preserve"> </w:t>
            </w:r>
            <w:r w:rsidRPr="00BC61ED">
              <w:rPr>
                <w:sz w:val="20"/>
                <w:szCs w:val="20"/>
              </w:rPr>
              <w:t>սահմանված</w:t>
            </w:r>
            <w:r w:rsidRPr="00BC61ED">
              <w:rPr>
                <w:sz w:val="20"/>
                <w:szCs w:val="20"/>
                <w:lang w:val="af-ZA"/>
              </w:rPr>
              <w:t xml:space="preserve"> </w:t>
            </w:r>
            <w:r w:rsidRPr="00BC61ED">
              <w:rPr>
                <w:sz w:val="20"/>
                <w:szCs w:val="20"/>
              </w:rPr>
              <w:t>կարգերի</w:t>
            </w:r>
            <w:r w:rsidRPr="00BC61ED">
              <w:rPr>
                <w:sz w:val="20"/>
                <w:szCs w:val="20"/>
                <w:lang w:val="af-ZA"/>
              </w:rPr>
              <w:t xml:space="preserve">, </w:t>
            </w:r>
            <w:r w:rsidRPr="00BC61ED">
              <w:rPr>
                <w:sz w:val="20"/>
                <w:szCs w:val="20"/>
              </w:rPr>
              <w:t>նորմատիվ</w:t>
            </w:r>
            <w:r w:rsidRPr="00BC61ED">
              <w:rPr>
                <w:sz w:val="20"/>
                <w:szCs w:val="20"/>
                <w:lang w:val="af-ZA"/>
              </w:rPr>
              <w:t xml:space="preserve"> </w:t>
            </w:r>
            <w:r w:rsidRPr="00BC61ED">
              <w:rPr>
                <w:sz w:val="20"/>
                <w:szCs w:val="20"/>
              </w:rPr>
              <w:t>իրավական</w:t>
            </w:r>
            <w:r w:rsidRPr="00BC61ED">
              <w:rPr>
                <w:sz w:val="20"/>
                <w:szCs w:val="20"/>
                <w:lang w:val="af-ZA"/>
              </w:rPr>
              <w:t xml:space="preserve"> </w:t>
            </w:r>
            <w:r w:rsidRPr="00BC61ED">
              <w:rPr>
                <w:sz w:val="20"/>
                <w:szCs w:val="20"/>
              </w:rPr>
              <w:t>ակտերի</w:t>
            </w:r>
            <w:r w:rsidRPr="00BC61ED">
              <w:rPr>
                <w:sz w:val="20"/>
                <w:szCs w:val="20"/>
                <w:lang w:val="af-ZA"/>
              </w:rPr>
              <w:t xml:space="preserve"> </w:t>
            </w:r>
            <w:r w:rsidRPr="00BC61ED">
              <w:rPr>
                <w:sz w:val="20"/>
                <w:szCs w:val="20"/>
              </w:rPr>
              <w:t>պահանջների</w:t>
            </w:r>
            <w:r w:rsidRPr="00BC61ED">
              <w:rPr>
                <w:sz w:val="20"/>
                <w:szCs w:val="20"/>
                <w:lang w:val="af-ZA"/>
              </w:rPr>
              <w:t xml:space="preserve"> </w:t>
            </w:r>
            <w:r w:rsidRPr="00BC61ED">
              <w:rPr>
                <w:sz w:val="20"/>
                <w:szCs w:val="20"/>
              </w:rPr>
              <w:t>կատարման</w:t>
            </w:r>
            <w:r w:rsidRPr="00BC61ED">
              <w:rPr>
                <w:sz w:val="20"/>
                <w:szCs w:val="20"/>
                <w:lang w:val="af-ZA"/>
              </w:rPr>
              <w:t xml:space="preserve"> </w:t>
            </w:r>
            <w:r w:rsidRPr="00BC61ED">
              <w:rPr>
                <w:sz w:val="20"/>
                <w:szCs w:val="20"/>
              </w:rPr>
              <w:t>նկատմամբ</w:t>
            </w:r>
            <w:r w:rsidRPr="00BC61ED">
              <w:rPr>
                <w:sz w:val="20"/>
                <w:szCs w:val="20"/>
                <w:lang w:val="af-ZA"/>
              </w:rPr>
              <w:t>:</w:t>
            </w:r>
          </w:p>
          <w:p w:rsidR="0068680D" w:rsidRPr="00BC61ED" w:rsidRDefault="0068680D" w:rsidP="00F47DC4">
            <w:pPr>
              <w:shd w:val="clear" w:color="auto" w:fill="FFFFFF"/>
              <w:spacing w:line="276" w:lineRule="auto"/>
              <w:jc w:val="both"/>
              <w:textAlignment w:val="baseline"/>
              <w:rPr>
                <w:sz w:val="20"/>
                <w:szCs w:val="20"/>
                <w:lang w:val="af-ZA"/>
              </w:rPr>
            </w:pPr>
            <w:r w:rsidRPr="00BC61ED">
              <w:rPr>
                <w:sz w:val="20"/>
                <w:szCs w:val="20"/>
                <w:lang w:val="af-ZA"/>
              </w:rPr>
              <w:t xml:space="preserve">   </w:t>
            </w:r>
            <w:r w:rsidRPr="00BC61ED">
              <w:rPr>
                <w:sz w:val="20"/>
                <w:szCs w:val="20"/>
              </w:rPr>
              <w:t>Գնահատողների</w:t>
            </w:r>
            <w:r w:rsidRPr="00BC61ED">
              <w:rPr>
                <w:sz w:val="20"/>
                <w:szCs w:val="20"/>
                <w:lang w:val="af-ZA"/>
              </w:rPr>
              <w:t xml:space="preserve"> </w:t>
            </w:r>
            <w:r w:rsidRPr="00BC61ED">
              <w:rPr>
                <w:sz w:val="20"/>
                <w:szCs w:val="20"/>
              </w:rPr>
              <w:t>կողմից</w:t>
            </w:r>
            <w:r w:rsidRPr="00BC61ED">
              <w:rPr>
                <w:sz w:val="20"/>
                <w:szCs w:val="20"/>
                <w:lang w:val="af-ZA"/>
              </w:rPr>
              <w:t xml:space="preserve"> «</w:t>
            </w:r>
            <w:r w:rsidRPr="00BC61ED">
              <w:rPr>
                <w:sz w:val="20"/>
                <w:szCs w:val="20"/>
              </w:rPr>
              <w:t>Անշարժ</w:t>
            </w:r>
            <w:r w:rsidRPr="00BC61ED">
              <w:rPr>
                <w:sz w:val="20"/>
                <w:szCs w:val="20"/>
                <w:lang w:val="af-ZA"/>
              </w:rPr>
              <w:t xml:space="preserve"> </w:t>
            </w:r>
            <w:r w:rsidRPr="00BC61ED">
              <w:rPr>
                <w:sz w:val="20"/>
                <w:szCs w:val="20"/>
              </w:rPr>
              <w:t>գույքի</w:t>
            </w:r>
            <w:r w:rsidRPr="00BC61ED">
              <w:rPr>
                <w:sz w:val="20"/>
                <w:szCs w:val="20"/>
                <w:lang w:val="af-ZA"/>
              </w:rPr>
              <w:t xml:space="preserve"> </w:t>
            </w:r>
            <w:r w:rsidRPr="00BC61ED">
              <w:rPr>
                <w:sz w:val="20"/>
                <w:szCs w:val="20"/>
              </w:rPr>
              <w:t>գնահատման</w:t>
            </w:r>
            <w:hyperlink r:id="rId18" w:history="1">
              <w:r w:rsidRPr="00BC61ED">
                <w:rPr>
                  <w:rFonts w:ascii="Calibri" w:hAnsi="Calibri" w:cs="Calibri"/>
                  <w:sz w:val="20"/>
                  <w:szCs w:val="20"/>
                  <w:lang w:val="af-ZA"/>
                </w:rPr>
                <w:t> </w:t>
              </w:r>
              <w:r w:rsidRPr="00BC61ED">
                <w:rPr>
                  <w:sz w:val="20"/>
                  <w:szCs w:val="20"/>
                </w:rPr>
                <w:t>գործունեության</w:t>
              </w:r>
              <w:r w:rsidRPr="00BC61ED">
                <w:rPr>
                  <w:sz w:val="20"/>
                  <w:szCs w:val="20"/>
                  <w:lang w:val="af-ZA"/>
                </w:rPr>
                <w:t xml:space="preserve"> </w:t>
              </w:r>
              <w:r w:rsidRPr="00BC61ED">
                <w:rPr>
                  <w:sz w:val="20"/>
                  <w:szCs w:val="20"/>
                </w:rPr>
                <w:t>մասին</w:t>
              </w:r>
            </w:hyperlink>
            <w:r w:rsidRPr="00BC61ED">
              <w:rPr>
                <w:sz w:val="20"/>
                <w:szCs w:val="20"/>
                <w:lang w:val="af-ZA"/>
              </w:rPr>
              <w:t xml:space="preserve">» </w:t>
            </w:r>
            <w:r w:rsidRPr="00BC61ED">
              <w:rPr>
                <w:sz w:val="20"/>
                <w:szCs w:val="20"/>
              </w:rPr>
              <w:t>ՀՀ</w:t>
            </w:r>
            <w:r w:rsidRPr="00BC61ED">
              <w:rPr>
                <w:sz w:val="20"/>
                <w:szCs w:val="20"/>
                <w:lang w:val="af-ZA"/>
              </w:rPr>
              <w:t xml:space="preserve"> </w:t>
            </w:r>
            <w:r w:rsidRPr="00BC61ED">
              <w:rPr>
                <w:sz w:val="20"/>
                <w:szCs w:val="20"/>
              </w:rPr>
              <w:t>օրենքի</w:t>
            </w:r>
            <w:r w:rsidRPr="00BC61ED">
              <w:rPr>
                <w:sz w:val="20"/>
                <w:szCs w:val="20"/>
                <w:lang w:val="af-ZA"/>
              </w:rPr>
              <w:t xml:space="preserve">, </w:t>
            </w:r>
            <w:r w:rsidRPr="00BC61ED">
              <w:rPr>
                <w:sz w:val="20"/>
                <w:szCs w:val="20"/>
              </w:rPr>
              <w:t>գնահատման</w:t>
            </w:r>
            <w:r w:rsidRPr="00BC61ED">
              <w:rPr>
                <w:sz w:val="20"/>
                <w:szCs w:val="20"/>
                <w:lang w:val="af-ZA"/>
              </w:rPr>
              <w:t xml:space="preserve"> </w:t>
            </w:r>
            <w:r w:rsidRPr="00BC61ED">
              <w:rPr>
                <w:sz w:val="20"/>
                <w:szCs w:val="20"/>
              </w:rPr>
              <w:t>ստանդարտների</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օրենսդրությամբ</w:t>
            </w:r>
            <w:r w:rsidRPr="00BC61ED">
              <w:rPr>
                <w:sz w:val="20"/>
                <w:szCs w:val="20"/>
                <w:lang w:val="af-ZA"/>
              </w:rPr>
              <w:t xml:space="preserve"> </w:t>
            </w:r>
            <w:r w:rsidRPr="00BC61ED">
              <w:rPr>
                <w:sz w:val="20"/>
                <w:szCs w:val="20"/>
              </w:rPr>
              <w:t>սահմանված</w:t>
            </w:r>
            <w:r w:rsidRPr="00BC61ED">
              <w:rPr>
                <w:sz w:val="20"/>
                <w:szCs w:val="20"/>
                <w:lang w:val="af-ZA"/>
              </w:rPr>
              <w:t xml:space="preserve"> </w:t>
            </w:r>
            <w:r w:rsidRPr="00BC61ED">
              <w:rPr>
                <w:sz w:val="20"/>
                <w:szCs w:val="20"/>
              </w:rPr>
              <w:t>կարգերի</w:t>
            </w:r>
            <w:r w:rsidRPr="00BC61ED">
              <w:rPr>
                <w:sz w:val="20"/>
                <w:szCs w:val="20"/>
                <w:lang w:val="af-ZA"/>
              </w:rPr>
              <w:t xml:space="preserve">, </w:t>
            </w:r>
            <w:r w:rsidRPr="00BC61ED">
              <w:rPr>
                <w:sz w:val="20"/>
                <w:szCs w:val="20"/>
              </w:rPr>
              <w:t>նորմատիվ</w:t>
            </w:r>
            <w:r w:rsidRPr="00BC61ED">
              <w:rPr>
                <w:sz w:val="20"/>
                <w:szCs w:val="20"/>
                <w:lang w:val="af-ZA"/>
              </w:rPr>
              <w:t xml:space="preserve"> </w:t>
            </w:r>
            <w:r w:rsidRPr="00BC61ED">
              <w:rPr>
                <w:sz w:val="20"/>
                <w:szCs w:val="20"/>
              </w:rPr>
              <w:t>իրավական</w:t>
            </w:r>
            <w:r w:rsidRPr="00BC61ED">
              <w:rPr>
                <w:sz w:val="20"/>
                <w:szCs w:val="20"/>
                <w:lang w:val="af-ZA"/>
              </w:rPr>
              <w:t xml:space="preserve"> </w:t>
            </w:r>
            <w:r w:rsidRPr="00BC61ED">
              <w:rPr>
                <w:sz w:val="20"/>
                <w:szCs w:val="20"/>
              </w:rPr>
              <w:t>ակտերի</w:t>
            </w:r>
            <w:r w:rsidRPr="00BC61ED">
              <w:rPr>
                <w:sz w:val="20"/>
                <w:szCs w:val="20"/>
                <w:lang w:val="af-ZA"/>
              </w:rPr>
              <w:t xml:space="preserve"> </w:t>
            </w:r>
            <w:r w:rsidRPr="00BC61ED">
              <w:rPr>
                <w:sz w:val="20"/>
                <w:szCs w:val="20"/>
              </w:rPr>
              <w:t>պահանջների</w:t>
            </w:r>
            <w:r w:rsidRPr="00BC61ED">
              <w:rPr>
                <w:sz w:val="20"/>
                <w:szCs w:val="20"/>
                <w:lang w:val="af-ZA"/>
              </w:rPr>
              <w:t xml:space="preserve"> </w:t>
            </w:r>
            <w:r w:rsidRPr="00BC61ED">
              <w:rPr>
                <w:sz w:val="20"/>
                <w:szCs w:val="20"/>
              </w:rPr>
              <w:t>կատարման</w:t>
            </w:r>
            <w:r w:rsidRPr="00BC61ED">
              <w:rPr>
                <w:sz w:val="20"/>
                <w:szCs w:val="20"/>
                <w:lang w:val="af-ZA"/>
              </w:rPr>
              <w:t xml:space="preserve"> </w:t>
            </w:r>
            <w:r w:rsidRPr="00BC61ED">
              <w:rPr>
                <w:sz w:val="20"/>
                <w:szCs w:val="20"/>
              </w:rPr>
              <w:t>նկատմամբ</w:t>
            </w:r>
            <w:r w:rsidRPr="00BC61ED">
              <w:rPr>
                <w:sz w:val="20"/>
                <w:szCs w:val="20"/>
                <w:lang w:val="af-ZA"/>
              </w:rPr>
              <w:t xml:space="preserve"> </w:t>
            </w:r>
            <w:r w:rsidRPr="00BC61ED">
              <w:rPr>
                <w:sz w:val="20"/>
                <w:szCs w:val="20"/>
              </w:rPr>
              <w:t>հսկողություն</w:t>
            </w:r>
            <w:r w:rsidRPr="00BC61ED">
              <w:rPr>
                <w:sz w:val="20"/>
                <w:szCs w:val="20"/>
                <w:lang w:val="af-ZA"/>
              </w:rPr>
              <w:t xml:space="preserve"> </w:t>
            </w:r>
            <w:r w:rsidRPr="00BC61ED">
              <w:rPr>
                <w:sz w:val="20"/>
                <w:szCs w:val="20"/>
              </w:rPr>
              <w:t>կադաստրի</w:t>
            </w:r>
            <w:r w:rsidRPr="00BC61ED">
              <w:rPr>
                <w:sz w:val="20"/>
                <w:szCs w:val="20"/>
                <w:lang w:val="af-ZA"/>
              </w:rPr>
              <w:t xml:space="preserve"> </w:t>
            </w:r>
            <w:r w:rsidRPr="00BC61ED">
              <w:rPr>
                <w:sz w:val="20"/>
                <w:szCs w:val="20"/>
              </w:rPr>
              <w:t>կոմիտեն</w:t>
            </w:r>
            <w:r w:rsidRPr="00BC61ED">
              <w:rPr>
                <w:sz w:val="20"/>
                <w:szCs w:val="20"/>
                <w:lang w:val="af-ZA"/>
              </w:rPr>
              <w:t xml:space="preserve"> </w:t>
            </w:r>
            <w:r w:rsidRPr="00BC61ED">
              <w:rPr>
                <w:sz w:val="20"/>
                <w:szCs w:val="20"/>
              </w:rPr>
              <w:t>իրականացնում</w:t>
            </w:r>
            <w:r w:rsidRPr="00BC61ED">
              <w:rPr>
                <w:sz w:val="20"/>
                <w:szCs w:val="20"/>
                <w:lang w:val="af-ZA"/>
              </w:rPr>
              <w:t xml:space="preserve"> </w:t>
            </w:r>
            <w:r w:rsidRPr="00BC61ED">
              <w:rPr>
                <w:sz w:val="20"/>
                <w:szCs w:val="20"/>
              </w:rPr>
              <w:t>է</w:t>
            </w:r>
            <w:r w:rsidRPr="00BC61ED">
              <w:rPr>
                <w:sz w:val="20"/>
                <w:szCs w:val="20"/>
                <w:lang w:val="af-ZA"/>
              </w:rPr>
              <w:t xml:space="preserve"> </w:t>
            </w:r>
            <w:r w:rsidRPr="00BC61ED">
              <w:rPr>
                <w:sz w:val="20"/>
                <w:szCs w:val="20"/>
              </w:rPr>
              <w:t>միայն</w:t>
            </w:r>
            <w:r w:rsidRPr="00BC61ED">
              <w:rPr>
                <w:sz w:val="20"/>
                <w:szCs w:val="20"/>
                <w:lang w:val="af-ZA"/>
              </w:rPr>
              <w:t xml:space="preserve"> </w:t>
            </w:r>
            <w:r w:rsidRPr="00BC61ED">
              <w:rPr>
                <w:sz w:val="20"/>
                <w:szCs w:val="20"/>
              </w:rPr>
              <w:t>շահագրգիռ</w:t>
            </w:r>
            <w:r w:rsidRPr="00BC61ED">
              <w:rPr>
                <w:sz w:val="20"/>
                <w:szCs w:val="20"/>
                <w:lang w:val="af-ZA"/>
              </w:rPr>
              <w:t xml:space="preserve"> </w:t>
            </w:r>
            <w:r w:rsidRPr="00BC61ED">
              <w:rPr>
                <w:sz w:val="20"/>
                <w:szCs w:val="20"/>
              </w:rPr>
              <w:t>անձանց</w:t>
            </w:r>
            <w:r w:rsidRPr="00BC61ED">
              <w:rPr>
                <w:sz w:val="20"/>
                <w:szCs w:val="20"/>
                <w:lang w:val="af-ZA"/>
              </w:rPr>
              <w:t xml:space="preserve"> </w:t>
            </w:r>
            <w:r w:rsidRPr="00BC61ED">
              <w:rPr>
                <w:sz w:val="20"/>
                <w:szCs w:val="20"/>
              </w:rPr>
              <w:t>դիմումի</w:t>
            </w:r>
            <w:r w:rsidRPr="00BC61ED">
              <w:rPr>
                <w:sz w:val="20"/>
                <w:szCs w:val="20"/>
                <w:lang w:val="af-ZA"/>
              </w:rPr>
              <w:t xml:space="preserve"> </w:t>
            </w:r>
            <w:r w:rsidRPr="00BC61ED">
              <w:rPr>
                <w:sz w:val="20"/>
                <w:szCs w:val="20"/>
              </w:rPr>
              <w:t>հիման</w:t>
            </w:r>
            <w:r w:rsidRPr="00BC61ED">
              <w:rPr>
                <w:sz w:val="20"/>
                <w:szCs w:val="20"/>
                <w:lang w:val="af-ZA"/>
              </w:rPr>
              <w:t xml:space="preserve"> </w:t>
            </w:r>
            <w:r w:rsidRPr="00BC61ED">
              <w:rPr>
                <w:sz w:val="20"/>
                <w:szCs w:val="20"/>
              </w:rPr>
              <w:t>վրա</w:t>
            </w:r>
            <w:r w:rsidRPr="00BC61ED">
              <w:rPr>
                <w:sz w:val="20"/>
                <w:szCs w:val="20"/>
                <w:lang w:val="af-ZA"/>
              </w:rPr>
              <w:t xml:space="preserve"> </w:t>
            </w:r>
            <w:r w:rsidRPr="00BC61ED">
              <w:rPr>
                <w:sz w:val="20"/>
                <w:szCs w:val="20"/>
              </w:rPr>
              <w:t>կամ</w:t>
            </w:r>
            <w:r w:rsidRPr="00BC61ED">
              <w:rPr>
                <w:sz w:val="20"/>
                <w:szCs w:val="20"/>
                <w:lang w:val="af-ZA"/>
              </w:rPr>
              <w:t xml:space="preserve"> </w:t>
            </w:r>
            <w:r w:rsidRPr="00BC61ED">
              <w:rPr>
                <w:sz w:val="20"/>
                <w:szCs w:val="20"/>
              </w:rPr>
              <w:t>լիազոր</w:t>
            </w:r>
            <w:r w:rsidRPr="00BC61ED">
              <w:rPr>
                <w:sz w:val="20"/>
                <w:szCs w:val="20"/>
                <w:lang w:val="af-ZA"/>
              </w:rPr>
              <w:t xml:space="preserve"> </w:t>
            </w:r>
            <w:r w:rsidRPr="00BC61ED">
              <w:rPr>
                <w:sz w:val="20"/>
                <w:szCs w:val="20"/>
              </w:rPr>
              <w:t>մարմնի</w:t>
            </w:r>
            <w:r w:rsidRPr="00BC61ED">
              <w:rPr>
                <w:sz w:val="20"/>
                <w:szCs w:val="20"/>
                <w:lang w:val="af-ZA"/>
              </w:rPr>
              <w:t xml:space="preserve"> </w:t>
            </w:r>
            <w:r w:rsidRPr="00BC61ED">
              <w:rPr>
                <w:sz w:val="20"/>
                <w:szCs w:val="20"/>
              </w:rPr>
              <w:t>հաստատած</w:t>
            </w:r>
            <w:r w:rsidRPr="00BC61ED">
              <w:rPr>
                <w:sz w:val="20"/>
                <w:szCs w:val="20"/>
                <w:lang w:val="af-ZA"/>
              </w:rPr>
              <w:t xml:space="preserve"> </w:t>
            </w:r>
            <w:r w:rsidRPr="00BC61ED">
              <w:rPr>
                <w:sz w:val="20"/>
                <w:szCs w:val="20"/>
              </w:rPr>
              <w:t>ուսումնասիրությունների</w:t>
            </w:r>
            <w:r w:rsidRPr="00BC61ED">
              <w:rPr>
                <w:sz w:val="20"/>
                <w:szCs w:val="20"/>
                <w:lang w:val="af-ZA"/>
              </w:rPr>
              <w:t xml:space="preserve"> </w:t>
            </w:r>
            <w:r w:rsidRPr="00BC61ED">
              <w:rPr>
                <w:sz w:val="20"/>
                <w:szCs w:val="20"/>
              </w:rPr>
              <w:t>իրականացման</w:t>
            </w:r>
            <w:r w:rsidRPr="00BC61ED">
              <w:rPr>
                <w:sz w:val="20"/>
                <w:szCs w:val="20"/>
                <w:lang w:val="af-ZA"/>
              </w:rPr>
              <w:t xml:space="preserve"> </w:t>
            </w:r>
            <w:r w:rsidRPr="00BC61ED">
              <w:rPr>
                <w:sz w:val="20"/>
                <w:szCs w:val="20"/>
              </w:rPr>
              <w:t>տարեկան</w:t>
            </w:r>
            <w:r w:rsidRPr="00BC61ED">
              <w:rPr>
                <w:sz w:val="20"/>
                <w:szCs w:val="20"/>
                <w:lang w:val="af-ZA"/>
              </w:rPr>
              <w:t xml:space="preserve"> </w:t>
            </w:r>
            <w:r w:rsidRPr="00BC61ED">
              <w:rPr>
                <w:sz w:val="20"/>
                <w:szCs w:val="20"/>
              </w:rPr>
              <w:t>ժամանակացույցով</w:t>
            </w:r>
            <w:r w:rsidRPr="00BC61ED">
              <w:rPr>
                <w:sz w:val="20"/>
                <w:szCs w:val="20"/>
                <w:lang w:val="af-ZA"/>
              </w:rPr>
              <w:t xml:space="preserve"> </w:t>
            </w:r>
            <w:r w:rsidRPr="00BC61ED">
              <w:rPr>
                <w:sz w:val="20"/>
                <w:szCs w:val="20"/>
              </w:rPr>
              <w:t>նախատեսված</w:t>
            </w:r>
            <w:r w:rsidRPr="00BC61ED">
              <w:rPr>
                <w:sz w:val="20"/>
                <w:szCs w:val="20"/>
                <w:lang w:val="af-ZA"/>
              </w:rPr>
              <w:t xml:space="preserve"> </w:t>
            </w:r>
            <w:r w:rsidRPr="00BC61ED">
              <w:rPr>
                <w:sz w:val="20"/>
                <w:szCs w:val="20"/>
              </w:rPr>
              <w:t>լինելու</w:t>
            </w:r>
            <w:r w:rsidRPr="00BC61ED">
              <w:rPr>
                <w:sz w:val="20"/>
                <w:szCs w:val="20"/>
                <w:lang w:val="af-ZA"/>
              </w:rPr>
              <w:t xml:space="preserve"> </w:t>
            </w:r>
            <w:r w:rsidRPr="00BC61ED">
              <w:rPr>
                <w:sz w:val="20"/>
                <w:szCs w:val="20"/>
              </w:rPr>
              <w:t>դեպքում</w:t>
            </w:r>
            <w:r w:rsidRPr="00BC61ED">
              <w:rPr>
                <w:sz w:val="20"/>
                <w:szCs w:val="20"/>
                <w:lang w:val="af-ZA"/>
              </w:rPr>
              <w:t>:</w:t>
            </w:r>
          </w:p>
          <w:p w:rsidR="0068680D" w:rsidRPr="00BC61ED" w:rsidRDefault="0068680D" w:rsidP="00F47DC4">
            <w:pPr>
              <w:shd w:val="clear" w:color="auto" w:fill="FFFFFF"/>
              <w:spacing w:line="276" w:lineRule="auto"/>
              <w:jc w:val="both"/>
              <w:textAlignment w:val="baseline"/>
              <w:rPr>
                <w:sz w:val="20"/>
                <w:szCs w:val="20"/>
                <w:lang w:val="af-ZA"/>
              </w:rPr>
            </w:pPr>
            <w:r w:rsidRPr="00BC61ED">
              <w:rPr>
                <w:sz w:val="20"/>
                <w:szCs w:val="20"/>
                <w:lang w:val="af-ZA"/>
              </w:rPr>
              <w:t xml:space="preserve">   </w:t>
            </w:r>
            <w:r w:rsidRPr="00BC61ED">
              <w:rPr>
                <w:sz w:val="20"/>
                <w:szCs w:val="20"/>
              </w:rPr>
              <w:t>Մասնագիտական</w:t>
            </w:r>
            <w:r w:rsidRPr="00BC61ED">
              <w:rPr>
                <w:sz w:val="20"/>
                <w:szCs w:val="20"/>
                <w:lang w:val="af-ZA"/>
              </w:rPr>
              <w:t xml:space="preserve"> </w:t>
            </w:r>
            <w:r w:rsidRPr="00BC61ED">
              <w:rPr>
                <w:sz w:val="20"/>
                <w:szCs w:val="20"/>
              </w:rPr>
              <w:t>հանձնաժողովի</w:t>
            </w:r>
            <w:r w:rsidRPr="00BC61ED">
              <w:rPr>
                <w:sz w:val="20"/>
                <w:szCs w:val="20"/>
                <w:lang w:val="af-ZA"/>
              </w:rPr>
              <w:t xml:space="preserve"> </w:t>
            </w:r>
            <w:r w:rsidRPr="00BC61ED">
              <w:rPr>
                <w:sz w:val="20"/>
                <w:szCs w:val="20"/>
              </w:rPr>
              <w:t>եզրակացության</w:t>
            </w:r>
            <w:r w:rsidRPr="00BC61ED">
              <w:rPr>
                <w:sz w:val="20"/>
                <w:szCs w:val="20"/>
                <w:lang w:val="af-ZA"/>
              </w:rPr>
              <w:t xml:space="preserve"> </w:t>
            </w:r>
            <w:r w:rsidRPr="00BC61ED">
              <w:rPr>
                <w:sz w:val="20"/>
                <w:szCs w:val="20"/>
              </w:rPr>
              <w:t>հիման</w:t>
            </w:r>
            <w:r w:rsidRPr="00BC61ED">
              <w:rPr>
                <w:sz w:val="20"/>
                <w:szCs w:val="20"/>
                <w:lang w:val="af-ZA"/>
              </w:rPr>
              <w:t xml:space="preserve"> </w:t>
            </w:r>
            <w:r w:rsidRPr="00BC61ED">
              <w:rPr>
                <w:sz w:val="20"/>
                <w:szCs w:val="20"/>
              </w:rPr>
              <w:t>վրա</w:t>
            </w:r>
            <w:r w:rsidRPr="00BC61ED">
              <w:rPr>
                <w:sz w:val="20"/>
                <w:szCs w:val="20"/>
                <w:lang w:val="af-ZA"/>
              </w:rPr>
              <w:t xml:space="preserve"> </w:t>
            </w:r>
            <w:r w:rsidRPr="00BC61ED">
              <w:rPr>
                <w:sz w:val="20"/>
                <w:szCs w:val="20"/>
              </w:rPr>
              <w:t>գնահատողի</w:t>
            </w:r>
            <w:r w:rsidRPr="00BC61ED">
              <w:rPr>
                <w:sz w:val="20"/>
                <w:szCs w:val="20"/>
                <w:lang w:val="af-ZA"/>
              </w:rPr>
              <w:t xml:space="preserve"> </w:t>
            </w:r>
            <w:r w:rsidRPr="00BC61ED">
              <w:rPr>
                <w:sz w:val="20"/>
                <w:szCs w:val="20"/>
              </w:rPr>
              <w:t>որակավորման</w:t>
            </w:r>
            <w:r w:rsidRPr="00BC61ED">
              <w:rPr>
                <w:sz w:val="20"/>
                <w:szCs w:val="20"/>
                <w:lang w:val="af-ZA"/>
              </w:rPr>
              <w:t xml:space="preserve"> </w:t>
            </w:r>
            <w:r w:rsidRPr="00BC61ED">
              <w:rPr>
                <w:sz w:val="20"/>
                <w:szCs w:val="20"/>
              </w:rPr>
              <w:t>գործողությունը</w:t>
            </w:r>
            <w:r w:rsidRPr="00BC61ED">
              <w:rPr>
                <w:sz w:val="20"/>
                <w:szCs w:val="20"/>
                <w:lang w:val="af-ZA"/>
              </w:rPr>
              <w:t xml:space="preserve"> </w:t>
            </w:r>
            <w:r w:rsidRPr="00BC61ED">
              <w:rPr>
                <w:sz w:val="20"/>
                <w:szCs w:val="20"/>
              </w:rPr>
              <w:t>դադարեցվում</w:t>
            </w:r>
            <w:r w:rsidRPr="00BC61ED">
              <w:rPr>
                <w:sz w:val="20"/>
                <w:szCs w:val="20"/>
                <w:lang w:val="af-ZA"/>
              </w:rPr>
              <w:t xml:space="preserve"> </w:t>
            </w:r>
            <w:r w:rsidRPr="00BC61ED">
              <w:rPr>
                <w:sz w:val="20"/>
                <w:szCs w:val="20"/>
              </w:rPr>
              <w:t>է</w:t>
            </w:r>
            <w:r w:rsidRPr="00BC61ED">
              <w:rPr>
                <w:sz w:val="20"/>
                <w:szCs w:val="20"/>
                <w:lang w:val="af-ZA"/>
              </w:rPr>
              <w:t xml:space="preserve"> </w:t>
            </w:r>
            <w:r w:rsidRPr="00BC61ED">
              <w:rPr>
                <w:sz w:val="20"/>
                <w:szCs w:val="20"/>
              </w:rPr>
              <w:t>միայն</w:t>
            </w:r>
            <w:r w:rsidRPr="00BC61ED">
              <w:rPr>
                <w:sz w:val="20"/>
                <w:szCs w:val="20"/>
                <w:lang w:val="af-ZA"/>
              </w:rPr>
              <w:t xml:space="preserve"> </w:t>
            </w:r>
            <w:r w:rsidRPr="00BC61ED">
              <w:rPr>
                <w:sz w:val="20"/>
                <w:szCs w:val="20"/>
              </w:rPr>
              <w:t>այն</w:t>
            </w:r>
            <w:r w:rsidRPr="00BC61ED">
              <w:rPr>
                <w:sz w:val="20"/>
                <w:szCs w:val="20"/>
                <w:lang w:val="af-ZA"/>
              </w:rPr>
              <w:t xml:space="preserve"> </w:t>
            </w:r>
            <w:r w:rsidRPr="00BC61ED">
              <w:rPr>
                <w:sz w:val="20"/>
                <w:szCs w:val="20"/>
              </w:rPr>
              <w:t>դեպքում</w:t>
            </w:r>
            <w:r w:rsidRPr="00BC61ED">
              <w:rPr>
                <w:sz w:val="20"/>
                <w:szCs w:val="20"/>
                <w:lang w:val="af-ZA"/>
              </w:rPr>
              <w:t xml:space="preserve">, </w:t>
            </w:r>
            <w:r w:rsidRPr="00BC61ED">
              <w:rPr>
                <w:sz w:val="20"/>
                <w:szCs w:val="20"/>
              </w:rPr>
              <w:t>եթե</w:t>
            </w:r>
            <w:r w:rsidRPr="00BC61ED">
              <w:rPr>
                <w:sz w:val="20"/>
                <w:szCs w:val="20"/>
                <w:lang w:val="af-ZA"/>
              </w:rPr>
              <w:t xml:space="preserve"> </w:t>
            </w:r>
            <w:r w:rsidRPr="00BC61ED">
              <w:rPr>
                <w:sz w:val="20"/>
                <w:szCs w:val="20"/>
              </w:rPr>
              <w:t>գնահատողը</w:t>
            </w:r>
            <w:r w:rsidRPr="00BC61ED">
              <w:rPr>
                <w:sz w:val="20"/>
                <w:szCs w:val="20"/>
                <w:lang w:val="af-ZA"/>
              </w:rPr>
              <w:t xml:space="preserve"> </w:t>
            </w:r>
            <w:r w:rsidRPr="00BC61ED">
              <w:rPr>
                <w:sz w:val="20"/>
                <w:szCs w:val="20"/>
              </w:rPr>
              <w:t>գնահատման</w:t>
            </w:r>
            <w:r w:rsidRPr="00BC61ED">
              <w:rPr>
                <w:sz w:val="20"/>
                <w:szCs w:val="20"/>
                <w:lang w:val="af-ZA"/>
              </w:rPr>
              <w:t xml:space="preserve"> </w:t>
            </w:r>
            <w:r w:rsidRPr="00BC61ED">
              <w:rPr>
                <w:sz w:val="20"/>
                <w:szCs w:val="20"/>
              </w:rPr>
              <w:t>հաշվետվությունում</w:t>
            </w:r>
            <w:r w:rsidRPr="00BC61ED">
              <w:rPr>
                <w:sz w:val="20"/>
                <w:szCs w:val="20"/>
                <w:lang w:val="af-ZA"/>
              </w:rPr>
              <w:t xml:space="preserve"> «</w:t>
            </w:r>
            <w:r w:rsidRPr="00BC61ED">
              <w:rPr>
                <w:sz w:val="20"/>
                <w:szCs w:val="20"/>
              </w:rPr>
              <w:t>Անշարժ</w:t>
            </w:r>
            <w:r w:rsidRPr="00BC61ED">
              <w:rPr>
                <w:sz w:val="20"/>
                <w:szCs w:val="20"/>
                <w:lang w:val="af-ZA"/>
              </w:rPr>
              <w:t xml:space="preserve"> </w:t>
            </w:r>
            <w:r w:rsidRPr="00BC61ED">
              <w:rPr>
                <w:sz w:val="20"/>
                <w:szCs w:val="20"/>
              </w:rPr>
              <w:t>գույքի</w:t>
            </w:r>
            <w:r w:rsidRPr="00BC61ED">
              <w:rPr>
                <w:sz w:val="20"/>
                <w:szCs w:val="20"/>
                <w:lang w:val="af-ZA"/>
              </w:rPr>
              <w:t xml:space="preserve"> </w:t>
            </w:r>
            <w:r w:rsidRPr="00BC61ED">
              <w:rPr>
                <w:sz w:val="20"/>
                <w:szCs w:val="20"/>
              </w:rPr>
              <w:t>գնահատման</w:t>
            </w:r>
            <w:r w:rsidRPr="00BC61ED">
              <w:rPr>
                <w:sz w:val="20"/>
                <w:szCs w:val="20"/>
                <w:lang w:val="af-ZA"/>
              </w:rPr>
              <w:t xml:space="preserve"> </w:t>
            </w:r>
            <w:hyperlink r:id="rId19" w:history="1">
              <w:r w:rsidRPr="00BC61ED">
                <w:rPr>
                  <w:sz w:val="20"/>
                  <w:szCs w:val="20"/>
                </w:rPr>
                <w:t>գործունեության</w:t>
              </w:r>
              <w:r w:rsidRPr="00BC61ED">
                <w:rPr>
                  <w:sz w:val="20"/>
                  <w:szCs w:val="20"/>
                  <w:lang w:val="af-ZA"/>
                </w:rPr>
                <w:t xml:space="preserve"> </w:t>
              </w:r>
              <w:r w:rsidRPr="00BC61ED">
                <w:rPr>
                  <w:sz w:val="20"/>
                  <w:szCs w:val="20"/>
                </w:rPr>
                <w:t>մասին</w:t>
              </w:r>
            </w:hyperlink>
            <w:r w:rsidRPr="00BC61ED">
              <w:rPr>
                <w:sz w:val="20"/>
                <w:szCs w:val="20"/>
                <w:lang w:val="af-ZA"/>
              </w:rPr>
              <w:t xml:space="preserve">» </w:t>
            </w:r>
            <w:r w:rsidRPr="00BC61ED">
              <w:rPr>
                <w:sz w:val="20"/>
                <w:szCs w:val="20"/>
              </w:rPr>
              <w:t>ՀՀ</w:t>
            </w:r>
            <w:r w:rsidRPr="00BC61ED">
              <w:rPr>
                <w:sz w:val="20"/>
                <w:szCs w:val="20"/>
                <w:lang w:val="af-ZA"/>
              </w:rPr>
              <w:t xml:space="preserve"> </w:t>
            </w:r>
            <w:r w:rsidRPr="00BC61ED">
              <w:rPr>
                <w:sz w:val="20"/>
                <w:szCs w:val="20"/>
              </w:rPr>
              <w:t>օրենքով</w:t>
            </w:r>
            <w:r w:rsidRPr="00BC61ED">
              <w:rPr>
                <w:sz w:val="20"/>
                <w:szCs w:val="20"/>
                <w:lang w:val="af-ZA"/>
              </w:rPr>
              <w:t xml:space="preserve">, </w:t>
            </w:r>
            <w:r w:rsidRPr="00BC61ED">
              <w:rPr>
                <w:sz w:val="20"/>
                <w:szCs w:val="20"/>
              </w:rPr>
              <w:t>գնահատման</w:t>
            </w:r>
            <w:r w:rsidRPr="00BC61ED">
              <w:rPr>
                <w:sz w:val="20"/>
                <w:szCs w:val="20"/>
                <w:lang w:val="af-ZA"/>
              </w:rPr>
              <w:t xml:space="preserve"> </w:t>
            </w:r>
            <w:r w:rsidRPr="00BC61ED">
              <w:rPr>
                <w:sz w:val="20"/>
                <w:szCs w:val="20"/>
              </w:rPr>
              <w:t>ստանդարտով</w:t>
            </w:r>
            <w:r w:rsidRPr="00BC61ED">
              <w:rPr>
                <w:sz w:val="20"/>
                <w:szCs w:val="20"/>
                <w:lang w:val="af-ZA"/>
              </w:rPr>
              <w:t xml:space="preserve"> </w:t>
            </w:r>
            <w:r w:rsidRPr="00BC61ED">
              <w:rPr>
                <w:sz w:val="20"/>
                <w:szCs w:val="20"/>
              </w:rPr>
              <w:t>կամ</w:t>
            </w:r>
            <w:r w:rsidRPr="00BC61ED">
              <w:rPr>
                <w:sz w:val="20"/>
                <w:szCs w:val="20"/>
                <w:lang w:val="af-ZA"/>
              </w:rPr>
              <w:t xml:space="preserve"> </w:t>
            </w:r>
            <w:r w:rsidRPr="00BC61ED">
              <w:rPr>
                <w:sz w:val="20"/>
                <w:szCs w:val="20"/>
              </w:rPr>
              <w:t>այլ</w:t>
            </w:r>
            <w:r w:rsidRPr="00BC61ED">
              <w:rPr>
                <w:sz w:val="20"/>
                <w:szCs w:val="20"/>
                <w:lang w:val="af-ZA"/>
              </w:rPr>
              <w:t xml:space="preserve"> </w:t>
            </w:r>
            <w:r w:rsidRPr="00BC61ED">
              <w:rPr>
                <w:sz w:val="20"/>
                <w:szCs w:val="20"/>
              </w:rPr>
              <w:t>նորմատիվ</w:t>
            </w:r>
            <w:r w:rsidRPr="00BC61ED">
              <w:rPr>
                <w:sz w:val="20"/>
                <w:szCs w:val="20"/>
                <w:lang w:val="af-ZA"/>
              </w:rPr>
              <w:t xml:space="preserve"> </w:t>
            </w:r>
            <w:r w:rsidRPr="00BC61ED">
              <w:rPr>
                <w:sz w:val="20"/>
                <w:szCs w:val="20"/>
              </w:rPr>
              <w:t>իրավական</w:t>
            </w:r>
            <w:r w:rsidRPr="00BC61ED">
              <w:rPr>
                <w:sz w:val="20"/>
                <w:szCs w:val="20"/>
                <w:lang w:val="af-ZA"/>
              </w:rPr>
              <w:t xml:space="preserve"> </w:t>
            </w:r>
            <w:r w:rsidRPr="00BC61ED">
              <w:rPr>
                <w:sz w:val="20"/>
                <w:szCs w:val="20"/>
              </w:rPr>
              <w:t>ակտերով</w:t>
            </w:r>
            <w:r w:rsidRPr="00BC61ED">
              <w:rPr>
                <w:sz w:val="20"/>
                <w:szCs w:val="20"/>
                <w:lang w:val="af-ZA"/>
              </w:rPr>
              <w:t xml:space="preserve"> </w:t>
            </w:r>
            <w:r w:rsidRPr="00BC61ED">
              <w:rPr>
                <w:sz w:val="20"/>
                <w:szCs w:val="20"/>
              </w:rPr>
              <w:t>նախատեսված</w:t>
            </w:r>
            <w:r w:rsidRPr="00BC61ED">
              <w:rPr>
                <w:sz w:val="20"/>
                <w:szCs w:val="20"/>
                <w:lang w:val="af-ZA"/>
              </w:rPr>
              <w:t xml:space="preserve"> </w:t>
            </w:r>
            <w:r w:rsidRPr="00BC61ED">
              <w:rPr>
                <w:sz w:val="20"/>
                <w:szCs w:val="20"/>
              </w:rPr>
              <w:t>պահանջների</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պայմանների</w:t>
            </w:r>
            <w:r w:rsidRPr="00BC61ED">
              <w:rPr>
                <w:sz w:val="20"/>
                <w:szCs w:val="20"/>
                <w:lang w:val="af-ZA"/>
              </w:rPr>
              <w:t xml:space="preserve"> </w:t>
            </w:r>
            <w:r w:rsidRPr="00BC61ED">
              <w:rPr>
                <w:sz w:val="20"/>
                <w:szCs w:val="20"/>
              </w:rPr>
              <w:t>խախտում</w:t>
            </w:r>
            <w:r w:rsidRPr="00BC61ED">
              <w:rPr>
                <w:sz w:val="20"/>
                <w:szCs w:val="20"/>
                <w:lang w:val="af-ZA"/>
              </w:rPr>
              <w:t xml:space="preserve"> (</w:t>
            </w:r>
            <w:r w:rsidRPr="00BC61ED">
              <w:rPr>
                <w:sz w:val="20"/>
                <w:szCs w:val="20"/>
              </w:rPr>
              <w:t>խախտումներ</w:t>
            </w:r>
            <w:r w:rsidRPr="00BC61ED">
              <w:rPr>
                <w:sz w:val="20"/>
                <w:szCs w:val="20"/>
                <w:lang w:val="af-ZA"/>
              </w:rPr>
              <w:t xml:space="preserve">) </w:t>
            </w:r>
            <w:r w:rsidRPr="00BC61ED">
              <w:rPr>
                <w:sz w:val="20"/>
                <w:szCs w:val="20"/>
              </w:rPr>
              <w:t>կատարելու</w:t>
            </w:r>
            <w:r w:rsidRPr="00BC61ED">
              <w:rPr>
                <w:sz w:val="20"/>
                <w:szCs w:val="20"/>
                <w:lang w:val="af-ZA"/>
              </w:rPr>
              <w:t xml:space="preserve"> </w:t>
            </w:r>
            <w:r w:rsidRPr="00BC61ED">
              <w:rPr>
                <w:sz w:val="20"/>
                <w:szCs w:val="20"/>
              </w:rPr>
              <w:t>օրվանից</w:t>
            </w:r>
            <w:r w:rsidRPr="00BC61ED">
              <w:rPr>
                <w:sz w:val="20"/>
                <w:szCs w:val="20"/>
                <w:lang w:val="af-ZA"/>
              </w:rPr>
              <w:t xml:space="preserve"> </w:t>
            </w:r>
            <w:r w:rsidRPr="00BC61ED">
              <w:rPr>
                <w:sz w:val="20"/>
                <w:szCs w:val="20"/>
              </w:rPr>
              <w:t>հետո</w:t>
            </w:r>
            <w:r w:rsidRPr="00BC61ED">
              <w:rPr>
                <w:sz w:val="20"/>
                <w:szCs w:val="20"/>
                <w:lang w:val="af-ZA"/>
              </w:rPr>
              <w:t xml:space="preserve">` </w:t>
            </w:r>
            <w:r w:rsidRPr="00BC61ED">
              <w:rPr>
                <w:sz w:val="20"/>
                <w:szCs w:val="20"/>
              </w:rPr>
              <w:t>մեկ</w:t>
            </w:r>
            <w:r w:rsidRPr="00BC61ED">
              <w:rPr>
                <w:sz w:val="20"/>
                <w:szCs w:val="20"/>
                <w:lang w:val="af-ZA"/>
              </w:rPr>
              <w:t xml:space="preserve"> </w:t>
            </w:r>
            <w:r w:rsidRPr="00BC61ED">
              <w:rPr>
                <w:sz w:val="20"/>
                <w:szCs w:val="20"/>
              </w:rPr>
              <w:t>տարվա</w:t>
            </w:r>
            <w:r w:rsidRPr="00BC61ED">
              <w:rPr>
                <w:sz w:val="20"/>
                <w:szCs w:val="20"/>
                <w:lang w:val="af-ZA"/>
              </w:rPr>
              <w:t xml:space="preserve"> </w:t>
            </w:r>
            <w:r w:rsidRPr="00BC61ED">
              <w:rPr>
                <w:sz w:val="20"/>
                <w:szCs w:val="20"/>
              </w:rPr>
              <w:t>ընթացքում</w:t>
            </w:r>
            <w:r w:rsidRPr="00BC61ED">
              <w:rPr>
                <w:sz w:val="20"/>
                <w:szCs w:val="20"/>
                <w:lang w:val="af-ZA"/>
              </w:rPr>
              <w:t xml:space="preserve">, </w:t>
            </w:r>
            <w:r w:rsidRPr="00BC61ED">
              <w:rPr>
                <w:sz w:val="20"/>
                <w:szCs w:val="20"/>
              </w:rPr>
              <w:t>առնվազն</w:t>
            </w:r>
            <w:r w:rsidRPr="00BC61ED">
              <w:rPr>
                <w:sz w:val="20"/>
                <w:szCs w:val="20"/>
                <w:lang w:val="af-ZA"/>
              </w:rPr>
              <w:t xml:space="preserve"> </w:t>
            </w:r>
            <w:r w:rsidRPr="00BC61ED">
              <w:rPr>
                <w:sz w:val="20"/>
                <w:szCs w:val="20"/>
              </w:rPr>
              <w:t>չորս</w:t>
            </w:r>
            <w:r w:rsidRPr="00BC61ED">
              <w:rPr>
                <w:sz w:val="20"/>
                <w:szCs w:val="20"/>
                <w:lang w:val="af-ZA"/>
              </w:rPr>
              <w:t xml:space="preserve"> </w:t>
            </w:r>
            <w:r w:rsidRPr="00BC61ED">
              <w:rPr>
                <w:sz w:val="20"/>
                <w:szCs w:val="20"/>
              </w:rPr>
              <w:t>այլ</w:t>
            </w:r>
            <w:r w:rsidRPr="00BC61ED">
              <w:rPr>
                <w:sz w:val="20"/>
                <w:szCs w:val="20"/>
                <w:lang w:val="af-ZA"/>
              </w:rPr>
              <w:t xml:space="preserve"> </w:t>
            </w:r>
            <w:r w:rsidRPr="00BC61ED">
              <w:rPr>
                <w:sz w:val="20"/>
                <w:szCs w:val="20"/>
              </w:rPr>
              <w:t>հաշվետվություններում</w:t>
            </w:r>
            <w:r w:rsidRPr="00BC61ED">
              <w:rPr>
                <w:sz w:val="20"/>
                <w:szCs w:val="20"/>
                <w:lang w:val="af-ZA"/>
              </w:rPr>
              <w:t xml:space="preserve"> </w:t>
            </w:r>
            <w:r w:rsidRPr="00BC61ED">
              <w:rPr>
                <w:sz w:val="20"/>
                <w:szCs w:val="20"/>
              </w:rPr>
              <w:t>ևս</w:t>
            </w:r>
            <w:r w:rsidRPr="00BC61ED">
              <w:rPr>
                <w:sz w:val="20"/>
                <w:szCs w:val="20"/>
                <w:lang w:val="af-ZA"/>
              </w:rPr>
              <w:t xml:space="preserve"> </w:t>
            </w:r>
            <w:r w:rsidRPr="00BC61ED">
              <w:rPr>
                <w:sz w:val="20"/>
                <w:szCs w:val="20"/>
              </w:rPr>
              <w:t>խախտումներ</w:t>
            </w:r>
            <w:r w:rsidRPr="00BC61ED">
              <w:rPr>
                <w:sz w:val="20"/>
                <w:szCs w:val="20"/>
                <w:lang w:val="af-ZA"/>
              </w:rPr>
              <w:t xml:space="preserve"> </w:t>
            </w:r>
            <w:r w:rsidRPr="00BC61ED">
              <w:rPr>
                <w:sz w:val="20"/>
                <w:szCs w:val="20"/>
              </w:rPr>
              <w:t>է</w:t>
            </w:r>
            <w:r w:rsidRPr="00BC61ED">
              <w:rPr>
                <w:sz w:val="20"/>
                <w:szCs w:val="20"/>
                <w:lang w:val="af-ZA"/>
              </w:rPr>
              <w:t xml:space="preserve"> </w:t>
            </w:r>
            <w:r w:rsidRPr="00BC61ED">
              <w:rPr>
                <w:sz w:val="20"/>
                <w:szCs w:val="20"/>
              </w:rPr>
              <w:t>կատարել</w:t>
            </w:r>
            <w:r w:rsidRPr="00BC61ED">
              <w:rPr>
                <w:sz w:val="20"/>
                <w:szCs w:val="20"/>
                <w:lang w:val="af-ZA"/>
              </w:rPr>
              <w:t xml:space="preserve">: </w:t>
            </w:r>
            <w:r w:rsidRPr="00BC61ED">
              <w:rPr>
                <w:sz w:val="20"/>
                <w:szCs w:val="20"/>
              </w:rPr>
              <w:t>Որևէ</w:t>
            </w:r>
            <w:r w:rsidRPr="00BC61ED">
              <w:rPr>
                <w:sz w:val="20"/>
                <w:szCs w:val="20"/>
                <w:lang w:val="af-ZA"/>
              </w:rPr>
              <w:t xml:space="preserve"> </w:t>
            </w:r>
            <w:r w:rsidRPr="00BC61ED">
              <w:rPr>
                <w:sz w:val="20"/>
                <w:szCs w:val="20"/>
              </w:rPr>
              <w:t>այլ</w:t>
            </w:r>
            <w:r w:rsidRPr="00BC61ED">
              <w:rPr>
                <w:sz w:val="20"/>
                <w:szCs w:val="20"/>
                <w:lang w:val="af-ZA"/>
              </w:rPr>
              <w:t xml:space="preserve"> </w:t>
            </w:r>
            <w:r w:rsidRPr="00BC61ED">
              <w:rPr>
                <w:sz w:val="20"/>
                <w:szCs w:val="20"/>
              </w:rPr>
              <w:t>դեպքերում</w:t>
            </w:r>
            <w:r w:rsidRPr="00BC61ED">
              <w:rPr>
                <w:sz w:val="20"/>
                <w:szCs w:val="20"/>
                <w:lang w:val="af-ZA"/>
              </w:rPr>
              <w:t xml:space="preserve"> </w:t>
            </w:r>
            <w:r w:rsidRPr="00BC61ED">
              <w:rPr>
                <w:sz w:val="20"/>
                <w:szCs w:val="20"/>
              </w:rPr>
              <w:t>պատասխանատվության</w:t>
            </w:r>
            <w:r w:rsidRPr="00BC61ED">
              <w:rPr>
                <w:sz w:val="20"/>
                <w:szCs w:val="20"/>
                <w:lang w:val="af-ZA"/>
              </w:rPr>
              <w:t xml:space="preserve"> </w:t>
            </w:r>
            <w:r w:rsidRPr="00BC61ED">
              <w:rPr>
                <w:sz w:val="20"/>
                <w:szCs w:val="20"/>
              </w:rPr>
              <w:t>այլ</w:t>
            </w:r>
            <w:r w:rsidRPr="00BC61ED">
              <w:rPr>
                <w:sz w:val="20"/>
                <w:szCs w:val="20"/>
                <w:lang w:val="af-ZA"/>
              </w:rPr>
              <w:t xml:space="preserve"> </w:t>
            </w:r>
            <w:r w:rsidRPr="00BC61ED">
              <w:rPr>
                <w:sz w:val="20"/>
                <w:szCs w:val="20"/>
              </w:rPr>
              <w:t>միջոցներ</w:t>
            </w:r>
            <w:r w:rsidRPr="00BC61ED">
              <w:rPr>
                <w:sz w:val="20"/>
                <w:szCs w:val="20"/>
                <w:lang w:val="af-ZA"/>
              </w:rPr>
              <w:t xml:space="preserve"> </w:t>
            </w:r>
            <w:r w:rsidRPr="00BC61ED">
              <w:rPr>
                <w:sz w:val="20"/>
                <w:szCs w:val="20"/>
              </w:rPr>
              <w:t>ինչպես</w:t>
            </w:r>
            <w:r w:rsidRPr="00BC61ED">
              <w:rPr>
                <w:sz w:val="20"/>
                <w:szCs w:val="20"/>
                <w:lang w:val="af-ZA"/>
              </w:rPr>
              <w:t xml:space="preserve"> </w:t>
            </w:r>
            <w:r w:rsidRPr="00BC61ED">
              <w:rPr>
                <w:sz w:val="20"/>
                <w:szCs w:val="20"/>
              </w:rPr>
              <w:t>որակավորված</w:t>
            </w:r>
            <w:r w:rsidRPr="00BC61ED">
              <w:rPr>
                <w:sz w:val="20"/>
                <w:szCs w:val="20"/>
                <w:lang w:val="af-ZA"/>
              </w:rPr>
              <w:t xml:space="preserve"> </w:t>
            </w:r>
            <w:r w:rsidRPr="00BC61ED">
              <w:rPr>
                <w:sz w:val="20"/>
                <w:szCs w:val="20"/>
              </w:rPr>
              <w:t>գնահատողների</w:t>
            </w:r>
            <w:r w:rsidRPr="00BC61ED">
              <w:rPr>
                <w:sz w:val="20"/>
                <w:szCs w:val="20"/>
                <w:lang w:val="af-ZA"/>
              </w:rPr>
              <w:t xml:space="preserve">, </w:t>
            </w:r>
            <w:r w:rsidRPr="00BC61ED">
              <w:rPr>
                <w:sz w:val="20"/>
                <w:szCs w:val="20"/>
              </w:rPr>
              <w:t>այնպես</w:t>
            </w:r>
            <w:r w:rsidRPr="00BC61ED">
              <w:rPr>
                <w:sz w:val="20"/>
                <w:szCs w:val="20"/>
                <w:lang w:val="af-ZA"/>
              </w:rPr>
              <w:t xml:space="preserve"> </w:t>
            </w:r>
            <w:r w:rsidRPr="00BC61ED">
              <w:rPr>
                <w:sz w:val="20"/>
                <w:szCs w:val="20"/>
              </w:rPr>
              <w:t>էլ</w:t>
            </w:r>
            <w:r w:rsidRPr="00BC61ED">
              <w:rPr>
                <w:sz w:val="20"/>
                <w:szCs w:val="20"/>
                <w:lang w:val="af-ZA"/>
              </w:rPr>
              <w:t xml:space="preserve"> </w:t>
            </w:r>
            <w:r w:rsidRPr="00BC61ED">
              <w:rPr>
                <w:sz w:val="20"/>
                <w:szCs w:val="20"/>
              </w:rPr>
              <w:t>գնահատման</w:t>
            </w:r>
            <w:r w:rsidRPr="00BC61ED">
              <w:rPr>
                <w:sz w:val="20"/>
                <w:szCs w:val="20"/>
                <w:lang w:val="af-ZA"/>
              </w:rPr>
              <w:t xml:space="preserve"> </w:t>
            </w:r>
            <w:r w:rsidRPr="00BC61ED">
              <w:rPr>
                <w:sz w:val="20"/>
                <w:szCs w:val="20"/>
              </w:rPr>
              <w:t>գործունեություն</w:t>
            </w:r>
            <w:r w:rsidRPr="00BC61ED">
              <w:rPr>
                <w:sz w:val="20"/>
                <w:szCs w:val="20"/>
                <w:lang w:val="af-ZA"/>
              </w:rPr>
              <w:t xml:space="preserve"> </w:t>
            </w:r>
            <w:r w:rsidRPr="00BC61ED">
              <w:rPr>
                <w:sz w:val="20"/>
                <w:szCs w:val="20"/>
              </w:rPr>
              <w:t>իրականացնող</w:t>
            </w:r>
            <w:r w:rsidRPr="00BC61ED">
              <w:rPr>
                <w:sz w:val="20"/>
                <w:szCs w:val="20"/>
                <w:lang w:val="af-ZA"/>
              </w:rPr>
              <w:t xml:space="preserve"> </w:t>
            </w:r>
            <w:r w:rsidRPr="00BC61ED">
              <w:rPr>
                <w:sz w:val="20"/>
                <w:szCs w:val="20"/>
              </w:rPr>
              <w:t>անձանց</w:t>
            </w:r>
            <w:r w:rsidRPr="00BC61ED">
              <w:rPr>
                <w:sz w:val="20"/>
                <w:szCs w:val="20"/>
                <w:lang w:val="af-ZA"/>
              </w:rPr>
              <w:t xml:space="preserve"> </w:t>
            </w:r>
            <w:r w:rsidRPr="00BC61ED">
              <w:rPr>
                <w:sz w:val="20"/>
                <w:szCs w:val="20"/>
              </w:rPr>
              <w:t>նկատմամբ</w:t>
            </w:r>
            <w:r w:rsidRPr="00BC61ED">
              <w:rPr>
                <w:sz w:val="20"/>
                <w:szCs w:val="20"/>
                <w:lang w:val="af-ZA"/>
              </w:rPr>
              <w:t xml:space="preserve"> </w:t>
            </w:r>
            <w:r w:rsidRPr="00BC61ED">
              <w:rPr>
                <w:sz w:val="20"/>
                <w:szCs w:val="20"/>
              </w:rPr>
              <w:t>օրենսդրությունը</w:t>
            </w:r>
            <w:r w:rsidRPr="00BC61ED">
              <w:rPr>
                <w:sz w:val="20"/>
                <w:szCs w:val="20"/>
                <w:lang w:val="af-ZA"/>
              </w:rPr>
              <w:t xml:space="preserve"> </w:t>
            </w:r>
            <w:r w:rsidRPr="00BC61ED">
              <w:rPr>
                <w:sz w:val="20"/>
                <w:szCs w:val="20"/>
              </w:rPr>
              <w:t>չի</w:t>
            </w:r>
            <w:r w:rsidRPr="00BC61ED">
              <w:rPr>
                <w:sz w:val="20"/>
                <w:szCs w:val="20"/>
                <w:lang w:val="af-ZA"/>
              </w:rPr>
              <w:t xml:space="preserve"> </w:t>
            </w:r>
            <w:r w:rsidRPr="00BC61ED">
              <w:rPr>
                <w:sz w:val="20"/>
                <w:szCs w:val="20"/>
              </w:rPr>
              <w:t>նախատեսում</w:t>
            </w:r>
            <w:r w:rsidRPr="00BC61ED">
              <w:rPr>
                <w:sz w:val="20"/>
                <w:szCs w:val="20"/>
                <w:lang w:val="af-ZA"/>
              </w:rPr>
              <w:t>:</w:t>
            </w:r>
          </w:p>
          <w:p w:rsidR="0068680D" w:rsidRPr="00BC61ED" w:rsidRDefault="0068680D" w:rsidP="00F47DC4">
            <w:pPr>
              <w:shd w:val="clear" w:color="auto" w:fill="FFFFFF"/>
              <w:spacing w:line="276" w:lineRule="auto"/>
              <w:jc w:val="both"/>
              <w:textAlignment w:val="baseline"/>
              <w:rPr>
                <w:sz w:val="20"/>
                <w:szCs w:val="20"/>
                <w:lang w:val="af-ZA"/>
              </w:rPr>
            </w:pPr>
            <w:r w:rsidRPr="00BC61ED">
              <w:rPr>
                <w:sz w:val="20"/>
                <w:szCs w:val="20"/>
                <w:lang w:val="af-ZA"/>
              </w:rPr>
              <w:t xml:space="preserve">   </w:t>
            </w:r>
            <w:r w:rsidRPr="00BC61ED">
              <w:rPr>
                <w:sz w:val="20"/>
                <w:szCs w:val="20"/>
              </w:rPr>
              <w:t>Ներկայիս</w:t>
            </w:r>
            <w:r w:rsidRPr="00BC61ED">
              <w:rPr>
                <w:sz w:val="20"/>
                <w:szCs w:val="20"/>
                <w:lang w:val="af-ZA"/>
              </w:rPr>
              <w:t xml:space="preserve"> </w:t>
            </w:r>
            <w:r w:rsidRPr="00BC61ED">
              <w:rPr>
                <w:sz w:val="20"/>
                <w:szCs w:val="20"/>
              </w:rPr>
              <w:t>գործող</w:t>
            </w:r>
            <w:r w:rsidRPr="00BC61ED">
              <w:rPr>
                <w:sz w:val="20"/>
                <w:szCs w:val="20"/>
                <w:lang w:val="af-ZA"/>
              </w:rPr>
              <w:t xml:space="preserve"> </w:t>
            </w:r>
            <w:r w:rsidRPr="00BC61ED">
              <w:rPr>
                <w:sz w:val="20"/>
                <w:szCs w:val="20"/>
              </w:rPr>
              <w:t>օրենսդրությամբ</w:t>
            </w:r>
            <w:r w:rsidRPr="00BC61ED">
              <w:rPr>
                <w:sz w:val="20"/>
                <w:szCs w:val="20"/>
                <w:lang w:val="af-ZA"/>
              </w:rPr>
              <w:t xml:space="preserve"> </w:t>
            </w:r>
            <w:r w:rsidRPr="00BC61ED">
              <w:rPr>
                <w:sz w:val="20"/>
                <w:szCs w:val="20"/>
              </w:rPr>
              <w:t>չեն</w:t>
            </w:r>
            <w:r w:rsidRPr="00BC61ED">
              <w:rPr>
                <w:sz w:val="20"/>
                <w:szCs w:val="20"/>
                <w:lang w:val="af-ZA"/>
              </w:rPr>
              <w:t xml:space="preserve"> </w:t>
            </w:r>
            <w:r w:rsidRPr="00BC61ED">
              <w:rPr>
                <w:sz w:val="20"/>
                <w:szCs w:val="20"/>
              </w:rPr>
              <w:t>կարգավորվում</w:t>
            </w:r>
            <w:r w:rsidRPr="00BC61ED">
              <w:rPr>
                <w:sz w:val="20"/>
                <w:szCs w:val="20"/>
                <w:lang w:val="af-ZA"/>
              </w:rPr>
              <w:t xml:space="preserve"> </w:t>
            </w:r>
            <w:r w:rsidRPr="00BC61ED">
              <w:rPr>
                <w:sz w:val="20"/>
                <w:szCs w:val="20"/>
              </w:rPr>
              <w:t>մի</w:t>
            </w:r>
            <w:r w:rsidRPr="00BC61ED">
              <w:rPr>
                <w:sz w:val="20"/>
                <w:szCs w:val="20"/>
                <w:lang w:val="af-ZA"/>
              </w:rPr>
              <w:t xml:space="preserve"> </w:t>
            </w:r>
            <w:r w:rsidRPr="00BC61ED">
              <w:rPr>
                <w:sz w:val="20"/>
                <w:szCs w:val="20"/>
              </w:rPr>
              <w:t>շարք</w:t>
            </w:r>
            <w:r w:rsidRPr="00BC61ED">
              <w:rPr>
                <w:sz w:val="20"/>
                <w:szCs w:val="20"/>
                <w:lang w:val="af-ZA"/>
              </w:rPr>
              <w:t xml:space="preserve"> </w:t>
            </w:r>
            <w:r w:rsidRPr="00BC61ED">
              <w:rPr>
                <w:sz w:val="20"/>
                <w:szCs w:val="20"/>
              </w:rPr>
              <w:t>իրավահարաբերություններ</w:t>
            </w:r>
            <w:r w:rsidRPr="00BC61ED">
              <w:rPr>
                <w:sz w:val="20"/>
                <w:szCs w:val="20"/>
                <w:lang w:val="af-ZA"/>
              </w:rPr>
              <w:t xml:space="preserve">, </w:t>
            </w:r>
            <w:r w:rsidRPr="00BC61ED">
              <w:rPr>
                <w:sz w:val="20"/>
                <w:szCs w:val="20"/>
              </w:rPr>
              <w:t>որոնցում</w:t>
            </w:r>
            <w:r w:rsidRPr="00BC61ED">
              <w:rPr>
                <w:sz w:val="20"/>
                <w:szCs w:val="20"/>
                <w:lang w:val="af-ZA"/>
              </w:rPr>
              <w:t xml:space="preserve"> </w:t>
            </w:r>
            <w:r w:rsidRPr="00BC61ED">
              <w:rPr>
                <w:sz w:val="20"/>
                <w:szCs w:val="20"/>
              </w:rPr>
              <w:t>գույքի</w:t>
            </w:r>
            <w:r w:rsidRPr="00BC61ED">
              <w:rPr>
                <w:sz w:val="20"/>
                <w:szCs w:val="20"/>
                <w:lang w:val="af-ZA"/>
              </w:rPr>
              <w:t xml:space="preserve"> </w:t>
            </w:r>
            <w:r w:rsidRPr="00BC61ED">
              <w:rPr>
                <w:sz w:val="20"/>
                <w:szCs w:val="20"/>
              </w:rPr>
              <w:t>շուկայական</w:t>
            </w:r>
            <w:r w:rsidRPr="00BC61ED">
              <w:rPr>
                <w:sz w:val="20"/>
                <w:szCs w:val="20"/>
                <w:lang w:val="af-ZA"/>
              </w:rPr>
              <w:t xml:space="preserve"> </w:t>
            </w:r>
            <w:r w:rsidRPr="00BC61ED">
              <w:rPr>
                <w:sz w:val="20"/>
                <w:szCs w:val="20"/>
              </w:rPr>
              <w:t>արժեքի</w:t>
            </w:r>
            <w:r w:rsidRPr="00BC61ED">
              <w:rPr>
                <w:sz w:val="20"/>
                <w:szCs w:val="20"/>
                <w:lang w:val="af-ZA"/>
              </w:rPr>
              <w:t xml:space="preserve"> </w:t>
            </w:r>
            <w:r w:rsidRPr="00BC61ED">
              <w:rPr>
                <w:sz w:val="20"/>
                <w:szCs w:val="20"/>
              </w:rPr>
              <w:t>արտացոլման</w:t>
            </w:r>
            <w:r w:rsidRPr="00BC61ED">
              <w:rPr>
                <w:sz w:val="20"/>
                <w:szCs w:val="20"/>
                <w:lang w:val="af-ZA"/>
              </w:rPr>
              <w:t xml:space="preserve"> </w:t>
            </w:r>
            <w:r w:rsidRPr="00BC61ED">
              <w:rPr>
                <w:sz w:val="20"/>
                <w:szCs w:val="20"/>
              </w:rPr>
              <w:t>անհրաժեշտության</w:t>
            </w:r>
            <w:r w:rsidRPr="00BC61ED">
              <w:rPr>
                <w:sz w:val="20"/>
                <w:szCs w:val="20"/>
                <w:lang w:val="af-ZA"/>
              </w:rPr>
              <w:t xml:space="preserve"> </w:t>
            </w:r>
            <w:r w:rsidRPr="00BC61ED">
              <w:rPr>
                <w:sz w:val="20"/>
                <w:szCs w:val="20"/>
              </w:rPr>
              <w:t>կա</w:t>
            </w:r>
            <w:r w:rsidRPr="00BC61ED">
              <w:rPr>
                <w:sz w:val="20"/>
                <w:szCs w:val="20"/>
                <w:lang w:val="af-ZA"/>
              </w:rPr>
              <w:t xml:space="preserve">, </w:t>
            </w:r>
            <w:r w:rsidRPr="00BC61ED">
              <w:rPr>
                <w:sz w:val="20"/>
                <w:szCs w:val="20"/>
              </w:rPr>
              <w:t>ինչպես</w:t>
            </w:r>
            <w:r w:rsidRPr="00BC61ED">
              <w:rPr>
                <w:sz w:val="20"/>
                <w:szCs w:val="20"/>
                <w:lang w:val="af-ZA"/>
              </w:rPr>
              <w:t xml:space="preserve"> </w:t>
            </w:r>
            <w:r w:rsidRPr="00BC61ED">
              <w:rPr>
                <w:sz w:val="20"/>
                <w:szCs w:val="20"/>
              </w:rPr>
              <w:t>նաև</w:t>
            </w:r>
            <w:r w:rsidRPr="00BC61ED">
              <w:rPr>
                <w:sz w:val="20"/>
                <w:szCs w:val="20"/>
                <w:lang w:val="af-ZA"/>
              </w:rPr>
              <w:t xml:space="preserve"> </w:t>
            </w:r>
            <w:r w:rsidRPr="00BC61ED">
              <w:rPr>
                <w:sz w:val="20"/>
                <w:szCs w:val="20"/>
              </w:rPr>
              <w:t>խիստ</w:t>
            </w:r>
            <w:r w:rsidRPr="00BC61ED">
              <w:rPr>
                <w:sz w:val="20"/>
                <w:szCs w:val="20"/>
                <w:lang w:val="af-ZA"/>
              </w:rPr>
              <w:t xml:space="preserve"> </w:t>
            </w:r>
            <w:r w:rsidRPr="00BC61ED">
              <w:rPr>
                <w:sz w:val="20"/>
                <w:szCs w:val="20"/>
              </w:rPr>
              <w:t>սահմանափակվում</w:t>
            </w:r>
            <w:r w:rsidRPr="00BC61ED">
              <w:rPr>
                <w:sz w:val="20"/>
                <w:szCs w:val="20"/>
                <w:lang w:val="af-ZA"/>
              </w:rPr>
              <w:t xml:space="preserve"> </w:t>
            </w:r>
            <w:r w:rsidRPr="00BC61ED">
              <w:rPr>
                <w:sz w:val="20"/>
                <w:szCs w:val="20"/>
              </w:rPr>
              <w:t>են</w:t>
            </w:r>
            <w:r w:rsidRPr="00BC61ED">
              <w:rPr>
                <w:sz w:val="20"/>
                <w:szCs w:val="20"/>
                <w:lang w:val="af-ZA"/>
              </w:rPr>
              <w:t xml:space="preserve"> </w:t>
            </w:r>
            <w:r w:rsidRPr="00BC61ED">
              <w:rPr>
                <w:sz w:val="20"/>
                <w:szCs w:val="20"/>
              </w:rPr>
              <w:t>այդ</w:t>
            </w:r>
            <w:r w:rsidRPr="00BC61ED">
              <w:rPr>
                <w:sz w:val="20"/>
                <w:szCs w:val="20"/>
                <w:lang w:val="af-ZA"/>
              </w:rPr>
              <w:t xml:space="preserve"> </w:t>
            </w:r>
            <w:r w:rsidRPr="00BC61ED">
              <w:rPr>
                <w:sz w:val="20"/>
                <w:szCs w:val="20"/>
              </w:rPr>
              <w:t>ոլորտը</w:t>
            </w:r>
            <w:r w:rsidRPr="00BC61ED">
              <w:rPr>
                <w:sz w:val="20"/>
                <w:szCs w:val="20"/>
                <w:lang w:val="af-ZA"/>
              </w:rPr>
              <w:t xml:space="preserve"> </w:t>
            </w:r>
            <w:r w:rsidRPr="00BC61ED">
              <w:rPr>
                <w:sz w:val="20"/>
                <w:szCs w:val="20"/>
              </w:rPr>
              <w:t>պետական</w:t>
            </w:r>
            <w:r w:rsidRPr="00BC61ED">
              <w:rPr>
                <w:sz w:val="20"/>
                <w:szCs w:val="20"/>
                <w:lang w:val="af-ZA"/>
              </w:rPr>
              <w:t xml:space="preserve"> </w:t>
            </w:r>
            <w:r w:rsidRPr="00BC61ED">
              <w:rPr>
                <w:sz w:val="20"/>
                <w:szCs w:val="20"/>
              </w:rPr>
              <w:t>լիազոր</w:t>
            </w:r>
            <w:r w:rsidRPr="00BC61ED">
              <w:rPr>
                <w:sz w:val="20"/>
                <w:szCs w:val="20"/>
                <w:lang w:val="af-ZA"/>
              </w:rPr>
              <w:t xml:space="preserve"> </w:t>
            </w:r>
            <w:r w:rsidRPr="00BC61ED">
              <w:rPr>
                <w:sz w:val="20"/>
                <w:szCs w:val="20"/>
              </w:rPr>
              <w:t>մարմնի</w:t>
            </w:r>
            <w:r w:rsidRPr="00BC61ED">
              <w:rPr>
                <w:sz w:val="20"/>
                <w:szCs w:val="20"/>
                <w:lang w:val="af-ZA"/>
              </w:rPr>
              <w:t xml:space="preserve"> </w:t>
            </w:r>
            <w:r w:rsidRPr="00BC61ED">
              <w:rPr>
                <w:sz w:val="20"/>
                <w:szCs w:val="20"/>
              </w:rPr>
              <w:t>կողմից</w:t>
            </w:r>
            <w:r w:rsidRPr="00BC61ED">
              <w:rPr>
                <w:sz w:val="20"/>
                <w:szCs w:val="20"/>
                <w:lang w:val="af-ZA"/>
              </w:rPr>
              <w:t xml:space="preserve"> </w:t>
            </w:r>
            <w:r w:rsidRPr="00BC61ED">
              <w:rPr>
                <w:sz w:val="20"/>
                <w:szCs w:val="20"/>
              </w:rPr>
              <w:t>կարգավորելու</w:t>
            </w:r>
            <w:r w:rsidRPr="00BC61ED">
              <w:rPr>
                <w:sz w:val="20"/>
                <w:szCs w:val="20"/>
                <w:lang w:val="af-ZA"/>
              </w:rPr>
              <w:t xml:space="preserve"> </w:t>
            </w:r>
            <w:r w:rsidRPr="00BC61ED">
              <w:rPr>
                <w:sz w:val="20"/>
                <w:szCs w:val="20"/>
              </w:rPr>
              <w:t>հնարավորությունները</w:t>
            </w:r>
            <w:r w:rsidRPr="00BC61ED">
              <w:rPr>
                <w:sz w:val="20"/>
                <w:szCs w:val="20"/>
                <w:lang w:val="af-ZA"/>
              </w:rPr>
              <w:t>:</w:t>
            </w:r>
          </w:p>
          <w:p w:rsidR="0068680D" w:rsidRPr="00BC61ED" w:rsidRDefault="0068680D" w:rsidP="00F47DC4">
            <w:pPr>
              <w:keepNext/>
              <w:spacing w:line="276" w:lineRule="auto"/>
              <w:jc w:val="both"/>
              <w:outlineLvl w:val="4"/>
              <w:rPr>
                <w:b/>
                <w:sz w:val="20"/>
                <w:szCs w:val="20"/>
                <w:lang w:val="af-ZA"/>
              </w:rPr>
            </w:pPr>
            <w:r w:rsidRPr="00BC61ED">
              <w:rPr>
                <w:b/>
                <w:sz w:val="20"/>
                <w:szCs w:val="20"/>
                <w:lang w:val="af-ZA"/>
              </w:rPr>
              <w:t xml:space="preserve">   1.2. </w:t>
            </w:r>
            <w:r w:rsidRPr="00BC61ED">
              <w:rPr>
                <w:b/>
                <w:sz w:val="20"/>
                <w:szCs w:val="20"/>
              </w:rPr>
              <w:t>Առկա</w:t>
            </w:r>
            <w:r w:rsidRPr="00BC61ED">
              <w:rPr>
                <w:b/>
                <w:sz w:val="20"/>
                <w:szCs w:val="20"/>
                <w:lang w:val="af-ZA"/>
              </w:rPr>
              <w:t xml:space="preserve"> </w:t>
            </w:r>
            <w:r w:rsidRPr="00BC61ED">
              <w:rPr>
                <w:b/>
                <w:sz w:val="20"/>
                <w:szCs w:val="20"/>
              </w:rPr>
              <w:t>խնդիրների</w:t>
            </w:r>
            <w:r w:rsidRPr="00BC61ED">
              <w:rPr>
                <w:b/>
                <w:sz w:val="20"/>
                <w:szCs w:val="20"/>
                <w:lang w:val="af-ZA"/>
              </w:rPr>
              <w:t xml:space="preserve"> </w:t>
            </w:r>
            <w:r w:rsidRPr="00BC61ED">
              <w:rPr>
                <w:b/>
                <w:sz w:val="20"/>
                <w:szCs w:val="20"/>
              </w:rPr>
              <w:t>առաջարկվող</w:t>
            </w:r>
            <w:r w:rsidRPr="00BC61ED">
              <w:rPr>
                <w:b/>
                <w:sz w:val="20"/>
                <w:szCs w:val="20"/>
                <w:lang w:val="af-ZA"/>
              </w:rPr>
              <w:t xml:space="preserve"> </w:t>
            </w:r>
            <w:r w:rsidRPr="00BC61ED">
              <w:rPr>
                <w:b/>
                <w:sz w:val="20"/>
                <w:szCs w:val="20"/>
              </w:rPr>
              <w:t>լուծումները</w:t>
            </w:r>
          </w:p>
          <w:p w:rsidR="0068680D" w:rsidRPr="00BC61ED" w:rsidRDefault="0068680D" w:rsidP="00F47DC4">
            <w:pPr>
              <w:spacing w:line="276" w:lineRule="auto"/>
              <w:jc w:val="both"/>
              <w:rPr>
                <w:sz w:val="20"/>
                <w:szCs w:val="20"/>
                <w:lang w:val="af-ZA"/>
              </w:rPr>
            </w:pPr>
            <w:r w:rsidRPr="00BC61ED">
              <w:rPr>
                <w:sz w:val="20"/>
                <w:szCs w:val="20"/>
                <w:lang w:val="af-ZA"/>
              </w:rPr>
              <w:t xml:space="preserve">   </w:t>
            </w:r>
            <w:r w:rsidRPr="00BC61ED">
              <w:rPr>
                <w:sz w:val="20"/>
                <w:szCs w:val="20"/>
              </w:rPr>
              <w:t>Ծրագրի</w:t>
            </w:r>
            <w:r w:rsidRPr="00BC61ED">
              <w:rPr>
                <w:sz w:val="20"/>
                <w:szCs w:val="20"/>
                <w:lang w:val="af-ZA"/>
              </w:rPr>
              <w:t xml:space="preserve"> </w:t>
            </w:r>
            <w:r w:rsidRPr="00BC61ED">
              <w:rPr>
                <w:sz w:val="20"/>
                <w:szCs w:val="20"/>
              </w:rPr>
              <w:t>շրջանակներում</w:t>
            </w:r>
            <w:r w:rsidRPr="00BC61ED">
              <w:rPr>
                <w:sz w:val="20"/>
                <w:szCs w:val="20"/>
                <w:lang w:val="af-ZA"/>
              </w:rPr>
              <w:t xml:space="preserve"> </w:t>
            </w:r>
            <w:r w:rsidRPr="00BC61ED">
              <w:rPr>
                <w:sz w:val="20"/>
                <w:szCs w:val="20"/>
              </w:rPr>
              <w:t>նախատեսվում</w:t>
            </w:r>
            <w:r w:rsidRPr="00BC61ED">
              <w:rPr>
                <w:sz w:val="20"/>
                <w:szCs w:val="20"/>
                <w:lang w:val="af-ZA"/>
              </w:rPr>
              <w:t xml:space="preserve"> </w:t>
            </w:r>
            <w:r w:rsidRPr="00BC61ED">
              <w:rPr>
                <w:sz w:val="20"/>
                <w:szCs w:val="20"/>
              </w:rPr>
              <w:t>է</w:t>
            </w:r>
            <w:r w:rsidRPr="00BC61ED">
              <w:rPr>
                <w:sz w:val="20"/>
                <w:szCs w:val="20"/>
                <w:lang w:val="af-ZA"/>
              </w:rPr>
              <w:t xml:space="preserve"> </w:t>
            </w:r>
            <w:r w:rsidRPr="00BC61ED">
              <w:rPr>
                <w:sz w:val="20"/>
                <w:szCs w:val="20"/>
              </w:rPr>
              <w:t>իրականացնել՝</w:t>
            </w:r>
            <w:r w:rsidRPr="00BC61ED">
              <w:rPr>
                <w:sz w:val="20"/>
                <w:szCs w:val="20"/>
                <w:lang w:val="af-ZA"/>
              </w:rPr>
              <w:t xml:space="preserve"> </w:t>
            </w:r>
          </w:p>
          <w:p w:rsidR="0068680D" w:rsidRPr="00BC61ED" w:rsidRDefault="0068680D" w:rsidP="00F47DC4">
            <w:pPr>
              <w:spacing w:line="276" w:lineRule="auto"/>
              <w:jc w:val="both"/>
              <w:rPr>
                <w:sz w:val="20"/>
                <w:szCs w:val="20"/>
                <w:lang w:val="af-ZA"/>
              </w:rPr>
            </w:pPr>
            <w:r w:rsidRPr="00BC61ED">
              <w:rPr>
                <w:sz w:val="20"/>
                <w:szCs w:val="20"/>
                <w:lang w:val="af-ZA"/>
              </w:rPr>
              <w:t xml:space="preserve">   1. ««</w:t>
            </w:r>
            <w:r w:rsidRPr="00BC61ED">
              <w:rPr>
                <w:sz w:val="20"/>
                <w:szCs w:val="20"/>
              </w:rPr>
              <w:t>Անշարժ</w:t>
            </w:r>
            <w:r w:rsidRPr="00BC61ED">
              <w:rPr>
                <w:sz w:val="20"/>
                <w:szCs w:val="20"/>
                <w:lang w:val="af-ZA"/>
              </w:rPr>
              <w:t xml:space="preserve"> </w:t>
            </w:r>
            <w:r w:rsidRPr="00BC61ED">
              <w:rPr>
                <w:sz w:val="20"/>
                <w:szCs w:val="20"/>
              </w:rPr>
              <w:t>գույքի</w:t>
            </w:r>
            <w:r w:rsidRPr="00BC61ED">
              <w:rPr>
                <w:sz w:val="20"/>
                <w:szCs w:val="20"/>
                <w:lang w:val="af-ZA"/>
              </w:rPr>
              <w:t xml:space="preserve"> </w:t>
            </w:r>
            <w:r w:rsidRPr="00BC61ED">
              <w:rPr>
                <w:sz w:val="20"/>
                <w:szCs w:val="20"/>
              </w:rPr>
              <w:t>գնահատման</w:t>
            </w:r>
            <w:r w:rsidRPr="00BC61ED">
              <w:rPr>
                <w:sz w:val="20"/>
                <w:szCs w:val="20"/>
                <w:lang w:val="af-ZA"/>
              </w:rPr>
              <w:t xml:space="preserve"> </w:t>
            </w:r>
            <w:r w:rsidRPr="00BC61ED">
              <w:rPr>
                <w:sz w:val="20"/>
                <w:szCs w:val="20"/>
              </w:rPr>
              <w:t>գործունեության</w:t>
            </w:r>
            <w:r w:rsidRPr="00BC61ED">
              <w:rPr>
                <w:sz w:val="20"/>
                <w:szCs w:val="20"/>
                <w:lang w:val="af-ZA"/>
              </w:rPr>
              <w:t xml:space="preserve"> </w:t>
            </w:r>
            <w:r w:rsidRPr="00BC61ED">
              <w:rPr>
                <w:sz w:val="20"/>
                <w:szCs w:val="20"/>
              </w:rPr>
              <w:t>մասին</w:t>
            </w:r>
            <w:r w:rsidRPr="00BC61ED">
              <w:rPr>
                <w:sz w:val="20"/>
                <w:szCs w:val="20"/>
                <w:lang w:val="af-ZA"/>
              </w:rPr>
              <w:t xml:space="preserve">» </w:t>
            </w:r>
            <w:r w:rsidRPr="00BC61ED">
              <w:rPr>
                <w:sz w:val="20"/>
                <w:szCs w:val="20"/>
              </w:rPr>
              <w:t>Հայաստանի</w:t>
            </w:r>
            <w:r w:rsidRPr="00BC61ED">
              <w:rPr>
                <w:sz w:val="20"/>
                <w:szCs w:val="20"/>
                <w:lang w:val="af-ZA"/>
              </w:rPr>
              <w:t xml:space="preserve"> </w:t>
            </w:r>
            <w:r w:rsidRPr="00BC61ED">
              <w:rPr>
                <w:sz w:val="20"/>
                <w:szCs w:val="20"/>
              </w:rPr>
              <w:t>Հանրապետության</w:t>
            </w:r>
            <w:r w:rsidRPr="00BC61ED">
              <w:rPr>
                <w:sz w:val="20"/>
                <w:szCs w:val="20"/>
                <w:lang w:val="af-ZA"/>
              </w:rPr>
              <w:t xml:space="preserve"> </w:t>
            </w:r>
            <w:r w:rsidRPr="00BC61ED">
              <w:rPr>
                <w:sz w:val="20"/>
                <w:szCs w:val="20"/>
              </w:rPr>
              <w:t>օրենքում</w:t>
            </w:r>
            <w:r w:rsidRPr="00BC61ED">
              <w:rPr>
                <w:sz w:val="20"/>
                <w:szCs w:val="20"/>
                <w:lang w:val="af-ZA"/>
              </w:rPr>
              <w:t xml:space="preserve"> </w:t>
            </w:r>
            <w:r w:rsidRPr="00BC61ED">
              <w:rPr>
                <w:sz w:val="20"/>
                <w:szCs w:val="20"/>
              </w:rPr>
              <w:t>փոփոխություն</w:t>
            </w:r>
            <w:r w:rsidRPr="00BC61ED">
              <w:rPr>
                <w:sz w:val="20"/>
                <w:szCs w:val="20"/>
                <w:lang w:val="af-ZA"/>
              </w:rPr>
              <w:t xml:space="preserve"> </w:t>
            </w:r>
            <w:r w:rsidRPr="00BC61ED">
              <w:rPr>
                <w:sz w:val="20"/>
                <w:szCs w:val="20"/>
              </w:rPr>
              <w:t>կատարելու</w:t>
            </w:r>
            <w:r w:rsidRPr="00BC61ED">
              <w:rPr>
                <w:sz w:val="20"/>
                <w:szCs w:val="20"/>
                <w:lang w:val="af-ZA"/>
              </w:rPr>
              <w:t xml:space="preserve"> </w:t>
            </w:r>
            <w:r w:rsidRPr="00BC61ED">
              <w:rPr>
                <w:sz w:val="20"/>
                <w:szCs w:val="20"/>
              </w:rPr>
              <w:t>մասին</w:t>
            </w:r>
            <w:r w:rsidRPr="00BC61ED">
              <w:rPr>
                <w:sz w:val="20"/>
                <w:szCs w:val="20"/>
                <w:lang w:val="af-ZA"/>
              </w:rPr>
              <w:t xml:space="preserve">» </w:t>
            </w:r>
            <w:r w:rsidRPr="00BC61ED">
              <w:rPr>
                <w:sz w:val="20"/>
                <w:szCs w:val="20"/>
              </w:rPr>
              <w:t>ՀՀ</w:t>
            </w:r>
            <w:r w:rsidRPr="00BC61ED">
              <w:rPr>
                <w:sz w:val="20"/>
                <w:szCs w:val="20"/>
                <w:lang w:val="af-ZA"/>
              </w:rPr>
              <w:t xml:space="preserve"> </w:t>
            </w:r>
            <w:r w:rsidRPr="00BC61ED">
              <w:rPr>
                <w:sz w:val="20"/>
                <w:szCs w:val="20"/>
              </w:rPr>
              <w:t>օրենքի</w:t>
            </w:r>
            <w:r w:rsidRPr="00BC61ED">
              <w:rPr>
                <w:sz w:val="20"/>
                <w:szCs w:val="20"/>
                <w:lang w:val="af-ZA"/>
              </w:rPr>
              <w:t xml:space="preserve"> </w:t>
            </w:r>
            <w:r w:rsidRPr="00BC61ED">
              <w:rPr>
                <w:sz w:val="20"/>
                <w:szCs w:val="20"/>
              </w:rPr>
              <w:t>նախագծի</w:t>
            </w:r>
            <w:r w:rsidRPr="00BC61ED">
              <w:rPr>
                <w:sz w:val="20"/>
                <w:szCs w:val="20"/>
                <w:lang w:val="af-ZA"/>
              </w:rPr>
              <w:t xml:space="preserve"> </w:t>
            </w:r>
            <w:r w:rsidRPr="00BC61ED">
              <w:rPr>
                <w:sz w:val="20"/>
                <w:szCs w:val="20"/>
              </w:rPr>
              <w:t>մշակում</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ներկայացում</w:t>
            </w:r>
            <w:r w:rsidRPr="00BC61ED">
              <w:rPr>
                <w:sz w:val="20"/>
                <w:szCs w:val="20"/>
                <w:lang w:val="af-ZA"/>
              </w:rPr>
              <w:t xml:space="preserve"> </w:t>
            </w:r>
            <w:r w:rsidRPr="00BC61ED">
              <w:rPr>
                <w:sz w:val="20"/>
                <w:szCs w:val="20"/>
              </w:rPr>
              <w:t>ՀՀ</w:t>
            </w:r>
            <w:r w:rsidRPr="00BC61ED">
              <w:rPr>
                <w:sz w:val="20"/>
                <w:szCs w:val="20"/>
                <w:lang w:val="af-ZA"/>
              </w:rPr>
              <w:t xml:space="preserve"> </w:t>
            </w:r>
            <w:r w:rsidRPr="00BC61ED">
              <w:rPr>
                <w:sz w:val="20"/>
                <w:szCs w:val="20"/>
              </w:rPr>
              <w:t>կառավարության</w:t>
            </w:r>
            <w:r w:rsidRPr="00BC61ED">
              <w:rPr>
                <w:sz w:val="20"/>
                <w:szCs w:val="20"/>
                <w:lang w:val="af-ZA"/>
              </w:rPr>
              <w:t xml:space="preserve"> </w:t>
            </w:r>
            <w:r w:rsidRPr="00BC61ED">
              <w:rPr>
                <w:sz w:val="20"/>
                <w:szCs w:val="20"/>
              </w:rPr>
              <w:t>քննարկմանը</w:t>
            </w:r>
            <w:r w:rsidRPr="00BC61ED">
              <w:rPr>
                <w:sz w:val="20"/>
                <w:szCs w:val="20"/>
                <w:lang w:val="af-ZA"/>
              </w:rPr>
              <w:t>.</w:t>
            </w:r>
          </w:p>
          <w:p w:rsidR="0068680D" w:rsidRPr="00BC61ED" w:rsidRDefault="0068680D" w:rsidP="00F47DC4">
            <w:pPr>
              <w:spacing w:line="276" w:lineRule="auto"/>
              <w:jc w:val="both"/>
              <w:rPr>
                <w:rFonts w:cs="Arial"/>
                <w:sz w:val="20"/>
                <w:szCs w:val="20"/>
                <w:lang w:val="af-ZA"/>
              </w:rPr>
            </w:pPr>
            <w:r w:rsidRPr="00BC61ED">
              <w:rPr>
                <w:sz w:val="20"/>
                <w:szCs w:val="20"/>
                <w:lang w:val="af-ZA"/>
              </w:rPr>
              <w:t xml:space="preserve">   2. </w:t>
            </w:r>
            <w:r w:rsidRPr="00BC61ED">
              <w:rPr>
                <w:rFonts w:cs="Arial"/>
                <w:sz w:val="20"/>
                <w:szCs w:val="20"/>
              </w:rPr>
              <w:t>Գնահատման</w:t>
            </w:r>
            <w:r w:rsidRPr="00BC61ED">
              <w:rPr>
                <w:rFonts w:cs="Arial"/>
                <w:sz w:val="20"/>
                <w:szCs w:val="20"/>
                <w:lang w:val="af-ZA"/>
              </w:rPr>
              <w:t xml:space="preserve"> </w:t>
            </w:r>
            <w:r w:rsidRPr="00BC61ED">
              <w:rPr>
                <w:rFonts w:cs="Arial"/>
                <w:sz w:val="20"/>
                <w:szCs w:val="20"/>
              </w:rPr>
              <w:t>ոլորտի</w:t>
            </w:r>
            <w:r w:rsidRPr="00BC61ED">
              <w:rPr>
                <w:rFonts w:cs="Arial"/>
                <w:sz w:val="20"/>
                <w:szCs w:val="20"/>
                <w:lang w:val="af-ZA"/>
              </w:rPr>
              <w:t xml:space="preserve"> </w:t>
            </w:r>
            <w:r w:rsidRPr="00BC61ED">
              <w:rPr>
                <w:rFonts w:cs="Arial"/>
                <w:sz w:val="20"/>
                <w:szCs w:val="20"/>
              </w:rPr>
              <w:t>ընդլայնում</w:t>
            </w:r>
            <w:r w:rsidRPr="00BC61ED">
              <w:rPr>
                <w:rFonts w:cs="Arial"/>
                <w:sz w:val="20"/>
                <w:szCs w:val="20"/>
                <w:lang w:val="af-ZA"/>
              </w:rPr>
              <w:t xml:space="preserve"> </w:t>
            </w:r>
            <w:r w:rsidRPr="00BC61ED">
              <w:rPr>
                <w:rFonts w:cs="Arial"/>
                <w:sz w:val="20"/>
                <w:szCs w:val="20"/>
              </w:rPr>
              <w:t>և</w:t>
            </w:r>
            <w:r w:rsidRPr="00BC61ED">
              <w:rPr>
                <w:rFonts w:cs="Arial"/>
                <w:sz w:val="20"/>
                <w:szCs w:val="20"/>
                <w:lang w:val="af-ZA"/>
              </w:rPr>
              <w:t xml:space="preserve"> </w:t>
            </w:r>
            <w:r w:rsidRPr="00BC61ED">
              <w:rPr>
                <w:rFonts w:cs="Arial"/>
                <w:sz w:val="20"/>
                <w:szCs w:val="20"/>
              </w:rPr>
              <w:t>կայացում</w:t>
            </w:r>
            <w:r w:rsidRPr="00BC61ED">
              <w:rPr>
                <w:rFonts w:cs="Arial"/>
                <w:sz w:val="20"/>
                <w:szCs w:val="20"/>
                <w:lang w:val="af-ZA"/>
              </w:rPr>
              <w:t xml:space="preserve">, </w:t>
            </w:r>
            <w:r w:rsidRPr="00BC61ED">
              <w:rPr>
                <w:rFonts w:cs="Arial"/>
                <w:sz w:val="20"/>
                <w:szCs w:val="20"/>
              </w:rPr>
              <w:t>մատուցվող</w:t>
            </w:r>
            <w:r w:rsidRPr="00BC61ED">
              <w:rPr>
                <w:rFonts w:cs="Arial"/>
                <w:sz w:val="20"/>
                <w:szCs w:val="20"/>
                <w:lang w:val="af-ZA"/>
              </w:rPr>
              <w:t xml:space="preserve"> </w:t>
            </w:r>
            <w:r w:rsidRPr="00BC61ED">
              <w:rPr>
                <w:rFonts w:cs="Arial"/>
                <w:sz w:val="20"/>
                <w:szCs w:val="20"/>
              </w:rPr>
              <w:t>գնահատ</w:t>
            </w:r>
            <w:r w:rsidRPr="00BC61ED">
              <w:rPr>
                <w:rFonts w:cs="Arial"/>
                <w:sz w:val="20"/>
                <w:szCs w:val="20"/>
                <w:lang w:val="af-ZA"/>
              </w:rPr>
              <w:softHyphen/>
            </w:r>
            <w:r w:rsidRPr="00BC61ED">
              <w:rPr>
                <w:rFonts w:cs="Arial"/>
                <w:sz w:val="20"/>
                <w:szCs w:val="20"/>
              </w:rPr>
              <w:t>ման</w:t>
            </w:r>
            <w:r w:rsidRPr="00BC61ED">
              <w:rPr>
                <w:rFonts w:cs="Arial"/>
                <w:sz w:val="20"/>
                <w:szCs w:val="20"/>
                <w:lang w:val="af-ZA"/>
              </w:rPr>
              <w:t xml:space="preserve"> </w:t>
            </w:r>
            <w:r w:rsidRPr="00BC61ED">
              <w:rPr>
                <w:rFonts w:cs="Arial"/>
                <w:sz w:val="20"/>
                <w:szCs w:val="20"/>
              </w:rPr>
              <w:t>ծառայությունների</w:t>
            </w:r>
            <w:r w:rsidRPr="00BC61ED">
              <w:rPr>
                <w:rFonts w:cs="Arial"/>
                <w:sz w:val="20"/>
                <w:szCs w:val="20"/>
                <w:lang w:val="af-ZA"/>
              </w:rPr>
              <w:t xml:space="preserve"> </w:t>
            </w:r>
            <w:r w:rsidRPr="00BC61ED">
              <w:rPr>
                <w:rFonts w:cs="Arial"/>
                <w:sz w:val="20"/>
                <w:szCs w:val="20"/>
              </w:rPr>
              <w:t>որակի</w:t>
            </w:r>
            <w:r w:rsidRPr="00BC61ED">
              <w:rPr>
                <w:rFonts w:cs="Arial"/>
                <w:sz w:val="20"/>
                <w:szCs w:val="20"/>
                <w:lang w:val="af-ZA"/>
              </w:rPr>
              <w:t xml:space="preserve"> </w:t>
            </w:r>
            <w:r w:rsidRPr="00BC61ED">
              <w:rPr>
                <w:rFonts w:cs="Arial"/>
                <w:sz w:val="20"/>
                <w:szCs w:val="20"/>
              </w:rPr>
              <w:t>բարելավում</w:t>
            </w:r>
            <w:r w:rsidRPr="00BC61ED">
              <w:rPr>
                <w:rFonts w:cs="Arial"/>
                <w:sz w:val="20"/>
                <w:szCs w:val="20"/>
                <w:lang w:val="af-ZA"/>
              </w:rPr>
              <w:t xml:space="preserve">, </w:t>
            </w:r>
            <w:r w:rsidRPr="00BC61ED">
              <w:rPr>
                <w:rFonts w:cs="Arial"/>
                <w:sz w:val="20"/>
                <w:szCs w:val="20"/>
              </w:rPr>
              <w:t>ինչպես</w:t>
            </w:r>
            <w:r w:rsidRPr="00BC61ED">
              <w:rPr>
                <w:rFonts w:cs="Arial"/>
                <w:sz w:val="20"/>
                <w:szCs w:val="20"/>
                <w:lang w:val="af-ZA"/>
              </w:rPr>
              <w:t xml:space="preserve"> </w:t>
            </w:r>
            <w:r w:rsidRPr="00BC61ED">
              <w:rPr>
                <w:rFonts w:cs="Arial"/>
                <w:sz w:val="20"/>
                <w:szCs w:val="20"/>
              </w:rPr>
              <w:t>նաև</w:t>
            </w:r>
            <w:r w:rsidRPr="00BC61ED">
              <w:rPr>
                <w:rFonts w:cs="Arial"/>
                <w:sz w:val="20"/>
                <w:szCs w:val="20"/>
                <w:lang w:val="af-ZA"/>
              </w:rPr>
              <w:t xml:space="preserve"> </w:t>
            </w:r>
            <w:r w:rsidRPr="00BC61ED">
              <w:rPr>
                <w:rFonts w:cs="Arial"/>
                <w:sz w:val="20"/>
                <w:szCs w:val="20"/>
              </w:rPr>
              <w:t>պետական</w:t>
            </w:r>
            <w:r w:rsidRPr="00BC61ED">
              <w:rPr>
                <w:rFonts w:cs="Arial"/>
                <w:sz w:val="20"/>
                <w:szCs w:val="20"/>
                <w:lang w:val="af-ZA"/>
              </w:rPr>
              <w:t xml:space="preserve"> </w:t>
            </w:r>
            <w:r w:rsidRPr="00BC61ED">
              <w:rPr>
                <w:rFonts w:cs="Arial"/>
                <w:sz w:val="20"/>
                <w:szCs w:val="20"/>
              </w:rPr>
              <w:t>և</w:t>
            </w:r>
            <w:r w:rsidRPr="00BC61ED">
              <w:rPr>
                <w:rFonts w:cs="Arial"/>
                <w:sz w:val="20"/>
                <w:szCs w:val="20"/>
                <w:lang w:val="af-ZA"/>
              </w:rPr>
              <w:t xml:space="preserve"> </w:t>
            </w:r>
            <w:r w:rsidRPr="00BC61ED">
              <w:rPr>
                <w:rFonts w:cs="Arial"/>
                <w:sz w:val="20"/>
                <w:szCs w:val="20"/>
              </w:rPr>
              <w:t>համայնքային</w:t>
            </w:r>
            <w:r w:rsidRPr="00BC61ED">
              <w:rPr>
                <w:rFonts w:cs="Arial"/>
                <w:sz w:val="20"/>
                <w:szCs w:val="20"/>
                <w:lang w:val="af-ZA"/>
              </w:rPr>
              <w:t xml:space="preserve"> </w:t>
            </w:r>
            <w:r w:rsidRPr="00BC61ED">
              <w:rPr>
                <w:rFonts w:cs="Arial"/>
                <w:sz w:val="20"/>
                <w:szCs w:val="20"/>
              </w:rPr>
              <w:t>բյուջեների</w:t>
            </w:r>
            <w:r w:rsidRPr="00BC61ED">
              <w:rPr>
                <w:rFonts w:cs="Arial"/>
                <w:sz w:val="20"/>
                <w:szCs w:val="20"/>
                <w:lang w:val="af-ZA"/>
              </w:rPr>
              <w:t xml:space="preserve"> </w:t>
            </w:r>
            <w:r w:rsidRPr="00BC61ED">
              <w:rPr>
                <w:rFonts w:cs="Arial"/>
                <w:sz w:val="20"/>
                <w:szCs w:val="20"/>
              </w:rPr>
              <w:t>եկամուտների</w:t>
            </w:r>
            <w:r w:rsidRPr="00BC61ED">
              <w:rPr>
                <w:rFonts w:cs="Arial"/>
                <w:sz w:val="20"/>
                <w:szCs w:val="20"/>
                <w:lang w:val="af-ZA"/>
              </w:rPr>
              <w:t xml:space="preserve"> </w:t>
            </w:r>
            <w:r w:rsidRPr="00BC61ED">
              <w:rPr>
                <w:rFonts w:cs="Arial"/>
                <w:sz w:val="20"/>
                <w:szCs w:val="20"/>
              </w:rPr>
              <w:t>աճ</w:t>
            </w:r>
            <w:r w:rsidRPr="00BC61ED">
              <w:rPr>
                <w:rFonts w:cs="Arial"/>
                <w:sz w:val="20"/>
                <w:szCs w:val="20"/>
                <w:lang w:val="af-ZA"/>
              </w:rPr>
              <w:t xml:space="preserve"> </w:t>
            </w:r>
            <w:r w:rsidRPr="00BC61ED">
              <w:rPr>
                <w:rFonts w:cs="Arial"/>
                <w:sz w:val="20"/>
                <w:szCs w:val="20"/>
              </w:rPr>
              <w:t>և</w:t>
            </w:r>
            <w:r w:rsidRPr="00BC61ED">
              <w:rPr>
                <w:rFonts w:cs="Arial"/>
                <w:sz w:val="20"/>
                <w:szCs w:val="20"/>
                <w:lang w:val="af-ZA"/>
              </w:rPr>
              <w:t xml:space="preserve"> </w:t>
            </w:r>
            <w:r w:rsidRPr="00BC61ED">
              <w:rPr>
                <w:rFonts w:cs="Arial"/>
                <w:sz w:val="20"/>
                <w:szCs w:val="20"/>
              </w:rPr>
              <w:t>ծախսերի</w:t>
            </w:r>
            <w:r w:rsidRPr="00BC61ED">
              <w:rPr>
                <w:rFonts w:cs="Arial"/>
                <w:sz w:val="20"/>
                <w:szCs w:val="20"/>
                <w:lang w:val="af-ZA"/>
              </w:rPr>
              <w:t xml:space="preserve"> </w:t>
            </w:r>
            <w:r w:rsidRPr="00BC61ED">
              <w:rPr>
                <w:rFonts w:cs="Arial"/>
                <w:sz w:val="20"/>
                <w:szCs w:val="20"/>
              </w:rPr>
              <w:t>տնտեսում</w:t>
            </w:r>
            <w:r w:rsidRPr="00BC61ED">
              <w:rPr>
                <w:rFonts w:cs="Arial"/>
                <w:sz w:val="20"/>
                <w:szCs w:val="20"/>
                <w:lang w:val="af-ZA"/>
              </w:rPr>
              <w:t>,</w:t>
            </w:r>
          </w:p>
          <w:p w:rsidR="0068680D" w:rsidRPr="00BC61ED" w:rsidRDefault="0068680D" w:rsidP="00F47DC4">
            <w:pPr>
              <w:spacing w:line="276" w:lineRule="auto"/>
              <w:jc w:val="both"/>
              <w:rPr>
                <w:sz w:val="20"/>
                <w:szCs w:val="20"/>
                <w:lang w:val="af-ZA"/>
              </w:rPr>
            </w:pPr>
            <w:r w:rsidRPr="00BC61ED">
              <w:rPr>
                <w:rFonts w:cs="Arial"/>
                <w:sz w:val="20"/>
                <w:szCs w:val="20"/>
                <w:lang w:val="af-ZA"/>
              </w:rPr>
              <w:t xml:space="preserve">   3. </w:t>
            </w:r>
            <w:r w:rsidRPr="00BC61ED">
              <w:rPr>
                <w:rFonts w:cs="Arial"/>
                <w:sz w:val="20"/>
                <w:szCs w:val="20"/>
              </w:rPr>
              <w:t>Օրենքից</w:t>
            </w:r>
            <w:r w:rsidRPr="00BC61ED">
              <w:rPr>
                <w:rFonts w:cs="Arial"/>
                <w:sz w:val="20"/>
                <w:szCs w:val="20"/>
                <w:lang w:val="af-ZA"/>
              </w:rPr>
              <w:t xml:space="preserve"> </w:t>
            </w:r>
            <w:r w:rsidRPr="00BC61ED">
              <w:rPr>
                <w:rFonts w:cs="Arial"/>
                <w:sz w:val="20"/>
                <w:szCs w:val="20"/>
              </w:rPr>
              <w:t>բխող</w:t>
            </w:r>
            <w:r w:rsidRPr="00BC61ED">
              <w:rPr>
                <w:rFonts w:cs="Arial"/>
                <w:sz w:val="20"/>
                <w:szCs w:val="20"/>
                <w:lang w:val="af-ZA"/>
              </w:rPr>
              <w:t xml:space="preserve"> </w:t>
            </w:r>
            <w:r w:rsidRPr="00BC61ED">
              <w:rPr>
                <w:rFonts w:cs="Arial"/>
                <w:sz w:val="20"/>
                <w:szCs w:val="20"/>
              </w:rPr>
              <w:t>գնահատման</w:t>
            </w:r>
            <w:r w:rsidRPr="00BC61ED">
              <w:rPr>
                <w:rFonts w:cs="Arial"/>
                <w:sz w:val="20"/>
                <w:szCs w:val="20"/>
                <w:lang w:val="af-ZA"/>
              </w:rPr>
              <w:t xml:space="preserve"> </w:t>
            </w:r>
            <w:r w:rsidRPr="00BC61ED">
              <w:rPr>
                <w:rFonts w:cs="Arial"/>
                <w:sz w:val="20"/>
                <w:szCs w:val="20"/>
              </w:rPr>
              <w:t>ստան</w:t>
            </w:r>
            <w:r w:rsidRPr="00BC61ED">
              <w:rPr>
                <w:rFonts w:cs="Arial"/>
                <w:sz w:val="20"/>
                <w:szCs w:val="20"/>
                <w:lang w:val="af-ZA"/>
              </w:rPr>
              <w:softHyphen/>
            </w:r>
            <w:r w:rsidRPr="00BC61ED">
              <w:rPr>
                <w:rFonts w:cs="Arial"/>
                <w:sz w:val="20"/>
                <w:szCs w:val="20"/>
              </w:rPr>
              <w:t>դարտների</w:t>
            </w:r>
            <w:r w:rsidRPr="00BC61ED">
              <w:rPr>
                <w:rFonts w:cs="Arial"/>
                <w:sz w:val="20"/>
                <w:szCs w:val="20"/>
                <w:lang w:val="af-ZA"/>
              </w:rPr>
              <w:t xml:space="preserve"> </w:t>
            </w:r>
            <w:r w:rsidRPr="00BC61ED">
              <w:rPr>
                <w:rFonts w:cs="Arial"/>
                <w:sz w:val="20"/>
                <w:szCs w:val="20"/>
              </w:rPr>
              <w:t>և</w:t>
            </w:r>
            <w:r w:rsidRPr="00BC61ED">
              <w:rPr>
                <w:rFonts w:cs="Arial"/>
                <w:sz w:val="20"/>
                <w:szCs w:val="20"/>
                <w:lang w:val="af-ZA"/>
              </w:rPr>
              <w:t xml:space="preserve"> </w:t>
            </w:r>
            <w:r w:rsidRPr="00BC61ED">
              <w:rPr>
                <w:rFonts w:cs="Arial"/>
                <w:sz w:val="20"/>
                <w:szCs w:val="20"/>
              </w:rPr>
              <w:t>ենթաօրենսդրական</w:t>
            </w:r>
            <w:r w:rsidRPr="00BC61ED">
              <w:rPr>
                <w:rFonts w:cs="Arial"/>
                <w:sz w:val="20"/>
                <w:szCs w:val="20"/>
                <w:lang w:val="af-ZA"/>
              </w:rPr>
              <w:t xml:space="preserve"> </w:t>
            </w:r>
            <w:r w:rsidRPr="00BC61ED">
              <w:rPr>
                <w:rFonts w:cs="Arial"/>
                <w:sz w:val="20"/>
                <w:szCs w:val="20"/>
              </w:rPr>
              <w:t>ակտերի</w:t>
            </w:r>
            <w:r w:rsidRPr="00BC61ED">
              <w:rPr>
                <w:rFonts w:cs="Arial"/>
                <w:sz w:val="20"/>
                <w:szCs w:val="20"/>
                <w:lang w:val="af-ZA"/>
              </w:rPr>
              <w:t xml:space="preserve"> </w:t>
            </w:r>
            <w:r w:rsidRPr="00BC61ED">
              <w:rPr>
                <w:rFonts w:cs="Arial"/>
                <w:sz w:val="20"/>
                <w:szCs w:val="20"/>
              </w:rPr>
              <w:t>նախագծերի</w:t>
            </w:r>
            <w:r w:rsidRPr="00BC61ED">
              <w:rPr>
                <w:rFonts w:cs="Arial"/>
                <w:sz w:val="20"/>
                <w:szCs w:val="20"/>
                <w:lang w:val="af-ZA"/>
              </w:rPr>
              <w:t xml:space="preserve"> </w:t>
            </w:r>
            <w:r w:rsidRPr="00BC61ED">
              <w:rPr>
                <w:rFonts w:cs="Arial"/>
                <w:sz w:val="20"/>
                <w:szCs w:val="20"/>
              </w:rPr>
              <w:t>մշակում</w:t>
            </w:r>
            <w:r w:rsidRPr="00BC61ED">
              <w:rPr>
                <w:rFonts w:cs="Arial"/>
                <w:sz w:val="20"/>
                <w:szCs w:val="20"/>
                <w:lang w:val="af-ZA"/>
              </w:rPr>
              <w:t xml:space="preserve"> </w:t>
            </w:r>
            <w:r w:rsidRPr="00BC61ED">
              <w:rPr>
                <w:rFonts w:cs="Arial"/>
                <w:sz w:val="20"/>
                <w:szCs w:val="20"/>
              </w:rPr>
              <w:t>և</w:t>
            </w:r>
            <w:r w:rsidRPr="00BC61ED">
              <w:rPr>
                <w:rFonts w:cs="Arial"/>
                <w:sz w:val="20"/>
                <w:szCs w:val="20"/>
                <w:lang w:val="af-ZA"/>
              </w:rPr>
              <w:t xml:space="preserve"> </w:t>
            </w:r>
            <w:r w:rsidRPr="00BC61ED">
              <w:rPr>
                <w:rFonts w:cs="Arial"/>
                <w:sz w:val="20"/>
                <w:szCs w:val="20"/>
              </w:rPr>
              <w:t>ներկայացում</w:t>
            </w:r>
            <w:r w:rsidRPr="00BC61ED">
              <w:rPr>
                <w:rFonts w:cs="Arial"/>
                <w:sz w:val="20"/>
                <w:szCs w:val="20"/>
                <w:lang w:val="af-ZA"/>
              </w:rPr>
              <w:t xml:space="preserve"> </w:t>
            </w:r>
            <w:r w:rsidRPr="00BC61ED">
              <w:rPr>
                <w:rFonts w:cs="Arial"/>
                <w:sz w:val="20"/>
                <w:szCs w:val="20"/>
              </w:rPr>
              <w:t>ՀՀ</w:t>
            </w:r>
            <w:r w:rsidRPr="00BC61ED">
              <w:rPr>
                <w:rFonts w:cs="Arial"/>
                <w:sz w:val="20"/>
                <w:szCs w:val="20"/>
                <w:lang w:val="af-ZA"/>
              </w:rPr>
              <w:t xml:space="preserve"> </w:t>
            </w:r>
            <w:r w:rsidRPr="00BC61ED">
              <w:rPr>
                <w:rFonts w:cs="Arial"/>
                <w:sz w:val="20"/>
                <w:szCs w:val="20"/>
              </w:rPr>
              <w:t>կառավարության</w:t>
            </w:r>
            <w:r w:rsidRPr="00BC61ED">
              <w:rPr>
                <w:rFonts w:cs="Arial"/>
                <w:sz w:val="20"/>
                <w:szCs w:val="20"/>
                <w:lang w:val="af-ZA"/>
              </w:rPr>
              <w:t xml:space="preserve"> </w:t>
            </w:r>
            <w:r w:rsidRPr="00BC61ED">
              <w:rPr>
                <w:rFonts w:cs="Arial"/>
                <w:sz w:val="20"/>
                <w:szCs w:val="20"/>
              </w:rPr>
              <w:t>քննարկմանը</w:t>
            </w:r>
            <w:r w:rsidRPr="00BC61ED">
              <w:rPr>
                <w:rFonts w:cs="Arial"/>
                <w:sz w:val="20"/>
                <w:szCs w:val="20"/>
                <w:lang w:val="af-ZA"/>
              </w:rPr>
              <w:t>,</w:t>
            </w:r>
          </w:p>
          <w:p w:rsidR="0068680D" w:rsidRPr="00BC61ED" w:rsidRDefault="0068680D" w:rsidP="00F47DC4">
            <w:pPr>
              <w:spacing w:line="276" w:lineRule="auto"/>
              <w:jc w:val="both"/>
              <w:rPr>
                <w:rFonts w:cs="Arial"/>
                <w:sz w:val="20"/>
                <w:szCs w:val="20"/>
                <w:lang w:val="af-ZA"/>
              </w:rPr>
            </w:pPr>
            <w:r w:rsidRPr="00BC61ED">
              <w:rPr>
                <w:rFonts w:cs="Arial"/>
                <w:sz w:val="20"/>
                <w:szCs w:val="20"/>
                <w:lang w:val="af-ZA"/>
              </w:rPr>
              <w:t xml:space="preserve">   4. </w:t>
            </w:r>
            <w:r w:rsidRPr="00BC61ED">
              <w:rPr>
                <w:rFonts w:cs="Arial"/>
                <w:sz w:val="20"/>
                <w:szCs w:val="20"/>
              </w:rPr>
              <w:t>Որակավորված</w:t>
            </w:r>
            <w:r w:rsidRPr="00BC61ED">
              <w:rPr>
                <w:rFonts w:cs="Arial"/>
                <w:sz w:val="20"/>
                <w:szCs w:val="20"/>
                <w:lang w:val="af-ZA"/>
              </w:rPr>
              <w:t xml:space="preserve"> </w:t>
            </w:r>
            <w:r w:rsidRPr="00BC61ED">
              <w:rPr>
                <w:rFonts w:cs="Arial"/>
                <w:sz w:val="20"/>
                <w:szCs w:val="20"/>
              </w:rPr>
              <w:t>գնահատողների</w:t>
            </w:r>
            <w:r w:rsidRPr="00BC61ED">
              <w:rPr>
                <w:rFonts w:cs="Arial"/>
                <w:sz w:val="20"/>
                <w:szCs w:val="20"/>
                <w:lang w:val="af-ZA"/>
              </w:rPr>
              <w:t xml:space="preserve"> </w:t>
            </w:r>
            <w:r w:rsidRPr="00BC61ED">
              <w:rPr>
                <w:rFonts w:cs="Arial"/>
                <w:sz w:val="20"/>
                <w:szCs w:val="20"/>
              </w:rPr>
              <w:t>դաշտի</w:t>
            </w:r>
            <w:r w:rsidRPr="00BC61ED">
              <w:rPr>
                <w:rFonts w:cs="Arial"/>
                <w:sz w:val="20"/>
                <w:szCs w:val="20"/>
                <w:lang w:val="af-ZA"/>
              </w:rPr>
              <w:t xml:space="preserve"> </w:t>
            </w:r>
            <w:r w:rsidRPr="00BC61ED">
              <w:rPr>
                <w:rFonts w:cs="Arial"/>
                <w:sz w:val="20"/>
                <w:szCs w:val="20"/>
              </w:rPr>
              <w:t>կարգավորմանը</w:t>
            </w:r>
            <w:r w:rsidRPr="00BC61ED">
              <w:rPr>
                <w:rFonts w:cs="Arial"/>
                <w:sz w:val="20"/>
                <w:szCs w:val="20"/>
                <w:lang w:val="af-ZA"/>
              </w:rPr>
              <w:t xml:space="preserve"> </w:t>
            </w:r>
            <w:r w:rsidRPr="00BC61ED">
              <w:rPr>
                <w:rFonts w:cs="Arial"/>
                <w:sz w:val="20"/>
                <w:szCs w:val="20"/>
              </w:rPr>
              <w:t>միտված</w:t>
            </w:r>
            <w:r w:rsidRPr="00BC61ED">
              <w:rPr>
                <w:rFonts w:cs="Arial"/>
                <w:sz w:val="20"/>
                <w:szCs w:val="20"/>
                <w:lang w:val="af-ZA"/>
              </w:rPr>
              <w:t xml:space="preserve"> </w:t>
            </w:r>
            <w:r w:rsidRPr="00BC61ED">
              <w:rPr>
                <w:rFonts w:cs="Arial"/>
                <w:sz w:val="20"/>
                <w:szCs w:val="20"/>
              </w:rPr>
              <w:t>երկարաժամկետ</w:t>
            </w:r>
            <w:r w:rsidRPr="00BC61ED">
              <w:rPr>
                <w:rFonts w:cs="Arial"/>
                <w:sz w:val="20"/>
                <w:szCs w:val="20"/>
                <w:lang w:val="af-ZA"/>
              </w:rPr>
              <w:t xml:space="preserve"> </w:t>
            </w:r>
            <w:r w:rsidRPr="00BC61ED">
              <w:rPr>
                <w:rFonts w:cs="Arial"/>
                <w:sz w:val="20"/>
                <w:szCs w:val="20"/>
              </w:rPr>
              <w:t>զարգացման</w:t>
            </w:r>
            <w:r w:rsidRPr="00BC61ED">
              <w:rPr>
                <w:rFonts w:cs="Arial"/>
                <w:sz w:val="20"/>
                <w:szCs w:val="20"/>
                <w:lang w:val="af-ZA"/>
              </w:rPr>
              <w:t xml:space="preserve"> </w:t>
            </w:r>
            <w:r w:rsidRPr="00BC61ED">
              <w:rPr>
                <w:rFonts w:cs="Arial"/>
                <w:sz w:val="20"/>
                <w:szCs w:val="20"/>
              </w:rPr>
              <w:t>հայեցակարգի</w:t>
            </w:r>
            <w:r w:rsidRPr="00BC61ED">
              <w:rPr>
                <w:rFonts w:cs="Arial"/>
                <w:sz w:val="20"/>
                <w:szCs w:val="20"/>
                <w:lang w:val="af-ZA"/>
              </w:rPr>
              <w:t xml:space="preserve"> </w:t>
            </w:r>
            <w:r w:rsidRPr="00BC61ED">
              <w:rPr>
                <w:rFonts w:cs="Arial"/>
                <w:sz w:val="20"/>
                <w:szCs w:val="20"/>
              </w:rPr>
              <w:t>մշակում</w:t>
            </w:r>
            <w:r w:rsidRPr="00BC61ED">
              <w:rPr>
                <w:rFonts w:cs="Arial"/>
                <w:sz w:val="20"/>
                <w:szCs w:val="20"/>
                <w:lang w:val="af-ZA"/>
              </w:rPr>
              <w:t>:</w:t>
            </w:r>
          </w:p>
          <w:p w:rsidR="0068680D" w:rsidRPr="00BC61ED" w:rsidRDefault="0068680D" w:rsidP="00F47DC4">
            <w:pPr>
              <w:spacing w:line="276" w:lineRule="auto"/>
              <w:jc w:val="both"/>
              <w:rPr>
                <w:rFonts w:cs="Sylfaen"/>
                <w:b/>
                <w:color w:val="000000"/>
                <w:sz w:val="20"/>
                <w:szCs w:val="20"/>
                <w:lang w:val="af-ZA"/>
              </w:rPr>
            </w:pPr>
            <w:r w:rsidRPr="00BC61ED">
              <w:rPr>
                <w:sz w:val="20"/>
                <w:szCs w:val="20"/>
                <w:lang w:val="af-ZA"/>
              </w:rPr>
              <w:t xml:space="preserve">   </w:t>
            </w:r>
            <w:r w:rsidRPr="00BC61ED">
              <w:rPr>
                <w:b/>
                <w:sz w:val="20"/>
                <w:szCs w:val="20"/>
                <w:lang w:val="af-ZA"/>
              </w:rPr>
              <w:t xml:space="preserve">2. </w:t>
            </w:r>
            <w:r w:rsidRPr="00BC61ED">
              <w:rPr>
                <w:b/>
                <w:sz w:val="20"/>
                <w:szCs w:val="20"/>
              </w:rPr>
              <w:t>Միջոցառման</w:t>
            </w:r>
            <w:r w:rsidRPr="00BC61ED">
              <w:rPr>
                <w:b/>
                <w:sz w:val="20"/>
                <w:szCs w:val="20"/>
                <w:lang w:val="af-ZA"/>
              </w:rPr>
              <w:t xml:space="preserve"> </w:t>
            </w:r>
            <w:r w:rsidRPr="00BC61ED">
              <w:rPr>
                <w:b/>
                <w:sz w:val="20"/>
                <w:szCs w:val="20"/>
              </w:rPr>
              <w:t>իրականացումից</w:t>
            </w:r>
            <w:r w:rsidRPr="00BC61ED">
              <w:rPr>
                <w:b/>
                <w:sz w:val="20"/>
                <w:szCs w:val="20"/>
                <w:lang w:val="af-ZA"/>
              </w:rPr>
              <w:t xml:space="preserve"> </w:t>
            </w:r>
            <w:r w:rsidRPr="00BC61ED">
              <w:rPr>
                <w:b/>
                <w:sz w:val="20"/>
                <w:szCs w:val="20"/>
              </w:rPr>
              <w:t>ակնկալվող</w:t>
            </w:r>
            <w:r w:rsidRPr="00BC61ED">
              <w:rPr>
                <w:b/>
                <w:sz w:val="20"/>
                <w:szCs w:val="20"/>
                <w:lang w:val="af-ZA"/>
              </w:rPr>
              <w:t xml:space="preserve"> </w:t>
            </w:r>
            <w:r w:rsidRPr="00BC61ED">
              <w:rPr>
                <w:b/>
                <w:sz w:val="20"/>
                <w:szCs w:val="20"/>
              </w:rPr>
              <w:t>արդյունքը</w:t>
            </w:r>
            <w:r w:rsidRPr="00BC61ED">
              <w:rPr>
                <w:rFonts w:cs="Sylfaen"/>
                <w:b/>
                <w:color w:val="000000"/>
                <w:sz w:val="20"/>
                <w:szCs w:val="20"/>
                <w:lang w:val="af-ZA"/>
              </w:rPr>
              <w:tab/>
            </w:r>
          </w:p>
          <w:p w:rsidR="0068680D" w:rsidRPr="00BC61ED" w:rsidRDefault="0068680D" w:rsidP="00F47DC4">
            <w:pPr>
              <w:spacing w:line="276" w:lineRule="auto"/>
              <w:jc w:val="both"/>
              <w:rPr>
                <w:sz w:val="20"/>
                <w:szCs w:val="20"/>
                <w:lang w:val="af-ZA"/>
              </w:rPr>
            </w:pPr>
            <w:r w:rsidRPr="00BC61ED">
              <w:rPr>
                <w:sz w:val="20"/>
                <w:szCs w:val="20"/>
                <w:lang w:val="af-ZA"/>
              </w:rPr>
              <w:t xml:space="preserve">   1) </w:t>
            </w:r>
            <w:r w:rsidRPr="00BC61ED">
              <w:rPr>
                <w:sz w:val="20"/>
                <w:szCs w:val="20"/>
              </w:rPr>
              <w:t>Գնահատման</w:t>
            </w:r>
            <w:r w:rsidRPr="00BC61ED">
              <w:rPr>
                <w:sz w:val="20"/>
                <w:szCs w:val="20"/>
                <w:lang w:val="af-ZA"/>
              </w:rPr>
              <w:t xml:space="preserve"> </w:t>
            </w:r>
            <w:r w:rsidRPr="00BC61ED">
              <w:rPr>
                <w:sz w:val="20"/>
                <w:szCs w:val="20"/>
              </w:rPr>
              <w:t>ոլորտի</w:t>
            </w:r>
            <w:r w:rsidRPr="00BC61ED">
              <w:rPr>
                <w:sz w:val="20"/>
                <w:szCs w:val="20"/>
                <w:lang w:val="af-ZA"/>
              </w:rPr>
              <w:t xml:space="preserve"> </w:t>
            </w:r>
            <w:r w:rsidRPr="00BC61ED">
              <w:rPr>
                <w:sz w:val="20"/>
                <w:szCs w:val="20"/>
              </w:rPr>
              <w:t>ընդլայնում</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կայացում</w:t>
            </w:r>
            <w:r w:rsidRPr="00BC61ED">
              <w:rPr>
                <w:sz w:val="20"/>
                <w:szCs w:val="20"/>
                <w:lang w:val="af-ZA"/>
              </w:rPr>
              <w:t>.</w:t>
            </w:r>
          </w:p>
          <w:p w:rsidR="0068680D" w:rsidRPr="00BC61ED" w:rsidRDefault="0068680D" w:rsidP="00F47DC4">
            <w:pPr>
              <w:spacing w:line="276" w:lineRule="auto"/>
              <w:jc w:val="both"/>
              <w:rPr>
                <w:sz w:val="20"/>
                <w:szCs w:val="20"/>
                <w:lang w:val="af-ZA"/>
              </w:rPr>
            </w:pPr>
            <w:r w:rsidRPr="00BC61ED">
              <w:rPr>
                <w:sz w:val="20"/>
                <w:szCs w:val="20"/>
                <w:lang w:val="af-ZA"/>
              </w:rPr>
              <w:t xml:space="preserve">   2) </w:t>
            </w:r>
            <w:r w:rsidRPr="00BC61ED">
              <w:rPr>
                <w:sz w:val="20"/>
                <w:szCs w:val="20"/>
              </w:rPr>
              <w:t>Գնահատման</w:t>
            </w:r>
            <w:r w:rsidRPr="00BC61ED">
              <w:rPr>
                <w:sz w:val="20"/>
                <w:szCs w:val="20"/>
                <w:lang w:val="af-ZA"/>
              </w:rPr>
              <w:t xml:space="preserve"> </w:t>
            </w:r>
            <w:r w:rsidRPr="00BC61ED">
              <w:rPr>
                <w:sz w:val="20"/>
                <w:szCs w:val="20"/>
              </w:rPr>
              <w:t>գործունեություն</w:t>
            </w:r>
            <w:r w:rsidRPr="00BC61ED">
              <w:rPr>
                <w:sz w:val="20"/>
                <w:szCs w:val="20"/>
                <w:lang w:val="af-ZA"/>
              </w:rPr>
              <w:t xml:space="preserve"> </w:t>
            </w:r>
            <w:r w:rsidRPr="00BC61ED">
              <w:rPr>
                <w:sz w:val="20"/>
                <w:szCs w:val="20"/>
              </w:rPr>
              <w:t>իրականացնողների</w:t>
            </w:r>
            <w:r w:rsidRPr="00BC61ED">
              <w:rPr>
                <w:sz w:val="20"/>
                <w:szCs w:val="20"/>
                <w:lang w:val="af-ZA"/>
              </w:rPr>
              <w:t xml:space="preserve"> </w:t>
            </w:r>
            <w:r w:rsidRPr="00BC61ED">
              <w:rPr>
                <w:sz w:val="20"/>
                <w:szCs w:val="20"/>
              </w:rPr>
              <w:t>նկատմամբ</w:t>
            </w:r>
            <w:r w:rsidRPr="00BC61ED">
              <w:rPr>
                <w:sz w:val="20"/>
                <w:szCs w:val="20"/>
                <w:lang w:val="af-ZA"/>
              </w:rPr>
              <w:t xml:space="preserve"> </w:t>
            </w:r>
            <w:r w:rsidRPr="00BC61ED">
              <w:rPr>
                <w:sz w:val="20"/>
                <w:szCs w:val="20"/>
              </w:rPr>
              <w:t>շուկայի</w:t>
            </w:r>
            <w:r w:rsidRPr="00BC61ED">
              <w:rPr>
                <w:sz w:val="20"/>
                <w:szCs w:val="20"/>
                <w:lang w:val="af-ZA"/>
              </w:rPr>
              <w:t xml:space="preserve"> </w:t>
            </w:r>
            <w:r w:rsidRPr="00BC61ED">
              <w:rPr>
                <w:sz w:val="20"/>
                <w:szCs w:val="20"/>
              </w:rPr>
              <w:t>մասնակիցների</w:t>
            </w:r>
            <w:r w:rsidRPr="00BC61ED">
              <w:rPr>
                <w:sz w:val="20"/>
                <w:szCs w:val="20"/>
                <w:lang w:val="af-ZA"/>
              </w:rPr>
              <w:t xml:space="preserve"> </w:t>
            </w:r>
            <w:r w:rsidRPr="00BC61ED">
              <w:rPr>
                <w:sz w:val="20"/>
                <w:szCs w:val="20"/>
              </w:rPr>
              <w:t>ու</w:t>
            </w:r>
            <w:r w:rsidRPr="00BC61ED">
              <w:rPr>
                <w:sz w:val="20"/>
                <w:szCs w:val="20"/>
                <w:lang w:val="af-ZA"/>
              </w:rPr>
              <w:t xml:space="preserve"> </w:t>
            </w:r>
            <w:r w:rsidRPr="00BC61ED">
              <w:rPr>
                <w:sz w:val="20"/>
                <w:szCs w:val="20"/>
              </w:rPr>
              <w:t>հանրության</w:t>
            </w:r>
            <w:r w:rsidRPr="00BC61ED">
              <w:rPr>
                <w:sz w:val="20"/>
                <w:szCs w:val="20"/>
                <w:lang w:val="af-ZA"/>
              </w:rPr>
              <w:t xml:space="preserve"> </w:t>
            </w:r>
            <w:r w:rsidRPr="00BC61ED">
              <w:rPr>
                <w:sz w:val="20"/>
                <w:szCs w:val="20"/>
              </w:rPr>
              <w:t>վստահության</w:t>
            </w:r>
            <w:r w:rsidRPr="00BC61ED">
              <w:rPr>
                <w:sz w:val="20"/>
                <w:szCs w:val="20"/>
                <w:lang w:val="af-ZA"/>
              </w:rPr>
              <w:t xml:space="preserve"> </w:t>
            </w:r>
            <w:r w:rsidRPr="00BC61ED">
              <w:rPr>
                <w:sz w:val="20"/>
                <w:szCs w:val="20"/>
              </w:rPr>
              <w:t>բարձրացում</w:t>
            </w:r>
            <w:r w:rsidRPr="00BC61ED">
              <w:rPr>
                <w:sz w:val="20"/>
                <w:szCs w:val="20"/>
                <w:lang w:val="af-ZA"/>
              </w:rPr>
              <w:t>.</w:t>
            </w:r>
          </w:p>
          <w:p w:rsidR="0068680D" w:rsidRPr="00BC61ED" w:rsidRDefault="0068680D" w:rsidP="00F47DC4">
            <w:pPr>
              <w:spacing w:line="276" w:lineRule="auto"/>
              <w:jc w:val="both"/>
              <w:rPr>
                <w:sz w:val="20"/>
                <w:szCs w:val="20"/>
                <w:lang w:val="af-ZA"/>
              </w:rPr>
            </w:pPr>
            <w:r w:rsidRPr="00BC61ED">
              <w:rPr>
                <w:sz w:val="20"/>
                <w:szCs w:val="20"/>
                <w:lang w:val="af-ZA"/>
              </w:rPr>
              <w:t xml:space="preserve">   3) </w:t>
            </w:r>
            <w:r w:rsidRPr="00BC61ED">
              <w:rPr>
                <w:sz w:val="20"/>
                <w:szCs w:val="20"/>
              </w:rPr>
              <w:t>Մատուցվող</w:t>
            </w:r>
            <w:r w:rsidRPr="00BC61ED">
              <w:rPr>
                <w:sz w:val="20"/>
                <w:szCs w:val="20"/>
                <w:lang w:val="af-ZA"/>
              </w:rPr>
              <w:t xml:space="preserve"> </w:t>
            </w:r>
            <w:r w:rsidRPr="00BC61ED">
              <w:rPr>
                <w:sz w:val="20"/>
                <w:szCs w:val="20"/>
              </w:rPr>
              <w:t>գնահատման</w:t>
            </w:r>
            <w:r w:rsidRPr="00BC61ED">
              <w:rPr>
                <w:sz w:val="20"/>
                <w:szCs w:val="20"/>
                <w:lang w:val="af-ZA"/>
              </w:rPr>
              <w:t xml:space="preserve"> </w:t>
            </w:r>
            <w:r w:rsidRPr="00BC61ED">
              <w:rPr>
                <w:sz w:val="20"/>
                <w:szCs w:val="20"/>
              </w:rPr>
              <w:t>ծառայությունների</w:t>
            </w:r>
            <w:r w:rsidRPr="00BC61ED">
              <w:rPr>
                <w:sz w:val="20"/>
                <w:szCs w:val="20"/>
                <w:lang w:val="af-ZA"/>
              </w:rPr>
              <w:t xml:space="preserve"> </w:t>
            </w:r>
            <w:r w:rsidRPr="00BC61ED">
              <w:rPr>
                <w:sz w:val="20"/>
                <w:szCs w:val="20"/>
              </w:rPr>
              <w:t>որակի</w:t>
            </w:r>
            <w:r w:rsidRPr="00BC61ED">
              <w:rPr>
                <w:sz w:val="20"/>
                <w:szCs w:val="20"/>
                <w:lang w:val="af-ZA"/>
              </w:rPr>
              <w:t xml:space="preserve"> </w:t>
            </w:r>
            <w:r w:rsidRPr="00BC61ED">
              <w:rPr>
                <w:sz w:val="20"/>
                <w:szCs w:val="20"/>
              </w:rPr>
              <w:t>բարելավում</w:t>
            </w:r>
            <w:r w:rsidRPr="00BC61ED">
              <w:rPr>
                <w:sz w:val="20"/>
                <w:szCs w:val="20"/>
                <w:lang w:val="af-ZA"/>
              </w:rPr>
              <w:t>.</w:t>
            </w:r>
          </w:p>
          <w:p w:rsidR="0068680D" w:rsidRPr="00BC61ED" w:rsidRDefault="0068680D" w:rsidP="00F47DC4">
            <w:pPr>
              <w:spacing w:line="276" w:lineRule="auto"/>
              <w:jc w:val="both"/>
              <w:rPr>
                <w:rFonts w:eastAsia="MS Mincho"/>
                <w:sz w:val="20"/>
                <w:szCs w:val="20"/>
                <w:lang w:val="pt-BR"/>
              </w:rPr>
            </w:pPr>
            <w:r w:rsidRPr="00BC61ED">
              <w:rPr>
                <w:sz w:val="20"/>
                <w:szCs w:val="20"/>
                <w:lang w:val="af-ZA"/>
              </w:rPr>
              <w:t xml:space="preserve">   4) </w:t>
            </w:r>
            <w:r w:rsidRPr="00BC61ED">
              <w:rPr>
                <w:sz w:val="20"/>
                <w:szCs w:val="20"/>
              </w:rPr>
              <w:t>Պետական</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համայնքային</w:t>
            </w:r>
            <w:r w:rsidRPr="00BC61ED">
              <w:rPr>
                <w:sz w:val="20"/>
                <w:szCs w:val="20"/>
                <w:lang w:val="af-ZA"/>
              </w:rPr>
              <w:t xml:space="preserve"> </w:t>
            </w:r>
            <w:r w:rsidRPr="00BC61ED">
              <w:rPr>
                <w:sz w:val="20"/>
                <w:szCs w:val="20"/>
              </w:rPr>
              <w:t>բյուջեների</w:t>
            </w:r>
            <w:r w:rsidRPr="00BC61ED">
              <w:rPr>
                <w:sz w:val="20"/>
                <w:szCs w:val="20"/>
                <w:lang w:val="af-ZA"/>
              </w:rPr>
              <w:t xml:space="preserve"> </w:t>
            </w:r>
            <w:r w:rsidRPr="00BC61ED">
              <w:rPr>
                <w:sz w:val="20"/>
                <w:szCs w:val="20"/>
              </w:rPr>
              <w:t>եկամուտների</w:t>
            </w:r>
            <w:r w:rsidRPr="00BC61ED">
              <w:rPr>
                <w:sz w:val="20"/>
                <w:szCs w:val="20"/>
                <w:lang w:val="af-ZA"/>
              </w:rPr>
              <w:t xml:space="preserve"> </w:t>
            </w:r>
            <w:r w:rsidRPr="00BC61ED">
              <w:rPr>
                <w:sz w:val="20"/>
                <w:szCs w:val="20"/>
              </w:rPr>
              <w:t>աճ</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ծախսերի</w:t>
            </w:r>
            <w:r w:rsidRPr="00BC61ED">
              <w:rPr>
                <w:sz w:val="20"/>
                <w:szCs w:val="20"/>
                <w:lang w:val="af-ZA"/>
              </w:rPr>
              <w:t xml:space="preserve"> </w:t>
            </w:r>
            <w:r w:rsidRPr="00BC61ED">
              <w:rPr>
                <w:sz w:val="20"/>
                <w:szCs w:val="20"/>
              </w:rPr>
              <w:t>տնտեսում</w:t>
            </w:r>
            <w:r w:rsidRPr="00BC61ED">
              <w:rPr>
                <w:sz w:val="20"/>
                <w:szCs w:val="20"/>
                <w:lang w:val="af-ZA"/>
              </w:rPr>
              <w:t>:</w:t>
            </w:r>
          </w:p>
        </w:tc>
      </w:tr>
      <w:tr w:rsidR="0068680D" w:rsidRPr="00DE2EFA"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11.</w:t>
            </w:r>
          </w:p>
        </w:tc>
        <w:tc>
          <w:tcPr>
            <w:tcW w:w="10915" w:type="dxa"/>
          </w:tcPr>
          <w:p w:rsidR="0068680D" w:rsidRPr="00BC61ED" w:rsidRDefault="0068680D" w:rsidP="00F47DC4">
            <w:pPr>
              <w:spacing w:line="276" w:lineRule="auto"/>
              <w:jc w:val="center"/>
              <w:rPr>
                <w:rFonts w:cs="Sylfaen"/>
                <w:b/>
                <w:color w:val="000000"/>
                <w:sz w:val="20"/>
                <w:szCs w:val="20"/>
                <w:lang w:val="hy-AM"/>
              </w:rPr>
            </w:pPr>
            <w:r w:rsidRPr="00BC61ED">
              <w:rPr>
                <w:rFonts w:cs="Sylfaen"/>
                <w:b/>
                <w:color w:val="000000"/>
                <w:sz w:val="20"/>
                <w:szCs w:val="20"/>
                <w:lang w:val="hy-AM"/>
              </w:rPr>
              <w:t>Գյուղատնտեսական նշանակության հողատեսքերի որակական և տնտեսական գնահատում</w:t>
            </w:r>
          </w:p>
          <w:p w:rsidR="0068680D" w:rsidRPr="00BC61ED" w:rsidRDefault="0068680D" w:rsidP="00F47DC4">
            <w:pPr>
              <w:spacing w:line="276" w:lineRule="auto"/>
              <w:rPr>
                <w:rFonts w:cs="Sylfaen"/>
                <w:color w:val="000000"/>
                <w:sz w:val="20"/>
                <w:szCs w:val="20"/>
                <w:lang w:val="hy-AM"/>
              </w:rPr>
            </w:pPr>
          </w:p>
          <w:p w:rsidR="0068680D" w:rsidRPr="00BC61ED" w:rsidRDefault="0068680D" w:rsidP="00F47DC4">
            <w:pPr>
              <w:spacing w:line="276" w:lineRule="auto"/>
              <w:rPr>
                <w:b/>
                <w:sz w:val="20"/>
                <w:szCs w:val="20"/>
                <w:lang w:val="hy-AM"/>
              </w:rPr>
            </w:pPr>
            <w:r w:rsidRPr="00BC61ED">
              <w:rPr>
                <w:b/>
                <w:sz w:val="20"/>
                <w:szCs w:val="20"/>
                <w:lang w:val="af-ZA"/>
              </w:rPr>
              <w:t xml:space="preserve">   </w:t>
            </w:r>
            <w:r w:rsidRPr="00BC61ED">
              <w:rPr>
                <w:b/>
                <w:sz w:val="20"/>
                <w:szCs w:val="20"/>
                <w:lang w:val="hy-AM"/>
              </w:rPr>
              <w:t>1. Միջոցառման իրականացման անհրաժեշտությունը և նպատակը</w:t>
            </w:r>
          </w:p>
          <w:p w:rsidR="0068680D" w:rsidRPr="00BC61ED" w:rsidRDefault="0068680D" w:rsidP="00F47DC4">
            <w:pPr>
              <w:spacing w:line="276" w:lineRule="auto"/>
              <w:jc w:val="both"/>
              <w:rPr>
                <w:sz w:val="20"/>
                <w:szCs w:val="20"/>
                <w:lang w:val="hy-AM"/>
              </w:rPr>
            </w:pPr>
            <w:r w:rsidRPr="00BC61ED">
              <w:rPr>
                <w:rFonts w:cs="Sylfaen"/>
                <w:color w:val="000000"/>
                <w:sz w:val="20"/>
                <w:szCs w:val="20"/>
                <w:lang w:val="af-ZA"/>
              </w:rPr>
              <w:t xml:space="preserve">   </w:t>
            </w:r>
            <w:r w:rsidRPr="00BC61ED">
              <w:rPr>
                <w:rFonts w:cs="Sylfaen"/>
                <w:color w:val="000000"/>
                <w:sz w:val="20"/>
                <w:szCs w:val="20"/>
                <w:lang w:val="hy-AM"/>
              </w:rPr>
              <w:t xml:space="preserve">Միջոցառման նպատակն է </w:t>
            </w:r>
            <w:r w:rsidRPr="00BC61ED">
              <w:rPr>
                <w:sz w:val="20"/>
                <w:szCs w:val="20"/>
                <w:lang w:val="hy-AM"/>
              </w:rPr>
              <w:t>Հայաստանի Հանրապետության գյուղատնտեսական նշանակության հողատեսքերի որակական և տնտեսական նոր գնահատում</w:t>
            </w:r>
            <w:r w:rsidRPr="00BC61ED">
              <w:rPr>
                <w:sz w:val="20"/>
                <w:szCs w:val="20"/>
              </w:rPr>
              <w:t>ը</w:t>
            </w:r>
            <w:r w:rsidRPr="00BC61ED">
              <w:rPr>
                <w:sz w:val="20"/>
                <w:szCs w:val="20"/>
                <w:lang w:val="hy-AM"/>
              </w:rPr>
              <w:t xml:space="preserve">: </w:t>
            </w:r>
          </w:p>
          <w:p w:rsidR="0068680D" w:rsidRPr="00BC61ED" w:rsidRDefault="0068680D" w:rsidP="00F47DC4">
            <w:pPr>
              <w:pStyle w:val="ListParagraph"/>
              <w:spacing w:line="276" w:lineRule="auto"/>
              <w:ind w:left="0" w:right="-1"/>
              <w:jc w:val="both"/>
              <w:rPr>
                <w:sz w:val="20"/>
                <w:szCs w:val="20"/>
                <w:lang w:val="af-ZA" w:eastAsia="en-GB"/>
              </w:rPr>
            </w:pPr>
            <w:r w:rsidRPr="00BC61ED">
              <w:rPr>
                <w:sz w:val="20"/>
                <w:szCs w:val="20"/>
                <w:lang w:val="af-ZA"/>
              </w:rPr>
              <w:t xml:space="preserve">   </w:t>
            </w:r>
            <w:r w:rsidRPr="00BC61ED">
              <w:rPr>
                <w:sz w:val="20"/>
                <w:szCs w:val="20"/>
                <w:lang w:val="af-ZA" w:eastAsia="en-GB"/>
              </w:rPr>
              <w:t xml:space="preserve">   </w:t>
            </w:r>
            <w:r w:rsidRPr="00BC61ED">
              <w:rPr>
                <w:sz w:val="20"/>
                <w:szCs w:val="20"/>
                <w:lang w:eastAsia="en-GB"/>
              </w:rPr>
              <w:t>Ծրագրի</w:t>
            </w:r>
            <w:r w:rsidRPr="00BC61ED">
              <w:rPr>
                <w:sz w:val="20"/>
                <w:szCs w:val="20"/>
                <w:lang w:val="af-ZA" w:eastAsia="en-GB"/>
              </w:rPr>
              <w:t xml:space="preserve"> </w:t>
            </w:r>
            <w:r w:rsidRPr="00BC61ED">
              <w:rPr>
                <w:sz w:val="20"/>
                <w:szCs w:val="20"/>
                <w:lang w:eastAsia="en-GB"/>
              </w:rPr>
              <w:t>համաձայն</w:t>
            </w:r>
            <w:r w:rsidRPr="00BC61ED">
              <w:rPr>
                <w:sz w:val="20"/>
                <w:szCs w:val="20"/>
                <w:lang w:val="af-ZA" w:eastAsia="en-GB"/>
              </w:rPr>
              <w:t xml:space="preserve"> </w:t>
            </w:r>
            <w:r w:rsidRPr="00BC61ED">
              <w:rPr>
                <w:sz w:val="20"/>
                <w:szCs w:val="20"/>
                <w:lang w:eastAsia="en-GB"/>
              </w:rPr>
              <w:t>նորմատիվ</w:t>
            </w:r>
            <w:r w:rsidRPr="00BC61ED">
              <w:rPr>
                <w:sz w:val="20"/>
                <w:szCs w:val="20"/>
                <w:lang w:val="af-ZA" w:eastAsia="en-GB"/>
              </w:rPr>
              <w:t xml:space="preserve"> </w:t>
            </w:r>
            <w:r w:rsidRPr="00BC61ED">
              <w:rPr>
                <w:sz w:val="20"/>
                <w:szCs w:val="20"/>
                <w:lang w:eastAsia="en-GB"/>
              </w:rPr>
              <w:t>իրավական</w:t>
            </w:r>
            <w:r w:rsidRPr="00BC61ED">
              <w:rPr>
                <w:sz w:val="20"/>
                <w:szCs w:val="20"/>
                <w:lang w:val="af-ZA" w:eastAsia="en-GB"/>
              </w:rPr>
              <w:t xml:space="preserve"> </w:t>
            </w:r>
            <w:r w:rsidRPr="00BC61ED">
              <w:rPr>
                <w:sz w:val="20"/>
                <w:szCs w:val="20"/>
                <w:lang w:eastAsia="en-GB"/>
              </w:rPr>
              <w:t>ակտերի</w:t>
            </w:r>
            <w:r w:rsidRPr="00BC61ED">
              <w:rPr>
                <w:sz w:val="20"/>
                <w:szCs w:val="20"/>
                <w:lang w:val="af-ZA" w:eastAsia="en-GB"/>
              </w:rPr>
              <w:t xml:space="preserve"> </w:t>
            </w:r>
            <w:r w:rsidRPr="00BC61ED">
              <w:rPr>
                <w:sz w:val="20"/>
                <w:szCs w:val="20"/>
                <w:lang w:eastAsia="en-GB"/>
              </w:rPr>
              <w:t>ընդունման</w:t>
            </w:r>
            <w:r w:rsidRPr="00BC61ED">
              <w:rPr>
                <w:sz w:val="20"/>
                <w:szCs w:val="20"/>
                <w:lang w:val="af-ZA" w:eastAsia="en-GB"/>
              </w:rPr>
              <w:t xml:space="preserve"> </w:t>
            </w:r>
            <w:r w:rsidRPr="00BC61ED">
              <w:rPr>
                <w:sz w:val="20"/>
                <w:szCs w:val="20"/>
                <w:lang w:eastAsia="en-GB"/>
              </w:rPr>
              <w:t>անհրաժեշտություն</w:t>
            </w:r>
            <w:r w:rsidRPr="00BC61ED">
              <w:rPr>
                <w:sz w:val="20"/>
                <w:szCs w:val="20"/>
                <w:lang w:val="af-ZA" w:eastAsia="en-GB"/>
              </w:rPr>
              <w:t xml:space="preserve"> </w:t>
            </w:r>
            <w:r w:rsidRPr="00BC61ED">
              <w:rPr>
                <w:sz w:val="20"/>
                <w:szCs w:val="20"/>
                <w:lang w:eastAsia="en-GB"/>
              </w:rPr>
              <w:t>է</w:t>
            </w:r>
            <w:r w:rsidRPr="00BC61ED">
              <w:rPr>
                <w:sz w:val="20"/>
                <w:szCs w:val="20"/>
                <w:lang w:val="af-ZA" w:eastAsia="en-GB"/>
              </w:rPr>
              <w:t xml:space="preserve"> </w:t>
            </w:r>
            <w:r w:rsidRPr="00BC61ED">
              <w:rPr>
                <w:sz w:val="20"/>
                <w:szCs w:val="20"/>
                <w:lang w:eastAsia="en-GB"/>
              </w:rPr>
              <w:t>առաջանում</w:t>
            </w:r>
            <w:r w:rsidRPr="00BC61ED">
              <w:rPr>
                <w:sz w:val="20"/>
                <w:szCs w:val="20"/>
                <w:lang w:val="af-ZA" w:eastAsia="en-GB"/>
              </w:rPr>
              <w:t xml:space="preserve"> (</w:t>
            </w:r>
            <w:r w:rsidRPr="00BC61ED">
              <w:rPr>
                <w:sz w:val="20"/>
                <w:szCs w:val="20"/>
                <w:lang w:eastAsia="en-GB"/>
              </w:rPr>
              <w:t>ՀՀ</w:t>
            </w:r>
            <w:r w:rsidRPr="00BC61ED">
              <w:rPr>
                <w:sz w:val="20"/>
                <w:szCs w:val="20"/>
                <w:lang w:val="af-ZA" w:eastAsia="en-GB"/>
              </w:rPr>
              <w:t xml:space="preserve"> </w:t>
            </w:r>
            <w:r w:rsidRPr="00BC61ED">
              <w:rPr>
                <w:sz w:val="20"/>
                <w:szCs w:val="20"/>
                <w:lang w:eastAsia="en-GB"/>
              </w:rPr>
              <w:t>կառավարության</w:t>
            </w:r>
            <w:r w:rsidRPr="00BC61ED">
              <w:rPr>
                <w:sz w:val="20"/>
                <w:szCs w:val="20"/>
                <w:lang w:val="af-ZA" w:eastAsia="en-GB"/>
              </w:rPr>
              <w:t xml:space="preserve"> </w:t>
            </w:r>
            <w:r w:rsidRPr="00BC61ED">
              <w:rPr>
                <w:sz w:val="20"/>
                <w:szCs w:val="20"/>
                <w:lang w:eastAsia="en-GB"/>
              </w:rPr>
              <w:t>որոշում</w:t>
            </w:r>
            <w:r w:rsidRPr="00BC61ED">
              <w:rPr>
                <w:sz w:val="20"/>
                <w:szCs w:val="20"/>
                <w:lang w:val="af-ZA" w:eastAsia="en-GB"/>
              </w:rPr>
              <w:t xml:space="preserve">): </w:t>
            </w:r>
          </w:p>
          <w:p w:rsidR="0068680D" w:rsidRPr="00BC61ED" w:rsidRDefault="0068680D" w:rsidP="00F47DC4">
            <w:pPr>
              <w:spacing w:line="276" w:lineRule="auto"/>
              <w:jc w:val="both"/>
              <w:rPr>
                <w:b/>
                <w:sz w:val="20"/>
                <w:szCs w:val="20"/>
                <w:lang w:val="hy-AM"/>
              </w:rPr>
            </w:pPr>
            <w:r w:rsidRPr="00BC61ED">
              <w:rPr>
                <w:b/>
                <w:sz w:val="20"/>
                <w:szCs w:val="20"/>
                <w:lang w:val="af-ZA"/>
              </w:rPr>
              <w:t xml:space="preserve">   </w:t>
            </w:r>
            <w:r w:rsidRPr="00BC61ED">
              <w:rPr>
                <w:b/>
                <w:sz w:val="20"/>
                <w:szCs w:val="20"/>
                <w:lang w:val="hy-AM"/>
              </w:rPr>
              <w:t>1.1. Կարգավորման հարաբերությունների ներկա վիճակը և առկա խնդիրները</w:t>
            </w:r>
          </w:p>
          <w:p w:rsidR="0068680D" w:rsidRPr="00BC61ED" w:rsidRDefault="0068680D" w:rsidP="00F47DC4">
            <w:pPr>
              <w:spacing w:line="276" w:lineRule="auto"/>
              <w:jc w:val="both"/>
              <w:rPr>
                <w:sz w:val="20"/>
                <w:szCs w:val="20"/>
                <w:lang w:val="hy-AM"/>
              </w:rPr>
            </w:pPr>
            <w:r w:rsidRPr="00BC61ED">
              <w:rPr>
                <w:sz w:val="20"/>
                <w:szCs w:val="20"/>
                <w:lang w:val="af-ZA"/>
              </w:rPr>
              <w:t xml:space="preserve">   </w:t>
            </w:r>
            <w:r w:rsidRPr="00BC61ED">
              <w:rPr>
                <w:sz w:val="20"/>
                <w:szCs w:val="20"/>
                <w:lang w:val="hy-AM"/>
              </w:rPr>
              <w:t>Հայաստանի Հանրապետության գյուղատնտեսական նշանակության հողատեսքերի կադաստրային զուտ եկամուտների հողային կադաստրի տվյալները հաստատվել են ՀՀ կառավարության 1999 թվականի հունվարի 20-ի N 31 որոշմամբ</w:t>
            </w:r>
            <w:r w:rsidRPr="00BC61ED">
              <w:rPr>
                <w:sz w:val="20"/>
                <w:szCs w:val="20"/>
                <w:lang w:val="af-ZA"/>
              </w:rPr>
              <w:t>,</w:t>
            </w:r>
            <w:r w:rsidRPr="00BC61ED">
              <w:rPr>
                <w:sz w:val="20"/>
                <w:szCs w:val="20"/>
                <w:lang w:val="hy-AM"/>
              </w:rPr>
              <w:t xml:space="preserve"> և գյուղատնտեսական նշանակության հողատեսքերի կադաստրային զուտ եկամուտների հաշվարկների համար հիմք են հանդիսանում դեռևս 1970-1980-ական թվականներին իրականացված գյուղատնտեսական նշանակության հողատեսքերի մ</w:t>
            </w:r>
            <w:r w:rsidRPr="00BC61ED">
              <w:rPr>
                <w:sz w:val="20"/>
                <w:szCs w:val="20"/>
              </w:rPr>
              <w:t>շտադիտարկման</w:t>
            </w:r>
            <w:r w:rsidRPr="00BC61ED">
              <w:rPr>
                <w:sz w:val="20"/>
                <w:szCs w:val="20"/>
                <w:lang w:val="hy-AM"/>
              </w:rPr>
              <w:t xml:space="preserve"> տվյալները, ինչպես նաև այդ ժամանակահատվածում հողաշինարարական, հողագիտական, երկրաբուսաբանական և գյուղատնտեսական հողատեսքերի որակական ու տնտեսական գնահատման աշխատանքների հիման վրա մշակված մեթոդիկան: Գյուղատնտեսական նշանակության հողատեսքերի կադաստրային գները յուրաքանչյուր տարի հաստատվում են</w:t>
            </w:r>
            <w:r w:rsidRPr="00BC61ED">
              <w:rPr>
                <w:sz w:val="20"/>
                <w:szCs w:val="20"/>
                <w:lang w:val="af-ZA"/>
              </w:rPr>
              <w:t xml:space="preserve">                  </w:t>
            </w:r>
            <w:r w:rsidRPr="00BC61ED">
              <w:rPr>
                <w:sz w:val="20"/>
                <w:szCs w:val="20"/>
                <w:lang w:val="hy-AM"/>
              </w:rPr>
              <w:t xml:space="preserve"> ՀՀ կառավարության կողմից` դրանց չափերը յուրաքանչյուր տարի թողնելով անփոփոխ, որոնց տվյալների հիման վրա ձևավորվում են գյուղատնտես</w:t>
            </w:r>
            <w:r w:rsidRPr="00BC61ED">
              <w:rPr>
                <w:sz w:val="20"/>
                <w:szCs w:val="20"/>
              </w:rPr>
              <w:t>ա</w:t>
            </w:r>
            <w:r w:rsidRPr="00BC61ED">
              <w:rPr>
                <w:sz w:val="20"/>
                <w:szCs w:val="20"/>
                <w:lang w:val="hy-AM"/>
              </w:rPr>
              <w:t>կան նշանակության հողատեսքերի հարկման բազաները:</w:t>
            </w:r>
          </w:p>
          <w:p w:rsidR="0068680D" w:rsidRPr="00BC61ED" w:rsidRDefault="0068680D" w:rsidP="00F47DC4">
            <w:pPr>
              <w:spacing w:line="276" w:lineRule="auto"/>
              <w:jc w:val="both"/>
              <w:rPr>
                <w:rFonts w:cs="Sylfaen"/>
                <w:color w:val="000000"/>
                <w:sz w:val="20"/>
                <w:szCs w:val="20"/>
                <w:lang w:val="hy-AM"/>
              </w:rPr>
            </w:pPr>
            <w:r w:rsidRPr="00BC61ED">
              <w:rPr>
                <w:sz w:val="20"/>
                <w:szCs w:val="20"/>
                <w:lang w:val="af-ZA"/>
              </w:rPr>
              <w:t xml:space="preserve">   </w:t>
            </w:r>
            <w:r w:rsidRPr="00BC61ED">
              <w:rPr>
                <w:sz w:val="20"/>
                <w:szCs w:val="20"/>
                <w:lang w:val="hy-AM"/>
              </w:rPr>
              <w:t>Նկատի ունենալով այն հանգամանքը, որ գյուղատնտեսական հողատեսքերի վիճակի վերաբերյալ վերջին 30 տարիների ընթացքում ոչ մի համալիր հետազոտություններ և ուսումնասիրություններ չեն կատարվել</w:t>
            </w:r>
            <w:r w:rsidRPr="00BC61ED">
              <w:rPr>
                <w:sz w:val="20"/>
                <w:szCs w:val="20"/>
                <w:lang w:val="af-ZA"/>
              </w:rPr>
              <w:t>,</w:t>
            </w:r>
            <w:r w:rsidRPr="00BC61ED">
              <w:rPr>
                <w:sz w:val="20"/>
                <w:szCs w:val="20"/>
                <w:lang w:val="hy-AM"/>
              </w:rPr>
              <w:t xml:space="preserve"> և գյուղատնտեսական հողատեսքերի կադաստրային գները չեն արտացոլում ներկայիս անշարժ գույքի շուկայի իրավիճակը, իսկ գործող օրենսդրությամբ գյուղատնտեսական նշանակության հողերի հարկի մեծության հիմքում ընկած է հողի պոտենցիալ եկամտաբերությունը, հետևաբար արդարացի հարկման դաշտի ստեղծման նպատակով անհրաժեշտություն է առաջանում նոր հետազոտական նյութերի հիման վրա իրականացնել Հայաստանի Հանրապետության գյուղատնտեսական նշանակության հողատեսքերի որակական և տնտեսական նոր գնահատում:</w:t>
            </w:r>
            <w:r w:rsidRPr="00BC61ED">
              <w:rPr>
                <w:rFonts w:cs="Sylfaen"/>
                <w:color w:val="000000"/>
                <w:sz w:val="20"/>
                <w:szCs w:val="20"/>
                <w:lang w:val="hy-AM"/>
              </w:rPr>
              <w:tab/>
            </w:r>
          </w:p>
          <w:p w:rsidR="0068680D" w:rsidRPr="00BC61ED" w:rsidRDefault="0068680D" w:rsidP="00F47DC4">
            <w:pPr>
              <w:spacing w:line="276" w:lineRule="auto"/>
              <w:rPr>
                <w:b/>
                <w:sz w:val="20"/>
                <w:szCs w:val="20"/>
                <w:lang w:val="hy-AM"/>
              </w:rPr>
            </w:pPr>
            <w:r w:rsidRPr="00BC61ED">
              <w:rPr>
                <w:sz w:val="20"/>
                <w:szCs w:val="20"/>
                <w:lang w:val="af-ZA"/>
              </w:rPr>
              <w:t xml:space="preserve">   </w:t>
            </w:r>
            <w:r w:rsidRPr="00BC61ED">
              <w:rPr>
                <w:b/>
                <w:sz w:val="20"/>
                <w:szCs w:val="20"/>
                <w:lang w:val="hy-AM"/>
              </w:rPr>
              <w:t>1.2. Առկա խնդիրների առաջարկվող լուծումները</w:t>
            </w:r>
          </w:p>
          <w:p w:rsidR="0068680D" w:rsidRPr="00BC61ED" w:rsidRDefault="0068680D" w:rsidP="00F47DC4">
            <w:pPr>
              <w:spacing w:line="276" w:lineRule="auto"/>
              <w:jc w:val="both"/>
              <w:rPr>
                <w:sz w:val="20"/>
                <w:szCs w:val="20"/>
                <w:lang w:val="hy-AM"/>
              </w:rPr>
            </w:pPr>
            <w:r w:rsidRPr="00BC61ED">
              <w:rPr>
                <w:sz w:val="20"/>
                <w:szCs w:val="20"/>
                <w:lang w:val="af-ZA"/>
              </w:rPr>
              <w:t xml:space="preserve">   </w:t>
            </w:r>
            <w:r w:rsidRPr="00BC61ED">
              <w:rPr>
                <w:sz w:val="20"/>
                <w:szCs w:val="20"/>
                <w:lang w:val="hy-AM"/>
              </w:rPr>
              <w:t>Առկա խնդիրը լուծելու նպատակով նախատեսվում է իրականացնել Հայաստանի Հանրապետության գյուղատնտեսական նշանակության հողատեսքերի կադաստրային գնահատման մեթոդիկայի մշակման և մեթոդական ցուցումների ստեղծման, հողաշինարարական, հողագիտական երկրաբուսաբանական, գյուղատնտեսական նշանակության հողատեսքերի նոր տնտեսական գնահատման աշխատանքներ:</w:t>
            </w:r>
          </w:p>
          <w:p w:rsidR="0068680D" w:rsidRPr="00BC61ED" w:rsidRDefault="0068680D" w:rsidP="00F47DC4">
            <w:pPr>
              <w:spacing w:line="276" w:lineRule="auto"/>
              <w:jc w:val="both"/>
              <w:rPr>
                <w:b/>
                <w:sz w:val="20"/>
                <w:szCs w:val="20"/>
                <w:lang w:val="af-ZA"/>
              </w:rPr>
            </w:pPr>
            <w:r w:rsidRPr="00BC61ED">
              <w:rPr>
                <w:sz w:val="20"/>
                <w:szCs w:val="20"/>
                <w:lang w:val="af-ZA"/>
              </w:rPr>
              <w:t xml:space="preserve">   </w:t>
            </w:r>
            <w:r w:rsidRPr="00BC61ED">
              <w:rPr>
                <w:b/>
                <w:sz w:val="20"/>
                <w:szCs w:val="20"/>
              </w:rPr>
              <w:t>Կիրականացվեն</w:t>
            </w:r>
            <w:r w:rsidRPr="00BC61ED">
              <w:rPr>
                <w:b/>
                <w:sz w:val="20"/>
                <w:szCs w:val="20"/>
                <w:lang w:val="af-ZA"/>
              </w:rPr>
              <w:t xml:space="preserve"> </w:t>
            </w:r>
            <w:r w:rsidRPr="00BC61ED">
              <w:rPr>
                <w:b/>
                <w:sz w:val="20"/>
                <w:szCs w:val="20"/>
              </w:rPr>
              <w:t>հետևյալ</w:t>
            </w:r>
            <w:r w:rsidRPr="00BC61ED">
              <w:rPr>
                <w:b/>
                <w:sz w:val="20"/>
                <w:szCs w:val="20"/>
                <w:lang w:val="af-ZA"/>
              </w:rPr>
              <w:t xml:space="preserve"> </w:t>
            </w:r>
            <w:r w:rsidRPr="00BC61ED">
              <w:rPr>
                <w:b/>
                <w:sz w:val="20"/>
                <w:szCs w:val="20"/>
              </w:rPr>
              <w:t>միջոցառումները՝</w:t>
            </w:r>
          </w:p>
          <w:p w:rsidR="0068680D" w:rsidRPr="00BC61ED" w:rsidRDefault="0068680D" w:rsidP="00F47DC4">
            <w:pPr>
              <w:spacing w:line="276" w:lineRule="auto"/>
              <w:jc w:val="both"/>
              <w:rPr>
                <w:rFonts w:cs="Sylfaen"/>
                <w:color w:val="000000"/>
                <w:sz w:val="20"/>
                <w:szCs w:val="20"/>
                <w:lang w:val="af-ZA"/>
              </w:rPr>
            </w:pPr>
            <w:r w:rsidRPr="00BC61ED">
              <w:rPr>
                <w:color w:val="000000"/>
                <w:sz w:val="20"/>
                <w:szCs w:val="20"/>
                <w:lang w:val="af-ZA"/>
              </w:rPr>
              <w:t xml:space="preserve">   1. </w:t>
            </w:r>
            <w:r w:rsidRPr="00BC61ED">
              <w:rPr>
                <w:color w:val="000000"/>
                <w:sz w:val="20"/>
                <w:szCs w:val="20"/>
                <w:lang w:val="hy-AM"/>
              </w:rPr>
              <w:t>Հ</w:t>
            </w:r>
            <w:r w:rsidRPr="00BC61ED">
              <w:rPr>
                <w:color w:val="000000"/>
                <w:sz w:val="20"/>
                <w:szCs w:val="20"/>
              </w:rPr>
              <w:t>այաստանի</w:t>
            </w:r>
            <w:r w:rsidRPr="00BC61ED">
              <w:rPr>
                <w:color w:val="000000"/>
                <w:sz w:val="20"/>
                <w:szCs w:val="20"/>
                <w:lang w:val="af-ZA"/>
              </w:rPr>
              <w:t xml:space="preserve"> </w:t>
            </w:r>
            <w:r w:rsidRPr="00BC61ED">
              <w:rPr>
                <w:color w:val="000000"/>
                <w:sz w:val="20"/>
                <w:szCs w:val="20"/>
                <w:lang w:val="hy-AM"/>
              </w:rPr>
              <w:t>Հ</w:t>
            </w:r>
            <w:r w:rsidRPr="00BC61ED">
              <w:rPr>
                <w:color w:val="000000"/>
                <w:sz w:val="20"/>
                <w:szCs w:val="20"/>
              </w:rPr>
              <w:t>անրապետության</w:t>
            </w:r>
            <w:r w:rsidRPr="00BC61ED">
              <w:rPr>
                <w:color w:val="000000"/>
                <w:sz w:val="20"/>
                <w:szCs w:val="20"/>
                <w:lang w:val="hy-AM"/>
              </w:rPr>
              <w:t xml:space="preserve"> գ</w:t>
            </w:r>
            <w:r w:rsidRPr="00BC61ED">
              <w:rPr>
                <w:rFonts w:cs="Sylfaen"/>
                <w:color w:val="000000"/>
                <w:sz w:val="20"/>
                <w:szCs w:val="20"/>
                <w:lang w:val="hy-AM"/>
              </w:rPr>
              <w:t>յուղատնտեսական</w:t>
            </w:r>
            <w:r w:rsidRPr="00BC61ED">
              <w:rPr>
                <w:color w:val="000000"/>
                <w:sz w:val="20"/>
                <w:szCs w:val="20"/>
                <w:lang w:val="hy-AM"/>
              </w:rPr>
              <w:t xml:space="preserve"> </w:t>
            </w:r>
            <w:r w:rsidRPr="00BC61ED">
              <w:rPr>
                <w:rFonts w:cs="Sylfaen"/>
                <w:color w:val="000000"/>
                <w:sz w:val="20"/>
                <w:szCs w:val="20"/>
                <w:lang w:val="hy-AM"/>
              </w:rPr>
              <w:t>նշանակության</w:t>
            </w:r>
            <w:r w:rsidRPr="00BC61ED">
              <w:rPr>
                <w:color w:val="000000"/>
                <w:sz w:val="20"/>
                <w:szCs w:val="20"/>
                <w:lang w:val="hy-AM"/>
              </w:rPr>
              <w:t xml:space="preserve"> </w:t>
            </w:r>
            <w:r w:rsidRPr="00BC61ED">
              <w:rPr>
                <w:rFonts w:cs="Sylfaen"/>
                <w:color w:val="000000"/>
                <w:sz w:val="20"/>
                <w:szCs w:val="20"/>
                <w:lang w:val="hy-AM"/>
              </w:rPr>
              <w:t>հողատեսքերի</w:t>
            </w:r>
            <w:r w:rsidRPr="00BC61ED">
              <w:rPr>
                <w:color w:val="000000"/>
                <w:sz w:val="20"/>
                <w:szCs w:val="20"/>
                <w:lang w:val="hy-AM"/>
              </w:rPr>
              <w:t xml:space="preserve"> </w:t>
            </w:r>
            <w:r w:rsidRPr="00BC61ED">
              <w:rPr>
                <w:rFonts w:cs="Sylfaen"/>
                <w:color w:val="000000"/>
                <w:sz w:val="20"/>
                <w:szCs w:val="20"/>
                <w:lang w:val="hy-AM"/>
              </w:rPr>
              <w:t>կադաստրային</w:t>
            </w:r>
            <w:r w:rsidRPr="00BC61ED">
              <w:rPr>
                <w:color w:val="000000"/>
                <w:sz w:val="20"/>
                <w:szCs w:val="20"/>
                <w:lang w:val="hy-AM"/>
              </w:rPr>
              <w:t xml:space="preserve"> </w:t>
            </w:r>
            <w:r w:rsidRPr="00BC61ED">
              <w:rPr>
                <w:rFonts w:cs="Sylfaen"/>
                <w:color w:val="000000"/>
                <w:sz w:val="20"/>
                <w:szCs w:val="20"/>
                <w:lang w:val="hy-AM"/>
              </w:rPr>
              <w:t>գնահատման</w:t>
            </w:r>
            <w:r w:rsidRPr="00BC61ED">
              <w:rPr>
                <w:color w:val="000000"/>
                <w:sz w:val="20"/>
                <w:szCs w:val="20"/>
                <w:lang w:val="hy-AM"/>
              </w:rPr>
              <w:t xml:space="preserve"> </w:t>
            </w:r>
            <w:r w:rsidRPr="00BC61ED">
              <w:rPr>
                <w:rFonts w:cs="Sylfaen"/>
                <w:color w:val="000000"/>
                <w:sz w:val="20"/>
                <w:szCs w:val="20"/>
                <w:lang w:val="hy-AM"/>
              </w:rPr>
              <w:t>մեթոդիկայի</w:t>
            </w:r>
            <w:r w:rsidRPr="00BC61ED">
              <w:rPr>
                <w:color w:val="000000"/>
                <w:sz w:val="20"/>
                <w:szCs w:val="20"/>
                <w:lang w:val="hy-AM"/>
              </w:rPr>
              <w:t xml:space="preserve"> </w:t>
            </w:r>
            <w:r w:rsidRPr="00BC61ED">
              <w:rPr>
                <w:rFonts w:cs="Sylfaen"/>
                <w:color w:val="000000"/>
                <w:sz w:val="20"/>
                <w:szCs w:val="20"/>
                <w:lang w:val="hy-AM"/>
              </w:rPr>
              <w:t>մշակման</w:t>
            </w:r>
            <w:r w:rsidRPr="00BC61ED">
              <w:rPr>
                <w:color w:val="000000"/>
                <w:sz w:val="20"/>
                <w:szCs w:val="20"/>
                <w:lang w:val="hy-AM"/>
              </w:rPr>
              <w:t xml:space="preserve"> </w:t>
            </w:r>
            <w:r w:rsidRPr="00BC61ED">
              <w:rPr>
                <w:rFonts w:cs="Sylfaen"/>
                <w:color w:val="000000"/>
                <w:sz w:val="20"/>
                <w:szCs w:val="20"/>
                <w:lang w:val="hy-AM"/>
              </w:rPr>
              <w:t>և</w:t>
            </w:r>
            <w:r w:rsidRPr="00BC61ED">
              <w:rPr>
                <w:color w:val="000000"/>
                <w:sz w:val="20"/>
                <w:szCs w:val="20"/>
                <w:lang w:val="hy-AM"/>
              </w:rPr>
              <w:t xml:space="preserve"> </w:t>
            </w:r>
            <w:r w:rsidRPr="00BC61ED">
              <w:rPr>
                <w:rFonts w:cs="Sylfaen"/>
                <w:color w:val="000000"/>
                <w:sz w:val="20"/>
                <w:szCs w:val="20"/>
                <w:lang w:val="hy-AM"/>
              </w:rPr>
              <w:t>մեթոդական</w:t>
            </w:r>
            <w:r w:rsidRPr="00BC61ED">
              <w:rPr>
                <w:color w:val="000000"/>
                <w:sz w:val="20"/>
                <w:szCs w:val="20"/>
                <w:lang w:val="hy-AM"/>
              </w:rPr>
              <w:t xml:space="preserve"> </w:t>
            </w:r>
            <w:r w:rsidRPr="00BC61ED">
              <w:rPr>
                <w:rFonts w:cs="Sylfaen"/>
                <w:color w:val="000000"/>
                <w:sz w:val="20"/>
                <w:szCs w:val="20"/>
                <w:lang w:val="hy-AM"/>
              </w:rPr>
              <w:t>ցուցումների</w:t>
            </w:r>
            <w:r w:rsidRPr="00BC61ED">
              <w:rPr>
                <w:color w:val="000000"/>
                <w:sz w:val="20"/>
                <w:szCs w:val="20"/>
                <w:lang w:val="hy-AM"/>
              </w:rPr>
              <w:t xml:space="preserve"> </w:t>
            </w:r>
            <w:r w:rsidRPr="00BC61ED">
              <w:rPr>
                <w:rFonts w:cs="Sylfaen"/>
                <w:color w:val="000000"/>
                <w:sz w:val="20"/>
                <w:szCs w:val="20"/>
                <w:lang w:val="hy-AM"/>
              </w:rPr>
              <w:t>ստեղծման</w:t>
            </w:r>
            <w:r w:rsidRPr="00BC61ED">
              <w:rPr>
                <w:color w:val="000000"/>
                <w:sz w:val="20"/>
                <w:szCs w:val="20"/>
                <w:lang w:val="hy-AM"/>
              </w:rPr>
              <w:t xml:space="preserve"> </w:t>
            </w:r>
            <w:r w:rsidRPr="00BC61ED">
              <w:rPr>
                <w:rFonts w:cs="Sylfaen"/>
                <w:color w:val="000000"/>
                <w:sz w:val="20"/>
                <w:szCs w:val="20"/>
                <w:lang w:val="hy-AM"/>
              </w:rPr>
              <w:t>աշխատանքներ</w:t>
            </w:r>
            <w:r w:rsidRPr="00BC61ED">
              <w:rPr>
                <w:rFonts w:cs="Sylfaen"/>
                <w:color w:val="000000"/>
                <w:sz w:val="20"/>
                <w:szCs w:val="20"/>
                <w:lang w:val="af-ZA"/>
              </w:rPr>
              <w:t>,</w:t>
            </w:r>
          </w:p>
          <w:p w:rsidR="0068680D" w:rsidRPr="00BC61ED" w:rsidRDefault="0068680D" w:rsidP="00F47DC4">
            <w:pPr>
              <w:spacing w:line="276" w:lineRule="auto"/>
              <w:jc w:val="both"/>
              <w:rPr>
                <w:rFonts w:cs="Sylfaen"/>
                <w:color w:val="000000"/>
                <w:sz w:val="20"/>
                <w:szCs w:val="20"/>
                <w:lang w:val="af-ZA"/>
              </w:rPr>
            </w:pPr>
            <w:r w:rsidRPr="00BC61ED">
              <w:rPr>
                <w:rFonts w:cs="Sylfaen"/>
                <w:color w:val="000000"/>
                <w:sz w:val="20"/>
                <w:szCs w:val="20"/>
                <w:lang w:val="af-ZA"/>
              </w:rPr>
              <w:t xml:space="preserve">   </w:t>
            </w:r>
            <w:r w:rsidRPr="00BC61ED">
              <w:rPr>
                <w:rFonts w:cs="Sylfaen"/>
                <w:color w:val="000000"/>
                <w:sz w:val="20"/>
                <w:szCs w:val="20"/>
                <w:lang w:val="hy-AM"/>
              </w:rPr>
              <w:t>2</w:t>
            </w:r>
            <w:r w:rsidRPr="00BC61ED">
              <w:rPr>
                <w:rFonts w:cs="Sylfaen"/>
                <w:color w:val="000000"/>
                <w:sz w:val="20"/>
                <w:szCs w:val="20"/>
                <w:lang w:val="af-ZA"/>
              </w:rPr>
              <w:t xml:space="preserve">. </w:t>
            </w:r>
            <w:r w:rsidRPr="00BC61ED">
              <w:rPr>
                <w:rFonts w:cs="Sylfaen"/>
                <w:color w:val="000000"/>
                <w:sz w:val="20"/>
                <w:szCs w:val="20"/>
                <w:lang w:val="en-GB"/>
              </w:rPr>
              <w:t>Հողատեսքերի</w:t>
            </w:r>
            <w:r w:rsidRPr="00BC61ED">
              <w:rPr>
                <w:rFonts w:cs="Sylfaen"/>
                <w:color w:val="000000"/>
                <w:sz w:val="20"/>
                <w:szCs w:val="20"/>
                <w:lang w:val="af-ZA"/>
              </w:rPr>
              <w:t xml:space="preserve"> </w:t>
            </w:r>
            <w:r w:rsidRPr="00BC61ED">
              <w:rPr>
                <w:rFonts w:cs="Sylfaen"/>
                <w:color w:val="000000"/>
                <w:sz w:val="20"/>
                <w:szCs w:val="20"/>
              </w:rPr>
              <w:t>դաշտային</w:t>
            </w:r>
            <w:r w:rsidRPr="00BC61ED">
              <w:rPr>
                <w:rFonts w:cs="Sylfaen"/>
                <w:color w:val="000000"/>
                <w:sz w:val="20"/>
                <w:szCs w:val="20"/>
                <w:lang w:val="af-ZA"/>
              </w:rPr>
              <w:t xml:space="preserve"> </w:t>
            </w:r>
            <w:r w:rsidRPr="00BC61ED">
              <w:rPr>
                <w:rFonts w:cs="Sylfaen"/>
                <w:color w:val="000000"/>
                <w:sz w:val="20"/>
                <w:szCs w:val="20"/>
              </w:rPr>
              <w:t>տեղազննման</w:t>
            </w:r>
            <w:r w:rsidRPr="00BC61ED">
              <w:rPr>
                <w:rFonts w:cs="Sylfaen"/>
                <w:color w:val="000000"/>
                <w:sz w:val="20"/>
                <w:szCs w:val="20"/>
                <w:lang w:val="af-ZA"/>
              </w:rPr>
              <w:t xml:space="preserve"> </w:t>
            </w:r>
            <w:r w:rsidRPr="00BC61ED">
              <w:rPr>
                <w:rFonts w:cs="Sylfaen"/>
                <w:color w:val="000000"/>
                <w:sz w:val="20"/>
                <w:szCs w:val="20"/>
                <w:lang w:val="hy-AM"/>
              </w:rPr>
              <w:t>աշխատանքներ</w:t>
            </w:r>
            <w:r w:rsidRPr="00BC61ED">
              <w:rPr>
                <w:rFonts w:cs="Sylfaen"/>
                <w:color w:val="000000"/>
                <w:sz w:val="20"/>
                <w:szCs w:val="20"/>
                <w:lang w:val="af-ZA"/>
              </w:rPr>
              <w:t>,</w:t>
            </w:r>
          </w:p>
          <w:p w:rsidR="0068680D" w:rsidRPr="00BC61ED" w:rsidRDefault="0068680D" w:rsidP="00F47DC4">
            <w:pPr>
              <w:spacing w:line="276" w:lineRule="auto"/>
              <w:jc w:val="both"/>
              <w:rPr>
                <w:rFonts w:cs="Sylfaen"/>
                <w:color w:val="000000"/>
                <w:sz w:val="20"/>
                <w:szCs w:val="20"/>
                <w:lang w:val="af-ZA"/>
              </w:rPr>
            </w:pPr>
            <w:r w:rsidRPr="00BC61ED">
              <w:rPr>
                <w:rFonts w:cs="Sylfaen"/>
                <w:color w:val="000000"/>
                <w:sz w:val="20"/>
                <w:szCs w:val="20"/>
                <w:lang w:val="af-ZA"/>
              </w:rPr>
              <w:t xml:space="preserve">   </w:t>
            </w:r>
            <w:r w:rsidRPr="00BC61ED">
              <w:rPr>
                <w:rFonts w:cs="Sylfaen"/>
                <w:color w:val="000000"/>
                <w:sz w:val="20"/>
                <w:szCs w:val="20"/>
                <w:lang w:val="hy-AM"/>
              </w:rPr>
              <w:t>3</w:t>
            </w:r>
            <w:r w:rsidRPr="00BC61ED">
              <w:rPr>
                <w:rFonts w:cs="Sylfaen"/>
                <w:color w:val="000000"/>
                <w:sz w:val="20"/>
                <w:szCs w:val="20"/>
                <w:lang w:val="af-ZA"/>
              </w:rPr>
              <w:t xml:space="preserve">. </w:t>
            </w:r>
            <w:r w:rsidRPr="00BC61ED">
              <w:rPr>
                <w:rFonts w:cs="Sylfaen"/>
                <w:color w:val="000000"/>
                <w:sz w:val="20"/>
                <w:szCs w:val="20"/>
                <w:lang w:val="hy-AM"/>
              </w:rPr>
              <w:t>Գյուղատնտեսական</w:t>
            </w:r>
            <w:r w:rsidRPr="00BC61ED">
              <w:rPr>
                <w:color w:val="000000"/>
                <w:sz w:val="20"/>
                <w:szCs w:val="20"/>
                <w:lang w:val="hy-AM"/>
              </w:rPr>
              <w:t xml:space="preserve"> </w:t>
            </w:r>
            <w:r w:rsidRPr="00BC61ED">
              <w:rPr>
                <w:rFonts w:cs="Sylfaen"/>
                <w:color w:val="000000"/>
                <w:sz w:val="20"/>
                <w:szCs w:val="20"/>
                <w:lang w:val="hy-AM"/>
              </w:rPr>
              <w:t>նշանակության</w:t>
            </w:r>
            <w:r w:rsidRPr="00BC61ED">
              <w:rPr>
                <w:color w:val="000000"/>
                <w:sz w:val="20"/>
                <w:szCs w:val="20"/>
                <w:lang w:val="hy-AM"/>
              </w:rPr>
              <w:t xml:space="preserve"> </w:t>
            </w:r>
            <w:r w:rsidRPr="00BC61ED">
              <w:rPr>
                <w:rFonts w:cs="Sylfaen"/>
                <w:color w:val="000000"/>
                <w:sz w:val="20"/>
                <w:szCs w:val="20"/>
                <w:lang w:val="hy-AM"/>
              </w:rPr>
              <w:t>հողատեսքերի</w:t>
            </w:r>
            <w:r w:rsidRPr="00BC61ED">
              <w:rPr>
                <w:color w:val="000000"/>
                <w:sz w:val="20"/>
                <w:szCs w:val="20"/>
                <w:lang w:val="hy-AM"/>
              </w:rPr>
              <w:t xml:space="preserve"> </w:t>
            </w:r>
            <w:r w:rsidRPr="00BC61ED">
              <w:rPr>
                <w:rFonts w:cs="Sylfaen"/>
                <w:color w:val="000000"/>
                <w:sz w:val="20"/>
                <w:szCs w:val="20"/>
                <w:lang w:val="hy-AM"/>
              </w:rPr>
              <w:t>տնտեսական</w:t>
            </w:r>
            <w:r w:rsidRPr="00BC61ED">
              <w:rPr>
                <w:color w:val="000000"/>
                <w:sz w:val="20"/>
                <w:szCs w:val="20"/>
                <w:lang w:val="hy-AM"/>
              </w:rPr>
              <w:t xml:space="preserve"> </w:t>
            </w:r>
            <w:r w:rsidRPr="00BC61ED">
              <w:rPr>
                <w:rFonts w:cs="Sylfaen"/>
                <w:color w:val="000000"/>
                <w:sz w:val="20"/>
                <w:szCs w:val="20"/>
                <w:lang w:val="hy-AM"/>
              </w:rPr>
              <w:t>գնահատման</w:t>
            </w:r>
            <w:r w:rsidRPr="00BC61ED">
              <w:rPr>
                <w:color w:val="000000"/>
                <w:sz w:val="20"/>
                <w:szCs w:val="20"/>
                <w:lang w:val="hy-AM"/>
              </w:rPr>
              <w:t xml:space="preserve"> </w:t>
            </w:r>
            <w:r w:rsidRPr="00BC61ED">
              <w:rPr>
                <w:rFonts w:cs="Sylfaen"/>
                <w:color w:val="000000"/>
                <w:sz w:val="20"/>
                <w:szCs w:val="20"/>
                <w:lang w:val="hy-AM"/>
              </w:rPr>
              <w:t>աշխատանքներ</w:t>
            </w:r>
            <w:r w:rsidRPr="00BC61ED">
              <w:rPr>
                <w:rFonts w:cs="Sylfaen"/>
                <w:color w:val="000000"/>
                <w:sz w:val="20"/>
                <w:szCs w:val="20"/>
                <w:lang w:val="af-ZA"/>
              </w:rPr>
              <w:t>,</w:t>
            </w:r>
          </w:p>
          <w:p w:rsidR="0068680D" w:rsidRPr="00BC61ED" w:rsidRDefault="0068680D" w:rsidP="00F47DC4">
            <w:pPr>
              <w:spacing w:line="276" w:lineRule="auto"/>
              <w:jc w:val="both"/>
              <w:rPr>
                <w:sz w:val="20"/>
                <w:szCs w:val="20"/>
                <w:lang w:val="af-ZA"/>
              </w:rPr>
            </w:pPr>
            <w:r w:rsidRPr="00BC61ED">
              <w:rPr>
                <w:rFonts w:cs="Sylfaen"/>
                <w:color w:val="000000"/>
                <w:sz w:val="20"/>
                <w:szCs w:val="20"/>
                <w:lang w:val="af-ZA"/>
              </w:rPr>
              <w:t xml:space="preserve">   </w:t>
            </w:r>
            <w:r w:rsidRPr="00BC61ED">
              <w:rPr>
                <w:rFonts w:cs="Sylfaen"/>
                <w:color w:val="000000"/>
                <w:sz w:val="20"/>
                <w:szCs w:val="20"/>
                <w:lang w:val="hy-AM"/>
              </w:rPr>
              <w:t xml:space="preserve">4 </w:t>
            </w:r>
            <w:r w:rsidRPr="00BC61ED">
              <w:rPr>
                <w:color w:val="000000"/>
                <w:sz w:val="20"/>
                <w:szCs w:val="20"/>
                <w:lang w:val="hy-AM"/>
              </w:rPr>
              <w:t>Հ</w:t>
            </w:r>
            <w:r w:rsidRPr="00BC61ED">
              <w:rPr>
                <w:color w:val="000000"/>
                <w:sz w:val="20"/>
                <w:szCs w:val="20"/>
              </w:rPr>
              <w:t>այաստանի</w:t>
            </w:r>
            <w:r w:rsidRPr="00BC61ED">
              <w:rPr>
                <w:color w:val="000000"/>
                <w:sz w:val="20"/>
                <w:szCs w:val="20"/>
                <w:lang w:val="af-ZA"/>
              </w:rPr>
              <w:t xml:space="preserve"> </w:t>
            </w:r>
            <w:r w:rsidRPr="00BC61ED">
              <w:rPr>
                <w:color w:val="000000"/>
                <w:sz w:val="20"/>
                <w:szCs w:val="20"/>
                <w:lang w:val="hy-AM"/>
              </w:rPr>
              <w:t>Հ</w:t>
            </w:r>
            <w:r w:rsidRPr="00BC61ED">
              <w:rPr>
                <w:color w:val="000000"/>
                <w:sz w:val="20"/>
                <w:szCs w:val="20"/>
              </w:rPr>
              <w:t>անրապետության</w:t>
            </w:r>
            <w:r w:rsidRPr="00BC61ED">
              <w:rPr>
                <w:color w:val="000000"/>
                <w:sz w:val="20"/>
                <w:szCs w:val="20"/>
                <w:lang w:val="hy-AM"/>
              </w:rPr>
              <w:t xml:space="preserve"> </w:t>
            </w:r>
            <w:r w:rsidRPr="00BC61ED">
              <w:rPr>
                <w:rFonts w:cs="Sylfaen"/>
                <w:color w:val="000000"/>
                <w:sz w:val="20"/>
                <w:szCs w:val="20"/>
                <w:lang w:val="hy-AM"/>
              </w:rPr>
              <w:t>կառավարության</w:t>
            </w:r>
            <w:r w:rsidRPr="00BC61ED">
              <w:rPr>
                <w:color w:val="000000"/>
                <w:sz w:val="20"/>
                <w:szCs w:val="20"/>
                <w:lang w:val="hy-AM"/>
              </w:rPr>
              <w:t xml:space="preserve"> </w:t>
            </w:r>
            <w:r w:rsidRPr="00BC61ED">
              <w:rPr>
                <w:rFonts w:cs="Sylfaen"/>
                <w:color w:val="000000"/>
                <w:sz w:val="20"/>
                <w:szCs w:val="20"/>
                <w:lang w:val="hy-AM"/>
              </w:rPr>
              <w:t>որոշման</w:t>
            </w:r>
            <w:r w:rsidRPr="00BC61ED">
              <w:rPr>
                <w:color w:val="000000"/>
                <w:sz w:val="20"/>
                <w:szCs w:val="20"/>
                <w:lang w:val="hy-AM"/>
              </w:rPr>
              <w:t xml:space="preserve"> </w:t>
            </w:r>
            <w:r w:rsidRPr="00BC61ED">
              <w:rPr>
                <w:rFonts w:cs="Sylfaen"/>
                <w:color w:val="000000"/>
                <w:sz w:val="20"/>
                <w:szCs w:val="20"/>
                <w:lang w:val="hy-AM"/>
              </w:rPr>
              <w:t>նախագծի</w:t>
            </w:r>
            <w:r w:rsidRPr="00BC61ED">
              <w:rPr>
                <w:color w:val="000000"/>
                <w:sz w:val="20"/>
                <w:szCs w:val="20"/>
                <w:lang w:val="hy-AM"/>
              </w:rPr>
              <w:t xml:space="preserve"> </w:t>
            </w:r>
            <w:r w:rsidRPr="00BC61ED">
              <w:rPr>
                <w:rFonts w:cs="Sylfaen"/>
                <w:color w:val="000000"/>
                <w:sz w:val="20"/>
                <w:szCs w:val="20"/>
                <w:lang w:val="hy-AM"/>
              </w:rPr>
              <w:t>մշակում</w:t>
            </w:r>
            <w:r w:rsidRPr="00BC61ED">
              <w:rPr>
                <w:color w:val="000000"/>
                <w:sz w:val="20"/>
                <w:szCs w:val="20"/>
                <w:lang w:val="hy-AM"/>
              </w:rPr>
              <w:t xml:space="preserve"> </w:t>
            </w:r>
            <w:r w:rsidRPr="00BC61ED">
              <w:rPr>
                <w:rFonts w:cs="Sylfaen"/>
                <w:color w:val="000000"/>
                <w:sz w:val="20"/>
                <w:szCs w:val="20"/>
                <w:lang w:val="hy-AM"/>
              </w:rPr>
              <w:t>և</w:t>
            </w:r>
            <w:r w:rsidRPr="00BC61ED">
              <w:rPr>
                <w:color w:val="000000"/>
                <w:sz w:val="20"/>
                <w:szCs w:val="20"/>
                <w:lang w:val="hy-AM"/>
              </w:rPr>
              <w:t xml:space="preserve"> </w:t>
            </w:r>
            <w:r w:rsidRPr="00BC61ED">
              <w:rPr>
                <w:rFonts w:cs="Sylfaen"/>
                <w:color w:val="000000"/>
                <w:sz w:val="20"/>
                <w:szCs w:val="20"/>
                <w:lang w:val="hy-AM"/>
              </w:rPr>
              <w:t>ներկայացում</w:t>
            </w:r>
            <w:r w:rsidRPr="00BC61ED">
              <w:rPr>
                <w:color w:val="000000"/>
                <w:sz w:val="20"/>
                <w:szCs w:val="20"/>
                <w:lang w:val="hy-AM"/>
              </w:rPr>
              <w:t xml:space="preserve"> Հ</w:t>
            </w:r>
            <w:r w:rsidRPr="00BC61ED">
              <w:rPr>
                <w:color w:val="000000"/>
                <w:sz w:val="20"/>
                <w:szCs w:val="20"/>
              </w:rPr>
              <w:t>այաստանի</w:t>
            </w:r>
            <w:r w:rsidRPr="00BC61ED">
              <w:rPr>
                <w:color w:val="000000"/>
                <w:sz w:val="20"/>
                <w:szCs w:val="20"/>
                <w:lang w:val="af-ZA"/>
              </w:rPr>
              <w:t xml:space="preserve"> </w:t>
            </w:r>
            <w:r w:rsidRPr="00BC61ED">
              <w:rPr>
                <w:color w:val="000000"/>
                <w:sz w:val="20"/>
                <w:szCs w:val="20"/>
                <w:lang w:val="hy-AM"/>
              </w:rPr>
              <w:t>Հ</w:t>
            </w:r>
            <w:r w:rsidRPr="00BC61ED">
              <w:rPr>
                <w:color w:val="000000"/>
                <w:sz w:val="20"/>
                <w:szCs w:val="20"/>
              </w:rPr>
              <w:t>անրապետության</w:t>
            </w:r>
            <w:r w:rsidRPr="00BC61ED">
              <w:rPr>
                <w:color w:val="000000"/>
                <w:sz w:val="20"/>
                <w:szCs w:val="20"/>
                <w:lang w:val="hy-AM"/>
              </w:rPr>
              <w:t xml:space="preserve">  </w:t>
            </w:r>
            <w:r w:rsidRPr="00BC61ED">
              <w:rPr>
                <w:rFonts w:cs="Sylfaen"/>
                <w:color w:val="000000"/>
                <w:sz w:val="20"/>
                <w:szCs w:val="20"/>
                <w:lang w:val="hy-AM"/>
              </w:rPr>
              <w:t>կառավարության</w:t>
            </w:r>
            <w:r w:rsidRPr="00BC61ED">
              <w:rPr>
                <w:color w:val="000000"/>
                <w:sz w:val="20"/>
                <w:szCs w:val="20"/>
                <w:lang w:val="hy-AM"/>
              </w:rPr>
              <w:t xml:space="preserve"> </w:t>
            </w:r>
            <w:r w:rsidRPr="00BC61ED">
              <w:rPr>
                <w:rFonts w:cs="Sylfaen"/>
                <w:color w:val="000000"/>
                <w:sz w:val="20"/>
                <w:szCs w:val="20"/>
                <w:lang w:val="hy-AM"/>
              </w:rPr>
              <w:t>քննարկմանը</w:t>
            </w:r>
            <w:r w:rsidRPr="00BC61ED">
              <w:rPr>
                <w:rFonts w:cs="Sylfaen"/>
                <w:color w:val="000000"/>
                <w:sz w:val="20"/>
                <w:szCs w:val="20"/>
                <w:lang w:val="af-ZA"/>
              </w:rPr>
              <w:t>:</w:t>
            </w:r>
          </w:p>
          <w:p w:rsidR="0068680D" w:rsidRPr="00BC61ED" w:rsidRDefault="0068680D" w:rsidP="00F47DC4">
            <w:pPr>
              <w:spacing w:line="276" w:lineRule="auto"/>
              <w:jc w:val="both"/>
              <w:rPr>
                <w:rFonts w:cs="Sylfaen"/>
                <w:b/>
                <w:color w:val="000000"/>
                <w:sz w:val="20"/>
                <w:szCs w:val="20"/>
                <w:lang w:val="hy-AM"/>
              </w:rPr>
            </w:pPr>
            <w:r w:rsidRPr="00BC61ED">
              <w:rPr>
                <w:b/>
                <w:sz w:val="20"/>
                <w:szCs w:val="20"/>
                <w:lang w:val="af-ZA"/>
              </w:rPr>
              <w:t xml:space="preserve">   </w:t>
            </w:r>
            <w:r w:rsidRPr="00BC61ED">
              <w:rPr>
                <w:b/>
                <w:sz w:val="20"/>
                <w:szCs w:val="20"/>
                <w:lang w:val="hy-AM"/>
              </w:rPr>
              <w:t>2. Միջոցառման իրականացումից ակնկալվող արդյունքը</w:t>
            </w:r>
          </w:p>
          <w:p w:rsidR="0068680D" w:rsidRPr="00BC61ED" w:rsidRDefault="0068680D" w:rsidP="00F47DC4">
            <w:pPr>
              <w:spacing w:line="276" w:lineRule="auto"/>
              <w:jc w:val="both"/>
              <w:rPr>
                <w:sz w:val="20"/>
                <w:szCs w:val="20"/>
                <w:lang w:val="hy-AM"/>
              </w:rPr>
            </w:pPr>
            <w:r w:rsidRPr="00BC61ED">
              <w:rPr>
                <w:sz w:val="20"/>
                <w:szCs w:val="20"/>
                <w:lang w:val="af-ZA"/>
              </w:rPr>
              <w:t xml:space="preserve">   </w:t>
            </w:r>
            <w:r w:rsidRPr="00BC61ED">
              <w:rPr>
                <w:sz w:val="20"/>
                <w:szCs w:val="20"/>
                <w:lang w:val="hy-AM"/>
              </w:rPr>
              <w:t xml:space="preserve">Միջոցառման իրականացման արդյունքում ՀՀ կառավարության որոշմամբ կսահմանվեն Հայաստանի Հանրապետության գյուղատնտեսական նշանակության հողատեսքերի կադաստրային գները, որոնց տվյալների հիման վրա կձևավորվեն Հայաստանի Հանրապետության ըստ համայնքների և բնակավայրերի գյուղատնտեսական նշանակության հողատեսքերի հարկման բազաները, </w:t>
            </w:r>
            <w:r w:rsidRPr="00BC61ED">
              <w:rPr>
                <w:sz w:val="20"/>
                <w:szCs w:val="20"/>
              </w:rPr>
              <w:t>ինչը</w:t>
            </w:r>
            <w:r w:rsidRPr="00BC61ED">
              <w:rPr>
                <w:sz w:val="20"/>
                <w:szCs w:val="20"/>
                <w:lang w:val="hy-AM"/>
              </w:rPr>
              <w:t xml:space="preserve"> հնարավորություն կընձեռի </w:t>
            </w:r>
            <w:r w:rsidRPr="00BC61ED">
              <w:rPr>
                <w:sz w:val="20"/>
                <w:szCs w:val="20"/>
              </w:rPr>
              <w:t>ներդնելու</w:t>
            </w:r>
            <w:r w:rsidRPr="00BC61ED">
              <w:rPr>
                <w:sz w:val="20"/>
                <w:szCs w:val="20"/>
                <w:lang w:val="af-ZA"/>
              </w:rPr>
              <w:t xml:space="preserve"> </w:t>
            </w:r>
            <w:r w:rsidRPr="00BC61ED">
              <w:rPr>
                <w:sz w:val="20"/>
                <w:szCs w:val="20"/>
                <w:lang w:val="hy-AM"/>
              </w:rPr>
              <w:t>Հայաստանի Հանրապետությունում անշարժ գույքի հարկով հարկման օբյեկտ համարվող գյուղատնտեսական նշանակության հողատեսքերի արդարացի հարկման մեխանիզմներ, կապահովի անշարժ գույքի շուկայի գնային իրավիճակի վերաբերյալ վերլուծական տեղեկատվությ</w:t>
            </w:r>
            <w:r w:rsidRPr="00BC61ED">
              <w:rPr>
                <w:sz w:val="20"/>
                <w:szCs w:val="20"/>
              </w:rPr>
              <w:t>ու</w:t>
            </w:r>
            <w:r w:rsidRPr="00BC61ED">
              <w:rPr>
                <w:sz w:val="20"/>
                <w:szCs w:val="20"/>
                <w:lang w:val="hy-AM"/>
              </w:rPr>
              <w:t>ն</w:t>
            </w:r>
            <w:r w:rsidRPr="00BC61ED">
              <w:rPr>
                <w:sz w:val="20"/>
                <w:szCs w:val="20"/>
              </w:rPr>
              <w:t>ը</w:t>
            </w:r>
            <w:r w:rsidRPr="00BC61ED">
              <w:rPr>
                <w:sz w:val="20"/>
                <w:szCs w:val="20"/>
                <w:lang w:val="hy-AM"/>
              </w:rPr>
              <w:t>, ինչպես նաև գյուղատնտեսական նշանակության հողատեսքերի նոր կադաստրային գները հիմք կհանդիսանան վաճառքի կամ մեկնարկային նվազագույն գների հաշվարկման համար</w:t>
            </w:r>
            <w:r w:rsidRPr="00BC61ED">
              <w:rPr>
                <w:sz w:val="20"/>
                <w:szCs w:val="20"/>
              </w:rPr>
              <w:t>՝</w:t>
            </w:r>
            <w:r w:rsidRPr="00BC61ED">
              <w:rPr>
                <w:sz w:val="20"/>
                <w:szCs w:val="20"/>
                <w:lang w:val="hy-AM"/>
              </w:rPr>
              <w:t xml:space="preserve"> պետության և համայնքային սեփականությունը հանդիսացող գյուղատնտեսական նշանակության հողատեսքեր</w:t>
            </w:r>
            <w:r w:rsidRPr="00BC61ED">
              <w:rPr>
                <w:sz w:val="20"/>
                <w:szCs w:val="20"/>
              </w:rPr>
              <w:t>ը</w:t>
            </w:r>
            <w:r w:rsidRPr="00BC61ED">
              <w:rPr>
                <w:sz w:val="20"/>
                <w:szCs w:val="20"/>
                <w:lang w:val="hy-AM"/>
              </w:rPr>
              <w:t xml:space="preserve"> օտարելու, ինչպես նաև վարձակալության իրավունքով տրամադրելու դեպքերում:</w:t>
            </w:r>
          </w:p>
          <w:p w:rsidR="0068680D" w:rsidRPr="00BC61ED" w:rsidRDefault="0068680D" w:rsidP="00F47DC4">
            <w:pPr>
              <w:spacing w:line="276" w:lineRule="auto"/>
              <w:ind w:right="-138"/>
              <w:jc w:val="center"/>
              <w:rPr>
                <w:sz w:val="20"/>
                <w:szCs w:val="20"/>
                <w:lang w:val="hy-AM"/>
              </w:rPr>
            </w:pPr>
          </w:p>
        </w:tc>
      </w:tr>
      <w:tr w:rsidR="0068680D" w:rsidRPr="00DE2EFA"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12.</w:t>
            </w:r>
          </w:p>
        </w:tc>
        <w:tc>
          <w:tcPr>
            <w:tcW w:w="10915" w:type="dxa"/>
          </w:tcPr>
          <w:p w:rsidR="0068680D" w:rsidRPr="00BC61ED" w:rsidRDefault="0068680D" w:rsidP="00F47DC4">
            <w:pPr>
              <w:spacing w:line="276" w:lineRule="auto"/>
              <w:ind w:right="-138"/>
              <w:jc w:val="center"/>
              <w:rPr>
                <w:b/>
                <w:sz w:val="20"/>
                <w:szCs w:val="20"/>
                <w:lang w:val="af-ZA"/>
              </w:rPr>
            </w:pPr>
            <w:r w:rsidRPr="00BC61ED">
              <w:rPr>
                <w:b/>
                <w:sz w:val="20"/>
                <w:szCs w:val="20"/>
                <w:lang w:val="hy-AM"/>
              </w:rPr>
              <w:t>Հայաստանի</w:t>
            </w:r>
            <w:r w:rsidRPr="00BC61ED">
              <w:rPr>
                <w:b/>
                <w:sz w:val="20"/>
                <w:szCs w:val="20"/>
                <w:lang w:val="af-ZA"/>
              </w:rPr>
              <w:t xml:space="preserve"> </w:t>
            </w:r>
            <w:r w:rsidRPr="00BC61ED">
              <w:rPr>
                <w:b/>
                <w:sz w:val="20"/>
                <w:szCs w:val="20"/>
                <w:lang w:val="hy-AM"/>
              </w:rPr>
              <w:t>Հանրապետության</w:t>
            </w:r>
            <w:r w:rsidRPr="00BC61ED">
              <w:rPr>
                <w:b/>
                <w:sz w:val="20"/>
                <w:szCs w:val="20"/>
                <w:lang w:val="af-ZA"/>
              </w:rPr>
              <w:t xml:space="preserve"> </w:t>
            </w:r>
            <w:r w:rsidRPr="00BC61ED">
              <w:rPr>
                <w:b/>
                <w:sz w:val="20"/>
                <w:szCs w:val="20"/>
                <w:lang w:val="hy-AM"/>
              </w:rPr>
              <w:t>համայնքների</w:t>
            </w:r>
            <w:r w:rsidRPr="00BC61ED">
              <w:rPr>
                <w:b/>
                <w:sz w:val="20"/>
                <w:szCs w:val="20"/>
                <w:lang w:val="af-ZA"/>
              </w:rPr>
              <w:t xml:space="preserve"> </w:t>
            </w:r>
            <w:r w:rsidRPr="00BC61ED">
              <w:rPr>
                <w:b/>
                <w:sz w:val="20"/>
                <w:szCs w:val="20"/>
                <w:lang w:val="hy-AM"/>
              </w:rPr>
              <w:t>գյուղատնտեսական</w:t>
            </w:r>
            <w:r w:rsidRPr="00BC61ED">
              <w:rPr>
                <w:b/>
                <w:sz w:val="20"/>
                <w:szCs w:val="20"/>
                <w:lang w:val="af-ZA"/>
              </w:rPr>
              <w:t xml:space="preserve"> </w:t>
            </w:r>
            <w:r w:rsidRPr="00BC61ED">
              <w:rPr>
                <w:b/>
                <w:sz w:val="20"/>
                <w:szCs w:val="20"/>
                <w:lang w:val="hy-AM"/>
              </w:rPr>
              <w:t>նշանակության</w:t>
            </w:r>
            <w:r w:rsidRPr="00BC61ED">
              <w:rPr>
                <w:b/>
                <w:sz w:val="20"/>
                <w:szCs w:val="20"/>
                <w:lang w:val="af-ZA"/>
              </w:rPr>
              <w:t xml:space="preserve"> </w:t>
            </w:r>
            <w:r w:rsidRPr="00BC61ED">
              <w:rPr>
                <w:b/>
                <w:sz w:val="20"/>
                <w:szCs w:val="20"/>
                <w:lang w:val="hy-AM"/>
              </w:rPr>
              <w:t>հողերի</w:t>
            </w:r>
            <w:r w:rsidRPr="00BC61ED">
              <w:rPr>
                <w:b/>
                <w:sz w:val="20"/>
                <w:szCs w:val="20"/>
                <w:lang w:val="af-ZA"/>
              </w:rPr>
              <w:t xml:space="preserve"> </w:t>
            </w:r>
            <w:r w:rsidRPr="00BC61ED">
              <w:rPr>
                <w:b/>
                <w:sz w:val="20"/>
                <w:szCs w:val="20"/>
                <w:lang w:val="hy-AM"/>
              </w:rPr>
              <w:t>գույքագրում</w:t>
            </w:r>
            <w:r w:rsidRPr="00BC61ED">
              <w:rPr>
                <w:b/>
                <w:sz w:val="20"/>
                <w:szCs w:val="20"/>
                <w:lang w:val="af-ZA"/>
              </w:rPr>
              <w:t xml:space="preserve"> </w:t>
            </w:r>
            <w:r w:rsidRPr="00BC61ED">
              <w:rPr>
                <w:b/>
                <w:sz w:val="20"/>
                <w:szCs w:val="20"/>
                <w:lang w:val="hy-AM"/>
              </w:rPr>
              <w:t>և</w:t>
            </w:r>
            <w:r w:rsidRPr="00BC61ED">
              <w:rPr>
                <w:b/>
                <w:sz w:val="20"/>
                <w:szCs w:val="20"/>
                <w:lang w:val="af-ZA"/>
              </w:rPr>
              <w:t xml:space="preserve"> </w:t>
            </w:r>
            <w:r w:rsidRPr="00BC61ED">
              <w:rPr>
                <w:b/>
                <w:sz w:val="20"/>
                <w:szCs w:val="20"/>
                <w:lang w:val="hy-AM"/>
              </w:rPr>
              <w:t>կադաստրային</w:t>
            </w:r>
            <w:r w:rsidRPr="00BC61ED">
              <w:rPr>
                <w:b/>
                <w:sz w:val="20"/>
                <w:szCs w:val="20"/>
                <w:lang w:val="af-ZA"/>
              </w:rPr>
              <w:t xml:space="preserve"> </w:t>
            </w:r>
            <w:r w:rsidRPr="00BC61ED">
              <w:rPr>
                <w:b/>
                <w:sz w:val="20"/>
                <w:szCs w:val="20"/>
                <w:lang w:val="hy-AM"/>
              </w:rPr>
              <w:t>քարտեզներում</w:t>
            </w:r>
            <w:r w:rsidRPr="00BC61ED">
              <w:rPr>
                <w:b/>
                <w:sz w:val="20"/>
                <w:szCs w:val="20"/>
                <w:lang w:val="af-ZA"/>
              </w:rPr>
              <w:t xml:space="preserve"> </w:t>
            </w:r>
            <w:r w:rsidRPr="00BC61ED">
              <w:rPr>
                <w:b/>
                <w:sz w:val="20"/>
                <w:szCs w:val="20"/>
                <w:lang w:val="hy-AM"/>
              </w:rPr>
              <w:t>առկա</w:t>
            </w:r>
            <w:r w:rsidRPr="00BC61ED">
              <w:rPr>
                <w:b/>
                <w:sz w:val="20"/>
                <w:szCs w:val="20"/>
                <w:lang w:val="af-ZA"/>
              </w:rPr>
              <w:t xml:space="preserve"> </w:t>
            </w:r>
            <w:r w:rsidRPr="00BC61ED">
              <w:rPr>
                <w:b/>
                <w:sz w:val="20"/>
                <w:szCs w:val="20"/>
                <w:lang w:val="hy-AM"/>
              </w:rPr>
              <w:t>անճշտությունների</w:t>
            </w:r>
            <w:r w:rsidRPr="00BC61ED">
              <w:rPr>
                <w:b/>
                <w:sz w:val="20"/>
                <w:szCs w:val="20"/>
                <w:lang w:val="af-ZA"/>
              </w:rPr>
              <w:t xml:space="preserve"> </w:t>
            </w:r>
            <w:r w:rsidRPr="00BC61ED">
              <w:rPr>
                <w:b/>
                <w:sz w:val="20"/>
                <w:szCs w:val="20"/>
                <w:lang w:val="hy-AM"/>
              </w:rPr>
              <w:t>ուղղում</w:t>
            </w:r>
          </w:p>
          <w:p w:rsidR="0068680D" w:rsidRPr="00BC61ED" w:rsidRDefault="0068680D" w:rsidP="00F47DC4">
            <w:pPr>
              <w:spacing w:line="276" w:lineRule="auto"/>
              <w:ind w:right="-138"/>
              <w:jc w:val="center"/>
              <w:rPr>
                <w:b/>
                <w:sz w:val="20"/>
                <w:szCs w:val="20"/>
                <w:lang w:val="af-ZA"/>
              </w:rPr>
            </w:pPr>
            <w:r w:rsidRPr="00BC61ED">
              <w:rPr>
                <w:b/>
                <w:sz w:val="20"/>
                <w:szCs w:val="20"/>
                <w:lang w:val="af-ZA"/>
              </w:rPr>
              <w:t xml:space="preserve"> </w:t>
            </w:r>
          </w:p>
          <w:p w:rsidR="0068680D" w:rsidRPr="00BC61ED" w:rsidRDefault="0068680D" w:rsidP="00F47DC4">
            <w:pPr>
              <w:spacing w:line="276" w:lineRule="auto"/>
              <w:rPr>
                <w:b/>
                <w:sz w:val="20"/>
                <w:szCs w:val="20"/>
                <w:lang w:val="af-ZA"/>
              </w:rPr>
            </w:pPr>
            <w:r w:rsidRPr="00BC61ED">
              <w:rPr>
                <w:rFonts w:cs="Arial"/>
                <w:b/>
                <w:sz w:val="20"/>
                <w:szCs w:val="20"/>
                <w:lang w:val="af-ZA"/>
              </w:rPr>
              <w:t xml:space="preserve">   1. </w:t>
            </w:r>
            <w:r w:rsidRPr="00BC61ED">
              <w:rPr>
                <w:rFonts w:cs="Arial"/>
                <w:b/>
                <w:sz w:val="20"/>
                <w:szCs w:val="20"/>
              </w:rPr>
              <w:t>Միջոցառումների</w:t>
            </w:r>
            <w:r w:rsidRPr="00BC61ED">
              <w:rPr>
                <w:b/>
                <w:sz w:val="20"/>
                <w:szCs w:val="20"/>
                <w:lang w:val="af-ZA"/>
              </w:rPr>
              <w:t xml:space="preserve"> </w:t>
            </w:r>
            <w:r w:rsidRPr="00BC61ED">
              <w:rPr>
                <w:b/>
                <w:sz w:val="20"/>
                <w:szCs w:val="20"/>
              </w:rPr>
              <w:t>իրականացման</w:t>
            </w:r>
            <w:r w:rsidRPr="00BC61ED">
              <w:rPr>
                <w:b/>
                <w:sz w:val="20"/>
                <w:szCs w:val="20"/>
                <w:lang w:val="af-ZA"/>
              </w:rPr>
              <w:t xml:space="preserve"> </w:t>
            </w:r>
            <w:r w:rsidRPr="00BC61ED">
              <w:rPr>
                <w:b/>
                <w:sz w:val="20"/>
                <w:szCs w:val="20"/>
              </w:rPr>
              <w:t>անհրաժեշտությունը</w:t>
            </w:r>
            <w:r w:rsidRPr="00BC61ED">
              <w:rPr>
                <w:b/>
                <w:sz w:val="20"/>
                <w:szCs w:val="20"/>
                <w:lang w:val="af-ZA"/>
              </w:rPr>
              <w:t xml:space="preserve"> </w:t>
            </w:r>
            <w:r w:rsidRPr="00BC61ED">
              <w:rPr>
                <w:b/>
                <w:sz w:val="20"/>
                <w:szCs w:val="20"/>
              </w:rPr>
              <w:t>և</w:t>
            </w:r>
            <w:r w:rsidRPr="00BC61ED">
              <w:rPr>
                <w:b/>
                <w:sz w:val="20"/>
                <w:szCs w:val="20"/>
                <w:lang w:val="af-ZA"/>
              </w:rPr>
              <w:t xml:space="preserve"> </w:t>
            </w:r>
            <w:r w:rsidRPr="00BC61ED">
              <w:rPr>
                <w:b/>
                <w:sz w:val="20"/>
                <w:szCs w:val="20"/>
              </w:rPr>
              <w:t>նպատակը</w:t>
            </w:r>
          </w:p>
          <w:p w:rsidR="0068680D" w:rsidRPr="00BC61ED" w:rsidRDefault="0068680D" w:rsidP="00F47DC4">
            <w:pPr>
              <w:spacing w:line="276" w:lineRule="auto"/>
              <w:ind w:right="-138"/>
              <w:jc w:val="both"/>
              <w:rPr>
                <w:sz w:val="20"/>
                <w:szCs w:val="20"/>
                <w:lang w:val="af-ZA"/>
              </w:rPr>
            </w:pPr>
            <w:r w:rsidRPr="00BC61ED">
              <w:rPr>
                <w:sz w:val="20"/>
                <w:szCs w:val="20"/>
                <w:lang w:val="af-ZA"/>
              </w:rPr>
              <w:t xml:space="preserve">   </w:t>
            </w:r>
            <w:r w:rsidRPr="00BC61ED">
              <w:rPr>
                <w:sz w:val="20"/>
                <w:szCs w:val="20"/>
              </w:rPr>
              <w:t>Կադաստրային</w:t>
            </w:r>
            <w:r w:rsidRPr="00BC61ED">
              <w:rPr>
                <w:sz w:val="20"/>
                <w:szCs w:val="20"/>
                <w:lang w:val="af-ZA"/>
              </w:rPr>
              <w:t xml:space="preserve"> </w:t>
            </w:r>
            <w:r w:rsidRPr="00BC61ED">
              <w:rPr>
                <w:sz w:val="20"/>
                <w:szCs w:val="20"/>
              </w:rPr>
              <w:t>քարտեզագրման</w:t>
            </w:r>
            <w:r w:rsidRPr="00BC61ED">
              <w:rPr>
                <w:sz w:val="20"/>
                <w:szCs w:val="20"/>
                <w:lang w:val="af-ZA"/>
              </w:rPr>
              <w:t xml:space="preserve"> </w:t>
            </w:r>
            <w:r w:rsidRPr="00BC61ED">
              <w:rPr>
                <w:sz w:val="20"/>
                <w:szCs w:val="20"/>
              </w:rPr>
              <w:t>աշխատանքների</w:t>
            </w:r>
            <w:r w:rsidRPr="00BC61ED">
              <w:rPr>
                <w:sz w:val="20"/>
                <w:szCs w:val="20"/>
                <w:lang w:val="af-ZA"/>
              </w:rPr>
              <w:t xml:space="preserve"> </w:t>
            </w:r>
            <w:r w:rsidRPr="00BC61ED">
              <w:rPr>
                <w:sz w:val="20"/>
                <w:szCs w:val="20"/>
              </w:rPr>
              <w:t>իրականացման</w:t>
            </w:r>
            <w:r w:rsidRPr="00BC61ED">
              <w:rPr>
                <w:sz w:val="20"/>
                <w:szCs w:val="20"/>
                <w:lang w:val="af-ZA"/>
              </w:rPr>
              <w:t xml:space="preserve"> </w:t>
            </w:r>
            <w:r w:rsidRPr="00BC61ED">
              <w:rPr>
                <w:sz w:val="20"/>
                <w:szCs w:val="20"/>
              </w:rPr>
              <w:t>ընթացքում</w:t>
            </w:r>
            <w:r w:rsidRPr="00BC61ED">
              <w:rPr>
                <w:sz w:val="20"/>
                <w:szCs w:val="20"/>
                <w:lang w:val="af-ZA"/>
              </w:rPr>
              <w:t xml:space="preserve"> </w:t>
            </w:r>
            <w:r w:rsidRPr="00BC61ED">
              <w:rPr>
                <w:sz w:val="20"/>
                <w:szCs w:val="20"/>
              </w:rPr>
              <w:t>որոշ</w:t>
            </w:r>
            <w:r w:rsidRPr="00BC61ED">
              <w:rPr>
                <w:sz w:val="20"/>
                <w:szCs w:val="20"/>
                <w:lang w:val="af-ZA"/>
              </w:rPr>
              <w:t xml:space="preserve"> </w:t>
            </w:r>
            <w:r w:rsidRPr="00BC61ED">
              <w:rPr>
                <w:sz w:val="20"/>
                <w:szCs w:val="20"/>
              </w:rPr>
              <w:t>օբյեկտիվ</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սուբյեկտիվ</w:t>
            </w:r>
            <w:r w:rsidRPr="00BC61ED">
              <w:rPr>
                <w:sz w:val="20"/>
                <w:szCs w:val="20"/>
                <w:lang w:val="af-ZA"/>
              </w:rPr>
              <w:t xml:space="preserve"> </w:t>
            </w:r>
            <w:r w:rsidRPr="00BC61ED">
              <w:rPr>
                <w:sz w:val="20"/>
                <w:szCs w:val="20"/>
              </w:rPr>
              <w:t>պատճառներով</w:t>
            </w:r>
            <w:r w:rsidRPr="00BC61ED">
              <w:rPr>
                <w:sz w:val="20"/>
                <w:szCs w:val="20"/>
                <w:lang w:val="af-ZA"/>
              </w:rPr>
              <w:t xml:space="preserve"> (</w:t>
            </w:r>
            <w:r w:rsidRPr="00BC61ED">
              <w:rPr>
                <w:sz w:val="20"/>
                <w:szCs w:val="20"/>
              </w:rPr>
              <w:t>ցածր</w:t>
            </w:r>
            <w:r w:rsidRPr="00BC61ED">
              <w:rPr>
                <w:sz w:val="20"/>
                <w:szCs w:val="20"/>
                <w:lang w:val="af-ZA"/>
              </w:rPr>
              <w:t xml:space="preserve"> </w:t>
            </w:r>
            <w:r w:rsidRPr="00BC61ED">
              <w:rPr>
                <w:sz w:val="20"/>
                <w:szCs w:val="20"/>
              </w:rPr>
              <w:t>ճշտությամբ</w:t>
            </w:r>
            <w:r w:rsidRPr="00BC61ED">
              <w:rPr>
                <w:sz w:val="20"/>
                <w:szCs w:val="20"/>
                <w:lang w:val="af-ZA"/>
              </w:rPr>
              <w:t xml:space="preserve"> </w:t>
            </w:r>
            <w:r w:rsidRPr="00BC61ED">
              <w:rPr>
                <w:sz w:val="20"/>
                <w:szCs w:val="20"/>
              </w:rPr>
              <w:t>գործիքներ</w:t>
            </w:r>
            <w:r w:rsidRPr="00BC61ED">
              <w:rPr>
                <w:sz w:val="20"/>
                <w:szCs w:val="20"/>
                <w:lang w:val="af-ZA"/>
              </w:rPr>
              <w:t xml:space="preserve">, </w:t>
            </w:r>
            <w:r w:rsidRPr="00BC61ED">
              <w:rPr>
                <w:sz w:val="20"/>
                <w:szCs w:val="20"/>
              </w:rPr>
              <w:t>թեքությունների</w:t>
            </w:r>
            <w:r w:rsidRPr="00BC61ED">
              <w:rPr>
                <w:sz w:val="20"/>
                <w:szCs w:val="20"/>
                <w:lang w:val="af-ZA"/>
              </w:rPr>
              <w:t xml:space="preserve"> </w:t>
            </w:r>
            <w:r w:rsidRPr="00BC61ED">
              <w:rPr>
                <w:sz w:val="20"/>
                <w:szCs w:val="20"/>
              </w:rPr>
              <w:t>անտեսում</w:t>
            </w:r>
            <w:r w:rsidRPr="00BC61ED">
              <w:rPr>
                <w:sz w:val="20"/>
                <w:szCs w:val="20"/>
                <w:lang w:val="af-ZA"/>
              </w:rPr>
              <w:t xml:space="preserve">, </w:t>
            </w:r>
            <w:r w:rsidRPr="00BC61ED">
              <w:rPr>
                <w:sz w:val="20"/>
                <w:szCs w:val="20"/>
              </w:rPr>
              <w:t>քարտեզագրումից</w:t>
            </w:r>
            <w:r w:rsidRPr="00BC61ED">
              <w:rPr>
                <w:sz w:val="20"/>
                <w:szCs w:val="20"/>
                <w:lang w:val="af-ZA"/>
              </w:rPr>
              <w:t xml:space="preserve"> </w:t>
            </w:r>
            <w:r w:rsidRPr="00BC61ED">
              <w:rPr>
                <w:sz w:val="20"/>
                <w:szCs w:val="20"/>
              </w:rPr>
              <w:t>հետո</w:t>
            </w:r>
            <w:r w:rsidRPr="00BC61ED">
              <w:rPr>
                <w:sz w:val="20"/>
                <w:szCs w:val="20"/>
                <w:lang w:val="af-ZA"/>
              </w:rPr>
              <w:t xml:space="preserve"> </w:t>
            </w:r>
            <w:r w:rsidRPr="00BC61ED">
              <w:rPr>
                <w:sz w:val="20"/>
                <w:szCs w:val="20"/>
              </w:rPr>
              <w:t>հողերի</w:t>
            </w:r>
            <w:r w:rsidRPr="00BC61ED">
              <w:rPr>
                <w:sz w:val="20"/>
                <w:szCs w:val="20"/>
                <w:lang w:val="af-ZA"/>
              </w:rPr>
              <w:t xml:space="preserve"> </w:t>
            </w:r>
            <w:r w:rsidRPr="00BC61ED">
              <w:rPr>
                <w:sz w:val="20"/>
                <w:szCs w:val="20"/>
              </w:rPr>
              <w:t>վերաբաշխում</w:t>
            </w:r>
            <w:r w:rsidRPr="00BC61ED">
              <w:rPr>
                <w:sz w:val="20"/>
                <w:szCs w:val="20"/>
                <w:lang w:val="af-ZA"/>
              </w:rPr>
              <w:t xml:space="preserve">, </w:t>
            </w:r>
            <w:r w:rsidRPr="00BC61ED">
              <w:rPr>
                <w:sz w:val="20"/>
                <w:szCs w:val="20"/>
              </w:rPr>
              <w:t>կոորդինատների</w:t>
            </w:r>
            <w:r w:rsidRPr="00BC61ED">
              <w:rPr>
                <w:sz w:val="20"/>
                <w:szCs w:val="20"/>
                <w:lang w:val="af-ZA"/>
              </w:rPr>
              <w:t xml:space="preserve"> </w:t>
            </w:r>
            <w:r w:rsidRPr="00BC61ED">
              <w:rPr>
                <w:sz w:val="20"/>
                <w:szCs w:val="20"/>
              </w:rPr>
              <w:t>բացակայություն</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այլն</w:t>
            </w:r>
            <w:r w:rsidRPr="00BC61ED">
              <w:rPr>
                <w:sz w:val="20"/>
                <w:szCs w:val="20"/>
                <w:lang w:val="af-ZA"/>
              </w:rPr>
              <w:t xml:space="preserve">) </w:t>
            </w:r>
            <w:r w:rsidRPr="00BC61ED">
              <w:rPr>
                <w:sz w:val="20"/>
                <w:szCs w:val="20"/>
              </w:rPr>
              <w:t>անշարժ</w:t>
            </w:r>
            <w:r w:rsidRPr="00BC61ED">
              <w:rPr>
                <w:sz w:val="20"/>
                <w:szCs w:val="20"/>
                <w:lang w:val="af-ZA"/>
              </w:rPr>
              <w:t xml:space="preserve"> </w:t>
            </w:r>
            <w:r w:rsidRPr="00BC61ED">
              <w:rPr>
                <w:sz w:val="20"/>
                <w:szCs w:val="20"/>
              </w:rPr>
              <w:t>գույքը</w:t>
            </w:r>
            <w:r w:rsidRPr="00BC61ED">
              <w:rPr>
                <w:sz w:val="20"/>
                <w:szCs w:val="20"/>
                <w:lang w:val="af-ZA"/>
              </w:rPr>
              <w:t xml:space="preserve"> </w:t>
            </w:r>
            <w:r w:rsidRPr="00BC61ED">
              <w:rPr>
                <w:sz w:val="20"/>
                <w:szCs w:val="20"/>
              </w:rPr>
              <w:t>քարտեզներում</w:t>
            </w:r>
            <w:r w:rsidRPr="00BC61ED">
              <w:rPr>
                <w:sz w:val="20"/>
                <w:szCs w:val="20"/>
                <w:lang w:val="af-ZA"/>
              </w:rPr>
              <w:t xml:space="preserve"> </w:t>
            </w:r>
            <w:r w:rsidRPr="00BC61ED">
              <w:rPr>
                <w:sz w:val="20"/>
                <w:szCs w:val="20"/>
              </w:rPr>
              <w:t>արտահայտվել</w:t>
            </w:r>
            <w:r w:rsidRPr="00BC61ED">
              <w:rPr>
                <w:sz w:val="20"/>
                <w:szCs w:val="20"/>
                <w:lang w:val="af-ZA"/>
              </w:rPr>
              <w:t xml:space="preserve"> </w:t>
            </w:r>
            <w:r w:rsidRPr="00BC61ED">
              <w:rPr>
                <w:sz w:val="20"/>
                <w:szCs w:val="20"/>
              </w:rPr>
              <w:t>է</w:t>
            </w:r>
            <w:r w:rsidRPr="00BC61ED">
              <w:rPr>
                <w:sz w:val="20"/>
                <w:szCs w:val="20"/>
                <w:lang w:val="af-ZA"/>
              </w:rPr>
              <w:t xml:space="preserve"> </w:t>
            </w:r>
            <w:r w:rsidRPr="00BC61ED">
              <w:rPr>
                <w:sz w:val="20"/>
                <w:szCs w:val="20"/>
              </w:rPr>
              <w:t>որոշակի</w:t>
            </w:r>
            <w:r w:rsidRPr="00BC61ED">
              <w:rPr>
                <w:sz w:val="20"/>
                <w:szCs w:val="20"/>
                <w:lang w:val="af-ZA"/>
              </w:rPr>
              <w:t xml:space="preserve"> </w:t>
            </w:r>
            <w:r w:rsidRPr="00BC61ED">
              <w:rPr>
                <w:sz w:val="20"/>
                <w:szCs w:val="20"/>
              </w:rPr>
              <w:t>սխալներով</w:t>
            </w:r>
            <w:r w:rsidRPr="00BC61ED">
              <w:rPr>
                <w:sz w:val="20"/>
                <w:szCs w:val="20"/>
                <w:lang w:val="af-ZA"/>
              </w:rPr>
              <w:t xml:space="preserve">: </w:t>
            </w:r>
            <w:r w:rsidRPr="00BC61ED">
              <w:rPr>
                <w:sz w:val="20"/>
                <w:szCs w:val="20"/>
              </w:rPr>
              <w:t>Հողերի</w:t>
            </w:r>
            <w:r w:rsidRPr="00BC61ED">
              <w:rPr>
                <w:sz w:val="20"/>
                <w:szCs w:val="20"/>
                <w:lang w:val="af-ZA"/>
              </w:rPr>
              <w:t xml:space="preserve"> </w:t>
            </w:r>
            <w:r w:rsidRPr="00BC61ED">
              <w:rPr>
                <w:sz w:val="20"/>
                <w:szCs w:val="20"/>
              </w:rPr>
              <w:t>սեփականաշնորհումից</w:t>
            </w:r>
            <w:r w:rsidRPr="00BC61ED">
              <w:rPr>
                <w:sz w:val="20"/>
                <w:szCs w:val="20"/>
                <w:lang w:val="af-ZA"/>
              </w:rPr>
              <w:t xml:space="preserve"> </w:t>
            </w:r>
            <w:r w:rsidRPr="00BC61ED">
              <w:rPr>
                <w:sz w:val="20"/>
                <w:szCs w:val="20"/>
              </w:rPr>
              <w:t>հետո</w:t>
            </w:r>
            <w:r w:rsidRPr="00BC61ED">
              <w:rPr>
                <w:sz w:val="20"/>
                <w:szCs w:val="20"/>
                <w:lang w:val="af-ZA"/>
              </w:rPr>
              <w:t xml:space="preserve"> </w:t>
            </w:r>
            <w:r w:rsidRPr="00BC61ED">
              <w:rPr>
                <w:sz w:val="20"/>
                <w:szCs w:val="20"/>
              </w:rPr>
              <w:t>տարիների</w:t>
            </w:r>
            <w:r w:rsidRPr="00BC61ED">
              <w:rPr>
                <w:sz w:val="20"/>
                <w:szCs w:val="20"/>
                <w:lang w:val="af-ZA"/>
              </w:rPr>
              <w:t xml:space="preserve"> </w:t>
            </w:r>
            <w:r w:rsidRPr="00BC61ED">
              <w:rPr>
                <w:sz w:val="20"/>
                <w:szCs w:val="20"/>
              </w:rPr>
              <w:t>ընթացքում</w:t>
            </w:r>
            <w:r w:rsidRPr="00BC61ED">
              <w:rPr>
                <w:sz w:val="20"/>
                <w:szCs w:val="20"/>
                <w:lang w:val="af-ZA"/>
              </w:rPr>
              <w:t xml:space="preserve">, </w:t>
            </w:r>
            <w:r w:rsidRPr="00BC61ED">
              <w:rPr>
                <w:sz w:val="20"/>
                <w:szCs w:val="20"/>
              </w:rPr>
              <w:t>տեղի</w:t>
            </w:r>
            <w:r w:rsidRPr="00BC61ED">
              <w:rPr>
                <w:sz w:val="20"/>
                <w:szCs w:val="20"/>
                <w:lang w:val="af-ZA"/>
              </w:rPr>
              <w:t xml:space="preserve"> </w:t>
            </w:r>
            <w:r w:rsidRPr="00BC61ED">
              <w:rPr>
                <w:sz w:val="20"/>
                <w:szCs w:val="20"/>
              </w:rPr>
              <w:t>են</w:t>
            </w:r>
            <w:r w:rsidRPr="00BC61ED">
              <w:rPr>
                <w:sz w:val="20"/>
                <w:szCs w:val="20"/>
                <w:lang w:val="af-ZA"/>
              </w:rPr>
              <w:t xml:space="preserve"> </w:t>
            </w:r>
            <w:r w:rsidRPr="00BC61ED">
              <w:rPr>
                <w:sz w:val="20"/>
                <w:szCs w:val="20"/>
              </w:rPr>
              <w:t>ունեցել</w:t>
            </w:r>
            <w:r w:rsidRPr="00BC61ED">
              <w:rPr>
                <w:sz w:val="20"/>
                <w:szCs w:val="20"/>
                <w:lang w:val="af-ZA"/>
              </w:rPr>
              <w:t xml:space="preserve"> </w:t>
            </w:r>
            <w:r w:rsidRPr="00BC61ED">
              <w:rPr>
                <w:sz w:val="20"/>
                <w:szCs w:val="20"/>
              </w:rPr>
              <w:t>հողատեսքերի</w:t>
            </w:r>
            <w:r w:rsidRPr="00BC61ED">
              <w:rPr>
                <w:sz w:val="20"/>
                <w:szCs w:val="20"/>
                <w:lang w:val="af-ZA"/>
              </w:rPr>
              <w:t xml:space="preserve"> </w:t>
            </w:r>
            <w:r w:rsidRPr="00BC61ED">
              <w:rPr>
                <w:sz w:val="20"/>
                <w:szCs w:val="20"/>
              </w:rPr>
              <w:t>փոփոխություններ</w:t>
            </w:r>
            <w:r w:rsidRPr="00BC61ED">
              <w:rPr>
                <w:sz w:val="20"/>
                <w:szCs w:val="20"/>
                <w:lang w:val="af-ZA"/>
              </w:rPr>
              <w:t xml:space="preserve">, </w:t>
            </w:r>
            <w:r w:rsidRPr="00BC61ED">
              <w:rPr>
                <w:sz w:val="20"/>
                <w:szCs w:val="20"/>
              </w:rPr>
              <w:t>որոնց</w:t>
            </w:r>
            <w:r w:rsidRPr="00BC61ED">
              <w:rPr>
                <w:sz w:val="20"/>
                <w:szCs w:val="20"/>
                <w:lang w:val="af-ZA"/>
              </w:rPr>
              <w:t xml:space="preserve"> </w:t>
            </w:r>
            <w:r w:rsidRPr="00BC61ED">
              <w:rPr>
                <w:sz w:val="20"/>
                <w:szCs w:val="20"/>
              </w:rPr>
              <w:t>մասին</w:t>
            </w:r>
            <w:r w:rsidRPr="00BC61ED">
              <w:rPr>
                <w:sz w:val="20"/>
                <w:szCs w:val="20"/>
                <w:lang w:val="af-ZA"/>
              </w:rPr>
              <w:t xml:space="preserve"> </w:t>
            </w:r>
            <w:r w:rsidRPr="00BC61ED">
              <w:rPr>
                <w:sz w:val="20"/>
                <w:szCs w:val="20"/>
              </w:rPr>
              <w:t>ՀՀ</w:t>
            </w:r>
            <w:r w:rsidRPr="00BC61ED">
              <w:rPr>
                <w:sz w:val="20"/>
                <w:szCs w:val="20"/>
                <w:lang w:val="af-ZA"/>
              </w:rPr>
              <w:t xml:space="preserve"> </w:t>
            </w:r>
            <w:r w:rsidRPr="00BC61ED">
              <w:rPr>
                <w:sz w:val="20"/>
                <w:szCs w:val="20"/>
              </w:rPr>
              <w:t>անշարժ</w:t>
            </w:r>
            <w:r w:rsidRPr="00BC61ED">
              <w:rPr>
                <w:sz w:val="20"/>
                <w:szCs w:val="20"/>
                <w:lang w:val="af-ZA"/>
              </w:rPr>
              <w:t xml:space="preserve"> </w:t>
            </w:r>
            <w:r w:rsidRPr="00BC61ED">
              <w:rPr>
                <w:sz w:val="20"/>
                <w:szCs w:val="20"/>
              </w:rPr>
              <w:t>գույքի</w:t>
            </w:r>
            <w:r w:rsidRPr="00BC61ED">
              <w:rPr>
                <w:sz w:val="20"/>
                <w:szCs w:val="20"/>
                <w:lang w:val="af-ZA"/>
              </w:rPr>
              <w:t xml:space="preserve"> </w:t>
            </w:r>
            <w:r w:rsidRPr="00BC61ED">
              <w:rPr>
                <w:sz w:val="20"/>
                <w:szCs w:val="20"/>
              </w:rPr>
              <w:t>կադաստրի</w:t>
            </w:r>
            <w:r w:rsidRPr="00BC61ED">
              <w:rPr>
                <w:sz w:val="20"/>
                <w:szCs w:val="20"/>
                <w:lang w:val="af-ZA"/>
              </w:rPr>
              <w:t xml:space="preserve"> </w:t>
            </w:r>
            <w:r w:rsidRPr="00BC61ED">
              <w:rPr>
                <w:sz w:val="20"/>
                <w:szCs w:val="20"/>
              </w:rPr>
              <w:t>կոմիտեին</w:t>
            </w:r>
            <w:r w:rsidRPr="00BC61ED">
              <w:rPr>
                <w:sz w:val="20"/>
                <w:szCs w:val="20"/>
                <w:lang w:val="af-ZA"/>
              </w:rPr>
              <w:t xml:space="preserve"> </w:t>
            </w:r>
            <w:r w:rsidRPr="00BC61ED">
              <w:rPr>
                <w:sz w:val="20"/>
                <w:szCs w:val="20"/>
              </w:rPr>
              <w:t>պատշաճ</w:t>
            </w:r>
            <w:r w:rsidRPr="00BC61ED">
              <w:rPr>
                <w:sz w:val="20"/>
                <w:szCs w:val="20"/>
                <w:lang w:val="af-ZA"/>
              </w:rPr>
              <w:t xml:space="preserve"> </w:t>
            </w:r>
            <w:r w:rsidRPr="00BC61ED">
              <w:rPr>
                <w:sz w:val="20"/>
                <w:szCs w:val="20"/>
              </w:rPr>
              <w:t>չտեղեկացնելու</w:t>
            </w:r>
            <w:r w:rsidRPr="00BC61ED">
              <w:rPr>
                <w:sz w:val="20"/>
                <w:szCs w:val="20"/>
                <w:lang w:val="af-ZA"/>
              </w:rPr>
              <w:t xml:space="preserve"> </w:t>
            </w:r>
            <w:r w:rsidRPr="00BC61ED">
              <w:rPr>
                <w:sz w:val="20"/>
                <w:szCs w:val="20"/>
              </w:rPr>
              <w:t>պատճառով</w:t>
            </w:r>
            <w:r w:rsidRPr="00BC61ED">
              <w:rPr>
                <w:sz w:val="20"/>
                <w:szCs w:val="20"/>
                <w:lang w:val="af-ZA"/>
              </w:rPr>
              <w:t xml:space="preserve"> </w:t>
            </w:r>
            <w:r w:rsidRPr="00BC61ED">
              <w:rPr>
                <w:sz w:val="20"/>
                <w:szCs w:val="20"/>
              </w:rPr>
              <w:t>դրանք</w:t>
            </w:r>
            <w:r w:rsidRPr="00BC61ED">
              <w:rPr>
                <w:sz w:val="20"/>
                <w:szCs w:val="20"/>
                <w:lang w:val="af-ZA"/>
              </w:rPr>
              <w:t xml:space="preserve"> </w:t>
            </w:r>
            <w:r w:rsidRPr="00BC61ED">
              <w:rPr>
                <w:sz w:val="20"/>
                <w:szCs w:val="20"/>
              </w:rPr>
              <w:t>կադաստրային</w:t>
            </w:r>
            <w:r w:rsidRPr="00BC61ED">
              <w:rPr>
                <w:sz w:val="20"/>
                <w:szCs w:val="20"/>
                <w:lang w:val="af-ZA"/>
              </w:rPr>
              <w:t xml:space="preserve"> </w:t>
            </w:r>
            <w:r w:rsidRPr="00BC61ED">
              <w:rPr>
                <w:sz w:val="20"/>
                <w:szCs w:val="20"/>
              </w:rPr>
              <w:t>քարտեզներում</w:t>
            </w:r>
            <w:r w:rsidRPr="00BC61ED">
              <w:rPr>
                <w:sz w:val="20"/>
                <w:szCs w:val="20"/>
                <w:lang w:val="af-ZA"/>
              </w:rPr>
              <w:t xml:space="preserve"> </w:t>
            </w:r>
            <w:r w:rsidRPr="00BC61ED">
              <w:rPr>
                <w:sz w:val="20"/>
                <w:szCs w:val="20"/>
              </w:rPr>
              <w:t>չեն</w:t>
            </w:r>
            <w:r w:rsidRPr="00BC61ED">
              <w:rPr>
                <w:sz w:val="20"/>
                <w:szCs w:val="20"/>
                <w:lang w:val="af-ZA"/>
              </w:rPr>
              <w:t xml:space="preserve"> </w:t>
            </w:r>
            <w:r w:rsidRPr="00BC61ED">
              <w:rPr>
                <w:sz w:val="20"/>
                <w:szCs w:val="20"/>
              </w:rPr>
              <w:t>արտահայտվել</w:t>
            </w:r>
            <w:r w:rsidRPr="00BC61ED">
              <w:rPr>
                <w:sz w:val="20"/>
                <w:szCs w:val="20"/>
                <w:lang w:val="af-ZA"/>
              </w:rPr>
              <w:t>:</w:t>
            </w:r>
          </w:p>
          <w:p w:rsidR="0068680D" w:rsidRPr="00BC61ED" w:rsidRDefault="0068680D" w:rsidP="00F47DC4">
            <w:pPr>
              <w:spacing w:line="276" w:lineRule="auto"/>
              <w:ind w:right="-138"/>
              <w:jc w:val="both"/>
              <w:rPr>
                <w:sz w:val="20"/>
                <w:szCs w:val="20"/>
                <w:lang w:val="af-ZA"/>
              </w:rPr>
            </w:pPr>
            <w:r w:rsidRPr="00BC61ED">
              <w:rPr>
                <w:rFonts w:cs="Arial"/>
                <w:sz w:val="20"/>
                <w:szCs w:val="20"/>
                <w:lang w:val="af-ZA"/>
              </w:rPr>
              <w:t xml:space="preserve">   </w:t>
            </w:r>
            <w:r w:rsidRPr="00BC61ED">
              <w:rPr>
                <w:rFonts w:cs="Arial"/>
                <w:sz w:val="20"/>
                <w:szCs w:val="20"/>
              </w:rPr>
              <w:t>Գույքագրման</w:t>
            </w:r>
            <w:r w:rsidRPr="00BC61ED">
              <w:rPr>
                <w:sz w:val="20"/>
                <w:szCs w:val="20"/>
                <w:lang w:val="af-ZA"/>
              </w:rPr>
              <w:t xml:space="preserve"> </w:t>
            </w:r>
            <w:r w:rsidRPr="00BC61ED">
              <w:rPr>
                <w:sz w:val="20"/>
                <w:szCs w:val="20"/>
              </w:rPr>
              <w:t>աշխատանքների</w:t>
            </w:r>
            <w:r w:rsidRPr="00BC61ED">
              <w:rPr>
                <w:sz w:val="20"/>
                <w:szCs w:val="20"/>
                <w:lang w:val="af-ZA"/>
              </w:rPr>
              <w:t xml:space="preserve"> </w:t>
            </w:r>
            <w:r w:rsidRPr="00BC61ED">
              <w:rPr>
                <w:sz w:val="20"/>
                <w:szCs w:val="20"/>
              </w:rPr>
              <w:t>նպատակն</w:t>
            </w:r>
            <w:r w:rsidRPr="00BC61ED">
              <w:rPr>
                <w:sz w:val="20"/>
                <w:szCs w:val="20"/>
                <w:lang w:val="af-ZA"/>
              </w:rPr>
              <w:t xml:space="preserve"> </w:t>
            </w:r>
            <w:r w:rsidRPr="00BC61ED">
              <w:rPr>
                <w:sz w:val="20"/>
                <w:szCs w:val="20"/>
              </w:rPr>
              <w:t>է</w:t>
            </w:r>
            <w:r w:rsidRPr="00BC61ED">
              <w:rPr>
                <w:sz w:val="20"/>
                <w:szCs w:val="20"/>
                <w:lang w:val="af-ZA"/>
              </w:rPr>
              <w:t xml:space="preserve"> </w:t>
            </w:r>
            <w:r w:rsidRPr="00BC61ED">
              <w:rPr>
                <w:sz w:val="20"/>
                <w:szCs w:val="20"/>
              </w:rPr>
              <w:t>ստանալ</w:t>
            </w:r>
            <w:r w:rsidRPr="00BC61ED">
              <w:rPr>
                <w:sz w:val="20"/>
                <w:szCs w:val="20"/>
                <w:lang w:val="af-ZA"/>
              </w:rPr>
              <w:t xml:space="preserve"> </w:t>
            </w:r>
            <w:r w:rsidRPr="00BC61ED">
              <w:rPr>
                <w:sz w:val="20"/>
                <w:szCs w:val="20"/>
              </w:rPr>
              <w:t>ճշտված</w:t>
            </w:r>
            <w:r w:rsidRPr="00BC61ED">
              <w:rPr>
                <w:sz w:val="20"/>
                <w:szCs w:val="20"/>
                <w:lang w:val="af-ZA"/>
              </w:rPr>
              <w:t xml:space="preserve"> </w:t>
            </w:r>
            <w:r w:rsidRPr="00BC61ED">
              <w:rPr>
                <w:sz w:val="20"/>
                <w:szCs w:val="20"/>
              </w:rPr>
              <w:t>տվյալներ</w:t>
            </w:r>
            <w:r w:rsidRPr="00BC61ED">
              <w:rPr>
                <w:sz w:val="20"/>
                <w:szCs w:val="20"/>
                <w:lang w:val="af-ZA"/>
              </w:rPr>
              <w:t xml:space="preserve"> </w:t>
            </w:r>
            <w:r w:rsidRPr="00BC61ED">
              <w:rPr>
                <w:sz w:val="20"/>
                <w:szCs w:val="20"/>
              </w:rPr>
              <w:t>գյուղատնտեսական</w:t>
            </w:r>
            <w:r w:rsidRPr="00BC61ED">
              <w:rPr>
                <w:sz w:val="20"/>
                <w:szCs w:val="20"/>
                <w:lang w:val="af-ZA"/>
              </w:rPr>
              <w:t xml:space="preserve"> </w:t>
            </w:r>
            <w:r w:rsidRPr="00BC61ED">
              <w:rPr>
                <w:sz w:val="20"/>
                <w:szCs w:val="20"/>
              </w:rPr>
              <w:t>նշանակության</w:t>
            </w:r>
            <w:r w:rsidRPr="00BC61ED">
              <w:rPr>
                <w:sz w:val="20"/>
                <w:szCs w:val="20"/>
                <w:lang w:val="af-ZA"/>
              </w:rPr>
              <w:t xml:space="preserve"> </w:t>
            </w:r>
            <w:r w:rsidRPr="00BC61ED">
              <w:rPr>
                <w:sz w:val="20"/>
                <w:szCs w:val="20"/>
              </w:rPr>
              <w:t>հողերի</w:t>
            </w:r>
            <w:r w:rsidRPr="00BC61ED">
              <w:rPr>
                <w:sz w:val="20"/>
                <w:szCs w:val="20"/>
                <w:lang w:val="af-ZA"/>
              </w:rPr>
              <w:t xml:space="preserve"> </w:t>
            </w:r>
            <w:r w:rsidRPr="00BC61ED">
              <w:rPr>
                <w:sz w:val="20"/>
                <w:szCs w:val="20"/>
              </w:rPr>
              <w:t>օգտագործման</w:t>
            </w:r>
            <w:r w:rsidRPr="00BC61ED">
              <w:rPr>
                <w:sz w:val="20"/>
                <w:szCs w:val="20"/>
                <w:lang w:val="af-ZA"/>
              </w:rPr>
              <w:t xml:space="preserve"> </w:t>
            </w:r>
            <w:r w:rsidRPr="00BC61ED">
              <w:rPr>
                <w:sz w:val="20"/>
                <w:szCs w:val="20"/>
              </w:rPr>
              <w:t>վիճակի</w:t>
            </w:r>
            <w:r w:rsidRPr="00BC61ED">
              <w:rPr>
                <w:sz w:val="20"/>
                <w:szCs w:val="20"/>
                <w:lang w:val="af-ZA"/>
              </w:rPr>
              <w:t xml:space="preserve">, </w:t>
            </w:r>
            <w:r w:rsidRPr="00BC61ED">
              <w:rPr>
                <w:sz w:val="20"/>
                <w:szCs w:val="20"/>
              </w:rPr>
              <w:t>հողատեսքերի</w:t>
            </w:r>
            <w:r w:rsidRPr="00BC61ED">
              <w:rPr>
                <w:sz w:val="20"/>
                <w:szCs w:val="20"/>
                <w:lang w:val="af-ZA"/>
              </w:rPr>
              <w:t xml:space="preserve"> </w:t>
            </w:r>
            <w:r w:rsidRPr="00BC61ED">
              <w:rPr>
                <w:sz w:val="20"/>
                <w:szCs w:val="20"/>
              </w:rPr>
              <w:t>փոփոխության</w:t>
            </w:r>
            <w:r w:rsidRPr="00BC61ED">
              <w:rPr>
                <w:sz w:val="20"/>
                <w:szCs w:val="20"/>
                <w:lang w:val="af-ZA"/>
              </w:rPr>
              <w:t xml:space="preserve">, </w:t>
            </w:r>
            <w:r w:rsidRPr="00BC61ED">
              <w:rPr>
                <w:sz w:val="20"/>
                <w:szCs w:val="20"/>
              </w:rPr>
              <w:t>բազմամյա</w:t>
            </w:r>
            <w:r w:rsidRPr="00BC61ED">
              <w:rPr>
                <w:sz w:val="20"/>
                <w:szCs w:val="20"/>
                <w:lang w:val="af-ZA"/>
              </w:rPr>
              <w:t xml:space="preserve"> </w:t>
            </w:r>
            <w:r w:rsidRPr="00BC61ED">
              <w:rPr>
                <w:sz w:val="20"/>
                <w:szCs w:val="20"/>
              </w:rPr>
              <w:t>տնկարկների</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ոռոգվող</w:t>
            </w:r>
            <w:r w:rsidRPr="00BC61ED">
              <w:rPr>
                <w:sz w:val="20"/>
                <w:szCs w:val="20"/>
                <w:lang w:val="af-ZA"/>
              </w:rPr>
              <w:t xml:space="preserve"> </w:t>
            </w:r>
            <w:r w:rsidRPr="00BC61ED">
              <w:rPr>
                <w:sz w:val="20"/>
                <w:szCs w:val="20"/>
              </w:rPr>
              <w:t>հողերի</w:t>
            </w:r>
            <w:r w:rsidRPr="00BC61ED">
              <w:rPr>
                <w:sz w:val="20"/>
                <w:szCs w:val="20"/>
                <w:lang w:val="af-ZA"/>
              </w:rPr>
              <w:t xml:space="preserve"> </w:t>
            </w:r>
            <w:r w:rsidRPr="00BC61ED">
              <w:rPr>
                <w:sz w:val="20"/>
                <w:szCs w:val="20"/>
              </w:rPr>
              <w:t>առկայության</w:t>
            </w:r>
            <w:r w:rsidRPr="00BC61ED">
              <w:rPr>
                <w:sz w:val="20"/>
                <w:szCs w:val="20"/>
                <w:lang w:val="af-ZA"/>
              </w:rPr>
              <w:t xml:space="preserve"> </w:t>
            </w:r>
            <w:r w:rsidRPr="00BC61ED">
              <w:rPr>
                <w:sz w:val="20"/>
                <w:szCs w:val="20"/>
              </w:rPr>
              <w:t>վերաբերյալ</w:t>
            </w:r>
            <w:r w:rsidRPr="00BC61ED">
              <w:rPr>
                <w:sz w:val="20"/>
                <w:szCs w:val="20"/>
                <w:lang w:val="af-ZA"/>
              </w:rPr>
              <w:t xml:space="preserve">, </w:t>
            </w:r>
            <w:r w:rsidRPr="00BC61ED">
              <w:rPr>
                <w:sz w:val="20"/>
                <w:szCs w:val="20"/>
              </w:rPr>
              <w:t>որոնց</w:t>
            </w:r>
            <w:r w:rsidRPr="00BC61ED">
              <w:rPr>
                <w:sz w:val="20"/>
                <w:szCs w:val="20"/>
                <w:lang w:val="af-ZA"/>
              </w:rPr>
              <w:t xml:space="preserve"> </w:t>
            </w:r>
            <w:r w:rsidRPr="00BC61ED">
              <w:rPr>
                <w:sz w:val="20"/>
                <w:szCs w:val="20"/>
              </w:rPr>
              <w:t>հիման</w:t>
            </w:r>
            <w:r w:rsidRPr="00BC61ED">
              <w:rPr>
                <w:sz w:val="20"/>
                <w:szCs w:val="20"/>
                <w:lang w:val="af-ZA"/>
              </w:rPr>
              <w:t xml:space="preserve"> </w:t>
            </w:r>
            <w:r w:rsidRPr="00BC61ED">
              <w:rPr>
                <w:sz w:val="20"/>
                <w:szCs w:val="20"/>
              </w:rPr>
              <w:t>վրա</w:t>
            </w:r>
            <w:r w:rsidRPr="00BC61ED">
              <w:rPr>
                <w:sz w:val="20"/>
                <w:szCs w:val="20"/>
                <w:lang w:val="af-ZA"/>
              </w:rPr>
              <w:t xml:space="preserve"> </w:t>
            </w:r>
            <w:r w:rsidRPr="00BC61ED">
              <w:rPr>
                <w:sz w:val="20"/>
                <w:szCs w:val="20"/>
              </w:rPr>
              <w:t>համապատասխան</w:t>
            </w:r>
            <w:r w:rsidRPr="00BC61ED">
              <w:rPr>
                <w:sz w:val="20"/>
                <w:szCs w:val="20"/>
                <w:lang w:val="af-ZA"/>
              </w:rPr>
              <w:t xml:space="preserve"> </w:t>
            </w:r>
            <w:r w:rsidRPr="00BC61ED">
              <w:rPr>
                <w:sz w:val="20"/>
                <w:szCs w:val="20"/>
              </w:rPr>
              <w:t>ճշտումներ</w:t>
            </w:r>
            <w:r w:rsidRPr="00BC61ED">
              <w:rPr>
                <w:sz w:val="20"/>
                <w:szCs w:val="20"/>
                <w:lang w:val="af-ZA"/>
              </w:rPr>
              <w:t xml:space="preserve"> </w:t>
            </w:r>
            <w:r w:rsidRPr="00BC61ED">
              <w:rPr>
                <w:sz w:val="20"/>
                <w:szCs w:val="20"/>
              </w:rPr>
              <w:t>կատարել</w:t>
            </w:r>
            <w:r w:rsidRPr="00BC61ED">
              <w:rPr>
                <w:sz w:val="20"/>
                <w:szCs w:val="20"/>
                <w:lang w:val="af-ZA"/>
              </w:rPr>
              <w:t xml:space="preserve"> </w:t>
            </w:r>
            <w:r w:rsidRPr="00BC61ED">
              <w:rPr>
                <w:sz w:val="20"/>
                <w:szCs w:val="20"/>
              </w:rPr>
              <w:t>համայնքների</w:t>
            </w:r>
            <w:r w:rsidRPr="00BC61ED">
              <w:rPr>
                <w:sz w:val="20"/>
                <w:szCs w:val="20"/>
                <w:lang w:val="af-ZA"/>
              </w:rPr>
              <w:t xml:space="preserve"> </w:t>
            </w:r>
            <w:r w:rsidRPr="00BC61ED">
              <w:rPr>
                <w:sz w:val="20"/>
                <w:szCs w:val="20"/>
              </w:rPr>
              <w:t>կադաստրային</w:t>
            </w:r>
            <w:r w:rsidRPr="00BC61ED">
              <w:rPr>
                <w:sz w:val="20"/>
                <w:szCs w:val="20"/>
                <w:lang w:val="af-ZA"/>
              </w:rPr>
              <w:t xml:space="preserve"> </w:t>
            </w:r>
            <w:r w:rsidRPr="00BC61ED">
              <w:rPr>
                <w:sz w:val="20"/>
                <w:szCs w:val="20"/>
              </w:rPr>
              <w:t>քարտեզներում</w:t>
            </w:r>
            <w:r w:rsidRPr="00BC61ED">
              <w:rPr>
                <w:sz w:val="20"/>
                <w:szCs w:val="20"/>
                <w:lang w:val="af-ZA"/>
              </w:rPr>
              <w:t xml:space="preserve">, </w:t>
            </w:r>
            <w:r w:rsidRPr="00BC61ED">
              <w:rPr>
                <w:sz w:val="20"/>
                <w:szCs w:val="20"/>
              </w:rPr>
              <w:t>հողային</w:t>
            </w:r>
            <w:r w:rsidRPr="00BC61ED">
              <w:rPr>
                <w:sz w:val="20"/>
                <w:szCs w:val="20"/>
                <w:lang w:val="af-ZA"/>
              </w:rPr>
              <w:t xml:space="preserve"> </w:t>
            </w:r>
            <w:r w:rsidRPr="00BC61ED">
              <w:rPr>
                <w:sz w:val="20"/>
                <w:szCs w:val="20"/>
              </w:rPr>
              <w:t>հաշվեկշիռներում</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հողի</w:t>
            </w:r>
            <w:r w:rsidRPr="00BC61ED">
              <w:rPr>
                <w:sz w:val="20"/>
                <w:szCs w:val="20"/>
                <w:lang w:val="af-ZA"/>
              </w:rPr>
              <w:t xml:space="preserve"> </w:t>
            </w:r>
            <w:r w:rsidRPr="00BC61ED">
              <w:rPr>
                <w:sz w:val="20"/>
                <w:szCs w:val="20"/>
              </w:rPr>
              <w:t>հարկի</w:t>
            </w:r>
            <w:r w:rsidRPr="00BC61ED">
              <w:rPr>
                <w:sz w:val="20"/>
                <w:szCs w:val="20"/>
                <w:lang w:val="af-ZA"/>
              </w:rPr>
              <w:t xml:space="preserve"> </w:t>
            </w:r>
            <w:r w:rsidRPr="00BC61ED">
              <w:rPr>
                <w:sz w:val="20"/>
                <w:szCs w:val="20"/>
              </w:rPr>
              <w:t>բազայում</w:t>
            </w:r>
            <w:r w:rsidRPr="00BC61ED">
              <w:rPr>
                <w:sz w:val="20"/>
                <w:szCs w:val="20"/>
                <w:lang w:val="af-ZA"/>
              </w:rPr>
              <w:t xml:space="preserve">: </w:t>
            </w:r>
            <w:r w:rsidRPr="00BC61ED">
              <w:rPr>
                <w:sz w:val="20"/>
                <w:szCs w:val="20"/>
              </w:rPr>
              <w:t>Ճշտված</w:t>
            </w:r>
            <w:r w:rsidRPr="00BC61ED">
              <w:rPr>
                <w:sz w:val="20"/>
                <w:szCs w:val="20"/>
                <w:lang w:val="af-ZA"/>
              </w:rPr>
              <w:t xml:space="preserve"> </w:t>
            </w:r>
            <w:r w:rsidRPr="00BC61ED">
              <w:rPr>
                <w:sz w:val="20"/>
                <w:szCs w:val="20"/>
              </w:rPr>
              <w:t>տվյալները</w:t>
            </w:r>
            <w:r w:rsidRPr="00BC61ED">
              <w:rPr>
                <w:sz w:val="20"/>
                <w:szCs w:val="20"/>
                <w:lang w:val="af-ZA"/>
              </w:rPr>
              <w:t xml:space="preserve"> </w:t>
            </w:r>
            <w:r w:rsidRPr="00BC61ED">
              <w:rPr>
                <w:sz w:val="20"/>
                <w:szCs w:val="20"/>
              </w:rPr>
              <w:t>կարող</w:t>
            </w:r>
            <w:r w:rsidRPr="00BC61ED">
              <w:rPr>
                <w:sz w:val="20"/>
                <w:szCs w:val="20"/>
                <w:lang w:val="af-ZA"/>
              </w:rPr>
              <w:t xml:space="preserve"> </w:t>
            </w:r>
            <w:r w:rsidRPr="00BC61ED">
              <w:rPr>
                <w:sz w:val="20"/>
                <w:szCs w:val="20"/>
              </w:rPr>
              <w:t>են</w:t>
            </w:r>
            <w:r w:rsidRPr="00BC61ED">
              <w:rPr>
                <w:sz w:val="20"/>
                <w:szCs w:val="20"/>
                <w:lang w:val="af-ZA"/>
              </w:rPr>
              <w:t xml:space="preserve"> </w:t>
            </w:r>
            <w:r w:rsidRPr="00BC61ED">
              <w:rPr>
                <w:sz w:val="20"/>
                <w:szCs w:val="20"/>
              </w:rPr>
              <w:t>հիմք</w:t>
            </w:r>
            <w:r w:rsidRPr="00BC61ED">
              <w:rPr>
                <w:sz w:val="20"/>
                <w:szCs w:val="20"/>
                <w:lang w:val="af-ZA"/>
              </w:rPr>
              <w:t xml:space="preserve"> </w:t>
            </w:r>
            <w:r w:rsidRPr="00BC61ED">
              <w:rPr>
                <w:sz w:val="20"/>
                <w:szCs w:val="20"/>
              </w:rPr>
              <w:t>հանդիսանալ</w:t>
            </w:r>
            <w:r w:rsidRPr="00BC61ED">
              <w:rPr>
                <w:sz w:val="20"/>
                <w:szCs w:val="20"/>
                <w:lang w:val="af-ZA"/>
              </w:rPr>
              <w:t xml:space="preserve"> </w:t>
            </w:r>
            <w:r w:rsidRPr="00BC61ED">
              <w:rPr>
                <w:sz w:val="20"/>
                <w:szCs w:val="20"/>
              </w:rPr>
              <w:t>գյուղատնտեսական</w:t>
            </w:r>
            <w:r w:rsidRPr="00BC61ED">
              <w:rPr>
                <w:sz w:val="20"/>
                <w:szCs w:val="20"/>
                <w:lang w:val="af-ZA"/>
              </w:rPr>
              <w:t xml:space="preserve"> </w:t>
            </w:r>
            <w:r w:rsidRPr="00BC61ED">
              <w:rPr>
                <w:sz w:val="20"/>
                <w:szCs w:val="20"/>
              </w:rPr>
              <w:t>նշանակության</w:t>
            </w:r>
            <w:r w:rsidRPr="00BC61ED">
              <w:rPr>
                <w:sz w:val="20"/>
                <w:szCs w:val="20"/>
                <w:lang w:val="af-ZA"/>
              </w:rPr>
              <w:t xml:space="preserve"> </w:t>
            </w:r>
            <w:r w:rsidRPr="00BC61ED">
              <w:rPr>
                <w:sz w:val="20"/>
                <w:szCs w:val="20"/>
              </w:rPr>
              <w:t>հողերի</w:t>
            </w:r>
            <w:r w:rsidRPr="00BC61ED">
              <w:rPr>
                <w:sz w:val="20"/>
                <w:szCs w:val="20"/>
                <w:lang w:val="af-ZA"/>
              </w:rPr>
              <w:t xml:space="preserve"> </w:t>
            </w:r>
            <w:r w:rsidRPr="00BC61ED">
              <w:rPr>
                <w:sz w:val="20"/>
                <w:szCs w:val="20"/>
              </w:rPr>
              <w:t>բարելավման</w:t>
            </w:r>
            <w:r w:rsidRPr="00BC61ED">
              <w:rPr>
                <w:sz w:val="20"/>
                <w:szCs w:val="20"/>
                <w:lang w:val="af-ZA"/>
              </w:rPr>
              <w:t xml:space="preserve"> </w:t>
            </w:r>
            <w:r w:rsidRPr="00BC61ED">
              <w:rPr>
                <w:sz w:val="20"/>
                <w:szCs w:val="20"/>
              </w:rPr>
              <w:t>ծրագրերի</w:t>
            </w:r>
            <w:r w:rsidRPr="00BC61ED">
              <w:rPr>
                <w:sz w:val="20"/>
                <w:szCs w:val="20"/>
                <w:lang w:val="af-ZA"/>
              </w:rPr>
              <w:t xml:space="preserve">, </w:t>
            </w:r>
            <w:r w:rsidRPr="00BC61ED">
              <w:rPr>
                <w:sz w:val="20"/>
                <w:szCs w:val="20"/>
              </w:rPr>
              <w:t>գյուղատնտեսական</w:t>
            </w:r>
            <w:r w:rsidRPr="00BC61ED">
              <w:rPr>
                <w:sz w:val="20"/>
                <w:szCs w:val="20"/>
                <w:lang w:val="af-ZA"/>
              </w:rPr>
              <w:t xml:space="preserve"> </w:t>
            </w:r>
            <w:r w:rsidRPr="00BC61ED">
              <w:rPr>
                <w:sz w:val="20"/>
                <w:szCs w:val="20"/>
              </w:rPr>
              <w:t>շրջանառությունից</w:t>
            </w:r>
            <w:r w:rsidRPr="00BC61ED">
              <w:rPr>
                <w:sz w:val="20"/>
                <w:szCs w:val="20"/>
                <w:lang w:val="af-ZA"/>
              </w:rPr>
              <w:t xml:space="preserve"> </w:t>
            </w:r>
            <w:r w:rsidRPr="00BC61ED">
              <w:rPr>
                <w:sz w:val="20"/>
                <w:szCs w:val="20"/>
              </w:rPr>
              <w:t>դուրս</w:t>
            </w:r>
            <w:r w:rsidRPr="00BC61ED">
              <w:rPr>
                <w:sz w:val="20"/>
                <w:szCs w:val="20"/>
                <w:lang w:val="af-ZA"/>
              </w:rPr>
              <w:t xml:space="preserve"> </w:t>
            </w:r>
            <w:r w:rsidRPr="00BC61ED">
              <w:rPr>
                <w:sz w:val="20"/>
                <w:szCs w:val="20"/>
              </w:rPr>
              <w:t>մնացած</w:t>
            </w:r>
            <w:r w:rsidRPr="00BC61ED">
              <w:rPr>
                <w:sz w:val="20"/>
                <w:szCs w:val="20"/>
                <w:lang w:val="af-ZA"/>
              </w:rPr>
              <w:t xml:space="preserve"> </w:t>
            </w:r>
            <w:r w:rsidRPr="00BC61ED">
              <w:rPr>
                <w:sz w:val="20"/>
                <w:szCs w:val="20"/>
              </w:rPr>
              <w:t>հողերը</w:t>
            </w:r>
            <w:r w:rsidRPr="00BC61ED">
              <w:rPr>
                <w:sz w:val="20"/>
                <w:szCs w:val="20"/>
                <w:lang w:val="af-ZA"/>
              </w:rPr>
              <w:t xml:space="preserve"> </w:t>
            </w:r>
            <w:r w:rsidRPr="00BC61ED">
              <w:rPr>
                <w:sz w:val="20"/>
                <w:szCs w:val="20"/>
              </w:rPr>
              <w:t>շրջանառության</w:t>
            </w:r>
            <w:r w:rsidRPr="00BC61ED">
              <w:rPr>
                <w:sz w:val="20"/>
                <w:szCs w:val="20"/>
                <w:lang w:val="af-ZA"/>
              </w:rPr>
              <w:t xml:space="preserve"> </w:t>
            </w:r>
            <w:r w:rsidRPr="00BC61ED">
              <w:rPr>
                <w:sz w:val="20"/>
                <w:szCs w:val="20"/>
              </w:rPr>
              <w:t>մեջ</w:t>
            </w:r>
            <w:r w:rsidRPr="00BC61ED">
              <w:rPr>
                <w:sz w:val="20"/>
                <w:szCs w:val="20"/>
                <w:lang w:val="af-ZA"/>
              </w:rPr>
              <w:t xml:space="preserve"> </w:t>
            </w:r>
            <w:r w:rsidRPr="00BC61ED">
              <w:rPr>
                <w:sz w:val="20"/>
                <w:szCs w:val="20"/>
              </w:rPr>
              <w:t>դնելու</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գյուղատնտեսական</w:t>
            </w:r>
            <w:r w:rsidRPr="00BC61ED">
              <w:rPr>
                <w:sz w:val="20"/>
                <w:szCs w:val="20"/>
                <w:lang w:val="af-ZA"/>
              </w:rPr>
              <w:t xml:space="preserve"> </w:t>
            </w:r>
            <w:r w:rsidRPr="00BC61ED">
              <w:rPr>
                <w:sz w:val="20"/>
                <w:szCs w:val="20"/>
              </w:rPr>
              <w:t>նշանակության</w:t>
            </w:r>
            <w:r w:rsidRPr="00BC61ED">
              <w:rPr>
                <w:sz w:val="20"/>
                <w:szCs w:val="20"/>
                <w:lang w:val="af-ZA"/>
              </w:rPr>
              <w:t xml:space="preserve"> </w:t>
            </w:r>
            <w:r w:rsidRPr="00BC61ED">
              <w:rPr>
                <w:sz w:val="20"/>
                <w:szCs w:val="20"/>
              </w:rPr>
              <w:t>հողերի</w:t>
            </w:r>
            <w:r w:rsidRPr="00BC61ED">
              <w:rPr>
                <w:sz w:val="20"/>
                <w:szCs w:val="20"/>
                <w:lang w:val="af-ZA"/>
              </w:rPr>
              <w:t xml:space="preserve"> </w:t>
            </w:r>
            <w:r w:rsidRPr="00BC61ED">
              <w:rPr>
                <w:sz w:val="20"/>
                <w:szCs w:val="20"/>
              </w:rPr>
              <w:t>վերաբերյալ</w:t>
            </w:r>
            <w:r w:rsidRPr="00BC61ED">
              <w:rPr>
                <w:sz w:val="20"/>
                <w:szCs w:val="20"/>
                <w:lang w:val="af-ZA"/>
              </w:rPr>
              <w:t xml:space="preserve"> </w:t>
            </w:r>
            <w:r w:rsidRPr="00BC61ED">
              <w:rPr>
                <w:sz w:val="20"/>
                <w:szCs w:val="20"/>
              </w:rPr>
              <w:t>այլ</w:t>
            </w:r>
            <w:r w:rsidRPr="00BC61ED">
              <w:rPr>
                <w:sz w:val="20"/>
                <w:szCs w:val="20"/>
                <w:lang w:val="af-ZA"/>
              </w:rPr>
              <w:t xml:space="preserve"> </w:t>
            </w:r>
            <w:r w:rsidRPr="00BC61ED">
              <w:rPr>
                <w:sz w:val="20"/>
                <w:szCs w:val="20"/>
              </w:rPr>
              <w:t>ծրագրերի</w:t>
            </w:r>
            <w:r w:rsidRPr="00BC61ED">
              <w:rPr>
                <w:sz w:val="20"/>
                <w:szCs w:val="20"/>
                <w:lang w:val="af-ZA"/>
              </w:rPr>
              <w:t xml:space="preserve"> </w:t>
            </w:r>
            <w:r w:rsidRPr="00BC61ED">
              <w:rPr>
                <w:sz w:val="20"/>
                <w:szCs w:val="20"/>
              </w:rPr>
              <w:t>մշակման</w:t>
            </w:r>
            <w:r w:rsidRPr="00BC61ED">
              <w:rPr>
                <w:sz w:val="20"/>
                <w:szCs w:val="20"/>
                <w:lang w:val="af-ZA"/>
              </w:rPr>
              <w:t xml:space="preserve"> </w:t>
            </w:r>
            <w:r w:rsidRPr="00BC61ED">
              <w:rPr>
                <w:sz w:val="20"/>
                <w:szCs w:val="20"/>
              </w:rPr>
              <w:t>համար</w:t>
            </w:r>
            <w:r w:rsidRPr="00BC61ED">
              <w:rPr>
                <w:sz w:val="20"/>
                <w:szCs w:val="20"/>
                <w:lang w:val="af-ZA"/>
              </w:rPr>
              <w:t>:</w:t>
            </w:r>
          </w:p>
          <w:p w:rsidR="0068680D" w:rsidRPr="00BC61ED" w:rsidRDefault="0068680D" w:rsidP="00F47DC4">
            <w:pPr>
              <w:spacing w:line="276" w:lineRule="auto"/>
              <w:ind w:right="-138"/>
              <w:jc w:val="both"/>
              <w:rPr>
                <w:sz w:val="20"/>
                <w:szCs w:val="20"/>
                <w:lang w:val="af-ZA"/>
              </w:rPr>
            </w:pPr>
            <w:r w:rsidRPr="00BC61ED">
              <w:rPr>
                <w:rFonts w:cs="Arial"/>
                <w:sz w:val="20"/>
                <w:szCs w:val="20"/>
                <w:lang w:val="af-ZA"/>
              </w:rPr>
              <w:t xml:space="preserve">   </w:t>
            </w:r>
            <w:r w:rsidRPr="00BC61ED">
              <w:rPr>
                <w:rFonts w:cs="Arial"/>
                <w:sz w:val="20"/>
                <w:szCs w:val="20"/>
              </w:rPr>
              <w:t>Կադաստրային</w:t>
            </w:r>
            <w:r w:rsidRPr="00BC61ED">
              <w:rPr>
                <w:sz w:val="20"/>
                <w:szCs w:val="20"/>
                <w:lang w:val="af-ZA"/>
              </w:rPr>
              <w:t xml:space="preserve"> </w:t>
            </w:r>
            <w:r w:rsidRPr="00BC61ED">
              <w:rPr>
                <w:sz w:val="20"/>
                <w:szCs w:val="20"/>
              </w:rPr>
              <w:t>քարտեզների</w:t>
            </w:r>
            <w:r w:rsidRPr="00BC61ED">
              <w:rPr>
                <w:sz w:val="20"/>
                <w:szCs w:val="20"/>
                <w:lang w:val="af-ZA"/>
              </w:rPr>
              <w:t xml:space="preserve"> </w:t>
            </w:r>
            <w:r w:rsidRPr="00BC61ED">
              <w:rPr>
                <w:sz w:val="20"/>
                <w:szCs w:val="20"/>
              </w:rPr>
              <w:t>ուղղման</w:t>
            </w:r>
            <w:r w:rsidRPr="00BC61ED">
              <w:rPr>
                <w:sz w:val="20"/>
                <w:szCs w:val="20"/>
                <w:lang w:val="af-ZA"/>
              </w:rPr>
              <w:t xml:space="preserve"> </w:t>
            </w:r>
            <w:r w:rsidRPr="00BC61ED">
              <w:rPr>
                <w:sz w:val="20"/>
                <w:szCs w:val="20"/>
              </w:rPr>
              <w:t>նպատակն</w:t>
            </w:r>
            <w:r w:rsidRPr="00BC61ED">
              <w:rPr>
                <w:sz w:val="20"/>
                <w:szCs w:val="20"/>
                <w:lang w:val="af-ZA"/>
              </w:rPr>
              <w:t xml:space="preserve"> </w:t>
            </w:r>
            <w:r w:rsidRPr="00BC61ED">
              <w:rPr>
                <w:sz w:val="20"/>
                <w:szCs w:val="20"/>
              </w:rPr>
              <w:t>է</w:t>
            </w:r>
            <w:r w:rsidRPr="00BC61ED">
              <w:rPr>
                <w:sz w:val="20"/>
                <w:szCs w:val="20"/>
                <w:lang w:val="af-ZA"/>
              </w:rPr>
              <w:t xml:space="preserve"> </w:t>
            </w:r>
            <w:r w:rsidRPr="00BC61ED">
              <w:rPr>
                <w:sz w:val="20"/>
                <w:szCs w:val="20"/>
              </w:rPr>
              <w:t>ունենալ</w:t>
            </w:r>
            <w:r w:rsidRPr="00BC61ED">
              <w:rPr>
                <w:sz w:val="20"/>
                <w:szCs w:val="20"/>
                <w:lang w:val="af-ZA"/>
              </w:rPr>
              <w:t xml:space="preserve"> </w:t>
            </w:r>
            <w:r w:rsidRPr="00BC61ED">
              <w:rPr>
                <w:sz w:val="20"/>
                <w:szCs w:val="20"/>
              </w:rPr>
              <w:t>ճշտված</w:t>
            </w:r>
            <w:r w:rsidRPr="00BC61ED">
              <w:rPr>
                <w:sz w:val="20"/>
                <w:szCs w:val="20"/>
                <w:lang w:val="af-ZA"/>
              </w:rPr>
              <w:t xml:space="preserve"> </w:t>
            </w:r>
            <w:r w:rsidRPr="00BC61ED">
              <w:rPr>
                <w:sz w:val="20"/>
                <w:szCs w:val="20"/>
              </w:rPr>
              <w:t>կադաստրային</w:t>
            </w:r>
            <w:r w:rsidRPr="00BC61ED">
              <w:rPr>
                <w:sz w:val="20"/>
                <w:szCs w:val="20"/>
                <w:lang w:val="af-ZA"/>
              </w:rPr>
              <w:t xml:space="preserve"> </w:t>
            </w:r>
            <w:r w:rsidRPr="00BC61ED">
              <w:rPr>
                <w:sz w:val="20"/>
                <w:szCs w:val="20"/>
              </w:rPr>
              <w:t>քարտեզներ</w:t>
            </w:r>
            <w:r w:rsidRPr="00BC61ED">
              <w:rPr>
                <w:sz w:val="20"/>
                <w:szCs w:val="20"/>
                <w:lang w:val="af-ZA"/>
              </w:rPr>
              <w:t xml:space="preserve">, </w:t>
            </w:r>
            <w:r w:rsidRPr="00BC61ED">
              <w:rPr>
                <w:sz w:val="20"/>
                <w:szCs w:val="20"/>
              </w:rPr>
              <w:t>վերացնել</w:t>
            </w:r>
            <w:r w:rsidRPr="00BC61ED">
              <w:rPr>
                <w:sz w:val="20"/>
                <w:szCs w:val="20"/>
                <w:lang w:val="af-ZA"/>
              </w:rPr>
              <w:t xml:space="preserve"> </w:t>
            </w:r>
            <w:r w:rsidRPr="00BC61ED">
              <w:rPr>
                <w:sz w:val="20"/>
                <w:szCs w:val="20"/>
              </w:rPr>
              <w:t>կամ</w:t>
            </w:r>
            <w:r w:rsidRPr="00BC61ED">
              <w:rPr>
                <w:sz w:val="20"/>
                <w:szCs w:val="20"/>
                <w:lang w:val="af-ZA"/>
              </w:rPr>
              <w:t xml:space="preserve"> </w:t>
            </w:r>
            <w:r w:rsidRPr="00BC61ED">
              <w:rPr>
                <w:sz w:val="20"/>
                <w:szCs w:val="20"/>
              </w:rPr>
              <w:t>նվազագույնի</w:t>
            </w:r>
            <w:r w:rsidRPr="00BC61ED">
              <w:rPr>
                <w:sz w:val="20"/>
                <w:szCs w:val="20"/>
                <w:lang w:val="af-ZA"/>
              </w:rPr>
              <w:t xml:space="preserve"> </w:t>
            </w:r>
            <w:r w:rsidRPr="00BC61ED">
              <w:rPr>
                <w:sz w:val="20"/>
                <w:szCs w:val="20"/>
              </w:rPr>
              <w:t>հասցնել</w:t>
            </w:r>
            <w:r w:rsidRPr="00BC61ED">
              <w:rPr>
                <w:sz w:val="20"/>
                <w:szCs w:val="20"/>
                <w:lang w:val="af-ZA"/>
              </w:rPr>
              <w:t xml:space="preserve"> </w:t>
            </w:r>
            <w:r w:rsidRPr="00BC61ED">
              <w:rPr>
                <w:sz w:val="20"/>
                <w:szCs w:val="20"/>
              </w:rPr>
              <w:t>համայնքների</w:t>
            </w:r>
            <w:r w:rsidRPr="00BC61ED">
              <w:rPr>
                <w:sz w:val="20"/>
                <w:szCs w:val="20"/>
                <w:lang w:val="af-ZA"/>
              </w:rPr>
              <w:t xml:space="preserve">, </w:t>
            </w:r>
            <w:r w:rsidRPr="00BC61ED">
              <w:rPr>
                <w:sz w:val="20"/>
                <w:szCs w:val="20"/>
              </w:rPr>
              <w:t>քաղաքացիների</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իրավաբանական</w:t>
            </w:r>
            <w:r w:rsidRPr="00BC61ED">
              <w:rPr>
                <w:sz w:val="20"/>
                <w:szCs w:val="20"/>
                <w:lang w:val="af-ZA"/>
              </w:rPr>
              <w:t xml:space="preserve"> </w:t>
            </w:r>
            <w:r w:rsidRPr="00BC61ED">
              <w:rPr>
                <w:sz w:val="20"/>
                <w:szCs w:val="20"/>
              </w:rPr>
              <w:t>անձանց</w:t>
            </w:r>
            <w:r w:rsidRPr="00BC61ED">
              <w:rPr>
                <w:sz w:val="20"/>
                <w:szCs w:val="20"/>
                <w:lang w:val="af-ZA"/>
              </w:rPr>
              <w:t xml:space="preserve"> </w:t>
            </w:r>
            <w:r w:rsidRPr="00BC61ED">
              <w:rPr>
                <w:sz w:val="20"/>
                <w:szCs w:val="20"/>
              </w:rPr>
              <w:t>միջև</w:t>
            </w:r>
            <w:r w:rsidRPr="00BC61ED">
              <w:rPr>
                <w:sz w:val="20"/>
                <w:szCs w:val="20"/>
                <w:lang w:val="af-ZA"/>
              </w:rPr>
              <w:t xml:space="preserve"> </w:t>
            </w:r>
            <w:r w:rsidRPr="00BC61ED">
              <w:rPr>
                <w:sz w:val="20"/>
                <w:szCs w:val="20"/>
              </w:rPr>
              <w:t>առկա</w:t>
            </w:r>
            <w:r w:rsidRPr="00BC61ED">
              <w:rPr>
                <w:sz w:val="20"/>
                <w:szCs w:val="20"/>
                <w:lang w:val="af-ZA"/>
              </w:rPr>
              <w:t xml:space="preserve"> </w:t>
            </w:r>
            <w:r w:rsidRPr="00BC61ED">
              <w:rPr>
                <w:sz w:val="20"/>
                <w:szCs w:val="20"/>
              </w:rPr>
              <w:t>սահմանային</w:t>
            </w:r>
            <w:r w:rsidRPr="00BC61ED">
              <w:rPr>
                <w:sz w:val="20"/>
                <w:szCs w:val="20"/>
                <w:lang w:val="af-ZA"/>
              </w:rPr>
              <w:t xml:space="preserve"> </w:t>
            </w:r>
            <w:r w:rsidRPr="00BC61ED">
              <w:rPr>
                <w:sz w:val="20"/>
                <w:szCs w:val="20"/>
              </w:rPr>
              <w:t>վեճերը</w:t>
            </w:r>
            <w:r w:rsidRPr="00BC61ED">
              <w:rPr>
                <w:sz w:val="20"/>
                <w:szCs w:val="20"/>
                <w:lang w:val="af-ZA"/>
              </w:rPr>
              <w:t xml:space="preserve">, </w:t>
            </w:r>
            <w:r w:rsidRPr="00BC61ED">
              <w:rPr>
                <w:sz w:val="20"/>
                <w:szCs w:val="20"/>
              </w:rPr>
              <w:t>նվազագույնի</w:t>
            </w:r>
            <w:r w:rsidRPr="00BC61ED">
              <w:rPr>
                <w:sz w:val="20"/>
                <w:szCs w:val="20"/>
                <w:lang w:val="af-ZA"/>
              </w:rPr>
              <w:t xml:space="preserve"> </w:t>
            </w:r>
            <w:r w:rsidRPr="00BC61ED">
              <w:rPr>
                <w:sz w:val="20"/>
                <w:szCs w:val="20"/>
              </w:rPr>
              <w:t>հասցնել</w:t>
            </w:r>
            <w:r w:rsidRPr="00BC61ED">
              <w:rPr>
                <w:sz w:val="20"/>
                <w:szCs w:val="20"/>
                <w:lang w:val="af-ZA"/>
              </w:rPr>
              <w:t xml:space="preserve"> </w:t>
            </w:r>
            <w:r w:rsidRPr="00BC61ED">
              <w:rPr>
                <w:sz w:val="20"/>
                <w:szCs w:val="20"/>
              </w:rPr>
              <w:t>իրավունքի</w:t>
            </w:r>
            <w:r w:rsidRPr="00BC61ED">
              <w:rPr>
                <w:sz w:val="20"/>
                <w:szCs w:val="20"/>
                <w:lang w:val="af-ZA"/>
              </w:rPr>
              <w:t xml:space="preserve"> </w:t>
            </w:r>
            <w:r w:rsidRPr="00BC61ED">
              <w:rPr>
                <w:sz w:val="20"/>
                <w:szCs w:val="20"/>
              </w:rPr>
              <w:t>պետական</w:t>
            </w:r>
            <w:r w:rsidRPr="00BC61ED">
              <w:rPr>
                <w:sz w:val="20"/>
                <w:szCs w:val="20"/>
                <w:lang w:val="af-ZA"/>
              </w:rPr>
              <w:t xml:space="preserve"> </w:t>
            </w:r>
            <w:r w:rsidRPr="00BC61ED">
              <w:rPr>
                <w:sz w:val="20"/>
                <w:szCs w:val="20"/>
              </w:rPr>
              <w:t>գրանցման</w:t>
            </w:r>
            <w:r w:rsidRPr="00BC61ED">
              <w:rPr>
                <w:sz w:val="20"/>
                <w:szCs w:val="20"/>
                <w:lang w:val="af-ZA"/>
              </w:rPr>
              <w:t xml:space="preserve"> </w:t>
            </w:r>
            <w:r w:rsidRPr="00BC61ED">
              <w:rPr>
                <w:sz w:val="20"/>
                <w:szCs w:val="20"/>
              </w:rPr>
              <w:t>վարույթը</w:t>
            </w:r>
            <w:r w:rsidRPr="00BC61ED">
              <w:rPr>
                <w:sz w:val="20"/>
                <w:szCs w:val="20"/>
                <w:lang w:val="af-ZA"/>
              </w:rPr>
              <w:t xml:space="preserve"> </w:t>
            </w:r>
            <w:r w:rsidRPr="00BC61ED">
              <w:rPr>
                <w:sz w:val="20"/>
                <w:szCs w:val="20"/>
              </w:rPr>
              <w:t>կասեցնելու</w:t>
            </w:r>
            <w:r w:rsidRPr="00BC61ED">
              <w:rPr>
                <w:sz w:val="20"/>
                <w:szCs w:val="20"/>
                <w:lang w:val="af-ZA"/>
              </w:rPr>
              <w:t xml:space="preserve"> </w:t>
            </w:r>
            <w:r w:rsidRPr="00BC61ED">
              <w:rPr>
                <w:sz w:val="20"/>
                <w:szCs w:val="20"/>
              </w:rPr>
              <w:t>հիմքերը</w:t>
            </w:r>
            <w:r w:rsidRPr="00BC61ED">
              <w:rPr>
                <w:sz w:val="20"/>
                <w:szCs w:val="20"/>
                <w:lang w:val="af-ZA"/>
              </w:rPr>
              <w:t>:</w:t>
            </w:r>
          </w:p>
          <w:p w:rsidR="0068680D" w:rsidRPr="00BC61ED" w:rsidRDefault="0068680D" w:rsidP="00F47DC4">
            <w:pPr>
              <w:pStyle w:val="ListParagraph"/>
              <w:spacing w:line="276" w:lineRule="auto"/>
              <w:ind w:left="0" w:right="-1"/>
              <w:jc w:val="both"/>
              <w:rPr>
                <w:sz w:val="20"/>
                <w:szCs w:val="20"/>
                <w:lang w:val="af-ZA" w:eastAsia="en-GB"/>
              </w:rPr>
            </w:pPr>
            <w:r w:rsidRPr="00BC61ED">
              <w:rPr>
                <w:sz w:val="20"/>
                <w:szCs w:val="20"/>
                <w:lang w:val="af-ZA" w:eastAsia="en-GB"/>
              </w:rPr>
              <w:t xml:space="preserve">   </w:t>
            </w:r>
            <w:r w:rsidRPr="00BC61ED">
              <w:rPr>
                <w:sz w:val="20"/>
                <w:szCs w:val="20"/>
                <w:lang w:eastAsia="en-GB"/>
              </w:rPr>
              <w:t>Միջոցառման</w:t>
            </w:r>
            <w:r w:rsidRPr="00BC61ED">
              <w:rPr>
                <w:sz w:val="20"/>
                <w:szCs w:val="20"/>
                <w:lang w:val="af-ZA" w:eastAsia="en-GB"/>
              </w:rPr>
              <w:t xml:space="preserve"> </w:t>
            </w:r>
            <w:r w:rsidRPr="00BC61ED">
              <w:rPr>
                <w:sz w:val="20"/>
                <w:szCs w:val="20"/>
                <w:lang w:eastAsia="en-GB"/>
              </w:rPr>
              <w:t>իրականացումը</w:t>
            </w:r>
            <w:r w:rsidRPr="00BC61ED">
              <w:rPr>
                <w:sz w:val="20"/>
                <w:szCs w:val="20"/>
                <w:lang w:val="af-ZA" w:eastAsia="en-GB"/>
              </w:rPr>
              <w:t xml:space="preserve"> </w:t>
            </w:r>
            <w:r w:rsidRPr="00BC61ED">
              <w:rPr>
                <w:sz w:val="20"/>
                <w:szCs w:val="20"/>
                <w:lang w:eastAsia="en-GB"/>
              </w:rPr>
              <w:t>նորմատիվ</w:t>
            </w:r>
            <w:r w:rsidRPr="00BC61ED">
              <w:rPr>
                <w:sz w:val="20"/>
                <w:szCs w:val="20"/>
                <w:lang w:val="af-ZA" w:eastAsia="en-GB"/>
              </w:rPr>
              <w:t xml:space="preserve"> </w:t>
            </w:r>
            <w:r w:rsidRPr="00BC61ED">
              <w:rPr>
                <w:sz w:val="20"/>
                <w:szCs w:val="20"/>
                <w:lang w:eastAsia="en-GB"/>
              </w:rPr>
              <w:t>իրավական</w:t>
            </w:r>
            <w:r w:rsidRPr="00BC61ED">
              <w:rPr>
                <w:sz w:val="20"/>
                <w:szCs w:val="20"/>
                <w:lang w:val="af-ZA" w:eastAsia="en-GB"/>
              </w:rPr>
              <w:t xml:space="preserve"> </w:t>
            </w:r>
            <w:r w:rsidRPr="00BC61ED">
              <w:rPr>
                <w:sz w:val="20"/>
                <w:szCs w:val="20"/>
                <w:lang w:eastAsia="en-GB"/>
              </w:rPr>
              <w:t>ակտերի</w:t>
            </w:r>
            <w:r w:rsidRPr="00BC61ED">
              <w:rPr>
                <w:sz w:val="20"/>
                <w:szCs w:val="20"/>
                <w:lang w:val="af-ZA" w:eastAsia="en-GB"/>
              </w:rPr>
              <w:t xml:space="preserve"> </w:t>
            </w:r>
            <w:r w:rsidRPr="00BC61ED">
              <w:rPr>
                <w:sz w:val="20"/>
                <w:szCs w:val="20"/>
                <w:lang w:eastAsia="en-GB"/>
              </w:rPr>
              <w:t>ընդունման</w:t>
            </w:r>
            <w:r w:rsidRPr="00BC61ED">
              <w:rPr>
                <w:sz w:val="20"/>
                <w:szCs w:val="20"/>
                <w:lang w:val="af-ZA" w:eastAsia="en-GB"/>
              </w:rPr>
              <w:t xml:space="preserve"> </w:t>
            </w:r>
            <w:r w:rsidRPr="00BC61ED">
              <w:rPr>
                <w:sz w:val="20"/>
                <w:szCs w:val="20"/>
                <w:lang w:eastAsia="en-GB"/>
              </w:rPr>
              <w:t>անհրաժեշտություն</w:t>
            </w:r>
            <w:r w:rsidRPr="00BC61ED">
              <w:rPr>
                <w:sz w:val="20"/>
                <w:szCs w:val="20"/>
                <w:lang w:val="af-ZA" w:eastAsia="en-GB"/>
              </w:rPr>
              <w:t xml:space="preserve"> </w:t>
            </w:r>
            <w:r w:rsidRPr="00BC61ED">
              <w:rPr>
                <w:sz w:val="20"/>
                <w:szCs w:val="20"/>
                <w:lang w:eastAsia="en-GB"/>
              </w:rPr>
              <w:t>չի</w:t>
            </w:r>
            <w:r w:rsidRPr="00BC61ED">
              <w:rPr>
                <w:sz w:val="20"/>
                <w:szCs w:val="20"/>
                <w:lang w:val="af-ZA" w:eastAsia="en-GB"/>
              </w:rPr>
              <w:t xml:space="preserve"> </w:t>
            </w:r>
            <w:r w:rsidRPr="00BC61ED">
              <w:rPr>
                <w:sz w:val="20"/>
                <w:szCs w:val="20"/>
                <w:lang w:eastAsia="en-GB"/>
              </w:rPr>
              <w:t>առաջացնում</w:t>
            </w:r>
            <w:r w:rsidRPr="00BC61ED">
              <w:rPr>
                <w:sz w:val="20"/>
                <w:szCs w:val="20"/>
                <w:lang w:val="af-ZA" w:eastAsia="en-GB"/>
              </w:rPr>
              <w:t xml:space="preserve">: </w:t>
            </w:r>
          </w:p>
          <w:p w:rsidR="0068680D" w:rsidRPr="00BC61ED" w:rsidRDefault="0068680D" w:rsidP="00F47DC4">
            <w:pPr>
              <w:spacing w:line="276" w:lineRule="auto"/>
              <w:ind w:right="-138"/>
              <w:jc w:val="both"/>
              <w:rPr>
                <w:b/>
                <w:sz w:val="20"/>
                <w:szCs w:val="20"/>
                <w:lang w:val="af-ZA"/>
              </w:rPr>
            </w:pPr>
            <w:r w:rsidRPr="00BC61ED">
              <w:rPr>
                <w:b/>
                <w:sz w:val="20"/>
                <w:szCs w:val="20"/>
                <w:lang w:val="af-ZA"/>
              </w:rPr>
              <w:t xml:space="preserve">   1.1. </w:t>
            </w:r>
            <w:r w:rsidRPr="00BC61ED">
              <w:rPr>
                <w:b/>
                <w:sz w:val="20"/>
                <w:szCs w:val="20"/>
              </w:rPr>
              <w:t>Կարգավորման</w:t>
            </w:r>
            <w:r w:rsidRPr="00BC61ED">
              <w:rPr>
                <w:b/>
                <w:sz w:val="20"/>
                <w:szCs w:val="20"/>
                <w:lang w:val="af-ZA"/>
              </w:rPr>
              <w:t xml:space="preserve"> </w:t>
            </w:r>
            <w:r w:rsidRPr="00BC61ED">
              <w:rPr>
                <w:b/>
                <w:sz w:val="20"/>
                <w:szCs w:val="20"/>
              </w:rPr>
              <w:t>հարաբերությունների</w:t>
            </w:r>
            <w:r w:rsidRPr="00BC61ED">
              <w:rPr>
                <w:b/>
                <w:sz w:val="20"/>
                <w:szCs w:val="20"/>
                <w:lang w:val="af-ZA"/>
              </w:rPr>
              <w:t xml:space="preserve"> </w:t>
            </w:r>
            <w:r w:rsidRPr="00BC61ED">
              <w:rPr>
                <w:b/>
                <w:sz w:val="20"/>
                <w:szCs w:val="20"/>
              </w:rPr>
              <w:t>ներկա</w:t>
            </w:r>
            <w:r w:rsidRPr="00BC61ED">
              <w:rPr>
                <w:b/>
                <w:sz w:val="20"/>
                <w:szCs w:val="20"/>
                <w:lang w:val="af-ZA"/>
              </w:rPr>
              <w:t xml:space="preserve"> </w:t>
            </w:r>
            <w:r w:rsidRPr="00BC61ED">
              <w:rPr>
                <w:b/>
                <w:sz w:val="20"/>
                <w:szCs w:val="20"/>
              </w:rPr>
              <w:t>վիճակը</w:t>
            </w:r>
            <w:r w:rsidRPr="00BC61ED">
              <w:rPr>
                <w:b/>
                <w:sz w:val="20"/>
                <w:szCs w:val="20"/>
                <w:lang w:val="af-ZA"/>
              </w:rPr>
              <w:t xml:space="preserve"> </w:t>
            </w:r>
            <w:r w:rsidRPr="00BC61ED">
              <w:rPr>
                <w:b/>
                <w:sz w:val="20"/>
                <w:szCs w:val="20"/>
              </w:rPr>
              <w:t>և</w:t>
            </w:r>
            <w:r w:rsidRPr="00BC61ED">
              <w:rPr>
                <w:b/>
                <w:sz w:val="20"/>
                <w:szCs w:val="20"/>
                <w:lang w:val="af-ZA"/>
              </w:rPr>
              <w:t xml:space="preserve"> </w:t>
            </w:r>
            <w:r w:rsidRPr="00BC61ED">
              <w:rPr>
                <w:b/>
                <w:sz w:val="20"/>
                <w:szCs w:val="20"/>
              </w:rPr>
              <w:t>առկա</w:t>
            </w:r>
            <w:r w:rsidRPr="00BC61ED">
              <w:rPr>
                <w:b/>
                <w:sz w:val="20"/>
                <w:szCs w:val="20"/>
                <w:lang w:val="af-ZA"/>
              </w:rPr>
              <w:t xml:space="preserve"> </w:t>
            </w:r>
            <w:r w:rsidRPr="00BC61ED">
              <w:rPr>
                <w:b/>
                <w:sz w:val="20"/>
                <w:szCs w:val="20"/>
              </w:rPr>
              <w:t>խնդիրները</w:t>
            </w:r>
          </w:p>
          <w:p w:rsidR="0068680D" w:rsidRPr="00BC61ED" w:rsidRDefault="0068680D" w:rsidP="00F47DC4">
            <w:pPr>
              <w:spacing w:line="276" w:lineRule="auto"/>
              <w:ind w:right="-138"/>
              <w:jc w:val="both"/>
              <w:rPr>
                <w:sz w:val="20"/>
                <w:szCs w:val="20"/>
                <w:lang w:val="af-ZA"/>
              </w:rPr>
            </w:pPr>
            <w:r w:rsidRPr="00BC61ED">
              <w:rPr>
                <w:sz w:val="20"/>
                <w:szCs w:val="20"/>
                <w:lang w:val="af-ZA"/>
              </w:rPr>
              <w:t xml:space="preserve">   </w:t>
            </w:r>
            <w:r w:rsidRPr="00BC61ED">
              <w:rPr>
                <w:sz w:val="20"/>
                <w:szCs w:val="20"/>
              </w:rPr>
              <w:t>Հողերի</w:t>
            </w:r>
            <w:r w:rsidRPr="00BC61ED">
              <w:rPr>
                <w:sz w:val="20"/>
                <w:szCs w:val="20"/>
                <w:lang w:val="af-ZA"/>
              </w:rPr>
              <w:t xml:space="preserve"> </w:t>
            </w:r>
            <w:r w:rsidRPr="00BC61ED">
              <w:rPr>
                <w:sz w:val="20"/>
                <w:szCs w:val="20"/>
              </w:rPr>
              <w:t>գույքագրումը</w:t>
            </w:r>
            <w:r w:rsidRPr="00BC61ED">
              <w:rPr>
                <w:sz w:val="20"/>
                <w:szCs w:val="20"/>
                <w:lang w:val="af-ZA"/>
              </w:rPr>
              <w:t xml:space="preserve"> </w:t>
            </w:r>
            <w:r w:rsidRPr="00BC61ED">
              <w:rPr>
                <w:sz w:val="20"/>
                <w:szCs w:val="20"/>
              </w:rPr>
              <w:t>պետական</w:t>
            </w:r>
            <w:r w:rsidRPr="00BC61ED">
              <w:rPr>
                <w:sz w:val="20"/>
                <w:szCs w:val="20"/>
                <w:lang w:val="af-ZA"/>
              </w:rPr>
              <w:t xml:space="preserve"> </w:t>
            </w:r>
            <w:r w:rsidRPr="00BC61ED">
              <w:rPr>
                <w:sz w:val="20"/>
                <w:szCs w:val="20"/>
              </w:rPr>
              <w:t>միջոցառում</w:t>
            </w:r>
            <w:r w:rsidRPr="00BC61ED">
              <w:rPr>
                <w:sz w:val="20"/>
                <w:szCs w:val="20"/>
                <w:lang w:val="af-ZA"/>
              </w:rPr>
              <w:t xml:space="preserve"> </w:t>
            </w:r>
            <w:r w:rsidRPr="00BC61ED">
              <w:rPr>
                <w:sz w:val="20"/>
                <w:szCs w:val="20"/>
              </w:rPr>
              <w:t>է</w:t>
            </w:r>
            <w:r w:rsidRPr="00BC61ED">
              <w:rPr>
                <w:sz w:val="20"/>
                <w:szCs w:val="20"/>
                <w:lang w:val="af-ZA"/>
              </w:rPr>
              <w:t xml:space="preserve">, </w:t>
            </w:r>
            <w:r w:rsidRPr="00BC61ED">
              <w:rPr>
                <w:sz w:val="20"/>
                <w:szCs w:val="20"/>
              </w:rPr>
              <w:t>որը</w:t>
            </w:r>
            <w:r w:rsidRPr="00BC61ED">
              <w:rPr>
                <w:sz w:val="20"/>
                <w:szCs w:val="20"/>
                <w:lang w:val="af-ZA"/>
              </w:rPr>
              <w:t xml:space="preserve"> </w:t>
            </w:r>
            <w:r w:rsidRPr="00BC61ED">
              <w:rPr>
                <w:sz w:val="20"/>
                <w:szCs w:val="20"/>
              </w:rPr>
              <w:t>նախկինում</w:t>
            </w:r>
            <w:r w:rsidRPr="00BC61ED">
              <w:rPr>
                <w:sz w:val="20"/>
                <w:szCs w:val="20"/>
                <w:lang w:val="af-ZA"/>
              </w:rPr>
              <w:t xml:space="preserve"> </w:t>
            </w:r>
            <w:r w:rsidRPr="00BC61ED">
              <w:rPr>
                <w:sz w:val="20"/>
                <w:szCs w:val="20"/>
              </w:rPr>
              <w:t>իրականացվում</w:t>
            </w:r>
            <w:r w:rsidRPr="00BC61ED">
              <w:rPr>
                <w:sz w:val="20"/>
                <w:szCs w:val="20"/>
                <w:lang w:val="af-ZA"/>
              </w:rPr>
              <w:t xml:space="preserve"> </w:t>
            </w:r>
            <w:r w:rsidRPr="00BC61ED">
              <w:rPr>
                <w:sz w:val="20"/>
                <w:szCs w:val="20"/>
              </w:rPr>
              <w:t>էր</w:t>
            </w:r>
            <w:r w:rsidRPr="00BC61ED">
              <w:rPr>
                <w:sz w:val="20"/>
                <w:szCs w:val="20"/>
                <w:lang w:val="af-ZA"/>
              </w:rPr>
              <w:t xml:space="preserve"> </w:t>
            </w:r>
            <w:r w:rsidRPr="00BC61ED">
              <w:rPr>
                <w:sz w:val="20"/>
                <w:szCs w:val="20"/>
              </w:rPr>
              <w:t>յուրաքանչյուր</w:t>
            </w:r>
            <w:r w:rsidRPr="00BC61ED">
              <w:rPr>
                <w:sz w:val="20"/>
                <w:szCs w:val="20"/>
                <w:lang w:val="af-ZA"/>
              </w:rPr>
              <w:t xml:space="preserve"> 5 </w:t>
            </w:r>
            <w:r w:rsidRPr="00BC61ED">
              <w:rPr>
                <w:sz w:val="20"/>
                <w:szCs w:val="20"/>
              </w:rPr>
              <w:t>տարին</w:t>
            </w:r>
            <w:r w:rsidRPr="00BC61ED">
              <w:rPr>
                <w:sz w:val="20"/>
                <w:szCs w:val="20"/>
                <w:lang w:val="af-ZA"/>
              </w:rPr>
              <w:t xml:space="preserve"> </w:t>
            </w:r>
            <w:r w:rsidRPr="00BC61ED">
              <w:rPr>
                <w:sz w:val="20"/>
                <w:szCs w:val="20"/>
              </w:rPr>
              <w:t>մեկ</w:t>
            </w:r>
            <w:r w:rsidRPr="00BC61ED">
              <w:rPr>
                <w:sz w:val="20"/>
                <w:szCs w:val="20"/>
                <w:lang w:val="af-ZA"/>
              </w:rPr>
              <w:t xml:space="preserve">: </w:t>
            </w:r>
            <w:r w:rsidRPr="00BC61ED">
              <w:rPr>
                <w:sz w:val="20"/>
                <w:szCs w:val="20"/>
              </w:rPr>
              <w:t>Հողերի</w:t>
            </w:r>
            <w:r w:rsidRPr="00BC61ED">
              <w:rPr>
                <w:sz w:val="20"/>
                <w:szCs w:val="20"/>
                <w:lang w:val="af-ZA"/>
              </w:rPr>
              <w:t xml:space="preserve"> </w:t>
            </w:r>
            <w:r w:rsidRPr="00BC61ED">
              <w:rPr>
                <w:sz w:val="20"/>
                <w:szCs w:val="20"/>
              </w:rPr>
              <w:t>սեփականաշնորհման</w:t>
            </w:r>
            <w:r w:rsidRPr="00BC61ED">
              <w:rPr>
                <w:sz w:val="20"/>
                <w:szCs w:val="20"/>
                <w:lang w:val="af-ZA"/>
              </w:rPr>
              <w:t xml:space="preserve"> </w:t>
            </w:r>
            <w:r w:rsidRPr="00BC61ED">
              <w:rPr>
                <w:sz w:val="20"/>
                <w:szCs w:val="20"/>
              </w:rPr>
              <w:t>գործընթացից</w:t>
            </w:r>
            <w:r w:rsidRPr="00BC61ED">
              <w:rPr>
                <w:sz w:val="20"/>
                <w:szCs w:val="20"/>
                <w:lang w:val="af-ZA"/>
              </w:rPr>
              <w:t xml:space="preserve"> </w:t>
            </w:r>
            <w:r w:rsidRPr="00BC61ED">
              <w:rPr>
                <w:sz w:val="20"/>
                <w:szCs w:val="20"/>
              </w:rPr>
              <w:t>հետո</w:t>
            </w:r>
            <w:r w:rsidRPr="00BC61ED">
              <w:rPr>
                <w:sz w:val="20"/>
                <w:szCs w:val="20"/>
                <w:lang w:val="af-ZA"/>
              </w:rPr>
              <w:t xml:space="preserve"> (1991-1993 </w:t>
            </w:r>
            <w:r w:rsidRPr="00BC61ED">
              <w:rPr>
                <w:sz w:val="20"/>
                <w:szCs w:val="20"/>
              </w:rPr>
              <w:t>թթ</w:t>
            </w:r>
            <w:r w:rsidRPr="00BC61ED">
              <w:rPr>
                <w:sz w:val="20"/>
                <w:szCs w:val="20"/>
                <w:lang w:val="af-ZA"/>
              </w:rPr>
              <w:t xml:space="preserve">.) </w:t>
            </w:r>
            <w:r w:rsidRPr="00BC61ED">
              <w:rPr>
                <w:sz w:val="20"/>
                <w:szCs w:val="20"/>
              </w:rPr>
              <w:t>Հայաստանի</w:t>
            </w:r>
            <w:r w:rsidRPr="00BC61ED">
              <w:rPr>
                <w:sz w:val="20"/>
                <w:szCs w:val="20"/>
                <w:lang w:val="af-ZA"/>
              </w:rPr>
              <w:t xml:space="preserve"> </w:t>
            </w:r>
            <w:r w:rsidRPr="00BC61ED">
              <w:rPr>
                <w:sz w:val="20"/>
                <w:szCs w:val="20"/>
              </w:rPr>
              <w:t>Հանրապետությունում</w:t>
            </w:r>
            <w:r w:rsidRPr="00BC61ED">
              <w:rPr>
                <w:sz w:val="20"/>
                <w:szCs w:val="20"/>
                <w:lang w:val="af-ZA"/>
              </w:rPr>
              <w:t xml:space="preserve"> </w:t>
            </w:r>
            <w:r w:rsidRPr="00BC61ED">
              <w:rPr>
                <w:sz w:val="20"/>
                <w:szCs w:val="20"/>
              </w:rPr>
              <w:t>գյուղատնտեսական</w:t>
            </w:r>
            <w:r w:rsidRPr="00BC61ED">
              <w:rPr>
                <w:sz w:val="20"/>
                <w:szCs w:val="20"/>
                <w:lang w:val="af-ZA"/>
              </w:rPr>
              <w:t xml:space="preserve"> </w:t>
            </w:r>
            <w:r w:rsidRPr="00BC61ED">
              <w:rPr>
                <w:sz w:val="20"/>
                <w:szCs w:val="20"/>
              </w:rPr>
              <w:t>նշանակության</w:t>
            </w:r>
            <w:r w:rsidRPr="00BC61ED">
              <w:rPr>
                <w:sz w:val="20"/>
                <w:szCs w:val="20"/>
                <w:lang w:val="af-ZA"/>
              </w:rPr>
              <w:t xml:space="preserve"> </w:t>
            </w:r>
            <w:r w:rsidRPr="00BC61ED">
              <w:rPr>
                <w:sz w:val="20"/>
                <w:szCs w:val="20"/>
              </w:rPr>
              <w:t>հողերի</w:t>
            </w:r>
            <w:r w:rsidRPr="00BC61ED">
              <w:rPr>
                <w:sz w:val="20"/>
                <w:szCs w:val="20"/>
                <w:lang w:val="af-ZA"/>
              </w:rPr>
              <w:t xml:space="preserve"> </w:t>
            </w:r>
            <w:r w:rsidRPr="00BC61ED">
              <w:rPr>
                <w:sz w:val="20"/>
                <w:szCs w:val="20"/>
              </w:rPr>
              <w:t>գույքագրման</w:t>
            </w:r>
            <w:r w:rsidRPr="00BC61ED">
              <w:rPr>
                <w:sz w:val="20"/>
                <w:szCs w:val="20"/>
                <w:lang w:val="af-ZA"/>
              </w:rPr>
              <w:t xml:space="preserve"> </w:t>
            </w:r>
            <w:r w:rsidRPr="00BC61ED">
              <w:rPr>
                <w:sz w:val="20"/>
                <w:szCs w:val="20"/>
              </w:rPr>
              <w:t>աշխատանքներ</w:t>
            </w:r>
            <w:r w:rsidRPr="00BC61ED">
              <w:rPr>
                <w:sz w:val="20"/>
                <w:szCs w:val="20"/>
                <w:lang w:val="af-ZA"/>
              </w:rPr>
              <w:t xml:space="preserve"> </w:t>
            </w:r>
            <w:r w:rsidRPr="00BC61ED">
              <w:rPr>
                <w:sz w:val="20"/>
                <w:szCs w:val="20"/>
              </w:rPr>
              <w:t>չեն</w:t>
            </w:r>
            <w:r w:rsidRPr="00BC61ED">
              <w:rPr>
                <w:sz w:val="20"/>
                <w:szCs w:val="20"/>
                <w:lang w:val="af-ZA"/>
              </w:rPr>
              <w:t xml:space="preserve"> </w:t>
            </w:r>
            <w:r w:rsidRPr="00BC61ED">
              <w:rPr>
                <w:sz w:val="20"/>
                <w:szCs w:val="20"/>
              </w:rPr>
              <w:t>իրականացվել</w:t>
            </w:r>
            <w:r w:rsidRPr="00BC61ED">
              <w:rPr>
                <w:sz w:val="20"/>
                <w:szCs w:val="20"/>
                <w:lang w:val="af-ZA"/>
              </w:rPr>
              <w:t xml:space="preserve">: </w:t>
            </w:r>
            <w:r w:rsidRPr="00BC61ED">
              <w:rPr>
                <w:sz w:val="20"/>
                <w:szCs w:val="20"/>
              </w:rPr>
              <w:t>Տարիների</w:t>
            </w:r>
            <w:r w:rsidRPr="00BC61ED">
              <w:rPr>
                <w:sz w:val="20"/>
                <w:szCs w:val="20"/>
                <w:lang w:val="af-ZA"/>
              </w:rPr>
              <w:t xml:space="preserve"> </w:t>
            </w:r>
            <w:r w:rsidRPr="00BC61ED">
              <w:rPr>
                <w:sz w:val="20"/>
                <w:szCs w:val="20"/>
              </w:rPr>
              <w:t>ընթացքում</w:t>
            </w:r>
            <w:r w:rsidRPr="00BC61ED">
              <w:rPr>
                <w:sz w:val="20"/>
                <w:szCs w:val="20"/>
                <w:lang w:val="af-ZA"/>
              </w:rPr>
              <w:t xml:space="preserve"> </w:t>
            </w:r>
            <w:r w:rsidRPr="00BC61ED">
              <w:rPr>
                <w:sz w:val="20"/>
                <w:szCs w:val="20"/>
              </w:rPr>
              <w:t>տեղի</w:t>
            </w:r>
            <w:r w:rsidRPr="00BC61ED">
              <w:rPr>
                <w:sz w:val="20"/>
                <w:szCs w:val="20"/>
                <w:lang w:val="af-ZA"/>
              </w:rPr>
              <w:t xml:space="preserve"> </w:t>
            </w:r>
            <w:r w:rsidRPr="00BC61ED">
              <w:rPr>
                <w:sz w:val="20"/>
                <w:szCs w:val="20"/>
              </w:rPr>
              <w:t>են</w:t>
            </w:r>
            <w:r w:rsidRPr="00BC61ED">
              <w:rPr>
                <w:sz w:val="20"/>
                <w:szCs w:val="20"/>
                <w:lang w:val="af-ZA"/>
              </w:rPr>
              <w:t xml:space="preserve"> </w:t>
            </w:r>
            <w:r w:rsidRPr="00BC61ED">
              <w:rPr>
                <w:sz w:val="20"/>
                <w:szCs w:val="20"/>
              </w:rPr>
              <w:t>ունեցել</w:t>
            </w:r>
            <w:r w:rsidRPr="00BC61ED">
              <w:rPr>
                <w:sz w:val="20"/>
                <w:szCs w:val="20"/>
                <w:lang w:val="af-ZA"/>
              </w:rPr>
              <w:t xml:space="preserve"> </w:t>
            </w:r>
            <w:r w:rsidRPr="00BC61ED">
              <w:rPr>
                <w:sz w:val="20"/>
                <w:szCs w:val="20"/>
              </w:rPr>
              <w:t>հողերի</w:t>
            </w:r>
            <w:r w:rsidRPr="00BC61ED">
              <w:rPr>
                <w:sz w:val="20"/>
                <w:szCs w:val="20"/>
                <w:lang w:val="af-ZA"/>
              </w:rPr>
              <w:t xml:space="preserve"> </w:t>
            </w:r>
            <w:r w:rsidRPr="00BC61ED">
              <w:rPr>
                <w:sz w:val="20"/>
                <w:szCs w:val="20"/>
              </w:rPr>
              <w:t>նպատակային</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գործառնական</w:t>
            </w:r>
            <w:r w:rsidRPr="00BC61ED">
              <w:rPr>
                <w:sz w:val="20"/>
                <w:szCs w:val="20"/>
                <w:lang w:val="af-ZA"/>
              </w:rPr>
              <w:t xml:space="preserve"> </w:t>
            </w:r>
            <w:r w:rsidRPr="00BC61ED">
              <w:rPr>
                <w:sz w:val="20"/>
                <w:szCs w:val="20"/>
              </w:rPr>
              <w:t>նշանակության</w:t>
            </w:r>
            <w:r w:rsidRPr="00BC61ED">
              <w:rPr>
                <w:sz w:val="20"/>
                <w:szCs w:val="20"/>
                <w:lang w:val="af-ZA"/>
              </w:rPr>
              <w:t xml:space="preserve"> (</w:t>
            </w:r>
            <w:r w:rsidRPr="00BC61ED">
              <w:rPr>
                <w:sz w:val="20"/>
                <w:szCs w:val="20"/>
              </w:rPr>
              <w:t>հողատեսքերի</w:t>
            </w:r>
            <w:r w:rsidRPr="00BC61ED">
              <w:rPr>
                <w:sz w:val="20"/>
                <w:szCs w:val="20"/>
                <w:lang w:val="af-ZA"/>
              </w:rPr>
              <w:t xml:space="preserve">) </w:t>
            </w:r>
            <w:r w:rsidRPr="00BC61ED">
              <w:rPr>
                <w:sz w:val="20"/>
                <w:szCs w:val="20"/>
              </w:rPr>
              <w:t>բազմաթիվ</w:t>
            </w:r>
            <w:r w:rsidRPr="00BC61ED">
              <w:rPr>
                <w:sz w:val="20"/>
                <w:szCs w:val="20"/>
                <w:lang w:val="af-ZA"/>
              </w:rPr>
              <w:t xml:space="preserve"> </w:t>
            </w:r>
            <w:r w:rsidRPr="00BC61ED">
              <w:rPr>
                <w:sz w:val="20"/>
                <w:szCs w:val="20"/>
              </w:rPr>
              <w:t>փոփոխություններ</w:t>
            </w:r>
            <w:r w:rsidRPr="00BC61ED">
              <w:rPr>
                <w:sz w:val="20"/>
                <w:szCs w:val="20"/>
                <w:lang w:val="af-ZA"/>
              </w:rPr>
              <w:t xml:space="preserve">, </w:t>
            </w:r>
            <w:r w:rsidRPr="00BC61ED">
              <w:rPr>
                <w:sz w:val="20"/>
                <w:szCs w:val="20"/>
              </w:rPr>
              <w:t>որոնք</w:t>
            </w:r>
            <w:r w:rsidRPr="00BC61ED">
              <w:rPr>
                <w:sz w:val="20"/>
                <w:szCs w:val="20"/>
                <w:lang w:val="af-ZA"/>
              </w:rPr>
              <w:t xml:space="preserve"> </w:t>
            </w:r>
            <w:r w:rsidRPr="00BC61ED">
              <w:rPr>
                <w:sz w:val="20"/>
                <w:szCs w:val="20"/>
              </w:rPr>
              <w:t>ամբողջությամբ</w:t>
            </w:r>
            <w:r w:rsidRPr="00BC61ED">
              <w:rPr>
                <w:sz w:val="20"/>
                <w:szCs w:val="20"/>
                <w:lang w:val="af-ZA"/>
              </w:rPr>
              <w:t xml:space="preserve"> </w:t>
            </w:r>
            <w:r w:rsidRPr="00BC61ED">
              <w:rPr>
                <w:sz w:val="20"/>
                <w:szCs w:val="20"/>
              </w:rPr>
              <w:t>չեն</w:t>
            </w:r>
            <w:r w:rsidRPr="00BC61ED">
              <w:rPr>
                <w:sz w:val="20"/>
                <w:szCs w:val="20"/>
                <w:lang w:val="af-ZA"/>
              </w:rPr>
              <w:t xml:space="preserve"> </w:t>
            </w:r>
            <w:r w:rsidRPr="00BC61ED">
              <w:rPr>
                <w:sz w:val="20"/>
                <w:szCs w:val="20"/>
              </w:rPr>
              <w:t>արտահայտվել</w:t>
            </w:r>
            <w:r w:rsidRPr="00BC61ED">
              <w:rPr>
                <w:sz w:val="20"/>
                <w:szCs w:val="20"/>
                <w:lang w:val="af-ZA"/>
              </w:rPr>
              <w:t xml:space="preserve"> </w:t>
            </w:r>
            <w:r w:rsidRPr="00BC61ED">
              <w:rPr>
                <w:sz w:val="20"/>
                <w:szCs w:val="20"/>
              </w:rPr>
              <w:t>համայնքների</w:t>
            </w:r>
            <w:r w:rsidRPr="00BC61ED">
              <w:rPr>
                <w:sz w:val="20"/>
                <w:szCs w:val="20"/>
                <w:lang w:val="af-ZA"/>
              </w:rPr>
              <w:t xml:space="preserve"> </w:t>
            </w:r>
            <w:r w:rsidRPr="00BC61ED">
              <w:rPr>
                <w:sz w:val="20"/>
                <w:szCs w:val="20"/>
              </w:rPr>
              <w:t>կադաստրային</w:t>
            </w:r>
            <w:r w:rsidRPr="00BC61ED">
              <w:rPr>
                <w:sz w:val="20"/>
                <w:szCs w:val="20"/>
                <w:lang w:val="af-ZA"/>
              </w:rPr>
              <w:t xml:space="preserve"> </w:t>
            </w:r>
            <w:r w:rsidRPr="00BC61ED">
              <w:rPr>
                <w:sz w:val="20"/>
                <w:szCs w:val="20"/>
              </w:rPr>
              <w:t>քարտեզներում</w:t>
            </w:r>
            <w:r w:rsidRPr="00BC61ED">
              <w:rPr>
                <w:sz w:val="20"/>
                <w:szCs w:val="20"/>
                <w:lang w:val="af-ZA"/>
              </w:rPr>
              <w:t xml:space="preserve"> (</w:t>
            </w:r>
            <w:r w:rsidRPr="00BC61ED">
              <w:rPr>
                <w:sz w:val="20"/>
                <w:szCs w:val="20"/>
              </w:rPr>
              <w:t>հատակագծերում</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հողային</w:t>
            </w:r>
            <w:r w:rsidRPr="00BC61ED">
              <w:rPr>
                <w:sz w:val="20"/>
                <w:szCs w:val="20"/>
                <w:lang w:val="af-ZA"/>
              </w:rPr>
              <w:t xml:space="preserve"> </w:t>
            </w:r>
            <w:r w:rsidRPr="00BC61ED">
              <w:rPr>
                <w:sz w:val="20"/>
                <w:szCs w:val="20"/>
              </w:rPr>
              <w:t>հաշվեկշիռներում</w:t>
            </w:r>
            <w:r w:rsidRPr="00BC61ED">
              <w:rPr>
                <w:sz w:val="20"/>
                <w:szCs w:val="20"/>
                <w:lang w:val="af-ZA"/>
              </w:rPr>
              <w:t xml:space="preserve">: </w:t>
            </w:r>
            <w:r w:rsidRPr="00BC61ED">
              <w:rPr>
                <w:sz w:val="20"/>
                <w:szCs w:val="20"/>
              </w:rPr>
              <w:t>Մասնավորապես</w:t>
            </w:r>
            <w:r w:rsidRPr="00BC61ED">
              <w:rPr>
                <w:sz w:val="20"/>
                <w:szCs w:val="20"/>
                <w:lang w:val="af-ZA"/>
              </w:rPr>
              <w:t xml:space="preserve"> </w:t>
            </w:r>
            <w:r w:rsidRPr="00BC61ED">
              <w:rPr>
                <w:sz w:val="20"/>
                <w:szCs w:val="20"/>
              </w:rPr>
              <w:t>շատ</w:t>
            </w:r>
            <w:r w:rsidRPr="00BC61ED">
              <w:rPr>
                <w:sz w:val="20"/>
                <w:szCs w:val="20"/>
                <w:lang w:val="af-ZA"/>
              </w:rPr>
              <w:t xml:space="preserve"> </w:t>
            </w:r>
            <w:r w:rsidRPr="00BC61ED">
              <w:rPr>
                <w:sz w:val="20"/>
                <w:szCs w:val="20"/>
              </w:rPr>
              <w:t>համայնքներում</w:t>
            </w:r>
            <w:r w:rsidRPr="00BC61ED">
              <w:rPr>
                <w:sz w:val="20"/>
                <w:szCs w:val="20"/>
                <w:lang w:val="af-ZA"/>
              </w:rPr>
              <w:t xml:space="preserve"> </w:t>
            </w:r>
            <w:r w:rsidRPr="00BC61ED">
              <w:rPr>
                <w:sz w:val="20"/>
                <w:szCs w:val="20"/>
              </w:rPr>
              <w:t>մասնավորեցվել</w:t>
            </w:r>
            <w:r w:rsidRPr="00BC61ED">
              <w:rPr>
                <w:sz w:val="20"/>
                <w:szCs w:val="20"/>
                <w:lang w:val="af-ZA"/>
              </w:rPr>
              <w:t xml:space="preserve"> </w:t>
            </w:r>
            <w:r w:rsidRPr="00BC61ED">
              <w:rPr>
                <w:sz w:val="20"/>
                <w:szCs w:val="20"/>
              </w:rPr>
              <w:t>են</w:t>
            </w:r>
            <w:r w:rsidRPr="00BC61ED">
              <w:rPr>
                <w:sz w:val="20"/>
                <w:szCs w:val="20"/>
                <w:lang w:val="af-ZA"/>
              </w:rPr>
              <w:t xml:space="preserve"> </w:t>
            </w:r>
            <w:r w:rsidRPr="00BC61ED">
              <w:rPr>
                <w:sz w:val="20"/>
                <w:szCs w:val="20"/>
              </w:rPr>
              <w:t>գյուղատնտեսական</w:t>
            </w:r>
            <w:r w:rsidRPr="00BC61ED">
              <w:rPr>
                <w:sz w:val="20"/>
                <w:szCs w:val="20"/>
                <w:lang w:val="af-ZA"/>
              </w:rPr>
              <w:t xml:space="preserve"> </w:t>
            </w:r>
            <w:r w:rsidRPr="00BC61ED">
              <w:rPr>
                <w:sz w:val="20"/>
                <w:szCs w:val="20"/>
              </w:rPr>
              <w:t>նշանակության</w:t>
            </w:r>
            <w:r w:rsidRPr="00BC61ED">
              <w:rPr>
                <w:sz w:val="20"/>
                <w:szCs w:val="20"/>
                <w:lang w:val="af-ZA"/>
              </w:rPr>
              <w:t xml:space="preserve"> </w:t>
            </w:r>
            <w:r w:rsidRPr="00BC61ED">
              <w:rPr>
                <w:sz w:val="20"/>
                <w:szCs w:val="20"/>
              </w:rPr>
              <w:t>անջրդի</w:t>
            </w:r>
            <w:r w:rsidRPr="00BC61ED">
              <w:rPr>
                <w:sz w:val="20"/>
                <w:szCs w:val="20"/>
                <w:lang w:val="af-ZA"/>
              </w:rPr>
              <w:t xml:space="preserve"> </w:t>
            </w:r>
            <w:r w:rsidRPr="00BC61ED">
              <w:rPr>
                <w:sz w:val="20"/>
                <w:szCs w:val="20"/>
              </w:rPr>
              <w:t>արոտներ</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այլ</w:t>
            </w:r>
            <w:r w:rsidRPr="00BC61ED">
              <w:rPr>
                <w:sz w:val="20"/>
                <w:szCs w:val="20"/>
                <w:lang w:val="af-ZA"/>
              </w:rPr>
              <w:t xml:space="preserve"> </w:t>
            </w:r>
            <w:r w:rsidRPr="00BC61ED">
              <w:rPr>
                <w:sz w:val="20"/>
                <w:szCs w:val="20"/>
              </w:rPr>
              <w:t>հողատեսքեր</w:t>
            </w:r>
            <w:r w:rsidRPr="00BC61ED">
              <w:rPr>
                <w:sz w:val="20"/>
                <w:szCs w:val="20"/>
                <w:lang w:val="af-ZA"/>
              </w:rPr>
              <w:t xml:space="preserve">, </w:t>
            </w:r>
            <w:r w:rsidRPr="00BC61ED">
              <w:rPr>
                <w:sz w:val="20"/>
                <w:szCs w:val="20"/>
              </w:rPr>
              <w:t>որոնք</w:t>
            </w:r>
            <w:r w:rsidRPr="00BC61ED">
              <w:rPr>
                <w:sz w:val="20"/>
                <w:szCs w:val="20"/>
                <w:lang w:val="af-ZA"/>
              </w:rPr>
              <w:t xml:space="preserve"> </w:t>
            </w:r>
            <w:r w:rsidRPr="00BC61ED">
              <w:rPr>
                <w:sz w:val="20"/>
                <w:szCs w:val="20"/>
              </w:rPr>
              <w:t>արդեն</w:t>
            </w:r>
            <w:r w:rsidRPr="00BC61ED">
              <w:rPr>
                <w:sz w:val="20"/>
                <w:szCs w:val="20"/>
                <w:lang w:val="af-ZA"/>
              </w:rPr>
              <w:t xml:space="preserve"> </w:t>
            </w:r>
            <w:r w:rsidRPr="00BC61ED">
              <w:rPr>
                <w:sz w:val="20"/>
                <w:szCs w:val="20"/>
              </w:rPr>
              <w:t>փոխադրվել</w:t>
            </w:r>
            <w:r w:rsidRPr="00BC61ED">
              <w:rPr>
                <w:sz w:val="20"/>
                <w:szCs w:val="20"/>
                <w:lang w:val="af-ZA"/>
              </w:rPr>
              <w:t xml:space="preserve"> </w:t>
            </w:r>
            <w:r w:rsidRPr="00BC61ED">
              <w:rPr>
                <w:sz w:val="20"/>
                <w:szCs w:val="20"/>
              </w:rPr>
              <w:t>են</w:t>
            </w:r>
            <w:r w:rsidRPr="00BC61ED">
              <w:rPr>
                <w:sz w:val="20"/>
                <w:szCs w:val="20"/>
                <w:lang w:val="af-ZA"/>
              </w:rPr>
              <w:t xml:space="preserve"> </w:t>
            </w:r>
            <w:r w:rsidRPr="00BC61ED">
              <w:rPr>
                <w:sz w:val="20"/>
                <w:szCs w:val="20"/>
              </w:rPr>
              <w:t>ոռոգվող</w:t>
            </w:r>
            <w:r w:rsidRPr="00BC61ED">
              <w:rPr>
                <w:sz w:val="20"/>
                <w:szCs w:val="20"/>
                <w:lang w:val="af-ZA"/>
              </w:rPr>
              <w:t xml:space="preserve">, </w:t>
            </w:r>
            <w:r w:rsidRPr="00BC61ED">
              <w:rPr>
                <w:sz w:val="20"/>
                <w:szCs w:val="20"/>
              </w:rPr>
              <w:t>ավելի</w:t>
            </w:r>
            <w:r w:rsidRPr="00BC61ED">
              <w:rPr>
                <w:sz w:val="20"/>
                <w:szCs w:val="20"/>
                <w:lang w:val="af-ZA"/>
              </w:rPr>
              <w:t xml:space="preserve"> </w:t>
            </w:r>
            <w:r w:rsidRPr="00BC61ED">
              <w:rPr>
                <w:sz w:val="20"/>
                <w:szCs w:val="20"/>
              </w:rPr>
              <w:t>բարձրարժեք</w:t>
            </w:r>
            <w:r w:rsidRPr="00BC61ED">
              <w:rPr>
                <w:sz w:val="20"/>
                <w:szCs w:val="20"/>
                <w:lang w:val="af-ZA"/>
              </w:rPr>
              <w:t xml:space="preserve"> </w:t>
            </w:r>
            <w:r w:rsidRPr="00BC61ED">
              <w:rPr>
                <w:sz w:val="20"/>
                <w:szCs w:val="20"/>
              </w:rPr>
              <w:t>հողատեսքերի</w:t>
            </w:r>
            <w:r w:rsidRPr="00BC61ED">
              <w:rPr>
                <w:sz w:val="20"/>
                <w:szCs w:val="20"/>
                <w:lang w:val="af-ZA"/>
              </w:rPr>
              <w:t xml:space="preserve"> (</w:t>
            </w:r>
            <w:r w:rsidRPr="00BC61ED">
              <w:rPr>
                <w:sz w:val="20"/>
                <w:szCs w:val="20"/>
              </w:rPr>
              <w:t>վարելահողեր</w:t>
            </w:r>
            <w:r w:rsidRPr="00BC61ED">
              <w:rPr>
                <w:sz w:val="20"/>
                <w:szCs w:val="20"/>
                <w:lang w:val="af-ZA"/>
              </w:rPr>
              <w:t xml:space="preserve">, </w:t>
            </w:r>
            <w:r w:rsidRPr="00BC61ED">
              <w:rPr>
                <w:sz w:val="20"/>
                <w:szCs w:val="20"/>
              </w:rPr>
              <w:t>բազմամյա</w:t>
            </w:r>
            <w:r w:rsidRPr="00BC61ED">
              <w:rPr>
                <w:sz w:val="20"/>
                <w:szCs w:val="20"/>
                <w:lang w:val="af-ZA"/>
              </w:rPr>
              <w:t xml:space="preserve"> </w:t>
            </w:r>
            <w:r w:rsidRPr="00BC61ED">
              <w:rPr>
                <w:sz w:val="20"/>
                <w:szCs w:val="20"/>
              </w:rPr>
              <w:t>տնկարկներ</w:t>
            </w:r>
            <w:r w:rsidRPr="00BC61ED">
              <w:rPr>
                <w:sz w:val="20"/>
                <w:szCs w:val="20"/>
                <w:lang w:val="af-ZA"/>
              </w:rPr>
              <w:t xml:space="preserve">, </w:t>
            </w:r>
            <w:r w:rsidRPr="00BC61ED">
              <w:rPr>
                <w:sz w:val="20"/>
                <w:szCs w:val="20"/>
              </w:rPr>
              <w:t>խոտհարքներ</w:t>
            </w:r>
            <w:r w:rsidRPr="00BC61ED">
              <w:rPr>
                <w:sz w:val="20"/>
                <w:szCs w:val="20"/>
                <w:lang w:val="af-ZA"/>
              </w:rPr>
              <w:t xml:space="preserve">), </w:t>
            </w:r>
            <w:r w:rsidRPr="00BC61ED">
              <w:rPr>
                <w:sz w:val="20"/>
                <w:szCs w:val="20"/>
              </w:rPr>
              <w:t>սակայն</w:t>
            </w:r>
            <w:r w:rsidRPr="00BC61ED">
              <w:rPr>
                <w:sz w:val="20"/>
                <w:szCs w:val="20"/>
                <w:lang w:val="af-ZA"/>
              </w:rPr>
              <w:t xml:space="preserve"> </w:t>
            </w:r>
            <w:r w:rsidRPr="00BC61ED">
              <w:rPr>
                <w:sz w:val="20"/>
                <w:szCs w:val="20"/>
              </w:rPr>
              <w:t>դրանք</w:t>
            </w:r>
            <w:r w:rsidRPr="00BC61ED">
              <w:rPr>
                <w:sz w:val="20"/>
                <w:szCs w:val="20"/>
                <w:lang w:val="af-ZA"/>
              </w:rPr>
              <w:t xml:space="preserve"> </w:t>
            </w:r>
            <w:r w:rsidRPr="00BC61ED">
              <w:rPr>
                <w:sz w:val="20"/>
                <w:szCs w:val="20"/>
              </w:rPr>
              <w:t>կադաստրային</w:t>
            </w:r>
            <w:r w:rsidRPr="00BC61ED">
              <w:rPr>
                <w:sz w:val="20"/>
                <w:szCs w:val="20"/>
                <w:lang w:val="af-ZA"/>
              </w:rPr>
              <w:t xml:space="preserve"> </w:t>
            </w:r>
            <w:r w:rsidRPr="00BC61ED">
              <w:rPr>
                <w:sz w:val="20"/>
                <w:szCs w:val="20"/>
              </w:rPr>
              <w:t>քարտեզներում</w:t>
            </w:r>
            <w:r w:rsidRPr="00BC61ED">
              <w:rPr>
                <w:sz w:val="20"/>
                <w:szCs w:val="20"/>
                <w:lang w:val="af-ZA"/>
              </w:rPr>
              <w:t xml:space="preserve"> </w:t>
            </w:r>
            <w:r w:rsidRPr="00BC61ED">
              <w:rPr>
                <w:sz w:val="20"/>
                <w:szCs w:val="20"/>
              </w:rPr>
              <w:t>չեն</w:t>
            </w:r>
            <w:r w:rsidRPr="00BC61ED">
              <w:rPr>
                <w:sz w:val="20"/>
                <w:szCs w:val="20"/>
                <w:lang w:val="af-ZA"/>
              </w:rPr>
              <w:t xml:space="preserve"> </w:t>
            </w:r>
            <w:r w:rsidRPr="00BC61ED">
              <w:rPr>
                <w:sz w:val="20"/>
                <w:szCs w:val="20"/>
              </w:rPr>
              <w:t>արտահայտվել</w:t>
            </w:r>
            <w:r w:rsidRPr="00BC61ED">
              <w:rPr>
                <w:sz w:val="20"/>
                <w:szCs w:val="20"/>
                <w:lang w:val="af-ZA"/>
              </w:rPr>
              <w:t xml:space="preserve">: </w:t>
            </w:r>
            <w:r w:rsidRPr="00BC61ED">
              <w:rPr>
                <w:sz w:val="20"/>
                <w:szCs w:val="20"/>
              </w:rPr>
              <w:t>Առկա</w:t>
            </w:r>
            <w:r w:rsidRPr="00BC61ED">
              <w:rPr>
                <w:sz w:val="20"/>
                <w:szCs w:val="20"/>
                <w:lang w:val="af-ZA"/>
              </w:rPr>
              <w:t xml:space="preserve"> </w:t>
            </w:r>
            <w:r w:rsidRPr="00BC61ED">
              <w:rPr>
                <w:sz w:val="20"/>
                <w:szCs w:val="20"/>
              </w:rPr>
              <w:t>են</w:t>
            </w:r>
            <w:r w:rsidRPr="00BC61ED">
              <w:rPr>
                <w:sz w:val="20"/>
                <w:szCs w:val="20"/>
                <w:lang w:val="af-ZA"/>
              </w:rPr>
              <w:t xml:space="preserve"> </w:t>
            </w:r>
            <w:r w:rsidRPr="00BC61ED">
              <w:rPr>
                <w:sz w:val="20"/>
                <w:szCs w:val="20"/>
              </w:rPr>
              <w:t>պետության</w:t>
            </w:r>
            <w:r w:rsidRPr="00BC61ED">
              <w:rPr>
                <w:sz w:val="20"/>
                <w:szCs w:val="20"/>
                <w:lang w:val="af-ZA"/>
              </w:rPr>
              <w:t xml:space="preserve">, </w:t>
            </w:r>
            <w:r w:rsidRPr="00BC61ED">
              <w:rPr>
                <w:sz w:val="20"/>
                <w:szCs w:val="20"/>
              </w:rPr>
              <w:t>համայնքների</w:t>
            </w:r>
            <w:r w:rsidRPr="00BC61ED">
              <w:rPr>
                <w:sz w:val="20"/>
                <w:szCs w:val="20"/>
                <w:lang w:val="af-ZA"/>
              </w:rPr>
              <w:t xml:space="preserve">, </w:t>
            </w:r>
            <w:r w:rsidRPr="00BC61ED">
              <w:rPr>
                <w:sz w:val="20"/>
                <w:szCs w:val="20"/>
              </w:rPr>
              <w:t>քաղաքացիների</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իրավաբանական</w:t>
            </w:r>
            <w:r w:rsidRPr="00BC61ED">
              <w:rPr>
                <w:sz w:val="20"/>
                <w:szCs w:val="20"/>
                <w:lang w:val="af-ZA"/>
              </w:rPr>
              <w:t xml:space="preserve"> </w:t>
            </w:r>
            <w:r w:rsidRPr="00BC61ED">
              <w:rPr>
                <w:sz w:val="20"/>
                <w:szCs w:val="20"/>
              </w:rPr>
              <w:t>անձանց</w:t>
            </w:r>
            <w:r w:rsidRPr="00BC61ED">
              <w:rPr>
                <w:sz w:val="20"/>
                <w:szCs w:val="20"/>
                <w:lang w:val="af-ZA"/>
              </w:rPr>
              <w:t xml:space="preserve"> </w:t>
            </w:r>
            <w:r w:rsidRPr="00BC61ED">
              <w:rPr>
                <w:sz w:val="20"/>
                <w:szCs w:val="20"/>
              </w:rPr>
              <w:t>սեփականությունը</w:t>
            </w:r>
            <w:r w:rsidRPr="00BC61ED">
              <w:rPr>
                <w:sz w:val="20"/>
                <w:szCs w:val="20"/>
                <w:lang w:val="af-ZA"/>
              </w:rPr>
              <w:t xml:space="preserve"> </w:t>
            </w:r>
            <w:r w:rsidRPr="00BC61ED">
              <w:rPr>
                <w:sz w:val="20"/>
                <w:szCs w:val="20"/>
              </w:rPr>
              <w:t>հանդիսացող</w:t>
            </w:r>
            <w:r w:rsidRPr="00BC61ED">
              <w:rPr>
                <w:sz w:val="20"/>
                <w:szCs w:val="20"/>
                <w:lang w:val="af-ZA"/>
              </w:rPr>
              <w:t xml:space="preserve"> </w:t>
            </w:r>
            <w:r w:rsidRPr="00BC61ED">
              <w:rPr>
                <w:sz w:val="20"/>
                <w:szCs w:val="20"/>
              </w:rPr>
              <w:t>մեծ</w:t>
            </w:r>
            <w:r w:rsidRPr="00BC61ED">
              <w:rPr>
                <w:sz w:val="20"/>
                <w:szCs w:val="20"/>
                <w:lang w:val="af-ZA"/>
              </w:rPr>
              <w:t xml:space="preserve"> </w:t>
            </w:r>
            <w:r w:rsidRPr="00BC61ED">
              <w:rPr>
                <w:sz w:val="20"/>
                <w:szCs w:val="20"/>
              </w:rPr>
              <w:t>թվով</w:t>
            </w:r>
            <w:r w:rsidRPr="00BC61ED">
              <w:rPr>
                <w:sz w:val="20"/>
                <w:szCs w:val="20"/>
                <w:lang w:val="af-ZA"/>
              </w:rPr>
              <w:t xml:space="preserve"> </w:t>
            </w:r>
            <w:r w:rsidRPr="00BC61ED">
              <w:rPr>
                <w:sz w:val="20"/>
                <w:szCs w:val="20"/>
              </w:rPr>
              <w:t>չօգտագործվող</w:t>
            </w:r>
            <w:r w:rsidRPr="00BC61ED">
              <w:rPr>
                <w:sz w:val="20"/>
                <w:szCs w:val="20"/>
                <w:lang w:val="af-ZA"/>
              </w:rPr>
              <w:t xml:space="preserve"> </w:t>
            </w:r>
            <w:r w:rsidRPr="00BC61ED">
              <w:rPr>
                <w:sz w:val="20"/>
                <w:szCs w:val="20"/>
              </w:rPr>
              <w:t>հողեր</w:t>
            </w:r>
            <w:r w:rsidRPr="00BC61ED">
              <w:rPr>
                <w:sz w:val="20"/>
                <w:szCs w:val="20"/>
                <w:lang w:val="af-ZA"/>
              </w:rPr>
              <w:t xml:space="preserve">, </w:t>
            </w:r>
            <w:r w:rsidRPr="00BC61ED">
              <w:rPr>
                <w:sz w:val="20"/>
                <w:szCs w:val="20"/>
              </w:rPr>
              <w:t>հատկապես</w:t>
            </w:r>
            <w:r w:rsidRPr="00BC61ED">
              <w:rPr>
                <w:sz w:val="20"/>
                <w:szCs w:val="20"/>
                <w:lang w:val="af-ZA"/>
              </w:rPr>
              <w:t xml:space="preserve"> </w:t>
            </w:r>
            <w:r w:rsidRPr="00BC61ED">
              <w:rPr>
                <w:sz w:val="20"/>
                <w:szCs w:val="20"/>
              </w:rPr>
              <w:t>լեռնային</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բարձրլեռնային</w:t>
            </w:r>
            <w:r w:rsidRPr="00BC61ED">
              <w:rPr>
                <w:sz w:val="20"/>
                <w:szCs w:val="20"/>
                <w:lang w:val="af-ZA"/>
              </w:rPr>
              <w:t xml:space="preserve"> </w:t>
            </w:r>
            <w:r w:rsidRPr="00BC61ED">
              <w:rPr>
                <w:sz w:val="20"/>
                <w:szCs w:val="20"/>
              </w:rPr>
              <w:t>շրջաններում</w:t>
            </w:r>
            <w:r w:rsidRPr="00BC61ED">
              <w:rPr>
                <w:sz w:val="20"/>
                <w:szCs w:val="20"/>
                <w:lang w:val="af-ZA"/>
              </w:rPr>
              <w:t xml:space="preserve">, </w:t>
            </w:r>
            <w:r w:rsidRPr="00BC61ED">
              <w:rPr>
                <w:sz w:val="20"/>
                <w:szCs w:val="20"/>
              </w:rPr>
              <w:t>որոնք</w:t>
            </w:r>
            <w:r w:rsidRPr="00BC61ED">
              <w:rPr>
                <w:sz w:val="20"/>
                <w:szCs w:val="20"/>
                <w:lang w:val="af-ZA"/>
              </w:rPr>
              <w:t xml:space="preserve"> </w:t>
            </w:r>
            <w:r w:rsidRPr="00BC61ED">
              <w:rPr>
                <w:sz w:val="20"/>
                <w:szCs w:val="20"/>
              </w:rPr>
              <w:t>հաշվառված</w:t>
            </w:r>
            <w:r w:rsidRPr="00BC61ED">
              <w:rPr>
                <w:sz w:val="20"/>
                <w:szCs w:val="20"/>
                <w:lang w:val="af-ZA"/>
              </w:rPr>
              <w:t xml:space="preserve"> </w:t>
            </w:r>
            <w:r w:rsidRPr="00BC61ED">
              <w:rPr>
                <w:sz w:val="20"/>
                <w:szCs w:val="20"/>
              </w:rPr>
              <w:t>չեն</w:t>
            </w:r>
            <w:r w:rsidRPr="00BC61ED">
              <w:rPr>
                <w:sz w:val="20"/>
                <w:szCs w:val="20"/>
                <w:lang w:val="af-ZA"/>
              </w:rPr>
              <w:t xml:space="preserve">: </w:t>
            </w:r>
          </w:p>
          <w:p w:rsidR="0068680D" w:rsidRPr="00BC61ED" w:rsidRDefault="0068680D" w:rsidP="00F47DC4">
            <w:pPr>
              <w:spacing w:line="276" w:lineRule="auto"/>
              <w:ind w:right="-138"/>
              <w:jc w:val="both"/>
              <w:rPr>
                <w:sz w:val="20"/>
                <w:szCs w:val="20"/>
                <w:lang w:val="af-ZA"/>
              </w:rPr>
            </w:pPr>
            <w:r w:rsidRPr="00BC61ED">
              <w:rPr>
                <w:rFonts w:cs="Arial"/>
                <w:sz w:val="20"/>
                <w:szCs w:val="20"/>
                <w:lang w:val="af-ZA"/>
              </w:rPr>
              <w:t xml:space="preserve">   </w:t>
            </w:r>
            <w:r w:rsidRPr="00BC61ED">
              <w:rPr>
                <w:rFonts w:cs="Arial"/>
                <w:sz w:val="20"/>
                <w:szCs w:val="20"/>
              </w:rPr>
              <w:t>Կադաստրային</w:t>
            </w:r>
            <w:r w:rsidRPr="00BC61ED">
              <w:rPr>
                <w:sz w:val="20"/>
                <w:szCs w:val="20"/>
                <w:lang w:val="af-ZA"/>
              </w:rPr>
              <w:t xml:space="preserve"> </w:t>
            </w:r>
            <w:r w:rsidRPr="00BC61ED">
              <w:rPr>
                <w:sz w:val="20"/>
                <w:szCs w:val="20"/>
              </w:rPr>
              <w:t>քարտեզագրման</w:t>
            </w:r>
            <w:r w:rsidRPr="00BC61ED">
              <w:rPr>
                <w:sz w:val="20"/>
                <w:szCs w:val="20"/>
                <w:lang w:val="af-ZA"/>
              </w:rPr>
              <w:t xml:space="preserve"> </w:t>
            </w:r>
            <w:r w:rsidRPr="00BC61ED">
              <w:rPr>
                <w:sz w:val="20"/>
                <w:szCs w:val="20"/>
              </w:rPr>
              <w:t>աշխատանքների</w:t>
            </w:r>
            <w:r w:rsidRPr="00BC61ED">
              <w:rPr>
                <w:sz w:val="20"/>
                <w:szCs w:val="20"/>
                <w:lang w:val="af-ZA"/>
              </w:rPr>
              <w:t xml:space="preserve"> </w:t>
            </w:r>
            <w:r w:rsidRPr="00BC61ED">
              <w:rPr>
                <w:sz w:val="20"/>
                <w:szCs w:val="20"/>
              </w:rPr>
              <w:t>իրականացման</w:t>
            </w:r>
            <w:r w:rsidRPr="00BC61ED">
              <w:rPr>
                <w:sz w:val="20"/>
                <w:szCs w:val="20"/>
                <w:lang w:val="af-ZA"/>
              </w:rPr>
              <w:t xml:space="preserve"> </w:t>
            </w:r>
            <w:r w:rsidRPr="00BC61ED">
              <w:rPr>
                <w:sz w:val="20"/>
                <w:szCs w:val="20"/>
              </w:rPr>
              <w:t>ընթացքում</w:t>
            </w:r>
            <w:r w:rsidRPr="00BC61ED">
              <w:rPr>
                <w:sz w:val="20"/>
                <w:szCs w:val="20"/>
                <w:lang w:val="af-ZA"/>
              </w:rPr>
              <w:t xml:space="preserve"> </w:t>
            </w:r>
            <w:r w:rsidRPr="00BC61ED">
              <w:rPr>
                <w:sz w:val="20"/>
                <w:szCs w:val="20"/>
              </w:rPr>
              <w:t>որոշ</w:t>
            </w:r>
            <w:r w:rsidRPr="00BC61ED">
              <w:rPr>
                <w:sz w:val="20"/>
                <w:szCs w:val="20"/>
                <w:lang w:val="af-ZA"/>
              </w:rPr>
              <w:t xml:space="preserve"> </w:t>
            </w:r>
            <w:r w:rsidRPr="00BC61ED">
              <w:rPr>
                <w:sz w:val="20"/>
                <w:szCs w:val="20"/>
              </w:rPr>
              <w:t>օբյեկտիվ</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սուբյեկտիվ</w:t>
            </w:r>
            <w:r w:rsidRPr="00BC61ED">
              <w:rPr>
                <w:sz w:val="20"/>
                <w:szCs w:val="20"/>
                <w:lang w:val="af-ZA"/>
              </w:rPr>
              <w:t xml:space="preserve"> </w:t>
            </w:r>
            <w:r w:rsidRPr="00BC61ED">
              <w:rPr>
                <w:sz w:val="20"/>
                <w:szCs w:val="20"/>
              </w:rPr>
              <w:t>պատճառներով</w:t>
            </w:r>
            <w:r w:rsidRPr="00BC61ED">
              <w:rPr>
                <w:sz w:val="20"/>
                <w:szCs w:val="20"/>
                <w:lang w:val="af-ZA"/>
              </w:rPr>
              <w:t xml:space="preserve"> (</w:t>
            </w:r>
            <w:r w:rsidRPr="00BC61ED">
              <w:rPr>
                <w:sz w:val="20"/>
                <w:szCs w:val="20"/>
              </w:rPr>
              <w:t>ցածր</w:t>
            </w:r>
            <w:r w:rsidRPr="00BC61ED">
              <w:rPr>
                <w:sz w:val="20"/>
                <w:szCs w:val="20"/>
                <w:lang w:val="af-ZA"/>
              </w:rPr>
              <w:t xml:space="preserve"> </w:t>
            </w:r>
            <w:r w:rsidRPr="00BC61ED">
              <w:rPr>
                <w:sz w:val="20"/>
                <w:szCs w:val="20"/>
              </w:rPr>
              <w:t>ճշտությամբ</w:t>
            </w:r>
            <w:r w:rsidRPr="00BC61ED">
              <w:rPr>
                <w:sz w:val="20"/>
                <w:szCs w:val="20"/>
                <w:lang w:val="af-ZA"/>
              </w:rPr>
              <w:t xml:space="preserve"> </w:t>
            </w:r>
            <w:r w:rsidRPr="00BC61ED">
              <w:rPr>
                <w:sz w:val="20"/>
                <w:szCs w:val="20"/>
              </w:rPr>
              <w:t>գործիքներ</w:t>
            </w:r>
            <w:r w:rsidRPr="00BC61ED">
              <w:rPr>
                <w:sz w:val="20"/>
                <w:szCs w:val="20"/>
                <w:lang w:val="af-ZA"/>
              </w:rPr>
              <w:t xml:space="preserve">, </w:t>
            </w:r>
            <w:r w:rsidRPr="00BC61ED">
              <w:rPr>
                <w:sz w:val="20"/>
                <w:szCs w:val="20"/>
              </w:rPr>
              <w:t>թեքությունների</w:t>
            </w:r>
            <w:r w:rsidRPr="00BC61ED">
              <w:rPr>
                <w:sz w:val="20"/>
                <w:szCs w:val="20"/>
                <w:lang w:val="af-ZA"/>
              </w:rPr>
              <w:t xml:space="preserve"> </w:t>
            </w:r>
            <w:r w:rsidRPr="00BC61ED">
              <w:rPr>
                <w:sz w:val="20"/>
                <w:szCs w:val="20"/>
              </w:rPr>
              <w:t>անտեսում</w:t>
            </w:r>
            <w:r w:rsidRPr="00BC61ED">
              <w:rPr>
                <w:sz w:val="20"/>
                <w:szCs w:val="20"/>
                <w:lang w:val="af-ZA"/>
              </w:rPr>
              <w:t xml:space="preserve">, </w:t>
            </w:r>
            <w:r w:rsidRPr="00BC61ED">
              <w:rPr>
                <w:sz w:val="20"/>
                <w:szCs w:val="20"/>
              </w:rPr>
              <w:t>քարտեզագրումից</w:t>
            </w:r>
            <w:r w:rsidRPr="00BC61ED">
              <w:rPr>
                <w:sz w:val="20"/>
                <w:szCs w:val="20"/>
                <w:lang w:val="af-ZA"/>
              </w:rPr>
              <w:t xml:space="preserve"> </w:t>
            </w:r>
            <w:r w:rsidRPr="00BC61ED">
              <w:rPr>
                <w:sz w:val="20"/>
                <w:szCs w:val="20"/>
              </w:rPr>
              <w:t>հետո</w:t>
            </w:r>
            <w:r w:rsidRPr="00BC61ED">
              <w:rPr>
                <w:sz w:val="20"/>
                <w:szCs w:val="20"/>
                <w:lang w:val="af-ZA"/>
              </w:rPr>
              <w:t xml:space="preserve"> </w:t>
            </w:r>
            <w:r w:rsidRPr="00BC61ED">
              <w:rPr>
                <w:sz w:val="20"/>
                <w:szCs w:val="20"/>
              </w:rPr>
              <w:t>հողերի</w:t>
            </w:r>
            <w:r w:rsidRPr="00BC61ED">
              <w:rPr>
                <w:sz w:val="20"/>
                <w:szCs w:val="20"/>
                <w:lang w:val="af-ZA"/>
              </w:rPr>
              <w:t xml:space="preserve"> </w:t>
            </w:r>
            <w:r w:rsidRPr="00BC61ED">
              <w:rPr>
                <w:sz w:val="20"/>
                <w:szCs w:val="20"/>
              </w:rPr>
              <w:t>վերաբաշխում</w:t>
            </w:r>
            <w:r w:rsidRPr="00BC61ED">
              <w:rPr>
                <w:sz w:val="20"/>
                <w:szCs w:val="20"/>
                <w:lang w:val="af-ZA"/>
              </w:rPr>
              <w:t xml:space="preserve">, </w:t>
            </w:r>
            <w:r w:rsidRPr="00BC61ED">
              <w:rPr>
                <w:sz w:val="20"/>
                <w:szCs w:val="20"/>
              </w:rPr>
              <w:t>կոորդինատների</w:t>
            </w:r>
            <w:r w:rsidRPr="00BC61ED">
              <w:rPr>
                <w:sz w:val="20"/>
                <w:szCs w:val="20"/>
                <w:lang w:val="af-ZA"/>
              </w:rPr>
              <w:t xml:space="preserve"> </w:t>
            </w:r>
            <w:r w:rsidRPr="00BC61ED">
              <w:rPr>
                <w:sz w:val="20"/>
                <w:szCs w:val="20"/>
              </w:rPr>
              <w:t>բացակայություն</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այլն</w:t>
            </w:r>
            <w:r w:rsidRPr="00BC61ED">
              <w:rPr>
                <w:sz w:val="20"/>
                <w:szCs w:val="20"/>
                <w:lang w:val="af-ZA"/>
              </w:rPr>
              <w:t xml:space="preserve">) </w:t>
            </w:r>
            <w:r w:rsidRPr="00BC61ED">
              <w:rPr>
                <w:sz w:val="20"/>
                <w:szCs w:val="20"/>
              </w:rPr>
              <w:t>անշարժ</w:t>
            </w:r>
            <w:r w:rsidRPr="00BC61ED">
              <w:rPr>
                <w:sz w:val="20"/>
                <w:szCs w:val="20"/>
                <w:lang w:val="af-ZA"/>
              </w:rPr>
              <w:t xml:space="preserve"> </w:t>
            </w:r>
            <w:r w:rsidRPr="00BC61ED">
              <w:rPr>
                <w:sz w:val="20"/>
                <w:szCs w:val="20"/>
              </w:rPr>
              <w:t>գույքը</w:t>
            </w:r>
            <w:r w:rsidRPr="00BC61ED">
              <w:rPr>
                <w:sz w:val="20"/>
                <w:szCs w:val="20"/>
                <w:lang w:val="af-ZA"/>
              </w:rPr>
              <w:t xml:space="preserve"> </w:t>
            </w:r>
            <w:r w:rsidRPr="00BC61ED">
              <w:rPr>
                <w:sz w:val="20"/>
                <w:szCs w:val="20"/>
              </w:rPr>
              <w:t>քարտեզներում</w:t>
            </w:r>
            <w:r w:rsidRPr="00BC61ED">
              <w:rPr>
                <w:sz w:val="20"/>
                <w:szCs w:val="20"/>
                <w:lang w:val="af-ZA"/>
              </w:rPr>
              <w:t xml:space="preserve"> </w:t>
            </w:r>
            <w:r w:rsidRPr="00BC61ED">
              <w:rPr>
                <w:sz w:val="20"/>
                <w:szCs w:val="20"/>
              </w:rPr>
              <w:t>արտահայտվել</w:t>
            </w:r>
            <w:r w:rsidRPr="00BC61ED">
              <w:rPr>
                <w:sz w:val="20"/>
                <w:szCs w:val="20"/>
                <w:lang w:val="af-ZA"/>
              </w:rPr>
              <w:t xml:space="preserve"> </w:t>
            </w:r>
            <w:r w:rsidRPr="00BC61ED">
              <w:rPr>
                <w:sz w:val="20"/>
                <w:szCs w:val="20"/>
              </w:rPr>
              <w:t>է</w:t>
            </w:r>
            <w:r w:rsidRPr="00BC61ED">
              <w:rPr>
                <w:sz w:val="20"/>
                <w:szCs w:val="20"/>
                <w:lang w:val="af-ZA"/>
              </w:rPr>
              <w:t xml:space="preserve"> </w:t>
            </w:r>
            <w:r w:rsidRPr="00BC61ED">
              <w:rPr>
                <w:sz w:val="20"/>
                <w:szCs w:val="20"/>
              </w:rPr>
              <w:t>որոշակի</w:t>
            </w:r>
            <w:r w:rsidRPr="00BC61ED">
              <w:rPr>
                <w:sz w:val="20"/>
                <w:szCs w:val="20"/>
                <w:lang w:val="af-ZA"/>
              </w:rPr>
              <w:t xml:space="preserve"> </w:t>
            </w:r>
            <w:r w:rsidRPr="00BC61ED">
              <w:rPr>
                <w:sz w:val="20"/>
                <w:szCs w:val="20"/>
              </w:rPr>
              <w:t>սխալներով</w:t>
            </w:r>
            <w:r w:rsidRPr="00BC61ED">
              <w:rPr>
                <w:sz w:val="20"/>
                <w:szCs w:val="20"/>
                <w:lang w:val="af-ZA"/>
              </w:rPr>
              <w:t xml:space="preserve">: </w:t>
            </w:r>
            <w:r w:rsidRPr="00BC61ED">
              <w:rPr>
                <w:sz w:val="20"/>
                <w:szCs w:val="20"/>
              </w:rPr>
              <w:t>Նշված</w:t>
            </w:r>
            <w:r w:rsidRPr="00BC61ED">
              <w:rPr>
                <w:sz w:val="20"/>
                <w:szCs w:val="20"/>
                <w:lang w:val="af-ZA"/>
              </w:rPr>
              <w:t xml:space="preserve"> </w:t>
            </w:r>
            <w:r w:rsidRPr="00BC61ED">
              <w:rPr>
                <w:sz w:val="20"/>
                <w:szCs w:val="20"/>
              </w:rPr>
              <w:t>քարտեզները</w:t>
            </w:r>
            <w:r w:rsidRPr="00BC61ED">
              <w:rPr>
                <w:sz w:val="20"/>
                <w:szCs w:val="20"/>
                <w:lang w:val="af-ZA"/>
              </w:rPr>
              <w:t xml:space="preserve"> </w:t>
            </w:r>
            <w:r w:rsidRPr="00BC61ED">
              <w:rPr>
                <w:sz w:val="20"/>
                <w:szCs w:val="20"/>
              </w:rPr>
              <w:t>հիմք</w:t>
            </w:r>
            <w:r w:rsidRPr="00BC61ED">
              <w:rPr>
                <w:sz w:val="20"/>
                <w:szCs w:val="20"/>
                <w:lang w:val="af-ZA"/>
              </w:rPr>
              <w:t xml:space="preserve"> </w:t>
            </w:r>
            <w:r w:rsidRPr="00BC61ED">
              <w:rPr>
                <w:sz w:val="20"/>
                <w:szCs w:val="20"/>
              </w:rPr>
              <w:t>են</w:t>
            </w:r>
            <w:r w:rsidRPr="00BC61ED">
              <w:rPr>
                <w:sz w:val="20"/>
                <w:szCs w:val="20"/>
                <w:lang w:val="af-ZA"/>
              </w:rPr>
              <w:t xml:space="preserve"> </w:t>
            </w:r>
            <w:r w:rsidRPr="00BC61ED">
              <w:rPr>
                <w:sz w:val="20"/>
                <w:szCs w:val="20"/>
              </w:rPr>
              <w:t>հանդիսացել</w:t>
            </w:r>
            <w:r w:rsidRPr="00BC61ED">
              <w:rPr>
                <w:sz w:val="20"/>
                <w:szCs w:val="20"/>
                <w:lang w:val="af-ZA"/>
              </w:rPr>
              <w:t xml:space="preserve"> </w:t>
            </w:r>
            <w:r w:rsidRPr="00BC61ED">
              <w:rPr>
                <w:sz w:val="20"/>
                <w:szCs w:val="20"/>
              </w:rPr>
              <w:t>իրավունքների</w:t>
            </w:r>
            <w:r w:rsidRPr="00BC61ED">
              <w:rPr>
                <w:sz w:val="20"/>
                <w:szCs w:val="20"/>
                <w:lang w:val="af-ZA"/>
              </w:rPr>
              <w:t xml:space="preserve"> </w:t>
            </w:r>
            <w:r w:rsidRPr="00BC61ED">
              <w:rPr>
                <w:sz w:val="20"/>
                <w:szCs w:val="20"/>
              </w:rPr>
              <w:t>առաջին</w:t>
            </w:r>
            <w:r w:rsidRPr="00BC61ED">
              <w:rPr>
                <w:sz w:val="20"/>
                <w:szCs w:val="20"/>
                <w:lang w:val="af-ZA"/>
              </w:rPr>
              <w:t xml:space="preserve"> </w:t>
            </w:r>
            <w:r w:rsidRPr="00BC61ED">
              <w:rPr>
                <w:sz w:val="20"/>
                <w:szCs w:val="20"/>
              </w:rPr>
              <w:t>պետական</w:t>
            </w:r>
            <w:r w:rsidRPr="00BC61ED">
              <w:rPr>
                <w:sz w:val="20"/>
                <w:szCs w:val="20"/>
                <w:lang w:val="af-ZA"/>
              </w:rPr>
              <w:t xml:space="preserve"> </w:t>
            </w:r>
            <w:r w:rsidRPr="00BC61ED">
              <w:rPr>
                <w:sz w:val="20"/>
                <w:szCs w:val="20"/>
              </w:rPr>
              <w:t>գրանցման</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համայնքների</w:t>
            </w:r>
            <w:r w:rsidRPr="00BC61ED">
              <w:rPr>
                <w:sz w:val="20"/>
                <w:szCs w:val="20"/>
                <w:lang w:val="af-ZA"/>
              </w:rPr>
              <w:t xml:space="preserve"> </w:t>
            </w:r>
            <w:r w:rsidRPr="00BC61ED">
              <w:rPr>
                <w:sz w:val="20"/>
                <w:szCs w:val="20"/>
              </w:rPr>
              <w:t>վարչական</w:t>
            </w:r>
            <w:r w:rsidRPr="00BC61ED">
              <w:rPr>
                <w:sz w:val="20"/>
                <w:szCs w:val="20"/>
                <w:lang w:val="af-ZA"/>
              </w:rPr>
              <w:t xml:space="preserve"> </w:t>
            </w:r>
            <w:r w:rsidRPr="00BC61ED">
              <w:rPr>
                <w:sz w:val="20"/>
                <w:szCs w:val="20"/>
              </w:rPr>
              <w:t>սահմաններում</w:t>
            </w:r>
            <w:r w:rsidRPr="00BC61ED">
              <w:rPr>
                <w:sz w:val="20"/>
                <w:szCs w:val="20"/>
                <w:lang w:val="af-ZA"/>
              </w:rPr>
              <w:t xml:space="preserve"> </w:t>
            </w:r>
            <w:r w:rsidRPr="00BC61ED">
              <w:rPr>
                <w:sz w:val="20"/>
                <w:szCs w:val="20"/>
              </w:rPr>
              <w:t>գտնվող</w:t>
            </w:r>
            <w:r w:rsidRPr="00BC61ED">
              <w:rPr>
                <w:sz w:val="20"/>
                <w:szCs w:val="20"/>
                <w:lang w:val="af-ZA"/>
              </w:rPr>
              <w:t xml:space="preserve">, </w:t>
            </w:r>
            <w:r w:rsidRPr="00BC61ED">
              <w:rPr>
                <w:sz w:val="20"/>
                <w:szCs w:val="20"/>
              </w:rPr>
              <w:t>պետական</w:t>
            </w:r>
            <w:r w:rsidRPr="00BC61ED">
              <w:rPr>
                <w:sz w:val="20"/>
                <w:szCs w:val="20"/>
                <w:lang w:val="af-ZA"/>
              </w:rPr>
              <w:t xml:space="preserve"> </w:t>
            </w:r>
            <w:r w:rsidRPr="00BC61ED">
              <w:rPr>
                <w:sz w:val="20"/>
                <w:szCs w:val="20"/>
              </w:rPr>
              <w:t>սեփականություն</w:t>
            </w:r>
            <w:r w:rsidRPr="00BC61ED">
              <w:rPr>
                <w:sz w:val="20"/>
                <w:szCs w:val="20"/>
                <w:lang w:val="af-ZA"/>
              </w:rPr>
              <w:t xml:space="preserve"> </w:t>
            </w:r>
            <w:r w:rsidRPr="00BC61ED">
              <w:rPr>
                <w:sz w:val="20"/>
                <w:szCs w:val="20"/>
              </w:rPr>
              <w:t>հանդիսացող</w:t>
            </w:r>
            <w:r w:rsidRPr="00BC61ED">
              <w:rPr>
                <w:sz w:val="20"/>
                <w:szCs w:val="20"/>
                <w:lang w:val="af-ZA"/>
              </w:rPr>
              <w:t xml:space="preserve"> </w:t>
            </w:r>
            <w:r w:rsidRPr="00BC61ED">
              <w:rPr>
                <w:sz w:val="20"/>
                <w:szCs w:val="20"/>
              </w:rPr>
              <w:t>հողերը</w:t>
            </w:r>
            <w:r w:rsidRPr="00BC61ED">
              <w:rPr>
                <w:sz w:val="20"/>
                <w:szCs w:val="20"/>
                <w:lang w:val="af-ZA"/>
              </w:rPr>
              <w:t xml:space="preserve"> </w:t>
            </w:r>
            <w:r w:rsidRPr="00BC61ED">
              <w:rPr>
                <w:sz w:val="20"/>
                <w:szCs w:val="20"/>
              </w:rPr>
              <w:t>այդ</w:t>
            </w:r>
            <w:r w:rsidRPr="00BC61ED">
              <w:rPr>
                <w:sz w:val="20"/>
                <w:szCs w:val="20"/>
                <w:lang w:val="af-ZA"/>
              </w:rPr>
              <w:t xml:space="preserve"> </w:t>
            </w:r>
            <w:r w:rsidRPr="00BC61ED">
              <w:rPr>
                <w:sz w:val="20"/>
                <w:szCs w:val="20"/>
              </w:rPr>
              <w:t>համայնքներին</w:t>
            </w:r>
            <w:r w:rsidRPr="00BC61ED">
              <w:rPr>
                <w:sz w:val="20"/>
                <w:szCs w:val="20"/>
                <w:lang w:val="af-ZA"/>
              </w:rPr>
              <w:t xml:space="preserve"> </w:t>
            </w:r>
            <w:r w:rsidRPr="00BC61ED">
              <w:rPr>
                <w:sz w:val="20"/>
                <w:szCs w:val="20"/>
              </w:rPr>
              <w:t>անհատույց</w:t>
            </w:r>
            <w:r w:rsidRPr="00BC61ED">
              <w:rPr>
                <w:sz w:val="20"/>
                <w:szCs w:val="20"/>
                <w:lang w:val="af-ZA"/>
              </w:rPr>
              <w:t xml:space="preserve"> </w:t>
            </w:r>
            <w:r w:rsidRPr="00BC61ED">
              <w:rPr>
                <w:sz w:val="20"/>
                <w:szCs w:val="20"/>
              </w:rPr>
              <w:t>սեփականության</w:t>
            </w:r>
            <w:r w:rsidRPr="00BC61ED">
              <w:rPr>
                <w:sz w:val="20"/>
                <w:szCs w:val="20"/>
                <w:lang w:val="af-ZA"/>
              </w:rPr>
              <w:t xml:space="preserve"> </w:t>
            </w:r>
            <w:r w:rsidRPr="00BC61ED">
              <w:rPr>
                <w:sz w:val="20"/>
                <w:szCs w:val="20"/>
              </w:rPr>
              <w:t>իրավունքով</w:t>
            </w:r>
            <w:r w:rsidRPr="00BC61ED">
              <w:rPr>
                <w:sz w:val="20"/>
                <w:szCs w:val="20"/>
                <w:lang w:val="af-ZA"/>
              </w:rPr>
              <w:t xml:space="preserve"> </w:t>
            </w:r>
            <w:r w:rsidRPr="00BC61ED">
              <w:rPr>
                <w:sz w:val="20"/>
                <w:szCs w:val="20"/>
              </w:rPr>
              <w:t>փոխանցելու</w:t>
            </w:r>
            <w:r w:rsidRPr="00BC61ED">
              <w:rPr>
                <w:sz w:val="20"/>
                <w:szCs w:val="20"/>
                <w:lang w:val="af-ZA"/>
              </w:rPr>
              <w:t xml:space="preserve"> </w:t>
            </w:r>
            <w:r w:rsidRPr="00BC61ED">
              <w:rPr>
                <w:sz w:val="20"/>
                <w:szCs w:val="20"/>
              </w:rPr>
              <w:t>համար</w:t>
            </w:r>
            <w:r w:rsidRPr="00BC61ED">
              <w:rPr>
                <w:sz w:val="20"/>
                <w:szCs w:val="20"/>
                <w:lang w:val="af-ZA"/>
              </w:rPr>
              <w:t xml:space="preserve">: </w:t>
            </w:r>
            <w:r w:rsidRPr="00BC61ED">
              <w:rPr>
                <w:sz w:val="20"/>
                <w:szCs w:val="20"/>
              </w:rPr>
              <w:t>Ներկայումս</w:t>
            </w:r>
            <w:r w:rsidRPr="00BC61ED">
              <w:rPr>
                <w:sz w:val="20"/>
                <w:szCs w:val="20"/>
                <w:lang w:val="af-ZA"/>
              </w:rPr>
              <w:t xml:space="preserve"> </w:t>
            </w:r>
            <w:r w:rsidRPr="00BC61ED">
              <w:rPr>
                <w:sz w:val="20"/>
                <w:szCs w:val="20"/>
              </w:rPr>
              <w:t>իրավունքների</w:t>
            </w:r>
            <w:r w:rsidRPr="00BC61ED">
              <w:rPr>
                <w:sz w:val="20"/>
                <w:szCs w:val="20"/>
                <w:lang w:val="af-ZA"/>
              </w:rPr>
              <w:t xml:space="preserve"> </w:t>
            </w:r>
            <w:r w:rsidRPr="00BC61ED">
              <w:rPr>
                <w:sz w:val="20"/>
                <w:szCs w:val="20"/>
              </w:rPr>
              <w:t>պետական</w:t>
            </w:r>
            <w:r w:rsidRPr="00BC61ED">
              <w:rPr>
                <w:sz w:val="20"/>
                <w:szCs w:val="20"/>
                <w:lang w:val="af-ZA"/>
              </w:rPr>
              <w:t xml:space="preserve"> </w:t>
            </w:r>
            <w:r w:rsidRPr="00BC61ED">
              <w:rPr>
                <w:sz w:val="20"/>
                <w:szCs w:val="20"/>
              </w:rPr>
              <w:t>գրանցման</w:t>
            </w:r>
            <w:r w:rsidRPr="00BC61ED">
              <w:rPr>
                <w:sz w:val="20"/>
                <w:szCs w:val="20"/>
                <w:lang w:val="af-ZA"/>
              </w:rPr>
              <w:t xml:space="preserve"> </w:t>
            </w:r>
            <w:r w:rsidRPr="00BC61ED">
              <w:rPr>
                <w:sz w:val="20"/>
                <w:szCs w:val="20"/>
              </w:rPr>
              <w:t>համար</w:t>
            </w:r>
            <w:r w:rsidRPr="00BC61ED">
              <w:rPr>
                <w:sz w:val="20"/>
                <w:szCs w:val="20"/>
                <w:lang w:val="af-ZA"/>
              </w:rPr>
              <w:t xml:space="preserve"> </w:t>
            </w:r>
            <w:r w:rsidRPr="00BC61ED">
              <w:rPr>
                <w:sz w:val="20"/>
                <w:szCs w:val="20"/>
              </w:rPr>
              <w:t>հիմք</w:t>
            </w:r>
            <w:r w:rsidRPr="00BC61ED">
              <w:rPr>
                <w:sz w:val="20"/>
                <w:szCs w:val="20"/>
                <w:lang w:val="af-ZA"/>
              </w:rPr>
              <w:t xml:space="preserve"> </w:t>
            </w:r>
            <w:r w:rsidRPr="00BC61ED">
              <w:rPr>
                <w:sz w:val="20"/>
                <w:szCs w:val="20"/>
              </w:rPr>
              <w:t>հանդիսացող</w:t>
            </w:r>
            <w:r w:rsidRPr="00BC61ED">
              <w:rPr>
                <w:sz w:val="20"/>
                <w:szCs w:val="20"/>
                <w:lang w:val="af-ZA"/>
              </w:rPr>
              <w:t xml:space="preserve"> </w:t>
            </w:r>
            <w:r w:rsidRPr="00BC61ED">
              <w:rPr>
                <w:sz w:val="20"/>
                <w:szCs w:val="20"/>
              </w:rPr>
              <w:t>փաստաթղթերի</w:t>
            </w:r>
            <w:r w:rsidRPr="00BC61ED">
              <w:rPr>
                <w:sz w:val="20"/>
                <w:szCs w:val="20"/>
                <w:lang w:val="af-ZA"/>
              </w:rPr>
              <w:t xml:space="preserve"> </w:t>
            </w:r>
            <w:r w:rsidRPr="00BC61ED">
              <w:rPr>
                <w:sz w:val="20"/>
                <w:szCs w:val="20"/>
              </w:rPr>
              <w:t>փաթեթում</w:t>
            </w:r>
            <w:r w:rsidRPr="00BC61ED">
              <w:rPr>
                <w:sz w:val="20"/>
                <w:szCs w:val="20"/>
                <w:lang w:val="af-ZA"/>
              </w:rPr>
              <w:t xml:space="preserve"> </w:t>
            </w:r>
            <w:r w:rsidRPr="00BC61ED">
              <w:rPr>
                <w:sz w:val="20"/>
                <w:szCs w:val="20"/>
              </w:rPr>
              <w:t>ներառվում</w:t>
            </w:r>
            <w:r w:rsidRPr="00BC61ED">
              <w:rPr>
                <w:sz w:val="20"/>
                <w:szCs w:val="20"/>
                <w:lang w:val="af-ZA"/>
              </w:rPr>
              <w:t xml:space="preserve"> </w:t>
            </w:r>
            <w:r w:rsidRPr="00BC61ED">
              <w:rPr>
                <w:sz w:val="20"/>
                <w:szCs w:val="20"/>
              </w:rPr>
              <w:t>են</w:t>
            </w:r>
            <w:r w:rsidRPr="00BC61ED">
              <w:rPr>
                <w:sz w:val="20"/>
                <w:szCs w:val="20"/>
                <w:lang w:val="af-ZA"/>
              </w:rPr>
              <w:t xml:space="preserve"> </w:t>
            </w:r>
            <w:r w:rsidRPr="00BC61ED">
              <w:rPr>
                <w:sz w:val="20"/>
                <w:szCs w:val="20"/>
              </w:rPr>
              <w:t>նաև</w:t>
            </w:r>
            <w:r w:rsidRPr="00BC61ED">
              <w:rPr>
                <w:sz w:val="20"/>
                <w:szCs w:val="20"/>
                <w:lang w:val="af-ZA"/>
              </w:rPr>
              <w:t xml:space="preserve"> </w:t>
            </w:r>
            <w:r w:rsidRPr="00BC61ED">
              <w:rPr>
                <w:sz w:val="20"/>
                <w:szCs w:val="20"/>
              </w:rPr>
              <w:t>համապատասխան</w:t>
            </w:r>
            <w:r w:rsidRPr="00BC61ED">
              <w:rPr>
                <w:sz w:val="20"/>
                <w:szCs w:val="20"/>
                <w:lang w:val="af-ZA"/>
              </w:rPr>
              <w:t xml:space="preserve"> </w:t>
            </w:r>
            <w:r w:rsidRPr="00BC61ED">
              <w:rPr>
                <w:sz w:val="20"/>
                <w:szCs w:val="20"/>
              </w:rPr>
              <w:t>որակավորում</w:t>
            </w:r>
            <w:r w:rsidRPr="00BC61ED">
              <w:rPr>
                <w:sz w:val="20"/>
                <w:szCs w:val="20"/>
                <w:lang w:val="af-ZA"/>
              </w:rPr>
              <w:t xml:space="preserve"> </w:t>
            </w:r>
            <w:r w:rsidRPr="00BC61ED">
              <w:rPr>
                <w:sz w:val="20"/>
                <w:szCs w:val="20"/>
              </w:rPr>
              <w:t>ունեցող</w:t>
            </w:r>
            <w:r w:rsidRPr="00BC61ED">
              <w:rPr>
                <w:sz w:val="20"/>
                <w:szCs w:val="20"/>
                <w:lang w:val="af-ZA"/>
              </w:rPr>
              <w:t xml:space="preserve"> </w:t>
            </w:r>
            <w:r w:rsidRPr="00BC61ED">
              <w:rPr>
                <w:sz w:val="20"/>
                <w:szCs w:val="20"/>
              </w:rPr>
              <w:t>անձի</w:t>
            </w:r>
            <w:r w:rsidRPr="00BC61ED">
              <w:rPr>
                <w:sz w:val="20"/>
                <w:szCs w:val="20"/>
                <w:lang w:val="af-ZA"/>
              </w:rPr>
              <w:t xml:space="preserve"> </w:t>
            </w:r>
            <w:r w:rsidRPr="00BC61ED">
              <w:rPr>
                <w:sz w:val="20"/>
                <w:szCs w:val="20"/>
              </w:rPr>
              <w:t>կողմից</w:t>
            </w:r>
            <w:r w:rsidRPr="00BC61ED">
              <w:rPr>
                <w:sz w:val="20"/>
                <w:szCs w:val="20"/>
                <w:lang w:val="af-ZA"/>
              </w:rPr>
              <w:t xml:space="preserve"> </w:t>
            </w:r>
            <w:r w:rsidRPr="00BC61ED">
              <w:rPr>
                <w:sz w:val="20"/>
                <w:szCs w:val="20"/>
              </w:rPr>
              <w:t>կազմված</w:t>
            </w:r>
            <w:r w:rsidRPr="00BC61ED">
              <w:rPr>
                <w:sz w:val="20"/>
                <w:szCs w:val="20"/>
                <w:lang w:val="af-ZA"/>
              </w:rPr>
              <w:t xml:space="preserve">, </w:t>
            </w:r>
            <w:r w:rsidRPr="00BC61ED">
              <w:rPr>
                <w:sz w:val="20"/>
                <w:szCs w:val="20"/>
              </w:rPr>
              <w:t>ճշտված</w:t>
            </w:r>
            <w:r w:rsidRPr="00BC61ED">
              <w:rPr>
                <w:sz w:val="20"/>
                <w:szCs w:val="20"/>
                <w:lang w:val="af-ZA"/>
              </w:rPr>
              <w:t xml:space="preserve"> </w:t>
            </w:r>
            <w:r w:rsidRPr="00BC61ED">
              <w:rPr>
                <w:sz w:val="20"/>
                <w:szCs w:val="20"/>
              </w:rPr>
              <w:t>կոորդինատներով</w:t>
            </w:r>
            <w:r w:rsidRPr="00BC61ED">
              <w:rPr>
                <w:sz w:val="20"/>
                <w:szCs w:val="20"/>
                <w:lang w:val="af-ZA"/>
              </w:rPr>
              <w:t xml:space="preserve"> </w:t>
            </w:r>
            <w:r w:rsidRPr="00BC61ED">
              <w:rPr>
                <w:sz w:val="20"/>
                <w:szCs w:val="20"/>
              </w:rPr>
              <w:t>հատակագծեր</w:t>
            </w:r>
            <w:r w:rsidRPr="00BC61ED">
              <w:rPr>
                <w:sz w:val="20"/>
                <w:szCs w:val="20"/>
                <w:lang w:val="af-ZA"/>
              </w:rPr>
              <w:t xml:space="preserve">, </w:t>
            </w:r>
            <w:r w:rsidRPr="00BC61ED">
              <w:rPr>
                <w:sz w:val="20"/>
                <w:szCs w:val="20"/>
              </w:rPr>
              <w:t>որոնք</w:t>
            </w:r>
            <w:r w:rsidRPr="00BC61ED">
              <w:rPr>
                <w:sz w:val="20"/>
                <w:szCs w:val="20"/>
                <w:lang w:val="af-ZA"/>
              </w:rPr>
              <w:t xml:space="preserve"> </w:t>
            </w:r>
            <w:r w:rsidRPr="00BC61ED">
              <w:rPr>
                <w:sz w:val="20"/>
                <w:szCs w:val="20"/>
              </w:rPr>
              <w:t>կադաստրային</w:t>
            </w:r>
            <w:r w:rsidRPr="00BC61ED">
              <w:rPr>
                <w:sz w:val="20"/>
                <w:szCs w:val="20"/>
                <w:lang w:val="af-ZA"/>
              </w:rPr>
              <w:t xml:space="preserve"> </w:t>
            </w:r>
            <w:r w:rsidRPr="00BC61ED">
              <w:rPr>
                <w:sz w:val="20"/>
                <w:szCs w:val="20"/>
              </w:rPr>
              <w:t>քարտեզում</w:t>
            </w:r>
            <w:r w:rsidRPr="00BC61ED">
              <w:rPr>
                <w:sz w:val="20"/>
                <w:szCs w:val="20"/>
                <w:lang w:val="af-ZA"/>
              </w:rPr>
              <w:t xml:space="preserve"> </w:t>
            </w:r>
            <w:r w:rsidRPr="00BC61ED">
              <w:rPr>
                <w:sz w:val="20"/>
                <w:szCs w:val="20"/>
              </w:rPr>
              <w:t>տեղադրելիս</w:t>
            </w:r>
            <w:r w:rsidRPr="00BC61ED">
              <w:rPr>
                <w:sz w:val="20"/>
                <w:szCs w:val="20"/>
                <w:lang w:val="af-ZA"/>
              </w:rPr>
              <w:t xml:space="preserve"> </w:t>
            </w:r>
            <w:r w:rsidRPr="00BC61ED">
              <w:rPr>
                <w:sz w:val="20"/>
                <w:szCs w:val="20"/>
              </w:rPr>
              <w:t>առաջացնում</w:t>
            </w:r>
            <w:r w:rsidRPr="00BC61ED">
              <w:rPr>
                <w:sz w:val="20"/>
                <w:szCs w:val="20"/>
                <w:lang w:val="af-ZA"/>
              </w:rPr>
              <w:t xml:space="preserve"> </w:t>
            </w:r>
            <w:r w:rsidRPr="00BC61ED">
              <w:rPr>
                <w:sz w:val="20"/>
                <w:szCs w:val="20"/>
              </w:rPr>
              <w:t>են</w:t>
            </w:r>
            <w:r w:rsidRPr="00BC61ED">
              <w:rPr>
                <w:sz w:val="20"/>
                <w:szCs w:val="20"/>
                <w:lang w:val="af-ZA"/>
              </w:rPr>
              <w:t xml:space="preserve"> </w:t>
            </w:r>
            <w:r w:rsidRPr="00BC61ED">
              <w:rPr>
                <w:sz w:val="20"/>
                <w:szCs w:val="20"/>
              </w:rPr>
              <w:t>վերադրումներ</w:t>
            </w:r>
            <w:r w:rsidRPr="00BC61ED">
              <w:rPr>
                <w:sz w:val="20"/>
                <w:szCs w:val="20"/>
                <w:lang w:val="af-ZA"/>
              </w:rPr>
              <w:t xml:space="preserve"> (</w:t>
            </w:r>
            <w:r w:rsidRPr="00BC61ED">
              <w:rPr>
                <w:sz w:val="20"/>
                <w:szCs w:val="20"/>
              </w:rPr>
              <w:t>համադրումներ</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բազմաթիվ</w:t>
            </w:r>
            <w:r w:rsidRPr="00BC61ED">
              <w:rPr>
                <w:sz w:val="20"/>
                <w:szCs w:val="20"/>
                <w:lang w:val="af-ZA"/>
              </w:rPr>
              <w:t xml:space="preserve"> </w:t>
            </w:r>
            <w:r w:rsidRPr="00BC61ED">
              <w:rPr>
                <w:sz w:val="20"/>
                <w:szCs w:val="20"/>
              </w:rPr>
              <w:t>վեճերի</w:t>
            </w:r>
            <w:r w:rsidRPr="00BC61ED">
              <w:rPr>
                <w:sz w:val="20"/>
                <w:szCs w:val="20"/>
                <w:lang w:val="af-ZA"/>
              </w:rPr>
              <w:t xml:space="preserve"> </w:t>
            </w:r>
            <w:r w:rsidRPr="00BC61ED">
              <w:rPr>
                <w:sz w:val="20"/>
                <w:szCs w:val="20"/>
              </w:rPr>
              <w:t>ու</w:t>
            </w:r>
            <w:r w:rsidRPr="00BC61ED">
              <w:rPr>
                <w:sz w:val="20"/>
                <w:szCs w:val="20"/>
                <w:lang w:val="af-ZA"/>
              </w:rPr>
              <w:t xml:space="preserve"> </w:t>
            </w:r>
            <w:r w:rsidRPr="00BC61ED">
              <w:rPr>
                <w:sz w:val="20"/>
                <w:szCs w:val="20"/>
              </w:rPr>
              <w:t>իրավունքի</w:t>
            </w:r>
            <w:r w:rsidRPr="00BC61ED">
              <w:rPr>
                <w:sz w:val="20"/>
                <w:szCs w:val="20"/>
                <w:lang w:val="af-ZA"/>
              </w:rPr>
              <w:t xml:space="preserve"> </w:t>
            </w:r>
            <w:r w:rsidRPr="00BC61ED">
              <w:rPr>
                <w:sz w:val="20"/>
                <w:szCs w:val="20"/>
              </w:rPr>
              <w:t>պետական</w:t>
            </w:r>
            <w:r w:rsidRPr="00BC61ED">
              <w:rPr>
                <w:sz w:val="20"/>
                <w:szCs w:val="20"/>
                <w:lang w:val="af-ZA"/>
              </w:rPr>
              <w:t xml:space="preserve"> </w:t>
            </w:r>
            <w:r w:rsidRPr="00BC61ED">
              <w:rPr>
                <w:sz w:val="20"/>
                <w:szCs w:val="20"/>
              </w:rPr>
              <w:t>գրանցման</w:t>
            </w:r>
            <w:r w:rsidRPr="00BC61ED">
              <w:rPr>
                <w:sz w:val="20"/>
                <w:szCs w:val="20"/>
                <w:lang w:val="af-ZA"/>
              </w:rPr>
              <w:t xml:space="preserve"> </w:t>
            </w:r>
            <w:r w:rsidRPr="00BC61ED">
              <w:rPr>
                <w:sz w:val="20"/>
                <w:szCs w:val="20"/>
              </w:rPr>
              <w:t>վարույթը</w:t>
            </w:r>
            <w:r w:rsidRPr="00BC61ED">
              <w:rPr>
                <w:sz w:val="20"/>
                <w:szCs w:val="20"/>
                <w:lang w:val="af-ZA"/>
              </w:rPr>
              <w:t xml:space="preserve"> </w:t>
            </w:r>
            <w:r w:rsidRPr="00BC61ED">
              <w:rPr>
                <w:sz w:val="20"/>
                <w:szCs w:val="20"/>
              </w:rPr>
              <w:t>կասեցնելու</w:t>
            </w:r>
            <w:r w:rsidRPr="00BC61ED">
              <w:rPr>
                <w:sz w:val="20"/>
                <w:szCs w:val="20"/>
                <w:lang w:val="af-ZA"/>
              </w:rPr>
              <w:t xml:space="preserve"> </w:t>
            </w:r>
            <w:r w:rsidRPr="00BC61ED">
              <w:rPr>
                <w:sz w:val="20"/>
                <w:szCs w:val="20"/>
              </w:rPr>
              <w:t>պատճառ</w:t>
            </w:r>
            <w:r w:rsidRPr="00BC61ED">
              <w:rPr>
                <w:sz w:val="20"/>
                <w:szCs w:val="20"/>
                <w:lang w:val="af-ZA"/>
              </w:rPr>
              <w:t xml:space="preserve"> </w:t>
            </w:r>
            <w:r w:rsidRPr="00BC61ED">
              <w:rPr>
                <w:sz w:val="20"/>
                <w:szCs w:val="20"/>
              </w:rPr>
              <w:t>դառնում</w:t>
            </w:r>
            <w:r w:rsidRPr="00BC61ED">
              <w:rPr>
                <w:sz w:val="20"/>
                <w:szCs w:val="20"/>
                <w:lang w:val="af-ZA"/>
              </w:rPr>
              <w:t xml:space="preserve">:    </w:t>
            </w:r>
            <w:r w:rsidRPr="00BC61ED">
              <w:rPr>
                <w:sz w:val="20"/>
                <w:szCs w:val="20"/>
              </w:rPr>
              <w:t>Որոշ</w:t>
            </w:r>
            <w:r w:rsidRPr="00BC61ED">
              <w:rPr>
                <w:sz w:val="20"/>
                <w:szCs w:val="20"/>
                <w:lang w:val="af-ZA"/>
              </w:rPr>
              <w:t xml:space="preserve"> </w:t>
            </w:r>
            <w:r w:rsidRPr="00BC61ED">
              <w:rPr>
                <w:sz w:val="20"/>
                <w:szCs w:val="20"/>
              </w:rPr>
              <w:t>սահմանակետերի</w:t>
            </w:r>
            <w:r w:rsidRPr="00BC61ED">
              <w:rPr>
                <w:sz w:val="20"/>
                <w:szCs w:val="20"/>
                <w:lang w:val="af-ZA"/>
              </w:rPr>
              <w:t xml:space="preserve"> </w:t>
            </w:r>
            <w:r w:rsidRPr="00BC61ED">
              <w:rPr>
                <w:sz w:val="20"/>
                <w:szCs w:val="20"/>
              </w:rPr>
              <w:t>կոորդինատների</w:t>
            </w:r>
            <w:r w:rsidRPr="00BC61ED">
              <w:rPr>
                <w:sz w:val="20"/>
                <w:szCs w:val="20"/>
                <w:lang w:val="af-ZA"/>
              </w:rPr>
              <w:t xml:space="preserve"> </w:t>
            </w:r>
            <w:r w:rsidRPr="00BC61ED">
              <w:rPr>
                <w:sz w:val="20"/>
                <w:szCs w:val="20"/>
              </w:rPr>
              <w:t>անճշտության</w:t>
            </w:r>
            <w:r w:rsidRPr="00BC61ED">
              <w:rPr>
                <w:sz w:val="20"/>
                <w:szCs w:val="20"/>
                <w:lang w:val="af-ZA"/>
              </w:rPr>
              <w:t xml:space="preserve">, </w:t>
            </w:r>
            <w:r w:rsidRPr="00BC61ED">
              <w:rPr>
                <w:sz w:val="20"/>
                <w:szCs w:val="20"/>
              </w:rPr>
              <w:t>ինչպես</w:t>
            </w:r>
            <w:r w:rsidRPr="00BC61ED">
              <w:rPr>
                <w:sz w:val="20"/>
                <w:szCs w:val="20"/>
                <w:lang w:val="af-ZA"/>
              </w:rPr>
              <w:t xml:space="preserve"> </w:t>
            </w:r>
            <w:r w:rsidRPr="00BC61ED">
              <w:rPr>
                <w:sz w:val="20"/>
                <w:szCs w:val="20"/>
              </w:rPr>
              <w:t>նաև</w:t>
            </w:r>
            <w:r w:rsidRPr="00BC61ED">
              <w:rPr>
                <w:sz w:val="20"/>
                <w:szCs w:val="20"/>
                <w:lang w:val="af-ZA"/>
              </w:rPr>
              <w:t xml:space="preserve"> </w:t>
            </w:r>
            <w:r w:rsidRPr="00BC61ED">
              <w:rPr>
                <w:sz w:val="20"/>
                <w:szCs w:val="20"/>
              </w:rPr>
              <w:t>որոշ</w:t>
            </w:r>
            <w:r w:rsidRPr="00BC61ED">
              <w:rPr>
                <w:sz w:val="20"/>
                <w:szCs w:val="20"/>
                <w:lang w:val="af-ZA"/>
              </w:rPr>
              <w:t xml:space="preserve"> </w:t>
            </w:r>
            <w:r w:rsidRPr="00BC61ED">
              <w:rPr>
                <w:sz w:val="20"/>
                <w:szCs w:val="20"/>
              </w:rPr>
              <w:t>սահմանակետերի</w:t>
            </w:r>
            <w:r w:rsidRPr="00BC61ED">
              <w:rPr>
                <w:sz w:val="20"/>
                <w:szCs w:val="20"/>
                <w:lang w:val="af-ZA"/>
              </w:rPr>
              <w:t xml:space="preserve"> </w:t>
            </w:r>
            <w:r w:rsidRPr="00BC61ED">
              <w:rPr>
                <w:sz w:val="20"/>
                <w:szCs w:val="20"/>
              </w:rPr>
              <w:t>բացակայության</w:t>
            </w:r>
            <w:r w:rsidRPr="00BC61ED">
              <w:rPr>
                <w:sz w:val="20"/>
                <w:szCs w:val="20"/>
                <w:lang w:val="af-ZA"/>
              </w:rPr>
              <w:t xml:space="preserve"> </w:t>
            </w:r>
            <w:r w:rsidRPr="00BC61ED">
              <w:rPr>
                <w:sz w:val="20"/>
                <w:szCs w:val="20"/>
              </w:rPr>
              <w:t>պատճառով</w:t>
            </w:r>
            <w:r w:rsidRPr="00BC61ED">
              <w:rPr>
                <w:sz w:val="20"/>
                <w:szCs w:val="20"/>
                <w:lang w:val="af-ZA"/>
              </w:rPr>
              <w:t xml:space="preserve"> </w:t>
            </w:r>
            <w:r w:rsidRPr="00BC61ED">
              <w:rPr>
                <w:sz w:val="20"/>
                <w:szCs w:val="20"/>
              </w:rPr>
              <w:t>կադաստրային</w:t>
            </w:r>
            <w:r w:rsidRPr="00BC61ED">
              <w:rPr>
                <w:sz w:val="20"/>
                <w:szCs w:val="20"/>
                <w:lang w:val="af-ZA"/>
              </w:rPr>
              <w:t xml:space="preserve"> </w:t>
            </w:r>
            <w:r w:rsidRPr="00BC61ED">
              <w:rPr>
                <w:sz w:val="20"/>
                <w:szCs w:val="20"/>
              </w:rPr>
              <w:t>քարտեզներում</w:t>
            </w:r>
            <w:r w:rsidRPr="00BC61ED">
              <w:rPr>
                <w:sz w:val="20"/>
                <w:szCs w:val="20"/>
                <w:lang w:val="af-ZA"/>
              </w:rPr>
              <w:t xml:space="preserve"> </w:t>
            </w:r>
            <w:r w:rsidRPr="00BC61ED">
              <w:rPr>
                <w:sz w:val="20"/>
                <w:szCs w:val="20"/>
              </w:rPr>
              <w:t>սխալ</w:t>
            </w:r>
            <w:r w:rsidRPr="00BC61ED">
              <w:rPr>
                <w:sz w:val="20"/>
                <w:szCs w:val="20"/>
                <w:lang w:val="af-ZA"/>
              </w:rPr>
              <w:t xml:space="preserve"> </w:t>
            </w:r>
            <w:r w:rsidRPr="00BC61ED">
              <w:rPr>
                <w:sz w:val="20"/>
                <w:szCs w:val="20"/>
              </w:rPr>
              <w:t>են</w:t>
            </w:r>
            <w:r w:rsidRPr="00BC61ED">
              <w:rPr>
                <w:sz w:val="20"/>
                <w:szCs w:val="20"/>
                <w:lang w:val="af-ZA"/>
              </w:rPr>
              <w:t xml:space="preserve"> </w:t>
            </w:r>
            <w:r w:rsidRPr="00BC61ED">
              <w:rPr>
                <w:sz w:val="20"/>
                <w:szCs w:val="20"/>
              </w:rPr>
              <w:t>արտահայտվել</w:t>
            </w:r>
            <w:r w:rsidRPr="00BC61ED">
              <w:rPr>
                <w:sz w:val="20"/>
                <w:szCs w:val="20"/>
                <w:lang w:val="af-ZA"/>
              </w:rPr>
              <w:t xml:space="preserve"> </w:t>
            </w:r>
            <w:r w:rsidRPr="00BC61ED">
              <w:rPr>
                <w:sz w:val="20"/>
                <w:szCs w:val="20"/>
              </w:rPr>
              <w:t>նաև</w:t>
            </w:r>
            <w:r w:rsidRPr="00BC61ED">
              <w:rPr>
                <w:sz w:val="20"/>
                <w:szCs w:val="20"/>
                <w:lang w:val="af-ZA"/>
              </w:rPr>
              <w:t xml:space="preserve"> </w:t>
            </w:r>
            <w:r w:rsidRPr="00BC61ED">
              <w:rPr>
                <w:sz w:val="20"/>
                <w:szCs w:val="20"/>
              </w:rPr>
              <w:t>համայնքների</w:t>
            </w:r>
            <w:r w:rsidRPr="00BC61ED">
              <w:rPr>
                <w:sz w:val="20"/>
                <w:szCs w:val="20"/>
                <w:lang w:val="af-ZA"/>
              </w:rPr>
              <w:t xml:space="preserve"> </w:t>
            </w:r>
            <w:r w:rsidRPr="00BC61ED">
              <w:rPr>
                <w:sz w:val="20"/>
                <w:szCs w:val="20"/>
              </w:rPr>
              <w:t>վարչական</w:t>
            </w:r>
            <w:r w:rsidRPr="00BC61ED">
              <w:rPr>
                <w:sz w:val="20"/>
                <w:szCs w:val="20"/>
                <w:lang w:val="af-ZA"/>
              </w:rPr>
              <w:t xml:space="preserve"> </w:t>
            </w:r>
            <w:r w:rsidRPr="00BC61ED">
              <w:rPr>
                <w:sz w:val="20"/>
                <w:szCs w:val="20"/>
              </w:rPr>
              <w:t>սահմանները</w:t>
            </w:r>
            <w:r w:rsidRPr="00BC61ED">
              <w:rPr>
                <w:sz w:val="20"/>
                <w:szCs w:val="20"/>
                <w:lang w:val="af-ZA"/>
              </w:rPr>
              <w:t xml:space="preserve">, </w:t>
            </w:r>
            <w:r w:rsidRPr="00BC61ED">
              <w:rPr>
                <w:sz w:val="20"/>
                <w:szCs w:val="20"/>
              </w:rPr>
              <w:t>ինչի</w:t>
            </w:r>
            <w:r w:rsidRPr="00BC61ED">
              <w:rPr>
                <w:sz w:val="20"/>
                <w:szCs w:val="20"/>
                <w:lang w:val="af-ZA"/>
              </w:rPr>
              <w:t xml:space="preserve"> </w:t>
            </w:r>
            <w:r w:rsidRPr="00BC61ED">
              <w:rPr>
                <w:sz w:val="20"/>
                <w:szCs w:val="20"/>
              </w:rPr>
              <w:t>արդյունքում</w:t>
            </w:r>
            <w:r w:rsidRPr="00BC61ED">
              <w:rPr>
                <w:sz w:val="20"/>
                <w:szCs w:val="20"/>
                <w:lang w:val="af-ZA"/>
              </w:rPr>
              <w:t xml:space="preserve"> </w:t>
            </w:r>
            <w:r w:rsidRPr="00BC61ED">
              <w:rPr>
                <w:sz w:val="20"/>
                <w:szCs w:val="20"/>
              </w:rPr>
              <w:t>նույնպես</w:t>
            </w:r>
            <w:r w:rsidRPr="00BC61ED">
              <w:rPr>
                <w:sz w:val="20"/>
                <w:szCs w:val="20"/>
                <w:lang w:val="af-ZA"/>
              </w:rPr>
              <w:t xml:space="preserve"> </w:t>
            </w:r>
            <w:r w:rsidRPr="00BC61ED">
              <w:rPr>
                <w:sz w:val="20"/>
                <w:szCs w:val="20"/>
              </w:rPr>
              <w:t>առաջանում</w:t>
            </w:r>
            <w:r w:rsidRPr="00BC61ED">
              <w:rPr>
                <w:sz w:val="20"/>
                <w:szCs w:val="20"/>
                <w:lang w:val="af-ZA"/>
              </w:rPr>
              <w:t xml:space="preserve"> </w:t>
            </w:r>
            <w:r w:rsidRPr="00BC61ED">
              <w:rPr>
                <w:sz w:val="20"/>
                <w:szCs w:val="20"/>
              </w:rPr>
              <w:t>են</w:t>
            </w:r>
            <w:r w:rsidRPr="00BC61ED">
              <w:rPr>
                <w:sz w:val="20"/>
                <w:szCs w:val="20"/>
                <w:lang w:val="af-ZA"/>
              </w:rPr>
              <w:t xml:space="preserve"> </w:t>
            </w:r>
            <w:r w:rsidRPr="00BC61ED">
              <w:rPr>
                <w:sz w:val="20"/>
                <w:szCs w:val="20"/>
              </w:rPr>
              <w:t>բազմաթիվ</w:t>
            </w:r>
            <w:r w:rsidRPr="00BC61ED">
              <w:rPr>
                <w:sz w:val="20"/>
                <w:szCs w:val="20"/>
                <w:lang w:val="af-ZA"/>
              </w:rPr>
              <w:t xml:space="preserve"> </w:t>
            </w:r>
            <w:r w:rsidRPr="00BC61ED">
              <w:rPr>
                <w:sz w:val="20"/>
                <w:szCs w:val="20"/>
              </w:rPr>
              <w:t>վեճեր</w:t>
            </w:r>
            <w:r w:rsidRPr="00BC61ED">
              <w:rPr>
                <w:sz w:val="20"/>
                <w:szCs w:val="20"/>
                <w:lang w:val="af-ZA"/>
              </w:rPr>
              <w:t xml:space="preserve">, </w:t>
            </w:r>
            <w:r w:rsidRPr="00BC61ED">
              <w:rPr>
                <w:sz w:val="20"/>
                <w:szCs w:val="20"/>
              </w:rPr>
              <w:t>վերադրումներ</w:t>
            </w:r>
            <w:r w:rsidRPr="00BC61ED">
              <w:rPr>
                <w:sz w:val="20"/>
                <w:szCs w:val="20"/>
                <w:lang w:val="af-ZA"/>
              </w:rPr>
              <w:t xml:space="preserve"> (</w:t>
            </w:r>
            <w:r w:rsidRPr="00BC61ED">
              <w:rPr>
                <w:sz w:val="20"/>
                <w:szCs w:val="20"/>
              </w:rPr>
              <w:t>համադրումներ</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բաց</w:t>
            </w:r>
            <w:r w:rsidRPr="00BC61ED">
              <w:rPr>
                <w:sz w:val="20"/>
                <w:szCs w:val="20"/>
                <w:lang w:val="af-ZA"/>
              </w:rPr>
              <w:t xml:space="preserve"> </w:t>
            </w:r>
            <w:r w:rsidRPr="00BC61ED">
              <w:rPr>
                <w:sz w:val="20"/>
                <w:szCs w:val="20"/>
              </w:rPr>
              <w:t>տարածքներ</w:t>
            </w:r>
            <w:r w:rsidRPr="00BC61ED">
              <w:rPr>
                <w:sz w:val="20"/>
                <w:szCs w:val="20"/>
                <w:lang w:val="af-ZA"/>
              </w:rPr>
              <w:t>:</w:t>
            </w:r>
          </w:p>
          <w:p w:rsidR="0068680D" w:rsidRPr="00BC61ED" w:rsidRDefault="0068680D" w:rsidP="00F47DC4">
            <w:pPr>
              <w:spacing w:line="276" w:lineRule="auto"/>
              <w:rPr>
                <w:b/>
                <w:sz w:val="20"/>
                <w:szCs w:val="20"/>
                <w:lang w:val="af-ZA"/>
              </w:rPr>
            </w:pPr>
            <w:r w:rsidRPr="00BC61ED">
              <w:rPr>
                <w:b/>
                <w:sz w:val="20"/>
                <w:szCs w:val="20"/>
                <w:lang w:val="af-ZA"/>
              </w:rPr>
              <w:t xml:space="preserve">   1.2. </w:t>
            </w:r>
            <w:r w:rsidRPr="00BC61ED">
              <w:rPr>
                <w:b/>
                <w:sz w:val="20"/>
                <w:szCs w:val="20"/>
              </w:rPr>
              <w:t>Առկա</w:t>
            </w:r>
            <w:r w:rsidRPr="00BC61ED">
              <w:rPr>
                <w:b/>
                <w:sz w:val="20"/>
                <w:szCs w:val="20"/>
                <w:lang w:val="af-ZA"/>
              </w:rPr>
              <w:t xml:space="preserve"> </w:t>
            </w:r>
            <w:r w:rsidRPr="00BC61ED">
              <w:rPr>
                <w:b/>
                <w:sz w:val="20"/>
                <w:szCs w:val="20"/>
              </w:rPr>
              <w:t>խնդիրների</w:t>
            </w:r>
            <w:r w:rsidRPr="00BC61ED">
              <w:rPr>
                <w:b/>
                <w:sz w:val="20"/>
                <w:szCs w:val="20"/>
                <w:lang w:val="af-ZA"/>
              </w:rPr>
              <w:t xml:space="preserve"> </w:t>
            </w:r>
            <w:r w:rsidRPr="00BC61ED">
              <w:rPr>
                <w:b/>
                <w:sz w:val="20"/>
                <w:szCs w:val="20"/>
              </w:rPr>
              <w:t>առաջարկվող</w:t>
            </w:r>
            <w:r w:rsidRPr="00BC61ED">
              <w:rPr>
                <w:b/>
                <w:sz w:val="20"/>
                <w:szCs w:val="20"/>
                <w:lang w:val="af-ZA"/>
              </w:rPr>
              <w:t xml:space="preserve"> </w:t>
            </w:r>
            <w:r w:rsidRPr="00BC61ED">
              <w:rPr>
                <w:b/>
                <w:sz w:val="20"/>
                <w:szCs w:val="20"/>
              </w:rPr>
              <w:t>լուծումները</w:t>
            </w:r>
          </w:p>
          <w:p w:rsidR="0068680D" w:rsidRPr="00BC61ED" w:rsidRDefault="0068680D" w:rsidP="00F47DC4">
            <w:pPr>
              <w:pStyle w:val="BodyTextIndent"/>
              <w:spacing w:after="0" w:line="276" w:lineRule="auto"/>
              <w:ind w:left="0" w:right="-138"/>
              <w:jc w:val="both"/>
              <w:rPr>
                <w:rFonts w:ascii="GHEA Grapalat" w:hAnsi="GHEA Grapalat" w:cs="Times Armenian"/>
                <w:sz w:val="20"/>
                <w:szCs w:val="20"/>
                <w:lang w:val="af-ZA"/>
              </w:rPr>
            </w:pPr>
            <w:r w:rsidRPr="00BC61ED">
              <w:rPr>
                <w:rFonts w:ascii="GHEA Grapalat" w:hAnsi="GHEA Grapalat" w:cs="Arial"/>
                <w:sz w:val="20"/>
                <w:szCs w:val="20"/>
                <w:lang w:val="af-ZA"/>
              </w:rPr>
              <w:t xml:space="preserve">   </w:t>
            </w:r>
            <w:r w:rsidRPr="00BC61ED">
              <w:rPr>
                <w:rFonts w:ascii="GHEA Grapalat" w:hAnsi="GHEA Grapalat" w:cs="Arial"/>
                <w:sz w:val="20"/>
                <w:szCs w:val="20"/>
              </w:rPr>
              <w:t>Գյուղատնտեսական</w:t>
            </w:r>
            <w:r w:rsidRPr="00BC61ED">
              <w:rPr>
                <w:rFonts w:ascii="GHEA Grapalat" w:hAnsi="GHEA Grapalat"/>
                <w:sz w:val="20"/>
                <w:szCs w:val="20"/>
                <w:lang w:val="af-ZA"/>
              </w:rPr>
              <w:t xml:space="preserve"> </w:t>
            </w:r>
            <w:r w:rsidRPr="00BC61ED">
              <w:rPr>
                <w:rFonts w:ascii="GHEA Grapalat" w:hAnsi="GHEA Grapalat"/>
                <w:sz w:val="20"/>
                <w:szCs w:val="20"/>
              </w:rPr>
              <w:t>նշանակության</w:t>
            </w:r>
            <w:r w:rsidRPr="00BC61ED">
              <w:rPr>
                <w:rFonts w:ascii="GHEA Grapalat" w:hAnsi="GHEA Grapalat"/>
                <w:sz w:val="20"/>
                <w:szCs w:val="20"/>
                <w:lang w:val="af-ZA"/>
              </w:rPr>
              <w:t xml:space="preserve"> </w:t>
            </w:r>
            <w:r w:rsidRPr="00BC61ED">
              <w:rPr>
                <w:rFonts w:ascii="GHEA Grapalat" w:hAnsi="GHEA Grapalat"/>
                <w:sz w:val="20"/>
                <w:szCs w:val="20"/>
              </w:rPr>
              <w:t>հողերի</w:t>
            </w:r>
            <w:r w:rsidRPr="00BC61ED">
              <w:rPr>
                <w:rFonts w:ascii="GHEA Grapalat" w:hAnsi="GHEA Grapalat"/>
                <w:sz w:val="20"/>
                <w:szCs w:val="20"/>
                <w:lang w:val="af-ZA"/>
              </w:rPr>
              <w:t xml:space="preserve"> </w:t>
            </w:r>
            <w:r w:rsidRPr="00BC61ED">
              <w:rPr>
                <w:rFonts w:ascii="GHEA Grapalat" w:hAnsi="GHEA Grapalat"/>
                <w:sz w:val="20"/>
                <w:szCs w:val="20"/>
              </w:rPr>
              <w:t>օգտագործման</w:t>
            </w:r>
            <w:r w:rsidRPr="00BC61ED">
              <w:rPr>
                <w:rFonts w:ascii="GHEA Grapalat" w:hAnsi="GHEA Grapalat"/>
                <w:sz w:val="20"/>
                <w:szCs w:val="20"/>
                <w:lang w:val="af-ZA"/>
              </w:rPr>
              <w:t xml:space="preserve"> </w:t>
            </w:r>
            <w:r w:rsidRPr="00BC61ED">
              <w:rPr>
                <w:rFonts w:ascii="GHEA Grapalat" w:hAnsi="GHEA Grapalat"/>
                <w:sz w:val="20"/>
                <w:szCs w:val="20"/>
              </w:rPr>
              <w:t>վիճակի</w:t>
            </w:r>
            <w:r w:rsidRPr="00BC61ED">
              <w:rPr>
                <w:rFonts w:ascii="GHEA Grapalat" w:hAnsi="GHEA Grapalat"/>
                <w:sz w:val="20"/>
                <w:szCs w:val="20"/>
                <w:lang w:val="af-ZA"/>
              </w:rPr>
              <w:t xml:space="preserve">, </w:t>
            </w:r>
            <w:r w:rsidRPr="00BC61ED">
              <w:rPr>
                <w:rFonts w:ascii="GHEA Grapalat" w:hAnsi="GHEA Grapalat"/>
                <w:sz w:val="20"/>
                <w:szCs w:val="20"/>
              </w:rPr>
              <w:t>հողատեսքերի</w:t>
            </w:r>
            <w:r w:rsidRPr="00BC61ED">
              <w:rPr>
                <w:rFonts w:ascii="GHEA Grapalat" w:hAnsi="GHEA Grapalat"/>
                <w:sz w:val="20"/>
                <w:szCs w:val="20"/>
                <w:lang w:val="af-ZA"/>
              </w:rPr>
              <w:t xml:space="preserve"> </w:t>
            </w:r>
            <w:r w:rsidRPr="00BC61ED">
              <w:rPr>
                <w:rFonts w:ascii="GHEA Grapalat" w:hAnsi="GHEA Grapalat"/>
                <w:sz w:val="20"/>
                <w:szCs w:val="20"/>
              </w:rPr>
              <w:t>փոփոխության</w:t>
            </w:r>
            <w:r w:rsidRPr="00BC61ED">
              <w:rPr>
                <w:rFonts w:ascii="GHEA Grapalat" w:hAnsi="GHEA Grapalat"/>
                <w:sz w:val="20"/>
                <w:szCs w:val="20"/>
                <w:lang w:val="af-ZA"/>
              </w:rPr>
              <w:t xml:space="preserve">, </w:t>
            </w:r>
            <w:r w:rsidRPr="00BC61ED">
              <w:rPr>
                <w:rFonts w:ascii="GHEA Grapalat" w:hAnsi="GHEA Grapalat"/>
                <w:sz w:val="20"/>
                <w:szCs w:val="20"/>
              </w:rPr>
              <w:t>բազմամյա</w:t>
            </w:r>
            <w:r w:rsidRPr="00BC61ED">
              <w:rPr>
                <w:rFonts w:ascii="GHEA Grapalat" w:hAnsi="GHEA Grapalat"/>
                <w:sz w:val="20"/>
                <w:szCs w:val="20"/>
                <w:lang w:val="af-ZA"/>
              </w:rPr>
              <w:t xml:space="preserve"> </w:t>
            </w:r>
            <w:r w:rsidRPr="00BC61ED">
              <w:rPr>
                <w:rFonts w:ascii="GHEA Grapalat" w:hAnsi="GHEA Grapalat"/>
                <w:sz w:val="20"/>
                <w:szCs w:val="20"/>
              </w:rPr>
              <w:t>տնկարկների</w:t>
            </w:r>
            <w:r w:rsidRPr="00BC61ED">
              <w:rPr>
                <w:rFonts w:ascii="GHEA Grapalat" w:hAnsi="GHEA Grapalat"/>
                <w:sz w:val="20"/>
                <w:szCs w:val="20"/>
                <w:lang w:val="af-ZA"/>
              </w:rPr>
              <w:t xml:space="preserve"> </w:t>
            </w:r>
            <w:r w:rsidRPr="00BC61ED">
              <w:rPr>
                <w:rFonts w:ascii="GHEA Grapalat" w:hAnsi="GHEA Grapalat"/>
                <w:sz w:val="20"/>
                <w:szCs w:val="20"/>
              </w:rPr>
              <w:t>և</w:t>
            </w:r>
            <w:r w:rsidRPr="00BC61ED">
              <w:rPr>
                <w:rFonts w:ascii="GHEA Grapalat" w:hAnsi="GHEA Grapalat"/>
                <w:sz w:val="20"/>
                <w:szCs w:val="20"/>
                <w:lang w:val="af-ZA"/>
              </w:rPr>
              <w:t xml:space="preserve"> </w:t>
            </w:r>
            <w:r w:rsidRPr="00BC61ED">
              <w:rPr>
                <w:rFonts w:ascii="GHEA Grapalat" w:hAnsi="GHEA Grapalat"/>
                <w:sz w:val="20"/>
                <w:szCs w:val="20"/>
              </w:rPr>
              <w:t>ոռոգվող</w:t>
            </w:r>
            <w:r w:rsidRPr="00BC61ED">
              <w:rPr>
                <w:rFonts w:ascii="GHEA Grapalat" w:hAnsi="GHEA Grapalat"/>
                <w:sz w:val="20"/>
                <w:szCs w:val="20"/>
                <w:lang w:val="af-ZA"/>
              </w:rPr>
              <w:t xml:space="preserve"> </w:t>
            </w:r>
            <w:r w:rsidRPr="00BC61ED">
              <w:rPr>
                <w:rFonts w:ascii="GHEA Grapalat" w:hAnsi="GHEA Grapalat"/>
                <w:sz w:val="20"/>
                <w:szCs w:val="20"/>
              </w:rPr>
              <w:t>հողերի</w:t>
            </w:r>
            <w:r w:rsidRPr="00BC61ED">
              <w:rPr>
                <w:rFonts w:ascii="GHEA Grapalat" w:hAnsi="GHEA Grapalat"/>
                <w:sz w:val="20"/>
                <w:szCs w:val="20"/>
                <w:lang w:val="af-ZA"/>
              </w:rPr>
              <w:t xml:space="preserve"> </w:t>
            </w:r>
            <w:r w:rsidRPr="00BC61ED">
              <w:rPr>
                <w:rFonts w:ascii="GHEA Grapalat" w:hAnsi="GHEA Grapalat"/>
                <w:sz w:val="20"/>
                <w:szCs w:val="20"/>
              </w:rPr>
              <w:t>առկայության</w:t>
            </w:r>
            <w:r w:rsidRPr="00BC61ED">
              <w:rPr>
                <w:rFonts w:ascii="GHEA Grapalat" w:hAnsi="GHEA Grapalat"/>
                <w:sz w:val="20"/>
                <w:szCs w:val="20"/>
                <w:lang w:val="af-ZA"/>
              </w:rPr>
              <w:t xml:space="preserve"> </w:t>
            </w:r>
            <w:r w:rsidRPr="00BC61ED">
              <w:rPr>
                <w:rFonts w:ascii="GHEA Grapalat" w:hAnsi="GHEA Grapalat"/>
                <w:sz w:val="20"/>
                <w:szCs w:val="20"/>
              </w:rPr>
              <w:t>վերաբերյալ</w:t>
            </w:r>
            <w:r w:rsidRPr="00BC61ED">
              <w:rPr>
                <w:rFonts w:ascii="GHEA Grapalat" w:hAnsi="GHEA Grapalat"/>
                <w:sz w:val="20"/>
                <w:szCs w:val="20"/>
                <w:lang w:val="af-ZA"/>
              </w:rPr>
              <w:t xml:space="preserve"> </w:t>
            </w:r>
            <w:r w:rsidRPr="00BC61ED">
              <w:rPr>
                <w:rFonts w:ascii="GHEA Grapalat" w:hAnsi="GHEA Grapalat"/>
                <w:sz w:val="20"/>
                <w:szCs w:val="20"/>
              </w:rPr>
              <w:t>ճշտված</w:t>
            </w:r>
            <w:r w:rsidRPr="00BC61ED">
              <w:rPr>
                <w:rFonts w:ascii="GHEA Grapalat" w:hAnsi="GHEA Grapalat"/>
                <w:sz w:val="20"/>
                <w:szCs w:val="20"/>
                <w:lang w:val="af-ZA"/>
              </w:rPr>
              <w:t xml:space="preserve"> </w:t>
            </w:r>
            <w:r w:rsidRPr="00BC61ED">
              <w:rPr>
                <w:rFonts w:ascii="GHEA Grapalat" w:hAnsi="GHEA Grapalat"/>
                <w:sz w:val="20"/>
                <w:szCs w:val="20"/>
              </w:rPr>
              <w:t>տվյալներ</w:t>
            </w:r>
            <w:r w:rsidRPr="00BC61ED">
              <w:rPr>
                <w:rFonts w:ascii="GHEA Grapalat" w:hAnsi="GHEA Grapalat"/>
                <w:sz w:val="20"/>
                <w:szCs w:val="20"/>
                <w:lang w:val="af-ZA"/>
              </w:rPr>
              <w:t xml:space="preserve"> </w:t>
            </w:r>
            <w:r w:rsidRPr="00BC61ED">
              <w:rPr>
                <w:rFonts w:ascii="GHEA Grapalat" w:hAnsi="GHEA Grapalat"/>
                <w:sz w:val="20"/>
                <w:szCs w:val="20"/>
              </w:rPr>
              <w:t>հնարավոր</w:t>
            </w:r>
            <w:r w:rsidRPr="00BC61ED">
              <w:rPr>
                <w:rFonts w:ascii="GHEA Grapalat" w:hAnsi="GHEA Grapalat"/>
                <w:sz w:val="20"/>
                <w:szCs w:val="20"/>
                <w:lang w:val="af-ZA"/>
              </w:rPr>
              <w:t xml:space="preserve"> </w:t>
            </w:r>
            <w:r w:rsidRPr="00BC61ED">
              <w:rPr>
                <w:rFonts w:ascii="GHEA Grapalat" w:hAnsi="GHEA Grapalat"/>
                <w:sz w:val="20"/>
                <w:szCs w:val="20"/>
              </w:rPr>
              <w:t>է</w:t>
            </w:r>
            <w:r w:rsidRPr="00BC61ED">
              <w:rPr>
                <w:rFonts w:ascii="GHEA Grapalat" w:hAnsi="GHEA Grapalat"/>
                <w:sz w:val="20"/>
                <w:szCs w:val="20"/>
                <w:lang w:val="af-ZA"/>
              </w:rPr>
              <w:t xml:space="preserve"> </w:t>
            </w:r>
            <w:r w:rsidRPr="00BC61ED">
              <w:rPr>
                <w:rFonts w:ascii="GHEA Grapalat" w:hAnsi="GHEA Grapalat"/>
                <w:sz w:val="20"/>
                <w:szCs w:val="20"/>
              </w:rPr>
              <w:t>ստանալ</w:t>
            </w:r>
            <w:r w:rsidRPr="00BC61ED">
              <w:rPr>
                <w:rFonts w:ascii="GHEA Grapalat" w:hAnsi="GHEA Grapalat"/>
                <w:sz w:val="20"/>
                <w:szCs w:val="20"/>
                <w:lang w:val="af-ZA"/>
              </w:rPr>
              <w:t xml:space="preserve"> </w:t>
            </w:r>
            <w:r w:rsidRPr="00BC61ED">
              <w:rPr>
                <w:rFonts w:ascii="GHEA Grapalat" w:hAnsi="GHEA Grapalat"/>
                <w:sz w:val="20"/>
                <w:szCs w:val="20"/>
              </w:rPr>
              <w:t>միայն</w:t>
            </w:r>
            <w:r w:rsidRPr="00BC61ED">
              <w:rPr>
                <w:rFonts w:ascii="GHEA Grapalat" w:hAnsi="GHEA Grapalat"/>
                <w:sz w:val="20"/>
                <w:szCs w:val="20"/>
                <w:lang w:val="af-ZA"/>
              </w:rPr>
              <w:t xml:space="preserve"> </w:t>
            </w:r>
            <w:r w:rsidRPr="00BC61ED">
              <w:rPr>
                <w:rFonts w:ascii="GHEA Grapalat" w:hAnsi="GHEA Grapalat"/>
                <w:sz w:val="20"/>
                <w:szCs w:val="20"/>
              </w:rPr>
              <w:t>գույքագրման</w:t>
            </w:r>
            <w:r w:rsidRPr="00BC61ED">
              <w:rPr>
                <w:rFonts w:ascii="GHEA Grapalat" w:hAnsi="GHEA Grapalat"/>
                <w:sz w:val="20"/>
                <w:szCs w:val="20"/>
                <w:lang w:val="af-ZA"/>
              </w:rPr>
              <w:t xml:space="preserve"> </w:t>
            </w:r>
            <w:r w:rsidRPr="00BC61ED">
              <w:rPr>
                <w:rFonts w:ascii="GHEA Grapalat" w:hAnsi="GHEA Grapalat"/>
                <w:sz w:val="20"/>
                <w:szCs w:val="20"/>
              </w:rPr>
              <w:t>միջոցով</w:t>
            </w:r>
            <w:r w:rsidRPr="00BC61ED">
              <w:rPr>
                <w:rFonts w:ascii="GHEA Grapalat" w:hAnsi="GHEA Grapalat"/>
                <w:sz w:val="20"/>
                <w:szCs w:val="20"/>
                <w:lang w:val="af-ZA"/>
              </w:rPr>
              <w:t xml:space="preserve">, </w:t>
            </w:r>
            <w:r w:rsidRPr="00BC61ED">
              <w:rPr>
                <w:rFonts w:ascii="GHEA Grapalat" w:hAnsi="GHEA Grapalat"/>
                <w:sz w:val="20"/>
                <w:szCs w:val="20"/>
              </w:rPr>
              <w:t>իսկ</w:t>
            </w:r>
            <w:r w:rsidRPr="00BC61ED">
              <w:rPr>
                <w:rFonts w:ascii="GHEA Grapalat" w:hAnsi="GHEA Grapalat"/>
                <w:sz w:val="20"/>
                <w:szCs w:val="20"/>
                <w:lang w:val="af-ZA"/>
              </w:rPr>
              <w:t xml:space="preserve"> </w:t>
            </w:r>
            <w:r w:rsidRPr="00BC61ED">
              <w:rPr>
                <w:rFonts w:ascii="GHEA Grapalat" w:hAnsi="GHEA Grapalat"/>
                <w:sz w:val="20"/>
                <w:szCs w:val="20"/>
              </w:rPr>
              <w:t>հ</w:t>
            </w:r>
            <w:r w:rsidRPr="00BC61ED">
              <w:rPr>
                <w:rFonts w:ascii="GHEA Grapalat" w:hAnsi="GHEA Grapalat" w:cs="Times Armenian"/>
                <w:sz w:val="20"/>
                <w:szCs w:val="20"/>
              </w:rPr>
              <w:t>ամայնքների</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կադաստրային</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քարտեզներում</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տեղ</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գտած</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անճշտություններրի</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և</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վարչական</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սահմանների</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ուղղման</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համար</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հիմք</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ընդունել</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բավարար</w:t>
            </w:r>
            <w:r w:rsidRPr="00BC61ED">
              <w:rPr>
                <w:rFonts w:ascii="GHEA Grapalat" w:hAnsi="GHEA Grapalat" w:cs="Times Armenian"/>
                <w:sz w:val="20"/>
                <w:szCs w:val="20"/>
                <w:lang w:val="af-ZA"/>
              </w:rPr>
              <w:t xml:space="preserve"> </w:t>
            </w:r>
            <w:r w:rsidRPr="00BC61ED">
              <w:rPr>
                <w:rFonts w:ascii="GHEA Grapalat" w:hAnsi="GHEA Grapalat"/>
                <w:sz w:val="20"/>
                <w:szCs w:val="20"/>
              </w:rPr>
              <w:t>ճշտություն</w:t>
            </w:r>
            <w:r w:rsidRPr="00BC61ED">
              <w:rPr>
                <w:rFonts w:ascii="GHEA Grapalat" w:hAnsi="GHEA Grapalat"/>
                <w:sz w:val="20"/>
                <w:szCs w:val="20"/>
                <w:lang w:val="af-ZA"/>
              </w:rPr>
              <w:t xml:space="preserve"> </w:t>
            </w:r>
            <w:r w:rsidRPr="00BC61ED">
              <w:rPr>
                <w:rFonts w:ascii="GHEA Grapalat" w:hAnsi="GHEA Grapalat"/>
                <w:sz w:val="20"/>
                <w:szCs w:val="20"/>
              </w:rPr>
              <w:t>ունեցող</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օրթոֆոտո</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հատակագծերը</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լուսանկարներ</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անհրաժեշտության</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դեպքում</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իրականացնել</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նոր</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սահմանակետերի</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տեղադրման</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և</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չափագրման</w:t>
            </w:r>
            <w:r w:rsidRPr="00BC61ED">
              <w:rPr>
                <w:rFonts w:ascii="GHEA Grapalat" w:hAnsi="GHEA Grapalat" w:cs="Times Armenian"/>
                <w:sz w:val="20"/>
                <w:szCs w:val="20"/>
                <w:lang w:val="af-ZA"/>
              </w:rPr>
              <w:t xml:space="preserve"> </w:t>
            </w:r>
            <w:r w:rsidRPr="00BC61ED">
              <w:rPr>
                <w:rFonts w:ascii="GHEA Grapalat" w:hAnsi="GHEA Grapalat" w:cs="Times Armenian"/>
                <w:sz w:val="20"/>
                <w:szCs w:val="20"/>
              </w:rPr>
              <w:t>աշխատանքներ</w:t>
            </w:r>
            <w:r w:rsidRPr="00BC61ED">
              <w:rPr>
                <w:rFonts w:ascii="GHEA Grapalat" w:hAnsi="GHEA Grapalat" w:cs="Times Armenian"/>
                <w:sz w:val="20"/>
                <w:szCs w:val="20"/>
                <w:lang w:val="af-ZA"/>
              </w:rPr>
              <w:t>:</w:t>
            </w:r>
          </w:p>
          <w:p w:rsidR="0068680D" w:rsidRPr="00BC61ED" w:rsidRDefault="0068680D" w:rsidP="00F47DC4">
            <w:pPr>
              <w:pStyle w:val="BodyTextIndent"/>
              <w:spacing w:after="0" w:line="276" w:lineRule="auto"/>
              <w:ind w:left="0" w:right="-138"/>
              <w:rPr>
                <w:rFonts w:ascii="GHEA Grapalat" w:hAnsi="GHEA Grapalat" w:cs="Times Armenian"/>
                <w:b/>
                <w:sz w:val="20"/>
                <w:szCs w:val="20"/>
                <w:lang w:val="af-ZA"/>
              </w:rPr>
            </w:pPr>
            <w:r w:rsidRPr="00BC61ED">
              <w:rPr>
                <w:rFonts w:ascii="GHEA Grapalat" w:hAnsi="GHEA Grapalat" w:cs="Times Armenian"/>
                <w:b/>
                <w:sz w:val="20"/>
                <w:szCs w:val="20"/>
                <w:lang w:val="af-ZA"/>
              </w:rPr>
              <w:t xml:space="preserve">   </w:t>
            </w:r>
            <w:r w:rsidRPr="00BC61ED">
              <w:rPr>
                <w:rFonts w:ascii="GHEA Grapalat" w:hAnsi="GHEA Grapalat" w:cs="Times Armenian"/>
                <w:b/>
                <w:sz w:val="20"/>
                <w:szCs w:val="20"/>
              </w:rPr>
              <w:t>Կիրականացվեն</w:t>
            </w:r>
            <w:r w:rsidRPr="00BC61ED">
              <w:rPr>
                <w:rFonts w:ascii="GHEA Grapalat" w:hAnsi="GHEA Grapalat" w:cs="Times Armenian"/>
                <w:b/>
                <w:sz w:val="20"/>
                <w:szCs w:val="20"/>
                <w:lang w:val="af-ZA"/>
              </w:rPr>
              <w:t xml:space="preserve"> </w:t>
            </w:r>
            <w:r w:rsidRPr="00BC61ED">
              <w:rPr>
                <w:rFonts w:ascii="GHEA Grapalat" w:hAnsi="GHEA Grapalat" w:cs="Times Armenian"/>
                <w:b/>
                <w:sz w:val="20"/>
                <w:szCs w:val="20"/>
              </w:rPr>
              <w:t>հետևյալ</w:t>
            </w:r>
            <w:r w:rsidRPr="00BC61ED">
              <w:rPr>
                <w:rFonts w:ascii="GHEA Grapalat" w:hAnsi="GHEA Grapalat" w:cs="Times Armenian"/>
                <w:b/>
                <w:sz w:val="20"/>
                <w:szCs w:val="20"/>
                <w:lang w:val="af-ZA"/>
              </w:rPr>
              <w:t xml:space="preserve"> </w:t>
            </w:r>
            <w:r w:rsidRPr="00BC61ED">
              <w:rPr>
                <w:rFonts w:ascii="GHEA Grapalat" w:hAnsi="GHEA Grapalat" w:cs="Times Armenian"/>
                <w:b/>
                <w:sz w:val="20"/>
                <w:szCs w:val="20"/>
              </w:rPr>
              <w:t>միջոցառումները՝</w:t>
            </w:r>
          </w:p>
          <w:p w:rsidR="0068680D" w:rsidRPr="00BC61ED" w:rsidRDefault="0068680D" w:rsidP="00F47DC4">
            <w:pPr>
              <w:spacing w:line="276" w:lineRule="auto"/>
              <w:jc w:val="both"/>
              <w:rPr>
                <w:sz w:val="20"/>
                <w:szCs w:val="20"/>
                <w:lang w:val="af-ZA"/>
              </w:rPr>
            </w:pPr>
            <w:r w:rsidRPr="00BC61ED">
              <w:rPr>
                <w:rFonts w:cs="Sylfaen"/>
                <w:color w:val="000000"/>
                <w:sz w:val="20"/>
                <w:szCs w:val="20"/>
                <w:lang w:val="af-ZA"/>
              </w:rPr>
              <w:t xml:space="preserve">   1. </w:t>
            </w:r>
            <w:r w:rsidRPr="00BC61ED">
              <w:rPr>
                <w:sz w:val="20"/>
                <w:szCs w:val="20"/>
                <w:lang w:val="hy-AM"/>
              </w:rPr>
              <w:t>ՀՀ Արմավիրի մարզի համայնքների վարչական սահմանների, կադաստրային քարտեզներում առկա անճշտությունների ուղղման և գյուղատնտեսական նշանակության հողերի գույքագրման աշխատանքներ (պիլոտային)</w:t>
            </w:r>
            <w:r w:rsidRPr="00BC61ED">
              <w:rPr>
                <w:sz w:val="20"/>
                <w:szCs w:val="20"/>
                <w:lang w:val="af-ZA"/>
              </w:rPr>
              <w:t>,</w:t>
            </w:r>
          </w:p>
          <w:p w:rsidR="0068680D" w:rsidRPr="00BC61ED" w:rsidRDefault="0068680D" w:rsidP="00F47DC4">
            <w:pPr>
              <w:spacing w:line="276" w:lineRule="auto"/>
              <w:jc w:val="both"/>
              <w:rPr>
                <w:sz w:val="20"/>
                <w:szCs w:val="20"/>
                <w:lang w:val="af-ZA"/>
              </w:rPr>
            </w:pPr>
            <w:r w:rsidRPr="00BC61ED">
              <w:rPr>
                <w:rFonts w:cs="Sylfaen"/>
                <w:color w:val="000000"/>
                <w:sz w:val="20"/>
                <w:szCs w:val="20"/>
                <w:lang w:val="af-ZA"/>
              </w:rPr>
              <w:t xml:space="preserve">   2. </w:t>
            </w:r>
            <w:r w:rsidRPr="00BC61ED">
              <w:rPr>
                <w:sz w:val="20"/>
                <w:szCs w:val="20"/>
                <w:lang w:val="hy-AM"/>
              </w:rPr>
              <w:t>ՀՀ համայնքների վարչական սահմանների ուղղման, գյուղատնտեսական նշանակության հողերի, այդ թվում՝ բազմամյա տնկարկների և ոռոգվող հողերի գույքագրման աշխատանքներ</w:t>
            </w:r>
            <w:r w:rsidRPr="00BC61ED">
              <w:rPr>
                <w:sz w:val="20"/>
                <w:szCs w:val="20"/>
                <w:lang w:val="af-ZA"/>
              </w:rPr>
              <w:t>,</w:t>
            </w:r>
          </w:p>
          <w:p w:rsidR="0068680D" w:rsidRPr="00BC61ED" w:rsidRDefault="0068680D" w:rsidP="00F47DC4">
            <w:pPr>
              <w:spacing w:line="276" w:lineRule="auto"/>
              <w:jc w:val="both"/>
              <w:rPr>
                <w:sz w:val="20"/>
                <w:szCs w:val="20"/>
                <w:lang w:val="af-ZA"/>
              </w:rPr>
            </w:pPr>
            <w:r w:rsidRPr="00BC61ED">
              <w:rPr>
                <w:sz w:val="20"/>
                <w:szCs w:val="20"/>
                <w:lang w:val="af-ZA"/>
              </w:rPr>
              <w:t xml:space="preserve">   3. </w:t>
            </w:r>
            <w:r w:rsidRPr="00BC61ED">
              <w:rPr>
                <w:sz w:val="20"/>
                <w:szCs w:val="20"/>
                <w:lang w:val="hy-AM"/>
              </w:rPr>
              <w:t>Կադաստրային քարտեզներում առկա անճշտությունների ուղ</w:t>
            </w:r>
            <w:r w:rsidRPr="00BC61ED">
              <w:rPr>
                <w:sz w:val="20"/>
                <w:szCs w:val="20"/>
              </w:rPr>
              <w:t>ղ</w:t>
            </w:r>
            <w:r w:rsidRPr="00BC61ED">
              <w:rPr>
                <w:sz w:val="20"/>
                <w:szCs w:val="20"/>
                <w:lang w:val="hy-AM"/>
              </w:rPr>
              <w:t>ման աշխատանքներ</w:t>
            </w:r>
            <w:r w:rsidRPr="00BC61ED">
              <w:rPr>
                <w:sz w:val="20"/>
                <w:szCs w:val="20"/>
                <w:lang w:val="af-ZA"/>
              </w:rPr>
              <w:t>:</w:t>
            </w:r>
          </w:p>
          <w:p w:rsidR="0068680D" w:rsidRPr="00BC61ED" w:rsidRDefault="0068680D" w:rsidP="00F47DC4">
            <w:pPr>
              <w:pStyle w:val="BodyTextIndent"/>
              <w:spacing w:after="0" w:line="276" w:lineRule="auto"/>
              <w:ind w:left="0" w:right="-138"/>
              <w:rPr>
                <w:rFonts w:ascii="GHEA Grapalat" w:hAnsi="GHEA Grapalat" w:cs="Times Armenian"/>
                <w:b/>
                <w:sz w:val="20"/>
                <w:szCs w:val="20"/>
                <w:lang w:val="af-ZA"/>
              </w:rPr>
            </w:pPr>
            <w:r w:rsidRPr="00BC61ED">
              <w:rPr>
                <w:rFonts w:ascii="GHEA Grapalat" w:hAnsi="GHEA Grapalat" w:cs="Times Armenian"/>
                <w:b/>
                <w:sz w:val="20"/>
                <w:szCs w:val="20"/>
                <w:lang w:val="af-ZA"/>
              </w:rPr>
              <w:t xml:space="preserve">   2. </w:t>
            </w:r>
            <w:r w:rsidRPr="00BC61ED">
              <w:rPr>
                <w:rFonts w:ascii="GHEA Grapalat" w:hAnsi="GHEA Grapalat" w:cs="Times Armenian"/>
                <w:b/>
                <w:sz w:val="20"/>
                <w:szCs w:val="20"/>
              </w:rPr>
              <w:t>Միջոցառման</w:t>
            </w:r>
            <w:r w:rsidRPr="00BC61ED">
              <w:rPr>
                <w:rFonts w:ascii="GHEA Grapalat" w:hAnsi="GHEA Grapalat" w:cs="Times Armenian"/>
                <w:b/>
                <w:sz w:val="20"/>
                <w:szCs w:val="20"/>
                <w:lang w:val="af-ZA"/>
              </w:rPr>
              <w:t xml:space="preserve"> </w:t>
            </w:r>
            <w:r w:rsidRPr="00BC61ED">
              <w:rPr>
                <w:rFonts w:ascii="GHEA Grapalat" w:hAnsi="GHEA Grapalat" w:cs="Times Armenian"/>
                <w:b/>
                <w:sz w:val="20"/>
                <w:szCs w:val="20"/>
              </w:rPr>
              <w:t>իրականացումից</w:t>
            </w:r>
            <w:r w:rsidRPr="00BC61ED">
              <w:rPr>
                <w:rFonts w:ascii="GHEA Grapalat" w:hAnsi="GHEA Grapalat" w:cs="Times Armenian"/>
                <w:b/>
                <w:sz w:val="20"/>
                <w:szCs w:val="20"/>
                <w:lang w:val="af-ZA"/>
              </w:rPr>
              <w:t xml:space="preserve"> </w:t>
            </w:r>
            <w:r w:rsidRPr="00BC61ED">
              <w:rPr>
                <w:rFonts w:ascii="GHEA Grapalat" w:hAnsi="GHEA Grapalat" w:cs="Times Armenian"/>
                <w:b/>
                <w:sz w:val="20"/>
                <w:szCs w:val="20"/>
              </w:rPr>
              <w:t>ակնկալվող</w:t>
            </w:r>
            <w:r w:rsidRPr="00BC61ED">
              <w:rPr>
                <w:rFonts w:ascii="GHEA Grapalat" w:hAnsi="GHEA Grapalat" w:cs="Times Armenian"/>
                <w:b/>
                <w:sz w:val="20"/>
                <w:szCs w:val="20"/>
                <w:lang w:val="af-ZA"/>
              </w:rPr>
              <w:t xml:space="preserve"> </w:t>
            </w:r>
            <w:r w:rsidRPr="00BC61ED">
              <w:rPr>
                <w:rFonts w:ascii="GHEA Grapalat" w:hAnsi="GHEA Grapalat" w:cs="Times Armenian"/>
                <w:b/>
                <w:sz w:val="20"/>
                <w:szCs w:val="20"/>
              </w:rPr>
              <w:t>արդյունքը</w:t>
            </w:r>
          </w:p>
          <w:p w:rsidR="0068680D" w:rsidRPr="00BC61ED" w:rsidRDefault="0068680D" w:rsidP="00F47DC4">
            <w:pPr>
              <w:spacing w:line="276" w:lineRule="auto"/>
              <w:ind w:right="-138"/>
              <w:jc w:val="both"/>
              <w:rPr>
                <w:sz w:val="20"/>
                <w:szCs w:val="20"/>
                <w:lang w:val="af-ZA"/>
              </w:rPr>
            </w:pPr>
            <w:r w:rsidRPr="00BC61ED">
              <w:rPr>
                <w:rFonts w:cs="Sylfaen"/>
                <w:sz w:val="20"/>
                <w:szCs w:val="20"/>
                <w:lang w:val="af-ZA"/>
              </w:rPr>
              <w:t xml:space="preserve">   </w:t>
            </w:r>
            <w:r w:rsidRPr="00BC61ED">
              <w:rPr>
                <w:rFonts w:cs="Sylfaen"/>
                <w:sz w:val="20"/>
                <w:szCs w:val="20"/>
              </w:rPr>
              <w:t>Միջոցառման</w:t>
            </w:r>
            <w:r w:rsidRPr="00BC61ED">
              <w:rPr>
                <w:rFonts w:cs="Sylfaen"/>
                <w:sz w:val="20"/>
                <w:szCs w:val="20"/>
                <w:lang w:val="af-ZA"/>
              </w:rPr>
              <w:t xml:space="preserve"> </w:t>
            </w:r>
            <w:r w:rsidRPr="00BC61ED">
              <w:rPr>
                <w:rFonts w:cs="Sylfaen"/>
                <w:sz w:val="20"/>
                <w:szCs w:val="20"/>
              </w:rPr>
              <w:t>իրականացման</w:t>
            </w:r>
            <w:r w:rsidRPr="00BC61ED">
              <w:rPr>
                <w:rFonts w:cs="Sylfaen"/>
                <w:sz w:val="20"/>
                <w:szCs w:val="20"/>
                <w:lang w:val="af-ZA"/>
              </w:rPr>
              <w:t xml:space="preserve"> </w:t>
            </w:r>
            <w:r w:rsidRPr="00BC61ED">
              <w:rPr>
                <w:rFonts w:cs="Sylfaen"/>
                <w:sz w:val="20"/>
                <w:szCs w:val="20"/>
              </w:rPr>
              <w:t>արդյունքում</w:t>
            </w:r>
            <w:r w:rsidRPr="00BC61ED">
              <w:rPr>
                <w:rFonts w:cs="Sylfaen"/>
                <w:sz w:val="20"/>
                <w:szCs w:val="20"/>
                <w:lang w:val="af-ZA"/>
              </w:rPr>
              <w:t xml:space="preserve"> </w:t>
            </w:r>
            <w:r w:rsidRPr="00BC61ED">
              <w:rPr>
                <w:rFonts w:cs="Sylfaen"/>
                <w:sz w:val="20"/>
                <w:szCs w:val="20"/>
              </w:rPr>
              <w:t>ակնկալվում</w:t>
            </w:r>
            <w:r w:rsidRPr="00BC61ED">
              <w:rPr>
                <w:rFonts w:cs="Sylfaen"/>
                <w:sz w:val="20"/>
                <w:szCs w:val="20"/>
                <w:lang w:val="af-ZA"/>
              </w:rPr>
              <w:t xml:space="preserve"> </w:t>
            </w:r>
            <w:r w:rsidRPr="00BC61ED">
              <w:rPr>
                <w:rFonts w:cs="Sylfaen"/>
                <w:sz w:val="20"/>
                <w:szCs w:val="20"/>
              </w:rPr>
              <w:t>է</w:t>
            </w:r>
            <w:r w:rsidRPr="00BC61ED">
              <w:rPr>
                <w:rFonts w:cs="Times Armenian"/>
                <w:sz w:val="20"/>
                <w:szCs w:val="20"/>
                <w:lang w:val="af-ZA"/>
              </w:rPr>
              <w:t xml:space="preserve"> </w:t>
            </w:r>
            <w:r w:rsidRPr="00BC61ED">
              <w:rPr>
                <w:sz w:val="20"/>
                <w:szCs w:val="20"/>
              </w:rPr>
              <w:t>ստանալ</w:t>
            </w:r>
            <w:r w:rsidRPr="00BC61ED">
              <w:rPr>
                <w:sz w:val="20"/>
                <w:szCs w:val="20"/>
                <w:lang w:val="af-ZA"/>
              </w:rPr>
              <w:t xml:space="preserve"> </w:t>
            </w:r>
            <w:r w:rsidRPr="00BC61ED">
              <w:rPr>
                <w:sz w:val="20"/>
                <w:szCs w:val="20"/>
              </w:rPr>
              <w:t>ճշտված</w:t>
            </w:r>
            <w:r w:rsidRPr="00BC61ED">
              <w:rPr>
                <w:sz w:val="20"/>
                <w:szCs w:val="20"/>
                <w:lang w:val="af-ZA"/>
              </w:rPr>
              <w:t xml:space="preserve"> </w:t>
            </w:r>
            <w:r w:rsidRPr="00BC61ED">
              <w:rPr>
                <w:sz w:val="20"/>
                <w:szCs w:val="20"/>
              </w:rPr>
              <w:t>տվյալներ</w:t>
            </w:r>
            <w:r w:rsidRPr="00BC61ED">
              <w:rPr>
                <w:sz w:val="20"/>
                <w:szCs w:val="20"/>
                <w:lang w:val="af-ZA"/>
              </w:rPr>
              <w:t xml:space="preserve"> </w:t>
            </w:r>
            <w:r w:rsidRPr="00BC61ED">
              <w:rPr>
                <w:sz w:val="20"/>
                <w:szCs w:val="20"/>
              </w:rPr>
              <w:t>գյուղատնտեսական</w:t>
            </w:r>
            <w:r w:rsidRPr="00BC61ED">
              <w:rPr>
                <w:sz w:val="20"/>
                <w:szCs w:val="20"/>
                <w:lang w:val="af-ZA"/>
              </w:rPr>
              <w:t xml:space="preserve"> </w:t>
            </w:r>
            <w:r w:rsidRPr="00BC61ED">
              <w:rPr>
                <w:sz w:val="20"/>
                <w:szCs w:val="20"/>
              </w:rPr>
              <w:t>նշանակության</w:t>
            </w:r>
            <w:r w:rsidRPr="00BC61ED">
              <w:rPr>
                <w:sz w:val="20"/>
                <w:szCs w:val="20"/>
                <w:lang w:val="af-ZA"/>
              </w:rPr>
              <w:t xml:space="preserve"> </w:t>
            </w:r>
            <w:r w:rsidRPr="00BC61ED">
              <w:rPr>
                <w:sz w:val="20"/>
                <w:szCs w:val="20"/>
              </w:rPr>
              <w:t>հողերի</w:t>
            </w:r>
            <w:r w:rsidRPr="00BC61ED">
              <w:rPr>
                <w:sz w:val="20"/>
                <w:szCs w:val="20"/>
                <w:lang w:val="af-ZA"/>
              </w:rPr>
              <w:t xml:space="preserve"> </w:t>
            </w:r>
            <w:r w:rsidRPr="00BC61ED">
              <w:rPr>
                <w:sz w:val="20"/>
                <w:szCs w:val="20"/>
              </w:rPr>
              <w:t>օգտագործման</w:t>
            </w:r>
            <w:r w:rsidRPr="00BC61ED">
              <w:rPr>
                <w:sz w:val="20"/>
                <w:szCs w:val="20"/>
                <w:lang w:val="af-ZA"/>
              </w:rPr>
              <w:t xml:space="preserve"> </w:t>
            </w:r>
            <w:r w:rsidRPr="00BC61ED">
              <w:rPr>
                <w:sz w:val="20"/>
                <w:szCs w:val="20"/>
              </w:rPr>
              <w:t>վիճակի</w:t>
            </w:r>
            <w:r w:rsidRPr="00BC61ED">
              <w:rPr>
                <w:sz w:val="20"/>
                <w:szCs w:val="20"/>
                <w:lang w:val="af-ZA"/>
              </w:rPr>
              <w:t xml:space="preserve">, </w:t>
            </w:r>
            <w:r w:rsidRPr="00BC61ED">
              <w:rPr>
                <w:sz w:val="20"/>
                <w:szCs w:val="20"/>
              </w:rPr>
              <w:t>հողատեսքերի</w:t>
            </w:r>
            <w:r w:rsidRPr="00BC61ED">
              <w:rPr>
                <w:sz w:val="20"/>
                <w:szCs w:val="20"/>
                <w:lang w:val="af-ZA"/>
              </w:rPr>
              <w:t xml:space="preserve"> </w:t>
            </w:r>
            <w:r w:rsidRPr="00BC61ED">
              <w:rPr>
                <w:sz w:val="20"/>
                <w:szCs w:val="20"/>
              </w:rPr>
              <w:t>փոփոխության</w:t>
            </w:r>
            <w:r w:rsidRPr="00BC61ED">
              <w:rPr>
                <w:sz w:val="20"/>
                <w:szCs w:val="20"/>
                <w:lang w:val="af-ZA"/>
              </w:rPr>
              <w:t xml:space="preserve">, </w:t>
            </w:r>
            <w:r w:rsidRPr="00BC61ED">
              <w:rPr>
                <w:sz w:val="20"/>
                <w:szCs w:val="20"/>
              </w:rPr>
              <w:t>բազմամյա</w:t>
            </w:r>
            <w:r w:rsidRPr="00BC61ED">
              <w:rPr>
                <w:sz w:val="20"/>
                <w:szCs w:val="20"/>
                <w:lang w:val="af-ZA"/>
              </w:rPr>
              <w:t xml:space="preserve"> </w:t>
            </w:r>
            <w:r w:rsidRPr="00BC61ED">
              <w:rPr>
                <w:sz w:val="20"/>
                <w:szCs w:val="20"/>
              </w:rPr>
              <w:t>տնկարկների</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ոռոգվող</w:t>
            </w:r>
            <w:r w:rsidRPr="00BC61ED">
              <w:rPr>
                <w:sz w:val="20"/>
                <w:szCs w:val="20"/>
                <w:lang w:val="af-ZA"/>
              </w:rPr>
              <w:t xml:space="preserve"> </w:t>
            </w:r>
            <w:r w:rsidRPr="00BC61ED">
              <w:rPr>
                <w:sz w:val="20"/>
                <w:szCs w:val="20"/>
              </w:rPr>
              <w:t>հողերի</w:t>
            </w:r>
            <w:r w:rsidRPr="00BC61ED">
              <w:rPr>
                <w:sz w:val="20"/>
                <w:szCs w:val="20"/>
                <w:lang w:val="af-ZA"/>
              </w:rPr>
              <w:t xml:space="preserve"> </w:t>
            </w:r>
            <w:r w:rsidRPr="00BC61ED">
              <w:rPr>
                <w:sz w:val="20"/>
                <w:szCs w:val="20"/>
              </w:rPr>
              <w:t>առկայության</w:t>
            </w:r>
            <w:r w:rsidRPr="00BC61ED">
              <w:rPr>
                <w:sz w:val="20"/>
                <w:szCs w:val="20"/>
                <w:lang w:val="af-ZA"/>
              </w:rPr>
              <w:t xml:space="preserve"> </w:t>
            </w:r>
            <w:r w:rsidRPr="00BC61ED">
              <w:rPr>
                <w:sz w:val="20"/>
                <w:szCs w:val="20"/>
              </w:rPr>
              <w:t>վերաբերյալ</w:t>
            </w:r>
            <w:r w:rsidRPr="00BC61ED">
              <w:rPr>
                <w:sz w:val="20"/>
                <w:szCs w:val="20"/>
                <w:lang w:val="af-ZA"/>
              </w:rPr>
              <w:t xml:space="preserve">, </w:t>
            </w:r>
            <w:r w:rsidRPr="00BC61ED">
              <w:rPr>
                <w:sz w:val="20"/>
                <w:szCs w:val="20"/>
              </w:rPr>
              <w:t>որոնց</w:t>
            </w:r>
            <w:r w:rsidRPr="00BC61ED">
              <w:rPr>
                <w:sz w:val="20"/>
                <w:szCs w:val="20"/>
                <w:lang w:val="af-ZA"/>
              </w:rPr>
              <w:t xml:space="preserve"> </w:t>
            </w:r>
            <w:r w:rsidRPr="00BC61ED">
              <w:rPr>
                <w:sz w:val="20"/>
                <w:szCs w:val="20"/>
              </w:rPr>
              <w:t>հիման</w:t>
            </w:r>
            <w:r w:rsidRPr="00BC61ED">
              <w:rPr>
                <w:sz w:val="20"/>
                <w:szCs w:val="20"/>
                <w:lang w:val="af-ZA"/>
              </w:rPr>
              <w:t xml:space="preserve"> </w:t>
            </w:r>
            <w:r w:rsidRPr="00BC61ED">
              <w:rPr>
                <w:sz w:val="20"/>
                <w:szCs w:val="20"/>
              </w:rPr>
              <w:t>վրա</w:t>
            </w:r>
            <w:r w:rsidRPr="00BC61ED">
              <w:rPr>
                <w:sz w:val="20"/>
                <w:szCs w:val="20"/>
                <w:lang w:val="af-ZA"/>
              </w:rPr>
              <w:t xml:space="preserve"> </w:t>
            </w:r>
            <w:r w:rsidRPr="00BC61ED">
              <w:rPr>
                <w:sz w:val="20"/>
                <w:szCs w:val="20"/>
              </w:rPr>
              <w:t>կճշտվեն</w:t>
            </w:r>
            <w:r w:rsidRPr="00BC61ED">
              <w:rPr>
                <w:sz w:val="20"/>
                <w:szCs w:val="20"/>
                <w:lang w:val="af-ZA"/>
              </w:rPr>
              <w:t xml:space="preserve"> </w:t>
            </w:r>
            <w:r w:rsidRPr="00BC61ED">
              <w:rPr>
                <w:sz w:val="20"/>
                <w:szCs w:val="20"/>
              </w:rPr>
              <w:t>համայնքների</w:t>
            </w:r>
            <w:r w:rsidRPr="00BC61ED">
              <w:rPr>
                <w:sz w:val="20"/>
                <w:szCs w:val="20"/>
                <w:lang w:val="af-ZA"/>
              </w:rPr>
              <w:t xml:space="preserve"> </w:t>
            </w:r>
            <w:r w:rsidRPr="00BC61ED">
              <w:rPr>
                <w:sz w:val="20"/>
                <w:szCs w:val="20"/>
              </w:rPr>
              <w:t>կադաստրային</w:t>
            </w:r>
            <w:r w:rsidRPr="00BC61ED">
              <w:rPr>
                <w:sz w:val="20"/>
                <w:szCs w:val="20"/>
                <w:lang w:val="af-ZA"/>
              </w:rPr>
              <w:t xml:space="preserve"> </w:t>
            </w:r>
            <w:r w:rsidRPr="00BC61ED">
              <w:rPr>
                <w:sz w:val="20"/>
                <w:szCs w:val="20"/>
              </w:rPr>
              <w:t>քարտեզները</w:t>
            </w:r>
            <w:r w:rsidRPr="00BC61ED">
              <w:rPr>
                <w:sz w:val="20"/>
                <w:szCs w:val="20"/>
                <w:lang w:val="af-ZA"/>
              </w:rPr>
              <w:t xml:space="preserve">, </w:t>
            </w:r>
            <w:r w:rsidRPr="00BC61ED">
              <w:rPr>
                <w:sz w:val="20"/>
                <w:szCs w:val="20"/>
              </w:rPr>
              <w:t>հողային</w:t>
            </w:r>
            <w:r w:rsidRPr="00BC61ED">
              <w:rPr>
                <w:sz w:val="20"/>
                <w:szCs w:val="20"/>
                <w:lang w:val="af-ZA"/>
              </w:rPr>
              <w:t xml:space="preserve"> </w:t>
            </w:r>
            <w:r w:rsidRPr="00BC61ED">
              <w:rPr>
                <w:sz w:val="20"/>
                <w:szCs w:val="20"/>
              </w:rPr>
              <w:t>հաշվեկշիռները</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հողի</w:t>
            </w:r>
            <w:r w:rsidRPr="00BC61ED">
              <w:rPr>
                <w:sz w:val="20"/>
                <w:szCs w:val="20"/>
                <w:lang w:val="af-ZA"/>
              </w:rPr>
              <w:t xml:space="preserve"> </w:t>
            </w:r>
            <w:r w:rsidRPr="00BC61ED">
              <w:rPr>
                <w:sz w:val="20"/>
                <w:szCs w:val="20"/>
              </w:rPr>
              <w:t>հարկի</w:t>
            </w:r>
            <w:r w:rsidRPr="00BC61ED">
              <w:rPr>
                <w:sz w:val="20"/>
                <w:szCs w:val="20"/>
                <w:lang w:val="af-ZA"/>
              </w:rPr>
              <w:t xml:space="preserve"> </w:t>
            </w:r>
            <w:r w:rsidRPr="00BC61ED">
              <w:rPr>
                <w:sz w:val="20"/>
                <w:szCs w:val="20"/>
              </w:rPr>
              <w:t>բազաները</w:t>
            </w:r>
            <w:r w:rsidRPr="00BC61ED">
              <w:rPr>
                <w:sz w:val="20"/>
                <w:szCs w:val="20"/>
                <w:lang w:val="af-ZA"/>
              </w:rPr>
              <w:t xml:space="preserve">: </w:t>
            </w:r>
            <w:r w:rsidRPr="00BC61ED">
              <w:rPr>
                <w:sz w:val="20"/>
                <w:szCs w:val="20"/>
              </w:rPr>
              <w:t>Ճշտված</w:t>
            </w:r>
            <w:r w:rsidRPr="00BC61ED">
              <w:rPr>
                <w:sz w:val="20"/>
                <w:szCs w:val="20"/>
                <w:lang w:val="af-ZA"/>
              </w:rPr>
              <w:t xml:space="preserve"> </w:t>
            </w:r>
            <w:r w:rsidRPr="00BC61ED">
              <w:rPr>
                <w:sz w:val="20"/>
                <w:szCs w:val="20"/>
              </w:rPr>
              <w:t>տվյալները</w:t>
            </w:r>
            <w:r w:rsidRPr="00BC61ED">
              <w:rPr>
                <w:sz w:val="20"/>
                <w:szCs w:val="20"/>
                <w:lang w:val="af-ZA"/>
              </w:rPr>
              <w:t xml:space="preserve"> </w:t>
            </w:r>
            <w:r w:rsidRPr="00BC61ED">
              <w:rPr>
                <w:sz w:val="20"/>
                <w:szCs w:val="20"/>
              </w:rPr>
              <w:t>կարող</w:t>
            </w:r>
            <w:r w:rsidRPr="00BC61ED">
              <w:rPr>
                <w:sz w:val="20"/>
                <w:szCs w:val="20"/>
                <w:lang w:val="af-ZA"/>
              </w:rPr>
              <w:t xml:space="preserve"> </w:t>
            </w:r>
            <w:r w:rsidRPr="00BC61ED">
              <w:rPr>
                <w:sz w:val="20"/>
                <w:szCs w:val="20"/>
              </w:rPr>
              <w:t>են</w:t>
            </w:r>
            <w:r w:rsidRPr="00BC61ED">
              <w:rPr>
                <w:sz w:val="20"/>
                <w:szCs w:val="20"/>
                <w:lang w:val="af-ZA"/>
              </w:rPr>
              <w:t xml:space="preserve"> </w:t>
            </w:r>
            <w:r w:rsidRPr="00BC61ED">
              <w:rPr>
                <w:sz w:val="20"/>
                <w:szCs w:val="20"/>
              </w:rPr>
              <w:t>հիմք</w:t>
            </w:r>
            <w:r w:rsidRPr="00BC61ED">
              <w:rPr>
                <w:sz w:val="20"/>
                <w:szCs w:val="20"/>
                <w:lang w:val="af-ZA"/>
              </w:rPr>
              <w:t xml:space="preserve"> </w:t>
            </w:r>
            <w:r w:rsidRPr="00BC61ED">
              <w:rPr>
                <w:sz w:val="20"/>
                <w:szCs w:val="20"/>
              </w:rPr>
              <w:t>հանդիսանալ</w:t>
            </w:r>
            <w:r w:rsidRPr="00BC61ED">
              <w:rPr>
                <w:sz w:val="20"/>
                <w:szCs w:val="20"/>
                <w:lang w:val="af-ZA"/>
              </w:rPr>
              <w:t xml:space="preserve"> </w:t>
            </w:r>
            <w:r w:rsidRPr="00BC61ED">
              <w:rPr>
                <w:sz w:val="20"/>
                <w:szCs w:val="20"/>
              </w:rPr>
              <w:t>գյուղատնտեսական</w:t>
            </w:r>
            <w:r w:rsidRPr="00BC61ED">
              <w:rPr>
                <w:sz w:val="20"/>
                <w:szCs w:val="20"/>
                <w:lang w:val="af-ZA"/>
              </w:rPr>
              <w:t xml:space="preserve"> </w:t>
            </w:r>
            <w:r w:rsidRPr="00BC61ED">
              <w:rPr>
                <w:sz w:val="20"/>
                <w:szCs w:val="20"/>
              </w:rPr>
              <w:t>նշանակության</w:t>
            </w:r>
            <w:r w:rsidRPr="00BC61ED">
              <w:rPr>
                <w:sz w:val="20"/>
                <w:szCs w:val="20"/>
                <w:lang w:val="af-ZA"/>
              </w:rPr>
              <w:t xml:space="preserve"> </w:t>
            </w:r>
            <w:r w:rsidRPr="00BC61ED">
              <w:rPr>
                <w:sz w:val="20"/>
                <w:szCs w:val="20"/>
              </w:rPr>
              <w:t>հողերի</w:t>
            </w:r>
            <w:r w:rsidRPr="00BC61ED">
              <w:rPr>
                <w:sz w:val="20"/>
                <w:szCs w:val="20"/>
                <w:lang w:val="af-ZA"/>
              </w:rPr>
              <w:t xml:space="preserve"> </w:t>
            </w:r>
            <w:r w:rsidRPr="00BC61ED">
              <w:rPr>
                <w:sz w:val="20"/>
                <w:szCs w:val="20"/>
              </w:rPr>
              <w:t>բարելավման</w:t>
            </w:r>
            <w:r w:rsidRPr="00BC61ED">
              <w:rPr>
                <w:sz w:val="20"/>
                <w:szCs w:val="20"/>
                <w:lang w:val="af-ZA"/>
              </w:rPr>
              <w:t xml:space="preserve"> </w:t>
            </w:r>
            <w:r w:rsidRPr="00BC61ED">
              <w:rPr>
                <w:sz w:val="20"/>
                <w:szCs w:val="20"/>
              </w:rPr>
              <w:t>ծրագրերի</w:t>
            </w:r>
            <w:r w:rsidRPr="00BC61ED">
              <w:rPr>
                <w:sz w:val="20"/>
                <w:szCs w:val="20"/>
                <w:lang w:val="af-ZA"/>
              </w:rPr>
              <w:t xml:space="preserve">, </w:t>
            </w:r>
            <w:r w:rsidRPr="00BC61ED">
              <w:rPr>
                <w:sz w:val="20"/>
                <w:szCs w:val="20"/>
              </w:rPr>
              <w:t>գյուղատնտեսական</w:t>
            </w:r>
            <w:r w:rsidRPr="00BC61ED">
              <w:rPr>
                <w:sz w:val="20"/>
                <w:szCs w:val="20"/>
                <w:lang w:val="af-ZA"/>
              </w:rPr>
              <w:t xml:space="preserve"> </w:t>
            </w:r>
            <w:r w:rsidRPr="00BC61ED">
              <w:rPr>
                <w:sz w:val="20"/>
                <w:szCs w:val="20"/>
              </w:rPr>
              <w:t>շրջանառությունից</w:t>
            </w:r>
            <w:r w:rsidRPr="00BC61ED">
              <w:rPr>
                <w:sz w:val="20"/>
                <w:szCs w:val="20"/>
                <w:lang w:val="af-ZA"/>
              </w:rPr>
              <w:t xml:space="preserve"> </w:t>
            </w:r>
            <w:r w:rsidRPr="00BC61ED">
              <w:rPr>
                <w:sz w:val="20"/>
                <w:szCs w:val="20"/>
              </w:rPr>
              <w:t>դուրս</w:t>
            </w:r>
            <w:r w:rsidRPr="00BC61ED">
              <w:rPr>
                <w:sz w:val="20"/>
                <w:szCs w:val="20"/>
                <w:lang w:val="af-ZA"/>
              </w:rPr>
              <w:t xml:space="preserve"> </w:t>
            </w:r>
            <w:r w:rsidRPr="00BC61ED">
              <w:rPr>
                <w:sz w:val="20"/>
                <w:szCs w:val="20"/>
              </w:rPr>
              <w:t>մնացած</w:t>
            </w:r>
            <w:r w:rsidRPr="00BC61ED">
              <w:rPr>
                <w:sz w:val="20"/>
                <w:szCs w:val="20"/>
                <w:lang w:val="af-ZA"/>
              </w:rPr>
              <w:t xml:space="preserve"> </w:t>
            </w:r>
            <w:r w:rsidRPr="00BC61ED">
              <w:rPr>
                <w:sz w:val="20"/>
                <w:szCs w:val="20"/>
              </w:rPr>
              <w:t>հողերը</w:t>
            </w:r>
            <w:r w:rsidRPr="00BC61ED">
              <w:rPr>
                <w:sz w:val="20"/>
                <w:szCs w:val="20"/>
                <w:lang w:val="af-ZA"/>
              </w:rPr>
              <w:t xml:space="preserve"> </w:t>
            </w:r>
            <w:r w:rsidRPr="00BC61ED">
              <w:rPr>
                <w:sz w:val="20"/>
                <w:szCs w:val="20"/>
              </w:rPr>
              <w:t>շրջանառության</w:t>
            </w:r>
            <w:r w:rsidRPr="00BC61ED">
              <w:rPr>
                <w:sz w:val="20"/>
                <w:szCs w:val="20"/>
                <w:lang w:val="af-ZA"/>
              </w:rPr>
              <w:t xml:space="preserve"> </w:t>
            </w:r>
            <w:r w:rsidRPr="00BC61ED">
              <w:rPr>
                <w:sz w:val="20"/>
                <w:szCs w:val="20"/>
              </w:rPr>
              <w:t>մեջ</w:t>
            </w:r>
            <w:r w:rsidRPr="00BC61ED">
              <w:rPr>
                <w:sz w:val="20"/>
                <w:szCs w:val="20"/>
                <w:lang w:val="af-ZA"/>
              </w:rPr>
              <w:t xml:space="preserve"> </w:t>
            </w:r>
            <w:r w:rsidRPr="00BC61ED">
              <w:rPr>
                <w:sz w:val="20"/>
                <w:szCs w:val="20"/>
              </w:rPr>
              <w:t>դնելու</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գյուղատնտեսական</w:t>
            </w:r>
            <w:r w:rsidRPr="00BC61ED">
              <w:rPr>
                <w:sz w:val="20"/>
                <w:szCs w:val="20"/>
                <w:lang w:val="af-ZA"/>
              </w:rPr>
              <w:t xml:space="preserve"> </w:t>
            </w:r>
            <w:r w:rsidRPr="00BC61ED">
              <w:rPr>
                <w:sz w:val="20"/>
                <w:szCs w:val="20"/>
              </w:rPr>
              <w:t>նշանակության</w:t>
            </w:r>
            <w:r w:rsidRPr="00BC61ED">
              <w:rPr>
                <w:sz w:val="20"/>
                <w:szCs w:val="20"/>
                <w:lang w:val="af-ZA"/>
              </w:rPr>
              <w:t xml:space="preserve"> </w:t>
            </w:r>
            <w:r w:rsidRPr="00BC61ED">
              <w:rPr>
                <w:sz w:val="20"/>
                <w:szCs w:val="20"/>
              </w:rPr>
              <w:t>հողերի</w:t>
            </w:r>
            <w:r w:rsidRPr="00BC61ED">
              <w:rPr>
                <w:sz w:val="20"/>
                <w:szCs w:val="20"/>
                <w:lang w:val="af-ZA"/>
              </w:rPr>
              <w:t xml:space="preserve"> </w:t>
            </w:r>
            <w:r w:rsidRPr="00BC61ED">
              <w:rPr>
                <w:sz w:val="20"/>
                <w:szCs w:val="20"/>
              </w:rPr>
              <w:t>վերաբերյալ</w:t>
            </w:r>
            <w:r w:rsidRPr="00BC61ED">
              <w:rPr>
                <w:sz w:val="20"/>
                <w:szCs w:val="20"/>
                <w:lang w:val="af-ZA"/>
              </w:rPr>
              <w:t xml:space="preserve"> </w:t>
            </w:r>
            <w:r w:rsidRPr="00BC61ED">
              <w:rPr>
                <w:sz w:val="20"/>
                <w:szCs w:val="20"/>
              </w:rPr>
              <w:t>այլ</w:t>
            </w:r>
            <w:r w:rsidRPr="00BC61ED">
              <w:rPr>
                <w:sz w:val="20"/>
                <w:szCs w:val="20"/>
                <w:lang w:val="af-ZA"/>
              </w:rPr>
              <w:t xml:space="preserve"> </w:t>
            </w:r>
            <w:r w:rsidRPr="00BC61ED">
              <w:rPr>
                <w:sz w:val="20"/>
                <w:szCs w:val="20"/>
              </w:rPr>
              <w:t>ծրագրերի</w:t>
            </w:r>
            <w:r w:rsidRPr="00BC61ED">
              <w:rPr>
                <w:sz w:val="20"/>
                <w:szCs w:val="20"/>
                <w:lang w:val="af-ZA"/>
              </w:rPr>
              <w:t xml:space="preserve"> </w:t>
            </w:r>
            <w:r w:rsidRPr="00BC61ED">
              <w:rPr>
                <w:sz w:val="20"/>
                <w:szCs w:val="20"/>
              </w:rPr>
              <w:t>մշակման</w:t>
            </w:r>
            <w:r w:rsidRPr="00BC61ED">
              <w:rPr>
                <w:sz w:val="20"/>
                <w:szCs w:val="20"/>
                <w:lang w:val="af-ZA"/>
              </w:rPr>
              <w:t xml:space="preserve"> </w:t>
            </w:r>
            <w:r w:rsidRPr="00BC61ED">
              <w:rPr>
                <w:sz w:val="20"/>
                <w:szCs w:val="20"/>
              </w:rPr>
              <w:t>համար</w:t>
            </w:r>
            <w:r w:rsidRPr="00BC61ED">
              <w:rPr>
                <w:sz w:val="20"/>
                <w:szCs w:val="20"/>
                <w:lang w:val="af-ZA"/>
              </w:rPr>
              <w:t>:</w:t>
            </w:r>
          </w:p>
          <w:p w:rsidR="0068680D" w:rsidRPr="00BC61ED" w:rsidRDefault="0068680D" w:rsidP="00F47DC4">
            <w:pPr>
              <w:spacing w:line="276" w:lineRule="auto"/>
              <w:ind w:right="-138"/>
              <w:jc w:val="center"/>
              <w:rPr>
                <w:sz w:val="20"/>
                <w:szCs w:val="20"/>
                <w:lang w:val="hy-AM"/>
              </w:rPr>
            </w:pPr>
            <w:r w:rsidRPr="00BC61ED">
              <w:rPr>
                <w:rFonts w:cs="Arial"/>
                <w:sz w:val="20"/>
                <w:szCs w:val="20"/>
              </w:rPr>
              <w:t>Համայնքների</w:t>
            </w:r>
            <w:r w:rsidRPr="00BC61ED">
              <w:rPr>
                <w:sz w:val="20"/>
                <w:szCs w:val="20"/>
                <w:lang w:val="af-ZA"/>
              </w:rPr>
              <w:t xml:space="preserve"> </w:t>
            </w:r>
            <w:r w:rsidRPr="00BC61ED">
              <w:rPr>
                <w:sz w:val="20"/>
                <w:szCs w:val="20"/>
              </w:rPr>
              <w:t>կադաստրային</w:t>
            </w:r>
            <w:r w:rsidRPr="00BC61ED">
              <w:rPr>
                <w:sz w:val="20"/>
                <w:szCs w:val="20"/>
                <w:lang w:val="af-ZA"/>
              </w:rPr>
              <w:t xml:space="preserve"> </w:t>
            </w:r>
            <w:r w:rsidRPr="00BC61ED">
              <w:rPr>
                <w:sz w:val="20"/>
                <w:szCs w:val="20"/>
              </w:rPr>
              <w:t>քարտեզների</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վարչական</w:t>
            </w:r>
            <w:r w:rsidRPr="00BC61ED">
              <w:rPr>
                <w:sz w:val="20"/>
                <w:szCs w:val="20"/>
                <w:lang w:val="af-ZA"/>
              </w:rPr>
              <w:t xml:space="preserve"> </w:t>
            </w:r>
            <w:r w:rsidRPr="00BC61ED">
              <w:rPr>
                <w:sz w:val="20"/>
                <w:szCs w:val="20"/>
              </w:rPr>
              <w:t>սահմանների</w:t>
            </w:r>
            <w:r w:rsidRPr="00BC61ED">
              <w:rPr>
                <w:sz w:val="20"/>
                <w:szCs w:val="20"/>
                <w:lang w:val="af-ZA"/>
              </w:rPr>
              <w:t xml:space="preserve"> </w:t>
            </w:r>
            <w:r w:rsidRPr="00BC61ED">
              <w:rPr>
                <w:sz w:val="20"/>
                <w:szCs w:val="20"/>
              </w:rPr>
              <w:t>ուղղման</w:t>
            </w:r>
            <w:r w:rsidRPr="00BC61ED">
              <w:rPr>
                <w:sz w:val="20"/>
                <w:szCs w:val="20"/>
                <w:lang w:val="af-ZA"/>
              </w:rPr>
              <w:t xml:space="preserve"> </w:t>
            </w:r>
            <w:r w:rsidRPr="00BC61ED">
              <w:rPr>
                <w:sz w:val="20"/>
                <w:szCs w:val="20"/>
              </w:rPr>
              <w:t>արդյունքում</w:t>
            </w:r>
            <w:r w:rsidRPr="00BC61ED">
              <w:rPr>
                <w:sz w:val="20"/>
                <w:szCs w:val="20"/>
                <w:lang w:val="af-ZA"/>
              </w:rPr>
              <w:t xml:space="preserve"> </w:t>
            </w:r>
            <w:r w:rsidRPr="00BC61ED">
              <w:rPr>
                <w:sz w:val="20"/>
                <w:szCs w:val="20"/>
              </w:rPr>
              <w:t>կունենանք</w:t>
            </w:r>
            <w:r w:rsidRPr="00BC61ED">
              <w:rPr>
                <w:sz w:val="20"/>
                <w:szCs w:val="20"/>
                <w:lang w:val="af-ZA"/>
              </w:rPr>
              <w:t xml:space="preserve"> </w:t>
            </w:r>
            <w:r w:rsidRPr="00BC61ED">
              <w:rPr>
                <w:sz w:val="20"/>
                <w:szCs w:val="20"/>
              </w:rPr>
              <w:t>ճշտված</w:t>
            </w:r>
            <w:r w:rsidRPr="00BC61ED">
              <w:rPr>
                <w:sz w:val="20"/>
                <w:szCs w:val="20"/>
                <w:lang w:val="af-ZA"/>
              </w:rPr>
              <w:t xml:space="preserve"> </w:t>
            </w:r>
            <w:r w:rsidRPr="00BC61ED">
              <w:rPr>
                <w:sz w:val="20"/>
                <w:szCs w:val="20"/>
              </w:rPr>
              <w:t>կադաստրային</w:t>
            </w:r>
            <w:r w:rsidRPr="00BC61ED">
              <w:rPr>
                <w:sz w:val="20"/>
                <w:szCs w:val="20"/>
                <w:lang w:val="af-ZA"/>
              </w:rPr>
              <w:t xml:space="preserve"> </w:t>
            </w:r>
            <w:r w:rsidRPr="00BC61ED">
              <w:rPr>
                <w:sz w:val="20"/>
                <w:szCs w:val="20"/>
              </w:rPr>
              <w:t>քարտեզներ</w:t>
            </w:r>
            <w:r w:rsidRPr="00BC61ED">
              <w:rPr>
                <w:sz w:val="20"/>
                <w:szCs w:val="20"/>
                <w:lang w:val="af-ZA"/>
              </w:rPr>
              <w:t xml:space="preserve">, </w:t>
            </w:r>
            <w:r w:rsidRPr="00BC61ED">
              <w:rPr>
                <w:sz w:val="20"/>
                <w:szCs w:val="20"/>
              </w:rPr>
              <w:t>կվերանան</w:t>
            </w:r>
            <w:r w:rsidRPr="00BC61ED">
              <w:rPr>
                <w:sz w:val="20"/>
                <w:szCs w:val="20"/>
                <w:lang w:val="af-ZA"/>
              </w:rPr>
              <w:t xml:space="preserve"> </w:t>
            </w:r>
            <w:r w:rsidRPr="00BC61ED">
              <w:rPr>
                <w:sz w:val="20"/>
                <w:szCs w:val="20"/>
              </w:rPr>
              <w:t>կամ</w:t>
            </w:r>
            <w:r w:rsidRPr="00BC61ED">
              <w:rPr>
                <w:sz w:val="20"/>
                <w:szCs w:val="20"/>
                <w:lang w:val="af-ZA"/>
              </w:rPr>
              <w:t xml:space="preserve"> </w:t>
            </w:r>
            <w:r w:rsidRPr="00BC61ED">
              <w:rPr>
                <w:sz w:val="20"/>
                <w:szCs w:val="20"/>
              </w:rPr>
              <w:t>նվազագույնի</w:t>
            </w:r>
            <w:r w:rsidRPr="00BC61ED">
              <w:rPr>
                <w:sz w:val="20"/>
                <w:szCs w:val="20"/>
                <w:lang w:val="af-ZA"/>
              </w:rPr>
              <w:t xml:space="preserve"> </w:t>
            </w:r>
            <w:r w:rsidRPr="00BC61ED">
              <w:rPr>
                <w:sz w:val="20"/>
                <w:szCs w:val="20"/>
              </w:rPr>
              <w:t>կհասցվեն</w:t>
            </w:r>
            <w:r w:rsidRPr="00BC61ED">
              <w:rPr>
                <w:sz w:val="20"/>
                <w:szCs w:val="20"/>
                <w:lang w:val="af-ZA"/>
              </w:rPr>
              <w:t xml:space="preserve"> </w:t>
            </w:r>
            <w:r w:rsidRPr="00BC61ED">
              <w:rPr>
                <w:sz w:val="20"/>
                <w:szCs w:val="20"/>
              </w:rPr>
              <w:t>իրավունքների</w:t>
            </w:r>
            <w:r w:rsidRPr="00BC61ED">
              <w:rPr>
                <w:sz w:val="20"/>
                <w:szCs w:val="20"/>
                <w:lang w:val="af-ZA"/>
              </w:rPr>
              <w:t xml:space="preserve"> </w:t>
            </w:r>
            <w:r w:rsidRPr="00BC61ED">
              <w:rPr>
                <w:sz w:val="20"/>
                <w:szCs w:val="20"/>
              </w:rPr>
              <w:t>պետական</w:t>
            </w:r>
            <w:r w:rsidRPr="00BC61ED">
              <w:rPr>
                <w:sz w:val="20"/>
                <w:szCs w:val="20"/>
                <w:lang w:val="af-ZA"/>
              </w:rPr>
              <w:t xml:space="preserve"> </w:t>
            </w:r>
            <w:r w:rsidRPr="00BC61ED">
              <w:rPr>
                <w:sz w:val="20"/>
                <w:szCs w:val="20"/>
              </w:rPr>
              <w:t>գրանցման</w:t>
            </w:r>
            <w:r w:rsidRPr="00BC61ED">
              <w:rPr>
                <w:sz w:val="20"/>
                <w:szCs w:val="20"/>
                <w:lang w:val="af-ZA"/>
              </w:rPr>
              <w:t xml:space="preserve"> </w:t>
            </w:r>
            <w:r w:rsidRPr="00BC61ED">
              <w:rPr>
                <w:sz w:val="20"/>
                <w:szCs w:val="20"/>
              </w:rPr>
              <w:t>խոչընդոտները</w:t>
            </w:r>
            <w:r w:rsidRPr="00BC61ED">
              <w:rPr>
                <w:sz w:val="20"/>
                <w:szCs w:val="20"/>
                <w:lang w:val="af-ZA"/>
              </w:rPr>
              <w:t xml:space="preserve">, </w:t>
            </w:r>
            <w:r w:rsidRPr="00BC61ED">
              <w:rPr>
                <w:sz w:val="20"/>
                <w:szCs w:val="20"/>
              </w:rPr>
              <w:t>ինչպես</w:t>
            </w:r>
            <w:r w:rsidRPr="00BC61ED">
              <w:rPr>
                <w:sz w:val="20"/>
                <w:szCs w:val="20"/>
                <w:lang w:val="af-ZA"/>
              </w:rPr>
              <w:t xml:space="preserve"> </w:t>
            </w:r>
            <w:r w:rsidRPr="00BC61ED">
              <w:rPr>
                <w:sz w:val="20"/>
                <w:szCs w:val="20"/>
              </w:rPr>
              <w:t>նաև</w:t>
            </w:r>
            <w:r w:rsidRPr="00BC61ED">
              <w:rPr>
                <w:sz w:val="20"/>
                <w:szCs w:val="20"/>
                <w:lang w:val="af-ZA"/>
              </w:rPr>
              <w:t xml:space="preserve"> </w:t>
            </w:r>
            <w:r w:rsidRPr="00BC61ED">
              <w:rPr>
                <w:sz w:val="20"/>
                <w:szCs w:val="20"/>
              </w:rPr>
              <w:t>սահմանային</w:t>
            </w:r>
            <w:r w:rsidRPr="00BC61ED">
              <w:rPr>
                <w:sz w:val="20"/>
                <w:szCs w:val="20"/>
                <w:lang w:val="af-ZA"/>
              </w:rPr>
              <w:t xml:space="preserve"> </w:t>
            </w:r>
            <w:r w:rsidRPr="00BC61ED">
              <w:rPr>
                <w:sz w:val="20"/>
                <w:szCs w:val="20"/>
              </w:rPr>
              <w:t>վեճերը</w:t>
            </w:r>
            <w:r w:rsidRPr="00BC61ED">
              <w:rPr>
                <w:sz w:val="20"/>
                <w:szCs w:val="20"/>
                <w:lang w:val="af-ZA"/>
              </w:rPr>
              <w:t xml:space="preserve"> </w:t>
            </w:r>
            <w:r w:rsidRPr="00BC61ED">
              <w:rPr>
                <w:sz w:val="20"/>
                <w:szCs w:val="20"/>
              </w:rPr>
              <w:t>հարևան</w:t>
            </w:r>
            <w:r w:rsidRPr="00BC61ED">
              <w:rPr>
                <w:sz w:val="20"/>
                <w:szCs w:val="20"/>
                <w:lang w:val="af-ZA"/>
              </w:rPr>
              <w:t xml:space="preserve"> </w:t>
            </w:r>
            <w:r w:rsidRPr="00BC61ED">
              <w:rPr>
                <w:sz w:val="20"/>
                <w:szCs w:val="20"/>
              </w:rPr>
              <w:t>համայնքների</w:t>
            </w:r>
            <w:r w:rsidRPr="00BC61ED">
              <w:rPr>
                <w:sz w:val="20"/>
                <w:szCs w:val="20"/>
                <w:lang w:val="af-ZA"/>
              </w:rPr>
              <w:t xml:space="preserve">, </w:t>
            </w:r>
            <w:r w:rsidRPr="00BC61ED">
              <w:rPr>
                <w:sz w:val="20"/>
                <w:szCs w:val="20"/>
              </w:rPr>
              <w:t>քաղաքացիների</w:t>
            </w:r>
            <w:r w:rsidRPr="00BC61ED">
              <w:rPr>
                <w:sz w:val="20"/>
                <w:szCs w:val="20"/>
                <w:lang w:val="af-ZA"/>
              </w:rPr>
              <w:t xml:space="preserve"> </w:t>
            </w:r>
            <w:r w:rsidRPr="00BC61ED">
              <w:rPr>
                <w:sz w:val="20"/>
                <w:szCs w:val="20"/>
              </w:rPr>
              <w:t>և</w:t>
            </w:r>
            <w:r w:rsidRPr="00BC61ED">
              <w:rPr>
                <w:sz w:val="20"/>
                <w:szCs w:val="20"/>
                <w:lang w:val="af-ZA"/>
              </w:rPr>
              <w:t xml:space="preserve"> </w:t>
            </w:r>
            <w:r w:rsidRPr="00BC61ED">
              <w:rPr>
                <w:sz w:val="20"/>
                <w:szCs w:val="20"/>
              </w:rPr>
              <w:t>իրավաբանական</w:t>
            </w:r>
            <w:r w:rsidRPr="00BC61ED">
              <w:rPr>
                <w:sz w:val="20"/>
                <w:szCs w:val="20"/>
                <w:lang w:val="af-ZA"/>
              </w:rPr>
              <w:t xml:space="preserve"> </w:t>
            </w:r>
            <w:r w:rsidRPr="00BC61ED">
              <w:rPr>
                <w:sz w:val="20"/>
                <w:szCs w:val="20"/>
              </w:rPr>
              <w:t>անձանց</w:t>
            </w:r>
            <w:r w:rsidRPr="00BC61ED">
              <w:rPr>
                <w:sz w:val="20"/>
                <w:szCs w:val="20"/>
                <w:lang w:val="af-ZA"/>
              </w:rPr>
              <w:t xml:space="preserve"> </w:t>
            </w:r>
            <w:r w:rsidRPr="00BC61ED">
              <w:rPr>
                <w:sz w:val="20"/>
                <w:szCs w:val="20"/>
              </w:rPr>
              <w:t>միջև</w:t>
            </w:r>
            <w:r w:rsidRPr="00BC61ED">
              <w:rPr>
                <w:sz w:val="20"/>
                <w:szCs w:val="20"/>
                <w:lang w:val="af-ZA"/>
              </w:rPr>
              <w:t>:</w:t>
            </w:r>
          </w:p>
        </w:tc>
      </w:tr>
      <w:tr w:rsidR="0068680D" w:rsidRPr="00DE2EFA"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13.</w:t>
            </w:r>
          </w:p>
        </w:tc>
        <w:tc>
          <w:tcPr>
            <w:tcW w:w="10915" w:type="dxa"/>
          </w:tcPr>
          <w:p w:rsidR="0068680D" w:rsidRPr="00BC61ED" w:rsidRDefault="0068680D" w:rsidP="00F47DC4">
            <w:pPr>
              <w:spacing w:line="276" w:lineRule="auto"/>
              <w:jc w:val="center"/>
              <w:rPr>
                <w:b/>
                <w:sz w:val="20"/>
                <w:szCs w:val="20"/>
                <w:lang w:val="hy-AM"/>
              </w:rPr>
            </w:pPr>
            <w:r w:rsidRPr="00BC61ED">
              <w:rPr>
                <w:rFonts w:cs="Sylfaen"/>
                <w:b/>
                <w:sz w:val="20"/>
                <w:szCs w:val="20"/>
                <w:lang w:val="pt-BR"/>
              </w:rPr>
              <w:t xml:space="preserve">«Պետական գեոդեզիական (GNSS) ցանցի </w:t>
            </w:r>
            <w:r w:rsidRPr="00BC61ED">
              <w:rPr>
                <w:b/>
                <w:sz w:val="20"/>
                <w:szCs w:val="20"/>
                <w:lang w:val="hy-AM"/>
              </w:rPr>
              <w:t>արդիականացում</w:t>
            </w:r>
            <w:r w:rsidRPr="00BC61ED">
              <w:rPr>
                <w:b/>
                <w:sz w:val="20"/>
                <w:szCs w:val="20"/>
                <w:lang w:val="af-ZA"/>
              </w:rPr>
              <w:t>»</w:t>
            </w:r>
            <w:r w:rsidRPr="00BC61ED">
              <w:rPr>
                <w:b/>
                <w:sz w:val="20"/>
                <w:szCs w:val="20"/>
                <w:lang w:val="hy-AM"/>
              </w:rPr>
              <w:t xml:space="preserve"> </w:t>
            </w:r>
          </w:p>
          <w:p w:rsidR="0068680D" w:rsidRPr="00BC61ED" w:rsidRDefault="0068680D" w:rsidP="00F47DC4">
            <w:pPr>
              <w:spacing w:line="276" w:lineRule="auto"/>
              <w:jc w:val="center"/>
              <w:rPr>
                <w:b/>
                <w:sz w:val="20"/>
                <w:szCs w:val="20"/>
                <w:lang w:val="hy-AM"/>
              </w:rPr>
            </w:pPr>
          </w:p>
          <w:p w:rsidR="0068680D" w:rsidRPr="00BC61ED" w:rsidRDefault="0068680D" w:rsidP="00F47DC4">
            <w:pPr>
              <w:spacing w:line="276" w:lineRule="auto"/>
              <w:jc w:val="both"/>
              <w:rPr>
                <w:b/>
                <w:sz w:val="20"/>
                <w:szCs w:val="20"/>
                <w:lang w:val="hy-AM"/>
              </w:rPr>
            </w:pPr>
            <w:r w:rsidRPr="00BC61ED">
              <w:rPr>
                <w:b/>
                <w:sz w:val="20"/>
                <w:szCs w:val="20"/>
                <w:lang w:val="af-ZA"/>
              </w:rPr>
              <w:t xml:space="preserve">   </w:t>
            </w:r>
            <w:r w:rsidRPr="00BC61ED">
              <w:rPr>
                <w:b/>
                <w:sz w:val="20"/>
                <w:szCs w:val="20"/>
                <w:lang w:val="hy-AM"/>
              </w:rPr>
              <w:t>1. Միջոցառման իրականացման անհրաժեշտությունը և նպատակը</w:t>
            </w:r>
          </w:p>
          <w:p w:rsidR="0068680D" w:rsidRPr="00BC61ED" w:rsidRDefault="0068680D" w:rsidP="00F47DC4">
            <w:pPr>
              <w:pStyle w:val="a1"/>
              <w:spacing w:line="276" w:lineRule="auto"/>
              <w:ind w:firstLine="0"/>
              <w:rPr>
                <w:rFonts w:ascii="GHEA Grapalat" w:eastAsiaTheme="minorEastAsia" w:hAnsi="GHEA Grapalat" w:cs="Sylfaen"/>
                <w:sz w:val="20"/>
                <w:szCs w:val="20"/>
                <w:lang w:val="pt-BR" w:eastAsia="en-US"/>
              </w:rPr>
            </w:pPr>
            <w:r w:rsidRPr="00BC61ED">
              <w:rPr>
                <w:rFonts w:ascii="GHEA Grapalat" w:eastAsiaTheme="minorEastAsia" w:hAnsi="GHEA Grapalat" w:cs="Sylfaen"/>
                <w:sz w:val="20"/>
                <w:szCs w:val="20"/>
                <w:lang w:val="pt-BR" w:eastAsia="en-US"/>
              </w:rPr>
              <w:t xml:space="preserve">   Նորվեգիայի Թագավորության քարտեզագրության և կադաստրի վարչության (Statens Kartverk) գույքային իրավունքների ու զարգացման կենտրոնի հետ համատեղ իրականացվող  «Հողային ռեսուրսների արդյունավետ կառավարման գործիքներ» ծրագրի շրջանակներում Հայաստանի Հանրապետությունում 2013 թվականին ստեղծվել է մշտապես գործող տասներկու ռեֆերենց կայաններից կազմված ցանց, որոնք հավասարապես բաշխված են Հայաստանի Հանրապետության ողջ տարածքով: </w:t>
            </w:r>
          </w:p>
          <w:p w:rsidR="0068680D" w:rsidRPr="00BC61ED" w:rsidRDefault="0068680D" w:rsidP="00F47DC4">
            <w:pPr>
              <w:tabs>
                <w:tab w:val="left" w:pos="0"/>
              </w:tabs>
              <w:spacing w:line="276" w:lineRule="auto"/>
              <w:jc w:val="both"/>
              <w:rPr>
                <w:rFonts w:cs="Sylfaen"/>
                <w:sz w:val="20"/>
                <w:szCs w:val="20"/>
                <w:lang w:val="pt-BR"/>
              </w:rPr>
            </w:pPr>
            <w:r w:rsidRPr="00BC61ED">
              <w:rPr>
                <w:rFonts w:cs="Sylfaen"/>
                <w:sz w:val="20"/>
                <w:szCs w:val="20"/>
                <w:lang w:val="pt-BR"/>
              </w:rPr>
              <w:t xml:space="preserve">   ՀՀ տարածքը «Ռեֆերենց կայանների» ծածկույթով ապահովելու նպատակով ստեղծվել է 40 կմ շառավղով 12 մշտական գործող կայան, որոնք տեղադրվել են հարմարավետ վայրերում: Այդ վայրերը ընտրելիս հաշվի են առնվել.</w:t>
            </w:r>
          </w:p>
          <w:p w:rsidR="0068680D" w:rsidRPr="00BC61ED" w:rsidRDefault="0068680D" w:rsidP="00F47DC4">
            <w:pPr>
              <w:spacing w:line="276" w:lineRule="auto"/>
              <w:jc w:val="both"/>
              <w:rPr>
                <w:rFonts w:cs="Sylfaen"/>
                <w:sz w:val="20"/>
                <w:szCs w:val="20"/>
                <w:lang w:val="pt-BR"/>
              </w:rPr>
            </w:pPr>
            <w:r w:rsidRPr="00BC61ED">
              <w:rPr>
                <w:rFonts w:cs="Sylfaen"/>
                <w:sz w:val="20"/>
                <w:szCs w:val="20"/>
                <w:lang w:val="pt-BR"/>
              </w:rPr>
              <w:t xml:space="preserve">   1) հարևան ռեֆերենց կայաններով ծածկույթների հեռավորությունը (40 կմ),</w:t>
            </w:r>
          </w:p>
          <w:p w:rsidR="0068680D" w:rsidRPr="00BC61ED" w:rsidRDefault="0068680D" w:rsidP="00F47DC4">
            <w:pPr>
              <w:tabs>
                <w:tab w:val="left" w:pos="720"/>
              </w:tabs>
              <w:spacing w:line="276" w:lineRule="auto"/>
              <w:jc w:val="both"/>
              <w:rPr>
                <w:rFonts w:cs="Sylfaen"/>
                <w:sz w:val="20"/>
                <w:szCs w:val="20"/>
                <w:lang w:val="pt-BR"/>
              </w:rPr>
            </w:pPr>
            <w:r w:rsidRPr="00BC61ED">
              <w:rPr>
                <w:rFonts w:cs="Sylfaen"/>
                <w:sz w:val="20"/>
                <w:szCs w:val="20"/>
                <w:lang w:val="pt-BR"/>
              </w:rPr>
              <w:t xml:space="preserve">   2) խոշոր բնակավայրերի առկայությունը,</w:t>
            </w:r>
          </w:p>
          <w:p w:rsidR="0068680D" w:rsidRPr="00BC61ED" w:rsidRDefault="0068680D" w:rsidP="00F47DC4">
            <w:pPr>
              <w:spacing w:line="276" w:lineRule="auto"/>
              <w:jc w:val="both"/>
              <w:rPr>
                <w:rFonts w:cs="Sylfaen"/>
                <w:sz w:val="20"/>
                <w:szCs w:val="20"/>
                <w:lang w:val="pt-BR"/>
              </w:rPr>
            </w:pPr>
            <w:r w:rsidRPr="00BC61ED">
              <w:rPr>
                <w:rFonts w:cs="Sylfaen"/>
                <w:sz w:val="20"/>
                <w:szCs w:val="20"/>
                <w:lang w:val="pt-BR"/>
              </w:rPr>
              <w:t xml:space="preserve">   3) գլխավոր ճանապարհներով կապը,</w:t>
            </w:r>
          </w:p>
          <w:p w:rsidR="0068680D" w:rsidRPr="00BC61ED" w:rsidRDefault="0068680D" w:rsidP="00F47DC4">
            <w:pPr>
              <w:tabs>
                <w:tab w:val="left" w:pos="720"/>
              </w:tabs>
              <w:spacing w:line="276" w:lineRule="auto"/>
              <w:jc w:val="both"/>
              <w:rPr>
                <w:rFonts w:cs="Sylfaen"/>
                <w:sz w:val="20"/>
                <w:szCs w:val="20"/>
                <w:lang w:val="pt-BR"/>
              </w:rPr>
            </w:pPr>
            <w:r w:rsidRPr="00BC61ED">
              <w:rPr>
                <w:rFonts w:cs="Sylfaen"/>
                <w:sz w:val="20"/>
                <w:szCs w:val="20"/>
                <w:lang w:val="pt-BR"/>
              </w:rPr>
              <w:t xml:space="preserve">   4) օդերևութաբանական կայանների առկայությունը:</w:t>
            </w:r>
          </w:p>
          <w:p w:rsidR="0068680D" w:rsidRPr="00BC61ED" w:rsidRDefault="0068680D" w:rsidP="00F47DC4">
            <w:pPr>
              <w:spacing w:line="276" w:lineRule="auto"/>
              <w:jc w:val="both"/>
              <w:rPr>
                <w:rFonts w:cs="Sylfaen"/>
                <w:sz w:val="20"/>
                <w:szCs w:val="20"/>
                <w:lang w:val="pt-BR"/>
              </w:rPr>
            </w:pPr>
            <w:r w:rsidRPr="00BC61ED">
              <w:rPr>
                <w:rFonts w:cs="Sylfaen"/>
                <w:sz w:val="20"/>
                <w:szCs w:val="20"/>
                <w:lang w:val="pt-BR"/>
              </w:rPr>
              <w:t xml:space="preserve">   Որպեսզի կայանների գործունեությունը լինի առավել արդյունավետ և աշխատի անխափան, իրական ժամանակում մշտական գործող կայանի տեղադրման վայրի ընտրության ժամանակ հաշվի են առնվել հետևյալ հանգամանքները.</w:t>
            </w:r>
          </w:p>
          <w:p w:rsidR="0068680D" w:rsidRPr="00BC61ED" w:rsidRDefault="0068680D" w:rsidP="00F47DC4">
            <w:pPr>
              <w:spacing w:line="276" w:lineRule="auto"/>
              <w:jc w:val="both"/>
              <w:rPr>
                <w:rFonts w:cs="Sylfaen"/>
                <w:sz w:val="20"/>
                <w:szCs w:val="20"/>
                <w:lang w:val="pt-BR"/>
              </w:rPr>
            </w:pPr>
            <w:r w:rsidRPr="00BC61ED">
              <w:rPr>
                <w:rFonts w:cs="Sylfaen"/>
                <w:sz w:val="20"/>
                <w:szCs w:val="20"/>
                <w:lang w:val="pt-BR"/>
              </w:rPr>
              <w:t xml:space="preserve">   5) երկնքի տեսանելիության ապահովումը,</w:t>
            </w:r>
          </w:p>
          <w:p w:rsidR="0068680D" w:rsidRPr="00BC61ED" w:rsidRDefault="0068680D" w:rsidP="00F47DC4">
            <w:pPr>
              <w:spacing w:line="276" w:lineRule="auto"/>
              <w:jc w:val="both"/>
              <w:rPr>
                <w:rFonts w:cs="Sylfaen"/>
                <w:sz w:val="20"/>
                <w:szCs w:val="20"/>
                <w:lang w:val="pt-BR"/>
              </w:rPr>
            </w:pPr>
            <w:r w:rsidRPr="00BC61ED">
              <w:rPr>
                <w:rFonts w:cs="Sylfaen"/>
                <w:sz w:val="20"/>
                <w:szCs w:val="20"/>
                <w:lang w:val="pt-BR"/>
              </w:rPr>
              <w:t xml:space="preserve">   6) ալեհավաքի կայունությունը,</w:t>
            </w:r>
          </w:p>
          <w:p w:rsidR="0068680D" w:rsidRPr="00BC61ED" w:rsidRDefault="0068680D" w:rsidP="00F47DC4">
            <w:pPr>
              <w:spacing w:line="276" w:lineRule="auto"/>
              <w:jc w:val="both"/>
              <w:rPr>
                <w:rFonts w:cs="Sylfaen"/>
                <w:sz w:val="20"/>
                <w:szCs w:val="20"/>
                <w:lang w:val="pt-BR"/>
              </w:rPr>
            </w:pPr>
            <w:r w:rsidRPr="00BC61ED">
              <w:rPr>
                <w:rFonts w:cs="Sylfaen"/>
                <w:sz w:val="20"/>
                <w:szCs w:val="20"/>
                <w:lang w:val="pt-BR"/>
              </w:rPr>
              <w:t xml:space="preserve">   7) ալիքների անդրադարձումը,</w:t>
            </w:r>
          </w:p>
          <w:p w:rsidR="0068680D" w:rsidRPr="00BC61ED" w:rsidRDefault="0068680D" w:rsidP="00F47DC4">
            <w:pPr>
              <w:spacing w:line="276" w:lineRule="auto"/>
              <w:jc w:val="both"/>
              <w:rPr>
                <w:rFonts w:cs="Sylfaen"/>
                <w:sz w:val="20"/>
                <w:szCs w:val="20"/>
                <w:lang w:val="pt-BR"/>
              </w:rPr>
            </w:pPr>
            <w:r w:rsidRPr="00BC61ED">
              <w:rPr>
                <w:rFonts w:cs="Sylfaen"/>
                <w:sz w:val="20"/>
                <w:szCs w:val="20"/>
                <w:lang w:val="pt-BR"/>
              </w:rPr>
              <w:t xml:space="preserve">   8) սարքավորումների պահպանությունը,</w:t>
            </w:r>
          </w:p>
          <w:p w:rsidR="0068680D" w:rsidRPr="00BC61ED" w:rsidRDefault="0068680D" w:rsidP="00F47DC4">
            <w:pPr>
              <w:spacing w:line="276" w:lineRule="auto"/>
              <w:jc w:val="both"/>
              <w:rPr>
                <w:rFonts w:cs="Sylfaen"/>
                <w:sz w:val="20"/>
                <w:szCs w:val="20"/>
                <w:lang w:val="pt-BR"/>
              </w:rPr>
            </w:pPr>
            <w:r w:rsidRPr="00BC61ED">
              <w:rPr>
                <w:rFonts w:cs="Sylfaen"/>
                <w:sz w:val="20"/>
                <w:szCs w:val="20"/>
                <w:lang w:val="pt-BR"/>
              </w:rPr>
              <w:t xml:space="preserve">   9) ֆիզիկական անվտանգությունը,</w:t>
            </w:r>
          </w:p>
          <w:p w:rsidR="0068680D" w:rsidRPr="00BC61ED" w:rsidRDefault="0068680D" w:rsidP="00F47DC4">
            <w:pPr>
              <w:spacing w:line="276" w:lineRule="auto"/>
              <w:jc w:val="both"/>
              <w:rPr>
                <w:rFonts w:cs="Sylfaen"/>
                <w:sz w:val="20"/>
                <w:szCs w:val="20"/>
                <w:lang w:val="pt-BR"/>
              </w:rPr>
            </w:pPr>
            <w:r w:rsidRPr="00BC61ED">
              <w:rPr>
                <w:rFonts w:cs="Sylfaen"/>
                <w:sz w:val="20"/>
                <w:szCs w:val="20"/>
                <w:lang w:val="pt-BR"/>
              </w:rPr>
              <w:t xml:space="preserve">   10) տեղադրման վայրի եղանակային պայմանները,</w:t>
            </w:r>
          </w:p>
          <w:p w:rsidR="0068680D" w:rsidRPr="00BC61ED" w:rsidRDefault="0068680D" w:rsidP="00F47DC4">
            <w:pPr>
              <w:spacing w:line="276" w:lineRule="auto"/>
              <w:jc w:val="both"/>
              <w:rPr>
                <w:rFonts w:cs="Sylfaen"/>
                <w:sz w:val="20"/>
                <w:szCs w:val="20"/>
                <w:lang w:val="pt-BR"/>
              </w:rPr>
            </w:pPr>
            <w:r w:rsidRPr="00BC61ED">
              <w:rPr>
                <w:rFonts w:cs="Sylfaen"/>
                <w:sz w:val="20"/>
                <w:szCs w:val="20"/>
                <w:lang w:val="pt-BR"/>
              </w:rPr>
              <w:t xml:space="preserve">   11) էլեկտրասնուցման և մայրուղային կապերի առկայությունը:</w:t>
            </w:r>
          </w:p>
          <w:p w:rsidR="0068680D" w:rsidRPr="00BC61ED" w:rsidRDefault="0068680D" w:rsidP="00F47DC4">
            <w:pPr>
              <w:spacing w:line="276" w:lineRule="auto"/>
              <w:jc w:val="both"/>
              <w:rPr>
                <w:rFonts w:cs="Sylfaen"/>
                <w:sz w:val="20"/>
                <w:szCs w:val="20"/>
                <w:lang w:val="pt-BR"/>
              </w:rPr>
            </w:pPr>
            <w:r w:rsidRPr="00BC61ED">
              <w:rPr>
                <w:rFonts w:cs="Sylfaen"/>
                <w:sz w:val="20"/>
                <w:szCs w:val="20"/>
                <w:lang w:val="pt-BR"/>
              </w:rPr>
              <w:t xml:space="preserve">   Ավելին՝ կոորդինատների որոշման` հավասարակշռման աշխատանքներում ներգրավված են եղել նաև 8 գեոդեզիական կետեր: Կոորդինատների հաշվարկումը իրականացվել է միջազգային ստանդարտ ռեֆերենց շրջանակում (ITRF2008/IGS08): Վերջնական արդյունքում դրանք փոխակերպվել են ARMREF02 համակարգ` օգտագործելով որոշ մշտապես գործող ռեֆերենց կայանների (CORS) ռեֆերենց կոորդինատները: </w:t>
            </w:r>
          </w:p>
          <w:p w:rsidR="0068680D" w:rsidRPr="00BC61ED" w:rsidRDefault="0068680D" w:rsidP="00F47DC4">
            <w:pPr>
              <w:spacing w:line="276" w:lineRule="auto"/>
              <w:jc w:val="both"/>
              <w:rPr>
                <w:rFonts w:cs="Sylfaen"/>
                <w:sz w:val="20"/>
                <w:szCs w:val="20"/>
                <w:lang w:val="pt-BR"/>
              </w:rPr>
            </w:pPr>
            <w:r w:rsidRPr="00BC61ED">
              <w:rPr>
                <w:rFonts w:cs="Sylfaen"/>
                <w:sz w:val="20"/>
                <w:szCs w:val="20"/>
                <w:lang w:val="pt-BR"/>
              </w:rPr>
              <w:t xml:space="preserve">   ARMREF02 համակարգը Հայաստանի համար գեոդեզիական ռեֆերենց պաշտոնական համակարգ է, որը համապատասխանում է Համաշխարհային գեոդեզիական ռեֆերենց համակարգին (ITRS) ITRF2000 էպոխայի (epoch) 2002.9-ի միջոցով:</w:t>
            </w:r>
          </w:p>
          <w:p w:rsidR="0068680D" w:rsidRPr="00BC61ED" w:rsidRDefault="0068680D" w:rsidP="00F47DC4">
            <w:pPr>
              <w:pStyle w:val="ListParagraph"/>
              <w:spacing w:line="276" w:lineRule="auto"/>
              <w:ind w:left="0" w:right="-1"/>
              <w:jc w:val="both"/>
              <w:rPr>
                <w:sz w:val="20"/>
                <w:szCs w:val="20"/>
                <w:lang w:val="pt-BR" w:eastAsia="en-GB"/>
              </w:rPr>
            </w:pPr>
            <w:r w:rsidRPr="00BC61ED">
              <w:rPr>
                <w:sz w:val="20"/>
                <w:szCs w:val="20"/>
                <w:lang w:val="pt-BR" w:eastAsia="en-GB"/>
              </w:rPr>
              <w:t xml:space="preserve">   </w:t>
            </w:r>
            <w:r w:rsidRPr="00BC61ED">
              <w:rPr>
                <w:sz w:val="20"/>
                <w:szCs w:val="20"/>
                <w:lang w:eastAsia="en-GB"/>
              </w:rPr>
              <w:t>Միջոցառման</w:t>
            </w:r>
            <w:r w:rsidRPr="00BC61ED">
              <w:rPr>
                <w:sz w:val="20"/>
                <w:szCs w:val="20"/>
                <w:lang w:val="pt-BR" w:eastAsia="en-GB"/>
              </w:rPr>
              <w:t xml:space="preserve"> </w:t>
            </w:r>
            <w:r w:rsidRPr="00BC61ED">
              <w:rPr>
                <w:sz w:val="20"/>
                <w:szCs w:val="20"/>
                <w:lang w:eastAsia="en-GB"/>
              </w:rPr>
              <w:t>իրականացումը</w:t>
            </w:r>
            <w:r w:rsidRPr="00BC61ED">
              <w:rPr>
                <w:sz w:val="20"/>
                <w:szCs w:val="20"/>
                <w:lang w:val="pt-BR" w:eastAsia="en-GB"/>
              </w:rPr>
              <w:t xml:space="preserve"> </w:t>
            </w:r>
            <w:r w:rsidRPr="00BC61ED">
              <w:rPr>
                <w:sz w:val="20"/>
                <w:szCs w:val="20"/>
                <w:lang w:eastAsia="en-GB"/>
              </w:rPr>
              <w:t>նորմատիվ</w:t>
            </w:r>
            <w:r w:rsidRPr="00BC61ED">
              <w:rPr>
                <w:sz w:val="20"/>
                <w:szCs w:val="20"/>
                <w:lang w:val="pt-BR" w:eastAsia="en-GB"/>
              </w:rPr>
              <w:t xml:space="preserve"> </w:t>
            </w:r>
            <w:r w:rsidRPr="00BC61ED">
              <w:rPr>
                <w:sz w:val="20"/>
                <w:szCs w:val="20"/>
                <w:lang w:eastAsia="en-GB"/>
              </w:rPr>
              <w:t>իրավական</w:t>
            </w:r>
            <w:r w:rsidRPr="00BC61ED">
              <w:rPr>
                <w:sz w:val="20"/>
                <w:szCs w:val="20"/>
                <w:lang w:val="pt-BR" w:eastAsia="en-GB"/>
              </w:rPr>
              <w:t xml:space="preserve"> </w:t>
            </w:r>
            <w:r w:rsidRPr="00BC61ED">
              <w:rPr>
                <w:sz w:val="20"/>
                <w:szCs w:val="20"/>
                <w:lang w:eastAsia="en-GB"/>
              </w:rPr>
              <w:t>ակտերի</w:t>
            </w:r>
            <w:r w:rsidRPr="00BC61ED">
              <w:rPr>
                <w:sz w:val="20"/>
                <w:szCs w:val="20"/>
                <w:lang w:val="pt-BR" w:eastAsia="en-GB"/>
              </w:rPr>
              <w:t xml:space="preserve"> </w:t>
            </w:r>
            <w:r w:rsidRPr="00BC61ED">
              <w:rPr>
                <w:sz w:val="20"/>
                <w:szCs w:val="20"/>
                <w:lang w:eastAsia="en-GB"/>
              </w:rPr>
              <w:t>ընդունման</w:t>
            </w:r>
            <w:r w:rsidRPr="00BC61ED">
              <w:rPr>
                <w:sz w:val="20"/>
                <w:szCs w:val="20"/>
                <w:lang w:val="pt-BR" w:eastAsia="en-GB"/>
              </w:rPr>
              <w:t xml:space="preserve"> </w:t>
            </w:r>
            <w:r w:rsidRPr="00BC61ED">
              <w:rPr>
                <w:sz w:val="20"/>
                <w:szCs w:val="20"/>
                <w:lang w:eastAsia="en-GB"/>
              </w:rPr>
              <w:t>անհրաժեշտություն</w:t>
            </w:r>
            <w:r w:rsidRPr="00BC61ED">
              <w:rPr>
                <w:sz w:val="20"/>
                <w:szCs w:val="20"/>
                <w:lang w:val="pt-BR" w:eastAsia="en-GB"/>
              </w:rPr>
              <w:t xml:space="preserve"> </w:t>
            </w:r>
            <w:r w:rsidRPr="00BC61ED">
              <w:rPr>
                <w:sz w:val="20"/>
                <w:szCs w:val="20"/>
                <w:lang w:eastAsia="en-GB"/>
              </w:rPr>
              <w:t>չի</w:t>
            </w:r>
            <w:r w:rsidRPr="00BC61ED">
              <w:rPr>
                <w:sz w:val="20"/>
                <w:szCs w:val="20"/>
                <w:lang w:val="pt-BR" w:eastAsia="en-GB"/>
              </w:rPr>
              <w:t xml:space="preserve"> </w:t>
            </w:r>
            <w:r w:rsidRPr="00BC61ED">
              <w:rPr>
                <w:sz w:val="20"/>
                <w:szCs w:val="20"/>
                <w:lang w:eastAsia="en-GB"/>
              </w:rPr>
              <w:t>առաջացնում</w:t>
            </w:r>
            <w:r w:rsidRPr="00BC61ED">
              <w:rPr>
                <w:sz w:val="20"/>
                <w:szCs w:val="20"/>
                <w:lang w:val="pt-BR" w:eastAsia="en-GB"/>
              </w:rPr>
              <w:t xml:space="preserve">: </w:t>
            </w:r>
          </w:p>
          <w:p w:rsidR="0068680D" w:rsidRPr="00BC61ED" w:rsidRDefault="0068680D" w:rsidP="00F47DC4">
            <w:pPr>
              <w:spacing w:line="276" w:lineRule="auto"/>
              <w:jc w:val="both"/>
              <w:rPr>
                <w:b/>
                <w:sz w:val="20"/>
                <w:szCs w:val="20"/>
                <w:lang w:val="hy-AM"/>
              </w:rPr>
            </w:pPr>
            <w:r w:rsidRPr="00BC61ED">
              <w:rPr>
                <w:b/>
                <w:sz w:val="20"/>
                <w:szCs w:val="20"/>
                <w:lang w:val="pt-BR"/>
              </w:rPr>
              <w:t xml:space="preserve">   </w:t>
            </w:r>
            <w:r w:rsidRPr="00BC61ED">
              <w:rPr>
                <w:b/>
                <w:sz w:val="20"/>
                <w:szCs w:val="20"/>
                <w:lang w:val="hy-AM"/>
              </w:rPr>
              <w:t>1.1 Կարգավորման հարաբերությունների ներկա վիճակը և առկա խնդիրները</w:t>
            </w:r>
          </w:p>
          <w:p w:rsidR="0068680D" w:rsidRPr="00BC61ED" w:rsidRDefault="0068680D" w:rsidP="00F47DC4">
            <w:pPr>
              <w:spacing w:line="276" w:lineRule="auto"/>
              <w:jc w:val="both"/>
              <w:rPr>
                <w:rFonts w:cs="Sylfaen"/>
                <w:sz w:val="20"/>
                <w:szCs w:val="20"/>
                <w:lang w:val="pt-BR"/>
              </w:rPr>
            </w:pPr>
            <w:r w:rsidRPr="00BC61ED">
              <w:rPr>
                <w:rFonts w:cs="Sylfaen"/>
                <w:sz w:val="20"/>
                <w:szCs w:val="20"/>
                <w:lang w:val="pt-BR"/>
              </w:rPr>
              <w:t xml:space="preserve">   Մշտապես գործող ռեֆերենց կայանները դիտարկվել և հաշվարկվել են 2013 թվականի սեպտեմբերի 22-ից մինչև հոկտեմբերի 11-ը (տարվա օրերն են 265-284) կատարած GPS C1/L1/P2/L2 չափագրումների 20-օրյա, 30-օրյա նմուշառման չափի շարքով: Ելնելով  առաջիկայում Հայաստանի Հանրապետության տարածքում նախատեսվող տեղագրագեոդեզիական աշխատանքների արագ և ճշգրիտ իրականացման պահանջներից անհրաժեշտություն է առաջացել  իրական ժամանակում մշտական գործող ռեֆերենց կայանների ցանցը խտացնել`  կայաններն ավելացնելով ևս 2-ով:</w:t>
            </w:r>
          </w:p>
          <w:p w:rsidR="0068680D" w:rsidRPr="00BC61ED" w:rsidRDefault="0068680D" w:rsidP="00F47DC4">
            <w:pPr>
              <w:spacing w:line="276" w:lineRule="auto"/>
              <w:jc w:val="both"/>
              <w:rPr>
                <w:rFonts w:cs="Sylfaen"/>
                <w:sz w:val="20"/>
                <w:szCs w:val="20"/>
                <w:lang w:val="pt-BR"/>
              </w:rPr>
            </w:pPr>
            <w:r w:rsidRPr="00BC61ED">
              <w:rPr>
                <w:rFonts w:cs="Sylfaen"/>
                <w:sz w:val="20"/>
                <w:szCs w:val="20"/>
                <w:lang w:val="pt-BR"/>
              </w:rPr>
              <w:t xml:space="preserve">   Քանի որ Հայաստանի Հանրապետությունում տեղագրագեոդեզիական աշխատանքների  առավել զգալի բաժինը իրականացվում է խիտ բնակեցված և կառուցապատված Երևան քաղաքի և Արարատյան դաշտի տարածաշրջանում, ուստի անհրաժեշտություն է առաջացել կայաններից մեկը տեղադրել Երևան քաղաքում:</w:t>
            </w:r>
          </w:p>
          <w:p w:rsidR="0068680D" w:rsidRPr="00BC61ED" w:rsidRDefault="0068680D" w:rsidP="00F47DC4">
            <w:pPr>
              <w:spacing w:line="276" w:lineRule="auto"/>
              <w:jc w:val="both"/>
              <w:rPr>
                <w:rFonts w:cs="Sylfaen"/>
                <w:sz w:val="20"/>
                <w:szCs w:val="20"/>
                <w:lang w:val="pt-BR"/>
              </w:rPr>
            </w:pPr>
            <w:r w:rsidRPr="00BC61ED">
              <w:rPr>
                <w:rFonts w:cs="Sylfaen"/>
                <w:sz w:val="20"/>
                <w:szCs w:val="20"/>
                <w:lang w:val="pt-BR"/>
              </w:rPr>
              <w:t xml:space="preserve">   Երևանում նախատեսվող կայանը նպատակահարմար է տեղադրել մայր ապարի վրա՝ գեոդեզիական գրունտային հիմնակետի տեսքով, որպեսզի հնարավոր լինի ավելի ճշգրիտ հետևել  երկրակեղևի ուղղաձիգ և հորիզոնական շարժերին (քանի որ 12 մշտական գործող ռեֆերենց  կայանները տեղադրված են շենքերի տանիքների վրա):</w:t>
            </w:r>
          </w:p>
          <w:p w:rsidR="0068680D" w:rsidRPr="00BC61ED" w:rsidRDefault="0068680D" w:rsidP="00F47DC4">
            <w:pPr>
              <w:pStyle w:val="a1"/>
              <w:spacing w:line="276" w:lineRule="auto"/>
              <w:ind w:firstLine="0"/>
              <w:rPr>
                <w:rFonts w:ascii="GHEA Grapalat" w:eastAsiaTheme="minorEastAsia" w:hAnsi="GHEA Grapalat" w:cs="Sylfaen"/>
                <w:sz w:val="20"/>
                <w:szCs w:val="20"/>
                <w:lang w:val="pt-BR" w:eastAsia="en-US"/>
              </w:rPr>
            </w:pPr>
            <w:r w:rsidRPr="00BC61ED">
              <w:rPr>
                <w:rFonts w:ascii="GHEA Grapalat" w:eastAsiaTheme="minorEastAsia" w:hAnsi="GHEA Grapalat" w:cs="Sylfaen"/>
                <w:sz w:val="20"/>
                <w:szCs w:val="20"/>
                <w:lang w:val="pt-BR" w:eastAsia="en-US"/>
              </w:rPr>
              <w:t xml:space="preserve">   Հյուսիսային տարածքներում նախատեսվում է համագործակցություն Վրաստանի Հանրապետության մշտական գործող կայանների հետ, ուստի երկրորդ ռեֆերենց կայանը նպատակահարմար է տեղադրել Տաշիր քաղաքում, հայ-վրացական սահմանի՝ նախատեսվող սահմանազատման և սահմանագծման աշխատանքները բարձր ճշտությամբ իրականացնելու համար:</w:t>
            </w:r>
          </w:p>
          <w:p w:rsidR="0068680D" w:rsidRPr="00BC61ED" w:rsidRDefault="0068680D" w:rsidP="00F47DC4">
            <w:pPr>
              <w:keepNext/>
              <w:spacing w:line="276" w:lineRule="auto"/>
              <w:jc w:val="both"/>
              <w:outlineLvl w:val="4"/>
              <w:rPr>
                <w:sz w:val="20"/>
                <w:szCs w:val="20"/>
                <w:lang w:val="id-ID"/>
              </w:rPr>
            </w:pPr>
            <w:r w:rsidRPr="00BC61ED">
              <w:rPr>
                <w:rFonts w:cs="Sylfaen"/>
                <w:sz w:val="20"/>
                <w:szCs w:val="20"/>
                <w:lang w:val="pt-BR"/>
              </w:rPr>
              <w:t xml:space="preserve">   Մշտական գործող ռեֆերենց կայանների ցանցի ղեկավարումն իրականացվում է վերստուգիչ կենտրոնում` «Տեղեկատվական տեխնոլոգիաների կենտրոն» ստորաբաժանման տեխնիկական բազայում առկա հզոր սերվերի, համապատասխան ծրագրային ապահովման միջոցով: </w:t>
            </w:r>
          </w:p>
          <w:p w:rsidR="0068680D" w:rsidRPr="00BC61ED" w:rsidRDefault="0068680D" w:rsidP="00F47DC4">
            <w:pPr>
              <w:spacing w:line="276" w:lineRule="auto"/>
              <w:jc w:val="both"/>
              <w:rPr>
                <w:b/>
                <w:sz w:val="20"/>
                <w:szCs w:val="20"/>
                <w:lang w:val="hy-AM"/>
              </w:rPr>
            </w:pPr>
            <w:r w:rsidRPr="00BC61ED">
              <w:rPr>
                <w:b/>
                <w:sz w:val="20"/>
                <w:szCs w:val="20"/>
                <w:lang w:val="pt-BR"/>
              </w:rPr>
              <w:t xml:space="preserve">   </w:t>
            </w:r>
            <w:r w:rsidRPr="00BC61ED">
              <w:rPr>
                <w:b/>
                <w:sz w:val="20"/>
                <w:szCs w:val="20"/>
                <w:lang w:val="hy-AM"/>
              </w:rPr>
              <w:t>1.2 Առկա խնդիրների առաջարկվող լուծումները</w:t>
            </w:r>
          </w:p>
          <w:p w:rsidR="0068680D" w:rsidRPr="00BC61ED" w:rsidRDefault="0068680D" w:rsidP="00F47DC4">
            <w:pPr>
              <w:keepNext/>
              <w:spacing w:line="276" w:lineRule="auto"/>
              <w:jc w:val="both"/>
              <w:outlineLvl w:val="4"/>
              <w:rPr>
                <w:sz w:val="20"/>
                <w:szCs w:val="20"/>
                <w:lang w:val="id-ID"/>
              </w:rPr>
            </w:pPr>
            <w:r w:rsidRPr="00BC61ED">
              <w:rPr>
                <w:rFonts w:cs="Sylfaen"/>
                <w:sz w:val="20"/>
                <w:szCs w:val="20"/>
                <w:lang w:val="pt-BR"/>
              </w:rPr>
              <w:t xml:space="preserve">   </w:t>
            </w:r>
            <w:r w:rsidRPr="00BC61ED">
              <w:rPr>
                <w:rFonts w:cs="Sylfaen"/>
                <w:sz w:val="20"/>
                <w:szCs w:val="20"/>
                <w:lang w:val="id-ID"/>
              </w:rPr>
              <w:t>Մշտական</w:t>
            </w:r>
            <w:r w:rsidRPr="00BC61ED">
              <w:rPr>
                <w:sz w:val="20"/>
                <w:szCs w:val="20"/>
                <w:lang w:val="id-ID"/>
              </w:rPr>
              <w:t xml:space="preserve"> գործող </w:t>
            </w:r>
            <w:r w:rsidRPr="00BC61ED">
              <w:rPr>
                <w:sz w:val="20"/>
                <w:szCs w:val="20"/>
                <w:lang w:val="hy-AM"/>
              </w:rPr>
              <w:t>նոր</w:t>
            </w:r>
            <w:r w:rsidRPr="00BC61ED">
              <w:rPr>
                <w:sz w:val="20"/>
                <w:szCs w:val="20"/>
                <w:lang w:val="id-ID"/>
              </w:rPr>
              <w:t xml:space="preserve"> </w:t>
            </w:r>
            <w:r w:rsidRPr="00BC61ED">
              <w:rPr>
                <w:sz w:val="20"/>
                <w:szCs w:val="20"/>
                <w:lang w:val="hy-AM"/>
              </w:rPr>
              <w:t>կայան</w:t>
            </w:r>
            <w:r w:rsidRPr="00BC61ED">
              <w:rPr>
                <w:sz w:val="20"/>
                <w:szCs w:val="20"/>
              </w:rPr>
              <w:t>ն</w:t>
            </w:r>
            <w:r w:rsidRPr="00BC61ED">
              <w:rPr>
                <w:sz w:val="20"/>
                <w:szCs w:val="20"/>
                <w:lang w:val="hy-AM"/>
              </w:rPr>
              <w:t>երը</w:t>
            </w:r>
            <w:r w:rsidRPr="00BC61ED">
              <w:rPr>
                <w:sz w:val="20"/>
                <w:szCs w:val="20"/>
                <w:lang w:val="id-ID"/>
              </w:rPr>
              <w:t xml:space="preserve"> հնարավորություն </w:t>
            </w:r>
            <w:r w:rsidRPr="00BC61ED">
              <w:rPr>
                <w:sz w:val="20"/>
                <w:szCs w:val="20"/>
              </w:rPr>
              <w:t>են</w:t>
            </w:r>
            <w:r w:rsidRPr="00BC61ED">
              <w:rPr>
                <w:sz w:val="20"/>
                <w:szCs w:val="20"/>
                <w:lang w:val="id-ID"/>
              </w:rPr>
              <w:t xml:space="preserve"> տալիս GPS ռովեր կայանի միջոցով իրական ժամանակում, ծածկույթի ընդգրկման շրջանում, կարճ ժամա</w:t>
            </w:r>
            <w:r w:rsidRPr="00BC61ED">
              <w:rPr>
                <w:sz w:val="20"/>
                <w:szCs w:val="20"/>
                <w:lang w:val="id-ID"/>
              </w:rPr>
              <w:softHyphen/>
              <w:t xml:space="preserve">նակամիջոցում ստանալու տեղադիրքի կոորդինատները </w:t>
            </w:r>
            <w:r w:rsidRPr="00BC61ED">
              <w:rPr>
                <w:sz w:val="20"/>
                <w:szCs w:val="20"/>
                <w:lang w:val="hy-AM"/>
              </w:rPr>
              <w:t>վերը</w:t>
            </w:r>
            <w:r w:rsidRPr="00BC61ED">
              <w:rPr>
                <w:sz w:val="20"/>
                <w:szCs w:val="20"/>
                <w:lang w:val="id-ID"/>
              </w:rPr>
              <w:t xml:space="preserve"> </w:t>
            </w:r>
            <w:r w:rsidRPr="00BC61ED">
              <w:rPr>
                <w:sz w:val="20"/>
                <w:szCs w:val="20"/>
                <w:lang w:val="hy-AM"/>
              </w:rPr>
              <w:t>նշ</w:t>
            </w:r>
            <w:r w:rsidRPr="00BC61ED">
              <w:rPr>
                <w:sz w:val="20"/>
                <w:szCs w:val="20"/>
              </w:rPr>
              <w:t>վ</w:t>
            </w:r>
            <w:r w:rsidRPr="00BC61ED">
              <w:rPr>
                <w:sz w:val="20"/>
                <w:szCs w:val="20"/>
                <w:lang w:val="hy-AM"/>
              </w:rPr>
              <w:t>ած</w:t>
            </w:r>
            <w:r w:rsidRPr="00BC61ED">
              <w:rPr>
                <w:sz w:val="20"/>
                <w:szCs w:val="20"/>
                <w:lang w:val="id-ID"/>
              </w:rPr>
              <w:t xml:space="preserve"> </w:t>
            </w:r>
            <w:r w:rsidRPr="00BC61ED">
              <w:rPr>
                <w:sz w:val="20"/>
                <w:szCs w:val="20"/>
                <w:lang w:val="hy-AM"/>
              </w:rPr>
              <w:t>տարածաշրջանների</w:t>
            </w:r>
            <w:r w:rsidRPr="00BC61ED">
              <w:rPr>
                <w:sz w:val="20"/>
                <w:szCs w:val="20"/>
                <w:lang w:val="id-ID"/>
              </w:rPr>
              <w:t xml:space="preserve"> </w:t>
            </w:r>
            <w:r w:rsidRPr="00BC61ED">
              <w:rPr>
                <w:sz w:val="20"/>
                <w:szCs w:val="20"/>
                <w:lang w:val="hy-AM"/>
              </w:rPr>
              <w:t>համար</w:t>
            </w:r>
            <w:r w:rsidRPr="00BC61ED">
              <w:rPr>
                <w:sz w:val="20"/>
                <w:szCs w:val="20"/>
                <w:lang w:val="id-ID"/>
              </w:rPr>
              <w:t xml:space="preserve">, </w:t>
            </w:r>
            <w:r w:rsidRPr="00BC61ED">
              <w:rPr>
                <w:sz w:val="20"/>
                <w:szCs w:val="20"/>
                <w:lang w:val="hy-AM"/>
              </w:rPr>
              <w:t>որոնց</w:t>
            </w:r>
            <w:r w:rsidRPr="00BC61ED">
              <w:rPr>
                <w:sz w:val="20"/>
                <w:szCs w:val="20"/>
                <w:lang w:val="id-ID"/>
              </w:rPr>
              <w:t xml:space="preserve"> </w:t>
            </w:r>
            <w:r w:rsidRPr="00BC61ED">
              <w:rPr>
                <w:sz w:val="20"/>
                <w:szCs w:val="20"/>
                <w:lang w:val="hy-AM"/>
              </w:rPr>
              <w:t>տվյալները</w:t>
            </w:r>
            <w:r w:rsidRPr="00BC61ED">
              <w:rPr>
                <w:sz w:val="20"/>
                <w:szCs w:val="20"/>
                <w:lang w:val="id-ID"/>
              </w:rPr>
              <w:t xml:space="preserve"> </w:t>
            </w:r>
            <w:r w:rsidRPr="00BC61ED">
              <w:rPr>
                <w:sz w:val="20"/>
                <w:szCs w:val="20"/>
                <w:lang w:val="hy-AM"/>
              </w:rPr>
              <w:t>կ</w:t>
            </w:r>
            <w:r w:rsidRPr="00BC61ED">
              <w:rPr>
                <w:sz w:val="20"/>
                <w:szCs w:val="20"/>
                <w:lang w:val="id-ID"/>
              </w:rPr>
              <w:t>կիրառվ</w:t>
            </w:r>
            <w:r w:rsidRPr="00BC61ED">
              <w:rPr>
                <w:sz w:val="20"/>
                <w:szCs w:val="20"/>
                <w:lang w:val="hy-AM"/>
              </w:rPr>
              <w:t>են</w:t>
            </w:r>
            <w:r w:rsidRPr="00BC61ED">
              <w:rPr>
                <w:sz w:val="20"/>
                <w:szCs w:val="20"/>
                <w:lang w:val="id-ID"/>
              </w:rPr>
              <w:t xml:space="preserve"> դիրքորոշման բազմաթիվ բնագավառներում:</w:t>
            </w:r>
          </w:p>
          <w:p w:rsidR="0068680D" w:rsidRPr="00BC61ED" w:rsidRDefault="0068680D" w:rsidP="00F47DC4">
            <w:pPr>
              <w:keepNext/>
              <w:spacing w:line="276" w:lineRule="auto"/>
              <w:jc w:val="both"/>
              <w:outlineLvl w:val="4"/>
              <w:rPr>
                <w:sz w:val="20"/>
                <w:szCs w:val="20"/>
                <w:lang w:val="id-ID"/>
              </w:rPr>
            </w:pPr>
            <w:r w:rsidRPr="00BC61ED">
              <w:rPr>
                <w:rFonts w:cs="Sylfaen"/>
                <w:sz w:val="20"/>
                <w:szCs w:val="20"/>
                <w:lang w:val="pt-BR"/>
              </w:rPr>
              <w:t xml:space="preserve">   </w:t>
            </w:r>
            <w:r w:rsidRPr="00BC61ED">
              <w:rPr>
                <w:rFonts w:cs="Sylfaen"/>
                <w:sz w:val="20"/>
                <w:szCs w:val="20"/>
              </w:rPr>
              <w:t>Որպես</w:t>
            </w:r>
            <w:r w:rsidRPr="00BC61ED">
              <w:rPr>
                <w:sz w:val="20"/>
                <w:szCs w:val="20"/>
                <w:lang w:val="id-ID"/>
              </w:rPr>
              <w:t xml:space="preserve"> </w:t>
            </w:r>
            <w:r w:rsidRPr="00BC61ED">
              <w:rPr>
                <w:sz w:val="20"/>
                <w:szCs w:val="20"/>
              </w:rPr>
              <w:t>գեոդեզիայի</w:t>
            </w:r>
            <w:r w:rsidRPr="00BC61ED">
              <w:rPr>
                <w:sz w:val="20"/>
                <w:szCs w:val="20"/>
                <w:lang w:val="id-ID"/>
              </w:rPr>
              <w:t xml:space="preserve"> </w:t>
            </w:r>
            <w:r w:rsidRPr="00BC61ED">
              <w:rPr>
                <w:sz w:val="20"/>
                <w:szCs w:val="20"/>
              </w:rPr>
              <w:t>բնագավառի</w:t>
            </w:r>
            <w:r w:rsidRPr="00BC61ED">
              <w:rPr>
                <w:sz w:val="20"/>
                <w:szCs w:val="20"/>
                <w:lang w:val="id-ID"/>
              </w:rPr>
              <w:t xml:space="preserve"> </w:t>
            </w:r>
            <w:r w:rsidRPr="00BC61ED">
              <w:rPr>
                <w:sz w:val="20"/>
                <w:szCs w:val="20"/>
              </w:rPr>
              <w:t>զարգացում՝</w:t>
            </w:r>
            <w:r w:rsidRPr="00BC61ED">
              <w:rPr>
                <w:sz w:val="20"/>
                <w:szCs w:val="20"/>
                <w:lang w:val="id-ID"/>
              </w:rPr>
              <w:t xml:space="preserve"> </w:t>
            </w:r>
            <w:r w:rsidRPr="00BC61ED">
              <w:rPr>
                <w:sz w:val="20"/>
                <w:szCs w:val="20"/>
              </w:rPr>
              <w:t>ստեղծվելիք</w:t>
            </w:r>
            <w:r w:rsidRPr="00BC61ED">
              <w:rPr>
                <w:sz w:val="20"/>
                <w:szCs w:val="20"/>
                <w:lang w:val="id-ID"/>
              </w:rPr>
              <w:t xml:space="preserve"> </w:t>
            </w:r>
            <w:r w:rsidRPr="00BC61ED">
              <w:rPr>
                <w:sz w:val="20"/>
                <w:szCs w:val="20"/>
              </w:rPr>
              <w:t>նոր</w:t>
            </w:r>
            <w:r w:rsidRPr="00BC61ED">
              <w:rPr>
                <w:sz w:val="20"/>
                <w:szCs w:val="20"/>
                <w:lang w:val="id-ID"/>
              </w:rPr>
              <w:t xml:space="preserve"> </w:t>
            </w:r>
            <w:r w:rsidRPr="00BC61ED">
              <w:rPr>
                <w:sz w:val="20"/>
                <w:szCs w:val="20"/>
              </w:rPr>
              <w:t>երկու</w:t>
            </w:r>
            <w:r w:rsidRPr="00BC61ED">
              <w:rPr>
                <w:sz w:val="20"/>
                <w:szCs w:val="20"/>
                <w:lang w:val="id-ID"/>
              </w:rPr>
              <w:t xml:space="preserve"> </w:t>
            </w:r>
            <w:r w:rsidRPr="00BC61ED">
              <w:rPr>
                <w:sz w:val="20"/>
                <w:szCs w:val="20"/>
              </w:rPr>
              <w:t>ռեֆերենց</w:t>
            </w:r>
            <w:r w:rsidRPr="00BC61ED">
              <w:rPr>
                <w:sz w:val="20"/>
                <w:szCs w:val="20"/>
                <w:lang w:val="id-ID"/>
              </w:rPr>
              <w:t xml:space="preserve"> </w:t>
            </w:r>
            <w:r w:rsidRPr="00BC61ED">
              <w:rPr>
                <w:sz w:val="20"/>
                <w:szCs w:val="20"/>
              </w:rPr>
              <w:t>մշտական</w:t>
            </w:r>
            <w:r w:rsidRPr="00BC61ED">
              <w:rPr>
                <w:sz w:val="20"/>
                <w:szCs w:val="20"/>
                <w:lang w:val="id-ID"/>
              </w:rPr>
              <w:t xml:space="preserve"> </w:t>
            </w:r>
            <w:r w:rsidRPr="00BC61ED">
              <w:rPr>
                <w:sz w:val="20"/>
                <w:szCs w:val="20"/>
              </w:rPr>
              <w:t>գործող</w:t>
            </w:r>
            <w:r w:rsidRPr="00BC61ED">
              <w:rPr>
                <w:sz w:val="20"/>
                <w:szCs w:val="20"/>
                <w:lang w:val="id-ID"/>
              </w:rPr>
              <w:t xml:space="preserve"> </w:t>
            </w:r>
            <w:r w:rsidRPr="00BC61ED">
              <w:rPr>
                <w:sz w:val="20"/>
                <w:szCs w:val="20"/>
              </w:rPr>
              <w:t>կայանների</w:t>
            </w:r>
            <w:r w:rsidRPr="00BC61ED">
              <w:rPr>
                <w:sz w:val="20"/>
                <w:szCs w:val="20"/>
                <w:lang w:val="id-ID"/>
              </w:rPr>
              <w:t xml:space="preserve"> </w:t>
            </w:r>
            <w:r w:rsidRPr="00BC61ED">
              <w:rPr>
                <w:sz w:val="20"/>
                <w:szCs w:val="20"/>
              </w:rPr>
              <w:t>ներդրմամբ</w:t>
            </w:r>
            <w:r w:rsidRPr="00BC61ED">
              <w:rPr>
                <w:sz w:val="20"/>
                <w:szCs w:val="20"/>
                <w:lang w:val="id-ID"/>
              </w:rPr>
              <w:t xml:space="preserve"> </w:t>
            </w:r>
            <w:r w:rsidRPr="00BC61ED">
              <w:rPr>
                <w:sz w:val="20"/>
                <w:szCs w:val="20"/>
              </w:rPr>
              <w:t>կհասցվեն</w:t>
            </w:r>
            <w:r w:rsidRPr="00BC61ED">
              <w:rPr>
                <w:sz w:val="20"/>
                <w:szCs w:val="20"/>
                <w:lang w:val="id-ID"/>
              </w:rPr>
              <w:t xml:space="preserve"> 14-</w:t>
            </w:r>
            <w:r w:rsidRPr="00BC61ED">
              <w:rPr>
                <w:sz w:val="20"/>
                <w:szCs w:val="20"/>
              </w:rPr>
              <w:t>ի</w:t>
            </w:r>
            <w:r w:rsidRPr="00BC61ED">
              <w:rPr>
                <w:sz w:val="20"/>
                <w:szCs w:val="20"/>
                <w:lang w:val="id-ID"/>
              </w:rPr>
              <w:t>:</w:t>
            </w:r>
          </w:p>
          <w:p w:rsidR="0068680D" w:rsidRPr="00BC61ED" w:rsidRDefault="0068680D" w:rsidP="00F47DC4">
            <w:pPr>
              <w:keepNext/>
              <w:spacing w:line="276" w:lineRule="auto"/>
              <w:jc w:val="both"/>
              <w:outlineLvl w:val="4"/>
              <w:rPr>
                <w:b/>
                <w:sz w:val="20"/>
                <w:szCs w:val="20"/>
                <w:lang w:val="pt-BR"/>
              </w:rPr>
            </w:pPr>
            <w:r w:rsidRPr="00BC61ED">
              <w:rPr>
                <w:b/>
                <w:sz w:val="20"/>
                <w:szCs w:val="20"/>
                <w:lang w:val="pt-BR"/>
              </w:rPr>
              <w:t xml:space="preserve">   </w:t>
            </w:r>
            <w:r w:rsidRPr="00BC61ED">
              <w:rPr>
                <w:b/>
                <w:sz w:val="20"/>
                <w:szCs w:val="20"/>
              </w:rPr>
              <w:t>Կիրականացվեն</w:t>
            </w:r>
            <w:r w:rsidRPr="00BC61ED">
              <w:rPr>
                <w:b/>
                <w:sz w:val="20"/>
                <w:szCs w:val="20"/>
                <w:lang w:val="pt-BR"/>
              </w:rPr>
              <w:t xml:space="preserve"> </w:t>
            </w:r>
            <w:r w:rsidRPr="00BC61ED">
              <w:rPr>
                <w:b/>
                <w:sz w:val="20"/>
                <w:szCs w:val="20"/>
              </w:rPr>
              <w:t>հետևյալ</w:t>
            </w:r>
            <w:r w:rsidRPr="00BC61ED">
              <w:rPr>
                <w:b/>
                <w:sz w:val="20"/>
                <w:szCs w:val="20"/>
                <w:lang w:val="pt-BR"/>
              </w:rPr>
              <w:t xml:space="preserve"> </w:t>
            </w:r>
            <w:r w:rsidRPr="00BC61ED">
              <w:rPr>
                <w:b/>
                <w:sz w:val="20"/>
                <w:szCs w:val="20"/>
              </w:rPr>
              <w:t>միջոցառումները՝</w:t>
            </w:r>
          </w:p>
          <w:p w:rsidR="0068680D" w:rsidRPr="00BC61ED" w:rsidRDefault="0068680D" w:rsidP="00F47DC4">
            <w:pPr>
              <w:keepNext/>
              <w:spacing w:line="276" w:lineRule="auto"/>
              <w:jc w:val="both"/>
              <w:outlineLvl w:val="4"/>
              <w:rPr>
                <w:rFonts w:cs="Sylfaen"/>
                <w:sz w:val="20"/>
                <w:szCs w:val="20"/>
                <w:lang w:val="pt-BR"/>
              </w:rPr>
            </w:pPr>
            <w:r w:rsidRPr="00BC61ED">
              <w:rPr>
                <w:rFonts w:cs="Sylfaen"/>
                <w:sz w:val="20"/>
                <w:szCs w:val="20"/>
                <w:lang w:val="pt-BR"/>
              </w:rPr>
              <w:t xml:space="preserve">   1. </w:t>
            </w:r>
            <w:r w:rsidRPr="00BC61ED">
              <w:rPr>
                <w:rFonts w:cs="Sylfaen"/>
                <w:sz w:val="20"/>
                <w:szCs w:val="20"/>
                <w:lang w:val="hy-AM"/>
              </w:rPr>
              <w:t>Ցանցի</w:t>
            </w:r>
            <w:r w:rsidRPr="00BC61ED">
              <w:rPr>
                <w:sz w:val="20"/>
                <w:szCs w:val="20"/>
                <w:lang w:val="hy-AM"/>
              </w:rPr>
              <w:t xml:space="preserve"> </w:t>
            </w:r>
            <w:r w:rsidRPr="00BC61ED">
              <w:rPr>
                <w:rFonts w:cs="Sylfaen"/>
                <w:sz w:val="20"/>
                <w:szCs w:val="20"/>
                <w:lang w:val="hy-AM"/>
              </w:rPr>
              <w:t>խտացում</w:t>
            </w:r>
            <w:r w:rsidRPr="00BC61ED">
              <w:rPr>
                <w:sz w:val="20"/>
                <w:szCs w:val="20"/>
                <w:lang w:val="hy-AM"/>
              </w:rPr>
              <w:t xml:space="preserve"> </w:t>
            </w:r>
            <w:r w:rsidRPr="00BC61ED">
              <w:rPr>
                <w:rFonts w:cs="Sylfaen"/>
                <w:sz w:val="20"/>
                <w:szCs w:val="20"/>
                <w:lang w:val="hy-AM"/>
              </w:rPr>
              <w:t>ևս</w:t>
            </w:r>
            <w:r w:rsidRPr="00BC61ED">
              <w:rPr>
                <w:sz w:val="20"/>
                <w:szCs w:val="20"/>
                <w:lang w:val="hy-AM"/>
              </w:rPr>
              <w:t xml:space="preserve"> 2 </w:t>
            </w:r>
            <w:r w:rsidRPr="00BC61ED">
              <w:rPr>
                <w:rFonts w:cs="Sylfaen"/>
                <w:sz w:val="20"/>
                <w:szCs w:val="20"/>
                <w:lang w:val="hy-AM"/>
              </w:rPr>
              <w:t>կայանով</w:t>
            </w:r>
            <w:r w:rsidRPr="00BC61ED">
              <w:rPr>
                <w:sz w:val="20"/>
                <w:szCs w:val="20"/>
                <w:lang w:val="hy-AM"/>
              </w:rPr>
              <w:t xml:space="preserve">, </w:t>
            </w:r>
            <w:r w:rsidRPr="00BC61ED">
              <w:rPr>
                <w:rFonts w:cs="Sylfaen"/>
                <w:sz w:val="20"/>
                <w:szCs w:val="20"/>
                <w:lang w:val="hy-AM"/>
              </w:rPr>
              <w:t>հավասարակշռում</w:t>
            </w:r>
            <w:r w:rsidRPr="00BC61ED">
              <w:rPr>
                <w:sz w:val="20"/>
                <w:szCs w:val="20"/>
                <w:lang w:val="hy-AM"/>
              </w:rPr>
              <w:t xml:space="preserve">, </w:t>
            </w:r>
            <w:r w:rsidRPr="00BC61ED">
              <w:rPr>
                <w:rFonts w:cs="Sylfaen"/>
                <w:sz w:val="20"/>
                <w:szCs w:val="20"/>
                <w:lang w:val="hy-AM"/>
              </w:rPr>
              <w:t>ծրագրային</w:t>
            </w:r>
            <w:r w:rsidRPr="00BC61ED">
              <w:rPr>
                <w:sz w:val="20"/>
                <w:szCs w:val="20"/>
                <w:lang w:val="hy-AM"/>
              </w:rPr>
              <w:t xml:space="preserve"> </w:t>
            </w:r>
            <w:r w:rsidRPr="00BC61ED">
              <w:rPr>
                <w:rFonts w:cs="Sylfaen"/>
                <w:sz w:val="20"/>
                <w:szCs w:val="20"/>
                <w:lang w:val="hy-AM"/>
              </w:rPr>
              <w:t>ապահովումների</w:t>
            </w:r>
            <w:r w:rsidRPr="00BC61ED">
              <w:rPr>
                <w:sz w:val="20"/>
                <w:szCs w:val="20"/>
                <w:lang w:val="hy-AM"/>
              </w:rPr>
              <w:t xml:space="preserve"> </w:t>
            </w:r>
            <w:r w:rsidRPr="00BC61ED">
              <w:rPr>
                <w:rFonts w:cs="Sylfaen"/>
                <w:sz w:val="20"/>
                <w:szCs w:val="20"/>
                <w:lang w:val="hy-AM"/>
              </w:rPr>
              <w:t>արդիականացում</w:t>
            </w:r>
            <w:r w:rsidRPr="00BC61ED">
              <w:rPr>
                <w:rFonts w:cs="Sylfaen"/>
                <w:sz w:val="20"/>
                <w:szCs w:val="20"/>
                <w:lang w:val="pt-BR"/>
              </w:rPr>
              <w:t>,</w:t>
            </w:r>
          </w:p>
          <w:p w:rsidR="0068680D" w:rsidRPr="00BC61ED" w:rsidRDefault="0068680D" w:rsidP="00F47DC4">
            <w:pPr>
              <w:keepNext/>
              <w:spacing w:line="276" w:lineRule="auto"/>
              <w:jc w:val="both"/>
              <w:outlineLvl w:val="4"/>
              <w:rPr>
                <w:bCs/>
                <w:sz w:val="20"/>
                <w:szCs w:val="20"/>
                <w:lang w:val="pt-BR"/>
              </w:rPr>
            </w:pPr>
            <w:r w:rsidRPr="00BC61ED">
              <w:rPr>
                <w:rFonts w:cs="Sylfaen"/>
                <w:sz w:val="20"/>
                <w:szCs w:val="20"/>
                <w:lang w:val="pt-BR"/>
              </w:rPr>
              <w:t xml:space="preserve">   2. </w:t>
            </w:r>
            <w:r w:rsidRPr="00BC61ED">
              <w:rPr>
                <w:rFonts w:cs="Sylfaen"/>
                <w:bCs/>
                <w:sz w:val="20"/>
                <w:szCs w:val="20"/>
                <w:lang w:val="hy-AM"/>
              </w:rPr>
              <w:t>Հայաստանի</w:t>
            </w:r>
            <w:r w:rsidRPr="00BC61ED">
              <w:rPr>
                <w:rFonts w:cs="Calibri"/>
                <w:bCs/>
                <w:sz w:val="20"/>
                <w:szCs w:val="20"/>
                <w:lang w:val="hy-AM"/>
              </w:rPr>
              <w:t xml:space="preserve"> </w:t>
            </w:r>
            <w:r w:rsidRPr="00BC61ED">
              <w:rPr>
                <w:rFonts w:cs="Sylfaen"/>
                <w:bCs/>
                <w:sz w:val="20"/>
                <w:szCs w:val="20"/>
                <w:lang w:val="hy-AM"/>
              </w:rPr>
              <w:t>Հանրապետության</w:t>
            </w:r>
            <w:r w:rsidRPr="00BC61ED">
              <w:rPr>
                <w:bCs/>
                <w:sz w:val="20"/>
                <w:szCs w:val="20"/>
                <w:lang w:val="hy-AM"/>
              </w:rPr>
              <w:t xml:space="preserve"> </w:t>
            </w:r>
            <w:r w:rsidRPr="00BC61ED">
              <w:rPr>
                <w:rFonts w:cs="Sylfaen"/>
                <w:bCs/>
                <w:sz w:val="20"/>
                <w:szCs w:val="20"/>
                <w:lang w:val="hy-AM"/>
              </w:rPr>
              <w:t>մշտապես</w:t>
            </w:r>
            <w:r w:rsidRPr="00BC61ED">
              <w:rPr>
                <w:bCs/>
                <w:sz w:val="20"/>
                <w:szCs w:val="20"/>
                <w:lang w:val="hy-AM"/>
              </w:rPr>
              <w:t xml:space="preserve"> </w:t>
            </w:r>
            <w:r w:rsidRPr="00BC61ED">
              <w:rPr>
                <w:rFonts w:cs="Sylfaen"/>
                <w:bCs/>
                <w:sz w:val="20"/>
                <w:szCs w:val="20"/>
                <w:lang w:val="hy-AM"/>
              </w:rPr>
              <w:t>գործող</w:t>
            </w:r>
            <w:r w:rsidRPr="00BC61ED">
              <w:rPr>
                <w:bCs/>
                <w:sz w:val="20"/>
                <w:szCs w:val="20"/>
                <w:lang w:val="hy-AM"/>
              </w:rPr>
              <w:t xml:space="preserve"> GNSS </w:t>
            </w:r>
            <w:r w:rsidRPr="00BC61ED">
              <w:rPr>
                <w:rFonts w:cs="Sylfaen"/>
                <w:bCs/>
                <w:sz w:val="20"/>
                <w:szCs w:val="20"/>
                <w:lang w:val="hy-AM"/>
              </w:rPr>
              <w:t>ռեֆերենց</w:t>
            </w:r>
            <w:r w:rsidRPr="00BC61ED">
              <w:rPr>
                <w:bCs/>
                <w:sz w:val="20"/>
                <w:szCs w:val="20"/>
                <w:lang w:val="hy-AM"/>
              </w:rPr>
              <w:t xml:space="preserve"> </w:t>
            </w:r>
            <w:r w:rsidRPr="00BC61ED">
              <w:rPr>
                <w:rFonts w:cs="Sylfaen"/>
                <w:bCs/>
                <w:sz w:val="20"/>
                <w:szCs w:val="20"/>
                <w:lang w:val="hy-AM"/>
              </w:rPr>
              <w:t>կայանների</w:t>
            </w:r>
            <w:r w:rsidRPr="00BC61ED">
              <w:rPr>
                <w:bCs/>
                <w:sz w:val="20"/>
                <w:szCs w:val="20"/>
                <w:lang w:val="hy-AM"/>
              </w:rPr>
              <w:t xml:space="preserve"> </w:t>
            </w:r>
            <w:r w:rsidRPr="00BC61ED">
              <w:rPr>
                <w:rFonts w:cs="Sylfaen"/>
                <w:bCs/>
                <w:sz w:val="20"/>
                <w:szCs w:val="20"/>
                <w:lang w:val="hy-AM"/>
              </w:rPr>
              <w:t>ցանցի</w:t>
            </w:r>
            <w:r w:rsidRPr="00BC61ED">
              <w:rPr>
                <w:bCs/>
                <w:sz w:val="20"/>
                <w:szCs w:val="20"/>
                <w:lang w:val="hy-AM"/>
              </w:rPr>
              <w:t xml:space="preserve"> ընդհանուր դիտարկում և վերահավասարակշռում</w:t>
            </w:r>
            <w:r w:rsidRPr="00BC61ED">
              <w:rPr>
                <w:bCs/>
                <w:sz w:val="20"/>
                <w:szCs w:val="20"/>
                <w:lang w:val="pt-BR"/>
              </w:rPr>
              <w:t>,</w:t>
            </w:r>
          </w:p>
          <w:p w:rsidR="0068680D" w:rsidRPr="00BC61ED" w:rsidRDefault="0068680D" w:rsidP="00F47DC4">
            <w:pPr>
              <w:spacing w:line="276" w:lineRule="auto"/>
              <w:jc w:val="both"/>
              <w:rPr>
                <w:sz w:val="20"/>
                <w:szCs w:val="20"/>
                <w:lang w:val="pt-BR"/>
              </w:rPr>
            </w:pPr>
            <w:r w:rsidRPr="00BC61ED">
              <w:rPr>
                <w:rFonts w:cs="Sylfaen"/>
                <w:sz w:val="20"/>
                <w:szCs w:val="20"/>
                <w:lang w:val="pt-BR"/>
              </w:rPr>
              <w:t xml:space="preserve">   3</w:t>
            </w:r>
            <w:r w:rsidRPr="00BC61ED">
              <w:rPr>
                <w:rFonts w:cs="Sylfaen"/>
                <w:bCs/>
                <w:sz w:val="20"/>
                <w:szCs w:val="20"/>
                <w:lang w:val="hy-AM"/>
              </w:rPr>
              <w:t>. Հայաստանի</w:t>
            </w:r>
            <w:r w:rsidRPr="00BC61ED">
              <w:rPr>
                <w:rFonts w:cs="Calibri"/>
                <w:bCs/>
                <w:sz w:val="20"/>
                <w:szCs w:val="20"/>
                <w:lang w:val="hy-AM"/>
              </w:rPr>
              <w:t xml:space="preserve"> </w:t>
            </w:r>
            <w:r w:rsidRPr="00BC61ED">
              <w:rPr>
                <w:rFonts w:cs="Sylfaen"/>
                <w:bCs/>
                <w:sz w:val="20"/>
                <w:szCs w:val="20"/>
                <w:lang w:val="hy-AM"/>
              </w:rPr>
              <w:t>Հանրապետության</w:t>
            </w:r>
            <w:r w:rsidRPr="00BC61ED">
              <w:rPr>
                <w:bCs/>
                <w:sz w:val="20"/>
                <w:szCs w:val="20"/>
                <w:lang w:val="hy-AM"/>
              </w:rPr>
              <w:t xml:space="preserve"> հյուսիսարևելյան և հարավարևելյան անտառապատ տարածքներում GNSS</w:t>
            </w:r>
            <w:r w:rsidRPr="00BC61ED">
              <w:rPr>
                <w:bCs/>
                <w:sz w:val="20"/>
                <w:szCs w:val="20"/>
                <w:lang w:val="pt-BR"/>
              </w:rPr>
              <w:t xml:space="preserve">   </w:t>
            </w:r>
            <w:r w:rsidRPr="00BC61ED">
              <w:rPr>
                <w:bCs/>
                <w:sz w:val="20"/>
                <w:szCs w:val="20"/>
                <w:lang w:val="hy-AM"/>
              </w:rPr>
              <w:t xml:space="preserve"> 2-րդ դասի </w:t>
            </w:r>
            <w:r w:rsidRPr="00BC61ED">
              <w:rPr>
                <w:sz w:val="20"/>
                <w:szCs w:val="20"/>
                <w:lang w:val="hy-AM"/>
              </w:rPr>
              <w:t>20 նոր հիմնակետերի տեղադիրքերի որոշում, տեղադրում</w:t>
            </w:r>
            <w:r w:rsidRPr="00BC61ED">
              <w:rPr>
                <w:rFonts w:cs="Sylfaen"/>
                <w:sz w:val="20"/>
                <w:szCs w:val="20"/>
                <w:lang w:val="hy-AM"/>
              </w:rPr>
              <w:t xml:space="preserve"> </w:t>
            </w:r>
            <w:r w:rsidRPr="00BC61ED">
              <w:rPr>
                <w:sz w:val="20"/>
                <w:szCs w:val="20"/>
                <w:lang w:val="hy-AM"/>
              </w:rPr>
              <w:t>և</w:t>
            </w:r>
            <w:r w:rsidRPr="00BC61ED">
              <w:rPr>
                <w:sz w:val="20"/>
                <w:szCs w:val="20"/>
                <w:lang w:val="pt-BR"/>
              </w:rPr>
              <w:t xml:space="preserve"> </w:t>
            </w:r>
            <w:r w:rsidRPr="00BC61ED">
              <w:rPr>
                <w:sz w:val="20"/>
                <w:szCs w:val="20"/>
                <w:lang w:val="hy-AM"/>
              </w:rPr>
              <w:t>հավասարակշռում</w:t>
            </w:r>
            <w:r w:rsidRPr="00BC61ED">
              <w:rPr>
                <w:sz w:val="20"/>
                <w:szCs w:val="20"/>
                <w:lang w:val="pt-BR"/>
              </w:rPr>
              <w:t>:</w:t>
            </w:r>
          </w:p>
          <w:p w:rsidR="0068680D" w:rsidRPr="00BC61ED" w:rsidRDefault="0068680D" w:rsidP="00F47DC4">
            <w:pPr>
              <w:spacing w:line="276" w:lineRule="auto"/>
              <w:jc w:val="both"/>
              <w:rPr>
                <w:b/>
                <w:sz w:val="20"/>
                <w:szCs w:val="20"/>
                <w:lang w:val="hy-AM"/>
              </w:rPr>
            </w:pPr>
            <w:r w:rsidRPr="00BC61ED">
              <w:rPr>
                <w:b/>
                <w:sz w:val="20"/>
                <w:szCs w:val="20"/>
                <w:lang w:val="pt-BR"/>
              </w:rPr>
              <w:t xml:space="preserve">   </w:t>
            </w:r>
            <w:r w:rsidRPr="00BC61ED">
              <w:rPr>
                <w:b/>
                <w:sz w:val="20"/>
                <w:szCs w:val="20"/>
                <w:lang w:val="hy-AM"/>
              </w:rPr>
              <w:t>2. Միջոցառման իրականացումից ակնկալվող արդյունքը</w:t>
            </w:r>
          </w:p>
          <w:p w:rsidR="0068680D" w:rsidRPr="00BC61ED" w:rsidRDefault="0068680D" w:rsidP="00F47DC4">
            <w:pPr>
              <w:keepNext/>
              <w:spacing w:line="276" w:lineRule="auto"/>
              <w:jc w:val="both"/>
              <w:outlineLvl w:val="4"/>
              <w:rPr>
                <w:rFonts w:cs="Times Armenian"/>
                <w:bCs/>
                <w:sz w:val="20"/>
                <w:szCs w:val="20"/>
                <w:lang w:val="hy-AM"/>
              </w:rPr>
            </w:pPr>
            <w:r w:rsidRPr="00BC61ED">
              <w:rPr>
                <w:rFonts w:cs="Sylfaen"/>
                <w:bCs/>
                <w:sz w:val="20"/>
                <w:szCs w:val="20"/>
                <w:lang w:val="pt-BR"/>
              </w:rPr>
              <w:t xml:space="preserve">   </w:t>
            </w:r>
            <w:r w:rsidRPr="00BC61ED">
              <w:rPr>
                <w:rFonts w:cs="Sylfaen"/>
                <w:bCs/>
                <w:sz w:val="20"/>
                <w:szCs w:val="20"/>
                <w:lang w:val="hy-AM"/>
              </w:rPr>
              <w:t>Ծրագրի իրականացումից հետո ակնկալվում է ունենալ.</w:t>
            </w:r>
          </w:p>
          <w:p w:rsidR="0068680D" w:rsidRPr="00BC61ED" w:rsidRDefault="0068680D" w:rsidP="00F47DC4">
            <w:pPr>
              <w:keepNext/>
              <w:spacing w:line="276" w:lineRule="auto"/>
              <w:jc w:val="both"/>
              <w:outlineLvl w:val="4"/>
              <w:rPr>
                <w:rFonts w:cs="Times Armenian"/>
                <w:bCs/>
                <w:sz w:val="20"/>
                <w:szCs w:val="20"/>
                <w:lang w:val="hy-AM"/>
              </w:rPr>
            </w:pPr>
            <w:r w:rsidRPr="00BC61ED">
              <w:rPr>
                <w:sz w:val="20"/>
                <w:szCs w:val="20"/>
                <w:lang w:val="hy-AM"/>
              </w:rPr>
              <w:t>1) մշտական գործող երկու ռեֆերենց կայաններ նախատեսված տարածաշրջաններում,</w:t>
            </w:r>
          </w:p>
          <w:p w:rsidR="0068680D" w:rsidRPr="00BC61ED" w:rsidRDefault="0068680D" w:rsidP="00F47DC4">
            <w:pPr>
              <w:keepNext/>
              <w:spacing w:line="276" w:lineRule="auto"/>
              <w:jc w:val="both"/>
              <w:outlineLvl w:val="4"/>
              <w:rPr>
                <w:rFonts w:cs="Times Armenian"/>
                <w:bCs/>
                <w:sz w:val="20"/>
                <w:szCs w:val="20"/>
                <w:lang w:val="hy-AM"/>
              </w:rPr>
            </w:pPr>
            <w:r w:rsidRPr="00BC61ED">
              <w:rPr>
                <w:sz w:val="20"/>
                <w:szCs w:val="20"/>
                <w:lang w:val="hy-AM"/>
              </w:rPr>
              <w:t>2) ռեֆերենց երկու կայանների տեղադիրքերի հավասարակշռված կոորդինատներ,</w:t>
            </w:r>
          </w:p>
          <w:p w:rsidR="0068680D" w:rsidRPr="00BC61ED" w:rsidRDefault="0068680D" w:rsidP="00F47DC4">
            <w:pPr>
              <w:keepNext/>
              <w:spacing w:line="276" w:lineRule="auto"/>
              <w:jc w:val="both"/>
              <w:outlineLvl w:val="4"/>
              <w:rPr>
                <w:rFonts w:cs="Times Armenian"/>
                <w:bCs/>
                <w:sz w:val="20"/>
                <w:szCs w:val="20"/>
                <w:lang w:val="hy-AM"/>
              </w:rPr>
            </w:pPr>
            <w:r w:rsidRPr="00BC61ED">
              <w:rPr>
                <w:sz w:val="20"/>
                <w:szCs w:val="20"/>
                <w:lang w:val="hy-AM"/>
              </w:rPr>
              <w:t xml:space="preserve">3) ՀՀ տարածքում մշտական գործող 14 ռեֆերենց կայանների </w:t>
            </w:r>
            <w:r w:rsidRPr="00BC61ED">
              <w:rPr>
                <w:rFonts w:cs="Sylfaen"/>
                <w:bCs/>
                <w:sz w:val="20"/>
                <w:szCs w:val="20"/>
                <w:lang w:val="hy-AM"/>
              </w:rPr>
              <w:t xml:space="preserve">Միջազգային </w:t>
            </w:r>
            <w:r w:rsidRPr="00BC61ED">
              <w:rPr>
                <w:rFonts w:cs="Times Armenian"/>
                <w:bCs/>
                <w:sz w:val="20"/>
                <w:szCs w:val="20"/>
                <w:lang w:val="hy-AM"/>
              </w:rPr>
              <w:t>արբանյակային նավիգացիոն համակարգին կապակցված ցանց:</w:t>
            </w:r>
          </w:p>
        </w:tc>
      </w:tr>
      <w:tr w:rsidR="0068680D" w:rsidRPr="00DE2EFA"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14.</w:t>
            </w:r>
          </w:p>
        </w:tc>
        <w:tc>
          <w:tcPr>
            <w:tcW w:w="10915" w:type="dxa"/>
          </w:tcPr>
          <w:p w:rsidR="0068680D" w:rsidRPr="00BC61ED" w:rsidRDefault="0068680D" w:rsidP="00F47DC4">
            <w:pPr>
              <w:spacing w:line="276" w:lineRule="auto"/>
              <w:jc w:val="center"/>
              <w:rPr>
                <w:rFonts w:eastAsia="Calibri"/>
                <w:b/>
                <w:sz w:val="20"/>
                <w:szCs w:val="20"/>
                <w:lang w:val="af-ZA"/>
              </w:rPr>
            </w:pPr>
            <w:r w:rsidRPr="00BC61ED">
              <w:rPr>
                <w:b/>
                <w:sz w:val="20"/>
                <w:szCs w:val="20"/>
                <w:lang w:val="af-ZA"/>
              </w:rPr>
              <w:t></w:t>
            </w:r>
            <w:r w:rsidRPr="00BC61ED">
              <w:rPr>
                <w:rFonts w:cs="Sylfaen"/>
                <w:b/>
                <w:sz w:val="20"/>
                <w:szCs w:val="20"/>
                <w:lang w:val="hy-AM"/>
              </w:rPr>
              <w:t>Աշխարհագրական</w:t>
            </w:r>
            <w:r w:rsidRPr="00BC61ED">
              <w:rPr>
                <w:rFonts w:cs="Sylfaen"/>
                <w:b/>
                <w:sz w:val="20"/>
                <w:szCs w:val="20"/>
                <w:lang w:val="af-ZA"/>
              </w:rPr>
              <w:t xml:space="preserve"> </w:t>
            </w:r>
            <w:r w:rsidRPr="00BC61ED">
              <w:rPr>
                <w:rFonts w:cs="Sylfaen"/>
                <w:b/>
                <w:sz w:val="20"/>
                <w:szCs w:val="20"/>
                <w:lang w:val="hy-AM"/>
              </w:rPr>
              <w:t>անվանումների</w:t>
            </w:r>
            <w:r w:rsidRPr="00BC61ED">
              <w:rPr>
                <w:rFonts w:cs="Sylfaen"/>
                <w:b/>
                <w:sz w:val="20"/>
                <w:szCs w:val="20"/>
                <w:lang w:val="af-ZA"/>
              </w:rPr>
              <w:t xml:space="preserve"> </w:t>
            </w:r>
            <w:r w:rsidRPr="00BC61ED">
              <w:rPr>
                <w:rFonts w:cs="Sylfaen"/>
                <w:b/>
                <w:sz w:val="20"/>
                <w:szCs w:val="20"/>
                <w:lang w:val="hy-AM"/>
              </w:rPr>
              <w:t>առցանց</w:t>
            </w:r>
            <w:r w:rsidRPr="00BC61ED">
              <w:rPr>
                <w:rFonts w:cs="Sylfaen"/>
                <w:b/>
                <w:sz w:val="20"/>
                <w:szCs w:val="20"/>
                <w:lang w:val="af-ZA"/>
              </w:rPr>
              <w:t xml:space="preserve"> </w:t>
            </w:r>
            <w:r w:rsidRPr="00BC61ED">
              <w:rPr>
                <w:rFonts w:cs="Sylfaen"/>
                <w:b/>
                <w:sz w:val="20"/>
                <w:szCs w:val="20"/>
                <w:lang w:val="hy-AM"/>
              </w:rPr>
              <w:t>քարտադարանի</w:t>
            </w:r>
            <w:r w:rsidRPr="00BC61ED">
              <w:rPr>
                <w:rFonts w:cs="Sylfaen"/>
                <w:b/>
                <w:sz w:val="20"/>
                <w:szCs w:val="20"/>
                <w:lang w:val="af-ZA"/>
              </w:rPr>
              <w:t xml:space="preserve"> </w:t>
            </w:r>
            <w:r w:rsidRPr="00BC61ED">
              <w:rPr>
                <w:rFonts w:cs="Sylfaen"/>
                <w:b/>
                <w:sz w:val="20"/>
                <w:szCs w:val="20"/>
                <w:lang w:val="hy-AM"/>
              </w:rPr>
              <w:t>ստեղծում</w:t>
            </w:r>
            <w:r w:rsidRPr="00BC61ED">
              <w:rPr>
                <w:rFonts w:cs="Sylfaen"/>
                <w:b/>
                <w:sz w:val="20"/>
                <w:szCs w:val="20"/>
                <w:lang w:val="af-ZA"/>
              </w:rPr>
              <w:t xml:space="preserve"> </w:t>
            </w:r>
            <w:r w:rsidRPr="00BC61ED">
              <w:rPr>
                <w:rFonts w:cs="Sylfaen"/>
                <w:b/>
                <w:sz w:val="20"/>
                <w:szCs w:val="20"/>
                <w:lang w:val="hy-AM"/>
              </w:rPr>
              <w:t>և</w:t>
            </w:r>
            <w:r w:rsidRPr="00BC61ED">
              <w:rPr>
                <w:rFonts w:cs="Sylfaen"/>
                <w:b/>
                <w:sz w:val="20"/>
                <w:szCs w:val="20"/>
                <w:lang w:val="af-ZA"/>
              </w:rPr>
              <w:t xml:space="preserve"> </w:t>
            </w:r>
            <w:r w:rsidRPr="00BC61ED">
              <w:rPr>
                <w:rFonts w:cs="Sylfaen"/>
                <w:b/>
                <w:sz w:val="20"/>
                <w:szCs w:val="20"/>
                <w:lang w:val="hy-AM"/>
              </w:rPr>
              <w:t>վարում</w:t>
            </w:r>
            <w:r w:rsidRPr="00BC61ED">
              <w:rPr>
                <w:b/>
                <w:sz w:val="20"/>
                <w:szCs w:val="20"/>
                <w:lang w:val="af-ZA"/>
              </w:rPr>
              <w:t></w:t>
            </w:r>
            <w:r w:rsidRPr="00BC61ED">
              <w:rPr>
                <w:b/>
                <w:sz w:val="20"/>
                <w:szCs w:val="20"/>
                <w:lang w:val="hy-AM"/>
              </w:rPr>
              <w:t xml:space="preserve">  </w:t>
            </w:r>
            <w:r w:rsidRPr="00BC61ED">
              <w:rPr>
                <w:b/>
                <w:sz w:val="20"/>
                <w:szCs w:val="20"/>
                <w:lang w:val="af-ZA"/>
              </w:rPr>
              <w:t xml:space="preserve">  </w:t>
            </w:r>
          </w:p>
          <w:p w:rsidR="0068680D" w:rsidRPr="00BC61ED" w:rsidRDefault="0068680D" w:rsidP="00F47DC4">
            <w:pPr>
              <w:spacing w:line="276" w:lineRule="auto"/>
              <w:contextualSpacing/>
              <w:rPr>
                <w:b/>
                <w:sz w:val="20"/>
                <w:szCs w:val="20"/>
                <w:lang w:val="af-ZA"/>
              </w:rPr>
            </w:pPr>
          </w:p>
          <w:p w:rsidR="0068680D" w:rsidRPr="00BC61ED" w:rsidRDefault="0068680D" w:rsidP="00F47DC4">
            <w:pPr>
              <w:spacing w:line="276" w:lineRule="auto"/>
              <w:contextualSpacing/>
              <w:rPr>
                <w:b/>
                <w:sz w:val="20"/>
                <w:szCs w:val="20"/>
                <w:lang w:val="af-ZA"/>
              </w:rPr>
            </w:pPr>
            <w:r w:rsidRPr="00BC61ED">
              <w:rPr>
                <w:b/>
                <w:sz w:val="20"/>
                <w:szCs w:val="20"/>
                <w:lang w:val="af-ZA"/>
              </w:rPr>
              <w:t xml:space="preserve">   1. </w:t>
            </w:r>
            <w:r w:rsidRPr="00BC61ED">
              <w:rPr>
                <w:b/>
                <w:sz w:val="20"/>
                <w:szCs w:val="20"/>
              </w:rPr>
              <w:t>Միջոցառման</w:t>
            </w:r>
            <w:r w:rsidRPr="00BC61ED">
              <w:rPr>
                <w:b/>
                <w:sz w:val="20"/>
                <w:szCs w:val="20"/>
                <w:lang w:val="af-ZA"/>
              </w:rPr>
              <w:t xml:space="preserve"> </w:t>
            </w:r>
            <w:r w:rsidRPr="00BC61ED">
              <w:rPr>
                <w:b/>
                <w:sz w:val="20"/>
                <w:szCs w:val="20"/>
              </w:rPr>
              <w:t>իրականացման</w:t>
            </w:r>
            <w:r w:rsidRPr="00BC61ED">
              <w:rPr>
                <w:b/>
                <w:sz w:val="20"/>
                <w:szCs w:val="20"/>
                <w:lang w:val="af-ZA"/>
              </w:rPr>
              <w:t xml:space="preserve"> </w:t>
            </w:r>
            <w:r w:rsidRPr="00BC61ED">
              <w:rPr>
                <w:b/>
                <w:sz w:val="20"/>
                <w:szCs w:val="20"/>
              </w:rPr>
              <w:t>անհրաժեշտությունը</w:t>
            </w:r>
            <w:r w:rsidRPr="00BC61ED">
              <w:rPr>
                <w:b/>
                <w:sz w:val="20"/>
                <w:szCs w:val="20"/>
                <w:lang w:val="af-ZA"/>
              </w:rPr>
              <w:t xml:space="preserve"> </w:t>
            </w:r>
            <w:r w:rsidRPr="00BC61ED">
              <w:rPr>
                <w:b/>
                <w:sz w:val="20"/>
                <w:szCs w:val="20"/>
              </w:rPr>
              <w:t>և</w:t>
            </w:r>
            <w:r w:rsidRPr="00BC61ED">
              <w:rPr>
                <w:b/>
                <w:sz w:val="20"/>
                <w:szCs w:val="20"/>
                <w:lang w:val="af-ZA"/>
              </w:rPr>
              <w:t xml:space="preserve"> </w:t>
            </w:r>
            <w:r w:rsidRPr="00BC61ED">
              <w:rPr>
                <w:b/>
                <w:sz w:val="20"/>
                <w:szCs w:val="20"/>
              </w:rPr>
              <w:t>նպատակը</w:t>
            </w:r>
          </w:p>
          <w:p w:rsidR="0068680D" w:rsidRPr="00BC61ED" w:rsidRDefault="0068680D" w:rsidP="00F47DC4">
            <w:pPr>
              <w:pStyle w:val="BlockText"/>
              <w:spacing w:line="276" w:lineRule="auto"/>
              <w:ind w:left="0" w:right="0" w:firstLine="0"/>
              <w:rPr>
                <w:rFonts w:ascii="GHEA Grapalat" w:hAnsi="GHEA Grapalat" w:cs="Arial Armenian"/>
                <w:sz w:val="20"/>
                <w:szCs w:val="20"/>
                <w:lang w:val="af-ZA"/>
              </w:rPr>
            </w:pPr>
            <w:r w:rsidRPr="00BC61ED">
              <w:rPr>
                <w:rFonts w:ascii="GHEA Grapalat" w:hAnsi="GHEA Grapalat" w:cs="Sylfaen"/>
                <w:bCs/>
                <w:sz w:val="20"/>
                <w:szCs w:val="20"/>
                <w:lang w:val="af-ZA"/>
              </w:rPr>
              <w:t>Հայաստանի</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Հանրապետության</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աշխարհագրական</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անվանումների</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պետական</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քարտադարանի</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վարման</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և</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թարմացման</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աշխատանքները</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կրում</w:t>
            </w:r>
            <w:r w:rsidRPr="00BC61ED">
              <w:rPr>
                <w:rFonts w:ascii="GHEA Grapalat" w:hAnsi="GHEA Grapalat" w:cs="Arial Armenian"/>
                <w:bCs/>
                <w:sz w:val="20"/>
                <w:szCs w:val="20"/>
                <w:lang w:val="af-ZA"/>
              </w:rPr>
              <w:t xml:space="preserve"> են </w:t>
            </w:r>
            <w:r w:rsidRPr="00BC61ED">
              <w:rPr>
                <w:rFonts w:ascii="GHEA Grapalat" w:hAnsi="GHEA Grapalat" w:cs="Sylfaen"/>
                <w:bCs/>
                <w:sz w:val="20"/>
                <w:szCs w:val="20"/>
                <w:lang w:val="af-ZA"/>
              </w:rPr>
              <w:t>շարունակական</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բնույթ</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և</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բխում</w:t>
            </w:r>
            <w:r w:rsidRPr="00BC61ED">
              <w:rPr>
                <w:rFonts w:ascii="GHEA Grapalat" w:hAnsi="GHEA Grapalat" w:cs="Arial Armenian"/>
                <w:bCs/>
                <w:sz w:val="20"/>
                <w:szCs w:val="20"/>
                <w:lang w:val="af-ZA"/>
              </w:rPr>
              <w:t xml:space="preserve"> են «</w:t>
            </w:r>
            <w:r w:rsidRPr="00BC61ED">
              <w:rPr>
                <w:rFonts w:ascii="GHEA Grapalat" w:hAnsi="GHEA Grapalat" w:cs="Sylfaen"/>
                <w:bCs/>
                <w:sz w:val="20"/>
                <w:szCs w:val="20"/>
                <w:lang w:val="af-ZA"/>
              </w:rPr>
              <w:t>Աշխարհագրական</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անվանումների</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մասին»</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ՀՀ</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օրենքի</w:t>
            </w:r>
            <w:r w:rsidRPr="00BC61ED">
              <w:rPr>
                <w:rFonts w:ascii="GHEA Grapalat" w:hAnsi="GHEA Grapalat" w:cs="Arial Armenian"/>
                <w:bCs/>
                <w:sz w:val="20"/>
                <w:szCs w:val="20"/>
                <w:lang w:val="af-ZA"/>
              </w:rPr>
              <w:t xml:space="preserve"> 11-</w:t>
            </w:r>
            <w:r w:rsidRPr="00BC61ED">
              <w:rPr>
                <w:rFonts w:ascii="GHEA Grapalat" w:hAnsi="GHEA Grapalat" w:cs="Sylfaen"/>
                <w:bCs/>
                <w:sz w:val="20"/>
                <w:szCs w:val="20"/>
                <w:lang w:val="af-ZA"/>
              </w:rPr>
              <w:t>րդ</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հոդվածի</w:t>
            </w:r>
            <w:r w:rsidRPr="00BC61ED">
              <w:rPr>
                <w:rFonts w:ascii="GHEA Grapalat" w:hAnsi="GHEA Grapalat" w:cs="Arial Armenian"/>
                <w:bCs/>
                <w:sz w:val="20"/>
                <w:szCs w:val="20"/>
                <w:lang w:val="af-ZA"/>
              </w:rPr>
              <w:t xml:space="preserve"> </w:t>
            </w:r>
            <w:r w:rsidRPr="00BC61ED">
              <w:rPr>
                <w:rFonts w:ascii="GHEA Grapalat" w:hAnsi="GHEA Grapalat" w:cs="Sylfaen"/>
                <w:bCs/>
                <w:sz w:val="20"/>
                <w:szCs w:val="20"/>
                <w:lang w:val="af-ZA"/>
              </w:rPr>
              <w:t>պահանջներից</w:t>
            </w:r>
            <w:r w:rsidRPr="00BC61ED">
              <w:rPr>
                <w:rFonts w:ascii="GHEA Grapalat" w:hAnsi="GHEA Grapalat" w:cs="Arial Armenian"/>
                <w:bCs/>
                <w:sz w:val="20"/>
                <w:szCs w:val="20"/>
                <w:lang w:val="af-ZA"/>
              </w:rPr>
              <w:t xml:space="preserve">: </w:t>
            </w:r>
            <w:r w:rsidRPr="00BC61ED">
              <w:rPr>
                <w:rFonts w:ascii="GHEA Grapalat" w:hAnsi="GHEA Grapalat" w:cs="Sylfaen"/>
                <w:sz w:val="20"/>
                <w:szCs w:val="20"/>
                <w:lang w:val="hy-AM"/>
              </w:rPr>
              <w:t>Ն</w:t>
            </w:r>
            <w:r w:rsidRPr="00BC61ED">
              <w:rPr>
                <w:rFonts w:ascii="GHEA Grapalat" w:hAnsi="GHEA Grapalat" w:cs="Sylfaen"/>
                <w:sz w:val="20"/>
                <w:szCs w:val="20"/>
                <w:lang w:val="af-ZA"/>
              </w:rPr>
              <w:t>ախապատրաստվող</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և</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հրատարակվող</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տեղեկատուների</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անհրաժեշտությունը</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բխում</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է</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Աշխարհագրական</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անվանումների</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մասին»</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ՀՀ</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օրենքի</w:t>
            </w:r>
            <w:r w:rsidRPr="00BC61ED">
              <w:rPr>
                <w:rFonts w:ascii="GHEA Grapalat" w:hAnsi="GHEA Grapalat" w:cs="Arial Armenian"/>
                <w:sz w:val="20"/>
                <w:szCs w:val="20"/>
                <w:lang w:val="af-ZA"/>
              </w:rPr>
              <w:t xml:space="preserve"> 9-</w:t>
            </w:r>
            <w:r w:rsidRPr="00BC61ED">
              <w:rPr>
                <w:rFonts w:ascii="GHEA Grapalat" w:hAnsi="GHEA Grapalat" w:cs="Sylfaen"/>
                <w:sz w:val="20"/>
                <w:szCs w:val="20"/>
                <w:lang w:val="af-ZA"/>
              </w:rPr>
              <w:t>րդ</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հոդվածի</w:t>
            </w:r>
            <w:r w:rsidRPr="00BC61ED">
              <w:rPr>
                <w:rFonts w:ascii="GHEA Grapalat" w:hAnsi="GHEA Grapalat" w:cs="Arial Armenian"/>
                <w:sz w:val="20"/>
                <w:szCs w:val="20"/>
                <w:lang w:val="af-ZA"/>
              </w:rPr>
              <w:t xml:space="preserve"> 1-</w:t>
            </w:r>
            <w:r w:rsidRPr="00BC61ED">
              <w:rPr>
                <w:rFonts w:ascii="GHEA Grapalat" w:hAnsi="GHEA Grapalat" w:cs="Sylfaen"/>
                <w:sz w:val="20"/>
                <w:szCs w:val="20"/>
                <w:lang w:val="af-ZA"/>
              </w:rPr>
              <w:t>ին</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մասի</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և</w:t>
            </w:r>
            <w:r w:rsidRPr="00BC61ED">
              <w:rPr>
                <w:rFonts w:ascii="GHEA Grapalat" w:hAnsi="GHEA Grapalat" w:cs="Arial Armenian"/>
                <w:sz w:val="20"/>
                <w:szCs w:val="20"/>
                <w:lang w:val="af-ZA"/>
              </w:rPr>
              <w:t xml:space="preserve"> 13-</w:t>
            </w:r>
            <w:r w:rsidRPr="00BC61ED">
              <w:rPr>
                <w:rFonts w:ascii="GHEA Grapalat" w:hAnsi="GHEA Grapalat" w:cs="Sylfaen"/>
                <w:sz w:val="20"/>
                <w:szCs w:val="20"/>
                <w:lang w:val="af-ZA"/>
              </w:rPr>
              <w:t>րդ</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հոդվածի</w:t>
            </w:r>
            <w:r w:rsidRPr="00BC61ED">
              <w:rPr>
                <w:rFonts w:ascii="GHEA Grapalat" w:hAnsi="GHEA Grapalat" w:cs="Arial Armenian"/>
                <w:sz w:val="20"/>
                <w:szCs w:val="20"/>
                <w:lang w:val="af-ZA"/>
              </w:rPr>
              <w:t xml:space="preserve"> 1-</w:t>
            </w:r>
            <w:r w:rsidRPr="00BC61ED">
              <w:rPr>
                <w:rFonts w:ascii="GHEA Grapalat" w:hAnsi="GHEA Grapalat" w:cs="Sylfaen"/>
                <w:sz w:val="20"/>
                <w:szCs w:val="20"/>
                <w:lang w:val="af-ZA"/>
              </w:rPr>
              <w:t>ին</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մասի</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պահանջներից</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և</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կարևոր</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նշանակություն</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ունի</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լրատվական</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գիտական</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կրթական</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քարտեզագրական</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և</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այլ</w:t>
            </w:r>
            <w:r w:rsidRPr="00BC61ED">
              <w:rPr>
                <w:rFonts w:ascii="GHEA Grapalat" w:hAnsi="GHEA Grapalat" w:cs="Arial Armenian"/>
                <w:sz w:val="20"/>
                <w:szCs w:val="20"/>
                <w:lang w:val="af-ZA"/>
              </w:rPr>
              <w:t xml:space="preserve"> </w:t>
            </w:r>
            <w:r w:rsidRPr="00BC61ED">
              <w:rPr>
                <w:rFonts w:ascii="GHEA Grapalat" w:hAnsi="GHEA Grapalat" w:cs="Sylfaen"/>
                <w:sz w:val="20"/>
                <w:szCs w:val="20"/>
                <w:lang w:val="af-ZA"/>
              </w:rPr>
              <w:t>ոլորտներում</w:t>
            </w:r>
            <w:r w:rsidRPr="00BC61ED">
              <w:rPr>
                <w:rFonts w:ascii="GHEA Grapalat" w:hAnsi="GHEA Grapalat" w:cs="Arial Armenian"/>
                <w:sz w:val="20"/>
                <w:szCs w:val="20"/>
                <w:lang w:val="af-ZA"/>
              </w:rPr>
              <w:t xml:space="preserve">: </w:t>
            </w:r>
          </w:p>
          <w:p w:rsidR="0068680D" w:rsidRPr="00BC61ED" w:rsidRDefault="0068680D" w:rsidP="00F47DC4">
            <w:pPr>
              <w:keepNext/>
              <w:spacing w:line="276" w:lineRule="auto"/>
              <w:jc w:val="both"/>
              <w:outlineLvl w:val="4"/>
              <w:rPr>
                <w:rFonts w:cs="Arial Armenian"/>
                <w:sz w:val="20"/>
                <w:szCs w:val="20"/>
                <w:lang w:val="af-ZA"/>
              </w:rPr>
            </w:pPr>
            <w:r w:rsidRPr="00BC61ED">
              <w:rPr>
                <w:rFonts w:cs="Sylfaen"/>
                <w:sz w:val="20"/>
                <w:szCs w:val="20"/>
                <w:lang w:val="af-ZA"/>
              </w:rPr>
              <w:t xml:space="preserve">   Դրանց</w:t>
            </w:r>
            <w:r w:rsidRPr="00BC61ED">
              <w:rPr>
                <w:rFonts w:cs="Arial Armenian"/>
                <w:sz w:val="20"/>
                <w:szCs w:val="20"/>
                <w:lang w:val="af-ZA"/>
              </w:rPr>
              <w:t xml:space="preserve"> </w:t>
            </w:r>
            <w:r w:rsidRPr="00BC61ED">
              <w:rPr>
                <w:rFonts w:cs="Sylfaen"/>
                <w:sz w:val="20"/>
                <w:szCs w:val="20"/>
                <w:lang w:val="af-ZA"/>
              </w:rPr>
              <w:t>անհրաժեշտությունը</w:t>
            </w:r>
            <w:r w:rsidRPr="00BC61ED">
              <w:rPr>
                <w:rFonts w:cs="Arial Armenian"/>
                <w:sz w:val="20"/>
                <w:szCs w:val="20"/>
                <w:lang w:val="af-ZA"/>
              </w:rPr>
              <w:t xml:space="preserve"> </w:t>
            </w:r>
            <w:r w:rsidRPr="00BC61ED">
              <w:rPr>
                <w:rFonts w:cs="Sylfaen"/>
                <w:sz w:val="20"/>
                <w:szCs w:val="20"/>
                <w:lang w:val="af-ZA"/>
              </w:rPr>
              <w:t>պայմանավորված</w:t>
            </w:r>
            <w:r w:rsidRPr="00BC61ED">
              <w:rPr>
                <w:rFonts w:cs="Arial Armenian"/>
                <w:sz w:val="20"/>
                <w:szCs w:val="20"/>
                <w:lang w:val="af-ZA"/>
              </w:rPr>
              <w:t xml:space="preserve"> </w:t>
            </w:r>
            <w:r w:rsidRPr="00BC61ED">
              <w:rPr>
                <w:rFonts w:cs="Sylfaen"/>
                <w:sz w:val="20"/>
                <w:szCs w:val="20"/>
                <w:lang w:val="af-ZA"/>
              </w:rPr>
              <w:t>է</w:t>
            </w:r>
            <w:r w:rsidRPr="00BC61ED">
              <w:rPr>
                <w:rFonts w:cs="Arial Armenian"/>
                <w:sz w:val="20"/>
                <w:szCs w:val="20"/>
                <w:lang w:val="af-ZA"/>
              </w:rPr>
              <w:t xml:space="preserve"> </w:t>
            </w:r>
            <w:r w:rsidRPr="00BC61ED">
              <w:rPr>
                <w:rFonts w:cs="Sylfaen"/>
                <w:sz w:val="20"/>
                <w:szCs w:val="20"/>
                <w:lang w:val="af-ZA"/>
              </w:rPr>
              <w:t>նրանով</w:t>
            </w:r>
            <w:r w:rsidRPr="00BC61ED">
              <w:rPr>
                <w:rFonts w:cs="Arial Armenian"/>
                <w:sz w:val="20"/>
                <w:szCs w:val="20"/>
                <w:lang w:val="af-ZA"/>
              </w:rPr>
              <w:t xml:space="preserve">, </w:t>
            </w:r>
            <w:r w:rsidRPr="00BC61ED">
              <w:rPr>
                <w:rFonts w:cs="Sylfaen"/>
                <w:sz w:val="20"/>
                <w:szCs w:val="20"/>
                <w:lang w:val="af-ZA"/>
              </w:rPr>
              <w:t>որ</w:t>
            </w:r>
            <w:r w:rsidRPr="00BC61ED">
              <w:rPr>
                <w:rFonts w:cs="Arial Armenian"/>
                <w:sz w:val="20"/>
                <w:szCs w:val="20"/>
                <w:lang w:val="af-ZA"/>
              </w:rPr>
              <w:t xml:space="preserve"> </w:t>
            </w:r>
            <w:r w:rsidRPr="00BC61ED">
              <w:rPr>
                <w:rFonts w:cs="Sylfaen"/>
                <w:sz w:val="20"/>
                <w:szCs w:val="20"/>
                <w:lang w:val="af-ZA"/>
              </w:rPr>
              <w:t>վերջին</w:t>
            </w:r>
            <w:r w:rsidRPr="00BC61ED">
              <w:rPr>
                <w:rFonts w:cs="Arial Armenian"/>
                <w:sz w:val="20"/>
                <w:szCs w:val="20"/>
                <w:lang w:val="af-ZA"/>
              </w:rPr>
              <w:t xml:space="preserve"> </w:t>
            </w:r>
            <w:r w:rsidRPr="00BC61ED">
              <w:rPr>
                <w:rFonts w:cs="Sylfaen"/>
                <w:sz w:val="20"/>
                <w:szCs w:val="20"/>
                <w:lang w:val="af-ZA"/>
              </w:rPr>
              <w:t>տարիների</w:t>
            </w:r>
            <w:r w:rsidRPr="00BC61ED">
              <w:rPr>
                <w:rFonts w:cs="Arial Armenian"/>
                <w:sz w:val="20"/>
                <w:szCs w:val="20"/>
                <w:lang w:val="af-ZA"/>
              </w:rPr>
              <w:t xml:space="preserve"> </w:t>
            </w:r>
            <w:r w:rsidRPr="00BC61ED">
              <w:rPr>
                <w:rFonts w:cs="Sylfaen"/>
                <w:sz w:val="20"/>
                <w:szCs w:val="20"/>
                <w:lang w:val="af-ZA"/>
              </w:rPr>
              <w:t>ընթացքում</w:t>
            </w:r>
            <w:r w:rsidRPr="00BC61ED">
              <w:rPr>
                <w:rFonts w:cs="Arial Armenian"/>
                <w:sz w:val="20"/>
                <w:szCs w:val="20"/>
                <w:lang w:val="af-ZA"/>
              </w:rPr>
              <w:t xml:space="preserve"> </w:t>
            </w:r>
            <w:r w:rsidRPr="00BC61ED">
              <w:rPr>
                <w:rFonts w:cs="Sylfaen"/>
                <w:sz w:val="20"/>
                <w:szCs w:val="20"/>
                <w:lang w:val="af-ZA"/>
              </w:rPr>
              <w:t>շատացել</w:t>
            </w:r>
            <w:r w:rsidRPr="00BC61ED">
              <w:rPr>
                <w:rFonts w:cs="Arial Armenian"/>
                <w:sz w:val="20"/>
                <w:szCs w:val="20"/>
                <w:lang w:val="af-ZA"/>
              </w:rPr>
              <w:t xml:space="preserve"> </w:t>
            </w:r>
            <w:r w:rsidRPr="00BC61ED">
              <w:rPr>
                <w:rFonts w:cs="Sylfaen"/>
                <w:sz w:val="20"/>
                <w:szCs w:val="20"/>
                <w:lang w:val="af-ZA"/>
              </w:rPr>
              <w:t>է</w:t>
            </w:r>
            <w:r w:rsidRPr="00BC61ED">
              <w:rPr>
                <w:rFonts w:cs="Arial Armenian"/>
                <w:sz w:val="20"/>
                <w:szCs w:val="20"/>
                <w:lang w:val="af-ZA"/>
              </w:rPr>
              <w:t xml:space="preserve"> </w:t>
            </w:r>
            <w:r w:rsidRPr="00BC61ED">
              <w:rPr>
                <w:rFonts w:cs="Sylfaen"/>
                <w:sz w:val="20"/>
                <w:szCs w:val="20"/>
                <w:lang w:val="af-ZA"/>
              </w:rPr>
              <w:t>հայալեզու</w:t>
            </w:r>
            <w:r w:rsidRPr="00BC61ED">
              <w:rPr>
                <w:rFonts w:cs="Arial Armenian"/>
                <w:sz w:val="20"/>
                <w:szCs w:val="20"/>
                <w:lang w:val="af-ZA"/>
              </w:rPr>
              <w:t xml:space="preserve"> </w:t>
            </w:r>
            <w:r w:rsidRPr="00BC61ED">
              <w:rPr>
                <w:rFonts w:cs="Sylfaen"/>
                <w:sz w:val="20"/>
                <w:szCs w:val="20"/>
                <w:lang w:val="af-ZA"/>
              </w:rPr>
              <w:t>հրատարակչական</w:t>
            </w:r>
            <w:r w:rsidRPr="00BC61ED">
              <w:rPr>
                <w:rFonts w:cs="Arial Armenian"/>
                <w:sz w:val="20"/>
                <w:szCs w:val="20"/>
                <w:lang w:val="af-ZA"/>
              </w:rPr>
              <w:t xml:space="preserve"> </w:t>
            </w:r>
            <w:r w:rsidRPr="00BC61ED">
              <w:rPr>
                <w:rFonts w:cs="Sylfaen"/>
                <w:sz w:val="20"/>
                <w:szCs w:val="20"/>
                <w:lang w:val="af-ZA"/>
              </w:rPr>
              <w:t>արտադրանքը</w:t>
            </w:r>
            <w:r w:rsidRPr="00BC61ED">
              <w:rPr>
                <w:rFonts w:cs="Arial Armenian"/>
                <w:sz w:val="20"/>
                <w:szCs w:val="20"/>
                <w:lang w:val="af-ZA"/>
              </w:rPr>
              <w:t xml:space="preserve">, </w:t>
            </w:r>
            <w:r w:rsidRPr="00BC61ED">
              <w:rPr>
                <w:rFonts w:cs="Sylfaen"/>
                <w:sz w:val="20"/>
                <w:szCs w:val="20"/>
                <w:lang w:val="af-ZA"/>
              </w:rPr>
              <w:t>ստեղծվել</w:t>
            </w:r>
            <w:r w:rsidRPr="00BC61ED">
              <w:rPr>
                <w:rFonts w:cs="Arial Armenian"/>
                <w:sz w:val="20"/>
                <w:szCs w:val="20"/>
                <w:lang w:val="af-ZA"/>
              </w:rPr>
              <w:t xml:space="preserve"> </w:t>
            </w:r>
            <w:r w:rsidRPr="00BC61ED">
              <w:rPr>
                <w:rFonts w:cs="Sylfaen"/>
                <w:sz w:val="20"/>
                <w:szCs w:val="20"/>
                <w:lang w:val="af-ZA"/>
              </w:rPr>
              <w:t>են</w:t>
            </w:r>
            <w:r w:rsidRPr="00BC61ED">
              <w:rPr>
                <w:rFonts w:cs="Arial Armenian"/>
                <w:sz w:val="20"/>
                <w:szCs w:val="20"/>
                <w:lang w:val="af-ZA"/>
              </w:rPr>
              <w:t xml:space="preserve"> </w:t>
            </w:r>
            <w:r w:rsidRPr="00BC61ED">
              <w:rPr>
                <w:rFonts w:cs="Sylfaen"/>
                <w:sz w:val="20"/>
                <w:szCs w:val="20"/>
                <w:lang w:val="af-ZA"/>
              </w:rPr>
              <w:t>նոր</w:t>
            </w:r>
            <w:r w:rsidRPr="00BC61ED">
              <w:rPr>
                <w:rFonts w:cs="Arial Armenian"/>
                <w:sz w:val="20"/>
                <w:szCs w:val="20"/>
                <w:lang w:val="af-ZA"/>
              </w:rPr>
              <w:t xml:space="preserve"> </w:t>
            </w:r>
            <w:r w:rsidRPr="00BC61ED">
              <w:rPr>
                <w:rFonts w:cs="Sylfaen"/>
                <w:sz w:val="20"/>
                <w:szCs w:val="20"/>
                <w:lang w:val="af-ZA"/>
              </w:rPr>
              <w:t>հեռուստա</w:t>
            </w:r>
            <w:r w:rsidRPr="00BC61ED">
              <w:rPr>
                <w:rFonts w:cs="Sylfaen"/>
                <w:sz w:val="20"/>
                <w:szCs w:val="20"/>
                <w:lang w:val="hy-AM"/>
              </w:rPr>
              <w:t>տեսային</w:t>
            </w:r>
            <w:r w:rsidRPr="00BC61ED">
              <w:rPr>
                <w:rFonts w:cs="Arial Armenian"/>
                <w:sz w:val="20"/>
                <w:szCs w:val="20"/>
                <w:lang w:val="af-ZA"/>
              </w:rPr>
              <w:t xml:space="preserve"> </w:t>
            </w:r>
            <w:r w:rsidRPr="00BC61ED">
              <w:rPr>
                <w:rFonts w:cs="Sylfaen"/>
                <w:sz w:val="20"/>
                <w:szCs w:val="20"/>
                <w:lang w:val="af-ZA"/>
              </w:rPr>
              <w:t>և</w:t>
            </w:r>
            <w:r w:rsidRPr="00BC61ED">
              <w:rPr>
                <w:rFonts w:cs="Arial Armenian"/>
                <w:sz w:val="20"/>
                <w:szCs w:val="20"/>
                <w:lang w:val="af-ZA"/>
              </w:rPr>
              <w:t xml:space="preserve"> </w:t>
            </w:r>
            <w:r w:rsidRPr="00BC61ED">
              <w:rPr>
                <w:rFonts w:cs="Sylfaen"/>
                <w:sz w:val="20"/>
                <w:szCs w:val="20"/>
                <w:lang w:val="af-ZA"/>
              </w:rPr>
              <w:t>ռադիոընկերություններ</w:t>
            </w:r>
            <w:r w:rsidRPr="00BC61ED">
              <w:rPr>
                <w:rFonts w:cs="Arial Armenian"/>
                <w:sz w:val="20"/>
                <w:szCs w:val="20"/>
                <w:lang w:val="af-ZA"/>
              </w:rPr>
              <w:t xml:space="preserve">, </w:t>
            </w:r>
            <w:r w:rsidRPr="00BC61ED">
              <w:rPr>
                <w:rFonts w:cs="Sylfaen"/>
                <w:sz w:val="20"/>
                <w:szCs w:val="20"/>
                <w:lang w:val="af-ZA"/>
              </w:rPr>
              <w:t>գրահրատարակչություններ</w:t>
            </w:r>
            <w:r w:rsidRPr="00BC61ED">
              <w:rPr>
                <w:rFonts w:cs="Arial Armenian"/>
                <w:sz w:val="20"/>
                <w:szCs w:val="20"/>
                <w:lang w:val="af-ZA"/>
              </w:rPr>
              <w:t xml:space="preserve">, </w:t>
            </w:r>
            <w:r w:rsidRPr="00BC61ED">
              <w:rPr>
                <w:rFonts w:cs="Sylfaen"/>
                <w:sz w:val="20"/>
                <w:szCs w:val="20"/>
                <w:lang w:val="af-ZA"/>
              </w:rPr>
              <w:t>թերթեր</w:t>
            </w:r>
            <w:r w:rsidRPr="00BC61ED">
              <w:rPr>
                <w:rFonts w:cs="Arial Armenian"/>
                <w:sz w:val="20"/>
                <w:szCs w:val="20"/>
                <w:lang w:val="af-ZA"/>
              </w:rPr>
              <w:t xml:space="preserve"> </w:t>
            </w:r>
            <w:r w:rsidRPr="00BC61ED">
              <w:rPr>
                <w:rFonts w:cs="Sylfaen"/>
                <w:sz w:val="20"/>
                <w:szCs w:val="20"/>
                <w:lang w:val="af-ZA"/>
              </w:rPr>
              <w:t>և</w:t>
            </w:r>
            <w:r w:rsidRPr="00BC61ED">
              <w:rPr>
                <w:rFonts w:cs="Arial Armenian"/>
                <w:sz w:val="20"/>
                <w:szCs w:val="20"/>
                <w:lang w:val="af-ZA"/>
              </w:rPr>
              <w:t xml:space="preserve"> </w:t>
            </w:r>
            <w:r w:rsidRPr="00BC61ED">
              <w:rPr>
                <w:rFonts w:cs="Sylfaen"/>
                <w:sz w:val="20"/>
                <w:szCs w:val="20"/>
                <w:lang w:val="af-ZA"/>
              </w:rPr>
              <w:t>ամսագրեր</w:t>
            </w:r>
            <w:r w:rsidRPr="00BC61ED">
              <w:rPr>
                <w:rFonts w:cs="Arial Armenian"/>
                <w:sz w:val="20"/>
                <w:szCs w:val="20"/>
                <w:lang w:val="af-ZA"/>
              </w:rPr>
              <w:t xml:space="preserve">, </w:t>
            </w:r>
            <w:r w:rsidRPr="00BC61ED">
              <w:rPr>
                <w:rFonts w:cs="Sylfaen"/>
                <w:sz w:val="20"/>
                <w:szCs w:val="20"/>
                <w:lang w:val="af-ZA"/>
              </w:rPr>
              <w:t>որոնց</w:t>
            </w:r>
            <w:r w:rsidRPr="00BC61ED">
              <w:rPr>
                <w:rFonts w:cs="Arial Armenian"/>
                <w:sz w:val="20"/>
                <w:szCs w:val="20"/>
                <w:lang w:val="af-ZA"/>
              </w:rPr>
              <w:t xml:space="preserve"> </w:t>
            </w:r>
            <w:r w:rsidRPr="00BC61ED">
              <w:rPr>
                <w:rFonts w:cs="Sylfaen"/>
                <w:sz w:val="20"/>
                <w:szCs w:val="20"/>
                <w:lang w:val="af-ZA"/>
              </w:rPr>
              <w:t>կողմից</w:t>
            </w:r>
            <w:r w:rsidRPr="00BC61ED">
              <w:rPr>
                <w:rFonts w:cs="Arial Armenian"/>
                <w:sz w:val="20"/>
                <w:szCs w:val="20"/>
                <w:lang w:val="af-ZA"/>
              </w:rPr>
              <w:t xml:space="preserve"> </w:t>
            </w:r>
            <w:r w:rsidRPr="00BC61ED">
              <w:rPr>
                <w:rFonts w:cs="Sylfaen"/>
                <w:sz w:val="20"/>
                <w:szCs w:val="20"/>
                <w:lang w:val="af-ZA"/>
              </w:rPr>
              <w:t>ներկայացվող</w:t>
            </w:r>
            <w:r w:rsidRPr="00BC61ED">
              <w:rPr>
                <w:rFonts w:cs="Arial Armenian"/>
                <w:sz w:val="20"/>
                <w:szCs w:val="20"/>
                <w:lang w:val="af-ZA"/>
              </w:rPr>
              <w:t xml:space="preserve"> </w:t>
            </w:r>
            <w:r w:rsidRPr="00BC61ED">
              <w:rPr>
                <w:rFonts w:cs="Sylfaen"/>
                <w:sz w:val="20"/>
                <w:szCs w:val="20"/>
                <w:lang w:val="af-ZA"/>
              </w:rPr>
              <w:t>նյութերում</w:t>
            </w:r>
            <w:r w:rsidRPr="00BC61ED">
              <w:rPr>
                <w:rFonts w:cs="Arial Armenian"/>
                <w:sz w:val="20"/>
                <w:szCs w:val="20"/>
                <w:lang w:val="af-ZA"/>
              </w:rPr>
              <w:t xml:space="preserve"> </w:t>
            </w:r>
            <w:r w:rsidRPr="00BC61ED">
              <w:rPr>
                <w:rFonts w:cs="Sylfaen"/>
                <w:sz w:val="20"/>
                <w:szCs w:val="20"/>
                <w:lang w:val="af-ZA"/>
              </w:rPr>
              <w:t>տեղ</w:t>
            </w:r>
            <w:r w:rsidRPr="00BC61ED">
              <w:rPr>
                <w:rFonts w:cs="Arial Armenian"/>
                <w:sz w:val="20"/>
                <w:szCs w:val="20"/>
                <w:lang w:val="af-ZA"/>
              </w:rPr>
              <w:t xml:space="preserve"> </w:t>
            </w:r>
            <w:r w:rsidRPr="00BC61ED">
              <w:rPr>
                <w:rFonts w:cs="Sylfaen"/>
                <w:sz w:val="20"/>
                <w:szCs w:val="20"/>
                <w:lang w:val="af-ZA"/>
              </w:rPr>
              <w:t>են</w:t>
            </w:r>
            <w:r w:rsidRPr="00BC61ED">
              <w:rPr>
                <w:rFonts w:cs="Arial Armenian"/>
                <w:sz w:val="20"/>
                <w:szCs w:val="20"/>
                <w:lang w:val="af-ZA"/>
              </w:rPr>
              <w:t xml:space="preserve"> </w:t>
            </w:r>
            <w:r w:rsidRPr="00BC61ED">
              <w:rPr>
                <w:rFonts w:cs="Sylfaen"/>
                <w:sz w:val="20"/>
                <w:szCs w:val="20"/>
                <w:lang w:val="af-ZA"/>
              </w:rPr>
              <w:t>գտնում</w:t>
            </w:r>
            <w:r w:rsidRPr="00BC61ED">
              <w:rPr>
                <w:rFonts w:cs="Arial Armenian"/>
                <w:sz w:val="20"/>
                <w:szCs w:val="20"/>
                <w:lang w:val="af-ZA"/>
              </w:rPr>
              <w:t xml:space="preserve"> </w:t>
            </w:r>
            <w:r w:rsidRPr="00BC61ED">
              <w:rPr>
                <w:rFonts w:cs="Sylfaen"/>
                <w:sz w:val="20"/>
                <w:szCs w:val="20"/>
                <w:lang w:val="af-ZA"/>
              </w:rPr>
              <w:t>բազմաթիվ</w:t>
            </w:r>
            <w:r w:rsidRPr="00BC61ED">
              <w:rPr>
                <w:rFonts w:cs="Arial Armenian"/>
                <w:sz w:val="20"/>
                <w:szCs w:val="20"/>
                <w:lang w:val="af-ZA"/>
              </w:rPr>
              <w:t xml:space="preserve"> </w:t>
            </w:r>
            <w:r w:rsidRPr="00BC61ED">
              <w:rPr>
                <w:rFonts w:cs="Sylfaen"/>
                <w:sz w:val="20"/>
                <w:szCs w:val="20"/>
                <w:lang w:val="af-ZA"/>
              </w:rPr>
              <w:t>աշխարհագրական</w:t>
            </w:r>
            <w:r w:rsidRPr="00BC61ED">
              <w:rPr>
                <w:rFonts w:cs="Arial Armenian"/>
                <w:sz w:val="20"/>
                <w:szCs w:val="20"/>
                <w:lang w:val="af-ZA"/>
              </w:rPr>
              <w:t xml:space="preserve"> </w:t>
            </w:r>
            <w:r w:rsidRPr="00BC61ED">
              <w:rPr>
                <w:rFonts w:cs="Sylfaen"/>
                <w:sz w:val="20"/>
                <w:szCs w:val="20"/>
                <w:lang w:val="af-ZA"/>
              </w:rPr>
              <w:t>անվանումներ</w:t>
            </w:r>
            <w:r w:rsidRPr="00BC61ED">
              <w:rPr>
                <w:rFonts w:cs="Arial Armenian"/>
                <w:sz w:val="20"/>
                <w:szCs w:val="20"/>
                <w:lang w:val="af-ZA"/>
              </w:rPr>
              <w:t xml:space="preserve">: </w:t>
            </w:r>
            <w:r w:rsidRPr="00BC61ED">
              <w:rPr>
                <w:rFonts w:cs="Sylfaen"/>
                <w:sz w:val="20"/>
                <w:szCs w:val="20"/>
                <w:lang w:val="af-ZA"/>
              </w:rPr>
              <w:t>Անճշտություններից</w:t>
            </w:r>
            <w:r w:rsidRPr="00BC61ED">
              <w:rPr>
                <w:rFonts w:cs="Arial Armenian"/>
                <w:sz w:val="20"/>
                <w:szCs w:val="20"/>
                <w:lang w:val="af-ZA"/>
              </w:rPr>
              <w:t xml:space="preserve"> </w:t>
            </w:r>
            <w:r w:rsidRPr="00BC61ED">
              <w:rPr>
                <w:rFonts w:cs="Sylfaen"/>
                <w:sz w:val="20"/>
                <w:szCs w:val="20"/>
                <w:lang w:val="af-ZA"/>
              </w:rPr>
              <w:t>և</w:t>
            </w:r>
            <w:r w:rsidRPr="00BC61ED">
              <w:rPr>
                <w:rFonts w:cs="Arial Armenian"/>
                <w:sz w:val="20"/>
                <w:szCs w:val="20"/>
                <w:lang w:val="af-ZA"/>
              </w:rPr>
              <w:t xml:space="preserve"> </w:t>
            </w:r>
            <w:r w:rsidRPr="00BC61ED">
              <w:rPr>
                <w:rFonts w:cs="Sylfaen"/>
                <w:sz w:val="20"/>
                <w:szCs w:val="20"/>
                <w:lang w:val="af-ZA"/>
              </w:rPr>
              <w:t>կոպիտ</w:t>
            </w:r>
            <w:r w:rsidRPr="00BC61ED">
              <w:rPr>
                <w:rFonts w:cs="Arial Armenian"/>
                <w:sz w:val="20"/>
                <w:szCs w:val="20"/>
                <w:lang w:val="af-ZA"/>
              </w:rPr>
              <w:t xml:space="preserve"> </w:t>
            </w:r>
            <w:r w:rsidRPr="00BC61ED">
              <w:rPr>
                <w:rFonts w:cs="Sylfaen"/>
                <w:sz w:val="20"/>
                <w:szCs w:val="20"/>
                <w:lang w:val="af-ZA"/>
              </w:rPr>
              <w:t>վրիպակներից</w:t>
            </w:r>
            <w:r w:rsidRPr="00BC61ED">
              <w:rPr>
                <w:rFonts w:cs="Arial Armenian"/>
                <w:sz w:val="20"/>
                <w:szCs w:val="20"/>
                <w:lang w:val="af-ZA"/>
              </w:rPr>
              <w:t xml:space="preserve"> </w:t>
            </w:r>
            <w:r w:rsidRPr="00BC61ED">
              <w:rPr>
                <w:rFonts w:cs="Sylfaen"/>
                <w:sz w:val="20"/>
                <w:szCs w:val="20"/>
                <w:lang w:val="af-ZA"/>
              </w:rPr>
              <w:t>խուսափելու</w:t>
            </w:r>
            <w:r w:rsidRPr="00BC61ED">
              <w:rPr>
                <w:rFonts w:cs="Arial Armenian"/>
                <w:sz w:val="20"/>
                <w:szCs w:val="20"/>
                <w:lang w:val="af-ZA"/>
              </w:rPr>
              <w:t xml:space="preserve"> </w:t>
            </w:r>
            <w:r w:rsidRPr="00BC61ED">
              <w:rPr>
                <w:rFonts w:cs="Sylfaen"/>
                <w:sz w:val="20"/>
                <w:szCs w:val="20"/>
                <w:lang w:val="af-ZA"/>
              </w:rPr>
              <w:t>նպատակով</w:t>
            </w:r>
            <w:r w:rsidRPr="00BC61ED">
              <w:rPr>
                <w:rFonts w:cs="Arial Armenian"/>
                <w:sz w:val="20"/>
                <w:szCs w:val="20"/>
                <w:lang w:val="af-ZA"/>
              </w:rPr>
              <w:t xml:space="preserve"> </w:t>
            </w:r>
            <w:r w:rsidRPr="00BC61ED">
              <w:rPr>
                <w:rFonts w:cs="Sylfaen"/>
                <w:sz w:val="20"/>
                <w:szCs w:val="20"/>
                <w:lang w:val="af-ZA"/>
              </w:rPr>
              <w:t>շատ</w:t>
            </w:r>
            <w:r w:rsidRPr="00BC61ED">
              <w:rPr>
                <w:rFonts w:cs="Arial Armenian"/>
                <w:sz w:val="20"/>
                <w:szCs w:val="20"/>
                <w:lang w:val="af-ZA"/>
              </w:rPr>
              <w:t xml:space="preserve"> </w:t>
            </w:r>
            <w:r w:rsidRPr="00BC61ED">
              <w:rPr>
                <w:rFonts w:cs="Sylfaen"/>
                <w:sz w:val="20"/>
                <w:szCs w:val="20"/>
                <w:lang w:val="af-ZA"/>
              </w:rPr>
              <w:t>կարևոր</w:t>
            </w:r>
            <w:r w:rsidRPr="00BC61ED">
              <w:rPr>
                <w:rFonts w:cs="Arial Armenian"/>
                <w:sz w:val="20"/>
                <w:szCs w:val="20"/>
                <w:lang w:val="af-ZA"/>
              </w:rPr>
              <w:t xml:space="preserve"> </w:t>
            </w:r>
            <w:r w:rsidRPr="00BC61ED">
              <w:rPr>
                <w:rFonts w:cs="Sylfaen"/>
                <w:sz w:val="20"/>
                <w:szCs w:val="20"/>
                <w:lang w:val="af-ZA"/>
              </w:rPr>
              <w:t>է</w:t>
            </w:r>
            <w:r w:rsidRPr="00BC61ED">
              <w:rPr>
                <w:rFonts w:cs="Arial Armenian"/>
                <w:sz w:val="20"/>
                <w:szCs w:val="20"/>
                <w:lang w:val="af-ZA"/>
              </w:rPr>
              <w:t xml:space="preserve"> </w:t>
            </w:r>
            <w:r w:rsidRPr="00BC61ED">
              <w:rPr>
                <w:rFonts w:cs="Sylfaen"/>
                <w:sz w:val="20"/>
                <w:szCs w:val="20"/>
                <w:lang w:val="af-ZA"/>
              </w:rPr>
              <w:t>ունենալ</w:t>
            </w:r>
            <w:r w:rsidRPr="00BC61ED">
              <w:rPr>
                <w:rFonts w:cs="Arial Armenian"/>
                <w:sz w:val="20"/>
                <w:szCs w:val="20"/>
                <w:lang w:val="af-ZA"/>
              </w:rPr>
              <w:t xml:space="preserve"> </w:t>
            </w:r>
            <w:r w:rsidRPr="00BC61ED">
              <w:rPr>
                <w:rFonts w:cs="Sylfaen"/>
                <w:sz w:val="20"/>
                <w:szCs w:val="20"/>
                <w:lang w:val="af-ZA"/>
              </w:rPr>
              <w:t>հավաստի</w:t>
            </w:r>
            <w:r w:rsidRPr="00BC61ED">
              <w:rPr>
                <w:rFonts w:cs="Arial Armenian"/>
                <w:sz w:val="20"/>
                <w:szCs w:val="20"/>
                <w:lang w:val="af-ZA"/>
              </w:rPr>
              <w:t xml:space="preserve"> </w:t>
            </w:r>
            <w:r w:rsidRPr="00BC61ED">
              <w:rPr>
                <w:rFonts w:cs="Sylfaen"/>
                <w:sz w:val="20"/>
                <w:szCs w:val="20"/>
                <w:lang w:val="af-ZA"/>
              </w:rPr>
              <w:t>և</w:t>
            </w:r>
            <w:r w:rsidRPr="00BC61ED">
              <w:rPr>
                <w:rFonts w:cs="Arial Armenian"/>
                <w:sz w:val="20"/>
                <w:szCs w:val="20"/>
                <w:lang w:val="af-ZA"/>
              </w:rPr>
              <w:t xml:space="preserve"> </w:t>
            </w:r>
            <w:r w:rsidRPr="00BC61ED">
              <w:rPr>
                <w:rFonts w:cs="Sylfaen"/>
                <w:sz w:val="20"/>
                <w:szCs w:val="20"/>
                <w:lang w:val="af-ZA"/>
              </w:rPr>
              <w:t>պաշտոնական</w:t>
            </w:r>
            <w:r w:rsidRPr="00BC61ED">
              <w:rPr>
                <w:rFonts w:cs="Arial Armenian"/>
                <w:sz w:val="20"/>
                <w:szCs w:val="20"/>
                <w:lang w:val="af-ZA"/>
              </w:rPr>
              <w:t xml:space="preserve"> </w:t>
            </w:r>
            <w:r w:rsidRPr="00BC61ED">
              <w:rPr>
                <w:rFonts w:cs="Sylfaen"/>
                <w:sz w:val="20"/>
                <w:szCs w:val="20"/>
                <w:lang w:val="af-ZA"/>
              </w:rPr>
              <w:t>տեղեկատու</w:t>
            </w:r>
            <w:r w:rsidRPr="00BC61ED">
              <w:rPr>
                <w:rFonts w:cs="Arial Armenian"/>
                <w:sz w:val="20"/>
                <w:szCs w:val="20"/>
                <w:lang w:val="af-ZA"/>
              </w:rPr>
              <w:t xml:space="preserve">, </w:t>
            </w:r>
            <w:r w:rsidRPr="00BC61ED">
              <w:rPr>
                <w:rFonts w:cs="Sylfaen"/>
                <w:sz w:val="20"/>
                <w:szCs w:val="20"/>
                <w:lang w:val="af-ZA"/>
              </w:rPr>
              <w:t>որոնց</w:t>
            </w:r>
            <w:r w:rsidRPr="00BC61ED">
              <w:rPr>
                <w:rFonts w:cs="Arial Armenian"/>
                <w:sz w:val="20"/>
                <w:szCs w:val="20"/>
                <w:lang w:val="af-ZA"/>
              </w:rPr>
              <w:t xml:space="preserve"> </w:t>
            </w:r>
            <w:r w:rsidRPr="00BC61ED">
              <w:rPr>
                <w:rFonts w:cs="Sylfaen"/>
                <w:sz w:val="20"/>
                <w:szCs w:val="20"/>
                <w:lang w:val="af-ZA"/>
              </w:rPr>
              <w:t>միջոցով</w:t>
            </w:r>
            <w:r w:rsidRPr="00BC61ED">
              <w:rPr>
                <w:rFonts w:cs="Arial Armenian"/>
                <w:sz w:val="20"/>
                <w:szCs w:val="20"/>
                <w:lang w:val="af-ZA"/>
              </w:rPr>
              <w:t xml:space="preserve"> </w:t>
            </w:r>
            <w:r w:rsidRPr="00BC61ED">
              <w:rPr>
                <w:rFonts w:cs="Sylfaen"/>
                <w:sz w:val="20"/>
                <w:szCs w:val="20"/>
                <w:lang w:val="af-ZA"/>
              </w:rPr>
              <w:t>կներկայացվեն</w:t>
            </w:r>
            <w:r w:rsidRPr="00BC61ED">
              <w:rPr>
                <w:rFonts w:cs="Arial Armenian"/>
                <w:sz w:val="20"/>
                <w:szCs w:val="20"/>
                <w:lang w:val="af-ZA"/>
              </w:rPr>
              <w:t xml:space="preserve"> </w:t>
            </w:r>
            <w:r w:rsidRPr="00BC61ED">
              <w:rPr>
                <w:rFonts w:cs="Sylfaen"/>
                <w:sz w:val="20"/>
                <w:szCs w:val="20"/>
                <w:lang w:val="af-ZA"/>
              </w:rPr>
              <w:t>աշխարհագրական</w:t>
            </w:r>
            <w:r w:rsidRPr="00BC61ED">
              <w:rPr>
                <w:rFonts w:cs="Arial Armenian"/>
                <w:sz w:val="20"/>
                <w:szCs w:val="20"/>
                <w:lang w:val="af-ZA"/>
              </w:rPr>
              <w:t xml:space="preserve"> </w:t>
            </w:r>
            <w:r w:rsidRPr="00BC61ED">
              <w:rPr>
                <w:rFonts w:cs="Sylfaen"/>
                <w:sz w:val="20"/>
                <w:szCs w:val="20"/>
                <w:lang w:val="af-ZA"/>
              </w:rPr>
              <w:t>անվանումների</w:t>
            </w:r>
            <w:r w:rsidRPr="00BC61ED">
              <w:rPr>
                <w:rFonts w:cs="Arial Armenian"/>
                <w:sz w:val="20"/>
                <w:szCs w:val="20"/>
                <w:lang w:val="af-ZA"/>
              </w:rPr>
              <w:t xml:space="preserve"> </w:t>
            </w:r>
            <w:r w:rsidRPr="00BC61ED">
              <w:rPr>
                <w:rFonts w:cs="Sylfaen"/>
                <w:sz w:val="20"/>
                <w:szCs w:val="20"/>
                <w:lang w:val="af-ZA"/>
              </w:rPr>
              <w:t>ճշգրիտ</w:t>
            </w:r>
            <w:r w:rsidRPr="00BC61ED">
              <w:rPr>
                <w:rFonts w:cs="Arial Armenian"/>
                <w:sz w:val="20"/>
                <w:szCs w:val="20"/>
                <w:lang w:val="af-ZA"/>
              </w:rPr>
              <w:t xml:space="preserve">  </w:t>
            </w:r>
            <w:r w:rsidRPr="00BC61ED">
              <w:rPr>
                <w:rFonts w:cs="Sylfaen"/>
                <w:sz w:val="20"/>
                <w:szCs w:val="20"/>
                <w:lang w:val="af-ZA"/>
              </w:rPr>
              <w:t>գրելաձևերը</w:t>
            </w:r>
            <w:r w:rsidRPr="00BC61ED">
              <w:rPr>
                <w:rFonts w:cs="Arial Armenian"/>
                <w:sz w:val="20"/>
                <w:szCs w:val="20"/>
                <w:lang w:val="af-ZA"/>
              </w:rPr>
              <w:t>:</w:t>
            </w:r>
          </w:p>
          <w:p w:rsidR="0068680D" w:rsidRPr="00BC61ED" w:rsidRDefault="0068680D" w:rsidP="00F47DC4">
            <w:pPr>
              <w:keepNext/>
              <w:spacing w:line="276" w:lineRule="auto"/>
              <w:jc w:val="both"/>
              <w:outlineLvl w:val="4"/>
              <w:rPr>
                <w:rFonts w:cs="Arial Armenian"/>
                <w:sz w:val="20"/>
                <w:szCs w:val="20"/>
                <w:lang w:val="af-ZA"/>
              </w:rPr>
            </w:pPr>
            <w:r w:rsidRPr="00BC61ED">
              <w:rPr>
                <w:rFonts w:cs="Sylfaen"/>
                <w:sz w:val="20"/>
                <w:szCs w:val="20"/>
                <w:lang w:val="af-ZA"/>
              </w:rPr>
              <w:t xml:space="preserve">   Աշխատանքների</w:t>
            </w:r>
            <w:r w:rsidRPr="00BC61ED">
              <w:rPr>
                <w:rFonts w:cs="Arial Armenian"/>
                <w:sz w:val="20"/>
                <w:szCs w:val="20"/>
                <w:lang w:val="af-ZA"/>
              </w:rPr>
              <w:t xml:space="preserve"> </w:t>
            </w:r>
            <w:r w:rsidRPr="00BC61ED">
              <w:rPr>
                <w:rFonts w:cs="Sylfaen"/>
                <w:sz w:val="20"/>
                <w:szCs w:val="20"/>
                <w:lang w:val="af-ZA"/>
              </w:rPr>
              <w:t>իրականացման</w:t>
            </w:r>
            <w:r w:rsidRPr="00BC61ED">
              <w:rPr>
                <w:rFonts w:cs="Arial Armenian"/>
                <w:sz w:val="20"/>
                <w:szCs w:val="20"/>
                <w:lang w:val="af-ZA"/>
              </w:rPr>
              <w:t xml:space="preserve"> </w:t>
            </w:r>
            <w:r w:rsidRPr="00BC61ED">
              <w:rPr>
                <w:rFonts w:cs="Sylfaen"/>
                <w:sz w:val="20"/>
                <w:szCs w:val="20"/>
                <w:lang w:val="af-ZA"/>
              </w:rPr>
              <w:t>արդյունքում</w:t>
            </w:r>
            <w:r w:rsidRPr="00BC61ED">
              <w:rPr>
                <w:rFonts w:cs="Arial Armenian"/>
                <w:sz w:val="20"/>
                <w:szCs w:val="20"/>
                <w:lang w:val="af-ZA"/>
              </w:rPr>
              <w:t xml:space="preserve"> </w:t>
            </w:r>
            <w:r w:rsidRPr="00BC61ED">
              <w:rPr>
                <w:rFonts w:cs="Sylfaen"/>
                <w:sz w:val="20"/>
                <w:szCs w:val="20"/>
                <w:lang w:val="hy-AM"/>
              </w:rPr>
              <w:t>ստացված</w:t>
            </w:r>
            <w:r w:rsidRPr="00BC61ED">
              <w:rPr>
                <w:rFonts w:cs="Arial Armenian"/>
                <w:sz w:val="20"/>
                <w:szCs w:val="20"/>
                <w:lang w:val="af-ZA"/>
              </w:rPr>
              <w:t xml:space="preserve"> </w:t>
            </w:r>
            <w:r w:rsidRPr="00BC61ED">
              <w:rPr>
                <w:rFonts w:cs="Sylfaen"/>
                <w:sz w:val="20"/>
                <w:szCs w:val="20"/>
                <w:lang w:val="af-ZA"/>
              </w:rPr>
              <w:t>տեղեկատուները</w:t>
            </w:r>
            <w:r w:rsidRPr="00BC61ED">
              <w:rPr>
                <w:rFonts w:cs="Arial Armenian"/>
                <w:sz w:val="20"/>
                <w:szCs w:val="20"/>
                <w:lang w:val="af-ZA"/>
              </w:rPr>
              <w:t xml:space="preserve"> </w:t>
            </w:r>
            <w:r w:rsidRPr="00BC61ED">
              <w:rPr>
                <w:rFonts w:cs="Sylfaen"/>
                <w:sz w:val="20"/>
                <w:szCs w:val="20"/>
                <w:lang w:val="hy-AM"/>
              </w:rPr>
              <w:t>անհրաժեշտ են</w:t>
            </w:r>
            <w:r w:rsidRPr="00BC61ED">
              <w:rPr>
                <w:rFonts w:cs="Arial Armenian"/>
                <w:sz w:val="20"/>
                <w:szCs w:val="20"/>
                <w:lang w:val="af-ZA"/>
              </w:rPr>
              <w:t xml:space="preserve"> </w:t>
            </w:r>
            <w:r w:rsidRPr="00BC61ED">
              <w:rPr>
                <w:rFonts w:cs="Sylfaen"/>
                <w:sz w:val="20"/>
                <w:szCs w:val="20"/>
                <w:lang w:val="af-ZA"/>
              </w:rPr>
              <w:t>պետական</w:t>
            </w:r>
            <w:r w:rsidRPr="00BC61ED">
              <w:rPr>
                <w:rFonts w:cs="Arial Armenian"/>
                <w:sz w:val="20"/>
                <w:szCs w:val="20"/>
                <w:lang w:val="af-ZA"/>
              </w:rPr>
              <w:t xml:space="preserve"> </w:t>
            </w:r>
            <w:r w:rsidRPr="00BC61ED">
              <w:rPr>
                <w:rFonts w:cs="Sylfaen"/>
                <w:sz w:val="20"/>
                <w:szCs w:val="20"/>
                <w:lang w:val="af-ZA"/>
              </w:rPr>
              <w:t>կառավարման</w:t>
            </w:r>
            <w:r w:rsidRPr="00BC61ED">
              <w:rPr>
                <w:rFonts w:cs="Arial Armenian"/>
                <w:sz w:val="20"/>
                <w:szCs w:val="20"/>
                <w:lang w:val="af-ZA"/>
              </w:rPr>
              <w:t xml:space="preserve"> </w:t>
            </w:r>
            <w:r w:rsidRPr="00BC61ED">
              <w:rPr>
                <w:rFonts w:cs="Sylfaen"/>
                <w:sz w:val="20"/>
                <w:szCs w:val="20"/>
                <w:lang w:val="af-ZA"/>
              </w:rPr>
              <w:t>և</w:t>
            </w:r>
            <w:r w:rsidRPr="00BC61ED">
              <w:rPr>
                <w:rFonts w:cs="Arial Armenian"/>
                <w:sz w:val="20"/>
                <w:szCs w:val="20"/>
                <w:lang w:val="af-ZA"/>
              </w:rPr>
              <w:t xml:space="preserve"> </w:t>
            </w:r>
            <w:r w:rsidRPr="00BC61ED">
              <w:rPr>
                <w:rFonts w:cs="Sylfaen"/>
                <w:sz w:val="20"/>
                <w:szCs w:val="20"/>
                <w:lang w:val="af-ZA"/>
              </w:rPr>
              <w:t>տեղական</w:t>
            </w:r>
            <w:r w:rsidRPr="00BC61ED">
              <w:rPr>
                <w:rFonts w:cs="Arial Armenian"/>
                <w:sz w:val="20"/>
                <w:szCs w:val="20"/>
                <w:lang w:val="af-ZA"/>
              </w:rPr>
              <w:t xml:space="preserve"> </w:t>
            </w:r>
            <w:r w:rsidRPr="00BC61ED">
              <w:rPr>
                <w:rFonts w:cs="Sylfaen"/>
                <w:sz w:val="20"/>
                <w:szCs w:val="20"/>
                <w:lang w:val="af-ZA"/>
              </w:rPr>
              <w:t>ինքնակառավարման</w:t>
            </w:r>
            <w:r w:rsidRPr="00BC61ED">
              <w:rPr>
                <w:rFonts w:cs="Arial Armenian"/>
                <w:sz w:val="20"/>
                <w:szCs w:val="20"/>
                <w:lang w:val="af-ZA"/>
              </w:rPr>
              <w:t xml:space="preserve"> </w:t>
            </w:r>
            <w:r w:rsidRPr="00BC61ED">
              <w:rPr>
                <w:rFonts w:cs="Sylfaen"/>
                <w:sz w:val="20"/>
                <w:szCs w:val="20"/>
                <w:lang w:val="af-ZA"/>
              </w:rPr>
              <w:t>մարմիններին</w:t>
            </w:r>
            <w:r w:rsidRPr="00BC61ED">
              <w:rPr>
                <w:rFonts w:cs="Arial Armenian"/>
                <w:sz w:val="20"/>
                <w:szCs w:val="20"/>
                <w:lang w:val="af-ZA"/>
              </w:rPr>
              <w:t xml:space="preserve">, </w:t>
            </w:r>
            <w:r w:rsidRPr="00BC61ED">
              <w:rPr>
                <w:rFonts w:cs="Sylfaen"/>
                <w:sz w:val="20"/>
                <w:szCs w:val="20"/>
                <w:lang w:val="af-ZA"/>
              </w:rPr>
              <w:t>ինչպես</w:t>
            </w:r>
            <w:r w:rsidRPr="00BC61ED">
              <w:rPr>
                <w:rFonts w:cs="Arial Armenian"/>
                <w:sz w:val="20"/>
                <w:szCs w:val="20"/>
                <w:lang w:val="af-ZA"/>
              </w:rPr>
              <w:t xml:space="preserve"> </w:t>
            </w:r>
            <w:r w:rsidRPr="00BC61ED">
              <w:rPr>
                <w:rFonts w:cs="Sylfaen"/>
                <w:sz w:val="20"/>
                <w:szCs w:val="20"/>
                <w:lang w:val="af-ZA"/>
              </w:rPr>
              <w:t>նաև</w:t>
            </w:r>
            <w:r w:rsidRPr="00BC61ED">
              <w:rPr>
                <w:rFonts w:cs="Arial Armenian"/>
                <w:sz w:val="20"/>
                <w:szCs w:val="20"/>
                <w:lang w:val="af-ZA"/>
              </w:rPr>
              <w:t xml:space="preserve"> </w:t>
            </w:r>
            <w:r w:rsidRPr="00BC61ED">
              <w:rPr>
                <w:rFonts w:cs="Sylfaen"/>
                <w:sz w:val="20"/>
                <w:szCs w:val="20"/>
                <w:lang w:val="af-ZA"/>
              </w:rPr>
              <w:t>համապատասխան</w:t>
            </w:r>
            <w:r w:rsidRPr="00BC61ED">
              <w:rPr>
                <w:rFonts w:cs="Arial Armenian"/>
                <w:sz w:val="20"/>
                <w:szCs w:val="20"/>
                <w:lang w:val="af-ZA"/>
              </w:rPr>
              <w:t xml:space="preserve"> </w:t>
            </w:r>
            <w:r w:rsidRPr="00BC61ED">
              <w:rPr>
                <w:rFonts w:cs="Sylfaen"/>
                <w:sz w:val="20"/>
                <w:szCs w:val="20"/>
                <w:lang w:val="af-ZA"/>
              </w:rPr>
              <w:t>պետական</w:t>
            </w:r>
            <w:r w:rsidRPr="00BC61ED">
              <w:rPr>
                <w:rFonts w:cs="Arial Armenian"/>
                <w:sz w:val="20"/>
                <w:szCs w:val="20"/>
                <w:lang w:val="af-ZA"/>
              </w:rPr>
              <w:t xml:space="preserve"> </w:t>
            </w:r>
            <w:r w:rsidRPr="00BC61ED">
              <w:rPr>
                <w:rFonts w:cs="Sylfaen"/>
                <w:sz w:val="20"/>
                <w:szCs w:val="20"/>
                <w:lang w:val="af-ZA"/>
              </w:rPr>
              <w:t>կազմակերպություններին</w:t>
            </w:r>
            <w:r w:rsidRPr="00BC61ED">
              <w:rPr>
                <w:rFonts w:cs="Arial Armenian"/>
                <w:sz w:val="20"/>
                <w:szCs w:val="20"/>
                <w:lang w:val="af-ZA"/>
              </w:rPr>
              <w:t xml:space="preserve">, </w:t>
            </w:r>
            <w:r w:rsidRPr="00BC61ED">
              <w:rPr>
                <w:rFonts w:cs="Sylfaen"/>
                <w:sz w:val="20"/>
                <w:szCs w:val="20"/>
                <w:lang w:val="af-ZA"/>
              </w:rPr>
              <w:t>կրթական</w:t>
            </w:r>
            <w:r w:rsidRPr="00BC61ED">
              <w:rPr>
                <w:rFonts w:cs="Arial Armenian"/>
                <w:sz w:val="20"/>
                <w:szCs w:val="20"/>
                <w:lang w:val="af-ZA"/>
              </w:rPr>
              <w:t xml:space="preserve"> </w:t>
            </w:r>
            <w:r w:rsidRPr="00BC61ED">
              <w:rPr>
                <w:rFonts w:cs="Sylfaen"/>
                <w:sz w:val="20"/>
                <w:szCs w:val="20"/>
                <w:lang w:val="af-ZA"/>
              </w:rPr>
              <w:t>և</w:t>
            </w:r>
            <w:r w:rsidRPr="00BC61ED">
              <w:rPr>
                <w:rFonts w:cs="Arial Armenian"/>
                <w:sz w:val="20"/>
                <w:szCs w:val="20"/>
                <w:lang w:val="af-ZA"/>
              </w:rPr>
              <w:t xml:space="preserve"> </w:t>
            </w:r>
            <w:r w:rsidRPr="00BC61ED">
              <w:rPr>
                <w:rFonts w:cs="Sylfaen"/>
                <w:sz w:val="20"/>
                <w:szCs w:val="20"/>
                <w:lang w:val="af-ZA"/>
              </w:rPr>
              <w:t>գիտական</w:t>
            </w:r>
            <w:r w:rsidRPr="00BC61ED">
              <w:rPr>
                <w:rFonts w:cs="Arial Armenian"/>
                <w:sz w:val="20"/>
                <w:szCs w:val="20"/>
                <w:lang w:val="af-ZA"/>
              </w:rPr>
              <w:t xml:space="preserve"> </w:t>
            </w:r>
            <w:r w:rsidRPr="00BC61ED">
              <w:rPr>
                <w:rFonts w:cs="Sylfaen"/>
                <w:sz w:val="20"/>
                <w:szCs w:val="20"/>
                <w:lang w:val="af-ZA"/>
              </w:rPr>
              <w:t>հիմնարկներին</w:t>
            </w:r>
            <w:r w:rsidRPr="00BC61ED">
              <w:rPr>
                <w:rFonts w:cs="Arial Armenian"/>
                <w:sz w:val="20"/>
                <w:szCs w:val="20"/>
                <w:lang w:val="af-ZA"/>
              </w:rPr>
              <w:t>:</w:t>
            </w:r>
          </w:p>
          <w:p w:rsidR="0068680D" w:rsidRPr="00BC61ED" w:rsidRDefault="0068680D" w:rsidP="00F47DC4">
            <w:pPr>
              <w:pStyle w:val="ListParagraph"/>
              <w:spacing w:line="276" w:lineRule="auto"/>
              <w:ind w:left="0" w:right="-1"/>
              <w:jc w:val="both"/>
              <w:rPr>
                <w:sz w:val="20"/>
                <w:szCs w:val="20"/>
                <w:lang w:val="af-ZA" w:eastAsia="en-GB"/>
              </w:rPr>
            </w:pPr>
            <w:r w:rsidRPr="00BC61ED">
              <w:rPr>
                <w:sz w:val="20"/>
                <w:szCs w:val="20"/>
                <w:lang w:val="af-ZA" w:eastAsia="en-GB"/>
              </w:rPr>
              <w:t xml:space="preserve">   </w:t>
            </w:r>
            <w:r w:rsidRPr="00BC61ED">
              <w:rPr>
                <w:sz w:val="20"/>
                <w:szCs w:val="20"/>
                <w:lang w:eastAsia="en-GB"/>
              </w:rPr>
              <w:t>Միջոցառման</w:t>
            </w:r>
            <w:r w:rsidRPr="00BC61ED">
              <w:rPr>
                <w:sz w:val="20"/>
                <w:szCs w:val="20"/>
                <w:lang w:val="af-ZA" w:eastAsia="en-GB"/>
              </w:rPr>
              <w:t xml:space="preserve"> </w:t>
            </w:r>
            <w:r w:rsidRPr="00BC61ED">
              <w:rPr>
                <w:sz w:val="20"/>
                <w:szCs w:val="20"/>
                <w:lang w:eastAsia="en-GB"/>
              </w:rPr>
              <w:t>իրականացումը</w:t>
            </w:r>
            <w:r w:rsidRPr="00BC61ED">
              <w:rPr>
                <w:sz w:val="20"/>
                <w:szCs w:val="20"/>
                <w:lang w:val="af-ZA" w:eastAsia="en-GB"/>
              </w:rPr>
              <w:t xml:space="preserve"> </w:t>
            </w:r>
            <w:r w:rsidRPr="00BC61ED">
              <w:rPr>
                <w:sz w:val="20"/>
                <w:szCs w:val="20"/>
                <w:lang w:eastAsia="en-GB"/>
              </w:rPr>
              <w:t>նորմատիվ</w:t>
            </w:r>
            <w:r w:rsidRPr="00BC61ED">
              <w:rPr>
                <w:sz w:val="20"/>
                <w:szCs w:val="20"/>
                <w:lang w:val="af-ZA" w:eastAsia="en-GB"/>
              </w:rPr>
              <w:t xml:space="preserve"> </w:t>
            </w:r>
            <w:r w:rsidRPr="00BC61ED">
              <w:rPr>
                <w:sz w:val="20"/>
                <w:szCs w:val="20"/>
                <w:lang w:eastAsia="en-GB"/>
              </w:rPr>
              <w:t>իրավական</w:t>
            </w:r>
            <w:r w:rsidRPr="00BC61ED">
              <w:rPr>
                <w:sz w:val="20"/>
                <w:szCs w:val="20"/>
                <w:lang w:val="af-ZA" w:eastAsia="en-GB"/>
              </w:rPr>
              <w:t xml:space="preserve"> </w:t>
            </w:r>
            <w:r w:rsidRPr="00BC61ED">
              <w:rPr>
                <w:sz w:val="20"/>
                <w:szCs w:val="20"/>
                <w:lang w:eastAsia="en-GB"/>
              </w:rPr>
              <w:t>ակտերի</w:t>
            </w:r>
            <w:r w:rsidRPr="00BC61ED">
              <w:rPr>
                <w:sz w:val="20"/>
                <w:szCs w:val="20"/>
                <w:lang w:val="af-ZA" w:eastAsia="en-GB"/>
              </w:rPr>
              <w:t xml:space="preserve"> </w:t>
            </w:r>
            <w:r w:rsidRPr="00BC61ED">
              <w:rPr>
                <w:sz w:val="20"/>
                <w:szCs w:val="20"/>
                <w:lang w:eastAsia="en-GB"/>
              </w:rPr>
              <w:t>ընդունման</w:t>
            </w:r>
            <w:r w:rsidRPr="00BC61ED">
              <w:rPr>
                <w:sz w:val="20"/>
                <w:szCs w:val="20"/>
                <w:lang w:val="af-ZA" w:eastAsia="en-GB"/>
              </w:rPr>
              <w:t xml:space="preserve"> </w:t>
            </w:r>
            <w:r w:rsidRPr="00BC61ED">
              <w:rPr>
                <w:sz w:val="20"/>
                <w:szCs w:val="20"/>
                <w:lang w:eastAsia="en-GB"/>
              </w:rPr>
              <w:t>անհրաժեշտություն</w:t>
            </w:r>
            <w:r w:rsidRPr="00BC61ED">
              <w:rPr>
                <w:sz w:val="20"/>
                <w:szCs w:val="20"/>
                <w:lang w:val="af-ZA" w:eastAsia="en-GB"/>
              </w:rPr>
              <w:t xml:space="preserve"> </w:t>
            </w:r>
            <w:r w:rsidRPr="00BC61ED">
              <w:rPr>
                <w:sz w:val="20"/>
                <w:szCs w:val="20"/>
                <w:lang w:eastAsia="en-GB"/>
              </w:rPr>
              <w:t>չի</w:t>
            </w:r>
            <w:r w:rsidRPr="00BC61ED">
              <w:rPr>
                <w:sz w:val="20"/>
                <w:szCs w:val="20"/>
                <w:lang w:val="af-ZA" w:eastAsia="en-GB"/>
              </w:rPr>
              <w:t xml:space="preserve"> </w:t>
            </w:r>
            <w:r w:rsidRPr="00BC61ED">
              <w:rPr>
                <w:sz w:val="20"/>
                <w:szCs w:val="20"/>
                <w:lang w:eastAsia="en-GB"/>
              </w:rPr>
              <w:t>առաջացնում</w:t>
            </w:r>
            <w:r w:rsidRPr="00BC61ED">
              <w:rPr>
                <w:sz w:val="20"/>
                <w:szCs w:val="20"/>
                <w:lang w:val="af-ZA" w:eastAsia="en-GB"/>
              </w:rPr>
              <w:t xml:space="preserve">: </w:t>
            </w:r>
          </w:p>
          <w:p w:rsidR="0068680D" w:rsidRPr="00BC61ED" w:rsidRDefault="0068680D" w:rsidP="00F47DC4">
            <w:pPr>
              <w:spacing w:line="276" w:lineRule="auto"/>
              <w:jc w:val="both"/>
              <w:rPr>
                <w:b/>
                <w:sz w:val="20"/>
                <w:szCs w:val="20"/>
                <w:lang w:val="hy-AM"/>
              </w:rPr>
            </w:pPr>
            <w:r w:rsidRPr="00BC61ED">
              <w:rPr>
                <w:b/>
                <w:sz w:val="20"/>
                <w:szCs w:val="20"/>
                <w:lang w:val="af-ZA"/>
              </w:rPr>
              <w:t xml:space="preserve">   </w:t>
            </w:r>
            <w:r w:rsidRPr="00BC61ED">
              <w:rPr>
                <w:b/>
                <w:sz w:val="20"/>
                <w:szCs w:val="20"/>
                <w:lang w:val="hy-AM"/>
              </w:rPr>
              <w:t>1.1. կարգավորման հարաբերությունների ներկա վիճակը և առկա խնդիրները</w:t>
            </w:r>
          </w:p>
          <w:p w:rsidR="0068680D" w:rsidRPr="00BC61ED" w:rsidRDefault="0068680D" w:rsidP="00F47DC4">
            <w:pPr>
              <w:keepNext/>
              <w:spacing w:line="276" w:lineRule="auto"/>
              <w:jc w:val="both"/>
              <w:outlineLvl w:val="4"/>
              <w:rPr>
                <w:rFonts w:cs="Arial Armenian"/>
                <w:sz w:val="20"/>
                <w:szCs w:val="20"/>
                <w:lang w:val="pt-BR"/>
              </w:rPr>
            </w:pPr>
            <w:r w:rsidRPr="00BC61ED">
              <w:rPr>
                <w:rFonts w:cs="Sylfaen"/>
                <w:sz w:val="20"/>
                <w:szCs w:val="20"/>
                <w:lang w:val="pt-BR"/>
              </w:rPr>
              <w:t xml:space="preserve">   Ծրագրի</w:t>
            </w:r>
            <w:r w:rsidRPr="00BC61ED">
              <w:rPr>
                <w:rFonts w:cs="Arial Armenian"/>
                <w:sz w:val="20"/>
                <w:szCs w:val="20"/>
                <w:lang w:val="pt-BR"/>
              </w:rPr>
              <w:t xml:space="preserve"> </w:t>
            </w:r>
            <w:r w:rsidRPr="00BC61ED">
              <w:rPr>
                <w:rFonts w:cs="Sylfaen"/>
                <w:sz w:val="20"/>
                <w:szCs w:val="20"/>
                <w:lang w:val="pt-BR"/>
              </w:rPr>
              <w:t>հիմնական</w:t>
            </w:r>
            <w:r w:rsidRPr="00BC61ED">
              <w:rPr>
                <w:rFonts w:cs="Arial Armenian"/>
                <w:sz w:val="20"/>
                <w:szCs w:val="20"/>
                <w:lang w:val="pt-BR"/>
              </w:rPr>
              <w:t xml:space="preserve"> </w:t>
            </w:r>
            <w:r w:rsidRPr="00BC61ED">
              <w:rPr>
                <w:rFonts w:cs="Sylfaen"/>
                <w:sz w:val="20"/>
                <w:szCs w:val="20"/>
                <w:lang w:val="pt-BR"/>
              </w:rPr>
              <w:t>նպատակն</w:t>
            </w:r>
            <w:r w:rsidRPr="00BC61ED">
              <w:rPr>
                <w:rFonts w:cs="Arial Armenian"/>
                <w:sz w:val="20"/>
                <w:szCs w:val="20"/>
                <w:lang w:val="pt-BR"/>
              </w:rPr>
              <w:t xml:space="preserve"> </w:t>
            </w:r>
            <w:r w:rsidRPr="00BC61ED">
              <w:rPr>
                <w:rFonts w:cs="Sylfaen"/>
                <w:sz w:val="20"/>
                <w:szCs w:val="20"/>
                <w:lang w:val="pt-BR"/>
              </w:rPr>
              <w:t>է</w:t>
            </w:r>
            <w:r w:rsidRPr="00BC61ED">
              <w:rPr>
                <w:rFonts w:cs="Arial Armenian"/>
                <w:sz w:val="20"/>
                <w:szCs w:val="20"/>
                <w:lang w:val="pt-BR"/>
              </w:rPr>
              <w:t xml:space="preserve"> «</w:t>
            </w:r>
            <w:r w:rsidRPr="00BC61ED">
              <w:rPr>
                <w:rFonts w:cs="Sylfaen"/>
                <w:sz w:val="20"/>
                <w:szCs w:val="20"/>
                <w:lang w:val="pt-BR"/>
              </w:rPr>
              <w:t>Աշխարհագրական</w:t>
            </w:r>
            <w:r w:rsidRPr="00BC61ED">
              <w:rPr>
                <w:rFonts w:cs="Arial Armenian"/>
                <w:sz w:val="20"/>
                <w:szCs w:val="20"/>
                <w:lang w:val="pt-BR"/>
              </w:rPr>
              <w:t xml:space="preserve"> </w:t>
            </w:r>
            <w:r w:rsidRPr="00BC61ED">
              <w:rPr>
                <w:rFonts w:cs="Sylfaen"/>
                <w:sz w:val="20"/>
                <w:szCs w:val="20"/>
                <w:lang w:val="pt-BR"/>
              </w:rPr>
              <w:t>անվանումների</w:t>
            </w:r>
            <w:r w:rsidRPr="00BC61ED">
              <w:rPr>
                <w:rFonts w:cs="Arial Armenian"/>
                <w:sz w:val="20"/>
                <w:szCs w:val="20"/>
                <w:lang w:val="pt-BR"/>
              </w:rPr>
              <w:t xml:space="preserve"> </w:t>
            </w:r>
            <w:r w:rsidRPr="00BC61ED">
              <w:rPr>
                <w:rFonts w:cs="Sylfaen"/>
                <w:sz w:val="20"/>
                <w:szCs w:val="20"/>
                <w:lang w:val="pt-BR"/>
              </w:rPr>
              <w:t>մասին»</w:t>
            </w:r>
            <w:r w:rsidRPr="00BC61ED">
              <w:rPr>
                <w:rFonts w:cs="Arial Armenian"/>
                <w:sz w:val="20"/>
                <w:szCs w:val="20"/>
                <w:lang w:val="pt-BR"/>
              </w:rPr>
              <w:t xml:space="preserve"> </w:t>
            </w:r>
            <w:r w:rsidRPr="00BC61ED">
              <w:rPr>
                <w:rFonts w:cs="Sylfaen"/>
                <w:sz w:val="20"/>
                <w:szCs w:val="20"/>
                <w:lang w:val="pt-BR"/>
              </w:rPr>
              <w:t>ՀՀ</w:t>
            </w:r>
            <w:r w:rsidRPr="00BC61ED">
              <w:rPr>
                <w:rFonts w:cs="Arial Armenian"/>
                <w:sz w:val="20"/>
                <w:szCs w:val="20"/>
                <w:lang w:val="pt-BR"/>
              </w:rPr>
              <w:t xml:space="preserve"> </w:t>
            </w:r>
            <w:r w:rsidRPr="00BC61ED">
              <w:rPr>
                <w:rFonts w:cs="Sylfaen"/>
                <w:sz w:val="20"/>
                <w:szCs w:val="20"/>
                <w:lang w:val="pt-BR"/>
              </w:rPr>
              <w:t>օրենքի</w:t>
            </w:r>
            <w:r w:rsidRPr="00BC61ED">
              <w:rPr>
                <w:rFonts w:cs="Arial Armenian"/>
                <w:sz w:val="20"/>
                <w:szCs w:val="20"/>
                <w:lang w:val="pt-BR"/>
              </w:rPr>
              <w:t xml:space="preserve"> </w:t>
            </w:r>
            <w:r w:rsidRPr="00BC61ED">
              <w:rPr>
                <w:rFonts w:cs="Sylfaen"/>
                <w:sz w:val="20"/>
                <w:szCs w:val="20"/>
                <w:lang w:val="pt-BR"/>
              </w:rPr>
              <w:t>պահանջներին</w:t>
            </w:r>
            <w:r w:rsidRPr="00BC61ED">
              <w:rPr>
                <w:rFonts w:cs="Arial Armenian"/>
                <w:sz w:val="20"/>
                <w:szCs w:val="20"/>
                <w:lang w:val="pt-BR"/>
              </w:rPr>
              <w:t xml:space="preserve"> </w:t>
            </w:r>
            <w:r w:rsidRPr="00BC61ED">
              <w:rPr>
                <w:rFonts w:cs="Sylfaen"/>
                <w:sz w:val="20"/>
                <w:szCs w:val="20"/>
                <w:lang w:val="pt-BR"/>
              </w:rPr>
              <w:t>համապատասխան</w:t>
            </w:r>
            <w:r w:rsidRPr="00BC61ED">
              <w:rPr>
                <w:rFonts w:cs="Arial Armenian"/>
                <w:sz w:val="20"/>
                <w:szCs w:val="20"/>
                <w:lang w:val="pt-BR"/>
              </w:rPr>
              <w:t xml:space="preserve"> </w:t>
            </w:r>
            <w:r w:rsidRPr="00BC61ED">
              <w:rPr>
                <w:rFonts w:cs="Sylfaen"/>
                <w:sz w:val="20"/>
                <w:szCs w:val="20"/>
                <w:lang w:val="pt-BR"/>
              </w:rPr>
              <w:t>ոլորտի</w:t>
            </w:r>
            <w:r w:rsidRPr="00BC61ED">
              <w:rPr>
                <w:rFonts w:cs="Arial Armenian"/>
                <w:sz w:val="20"/>
                <w:szCs w:val="20"/>
                <w:lang w:val="pt-BR"/>
              </w:rPr>
              <w:t xml:space="preserve"> </w:t>
            </w:r>
            <w:r w:rsidRPr="00BC61ED">
              <w:rPr>
                <w:rFonts w:cs="Sylfaen"/>
                <w:sz w:val="20"/>
                <w:szCs w:val="20"/>
                <w:lang w:val="pt-BR"/>
              </w:rPr>
              <w:t>զարգացման</w:t>
            </w:r>
            <w:r w:rsidRPr="00BC61ED">
              <w:rPr>
                <w:rFonts w:cs="Arial Armenian"/>
                <w:sz w:val="20"/>
                <w:szCs w:val="20"/>
                <w:lang w:val="pt-BR"/>
              </w:rPr>
              <w:t xml:space="preserve"> </w:t>
            </w:r>
            <w:r w:rsidRPr="00BC61ED">
              <w:rPr>
                <w:rFonts w:cs="Sylfaen"/>
                <w:sz w:val="20"/>
                <w:szCs w:val="20"/>
                <w:lang w:val="pt-BR"/>
              </w:rPr>
              <w:t>և</w:t>
            </w:r>
            <w:r w:rsidRPr="00BC61ED">
              <w:rPr>
                <w:rFonts w:cs="Arial Armenian"/>
                <w:sz w:val="20"/>
                <w:szCs w:val="20"/>
                <w:lang w:val="pt-BR"/>
              </w:rPr>
              <w:t xml:space="preserve"> </w:t>
            </w:r>
            <w:r w:rsidRPr="00BC61ED">
              <w:rPr>
                <w:rFonts w:cs="Sylfaen"/>
                <w:sz w:val="20"/>
                <w:szCs w:val="20"/>
                <w:lang w:val="pt-BR"/>
              </w:rPr>
              <w:t>արդյունավետության</w:t>
            </w:r>
            <w:r w:rsidRPr="00BC61ED">
              <w:rPr>
                <w:rFonts w:cs="Arial Armenian"/>
                <w:sz w:val="20"/>
                <w:szCs w:val="20"/>
                <w:lang w:val="pt-BR"/>
              </w:rPr>
              <w:t xml:space="preserve"> </w:t>
            </w:r>
            <w:r w:rsidRPr="00BC61ED">
              <w:rPr>
                <w:rFonts w:cs="Sylfaen"/>
                <w:sz w:val="20"/>
                <w:szCs w:val="20"/>
                <w:lang w:val="pt-BR"/>
              </w:rPr>
              <w:t>բարձրացման</w:t>
            </w:r>
            <w:r w:rsidRPr="00BC61ED">
              <w:rPr>
                <w:rFonts w:cs="Arial Armenian"/>
                <w:sz w:val="20"/>
                <w:szCs w:val="20"/>
                <w:lang w:val="pt-BR"/>
              </w:rPr>
              <w:t xml:space="preserve"> </w:t>
            </w:r>
            <w:r w:rsidRPr="00BC61ED">
              <w:rPr>
                <w:rFonts w:cs="Sylfaen"/>
                <w:sz w:val="20"/>
                <w:szCs w:val="20"/>
                <w:lang w:val="pt-BR"/>
              </w:rPr>
              <w:t>համար</w:t>
            </w:r>
            <w:r w:rsidRPr="00BC61ED">
              <w:rPr>
                <w:rFonts w:cs="Arial Armenian"/>
                <w:sz w:val="20"/>
                <w:szCs w:val="20"/>
                <w:lang w:val="pt-BR"/>
              </w:rPr>
              <w:t xml:space="preserve"> </w:t>
            </w:r>
            <w:r w:rsidRPr="00BC61ED">
              <w:rPr>
                <w:rFonts w:cs="Sylfaen"/>
                <w:sz w:val="20"/>
                <w:szCs w:val="20"/>
                <w:lang w:val="pt-BR"/>
              </w:rPr>
              <w:t>Հայաստանի</w:t>
            </w:r>
            <w:r w:rsidRPr="00BC61ED">
              <w:rPr>
                <w:rFonts w:cs="Arial Armenian"/>
                <w:sz w:val="20"/>
                <w:szCs w:val="20"/>
                <w:lang w:val="pt-BR"/>
              </w:rPr>
              <w:t xml:space="preserve"> </w:t>
            </w:r>
            <w:r w:rsidRPr="00BC61ED">
              <w:rPr>
                <w:rFonts w:cs="Sylfaen"/>
                <w:sz w:val="20"/>
                <w:szCs w:val="20"/>
                <w:lang w:val="pt-BR"/>
              </w:rPr>
              <w:t>Հանրապետության</w:t>
            </w:r>
            <w:r w:rsidRPr="00BC61ED">
              <w:rPr>
                <w:rFonts w:cs="Arial Armenian"/>
                <w:sz w:val="20"/>
                <w:szCs w:val="20"/>
                <w:lang w:val="pt-BR"/>
              </w:rPr>
              <w:t xml:space="preserve"> </w:t>
            </w:r>
            <w:r w:rsidRPr="00BC61ED">
              <w:rPr>
                <w:rFonts w:cs="Sylfaen"/>
                <w:sz w:val="20"/>
                <w:szCs w:val="20"/>
                <w:lang w:val="pt-BR"/>
              </w:rPr>
              <w:t>աշխարհագրական</w:t>
            </w:r>
            <w:r w:rsidRPr="00BC61ED">
              <w:rPr>
                <w:rFonts w:cs="Arial Armenian"/>
                <w:sz w:val="20"/>
                <w:szCs w:val="20"/>
                <w:lang w:val="pt-BR"/>
              </w:rPr>
              <w:t xml:space="preserve"> </w:t>
            </w:r>
            <w:r w:rsidRPr="00BC61ED">
              <w:rPr>
                <w:rFonts w:cs="Sylfaen"/>
                <w:sz w:val="20"/>
                <w:szCs w:val="20"/>
                <w:lang w:val="pt-BR"/>
              </w:rPr>
              <w:t>անվանումների</w:t>
            </w:r>
            <w:r w:rsidRPr="00BC61ED">
              <w:rPr>
                <w:rFonts w:cs="Arial Armenian"/>
                <w:sz w:val="20"/>
                <w:szCs w:val="20"/>
                <w:lang w:val="pt-BR"/>
              </w:rPr>
              <w:t xml:space="preserve"> </w:t>
            </w:r>
            <w:r w:rsidRPr="00BC61ED">
              <w:rPr>
                <w:rFonts w:cs="Sylfaen"/>
                <w:sz w:val="20"/>
                <w:szCs w:val="20"/>
                <w:lang w:val="pt-BR"/>
              </w:rPr>
              <w:t>պետական</w:t>
            </w:r>
            <w:r w:rsidRPr="00BC61ED">
              <w:rPr>
                <w:rFonts w:cs="Arial Armenian"/>
                <w:sz w:val="20"/>
                <w:szCs w:val="20"/>
                <w:lang w:val="pt-BR"/>
              </w:rPr>
              <w:t xml:space="preserve"> </w:t>
            </w:r>
            <w:r w:rsidRPr="00BC61ED">
              <w:rPr>
                <w:rFonts w:cs="Sylfaen"/>
                <w:sz w:val="20"/>
                <w:szCs w:val="20"/>
                <w:lang w:val="pt-BR"/>
              </w:rPr>
              <w:t>քարտադարանի</w:t>
            </w:r>
            <w:r w:rsidRPr="00BC61ED">
              <w:rPr>
                <w:rFonts w:cs="Arial Armenian"/>
                <w:sz w:val="20"/>
                <w:szCs w:val="20"/>
                <w:lang w:val="pt-BR"/>
              </w:rPr>
              <w:t xml:space="preserve"> </w:t>
            </w:r>
            <w:r w:rsidRPr="00BC61ED">
              <w:rPr>
                <w:rFonts w:cs="Sylfaen"/>
                <w:sz w:val="20"/>
                <w:szCs w:val="20"/>
                <w:lang w:val="pt-BR"/>
              </w:rPr>
              <w:t>վարումը</w:t>
            </w:r>
            <w:r w:rsidRPr="00BC61ED">
              <w:rPr>
                <w:rFonts w:cs="Arial Armenian"/>
                <w:sz w:val="20"/>
                <w:szCs w:val="20"/>
                <w:lang w:val="pt-BR"/>
              </w:rPr>
              <w:t xml:space="preserve">, </w:t>
            </w:r>
            <w:r w:rsidRPr="00BC61ED">
              <w:rPr>
                <w:rFonts w:cs="Sylfaen"/>
                <w:sz w:val="20"/>
                <w:szCs w:val="20"/>
                <w:lang w:val="pt-BR"/>
              </w:rPr>
              <w:t>ՀՀ</w:t>
            </w:r>
            <w:r w:rsidRPr="00BC61ED">
              <w:rPr>
                <w:rFonts w:cs="Arial Armenian"/>
                <w:sz w:val="20"/>
                <w:szCs w:val="20"/>
                <w:lang w:val="pt-BR"/>
              </w:rPr>
              <w:t xml:space="preserve"> </w:t>
            </w:r>
            <w:r w:rsidRPr="00BC61ED">
              <w:rPr>
                <w:rFonts w:cs="Sylfaen"/>
                <w:sz w:val="20"/>
                <w:szCs w:val="20"/>
                <w:lang w:val="pt-BR"/>
              </w:rPr>
              <w:t>սահմաններից</w:t>
            </w:r>
            <w:r w:rsidRPr="00BC61ED">
              <w:rPr>
                <w:rFonts w:cs="Arial Armenian"/>
                <w:sz w:val="20"/>
                <w:szCs w:val="20"/>
                <w:lang w:val="pt-BR"/>
              </w:rPr>
              <w:t xml:space="preserve"> </w:t>
            </w:r>
            <w:r w:rsidRPr="00BC61ED">
              <w:rPr>
                <w:rFonts w:cs="Sylfaen"/>
                <w:sz w:val="20"/>
                <w:szCs w:val="20"/>
                <w:lang w:val="pt-BR"/>
              </w:rPr>
              <w:t>դուրս</w:t>
            </w:r>
            <w:r w:rsidRPr="00BC61ED">
              <w:rPr>
                <w:rFonts w:cs="Arial Armenian"/>
                <w:sz w:val="20"/>
                <w:szCs w:val="20"/>
                <w:lang w:val="pt-BR"/>
              </w:rPr>
              <w:t xml:space="preserve"> </w:t>
            </w:r>
            <w:r w:rsidRPr="00BC61ED">
              <w:rPr>
                <w:rFonts w:cs="Sylfaen"/>
                <w:sz w:val="20"/>
                <w:szCs w:val="20"/>
                <w:lang w:val="pt-BR"/>
              </w:rPr>
              <w:t>գտնվող</w:t>
            </w:r>
            <w:r w:rsidRPr="00BC61ED">
              <w:rPr>
                <w:rFonts w:cs="Arial Armenian"/>
                <w:sz w:val="20"/>
                <w:szCs w:val="20"/>
                <w:lang w:val="pt-BR"/>
              </w:rPr>
              <w:t xml:space="preserve"> </w:t>
            </w:r>
            <w:r w:rsidRPr="00BC61ED">
              <w:rPr>
                <w:rFonts w:cs="Sylfaen"/>
                <w:sz w:val="20"/>
                <w:szCs w:val="20"/>
                <w:lang w:val="pt-BR"/>
              </w:rPr>
              <w:t>աշխարհագրական</w:t>
            </w:r>
            <w:r w:rsidRPr="00BC61ED">
              <w:rPr>
                <w:rFonts w:cs="Arial Armenian"/>
                <w:sz w:val="20"/>
                <w:szCs w:val="20"/>
                <w:lang w:val="pt-BR"/>
              </w:rPr>
              <w:t xml:space="preserve">  </w:t>
            </w:r>
            <w:r w:rsidRPr="00BC61ED">
              <w:rPr>
                <w:rFonts w:cs="Sylfaen"/>
                <w:sz w:val="20"/>
                <w:szCs w:val="20"/>
                <w:lang w:val="pt-BR"/>
              </w:rPr>
              <w:t>անվանումների</w:t>
            </w:r>
            <w:r w:rsidRPr="00BC61ED">
              <w:rPr>
                <w:rFonts w:cs="Arial Armenian"/>
                <w:sz w:val="20"/>
                <w:szCs w:val="20"/>
                <w:lang w:val="pt-BR"/>
              </w:rPr>
              <w:t xml:space="preserve"> </w:t>
            </w:r>
            <w:r w:rsidRPr="00BC61ED">
              <w:rPr>
                <w:rFonts w:cs="Sylfaen"/>
                <w:sz w:val="20"/>
                <w:szCs w:val="20"/>
                <w:lang w:val="pt-BR"/>
              </w:rPr>
              <w:t>տեղեկատվական</w:t>
            </w:r>
            <w:r w:rsidRPr="00BC61ED">
              <w:rPr>
                <w:rFonts w:cs="Arial Armenian"/>
                <w:sz w:val="20"/>
                <w:szCs w:val="20"/>
                <w:lang w:val="pt-BR"/>
              </w:rPr>
              <w:t xml:space="preserve"> </w:t>
            </w:r>
            <w:r w:rsidRPr="00BC61ED">
              <w:rPr>
                <w:rFonts w:cs="Sylfaen"/>
                <w:sz w:val="20"/>
                <w:szCs w:val="20"/>
                <w:lang w:val="pt-BR"/>
              </w:rPr>
              <w:t>բանկի</w:t>
            </w:r>
            <w:r w:rsidRPr="00BC61ED">
              <w:rPr>
                <w:rFonts w:cs="Arial Armenian"/>
                <w:sz w:val="20"/>
                <w:szCs w:val="20"/>
                <w:lang w:val="pt-BR"/>
              </w:rPr>
              <w:t xml:space="preserve"> </w:t>
            </w:r>
            <w:r w:rsidRPr="00BC61ED">
              <w:rPr>
                <w:rFonts w:cs="Sylfaen"/>
                <w:sz w:val="20"/>
                <w:szCs w:val="20"/>
                <w:lang w:val="pt-BR"/>
              </w:rPr>
              <w:t>ստեղծումը</w:t>
            </w:r>
            <w:r w:rsidRPr="00BC61ED">
              <w:rPr>
                <w:rFonts w:cs="Arial Armenian"/>
                <w:sz w:val="20"/>
                <w:szCs w:val="20"/>
                <w:lang w:val="pt-BR"/>
              </w:rPr>
              <w:t xml:space="preserve"> </w:t>
            </w:r>
            <w:r w:rsidRPr="00BC61ED">
              <w:rPr>
                <w:rFonts w:cs="Sylfaen"/>
                <w:sz w:val="20"/>
                <w:szCs w:val="20"/>
                <w:lang w:val="pt-BR"/>
              </w:rPr>
              <w:t>և</w:t>
            </w:r>
            <w:r w:rsidRPr="00BC61ED">
              <w:rPr>
                <w:rFonts w:cs="Arial Armenian"/>
                <w:sz w:val="20"/>
                <w:szCs w:val="20"/>
                <w:lang w:val="pt-BR"/>
              </w:rPr>
              <w:t xml:space="preserve"> </w:t>
            </w:r>
            <w:r w:rsidRPr="00BC61ED">
              <w:rPr>
                <w:rFonts w:cs="Sylfaen"/>
                <w:sz w:val="20"/>
                <w:szCs w:val="20"/>
                <w:lang w:val="pt-BR"/>
              </w:rPr>
              <w:t>տարբեր</w:t>
            </w:r>
            <w:r w:rsidRPr="00BC61ED">
              <w:rPr>
                <w:rFonts w:cs="Arial Armenian"/>
                <w:sz w:val="20"/>
                <w:szCs w:val="20"/>
                <w:lang w:val="pt-BR"/>
              </w:rPr>
              <w:t xml:space="preserve"> </w:t>
            </w:r>
            <w:r w:rsidRPr="00BC61ED">
              <w:rPr>
                <w:rFonts w:cs="Sylfaen"/>
                <w:sz w:val="20"/>
                <w:szCs w:val="20"/>
                <w:lang w:val="pt-BR"/>
              </w:rPr>
              <w:t>տեղեկատուների</w:t>
            </w:r>
            <w:r w:rsidRPr="00BC61ED">
              <w:rPr>
                <w:rFonts w:cs="Arial Armenian"/>
                <w:sz w:val="20"/>
                <w:szCs w:val="20"/>
                <w:lang w:val="pt-BR"/>
              </w:rPr>
              <w:t xml:space="preserve"> </w:t>
            </w:r>
            <w:r w:rsidRPr="00BC61ED">
              <w:rPr>
                <w:rFonts w:cs="Sylfaen"/>
                <w:sz w:val="20"/>
                <w:szCs w:val="20"/>
                <w:lang w:val="pt-BR"/>
              </w:rPr>
              <w:t>ու</w:t>
            </w:r>
            <w:r w:rsidRPr="00BC61ED">
              <w:rPr>
                <w:rFonts w:cs="Arial Armenian"/>
                <w:sz w:val="20"/>
                <w:szCs w:val="20"/>
                <w:lang w:val="pt-BR"/>
              </w:rPr>
              <w:t xml:space="preserve"> </w:t>
            </w:r>
            <w:r w:rsidRPr="00BC61ED">
              <w:rPr>
                <w:rFonts w:cs="Sylfaen"/>
                <w:sz w:val="20"/>
                <w:szCs w:val="20"/>
                <w:lang w:val="pt-BR"/>
              </w:rPr>
              <w:t>բառարանների</w:t>
            </w:r>
            <w:r w:rsidRPr="00BC61ED">
              <w:rPr>
                <w:rFonts w:cs="Arial Armenian"/>
                <w:sz w:val="20"/>
                <w:szCs w:val="20"/>
                <w:lang w:val="pt-BR"/>
              </w:rPr>
              <w:t xml:space="preserve"> </w:t>
            </w:r>
            <w:r w:rsidRPr="00BC61ED">
              <w:rPr>
                <w:rFonts w:cs="Arial Armenian"/>
                <w:sz w:val="20"/>
                <w:szCs w:val="20"/>
                <w:lang w:val="hy-AM"/>
              </w:rPr>
              <w:t xml:space="preserve">առցանց </w:t>
            </w:r>
            <w:r w:rsidRPr="00BC61ED">
              <w:rPr>
                <w:rFonts w:cs="Sylfaen"/>
                <w:sz w:val="20"/>
                <w:szCs w:val="20"/>
                <w:lang w:val="pt-BR"/>
              </w:rPr>
              <w:t>հրատարակումը</w:t>
            </w:r>
            <w:r w:rsidRPr="00BC61ED">
              <w:rPr>
                <w:rFonts w:cs="Arial Armenian"/>
                <w:sz w:val="20"/>
                <w:szCs w:val="20"/>
                <w:lang w:val="pt-BR"/>
              </w:rPr>
              <w:t>:</w:t>
            </w:r>
          </w:p>
          <w:p w:rsidR="0068680D" w:rsidRPr="00BC61ED" w:rsidRDefault="0068680D" w:rsidP="00F47DC4">
            <w:pPr>
              <w:keepNext/>
              <w:spacing w:line="276" w:lineRule="auto"/>
              <w:ind w:right="-1"/>
              <w:jc w:val="both"/>
              <w:outlineLvl w:val="4"/>
              <w:rPr>
                <w:rFonts w:cs="Arial Armenian"/>
                <w:sz w:val="20"/>
                <w:szCs w:val="20"/>
                <w:lang w:val="pt-BR"/>
              </w:rPr>
            </w:pPr>
            <w:r w:rsidRPr="00BC61ED">
              <w:rPr>
                <w:rFonts w:cs="Sylfaen"/>
                <w:sz w:val="20"/>
                <w:szCs w:val="20"/>
                <w:lang w:val="pt-BR"/>
              </w:rPr>
              <w:t xml:space="preserve">   Այս</w:t>
            </w:r>
            <w:r w:rsidRPr="00BC61ED">
              <w:rPr>
                <w:rFonts w:cs="Arial Armenian"/>
                <w:sz w:val="20"/>
                <w:szCs w:val="20"/>
                <w:lang w:val="pt-BR"/>
              </w:rPr>
              <w:t xml:space="preserve"> </w:t>
            </w:r>
            <w:r w:rsidRPr="00BC61ED">
              <w:rPr>
                <w:rFonts w:cs="Sylfaen"/>
                <w:sz w:val="20"/>
                <w:szCs w:val="20"/>
                <w:lang w:val="pt-BR"/>
              </w:rPr>
              <w:t>բնագավառում</w:t>
            </w:r>
            <w:r w:rsidRPr="00BC61ED">
              <w:rPr>
                <w:rFonts w:cs="Arial Armenian"/>
                <w:sz w:val="20"/>
                <w:szCs w:val="20"/>
                <w:lang w:val="pt-BR"/>
              </w:rPr>
              <w:t xml:space="preserve"> </w:t>
            </w:r>
            <w:r w:rsidRPr="00BC61ED">
              <w:rPr>
                <w:rFonts w:cs="Sylfaen"/>
                <w:sz w:val="20"/>
                <w:szCs w:val="20"/>
                <w:lang w:val="pt-BR"/>
              </w:rPr>
              <w:t>ՀՀ</w:t>
            </w:r>
            <w:r w:rsidRPr="00BC61ED">
              <w:rPr>
                <w:rFonts w:cs="Arial Armenian"/>
                <w:sz w:val="20"/>
                <w:szCs w:val="20"/>
                <w:lang w:val="pt-BR"/>
              </w:rPr>
              <w:t xml:space="preserve"> </w:t>
            </w:r>
            <w:r w:rsidRPr="00BC61ED">
              <w:rPr>
                <w:rFonts w:cs="Sylfaen"/>
                <w:sz w:val="20"/>
                <w:szCs w:val="20"/>
                <w:lang w:val="pt-BR"/>
              </w:rPr>
              <w:t>կառավարության</w:t>
            </w:r>
            <w:r w:rsidRPr="00BC61ED">
              <w:rPr>
                <w:rFonts w:cs="Arial Armenian"/>
                <w:sz w:val="20"/>
                <w:szCs w:val="20"/>
                <w:lang w:val="pt-BR"/>
              </w:rPr>
              <w:t xml:space="preserve"> 2001 </w:t>
            </w:r>
            <w:r w:rsidRPr="00BC61ED">
              <w:rPr>
                <w:rFonts w:cs="Sylfaen"/>
                <w:sz w:val="20"/>
                <w:szCs w:val="20"/>
                <w:lang w:val="pt-BR"/>
              </w:rPr>
              <w:t>թվականի հունիսի 9-ի</w:t>
            </w:r>
            <w:r w:rsidRPr="00BC61ED">
              <w:rPr>
                <w:rFonts w:cs="Arial Armenian"/>
                <w:sz w:val="20"/>
                <w:szCs w:val="20"/>
                <w:lang w:val="pt-BR"/>
              </w:rPr>
              <w:t xml:space="preserve"> N 502 </w:t>
            </w:r>
            <w:r w:rsidRPr="00BC61ED">
              <w:rPr>
                <w:rFonts w:cs="Sylfaen"/>
                <w:sz w:val="20"/>
                <w:szCs w:val="20"/>
                <w:lang w:val="pt-BR"/>
              </w:rPr>
              <w:t>որոշմամբ</w:t>
            </w:r>
            <w:r w:rsidRPr="00BC61ED">
              <w:rPr>
                <w:rFonts w:cs="Arial Armenian"/>
                <w:sz w:val="20"/>
                <w:szCs w:val="20"/>
                <w:lang w:val="pt-BR"/>
              </w:rPr>
              <w:t xml:space="preserve"> </w:t>
            </w:r>
            <w:r w:rsidRPr="00BC61ED">
              <w:rPr>
                <w:rFonts w:cs="Sylfaen"/>
                <w:sz w:val="20"/>
                <w:szCs w:val="20"/>
                <w:lang w:val="pt-BR"/>
              </w:rPr>
              <w:t>հաստատված «ՀՀ</w:t>
            </w:r>
            <w:r w:rsidRPr="00BC61ED">
              <w:rPr>
                <w:rFonts w:cs="Arial Armenian"/>
                <w:sz w:val="20"/>
                <w:szCs w:val="20"/>
                <w:lang w:val="pt-BR"/>
              </w:rPr>
              <w:t xml:space="preserve"> </w:t>
            </w:r>
            <w:r w:rsidRPr="00BC61ED">
              <w:rPr>
                <w:rFonts w:cs="Sylfaen"/>
                <w:sz w:val="20"/>
                <w:szCs w:val="20"/>
                <w:lang w:val="pt-BR"/>
              </w:rPr>
              <w:t>աշխարհագրական</w:t>
            </w:r>
            <w:r w:rsidRPr="00BC61ED">
              <w:rPr>
                <w:rFonts w:cs="Arial Armenian"/>
                <w:sz w:val="20"/>
                <w:szCs w:val="20"/>
                <w:lang w:val="pt-BR"/>
              </w:rPr>
              <w:t xml:space="preserve"> </w:t>
            </w:r>
            <w:r w:rsidRPr="00BC61ED">
              <w:rPr>
                <w:rFonts w:cs="Sylfaen"/>
                <w:sz w:val="20"/>
                <w:szCs w:val="20"/>
                <w:lang w:val="pt-BR"/>
              </w:rPr>
              <w:t>անվանումների</w:t>
            </w:r>
            <w:r w:rsidRPr="00BC61ED">
              <w:rPr>
                <w:rFonts w:cs="Arial Armenian"/>
                <w:sz w:val="20"/>
                <w:szCs w:val="20"/>
                <w:lang w:val="pt-BR"/>
              </w:rPr>
              <w:t xml:space="preserve"> </w:t>
            </w:r>
            <w:r w:rsidRPr="00BC61ED">
              <w:rPr>
                <w:rFonts w:cs="Sylfaen"/>
                <w:sz w:val="20"/>
                <w:szCs w:val="20"/>
                <w:lang w:val="pt-BR"/>
              </w:rPr>
              <w:t>հաշվառման</w:t>
            </w:r>
            <w:r w:rsidRPr="00BC61ED">
              <w:rPr>
                <w:rFonts w:cs="Arial Armenian"/>
                <w:sz w:val="20"/>
                <w:szCs w:val="20"/>
                <w:lang w:val="pt-BR"/>
              </w:rPr>
              <w:t xml:space="preserve"> </w:t>
            </w:r>
            <w:r w:rsidRPr="00BC61ED">
              <w:rPr>
                <w:rFonts w:cs="Sylfaen"/>
                <w:sz w:val="20"/>
                <w:szCs w:val="20"/>
                <w:lang w:val="pt-BR"/>
              </w:rPr>
              <w:t>ու</w:t>
            </w:r>
            <w:r w:rsidRPr="00BC61ED">
              <w:rPr>
                <w:rFonts w:cs="Arial Armenian"/>
                <w:sz w:val="20"/>
                <w:szCs w:val="20"/>
                <w:lang w:val="pt-BR"/>
              </w:rPr>
              <w:t xml:space="preserve"> </w:t>
            </w:r>
            <w:r w:rsidRPr="00BC61ED">
              <w:rPr>
                <w:rFonts w:cs="Sylfaen"/>
                <w:sz w:val="20"/>
                <w:szCs w:val="20"/>
                <w:lang w:val="pt-BR"/>
              </w:rPr>
              <w:t>գրանցման</w:t>
            </w:r>
            <w:r w:rsidRPr="00BC61ED">
              <w:rPr>
                <w:rFonts w:cs="Arial Armenian"/>
                <w:sz w:val="20"/>
                <w:szCs w:val="20"/>
                <w:lang w:val="pt-BR"/>
              </w:rPr>
              <w:t xml:space="preserve">, </w:t>
            </w:r>
            <w:r w:rsidRPr="00BC61ED">
              <w:rPr>
                <w:rFonts w:cs="Sylfaen"/>
                <w:sz w:val="20"/>
                <w:szCs w:val="20"/>
                <w:lang w:val="pt-BR"/>
              </w:rPr>
              <w:t>պետական</w:t>
            </w:r>
            <w:r w:rsidRPr="00BC61ED">
              <w:rPr>
                <w:rFonts w:cs="Arial Armenian"/>
                <w:sz w:val="20"/>
                <w:szCs w:val="20"/>
                <w:lang w:val="pt-BR"/>
              </w:rPr>
              <w:t xml:space="preserve"> </w:t>
            </w:r>
            <w:r w:rsidRPr="00BC61ED">
              <w:rPr>
                <w:rFonts w:cs="Sylfaen"/>
                <w:sz w:val="20"/>
                <w:szCs w:val="20"/>
                <w:lang w:val="pt-BR"/>
              </w:rPr>
              <w:t>քարտադարանի</w:t>
            </w:r>
            <w:r w:rsidRPr="00BC61ED">
              <w:rPr>
                <w:rFonts w:cs="Arial Armenian"/>
                <w:sz w:val="20"/>
                <w:szCs w:val="20"/>
                <w:lang w:val="pt-BR"/>
              </w:rPr>
              <w:t xml:space="preserve"> </w:t>
            </w:r>
            <w:r w:rsidRPr="00BC61ED">
              <w:rPr>
                <w:rFonts w:cs="Sylfaen"/>
                <w:sz w:val="20"/>
                <w:szCs w:val="20"/>
                <w:lang w:val="pt-BR"/>
              </w:rPr>
              <w:t>ստեղծման</w:t>
            </w:r>
            <w:r w:rsidRPr="00BC61ED">
              <w:rPr>
                <w:rFonts w:cs="Arial Armenian"/>
                <w:sz w:val="20"/>
                <w:szCs w:val="20"/>
                <w:lang w:val="pt-BR"/>
              </w:rPr>
              <w:t xml:space="preserve"> </w:t>
            </w:r>
            <w:r w:rsidRPr="00BC61ED">
              <w:rPr>
                <w:rFonts w:cs="Sylfaen"/>
                <w:sz w:val="20"/>
                <w:szCs w:val="20"/>
                <w:lang w:val="pt-BR"/>
              </w:rPr>
              <w:t>և</w:t>
            </w:r>
            <w:r w:rsidRPr="00BC61ED">
              <w:rPr>
                <w:rFonts w:cs="Arial Armenian"/>
                <w:sz w:val="20"/>
                <w:szCs w:val="20"/>
                <w:lang w:val="pt-BR"/>
              </w:rPr>
              <w:t xml:space="preserve"> </w:t>
            </w:r>
            <w:r w:rsidRPr="00BC61ED">
              <w:rPr>
                <w:rFonts w:cs="Sylfaen"/>
                <w:sz w:val="20"/>
                <w:szCs w:val="20"/>
                <w:lang w:val="pt-BR"/>
              </w:rPr>
              <w:t>վարման</w:t>
            </w:r>
            <w:r w:rsidRPr="00BC61ED">
              <w:rPr>
                <w:rFonts w:cs="Arial Armenian"/>
                <w:sz w:val="20"/>
                <w:szCs w:val="20"/>
                <w:lang w:val="pt-BR"/>
              </w:rPr>
              <w:t xml:space="preserve"> </w:t>
            </w:r>
            <w:r w:rsidRPr="00BC61ED">
              <w:rPr>
                <w:rFonts w:cs="Sylfaen"/>
                <w:sz w:val="20"/>
                <w:szCs w:val="20"/>
                <w:lang w:val="pt-BR"/>
              </w:rPr>
              <w:t>կարգ»-ի</w:t>
            </w:r>
            <w:r w:rsidRPr="00BC61ED">
              <w:rPr>
                <w:rFonts w:cs="Arial Armenian"/>
                <w:sz w:val="20"/>
                <w:szCs w:val="20"/>
                <w:lang w:val="pt-BR"/>
              </w:rPr>
              <w:t xml:space="preserve"> </w:t>
            </w:r>
            <w:r w:rsidRPr="00BC61ED">
              <w:rPr>
                <w:rFonts w:cs="Sylfaen"/>
                <w:sz w:val="20"/>
                <w:szCs w:val="20"/>
                <w:lang w:val="pt-BR"/>
              </w:rPr>
              <w:t>պահանջներին</w:t>
            </w:r>
            <w:r w:rsidRPr="00BC61ED">
              <w:rPr>
                <w:rFonts w:cs="Arial Armenian"/>
                <w:sz w:val="20"/>
                <w:szCs w:val="20"/>
                <w:lang w:val="pt-BR"/>
              </w:rPr>
              <w:t xml:space="preserve"> </w:t>
            </w:r>
            <w:r w:rsidRPr="00BC61ED">
              <w:rPr>
                <w:rFonts w:cs="Sylfaen"/>
                <w:sz w:val="20"/>
                <w:szCs w:val="20"/>
                <w:lang w:val="pt-BR"/>
              </w:rPr>
              <w:t>համապատասխան՝</w:t>
            </w:r>
            <w:r w:rsidRPr="00BC61ED">
              <w:rPr>
                <w:rFonts w:cs="Arial Armenian"/>
                <w:sz w:val="20"/>
                <w:szCs w:val="20"/>
                <w:lang w:val="pt-BR"/>
              </w:rPr>
              <w:t xml:space="preserve"> 2002-2007 </w:t>
            </w:r>
            <w:r w:rsidRPr="00BC61ED">
              <w:rPr>
                <w:rFonts w:cs="Sylfaen"/>
                <w:sz w:val="20"/>
                <w:szCs w:val="20"/>
                <w:lang w:val="pt-BR"/>
              </w:rPr>
              <w:t>թվականներին</w:t>
            </w:r>
            <w:r w:rsidRPr="00BC61ED">
              <w:rPr>
                <w:rFonts w:cs="Arial Armenian"/>
                <w:sz w:val="20"/>
                <w:szCs w:val="20"/>
                <w:lang w:val="pt-BR"/>
              </w:rPr>
              <w:t xml:space="preserve"> </w:t>
            </w:r>
            <w:r w:rsidRPr="00BC61ED">
              <w:rPr>
                <w:rFonts w:cs="Sylfaen"/>
                <w:sz w:val="20"/>
                <w:szCs w:val="20"/>
                <w:lang w:val="pt-BR"/>
              </w:rPr>
              <w:t>ավարտվել</w:t>
            </w:r>
            <w:r w:rsidRPr="00BC61ED">
              <w:rPr>
                <w:rFonts w:cs="Arial Armenian"/>
                <w:sz w:val="20"/>
                <w:szCs w:val="20"/>
                <w:lang w:val="pt-BR"/>
              </w:rPr>
              <w:t xml:space="preserve"> </w:t>
            </w:r>
            <w:r w:rsidRPr="00BC61ED">
              <w:rPr>
                <w:rFonts w:cs="Sylfaen"/>
                <w:sz w:val="20"/>
                <w:szCs w:val="20"/>
                <w:lang w:val="pt-BR"/>
              </w:rPr>
              <w:t>են</w:t>
            </w:r>
            <w:r w:rsidRPr="00BC61ED">
              <w:rPr>
                <w:rFonts w:cs="Arial Armenian"/>
                <w:sz w:val="20"/>
                <w:szCs w:val="20"/>
                <w:lang w:val="pt-BR"/>
              </w:rPr>
              <w:t xml:space="preserve"> </w:t>
            </w:r>
            <w:r w:rsidRPr="00BC61ED">
              <w:rPr>
                <w:rFonts w:cs="Sylfaen"/>
                <w:sz w:val="20"/>
                <w:szCs w:val="20"/>
                <w:lang w:val="pt-BR"/>
              </w:rPr>
              <w:t>Հայաստանի</w:t>
            </w:r>
            <w:r w:rsidRPr="00BC61ED">
              <w:rPr>
                <w:rFonts w:cs="Arial Armenian"/>
                <w:sz w:val="20"/>
                <w:szCs w:val="20"/>
                <w:lang w:val="pt-BR"/>
              </w:rPr>
              <w:t xml:space="preserve"> </w:t>
            </w:r>
            <w:r w:rsidRPr="00BC61ED">
              <w:rPr>
                <w:rFonts w:cs="Sylfaen"/>
                <w:sz w:val="20"/>
                <w:szCs w:val="20"/>
                <w:lang w:val="pt-BR"/>
              </w:rPr>
              <w:t>Հանրապետության</w:t>
            </w:r>
            <w:r w:rsidRPr="00BC61ED">
              <w:rPr>
                <w:rFonts w:cs="Arial Armenian"/>
                <w:sz w:val="20"/>
                <w:szCs w:val="20"/>
                <w:lang w:val="pt-BR"/>
              </w:rPr>
              <w:t xml:space="preserve"> </w:t>
            </w:r>
            <w:r w:rsidRPr="00BC61ED">
              <w:rPr>
                <w:rFonts w:cs="Sylfaen"/>
                <w:sz w:val="20"/>
                <w:szCs w:val="20"/>
                <w:lang w:val="pt-BR"/>
              </w:rPr>
              <w:t>բոլոր</w:t>
            </w:r>
            <w:r w:rsidRPr="00BC61ED">
              <w:rPr>
                <w:rFonts w:cs="Arial Armenian"/>
                <w:sz w:val="20"/>
                <w:szCs w:val="20"/>
                <w:lang w:val="pt-BR"/>
              </w:rPr>
              <w:t xml:space="preserve"> </w:t>
            </w:r>
            <w:r w:rsidRPr="00BC61ED">
              <w:rPr>
                <w:rFonts w:cs="Sylfaen"/>
                <w:sz w:val="20"/>
                <w:szCs w:val="20"/>
                <w:lang w:val="pt-BR"/>
              </w:rPr>
              <w:t>մարզերի</w:t>
            </w:r>
            <w:r w:rsidRPr="00BC61ED">
              <w:rPr>
                <w:rFonts w:cs="Arial Armenian"/>
                <w:sz w:val="20"/>
                <w:szCs w:val="20"/>
                <w:lang w:val="pt-BR"/>
              </w:rPr>
              <w:t xml:space="preserve"> </w:t>
            </w:r>
            <w:r w:rsidRPr="00BC61ED">
              <w:rPr>
                <w:rFonts w:cs="Sylfaen"/>
                <w:sz w:val="20"/>
                <w:szCs w:val="20"/>
                <w:lang w:val="pt-BR"/>
              </w:rPr>
              <w:t>աշխարհա</w:t>
            </w:r>
            <w:r w:rsidRPr="00BC61ED">
              <w:rPr>
                <w:rFonts w:cs="Arial Armenian"/>
                <w:sz w:val="20"/>
                <w:szCs w:val="20"/>
                <w:lang w:val="pt-BR"/>
              </w:rPr>
              <w:t>գ</w:t>
            </w:r>
            <w:r w:rsidRPr="00BC61ED">
              <w:rPr>
                <w:rFonts w:cs="Sylfaen"/>
                <w:sz w:val="20"/>
                <w:szCs w:val="20"/>
                <w:lang w:val="pt-BR"/>
              </w:rPr>
              <w:t>րական</w:t>
            </w:r>
            <w:r w:rsidRPr="00BC61ED">
              <w:rPr>
                <w:rFonts w:cs="Arial Armenian"/>
                <w:sz w:val="20"/>
                <w:szCs w:val="20"/>
                <w:lang w:val="pt-BR"/>
              </w:rPr>
              <w:t xml:space="preserve"> </w:t>
            </w:r>
            <w:r w:rsidRPr="00BC61ED">
              <w:rPr>
                <w:rFonts w:cs="Sylfaen"/>
                <w:sz w:val="20"/>
                <w:szCs w:val="20"/>
                <w:lang w:val="pt-BR"/>
              </w:rPr>
              <w:t>անվանումների</w:t>
            </w:r>
            <w:r w:rsidRPr="00BC61ED">
              <w:rPr>
                <w:rFonts w:cs="Arial Armenian"/>
                <w:sz w:val="20"/>
                <w:szCs w:val="20"/>
                <w:lang w:val="pt-BR"/>
              </w:rPr>
              <w:t xml:space="preserve"> </w:t>
            </w:r>
            <w:r w:rsidRPr="00BC61ED">
              <w:rPr>
                <w:rFonts w:cs="Sylfaen"/>
                <w:sz w:val="20"/>
                <w:szCs w:val="20"/>
                <w:lang w:val="pt-BR"/>
              </w:rPr>
              <w:t>հաշվառման</w:t>
            </w:r>
            <w:r w:rsidRPr="00BC61ED">
              <w:rPr>
                <w:rFonts w:cs="Arial Armenian"/>
                <w:sz w:val="20"/>
                <w:szCs w:val="20"/>
                <w:lang w:val="pt-BR"/>
              </w:rPr>
              <w:t xml:space="preserve"> </w:t>
            </w:r>
            <w:r w:rsidRPr="00BC61ED">
              <w:rPr>
                <w:rFonts w:cs="Sylfaen"/>
                <w:sz w:val="20"/>
                <w:szCs w:val="20"/>
                <w:lang w:val="pt-BR"/>
              </w:rPr>
              <w:t>և</w:t>
            </w:r>
            <w:r w:rsidRPr="00BC61ED">
              <w:rPr>
                <w:rFonts w:cs="Arial Armenian"/>
                <w:sz w:val="20"/>
                <w:szCs w:val="20"/>
                <w:lang w:val="pt-BR"/>
              </w:rPr>
              <w:t xml:space="preserve"> </w:t>
            </w:r>
            <w:r w:rsidRPr="00BC61ED">
              <w:rPr>
                <w:rFonts w:cs="Sylfaen"/>
                <w:sz w:val="20"/>
                <w:szCs w:val="20"/>
                <w:lang w:val="pt-BR"/>
              </w:rPr>
              <w:t>գրանցման</w:t>
            </w:r>
            <w:r w:rsidRPr="00BC61ED">
              <w:rPr>
                <w:rFonts w:cs="Arial Armenian"/>
                <w:sz w:val="20"/>
                <w:szCs w:val="20"/>
                <w:lang w:val="pt-BR"/>
              </w:rPr>
              <w:t xml:space="preserve"> </w:t>
            </w:r>
            <w:r w:rsidRPr="00BC61ED">
              <w:rPr>
                <w:rFonts w:cs="Sylfaen"/>
                <w:sz w:val="20"/>
                <w:szCs w:val="20"/>
                <w:lang w:val="pt-BR"/>
              </w:rPr>
              <w:t>աշխատանքները</w:t>
            </w:r>
            <w:r w:rsidRPr="00BC61ED">
              <w:rPr>
                <w:rFonts w:cs="Arial Armenian"/>
                <w:sz w:val="20"/>
                <w:szCs w:val="20"/>
                <w:lang w:val="pt-BR"/>
              </w:rPr>
              <w:t xml:space="preserve">, </w:t>
            </w:r>
            <w:r w:rsidRPr="00BC61ED">
              <w:rPr>
                <w:rFonts w:cs="Sylfaen"/>
                <w:sz w:val="20"/>
                <w:szCs w:val="20"/>
                <w:lang w:val="pt-BR"/>
              </w:rPr>
              <w:t>միաժամանակ</w:t>
            </w:r>
            <w:r w:rsidRPr="00BC61ED">
              <w:rPr>
                <w:rFonts w:cs="Arial Armenian"/>
                <w:sz w:val="20"/>
                <w:szCs w:val="20"/>
                <w:lang w:val="pt-BR"/>
              </w:rPr>
              <w:t xml:space="preserve"> </w:t>
            </w:r>
            <w:r w:rsidRPr="00BC61ED">
              <w:rPr>
                <w:rFonts w:cs="Sylfaen"/>
                <w:sz w:val="20"/>
                <w:szCs w:val="20"/>
                <w:lang w:val="pt-BR"/>
              </w:rPr>
              <w:t>ստեղծվել</w:t>
            </w:r>
            <w:r w:rsidRPr="00BC61ED">
              <w:rPr>
                <w:rFonts w:cs="Arial Armenian"/>
                <w:sz w:val="20"/>
                <w:szCs w:val="20"/>
                <w:lang w:val="pt-BR"/>
              </w:rPr>
              <w:t xml:space="preserve"> </w:t>
            </w:r>
            <w:r w:rsidRPr="00BC61ED">
              <w:rPr>
                <w:rFonts w:cs="Sylfaen"/>
                <w:sz w:val="20"/>
                <w:szCs w:val="20"/>
                <w:lang w:val="pt-BR"/>
              </w:rPr>
              <w:t>է</w:t>
            </w:r>
            <w:r w:rsidRPr="00BC61ED">
              <w:rPr>
                <w:rFonts w:cs="Arial Armenian"/>
                <w:sz w:val="20"/>
                <w:szCs w:val="20"/>
                <w:lang w:val="pt-BR"/>
              </w:rPr>
              <w:t xml:space="preserve"> </w:t>
            </w:r>
            <w:r w:rsidRPr="00BC61ED">
              <w:rPr>
                <w:rFonts w:cs="Sylfaen"/>
                <w:sz w:val="20"/>
                <w:szCs w:val="20"/>
                <w:lang w:val="pt-BR"/>
              </w:rPr>
              <w:t>աշխարհագրական</w:t>
            </w:r>
            <w:r w:rsidRPr="00BC61ED">
              <w:rPr>
                <w:rFonts w:cs="Arial Armenian"/>
                <w:sz w:val="20"/>
                <w:szCs w:val="20"/>
                <w:lang w:val="pt-BR"/>
              </w:rPr>
              <w:t xml:space="preserve"> </w:t>
            </w:r>
            <w:r w:rsidRPr="00BC61ED">
              <w:rPr>
                <w:rFonts w:cs="Sylfaen"/>
                <w:sz w:val="20"/>
                <w:szCs w:val="20"/>
                <w:lang w:val="pt-BR"/>
              </w:rPr>
              <w:t>անվանումների</w:t>
            </w:r>
            <w:r w:rsidRPr="00BC61ED">
              <w:rPr>
                <w:rFonts w:cs="Arial Armenian"/>
                <w:sz w:val="20"/>
                <w:szCs w:val="20"/>
                <w:lang w:val="pt-BR"/>
              </w:rPr>
              <w:t xml:space="preserve"> </w:t>
            </w:r>
            <w:r w:rsidRPr="00BC61ED">
              <w:rPr>
                <w:rFonts w:cs="Sylfaen"/>
                <w:sz w:val="20"/>
                <w:szCs w:val="20"/>
                <w:lang w:val="pt-BR"/>
              </w:rPr>
              <w:t>պետական</w:t>
            </w:r>
            <w:r w:rsidRPr="00BC61ED">
              <w:rPr>
                <w:rFonts w:cs="Arial Armenian"/>
                <w:sz w:val="20"/>
                <w:szCs w:val="20"/>
                <w:lang w:val="pt-BR"/>
              </w:rPr>
              <w:t xml:space="preserve"> </w:t>
            </w:r>
            <w:r w:rsidRPr="00BC61ED">
              <w:rPr>
                <w:rFonts w:cs="Sylfaen"/>
                <w:sz w:val="20"/>
                <w:szCs w:val="20"/>
                <w:lang w:val="pt-BR"/>
              </w:rPr>
              <w:t>քարտադարանը</w:t>
            </w:r>
            <w:r w:rsidRPr="00BC61ED">
              <w:rPr>
                <w:rFonts w:cs="Arial Armenian"/>
                <w:sz w:val="20"/>
                <w:szCs w:val="20"/>
                <w:lang w:val="pt-BR"/>
              </w:rPr>
              <w:t xml:space="preserve">, </w:t>
            </w:r>
            <w:r w:rsidRPr="00BC61ED">
              <w:rPr>
                <w:rFonts w:cs="Sylfaen"/>
                <w:sz w:val="20"/>
                <w:szCs w:val="20"/>
                <w:lang w:val="pt-BR"/>
              </w:rPr>
              <w:t>որը</w:t>
            </w:r>
            <w:r w:rsidRPr="00BC61ED">
              <w:rPr>
                <w:rFonts w:cs="Arial Armenian"/>
                <w:sz w:val="20"/>
                <w:szCs w:val="20"/>
                <w:lang w:val="pt-BR"/>
              </w:rPr>
              <w:t xml:space="preserve"> </w:t>
            </w:r>
            <w:r w:rsidRPr="00BC61ED">
              <w:rPr>
                <w:rFonts w:cs="Sylfaen"/>
                <w:sz w:val="20"/>
                <w:szCs w:val="20"/>
                <w:lang w:val="pt-BR"/>
              </w:rPr>
              <w:t>պարբերաբար</w:t>
            </w:r>
            <w:r w:rsidRPr="00BC61ED">
              <w:rPr>
                <w:rFonts w:cs="Arial Armenian"/>
                <w:sz w:val="20"/>
                <w:szCs w:val="20"/>
                <w:lang w:val="pt-BR"/>
              </w:rPr>
              <w:t xml:space="preserve"> </w:t>
            </w:r>
            <w:r w:rsidRPr="00BC61ED">
              <w:rPr>
                <w:rFonts w:cs="Sylfaen"/>
                <w:sz w:val="20"/>
                <w:szCs w:val="20"/>
                <w:lang w:val="pt-BR"/>
              </w:rPr>
              <w:t>թարմացվում</w:t>
            </w:r>
            <w:r w:rsidRPr="00BC61ED">
              <w:rPr>
                <w:rFonts w:cs="Arial Armenian"/>
                <w:sz w:val="20"/>
                <w:szCs w:val="20"/>
                <w:lang w:val="pt-BR"/>
              </w:rPr>
              <w:t xml:space="preserve"> </w:t>
            </w:r>
            <w:r w:rsidRPr="00BC61ED">
              <w:rPr>
                <w:rFonts w:cs="Sylfaen"/>
                <w:sz w:val="20"/>
                <w:szCs w:val="20"/>
                <w:lang w:val="pt-BR"/>
              </w:rPr>
              <w:t>է</w:t>
            </w:r>
            <w:r w:rsidRPr="00BC61ED">
              <w:rPr>
                <w:rFonts w:cs="Arial Armenian"/>
                <w:sz w:val="20"/>
                <w:szCs w:val="20"/>
                <w:lang w:val="pt-BR"/>
              </w:rPr>
              <w:t xml:space="preserve">: </w:t>
            </w:r>
          </w:p>
          <w:p w:rsidR="0068680D" w:rsidRPr="00BC61ED" w:rsidRDefault="0068680D" w:rsidP="00F47DC4">
            <w:pPr>
              <w:keepNext/>
              <w:spacing w:line="276" w:lineRule="auto"/>
              <w:ind w:right="-1"/>
              <w:jc w:val="both"/>
              <w:outlineLvl w:val="4"/>
              <w:rPr>
                <w:rFonts w:cs="Arial Armenian"/>
                <w:sz w:val="20"/>
                <w:szCs w:val="20"/>
                <w:lang w:val="pt-BR"/>
              </w:rPr>
            </w:pPr>
            <w:r w:rsidRPr="00BC61ED">
              <w:rPr>
                <w:rFonts w:cs="Arial Armenian"/>
                <w:sz w:val="20"/>
                <w:szCs w:val="20"/>
                <w:lang w:val="pt-BR"/>
              </w:rPr>
              <w:t xml:space="preserve">   2002-2014 </w:t>
            </w:r>
            <w:r w:rsidRPr="00BC61ED">
              <w:rPr>
                <w:rFonts w:cs="Sylfaen"/>
                <w:sz w:val="20"/>
                <w:szCs w:val="20"/>
                <w:lang w:val="pt-BR"/>
              </w:rPr>
              <w:t>թվականների</w:t>
            </w:r>
            <w:r w:rsidRPr="00BC61ED">
              <w:rPr>
                <w:rFonts w:cs="Arial Armenian"/>
                <w:sz w:val="20"/>
                <w:szCs w:val="20"/>
                <w:lang w:val="pt-BR"/>
              </w:rPr>
              <w:t xml:space="preserve"> </w:t>
            </w:r>
            <w:r w:rsidRPr="00BC61ED">
              <w:rPr>
                <w:rFonts w:cs="Sylfaen"/>
                <w:sz w:val="20"/>
                <w:szCs w:val="20"/>
                <w:lang w:val="pt-BR"/>
              </w:rPr>
              <w:t>ընթացքում</w:t>
            </w:r>
            <w:r w:rsidRPr="00BC61ED">
              <w:rPr>
                <w:rFonts w:cs="Arial Armenian"/>
                <w:sz w:val="20"/>
                <w:szCs w:val="20"/>
                <w:lang w:val="pt-BR"/>
              </w:rPr>
              <w:t xml:space="preserve"> </w:t>
            </w:r>
            <w:r w:rsidRPr="00BC61ED">
              <w:rPr>
                <w:rFonts w:cs="Sylfaen"/>
                <w:sz w:val="20"/>
                <w:szCs w:val="20"/>
                <w:lang w:val="pt-BR"/>
              </w:rPr>
              <w:t>կատարվել</w:t>
            </w:r>
            <w:r w:rsidRPr="00BC61ED">
              <w:rPr>
                <w:rFonts w:cs="Arial Armenian"/>
                <w:sz w:val="20"/>
                <w:szCs w:val="20"/>
                <w:lang w:val="pt-BR"/>
              </w:rPr>
              <w:t xml:space="preserve"> </w:t>
            </w:r>
            <w:r w:rsidRPr="00BC61ED">
              <w:rPr>
                <w:rFonts w:cs="Sylfaen"/>
                <w:sz w:val="20"/>
                <w:szCs w:val="20"/>
                <w:lang w:val="pt-BR"/>
              </w:rPr>
              <w:t>են</w:t>
            </w:r>
            <w:r w:rsidRPr="00BC61ED">
              <w:rPr>
                <w:rFonts w:cs="Arial Armenian"/>
                <w:sz w:val="20"/>
                <w:szCs w:val="20"/>
                <w:lang w:val="pt-BR"/>
              </w:rPr>
              <w:t xml:space="preserve"> </w:t>
            </w:r>
            <w:r w:rsidRPr="00BC61ED">
              <w:rPr>
                <w:rFonts w:cs="Sylfaen"/>
                <w:sz w:val="20"/>
                <w:szCs w:val="20"/>
                <w:lang w:val="pt-BR"/>
              </w:rPr>
              <w:t>ՀՀ</w:t>
            </w:r>
            <w:r w:rsidRPr="00BC61ED">
              <w:rPr>
                <w:rFonts w:cs="Arial Armenian"/>
                <w:sz w:val="20"/>
                <w:szCs w:val="20"/>
                <w:lang w:val="pt-BR"/>
              </w:rPr>
              <w:t xml:space="preserve"> </w:t>
            </w:r>
            <w:r w:rsidRPr="00BC61ED">
              <w:rPr>
                <w:rFonts w:cs="Sylfaen"/>
                <w:sz w:val="20"/>
                <w:szCs w:val="20"/>
                <w:lang w:val="pt-BR"/>
              </w:rPr>
              <w:t>տարածքի</w:t>
            </w:r>
            <w:r w:rsidRPr="00BC61ED">
              <w:rPr>
                <w:rFonts w:cs="Arial Armenian"/>
                <w:sz w:val="20"/>
                <w:szCs w:val="20"/>
                <w:lang w:val="pt-BR"/>
              </w:rPr>
              <w:t xml:space="preserve"> </w:t>
            </w:r>
            <w:r w:rsidRPr="00BC61ED">
              <w:rPr>
                <w:rFonts w:cs="Sylfaen"/>
                <w:sz w:val="20"/>
                <w:szCs w:val="20"/>
                <w:lang w:val="pt-BR"/>
              </w:rPr>
              <w:t>ավելի քան</w:t>
            </w:r>
            <w:r w:rsidRPr="00BC61ED">
              <w:rPr>
                <w:rFonts w:cs="Arial Armenian"/>
                <w:sz w:val="20"/>
                <w:szCs w:val="20"/>
                <w:lang w:val="pt-BR"/>
              </w:rPr>
              <w:t xml:space="preserve"> 4100</w:t>
            </w:r>
            <w:r w:rsidRPr="00BC61ED">
              <w:rPr>
                <w:sz w:val="20"/>
                <w:szCs w:val="20"/>
                <w:lang w:val="pt-BR"/>
              </w:rPr>
              <w:t xml:space="preserve">0 </w:t>
            </w:r>
            <w:r w:rsidRPr="00BC61ED">
              <w:rPr>
                <w:rFonts w:cs="Sylfaen"/>
                <w:sz w:val="20"/>
                <w:szCs w:val="20"/>
                <w:lang w:val="pt-BR"/>
              </w:rPr>
              <w:t>աշխարհագրական</w:t>
            </w:r>
            <w:r w:rsidRPr="00BC61ED">
              <w:rPr>
                <w:rFonts w:cs="Arial Armenian"/>
                <w:sz w:val="20"/>
                <w:szCs w:val="20"/>
                <w:lang w:val="pt-BR"/>
              </w:rPr>
              <w:t xml:space="preserve"> </w:t>
            </w:r>
            <w:r w:rsidRPr="00BC61ED">
              <w:rPr>
                <w:rFonts w:cs="Sylfaen"/>
                <w:sz w:val="20"/>
                <w:szCs w:val="20"/>
                <w:lang w:val="pt-BR"/>
              </w:rPr>
              <w:t>օբյեկտների</w:t>
            </w:r>
            <w:r w:rsidRPr="00BC61ED">
              <w:rPr>
                <w:rFonts w:cs="Arial Armenian"/>
                <w:sz w:val="20"/>
                <w:szCs w:val="20"/>
                <w:lang w:val="pt-BR"/>
              </w:rPr>
              <w:t xml:space="preserve"> </w:t>
            </w:r>
            <w:r w:rsidRPr="00BC61ED">
              <w:rPr>
                <w:rFonts w:cs="Sylfaen"/>
                <w:sz w:val="20"/>
                <w:szCs w:val="20"/>
                <w:lang w:val="pt-BR"/>
              </w:rPr>
              <w:t>անվանումների</w:t>
            </w:r>
            <w:r w:rsidRPr="00BC61ED">
              <w:rPr>
                <w:rFonts w:cs="Arial Armenian"/>
                <w:sz w:val="20"/>
                <w:szCs w:val="20"/>
                <w:lang w:val="pt-BR"/>
              </w:rPr>
              <w:t xml:space="preserve"> </w:t>
            </w:r>
            <w:r w:rsidRPr="00BC61ED">
              <w:rPr>
                <w:rFonts w:cs="Sylfaen"/>
                <w:sz w:val="20"/>
                <w:szCs w:val="20"/>
                <w:lang w:val="pt-BR"/>
              </w:rPr>
              <w:t>հաշվառման</w:t>
            </w:r>
            <w:r w:rsidRPr="00BC61ED">
              <w:rPr>
                <w:rFonts w:cs="Arial Armenian"/>
                <w:sz w:val="20"/>
                <w:szCs w:val="20"/>
                <w:lang w:val="pt-BR"/>
              </w:rPr>
              <w:t xml:space="preserve"> </w:t>
            </w:r>
            <w:r w:rsidRPr="00BC61ED">
              <w:rPr>
                <w:rFonts w:cs="Sylfaen"/>
                <w:sz w:val="20"/>
                <w:szCs w:val="20"/>
                <w:lang w:val="pt-BR"/>
              </w:rPr>
              <w:t>աշխատանքներ</w:t>
            </w:r>
            <w:r w:rsidRPr="00BC61ED">
              <w:rPr>
                <w:rFonts w:cs="Arial Armenian"/>
                <w:sz w:val="20"/>
                <w:szCs w:val="20"/>
                <w:lang w:val="pt-BR"/>
              </w:rPr>
              <w:t xml:space="preserve">: </w:t>
            </w:r>
            <w:r w:rsidRPr="00BC61ED">
              <w:rPr>
                <w:rFonts w:cs="Sylfaen"/>
                <w:sz w:val="20"/>
                <w:szCs w:val="20"/>
                <w:lang w:val="pt-BR"/>
              </w:rPr>
              <w:t>ՀՀ</w:t>
            </w:r>
            <w:r w:rsidRPr="00BC61ED">
              <w:rPr>
                <w:rFonts w:cs="Arial Armenian"/>
                <w:sz w:val="20"/>
                <w:szCs w:val="20"/>
                <w:lang w:val="pt-BR"/>
              </w:rPr>
              <w:t xml:space="preserve"> </w:t>
            </w:r>
            <w:r w:rsidRPr="00BC61ED">
              <w:rPr>
                <w:rFonts w:cs="Sylfaen"/>
                <w:sz w:val="20"/>
                <w:szCs w:val="20"/>
                <w:lang w:val="pt-BR"/>
              </w:rPr>
              <w:t>կառավարության</w:t>
            </w:r>
            <w:r w:rsidRPr="00BC61ED">
              <w:rPr>
                <w:rFonts w:cs="Arial Armenian"/>
                <w:sz w:val="20"/>
                <w:szCs w:val="20"/>
                <w:lang w:val="pt-BR"/>
              </w:rPr>
              <w:t xml:space="preserve"> </w:t>
            </w:r>
            <w:r w:rsidRPr="00BC61ED">
              <w:rPr>
                <w:rFonts w:cs="Sylfaen"/>
                <w:sz w:val="20"/>
                <w:szCs w:val="20"/>
                <w:lang w:val="pt-BR"/>
              </w:rPr>
              <w:t>կողմից</w:t>
            </w:r>
            <w:r w:rsidRPr="00BC61ED">
              <w:rPr>
                <w:rFonts w:cs="Arial Armenian"/>
                <w:sz w:val="20"/>
                <w:szCs w:val="20"/>
                <w:lang w:val="pt-BR"/>
              </w:rPr>
              <w:t xml:space="preserve"> </w:t>
            </w:r>
            <w:r w:rsidRPr="00BC61ED">
              <w:rPr>
                <w:rFonts w:cs="Sylfaen"/>
                <w:sz w:val="20"/>
                <w:szCs w:val="20"/>
                <w:lang w:val="pt-BR"/>
              </w:rPr>
              <w:t>ստեղծված</w:t>
            </w:r>
            <w:r w:rsidRPr="00BC61ED">
              <w:rPr>
                <w:rFonts w:cs="Arial Armenian"/>
                <w:sz w:val="20"/>
                <w:szCs w:val="20"/>
                <w:lang w:val="pt-BR"/>
              </w:rPr>
              <w:t xml:space="preserve"> </w:t>
            </w:r>
            <w:r w:rsidRPr="00BC61ED">
              <w:rPr>
                <w:rFonts w:cs="Sylfaen"/>
                <w:sz w:val="20"/>
                <w:szCs w:val="20"/>
                <w:lang w:val="pt-BR"/>
              </w:rPr>
              <w:t>ՀՀ</w:t>
            </w:r>
            <w:r w:rsidRPr="00BC61ED">
              <w:rPr>
                <w:rFonts w:cs="Arial Armenian"/>
                <w:sz w:val="20"/>
                <w:szCs w:val="20"/>
                <w:lang w:val="pt-BR"/>
              </w:rPr>
              <w:t xml:space="preserve"> </w:t>
            </w:r>
            <w:r w:rsidRPr="00BC61ED">
              <w:rPr>
                <w:rFonts w:cs="Sylfaen"/>
                <w:sz w:val="20"/>
                <w:szCs w:val="20"/>
                <w:lang w:val="pt-BR"/>
              </w:rPr>
              <w:t>աշխարհագրական</w:t>
            </w:r>
            <w:r w:rsidRPr="00BC61ED">
              <w:rPr>
                <w:rFonts w:cs="Arial Armenian"/>
                <w:sz w:val="20"/>
                <w:szCs w:val="20"/>
                <w:lang w:val="pt-BR"/>
              </w:rPr>
              <w:t xml:space="preserve"> </w:t>
            </w:r>
            <w:r w:rsidRPr="00BC61ED">
              <w:rPr>
                <w:rFonts w:cs="Sylfaen"/>
                <w:sz w:val="20"/>
                <w:szCs w:val="20"/>
                <w:lang w:val="pt-BR"/>
              </w:rPr>
              <w:t>օբյեկտների</w:t>
            </w:r>
            <w:r w:rsidRPr="00BC61ED">
              <w:rPr>
                <w:rFonts w:cs="Arial Armenian"/>
                <w:sz w:val="20"/>
                <w:szCs w:val="20"/>
                <w:lang w:val="pt-BR"/>
              </w:rPr>
              <w:t xml:space="preserve"> </w:t>
            </w:r>
            <w:r w:rsidRPr="00BC61ED">
              <w:rPr>
                <w:rFonts w:cs="Sylfaen"/>
                <w:sz w:val="20"/>
                <w:szCs w:val="20"/>
                <w:lang w:val="pt-BR"/>
              </w:rPr>
              <w:t>անվանակոչումների</w:t>
            </w:r>
            <w:r w:rsidRPr="00BC61ED">
              <w:rPr>
                <w:rFonts w:cs="Arial Armenian"/>
                <w:sz w:val="20"/>
                <w:szCs w:val="20"/>
                <w:lang w:val="pt-BR"/>
              </w:rPr>
              <w:t xml:space="preserve"> </w:t>
            </w:r>
            <w:r w:rsidRPr="00BC61ED">
              <w:rPr>
                <w:rFonts w:cs="Sylfaen"/>
                <w:sz w:val="20"/>
                <w:szCs w:val="20"/>
                <w:lang w:val="pt-BR"/>
              </w:rPr>
              <w:t>և</w:t>
            </w:r>
            <w:r w:rsidRPr="00BC61ED">
              <w:rPr>
                <w:rFonts w:cs="Arial Armenian"/>
                <w:sz w:val="20"/>
                <w:szCs w:val="20"/>
                <w:lang w:val="pt-BR"/>
              </w:rPr>
              <w:t xml:space="preserve"> </w:t>
            </w:r>
            <w:r w:rsidRPr="00BC61ED">
              <w:rPr>
                <w:rFonts w:cs="Sylfaen"/>
                <w:sz w:val="20"/>
                <w:szCs w:val="20"/>
                <w:lang w:val="pt-BR"/>
              </w:rPr>
              <w:t>անվանափոխումների</w:t>
            </w:r>
            <w:r w:rsidRPr="00BC61ED">
              <w:rPr>
                <w:rFonts w:cs="Arial Armenian"/>
                <w:sz w:val="20"/>
                <w:szCs w:val="20"/>
                <w:lang w:val="pt-BR"/>
              </w:rPr>
              <w:t xml:space="preserve"> </w:t>
            </w:r>
            <w:r w:rsidRPr="00BC61ED">
              <w:rPr>
                <w:rFonts w:cs="Sylfaen"/>
                <w:sz w:val="20"/>
                <w:szCs w:val="20"/>
                <w:lang w:val="pt-BR"/>
              </w:rPr>
              <w:t>մասնագիտական</w:t>
            </w:r>
            <w:r w:rsidRPr="00BC61ED">
              <w:rPr>
                <w:rFonts w:cs="Arial Armenian"/>
                <w:sz w:val="20"/>
                <w:szCs w:val="20"/>
                <w:lang w:val="pt-BR"/>
              </w:rPr>
              <w:t xml:space="preserve"> </w:t>
            </w:r>
            <w:r w:rsidRPr="00BC61ED">
              <w:rPr>
                <w:rFonts w:cs="Sylfaen"/>
                <w:sz w:val="20"/>
                <w:szCs w:val="20"/>
                <w:lang w:val="pt-BR"/>
              </w:rPr>
              <w:t>հանձնաժողովի</w:t>
            </w:r>
            <w:r w:rsidRPr="00BC61ED">
              <w:rPr>
                <w:rFonts w:cs="Arial Armenian"/>
                <w:sz w:val="20"/>
                <w:szCs w:val="20"/>
                <w:lang w:val="pt-BR"/>
              </w:rPr>
              <w:t xml:space="preserve"> </w:t>
            </w:r>
            <w:r w:rsidRPr="00BC61ED">
              <w:rPr>
                <w:rFonts w:cs="Sylfaen"/>
                <w:sz w:val="20"/>
                <w:szCs w:val="20"/>
                <w:lang w:val="pt-BR"/>
              </w:rPr>
              <w:t>աշխատանքի</w:t>
            </w:r>
            <w:r w:rsidRPr="00BC61ED">
              <w:rPr>
                <w:rFonts w:cs="Arial Armenian"/>
                <w:sz w:val="20"/>
                <w:szCs w:val="20"/>
                <w:lang w:val="pt-BR"/>
              </w:rPr>
              <w:t xml:space="preserve"> </w:t>
            </w:r>
            <w:r w:rsidRPr="00BC61ED">
              <w:rPr>
                <w:rFonts w:cs="Sylfaen"/>
                <w:sz w:val="20"/>
                <w:szCs w:val="20"/>
                <w:lang w:val="pt-BR"/>
              </w:rPr>
              <w:t>արդյունքում</w:t>
            </w:r>
            <w:r w:rsidRPr="00BC61ED">
              <w:rPr>
                <w:rFonts w:cs="Arial Armenian"/>
                <w:sz w:val="20"/>
                <w:szCs w:val="20"/>
                <w:lang w:val="pt-BR"/>
              </w:rPr>
              <w:t xml:space="preserve"> </w:t>
            </w:r>
            <w:r w:rsidRPr="00BC61ED">
              <w:rPr>
                <w:rFonts w:cs="Sylfaen"/>
                <w:sz w:val="20"/>
                <w:szCs w:val="20"/>
                <w:lang w:val="pt-BR"/>
              </w:rPr>
              <w:t>ՀՀ</w:t>
            </w:r>
            <w:r w:rsidRPr="00BC61ED">
              <w:rPr>
                <w:rFonts w:cs="Arial Armenian"/>
                <w:sz w:val="20"/>
                <w:szCs w:val="20"/>
                <w:lang w:val="pt-BR"/>
              </w:rPr>
              <w:t xml:space="preserve"> </w:t>
            </w:r>
            <w:r w:rsidRPr="00BC61ED">
              <w:rPr>
                <w:rFonts w:cs="Sylfaen"/>
                <w:sz w:val="20"/>
                <w:szCs w:val="20"/>
                <w:lang w:val="pt-BR"/>
              </w:rPr>
              <w:t>կառավարության</w:t>
            </w:r>
            <w:r w:rsidRPr="00BC61ED">
              <w:rPr>
                <w:rFonts w:cs="Arial Armenian"/>
                <w:sz w:val="20"/>
                <w:szCs w:val="20"/>
                <w:lang w:val="pt-BR"/>
              </w:rPr>
              <w:t xml:space="preserve"> </w:t>
            </w:r>
            <w:r w:rsidRPr="00BC61ED">
              <w:rPr>
                <w:rFonts w:cs="Sylfaen"/>
                <w:sz w:val="20"/>
                <w:szCs w:val="20"/>
                <w:lang w:val="pt-BR"/>
              </w:rPr>
              <w:t>կողմից</w:t>
            </w:r>
            <w:r w:rsidRPr="00BC61ED">
              <w:rPr>
                <w:rFonts w:cs="Arial Armenian"/>
                <w:sz w:val="20"/>
                <w:szCs w:val="20"/>
                <w:lang w:val="pt-BR"/>
              </w:rPr>
              <w:t xml:space="preserve"> </w:t>
            </w:r>
            <w:r w:rsidRPr="00BC61ED">
              <w:rPr>
                <w:rFonts w:cs="Sylfaen"/>
                <w:sz w:val="20"/>
                <w:szCs w:val="20"/>
                <w:lang w:val="pt-BR"/>
              </w:rPr>
              <w:t>հաստատվել</w:t>
            </w:r>
            <w:r w:rsidRPr="00BC61ED">
              <w:rPr>
                <w:rFonts w:cs="Arial Armenian"/>
                <w:sz w:val="20"/>
                <w:szCs w:val="20"/>
                <w:lang w:val="pt-BR"/>
              </w:rPr>
              <w:t xml:space="preserve"> </w:t>
            </w:r>
            <w:r w:rsidRPr="00BC61ED">
              <w:rPr>
                <w:rFonts w:cs="Sylfaen"/>
                <w:sz w:val="20"/>
                <w:szCs w:val="20"/>
                <w:lang w:val="pt-BR"/>
              </w:rPr>
              <w:t>են</w:t>
            </w:r>
            <w:r w:rsidRPr="00BC61ED">
              <w:rPr>
                <w:rFonts w:cs="Arial Armenian"/>
                <w:sz w:val="20"/>
                <w:szCs w:val="20"/>
                <w:lang w:val="pt-BR"/>
              </w:rPr>
              <w:t xml:space="preserve"> </w:t>
            </w:r>
            <w:r w:rsidRPr="00BC61ED">
              <w:rPr>
                <w:rFonts w:cs="Sylfaen"/>
                <w:sz w:val="20"/>
                <w:szCs w:val="20"/>
                <w:lang w:val="pt-BR"/>
              </w:rPr>
              <w:t>ՀՀ</w:t>
            </w:r>
            <w:r w:rsidRPr="00BC61ED">
              <w:rPr>
                <w:rFonts w:cs="Arial Armenian"/>
                <w:sz w:val="20"/>
                <w:szCs w:val="20"/>
                <w:lang w:val="pt-BR"/>
              </w:rPr>
              <w:t xml:space="preserve"> 10 </w:t>
            </w:r>
            <w:r w:rsidRPr="00BC61ED">
              <w:rPr>
                <w:rFonts w:cs="Sylfaen"/>
                <w:sz w:val="20"/>
                <w:szCs w:val="20"/>
                <w:lang w:val="pt-BR"/>
              </w:rPr>
              <w:t>մարզերի</w:t>
            </w:r>
            <w:r w:rsidRPr="00BC61ED">
              <w:rPr>
                <w:rFonts w:cs="Arial Armenian"/>
                <w:sz w:val="20"/>
                <w:szCs w:val="20"/>
                <w:lang w:val="pt-BR"/>
              </w:rPr>
              <w:t xml:space="preserve">  </w:t>
            </w:r>
            <w:r w:rsidRPr="00BC61ED">
              <w:rPr>
                <w:rFonts w:cs="Sylfaen"/>
                <w:sz w:val="20"/>
                <w:szCs w:val="20"/>
                <w:lang w:val="pt-BR"/>
              </w:rPr>
              <w:t>և</w:t>
            </w:r>
            <w:r w:rsidRPr="00BC61ED">
              <w:rPr>
                <w:rFonts w:cs="Arial Armenian"/>
                <w:sz w:val="20"/>
                <w:szCs w:val="20"/>
                <w:lang w:val="pt-BR"/>
              </w:rPr>
              <w:t xml:space="preserve"> </w:t>
            </w:r>
            <w:r w:rsidRPr="00BC61ED">
              <w:rPr>
                <w:rFonts w:cs="Sylfaen"/>
                <w:sz w:val="20"/>
                <w:szCs w:val="20"/>
                <w:lang w:val="pt-BR"/>
              </w:rPr>
              <w:t>Երևան</w:t>
            </w:r>
            <w:r w:rsidRPr="00BC61ED">
              <w:rPr>
                <w:rFonts w:cs="Arial Armenian"/>
                <w:sz w:val="20"/>
                <w:szCs w:val="20"/>
                <w:lang w:val="pt-BR"/>
              </w:rPr>
              <w:t xml:space="preserve"> </w:t>
            </w:r>
            <w:r w:rsidRPr="00BC61ED">
              <w:rPr>
                <w:rFonts w:cs="Sylfaen"/>
                <w:sz w:val="20"/>
                <w:szCs w:val="20"/>
                <w:lang w:val="pt-BR"/>
              </w:rPr>
              <w:t>քաղաքի</w:t>
            </w:r>
            <w:r w:rsidRPr="00BC61ED">
              <w:rPr>
                <w:rFonts w:cs="Arial Armenian"/>
                <w:sz w:val="20"/>
                <w:szCs w:val="20"/>
                <w:lang w:val="pt-BR"/>
              </w:rPr>
              <w:t xml:space="preserve"> </w:t>
            </w:r>
            <w:r w:rsidRPr="00BC61ED">
              <w:rPr>
                <w:rFonts w:cs="Sylfaen"/>
                <w:sz w:val="20"/>
                <w:szCs w:val="20"/>
                <w:lang w:val="pt-BR"/>
              </w:rPr>
              <w:t>աշխարհագրական</w:t>
            </w:r>
            <w:r w:rsidRPr="00BC61ED">
              <w:rPr>
                <w:rFonts w:cs="Arial Armenian"/>
                <w:sz w:val="20"/>
                <w:szCs w:val="20"/>
                <w:lang w:val="pt-BR"/>
              </w:rPr>
              <w:t xml:space="preserve"> </w:t>
            </w:r>
            <w:r w:rsidRPr="00BC61ED">
              <w:rPr>
                <w:rFonts w:cs="Sylfaen"/>
                <w:sz w:val="20"/>
                <w:szCs w:val="20"/>
                <w:lang w:val="pt-BR"/>
              </w:rPr>
              <w:t>օբյեկտների</w:t>
            </w:r>
            <w:r w:rsidRPr="00BC61ED">
              <w:rPr>
                <w:rFonts w:cs="Arial Armenian"/>
                <w:sz w:val="20"/>
                <w:szCs w:val="20"/>
                <w:lang w:val="pt-BR"/>
              </w:rPr>
              <w:t xml:space="preserve"> </w:t>
            </w:r>
            <w:r w:rsidRPr="00BC61ED">
              <w:rPr>
                <w:rFonts w:cs="Sylfaen"/>
                <w:sz w:val="20"/>
                <w:szCs w:val="20"/>
                <w:lang w:val="pt-BR"/>
              </w:rPr>
              <w:t>անվանումները</w:t>
            </w:r>
            <w:r w:rsidRPr="00BC61ED">
              <w:rPr>
                <w:rFonts w:cs="Arial Armenian"/>
                <w:sz w:val="20"/>
                <w:szCs w:val="20"/>
                <w:lang w:val="pt-BR"/>
              </w:rPr>
              <w:t xml:space="preserve">: </w:t>
            </w:r>
            <w:r w:rsidRPr="00BC61ED">
              <w:rPr>
                <w:rFonts w:cs="Sylfaen"/>
                <w:sz w:val="20"/>
                <w:szCs w:val="20"/>
                <w:lang w:val="pt-BR"/>
              </w:rPr>
              <w:t>Աշխարհագրական</w:t>
            </w:r>
            <w:r w:rsidRPr="00BC61ED">
              <w:rPr>
                <w:rFonts w:cs="Arial Armenian"/>
                <w:sz w:val="20"/>
                <w:szCs w:val="20"/>
                <w:lang w:val="pt-BR"/>
              </w:rPr>
              <w:t xml:space="preserve"> </w:t>
            </w:r>
            <w:r w:rsidRPr="00BC61ED">
              <w:rPr>
                <w:rFonts w:cs="Sylfaen"/>
                <w:sz w:val="20"/>
                <w:szCs w:val="20"/>
                <w:lang w:val="pt-BR"/>
              </w:rPr>
              <w:t>անվանումների</w:t>
            </w:r>
            <w:r w:rsidRPr="00BC61ED">
              <w:rPr>
                <w:rFonts w:cs="Arial Armenian"/>
                <w:sz w:val="20"/>
                <w:szCs w:val="20"/>
                <w:lang w:val="pt-BR"/>
              </w:rPr>
              <w:t xml:space="preserve"> </w:t>
            </w:r>
            <w:r w:rsidRPr="00BC61ED">
              <w:rPr>
                <w:rFonts w:cs="Sylfaen"/>
                <w:sz w:val="20"/>
                <w:szCs w:val="20"/>
                <w:lang w:val="pt-BR"/>
              </w:rPr>
              <w:t>պետական</w:t>
            </w:r>
            <w:r w:rsidRPr="00BC61ED">
              <w:rPr>
                <w:rFonts w:cs="Arial Armenian"/>
                <w:sz w:val="20"/>
                <w:szCs w:val="20"/>
                <w:lang w:val="pt-BR"/>
              </w:rPr>
              <w:t xml:space="preserve"> </w:t>
            </w:r>
            <w:r w:rsidRPr="00BC61ED">
              <w:rPr>
                <w:rFonts w:cs="Sylfaen"/>
                <w:sz w:val="20"/>
                <w:szCs w:val="20"/>
                <w:lang w:val="pt-BR"/>
              </w:rPr>
              <w:t>քարտադարանի</w:t>
            </w:r>
            <w:r w:rsidRPr="00BC61ED">
              <w:rPr>
                <w:rFonts w:cs="Arial Armenian"/>
                <w:sz w:val="20"/>
                <w:szCs w:val="20"/>
                <w:lang w:val="pt-BR"/>
              </w:rPr>
              <w:t xml:space="preserve"> </w:t>
            </w:r>
            <w:r w:rsidRPr="00BC61ED">
              <w:rPr>
                <w:rFonts w:cs="Sylfaen"/>
                <w:sz w:val="20"/>
                <w:szCs w:val="20"/>
                <w:lang w:val="pt-BR"/>
              </w:rPr>
              <w:t>թարմացման</w:t>
            </w:r>
            <w:r w:rsidRPr="00BC61ED">
              <w:rPr>
                <w:rFonts w:cs="Arial Armenian"/>
                <w:sz w:val="20"/>
                <w:szCs w:val="20"/>
                <w:lang w:val="pt-BR"/>
              </w:rPr>
              <w:t xml:space="preserve"> </w:t>
            </w:r>
            <w:r w:rsidRPr="00BC61ED">
              <w:rPr>
                <w:rFonts w:cs="Sylfaen"/>
                <w:sz w:val="20"/>
                <w:szCs w:val="20"/>
                <w:lang w:val="pt-BR"/>
              </w:rPr>
              <w:t>արդյունքում</w:t>
            </w:r>
            <w:r w:rsidRPr="00BC61ED">
              <w:rPr>
                <w:rFonts w:cs="Arial Armenian"/>
                <w:sz w:val="20"/>
                <w:szCs w:val="20"/>
                <w:lang w:val="pt-BR"/>
              </w:rPr>
              <w:t xml:space="preserve"> 2009-2017 </w:t>
            </w:r>
            <w:r w:rsidRPr="00BC61ED">
              <w:rPr>
                <w:rFonts w:cs="Sylfaen"/>
                <w:sz w:val="20"/>
                <w:szCs w:val="20"/>
                <w:lang w:val="pt-BR"/>
              </w:rPr>
              <w:t>թվականներին</w:t>
            </w:r>
            <w:r w:rsidRPr="00BC61ED">
              <w:rPr>
                <w:rFonts w:cs="Arial Armenian"/>
                <w:sz w:val="20"/>
                <w:szCs w:val="20"/>
                <w:lang w:val="pt-BR"/>
              </w:rPr>
              <w:t xml:space="preserve"> </w:t>
            </w:r>
            <w:r w:rsidRPr="00BC61ED">
              <w:rPr>
                <w:rFonts w:cs="Sylfaen"/>
                <w:sz w:val="20"/>
                <w:szCs w:val="20"/>
                <w:lang w:val="pt-BR"/>
              </w:rPr>
              <w:t>ՀՀ</w:t>
            </w:r>
            <w:r w:rsidRPr="00BC61ED">
              <w:rPr>
                <w:rFonts w:cs="Arial Armenian"/>
                <w:sz w:val="20"/>
                <w:szCs w:val="20"/>
                <w:lang w:val="pt-BR"/>
              </w:rPr>
              <w:t xml:space="preserve"> </w:t>
            </w:r>
            <w:r w:rsidRPr="00BC61ED">
              <w:rPr>
                <w:rFonts w:cs="Sylfaen"/>
                <w:sz w:val="20"/>
                <w:szCs w:val="20"/>
                <w:lang w:val="pt-BR"/>
              </w:rPr>
              <w:t>կառավարության</w:t>
            </w:r>
            <w:r w:rsidRPr="00BC61ED">
              <w:rPr>
                <w:rFonts w:cs="Arial Armenian"/>
                <w:sz w:val="20"/>
                <w:szCs w:val="20"/>
                <w:lang w:val="pt-BR"/>
              </w:rPr>
              <w:t xml:space="preserve"> </w:t>
            </w:r>
            <w:r w:rsidRPr="00BC61ED">
              <w:rPr>
                <w:rFonts w:cs="Sylfaen"/>
                <w:sz w:val="20"/>
                <w:szCs w:val="20"/>
                <w:lang w:val="pt-BR"/>
              </w:rPr>
              <w:t>կողմից</w:t>
            </w:r>
            <w:r w:rsidRPr="00BC61ED">
              <w:rPr>
                <w:rFonts w:cs="Arial Armenian"/>
                <w:sz w:val="20"/>
                <w:szCs w:val="20"/>
                <w:lang w:val="pt-BR"/>
              </w:rPr>
              <w:t xml:space="preserve"> </w:t>
            </w:r>
            <w:r w:rsidRPr="00BC61ED">
              <w:rPr>
                <w:rFonts w:cs="Sylfaen"/>
                <w:sz w:val="20"/>
                <w:szCs w:val="20"/>
                <w:lang w:val="pt-BR"/>
              </w:rPr>
              <w:t>հաստատվել</w:t>
            </w:r>
            <w:r w:rsidRPr="00BC61ED">
              <w:rPr>
                <w:rFonts w:cs="Arial Armenian"/>
                <w:sz w:val="20"/>
                <w:szCs w:val="20"/>
                <w:lang w:val="pt-BR"/>
              </w:rPr>
              <w:t xml:space="preserve"> են </w:t>
            </w:r>
            <w:r w:rsidRPr="00BC61ED">
              <w:rPr>
                <w:rFonts w:cs="Sylfaen"/>
                <w:sz w:val="20"/>
                <w:szCs w:val="20"/>
                <w:lang w:val="pt-BR"/>
              </w:rPr>
              <w:t>համապատասխանաբար</w:t>
            </w:r>
            <w:r w:rsidRPr="00BC61ED">
              <w:rPr>
                <w:rFonts w:cs="Arial Armenian"/>
                <w:sz w:val="20"/>
                <w:szCs w:val="20"/>
                <w:lang w:val="pt-BR"/>
              </w:rPr>
              <w:t xml:space="preserve"> </w:t>
            </w:r>
            <w:r w:rsidRPr="00BC61ED">
              <w:rPr>
                <w:rFonts w:cs="Sylfaen"/>
                <w:sz w:val="20"/>
                <w:szCs w:val="20"/>
                <w:lang w:val="pt-BR"/>
              </w:rPr>
              <w:t>մոտ</w:t>
            </w:r>
            <w:r w:rsidRPr="00BC61ED">
              <w:rPr>
                <w:rFonts w:cs="Arial Armenian"/>
                <w:sz w:val="20"/>
                <w:szCs w:val="20"/>
                <w:lang w:val="pt-BR"/>
              </w:rPr>
              <w:t xml:space="preserve"> 3200 </w:t>
            </w:r>
            <w:r w:rsidRPr="00BC61ED">
              <w:rPr>
                <w:rFonts w:cs="Sylfaen"/>
                <w:sz w:val="20"/>
                <w:szCs w:val="20"/>
                <w:lang w:val="pt-BR"/>
              </w:rPr>
              <w:t>նոր</w:t>
            </w:r>
            <w:r w:rsidRPr="00BC61ED">
              <w:rPr>
                <w:rFonts w:cs="Arial Armenian"/>
                <w:sz w:val="20"/>
                <w:szCs w:val="20"/>
                <w:lang w:val="pt-BR"/>
              </w:rPr>
              <w:t xml:space="preserve"> </w:t>
            </w:r>
            <w:r w:rsidRPr="00BC61ED">
              <w:rPr>
                <w:rFonts w:cs="Sylfaen"/>
                <w:sz w:val="20"/>
                <w:szCs w:val="20"/>
                <w:lang w:val="pt-BR"/>
              </w:rPr>
              <w:t>աշխարհագրական</w:t>
            </w:r>
            <w:r w:rsidRPr="00BC61ED">
              <w:rPr>
                <w:rFonts w:cs="Arial Armenian"/>
                <w:sz w:val="20"/>
                <w:szCs w:val="20"/>
                <w:lang w:val="pt-BR"/>
              </w:rPr>
              <w:t xml:space="preserve"> </w:t>
            </w:r>
            <w:r w:rsidRPr="00BC61ED">
              <w:rPr>
                <w:rFonts w:cs="Sylfaen"/>
                <w:sz w:val="20"/>
                <w:szCs w:val="20"/>
                <w:lang w:val="pt-BR"/>
              </w:rPr>
              <w:t>օբյեկտների</w:t>
            </w:r>
            <w:r w:rsidRPr="00BC61ED">
              <w:rPr>
                <w:rFonts w:cs="Arial Armenian"/>
                <w:sz w:val="20"/>
                <w:szCs w:val="20"/>
                <w:lang w:val="pt-BR"/>
              </w:rPr>
              <w:t xml:space="preserve"> </w:t>
            </w:r>
            <w:r w:rsidRPr="00BC61ED">
              <w:rPr>
                <w:rFonts w:cs="Sylfaen"/>
                <w:sz w:val="20"/>
                <w:szCs w:val="20"/>
                <w:lang w:val="pt-BR"/>
              </w:rPr>
              <w:t>անվանումներ</w:t>
            </w:r>
            <w:r w:rsidRPr="00BC61ED">
              <w:rPr>
                <w:rFonts w:cs="Arial Armenian"/>
                <w:sz w:val="20"/>
                <w:szCs w:val="20"/>
                <w:lang w:val="pt-BR"/>
              </w:rPr>
              <w:t xml:space="preserve">: </w:t>
            </w:r>
            <w:r w:rsidRPr="00BC61ED">
              <w:rPr>
                <w:rFonts w:cs="Sylfaen"/>
                <w:sz w:val="20"/>
                <w:szCs w:val="20"/>
                <w:lang w:val="pt-BR"/>
              </w:rPr>
              <w:t>Գրանցվել</w:t>
            </w:r>
            <w:r w:rsidRPr="00BC61ED">
              <w:rPr>
                <w:rFonts w:cs="Arial Armenian"/>
                <w:sz w:val="20"/>
                <w:szCs w:val="20"/>
                <w:lang w:val="pt-BR"/>
              </w:rPr>
              <w:t xml:space="preserve"> </w:t>
            </w:r>
            <w:r w:rsidRPr="00BC61ED">
              <w:rPr>
                <w:rFonts w:cs="Sylfaen"/>
                <w:sz w:val="20"/>
                <w:szCs w:val="20"/>
                <w:lang w:val="pt-BR"/>
              </w:rPr>
              <w:t>է</w:t>
            </w:r>
            <w:r w:rsidRPr="00BC61ED">
              <w:rPr>
                <w:rFonts w:cs="Arial Armenian"/>
                <w:sz w:val="20"/>
                <w:szCs w:val="20"/>
                <w:lang w:val="pt-BR"/>
              </w:rPr>
              <w:t xml:space="preserve"> </w:t>
            </w:r>
            <w:r w:rsidRPr="00BC61ED">
              <w:rPr>
                <w:rFonts w:cs="Sylfaen"/>
                <w:sz w:val="20"/>
                <w:szCs w:val="20"/>
                <w:lang w:val="pt-BR"/>
              </w:rPr>
              <w:t>ՀՀ</w:t>
            </w:r>
            <w:r w:rsidRPr="00BC61ED">
              <w:rPr>
                <w:rFonts w:cs="Arial Armenian"/>
                <w:sz w:val="20"/>
                <w:szCs w:val="20"/>
                <w:lang w:val="pt-BR"/>
              </w:rPr>
              <w:t xml:space="preserve"> 10 </w:t>
            </w:r>
            <w:r w:rsidRPr="00BC61ED">
              <w:rPr>
                <w:rFonts w:cs="Sylfaen"/>
                <w:sz w:val="20"/>
                <w:szCs w:val="20"/>
                <w:lang w:val="pt-BR"/>
              </w:rPr>
              <w:t>մարզերի</w:t>
            </w:r>
            <w:r w:rsidRPr="00BC61ED">
              <w:rPr>
                <w:rFonts w:cs="Arial Armenian"/>
                <w:sz w:val="20"/>
                <w:szCs w:val="20"/>
                <w:lang w:val="pt-BR"/>
              </w:rPr>
              <w:t xml:space="preserve"> </w:t>
            </w:r>
            <w:r w:rsidRPr="00BC61ED">
              <w:rPr>
                <w:rFonts w:cs="Sylfaen"/>
                <w:sz w:val="20"/>
                <w:szCs w:val="20"/>
                <w:lang w:val="pt-BR"/>
              </w:rPr>
              <w:t>և</w:t>
            </w:r>
            <w:r w:rsidRPr="00BC61ED">
              <w:rPr>
                <w:rFonts w:cs="Arial Armenian"/>
                <w:sz w:val="20"/>
                <w:szCs w:val="20"/>
                <w:lang w:val="pt-BR"/>
              </w:rPr>
              <w:t xml:space="preserve"> </w:t>
            </w:r>
            <w:r w:rsidRPr="00BC61ED">
              <w:rPr>
                <w:rFonts w:cs="Sylfaen"/>
                <w:sz w:val="20"/>
                <w:szCs w:val="20"/>
                <w:lang w:val="pt-BR"/>
              </w:rPr>
              <w:t>Երևան</w:t>
            </w:r>
            <w:r w:rsidRPr="00BC61ED">
              <w:rPr>
                <w:rFonts w:cs="Arial Armenian"/>
                <w:sz w:val="20"/>
                <w:szCs w:val="20"/>
                <w:lang w:val="pt-BR"/>
              </w:rPr>
              <w:t xml:space="preserve"> </w:t>
            </w:r>
            <w:r w:rsidRPr="00BC61ED">
              <w:rPr>
                <w:rFonts w:cs="Sylfaen"/>
                <w:sz w:val="20"/>
                <w:szCs w:val="20"/>
                <w:lang w:val="pt-BR"/>
              </w:rPr>
              <w:t>քաղաքի</w:t>
            </w:r>
            <w:r w:rsidRPr="00BC61ED">
              <w:rPr>
                <w:rFonts w:cs="Arial Armenian"/>
                <w:sz w:val="20"/>
                <w:szCs w:val="20"/>
                <w:lang w:val="pt-BR"/>
              </w:rPr>
              <w:t xml:space="preserve"> </w:t>
            </w:r>
            <w:r w:rsidRPr="00BC61ED">
              <w:rPr>
                <w:rFonts w:cs="Sylfaen"/>
                <w:sz w:val="20"/>
                <w:szCs w:val="20"/>
                <w:lang w:val="pt-BR"/>
              </w:rPr>
              <w:t>աշխարհագրական</w:t>
            </w:r>
            <w:r w:rsidRPr="00BC61ED">
              <w:rPr>
                <w:rFonts w:cs="Arial Armenian"/>
                <w:sz w:val="20"/>
                <w:szCs w:val="20"/>
                <w:lang w:val="pt-BR"/>
              </w:rPr>
              <w:t xml:space="preserve"> </w:t>
            </w:r>
            <w:r w:rsidRPr="00BC61ED">
              <w:rPr>
                <w:rFonts w:cs="Sylfaen"/>
                <w:sz w:val="20"/>
                <w:szCs w:val="20"/>
                <w:lang w:val="pt-BR"/>
              </w:rPr>
              <w:t>օբյեկտների</w:t>
            </w:r>
            <w:r w:rsidRPr="00BC61ED">
              <w:rPr>
                <w:rFonts w:cs="Arial Armenian"/>
                <w:sz w:val="20"/>
                <w:szCs w:val="20"/>
                <w:lang w:val="pt-BR"/>
              </w:rPr>
              <w:t xml:space="preserve"> </w:t>
            </w:r>
            <w:r w:rsidRPr="00BC61ED">
              <w:rPr>
                <w:rFonts w:cs="Sylfaen"/>
                <w:sz w:val="20"/>
                <w:szCs w:val="20"/>
                <w:lang w:val="pt-BR"/>
              </w:rPr>
              <w:t>ավելի քան</w:t>
            </w:r>
            <w:r w:rsidRPr="00BC61ED">
              <w:rPr>
                <w:rFonts w:cs="Arial Armenian"/>
                <w:sz w:val="20"/>
                <w:szCs w:val="20"/>
                <w:lang w:val="pt-BR"/>
              </w:rPr>
              <w:t xml:space="preserve"> 41 </w:t>
            </w:r>
            <w:r w:rsidRPr="00BC61ED">
              <w:rPr>
                <w:rFonts w:cs="Sylfaen"/>
                <w:sz w:val="20"/>
                <w:szCs w:val="20"/>
                <w:lang w:val="pt-BR"/>
              </w:rPr>
              <w:t>հազար</w:t>
            </w:r>
            <w:r w:rsidRPr="00BC61ED">
              <w:rPr>
                <w:rFonts w:cs="Arial Armenian"/>
                <w:sz w:val="20"/>
                <w:szCs w:val="20"/>
                <w:lang w:val="pt-BR"/>
              </w:rPr>
              <w:t xml:space="preserve"> </w:t>
            </w:r>
            <w:r w:rsidRPr="00BC61ED">
              <w:rPr>
                <w:rFonts w:cs="Sylfaen"/>
                <w:sz w:val="20"/>
                <w:szCs w:val="20"/>
                <w:lang w:val="pt-BR"/>
              </w:rPr>
              <w:t>անվանում</w:t>
            </w:r>
            <w:r w:rsidRPr="00BC61ED">
              <w:rPr>
                <w:rFonts w:cs="Arial Armenian"/>
                <w:sz w:val="20"/>
                <w:szCs w:val="20"/>
                <w:lang w:val="pt-BR"/>
              </w:rPr>
              <w:t xml:space="preserve">: </w:t>
            </w:r>
            <w:r w:rsidRPr="00BC61ED">
              <w:rPr>
                <w:rFonts w:cs="Sylfaen"/>
                <w:sz w:val="20"/>
                <w:szCs w:val="20"/>
                <w:lang w:val="pt-BR"/>
              </w:rPr>
              <w:t>Անվանափոխվել</w:t>
            </w:r>
            <w:r w:rsidRPr="00BC61ED">
              <w:rPr>
                <w:rFonts w:cs="Arial Armenian"/>
                <w:sz w:val="20"/>
                <w:szCs w:val="20"/>
                <w:lang w:val="pt-BR"/>
              </w:rPr>
              <w:t xml:space="preserve"> </w:t>
            </w:r>
            <w:r w:rsidRPr="00BC61ED">
              <w:rPr>
                <w:rFonts w:cs="Sylfaen"/>
                <w:sz w:val="20"/>
                <w:szCs w:val="20"/>
                <w:lang w:val="pt-BR"/>
              </w:rPr>
              <w:t>են</w:t>
            </w:r>
            <w:r w:rsidRPr="00BC61ED">
              <w:rPr>
                <w:rFonts w:cs="Arial Armenian"/>
                <w:sz w:val="20"/>
                <w:szCs w:val="20"/>
                <w:lang w:val="pt-BR"/>
              </w:rPr>
              <w:t xml:space="preserve"> </w:t>
            </w:r>
            <w:r w:rsidRPr="00BC61ED">
              <w:rPr>
                <w:rFonts w:cs="Sylfaen"/>
                <w:sz w:val="20"/>
                <w:szCs w:val="20"/>
                <w:lang w:val="pt-BR"/>
              </w:rPr>
              <w:t>ՀՀ</w:t>
            </w:r>
            <w:r w:rsidRPr="00BC61ED">
              <w:rPr>
                <w:rFonts w:cs="Arial Armenian"/>
                <w:sz w:val="20"/>
                <w:szCs w:val="20"/>
                <w:lang w:val="pt-BR"/>
              </w:rPr>
              <w:t xml:space="preserve"> 59 </w:t>
            </w:r>
            <w:r w:rsidRPr="00BC61ED">
              <w:rPr>
                <w:rFonts w:cs="Sylfaen"/>
                <w:sz w:val="20"/>
                <w:szCs w:val="20"/>
                <w:lang w:val="pt-BR"/>
              </w:rPr>
              <w:t>բնակավայրեր, նախատեսվում է անվանափոխել ևս 21 բնակավայր</w:t>
            </w:r>
            <w:r w:rsidRPr="00BC61ED">
              <w:rPr>
                <w:rFonts w:cs="Arial Armenian"/>
                <w:sz w:val="20"/>
                <w:szCs w:val="20"/>
                <w:lang w:val="pt-BR"/>
              </w:rPr>
              <w:t xml:space="preserve">: </w:t>
            </w:r>
            <w:r w:rsidRPr="00BC61ED">
              <w:rPr>
                <w:rFonts w:cs="Sylfaen"/>
                <w:sz w:val="20"/>
                <w:szCs w:val="20"/>
                <w:lang w:val="pt-BR"/>
              </w:rPr>
              <w:t>Այս</w:t>
            </w:r>
            <w:r w:rsidRPr="00BC61ED">
              <w:rPr>
                <w:rFonts w:cs="Arial Armenian"/>
                <w:sz w:val="20"/>
                <w:szCs w:val="20"/>
                <w:lang w:val="pt-BR"/>
              </w:rPr>
              <w:t xml:space="preserve"> </w:t>
            </w:r>
            <w:r w:rsidRPr="00BC61ED">
              <w:rPr>
                <w:rFonts w:cs="Sylfaen"/>
                <w:sz w:val="20"/>
                <w:szCs w:val="20"/>
                <w:lang w:val="pt-BR"/>
              </w:rPr>
              <w:t>բնագավառում</w:t>
            </w:r>
            <w:r w:rsidRPr="00BC61ED">
              <w:rPr>
                <w:rFonts w:cs="Arial Armenian"/>
                <w:sz w:val="20"/>
                <w:szCs w:val="20"/>
                <w:lang w:val="pt-BR"/>
              </w:rPr>
              <w:t xml:space="preserve"> </w:t>
            </w:r>
            <w:r w:rsidRPr="00BC61ED">
              <w:rPr>
                <w:rFonts w:cs="Sylfaen"/>
                <w:sz w:val="20"/>
                <w:szCs w:val="20"/>
                <w:lang w:val="pt-BR"/>
              </w:rPr>
              <w:t>իրականացված</w:t>
            </w:r>
            <w:r w:rsidRPr="00BC61ED">
              <w:rPr>
                <w:rFonts w:cs="Arial Armenian"/>
                <w:sz w:val="20"/>
                <w:szCs w:val="20"/>
                <w:lang w:val="pt-BR"/>
              </w:rPr>
              <w:t xml:space="preserve"> </w:t>
            </w:r>
            <w:r w:rsidRPr="00BC61ED">
              <w:rPr>
                <w:rFonts w:cs="Sylfaen"/>
                <w:sz w:val="20"/>
                <w:szCs w:val="20"/>
                <w:lang w:val="pt-BR"/>
              </w:rPr>
              <w:t>աշխատանքների</w:t>
            </w:r>
            <w:r w:rsidRPr="00BC61ED">
              <w:rPr>
                <w:rFonts w:cs="Arial Armenian"/>
                <w:sz w:val="20"/>
                <w:szCs w:val="20"/>
                <w:lang w:val="pt-BR"/>
              </w:rPr>
              <w:t xml:space="preserve"> </w:t>
            </w:r>
            <w:r w:rsidRPr="00BC61ED">
              <w:rPr>
                <w:rFonts w:cs="Sylfaen"/>
                <w:sz w:val="20"/>
                <w:szCs w:val="20"/>
                <w:lang w:val="pt-BR"/>
              </w:rPr>
              <w:t>արդյունքում</w:t>
            </w:r>
            <w:r w:rsidRPr="00BC61ED">
              <w:rPr>
                <w:rFonts w:cs="Arial Armenian"/>
                <w:sz w:val="20"/>
                <w:szCs w:val="20"/>
                <w:lang w:val="pt-BR"/>
              </w:rPr>
              <w:t xml:space="preserve"> </w:t>
            </w:r>
            <w:r w:rsidRPr="00BC61ED">
              <w:rPr>
                <w:rFonts w:cs="Sylfaen"/>
                <w:sz w:val="20"/>
                <w:szCs w:val="20"/>
                <w:lang w:val="pt-BR"/>
              </w:rPr>
              <w:t>հրատարակվել</w:t>
            </w:r>
            <w:r w:rsidRPr="00BC61ED">
              <w:rPr>
                <w:rFonts w:cs="Arial Armenian"/>
                <w:sz w:val="20"/>
                <w:szCs w:val="20"/>
                <w:lang w:val="pt-BR"/>
              </w:rPr>
              <w:t xml:space="preserve"> </w:t>
            </w:r>
            <w:r w:rsidRPr="00BC61ED">
              <w:rPr>
                <w:rFonts w:cs="Sylfaen"/>
                <w:sz w:val="20"/>
                <w:szCs w:val="20"/>
                <w:lang w:val="pt-BR"/>
              </w:rPr>
              <w:t>են</w:t>
            </w:r>
            <w:r w:rsidRPr="00BC61ED">
              <w:rPr>
                <w:rFonts w:cs="Arial Armenian"/>
                <w:sz w:val="20"/>
                <w:szCs w:val="20"/>
                <w:lang w:val="pt-BR"/>
              </w:rPr>
              <w:t xml:space="preserve"> </w:t>
            </w:r>
            <w:r w:rsidRPr="00BC61ED">
              <w:rPr>
                <w:rFonts w:cs="Sylfaen"/>
                <w:sz w:val="20"/>
                <w:szCs w:val="20"/>
                <w:lang w:val="pt-BR"/>
              </w:rPr>
              <w:t>ՀՀ</w:t>
            </w:r>
            <w:r w:rsidRPr="00BC61ED">
              <w:rPr>
                <w:rFonts w:cs="Arial Armenian"/>
                <w:sz w:val="20"/>
                <w:szCs w:val="20"/>
                <w:lang w:val="pt-BR"/>
              </w:rPr>
              <w:t xml:space="preserve"> </w:t>
            </w:r>
            <w:r w:rsidRPr="00BC61ED">
              <w:rPr>
                <w:rFonts w:cs="Sylfaen"/>
                <w:sz w:val="20"/>
                <w:szCs w:val="20"/>
                <w:lang w:val="pt-BR"/>
              </w:rPr>
              <w:t>մարզերի</w:t>
            </w:r>
            <w:r w:rsidRPr="00BC61ED">
              <w:rPr>
                <w:rFonts w:cs="Arial Armenian"/>
                <w:sz w:val="20"/>
                <w:szCs w:val="20"/>
                <w:lang w:val="pt-BR"/>
              </w:rPr>
              <w:t xml:space="preserve"> </w:t>
            </w:r>
            <w:r w:rsidRPr="00BC61ED">
              <w:rPr>
                <w:rFonts w:cs="Sylfaen"/>
                <w:sz w:val="20"/>
                <w:szCs w:val="20"/>
                <w:lang w:val="pt-BR"/>
              </w:rPr>
              <w:t>աշխարհագրական</w:t>
            </w:r>
            <w:r w:rsidRPr="00BC61ED">
              <w:rPr>
                <w:rFonts w:cs="Arial Armenian"/>
                <w:sz w:val="20"/>
                <w:szCs w:val="20"/>
                <w:lang w:val="pt-BR"/>
              </w:rPr>
              <w:t xml:space="preserve"> </w:t>
            </w:r>
            <w:r w:rsidRPr="00BC61ED">
              <w:rPr>
                <w:rFonts w:cs="Sylfaen"/>
                <w:sz w:val="20"/>
                <w:szCs w:val="20"/>
                <w:lang w:val="pt-BR"/>
              </w:rPr>
              <w:t>անվանումների</w:t>
            </w:r>
            <w:r w:rsidRPr="00BC61ED">
              <w:rPr>
                <w:rFonts w:cs="Arial Armenian"/>
                <w:sz w:val="20"/>
                <w:szCs w:val="20"/>
                <w:lang w:val="pt-BR"/>
              </w:rPr>
              <w:t xml:space="preserve"> </w:t>
            </w:r>
            <w:r w:rsidRPr="00BC61ED">
              <w:rPr>
                <w:rFonts w:cs="Sylfaen"/>
                <w:sz w:val="20"/>
                <w:szCs w:val="20"/>
                <w:lang w:val="pt-BR"/>
              </w:rPr>
              <w:t>պաշտոնական</w:t>
            </w:r>
            <w:r w:rsidRPr="00BC61ED">
              <w:rPr>
                <w:rFonts w:cs="Arial Armenian"/>
                <w:sz w:val="20"/>
                <w:szCs w:val="20"/>
                <w:lang w:val="pt-BR"/>
              </w:rPr>
              <w:t xml:space="preserve"> </w:t>
            </w:r>
            <w:r w:rsidRPr="00BC61ED">
              <w:rPr>
                <w:rFonts w:cs="Sylfaen"/>
                <w:sz w:val="20"/>
                <w:szCs w:val="20"/>
                <w:lang w:val="pt-BR"/>
              </w:rPr>
              <w:t>տեղեկատուները`</w:t>
            </w:r>
            <w:r w:rsidRPr="00BC61ED">
              <w:rPr>
                <w:rFonts w:cs="Arial Armenian"/>
                <w:sz w:val="20"/>
                <w:szCs w:val="20"/>
                <w:lang w:val="pt-BR"/>
              </w:rPr>
              <w:t xml:space="preserve"> </w:t>
            </w:r>
            <w:r w:rsidRPr="00BC61ED">
              <w:rPr>
                <w:rFonts w:cs="Sylfaen"/>
                <w:sz w:val="20"/>
                <w:szCs w:val="20"/>
                <w:lang w:val="pt-BR"/>
              </w:rPr>
              <w:t>գազետիրները</w:t>
            </w:r>
            <w:r w:rsidRPr="00BC61ED">
              <w:rPr>
                <w:rFonts w:cs="Arial Armenian"/>
                <w:sz w:val="20"/>
                <w:szCs w:val="20"/>
                <w:lang w:val="pt-BR"/>
              </w:rPr>
              <w:t xml:space="preserve">, </w:t>
            </w:r>
            <w:r w:rsidRPr="00BC61ED">
              <w:rPr>
                <w:rFonts w:cs="Sylfaen"/>
                <w:sz w:val="20"/>
                <w:szCs w:val="20"/>
                <w:lang w:val="pt-BR"/>
              </w:rPr>
              <w:t>որոնցում</w:t>
            </w:r>
            <w:r w:rsidRPr="00BC61ED">
              <w:rPr>
                <w:rFonts w:cs="Arial Armenian"/>
                <w:sz w:val="20"/>
                <w:szCs w:val="20"/>
                <w:lang w:val="pt-BR"/>
              </w:rPr>
              <w:t xml:space="preserve"> </w:t>
            </w:r>
            <w:r w:rsidRPr="00BC61ED">
              <w:rPr>
                <w:rFonts w:cs="Sylfaen"/>
                <w:sz w:val="20"/>
                <w:szCs w:val="20"/>
                <w:lang w:val="pt-BR"/>
              </w:rPr>
              <w:t>զետեղված</w:t>
            </w:r>
            <w:r w:rsidRPr="00BC61ED">
              <w:rPr>
                <w:rFonts w:cs="Arial Armenian"/>
                <w:sz w:val="20"/>
                <w:szCs w:val="20"/>
                <w:lang w:val="pt-BR"/>
              </w:rPr>
              <w:t xml:space="preserve"> </w:t>
            </w:r>
            <w:r w:rsidRPr="00BC61ED">
              <w:rPr>
                <w:rFonts w:cs="Sylfaen"/>
                <w:sz w:val="20"/>
                <w:szCs w:val="20"/>
                <w:lang w:val="pt-BR"/>
              </w:rPr>
              <w:t>են</w:t>
            </w:r>
            <w:r w:rsidRPr="00BC61ED">
              <w:rPr>
                <w:rFonts w:cs="Arial Armenian"/>
                <w:sz w:val="20"/>
                <w:szCs w:val="20"/>
                <w:lang w:val="pt-BR"/>
              </w:rPr>
              <w:t xml:space="preserve"> </w:t>
            </w:r>
            <w:r w:rsidRPr="00BC61ED">
              <w:rPr>
                <w:rFonts w:cs="Sylfaen"/>
                <w:sz w:val="20"/>
                <w:szCs w:val="20"/>
                <w:lang w:val="pt-BR"/>
              </w:rPr>
              <w:t>ՀՀ</w:t>
            </w:r>
            <w:r w:rsidRPr="00BC61ED">
              <w:rPr>
                <w:rFonts w:cs="Arial Armenian"/>
                <w:sz w:val="20"/>
                <w:szCs w:val="20"/>
                <w:lang w:val="pt-BR"/>
              </w:rPr>
              <w:t xml:space="preserve"> </w:t>
            </w:r>
            <w:r w:rsidRPr="00BC61ED">
              <w:rPr>
                <w:rFonts w:cs="Sylfaen"/>
                <w:sz w:val="20"/>
                <w:szCs w:val="20"/>
                <w:lang w:val="pt-BR"/>
              </w:rPr>
              <w:t>մարզերի</w:t>
            </w:r>
            <w:r w:rsidRPr="00BC61ED">
              <w:rPr>
                <w:rFonts w:cs="Arial Armenian"/>
                <w:sz w:val="20"/>
                <w:szCs w:val="20"/>
                <w:lang w:val="pt-BR"/>
              </w:rPr>
              <w:t xml:space="preserve"> </w:t>
            </w:r>
            <w:r w:rsidRPr="00BC61ED">
              <w:rPr>
                <w:rFonts w:cs="Sylfaen"/>
                <w:sz w:val="20"/>
                <w:szCs w:val="20"/>
                <w:lang w:val="pt-BR"/>
              </w:rPr>
              <w:t>տարածքներում</w:t>
            </w:r>
            <w:r w:rsidRPr="00BC61ED">
              <w:rPr>
                <w:rFonts w:cs="Arial Armenian"/>
                <w:sz w:val="20"/>
                <w:szCs w:val="20"/>
                <w:lang w:val="pt-BR"/>
              </w:rPr>
              <w:t xml:space="preserve"> </w:t>
            </w:r>
            <w:r w:rsidRPr="00BC61ED">
              <w:rPr>
                <w:rFonts w:cs="Sylfaen"/>
                <w:sz w:val="20"/>
                <w:szCs w:val="20"/>
                <w:lang w:val="pt-BR"/>
              </w:rPr>
              <w:t>գտնող</w:t>
            </w:r>
            <w:r w:rsidRPr="00BC61ED">
              <w:rPr>
                <w:rFonts w:cs="Arial Armenian"/>
                <w:sz w:val="20"/>
                <w:szCs w:val="20"/>
                <w:lang w:val="pt-BR"/>
              </w:rPr>
              <w:t xml:space="preserve"> </w:t>
            </w:r>
            <w:r w:rsidRPr="00BC61ED">
              <w:rPr>
                <w:rFonts w:cs="Sylfaen"/>
                <w:sz w:val="20"/>
                <w:szCs w:val="20"/>
                <w:lang w:val="pt-BR"/>
              </w:rPr>
              <w:t>աշխարհագրական</w:t>
            </w:r>
            <w:r w:rsidRPr="00BC61ED">
              <w:rPr>
                <w:rFonts w:cs="Arial Armenian"/>
                <w:sz w:val="20"/>
                <w:szCs w:val="20"/>
                <w:lang w:val="pt-BR"/>
              </w:rPr>
              <w:t xml:space="preserve"> </w:t>
            </w:r>
            <w:r w:rsidRPr="00BC61ED">
              <w:rPr>
                <w:rFonts w:cs="Sylfaen"/>
                <w:sz w:val="20"/>
                <w:szCs w:val="20"/>
                <w:lang w:val="pt-BR"/>
              </w:rPr>
              <w:t>օբյեկտների</w:t>
            </w:r>
            <w:r w:rsidRPr="00BC61ED">
              <w:rPr>
                <w:rFonts w:cs="Arial Armenian"/>
                <w:sz w:val="20"/>
                <w:szCs w:val="20"/>
                <w:lang w:val="pt-BR"/>
              </w:rPr>
              <w:t xml:space="preserve"> </w:t>
            </w:r>
            <w:r w:rsidRPr="00BC61ED">
              <w:rPr>
                <w:rFonts w:cs="Sylfaen"/>
                <w:sz w:val="20"/>
                <w:szCs w:val="20"/>
                <w:lang w:val="pt-BR"/>
              </w:rPr>
              <w:t>անվանումները</w:t>
            </w:r>
            <w:r w:rsidRPr="00BC61ED">
              <w:rPr>
                <w:rFonts w:cs="Arial Armenian"/>
                <w:sz w:val="20"/>
                <w:szCs w:val="20"/>
                <w:lang w:val="pt-BR"/>
              </w:rPr>
              <w:t xml:space="preserve">: </w:t>
            </w:r>
            <w:r w:rsidRPr="00BC61ED">
              <w:rPr>
                <w:rFonts w:cs="Sylfaen"/>
                <w:sz w:val="20"/>
                <w:szCs w:val="20"/>
                <w:lang w:val="pt-BR"/>
              </w:rPr>
              <w:t>Հրատարակվել</w:t>
            </w:r>
            <w:r w:rsidRPr="00BC61ED">
              <w:rPr>
                <w:rFonts w:cs="Arial Armenian"/>
                <w:sz w:val="20"/>
                <w:szCs w:val="20"/>
                <w:lang w:val="pt-BR"/>
              </w:rPr>
              <w:t xml:space="preserve"> </w:t>
            </w:r>
            <w:r w:rsidRPr="00BC61ED">
              <w:rPr>
                <w:rFonts w:cs="Sylfaen"/>
                <w:sz w:val="20"/>
                <w:szCs w:val="20"/>
                <w:lang w:val="pt-BR"/>
              </w:rPr>
              <w:t>է</w:t>
            </w:r>
            <w:r w:rsidRPr="00BC61ED">
              <w:rPr>
                <w:rFonts w:cs="Arial Armenian"/>
                <w:sz w:val="20"/>
                <w:szCs w:val="20"/>
                <w:lang w:val="pt-BR"/>
              </w:rPr>
              <w:t xml:space="preserve"> </w:t>
            </w:r>
            <w:r w:rsidRPr="00BC61ED">
              <w:rPr>
                <w:rFonts w:cs="Sylfaen"/>
                <w:sz w:val="20"/>
                <w:szCs w:val="20"/>
                <w:lang w:val="pt-BR"/>
              </w:rPr>
              <w:t>նաև</w:t>
            </w:r>
            <w:r w:rsidRPr="00BC61ED">
              <w:rPr>
                <w:rFonts w:cs="Arial Armenian"/>
                <w:sz w:val="20"/>
                <w:szCs w:val="20"/>
                <w:lang w:val="pt-BR"/>
              </w:rPr>
              <w:t xml:space="preserve"> «</w:t>
            </w:r>
            <w:r w:rsidRPr="00BC61ED">
              <w:rPr>
                <w:rFonts w:cs="Sylfaen"/>
                <w:sz w:val="20"/>
                <w:szCs w:val="20"/>
                <w:lang w:val="pt-BR"/>
              </w:rPr>
              <w:t>ՀՀ</w:t>
            </w:r>
            <w:r w:rsidRPr="00BC61ED">
              <w:rPr>
                <w:rFonts w:cs="Arial Armenian"/>
                <w:sz w:val="20"/>
                <w:szCs w:val="20"/>
                <w:lang w:val="pt-BR"/>
              </w:rPr>
              <w:t xml:space="preserve"> </w:t>
            </w:r>
            <w:r w:rsidRPr="00BC61ED">
              <w:rPr>
                <w:rFonts w:cs="Sylfaen"/>
                <w:sz w:val="20"/>
                <w:szCs w:val="20"/>
                <w:lang w:val="pt-BR"/>
              </w:rPr>
              <w:t>բնակավայրերի</w:t>
            </w:r>
            <w:r w:rsidRPr="00BC61ED">
              <w:rPr>
                <w:rFonts w:cs="Arial Armenian"/>
                <w:sz w:val="20"/>
                <w:szCs w:val="20"/>
                <w:lang w:val="pt-BR"/>
              </w:rPr>
              <w:t xml:space="preserve"> </w:t>
            </w:r>
            <w:r w:rsidRPr="00BC61ED">
              <w:rPr>
                <w:rFonts w:cs="Sylfaen"/>
                <w:sz w:val="20"/>
                <w:szCs w:val="20"/>
                <w:lang w:val="pt-BR"/>
              </w:rPr>
              <w:t>բառարան»</w:t>
            </w:r>
            <w:r w:rsidRPr="00BC61ED">
              <w:rPr>
                <w:rFonts w:cs="Arial Armenian"/>
                <w:sz w:val="20"/>
                <w:szCs w:val="20"/>
                <w:lang w:val="pt-BR"/>
              </w:rPr>
              <w:t>-</w:t>
            </w:r>
            <w:r w:rsidRPr="00BC61ED">
              <w:rPr>
                <w:rFonts w:cs="Sylfaen"/>
                <w:sz w:val="20"/>
                <w:szCs w:val="20"/>
                <w:lang w:val="pt-BR"/>
              </w:rPr>
              <w:t>ը</w:t>
            </w:r>
            <w:r w:rsidRPr="00BC61ED">
              <w:rPr>
                <w:rFonts w:cs="Arial Armenian"/>
                <w:sz w:val="20"/>
                <w:szCs w:val="20"/>
                <w:lang w:val="pt-BR"/>
              </w:rPr>
              <w:t>, «</w:t>
            </w:r>
            <w:r w:rsidRPr="00BC61ED">
              <w:rPr>
                <w:rFonts w:cs="Sylfaen"/>
                <w:sz w:val="20"/>
                <w:szCs w:val="20"/>
                <w:lang w:val="pt-BR"/>
              </w:rPr>
              <w:t>ՀՀ</w:t>
            </w:r>
            <w:r w:rsidRPr="00BC61ED">
              <w:rPr>
                <w:rFonts w:cs="Arial Armenian"/>
                <w:sz w:val="20"/>
                <w:szCs w:val="20"/>
                <w:lang w:val="pt-BR"/>
              </w:rPr>
              <w:t xml:space="preserve"> </w:t>
            </w:r>
            <w:r w:rsidRPr="00BC61ED">
              <w:rPr>
                <w:rFonts w:cs="Sylfaen"/>
                <w:sz w:val="20"/>
                <w:szCs w:val="20"/>
                <w:lang w:val="pt-BR"/>
              </w:rPr>
              <w:t>ֆիզիկաաշխարհագրական</w:t>
            </w:r>
            <w:r w:rsidRPr="00BC61ED">
              <w:rPr>
                <w:rFonts w:cs="Arial Armenian"/>
                <w:sz w:val="20"/>
                <w:szCs w:val="20"/>
                <w:lang w:val="pt-BR"/>
              </w:rPr>
              <w:t xml:space="preserve"> </w:t>
            </w:r>
            <w:r w:rsidRPr="00BC61ED">
              <w:rPr>
                <w:rFonts w:cs="Sylfaen"/>
                <w:sz w:val="20"/>
                <w:szCs w:val="20"/>
                <w:lang w:val="pt-BR"/>
              </w:rPr>
              <w:t>օբյեկտների</w:t>
            </w:r>
            <w:r w:rsidRPr="00BC61ED">
              <w:rPr>
                <w:rFonts w:cs="Arial Armenian"/>
                <w:sz w:val="20"/>
                <w:szCs w:val="20"/>
                <w:lang w:val="pt-BR"/>
              </w:rPr>
              <w:t xml:space="preserve"> </w:t>
            </w:r>
            <w:r w:rsidRPr="00BC61ED">
              <w:rPr>
                <w:rFonts w:cs="Sylfaen"/>
                <w:sz w:val="20"/>
                <w:szCs w:val="20"/>
                <w:lang w:val="pt-BR"/>
              </w:rPr>
              <w:t>համառոտ</w:t>
            </w:r>
            <w:r w:rsidRPr="00BC61ED">
              <w:rPr>
                <w:rFonts w:cs="Arial Armenian"/>
                <w:sz w:val="20"/>
                <w:szCs w:val="20"/>
                <w:lang w:val="pt-BR"/>
              </w:rPr>
              <w:t xml:space="preserve"> </w:t>
            </w:r>
            <w:r w:rsidRPr="00BC61ED">
              <w:rPr>
                <w:rFonts w:cs="Sylfaen"/>
                <w:sz w:val="20"/>
                <w:szCs w:val="20"/>
                <w:lang w:val="pt-BR"/>
              </w:rPr>
              <w:t>տեղեկատու</w:t>
            </w:r>
            <w:r w:rsidRPr="00BC61ED">
              <w:rPr>
                <w:rFonts w:cs="Arial Armenian"/>
                <w:sz w:val="20"/>
                <w:szCs w:val="20"/>
                <w:lang w:val="pt-BR"/>
              </w:rPr>
              <w:t>-</w:t>
            </w:r>
            <w:r w:rsidRPr="00BC61ED">
              <w:rPr>
                <w:rFonts w:cs="Sylfaen"/>
                <w:sz w:val="20"/>
                <w:szCs w:val="20"/>
                <w:lang w:val="pt-BR"/>
              </w:rPr>
              <w:t>բառարան»</w:t>
            </w:r>
            <w:r w:rsidRPr="00BC61ED">
              <w:rPr>
                <w:rFonts w:cs="Arial Armenian"/>
                <w:sz w:val="20"/>
                <w:szCs w:val="20"/>
                <w:lang w:val="pt-BR"/>
              </w:rPr>
              <w:t>-</w:t>
            </w:r>
            <w:r w:rsidRPr="00BC61ED">
              <w:rPr>
                <w:rFonts w:cs="Sylfaen"/>
                <w:sz w:val="20"/>
                <w:szCs w:val="20"/>
                <w:lang w:val="pt-BR"/>
              </w:rPr>
              <w:t>ը,</w:t>
            </w:r>
            <w:r w:rsidRPr="00BC61ED">
              <w:rPr>
                <w:rFonts w:cs="Arial Armenian"/>
                <w:sz w:val="20"/>
                <w:szCs w:val="20"/>
                <w:lang w:val="pt-BR"/>
              </w:rPr>
              <w:t xml:space="preserve"> «</w:t>
            </w:r>
            <w:r w:rsidRPr="00BC61ED">
              <w:rPr>
                <w:rFonts w:cs="Sylfaen"/>
                <w:sz w:val="20"/>
                <w:szCs w:val="20"/>
                <w:lang w:val="pt-BR"/>
              </w:rPr>
              <w:t>Աշխարհագրական</w:t>
            </w:r>
            <w:r w:rsidRPr="00BC61ED">
              <w:rPr>
                <w:rFonts w:cs="Arial Armenian"/>
                <w:sz w:val="20"/>
                <w:szCs w:val="20"/>
                <w:lang w:val="pt-BR"/>
              </w:rPr>
              <w:t xml:space="preserve">  </w:t>
            </w:r>
            <w:r w:rsidRPr="00BC61ED">
              <w:rPr>
                <w:rFonts w:cs="Sylfaen"/>
                <w:sz w:val="20"/>
                <w:szCs w:val="20"/>
                <w:lang w:val="pt-BR"/>
              </w:rPr>
              <w:t>անվանումների</w:t>
            </w:r>
            <w:r w:rsidRPr="00BC61ED">
              <w:rPr>
                <w:rFonts w:cs="Arial Armenian"/>
                <w:sz w:val="20"/>
                <w:szCs w:val="20"/>
                <w:lang w:val="pt-BR"/>
              </w:rPr>
              <w:t xml:space="preserve">  </w:t>
            </w:r>
            <w:r w:rsidRPr="00BC61ED">
              <w:rPr>
                <w:rFonts w:cs="Sylfaen"/>
                <w:sz w:val="20"/>
                <w:szCs w:val="20"/>
                <w:lang w:val="pt-BR"/>
              </w:rPr>
              <w:t>հայերեն</w:t>
            </w:r>
            <w:r w:rsidRPr="00BC61ED">
              <w:rPr>
                <w:rFonts w:cs="Arial Armenian"/>
                <w:sz w:val="20"/>
                <w:szCs w:val="20"/>
                <w:lang w:val="pt-BR"/>
              </w:rPr>
              <w:t xml:space="preserve">  </w:t>
            </w:r>
            <w:r w:rsidRPr="00BC61ED">
              <w:rPr>
                <w:rFonts w:cs="Sylfaen"/>
                <w:sz w:val="20"/>
                <w:szCs w:val="20"/>
                <w:lang w:val="pt-BR"/>
              </w:rPr>
              <w:t>լեզվով</w:t>
            </w:r>
            <w:r w:rsidRPr="00BC61ED">
              <w:rPr>
                <w:rFonts w:cs="Arial Armenian"/>
                <w:sz w:val="20"/>
                <w:szCs w:val="20"/>
                <w:lang w:val="pt-BR"/>
              </w:rPr>
              <w:t xml:space="preserve">  </w:t>
            </w:r>
            <w:r w:rsidRPr="00BC61ED">
              <w:rPr>
                <w:rFonts w:cs="Sylfaen"/>
                <w:sz w:val="20"/>
                <w:szCs w:val="20"/>
                <w:lang w:val="pt-BR"/>
              </w:rPr>
              <w:t>էկզոնիմների</w:t>
            </w:r>
            <w:r w:rsidRPr="00BC61ED">
              <w:rPr>
                <w:rFonts w:cs="Arial Armenian"/>
                <w:sz w:val="20"/>
                <w:szCs w:val="20"/>
                <w:lang w:val="pt-BR"/>
              </w:rPr>
              <w:t xml:space="preserve"> </w:t>
            </w:r>
            <w:r w:rsidRPr="00BC61ED">
              <w:rPr>
                <w:rFonts w:cs="Sylfaen"/>
                <w:sz w:val="20"/>
                <w:szCs w:val="20"/>
                <w:lang w:val="pt-BR"/>
              </w:rPr>
              <w:t>ցանկ»</w:t>
            </w:r>
            <w:r w:rsidRPr="00BC61ED">
              <w:rPr>
                <w:rFonts w:cs="Arial Armenian"/>
                <w:sz w:val="20"/>
                <w:szCs w:val="20"/>
                <w:lang w:val="pt-BR"/>
              </w:rPr>
              <w:t>-</w:t>
            </w:r>
            <w:r w:rsidRPr="00BC61ED">
              <w:rPr>
                <w:rFonts w:cs="Sylfaen"/>
                <w:sz w:val="20"/>
                <w:szCs w:val="20"/>
                <w:lang w:val="pt-BR"/>
              </w:rPr>
              <w:t>ը, «ՀՀ վարչատարածքային բաժանման տեղեկատուն», «ՀՀ պատմաճարտարապետական հուշարձանների համառոտ տեղեկատուն», «ՀՀ լեռնագրական օբյեկտների համառոտ տեղեկատուն», ինչպես նաև «Աշխարհի</w:t>
            </w:r>
            <w:r w:rsidRPr="00BC61ED">
              <w:rPr>
                <w:rFonts w:cs="Arial Armenian"/>
                <w:sz w:val="20"/>
                <w:szCs w:val="20"/>
                <w:lang w:val="pt-BR"/>
              </w:rPr>
              <w:t xml:space="preserve"> </w:t>
            </w:r>
            <w:r w:rsidRPr="00BC61ED">
              <w:rPr>
                <w:rFonts w:cs="Sylfaen"/>
                <w:sz w:val="20"/>
                <w:szCs w:val="20"/>
                <w:lang w:val="pt-BR"/>
              </w:rPr>
              <w:t>պետությունների</w:t>
            </w:r>
            <w:r w:rsidRPr="00BC61ED">
              <w:rPr>
                <w:rFonts w:cs="Arial Armenian"/>
                <w:sz w:val="20"/>
                <w:szCs w:val="20"/>
                <w:lang w:val="pt-BR"/>
              </w:rPr>
              <w:t xml:space="preserve"> </w:t>
            </w:r>
            <w:r w:rsidRPr="00BC61ED">
              <w:rPr>
                <w:rFonts w:cs="Sylfaen"/>
                <w:sz w:val="20"/>
                <w:szCs w:val="20"/>
                <w:lang w:val="pt-BR"/>
              </w:rPr>
              <w:t>համառոտ</w:t>
            </w:r>
            <w:r w:rsidRPr="00BC61ED">
              <w:rPr>
                <w:rFonts w:cs="Arial Armenian"/>
                <w:sz w:val="20"/>
                <w:szCs w:val="20"/>
                <w:lang w:val="pt-BR"/>
              </w:rPr>
              <w:t xml:space="preserve"> </w:t>
            </w:r>
            <w:r w:rsidRPr="00BC61ED">
              <w:rPr>
                <w:rFonts w:cs="Sylfaen"/>
                <w:sz w:val="20"/>
                <w:szCs w:val="20"/>
                <w:lang w:val="pt-BR"/>
              </w:rPr>
              <w:t>տեղեկատու</w:t>
            </w:r>
            <w:r w:rsidRPr="00BC61ED">
              <w:rPr>
                <w:rFonts w:cs="Arial Armenian"/>
                <w:sz w:val="20"/>
                <w:szCs w:val="20"/>
                <w:lang w:val="pt-BR"/>
              </w:rPr>
              <w:t xml:space="preserve"> </w:t>
            </w:r>
            <w:r w:rsidRPr="00BC61ED">
              <w:rPr>
                <w:rFonts w:cs="Sylfaen"/>
                <w:sz w:val="20"/>
                <w:szCs w:val="20"/>
                <w:lang w:val="pt-BR"/>
              </w:rPr>
              <w:t>բառարանը» և «Աշխարհի խոշորագույն և կարևորագույն քաղաքների համառոտ տեղեկատու-բառարան»-ը</w:t>
            </w:r>
            <w:r w:rsidRPr="00BC61ED">
              <w:rPr>
                <w:rFonts w:cs="Arial Armenian"/>
                <w:sz w:val="20"/>
                <w:szCs w:val="20"/>
                <w:lang w:val="pt-BR"/>
              </w:rPr>
              <w:t>:</w:t>
            </w:r>
          </w:p>
          <w:p w:rsidR="0068680D" w:rsidRPr="00BC61ED" w:rsidRDefault="0068680D" w:rsidP="00F47DC4">
            <w:pPr>
              <w:pStyle w:val="ListParagraph"/>
              <w:spacing w:line="276" w:lineRule="auto"/>
              <w:ind w:left="0"/>
              <w:rPr>
                <w:b/>
                <w:sz w:val="20"/>
                <w:szCs w:val="20"/>
                <w:lang w:val="pt-BR"/>
              </w:rPr>
            </w:pPr>
            <w:r w:rsidRPr="00BC61ED">
              <w:rPr>
                <w:b/>
                <w:sz w:val="20"/>
                <w:szCs w:val="20"/>
                <w:lang w:val="pt-BR"/>
              </w:rPr>
              <w:t xml:space="preserve">   </w:t>
            </w:r>
            <w:r w:rsidRPr="00BC61ED">
              <w:rPr>
                <w:b/>
                <w:sz w:val="20"/>
                <w:szCs w:val="20"/>
                <w:lang w:val="hy-AM"/>
              </w:rPr>
              <w:t>1</w:t>
            </w:r>
            <w:r w:rsidRPr="00BC61ED">
              <w:rPr>
                <w:rFonts w:ascii="Cambria Math" w:hAnsi="Cambria Math" w:cs="Cambria Math"/>
                <w:b/>
                <w:sz w:val="20"/>
                <w:szCs w:val="20"/>
                <w:lang w:val="hy-AM"/>
              </w:rPr>
              <w:t>․</w:t>
            </w:r>
            <w:r w:rsidRPr="00BC61ED">
              <w:rPr>
                <w:b/>
                <w:sz w:val="20"/>
                <w:szCs w:val="20"/>
                <w:lang w:val="hy-AM"/>
              </w:rPr>
              <w:t>2</w:t>
            </w:r>
            <w:r w:rsidRPr="00BC61ED">
              <w:rPr>
                <w:b/>
                <w:sz w:val="20"/>
                <w:szCs w:val="20"/>
                <w:lang w:val="pt-BR"/>
              </w:rPr>
              <w:t>.</w:t>
            </w:r>
            <w:r w:rsidRPr="00BC61ED">
              <w:rPr>
                <w:b/>
                <w:sz w:val="20"/>
                <w:szCs w:val="20"/>
                <w:lang w:val="hy-AM"/>
              </w:rPr>
              <w:t xml:space="preserve"> Ա</w:t>
            </w:r>
            <w:r w:rsidRPr="00BC61ED">
              <w:rPr>
                <w:b/>
                <w:sz w:val="20"/>
                <w:szCs w:val="20"/>
              </w:rPr>
              <w:t>ռկա</w:t>
            </w:r>
            <w:r w:rsidRPr="00BC61ED">
              <w:rPr>
                <w:b/>
                <w:sz w:val="20"/>
                <w:szCs w:val="20"/>
                <w:lang w:val="pt-BR"/>
              </w:rPr>
              <w:t xml:space="preserve"> </w:t>
            </w:r>
            <w:r w:rsidRPr="00BC61ED">
              <w:rPr>
                <w:b/>
                <w:sz w:val="20"/>
                <w:szCs w:val="20"/>
              </w:rPr>
              <w:t>խնդիրների</w:t>
            </w:r>
            <w:r w:rsidRPr="00BC61ED">
              <w:rPr>
                <w:b/>
                <w:sz w:val="20"/>
                <w:szCs w:val="20"/>
                <w:lang w:val="pt-BR"/>
              </w:rPr>
              <w:t xml:space="preserve"> </w:t>
            </w:r>
            <w:r w:rsidRPr="00BC61ED">
              <w:rPr>
                <w:b/>
                <w:sz w:val="20"/>
                <w:szCs w:val="20"/>
              </w:rPr>
              <w:t>առաջարկվող</w:t>
            </w:r>
            <w:r w:rsidRPr="00BC61ED">
              <w:rPr>
                <w:b/>
                <w:sz w:val="20"/>
                <w:szCs w:val="20"/>
                <w:lang w:val="pt-BR"/>
              </w:rPr>
              <w:t xml:space="preserve"> </w:t>
            </w:r>
            <w:r w:rsidRPr="00BC61ED">
              <w:rPr>
                <w:b/>
                <w:sz w:val="20"/>
                <w:szCs w:val="20"/>
              </w:rPr>
              <w:t>լուծումները</w:t>
            </w:r>
          </w:p>
          <w:p w:rsidR="0068680D" w:rsidRPr="00BC61ED" w:rsidRDefault="0068680D" w:rsidP="00F47DC4">
            <w:pPr>
              <w:keepNext/>
              <w:spacing w:line="276" w:lineRule="auto"/>
              <w:ind w:right="-1"/>
              <w:jc w:val="both"/>
              <w:outlineLvl w:val="4"/>
              <w:rPr>
                <w:rFonts w:cs="Sylfaen"/>
                <w:sz w:val="20"/>
                <w:szCs w:val="20"/>
                <w:lang w:val="hy-AM"/>
              </w:rPr>
            </w:pPr>
            <w:r w:rsidRPr="00BC61ED">
              <w:rPr>
                <w:rFonts w:cs="Sylfaen"/>
                <w:sz w:val="20"/>
                <w:szCs w:val="20"/>
                <w:lang w:val="pt-BR"/>
              </w:rPr>
              <w:t xml:space="preserve">   Աշխարհագրական անվանումների ոլորտում բացի շարունակական բնույթ կրող Հայաստանի Հանրապետության աշխարհագրական անվանումների պետական քարտադարանի վարման և թարմացման աշխատանքներ</w:t>
            </w:r>
            <w:r w:rsidRPr="00BC61ED">
              <w:rPr>
                <w:rFonts w:cs="Sylfaen"/>
                <w:sz w:val="20"/>
                <w:szCs w:val="20"/>
                <w:lang w:val="hy-AM"/>
              </w:rPr>
              <w:t>ից</w:t>
            </w:r>
            <w:r w:rsidRPr="00BC61ED">
              <w:rPr>
                <w:rFonts w:cs="Sylfaen"/>
                <w:sz w:val="20"/>
                <w:szCs w:val="20"/>
                <w:lang w:val="pt-BR"/>
              </w:rPr>
              <w:t>,</w:t>
            </w:r>
            <w:r w:rsidRPr="00BC61ED">
              <w:rPr>
                <w:rFonts w:cs="Sylfaen"/>
                <w:sz w:val="20"/>
                <w:szCs w:val="20"/>
                <w:lang w:val="hy-AM"/>
              </w:rPr>
              <w:t xml:space="preserve"> իրականացնել</w:t>
            </w:r>
            <w:r w:rsidRPr="00BC61ED">
              <w:rPr>
                <w:rFonts w:cs="Sylfaen"/>
                <w:sz w:val="20"/>
                <w:szCs w:val="20"/>
                <w:lang w:val="pt-BR"/>
              </w:rPr>
              <w:t xml:space="preserve"> առցանց և տպագիր բառարանների և տեղեկատուների ստեղծման աշխատանքներ</w:t>
            </w:r>
            <w:r w:rsidRPr="00BC61ED">
              <w:rPr>
                <w:rFonts w:cs="Sylfaen"/>
                <w:sz w:val="20"/>
                <w:szCs w:val="20"/>
                <w:lang w:val="hy-AM"/>
              </w:rPr>
              <w:t>։</w:t>
            </w:r>
          </w:p>
          <w:p w:rsidR="0068680D" w:rsidRPr="00BC61ED" w:rsidRDefault="0068680D" w:rsidP="00F47DC4">
            <w:pPr>
              <w:keepNext/>
              <w:spacing w:line="276" w:lineRule="auto"/>
              <w:ind w:right="-1"/>
              <w:jc w:val="both"/>
              <w:outlineLvl w:val="4"/>
              <w:rPr>
                <w:rFonts w:cs="Sylfaen"/>
                <w:b/>
                <w:sz w:val="20"/>
                <w:szCs w:val="20"/>
                <w:lang w:val="pt-BR"/>
              </w:rPr>
            </w:pPr>
            <w:r w:rsidRPr="00BC61ED">
              <w:rPr>
                <w:rFonts w:cs="Sylfaen"/>
                <w:sz w:val="20"/>
                <w:szCs w:val="20"/>
                <w:lang w:val="pt-BR"/>
              </w:rPr>
              <w:t xml:space="preserve">   </w:t>
            </w:r>
            <w:r w:rsidRPr="00BC61ED">
              <w:rPr>
                <w:rFonts w:cs="Sylfaen"/>
                <w:b/>
                <w:sz w:val="20"/>
                <w:szCs w:val="20"/>
              </w:rPr>
              <w:t>Կիրականացվի</w:t>
            </w:r>
            <w:r w:rsidRPr="00BC61ED">
              <w:rPr>
                <w:rFonts w:cs="Sylfaen"/>
                <w:b/>
                <w:sz w:val="20"/>
                <w:szCs w:val="20"/>
                <w:lang w:val="pt-BR"/>
              </w:rPr>
              <w:t xml:space="preserve"> </w:t>
            </w:r>
            <w:r w:rsidRPr="00BC61ED">
              <w:rPr>
                <w:rFonts w:cs="Sylfaen"/>
                <w:b/>
                <w:sz w:val="20"/>
                <w:szCs w:val="20"/>
              </w:rPr>
              <w:t>հետևյալ</w:t>
            </w:r>
            <w:r w:rsidRPr="00BC61ED">
              <w:rPr>
                <w:rFonts w:cs="Sylfaen"/>
                <w:b/>
                <w:sz w:val="20"/>
                <w:szCs w:val="20"/>
                <w:lang w:val="pt-BR"/>
              </w:rPr>
              <w:t xml:space="preserve"> </w:t>
            </w:r>
            <w:r w:rsidRPr="00BC61ED">
              <w:rPr>
                <w:rFonts w:cs="Sylfaen"/>
                <w:b/>
                <w:sz w:val="20"/>
                <w:szCs w:val="20"/>
              </w:rPr>
              <w:t>միջոցառումը՝</w:t>
            </w:r>
          </w:p>
          <w:p w:rsidR="0068680D" w:rsidRPr="00BC61ED" w:rsidRDefault="0068680D" w:rsidP="00F47DC4">
            <w:pPr>
              <w:spacing w:line="276" w:lineRule="auto"/>
              <w:jc w:val="both"/>
              <w:rPr>
                <w:rFonts w:cs="Sylfaen"/>
                <w:sz w:val="20"/>
                <w:szCs w:val="20"/>
                <w:lang w:val="pt-BR"/>
              </w:rPr>
            </w:pPr>
            <w:r w:rsidRPr="00BC61ED">
              <w:rPr>
                <w:rFonts w:cs="Sylfaen"/>
                <w:sz w:val="20"/>
                <w:szCs w:val="20"/>
                <w:lang w:val="pt-BR"/>
              </w:rPr>
              <w:t xml:space="preserve">   1. </w:t>
            </w:r>
            <w:r w:rsidRPr="00BC61ED">
              <w:rPr>
                <w:rFonts w:cs="Sylfaen"/>
                <w:sz w:val="20"/>
                <w:szCs w:val="20"/>
                <w:lang w:val="hy-AM"/>
              </w:rPr>
              <w:t>Աշխարհագրական անվանումների ոլորտու` բացի շարունակական բնույթ կրող Հայաստանի Հանրապետության աշխարհագրական անվանումների պետական քարտադարանի վարման և թարմացման աշխատանքների իրականացումը առցանց և տպագիր բառարանների և տեղեկատուների ստեղծման աշխատանքներ</w:t>
            </w:r>
            <w:r w:rsidRPr="00BC61ED">
              <w:rPr>
                <w:rFonts w:cs="Sylfaen"/>
                <w:sz w:val="20"/>
                <w:szCs w:val="20"/>
                <w:lang w:val="pt-BR"/>
              </w:rPr>
              <w:t>:</w:t>
            </w:r>
          </w:p>
          <w:p w:rsidR="0068680D" w:rsidRPr="00BC61ED" w:rsidRDefault="0068680D" w:rsidP="00F47DC4">
            <w:pPr>
              <w:keepNext/>
              <w:spacing w:line="276" w:lineRule="auto"/>
              <w:ind w:right="-1"/>
              <w:jc w:val="both"/>
              <w:outlineLvl w:val="4"/>
              <w:rPr>
                <w:b/>
                <w:sz w:val="20"/>
                <w:szCs w:val="20"/>
                <w:lang w:val="hy-AM"/>
              </w:rPr>
            </w:pPr>
            <w:r w:rsidRPr="00BC61ED">
              <w:rPr>
                <w:rFonts w:cs="Sylfaen"/>
                <w:b/>
                <w:sz w:val="20"/>
                <w:szCs w:val="20"/>
                <w:lang w:val="hy-AM"/>
              </w:rPr>
              <w:t xml:space="preserve"> </w:t>
            </w:r>
            <w:r w:rsidRPr="00BC61ED">
              <w:rPr>
                <w:rFonts w:cs="Sylfaen"/>
                <w:b/>
                <w:sz w:val="20"/>
                <w:szCs w:val="20"/>
                <w:lang w:val="pt-BR"/>
              </w:rPr>
              <w:t xml:space="preserve">  </w:t>
            </w:r>
            <w:r w:rsidRPr="00BC61ED">
              <w:rPr>
                <w:rFonts w:cs="Sylfaen"/>
                <w:b/>
                <w:sz w:val="20"/>
                <w:szCs w:val="20"/>
                <w:lang w:val="hy-AM"/>
              </w:rPr>
              <w:t>2</w:t>
            </w:r>
            <w:r w:rsidRPr="00BC61ED">
              <w:rPr>
                <w:rFonts w:ascii="Cambria Math" w:hAnsi="Cambria Math" w:cs="Cambria Math"/>
                <w:b/>
                <w:sz w:val="20"/>
                <w:szCs w:val="20"/>
                <w:lang w:val="hy-AM"/>
              </w:rPr>
              <w:t>․</w:t>
            </w:r>
            <w:r w:rsidRPr="00BC61ED">
              <w:rPr>
                <w:rFonts w:cs="Sylfaen"/>
                <w:b/>
                <w:sz w:val="20"/>
                <w:szCs w:val="20"/>
                <w:lang w:val="hy-AM"/>
              </w:rPr>
              <w:t xml:space="preserve"> </w:t>
            </w:r>
            <w:r w:rsidRPr="00BC61ED">
              <w:rPr>
                <w:b/>
                <w:sz w:val="20"/>
                <w:szCs w:val="20"/>
                <w:lang w:val="hy-AM"/>
              </w:rPr>
              <w:t>Միջոցառման իրականացումից ակնկալվող արդյունքը</w:t>
            </w:r>
          </w:p>
          <w:p w:rsidR="0068680D" w:rsidRPr="00BC61ED" w:rsidRDefault="0068680D" w:rsidP="00F47DC4">
            <w:pPr>
              <w:spacing w:line="276" w:lineRule="auto"/>
              <w:jc w:val="both"/>
              <w:rPr>
                <w:rFonts w:cs="Sylfaen"/>
                <w:sz w:val="20"/>
                <w:szCs w:val="20"/>
                <w:lang w:val="hy-AM"/>
              </w:rPr>
            </w:pPr>
            <w:r w:rsidRPr="00BC61ED">
              <w:rPr>
                <w:rFonts w:cs="Sylfaen"/>
                <w:sz w:val="20"/>
                <w:szCs w:val="20"/>
                <w:lang w:val="pt-BR"/>
              </w:rPr>
              <w:t xml:space="preserve">   ՀՀ և աշխարհի աշխարհագրական անվանումների փոփոխված և վերականգնված հայերեն շտեմարան, որն անհրաժեշտ է պետական, </w:t>
            </w:r>
            <w:r w:rsidRPr="00BC61ED">
              <w:rPr>
                <w:rFonts w:cs="Sylfaen"/>
                <w:sz w:val="20"/>
                <w:szCs w:val="20"/>
                <w:lang w:val="hy-AM"/>
              </w:rPr>
              <w:t xml:space="preserve">հասարակական, </w:t>
            </w:r>
            <w:r w:rsidRPr="00BC61ED">
              <w:rPr>
                <w:rFonts w:cs="Sylfaen"/>
                <w:sz w:val="20"/>
                <w:szCs w:val="20"/>
                <w:lang w:val="pt-BR"/>
              </w:rPr>
              <w:t>գիտական և կրթական համակարգերի համար</w:t>
            </w:r>
            <w:r w:rsidRPr="00BC61ED">
              <w:rPr>
                <w:rFonts w:cs="Sylfaen"/>
                <w:sz w:val="20"/>
                <w:szCs w:val="20"/>
                <w:lang w:val="hy-AM"/>
              </w:rPr>
              <w:t>։</w:t>
            </w:r>
          </w:p>
        </w:tc>
      </w:tr>
      <w:tr w:rsidR="0068680D" w:rsidRPr="00DE2EFA"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15.</w:t>
            </w:r>
          </w:p>
        </w:tc>
        <w:tc>
          <w:tcPr>
            <w:tcW w:w="10915" w:type="dxa"/>
          </w:tcPr>
          <w:p w:rsidR="0068680D" w:rsidRPr="00BC61ED" w:rsidRDefault="0068680D" w:rsidP="00F47DC4">
            <w:pPr>
              <w:spacing w:line="276" w:lineRule="auto"/>
              <w:jc w:val="center"/>
              <w:rPr>
                <w:b/>
                <w:color w:val="000000"/>
                <w:sz w:val="20"/>
                <w:szCs w:val="20"/>
                <w:lang w:val="af-ZA"/>
              </w:rPr>
            </w:pPr>
            <w:r w:rsidRPr="00BC61ED">
              <w:rPr>
                <w:rFonts w:eastAsia="Calibri"/>
                <w:b/>
                <w:sz w:val="20"/>
                <w:szCs w:val="20"/>
                <w:lang w:val="hy-AM"/>
              </w:rPr>
              <w:t>Հայաստանի ազգային նոր ատլասի ստեղծում</w:t>
            </w:r>
          </w:p>
          <w:p w:rsidR="0068680D" w:rsidRPr="00BC61ED" w:rsidRDefault="0068680D" w:rsidP="00F47DC4">
            <w:pPr>
              <w:spacing w:line="276" w:lineRule="auto"/>
              <w:jc w:val="both"/>
              <w:rPr>
                <w:b/>
                <w:color w:val="000000"/>
                <w:sz w:val="20"/>
                <w:szCs w:val="20"/>
                <w:lang w:val="af-ZA"/>
              </w:rPr>
            </w:pPr>
          </w:p>
          <w:p w:rsidR="0068680D" w:rsidRPr="00BC61ED" w:rsidRDefault="0068680D" w:rsidP="00F47DC4">
            <w:pPr>
              <w:spacing w:line="276" w:lineRule="auto"/>
              <w:contextualSpacing/>
              <w:rPr>
                <w:b/>
                <w:sz w:val="20"/>
                <w:szCs w:val="20"/>
                <w:lang w:val="af-ZA"/>
              </w:rPr>
            </w:pPr>
            <w:r w:rsidRPr="00BC61ED">
              <w:rPr>
                <w:b/>
                <w:sz w:val="20"/>
                <w:szCs w:val="20"/>
                <w:lang w:val="af-ZA"/>
              </w:rPr>
              <w:t xml:space="preserve">   1. </w:t>
            </w:r>
            <w:r w:rsidRPr="00BC61ED">
              <w:rPr>
                <w:b/>
                <w:sz w:val="20"/>
                <w:szCs w:val="20"/>
              </w:rPr>
              <w:t>Միջոցառման</w:t>
            </w:r>
            <w:r w:rsidRPr="00BC61ED">
              <w:rPr>
                <w:b/>
                <w:sz w:val="20"/>
                <w:szCs w:val="20"/>
                <w:lang w:val="af-ZA"/>
              </w:rPr>
              <w:t xml:space="preserve"> </w:t>
            </w:r>
            <w:r w:rsidRPr="00BC61ED">
              <w:rPr>
                <w:b/>
                <w:sz w:val="20"/>
                <w:szCs w:val="20"/>
              </w:rPr>
              <w:t>իրականացման</w:t>
            </w:r>
            <w:r w:rsidRPr="00BC61ED">
              <w:rPr>
                <w:b/>
                <w:sz w:val="20"/>
                <w:szCs w:val="20"/>
                <w:lang w:val="af-ZA"/>
              </w:rPr>
              <w:t xml:space="preserve"> </w:t>
            </w:r>
            <w:r w:rsidRPr="00BC61ED">
              <w:rPr>
                <w:b/>
                <w:sz w:val="20"/>
                <w:szCs w:val="20"/>
              </w:rPr>
              <w:t>անհրաժեշտությունը</w:t>
            </w:r>
            <w:r w:rsidRPr="00BC61ED">
              <w:rPr>
                <w:b/>
                <w:sz w:val="20"/>
                <w:szCs w:val="20"/>
                <w:lang w:val="af-ZA"/>
              </w:rPr>
              <w:t xml:space="preserve"> </w:t>
            </w:r>
            <w:r w:rsidRPr="00BC61ED">
              <w:rPr>
                <w:b/>
                <w:sz w:val="20"/>
                <w:szCs w:val="20"/>
              </w:rPr>
              <w:t>և</w:t>
            </w:r>
            <w:r w:rsidRPr="00BC61ED">
              <w:rPr>
                <w:b/>
                <w:sz w:val="20"/>
                <w:szCs w:val="20"/>
                <w:lang w:val="af-ZA"/>
              </w:rPr>
              <w:t xml:space="preserve"> </w:t>
            </w:r>
            <w:r w:rsidRPr="00BC61ED">
              <w:rPr>
                <w:b/>
                <w:sz w:val="20"/>
                <w:szCs w:val="20"/>
              </w:rPr>
              <w:t>նպատակը</w:t>
            </w:r>
          </w:p>
          <w:p w:rsidR="0068680D" w:rsidRPr="00BC61ED" w:rsidRDefault="0068680D" w:rsidP="00F47DC4">
            <w:pPr>
              <w:pStyle w:val="BodyText2"/>
              <w:spacing w:after="0" w:line="276" w:lineRule="auto"/>
              <w:ind w:right="125"/>
              <w:jc w:val="both"/>
              <w:rPr>
                <w:rFonts w:ascii="GHEA Grapalat" w:hAnsi="GHEA Grapalat" w:cs="Sylfaen"/>
                <w:sz w:val="20"/>
                <w:szCs w:val="20"/>
                <w:lang w:val="hy-AM" w:eastAsia="ru-RU"/>
              </w:rPr>
            </w:pPr>
            <w:r w:rsidRPr="00BC61ED">
              <w:rPr>
                <w:rFonts w:ascii="GHEA Grapalat" w:hAnsi="GHEA Grapalat" w:cs="Sylfaen"/>
                <w:sz w:val="20"/>
                <w:szCs w:val="20"/>
                <w:lang w:val="af-ZA" w:eastAsia="ru-RU"/>
              </w:rPr>
              <w:t xml:space="preserve">   </w:t>
            </w:r>
            <w:r w:rsidRPr="00BC61ED">
              <w:rPr>
                <w:rFonts w:ascii="GHEA Grapalat" w:hAnsi="GHEA Grapalat" w:cs="Sylfaen"/>
                <w:sz w:val="20"/>
                <w:szCs w:val="20"/>
                <w:lang w:val="hy-AM" w:eastAsia="ru-RU"/>
              </w:rPr>
              <w:t xml:space="preserve">Թեմատիկ քարտեզագրությունը դիտարկվում է որպես պետական նշանակության ոլորտ: </w:t>
            </w:r>
            <w:r w:rsidRPr="00BC61ED">
              <w:rPr>
                <w:rFonts w:ascii="GHEA Grapalat" w:hAnsi="GHEA Grapalat" w:cs="Sylfaen"/>
                <w:sz w:val="20"/>
                <w:szCs w:val="20"/>
                <w:lang w:eastAsia="ru-RU"/>
              </w:rPr>
              <w:t>Այն</w:t>
            </w:r>
            <w:r w:rsidRPr="00BC61ED">
              <w:rPr>
                <w:rFonts w:ascii="GHEA Grapalat" w:hAnsi="GHEA Grapalat" w:cs="Sylfaen"/>
                <w:sz w:val="20"/>
                <w:szCs w:val="20"/>
                <w:lang w:val="hy-AM" w:eastAsia="ru-RU"/>
              </w:rPr>
              <w:t xml:space="preserve"> ամրագրված է նաև </w:t>
            </w:r>
            <w:r w:rsidRPr="00BC61ED">
              <w:rPr>
                <w:rFonts w:ascii="GHEA Grapalat" w:hAnsi="GHEA Grapalat" w:cs="Sylfaen"/>
                <w:sz w:val="20"/>
                <w:szCs w:val="20"/>
                <w:lang w:val="af-ZA" w:eastAsia="ru-RU"/>
              </w:rPr>
              <w:t>«</w:t>
            </w:r>
            <w:r w:rsidRPr="00BC61ED">
              <w:rPr>
                <w:rFonts w:ascii="GHEA Grapalat" w:hAnsi="GHEA Grapalat" w:cs="Sylfaen"/>
                <w:sz w:val="20"/>
                <w:szCs w:val="20"/>
                <w:lang w:val="hy-AM" w:eastAsia="ru-RU"/>
              </w:rPr>
              <w:t>Գեոդեզիայի և քարտեզագրության մասին» ՀՀ օրենքի 2-րդ հոդվածի 4-րդ մասի է/ կետում: Պետական նշանակության թեմատիկ քարտեզագրության հրատարակումները համ</w:t>
            </w:r>
            <w:r w:rsidRPr="00BC61ED">
              <w:rPr>
                <w:rFonts w:ascii="GHEA Grapalat" w:hAnsi="GHEA Grapalat" w:cs="Sylfaen"/>
                <w:sz w:val="20"/>
                <w:szCs w:val="20"/>
                <w:lang w:eastAsia="ru-RU"/>
              </w:rPr>
              <w:t>արվում</w:t>
            </w:r>
            <w:r w:rsidRPr="00BC61ED">
              <w:rPr>
                <w:rFonts w:ascii="GHEA Grapalat" w:hAnsi="GHEA Grapalat" w:cs="Sylfaen"/>
                <w:sz w:val="20"/>
                <w:szCs w:val="20"/>
                <w:lang w:val="hy-AM" w:eastAsia="ru-RU"/>
              </w:rPr>
              <w:t xml:space="preserve"> են պաշտոնական նյութ</w:t>
            </w:r>
            <w:r w:rsidRPr="00BC61ED">
              <w:rPr>
                <w:rFonts w:ascii="GHEA Grapalat" w:hAnsi="GHEA Grapalat" w:cs="Sylfaen"/>
                <w:sz w:val="20"/>
                <w:szCs w:val="20"/>
                <w:lang w:eastAsia="ru-RU"/>
              </w:rPr>
              <w:t>եր</w:t>
            </w:r>
            <w:r w:rsidRPr="00BC61ED">
              <w:rPr>
                <w:rFonts w:ascii="GHEA Grapalat" w:hAnsi="GHEA Grapalat" w:cs="Sylfaen"/>
                <w:sz w:val="20"/>
                <w:szCs w:val="20"/>
                <w:lang w:val="af-ZA" w:eastAsia="ru-RU"/>
              </w:rPr>
              <w:t>,</w:t>
            </w:r>
            <w:r w:rsidRPr="00BC61ED">
              <w:rPr>
                <w:rFonts w:ascii="GHEA Grapalat" w:hAnsi="GHEA Grapalat" w:cs="Sylfaen"/>
                <w:sz w:val="20"/>
                <w:szCs w:val="20"/>
                <w:lang w:val="hy-AM" w:eastAsia="ru-RU"/>
              </w:rPr>
              <w:t xml:space="preserve"> որոնց վրա կարելի է հղում կատարել և օգտագործել հավաստի տեղեկատվություն ստանալու համար: </w:t>
            </w:r>
          </w:p>
          <w:p w:rsidR="0068680D" w:rsidRPr="00BC61ED" w:rsidRDefault="0068680D" w:rsidP="00F47DC4">
            <w:pPr>
              <w:pStyle w:val="BodyText2"/>
              <w:spacing w:after="0" w:line="276" w:lineRule="auto"/>
              <w:ind w:right="125"/>
              <w:jc w:val="both"/>
              <w:rPr>
                <w:rFonts w:ascii="GHEA Grapalat" w:hAnsi="GHEA Grapalat" w:cs="Sylfaen"/>
                <w:sz w:val="20"/>
                <w:szCs w:val="20"/>
                <w:lang w:val="hy-AM" w:eastAsia="ru-RU"/>
              </w:rPr>
            </w:pPr>
            <w:r w:rsidRPr="00BC61ED">
              <w:rPr>
                <w:rFonts w:ascii="GHEA Grapalat" w:hAnsi="GHEA Grapalat" w:cs="Sylfaen"/>
                <w:sz w:val="20"/>
                <w:szCs w:val="20"/>
                <w:lang w:val="af-ZA" w:eastAsia="ru-RU"/>
              </w:rPr>
              <w:t xml:space="preserve">   </w:t>
            </w:r>
            <w:r w:rsidRPr="00BC61ED">
              <w:rPr>
                <w:rFonts w:ascii="GHEA Grapalat" w:hAnsi="GHEA Grapalat" w:cs="Sylfaen"/>
                <w:sz w:val="20"/>
                <w:szCs w:val="20"/>
                <w:lang w:val="hy-AM" w:eastAsia="ru-RU"/>
              </w:rPr>
              <w:t>Այդ աշխատանքների շարքն</w:t>
            </w:r>
            <w:r w:rsidRPr="00BC61ED">
              <w:rPr>
                <w:rFonts w:ascii="GHEA Grapalat" w:hAnsi="GHEA Grapalat" w:cs="Sylfaen"/>
                <w:sz w:val="20"/>
                <w:szCs w:val="20"/>
                <w:lang w:eastAsia="ru-RU"/>
              </w:rPr>
              <w:t>ն</w:t>
            </w:r>
            <w:r w:rsidRPr="00BC61ED">
              <w:rPr>
                <w:rFonts w:ascii="GHEA Grapalat" w:hAnsi="GHEA Grapalat" w:cs="Sylfaen"/>
                <w:sz w:val="20"/>
                <w:szCs w:val="20"/>
                <w:lang w:val="hy-AM" w:eastAsia="ru-RU"/>
              </w:rPr>
              <w:t xml:space="preserve"> են </w:t>
            </w:r>
            <w:r w:rsidRPr="00BC61ED">
              <w:rPr>
                <w:rFonts w:ascii="GHEA Grapalat" w:hAnsi="GHEA Grapalat" w:cs="Sylfaen"/>
                <w:sz w:val="20"/>
                <w:szCs w:val="20"/>
                <w:lang w:eastAsia="ru-RU"/>
              </w:rPr>
              <w:t>դասվում</w:t>
            </w:r>
            <w:r w:rsidRPr="00BC61ED">
              <w:rPr>
                <w:rFonts w:ascii="GHEA Grapalat" w:hAnsi="GHEA Grapalat" w:cs="Sylfaen"/>
                <w:sz w:val="20"/>
                <w:szCs w:val="20"/>
                <w:lang w:val="hy-AM" w:eastAsia="ru-RU"/>
              </w:rPr>
              <w:t xml:space="preserve"> հիմնարար ատլասները </w:t>
            </w:r>
            <w:r w:rsidRPr="00BC61ED">
              <w:rPr>
                <w:rFonts w:ascii="GHEA Grapalat" w:hAnsi="GHEA Grapalat" w:cs="Sylfaen"/>
                <w:sz w:val="20"/>
                <w:szCs w:val="20"/>
                <w:lang w:val="af-ZA" w:eastAsia="ru-RU"/>
              </w:rPr>
              <w:t>(</w:t>
            </w:r>
            <w:r w:rsidRPr="00BC61ED">
              <w:rPr>
                <w:rFonts w:ascii="GHEA Grapalat" w:hAnsi="GHEA Grapalat" w:cs="Sylfaen"/>
                <w:sz w:val="20"/>
                <w:szCs w:val="20"/>
                <w:lang w:val="hy-AM" w:eastAsia="ru-RU"/>
              </w:rPr>
              <w:t xml:space="preserve">Ազգային ատլաս, Աշխարհի </w:t>
            </w:r>
            <w:r w:rsidRPr="00BC61ED">
              <w:rPr>
                <w:rFonts w:ascii="GHEA Grapalat" w:hAnsi="GHEA Grapalat" w:cs="Sylfaen"/>
                <w:sz w:val="20"/>
                <w:szCs w:val="20"/>
                <w:lang w:eastAsia="ru-RU"/>
              </w:rPr>
              <w:t>մ</w:t>
            </w:r>
            <w:r w:rsidRPr="00BC61ED">
              <w:rPr>
                <w:rFonts w:ascii="GHEA Grapalat" w:hAnsi="GHEA Grapalat" w:cs="Sylfaen"/>
                <w:sz w:val="20"/>
                <w:szCs w:val="20"/>
                <w:lang w:val="hy-AM" w:eastAsia="ru-RU"/>
              </w:rPr>
              <w:t>եծ ատլաս</w:t>
            </w:r>
            <w:r w:rsidRPr="00BC61ED">
              <w:rPr>
                <w:rFonts w:ascii="GHEA Grapalat" w:hAnsi="GHEA Grapalat" w:cs="Sylfaen"/>
                <w:sz w:val="20"/>
                <w:szCs w:val="20"/>
                <w:lang w:val="af-ZA" w:eastAsia="ru-RU"/>
              </w:rPr>
              <w:t>),</w:t>
            </w:r>
            <w:r w:rsidRPr="00BC61ED">
              <w:rPr>
                <w:rFonts w:ascii="GHEA Grapalat" w:hAnsi="GHEA Grapalat" w:cs="Sylfaen"/>
                <w:sz w:val="20"/>
                <w:szCs w:val="20"/>
                <w:lang w:val="hy-AM" w:eastAsia="ru-RU"/>
              </w:rPr>
              <w:t xml:space="preserve"> ինչպես նաև կրթական համակարգի համար նախատեսված հավաստի նյութ պարունակող ուսումնական քարտեզներն ու ատլասները:</w:t>
            </w:r>
          </w:p>
          <w:p w:rsidR="0068680D" w:rsidRPr="00BC61ED" w:rsidRDefault="0068680D" w:rsidP="00F47DC4">
            <w:pPr>
              <w:pStyle w:val="ListParagraph"/>
              <w:spacing w:line="276" w:lineRule="auto"/>
              <w:ind w:left="0" w:right="-1"/>
              <w:jc w:val="both"/>
              <w:rPr>
                <w:sz w:val="20"/>
                <w:szCs w:val="20"/>
                <w:lang w:val="af-ZA" w:eastAsia="en-GB"/>
              </w:rPr>
            </w:pPr>
            <w:r w:rsidRPr="00BC61ED">
              <w:rPr>
                <w:sz w:val="20"/>
                <w:szCs w:val="20"/>
                <w:lang w:val="af-ZA" w:eastAsia="en-GB"/>
              </w:rPr>
              <w:t xml:space="preserve">   </w:t>
            </w:r>
            <w:r w:rsidRPr="00BC61ED">
              <w:rPr>
                <w:sz w:val="20"/>
                <w:szCs w:val="20"/>
                <w:lang w:eastAsia="en-GB"/>
              </w:rPr>
              <w:t>Միջոցառման</w:t>
            </w:r>
            <w:r w:rsidRPr="00BC61ED">
              <w:rPr>
                <w:sz w:val="20"/>
                <w:szCs w:val="20"/>
                <w:lang w:val="af-ZA" w:eastAsia="en-GB"/>
              </w:rPr>
              <w:t xml:space="preserve"> </w:t>
            </w:r>
            <w:r w:rsidRPr="00BC61ED">
              <w:rPr>
                <w:sz w:val="20"/>
                <w:szCs w:val="20"/>
                <w:lang w:eastAsia="en-GB"/>
              </w:rPr>
              <w:t>իրականացումը</w:t>
            </w:r>
            <w:r w:rsidRPr="00BC61ED">
              <w:rPr>
                <w:sz w:val="20"/>
                <w:szCs w:val="20"/>
                <w:lang w:val="af-ZA" w:eastAsia="en-GB"/>
              </w:rPr>
              <w:t xml:space="preserve"> </w:t>
            </w:r>
            <w:r w:rsidRPr="00BC61ED">
              <w:rPr>
                <w:sz w:val="20"/>
                <w:szCs w:val="20"/>
                <w:lang w:eastAsia="en-GB"/>
              </w:rPr>
              <w:t>նորմատիվ</w:t>
            </w:r>
            <w:r w:rsidRPr="00BC61ED">
              <w:rPr>
                <w:sz w:val="20"/>
                <w:szCs w:val="20"/>
                <w:lang w:val="af-ZA" w:eastAsia="en-GB"/>
              </w:rPr>
              <w:t xml:space="preserve"> </w:t>
            </w:r>
            <w:r w:rsidRPr="00BC61ED">
              <w:rPr>
                <w:sz w:val="20"/>
                <w:szCs w:val="20"/>
                <w:lang w:eastAsia="en-GB"/>
              </w:rPr>
              <w:t>իրավական</w:t>
            </w:r>
            <w:r w:rsidRPr="00BC61ED">
              <w:rPr>
                <w:sz w:val="20"/>
                <w:szCs w:val="20"/>
                <w:lang w:val="af-ZA" w:eastAsia="en-GB"/>
              </w:rPr>
              <w:t xml:space="preserve"> </w:t>
            </w:r>
            <w:r w:rsidRPr="00BC61ED">
              <w:rPr>
                <w:sz w:val="20"/>
                <w:szCs w:val="20"/>
                <w:lang w:eastAsia="en-GB"/>
              </w:rPr>
              <w:t>ակտերի</w:t>
            </w:r>
            <w:r w:rsidRPr="00BC61ED">
              <w:rPr>
                <w:sz w:val="20"/>
                <w:szCs w:val="20"/>
                <w:lang w:val="af-ZA" w:eastAsia="en-GB"/>
              </w:rPr>
              <w:t xml:space="preserve"> </w:t>
            </w:r>
            <w:r w:rsidRPr="00BC61ED">
              <w:rPr>
                <w:sz w:val="20"/>
                <w:szCs w:val="20"/>
                <w:lang w:eastAsia="en-GB"/>
              </w:rPr>
              <w:t>ընդունման</w:t>
            </w:r>
            <w:r w:rsidRPr="00BC61ED">
              <w:rPr>
                <w:sz w:val="20"/>
                <w:szCs w:val="20"/>
                <w:lang w:val="af-ZA" w:eastAsia="en-GB"/>
              </w:rPr>
              <w:t xml:space="preserve"> </w:t>
            </w:r>
            <w:r w:rsidRPr="00BC61ED">
              <w:rPr>
                <w:sz w:val="20"/>
                <w:szCs w:val="20"/>
                <w:lang w:eastAsia="en-GB"/>
              </w:rPr>
              <w:t>անհրաժեշտություն</w:t>
            </w:r>
            <w:r w:rsidRPr="00BC61ED">
              <w:rPr>
                <w:sz w:val="20"/>
                <w:szCs w:val="20"/>
                <w:lang w:val="af-ZA" w:eastAsia="en-GB"/>
              </w:rPr>
              <w:t xml:space="preserve"> </w:t>
            </w:r>
            <w:r w:rsidRPr="00BC61ED">
              <w:rPr>
                <w:sz w:val="20"/>
                <w:szCs w:val="20"/>
                <w:lang w:eastAsia="en-GB"/>
              </w:rPr>
              <w:t>չի</w:t>
            </w:r>
            <w:r w:rsidRPr="00BC61ED">
              <w:rPr>
                <w:sz w:val="20"/>
                <w:szCs w:val="20"/>
                <w:lang w:val="af-ZA" w:eastAsia="en-GB"/>
              </w:rPr>
              <w:t xml:space="preserve"> </w:t>
            </w:r>
            <w:r w:rsidRPr="00BC61ED">
              <w:rPr>
                <w:sz w:val="20"/>
                <w:szCs w:val="20"/>
                <w:lang w:eastAsia="en-GB"/>
              </w:rPr>
              <w:t>առաջացնում</w:t>
            </w:r>
            <w:r w:rsidRPr="00BC61ED">
              <w:rPr>
                <w:sz w:val="20"/>
                <w:szCs w:val="20"/>
                <w:lang w:val="af-ZA" w:eastAsia="en-GB"/>
              </w:rPr>
              <w:t xml:space="preserve">: </w:t>
            </w:r>
          </w:p>
          <w:p w:rsidR="0068680D" w:rsidRPr="00BC61ED" w:rsidRDefault="0068680D" w:rsidP="0068680D">
            <w:pPr>
              <w:pStyle w:val="ListParagraph"/>
              <w:numPr>
                <w:ilvl w:val="1"/>
                <w:numId w:val="159"/>
              </w:numPr>
              <w:spacing w:line="276" w:lineRule="auto"/>
              <w:jc w:val="both"/>
              <w:rPr>
                <w:b/>
                <w:sz w:val="20"/>
                <w:szCs w:val="20"/>
                <w:lang w:val="hy-AM"/>
              </w:rPr>
            </w:pPr>
            <w:r w:rsidRPr="00BC61ED">
              <w:rPr>
                <w:rFonts w:cs="Arial"/>
                <w:b/>
                <w:sz w:val="20"/>
                <w:szCs w:val="20"/>
              </w:rPr>
              <w:t>Կ</w:t>
            </w:r>
            <w:r w:rsidRPr="00BC61ED">
              <w:rPr>
                <w:b/>
                <w:sz w:val="20"/>
                <w:szCs w:val="20"/>
              </w:rPr>
              <w:t>արգավորման</w:t>
            </w:r>
            <w:r w:rsidRPr="00BC61ED">
              <w:rPr>
                <w:b/>
                <w:sz w:val="20"/>
                <w:szCs w:val="20"/>
                <w:lang w:val="af-ZA"/>
              </w:rPr>
              <w:t xml:space="preserve"> </w:t>
            </w:r>
            <w:r w:rsidRPr="00BC61ED">
              <w:rPr>
                <w:b/>
                <w:sz w:val="20"/>
                <w:szCs w:val="20"/>
              </w:rPr>
              <w:t>հարաբերությունների</w:t>
            </w:r>
            <w:r w:rsidRPr="00BC61ED">
              <w:rPr>
                <w:b/>
                <w:sz w:val="20"/>
                <w:szCs w:val="20"/>
                <w:lang w:val="af-ZA"/>
              </w:rPr>
              <w:t xml:space="preserve"> </w:t>
            </w:r>
            <w:r w:rsidRPr="00BC61ED">
              <w:rPr>
                <w:b/>
                <w:sz w:val="20"/>
                <w:szCs w:val="20"/>
              </w:rPr>
              <w:t>ներկա</w:t>
            </w:r>
            <w:r w:rsidRPr="00BC61ED">
              <w:rPr>
                <w:b/>
                <w:sz w:val="20"/>
                <w:szCs w:val="20"/>
                <w:lang w:val="af-ZA"/>
              </w:rPr>
              <w:t xml:space="preserve"> </w:t>
            </w:r>
            <w:r w:rsidRPr="00BC61ED">
              <w:rPr>
                <w:b/>
                <w:sz w:val="20"/>
                <w:szCs w:val="20"/>
              </w:rPr>
              <w:t>վիճակը</w:t>
            </w:r>
            <w:r w:rsidRPr="00BC61ED">
              <w:rPr>
                <w:b/>
                <w:sz w:val="20"/>
                <w:szCs w:val="20"/>
                <w:lang w:val="af-ZA"/>
              </w:rPr>
              <w:t xml:space="preserve"> </w:t>
            </w:r>
            <w:r w:rsidRPr="00BC61ED">
              <w:rPr>
                <w:b/>
                <w:sz w:val="20"/>
                <w:szCs w:val="20"/>
              </w:rPr>
              <w:t>և</w:t>
            </w:r>
            <w:r w:rsidRPr="00BC61ED">
              <w:rPr>
                <w:b/>
                <w:sz w:val="20"/>
                <w:szCs w:val="20"/>
                <w:lang w:val="af-ZA"/>
              </w:rPr>
              <w:t xml:space="preserve"> </w:t>
            </w:r>
            <w:r w:rsidRPr="00BC61ED">
              <w:rPr>
                <w:b/>
                <w:sz w:val="20"/>
                <w:szCs w:val="20"/>
              </w:rPr>
              <w:t>առկա</w:t>
            </w:r>
            <w:r w:rsidRPr="00BC61ED">
              <w:rPr>
                <w:b/>
                <w:sz w:val="20"/>
                <w:szCs w:val="20"/>
                <w:lang w:val="af-ZA"/>
              </w:rPr>
              <w:t xml:space="preserve"> </w:t>
            </w:r>
            <w:r w:rsidRPr="00BC61ED">
              <w:rPr>
                <w:b/>
                <w:sz w:val="20"/>
                <w:szCs w:val="20"/>
                <w:lang w:val="hy-AM"/>
              </w:rPr>
              <w:t>խնդիրները</w:t>
            </w:r>
          </w:p>
          <w:p w:rsidR="0068680D" w:rsidRPr="00BC61ED" w:rsidRDefault="0068680D" w:rsidP="00F47DC4">
            <w:pPr>
              <w:pStyle w:val="BodyText2"/>
              <w:spacing w:after="0" w:line="276" w:lineRule="auto"/>
              <w:ind w:right="125"/>
              <w:jc w:val="both"/>
              <w:rPr>
                <w:rFonts w:ascii="GHEA Grapalat" w:hAnsi="GHEA Grapalat" w:cs="Sylfaen"/>
                <w:sz w:val="20"/>
                <w:szCs w:val="20"/>
                <w:lang w:val="hy-AM" w:eastAsia="ru-RU"/>
              </w:rPr>
            </w:pPr>
            <w:r w:rsidRPr="00BC61ED">
              <w:rPr>
                <w:rFonts w:ascii="GHEA Grapalat" w:hAnsi="GHEA Grapalat" w:cs="Sylfaen"/>
                <w:sz w:val="20"/>
                <w:szCs w:val="20"/>
                <w:lang w:val="pt-BR"/>
              </w:rPr>
              <w:t>Բնա</w:t>
            </w:r>
            <w:r w:rsidRPr="00BC61ED">
              <w:rPr>
                <w:rFonts w:ascii="GHEA Grapalat" w:hAnsi="GHEA Grapalat" w:cs="Arial Armenian"/>
                <w:sz w:val="20"/>
                <w:szCs w:val="20"/>
                <w:lang w:val="pt-BR"/>
              </w:rPr>
              <w:t>գ</w:t>
            </w:r>
            <w:r w:rsidRPr="00BC61ED">
              <w:rPr>
                <w:rFonts w:ascii="GHEA Grapalat" w:hAnsi="GHEA Grapalat" w:cs="Sylfaen"/>
                <w:sz w:val="20"/>
                <w:szCs w:val="20"/>
                <w:lang w:val="pt-BR"/>
              </w:rPr>
              <w:t>ավառում</w:t>
            </w:r>
            <w:r w:rsidRPr="00BC61ED">
              <w:rPr>
                <w:rFonts w:ascii="GHEA Grapalat" w:hAnsi="GHEA Grapalat" w:cs="Arial Armenian"/>
                <w:sz w:val="20"/>
                <w:szCs w:val="20"/>
                <w:lang w:val="id-ID"/>
              </w:rPr>
              <w:t xml:space="preserve"> </w:t>
            </w:r>
            <w:r w:rsidRPr="00BC61ED">
              <w:rPr>
                <w:rFonts w:ascii="GHEA Grapalat" w:hAnsi="GHEA Grapalat" w:cs="Sylfaen"/>
                <w:sz w:val="20"/>
                <w:szCs w:val="20"/>
                <w:lang w:val="pt-BR"/>
              </w:rPr>
              <w:t>իրականացված</w:t>
            </w:r>
            <w:r w:rsidRPr="00BC61ED">
              <w:rPr>
                <w:rFonts w:ascii="GHEA Grapalat" w:hAnsi="GHEA Grapalat" w:cs="Arial Armenian"/>
                <w:sz w:val="20"/>
                <w:szCs w:val="20"/>
                <w:lang w:val="id-ID"/>
              </w:rPr>
              <w:t xml:space="preserve"> </w:t>
            </w:r>
            <w:r w:rsidRPr="00BC61ED">
              <w:rPr>
                <w:rFonts w:ascii="GHEA Grapalat" w:hAnsi="GHEA Grapalat" w:cs="Sylfaen"/>
                <w:sz w:val="20"/>
                <w:szCs w:val="20"/>
                <w:lang w:val="pt-BR"/>
              </w:rPr>
              <w:t>աշխատանքների</w:t>
            </w:r>
            <w:r w:rsidRPr="00BC61ED">
              <w:rPr>
                <w:rFonts w:ascii="GHEA Grapalat" w:hAnsi="GHEA Grapalat" w:cs="Arial Armenian"/>
                <w:sz w:val="20"/>
                <w:szCs w:val="20"/>
                <w:lang w:val="id-ID"/>
              </w:rPr>
              <w:t xml:space="preserve"> </w:t>
            </w:r>
            <w:r w:rsidRPr="00BC61ED">
              <w:rPr>
                <w:rFonts w:ascii="GHEA Grapalat" w:hAnsi="GHEA Grapalat" w:cs="Sylfaen"/>
                <w:sz w:val="20"/>
                <w:szCs w:val="20"/>
                <w:lang w:val="pt-BR"/>
              </w:rPr>
              <w:t>արդյունքում</w:t>
            </w:r>
            <w:r w:rsidRPr="00BC61ED">
              <w:rPr>
                <w:rFonts w:ascii="GHEA Grapalat" w:hAnsi="GHEA Grapalat" w:cs="Arial Armenian"/>
                <w:sz w:val="20"/>
                <w:szCs w:val="20"/>
                <w:lang w:val="id-ID"/>
              </w:rPr>
              <w:t xml:space="preserve"> </w:t>
            </w:r>
            <w:r w:rsidRPr="00BC61ED">
              <w:rPr>
                <w:rFonts w:ascii="GHEA Grapalat" w:hAnsi="GHEA Grapalat" w:cs="Arial Armenian"/>
                <w:sz w:val="20"/>
                <w:szCs w:val="20"/>
                <w:lang w:val="pt-BR"/>
              </w:rPr>
              <w:t>նախկինում</w:t>
            </w:r>
            <w:r w:rsidRPr="00BC61ED">
              <w:rPr>
                <w:rFonts w:ascii="GHEA Grapalat" w:hAnsi="GHEA Grapalat" w:cs="Arial Armenian"/>
                <w:sz w:val="20"/>
                <w:szCs w:val="20"/>
                <w:lang w:val="id-ID"/>
              </w:rPr>
              <w:t xml:space="preserve"> </w:t>
            </w:r>
            <w:r w:rsidRPr="00BC61ED">
              <w:rPr>
                <w:rFonts w:ascii="GHEA Grapalat" w:hAnsi="GHEA Grapalat" w:cs="Sylfaen"/>
                <w:sz w:val="20"/>
                <w:szCs w:val="20"/>
                <w:lang w:val="pt-BR"/>
              </w:rPr>
              <w:t>հրատարակվել</w:t>
            </w:r>
            <w:r w:rsidRPr="00BC61ED">
              <w:rPr>
                <w:rFonts w:ascii="GHEA Grapalat" w:hAnsi="GHEA Grapalat" w:cs="Arial Armenian"/>
                <w:sz w:val="20"/>
                <w:szCs w:val="20"/>
                <w:lang w:val="id-ID"/>
              </w:rPr>
              <w:t xml:space="preserve"> </w:t>
            </w:r>
            <w:r w:rsidRPr="00BC61ED">
              <w:rPr>
                <w:rFonts w:ascii="GHEA Grapalat" w:hAnsi="GHEA Grapalat" w:cs="Sylfaen"/>
                <w:sz w:val="20"/>
                <w:szCs w:val="20"/>
                <w:lang w:val="pt-BR"/>
              </w:rPr>
              <w:t>են</w:t>
            </w:r>
            <w:r w:rsidRPr="00BC61ED">
              <w:rPr>
                <w:rFonts w:ascii="GHEA Grapalat" w:hAnsi="GHEA Grapalat" w:cs="Arial Armenian"/>
                <w:sz w:val="20"/>
                <w:szCs w:val="20"/>
                <w:lang w:val="id-ID"/>
              </w:rPr>
              <w:t xml:space="preserve"> </w:t>
            </w:r>
            <w:r w:rsidRPr="00BC61ED">
              <w:rPr>
                <w:rFonts w:ascii="GHEA Grapalat" w:hAnsi="GHEA Grapalat" w:cs="Sylfaen"/>
                <w:sz w:val="20"/>
                <w:szCs w:val="20"/>
                <w:lang w:val="hy-AM" w:eastAsia="ru-RU"/>
              </w:rPr>
              <w:t xml:space="preserve">Հայաստանի ազգային ատլասի Ա և Բ հատորները, շարունակվում են նաև </w:t>
            </w:r>
            <w:r w:rsidRPr="00BC61ED">
              <w:rPr>
                <w:rFonts w:ascii="GHEA Grapalat" w:hAnsi="GHEA Grapalat" w:cs="Sylfaen"/>
                <w:sz w:val="20"/>
                <w:szCs w:val="20"/>
                <w:lang w:val="pt-BR"/>
              </w:rPr>
              <w:t>Հայաստանի</w:t>
            </w:r>
            <w:r w:rsidRPr="00BC61ED">
              <w:rPr>
                <w:rFonts w:ascii="GHEA Grapalat" w:hAnsi="GHEA Grapalat" w:cs="Arial Armenian"/>
                <w:sz w:val="20"/>
                <w:szCs w:val="20"/>
                <w:lang w:val="id-ID"/>
              </w:rPr>
              <w:t xml:space="preserve"> </w:t>
            </w:r>
            <w:r w:rsidRPr="00BC61ED">
              <w:rPr>
                <w:rFonts w:ascii="GHEA Grapalat" w:hAnsi="GHEA Grapalat" w:cs="Arial Armenian"/>
                <w:sz w:val="20"/>
                <w:szCs w:val="20"/>
                <w:lang w:val="hy-AM"/>
              </w:rPr>
              <w:t>ա</w:t>
            </w:r>
            <w:r w:rsidRPr="00BC61ED">
              <w:rPr>
                <w:rFonts w:ascii="GHEA Grapalat" w:hAnsi="GHEA Grapalat" w:cs="Sylfaen"/>
                <w:sz w:val="20"/>
                <w:szCs w:val="20"/>
                <w:lang w:val="pt-BR"/>
              </w:rPr>
              <w:t>զ</w:t>
            </w:r>
            <w:r w:rsidRPr="00BC61ED">
              <w:rPr>
                <w:rFonts w:ascii="GHEA Grapalat" w:hAnsi="GHEA Grapalat" w:cs="Arial Armenian"/>
                <w:sz w:val="20"/>
                <w:szCs w:val="20"/>
                <w:lang w:val="pt-BR"/>
              </w:rPr>
              <w:t>գ</w:t>
            </w:r>
            <w:r w:rsidRPr="00BC61ED">
              <w:rPr>
                <w:rFonts w:ascii="GHEA Grapalat" w:hAnsi="GHEA Grapalat" w:cs="Sylfaen"/>
                <w:sz w:val="20"/>
                <w:szCs w:val="20"/>
                <w:lang w:val="pt-BR"/>
              </w:rPr>
              <w:t>ային</w:t>
            </w:r>
            <w:r w:rsidRPr="00BC61ED">
              <w:rPr>
                <w:rFonts w:ascii="GHEA Grapalat" w:hAnsi="GHEA Grapalat" w:cs="Arial Armenian"/>
                <w:sz w:val="20"/>
                <w:szCs w:val="20"/>
                <w:lang w:val="id-ID"/>
              </w:rPr>
              <w:t xml:space="preserve"> </w:t>
            </w:r>
            <w:r w:rsidRPr="00BC61ED">
              <w:rPr>
                <w:rFonts w:ascii="GHEA Grapalat" w:hAnsi="GHEA Grapalat" w:cs="Sylfaen"/>
                <w:sz w:val="20"/>
                <w:szCs w:val="20"/>
                <w:lang w:val="pt-BR"/>
              </w:rPr>
              <w:t>ատլասի</w:t>
            </w:r>
            <w:r w:rsidRPr="00BC61ED">
              <w:rPr>
                <w:rFonts w:ascii="GHEA Grapalat" w:hAnsi="GHEA Grapalat" w:cs="Arial Armenian"/>
                <w:sz w:val="20"/>
                <w:szCs w:val="20"/>
                <w:lang w:val="id-ID"/>
              </w:rPr>
              <w:t xml:space="preserve"> </w:t>
            </w:r>
            <w:r w:rsidRPr="00BC61ED">
              <w:rPr>
                <w:rFonts w:ascii="GHEA Grapalat" w:hAnsi="GHEA Grapalat" w:cs="Arial Armenian"/>
                <w:sz w:val="20"/>
                <w:szCs w:val="20"/>
                <w:lang w:val="pt-BR"/>
              </w:rPr>
              <w:t>Ա</w:t>
            </w:r>
            <w:r w:rsidRPr="00BC61ED">
              <w:rPr>
                <w:rFonts w:ascii="GHEA Grapalat" w:hAnsi="GHEA Grapalat" w:cs="Arial Armenian"/>
                <w:sz w:val="20"/>
                <w:szCs w:val="20"/>
                <w:lang w:val="id-ID"/>
              </w:rPr>
              <w:t xml:space="preserve"> </w:t>
            </w:r>
            <w:r w:rsidRPr="00BC61ED">
              <w:rPr>
                <w:rFonts w:ascii="GHEA Grapalat" w:hAnsi="GHEA Grapalat" w:cs="Arial Armenian"/>
                <w:sz w:val="20"/>
                <w:szCs w:val="20"/>
                <w:lang w:val="pt-BR"/>
              </w:rPr>
              <w:t xml:space="preserve">հատորի </w:t>
            </w:r>
            <w:r w:rsidRPr="00BC61ED">
              <w:rPr>
                <w:rFonts w:ascii="GHEA Grapalat" w:hAnsi="GHEA Grapalat" w:cs="Sylfaen"/>
                <w:sz w:val="20"/>
                <w:szCs w:val="20"/>
                <w:lang w:val="pt-BR"/>
              </w:rPr>
              <w:t>ան</w:t>
            </w:r>
            <w:r w:rsidRPr="00BC61ED">
              <w:rPr>
                <w:rFonts w:ascii="GHEA Grapalat" w:hAnsi="GHEA Grapalat" w:cs="Arial Armenian"/>
                <w:sz w:val="20"/>
                <w:szCs w:val="20"/>
                <w:lang w:val="pt-BR"/>
              </w:rPr>
              <w:t>գ</w:t>
            </w:r>
            <w:r w:rsidRPr="00BC61ED">
              <w:rPr>
                <w:rFonts w:ascii="GHEA Grapalat" w:hAnsi="GHEA Grapalat" w:cs="Sylfaen"/>
                <w:sz w:val="20"/>
                <w:szCs w:val="20"/>
                <w:lang w:val="pt-BR"/>
              </w:rPr>
              <w:t>լերեն</w:t>
            </w:r>
            <w:r w:rsidRPr="00BC61ED">
              <w:rPr>
                <w:rFonts w:ascii="GHEA Grapalat" w:hAnsi="GHEA Grapalat" w:cs="Arial Armenian"/>
                <w:sz w:val="20"/>
                <w:szCs w:val="20"/>
                <w:lang w:val="id-ID"/>
              </w:rPr>
              <w:t xml:space="preserve"> </w:t>
            </w:r>
            <w:r w:rsidRPr="00BC61ED">
              <w:rPr>
                <w:rFonts w:ascii="GHEA Grapalat" w:hAnsi="GHEA Grapalat" w:cs="Arial Armenian"/>
                <w:sz w:val="20"/>
                <w:szCs w:val="20"/>
                <w:lang w:val="pt-BR"/>
              </w:rPr>
              <w:t>տարբերակի</w:t>
            </w:r>
            <w:r w:rsidRPr="00BC61ED">
              <w:rPr>
                <w:rFonts w:ascii="GHEA Grapalat" w:hAnsi="GHEA Grapalat" w:cs="Arial Armenian"/>
                <w:sz w:val="20"/>
                <w:szCs w:val="20"/>
                <w:lang w:val="id-ID"/>
              </w:rPr>
              <w:t xml:space="preserve"> </w:t>
            </w:r>
            <w:r w:rsidRPr="00BC61ED">
              <w:rPr>
                <w:rFonts w:ascii="GHEA Grapalat" w:hAnsi="GHEA Grapalat" w:cs="Arial Armenian"/>
                <w:sz w:val="20"/>
                <w:szCs w:val="20"/>
                <w:lang w:val="pt-BR"/>
              </w:rPr>
              <w:t>ստեղծման աշխատանքները</w:t>
            </w:r>
            <w:r w:rsidRPr="00BC61ED">
              <w:rPr>
                <w:rFonts w:ascii="GHEA Grapalat" w:hAnsi="GHEA Grapalat" w:cs="Arial Armenian"/>
                <w:sz w:val="20"/>
                <w:szCs w:val="20"/>
                <w:lang w:val="hy-AM"/>
              </w:rPr>
              <w:t>, պատրաստվում են նաև</w:t>
            </w:r>
            <w:r w:rsidRPr="00BC61ED">
              <w:rPr>
                <w:rFonts w:ascii="GHEA Grapalat" w:hAnsi="GHEA Grapalat" w:cs="Arial Armenian"/>
                <w:sz w:val="20"/>
                <w:szCs w:val="20"/>
                <w:lang w:val="id-ID"/>
              </w:rPr>
              <w:t xml:space="preserve"> </w:t>
            </w:r>
            <w:r w:rsidRPr="00BC61ED">
              <w:rPr>
                <w:rFonts w:ascii="GHEA Grapalat" w:hAnsi="GHEA Grapalat" w:cs="Sylfaen"/>
                <w:sz w:val="20"/>
                <w:szCs w:val="20"/>
                <w:lang w:val="hy-AM" w:eastAsia="ru-RU"/>
              </w:rPr>
              <w:t xml:space="preserve">ռուսաց լեզվով միավորված մեկ հատորյակը, ինչպես նաև 32 անվամբ ուսումնական քարտեզներ: </w:t>
            </w:r>
          </w:p>
          <w:p w:rsidR="0068680D" w:rsidRPr="00BC61ED" w:rsidRDefault="0068680D" w:rsidP="00F47DC4">
            <w:pPr>
              <w:pStyle w:val="ListParagraph"/>
              <w:spacing w:line="276" w:lineRule="auto"/>
              <w:ind w:left="0"/>
              <w:jc w:val="both"/>
              <w:rPr>
                <w:b/>
                <w:sz w:val="20"/>
                <w:szCs w:val="20"/>
                <w:lang w:val="hy-AM"/>
              </w:rPr>
            </w:pPr>
            <w:r w:rsidRPr="00BC61ED">
              <w:rPr>
                <w:b/>
                <w:sz w:val="20"/>
                <w:szCs w:val="20"/>
                <w:lang w:val="hy-AM"/>
              </w:rPr>
              <w:t xml:space="preserve">   1</w:t>
            </w:r>
            <w:r w:rsidRPr="00BC61ED">
              <w:rPr>
                <w:rFonts w:ascii="Cambria Math" w:hAnsi="Cambria Math" w:cs="Cambria Math"/>
                <w:b/>
                <w:sz w:val="20"/>
                <w:szCs w:val="20"/>
                <w:lang w:val="hy-AM"/>
              </w:rPr>
              <w:t>․</w:t>
            </w:r>
            <w:r w:rsidRPr="00BC61ED">
              <w:rPr>
                <w:b/>
                <w:sz w:val="20"/>
                <w:szCs w:val="20"/>
                <w:lang w:val="hy-AM"/>
              </w:rPr>
              <w:t>2.</w:t>
            </w:r>
            <w:r w:rsidRPr="00BC61ED">
              <w:rPr>
                <w:sz w:val="20"/>
                <w:szCs w:val="20"/>
                <w:lang w:val="hy-AM"/>
              </w:rPr>
              <w:t xml:space="preserve"> </w:t>
            </w:r>
            <w:r w:rsidRPr="00BC61ED">
              <w:rPr>
                <w:b/>
                <w:sz w:val="20"/>
                <w:szCs w:val="20"/>
                <w:lang w:val="hy-AM"/>
              </w:rPr>
              <w:t>Առկա խնդիրների առաջարկվող լուծումները</w:t>
            </w:r>
          </w:p>
          <w:p w:rsidR="0068680D" w:rsidRPr="00BC61ED" w:rsidRDefault="0068680D" w:rsidP="00F47DC4">
            <w:pPr>
              <w:pStyle w:val="ListParagraph"/>
              <w:spacing w:line="276" w:lineRule="auto"/>
              <w:ind w:left="0"/>
              <w:jc w:val="both"/>
              <w:rPr>
                <w:rFonts w:eastAsiaTheme="minorEastAsia" w:cs="Sylfaen"/>
                <w:sz w:val="20"/>
                <w:szCs w:val="20"/>
                <w:lang w:val="hy-AM"/>
              </w:rPr>
            </w:pPr>
            <w:r w:rsidRPr="00BC61ED">
              <w:rPr>
                <w:rFonts w:eastAsiaTheme="minorEastAsia" w:cs="Sylfaen"/>
                <w:sz w:val="20"/>
                <w:szCs w:val="20"/>
                <w:lang w:val="pt-BR"/>
              </w:rPr>
              <w:t xml:space="preserve">   Հիմք ընդունելով «Գեոդեզիայի և քարտեզագրության մասին» ՀՀ օրենքի վերը նշված հոդվածի դրույթները և հաշվի առնելով օգտագործողների մեծ պահանջարկը անհրաժեշտություն է առաջացել պետական մակարդակով ստեղծելու նոր հիմնարար ատլաս` </w:t>
            </w:r>
            <w:r w:rsidRPr="00BC61ED">
              <w:rPr>
                <w:rFonts w:cs="Sylfaen"/>
                <w:sz w:val="20"/>
                <w:szCs w:val="20"/>
                <w:lang w:val="hy-AM" w:eastAsia="ru-RU"/>
              </w:rPr>
              <w:t>Հայաստանի</w:t>
            </w:r>
            <w:r w:rsidRPr="00BC61ED">
              <w:rPr>
                <w:sz w:val="20"/>
                <w:szCs w:val="20"/>
                <w:lang w:val="pt-BR" w:eastAsia="ru-RU"/>
              </w:rPr>
              <w:t xml:space="preserve"> </w:t>
            </w:r>
            <w:r w:rsidRPr="00BC61ED">
              <w:rPr>
                <w:rFonts w:cs="Sylfaen"/>
                <w:sz w:val="20"/>
                <w:szCs w:val="20"/>
                <w:lang w:val="hy-AM" w:eastAsia="ru-RU"/>
              </w:rPr>
              <w:t>ազգային</w:t>
            </w:r>
            <w:r w:rsidRPr="00BC61ED">
              <w:rPr>
                <w:sz w:val="20"/>
                <w:szCs w:val="20"/>
                <w:lang w:val="pt-BR" w:eastAsia="ru-RU"/>
              </w:rPr>
              <w:t xml:space="preserve"> </w:t>
            </w:r>
            <w:r w:rsidRPr="00BC61ED">
              <w:rPr>
                <w:sz w:val="20"/>
                <w:szCs w:val="20"/>
                <w:lang w:val="hy-AM" w:eastAsia="ru-RU"/>
              </w:rPr>
              <w:t>նոր</w:t>
            </w:r>
            <w:r w:rsidRPr="00BC61ED">
              <w:rPr>
                <w:sz w:val="20"/>
                <w:szCs w:val="20"/>
                <w:lang w:val="pt-BR" w:eastAsia="ru-RU"/>
              </w:rPr>
              <w:t xml:space="preserve"> </w:t>
            </w:r>
            <w:r w:rsidRPr="00BC61ED">
              <w:rPr>
                <w:rFonts w:cs="Sylfaen"/>
                <w:sz w:val="20"/>
                <w:szCs w:val="20"/>
                <w:lang w:val="hy-AM" w:eastAsia="ru-RU"/>
              </w:rPr>
              <w:t>ատլասի</w:t>
            </w:r>
            <w:r w:rsidRPr="00BC61ED">
              <w:rPr>
                <w:sz w:val="20"/>
                <w:szCs w:val="20"/>
                <w:lang w:val="pt-BR" w:eastAsia="ru-RU"/>
              </w:rPr>
              <w:t xml:space="preserve"> </w:t>
            </w:r>
            <w:r w:rsidRPr="00BC61ED">
              <w:rPr>
                <w:rFonts w:cs="Sylfaen"/>
                <w:bCs/>
                <w:color w:val="000000"/>
                <w:sz w:val="20"/>
                <w:szCs w:val="20"/>
                <w:lang w:val="hy-AM" w:eastAsia="ru-RU"/>
              </w:rPr>
              <w:t>ստեղծում</w:t>
            </w:r>
            <w:r w:rsidRPr="00BC61ED">
              <w:rPr>
                <w:rFonts w:eastAsiaTheme="minorEastAsia" w:cs="Sylfaen"/>
                <w:sz w:val="20"/>
                <w:szCs w:val="20"/>
                <w:lang w:val="pt-BR"/>
              </w:rPr>
              <w:t>: Դա հիմնավորվում է նաև նրանով, որ նախատեսվում է իրականացնել Աշխարհի աշխարհագրական անվանումների պաշտոնական տեղեկատուի ստեղծման աշխատանքներ, որի արդյունքում ստեղծված հսկայածավալ նյութը կօգտագործվի այդ ատլասի նախապատրաստման համար:</w:t>
            </w:r>
            <w:r w:rsidRPr="00BC61ED">
              <w:rPr>
                <w:rFonts w:eastAsiaTheme="minorEastAsia" w:cs="Sylfaen"/>
                <w:sz w:val="20"/>
                <w:szCs w:val="20"/>
                <w:lang w:val="hy-AM"/>
              </w:rPr>
              <w:t xml:space="preserve"> </w:t>
            </w:r>
          </w:p>
          <w:p w:rsidR="0068680D" w:rsidRPr="00BC61ED" w:rsidRDefault="0068680D" w:rsidP="00F47DC4">
            <w:pPr>
              <w:pStyle w:val="ListParagraph"/>
              <w:spacing w:line="276" w:lineRule="auto"/>
              <w:ind w:left="0"/>
              <w:jc w:val="both"/>
              <w:rPr>
                <w:sz w:val="20"/>
                <w:szCs w:val="20"/>
                <w:lang w:val="hy-AM" w:eastAsia="ru-RU"/>
              </w:rPr>
            </w:pPr>
            <w:r w:rsidRPr="00BC61ED">
              <w:rPr>
                <w:rFonts w:cs="Sylfaen"/>
                <w:sz w:val="20"/>
                <w:szCs w:val="20"/>
                <w:lang w:val="hy-AM" w:eastAsia="ru-RU"/>
              </w:rPr>
              <w:t xml:space="preserve">   Նախկինում ստեղծված քարտեզագրական նյութերի հիման վրա նոր</w:t>
            </w:r>
            <w:r w:rsidRPr="00BC61ED">
              <w:rPr>
                <w:sz w:val="20"/>
                <w:szCs w:val="20"/>
                <w:lang w:val="pt-BR" w:eastAsia="ru-RU"/>
              </w:rPr>
              <w:t xml:space="preserve"> ձևաչափով բազմալեզու և բազմահատոր </w:t>
            </w:r>
            <w:r w:rsidRPr="00BC61ED">
              <w:rPr>
                <w:rFonts w:cs="Sylfaen"/>
                <w:sz w:val="20"/>
                <w:szCs w:val="20"/>
                <w:lang w:val="hy-AM" w:eastAsia="ru-RU"/>
              </w:rPr>
              <w:t>Հայաստանի</w:t>
            </w:r>
            <w:r w:rsidRPr="00BC61ED">
              <w:rPr>
                <w:sz w:val="20"/>
                <w:szCs w:val="20"/>
                <w:lang w:val="pt-BR" w:eastAsia="ru-RU"/>
              </w:rPr>
              <w:t xml:space="preserve"> </w:t>
            </w:r>
            <w:r w:rsidRPr="00BC61ED">
              <w:rPr>
                <w:rFonts w:cs="Sylfaen"/>
                <w:sz w:val="20"/>
                <w:szCs w:val="20"/>
                <w:lang w:val="pt-BR" w:eastAsia="ru-RU"/>
              </w:rPr>
              <w:t>ա</w:t>
            </w:r>
            <w:r w:rsidRPr="00BC61ED">
              <w:rPr>
                <w:rFonts w:cs="Sylfaen"/>
                <w:sz w:val="20"/>
                <w:szCs w:val="20"/>
                <w:lang w:val="hy-AM" w:eastAsia="ru-RU"/>
              </w:rPr>
              <w:t>զգային</w:t>
            </w:r>
            <w:r w:rsidRPr="00BC61ED">
              <w:rPr>
                <w:sz w:val="20"/>
                <w:szCs w:val="20"/>
                <w:lang w:val="pt-BR" w:eastAsia="ru-RU"/>
              </w:rPr>
              <w:t xml:space="preserve"> </w:t>
            </w:r>
            <w:r w:rsidRPr="00BC61ED">
              <w:rPr>
                <w:rFonts w:cs="Sylfaen"/>
                <w:sz w:val="20"/>
                <w:szCs w:val="20"/>
                <w:lang w:val="hy-AM" w:eastAsia="ru-RU"/>
              </w:rPr>
              <w:t xml:space="preserve">ատլասի </w:t>
            </w:r>
            <w:r w:rsidRPr="00BC61ED">
              <w:rPr>
                <w:sz w:val="20"/>
                <w:szCs w:val="20"/>
                <w:lang w:val="pt-BR" w:eastAsia="ru-RU"/>
              </w:rPr>
              <w:t>հրատարակում</w:t>
            </w:r>
            <w:r w:rsidRPr="00BC61ED">
              <w:rPr>
                <w:sz w:val="20"/>
                <w:szCs w:val="20"/>
                <w:lang w:val="hy-AM" w:eastAsia="ru-RU"/>
              </w:rPr>
              <w:t>, որը կներառի Աշխարհի մեծ ատլաս, Սպայի ատլաս և այլ նմանատիպ, անհրաժեշտ  ատլասներ։</w:t>
            </w:r>
          </w:p>
          <w:p w:rsidR="0068680D" w:rsidRPr="00BC61ED" w:rsidRDefault="0068680D" w:rsidP="00F47DC4">
            <w:pPr>
              <w:pStyle w:val="ListParagraph"/>
              <w:spacing w:line="276" w:lineRule="auto"/>
              <w:ind w:left="0"/>
              <w:jc w:val="both"/>
              <w:rPr>
                <w:b/>
                <w:sz w:val="20"/>
                <w:szCs w:val="20"/>
                <w:lang w:val="hy-AM" w:eastAsia="ru-RU"/>
              </w:rPr>
            </w:pPr>
            <w:r w:rsidRPr="00BC61ED">
              <w:rPr>
                <w:sz w:val="20"/>
                <w:szCs w:val="20"/>
                <w:lang w:val="hy-AM" w:eastAsia="ru-RU"/>
              </w:rPr>
              <w:t xml:space="preserve">   </w:t>
            </w:r>
            <w:r w:rsidRPr="00BC61ED">
              <w:rPr>
                <w:b/>
                <w:sz w:val="20"/>
                <w:szCs w:val="20"/>
                <w:lang w:val="hy-AM" w:eastAsia="ru-RU"/>
              </w:rPr>
              <w:t>Կիրականացվի հետևյալ միջոցառումը՝</w:t>
            </w:r>
          </w:p>
          <w:p w:rsidR="0068680D" w:rsidRPr="00BC61ED" w:rsidRDefault="0068680D" w:rsidP="00F47DC4">
            <w:pPr>
              <w:spacing w:line="276" w:lineRule="auto"/>
              <w:jc w:val="both"/>
              <w:rPr>
                <w:sz w:val="20"/>
                <w:szCs w:val="20"/>
                <w:lang w:val="pt-BR"/>
              </w:rPr>
            </w:pPr>
            <w:r w:rsidRPr="00BC61ED">
              <w:rPr>
                <w:rFonts w:cs="Sylfaen"/>
                <w:sz w:val="20"/>
                <w:szCs w:val="20"/>
                <w:lang w:val="hy-AM"/>
              </w:rPr>
              <w:t xml:space="preserve">   1. Առկա քարտեզագրական նյութերի հիման վրա նոր</w:t>
            </w:r>
            <w:r w:rsidRPr="00BC61ED">
              <w:rPr>
                <w:sz w:val="20"/>
                <w:szCs w:val="20"/>
                <w:lang w:val="pt-BR"/>
              </w:rPr>
              <w:t xml:space="preserve"> ձևաչափով բազմալեզու և բազմահատոր </w:t>
            </w:r>
            <w:r w:rsidRPr="00BC61ED">
              <w:rPr>
                <w:rFonts w:cs="Sylfaen"/>
                <w:sz w:val="20"/>
                <w:szCs w:val="20"/>
                <w:lang w:val="hy-AM"/>
              </w:rPr>
              <w:t>Հայաստանի</w:t>
            </w:r>
            <w:r w:rsidRPr="00BC61ED">
              <w:rPr>
                <w:sz w:val="20"/>
                <w:szCs w:val="20"/>
                <w:lang w:val="pt-BR"/>
              </w:rPr>
              <w:t xml:space="preserve"> </w:t>
            </w:r>
            <w:r w:rsidRPr="00BC61ED">
              <w:rPr>
                <w:rFonts w:cs="Sylfaen"/>
                <w:sz w:val="20"/>
                <w:szCs w:val="20"/>
                <w:lang w:val="pt-BR"/>
              </w:rPr>
              <w:t>ա</w:t>
            </w:r>
            <w:r w:rsidRPr="00BC61ED">
              <w:rPr>
                <w:rFonts w:cs="Sylfaen"/>
                <w:sz w:val="20"/>
                <w:szCs w:val="20"/>
                <w:lang w:val="hy-AM"/>
              </w:rPr>
              <w:t>զգային</w:t>
            </w:r>
            <w:r w:rsidRPr="00BC61ED">
              <w:rPr>
                <w:sz w:val="20"/>
                <w:szCs w:val="20"/>
                <w:lang w:val="pt-BR"/>
              </w:rPr>
              <w:t xml:space="preserve"> </w:t>
            </w:r>
            <w:r w:rsidRPr="00BC61ED">
              <w:rPr>
                <w:rFonts w:cs="Sylfaen"/>
                <w:sz w:val="20"/>
                <w:szCs w:val="20"/>
                <w:lang w:val="hy-AM"/>
              </w:rPr>
              <w:t xml:space="preserve">ատլասի </w:t>
            </w:r>
            <w:r w:rsidRPr="00BC61ED">
              <w:rPr>
                <w:sz w:val="20"/>
                <w:szCs w:val="20"/>
                <w:lang w:val="pt-BR"/>
              </w:rPr>
              <w:t>հրատարակում:</w:t>
            </w:r>
          </w:p>
          <w:p w:rsidR="0068680D" w:rsidRPr="00BC61ED" w:rsidRDefault="0068680D" w:rsidP="00F47DC4">
            <w:pPr>
              <w:pStyle w:val="ListParagraph"/>
              <w:tabs>
                <w:tab w:val="left" w:pos="540"/>
              </w:tabs>
              <w:spacing w:line="276" w:lineRule="auto"/>
              <w:ind w:left="0" w:right="180"/>
              <w:jc w:val="both"/>
              <w:rPr>
                <w:b/>
                <w:sz w:val="20"/>
                <w:szCs w:val="20"/>
                <w:lang w:val="hy-AM"/>
              </w:rPr>
            </w:pPr>
            <w:r w:rsidRPr="00BC61ED">
              <w:rPr>
                <w:b/>
                <w:sz w:val="20"/>
                <w:szCs w:val="20"/>
                <w:lang w:val="hy-AM"/>
              </w:rPr>
              <w:t xml:space="preserve">   2</w:t>
            </w:r>
            <w:r w:rsidRPr="00BC61ED">
              <w:rPr>
                <w:rFonts w:ascii="Cambria Math" w:hAnsi="Cambria Math" w:cs="Cambria Math"/>
                <w:b/>
                <w:sz w:val="20"/>
                <w:szCs w:val="20"/>
                <w:lang w:val="hy-AM"/>
              </w:rPr>
              <w:t>․</w:t>
            </w:r>
            <w:r w:rsidRPr="00BC61ED">
              <w:rPr>
                <w:b/>
                <w:sz w:val="20"/>
                <w:szCs w:val="20"/>
                <w:lang w:val="hy-AM"/>
              </w:rPr>
              <w:t xml:space="preserve"> Միջոցառման իրականացումից ակնկալվող արդյունքը</w:t>
            </w:r>
            <w:r w:rsidRPr="00BC61ED">
              <w:rPr>
                <w:b/>
                <w:sz w:val="20"/>
                <w:szCs w:val="20"/>
                <w:lang w:val="hy-AM"/>
              </w:rPr>
              <w:tab/>
            </w:r>
          </w:p>
          <w:p w:rsidR="0068680D" w:rsidRPr="00BC61ED" w:rsidRDefault="0068680D" w:rsidP="00F47DC4">
            <w:pPr>
              <w:pStyle w:val="BodyText"/>
              <w:spacing w:after="0" w:line="276" w:lineRule="auto"/>
              <w:jc w:val="both"/>
              <w:rPr>
                <w:rFonts w:ascii="GHEA Grapalat" w:hAnsi="GHEA Grapalat" w:cs="Times New Roman"/>
                <w:b/>
                <w:sz w:val="20"/>
                <w:szCs w:val="20"/>
                <w:lang w:val="af-ZA" w:eastAsia="ru-RU"/>
              </w:rPr>
            </w:pPr>
            <w:r w:rsidRPr="00BC61ED">
              <w:rPr>
                <w:rFonts w:ascii="GHEA Grapalat" w:hAnsi="GHEA Grapalat" w:cs="00GHEAGrapalat"/>
                <w:sz w:val="20"/>
                <w:szCs w:val="20"/>
                <w:lang w:val="hy-AM"/>
              </w:rPr>
              <w:t xml:space="preserve">   Այս</w:t>
            </w:r>
            <w:r w:rsidRPr="00BC61ED">
              <w:rPr>
                <w:rFonts w:ascii="GHEA Grapalat" w:hAnsi="GHEA Grapalat" w:cs="00GHEAGrapalat"/>
                <w:sz w:val="20"/>
                <w:szCs w:val="20"/>
                <w:lang w:val="id-ID"/>
              </w:rPr>
              <w:t xml:space="preserve"> </w:t>
            </w:r>
            <w:r w:rsidRPr="00BC61ED">
              <w:rPr>
                <w:rFonts w:ascii="GHEA Grapalat" w:hAnsi="GHEA Grapalat" w:cs="00GHEAGrapalat"/>
                <w:sz w:val="20"/>
                <w:szCs w:val="20"/>
                <w:lang w:val="hy-AM"/>
              </w:rPr>
              <w:t>աշխատանքների</w:t>
            </w:r>
            <w:r w:rsidRPr="00BC61ED">
              <w:rPr>
                <w:rFonts w:ascii="GHEA Grapalat" w:hAnsi="GHEA Grapalat" w:cs="00GHEAGrapalat"/>
                <w:sz w:val="20"/>
                <w:szCs w:val="20"/>
                <w:lang w:val="id-ID"/>
              </w:rPr>
              <w:t xml:space="preserve"> </w:t>
            </w:r>
            <w:r w:rsidRPr="00BC61ED">
              <w:rPr>
                <w:rFonts w:ascii="GHEA Grapalat" w:hAnsi="GHEA Grapalat" w:cs="00GHEAGrapalat"/>
                <w:sz w:val="20"/>
                <w:szCs w:val="20"/>
                <w:lang w:val="hy-AM"/>
              </w:rPr>
              <w:t>իրականացման</w:t>
            </w:r>
            <w:r w:rsidRPr="00BC61ED">
              <w:rPr>
                <w:rFonts w:ascii="GHEA Grapalat" w:hAnsi="GHEA Grapalat" w:cs="00GHEAGrapalat"/>
                <w:sz w:val="20"/>
                <w:szCs w:val="20"/>
                <w:lang w:val="id-ID"/>
              </w:rPr>
              <w:t xml:space="preserve"> </w:t>
            </w:r>
            <w:r w:rsidRPr="00BC61ED">
              <w:rPr>
                <w:rFonts w:ascii="GHEA Grapalat" w:hAnsi="GHEA Grapalat" w:cs="00GHEAGrapalat"/>
                <w:sz w:val="20"/>
                <w:szCs w:val="20"/>
                <w:lang w:val="hy-AM"/>
              </w:rPr>
              <w:t>արդյունքում</w:t>
            </w:r>
            <w:r w:rsidRPr="00BC61ED">
              <w:rPr>
                <w:rFonts w:ascii="GHEA Grapalat" w:hAnsi="GHEA Grapalat" w:cs="00GHEAGrapalat"/>
                <w:sz w:val="20"/>
                <w:szCs w:val="20"/>
                <w:lang w:val="id-ID"/>
              </w:rPr>
              <w:t xml:space="preserve"> </w:t>
            </w:r>
            <w:r w:rsidRPr="00BC61ED">
              <w:rPr>
                <w:rFonts w:ascii="GHEA Grapalat" w:hAnsi="GHEA Grapalat" w:cs="00GHEAGrapalat"/>
                <w:sz w:val="20"/>
                <w:szCs w:val="20"/>
                <w:lang w:val="hy-AM"/>
              </w:rPr>
              <w:t>նախատեսվում</w:t>
            </w:r>
            <w:r w:rsidRPr="00BC61ED">
              <w:rPr>
                <w:rFonts w:ascii="GHEA Grapalat" w:hAnsi="GHEA Grapalat" w:cs="00GHEAGrapalat"/>
                <w:sz w:val="20"/>
                <w:szCs w:val="20"/>
                <w:lang w:val="id-ID"/>
              </w:rPr>
              <w:t xml:space="preserve"> </w:t>
            </w:r>
            <w:r w:rsidRPr="00BC61ED">
              <w:rPr>
                <w:rFonts w:ascii="GHEA Grapalat" w:hAnsi="GHEA Grapalat" w:cs="00GHEAGrapalat"/>
                <w:sz w:val="20"/>
                <w:szCs w:val="20"/>
                <w:lang w:val="hy-AM"/>
              </w:rPr>
              <w:t>է</w:t>
            </w:r>
            <w:r w:rsidRPr="00BC61ED">
              <w:rPr>
                <w:rFonts w:ascii="GHEA Grapalat" w:hAnsi="GHEA Grapalat" w:cs="00GHEAGrapalat"/>
                <w:sz w:val="20"/>
                <w:szCs w:val="20"/>
                <w:lang w:val="id-ID"/>
              </w:rPr>
              <w:t xml:space="preserve"> </w:t>
            </w:r>
            <w:r w:rsidRPr="00BC61ED">
              <w:rPr>
                <w:rFonts w:ascii="GHEA Grapalat" w:hAnsi="GHEA Grapalat" w:cs="00GHEAGrapalat"/>
                <w:sz w:val="20"/>
                <w:szCs w:val="20"/>
                <w:lang w:val="hy-AM"/>
              </w:rPr>
              <w:t>ունենալ թ</w:t>
            </w:r>
            <w:r w:rsidRPr="00BC61ED">
              <w:rPr>
                <w:rFonts w:ascii="GHEA Grapalat" w:hAnsi="GHEA Grapalat" w:cs="Times New Roman"/>
                <w:sz w:val="20"/>
                <w:szCs w:val="20"/>
                <w:lang w:val="hy-AM" w:eastAsia="ru-RU"/>
              </w:rPr>
              <w:t>արմացված բ</w:t>
            </w:r>
            <w:r w:rsidRPr="00BC61ED">
              <w:rPr>
                <w:rFonts w:ascii="GHEA Grapalat" w:hAnsi="GHEA Grapalat" w:cs="Times New Roman"/>
                <w:sz w:val="20"/>
                <w:szCs w:val="20"/>
                <w:lang w:val="pt-BR" w:eastAsia="ru-RU"/>
              </w:rPr>
              <w:t xml:space="preserve">ազմալեզու </w:t>
            </w:r>
            <w:r w:rsidRPr="00BC61ED">
              <w:rPr>
                <w:rFonts w:ascii="GHEA Grapalat" w:hAnsi="GHEA Grapalat" w:cs="Sylfaen"/>
                <w:sz w:val="20"/>
                <w:szCs w:val="20"/>
                <w:lang w:val="hy-AM" w:eastAsia="ru-RU"/>
              </w:rPr>
              <w:t>Հայաստանի</w:t>
            </w:r>
            <w:r w:rsidRPr="00BC61ED">
              <w:rPr>
                <w:rFonts w:ascii="GHEA Grapalat" w:hAnsi="GHEA Grapalat" w:cs="Times New Roman"/>
                <w:sz w:val="20"/>
                <w:szCs w:val="20"/>
                <w:lang w:val="pt-BR" w:eastAsia="ru-RU"/>
              </w:rPr>
              <w:t xml:space="preserve"> </w:t>
            </w:r>
            <w:r w:rsidRPr="00BC61ED">
              <w:rPr>
                <w:rFonts w:ascii="GHEA Grapalat" w:hAnsi="GHEA Grapalat" w:cs="Sylfaen"/>
                <w:sz w:val="20"/>
                <w:szCs w:val="20"/>
                <w:lang w:val="pt-BR" w:eastAsia="ru-RU"/>
              </w:rPr>
              <w:t>ա</w:t>
            </w:r>
            <w:r w:rsidRPr="00BC61ED">
              <w:rPr>
                <w:rFonts w:ascii="GHEA Grapalat" w:hAnsi="GHEA Grapalat" w:cs="Sylfaen"/>
                <w:sz w:val="20"/>
                <w:szCs w:val="20"/>
                <w:lang w:val="hy-AM" w:eastAsia="ru-RU"/>
              </w:rPr>
              <w:t>զգային</w:t>
            </w:r>
            <w:r w:rsidRPr="00BC61ED">
              <w:rPr>
                <w:rFonts w:ascii="GHEA Grapalat" w:hAnsi="GHEA Grapalat" w:cs="Times New Roman"/>
                <w:sz w:val="20"/>
                <w:szCs w:val="20"/>
                <w:lang w:val="pt-BR" w:eastAsia="ru-RU"/>
              </w:rPr>
              <w:t xml:space="preserve"> </w:t>
            </w:r>
            <w:r w:rsidRPr="00BC61ED">
              <w:rPr>
                <w:rFonts w:ascii="GHEA Grapalat" w:hAnsi="GHEA Grapalat" w:cs="Sylfaen"/>
                <w:sz w:val="20"/>
                <w:szCs w:val="20"/>
                <w:lang w:val="hy-AM" w:eastAsia="ru-RU"/>
              </w:rPr>
              <w:t>ատլաս</w:t>
            </w:r>
            <w:r w:rsidRPr="00BC61ED">
              <w:rPr>
                <w:rFonts w:ascii="GHEA Grapalat" w:hAnsi="GHEA Grapalat" w:cs="Sylfaen"/>
                <w:color w:val="000000" w:themeColor="text1"/>
                <w:sz w:val="20"/>
                <w:szCs w:val="20"/>
                <w:lang w:val="hy-AM" w:eastAsia="ru-RU"/>
              </w:rPr>
              <w:t>։</w:t>
            </w:r>
          </w:p>
        </w:tc>
      </w:tr>
      <w:tr w:rsidR="0068680D" w:rsidRPr="00BC61ED"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16.</w:t>
            </w:r>
          </w:p>
        </w:tc>
        <w:tc>
          <w:tcPr>
            <w:tcW w:w="10915" w:type="dxa"/>
          </w:tcPr>
          <w:p w:rsidR="0068680D" w:rsidRPr="00BC61ED" w:rsidRDefault="0068680D" w:rsidP="00F47DC4">
            <w:pPr>
              <w:spacing w:line="276" w:lineRule="auto"/>
              <w:jc w:val="center"/>
              <w:rPr>
                <w:b/>
                <w:color w:val="000000"/>
                <w:sz w:val="20"/>
                <w:szCs w:val="20"/>
                <w:lang w:val="af-ZA"/>
              </w:rPr>
            </w:pPr>
            <w:r w:rsidRPr="00BC61ED">
              <w:rPr>
                <w:b/>
                <w:color w:val="000000"/>
                <w:sz w:val="20"/>
                <w:szCs w:val="20"/>
                <w:lang w:val="af-ZA"/>
              </w:rPr>
              <w:t xml:space="preserve">«Հայաստանի Հանրապետության սեյսմաակտիվ շրջաններում երկակեղևի գործող խզվածքների բացահայտման համար I դասի ընթացքների կրկնակի նիվիլիրացման աշխատանքների իրականացում» </w:t>
            </w:r>
          </w:p>
          <w:p w:rsidR="0068680D" w:rsidRPr="00BC61ED" w:rsidRDefault="0068680D" w:rsidP="00F47DC4">
            <w:pPr>
              <w:spacing w:line="276" w:lineRule="auto"/>
              <w:jc w:val="center"/>
              <w:rPr>
                <w:rFonts w:eastAsia="Calibri" w:cs="Calibri"/>
                <w:b/>
                <w:color w:val="000000"/>
                <w:sz w:val="20"/>
                <w:szCs w:val="20"/>
                <w:lang w:val="hy-AM"/>
              </w:rPr>
            </w:pPr>
            <w:r w:rsidRPr="00BC61ED">
              <w:rPr>
                <w:b/>
                <w:color w:val="000000"/>
                <w:sz w:val="20"/>
                <w:szCs w:val="20"/>
                <w:lang w:val="af-ZA"/>
              </w:rPr>
              <w:t xml:space="preserve"> </w:t>
            </w:r>
          </w:p>
          <w:p w:rsidR="0068680D" w:rsidRPr="00BC61ED" w:rsidRDefault="0068680D" w:rsidP="00F47DC4">
            <w:pPr>
              <w:spacing w:line="276" w:lineRule="auto"/>
              <w:jc w:val="both"/>
              <w:rPr>
                <w:b/>
                <w:sz w:val="20"/>
                <w:szCs w:val="20"/>
                <w:lang w:val="hy-AM"/>
              </w:rPr>
            </w:pPr>
            <w:r w:rsidRPr="00BC61ED">
              <w:rPr>
                <w:b/>
                <w:sz w:val="20"/>
                <w:szCs w:val="20"/>
                <w:lang w:val="af-ZA"/>
              </w:rPr>
              <w:t xml:space="preserve">   </w:t>
            </w:r>
            <w:r w:rsidRPr="00BC61ED">
              <w:rPr>
                <w:b/>
                <w:sz w:val="20"/>
                <w:szCs w:val="20"/>
                <w:lang w:val="hy-AM"/>
              </w:rPr>
              <w:t>1. Միջոցառման իրականացման անհրաժեշտությունը և նպատակը</w:t>
            </w:r>
          </w:p>
          <w:p w:rsidR="0068680D" w:rsidRPr="00BC61ED" w:rsidRDefault="0068680D" w:rsidP="00F47DC4">
            <w:pPr>
              <w:spacing w:line="276" w:lineRule="auto"/>
              <w:jc w:val="both"/>
              <w:rPr>
                <w:sz w:val="20"/>
                <w:szCs w:val="20"/>
                <w:lang w:val="hy-AM"/>
              </w:rPr>
            </w:pPr>
            <w:r w:rsidRPr="00BC61ED">
              <w:rPr>
                <w:rFonts w:cs="Sylfaen"/>
                <w:sz w:val="20"/>
                <w:szCs w:val="20"/>
                <w:lang w:val="af-ZA"/>
              </w:rPr>
              <w:t xml:space="preserve">   </w:t>
            </w:r>
            <w:r w:rsidRPr="00BC61ED">
              <w:rPr>
                <w:rFonts w:cs="Sylfaen"/>
                <w:sz w:val="20"/>
                <w:szCs w:val="20"/>
                <w:lang w:val="hy-AM"/>
              </w:rPr>
              <w:t>Երկրակեղևի</w:t>
            </w:r>
            <w:r w:rsidRPr="00BC61ED">
              <w:rPr>
                <w:rFonts w:cs="Arial"/>
                <w:sz w:val="20"/>
                <w:szCs w:val="20"/>
                <w:lang w:val="hy-AM"/>
              </w:rPr>
              <w:t xml:space="preserve"> </w:t>
            </w:r>
            <w:r w:rsidRPr="00BC61ED">
              <w:rPr>
                <w:rFonts w:cs="Sylfaen"/>
                <w:sz w:val="20"/>
                <w:szCs w:val="20"/>
                <w:lang w:val="hy-AM"/>
              </w:rPr>
              <w:t>ուղղահայաց</w:t>
            </w:r>
            <w:r w:rsidRPr="00BC61ED">
              <w:rPr>
                <w:rFonts w:cs="Arial"/>
                <w:sz w:val="20"/>
                <w:szCs w:val="20"/>
                <w:lang w:val="hy-AM"/>
              </w:rPr>
              <w:t xml:space="preserve"> </w:t>
            </w:r>
            <w:r w:rsidRPr="00BC61ED">
              <w:rPr>
                <w:rFonts w:cs="Sylfaen"/>
                <w:sz w:val="20"/>
                <w:szCs w:val="20"/>
                <w:lang w:val="hy-AM"/>
              </w:rPr>
              <w:t>շարժումներն</w:t>
            </w:r>
            <w:r w:rsidRPr="00BC61ED">
              <w:rPr>
                <w:rFonts w:cs="Arial"/>
                <w:sz w:val="20"/>
                <w:szCs w:val="20"/>
                <w:lang w:val="hy-AM"/>
              </w:rPr>
              <w:t xml:space="preserve"> </w:t>
            </w:r>
            <w:r w:rsidRPr="00BC61ED">
              <w:rPr>
                <w:rFonts w:cs="Sylfaen"/>
                <w:sz w:val="20"/>
                <w:szCs w:val="20"/>
                <w:lang w:val="hy-AM"/>
              </w:rPr>
              <w:t>ուսումնասիրելու</w:t>
            </w:r>
            <w:r w:rsidRPr="00BC61ED">
              <w:rPr>
                <w:rFonts w:cs="Arial"/>
                <w:sz w:val="20"/>
                <w:szCs w:val="20"/>
                <w:lang w:val="hy-AM"/>
              </w:rPr>
              <w:t xml:space="preserve"> </w:t>
            </w:r>
            <w:r w:rsidRPr="00BC61ED">
              <w:rPr>
                <w:rFonts w:cs="Sylfaen"/>
                <w:sz w:val="20"/>
                <w:szCs w:val="20"/>
                <w:lang w:val="hy-AM"/>
              </w:rPr>
              <w:t>նպատակով</w:t>
            </w:r>
            <w:r w:rsidRPr="00BC61ED">
              <w:rPr>
                <w:rFonts w:cs="Arial"/>
                <w:sz w:val="20"/>
                <w:szCs w:val="20"/>
                <w:lang w:val="hy-AM"/>
              </w:rPr>
              <w:t xml:space="preserve"> </w:t>
            </w:r>
            <w:r w:rsidRPr="00BC61ED">
              <w:rPr>
                <w:rFonts w:cs="Sylfaen"/>
                <w:sz w:val="20"/>
                <w:szCs w:val="20"/>
                <w:lang w:val="hy-AM"/>
              </w:rPr>
              <w:t>նախատեսվում</w:t>
            </w:r>
            <w:r w:rsidRPr="00BC61ED">
              <w:rPr>
                <w:rFonts w:cs="Arial"/>
                <w:sz w:val="20"/>
                <w:szCs w:val="20"/>
                <w:lang w:val="hy-AM"/>
              </w:rPr>
              <w:t xml:space="preserve"> </w:t>
            </w:r>
            <w:r w:rsidRPr="00BC61ED">
              <w:rPr>
                <w:rFonts w:cs="Sylfaen"/>
                <w:sz w:val="20"/>
                <w:szCs w:val="20"/>
                <w:lang w:val="hy-AM"/>
              </w:rPr>
              <w:t>է</w:t>
            </w:r>
            <w:r w:rsidRPr="00BC61ED">
              <w:rPr>
                <w:rFonts w:cs="Arial"/>
                <w:sz w:val="20"/>
                <w:szCs w:val="20"/>
                <w:lang w:val="hy-AM"/>
              </w:rPr>
              <w:t xml:space="preserve"> </w:t>
            </w:r>
            <w:r w:rsidRPr="00BC61ED">
              <w:rPr>
                <w:rFonts w:cs="Sylfaen"/>
                <w:sz w:val="20"/>
                <w:szCs w:val="20"/>
                <w:lang w:val="hy-AM"/>
              </w:rPr>
              <w:t>իրականացնել</w:t>
            </w:r>
            <w:r w:rsidRPr="00BC61ED">
              <w:rPr>
                <w:rFonts w:cs="Arial"/>
                <w:sz w:val="20"/>
                <w:szCs w:val="20"/>
                <w:lang w:val="hy-AM"/>
              </w:rPr>
              <w:t xml:space="preserve"> I </w:t>
            </w:r>
            <w:r w:rsidRPr="00BC61ED">
              <w:rPr>
                <w:rFonts w:cs="Sylfaen"/>
                <w:sz w:val="20"/>
                <w:szCs w:val="20"/>
                <w:lang w:val="hy-AM"/>
              </w:rPr>
              <w:t>դասի</w:t>
            </w:r>
            <w:r w:rsidRPr="00BC61ED">
              <w:rPr>
                <w:rFonts w:cs="Arial"/>
                <w:sz w:val="20"/>
                <w:szCs w:val="20"/>
                <w:lang w:val="hy-AM"/>
              </w:rPr>
              <w:t xml:space="preserve"> </w:t>
            </w:r>
            <w:r w:rsidRPr="00BC61ED">
              <w:rPr>
                <w:rFonts w:cs="Sylfaen"/>
                <w:sz w:val="20"/>
                <w:szCs w:val="20"/>
                <w:lang w:val="hy-AM"/>
              </w:rPr>
              <w:t>նիվելիրացման</w:t>
            </w:r>
            <w:r w:rsidRPr="00BC61ED">
              <w:rPr>
                <w:rFonts w:cs="Arial"/>
                <w:sz w:val="20"/>
                <w:szCs w:val="20"/>
                <w:lang w:val="hy-AM"/>
              </w:rPr>
              <w:t xml:space="preserve"> </w:t>
            </w:r>
            <w:r w:rsidRPr="00BC61ED">
              <w:rPr>
                <w:rFonts w:cs="Sylfaen"/>
                <w:sz w:val="20"/>
                <w:szCs w:val="20"/>
                <w:lang w:val="hy-AM"/>
              </w:rPr>
              <w:t>աշխատանքներ ՀՀ Սյունիքի մարզի Կապան-Քաջարան-Մեղրի սեյսմաակտիվ երկրակեղևի գործող խզ</w:t>
            </w:r>
            <w:r w:rsidRPr="00BC61ED">
              <w:rPr>
                <w:rFonts w:cs="Sylfaen"/>
                <w:sz w:val="20"/>
                <w:szCs w:val="20"/>
              </w:rPr>
              <w:t>վ</w:t>
            </w:r>
            <w:r w:rsidRPr="00BC61ED">
              <w:rPr>
                <w:rFonts w:cs="Sylfaen"/>
                <w:sz w:val="20"/>
                <w:szCs w:val="20"/>
                <w:lang w:val="hy-AM"/>
              </w:rPr>
              <w:t>ա</w:t>
            </w:r>
            <w:r w:rsidRPr="00BC61ED">
              <w:rPr>
                <w:rFonts w:cs="Sylfaen"/>
                <w:sz w:val="20"/>
                <w:szCs w:val="20"/>
              </w:rPr>
              <w:t>ծ</w:t>
            </w:r>
            <w:r w:rsidRPr="00BC61ED">
              <w:rPr>
                <w:rFonts w:cs="Sylfaen"/>
                <w:sz w:val="20"/>
                <w:szCs w:val="20"/>
                <w:lang w:val="hy-AM"/>
              </w:rPr>
              <w:t>քային շրջանում</w:t>
            </w:r>
            <w:r w:rsidRPr="00BC61ED">
              <w:rPr>
                <w:rFonts w:cs="Arial"/>
                <w:sz w:val="20"/>
                <w:szCs w:val="20"/>
                <w:lang w:val="hy-AM"/>
              </w:rPr>
              <w:t xml:space="preserve">, </w:t>
            </w:r>
            <w:r w:rsidRPr="00BC61ED">
              <w:rPr>
                <w:rFonts w:cs="Sylfaen"/>
                <w:sz w:val="20"/>
                <w:szCs w:val="20"/>
                <w:lang w:val="hy-AM"/>
              </w:rPr>
              <w:t>թարմացնել</w:t>
            </w:r>
            <w:r w:rsidRPr="00BC61ED">
              <w:rPr>
                <w:rFonts w:cs="Arial"/>
                <w:sz w:val="20"/>
                <w:szCs w:val="20"/>
                <w:lang w:val="hy-AM"/>
              </w:rPr>
              <w:t xml:space="preserve"> </w:t>
            </w:r>
            <w:r w:rsidRPr="00BC61ED">
              <w:rPr>
                <w:rFonts w:cs="Sylfaen"/>
                <w:sz w:val="20"/>
                <w:szCs w:val="20"/>
                <w:lang w:val="hy-AM"/>
              </w:rPr>
              <w:t>նախկինում</w:t>
            </w:r>
            <w:r w:rsidRPr="00BC61ED">
              <w:rPr>
                <w:rFonts w:cs="Arial"/>
                <w:sz w:val="20"/>
                <w:szCs w:val="20"/>
                <w:lang w:val="hy-AM"/>
              </w:rPr>
              <w:t xml:space="preserve"> </w:t>
            </w:r>
            <w:r w:rsidRPr="00BC61ED">
              <w:rPr>
                <w:rFonts w:cs="Sylfaen"/>
                <w:sz w:val="20"/>
                <w:szCs w:val="20"/>
                <w:lang w:val="hy-AM"/>
              </w:rPr>
              <w:t>կատարված</w:t>
            </w:r>
            <w:r w:rsidRPr="00BC61ED">
              <w:rPr>
                <w:rFonts w:cs="Arial"/>
                <w:sz w:val="20"/>
                <w:szCs w:val="20"/>
                <w:lang w:val="hy-AM"/>
              </w:rPr>
              <w:t xml:space="preserve"> </w:t>
            </w:r>
            <w:r w:rsidRPr="00BC61ED">
              <w:rPr>
                <w:rFonts w:cs="Sylfaen"/>
                <w:sz w:val="20"/>
                <w:szCs w:val="20"/>
                <w:lang w:val="hy-AM"/>
              </w:rPr>
              <w:t>նիվելիրացման</w:t>
            </w:r>
            <w:r w:rsidRPr="00BC61ED">
              <w:rPr>
                <w:rFonts w:cs="Arial"/>
                <w:sz w:val="20"/>
                <w:szCs w:val="20"/>
                <w:lang w:val="hy-AM"/>
              </w:rPr>
              <w:t xml:space="preserve"> </w:t>
            </w:r>
            <w:r w:rsidRPr="00BC61ED">
              <w:rPr>
                <w:rFonts w:cs="Sylfaen"/>
                <w:sz w:val="20"/>
                <w:szCs w:val="20"/>
                <w:lang w:val="hy-AM"/>
              </w:rPr>
              <w:t>տվյալներն</w:t>
            </w:r>
            <w:r w:rsidRPr="00BC61ED">
              <w:rPr>
                <w:rFonts w:cs="Arial"/>
                <w:sz w:val="20"/>
                <w:szCs w:val="20"/>
                <w:lang w:val="hy-AM"/>
              </w:rPr>
              <w:t xml:space="preserve"> </w:t>
            </w:r>
            <w:r w:rsidRPr="00BC61ED">
              <w:rPr>
                <w:rFonts w:cs="Sylfaen"/>
                <w:sz w:val="20"/>
                <w:szCs w:val="20"/>
                <w:lang w:val="hy-AM"/>
              </w:rPr>
              <w:t>ու</w:t>
            </w:r>
            <w:r w:rsidRPr="00BC61ED">
              <w:rPr>
                <w:rFonts w:cs="Arial"/>
                <w:sz w:val="20"/>
                <w:szCs w:val="20"/>
                <w:lang w:val="hy-AM"/>
              </w:rPr>
              <w:t xml:space="preserve"> </w:t>
            </w:r>
            <w:r w:rsidRPr="00BC61ED">
              <w:rPr>
                <w:rFonts w:cs="Sylfaen"/>
                <w:sz w:val="20"/>
                <w:szCs w:val="20"/>
                <w:lang w:val="hy-AM"/>
              </w:rPr>
              <w:t>ցանցը և</w:t>
            </w:r>
            <w:r w:rsidRPr="00BC61ED">
              <w:rPr>
                <w:sz w:val="20"/>
                <w:szCs w:val="20"/>
                <w:lang w:val="hy-AM"/>
              </w:rPr>
              <w:t xml:space="preserve"> </w:t>
            </w:r>
            <w:r w:rsidRPr="00BC61ED">
              <w:rPr>
                <w:rFonts w:cs="Sylfaen"/>
                <w:sz w:val="20"/>
                <w:szCs w:val="20"/>
                <w:lang w:val="hy-AM"/>
              </w:rPr>
              <w:t>ստանալ</w:t>
            </w:r>
            <w:r w:rsidRPr="00BC61ED">
              <w:rPr>
                <w:rFonts w:cs="Arial"/>
                <w:sz w:val="20"/>
                <w:szCs w:val="20"/>
                <w:lang w:val="hy-AM"/>
              </w:rPr>
              <w:t xml:space="preserve"> </w:t>
            </w:r>
            <w:r w:rsidRPr="00BC61ED">
              <w:rPr>
                <w:rFonts w:cs="Sylfaen"/>
                <w:sz w:val="20"/>
                <w:szCs w:val="20"/>
                <w:lang w:val="hy-AM"/>
              </w:rPr>
              <w:t>հիմնակետերի</w:t>
            </w:r>
            <w:r w:rsidRPr="00BC61ED">
              <w:rPr>
                <w:rFonts w:cs="Arial"/>
                <w:sz w:val="20"/>
                <w:szCs w:val="20"/>
                <w:lang w:val="hy-AM"/>
              </w:rPr>
              <w:t xml:space="preserve"> </w:t>
            </w:r>
            <w:r w:rsidRPr="00BC61ED">
              <w:rPr>
                <w:rFonts w:cs="Sylfaen"/>
                <w:sz w:val="20"/>
                <w:szCs w:val="20"/>
                <w:lang w:val="hy-AM"/>
              </w:rPr>
              <w:t>բա</w:t>
            </w:r>
            <w:r w:rsidRPr="00BC61ED">
              <w:rPr>
                <w:rFonts w:cs="Sylfaen"/>
                <w:sz w:val="20"/>
                <w:szCs w:val="20"/>
              </w:rPr>
              <w:t>ց</w:t>
            </w:r>
            <w:r w:rsidRPr="00BC61ED">
              <w:rPr>
                <w:rFonts w:cs="Sylfaen"/>
                <w:sz w:val="20"/>
                <w:szCs w:val="20"/>
                <w:lang w:val="hy-AM"/>
              </w:rPr>
              <w:t>արձակ</w:t>
            </w:r>
            <w:r w:rsidRPr="00BC61ED">
              <w:rPr>
                <w:rFonts w:cs="Arial"/>
                <w:sz w:val="20"/>
                <w:szCs w:val="20"/>
                <w:lang w:val="hy-AM"/>
              </w:rPr>
              <w:t xml:space="preserve"> </w:t>
            </w:r>
            <w:r w:rsidRPr="00BC61ED">
              <w:rPr>
                <w:rFonts w:cs="Sylfaen"/>
                <w:sz w:val="20"/>
                <w:szCs w:val="20"/>
                <w:lang w:val="hy-AM"/>
              </w:rPr>
              <w:t>բարձրությունները:</w:t>
            </w:r>
            <w:r w:rsidRPr="00BC61ED">
              <w:rPr>
                <w:rFonts w:cs="Arial"/>
                <w:sz w:val="20"/>
                <w:szCs w:val="20"/>
                <w:lang w:val="hy-AM"/>
              </w:rPr>
              <w:t xml:space="preserve"> </w:t>
            </w:r>
          </w:p>
          <w:p w:rsidR="0068680D" w:rsidRPr="00BC61ED" w:rsidRDefault="0068680D" w:rsidP="00F47DC4">
            <w:pPr>
              <w:pStyle w:val="ListParagraph"/>
              <w:spacing w:line="276" w:lineRule="auto"/>
              <w:ind w:left="0" w:right="-1"/>
              <w:jc w:val="both"/>
              <w:rPr>
                <w:sz w:val="20"/>
                <w:szCs w:val="20"/>
                <w:lang w:val="af-ZA" w:eastAsia="en-GB"/>
              </w:rPr>
            </w:pPr>
            <w:r w:rsidRPr="00BC61ED">
              <w:rPr>
                <w:rFonts w:cs="Sylfaen"/>
                <w:sz w:val="20"/>
                <w:szCs w:val="20"/>
                <w:lang w:val="af-ZA"/>
              </w:rPr>
              <w:t xml:space="preserve">   </w:t>
            </w:r>
            <w:r w:rsidRPr="00BC61ED">
              <w:rPr>
                <w:sz w:val="20"/>
                <w:szCs w:val="20"/>
                <w:lang w:eastAsia="en-GB"/>
              </w:rPr>
              <w:t>Միջոցառման</w:t>
            </w:r>
            <w:r w:rsidRPr="00BC61ED">
              <w:rPr>
                <w:sz w:val="20"/>
                <w:szCs w:val="20"/>
                <w:lang w:val="af-ZA" w:eastAsia="en-GB"/>
              </w:rPr>
              <w:t xml:space="preserve"> </w:t>
            </w:r>
            <w:r w:rsidRPr="00BC61ED">
              <w:rPr>
                <w:sz w:val="20"/>
                <w:szCs w:val="20"/>
                <w:lang w:eastAsia="en-GB"/>
              </w:rPr>
              <w:t>իրականացումը</w:t>
            </w:r>
            <w:r w:rsidRPr="00BC61ED">
              <w:rPr>
                <w:sz w:val="20"/>
                <w:szCs w:val="20"/>
                <w:lang w:val="af-ZA" w:eastAsia="en-GB"/>
              </w:rPr>
              <w:t xml:space="preserve"> </w:t>
            </w:r>
            <w:r w:rsidRPr="00BC61ED">
              <w:rPr>
                <w:sz w:val="20"/>
                <w:szCs w:val="20"/>
                <w:lang w:eastAsia="en-GB"/>
              </w:rPr>
              <w:t>նորմատիվ</w:t>
            </w:r>
            <w:r w:rsidRPr="00BC61ED">
              <w:rPr>
                <w:sz w:val="20"/>
                <w:szCs w:val="20"/>
                <w:lang w:val="af-ZA" w:eastAsia="en-GB"/>
              </w:rPr>
              <w:t xml:space="preserve"> </w:t>
            </w:r>
            <w:r w:rsidRPr="00BC61ED">
              <w:rPr>
                <w:sz w:val="20"/>
                <w:szCs w:val="20"/>
                <w:lang w:eastAsia="en-GB"/>
              </w:rPr>
              <w:t>իրավական</w:t>
            </w:r>
            <w:r w:rsidRPr="00BC61ED">
              <w:rPr>
                <w:sz w:val="20"/>
                <w:szCs w:val="20"/>
                <w:lang w:val="af-ZA" w:eastAsia="en-GB"/>
              </w:rPr>
              <w:t xml:space="preserve"> </w:t>
            </w:r>
            <w:r w:rsidRPr="00BC61ED">
              <w:rPr>
                <w:sz w:val="20"/>
                <w:szCs w:val="20"/>
                <w:lang w:eastAsia="en-GB"/>
              </w:rPr>
              <w:t>ակտերի</w:t>
            </w:r>
            <w:r w:rsidRPr="00BC61ED">
              <w:rPr>
                <w:sz w:val="20"/>
                <w:szCs w:val="20"/>
                <w:lang w:val="af-ZA" w:eastAsia="en-GB"/>
              </w:rPr>
              <w:t xml:space="preserve"> </w:t>
            </w:r>
            <w:r w:rsidRPr="00BC61ED">
              <w:rPr>
                <w:sz w:val="20"/>
                <w:szCs w:val="20"/>
                <w:lang w:eastAsia="en-GB"/>
              </w:rPr>
              <w:t>ընդունման</w:t>
            </w:r>
            <w:r w:rsidRPr="00BC61ED">
              <w:rPr>
                <w:sz w:val="20"/>
                <w:szCs w:val="20"/>
                <w:lang w:val="af-ZA" w:eastAsia="en-GB"/>
              </w:rPr>
              <w:t xml:space="preserve"> </w:t>
            </w:r>
            <w:r w:rsidRPr="00BC61ED">
              <w:rPr>
                <w:sz w:val="20"/>
                <w:szCs w:val="20"/>
                <w:lang w:eastAsia="en-GB"/>
              </w:rPr>
              <w:t>անհրաժեշտություն</w:t>
            </w:r>
            <w:r w:rsidRPr="00BC61ED">
              <w:rPr>
                <w:sz w:val="20"/>
                <w:szCs w:val="20"/>
                <w:lang w:val="af-ZA" w:eastAsia="en-GB"/>
              </w:rPr>
              <w:t xml:space="preserve"> </w:t>
            </w:r>
            <w:r w:rsidRPr="00BC61ED">
              <w:rPr>
                <w:sz w:val="20"/>
                <w:szCs w:val="20"/>
                <w:lang w:eastAsia="en-GB"/>
              </w:rPr>
              <w:t>չի</w:t>
            </w:r>
            <w:r w:rsidRPr="00BC61ED">
              <w:rPr>
                <w:sz w:val="20"/>
                <w:szCs w:val="20"/>
                <w:lang w:val="af-ZA" w:eastAsia="en-GB"/>
              </w:rPr>
              <w:t xml:space="preserve"> </w:t>
            </w:r>
            <w:r w:rsidRPr="00BC61ED">
              <w:rPr>
                <w:sz w:val="20"/>
                <w:szCs w:val="20"/>
                <w:lang w:eastAsia="en-GB"/>
              </w:rPr>
              <w:t>առաջացնում</w:t>
            </w:r>
            <w:r w:rsidRPr="00BC61ED">
              <w:rPr>
                <w:sz w:val="20"/>
                <w:szCs w:val="20"/>
                <w:lang w:val="af-ZA" w:eastAsia="en-GB"/>
              </w:rPr>
              <w:t xml:space="preserve">: </w:t>
            </w:r>
          </w:p>
          <w:p w:rsidR="0068680D" w:rsidRPr="00BC61ED" w:rsidRDefault="0068680D" w:rsidP="00F47DC4">
            <w:pPr>
              <w:keepNext/>
              <w:spacing w:line="276" w:lineRule="auto"/>
              <w:jc w:val="both"/>
              <w:outlineLvl w:val="4"/>
              <w:rPr>
                <w:b/>
                <w:sz w:val="20"/>
                <w:szCs w:val="20"/>
                <w:lang w:val="af-ZA"/>
              </w:rPr>
            </w:pPr>
            <w:r w:rsidRPr="00BC61ED">
              <w:rPr>
                <w:rFonts w:cs="Sylfaen"/>
                <w:b/>
                <w:sz w:val="20"/>
                <w:szCs w:val="20"/>
                <w:lang w:val="af-ZA"/>
              </w:rPr>
              <w:t xml:space="preserve">   1.1. </w:t>
            </w:r>
            <w:r w:rsidRPr="00BC61ED">
              <w:rPr>
                <w:b/>
                <w:sz w:val="20"/>
                <w:szCs w:val="20"/>
              </w:rPr>
              <w:t>Կարգավորման</w:t>
            </w:r>
            <w:r w:rsidRPr="00BC61ED">
              <w:rPr>
                <w:b/>
                <w:sz w:val="20"/>
                <w:szCs w:val="20"/>
                <w:lang w:val="af-ZA"/>
              </w:rPr>
              <w:t xml:space="preserve"> </w:t>
            </w:r>
            <w:r w:rsidRPr="00BC61ED">
              <w:rPr>
                <w:b/>
                <w:sz w:val="20"/>
                <w:szCs w:val="20"/>
              </w:rPr>
              <w:t>հարաբերությունների</w:t>
            </w:r>
            <w:r w:rsidRPr="00BC61ED">
              <w:rPr>
                <w:b/>
                <w:sz w:val="20"/>
                <w:szCs w:val="20"/>
                <w:lang w:val="af-ZA"/>
              </w:rPr>
              <w:t xml:space="preserve"> </w:t>
            </w:r>
            <w:r w:rsidRPr="00BC61ED">
              <w:rPr>
                <w:b/>
                <w:sz w:val="20"/>
                <w:szCs w:val="20"/>
              </w:rPr>
              <w:t>ներկա</w:t>
            </w:r>
            <w:r w:rsidRPr="00BC61ED">
              <w:rPr>
                <w:b/>
                <w:sz w:val="20"/>
                <w:szCs w:val="20"/>
                <w:lang w:val="af-ZA"/>
              </w:rPr>
              <w:t xml:space="preserve"> </w:t>
            </w:r>
            <w:r w:rsidRPr="00BC61ED">
              <w:rPr>
                <w:b/>
                <w:sz w:val="20"/>
                <w:szCs w:val="20"/>
              </w:rPr>
              <w:t>վիճակը</w:t>
            </w:r>
            <w:r w:rsidRPr="00BC61ED">
              <w:rPr>
                <w:b/>
                <w:sz w:val="20"/>
                <w:szCs w:val="20"/>
                <w:lang w:val="af-ZA"/>
              </w:rPr>
              <w:t xml:space="preserve"> </w:t>
            </w:r>
            <w:r w:rsidRPr="00BC61ED">
              <w:rPr>
                <w:b/>
                <w:sz w:val="20"/>
                <w:szCs w:val="20"/>
              </w:rPr>
              <w:t>և</w:t>
            </w:r>
            <w:r w:rsidRPr="00BC61ED">
              <w:rPr>
                <w:b/>
                <w:sz w:val="20"/>
                <w:szCs w:val="20"/>
                <w:lang w:val="af-ZA"/>
              </w:rPr>
              <w:t xml:space="preserve"> </w:t>
            </w:r>
            <w:r w:rsidRPr="00BC61ED">
              <w:rPr>
                <w:b/>
                <w:sz w:val="20"/>
                <w:szCs w:val="20"/>
              </w:rPr>
              <w:t>առկա</w:t>
            </w:r>
            <w:r w:rsidRPr="00BC61ED">
              <w:rPr>
                <w:b/>
                <w:sz w:val="20"/>
                <w:szCs w:val="20"/>
                <w:lang w:val="af-ZA"/>
              </w:rPr>
              <w:t xml:space="preserve"> </w:t>
            </w:r>
            <w:r w:rsidRPr="00BC61ED">
              <w:rPr>
                <w:b/>
                <w:sz w:val="20"/>
                <w:szCs w:val="20"/>
              </w:rPr>
              <w:t>խնդիրները</w:t>
            </w:r>
          </w:p>
          <w:p w:rsidR="0068680D" w:rsidRPr="00BC61ED" w:rsidRDefault="0068680D" w:rsidP="00F47DC4">
            <w:pPr>
              <w:keepNext/>
              <w:spacing w:line="276" w:lineRule="auto"/>
              <w:jc w:val="both"/>
              <w:outlineLvl w:val="4"/>
              <w:rPr>
                <w:rFonts w:cs="Arial"/>
                <w:sz w:val="20"/>
                <w:szCs w:val="20"/>
                <w:lang w:val="hy-AM"/>
              </w:rPr>
            </w:pPr>
            <w:r w:rsidRPr="00BC61ED">
              <w:rPr>
                <w:rFonts w:cs="Sylfaen"/>
                <w:sz w:val="20"/>
                <w:szCs w:val="20"/>
                <w:lang w:val="hy-AM"/>
              </w:rPr>
              <w:t>Հայաստանի</w:t>
            </w:r>
            <w:r w:rsidRPr="00BC61ED">
              <w:rPr>
                <w:rFonts w:cs="Arial"/>
                <w:sz w:val="20"/>
                <w:szCs w:val="20"/>
                <w:lang w:val="hy-AM"/>
              </w:rPr>
              <w:t xml:space="preserve"> </w:t>
            </w:r>
            <w:r w:rsidRPr="00BC61ED">
              <w:rPr>
                <w:rFonts w:cs="Sylfaen"/>
                <w:sz w:val="20"/>
                <w:szCs w:val="20"/>
                <w:lang w:val="hy-AM"/>
              </w:rPr>
              <w:t>Հանրապետության</w:t>
            </w:r>
            <w:r w:rsidRPr="00BC61ED">
              <w:rPr>
                <w:rFonts w:cs="Arial"/>
                <w:sz w:val="20"/>
                <w:szCs w:val="20"/>
                <w:lang w:val="hy-AM"/>
              </w:rPr>
              <w:t xml:space="preserve"> </w:t>
            </w:r>
            <w:r w:rsidRPr="00BC61ED">
              <w:rPr>
                <w:rFonts w:cs="Sylfaen"/>
                <w:sz w:val="20"/>
                <w:szCs w:val="20"/>
                <w:lang w:val="hy-AM"/>
              </w:rPr>
              <w:t>սեյսմիկ</w:t>
            </w:r>
            <w:r w:rsidRPr="00BC61ED">
              <w:rPr>
                <w:rFonts w:cs="Arial"/>
                <w:sz w:val="20"/>
                <w:szCs w:val="20"/>
                <w:lang w:val="hy-AM"/>
              </w:rPr>
              <w:t xml:space="preserve"> </w:t>
            </w:r>
            <w:r w:rsidRPr="00BC61ED">
              <w:rPr>
                <w:rFonts w:cs="Sylfaen"/>
                <w:sz w:val="20"/>
                <w:szCs w:val="20"/>
                <w:lang w:val="hy-AM"/>
              </w:rPr>
              <w:t>ակտիվ</w:t>
            </w:r>
            <w:r w:rsidRPr="00BC61ED">
              <w:rPr>
                <w:rFonts w:cs="Arial"/>
                <w:sz w:val="20"/>
                <w:szCs w:val="20"/>
                <w:lang w:val="hy-AM"/>
              </w:rPr>
              <w:t xml:space="preserve"> նշված շրջանում </w:t>
            </w:r>
            <w:r w:rsidRPr="00BC61ED">
              <w:rPr>
                <w:rFonts w:cs="Sylfaen"/>
                <w:sz w:val="20"/>
                <w:szCs w:val="20"/>
                <w:lang w:val="hy-AM"/>
              </w:rPr>
              <w:t>ճշ</w:t>
            </w:r>
            <w:r w:rsidRPr="00BC61ED">
              <w:rPr>
                <w:rFonts w:cs="Arial"/>
                <w:sz w:val="20"/>
                <w:szCs w:val="20"/>
                <w:lang w:val="hy-AM"/>
              </w:rPr>
              <w:t>գ</w:t>
            </w:r>
            <w:r w:rsidRPr="00BC61ED">
              <w:rPr>
                <w:rFonts w:cs="Sylfaen"/>
                <w:sz w:val="20"/>
                <w:szCs w:val="20"/>
                <w:lang w:val="hy-AM"/>
              </w:rPr>
              <w:t>րիտ</w:t>
            </w:r>
            <w:r w:rsidRPr="00BC61ED">
              <w:rPr>
                <w:rFonts w:cs="Arial"/>
                <w:sz w:val="20"/>
                <w:szCs w:val="20"/>
                <w:lang w:val="hy-AM"/>
              </w:rPr>
              <w:t xml:space="preserve"> գ</w:t>
            </w:r>
            <w:r w:rsidRPr="00BC61ED">
              <w:rPr>
                <w:rFonts w:cs="Sylfaen"/>
                <w:sz w:val="20"/>
                <w:szCs w:val="20"/>
                <w:lang w:val="hy-AM"/>
              </w:rPr>
              <w:t>եոդեզիական</w:t>
            </w:r>
            <w:r w:rsidRPr="00BC61ED">
              <w:rPr>
                <w:rFonts w:cs="Arial"/>
                <w:sz w:val="20"/>
                <w:szCs w:val="20"/>
                <w:lang w:val="hy-AM"/>
              </w:rPr>
              <w:t xml:space="preserve">  </w:t>
            </w:r>
            <w:r w:rsidRPr="00BC61ED">
              <w:rPr>
                <w:rFonts w:cs="Sylfaen"/>
                <w:sz w:val="20"/>
                <w:szCs w:val="20"/>
                <w:lang w:val="hy-AM"/>
              </w:rPr>
              <w:t>չափա</w:t>
            </w:r>
            <w:r w:rsidRPr="00BC61ED">
              <w:rPr>
                <w:rFonts w:cs="Arial"/>
                <w:sz w:val="20"/>
                <w:szCs w:val="20"/>
                <w:lang w:val="hy-AM"/>
              </w:rPr>
              <w:t>գ</w:t>
            </w:r>
            <w:r w:rsidRPr="00BC61ED">
              <w:rPr>
                <w:rFonts w:cs="Sylfaen"/>
                <w:sz w:val="20"/>
                <w:szCs w:val="20"/>
                <w:lang w:val="hy-AM"/>
              </w:rPr>
              <w:t>րումների</w:t>
            </w:r>
            <w:r w:rsidRPr="00BC61ED">
              <w:rPr>
                <w:rFonts w:cs="Arial"/>
                <w:sz w:val="20"/>
                <w:szCs w:val="20"/>
                <w:lang w:val="hy-AM"/>
              </w:rPr>
              <w:t xml:space="preserve"> </w:t>
            </w:r>
            <w:r w:rsidRPr="00BC61ED">
              <w:rPr>
                <w:rFonts w:cs="Sylfaen"/>
                <w:sz w:val="20"/>
                <w:szCs w:val="20"/>
                <w:lang w:val="hy-AM"/>
              </w:rPr>
              <w:t>հիման</w:t>
            </w:r>
            <w:r w:rsidRPr="00BC61ED">
              <w:rPr>
                <w:rFonts w:cs="Arial"/>
                <w:sz w:val="20"/>
                <w:szCs w:val="20"/>
                <w:lang w:val="hy-AM"/>
              </w:rPr>
              <w:t xml:space="preserve"> </w:t>
            </w:r>
            <w:r w:rsidRPr="00BC61ED">
              <w:rPr>
                <w:rFonts w:cs="Sylfaen"/>
                <w:sz w:val="20"/>
                <w:szCs w:val="20"/>
                <w:lang w:val="hy-AM"/>
              </w:rPr>
              <w:t>վրա</w:t>
            </w:r>
            <w:r w:rsidRPr="00BC61ED">
              <w:rPr>
                <w:rFonts w:cs="Arial"/>
                <w:sz w:val="20"/>
                <w:szCs w:val="20"/>
                <w:lang w:val="hy-AM"/>
              </w:rPr>
              <w:t xml:space="preserve"> </w:t>
            </w:r>
            <w:r w:rsidRPr="00BC61ED">
              <w:rPr>
                <w:rFonts w:cs="Sylfaen"/>
                <w:sz w:val="20"/>
                <w:szCs w:val="20"/>
                <w:lang w:val="hy-AM"/>
              </w:rPr>
              <w:t>կարելի</w:t>
            </w:r>
            <w:r w:rsidRPr="00BC61ED">
              <w:rPr>
                <w:rFonts w:cs="Arial"/>
                <w:sz w:val="20"/>
                <w:szCs w:val="20"/>
                <w:lang w:val="hy-AM"/>
              </w:rPr>
              <w:t xml:space="preserve"> </w:t>
            </w:r>
            <w:r w:rsidRPr="00BC61ED">
              <w:rPr>
                <w:rFonts w:cs="Sylfaen"/>
                <w:sz w:val="20"/>
                <w:szCs w:val="20"/>
                <w:lang w:val="hy-AM"/>
              </w:rPr>
              <w:t>է</w:t>
            </w:r>
            <w:r w:rsidRPr="00BC61ED">
              <w:rPr>
                <w:rFonts w:cs="Arial"/>
                <w:sz w:val="20"/>
                <w:szCs w:val="20"/>
                <w:lang w:val="hy-AM"/>
              </w:rPr>
              <w:t xml:space="preserve"> </w:t>
            </w:r>
            <w:r w:rsidRPr="00BC61ED">
              <w:rPr>
                <w:rFonts w:cs="Sylfaen"/>
                <w:sz w:val="20"/>
                <w:szCs w:val="20"/>
                <w:lang w:val="hy-AM"/>
              </w:rPr>
              <w:t>կանխորոշել</w:t>
            </w:r>
            <w:r w:rsidRPr="00BC61ED">
              <w:rPr>
                <w:rFonts w:cs="Arial"/>
                <w:sz w:val="20"/>
                <w:szCs w:val="20"/>
                <w:lang w:val="hy-AM"/>
              </w:rPr>
              <w:t xml:space="preserve">, </w:t>
            </w:r>
            <w:r w:rsidRPr="00BC61ED">
              <w:rPr>
                <w:rFonts w:cs="Sylfaen"/>
                <w:sz w:val="20"/>
                <w:szCs w:val="20"/>
                <w:lang w:val="hy-AM"/>
              </w:rPr>
              <w:t>թե</w:t>
            </w:r>
            <w:r w:rsidRPr="00BC61ED">
              <w:rPr>
                <w:rFonts w:cs="Arial"/>
                <w:sz w:val="20"/>
                <w:szCs w:val="20"/>
                <w:lang w:val="hy-AM"/>
              </w:rPr>
              <w:t xml:space="preserve"> </w:t>
            </w:r>
            <w:r w:rsidRPr="00BC61ED">
              <w:rPr>
                <w:rFonts w:cs="Sylfaen"/>
                <w:sz w:val="20"/>
                <w:szCs w:val="20"/>
                <w:lang w:val="hy-AM"/>
              </w:rPr>
              <w:t>որտեղ</w:t>
            </w:r>
            <w:r w:rsidRPr="00BC61ED">
              <w:rPr>
                <w:rFonts w:cs="Arial"/>
                <w:sz w:val="20"/>
                <w:szCs w:val="20"/>
                <w:lang w:val="hy-AM"/>
              </w:rPr>
              <w:t xml:space="preserve"> </w:t>
            </w:r>
            <w:r w:rsidRPr="00BC61ED">
              <w:rPr>
                <w:rFonts w:cs="Sylfaen"/>
                <w:sz w:val="20"/>
                <w:szCs w:val="20"/>
                <w:lang w:val="hy-AM"/>
              </w:rPr>
              <w:t>է</w:t>
            </w:r>
            <w:r w:rsidRPr="00BC61ED">
              <w:rPr>
                <w:rFonts w:cs="Arial"/>
                <w:sz w:val="20"/>
                <w:szCs w:val="20"/>
                <w:lang w:val="hy-AM"/>
              </w:rPr>
              <w:t xml:space="preserve"> գ</w:t>
            </w:r>
            <w:r w:rsidRPr="00BC61ED">
              <w:rPr>
                <w:rFonts w:cs="Sylfaen"/>
                <w:sz w:val="20"/>
                <w:szCs w:val="20"/>
                <w:lang w:val="hy-AM"/>
              </w:rPr>
              <w:t>տնվելու</w:t>
            </w:r>
            <w:r w:rsidRPr="00BC61ED">
              <w:rPr>
                <w:rFonts w:cs="Arial"/>
                <w:sz w:val="20"/>
                <w:szCs w:val="20"/>
                <w:lang w:val="hy-AM"/>
              </w:rPr>
              <w:t xml:space="preserve">  </w:t>
            </w:r>
            <w:r w:rsidRPr="00BC61ED">
              <w:rPr>
                <w:rFonts w:cs="Sylfaen"/>
                <w:sz w:val="20"/>
                <w:szCs w:val="20"/>
                <w:lang w:val="hy-AM"/>
              </w:rPr>
              <w:t>ապա</w:t>
            </w:r>
            <w:r w:rsidRPr="00BC61ED">
              <w:rPr>
                <w:rFonts w:cs="Arial"/>
                <w:sz w:val="20"/>
                <w:szCs w:val="20"/>
                <w:lang w:val="hy-AM"/>
              </w:rPr>
              <w:t>գ</w:t>
            </w:r>
            <w:r w:rsidRPr="00BC61ED">
              <w:rPr>
                <w:rFonts w:cs="Sylfaen"/>
                <w:sz w:val="20"/>
                <w:szCs w:val="20"/>
                <w:lang w:val="hy-AM"/>
              </w:rPr>
              <w:t>ա</w:t>
            </w:r>
            <w:r w:rsidRPr="00BC61ED">
              <w:rPr>
                <w:rFonts w:cs="Arial"/>
                <w:sz w:val="20"/>
                <w:szCs w:val="20"/>
                <w:lang w:val="hy-AM"/>
              </w:rPr>
              <w:t xml:space="preserve"> </w:t>
            </w:r>
            <w:r w:rsidRPr="00BC61ED">
              <w:rPr>
                <w:rFonts w:cs="Sylfaen"/>
                <w:sz w:val="20"/>
                <w:szCs w:val="20"/>
                <w:lang w:val="hy-AM"/>
              </w:rPr>
              <w:t>երկրաշարժի</w:t>
            </w:r>
            <w:r w:rsidRPr="00BC61ED">
              <w:rPr>
                <w:rFonts w:cs="Arial"/>
                <w:sz w:val="20"/>
                <w:szCs w:val="20"/>
                <w:lang w:val="hy-AM"/>
              </w:rPr>
              <w:t xml:space="preserve"> </w:t>
            </w:r>
            <w:r w:rsidRPr="00BC61ED">
              <w:rPr>
                <w:rFonts w:cs="Sylfaen"/>
                <w:sz w:val="20"/>
                <w:szCs w:val="20"/>
                <w:lang w:val="hy-AM"/>
              </w:rPr>
              <w:t>էպիկենտրոնը</w:t>
            </w:r>
            <w:r w:rsidRPr="00BC61ED">
              <w:rPr>
                <w:rFonts w:cs="Arial"/>
                <w:sz w:val="20"/>
                <w:szCs w:val="20"/>
                <w:lang w:val="hy-AM"/>
              </w:rPr>
              <w:t xml:space="preserve">, </w:t>
            </w:r>
            <w:r w:rsidRPr="00BC61ED">
              <w:rPr>
                <w:rFonts w:cs="Sylfaen"/>
                <w:sz w:val="20"/>
                <w:szCs w:val="20"/>
                <w:lang w:val="hy-AM"/>
              </w:rPr>
              <w:t>ինչը</w:t>
            </w:r>
            <w:r w:rsidRPr="00BC61ED">
              <w:rPr>
                <w:rFonts w:cs="Arial"/>
                <w:sz w:val="20"/>
                <w:szCs w:val="20"/>
                <w:lang w:val="hy-AM"/>
              </w:rPr>
              <w:t xml:space="preserve"> </w:t>
            </w:r>
            <w:r w:rsidRPr="00BC61ED">
              <w:rPr>
                <w:rFonts w:cs="Sylfaen"/>
                <w:sz w:val="20"/>
                <w:szCs w:val="20"/>
                <w:lang w:val="hy-AM"/>
              </w:rPr>
              <w:t>թույլ</w:t>
            </w:r>
            <w:r w:rsidRPr="00BC61ED">
              <w:rPr>
                <w:rFonts w:cs="Arial"/>
                <w:sz w:val="20"/>
                <w:szCs w:val="20"/>
                <w:lang w:val="hy-AM"/>
              </w:rPr>
              <w:t xml:space="preserve"> </w:t>
            </w:r>
            <w:r w:rsidRPr="00BC61ED">
              <w:rPr>
                <w:rFonts w:cs="Sylfaen"/>
                <w:sz w:val="20"/>
                <w:szCs w:val="20"/>
                <w:lang w:val="hy-AM"/>
              </w:rPr>
              <w:t>կտա</w:t>
            </w:r>
            <w:r w:rsidRPr="00BC61ED">
              <w:rPr>
                <w:rFonts w:cs="Arial"/>
                <w:sz w:val="20"/>
                <w:szCs w:val="20"/>
                <w:lang w:val="hy-AM"/>
              </w:rPr>
              <w:t xml:space="preserve"> </w:t>
            </w:r>
            <w:r w:rsidRPr="00BC61ED">
              <w:rPr>
                <w:rFonts w:cs="Sylfaen"/>
                <w:sz w:val="20"/>
                <w:szCs w:val="20"/>
                <w:lang w:val="hy-AM"/>
              </w:rPr>
              <w:t>ճիշտ</w:t>
            </w:r>
            <w:r w:rsidRPr="00BC61ED">
              <w:rPr>
                <w:rFonts w:cs="Arial"/>
                <w:sz w:val="20"/>
                <w:szCs w:val="20"/>
                <w:lang w:val="hy-AM"/>
              </w:rPr>
              <w:t xml:space="preserve"> </w:t>
            </w:r>
            <w:r w:rsidRPr="00BC61ED">
              <w:rPr>
                <w:rFonts w:cs="Sylfaen"/>
                <w:sz w:val="20"/>
                <w:szCs w:val="20"/>
                <w:lang w:val="hy-AM"/>
              </w:rPr>
              <w:t>տեղադրել</w:t>
            </w:r>
            <w:r w:rsidRPr="00BC61ED">
              <w:rPr>
                <w:rFonts w:cs="Arial"/>
                <w:sz w:val="20"/>
                <w:szCs w:val="20"/>
                <w:lang w:val="hy-AM"/>
              </w:rPr>
              <w:t xml:space="preserve"> </w:t>
            </w:r>
            <w:r w:rsidRPr="00BC61ED">
              <w:rPr>
                <w:rFonts w:cs="Sylfaen"/>
                <w:sz w:val="20"/>
                <w:szCs w:val="20"/>
                <w:lang w:val="hy-AM"/>
              </w:rPr>
              <w:t>երկրաշարժա</w:t>
            </w:r>
            <w:r w:rsidRPr="00BC61ED">
              <w:rPr>
                <w:rFonts w:cs="Arial"/>
                <w:sz w:val="20"/>
                <w:szCs w:val="20"/>
                <w:lang w:val="hy-AM"/>
              </w:rPr>
              <w:t>գ</w:t>
            </w:r>
            <w:r w:rsidRPr="00BC61ED">
              <w:rPr>
                <w:rFonts w:cs="Sylfaen"/>
                <w:sz w:val="20"/>
                <w:szCs w:val="20"/>
                <w:lang w:val="hy-AM"/>
              </w:rPr>
              <w:t>իտական</w:t>
            </w:r>
            <w:r w:rsidRPr="00BC61ED">
              <w:rPr>
                <w:rFonts w:cs="Arial"/>
                <w:sz w:val="20"/>
                <w:szCs w:val="20"/>
                <w:lang w:val="hy-AM"/>
              </w:rPr>
              <w:t xml:space="preserve"> </w:t>
            </w:r>
            <w:r w:rsidRPr="00BC61ED">
              <w:rPr>
                <w:rFonts w:cs="Sylfaen"/>
                <w:sz w:val="20"/>
                <w:szCs w:val="20"/>
                <w:lang w:val="hy-AM"/>
              </w:rPr>
              <w:t>սարքերն</w:t>
            </w:r>
            <w:r w:rsidRPr="00BC61ED">
              <w:rPr>
                <w:rFonts w:cs="Arial"/>
                <w:sz w:val="20"/>
                <w:szCs w:val="20"/>
                <w:lang w:val="hy-AM"/>
              </w:rPr>
              <w:t xml:space="preserve"> </w:t>
            </w:r>
            <w:r w:rsidRPr="00BC61ED">
              <w:rPr>
                <w:rFonts w:cs="Sylfaen"/>
                <w:sz w:val="20"/>
                <w:szCs w:val="20"/>
                <w:lang w:val="hy-AM"/>
              </w:rPr>
              <w:t>ու</w:t>
            </w:r>
            <w:r w:rsidRPr="00BC61ED">
              <w:rPr>
                <w:rFonts w:cs="Arial"/>
                <w:sz w:val="20"/>
                <w:szCs w:val="20"/>
                <w:lang w:val="hy-AM"/>
              </w:rPr>
              <w:t xml:space="preserve">  </w:t>
            </w:r>
            <w:r w:rsidRPr="00BC61ED">
              <w:rPr>
                <w:rFonts w:cs="Sylfaen"/>
                <w:sz w:val="20"/>
                <w:szCs w:val="20"/>
                <w:lang w:val="hy-AM"/>
              </w:rPr>
              <w:t>համակար</w:t>
            </w:r>
            <w:r w:rsidRPr="00BC61ED">
              <w:rPr>
                <w:rFonts w:cs="Arial"/>
                <w:sz w:val="20"/>
                <w:szCs w:val="20"/>
                <w:lang w:val="hy-AM"/>
              </w:rPr>
              <w:t>գ</w:t>
            </w:r>
            <w:r w:rsidRPr="00BC61ED">
              <w:rPr>
                <w:rFonts w:cs="Sylfaen"/>
                <w:sz w:val="20"/>
                <w:szCs w:val="20"/>
                <w:lang w:val="hy-AM"/>
              </w:rPr>
              <w:t>երը</w:t>
            </w:r>
            <w:r w:rsidRPr="00BC61ED">
              <w:rPr>
                <w:rFonts w:cs="Arial"/>
                <w:sz w:val="20"/>
                <w:szCs w:val="20"/>
                <w:lang w:val="hy-AM"/>
              </w:rPr>
              <w:t xml:space="preserve">: </w:t>
            </w:r>
            <w:r w:rsidRPr="00BC61ED">
              <w:rPr>
                <w:rFonts w:cs="Sylfaen"/>
                <w:sz w:val="20"/>
                <w:szCs w:val="20"/>
                <w:lang w:val="hy-AM"/>
              </w:rPr>
              <w:t>Երկրակեղևի</w:t>
            </w:r>
            <w:r w:rsidRPr="00BC61ED">
              <w:rPr>
                <w:rFonts w:cs="Arial"/>
                <w:sz w:val="20"/>
                <w:szCs w:val="20"/>
                <w:lang w:val="hy-AM"/>
              </w:rPr>
              <w:t xml:space="preserve"> </w:t>
            </w:r>
            <w:r w:rsidRPr="00BC61ED">
              <w:rPr>
                <w:rFonts w:cs="Sylfaen"/>
                <w:sz w:val="20"/>
                <w:szCs w:val="20"/>
                <w:lang w:val="hy-AM"/>
              </w:rPr>
              <w:t>այն</w:t>
            </w:r>
            <w:r w:rsidRPr="00BC61ED">
              <w:rPr>
                <w:rFonts w:cs="Arial"/>
                <w:sz w:val="20"/>
                <w:szCs w:val="20"/>
                <w:lang w:val="hy-AM"/>
              </w:rPr>
              <w:t xml:space="preserve"> </w:t>
            </w:r>
            <w:r w:rsidRPr="00BC61ED">
              <w:rPr>
                <w:rFonts w:cs="Sylfaen"/>
                <w:sz w:val="20"/>
                <w:szCs w:val="20"/>
                <w:lang w:val="hy-AM"/>
              </w:rPr>
              <w:t>մասերում</w:t>
            </w:r>
            <w:r w:rsidRPr="00BC61ED">
              <w:rPr>
                <w:rFonts w:cs="Arial"/>
                <w:sz w:val="20"/>
                <w:szCs w:val="20"/>
                <w:lang w:val="hy-AM"/>
              </w:rPr>
              <w:t xml:space="preserve">, </w:t>
            </w:r>
            <w:r w:rsidRPr="00BC61ED">
              <w:rPr>
                <w:rFonts w:cs="Sylfaen"/>
                <w:sz w:val="20"/>
                <w:szCs w:val="20"/>
                <w:lang w:val="hy-AM"/>
              </w:rPr>
              <w:t>որտեղ</w:t>
            </w:r>
            <w:r w:rsidRPr="00BC61ED">
              <w:rPr>
                <w:rFonts w:cs="Arial"/>
                <w:sz w:val="20"/>
                <w:szCs w:val="20"/>
                <w:lang w:val="hy-AM"/>
              </w:rPr>
              <w:t xml:space="preserve"> </w:t>
            </w:r>
            <w:r w:rsidRPr="00BC61ED">
              <w:rPr>
                <w:rFonts w:cs="Sylfaen"/>
                <w:sz w:val="20"/>
                <w:szCs w:val="20"/>
                <w:lang w:val="hy-AM"/>
              </w:rPr>
              <w:t>կան</w:t>
            </w:r>
            <w:r w:rsidRPr="00BC61ED">
              <w:rPr>
                <w:rFonts w:cs="Arial"/>
                <w:sz w:val="20"/>
                <w:szCs w:val="20"/>
                <w:lang w:val="hy-AM"/>
              </w:rPr>
              <w:t xml:space="preserve"> </w:t>
            </w:r>
            <w:r w:rsidRPr="00BC61ED">
              <w:rPr>
                <w:rFonts w:cs="Sylfaen"/>
                <w:sz w:val="20"/>
                <w:szCs w:val="20"/>
                <w:lang w:val="hy-AM"/>
              </w:rPr>
              <w:t>կրկնվող</w:t>
            </w:r>
            <w:r w:rsidRPr="00BC61ED">
              <w:rPr>
                <w:rFonts w:cs="Arial"/>
                <w:sz w:val="20"/>
                <w:szCs w:val="20"/>
                <w:lang w:val="hy-AM"/>
              </w:rPr>
              <w:t xml:space="preserve"> </w:t>
            </w:r>
            <w:r w:rsidRPr="00BC61ED">
              <w:rPr>
                <w:rFonts w:cs="Sylfaen"/>
                <w:sz w:val="20"/>
                <w:szCs w:val="20"/>
                <w:lang w:val="hy-AM"/>
              </w:rPr>
              <w:t>նիվելիրային</w:t>
            </w:r>
            <w:r w:rsidRPr="00BC61ED">
              <w:rPr>
                <w:rFonts w:cs="Arial"/>
                <w:sz w:val="20"/>
                <w:szCs w:val="20"/>
                <w:lang w:val="hy-AM"/>
              </w:rPr>
              <w:t xml:space="preserve"> </w:t>
            </w:r>
            <w:r w:rsidRPr="00BC61ED">
              <w:rPr>
                <w:rFonts w:cs="Sylfaen"/>
                <w:sz w:val="20"/>
                <w:szCs w:val="20"/>
                <w:lang w:val="hy-AM"/>
              </w:rPr>
              <w:t>ընթացքներ</w:t>
            </w:r>
            <w:r w:rsidRPr="00BC61ED">
              <w:rPr>
                <w:rFonts w:cs="Arial"/>
                <w:sz w:val="20"/>
                <w:szCs w:val="20"/>
                <w:lang w:val="hy-AM"/>
              </w:rPr>
              <w:t xml:space="preserve">, </w:t>
            </w:r>
            <w:r w:rsidRPr="00BC61ED">
              <w:rPr>
                <w:rFonts w:cs="Sylfaen"/>
                <w:sz w:val="20"/>
                <w:szCs w:val="20"/>
                <w:lang w:val="hy-AM"/>
              </w:rPr>
              <w:t>ժամանակակից</w:t>
            </w:r>
            <w:r w:rsidRPr="00BC61ED">
              <w:rPr>
                <w:rFonts w:cs="Arial"/>
                <w:sz w:val="20"/>
                <w:szCs w:val="20"/>
                <w:lang w:val="hy-AM"/>
              </w:rPr>
              <w:t xml:space="preserve"> </w:t>
            </w:r>
            <w:r w:rsidRPr="00BC61ED">
              <w:rPr>
                <w:rFonts w:cs="Sylfaen"/>
                <w:sz w:val="20"/>
                <w:szCs w:val="20"/>
                <w:lang w:val="hy-AM"/>
              </w:rPr>
              <w:t>ուղղաձի</w:t>
            </w:r>
            <w:r w:rsidRPr="00BC61ED">
              <w:rPr>
                <w:rFonts w:cs="Arial"/>
                <w:sz w:val="20"/>
                <w:szCs w:val="20"/>
                <w:lang w:val="hy-AM"/>
              </w:rPr>
              <w:t xml:space="preserve">գ </w:t>
            </w:r>
            <w:r w:rsidRPr="00BC61ED">
              <w:rPr>
                <w:rFonts w:cs="Sylfaen"/>
                <w:sz w:val="20"/>
                <w:szCs w:val="20"/>
                <w:lang w:val="hy-AM"/>
              </w:rPr>
              <w:t>տեղաշարժերի</w:t>
            </w:r>
            <w:r w:rsidRPr="00BC61ED">
              <w:rPr>
                <w:rFonts w:cs="Arial"/>
                <w:sz w:val="20"/>
                <w:szCs w:val="20"/>
                <w:lang w:val="hy-AM"/>
              </w:rPr>
              <w:t xml:space="preserve"> </w:t>
            </w:r>
            <w:r w:rsidRPr="00BC61ED">
              <w:rPr>
                <w:rFonts w:cs="Sylfaen"/>
                <w:sz w:val="20"/>
                <w:szCs w:val="20"/>
                <w:lang w:val="hy-AM"/>
              </w:rPr>
              <w:t>տվյալներով</w:t>
            </w:r>
            <w:r w:rsidRPr="00BC61ED">
              <w:rPr>
                <w:rFonts w:cs="Arial"/>
                <w:sz w:val="20"/>
                <w:szCs w:val="20"/>
                <w:lang w:val="hy-AM"/>
              </w:rPr>
              <w:t xml:space="preserve"> </w:t>
            </w:r>
            <w:r w:rsidRPr="00BC61ED">
              <w:rPr>
                <w:rFonts w:cs="Sylfaen"/>
                <w:sz w:val="20"/>
                <w:szCs w:val="20"/>
                <w:lang w:val="hy-AM"/>
              </w:rPr>
              <w:t>հնարավոր</w:t>
            </w:r>
            <w:r w:rsidRPr="00BC61ED">
              <w:rPr>
                <w:rFonts w:cs="Arial"/>
                <w:sz w:val="20"/>
                <w:szCs w:val="20"/>
                <w:lang w:val="hy-AM"/>
              </w:rPr>
              <w:t xml:space="preserve"> </w:t>
            </w:r>
            <w:r w:rsidRPr="00BC61ED">
              <w:rPr>
                <w:rFonts w:cs="Sylfaen"/>
                <w:sz w:val="20"/>
                <w:szCs w:val="20"/>
                <w:lang w:val="hy-AM"/>
              </w:rPr>
              <w:t>է</w:t>
            </w:r>
            <w:r w:rsidRPr="00BC61ED">
              <w:rPr>
                <w:rFonts w:cs="Arial"/>
                <w:sz w:val="20"/>
                <w:szCs w:val="20"/>
                <w:lang w:val="hy-AM"/>
              </w:rPr>
              <w:t xml:space="preserve"> </w:t>
            </w:r>
            <w:r w:rsidRPr="00BC61ED">
              <w:rPr>
                <w:rFonts w:cs="Sylfaen"/>
                <w:sz w:val="20"/>
                <w:szCs w:val="20"/>
                <w:lang w:val="hy-AM"/>
              </w:rPr>
              <w:t>հայտնաբերել</w:t>
            </w:r>
            <w:r w:rsidRPr="00BC61ED">
              <w:rPr>
                <w:rFonts w:cs="Arial"/>
                <w:sz w:val="20"/>
                <w:szCs w:val="20"/>
                <w:lang w:val="hy-AM"/>
              </w:rPr>
              <w:t xml:space="preserve"> </w:t>
            </w:r>
            <w:r w:rsidRPr="00BC61ED">
              <w:rPr>
                <w:rFonts w:cs="Sylfaen"/>
                <w:sz w:val="20"/>
                <w:szCs w:val="20"/>
                <w:lang w:val="hy-AM"/>
              </w:rPr>
              <w:t>դեֆորմացիաների</w:t>
            </w:r>
            <w:r w:rsidRPr="00BC61ED">
              <w:rPr>
                <w:rFonts w:cs="Arial"/>
                <w:sz w:val="20"/>
                <w:szCs w:val="20"/>
                <w:lang w:val="hy-AM"/>
              </w:rPr>
              <w:t xml:space="preserve"> </w:t>
            </w:r>
            <w:r w:rsidRPr="00BC61ED">
              <w:rPr>
                <w:rFonts w:cs="Sylfaen"/>
                <w:sz w:val="20"/>
                <w:szCs w:val="20"/>
                <w:lang w:val="hy-AM"/>
              </w:rPr>
              <w:t>տարածաշրջանները</w:t>
            </w:r>
            <w:r w:rsidRPr="00BC61ED">
              <w:rPr>
                <w:rFonts w:cs="Arial"/>
                <w:sz w:val="20"/>
                <w:szCs w:val="20"/>
                <w:lang w:val="hy-AM"/>
              </w:rPr>
              <w:t xml:space="preserve">: </w:t>
            </w:r>
          </w:p>
          <w:p w:rsidR="0068680D" w:rsidRPr="00BC61ED" w:rsidRDefault="0068680D" w:rsidP="00F47DC4">
            <w:pPr>
              <w:keepNext/>
              <w:spacing w:line="276" w:lineRule="auto"/>
              <w:jc w:val="both"/>
              <w:outlineLvl w:val="4"/>
              <w:rPr>
                <w:rFonts w:cs="Sylfaen"/>
                <w:sz w:val="20"/>
                <w:szCs w:val="20"/>
                <w:lang w:val="hy-AM"/>
              </w:rPr>
            </w:pPr>
            <w:r w:rsidRPr="00BC61ED">
              <w:rPr>
                <w:rFonts w:cs="Sylfaen"/>
                <w:sz w:val="20"/>
                <w:szCs w:val="20"/>
                <w:lang w:val="hy-AM"/>
              </w:rPr>
              <w:t>Նախատեսվում</w:t>
            </w:r>
            <w:r w:rsidRPr="00BC61ED">
              <w:rPr>
                <w:rFonts w:cs="Arial"/>
                <w:sz w:val="20"/>
                <w:szCs w:val="20"/>
                <w:lang w:val="hy-AM"/>
              </w:rPr>
              <w:t xml:space="preserve"> </w:t>
            </w:r>
            <w:r w:rsidRPr="00BC61ED">
              <w:rPr>
                <w:rFonts w:cs="Sylfaen"/>
                <w:sz w:val="20"/>
                <w:szCs w:val="20"/>
                <w:lang w:val="hy-AM"/>
              </w:rPr>
              <w:t>է</w:t>
            </w:r>
            <w:r w:rsidRPr="00BC61ED">
              <w:rPr>
                <w:rFonts w:cs="Arial"/>
                <w:sz w:val="20"/>
                <w:szCs w:val="20"/>
                <w:lang w:val="hy-AM"/>
              </w:rPr>
              <w:t xml:space="preserve"> </w:t>
            </w:r>
            <w:r w:rsidRPr="00BC61ED">
              <w:rPr>
                <w:rFonts w:cs="Sylfaen"/>
                <w:sz w:val="20"/>
                <w:szCs w:val="20"/>
                <w:lang w:val="hy-AM"/>
              </w:rPr>
              <w:t>իրականացնել</w:t>
            </w:r>
            <w:r w:rsidRPr="00BC61ED">
              <w:rPr>
                <w:rFonts w:cs="Arial"/>
                <w:sz w:val="20"/>
                <w:szCs w:val="20"/>
                <w:lang w:val="hy-AM"/>
              </w:rPr>
              <w:t xml:space="preserve"> I </w:t>
            </w:r>
            <w:r w:rsidRPr="00BC61ED">
              <w:rPr>
                <w:rFonts w:cs="Sylfaen"/>
                <w:sz w:val="20"/>
                <w:szCs w:val="20"/>
                <w:lang w:val="hy-AM"/>
              </w:rPr>
              <w:t>դասի</w:t>
            </w:r>
            <w:r w:rsidRPr="00BC61ED">
              <w:rPr>
                <w:rFonts w:cs="Arial"/>
                <w:sz w:val="20"/>
                <w:szCs w:val="20"/>
                <w:lang w:val="hy-AM"/>
              </w:rPr>
              <w:t xml:space="preserve"> </w:t>
            </w:r>
            <w:r w:rsidRPr="00BC61ED">
              <w:rPr>
                <w:rFonts w:cs="Sylfaen"/>
                <w:sz w:val="20"/>
                <w:szCs w:val="20"/>
                <w:lang w:val="hy-AM"/>
              </w:rPr>
              <w:t>նիվելիրացում՝ շուրջ 500 կմ ընթացքով:</w:t>
            </w:r>
          </w:p>
          <w:p w:rsidR="0068680D" w:rsidRPr="00BC61ED" w:rsidRDefault="0068680D" w:rsidP="00F47DC4">
            <w:pPr>
              <w:keepNext/>
              <w:spacing w:line="276" w:lineRule="auto"/>
              <w:jc w:val="both"/>
              <w:outlineLvl w:val="4"/>
              <w:rPr>
                <w:b/>
                <w:sz w:val="20"/>
                <w:szCs w:val="20"/>
                <w:lang w:val="hy-AM"/>
              </w:rPr>
            </w:pPr>
            <w:r w:rsidRPr="00BC61ED">
              <w:rPr>
                <w:b/>
                <w:sz w:val="20"/>
                <w:szCs w:val="20"/>
                <w:lang w:val="hy-AM"/>
              </w:rPr>
              <w:t xml:space="preserve">   1.2. Առկա խնդիրների առաջարկվող լուծումները</w:t>
            </w:r>
            <w:r w:rsidRPr="00BC61ED">
              <w:rPr>
                <w:b/>
                <w:sz w:val="20"/>
                <w:szCs w:val="20"/>
                <w:lang w:val="hy-AM"/>
              </w:rPr>
              <w:tab/>
            </w:r>
          </w:p>
          <w:p w:rsidR="0068680D" w:rsidRPr="00BC61ED" w:rsidRDefault="0068680D" w:rsidP="00F47DC4">
            <w:pPr>
              <w:keepNext/>
              <w:spacing w:line="276" w:lineRule="auto"/>
              <w:jc w:val="both"/>
              <w:outlineLvl w:val="4"/>
              <w:rPr>
                <w:rFonts w:cs="Sylfaen"/>
                <w:sz w:val="20"/>
                <w:szCs w:val="20"/>
                <w:lang w:val="hy-AM"/>
              </w:rPr>
            </w:pPr>
            <w:r w:rsidRPr="00BC61ED">
              <w:rPr>
                <w:rFonts w:cs="Sylfaen"/>
                <w:sz w:val="20"/>
                <w:szCs w:val="20"/>
                <w:lang w:val="hy-AM"/>
              </w:rPr>
              <w:t xml:space="preserve">   Աշխատանքների</w:t>
            </w:r>
            <w:r w:rsidRPr="00BC61ED">
              <w:rPr>
                <w:rFonts w:cs="Arial"/>
                <w:sz w:val="20"/>
                <w:szCs w:val="20"/>
                <w:lang w:val="hy-AM"/>
              </w:rPr>
              <w:t xml:space="preserve"> </w:t>
            </w:r>
            <w:r w:rsidRPr="00BC61ED">
              <w:rPr>
                <w:rFonts w:cs="Sylfaen"/>
                <w:sz w:val="20"/>
                <w:szCs w:val="20"/>
                <w:lang w:val="hy-AM"/>
              </w:rPr>
              <w:t>իրականացման</w:t>
            </w:r>
            <w:r w:rsidRPr="00BC61ED">
              <w:rPr>
                <w:rFonts w:cs="Arial"/>
                <w:sz w:val="20"/>
                <w:szCs w:val="20"/>
                <w:lang w:val="hy-AM"/>
              </w:rPr>
              <w:t xml:space="preserve">  </w:t>
            </w:r>
            <w:r w:rsidRPr="00BC61ED">
              <w:rPr>
                <w:rFonts w:cs="Sylfaen"/>
                <w:sz w:val="20"/>
                <w:szCs w:val="20"/>
                <w:lang w:val="hy-AM"/>
              </w:rPr>
              <w:t>նպատակով նախատեսվում են.</w:t>
            </w:r>
          </w:p>
          <w:p w:rsidR="0068680D" w:rsidRPr="00BC61ED" w:rsidRDefault="0068680D" w:rsidP="00F47DC4">
            <w:pPr>
              <w:keepNext/>
              <w:spacing w:line="276" w:lineRule="auto"/>
              <w:jc w:val="both"/>
              <w:outlineLvl w:val="4"/>
              <w:rPr>
                <w:rFonts w:cs="Sylfaen"/>
                <w:sz w:val="20"/>
                <w:szCs w:val="20"/>
                <w:lang w:val="hy-AM"/>
              </w:rPr>
            </w:pPr>
            <w:r w:rsidRPr="00BC61ED">
              <w:rPr>
                <w:rFonts w:cs="Sylfaen"/>
                <w:sz w:val="20"/>
                <w:szCs w:val="20"/>
                <w:lang w:val="hy-AM"/>
              </w:rPr>
              <w:t>ա) I դասի նիվելիրացման աշխատանքներ,</w:t>
            </w:r>
          </w:p>
          <w:p w:rsidR="0068680D" w:rsidRPr="00BC61ED" w:rsidRDefault="0068680D" w:rsidP="00F47DC4">
            <w:pPr>
              <w:keepNext/>
              <w:spacing w:line="276" w:lineRule="auto"/>
              <w:jc w:val="both"/>
              <w:outlineLvl w:val="4"/>
              <w:rPr>
                <w:rFonts w:cs="Sylfaen"/>
                <w:sz w:val="20"/>
                <w:szCs w:val="20"/>
                <w:lang w:val="hy-AM"/>
              </w:rPr>
            </w:pPr>
            <w:r w:rsidRPr="00BC61ED">
              <w:rPr>
                <w:rFonts w:cs="Sylfaen"/>
                <w:sz w:val="20"/>
                <w:szCs w:val="20"/>
                <w:lang w:val="hy-AM"/>
              </w:rPr>
              <w:t>բ) I դասի նիվելիրացման նյութերի մշակում, կետերի կոորդինատների և բարձրությունների կատալոգի կազմում:</w:t>
            </w:r>
          </w:p>
          <w:p w:rsidR="0068680D" w:rsidRPr="00BC61ED" w:rsidRDefault="0068680D" w:rsidP="00F47DC4">
            <w:pPr>
              <w:keepNext/>
              <w:spacing w:line="276" w:lineRule="auto"/>
              <w:jc w:val="both"/>
              <w:outlineLvl w:val="4"/>
              <w:rPr>
                <w:rFonts w:cs="Sylfaen"/>
                <w:b/>
                <w:sz w:val="20"/>
                <w:szCs w:val="20"/>
                <w:lang w:val="hy-AM"/>
              </w:rPr>
            </w:pPr>
            <w:r w:rsidRPr="00BC61ED">
              <w:rPr>
                <w:rFonts w:cs="Sylfaen"/>
                <w:b/>
                <w:sz w:val="20"/>
                <w:szCs w:val="20"/>
                <w:lang w:val="hy-AM"/>
              </w:rPr>
              <w:t xml:space="preserve">   Կիրականացվի հետևյալ միջոցառումը՝</w:t>
            </w:r>
          </w:p>
          <w:p w:rsidR="0068680D" w:rsidRPr="00BC61ED" w:rsidRDefault="0068680D" w:rsidP="00F47DC4">
            <w:pPr>
              <w:keepNext/>
              <w:spacing w:line="276" w:lineRule="auto"/>
              <w:jc w:val="both"/>
              <w:outlineLvl w:val="4"/>
              <w:rPr>
                <w:rFonts w:cs="Sylfaen"/>
                <w:sz w:val="20"/>
                <w:szCs w:val="20"/>
                <w:lang w:val="hy-AM"/>
              </w:rPr>
            </w:pPr>
            <w:r w:rsidRPr="00BC61ED">
              <w:rPr>
                <w:rFonts w:cs="Sylfaen"/>
                <w:sz w:val="20"/>
                <w:szCs w:val="20"/>
                <w:lang w:val="hy-AM"/>
              </w:rPr>
              <w:t xml:space="preserve">   1. Երկրակեղևի սեյսմաակտիվ գործող խզվածքների շրջաններում I դասի կրկնակի նիվելիրացում, ստացված տվյալների հավասարակշռում:</w:t>
            </w:r>
          </w:p>
          <w:p w:rsidR="0068680D" w:rsidRPr="00BC61ED" w:rsidRDefault="0068680D" w:rsidP="00F47DC4">
            <w:pPr>
              <w:keepNext/>
              <w:spacing w:line="276" w:lineRule="auto"/>
              <w:jc w:val="both"/>
              <w:outlineLvl w:val="4"/>
              <w:rPr>
                <w:b/>
                <w:sz w:val="20"/>
                <w:szCs w:val="20"/>
                <w:lang w:val="hy-AM"/>
              </w:rPr>
            </w:pPr>
            <w:r w:rsidRPr="00BC61ED">
              <w:rPr>
                <w:rFonts w:cs="Sylfaen"/>
                <w:b/>
                <w:sz w:val="20"/>
                <w:szCs w:val="20"/>
                <w:lang w:val="hy-AM"/>
              </w:rPr>
              <w:t xml:space="preserve">   2. Աշխատանքների</w:t>
            </w:r>
            <w:r w:rsidRPr="00BC61ED">
              <w:rPr>
                <w:rFonts w:cs="Arial"/>
                <w:b/>
                <w:sz w:val="20"/>
                <w:szCs w:val="20"/>
                <w:lang w:val="hy-AM"/>
              </w:rPr>
              <w:t xml:space="preserve"> </w:t>
            </w:r>
            <w:r w:rsidRPr="00BC61ED">
              <w:rPr>
                <w:rFonts w:cs="Sylfaen"/>
                <w:b/>
                <w:sz w:val="20"/>
                <w:szCs w:val="20"/>
                <w:lang w:val="hy-AM"/>
              </w:rPr>
              <w:t>իրականացումից</w:t>
            </w:r>
            <w:r w:rsidRPr="00BC61ED">
              <w:rPr>
                <w:rFonts w:cs="Arial"/>
                <w:b/>
                <w:sz w:val="20"/>
                <w:szCs w:val="20"/>
                <w:lang w:val="hy-AM"/>
              </w:rPr>
              <w:t xml:space="preserve"> </w:t>
            </w:r>
            <w:r w:rsidRPr="00BC61ED">
              <w:rPr>
                <w:rFonts w:cs="Sylfaen"/>
                <w:b/>
                <w:sz w:val="20"/>
                <w:szCs w:val="20"/>
                <w:lang w:val="hy-AM"/>
              </w:rPr>
              <w:t>ակնկալվող</w:t>
            </w:r>
            <w:r w:rsidRPr="00BC61ED">
              <w:rPr>
                <w:rFonts w:cs="Arial"/>
                <w:b/>
                <w:sz w:val="20"/>
                <w:szCs w:val="20"/>
                <w:lang w:val="hy-AM"/>
              </w:rPr>
              <w:t xml:space="preserve"> </w:t>
            </w:r>
            <w:r w:rsidRPr="00BC61ED">
              <w:rPr>
                <w:rFonts w:cs="Sylfaen"/>
                <w:b/>
                <w:sz w:val="20"/>
                <w:szCs w:val="20"/>
                <w:lang w:val="hy-AM"/>
              </w:rPr>
              <w:t>արդյունքները</w:t>
            </w:r>
          </w:p>
          <w:p w:rsidR="0068680D" w:rsidRPr="00BC61ED" w:rsidRDefault="0068680D" w:rsidP="00F47DC4">
            <w:pPr>
              <w:keepNext/>
              <w:spacing w:line="276" w:lineRule="auto"/>
              <w:jc w:val="both"/>
              <w:outlineLvl w:val="4"/>
              <w:rPr>
                <w:sz w:val="20"/>
                <w:szCs w:val="20"/>
                <w:lang w:val="hy-AM"/>
              </w:rPr>
            </w:pPr>
            <w:r w:rsidRPr="00BC61ED">
              <w:rPr>
                <w:rFonts w:cs="Arial"/>
                <w:sz w:val="20"/>
                <w:szCs w:val="20"/>
                <w:lang w:val="hy-AM"/>
              </w:rPr>
              <w:t>Ի</w:t>
            </w:r>
            <w:r w:rsidRPr="00BC61ED">
              <w:rPr>
                <w:rFonts w:cs="Sylfaen"/>
                <w:sz w:val="20"/>
                <w:szCs w:val="20"/>
                <w:lang w:val="hy-AM"/>
              </w:rPr>
              <w:t>րականացումից</w:t>
            </w:r>
            <w:r w:rsidRPr="00BC61ED">
              <w:rPr>
                <w:rFonts w:cs="Arial"/>
                <w:sz w:val="20"/>
                <w:szCs w:val="20"/>
                <w:lang w:val="hy-AM"/>
              </w:rPr>
              <w:t xml:space="preserve"> </w:t>
            </w:r>
            <w:r w:rsidRPr="00BC61ED">
              <w:rPr>
                <w:rFonts w:cs="Sylfaen"/>
                <w:sz w:val="20"/>
                <w:szCs w:val="20"/>
                <w:lang w:val="hy-AM"/>
              </w:rPr>
              <w:t>հետո</w:t>
            </w:r>
            <w:r w:rsidRPr="00BC61ED">
              <w:rPr>
                <w:rFonts w:cs="Arial"/>
                <w:sz w:val="20"/>
                <w:szCs w:val="20"/>
                <w:lang w:val="hy-AM"/>
              </w:rPr>
              <w:t xml:space="preserve"> </w:t>
            </w:r>
            <w:r w:rsidRPr="00BC61ED">
              <w:rPr>
                <w:rFonts w:cs="Sylfaen"/>
                <w:sz w:val="20"/>
                <w:szCs w:val="20"/>
                <w:lang w:val="hy-AM"/>
              </w:rPr>
              <w:t>ակնկալվում</w:t>
            </w:r>
            <w:r w:rsidRPr="00BC61ED">
              <w:rPr>
                <w:rFonts w:cs="Arial"/>
                <w:sz w:val="20"/>
                <w:szCs w:val="20"/>
                <w:lang w:val="hy-AM"/>
              </w:rPr>
              <w:t xml:space="preserve"> </w:t>
            </w:r>
            <w:r w:rsidRPr="00BC61ED">
              <w:rPr>
                <w:rFonts w:cs="Sylfaen"/>
                <w:sz w:val="20"/>
                <w:szCs w:val="20"/>
                <w:lang w:val="hy-AM"/>
              </w:rPr>
              <w:t>է</w:t>
            </w:r>
            <w:r w:rsidRPr="00BC61ED">
              <w:rPr>
                <w:rFonts w:cs="Arial"/>
                <w:sz w:val="20"/>
                <w:szCs w:val="20"/>
                <w:lang w:val="hy-AM"/>
              </w:rPr>
              <w:t xml:space="preserve"> </w:t>
            </w:r>
            <w:r w:rsidRPr="00BC61ED">
              <w:rPr>
                <w:rFonts w:cs="Sylfaen"/>
                <w:sz w:val="20"/>
                <w:szCs w:val="20"/>
                <w:lang w:val="hy-AM"/>
              </w:rPr>
              <w:t>ունենալ</w:t>
            </w:r>
            <w:r w:rsidRPr="00BC61ED">
              <w:rPr>
                <w:rFonts w:cs="Arial"/>
                <w:sz w:val="20"/>
                <w:szCs w:val="20"/>
                <w:lang w:val="hy-AM"/>
              </w:rPr>
              <w:t>.</w:t>
            </w:r>
          </w:p>
          <w:p w:rsidR="0068680D" w:rsidRPr="00BC61ED" w:rsidRDefault="0068680D" w:rsidP="00F47DC4">
            <w:pPr>
              <w:keepNext/>
              <w:spacing w:line="276" w:lineRule="auto"/>
              <w:jc w:val="both"/>
              <w:outlineLvl w:val="4"/>
              <w:rPr>
                <w:sz w:val="20"/>
                <w:szCs w:val="20"/>
                <w:lang w:val="hy-AM"/>
              </w:rPr>
            </w:pPr>
            <w:r w:rsidRPr="00BC61ED">
              <w:rPr>
                <w:rFonts w:cs="Sylfaen"/>
                <w:sz w:val="20"/>
                <w:szCs w:val="20"/>
                <w:lang w:val="hy-AM"/>
              </w:rPr>
              <w:t>1) խզվածքների</w:t>
            </w:r>
            <w:r w:rsidRPr="00BC61ED">
              <w:rPr>
                <w:rFonts w:cs="Arial"/>
                <w:sz w:val="20"/>
                <w:szCs w:val="20"/>
                <w:lang w:val="hy-AM"/>
              </w:rPr>
              <w:t xml:space="preserve"> </w:t>
            </w:r>
            <w:r w:rsidRPr="00BC61ED">
              <w:rPr>
                <w:rFonts w:cs="Sylfaen"/>
                <w:sz w:val="20"/>
                <w:szCs w:val="20"/>
                <w:lang w:val="hy-AM"/>
              </w:rPr>
              <w:t>տարածքում</w:t>
            </w:r>
            <w:r w:rsidRPr="00BC61ED">
              <w:rPr>
                <w:rFonts w:cs="Arial"/>
                <w:sz w:val="20"/>
                <w:szCs w:val="20"/>
                <w:lang w:val="hy-AM"/>
              </w:rPr>
              <w:t xml:space="preserve"> 500 կմ նիվելիրային ընթացքի հավասարակշռված հենանիշների, դրոշմանիշների բացարձակ ու հարաբերական բարձրությունների </w:t>
            </w:r>
            <w:r w:rsidRPr="00BC61ED">
              <w:rPr>
                <w:rFonts w:cs="Sylfaen"/>
                <w:sz w:val="20"/>
                <w:szCs w:val="20"/>
                <w:lang w:val="hy-AM"/>
              </w:rPr>
              <w:t>ցուցակներ</w:t>
            </w:r>
            <w:r w:rsidRPr="00BC61ED">
              <w:rPr>
                <w:rFonts w:cs="Arial"/>
                <w:sz w:val="20"/>
                <w:szCs w:val="20"/>
                <w:lang w:val="hy-AM"/>
              </w:rPr>
              <w:t>,</w:t>
            </w:r>
          </w:p>
          <w:p w:rsidR="0068680D" w:rsidRPr="00BC61ED" w:rsidRDefault="0068680D" w:rsidP="00F47DC4">
            <w:pPr>
              <w:keepNext/>
              <w:spacing w:line="276" w:lineRule="auto"/>
              <w:jc w:val="both"/>
              <w:outlineLvl w:val="4"/>
              <w:rPr>
                <w:sz w:val="20"/>
                <w:szCs w:val="20"/>
                <w:lang w:val="hy-AM"/>
              </w:rPr>
            </w:pPr>
            <w:r w:rsidRPr="00BC61ED">
              <w:rPr>
                <w:sz w:val="20"/>
                <w:szCs w:val="20"/>
                <w:lang w:val="hy-AM"/>
              </w:rPr>
              <w:t>2) գրավիմետրական կետերի դիտարկման տվյալներ:</w:t>
            </w:r>
          </w:p>
        </w:tc>
      </w:tr>
      <w:tr w:rsidR="0068680D" w:rsidRPr="00DE2EFA"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17.</w:t>
            </w:r>
          </w:p>
        </w:tc>
        <w:tc>
          <w:tcPr>
            <w:tcW w:w="10915" w:type="dxa"/>
          </w:tcPr>
          <w:p w:rsidR="0068680D" w:rsidRPr="00BC61ED" w:rsidRDefault="0068680D" w:rsidP="00F47DC4">
            <w:pPr>
              <w:spacing w:line="276" w:lineRule="auto"/>
              <w:jc w:val="center"/>
              <w:rPr>
                <w:rFonts w:cs="Sylfaen"/>
                <w:b/>
                <w:sz w:val="20"/>
                <w:szCs w:val="20"/>
                <w:lang w:val="hy-AM"/>
              </w:rPr>
            </w:pPr>
            <w:r w:rsidRPr="00BC61ED">
              <w:rPr>
                <w:b/>
                <w:sz w:val="20"/>
                <w:szCs w:val="20"/>
                <w:lang w:val="hy-AM"/>
              </w:rPr>
              <w:t xml:space="preserve">   </w:t>
            </w:r>
            <w:r w:rsidRPr="00BC61ED">
              <w:rPr>
                <w:b/>
                <w:spacing w:val="-6"/>
                <w:sz w:val="20"/>
                <w:szCs w:val="20"/>
                <w:lang w:val="hy-AM"/>
              </w:rPr>
              <w:t>Հայաստանի Հանրապետության հողային ֆոնդի ըստ նպատակային նշանակության  հողերի կադաստրա</w:t>
            </w:r>
            <w:r w:rsidRPr="00BC61ED">
              <w:rPr>
                <w:b/>
                <w:spacing w:val="-6"/>
                <w:sz w:val="20"/>
                <w:szCs w:val="20"/>
                <w:lang w:val="hy-AM"/>
              </w:rPr>
              <w:softHyphen/>
              <w:t>յին գների սահմանում</w:t>
            </w:r>
            <w:r w:rsidRPr="00BC61ED">
              <w:rPr>
                <w:rFonts w:cs="Sylfaen"/>
                <w:b/>
                <w:sz w:val="20"/>
                <w:szCs w:val="20"/>
                <w:lang w:val="hy-AM"/>
              </w:rPr>
              <w:t xml:space="preserve"> </w:t>
            </w:r>
          </w:p>
          <w:p w:rsidR="0068680D" w:rsidRPr="00BC61ED" w:rsidRDefault="0068680D" w:rsidP="00F47DC4">
            <w:pPr>
              <w:spacing w:line="276" w:lineRule="auto"/>
              <w:jc w:val="center"/>
              <w:rPr>
                <w:rFonts w:cs="Sylfaen"/>
                <w:b/>
                <w:sz w:val="20"/>
                <w:szCs w:val="20"/>
                <w:lang w:val="hy-AM"/>
              </w:rPr>
            </w:pPr>
          </w:p>
          <w:p w:rsidR="0068680D" w:rsidRPr="00BC61ED" w:rsidRDefault="0068680D" w:rsidP="00F47DC4">
            <w:pPr>
              <w:spacing w:line="276" w:lineRule="auto"/>
              <w:jc w:val="both"/>
              <w:rPr>
                <w:rFonts w:cs="Sylfaen"/>
                <w:sz w:val="20"/>
                <w:szCs w:val="20"/>
                <w:lang w:val="hy-AM"/>
              </w:rPr>
            </w:pPr>
            <w:r w:rsidRPr="00BC61ED">
              <w:rPr>
                <w:rFonts w:cs="Sylfaen"/>
                <w:b/>
                <w:sz w:val="20"/>
                <w:szCs w:val="20"/>
                <w:lang w:val="hy-AM"/>
              </w:rPr>
              <w:t xml:space="preserve">   1. Միջոցառման իրականացման անհրաժեշտությունը և նպատակը</w:t>
            </w:r>
          </w:p>
          <w:p w:rsidR="0068680D" w:rsidRPr="00BC61ED" w:rsidRDefault="0068680D" w:rsidP="00F47DC4">
            <w:pPr>
              <w:pStyle w:val="ListParagraph"/>
              <w:spacing w:line="276" w:lineRule="auto"/>
              <w:ind w:left="0"/>
              <w:jc w:val="both"/>
              <w:rPr>
                <w:rFonts w:cs="Sylfaen"/>
                <w:sz w:val="20"/>
                <w:szCs w:val="20"/>
                <w:lang w:val="hy-AM"/>
              </w:rPr>
            </w:pPr>
            <w:r w:rsidRPr="00BC61ED">
              <w:rPr>
                <w:rFonts w:cs="Sylfaen"/>
                <w:sz w:val="20"/>
                <w:szCs w:val="20"/>
                <w:lang w:val="hy-AM"/>
              </w:rPr>
              <w:t xml:space="preserve">   Անշարժ գույքի հարկով հարկման օբյեկտ համարվող հողամասերի հարկման բազաների ստեղծման համար հողամասի բազային գների ապահովում:</w:t>
            </w:r>
          </w:p>
          <w:p w:rsidR="0068680D" w:rsidRPr="00BC61ED" w:rsidRDefault="0068680D" w:rsidP="00F47DC4">
            <w:pPr>
              <w:pStyle w:val="ListParagraph"/>
              <w:spacing w:line="276" w:lineRule="auto"/>
              <w:ind w:left="0" w:right="-1"/>
              <w:jc w:val="both"/>
              <w:rPr>
                <w:sz w:val="20"/>
                <w:szCs w:val="20"/>
                <w:lang w:val="hy-AM" w:eastAsia="en-GB"/>
              </w:rPr>
            </w:pPr>
            <w:r w:rsidRPr="00BC61ED">
              <w:rPr>
                <w:rFonts w:cs="Sylfaen"/>
                <w:sz w:val="20"/>
                <w:szCs w:val="20"/>
                <w:lang w:val="hy-AM"/>
              </w:rPr>
              <w:t xml:space="preserve"> </w:t>
            </w:r>
            <w:r w:rsidRPr="00BC61ED">
              <w:rPr>
                <w:spacing w:val="-4"/>
                <w:sz w:val="20"/>
                <w:szCs w:val="20"/>
                <w:lang w:val="hy-AM"/>
              </w:rPr>
              <w:t xml:space="preserve">  </w:t>
            </w:r>
            <w:r w:rsidRPr="00BC61ED">
              <w:rPr>
                <w:sz w:val="20"/>
                <w:szCs w:val="20"/>
                <w:lang w:val="hy-AM" w:eastAsia="en-GB"/>
              </w:rPr>
              <w:t xml:space="preserve">Ծրագրի համաձայն նորմատիվ իրավական ակտերի ընդունման անհրաժեշտություն է առաջանում (ՀՀ կառավարության որոշում) հիմք՝ </w:t>
            </w:r>
            <w:r w:rsidRPr="00BC61ED">
              <w:rPr>
                <w:rFonts w:cs="Sylfaen"/>
                <w:spacing w:val="-4"/>
                <w:sz w:val="20"/>
                <w:szCs w:val="20"/>
                <w:lang w:val="hy-AM"/>
              </w:rPr>
              <w:t>Հայաստանի Հանրապետության հողա</w:t>
            </w:r>
            <w:r w:rsidRPr="00BC61ED">
              <w:rPr>
                <w:rFonts w:cs="Sylfaen"/>
                <w:spacing w:val="-4"/>
                <w:sz w:val="20"/>
                <w:szCs w:val="20"/>
                <w:lang w:val="hy-AM"/>
              </w:rPr>
              <w:softHyphen/>
              <w:t>յին օրենսգրքի 66-րդ հոդվածի 2-րդ մասի պահանջներ</w:t>
            </w:r>
            <w:r w:rsidRPr="00BC61ED">
              <w:rPr>
                <w:sz w:val="20"/>
                <w:szCs w:val="20"/>
                <w:lang w:val="hy-AM" w:eastAsia="en-GB"/>
              </w:rPr>
              <w:t xml:space="preserve">: </w:t>
            </w:r>
          </w:p>
          <w:p w:rsidR="0068680D" w:rsidRPr="00BC61ED" w:rsidRDefault="0068680D" w:rsidP="00F47DC4">
            <w:pPr>
              <w:spacing w:line="276" w:lineRule="auto"/>
              <w:jc w:val="both"/>
              <w:rPr>
                <w:b/>
                <w:spacing w:val="-4"/>
                <w:sz w:val="20"/>
                <w:szCs w:val="20"/>
                <w:lang w:val="hy-AM"/>
              </w:rPr>
            </w:pPr>
            <w:r w:rsidRPr="00BC61ED">
              <w:rPr>
                <w:b/>
                <w:spacing w:val="-4"/>
                <w:sz w:val="20"/>
                <w:szCs w:val="20"/>
                <w:lang w:val="hy-AM"/>
              </w:rPr>
              <w:t xml:space="preserve">   1.1. Կարգավորման հարաբերությունների ներկա վիճակը և առկա խնդիրները</w:t>
            </w:r>
          </w:p>
          <w:p w:rsidR="0068680D" w:rsidRPr="00BC61ED" w:rsidRDefault="0068680D" w:rsidP="00F47DC4">
            <w:pPr>
              <w:spacing w:line="276" w:lineRule="auto"/>
              <w:jc w:val="both"/>
              <w:rPr>
                <w:rFonts w:cs="Sylfaen"/>
                <w:sz w:val="20"/>
                <w:szCs w:val="20"/>
                <w:lang w:val="hy-AM"/>
              </w:rPr>
            </w:pPr>
            <w:r w:rsidRPr="00BC61ED">
              <w:rPr>
                <w:spacing w:val="-4"/>
                <w:sz w:val="20"/>
                <w:szCs w:val="20"/>
                <w:lang w:val="hy-AM"/>
              </w:rPr>
              <w:t xml:space="preserve">  </w:t>
            </w:r>
            <w:r w:rsidRPr="00BC61ED">
              <w:rPr>
                <w:rFonts w:cs="Sylfaen"/>
                <w:spacing w:val="-4"/>
                <w:sz w:val="20"/>
                <w:szCs w:val="20"/>
                <w:lang w:val="hy-AM"/>
              </w:rPr>
              <w:t xml:space="preserve"> «Հայաստանի Հանրապետության հողային ֆոնդի ըստ նպատակային նշանակության հողերի կադաստրային գները հաստատելու մասին» Հայաստանի Հանրապետության որոշման նախագծի ընդունումը բխում է Հայաստանի Հանրապետության հողա</w:t>
            </w:r>
            <w:r w:rsidRPr="00BC61ED">
              <w:rPr>
                <w:rFonts w:cs="Sylfaen"/>
                <w:spacing w:val="-4"/>
                <w:sz w:val="20"/>
                <w:szCs w:val="20"/>
                <w:lang w:val="hy-AM"/>
              </w:rPr>
              <w:softHyphen/>
              <w:t xml:space="preserve">յին օրենսգրքի 66-րդ հոդվածի 2-րդ մասի երկրորդ պարբերության և </w:t>
            </w:r>
            <w:r w:rsidRPr="00BC61ED">
              <w:rPr>
                <w:rFonts w:cs="Sylfaen"/>
                <w:color w:val="000000"/>
                <w:spacing w:val="-4"/>
                <w:sz w:val="20"/>
                <w:szCs w:val="20"/>
                <w:lang w:val="hy-AM"/>
              </w:rPr>
              <w:t>«Հողի հարկի մասին» Հայաստանի Հանրապետության օրենքի 2-րդ հոդվածի պահանջներից, ըստ որի՝ հողերի կադաստրային գները, ըստ նպատակային նշանակության, յուրաքանչյուր տարի հաստատում է Հայաստանի Հանրապետության կառավարությունը</w:t>
            </w:r>
            <w:r w:rsidRPr="00BC61ED">
              <w:rPr>
                <w:rFonts w:cs="Sylfaen"/>
                <w:spacing w:val="-4"/>
                <w:sz w:val="20"/>
                <w:szCs w:val="20"/>
                <w:lang w:val="hy-AM"/>
              </w:rPr>
              <w:t xml:space="preserve">: </w:t>
            </w:r>
          </w:p>
          <w:p w:rsidR="0068680D" w:rsidRPr="00BC61ED" w:rsidRDefault="0068680D" w:rsidP="00F47DC4">
            <w:pPr>
              <w:tabs>
                <w:tab w:val="left" w:pos="0"/>
              </w:tabs>
              <w:spacing w:line="276" w:lineRule="auto"/>
              <w:ind w:right="106"/>
              <w:jc w:val="both"/>
              <w:rPr>
                <w:b/>
                <w:spacing w:val="-4"/>
                <w:sz w:val="20"/>
                <w:szCs w:val="20"/>
                <w:lang w:val="hy-AM"/>
              </w:rPr>
            </w:pPr>
            <w:r w:rsidRPr="00BC61ED">
              <w:rPr>
                <w:b/>
                <w:spacing w:val="-4"/>
                <w:sz w:val="20"/>
                <w:szCs w:val="20"/>
                <w:lang w:val="hy-AM"/>
              </w:rPr>
              <w:t xml:space="preserve">   1.2. Առկա խնդիրների առաջարկվող լուծումները</w:t>
            </w:r>
          </w:p>
          <w:p w:rsidR="0068680D" w:rsidRPr="00BC61ED" w:rsidRDefault="0068680D" w:rsidP="00F47DC4">
            <w:pPr>
              <w:pStyle w:val="BodyText"/>
              <w:tabs>
                <w:tab w:val="left" w:pos="0"/>
              </w:tabs>
              <w:spacing w:after="0" w:line="276" w:lineRule="auto"/>
              <w:ind w:right="106"/>
              <w:jc w:val="both"/>
              <w:rPr>
                <w:rFonts w:ascii="GHEA Grapalat" w:hAnsi="GHEA Grapalat" w:cs="Sylfaen"/>
                <w:b/>
                <w:spacing w:val="-4"/>
                <w:sz w:val="20"/>
                <w:szCs w:val="20"/>
                <w:lang w:val="hy-AM"/>
              </w:rPr>
            </w:pPr>
            <w:r w:rsidRPr="00BC61ED">
              <w:rPr>
                <w:rFonts w:ascii="GHEA Grapalat" w:hAnsi="GHEA Grapalat" w:cs="Sylfaen"/>
                <w:spacing w:val="-4"/>
                <w:sz w:val="20"/>
                <w:szCs w:val="20"/>
                <w:lang w:val="hy-AM"/>
              </w:rPr>
              <w:t xml:space="preserve">   Նկատի ունենալով այն հանգամանքը, որ գործող օրենսդրության համաձայն՝ նախորդ տարիներին Հայաստանի Հանրապետության կառավարության կողմից հաստատված հողերի կադաստրային գները չեն կարող կիրառելի լինել յուրաքանչյուր տարվա համար, ուստի որոշման նախագծի ընդունումն անհրաժեշտ է:</w:t>
            </w:r>
          </w:p>
          <w:p w:rsidR="0068680D" w:rsidRPr="00BC61ED" w:rsidRDefault="0068680D" w:rsidP="00F47DC4">
            <w:pPr>
              <w:pStyle w:val="BodyText"/>
              <w:tabs>
                <w:tab w:val="left" w:pos="0"/>
              </w:tabs>
              <w:spacing w:after="0" w:line="276" w:lineRule="auto"/>
              <w:ind w:right="106"/>
              <w:jc w:val="both"/>
              <w:rPr>
                <w:rFonts w:ascii="GHEA Grapalat" w:hAnsi="GHEA Grapalat" w:cs="Sylfaen"/>
                <w:spacing w:val="-4"/>
                <w:sz w:val="20"/>
                <w:szCs w:val="20"/>
                <w:lang w:val="hy-AM"/>
              </w:rPr>
            </w:pPr>
            <w:r w:rsidRPr="00BC61ED">
              <w:rPr>
                <w:rFonts w:ascii="GHEA Grapalat" w:hAnsi="GHEA Grapalat" w:cs="Sylfaen"/>
                <w:spacing w:val="-4"/>
                <w:sz w:val="20"/>
                <w:szCs w:val="20"/>
                <w:lang w:val="hy-AM"/>
              </w:rPr>
              <w:t xml:space="preserve">   Կիրականացվի հետևյալ միջոցառումը՝</w:t>
            </w:r>
          </w:p>
          <w:p w:rsidR="0068680D" w:rsidRPr="00BC61ED" w:rsidRDefault="0068680D" w:rsidP="00F47DC4">
            <w:pPr>
              <w:pStyle w:val="BodyText"/>
              <w:tabs>
                <w:tab w:val="left" w:pos="0"/>
              </w:tabs>
              <w:spacing w:after="0" w:line="276" w:lineRule="auto"/>
              <w:ind w:right="106"/>
              <w:jc w:val="both"/>
              <w:rPr>
                <w:rFonts w:ascii="GHEA Grapalat" w:hAnsi="GHEA Grapalat" w:cs="Sylfaen"/>
                <w:b/>
                <w:spacing w:val="-4"/>
                <w:sz w:val="20"/>
                <w:szCs w:val="20"/>
                <w:lang w:val="hy-AM"/>
              </w:rPr>
            </w:pPr>
            <w:r w:rsidRPr="00BC61ED">
              <w:rPr>
                <w:rFonts w:ascii="GHEA Grapalat" w:hAnsi="GHEA Grapalat" w:cs="Arial"/>
                <w:sz w:val="20"/>
                <w:szCs w:val="20"/>
                <w:lang w:val="hy-AM" w:eastAsia="ru-RU"/>
              </w:rPr>
              <w:t xml:space="preserve">   1. «Հայաստանի Հանրապետության հողային ֆոնդի ըստ նպատակային նշանակության հողերի կադաստրային գները հաստատելու մասին» ՀՀ կառավարության որոշման ընդունում:</w:t>
            </w:r>
          </w:p>
          <w:p w:rsidR="0068680D" w:rsidRPr="00BC61ED" w:rsidRDefault="0068680D" w:rsidP="00F47DC4">
            <w:pPr>
              <w:spacing w:line="276" w:lineRule="auto"/>
              <w:jc w:val="both"/>
              <w:rPr>
                <w:rFonts w:cs="Sylfaen"/>
                <w:b/>
                <w:sz w:val="20"/>
                <w:szCs w:val="20"/>
                <w:lang w:val="hy-AM"/>
              </w:rPr>
            </w:pPr>
            <w:r w:rsidRPr="00BC61ED">
              <w:rPr>
                <w:b/>
                <w:sz w:val="20"/>
                <w:szCs w:val="20"/>
                <w:lang w:val="hy-AM"/>
              </w:rPr>
              <w:t xml:space="preserve">   2. Միջոցառման իրականացումից ակնկալվող արդյունքը</w:t>
            </w:r>
          </w:p>
          <w:p w:rsidR="0068680D" w:rsidRPr="00BC61ED" w:rsidRDefault="0068680D" w:rsidP="00F47DC4">
            <w:pPr>
              <w:tabs>
                <w:tab w:val="left" w:pos="0"/>
              </w:tabs>
              <w:spacing w:line="276" w:lineRule="auto"/>
              <w:ind w:right="106"/>
              <w:jc w:val="both"/>
              <w:rPr>
                <w:rFonts w:cs="Sylfaen"/>
                <w:spacing w:val="-4"/>
                <w:sz w:val="20"/>
                <w:szCs w:val="20"/>
                <w:lang w:val="hy-AM"/>
              </w:rPr>
            </w:pPr>
            <w:r w:rsidRPr="00BC61ED">
              <w:rPr>
                <w:rFonts w:cs="Sylfaen"/>
                <w:spacing w:val="-4"/>
                <w:sz w:val="20"/>
                <w:szCs w:val="20"/>
                <w:lang w:val="hy-AM"/>
              </w:rPr>
              <w:t xml:space="preserve">   Իրավական ակտի կիրառման արդյունքում կսահմանվեն յուրաքանչյուր տարվա հողերի կադաստրային գները, ինչը կնպաստի հողի շուկայի զարգացմանը, հողի հարկի բազայի և համայնքային բյուջեների ձևավորմանը, ինչպես նաև Հայաստանի Հանրապետության օրենսդրությամբ սահմանված կարգով հողամասերի կադաստրային գները կկիրառվի օտարման, վարձակալության, կառուցապատման իրավունքով տրամա</w:t>
            </w:r>
            <w:r w:rsidRPr="00BC61ED">
              <w:rPr>
                <w:rFonts w:cs="Sylfaen"/>
                <w:spacing w:val="-4"/>
                <w:sz w:val="20"/>
                <w:szCs w:val="20"/>
                <w:lang w:val="hy-AM"/>
              </w:rPr>
              <w:softHyphen/>
              <w:t>դրելու կամ այլ դեպքերում:</w:t>
            </w:r>
          </w:p>
        </w:tc>
      </w:tr>
      <w:tr w:rsidR="0068680D" w:rsidRPr="00DE2EFA" w:rsidTr="00F47DC4">
        <w:tc>
          <w:tcPr>
            <w:tcW w:w="425" w:type="dxa"/>
          </w:tcPr>
          <w:p w:rsidR="0068680D" w:rsidRPr="00BC61ED" w:rsidRDefault="0068680D" w:rsidP="00F47DC4">
            <w:pPr>
              <w:spacing w:line="276" w:lineRule="auto"/>
              <w:ind w:right="-138"/>
              <w:jc w:val="center"/>
              <w:rPr>
                <w:sz w:val="20"/>
                <w:szCs w:val="20"/>
                <w:lang w:val="hy-AM"/>
              </w:rPr>
            </w:pPr>
            <w:r w:rsidRPr="00BC61ED">
              <w:rPr>
                <w:sz w:val="20"/>
                <w:szCs w:val="20"/>
                <w:lang w:val="hy-AM"/>
              </w:rPr>
              <w:t>18.</w:t>
            </w:r>
          </w:p>
        </w:tc>
        <w:tc>
          <w:tcPr>
            <w:tcW w:w="10915" w:type="dxa"/>
          </w:tcPr>
          <w:p w:rsidR="0068680D" w:rsidRPr="00BC61ED" w:rsidRDefault="0068680D" w:rsidP="00F47DC4">
            <w:pPr>
              <w:spacing w:line="276" w:lineRule="auto"/>
              <w:jc w:val="center"/>
              <w:rPr>
                <w:rFonts w:cs="Sylfaen"/>
                <w:b/>
                <w:spacing w:val="-4"/>
                <w:sz w:val="20"/>
                <w:szCs w:val="20"/>
                <w:lang w:val="hy-AM"/>
              </w:rPr>
            </w:pPr>
            <w:r w:rsidRPr="00BC61ED">
              <w:rPr>
                <w:rFonts w:cs="Sylfaen"/>
                <w:b/>
                <w:spacing w:val="-6"/>
                <w:sz w:val="20"/>
                <w:szCs w:val="20"/>
                <w:lang w:val="hy-AM"/>
              </w:rPr>
              <w:t>Հայաստանի</w:t>
            </w:r>
            <w:r w:rsidRPr="00BC61ED">
              <w:rPr>
                <w:b/>
                <w:spacing w:val="-6"/>
                <w:sz w:val="20"/>
                <w:szCs w:val="20"/>
                <w:lang w:val="hy-AM"/>
              </w:rPr>
              <w:t xml:space="preserve"> </w:t>
            </w:r>
            <w:r w:rsidRPr="00BC61ED">
              <w:rPr>
                <w:rFonts w:cs="Sylfaen"/>
                <w:b/>
                <w:spacing w:val="-6"/>
                <w:sz w:val="20"/>
                <w:szCs w:val="20"/>
                <w:lang w:val="hy-AM"/>
              </w:rPr>
              <w:t>Հանրապետության</w:t>
            </w:r>
            <w:r w:rsidRPr="00BC61ED">
              <w:rPr>
                <w:b/>
                <w:spacing w:val="-6"/>
                <w:sz w:val="20"/>
                <w:szCs w:val="20"/>
                <w:lang w:val="hy-AM"/>
              </w:rPr>
              <w:t xml:space="preserve"> </w:t>
            </w:r>
            <w:r w:rsidRPr="00BC61ED">
              <w:rPr>
                <w:rFonts w:cs="Sylfaen"/>
                <w:b/>
                <w:spacing w:val="-6"/>
                <w:sz w:val="20"/>
                <w:szCs w:val="20"/>
                <w:lang w:val="hy-AM"/>
              </w:rPr>
              <w:t>հողային</w:t>
            </w:r>
            <w:r w:rsidRPr="00BC61ED">
              <w:rPr>
                <w:b/>
                <w:spacing w:val="-6"/>
                <w:sz w:val="20"/>
                <w:szCs w:val="20"/>
                <w:lang w:val="hy-AM"/>
              </w:rPr>
              <w:t xml:space="preserve"> </w:t>
            </w:r>
            <w:r w:rsidRPr="00BC61ED">
              <w:rPr>
                <w:rFonts w:cs="Sylfaen"/>
                <w:b/>
                <w:spacing w:val="-6"/>
                <w:sz w:val="20"/>
                <w:szCs w:val="20"/>
                <w:lang w:val="hy-AM"/>
              </w:rPr>
              <w:t>ֆոնդի</w:t>
            </w:r>
            <w:r w:rsidRPr="00BC61ED">
              <w:rPr>
                <w:b/>
                <w:spacing w:val="-6"/>
                <w:sz w:val="20"/>
                <w:szCs w:val="20"/>
                <w:lang w:val="hy-AM"/>
              </w:rPr>
              <w:t xml:space="preserve"> </w:t>
            </w:r>
            <w:r w:rsidRPr="00BC61ED">
              <w:rPr>
                <w:rFonts w:cs="Sylfaen"/>
                <w:b/>
                <w:spacing w:val="-6"/>
                <w:sz w:val="20"/>
                <w:szCs w:val="20"/>
                <w:lang w:val="hy-AM"/>
              </w:rPr>
              <w:t>առկայության</w:t>
            </w:r>
            <w:r w:rsidRPr="00BC61ED">
              <w:rPr>
                <w:b/>
                <w:spacing w:val="-6"/>
                <w:sz w:val="20"/>
                <w:szCs w:val="20"/>
                <w:lang w:val="hy-AM"/>
              </w:rPr>
              <w:t xml:space="preserve"> </w:t>
            </w:r>
            <w:r w:rsidRPr="00BC61ED">
              <w:rPr>
                <w:rFonts w:cs="Sylfaen"/>
                <w:b/>
                <w:spacing w:val="-6"/>
                <w:sz w:val="20"/>
                <w:szCs w:val="20"/>
                <w:lang w:val="hy-AM"/>
              </w:rPr>
              <w:t>և</w:t>
            </w:r>
            <w:r w:rsidRPr="00BC61ED">
              <w:rPr>
                <w:b/>
                <w:spacing w:val="-6"/>
                <w:sz w:val="20"/>
                <w:szCs w:val="20"/>
                <w:lang w:val="hy-AM"/>
              </w:rPr>
              <w:t xml:space="preserve"> </w:t>
            </w:r>
            <w:r w:rsidRPr="00BC61ED">
              <w:rPr>
                <w:rFonts w:cs="Sylfaen"/>
                <w:b/>
                <w:spacing w:val="-6"/>
                <w:sz w:val="20"/>
                <w:szCs w:val="20"/>
                <w:lang w:val="hy-AM"/>
              </w:rPr>
              <w:t>բաշխման</w:t>
            </w:r>
            <w:r w:rsidRPr="00BC61ED">
              <w:rPr>
                <w:b/>
                <w:spacing w:val="-6"/>
                <w:sz w:val="20"/>
                <w:szCs w:val="20"/>
                <w:lang w:val="hy-AM"/>
              </w:rPr>
              <w:t xml:space="preserve"> </w:t>
            </w:r>
            <w:r w:rsidRPr="00BC61ED">
              <w:rPr>
                <w:rFonts w:cs="Sylfaen"/>
                <w:b/>
                <w:spacing w:val="-6"/>
                <w:sz w:val="20"/>
                <w:szCs w:val="20"/>
                <w:lang w:val="hy-AM"/>
              </w:rPr>
              <w:t>վերաբերյալ</w:t>
            </w:r>
            <w:r w:rsidRPr="00BC61ED">
              <w:rPr>
                <w:b/>
                <w:spacing w:val="-6"/>
                <w:sz w:val="20"/>
                <w:szCs w:val="20"/>
                <w:lang w:val="hy-AM"/>
              </w:rPr>
              <w:t xml:space="preserve"> </w:t>
            </w:r>
            <w:r w:rsidRPr="00BC61ED">
              <w:rPr>
                <w:rFonts w:cs="Sylfaen"/>
                <w:b/>
                <w:spacing w:val="-6"/>
                <w:sz w:val="20"/>
                <w:szCs w:val="20"/>
                <w:lang w:val="hy-AM"/>
              </w:rPr>
              <w:t>հաշվետվության</w:t>
            </w:r>
            <w:r w:rsidRPr="00BC61ED">
              <w:rPr>
                <w:b/>
                <w:spacing w:val="-6"/>
                <w:sz w:val="20"/>
                <w:szCs w:val="20"/>
                <w:lang w:val="hy-AM"/>
              </w:rPr>
              <w:t xml:space="preserve"> (</w:t>
            </w:r>
            <w:r w:rsidRPr="00BC61ED">
              <w:rPr>
                <w:rFonts w:cs="Sylfaen"/>
                <w:b/>
                <w:spacing w:val="-6"/>
                <w:sz w:val="20"/>
                <w:szCs w:val="20"/>
                <w:lang w:val="hy-AM"/>
              </w:rPr>
              <w:t>հողային</w:t>
            </w:r>
            <w:r w:rsidRPr="00BC61ED">
              <w:rPr>
                <w:b/>
                <w:spacing w:val="-6"/>
                <w:sz w:val="20"/>
                <w:szCs w:val="20"/>
                <w:lang w:val="hy-AM"/>
              </w:rPr>
              <w:t xml:space="preserve"> </w:t>
            </w:r>
            <w:r w:rsidRPr="00BC61ED">
              <w:rPr>
                <w:rFonts w:cs="Sylfaen"/>
                <w:b/>
                <w:spacing w:val="-6"/>
                <w:sz w:val="20"/>
                <w:szCs w:val="20"/>
                <w:lang w:val="hy-AM"/>
              </w:rPr>
              <w:t>հաշվեկշռի</w:t>
            </w:r>
            <w:r w:rsidRPr="00BC61ED">
              <w:rPr>
                <w:b/>
                <w:spacing w:val="-6"/>
                <w:sz w:val="20"/>
                <w:szCs w:val="20"/>
                <w:lang w:val="hy-AM"/>
              </w:rPr>
              <w:t>) կազմում</w:t>
            </w:r>
          </w:p>
          <w:p w:rsidR="0068680D" w:rsidRPr="00BC61ED" w:rsidRDefault="0068680D" w:rsidP="00F47DC4">
            <w:pPr>
              <w:spacing w:line="276" w:lineRule="auto"/>
              <w:jc w:val="center"/>
              <w:rPr>
                <w:rFonts w:cs="Sylfaen"/>
                <w:spacing w:val="-4"/>
                <w:sz w:val="20"/>
                <w:szCs w:val="20"/>
                <w:lang w:val="hy-AM"/>
              </w:rPr>
            </w:pPr>
          </w:p>
          <w:p w:rsidR="0068680D" w:rsidRPr="00BC61ED" w:rsidRDefault="0068680D" w:rsidP="00F47DC4">
            <w:pPr>
              <w:spacing w:line="276" w:lineRule="auto"/>
              <w:jc w:val="both"/>
              <w:rPr>
                <w:rFonts w:cs="Sylfaen"/>
                <w:b/>
                <w:sz w:val="20"/>
                <w:szCs w:val="20"/>
                <w:lang w:val="hy-AM"/>
              </w:rPr>
            </w:pPr>
            <w:r w:rsidRPr="00BC61ED">
              <w:rPr>
                <w:rFonts w:cs="Sylfaen"/>
                <w:b/>
                <w:sz w:val="20"/>
                <w:szCs w:val="20"/>
                <w:lang w:val="hy-AM"/>
              </w:rPr>
              <w:t xml:space="preserve">   1. Միջոցառման իրականացման անհրաժեշտությունը և նպատակը</w:t>
            </w:r>
          </w:p>
          <w:p w:rsidR="0068680D" w:rsidRPr="00BC61ED" w:rsidRDefault="0068680D" w:rsidP="00F47DC4">
            <w:pPr>
              <w:spacing w:line="276" w:lineRule="auto"/>
              <w:jc w:val="both"/>
              <w:rPr>
                <w:rFonts w:cs="Sylfaen"/>
                <w:sz w:val="20"/>
                <w:szCs w:val="20"/>
                <w:lang w:val="hy-AM"/>
              </w:rPr>
            </w:pPr>
            <w:r w:rsidRPr="00BC61ED">
              <w:rPr>
                <w:rFonts w:cs="Sylfaen"/>
                <w:iCs/>
                <w:sz w:val="20"/>
                <w:szCs w:val="20"/>
                <w:lang w:val="hy-AM"/>
              </w:rPr>
              <w:t xml:space="preserve">   Հայաստանի</w:t>
            </w:r>
            <w:r w:rsidRPr="00BC61ED">
              <w:rPr>
                <w:rFonts w:cs="Arial Armenian"/>
                <w:iCs/>
                <w:sz w:val="20"/>
                <w:szCs w:val="20"/>
                <w:lang w:val="hy-AM"/>
              </w:rPr>
              <w:t xml:space="preserve"> </w:t>
            </w:r>
            <w:r w:rsidRPr="00BC61ED">
              <w:rPr>
                <w:rFonts w:cs="Sylfaen"/>
                <w:iCs/>
                <w:sz w:val="20"/>
                <w:szCs w:val="20"/>
                <w:lang w:val="hy-AM"/>
              </w:rPr>
              <w:t>Հանրապետության</w:t>
            </w:r>
            <w:r w:rsidRPr="00BC61ED">
              <w:rPr>
                <w:rFonts w:cs="Arial Armenian"/>
                <w:iCs/>
                <w:sz w:val="20"/>
                <w:szCs w:val="20"/>
                <w:lang w:val="hy-AM"/>
              </w:rPr>
              <w:t xml:space="preserve"> </w:t>
            </w:r>
            <w:r w:rsidRPr="00BC61ED">
              <w:rPr>
                <w:rFonts w:cs="Sylfaen"/>
                <w:iCs/>
                <w:sz w:val="20"/>
                <w:szCs w:val="20"/>
                <w:lang w:val="hy-AM"/>
              </w:rPr>
              <w:t>կառավարության</w:t>
            </w:r>
            <w:r w:rsidRPr="00BC61ED">
              <w:rPr>
                <w:rFonts w:cs="Arial Armenian"/>
                <w:iCs/>
                <w:sz w:val="20"/>
                <w:szCs w:val="20"/>
                <w:lang w:val="hy-AM"/>
              </w:rPr>
              <w:t xml:space="preserve"> </w:t>
            </w:r>
            <w:r w:rsidRPr="00BC61ED">
              <w:rPr>
                <w:rFonts w:cs="Sylfaen"/>
                <w:iCs/>
                <w:sz w:val="20"/>
                <w:szCs w:val="20"/>
                <w:lang w:val="hy-AM"/>
              </w:rPr>
              <w:t>որոշման</w:t>
            </w:r>
            <w:r w:rsidRPr="00BC61ED">
              <w:rPr>
                <w:rFonts w:cs="Arial Armenian"/>
                <w:iCs/>
                <w:sz w:val="20"/>
                <w:szCs w:val="20"/>
                <w:lang w:val="hy-AM"/>
              </w:rPr>
              <w:t xml:space="preserve"> </w:t>
            </w:r>
            <w:r w:rsidRPr="00BC61ED">
              <w:rPr>
                <w:rFonts w:cs="Sylfaen"/>
                <w:iCs/>
                <w:sz w:val="20"/>
                <w:szCs w:val="20"/>
                <w:lang w:val="hy-AM"/>
              </w:rPr>
              <w:t>նախագծի</w:t>
            </w:r>
            <w:r w:rsidRPr="00BC61ED">
              <w:rPr>
                <w:rFonts w:cs="Arial Armenian"/>
                <w:iCs/>
                <w:sz w:val="20"/>
                <w:szCs w:val="20"/>
                <w:lang w:val="hy-AM"/>
              </w:rPr>
              <w:t xml:space="preserve"> </w:t>
            </w:r>
            <w:r w:rsidRPr="00BC61ED">
              <w:rPr>
                <w:rFonts w:cs="Sylfaen"/>
                <w:iCs/>
                <w:sz w:val="20"/>
                <w:szCs w:val="20"/>
                <w:lang w:val="hy-AM"/>
              </w:rPr>
              <w:t>ընդունման մ</w:t>
            </w:r>
            <w:r w:rsidRPr="00BC61ED">
              <w:rPr>
                <w:rFonts w:cs="Sylfaen"/>
                <w:sz w:val="20"/>
                <w:szCs w:val="20"/>
                <w:lang w:val="hy-AM"/>
              </w:rPr>
              <w:t>իջոցառման իրականացման անհրաժեշտությունը բխում է Հայաստանի Հանրապետության</w:t>
            </w:r>
            <w:r w:rsidRPr="00BC61ED">
              <w:rPr>
                <w:rFonts w:cs="Arial Armenian"/>
                <w:sz w:val="20"/>
                <w:szCs w:val="20"/>
                <w:lang w:val="hy-AM"/>
              </w:rPr>
              <w:t xml:space="preserve"> </w:t>
            </w:r>
            <w:r w:rsidRPr="00BC61ED">
              <w:rPr>
                <w:rFonts w:cs="Sylfaen"/>
                <w:sz w:val="20"/>
                <w:szCs w:val="20"/>
                <w:lang w:val="hy-AM"/>
              </w:rPr>
              <w:t>հողային</w:t>
            </w:r>
            <w:r w:rsidRPr="00BC61ED">
              <w:rPr>
                <w:rFonts w:cs="Arial Armenian"/>
                <w:sz w:val="20"/>
                <w:szCs w:val="20"/>
                <w:lang w:val="hy-AM"/>
              </w:rPr>
              <w:t xml:space="preserve"> </w:t>
            </w:r>
            <w:r w:rsidRPr="00BC61ED">
              <w:rPr>
                <w:rFonts w:cs="Sylfaen"/>
                <w:sz w:val="20"/>
                <w:szCs w:val="20"/>
                <w:lang w:val="hy-AM"/>
              </w:rPr>
              <w:t>օրենսգրքի</w:t>
            </w:r>
            <w:r w:rsidRPr="00BC61ED">
              <w:rPr>
                <w:rFonts w:cs="Arial Armenian"/>
                <w:sz w:val="20"/>
                <w:szCs w:val="20"/>
                <w:lang w:val="hy-AM"/>
              </w:rPr>
              <w:t xml:space="preserve"> 34-</w:t>
            </w:r>
            <w:r w:rsidRPr="00BC61ED">
              <w:rPr>
                <w:rFonts w:cs="Sylfaen"/>
                <w:sz w:val="20"/>
                <w:szCs w:val="20"/>
                <w:lang w:val="hy-AM"/>
              </w:rPr>
              <w:t>րդ</w:t>
            </w:r>
            <w:r w:rsidRPr="00BC61ED">
              <w:rPr>
                <w:rFonts w:cs="Arial Armenian"/>
                <w:sz w:val="20"/>
                <w:szCs w:val="20"/>
                <w:lang w:val="hy-AM"/>
              </w:rPr>
              <w:t xml:space="preserve"> </w:t>
            </w:r>
            <w:r w:rsidRPr="00BC61ED">
              <w:rPr>
                <w:rFonts w:cs="Sylfaen"/>
                <w:sz w:val="20"/>
                <w:szCs w:val="20"/>
                <w:lang w:val="hy-AM"/>
              </w:rPr>
              <w:t>հոդվածի</w:t>
            </w:r>
            <w:r w:rsidRPr="00BC61ED">
              <w:rPr>
                <w:rFonts w:cs="Arial Armenian"/>
                <w:sz w:val="20"/>
                <w:szCs w:val="20"/>
                <w:lang w:val="hy-AM"/>
              </w:rPr>
              <w:t xml:space="preserve"> </w:t>
            </w:r>
            <w:r w:rsidRPr="00BC61ED">
              <w:rPr>
                <w:rFonts w:cs="Sylfaen"/>
                <w:sz w:val="20"/>
                <w:szCs w:val="20"/>
                <w:lang w:val="hy-AM"/>
              </w:rPr>
              <w:t>պահանջներից</w:t>
            </w:r>
            <w:r w:rsidRPr="00BC61ED">
              <w:rPr>
                <w:rFonts w:cs="Arial Armenian"/>
                <w:sz w:val="20"/>
                <w:szCs w:val="20"/>
                <w:lang w:val="hy-AM"/>
              </w:rPr>
              <w:t xml:space="preserve">, ըստ որի` </w:t>
            </w:r>
            <w:r w:rsidRPr="00BC61ED">
              <w:rPr>
                <w:rFonts w:cs="Sylfaen"/>
                <w:sz w:val="20"/>
                <w:szCs w:val="20"/>
                <w:lang w:val="hy-AM"/>
              </w:rPr>
              <w:t>հողամասերը</w:t>
            </w:r>
            <w:r w:rsidRPr="00BC61ED">
              <w:rPr>
                <w:rFonts w:cs="Arial Armenian"/>
                <w:sz w:val="20"/>
                <w:szCs w:val="20"/>
                <w:lang w:val="hy-AM"/>
              </w:rPr>
              <w:t xml:space="preserve">, </w:t>
            </w:r>
            <w:r w:rsidRPr="00BC61ED">
              <w:rPr>
                <w:rFonts w:cs="Sylfaen"/>
                <w:sz w:val="20"/>
                <w:szCs w:val="20"/>
                <w:lang w:val="hy-AM"/>
              </w:rPr>
              <w:t>անկախ</w:t>
            </w:r>
            <w:r w:rsidRPr="00BC61ED">
              <w:rPr>
                <w:rFonts w:cs="Arial Armenian"/>
                <w:sz w:val="20"/>
                <w:szCs w:val="20"/>
                <w:lang w:val="hy-AM"/>
              </w:rPr>
              <w:t xml:space="preserve"> </w:t>
            </w:r>
            <w:r w:rsidRPr="00BC61ED">
              <w:rPr>
                <w:rFonts w:cs="Sylfaen"/>
                <w:sz w:val="20"/>
                <w:szCs w:val="20"/>
                <w:lang w:val="hy-AM"/>
              </w:rPr>
              <w:t>սեփականության</w:t>
            </w:r>
            <w:r w:rsidRPr="00BC61ED">
              <w:rPr>
                <w:rFonts w:cs="Arial Armenian"/>
                <w:sz w:val="20"/>
                <w:szCs w:val="20"/>
                <w:lang w:val="hy-AM"/>
              </w:rPr>
              <w:t xml:space="preserve"> </w:t>
            </w:r>
            <w:r w:rsidRPr="00BC61ED">
              <w:rPr>
                <w:rFonts w:cs="Sylfaen"/>
                <w:sz w:val="20"/>
                <w:szCs w:val="20"/>
                <w:lang w:val="hy-AM"/>
              </w:rPr>
              <w:t>ձևից</w:t>
            </w:r>
            <w:r w:rsidRPr="00BC61ED">
              <w:rPr>
                <w:rFonts w:cs="Arial Armenian"/>
                <w:sz w:val="20"/>
                <w:szCs w:val="20"/>
                <w:lang w:val="hy-AM"/>
              </w:rPr>
              <w:t xml:space="preserve">, </w:t>
            </w:r>
            <w:r w:rsidRPr="00BC61ED">
              <w:rPr>
                <w:rFonts w:cs="Sylfaen"/>
                <w:sz w:val="20"/>
                <w:szCs w:val="20"/>
                <w:lang w:val="hy-AM"/>
              </w:rPr>
              <w:t>ենթակա</w:t>
            </w:r>
            <w:r w:rsidRPr="00BC61ED">
              <w:rPr>
                <w:rFonts w:cs="Arial Armenian"/>
                <w:sz w:val="20"/>
                <w:szCs w:val="20"/>
                <w:lang w:val="hy-AM"/>
              </w:rPr>
              <w:t xml:space="preserve"> </w:t>
            </w:r>
            <w:r w:rsidRPr="00BC61ED">
              <w:rPr>
                <w:rFonts w:cs="Sylfaen"/>
                <w:sz w:val="20"/>
                <w:szCs w:val="20"/>
                <w:lang w:val="hy-AM"/>
              </w:rPr>
              <w:t>են</w:t>
            </w:r>
            <w:r w:rsidRPr="00BC61ED">
              <w:rPr>
                <w:rFonts w:cs="Arial Armenian"/>
                <w:sz w:val="20"/>
                <w:szCs w:val="20"/>
                <w:lang w:val="hy-AM"/>
              </w:rPr>
              <w:t xml:space="preserve"> </w:t>
            </w:r>
            <w:r w:rsidRPr="00BC61ED">
              <w:rPr>
                <w:rFonts w:cs="Sylfaen"/>
                <w:sz w:val="20"/>
                <w:szCs w:val="20"/>
                <w:lang w:val="hy-AM"/>
              </w:rPr>
              <w:t>պետական</w:t>
            </w:r>
            <w:r w:rsidRPr="00BC61ED">
              <w:rPr>
                <w:rFonts w:cs="Arial Armenian"/>
                <w:sz w:val="20"/>
                <w:szCs w:val="20"/>
                <w:lang w:val="hy-AM"/>
              </w:rPr>
              <w:t xml:space="preserve"> </w:t>
            </w:r>
            <w:r w:rsidRPr="00BC61ED">
              <w:rPr>
                <w:rFonts w:cs="Sylfaen"/>
                <w:sz w:val="20"/>
                <w:szCs w:val="20"/>
                <w:lang w:val="hy-AM"/>
              </w:rPr>
              <w:t>հաշվառման</w:t>
            </w:r>
            <w:r w:rsidRPr="00BC61ED">
              <w:rPr>
                <w:rFonts w:cs="Arial Armenian"/>
                <w:sz w:val="20"/>
                <w:szCs w:val="20"/>
                <w:lang w:val="hy-AM"/>
              </w:rPr>
              <w:t>:</w:t>
            </w:r>
          </w:p>
          <w:p w:rsidR="0068680D" w:rsidRPr="00BC61ED" w:rsidRDefault="0068680D" w:rsidP="00F47DC4">
            <w:pPr>
              <w:pStyle w:val="ListParagraph"/>
              <w:spacing w:line="276" w:lineRule="auto"/>
              <w:ind w:left="0" w:right="-1"/>
              <w:jc w:val="both"/>
              <w:rPr>
                <w:sz w:val="20"/>
                <w:szCs w:val="20"/>
                <w:lang w:val="hy-AM" w:eastAsia="en-GB"/>
              </w:rPr>
            </w:pPr>
            <w:r w:rsidRPr="00BC61ED">
              <w:rPr>
                <w:sz w:val="20"/>
                <w:szCs w:val="20"/>
                <w:lang w:val="hy-AM" w:eastAsia="en-GB"/>
              </w:rPr>
              <w:t xml:space="preserve">   Ծրագրի համաձայն նորմատիվ իրավական ակտերի ընդունման անհրաժեշտություն է առաջանում (ՀՀ կառավարության որոշում) հիմք՝ </w:t>
            </w:r>
            <w:r w:rsidRPr="00BC61ED">
              <w:rPr>
                <w:rFonts w:cs="Sylfaen"/>
                <w:spacing w:val="-4"/>
                <w:sz w:val="20"/>
                <w:szCs w:val="20"/>
                <w:lang w:val="hy-AM"/>
              </w:rPr>
              <w:t>Հայաստանի Հանրապետության հողա</w:t>
            </w:r>
            <w:r w:rsidRPr="00BC61ED">
              <w:rPr>
                <w:rFonts w:cs="Sylfaen"/>
                <w:spacing w:val="-4"/>
                <w:sz w:val="20"/>
                <w:szCs w:val="20"/>
                <w:lang w:val="hy-AM"/>
              </w:rPr>
              <w:softHyphen/>
              <w:t>յին օրենսգրքի 34-րդ հոդվածի 3-րդ մասի պահանջներ</w:t>
            </w:r>
            <w:r w:rsidRPr="00BC61ED">
              <w:rPr>
                <w:sz w:val="20"/>
                <w:szCs w:val="20"/>
                <w:lang w:val="hy-AM" w:eastAsia="en-GB"/>
              </w:rPr>
              <w:t xml:space="preserve">: </w:t>
            </w:r>
          </w:p>
          <w:p w:rsidR="0068680D" w:rsidRPr="00BC61ED" w:rsidRDefault="0068680D" w:rsidP="00F47DC4">
            <w:pPr>
              <w:tabs>
                <w:tab w:val="left" w:pos="0"/>
              </w:tabs>
              <w:spacing w:line="276" w:lineRule="auto"/>
              <w:ind w:right="106"/>
              <w:jc w:val="both"/>
              <w:rPr>
                <w:b/>
                <w:spacing w:val="-4"/>
                <w:sz w:val="20"/>
                <w:szCs w:val="20"/>
                <w:lang w:val="hy-AM"/>
              </w:rPr>
            </w:pPr>
            <w:r w:rsidRPr="00BC61ED">
              <w:rPr>
                <w:spacing w:val="-4"/>
                <w:sz w:val="20"/>
                <w:szCs w:val="20"/>
                <w:lang w:val="hy-AM"/>
              </w:rPr>
              <w:t xml:space="preserve"> </w:t>
            </w:r>
            <w:r w:rsidRPr="00BC61ED">
              <w:rPr>
                <w:b/>
                <w:spacing w:val="-4"/>
                <w:sz w:val="20"/>
                <w:szCs w:val="20"/>
                <w:lang w:val="hy-AM"/>
              </w:rPr>
              <w:t xml:space="preserve">  1.1. Կարգավորման հարաբերությունների ներկա վիճակը և առկա խնդիրները</w:t>
            </w:r>
          </w:p>
          <w:p w:rsidR="0068680D" w:rsidRPr="00BC61ED" w:rsidRDefault="0068680D" w:rsidP="00F47DC4">
            <w:pPr>
              <w:tabs>
                <w:tab w:val="left" w:pos="0"/>
              </w:tabs>
              <w:spacing w:line="276" w:lineRule="auto"/>
              <w:ind w:right="106"/>
              <w:jc w:val="both"/>
              <w:rPr>
                <w:sz w:val="20"/>
                <w:szCs w:val="20"/>
                <w:lang w:val="hy-AM"/>
              </w:rPr>
            </w:pPr>
            <w:r w:rsidRPr="00BC61ED">
              <w:rPr>
                <w:rFonts w:cs="Sylfaen"/>
                <w:sz w:val="20"/>
                <w:szCs w:val="20"/>
                <w:lang w:val="hy-AM"/>
              </w:rPr>
              <w:t xml:space="preserve">   Հողամասերի պետական</w:t>
            </w:r>
            <w:r w:rsidRPr="00BC61ED">
              <w:rPr>
                <w:rFonts w:cs="Arial Armenian"/>
                <w:sz w:val="20"/>
                <w:szCs w:val="20"/>
                <w:lang w:val="hy-AM"/>
              </w:rPr>
              <w:t xml:space="preserve"> </w:t>
            </w:r>
            <w:r w:rsidRPr="00BC61ED">
              <w:rPr>
                <w:rFonts w:cs="Sylfaen"/>
                <w:sz w:val="20"/>
                <w:szCs w:val="20"/>
                <w:lang w:val="hy-AM"/>
              </w:rPr>
              <w:t>հաշվառումն</w:t>
            </w:r>
            <w:r w:rsidRPr="00BC61ED">
              <w:rPr>
                <w:rFonts w:cs="Arial Armenian"/>
                <w:sz w:val="20"/>
                <w:szCs w:val="20"/>
                <w:lang w:val="hy-AM"/>
              </w:rPr>
              <w:t xml:space="preserve"> </w:t>
            </w:r>
            <w:r w:rsidRPr="00BC61ED">
              <w:rPr>
                <w:rFonts w:cs="Sylfaen"/>
                <w:sz w:val="20"/>
                <w:szCs w:val="20"/>
                <w:lang w:val="hy-AM"/>
              </w:rPr>
              <w:t>իրականացվում</w:t>
            </w:r>
            <w:r w:rsidRPr="00BC61ED">
              <w:rPr>
                <w:rFonts w:cs="Arial Armenian"/>
                <w:sz w:val="20"/>
                <w:szCs w:val="20"/>
                <w:lang w:val="hy-AM"/>
              </w:rPr>
              <w:t xml:space="preserve"> </w:t>
            </w:r>
            <w:r w:rsidRPr="00BC61ED">
              <w:rPr>
                <w:rFonts w:cs="Sylfaen"/>
                <w:sz w:val="20"/>
                <w:szCs w:val="20"/>
                <w:lang w:val="hy-AM"/>
              </w:rPr>
              <w:t>է</w:t>
            </w:r>
            <w:r w:rsidRPr="00BC61ED">
              <w:rPr>
                <w:rFonts w:cs="Arial Armenian"/>
                <w:sz w:val="20"/>
                <w:szCs w:val="20"/>
                <w:lang w:val="hy-AM"/>
              </w:rPr>
              <w:t xml:space="preserve"> </w:t>
            </w:r>
            <w:r w:rsidRPr="00BC61ED">
              <w:rPr>
                <w:rFonts w:cs="Sylfaen"/>
                <w:sz w:val="20"/>
                <w:szCs w:val="20"/>
                <w:lang w:val="hy-AM"/>
              </w:rPr>
              <w:t>հողամասերի</w:t>
            </w:r>
            <w:r w:rsidRPr="00BC61ED">
              <w:rPr>
                <w:rFonts w:cs="Arial Armenian"/>
                <w:sz w:val="20"/>
                <w:szCs w:val="20"/>
                <w:lang w:val="hy-AM"/>
              </w:rPr>
              <w:t xml:space="preserve"> </w:t>
            </w:r>
            <w:r w:rsidRPr="00BC61ED">
              <w:rPr>
                <w:rFonts w:cs="Sylfaen"/>
                <w:sz w:val="20"/>
                <w:szCs w:val="20"/>
                <w:lang w:val="hy-AM"/>
              </w:rPr>
              <w:t>որակի</w:t>
            </w:r>
            <w:r w:rsidRPr="00BC61ED">
              <w:rPr>
                <w:rFonts w:cs="Arial Armenian"/>
                <w:sz w:val="20"/>
                <w:szCs w:val="20"/>
                <w:lang w:val="hy-AM"/>
              </w:rPr>
              <w:t xml:space="preserve"> </w:t>
            </w:r>
            <w:r w:rsidRPr="00BC61ED">
              <w:rPr>
                <w:rFonts w:cs="Sylfaen"/>
                <w:sz w:val="20"/>
                <w:szCs w:val="20"/>
                <w:lang w:val="hy-AM"/>
              </w:rPr>
              <w:t>և</w:t>
            </w:r>
            <w:r w:rsidRPr="00BC61ED">
              <w:rPr>
                <w:rFonts w:cs="Arial Armenian"/>
                <w:sz w:val="20"/>
                <w:szCs w:val="20"/>
                <w:lang w:val="hy-AM"/>
              </w:rPr>
              <w:t xml:space="preserve"> </w:t>
            </w:r>
            <w:r w:rsidRPr="00BC61ED">
              <w:rPr>
                <w:rFonts w:cs="Sylfaen"/>
                <w:sz w:val="20"/>
                <w:szCs w:val="20"/>
                <w:lang w:val="hy-AM"/>
              </w:rPr>
              <w:t>քանակի</w:t>
            </w:r>
            <w:r w:rsidRPr="00BC61ED">
              <w:rPr>
                <w:rFonts w:cs="Arial Armenian"/>
                <w:sz w:val="20"/>
                <w:szCs w:val="20"/>
                <w:lang w:val="hy-AM"/>
              </w:rPr>
              <w:t xml:space="preserve">, </w:t>
            </w:r>
            <w:r w:rsidRPr="00BC61ED">
              <w:rPr>
                <w:rFonts w:cs="Sylfaen"/>
                <w:sz w:val="20"/>
                <w:szCs w:val="20"/>
                <w:lang w:val="hy-AM"/>
              </w:rPr>
              <w:t>նպատակային</w:t>
            </w:r>
            <w:r w:rsidRPr="00BC61ED">
              <w:rPr>
                <w:rFonts w:cs="Arial Armenian"/>
                <w:sz w:val="20"/>
                <w:szCs w:val="20"/>
                <w:lang w:val="hy-AM"/>
              </w:rPr>
              <w:t xml:space="preserve"> </w:t>
            </w:r>
            <w:r w:rsidRPr="00BC61ED">
              <w:rPr>
                <w:rFonts w:cs="Sylfaen"/>
                <w:sz w:val="20"/>
                <w:szCs w:val="20"/>
                <w:lang w:val="hy-AM"/>
              </w:rPr>
              <w:t>նշանակության</w:t>
            </w:r>
            <w:r w:rsidRPr="00BC61ED">
              <w:rPr>
                <w:rFonts w:cs="Arial Armenian"/>
                <w:sz w:val="20"/>
                <w:szCs w:val="20"/>
                <w:lang w:val="hy-AM"/>
              </w:rPr>
              <w:t xml:space="preserve">, </w:t>
            </w:r>
            <w:r w:rsidRPr="00BC61ED">
              <w:rPr>
                <w:rFonts w:cs="Sylfaen"/>
                <w:sz w:val="20"/>
                <w:szCs w:val="20"/>
                <w:lang w:val="hy-AM"/>
              </w:rPr>
              <w:t>հողատեսքերի</w:t>
            </w:r>
            <w:r w:rsidRPr="00BC61ED">
              <w:rPr>
                <w:rFonts w:cs="Arial Armenian"/>
                <w:sz w:val="20"/>
                <w:szCs w:val="20"/>
                <w:lang w:val="hy-AM"/>
              </w:rPr>
              <w:t xml:space="preserve"> </w:t>
            </w:r>
            <w:r w:rsidRPr="00BC61ED">
              <w:rPr>
                <w:rFonts w:cs="Sylfaen"/>
                <w:sz w:val="20"/>
                <w:szCs w:val="20"/>
                <w:lang w:val="hy-AM"/>
              </w:rPr>
              <w:t>և</w:t>
            </w:r>
            <w:r w:rsidRPr="00BC61ED">
              <w:rPr>
                <w:rFonts w:cs="Arial Armenian"/>
                <w:sz w:val="20"/>
                <w:szCs w:val="20"/>
                <w:lang w:val="hy-AM"/>
              </w:rPr>
              <w:t xml:space="preserve"> </w:t>
            </w:r>
            <w:r w:rsidRPr="00BC61ED">
              <w:rPr>
                <w:rFonts w:cs="Sylfaen"/>
                <w:sz w:val="20"/>
                <w:szCs w:val="20"/>
                <w:lang w:val="hy-AM"/>
              </w:rPr>
              <w:t>գործառնական</w:t>
            </w:r>
            <w:r w:rsidRPr="00BC61ED">
              <w:rPr>
                <w:rFonts w:cs="Arial Armenian"/>
                <w:sz w:val="20"/>
                <w:szCs w:val="20"/>
                <w:lang w:val="hy-AM"/>
              </w:rPr>
              <w:t xml:space="preserve"> </w:t>
            </w:r>
            <w:r w:rsidRPr="00BC61ED">
              <w:rPr>
                <w:rFonts w:cs="Sylfaen"/>
                <w:sz w:val="20"/>
                <w:szCs w:val="20"/>
                <w:lang w:val="hy-AM"/>
              </w:rPr>
              <w:t>նշանակության</w:t>
            </w:r>
            <w:r w:rsidRPr="00BC61ED">
              <w:rPr>
                <w:rFonts w:cs="Arial Armenian"/>
                <w:sz w:val="20"/>
                <w:szCs w:val="20"/>
                <w:lang w:val="hy-AM"/>
              </w:rPr>
              <w:t xml:space="preserve">, </w:t>
            </w:r>
            <w:r w:rsidRPr="00BC61ED">
              <w:rPr>
                <w:rFonts w:cs="Sylfaen"/>
                <w:sz w:val="20"/>
                <w:szCs w:val="20"/>
                <w:lang w:val="hy-AM"/>
              </w:rPr>
              <w:t>սեփականության</w:t>
            </w:r>
            <w:r w:rsidRPr="00BC61ED">
              <w:rPr>
                <w:rFonts w:cs="Arial Armenian"/>
                <w:sz w:val="20"/>
                <w:szCs w:val="20"/>
                <w:lang w:val="hy-AM"/>
              </w:rPr>
              <w:t xml:space="preserve"> </w:t>
            </w:r>
            <w:r w:rsidRPr="00BC61ED">
              <w:rPr>
                <w:rFonts w:cs="Sylfaen"/>
                <w:sz w:val="20"/>
                <w:szCs w:val="20"/>
                <w:lang w:val="hy-AM"/>
              </w:rPr>
              <w:t>ու</w:t>
            </w:r>
            <w:r w:rsidRPr="00BC61ED">
              <w:rPr>
                <w:rFonts w:cs="Arial Armenian"/>
                <w:sz w:val="20"/>
                <w:szCs w:val="20"/>
                <w:lang w:val="hy-AM"/>
              </w:rPr>
              <w:t xml:space="preserve"> </w:t>
            </w:r>
            <w:r w:rsidRPr="00BC61ED">
              <w:rPr>
                <w:rFonts w:cs="Sylfaen"/>
                <w:sz w:val="20"/>
                <w:szCs w:val="20"/>
                <w:lang w:val="hy-AM"/>
              </w:rPr>
              <w:t>օգտագործման</w:t>
            </w:r>
            <w:r w:rsidRPr="00BC61ED">
              <w:rPr>
                <w:rFonts w:cs="Arial Armenian"/>
                <w:sz w:val="20"/>
                <w:szCs w:val="20"/>
                <w:lang w:val="hy-AM"/>
              </w:rPr>
              <w:t xml:space="preserve"> </w:t>
            </w:r>
            <w:r w:rsidRPr="00BC61ED">
              <w:rPr>
                <w:rFonts w:cs="Sylfaen"/>
                <w:sz w:val="20"/>
                <w:szCs w:val="20"/>
                <w:lang w:val="hy-AM"/>
              </w:rPr>
              <w:t>սուբյեկտների</w:t>
            </w:r>
            <w:r w:rsidRPr="00BC61ED">
              <w:rPr>
                <w:rFonts w:cs="Arial Armenian"/>
                <w:sz w:val="20"/>
                <w:szCs w:val="20"/>
                <w:lang w:val="hy-AM"/>
              </w:rPr>
              <w:t xml:space="preserve"> </w:t>
            </w:r>
            <w:r w:rsidRPr="00BC61ED">
              <w:rPr>
                <w:rFonts w:cs="Sylfaen"/>
                <w:sz w:val="20"/>
                <w:szCs w:val="20"/>
                <w:lang w:val="hy-AM"/>
              </w:rPr>
              <w:t>վերաբերյալ</w:t>
            </w:r>
            <w:r w:rsidRPr="00BC61ED">
              <w:rPr>
                <w:rFonts w:cs="Arial Armenian"/>
                <w:sz w:val="20"/>
                <w:szCs w:val="20"/>
                <w:lang w:val="hy-AM"/>
              </w:rPr>
              <w:t xml:space="preserve"> </w:t>
            </w:r>
            <w:r w:rsidRPr="00BC61ED">
              <w:rPr>
                <w:rFonts w:cs="Sylfaen"/>
                <w:sz w:val="20"/>
                <w:szCs w:val="20"/>
                <w:lang w:val="hy-AM"/>
              </w:rPr>
              <w:t>ամբողջական</w:t>
            </w:r>
            <w:r w:rsidRPr="00BC61ED">
              <w:rPr>
                <w:rFonts w:cs="Arial Armenian"/>
                <w:sz w:val="20"/>
                <w:szCs w:val="20"/>
                <w:lang w:val="hy-AM"/>
              </w:rPr>
              <w:t xml:space="preserve"> </w:t>
            </w:r>
            <w:r w:rsidRPr="00BC61ED">
              <w:rPr>
                <w:rFonts w:cs="Sylfaen"/>
                <w:sz w:val="20"/>
                <w:szCs w:val="20"/>
                <w:lang w:val="hy-AM"/>
              </w:rPr>
              <w:t>տվյալներ</w:t>
            </w:r>
            <w:r w:rsidRPr="00BC61ED">
              <w:rPr>
                <w:rFonts w:cs="Arial Armenian"/>
                <w:sz w:val="20"/>
                <w:szCs w:val="20"/>
                <w:lang w:val="hy-AM"/>
              </w:rPr>
              <w:t xml:space="preserve"> </w:t>
            </w:r>
            <w:r w:rsidRPr="00BC61ED">
              <w:rPr>
                <w:rFonts w:cs="Sylfaen"/>
                <w:sz w:val="20"/>
                <w:szCs w:val="20"/>
                <w:lang w:val="hy-AM"/>
              </w:rPr>
              <w:t>ստանալու</w:t>
            </w:r>
            <w:r w:rsidRPr="00BC61ED">
              <w:rPr>
                <w:rFonts w:cs="Arial Armenian"/>
                <w:sz w:val="20"/>
                <w:szCs w:val="20"/>
                <w:lang w:val="hy-AM"/>
              </w:rPr>
              <w:t xml:space="preserve"> </w:t>
            </w:r>
            <w:r w:rsidRPr="00BC61ED">
              <w:rPr>
                <w:rFonts w:cs="Sylfaen"/>
                <w:sz w:val="20"/>
                <w:szCs w:val="20"/>
                <w:lang w:val="hy-AM"/>
              </w:rPr>
              <w:t>նպատակով</w:t>
            </w:r>
            <w:r w:rsidRPr="00BC61ED">
              <w:rPr>
                <w:rFonts w:cs="Arial Armenian"/>
                <w:sz w:val="20"/>
                <w:szCs w:val="20"/>
                <w:lang w:val="hy-AM"/>
              </w:rPr>
              <w:t xml:space="preserve">: </w:t>
            </w:r>
            <w:r w:rsidRPr="00BC61ED">
              <w:rPr>
                <w:rFonts w:cs="Sylfaen"/>
                <w:sz w:val="20"/>
                <w:szCs w:val="20"/>
                <w:lang w:val="hy-AM"/>
              </w:rPr>
              <w:t>Պետական</w:t>
            </w:r>
            <w:r w:rsidRPr="00BC61ED">
              <w:rPr>
                <w:rFonts w:cs="Arial Armenian"/>
                <w:sz w:val="20"/>
                <w:szCs w:val="20"/>
                <w:lang w:val="hy-AM"/>
              </w:rPr>
              <w:t xml:space="preserve"> </w:t>
            </w:r>
            <w:r w:rsidRPr="00BC61ED">
              <w:rPr>
                <w:rFonts w:cs="Sylfaen"/>
                <w:sz w:val="20"/>
                <w:szCs w:val="20"/>
                <w:lang w:val="hy-AM"/>
              </w:rPr>
              <w:t>հաշվառումն</w:t>
            </w:r>
            <w:r w:rsidRPr="00BC61ED">
              <w:rPr>
                <w:rFonts w:cs="Arial Armenian"/>
                <w:sz w:val="20"/>
                <w:szCs w:val="20"/>
                <w:lang w:val="hy-AM"/>
              </w:rPr>
              <w:t xml:space="preserve"> </w:t>
            </w:r>
            <w:r w:rsidRPr="00BC61ED">
              <w:rPr>
                <w:rFonts w:cs="Sylfaen"/>
                <w:sz w:val="20"/>
                <w:szCs w:val="20"/>
                <w:lang w:val="hy-AM"/>
              </w:rPr>
              <w:t>իրականացվում</w:t>
            </w:r>
            <w:r w:rsidRPr="00BC61ED">
              <w:rPr>
                <w:rFonts w:cs="Arial Armenian"/>
                <w:sz w:val="20"/>
                <w:szCs w:val="20"/>
                <w:lang w:val="hy-AM"/>
              </w:rPr>
              <w:t xml:space="preserve"> </w:t>
            </w:r>
            <w:r w:rsidRPr="00BC61ED">
              <w:rPr>
                <w:rFonts w:cs="Sylfaen"/>
                <w:sz w:val="20"/>
                <w:szCs w:val="20"/>
                <w:lang w:val="hy-AM"/>
              </w:rPr>
              <w:t>է</w:t>
            </w:r>
            <w:r w:rsidRPr="00BC61ED">
              <w:rPr>
                <w:rFonts w:cs="Arial Armenian"/>
                <w:sz w:val="20"/>
                <w:szCs w:val="20"/>
                <w:lang w:val="hy-AM"/>
              </w:rPr>
              <w:t xml:space="preserve"> </w:t>
            </w:r>
            <w:r w:rsidRPr="00BC61ED">
              <w:rPr>
                <w:rFonts w:cs="Sylfaen"/>
                <w:sz w:val="20"/>
                <w:szCs w:val="20"/>
                <w:lang w:val="hy-AM"/>
              </w:rPr>
              <w:t>անընդհատ</w:t>
            </w:r>
            <w:r w:rsidRPr="00BC61ED">
              <w:rPr>
                <w:rFonts w:cs="Arial Armenian"/>
                <w:sz w:val="20"/>
                <w:szCs w:val="20"/>
                <w:lang w:val="hy-AM"/>
              </w:rPr>
              <w:t xml:space="preserve">` </w:t>
            </w:r>
            <w:r w:rsidRPr="00BC61ED">
              <w:rPr>
                <w:rFonts w:cs="Sylfaen"/>
                <w:sz w:val="20"/>
                <w:szCs w:val="20"/>
                <w:lang w:val="hy-AM"/>
              </w:rPr>
              <w:t>սկզբնական</w:t>
            </w:r>
            <w:r w:rsidRPr="00BC61ED">
              <w:rPr>
                <w:rFonts w:cs="Arial Armenian"/>
                <w:sz w:val="20"/>
                <w:szCs w:val="20"/>
                <w:lang w:val="hy-AM"/>
              </w:rPr>
              <w:t xml:space="preserve"> </w:t>
            </w:r>
            <w:r w:rsidRPr="00BC61ED">
              <w:rPr>
                <w:rFonts w:cs="Sylfaen"/>
                <w:sz w:val="20"/>
                <w:szCs w:val="20"/>
                <w:lang w:val="hy-AM"/>
              </w:rPr>
              <w:t>հաշվառման</w:t>
            </w:r>
            <w:r w:rsidRPr="00BC61ED">
              <w:rPr>
                <w:rFonts w:cs="Arial Armenian"/>
                <w:sz w:val="20"/>
                <w:szCs w:val="20"/>
                <w:lang w:val="hy-AM"/>
              </w:rPr>
              <w:t xml:space="preserve"> </w:t>
            </w:r>
            <w:r w:rsidRPr="00BC61ED">
              <w:rPr>
                <w:rFonts w:cs="Sylfaen"/>
                <w:sz w:val="20"/>
                <w:szCs w:val="20"/>
                <w:lang w:val="hy-AM"/>
              </w:rPr>
              <w:t>ելակետային</w:t>
            </w:r>
            <w:r w:rsidRPr="00BC61ED">
              <w:rPr>
                <w:rFonts w:cs="Arial Armenian"/>
                <w:sz w:val="20"/>
                <w:szCs w:val="20"/>
                <w:lang w:val="hy-AM"/>
              </w:rPr>
              <w:t xml:space="preserve"> </w:t>
            </w:r>
            <w:r w:rsidRPr="00BC61ED">
              <w:rPr>
                <w:rFonts w:cs="Sylfaen"/>
                <w:sz w:val="20"/>
                <w:szCs w:val="20"/>
                <w:lang w:val="hy-AM"/>
              </w:rPr>
              <w:t>տվյալների</w:t>
            </w:r>
            <w:r w:rsidRPr="00BC61ED">
              <w:rPr>
                <w:rFonts w:cs="Arial Armenian"/>
                <w:sz w:val="20"/>
                <w:szCs w:val="20"/>
                <w:lang w:val="hy-AM"/>
              </w:rPr>
              <w:t xml:space="preserve"> </w:t>
            </w:r>
            <w:r w:rsidRPr="00BC61ED">
              <w:rPr>
                <w:rFonts w:cs="Sylfaen"/>
                <w:sz w:val="20"/>
                <w:szCs w:val="20"/>
                <w:lang w:val="hy-AM"/>
              </w:rPr>
              <w:t>հիման</w:t>
            </w:r>
            <w:r w:rsidRPr="00BC61ED">
              <w:rPr>
                <w:rFonts w:cs="Arial Armenian"/>
                <w:sz w:val="20"/>
                <w:szCs w:val="20"/>
                <w:lang w:val="hy-AM"/>
              </w:rPr>
              <w:t xml:space="preserve"> </w:t>
            </w:r>
            <w:r w:rsidRPr="00BC61ED">
              <w:rPr>
                <w:rFonts w:cs="Sylfaen"/>
                <w:sz w:val="20"/>
                <w:szCs w:val="20"/>
                <w:lang w:val="hy-AM"/>
              </w:rPr>
              <w:t>վրա</w:t>
            </w:r>
            <w:r w:rsidRPr="00BC61ED">
              <w:rPr>
                <w:rFonts w:cs="Arial Armenian"/>
                <w:sz w:val="20"/>
                <w:szCs w:val="20"/>
                <w:lang w:val="hy-AM"/>
              </w:rPr>
              <w:t xml:space="preserve">` </w:t>
            </w:r>
            <w:r w:rsidRPr="00BC61ED">
              <w:rPr>
                <w:rFonts w:cs="Sylfaen"/>
                <w:sz w:val="20"/>
                <w:szCs w:val="20"/>
                <w:lang w:val="hy-AM"/>
              </w:rPr>
              <w:t>տարվա</w:t>
            </w:r>
            <w:r w:rsidRPr="00BC61ED">
              <w:rPr>
                <w:rFonts w:cs="Arial Armenian"/>
                <w:sz w:val="20"/>
                <w:szCs w:val="20"/>
                <w:lang w:val="hy-AM"/>
              </w:rPr>
              <w:t xml:space="preserve"> </w:t>
            </w:r>
            <w:r w:rsidRPr="00BC61ED">
              <w:rPr>
                <w:rFonts w:cs="Sylfaen"/>
                <w:sz w:val="20"/>
                <w:szCs w:val="20"/>
                <w:lang w:val="hy-AM"/>
              </w:rPr>
              <w:t>ընթացքում</w:t>
            </w:r>
            <w:r w:rsidRPr="00BC61ED">
              <w:rPr>
                <w:rFonts w:cs="Arial Armenian"/>
                <w:sz w:val="20"/>
                <w:szCs w:val="20"/>
                <w:lang w:val="hy-AM"/>
              </w:rPr>
              <w:t xml:space="preserve"> </w:t>
            </w:r>
            <w:r w:rsidRPr="00BC61ED">
              <w:rPr>
                <w:rFonts w:cs="Sylfaen"/>
                <w:sz w:val="20"/>
                <w:szCs w:val="20"/>
                <w:lang w:val="hy-AM"/>
              </w:rPr>
              <w:t>կատարված</w:t>
            </w:r>
            <w:r w:rsidRPr="00BC61ED">
              <w:rPr>
                <w:rFonts w:cs="Arial Armenian"/>
                <w:sz w:val="20"/>
                <w:szCs w:val="20"/>
                <w:lang w:val="hy-AM"/>
              </w:rPr>
              <w:t xml:space="preserve"> </w:t>
            </w:r>
            <w:r w:rsidRPr="00BC61ED">
              <w:rPr>
                <w:rFonts w:cs="Sylfaen"/>
                <w:sz w:val="20"/>
                <w:szCs w:val="20"/>
                <w:lang w:val="hy-AM"/>
              </w:rPr>
              <w:t>իրավական</w:t>
            </w:r>
            <w:r w:rsidRPr="00BC61ED">
              <w:rPr>
                <w:rFonts w:cs="Arial Armenian"/>
                <w:sz w:val="20"/>
                <w:szCs w:val="20"/>
                <w:lang w:val="hy-AM"/>
              </w:rPr>
              <w:t xml:space="preserve">, </w:t>
            </w:r>
            <w:r w:rsidRPr="00BC61ED">
              <w:rPr>
                <w:rFonts w:cs="Sylfaen"/>
                <w:sz w:val="20"/>
                <w:szCs w:val="20"/>
                <w:lang w:val="hy-AM"/>
              </w:rPr>
              <w:t>որակական</w:t>
            </w:r>
            <w:r w:rsidRPr="00BC61ED">
              <w:rPr>
                <w:rFonts w:cs="Arial Armenian"/>
                <w:sz w:val="20"/>
                <w:szCs w:val="20"/>
                <w:lang w:val="hy-AM"/>
              </w:rPr>
              <w:t xml:space="preserve"> </w:t>
            </w:r>
            <w:r w:rsidRPr="00BC61ED">
              <w:rPr>
                <w:rFonts w:cs="Sylfaen"/>
                <w:sz w:val="20"/>
                <w:szCs w:val="20"/>
                <w:lang w:val="hy-AM"/>
              </w:rPr>
              <w:t>և</w:t>
            </w:r>
            <w:r w:rsidRPr="00BC61ED">
              <w:rPr>
                <w:rFonts w:cs="Arial Armenian"/>
                <w:sz w:val="20"/>
                <w:szCs w:val="20"/>
                <w:lang w:val="hy-AM"/>
              </w:rPr>
              <w:t xml:space="preserve"> </w:t>
            </w:r>
            <w:r w:rsidRPr="00BC61ED">
              <w:rPr>
                <w:rFonts w:cs="Sylfaen"/>
                <w:sz w:val="20"/>
                <w:szCs w:val="20"/>
                <w:lang w:val="hy-AM"/>
              </w:rPr>
              <w:t>քանակական</w:t>
            </w:r>
            <w:r w:rsidRPr="00BC61ED">
              <w:rPr>
                <w:rFonts w:cs="Arial Armenian"/>
                <w:sz w:val="20"/>
                <w:szCs w:val="20"/>
                <w:lang w:val="hy-AM"/>
              </w:rPr>
              <w:t xml:space="preserve"> </w:t>
            </w:r>
            <w:r w:rsidRPr="00BC61ED">
              <w:rPr>
                <w:rFonts w:cs="Sylfaen"/>
                <w:sz w:val="20"/>
                <w:szCs w:val="20"/>
                <w:lang w:val="hy-AM"/>
              </w:rPr>
              <w:t>փոփոխություններն</w:t>
            </w:r>
            <w:r w:rsidRPr="00BC61ED">
              <w:rPr>
                <w:rFonts w:cs="Arial Armenian"/>
                <w:sz w:val="20"/>
                <w:szCs w:val="20"/>
                <w:lang w:val="hy-AM"/>
              </w:rPr>
              <w:t xml:space="preserve"> </w:t>
            </w:r>
            <w:r w:rsidRPr="00BC61ED">
              <w:rPr>
                <w:rFonts w:cs="Sylfaen"/>
                <w:sz w:val="20"/>
                <w:szCs w:val="20"/>
                <w:lang w:val="hy-AM"/>
              </w:rPr>
              <w:t>արտացոլելով</w:t>
            </w:r>
            <w:r w:rsidRPr="00BC61ED">
              <w:rPr>
                <w:rFonts w:cs="Arial Armenian"/>
                <w:sz w:val="20"/>
                <w:szCs w:val="20"/>
                <w:lang w:val="hy-AM"/>
              </w:rPr>
              <w:t xml:space="preserve"> </w:t>
            </w:r>
            <w:r w:rsidRPr="00BC61ED">
              <w:rPr>
                <w:rFonts w:cs="Sylfaen"/>
                <w:sz w:val="20"/>
                <w:szCs w:val="20"/>
                <w:lang w:val="hy-AM"/>
              </w:rPr>
              <w:t>հաշվառման</w:t>
            </w:r>
            <w:r w:rsidRPr="00BC61ED">
              <w:rPr>
                <w:rFonts w:cs="Arial Armenian"/>
                <w:sz w:val="20"/>
                <w:szCs w:val="20"/>
                <w:lang w:val="hy-AM"/>
              </w:rPr>
              <w:t xml:space="preserve"> </w:t>
            </w:r>
            <w:r w:rsidRPr="00BC61ED">
              <w:rPr>
                <w:rFonts w:cs="Sylfaen"/>
                <w:sz w:val="20"/>
                <w:szCs w:val="20"/>
                <w:lang w:val="hy-AM"/>
              </w:rPr>
              <w:t>տեքստային</w:t>
            </w:r>
            <w:r w:rsidRPr="00BC61ED">
              <w:rPr>
                <w:rFonts w:cs="Arial Armenian"/>
                <w:sz w:val="20"/>
                <w:szCs w:val="20"/>
                <w:lang w:val="hy-AM"/>
              </w:rPr>
              <w:t xml:space="preserve"> </w:t>
            </w:r>
            <w:r w:rsidRPr="00BC61ED">
              <w:rPr>
                <w:rFonts w:cs="Sylfaen"/>
                <w:sz w:val="20"/>
                <w:szCs w:val="20"/>
                <w:lang w:val="hy-AM"/>
              </w:rPr>
              <w:t>ու</w:t>
            </w:r>
            <w:r w:rsidRPr="00BC61ED">
              <w:rPr>
                <w:rFonts w:cs="Arial Armenian"/>
                <w:sz w:val="20"/>
                <w:szCs w:val="20"/>
                <w:lang w:val="hy-AM"/>
              </w:rPr>
              <w:t xml:space="preserve"> </w:t>
            </w:r>
            <w:r w:rsidRPr="00BC61ED">
              <w:rPr>
                <w:rFonts w:cs="Sylfaen"/>
                <w:sz w:val="20"/>
                <w:szCs w:val="20"/>
                <w:lang w:val="hy-AM"/>
              </w:rPr>
              <w:t>գրաֆիկական</w:t>
            </w:r>
            <w:r w:rsidRPr="00BC61ED">
              <w:rPr>
                <w:rFonts w:cs="Arial Armenian"/>
                <w:sz w:val="20"/>
                <w:szCs w:val="20"/>
                <w:lang w:val="hy-AM"/>
              </w:rPr>
              <w:t xml:space="preserve"> </w:t>
            </w:r>
            <w:r w:rsidRPr="00BC61ED">
              <w:rPr>
                <w:rFonts w:cs="Sylfaen"/>
                <w:sz w:val="20"/>
                <w:szCs w:val="20"/>
                <w:lang w:val="hy-AM"/>
              </w:rPr>
              <w:t>փաստաթղթերում</w:t>
            </w:r>
            <w:r w:rsidRPr="00BC61ED">
              <w:rPr>
                <w:rFonts w:cs="Arial Armenian"/>
                <w:sz w:val="20"/>
                <w:szCs w:val="20"/>
                <w:lang w:val="hy-AM"/>
              </w:rPr>
              <w:t xml:space="preserve">:  </w:t>
            </w:r>
            <w:r w:rsidRPr="00BC61ED">
              <w:rPr>
                <w:rFonts w:cs="Sylfaen"/>
                <w:sz w:val="20"/>
                <w:szCs w:val="20"/>
                <w:lang w:val="hy-AM"/>
              </w:rPr>
              <w:t>Հողամասերի</w:t>
            </w:r>
            <w:r w:rsidRPr="00BC61ED">
              <w:rPr>
                <w:rFonts w:cs="Arial Armenian"/>
                <w:sz w:val="20"/>
                <w:szCs w:val="20"/>
                <w:lang w:val="hy-AM"/>
              </w:rPr>
              <w:t xml:space="preserve"> </w:t>
            </w:r>
            <w:r w:rsidRPr="00BC61ED">
              <w:rPr>
                <w:rFonts w:cs="Sylfaen"/>
                <w:sz w:val="20"/>
                <w:szCs w:val="20"/>
                <w:lang w:val="hy-AM"/>
              </w:rPr>
              <w:t>պետական</w:t>
            </w:r>
            <w:r w:rsidRPr="00BC61ED">
              <w:rPr>
                <w:rFonts w:cs="Arial Armenian"/>
                <w:sz w:val="20"/>
                <w:szCs w:val="20"/>
                <w:lang w:val="hy-AM"/>
              </w:rPr>
              <w:t xml:space="preserve"> </w:t>
            </w:r>
            <w:r w:rsidRPr="00BC61ED">
              <w:rPr>
                <w:rFonts w:cs="Sylfaen"/>
                <w:sz w:val="20"/>
                <w:szCs w:val="20"/>
                <w:lang w:val="hy-AM"/>
              </w:rPr>
              <w:t>հաշվառման</w:t>
            </w:r>
            <w:r w:rsidRPr="00BC61ED">
              <w:rPr>
                <w:rFonts w:cs="Arial Armenian"/>
                <w:sz w:val="20"/>
                <w:szCs w:val="20"/>
                <w:lang w:val="hy-AM"/>
              </w:rPr>
              <w:t xml:space="preserve"> </w:t>
            </w:r>
            <w:r w:rsidRPr="00BC61ED">
              <w:rPr>
                <w:rFonts w:cs="Sylfaen"/>
                <w:sz w:val="20"/>
                <w:szCs w:val="20"/>
                <w:lang w:val="hy-AM"/>
              </w:rPr>
              <w:t>նպատակը</w:t>
            </w:r>
            <w:r w:rsidRPr="00BC61ED">
              <w:rPr>
                <w:rFonts w:cs="Arial Armenian"/>
                <w:sz w:val="20"/>
                <w:szCs w:val="20"/>
                <w:lang w:val="hy-AM"/>
              </w:rPr>
              <w:t xml:space="preserve"> </w:t>
            </w:r>
            <w:r w:rsidRPr="00BC61ED">
              <w:rPr>
                <w:rFonts w:cs="Sylfaen"/>
                <w:sz w:val="20"/>
                <w:szCs w:val="20"/>
                <w:lang w:val="hy-AM"/>
              </w:rPr>
              <w:t>Հայաստանի Հանրապետության</w:t>
            </w:r>
            <w:r w:rsidRPr="00BC61ED">
              <w:rPr>
                <w:rFonts w:cs="Arial Armenian"/>
                <w:sz w:val="20"/>
                <w:szCs w:val="20"/>
                <w:lang w:val="hy-AM"/>
              </w:rPr>
              <w:t xml:space="preserve"> </w:t>
            </w:r>
            <w:r w:rsidRPr="00BC61ED">
              <w:rPr>
                <w:rFonts w:cs="Sylfaen"/>
                <w:sz w:val="20"/>
                <w:szCs w:val="20"/>
                <w:lang w:val="hy-AM"/>
              </w:rPr>
              <w:t>հողային</w:t>
            </w:r>
            <w:r w:rsidRPr="00BC61ED">
              <w:rPr>
                <w:rFonts w:cs="Arial Armenian"/>
                <w:sz w:val="20"/>
                <w:szCs w:val="20"/>
                <w:lang w:val="hy-AM"/>
              </w:rPr>
              <w:t xml:space="preserve"> </w:t>
            </w:r>
            <w:r w:rsidRPr="00BC61ED">
              <w:rPr>
                <w:rFonts w:cs="Sylfaen"/>
                <w:sz w:val="20"/>
                <w:szCs w:val="20"/>
                <w:lang w:val="hy-AM"/>
              </w:rPr>
              <w:t>ֆոնդի</w:t>
            </w:r>
            <w:r w:rsidRPr="00BC61ED">
              <w:rPr>
                <w:rFonts w:cs="Arial Armenian"/>
                <w:sz w:val="20"/>
                <w:szCs w:val="20"/>
                <w:lang w:val="hy-AM"/>
              </w:rPr>
              <w:t xml:space="preserve"> </w:t>
            </w:r>
            <w:r w:rsidRPr="00BC61ED">
              <w:rPr>
                <w:rFonts w:cs="Sylfaen"/>
                <w:sz w:val="20"/>
                <w:szCs w:val="20"/>
                <w:lang w:val="hy-AM"/>
              </w:rPr>
              <w:t>տարեկան</w:t>
            </w:r>
            <w:r w:rsidRPr="00BC61ED">
              <w:rPr>
                <w:rFonts w:cs="Arial Armenian"/>
                <w:sz w:val="20"/>
                <w:szCs w:val="20"/>
                <w:lang w:val="hy-AM"/>
              </w:rPr>
              <w:t xml:space="preserve"> </w:t>
            </w:r>
            <w:r w:rsidRPr="00BC61ED">
              <w:rPr>
                <w:rFonts w:cs="Sylfaen"/>
                <w:sz w:val="20"/>
                <w:szCs w:val="20"/>
                <w:lang w:val="hy-AM"/>
              </w:rPr>
              <w:t>հաշվետվության</w:t>
            </w:r>
            <w:r w:rsidRPr="00BC61ED">
              <w:rPr>
                <w:rFonts w:cs="Arial Armenian"/>
                <w:sz w:val="20"/>
                <w:szCs w:val="20"/>
                <w:lang w:val="hy-AM"/>
              </w:rPr>
              <w:t xml:space="preserve"> (</w:t>
            </w:r>
            <w:r w:rsidRPr="00BC61ED">
              <w:rPr>
                <w:rFonts w:cs="Sylfaen"/>
                <w:sz w:val="20"/>
                <w:szCs w:val="20"/>
                <w:lang w:val="hy-AM"/>
              </w:rPr>
              <w:t>հողային</w:t>
            </w:r>
            <w:r w:rsidRPr="00BC61ED">
              <w:rPr>
                <w:rFonts w:cs="Arial Armenian"/>
                <w:sz w:val="20"/>
                <w:szCs w:val="20"/>
                <w:lang w:val="hy-AM"/>
              </w:rPr>
              <w:t xml:space="preserve"> </w:t>
            </w:r>
            <w:r w:rsidRPr="00BC61ED">
              <w:rPr>
                <w:rFonts w:cs="Sylfaen"/>
                <w:sz w:val="20"/>
                <w:szCs w:val="20"/>
                <w:lang w:val="hy-AM"/>
              </w:rPr>
              <w:t>հաշվեկշռի</w:t>
            </w:r>
            <w:r w:rsidRPr="00BC61ED">
              <w:rPr>
                <w:rFonts w:cs="Arial Armenian"/>
                <w:sz w:val="20"/>
                <w:szCs w:val="20"/>
                <w:lang w:val="hy-AM"/>
              </w:rPr>
              <w:t xml:space="preserve">)` </w:t>
            </w:r>
            <w:r w:rsidRPr="00BC61ED">
              <w:rPr>
                <w:rFonts w:cs="Sylfaen"/>
                <w:sz w:val="20"/>
                <w:szCs w:val="20"/>
                <w:lang w:val="hy-AM"/>
              </w:rPr>
              <w:t>յուրաքանչյուր</w:t>
            </w:r>
            <w:r w:rsidRPr="00BC61ED">
              <w:rPr>
                <w:rFonts w:cs="Arial Armenian"/>
                <w:sz w:val="20"/>
                <w:szCs w:val="20"/>
                <w:lang w:val="hy-AM"/>
              </w:rPr>
              <w:t xml:space="preserve"> </w:t>
            </w:r>
            <w:r w:rsidRPr="00BC61ED">
              <w:rPr>
                <w:rFonts w:cs="Sylfaen"/>
                <w:sz w:val="20"/>
                <w:szCs w:val="20"/>
                <w:lang w:val="hy-AM"/>
              </w:rPr>
              <w:t>տարվա</w:t>
            </w:r>
            <w:r w:rsidRPr="00BC61ED">
              <w:rPr>
                <w:rFonts w:cs="Arial Armenian"/>
                <w:sz w:val="20"/>
                <w:szCs w:val="20"/>
                <w:lang w:val="hy-AM"/>
              </w:rPr>
              <w:t xml:space="preserve"> </w:t>
            </w:r>
            <w:r w:rsidRPr="00BC61ED">
              <w:rPr>
                <w:rFonts w:cs="Sylfaen"/>
                <w:sz w:val="20"/>
                <w:szCs w:val="20"/>
                <w:lang w:val="hy-AM"/>
              </w:rPr>
              <w:t>հուլիսի</w:t>
            </w:r>
            <w:r w:rsidRPr="00BC61ED">
              <w:rPr>
                <w:rFonts w:cs="Arial Armenian"/>
                <w:sz w:val="20"/>
                <w:szCs w:val="20"/>
                <w:lang w:val="hy-AM"/>
              </w:rPr>
              <w:t xml:space="preserve"> 1-</w:t>
            </w:r>
            <w:r w:rsidRPr="00BC61ED">
              <w:rPr>
                <w:rFonts w:cs="Sylfaen"/>
                <w:sz w:val="20"/>
                <w:szCs w:val="20"/>
                <w:lang w:val="hy-AM"/>
              </w:rPr>
              <w:t>ի</w:t>
            </w:r>
            <w:r w:rsidRPr="00BC61ED">
              <w:rPr>
                <w:rFonts w:cs="Arial Armenian"/>
                <w:sz w:val="20"/>
                <w:szCs w:val="20"/>
                <w:lang w:val="hy-AM"/>
              </w:rPr>
              <w:t xml:space="preserve"> </w:t>
            </w:r>
            <w:r w:rsidRPr="00BC61ED">
              <w:rPr>
                <w:rFonts w:cs="Sylfaen"/>
                <w:sz w:val="20"/>
                <w:szCs w:val="20"/>
                <w:lang w:val="hy-AM"/>
              </w:rPr>
              <w:t>դրությամբ կազմումն է</w:t>
            </w:r>
            <w:r w:rsidRPr="00BC61ED">
              <w:rPr>
                <w:rFonts w:cs="Arial Armenian"/>
                <w:sz w:val="20"/>
                <w:szCs w:val="20"/>
                <w:lang w:val="hy-AM"/>
              </w:rPr>
              <w:t xml:space="preserve">, </w:t>
            </w:r>
            <w:r w:rsidRPr="00BC61ED">
              <w:rPr>
                <w:rFonts w:cs="Sylfaen"/>
                <w:sz w:val="20"/>
                <w:szCs w:val="20"/>
                <w:lang w:val="hy-AM"/>
              </w:rPr>
              <w:t>որը</w:t>
            </w:r>
            <w:r w:rsidRPr="00BC61ED">
              <w:rPr>
                <w:rFonts w:cs="Arial Armenian"/>
                <w:sz w:val="20"/>
                <w:szCs w:val="20"/>
                <w:lang w:val="hy-AM"/>
              </w:rPr>
              <w:t xml:space="preserve"> </w:t>
            </w:r>
            <w:r w:rsidRPr="00BC61ED">
              <w:rPr>
                <w:rFonts w:cs="Sylfaen"/>
                <w:sz w:val="20"/>
                <w:szCs w:val="20"/>
                <w:lang w:val="hy-AM"/>
              </w:rPr>
              <w:t>հաստատում</w:t>
            </w:r>
            <w:r w:rsidRPr="00BC61ED">
              <w:rPr>
                <w:rFonts w:cs="Arial Armenian"/>
                <w:sz w:val="20"/>
                <w:szCs w:val="20"/>
                <w:lang w:val="hy-AM"/>
              </w:rPr>
              <w:t xml:space="preserve"> </w:t>
            </w:r>
            <w:r w:rsidRPr="00BC61ED">
              <w:rPr>
                <w:rFonts w:cs="Sylfaen"/>
                <w:sz w:val="20"/>
                <w:szCs w:val="20"/>
                <w:lang w:val="hy-AM"/>
              </w:rPr>
              <w:t>և</w:t>
            </w:r>
            <w:r w:rsidRPr="00BC61ED">
              <w:rPr>
                <w:rFonts w:cs="Arial Armenian"/>
                <w:sz w:val="20"/>
                <w:szCs w:val="20"/>
                <w:lang w:val="hy-AM"/>
              </w:rPr>
              <w:t xml:space="preserve"> </w:t>
            </w:r>
            <w:r w:rsidRPr="00BC61ED">
              <w:rPr>
                <w:rFonts w:cs="Sylfaen"/>
                <w:sz w:val="20"/>
                <w:szCs w:val="20"/>
                <w:lang w:val="hy-AM"/>
              </w:rPr>
              <w:t>հրապարակում</w:t>
            </w:r>
            <w:r w:rsidRPr="00BC61ED">
              <w:rPr>
                <w:rFonts w:cs="Arial Armenian"/>
                <w:sz w:val="20"/>
                <w:szCs w:val="20"/>
                <w:lang w:val="hy-AM"/>
              </w:rPr>
              <w:t xml:space="preserve"> </w:t>
            </w:r>
            <w:r w:rsidRPr="00BC61ED">
              <w:rPr>
                <w:rFonts w:cs="Sylfaen"/>
                <w:sz w:val="20"/>
                <w:szCs w:val="20"/>
                <w:lang w:val="hy-AM"/>
              </w:rPr>
              <w:t>է</w:t>
            </w:r>
            <w:r w:rsidRPr="00BC61ED">
              <w:rPr>
                <w:rFonts w:cs="Arial Armenian"/>
                <w:sz w:val="20"/>
                <w:szCs w:val="20"/>
                <w:lang w:val="hy-AM"/>
              </w:rPr>
              <w:t xml:space="preserve"> </w:t>
            </w:r>
            <w:r w:rsidRPr="00BC61ED">
              <w:rPr>
                <w:rFonts w:cs="Sylfaen"/>
                <w:sz w:val="20"/>
                <w:szCs w:val="20"/>
                <w:lang w:val="hy-AM"/>
              </w:rPr>
              <w:t>Հայաստանի Հանրապետության</w:t>
            </w:r>
            <w:r w:rsidRPr="00BC61ED">
              <w:rPr>
                <w:rFonts w:cs="Arial Armenian"/>
                <w:sz w:val="20"/>
                <w:szCs w:val="20"/>
                <w:lang w:val="hy-AM"/>
              </w:rPr>
              <w:t xml:space="preserve"> </w:t>
            </w:r>
            <w:r w:rsidRPr="00BC61ED">
              <w:rPr>
                <w:rFonts w:cs="Sylfaen"/>
                <w:sz w:val="20"/>
                <w:szCs w:val="20"/>
                <w:lang w:val="hy-AM"/>
              </w:rPr>
              <w:t>կառավարությունը</w:t>
            </w:r>
            <w:r w:rsidRPr="00BC61ED">
              <w:rPr>
                <w:sz w:val="20"/>
                <w:szCs w:val="20"/>
                <w:lang w:val="hy-AM"/>
              </w:rPr>
              <w:t>:</w:t>
            </w:r>
          </w:p>
          <w:p w:rsidR="0068680D" w:rsidRPr="00BC61ED" w:rsidRDefault="0068680D" w:rsidP="00F47DC4">
            <w:pPr>
              <w:tabs>
                <w:tab w:val="left" w:pos="0"/>
              </w:tabs>
              <w:spacing w:line="276" w:lineRule="auto"/>
              <w:ind w:right="106"/>
              <w:jc w:val="both"/>
              <w:rPr>
                <w:sz w:val="20"/>
                <w:szCs w:val="20"/>
                <w:lang w:val="hy-AM"/>
              </w:rPr>
            </w:pPr>
            <w:r w:rsidRPr="00BC61ED">
              <w:rPr>
                <w:sz w:val="20"/>
                <w:szCs w:val="20"/>
                <w:lang w:val="hy-AM"/>
              </w:rPr>
              <w:t xml:space="preserve">   Յուրաքանչյուր տարի</w:t>
            </w:r>
            <w:r w:rsidRPr="00BC61ED">
              <w:rPr>
                <w:rFonts w:cs="Arial Armenian"/>
                <w:sz w:val="20"/>
                <w:szCs w:val="20"/>
                <w:lang w:val="hy-AM"/>
              </w:rPr>
              <w:t xml:space="preserve"> </w:t>
            </w:r>
            <w:r w:rsidRPr="00BC61ED">
              <w:rPr>
                <w:sz w:val="20"/>
                <w:szCs w:val="20"/>
                <w:lang w:val="hy-AM"/>
              </w:rPr>
              <w:t>Հայաստանի</w:t>
            </w:r>
            <w:r w:rsidRPr="00BC61ED">
              <w:rPr>
                <w:rFonts w:cs="Arial Armenian"/>
                <w:sz w:val="20"/>
                <w:szCs w:val="20"/>
                <w:lang w:val="hy-AM"/>
              </w:rPr>
              <w:t xml:space="preserve"> </w:t>
            </w:r>
            <w:r w:rsidRPr="00BC61ED">
              <w:rPr>
                <w:sz w:val="20"/>
                <w:szCs w:val="20"/>
                <w:lang w:val="hy-AM"/>
              </w:rPr>
              <w:t>Հանրապետության</w:t>
            </w:r>
            <w:r w:rsidRPr="00BC61ED">
              <w:rPr>
                <w:rFonts w:cs="Arial Armenian"/>
                <w:sz w:val="20"/>
                <w:szCs w:val="20"/>
                <w:lang w:val="hy-AM"/>
              </w:rPr>
              <w:t xml:space="preserve"> </w:t>
            </w:r>
            <w:r w:rsidRPr="00BC61ED">
              <w:rPr>
                <w:sz w:val="20"/>
                <w:szCs w:val="20"/>
                <w:lang w:val="hy-AM"/>
              </w:rPr>
              <w:t>հողային</w:t>
            </w:r>
            <w:r w:rsidRPr="00BC61ED">
              <w:rPr>
                <w:rFonts w:cs="Arial Armenian"/>
                <w:sz w:val="20"/>
                <w:szCs w:val="20"/>
                <w:lang w:val="hy-AM"/>
              </w:rPr>
              <w:t xml:space="preserve"> </w:t>
            </w:r>
            <w:r w:rsidRPr="00BC61ED">
              <w:rPr>
                <w:sz w:val="20"/>
                <w:szCs w:val="20"/>
                <w:lang w:val="hy-AM"/>
              </w:rPr>
              <w:t>ֆոնդում</w:t>
            </w:r>
            <w:r w:rsidRPr="00BC61ED">
              <w:rPr>
                <w:rFonts w:cs="Arial Armenian"/>
                <w:sz w:val="20"/>
                <w:szCs w:val="20"/>
                <w:lang w:val="hy-AM"/>
              </w:rPr>
              <w:t xml:space="preserve"> </w:t>
            </w:r>
            <w:r w:rsidRPr="00BC61ED">
              <w:rPr>
                <w:sz w:val="20"/>
                <w:szCs w:val="20"/>
                <w:lang w:val="hy-AM"/>
              </w:rPr>
              <w:t>կատարվում են</w:t>
            </w:r>
            <w:r w:rsidRPr="00BC61ED">
              <w:rPr>
                <w:rFonts w:cs="Arial Armenian"/>
                <w:sz w:val="20"/>
                <w:szCs w:val="20"/>
                <w:lang w:val="hy-AM"/>
              </w:rPr>
              <w:t xml:space="preserve"> </w:t>
            </w:r>
            <w:r w:rsidRPr="00BC61ED">
              <w:rPr>
                <w:sz w:val="20"/>
                <w:szCs w:val="20"/>
                <w:lang w:val="hy-AM"/>
              </w:rPr>
              <w:t>նպատակային</w:t>
            </w:r>
            <w:r w:rsidRPr="00BC61ED">
              <w:rPr>
                <w:rFonts w:cs="Arial Armenian"/>
                <w:sz w:val="20"/>
                <w:szCs w:val="20"/>
                <w:lang w:val="hy-AM"/>
              </w:rPr>
              <w:t xml:space="preserve"> </w:t>
            </w:r>
            <w:r w:rsidRPr="00BC61ED">
              <w:rPr>
                <w:sz w:val="20"/>
                <w:szCs w:val="20"/>
                <w:lang w:val="hy-AM"/>
              </w:rPr>
              <w:t>և</w:t>
            </w:r>
            <w:r w:rsidRPr="00BC61ED">
              <w:rPr>
                <w:rFonts w:cs="Arial Armenian"/>
                <w:sz w:val="20"/>
                <w:szCs w:val="20"/>
                <w:lang w:val="hy-AM"/>
              </w:rPr>
              <w:t xml:space="preserve"> </w:t>
            </w:r>
            <w:r w:rsidRPr="00BC61ED">
              <w:rPr>
                <w:sz w:val="20"/>
                <w:szCs w:val="20"/>
                <w:lang w:val="hy-AM"/>
              </w:rPr>
              <w:t>գործառնական</w:t>
            </w:r>
            <w:r w:rsidRPr="00BC61ED">
              <w:rPr>
                <w:rFonts w:cs="Arial Armenian"/>
                <w:sz w:val="20"/>
                <w:szCs w:val="20"/>
                <w:lang w:val="hy-AM"/>
              </w:rPr>
              <w:t xml:space="preserve"> </w:t>
            </w:r>
            <w:r w:rsidRPr="00BC61ED">
              <w:rPr>
                <w:sz w:val="20"/>
                <w:szCs w:val="20"/>
                <w:lang w:val="hy-AM"/>
              </w:rPr>
              <w:t>նշանակությունների</w:t>
            </w:r>
            <w:r w:rsidRPr="00BC61ED">
              <w:rPr>
                <w:rFonts w:cs="Arial Armenian"/>
                <w:sz w:val="20"/>
                <w:szCs w:val="20"/>
                <w:lang w:val="hy-AM"/>
              </w:rPr>
              <w:t xml:space="preserve">, </w:t>
            </w:r>
            <w:r w:rsidRPr="00BC61ED">
              <w:rPr>
                <w:sz w:val="20"/>
                <w:szCs w:val="20"/>
                <w:lang w:val="hy-AM"/>
              </w:rPr>
              <w:t>հողատեսքերի</w:t>
            </w:r>
            <w:r w:rsidRPr="00BC61ED">
              <w:rPr>
                <w:rFonts w:cs="Arial Armenian"/>
                <w:sz w:val="20"/>
                <w:szCs w:val="20"/>
                <w:lang w:val="hy-AM"/>
              </w:rPr>
              <w:t xml:space="preserve"> </w:t>
            </w:r>
            <w:r w:rsidRPr="00BC61ED">
              <w:rPr>
                <w:sz w:val="20"/>
                <w:szCs w:val="20"/>
                <w:lang w:val="hy-AM"/>
              </w:rPr>
              <w:t>և</w:t>
            </w:r>
            <w:r w:rsidRPr="00BC61ED">
              <w:rPr>
                <w:rFonts w:cs="Arial Armenian"/>
                <w:sz w:val="20"/>
                <w:szCs w:val="20"/>
                <w:lang w:val="hy-AM"/>
              </w:rPr>
              <w:t xml:space="preserve"> </w:t>
            </w:r>
            <w:r w:rsidRPr="00BC61ED">
              <w:rPr>
                <w:sz w:val="20"/>
                <w:szCs w:val="20"/>
                <w:lang w:val="hy-AM"/>
              </w:rPr>
              <w:t>սեփականության</w:t>
            </w:r>
            <w:r w:rsidRPr="00BC61ED">
              <w:rPr>
                <w:rFonts w:cs="Arial Armenian"/>
                <w:sz w:val="20"/>
                <w:szCs w:val="20"/>
                <w:lang w:val="hy-AM"/>
              </w:rPr>
              <w:t xml:space="preserve"> </w:t>
            </w:r>
            <w:r w:rsidRPr="00BC61ED">
              <w:rPr>
                <w:sz w:val="20"/>
                <w:szCs w:val="20"/>
                <w:lang w:val="hy-AM"/>
              </w:rPr>
              <w:t>սուբյեկտների</w:t>
            </w:r>
            <w:r w:rsidRPr="00BC61ED">
              <w:rPr>
                <w:rFonts w:cs="Arial Armenian"/>
                <w:sz w:val="20"/>
                <w:szCs w:val="20"/>
                <w:lang w:val="hy-AM"/>
              </w:rPr>
              <w:t xml:space="preserve">, </w:t>
            </w:r>
            <w:r w:rsidRPr="00BC61ED">
              <w:rPr>
                <w:sz w:val="20"/>
                <w:szCs w:val="20"/>
                <w:lang w:val="hy-AM"/>
              </w:rPr>
              <w:t>ինչպես</w:t>
            </w:r>
            <w:r w:rsidRPr="00BC61ED">
              <w:rPr>
                <w:rFonts w:cs="Arial Armenian"/>
                <w:sz w:val="20"/>
                <w:szCs w:val="20"/>
                <w:lang w:val="hy-AM"/>
              </w:rPr>
              <w:t xml:space="preserve"> </w:t>
            </w:r>
            <w:r w:rsidRPr="00BC61ED">
              <w:rPr>
                <w:sz w:val="20"/>
                <w:szCs w:val="20"/>
                <w:lang w:val="hy-AM"/>
              </w:rPr>
              <w:t>նաև</w:t>
            </w:r>
            <w:r w:rsidRPr="00BC61ED">
              <w:rPr>
                <w:rFonts w:cs="Arial Armenian"/>
                <w:sz w:val="20"/>
                <w:szCs w:val="20"/>
                <w:lang w:val="hy-AM"/>
              </w:rPr>
              <w:t xml:space="preserve"> </w:t>
            </w:r>
            <w:r w:rsidRPr="00BC61ED">
              <w:rPr>
                <w:sz w:val="20"/>
                <w:szCs w:val="20"/>
                <w:lang w:val="hy-AM"/>
              </w:rPr>
              <w:t>ոռոգվող</w:t>
            </w:r>
            <w:r w:rsidRPr="00BC61ED">
              <w:rPr>
                <w:rFonts w:cs="Arial Armenian"/>
                <w:sz w:val="20"/>
                <w:szCs w:val="20"/>
                <w:lang w:val="hy-AM"/>
              </w:rPr>
              <w:t xml:space="preserve"> </w:t>
            </w:r>
            <w:r w:rsidRPr="00BC61ED">
              <w:rPr>
                <w:sz w:val="20"/>
                <w:szCs w:val="20"/>
                <w:lang w:val="hy-AM"/>
              </w:rPr>
              <w:t>հողերի</w:t>
            </w:r>
            <w:r w:rsidRPr="00BC61ED">
              <w:rPr>
                <w:rFonts w:cs="Arial Armenian"/>
                <w:sz w:val="20"/>
                <w:szCs w:val="20"/>
                <w:lang w:val="hy-AM"/>
              </w:rPr>
              <w:t xml:space="preserve"> </w:t>
            </w:r>
            <w:r w:rsidRPr="00BC61ED">
              <w:rPr>
                <w:sz w:val="20"/>
                <w:szCs w:val="20"/>
                <w:lang w:val="hy-AM"/>
              </w:rPr>
              <w:t>փոփոխություններ</w:t>
            </w:r>
            <w:r w:rsidRPr="00BC61ED">
              <w:rPr>
                <w:rFonts w:cs="Arial Armenian"/>
                <w:sz w:val="20"/>
                <w:szCs w:val="20"/>
                <w:lang w:val="hy-AM"/>
              </w:rPr>
              <w:t xml:space="preserve">: </w:t>
            </w:r>
            <w:r w:rsidRPr="00BC61ED">
              <w:rPr>
                <w:sz w:val="20"/>
                <w:szCs w:val="20"/>
                <w:lang w:val="hy-AM"/>
              </w:rPr>
              <w:t>Անհրաժեշտ</w:t>
            </w:r>
            <w:r w:rsidRPr="00BC61ED">
              <w:rPr>
                <w:rFonts w:cs="Arial Armenian"/>
                <w:sz w:val="20"/>
                <w:szCs w:val="20"/>
                <w:lang w:val="hy-AM"/>
              </w:rPr>
              <w:t xml:space="preserve"> </w:t>
            </w:r>
            <w:r w:rsidRPr="00BC61ED">
              <w:rPr>
                <w:sz w:val="20"/>
                <w:szCs w:val="20"/>
                <w:lang w:val="hy-AM"/>
              </w:rPr>
              <w:t>է</w:t>
            </w:r>
            <w:r w:rsidRPr="00BC61ED">
              <w:rPr>
                <w:rFonts w:cs="Arial Armenian"/>
                <w:sz w:val="20"/>
                <w:szCs w:val="20"/>
                <w:lang w:val="hy-AM"/>
              </w:rPr>
              <w:t xml:space="preserve"> </w:t>
            </w:r>
            <w:r w:rsidRPr="00BC61ED">
              <w:rPr>
                <w:sz w:val="20"/>
                <w:szCs w:val="20"/>
                <w:lang w:val="hy-AM"/>
              </w:rPr>
              <w:t>վերոհիշյալ</w:t>
            </w:r>
            <w:r w:rsidRPr="00BC61ED">
              <w:rPr>
                <w:rFonts w:cs="Arial Armenian"/>
                <w:sz w:val="20"/>
                <w:szCs w:val="20"/>
                <w:lang w:val="hy-AM"/>
              </w:rPr>
              <w:t xml:space="preserve"> </w:t>
            </w:r>
            <w:r w:rsidRPr="00BC61ED">
              <w:rPr>
                <w:sz w:val="20"/>
                <w:szCs w:val="20"/>
                <w:lang w:val="hy-AM"/>
              </w:rPr>
              <w:t>փոփոխություններն</w:t>
            </w:r>
            <w:r w:rsidRPr="00BC61ED">
              <w:rPr>
                <w:rFonts w:cs="Arial Armenian"/>
                <w:sz w:val="20"/>
                <w:szCs w:val="20"/>
                <w:lang w:val="hy-AM"/>
              </w:rPr>
              <w:t xml:space="preserve"> </w:t>
            </w:r>
            <w:r w:rsidRPr="00BC61ED">
              <w:rPr>
                <w:sz w:val="20"/>
                <w:szCs w:val="20"/>
                <w:lang w:val="hy-AM"/>
              </w:rPr>
              <w:t>արտացոլել</w:t>
            </w:r>
            <w:r w:rsidRPr="00BC61ED">
              <w:rPr>
                <w:rFonts w:cs="Arial Armenian"/>
                <w:sz w:val="20"/>
                <w:szCs w:val="20"/>
                <w:lang w:val="hy-AM"/>
              </w:rPr>
              <w:t xml:space="preserve"> </w:t>
            </w:r>
            <w:r w:rsidRPr="00BC61ED">
              <w:rPr>
                <w:sz w:val="20"/>
                <w:szCs w:val="20"/>
                <w:lang w:val="hy-AM"/>
              </w:rPr>
              <w:t>Հայաստանի</w:t>
            </w:r>
            <w:r w:rsidRPr="00BC61ED">
              <w:rPr>
                <w:rFonts w:cs="Arial Armenian"/>
                <w:sz w:val="20"/>
                <w:szCs w:val="20"/>
                <w:lang w:val="hy-AM"/>
              </w:rPr>
              <w:t xml:space="preserve"> </w:t>
            </w:r>
            <w:r w:rsidRPr="00BC61ED">
              <w:rPr>
                <w:sz w:val="20"/>
                <w:szCs w:val="20"/>
                <w:lang w:val="hy-AM"/>
              </w:rPr>
              <w:t>Հանրապետության</w:t>
            </w:r>
            <w:r w:rsidRPr="00BC61ED">
              <w:rPr>
                <w:rFonts w:cs="Arial Armenian"/>
                <w:sz w:val="20"/>
                <w:szCs w:val="20"/>
                <w:lang w:val="hy-AM"/>
              </w:rPr>
              <w:t xml:space="preserve"> յուրաքանչյուր տարվա ընթացիկ </w:t>
            </w:r>
            <w:r w:rsidRPr="00BC61ED">
              <w:rPr>
                <w:sz w:val="20"/>
                <w:szCs w:val="20"/>
                <w:lang w:val="hy-AM"/>
              </w:rPr>
              <w:t>հողային</w:t>
            </w:r>
            <w:r w:rsidRPr="00BC61ED">
              <w:rPr>
                <w:rFonts w:cs="Arial Armenian"/>
                <w:sz w:val="20"/>
                <w:szCs w:val="20"/>
                <w:lang w:val="hy-AM"/>
              </w:rPr>
              <w:t xml:space="preserve"> </w:t>
            </w:r>
            <w:r w:rsidRPr="00BC61ED">
              <w:rPr>
                <w:sz w:val="20"/>
                <w:szCs w:val="20"/>
                <w:lang w:val="hy-AM"/>
              </w:rPr>
              <w:t>հաշվեկշռում:</w:t>
            </w:r>
          </w:p>
          <w:p w:rsidR="0068680D" w:rsidRPr="00BC61ED" w:rsidRDefault="0068680D" w:rsidP="00F47DC4">
            <w:pPr>
              <w:tabs>
                <w:tab w:val="left" w:pos="0"/>
              </w:tabs>
              <w:spacing w:line="276" w:lineRule="auto"/>
              <w:ind w:right="106"/>
              <w:jc w:val="both"/>
              <w:rPr>
                <w:b/>
                <w:sz w:val="20"/>
                <w:szCs w:val="20"/>
                <w:lang w:val="hy-AM"/>
              </w:rPr>
            </w:pPr>
            <w:r w:rsidRPr="00BC61ED">
              <w:rPr>
                <w:sz w:val="20"/>
                <w:szCs w:val="20"/>
                <w:lang w:val="hy-AM"/>
              </w:rPr>
              <w:t xml:space="preserve">   </w:t>
            </w:r>
            <w:r w:rsidRPr="00BC61ED">
              <w:rPr>
                <w:b/>
                <w:sz w:val="20"/>
                <w:szCs w:val="20"/>
                <w:lang w:val="hy-AM"/>
              </w:rPr>
              <w:t>1.2. Առկա խնդիրների առաջարկվող լուծումները</w:t>
            </w:r>
          </w:p>
          <w:p w:rsidR="0068680D" w:rsidRPr="00BC61ED" w:rsidRDefault="0068680D" w:rsidP="00F47DC4">
            <w:pPr>
              <w:tabs>
                <w:tab w:val="left" w:pos="0"/>
              </w:tabs>
              <w:spacing w:line="276" w:lineRule="auto"/>
              <w:ind w:right="106"/>
              <w:jc w:val="both"/>
              <w:rPr>
                <w:rFonts w:cs="Arial Armenian"/>
                <w:sz w:val="20"/>
                <w:szCs w:val="20"/>
                <w:lang w:val="hy-AM"/>
              </w:rPr>
            </w:pPr>
            <w:r w:rsidRPr="00BC61ED">
              <w:rPr>
                <w:rFonts w:cs="Sylfaen"/>
                <w:sz w:val="20"/>
                <w:szCs w:val="20"/>
                <w:lang w:val="hy-AM"/>
              </w:rPr>
              <w:t xml:space="preserve">   Որոշման</w:t>
            </w:r>
            <w:r w:rsidRPr="00BC61ED">
              <w:rPr>
                <w:rFonts w:cs="Arial Armenian"/>
                <w:sz w:val="20"/>
                <w:szCs w:val="20"/>
                <w:lang w:val="hy-AM"/>
              </w:rPr>
              <w:t xml:space="preserve"> նախագծի </w:t>
            </w:r>
            <w:r w:rsidRPr="00BC61ED">
              <w:rPr>
                <w:rFonts w:cs="Sylfaen"/>
                <w:sz w:val="20"/>
                <w:szCs w:val="20"/>
                <w:lang w:val="hy-AM"/>
              </w:rPr>
              <w:t>ընդունմամբ</w:t>
            </w:r>
            <w:r w:rsidRPr="00BC61ED">
              <w:rPr>
                <w:rFonts w:cs="Arial Armenian"/>
                <w:sz w:val="20"/>
                <w:szCs w:val="20"/>
                <w:lang w:val="hy-AM"/>
              </w:rPr>
              <w:t xml:space="preserve"> </w:t>
            </w:r>
            <w:r w:rsidRPr="00BC61ED">
              <w:rPr>
                <w:rFonts w:cs="Sylfaen"/>
                <w:sz w:val="20"/>
                <w:szCs w:val="20"/>
                <w:lang w:val="hy-AM"/>
              </w:rPr>
              <w:t>կկատարվի</w:t>
            </w:r>
            <w:r w:rsidRPr="00BC61ED">
              <w:rPr>
                <w:rFonts w:cs="Arial Armenian"/>
                <w:sz w:val="20"/>
                <w:szCs w:val="20"/>
                <w:lang w:val="hy-AM"/>
              </w:rPr>
              <w:t xml:space="preserve"> </w:t>
            </w:r>
            <w:r w:rsidRPr="00BC61ED">
              <w:rPr>
                <w:rFonts w:cs="Sylfaen"/>
                <w:sz w:val="20"/>
                <w:szCs w:val="20"/>
                <w:lang w:val="hy-AM"/>
              </w:rPr>
              <w:t>Հայաստանի Հանրապետության</w:t>
            </w:r>
            <w:r w:rsidRPr="00BC61ED">
              <w:rPr>
                <w:rFonts w:cs="Arial Armenian"/>
                <w:sz w:val="20"/>
                <w:szCs w:val="20"/>
                <w:lang w:val="hy-AM"/>
              </w:rPr>
              <w:t xml:space="preserve"> </w:t>
            </w:r>
            <w:r w:rsidRPr="00BC61ED">
              <w:rPr>
                <w:rFonts w:cs="Sylfaen"/>
                <w:sz w:val="20"/>
                <w:szCs w:val="20"/>
                <w:lang w:val="hy-AM"/>
              </w:rPr>
              <w:t>հողային</w:t>
            </w:r>
            <w:r w:rsidRPr="00BC61ED">
              <w:rPr>
                <w:rFonts w:cs="Arial Armenian"/>
                <w:sz w:val="20"/>
                <w:szCs w:val="20"/>
                <w:lang w:val="hy-AM"/>
              </w:rPr>
              <w:t xml:space="preserve"> </w:t>
            </w:r>
            <w:r w:rsidRPr="00BC61ED">
              <w:rPr>
                <w:rFonts w:cs="Sylfaen"/>
                <w:sz w:val="20"/>
                <w:szCs w:val="20"/>
                <w:lang w:val="hy-AM"/>
              </w:rPr>
              <w:t>օրենսգրքի</w:t>
            </w:r>
            <w:r w:rsidRPr="00BC61ED">
              <w:rPr>
                <w:rFonts w:cs="Arial Armenian"/>
                <w:sz w:val="20"/>
                <w:szCs w:val="20"/>
                <w:lang w:val="hy-AM"/>
              </w:rPr>
              <w:t xml:space="preserve"> 34-</w:t>
            </w:r>
            <w:r w:rsidRPr="00BC61ED">
              <w:rPr>
                <w:rFonts w:cs="Sylfaen"/>
                <w:sz w:val="20"/>
                <w:szCs w:val="20"/>
                <w:lang w:val="hy-AM"/>
              </w:rPr>
              <w:t>րդ</w:t>
            </w:r>
            <w:r w:rsidRPr="00BC61ED">
              <w:rPr>
                <w:rFonts w:cs="Arial Armenian"/>
                <w:sz w:val="20"/>
                <w:szCs w:val="20"/>
                <w:lang w:val="hy-AM"/>
              </w:rPr>
              <w:t xml:space="preserve"> </w:t>
            </w:r>
            <w:r w:rsidRPr="00BC61ED">
              <w:rPr>
                <w:rFonts w:cs="Sylfaen"/>
                <w:sz w:val="20"/>
                <w:szCs w:val="20"/>
                <w:lang w:val="hy-AM"/>
              </w:rPr>
              <w:t>հոդվածի</w:t>
            </w:r>
            <w:r w:rsidRPr="00BC61ED">
              <w:rPr>
                <w:rFonts w:cs="Arial Armenian"/>
                <w:sz w:val="20"/>
                <w:szCs w:val="20"/>
                <w:lang w:val="hy-AM"/>
              </w:rPr>
              <w:t xml:space="preserve"> </w:t>
            </w:r>
            <w:r w:rsidRPr="00BC61ED">
              <w:rPr>
                <w:rFonts w:cs="Sylfaen"/>
                <w:sz w:val="20"/>
                <w:szCs w:val="20"/>
                <w:lang w:val="hy-AM"/>
              </w:rPr>
              <w:t>պահանջը</w:t>
            </w:r>
            <w:r w:rsidRPr="00BC61ED">
              <w:rPr>
                <w:rFonts w:cs="Arial Armenian"/>
                <w:sz w:val="20"/>
                <w:szCs w:val="20"/>
                <w:lang w:val="hy-AM"/>
              </w:rPr>
              <w:t xml:space="preserve">, և </w:t>
            </w:r>
            <w:r w:rsidRPr="00BC61ED">
              <w:rPr>
                <w:rFonts w:cs="Sylfaen"/>
                <w:sz w:val="20"/>
                <w:szCs w:val="20"/>
                <w:lang w:val="hy-AM"/>
              </w:rPr>
              <w:t>տարվա</w:t>
            </w:r>
            <w:r w:rsidRPr="00BC61ED">
              <w:rPr>
                <w:rFonts w:cs="Arial Armenian"/>
                <w:sz w:val="20"/>
                <w:szCs w:val="20"/>
                <w:lang w:val="hy-AM"/>
              </w:rPr>
              <w:t xml:space="preserve"> </w:t>
            </w:r>
            <w:r w:rsidRPr="00BC61ED">
              <w:rPr>
                <w:rFonts w:cs="Sylfaen"/>
                <w:sz w:val="20"/>
                <w:szCs w:val="20"/>
                <w:lang w:val="hy-AM"/>
              </w:rPr>
              <w:t>ընթացքում</w:t>
            </w:r>
            <w:r w:rsidRPr="00BC61ED">
              <w:rPr>
                <w:rFonts w:cs="Arial Armenian"/>
                <w:sz w:val="20"/>
                <w:szCs w:val="20"/>
                <w:lang w:val="hy-AM"/>
              </w:rPr>
              <w:t xml:space="preserve"> </w:t>
            </w:r>
            <w:r w:rsidRPr="00BC61ED">
              <w:rPr>
                <w:rFonts w:cs="Sylfaen"/>
                <w:sz w:val="20"/>
                <w:szCs w:val="20"/>
                <w:lang w:val="hy-AM"/>
              </w:rPr>
              <w:t>կատարված</w:t>
            </w:r>
            <w:r w:rsidRPr="00BC61ED">
              <w:rPr>
                <w:rFonts w:cs="Arial Armenian"/>
                <w:sz w:val="20"/>
                <w:szCs w:val="20"/>
                <w:lang w:val="hy-AM"/>
              </w:rPr>
              <w:t xml:space="preserve"> </w:t>
            </w:r>
            <w:r w:rsidRPr="00BC61ED">
              <w:rPr>
                <w:rFonts w:cs="Sylfaen"/>
                <w:sz w:val="20"/>
                <w:szCs w:val="20"/>
                <w:lang w:val="hy-AM"/>
              </w:rPr>
              <w:t>իրավական</w:t>
            </w:r>
            <w:r w:rsidRPr="00BC61ED">
              <w:rPr>
                <w:rFonts w:cs="Arial Armenian"/>
                <w:sz w:val="20"/>
                <w:szCs w:val="20"/>
                <w:lang w:val="hy-AM"/>
              </w:rPr>
              <w:t xml:space="preserve">, </w:t>
            </w:r>
            <w:r w:rsidRPr="00BC61ED">
              <w:rPr>
                <w:rFonts w:cs="Sylfaen"/>
                <w:sz w:val="20"/>
                <w:szCs w:val="20"/>
                <w:lang w:val="hy-AM"/>
              </w:rPr>
              <w:t>որակական</w:t>
            </w:r>
            <w:r w:rsidRPr="00BC61ED">
              <w:rPr>
                <w:rFonts w:cs="Arial Armenian"/>
                <w:sz w:val="20"/>
                <w:szCs w:val="20"/>
                <w:lang w:val="hy-AM"/>
              </w:rPr>
              <w:t xml:space="preserve"> </w:t>
            </w:r>
            <w:r w:rsidRPr="00BC61ED">
              <w:rPr>
                <w:rFonts w:cs="Sylfaen"/>
                <w:sz w:val="20"/>
                <w:szCs w:val="20"/>
                <w:lang w:val="hy-AM"/>
              </w:rPr>
              <w:t>և</w:t>
            </w:r>
            <w:r w:rsidRPr="00BC61ED">
              <w:rPr>
                <w:rFonts w:cs="Arial Armenian"/>
                <w:sz w:val="20"/>
                <w:szCs w:val="20"/>
                <w:lang w:val="hy-AM"/>
              </w:rPr>
              <w:t xml:space="preserve"> </w:t>
            </w:r>
            <w:r w:rsidRPr="00BC61ED">
              <w:rPr>
                <w:rFonts w:cs="Sylfaen"/>
                <w:sz w:val="20"/>
                <w:szCs w:val="20"/>
                <w:lang w:val="hy-AM"/>
              </w:rPr>
              <w:t>քանակական</w:t>
            </w:r>
            <w:r w:rsidRPr="00BC61ED">
              <w:rPr>
                <w:rFonts w:cs="Arial Armenian"/>
                <w:sz w:val="20"/>
                <w:szCs w:val="20"/>
                <w:lang w:val="hy-AM"/>
              </w:rPr>
              <w:t xml:space="preserve"> </w:t>
            </w:r>
            <w:r w:rsidRPr="00BC61ED">
              <w:rPr>
                <w:rFonts w:cs="Sylfaen"/>
                <w:sz w:val="20"/>
                <w:szCs w:val="20"/>
                <w:lang w:val="hy-AM"/>
              </w:rPr>
              <w:t>փոփոխությունները</w:t>
            </w:r>
            <w:r w:rsidRPr="00BC61ED">
              <w:rPr>
                <w:rFonts w:cs="Arial Armenian"/>
                <w:sz w:val="20"/>
                <w:szCs w:val="20"/>
                <w:lang w:val="hy-AM"/>
              </w:rPr>
              <w:t xml:space="preserve"> </w:t>
            </w:r>
            <w:r w:rsidRPr="00BC61ED">
              <w:rPr>
                <w:rFonts w:cs="Sylfaen"/>
                <w:sz w:val="20"/>
                <w:szCs w:val="20"/>
                <w:lang w:val="hy-AM"/>
              </w:rPr>
              <w:t>կարտացոլվեն</w:t>
            </w:r>
            <w:r w:rsidRPr="00BC61ED">
              <w:rPr>
                <w:rFonts w:cs="Arial Armenian"/>
                <w:sz w:val="20"/>
                <w:szCs w:val="20"/>
                <w:lang w:val="hy-AM"/>
              </w:rPr>
              <w:t xml:space="preserve"> յուրաքանչյուր տարվա </w:t>
            </w:r>
            <w:r w:rsidRPr="00BC61ED">
              <w:rPr>
                <w:rFonts w:cs="Sylfaen"/>
                <w:sz w:val="20"/>
                <w:szCs w:val="20"/>
                <w:lang w:val="hy-AM"/>
              </w:rPr>
              <w:t>հուլիսի</w:t>
            </w:r>
            <w:r w:rsidRPr="00BC61ED">
              <w:rPr>
                <w:rFonts w:cs="Arial Armenian"/>
                <w:sz w:val="20"/>
                <w:szCs w:val="20"/>
                <w:lang w:val="hy-AM"/>
              </w:rPr>
              <w:t xml:space="preserve"> 1-</w:t>
            </w:r>
            <w:r w:rsidRPr="00BC61ED">
              <w:rPr>
                <w:rFonts w:cs="Sylfaen"/>
                <w:sz w:val="20"/>
                <w:szCs w:val="20"/>
                <w:lang w:val="hy-AM"/>
              </w:rPr>
              <w:t>ի</w:t>
            </w:r>
            <w:r w:rsidRPr="00BC61ED">
              <w:rPr>
                <w:rFonts w:cs="Arial Armenian"/>
                <w:sz w:val="20"/>
                <w:szCs w:val="20"/>
                <w:lang w:val="hy-AM"/>
              </w:rPr>
              <w:t xml:space="preserve"> </w:t>
            </w:r>
            <w:r w:rsidRPr="00BC61ED">
              <w:rPr>
                <w:rFonts w:cs="Sylfaen"/>
                <w:sz w:val="20"/>
                <w:szCs w:val="20"/>
                <w:lang w:val="hy-AM"/>
              </w:rPr>
              <w:t>դրությամբ</w:t>
            </w:r>
            <w:r w:rsidRPr="00BC61ED">
              <w:rPr>
                <w:rFonts w:cs="Arial Armenian"/>
                <w:sz w:val="20"/>
                <w:szCs w:val="20"/>
                <w:lang w:val="hy-AM"/>
              </w:rPr>
              <w:t xml:space="preserve"> </w:t>
            </w:r>
            <w:r w:rsidRPr="00BC61ED">
              <w:rPr>
                <w:rFonts w:cs="Sylfaen"/>
                <w:sz w:val="20"/>
                <w:szCs w:val="20"/>
                <w:lang w:val="hy-AM"/>
              </w:rPr>
              <w:t>կազմված</w:t>
            </w:r>
            <w:r w:rsidRPr="00BC61ED">
              <w:rPr>
                <w:rFonts w:cs="Arial Armenian"/>
                <w:sz w:val="20"/>
                <w:szCs w:val="20"/>
                <w:lang w:val="hy-AM"/>
              </w:rPr>
              <w:t xml:space="preserve"> </w:t>
            </w:r>
            <w:r w:rsidRPr="00BC61ED">
              <w:rPr>
                <w:rFonts w:cs="Sylfaen"/>
                <w:sz w:val="20"/>
                <w:szCs w:val="20"/>
                <w:lang w:val="hy-AM"/>
              </w:rPr>
              <w:t>Հայաստանի Հանրապետության</w:t>
            </w:r>
            <w:r w:rsidRPr="00BC61ED">
              <w:rPr>
                <w:rFonts w:cs="Arial Armenian"/>
                <w:sz w:val="20"/>
                <w:szCs w:val="20"/>
                <w:lang w:val="hy-AM"/>
              </w:rPr>
              <w:t xml:space="preserve"> </w:t>
            </w:r>
            <w:r w:rsidRPr="00BC61ED">
              <w:rPr>
                <w:rFonts w:cs="Sylfaen"/>
                <w:sz w:val="20"/>
                <w:szCs w:val="20"/>
                <w:lang w:val="hy-AM"/>
              </w:rPr>
              <w:t>հողային</w:t>
            </w:r>
            <w:r w:rsidRPr="00BC61ED">
              <w:rPr>
                <w:rFonts w:cs="Arial Armenian"/>
                <w:sz w:val="20"/>
                <w:szCs w:val="20"/>
                <w:lang w:val="hy-AM"/>
              </w:rPr>
              <w:t xml:space="preserve"> </w:t>
            </w:r>
            <w:r w:rsidRPr="00BC61ED">
              <w:rPr>
                <w:rFonts w:cs="Sylfaen"/>
                <w:sz w:val="20"/>
                <w:szCs w:val="20"/>
                <w:lang w:val="hy-AM"/>
              </w:rPr>
              <w:t>հաշվեկշռում</w:t>
            </w:r>
            <w:r w:rsidRPr="00BC61ED">
              <w:rPr>
                <w:rFonts w:cs="Arial Armenian"/>
                <w:sz w:val="20"/>
                <w:szCs w:val="20"/>
                <w:lang w:val="hy-AM"/>
              </w:rPr>
              <w:t>:</w:t>
            </w:r>
          </w:p>
          <w:p w:rsidR="0068680D" w:rsidRPr="00BC61ED" w:rsidRDefault="0068680D" w:rsidP="00F47DC4">
            <w:pPr>
              <w:tabs>
                <w:tab w:val="left" w:pos="0"/>
              </w:tabs>
              <w:spacing w:line="276" w:lineRule="auto"/>
              <w:ind w:right="106"/>
              <w:jc w:val="both"/>
              <w:rPr>
                <w:rFonts w:cs="Arial Armenian"/>
                <w:b/>
                <w:sz w:val="20"/>
                <w:szCs w:val="20"/>
                <w:lang w:val="hy-AM"/>
              </w:rPr>
            </w:pPr>
            <w:r w:rsidRPr="00BC61ED">
              <w:rPr>
                <w:rFonts w:cs="Arial Armenian"/>
                <w:sz w:val="20"/>
                <w:szCs w:val="20"/>
                <w:lang w:val="hy-AM"/>
              </w:rPr>
              <w:t xml:space="preserve">   </w:t>
            </w:r>
            <w:r w:rsidRPr="00BC61ED">
              <w:rPr>
                <w:rFonts w:cs="Arial Armenian"/>
                <w:b/>
                <w:sz w:val="20"/>
                <w:szCs w:val="20"/>
                <w:lang w:val="hy-AM"/>
              </w:rPr>
              <w:t>Կիրականացվի հետևյալ միջոցառումը՝</w:t>
            </w:r>
          </w:p>
          <w:p w:rsidR="0068680D" w:rsidRPr="00BC61ED" w:rsidRDefault="0068680D" w:rsidP="00F47DC4">
            <w:pPr>
              <w:tabs>
                <w:tab w:val="left" w:pos="0"/>
              </w:tabs>
              <w:spacing w:line="276" w:lineRule="auto"/>
              <w:ind w:right="106"/>
              <w:jc w:val="both"/>
              <w:rPr>
                <w:sz w:val="20"/>
                <w:szCs w:val="20"/>
                <w:lang w:val="hy-AM"/>
              </w:rPr>
            </w:pPr>
            <w:r w:rsidRPr="00BC61ED">
              <w:rPr>
                <w:sz w:val="20"/>
                <w:szCs w:val="20"/>
                <w:lang w:val="hy-AM"/>
              </w:rPr>
              <w:t xml:space="preserve">   </w:t>
            </w:r>
            <w:r w:rsidRPr="00BC61ED">
              <w:rPr>
                <w:rFonts w:cs="Arial"/>
                <w:sz w:val="20"/>
                <w:szCs w:val="20"/>
                <w:lang w:val="hy-AM"/>
              </w:rPr>
              <w:t xml:space="preserve">1. </w:t>
            </w:r>
            <w:r w:rsidRPr="00BC61ED">
              <w:rPr>
                <w:sz w:val="20"/>
                <w:szCs w:val="20"/>
                <w:lang w:val="hy-AM"/>
              </w:rPr>
              <w:t>«</w:t>
            </w:r>
            <w:r w:rsidRPr="00BC61ED">
              <w:rPr>
                <w:rFonts w:cs="Sylfaen"/>
                <w:sz w:val="20"/>
                <w:szCs w:val="20"/>
                <w:lang w:val="hy-AM"/>
              </w:rPr>
              <w:t>Հայաստանի</w:t>
            </w:r>
            <w:r w:rsidRPr="00BC61ED">
              <w:rPr>
                <w:sz w:val="20"/>
                <w:szCs w:val="20"/>
                <w:lang w:val="hy-AM"/>
              </w:rPr>
              <w:t xml:space="preserve"> </w:t>
            </w:r>
            <w:r w:rsidRPr="00BC61ED">
              <w:rPr>
                <w:rFonts w:cs="Sylfaen"/>
                <w:sz w:val="20"/>
                <w:szCs w:val="20"/>
                <w:lang w:val="hy-AM"/>
              </w:rPr>
              <w:t>Հանրապետության</w:t>
            </w:r>
            <w:r w:rsidRPr="00BC61ED">
              <w:rPr>
                <w:sz w:val="20"/>
                <w:szCs w:val="20"/>
                <w:lang w:val="hy-AM"/>
              </w:rPr>
              <w:t xml:space="preserve"> </w:t>
            </w:r>
            <w:r w:rsidRPr="00BC61ED">
              <w:rPr>
                <w:rFonts w:cs="Sylfaen"/>
                <w:sz w:val="20"/>
                <w:szCs w:val="20"/>
                <w:lang w:val="hy-AM"/>
              </w:rPr>
              <w:t>հողային</w:t>
            </w:r>
            <w:r w:rsidRPr="00BC61ED">
              <w:rPr>
                <w:sz w:val="20"/>
                <w:szCs w:val="20"/>
                <w:lang w:val="hy-AM"/>
              </w:rPr>
              <w:t xml:space="preserve"> </w:t>
            </w:r>
            <w:r w:rsidRPr="00BC61ED">
              <w:rPr>
                <w:rFonts w:cs="Sylfaen"/>
                <w:sz w:val="20"/>
                <w:szCs w:val="20"/>
                <w:lang w:val="hy-AM"/>
              </w:rPr>
              <w:t>ֆոնդի</w:t>
            </w:r>
            <w:r w:rsidRPr="00BC61ED">
              <w:rPr>
                <w:sz w:val="20"/>
                <w:szCs w:val="20"/>
                <w:lang w:val="hy-AM"/>
              </w:rPr>
              <w:t xml:space="preserve"> </w:t>
            </w:r>
            <w:r w:rsidRPr="00BC61ED">
              <w:rPr>
                <w:rFonts w:cs="Sylfaen"/>
                <w:sz w:val="20"/>
                <w:szCs w:val="20"/>
                <w:lang w:val="hy-AM"/>
              </w:rPr>
              <w:t>առկայության</w:t>
            </w:r>
            <w:r w:rsidRPr="00BC61ED">
              <w:rPr>
                <w:sz w:val="20"/>
                <w:szCs w:val="20"/>
                <w:lang w:val="hy-AM"/>
              </w:rPr>
              <w:t xml:space="preserve"> </w:t>
            </w:r>
            <w:r w:rsidRPr="00BC61ED">
              <w:rPr>
                <w:rFonts w:cs="Sylfaen"/>
                <w:sz w:val="20"/>
                <w:szCs w:val="20"/>
                <w:lang w:val="hy-AM"/>
              </w:rPr>
              <w:t>և</w:t>
            </w:r>
            <w:r w:rsidRPr="00BC61ED">
              <w:rPr>
                <w:sz w:val="20"/>
                <w:szCs w:val="20"/>
                <w:lang w:val="hy-AM"/>
              </w:rPr>
              <w:t xml:space="preserve"> </w:t>
            </w:r>
            <w:r w:rsidRPr="00BC61ED">
              <w:rPr>
                <w:rFonts w:cs="Sylfaen"/>
                <w:sz w:val="20"/>
                <w:szCs w:val="20"/>
                <w:lang w:val="hy-AM"/>
              </w:rPr>
              <w:t>բաշխման</w:t>
            </w:r>
            <w:r w:rsidRPr="00BC61ED">
              <w:rPr>
                <w:sz w:val="20"/>
                <w:szCs w:val="20"/>
                <w:lang w:val="hy-AM"/>
              </w:rPr>
              <w:t xml:space="preserve"> </w:t>
            </w:r>
            <w:r w:rsidRPr="00BC61ED">
              <w:rPr>
                <w:rFonts w:cs="Sylfaen"/>
                <w:sz w:val="20"/>
                <w:szCs w:val="20"/>
                <w:lang w:val="hy-AM"/>
              </w:rPr>
              <w:t>վերաբերյալ</w:t>
            </w:r>
            <w:r w:rsidRPr="00BC61ED">
              <w:rPr>
                <w:sz w:val="20"/>
                <w:szCs w:val="20"/>
                <w:lang w:val="hy-AM"/>
              </w:rPr>
              <w:t xml:space="preserve"> </w:t>
            </w:r>
            <w:r w:rsidRPr="00BC61ED">
              <w:rPr>
                <w:rFonts w:cs="Sylfaen"/>
                <w:sz w:val="20"/>
                <w:szCs w:val="20"/>
                <w:lang w:val="hy-AM"/>
              </w:rPr>
              <w:t>յուրաքանչյուր</w:t>
            </w:r>
            <w:r w:rsidRPr="00BC61ED">
              <w:rPr>
                <w:sz w:val="20"/>
                <w:szCs w:val="20"/>
                <w:lang w:val="hy-AM"/>
              </w:rPr>
              <w:t xml:space="preserve"> </w:t>
            </w:r>
            <w:r w:rsidRPr="00BC61ED">
              <w:rPr>
                <w:rFonts w:cs="Sylfaen"/>
                <w:sz w:val="20"/>
                <w:szCs w:val="20"/>
                <w:lang w:val="hy-AM"/>
              </w:rPr>
              <w:t>տարվա</w:t>
            </w:r>
            <w:r w:rsidRPr="00BC61ED">
              <w:rPr>
                <w:sz w:val="20"/>
                <w:szCs w:val="20"/>
                <w:lang w:val="hy-AM"/>
              </w:rPr>
              <w:t xml:space="preserve"> </w:t>
            </w:r>
            <w:r w:rsidRPr="00BC61ED">
              <w:rPr>
                <w:rFonts w:cs="Sylfaen"/>
                <w:sz w:val="20"/>
                <w:szCs w:val="20"/>
                <w:lang w:val="hy-AM"/>
              </w:rPr>
              <w:t>հաշվետվության</w:t>
            </w:r>
            <w:r w:rsidRPr="00BC61ED">
              <w:rPr>
                <w:sz w:val="20"/>
                <w:szCs w:val="20"/>
                <w:lang w:val="hy-AM"/>
              </w:rPr>
              <w:t xml:space="preserve"> (</w:t>
            </w:r>
            <w:r w:rsidRPr="00BC61ED">
              <w:rPr>
                <w:rFonts w:cs="Sylfaen"/>
                <w:sz w:val="20"/>
                <w:szCs w:val="20"/>
                <w:lang w:val="hy-AM"/>
              </w:rPr>
              <w:t>հողային</w:t>
            </w:r>
            <w:r w:rsidRPr="00BC61ED">
              <w:rPr>
                <w:sz w:val="20"/>
                <w:szCs w:val="20"/>
                <w:lang w:val="hy-AM"/>
              </w:rPr>
              <w:t xml:space="preserve"> </w:t>
            </w:r>
            <w:r w:rsidRPr="00BC61ED">
              <w:rPr>
                <w:rFonts w:cs="Sylfaen"/>
                <w:sz w:val="20"/>
                <w:szCs w:val="20"/>
                <w:lang w:val="hy-AM"/>
              </w:rPr>
              <w:t>հաշվեկշռի</w:t>
            </w:r>
            <w:r w:rsidRPr="00BC61ED">
              <w:rPr>
                <w:sz w:val="20"/>
                <w:szCs w:val="20"/>
                <w:lang w:val="hy-AM"/>
              </w:rPr>
              <w:t xml:space="preserve">) </w:t>
            </w:r>
            <w:r w:rsidRPr="00BC61ED">
              <w:rPr>
                <w:rFonts w:cs="Sylfaen"/>
                <w:sz w:val="20"/>
                <w:szCs w:val="20"/>
                <w:lang w:val="hy-AM"/>
              </w:rPr>
              <w:t>մասին</w:t>
            </w:r>
            <w:r w:rsidRPr="00BC61ED">
              <w:rPr>
                <w:sz w:val="20"/>
                <w:szCs w:val="20"/>
                <w:lang w:val="hy-AM"/>
              </w:rPr>
              <w:t xml:space="preserve">» </w:t>
            </w:r>
            <w:r w:rsidRPr="00BC61ED">
              <w:rPr>
                <w:rFonts w:cs="Sylfaen"/>
                <w:sz w:val="20"/>
                <w:szCs w:val="20"/>
                <w:lang w:val="hy-AM"/>
              </w:rPr>
              <w:t>Հայաստանի</w:t>
            </w:r>
            <w:r w:rsidRPr="00BC61ED">
              <w:rPr>
                <w:sz w:val="20"/>
                <w:szCs w:val="20"/>
                <w:lang w:val="hy-AM"/>
              </w:rPr>
              <w:t xml:space="preserve"> </w:t>
            </w:r>
            <w:r w:rsidRPr="00BC61ED">
              <w:rPr>
                <w:rFonts w:cs="Sylfaen"/>
                <w:sz w:val="20"/>
                <w:szCs w:val="20"/>
                <w:lang w:val="hy-AM"/>
              </w:rPr>
              <w:t>Հանրապետության</w:t>
            </w:r>
            <w:r w:rsidRPr="00BC61ED">
              <w:rPr>
                <w:sz w:val="20"/>
                <w:szCs w:val="20"/>
                <w:lang w:val="hy-AM"/>
              </w:rPr>
              <w:t xml:space="preserve"> </w:t>
            </w:r>
            <w:r w:rsidRPr="00BC61ED">
              <w:rPr>
                <w:rFonts w:cs="Sylfaen"/>
                <w:sz w:val="20"/>
                <w:szCs w:val="20"/>
                <w:lang w:val="hy-AM"/>
              </w:rPr>
              <w:t>կառավարության</w:t>
            </w:r>
            <w:r w:rsidRPr="00BC61ED">
              <w:rPr>
                <w:sz w:val="20"/>
                <w:szCs w:val="20"/>
                <w:lang w:val="hy-AM"/>
              </w:rPr>
              <w:t xml:space="preserve"> </w:t>
            </w:r>
            <w:r w:rsidRPr="00BC61ED">
              <w:rPr>
                <w:rFonts w:cs="Sylfaen"/>
                <w:sz w:val="20"/>
                <w:szCs w:val="20"/>
                <w:lang w:val="hy-AM"/>
              </w:rPr>
              <w:t>որոշման</w:t>
            </w:r>
            <w:r w:rsidRPr="00BC61ED">
              <w:rPr>
                <w:sz w:val="20"/>
                <w:szCs w:val="20"/>
                <w:lang w:val="hy-AM"/>
              </w:rPr>
              <w:t xml:space="preserve"> </w:t>
            </w:r>
            <w:r w:rsidRPr="00BC61ED">
              <w:rPr>
                <w:rFonts w:cs="Sylfaen"/>
                <w:sz w:val="20"/>
                <w:szCs w:val="20"/>
                <w:lang w:val="hy-AM"/>
              </w:rPr>
              <w:t>նախագծի</w:t>
            </w:r>
            <w:r w:rsidRPr="00BC61ED">
              <w:rPr>
                <w:sz w:val="20"/>
                <w:szCs w:val="20"/>
                <w:lang w:val="hy-AM"/>
              </w:rPr>
              <w:t xml:space="preserve"> </w:t>
            </w:r>
            <w:r w:rsidRPr="00BC61ED">
              <w:rPr>
                <w:rFonts w:cs="Sylfaen"/>
                <w:sz w:val="20"/>
                <w:szCs w:val="20"/>
                <w:lang w:val="hy-AM"/>
              </w:rPr>
              <w:t>փաթեթի</w:t>
            </w:r>
            <w:r w:rsidRPr="00BC61ED">
              <w:rPr>
                <w:sz w:val="20"/>
                <w:szCs w:val="20"/>
                <w:lang w:val="hy-AM"/>
              </w:rPr>
              <w:t xml:space="preserve"> </w:t>
            </w:r>
            <w:r w:rsidRPr="00BC61ED">
              <w:rPr>
                <w:rFonts w:cs="Sylfaen"/>
                <w:sz w:val="20"/>
                <w:szCs w:val="20"/>
                <w:lang w:val="hy-AM"/>
              </w:rPr>
              <w:t>կազմում</w:t>
            </w:r>
            <w:r w:rsidRPr="00BC61ED">
              <w:rPr>
                <w:sz w:val="20"/>
                <w:szCs w:val="20"/>
                <w:lang w:val="hy-AM"/>
              </w:rPr>
              <w:t xml:space="preserve"> </w:t>
            </w:r>
            <w:r w:rsidRPr="00BC61ED">
              <w:rPr>
                <w:rFonts w:cs="Sylfaen"/>
                <w:sz w:val="20"/>
                <w:szCs w:val="20"/>
                <w:lang w:val="hy-AM"/>
              </w:rPr>
              <w:t>և</w:t>
            </w:r>
            <w:r w:rsidRPr="00BC61ED">
              <w:rPr>
                <w:sz w:val="20"/>
                <w:szCs w:val="20"/>
                <w:lang w:val="hy-AM"/>
              </w:rPr>
              <w:t xml:space="preserve"> </w:t>
            </w:r>
            <w:r w:rsidRPr="00BC61ED">
              <w:rPr>
                <w:rFonts w:cs="Sylfaen"/>
                <w:sz w:val="20"/>
                <w:szCs w:val="20"/>
                <w:lang w:val="hy-AM"/>
              </w:rPr>
              <w:t>սահմանված</w:t>
            </w:r>
            <w:r w:rsidRPr="00BC61ED">
              <w:rPr>
                <w:sz w:val="20"/>
                <w:szCs w:val="20"/>
                <w:lang w:val="hy-AM"/>
              </w:rPr>
              <w:t xml:space="preserve"> </w:t>
            </w:r>
            <w:r w:rsidRPr="00BC61ED">
              <w:rPr>
                <w:rFonts w:cs="Sylfaen"/>
                <w:sz w:val="20"/>
                <w:szCs w:val="20"/>
                <w:lang w:val="hy-AM"/>
              </w:rPr>
              <w:t>կարգով</w:t>
            </w:r>
            <w:r w:rsidRPr="00BC61ED">
              <w:rPr>
                <w:sz w:val="20"/>
                <w:szCs w:val="20"/>
                <w:lang w:val="hy-AM"/>
              </w:rPr>
              <w:t xml:space="preserve"> </w:t>
            </w:r>
            <w:r w:rsidRPr="00BC61ED">
              <w:rPr>
                <w:rFonts w:cs="Sylfaen"/>
                <w:sz w:val="20"/>
                <w:szCs w:val="20"/>
                <w:lang w:val="hy-AM"/>
              </w:rPr>
              <w:t>ներկայացում Հայաստանի</w:t>
            </w:r>
            <w:r w:rsidRPr="00BC61ED">
              <w:rPr>
                <w:sz w:val="20"/>
                <w:szCs w:val="20"/>
                <w:lang w:val="hy-AM"/>
              </w:rPr>
              <w:t xml:space="preserve"> </w:t>
            </w:r>
            <w:r w:rsidRPr="00BC61ED">
              <w:rPr>
                <w:rFonts w:cs="Sylfaen"/>
                <w:sz w:val="20"/>
                <w:szCs w:val="20"/>
                <w:lang w:val="hy-AM"/>
              </w:rPr>
              <w:t>Հանրապետության</w:t>
            </w:r>
            <w:r w:rsidRPr="00BC61ED">
              <w:rPr>
                <w:sz w:val="20"/>
                <w:szCs w:val="20"/>
                <w:lang w:val="hy-AM"/>
              </w:rPr>
              <w:t xml:space="preserve"> </w:t>
            </w:r>
            <w:r w:rsidRPr="00BC61ED">
              <w:rPr>
                <w:rFonts w:cs="Sylfaen"/>
                <w:sz w:val="20"/>
                <w:szCs w:val="20"/>
                <w:lang w:val="hy-AM"/>
              </w:rPr>
              <w:t>կառավարություն:</w:t>
            </w:r>
          </w:p>
          <w:p w:rsidR="0068680D" w:rsidRPr="00BC61ED" w:rsidRDefault="0068680D" w:rsidP="00F47DC4">
            <w:pPr>
              <w:tabs>
                <w:tab w:val="left" w:pos="0"/>
              </w:tabs>
              <w:spacing w:line="276" w:lineRule="auto"/>
              <w:ind w:right="106"/>
              <w:jc w:val="both"/>
              <w:rPr>
                <w:rFonts w:cs="Sylfaen"/>
                <w:b/>
                <w:sz w:val="20"/>
                <w:szCs w:val="20"/>
                <w:lang w:val="hy-AM"/>
              </w:rPr>
            </w:pPr>
            <w:r w:rsidRPr="00BC61ED">
              <w:rPr>
                <w:b/>
                <w:sz w:val="20"/>
                <w:szCs w:val="20"/>
                <w:lang w:val="hy-AM"/>
              </w:rPr>
              <w:t xml:space="preserve">   2.  Միջոցառման իրականացումից ակնկալվող արդյունքը</w:t>
            </w:r>
          </w:p>
          <w:p w:rsidR="0068680D" w:rsidRPr="00BC61ED" w:rsidRDefault="0068680D" w:rsidP="00F47DC4">
            <w:pPr>
              <w:spacing w:line="276" w:lineRule="auto"/>
              <w:jc w:val="both"/>
              <w:rPr>
                <w:sz w:val="20"/>
                <w:szCs w:val="20"/>
                <w:lang w:val="hy-AM"/>
              </w:rPr>
            </w:pPr>
            <w:r w:rsidRPr="00BC61ED">
              <w:rPr>
                <w:rFonts w:cs="Sylfaen"/>
                <w:spacing w:val="-4"/>
                <w:sz w:val="20"/>
                <w:szCs w:val="20"/>
                <w:lang w:val="hy-AM"/>
              </w:rPr>
              <w:t xml:space="preserve">   «</w:t>
            </w:r>
            <w:r w:rsidRPr="00BC61ED">
              <w:rPr>
                <w:rFonts w:cs="Sylfaen"/>
                <w:sz w:val="20"/>
                <w:szCs w:val="20"/>
                <w:lang w:val="hy-AM"/>
              </w:rPr>
              <w:t>Հայաստանի</w:t>
            </w:r>
            <w:r w:rsidRPr="00BC61ED">
              <w:rPr>
                <w:rFonts w:cs="Arial Armenian"/>
                <w:sz w:val="20"/>
                <w:szCs w:val="20"/>
                <w:lang w:val="hy-AM"/>
              </w:rPr>
              <w:t xml:space="preserve"> </w:t>
            </w:r>
            <w:r w:rsidRPr="00BC61ED">
              <w:rPr>
                <w:rFonts w:cs="Sylfaen"/>
                <w:sz w:val="20"/>
                <w:szCs w:val="20"/>
                <w:lang w:val="hy-AM"/>
              </w:rPr>
              <w:t>Հանրապետության</w:t>
            </w:r>
            <w:r w:rsidRPr="00BC61ED">
              <w:rPr>
                <w:rFonts w:cs="Arial Armenian"/>
                <w:sz w:val="20"/>
                <w:szCs w:val="20"/>
                <w:lang w:val="hy-AM"/>
              </w:rPr>
              <w:t xml:space="preserve"> </w:t>
            </w:r>
            <w:r w:rsidRPr="00BC61ED">
              <w:rPr>
                <w:rFonts w:cs="Sylfaen"/>
                <w:sz w:val="20"/>
                <w:szCs w:val="20"/>
                <w:lang w:val="hy-AM"/>
              </w:rPr>
              <w:t>հողային</w:t>
            </w:r>
            <w:r w:rsidRPr="00BC61ED">
              <w:rPr>
                <w:rFonts w:cs="Arial Armenian"/>
                <w:sz w:val="20"/>
                <w:szCs w:val="20"/>
                <w:lang w:val="hy-AM"/>
              </w:rPr>
              <w:t xml:space="preserve"> </w:t>
            </w:r>
            <w:r w:rsidRPr="00BC61ED">
              <w:rPr>
                <w:rFonts w:cs="Sylfaen"/>
                <w:sz w:val="20"/>
                <w:szCs w:val="20"/>
                <w:lang w:val="hy-AM"/>
              </w:rPr>
              <w:t>ֆոնդի</w:t>
            </w:r>
            <w:r w:rsidRPr="00BC61ED">
              <w:rPr>
                <w:rFonts w:cs="Arial Armenian"/>
                <w:sz w:val="20"/>
                <w:szCs w:val="20"/>
                <w:lang w:val="hy-AM"/>
              </w:rPr>
              <w:t xml:space="preserve"> </w:t>
            </w:r>
            <w:r w:rsidRPr="00BC61ED">
              <w:rPr>
                <w:rFonts w:cs="Sylfaen"/>
                <w:sz w:val="20"/>
                <w:szCs w:val="20"/>
                <w:lang w:val="hy-AM"/>
              </w:rPr>
              <w:t>առկայության</w:t>
            </w:r>
            <w:r w:rsidRPr="00BC61ED">
              <w:rPr>
                <w:rFonts w:cs="Arial Armenian"/>
                <w:sz w:val="20"/>
                <w:szCs w:val="20"/>
                <w:lang w:val="hy-AM"/>
              </w:rPr>
              <w:t xml:space="preserve"> </w:t>
            </w:r>
            <w:r w:rsidRPr="00BC61ED">
              <w:rPr>
                <w:rFonts w:cs="Sylfaen"/>
                <w:sz w:val="20"/>
                <w:szCs w:val="20"/>
                <w:lang w:val="hy-AM"/>
              </w:rPr>
              <w:t>և</w:t>
            </w:r>
            <w:r w:rsidRPr="00BC61ED">
              <w:rPr>
                <w:rFonts w:cs="Arial Armenian"/>
                <w:sz w:val="20"/>
                <w:szCs w:val="20"/>
                <w:lang w:val="hy-AM"/>
              </w:rPr>
              <w:t xml:space="preserve"> </w:t>
            </w:r>
            <w:r w:rsidRPr="00BC61ED">
              <w:rPr>
                <w:rFonts w:cs="Sylfaen"/>
                <w:sz w:val="20"/>
                <w:szCs w:val="20"/>
                <w:lang w:val="hy-AM"/>
              </w:rPr>
              <w:t>բաշխման</w:t>
            </w:r>
            <w:r w:rsidRPr="00BC61ED">
              <w:rPr>
                <w:rFonts w:cs="Arial Armenian"/>
                <w:sz w:val="20"/>
                <w:szCs w:val="20"/>
                <w:lang w:val="hy-AM"/>
              </w:rPr>
              <w:t xml:space="preserve">  </w:t>
            </w:r>
            <w:r w:rsidRPr="00BC61ED">
              <w:rPr>
                <w:rFonts w:cs="Sylfaen"/>
                <w:sz w:val="20"/>
                <w:szCs w:val="20"/>
                <w:lang w:val="hy-AM"/>
              </w:rPr>
              <w:t>վերաբերյալ</w:t>
            </w:r>
            <w:r w:rsidRPr="00BC61ED">
              <w:rPr>
                <w:rFonts w:cs="Arial Armenian"/>
                <w:sz w:val="20"/>
                <w:szCs w:val="20"/>
                <w:lang w:val="hy-AM"/>
              </w:rPr>
              <w:t xml:space="preserve"> (</w:t>
            </w:r>
            <w:r w:rsidRPr="00BC61ED">
              <w:rPr>
                <w:rFonts w:cs="Sylfaen"/>
                <w:sz w:val="20"/>
                <w:szCs w:val="20"/>
                <w:lang w:val="hy-AM"/>
              </w:rPr>
              <w:t>հողային</w:t>
            </w:r>
            <w:r w:rsidRPr="00BC61ED">
              <w:rPr>
                <w:rFonts w:cs="Arial Armenian"/>
                <w:sz w:val="20"/>
                <w:szCs w:val="20"/>
                <w:lang w:val="hy-AM"/>
              </w:rPr>
              <w:t xml:space="preserve"> </w:t>
            </w:r>
            <w:r w:rsidRPr="00BC61ED">
              <w:rPr>
                <w:rFonts w:cs="Sylfaen"/>
                <w:sz w:val="20"/>
                <w:szCs w:val="20"/>
                <w:lang w:val="hy-AM"/>
              </w:rPr>
              <w:t>հաշվեկշռի</w:t>
            </w:r>
            <w:r w:rsidRPr="00BC61ED">
              <w:rPr>
                <w:rFonts w:cs="Arial Armenian"/>
                <w:sz w:val="20"/>
                <w:szCs w:val="20"/>
                <w:lang w:val="hy-AM"/>
              </w:rPr>
              <w:t xml:space="preserve">) </w:t>
            </w:r>
            <w:r w:rsidRPr="00BC61ED">
              <w:rPr>
                <w:rFonts w:cs="Sylfaen"/>
                <w:sz w:val="20"/>
                <w:szCs w:val="20"/>
                <w:lang w:val="hy-AM"/>
              </w:rPr>
              <w:t>մասին»</w:t>
            </w:r>
            <w:r w:rsidRPr="00BC61ED">
              <w:rPr>
                <w:rFonts w:cs="Arial Armenian"/>
                <w:sz w:val="20"/>
                <w:szCs w:val="20"/>
                <w:lang w:val="hy-AM"/>
              </w:rPr>
              <w:t xml:space="preserve"> </w:t>
            </w:r>
            <w:r w:rsidRPr="00BC61ED">
              <w:rPr>
                <w:rFonts w:cs="Sylfaen"/>
                <w:sz w:val="20"/>
                <w:szCs w:val="20"/>
                <w:lang w:val="hy-AM"/>
              </w:rPr>
              <w:t>Հայաստանի Հանրապետության</w:t>
            </w:r>
            <w:r w:rsidRPr="00BC61ED">
              <w:rPr>
                <w:rFonts w:cs="Arial Armenian"/>
                <w:sz w:val="20"/>
                <w:szCs w:val="20"/>
                <w:lang w:val="hy-AM"/>
              </w:rPr>
              <w:t xml:space="preserve"> </w:t>
            </w:r>
            <w:r w:rsidRPr="00BC61ED">
              <w:rPr>
                <w:rFonts w:cs="Sylfaen"/>
                <w:sz w:val="20"/>
                <w:szCs w:val="20"/>
                <w:lang w:val="hy-AM"/>
              </w:rPr>
              <w:t>կառավարության</w:t>
            </w:r>
            <w:r w:rsidRPr="00BC61ED">
              <w:rPr>
                <w:rFonts w:cs="Arial Armenian"/>
                <w:sz w:val="20"/>
                <w:szCs w:val="20"/>
                <w:lang w:val="hy-AM"/>
              </w:rPr>
              <w:t xml:space="preserve"> </w:t>
            </w:r>
            <w:r w:rsidRPr="00BC61ED">
              <w:rPr>
                <w:rFonts w:cs="Sylfaen"/>
                <w:sz w:val="20"/>
                <w:szCs w:val="20"/>
                <w:lang w:val="hy-AM"/>
              </w:rPr>
              <w:t>որոշման</w:t>
            </w:r>
            <w:r w:rsidRPr="00BC61ED">
              <w:rPr>
                <w:rFonts w:cs="Arial Armenian"/>
                <w:sz w:val="20"/>
                <w:szCs w:val="20"/>
                <w:lang w:val="hy-AM"/>
              </w:rPr>
              <w:t xml:space="preserve"> յուրաքանչյուր տարվա </w:t>
            </w:r>
            <w:r w:rsidRPr="00BC61ED">
              <w:rPr>
                <w:rFonts w:cs="Sylfaen"/>
                <w:sz w:val="20"/>
                <w:szCs w:val="20"/>
                <w:lang w:val="hy-AM"/>
              </w:rPr>
              <w:t>նախագիծը</w:t>
            </w:r>
            <w:r w:rsidRPr="00BC61ED">
              <w:rPr>
                <w:rFonts w:cs="Arial Armenian"/>
                <w:sz w:val="20"/>
                <w:szCs w:val="20"/>
                <w:lang w:val="hy-AM"/>
              </w:rPr>
              <w:t xml:space="preserve"> </w:t>
            </w:r>
            <w:r w:rsidRPr="00BC61ED">
              <w:rPr>
                <w:rFonts w:cs="Sylfaen"/>
                <w:sz w:val="20"/>
                <w:szCs w:val="20"/>
                <w:lang w:val="hy-AM"/>
              </w:rPr>
              <w:t>Հայաստանի Հանրապետության</w:t>
            </w:r>
            <w:r w:rsidRPr="00BC61ED">
              <w:rPr>
                <w:rFonts w:cs="Arial Armenian"/>
                <w:sz w:val="20"/>
                <w:szCs w:val="20"/>
                <w:lang w:val="hy-AM"/>
              </w:rPr>
              <w:t xml:space="preserve"> </w:t>
            </w:r>
            <w:r w:rsidRPr="00BC61ED">
              <w:rPr>
                <w:rFonts w:cs="Sylfaen"/>
                <w:sz w:val="20"/>
                <w:szCs w:val="20"/>
                <w:lang w:val="hy-AM"/>
              </w:rPr>
              <w:t>կառավարության</w:t>
            </w:r>
            <w:r w:rsidRPr="00BC61ED">
              <w:rPr>
                <w:rFonts w:cs="Arial Armenian"/>
                <w:sz w:val="20"/>
                <w:szCs w:val="20"/>
                <w:lang w:val="hy-AM"/>
              </w:rPr>
              <w:t xml:space="preserve"> </w:t>
            </w:r>
            <w:r w:rsidRPr="00BC61ED">
              <w:rPr>
                <w:rFonts w:cs="Sylfaen"/>
                <w:sz w:val="20"/>
                <w:szCs w:val="20"/>
                <w:lang w:val="hy-AM"/>
              </w:rPr>
              <w:t>կողմից</w:t>
            </w:r>
            <w:r w:rsidRPr="00BC61ED">
              <w:rPr>
                <w:rFonts w:cs="Arial Armenian"/>
                <w:sz w:val="20"/>
                <w:szCs w:val="20"/>
                <w:lang w:val="hy-AM"/>
              </w:rPr>
              <w:t xml:space="preserve"> </w:t>
            </w:r>
            <w:r w:rsidRPr="00BC61ED">
              <w:rPr>
                <w:rFonts w:cs="Sylfaen"/>
                <w:sz w:val="20"/>
                <w:szCs w:val="20"/>
                <w:lang w:val="hy-AM"/>
              </w:rPr>
              <w:t>հաստատվելուց</w:t>
            </w:r>
            <w:r w:rsidRPr="00BC61ED">
              <w:rPr>
                <w:rFonts w:cs="Arial Armenian"/>
                <w:sz w:val="20"/>
                <w:szCs w:val="20"/>
                <w:lang w:val="hy-AM"/>
              </w:rPr>
              <w:t xml:space="preserve"> </w:t>
            </w:r>
            <w:r w:rsidRPr="00BC61ED">
              <w:rPr>
                <w:rFonts w:cs="Sylfaen"/>
                <w:sz w:val="20"/>
                <w:szCs w:val="20"/>
                <w:lang w:val="hy-AM"/>
              </w:rPr>
              <w:t>հետո</w:t>
            </w:r>
            <w:r w:rsidRPr="00BC61ED">
              <w:rPr>
                <w:rFonts w:cs="Arial Armenian"/>
                <w:sz w:val="20"/>
                <w:szCs w:val="20"/>
                <w:lang w:val="hy-AM"/>
              </w:rPr>
              <w:t xml:space="preserve"> </w:t>
            </w:r>
            <w:r w:rsidRPr="00BC61ED">
              <w:rPr>
                <w:rFonts w:cs="Sylfaen"/>
                <w:sz w:val="20"/>
                <w:szCs w:val="20"/>
                <w:lang w:val="hy-AM"/>
              </w:rPr>
              <w:t>կհրապարակվի</w:t>
            </w:r>
            <w:r w:rsidRPr="00BC61ED">
              <w:rPr>
                <w:rFonts w:cs="Arial Armenian"/>
                <w:sz w:val="20"/>
                <w:szCs w:val="20"/>
                <w:lang w:val="hy-AM"/>
              </w:rPr>
              <w:t xml:space="preserve">, </w:t>
            </w:r>
            <w:r w:rsidRPr="00BC61ED">
              <w:rPr>
                <w:rFonts w:cs="Sylfaen"/>
                <w:sz w:val="20"/>
                <w:szCs w:val="20"/>
                <w:lang w:val="hy-AM"/>
              </w:rPr>
              <w:t>որի</w:t>
            </w:r>
            <w:r w:rsidRPr="00BC61ED">
              <w:rPr>
                <w:rFonts w:cs="Arial Armenian"/>
                <w:sz w:val="20"/>
                <w:szCs w:val="20"/>
                <w:lang w:val="hy-AM"/>
              </w:rPr>
              <w:t xml:space="preserve"> </w:t>
            </w:r>
            <w:r w:rsidRPr="00BC61ED">
              <w:rPr>
                <w:rFonts w:cs="Sylfaen"/>
                <w:sz w:val="20"/>
                <w:szCs w:val="20"/>
                <w:lang w:val="hy-AM"/>
              </w:rPr>
              <w:t>նորացված</w:t>
            </w:r>
            <w:r w:rsidRPr="00BC61ED">
              <w:rPr>
                <w:rFonts w:cs="Arial Armenian"/>
                <w:sz w:val="20"/>
                <w:szCs w:val="20"/>
                <w:lang w:val="hy-AM"/>
              </w:rPr>
              <w:t xml:space="preserve"> </w:t>
            </w:r>
            <w:r w:rsidRPr="00BC61ED">
              <w:rPr>
                <w:rFonts w:cs="Sylfaen"/>
                <w:sz w:val="20"/>
                <w:szCs w:val="20"/>
                <w:lang w:val="hy-AM"/>
              </w:rPr>
              <w:t>և</w:t>
            </w:r>
            <w:r w:rsidRPr="00BC61ED">
              <w:rPr>
                <w:rFonts w:cs="Arial Armenian"/>
                <w:sz w:val="20"/>
                <w:szCs w:val="20"/>
                <w:lang w:val="hy-AM"/>
              </w:rPr>
              <w:t xml:space="preserve"> </w:t>
            </w:r>
            <w:r w:rsidRPr="00BC61ED">
              <w:rPr>
                <w:rFonts w:cs="Sylfaen"/>
                <w:sz w:val="20"/>
                <w:szCs w:val="20"/>
                <w:lang w:val="hy-AM"/>
              </w:rPr>
              <w:t>ճշտված</w:t>
            </w:r>
            <w:r w:rsidRPr="00BC61ED">
              <w:rPr>
                <w:rFonts w:cs="Arial Armenian"/>
                <w:sz w:val="20"/>
                <w:szCs w:val="20"/>
                <w:lang w:val="hy-AM"/>
              </w:rPr>
              <w:t xml:space="preserve"> </w:t>
            </w:r>
            <w:r w:rsidRPr="00BC61ED">
              <w:rPr>
                <w:rFonts w:cs="Sylfaen"/>
                <w:sz w:val="20"/>
                <w:szCs w:val="20"/>
                <w:lang w:val="hy-AM"/>
              </w:rPr>
              <w:t>տվյալներից</w:t>
            </w:r>
            <w:r w:rsidRPr="00BC61ED">
              <w:rPr>
                <w:rFonts w:cs="Arial Armenian"/>
                <w:sz w:val="20"/>
                <w:szCs w:val="20"/>
                <w:lang w:val="hy-AM"/>
              </w:rPr>
              <w:t xml:space="preserve"> </w:t>
            </w:r>
            <w:r w:rsidRPr="00BC61ED">
              <w:rPr>
                <w:rFonts w:cs="Sylfaen"/>
                <w:sz w:val="20"/>
                <w:szCs w:val="20"/>
                <w:lang w:val="hy-AM"/>
              </w:rPr>
              <w:t>կկարողանան</w:t>
            </w:r>
            <w:r w:rsidRPr="00BC61ED">
              <w:rPr>
                <w:rFonts w:cs="Arial Armenian"/>
                <w:sz w:val="20"/>
                <w:szCs w:val="20"/>
                <w:lang w:val="hy-AM"/>
              </w:rPr>
              <w:t xml:space="preserve"> </w:t>
            </w:r>
            <w:r w:rsidRPr="00BC61ED">
              <w:rPr>
                <w:rFonts w:cs="Sylfaen"/>
                <w:sz w:val="20"/>
                <w:szCs w:val="20"/>
                <w:lang w:val="hy-AM"/>
              </w:rPr>
              <w:t>օգտվել</w:t>
            </w:r>
            <w:r w:rsidRPr="00BC61ED">
              <w:rPr>
                <w:rFonts w:cs="Arial Armenian"/>
                <w:sz w:val="20"/>
                <w:szCs w:val="20"/>
                <w:lang w:val="hy-AM"/>
              </w:rPr>
              <w:t xml:space="preserve"> </w:t>
            </w:r>
            <w:r w:rsidRPr="00BC61ED">
              <w:rPr>
                <w:rFonts w:cs="Sylfaen"/>
                <w:sz w:val="20"/>
                <w:szCs w:val="20"/>
                <w:lang w:val="hy-AM"/>
              </w:rPr>
              <w:t>շահագրգիռ</w:t>
            </w:r>
            <w:r w:rsidRPr="00BC61ED">
              <w:rPr>
                <w:rFonts w:cs="Arial Armenian"/>
                <w:sz w:val="20"/>
                <w:szCs w:val="20"/>
                <w:lang w:val="hy-AM"/>
              </w:rPr>
              <w:t xml:space="preserve"> </w:t>
            </w:r>
            <w:r w:rsidRPr="00BC61ED">
              <w:rPr>
                <w:rFonts w:cs="Sylfaen"/>
                <w:sz w:val="20"/>
                <w:szCs w:val="20"/>
                <w:lang w:val="hy-AM"/>
              </w:rPr>
              <w:t>բոլոր</w:t>
            </w:r>
            <w:r w:rsidRPr="00BC61ED">
              <w:rPr>
                <w:rFonts w:cs="Arial Armenian"/>
                <w:sz w:val="20"/>
                <w:szCs w:val="20"/>
                <w:lang w:val="hy-AM"/>
              </w:rPr>
              <w:t xml:space="preserve"> </w:t>
            </w:r>
            <w:r w:rsidRPr="00BC61ED">
              <w:rPr>
                <w:rFonts w:cs="Sylfaen"/>
                <w:sz w:val="20"/>
                <w:szCs w:val="20"/>
                <w:lang w:val="hy-AM"/>
              </w:rPr>
              <w:t>պետական</w:t>
            </w:r>
            <w:r w:rsidRPr="00BC61ED">
              <w:rPr>
                <w:rFonts w:cs="Arial Armenian"/>
                <w:sz w:val="20"/>
                <w:szCs w:val="20"/>
                <w:lang w:val="hy-AM"/>
              </w:rPr>
              <w:t xml:space="preserve"> </w:t>
            </w:r>
            <w:r w:rsidRPr="00BC61ED">
              <w:rPr>
                <w:rFonts w:cs="Sylfaen"/>
                <w:sz w:val="20"/>
                <w:szCs w:val="20"/>
                <w:lang w:val="hy-AM"/>
              </w:rPr>
              <w:t>մարմինները</w:t>
            </w:r>
            <w:r w:rsidRPr="00BC61ED">
              <w:rPr>
                <w:rFonts w:cs="Arial Armenian"/>
                <w:sz w:val="20"/>
                <w:szCs w:val="20"/>
                <w:lang w:val="hy-AM"/>
              </w:rPr>
              <w:t xml:space="preserve">, </w:t>
            </w:r>
            <w:r w:rsidRPr="00BC61ED">
              <w:rPr>
                <w:rFonts w:cs="Sylfaen"/>
                <w:sz w:val="20"/>
                <w:szCs w:val="20"/>
                <w:lang w:val="hy-AM"/>
              </w:rPr>
              <w:t>կազմակերպություններն</w:t>
            </w:r>
            <w:r w:rsidRPr="00BC61ED">
              <w:rPr>
                <w:rFonts w:cs="Arial Armenian"/>
                <w:sz w:val="20"/>
                <w:szCs w:val="20"/>
                <w:lang w:val="hy-AM"/>
              </w:rPr>
              <w:t xml:space="preserve"> </w:t>
            </w:r>
            <w:r w:rsidRPr="00BC61ED">
              <w:rPr>
                <w:rFonts w:cs="Sylfaen"/>
                <w:sz w:val="20"/>
                <w:szCs w:val="20"/>
                <w:lang w:val="hy-AM"/>
              </w:rPr>
              <w:t>ու</w:t>
            </w:r>
            <w:r w:rsidRPr="00BC61ED">
              <w:rPr>
                <w:rFonts w:cs="Arial Armenian"/>
                <w:sz w:val="20"/>
                <w:szCs w:val="20"/>
                <w:lang w:val="hy-AM"/>
              </w:rPr>
              <w:t xml:space="preserve"> </w:t>
            </w:r>
            <w:r w:rsidRPr="00BC61ED">
              <w:rPr>
                <w:rFonts w:cs="Sylfaen"/>
                <w:sz w:val="20"/>
                <w:szCs w:val="20"/>
                <w:lang w:val="hy-AM"/>
              </w:rPr>
              <w:t>անձինք</w:t>
            </w:r>
            <w:r w:rsidRPr="00BC61ED">
              <w:rPr>
                <w:sz w:val="20"/>
                <w:szCs w:val="20"/>
                <w:lang w:val="hy-AM"/>
              </w:rPr>
              <w:t>:</w:t>
            </w:r>
          </w:p>
          <w:p w:rsidR="0068680D" w:rsidRPr="00BC61ED" w:rsidRDefault="0068680D" w:rsidP="00F47DC4">
            <w:pPr>
              <w:spacing w:line="276" w:lineRule="auto"/>
              <w:jc w:val="both"/>
              <w:rPr>
                <w:sz w:val="20"/>
                <w:szCs w:val="20"/>
                <w:lang w:val="hy-AM"/>
              </w:rPr>
            </w:pPr>
            <w:r w:rsidRPr="00BC61ED">
              <w:rPr>
                <w:sz w:val="20"/>
                <w:szCs w:val="20"/>
                <w:lang w:val="hy-AM"/>
              </w:rPr>
              <w:t xml:space="preserve">   Որոշման </w:t>
            </w:r>
            <w:r w:rsidRPr="00BC61ED">
              <w:rPr>
                <w:rFonts w:cs="Arial Armenian"/>
                <w:sz w:val="20"/>
                <w:szCs w:val="20"/>
                <w:lang w:val="hy-AM"/>
              </w:rPr>
              <w:t>յուրաքանչյուր տարվա</w:t>
            </w:r>
            <w:r w:rsidRPr="00BC61ED">
              <w:rPr>
                <w:sz w:val="20"/>
                <w:szCs w:val="20"/>
                <w:lang w:val="hy-AM"/>
              </w:rPr>
              <w:t xml:space="preserve"> նախագիծը կտեղադրվի Հայաստանի Հանրապետության </w:t>
            </w:r>
            <w:r w:rsidRPr="00BC61ED">
              <w:rPr>
                <w:rFonts w:cs="Sylfaen"/>
                <w:sz w:val="20"/>
                <w:szCs w:val="20"/>
                <w:lang w:val="hy-AM"/>
              </w:rPr>
              <w:t xml:space="preserve">անշարժ գույքի կադաստրի կոմիտեի պաշտոնական  </w:t>
            </w:r>
            <w:hyperlink r:id="rId20" w:history="1">
              <w:r w:rsidRPr="00BC61ED">
                <w:rPr>
                  <w:rStyle w:val="Hyperlink"/>
                  <w:rFonts w:cs="Sylfaen"/>
                  <w:sz w:val="20"/>
                  <w:szCs w:val="20"/>
                  <w:lang w:val="hy-AM"/>
                </w:rPr>
                <w:t>www.cadastre.am</w:t>
              </w:r>
            </w:hyperlink>
            <w:r w:rsidRPr="00BC61ED">
              <w:rPr>
                <w:rFonts w:cs="Sylfaen"/>
                <w:sz w:val="20"/>
                <w:szCs w:val="20"/>
                <w:lang w:val="hy-AM"/>
              </w:rPr>
              <w:t xml:space="preserve"> կայքէջում:</w:t>
            </w:r>
          </w:p>
        </w:tc>
      </w:tr>
    </w:tbl>
    <w:p w:rsidR="0053423A" w:rsidRDefault="0053423A">
      <w:pPr>
        <w:rPr>
          <w:lang w:val="hy-AM"/>
        </w:rPr>
      </w:pPr>
    </w:p>
    <w:p w:rsidR="0068680D" w:rsidRPr="001F6D5D" w:rsidRDefault="0068680D">
      <w:pPr>
        <w:rPr>
          <w:lang w:val="hy-AM"/>
        </w:rPr>
      </w:pPr>
    </w:p>
    <w:tbl>
      <w:tblPr>
        <w:tblStyle w:val="TableGrid1"/>
        <w:tblW w:w="11401" w:type="dxa"/>
        <w:tblInd w:w="137" w:type="dxa"/>
        <w:tblLook w:val="04A0" w:firstRow="1" w:lastRow="0" w:firstColumn="1" w:lastColumn="0" w:noHBand="0" w:noVBand="1"/>
      </w:tblPr>
      <w:tblGrid>
        <w:gridCol w:w="11401"/>
      </w:tblGrid>
      <w:tr w:rsidR="002F62E8" w:rsidRPr="0053423A" w:rsidTr="002F62E8">
        <w:tc>
          <w:tcPr>
            <w:tcW w:w="11401" w:type="dxa"/>
            <w:shd w:val="clear" w:color="auto" w:fill="FFFF00"/>
          </w:tcPr>
          <w:p w:rsidR="002F62E8" w:rsidRPr="0053423A" w:rsidRDefault="002F62E8" w:rsidP="00A67858">
            <w:pPr>
              <w:spacing w:line="276" w:lineRule="auto"/>
              <w:jc w:val="center"/>
              <w:rPr>
                <w:rFonts w:cs="Sylfaen"/>
                <w:b/>
                <w:lang w:val="hy-AM" w:eastAsia="en-GB"/>
              </w:rPr>
            </w:pPr>
            <w:r w:rsidRPr="0053423A">
              <w:rPr>
                <w:rFonts w:cs="Sylfaen"/>
                <w:b/>
                <w:lang w:val="hy-AM" w:eastAsia="en-GB"/>
              </w:rPr>
              <w:t>Միջուկային անվտանգության կարգավորման կոմիտե</w:t>
            </w:r>
          </w:p>
        </w:tc>
      </w:tr>
    </w:tbl>
    <w:p w:rsidR="0053423A" w:rsidRDefault="0053423A"/>
    <w:tbl>
      <w:tblPr>
        <w:tblStyle w:val="TableGrid1"/>
        <w:tblW w:w="11340" w:type="dxa"/>
        <w:tblInd w:w="137" w:type="dxa"/>
        <w:tblLook w:val="04A0" w:firstRow="1" w:lastRow="0" w:firstColumn="1" w:lastColumn="0" w:noHBand="0" w:noVBand="1"/>
      </w:tblPr>
      <w:tblGrid>
        <w:gridCol w:w="480"/>
        <w:gridCol w:w="10860"/>
      </w:tblGrid>
      <w:tr w:rsidR="00143C73" w:rsidRPr="0053423A" w:rsidTr="00143C73">
        <w:tc>
          <w:tcPr>
            <w:tcW w:w="480" w:type="dxa"/>
          </w:tcPr>
          <w:p w:rsidR="00143C73" w:rsidRPr="0053423A" w:rsidRDefault="00143C73" w:rsidP="00A67858">
            <w:pPr>
              <w:spacing w:line="276" w:lineRule="auto"/>
              <w:jc w:val="center"/>
              <w:rPr>
                <w:lang w:val="hy-AM"/>
              </w:rPr>
            </w:pPr>
            <w:r w:rsidRPr="0053423A">
              <w:rPr>
                <w:lang w:val="hy-AM"/>
              </w:rPr>
              <w:t>1</w:t>
            </w:r>
          </w:p>
        </w:tc>
        <w:tc>
          <w:tcPr>
            <w:tcW w:w="10860" w:type="dxa"/>
          </w:tcPr>
          <w:p w:rsidR="00143C73" w:rsidRPr="0053423A" w:rsidRDefault="00143C73" w:rsidP="00A67858">
            <w:pPr>
              <w:spacing w:line="276" w:lineRule="auto"/>
              <w:jc w:val="center"/>
              <w:rPr>
                <w:b/>
                <w:lang w:val="hy-AM"/>
              </w:rPr>
            </w:pPr>
            <w:r w:rsidRPr="0053423A">
              <w:rPr>
                <w:b/>
                <w:lang w:val="hy-AM"/>
              </w:rPr>
              <w:t>«Հայաստանի</w:t>
            </w:r>
            <w:r w:rsidRPr="0053423A">
              <w:rPr>
                <w:b/>
                <w:lang w:val="fr-FR"/>
              </w:rPr>
              <w:t xml:space="preserve"> </w:t>
            </w:r>
            <w:r w:rsidRPr="0053423A">
              <w:rPr>
                <w:b/>
                <w:lang w:val="hy-AM"/>
              </w:rPr>
              <w:t>Հանրապետության</w:t>
            </w:r>
            <w:r w:rsidRPr="0053423A">
              <w:rPr>
                <w:b/>
                <w:lang w:val="fr-FR"/>
              </w:rPr>
              <w:t xml:space="preserve"> </w:t>
            </w:r>
            <w:r w:rsidRPr="0053423A">
              <w:rPr>
                <w:b/>
                <w:lang w:val="hy-AM"/>
              </w:rPr>
              <w:t>կառավարության</w:t>
            </w:r>
            <w:r w:rsidRPr="0053423A">
              <w:rPr>
                <w:b/>
                <w:lang w:val="fr-FR"/>
              </w:rPr>
              <w:t xml:space="preserve"> 2005 թվականի մարտի 24-ի  N 400-</w:t>
            </w:r>
            <w:r w:rsidRPr="0053423A">
              <w:rPr>
                <w:b/>
                <w:lang w:val="hy-AM"/>
              </w:rPr>
              <w:t>Ն</w:t>
            </w:r>
            <w:r w:rsidRPr="0053423A">
              <w:rPr>
                <w:b/>
                <w:lang w:val="fr-FR"/>
              </w:rPr>
              <w:t xml:space="preserve"> </w:t>
            </w:r>
            <w:r w:rsidRPr="0053423A">
              <w:rPr>
                <w:b/>
                <w:lang w:val="hy-AM"/>
              </w:rPr>
              <w:t>որոշման</w:t>
            </w:r>
            <w:r w:rsidRPr="0053423A">
              <w:rPr>
                <w:b/>
                <w:lang w:val="fr-FR"/>
              </w:rPr>
              <w:t xml:space="preserve">  </w:t>
            </w:r>
            <w:r w:rsidRPr="0053423A">
              <w:rPr>
                <w:b/>
                <w:lang w:val="hy-AM"/>
              </w:rPr>
              <w:t>մեջ փոփոխություններ</w:t>
            </w:r>
            <w:r w:rsidRPr="0053423A">
              <w:rPr>
                <w:b/>
                <w:lang w:val="fr-FR"/>
              </w:rPr>
              <w:t xml:space="preserve"> </w:t>
            </w:r>
            <w:r w:rsidRPr="0053423A">
              <w:rPr>
                <w:b/>
                <w:lang w:val="hy-AM"/>
              </w:rPr>
              <w:t>կատարելու</w:t>
            </w:r>
            <w:r w:rsidRPr="0053423A">
              <w:rPr>
                <w:b/>
                <w:lang w:val="fr-FR"/>
              </w:rPr>
              <w:t xml:space="preserve"> </w:t>
            </w:r>
            <w:r w:rsidRPr="0053423A">
              <w:rPr>
                <w:b/>
                <w:lang w:val="hy-AM"/>
              </w:rPr>
              <w:t>մասին</w:t>
            </w:r>
            <w:r w:rsidRPr="0053423A">
              <w:rPr>
                <w:b/>
                <w:lang w:val="fr-FR"/>
              </w:rPr>
              <w:t xml:space="preserve">» </w:t>
            </w:r>
            <w:r w:rsidRPr="0053423A">
              <w:rPr>
                <w:b/>
                <w:lang w:val="hy-AM"/>
              </w:rPr>
              <w:t>ՀՀ</w:t>
            </w:r>
            <w:r w:rsidRPr="0053423A">
              <w:rPr>
                <w:b/>
                <w:lang w:val="fr-FR"/>
              </w:rPr>
              <w:t xml:space="preserve"> </w:t>
            </w:r>
            <w:r w:rsidRPr="0053423A">
              <w:rPr>
                <w:b/>
                <w:lang w:val="hy-AM"/>
              </w:rPr>
              <w:t>կառավարության</w:t>
            </w:r>
            <w:r w:rsidRPr="0053423A">
              <w:rPr>
                <w:b/>
                <w:lang w:val="fr-FR"/>
              </w:rPr>
              <w:t xml:space="preserve"> </w:t>
            </w:r>
            <w:r w:rsidRPr="0053423A">
              <w:rPr>
                <w:b/>
                <w:lang w:val="hy-AM"/>
              </w:rPr>
              <w:t>որոշման</w:t>
            </w:r>
            <w:r w:rsidRPr="0053423A">
              <w:rPr>
                <w:b/>
                <w:lang w:val="fr-FR"/>
              </w:rPr>
              <w:t xml:space="preserve"> </w:t>
            </w:r>
            <w:r w:rsidRPr="0053423A">
              <w:rPr>
                <w:b/>
                <w:lang w:val="hy-AM"/>
              </w:rPr>
              <w:t>նախագծի ընդունման վերաբերյալ</w:t>
            </w:r>
          </w:p>
          <w:p w:rsidR="00143C73" w:rsidRPr="0053423A" w:rsidRDefault="00143C73" w:rsidP="00A67858">
            <w:pPr>
              <w:spacing w:line="276" w:lineRule="auto"/>
              <w:jc w:val="center"/>
              <w:rPr>
                <w:b/>
                <w:lang w:val="hy-AM"/>
              </w:rPr>
            </w:pPr>
          </w:p>
          <w:p w:rsidR="00143C73" w:rsidRPr="0053423A" w:rsidRDefault="00143C73" w:rsidP="00A67858">
            <w:pPr>
              <w:spacing w:line="276" w:lineRule="auto"/>
              <w:rPr>
                <w:rFonts w:cs="Cambria Math"/>
                <w:b/>
                <w:lang w:val="hy-AM"/>
              </w:rPr>
            </w:pPr>
            <w:r w:rsidRPr="0053423A">
              <w:rPr>
                <w:b/>
                <w:lang w:val="hy-AM"/>
              </w:rPr>
              <w:t>1</w:t>
            </w:r>
            <w:r w:rsidRPr="0053423A">
              <w:rPr>
                <w:rFonts w:ascii="Cambria Math" w:hAnsi="Cambria Math" w:cs="Cambria Math"/>
                <w:b/>
                <w:lang w:val="hy-AM"/>
              </w:rPr>
              <w:t>․</w:t>
            </w:r>
            <w:r w:rsidRPr="0053423A">
              <w:rPr>
                <w:rFonts w:cs="Cambria Math"/>
                <w:b/>
                <w:lang w:val="hy-AM"/>
              </w:rPr>
              <w:t xml:space="preserve"> Միջոցառման իրականացման անհրաժեշտությունը և նպատակը</w:t>
            </w:r>
          </w:p>
          <w:p w:rsidR="00143C73" w:rsidRPr="0053423A" w:rsidRDefault="00143C73" w:rsidP="00A67858">
            <w:pPr>
              <w:autoSpaceDE w:val="0"/>
              <w:autoSpaceDN w:val="0"/>
              <w:adjustRightInd w:val="0"/>
              <w:spacing w:line="276" w:lineRule="auto"/>
              <w:rPr>
                <w:rFonts w:cs="AK Courier"/>
                <w:lang w:val="hy-AM"/>
              </w:rPr>
            </w:pPr>
            <w:r w:rsidRPr="0053423A">
              <w:rPr>
                <w:rFonts w:cs="Cambria Math"/>
                <w:lang w:val="hy-AM"/>
              </w:rPr>
              <w:t>Վերոհիշյալ իրավական ակտի ընդունումը բխում է</w:t>
            </w:r>
            <w:r w:rsidRPr="0053423A">
              <w:rPr>
                <w:rFonts w:cs="AK Courier"/>
                <w:lang w:val="hy-AM"/>
              </w:rPr>
              <w:t xml:space="preserve"> «Խաղաղ նպատակներով ատոմային էներգիայի  անվտանգ օգտագործման մասին» ՀՀ օրենքի 17-րդ հոդվածից։</w:t>
            </w:r>
          </w:p>
          <w:p w:rsidR="00143C73" w:rsidRPr="0053423A" w:rsidRDefault="00143C73" w:rsidP="00A67858">
            <w:pPr>
              <w:spacing w:line="276" w:lineRule="auto"/>
              <w:rPr>
                <w:rFonts w:cs="Cambria Math"/>
                <w:b/>
                <w:lang w:val="hy-AM"/>
              </w:rPr>
            </w:pPr>
            <w:r w:rsidRPr="0053423A">
              <w:rPr>
                <w:rFonts w:cs="Cambria Math"/>
                <w:b/>
                <w:lang w:val="hy-AM"/>
              </w:rPr>
              <w:t>1</w:t>
            </w:r>
            <w:r w:rsidRPr="0053423A">
              <w:rPr>
                <w:rFonts w:ascii="Cambria Math" w:hAnsi="Cambria Math" w:cs="Cambria Math"/>
                <w:b/>
                <w:lang w:val="hy-AM"/>
              </w:rPr>
              <w:t>․</w:t>
            </w:r>
            <w:r w:rsidRPr="0053423A">
              <w:rPr>
                <w:rFonts w:cs="Cambria Math"/>
                <w:b/>
                <w:lang w:val="hy-AM"/>
              </w:rPr>
              <w:t>1</w:t>
            </w:r>
            <w:r w:rsidRPr="0053423A">
              <w:rPr>
                <w:rFonts w:ascii="Cambria Math" w:hAnsi="Cambria Math" w:cs="Cambria Math"/>
                <w:b/>
                <w:lang w:val="hy-AM"/>
              </w:rPr>
              <w:t>․</w:t>
            </w:r>
            <w:r w:rsidRPr="0053423A">
              <w:rPr>
                <w:rFonts w:cs="Cambria Math"/>
                <w:b/>
                <w:lang w:val="hy-AM"/>
              </w:rPr>
              <w:t xml:space="preserve"> կարգավորման հարաբերությունների ներկա վիճակը և առկա խնդիրները</w:t>
            </w:r>
          </w:p>
          <w:p w:rsidR="00143C73" w:rsidRPr="0053423A" w:rsidRDefault="00143C73" w:rsidP="00A67858">
            <w:pPr>
              <w:autoSpaceDE w:val="0"/>
              <w:autoSpaceDN w:val="0"/>
              <w:adjustRightInd w:val="0"/>
              <w:spacing w:line="276" w:lineRule="auto"/>
              <w:ind w:firstLine="400"/>
              <w:rPr>
                <w:lang w:val="fr-FR"/>
              </w:rPr>
            </w:pPr>
            <w:r w:rsidRPr="0053423A">
              <w:rPr>
                <w:lang w:val="hy-AM"/>
              </w:rPr>
              <w:t>Հայաստանի</w:t>
            </w:r>
            <w:r w:rsidRPr="0053423A">
              <w:rPr>
                <w:lang w:val="fr-FR"/>
              </w:rPr>
              <w:t xml:space="preserve"> </w:t>
            </w:r>
            <w:r w:rsidRPr="0053423A">
              <w:rPr>
                <w:lang w:val="hy-AM"/>
              </w:rPr>
              <w:t>Հանրապետության</w:t>
            </w:r>
            <w:r w:rsidRPr="0053423A">
              <w:rPr>
                <w:lang w:val="fr-FR"/>
              </w:rPr>
              <w:t xml:space="preserve"> </w:t>
            </w:r>
            <w:r w:rsidRPr="0053423A">
              <w:rPr>
                <w:lang w:val="hy-AM"/>
              </w:rPr>
              <w:t xml:space="preserve">կառավարության  </w:t>
            </w:r>
            <w:r w:rsidRPr="0053423A">
              <w:rPr>
                <w:lang w:val="fr-FR"/>
              </w:rPr>
              <w:t>2005 թվականի մարտի 24-ի</w:t>
            </w:r>
            <w:r w:rsidRPr="0053423A">
              <w:rPr>
                <w:lang w:val="hy-AM"/>
              </w:rPr>
              <w:t xml:space="preserve"> «Միջուկային տեղակայանքների շահագործման լիցենզավորման կարգը և լիցենզիայի ձևը հաստատելու մասին»</w:t>
            </w:r>
            <w:r w:rsidRPr="0053423A">
              <w:rPr>
                <w:lang w:val="fr-FR"/>
              </w:rPr>
              <w:t xml:space="preserve"> N 400-</w:t>
            </w:r>
            <w:r w:rsidRPr="0053423A">
              <w:rPr>
                <w:lang w:val="hy-AM"/>
              </w:rPr>
              <w:t>Ն</w:t>
            </w:r>
            <w:r w:rsidRPr="0053423A">
              <w:rPr>
                <w:lang w:val="fr-FR"/>
              </w:rPr>
              <w:t xml:space="preserve"> </w:t>
            </w:r>
            <w:r w:rsidRPr="0053423A">
              <w:rPr>
                <w:lang w:val="hy-AM"/>
              </w:rPr>
              <w:t>որոշումն ընդունվել է, երբ Հայկական ատոմային էլեկտրակայանի (այսուհետ՝ ՀԱԷԿ)</w:t>
            </w:r>
            <w:r w:rsidRPr="0053423A">
              <w:rPr>
                <w:lang w:val="fr-FR"/>
              </w:rPr>
              <w:t xml:space="preserve"> </w:t>
            </w:r>
            <w:r w:rsidRPr="0053423A">
              <w:rPr>
                <w:lang w:val="hy-AM"/>
              </w:rPr>
              <w:t>2-րդ էներգաբլոկը գտնվում էր շահագործման նախագծային ժամկետի փուլում և շահագործման նախագծային ժամկետի երկարացման խնդիր օրակարգում չկար, ուստի լիցենզիայի հայտին կից ներկայացվող փաստաթղթերում պահանջվում էր ներկայացնել նախագծային տվյալներ և հիմնավորել նախագծային ժամկետում էներգաբլոկի անվտանգ շահագործումը։</w:t>
            </w:r>
            <w:r w:rsidRPr="0053423A">
              <w:rPr>
                <w:lang w:val="fr-FR"/>
              </w:rPr>
              <w:t xml:space="preserve"> </w:t>
            </w:r>
          </w:p>
          <w:p w:rsidR="00143C73" w:rsidRPr="0053423A" w:rsidRDefault="00143C73" w:rsidP="00A67858">
            <w:pPr>
              <w:autoSpaceDE w:val="0"/>
              <w:autoSpaceDN w:val="0"/>
              <w:adjustRightInd w:val="0"/>
              <w:spacing w:line="276" w:lineRule="auto"/>
              <w:ind w:firstLine="400"/>
              <w:rPr>
                <w:rFonts w:cs="AK Courier"/>
                <w:lang w:val="hy-AM"/>
              </w:rPr>
            </w:pPr>
            <w:r w:rsidRPr="0053423A">
              <w:rPr>
                <w:rFonts w:cs="Cambria Math"/>
                <w:lang w:val="hy-AM"/>
              </w:rPr>
              <w:t>ՀԱԷԿ-ի 2-րդ էներգաբլոկի շահագործման լիցենզիայի ժամկետը լրանում է 01</w:t>
            </w:r>
            <w:r w:rsidRPr="0053423A">
              <w:rPr>
                <w:rFonts w:ascii="Cambria Math" w:hAnsi="Cambria Math" w:cs="Cambria Math"/>
                <w:lang w:val="hy-AM"/>
              </w:rPr>
              <w:t>․</w:t>
            </w:r>
            <w:r w:rsidRPr="0053423A">
              <w:rPr>
                <w:rFonts w:cs="Cambria Math"/>
                <w:lang w:val="hy-AM"/>
              </w:rPr>
              <w:t>04</w:t>
            </w:r>
            <w:r w:rsidRPr="0053423A">
              <w:rPr>
                <w:rFonts w:ascii="Cambria Math" w:hAnsi="Cambria Math" w:cs="Cambria Math"/>
                <w:lang w:val="hy-AM"/>
              </w:rPr>
              <w:t>․</w:t>
            </w:r>
            <w:r w:rsidRPr="0053423A">
              <w:rPr>
                <w:rFonts w:cs="Cambria Math"/>
                <w:lang w:val="hy-AM"/>
              </w:rPr>
              <w:t>2021թ</w:t>
            </w:r>
            <w:r w:rsidRPr="0053423A">
              <w:rPr>
                <w:rFonts w:ascii="Cambria Math" w:hAnsi="Cambria Math" w:cs="Cambria Math"/>
                <w:lang w:val="hy-AM"/>
              </w:rPr>
              <w:t>․</w:t>
            </w:r>
            <w:r w:rsidRPr="0053423A">
              <w:rPr>
                <w:rFonts w:cs="Cambria Math"/>
                <w:lang w:val="fr-FR"/>
              </w:rPr>
              <w:t xml:space="preserve"> </w:t>
            </w:r>
            <w:r w:rsidRPr="0053423A">
              <w:rPr>
                <w:rFonts w:cs="Cambria Math"/>
                <w:lang w:val="ru-RU"/>
              </w:rPr>
              <w:t>և</w:t>
            </w:r>
            <w:r w:rsidRPr="0053423A">
              <w:rPr>
                <w:rFonts w:cs="Cambria Math"/>
                <w:lang w:val="fr-FR"/>
              </w:rPr>
              <w:t xml:space="preserve"> </w:t>
            </w:r>
            <w:r w:rsidRPr="0053423A">
              <w:rPr>
                <w:rFonts w:cs="Cambria Math"/>
                <w:lang w:val="hy-AM"/>
              </w:rPr>
              <w:t>հաշվի առնելով «</w:t>
            </w:r>
            <w:r w:rsidRPr="0053423A">
              <w:rPr>
                <w:rFonts w:cs="Cambria Math"/>
                <w:lang w:val="fr-FR"/>
              </w:rPr>
              <w:t>«</w:t>
            </w:r>
            <w:r w:rsidRPr="0053423A">
              <w:rPr>
                <w:rFonts w:cs="Cambria Math"/>
                <w:lang w:val="hy-AM"/>
              </w:rPr>
              <w:t>Հայկական ԱԷԿ» փակ բաժնետիրական ընկերության N 2 էներգաբլոկի շահագործման նախագծային ժամկետը երկարացնելու մասին» ՀՀ</w:t>
            </w:r>
            <w:r w:rsidRPr="0053423A">
              <w:rPr>
                <w:rFonts w:cs="AK Courier"/>
                <w:lang w:val="hy-AM"/>
              </w:rPr>
              <w:t xml:space="preserve"> կառավարության 19 ապրիլի 2012 թվականի N 461-Ն  և «</w:t>
            </w:r>
            <w:r w:rsidRPr="0053423A">
              <w:rPr>
                <w:rFonts w:cs="AK Courier"/>
                <w:bCs/>
                <w:lang w:val="hy-AM"/>
              </w:rPr>
              <w:t>Հայկական</w:t>
            </w:r>
            <w:r w:rsidRPr="0053423A">
              <w:rPr>
                <w:rFonts w:cs="AK Courier"/>
                <w:lang w:val="hy-AM"/>
              </w:rPr>
              <w:t xml:space="preserve"> </w:t>
            </w:r>
            <w:r w:rsidRPr="0053423A">
              <w:rPr>
                <w:rFonts w:cs="AK Courier"/>
                <w:bCs/>
                <w:lang w:val="hy-AM"/>
              </w:rPr>
              <w:t>ԱԷԿ</w:t>
            </w:r>
            <w:r w:rsidRPr="0053423A">
              <w:rPr>
                <w:rFonts w:cs="AK Courier"/>
                <w:lang w:val="hy-AM"/>
              </w:rPr>
              <w:t>-</w:t>
            </w:r>
            <w:r w:rsidRPr="0053423A">
              <w:rPr>
                <w:rFonts w:cs="AK Courier"/>
                <w:bCs/>
                <w:lang w:val="hy-AM"/>
              </w:rPr>
              <w:t>ի</w:t>
            </w:r>
            <w:r w:rsidRPr="0053423A">
              <w:rPr>
                <w:rFonts w:cs="AK Courier"/>
                <w:lang w:val="hy-AM"/>
              </w:rPr>
              <w:t xml:space="preserve"> N 2 </w:t>
            </w:r>
            <w:r w:rsidRPr="0053423A">
              <w:rPr>
                <w:rFonts w:cs="AK Courier"/>
                <w:bCs/>
                <w:lang w:val="hy-AM"/>
              </w:rPr>
              <w:t>էներգաբլոկի</w:t>
            </w:r>
            <w:r w:rsidRPr="0053423A">
              <w:rPr>
                <w:rFonts w:cs="AK Courier"/>
                <w:lang w:val="hy-AM"/>
              </w:rPr>
              <w:t xml:space="preserve"> </w:t>
            </w:r>
            <w:r w:rsidRPr="0053423A">
              <w:rPr>
                <w:rFonts w:cs="AK Courier"/>
                <w:bCs/>
                <w:lang w:val="hy-AM"/>
              </w:rPr>
              <w:t>շահագործման</w:t>
            </w:r>
            <w:r w:rsidRPr="0053423A">
              <w:rPr>
                <w:rFonts w:cs="AK Courier"/>
                <w:lang w:val="hy-AM"/>
              </w:rPr>
              <w:t xml:space="preserve"> </w:t>
            </w:r>
            <w:r w:rsidRPr="0053423A">
              <w:rPr>
                <w:rFonts w:cs="AK Courier"/>
                <w:bCs/>
                <w:lang w:val="hy-AM"/>
              </w:rPr>
              <w:t>նախագծային</w:t>
            </w:r>
            <w:r w:rsidRPr="0053423A">
              <w:rPr>
                <w:rFonts w:cs="AK Courier"/>
                <w:lang w:val="hy-AM"/>
              </w:rPr>
              <w:t xml:space="preserve"> </w:t>
            </w:r>
            <w:r w:rsidRPr="0053423A">
              <w:rPr>
                <w:rFonts w:cs="AK Courier"/>
                <w:bCs/>
                <w:lang w:val="hy-AM"/>
              </w:rPr>
              <w:t>ժամկետի</w:t>
            </w:r>
            <w:r w:rsidRPr="0053423A">
              <w:rPr>
                <w:rFonts w:cs="AK Courier"/>
                <w:lang w:val="hy-AM"/>
              </w:rPr>
              <w:t xml:space="preserve"> </w:t>
            </w:r>
            <w:r w:rsidRPr="0053423A">
              <w:rPr>
                <w:rFonts w:cs="AK Courier"/>
                <w:bCs/>
                <w:lang w:val="hy-AM"/>
              </w:rPr>
              <w:t>երկարացման</w:t>
            </w:r>
            <w:r w:rsidRPr="0053423A">
              <w:rPr>
                <w:rFonts w:cs="AK Courier"/>
                <w:lang w:val="hy-AM"/>
              </w:rPr>
              <w:t xml:space="preserve"> </w:t>
            </w:r>
            <w:r w:rsidRPr="0053423A">
              <w:rPr>
                <w:rFonts w:cs="AK Courier"/>
                <w:bCs/>
                <w:lang w:val="hy-AM"/>
              </w:rPr>
              <w:t>նկատմամբ</w:t>
            </w:r>
            <w:r w:rsidRPr="0053423A">
              <w:rPr>
                <w:rFonts w:cs="AK Courier"/>
                <w:lang w:val="hy-AM"/>
              </w:rPr>
              <w:t xml:space="preserve"> </w:t>
            </w:r>
            <w:r w:rsidRPr="0053423A">
              <w:rPr>
                <w:rFonts w:cs="AK Courier"/>
                <w:bCs/>
                <w:lang w:val="hy-AM"/>
              </w:rPr>
              <w:t>պահանջները</w:t>
            </w:r>
            <w:r w:rsidRPr="0053423A">
              <w:rPr>
                <w:rFonts w:cs="AK Courier"/>
                <w:lang w:val="hy-AM"/>
              </w:rPr>
              <w:t xml:space="preserve"> </w:t>
            </w:r>
            <w:r w:rsidRPr="0053423A">
              <w:rPr>
                <w:rFonts w:cs="AK Courier"/>
                <w:bCs/>
                <w:lang w:val="hy-AM"/>
              </w:rPr>
              <w:t>հաստատելու</w:t>
            </w:r>
            <w:r w:rsidRPr="0053423A">
              <w:rPr>
                <w:rFonts w:cs="AK Courier"/>
                <w:lang w:val="hy-AM"/>
              </w:rPr>
              <w:t xml:space="preserve"> </w:t>
            </w:r>
            <w:r w:rsidRPr="0053423A">
              <w:rPr>
                <w:rFonts w:cs="AK Courier"/>
                <w:bCs/>
                <w:lang w:val="hy-AM"/>
              </w:rPr>
              <w:t xml:space="preserve">մասին» </w:t>
            </w:r>
            <w:r w:rsidRPr="0053423A">
              <w:rPr>
                <w:rFonts w:cs="AK Courier"/>
                <w:lang w:val="hy-AM"/>
              </w:rPr>
              <w:t>ՀՀ կառավարության 23 օգոստոսի 2012 թվականի N 1085-Ն որոշումները</w:t>
            </w:r>
            <w:r w:rsidRPr="0053423A">
              <w:rPr>
                <w:rFonts w:cs="AK Courier"/>
                <w:lang w:val="fr-FR"/>
              </w:rPr>
              <w:t>,</w:t>
            </w:r>
            <w:r w:rsidRPr="0053423A">
              <w:rPr>
                <w:rFonts w:cs="Cambria Math"/>
                <w:lang w:val="hy-AM"/>
              </w:rPr>
              <w:t xml:space="preserve"> անհրաժեշտություն է առաջացել կարգավորել ՀԱԷԿ-ի 2-րդ էներգաբլոկի շահագործման լիցենզիայի </w:t>
            </w:r>
            <w:r w:rsidRPr="0053423A">
              <w:rPr>
                <w:rFonts w:cs="Cambria Math"/>
                <w:lang w:val="ru-RU"/>
              </w:rPr>
              <w:t>ժամկետի</w:t>
            </w:r>
            <w:r w:rsidRPr="0053423A">
              <w:rPr>
                <w:rFonts w:cs="Cambria Math"/>
                <w:lang w:val="fr-FR"/>
              </w:rPr>
              <w:t xml:space="preserve"> </w:t>
            </w:r>
            <w:r w:rsidRPr="0053423A">
              <w:rPr>
                <w:rFonts w:cs="Cambria Math"/>
                <w:lang w:val="ru-RU"/>
              </w:rPr>
              <w:t>երկարացման</w:t>
            </w:r>
            <w:r w:rsidRPr="0053423A">
              <w:rPr>
                <w:rFonts w:cs="Cambria Math"/>
                <w:lang w:val="fr-FR"/>
              </w:rPr>
              <w:t xml:space="preserve"> </w:t>
            </w:r>
            <w:r w:rsidRPr="0053423A">
              <w:rPr>
                <w:rFonts w:cs="Cambria Math"/>
                <w:lang w:val="hy-AM"/>
              </w:rPr>
              <w:t>իրավահարաբերությունները՝ արտանախագծային փուլում</w:t>
            </w:r>
            <w:r w:rsidRPr="0053423A">
              <w:rPr>
                <w:rFonts w:cs="AK Courier"/>
                <w:lang w:val="hy-AM"/>
              </w:rPr>
              <w:t>։</w:t>
            </w:r>
          </w:p>
          <w:p w:rsidR="00143C73" w:rsidRPr="0053423A" w:rsidRDefault="00143C73" w:rsidP="00A67858">
            <w:pPr>
              <w:spacing w:line="276" w:lineRule="auto"/>
              <w:rPr>
                <w:rFonts w:cs="Cambria Math"/>
                <w:b/>
                <w:lang w:val="hy-AM"/>
              </w:rPr>
            </w:pPr>
            <w:r w:rsidRPr="0053423A">
              <w:rPr>
                <w:rFonts w:cs="Cambria Math"/>
                <w:b/>
                <w:lang w:val="pt-BR"/>
              </w:rPr>
              <w:t xml:space="preserve">1.2 </w:t>
            </w:r>
            <w:r w:rsidRPr="0053423A">
              <w:rPr>
                <w:rFonts w:cs="Cambria Math"/>
                <w:b/>
                <w:lang w:val="hy-AM"/>
              </w:rPr>
              <w:t>առկա խնդիրների առաջարկվող լուծումները</w:t>
            </w:r>
          </w:p>
          <w:p w:rsidR="00143C73" w:rsidRPr="0053423A" w:rsidRDefault="00143C73" w:rsidP="00A67858">
            <w:pPr>
              <w:spacing w:line="276" w:lineRule="auto"/>
              <w:rPr>
                <w:rFonts w:cs="Cambria Math"/>
                <w:lang w:val="hy-AM"/>
              </w:rPr>
            </w:pPr>
            <w:r w:rsidRPr="0053423A">
              <w:rPr>
                <w:rFonts w:cs="Cambria Math"/>
                <w:lang w:val="hy-AM"/>
              </w:rPr>
              <w:t xml:space="preserve">Նախատեսվում է  փոփոխություններ կատարել ՀՀ կառավարության վերոհիշյալ որոշման մեջ, որոնցով կսահմանվեն  պահանջներ՝ ՀԱԷԿ-ի 2-րդ էներգաբլոկի արտանախագծային ժամկետում անվտանգ շահագործումն  ապահովելու համար։ </w:t>
            </w:r>
          </w:p>
          <w:p w:rsidR="00143C73" w:rsidRPr="0053423A" w:rsidRDefault="00143C73" w:rsidP="00A67858">
            <w:pPr>
              <w:spacing w:line="276" w:lineRule="auto"/>
              <w:rPr>
                <w:rFonts w:cs="Cambria Math"/>
                <w:b/>
                <w:lang w:val="hy-AM"/>
              </w:rPr>
            </w:pPr>
            <w:r w:rsidRPr="0053423A">
              <w:rPr>
                <w:rFonts w:cs="Cambria Math"/>
                <w:b/>
                <w:lang w:val="hy-AM"/>
              </w:rPr>
              <w:t>2</w:t>
            </w:r>
            <w:r w:rsidRPr="0053423A">
              <w:rPr>
                <w:rFonts w:ascii="Cambria Math" w:hAnsi="Cambria Math" w:cs="Cambria Math"/>
                <w:b/>
                <w:lang w:val="hy-AM"/>
              </w:rPr>
              <w:t>․</w:t>
            </w:r>
            <w:r w:rsidRPr="0053423A">
              <w:rPr>
                <w:rFonts w:cs="Cambria Math"/>
                <w:b/>
                <w:lang w:val="hy-AM"/>
              </w:rPr>
              <w:t xml:space="preserve"> Միջոցառման իրականացումից ակնկալվող արդյունքը</w:t>
            </w:r>
          </w:p>
          <w:p w:rsidR="00143C73" w:rsidRPr="0053423A" w:rsidRDefault="00143C73" w:rsidP="00A67858">
            <w:pPr>
              <w:spacing w:line="276" w:lineRule="auto"/>
              <w:rPr>
                <w:rFonts w:cs="Cambria Math"/>
                <w:lang w:val="hy-AM"/>
              </w:rPr>
            </w:pPr>
            <w:r w:rsidRPr="0053423A">
              <w:rPr>
                <w:rFonts w:cs="Cambria Math"/>
                <w:lang w:val="hy-AM"/>
              </w:rPr>
              <w:t xml:space="preserve">Վերոհիշյալ որոշման մեջ կամրագրվեն ատոմակայանի շահագործման ժամկետի երկարացման հետ կապված համապատասխան դրույթներ,  կսահմանվեն պահանջներ, որոնց կատարմամբ կփաստվի, որ լիցենզավորված անձը պատրաստ է տրված լիցենզիայի հիման վրա իրականացնել ՀԱԷԿ-ի 2-րդ էներգաբլոկի  անվտանգ և հուսալի շահագործումը նախագծային ժամկետից հետո, </w:t>
            </w:r>
            <w:r w:rsidRPr="0053423A">
              <w:rPr>
                <w:rFonts w:cs="AK Courier"/>
                <w:lang w:val="hy-AM"/>
              </w:rPr>
              <w:t xml:space="preserve">միաժամանակ որոշումը  </w:t>
            </w:r>
            <w:r w:rsidRPr="0053423A">
              <w:rPr>
                <w:rFonts w:cs="Cambria Math"/>
                <w:lang w:val="hy-AM"/>
              </w:rPr>
              <w:t xml:space="preserve">կհամապատասխանեցվի ԱէՄԳ-ի՝ </w:t>
            </w:r>
          </w:p>
          <w:p w:rsidR="00143C73" w:rsidRPr="0053423A" w:rsidRDefault="00143C73" w:rsidP="001F6D5D">
            <w:pPr>
              <w:pStyle w:val="ListParagraph"/>
              <w:numPr>
                <w:ilvl w:val="0"/>
                <w:numId w:val="166"/>
              </w:numPr>
              <w:autoSpaceDE w:val="0"/>
              <w:autoSpaceDN w:val="0"/>
              <w:adjustRightInd w:val="0"/>
              <w:spacing w:line="276" w:lineRule="auto"/>
              <w:jc w:val="both"/>
              <w:rPr>
                <w:rFonts w:cs="Cambria Math"/>
                <w:lang w:val="hy-AM"/>
              </w:rPr>
            </w:pPr>
            <w:r w:rsidRPr="0053423A">
              <w:rPr>
                <w:rFonts w:cs="Cambria Math"/>
                <w:lang w:val="hy-AM"/>
              </w:rPr>
              <w:t>«Անվտանգության կառավարական, իրավական և կարգավորող կառուցվածքը» (Governmental, Legal and Regulatory Framework for Safety), GSR Part 1 rev.1 (2016);</w:t>
            </w:r>
          </w:p>
          <w:p w:rsidR="00143C73" w:rsidRPr="0053423A" w:rsidRDefault="00143C73" w:rsidP="001F6D5D">
            <w:pPr>
              <w:pStyle w:val="ListParagraph"/>
              <w:numPr>
                <w:ilvl w:val="0"/>
                <w:numId w:val="166"/>
              </w:numPr>
              <w:autoSpaceDE w:val="0"/>
              <w:autoSpaceDN w:val="0"/>
              <w:adjustRightInd w:val="0"/>
              <w:spacing w:line="276" w:lineRule="auto"/>
              <w:jc w:val="both"/>
              <w:rPr>
                <w:rFonts w:cs="Cambria Math"/>
              </w:rPr>
            </w:pPr>
            <w:r w:rsidRPr="0053423A">
              <w:rPr>
                <w:rFonts w:cs="Cambria Math"/>
                <w:lang w:val="hy-AM"/>
              </w:rPr>
              <w:t>«ԱԷԿ-ների ծերացման կառավարման և երկարաժամկետ շահագործման ծրագրի մշակում» (Ageing Management and Development of a Programme for Long Term Operation of Nuclear Power Plants), SSG-48 (2018)</w:t>
            </w:r>
            <w:r w:rsidRPr="0053423A">
              <w:rPr>
                <w:rFonts w:cs="Cambria Math"/>
              </w:rPr>
              <w:t>;</w:t>
            </w:r>
          </w:p>
          <w:p w:rsidR="00143C73" w:rsidRPr="0053423A" w:rsidRDefault="00143C73" w:rsidP="00A67858">
            <w:pPr>
              <w:spacing w:line="276" w:lineRule="auto"/>
              <w:rPr>
                <w:rFonts w:cs="Sylfaen"/>
                <w:b/>
                <w:lang w:val="hy-AM" w:eastAsia="en-GB"/>
              </w:rPr>
            </w:pPr>
            <w:r w:rsidRPr="0053423A">
              <w:rPr>
                <w:rFonts w:cs="Cambria Math"/>
                <w:lang w:val="hy-AM"/>
              </w:rPr>
              <w:t>անվտանգության ստանդարտների պահանջներին։</w:t>
            </w:r>
          </w:p>
        </w:tc>
      </w:tr>
      <w:tr w:rsidR="00143C73" w:rsidRPr="00DE2EFA" w:rsidTr="00143C73">
        <w:tc>
          <w:tcPr>
            <w:tcW w:w="480" w:type="dxa"/>
          </w:tcPr>
          <w:p w:rsidR="00143C73" w:rsidRPr="0053423A" w:rsidRDefault="00143C73" w:rsidP="00A67858">
            <w:pPr>
              <w:spacing w:line="276" w:lineRule="auto"/>
              <w:jc w:val="center"/>
              <w:rPr>
                <w:lang w:val="hy-AM"/>
              </w:rPr>
            </w:pPr>
            <w:r w:rsidRPr="0053423A">
              <w:rPr>
                <w:lang w:val="hy-AM"/>
              </w:rPr>
              <w:t>2</w:t>
            </w:r>
          </w:p>
        </w:tc>
        <w:tc>
          <w:tcPr>
            <w:tcW w:w="10860" w:type="dxa"/>
          </w:tcPr>
          <w:p w:rsidR="00143C73" w:rsidRPr="0053423A" w:rsidRDefault="00143C73" w:rsidP="00A67858">
            <w:pPr>
              <w:spacing w:line="276" w:lineRule="auto"/>
              <w:jc w:val="center"/>
              <w:rPr>
                <w:b/>
                <w:lang w:val="hy-AM"/>
              </w:rPr>
            </w:pPr>
            <w:r w:rsidRPr="0053423A">
              <w:rPr>
                <w:b/>
                <w:lang w:val="hy-AM"/>
              </w:rPr>
              <w:t>«Ատոմային էներգիայի մասին» ՀՀ օրենքի նախագծի ընդունման վերաբերյալ</w:t>
            </w:r>
          </w:p>
          <w:p w:rsidR="00143C73" w:rsidRPr="0053423A" w:rsidRDefault="00143C73" w:rsidP="00A67858">
            <w:pPr>
              <w:spacing w:line="276" w:lineRule="auto"/>
              <w:jc w:val="center"/>
              <w:rPr>
                <w:b/>
                <w:lang w:val="hy-AM"/>
              </w:rPr>
            </w:pPr>
          </w:p>
          <w:p w:rsidR="00143C73" w:rsidRPr="0053423A" w:rsidRDefault="00143C73" w:rsidP="00A67858">
            <w:pPr>
              <w:spacing w:line="276" w:lineRule="auto"/>
              <w:rPr>
                <w:rFonts w:cs="Cambria Math"/>
                <w:b/>
                <w:lang w:val="hy-AM"/>
              </w:rPr>
            </w:pPr>
            <w:r w:rsidRPr="0053423A">
              <w:rPr>
                <w:rFonts w:cs="Cambria Math"/>
                <w:b/>
                <w:lang w:val="hy-AM"/>
              </w:rPr>
              <w:t>1</w:t>
            </w:r>
            <w:r w:rsidRPr="0053423A">
              <w:rPr>
                <w:rFonts w:ascii="Cambria Math" w:hAnsi="Cambria Math" w:cs="Cambria Math"/>
                <w:b/>
                <w:lang w:val="hy-AM"/>
              </w:rPr>
              <w:t>․</w:t>
            </w:r>
            <w:r w:rsidRPr="0053423A">
              <w:rPr>
                <w:rFonts w:cs="Cambria Math"/>
                <w:b/>
                <w:lang w:val="hy-AM"/>
              </w:rPr>
              <w:t xml:space="preserve"> Միջոցառման իրականացման անհրաժեշտությունը  և նպատակը</w:t>
            </w:r>
          </w:p>
          <w:p w:rsidR="00143C73" w:rsidRPr="0053423A" w:rsidRDefault="00143C73" w:rsidP="00A67858">
            <w:pPr>
              <w:autoSpaceDE w:val="0"/>
              <w:autoSpaceDN w:val="0"/>
              <w:adjustRightInd w:val="0"/>
              <w:spacing w:line="276" w:lineRule="auto"/>
              <w:rPr>
                <w:rFonts w:cs="AK Courier"/>
                <w:lang w:val="hy-AM"/>
              </w:rPr>
            </w:pPr>
            <w:r w:rsidRPr="0053423A">
              <w:rPr>
                <w:rFonts w:cs="Cambria Math"/>
                <w:lang w:val="hy-AM"/>
              </w:rPr>
              <w:t>Վերոհիշյալ իրավական ակտի ընդունումը բխում է</w:t>
            </w:r>
            <w:r w:rsidRPr="0053423A">
              <w:rPr>
                <w:rFonts w:cs="AK Courier"/>
                <w:lang w:val="hy-AM"/>
              </w:rPr>
              <w:t xml:space="preserve"> «Խաղաղ նպատակներով ատոմային էներգիայի անվտանգ օգտագործման մասին» ՀՀ օրենքի 17-րդ հոդվածից։</w:t>
            </w:r>
          </w:p>
          <w:p w:rsidR="00143C73" w:rsidRPr="0053423A" w:rsidRDefault="00143C73" w:rsidP="00A67858">
            <w:pPr>
              <w:spacing w:line="276" w:lineRule="auto"/>
              <w:rPr>
                <w:rFonts w:cs="Cambria Math"/>
                <w:lang w:val="hy-AM"/>
              </w:rPr>
            </w:pPr>
            <w:r w:rsidRPr="0053423A">
              <w:rPr>
                <w:rFonts w:cs="Cambria Math"/>
                <w:lang w:val="hy-AM"/>
              </w:rPr>
              <w:t xml:space="preserve">«Խաղաղ նպատակներով ատոմային էներգիայի </w:t>
            </w:r>
            <w:r w:rsidRPr="0053423A">
              <w:rPr>
                <w:rFonts w:cs="AK Courier"/>
                <w:lang w:val="hy-AM"/>
              </w:rPr>
              <w:t xml:space="preserve">անվտանգ </w:t>
            </w:r>
            <w:r w:rsidRPr="0053423A">
              <w:rPr>
                <w:rFonts w:cs="Cambria Math"/>
                <w:lang w:val="hy-AM"/>
              </w:rPr>
              <w:t>օգտագործման մասին» ՀՀ օրենքի ընդունումից հետո (01</w:t>
            </w:r>
            <w:r w:rsidRPr="0053423A">
              <w:rPr>
                <w:rFonts w:ascii="Cambria Math" w:hAnsi="Cambria Math" w:cs="Cambria Math"/>
                <w:lang w:val="hy-AM"/>
              </w:rPr>
              <w:t>․</w:t>
            </w:r>
            <w:r w:rsidRPr="0053423A">
              <w:rPr>
                <w:rFonts w:cs="Cambria Math"/>
                <w:lang w:val="hy-AM"/>
              </w:rPr>
              <w:t xml:space="preserve"> 02</w:t>
            </w:r>
            <w:r w:rsidRPr="0053423A">
              <w:rPr>
                <w:rFonts w:ascii="Cambria Math" w:hAnsi="Cambria Math" w:cs="Cambria Math"/>
                <w:lang w:val="hy-AM"/>
              </w:rPr>
              <w:t>․</w:t>
            </w:r>
            <w:r w:rsidRPr="0053423A">
              <w:rPr>
                <w:rFonts w:cs="Cambria Math"/>
                <w:lang w:val="hy-AM"/>
              </w:rPr>
              <w:t xml:space="preserve"> 1998թ</w:t>
            </w:r>
            <w:r w:rsidRPr="0053423A">
              <w:rPr>
                <w:rFonts w:ascii="Cambria Math" w:hAnsi="Cambria Math" w:cs="Cambria Math"/>
                <w:lang w:val="hy-AM"/>
              </w:rPr>
              <w:t>․</w:t>
            </w:r>
            <w:r w:rsidRPr="0053423A">
              <w:rPr>
                <w:rFonts w:cs="Cambria Math"/>
                <w:lang w:val="hy-AM"/>
              </w:rPr>
              <w:t xml:space="preserve">) թեև կատարվել են մի շարք փոփոխություններ եւ լրացումներ, սակայն դրանք ամբողջությամբ չեն կարգավորում ատոմային էներգիայի բնագավառում ծագող  իրավահարաբերությունները՝ մասնավորապես՝ ռադոն ռադիոակտիվ գազից բնակչության պաշտպանությունը: </w:t>
            </w:r>
          </w:p>
          <w:p w:rsidR="00143C73" w:rsidRPr="0053423A" w:rsidRDefault="00143C73" w:rsidP="00A67858">
            <w:pPr>
              <w:spacing w:line="276" w:lineRule="auto"/>
              <w:rPr>
                <w:rFonts w:cs="Cambria Math"/>
                <w:b/>
                <w:lang w:val="hy-AM"/>
              </w:rPr>
            </w:pPr>
            <w:r w:rsidRPr="0053423A">
              <w:rPr>
                <w:rFonts w:cs="Cambria Math"/>
                <w:b/>
                <w:lang w:val="hy-AM"/>
              </w:rPr>
              <w:t>1</w:t>
            </w:r>
            <w:r w:rsidRPr="0053423A">
              <w:rPr>
                <w:rFonts w:ascii="Cambria Math" w:hAnsi="Cambria Math" w:cs="Cambria Math"/>
                <w:b/>
                <w:lang w:val="hy-AM"/>
              </w:rPr>
              <w:t>․</w:t>
            </w:r>
            <w:r w:rsidRPr="0053423A">
              <w:rPr>
                <w:rFonts w:cs="Cambria Math"/>
                <w:b/>
                <w:lang w:val="hy-AM"/>
              </w:rPr>
              <w:t>1</w:t>
            </w:r>
            <w:r w:rsidRPr="0053423A">
              <w:rPr>
                <w:rFonts w:ascii="Cambria Math" w:hAnsi="Cambria Math" w:cs="Cambria Math"/>
                <w:b/>
                <w:lang w:val="hy-AM"/>
              </w:rPr>
              <w:t>․</w:t>
            </w:r>
            <w:r w:rsidRPr="0053423A">
              <w:rPr>
                <w:rFonts w:cs="Cambria Math"/>
                <w:b/>
                <w:lang w:val="hy-AM"/>
              </w:rPr>
              <w:t xml:space="preserve"> կարգավորման հարաբերությունների ներկա վիճակը և առկա խնդիրները</w:t>
            </w:r>
          </w:p>
          <w:p w:rsidR="00143C73" w:rsidRPr="0053423A" w:rsidRDefault="00143C73" w:rsidP="00A67858">
            <w:pPr>
              <w:spacing w:line="276" w:lineRule="auto"/>
              <w:rPr>
                <w:rFonts w:cs="Cambria Math"/>
                <w:lang w:val="hy-AM"/>
              </w:rPr>
            </w:pPr>
            <w:r w:rsidRPr="0053423A">
              <w:rPr>
                <w:rFonts w:cs="Cambria Math"/>
                <w:lang w:val="hy-AM"/>
              </w:rPr>
              <w:t xml:space="preserve"> ՀՀ կողմից վավերացրած «</w:t>
            </w:r>
            <w:r w:rsidRPr="0053423A">
              <w:rPr>
                <w:rFonts w:cs="AK Courier"/>
                <w:lang w:val="hy-AM"/>
              </w:rPr>
              <w:t>Միջուկային նյութի ֆիզիկական պաշտպանության մասին» կոնվենցիայի փոփոխության (2013թ</w:t>
            </w:r>
            <w:r w:rsidRPr="0053423A">
              <w:rPr>
                <w:rFonts w:ascii="Cambria Math" w:hAnsi="Cambria Math" w:cs="Cambria Math"/>
                <w:lang w:val="hy-AM"/>
              </w:rPr>
              <w:t>․</w:t>
            </w:r>
            <w:r w:rsidRPr="0053423A">
              <w:rPr>
                <w:rFonts w:cs="AK Courier"/>
                <w:lang w:val="hy-AM"/>
              </w:rPr>
              <w:t>), «Աշխատած վառելիքի և ռադիոակտիվ թափոնների կառավարման անվտանգության մասին» համատեղ կոնվենցիայի</w:t>
            </w:r>
            <w:r w:rsidRPr="0053423A">
              <w:rPr>
                <w:rFonts w:cs="Cambria Math"/>
                <w:lang w:val="hy-AM"/>
              </w:rPr>
              <w:t xml:space="preserve"> կարգավորումների ամրագրումը, Ատոմային էներգիայի միջազգային գործակալության առաքելությունների (կարգավորող ենթակառուցվածքի դիտարկման միջազգային ծառայություն (IRRS), ֆիզիկական պաշտպանության միջազգային խորհրդատվական ծառայություն (IPPAS), նախագծային անվտանգության դիտարկում (DSR) առաջարկությունները, ՀՀ և Եվրոպական Միության և Ատոմային էներգիայի եվրոպական Համայնքի ու դրանց անդամ պետությունների միջև կնքված համապարփակ և ընդլայնված գործընկերության համաձայնագրից բխող պարտավորությունների կատարումը ինչպես նաև բնագավառի մի շարք կարևոր հարցերի կարգավորումները,  և </w:t>
            </w:r>
            <w:r w:rsidRPr="0053423A">
              <w:rPr>
                <w:lang w:val="hy-AM"/>
              </w:rPr>
              <w:t>«Միջուկային տե</w:t>
            </w:r>
            <w:r w:rsidRPr="0053423A">
              <w:rPr>
                <w:lang w:val="hy-AM"/>
              </w:rPr>
              <w:softHyphen/>
              <w:t>ղա</w:t>
            </w:r>
            <w:r w:rsidRPr="0053423A">
              <w:rPr>
                <w:lang w:val="hy-AM"/>
              </w:rPr>
              <w:softHyphen/>
              <w:t>կայանքների մի</w:t>
            </w:r>
            <w:r w:rsidRPr="0053423A">
              <w:rPr>
                <w:lang w:val="hy-AM"/>
              </w:rPr>
              <w:softHyphen/>
              <w:t>ջու</w:t>
            </w:r>
            <w:r w:rsidRPr="0053423A">
              <w:rPr>
                <w:lang w:val="hy-AM"/>
              </w:rPr>
              <w:softHyphen/>
              <w:t>կա</w:t>
            </w:r>
            <w:r w:rsidRPr="0053423A">
              <w:rPr>
                <w:lang w:val="hy-AM"/>
              </w:rPr>
              <w:softHyphen/>
              <w:t>յին անվտանգու</w:t>
            </w:r>
            <w:r w:rsidRPr="0053423A">
              <w:rPr>
                <w:lang w:val="hy-AM"/>
              </w:rPr>
              <w:softHyphen/>
              <w:t>թյան գծով Համայնքի հա</w:t>
            </w:r>
            <w:r w:rsidRPr="0053423A">
              <w:rPr>
                <w:lang w:val="hy-AM"/>
              </w:rPr>
              <w:softHyphen/>
              <w:t>մա</w:t>
            </w:r>
            <w:r w:rsidRPr="0053423A">
              <w:rPr>
                <w:lang w:val="hy-AM"/>
              </w:rPr>
              <w:softHyphen/>
              <w:t>կար</w:t>
            </w:r>
            <w:r w:rsidRPr="0053423A">
              <w:rPr>
                <w:lang w:val="hy-AM"/>
              </w:rPr>
              <w:softHyphen/>
              <w:t>գի սահ</w:t>
            </w:r>
            <w:r w:rsidRPr="0053423A">
              <w:rPr>
                <w:lang w:val="hy-AM"/>
              </w:rPr>
              <w:softHyphen/>
              <w:t>մա</w:t>
            </w:r>
            <w:r w:rsidRPr="0053423A">
              <w:rPr>
                <w:lang w:val="hy-AM"/>
              </w:rPr>
              <w:softHyphen/>
              <w:t>նու</w:t>
            </w:r>
            <w:r w:rsidRPr="0053423A">
              <w:rPr>
                <w:lang w:val="hy-AM"/>
              </w:rPr>
              <w:softHyphen/>
              <w:t>մը»</w:t>
            </w:r>
            <w:r w:rsidRPr="0053423A">
              <w:rPr>
                <w:rFonts w:cs="Sylfaen"/>
                <w:lang w:val="hy-AM"/>
              </w:rPr>
              <w:t xml:space="preserve"> </w:t>
            </w:r>
            <w:r w:rsidRPr="0053423A">
              <w:rPr>
                <w:lang w:val="hy-AM"/>
              </w:rPr>
              <w:t>2009/71/ 25</w:t>
            </w:r>
            <w:r w:rsidRPr="0053423A">
              <w:rPr>
                <w:rFonts w:ascii="Cambria Math" w:eastAsia="Arial Unicode MS" w:hAnsi="Cambria Math" w:cs="Cambria Math"/>
                <w:lang w:val="hy-AM"/>
              </w:rPr>
              <w:t>․</w:t>
            </w:r>
            <w:r w:rsidRPr="0053423A">
              <w:rPr>
                <w:lang w:val="hy-AM"/>
              </w:rPr>
              <w:t xml:space="preserve"> 06</w:t>
            </w:r>
            <w:r w:rsidRPr="0053423A">
              <w:rPr>
                <w:rFonts w:ascii="Cambria Math" w:eastAsia="Arial Unicode MS" w:hAnsi="Cambria Math" w:cs="Cambria Math"/>
                <w:lang w:val="hy-AM"/>
              </w:rPr>
              <w:t>․</w:t>
            </w:r>
            <w:r w:rsidRPr="0053423A">
              <w:rPr>
                <w:rFonts w:eastAsia="Arial Unicode MS" w:cs="Cambria Math"/>
                <w:lang w:val="hy-AM"/>
              </w:rPr>
              <w:t xml:space="preserve"> </w:t>
            </w:r>
            <w:r w:rsidRPr="0053423A">
              <w:rPr>
                <w:lang w:val="hy-AM"/>
              </w:rPr>
              <w:t>2009,  «Աշխատած վառե</w:t>
            </w:r>
            <w:r w:rsidRPr="0053423A">
              <w:rPr>
                <w:lang w:val="hy-AM"/>
              </w:rPr>
              <w:softHyphen/>
              <w:t>լի</w:t>
            </w:r>
            <w:r w:rsidRPr="0053423A">
              <w:rPr>
                <w:lang w:val="hy-AM"/>
              </w:rPr>
              <w:softHyphen/>
              <w:t>քի և ռադիոակտիվ թափոնների պատաս</w:t>
            </w:r>
            <w:r w:rsidRPr="0053423A">
              <w:rPr>
                <w:lang w:val="hy-AM"/>
              </w:rPr>
              <w:softHyphen/>
              <w:t>խա</w:t>
            </w:r>
            <w:r w:rsidRPr="0053423A">
              <w:rPr>
                <w:lang w:val="hy-AM"/>
              </w:rPr>
              <w:softHyphen/>
              <w:t>նատու ու ան</w:t>
            </w:r>
            <w:r w:rsidRPr="0053423A">
              <w:rPr>
                <w:lang w:val="hy-AM"/>
              </w:rPr>
              <w:softHyphen/>
              <w:t>վտանգ կառավարման գծով Համայնքի իրա</w:t>
            </w:r>
            <w:r w:rsidRPr="0053423A">
              <w:rPr>
                <w:lang w:val="hy-AM"/>
              </w:rPr>
              <w:softHyphen/>
              <w:t>վական համակարգի սահ</w:t>
            </w:r>
            <w:r w:rsidRPr="0053423A">
              <w:rPr>
                <w:lang w:val="hy-AM"/>
              </w:rPr>
              <w:softHyphen/>
              <w:t>մանումը»</w:t>
            </w:r>
            <w:r w:rsidRPr="0053423A">
              <w:rPr>
                <w:rFonts w:eastAsia="Arial Unicode MS" w:cs="Cambria Math"/>
                <w:lang w:val="hy-AM"/>
              </w:rPr>
              <w:t xml:space="preserve"> </w:t>
            </w:r>
            <w:r w:rsidRPr="0053423A">
              <w:rPr>
                <w:lang w:val="hy-AM"/>
              </w:rPr>
              <w:t>2011/70/ 19 07 2011</w:t>
            </w:r>
            <w:r w:rsidRPr="0053423A">
              <w:rPr>
                <w:rFonts w:eastAsia="Arial Unicode MS" w:cs="Cambria Math"/>
                <w:lang w:val="hy-AM"/>
              </w:rPr>
              <w:t xml:space="preserve"> Եվրադիրեկտիվների </w:t>
            </w:r>
            <w:r w:rsidRPr="0053423A">
              <w:rPr>
                <w:rFonts w:cs="Cambria Math"/>
                <w:lang w:val="hy-AM"/>
              </w:rPr>
              <w:t xml:space="preserve">մոտարկումն ու ԱԷՄԳ անվտանգության ստանդարտների պահանջների ամրագրումը անհրաժեշտություն են առաջացնում մշակել նոր օրենք։ </w:t>
            </w:r>
          </w:p>
          <w:p w:rsidR="00143C73" w:rsidRPr="0053423A" w:rsidRDefault="00143C73" w:rsidP="00A67858">
            <w:pPr>
              <w:spacing w:line="276" w:lineRule="auto"/>
              <w:rPr>
                <w:rFonts w:cs="Cambria Math"/>
                <w:b/>
                <w:lang w:val="hy-AM"/>
              </w:rPr>
            </w:pPr>
            <w:r w:rsidRPr="0053423A">
              <w:rPr>
                <w:rFonts w:cs="Cambria Math"/>
                <w:b/>
                <w:lang w:val="hy-AM"/>
              </w:rPr>
              <w:t>1</w:t>
            </w:r>
            <w:r w:rsidRPr="0053423A">
              <w:rPr>
                <w:rFonts w:ascii="Cambria Math" w:hAnsi="Cambria Math" w:cs="Cambria Math"/>
                <w:b/>
                <w:lang w:val="hy-AM"/>
              </w:rPr>
              <w:t>․</w:t>
            </w:r>
            <w:r w:rsidRPr="0053423A">
              <w:rPr>
                <w:rFonts w:cs="Cambria Math"/>
                <w:b/>
                <w:lang w:val="hy-AM"/>
              </w:rPr>
              <w:t>2 առկա խնդիրների առաջարկվող լուծումները</w:t>
            </w:r>
          </w:p>
          <w:p w:rsidR="00143C73" w:rsidRPr="0053423A" w:rsidRDefault="00143C73" w:rsidP="00A67858">
            <w:pPr>
              <w:spacing w:line="276" w:lineRule="auto"/>
              <w:rPr>
                <w:rFonts w:cs="Cambria Math"/>
                <w:lang w:val="hy-AM"/>
              </w:rPr>
            </w:pPr>
            <w:r w:rsidRPr="0053423A">
              <w:rPr>
                <w:rFonts w:cs="Cambria Math"/>
                <w:lang w:val="hy-AM"/>
              </w:rPr>
              <w:t>Նոր օրենքով  բնագավառի հասկացությունները կսահմանվեն ԱԷՄԳ-ի վերանայված հասկացություններին համապատասխան, կտրվեն միջուկային տեղակայանքների կենսական բոլոր  ցիկլերին՝ հրապարակի ընտրում, նախագծում, կառուցում, շահագործում, շահագործումից հանում,  վերաբերող կարգավորումները, կամրագրվեն ՀՀ կողմից վավերացված միջազգային պայմանագրերի դրույթները, ԱԷՄԳ-ի առաքելությունների առաջարկությունները։</w:t>
            </w:r>
          </w:p>
          <w:p w:rsidR="00143C73" w:rsidRPr="0053423A" w:rsidRDefault="00143C73" w:rsidP="00A67858">
            <w:pPr>
              <w:spacing w:line="276" w:lineRule="auto"/>
              <w:rPr>
                <w:rFonts w:cs="Cambria Math"/>
                <w:b/>
                <w:lang w:val="hy-AM"/>
              </w:rPr>
            </w:pPr>
            <w:r w:rsidRPr="0053423A">
              <w:rPr>
                <w:rFonts w:cs="Cambria Math"/>
                <w:b/>
                <w:lang w:val="hy-AM"/>
              </w:rPr>
              <w:t>2</w:t>
            </w:r>
            <w:r w:rsidRPr="0053423A">
              <w:rPr>
                <w:rFonts w:ascii="Cambria Math" w:hAnsi="Cambria Math" w:cs="Cambria Math"/>
                <w:b/>
                <w:lang w:val="hy-AM"/>
              </w:rPr>
              <w:t>․</w:t>
            </w:r>
            <w:r w:rsidRPr="0053423A">
              <w:rPr>
                <w:rFonts w:cs="Cambria Math"/>
                <w:b/>
                <w:lang w:val="hy-AM"/>
              </w:rPr>
              <w:t xml:space="preserve"> Միջոցառման իրականացումից ակնկալվող արդյունքը</w:t>
            </w:r>
          </w:p>
          <w:p w:rsidR="00143C73" w:rsidRPr="0053423A" w:rsidRDefault="00143C73" w:rsidP="00A67858">
            <w:pPr>
              <w:spacing w:line="276" w:lineRule="auto"/>
              <w:jc w:val="both"/>
              <w:rPr>
                <w:b/>
                <w:lang w:val="hy-AM"/>
              </w:rPr>
            </w:pPr>
            <w:r w:rsidRPr="0053423A">
              <w:rPr>
                <w:rFonts w:cs="Cambria Math"/>
                <w:lang w:val="hy-AM"/>
              </w:rPr>
              <w:t>Օրենքը կկարգավորի բնագավառի հարաբերությունները ՀՀ միջազգային պայմանագրերի պահանջներին, ԱԷՄԳ-ի անվտանգության ստանդարտների և Եվրամիության վերը նշված դիրեկտիվների պահանջներին համապատասխան։</w:t>
            </w:r>
          </w:p>
        </w:tc>
      </w:tr>
      <w:tr w:rsidR="00143C73" w:rsidRPr="00DE2EFA" w:rsidTr="00143C73">
        <w:tc>
          <w:tcPr>
            <w:tcW w:w="480" w:type="dxa"/>
          </w:tcPr>
          <w:p w:rsidR="00143C73" w:rsidRPr="0053423A" w:rsidRDefault="00143C73" w:rsidP="00A67858">
            <w:pPr>
              <w:spacing w:line="276" w:lineRule="auto"/>
              <w:jc w:val="center"/>
              <w:rPr>
                <w:lang w:val="hy-AM"/>
              </w:rPr>
            </w:pPr>
            <w:r w:rsidRPr="0053423A">
              <w:rPr>
                <w:lang w:val="hy-AM"/>
              </w:rPr>
              <w:t>3</w:t>
            </w:r>
          </w:p>
        </w:tc>
        <w:tc>
          <w:tcPr>
            <w:tcW w:w="10860" w:type="dxa"/>
          </w:tcPr>
          <w:p w:rsidR="00143C73" w:rsidRPr="0053423A" w:rsidRDefault="00143C73" w:rsidP="00A67858">
            <w:pPr>
              <w:spacing w:line="276" w:lineRule="auto"/>
              <w:jc w:val="center"/>
              <w:rPr>
                <w:b/>
                <w:lang w:val="hy-AM"/>
              </w:rPr>
            </w:pPr>
            <w:r w:rsidRPr="0053423A">
              <w:rPr>
                <w:b/>
                <w:lang w:val="hy-AM"/>
              </w:rPr>
              <w:t>«Սպառման համար նախատեսված ջրում ռադիոակտիվ նյութերի թույլատրելի սահմանաքանակները հաստատելու մասի» ՀՀ կառավարության որոշման ընդունման վերաբերյալ</w:t>
            </w:r>
          </w:p>
          <w:p w:rsidR="00143C73" w:rsidRPr="0053423A" w:rsidRDefault="00143C73" w:rsidP="00A67858">
            <w:pPr>
              <w:spacing w:line="276" w:lineRule="auto"/>
              <w:jc w:val="center"/>
              <w:rPr>
                <w:lang w:val="hy-AM"/>
              </w:rPr>
            </w:pPr>
          </w:p>
          <w:p w:rsidR="00143C73" w:rsidRPr="0053423A" w:rsidRDefault="00143C73" w:rsidP="00A67858">
            <w:pPr>
              <w:spacing w:line="276" w:lineRule="auto"/>
              <w:rPr>
                <w:rFonts w:cs="Cambria Math"/>
                <w:b/>
                <w:lang w:val="hy-AM"/>
              </w:rPr>
            </w:pPr>
            <w:r w:rsidRPr="0053423A">
              <w:rPr>
                <w:rFonts w:cs="Cambria Math"/>
                <w:b/>
                <w:lang w:val="hy-AM"/>
              </w:rPr>
              <w:t>1</w:t>
            </w:r>
            <w:r w:rsidRPr="0053423A">
              <w:rPr>
                <w:rFonts w:ascii="Cambria Math" w:hAnsi="Cambria Math" w:cs="Cambria Math"/>
                <w:b/>
                <w:lang w:val="hy-AM"/>
              </w:rPr>
              <w:t>․</w:t>
            </w:r>
            <w:r w:rsidRPr="0053423A">
              <w:rPr>
                <w:rFonts w:cs="Cambria Math"/>
                <w:b/>
                <w:lang w:val="hy-AM"/>
              </w:rPr>
              <w:t xml:space="preserve"> Միջոցառման իրականացման անհրաժեշտությունը  և նպատակը</w:t>
            </w:r>
          </w:p>
          <w:p w:rsidR="00143C73" w:rsidRPr="0053423A" w:rsidRDefault="00143C73" w:rsidP="00A67858">
            <w:pPr>
              <w:autoSpaceDE w:val="0"/>
              <w:autoSpaceDN w:val="0"/>
              <w:adjustRightInd w:val="0"/>
              <w:spacing w:line="276" w:lineRule="auto"/>
              <w:rPr>
                <w:rFonts w:cs="AK Courier"/>
                <w:lang w:val="hy-AM"/>
              </w:rPr>
            </w:pPr>
            <w:r w:rsidRPr="0053423A">
              <w:rPr>
                <w:rFonts w:cs="Cambria Math"/>
                <w:lang w:val="hy-AM"/>
              </w:rPr>
              <w:t xml:space="preserve">Նորմատիվ իրավական ակտի ընդունումը  բխում է ՀՀ և Եվրոպական Միության և Ատոմային էներգիայի Եվրոպական Համայնքի ու դրանց անդամ պետությունների միջև կնքված համապարփակ և ընդլայնված գործընկերության համաձայնագրից (ստորագրված՝ </w:t>
            </w:r>
            <w:r w:rsidRPr="0053423A">
              <w:rPr>
                <w:color w:val="212121"/>
                <w:shd w:val="clear" w:color="auto" w:fill="FFFFFF"/>
                <w:lang w:val="hy-AM"/>
              </w:rPr>
              <w:t>2017թ. նոյեմբերի 24-ին, Բրյուսելում - CEPA)</w:t>
            </w:r>
            <w:r w:rsidRPr="0053423A">
              <w:rPr>
                <w:rFonts w:cs="Cambria Math"/>
                <w:lang w:val="hy-AM"/>
              </w:rPr>
              <w:t xml:space="preserve"> բխող պարտավորությունների կատարման անհրաժեշտությունից և </w:t>
            </w:r>
            <w:r w:rsidRPr="0053423A">
              <w:rPr>
                <w:rFonts w:cs="AK Courier"/>
                <w:lang w:val="hy-AM"/>
              </w:rPr>
              <w:t>«Խաղաղ նպատակներով ատոմային  էներգիայի անվտանգ օգտագործման մասին» ՀՀ օրենքի 17-րդ հոդվածի 1-ին մասի 1-ին կետի պահանջից, համաձայն որի կարգավորող մարմինը մշակում եւ վարչապետին է ներկայացնում ատոմային էներգիայի օգտագործման բնագավառի իրավական ակտերի նախագծեր։</w:t>
            </w:r>
          </w:p>
          <w:p w:rsidR="00143C73" w:rsidRPr="0053423A" w:rsidRDefault="00143C73" w:rsidP="00A67858">
            <w:pPr>
              <w:spacing w:line="276" w:lineRule="auto"/>
              <w:rPr>
                <w:rFonts w:cs="Cambria Math"/>
                <w:b/>
                <w:lang w:val="hy-AM"/>
              </w:rPr>
            </w:pPr>
            <w:r w:rsidRPr="0053423A">
              <w:rPr>
                <w:rFonts w:cs="Cambria Math"/>
                <w:b/>
                <w:lang w:val="hy-AM"/>
              </w:rPr>
              <w:t>1</w:t>
            </w:r>
            <w:r w:rsidRPr="0053423A">
              <w:rPr>
                <w:rFonts w:ascii="Cambria Math" w:hAnsi="Cambria Math" w:cs="Cambria Math"/>
                <w:b/>
                <w:lang w:val="hy-AM"/>
              </w:rPr>
              <w:t>․</w:t>
            </w:r>
            <w:r w:rsidRPr="0053423A">
              <w:rPr>
                <w:rFonts w:cs="Cambria Math"/>
                <w:b/>
                <w:lang w:val="hy-AM"/>
              </w:rPr>
              <w:t>1</w:t>
            </w:r>
            <w:r w:rsidRPr="0053423A">
              <w:rPr>
                <w:rFonts w:ascii="Cambria Math" w:hAnsi="Cambria Math" w:cs="Cambria Math"/>
                <w:b/>
                <w:lang w:val="hy-AM"/>
              </w:rPr>
              <w:t>․</w:t>
            </w:r>
            <w:r w:rsidRPr="0053423A">
              <w:rPr>
                <w:rFonts w:cs="Cambria Math"/>
                <w:b/>
                <w:lang w:val="hy-AM"/>
              </w:rPr>
              <w:t xml:space="preserve"> կարգավորման հարաբերությունների ներկա վիճակը և առկա խնդիրները</w:t>
            </w:r>
          </w:p>
          <w:p w:rsidR="00143C73" w:rsidRPr="0053423A" w:rsidRDefault="00143C73" w:rsidP="00A67858">
            <w:pPr>
              <w:spacing w:line="276" w:lineRule="auto"/>
              <w:rPr>
                <w:rFonts w:cs="Cambria Math"/>
                <w:lang w:val="hy-AM"/>
              </w:rPr>
            </w:pPr>
            <w:r w:rsidRPr="0053423A">
              <w:rPr>
                <w:rFonts w:cs="Cambria Math"/>
                <w:lang w:val="hy-AM"/>
              </w:rPr>
              <w:t>«</w:t>
            </w:r>
            <w:r w:rsidRPr="0053423A">
              <w:rPr>
                <w:lang w:val="hy-AM"/>
              </w:rPr>
              <w:t>Մարդու կողմից սպառման համար նախատեսված ջրում ռադիոակտիվ նյութերի մասով առողջության պահպանմանը ներկայացվող պահանջները սահմանելու մասին» 2013/51/ 22</w:t>
            </w:r>
            <w:r w:rsidRPr="0053423A">
              <w:rPr>
                <w:rFonts w:ascii="Cambria Math" w:hAnsi="Cambria Math" w:cs="Cambria Math"/>
                <w:lang w:val="hy-AM"/>
              </w:rPr>
              <w:t>․</w:t>
            </w:r>
            <w:r w:rsidRPr="0053423A">
              <w:rPr>
                <w:lang w:val="hy-AM"/>
              </w:rPr>
              <w:t xml:space="preserve">10 2013 Եվրադիրեկտիվի դրույթների ներառում ՀՀ իրավական ակտերում </w:t>
            </w:r>
            <w:r w:rsidRPr="0053423A">
              <w:rPr>
                <w:rFonts w:cs="Cambria Math"/>
                <w:lang w:val="hy-AM"/>
              </w:rPr>
              <w:t>(ՀՀ և Եվրոպական Միության և Ատոմային էներգիայի Եվրոպական Համայնքի ու դրանց անդամ պետությունների միջև կնքված համապարփակ և ընդլայնված գործընկերության համաձայնագրի  2-րդ հավելվածով նախատեսված՝ միջուկային էներգետիկա բաժնին վերաբերող  դիրեկտիվ)։</w:t>
            </w:r>
          </w:p>
          <w:p w:rsidR="00143C73" w:rsidRPr="0053423A" w:rsidRDefault="00143C73" w:rsidP="00A67858">
            <w:pPr>
              <w:spacing w:line="276" w:lineRule="auto"/>
              <w:rPr>
                <w:rFonts w:cs="Cambria Math"/>
                <w:b/>
                <w:lang w:val="hy-AM"/>
              </w:rPr>
            </w:pPr>
            <w:r w:rsidRPr="0053423A">
              <w:rPr>
                <w:rFonts w:cs="Cambria Math"/>
                <w:b/>
                <w:lang w:val="hy-AM"/>
              </w:rPr>
              <w:t>1</w:t>
            </w:r>
            <w:r w:rsidRPr="0053423A">
              <w:rPr>
                <w:rFonts w:ascii="Cambria Math" w:hAnsi="Cambria Math" w:cs="Cambria Math"/>
                <w:b/>
                <w:lang w:val="hy-AM"/>
              </w:rPr>
              <w:t>․</w:t>
            </w:r>
            <w:r w:rsidRPr="0053423A">
              <w:rPr>
                <w:rFonts w:cs="Cambria Math"/>
                <w:b/>
                <w:lang w:val="hy-AM"/>
              </w:rPr>
              <w:t>2 առկա խնդիրների առաջարկվող լուծումները</w:t>
            </w:r>
          </w:p>
          <w:p w:rsidR="00143C73" w:rsidRPr="0053423A" w:rsidRDefault="00143C73" w:rsidP="00A67858">
            <w:pPr>
              <w:spacing w:line="276" w:lineRule="auto"/>
              <w:rPr>
                <w:rFonts w:cs="Cambria Math"/>
                <w:lang w:val="hy-AM"/>
              </w:rPr>
            </w:pPr>
            <w:r w:rsidRPr="0053423A">
              <w:rPr>
                <w:lang w:val="hy-AM"/>
              </w:rPr>
              <w:t>«Ատոմային էներգիայի մասին» ՀՀ օրենքով ՀՀ կառավարությունը կլիազորվի ընդունելու վերոհիշյալ որոշումը,</w:t>
            </w:r>
            <w:r w:rsidRPr="0053423A">
              <w:rPr>
                <w:rFonts w:cs="Cambria Math"/>
                <w:lang w:val="hy-AM"/>
              </w:rPr>
              <w:t xml:space="preserve"> որով կսահմանվեն խմելու ջրում ռադիոակտիվ նյութերի թույլատրելի սահմանաքանակները, վերը նշված դիրեկտիվների դրույթներին համապատասխան։</w:t>
            </w:r>
          </w:p>
          <w:p w:rsidR="00143C73" w:rsidRPr="0053423A" w:rsidRDefault="00143C73" w:rsidP="00A67858">
            <w:pPr>
              <w:spacing w:line="276" w:lineRule="auto"/>
              <w:rPr>
                <w:rFonts w:cs="Cambria Math"/>
                <w:b/>
                <w:lang w:val="hy-AM"/>
              </w:rPr>
            </w:pPr>
            <w:r w:rsidRPr="0053423A">
              <w:rPr>
                <w:rFonts w:cs="Cambria Math"/>
                <w:b/>
                <w:lang w:val="hy-AM"/>
              </w:rPr>
              <w:t>2</w:t>
            </w:r>
            <w:r w:rsidRPr="0053423A">
              <w:rPr>
                <w:rFonts w:ascii="Cambria Math" w:hAnsi="Cambria Math" w:cs="Cambria Math"/>
                <w:b/>
                <w:lang w:val="hy-AM"/>
              </w:rPr>
              <w:t>․</w:t>
            </w:r>
            <w:r w:rsidRPr="0053423A">
              <w:rPr>
                <w:rFonts w:cs="Cambria Math"/>
                <w:b/>
                <w:lang w:val="hy-AM"/>
              </w:rPr>
              <w:t xml:space="preserve"> Միջոցառման իրականացումից ակնկալվող արդյունքը</w:t>
            </w:r>
          </w:p>
          <w:p w:rsidR="00143C73" w:rsidRPr="0053423A" w:rsidRDefault="00143C73" w:rsidP="00A67858">
            <w:pPr>
              <w:spacing w:line="276" w:lineRule="auto"/>
              <w:rPr>
                <w:b/>
                <w:lang w:val="hy-AM"/>
              </w:rPr>
            </w:pPr>
            <w:r w:rsidRPr="0053423A">
              <w:rPr>
                <w:rFonts w:cs="Cambria Math"/>
                <w:lang w:val="hy-AM"/>
              </w:rPr>
              <w:t>ՀՀ կողմից ստանձնած պարտավորությունների կատարում՝ ապահովելու բնակչության,   շրջակա միջավայրի պաշտպանությունն իոնացնող ճառագայթման հնարավոր վնասակար ազդեցությունից։</w:t>
            </w:r>
          </w:p>
        </w:tc>
      </w:tr>
      <w:tr w:rsidR="00143C73" w:rsidRPr="00DE2EFA" w:rsidTr="00143C73">
        <w:tc>
          <w:tcPr>
            <w:tcW w:w="480" w:type="dxa"/>
          </w:tcPr>
          <w:p w:rsidR="00143C73" w:rsidRPr="0053423A" w:rsidRDefault="00143C73" w:rsidP="00A67858">
            <w:pPr>
              <w:spacing w:line="276" w:lineRule="auto"/>
              <w:jc w:val="center"/>
              <w:rPr>
                <w:lang w:val="hy-AM"/>
              </w:rPr>
            </w:pPr>
            <w:r w:rsidRPr="0053423A">
              <w:rPr>
                <w:lang w:val="hy-AM"/>
              </w:rPr>
              <w:t>4</w:t>
            </w:r>
          </w:p>
        </w:tc>
        <w:tc>
          <w:tcPr>
            <w:tcW w:w="10860" w:type="dxa"/>
          </w:tcPr>
          <w:p w:rsidR="00143C73" w:rsidRPr="0053423A" w:rsidRDefault="00143C73" w:rsidP="00A67858">
            <w:pPr>
              <w:spacing w:line="276" w:lineRule="auto"/>
              <w:jc w:val="center"/>
              <w:rPr>
                <w:b/>
                <w:lang w:val="hy-AM"/>
              </w:rPr>
            </w:pPr>
            <w:r w:rsidRPr="0053423A">
              <w:rPr>
                <w:b/>
                <w:lang w:val="hy-AM"/>
              </w:rPr>
              <w:t>«Իոնացնող ճառագայթման անվտանգության և իոնացնող ճառագայթումից պաշտպանության անվտանգության պահանջները հաստատելու մա</w:t>
            </w:r>
            <w:r w:rsidRPr="0053423A">
              <w:rPr>
                <w:b/>
                <w:lang w:val="hy-AM"/>
              </w:rPr>
              <w:softHyphen/>
              <w:t>սին»» ՀՀ կառավարության որոշման ընդունման վերաբերյալ</w:t>
            </w:r>
          </w:p>
          <w:p w:rsidR="00143C73" w:rsidRPr="0053423A" w:rsidRDefault="00143C73" w:rsidP="00A67858">
            <w:pPr>
              <w:spacing w:line="276" w:lineRule="auto"/>
              <w:jc w:val="center"/>
              <w:rPr>
                <w:b/>
                <w:lang w:val="hy-AM"/>
              </w:rPr>
            </w:pPr>
          </w:p>
          <w:p w:rsidR="00143C73" w:rsidRPr="0053423A" w:rsidRDefault="00143C73" w:rsidP="00A67858">
            <w:pPr>
              <w:spacing w:line="276" w:lineRule="auto"/>
              <w:rPr>
                <w:rFonts w:cs="Cambria Math"/>
                <w:b/>
                <w:lang w:val="hy-AM"/>
              </w:rPr>
            </w:pPr>
            <w:r w:rsidRPr="0053423A">
              <w:rPr>
                <w:rFonts w:cs="Cambria Math"/>
                <w:b/>
                <w:lang w:val="hy-AM"/>
              </w:rPr>
              <w:t>1</w:t>
            </w:r>
            <w:r w:rsidRPr="0053423A">
              <w:rPr>
                <w:rFonts w:ascii="Cambria Math" w:hAnsi="Cambria Math" w:cs="Cambria Math"/>
                <w:b/>
                <w:lang w:val="hy-AM"/>
              </w:rPr>
              <w:t>․</w:t>
            </w:r>
            <w:r w:rsidRPr="0053423A">
              <w:rPr>
                <w:rFonts w:cs="Cambria Math"/>
                <w:b/>
                <w:lang w:val="hy-AM"/>
              </w:rPr>
              <w:t xml:space="preserve"> Միջոցառման իրականացման անհրաժեշտությունը  և նպատակը</w:t>
            </w:r>
          </w:p>
          <w:p w:rsidR="00143C73" w:rsidRPr="0053423A" w:rsidRDefault="00143C73" w:rsidP="00A67858">
            <w:pPr>
              <w:autoSpaceDE w:val="0"/>
              <w:autoSpaceDN w:val="0"/>
              <w:adjustRightInd w:val="0"/>
              <w:spacing w:line="276" w:lineRule="auto"/>
              <w:rPr>
                <w:rFonts w:cs="AK Courier"/>
                <w:lang w:val="hy-AM"/>
              </w:rPr>
            </w:pPr>
            <w:r w:rsidRPr="0053423A">
              <w:rPr>
                <w:rFonts w:cs="Cambria Math"/>
                <w:lang w:val="hy-AM"/>
              </w:rPr>
              <w:t xml:space="preserve">Նորմատիվ իրավական ակտի ընդունումը  բխում է ՀՀ և Եվրոպական Միության և Ատոմային էներգիայի Եվրոպական Համայնքի ու դրանց անդամ պետությունների միջև կնքված համապարփակ և ընդլայնված գործընկերության համաձայնագրից (ստորագրված՝ </w:t>
            </w:r>
            <w:r w:rsidRPr="0053423A">
              <w:rPr>
                <w:color w:val="212121"/>
                <w:shd w:val="clear" w:color="auto" w:fill="FFFFFF"/>
                <w:lang w:val="hy-AM"/>
              </w:rPr>
              <w:t>2017թ. նոյեմբերի 24-ին, Բրյուսելում- CEPA)</w:t>
            </w:r>
            <w:r w:rsidRPr="0053423A">
              <w:rPr>
                <w:rFonts w:cs="Cambria Math"/>
                <w:lang w:val="hy-AM"/>
              </w:rPr>
              <w:t xml:space="preserve"> բխող պարտավորությունների կատարման  անհրաժեշտությունից և </w:t>
            </w:r>
            <w:r w:rsidRPr="0053423A">
              <w:rPr>
                <w:rFonts w:cs="AK Courier"/>
                <w:lang w:val="hy-AM"/>
              </w:rPr>
              <w:t>«Խաղաղ նպատակներով ատոմային  էներգիայի անվտանգ օգտագործման մասին» ՀՀ օրենքի 17-րդ հոդվածի 1-ին մասի 1-ին կետի պահանջից, համաձայն որի կարգավորող մարմինը մշակում եւ վարչապետին է ներկայացնում ատոմային էներգիայի օգտագործման բնագավառի իրավական ակտերի նախագծեր։</w:t>
            </w:r>
          </w:p>
          <w:p w:rsidR="00143C73" w:rsidRPr="0053423A" w:rsidRDefault="00143C73" w:rsidP="00A67858">
            <w:pPr>
              <w:spacing w:line="276" w:lineRule="auto"/>
              <w:rPr>
                <w:rFonts w:cs="Cambria Math"/>
                <w:b/>
                <w:lang w:val="hy-AM"/>
              </w:rPr>
            </w:pPr>
            <w:r w:rsidRPr="0053423A">
              <w:rPr>
                <w:rFonts w:cs="Cambria Math"/>
                <w:b/>
                <w:lang w:val="hy-AM"/>
              </w:rPr>
              <w:t>1</w:t>
            </w:r>
            <w:r w:rsidRPr="0053423A">
              <w:rPr>
                <w:rFonts w:ascii="Cambria Math" w:hAnsi="Cambria Math" w:cs="Cambria Math"/>
                <w:b/>
                <w:lang w:val="hy-AM"/>
              </w:rPr>
              <w:t>․</w:t>
            </w:r>
            <w:r w:rsidRPr="0053423A">
              <w:rPr>
                <w:rFonts w:cs="Cambria Math"/>
                <w:b/>
                <w:lang w:val="hy-AM"/>
              </w:rPr>
              <w:t>1</w:t>
            </w:r>
            <w:r w:rsidRPr="0053423A">
              <w:rPr>
                <w:rFonts w:ascii="Cambria Math" w:hAnsi="Cambria Math" w:cs="Cambria Math"/>
                <w:b/>
                <w:lang w:val="hy-AM"/>
              </w:rPr>
              <w:t>․</w:t>
            </w:r>
            <w:r w:rsidRPr="0053423A">
              <w:rPr>
                <w:rFonts w:cs="Cambria Math"/>
                <w:b/>
                <w:lang w:val="hy-AM"/>
              </w:rPr>
              <w:t xml:space="preserve"> կարգավորման հարաբերությունների ներկա վիճակը և առկա խնդիրները</w:t>
            </w:r>
          </w:p>
          <w:p w:rsidR="00143C73" w:rsidRPr="0053423A" w:rsidRDefault="00143C73" w:rsidP="00A67858">
            <w:pPr>
              <w:spacing w:line="276" w:lineRule="auto"/>
              <w:rPr>
                <w:lang w:val="hy-AM"/>
              </w:rPr>
            </w:pPr>
            <w:r w:rsidRPr="0053423A">
              <w:rPr>
                <w:lang w:val="hy-AM"/>
              </w:rPr>
              <w:t>«Իոնացնող ճառագայթումից առաջացող վտանգներից պաշտպանության անվտանգության հիմնական ստանդարտները սահմանելու մասին» 5</w:t>
            </w:r>
            <w:r w:rsidRPr="0053423A">
              <w:rPr>
                <w:rFonts w:ascii="Cambria Math" w:hAnsi="Cambria Math" w:cs="Cambria Math"/>
                <w:lang w:val="hy-AM"/>
              </w:rPr>
              <w:t>․</w:t>
            </w:r>
            <w:r w:rsidRPr="0053423A">
              <w:rPr>
                <w:rFonts w:cs="Cambria Math"/>
                <w:lang w:val="hy-AM"/>
              </w:rPr>
              <w:t xml:space="preserve"> </w:t>
            </w:r>
            <w:r w:rsidRPr="0053423A">
              <w:rPr>
                <w:lang w:val="hy-AM"/>
              </w:rPr>
              <w:t>12</w:t>
            </w:r>
            <w:r w:rsidRPr="0053423A">
              <w:rPr>
                <w:rFonts w:ascii="Cambria Math" w:hAnsi="Cambria Math" w:cs="Cambria Math"/>
                <w:lang w:val="hy-AM"/>
              </w:rPr>
              <w:t>․</w:t>
            </w:r>
            <w:r w:rsidRPr="0053423A">
              <w:rPr>
                <w:rFonts w:cs="Cambria Math"/>
                <w:lang w:val="hy-AM"/>
              </w:rPr>
              <w:t xml:space="preserve"> </w:t>
            </w:r>
            <w:r w:rsidRPr="0053423A">
              <w:rPr>
                <w:lang w:val="hy-AM"/>
              </w:rPr>
              <w:t xml:space="preserve"> 2013/59/ 89/618 90/641, 96/29/ , 97/43 և 2003/122/ Եվրադիրեկտիվների դրույթների ներառում ՀՀ իրավական ակտերում </w:t>
            </w:r>
            <w:r w:rsidRPr="0053423A">
              <w:rPr>
                <w:rFonts w:cs="Cambria Math"/>
                <w:lang w:val="hy-AM"/>
              </w:rPr>
              <w:t>(ՀՀ և Եվրոպական Միության և Ատոմային էներգիայի Եվրոպական Համայնքի ու դրանց անդամ պետությունների միջև կնքված համապարփակ և ընդլայնված գործընկերության համաձայնագրի 2-րդ հավելվածով նախատեսված՝ միջուկային էներգետիկա բաժնին վերաբերող  դիրեկտիվ)։</w:t>
            </w:r>
          </w:p>
          <w:p w:rsidR="00143C73" w:rsidRPr="0053423A" w:rsidRDefault="00143C73" w:rsidP="00A67858">
            <w:pPr>
              <w:spacing w:line="276" w:lineRule="auto"/>
              <w:rPr>
                <w:rFonts w:cs="Cambria Math"/>
                <w:b/>
                <w:lang w:val="hy-AM"/>
              </w:rPr>
            </w:pPr>
            <w:r w:rsidRPr="0053423A">
              <w:rPr>
                <w:rFonts w:cs="Cambria Math"/>
                <w:b/>
                <w:lang w:val="hy-AM"/>
              </w:rPr>
              <w:t>1</w:t>
            </w:r>
            <w:r w:rsidRPr="0053423A">
              <w:rPr>
                <w:rFonts w:ascii="Cambria Math" w:hAnsi="Cambria Math" w:cs="Cambria Math"/>
                <w:b/>
                <w:lang w:val="hy-AM"/>
              </w:rPr>
              <w:t>․</w:t>
            </w:r>
            <w:r w:rsidRPr="0053423A">
              <w:rPr>
                <w:rFonts w:cs="Cambria Math"/>
                <w:b/>
                <w:lang w:val="hy-AM"/>
              </w:rPr>
              <w:t>2 առկա խնդիրների առաջարկվող լուծումները</w:t>
            </w:r>
          </w:p>
          <w:p w:rsidR="00143C73" w:rsidRPr="0053423A" w:rsidRDefault="00143C73" w:rsidP="00A67858">
            <w:pPr>
              <w:spacing w:line="276" w:lineRule="auto"/>
              <w:rPr>
                <w:rFonts w:cs="Cambria Math"/>
                <w:lang w:val="hy-AM"/>
              </w:rPr>
            </w:pPr>
            <w:r w:rsidRPr="0053423A">
              <w:rPr>
                <w:lang w:val="hy-AM"/>
              </w:rPr>
              <w:t>«Ատոմային էներգիայի մասին» ՀՀ օրենքով ՀՀ կառավարությունը կլիազորվի ընդունելու վերոհիշյալ որոշումը,</w:t>
            </w:r>
            <w:r w:rsidRPr="0053423A">
              <w:rPr>
                <w:rFonts w:cs="Cambria Math"/>
                <w:lang w:val="hy-AM"/>
              </w:rPr>
              <w:t xml:space="preserve"> որով կսահմանվեն </w:t>
            </w:r>
            <w:r w:rsidRPr="0053423A">
              <w:rPr>
                <w:lang w:val="hy-AM"/>
              </w:rPr>
              <w:t>իոնացնող ճառագայթման անվտանգության և իոնացնող ճառագայթումից պաշտպանության անվտանգության պահանջներ։</w:t>
            </w:r>
          </w:p>
          <w:p w:rsidR="00143C73" w:rsidRPr="0053423A" w:rsidRDefault="00143C73" w:rsidP="00A67858">
            <w:pPr>
              <w:spacing w:line="276" w:lineRule="auto"/>
              <w:rPr>
                <w:rFonts w:cs="Cambria Math"/>
                <w:b/>
                <w:lang w:val="hy-AM"/>
              </w:rPr>
            </w:pPr>
            <w:r w:rsidRPr="0053423A">
              <w:rPr>
                <w:rFonts w:cs="Cambria Math"/>
                <w:b/>
                <w:lang w:val="hy-AM"/>
              </w:rPr>
              <w:t>2</w:t>
            </w:r>
            <w:r w:rsidRPr="0053423A">
              <w:rPr>
                <w:rFonts w:ascii="Cambria Math" w:hAnsi="Cambria Math" w:cs="Cambria Math"/>
                <w:b/>
                <w:lang w:val="hy-AM"/>
              </w:rPr>
              <w:t>․</w:t>
            </w:r>
            <w:r w:rsidRPr="0053423A">
              <w:rPr>
                <w:rFonts w:cs="Cambria Math"/>
                <w:b/>
                <w:lang w:val="hy-AM"/>
              </w:rPr>
              <w:t xml:space="preserve"> Միջոցառման իրականացումից ակնկալվող արդյունքը</w:t>
            </w:r>
          </w:p>
          <w:p w:rsidR="00143C73" w:rsidRPr="0053423A" w:rsidRDefault="00143C73" w:rsidP="00A67858">
            <w:pPr>
              <w:spacing w:line="276" w:lineRule="auto"/>
              <w:jc w:val="both"/>
              <w:rPr>
                <w:b/>
                <w:lang w:val="hy-AM"/>
              </w:rPr>
            </w:pPr>
            <w:r w:rsidRPr="0053423A">
              <w:rPr>
                <w:rFonts w:cs="Cambria Math"/>
                <w:lang w:val="hy-AM"/>
              </w:rPr>
              <w:t>ՀՀ կողմից ստանձնած պարտավորությունների կատարում՝ ապահովելու բնակչության, ատոմային էներգիայի օգտագործման օբյեկտների անձնակազմի անվտանգության ապահովումը, շրջակա միջավայրի պաշտպանությունն իոնացնող ճառագայթման հնարավոր վնասակար ազդեցությունից, այդ թվում բնական ճառագայթումից. մասնավորապես՝ ռադոն ռադիոակտիվ գազ, շինարարական նյութերի ռադիոակտիվություն և այլն։</w:t>
            </w:r>
          </w:p>
        </w:tc>
      </w:tr>
      <w:tr w:rsidR="00143C73" w:rsidRPr="00DE2EFA" w:rsidTr="00143C73">
        <w:tc>
          <w:tcPr>
            <w:tcW w:w="480" w:type="dxa"/>
          </w:tcPr>
          <w:p w:rsidR="00143C73" w:rsidRPr="0053423A" w:rsidRDefault="00143C73" w:rsidP="00A67858">
            <w:pPr>
              <w:spacing w:line="276" w:lineRule="auto"/>
              <w:jc w:val="center"/>
              <w:rPr>
                <w:lang w:val="hy-AM"/>
              </w:rPr>
            </w:pPr>
            <w:r w:rsidRPr="0053423A">
              <w:rPr>
                <w:lang w:val="hy-AM"/>
              </w:rPr>
              <w:t>5</w:t>
            </w:r>
          </w:p>
        </w:tc>
        <w:tc>
          <w:tcPr>
            <w:tcW w:w="10860" w:type="dxa"/>
          </w:tcPr>
          <w:p w:rsidR="00143C73" w:rsidRPr="0053423A" w:rsidRDefault="00143C73" w:rsidP="00A67858">
            <w:pPr>
              <w:spacing w:line="276" w:lineRule="auto"/>
              <w:jc w:val="center"/>
              <w:rPr>
                <w:b/>
                <w:lang w:val="hy-AM"/>
              </w:rPr>
            </w:pPr>
            <w:r w:rsidRPr="0053423A">
              <w:rPr>
                <w:b/>
                <w:lang w:val="hy-AM"/>
              </w:rPr>
              <w:t>«Ռադիոակտիվ թա</w:t>
            </w:r>
            <w:r w:rsidRPr="0053423A">
              <w:rPr>
                <w:b/>
                <w:lang w:val="hy-AM"/>
              </w:rPr>
              <w:softHyphen/>
              <w:t>փոնների և աշխա</w:t>
            </w:r>
            <w:r w:rsidRPr="0053423A">
              <w:rPr>
                <w:b/>
                <w:lang w:val="hy-AM"/>
              </w:rPr>
              <w:softHyphen/>
              <w:t>տած վառելիքի առա</w:t>
            </w:r>
            <w:r w:rsidRPr="0053423A">
              <w:rPr>
                <w:b/>
                <w:lang w:val="hy-AM"/>
              </w:rPr>
              <w:softHyphen/>
              <w:t>քման մասին»  ՀՀ կառավարության որոշման ընդունման վերաբերյալ</w:t>
            </w:r>
          </w:p>
          <w:p w:rsidR="00143C73" w:rsidRPr="0053423A" w:rsidRDefault="00143C73" w:rsidP="00A67858">
            <w:pPr>
              <w:spacing w:line="276" w:lineRule="auto"/>
              <w:jc w:val="center"/>
              <w:rPr>
                <w:b/>
                <w:lang w:val="hy-AM"/>
              </w:rPr>
            </w:pPr>
          </w:p>
          <w:p w:rsidR="00143C73" w:rsidRPr="0053423A" w:rsidRDefault="00143C73" w:rsidP="00A67858">
            <w:pPr>
              <w:spacing w:line="276" w:lineRule="auto"/>
              <w:rPr>
                <w:rFonts w:cs="Cambria Math"/>
                <w:b/>
                <w:lang w:val="hy-AM"/>
              </w:rPr>
            </w:pPr>
            <w:r w:rsidRPr="0053423A">
              <w:rPr>
                <w:rFonts w:cs="Cambria Math"/>
                <w:b/>
                <w:lang w:val="hy-AM"/>
              </w:rPr>
              <w:t>1</w:t>
            </w:r>
            <w:r w:rsidRPr="0053423A">
              <w:rPr>
                <w:rFonts w:ascii="Cambria Math" w:hAnsi="Cambria Math" w:cs="Cambria Math"/>
                <w:b/>
                <w:lang w:val="hy-AM"/>
              </w:rPr>
              <w:t>․</w:t>
            </w:r>
            <w:r w:rsidRPr="0053423A">
              <w:rPr>
                <w:rFonts w:cs="Cambria Math"/>
                <w:b/>
                <w:lang w:val="hy-AM"/>
              </w:rPr>
              <w:t xml:space="preserve"> Միջոցառման իրականացման անհրաժեշտությունը  նպատակը</w:t>
            </w:r>
          </w:p>
          <w:p w:rsidR="00143C73" w:rsidRPr="0053423A" w:rsidRDefault="00143C73" w:rsidP="00A67858">
            <w:pPr>
              <w:autoSpaceDE w:val="0"/>
              <w:autoSpaceDN w:val="0"/>
              <w:adjustRightInd w:val="0"/>
              <w:spacing w:line="276" w:lineRule="auto"/>
              <w:rPr>
                <w:rFonts w:cs="AK Courier"/>
                <w:lang w:val="hy-AM"/>
              </w:rPr>
            </w:pPr>
            <w:r w:rsidRPr="0053423A">
              <w:rPr>
                <w:rFonts w:cs="Cambria Math"/>
                <w:lang w:val="hy-AM"/>
              </w:rPr>
              <w:t xml:space="preserve">Նորմատիվ իրավական ակտի ընդունումը  բխում է ՀՀ և Եվրոպական Միության և Ատոմային էներգիայի Եվրոպական Համայնքի ու դրանց անդամ պետությունների միջև կնքված համապարփակ և ընդլայնված գործընկերության համաձայնագրից (ստորագրված՝ </w:t>
            </w:r>
            <w:r w:rsidRPr="0053423A">
              <w:rPr>
                <w:color w:val="212121"/>
                <w:shd w:val="clear" w:color="auto" w:fill="FFFFFF"/>
                <w:lang w:val="hy-AM"/>
              </w:rPr>
              <w:t>2017թ. նոյեմբերի 24-ին, Բրյուսելում - CEPA)</w:t>
            </w:r>
            <w:r w:rsidRPr="0053423A">
              <w:rPr>
                <w:rFonts w:cs="Cambria Math"/>
                <w:lang w:val="hy-AM"/>
              </w:rPr>
              <w:t xml:space="preserve"> բխող պարտավորությունների կատարման  անհրաժեշտությունից և </w:t>
            </w:r>
            <w:r w:rsidRPr="0053423A">
              <w:rPr>
                <w:rFonts w:cs="AK Courier"/>
                <w:lang w:val="hy-AM"/>
              </w:rPr>
              <w:t>«Խաղաղ նպատակներով ատոմային  էներգիայի անվտանգ օգտագործման մասին» ՀՀ օրենքի 17-րդ հոդվածի 1-ին մասի 1-ին կետի պահանջից, համաձայն որի կարգավորող մարմինը մշակում եւ վարչապետին է ներկայացնում ատոմային էներգիայի օգտագործման բնագավառի իրավական ակտերի նախագծեր։</w:t>
            </w:r>
          </w:p>
          <w:p w:rsidR="00143C73" w:rsidRPr="0053423A" w:rsidRDefault="00143C73" w:rsidP="00A67858">
            <w:pPr>
              <w:spacing w:line="276" w:lineRule="auto"/>
              <w:rPr>
                <w:rFonts w:cs="Cambria Math"/>
                <w:b/>
                <w:lang w:val="hy-AM"/>
              </w:rPr>
            </w:pPr>
            <w:r w:rsidRPr="0053423A">
              <w:rPr>
                <w:rFonts w:cs="Cambria Math"/>
                <w:b/>
                <w:lang w:val="hy-AM"/>
              </w:rPr>
              <w:t>1</w:t>
            </w:r>
            <w:r w:rsidRPr="0053423A">
              <w:rPr>
                <w:rFonts w:ascii="Cambria Math" w:hAnsi="Cambria Math" w:cs="Cambria Math"/>
                <w:b/>
                <w:lang w:val="hy-AM"/>
              </w:rPr>
              <w:t>․</w:t>
            </w:r>
            <w:r w:rsidRPr="0053423A">
              <w:rPr>
                <w:rFonts w:cs="Cambria Math"/>
                <w:b/>
                <w:lang w:val="hy-AM"/>
              </w:rPr>
              <w:t>1</w:t>
            </w:r>
            <w:r w:rsidRPr="0053423A">
              <w:rPr>
                <w:rFonts w:ascii="Cambria Math" w:hAnsi="Cambria Math" w:cs="Cambria Math"/>
                <w:b/>
                <w:lang w:val="hy-AM"/>
              </w:rPr>
              <w:t>․</w:t>
            </w:r>
            <w:r w:rsidRPr="0053423A">
              <w:rPr>
                <w:rFonts w:cs="Cambria Math"/>
                <w:b/>
                <w:lang w:val="hy-AM"/>
              </w:rPr>
              <w:t xml:space="preserve"> կարգավորման հարաբերությունների ներկա վիճակը և առկա խնդիրները</w:t>
            </w:r>
          </w:p>
          <w:p w:rsidR="00143C73" w:rsidRPr="0053423A" w:rsidRDefault="00143C73" w:rsidP="00A67858">
            <w:pPr>
              <w:spacing w:line="276" w:lineRule="auto"/>
              <w:rPr>
                <w:lang w:val="hy-AM"/>
              </w:rPr>
            </w:pPr>
            <w:r w:rsidRPr="0053423A">
              <w:rPr>
                <w:lang w:val="hy-AM"/>
              </w:rPr>
              <w:t xml:space="preserve"> «Ռադիոակտիվ թափոնների և աշխատած վառելիքի առաքումը   ստուգելու եւ վերահսկելու մասին</w:t>
            </w:r>
            <w:r w:rsidRPr="0053423A">
              <w:rPr>
                <w:i/>
                <w:lang w:val="hy-AM"/>
              </w:rPr>
              <w:t>»</w:t>
            </w:r>
            <w:r w:rsidRPr="0053423A">
              <w:rPr>
                <w:lang w:val="hy-AM"/>
              </w:rPr>
              <w:t xml:space="preserve"> 2006/117 20</w:t>
            </w:r>
            <w:r w:rsidRPr="0053423A">
              <w:rPr>
                <w:rFonts w:ascii="Cambria Math" w:hAnsi="Cambria Math" w:cs="Cambria Math"/>
                <w:lang w:val="hy-AM"/>
              </w:rPr>
              <w:t>․</w:t>
            </w:r>
            <w:r w:rsidRPr="0053423A">
              <w:rPr>
                <w:lang w:val="hy-AM"/>
              </w:rPr>
              <w:t>11</w:t>
            </w:r>
            <w:r w:rsidRPr="0053423A">
              <w:rPr>
                <w:rFonts w:ascii="Cambria Math" w:hAnsi="Cambria Math" w:cs="Cambria Math"/>
                <w:lang w:val="hy-AM"/>
              </w:rPr>
              <w:t>․</w:t>
            </w:r>
            <w:r w:rsidRPr="0053423A">
              <w:rPr>
                <w:lang w:val="hy-AM"/>
              </w:rPr>
              <w:t xml:space="preserve"> 2006 Եվրադիրեկտիվի դրույթների ներառում ՀՀ իրավական ակտերում </w:t>
            </w:r>
            <w:r w:rsidRPr="0053423A">
              <w:rPr>
                <w:rFonts w:cs="Cambria Math"/>
                <w:lang w:val="hy-AM"/>
              </w:rPr>
              <w:t>(ՀՀ և Եվրոպական Միության և Ատոմային էներգիայի Եվրոպական Համայնքի ու դրանց անդամ պետությունների միջև կնքված համապարփակ և ընդլայնված գործընկերության համաձայնագրի  2-րդ հավելվածով նախատեսված՝ միջուկային էներգետիկա բաժնին վերաբերող  դիրեկտիվ)։</w:t>
            </w:r>
          </w:p>
          <w:p w:rsidR="00143C73" w:rsidRPr="0053423A" w:rsidRDefault="00143C73" w:rsidP="00A67858">
            <w:pPr>
              <w:spacing w:line="276" w:lineRule="auto"/>
              <w:rPr>
                <w:rFonts w:cs="Cambria Math"/>
                <w:b/>
                <w:lang w:val="hy-AM"/>
              </w:rPr>
            </w:pPr>
            <w:r w:rsidRPr="0053423A">
              <w:rPr>
                <w:b/>
                <w:lang w:val="hy-AM"/>
              </w:rPr>
              <w:t>1</w:t>
            </w:r>
            <w:r w:rsidRPr="0053423A">
              <w:rPr>
                <w:rFonts w:ascii="Cambria Math" w:hAnsi="Cambria Math" w:cs="Cambria Math"/>
                <w:b/>
                <w:lang w:val="hy-AM"/>
              </w:rPr>
              <w:t>․</w:t>
            </w:r>
            <w:r w:rsidRPr="0053423A">
              <w:rPr>
                <w:b/>
                <w:lang w:val="hy-AM"/>
              </w:rPr>
              <w:t>2</w:t>
            </w:r>
            <w:r w:rsidRPr="0053423A">
              <w:rPr>
                <w:rFonts w:ascii="Cambria Math" w:hAnsi="Cambria Math" w:cs="Cambria Math"/>
                <w:b/>
                <w:lang w:val="hy-AM"/>
              </w:rPr>
              <w:t>․</w:t>
            </w:r>
            <w:r w:rsidRPr="0053423A">
              <w:rPr>
                <w:rFonts w:cs="Cambria Math"/>
                <w:b/>
                <w:lang w:val="hy-AM"/>
              </w:rPr>
              <w:t xml:space="preserve"> առկա խնդիրների առաջարկվող լուծումները</w:t>
            </w:r>
          </w:p>
          <w:p w:rsidR="00143C73" w:rsidRPr="0053423A" w:rsidRDefault="00143C73" w:rsidP="00A67858">
            <w:pPr>
              <w:spacing w:line="276" w:lineRule="auto"/>
              <w:rPr>
                <w:lang w:val="hy-AM"/>
              </w:rPr>
            </w:pPr>
            <w:r w:rsidRPr="0053423A">
              <w:rPr>
                <w:lang w:val="hy-AM"/>
              </w:rPr>
              <w:t>«Ատոմային էներգիայի մասին» ՀՀ օրենքով ՀՀ կառավարությունը կլիազորվի ընդունելու վերոհիշյալ որոշումը,</w:t>
            </w:r>
            <w:r w:rsidRPr="0053423A">
              <w:rPr>
                <w:rFonts w:cs="Cambria Math"/>
                <w:lang w:val="hy-AM"/>
              </w:rPr>
              <w:t xml:space="preserve"> որով կսահմանվեն</w:t>
            </w:r>
            <w:r w:rsidRPr="0053423A">
              <w:rPr>
                <w:lang w:val="hy-AM"/>
              </w:rPr>
              <w:t xml:space="preserve"> ռադիոակտիվ թափոնների և աշխատած վառելիքի ներմուծման, արտահանման, ներպետական փոխադրումների նկատմամբ կարգավորող նոր պահանջներ։</w:t>
            </w:r>
          </w:p>
          <w:p w:rsidR="00143C73" w:rsidRPr="0053423A" w:rsidRDefault="00143C73" w:rsidP="00A67858">
            <w:pPr>
              <w:spacing w:line="276" w:lineRule="auto"/>
              <w:rPr>
                <w:rFonts w:cs="Cambria Math"/>
                <w:b/>
                <w:lang w:val="hy-AM"/>
              </w:rPr>
            </w:pPr>
            <w:r w:rsidRPr="0053423A">
              <w:rPr>
                <w:rFonts w:cs="Cambria Math"/>
                <w:b/>
                <w:lang w:val="hy-AM"/>
              </w:rPr>
              <w:t>2</w:t>
            </w:r>
            <w:r w:rsidRPr="0053423A">
              <w:rPr>
                <w:rFonts w:ascii="Cambria Math" w:hAnsi="Cambria Math" w:cs="Cambria Math"/>
                <w:b/>
                <w:lang w:val="hy-AM"/>
              </w:rPr>
              <w:t>․</w:t>
            </w:r>
            <w:r w:rsidRPr="0053423A">
              <w:rPr>
                <w:rFonts w:cs="Cambria Math"/>
                <w:b/>
                <w:lang w:val="hy-AM"/>
              </w:rPr>
              <w:t xml:space="preserve"> Միջոցառման իրականացումից ակնկալվող արդյունքը</w:t>
            </w:r>
          </w:p>
          <w:p w:rsidR="00143C73" w:rsidRPr="0053423A" w:rsidRDefault="00143C73" w:rsidP="00A67858">
            <w:pPr>
              <w:spacing w:line="276" w:lineRule="auto"/>
              <w:jc w:val="both"/>
              <w:rPr>
                <w:b/>
                <w:lang w:val="hy-AM"/>
              </w:rPr>
            </w:pPr>
            <w:r w:rsidRPr="0053423A">
              <w:rPr>
                <w:rFonts w:cs="Cambria Math"/>
                <w:lang w:val="hy-AM"/>
              </w:rPr>
              <w:t>ՀՀ կողմից ստանձնած պարտավորությունների կատարում՝ ապահովելու բնակչության, ատոմային էներգիայի օգտագործման օբյեկտների անձնակազմի, անվտանգությունը, շրջակա միջավայրի պաշտպանությունն իոնացնող ճառագայթման հնարավոր վնասակար ազդեցությունից։</w:t>
            </w:r>
          </w:p>
        </w:tc>
      </w:tr>
    </w:tbl>
    <w:p w:rsidR="00BB45FD" w:rsidRPr="0053423A" w:rsidRDefault="00BB45FD" w:rsidP="00A67858">
      <w:pPr>
        <w:spacing w:after="0" w:line="276" w:lineRule="auto"/>
        <w:rPr>
          <w:sz w:val="20"/>
          <w:szCs w:val="20"/>
          <w:lang w:val="hy-AM"/>
        </w:rPr>
      </w:pPr>
    </w:p>
    <w:p w:rsidR="00BB45FD" w:rsidRPr="0053423A" w:rsidRDefault="00BB45FD" w:rsidP="00A67858">
      <w:pPr>
        <w:spacing w:after="0" w:line="276" w:lineRule="auto"/>
        <w:rPr>
          <w:sz w:val="20"/>
          <w:szCs w:val="20"/>
          <w:lang w:val="hy-AM"/>
        </w:rPr>
      </w:pPr>
    </w:p>
    <w:tbl>
      <w:tblPr>
        <w:tblStyle w:val="TableGrid1"/>
        <w:tblW w:w="11340" w:type="dxa"/>
        <w:tblInd w:w="137" w:type="dxa"/>
        <w:shd w:val="clear" w:color="auto" w:fill="FFFF00"/>
        <w:tblLook w:val="04A0" w:firstRow="1" w:lastRow="0" w:firstColumn="1" w:lastColumn="0" w:noHBand="0" w:noVBand="1"/>
      </w:tblPr>
      <w:tblGrid>
        <w:gridCol w:w="11340"/>
      </w:tblGrid>
      <w:tr w:rsidR="000C3F90" w:rsidRPr="0053423A" w:rsidTr="00842C70">
        <w:tc>
          <w:tcPr>
            <w:tcW w:w="11340" w:type="dxa"/>
            <w:shd w:val="clear" w:color="auto" w:fill="FFFF00"/>
          </w:tcPr>
          <w:p w:rsidR="000C3F90" w:rsidRPr="0053423A" w:rsidRDefault="000C3F90" w:rsidP="00A67858">
            <w:pPr>
              <w:spacing w:line="276" w:lineRule="auto"/>
              <w:jc w:val="center"/>
              <w:rPr>
                <w:rFonts w:cs="Sylfaen"/>
                <w:b/>
                <w:lang w:val="hy-AM" w:eastAsia="en-GB"/>
              </w:rPr>
            </w:pPr>
            <w:r w:rsidRPr="0053423A">
              <w:rPr>
                <w:rFonts w:cs="Sylfaen"/>
                <w:b/>
                <w:lang w:val="hy-AM" w:eastAsia="en-GB"/>
              </w:rPr>
              <w:t>Պետքական եկամուտների կոմիտե</w:t>
            </w:r>
          </w:p>
        </w:tc>
      </w:tr>
    </w:tbl>
    <w:p w:rsidR="0053423A" w:rsidRDefault="0053423A"/>
    <w:tbl>
      <w:tblPr>
        <w:tblStyle w:val="TableGrid"/>
        <w:tblW w:w="0" w:type="auto"/>
        <w:tblInd w:w="137" w:type="dxa"/>
        <w:tblLayout w:type="fixed"/>
        <w:tblLook w:val="04A0" w:firstRow="1" w:lastRow="0" w:firstColumn="1" w:lastColumn="0" w:noHBand="0" w:noVBand="1"/>
      </w:tblPr>
      <w:tblGrid>
        <w:gridCol w:w="425"/>
        <w:gridCol w:w="11100"/>
      </w:tblGrid>
      <w:tr w:rsidR="000C3F90" w:rsidRPr="00DE2EFA" w:rsidTr="00F47DC4">
        <w:tc>
          <w:tcPr>
            <w:tcW w:w="425" w:type="dxa"/>
          </w:tcPr>
          <w:p w:rsidR="000C3F90" w:rsidRPr="00BC61ED" w:rsidRDefault="000C3F90" w:rsidP="00F47DC4">
            <w:pPr>
              <w:spacing w:line="276" w:lineRule="auto"/>
              <w:jc w:val="center"/>
              <w:rPr>
                <w:b/>
                <w:bCs/>
                <w:lang w:val="hy-AM"/>
              </w:rPr>
            </w:pPr>
            <w:r w:rsidRPr="00BC61ED">
              <w:rPr>
                <w:b/>
                <w:bCs/>
                <w:lang w:val="hy-AM"/>
              </w:rPr>
              <w:t>1.</w:t>
            </w:r>
          </w:p>
        </w:tc>
        <w:tc>
          <w:tcPr>
            <w:tcW w:w="11100" w:type="dxa"/>
          </w:tcPr>
          <w:p w:rsidR="000C3F90" w:rsidRPr="00BC61ED" w:rsidRDefault="000C3F90" w:rsidP="00F47DC4">
            <w:pPr>
              <w:spacing w:line="276" w:lineRule="auto"/>
              <w:ind w:firstLine="375"/>
              <w:jc w:val="center"/>
              <w:rPr>
                <w:b/>
                <w:lang w:val="hy-AM"/>
              </w:rPr>
            </w:pPr>
            <w:r w:rsidRPr="00BC61ED">
              <w:rPr>
                <w:b/>
                <w:lang w:val="hy-AM"/>
              </w:rPr>
              <w:t>Հարկային ստվերի գնահատում և կրճատում</w:t>
            </w:r>
          </w:p>
          <w:p w:rsidR="000C3F90" w:rsidRPr="00BC61ED" w:rsidRDefault="000C3F90" w:rsidP="00F47DC4">
            <w:pPr>
              <w:spacing w:line="276" w:lineRule="auto"/>
              <w:ind w:firstLine="375"/>
              <w:jc w:val="center"/>
              <w:rPr>
                <w:b/>
                <w:bCs/>
                <w:lang w:val="hy-AM"/>
              </w:rPr>
            </w:pPr>
          </w:p>
          <w:p w:rsidR="000C3F90" w:rsidRPr="00BC61ED" w:rsidRDefault="000C3F90" w:rsidP="00F47DC4">
            <w:pPr>
              <w:spacing w:line="276" w:lineRule="auto"/>
              <w:ind w:firstLine="709"/>
              <w:jc w:val="both"/>
              <w:rPr>
                <w:b/>
                <w:lang w:val="hy-AM"/>
              </w:rPr>
            </w:pPr>
            <w:r w:rsidRPr="00BC61ED">
              <w:rPr>
                <w:b/>
                <w:lang w:val="hy-AM"/>
              </w:rPr>
              <w:t xml:space="preserve">1. Միջոցառման իրականացման անհրաժեշտությունը և նպատակը </w:t>
            </w:r>
          </w:p>
          <w:p w:rsidR="000C3F90" w:rsidRPr="00BC61ED" w:rsidRDefault="000C3F90" w:rsidP="00F47DC4">
            <w:pPr>
              <w:pStyle w:val="BodyText"/>
              <w:spacing w:after="0" w:line="276" w:lineRule="auto"/>
              <w:ind w:firstLine="709"/>
              <w:jc w:val="both"/>
              <w:rPr>
                <w:rFonts w:ascii="GHEA Grapalat" w:hAnsi="GHEA Grapalat"/>
                <w:sz w:val="20"/>
                <w:szCs w:val="20"/>
                <w:lang w:val="hy-AM"/>
              </w:rPr>
            </w:pPr>
            <w:r w:rsidRPr="00BC61ED">
              <w:rPr>
                <w:rFonts w:ascii="GHEA Grapalat" w:hAnsi="GHEA Grapalat"/>
                <w:sz w:val="20"/>
                <w:szCs w:val="20"/>
                <w:lang w:val="fr-FR"/>
              </w:rPr>
              <w:t xml:space="preserve">Նշված միջոցառումը պայմանավորված է հարկունակ ոլորտային ստվերային տնտեսության կրճատման անհրաժեշտությամբ, որը կապահովվի վերլուծական կարողությունների ընդլայնմամբ և հսկողության արդյունավետության բարձրացմամբ: </w:t>
            </w:r>
          </w:p>
          <w:p w:rsidR="000C3F90" w:rsidRPr="00BC61ED" w:rsidRDefault="000C3F90" w:rsidP="00F47DC4">
            <w:pPr>
              <w:pStyle w:val="BodyText"/>
              <w:spacing w:after="0" w:line="276" w:lineRule="auto"/>
              <w:ind w:firstLine="709"/>
              <w:jc w:val="both"/>
              <w:rPr>
                <w:rFonts w:ascii="GHEA Grapalat" w:hAnsi="GHEA Grapalat"/>
                <w:sz w:val="20"/>
                <w:szCs w:val="20"/>
                <w:lang w:val="hy-AM"/>
              </w:rPr>
            </w:pPr>
            <w:r w:rsidRPr="00BC61ED">
              <w:rPr>
                <w:rFonts w:ascii="GHEA Grapalat" w:hAnsi="GHEA Grapalat"/>
                <w:sz w:val="20"/>
                <w:szCs w:val="20"/>
                <w:lang w:val="hy-AM"/>
              </w:rPr>
              <w:t>Միաժամանակ ներկայումս կարևորվում է</w:t>
            </w:r>
            <w:r w:rsidRPr="00BC61ED">
              <w:rPr>
                <w:rFonts w:ascii="GHEA Grapalat" w:hAnsi="GHEA Grapalat"/>
                <w:sz w:val="20"/>
                <w:szCs w:val="20"/>
                <w:lang w:val="fr-FR"/>
              </w:rPr>
              <w:t xml:space="preserve"> </w:t>
            </w:r>
            <w:r w:rsidRPr="00BC61ED">
              <w:rPr>
                <w:rFonts w:ascii="GHEA Grapalat" w:hAnsi="GHEA Grapalat"/>
                <w:sz w:val="20"/>
                <w:szCs w:val="20"/>
                <w:lang w:val="hy-AM"/>
              </w:rPr>
              <w:t>հասցեական</w:t>
            </w:r>
            <w:r w:rsidRPr="00BC61ED">
              <w:rPr>
                <w:rFonts w:ascii="GHEA Grapalat" w:hAnsi="GHEA Grapalat"/>
                <w:sz w:val="20"/>
                <w:szCs w:val="20"/>
                <w:lang w:val="fr-FR"/>
              </w:rPr>
              <w:t xml:space="preserve"> </w:t>
            </w:r>
            <w:r w:rsidRPr="00BC61ED">
              <w:rPr>
                <w:rFonts w:ascii="GHEA Grapalat" w:hAnsi="GHEA Grapalat" w:cs="Sylfaen"/>
                <w:sz w:val="20"/>
                <w:szCs w:val="20"/>
                <w:lang w:val="hy-AM"/>
              </w:rPr>
              <w:t>և</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արդյունավետ</w:t>
            </w:r>
            <w:r w:rsidRPr="00BC61ED">
              <w:rPr>
                <w:rFonts w:ascii="GHEA Grapalat" w:hAnsi="GHEA Grapalat"/>
                <w:sz w:val="20"/>
                <w:szCs w:val="20"/>
                <w:lang w:val="fr-FR"/>
              </w:rPr>
              <w:t xml:space="preserve"> </w:t>
            </w:r>
            <w:r w:rsidRPr="00BC61ED">
              <w:rPr>
                <w:rFonts w:ascii="GHEA Grapalat" w:hAnsi="GHEA Grapalat"/>
                <w:sz w:val="20"/>
                <w:szCs w:val="20"/>
                <w:lang w:val="hy-AM"/>
              </w:rPr>
              <w:t>հսկողության</w:t>
            </w:r>
            <w:r w:rsidRPr="00BC61ED">
              <w:rPr>
                <w:rFonts w:ascii="GHEA Grapalat" w:hAnsi="GHEA Grapalat"/>
                <w:sz w:val="20"/>
                <w:szCs w:val="20"/>
                <w:lang w:val="fr-FR"/>
              </w:rPr>
              <w:t xml:space="preserve"> </w:t>
            </w:r>
            <w:r w:rsidRPr="00BC61ED">
              <w:rPr>
                <w:rFonts w:ascii="GHEA Grapalat" w:hAnsi="GHEA Grapalat"/>
                <w:sz w:val="20"/>
                <w:szCs w:val="20"/>
                <w:lang w:val="hy-AM"/>
              </w:rPr>
              <w:t>իրակա</w:t>
            </w:r>
            <w:r w:rsidRPr="00BC61ED">
              <w:rPr>
                <w:rFonts w:ascii="GHEA Grapalat" w:hAnsi="GHEA Grapalat"/>
                <w:sz w:val="20"/>
                <w:szCs w:val="20"/>
                <w:lang w:val="fr-FR"/>
              </w:rPr>
              <w:softHyphen/>
            </w:r>
            <w:r w:rsidRPr="00BC61ED">
              <w:rPr>
                <w:rFonts w:ascii="GHEA Grapalat" w:hAnsi="GHEA Grapalat"/>
                <w:sz w:val="20"/>
                <w:szCs w:val="20"/>
                <w:lang w:val="hy-AM"/>
              </w:rPr>
              <w:t>նացումը՝</w:t>
            </w:r>
            <w:r w:rsidRPr="00BC61ED">
              <w:rPr>
                <w:rFonts w:ascii="GHEA Grapalat" w:hAnsi="GHEA Grapalat"/>
                <w:sz w:val="20"/>
                <w:szCs w:val="20"/>
                <w:lang w:val="fr-FR"/>
              </w:rPr>
              <w:t xml:space="preserve"> </w:t>
            </w:r>
            <w:r w:rsidRPr="00BC61ED">
              <w:rPr>
                <w:rFonts w:ascii="GHEA Grapalat" w:hAnsi="GHEA Grapalat" w:cs="Sylfaen"/>
                <w:sz w:val="20"/>
                <w:szCs w:val="20"/>
                <w:lang w:val="hy-AM"/>
              </w:rPr>
              <w:t>այսինքն</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հարկային</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վարչարարության</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բարելավման</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աշխատանքներում</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հիմնական</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մոտեցումն</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այն</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է</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որ</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հարկային</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հսկողական</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գործիքները</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կիրառվեն</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հիմնականում</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այն</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հարկ</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վճարողների</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նկատմամբ</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որոնք</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վերլուծությունների</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արդյունքներով</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կդիտվեն</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ռիսկային</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ակնկալելով</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կրճատել</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տնտեսության</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ստվերային</w:t>
            </w:r>
            <w:r w:rsidRPr="00BC61ED">
              <w:rPr>
                <w:rFonts w:ascii="GHEA Grapalat" w:hAnsi="GHEA Grapalat" w:cs="Sylfaen"/>
                <w:sz w:val="20"/>
                <w:szCs w:val="20"/>
                <w:lang w:val="fr-FR"/>
              </w:rPr>
              <w:t xml:space="preserve"> </w:t>
            </w:r>
            <w:r w:rsidRPr="00BC61ED">
              <w:rPr>
                <w:rFonts w:ascii="GHEA Grapalat" w:hAnsi="GHEA Grapalat" w:cs="Sylfaen"/>
                <w:sz w:val="20"/>
                <w:szCs w:val="20"/>
                <w:lang w:val="hy-AM"/>
              </w:rPr>
              <w:t>հատվածը</w:t>
            </w:r>
            <w:r w:rsidRPr="00BC61ED">
              <w:rPr>
                <w:rFonts w:ascii="GHEA Grapalat" w:hAnsi="GHEA Grapalat" w:cs="Sylfaen"/>
                <w:sz w:val="20"/>
                <w:szCs w:val="20"/>
                <w:lang w:val="fr-FR"/>
              </w:rPr>
              <w:t>:</w:t>
            </w:r>
            <w:r w:rsidRPr="00BC61ED">
              <w:rPr>
                <w:rFonts w:ascii="GHEA Grapalat" w:hAnsi="GHEA Grapalat"/>
                <w:sz w:val="20"/>
                <w:szCs w:val="20"/>
                <w:lang w:val="hy-AM"/>
              </w:rPr>
              <w:t xml:space="preserve"> (</w:t>
            </w:r>
            <w:r w:rsidRPr="00BC61ED">
              <w:rPr>
                <w:rFonts w:ascii="GHEA Grapalat" w:hAnsi="GHEA Grapalat"/>
                <w:sz w:val="20"/>
                <w:szCs w:val="20"/>
                <w:lang w:val="af-ZA"/>
              </w:rPr>
              <w:t>ՀՀ Ազգային ժողովի 14.02.2019թ. N ԱԺՈ-002-Ն որոշմամբ հավանության արժանացած Հայաստանի Հանրապետության կառավարության ծրագրի 8.1 կետի 4-րդ, 5-րդ, 7-րդ և 13-րդ պարբերություններ)</w:t>
            </w:r>
          </w:p>
          <w:p w:rsidR="000C3F90" w:rsidRPr="00BC61ED" w:rsidRDefault="000C3F90" w:rsidP="00F47DC4">
            <w:pPr>
              <w:spacing w:line="276" w:lineRule="auto"/>
              <w:ind w:firstLine="709"/>
              <w:rPr>
                <w:b/>
                <w:lang w:val="hy-AM"/>
              </w:rPr>
            </w:pPr>
            <w:r w:rsidRPr="00BC61ED">
              <w:rPr>
                <w:b/>
                <w:lang w:val="hy-AM"/>
              </w:rPr>
              <w:t xml:space="preserve">1.1. կարգավորման հարաբերությունների ներկա վիճակը և առկա խնդիրները </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Ներկայումս</w:t>
            </w:r>
            <w:r w:rsidRPr="00BC61ED">
              <w:rPr>
                <w:rFonts w:ascii="GHEA Grapalat" w:hAnsi="GHEA Grapalat"/>
                <w:sz w:val="20"/>
                <w:szCs w:val="20"/>
                <w:lang w:val="hy-AM"/>
              </w:rPr>
              <w:t xml:space="preserve"> շ</w:t>
            </w:r>
            <w:r w:rsidRPr="00BC61ED">
              <w:rPr>
                <w:rFonts w:ascii="GHEA Grapalat" w:hAnsi="GHEA Grapalat"/>
                <w:sz w:val="20"/>
                <w:szCs w:val="20"/>
                <w:lang w:val="fr-FR"/>
              </w:rPr>
              <w:t xml:space="preserve">արունակվում է արդիական մնալ ստվերի դեմ պայքարը: Տնտեսվարող սուբյեկտների կողմից հարկվող օբյեկտի և հարկման բազայի թերհայտարարագրման արդյունքում պետական բյուջե չեն հավաքագրվում դրանցից հաշվարկվող հարկային եկամուտները: </w:t>
            </w:r>
          </w:p>
          <w:p w:rsidR="000C3F90" w:rsidRPr="00BC61ED" w:rsidRDefault="000C3F90" w:rsidP="00F47DC4">
            <w:pPr>
              <w:pStyle w:val="BodyText"/>
              <w:spacing w:after="0" w:line="276" w:lineRule="auto"/>
              <w:ind w:firstLine="540"/>
              <w:jc w:val="both"/>
              <w:rPr>
                <w:rFonts w:ascii="GHEA Grapalat" w:hAnsi="GHEA Grapalat"/>
                <w:sz w:val="20"/>
                <w:szCs w:val="20"/>
                <w:lang w:val="fr-FR"/>
              </w:rPr>
            </w:pPr>
            <w:r w:rsidRPr="00BC61ED">
              <w:rPr>
                <w:rFonts w:ascii="GHEA Grapalat" w:hAnsi="GHEA Grapalat"/>
                <w:sz w:val="20"/>
                <w:szCs w:val="20"/>
              </w:rPr>
              <w:t>Արդիական</w:t>
            </w:r>
            <w:r w:rsidRPr="00BC61ED">
              <w:rPr>
                <w:rFonts w:ascii="GHEA Grapalat" w:hAnsi="GHEA Grapalat"/>
                <w:sz w:val="20"/>
                <w:szCs w:val="20"/>
                <w:lang w:val="fr-FR"/>
              </w:rPr>
              <w:t xml:space="preserve"> </w:t>
            </w:r>
            <w:r w:rsidRPr="00BC61ED">
              <w:rPr>
                <w:rFonts w:ascii="GHEA Grapalat" w:hAnsi="GHEA Grapalat"/>
                <w:sz w:val="20"/>
                <w:szCs w:val="20"/>
              </w:rPr>
              <w:t>է</w:t>
            </w:r>
            <w:r w:rsidRPr="00BC61ED">
              <w:rPr>
                <w:rFonts w:ascii="GHEA Grapalat" w:hAnsi="GHEA Grapalat"/>
                <w:sz w:val="20"/>
                <w:szCs w:val="20"/>
                <w:lang w:val="fr-FR"/>
              </w:rPr>
              <w:t xml:space="preserve"> </w:t>
            </w:r>
            <w:r w:rsidRPr="00BC61ED">
              <w:rPr>
                <w:rFonts w:ascii="GHEA Grapalat" w:hAnsi="GHEA Grapalat"/>
                <w:sz w:val="20"/>
                <w:szCs w:val="20"/>
              </w:rPr>
              <w:t>շարունակում</w:t>
            </w:r>
            <w:r w:rsidRPr="00BC61ED">
              <w:rPr>
                <w:rFonts w:ascii="GHEA Grapalat" w:hAnsi="GHEA Grapalat"/>
                <w:sz w:val="20"/>
                <w:szCs w:val="20"/>
                <w:lang w:val="fr-FR"/>
              </w:rPr>
              <w:t xml:space="preserve"> </w:t>
            </w:r>
            <w:r w:rsidRPr="00BC61ED">
              <w:rPr>
                <w:rFonts w:ascii="GHEA Grapalat" w:hAnsi="GHEA Grapalat"/>
                <w:sz w:val="20"/>
                <w:szCs w:val="20"/>
              </w:rPr>
              <w:t>մնալ</w:t>
            </w:r>
            <w:r w:rsidRPr="00BC61ED">
              <w:rPr>
                <w:rFonts w:ascii="GHEA Grapalat" w:hAnsi="GHEA Grapalat"/>
                <w:sz w:val="20"/>
                <w:szCs w:val="20"/>
                <w:lang w:val="fr-FR"/>
              </w:rPr>
              <w:t xml:space="preserve"> նաև </w:t>
            </w:r>
            <w:r w:rsidRPr="00BC61ED">
              <w:rPr>
                <w:rFonts w:ascii="GHEA Grapalat" w:hAnsi="GHEA Grapalat"/>
                <w:sz w:val="20"/>
                <w:szCs w:val="20"/>
              </w:rPr>
              <w:t>ռիսկերի</w:t>
            </w:r>
            <w:r w:rsidRPr="00BC61ED">
              <w:rPr>
                <w:rFonts w:ascii="GHEA Grapalat" w:hAnsi="GHEA Grapalat"/>
                <w:sz w:val="20"/>
                <w:szCs w:val="20"/>
                <w:lang w:val="fr-FR"/>
              </w:rPr>
              <w:t xml:space="preserve"> </w:t>
            </w:r>
            <w:r w:rsidRPr="00BC61ED">
              <w:rPr>
                <w:rFonts w:ascii="GHEA Grapalat" w:hAnsi="GHEA Grapalat"/>
                <w:sz w:val="20"/>
                <w:szCs w:val="20"/>
              </w:rPr>
              <w:t>արագ</w:t>
            </w:r>
            <w:r w:rsidRPr="00BC61ED">
              <w:rPr>
                <w:rFonts w:ascii="GHEA Grapalat" w:hAnsi="GHEA Grapalat"/>
                <w:sz w:val="20"/>
                <w:szCs w:val="20"/>
                <w:lang w:val="fr-FR"/>
              </w:rPr>
              <w:t xml:space="preserve"> </w:t>
            </w:r>
            <w:r w:rsidRPr="00BC61ED">
              <w:rPr>
                <w:rFonts w:ascii="GHEA Grapalat" w:hAnsi="GHEA Grapalat"/>
                <w:sz w:val="20"/>
                <w:szCs w:val="20"/>
              </w:rPr>
              <w:t>բացահայտման</w:t>
            </w:r>
            <w:r w:rsidRPr="00BC61ED">
              <w:rPr>
                <w:rFonts w:ascii="GHEA Grapalat" w:hAnsi="GHEA Grapalat"/>
                <w:sz w:val="20"/>
                <w:szCs w:val="20"/>
                <w:lang w:val="fr-FR"/>
              </w:rPr>
              <w:t xml:space="preserve"> </w:t>
            </w:r>
            <w:r w:rsidRPr="00BC61ED">
              <w:rPr>
                <w:rFonts w:ascii="GHEA Grapalat" w:hAnsi="GHEA Grapalat"/>
                <w:sz w:val="20"/>
                <w:szCs w:val="20"/>
              </w:rPr>
              <w:t>և</w:t>
            </w:r>
            <w:r w:rsidRPr="00BC61ED">
              <w:rPr>
                <w:rFonts w:ascii="GHEA Grapalat" w:hAnsi="GHEA Grapalat"/>
                <w:sz w:val="20"/>
                <w:szCs w:val="20"/>
                <w:lang w:val="fr-FR"/>
              </w:rPr>
              <w:t xml:space="preserve"> </w:t>
            </w:r>
            <w:r w:rsidRPr="00BC61ED">
              <w:rPr>
                <w:rFonts w:ascii="GHEA Grapalat" w:hAnsi="GHEA Grapalat"/>
                <w:sz w:val="20"/>
                <w:szCs w:val="20"/>
              </w:rPr>
              <w:t>արդյունավետ</w:t>
            </w:r>
            <w:r w:rsidRPr="00BC61ED">
              <w:rPr>
                <w:rFonts w:ascii="GHEA Grapalat" w:hAnsi="GHEA Grapalat"/>
                <w:sz w:val="20"/>
                <w:szCs w:val="20"/>
                <w:lang w:val="fr-FR"/>
              </w:rPr>
              <w:t xml:space="preserve"> </w:t>
            </w:r>
            <w:r w:rsidRPr="00BC61ED">
              <w:rPr>
                <w:rFonts w:ascii="GHEA Grapalat" w:hAnsi="GHEA Grapalat"/>
                <w:sz w:val="20"/>
                <w:szCs w:val="20"/>
              </w:rPr>
              <w:t>կառա</w:t>
            </w:r>
            <w:r w:rsidRPr="00BC61ED">
              <w:rPr>
                <w:rFonts w:ascii="GHEA Grapalat" w:hAnsi="GHEA Grapalat"/>
                <w:sz w:val="20"/>
                <w:szCs w:val="20"/>
                <w:lang w:val="fr-FR"/>
              </w:rPr>
              <w:softHyphen/>
            </w:r>
            <w:r w:rsidRPr="00BC61ED">
              <w:rPr>
                <w:rFonts w:ascii="GHEA Grapalat" w:hAnsi="GHEA Grapalat"/>
                <w:sz w:val="20"/>
                <w:szCs w:val="20"/>
              </w:rPr>
              <w:t>վար</w:t>
            </w:r>
            <w:r w:rsidRPr="00BC61ED">
              <w:rPr>
                <w:rFonts w:ascii="GHEA Grapalat" w:hAnsi="GHEA Grapalat"/>
                <w:sz w:val="20"/>
                <w:szCs w:val="20"/>
                <w:lang w:val="fr-FR"/>
              </w:rPr>
              <w:softHyphen/>
            </w:r>
            <w:r w:rsidRPr="00BC61ED">
              <w:rPr>
                <w:rFonts w:ascii="GHEA Grapalat" w:hAnsi="GHEA Grapalat"/>
                <w:sz w:val="20"/>
                <w:szCs w:val="20"/>
              </w:rPr>
              <w:t>ման</w:t>
            </w:r>
            <w:r w:rsidRPr="00BC61ED">
              <w:rPr>
                <w:rFonts w:ascii="GHEA Grapalat" w:hAnsi="GHEA Grapalat"/>
                <w:sz w:val="20"/>
                <w:szCs w:val="20"/>
                <w:lang w:val="fr-FR"/>
              </w:rPr>
              <w:t xml:space="preserve"> </w:t>
            </w:r>
            <w:r w:rsidRPr="00BC61ED">
              <w:rPr>
                <w:rFonts w:ascii="GHEA Grapalat" w:hAnsi="GHEA Grapalat"/>
                <w:sz w:val="20"/>
                <w:szCs w:val="20"/>
              </w:rPr>
              <w:t>համակար</w:t>
            </w:r>
            <w:r w:rsidRPr="00BC61ED">
              <w:rPr>
                <w:rFonts w:ascii="GHEA Grapalat" w:hAnsi="GHEA Grapalat"/>
                <w:sz w:val="20"/>
                <w:szCs w:val="20"/>
                <w:lang w:val="fr-FR"/>
              </w:rPr>
              <w:softHyphen/>
            </w:r>
            <w:r w:rsidRPr="00BC61ED">
              <w:rPr>
                <w:rFonts w:ascii="GHEA Grapalat" w:hAnsi="GHEA Grapalat"/>
                <w:sz w:val="20"/>
                <w:szCs w:val="20"/>
                <w:lang w:val="fr-FR"/>
              </w:rPr>
              <w:softHyphen/>
            </w:r>
            <w:r w:rsidRPr="00BC61ED">
              <w:rPr>
                <w:rFonts w:ascii="GHEA Grapalat" w:hAnsi="GHEA Grapalat"/>
                <w:sz w:val="20"/>
                <w:szCs w:val="20"/>
              </w:rPr>
              <w:t>գերի</w:t>
            </w:r>
            <w:r w:rsidRPr="00BC61ED">
              <w:rPr>
                <w:rFonts w:ascii="GHEA Grapalat" w:hAnsi="GHEA Grapalat"/>
                <w:sz w:val="20"/>
                <w:szCs w:val="20"/>
                <w:lang w:val="fr-FR"/>
              </w:rPr>
              <w:t xml:space="preserve"> </w:t>
            </w:r>
            <w:r w:rsidRPr="00BC61ED">
              <w:rPr>
                <w:rFonts w:ascii="GHEA Grapalat" w:hAnsi="GHEA Grapalat"/>
                <w:sz w:val="20"/>
                <w:szCs w:val="20"/>
              </w:rPr>
              <w:t>կիրառությունն</w:t>
            </w:r>
            <w:r w:rsidRPr="00BC61ED">
              <w:rPr>
                <w:rFonts w:ascii="GHEA Grapalat" w:hAnsi="GHEA Grapalat"/>
                <w:sz w:val="20"/>
                <w:szCs w:val="20"/>
                <w:lang w:val="fr-FR"/>
              </w:rPr>
              <w:t xml:space="preserve"> </w:t>
            </w:r>
            <w:r w:rsidRPr="00BC61ED">
              <w:rPr>
                <w:rFonts w:ascii="GHEA Grapalat" w:hAnsi="GHEA Grapalat"/>
                <w:sz w:val="20"/>
                <w:szCs w:val="20"/>
              </w:rPr>
              <w:t>ու</w:t>
            </w:r>
            <w:r w:rsidRPr="00BC61ED">
              <w:rPr>
                <w:rFonts w:ascii="GHEA Grapalat" w:hAnsi="GHEA Grapalat"/>
                <w:sz w:val="20"/>
                <w:szCs w:val="20"/>
                <w:lang w:val="fr-FR"/>
              </w:rPr>
              <w:t xml:space="preserve"> </w:t>
            </w:r>
            <w:r w:rsidRPr="00BC61ED">
              <w:rPr>
                <w:rFonts w:ascii="GHEA Grapalat" w:hAnsi="GHEA Grapalat"/>
                <w:sz w:val="20"/>
                <w:szCs w:val="20"/>
              </w:rPr>
              <w:t>դրա</w:t>
            </w:r>
            <w:r w:rsidRPr="00BC61ED">
              <w:rPr>
                <w:rFonts w:ascii="GHEA Grapalat" w:hAnsi="GHEA Grapalat"/>
                <w:sz w:val="20"/>
                <w:szCs w:val="20"/>
                <w:lang w:val="fr-FR"/>
              </w:rPr>
              <w:t xml:space="preserve"> </w:t>
            </w:r>
            <w:r w:rsidRPr="00BC61ED">
              <w:rPr>
                <w:rFonts w:ascii="GHEA Grapalat" w:hAnsi="GHEA Grapalat"/>
                <w:sz w:val="20"/>
                <w:szCs w:val="20"/>
              </w:rPr>
              <w:t>հիման</w:t>
            </w:r>
            <w:r w:rsidRPr="00BC61ED">
              <w:rPr>
                <w:rFonts w:ascii="GHEA Grapalat" w:hAnsi="GHEA Grapalat"/>
                <w:sz w:val="20"/>
                <w:szCs w:val="20"/>
                <w:lang w:val="fr-FR"/>
              </w:rPr>
              <w:t xml:space="preserve"> </w:t>
            </w:r>
            <w:r w:rsidRPr="00BC61ED">
              <w:rPr>
                <w:rFonts w:ascii="GHEA Grapalat" w:hAnsi="GHEA Grapalat"/>
                <w:sz w:val="20"/>
                <w:szCs w:val="20"/>
              </w:rPr>
              <w:t>վրա</w:t>
            </w:r>
            <w:r w:rsidRPr="00BC61ED">
              <w:rPr>
                <w:rFonts w:ascii="GHEA Grapalat" w:hAnsi="GHEA Grapalat"/>
                <w:sz w:val="20"/>
                <w:szCs w:val="20"/>
                <w:lang w:val="fr-FR"/>
              </w:rPr>
              <w:t xml:space="preserve"> </w:t>
            </w:r>
            <w:r w:rsidRPr="00BC61ED">
              <w:rPr>
                <w:rFonts w:ascii="GHEA Grapalat" w:hAnsi="GHEA Grapalat"/>
                <w:sz w:val="20"/>
                <w:szCs w:val="20"/>
              </w:rPr>
              <w:t>թիրախավորված</w:t>
            </w:r>
            <w:r w:rsidRPr="00BC61ED">
              <w:rPr>
                <w:rFonts w:ascii="GHEA Grapalat" w:hAnsi="GHEA Grapalat"/>
                <w:sz w:val="20"/>
                <w:szCs w:val="20"/>
                <w:lang w:val="fr-FR"/>
              </w:rPr>
              <w:t xml:space="preserve"> </w:t>
            </w:r>
            <w:r w:rsidRPr="00BC61ED">
              <w:rPr>
                <w:rFonts w:ascii="GHEA Grapalat" w:hAnsi="GHEA Grapalat"/>
                <w:sz w:val="20"/>
                <w:szCs w:val="20"/>
              </w:rPr>
              <w:t>հարկային</w:t>
            </w:r>
            <w:r w:rsidRPr="00BC61ED">
              <w:rPr>
                <w:rFonts w:ascii="GHEA Grapalat" w:hAnsi="GHEA Grapalat"/>
                <w:sz w:val="20"/>
                <w:szCs w:val="20"/>
                <w:lang w:val="fr-FR"/>
              </w:rPr>
              <w:t xml:space="preserve"> </w:t>
            </w:r>
            <w:r w:rsidRPr="00BC61ED">
              <w:rPr>
                <w:rFonts w:ascii="GHEA Grapalat" w:hAnsi="GHEA Grapalat"/>
                <w:sz w:val="20"/>
                <w:szCs w:val="20"/>
              </w:rPr>
              <w:t>հսկողության</w:t>
            </w:r>
            <w:r w:rsidRPr="00BC61ED">
              <w:rPr>
                <w:rFonts w:ascii="GHEA Grapalat" w:hAnsi="GHEA Grapalat"/>
                <w:sz w:val="20"/>
                <w:szCs w:val="20"/>
                <w:lang w:val="fr-FR"/>
              </w:rPr>
              <w:t xml:space="preserve"> </w:t>
            </w:r>
            <w:r w:rsidRPr="00BC61ED">
              <w:rPr>
                <w:rFonts w:ascii="GHEA Grapalat" w:hAnsi="GHEA Grapalat"/>
                <w:sz w:val="20"/>
                <w:szCs w:val="20"/>
              </w:rPr>
              <w:t>իրակա</w:t>
            </w:r>
            <w:r w:rsidRPr="00BC61ED">
              <w:rPr>
                <w:rFonts w:ascii="GHEA Grapalat" w:hAnsi="GHEA Grapalat"/>
                <w:sz w:val="20"/>
                <w:szCs w:val="20"/>
                <w:lang w:val="fr-FR"/>
              </w:rPr>
              <w:softHyphen/>
            </w:r>
            <w:r w:rsidRPr="00BC61ED">
              <w:rPr>
                <w:rFonts w:ascii="GHEA Grapalat" w:hAnsi="GHEA Grapalat"/>
                <w:sz w:val="20"/>
                <w:szCs w:val="20"/>
              </w:rPr>
              <w:t>նացումը</w:t>
            </w:r>
            <w:r w:rsidRPr="00BC61ED">
              <w:rPr>
                <w:rFonts w:ascii="GHEA Grapalat" w:hAnsi="GHEA Grapalat"/>
                <w:sz w:val="20"/>
                <w:szCs w:val="20"/>
                <w:lang w:val="fr-FR"/>
              </w:rPr>
              <w:t xml:space="preserve">: </w:t>
            </w:r>
            <w:r w:rsidRPr="00BC61ED">
              <w:rPr>
                <w:rFonts w:ascii="GHEA Grapalat" w:hAnsi="GHEA Grapalat"/>
                <w:sz w:val="20"/>
                <w:szCs w:val="20"/>
              </w:rPr>
              <w:t>Այս</w:t>
            </w:r>
            <w:r w:rsidRPr="00BC61ED">
              <w:rPr>
                <w:rFonts w:ascii="GHEA Grapalat" w:hAnsi="GHEA Grapalat"/>
                <w:sz w:val="20"/>
                <w:szCs w:val="20"/>
                <w:lang w:val="fr-FR"/>
              </w:rPr>
              <w:t xml:space="preserve"> </w:t>
            </w:r>
            <w:r w:rsidRPr="00BC61ED">
              <w:rPr>
                <w:rFonts w:ascii="GHEA Grapalat" w:hAnsi="GHEA Grapalat"/>
                <w:sz w:val="20"/>
                <w:szCs w:val="20"/>
              </w:rPr>
              <w:t>տեսանկյունից</w:t>
            </w:r>
            <w:r w:rsidRPr="00BC61ED">
              <w:rPr>
                <w:rFonts w:ascii="GHEA Grapalat" w:hAnsi="GHEA Grapalat"/>
                <w:sz w:val="20"/>
                <w:szCs w:val="20"/>
                <w:lang w:val="fr-FR"/>
              </w:rPr>
              <w:t xml:space="preserve"> </w:t>
            </w:r>
            <w:r w:rsidRPr="00BC61ED">
              <w:rPr>
                <w:rFonts w:ascii="GHEA Grapalat" w:hAnsi="GHEA Grapalat"/>
                <w:sz w:val="20"/>
                <w:szCs w:val="20"/>
              </w:rPr>
              <w:t>կարևորվում</w:t>
            </w:r>
            <w:r w:rsidRPr="00BC61ED">
              <w:rPr>
                <w:rFonts w:ascii="GHEA Grapalat" w:hAnsi="GHEA Grapalat"/>
                <w:sz w:val="20"/>
                <w:szCs w:val="20"/>
                <w:lang w:val="fr-FR"/>
              </w:rPr>
              <w:t xml:space="preserve"> </w:t>
            </w:r>
            <w:r w:rsidRPr="00BC61ED">
              <w:rPr>
                <w:rFonts w:ascii="GHEA Grapalat" w:hAnsi="GHEA Grapalat"/>
                <w:sz w:val="20"/>
                <w:szCs w:val="20"/>
              </w:rPr>
              <w:t>է</w:t>
            </w:r>
            <w:r w:rsidRPr="00BC61ED">
              <w:rPr>
                <w:rFonts w:ascii="GHEA Grapalat" w:hAnsi="GHEA Grapalat"/>
                <w:sz w:val="20"/>
                <w:szCs w:val="20"/>
                <w:lang w:val="fr-FR"/>
              </w:rPr>
              <w:t xml:space="preserve"> </w:t>
            </w:r>
            <w:r w:rsidRPr="00BC61ED">
              <w:rPr>
                <w:rFonts w:ascii="GHEA Grapalat" w:hAnsi="GHEA Grapalat"/>
                <w:sz w:val="20"/>
                <w:szCs w:val="20"/>
              </w:rPr>
              <w:t>վերլուծական</w:t>
            </w:r>
            <w:r w:rsidRPr="00BC61ED">
              <w:rPr>
                <w:rFonts w:ascii="GHEA Grapalat" w:hAnsi="GHEA Grapalat"/>
                <w:sz w:val="20"/>
                <w:szCs w:val="20"/>
                <w:lang w:val="fr-FR"/>
              </w:rPr>
              <w:t xml:space="preserve"> </w:t>
            </w:r>
            <w:r w:rsidRPr="00BC61ED">
              <w:rPr>
                <w:rFonts w:ascii="GHEA Grapalat" w:hAnsi="GHEA Grapalat"/>
                <w:sz w:val="20"/>
                <w:szCs w:val="20"/>
              </w:rPr>
              <w:t>կարողու</w:t>
            </w:r>
            <w:r w:rsidRPr="00BC61ED">
              <w:rPr>
                <w:rFonts w:ascii="GHEA Grapalat" w:hAnsi="GHEA Grapalat"/>
                <w:sz w:val="20"/>
                <w:szCs w:val="20"/>
                <w:lang w:val="fr-FR"/>
              </w:rPr>
              <w:softHyphen/>
            </w:r>
            <w:r w:rsidRPr="00BC61ED">
              <w:rPr>
                <w:rFonts w:ascii="GHEA Grapalat" w:hAnsi="GHEA Grapalat"/>
                <w:sz w:val="20"/>
                <w:szCs w:val="20"/>
              </w:rPr>
              <w:t>թյուն</w:t>
            </w:r>
            <w:r w:rsidRPr="00BC61ED">
              <w:rPr>
                <w:rFonts w:ascii="GHEA Grapalat" w:hAnsi="GHEA Grapalat"/>
                <w:sz w:val="20"/>
                <w:szCs w:val="20"/>
                <w:lang w:val="fr-FR"/>
              </w:rPr>
              <w:softHyphen/>
            </w:r>
            <w:r w:rsidRPr="00BC61ED">
              <w:rPr>
                <w:rFonts w:ascii="GHEA Grapalat" w:hAnsi="GHEA Grapalat"/>
                <w:sz w:val="20"/>
                <w:szCs w:val="20"/>
              </w:rPr>
              <w:t>ների</w:t>
            </w:r>
            <w:r w:rsidRPr="00BC61ED">
              <w:rPr>
                <w:rFonts w:ascii="GHEA Grapalat" w:hAnsi="GHEA Grapalat"/>
                <w:sz w:val="20"/>
                <w:szCs w:val="20"/>
                <w:lang w:val="fr-FR"/>
              </w:rPr>
              <w:t xml:space="preserve"> </w:t>
            </w:r>
            <w:r w:rsidRPr="00BC61ED">
              <w:rPr>
                <w:rFonts w:ascii="GHEA Grapalat" w:hAnsi="GHEA Grapalat"/>
                <w:sz w:val="20"/>
                <w:szCs w:val="20"/>
              </w:rPr>
              <w:t>զարգացումը՝</w:t>
            </w:r>
            <w:r w:rsidRPr="00BC61ED">
              <w:rPr>
                <w:rFonts w:ascii="GHEA Grapalat" w:hAnsi="GHEA Grapalat"/>
                <w:sz w:val="20"/>
                <w:szCs w:val="20"/>
                <w:lang w:val="fr-FR"/>
              </w:rPr>
              <w:t xml:space="preserve"> </w:t>
            </w:r>
            <w:r w:rsidRPr="00BC61ED">
              <w:rPr>
                <w:rFonts w:ascii="GHEA Grapalat" w:hAnsi="GHEA Grapalat"/>
                <w:sz w:val="20"/>
                <w:szCs w:val="20"/>
              </w:rPr>
              <w:t>ուղղված</w:t>
            </w:r>
            <w:r w:rsidRPr="00BC61ED">
              <w:rPr>
                <w:rFonts w:ascii="GHEA Grapalat" w:hAnsi="GHEA Grapalat"/>
                <w:sz w:val="20"/>
                <w:szCs w:val="20"/>
                <w:lang w:val="fr-FR"/>
              </w:rPr>
              <w:t xml:space="preserve"> </w:t>
            </w:r>
            <w:r w:rsidRPr="00BC61ED">
              <w:rPr>
                <w:rFonts w:ascii="GHEA Grapalat" w:hAnsi="GHEA Grapalat"/>
                <w:sz w:val="20"/>
                <w:szCs w:val="20"/>
              </w:rPr>
              <w:t>ռիսկերի</w:t>
            </w:r>
            <w:r w:rsidRPr="00BC61ED">
              <w:rPr>
                <w:rFonts w:ascii="GHEA Grapalat" w:hAnsi="GHEA Grapalat"/>
                <w:sz w:val="20"/>
                <w:szCs w:val="20"/>
                <w:lang w:val="fr-FR"/>
              </w:rPr>
              <w:t xml:space="preserve"> </w:t>
            </w:r>
            <w:r w:rsidRPr="00BC61ED">
              <w:rPr>
                <w:rFonts w:ascii="GHEA Grapalat" w:hAnsi="GHEA Grapalat"/>
                <w:sz w:val="20"/>
                <w:szCs w:val="20"/>
              </w:rPr>
              <w:t>բացահայտմանը</w:t>
            </w:r>
            <w:r w:rsidRPr="00BC61ED">
              <w:rPr>
                <w:rFonts w:ascii="GHEA Grapalat" w:hAnsi="GHEA Grapalat"/>
                <w:sz w:val="20"/>
                <w:szCs w:val="20"/>
                <w:lang w:val="fr-FR"/>
              </w:rPr>
              <w:t xml:space="preserve"> </w:t>
            </w:r>
            <w:r w:rsidRPr="00BC61ED">
              <w:rPr>
                <w:rFonts w:ascii="GHEA Grapalat" w:hAnsi="GHEA Grapalat"/>
                <w:sz w:val="20"/>
                <w:szCs w:val="20"/>
              </w:rPr>
              <w:t>և</w:t>
            </w:r>
            <w:r w:rsidRPr="00BC61ED">
              <w:rPr>
                <w:rFonts w:ascii="GHEA Grapalat" w:hAnsi="GHEA Grapalat"/>
                <w:sz w:val="20"/>
                <w:szCs w:val="20"/>
                <w:lang w:val="fr-FR"/>
              </w:rPr>
              <w:t xml:space="preserve"> </w:t>
            </w:r>
            <w:r w:rsidRPr="00BC61ED">
              <w:rPr>
                <w:rFonts w:ascii="GHEA Grapalat" w:hAnsi="GHEA Grapalat"/>
                <w:sz w:val="20"/>
                <w:szCs w:val="20"/>
              </w:rPr>
              <w:t>կառավարման</w:t>
            </w:r>
            <w:r w:rsidRPr="00BC61ED">
              <w:rPr>
                <w:rFonts w:ascii="GHEA Grapalat" w:hAnsi="GHEA Grapalat"/>
                <w:sz w:val="20"/>
                <w:szCs w:val="20"/>
                <w:lang w:val="fr-FR"/>
              </w:rPr>
              <w:t xml:space="preserve"> </w:t>
            </w:r>
            <w:r w:rsidRPr="00BC61ED">
              <w:rPr>
                <w:rFonts w:ascii="GHEA Grapalat" w:hAnsi="GHEA Grapalat"/>
                <w:sz w:val="20"/>
                <w:szCs w:val="20"/>
              </w:rPr>
              <w:t>մեխանիզմների</w:t>
            </w:r>
            <w:r w:rsidRPr="00BC61ED">
              <w:rPr>
                <w:rFonts w:ascii="GHEA Grapalat" w:hAnsi="GHEA Grapalat"/>
                <w:sz w:val="20"/>
                <w:szCs w:val="20"/>
                <w:lang w:val="fr-FR"/>
              </w:rPr>
              <w:t xml:space="preserve"> </w:t>
            </w:r>
            <w:r w:rsidRPr="00BC61ED">
              <w:rPr>
                <w:rFonts w:ascii="GHEA Grapalat" w:hAnsi="GHEA Grapalat"/>
                <w:sz w:val="20"/>
                <w:szCs w:val="20"/>
              </w:rPr>
              <w:t>կատարելագործմանը</w:t>
            </w:r>
            <w:r w:rsidRPr="00BC61ED">
              <w:rPr>
                <w:rFonts w:ascii="GHEA Grapalat" w:hAnsi="GHEA Grapalat"/>
                <w:sz w:val="20"/>
                <w:szCs w:val="20"/>
                <w:lang w:val="fr-FR"/>
              </w:rPr>
              <w:t>:</w:t>
            </w:r>
          </w:p>
          <w:p w:rsidR="000C3F90" w:rsidRPr="00BC61ED" w:rsidRDefault="000C3F90" w:rsidP="00F47DC4">
            <w:pPr>
              <w:spacing w:line="276" w:lineRule="auto"/>
              <w:ind w:firstLine="709"/>
              <w:rPr>
                <w:b/>
                <w:lang w:val="fr-FR"/>
              </w:rPr>
            </w:pPr>
            <w:r w:rsidRPr="00BC61ED">
              <w:rPr>
                <w:b/>
                <w:lang w:val="fr-FR"/>
              </w:rPr>
              <w:t xml:space="preserve">1.2. </w:t>
            </w:r>
            <w:r w:rsidRPr="00BC61ED">
              <w:rPr>
                <w:b/>
              </w:rPr>
              <w:t>առկա</w:t>
            </w:r>
            <w:r w:rsidRPr="00BC61ED">
              <w:rPr>
                <w:b/>
                <w:lang w:val="fr-FR"/>
              </w:rPr>
              <w:t xml:space="preserve"> </w:t>
            </w:r>
            <w:r w:rsidRPr="00BC61ED">
              <w:rPr>
                <w:b/>
              </w:rPr>
              <w:t>խնդիրների</w:t>
            </w:r>
            <w:r w:rsidRPr="00BC61ED">
              <w:rPr>
                <w:b/>
                <w:lang w:val="fr-FR"/>
              </w:rPr>
              <w:t xml:space="preserve"> </w:t>
            </w:r>
            <w:r w:rsidRPr="00BC61ED">
              <w:rPr>
                <w:b/>
              </w:rPr>
              <w:t>առաջարկվող</w:t>
            </w:r>
            <w:r w:rsidRPr="00BC61ED">
              <w:rPr>
                <w:b/>
                <w:lang w:val="fr-FR"/>
              </w:rPr>
              <w:t xml:space="preserve"> </w:t>
            </w:r>
            <w:r w:rsidRPr="00BC61ED">
              <w:rPr>
                <w:b/>
              </w:rPr>
              <w:t>լուծումները</w:t>
            </w:r>
            <w:r w:rsidRPr="00BC61ED">
              <w:rPr>
                <w:b/>
                <w:lang w:val="fr-FR"/>
              </w:rPr>
              <w:t xml:space="preserve"> </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Վերը նշված խնդիրների լուծման նպատակով նախատեսվում է իրականացնել հետևյալ միջոցառումները: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 xml:space="preserve">1.1) </w:t>
            </w:r>
            <w:r w:rsidRPr="00BC61ED">
              <w:rPr>
                <w:rFonts w:ascii="GHEA Grapalat" w:hAnsi="GHEA Grapalat"/>
                <w:sz w:val="20"/>
                <w:szCs w:val="20"/>
                <w:lang w:val="en-GB"/>
              </w:rPr>
              <w:t>Մշակել</w:t>
            </w:r>
            <w:r w:rsidRPr="00BC61ED">
              <w:rPr>
                <w:rFonts w:ascii="GHEA Grapalat" w:hAnsi="GHEA Grapalat"/>
                <w:sz w:val="20"/>
                <w:szCs w:val="20"/>
                <w:lang w:val="fr-FR"/>
              </w:rPr>
              <w:t xml:space="preserve"> հ</w:t>
            </w:r>
            <w:r w:rsidRPr="00BC61ED">
              <w:rPr>
                <w:rFonts w:ascii="GHEA Grapalat" w:hAnsi="GHEA Grapalat"/>
                <w:sz w:val="20"/>
                <w:szCs w:val="20"/>
                <w:lang w:val="en-GB"/>
              </w:rPr>
              <w:t>արկունակ</w:t>
            </w:r>
            <w:r w:rsidRPr="00BC61ED">
              <w:rPr>
                <w:rFonts w:ascii="GHEA Grapalat" w:hAnsi="GHEA Grapalat"/>
                <w:sz w:val="20"/>
                <w:szCs w:val="20"/>
                <w:lang w:val="fr-FR"/>
              </w:rPr>
              <w:t xml:space="preserve"> </w:t>
            </w:r>
            <w:r w:rsidRPr="00BC61ED">
              <w:rPr>
                <w:rFonts w:ascii="GHEA Grapalat" w:hAnsi="GHEA Grapalat"/>
                <w:sz w:val="20"/>
                <w:szCs w:val="20"/>
                <w:lang w:val="en-GB"/>
              </w:rPr>
              <w:t>ոլորտներում</w:t>
            </w:r>
            <w:r w:rsidRPr="00BC61ED">
              <w:rPr>
                <w:rFonts w:ascii="GHEA Grapalat" w:hAnsi="GHEA Grapalat"/>
                <w:sz w:val="20"/>
                <w:szCs w:val="20"/>
                <w:lang w:val="fr-FR"/>
              </w:rPr>
              <w:t xml:space="preserve"> </w:t>
            </w:r>
            <w:r w:rsidRPr="00BC61ED">
              <w:rPr>
                <w:rFonts w:ascii="GHEA Grapalat" w:hAnsi="GHEA Grapalat"/>
                <w:sz w:val="20"/>
                <w:szCs w:val="20"/>
                <w:lang w:val="en-GB"/>
              </w:rPr>
              <w:t>ստվերի</w:t>
            </w:r>
            <w:r w:rsidRPr="00BC61ED">
              <w:rPr>
                <w:rFonts w:ascii="GHEA Grapalat" w:hAnsi="GHEA Grapalat"/>
                <w:sz w:val="20"/>
                <w:szCs w:val="20"/>
                <w:lang w:val="fr-FR"/>
              </w:rPr>
              <w:t xml:space="preserve"> </w:t>
            </w:r>
            <w:r w:rsidRPr="00BC61ED">
              <w:rPr>
                <w:rFonts w:ascii="GHEA Grapalat" w:hAnsi="GHEA Grapalat"/>
                <w:sz w:val="20"/>
                <w:szCs w:val="20"/>
                <w:lang w:val="en-GB"/>
              </w:rPr>
              <w:t>գնահատման</w:t>
            </w:r>
            <w:r w:rsidRPr="00BC61ED">
              <w:rPr>
                <w:rFonts w:ascii="GHEA Grapalat" w:hAnsi="GHEA Grapalat"/>
                <w:sz w:val="20"/>
                <w:szCs w:val="20"/>
                <w:lang w:val="fr-FR"/>
              </w:rPr>
              <w:t xml:space="preserve"> </w:t>
            </w:r>
            <w:r w:rsidRPr="00BC61ED">
              <w:rPr>
                <w:rFonts w:ascii="GHEA Grapalat" w:hAnsi="GHEA Grapalat"/>
                <w:sz w:val="20"/>
                <w:szCs w:val="20"/>
                <w:lang w:val="en-GB"/>
              </w:rPr>
              <w:t>մեթոդաբանություն</w:t>
            </w:r>
            <w:r w:rsidRPr="00BC61ED">
              <w:rPr>
                <w:rFonts w:ascii="GHEA Grapalat" w:hAnsi="GHEA Grapalat"/>
                <w:sz w:val="20"/>
                <w:szCs w:val="20"/>
                <w:lang w:val="fr-FR"/>
              </w:rPr>
              <w:t xml:space="preserve">, և </w:t>
            </w:r>
            <w:r w:rsidRPr="00BC61ED">
              <w:rPr>
                <w:rFonts w:ascii="GHEA Grapalat" w:hAnsi="GHEA Grapalat"/>
                <w:sz w:val="20"/>
                <w:szCs w:val="20"/>
                <w:lang w:val="en-GB"/>
              </w:rPr>
              <w:t>գնահատման</w:t>
            </w:r>
            <w:r w:rsidRPr="00BC61ED">
              <w:rPr>
                <w:rFonts w:ascii="GHEA Grapalat" w:hAnsi="GHEA Grapalat"/>
                <w:sz w:val="20"/>
                <w:szCs w:val="20"/>
                <w:lang w:val="fr-FR"/>
              </w:rPr>
              <w:t xml:space="preserve"> </w:t>
            </w:r>
            <w:r w:rsidRPr="00BC61ED">
              <w:rPr>
                <w:rFonts w:ascii="GHEA Grapalat" w:hAnsi="GHEA Grapalat"/>
                <w:sz w:val="20"/>
                <w:szCs w:val="20"/>
                <w:lang w:val="en-GB"/>
              </w:rPr>
              <w:t>արդյունքների</w:t>
            </w:r>
            <w:r w:rsidRPr="00BC61ED">
              <w:rPr>
                <w:rFonts w:ascii="GHEA Grapalat" w:hAnsi="GHEA Grapalat"/>
                <w:sz w:val="20"/>
                <w:szCs w:val="20"/>
                <w:lang w:val="fr-FR"/>
              </w:rPr>
              <w:t xml:space="preserve"> </w:t>
            </w:r>
            <w:r w:rsidRPr="00BC61ED">
              <w:rPr>
                <w:rFonts w:ascii="GHEA Grapalat" w:hAnsi="GHEA Grapalat"/>
                <w:sz w:val="20"/>
                <w:szCs w:val="20"/>
                <w:lang w:val="en-GB"/>
              </w:rPr>
              <w:t>հիման</w:t>
            </w:r>
            <w:r w:rsidRPr="00BC61ED">
              <w:rPr>
                <w:rFonts w:ascii="GHEA Grapalat" w:hAnsi="GHEA Grapalat"/>
                <w:sz w:val="20"/>
                <w:szCs w:val="20"/>
                <w:lang w:val="fr-FR"/>
              </w:rPr>
              <w:t xml:space="preserve"> </w:t>
            </w:r>
            <w:r w:rsidRPr="00BC61ED">
              <w:rPr>
                <w:rFonts w:ascii="GHEA Grapalat" w:hAnsi="GHEA Grapalat"/>
                <w:sz w:val="20"/>
                <w:szCs w:val="20"/>
                <w:lang w:val="en-GB"/>
              </w:rPr>
              <w:t>վրա</w:t>
            </w:r>
            <w:r w:rsidRPr="00BC61ED">
              <w:rPr>
                <w:rFonts w:ascii="GHEA Grapalat" w:hAnsi="GHEA Grapalat"/>
                <w:sz w:val="20"/>
                <w:szCs w:val="20"/>
                <w:lang w:val="fr-FR"/>
              </w:rPr>
              <w:t xml:space="preserve"> </w:t>
            </w:r>
            <w:r w:rsidRPr="00BC61ED">
              <w:rPr>
                <w:rFonts w:ascii="GHEA Grapalat" w:hAnsi="GHEA Grapalat"/>
                <w:sz w:val="20"/>
                <w:szCs w:val="20"/>
                <w:lang w:val="en-GB"/>
              </w:rPr>
              <w:t>թիրախային</w:t>
            </w:r>
            <w:r w:rsidRPr="00BC61ED">
              <w:rPr>
                <w:rFonts w:ascii="GHEA Grapalat" w:hAnsi="GHEA Grapalat"/>
                <w:sz w:val="20"/>
                <w:szCs w:val="20"/>
                <w:lang w:val="fr-FR"/>
              </w:rPr>
              <w:t xml:space="preserve"> </w:t>
            </w:r>
            <w:r w:rsidRPr="00BC61ED">
              <w:rPr>
                <w:rFonts w:ascii="GHEA Grapalat" w:hAnsi="GHEA Grapalat"/>
                <w:sz w:val="20"/>
                <w:szCs w:val="20"/>
                <w:lang w:val="en-GB"/>
              </w:rPr>
              <w:t>ոլորտներում</w:t>
            </w:r>
            <w:r w:rsidRPr="00BC61ED">
              <w:rPr>
                <w:rFonts w:ascii="GHEA Grapalat" w:hAnsi="GHEA Grapalat"/>
                <w:sz w:val="20"/>
                <w:szCs w:val="20"/>
                <w:lang w:val="fr-FR"/>
              </w:rPr>
              <w:t xml:space="preserve"> </w:t>
            </w:r>
            <w:r w:rsidRPr="00BC61ED">
              <w:rPr>
                <w:rFonts w:ascii="GHEA Grapalat" w:hAnsi="GHEA Grapalat"/>
                <w:sz w:val="20"/>
                <w:szCs w:val="20"/>
                <w:lang w:val="en-GB"/>
              </w:rPr>
              <w:t>ուսումնասիրությունների</w:t>
            </w:r>
            <w:r w:rsidRPr="00BC61ED">
              <w:rPr>
                <w:rFonts w:ascii="GHEA Grapalat" w:hAnsi="GHEA Grapalat"/>
                <w:sz w:val="20"/>
                <w:szCs w:val="20"/>
                <w:lang w:val="fr-FR"/>
              </w:rPr>
              <w:t xml:space="preserve"> </w:t>
            </w:r>
            <w:r w:rsidRPr="00BC61ED">
              <w:rPr>
                <w:rFonts w:ascii="GHEA Grapalat" w:hAnsi="GHEA Grapalat"/>
                <w:sz w:val="20"/>
                <w:szCs w:val="20"/>
                <w:lang w:val="en-GB"/>
              </w:rPr>
              <w:t>իրականացում</w:t>
            </w:r>
            <w:r w:rsidRPr="00BC61ED">
              <w:rPr>
                <w:rFonts w:ascii="GHEA Grapalat" w:hAnsi="GHEA Grapalat"/>
                <w:sz w:val="20"/>
                <w:szCs w:val="20"/>
                <w:lang w:val="fr-FR"/>
              </w:rPr>
              <w:t>:</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1.2) Վերանայել և կատարելագործել hարկային և մաքսային հսկողության ռիսկերի գնահատման համակարգերը (հիմք՝ ՀՀ հարկային օրենսգրքի 336-րդ հոդված և Մաքսային կարգավորման մասին ՀՀ օրենքի 121-րդ հոդված):</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1.3) Կատարելագործել հարկային և մաքսային հսկողության գործիքակազմը և ավտոմատացնել վերլուծական գործիքները: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1.4) Կատարելագործել երրորդ անձանցից ստացվող տեղեկությունների մշակման էլեկտրոնային համակարգերը: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1.5) Ընդլայնել ՀՀ ՊԵԿ մոնիթորինգային կենտրոնի կարողությունները՝ իրականացվող վերլուծություններն աստիճանաբար կենտրոնացնելով մոնիթորինգային կենտրոնում:</w:t>
            </w:r>
          </w:p>
          <w:p w:rsidR="000C3F90" w:rsidRPr="00BC61ED" w:rsidRDefault="000C3F90" w:rsidP="00F47DC4">
            <w:pPr>
              <w:spacing w:line="276" w:lineRule="auto"/>
              <w:ind w:firstLine="709"/>
              <w:rPr>
                <w:b/>
                <w:lang w:val="fr-FR"/>
              </w:rPr>
            </w:pPr>
            <w:r w:rsidRPr="00BC61ED">
              <w:rPr>
                <w:b/>
                <w:lang w:val="fr-FR"/>
              </w:rPr>
              <w:t xml:space="preserve">2. </w:t>
            </w:r>
            <w:r w:rsidRPr="00BC61ED">
              <w:rPr>
                <w:b/>
              </w:rPr>
              <w:t>Միջոցառման</w:t>
            </w:r>
            <w:r w:rsidRPr="00BC61ED">
              <w:rPr>
                <w:b/>
                <w:lang w:val="fr-FR"/>
              </w:rPr>
              <w:t xml:space="preserve"> </w:t>
            </w:r>
            <w:r w:rsidRPr="00BC61ED">
              <w:rPr>
                <w:b/>
              </w:rPr>
              <w:t>իրականացումից</w:t>
            </w:r>
            <w:r w:rsidRPr="00BC61ED">
              <w:rPr>
                <w:b/>
                <w:lang w:val="fr-FR"/>
              </w:rPr>
              <w:t xml:space="preserve"> </w:t>
            </w:r>
            <w:r w:rsidRPr="00BC61ED">
              <w:rPr>
                <w:b/>
              </w:rPr>
              <w:t>ակնկալվող</w:t>
            </w:r>
            <w:r w:rsidRPr="00BC61ED">
              <w:rPr>
                <w:b/>
                <w:lang w:val="fr-FR"/>
              </w:rPr>
              <w:t xml:space="preserve"> </w:t>
            </w:r>
            <w:r w:rsidRPr="00BC61ED">
              <w:rPr>
                <w:b/>
              </w:rPr>
              <w:t>արդյունքը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Միջոցառման իրագործմամբ  նախատեսվում է կրճատել ստվերային տնտեսությունը, որի արդյունքում կավելանան պետական բյուջե մուտքագրվող հարկային եկամուտները՝ բարելավելով Հարկեր/ՀՆԱ ցուցանիշը:</w:t>
            </w:r>
          </w:p>
        </w:tc>
      </w:tr>
      <w:tr w:rsidR="000C3F90" w:rsidRPr="00DE2EFA" w:rsidTr="00F47DC4">
        <w:tc>
          <w:tcPr>
            <w:tcW w:w="425" w:type="dxa"/>
          </w:tcPr>
          <w:p w:rsidR="000C3F90" w:rsidRPr="00BC61ED" w:rsidRDefault="000C3F90" w:rsidP="00F47DC4">
            <w:pPr>
              <w:spacing w:line="276" w:lineRule="auto"/>
              <w:jc w:val="center"/>
              <w:rPr>
                <w:b/>
                <w:bCs/>
                <w:lang w:val="hy-AM"/>
              </w:rPr>
            </w:pPr>
            <w:r w:rsidRPr="00BC61ED">
              <w:rPr>
                <w:b/>
                <w:bCs/>
                <w:lang w:val="hy-AM"/>
              </w:rPr>
              <w:t>2.</w:t>
            </w:r>
          </w:p>
        </w:tc>
        <w:tc>
          <w:tcPr>
            <w:tcW w:w="11100" w:type="dxa"/>
          </w:tcPr>
          <w:p w:rsidR="000C3F90" w:rsidRPr="00BC61ED" w:rsidRDefault="000C3F90" w:rsidP="00F47DC4">
            <w:pPr>
              <w:spacing w:line="276" w:lineRule="auto"/>
              <w:ind w:firstLine="375"/>
              <w:jc w:val="center"/>
              <w:rPr>
                <w:b/>
                <w:lang w:val="af-ZA"/>
              </w:rPr>
            </w:pPr>
            <w:r w:rsidRPr="00BC61ED">
              <w:rPr>
                <w:b/>
                <w:lang w:val="af-ZA"/>
              </w:rPr>
              <w:t>ՏՏ ենթակառուցվածքների կատարելագործում</w:t>
            </w:r>
          </w:p>
          <w:p w:rsidR="000C3F90" w:rsidRPr="00BC61ED" w:rsidRDefault="000C3F90" w:rsidP="00F47DC4">
            <w:pPr>
              <w:spacing w:line="276" w:lineRule="auto"/>
              <w:ind w:firstLine="375"/>
              <w:jc w:val="center"/>
              <w:rPr>
                <w:b/>
                <w:bCs/>
                <w:lang w:val="fr-FR"/>
              </w:rPr>
            </w:pPr>
          </w:p>
          <w:p w:rsidR="000C3F90" w:rsidRPr="00BC61ED" w:rsidRDefault="000C3F90" w:rsidP="00F47DC4">
            <w:pPr>
              <w:spacing w:line="276" w:lineRule="auto"/>
              <w:ind w:firstLine="709"/>
              <w:jc w:val="both"/>
              <w:rPr>
                <w:b/>
                <w:lang w:val="hy-AM"/>
              </w:rPr>
            </w:pPr>
            <w:r w:rsidRPr="00BC61ED">
              <w:rPr>
                <w:b/>
                <w:lang w:val="fr-FR"/>
              </w:rPr>
              <w:t xml:space="preserve">1. </w:t>
            </w:r>
            <w:r w:rsidRPr="00BC61ED">
              <w:rPr>
                <w:b/>
                <w:lang w:val="hy-AM"/>
              </w:rPr>
              <w:t>Միջոցառման</w:t>
            </w:r>
            <w:r w:rsidRPr="00BC61ED">
              <w:rPr>
                <w:b/>
                <w:lang w:val="fr-FR"/>
              </w:rPr>
              <w:t xml:space="preserve"> </w:t>
            </w:r>
            <w:r w:rsidRPr="00BC61ED">
              <w:rPr>
                <w:b/>
                <w:lang w:val="hy-AM"/>
              </w:rPr>
              <w:t>իրականացման</w:t>
            </w:r>
            <w:r w:rsidRPr="00BC61ED">
              <w:rPr>
                <w:b/>
                <w:lang w:val="fr-FR"/>
              </w:rPr>
              <w:t xml:space="preserve"> </w:t>
            </w:r>
            <w:r w:rsidRPr="00BC61ED">
              <w:rPr>
                <w:b/>
                <w:lang w:val="hy-AM"/>
              </w:rPr>
              <w:t>անհրաժեշտությունը</w:t>
            </w:r>
            <w:r w:rsidRPr="00BC61ED">
              <w:rPr>
                <w:b/>
                <w:lang w:val="fr-FR"/>
              </w:rPr>
              <w:t xml:space="preserve"> </w:t>
            </w:r>
            <w:r w:rsidRPr="00BC61ED">
              <w:rPr>
                <w:b/>
                <w:lang w:val="hy-AM"/>
              </w:rPr>
              <w:t>և</w:t>
            </w:r>
            <w:r w:rsidRPr="00BC61ED">
              <w:rPr>
                <w:b/>
                <w:lang w:val="fr-FR"/>
              </w:rPr>
              <w:t xml:space="preserve"> </w:t>
            </w:r>
            <w:r w:rsidRPr="00BC61ED">
              <w:rPr>
                <w:b/>
                <w:lang w:val="hy-AM"/>
              </w:rPr>
              <w:t xml:space="preserve">նպատակը </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Նշված միջոցառումը պայմանավորված է տեղեկատվական հոսքերի կառավարման արդյունավետության բարձրացման անհրաժեշտությամբ, ինչպես նաև էլեկտրոնային կառավարման համակարգի կարողությունների համալրմամբ ու կատարելագործմամբ:</w:t>
            </w:r>
            <w:r w:rsidRPr="00BC61ED">
              <w:rPr>
                <w:rFonts w:ascii="GHEA Grapalat" w:hAnsi="GHEA Grapalat"/>
                <w:sz w:val="20"/>
                <w:szCs w:val="20"/>
                <w:lang w:val="hy-AM"/>
              </w:rPr>
              <w:t xml:space="preserve"> (</w:t>
            </w:r>
            <w:r w:rsidRPr="00BC61ED">
              <w:rPr>
                <w:rFonts w:ascii="GHEA Grapalat" w:hAnsi="GHEA Grapalat"/>
                <w:sz w:val="20"/>
                <w:szCs w:val="20"/>
                <w:lang w:val="af-ZA"/>
              </w:rPr>
              <w:t>ՀՀ Ազգային ժողովի 14.02.2019թ. N ԱԺՈ-002-Ն որոշմամբ հավանության արժանացած Հայաստանի Հանրապետության կառավարության ծրագրի 3.2 կետի 7-րդ և 8.1 կետի 9-րդ պարբերություններ)</w:t>
            </w:r>
          </w:p>
          <w:p w:rsidR="000C3F90" w:rsidRPr="00BC61ED" w:rsidRDefault="000C3F90" w:rsidP="00F47DC4">
            <w:pPr>
              <w:spacing w:line="276" w:lineRule="auto"/>
              <w:ind w:firstLine="709"/>
              <w:rPr>
                <w:b/>
                <w:lang w:val="fr-FR"/>
              </w:rPr>
            </w:pPr>
            <w:r w:rsidRPr="00BC61ED">
              <w:rPr>
                <w:b/>
                <w:lang w:val="fr-FR"/>
              </w:rPr>
              <w:t xml:space="preserve">1.1. </w:t>
            </w:r>
            <w:r w:rsidRPr="00BC61ED">
              <w:rPr>
                <w:b/>
              </w:rPr>
              <w:t>կարգավորման</w:t>
            </w:r>
            <w:r w:rsidRPr="00BC61ED">
              <w:rPr>
                <w:b/>
                <w:lang w:val="fr-FR"/>
              </w:rPr>
              <w:t xml:space="preserve"> </w:t>
            </w:r>
            <w:r w:rsidRPr="00BC61ED">
              <w:rPr>
                <w:b/>
              </w:rPr>
              <w:t>հարաբերությունների</w:t>
            </w:r>
            <w:r w:rsidRPr="00BC61ED">
              <w:rPr>
                <w:b/>
                <w:lang w:val="fr-FR"/>
              </w:rPr>
              <w:t xml:space="preserve"> </w:t>
            </w:r>
            <w:r w:rsidRPr="00BC61ED">
              <w:rPr>
                <w:b/>
              </w:rPr>
              <w:t>ներկա</w:t>
            </w:r>
            <w:r w:rsidRPr="00BC61ED">
              <w:rPr>
                <w:b/>
                <w:lang w:val="fr-FR"/>
              </w:rPr>
              <w:t xml:space="preserve"> </w:t>
            </w:r>
            <w:r w:rsidRPr="00BC61ED">
              <w:rPr>
                <w:b/>
              </w:rPr>
              <w:t>վիճակը</w:t>
            </w:r>
            <w:r w:rsidRPr="00BC61ED">
              <w:rPr>
                <w:b/>
                <w:lang w:val="fr-FR"/>
              </w:rPr>
              <w:t xml:space="preserve"> </w:t>
            </w:r>
            <w:r w:rsidRPr="00BC61ED">
              <w:rPr>
                <w:b/>
              </w:rPr>
              <w:t>և</w:t>
            </w:r>
            <w:r w:rsidRPr="00BC61ED">
              <w:rPr>
                <w:b/>
                <w:lang w:val="fr-FR"/>
              </w:rPr>
              <w:t xml:space="preserve"> </w:t>
            </w:r>
            <w:r w:rsidRPr="00BC61ED">
              <w:rPr>
                <w:b/>
              </w:rPr>
              <w:t>առկա</w:t>
            </w:r>
            <w:r w:rsidRPr="00BC61ED">
              <w:rPr>
                <w:b/>
                <w:lang w:val="fr-FR"/>
              </w:rPr>
              <w:t xml:space="preserve"> </w:t>
            </w:r>
            <w:r w:rsidRPr="00BC61ED">
              <w:rPr>
                <w:b/>
              </w:rPr>
              <w:t>խնդիրները</w:t>
            </w:r>
          </w:p>
          <w:p w:rsidR="000C3F90" w:rsidRPr="00BC61ED" w:rsidRDefault="000C3F90" w:rsidP="00F47DC4">
            <w:pPr>
              <w:pStyle w:val="BodyText"/>
              <w:spacing w:after="0" w:line="276" w:lineRule="auto"/>
              <w:ind w:firstLine="709"/>
              <w:jc w:val="both"/>
              <w:rPr>
                <w:rFonts w:ascii="GHEA Grapalat" w:hAnsi="GHEA Grapalat" w:cs="Sylfaen"/>
                <w:sz w:val="20"/>
                <w:szCs w:val="20"/>
                <w:lang w:val="fr-FR"/>
              </w:rPr>
            </w:pPr>
            <w:r w:rsidRPr="00BC61ED">
              <w:rPr>
                <w:rFonts w:ascii="GHEA Grapalat" w:hAnsi="GHEA Grapalat" w:cs="Sylfaen"/>
                <w:sz w:val="20"/>
                <w:szCs w:val="20"/>
                <w:lang w:val="fr-FR"/>
              </w:rPr>
              <w:t>Ներկայումս ՊԵԿ կողմից շարունակվում են նորարարական ծրագրերի կիրառմանն ուղղված աշխատանքները, այդ թվում՝ մեծ ծավալի տվյալների (Big Data) ժամանակակից կառուցվածքով տվյալների շտեմարանների մշակման գործիքների ստեղծումը, ինքնաուսուցանվող (machine-learning) արհեստական ինտելեկտով համակարգերի մշակումը, ինչպես նաև ԵԱՏՄ մաքսային օրենսգրքին և դրա կիրարկումն ապահովող իրավական այլ ակտերին մաքսային մարմիններում էլեկտրոնային կառավարման և հսկողության համակարգի համապատասխանեցում: Այս աշխատանքները կրելու են շարունակական բնույթ, քանի որ ՊԵԿ կողմից կարևորվում է ժամանակին համընթաց ՏՏ ենթակառուցվածքների</w:t>
            </w:r>
            <w:r w:rsidRPr="00BC61ED">
              <w:rPr>
                <w:rFonts w:ascii="GHEA Grapalat" w:hAnsi="GHEA Grapalat"/>
                <w:sz w:val="20"/>
                <w:szCs w:val="20"/>
                <w:lang w:val="fr-FR"/>
              </w:rPr>
              <w:t xml:space="preserve"> առկայության անհրաժեշտությունը: Առավելագույնի հասցնելով հարկ վճարողների և հարկային ծառայության</w:t>
            </w:r>
            <w:r w:rsidRPr="00BC61ED">
              <w:rPr>
                <w:rFonts w:ascii="GHEA Grapalat" w:hAnsi="GHEA Grapalat" w:cs="Sylfaen"/>
                <w:sz w:val="20"/>
                <w:szCs w:val="20"/>
                <w:lang w:val="fr-FR"/>
              </w:rPr>
              <w:t xml:space="preserve"> աշխատակիցների կողմից  ՏՏ  համակարգերի կիրառումը:</w:t>
            </w:r>
          </w:p>
          <w:p w:rsidR="000C3F90" w:rsidRPr="00BC61ED" w:rsidRDefault="000C3F90" w:rsidP="00F47DC4">
            <w:pPr>
              <w:spacing w:line="276" w:lineRule="auto"/>
              <w:ind w:firstLine="709"/>
              <w:rPr>
                <w:b/>
                <w:lang w:val="fr-FR"/>
              </w:rPr>
            </w:pPr>
            <w:r w:rsidRPr="00BC61ED">
              <w:rPr>
                <w:b/>
                <w:lang w:val="fr-FR"/>
              </w:rPr>
              <w:t xml:space="preserve">1.2. </w:t>
            </w:r>
            <w:r w:rsidRPr="00BC61ED">
              <w:rPr>
                <w:b/>
              </w:rPr>
              <w:t>առկա</w:t>
            </w:r>
            <w:r w:rsidRPr="00BC61ED">
              <w:rPr>
                <w:b/>
                <w:lang w:val="fr-FR"/>
              </w:rPr>
              <w:t xml:space="preserve"> </w:t>
            </w:r>
            <w:r w:rsidRPr="00BC61ED">
              <w:rPr>
                <w:b/>
              </w:rPr>
              <w:t>խնդիրների</w:t>
            </w:r>
            <w:r w:rsidRPr="00BC61ED">
              <w:rPr>
                <w:b/>
                <w:lang w:val="fr-FR"/>
              </w:rPr>
              <w:t xml:space="preserve"> </w:t>
            </w:r>
            <w:r w:rsidRPr="00BC61ED">
              <w:rPr>
                <w:b/>
              </w:rPr>
              <w:t>առաջարկվող</w:t>
            </w:r>
            <w:r w:rsidRPr="00BC61ED">
              <w:rPr>
                <w:b/>
                <w:lang w:val="fr-FR"/>
              </w:rPr>
              <w:t xml:space="preserve"> </w:t>
            </w:r>
            <w:r w:rsidRPr="00BC61ED">
              <w:rPr>
                <w:b/>
              </w:rPr>
              <w:t>լուծումները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Վերը նշված խնդիրների լուծման նպատակով նախատեսվում է իրականացնել հետևյալ միջոցառումները.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2.1) Կատարելագործել ՊԵԿ էլեկտրոնային կառավարման համակարգերը և ապահովել դրանց տեխնիկական և ծրագրային վերազինումը: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2.2) Ներդնել Մեծ Ծավալի Տվյալների (Big Data) ժամանակակից NoSQL կառուցվածքով տվյալների շտեմարաններ:</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2.3) Մշակել ինքնաուսուցանվող (machine-learning) արհեստական ինտելեկտով համակարգեր:</w:t>
            </w:r>
          </w:p>
          <w:p w:rsidR="000C3F90" w:rsidRPr="00BC61ED" w:rsidRDefault="000C3F90" w:rsidP="00F47DC4">
            <w:pPr>
              <w:pStyle w:val="BodyText"/>
              <w:spacing w:after="0" w:line="276" w:lineRule="auto"/>
              <w:ind w:firstLine="709"/>
              <w:jc w:val="both"/>
              <w:rPr>
                <w:rFonts w:ascii="GHEA Grapalat" w:hAnsi="GHEA Grapalat"/>
                <w:sz w:val="20"/>
                <w:szCs w:val="20"/>
                <w:lang w:val="af-ZA"/>
              </w:rPr>
            </w:pPr>
            <w:r w:rsidRPr="00BC61ED">
              <w:rPr>
                <w:rFonts w:ascii="GHEA Grapalat" w:hAnsi="GHEA Grapalat"/>
                <w:sz w:val="20"/>
                <w:szCs w:val="20"/>
                <w:lang w:val="fr-FR"/>
              </w:rPr>
              <w:t xml:space="preserve">2.4) </w:t>
            </w:r>
            <w:r w:rsidRPr="00BC61ED">
              <w:rPr>
                <w:rFonts w:ascii="GHEA Grapalat" w:hAnsi="GHEA Grapalat"/>
                <w:sz w:val="20"/>
                <w:szCs w:val="20"/>
              </w:rPr>
              <w:t>Ապահովել</w:t>
            </w:r>
            <w:r w:rsidRPr="00BC61ED">
              <w:rPr>
                <w:rFonts w:ascii="GHEA Grapalat" w:hAnsi="GHEA Grapalat"/>
                <w:sz w:val="20"/>
                <w:szCs w:val="20"/>
                <w:lang w:val="fr-FR"/>
              </w:rPr>
              <w:t xml:space="preserve"> </w:t>
            </w:r>
            <w:r w:rsidRPr="00BC61ED">
              <w:rPr>
                <w:rFonts w:ascii="GHEA Grapalat" w:hAnsi="GHEA Grapalat"/>
                <w:sz w:val="20"/>
                <w:szCs w:val="20"/>
              </w:rPr>
              <w:t>հ</w:t>
            </w:r>
            <w:r w:rsidRPr="00BC61ED">
              <w:rPr>
                <w:rFonts w:ascii="GHEA Grapalat" w:hAnsi="GHEA Grapalat"/>
                <w:sz w:val="20"/>
                <w:szCs w:val="20"/>
                <w:lang w:val="af-ZA"/>
              </w:rPr>
              <w:t>աշվարկային փաստաթղթերում (հարկային հաշիվներ, ՀԴՄ կտրոններ և այլն) արտացոլվող տվյալների արտածման հնարավորությունը: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 xml:space="preserve">2.5) </w:t>
            </w:r>
            <w:r w:rsidRPr="00BC61ED">
              <w:rPr>
                <w:rFonts w:ascii="GHEA Grapalat" w:hAnsi="GHEA Grapalat"/>
                <w:sz w:val="20"/>
                <w:szCs w:val="20"/>
                <w:lang w:val="af-ZA"/>
              </w:rPr>
              <w:t>Մշակել և ներդնել մաքսային վճարների և մաքսային մարմինների կողմից գանձվող այլ վճարների էլեկտրոնային եղանակով վճարման համակարգ:</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2.6) Ներդնել ապրանքների և տրանսպորտային միջոցների ինքնաշխատ բացթողման էլեկտրոնային համակարգ:</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2.7) Համապատասխանեցնել մաքսային մարմիններում էլեկտրոնային կառավարման և հսկողության համակարգերը ԵԱՏՄ-ի մաքսային օրենսգրքի պահանջներին:</w:t>
            </w:r>
          </w:p>
          <w:p w:rsidR="000C3F90" w:rsidRPr="00BC61ED" w:rsidRDefault="000C3F90" w:rsidP="00F47DC4">
            <w:pPr>
              <w:spacing w:line="276" w:lineRule="auto"/>
              <w:ind w:firstLine="709"/>
              <w:rPr>
                <w:b/>
                <w:lang w:val="fr-FR"/>
              </w:rPr>
            </w:pPr>
            <w:r w:rsidRPr="00BC61ED">
              <w:rPr>
                <w:b/>
                <w:lang w:val="fr-FR"/>
              </w:rPr>
              <w:t xml:space="preserve">2. </w:t>
            </w:r>
            <w:r w:rsidRPr="00BC61ED">
              <w:rPr>
                <w:b/>
              </w:rPr>
              <w:t>Միջոցառման</w:t>
            </w:r>
            <w:r w:rsidRPr="00BC61ED">
              <w:rPr>
                <w:b/>
                <w:lang w:val="fr-FR"/>
              </w:rPr>
              <w:t xml:space="preserve"> </w:t>
            </w:r>
            <w:r w:rsidRPr="00BC61ED">
              <w:rPr>
                <w:b/>
              </w:rPr>
              <w:t>իրականացումից</w:t>
            </w:r>
            <w:r w:rsidRPr="00BC61ED">
              <w:rPr>
                <w:b/>
                <w:lang w:val="fr-FR"/>
              </w:rPr>
              <w:t xml:space="preserve"> </w:t>
            </w:r>
            <w:r w:rsidRPr="00BC61ED">
              <w:rPr>
                <w:b/>
              </w:rPr>
              <w:t>ակնկալվող</w:t>
            </w:r>
            <w:r w:rsidRPr="00BC61ED">
              <w:rPr>
                <w:b/>
                <w:lang w:val="fr-FR"/>
              </w:rPr>
              <w:t xml:space="preserve"> </w:t>
            </w:r>
            <w:r w:rsidRPr="00BC61ED">
              <w:rPr>
                <w:b/>
              </w:rPr>
              <w:t>արդյունքը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 xml:space="preserve">Միջոցառման իրագործման արդյունքում ակնկալվում է ունենալ ժամանակակից չափանիշներին համապատասխան ՏՏ ենթակառուցվածքներ, ինչպես նաև ապահովել էլեկտրոնային կառավարման համակարգի համապատասխանությունը  ԵԱՏՄ իրավական ակտերին: </w:t>
            </w:r>
            <w:r w:rsidRPr="00BC61ED">
              <w:rPr>
                <w:rFonts w:ascii="GHEA Grapalat" w:hAnsi="GHEA Grapalat" w:cs="Sylfaen"/>
                <w:sz w:val="20"/>
                <w:szCs w:val="20"/>
              </w:rPr>
              <w:t>Ավտոմատացնելով</w:t>
            </w:r>
            <w:r w:rsidRPr="00BC61ED">
              <w:rPr>
                <w:rFonts w:ascii="GHEA Grapalat" w:hAnsi="GHEA Grapalat" w:cs="Sylfaen"/>
                <w:sz w:val="20"/>
                <w:szCs w:val="20"/>
                <w:lang w:val="fr-FR"/>
              </w:rPr>
              <w:t xml:space="preserve"> </w:t>
            </w:r>
            <w:r w:rsidRPr="00BC61ED">
              <w:rPr>
                <w:rFonts w:ascii="GHEA Grapalat" w:hAnsi="GHEA Grapalat" w:cs="Sylfaen"/>
                <w:sz w:val="20"/>
                <w:szCs w:val="20"/>
              </w:rPr>
              <w:t>ՀՀ</w:t>
            </w:r>
            <w:r w:rsidRPr="00BC61ED">
              <w:rPr>
                <w:rFonts w:ascii="GHEA Grapalat" w:hAnsi="GHEA Grapalat" w:cs="Sylfaen"/>
                <w:sz w:val="20"/>
                <w:szCs w:val="20"/>
                <w:lang w:val="fr-FR"/>
              </w:rPr>
              <w:t xml:space="preserve"> </w:t>
            </w:r>
            <w:r w:rsidRPr="00BC61ED">
              <w:rPr>
                <w:rFonts w:ascii="GHEA Grapalat" w:hAnsi="GHEA Grapalat" w:cs="Sylfaen"/>
                <w:sz w:val="20"/>
                <w:szCs w:val="20"/>
              </w:rPr>
              <w:t>ՊԵԿ</w:t>
            </w:r>
            <w:r w:rsidRPr="00BC61ED">
              <w:rPr>
                <w:rFonts w:ascii="GHEA Grapalat" w:hAnsi="GHEA Grapalat" w:cs="Sylfaen"/>
                <w:sz w:val="20"/>
                <w:szCs w:val="20"/>
                <w:lang w:val="fr-FR"/>
              </w:rPr>
              <w:t xml:space="preserve"> </w:t>
            </w:r>
            <w:r w:rsidRPr="00BC61ED">
              <w:rPr>
                <w:rFonts w:ascii="GHEA Grapalat" w:hAnsi="GHEA Grapalat" w:cs="Sylfaen"/>
                <w:sz w:val="20"/>
                <w:szCs w:val="20"/>
              </w:rPr>
              <w:t>գործընթացները՝</w:t>
            </w:r>
            <w:r w:rsidRPr="00BC61ED">
              <w:rPr>
                <w:rFonts w:ascii="GHEA Grapalat" w:hAnsi="GHEA Grapalat" w:cs="Sylfaen"/>
                <w:sz w:val="20"/>
                <w:szCs w:val="20"/>
                <w:lang w:val="fr-FR"/>
              </w:rPr>
              <w:t xml:space="preserve"> ա</w:t>
            </w:r>
            <w:r w:rsidRPr="00BC61ED">
              <w:rPr>
                <w:rFonts w:ascii="GHEA Grapalat" w:hAnsi="GHEA Grapalat"/>
                <w:sz w:val="20"/>
                <w:szCs w:val="20"/>
                <w:lang w:val="fr-FR"/>
              </w:rPr>
              <w:t>ռավելագույնի</w:t>
            </w:r>
            <w:r w:rsidRPr="00BC61ED">
              <w:rPr>
                <w:rFonts w:ascii="GHEA Grapalat" w:hAnsi="GHEA Grapalat" w:cs="Sylfaen"/>
                <w:sz w:val="20"/>
                <w:szCs w:val="20"/>
                <w:lang w:val="fr-FR"/>
              </w:rPr>
              <w:t xml:space="preserve"> հասցնել հարկ վճարողների և ՀՀ ՊԵԿ աշխատակիցների կողմից  ՏՏ  համակարգերի կիրառումը՝ հնարավորինս սահմանափակելով ՀՀ ՊԵԿ-հարկ վճարող անմիջական շփումը:</w:t>
            </w:r>
          </w:p>
        </w:tc>
      </w:tr>
      <w:tr w:rsidR="000C3F90" w:rsidRPr="00DE2EFA" w:rsidTr="00F47DC4">
        <w:tc>
          <w:tcPr>
            <w:tcW w:w="425" w:type="dxa"/>
          </w:tcPr>
          <w:p w:rsidR="000C3F90" w:rsidRPr="00BC61ED" w:rsidRDefault="000C3F90" w:rsidP="00F47DC4">
            <w:pPr>
              <w:spacing w:line="276" w:lineRule="auto"/>
              <w:jc w:val="center"/>
              <w:rPr>
                <w:b/>
                <w:bCs/>
                <w:lang w:val="hy-AM"/>
              </w:rPr>
            </w:pPr>
            <w:r w:rsidRPr="00BC61ED">
              <w:rPr>
                <w:b/>
                <w:bCs/>
                <w:lang w:val="hy-AM"/>
              </w:rPr>
              <w:t>3.</w:t>
            </w:r>
          </w:p>
        </w:tc>
        <w:tc>
          <w:tcPr>
            <w:tcW w:w="11100" w:type="dxa"/>
          </w:tcPr>
          <w:p w:rsidR="000C3F90" w:rsidRPr="00BC61ED" w:rsidRDefault="000C3F90" w:rsidP="00F47DC4">
            <w:pPr>
              <w:spacing w:line="276" w:lineRule="auto"/>
              <w:ind w:firstLine="375"/>
              <w:jc w:val="center"/>
              <w:rPr>
                <w:b/>
                <w:bCs/>
                <w:lang w:val="hy-AM"/>
              </w:rPr>
            </w:pPr>
            <w:r w:rsidRPr="00BC61ED">
              <w:rPr>
                <w:b/>
                <w:bCs/>
                <w:lang w:val="hy-AM"/>
              </w:rPr>
              <w:t>Հարկային մարմին</w:t>
            </w:r>
            <w:r w:rsidRPr="00BC61ED">
              <w:rPr>
                <w:b/>
                <w:bCs/>
                <w:lang w:val="fr-FR"/>
              </w:rPr>
              <w:t xml:space="preserve"> </w:t>
            </w:r>
            <w:r w:rsidRPr="00BC61ED">
              <w:rPr>
                <w:b/>
                <w:bCs/>
                <w:lang w:val="hy-AM"/>
              </w:rPr>
              <w:t>-</w:t>
            </w:r>
            <w:r w:rsidRPr="00BC61ED">
              <w:rPr>
                <w:b/>
                <w:bCs/>
                <w:lang w:val="fr-FR"/>
              </w:rPr>
              <w:t xml:space="preserve"> </w:t>
            </w:r>
            <w:r w:rsidRPr="00BC61ED">
              <w:rPr>
                <w:b/>
                <w:bCs/>
                <w:lang w:val="hy-AM"/>
              </w:rPr>
              <w:t>հարկ վճարող գործընկերային հարաբերությունների ամրապնդում</w:t>
            </w:r>
          </w:p>
          <w:p w:rsidR="000C3F90" w:rsidRPr="00BC61ED" w:rsidRDefault="000C3F90" w:rsidP="00F47DC4">
            <w:pPr>
              <w:spacing w:line="276" w:lineRule="auto"/>
              <w:ind w:firstLine="375"/>
              <w:jc w:val="center"/>
              <w:rPr>
                <w:b/>
                <w:bCs/>
                <w:lang w:val="fr-FR"/>
              </w:rPr>
            </w:pPr>
          </w:p>
          <w:p w:rsidR="000C3F90" w:rsidRPr="00BC61ED" w:rsidRDefault="000C3F90" w:rsidP="00F47DC4">
            <w:pPr>
              <w:spacing w:line="276" w:lineRule="auto"/>
              <w:ind w:firstLine="709"/>
              <w:rPr>
                <w:b/>
                <w:lang w:val="hy-AM"/>
              </w:rPr>
            </w:pPr>
            <w:r w:rsidRPr="00BC61ED">
              <w:rPr>
                <w:b/>
                <w:lang w:val="hy-AM"/>
              </w:rPr>
              <w:t>1. Միջոցառման իրականացման անհրաժեշտությունը և նպատակը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Նշված միջոցառումը պայմանավորված է հարկ վճարողների հետ գործընկերային հարաբերությունների ամրապնդման անհրաժեշտությամբ, որը կանխատեսելի կդարձնի հարկային միջավայրը և կբարելավի հարկային կարգապահությունը:</w:t>
            </w:r>
            <w:r w:rsidRPr="00BC61ED">
              <w:rPr>
                <w:rFonts w:ascii="GHEA Grapalat" w:hAnsi="GHEA Grapalat"/>
                <w:sz w:val="20"/>
                <w:szCs w:val="20"/>
                <w:lang w:val="af-ZA"/>
              </w:rPr>
              <w:t xml:space="preserve"> (ՀՀ Ազգային ժողովի 14.02.2019թ. N ԱԺՈ-002-Ն որոշմամբ հավանության արժանացած Հայաստանի Հանրապետության կառավարության ծրագրի 8.1 կետի 8-րդ և 12-րդ պարբերություններ)</w:t>
            </w:r>
          </w:p>
          <w:p w:rsidR="000C3F90" w:rsidRPr="00BC61ED" w:rsidRDefault="000C3F90" w:rsidP="00F47DC4">
            <w:pPr>
              <w:spacing w:line="276" w:lineRule="auto"/>
              <w:ind w:firstLine="709"/>
              <w:rPr>
                <w:b/>
                <w:lang w:val="fr-FR"/>
              </w:rPr>
            </w:pPr>
            <w:r w:rsidRPr="00BC61ED">
              <w:rPr>
                <w:b/>
                <w:lang w:val="fr-FR"/>
              </w:rPr>
              <w:t xml:space="preserve">1.1. </w:t>
            </w:r>
            <w:r w:rsidRPr="00BC61ED">
              <w:rPr>
                <w:b/>
                <w:lang w:val="hy-AM"/>
              </w:rPr>
              <w:t>կարգավորման</w:t>
            </w:r>
            <w:r w:rsidRPr="00BC61ED">
              <w:rPr>
                <w:b/>
                <w:lang w:val="fr-FR"/>
              </w:rPr>
              <w:t xml:space="preserve"> </w:t>
            </w:r>
            <w:r w:rsidRPr="00BC61ED">
              <w:rPr>
                <w:b/>
              </w:rPr>
              <w:t>հարաբերությունների</w:t>
            </w:r>
            <w:r w:rsidRPr="00BC61ED">
              <w:rPr>
                <w:b/>
                <w:lang w:val="fr-FR"/>
              </w:rPr>
              <w:t xml:space="preserve"> </w:t>
            </w:r>
            <w:r w:rsidRPr="00BC61ED">
              <w:rPr>
                <w:b/>
              </w:rPr>
              <w:t>ներկա</w:t>
            </w:r>
            <w:r w:rsidRPr="00BC61ED">
              <w:rPr>
                <w:b/>
                <w:lang w:val="fr-FR"/>
              </w:rPr>
              <w:t xml:space="preserve"> </w:t>
            </w:r>
            <w:r w:rsidRPr="00BC61ED">
              <w:rPr>
                <w:b/>
              </w:rPr>
              <w:t>վիճակը</w:t>
            </w:r>
            <w:r w:rsidRPr="00BC61ED">
              <w:rPr>
                <w:b/>
                <w:lang w:val="fr-FR"/>
              </w:rPr>
              <w:t xml:space="preserve"> </w:t>
            </w:r>
            <w:r w:rsidRPr="00BC61ED">
              <w:rPr>
                <w:b/>
              </w:rPr>
              <w:t>և</w:t>
            </w:r>
            <w:r w:rsidRPr="00BC61ED">
              <w:rPr>
                <w:b/>
                <w:lang w:val="fr-FR"/>
              </w:rPr>
              <w:t xml:space="preserve"> </w:t>
            </w:r>
            <w:r w:rsidRPr="00BC61ED">
              <w:rPr>
                <w:b/>
              </w:rPr>
              <w:t>առկա</w:t>
            </w:r>
            <w:r w:rsidRPr="00BC61ED">
              <w:rPr>
                <w:b/>
                <w:lang w:val="fr-FR"/>
              </w:rPr>
              <w:t xml:space="preserve"> </w:t>
            </w:r>
            <w:r w:rsidRPr="00BC61ED">
              <w:rPr>
                <w:b/>
              </w:rPr>
              <w:t>խնդիրները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 xml:space="preserve">Վերջին տարիներին լայնածավալ աշխատանքներ են իրականացվել հարկային մարմին-հարկ վճարող գործընկերային հարաբերություններ ձևավորելու ուղղությամբ, բայց այնուամենայնիվ ներկայումս հարկ վճարողների շրջանում դեռևս չկա բավարար չափով վստահություն հարկային և մաքսային մարմինների նկատմամբ: </w:t>
            </w:r>
          </w:p>
          <w:p w:rsidR="000C3F90" w:rsidRPr="00BC61ED" w:rsidRDefault="000C3F90" w:rsidP="00F47DC4">
            <w:pPr>
              <w:spacing w:line="276" w:lineRule="auto"/>
              <w:ind w:firstLine="709"/>
              <w:rPr>
                <w:b/>
                <w:lang w:val="fr-FR"/>
              </w:rPr>
            </w:pPr>
            <w:r w:rsidRPr="00BC61ED">
              <w:rPr>
                <w:b/>
                <w:lang w:val="fr-FR"/>
              </w:rPr>
              <w:t xml:space="preserve">1.2. </w:t>
            </w:r>
            <w:r w:rsidRPr="00BC61ED">
              <w:rPr>
                <w:b/>
              </w:rPr>
              <w:t>առկա</w:t>
            </w:r>
            <w:r w:rsidRPr="00BC61ED">
              <w:rPr>
                <w:b/>
                <w:lang w:val="fr-FR"/>
              </w:rPr>
              <w:t xml:space="preserve"> </w:t>
            </w:r>
            <w:r w:rsidRPr="00BC61ED">
              <w:rPr>
                <w:b/>
              </w:rPr>
              <w:t>խնդիրների</w:t>
            </w:r>
            <w:r w:rsidRPr="00BC61ED">
              <w:rPr>
                <w:b/>
                <w:lang w:val="fr-FR"/>
              </w:rPr>
              <w:t xml:space="preserve"> </w:t>
            </w:r>
            <w:r w:rsidRPr="00BC61ED">
              <w:rPr>
                <w:b/>
              </w:rPr>
              <w:t>առաջարկվող</w:t>
            </w:r>
            <w:r w:rsidRPr="00BC61ED">
              <w:rPr>
                <w:b/>
                <w:lang w:val="fr-FR"/>
              </w:rPr>
              <w:t xml:space="preserve"> </w:t>
            </w:r>
            <w:r w:rsidRPr="00BC61ED">
              <w:rPr>
                <w:b/>
              </w:rPr>
              <w:t>լուծումները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Վերը նշված խնդիրների լուծման նպատակով նախատեսվում է իրականացնել հետևյալ միջոցառումները.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3.1) Ներդնել հորիզոնական մոնիթորինգի համակարգ (հիմք՝ ՀՀ հարկային օրենսգրքի 316-րդ հոդված):</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3.2) Կատարելագործել հարկ վճարողներին իրազեկման և ուսուցման  համակարգը (հիմք՝ ՀՀ հարկային օրենսգրքի 309-րդ հոդված):</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3.3) Կազմակերպել հարկային և մաքսային վարչարարության ընթացակարգերի վերաբերյալ հարցումներ:</w:t>
            </w:r>
          </w:p>
          <w:p w:rsidR="000C3F90" w:rsidRPr="00BC61ED" w:rsidRDefault="000C3F90" w:rsidP="00F47DC4">
            <w:pPr>
              <w:spacing w:line="276" w:lineRule="auto"/>
              <w:ind w:firstLine="709"/>
              <w:rPr>
                <w:b/>
                <w:lang w:val="fr-FR"/>
              </w:rPr>
            </w:pPr>
            <w:r w:rsidRPr="00BC61ED">
              <w:rPr>
                <w:b/>
                <w:lang w:val="fr-FR"/>
              </w:rPr>
              <w:t xml:space="preserve">2. </w:t>
            </w:r>
            <w:r w:rsidRPr="00BC61ED">
              <w:rPr>
                <w:b/>
                <w:lang w:val="hy-AM"/>
              </w:rPr>
              <w:t>Միջոցառման</w:t>
            </w:r>
            <w:r w:rsidRPr="00BC61ED">
              <w:rPr>
                <w:b/>
                <w:lang w:val="fr-FR"/>
              </w:rPr>
              <w:t xml:space="preserve"> </w:t>
            </w:r>
            <w:r w:rsidRPr="00BC61ED">
              <w:rPr>
                <w:b/>
              </w:rPr>
              <w:t>իրականացումից</w:t>
            </w:r>
            <w:r w:rsidRPr="00BC61ED">
              <w:rPr>
                <w:b/>
                <w:lang w:val="fr-FR"/>
              </w:rPr>
              <w:t xml:space="preserve"> </w:t>
            </w:r>
            <w:r w:rsidRPr="00BC61ED">
              <w:rPr>
                <w:b/>
              </w:rPr>
              <w:t>ակնկալվող</w:t>
            </w:r>
            <w:r w:rsidRPr="00BC61ED">
              <w:rPr>
                <w:b/>
                <w:lang w:val="fr-FR"/>
              </w:rPr>
              <w:t xml:space="preserve"> </w:t>
            </w:r>
            <w:r w:rsidRPr="00BC61ED">
              <w:rPr>
                <w:b/>
              </w:rPr>
              <w:t>արդյունքը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 xml:space="preserve">Միջոցառման իրագործման արդյունքում ակնկալվում է ապահովել հարկ վճարողների շրջանում հարկային օրենսդրության և վարչարարության վերաբերյալ իրազեկվածության բավարար մակարդակ: </w:t>
            </w:r>
          </w:p>
        </w:tc>
      </w:tr>
      <w:tr w:rsidR="000C3F90" w:rsidRPr="00DE2EFA" w:rsidTr="00F47DC4">
        <w:tc>
          <w:tcPr>
            <w:tcW w:w="425" w:type="dxa"/>
          </w:tcPr>
          <w:p w:rsidR="000C3F90" w:rsidRPr="00BC61ED" w:rsidRDefault="000C3F90" w:rsidP="00F47DC4">
            <w:pPr>
              <w:spacing w:line="276" w:lineRule="auto"/>
              <w:jc w:val="center"/>
              <w:rPr>
                <w:b/>
                <w:bCs/>
                <w:lang w:val="hy-AM"/>
              </w:rPr>
            </w:pPr>
            <w:r w:rsidRPr="00BC61ED">
              <w:rPr>
                <w:b/>
                <w:bCs/>
                <w:lang w:val="hy-AM"/>
              </w:rPr>
              <w:t>4.</w:t>
            </w:r>
          </w:p>
        </w:tc>
        <w:tc>
          <w:tcPr>
            <w:tcW w:w="11100" w:type="dxa"/>
          </w:tcPr>
          <w:p w:rsidR="000C3F90" w:rsidRPr="00BC61ED" w:rsidRDefault="000C3F90" w:rsidP="00F47DC4">
            <w:pPr>
              <w:spacing w:line="276" w:lineRule="auto"/>
              <w:ind w:firstLine="375"/>
              <w:jc w:val="center"/>
              <w:rPr>
                <w:b/>
                <w:bCs/>
                <w:lang w:val="hy-AM"/>
              </w:rPr>
            </w:pPr>
            <w:r w:rsidRPr="00BC61ED">
              <w:rPr>
                <w:b/>
                <w:bCs/>
                <w:lang w:val="hy-AM"/>
              </w:rPr>
              <w:t>Գործարար</w:t>
            </w:r>
            <w:r w:rsidRPr="00BC61ED">
              <w:rPr>
                <w:b/>
                <w:bCs/>
                <w:lang w:val="fr-FR"/>
              </w:rPr>
              <w:t xml:space="preserve"> </w:t>
            </w:r>
            <w:r w:rsidRPr="00BC61ED">
              <w:rPr>
                <w:b/>
                <w:bCs/>
                <w:lang w:val="hy-AM"/>
              </w:rPr>
              <w:t>միջավայրի</w:t>
            </w:r>
            <w:r w:rsidRPr="00BC61ED">
              <w:rPr>
                <w:b/>
                <w:bCs/>
                <w:lang w:val="fr-FR"/>
              </w:rPr>
              <w:t xml:space="preserve"> </w:t>
            </w:r>
            <w:r w:rsidRPr="00BC61ED">
              <w:rPr>
                <w:b/>
                <w:bCs/>
                <w:lang w:val="hy-AM"/>
              </w:rPr>
              <w:t>բարելավմանն</w:t>
            </w:r>
            <w:r w:rsidRPr="00BC61ED">
              <w:rPr>
                <w:b/>
                <w:bCs/>
                <w:lang w:val="fr-FR"/>
              </w:rPr>
              <w:t xml:space="preserve"> </w:t>
            </w:r>
            <w:r w:rsidRPr="00BC61ED">
              <w:rPr>
                <w:b/>
                <w:bCs/>
                <w:lang w:val="hy-AM"/>
              </w:rPr>
              <w:t>ուղղված</w:t>
            </w:r>
            <w:r w:rsidRPr="00BC61ED">
              <w:rPr>
                <w:b/>
                <w:bCs/>
                <w:lang w:val="fr-FR"/>
              </w:rPr>
              <w:t xml:space="preserve"> </w:t>
            </w:r>
            <w:r w:rsidRPr="00BC61ED">
              <w:rPr>
                <w:b/>
                <w:bCs/>
                <w:lang w:val="hy-AM"/>
              </w:rPr>
              <w:t>վարչարարության</w:t>
            </w:r>
            <w:r w:rsidRPr="00BC61ED">
              <w:rPr>
                <w:b/>
                <w:bCs/>
                <w:lang w:val="fr-FR"/>
              </w:rPr>
              <w:t xml:space="preserve"> </w:t>
            </w:r>
            <w:r w:rsidRPr="00BC61ED">
              <w:rPr>
                <w:b/>
                <w:bCs/>
                <w:lang w:val="hy-AM"/>
              </w:rPr>
              <w:t>կազմակերպում</w:t>
            </w:r>
          </w:p>
          <w:p w:rsidR="000C3F90" w:rsidRPr="00BC61ED" w:rsidRDefault="000C3F90" w:rsidP="00F47DC4">
            <w:pPr>
              <w:spacing w:line="276" w:lineRule="auto"/>
              <w:ind w:firstLine="375"/>
              <w:jc w:val="center"/>
              <w:rPr>
                <w:b/>
                <w:bCs/>
                <w:lang w:val="fr-FR"/>
              </w:rPr>
            </w:pPr>
          </w:p>
          <w:p w:rsidR="000C3F90" w:rsidRPr="00BC61ED" w:rsidRDefault="000C3F90" w:rsidP="00F47DC4">
            <w:pPr>
              <w:spacing w:line="276" w:lineRule="auto"/>
              <w:ind w:firstLine="709"/>
              <w:rPr>
                <w:b/>
                <w:lang w:val="fr-FR"/>
              </w:rPr>
            </w:pPr>
            <w:r w:rsidRPr="00BC61ED">
              <w:rPr>
                <w:b/>
                <w:lang w:val="fr-FR"/>
              </w:rPr>
              <w:t xml:space="preserve">1. </w:t>
            </w:r>
            <w:r w:rsidRPr="00BC61ED">
              <w:rPr>
                <w:b/>
                <w:lang w:val="hy-AM"/>
              </w:rPr>
              <w:t>Միջոցառման</w:t>
            </w:r>
            <w:r w:rsidRPr="00BC61ED">
              <w:rPr>
                <w:b/>
                <w:lang w:val="fr-FR"/>
              </w:rPr>
              <w:t xml:space="preserve"> </w:t>
            </w:r>
            <w:r w:rsidRPr="00BC61ED">
              <w:rPr>
                <w:b/>
                <w:lang w:val="hy-AM"/>
              </w:rPr>
              <w:t>իրականացման</w:t>
            </w:r>
            <w:r w:rsidRPr="00BC61ED">
              <w:rPr>
                <w:b/>
                <w:lang w:val="fr-FR"/>
              </w:rPr>
              <w:t xml:space="preserve"> </w:t>
            </w:r>
            <w:r w:rsidRPr="00BC61ED">
              <w:rPr>
                <w:b/>
                <w:lang w:val="hy-AM"/>
              </w:rPr>
              <w:t>անհրաժեշտությունը</w:t>
            </w:r>
            <w:r w:rsidRPr="00BC61ED">
              <w:rPr>
                <w:b/>
                <w:lang w:val="fr-FR"/>
              </w:rPr>
              <w:t xml:space="preserve"> </w:t>
            </w:r>
            <w:r w:rsidRPr="00BC61ED">
              <w:rPr>
                <w:b/>
                <w:lang w:val="hy-AM"/>
              </w:rPr>
              <w:t>և</w:t>
            </w:r>
            <w:r w:rsidRPr="00BC61ED">
              <w:rPr>
                <w:b/>
                <w:lang w:val="fr-FR"/>
              </w:rPr>
              <w:t xml:space="preserve"> </w:t>
            </w:r>
            <w:r w:rsidRPr="00BC61ED">
              <w:rPr>
                <w:b/>
                <w:lang w:val="hy-AM"/>
              </w:rPr>
              <w:t>նպատակը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Նշված միջոցառման իրականացումը պայմանավորված է հարկ վճարողների կողմից հարկերի վճարման և արտաքին տնտեսական գործունեությամբ զբաղվելու գործընթացների բարելավման անհրաժեշտությամբ՝ նպատակ ունենալով բարձրացնելու միջազգային վարկանիշային սանդղակում հարկային և մաքսային մարմինների մրցունակությունը, ինչպես նաև ՀՀ ներդրումային միջավայրի գրավչությունը: (</w:t>
            </w:r>
            <w:r w:rsidRPr="00BC61ED">
              <w:rPr>
                <w:rFonts w:ascii="GHEA Grapalat" w:hAnsi="GHEA Grapalat"/>
                <w:sz w:val="20"/>
                <w:szCs w:val="20"/>
                <w:lang w:val="af-ZA"/>
              </w:rPr>
              <w:t>ՀՀ Ազգային ժողովի 14.02.2019թ. N ԱԺՈ-002-Ն որոշմամբ հավանության արժանացած Հայաստանի Հանրապետության կառավարության ծրագրի 8.1 կետի 1-ին, 9-րդ պարբերություններ և 5.4 կետի 4-րդ պարբերություն)</w:t>
            </w:r>
          </w:p>
          <w:p w:rsidR="000C3F90" w:rsidRPr="00BC61ED" w:rsidRDefault="000C3F90" w:rsidP="00F47DC4">
            <w:pPr>
              <w:spacing w:line="276" w:lineRule="auto"/>
              <w:ind w:firstLine="709"/>
              <w:rPr>
                <w:b/>
                <w:lang w:val="fr-FR"/>
              </w:rPr>
            </w:pPr>
            <w:r w:rsidRPr="00BC61ED">
              <w:rPr>
                <w:b/>
                <w:lang w:val="fr-FR"/>
              </w:rPr>
              <w:t xml:space="preserve">1.1. </w:t>
            </w:r>
            <w:r w:rsidRPr="00BC61ED">
              <w:rPr>
                <w:b/>
                <w:lang w:val="hy-AM"/>
              </w:rPr>
              <w:t>կարգավորման</w:t>
            </w:r>
            <w:r w:rsidRPr="00BC61ED">
              <w:rPr>
                <w:b/>
                <w:lang w:val="fr-FR"/>
              </w:rPr>
              <w:t xml:space="preserve"> </w:t>
            </w:r>
            <w:r w:rsidRPr="00BC61ED">
              <w:rPr>
                <w:b/>
              </w:rPr>
              <w:t>հարաբերությունների</w:t>
            </w:r>
            <w:r w:rsidRPr="00BC61ED">
              <w:rPr>
                <w:b/>
                <w:lang w:val="fr-FR"/>
              </w:rPr>
              <w:t xml:space="preserve"> </w:t>
            </w:r>
            <w:r w:rsidRPr="00BC61ED">
              <w:rPr>
                <w:b/>
              </w:rPr>
              <w:t>ներկա</w:t>
            </w:r>
            <w:r w:rsidRPr="00BC61ED">
              <w:rPr>
                <w:b/>
                <w:lang w:val="fr-FR"/>
              </w:rPr>
              <w:t xml:space="preserve"> </w:t>
            </w:r>
            <w:r w:rsidRPr="00BC61ED">
              <w:rPr>
                <w:b/>
              </w:rPr>
              <w:t>վիճակը</w:t>
            </w:r>
            <w:r w:rsidRPr="00BC61ED">
              <w:rPr>
                <w:b/>
                <w:lang w:val="fr-FR"/>
              </w:rPr>
              <w:t xml:space="preserve"> </w:t>
            </w:r>
            <w:r w:rsidRPr="00BC61ED">
              <w:rPr>
                <w:b/>
              </w:rPr>
              <w:t>և</w:t>
            </w:r>
            <w:r w:rsidRPr="00BC61ED">
              <w:rPr>
                <w:b/>
                <w:lang w:val="fr-FR"/>
              </w:rPr>
              <w:t xml:space="preserve"> </w:t>
            </w:r>
            <w:r w:rsidRPr="00BC61ED">
              <w:rPr>
                <w:b/>
              </w:rPr>
              <w:t>առկա</w:t>
            </w:r>
            <w:r w:rsidRPr="00BC61ED">
              <w:rPr>
                <w:b/>
                <w:lang w:val="fr-FR"/>
              </w:rPr>
              <w:t xml:space="preserve"> </w:t>
            </w:r>
            <w:r w:rsidRPr="00BC61ED">
              <w:rPr>
                <w:b/>
              </w:rPr>
              <w:t>խնդիրները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Գործարար միջավայրի բարելավման ուղղությամբ իրականացվել են լայնածավալ աշխատանքներ, սակայն այս տեսանկյունից հարկային և մաքսային վարչարարությունը դեռևս զիջում է միջազգային լավագույն փորձին, ինչն էլ իր հերթին ազդեցություն է թողնում ձեռնարկատիրական գործունեության և ներդրումային միջավայրի վրա:</w:t>
            </w:r>
          </w:p>
          <w:p w:rsidR="000C3F90" w:rsidRPr="00BC61ED" w:rsidRDefault="000C3F90" w:rsidP="00F47DC4">
            <w:pPr>
              <w:spacing w:line="276" w:lineRule="auto"/>
              <w:ind w:firstLine="709"/>
              <w:rPr>
                <w:b/>
                <w:lang w:val="fr-FR"/>
              </w:rPr>
            </w:pPr>
            <w:r w:rsidRPr="00BC61ED">
              <w:rPr>
                <w:b/>
                <w:lang w:val="fr-FR"/>
              </w:rPr>
              <w:t xml:space="preserve">1.2. </w:t>
            </w:r>
            <w:r w:rsidRPr="00BC61ED">
              <w:rPr>
                <w:b/>
                <w:lang w:val="hy-AM"/>
              </w:rPr>
              <w:t>առկա</w:t>
            </w:r>
            <w:r w:rsidRPr="00BC61ED">
              <w:rPr>
                <w:b/>
                <w:lang w:val="fr-FR"/>
              </w:rPr>
              <w:t xml:space="preserve"> </w:t>
            </w:r>
            <w:r w:rsidRPr="00BC61ED">
              <w:rPr>
                <w:b/>
              </w:rPr>
              <w:t>խնդիրների</w:t>
            </w:r>
            <w:r w:rsidRPr="00BC61ED">
              <w:rPr>
                <w:b/>
                <w:lang w:val="fr-FR"/>
              </w:rPr>
              <w:t xml:space="preserve"> </w:t>
            </w:r>
            <w:r w:rsidRPr="00BC61ED">
              <w:rPr>
                <w:b/>
              </w:rPr>
              <w:t>առաջարկվող</w:t>
            </w:r>
            <w:r w:rsidRPr="00BC61ED">
              <w:rPr>
                <w:b/>
                <w:lang w:val="fr-FR"/>
              </w:rPr>
              <w:t xml:space="preserve"> </w:t>
            </w:r>
            <w:r w:rsidRPr="00BC61ED">
              <w:rPr>
                <w:b/>
              </w:rPr>
              <w:t>լուծումները</w:t>
            </w:r>
            <w:r w:rsidRPr="00BC61ED">
              <w:rPr>
                <w:b/>
                <w:lang w:val="fr-FR"/>
              </w:rPr>
              <w:t xml:space="preserve"> </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Վերը նշված խնդիրների լուծման նպատակով նախատեսվում է իրականացնել հետևյալ միջոցառումները.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4.1) և 4.2)  Կրճատել ԱԱՀ գումարների վերադարձի (միասնական գանձապետական հաշվին փոխանցման) ժամկետները (հիմք՝ ՀՀ հարկային օրենսգրքի 348-րդ հոդված):</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4.3) Ընդլայնել հարկային մարմնի և հարկ վճարողների էլեկտրոնային եղանակով  հաղորդակցվելու հնարավորությունը: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 xml:space="preserve">4.4) Գործարկել հարկերի վճարման էլեկտրոնային համակարգը (հիմք՝ ՀՀ հարկային օրենսգրքի 313.1 հոդված): </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 xml:space="preserve">4.5) Ընդլայնել հարկային հաշվարկների ինքնաշխատ լրացման Pre-filing համակարգի շրջանակները: </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4.6) Ստեղծել մաքսային ձևակերպումների ժամանակակից կենտրոն:</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4.7) Ապահովել հարկային մարմնի յուրաքանչյուր սպասարկման կենտրոնին բոլոր սպասարկման կենտրոնների կողմից մատուցված ծառայությունների միասնական շտեմարանին հասանելիությունը: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4.8) Կրճատել սահմա</w:t>
            </w:r>
            <w:r w:rsidRPr="00BC61ED">
              <w:rPr>
                <w:rFonts w:ascii="GHEA Grapalat" w:hAnsi="GHEA Grapalat"/>
                <w:sz w:val="20"/>
                <w:szCs w:val="20"/>
                <w:lang w:val="fr-FR"/>
              </w:rPr>
              <w:softHyphen/>
              <w:t>նահատ</w:t>
            </w:r>
            <w:r w:rsidRPr="00BC61ED">
              <w:rPr>
                <w:rFonts w:ascii="GHEA Grapalat" w:hAnsi="GHEA Grapalat"/>
                <w:sz w:val="20"/>
                <w:szCs w:val="20"/>
                <w:lang w:val="fr-FR"/>
              </w:rPr>
              <w:softHyphen/>
              <w:t>ման գործընթացում ծախսվող ժամանակը:</w:t>
            </w:r>
          </w:p>
          <w:p w:rsidR="000C3F90" w:rsidRPr="00BC61ED" w:rsidRDefault="000C3F90" w:rsidP="00F47DC4">
            <w:pPr>
              <w:spacing w:line="276" w:lineRule="auto"/>
              <w:ind w:firstLine="709"/>
              <w:rPr>
                <w:b/>
                <w:lang w:val="fr-FR"/>
              </w:rPr>
            </w:pPr>
            <w:r w:rsidRPr="00BC61ED">
              <w:rPr>
                <w:b/>
                <w:lang w:val="fr-FR"/>
              </w:rPr>
              <w:t xml:space="preserve">2. </w:t>
            </w:r>
            <w:r w:rsidRPr="00BC61ED">
              <w:rPr>
                <w:b/>
                <w:lang w:val="hy-AM"/>
              </w:rPr>
              <w:t>Միջոցառման</w:t>
            </w:r>
            <w:r w:rsidRPr="00BC61ED">
              <w:rPr>
                <w:b/>
                <w:lang w:val="fr-FR"/>
              </w:rPr>
              <w:t xml:space="preserve"> </w:t>
            </w:r>
            <w:r w:rsidRPr="00BC61ED">
              <w:rPr>
                <w:b/>
              </w:rPr>
              <w:t>իրականացումից</w:t>
            </w:r>
            <w:r w:rsidRPr="00BC61ED">
              <w:rPr>
                <w:b/>
                <w:lang w:val="fr-FR"/>
              </w:rPr>
              <w:t xml:space="preserve"> </w:t>
            </w:r>
            <w:r w:rsidRPr="00BC61ED">
              <w:rPr>
                <w:b/>
              </w:rPr>
              <w:t>ակնկալվող</w:t>
            </w:r>
            <w:r w:rsidRPr="00BC61ED">
              <w:rPr>
                <w:b/>
                <w:lang w:val="fr-FR"/>
              </w:rPr>
              <w:t xml:space="preserve"> </w:t>
            </w:r>
            <w:r w:rsidRPr="00BC61ED">
              <w:rPr>
                <w:b/>
              </w:rPr>
              <w:t>արդյունքը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Միջոցառման իրականացման արդյունքում ակնկալվում է բարելավել գործարար միջավայրը՝ հարկային և մաքսային պարտավորությունները կատարելը դարձնելով առավել պարզ և հարմարավետ:</w:t>
            </w:r>
          </w:p>
        </w:tc>
      </w:tr>
      <w:tr w:rsidR="000C3F90" w:rsidRPr="00DE2EFA" w:rsidTr="00F47DC4">
        <w:tc>
          <w:tcPr>
            <w:tcW w:w="425" w:type="dxa"/>
          </w:tcPr>
          <w:p w:rsidR="000C3F90" w:rsidRPr="00BC61ED" w:rsidRDefault="000C3F90" w:rsidP="00F47DC4">
            <w:pPr>
              <w:spacing w:line="276" w:lineRule="auto"/>
              <w:jc w:val="center"/>
              <w:rPr>
                <w:b/>
                <w:bCs/>
                <w:lang w:val="hy-AM"/>
              </w:rPr>
            </w:pPr>
            <w:r w:rsidRPr="00BC61ED">
              <w:rPr>
                <w:b/>
                <w:bCs/>
                <w:lang w:val="hy-AM"/>
              </w:rPr>
              <w:t>5.</w:t>
            </w:r>
          </w:p>
        </w:tc>
        <w:tc>
          <w:tcPr>
            <w:tcW w:w="11100" w:type="dxa"/>
          </w:tcPr>
          <w:p w:rsidR="000C3F90" w:rsidRPr="00BC61ED" w:rsidRDefault="000C3F90" w:rsidP="00F47DC4">
            <w:pPr>
              <w:spacing w:line="276" w:lineRule="auto"/>
              <w:ind w:firstLine="375"/>
              <w:jc w:val="center"/>
              <w:rPr>
                <w:b/>
                <w:bCs/>
                <w:lang w:val="fr-FR"/>
              </w:rPr>
            </w:pPr>
            <w:r w:rsidRPr="00BC61ED">
              <w:rPr>
                <w:b/>
                <w:bCs/>
                <w:lang w:val="fr-FR"/>
              </w:rPr>
              <w:t>Հարկային և մաքսային մարմինների կառավարման համակարգի կատարելագործում</w:t>
            </w:r>
          </w:p>
          <w:p w:rsidR="000C3F90" w:rsidRPr="00BC61ED" w:rsidRDefault="000C3F90" w:rsidP="00F47DC4">
            <w:pPr>
              <w:spacing w:line="276" w:lineRule="auto"/>
              <w:ind w:firstLine="375"/>
              <w:jc w:val="center"/>
              <w:rPr>
                <w:b/>
                <w:bCs/>
                <w:lang w:val="fr-FR"/>
              </w:rPr>
            </w:pPr>
          </w:p>
          <w:p w:rsidR="000C3F90" w:rsidRPr="00BC61ED" w:rsidRDefault="000C3F90" w:rsidP="00F47DC4">
            <w:pPr>
              <w:spacing w:line="276" w:lineRule="auto"/>
              <w:ind w:firstLine="709"/>
              <w:rPr>
                <w:b/>
                <w:lang w:val="fr-FR"/>
              </w:rPr>
            </w:pPr>
            <w:r w:rsidRPr="00BC61ED">
              <w:rPr>
                <w:b/>
                <w:lang w:val="fr-FR"/>
              </w:rPr>
              <w:t xml:space="preserve">1. </w:t>
            </w:r>
            <w:r w:rsidRPr="00BC61ED">
              <w:rPr>
                <w:b/>
                <w:lang w:val="hy-AM"/>
              </w:rPr>
              <w:t>Միջոցառման</w:t>
            </w:r>
            <w:r w:rsidRPr="00BC61ED">
              <w:rPr>
                <w:b/>
                <w:lang w:val="fr-FR"/>
              </w:rPr>
              <w:t xml:space="preserve"> </w:t>
            </w:r>
            <w:r w:rsidRPr="00BC61ED">
              <w:rPr>
                <w:b/>
                <w:lang w:val="hy-AM"/>
              </w:rPr>
              <w:t>իրականացման</w:t>
            </w:r>
            <w:r w:rsidRPr="00BC61ED">
              <w:rPr>
                <w:b/>
                <w:lang w:val="fr-FR"/>
              </w:rPr>
              <w:t xml:space="preserve"> </w:t>
            </w:r>
            <w:r w:rsidRPr="00BC61ED">
              <w:rPr>
                <w:b/>
                <w:lang w:val="hy-AM"/>
              </w:rPr>
              <w:t>անհրաժեշտությունը</w:t>
            </w:r>
            <w:r w:rsidRPr="00BC61ED">
              <w:rPr>
                <w:b/>
                <w:lang w:val="fr-FR"/>
              </w:rPr>
              <w:t xml:space="preserve"> </w:t>
            </w:r>
            <w:r w:rsidRPr="00BC61ED">
              <w:rPr>
                <w:b/>
                <w:lang w:val="hy-AM"/>
              </w:rPr>
              <w:t>և</w:t>
            </w:r>
            <w:r w:rsidRPr="00BC61ED">
              <w:rPr>
                <w:b/>
                <w:lang w:val="fr-FR"/>
              </w:rPr>
              <w:t xml:space="preserve"> </w:t>
            </w:r>
            <w:r w:rsidRPr="00BC61ED">
              <w:rPr>
                <w:b/>
                <w:lang w:val="hy-AM"/>
              </w:rPr>
              <w:t>նպատակը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Նշված միջոցառումը պայմանավորված է հարկային և մաքսային մարմինների կառավարման գործընթացների կատարելագործման անհրաժեշտությամբ: (</w:t>
            </w:r>
            <w:r w:rsidRPr="00BC61ED">
              <w:rPr>
                <w:rFonts w:ascii="GHEA Grapalat" w:hAnsi="GHEA Grapalat"/>
                <w:sz w:val="20"/>
                <w:szCs w:val="20"/>
                <w:lang w:val="af-ZA"/>
              </w:rPr>
              <w:t>ՀՀ Ազգային ժողովի 14.02.2019թ. N ԱԺՈ-002-Ն որոշմամբ հավանության արժանացած Հայաստանի Հանրապետության կառավարության ծրագրի 3.2 կետ)</w:t>
            </w:r>
          </w:p>
          <w:p w:rsidR="000C3F90" w:rsidRPr="00BC61ED" w:rsidRDefault="000C3F90" w:rsidP="00F47DC4">
            <w:pPr>
              <w:spacing w:line="276" w:lineRule="auto"/>
              <w:ind w:firstLine="709"/>
              <w:rPr>
                <w:b/>
                <w:lang w:val="hy-AM"/>
              </w:rPr>
            </w:pPr>
            <w:r w:rsidRPr="00BC61ED">
              <w:rPr>
                <w:b/>
                <w:lang w:val="hy-AM"/>
              </w:rPr>
              <w:t xml:space="preserve">1.1. </w:t>
            </w:r>
            <w:r w:rsidRPr="00BC61ED">
              <w:rPr>
                <w:b/>
                <w:lang w:val="fr-FR"/>
              </w:rPr>
              <w:t>կարգավորման</w:t>
            </w:r>
            <w:r w:rsidRPr="00BC61ED">
              <w:rPr>
                <w:b/>
                <w:lang w:val="hy-AM"/>
              </w:rPr>
              <w:t xml:space="preserve"> հարաբերությունների ներկա վիճակը և առկա խնդիրները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ՊԵԿ կողմից կարևորվում է հարկային և մաքսային մարմինների կառավարման համակարգի կատարելագործումը և գործընթացների վերակառուցումը, ինչը կհանգեցնի մարդկային ռեսուրսների կառավարման և աշխատանքի արդյունա</w:t>
            </w:r>
            <w:r w:rsidRPr="00BC61ED">
              <w:rPr>
                <w:rFonts w:ascii="GHEA Grapalat" w:hAnsi="GHEA Grapalat"/>
                <w:sz w:val="20"/>
                <w:szCs w:val="20"/>
                <w:lang w:val="fr-FR"/>
              </w:rPr>
              <w:softHyphen/>
              <w:t>վետության բարձրա</w:t>
            </w:r>
            <w:r w:rsidRPr="00BC61ED">
              <w:rPr>
                <w:rFonts w:ascii="GHEA Grapalat" w:hAnsi="GHEA Grapalat"/>
                <w:sz w:val="20"/>
                <w:szCs w:val="20"/>
                <w:lang w:val="fr-FR"/>
              </w:rPr>
              <w:softHyphen/>
              <w:t>ցմանը, ինչպես նաև հարկային և մաքսային ծառայողների մասնագի</w:t>
            </w:r>
            <w:r w:rsidRPr="00BC61ED">
              <w:rPr>
                <w:rFonts w:ascii="GHEA Grapalat" w:hAnsi="GHEA Grapalat"/>
                <w:sz w:val="20"/>
                <w:szCs w:val="20"/>
                <w:lang w:val="fr-FR"/>
              </w:rPr>
              <w:softHyphen/>
              <w:t>տական գիտելիքների, աշխատանքային ունակությունների և կոռուպցիայի ընկալման  մակարդակի բարձրացմանը:</w:t>
            </w:r>
          </w:p>
          <w:p w:rsidR="000C3F90" w:rsidRPr="00BC61ED" w:rsidRDefault="000C3F90" w:rsidP="00F47DC4">
            <w:pPr>
              <w:spacing w:line="276" w:lineRule="auto"/>
              <w:ind w:firstLine="709"/>
              <w:rPr>
                <w:b/>
                <w:lang w:val="fr-FR"/>
              </w:rPr>
            </w:pPr>
            <w:r w:rsidRPr="00BC61ED">
              <w:rPr>
                <w:b/>
                <w:lang w:val="fr-FR"/>
              </w:rPr>
              <w:t>1.</w:t>
            </w:r>
            <w:r w:rsidRPr="00BC61ED">
              <w:rPr>
                <w:b/>
                <w:lang w:val="hy-AM"/>
              </w:rPr>
              <w:t xml:space="preserve">2. </w:t>
            </w:r>
            <w:r w:rsidRPr="00BC61ED">
              <w:rPr>
                <w:b/>
                <w:lang w:val="fr-FR"/>
              </w:rPr>
              <w:t>առկա</w:t>
            </w:r>
            <w:r w:rsidRPr="00BC61ED">
              <w:rPr>
                <w:b/>
                <w:lang w:val="hy-AM"/>
              </w:rPr>
              <w:t xml:space="preserve"> խնդիրների</w:t>
            </w:r>
            <w:r w:rsidRPr="00BC61ED">
              <w:rPr>
                <w:b/>
                <w:lang w:val="fr-FR"/>
              </w:rPr>
              <w:t xml:space="preserve"> </w:t>
            </w:r>
            <w:r w:rsidRPr="00BC61ED">
              <w:rPr>
                <w:b/>
                <w:lang w:val="hy-AM"/>
              </w:rPr>
              <w:t>առաջարկվող</w:t>
            </w:r>
            <w:r w:rsidRPr="00BC61ED">
              <w:rPr>
                <w:b/>
                <w:lang w:val="fr-FR"/>
              </w:rPr>
              <w:t xml:space="preserve"> </w:t>
            </w:r>
            <w:r w:rsidRPr="00BC61ED">
              <w:rPr>
                <w:b/>
                <w:lang w:val="hy-AM"/>
              </w:rPr>
              <w:t>լուծումները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Վերը նշված խնդիրների լուծման նպատակով նախատեսվում է իրականացնել հետևյալ միջոցառումները.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5.1) Մշակել և իրականացնել հարկային և մաքսային ծառայողների ուսում</w:t>
            </w:r>
            <w:r w:rsidRPr="00BC61ED">
              <w:rPr>
                <w:rFonts w:ascii="GHEA Grapalat" w:hAnsi="GHEA Grapalat"/>
                <w:sz w:val="20"/>
                <w:szCs w:val="20"/>
                <w:lang w:val="fr-FR"/>
              </w:rPr>
              <w:softHyphen/>
            </w:r>
            <w:r w:rsidRPr="00BC61ED">
              <w:rPr>
                <w:rFonts w:ascii="GHEA Grapalat" w:hAnsi="GHEA Grapalat"/>
                <w:sz w:val="20"/>
                <w:szCs w:val="20"/>
                <w:lang w:val="fr-FR"/>
              </w:rPr>
              <w:softHyphen/>
              <w:t>նական և վերապատրաստման ծրագրե</w:t>
            </w:r>
            <w:r w:rsidRPr="00BC61ED">
              <w:rPr>
                <w:rFonts w:ascii="GHEA Grapalat" w:hAnsi="GHEA Grapalat"/>
                <w:sz w:val="20"/>
                <w:szCs w:val="20"/>
                <w:lang w:val="fr-FR"/>
              </w:rPr>
              <w:softHyphen/>
              <w:t>ր:</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5.2) Խստացնել հարկային և մաքսային ծառայողների գործողությունների նկատմամբ վերահսկողությունը՝ կոռուպցիոն և հովանավորչության դեպքերի բացահայտման ուղղությամբ:</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5.3) Հարկային վարչարարության բարեփոխումների շրջանակում սահմանել հարկային համակարգի օպտիմալ կառուցվածք, կատարելագործել հարկային մարմնի կողմից իրականացվող հսկողական մեխանիզմները, վերացնել գործառույթների կրկնությունները: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 xml:space="preserve">5.4) </w:t>
            </w:r>
            <w:r w:rsidRPr="00BC61ED">
              <w:rPr>
                <w:rFonts w:ascii="GHEA Grapalat" w:hAnsi="GHEA Grapalat"/>
                <w:sz w:val="20"/>
                <w:szCs w:val="20"/>
              </w:rPr>
              <w:t>Մաքսային</w:t>
            </w:r>
            <w:r w:rsidRPr="00BC61ED">
              <w:rPr>
                <w:rFonts w:ascii="GHEA Grapalat" w:hAnsi="GHEA Grapalat"/>
                <w:sz w:val="20"/>
                <w:szCs w:val="20"/>
                <w:lang w:val="af-ZA"/>
              </w:rPr>
              <w:t xml:space="preserve"> </w:t>
            </w:r>
            <w:r w:rsidRPr="00BC61ED">
              <w:rPr>
                <w:rFonts w:ascii="GHEA Grapalat" w:hAnsi="GHEA Grapalat"/>
                <w:sz w:val="20"/>
                <w:szCs w:val="20"/>
              </w:rPr>
              <w:t>գործի</w:t>
            </w:r>
            <w:r w:rsidRPr="00BC61ED">
              <w:rPr>
                <w:rFonts w:ascii="GHEA Grapalat" w:hAnsi="GHEA Grapalat"/>
                <w:sz w:val="20"/>
                <w:szCs w:val="20"/>
                <w:lang w:val="af-ZA"/>
              </w:rPr>
              <w:t xml:space="preserve"> </w:t>
            </w:r>
            <w:r w:rsidRPr="00BC61ED">
              <w:rPr>
                <w:rFonts w:ascii="GHEA Grapalat" w:hAnsi="GHEA Grapalat"/>
                <w:sz w:val="20"/>
                <w:szCs w:val="20"/>
              </w:rPr>
              <w:t>իրականացման</w:t>
            </w:r>
            <w:r w:rsidRPr="00BC61ED">
              <w:rPr>
                <w:rFonts w:ascii="GHEA Grapalat" w:hAnsi="GHEA Grapalat"/>
                <w:sz w:val="20"/>
                <w:szCs w:val="20"/>
                <w:lang w:val="af-ZA"/>
              </w:rPr>
              <w:t xml:space="preserve"> </w:t>
            </w:r>
            <w:r w:rsidRPr="00BC61ED">
              <w:rPr>
                <w:rFonts w:ascii="GHEA Grapalat" w:hAnsi="GHEA Grapalat"/>
                <w:sz w:val="20"/>
                <w:szCs w:val="20"/>
              </w:rPr>
              <w:t>նպատակով</w:t>
            </w:r>
            <w:r w:rsidRPr="00BC61ED">
              <w:rPr>
                <w:rFonts w:ascii="GHEA Grapalat" w:hAnsi="GHEA Grapalat"/>
                <w:sz w:val="20"/>
                <w:szCs w:val="20"/>
                <w:lang w:val="fr-FR"/>
              </w:rPr>
              <w:t xml:space="preserve"> մ</w:t>
            </w:r>
            <w:r w:rsidRPr="00BC61ED">
              <w:rPr>
                <w:rFonts w:ascii="GHEA Grapalat" w:hAnsi="GHEA Grapalat"/>
                <w:sz w:val="20"/>
                <w:szCs w:val="20"/>
              </w:rPr>
              <w:t>աքսային</w:t>
            </w:r>
            <w:r w:rsidRPr="00BC61ED">
              <w:rPr>
                <w:rFonts w:ascii="GHEA Grapalat" w:hAnsi="GHEA Grapalat"/>
                <w:sz w:val="20"/>
                <w:szCs w:val="20"/>
                <w:lang w:val="fr-FR"/>
              </w:rPr>
              <w:t xml:space="preserve"> </w:t>
            </w:r>
            <w:r w:rsidRPr="00BC61ED">
              <w:rPr>
                <w:rFonts w:ascii="GHEA Grapalat" w:hAnsi="GHEA Grapalat"/>
                <w:sz w:val="20"/>
                <w:szCs w:val="20"/>
              </w:rPr>
              <w:t>լաբարատորիայի</w:t>
            </w:r>
            <w:r w:rsidRPr="00BC61ED">
              <w:rPr>
                <w:rFonts w:ascii="GHEA Grapalat" w:hAnsi="GHEA Grapalat"/>
                <w:sz w:val="20"/>
                <w:szCs w:val="20"/>
                <w:lang w:val="fr-FR"/>
              </w:rPr>
              <w:t xml:space="preserve"> </w:t>
            </w:r>
            <w:r w:rsidRPr="00BC61ED">
              <w:rPr>
                <w:rFonts w:ascii="GHEA Grapalat" w:hAnsi="GHEA Grapalat"/>
                <w:sz w:val="20"/>
                <w:szCs w:val="20"/>
              </w:rPr>
              <w:t>հիմնադրում</w:t>
            </w:r>
            <w:r w:rsidRPr="00BC61ED">
              <w:rPr>
                <w:rFonts w:ascii="GHEA Grapalat" w:hAnsi="GHEA Grapalat"/>
                <w:sz w:val="20"/>
                <w:szCs w:val="20"/>
                <w:lang w:val="fr-FR"/>
              </w:rPr>
              <w:t>:</w:t>
            </w:r>
          </w:p>
          <w:p w:rsidR="000C3F90" w:rsidRPr="00BC61ED" w:rsidRDefault="000C3F90" w:rsidP="00F47DC4">
            <w:pPr>
              <w:spacing w:line="276" w:lineRule="auto"/>
              <w:ind w:firstLine="709"/>
              <w:rPr>
                <w:b/>
                <w:lang w:val="fr-FR"/>
              </w:rPr>
            </w:pPr>
            <w:r w:rsidRPr="00BC61ED">
              <w:rPr>
                <w:b/>
                <w:lang w:val="fr-FR"/>
              </w:rPr>
              <w:t xml:space="preserve">2. Միջոցառման </w:t>
            </w:r>
            <w:r w:rsidRPr="00BC61ED">
              <w:rPr>
                <w:b/>
              </w:rPr>
              <w:t>իրականացումից</w:t>
            </w:r>
            <w:r w:rsidRPr="00BC61ED">
              <w:rPr>
                <w:b/>
                <w:lang w:val="fr-FR"/>
              </w:rPr>
              <w:t xml:space="preserve"> </w:t>
            </w:r>
            <w:r w:rsidRPr="00BC61ED">
              <w:rPr>
                <w:b/>
              </w:rPr>
              <w:t>ակնկալվող</w:t>
            </w:r>
            <w:r w:rsidRPr="00BC61ED">
              <w:rPr>
                <w:b/>
                <w:lang w:val="fr-FR"/>
              </w:rPr>
              <w:t xml:space="preserve"> </w:t>
            </w:r>
            <w:r w:rsidRPr="00BC61ED">
              <w:rPr>
                <w:b/>
              </w:rPr>
              <w:t>արդյունքը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 xml:space="preserve">Միջոցառման իրականացման արդյունքում ակնկալվում է կատարելագործել հարկային և մաքսային մարմինների կառավարման համակարգերը՝ ունենալով բարձր մասնագիտական կարողություններով օժտված, հստակ տարանջատված և գործառույթների կրկնություններ չունեցող, կոռուպցիայից զերծ, հասարակության վստահությունը վայելող հարկային և մաքսային ծառայության համակարգ: </w:t>
            </w:r>
          </w:p>
        </w:tc>
      </w:tr>
      <w:tr w:rsidR="000C3F90" w:rsidRPr="00DE2EFA" w:rsidTr="00F47DC4">
        <w:tc>
          <w:tcPr>
            <w:tcW w:w="425" w:type="dxa"/>
          </w:tcPr>
          <w:p w:rsidR="000C3F90" w:rsidRPr="00BC61ED" w:rsidRDefault="000C3F90" w:rsidP="00F47DC4">
            <w:pPr>
              <w:spacing w:line="276" w:lineRule="auto"/>
              <w:jc w:val="center"/>
              <w:rPr>
                <w:b/>
                <w:bCs/>
                <w:lang w:val="hy-AM"/>
              </w:rPr>
            </w:pPr>
            <w:r w:rsidRPr="00BC61ED">
              <w:rPr>
                <w:b/>
                <w:bCs/>
                <w:lang w:val="hy-AM"/>
              </w:rPr>
              <w:t>6.</w:t>
            </w:r>
          </w:p>
        </w:tc>
        <w:tc>
          <w:tcPr>
            <w:tcW w:w="11100" w:type="dxa"/>
          </w:tcPr>
          <w:p w:rsidR="000C3F90" w:rsidRPr="00BC61ED" w:rsidRDefault="000C3F90" w:rsidP="00F47DC4">
            <w:pPr>
              <w:spacing w:line="276" w:lineRule="auto"/>
              <w:ind w:firstLine="375"/>
              <w:jc w:val="center"/>
              <w:rPr>
                <w:b/>
                <w:bCs/>
                <w:lang w:val="fr-FR"/>
              </w:rPr>
            </w:pPr>
            <w:r w:rsidRPr="00BC61ED">
              <w:rPr>
                <w:b/>
                <w:bCs/>
                <w:lang w:val="fr-FR"/>
              </w:rPr>
              <w:t>Միջազգային համագործակցության ամրապնդում</w:t>
            </w:r>
          </w:p>
          <w:p w:rsidR="000C3F90" w:rsidRPr="00BC61ED" w:rsidRDefault="000C3F90" w:rsidP="00F47DC4">
            <w:pPr>
              <w:spacing w:line="276" w:lineRule="auto"/>
              <w:ind w:firstLine="375"/>
              <w:jc w:val="center"/>
              <w:rPr>
                <w:b/>
                <w:bCs/>
                <w:lang w:val="fr-FR"/>
              </w:rPr>
            </w:pPr>
          </w:p>
          <w:p w:rsidR="000C3F90" w:rsidRPr="00BC61ED" w:rsidRDefault="000C3F90" w:rsidP="00F47DC4">
            <w:pPr>
              <w:spacing w:line="276" w:lineRule="auto"/>
              <w:ind w:firstLine="709"/>
              <w:rPr>
                <w:b/>
                <w:lang w:val="fr-FR"/>
              </w:rPr>
            </w:pPr>
            <w:r w:rsidRPr="00BC61ED">
              <w:rPr>
                <w:b/>
                <w:lang w:val="fr-FR"/>
              </w:rPr>
              <w:t xml:space="preserve">1. Միջոցառման </w:t>
            </w:r>
            <w:r w:rsidRPr="00BC61ED">
              <w:rPr>
                <w:b/>
                <w:lang w:val="hy-AM"/>
              </w:rPr>
              <w:t>իրականացման</w:t>
            </w:r>
            <w:r w:rsidRPr="00BC61ED">
              <w:rPr>
                <w:b/>
                <w:lang w:val="fr-FR"/>
              </w:rPr>
              <w:t xml:space="preserve"> </w:t>
            </w:r>
            <w:r w:rsidRPr="00BC61ED">
              <w:rPr>
                <w:b/>
                <w:lang w:val="hy-AM"/>
              </w:rPr>
              <w:t>անհրաժեշտությունը</w:t>
            </w:r>
            <w:r w:rsidRPr="00BC61ED">
              <w:rPr>
                <w:b/>
                <w:lang w:val="fr-FR"/>
              </w:rPr>
              <w:t xml:space="preserve"> </w:t>
            </w:r>
            <w:r w:rsidRPr="00BC61ED">
              <w:rPr>
                <w:b/>
                <w:lang w:val="hy-AM"/>
              </w:rPr>
              <w:t>և</w:t>
            </w:r>
            <w:r w:rsidRPr="00BC61ED">
              <w:rPr>
                <w:b/>
                <w:lang w:val="fr-FR"/>
              </w:rPr>
              <w:t xml:space="preserve"> </w:t>
            </w:r>
            <w:r w:rsidRPr="00BC61ED">
              <w:rPr>
                <w:b/>
                <w:lang w:val="hy-AM"/>
              </w:rPr>
              <w:t>նպատակը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Նշված միջոցառման անհրաժեշտությունը պայմանավորված է ՀՀ ստանձնած միջազգային պարտավորությունների կատարմամբ, ինչպես նաև հարևան երկրների մաքսային մարմինների հետ համագործակցության ամրապնդմամբ: (</w:t>
            </w:r>
            <w:r w:rsidRPr="00BC61ED">
              <w:rPr>
                <w:rFonts w:ascii="GHEA Grapalat" w:hAnsi="GHEA Grapalat"/>
                <w:sz w:val="20"/>
                <w:szCs w:val="20"/>
                <w:lang w:val="af-ZA"/>
              </w:rPr>
              <w:t>ՀՀ Ազգային ժողովի 14.02.2019թ. N ԱԺՈ-002-Ն որոշմամբ հավանության արժանացած Հայաստանի Հանրապետության կառավարության ծրագրի 8.1 կետի 4-րդ պարբերություն</w:t>
            </w:r>
            <w:r w:rsidRPr="00BC61ED">
              <w:rPr>
                <w:rFonts w:ascii="Calibri" w:hAnsi="Calibri" w:cs="Calibri"/>
                <w:sz w:val="20"/>
                <w:szCs w:val="20"/>
                <w:lang w:val="af-ZA"/>
              </w:rPr>
              <w:t> </w:t>
            </w:r>
            <w:r w:rsidRPr="00BC61ED">
              <w:rPr>
                <w:rFonts w:ascii="GHEA Grapalat" w:hAnsi="GHEA Grapalat"/>
                <w:sz w:val="20"/>
                <w:szCs w:val="20"/>
                <w:lang w:val="af-ZA"/>
              </w:rPr>
              <w:t>և 2.3 կետ)</w:t>
            </w:r>
          </w:p>
          <w:p w:rsidR="000C3F90" w:rsidRPr="00BC61ED" w:rsidRDefault="000C3F90" w:rsidP="00F47DC4">
            <w:pPr>
              <w:spacing w:line="276" w:lineRule="auto"/>
              <w:ind w:firstLine="709"/>
              <w:rPr>
                <w:b/>
                <w:lang w:val="fr-FR"/>
              </w:rPr>
            </w:pPr>
            <w:r w:rsidRPr="00BC61ED">
              <w:rPr>
                <w:b/>
                <w:lang w:val="fr-FR"/>
              </w:rPr>
              <w:t xml:space="preserve">1.1. կարգավորման </w:t>
            </w:r>
            <w:r w:rsidRPr="00BC61ED">
              <w:rPr>
                <w:b/>
              </w:rPr>
              <w:t>հարաբերությունների</w:t>
            </w:r>
            <w:r w:rsidRPr="00BC61ED">
              <w:rPr>
                <w:b/>
                <w:lang w:val="fr-FR"/>
              </w:rPr>
              <w:t xml:space="preserve"> </w:t>
            </w:r>
            <w:r w:rsidRPr="00BC61ED">
              <w:rPr>
                <w:b/>
              </w:rPr>
              <w:t>ներկա</w:t>
            </w:r>
            <w:r w:rsidRPr="00BC61ED">
              <w:rPr>
                <w:b/>
                <w:lang w:val="fr-FR"/>
              </w:rPr>
              <w:t xml:space="preserve"> </w:t>
            </w:r>
            <w:r w:rsidRPr="00BC61ED">
              <w:rPr>
                <w:b/>
              </w:rPr>
              <w:t>վիճակը</w:t>
            </w:r>
            <w:r w:rsidRPr="00BC61ED">
              <w:rPr>
                <w:b/>
                <w:lang w:val="fr-FR"/>
              </w:rPr>
              <w:t xml:space="preserve"> </w:t>
            </w:r>
            <w:r w:rsidRPr="00BC61ED">
              <w:rPr>
                <w:b/>
              </w:rPr>
              <w:t>և</w:t>
            </w:r>
            <w:r w:rsidRPr="00BC61ED">
              <w:rPr>
                <w:b/>
                <w:lang w:val="fr-FR"/>
              </w:rPr>
              <w:t xml:space="preserve"> </w:t>
            </w:r>
            <w:r w:rsidRPr="00BC61ED">
              <w:rPr>
                <w:b/>
              </w:rPr>
              <w:t>առկա</w:t>
            </w:r>
            <w:r w:rsidRPr="00BC61ED">
              <w:rPr>
                <w:b/>
                <w:lang w:val="fr-FR"/>
              </w:rPr>
              <w:t xml:space="preserve"> </w:t>
            </w:r>
            <w:r w:rsidRPr="00BC61ED">
              <w:rPr>
                <w:b/>
              </w:rPr>
              <w:t>խնդիրները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 xml:space="preserve">Ներկայումս բացակայում են տեղեկությունների փոխանակման ՏՀԶԿ համապատասխան ազգայնացված ստանդարտները, որոնց գծով նախատեսվում են օրենսդրական կարգավորումների նախագծման աշխատանքներ: Վրաստանի և Իրանի Իսլամական Հանրապետության մաքսային մարմինների հետ նախնական տեղեկատվության փոխանակման գործընթացը գտնվում է ներդրման փուլում: </w:t>
            </w:r>
          </w:p>
          <w:p w:rsidR="000C3F90" w:rsidRPr="00BC61ED" w:rsidRDefault="000C3F90" w:rsidP="00F47DC4">
            <w:pPr>
              <w:spacing w:line="276" w:lineRule="auto"/>
              <w:ind w:firstLine="709"/>
              <w:rPr>
                <w:b/>
                <w:lang w:val="fr-FR"/>
              </w:rPr>
            </w:pPr>
            <w:r w:rsidRPr="00BC61ED">
              <w:rPr>
                <w:b/>
                <w:lang w:val="fr-FR"/>
              </w:rPr>
              <w:t xml:space="preserve">1.2. առկա </w:t>
            </w:r>
            <w:r w:rsidRPr="00BC61ED">
              <w:rPr>
                <w:b/>
              </w:rPr>
              <w:t>խնդիրների</w:t>
            </w:r>
            <w:r w:rsidRPr="00BC61ED">
              <w:rPr>
                <w:b/>
                <w:lang w:val="fr-FR"/>
              </w:rPr>
              <w:t xml:space="preserve"> </w:t>
            </w:r>
            <w:r w:rsidRPr="00BC61ED">
              <w:rPr>
                <w:b/>
              </w:rPr>
              <w:t>առաջարկվող</w:t>
            </w:r>
            <w:r w:rsidRPr="00BC61ED">
              <w:rPr>
                <w:b/>
                <w:lang w:val="fr-FR"/>
              </w:rPr>
              <w:t xml:space="preserve"> </w:t>
            </w:r>
            <w:r w:rsidRPr="00BC61ED">
              <w:rPr>
                <w:b/>
              </w:rPr>
              <w:t>լուծումները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Վերը նշված խնդիրների լուծման նպատակով նախատեսվում է իրականացնել հետևյալ միջոցառումները.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6.1) Օժանդակել Տնտեսական համա</w:t>
            </w:r>
            <w:r w:rsidRPr="00BC61ED">
              <w:rPr>
                <w:rFonts w:ascii="GHEA Grapalat" w:hAnsi="GHEA Grapalat"/>
                <w:sz w:val="20"/>
                <w:szCs w:val="20"/>
                <w:lang w:val="fr-FR"/>
              </w:rPr>
              <w:softHyphen/>
              <w:t>գոր</w:t>
            </w:r>
            <w:r w:rsidRPr="00BC61ED">
              <w:rPr>
                <w:rFonts w:ascii="GHEA Grapalat" w:hAnsi="GHEA Grapalat"/>
                <w:sz w:val="20"/>
                <w:szCs w:val="20"/>
                <w:lang w:val="fr-FR"/>
              </w:rPr>
              <w:softHyphen/>
              <w:t>ծակ</w:t>
            </w:r>
            <w:r w:rsidRPr="00BC61ED">
              <w:rPr>
                <w:rFonts w:ascii="GHEA Grapalat" w:hAnsi="GHEA Grapalat"/>
                <w:sz w:val="20"/>
                <w:szCs w:val="20"/>
                <w:lang w:val="fr-FR"/>
              </w:rPr>
              <w:softHyphen/>
              <w:t>ցության զարգացման կազմա</w:t>
            </w:r>
            <w:r w:rsidRPr="00BC61ED">
              <w:rPr>
                <w:rFonts w:ascii="GHEA Grapalat" w:hAnsi="GHEA Grapalat"/>
                <w:sz w:val="20"/>
                <w:szCs w:val="20"/>
                <w:lang w:val="fr-FR"/>
              </w:rPr>
              <w:softHyphen/>
            </w:r>
            <w:r w:rsidRPr="00BC61ED">
              <w:rPr>
                <w:rFonts w:ascii="GHEA Grapalat" w:hAnsi="GHEA Grapalat"/>
                <w:sz w:val="20"/>
                <w:szCs w:val="20"/>
                <w:lang w:val="fr-FR"/>
              </w:rPr>
              <w:softHyphen/>
            </w:r>
            <w:r w:rsidRPr="00BC61ED">
              <w:rPr>
                <w:rFonts w:ascii="GHEA Grapalat" w:hAnsi="GHEA Grapalat"/>
                <w:sz w:val="20"/>
                <w:szCs w:val="20"/>
                <w:lang w:val="fr-FR"/>
              </w:rPr>
              <w:softHyphen/>
              <w:t>կեր</w:t>
            </w:r>
            <w:r w:rsidRPr="00BC61ED">
              <w:rPr>
                <w:rFonts w:ascii="GHEA Grapalat" w:hAnsi="GHEA Grapalat"/>
                <w:sz w:val="20"/>
                <w:szCs w:val="20"/>
                <w:lang w:val="fr-FR"/>
              </w:rPr>
              <w:softHyphen/>
              <w:t>պու</w:t>
            </w:r>
            <w:r w:rsidRPr="00BC61ED">
              <w:rPr>
                <w:rFonts w:ascii="GHEA Grapalat" w:hAnsi="GHEA Grapalat"/>
                <w:sz w:val="20"/>
                <w:szCs w:val="20"/>
                <w:lang w:val="fr-FR"/>
              </w:rPr>
              <w:softHyphen/>
              <w:t>թյան (ՏՀԶԿ) հարկման նպատակով թափանցիկության և տեղե</w:t>
            </w:r>
            <w:r w:rsidRPr="00BC61ED">
              <w:rPr>
                <w:rFonts w:ascii="GHEA Grapalat" w:hAnsi="GHEA Grapalat"/>
                <w:sz w:val="20"/>
                <w:szCs w:val="20"/>
                <w:lang w:val="fr-FR"/>
              </w:rPr>
              <w:softHyphen/>
            </w:r>
            <w:r w:rsidRPr="00BC61ED">
              <w:rPr>
                <w:rFonts w:ascii="GHEA Grapalat" w:hAnsi="GHEA Grapalat"/>
                <w:sz w:val="20"/>
                <w:szCs w:val="20"/>
                <w:lang w:val="fr-FR"/>
              </w:rPr>
              <w:softHyphen/>
            </w:r>
            <w:r w:rsidRPr="00BC61ED">
              <w:rPr>
                <w:rFonts w:ascii="GHEA Grapalat" w:hAnsi="GHEA Grapalat"/>
                <w:sz w:val="20"/>
                <w:szCs w:val="20"/>
                <w:lang w:val="fr-FR"/>
              </w:rPr>
              <w:softHyphen/>
              <w:t>կու</w:t>
            </w:r>
            <w:r w:rsidRPr="00BC61ED">
              <w:rPr>
                <w:rFonts w:ascii="GHEA Grapalat" w:hAnsi="GHEA Grapalat"/>
                <w:sz w:val="20"/>
                <w:szCs w:val="20"/>
                <w:lang w:val="fr-FR"/>
              </w:rPr>
              <w:softHyphen/>
              <w:t>թյունների փոխա</w:t>
            </w:r>
            <w:r w:rsidRPr="00BC61ED">
              <w:rPr>
                <w:rFonts w:ascii="GHEA Grapalat" w:hAnsi="GHEA Grapalat"/>
                <w:sz w:val="20"/>
                <w:szCs w:val="20"/>
                <w:lang w:val="fr-FR"/>
              </w:rPr>
              <w:softHyphen/>
              <w:t>նակ</w:t>
            </w:r>
            <w:r w:rsidRPr="00BC61ED">
              <w:rPr>
                <w:rFonts w:ascii="GHEA Grapalat" w:hAnsi="GHEA Grapalat"/>
                <w:sz w:val="20"/>
                <w:szCs w:val="20"/>
                <w:lang w:val="fr-FR"/>
              </w:rPr>
              <w:softHyphen/>
              <w:t>ման գլոբալ ֆորումին ՀՀ անդա</w:t>
            </w:r>
            <w:r w:rsidRPr="00BC61ED">
              <w:rPr>
                <w:rFonts w:ascii="GHEA Grapalat" w:hAnsi="GHEA Grapalat"/>
                <w:sz w:val="20"/>
                <w:szCs w:val="20"/>
                <w:lang w:val="fr-FR"/>
              </w:rPr>
              <w:softHyphen/>
              <w:t>մակցության շրջանակներում՝ հարցումների հիման վրա և ավտոմատացված տեղեկությունների փոխանակման ՏՀԶԿ ստանդարտների ներդրման համար օրենսդրության մշակմանը: Նշված ստանդարտների ընդունումից հետո դրանց կիրառումն ապահովող աշխատանքների իրականացում:</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6.2) ՏՀԶԿ «Հարկվող բազայի քայքայումը և շահույթի տեղաշարժ» ծրագրի՝ հարկային մարմնի գործառույթներին առնչվող նվազագույն ստանդարտների կիրառումն ապահովող աշխատանքների իրականացում:</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6.3) Ապահովել հարևան երկրների մաքսային մարմինների հետ նախնական տեղեկատվության փոխանակման գործընթացը:</w:t>
            </w:r>
          </w:p>
          <w:p w:rsidR="000C3F90" w:rsidRPr="00BC61ED" w:rsidRDefault="000C3F90" w:rsidP="00F47DC4">
            <w:pPr>
              <w:spacing w:line="276" w:lineRule="auto"/>
              <w:ind w:firstLine="709"/>
              <w:rPr>
                <w:b/>
                <w:lang w:val="fr-FR"/>
              </w:rPr>
            </w:pPr>
            <w:r w:rsidRPr="00BC61ED">
              <w:rPr>
                <w:b/>
                <w:lang w:val="fr-FR"/>
              </w:rPr>
              <w:t xml:space="preserve">2. Միջոցառման </w:t>
            </w:r>
            <w:r w:rsidRPr="00BC61ED">
              <w:rPr>
                <w:b/>
              </w:rPr>
              <w:t>իրականացումից</w:t>
            </w:r>
            <w:r w:rsidRPr="00BC61ED">
              <w:rPr>
                <w:b/>
                <w:lang w:val="fr-FR"/>
              </w:rPr>
              <w:t xml:space="preserve"> </w:t>
            </w:r>
            <w:r w:rsidRPr="00BC61ED">
              <w:rPr>
                <w:b/>
              </w:rPr>
              <w:t>ակնկալվող</w:t>
            </w:r>
            <w:r w:rsidRPr="00BC61ED">
              <w:rPr>
                <w:b/>
                <w:lang w:val="fr-FR"/>
              </w:rPr>
              <w:t xml:space="preserve"> </w:t>
            </w:r>
            <w:r w:rsidRPr="00BC61ED">
              <w:rPr>
                <w:b/>
              </w:rPr>
              <w:t>արդյունքը</w:t>
            </w:r>
          </w:p>
          <w:p w:rsidR="000C3F90" w:rsidRPr="00BC61ED" w:rsidRDefault="000C3F90" w:rsidP="00F47DC4">
            <w:pPr>
              <w:pStyle w:val="BodyText"/>
              <w:spacing w:after="0" w:line="276" w:lineRule="auto"/>
              <w:ind w:firstLine="709"/>
              <w:jc w:val="both"/>
              <w:rPr>
                <w:rFonts w:ascii="GHEA Grapalat" w:hAnsi="GHEA Grapalat"/>
                <w:sz w:val="20"/>
                <w:szCs w:val="20"/>
                <w:lang w:val="fr-FR"/>
              </w:rPr>
            </w:pPr>
            <w:r w:rsidRPr="00BC61ED">
              <w:rPr>
                <w:rFonts w:ascii="GHEA Grapalat" w:hAnsi="GHEA Grapalat"/>
                <w:sz w:val="20"/>
                <w:szCs w:val="20"/>
                <w:lang w:val="fr-FR"/>
              </w:rPr>
              <w:t>Միջոցառման իրականացման արդյունքում ակնկալվում է ապահովել ՏՀԶԿ ստանդարտների ներդրումը, ինչպես նաև հարևան երկրների մաքսային մարմինների հետ համագործակցության ամրապնդմամբ բարձրացնել մաքսային հսկողության արդյունավետությունը:</w:t>
            </w:r>
          </w:p>
        </w:tc>
      </w:tr>
    </w:tbl>
    <w:p w:rsidR="000C3F90" w:rsidRPr="000C3F90" w:rsidRDefault="000C3F90">
      <w:pPr>
        <w:rPr>
          <w:lang w:val="fr-FR"/>
        </w:rPr>
      </w:pPr>
    </w:p>
    <w:p w:rsidR="00BB45FD" w:rsidRPr="0053423A" w:rsidRDefault="00BB45FD" w:rsidP="00A67858">
      <w:pPr>
        <w:spacing w:after="0" w:line="276" w:lineRule="auto"/>
        <w:rPr>
          <w:sz w:val="20"/>
          <w:szCs w:val="20"/>
          <w:lang w:val="hy-AM"/>
        </w:rPr>
      </w:pPr>
    </w:p>
    <w:tbl>
      <w:tblPr>
        <w:tblStyle w:val="TableGrid"/>
        <w:tblW w:w="11610" w:type="dxa"/>
        <w:tblInd w:w="108" w:type="dxa"/>
        <w:tblLayout w:type="fixed"/>
        <w:tblLook w:val="04A0" w:firstRow="1" w:lastRow="0" w:firstColumn="1" w:lastColumn="0" w:noHBand="0" w:noVBand="1"/>
      </w:tblPr>
      <w:tblGrid>
        <w:gridCol w:w="450"/>
        <w:gridCol w:w="11160"/>
      </w:tblGrid>
      <w:tr w:rsidR="00D75F05" w:rsidRPr="0053423A" w:rsidTr="00D75F05">
        <w:tc>
          <w:tcPr>
            <w:tcW w:w="450" w:type="dxa"/>
          </w:tcPr>
          <w:p w:rsidR="00D75F05" w:rsidRPr="0053423A" w:rsidRDefault="00D75F05" w:rsidP="00A67858">
            <w:pPr>
              <w:pStyle w:val="ListParagraph"/>
              <w:spacing w:line="276" w:lineRule="auto"/>
              <w:ind w:left="0"/>
              <w:rPr>
                <w:rFonts w:cs="Sylfaen"/>
                <w:b/>
                <w:lang w:val="af-ZA"/>
              </w:rPr>
            </w:pPr>
          </w:p>
        </w:tc>
        <w:tc>
          <w:tcPr>
            <w:tcW w:w="11160" w:type="dxa"/>
          </w:tcPr>
          <w:p w:rsidR="00D75F05" w:rsidRPr="0053423A" w:rsidRDefault="00D75F05" w:rsidP="00A67858">
            <w:pPr>
              <w:pStyle w:val="ListParagraph"/>
              <w:spacing w:line="276" w:lineRule="auto"/>
              <w:ind w:left="0"/>
              <w:jc w:val="center"/>
              <w:rPr>
                <w:rFonts w:cs="Sylfaen"/>
                <w:b/>
                <w:lang w:val="hy-AM"/>
              </w:rPr>
            </w:pPr>
            <w:r w:rsidRPr="0053423A">
              <w:rPr>
                <w:rFonts w:cs="Sylfaen"/>
                <w:b/>
                <w:lang w:val="hy-AM"/>
              </w:rPr>
              <w:t>Քաղաքաշինության կոմիտե</w:t>
            </w:r>
          </w:p>
        </w:tc>
      </w:tr>
      <w:tr w:rsidR="00DE2EFA" w:rsidRPr="00DE2EFA" w:rsidTr="00D75F05">
        <w:tc>
          <w:tcPr>
            <w:tcW w:w="450" w:type="dxa"/>
          </w:tcPr>
          <w:p w:rsidR="00DE2EFA" w:rsidRPr="00DE2EFA" w:rsidRDefault="00DE2EFA" w:rsidP="00A67858">
            <w:pPr>
              <w:pStyle w:val="ListParagraph"/>
              <w:spacing w:line="276" w:lineRule="auto"/>
              <w:ind w:left="0"/>
              <w:rPr>
                <w:rFonts w:cs="Sylfaen"/>
                <w:b/>
                <w:lang w:val="hy-AM"/>
              </w:rPr>
            </w:pPr>
            <w:r>
              <w:rPr>
                <w:rFonts w:cs="Sylfaen"/>
                <w:b/>
                <w:lang w:val="hy-AM"/>
              </w:rPr>
              <w:t>1.</w:t>
            </w:r>
          </w:p>
        </w:tc>
        <w:tc>
          <w:tcPr>
            <w:tcW w:w="11160" w:type="dxa"/>
          </w:tcPr>
          <w:p w:rsidR="00DE2EFA" w:rsidRPr="00DE2EFA" w:rsidRDefault="00DE2EFA" w:rsidP="00DE2EFA">
            <w:pPr>
              <w:pStyle w:val="norm"/>
              <w:spacing w:line="276" w:lineRule="auto"/>
              <w:ind w:firstLine="0"/>
              <w:jc w:val="center"/>
              <w:rPr>
                <w:rFonts w:ascii="GHEA Grapalat" w:hAnsi="GHEA Grapalat"/>
                <w:b/>
                <w:lang w:val="hy-AM"/>
              </w:rPr>
            </w:pPr>
            <w:r w:rsidRPr="00DE2EFA">
              <w:rPr>
                <w:rFonts w:ascii="GHEA Grapalat" w:hAnsi="GHEA Grapalat"/>
                <w:b/>
              </w:rPr>
              <w:t xml:space="preserve">Քաղաքաշինության բնագավառի </w:t>
            </w:r>
            <w:r w:rsidRPr="00DE2EFA">
              <w:rPr>
                <w:rFonts w:ascii="GHEA Grapalat" w:hAnsi="GHEA Grapalat"/>
                <w:b/>
                <w:lang w:val="hy-AM"/>
              </w:rPr>
              <w:t xml:space="preserve">զարգացման </w:t>
            </w:r>
            <w:r w:rsidRPr="00DE2EFA">
              <w:rPr>
                <w:rFonts w:ascii="GHEA Grapalat" w:hAnsi="GHEA Grapalat"/>
                <w:b/>
              </w:rPr>
              <w:t xml:space="preserve">ռազմավարության </w:t>
            </w:r>
            <w:r w:rsidRPr="00DE2EFA">
              <w:rPr>
                <w:rFonts w:ascii="GHEA Grapalat" w:hAnsi="GHEA Grapalat"/>
                <w:b/>
                <w:lang w:val="hy-AM"/>
              </w:rPr>
              <w:t>ամրագրում</w:t>
            </w:r>
          </w:p>
          <w:p w:rsidR="00DE2EFA" w:rsidRDefault="00DE2EFA" w:rsidP="00DE2EFA">
            <w:pPr>
              <w:pStyle w:val="norm"/>
              <w:spacing w:line="276" w:lineRule="auto"/>
              <w:ind w:firstLine="0"/>
              <w:jc w:val="center"/>
              <w:rPr>
                <w:rFonts w:ascii="GHEA Grapalat" w:hAnsi="GHEA Grapalat"/>
                <w:b/>
                <w:lang w:val="hy-AM"/>
              </w:rPr>
            </w:pPr>
          </w:p>
          <w:p w:rsidR="00DE2EFA" w:rsidRPr="00DE2EFA" w:rsidRDefault="00DE2EFA" w:rsidP="00DE2EFA">
            <w:pPr>
              <w:pStyle w:val="norm"/>
              <w:spacing w:line="276" w:lineRule="auto"/>
              <w:ind w:firstLine="0"/>
              <w:jc w:val="center"/>
              <w:rPr>
                <w:rFonts w:ascii="GHEA Grapalat" w:hAnsi="GHEA Grapalat"/>
                <w:b/>
                <w:u w:val="single"/>
                <w:lang w:val="af-ZA"/>
              </w:rPr>
            </w:pPr>
            <w:r w:rsidRPr="00DE2EFA">
              <w:rPr>
                <w:rFonts w:ascii="GHEA Grapalat" w:hAnsi="GHEA Grapalat"/>
                <w:b/>
                <w:u w:val="single"/>
                <w:lang w:val="hy-AM"/>
              </w:rPr>
              <w:t xml:space="preserve">1. </w:t>
            </w:r>
            <w:r w:rsidRPr="00DE2EFA">
              <w:rPr>
                <w:rFonts w:ascii="GHEA Grapalat" w:hAnsi="GHEA Grapalat"/>
                <w:b/>
                <w:u w:val="single"/>
                <w:lang w:val="af-ZA"/>
              </w:rPr>
              <w:t></w:t>
            </w:r>
            <w:r w:rsidRPr="00DE2EFA">
              <w:rPr>
                <w:rFonts w:ascii="GHEA Grapalat" w:hAnsi="GHEA Grapalat"/>
                <w:b/>
                <w:u w:val="single"/>
                <w:lang w:val="hy-AM"/>
              </w:rPr>
              <w:t>Քաղաքաշինության</w:t>
            </w:r>
            <w:r w:rsidRPr="00DE2EFA">
              <w:rPr>
                <w:rFonts w:ascii="GHEA Grapalat" w:hAnsi="GHEA Grapalat"/>
                <w:b/>
                <w:u w:val="single"/>
                <w:lang w:val="af-ZA"/>
              </w:rPr>
              <w:t xml:space="preserve"> </w:t>
            </w:r>
            <w:r w:rsidRPr="00DE2EFA">
              <w:rPr>
                <w:rFonts w:ascii="GHEA Grapalat" w:hAnsi="GHEA Grapalat"/>
                <w:b/>
                <w:u w:val="single"/>
                <w:lang w:val="hy-AM"/>
              </w:rPr>
              <w:t>բնագավառի</w:t>
            </w:r>
            <w:r w:rsidRPr="00DE2EFA">
              <w:rPr>
                <w:rFonts w:ascii="GHEA Grapalat" w:hAnsi="GHEA Grapalat"/>
                <w:b/>
                <w:u w:val="single"/>
                <w:lang w:val="af-ZA"/>
              </w:rPr>
              <w:t xml:space="preserve"> </w:t>
            </w:r>
            <w:r w:rsidRPr="00DE2EFA">
              <w:rPr>
                <w:rFonts w:ascii="GHEA Grapalat" w:hAnsi="GHEA Grapalat"/>
                <w:b/>
                <w:u w:val="single"/>
                <w:lang w:val="hy-AM"/>
              </w:rPr>
              <w:t>զարգացման</w:t>
            </w:r>
            <w:r w:rsidRPr="00DE2EFA">
              <w:rPr>
                <w:rFonts w:ascii="GHEA Grapalat" w:hAnsi="GHEA Grapalat"/>
                <w:b/>
                <w:u w:val="single"/>
                <w:lang w:val="af-ZA"/>
              </w:rPr>
              <w:t xml:space="preserve"> </w:t>
            </w:r>
            <w:r w:rsidRPr="00DE2EFA">
              <w:rPr>
                <w:rFonts w:ascii="GHEA Grapalat" w:hAnsi="GHEA Grapalat"/>
                <w:b/>
                <w:u w:val="single"/>
                <w:lang w:val="hy-AM"/>
              </w:rPr>
              <w:t>ռազմավարական</w:t>
            </w:r>
            <w:r w:rsidRPr="00DE2EFA">
              <w:rPr>
                <w:rFonts w:ascii="GHEA Grapalat" w:hAnsi="GHEA Grapalat"/>
                <w:b/>
                <w:u w:val="single"/>
                <w:lang w:val="hy-AM"/>
              </w:rPr>
              <w:t xml:space="preserve"> </w:t>
            </w:r>
            <w:r w:rsidRPr="00DE2EFA">
              <w:rPr>
                <w:rFonts w:ascii="GHEA Grapalat" w:hAnsi="GHEA Grapalat"/>
                <w:b/>
                <w:u w:val="single"/>
                <w:lang w:val="hy-AM"/>
              </w:rPr>
              <w:t>ծրագիրը</w:t>
            </w:r>
            <w:r w:rsidRPr="00DE2EFA">
              <w:rPr>
                <w:rFonts w:ascii="GHEA Grapalat" w:hAnsi="GHEA Grapalat"/>
                <w:b/>
                <w:u w:val="single"/>
                <w:lang w:val="af-ZA"/>
              </w:rPr>
              <w:t xml:space="preserve"> </w:t>
            </w:r>
            <w:r w:rsidRPr="00DE2EFA">
              <w:rPr>
                <w:rFonts w:ascii="GHEA Grapalat" w:hAnsi="GHEA Grapalat"/>
                <w:b/>
                <w:u w:val="single"/>
                <w:lang w:val="hy-AM"/>
              </w:rPr>
              <w:t>հաստատելու</w:t>
            </w:r>
            <w:r w:rsidRPr="00DE2EFA">
              <w:rPr>
                <w:rFonts w:ascii="GHEA Grapalat" w:hAnsi="GHEA Grapalat"/>
                <w:b/>
                <w:u w:val="single"/>
                <w:lang w:val="af-ZA"/>
              </w:rPr>
              <w:t xml:space="preserve"> </w:t>
            </w:r>
            <w:r w:rsidRPr="00DE2EFA">
              <w:rPr>
                <w:rFonts w:ascii="GHEA Grapalat" w:hAnsi="GHEA Grapalat"/>
                <w:b/>
                <w:u w:val="single"/>
                <w:lang w:val="hy-AM"/>
              </w:rPr>
              <w:t>մասին</w:t>
            </w:r>
            <w:r w:rsidRPr="00DE2EFA">
              <w:rPr>
                <w:rFonts w:ascii="GHEA Grapalat" w:hAnsi="GHEA Grapalat"/>
                <w:b/>
                <w:u w:val="single"/>
                <w:lang w:val="af-ZA"/>
              </w:rPr>
              <w:t xml:space="preserve"> </w:t>
            </w:r>
            <w:r w:rsidRPr="00DE2EFA">
              <w:rPr>
                <w:rFonts w:ascii="GHEA Grapalat" w:hAnsi="GHEA Grapalat"/>
                <w:b/>
                <w:u w:val="single"/>
                <w:lang w:val="hy-AM"/>
              </w:rPr>
              <w:t>ՀՀ</w:t>
            </w:r>
            <w:r w:rsidRPr="00DE2EFA">
              <w:rPr>
                <w:rFonts w:ascii="GHEA Grapalat" w:hAnsi="GHEA Grapalat"/>
                <w:b/>
                <w:u w:val="single"/>
                <w:lang w:val="af-ZA"/>
              </w:rPr>
              <w:t xml:space="preserve"> </w:t>
            </w:r>
            <w:r w:rsidRPr="00DE2EFA">
              <w:rPr>
                <w:rFonts w:ascii="GHEA Grapalat" w:hAnsi="GHEA Grapalat"/>
                <w:b/>
                <w:u w:val="single"/>
                <w:lang w:val="hy-AM"/>
              </w:rPr>
              <w:t>կառավարության</w:t>
            </w:r>
            <w:r w:rsidRPr="00DE2EFA">
              <w:rPr>
                <w:rFonts w:ascii="GHEA Grapalat" w:hAnsi="GHEA Grapalat"/>
                <w:b/>
                <w:u w:val="single"/>
                <w:lang w:val="af-ZA"/>
              </w:rPr>
              <w:t xml:space="preserve"> </w:t>
            </w:r>
            <w:r w:rsidRPr="00DE2EFA">
              <w:rPr>
                <w:rFonts w:ascii="GHEA Grapalat" w:hAnsi="GHEA Grapalat"/>
                <w:b/>
                <w:u w:val="single"/>
                <w:lang w:val="hy-AM"/>
              </w:rPr>
              <w:t>որոշման</w:t>
            </w:r>
            <w:r w:rsidRPr="00DE2EFA">
              <w:rPr>
                <w:rFonts w:ascii="GHEA Grapalat" w:hAnsi="GHEA Grapalat"/>
                <w:b/>
                <w:u w:val="single"/>
                <w:lang w:val="af-ZA"/>
              </w:rPr>
              <w:t xml:space="preserve"> նախագծի ներկայացում ՀՀ վարչապետի աշխատակազմ</w:t>
            </w:r>
          </w:p>
          <w:p w:rsidR="00DE2EFA" w:rsidRPr="00DE2EFA" w:rsidRDefault="00DE2EFA" w:rsidP="00DE2EFA">
            <w:pPr>
              <w:pStyle w:val="ListParagraph1"/>
              <w:tabs>
                <w:tab w:val="left" w:pos="540"/>
                <w:tab w:val="left" w:pos="900"/>
              </w:tabs>
              <w:spacing w:after="0"/>
              <w:ind w:left="97"/>
              <w:jc w:val="both"/>
              <w:rPr>
                <w:rFonts w:ascii="GHEA Grapalat" w:hAnsi="GHEA Grapalat"/>
                <w:lang w:val="af-ZA"/>
              </w:rPr>
            </w:pPr>
          </w:p>
          <w:p w:rsidR="00DE2EFA" w:rsidRPr="00DE2EFA" w:rsidRDefault="00DE2EFA" w:rsidP="00DE2EFA">
            <w:pPr>
              <w:pStyle w:val="ListParagraph1"/>
              <w:tabs>
                <w:tab w:val="left" w:pos="540"/>
                <w:tab w:val="left" w:pos="900"/>
              </w:tabs>
              <w:spacing w:after="0"/>
              <w:ind w:left="97"/>
              <w:jc w:val="both"/>
              <w:rPr>
                <w:rFonts w:ascii="GHEA Grapalat" w:hAnsi="GHEA Grapalat"/>
                <w:b/>
                <w:lang w:val="af-ZA"/>
              </w:rPr>
            </w:pPr>
            <w:r w:rsidRPr="00DE2EFA">
              <w:rPr>
                <w:rFonts w:ascii="GHEA Grapalat" w:hAnsi="GHEA Grapalat"/>
                <w:b/>
                <w:lang w:val="hy-AM"/>
              </w:rPr>
              <w:t xml:space="preserve">1. </w:t>
            </w:r>
            <w:r w:rsidRPr="00DE2EFA">
              <w:rPr>
                <w:rFonts w:ascii="GHEA Grapalat" w:hAnsi="GHEA Grapalat"/>
                <w:b/>
                <w:lang w:val="af-ZA"/>
              </w:rPr>
              <w:t>Միջոցառման իրականացման անհրաժեշտությունը և նպատակը</w:t>
            </w:r>
          </w:p>
          <w:p w:rsidR="00DE2EFA" w:rsidRPr="00DE2EFA" w:rsidRDefault="00DE2EFA" w:rsidP="00DE2EFA">
            <w:pPr>
              <w:pStyle w:val="ListParagraph1"/>
              <w:tabs>
                <w:tab w:val="left" w:pos="540"/>
                <w:tab w:val="left" w:pos="900"/>
              </w:tabs>
              <w:spacing w:after="0"/>
              <w:ind w:left="97"/>
              <w:jc w:val="both"/>
              <w:rPr>
                <w:rFonts w:ascii="GHEA Grapalat" w:hAnsi="GHEA Grapalat"/>
                <w:lang w:val="af-ZA"/>
              </w:rPr>
            </w:pPr>
            <w:r w:rsidRPr="00DE2EFA">
              <w:rPr>
                <w:rFonts w:ascii="GHEA Grapalat" w:hAnsi="GHEA Grapalat"/>
                <w:lang w:val="af-ZA"/>
              </w:rPr>
              <w:t>Միջոցառման անրաժեշտությունը բխում է Հայաստանի Հանրապետության կառավարության ծրագրին հավանություն տալու</w:t>
            </w:r>
            <w:r w:rsidRPr="00DE2EFA">
              <w:rPr>
                <w:rFonts w:ascii="GHEA Grapalat" w:hAnsi="GHEA Grapalat"/>
                <w:lang w:val="af-ZA"/>
              </w:rPr>
              <w:t xml:space="preserve"> մասին ՀՀ օրենքի (14.02.2019թ. </w:t>
            </w:r>
            <w:r w:rsidRPr="00DE2EFA">
              <w:rPr>
                <w:rFonts w:ascii="GHEA Grapalat" w:hAnsi="GHEA Grapalat"/>
                <w:lang w:val="af-ZA"/>
              </w:rPr>
              <w:t>N</w:t>
            </w:r>
            <w:r w:rsidRPr="00DE2EFA">
              <w:rPr>
                <w:rFonts w:ascii="GHEA Grapalat" w:hAnsi="GHEA Grapalat"/>
                <w:lang w:val="af-ZA"/>
              </w:rPr>
              <w:t xml:space="preserve"> </w:t>
            </w:r>
            <w:r w:rsidRPr="00DE2EFA">
              <w:rPr>
                <w:rFonts w:ascii="GHEA Grapalat" w:hAnsi="GHEA Grapalat"/>
                <w:lang w:val="af-ZA"/>
              </w:rPr>
              <w:t>ԱԺՈ-002-Ն) 1. ՀԱՅԱՍՏԱՆԻ ՀԱՆՐԱՊԵՏՈՒԹՅԱՆ ԿԱՌԱՎԱՐՈՒԹՅԱՆ ԳՈՐԾՈՒՆԵՈՒԹՅԱՆ</w:t>
            </w:r>
            <w:r w:rsidRPr="00DE2EFA">
              <w:rPr>
                <w:rFonts w:cs="Calibri"/>
                <w:lang w:val="af-ZA"/>
              </w:rPr>
              <w:t> </w:t>
            </w:r>
            <w:r w:rsidRPr="00DE2EFA">
              <w:rPr>
                <w:rFonts w:ascii="GHEA Grapalat" w:hAnsi="GHEA Grapalat"/>
                <w:lang w:val="af-ZA"/>
              </w:rPr>
              <w:t>ՀԻՄՆԱՐԱՐ ՈՒՂԵՆԻՇՆԵՐԸ գլխի Կառավարու</w:t>
            </w:r>
            <w:r w:rsidRPr="00DE2EFA">
              <w:rPr>
                <w:rFonts w:ascii="GHEA Grapalat" w:hAnsi="GHEA Grapalat"/>
                <w:lang w:val="af-ZA"/>
              </w:rPr>
              <w:t xml:space="preserve">թյան խնդիրների </w:t>
            </w:r>
            <w:r w:rsidRPr="00DE2EFA">
              <w:rPr>
                <w:rFonts w:ascii="GHEA Grapalat" w:hAnsi="GHEA Grapalat"/>
                <w:lang w:val="af-ZA"/>
              </w:rPr>
              <w:t xml:space="preserve">13-րդ պարբերության և Քաղաքաշինության մասին» ՀՀ օրենքի 10-րդ հոդվածի ա  պարբերության դրույթներից նպատակը՝ քաղաքաշինության բնագավառի զարգացման ռազմավարության ամրագրումն է: </w:t>
            </w:r>
          </w:p>
          <w:p w:rsidR="00DE2EFA" w:rsidRPr="00DE2EFA" w:rsidRDefault="00DE2EFA" w:rsidP="00DE2EFA">
            <w:pPr>
              <w:pStyle w:val="ListParagraph1"/>
              <w:tabs>
                <w:tab w:val="left" w:pos="540"/>
                <w:tab w:val="left" w:pos="900"/>
              </w:tabs>
              <w:spacing w:after="0"/>
              <w:ind w:left="97"/>
              <w:jc w:val="both"/>
              <w:rPr>
                <w:rFonts w:ascii="GHEA Grapalat" w:hAnsi="GHEA Grapalat"/>
                <w:b/>
                <w:lang w:val="af-ZA"/>
              </w:rPr>
            </w:pPr>
            <w:r w:rsidRPr="00DE2EFA">
              <w:rPr>
                <w:rFonts w:ascii="GHEA Grapalat" w:hAnsi="GHEA Grapalat"/>
                <w:b/>
                <w:lang w:val="hy-AM"/>
              </w:rPr>
              <w:t xml:space="preserve">1.1 </w:t>
            </w:r>
            <w:r w:rsidRPr="00DE2EFA">
              <w:rPr>
                <w:rFonts w:ascii="GHEA Grapalat" w:hAnsi="GHEA Grapalat"/>
                <w:b/>
                <w:lang w:val="af-ZA"/>
              </w:rPr>
              <w:t>Կարգավորման հարաբերությունների ներկա վիճակը և առկա խնդիրները</w:t>
            </w:r>
          </w:p>
          <w:p w:rsidR="00DE2EFA" w:rsidRPr="00DE2EFA" w:rsidRDefault="00DE2EFA" w:rsidP="00DE2EFA">
            <w:pPr>
              <w:pStyle w:val="ListParagraph1"/>
              <w:tabs>
                <w:tab w:val="left" w:pos="540"/>
                <w:tab w:val="left" w:pos="900"/>
              </w:tabs>
              <w:spacing w:after="0"/>
              <w:ind w:left="97"/>
              <w:jc w:val="both"/>
              <w:rPr>
                <w:rFonts w:ascii="GHEA Grapalat" w:hAnsi="GHEA Grapalat"/>
                <w:lang w:val="af-ZA"/>
              </w:rPr>
            </w:pPr>
            <w:r w:rsidRPr="00DE2EFA">
              <w:rPr>
                <w:rFonts w:ascii="GHEA Grapalat" w:hAnsi="GHEA Grapalat"/>
                <w:lang w:val="af-ZA"/>
              </w:rPr>
              <w:t>ՀՀ քաղաքաշինության նախարարությունն ունեցել է Հայաստանի Հանրապետության ազգային անվտանգության ռազմավարության դրույթներով նախատեսված`</w:t>
            </w:r>
            <w:r w:rsidRPr="00DE2EFA">
              <w:rPr>
                <w:rFonts w:ascii="GHEA Grapalat" w:hAnsi="GHEA Grapalat"/>
                <w:lang w:val="af-ZA"/>
              </w:rPr>
              <w:t xml:space="preserve"> </w:t>
            </w:r>
            <w:r w:rsidRPr="00DE2EFA">
              <w:rPr>
                <w:rFonts w:ascii="GHEA Grapalat" w:hAnsi="GHEA Grapalat"/>
                <w:lang w:val="af-ZA"/>
              </w:rPr>
              <w:t>ՀՀ քաղաքաշինության նախարարության ծրագիրը, որում արտացոլված են եղել նախարարության կողմից տարվող քաղաքականության հիմնական ուղղությունները և իրականացվելիք միջոցառումները:</w:t>
            </w:r>
          </w:p>
          <w:p w:rsidR="00DE2EFA" w:rsidRPr="00DE2EFA" w:rsidRDefault="00DE2EFA" w:rsidP="00DE2EFA">
            <w:pPr>
              <w:pStyle w:val="ListParagraph1"/>
              <w:tabs>
                <w:tab w:val="left" w:pos="540"/>
                <w:tab w:val="left" w:pos="900"/>
              </w:tabs>
              <w:spacing w:after="0"/>
              <w:ind w:left="97"/>
              <w:jc w:val="both"/>
              <w:rPr>
                <w:rFonts w:ascii="GHEA Grapalat" w:hAnsi="GHEA Grapalat"/>
                <w:lang w:val="af-ZA"/>
              </w:rPr>
            </w:pPr>
            <w:r w:rsidRPr="00DE2EFA">
              <w:rPr>
                <w:rFonts w:ascii="GHEA Grapalat" w:hAnsi="GHEA Grapalat"/>
                <w:lang w:val="af-ZA"/>
              </w:rPr>
              <w:t>Վերջին տարիներն ՀՀ կառավարության կառուցվածքի փոփոխություններով պայմանավորված՝ ՀՀ քաղաքաշինության նախարարությունը վերակազմակերպվել է նախ  ՀՀ կառավարությանն առընթեր քաղաքաշինության պետական կոմի</w:t>
            </w:r>
            <w:r w:rsidRPr="00DE2EFA">
              <w:rPr>
                <w:rFonts w:ascii="GHEA Grapalat" w:hAnsi="GHEA Grapalat"/>
                <w:lang w:val="af-ZA"/>
              </w:rPr>
              <w:t xml:space="preserve">տեի,այնուհետև՝  </w:t>
            </w:r>
            <w:r w:rsidRPr="00DE2EFA">
              <w:rPr>
                <w:rFonts w:ascii="GHEA Grapalat" w:hAnsi="GHEA Grapalat"/>
                <w:lang w:val="af-ZA"/>
              </w:rPr>
              <w:t>ՀՀ քաղաքաշինության կոմիտեի:</w:t>
            </w:r>
          </w:p>
          <w:p w:rsidR="00DE2EFA" w:rsidRPr="00DE2EFA" w:rsidRDefault="00DE2EFA" w:rsidP="00DE2EFA">
            <w:pPr>
              <w:pStyle w:val="ListParagraph1"/>
              <w:tabs>
                <w:tab w:val="left" w:pos="540"/>
                <w:tab w:val="left" w:pos="900"/>
              </w:tabs>
              <w:spacing w:after="0"/>
              <w:ind w:left="97"/>
              <w:jc w:val="both"/>
              <w:rPr>
                <w:rFonts w:ascii="GHEA Grapalat" w:hAnsi="GHEA Grapalat"/>
                <w:lang w:val="af-ZA"/>
              </w:rPr>
            </w:pPr>
            <w:r w:rsidRPr="00DE2EFA">
              <w:rPr>
                <w:rFonts w:ascii="GHEA Grapalat" w:hAnsi="GHEA Grapalat"/>
                <w:lang w:val="af-ZA"/>
              </w:rPr>
              <w:t>Վերակազմավորմամբ պայմանավորված՝ վերանայվել են նաև մարմնի գործառույթները, իրավասությունների և լիազորությունների շրջանակը, սակայն, այդ փոփոխություններին համապատասխան քաղաքաշինության բնագավառի ռազմավարական հիմնական փաստաթուղթ չւի մշակվել:</w:t>
            </w:r>
          </w:p>
          <w:p w:rsidR="00DE2EFA" w:rsidRPr="00DE2EFA" w:rsidRDefault="00DE2EFA" w:rsidP="00DE2EFA">
            <w:pPr>
              <w:pStyle w:val="ListParagraph1"/>
              <w:tabs>
                <w:tab w:val="left" w:pos="540"/>
                <w:tab w:val="left" w:pos="900"/>
              </w:tabs>
              <w:spacing w:after="0"/>
              <w:ind w:left="97"/>
              <w:jc w:val="both"/>
              <w:rPr>
                <w:rFonts w:ascii="GHEA Grapalat" w:hAnsi="GHEA Grapalat"/>
                <w:b/>
                <w:lang w:val="hy-AM"/>
              </w:rPr>
            </w:pPr>
            <w:bookmarkStart w:id="14" w:name="_GoBack"/>
            <w:r w:rsidRPr="00DE2EFA">
              <w:rPr>
                <w:rFonts w:ascii="GHEA Grapalat" w:hAnsi="GHEA Grapalat"/>
                <w:b/>
                <w:lang w:val="hy-AM"/>
              </w:rPr>
              <w:t xml:space="preserve">1.2 </w:t>
            </w:r>
            <w:r w:rsidRPr="00DE2EFA">
              <w:rPr>
                <w:rFonts w:ascii="GHEA Grapalat" w:hAnsi="GHEA Grapalat"/>
                <w:b/>
                <w:lang w:val="hy-AM"/>
              </w:rPr>
              <w:t>Առկա խնդիրների առաջարկվող լուծումները</w:t>
            </w:r>
          </w:p>
          <w:bookmarkEnd w:id="14"/>
          <w:p w:rsidR="00DE2EFA" w:rsidRPr="00DE2EFA" w:rsidRDefault="00DE2EFA" w:rsidP="00DE2EFA">
            <w:pPr>
              <w:pStyle w:val="ListParagraph1"/>
              <w:tabs>
                <w:tab w:val="left" w:pos="540"/>
                <w:tab w:val="left" w:pos="900"/>
              </w:tabs>
              <w:spacing w:after="0"/>
              <w:ind w:left="97"/>
              <w:jc w:val="both"/>
              <w:rPr>
                <w:rFonts w:ascii="GHEA Grapalat" w:hAnsi="GHEA Grapalat"/>
                <w:lang w:val="hy-AM"/>
              </w:rPr>
            </w:pPr>
            <w:r w:rsidRPr="00DE2EFA">
              <w:rPr>
                <w:rFonts w:ascii="GHEA Grapalat" w:hAnsi="GHEA Grapalat"/>
                <w:lang w:val="hy-AM"/>
              </w:rPr>
              <w:t xml:space="preserve">ՀՀ կառավարության ծրագրից և երկրի զարգացման նոր իրողություններից բխող Քաղաքաշինության բնագավառի զարգացման ռազմավարական ծրագրի մշակում: </w:t>
            </w:r>
          </w:p>
          <w:p w:rsidR="00DE2EFA" w:rsidRPr="00DE2EFA" w:rsidRDefault="00DE2EFA" w:rsidP="00DE2EFA">
            <w:pPr>
              <w:pStyle w:val="ListParagraph1"/>
              <w:tabs>
                <w:tab w:val="left" w:pos="540"/>
                <w:tab w:val="left" w:pos="900"/>
              </w:tabs>
              <w:spacing w:after="0"/>
              <w:ind w:left="97"/>
              <w:jc w:val="both"/>
              <w:rPr>
                <w:rFonts w:ascii="GHEA Grapalat" w:hAnsi="GHEA Grapalat"/>
                <w:b/>
                <w:lang w:val="hy-AM"/>
              </w:rPr>
            </w:pPr>
            <w:r w:rsidRPr="00DE2EFA">
              <w:rPr>
                <w:rFonts w:ascii="GHEA Grapalat" w:hAnsi="GHEA Grapalat"/>
                <w:b/>
                <w:lang w:val="hy-AM"/>
              </w:rPr>
              <w:t xml:space="preserve">2. </w:t>
            </w:r>
            <w:r w:rsidRPr="00DE2EFA">
              <w:rPr>
                <w:rFonts w:ascii="GHEA Grapalat" w:hAnsi="GHEA Grapalat"/>
                <w:b/>
                <w:lang w:val="hy-AM"/>
              </w:rPr>
              <w:t xml:space="preserve">Միջոցառման իրականացումից ակնկալվող արդյունքը </w:t>
            </w:r>
          </w:p>
          <w:p w:rsidR="00DE2EFA" w:rsidRPr="00DE2EFA" w:rsidRDefault="00DE2EFA" w:rsidP="00DE2EFA">
            <w:pPr>
              <w:pStyle w:val="ListParagraph1"/>
              <w:tabs>
                <w:tab w:val="left" w:pos="540"/>
                <w:tab w:val="left" w:pos="900"/>
              </w:tabs>
              <w:spacing w:after="0"/>
              <w:ind w:left="97"/>
              <w:jc w:val="both"/>
              <w:rPr>
                <w:rFonts w:ascii="GHEA Grapalat" w:hAnsi="GHEA Grapalat"/>
                <w:lang w:val="hy-AM"/>
              </w:rPr>
            </w:pPr>
            <w:r w:rsidRPr="00DE2EFA">
              <w:rPr>
                <w:rFonts w:ascii="GHEA Grapalat" w:hAnsi="GHEA Grapalat"/>
                <w:lang w:val="hy-AM"/>
              </w:rPr>
              <w:t>Քաղաքաշինության բնագավառի զարգացման ապահովող հիմնական ուղղությունների նախանշում և դրանց իրագործումն ապահովող միջոցառումների հաստատում:</w:t>
            </w:r>
          </w:p>
          <w:p w:rsidR="00DE2EFA" w:rsidRPr="0053423A" w:rsidRDefault="00DE2EFA" w:rsidP="00A67858">
            <w:pPr>
              <w:pStyle w:val="ListParagraph"/>
              <w:spacing w:line="276" w:lineRule="auto"/>
              <w:ind w:left="0"/>
              <w:jc w:val="center"/>
              <w:rPr>
                <w:rFonts w:cs="Sylfaen"/>
                <w:b/>
                <w:lang w:val="hy-AM"/>
              </w:rPr>
            </w:pPr>
          </w:p>
        </w:tc>
      </w:tr>
      <w:tr w:rsidR="00D75F05" w:rsidRPr="00DE2EFA" w:rsidTr="00D75F05">
        <w:tc>
          <w:tcPr>
            <w:tcW w:w="450" w:type="dxa"/>
          </w:tcPr>
          <w:p w:rsidR="00D75F05" w:rsidRPr="0053423A" w:rsidRDefault="00DE2EFA" w:rsidP="00A67858">
            <w:pPr>
              <w:pStyle w:val="ListParagraph"/>
              <w:spacing w:line="276" w:lineRule="auto"/>
              <w:ind w:left="0"/>
              <w:jc w:val="center"/>
              <w:rPr>
                <w:rFonts w:cs="Sylfaen"/>
                <w:b/>
                <w:lang w:val="hy-AM"/>
              </w:rPr>
            </w:pPr>
            <w:r>
              <w:rPr>
                <w:rFonts w:cs="Sylfaen"/>
                <w:b/>
                <w:lang w:val="hy-AM"/>
              </w:rPr>
              <w:t>2</w:t>
            </w:r>
          </w:p>
        </w:tc>
        <w:tc>
          <w:tcPr>
            <w:tcW w:w="11160" w:type="dxa"/>
          </w:tcPr>
          <w:p w:rsidR="00D75F05" w:rsidRPr="0053423A" w:rsidRDefault="00D75F05" w:rsidP="00A67858">
            <w:pPr>
              <w:pStyle w:val="ListParagraph"/>
              <w:spacing w:line="276" w:lineRule="auto"/>
              <w:ind w:left="97" w:right="612"/>
              <w:jc w:val="center"/>
              <w:rPr>
                <w:rFonts w:cs="Sylfaen"/>
                <w:b/>
                <w:lang w:val="af-ZA"/>
              </w:rPr>
            </w:pPr>
            <w:r w:rsidRPr="0053423A">
              <w:rPr>
                <w:rFonts w:cs="Sylfaen"/>
                <w:b/>
                <w:lang w:val="af-ZA"/>
              </w:rPr>
              <w:t>Հայաստանի</w:t>
            </w:r>
            <w:r w:rsidRPr="0053423A">
              <w:rPr>
                <w:b/>
                <w:lang w:val="af-ZA"/>
              </w:rPr>
              <w:t xml:space="preserve"> </w:t>
            </w:r>
            <w:r w:rsidRPr="0053423A">
              <w:rPr>
                <w:rFonts w:cs="Sylfaen"/>
                <w:b/>
                <w:lang w:val="af-ZA"/>
              </w:rPr>
              <w:t>Հանրապետության</w:t>
            </w:r>
            <w:r w:rsidRPr="0053423A">
              <w:rPr>
                <w:b/>
                <w:lang w:val="af-ZA"/>
              </w:rPr>
              <w:t xml:space="preserve"> </w:t>
            </w:r>
            <w:r w:rsidRPr="0053423A">
              <w:rPr>
                <w:rFonts w:cs="Sylfaen"/>
                <w:b/>
                <w:lang w:val="af-ZA"/>
              </w:rPr>
              <w:t>տարածքի</w:t>
            </w:r>
            <w:r w:rsidRPr="0053423A">
              <w:rPr>
                <w:b/>
                <w:lang w:val="af-ZA"/>
              </w:rPr>
              <w:t xml:space="preserve"> </w:t>
            </w:r>
            <w:r w:rsidRPr="0053423A">
              <w:rPr>
                <w:rFonts w:cs="Sylfaen"/>
                <w:b/>
                <w:lang w:val="af-ZA"/>
              </w:rPr>
              <w:t>բազմակենտրոն</w:t>
            </w:r>
          </w:p>
          <w:p w:rsidR="00D75F05" w:rsidRPr="0053423A" w:rsidRDefault="00D75F05" w:rsidP="00A67858">
            <w:pPr>
              <w:spacing w:line="276" w:lineRule="auto"/>
              <w:ind w:left="97"/>
              <w:jc w:val="center"/>
              <w:rPr>
                <w:rFonts w:cs="Sylfaen"/>
                <w:b/>
                <w:lang w:val="af-ZA" w:eastAsia="en-US"/>
              </w:rPr>
            </w:pPr>
            <w:r w:rsidRPr="0053423A">
              <w:rPr>
                <w:rFonts w:cs="Sylfaen"/>
                <w:b/>
                <w:lang w:val="af-ZA" w:eastAsia="en-US"/>
              </w:rPr>
              <w:t>զարգացման ապահովում</w:t>
            </w:r>
          </w:p>
          <w:p w:rsidR="00D75F05" w:rsidRPr="0053423A" w:rsidRDefault="00D75F05" w:rsidP="00A67858">
            <w:pPr>
              <w:spacing w:line="276" w:lineRule="auto"/>
              <w:ind w:left="97"/>
              <w:jc w:val="center"/>
              <w:rPr>
                <w:rFonts w:cs="Sylfaen"/>
                <w:b/>
                <w:lang w:val="af-ZA" w:eastAsia="en-US"/>
              </w:rPr>
            </w:pPr>
          </w:p>
          <w:p w:rsidR="00D75F05" w:rsidRPr="0053423A" w:rsidRDefault="00D75F05" w:rsidP="00A67858">
            <w:pPr>
              <w:pStyle w:val="ListParagraph"/>
              <w:tabs>
                <w:tab w:val="left" w:pos="1620"/>
              </w:tabs>
              <w:spacing w:line="276" w:lineRule="auto"/>
              <w:ind w:left="97"/>
              <w:jc w:val="center"/>
              <w:rPr>
                <w:b/>
                <w:u w:val="single"/>
                <w:lang w:val="af-ZA"/>
              </w:rPr>
            </w:pPr>
            <w:r w:rsidRPr="0053423A">
              <w:rPr>
                <w:b/>
                <w:u w:val="single"/>
                <w:lang w:val="hy-AM"/>
              </w:rPr>
              <w:t>1</w:t>
            </w:r>
            <w:r w:rsidRPr="0053423A">
              <w:rPr>
                <w:b/>
                <w:u w:val="single"/>
                <w:lang w:val="af-ZA"/>
              </w:rPr>
              <w:t>.1</w:t>
            </w:r>
            <w:r w:rsidRPr="0053423A">
              <w:rPr>
                <w:b/>
                <w:u w:val="single"/>
                <w:lang w:val="hy-AM"/>
              </w:rPr>
              <w:t xml:space="preserve"> Քաղաքաշինական ծրագրային (տարածական պլանավորման</w:t>
            </w:r>
            <w:r w:rsidRPr="0053423A">
              <w:rPr>
                <w:b/>
                <w:u w:val="single"/>
                <w:lang w:val="af-ZA"/>
              </w:rPr>
              <w:t>)</w:t>
            </w:r>
            <w:r w:rsidRPr="0053423A">
              <w:rPr>
                <w:b/>
                <w:u w:val="single"/>
                <w:lang w:val="hy-AM"/>
              </w:rPr>
              <w:t xml:space="preserve"> փաստաթղթերի</w:t>
            </w:r>
            <w:r w:rsidRPr="0053423A">
              <w:rPr>
                <w:b/>
                <w:u w:val="single"/>
                <w:lang w:val="af-ZA"/>
              </w:rPr>
              <w:t xml:space="preserve"> </w:t>
            </w:r>
            <w:r w:rsidRPr="0053423A">
              <w:rPr>
                <w:b/>
                <w:u w:val="single"/>
                <w:lang w:val="hy-AM"/>
              </w:rPr>
              <w:t>մշակում</w:t>
            </w:r>
            <w:r w:rsidRPr="0053423A">
              <w:rPr>
                <w:b/>
                <w:u w:val="single"/>
                <w:lang w:val="af-ZA"/>
              </w:rPr>
              <w:t xml:space="preserve"> 2017-2024 </w:t>
            </w:r>
            <w:r w:rsidRPr="0053423A">
              <w:rPr>
                <w:b/>
                <w:u w:val="single"/>
                <w:lang w:val="hy-AM"/>
              </w:rPr>
              <w:t>թվականների</w:t>
            </w:r>
            <w:r w:rsidRPr="0053423A">
              <w:rPr>
                <w:b/>
                <w:u w:val="single"/>
                <w:lang w:val="af-ZA"/>
              </w:rPr>
              <w:t xml:space="preserve"> </w:t>
            </w:r>
            <w:r w:rsidRPr="0053423A">
              <w:rPr>
                <w:b/>
                <w:u w:val="single"/>
                <w:lang w:val="hy-AM"/>
              </w:rPr>
              <w:t>ծրագրի</w:t>
            </w:r>
            <w:r w:rsidRPr="0053423A">
              <w:rPr>
                <w:b/>
                <w:u w:val="single"/>
                <w:lang w:val="af-ZA"/>
              </w:rPr>
              <w:t xml:space="preserve"> </w:t>
            </w:r>
            <w:r w:rsidRPr="0053423A">
              <w:rPr>
                <w:b/>
                <w:u w:val="single"/>
                <w:lang w:val="hy-AM"/>
              </w:rPr>
              <w:t>շրջանակներում՝</w:t>
            </w:r>
            <w:r w:rsidRPr="0053423A">
              <w:rPr>
                <w:b/>
                <w:u w:val="single"/>
                <w:lang w:val="af-ZA"/>
              </w:rPr>
              <w:t xml:space="preserve"> </w:t>
            </w:r>
            <w:r w:rsidRPr="0053423A">
              <w:rPr>
                <w:b/>
                <w:u w:val="single"/>
                <w:lang w:val="hy-AM"/>
              </w:rPr>
              <w:t>միկրոռեգիոնալ</w:t>
            </w:r>
            <w:r w:rsidRPr="0053423A">
              <w:rPr>
                <w:b/>
                <w:u w:val="single"/>
                <w:lang w:val="af-ZA"/>
              </w:rPr>
              <w:t xml:space="preserve"> </w:t>
            </w:r>
            <w:r w:rsidRPr="0053423A">
              <w:rPr>
                <w:b/>
                <w:u w:val="single"/>
                <w:lang w:val="hy-AM"/>
              </w:rPr>
              <w:t>մակարդակի</w:t>
            </w:r>
            <w:r w:rsidRPr="0053423A">
              <w:rPr>
                <w:b/>
                <w:u w:val="single"/>
                <w:lang w:val="af-ZA"/>
              </w:rPr>
              <w:t xml:space="preserve"> </w:t>
            </w:r>
            <w:r w:rsidRPr="0053423A">
              <w:rPr>
                <w:b/>
                <w:u w:val="single"/>
                <w:lang w:val="hy-AM"/>
              </w:rPr>
              <w:t>համակցված</w:t>
            </w:r>
            <w:r w:rsidRPr="0053423A">
              <w:rPr>
                <w:b/>
                <w:u w:val="single"/>
                <w:lang w:val="af-ZA"/>
              </w:rPr>
              <w:t xml:space="preserve"> </w:t>
            </w:r>
            <w:r w:rsidRPr="0053423A">
              <w:rPr>
                <w:b/>
                <w:u w:val="single"/>
                <w:lang w:val="hy-AM"/>
              </w:rPr>
              <w:t>տարածական</w:t>
            </w:r>
            <w:r w:rsidRPr="0053423A">
              <w:rPr>
                <w:b/>
                <w:u w:val="single"/>
                <w:lang w:val="af-ZA"/>
              </w:rPr>
              <w:t xml:space="preserve"> </w:t>
            </w:r>
            <w:r w:rsidRPr="0053423A">
              <w:rPr>
                <w:b/>
                <w:u w:val="single"/>
                <w:lang w:val="hy-AM"/>
              </w:rPr>
              <w:t>պլանավորման</w:t>
            </w:r>
            <w:r w:rsidRPr="0053423A">
              <w:rPr>
                <w:b/>
                <w:u w:val="single"/>
                <w:lang w:val="af-ZA"/>
              </w:rPr>
              <w:t xml:space="preserve"> </w:t>
            </w:r>
            <w:r w:rsidRPr="0053423A">
              <w:rPr>
                <w:b/>
                <w:u w:val="single"/>
                <w:lang w:val="hy-AM"/>
              </w:rPr>
              <w:t>փաստաթղթերի</w:t>
            </w:r>
            <w:r w:rsidRPr="0053423A">
              <w:rPr>
                <w:b/>
                <w:u w:val="single"/>
                <w:lang w:val="af-ZA"/>
              </w:rPr>
              <w:t xml:space="preserve"> </w:t>
            </w:r>
            <w:r w:rsidRPr="0053423A">
              <w:rPr>
                <w:b/>
                <w:u w:val="single"/>
                <w:lang w:val="hy-AM"/>
              </w:rPr>
              <w:t>մշակում</w:t>
            </w:r>
          </w:p>
          <w:p w:rsidR="00D75F05" w:rsidRPr="0053423A" w:rsidRDefault="00D75F05" w:rsidP="00A67858">
            <w:pPr>
              <w:pStyle w:val="mechtex"/>
              <w:tabs>
                <w:tab w:val="left" w:pos="1440"/>
                <w:tab w:val="left" w:pos="1620"/>
                <w:tab w:val="left" w:pos="1710"/>
              </w:tabs>
              <w:spacing w:line="276" w:lineRule="auto"/>
              <w:ind w:left="97"/>
              <w:rPr>
                <w:rFonts w:ascii="GHEA Grapalat" w:hAnsi="GHEA Grapalat" w:cs="Arial"/>
                <w:b/>
                <w:lang w:val="af-ZA"/>
              </w:rPr>
            </w:pPr>
          </w:p>
          <w:p w:rsidR="00D75F05" w:rsidRPr="0053423A" w:rsidRDefault="00D75F05" w:rsidP="00A67858">
            <w:pPr>
              <w:pStyle w:val="ListParagraph1"/>
              <w:tabs>
                <w:tab w:val="left" w:pos="540"/>
                <w:tab w:val="left" w:pos="900"/>
              </w:tabs>
              <w:spacing w:after="0"/>
              <w:ind w:left="97"/>
              <w:rPr>
                <w:rFonts w:ascii="GHEA Grapalat" w:hAnsi="GHEA Grapalat"/>
                <w:b/>
                <w:lang w:val="af-ZA"/>
              </w:rPr>
            </w:pPr>
            <w:r w:rsidRPr="0053423A">
              <w:rPr>
                <w:rFonts w:ascii="GHEA Grapalat" w:hAnsi="GHEA Grapalat"/>
                <w:b/>
                <w:lang w:val="af-ZA"/>
              </w:rPr>
              <w:t xml:space="preserve">1. </w:t>
            </w: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tabs>
                <w:tab w:val="left" w:pos="-360"/>
                <w:tab w:val="left" w:pos="-270"/>
              </w:tabs>
              <w:spacing w:line="276" w:lineRule="auto"/>
              <w:ind w:left="97"/>
              <w:jc w:val="both"/>
              <w:rPr>
                <w:bCs/>
                <w:color w:val="000000"/>
                <w:lang w:val="af-ZA"/>
              </w:rPr>
            </w:pPr>
            <w:r w:rsidRPr="0053423A">
              <w:rPr>
                <w:lang w:val="af-ZA"/>
              </w:rPr>
              <w:tab/>
            </w:r>
            <w:r w:rsidRPr="0053423A">
              <w:rPr>
                <w:lang w:val="af-ZA"/>
              </w:rPr>
              <w:tab/>
            </w:r>
            <w:r w:rsidRPr="0053423A">
              <w:t>Միջոցառման</w:t>
            </w:r>
            <w:r w:rsidRPr="0053423A">
              <w:rPr>
                <w:lang w:val="af-ZA"/>
              </w:rPr>
              <w:t xml:space="preserve"> </w:t>
            </w:r>
            <w:r w:rsidRPr="0053423A">
              <w:t>անհրաժեշտությունը</w:t>
            </w:r>
            <w:r w:rsidRPr="0053423A">
              <w:rPr>
                <w:lang w:val="af-ZA"/>
              </w:rPr>
              <w:t xml:space="preserve"> </w:t>
            </w:r>
            <w:r w:rsidRPr="0053423A">
              <w:t>բխում</w:t>
            </w:r>
            <w:r w:rsidRPr="0053423A">
              <w:rPr>
                <w:lang w:val="af-ZA"/>
              </w:rPr>
              <w:t xml:space="preserve"> </w:t>
            </w:r>
            <w:r w:rsidRPr="0053423A">
              <w:t>է</w:t>
            </w:r>
            <w:r w:rsidRPr="0053423A">
              <w:rPr>
                <w:lang w:val="af-ZA"/>
              </w:rPr>
              <w:t xml:space="preserve"> </w:t>
            </w:r>
            <w:r w:rsidRPr="0053423A">
              <w:rPr>
                <w:bCs/>
                <w:color w:val="000000"/>
                <w:lang w:val="af-ZA"/>
              </w:rPr>
              <w:t>Քաղաքաշինության մասին</w:t>
            </w:r>
            <w:r w:rsidRPr="0053423A">
              <w:rPr>
                <w:lang w:val="af-ZA"/>
              </w:rPr>
              <w:t>»</w:t>
            </w:r>
            <w:r w:rsidRPr="0053423A">
              <w:rPr>
                <w:bCs/>
                <w:color w:val="000000"/>
                <w:lang w:val="af-ZA"/>
              </w:rPr>
              <w:t xml:space="preserve"> ՀՀ օրենքի 10.1</w:t>
            </w:r>
            <w:r w:rsidRPr="0053423A">
              <w:rPr>
                <w:bCs/>
                <w:color w:val="000000"/>
                <w:lang w:val="hy-AM"/>
              </w:rPr>
              <w:t xml:space="preserve"> և</w:t>
            </w:r>
            <w:r w:rsidRPr="0053423A">
              <w:rPr>
                <w:bCs/>
                <w:color w:val="000000"/>
                <w:lang w:val="af-ZA"/>
              </w:rPr>
              <w:t xml:space="preserve"> 10.4 հոդված</w:t>
            </w:r>
            <w:r w:rsidRPr="0053423A">
              <w:rPr>
                <w:bCs/>
                <w:color w:val="000000"/>
                <w:lang w:val="hy-AM"/>
              </w:rPr>
              <w:t>ներ</w:t>
            </w:r>
            <w:r w:rsidRPr="0053423A">
              <w:rPr>
                <w:bCs/>
                <w:color w:val="000000"/>
              </w:rPr>
              <w:t>ից</w:t>
            </w:r>
            <w:r w:rsidRPr="0053423A">
              <w:rPr>
                <w:bCs/>
                <w:color w:val="000000"/>
                <w:lang w:val="af-ZA"/>
              </w:rPr>
              <w:t xml:space="preserve"> </w:t>
            </w:r>
            <w:r w:rsidRPr="0053423A">
              <w:rPr>
                <w:bCs/>
                <w:color w:val="000000"/>
              </w:rPr>
              <w:t>և</w:t>
            </w:r>
            <w:r w:rsidRPr="0053423A">
              <w:rPr>
                <w:bCs/>
                <w:color w:val="000000"/>
                <w:lang w:val="af-ZA"/>
              </w:rPr>
              <w:t xml:space="preserve"> նպատակն է՝ համակցված տարածական պլանավորման փաստաթղթերի նախագծերի մշակման միջոցով </w:t>
            </w:r>
            <w:r w:rsidRPr="0053423A">
              <w:rPr>
                <w:bCs/>
                <w:color w:val="000000"/>
                <w:lang w:val="hy-AM"/>
              </w:rPr>
              <w:t>ՀՀ</w:t>
            </w:r>
            <w:r w:rsidRPr="0053423A">
              <w:rPr>
                <w:bCs/>
                <w:color w:val="000000"/>
                <w:lang w:val="af-ZA"/>
              </w:rPr>
              <w:t xml:space="preserve"> համայնքներն ապահովել տարածական պլանավորման փաստաթղթերով և խնայել ֆինանսական միջոցները՝ տարբեր մակարդակների փաստաթղթերի համատեղման շնորհիվ:</w:t>
            </w:r>
          </w:p>
          <w:p w:rsidR="00D75F05" w:rsidRPr="0053423A" w:rsidRDefault="00D75F05" w:rsidP="00A67858">
            <w:pPr>
              <w:spacing w:line="276" w:lineRule="auto"/>
              <w:ind w:left="97"/>
              <w:rPr>
                <w:b/>
                <w:lang w:val="af-ZA"/>
              </w:rPr>
            </w:pPr>
            <w:r w:rsidRPr="0053423A">
              <w:rPr>
                <w:b/>
                <w:lang w:val="af-ZA"/>
              </w:rPr>
              <w:t xml:space="preserve">1.1 </w:t>
            </w:r>
            <w:r w:rsidRPr="0053423A">
              <w:rPr>
                <w:b/>
                <w:lang w:val="hy-AM"/>
              </w:rPr>
              <w:t>Կարգավորման հարաբերությունների ներկա վիճակը և առկա խնդիրները</w:t>
            </w:r>
          </w:p>
          <w:p w:rsidR="00D75F05" w:rsidRPr="0053423A" w:rsidRDefault="00D75F05" w:rsidP="00A67858">
            <w:pPr>
              <w:spacing w:line="276" w:lineRule="auto"/>
              <w:ind w:left="97"/>
              <w:jc w:val="both"/>
              <w:rPr>
                <w:rFonts w:cs="GHEA Grapalat"/>
                <w:lang w:val="af-ZA"/>
              </w:rPr>
            </w:pPr>
            <w:r w:rsidRPr="0053423A">
              <w:rPr>
                <w:rFonts w:cs="GHEA Grapalat"/>
                <w:lang w:val="pt-BR"/>
              </w:rPr>
              <w:t>Միկրոռեգիոնալ</w:t>
            </w:r>
            <w:r w:rsidRPr="0053423A">
              <w:rPr>
                <w:rFonts w:cs="GHEA Grapalat"/>
                <w:lang w:val="af-ZA"/>
              </w:rPr>
              <w:t xml:space="preserve"> </w:t>
            </w:r>
            <w:r w:rsidRPr="0053423A">
              <w:rPr>
                <w:rFonts w:cs="GHEA Grapalat"/>
                <w:lang w:val="pt-BR"/>
              </w:rPr>
              <w:t>պլանավորման</w:t>
            </w:r>
            <w:r w:rsidRPr="0053423A">
              <w:rPr>
                <w:rFonts w:cs="GHEA Grapalat"/>
                <w:lang w:val="af-ZA"/>
              </w:rPr>
              <w:t xml:space="preserve"> միջոցով քաղաքաշինական գործունեության կանոնակարգումը </w:t>
            </w:r>
            <w:r w:rsidRPr="0053423A">
              <w:rPr>
                <w:rFonts w:cs="GHEA Grapalat"/>
                <w:lang w:val="pt-BR"/>
              </w:rPr>
              <w:t>սահմանված</w:t>
            </w:r>
            <w:r w:rsidRPr="0053423A">
              <w:rPr>
                <w:rFonts w:cs="GHEA Grapalat"/>
                <w:lang w:val="af-ZA"/>
              </w:rPr>
              <w:t xml:space="preserve"> </w:t>
            </w:r>
            <w:r w:rsidRPr="0053423A">
              <w:rPr>
                <w:rFonts w:cs="GHEA Grapalat"/>
                <w:lang w:val="pt-BR"/>
              </w:rPr>
              <w:t>է</w:t>
            </w:r>
            <w:r w:rsidRPr="0053423A">
              <w:rPr>
                <w:rFonts w:cs="GHEA Grapalat"/>
                <w:lang w:val="af-ZA"/>
              </w:rPr>
              <w:t xml:space="preserve"> </w:t>
            </w:r>
            <w:r w:rsidRPr="0053423A">
              <w:rPr>
                <w:rFonts w:cs="GHEA Grapalat"/>
                <w:lang w:val="pt-BR"/>
              </w:rPr>
              <w:t>Քաղաքաշինության</w:t>
            </w:r>
            <w:r w:rsidRPr="0053423A">
              <w:rPr>
                <w:rFonts w:cs="GHEA Grapalat"/>
                <w:lang w:val="af-ZA"/>
              </w:rPr>
              <w:t xml:space="preserve"> </w:t>
            </w:r>
            <w:r w:rsidRPr="0053423A">
              <w:rPr>
                <w:rFonts w:cs="GHEA Grapalat"/>
                <w:lang w:val="pt-BR"/>
              </w:rPr>
              <w:t>մասին</w:t>
            </w:r>
            <w:r w:rsidRPr="0053423A">
              <w:rPr>
                <w:rFonts w:cs="GHEA Grapalat"/>
                <w:lang w:val="af-ZA"/>
              </w:rPr>
              <w:t xml:space="preserve"> </w:t>
            </w:r>
            <w:r w:rsidRPr="0053423A">
              <w:rPr>
                <w:rFonts w:cs="GHEA Grapalat"/>
                <w:lang w:val="pt-BR"/>
              </w:rPr>
              <w:t>ՀՀ</w:t>
            </w:r>
            <w:r w:rsidRPr="0053423A">
              <w:rPr>
                <w:rFonts w:cs="GHEA Grapalat"/>
                <w:lang w:val="af-ZA"/>
              </w:rPr>
              <w:t xml:space="preserve"> </w:t>
            </w:r>
            <w:r w:rsidRPr="0053423A">
              <w:rPr>
                <w:rFonts w:cs="GHEA Grapalat"/>
                <w:lang w:val="pt-BR"/>
              </w:rPr>
              <w:t>օրենքի</w:t>
            </w:r>
            <w:r w:rsidRPr="0053423A">
              <w:rPr>
                <w:rFonts w:cs="GHEA Grapalat"/>
                <w:lang w:val="af-ZA"/>
              </w:rPr>
              <w:t xml:space="preserve"> 14.4 </w:t>
            </w:r>
            <w:r w:rsidRPr="0053423A">
              <w:rPr>
                <w:rFonts w:cs="GHEA Grapalat"/>
                <w:lang w:val="pt-BR"/>
              </w:rPr>
              <w:t>հոդվածով</w:t>
            </w:r>
            <w:r w:rsidRPr="0053423A">
              <w:rPr>
                <w:rFonts w:cs="GHEA Grapalat"/>
                <w:lang w:val="af-ZA"/>
              </w:rPr>
              <w:t xml:space="preserve">, </w:t>
            </w:r>
            <w:r w:rsidRPr="0053423A">
              <w:rPr>
                <w:rFonts w:cs="GHEA Grapalat"/>
                <w:lang w:val="pt-BR"/>
              </w:rPr>
              <w:t>իսկ</w:t>
            </w:r>
            <w:r w:rsidRPr="0053423A">
              <w:rPr>
                <w:rFonts w:cs="GHEA Grapalat"/>
                <w:lang w:val="af-ZA"/>
              </w:rPr>
              <w:t xml:space="preserve"> 14.3 </w:t>
            </w:r>
            <w:r w:rsidRPr="0053423A">
              <w:rPr>
                <w:rFonts w:cs="GHEA Grapalat"/>
                <w:lang w:val="pt-BR"/>
              </w:rPr>
              <w:t>հոդվածի</w:t>
            </w:r>
            <w:r w:rsidRPr="0053423A">
              <w:rPr>
                <w:rFonts w:cs="GHEA Grapalat"/>
                <w:lang w:val="af-ZA"/>
              </w:rPr>
              <w:t xml:space="preserve"> 32-</w:t>
            </w:r>
            <w:r w:rsidRPr="0053423A">
              <w:rPr>
                <w:rFonts w:cs="GHEA Grapalat"/>
                <w:lang w:val="pt-BR"/>
              </w:rPr>
              <w:t>րդ</w:t>
            </w:r>
            <w:r w:rsidRPr="0053423A">
              <w:rPr>
                <w:rFonts w:cs="GHEA Grapalat"/>
                <w:lang w:val="af-ZA"/>
              </w:rPr>
              <w:t xml:space="preserve"> </w:t>
            </w:r>
            <w:r w:rsidRPr="0053423A">
              <w:rPr>
                <w:rFonts w:cs="GHEA Grapalat"/>
                <w:lang w:val="pt-BR"/>
              </w:rPr>
              <w:t>մասով</w:t>
            </w:r>
            <w:r w:rsidRPr="0053423A">
              <w:rPr>
                <w:rFonts w:cs="GHEA Grapalat"/>
                <w:lang w:val="af-ZA"/>
              </w:rPr>
              <w:t xml:space="preserve"> </w:t>
            </w:r>
            <w:r w:rsidRPr="0053423A">
              <w:rPr>
                <w:rFonts w:cs="GHEA Grapalat"/>
                <w:lang w:val="pt-BR"/>
              </w:rPr>
              <w:t>համայնքների</w:t>
            </w:r>
            <w:r w:rsidRPr="0053423A">
              <w:rPr>
                <w:rFonts w:cs="GHEA Grapalat"/>
                <w:lang w:val="af-ZA"/>
              </w:rPr>
              <w:t xml:space="preserve"> </w:t>
            </w:r>
            <w:r w:rsidRPr="0053423A">
              <w:rPr>
                <w:rFonts w:cs="GHEA Grapalat"/>
                <w:lang w:val="pt-BR"/>
              </w:rPr>
              <w:t>քաղաքաշինական</w:t>
            </w:r>
            <w:r w:rsidRPr="0053423A">
              <w:rPr>
                <w:rFonts w:cs="GHEA Grapalat"/>
                <w:lang w:val="af-ZA"/>
              </w:rPr>
              <w:t xml:space="preserve"> </w:t>
            </w:r>
            <w:r w:rsidRPr="0053423A">
              <w:rPr>
                <w:rFonts w:cs="GHEA Grapalat"/>
                <w:lang w:val="pt-BR"/>
              </w:rPr>
              <w:t>ծրագրային</w:t>
            </w:r>
            <w:r w:rsidRPr="0053423A">
              <w:rPr>
                <w:rFonts w:cs="GHEA Grapalat"/>
                <w:lang w:val="af-ZA"/>
              </w:rPr>
              <w:t xml:space="preserve"> </w:t>
            </w:r>
            <w:r w:rsidRPr="0053423A">
              <w:rPr>
                <w:rFonts w:cs="GHEA Grapalat"/>
                <w:lang w:val="pt-BR"/>
              </w:rPr>
              <w:t>փաստաթղթերի</w:t>
            </w:r>
            <w:r w:rsidRPr="0053423A">
              <w:rPr>
                <w:rFonts w:cs="GHEA Grapalat"/>
                <w:lang w:val="af-ZA"/>
              </w:rPr>
              <w:t xml:space="preserve"> </w:t>
            </w:r>
            <w:r w:rsidRPr="0053423A">
              <w:rPr>
                <w:rFonts w:cs="GHEA Grapalat"/>
                <w:lang w:val="pt-BR"/>
              </w:rPr>
              <w:t>մշակման</w:t>
            </w:r>
            <w:r w:rsidRPr="0053423A">
              <w:rPr>
                <w:rFonts w:cs="GHEA Grapalat"/>
                <w:lang w:val="af-ZA"/>
              </w:rPr>
              <w:t xml:space="preserve"> </w:t>
            </w:r>
            <w:r w:rsidRPr="0053423A">
              <w:rPr>
                <w:rFonts w:cs="GHEA Grapalat"/>
                <w:lang w:val="pt-BR"/>
              </w:rPr>
              <w:t>համար</w:t>
            </w:r>
            <w:r w:rsidRPr="0053423A">
              <w:rPr>
                <w:rFonts w:cs="GHEA Grapalat"/>
                <w:lang w:val="af-ZA"/>
              </w:rPr>
              <w:t xml:space="preserve"> </w:t>
            </w:r>
            <w:r w:rsidRPr="0053423A">
              <w:rPr>
                <w:rFonts w:cs="GHEA Grapalat"/>
                <w:lang w:val="pt-BR"/>
              </w:rPr>
              <w:t>վերջնաժամկետ</w:t>
            </w:r>
            <w:r w:rsidRPr="0053423A">
              <w:rPr>
                <w:rFonts w:cs="GHEA Grapalat"/>
                <w:lang w:val="af-ZA"/>
              </w:rPr>
              <w:t xml:space="preserve"> </w:t>
            </w:r>
            <w:r w:rsidRPr="0053423A">
              <w:rPr>
                <w:rFonts w:cs="GHEA Grapalat"/>
                <w:lang w:val="pt-BR"/>
              </w:rPr>
              <w:t>է</w:t>
            </w:r>
            <w:r w:rsidRPr="0053423A">
              <w:rPr>
                <w:rFonts w:cs="GHEA Grapalat"/>
                <w:lang w:val="af-ZA"/>
              </w:rPr>
              <w:t xml:space="preserve"> </w:t>
            </w:r>
            <w:r w:rsidRPr="0053423A">
              <w:rPr>
                <w:rFonts w:cs="GHEA Grapalat"/>
                <w:lang w:val="pt-BR"/>
              </w:rPr>
              <w:t>սահմանված</w:t>
            </w:r>
            <w:r w:rsidRPr="0053423A">
              <w:rPr>
                <w:rFonts w:cs="GHEA Grapalat"/>
                <w:lang w:val="af-ZA"/>
              </w:rPr>
              <w:t xml:space="preserve"> 2021 </w:t>
            </w:r>
            <w:r w:rsidRPr="0053423A">
              <w:rPr>
                <w:rFonts w:cs="GHEA Grapalat"/>
                <w:lang w:val="pt-BR"/>
              </w:rPr>
              <w:t>թվականի</w:t>
            </w:r>
            <w:r w:rsidRPr="0053423A">
              <w:rPr>
                <w:rFonts w:cs="GHEA Grapalat"/>
                <w:lang w:val="af-ZA"/>
              </w:rPr>
              <w:t xml:space="preserve"> </w:t>
            </w:r>
            <w:r w:rsidRPr="0053423A">
              <w:rPr>
                <w:rFonts w:cs="GHEA Grapalat"/>
                <w:lang w:val="pt-BR"/>
              </w:rPr>
              <w:t>հունվարի</w:t>
            </w:r>
            <w:r w:rsidRPr="0053423A">
              <w:rPr>
                <w:rFonts w:cs="GHEA Grapalat"/>
                <w:lang w:val="af-ZA"/>
              </w:rPr>
              <w:t xml:space="preserve"> 1-</w:t>
            </w:r>
            <w:r w:rsidRPr="0053423A">
              <w:rPr>
                <w:rFonts w:cs="GHEA Grapalat"/>
                <w:lang w:val="pt-BR"/>
              </w:rPr>
              <w:t>ը</w:t>
            </w:r>
            <w:r w:rsidRPr="0053423A">
              <w:rPr>
                <w:rFonts w:cs="GHEA Grapalat"/>
                <w:lang w:val="af-ZA"/>
              </w:rPr>
              <w:t xml:space="preserve">:  </w:t>
            </w:r>
          </w:p>
          <w:p w:rsidR="00D75F05" w:rsidRPr="0053423A" w:rsidRDefault="00D75F05" w:rsidP="00A67858">
            <w:pPr>
              <w:spacing w:line="276" w:lineRule="auto"/>
              <w:ind w:left="97"/>
              <w:jc w:val="both"/>
              <w:rPr>
                <w:lang w:val="af-ZA"/>
              </w:rPr>
            </w:pPr>
            <w:r w:rsidRPr="0053423A">
              <w:rPr>
                <w:lang w:val="af-ZA"/>
              </w:rPr>
              <w:t xml:space="preserve">Ներկայումս ՀՀ </w:t>
            </w:r>
            <w:r w:rsidRPr="0053423A">
              <w:t>բնակավայրերից</w:t>
            </w:r>
            <w:r w:rsidRPr="0053423A">
              <w:rPr>
                <w:lang w:val="af-ZA"/>
              </w:rPr>
              <w:t xml:space="preserve"> </w:t>
            </w:r>
            <w:r w:rsidRPr="0053423A">
              <w:t>ընդամենը</w:t>
            </w:r>
            <w:r w:rsidRPr="0053423A">
              <w:rPr>
                <w:lang w:val="af-ZA"/>
              </w:rPr>
              <w:t xml:space="preserve"> 126-ն ունեն հաստատված գլխավոր հատակագծեր:</w:t>
            </w:r>
          </w:p>
          <w:p w:rsidR="00D75F05" w:rsidRPr="0053423A" w:rsidRDefault="00D75F05" w:rsidP="00A67858">
            <w:pPr>
              <w:spacing w:line="276" w:lineRule="auto"/>
              <w:ind w:left="97"/>
              <w:jc w:val="both"/>
              <w:rPr>
                <w:rFonts w:cs="GHEA Grapalat"/>
                <w:lang w:val="af-ZA"/>
              </w:rPr>
            </w:pPr>
            <w:r w:rsidRPr="0053423A">
              <w:rPr>
                <w:rFonts w:cs="GHEA Grapalat"/>
                <w:lang w:val="af-ZA"/>
              </w:rPr>
              <w:t xml:space="preserve">Ծրագրի շրջանակներում 2017 թվականին մշակվել են ՀՀ Տավուշի մարզի (բացառությամբ Դիլիջան խոշորացված համայնքի) միկրոռեգիոնալ փաստաթղթերը, իսկ 2018 թվականին՝            ՀՀ Սյունիքի և Արարատի մարզերինը: </w:t>
            </w:r>
          </w:p>
          <w:p w:rsidR="00D75F05" w:rsidRPr="0053423A" w:rsidRDefault="00D75F05" w:rsidP="00A67858">
            <w:pPr>
              <w:spacing w:line="276" w:lineRule="auto"/>
              <w:ind w:left="97"/>
              <w:rPr>
                <w:b/>
                <w:lang w:val="af-ZA"/>
              </w:rPr>
            </w:pPr>
            <w:r w:rsidRPr="0053423A">
              <w:rPr>
                <w:b/>
                <w:lang w:val="af-ZA"/>
              </w:rPr>
              <w:t xml:space="preserve">1.2 </w:t>
            </w:r>
            <w:r w:rsidRPr="0053423A">
              <w:rPr>
                <w:b/>
                <w:lang w:val="hy-AM"/>
              </w:rPr>
              <w:t>Առկա</w:t>
            </w:r>
            <w:r w:rsidRPr="0053423A">
              <w:rPr>
                <w:b/>
                <w:lang w:val="af-ZA"/>
              </w:rPr>
              <w:t xml:space="preserve"> </w:t>
            </w:r>
            <w:r w:rsidRPr="0053423A">
              <w:rPr>
                <w:b/>
                <w:lang w:val="hy-AM"/>
              </w:rPr>
              <w:t>խնդիրների</w:t>
            </w:r>
            <w:r w:rsidRPr="0053423A">
              <w:rPr>
                <w:b/>
                <w:lang w:val="af-ZA"/>
              </w:rPr>
              <w:t xml:space="preserve"> </w:t>
            </w:r>
            <w:r w:rsidRPr="0053423A">
              <w:rPr>
                <w:b/>
                <w:lang w:val="hy-AM"/>
              </w:rPr>
              <w:t>առաջարկվող</w:t>
            </w:r>
            <w:r w:rsidRPr="0053423A">
              <w:rPr>
                <w:b/>
                <w:lang w:val="af-ZA"/>
              </w:rPr>
              <w:t xml:space="preserve"> </w:t>
            </w:r>
            <w:r w:rsidRPr="0053423A">
              <w:rPr>
                <w:b/>
                <w:lang w:val="hy-AM"/>
              </w:rPr>
              <w:t>լուծումները</w:t>
            </w:r>
          </w:p>
          <w:p w:rsidR="00D75F05" w:rsidRPr="0053423A" w:rsidRDefault="00D75F05" w:rsidP="00A67858">
            <w:pPr>
              <w:spacing w:line="276" w:lineRule="auto"/>
              <w:ind w:left="97"/>
              <w:jc w:val="both"/>
              <w:rPr>
                <w:lang w:val="af-ZA"/>
              </w:rPr>
            </w:pPr>
            <w:r w:rsidRPr="0053423A">
              <w:rPr>
                <w:rFonts w:cs="Sylfaen"/>
              </w:rPr>
              <w:t>Նախատեսված</w:t>
            </w:r>
            <w:r w:rsidRPr="0053423A">
              <w:rPr>
                <w:rFonts w:cs="Sylfaen"/>
                <w:lang w:val="af-ZA"/>
              </w:rPr>
              <w:t xml:space="preserve"> </w:t>
            </w:r>
            <w:r w:rsidRPr="0053423A">
              <w:rPr>
                <w:rFonts w:cs="Sylfaen"/>
              </w:rPr>
              <w:t>է</w:t>
            </w:r>
            <w:r w:rsidRPr="0053423A">
              <w:rPr>
                <w:rFonts w:cs="Sylfaen"/>
                <w:lang w:val="af-ZA"/>
              </w:rPr>
              <w:t xml:space="preserve"> </w:t>
            </w:r>
            <w:r w:rsidRPr="0053423A">
              <w:rPr>
                <w:lang w:val="hy-AM"/>
              </w:rPr>
              <w:t>Քաղաքաշինական ծրագրային (տարածական պլանավորման</w:t>
            </w:r>
            <w:r w:rsidRPr="0053423A">
              <w:rPr>
                <w:lang w:val="af-ZA"/>
              </w:rPr>
              <w:t xml:space="preserve">) </w:t>
            </w:r>
            <w:r w:rsidRPr="0053423A">
              <w:t>փաստաթղթերի</w:t>
            </w:r>
            <w:r w:rsidRPr="0053423A">
              <w:rPr>
                <w:lang w:val="af-ZA"/>
              </w:rPr>
              <w:t xml:space="preserve"> </w:t>
            </w:r>
            <w:r w:rsidRPr="0053423A">
              <w:t>մշակում</w:t>
            </w:r>
            <w:r w:rsidRPr="0053423A">
              <w:rPr>
                <w:lang w:val="af-ZA"/>
              </w:rPr>
              <w:t xml:space="preserve"> 2017-2024 </w:t>
            </w:r>
            <w:r w:rsidRPr="0053423A">
              <w:t>թվականների</w:t>
            </w:r>
            <w:r w:rsidRPr="0053423A">
              <w:rPr>
                <w:lang w:val="af-ZA"/>
              </w:rPr>
              <w:t xml:space="preserve"> </w:t>
            </w:r>
            <w:r w:rsidRPr="0053423A">
              <w:t>ծրագրի</w:t>
            </w:r>
            <w:r w:rsidRPr="0053423A">
              <w:rPr>
                <w:lang w:val="af-ZA"/>
              </w:rPr>
              <w:t xml:space="preserve"> </w:t>
            </w:r>
            <w:r w:rsidRPr="0053423A">
              <w:t>շրջանակներում՝</w:t>
            </w:r>
          </w:p>
          <w:p w:rsidR="00D75F05" w:rsidRPr="0053423A" w:rsidRDefault="00D75F05" w:rsidP="00A67858">
            <w:pPr>
              <w:spacing w:line="276" w:lineRule="auto"/>
              <w:ind w:left="97"/>
              <w:jc w:val="both"/>
              <w:rPr>
                <w:rFonts w:cs="Sylfaen"/>
                <w:lang w:val="hy-AM"/>
              </w:rPr>
            </w:pPr>
            <w:r w:rsidRPr="0053423A">
              <w:rPr>
                <w:lang w:val="af-ZA"/>
              </w:rPr>
              <w:t>-</w:t>
            </w:r>
            <w:r w:rsidRPr="0053423A">
              <w:rPr>
                <w:rFonts w:cs="Sylfaen"/>
                <w:lang w:val="hy-AM"/>
              </w:rPr>
              <w:t xml:space="preserve"> 2019 թվականին</w:t>
            </w:r>
            <w:r w:rsidRPr="0053423A">
              <w:rPr>
                <w:rFonts w:cs="Sylfaen"/>
                <w:lang w:val="af-ZA"/>
              </w:rPr>
              <w:t xml:space="preserve"> </w:t>
            </w:r>
            <w:r w:rsidRPr="0053423A">
              <w:rPr>
                <w:rFonts w:cs="Sylfaen"/>
              </w:rPr>
              <w:t>մշակել</w:t>
            </w:r>
            <w:r w:rsidRPr="0053423A">
              <w:rPr>
                <w:rFonts w:cs="Sylfaen"/>
                <w:lang w:val="hy-AM"/>
              </w:rPr>
              <w:t xml:space="preserve"> ՀՀ Վայոց ձորի և Արմավիրի մարզերի ու Դիլիջանի խոշորացված համայնքի,</w:t>
            </w:r>
          </w:p>
          <w:p w:rsidR="00D75F05" w:rsidRPr="0053423A" w:rsidRDefault="00D75F05" w:rsidP="00A67858">
            <w:pPr>
              <w:spacing w:line="276" w:lineRule="auto"/>
              <w:ind w:left="97"/>
              <w:jc w:val="both"/>
              <w:rPr>
                <w:rFonts w:cs="Sylfaen"/>
                <w:lang w:val="hy-AM"/>
              </w:rPr>
            </w:pPr>
            <w:r w:rsidRPr="0053423A">
              <w:rPr>
                <w:rFonts w:cs="Sylfaen"/>
                <w:lang w:val="hy-AM"/>
              </w:rPr>
              <w:t>- 2020 թվականին՝ ՀՀ Արագածոտնի և Գեղարքունիքի մարզերի,</w:t>
            </w:r>
          </w:p>
          <w:p w:rsidR="00D75F05" w:rsidRPr="0053423A" w:rsidRDefault="00D75F05" w:rsidP="00A67858">
            <w:pPr>
              <w:spacing w:line="276" w:lineRule="auto"/>
              <w:ind w:left="97"/>
              <w:jc w:val="both"/>
              <w:rPr>
                <w:rFonts w:cs="Sylfaen"/>
                <w:lang w:val="hy-AM"/>
              </w:rPr>
            </w:pPr>
            <w:r w:rsidRPr="0053423A">
              <w:rPr>
                <w:rFonts w:cs="Sylfaen"/>
                <w:lang w:val="hy-AM"/>
              </w:rPr>
              <w:t>- 2021 թվականին՝ ՀՀ Լոռու և Կոտայքի մարզերի (մասնակի),</w:t>
            </w:r>
          </w:p>
          <w:p w:rsidR="00D75F05" w:rsidRPr="0053423A" w:rsidRDefault="00D75F05" w:rsidP="00A67858">
            <w:pPr>
              <w:spacing w:line="276" w:lineRule="auto"/>
              <w:ind w:left="97"/>
              <w:jc w:val="both"/>
              <w:rPr>
                <w:rFonts w:cs="Sylfaen"/>
                <w:lang w:val="hy-AM"/>
              </w:rPr>
            </w:pPr>
            <w:r w:rsidRPr="0053423A">
              <w:rPr>
                <w:rFonts w:cs="Sylfaen"/>
                <w:lang w:val="hy-AM"/>
              </w:rPr>
              <w:t>- 2022 թվականին՝ ՀՀ Կոտայքի և Շիրակի մարզերի,</w:t>
            </w:r>
          </w:p>
          <w:p w:rsidR="00D75F05" w:rsidRPr="0053423A" w:rsidRDefault="00D75F05" w:rsidP="00A67858">
            <w:pPr>
              <w:spacing w:line="276" w:lineRule="auto"/>
              <w:ind w:left="97"/>
              <w:jc w:val="both"/>
              <w:rPr>
                <w:rFonts w:cs="Sylfaen"/>
                <w:lang w:val="hy-AM"/>
              </w:rPr>
            </w:pPr>
            <w:r w:rsidRPr="0053423A">
              <w:rPr>
                <w:rFonts w:cs="Sylfaen"/>
                <w:lang w:val="hy-AM"/>
              </w:rPr>
              <w:t>- 2023 թվականին՝ ՀՀ Գեղարքունիքի մարզի համար:</w:t>
            </w:r>
          </w:p>
          <w:p w:rsidR="00D75F05" w:rsidRPr="0053423A" w:rsidRDefault="00D75F05" w:rsidP="00A67858">
            <w:pPr>
              <w:spacing w:line="276" w:lineRule="auto"/>
              <w:ind w:left="97"/>
              <w:jc w:val="both"/>
              <w:rPr>
                <w:rFonts w:cs="Sylfaen"/>
                <w:lang w:val="hy-AM"/>
              </w:rPr>
            </w:pPr>
            <w:r w:rsidRPr="0053423A">
              <w:rPr>
                <w:rFonts w:cs="Sylfaen"/>
                <w:lang w:val="hy-AM"/>
              </w:rPr>
              <w:t>- 2024 թվականին՝ ՀՀ տարաբնակեցման և տարածքների կազմակերպման գլխավոր նախագծի մշակում (ՀՀ տարածքի 20 տարվա զարգացման ռազմավարությունը):</w:t>
            </w:r>
          </w:p>
          <w:p w:rsidR="00D75F05" w:rsidRPr="0053423A" w:rsidRDefault="00D75F05" w:rsidP="00A67858">
            <w:pPr>
              <w:pStyle w:val="ListParagraph"/>
              <w:spacing w:line="276" w:lineRule="auto"/>
              <w:ind w:left="97"/>
              <w:rPr>
                <w:b/>
                <w:lang w:val="hy-AM"/>
              </w:rPr>
            </w:pPr>
            <w:r w:rsidRPr="0053423A">
              <w:rPr>
                <w:b/>
                <w:lang w:val="af-ZA"/>
              </w:rPr>
              <w:t xml:space="preserve">2. </w:t>
            </w:r>
            <w:r w:rsidRPr="0053423A">
              <w:rPr>
                <w:b/>
                <w:lang w:val="hy-AM"/>
              </w:rPr>
              <w:t>Միջոցառման</w:t>
            </w:r>
            <w:r w:rsidRPr="0053423A">
              <w:rPr>
                <w:b/>
                <w:lang w:val="af-ZA"/>
              </w:rPr>
              <w:t xml:space="preserve"> </w:t>
            </w:r>
            <w:r w:rsidRPr="0053423A">
              <w:rPr>
                <w:b/>
                <w:lang w:val="hy-AM"/>
              </w:rPr>
              <w:t>իրականացումից</w:t>
            </w:r>
            <w:r w:rsidRPr="0053423A">
              <w:rPr>
                <w:b/>
                <w:lang w:val="af-ZA"/>
              </w:rPr>
              <w:t xml:space="preserve"> </w:t>
            </w:r>
            <w:r w:rsidRPr="0053423A">
              <w:rPr>
                <w:b/>
                <w:lang w:val="hy-AM"/>
              </w:rPr>
              <w:t>ակնկալվող</w:t>
            </w:r>
            <w:r w:rsidRPr="0053423A">
              <w:rPr>
                <w:b/>
                <w:lang w:val="af-ZA"/>
              </w:rPr>
              <w:t xml:space="preserve"> </w:t>
            </w:r>
            <w:r w:rsidRPr="0053423A">
              <w:rPr>
                <w:b/>
                <w:lang w:val="hy-AM"/>
              </w:rPr>
              <w:t>արդյունքը</w:t>
            </w:r>
          </w:p>
          <w:p w:rsidR="00D75F05" w:rsidRPr="0053423A" w:rsidRDefault="00D75F05" w:rsidP="00A67858">
            <w:pPr>
              <w:tabs>
                <w:tab w:val="left" w:pos="0"/>
              </w:tabs>
              <w:spacing w:line="276" w:lineRule="auto"/>
              <w:ind w:left="97"/>
              <w:jc w:val="both"/>
              <w:rPr>
                <w:lang w:val="af-ZA"/>
              </w:rPr>
            </w:pPr>
            <w:r w:rsidRPr="0053423A">
              <w:rPr>
                <w:lang w:val="af-ZA"/>
              </w:rPr>
              <w:t>ՀՀ բոլոր համայնքների ապահովում տարածական պլանավորման փաստաթղթերով:</w:t>
            </w:r>
          </w:p>
          <w:p w:rsidR="00D75F05" w:rsidRPr="0053423A" w:rsidRDefault="00D75F05" w:rsidP="00A67858">
            <w:pPr>
              <w:tabs>
                <w:tab w:val="left" w:pos="0"/>
              </w:tabs>
              <w:spacing w:line="276" w:lineRule="auto"/>
              <w:ind w:left="97"/>
              <w:jc w:val="both"/>
              <w:rPr>
                <w:lang w:val="af-ZA"/>
              </w:rPr>
            </w:pPr>
          </w:p>
          <w:p w:rsidR="00D75F05" w:rsidRPr="0053423A" w:rsidRDefault="00D75F05" w:rsidP="00A67858">
            <w:pPr>
              <w:pStyle w:val="norm"/>
              <w:spacing w:line="276" w:lineRule="auto"/>
              <w:ind w:left="97" w:firstLine="0"/>
              <w:jc w:val="center"/>
              <w:rPr>
                <w:rFonts w:ascii="GHEA Grapalat" w:hAnsi="GHEA Grapalat"/>
                <w:b/>
                <w:u w:val="single"/>
                <w:lang w:val="af-ZA"/>
              </w:rPr>
            </w:pPr>
            <w:r w:rsidRPr="0053423A">
              <w:rPr>
                <w:rFonts w:ascii="GHEA Grapalat" w:hAnsi="GHEA Grapalat"/>
                <w:b/>
                <w:u w:val="single"/>
                <w:lang w:val="af-ZA"/>
              </w:rPr>
              <w:t>1.2 </w:t>
            </w:r>
            <w:r w:rsidRPr="0053423A">
              <w:rPr>
                <w:rFonts w:ascii="GHEA Grapalat" w:hAnsi="GHEA Grapalat"/>
                <w:b/>
                <w:u w:val="single"/>
              </w:rPr>
              <w:t>Սևան</w:t>
            </w:r>
            <w:r w:rsidRPr="0053423A">
              <w:rPr>
                <w:rFonts w:ascii="GHEA Grapalat" w:hAnsi="GHEA Grapalat"/>
                <w:b/>
                <w:u w:val="single"/>
                <w:lang w:val="af-ZA"/>
              </w:rPr>
              <w:t xml:space="preserve"> </w:t>
            </w:r>
            <w:r w:rsidRPr="0053423A">
              <w:rPr>
                <w:rFonts w:ascii="GHEA Grapalat" w:hAnsi="GHEA Grapalat"/>
                <w:b/>
                <w:u w:val="single"/>
              </w:rPr>
              <w:t>ազգային</w:t>
            </w:r>
            <w:r w:rsidRPr="0053423A">
              <w:rPr>
                <w:rFonts w:ascii="GHEA Grapalat" w:hAnsi="GHEA Grapalat"/>
                <w:b/>
                <w:u w:val="single"/>
                <w:lang w:val="af-ZA"/>
              </w:rPr>
              <w:t xml:space="preserve"> </w:t>
            </w:r>
            <w:r w:rsidRPr="0053423A">
              <w:rPr>
                <w:rFonts w:ascii="GHEA Grapalat" w:hAnsi="GHEA Grapalat"/>
                <w:b/>
                <w:u w:val="single"/>
              </w:rPr>
              <w:t>պարկի</w:t>
            </w:r>
            <w:r w:rsidRPr="0053423A">
              <w:rPr>
                <w:rFonts w:ascii="GHEA Grapalat" w:hAnsi="GHEA Grapalat"/>
                <w:b/>
                <w:u w:val="single"/>
                <w:lang w:val="af-ZA"/>
              </w:rPr>
              <w:t xml:space="preserve"> </w:t>
            </w:r>
            <w:r w:rsidRPr="0053423A">
              <w:rPr>
                <w:rFonts w:ascii="GHEA Grapalat" w:hAnsi="GHEA Grapalat"/>
                <w:b/>
                <w:u w:val="single"/>
              </w:rPr>
              <w:t>Լճաշեն</w:t>
            </w:r>
            <w:r w:rsidRPr="0053423A">
              <w:rPr>
                <w:rFonts w:ascii="GHEA Grapalat" w:hAnsi="GHEA Grapalat"/>
                <w:b/>
                <w:u w:val="single"/>
                <w:lang w:val="af-ZA"/>
              </w:rPr>
              <w:t>-</w:t>
            </w:r>
            <w:r w:rsidRPr="0053423A">
              <w:rPr>
                <w:rFonts w:ascii="GHEA Grapalat" w:hAnsi="GHEA Grapalat"/>
                <w:b/>
                <w:u w:val="single"/>
              </w:rPr>
              <w:t>Սևանի</w:t>
            </w:r>
            <w:r w:rsidRPr="0053423A">
              <w:rPr>
                <w:rFonts w:ascii="GHEA Grapalat" w:hAnsi="GHEA Grapalat"/>
                <w:b/>
                <w:u w:val="single"/>
                <w:lang w:val="af-ZA"/>
              </w:rPr>
              <w:t xml:space="preserve"> </w:t>
            </w:r>
            <w:r w:rsidRPr="0053423A">
              <w:rPr>
                <w:rFonts w:ascii="GHEA Grapalat" w:hAnsi="GHEA Grapalat"/>
                <w:b/>
                <w:u w:val="single"/>
              </w:rPr>
              <w:t>թերակղզի</w:t>
            </w:r>
            <w:r w:rsidRPr="0053423A">
              <w:rPr>
                <w:rFonts w:ascii="GHEA Grapalat" w:hAnsi="GHEA Grapalat"/>
                <w:b/>
                <w:u w:val="single"/>
                <w:lang w:val="af-ZA"/>
              </w:rPr>
              <w:t xml:space="preserve"> </w:t>
            </w:r>
            <w:r w:rsidRPr="0053423A">
              <w:rPr>
                <w:rFonts w:ascii="GHEA Grapalat" w:hAnsi="GHEA Grapalat"/>
                <w:b/>
                <w:u w:val="single"/>
              </w:rPr>
              <w:t>հատվածի</w:t>
            </w:r>
            <w:r w:rsidRPr="0053423A">
              <w:rPr>
                <w:rFonts w:ascii="GHEA Grapalat" w:hAnsi="GHEA Grapalat"/>
                <w:b/>
                <w:u w:val="single"/>
                <w:lang w:val="af-ZA"/>
              </w:rPr>
              <w:t xml:space="preserve"> </w:t>
            </w:r>
            <w:r w:rsidRPr="0053423A">
              <w:rPr>
                <w:rFonts w:ascii="GHEA Grapalat" w:hAnsi="GHEA Grapalat"/>
                <w:b/>
                <w:u w:val="single"/>
              </w:rPr>
              <w:t>գոտևորման</w:t>
            </w:r>
            <w:r w:rsidRPr="0053423A">
              <w:rPr>
                <w:rFonts w:ascii="GHEA Grapalat" w:hAnsi="GHEA Grapalat"/>
                <w:b/>
                <w:u w:val="single"/>
                <w:lang w:val="af-ZA"/>
              </w:rPr>
              <w:t xml:space="preserve"> </w:t>
            </w:r>
            <w:r w:rsidRPr="0053423A">
              <w:rPr>
                <w:rFonts w:ascii="GHEA Grapalat" w:hAnsi="GHEA Grapalat"/>
                <w:b/>
                <w:u w:val="single"/>
              </w:rPr>
              <w:t>նախագծի</w:t>
            </w:r>
            <w:r w:rsidRPr="0053423A">
              <w:rPr>
                <w:rFonts w:ascii="GHEA Grapalat" w:hAnsi="GHEA Grapalat"/>
                <w:b/>
                <w:u w:val="single"/>
                <w:lang w:val="af-ZA"/>
              </w:rPr>
              <w:t xml:space="preserve"> </w:t>
            </w:r>
            <w:r w:rsidRPr="0053423A">
              <w:rPr>
                <w:rFonts w:ascii="GHEA Grapalat" w:hAnsi="GHEA Grapalat"/>
                <w:b/>
                <w:u w:val="single"/>
              </w:rPr>
              <w:t>և</w:t>
            </w:r>
            <w:r w:rsidRPr="0053423A">
              <w:rPr>
                <w:rFonts w:ascii="GHEA Grapalat" w:hAnsi="GHEA Grapalat"/>
                <w:b/>
                <w:u w:val="single"/>
                <w:lang w:val="af-ZA"/>
              </w:rPr>
              <w:t xml:space="preserve"> </w:t>
            </w:r>
            <w:r w:rsidRPr="0053423A">
              <w:rPr>
                <w:rFonts w:ascii="GHEA Grapalat" w:hAnsi="GHEA Grapalat"/>
                <w:b/>
                <w:u w:val="single"/>
              </w:rPr>
              <w:t>քաղաքաշինական</w:t>
            </w:r>
            <w:r w:rsidRPr="0053423A">
              <w:rPr>
                <w:rFonts w:ascii="GHEA Grapalat" w:hAnsi="GHEA Grapalat"/>
                <w:b/>
                <w:u w:val="single"/>
                <w:lang w:val="af-ZA"/>
              </w:rPr>
              <w:t xml:space="preserve"> </w:t>
            </w:r>
            <w:r w:rsidRPr="0053423A">
              <w:rPr>
                <w:rFonts w:ascii="GHEA Grapalat" w:hAnsi="GHEA Grapalat"/>
                <w:b/>
                <w:u w:val="single"/>
              </w:rPr>
              <w:t>կանոնադրության</w:t>
            </w:r>
            <w:r w:rsidRPr="0053423A">
              <w:rPr>
                <w:rFonts w:ascii="GHEA Grapalat" w:hAnsi="GHEA Grapalat"/>
                <w:b/>
                <w:u w:val="single"/>
                <w:lang w:val="af-ZA"/>
              </w:rPr>
              <w:t xml:space="preserve"> </w:t>
            </w:r>
            <w:r w:rsidRPr="0053423A">
              <w:rPr>
                <w:rFonts w:ascii="GHEA Grapalat" w:hAnsi="GHEA Grapalat"/>
                <w:b/>
                <w:u w:val="single"/>
              </w:rPr>
              <w:t>առաջադրանքի</w:t>
            </w:r>
            <w:r w:rsidRPr="0053423A">
              <w:rPr>
                <w:rFonts w:ascii="GHEA Grapalat" w:hAnsi="GHEA Grapalat"/>
                <w:b/>
                <w:u w:val="single"/>
                <w:lang w:val="af-ZA"/>
              </w:rPr>
              <w:t xml:space="preserve"> </w:t>
            </w:r>
            <w:r w:rsidRPr="0053423A">
              <w:rPr>
                <w:rFonts w:ascii="GHEA Grapalat" w:hAnsi="GHEA Grapalat"/>
                <w:b/>
                <w:u w:val="single"/>
              </w:rPr>
              <w:t>մշակում</w:t>
            </w:r>
          </w:p>
          <w:p w:rsidR="00D75F05" w:rsidRPr="0053423A" w:rsidRDefault="00D75F05" w:rsidP="00A67858">
            <w:pPr>
              <w:pStyle w:val="ListParagraph"/>
              <w:tabs>
                <w:tab w:val="left" w:pos="0"/>
                <w:tab w:val="left" w:pos="1620"/>
                <w:tab w:val="left" w:pos="1710"/>
              </w:tabs>
              <w:spacing w:line="276" w:lineRule="auto"/>
              <w:ind w:left="97"/>
              <w:jc w:val="both"/>
              <w:rPr>
                <w:b/>
                <w:lang w:val="af-ZA"/>
              </w:rPr>
            </w:pPr>
          </w:p>
          <w:p w:rsidR="00D75F05" w:rsidRPr="0053423A" w:rsidRDefault="00D75F05" w:rsidP="00A67858">
            <w:pPr>
              <w:pStyle w:val="ListParagraph1"/>
              <w:tabs>
                <w:tab w:val="left" w:pos="540"/>
                <w:tab w:val="left" w:pos="900"/>
              </w:tabs>
              <w:spacing w:after="0"/>
              <w:ind w:left="97"/>
              <w:rPr>
                <w:rFonts w:ascii="GHEA Grapalat" w:hAnsi="GHEA Grapalat"/>
                <w:b/>
                <w:lang w:val="af-ZA"/>
              </w:rPr>
            </w:pPr>
            <w:r w:rsidRPr="0053423A">
              <w:rPr>
                <w:rFonts w:ascii="GHEA Grapalat" w:hAnsi="GHEA Grapalat"/>
                <w:b/>
                <w:lang w:val="af-ZA"/>
              </w:rPr>
              <w:t xml:space="preserve">1. </w:t>
            </w: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tabs>
                <w:tab w:val="left" w:pos="0"/>
              </w:tabs>
              <w:spacing w:line="276" w:lineRule="auto"/>
              <w:ind w:left="97"/>
              <w:jc w:val="both"/>
              <w:rPr>
                <w:rFonts w:cs="Sylfaen"/>
                <w:lang w:val="hy-AM"/>
              </w:rPr>
            </w:pPr>
            <w:r w:rsidRPr="0053423A">
              <w:rPr>
                <w:lang w:val="af-ZA"/>
              </w:rPr>
              <w:tab/>
            </w:r>
            <w:r w:rsidRPr="0053423A">
              <w:rPr>
                <w:rFonts w:cs="Sylfaen"/>
                <w:lang w:val="hy-AM"/>
              </w:rPr>
              <w:t>Միջոցառման անրաժեշտությունը բխում է </w:t>
            </w:r>
            <w:r w:rsidRPr="0053423A">
              <w:rPr>
                <w:rFonts w:cs="Sylfaen"/>
              </w:rPr>
              <w:t>Քաղաքաշինության</w:t>
            </w:r>
            <w:r w:rsidRPr="0053423A">
              <w:rPr>
                <w:rFonts w:cs="Sylfaen"/>
                <w:lang w:val="af-ZA"/>
              </w:rPr>
              <w:t xml:space="preserve"> </w:t>
            </w:r>
            <w:r w:rsidRPr="0053423A">
              <w:rPr>
                <w:rFonts w:cs="Sylfaen"/>
              </w:rPr>
              <w:t>մասին</w:t>
            </w:r>
            <w:r w:rsidRPr="0053423A">
              <w:rPr>
                <w:rFonts w:cs="Sylfaen"/>
                <w:lang w:val="hy-AM"/>
              </w:rPr>
              <w:t></w:t>
            </w:r>
            <w:r w:rsidRPr="0053423A">
              <w:rPr>
                <w:rFonts w:cs="Sylfaen"/>
                <w:lang w:val="af-ZA"/>
              </w:rPr>
              <w:t xml:space="preserve"> </w:t>
            </w:r>
            <w:r w:rsidRPr="0053423A">
              <w:rPr>
                <w:rFonts w:cs="Sylfaen"/>
                <w:lang w:val="hy-AM"/>
              </w:rPr>
              <w:t>ՀՀ օրենք</w:t>
            </w:r>
            <w:r w:rsidRPr="0053423A">
              <w:rPr>
                <w:rFonts w:cs="Sylfaen"/>
              </w:rPr>
              <w:t>ի</w:t>
            </w:r>
            <w:r w:rsidRPr="0053423A">
              <w:rPr>
                <w:rFonts w:cs="Sylfaen"/>
                <w:lang w:val="af-ZA"/>
              </w:rPr>
              <w:t xml:space="preserve">                10.1 հոդվածի 14-րդ մասից և նպատակը՝ </w:t>
            </w:r>
            <w:r w:rsidRPr="0053423A">
              <w:rPr>
                <w:rFonts w:cs="Sylfaen"/>
                <w:bCs/>
                <w:lang w:val="hy-AM"/>
              </w:rPr>
              <w:t xml:space="preserve">ներդրումների ներգրավման միջոցով </w:t>
            </w:r>
            <w:r w:rsidRPr="0053423A">
              <w:rPr>
                <w:rFonts w:cs="Sylfaen"/>
                <w:lang w:val="hy-AM"/>
              </w:rPr>
              <w:t></w:t>
            </w:r>
            <w:r w:rsidRPr="0053423A">
              <w:rPr>
                <w:rFonts w:cs="Sylfaen"/>
                <w:bCs/>
                <w:lang w:val="hy-AM"/>
              </w:rPr>
              <w:t>Սևան» ազգային պարկի տարածքում տնտեսական ակտիվության բարձրացման և Սևանա լճի զբոսաշրջային հնարավորությունների ընդլայն</w:t>
            </w:r>
            <w:r w:rsidRPr="0053423A">
              <w:rPr>
                <w:rFonts w:cs="Sylfaen"/>
                <w:bCs/>
              </w:rPr>
              <w:t>ումն</w:t>
            </w:r>
            <w:r w:rsidRPr="0053423A">
              <w:rPr>
                <w:rFonts w:cs="Sylfaen"/>
                <w:bCs/>
                <w:lang w:val="af-ZA"/>
              </w:rPr>
              <w:t xml:space="preserve"> </w:t>
            </w:r>
            <w:r w:rsidRPr="0053423A">
              <w:rPr>
                <w:rFonts w:cs="Sylfaen"/>
                <w:bCs/>
              </w:rPr>
              <w:t>է</w:t>
            </w:r>
            <w:r w:rsidRPr="0053423A">
              <w:rPr>
                <w:rFonts w:cs="Sylfaen"/>
                <w:lang w:val="hy-AM"/>
              </w:rPr>
              <w:t>:</w:t>
            </w:r>
          </w:p>
          <w:p w:rsidR="00D75F05" w:rsidRPr="0053423A" w:rsidRDefault="00D75F05" w:rsidP="001F6D5D">
            <w:pPr>
              <w:pStyle w:val="ListParagraph"/>
              <w:numPr>
                <w:ilvl w:val="1"/>
                <w:numId w:val="314"/>
              </w:numPr>
              <w:tabs>
                <w:tab w:val="left" w:pos="0"/>
              </w:tabs>
              <w:spacing w:line="276" w:lineRule="auto"/>
              <w:ind w:left="97" w:firstLine="0"/>
              <w:jc w:val="both"/>
              <w:rPr>
                <w:b/>
                <w:lang w:val="hy-AM"/>
              </w:rPr>
            </w:pPr>
            <w:r w:rsidRPr="0053423A">
              <w:rPr>
                <w:b/>
                <w:lang w:val="hy-AM"/>
              </w:rPr>
              <w:t>Կարգավորման հարաբերությունների ներկա վիճակը և առկա խնդիրները</w:t>
            </w:r>
          </w:p>
          <w:p w:rsidR="00D75F05" w:rsidRPr="0053423A" w:rsidRDefault="00D75F05" w:rsidP="00A67858">
            <w:pPr>
              <w:spacing w:line="276" w:lineRule="auto"/>
              <w:ind w:left="97"/>
              <w:jc w:val="both"/>
              <w:rPr>
                <w:rFonts w:cs="GHEA Grapalat"/>
                <w:lang w:val="hy-AM" w:eastAsia="en-US"/>
              </w:rPr>
            </w:pPr>
            <w:r w:rsidRPr="0053423A">
              <w:rPr>
                <w:rFonts w:cs="GHEA Grapalat"/>
                <w:lang w:val="hy-AM"/>
              </w:rPr>
              <w:t>Ներկայումս օգտագործվում է Սևանա լճի ռեկրեացիոն ռեսուրսների չնչին մասը, կառուցապատումը կանոնակարգված չէ, գ</w:t>
            </w:r>
            <w:r w:rsidRPr="0053423A">
              <w:rPr>
                <w:rFonts w:cs="GHEA Grapalat"/>
                <w:lang w:val="hy-AM" w:eastAsia="en-US"/>
              </w:rPr>
              <w:t>երակշռում են անշուք, ոչ հիմնական շինությունները, լքված, չօգտագործվող կամ անավարտ կառույցներն, ընդ որում դրանց մի մասը ջրածածկման գոտում են:</w:t>
            </w:r>
          </w:p>
          <w:p w:rsidR="00D75F05" w:rsidRPr="0053423A" w:rsidRDefault="00D75F05" w:rsidP="001F6D5D">
            <w:pPr>
              <w:pStyle w:val="ListParagraph"/>
              <w:numPr>
                <w:ilvl w:val="1"/>
                <w:numId w:val="314"/>
              </w:numPr>
              <w:spacing w:line="276" w:lineRule="auto"/>
              <w:ind w:left="97" w:firstLine="0"/>
              <w:rPr>
                <w:b/>
              </w:rPr>
            </w:pPr>
            <w:r w:rsidRPr="0053423A">
              <w:rPr>
                <w:b/>
                <w:lang w:val="hy-AM"/>
              </w:rPr>
              <w:t>Առկա</w:t>
            </w:r>
            <w:r w:rsidRPr="0053423A">
              <w:rPr>
                <w:b/>
                <w:lang w:val="af-ZA"/>
              </w:rPr>
              <w:t xml:space="preserve"> </w:t>
            </w:r>
            <w:r w:rsidRPr="0053423A">
              <w:rPr>
                <w:b/>
                <w:lang w:val="hy-AM"/>
              </w:rPr>
              <w:t>խնդիրների</w:t>
            </w:r>
            <w:r w:rsidRPr="0053423A">
              <w:rPr>
                <w:b/>
                <w:lang w:val="af-ZA"/>
              </w:rPr>
              <w:t xml:space="preserve"> </w:t>
            </w:r>
            <w:r w:rsidRPr="0053423A">
              <w:rPr>
                <w:b/>
                <w:lang w:val="hy-AM"/>
              </w:rPr>
              <w:t>առաջարկվող</w:t>
            </w:r>
            <w:r w:rsidRPr="0053423A">
              <w:rPr>
                <w:b/>
                <w:lang w:val="af-ZA"/>
              </w:rPr>
              <w:t xml:space="preserve"> </w:t>
            </w:r>
            <w:r w:rsidRPr="0053423A">
              <w:rPr>
                <w:b/>
                <w:lang w:val="hy-AM"/>
              </w:rPr>
              <w:t>լուծումները</w:t>
            </w:r>
          </w:p>
          <w:p w:rsidR="00D75F05" w:rsidRPr="0053423A" w:rsidRDefault="00D75F05" w:rsidP="00A67858">
            <w:pPr>
              <w:pStyle w:val="norm"/>
              <w:spacing w:line="276" w:lineRule="auto"/>
              <w:ind w:left="97" w:firstLine="0"/>
              <w:rPr>
                <w:rFonts w:ascii="GHEA Grapalat" w:hAnsi="GHEA Grapalat"/>
                <w:lang w:val="af-ZA"/>
              </w:rPr>
            </w:pPr>
            <w:r w:rsidRPr="0053423A">
              <w:rPr>
                <w:rFonts w:ascii="GHEA Grapalat" w:hAnsi="GHEA Grapalat"/>
                <w:lang w:val="af-ZA"/>
              </w:rPr>
              <w:t></w:t>
            </w:r>
            <w:r w:rsidRPr="0053423A">
              <w:rPr>
                <w:rFonts w:ascii="GHEA Grapalat" w:hAnsi="GHEA Grapalat"/>
              </w:rPr>
              <w:t>Սևան</w:t>
            </w:r>
            <w:r w:rsidRPr="0053423A">
              <w:rPr>
                <w:rFonts w:ascii="GHEA Grapalat" w:hAnsi="GHEA Grapalat"/>
                <w:lang w:val="af-ZA"/>
              </w:rPr>
              <w:t xml:space="preserve"> </w:t>
            </w:r>
            <w:r w:rsidRPr="0053423A">
              <w:rPr>
                <w:rFonts w:ascii="GHEA Grapalat" w:hAnsi="GHEA Grapalat"/>
              </w:rPr>
              <w:t>ազգային</w:t>
            </w:r>
            <w:r w:rsidRPr="0053423A">
              <w:rPr>
                <w:rFonts w:ascii="GHEA Grapalat" w:hAnsi="GHEA Grapalat"/>
                <w:lang w:val="af-ZA"/>
              </w:rPr>
              <w:t xml:space="preserve"> </w:t>
            </w:r>
            <w:r w:rsidRPr="0053423A">
              <w:rPr>
                <w:rFonts w:ascii="GHEA Grapalat" w:hAnsi="GHEA Grapalat"/>
              </w:rPr>
              <w:t>պարկի</w:t>
            </w:r>
            <w:r w:rsidRPr="0053423A">
              <w:rPr>
                <w:rFonts w:ascii="GHEA Grapalat" w:hAnsi="GHEA Grapalat"/>
                <w:lang w:val="af-ZA"/>
              </w:rPr>
              <w:t xml:space="preserve"> </w:t>
            </w:r>
            <w:r w:rsidRPr="0053423A">
              <w:rPr>
                <w:rFonts w:ascii="GHEA Grapalat" w:hAnsi="GHEA Grapalat"/>
              </w:rPr>
              <w:t>Լճաշեն</w:t>
            </w:r>
            <w:r w:rsidRPr="0053423A">
              <w:rPr>
                <w:rFonts w:ascii="GHEA Grapalat" w:hAnsi="GHEA Grapalat"/>
                <w:lang w:val="af-ZA"/>
              </w:rPr>
              <w:t>-</w:t>
            </w:r>
            <w:r w:rsidRPr="0053423A">
              <w:rPr>
                <w:rFonts w:ascii="GHEA Grapalat" w:hAnsi="GHEA Grapalat"/>
              </w:rPr>
              <w:t>Սևանի</w:t>
            </w:r>
            <w:r w:rsidRPr="0053423A">
              <w:rPr>
                <w:rFonts w:ascii="GHEA Grapalat" w:hAnsi="GHEA Grapalat"/>
                <w:lang w:val="af-ZA"/>
              </w:rPr>
              <w:t xml:space="preserve"> </w:t>
            </w:r>
            <w:r w:rsidRPr="0053423A">
              <w:rPr>
                <w:rFonts w:ascii="GHEA Grapalat" w:hAnsi="GHEA Grapalat"/>
              </w:rPr>
              <w:t>թերակղզի</w:t>
            </w:r>
            <w:r w:rsidRPr="0053423A">
              <w:rPr>
                <w:rFonts w:ascii="GHEA Grapalat" w:hAnsi="GHEA Grapalat"/>
                <w:lang w:val="af-ZA"/>
              </w:rPr>
              <w:t xml:space="preserve"> </w:t>
            </w:r>
            <w:r w:rsidRPr="0053423A">
              <w:rPr>
                <w:rFonts w:ascii="GHEA Grapalat" w:hAnsi="GHEA Grapalat"/>
              </w:rPr>
              <w:t>հատվածի</w:t>
            </w:r>
            <w:r w:rsidRPr="0053423A">
              <w:rPr>
                <w:rFonts w:ascii="GHEA Grapalat" w:hAnsi="GHEA Grapalat"/>
                <w:lang w:val="af-ZA"/>
              </w:rPr>
              <w:t xml:space="preserve"> </w:t>
            </w:r>
            <w:r w:rsidRPr="0053423A">
              <w:rPr>
                <w:rFonts w:ascii="GHEA Grapalat" w:hAnsi="GHEA Grapalat"/>
              </w:rPr>
              <w:t>գոտևորման</w:t>
            </w:r>
            <w:r w:rsidRPr="0053423A">
              <w:rPr>
                <w:rFonts w:ascii="GHEA Grapalat" w:hAnsi="GHEA Grapalat"/>
                <w:lang w:val="af-ZA"/>
              </w:rPr>
              <w:t xml:space="preserve"> </w:t>
            </w:r>
            <w:r w:rsidRPr="0053423A">
              <w:rPr>
                <w:rFonts w:ascii="GHEA Grapalat" w:hAnsi="GHEA Grapalat"/>
              </w:rPr>
              <w:t>նախագծի</w:t>
            </w:r>
            <w:r w:rsidRPr="0053423A">
              <w:rPr>
                <w:rFonts w:ascii="GHEA Grapalat" w:hAnsi="GHEA Grapalat"/>
                <w:lang w:val="af-ZA"/>
              </w:rPr>
              <w:t xml:space="preserve"> </w:t>
            </w:r>
            <w:r w:rsidRPr="0053423A">
              <w:rPr>
                <w:rFonts w:ascii="GHEA Grapalat" w:hAnsi="GHEA Grapalat"/>
              </w:rPr>
              <w:t>և</w:t>
            </w:r>
            <w:r w:rsidRPr="0053423A">
              <w:rPr>
                <w:rFonts w:ascii="GHEA Grapalat" w:hAnsi="GHEA Grapalat"/>
                <w:lang w:val="af-ZA"/>
              </w:rPr>
              <w:t xml:space="preserve"> </w:t>
            </w:r>
            <w:r w:rsidRPr="0053423A">
              <w:rPr>
                <w:rFonts w:ascii="GHEA Grapalat" w:hAnsi="GHEA Grapalat"/>
              </w:rPr>
              <w:t>քաղաքաշինական</w:t>
            </w:r>
            <w:r w:rsidRPr="0053423A">
              <w:rPr>
                <w:rFonts w:ascii="GHEA Grapalat" w:hAnsi="GHEA Grapalat"/>
                <w:lang w:val="af-ZA"/>
              </w:rPr>
              <w:t xml:space="preserve"> </w:t>
            </w:r>
            <w:r w:rsidRPr="0053423A">
              <w:rPr>
                <w:rFonts w:ascii="GHEA Grapalat" w:hAnsi="GHEA Grapalat"/>
              </w:rPr>
              <w:t>կանոնադրության</w:t>
            </w:r>
            <w:r w:rsidRPr="0053423A">
              <w:rPr>
                <w:rFonts w:ascii="GHEA Grapalat" w:hAnsi="GHEA Grapalat"/>
                <w:lang w:val="af-ZA"/>
              </w:rPr>
              <w:t xml:space="preserve"> </w:t>
            </w:r>
            <w:r w:rsidRPr="0053423A">
              <w:rPr>
                <w:rFonts w:ascii="GHEA Grapalat" w:hAnsi="GHEA Grapalat"/>
              </w:rPr>
              <w:t>մշակմամբ կանոնակարգել առկա կառուցապատումը` նախատեսվող կարգավորումները համաձայնեցնելով միջոցառման համակատարող դիտարկված մարմինների հետ:</w:t>
            </w:r>
          </w:p>
          <w:p w:rsidR="00D75F05" w:rsidRPr="0053423A" w:rsidRDefault="00D75F05" w:rsidP="00A67858">
            <w:pPr>
              <w:pStyle w:val="ListParagraph"/>
              <w:spacing w:line="276" w:lineRule="auto"/>
              <w:ind w:left="97"/>
              <w:jc w:val="both"/>
              <w:rPr>
                <w:b/>
                <w:lang w:val="hy-AM"/>
              </w:rPr>
            </w:pPr>
            <w:r w:rsidRPr="0053423A">
              <w:rPr>
                <w:b/>
                <w:lang w:val="af-ZA"/>
              </w:rPr>
              <w:t xml:space="preserve">2. </w:t>
            </w:r>
            <w:r w:rsidRPr="0053423A">
              <w:rPr>
                <w:b/>
                <w:lang w:val="hy-AM"/>
              </w:rPr>
              <w:t>Միջոցառման</w:t>
            </w:r>
            <w:r w:rsidRPr="0053423A">
              <w:rPr>
                <w:b/>
                <w:lang w:val="af-ZA"/>
              </w:rPr>
              <w:t xml:space="preserve"> </w:t>
            </w:r>
            <w:r w:rsidRPr="0053423A">
              <w:rPr>
                <w:b/>
                <w:lang w:val="hy-AM"/>
              </w:rPr>
              <w:t>իրականացումից</w:t>
            </w:r>
            <w:r w:rsidRPr="0053423A">
              <w:rPr>
                <w:b/>
                <w:lang w:val="af-ZA"/>
              </w:rPr>
              <w:t xml:space="preserve"> </w:t>
            </w:r>
            <w:r w:rsidRPr="0053423A">
              <w:rPr>
                <w:b/>
                <w:lang w:val="hy-AM"/>
              </w:rPr>
              <w:t>ակնկալվող</w:t>
            </w:r>
            <w:r w:rsidRPr="0053423A">
              <w:rPr>
                <w:b/>
                <w:lang w:val="af-ZA"/>
              </w:rPr>
              <w:t xml:space="preserve"> </w:t>
            </w:r>
            <w:r w:rsidRPr="0053423A">
              <w:rPr>
                <w:b/>
                <w:lang w:val="hy-AM"/>
              </w:rPr>
              <w:t>արդյունքը</w:t>
            </w:r>
          </w:p>
          <w:p w:rsidR="00D75F05" w:rsidRPr="0053423A" w:rsidRDefault="00D75F05" w:rsidP="00A67858">
            <w:pPr>
              <w:pStyle w:val="ListParagraph"/>
              <w:tabs>
                <w:tab w:val="left" w:pos="0"/>
                <w:tab w:val="left" w:pos="1620"/>
                <w:tab w:val="left" w:pos="1710"/>
              </w:tabs>
              <w:spacing w:line="276" w:lineRule="auto"/>
              <w:ind w:left="97"/>
              <w:jc w:val="both"/>
              <w:rPr>
                <w:lang w:val="af-ZA"/>
              </w:rPr>
            </w:pPr>
            <w:r w:rsidRPr="0053423A">
              <w:rPr>
                <w:lang w:val="af-ZA"/>
              </w:rPr>
              <w:t>Սևանա լճի ռեկրեացիոն գոտում ներդրումների համար բարենպաստ պայմանների ստեղծում:</w:t>
            </w:r>
          </w:p>
          <w:p w:rsidR="00D75F05" w:rsidRPr="0053423A" w:rsidRDefault="00D75F05" w:rsidP="00A67858">
            <w:pPr>
              <w:pStyle w:val="ListParagraph"/>
              <w:tabs>
                <w:tab w:val="left" w:pos="0"/>
                <w:tab w:val="left" w:pos="1620"/>
                <w:tab w:val="left" w:pos="1710"/>
              </w:tabs>
              <w:spacing w:line="276" w:lineRule="auto"/>
              <w:ind w:left="97"/>
              <w:jc w:val="both"/>
              <w:rPr>
                <w:lang w:val="af-ZA"/>
              </w:rPr>
            </w:pPr>
          </w:p>
          <w:p w:rsidR="00D75F05" w:rsidRPr="0053423A" w:rsidRDefault="00D75F05" w:rsidP="00A67858">
            <w:pPr>
              <w:pStyle w:val="norm"/>
              <w:spacing w:line="276" w:lineRule="auto"/>
              <w:ind w:left="97" w:firstLine="0"/>
              <w:jc w:val="center"/>
              <w:rPr>
                <w:rFonts w:ascii="GHEA Grapalat" w:hAnsi="GHEA Grapalat"/>
                <w:b/>
                <w:u w:val="single"/>
                <w:lang w:val="af-ZA"/>
              </w:rPr>
            </w:pPr>
            <w:r w:rsidRPr="0053423A">
              <w:rPr>
                <w:rFonts w:ascii="GHEA Grapalat" w:hAnsi="GHEA Grapalat"/>
                <w:b/>
                <w:u w:val="single"/>
                <w:lang w:val="af-ZA"/>
              </w:rPr>
              <w:t>1.3 </w:t>
            </w:r>
            <w:r w:rsidRPr="0053423A">
              <w:rPr>
                <w:rFonts w:ascii="GHEA Grapalat" w:hAnsi="GHEA Grapalat"/>
                <w:b/>
                <w:u w:val="single"/>
              </w:rPr>
              <w:t>Երևանի</w:t>
            </w:r>
            <w:r w:rsidRPr="0053423A">
              <w:rPr>
                <w:rFonts w:ascii="GHEA Grapalat" w:hAnsi="GHEA Grapalat"/>
                <w:b/>
                <w:u w:val="single"/>
                <w:lang w:val="af-ZA"/>
              </w:rPr>
              <w:t xml:space="preserve"> Կենտրոն վարչական շրջանի </w:t>
            </w:r>
            <w:r w:rsidRPr="0053423A">
              <w:rPr>
                <w:rFonts w:ascii="GHEA Grapalat" w:hAnsi="GHEA Grapalat"/>
                <w:b/>
                <w:u w:val="single"/>
              </w:rPr>
              <w:t>կառուցապատման</w:t>
            </w:r>
            <w:r w:rsidRPr="0053423A">
              <w:rPr>
                <w:rFonts w:ascii="Calibri" w:hAnsi="Calibri" w:cs="Calibri"/>
                <w:b/>
                <w:u w:val="single"/>
                <w:lang w:val="af-ZA"/>
              </w:rPr>
              <w:t> </w:t>
            </w:r>
            <w:r w:rsidRPr="0053423A">
              <w:rPr>
                <w:rFonts w:ascii="GHEA Grapalat" w:hAnsi="GHEA Grapalat"/>
                <w:b/>
                <w:u w:val="single"/>
              </w:rPr>
              <w:t>մասին</w:t>
            </w:r>
            <w:r w:rsidRPr="0053423A">
              <w:rPr>
                <w:rFonts w:ascii="GHEA Grapalat" w:hAnsi="GHEA Grapalat"/>
                <w:b/>
                <w:u w:val="single"/>
                <w:lang w:val="af-ZA"/>
              </w:rPr>
              <w:t></w:t>
            </w:r>
          </w:p>
          <w:p w:rsidR="00D75F05" w:rsidRPr="0053423A" w:rsidRDefault="00D75F05" w:rsidP="00A67858">
            <w:pPr>
              <w:pStyle w:val="norm"/>
              <w:spacing w:line="276" w:lineRule="auto"/>
              <w:ind w:left="97" w:firstLine="0"/>
              <w:jc w:val="center"/>
              <w:rPr>
                <w:rFonts w:ascii="GHEA Grapalat" w:hAnsi="GHEA Grapalat"/>
                <w:b/>
                <w:u w:val="single"/>
                <w:lang w:val="af-ZA"/>
              </w:rPr>
            </w:pPr>
            <w:r w:rsidRPr="0053423A">
              <w:rPr>
                <w:rFonts w:ascii="GHEA Grapalat" w:hAnsi="GHEA Grapalat"/>
                <w:b/>
                <w:u w:val="single"/>
              </w:rPr>
              <w:t>ՀՀ</w:t>
            </w:r>
            <w:r w:rsidRPr="0053423A">
              <w:rPr>
                <w:rFonts w:ascii="GHEA Grapalat" w:hAnsi="GHEA Grapalat"/>
                <w:b/>
                <w:u w:val="single"/>
                <w:lang w:val="af-ZA"/>
              </w:rPr>
              <w:t xml:space="preserve"> </w:t>
            </w:r>
            <w:r w:rsidRPr="0053423A">
              <w:rPr>
                <w:rFonts w:ascii="GHEA Grapalat" w:hAnsi="GHEA Grapalat"/>
                <w:b/>
                <w:u w:val="single"/>
              </w:rPr>
              <w:t>օրենքի</w:t>
            </w:r>
            <w:r w:rsidRPr="0053423A">
              <w:rPr>
                <w:rFonts w:ascii="GHEA Grapalat" w:hAnsi="GHEA Grapalat"/>
                <w:b/>
                <w:u w:val="single"/>
                <w:lang w:val="af-ZA"/>
              </w:rPr>
              <w:t xml:space="preserve"> և </w:t>
            </w:r>
            <w:r w:rsidRPr="0053423A">
              <w:rPr>
                <w:rFonts w:ascii="GHEA Grapalat" w:hAnsi="GHEA Grapalat"/>
                <w:b/>
                <w:u w:val="single"/>
              </w:rPr>
              <w:t>Հայաստանի</w:t>
            </w:r>
            <w:r w:rsidRPr="0053423A">
              <w:rPr>
                <w:rFonts w:ascii="GHEA Grapalat" w:hAnsi="GHEA Grapalat"/>
                <w:b/>
                <w:u w:val="single"/>
                <w:lang w:val="af-ZA"/>
              </w:rPr>
              <w:t xml:space="preserve"> </w:t>
            </w:r>
            <w:r w:rsidRPr="0053423A">
              <w:rPr>
                <w:rFonts w:ascii="GHEA Grapalat" w:hAnsi="GHEA Grapalat"/>
                <w:b/>
                <w:u w:val="single"/>
              </w:rPr>
              <w:t>Հանրապետության</w:t>
            </w:r>
            <w:r w:rsidRPr="0053423A">
              <w:rPr>
                <w:rFonts w:ascii="GHEA Grapalat" w:hAnsi="GHEA Grapalat"/>
                <w:b/>
                <w:u w:val="single"/>
                <w:lang w:val="af-ZA"/>
              </w:rPr>
              <w:t xml:space="preserve"> </w:t>
            </w:r>
            <w:r w:rsidRPr="0053423A">
              <w:rPr>
                <w:rFonts w:ascii="GHEA Grapalat" w:hAnsi="GHEA Grapalat"/>
                <w:b/>
                <w:u w:val="single"/>
              </w:rPr>
              <w:t>կառավարության</w:t>
            </w:r>
            <w:r w:rsidRPr="0053423A">
              <w:rPr>
                <w:rFonts w:ascii="GHEA Grapalat" w:hAnsi="GHEA Grapalat"/>
                <w:b/>
                <w:u w:val="single"/>
                <w:lang w:val="af-ZA"/>
              </w:rPr>
              <w:t xml:space="preserve"> 2009 </w:t>
            </w:r>
            <w:r w:rsidRPr="0053423A">
              <w:rPr>
                <w:rFonts w:ascii="GHEA Grapalat" w:hAnsi="GHEA Grapalat"/>
                <w:b/>
                <w:u w:val="single"/>
              </w:rPr>
              <w:t>թվականի</w:t>
            </w:r>
            <w:r w:rsidRPr="0053423A">
              <w:rPr>
                <w:rFonts w:ascii="GHEA Grapalat" w:hAnsi="GHEA Grapalat"/>
                <w:b/>
                <w:u w:val="single"/>
                <w:lang w:val="af-ZA"/>
              </w:rPr>
              <w:t xml:space="preserve"> </w:t>
            </w:r>
            <w:r w:rsidRPr="0053423A">
              <w:rPr>
                <w:rFonts w:ascii="GHEA Grapalat" w:hAnsi="GHEA Grapalat"/>
                <w:b/>
                <w:u w:val="single"/>
              </w:rPr>
              <w:t>հունիսի</w:t>
            </w:r>
            <w:r w:rsidRPr="0053423A">
              <w:rPr>
                <w:rFonts w:ascii="GHEA Grapalat" w:hAnsi="GHEA Grapalat"/>
                <w:b/>
                <w:u w:val="single"/>
                <w:lang w:val="af-ZA"/>
              </w:rPr>
              <w:t xml:space="preserve"> 26-</w:t>
            </w:r>
            <w:r w:rsidRPr="0053423A">
              <w:rPr>
                <w:rFonts w:ascii="GHEA Grapalat" w:hAnsi="GHEA Grapalat"/>
                <w:b/>
                <w:u w:val="single"/>
              </w:rPr>
              <w:t>ի</w:t>
            </w:r>
            <w:r w:rsidRPr="0053423A">
              <w:rPr>
                <w:rFonts w:ascii="GHEA Grapalat" w:hAnsi="GHEA Grapalat"/>
                <w:b/>
                <w:u w:val="single"/>
                <w:lang w:val="af-ZA"/>
              </w:rPr>
              <w:t xml:space="preserve"> N728-</w:t>
            </w:r>
            <w:r w:rsidRPr="0053423A">
              <w:rPr>
                <w:rFonts w:ascii="GHEA Grapalat" w:hAnsi="GHEA Grapalat"/>
                <w:b/>
                <w:u w:val="single"/>
              </w:rPr>
              <w:t>Ն</w:t>
            </w:r>
            <w:r w:rsidRPr="0053423A">
              <w:rPr>
                <w:rFonts w:ascii="GHEA Grapalat" w:hAnsi="GHEA Grapalat"/>
                <w:b/>
                <w:u w:val="single"/>
                <w:lang w:val="af-ZA"/>
              </w:rPr>
              <w:t xml:space="preserve"> </w:t>
            </w:r>
            <w:r w:rsidRPr="0053423A">
              <w:rPr>
                <w:rFonts w:ascii="GHEA Grapalat" w:hAnsi="GHEA Grapalat"/>
                <w:b/>
                <w:u w:val="single"/>
              </w:rPr>
              <w:t>որոշման</w:t>
            </w:r>
            <w:r w:rsidRPr="0053423A">
              <w:rPr>
                <w:rFonts w:ascii="GHEA Grapalat" w:hAnsi="GHEA Grapalat"/>
                <w:b/>
                <w:u w:val="single"/>
                <w:lang w:val="af-ZA"/>
              </w:rPr>
              <w:t xml:space="preserve"> </w:t>
            </w:r>
            <w:r w:rsidRPr="0053423A">
              <w:rPr>
                <w:rFonts w:ascii="GHEA Grapalat" w:hAnsi="GHEA Grapalat"/>
                <w:b/>
                <w:u w:val="single"/>
              </w:rPr>
              <w:t>մեջ</w:t>
            </w:r>
            <w:r w:rsidRPr="0053423A">
              <w:rPr>
                <w:rFonts w:ascii="GHEA Grapalat" w:hAnsi="GHEA Grapalat"/>
                <w:b/>
                <w:u w:val="single"/>
                <w:lang w:val="af-ZA"/>
              </w:rPr>
              <w:t xml:space="preserve"> </w:t>
            </w:r>
            <w:r w:rsidRPr="0053423A">
              <w:rPr>
                <w:rFonts w:ascii="GHEA Grapalat" w:hAnsi="GHEA Grapalat"/>
                <w:b/>
                <w:u w:val="single"/>
              </w:rPr>
              <w:t>լրացումներ</w:t>
            </w:r>
            <w:r w:rsidRPr="0053423A">
              <w:rPr>
                <w:rFonts w:ascii="GHEA Grapalat" w:hAnsi="GHEA Grapalat"/>
                <w:b/>
                <w:u w:val="single"/>
                <w:lang w:val="af-ZA"/>
              </w:rPr>
              <w:t xml:space="preserve"> </w:t>
            </w:r>
            <w:r w:rsidRPr="0053423A">
              <w:rPr>
                <w:rFonts w:ascii="GHEA Grapalat" w:hAnsi="GHEA Grapalat"/>
                <w:b/>
                <w:u w:val="single"/>
              </w:rPr>
              <w:t>կատարելու</w:t>
            </w:r>
            <w:r w:rsidRPr="0053423A">
              <w:rPr>
                <w:rFonts w:ascii="GHEA Grapalat" w:hAnsi="GHEA Grapalat"/>
                <w:b/>
                <w:u w:val="single"/>
                <w:lang w:val="af-ZA"/>
              </w:rPr>
              <w:t xml:space="preserve"> </w:t>
            </w:r>
            <w:r w:rsidRPr="0053423A">
              <w:rPr>
                <w:rFonts w:ascii="GHEA Grapalat" w:hAnsi="GHEA Grapalat"/>
                <w:b/>
                <w:u w:val="single"/>
              </w:rPr>
              <w:t>մասին</w:t>
            </w:r>
            <w:r w:rsidRPr="0053423A">
              <w:rPr>
                <w:rFonts w:ascii="GHEA Grapalat" w:hAnsi="GHEA Grapalat"/>
                <w:b/>
                <w:u w:val="single"/>
                <w:lang w:val="af-ZA"/>
              </w:rPr>
              <w:t xml:space="preserve"> </w:t>
            </w:r>
            <w:r w:rsidRPr="0053423A">
              <w:rPr>
                <w:rFonts w:ascii="GHEA Grapalat" w:hAnsi="GHEA Grapalat"/>
                <w:b/>
                <w:u w:val="single"/>
              </w:rPr>
              <w:t>ՀՀ</w:t>
            </w:r>
            <w:r w:rsidRPr="0053423A">
              <w:rPr>
                <w:rFonts w:ascii="GHEA Grapalat" w:hAnsi="GHEA Grapalat"/>
                <w:b/>
                <w:u w:val="single"/>
                <w:lang w:val="af-ZA"/>
              </w:rPr>
              <w:t xml:space="preserve"> </w:t>
            </w:r>
            <w:r w:rsidRPr="0053423A">
              <w:rPr>
                <w:rFonts w:ascii="GHEA Grapalat" w:hAnsi="GHEA Grapalat"/>
                <w:b/>
                <w:u w:val="single"/>
              </w:rPr>
              <w:t>կառավարության</w:t>
            </w:r>
            <w:r w:rsidRPr="0053423A">
              <w:rPr>
                <w:rFonts w:ascii="GHEA Grapalat" w:hAnsi="GHEA Grapalat"/>
                <w:b/>
                <w:u w:val="single"/>
                <w:lang w:val="af-ZA"/>
              </w:rPr>
              <w:t xml:space="preserve"> </w:t>
            </w:r>
            <w:r w:rsidRPr="0053423A">
              <w:rPr>
                <w:rFonts w:ascii="GHEA Grapalat" w:hAnsi="GHEA Grapalat"/>
                <w:b/>
                <w:u w:val="single"/>
              </w:rPr>
              <w:t>որոշման</w:t>
            </w:r>
            <w:r w:rsidRPr="0053423A">
              <w:rPr>
                <w:rFonts w:ascii="GHEA Grapalat" w:hAnsi="GHEA Grapalat"/>
                <w:b/>
                <w:u w:val="single"/>
                <w:lang w:val="af-ZA"/>
              </w:rPr>
              <w:t xml:space="preserve"> նախագծերի</w:t>
            </w:r>
            <w:r w:rsidRPr="0053423A">
              <w:rPr>
                <w:rFonts w:ascii="GHEA Grapalat" w:hAnsi="GHEA Grapalat"/>
                <w:u w:val="single"/>
                <w:lang w:val="af-ZA"/>
              </w:rPr>
              <w:t xml:space="preserve"> </w:t>
            </w:r>
            <w:r w:rsidRPr="0053423A">
              <w:rPr>
                <w:rFonts w:ascii="GHEA Grapalat" w:hAnsi="GHEA Grapalat"/>
                <w:b/>
                <w:u w:val="single"/>
              </w:rPr>
              <w:t>ներկայացում</w:t>
            </w:r>
            <w:r w:rsidRPr="0053423A">
              <w:rPr>
                <w:rFonts w:ascii="GHEA Grapalat" w:hAnsi="GHEA Grapalat"/>
                <w:b/>
                <w:u w:val="single"/>
                <w:lang w:val="af-ZA"/>
              </w:rPr>
              <w:t xml:space="preserve"> </w:t>
            </w:r>
            <w:r w:rsidRPr="0053423A">
              <w:rPr>
                <w:rFonts w:ascii="GHEA Grapalat" w:hAnsi="GHEA Grapalat"/>
                <w:b/>
                <w:u w:val="single"/>
              </w:rPr>
              <w:t>ՀՀ</w:t>
            </w:r>
            <w:r w:rsidRPr="0053423A">
              <w:rPr>
                <w:rFonts w:ascii="GHEA Grapalat" w:hAnsi="GHEA Grapalat"/>
                <w:b/>
                <w:u w:val="single"/>
                <w:lang w:val="af-ZA"/>
              </w:rPr>
              <w:t xml:space="preserve"> </w:t>
            </w:r>
            <w:r w:rsidRPr="0053423A">
              <w:rPr>
                <w:rFonts w:ascii="GHEA Grapalat" w:hAnsi="GHEA Grapalat"/>
                <w:b/>
                <w:u w:val="single"/>
              </w:rPr>
              <w:t>վարչապետի</w:t>
            </w:r>
            <w:r w:rsidRPr="0053423A">
              <w:rPr>
                <w:rFonts w:ascii="GHEA Grapalat" w:hAnsi="GHEA Grapalat"/>
                <w:b/>
                <w:u w:val="single"/>
                <w:lang w:val="af-ZA"/>
              </w:rPr>
              <w:t xml:space="preserve"> </w:t>
            </w:r>
            <w:r w:rsidRPr="0053423A">
              <w:rPr>
                <w:rFonts w:ascii="GHEA Grapalat" w:hAnsi="GHEA Grapalat"/>
                <w:b/>
                <w:u w:val="single"/>
              </w:rPr>
              <w:t>աշխատակազմ</w:t>
            </w:r>
          </w:p>
          <w:p w:rsidR="00D75F05" w:rsidRPr="0053423A" w:rsidRDefault="00D75F05" w:rsidP="00A67858">
            <w:pPr>
              <w:pStyle w:val="ListParagraph1"/>
              <w:tabs>
                <w:tab w:val="left" w:pos="540"/>
                <w:tab w:val="left" w:pos="900"/>
              </w:tabs>
              <w:spacing w:after="0"/>
              <w:ind w:left="97"/>
              <w:jc w:val="center"/>
              <w:rPr>
                <w:rFonts w:ascii="GHEA Grapalat" w:hAnsi="GHEA Grapalat"/>
                <w:b/>
                <w:u w:val="single"/>
                <w:lang w:val="af-ZA"/>
              </w:rPr>
            </w:pPr>
          </w:p>
          <w:p w:rsidR="00D75F05" w:rsidRPr="0053423A" w:rsidRDefault="00D75F05" w:rsidP="001F6D5D">
            <w:pPr>
              <w:pStyle w:val="ListParagraph1"/>
              <w:numPr>
                <w:ilvl w:val="0"/>
                <w:numId w:val="317"/>
              </w:numPr>
              <w:tabs>
                <w:tab w:val="left" w:pos="540"/>
                <w:tab w:val="left" w:pos="900"/>
              </w:tabs>
              <w:spacing w:after="0"/>
              <w:ind w:left="97" w:firstLine="0"/>
              <w:contextualSpacing w:val="0"/>
              <w:rPr>
                <w:rFonts w:ascii="GHEA Grapalat" w:hAnsi="GHEA Grapalat"/>
                <w:b/>
                <w:lang w:val="af-ZA"/>
              </w:rPr>
            </w:pP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pStyle w:val="ListParagraph"/>
              <w:tabs>
                <w:tab w:val="left" w:pos="1080"/>
              </w:tabs>
              <w:spacing w:line="276" w:lineRule="auto"/>
              <w:ind w:left="97"/>
              <w:jc w:val="both"/>
              <w:rPr>
                <w:i/>
                <w:lang w:val="af-ZA"/>
              </w:rPr>
            </w:pPr>
            <w:r w:rsidRPr="0053423A">
              <w:rPr>
                <w:rFonts w:cs="Sylfaen"/>
                <w:lang w:val="hy-AM"/>
              </w:rPr>
              <w:t>Միջոցառման անրաժեշտությունը բխում է Քաղաքաշինության մասին ՀՀ օրենքի 10.1 հոդվածի 15-րդ</w:t>
            </w:r>
            <w:r w:rsidRPr="0053423A">
              <w:rPr>
                <w:rFonts w:cs="Sylfaen"/>
                <w:lang w:val="af-ZA"/>
              </w:rPr>
              <w:t xml:space="preserve"> </w:t>
            </w:r>
            <w:r w:rsidRPr="0053423A">
              <w:rPr>
                <w:rFonts w:cs="Sylfaen"/>
                <w:lang w:val="en-US"/>
              </w:rPr>
              <w:t>մասի</w:t>
            </w:r>
            <w:r w:rsidRPr="0053423A">
              <w:rPr>
                <w:rFonts w:cs="Sylfaen"/>
                <w:lang w:val="af-ZA"/>
              </w:rPr>
              <w:t xml:space="preserve"> </w:t>
            </w:r>
            <w:r w:rsidRPr="0053423A">
              <w:rPr>
                <w:rFonts w:cs="Sylfaen"/>
                <w:lang w:val="en-US"/>
              </w:rPr>
              <w:t>դրույթներից</w:t>
            </w:r>
            <w:r w:rsidRPr="0053423A">
              <w:rPr>
                <w:rFonts w:cs="Sylfaen"/>
                <w:lang w:val="af-ZA"/>
              </w:rPr>
              <w:t xml:space="preserve"> և նպատակը՝ </w:t>
            </w:r>
            <w:r w:rsidRPr="0053423A">
              <w:rPr>
                <w:rFonts w:cs="Sylfaen"/>
                <w:lang w:val="hy-AM"/>
              </w:rPr>
              <w:t>Երևանի Կենտրոն վարչական շրջան</w:t>
            </w:r>
            <w:r w:rsidRPr="0053423A">
              <w:rPr>
                <w:rFonts w:cs="Sylfaen"/>
                <w:lang w:val="en-US"/>
              </w:rPr>
              <w:t>ում</w:t>
            </w:r>
            <w:r w:rsidRPr="0053423A">
              <w:rPr>
                <w:rFonts w:cs="Sylfaen"/>
                <w:lang w:val="hy-AM"/>
              </w:rPr>
              <w:t xml:space="preserve"> </w:t>
            </w:r>
            <w:r w:rsidRPr="0053423A">
              <w:rPr>
                <w:rStyle w:val="FontStyle23"/>
                <w:rFonts w:ascii="GHEA Grapalat" w:hAnsi="GHEA Grapalat"/>
                <w:noProof/>
                <w:sz w:val="20"/>
                <w:szCs w:val="20"/>
                <w:lang w:val="hy-AM"/>
              </w:rPr>
              <w:t>առկա հիմնախնդիրներից բխող կառուցապատման կանոնակարգման լրացուցիչ և հատուկ պայմանների ու նորմերի սահման</w:t>
            </w:r>
            <w:r w:rsidRPr="0053423A">
              <w:rPr>
                <w:rStyle w:val="FontStyle23"/>
                <w:rFonts w:ascii="GHEA Grapalat" w:hAnsi="GHEA Grapalat"/>
                <w:noProof/>
                <w:sz w:val="20"/>
                <w:szCs w:val="20"/>
                <w:lang w:val="en-US"/>
              </w:rPr>
              <w:t>ումն</w:t>
            </w:r>
            <w:r w:rsidRPr="0053423A">
              <w:rPr>
                <w:rStyle w:val="FontStyle23"/>
                <w:rFonts w:ascii="GHEA Grapalat" w:hAnsi="GHEA Grapalat"/>
                <w:noProof/>
                <w:sz w:val="20"/>
                <w:szCs w:val="20"/>
                <w:lang w:val="af-ZA"/>
              </w:rPr>
              <w:t xml:space="preserve"> </w:t>
            </w:r>
            <w:r w:rsidRPr="0053423A">
              <w:rPr>
                <w:rStyle w:val="FontStyle23"/>
                <w:rFonts w:ascii="GHEA Grapalat" w:hAnsi="GHEA Grapalat"/>
                <w:noProof/>
                <w:sz w:val="20"/>
                <w:szCs w:val="20"/>
                <w:lang w:val="en-US"/>
              </w:rPr>
              <w:t>է</w:t>
            </w:r>
            <w:r w:rsidRPr="0053423A">
              <w:rPr>
                <w:rStyle w:val="FontStyle31"/>
                <w:rFonts w:ascii="GHEA Grapalat" w:hAnsi="GHEA Grapalat"/>
                <w:noProof/>
                <w:sz w:val="20"/>
                <w:szCs w:val="20"/>
                <w:lang w:val="af-ZA"/>
              </w:rPr>
              <w:t>:</w:t>
            </w:r>
          </w:p>
          <w:p w:rsidR="00D75F05" w:rsidRPr="0053423A" w:rsidRDefault="00D75F05" w:rsidP="001F6D5D">
            <w:pPr>
              <w:pStyle w:val="ListParagraph"/>
              <w:numPr>
                <w:ilvl w:val="1"/>
                <w:numId w:val="316"/>
              </w:numPr>
              <w:tabs>
                <w:tab w:val="left" w:pos="0"/>
              </w:tabs>
              <w:spacing w:line="276" w:lineRule="auto"/>
              <w:ind w:left="97" w:firstLine="0"/>
              <w:jc w:val="both"/>
              <w:rPr>
                <w:b/>
                <w:lang w:val="hy-AM"/>
              </w:rPr>
            </w:pPr>
            <w:r w:rsidRPr="0053423A">
              <w:rPr>
                <w:b/>
                <w:lang w:val="hy-AM"/>
              </w:rPr>
              <w:t>Կարգավորման հարաբերությունների ներկա վիճակը և առկա խնդիրները</w:t>
            </w:r>
          </w:p>
          <w:p w:rsidR="00D75F05" w:rsidRPr="0053423A" w:rsidRDefault="00D75F05" w:rsidP="00A67858">
            <w:pPr>
              <w:pStyle w:val="ListParagraph"/>
              <w:tabs>
                <w:tab w:val="left" w:pos="0"/>
              </w:tabs>
              <w:spacing w:line="276" w:lineRule="auto"/>
              <w:ind w:left="97"/>
              <w:jc w:val="both"/>
              <w:rPr>
                <w:rFonts w:cs="IRTEK Courier"/>
                <w:lang w:val="af-ZA"/>
              </w:rPr>
            </w:pPr>
            <w:r w:rsidRPr="0053423A">
              <w:rPr>
                <w:rFonts w:cs="Sylfaen"/>
                <w:lang w:val="hy-AM"/>
              </w:rPr>
              <w:t>Հաշվի առնելով Երևանի Կենտրոն վարչական շրջանի հասարակական և քաղաքաշինական դերն ու նշանակությունն` ինչպես նաև վերլուծելով դրանից բխող կառուցապատման առանձնահատկությունները, հարկ է արձանագրել, որ ներկայումս գործող օրենսդրական գործիքակազմը բավարար չէ մայրաքաղաքի կենտրոնի կառուցապատումը լիարժեքորեն կանոնակարգելու համար</w:t>
            </w:r>
            <w:r w:rsidRPr="0053423A">
              <w:rPr>
                <w:rFonts w:cs="IRTEK Courier"/>
                <w:lang w:val="af-ZA"/>
              </w:rPr>
              <w:t xml:space="preserve">: </w:t>
            </w:r>
          </w:p>
          <w:p w:rsidR="00D75F05" w:rsidRPr="0053423A" w:rsidRDefault="00D75F05" w:rsidP="00A67858">
            <w:pPr>
              <w:pStyle w:val="ListParagraph"/>
              <w:tabs>
                <w:tab w:val="left" w:pos="0"/>
              </w:tabs>
              <w:spacing w:line="276" w:lineRule="auto"/>
              <w:ind w:left="97"/>
              <w:jc w:val="both"/>
              <w:rPr>
                <w:color w:val="000000"/>
                <w:lang w:val="af-ZA"/>
              </w:rPr>
            </w:pPr>
            <w:r w:rsidRPr="0053423A">
              <w:rPr>
                <w:color w:val="000000"/>
                <w:lang w:val="hy-AM"/>
              </w:rPr>
              <w:t>Ներկայումս բացակայում է Երևանի</w:t>
            </w:r>
            <w:r w:rsidRPr="0053423A">
              <w:rPr>
                <w:color w:val="000000"/>
                <w:lang w:val="af-ZA"/>
              </w:rPr>
              <w:t xml:space="preserve"> </w:t>
            </w:r>
            <w:r w:rsidRPr="0053423A">
              <w:rPr>
                <w:color w:val="000000"/>
                <w:lang w:val="hy-AM"/>
              </w:rPr>
              <w:t>կենտրոնի</w:t>
            </w:r>
            <w:r w:rsidRPr="0053423A">
              <w:rPr>
                <w:color w:val="000000"/>
                <w:lang w:val="af-ZA"/>
              </w:rPr>
              <w:t xml:space="preserve">` օրենքով ամրագրված </w:t>
            </w:r>
            <w:r w:rsidRPr="0053423A">
              <w:rPr>
                <w:color w:val="000000"/>
                <w:lang w:val="hy-AM"/>
              </w:rPr>
              <w:t>հատուկ</w:t>
            </w:r>
            <w:r w:rsidRPr="0053423A">
              <w:rPr>
                <w:color w:val="000000"/>
                <w:lang w:val="af-ZA"/>
              </w:rPr>
              <w:t xml:space="preserve"> </w:t>
            </w:r>
            <w:r w:rsidRPr="0053423A">
              <w:rPr>
                <w:color w:val="000000"/>
                <w:lang w:val="hy-AM"/>
              </w:rPr>
              <w:t>կարգավիճակն</w:t>
            </w:r>
            <w:r w:rsidRPr="0053423A">
              <w:rPr>
                <w:color w:val="000000"/>
                <w:lang w:val="af-ZA"/>
              </w:rPr>
              <w:t xml:space="preserve">, </w:t>
            </w:r>
            <w:r w:rsidRPr="0053423A">
              <w:rPr>
                <w:color w:val="000000"/>
                <w:lang w:val="hy-AM"/>
              </w:rPr>
              <w:t>ինչն</w:t>
            </w:r>
            <w:r w:rsidRPr="0053423A">
              <w:rPr>
                <w:color w:val="000000"/>
                <w:lang w:val="af-ZA"/>
              </w:rPr>
              <w:t xml:space="preserve"> </w:t>
            </w:r>
            <w:r w:rsidRPr="0053423A">
              <w:rPr>
                <w:color w:val="000000"/>
                <w:lang w:val="hy-AM"/>
              </w:rPr>
              <w:t>անհնարին</w:t>
            </w:r>
            <w:r w:rsidRPr="0053423A">
              <w:rPr>
                <w:color w:val="000000"/>
                <w:lang w:val="af-ZA"/>
              </w:rPr>
              <w:t xml:space="preserve"> </w:t>
            </w:r>
            <w:r w:rsidRPr="0053423A">
              <w:rPr>
                <w:color w:val="000000"/>
                <w:lang w:val="hy-AM"/>
              </w:rPr>
              <w:t>է</w:t>
            </w:r>
            <w:r w:rsidRPr="0053423A">
              <w:rPr>
                <w:color w:val="000000"/>
                <w:lang w:val="af-ZA"/>
              </w:rPr>
              <w:t xml:space="preserve"> </w:t>
            </w:r>
            <w:r w:rsidRPr="0053423A">
              <w:rPr>
                <w:color w:val="000000"/>
                <w:lang w:val="hy-AM"/>
              </w:rPr>
              <w:t>դարձնում</w:t>
            </w:r>
            <w:r w:rsidRPr="0053423A">
              <w:rPr>
                <w:color w:val="000000"/>
                <w:lang w:val="af-ZA"/>
              </w:rPr>
              <w:t xml:space="preserve"> </w:t>
            </w:r>
            <w:r w:rsidRPr="0053423A">
              <w:rPr>
                <w:color w:val="000000"/>
                <w:lang w:val="hy-AM"/>
              </w:rPr>
              <w:t>նշված</w:t>
            </w:r>
            <w:r w:rsidRPr="0053423A">
              <w:rPr>
                <w:color w:val="000000"/>
                <w:lang w:val="af-ZA"/>
              </w:rPr>
              <w:t xml:space="preserve"> </w:t>
            </w:r>
            <w:r w:rsidRPr="0053423A">
              <w:rPr>
                <w:color w:val="000000"/>
                <w:lang w:val="hy-AM"/>
              </w:rPr>
              <w:t>տարածական</w:t>
            </w:r>
            <w:r w:rsidRPr="0053423A">
              <w:rPr>
                <w:color w:val="000000"/>
                <w:lang w:val="af-ZA"/>
              </w:rPr>
              <w:t xml:space="preserve"> </w:t>
            </w:r>
            <w:r w:rsidRPr="0053423A">
              <w:rPr>
                <w:color w:val="000000"/>
                <w:lang w:val="hy-AM"/>
              </w:rPr>
              <w:t>գոտուն</w:t>
            </w:r>
            <w:r w:rsidRPr="0053423A">
              <w:rPr>
                <w:color w:val="000000"/>
                <w:lang w:val="af-ZA"/>
              </w:rPr>
              <w:t xml:space="preserve"> </w:t>
            </w:r>
            <w:r w:rsidRPr="0053423A">
              <w:rPr>
                <w:color w:val="000000"/>
                <w:lang w:val="hy-AM"/>
              </w:rPr>
              <w:t>բնորոշ</w:t>
            </w:r>
            <w:r w:rsidRPr="0053423A">
              <w:rPr>
                <w:color w:val="000000"/>
                <w:lang w:val="af-ZA"/>
              </w:rPr>
              <w:t xml:space="preserve"> </w:t>
            </w:r>
            <w:r w:rsidRPr="0053423A">
              <w:rPr>
                <w:color w:val="000000"/>
                <w:lang w:val="hy-AM"/>
              </w:rPr>
              <w:t>առանձնահատուկ</w:t>
            </w:r>
            <w:r w:rsidRPr="0053423A">
              <w:rPr>
                <w:color w:val="000000"/>
                <w:lang w:val="af-ZA"/>
              </w:rPr>
              <w:t xml:space="preserve"> </w:t>
            </w:r>
            <w:r w:rsidRPr="0053423A">
              <w:rPr>
                <w:color w:val="000000"/>
                <w:lang w:val="hy-AM"/>
              </w:rPr>
              <w:t>կամ</w:t>
            </w:r>
            <w:r w:rsidRPr="0053423A">
              <w:rPr>
                <w:color w:val="000000"/>
                <w:lang w:val="af-ZA"/>
              </w:rPr>
              <w:t xml:space="preserve"> </w:t>
            </w:r>
            <w:r w:rsidRPr="0053423A">
              <w:rPr>
                <w:color w:val="000000"/>
                <w:lang w:val="hy-AM"/>
              </w:rPr>
              <w:t>լրացուցիչ</w:t>
            </w:r>
            <w:r w:rsidRPr="0053423A">
              <w:rPr>
                <w:color w:val="000000"/>
                <w:lang w:val="af-ZA"/>
              </w:rPr>
              <w:t xml:space="preserve"> </w:t>
            </w:r>
            <w:r w:rsidRPr="0053423A">
              <w:rPr>
                <w:color w:val="000000"/>
                <w:lang w:val="hy-AM"/>
              </w:rPr>
              <w:t>պայմանների</w:t>
            </w:r>
            <w:r w:rsidRPr="0053423A">
              <w:rPr>
                <w:color w:val="000000"/>
                <w:lang w:val="af-ZA"/>
              </w:rPr>
              <w:t xml:space="preserve"> </w:t>
            </w:r>
            <w:r w:rsidRPr="0053423A">
              <w:rPr>
                <w:color w:val="000000"/>
                <w:lang w:val="hy-AM"/>
              </w:rPr>
              <w:t>սահմանումը</w:t>
            </w:r>
            <w:r w:rsidRPr="0053423A">
              <w:rPr>
                <w:color w:val="000000"/>
                <w:lang w:val="af-ZA"/>
              </w:rPr>
              <w:t xml:space="preserve">: </w:t>
            </w:r>
          </w:p>
          <w:p w:rsidR="00D75F05" w:rsidRPr="0053423A" w:rsidRDefault="00D75F05" w:rsidP="00A67858">
            <w:pPr>
              <w:pStyle w:val="ListParagraph"/>
              <w:tabs>
                <w:tab w:val="left" w:pos="0"/>
              </w:tabs>
              <w:spacing w:line="276" w:lineRule="auto"/>
              <w:ind w:left="97"/>
              <w:jc w:val="both"/>
              <w:rPr>
                <w:color w:val="000000"/>
                <w:lang w:val="af-ZA"/>
              </w:rPr>
            </w:pPr>
            <w:r w:rsidRPr="0053423A">
              <w:rPr>
                <w:color w:val="000000"/>
              </w:rPr>
              <w:t>Առկա</w:t>
            </w:r>
            <w:r w:rsidRPr="0053423A">
              <w:rPr>
                <w:color w:val="000000"/>
                <w:lang w:val="af-ZA"/>
              </w:rPr>
              <w:t xml:space="preserve"> </w:t>
            </w:r>
            <w:r w:rsidRPr="0053423A">
              <w:rPr>
                <w:color w:val="000000"/>
              </w:rPr>
              <w:t>խնդիրները</w:t>
            </w:r>
            <w:r w:rsidRPr="0053423A">
              <w:rPr>
                <w:color w:val="000000"/>
                <w:lang w:val="af-ZA"/>
              </w:rPr>
              <w:t xml:space="preserve">` </w:t>
            </w:r>
            <w:r w:rsidRPr="0053423A">
              <w:rPr>
                <w:color w:val="000000"/>
              </w:rPr>
              <w:t>կառուցապատման</w:t>
            </w:r>
            <w:r w:rsidRPr="0053423A">
              <w:rPr>
                <w:color w:val="000000"/>
                <w:lang w:val="af-ZA"/>
              </w:rPr>
              <w:t xml:space="preserve"> </w:t>
            </w:r>
            <w:r w:rsidRPr="0053423A">
              <w:rPr>
                <w:color w:val="000000"/>
              </w:rPr>
              <w:t>ընթացքում</w:t>
            </w:r>
            <w:r w:rsidRPr="0053423A">
              <w:rPr>
                <w:color w:val="000000"/>
                <w:lang w:val="af-ZA"/>
              </w:rPr>
              <w:t xml:space="preserve"> </w:t>
            </w:r>
            <w:r w:rsidRPr="0053423A">
              <w:rPr>
                <w:color w:val="000000"/>
              </w:rPr>
              <w:t>պետական</w:t>
            </w:r>
            <w:r w:rsidRPr="0053423A">
              <w:rPr>
                <w:color w:val="000000"/>
                <w:lang w:val="af-ZA"/>
              </w:rPr>
              <w:t xml:space="preserve">, </w:t>
            </w:r>
            <w:r w:rsidRPr="0053423A">
              <w:rPr>
                <w:color w:val="000000"/>
              </w:rPr>
              <w:t>հանրային</w:t>
            </w:r>
            <w:r w:rsidRPr="0053423A">
              <w:rPr>
                <w:color w:val="000000"/>
                <w:lang w:val="af-ZA"/>
              </w:rPr>
              <w:t xml:space="preserve"> </w:t>
            </w:r>
            <w:r w:rsidRPr="0053423A">
              <w:rPr>
                <w:color w:val="000000"/>
              </w:rPr>
              <w:t>և</w:t>
            </w:r>
            <w:r w:rsidRPr="0053423A">
              <w:rPr>
                <w:color w:val="000000"/>
                <w:lang w:val="af-ZA"/>
              </w:rPr>
              <w:t xml:space="preserve"> </w:t>
            </w:r>
            <w:r w:rsidRPr="0053423A">
              <w:rPr>
                <w:color w:val="000000"/>
              </w:rPr>
              <w:t>մասնավոր</w:t>
            </w:r>
            <w:r w:rsidRPr="0053423A">
              <w:rPr>
                <w:color w:val="000000"/>
                <w:lang w:val="af-ZA"/>
              </w:rPr>
              <w:t xml:space="preserve"> </w:t>
            </w:r>
            <w:r w:rsidRPr="0053423A">
              <w:rPr>
                <w:color w:val="000000"/>
              </w:rPr>
              <w:t>շահերի</w:t>
            </w:r>
            <w:r w:rsidRPr="0053423A">
              <w:rPr>
                <w:color w:val="000000"/>
                <w:lang w:val="af-ZA"/>
              </w:rPr>
              <w:t xml:space="preserve"> </w:t>
            </w:r>
            <w:r w:rsidRPr="0053423A">
              <w:rPr>
                <w:color w:val="000000"/>
              </w:rPr>
              <w:t>անբավարար</w:t>
            </w:r>
            <w:r w:rsidRPr="0053423A">
              <w:rPr>
                <w:color w:val="000000"/>
                <w:lang w:val="af-ZA"/>
              </w:rPr>
              <w:t xml:space="preserve"> </w:t>
            </w:r>
            <w:r w:rsidRPr="0053423A">
              <w:rPr>
                <w:color w:val="000000"/>
              </w:rPr>
              <w:t>հավասարակշռվածությունն</w:t>
            </w:r>
            <w:r w:rsidRPr="0053423A">
              <w:rPr>
                <w:color w:val="000000"/>
                <w:lang w:val="af-ZA"/>
              </w:rPr>
              <w:t xml:space="preserve">, </w:t>
            </w:r>
            <w:r w:rsidRPr="0053423A">
              <w:rPr>
                <w:color w:val="000000"/>
              </w:rPr>
              <w:t>ինչպես</w:t>
            </w:r>
            <w:r w:rsidRPr="0053423A">
              <w:rPr>
                <w:color w:val="000000"/>
                <w:lang w:val="af-ZA"/>
              </w:rPr>
              <w:t xml:space="preserve"> </w:t>
            </w:r>
            <w:r w:rsidRPr="0053423A">
              <w:rPr>
                <w:color w:val="000000"/>
              </w:rPr>
              <w:t>նաև</w:t>
            </w:r>
            <w:r w:rsidRPr="0053423A">
              <w:rPr>
                <w:color w:val="000000"/>
                <w:lang w:val="af-ZA"/>
              </w:rPr>
              <w:t xml:space="preserve"> </w:t>
            </w:r>
            <w:r w:rsidRPr="0053423A">
              <w:rPr>
                <w:color w:val="000000"/>
              </w:rPr>
              <w:t>քաղաքաշինական</w:t>
            </w:r>
            <w:r w:rsidRPr="0053423A">
              <w:rPr>
                <w:color w:val="000000"/>
                <w:lang w:val="af-ZA"/>
              </w:rPr>
              <w:t xml:space="preserve"> </w:t>
            </w:r>
            <w:r w:rsidRPr="0053423A">
              <w:rPr>
                <w:color w:val="000000"/>
              </w:rPr>
              <w:t>գործունեության</w:t>
            </w:r>
            <w:r w:rsidRPr="0053423A">
              <w:rPr>
                <w:color w:val="000000"/>
                <w:lang w:val="af-ZA"/>
              </w:rPr>
              <w:t xml:space="preserve"> </w:t>
            </w:r>
            <w:r w:rsidRPr="0053423A">
              <w:rPr>
                <w:color w:val="000000"/>
              </w:rPr>
              <w:t>սուբյեկտների</w:t>
            </w:r>
            <w:r w:rsidRPr="0053423A">
              <w:rPr>
                <w:color w:val="000000"/>
                <w:lang w:val="af-ZA"/>
              </w:rPr>
              <w:t xml:space="preserve"> (</w:t>
            </w:r>
            <w:r w:rsidRPr="0053423A">
              <w:rPr>
                <w:color w:val="000000"/>
              </w:rPr>
              <w:t>պետական</w:t>
            </w:r>
            <w:r w:rsidRPr="0053423A">
              <w:rPr>
                <w:color w:val="000000"/>
                <w:lang w:val="af-ZA"/>
              </w:rPr>
              <w:t xml:space="preserve"> </w:t>
            </w:r>
            <w:r w:rsidRPr="0053423A">
              <w:rPr>
                <w:color w:val="000000"/>
              </w:rPr>
              <w:t>կառավարման</w:t>
            </w:r>
            <w:r w:rsidRPr="0053423A">
              <w:rPr>
                <w:color w:val="000000"/>
                <w:lang w:val="af-ZA"/>
              </w:rPr>
              <w:t xml:space="preserve">, </w:t>
            </w:r>
            <w:r w:rsidRPr="0053423A">
              <w:rPr>
                <w:color w:val="000000"/>
              </w:rPr>
              <w:t>տեղական</w:t>
            </w:r>
            <w:r w:rsidRPr="0053423A">
              <w:rPr>
                <w:color w:val="000000"/>
                <w:lang w:val="af-ZA"/>
              </w:rPr>
              <w:t xml:space="preserve"> </w:t>
            </w:r>
            <w:r w:rsidRPr="0053423A">
              <w:rPr>
                <w:color w:val="000000"/>
              </w:rPr>
              <w:t>ինքնակառավարման</w:t>
            </w:r>
            <w:r w:rsidRPr="0053423A">
              <w:rPr>
                <w:color w:val="000000"/>
                <w:lang w:val="af-ZA"/>
              </w:rPr>
              <w:t xml:space="preserve"> </w:t>
            </w:r>
            <w:r w:rsidRPr="0053423A">
              <w:rPr>
                <w:color w:val="000000"/>
              </w:rPr>
              <w:t>մարմիններ</w:t>
            </w:r>
            <w:r w:rsidRPr="0053423A">
              <w:rPr>
                <w:color w:val="000000"/>
                <w:lang w:val="af-ZA"/>
              </w:rPr>
              <w:t xml:space="preserve">, </w:t>
            </w:r>
            <w:r w:rsidRPr="0053423A">
              <w:rPr>
                <w:color w:val="000000"/>
              </w:rPr>
              <w:t>մասնավոր</w:t>
            </w:r>
            <w:r w:rsidRPr="0053423A">
              <w:rPr>
                <w:color w:val="000000"/>
                <w:lang w:val="af-ZA"/>
              </w:rPr>
              <w:t xml:space="preserve"> </w:t>
            </w:r>
            <w:r w:rsidRPr="0053423A">
              <w:rPr>
                <w:color w:val="000000"/>
              </w:rPr>
              <w:t>հատված</w:t>
            </w:r>
            <w:r w:rsidRPr="0053423A">
              <w:rPr>
                <w:color w:val="000000"/>
                <w:lang w:val="af-ZA"/>
              </w:rPr>
              <w:t xml:space="preserve">, </w:t>
            </w:r>
            <w:r w:rsidRPr="0053423A">
              <w:rPr>
                <w:color w:val="000000"/>
              </w:rPr>
              <w:t>հասարակություն</w:t>
            </w:r>
            <w:r w:rsidRPr="0053423A">
              <w:rPr>
                <w:color w:val="000000"/>
                <w:lang w:val="af-ZA"/>
              </w:rPr>
              <w:t xml:space="preserve">, </w:t>
            </w:r>
            <w:r w:rsidRPr="0053423A">
              <w:rPr>
                <w:color w:val="000000"/>
              </w:rPr>
              <w:t>մասնագիտական</w:t>
            </w:r>
            <w:r w:rsidRPr="0053423A">
              <w:rPr>
                <w:color w:val="000000"/>
                <w:lang w:val="af-ZA"/>
              </w:rPr>
              <w:t xml:space="preserve"> </w:t>
            </w:r>
            <w:r w:rsidRPr="0053423A">
              <w:rPr>
                <w:color w:val="000000"/>
              </w:rPr>
              <w:t>շրջանակներ</w:t>
            </w:r>
            <w:r w:rsidRPr="0053423A">
              <w:rPr>
                <w:color w:val="000000"/>
                <w:lang w:val="af-ZA"/>
              </w:rPr>
              <w:t xml:space="preserve">) </w:t>
            </w:r>
            <w:r w:rsidRPr="0053423A">
              <w:rPr>
                <w:color w:val="000000"/>
              </w:rPr>
              <w:t>միջև</w:t>
            </w:r>
            <w:r w:rsidRPr="0053423A">
              <w:rPr>
                <w:color w:val="000000"/>
                <w:lang w:val="af-ZA"/>
              </w:rPr>
              <w:t xml:space="preserve"> </w:t>
            </w:r>
            <w:r w:rsidRPr="0053423A">
              <w:rPr>
                <w:color w:val="000000"/>
              </w:rPr>
              <w:t>համագործակցության</w:t>
            </w:r>
            <w:r w:rsidRPr="0053423A">
              <w:rPr>
                <w:color w:val="000000"/>
                <w:lang w:val="af-ZA"/>
              </w:rPr>
              <w:t xml:space="preserve"> </w:t>
            </w:r>
            <w:r w:rsidRPr="0053423A">
              <w:rPr>
                <w:color w:val="000000"/>
              </w:rPr>
              <w:t>մեխանիզմների</w:t>
            </w:r>
            <w:r w:rsidRPr="0053423A">
              <w:rPr>
                <w:color w:val="000000"/>
                <w:lang w:val="af-ZA"/>
              </w:rPr>
              <w:t xml:space="preserve"> </w:t>
            </w:r>
            <w:r w:rsidRPr="0053423A">
              <w:rPr>
                <w:color w:val="000000"/>
              </w:rPr>
              <w:t>անկատարությունն</w:t>
            </w:r>
            <w:r w:rsidRPr="0053423A">
              <w:rPr>
                <w:color w:val="000000"/>
                <w:lang w:val="af-ZA"/>
              </w:rPr>
              <w:t xml:space="preserve"> </w:t>
            </w:r>
            <w:r w:rsidRPr="0053423A">
              <w:rPr>
                <w:color w:val="000000"/>
              </w:rPr>
              <w:t>է</w:t>
            </w:r>
            <w:r w:rsidRPr="0053423A">
              <w:rPr>
                <w:color w:val="000000"/>
                <w:lang w:val="af-ZA"/>
              </w:rPr>
              <w:t>:</w:t>
            </w:r>
          </w:p>
          <w:p w:rsidR="00D75F05" w:rsidRPr="0053423A" w:rsidRDefault="00D75F05" w:rsidP="001F6D5D">
            <w:pPr>
              <w:pStyle w:val="ListParagraph"/>
              <w:numPr>
                <w:ilvl w:val="1"/>
                <w:numId w:val="316"/>
              </w:numPr>
              <w:tabs>
                <w:tab w:val="left" w:pos="360"/>
              </w:tabs>
              <w:spacing w:line="276" w:lineRule="auto"/>
              <w:ind w:left="97" w:firstLine="0"/>
              <w:rPr>
                <w:b/>
              </w:rPr>
            </w:pPr>
            <w:r w:rsidRPr="0053423A">
              <w:rPr>
                <w:b/>
                <w:lang w:val="hy-AM"/>
              </w:rPr>
              <w:t>Առկա</w:t>
            </w:r>
            <w:r w:rsidRPr="0053423A">
              <w:rPr>
                <w:b/>
                <w:lang w:val="af-ZA"/>
              </w:rPr>
              <w:t xml:space="preserve"> </w:t>
            </w:r>
            <w:r w:rsidRPr="0053423A">
              <w:rPr>
                <w:b/>
                <w:lang w:val="hy-AM"/>
              </w:rPr>
              <w:t>խնդիրների</w:t>
            </w:r>
            <w:r w:rsidRPr="0053423A">
              <w:rPr>
                <w:b/>
                <w:lang w:val="af-ZA"/>
              </w:rPr>
              <w:t xml:space="preserve"> </w:t>
            </w:r>
            <w:r w:rsidRPr="0053423A">
              <w:rPr>
                <w:b/>
                <w:lang w:val="hy-AM"/>
              </w:rPr>
              <w:t>առաջարկվող</w:t>
            </w:r>
            <w:r w:rsidRPr="0053423A">
              <w:rPr>
                <w:b/>
                <w:lang w:val="af-ZA"/>
              </w:rPr>
              <w:t xml:space="preserve"> </w:t>
            </w:r>
            <w:r w:rsidRPr="0053423A">
              <w:rPr>
                <w:b/>
                <w:lang w:val="hy-AM"/>
              </w:rPr>
              <w:t>լուծումները</w:t>
            </w:r>
          </w:p>
          <w:p w:rsidR="00D75F05" w:rsidRPr="0053423A" w:rsidRDefault="00D75F05" w:rsidP="00A67858">
            <w:pPr>
              <w:pStyle w:val="ListParagraph"/>
              <w:tabs>
                <w:tab w:val="left" w:pos="0"/>
              </w:tabs>
              <w:spacing w:line="276" w:lineRule="auto"/>
              <w:ind w:left="97"/>
              <w:jc w:val="both"/>
              <w:rPr>
                <w:b/>
              </w:rPr>
            </w:pPr>
            <w:r w:rsidRPr="0053423A">
              <w:rPr>
                <w:rFonts w:cs="Sylfaen"/>
                <w:color w:val="000000"/>
              </w:rPr>
              <w:tab/>
            </w:r>
            <w:r w:rsidRPr="0053423A">
              <w:rPr>
                <w:rFonts w:cs="Sylfaen"/>
                <w:color w:val="000000"/>
              </w:rPr>
              <w:tab/>
              <w:t>Օ</w:t>
            </w:r>
            <w:r w:rsidRPr="0053423A">
              <w:rPr>
                <w:color w:val="000000"/>
              </w:rPr>
              <w:t>րենսդրական</w:t>
            </w:r>
            <w:r w:rsidRPr="0053423A">
              <w:rPr>
                <w:color w:val="000000"/>
                <w:lang w:val="af-ZA"/>
              </w:rPr>
              <w:t xml:space="preserve"> </w:t>
            </w:r>
            <w:r w:rsidRPr="0053423A">
              <w:rPr>
                <w:color w:val="000000"/>
              </w:rPr>
              <w:t>կարգավորման</w:t>
            </w:r>
            <w:r w:rsidRPr="0053423A">
              <w:rPr>
                <w:color w:val="000000"/>
                <w:lang w:val="af-ZA"/>
              </w:rPr>
              <w:t xml:space="preserve"> </w:t>
            </w:r>
            <w:r w:rsidRPr="0053423A">
              <w:rPr>
                <w:color w:val="000000"/>
              </w:rPr>
              <w:t>առաջարկների նախանշում և վերջիններիս</w:t>
            </w:r>
            <w:r w:rsidRPr="0053423A">
              <w:rPr>
                <w:color w:val="000000"/>
                <w:lang w:val="af-ZA"/>
              </w:rPr>
              <w:t xml:space="preserve"> </w:t>
            </w:r>
            <w:r w:rsidRPr="0053423A">
              <w:rPr>
                <w:color w:val="000000"/>
              </w:rPr>
              <w:t>լուծման</w:t>
            </w:r>
            <w:r w:rsidRPr="0053423A">
              <w:rPr>
                <w:color w:val="000000"/>
                <w:lang w:val="af-ZA"/>
              </w:rPr>
              <w:t xml:space="preserve"> </w:t>
            </w:r>
            <w:r w:rsidRPr="0053423A">
              <w:rPr>
                <w:color w:val="000000"/>
              </w:rPr>
              <w:t>ուղղությունների ամրագրում</w:t>
            </w:r>
            <w:r w:rsidRPr="0053423A">
              <w:rPr>
                <w:color w:val="000000"/>
                <w:lang w:val="af-ZA"/>
              </w:rPr>
              <w:t>:</w:t>
            </w:r>
            <w:r w:rsidRPr="0053423A">
              <w:rPr>
                <w:lang w:val="af-ZA"/>
              </w:rPr>
              <w:t xml:space="preserve">  </w:t>
            </w:r>
          </w:p>
          <w:p w:rsidR="00D75F05" w:rsidRPr="0053423A" w:rsidRDefault="00D75F05" w:rsidP="001F6D5D">
            <w:pPr>
              <w:pStyle w:val="ListParagraph"/>
              <w:numPr>
                <w:ilvl w:val="0"/>
                <w:numId w:val="317"/>
              </w:numPr>
              <w:tabs>
                <w:tab w:val="left" w:pos="0"/>
              </w:tabs>
              <w:spacing w:line="276" w:lineRule="auto"/>
              <w:ind w:left="97" w:firstLine="0"/>
              <w:jc w:val="both"/>
              <w:rPr>
                <w:b/>
                <w:lang w:val="hy-AM"/>
              </w:rPr>
            </w:pPr>
            <w:r w:rsidRPr="0053423A">
              <w:rPr>
                <w:b/>
                <w:lang w:val="hy-AM"/>
              </w:rPr>
              <w:t>Միջոցառման</w:t>
            </w:r>
            <w:r w:rsidRPr="0053423A">
              <w:rPr>
                <w:b/>
                <w:lang w:val="af-ZA"/>
              </w:rPr>
              <w:t xml:space="preserve"> </w:t>
            </w:r>
            <w:r w:rsidRPr="0053423A">
              <w:rPr>
                <w:b/>
                <w:lang w:val="hy-AM"/>
              </w:rPr>
              <w:t>իրականացումից</w:t>
            </w:r>
            <w:r w:rsidRPr="0053423A">
              <w:rPr>
                <w:b/>
                <w:lang w:val="af-ZA"/>
              </w:rPr>
              <w:t xml:space="preserve"> </w:t>
            </w:r>
            <w:r w:rsidRPr="0053423A">
              <w:rPr>
                <w:b/>
                <w:lang w:val="hy-AM"/>
              </w:rPr>
              <w:t>ակնկալվող</w:t>
            </w:r>
            <w:r w:rsidRPr="0053423A">
              <w:rPr>
                <w:b/>
                <w:lang w:val="af-ZA"/>
              </w:rPr>
              <w:t xml:space="preserve"> </w:t>
            </w:r>
            <w:r w:rsidRPr="0053423A">
              <w:rPr>
                <w:b/>
                <w:lang w:val="hy-AM"/>
              </w:rPr>
              <w:t>արդյունքը</w:t>
            </w:r>
          </w:p>
          <w:p w:rsidR="00D75F05" w:rsidRPr="0053423A" w:rsidRDefault="00D75F05" w:rsidP="00A67858">
            <w:pPr>
              <w:spacing w:line="276" w:lineRule="auto"/>
              <w:ind w:left="97"/>
              <w:jc w:val="both"/>
              <w:rPr>
                <w:color w:val="000000"/>
                <w:lang w:val="af-ZA"/>
              </w:rPr>
            </w:pPr>
            <w:r w:rsidRPr="0053423A">
              <w:rPr>
                <w:color w:val="000000"/>
                <w:lang w:val="hy-AM"/>
              </w:rPr>
              <w:t>Մայրաքաղաքի</w:t>
            </w:r>
            <w:r w:rsidRPr="0053423A">
              <w:rPr>
                <w:color w:val="000000"/>
                <w:lang w:val="af-ZA"/>
              </w:rPr>
              <w:t xml:space="preserve"> </w:t>
            </w:r>
            <w:r w:rsidRPr="0053423A">
              <w:rPr>
                <w:color w:val="000000"/>
                <w:lang w:val="hy-AM"/>
              </w:rPr>
              <w:t>քաղաքաշինական</w:t>
            </w:r>
            <w:r w:rsidRPr="0053423A">
              <w:rPr>
                <w:color w:val="000000"/>
                <w:lang w:val="af-ZA"/>
              </w:rPr>
              <w:t xml:space="preserve"> </w:t>
            </w:r>
            <w:r w:rsidRPr="0053423A">
              <w:rPr>
                <w:color w:val="000000"/>
                <w:lang w:val="hy-AM"/>
              </w:rPr>
              <w:t>դիմագծի</w:t>
            </w:r>
            <w:r w:rsidRPr="0053423A">
              <w:rPr>
                <w:color w:val="000000"/>
                <w:lang w:val="af-ZA"/>
              </w:rPr>
              <w:t xml:space="preserve"> </w:t>
            </w:r>
            <w:r w:rsidRPr="0053423A">
              <w:rPr>
                <w:color w:val="000000"/>
                <w:lang w:val="hy-AM"/>
              </w:rPr>
              <w:t>ձևավորման</w:t>
            </w:r>
            <w:r w:rsidRPr="0053423A">
              <w:rPr>
                <w:color w:val="000000"/>
                <w:lang w:val="af-ZA"/>
              </w:rPr>
              <w:t xml:space="preserve"> </w:t>
            </w:r>
            <w:r w:rsidRPr="0053423A">
              <w:rPr>
                <w:color w:val="000000"/>
                <w:lang w:val="hy-AM"/>
              </w:rPr>
              <w:t>վրա</w:t>
            </w:r>
            <w:r w:rsidRPr="0053423A">
              <w:rPr>
                <w:color w:val="000000"/>
                <w:lang w:val="af-ZA"/>
              </w:rPr>
              <w:t xml:space="preserve"> </w:t>
            </w:r>
            <w:r w:rsidRPr="0053423A">
              <w:rPr>
                <w:color w:val="000000"/>
                <w:lang w:val="hy-AM"/>
              </w:rPr>
              <w:t>գերիշխող</w:t>
            </w:r>
            <w:r w:rsidRPr="0053423A">
              <w:rPr>
                <w:color w:val="000000"/>
                <w:lang w:val="af-ZA"/>
              </w:rPr>
              <w:t xml:space="preserve"> </w:t>
            </w:r>
            <w:r w:rsidRPr="0053423A">
              <w:rPr>
                <w:color w:val="000000"/>
                <w:lang w:val="hy-AM"/>
              </w:rPr>
              <w:t>ազդեցություն</w:t>
            </w:r>
            <w:r w:rsidRPr="0053423A">
              <w:rPr>
                <w:color w:val="000000"/>
                <w:lang w:val="af-ZA"/>
              </w:rPr>
              <w:t xml:space="preserve"> </w:t>
            </w:r>
            <w:r w:rsidRPr="0053423A">
              <w:rPr>
                <w:color w:val="000000"/>
                <w:lang w:val="hy-AM"/>
              </w:rPr>
              <w:t>ունեցող</w:t>
            </w:r>
            <w:r w:rsidRPr="0053423A">
              <w:rPr>
                <w:color w:val="000000"/>
                <w:lang w:val="af-ZA"/>
              </w:rPr>
              <w:t xml:space="preserve"> </w:t>
            </w:r>
            <w:r w:rsidRPr="0053423A">
              <w:rPr>
                <w:color w:val="000000"/>
                <w:lang w:val="hy-AM"/>
              </w:rPr>
              <w:t>տարածական</w:t>
            </w:r>
            <w:r w:rsidRPr="0053423A">
              <w:rPr>
                <w:color w:val="000000"/>
                <w:lang w:val="af-ZA"/>
              </w:rPr>
              <w:t xml:space="preserve"> </w:t>
            </w:r>
            <w:r w:rsidRPr="0053423A">
              <w:rPr>
                <w:color w:val="000000"/>
                <w:lang w:val="hy-AM"/>
              </w:rPr>
              <w:t>գոտու</w:t>
            </w:r>
            <w:r w:rsidRPr="0053423A">
              <w:rPr>
                <w:color w:val="000000"/>
                <w:lang w:val="af-ZA"/>
              </w:rPr>
              <w:t xml:space="preserve"> </w:t>
            </w:r>
            <w:r w:rsidRPr="0053423A">
              <w:rPr>
                <w:color w:val="000000"/>
                <w:lang w:val="hy-AM"/>
              </w:rPr>
              <w:t>պահպանման</w:t>
            </w:r>
            <w:r w:rsidRPr="0053423A">
              <w:rPr>
                <w:color w:val="000000"/>
                <w:lang w:val="af-ZA"/>
              </w:rPr>
              <w:t xml:space="preserve"> </w:t>
            </w:r>
            <w:r w:rsidRPr="0053423A">
              <w:rPr>
                <w:color w:val="000000"/>
                <w:lang w:val="hy-AM"/>
              </w:rPr>
              <w:t>ու</w:t>
            </w:r>
            <w:r w:rsidRPr="0053423A">
              <w:rPr>
                <w:color w:val="000000"/>
                <w:lang w:val="af-ZA"/>
              </w:rPr>
              <w:t xml:space="preserve"> </w:t>
            </w:r>
            <w:r w:rsidRPr="0053423A">
              <w:rPr>
                <w:color w:val="000000"/>
                <w:lang w:val="hy-AM"/>
              </w:rPr>
              <w:t>ներդաշնակ</w:t>
            </w:r>
            <w:r w:rsidRPr="0053423A">
              <w:rPr>
                <w:color w:val="000000"/>
                <w:lang w:val="af-ZA"/>
              </w:rPr>
              <w:t xml:space="preserve"> </w:t>
            </w:r>
            <w:r w:rsidRPr="0053423A">
              <w:rPr>
                <w:color w:val="000000"/>
                <w:lang w:val="hy-AM"/>
              </w:rPr>
              <w:t>զարգացման</w:t>
            </w:r>
            <w:r w:rsidRPr="0053423A">
              <w:rPr>
                <w:color w:val="000000"/>
                <w:lang w:val="af-ZA"/>
              </w:rPr>
              <w:t xml:space="preserve"> </w:t>
            </w:r>
            <w:r w:rsidRPr="0053423A">
              <w:rPr>
                <w:color w:val="000000"/>
                <w:lang w:val="hy-AM"/>
              </w:rPr>
              <w:t>իրական</w:t>
            </w:r>
            <w:r w:rsidRPr="0053423A">
              <w:rPr>
                <w:color w:val="000000"/>
                <w:lang w:val="af-ZA"/>
              </w:rPr>
              <w:t xml:space="preserve"> </w:t>
            </w:r>
            <w:r w:rsidRPr="0053423A">
              <w:rPr>
                <w:color w:val="000000"/>
                <w:lang w:val="hy-AM"/>
              </w:rPr>
              <w:t>բարելավումը</w:t>
            </w:r>
            <w:r w:rsidRPr="0053423A">
              <w:rPr>
                <w:color w:val="000000"/>
                <w:lang w:val="af-ZA"/>
              </w:rPr>
              <w:t xml:space="preserve">, </w:t>
            </w:r>
            <w:r w:rsidRPr="0053423A">
              <w:rPr>
                <w:color w:val="000000"/>
                <w:lang w:val="hy-AM"/>
              </w:rPr>
              <w:t>հարմարավետ</w:t>
            </w:r>
            <w:r w:rsidRPr="0053423A">
              <w:rPr>
                <w:color w:val="000000"/>
                <w:lang w:val="af-ZA"/>
              </w:rPr>
              <w:t xml:space="preserve"> </w:t>
            </w:r>
            <w:r w:rsidRPr="0053423A">
              <w:rPr>
                <w:color w:val="000000"/>
                <w:lang w:val="hy-AM"/>
              </w:rPr>
              <w:t>և</w:t>
            </w:r>
            <w:r w:rsidRPr="0053423A">
              <w:rPr>
                <w:color w:val="000000"/>
                <w:lang w:val="af-ZA"/>
              </w:rPr>
              <w:t xml:space="preserve"> </w:t>
            </w:r>
            <w:r w:rsidRPr="0053423A">
              <w:rPr>
                <w:color w:val="000000"/>
                <w:lang w:val="hy-AM"/>
              </w:rPr>
              <w:t>բարձրարժեք</w:t>
            </w:r>
            <w:r w:rsidRPr="0053423A">
              <w:rPr>
                <w:color w:val="000000"/>
                <w:lang w:val="af-ZA"/>
              </w:rPr>
              <w:t xml:space="preserve"> </w:t>
            </w:r>
            <w:r w:rsidRPr="0053423A">
              <w:rPr>
                <w:color w:val="000000"/>
                <w:lang w:val="hy-AM"/>
              </w:rPr>
              <w:t>գեղագիտական</w:t>
            </w:r>
            <w:r w:rsidRPr="0053423A">
              <w:rPr>
                <w:color w:val="000000"/>
                <w:lang w:val="af-ZA"/>
              </w:rPr>
              <w:t xml:space="preserve"> </w:t>
            </w:r>
            <w:r w:rsidRPr="0053423A">
              <w:rPr>
                <w:color w:val="000000"/>
                <w:lang w:val="hy-AM"/>
              </w:rPr>
              <w:t>հատկանիշներով</w:t>
            </w:r>
            <w:r w:rsidRPr="0053423A">
              <w:rPr>
                <w:color w:val="000000"/>
                <w:lang w:val="af-ZA"/>
              </w:rPr>
              <w:t xml:space="preserve"> </w:t>
            </w:r>
            <w:r w:rsidRPr="0053423A">
              <w:rPr>
                <w:color w:val="000000"/>
                <w:lang w:val="hy-AM"/>
              </w:rPr>
              <w:t>օժտված</w:t>
            </w:r>
            <w:r w:rsidRPr="0053423A">
              <w:rPr>
                <w:color w:val="000000"/>
                <w:lang w:val="af-ZA"/>
              </w:rPr>
              <w:t xml:space="preserve"> </w:t>
            </w:r>
            <w:r w:rsidRPr="0053423A">
              <w:rPr>
                <w:color w:val="000000"/>
                <w:lang w:val="hy-AM"/>
              </w:rPr>
              <w:t>կենսամիջավարի</w:t>
            </w:r>
            <w:r w:rsidRPr="0053423A">
              <w:rPr>
                <w:color w:val="000000"/>
                <w:lang w:val="af-ZA"/>
              </w:rPr>
              <w:t xml:space="preserve"> </w:t>
            </w:r>
            <w:r w:rsidRPr="0053423A">
              <w:rPr>
                <w:color w:val="000000"/>
                <w:lang w:val="hy-AM"/>
              </w:rPr>
              <w:t>ձևավորումը</w:t>
            </w:r>
            <w:r w:rsidRPr="0053423A">
              <w:rPr>
                <w:color w:val="000000"/>
                <w:lang w:val="af-ZA"/>
              </w:rPr>
              <w:t>, հատուկ կարգավորման օբյեկտի տարածք սահմանելը:</w:t>
            </w:r>
          </w:p>
          <w:p w:rsidR="00D75F05" w:rsidRPr="0053423A" w:rsidRDefault="00D75F05" w:rsidP="00A67858">
            <w:pPr>
              <w:spacing w:line="276" w:lineRule="auto"/>
              <w:ind w:left="97"/>
              <w:jc w:val="both"/>
              <w:rPr>
                <w:color w:val="000000"/>
                <w:lang w:val="af-ZA"/>
              </w:rPr>
            </w:pPr>
          </w:p>
          <w:p w:rsidR="00D75F05" w:rsidRPr="0053423A" w:rsidRDefault="00D75F05" w:rsidP="00A67858">
            <w:pPr>
              <w:pStyle w:val="norm"/>
              <w:spacing w:line="276" w:lineRule="auto"/>
              <w:ind w:left="97" w:firstLine="0"/>
              <w:jc w:val="center"/>
              <w:rPr>
                <w:rFonts w:ascii="GHEA Grapalat" w:hAnsi="GHEA Grapalat"/>
                <w:b/>
                <w:u w:val="single"/>
                <w:lang w:val="af-ZA"/>
              </w:rPr>
            </w:pPr>
            <w:r w:rsidRPr="0053423A">
              <w:rPr>
                <w:rFonts w:ascii="GHEA Grapalat" w:hAnsi="GHEA Grapalat"/>
                <w:b/>
                <w:u w:val="single"/>
                <w:lang w:val="af-ZA"/>
              </w:rPr>
              <w:t xml:space="preserve">1.4  </w:t>
            </w:r>
            <w:r w:rsidRPr="0053423A">
              <w:rPr>
                <w:rFonts w:ascii="GHEA Grapalat" w:hAnsi="GHEA Grapalat"/>
                <w:b/>
                <w:u w:val="single"/>
                <w:lang w:val="hy-AM"/>
              </w:rPr>
              <w:t>Սահմանամերձ</w:t>
            </w:r>
            <w:r w:rsidRPr="0053423A">
              <w:rPr>
                <w:rFonts w:ascii="GHEA Grapalat" w:hAnsi="GHEA Grapalat"/>
                <w:b/>
                <w:u w:val="single"/>
                <w:lang w:val="af-ZA"/>
              </w:rPr>
              <w:t xml:space="preserve"> </w:t>
            </w:r>
            <w:r w:rsidRPr="0053423A">
              <w:rPr>
                <w:rFonts w:ascii="GHEA Grapalat" w:hAnsi="GHEA Grapalat"/>
                <w:b/>
                <w:u w:val="single"/>
                <w:lang w:val="hy-AM"/>
              </w:rPr>
              <w:t>համայնքներում</w:t>
            </w:r>
            <w:r w:rsidRPr="0053423A">
              <w:rPr>
                <w:rFonts w:ascii="GHEA Grapalat" w:hAnsi="GHEA Grapalat"/>
                <w:b/>
                <w:u w:val="single"/>
                <w:lang w:val="af-ZA"/>
              </w:rPr>
              <w:t xml:space="preserve"> </w:t>
            </w:r>
            <w:r w:rsidRPr="0053423A">
              <w:rPr>
                <w:rFonts w:ascii="GHEA Grapalat" w:hAnsi="GHEA Grapalat"/>
                <w:b/>
                <w:u w:val="single"/>
                <w:lang w:val="hy-AM"/>
              </w:rPr>
              <w:t>քաղաքաշինական</w:t>
            </w:r>
            <w:r w:rsidRPr="0053423A">
              <w:rPr>
                <w:rFonts w:ascii="GHEA Grapalat" w:hAnsi="GHEA Grapalat"/>
                <w:b/>
                <w:u w:val="single"/>
                <w:lang w:val="af-ZA"/>
              </w:rPr>
              <w:t xml:space="preserve"> </w:t>
            </w:r>
            <w:r w:rsidRPr="0053423A">
              <w:rPr>
                <w:rFonts w:ascii="GHEA Grapalat" w:hAnsi="GHEA Grapalat"/>
                <w:b/>
                <w:u w:val="single"/>
                <w:lang w:val="hy-AM"/>
              </w:rPr>
              <w:t xml:space="preserve">գործունեության </w:t>
            </w:r>
            <w:r w:rsidRPr="0053423A">
              <w:rPr>
                <w:rFonts w:ascii="GHEA Grapalat" w:hAnsi="GHEA Grapalat"/>
                <w:b/>
                <w:u w:val="single"/>
                <w:lang w:val="af-ZA"/>
              </w:rPr>
              <w:t>ի</w:t>
            </w:r>
            <w:r w:rsidRPr="0053423A">
              <w:rPr>
                <w:rFonts w:ascii="GHEA Grapalat" w:hAnsi="GHEA Grapalat"/>
                <w:b/>
                <w:u w:val="single"/>
                <w:lang w:val="hy-AM"/>
              </w:rPr>
              <w:t>րականացման</w:t>
            </w:r>
            <w:r w:rsidRPr="0053423A">
              <w:rPr>
                <w:rFonts w:ascii="GHEA Grapalat" w:hAnsi="GHEA Grapalat"/>
                <w:b/>
                <w:u w:val="single"/>
                <w:lang w:val="af-ZA"/>
              </w:rPr>
              <w:t xml:space="preserve"> </w:t>
            </w:r>
            <w:r w:rsidRPr="0053423A">
              <w:rPr>
                <w:rFonts w:ascii="GHEA Grapalat" w:hAnsi="GHEA Grapalat"/>
                <w:b/>
                <w:u w:val="single"/>
                <w:lang w:val="hy-AM"/>
              </w:rPr>
              <w:t>քաղաքականության</w:t>
            </w:r>
            <w:r w:rsidRPr="0053423A">
              <w:rPr>
                <w:rFonts w:ascii="GHEA Grapalat" w:hAnsi="GHEA Grapalat"/>
                <w:b/>
                <w:u w:val="single"/>
                <w:lang w:val="af-ZA"/>
              </w:rPr>
              <w:t xml:space="preserve"> </w:t>
            </w:r>
            <w:r w:rsidRPr="0053423A">
              <w:rPr>
                <w:rFonts w:ascii="GHEA Grapalat" w:hAnsi="GHEA Grapalat"/>
                <w:b/>
                <w:u w:val="single"/>
                <w:lang w:val="hy-AM"/>
              </w:rPr>
              <w:t>մշակում</w:t>
            </w:r>
          </w:p>
          <w:p w:rsidR="00D75F05" w:rsidRPr="0053423A" w:rsidRDefault="00D75F05" w:rsidP="00A67858">
            <w:pPr>
              <w:pStyle w:val="norm"/>
              <w:spacing w:line="276" w:lineRule="auto"/>
              <w:ind w:left="97" w:firstLine="0"/>
              <w:jc w:val="left"/>
              <w:rPr>
                <w:rFonts w:ascii="GHEA Grapalat" w:hAnsi="GHEA Grapalat"/>
                <w:b/>
                <w:lang w:val="af-ZA"/>
              </w:rPr>
            </w:pPr>
          </w:p>
          <w:p w:rsidR="00D75F05" w:rsidRPr="0053423A" w:rsidRDefault="00D75F05" w:rsidP="00A67858">
            <w:pPr>
              <w:pStyle w:val="ListParagraph1"/>
              <w:tabs>
                <w:tab w:val="left" w:pos="540"/>
                <w:tab w:val="left" w:pos="900"/>
              </w:tabs>
              <w:spacing w:after="0"/>
              <w:ind w:left="97"/>
              <w:rPr>
                <w:rFonts w:ascii="GHEA Grapalat" w:hAnsi="GHEA Grapalat"/>
                <w:b/>
                <w:lang w:val="af-ZA"/>
              </w:rPr>
            </w:pPr>
            <w:r w:rsidRPr="0053423A">
              <w:rPr>
                <w:rFonts w:ascii="GHEA Grapalat" w:hAnsi="GHEA Grapalat"/>
                <w:b/>
                <w:lang w:val="af-ZA"/>
              </w:rPr>
              <w:t xml:space="preserve">1. </w:t>
            </w: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tabs>
                <w:tab w:val="left" w:pos="-360"/>
              </w:tabs>
              <w:spacing w:line="276" w:lineRule="auto"/>
              <w:ind w:left="97"/>
              <w:jc w:val="both"/>
              <w:rPr>
                <w:lang w:val="af-ZA"/>
              </w:rPr>
            </w:pPr>
            <w:r w:rsidRPr="0053423A">
              <w:rPr>
                <w:lang w:val="af-ZA"/>
              </w:rPr>
              <w:t xml:space="preserve">Միջոցառման անհրաժեշտությունը բխում է </w:t>
            </w:r>
            <w:r w:rsidRPr="0053423A">
              <w:rPr>
                <w:bCs/>
                <w:lang w:val="af-ZA"/>
              </w:rPr>
              <w:t>Քաղաքաշինության մասին ՀՀ օրենքի 2-րդ հոդվածի, 10.1 հոդվածի 3-րդ մասի 2-րդ, 3-րդ, 4-րդ, 6-7-րդ կետերի, 14.4 հոդվածի դրույթներից և նպատակը՝ ս</w:t>
            </w:r>
            <w:r w:rsidRPr="0053423A">
              <w:rPr>
                <w:lang w:val="af-ZA"/>
              </w:rPr>
              <w:t xml:space="preserve">ահմանամերձ համայնքներում քաղաքաշինական գործունեության իրականացման քաղաքականության մշակումն է: </w:t>
            </w:r>
          </w:p>
          <w:p w:rsidR="00D75F05" w:rsidRPr="0053423A" w:rsidRDefault="00D75F05" w:rsidP="00A67858">
            <w:pPr>
              <w:tabs>
                <w:tab w:val="left" w:pos="-360"/>
              </w:tabs>
              <w:spacing w:line="276" w:lineRule="auto"/>
              <w:ind w:left="97"/>
              <w:jc w:val="both"/>
              <w:rPr>
                <w:b/>
                <w:lang w:val="af-ZA"/>
              </w:rPr>
            </w:pPr>
            <w:r w:rsidRPr="0053423A">
              <w:rPr>
                <w:b/>
                <w:lang w:val="af-ZA"/>
              </w:rPr>
              <w:t xml:space="preserve">1.1 </w:t>
            </w:r>
            <w:r w:rsidRPr="0053423A">
              <w:rPr>
                <w:b/>
                <w:lang w:val="hy-AM"/>
              </w:rPr>
              <w:t>Կարգավորման հարաբերությունների ներկա վիճակը և առկա խնդիրները</w:t>
            </w:r>
          </w:p>
          <w:p w:rsidR="00D75F05" w:rsidRPr="0053423A" w:rsidRDefault="00D75F05" w:rsidP="00A67858">
            <w:pPr>
              <w:tabs>
                <w:tab w:val="left" w:pos="-360"/>
              </w:tabs>
              <w:spacing w:line="276" w:lineRule="auto"/>
              <w:ind w:left="97"/>
              <w:jc w:val="both"/>
              <w:rPr>
                <w:lang w:val="af-ZA"/>
              </w:rPr>
            </w:pPr>
            <w:r w:rsidRPr="0053423A">
              <w:rPr>
                <w:rFonts w:cs="Sylfaen"/>
                <w:lang w:val="af-ZA"/>
              </w:rPr>
              <w:t>Երկրի</w:t>
            </w:r>
            <w:r w:rsidRPr="0053423A">
              <w:rPr>
                <w:rFonts w:cs="Arial Armenian"/>
                <w:lang w:val="af-ZA"/>
              </w:rPr>
              <w:t xml:space="preserve"> </w:t>
            </w:r>
            <w:r w:rsidRPr="0053423A">
              <w:rPr>
                <w:rFonts w:cs="Sylfaen"/>
                <w:lang w:val="af-ZA"/>
              </w:rPr>
              <w:t>միակենտրոն</w:t>
            </w:r>
            <w:r w:rsidRPr="0053423A">
              <w:rPr>
                <w:rFonts w:cs="Arial Armenian"/>
                <w:lang w:val="af-ZA"/>
              </w:rPr>
              <w:t xml:space="preserve"> </w:t>
            </w:r>
            <w:r w:rsidRPr="0053423A">
              <w:rPr>
                <w:rFonts w:cs="Sylfaen"/>
                <w:lang w:val="af-ZA"/>
              </w:rPr>
              <w:t>զարգացման</w:t>
            </w:r>
            <w:r w:rsidRPr="0053423A">
              <w:rPr>
                <w:rFonts w:cs="Arial Armenian"/>
                <w:lang w:val="af-ZA"/>
              </w:rPr>
              <w:t xml:space="preserve">, </w:t>
            </w:r>
            <w:r w:rsidRPr="0053423A">
              <w:rPr>
                <w:rFonts w:cs="Sylfaen"/>
                <w:lang w:val="af-ZA"/>
              </w:rPr>
              <w:t>ինչպես</w:t>
            </w:r>
            <w:r w:rsidRPr="0053423A">
              <w:rPr>
                <w:rFonts w:cs="Arial Armenian"/>
                <w:lang w:val="af-ZA"/>
              </w:rPr>
              <w:t xml:space="preserve"> </w:t>
            </w:r>
            <w:r w:rsidRPr="0053423A">
              <w:rPr>
                <w:rFonts w:cs="Sylfaen"/>
                <w:lang w:val="af-ZA"/>
              </w:rPr>
              <w:t>նա</w:t>
            </w:r>
            <w:r w:rsidRPr="0053423A">
              <w:rPr>
                <w:lang w:val="af-ZA"/>
              </w:rPr>
              <w:t xml:space="preserve">և անբարենպաստ աշխարհաքաղաքական պայմանների արդյունքում ՀՀ սահմանամերձ համայնքներում արձանագրվում է բնակչության թվաքանակի, տնտեսական գործունեության, ներդրումների անկում: Հաճախ գյուղատնտեսության վարումը դառնում է անհնարին, հողատարածքների անբարենպաստ տեղադիրքի պատճառով: Նշված համայնքներում առաջնահերթ խնդիր է բնակչության անվտանգության ապահովումը և բնակվելու համար բավարար պայմանների ապահովումը:  </w:t>
            </w:r>
          </w:p>
          <w:p w:rsidR="00D75F05" w:rsidRPr="0053423A" w:rsidRDefault="00D75F05" w:rsidP="00A67858">
            <w:pPr>
              <w:tabs>
                <w:tab w:val="left" w:pos="-360"/>
              </w:tabs>
              <w:spacing w:line="276" w:lineRule="auto"/>
              <w:ind w:left="97"/>
              <w:jc w:val="both"/>
              <w:rPr>
                <w:lang w:val="af-ZA"/>
              </w:rPr>
            </w:pPr>
            <w:r w:rsidRPr="0053423A">
              <w:rPr>
                <w:lang w:val="af-ZA"/>
              </w:rPr>
              <w:t xml:space="preserve">Ներկայումս իրականացվող Քաղաքաշինական ծրագրային (տարածական պլանավորման) փաստաթղթերի մշակում 2017-2024 թվականների ծրագիրն ուղղված է նաև սահմանամերձ համայնքների խնդիրների գնահատմանը և զարգացման, բնակչության անվտանգության, շրջանցող ճանապարհների և ռեզերվային ջրամբարների, ջրագծերի և այլ անհրաժեշտ միջոցառումների նախատեսմանը: Օրինակ, ՀՀ Տավուշի մարզի միկրոռեգիոնալ փաստաթղթերով առաջարկվել են մարզի սահմանամերձ համայնքների համար շատ կարևոր միջոցառումներ, դրանց իրականացմանը ներգրավելով շահագրգիռ բոլոր մարմիններին:  </w:t>
            </w:r>
          </w:p>
          <w:p w:rsidR="00D75F05" w:rsidRPr="0053423A" w:rsidRDefault="00D75F05" w:rsidP="00A67858">
            <w:pPr>
              <w:tabs>
                <w:tab w:val="left" w:pos="-360"/>
              </w:tabs>
              <w:spacing w:line="276" w:lineRule="auto"/>
              <w:ind w:left="97"/>
              <w:jc w:val="both"/>
              <w:rPr>
                <w:lang w:val="af-ZA"/>
              </w:rPr>
            </w:pPr>
            <w:r w:rsidRPr="0053423A">
              <w:rPr>
                <w:lang w:val="af-ZA"/>
              </w:rPr>
              <w:t xml:space="preserve">Խնդիր է համարվում նաև հատուկ նորմերի և կանոնների մշակումը, ուղղված բնակչության անվտանգության ապահովմանը, որոշ արտոնությունների նախատեսումը, որը կխթանի ներդրումները և այլ տնտեսական գործունեությունը: </w:t>
            </w:r>
          </w:p>
          <w:p w:rsidR="00D75F05" w:rsidRPr="0053423A" w:rsidRDefault="00D75F05" w:rsidP="00A67858">
            <w:pPr>
              <w:spacing w:line="276" w:lineRule="auto"/>
              <w:ind w:left="97"/>
              <w:rPr>
                <w:b/>
                <w:lang w:val="hy-AM"/>
              </w:rPr>
            </w:pPr>
            <w:r w:rsidRPr="0053423A">
              <w:rPr>
                <w:b/>
                <w:lang w:val="af-ZA"/>
              </w:rPr>
              <w:t xml:space="preserve">1.2 </w:t>
            </w:r>
            <w:r w:rsidRPr="0053423A">
              <w:rPr>
                <w:b/>
                <w:lang w:val="hy-AM"/>
              </w:rPr>
              <w:t>Առկա</w:t>
            </w:r>
            <w:r w:rsidRPr="0053423A">
              <w:rPr>
                <w:b/>
                <w:lang w:val="af-ZA"/>
              </w:rPr>
              <w:t xml:space="preserve"> </w:t>
            </w:r>
            <w:r w:rsidRPr="0053423A">
              <w:rPr>
                <w:b/>
                <w:lang w:val="hy-AM"/>
              </w:rPr>
              <w:t>խնդիրների</w:t>
            </w:r>
            <w:r w:rsidRPr="0053423A">
              <w:rPr>
                <w:b/>
                <w:lang w:val="af-ZA"/>
              </w:rPr>
              <w:t xml:space="preserve"> </w:t>
            </w:r>
            <w:r w:rsidRPr="0053423A">
              <w:rPr>
                <w:b/>
                <w:lang w:val="hy-AM"/>
              </w:rPr>
              <w:t>առաջարկվող</w:t>
            </w:r>
            <w:r w:rsidRPr="0053423A">
              <w:rPr>
                <w:b/>
                <w:lang w:val="af-ZA"/>
              </w:rPr>
              <w:t xml:space="preserve"> </w:t>
            </w:r>
            <w:r w:rsidRPr="0053423A">
              <w:rPr>
                <w:b/>
                <w:lang w:val="hy-AM"/>
              </w:rPr>
              <w:t>լուծումները</w:t>
            </w:r>
          </w:p>
          <w:p w:rsidR="00D75F05" w:rsidRPr="0053423A" w:rsidRDefault="00D75F05" w:rsidP="00A67858">
            <w:pPr>
              <w:spacing w:line="276" w:lineRule="auto"/>
              <w:ind w:left="97"/>
              <w:jc w:val="both"/>
              <w:rPr>
                <w:lang w:val="af-ZA"/>
              </w:rPr>
            </w:pPr>
            <w:r w:rsidRPr="0053423A">
              <w:rPr>
                <w:bCs/>
                <w:lang w:val="af-ZA" w:eastAsia="hy-AM"/>
              </w:rPr>
              <w:t xml:space="preserve">Նախատեսվում է հետևողականորեն հետամուտ լինել միկրոռեգիոնալ փաստաթղթերի մշակման արդյունքում սահմանամերձ բնակավայրերում ի հայտ եկած խնդիրների և դրանց լուծմանն ուղղված առաջարկությունների իրագործմանն աջակցելու գործընթացին, ուսումնասիրել առկա այլ խնդիրները և </w:t>
            </w:r>
            <w:r w:rsidRPr="0053423A">
              <w:rPr>
                <w:lang w:val="hy-AM"/>
              </w:rPr>
              <w:t>միջոցառման համակատարող դիտարկված մարմինների հետ</w:t>
            </w:r>
            <w:r w:rsidRPr="0053423A">
              <w:rPr>
                <w:bCs/>
                <w:lang w:val="af-ZA" w:eastAsia="hy-AM"/>
              </w:rPr>
              <w:t xml:space="preserve"> մշակել առաջարկությունների, մասնավորապես կառուցապատման ներդրումային ծրագրերի փաթեթ: </w:t>
            </w:r>
            <w:r w:rsidRPr="0053423A">
              <w:rPr>
                <w:lang w:val="af-ZA"/>
              </w:rPr>
              <w:t xml:space="preserve"> </w:t>
            </w:r>
          </w:p>
          <w:p w:rsidR="00D75F05" w:rsidRPr="0053423A" w:rsidRDefault="00D75F05" w:rsidP="00A67858">
            <w:pPr>
              <w:spacing w:line="276" w:lineRule="auto"/>
              <w:ind w:left="97"/>
              <w:jc w:val="both"/>
              <w:rPr>
                <w:b/>
                <w:lang w:val="af-ZA"/>
              </w:rPr>
            </w:pPr>
            <w:r w:rsidRPr="0053423A">
              <w:rPr>
                <w:b/>
                <w:lang w:val="af-ZA"/>
              </w:rPr>
              <w:t xml:space="preserve">2. </w:t>
            </w:r>
            <w:r w:rsidRPr="0053423A">
              <w:rPr>
                <w:b/>
                <w:lang w:val="hy-AM"/>
              </w:rPr>
              <w:t>Միջոցառման</w:t>
            </w:r>
            <w:r w:rsidRPr="0053423A">
              <w:rPr>
                <w:b/>
                <w:lang w:val="af-ZA"/>
              </w:rPr>
              <w:t xml:space="preserve"> </w:t>
            </w:r>
            <w:r w:rsidRPr="0053423A">
              <w:rPr>
                <w:b/>
                <w:lang w:val="hy-AM"/>
              </w:rPr>
              <w:t>իրականացումից</w:t>
            </w:r>
            <w:r w:rsidRPr="0053423A">
              <w:rPr>
                <w:b/>
                <w:lang w:val="af-ZA"/>
              </w:rPr>
              <w:t xml:space="preserve"> </w:t>
            </w:r>
            <w:r w:rsidRPr="0053423A">
              <w:rPr>
                <w:b/>
                <w:lang w:val="hy-AM"/>
              </w:rPr>
              <w:t>ակնկալվող</w:t>
            </w:r>
            <w:r w:rsidRPr="0053423A">
              <w:rPr>
                <w:b/>
                <w:lang w:val="af-ZA"/>
              </w:rPr>
              <w:t xml:space="preserve"> </w:t>
            </w:r>
            <w:r w:rsidRPr="0053423A">
              <w:rPr>
                <w:b/>
                <w:lang w:val="hy-AM"/>
              </w:rPr>
              <w:t>արդյունքը</w:t>
            </w:r>
          </w:p>
          <w:p w:rsidR="00D75F05" w:rsidRPr="0053423A" w:rsidRDefault="00D75F05" w:rsidP="00A67858">
            <w:pPr>
              <w:spacing w:line="276" w:lineRule="auto"/>
              <w:ind w:left="97"/>
              <w:jc w:val="both"/>
              <w:rPr>
                <w:rFonts w:cs="Sylfaen"/>
                <w:b/>
                <w:lang w:val="af-ZA"/>
              </w:rPr>
            </w:pPr>
            <w:r w:rsidRPr="0053423A">
              <w:rPr>
                <w:lang w:val="af-ZA"/>
              </w:rPr>
              <w:t>Առաջնահերթության կարգով սահմանամերձ համայնքների քաղաքաշինական հիմնախնդիրների լուծում, անվտանգ կենսամիջավայրի ապահովում, բնակչության աճ:</w:t>
            </w:r>
          </w:p>
        </w:tc>
      </w:tr>
      <w:tr w:rsidR="00D75F05" w:rsidRPr="00DE2EFA" w:rsidTr="00D75F05">
        <w:tc>
          <w:tcPr>
            <w:tcW w:w="450" w:type="dxa"/>
          </w:tcPr>
          <w:p w:rsidR="00D75F05" w:rsidRPr="0053423A" w:rsidRDefault="00D75F05" w:rsidP="00A67858">
            <w:pPr>
              <w:pStyle w:val="ListParagraph"/>
              <w:spacing w:line="276" w:lineRule="auto"/>
              <w:ind w:left="0"/>
              <w:rPr>
                <w:rFonts w:cs="Sylfaen"/>
                <w:b/>
                <w:lang w:val="hy-AM"/>
              </w:rPr>
            </w:pPr>
            <w:r w:rsidRPr="0053423A">
              <w:rPr>
                <w:rFonts w:cs="Sylfaen"/>
                <w:b/>
                <w:lang w:val="hy-AM"/>
              </w:rPr>
              <w:t>2</w:t>
            </w:r>
          </w:p>
        </w:tc>
        <w:tc>
          <w:tcPr>
            <w:tcW w:w="11160" w:type="dxa"/>
          </w:tcPr>
          <w:p w:rsidR="00D75F05" w:rsidRPr="0053423A" w:rsidRDefault="00D75F05" w:rsidP="00A67858">
            <w:pPr>
              <w:pStyle w:val="ListParagraph"/>
              <w:tabs>
                <w:tab w:val="left" w:pos="277"/>
                <w:tab w:val="left" w:pos="1620"/>
                <w:tab w:val="left" w:pos="1710"/>
              </w:tabs>
              <w:spacing w:line="276" w:lineRule="auto"/>
              <w:ind w:left="72"/>
              <w:jc w:val="center"/>
              <w:rPr>
                <w:b/>
                <w:lang w:val="af-ZA"/>
              </w:rPr>
            </w:pPr>
            <w:r w:rsidRPr="0053423A">
              <w:rPr>
                <w:b/>
                <w:lang w:val="af-ZA"/>
              </w:rPr>
              <w:t>Քաղաքաշինության բնագավառում սահմանված</w:t>
            </w:r>
          </w:p>
          <w:p w:rsidR="00D75F05" w:rsidRPr="0053423A" w:rsidRDefault="00D75F05" w:rsidP="00A67858">
            <w:pPr>
              <w:pStyle w:val="ListParagraph"/>
              <w:tabs>
                <w:tab w:val="left" w:pos="277"/>
                <w:tab w:val="left" w:pos="1080"/>
              </w:tabs>
              <w:spacing w:line="276" w:lineRule="auto"/>
              <w:ind w:left="72"/>
              <w:jc w:val="center"/>
              <w:rPr>
                <w:b/>
                <w:lang w:val="af-ZA"/>
              </w:rPr>
            </w:pPr>
            <w:r w:rsidRPr="0053423A">
              <w:rPr>
                <w:b/>
                <w:lang w:val="af-ZA"/>
              </w:rPr>
              <w:t>ընթացակարգերի բարելավում</w:t>
            </w:r>
          </w:p>
          <w:p w:rsidR="00D75F05" w:rsidRPr="0053423A" w:rsidRDefault="00D75F05" w:rsidP="00A67858">
            <w:pPr>
              <w:pStyle w:val="ListParagraph"/>
              <w:tabs>
                <w:tab w:val="left" w:pos="277"/>
                <w:tab w:val="left" w:pos="1080"/>
              </w:tabs>
              <w:spacing w:line="276" w:lineRule="auto"/>
              <w:ind w:left="72"/>
              <w:jc w:val="center"/>
              <w:rPr>
                <w:b/>
                <w:lang w:val="af-ZA"/>
              </w:rPr>
            </w:pPr>
          </w:p>
          <w:p w:rsidR="00D75F05" w:rsidRPr="0053423A" w:rsidRDefault="00D75F05" w:rsidP="00A67858">
            <w:pPr>
              <w:tabs>
                <w:tab w:val="left" w:pos="277"/>
              </w:tabs>
              <w:spacing w:line="276" w:lineRule="auto"/>
              <w:ind w:left="72"/>
              <w:jc w:val="center"/>
              <w:rPr>
                <w:rFonts w:cs="Sylfaen"/>
                <w:b/>
                <w:u w:val="single"/>
                <w:lang w:val="af-ZA"/>
              </w:rPr>
            </w:pPr>
            <w:r w:rsidRPr="0053423A">
              <w:rPr>
                <w:b/>
                <w:u w:val="single"/>
                <w:lang w:val="af-ZA"/>
              </w:rPr>
              <w:t>2.1 ՀՀ կառավարության 2001 թվականի մայիսի 14-ի N408 որոշման մեջ</w:t>
            </w:r>
            <w:r w:rsidRPr="0053423A">
              <w:rPr>
                <w:b/>
                <w:u w:val="single"/>
                <w:lang w:val="hy-AM"/>
              </w:rPr>
              <w:t xml:space="preserve"> </w:t>
            </w:r>
            <w:r w:rsidRPr="0053423A">
              <w:rPr>
                <w:b/>
                <w:u w:val="single"/>
                <w:lang w:val="af-ZA"/>
              </w:rPr>
              <w:t xml:space="preserve">փոփոխություններ կատարելու մասին ՀՀ կառավարության որոշման նախագծի </w:t>
            </w:r>
            <w:r w:rsidRPr="0053423A">
              <w:rPr>
                <w:rFonts w:cs="Sylfaen"/>
                <w:b/>
                <w:u w:val="single"/>
                <w:lang w:val="hy-AM"/>
              </w:rPr>
              <w:t>ներկայացում</w:t>
            </w:r>
            <w:r w:rsidRPr="0053423A">
              <w:rPr>
                <w:rFonts w:cs="Sylfaen"/>
                <w:b/>
                <w:u w:val="single"/>
                <w:lang w:val="af-ZA"/>
              </w:rPr>
              <w:t xml:space="preserve"> </w:t>
            </w:r>
            <w:r w:rsidRPr="0053423A">
              <w:rPr>
                <w:rFonts w:cs="Sylfaen"/>
                <w:b/>
                <w:u w:val="single"/>
                <w:lang w:val="hy-AM"/>
              </w:rPr>
              <w:t>ՀՀ</w:t>
            </w:r>
            <w:r w:rsidRPr="0053423A">
              <w:rPr>
                <w:rFonts w:cs="Sylfaen"/>
                <w:b/>
                <w:u w:val="single"/>
                <w:lang w:val="af-ZA"/>
              </w:rPr>
              <w:t xml:space="preserve"> </w:t>
            </w:r>
            <w:r w:rsidRPr="0053423A">
              <w:rPr>
                <w:rFonts w:cs="Sylfaen"/>
                <w:b/>
                <w:u w:val="single"/>
                <w:lang w:val="hy-AM"/>
              </w:rPr>
              <w:t>վարչապետի</w:t>
            </w:r>
            <w:r w:rsidRPr="0053423A">
              <w:rPr>
                <w:rFonts w:cs="Sylfaen"/>
                <w:b/>
                <w:u w:val="single"/>
                <w:lang w:val="af-ZA"/>
              </w:rPr>
              <w:t xml:space="preserve"> </w:t>
            </w:r>
            <w:r w:rsidRPr="0053423A">
              <w:rPr>
                <w:rFonts w:cs="Sylfaen"/>
                <w:b/>
                <w:u w:val="single"/>
                <w:lang w:val="hy-AM"/>
              </w:rPr>
              <w:t>աշխատա</w:t>
            </w:r>
            <w:r w:rsidRPr="0053423A">
              <w:rPr>
                <w:rFonts w:cs="Sylfaen"/>
                <w:b/>
                <w:u w:val="single"/>
                <w:lang w:val="hy-AM"/>
              </w:rPr>
              <w:softHyphen/>
              <w:t>կազմ</w:t>
            </w:r>
          </w:p>
          <w:p w:rsidR="00D75F05" w:rsidRPr="0053423A" w:rsidRDefault="00D75F05" w:rsidP="00A67858">
            <w:pPr>
              <w:tabs>
                <w:tab w:val="left" w:pos="277"/>
              </w:tabs>
              <w:spacing w:line="276" w:lineRule="auto"/>
              <w:ind w:left="72"/>
              <w:jc w:val="center"/>
              <w:rPr>
                <w:b/>
                <w:u w:val="single"/>
                <w:lang w:val="af-ZA"/>
              </w:rPr>
            </w:pPr>
          </w:p>
          <w:p w:rsidR="00D75F05" w:rsidRPr="0053423A" w:rsidRDefault="00D75F05" w:rsidP="001F6D5D">
            <w:pPr>
              <w:pStyle w:val="ListParagraph1"/>
              <w:numPr>
                <w:ilvl w:val="0"/>
                <w:numId w:val="319"/>
              </w:numPr>
              <w:tabs>
                <w:tab w:val="left" w:pos="277"/>
                <w:tab w:val="left" w:pos="540"/>
                <w:tab w:val="left" w:pos="900"/>
              </w:tabs>
              <w:spacing w:after="0"/>
              <w:ind w:left="72" w:firstLine="0"/>
              <w:contextualSpacing w:val="0"/>
              <w:rPr>
                <w:rFonts w:ascii="GHEA Grapalat" w:hAnsi="GHEA Grapalat"/>
                <w:b/>
                <w:lang w:val="af-ZA"/>
              </w:rPr>
            </w:pP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tabs>
                <w:tab w:val="left" w:pos="277"/>
              </w:tabs>
              <w:spacing w:line="276" w:lineRule="auto"/>
              <w:ind w:left="72"/>
              <w:jc w:val="both"/>
              <w:rPr>
                <w:bCs/>
                <w:color w:val="000000"/>
                <w:lang w:val="af-ZA"/>
              </w:rPr>
            </w:pPr>
            <w:r w:rsidRPr="0053423A">
              <w:rPr>
                <w:rFonts w:cs="Sylfaen"/>
                <w:lang w:val="hy-AM"/>
              </w:rPr>
              <w:t>Միջոցառման անրաժեշտությունը բխում է </w:t>
            </w:r>
            <w:r w:rsidRPr="0053423A">
              <w:rPr>
                <w:rFonts w:cs="Sylfaen"/>
              </w:rPr>
              <w:t>Քաղաքաշինության</w:t>
            </w:r>
            <w:r w:rsidRPr="0053423A">
              <w:rPr>
                <w:rFonts w:cs="Sylfaen"/>
                <w:lang w:val="af-ZA"/>
              </w:rPr>
              <w:t xml:space="preserve"> </w:t>
            </w:r>
            <w:r w:rsidRPr="0053423A">
              <w:rPr>
                <w:rFonts w:cs="Sylfaen"/>
              </w:rPr>
              <w:t>մասին</w:t>
            </w:r>
            <w:r w:rsidRPr="0053423A">
              <w:rPr>
                <w:rFonts w:cs="Sylfaen"/>
                <w:lang w:val="hy-AM"/>
              </w:rPr>
              <w:t></w:t>
            </w:r>
            <w:r w:rsidRPr="0053423A">
              <w:rPr>
                <w:rFonts w:cs="Sylfaen"/>
                <w:lang w:val="af-ZA"/>
              </w:rPr>
              <w:t xml:space="preserve"> </w:t>
            </w:r>
            <w:r w:rsidRPr="0053423A">
              <w:rPr>
                <w:rFonts w:cs="Sylfaen"/>
                <w:lang w:val="hy-AM"/>
              </w:rPr>
              <w:t>ՀՀ օրենք</w:t>
            </w:r>
            <w:r w:rsidRPr="0053423A">
              <w:rPr>
                <w:rFonts w:cs="Sylfaen"/>
              </w:rPr>
              <w:t>ի</w:t>
            </w:r>
            <w:r w:rsidRPr="0053423A">
              <w:rPr>
                <w:rFonts w:cs="Sylfaen"/>
                <w:lang w:val="af-ZA"/>
              </w:rPr>
              <w:t xml:space="preserve"> 10.1 հոդվածի 3-րդ կետի 3-րդ մասի դրույթներից և </w:t>
            </w:r>
            <w:r w:rsidRPr="0053423A">
              <w:rPr>
                <w:bCs/>
                <w:color w:val="000000"/>
              </w:rPr>
              <w:t>նպատակը՝</w:t>
            </w:r>
            <w:r w:rsidRPr="0053423A">
              <w:rPr>
                <w:bCs/>
                <w:color w:val="000000"/>
                <w:lang w:val="af-ZA"/>
              </w:rPr>
              <w:t xml:space="preserve"> </w:t>
            </w:r>
            <w:r w:rsidRPr="0053423A">
              <w:rPr>
                <w:bCs/>
                <w:color w:val="000000"/>
              </w:rPr>
              <w:t>ՀՀ</w:t>
            </w:r>
            <w:r w:rsidRPr="0053423A">
              <w:rPr>
                <w:bCs/>
                <w:color w:val="000000"/>
                <w:lang w:val="af-ZA"/>
              </w:rPr>
              <w:t xml:space="preserve"> </w:t>
            </w:r>
            <w:r w:rsidRPr="0053423A">
              <w:rPr>
                <w:bCs/>
                <w:color w:val="000000"/>
              </w:rPr>
              <w:t>կառավարության</w:t>
            </w:r>
            <w:r w:rsidRPr="0053423A">
              <w:rPr>
                <w:bCs/>
                <w:color w:val="000000"/>
                <w:lang w:val="af-ZA"/>
              </w:rPr>
              <w:t xml:space="preserve"> որոշմամբ սահմանված դրույթների համապատասխանեցումն է վերջին տարիների ընթացքում </w:t>
            </w:r>
            <w:r w:rsidRPr="0053423A">
              <w:rPr>
                <w:lang w:val="af-ZA"/>
              </w:rPr>
              <w:t>«</w:t>
            </w:r>
            <w:r w:rsidRPr="0053423A">
              <w:rPr>
                <w:bCs/>
                <w:lang w:val="af-ZA"/>
              </w:rPr>
              <w:t>Քաղաքաշինության մասին</w:t>
            </w:r>
            <w:r w:rsidRPr="0053423A">
              <w:rPr>
                <w:lang w:val="af-ZA"/>
              </w:rPr>
              <w:t>» Հ</w:t>
            </w:r>
            <w:r w:rsidRPr="0053423A">
              <w:rPr>
                <w:bCs/>
                <w:color w:val="000000"/>
                <w:lang w:val="af-ZA"/>
              </w:rPr>
              <w:t>Հ օրենքում կատարված փոփոխություններին,                ՀՀ հողային օրենսգրքին,  գ</w:t>
            </w:r>
            <w:r w:rsidRPr="0053423A">
              <w:rPr>
                <w:rFonts w:cs="GHEA Grapalat"/>
                <w:lang w:val="hy-AM"/>
              </w:rPr>
              <w:t xml:space="preserve">ործառնական գոտիների </w:t>
            </w:r>
            <w:r w:rsidRPr="0053423A">
              <w:rPr>
                <w:rFonts w:cs="GHEA Grapalat"/>
                <w:spacing w:val="-2"/>
                <w:lang w:val="hy-AM"/>
              </w:rPr>
              <w:t>ցանկ</w:t>
            </w:r>
            <w:r w:rsidRPr="0053423A">
              <w:rPr>
                <w:rFonts w:cs="GHEA Grapalat"/>
                <w:spacing w:val="-2"/>
              </w:rPr>
              <w:t>ի</w:t>
            </w:r>
            <w:r w:rsidRPr="0053423A">
              <w:rPr>
                <w:rFonts w:cs="GHEA Grapalat"/>
                <w:spacing w:val="-2"/>
                <w:lang w:val="af-ZA"/>
              </w:rPr>
              <w:t>,</w:t>
            </w:r>
            <w:r w:rsidRPr="0053423A">
              <w:rPr>
                <w:bCs/>
                <w:color w:val="000000"/>
                <w:lang w:val="af-ZA"/>
              </w:rPr>
              <w:t xml:space="preserve"> </w:t>
            </w:r>
            <w:r w:rsidRPr="0053423A">
              <w:rPr>
                <w:rFonts w:cs="GHEA Grapalat"/>
                <w:spacing w:val="-2"/>
                <w:lang w:val="hy-AM"/>
              </w:rPr>
              <w:t xml:space="preserve">դրանց </w:t>
            </w:r>
            <w:r w:rsidRPr="0053423A">
              <w:rPr>
                <w:rFonts w:cs="GHEA Grapalat"/>
                <w:spacing w:val="-8"/>
                <w:lang w:val="hy-AM"/>
              </w:rPr>
              <w:t>համապա</w:t>
            </w:r>
            <w:r w:rsidRPr="0053423A">
              <w:rPr>
                <w:rFonts w:cs="GHEA Grapalat"/>
                <w:spacing w:val="-8"/>
                <w:lang w:val="hy-AM"/>
              </w:rPr>
              <w:softHyphen/>
              <w:t>տաս</w:t>
            </w:r>
            <w:r w:rsidRPr="0053423A">
              <w:rPr>
                <w:rFonts w:cs="GHEA Grapalat"/>
                <w:spacing w:val="-8"/>
                <w:lang w:val="hy-AM"/>
              </w:rPr>
              <w:softHyphen/>
              <w:t>խանող կոդեր</w:t>
            </w:r>
            <w:r w:rsidRPr="0053423A">
              <w:rPr>
                <w:rFonts w:cs="GHEA Grapalat"/>
                <w:spacing w:val="-8"/>
              </w:rPr>
              <w:t>ի</w:t>
            </w:r>
            <w:r w:rsidRPr="0053423A">
              <w:rPr>
                <w:rFonts w:cs="GHEA Grapalat"/>
                <w:spacing w:val="-8"/>
                <w:lang w:val="af-ZA"/>
              </w:rPr>
              <w:t xml:space="preserve">, </w:t>
            </w:r>
            <w:r w:rsidRPr="0053423A">
              <w:rPr>
                <w:bCs/>
                <w:color w:val="000000"/>
                <w:lang w:val="af-ZA"/>
              </w:rPr>
              <w:t xml:space="preserve"> </w:t>
            </w:r>
            <w:r w:rsidRPr="0053423A">
              <w:rPr>
                <w:rFonts w:cs="GHEA Grapalat"/>
              </w:rPr>
              <w:t>մի</w:t>
            </w:r>
            <w:r w:rsidRPr="0053423A">
              <w:rPr>
                <w:rFonts w:cs="GHEA Grapalat"/>
                <w:lang w:val="af-ZA"/>
              </w:rPr>
              <w:t xml:space="preserve"> </w:t>
            </w:r>
            <w:r w:rsidRPr="0053423A">
              <w:rPr>
                <w:rFonts w:cs="GHEA Grapalat"/>
              </w:rPr>
              <w:t>շարք</w:t>
            </w:r>
            <w:r w:rsidRPr="0053423A">
              <w:rPr>
                <w:rFonts w:cs="GHEA Grapalat"/>
                <w:lang w:val="af-ZA"/>
              </w:rPr>
              <w:t xml:space="preserve"> </w:t>
            </w:r>
            <w:r w:rsidRPr="0053423A">
              <w:rPr>
                <w:rFonts w:cs="GHEA Grapalat"/>
              </w:rPr>
              <w:t>կառուցապատման</w:t>
            </w:r>
            <w:r w:rsidRPr="0053423A">
              <w:rPr>
                <w:rFonts w:cs="GHEA Grapalat"/>
                <w:lang w:val="af-ZA"/>
              </w:rPr>
              <w:t xml:space="preserve"> </w:t>
            </w:r>
            <w:r w:rsidRPr="0053423A">
              <w:rPr>
                <w:rFonts w:cs="GHEA Grapalat"/>
              </w:rPr>
              <w:t>չափորոշիչների</w:t>
            </w:r>
            <w:r w:rsidRPr="0053423A">
              <w:rPr>
                <w:rFonts w:cs="GHEA Grapalat"/>
                <w:lang w:val="af-ZA"/>
              </w:rPr>
              <w:t xml:space="preserve"> </w:t>
            </w:r>
            <w:r w:rsidRPr="0053423A">
              <w:rPr>
                <w:rFonts w:cs="GHEA Grapalat"/>
              </w:rPr>
              <w:t>առավելագույն</w:t>
            </w:r>
            <w:r w:rsidRPr="0053423A">
              <w:rPr>
                <w:rFonts w:cs="GHEA Grapalat"/>
                <w:lang w:val="af-ZA"/>
              </w:rPr>
              <w:t xml:space="preserve"> </w:t>
            </w:r>
            <w:r w:rsidRPr="0053423A">
              <w:rPr>
                <w:rFonts w:cs="GHEA Grapalat"/>
              </w:rPr>
              <w:t>կամ</w:t>
            </w:r>
            <w:r w:rsidRPr="0053423A">
              <w:rPr>
                <w:rFonts w:cs="GHEA Grapalat"/>
                <w:lang w:val="af-ZA"/>
              </w:rPr>
              <w:t xml:space="preserve"> </w:t>
            </w:r>
            <w:r w:rsidRPr="0053423A">
              <w:rPr>
                <w:rFonts w:cs="GHEA Grapalat"/>
              </w:rPr>
              <w:t>նվազագույն</w:t>
            </w:r>
            <w:r w:rsidRPr="0053423A">
              <w:rPr>
                <w:rFonts w:cs="GHEA Grapalat"/>
                <w:lang w:val="af-ZA"/>
              </w:rPr>
              <w:t xml:space="preserve"> </w:t>
            </w:r>
            <w:r w:rsidRPr="0053423A">
              <w:rPr>
                <w:rFonts w:cs="GHEA Grapalat"/>
              </w:rPr>
              <w:t>ցուցանիշների</w:t>
            </w:r>
            <w:r w:rsidRPr="0053423A">
              <w:rPr>
                <w:rFonts w:cs="GHEA Grapalat"/>
                <w:lang w:val="af-ZA"/>
              </w:rPr>
              <w:t xml:space="preserve"> </w:t>
            </w:r>
            <w:r w:rsidRPr="0053423A">
              <w:rPr>
                <w:rFonts w:cs="GHEA Grapalat"/>
              </w:rPr>
              <w:t>սահման</w:t>
            </w:r>
            <w:r w:rsidRPr="0053423A">
              <w:rPr>
                <w:bCs/>
                <w:color w:val="000000"/>
                <w:lang w:val="af-ZA"/>
              </w:rPr>
              <w:t>ումը,</w:t>
            </w:r>
            <w:r w:rsidRPr="0053423A">
              <w:rPr>
                <w:rFonts w:cs="GHEA Grapalat"/>
                <w:spacing w:val="-2"/>
                <w:lang w:val="hy-AM"/>
              </w:rPr>
              <w:t xml:space="preserve"> </w:t>
            </w:r>
            <w:r w:rsidRPr="0053423A">
              <w:rPr>
                <w:rFonts w:cs="GHEA Grapalat"/>
              </w:rPr>
              <w:t>նախագծերի</w:t>
            </w:r>
            <w:r w:rsidRPr="0053423A">
              <w:rPr>
                <w:rFonts w:cs="GHEA Grapalat"/>
                <w:lang w:val="af-ZA"/>
              </w:rPr>
              <w:t xml:space="preserve"> </w:t>
            </w:r>
            <w:r w:rsidRPr="0053423A">
              <w:rPr>
                <w:rFonts w:cs="GHEA Grapalat"/>
              </w:rPr>
              <w:t>կազմին</w:t>
            </w:r>
            <w:r w:rsidRPr="0053423A">
              <w:rPr>
                <w:rFonts w:cs="GHEA Grapalat"/>
                <w:lang w:val="af-ZA"/>
              </w:rPr>
              <w:t xml:space="preserve"> </w:t>
            </w:r>
            <w:r w:rsidRPr="0053423A">
              <w:rPr>
                <w:rFonts w:cs="GHEA Grapalat"/>
              </w:rPr>
              <w:t>և</w:t>
            </w:r>
            <w:r w:rsidRPr="0053423A">
              <w:rPr>
                <w:rFonts w:cs="GHEA Grapalat"/>
                <w:lang w:val="af-ZA"/>
              </w:rPr>
              <w:t xml:space="preserve"> </w:t>
            </w:r>
            <w:r w:rsidRPr="0053423A">
              <w:rPr>
                <w:rFonts w:cs="GHEA Grapalat"/>
                <w:lang w:val="hy-AM"/>
              </w:rPr>
              <w:t xml:space="preserve">բովանդակությանը ներկայացվող </w:t>
            </w:r>
            <w:r w:rsidRPr="0053423A">
              <w:rPr>
                <w:bCs/>
                <w:color w:val="000000"/>
                <w:lang w:val="af-ZA"/>
              </w:rPr>
              <w:t xml:space="preserve">պահանջների </w:t>
            </w:r>
            <w:r w:rsidRPr="0053423A">
              <w:rPr>
                <w:rFonts w:cs="GHEA Grapalat"/>
              </w:rPr>
              <w:t>հստակեցումը</w:t>
            </w:r>
            <w:r w:rsidRPr="0053423A">
              <w:rPr>
                <w:bCs/>
                <w:color w:val="000000"/>
                <w:lang w:val="af-ZA"/>
              </w:rPr>
              <w:t>, նախագծերին ներկայացվող պահանջների համապատասխանեցումը ստեղծվող երկրատեղե</w:t>
            </w:r>
            <w:r w:rsidRPr="0053423A">
              <w:rPr>
                <w:bCs/>
                <w:color w:val="000000"/>
                <w:lang w:val="af-ZA"/>
              </w:rPr>
              <w:softHyphen/>
              <w:t>կատվա</w:t>
            </w:r>
            <w:r w:rsidRPr="0053423A">
              <w:rPr>
                <w:bCs/>
                <w:color w:val="000000"/>
                <w:lang w:val="af-ZA"/>
              </w:rPr>
              <w:softHyphen/>
              <w:t xml:space="preserve">կան համակարգի միասնական չափորոշիչներին: </w:t>
            </w:r>
          </w:p>
          <w:p w:rsidR="00D75F05" w:rsidRPr="0053423A" w:rsidRDefault="00D75F05" w:rsidP="001F6D5D">
            <w:pPr>
              <w:pStyle w:val="ListParagraph"/>
              <w:numPr>
                <w:ilvl w:val="1"/>
                <w:numId w:val="318"/>
              </w:numPr>
              <w:tabs>
                <w:tab w:val="left" w:pos="277"/>
              </w:tabs>
              <w:spacing w:line="276" w:lineRule="auto"/>
              <w:ind w:left="72" w:firstLine="0"/>
              <w:jc w:val="both"/>
              <w:rPr>
                <w:b/>
                <w:lang w:val="hy-AM"/>
              </w:rPr>
            </w:pPr>
            <w:r w:rsidRPr="0053423A">
              <w:rPr>
                <w:b/>
                <w:lang w:val="hy-AM"/>
              </w:rPr>
              <w:t>Կարգավորման հարաբերությունների ներկա վիճակը և առկա խնդիրները</w:t>
            </w:r>
          </w:p>
          <w:p w:rsidR="00D75F05" w:rsidRPr="0053423A" w:rsidRDefault="00D75F05" w:rsidP="00A67858">
            <w:pPr>
              <w:tabs>
                <w:tab w:val="left" w:pos="277"/>
              </w:tabs>
              <w:spacing w:line="276" w:lineRule="auto"/>
              <w:ind w:left="72"/>
              <w:jc w:val="both"/>
              <w:rPr>
                <w:bCs/>
                <w:color w:val="000000"/>
                <w:lang w:val="af-ZA"/>
              </w:rPr>
            </w:pPr>
            <w:r w:rsidRPr="0053423A">
              <w:rPr>
                <w:bCs/>
                <w:color w:val="000000"/>
                <w:lang w:val="af-ZA"/>
              </w:rPr>
              <w:t xml:space="preserve">ՀՀ կառավարության 2001 թվականի մայիսի 14-ի N408 որոշմամբ հաստատված կարգում արտացոլված չեն 2001 թվականից հետո գործողության մեջ դրված օրենքի մի շարք դրույթներ, որոնք առնչվում են նախագծերի համաձայնեցման և հաստատման ընթացակարգերին միջգերատեսչական հանձնաժողովի մասնակցությանը (օրենքի                  14.3 հոդվածի 7-րդ և 8-րդ մասեր): </w:t>
            </w:r>
          </w:p>
          <w:p w:rsidR="00D75F05" w:rsidRPr="0053423A" w:rsidRDefault="00D75F05" w:rsidP="00A67858">
            <w:pPr>
              <w:tabs>
                <w:tab w:val="left" w:pos="277"/>
              </w:tabs>
              <w:spacing w:line="276" w:lineRule="auto"/>
              <w:ind w:left="72"/>
              <w:jc w:val="both"/>
              <w:rPr>
                <w:bCs/>
                <w:color w:val="000000"/>
                <w:lang w:val="af-ZA"/>
              </w:rPr>
            </w:pPr>
            <w:r w:rsidRPr="0053423A">
              <w:rPr>
                <w:bCs/>
                <w:color w:val="000000"/>
                <w:lang w:val="af-ZA"/>
              </w:rPr>
              <w:t xml:space="preserve">Տարբեր նախագծային կազմակերպությունների կողմից մշակվող գոտևորման նախագծերում միատեսակ գործառնական գոտիներին տրվում են տարբեր անվանումներ, հապավումներ և պայմանական նշաններ: Նախագծից նախագիծ տարբերվում են նաև կառուցապատման չափորոշիչների ու թույլատրելի օգտագործման ձևերի ամփոփ աղյուսակները: </w:t>
            </w:r>
          </w:p>
          <w:p w:rsidR="00D75F05" w:rsidRPr="0053423A" w:rsidRDefault="00D75F05" w:rsidP="001F6D5D">
            <w:pPr>
              <w:pStyle w:val="ListParagraph"/>
              <w:numPr>
                <w:ilvl w:val="1"/>
                <w:numId w:val="318"/>
              </w:numPr>
              <w:tabs>
                <w:tab w:val="left" w:pos="277"/>
                <w:tab w:val="left" w:pos="360"/>
              </w:tabs>
              <w:spacing w:line="276" w:lineRule="auto"/>
              <w:ind w:left="72" w:firstLine="0"/>
              <w:rPr>
                <w:b/>
              </w:rPr>
            </w:pPr>
            <w:r w:rsidRPr="0053423A">
              <w:rPr>
                <w:b/>
                <w:lang w:val="hy-AM"/>
              </w:rPr>
              <w:t>Առկա</w:t>
            </w:r>
            <w:r w:rsidRPr="0053423A">
              <w:rPr>
                <w:b/>
                <w:lang w:val="af-ZA"/>
              </w:rPr>
              <w:t xml:space="preserve"> </w:t>
            </w:r>
            <w:r w:rsidRPr="0053423A">
              <w:rPr>
                <w:b/>
                <w:lang w:val="hy-AM"/>
              </w:rPr>
              <w:t>խնդիրների</w:t>
            </w:r>
            <w:r w:rsidRPr="0053423A">
              <w:rPr>
                <w:b/>
                <w:lang w:val="af-ZA"/>
              </w:rPr>
              <w:t xml:space="preserve"> </w:t>
            </w:r>
            <w:r w:rsidRPr="0053423A">
              <w:rPr>
                <w:b/>
                <w:lang w:val="hy-AM"/>
              </w:rPr>
              <w:t>առաջարկվող</w:t>
            </w:r>
            <w:r w:rsidRPr="0053423A">
              <w:rPr>
                <w:b/>
                <w:lang w:val="af-ZA"/>
              </w:rPr>
              <w:t xml:space="preserve"> </w:t>
            </w:r>
            <w:r w:rsidRPr="0053423A">
              <w:rPr>
                <w:b/>
                <w:lang w:val="hy-AM"/>
              </w:rPr>
              <w:t>լուծումները</w:t>
            </w:r>
          </w:p>
          <w:p w:rsidR="00D75F05" w:rsidRPr="0053423A" w:rsidRDefault="00D75F05" w:rsidP="00A67858">
            <w:pPr>
              <w:tabs>
                <w:tab w:val="left" w:pos="277"/>
              </w:tabs>
              <w:spacing w:line="276" w:lineRule="auto"/>
              <w:ind w:left="72"/>
              <w:jc w:val="both"/>
              <w:rPr>
                <w:bCs/>
                <w:color w:val="000000"/>
                <w:lang w:val="af-ZA"/>
              </w:rPr>
            </w:pPr>
            <w:r w:rsidRPr="0053423A">
              <w:rPr>
                <w:bCs/>
                <w:color w:val="000000"/>
                <w:lang w:val="af-ZA"/>
              </w:rPr>
              <w:t xml:space="preserve">Համապատասխանեցնել նախագծերի մշակման, փորձաքննության, համաձայնեցման, հաստատման և փոփոխման </w:t>
            </w:r>
            <w:r w:rsidRPr="0053423A">
              <w:rPr>
                <w:bCs/>
                <w:lang w:val="af-ZA"/>
              </w:rPr>
              <w:t>ընթացակարգն</w:t>
            </w:r>
            <w:r w:rsidRPr="0053423A">
              <w:rPr>
                <w:bCs/>
                <w:color w:val="000000"/>
                <w:lang w:val="af-ZA"/>
              </w:rPr>
              <w:t xml:space="preserve"> օրենքի և ՀՀ կառավարության 2011 թվականի դեկտեմբերի 29-ի N1920-Ն որոշման դրույթներին, սահմանել միասնական մոտեցումներ գործառնական գոտիների անվանումների, դրանց հապավումների, կոդերի և գծագրերում պայմանական նշանների նկատմամբ, հաստատել կառուցապատման չափորոշիչների ու թույլատրելի օգտագործման ձևերի ամփոփ աղյուսակների օրինակելի ձևերը, սահմանել գոտիներում թույլատրելի օգտագործման (հիմնական և ոչ հիմնական՝ ուղեկցող) ձևերի ցանկը, ներառել դրույթներ, գոտևորման նախագծերի` ստեղծվող երկրատեղե</w:t>
            </w:r>
            <w:r w:rsidRPr="0053423A">
              <w:rPr>
                <w:bCs/>
                <w:color w:val="000000"/>
                <w:lang w:val="af-ZA"/>
              </w:rPr>
              <w:softHyphen/>
              <w:t>կատվա</w:t>
            </w:r>
            <w:r w:rsidRPr="0053423A">
              <w:rPr>
                <w:bCs/>
                <w:color w:val="000000"/>
                <w:lang w:val="af-ZA"/>
              </w:rPr>
              <w:softHyphen/>
              <w:t xml:space="preserve">կան համակարգի միասնական պահանջներին համապատասխանության մասով: </w:t>
            </w:r>
          </w:p>
          <w:p w:rsidR="00D75F05" w:rsidRPr="0053423A" w:rsidRDefault="00D75F05" w:rsidP="00A67858">
            <w:pPr>
              <w:tabs>
                <w:tab w:val="left" w:pos="277"/>
              </w:tabs>
              <w:spacing w:line="276" w:lineRule="auto"/>
              <w:ind w:left="72"/>
              <w:jc w:val="both"/>
              <w:rPr>
                <w:bCs/>
                <w:color w:val="000000"/>
                <w:lang w:val="af-ZA"/>
              </w:rPr>
            </w:pPr>
          </w:p>
          <w:p w:rsidR="00D75F05" w:rsidRPr="0053423A" w:rsidRDefault="00D75F05" w:rsidP="001F6D5D">
            <w:pPr>
              <w:pStyle w:val="ListParagraph"/>
              <w:numPr>
                <w:ilvl w:val="0"/>
                <w:numId w:val="319"/>
              </w:numPr>
              <w:tabs>
                <w:tab w:val="left" w:pos="277"/>
              </w:tabs>
              <w:spacing w:line="276" w:lineRule="auto"/>
              <w:ind w:left="72" w:firstLine="0"/>
              <w:jc w:val="both"/>
              <w:rPr>
                <w:b/>
                <w:lang w:val="hy-AM"/>
              </w:rPr>
            </w:pPr>
            <w:r w:rsidRPr="0053423A">
              <w:rPr>
                <w:b/>
                <w:lang w:val="hy-AM"/>
              </w:rPr>
              <w:t>Միջոցառման</w:t>
            </w:r>
            <w:r w:rsidRPr="0053423A">
              <w:rPr>
                <w:b/>
                <w:lang w:val="af-ZA"/>
              </w:rPr>
              <w:t xml:space="preserve"> </w:t>
            </w:r>
            <w:r w:rsidRPr="0053423A">
              <w:rPr>
                <w:b/>
                <w:lang w:val="hy-AM"/>
              </w:rPr>
              <w:t>իրականացումից</w:t>
            </w:r>
            <w:r w:rsidRPr="0053423A">
              <w:rPr>
                <w:b/>
                <w:lang w:val="af-ZA"/>
              </w:rPr>
              <w:t xml:space="preserve"> </w:t>
            </w:r>
            <w:r w:rsidRPr="0053423A">
              <w:rPr>
                <w:b/>
                <w:lang w:val="hy-AM"/>
              </w:rPr>
              <w:t>ակնկալվող</w:t>
            </w:r>
            <w:r w:rsidRPr="0053423A">
              <w:rPr>
                <w:b/>
                <w:lang w:val="af-ZA"/>
              </w:rPr>
              <w:t xml:space="preserve"> </w:t>
            </w:r>
            <w:r w:rsidRPr="0053423A">
              <w:rPr>
                <w:b/>
                <w:lang w:val="hy-AM"/>
              </w:rPr>
              <w:t>արդյունքը</w:t>
            </w:r>
          </w:p>
          <w:p w:rsidR="00D75F05" w:rsidRPr="0053423A" w:rsidRDefault="00D75F05" w:rsidP="00A67858">
            <w:pPr>
              <w:tabs>
                <w:tab w:val="left" w:pos="277"/>
              </w:tabs>
              <w:spacing w:line="276" w:lineRule="auto"/>
              <w:ind w:left="72"/>
              <w:jc w:val="both"/>
              <w:rPr>
                <w:rFonts w:cs="Sylfaen"/>
                <w:lang w:val="af-ZA" w:eastAsia="hy-AM"/>
              </w:rPr>
            </w:pPr>
            <w:r w:rsidRPr="0053423A">
              <w:rPr>
                <w:rFonts w:cs="Sylfaen"/>
                <w:lang w:val="af-ZA" w:eastAsia="hy-AM"/>
              </w:rPr>
              <w:t xml:space="preserve">Գոտևորման նախագծերի համաձայնեցման ու հաստատման գործընթացի կանոնակարգում, նախագծերի որոշակի միասնական սկզբունքներով և տեսքով մշակում,  </w:t>
            </w:r>
            <w:r w:rsidRPr="0053423A">
              <w:rPr>
                <w:bCs/>
                <w:color w:val="000000"/>
                <w:lang w:val="af-ZA"/>
              </w:rPr>
              <w:t>երկրատեղե</w:t>
            </w:r>
            <w:r w:rsidRPr="0053423A">
              <w:rPr>
                <w:bCs/>
                <w:color w:val="000000"/>
                <w:lang w:val="af-ZA"/>
              </w:rPr>
              <w:softHyphen/>
              <w:t>կատվա</w:t>
            </w:r>
            <w:r w:rsidRPr="0053423A">
              <w:rPr>
                <w:bCs/>
                <w:color w:val="000000"/>
                <w:lang w:val="af-ZA"/>
              </w:rPr>
              <w:softHyphen/>
              <w:t>կան համակարգ</w:t>
            </w:r>
            <w:r w:rsidRPr="0053423A">
              <w:rPr>
                <w:rFonts w:cs="Sylfaen"/>
                <w:lang w:val="af-ZA" w:eastAsia="hy-AM"/>
              </w:rPr>
              <w:t xml:space="preserve"> նախագծերով սահմանվող տվյալների և պահանջների մուտքագրման դյուրինացում: </w:t>
            </w:r>
          </w:p>
          <w:p w:rsidR="00D75F05" w:rsidRPr="0053423A" w:rsidRDefault="00D75F05" w:rsidP="00A67858">
            <w:pPr>
              <w:tabs>
                <w:tab w:val="left" w:pos="277"/>
              </w:tabs>
              <w:spacing w:line="276" w:lineRule="auto"/>
              <w:ind w:left="72"/>
              <w:jc w:val="both"/>
              <w:rPr>
                <w:rFonts w:cs="Sylfaen"/>
                <w:lang w:val="af-ZA" w:eastAsia="hy-AM"/>
              </w:rPr>
            </w:pPr>
          </w:p>
          <w:p w:rsidR="00D75F05" w:rsidRPr="0053423A" w:rsidRDefault="00D75F05" w:rsidP="00A67858">
            <w:pPr>
              <w:tabs>
                <w:tab w:val="left" w:pos="277"/>
              </w:tabs>
              <w:spacing w:line="276" w:lineRule="auto"/>
              <w:ind w:left="72"/>
              <w:jc w:val="center"/>
              <w:rPr>
                <w:b/>
                <w:u w:val="single"/>
                <w:lang w:val="af-ZA"/>
              </w:rPr>
            </w:pPr>
            <w:r w:rsidRPr="0053423A">
              <w:rPr>
                <w:b/>
                <w:u w:val="single"/>
                <w:lang w:val="af-ZA"/>
              </w:rPr>
              <w:t>2.2 Ինքնակամ շինարարության կանխարգելմանն ուղղված oրենսդրական փոփոխությունների փաթեթի մշակում</w:t>
            </w:r>
          </w:p>
          <w:p w:rsidR="00D75F05" w:rsidRPr="0053423A" w:rsidRDefault="00D75F05" w:rsidP="00A67858">
            <w:pPr>
              <w:tabs>
                <w:tab w:val="left" w:pos="277"/>
              </w:tabs>
              <w:spacing w:line="276" w:lineRule="auto"/>
              <w:ind w:left="72"/>
              <w:rPr>
                <w:b/>
                <w:highlight w:val="yellow"/>
                <w:lang w:val="af-ZA"/>
              </w:rPr>
            </w:pPr>
          </w:p>
          <w:p w:rsidR="00D75F05" w:rsidRPr="0053423A" w:rsidRDefault="00D75F05" w:rsidP="001F6D5D">
            <w:pPr>
              <w:pStyle w:val="ListParagraph1"/>
              <w:numPr>
                <w:ilvl w:val="0"/>
                <w:numId w:val="321"/>
              </w:numPr>
              <w:tabs>
                <w:tab w:val="left" w:pos="277"/>
                <w:tab w:val="left" w:pos="900"/>
              </w:tabs>
              <w:spacing w:after="0"/>
              <w:ind w:left="72" w:firstLine="0"/>
              <w:contextualSpacing w:val="0"/>
              <w:rPr>
                <w:rFonts w:ascii="GHEA Grapalat" w:hAnsi="GHEA Grapalat"/>
                <w:b/>
                <w:lang w:val="af-ZA"/>
              </w:rPr>
            </w:pP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tabs>
                <w:tab w:val="left" w:pos="277"/>
              </w:tabs>
              <w:spacing w:line="276" w:lineRule="auto"/>
              <w:ind w:left="72"/>
              <w:jc w:val="both"/>
              <w:rPr>
                <w:rFonts w:cs="Sylfaen"/>
                <w:lang w:val="hy-AM"/>
              </w:rPr>
            </w:pPr>
            <w:r w:rsidRPr="0053423A">
              <w:rPr>
                <w:rFonts w:cs="Sylfaen"/>
                <w:lang w:val="hy-AM"/>
              </w:rPr>
              <w:t>Միջոցառման անրաժեշտությունը բխում է Քաղաքաշինության մասին ՀՀ օրենքի 10.1 հոդվածի 3-րդ կետի 3-րդ մասի դրույթներից և նպատակն՝ ինքնակամ շինարարության կանխմ</w:t>
            </w:r>
            <w:r w:rsidRPr="0053423A">
              <w:rPr>
                <w:rFonts w:cs="Sylfaen"/>
              </w:rPr>
              <w:t>ան</w:t>
            </w:r>
            <w:r w:rsidRPr="0053423A">
              <w:rPr>
                <w:rFonts w:cs="Sylfaen"/>
                <w:lang w:val="af-ZA"/>
              </w:rPr>
              <w:t xml:space="preserve"> </w:t>
            </w:r>
            <w:r w:rsidRPr="0053423A">
              <w:rPr>
                <w:rFonts w:cs="Sylfaen"/>
              </w:rPr>
              <w:t>համար</w:t>
            </w:r>
            <w:r w:rsidRPr="0053423A">
              <w:rPr>
                <w:rFonts w:cs="Sylfaen"/>
                <w:lang w:val="af-ZA"/>
              </w:rPr>
              <w:t xml:space="preserve"> </w:t>
            </w:r>
            <w:r w:rsidRPr="0053423A">
              <w:rPr>
                <w:rFonts w:cs="Sylfaen"/>
              </w:rPr>
              <w:t>նախադրյալների</w:t>
            </w:r>
            <w:r w:rsidRPr="0053423A">
              <w:rPr>
                <w:rFonts w:cs="Sylfaen"/>
                <w:lang w:val="af-ZA"/>
              </w:rPr>
              <w:t xml:space="preserve"> </w:t>
            </w:r>
            <w:r w:rsidRPr="0053423A">
              <w:rPr>
                <w:rFonts w:cs="Sylfaen"/>
              </w:rPr>
              <w:t>ստեղծումն</w:t>
            </w:r>
            <w:r w:rsidRPr="0053423A">
              <w:rPr>
                <w:rFonts w:cs="Sylfaen"/>
                <w:lang w:val="hy-AM"/>
              </w:rPr>
              <w:t xml:space="preserve"> է:</w:t>
            </w:r>
          </w:p>
          <w:p w:rsidR="00D75F05" w:rsidRPr="0053423A" w:rsidRDefault="00D75F05" w:rsidP="001F6D5D">
            <w:pPr>
              <w:pStyle w:val="ListParagraph"/>
              <w:numPr>
                <w:ilvl w:val="1"/>
                <w:numId w:val="320"/>
              </w:numPr>
              <w:tabs>
                <w:tab w:val="left" w:pos="277"/>
                <w:tab w:val="left" w:pos="360"/>
              </w:tabs>
              <w:spacing w:line="276" w:lineRule="auto"/>
              <w:ind w:left="72" w:firstLine="0"/>
              <w:jc w:val="both"/>
              <w:rPr>
                <w:b/>
                <w:lang w:val="hy-AM"/>
              </w:rPr>
            </w:pPr>
            <w:r w:rsidRPr="0053423A">
              <w:rPr>
                <w:b/>
                <w:lang w:val="hy-AM"/>
              </w:rPr>
              <w:t>Կարգավորման հարաբերությունների ներկա վիճակը և առկա խնդիրները</w:t>
            </w:r>
          </w:p>
          <w:p w:rsidR="00D75F05" w:rsidRPr="0053423A" w:rsidRDefault="00D75F05" w:rsidP="00A67858">
            <w:pPr>
              <w:pStyle w:val="ListParagraph"/>
              <w:tabs>
                <w:tab w:val="left" w:pos="277"/>
              </w:tabs>
              <w:spacing w:line="276" w:lineRule="auto"/>
              <w:ind w:left="72"/>
              <w:jc w:val="both"/>
              <w:rPr>
                <w:bCs/>
                <w:lang w:val="af-ZA"/>
              </w:rPr>
            </w:pPr>
            <w:r w:rsidRPr="0053423A">
              <w:rPr>
                <w:lang w:val="hy-AM"/>
              </w:rPr>
              <w:t>Ինքնակամ</w:t>
            </w:r>
            <w:r w:rsidRPr="0053423A">
              <w:rPr>
                <w:lang w:val="af-ZA"/>
              </w:rPr>
              <w:t xml:space="preserve"> </w:t>
            </w:r>
            <w:r w:rsidRPr="0053423A">
              <w:rPr>
                <w:lang w:val="hy-AM"/>
              </w:rPr>
              <w:t>շինարարությունը</w:t>
            </w:r>
            <w:r w:rsidRPr="0053423A">
              <w:rPr>
                <w:lang w:val="af-ZA"/>
              </w:rPr>
              <w:t xml:space="preserve"> </w:t>
            </w:r>
            <w:r w:rsidRPr="0053423A">
              <w:rPr>
                <w:lang w:val="hy-AM"/>
              </w:rPr>
              <w:t>կրում</w:t>
            </w:r>
            <w:r w:rsidRPr="0053423A">
              <w:rPr>
                <w:lang w:val="af-ZA"/>
              </w:rPr>
              <w:t xml:space="preserve"> </w:t>
            </w:r>
            <w:r w:rsidRPr="0053423A">
              <w:rPr>
                <w:lang w:val="hy-AM"/>
              </w:rPr>
              <w:t>է</w:t>
            </w:r>
            <w:r w:rsidRPr="0053423A">
              <w:rPr>
                <w:lang w:val="af-ZA"/>
              </w:rPr>
              <w:t xml:space="preserve"> </w:t>
            </w:r>
            <w:r w:rsidRPr="0053423A">
              <w:rPr>
                <w:lang w:val="hy-AM"/>
              </w:rPr>
              <w:t>համատարած</w:t>
            </w:r>
            <w:r w:rsidRPr="0053423A">
              <w:rPr>
                <w:lang w:val="af-ZA"/>
              </w:rPr>
              <w:t xml:space="preserve"> </w:t>
            </w:r>
            <w:r w:rsidRPr="0053423A">
              <w:rPr>
                <w:lang w:val="hy-AM"/>
              </w:rPr>
              <w:t>բնույթ</w:t>
            </w:r>
            <w:r w:rsidRPr="0053423A">
              <w:rPr>
                <w:lang w:val="af-ZA"/>
              </w:rPr>
              <w:t xml:space="preserve">, </w:t>
            </w:r>
            <w:r w:rsidRPr="0053423A">
              <w:rPr>
                <w:lang w:val="hy-AM"/>
              </w:rPr>
              <w:t>բազմաթիվ</w:t>
            </w:r>
            <w:r w:rsidRPr="0053423A">
              <w:rPr>
                <w:lang w:val="af-ZA"/>
              </w:rPr>
              <w:t xml:space="preserve"> </w:t>
            </w:r>
            <w:r w:rsidRPr="0053423A">
              <w:rPr>
                <w:lang w:val="hy-AM"/>
              </w:rPr>
              <w:t>ծուղակներ</w:t>
            </w:r>
            <w:r w:rsidRPr="0053423A">
              <w:rPr>
                <w:lang w:val="af-ZA"/>
              </w:rPr>
              <w:t xml:space="preserve"> </w:t>
            </w:r>
            <w:r w:rsidRPr="0053423A">
              <w:rPr>
                <w:lang w:val="hy-AM"/>
              </w:rPr>
              <w:t>կան</w:t>
            </w:r>
            <w:r w:rsidRPr="0053423A">
              <w:rPr>
                <w:lang w:val="af-ZA"/>
              </w:rPr>
              <w:t xml:space="preserve"> </w:t>
            </w:r>
            <w:r w:rsidRPr="0053423A">
              <w:rPr>
                <w:lang w:val="hy-AM"/>
              </w:rPr>
              <w:t>օրինական</w:t>
            </w:r>
            <w:r w:rsidRPr="0053423A">
              <w:rPr>
                <w:lang w:val="af-ZA"/>
              </w:rPr>
              <w:t xml:space="preserve"> </w:t>
            </w:r>
            <w:r w:rsidRPr="0053423A">
              <w:rPr>
                <w:lang w:val="hy-AM"/>
              </w:rPr>
              <w:t>ընթացակարգը</w:t>
            </w:r>
            <w:r w:rsidRPr="0053423A">
              <w:rPr>
                <w:lang w:val="af-ZA"/>
              </w:rPr>
              <w:t xml:space="preserve"> </w:t>
            </w:r>
            <w:r w:rsidRPr="0053423A">
              <w:rPr>
                <w:lang w:val="hy-AM"/>
              </w:rPr>
              <w:t>շրջանցելու</w:t>
            </w:r>
            <w:r w:rsidRPr="0053423A">
              <w:rPr>
                <w:lang w:val="af-ZA"/>
              </w:rPr>
              <w:t xml:space="preserve"> </w:t>
            </w:r>
            <w:r w:rsidRPr="0053423A">
              <w:rPr>
                <w:lang w:val="hy-AM"/>
              </w:rPr>
              <w:t>և</w:t>
            </w:r>
            <w:r w:rsidRPr="0053423A">
              <w:rPr>
                <w:lang w:val="af-ZA"/>
              </w:rPr>
              <w:t xml:space="preserve"> </w:t>
            </w:r>
            <w:r w:rsidRPr="0053423A">
              <w:rPr>
                <w:lang w:val="hy-AM"/>
              </w:rPr>
              <w:t>ինքնակամ</w:t>
            </w:r>
            <w:r w:rsidRPr="0053423A">
              <w:rPr>
                <w:lang w:val="af-ZA"/>
              </w:rPr>
              <w:t xml:space="preserve"> </w:t>
            </w:r>
            <w:r w:rsidRPr="0053423A">
              <w:rPr>
                <w:lang w:val="hy-AM"/>
              </w:rPr>
              <w:t>կառույցն</w:t>
            </w:r>
            <w:r w:rsidRPr="0053423A">
              <w:rPr>
                <w:lang w:val="af-ZA"/>
              </w:rPr>
              <w:t xml:space="preserve"> </w:t>
            </w:r>
            <w:r w:rsidRPr="0053423A">
              <w:rPr>
                <w:lang w:val="hy-AM"/>
              </w:rPr>
              <w:t>օրինականացնելու</w:t>
            </w:r>
            <w:r w:rsidRPr="0053423A">
              <w:rPr>
                <w:lang w:val="af-ZA"/>
              </w:rPr>
              <w:t xml:space="preserve"> </w:t>
            </w:r>
            <w:r w:rsidRPr="0053423A">
              <w:rPr>
                <w:lang w:val="hy-AM"/>
              </w:rPr>
              <w:t>համար</w:t>
            </w:r>
            <w:r w:rsidRPr="0053423A">
              <w:rPr>
                <w:lang w:val="af-ZA"/>
              </w:rPr>
              <w:t xml:space="preserve">: </w:t>
            </w:r>
            <w:r w:rsidRPr="0053423A">
              <w:rPr>
                <w:lang w:val="hy-AM"/>
              </w:rPr>
              <w:t>Ընդ</w:t>
            </w:r>
            <w:r w:rsidRPr="0053423A">
              <w:rPr>
                <w:lang w:val="af-ZA"/>
              </w:rPr>
              <w:t xml:space="preserve"> </w:t>
            </w:r>
            <w:r w:rsidRPr="0053423A">
              <w:rPr>
                <w:lang w:val="hy-AM"/>
              </w:rPr>
              <w:t>որում՝</w:t>
            </w:r>
            <w:r w:rsidRPr="0053423A">
              <w:rPr>
                <w:lang w:val="af-ZA"/>
              </w:rPr>
              <w:t xml:space="preserve"> </w:t>
            </w:r>
            <w:r w:rsidRPr="0053423A">
              <w:rPr>
                <w:lang w:val="hy-AM"/>
              </w:rPr>
              <w:t>վերջինս</w:t>
            </w:r>
            <w:r w:rsidRPr="0053423A">
              <w:rPr>
                <w:lang w:val="af-ZA"/>
              </w:rPr>
              <w:t xml:space="preserve"> </w:t>
            </w:r>
            <w:r w:rsidRPr="0053423A">
              <w:rPr>
                <w:lang w:val="hy-AM"/>
              </w:rPr>
              <w:t>շահավետ</w:t>
            </w:r>
            <w:r w:rsidRPr="0053423A">
              <w:rPr>
                <w:lang w:val="af-ZA"/>
              </w:rPr>
              <w:t xml:space="preserve"> </w:t>
            </w:r>
            <w:r w:rsidRPr="0053423A">
              <w:rPr>
                <w:lang w:val="hy-AM"/>
              </w:rPr>
              <w:t>է</w:t>
            </w:r>
            <w:r w:rsidRPr="0053423A">
              <w:rPr>
                <w:lang w:val="af-ZA"/>
              </w:rPr>
              <w:t xml:space="preserve"> </w:t>
            </w:r>
            <w:r w:rsidRPr="0053423A">
              <w:rPr>
                <w:lang w:val="hy-AM"/>
              </w:rPr>
              <w:t>դառնում</w:t>
            </w:r>
            <w:r w:rsidRPr="0053423A">
              <w:rPr>
                <w:lang w:val="af-ZA"/>
              </w:rPr>
              <w:t xml:space="preserve"> </w:t>
            </w:r>
            <w:r w:rsidRPr="0053423A">
              <w:rPr>
                <w:lang w:val="hy-AM"/>
              </w:rPr>
              <w:t>ինչպես</w:t>
            </w:r>
            <w:r w:rsidRPr="0053423A">
              <w:rPr>
                <w:lang w:val="af-ZA"/>
              </w:rPr>
              <w:t xml:space="preserve"> </w:t>
            </w:r>
            <w:r w:rsidRPr="0053423A">
              <w:rPr>
                <w:lang w:val="hy-AM"/>
              </w:rPr>
              <w:t>կառուցապատողի</w:t>
            </w:r>
            <w:r w:rsidRPr="0053423A">
              <w:rPr>
                <w:lang w:val="af-ZA"/>
              </w:rPr>
              <w:t xml:space="preserve">, </w:t>
            </w:r>
            <w:r w:rsidRPr="0053423A">
              <w:rPr>
                <w:lang w:val="hy-AM"/>
              </w:rPr>
              <w:t>այնպես</w:t>
            </w:r>
            <w:r w:rsidRPr="0053423A">
              <w:rPr>
                <w:lang w:val="af-ZA"/>
              </w:rPr>
              <w:t xml:space="preserve"> </w:t>
            </w:r>
            <w:r w:rsidRPr="0053423A">
              <w:rPr>
                <w:lang w:val="hy-AM"/>
              </w:rPr>
              <w:t>էլ</w:t>
            </w:r>
            <w:r w:rsidRPr="0053423A">
              <w:rPr>
                <w:lang w:val="af-ZA"/>
              </w:rPr>
              <w:t xml:space="preserve"> </w:t>
            </w:r>
            <w:r w:rsidRPr="0053423A">
              <w:rPr>
                <w:lang w:val="hy-AM"/>
              </w:rPr>
              <w:t>համայնքի</w:t>
            </w:r>
            <w:r w:rsidRPr="0053423A">
              <w:rPr>
                <w:lang w:val="af-ZA"/>
              </w:rPr>
              <w:t xml:space="preserve"> </w:t>
            </w:r>
            <w:r w:rsidRPr="0053423A">
              <w:rPr>
                <w:lang w:val="hy-AM"/>
              </w:rPr>
              <w:t>ղեկավարների</w:t>
            </w:r>
            <w:r w:rsidRPr="0053423A">
              <w:rPr>
                <w:lang w:val="af-ZA"/>
              </w:rPr>
              <w:t xml:space="preserve"> </w:t>
            </w:r>
            <w:r w:rsidRPr="0053423A">
              <w:rPr>
                <w:lang w:val="hy-AM"/>
              </w:rPr>
              <w:t>համար</w:t>
            </w:r>
            <w:r w:rsidRPr="0053423A">
              <w:rPr>
                <w:lang w:val="af-ZA"/>
              </w:rPr>
              <w:t xml:space="preserve">: </w:t>
            </w:r>
            <w:r w:rsidRPr="0053423A">
              <w:rPr>
                <w:lang w:val="hy-AM"/>
              </w:rPr>
              <w:t>Արդյունքում</w:t>
            </w:r>
            <w:r w:rsidRPr="0053423A">
              <w:rPr>
                <w:lang w:val="af-ZA"/>
              </w:rPr>
              <w:t xml:space="preserve"> </w:t>
            </w:r>
            <w:r w:rsidRPr="0053423A">
              <w:rPr>
                <w:bCs/>
                <w:lang w:val="af-ZA"/>
              </w:rPr>
              <w:t xml:space="preserve">հիմնականում անտեսվում են նորմատիվ-տեխնիկական փաստաթղթերի պահանջները, խախտվում են հակահրդեհային տարածությունները, սեյսմակայունությունը, փակվում է հարևան շենքերի բնական լուսավորությունը, մուտքը, ելքը և այլն: Նշվածը վատթարացնում է կենսամիջավայրը՝ խախտելով այլ անձանց իրավունքները: </w:t>
            </w:r>
          </w:p>
          <w:p w:rsidR="00D75F05" w:rsidRPr="0053423A" w:rsidRDefault="00D75F05" w:rsidP="001F6D5D">
            <w:pPr>
              <w:pStyle w:val="ListParagraph"/>
              <w:numPr>
                <w:ilvl w:val="1"/>
                <w:numId w:val="320"/>
              </w:numPr>
              <w:tabs>
                <w:tab w:val="left" w:pos="277"/>
                <w:tab w:val="left" w:pos="360"/>
              </w:tabs>
              <w:spacing w:line="276" w:lineRule="auto"/>
              <w:ind w:left="72" w:firstLine="0"/>
              <w:rPr>
                <w:b/>
              </w:rPr>
            </w:pPr>
            <w:r w:rsidRPr="0053423A">
              <w:rPr>
                <w:b/>
                <w:lang w:val="hy-AM"/>
              </w:rPr>
              <w:t>Առկա</w:t>
            </w:r>
            <w:r w:rsidRPr="0053423A">
              <w:rPr>
                <w:b/>
                <w:lang w:val="af-ZA"/>
              </w:rPr>
              <w:t xml:space="preserve"> </w:t>
            </w:r>
            <w:r w:rsidRPr="0053423A">
              <w:rPr>
                <w:b/>
                <w:lang w:val="hy-AM"/>
              </w:rPr>
              <w:t>խնդիրների</w:t>
            </w:r>
            <w:r w:rsidRPr="0053423A">
              <w:rPr>
                <w:b/>
                <w:lang w:val="af-ZA"/>
              </w:rPr>
              <w:t xml:space="preserve"> </w:t>
            </w:r>
            <w:r w:rsidRPr="0053423A">
              <w:rPr>
                <w:b/>
                <w:lang w:val="hy-AM"/>
              </w:rPr>
              <w:t>առաջարկվող</w:t>
            </w:r>
            <w:r w:rsidRPr="0053423A">
              <w:rPr>
                <w:b/>
                <w:lang w:val="af-ZA"/>
              </w:rPr>
              <w:t xml:space="preserve"> </w:t>
            </w:r>
            <w:r w:rsidRPr="0053423A">
              <w:rPr>
                <w:b/>
                <w:lang w:val="hy-AM"/>
              </w:rPr>
              <w:t>լուծումները</w:t>
            </w:r>
          </w:p>
          <w:p w:rsidR="00D75F05" w:rsidRPr="0053423A" w:rsidRDefault="00D75F05" w:rsidP="00A67858">
            <w:pPr>
              <w:pStyle w:val="ListParagraph"/>
              <w:tabs>
                <w:tab w:val="left" w:pos="277"/>
              </w:tabs>
              <w:spacing w:line="276" w:lineRule="auto"/>
              <w:ind w:left="72"/>
              <w:jc w:val="both"/>
              <w:rPr>
                <w:b/>
              </w:rPr>
            </w:pPr>
            <w:r w:rsidRPr="0053423A">
              <w:t>Օրենսդրական</w:t>
            </w:r>
            <w:r w:rsidRPr="0053423A">
              <w:rPr>
                <w:lang w:val="af-ZA"/>
              </w:rPr>
              <w:t xml:space="preserve"> </w:t>
            </w:r>
            <w:r w:rsidRPr="0053423A">
              <w:t>կարգավորումերի միջոցով ինքնակամ</w:t>
            </w:r>
            <w:r w:rsidRPr="0053423A">
              <w:rPr>
                <w:lang w:val="af-ZA"/>
              </w:rPr>
              <w:t xml:space="preserve"> </w:t>
            </w:r>
            <w:r w:rsidRPr="0053423A">
              <w:t>կառույցների</w:t>
            </w:r>
            <w:r w:rsidRPr="0053423A">
              <w:rPr>
                <w:lang w:val="af-ZA"/>
              </w:rPr>
              <w:t xml:space="preserve"> </w:t>
            </w:r>
            <w:r w:rsidRPr="0053423A">
              <w:t>օրինականացման</w:t>
            </w:r>
            <w:r w:rsidRPr="0053423A">
              <w:rPr>
                <w:lang w:val="af-ZA"/>
              </w:rPr>
              <w:t xml:space="preserve"> </w:t>
            </w:r>
            <w:r w:rsidRPr="0053423A">
              <w:t>և</w:t>
            </w:r>
            <w:r w:rsidRPr="0053423A">
              <w:rPr>
                <w:lang w:val="af-ZA"/>
              </w:rPr>
              <w:t xml:space="preserve"> </w:t>
            </w:r>
            <w:r w:rsidRPr="0053423A">
              <w:t>տնօրինման</w:t>
            </w:r>
            <w:r w:rsidRPr="0053423A">
              <w:rPr>
                <w:lang w:val="af-ZA"/>
              </w:rPr>
              <w:t xml:space="preserve"> </w:t>
            </w:r>
            <w:r w:rsidRPr="0053423A">
              <w:t>գործող</w:t>
            </w:r>
            <w:r w:rsidRPr="0053423A">
              <w:rPr>
                <w:lang w:val="af-ZA"/>
              </w:rPr>
              <w:t xml:space="preserve"> </w:t>
            </w:r>
            <w:r w:rsidRPr="0053423A">
              <w:t>կարգը վերանայել,</w:t>
            </w:r>
            <w:r w:rsidRPr="0053423A">
              <w:rPr>
                <w:lang w:val="af-ZA"/>
              </w:rPr>
              <w:t xml:space="preserve"> </w:t>
            </w:r>
            <w:r w:rsidRPr="0053423A">
              <w:t>որի</w:t>
            </w:r>
            <w:r w:rsidRPr="0053423A">
              <w:rPr>
                <w:lang w:val="af-ZA"/>
              </w:rPr>
              <w:t xml:space="preserve"> </w:t>
            </w:r>
            <w:r w:rsidRPr="0053423A">
              <w:t>պայմաններում ինքնակամ</w:t>
            </w:r>
            <w:r w:rsidRPr="0053423A">
              <w:rPr>
                <w:lang w:val="af-ZA"/>
              </w:rPr>
              <w:t xml:space="preserve"> </w:t>
            </w:r>
            <w:r w:rsidRPr="0053423A">
              <w:t>շինարարությունը</w:t>
            </w:r>
            <w:r w:rsidRPr="0053423A">
              <w:rPr>
                <w:lang w:val="af-ZA"/>
              </w:rPr>
              <w:t xml:space="preserve"> </w:t>
            </w:r>
            <w:r w:rsidRPr="0053423A">
              <w:t>կրում</w:t>
            </w:r>
            <w:r w:rsidRPr="0053423A">
              <w:rPr>
                <w:lang w:val="af-ZA"/>
              </w:rPr>
              <w:t xml:space="preserve"> </w:t>
            </w:r>
            <w:r w:rsidRPr="0053423A">
              <w:t>է</w:t>
            </w:r>
            <w:r w:rsidRPr="0053423A">
              <w:rPr>
                <w:lang w:val="af-ZA"/>
              </w:rPr>
              <w:t xml:space="preserve"> </w:t>
            </w:r>
            <w:r w:rsidRPr="0053423A">
              <w:t>համատարած</w:t>
            </w:r>
            <w:r w:rsidRPr="0053423A">
              <w:rPr>
                <w:lang w:val="af-ZA"/>
              </w:rPr>
              <w:t xml:space="preserve"> </w:t>
            </w:r>
            <w:r w:rsidRPr="0053423A">
              <w:t>բնույթ</w:t>
            </w:r>
            <w:r w:rsidRPr="0053423A">
              <w:rPr>
                <w:lang w:val="af-ZA"/>
              </w:rPr>
              <w:t>, բացառել կարգում հայտնաբերված կրկնությունները:</w:t>
            </w:r>
          </w:p>
          <w:p w:rsidR="00D75F05" w:rsidRPr="0053423A" w:rsidRDefault="00D75F05" w:rsidP="00A67858">
            <w:pPr>
              <w:pStyle w:val="mechtex"/>
              <w:tabs>
                <w:tab w:val="left" w:pos="277"/>
              </w:tabs>
              <w:spacing w:line="276" w:lineRule="auto"/>
              <w:ind w:left="72"/>
              <w:jc w:val="both"/>
              <w:rPr>
                <w:rFonts w:ascii="GHEA Grapalat" w:hAnsi="GHEA Grapalat" w:cs="Sylfaen"/>
                <w:lang w:val="af-ZA" w:eastAsia="hy-AM"/>
              </w:rPr>
            </w:pPr>
            <w:r w:rsidRPr="0053423A">
              <w:rPr>
                <w:rFonts w:ascii="GHEA Grapalat" w:hAnsi="GHEA Grapalat"/>
                <w:bCs/>
              </w:rPr>
              <w:t xml:space="preserve">ՀՀ </w:t>
            </w:r>
            <w:r w:rsidRPr="0053423A">
              <w:rPr>
                <w:rFonts w:ascii="GHEA Grapalat" w:hAnsi="GHEA Grapalat"/>
                <w:bCs/>
                <w:lang w:val="af-ZA"/>
              </w:rPr>
              <w:t xml:space="preserve">կառավարության 2006 թվականի մայիսի 6-ի N912-Ն որոշմամբ հաստատված դրույթները համապատասխանեցնել՝ </w:t>
            </w:r>
            <w:r w:rsidRPr="0053423A">
              <w:rPr>
                <w:rFonts w:ascii="GHEA Grapalat" w:hAnsi="GHEA Grapalat"/>
                <w:lang w:val="de-DE"/>
              </w:rPr>
              <w:t>ՀՀ հողային, ՀՀ քաղաքացիական, վարչական իրավախախտումների մասին ՀՀ օրենսգրքերում, Պետական տուրքի մասին, Տեղական ինքնակառավարման մասին, Քաղաքաշինության մասին ՀՀ օրենքներում նախատեսվող փոփոխություններին և լրացումներին</w:t>
            </w:r>
            <w:r w:rsidRPr="0053423A">
              <w:rPr>
                <w:rFonts w:ascii="GHEA Grapalat" w:hAnsi="GHEA Grapalat" w:cs="Sylfaen"/>
                <w:lang w:val="af-ZA" w:eastAsia="hy-AM"/>
              </w:rPr>
              <w:t>:</w:t>
            </w:r>
          </w:p>
          <w:p w:rsidR="00D75F05" w:rsidRPr="0053423A" w:rsidRDefault="00D75F05" w:rsidP="00A67858">
            <w:pPr>
              <w:pStyle w:val="ListParagraph"/>
              <w:tabs>
                <w:tab w:val="left" w:pos="277"/>
              </w:tabs>
              <w:spacing w:line="276" w:lineRule="auto"/>
              <w:ind w:left="72"/>
              <w:jc w:val="both"/>
              <w:rPr>
                <w:b/>
                <w:lang w:val="hy-AM"/>
              </w:rPr>
            </w:pPr>
            <w:r w:rsidRPr="0053423A">
              <w:rPr>
                <w:b/>
                <w:lang w:val="af-ZA"/>
              </w:rPr>
              <w:t xml:space="preserve">2. </w:t>
            </w:r>
            <w:r w:rsidRPr="0053423A">
              <w:rPr>
                <w:b/>
                <w:lang w:val="hy-AM"/>
              </w:rPr>
              <w:t>Միջոցառման</w:t>
            </w:r>
            <w:r w:rsidRPr="0053423A">
              <w:rPr>
                <w:b/>
                <w:lang w:val="af-ZA"/>
              </w:rPr>
              <w:t xml:space="preserve"> </w:t>
            </w:r>
            <w:r w:rsidRPr="0053423A">
              <w:rPr>
                <w:b/>
                <w:lang w:val="hy-AM"/>
              </w:rPr>
              <w:t>իրականացումից</w:t>
            </w:r>
            <w:r w:rsidRPr="0053423A">
              <w:rPr>
                <w:b/>
                <w:lang w:val="af-ZA"/>
              </w:rPr>
              <w:t xml:space="preserve"> </w:t>
            </w:r>
            <w:r w:rsidRPr="0053423A">
              <w:rPr>
                <w:b/>
                <w:lang w:val="hy-AM"/>
              </w:rPr>
              <w:t>ակնկալվող</w:t>
            </w:r>
            <w:r w:rsidRPr="0053423A">
              <w:rPr>
                <w:b/>
                <w:lang w:val="af-ZA"/>
              </w:rPr>
              <w:t xml:space="preserve"> </w:t>
            </w:r>
            <w:r w:rsidRPr="0053423A">
              <w:rPr>
                <w:b/>
                <w:lang w:val="hy-AM"/>
              </w:rPr>
              <w:t>արդյունքը</w:t>
            </w:r>
          </w:p>
          <w:p w:rsidR="00D75F05" w:rsidRPr="0053423A" w:rsidRDefault="00D75F05" w:rsidP="00A67858">
            <w:pPr>
              <w:pStyle w:val="mechtex"/>
              <w:tabs>
                <w:tab w:val="left" w:pos="277"/>
              </w:tabs>
              <w:spacing w:line="276" w:lineRule="auto"/>
              <w:ind w:left="72"/>
              <w:jc w:val="both"/>
              <w:rPr>
                <w:rFonts w:ascii="GHEA Grapalat" w:hAnsi="GHEA Grapalat" w:cs="Sylfaen"/>
                <w:lang w:val="af-ZA" w:eastAsia="hy-AM"/>
              </w:rPr>
            </w:pPr>
            <w:r w:rsidRPr="0053423A">
              <w:rPr>
                <w:rFonts w:ascii="GHEA Grapalat" w:hAnsi="GHEA Grapalat" w:cs="Sylfaen"/>
                <w:lang w:val="af-ZA" w:eastAsia="hy-AM"/>
              </w:rPr>
              <w:t xml:space="preserve">Նախագծի ընդունման արդյունքում կկանոնակարգվեն ինքնակամ կառույցների օրինականացման և տնօրինման հետ կապված խնդիրները՝ </w:t>
            </w:r>
            <w:r w:rsidRPr="0053423A">
              <w:rPr>
                <w:rFonts w:ascii="GHEA Grapalat" w:hAnsi="GHEA Grapalat"/>
                <w:lang w:val="de-DE"/>
              </w:rPr>
              <w:t>ՀՀ հողային, քաղաքացիական, վարչական իրավախախտումների մասին օրենսգրքերում, Պետական տուրքի մասին, Տեղական ինքնակառավարման մասին, Քաղաքաշինության մասին ՀՀ օրենքներում առաջարկվող փոփոխություններին և լրացումներին համապատասխան</w:t>
            </w:r>
            <w:r w:rsidRPr="0053423A">
              <w:rPr>
                <w:rFonts w:ascii="GHEA Grapalat" w:hAnsi="GHEA Grapalat" w:cs="Sylfaen"/>
                <w:lang w:val="af-ZA" w:eastAsia="hy-AM"/>
              </w:rPr>
              <w:t>:</w:t>
            </w:r>
          </w:p>
          <w:p w:rsidR="00D75F05" w:rsidRPr="0053423A" w:rsidRDefault="00D75F05" w:rsidP="00A67858">
            <w:pPr>
              <w:tabs>
                <w:tab w:val="left" w:pos="277"/>
              </w:tabs>
              <w:spacing w:line="276" w:lineRule="auto"/>
              <w:ind w:left="72"/>
              <w:rPr>
                <w:b/>
                <w:highlight w:val="yellow"/>
                <w:lang w:val="af-ZA"/>
              </w:rPr>
            </w:pPr>
          </w:p>
          <w:p w:rsidR="00D75F05" w:rsidRPr="0053423A" w:rsidRDefault="00D75F05" w:rsidP="00A67858">
            <w:pPr>
              <w:tabs>
                <w:tab w:val="left" w:pos="277"/>
              </w:tabs>
              <w:spacing w:line="276" w:lineRule="auto"/>
              <w:ind w:left="72"/>
              <w:jc w:val="center"/>
              <w:rPr>
                <w:b/>
                <w:u w:val="single"/>
                <w:lang w:val="af-ZA"/>
              </w:rPr>
            </w:pPr>
            <w:r w:rsidRPr="0053423A">
              <w:rPr>
                <w:b/>
                <w:u w:val="single"/>
                <w:lang w:val="af-ZA"/>
              </w:rPr>
              <w:t>2.3 Քաղաքաշինության մասին ՀՀ օրենքում փոփոխություններ</w:t>
            </w:r>
            <w:r w:rsidRPr="0053423A">
              <w:rPr>
                <w:b/>
                <w:u w:val="single"/>
                <w:lang w:val="hy-AM"/>
              </w:rPr>
              <w:t xml:space="preserve"> </w:t>
            </w:r>
            <w:r w:rsidRPr="0053423A">
              <w:rPr>
                <w:b/>
                <w:u w:val="single"/>
                <w:lang w:val="af-ZA"/>
              </w:rPr>
              <w:t>կատարելու մասին ՀՀ օրենքի նախագծի և Տարածքի հատակագծման նախագծերի մշակման, փորձաքննության, համաձայնեցման, հաստատման և փոփոխման կարգը հաստատելու մասին ՀՀ կառավարության որոշումների նախա</w:t>
            </w:r>
            <w:r w:rsidRPr="0053423A">
              <w:rPr>
                <w:b/>
                <w:u w:val="single"/>
                <w:lang w:val="af-ZA"/>
              </w:rPr>
              <w:softHyphen/>
              <w:t>գծերի ներկայացում ՀՀ վարչապետի աշխատա</w:t>
            </w:r>
            <w:r w:rsidRPr="0053423A">
              <w:rPr>
                <w:b/>
                <w:u w:val="single"/>
                <w:lang w:val="af-ZA"/>
              </w:rPr>
              <w:softHyphen/>
              <w:t>կազմ</w:t>
            </w:r>
          </w:p>
          <w:p w:rsidR="00D75F05" w:rsidRPr="0053423A" w:rsidRDefault="00D75F05" w:rsidP="00A67858">
            <w:pPr>
              <w:tabs>
                <w:tab w:val="left" w:pos="277"/>
              </w:tabs>
              <w:spacing w:line="276" w:lineRule="auto"/>
              <w:ind w:left="72"/>
              <w:jc w:val="center"/>
              <w:rPr>
                <w:b/>
                <w:u w:val="single"/>
                <w:lang w:val="af-ZA"/>
              </w:rPr>
            </w:pPr>
          </w:p>
          <w:p w:rsidR="00D75F05" w:rsidRPr="0053423A" w:rsidRDefault="00D75F05" w:rsidP="001F6D5D">
            <w:pPr>
              <w:pStyle w:val="ListParagraph1"/>
              <w:numPr>
                <w:ilvl w:val="0"/>
                <w:numId w:val="322"/>
              </w:numPr>
              <w:tabs>
                <w:tab w:val="left" w:pos="277"/>
                <w:tab w:val="left" w:pos="900"/>
              </w:tabs>
              <w:spacing w:after="0"/>
              <w:ind w:left="72" w:firstLine="0"/>
              <w:contextualSpacing w:val="0"/>
              <w:rPr>
                <w:rFonts w:ascii="GHEA Grapalat" w:hAnsi="GHEA Grapalat"/>
                <w:b/>
                <w:lang w:val="af-ZA"/>
              </w:rPr>
            </w:pP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tabs>
                <w:tab w:val="left" w:pos="277"/>
              </w:tabs>
              <w:spacing w:line="276" w:lineRule="auto"/>
              <w:ind w:left="72"/>
              <w:jc w:val="both"/>
              <w:rPr>
                <w:rFonts w:cs="Sylfaen"/>
                <w:lang w:val="hy-AM"/>
              </w:rPr>
            </w:pPr>
            <w:r w:rsidRPr="0053423A">
              <w:rPr>
                <w:rFonts w:cs="Sylfaen"/>
                <w:lang w:val="hy-AM"/>
              </w:rPr>
              <w:t>Միջոցառման անրաժեշտությունը բխում է Նորմատիվ իրավական ակտերի մասին      ՀՀ օրենքի 34-րդ հոդվածի և Քաղաքաշինության մասին ՀՀ օրենքի 10.1 հոդվածի 3-րդ կետի 3-րդ մասի դրույթներից, նպատակը՝ Քաղաքաշինության մասին ՀՀ օրենքում </w:t>
            </w:r>
            <w:r w:rsidRPr="0053423A">
              <w:rPr>
                <w:rFonts w:cs="Sylfaen"/>
              </w:rPr>
              <w:t>տարածքի</w:t>
            </w:r>
            <w:r w:rsidRPr="0053423A">
              <w:rPr>
                <w:rFonts w:cs="Sylfaen"/>
                <w:lang w:val="hy-AM"/>
              </w:rPr>
              <w:t xml:space="preserve"> հատակագծման նախագիծ հասկացության և մանրամասն հատակագծման նախագծերի մշակման, փորձաքննության, համաձայնեցման, հաստատման և փոփոխման կարգի սահմանումն է:  </w:t>
            </w:r>
          </w:p>
          <w:p w:rsidR="00D75F05" w:rsidRPr="0053423A" w:rsidRDefault="00D75F05" w:rsidP="00A67858">
            <w:pPr>
              <w:pStyle w:val="ListParagraph"/>
              <w:tabs>
                <w:tab w:val="left" w:pos="277"/>
              </w:tabs>
              <w:spacing w:line="276" w:lineRule="auto"/>
              <w:ind w:left="72"/>
              <w:jc w:val="both"/>
              <w:rPr>
                <w:b/>
                <w:lang w:val="af-ZA"/>
              </w:rPr>
            </w:pPr>
            <w:r w:rsidRPr="0053423A">
              <w:rPr>
                <w:rFonts w:cs="Sylfaen"/>
                <w:b/>
                <w:lang w:val="hy-AM"/>
              </w:rPr>
              <w:t>1.</w:t>
            </w:r>
            <w:r w:rsidRPr="0053423A">
              <w:rPr>
                <w:rFonts w:cs="Sylfaen"/>
                <w:b/>
                <w:lang w:val="af-ZA"/>
              </w:rPr>
              <w:t>1</w:t>
            </w:r>
            <w:r w:rsidRPr="0053423A">
              <w:rPr>
                <w:rFonts w:cs="Sylfaen"/>
                <w:b/>
                <w:lang w:val="hy-AM"/>
              </w:rPr>
              <w:t xml:space="preserve"> </w:t>
            </w:r>
            <w:r w:rsidRPr="0053423A">
              <w:rPr>
                <w:b/>
                <w:lang w:val="hy-AM"/>
              </w:rPr>
              <w:t>Կարգավորման հարաբերությունների ներկա վիճակը և առկա խնդիրները</w:t>
            </w:r>
          </w:p>
          <w:p w:rsidR="00D75F05" w:rsidRPr="0053423A" w:rsidRDefault="00D75F05" w:rsidP="00A67858">
            <w:pPr>
              <w:tabs>
                <w:tab w:val="left" w:pos="277"/>
              </w:tabs>
              <w:spacing w:line="276" w:lineRule="auto"/>
              <w:ind w:left="72"/>
              <w:jc w:val="both"/>
              <w:rPr>
                <w:b/>
                <w:lang w:val="af-ZA" w:eastAsia="en-US"/>
              </w:rPr>
            </w:pPr>
            <w:r w:rsidRPr="0053423A">
              <w:rPr>
                <w:rFonts w:eastAsia="MingLiU_HKSCS" w:cs="MingLiU_HKSCS"/>
                <w:lang w:val="af-ZA"/>
              </w:rPr>
              <w:t></w:t>
            </w:r>
            <w:r w:rsidRPr="0053423A">
              <w:rPr>
                <w:rFonts w:cs="Sylfaen"/>
                <w:lang w:val="af-ZA"/>
              </w:rPr>
              <w:t>Քաղաքաշինության</w:t>
            </w:r>
            <w:r w:rsidRPr="0053423A">
              <w:rPr>
                <w:rFonts w:cs="Arial Armenian"/>
                <w:lang w:val="af-ZA"/>
              </w:rPr>
              <w:t xml:space="preserve"> </w:t>
            </w:r>
            <w:r w:rsidRPr="0053423A">
              <w:rPr>
                <w:rFonts w:cs="Sylfaen"/>
                <w:lang w:val="af-ZA"/>
              </w:rPr>
              <w:t>մասին</w:t>
            </w:r>
            <w:r w:rsidRPr="0053423A">
              <w:rPr>
                <w:rFonts w:eastAsia="MingLiU_HKSCS" w:cs="MingLiU_HKSCS"/>
                <w:lang w:val="af-ZA"/>
              </w:rPr>
              <w:t></w:t>
            </w:r>
            <w:r w:rsidRPr="0053423A">
              <w:rPr>
                <w:rFonts w:cs="Arial Armenian"/>
                <w:lang w:val="af-ZA"/>
              </w:rPr>
              <w:t xml:space="preserve"> </w:t>
            </w:r>
            <w:r w:rsidRPr="0053423A">
              <w:rPr>
                <w:rFonts w:cs="Sylfaen"/>
                <w:lang w:val="af-ZA"/>
              </w:rPr>
              <w:t>ՀՀ</w:t>
            </w:r>
            <w:r w:rsidRPr="0053423A">
              <w:rPr>
                <w:rFonts w:cs="Arial Armenian"/>
                <w:lang w:val="af-ZA"/>
              </w:rPr>
              <w:t xml:space="preserve"> </w:t>
            </w:r>
            <w:r w:rsidRPr="0053423A">
              <w:rPr>
                <w:rFonts w:cs="Sylfaen"/>
                <w:lang w:val="af-ZA"/>
              </w:rPr>
              <w:t>օրենք</w:t>
            </w:r>
            <w:r w:rsidRPr="0053423A">
              <w:rPr>
                <w:lang w:val="af-ZA"/>
              </w:rPr>
              <w:t xml:space="preserve">ում </w:t>
            </w:r>
            <w:r w:rsidRPr="0053423A">
              <w:rPr>
                <w:rFonts w:eastAsia="MingLiU_HKSCS" w:cs="MingLiU_HKSCS"/>
                <w:lang w:val="af-ZA"/>
              </w:rPr>
              <w:t></w:t>
            </w:r>
            <w:r w:rsidRPr="0053423A">
              <w:rPr>
                <w:rFonts w:cs="Sylfaen"/>
                <w:lang w:val="af-ZA"/>
              </w:rPr>
              <w:t>տարածքի</w:t>
            </w:r>
            <w:r w:rsidRPr="0053423A">
              <w:rPr>
                <w:lang w:val="af-ZA"/>
              </w:rPr>
              <w:t xml:space="preserve"> հատակագծման նախագիծ հասկացության սահմանված չէ: Քաղաքաշինական ծրագրային (տարածական պլանավորման) փաստաթղթերի </w:t>
            </w:r>
            <w:r w:rsidRPr="0053423A">
              <w:rPr>
                <w:lang w:val="hy-AM"/>
              </w:rPr>
              <w:t>հիերարխի</w:t>
            </w:r>
            <w:r w:rsidRPr="0053423A">
              <w:t>կ</w:t>
            </w:r>
            <w:r w:rsidRPr="0053423A">
              <w:rPr>
                <w:lang w:val="hy-AM"/>
              </w:rPr>
              <w:t xml:space="preserve"> </w:t>
            </w:r>
            <w:r w:rsidRPr="0053423A">
              <w:t>կառուցված</w:t>
            </w:r>
            <w:r w:rsidRPr="0053423A">
              <w:rPr>
                <w:lang w:val="hy-AM"/>
              </w:rPr>
              <w:t>քում</w:t>
            </w:r>
            <w:r w:rsidRPr="0053423A">
              <w:rPr>
                <w:b/>
                <w:lang w:val="af-ZA"/>
              </w:rPr>
              <w:t xml:space="preserve"> </w:t>
            </w:r>
            <w:r w:rsidRPr="0053423A">
              <w:rPr>
                <w:lang w:val="af-ZA"/>
              </w:rPr>
              <w:t xml:space="preserve">գլխավոր հատակագծից միանգամից անցում է կատարվում կառուցապատման նախագծին, ինչի արդյունքում հնարավոր է, որ իրար հետ սերտ կապված տարածքներում  </w:t>
            </w:r>
            <w:r w:rsidRPr="0053423A">
              <w:rPr>
                <w:lang w:val="hy-AM"/>
              </w:rPr>
              <w:t>միմյանց փոխկապակցված միջավայր չձևավոր</w:t>
            </w:r>
            <w:r w:rsidRPr="0053423A">
              <w:t>վի</w:t>
            </w:r>
            <w:r w:rsidRPr="0053423A">
              <w:rPr>
                <w:lang w:val="af-ZA"/>
              </w:rPr>
              <w:t>:</w:t>
            </w:r>
            <w:r w:rsidRPr="0053423A">
              <w:rPr>
                <w:b/>
                <w:lang w:val="af-ZA" w:eastAsia="en-US"/>
              </w:rPr>
              <w:t xml:space="preserve"> </w:t>
            </w:r>
          </w:p>
          <w:p w:rsidR="00D75F05" w:rsidRPr="0053423A" w:rsidRDefault="00D75F05" w:rsidP="00A67858">
            <w:pPr>
              <w:pStyle w:val="ListParagraph"/>
              <w:tabs>
                <w:tab w:val="left" w:pos="277"/>
              </w:tabs>
              <w:spacing w:line="276" w:lineRule="auto"/>
              <w:ind w:left="72"/>
              <w:jc w:val="both"/>
              <w:rPr>
                <w:lang w:val="hy-AM"/>
              </w:rPr>
            </w:pPr>
            <w:r w:rsidRPr="0053423A">
              <w:rPr>
                <w:lang w:val="en-US"/>
              </w:rPr>
              <w:t>Բացի</w:t>
            </w:r>
            <w:r w:rsidRPr="0053423A">
              <w:rPr>
                <w:lang w:val="af-ZA"/>
              </w:rPr>
              <w:t xml:space="preserve"> </w:t>
            </w:r>
            <w:r w:rsidRPr="0053423A">
              <w:rPr>
                <w:lang w:val="en-US"/>
              </w:rPr>
              <w:t>այդ</w:t>
            </w:r>
            <w:r w:rsidRPr="0053423A">
              <w:rPr>
                <w:lang w:val="af-ZA"/>
              </w:rPr>
              <w:t xml:space="preserve">, </w:t>
            </w:r>
            <w:r w:rsidRPr="0053423A">
              <w:rPr>
                <w:lang w:val="en-US"/>
              </w:rPr>
              <w:t>ն</w:t>
            </w:r>
            <w:r w:rsidRPr="0053423A">
              <w:rPr>
                <w:lang w:val="hy-AM"/>
              </w:rPr>
              <w:t>երկայումս քաղաքաշինական նախագծման հիերարխիական կառուցվածքում գլխավոր հատակագծին հաջորդում է գոտևորման նախագիծն, այնուհետև կառուցապատման նախագիծը։ Գոտևորման նախագիծը սահմանում է գլխավոր հատակագծում ամրագրված գործառնական գոտիների նկատմամբ կիրառվող կարգավորիչները՝ թույլատրելի հողօգտագործումներին ներկայացվող հիմնական պահանջները ու կառուցապատման ծավալատարածական կարգավորիչները։ Կառուցապատման նախագծի ընդգրկման շրջանակներն առավել սահմանափակ են, ուստի միմյանց հարող, սակայն առանձին կառուցապատման նախագծերով իրականացված թաղամասերը կարող են քաղաքաշինական միասնական, գործառնական և հատակագծային կապերով միմյանց փոխկապակցված միջավայր չձևավորել։</w:t>
            </w:r>
          </w:p>
          <w:p w:rsidR="00D75F05" w:rsidRPr="0053423A" w:rsidRDefault="00D75F05" w:rsidP="00A67858">
            <w:pPr>
              <w:pStyle w:val="ListParagraph"/>
              <w:tabs>
                <w:tab w:val="left" w:pos="277"/>
              </w:tabs>
              <w:spacing w:line="276" w:lineRule="auto"/>
              <w:ind w:left="72"/>
              <w:rPr>
                <w:b/>
                <w:lang w:val="af-ZA"/>
              </w:rPr>
            </w:pPr>
            <w:r w:rsidRPr="0053423A">
              <w:rPr>
                <w:b/>
                <w:lang w:val="af-ZA"/>
              </w:rPr>
              <w:t>1.2</w:t>
            </w:r>
            <w:r w:rsidRPr="0053423A">
              <w:rPr>
                <w:b/>
                <w:lang w:val="hy-AM"/>
              </w:rPr>
              <w:t xml:space="preserve"> Առկ</w:t>
            </w:r>
            <w:r w:rsidRPr="0053423A">
              <w:rPr>
                <w:b/>
                <w:lang w:val="af-ZA"/>
              </w:rPr>
              <w:t>ա</w:t>
            </w:r>
            <w:r w:rsidRPr="0053423A">
              <w:rPr>
                <w:b/>
                <w:lang w:val="hy-AM"/>
              </w:rPr>
              <w:t xml:space="preserve"> խնդիրներ</w:t>
            </w:r>
            <w:r w:rsidRPr="0053423A">
              <w:rPr>
                <w:b/>
                <w:lang w:val="af-ZA"/>
              </w:rPr>
              <w:t>ի</w:t>
            </w:r>
            <w:r w:rsidRPr="0053423A">
              <w:rPr>
                <w:b/>
                <w:lang w:val="hy-AM"/>
              </w:rPr>
              <w:t xml:space="preserve"> առաջարկվո</w:t>
            </w:r>
            <w:r w:rsidRPr="0053423A">
              <w:rPr>
                <w:b/>
                <w:lang w:val="af-ZA"/>
              </w:rPr>
              <w:t>ղ</w:t>
            </w:r>
            <w:r w:rsidRPr="0053423A">
              <w:rPr>
                <w:b/>
                <w:lang w:val="hy-AM"/>
              </w:rPr>
              <w:t xml:space="preserve"> լուծումներ</w:t>
            </w:r>
            <w:r w:rsidRPr="0053423A">
              <w:rPr>
                <w:b/>
                <w:lang w:val="af-ZA"/>
              </w:rPr>
              <w:t>ը</w:t>
            </w:r>
          </w:p>
          <w:p w:rsidR="00D75F05" w:rsidRPr="0053423A" w:rsidRDefault="00D75F05" w:rsidP="00A67858">
            <w:pPr>
              <w:pStyle w:val="ListParagraph"/>
              <w:tabs>
                <w:tab w:val="left" w:pos="277"/>
              </w:tabs>
              <w:spacing w:line="276" w:lineRule="auto"/>
              <w:ind w:left="72"/>
              <w:jc w:val="both"/>
              <w:rPr>
                <w:lang w:val="af-ZA"/>
              </w:rPr>
            </w:pPr>
            <w:r w:rsidRPr="0053423A">
              <w:rPr>
                <w:lang w:val="af-ZA"/>
              </w:rPr>
              <w:t xml:space="preserve">Քաղաքաշինության մասին ՀՀ օրենքի </w:t>
            </w:r>
            <w:r w:rsidRPr="0053423A">
              <w:rPr>
                <w:rFonts w:cs="Sylfaen"/>
                <w:lang w:val="af-ZA"/>
              </w:rPr>
              <w:t xml:space="preserve">14.3 և 17-րդ հոդվածներում լրացում կատարելու միջոցով սահմանել </w:t>
            </w:r>
            <w:r w:rsidRPr="0053423A">
              <w:rPr>
                <w:rFonts w:eastAsia="MingLiU_HKSCS" w:cs="MingLiU_HKSCS"/>
                <w:lang w:val="af-ZA"/>
              </w:rPr>
              <w:t>տարածքի</w:t>
            </w:r>
            <w:r w:rsidRPr="0053423A">
              <w:rPr>
                <w:lang w:val="af-ZA"/>
              </w:rPr>
              <w:t xml:space="preserve"> հատակագծման նախագիծ հասկացությունը: </w:t>
            </w:r>
          </w:p>
          <w:p w:rsidR="00D75F05" w:rsidRPr="0053423A" w:rsidRDefault="00D75F05" w:rsidP="00A67858">
            <w:pPr>
              <w:pStyle w:val="ListParagraph"/>
              <w:tabs>
                <w:tab w:val="left" w:pos="277"/>
              </w:tabs>
              <w:spacing w:line="276" w:lineRule="auto"/>
              <w:ind w:left="72"/>
              <w:jc w:val="both"/>
              <w:rPr>
                <w:lang w:val="hy-AM"/>
              </w:rPr>
            </w:pPr>
            <w:r w:rsidRPr="0053423A">
              <w:rPr>
                <w:lang w:val="hy-AM"/>
              </w:rPr>
              <w:t xml:space="preserve">Նախկինում կիրառվող մանրամասն հատակագծման նախագծերի կիրառման փորձի վերականգնումը հնարավորություն կտա որպես գոտևորման և կառուցապատման նախագծերի միջև միջանկյալ փուլ դիտարկել վերոնշյալ նախագիծը, որում միասնական լուծումներ կտրվեն 1.1 կետում լուսաբանված խնդիրներին։ </w:t>
            </w:r>
          </w:p>
          <w:p w:rsidR="00D75F05" w:rsidRPr="0053423A" w:rsidRDefault="00D75F05" w:rsidP="00A67858">
            <w:pPr>
              <w:pStyle w:val="ListParagraph"/>
              <w:tabs>
                <w:tab w:val="left" w:pos="277"/>
              </w:tabs>
              <w:spacing w:line="276" w:lineRule="auto"/>
              <w:ind w:left="72"/>
              <w:jc w:val="both"/>
              <w:rPr>
                <w:b/>
                <w:lang w:val="hy-AM"/>
              </w:rPr>
            </w:pPr>
            <w:r w:rsidRPr="0053423A">
              <w:rPr>
                <w:rFonts w:cs="Sylfaen"/>
                <w:b/>
                <w:lang w:val="af-ZA"/>
              </w:rPr>
              <w:t xml:space="preserve"> 2.</w:t>
            </w:r>
            <w:r w:rsidRPr="0053423A">
              <w:rPr>
                <w:b/>
                <w:lang w:val="af-ZA"/>
              </w:rPr>
              <w:t xml:space="preserve"> </w:t>
            </w:r>
            <w:r w:rsidRPr="0053423A">
              <w:rPr>
                <w:b/>
                <w:lang w:val="hy-AM"/>
              </w:rPr>
              <w:t>Միջոցառման</w:t>
            </w:r>
            <w:r w:rsidRPr="0053423A">
              <w:rPr>
                <w:b/>
                <w:lang w:val="af-ZA"/>
              </w:rPr>
              <w:t xml:space="preserve"> </w:t>
            </w:r>
            <w:r w:rsidRPr="0053423A">
              <w:rPr>
                <w:b/>
                <w:lang w:val="hy-AM"/>
              </w:rPr>
              <w:t>իրականացումից</w:t>
            </w:r>
            <w:r w:rsidRPr="0053423A">
              <w:rPr>
                <w:b/>
                <w:lang w:val="af-ZA"/>
              </w:rPr>
              <w:t xml:space="preserve"> </w:t>
            </w:r>
            <w:r w:rsidRPr="0053423A">
              <w:rPr>
                <w:b/>
                <w:lang w:val="hy-AM"/>
              </w:rPr>
              <w:t>ակնկալվող</w:t>
            </w:r>
            <w:r w:rsidRPr="0053423A">
              <w:rPr>
                <w:b/>
                <w:lang w:val="af-ZA"/>
              </w:rPr>
              <w:t xml:space="preserve"> </w:t>
            </w:r>
            <w:r w:rsidRPr="0053423A">
              <w:rPr>
                <w:b/>
                <w:lang w:val="hy-AM"/>
              </w:rPr>
              <w:t>արդյունքը</w:t>
            </w:r>
          </w:p>
          <w:p w:rsidR="00D75F05" w:rsidRPr="0053423A" w:rsidRDefault="00D75F05" w:rsidP="00A67858">
            <w:pPr>
              <w:pStyle w:val="ListParagraph"/>
              <w:tabs>
                <w:tab w:val="left" w:pos="277"/>
                <w:tab w:val="left" w:pos="1620"/>
                <w:tab w:val="left" w:pos="1710"/>
              </w:tabs>
              <w:spacing w:line="276" w:lineRule="auto"/>
              <w:ind w:left="72"/>
              <w:jc w:val="both"/>
              <w:rPr>
                <w:lang w:val="af-ZA"/>
              </w:rPr>
            </w:pPr>
            <w:r w:rsidRPr="0053423A">
              <w:rPr>
                <w:lang w:val="af-ZA"/>
              </w:rPr>
              <w:t>Սահմանված կարգով հաստատված քաղաքաշինական ծրագրային փաստաթղթերի բացակայության դեպքում կառուցապատման նպատակներով հողամասերի և (կամ) ճարտարապետահատակագծային առաջադրանքների տրամադրման նոր վերջնաժամկետի սահմանում:</w:t>
            </w:r>
          </w:p>
          <w:p w:rsidR="00D75F05" w:rsidRPr="0053423A" w:rsidRDefault="00D75F05" w:rsidP="00A67858">
            <w:pPr>
              <w:tabs>
                <w:tab w:val="left" w:pos="277"/>
              </w:tabs>
              <w:spacing w:line="276" w:lineRule="auto"/>
              <w:ind w:left="72"/>
              <w:jc w:val="both"/>
              <w:rPr>
                <w:lang w:val="hy-AM"/>
              </w:rPr>
            </w:pPr>
            <w:r w:rsidRPr="0053423A">
              <w:rPr>
                <w:lang w:val="hy-AM"/>
              </w:rPr>
              <w:t>Հաջորդող կառուցապատման նախագծերը՝ անկախ ընդգրկման սահմանից, հաջորդականությունից ի վերջո կկազմեն մեկ միասնական քաղաքաշինական միջավայրի փոխկապակցված բաղադրիչներ։</w:t>
            </w:r>
          </w:p>
          <w:p w:rsidR="00D75F05" w:rsidRPr="0053423A" w:rsidRDefault="00D75F05" w:rsidP="00A67858">
            <w:pPr>
              <w:pStyle w:val="ListParagraph"/>
              <w:tabs>
                <w:tab w:val="left" w:pos="277"/>
                <w:tab w:val="left" w:pos="1620"/>
                <w:tab w:val="left" w:pos="1710"/>
              </w:tabs>
              <w:spacing w:line="276" w:lineRule="auto"/>
              <w:ind w:left="72"/>
              <w:jc w:val="both"/>
              <w:rPr>
                <w:b/>
                <w:lang w:val="af-ZA"/>
              </w:rPr>
            </w:pPr>
          </w:p>
          <w:p w:rsidR="00D75F05" w:rsidRPr="0053423A" w:rsidRDefault="00D75F05" w:rsidP="00A67858">
            <w:pPr>
              <w:tabs>
                <w:tab w:val="left" w:pos="277"/>
              </w:tabs>
              <w:spacing w:line="276" w:lineRule="auto"/>
              <w:ind w:left="72"/>
              <w:jc w:val="center"/>
              <w:rPr>
                <w:rFonts w:cs="Sylfaen"/>
                <w:b/>
                <w:u w:val="single"/>
                <w:lang w:val="af-ZA"/>
              </w:rPr>
            </w:pPr>
            <w:r w:rsidRPr="0053423A">
              <w:rPr>
                <w:b/>
                <w:u w:val="single"/>
                <w:lang w:val="af-ZA"/>
              </w:rPr>
              <w:t>2.4 Հ</w:t>
            </w:r>
            <w:r w:rsidRPr="0053423A">
              <w:rPr>
                <w:b/>
                <w:u w:val="single"/>
              </w:rPr>
              <w:t>Հ</w:t>
            </w:r>
            <w:r w:rsidRPr="0053423A">
              <w:rPr>
                <w:b/>
                <w:u w:val="single"/>
                <w:lang w:val="af-ZA"/>
              </w:rPr>
              <w:t xml:space="preserve"> </w:t>
            </w:r>
            <w:r w:rsidRPr="0053423A">
              <w:rPr>
                <w:b/>
                <w:u w:val="single"/>
              </w:rPr>
              <w:t>կառավարության</w:t>
            </w:r>
            <w:r w:rsidRPr="0053423A">
              <w:rPr>
                <w:b/>
                <w:u w:val="single"/>
                <w:lang w:val="af-ZA"/>
              </w:rPr>
              <w:t xml:space="preserve"> 2009 </w:t>
            </w:r>
            <w:r w:rsidRPr="0053423A">
              <w:rPr>
                <w:b/>
                <w:u w:val="single"/>
              </w:rPr>
              <w:t>թվականի</w:t>
            </w:r>
            <w:r w:rsidRPr="0053423A">
              <w:rPr>
                <w:b/>
                <w:u w:val="single"/>
                <w:lang w:val="af-ZA"/>
              </w:rPr>
              <w:t xml:space="preserve"> </w:t>
            </w:r>
            <w:r w:rsidRPr="0053423A">
              <w:rPr>
                <w:b/>
                <w:u w:val="single"/>
              </w:rPr>
              <w:t>հունիսի</w:t>
            </w:r>
            <w:r w:rsidRPr="0053423A">
              <w:rPr>
                <w:b/>
                <w:u w:val="single"/>
                <w:lang w:val="af-ZA"/>
              </w:rPr>
              <w:t xml:space="preserve">  26-</w:t>
            </w:r>
            <w:r w:rsidRPr="0053423A">
              <w:rPr>
                <w:b/>
                <w:u w:val="single"/>
              </w:rPr>
              <w:t>ի</w:t>
            </w:r>
            <w:r w:rsidRPr="0053423A">
              <w:rPr>
                <w:b/>
                <w:u w:val="single"/>
                <w:lang w:val="af-ZA"/>
              </w:rPr>
              <w:t xml:space="preserve"> N792-</w:t>
            </w:r>
            <w:r w:rsidRPr="0053423A">
              <w:rPr>
                <w:b/>
                <w:u w:val="single"/>
              </w:rPr>
              <w:t>Ն</w:t>
            </w:r>
            <w:r w:rsidRPr="0053423A">
              <w:rPr>
                <w:b/>
                <w:u w:val="single"/>
                <w:lang w:val="af-ZA"/>
              </w:rPr>
              <w:t xml:space="preserve"> և 2005 </w:t>
            </w:r>
            <w:r w:rsidRPr="0053423A">
              <w:rPr>
                <w:b/>
                <w:u w:val="single"/>
              </w:rPr>
              <w:t>թվականի</w:t>
            </w:r>
            <w:r w:rsidRPr="0053423A">
              <w:rPr>
                <w:b/>
                <w:u w:val="single"/>
                <w:lang w:val="af-ZA"/>
              </w:rPr>
              <w:t xml:space="preserve"> </w:t>
            </w:r>
            <w:r w:rsidRPr="0053423A">
              <w:rPr>
                <w:b/>
                <w:u w:val="single"/>
              </w:rPr>
              <w:t>դեկտեմբերի</w:t>
            </w:r>
            <w:r w:rsidRPr="0053423A">
              <w:rPr>
                <w:b/>
                <w:u w:val="single"/>
                <w:lang w:val="af-ZA"/>
              </w:rPr>
              <w:t xml:space="preserve"> 29-</w:t>
            </w:r>
            <w:r w:rsidRPr="0053423A">
              <w:rPr>
                <w:b/>
                <w:u w:val="single"/>
              </w:rPr>
              <w:t>ի</w:t>
            </w:r>
            <w:r w:rsidRPr="0053423A">
              <w:rPr>
                <w:b/>
                <w:u w:val="single"/>
                <w:lang w:val="af-ZA"/>
              </w:rPr>
              <w:t xml:space="preserve"> N2404-</w:t>
            </w:r>
            <w:r w:rsidRPr="0053423A">
              <w:rPr>
                <w:b/>
                <w:u w:val="single"/>
              </w:rPr>
              <w:t>Ն</w:t>
            </w:r>
            <w:r w:rsidRPr="0053423A">
              <w:rPr>
                <w:b/>
                <w:u w:val="single"/>
                <w:lang w:val="af-ZA"/>
              </w:rPr>
              <w:t xml:space="preserve"> </w:t>
            </w:r>
            <w:r w:rsidRPr="0053423A">
              <w:rPr>
                <w:b/>
                <w:u w:val="single"/>
              </w:rPr>
              <w:t>որոշումների</w:t>
            </w:r>
            <w:r w:rsidRPr="0053423A">
              <w:rPr>
                <w:b/>
                <w:u w:val="single"/>
                <w:lang w:val="af-ZA"/>
              </w:rPr>
              <w:t xml:space="preserve"> </w:t>
            </w:r>
            <w:r w:rsidRPr="0053423A">
              <w:rPr>
                <w:b/>
                <w:u w:val="single"/>
              </w:rPr>
              <w:t>մեջ</w:t>
            </w:r>
            <w:r w:rsidRPr="0053423A">
              <w:rPr>
                <w:b/>
                <w:u w:val="single"/>
                <w:lang w:val="af-ZA"/>
              </w:rPr>
              <w:t xml:space="preserve"> </w:t>
            </w:r>
            <w:r w:rsidRPr="0053423A">
              <w:rPr>
                <w:b/>
                <w:u w:val="single"/>
              </w:rPr>
              <w:t>փոփոխություններ</w:t>
            </w:r>
            <w:r w:rsidRPr="0053423A">
              <w:rPr>
                <w:b/>
                <w:u w:val="single"/>
                <w:lang w:val="af-ZA"/>
              </w:rPr>
              <w:t xml:space="preserve"> </w:t>
            </w:r>
            <w:r w:rsidRPr="0053423A">
              <w:rPr>
                <w:b/>
                <w:u w:val="single"/>
              </w:rPr>
              <w:t>կատարելու</w:t>
            </w:r>
            <w:r w:rsidRPr="0053423A">
              <w:rPr>
                <w:b/>
                <w:u w:val="single"/>
                <w:lang w:val="af-ZA"/>
              </w:rPr>
              <w:t xml:space="preserve"> </w:t>
            </w:r>
            <w:r w:rsidRPr="0053423A">
              <w:rPr>
                <w:b/>
                <w:u w:val="single"/>
              </w:rPr>
              <w:t>մասին</w:t>
            </w:r>
            <w:r w:rsidRPr="0053423A">
              <w:rPr>
                <w:b/>
                <w:u w:val="single"/>
                <w:lang w:val="af-ZA"/>
              </w:rPr>
              <w:t xml:space="preserve"> </w:t>
            </w:r>
            <w:r w:rsidRPr="0053423A">
              <w:rPr>
                <w:b/>
                <w:u w:val="single"/>
              </w:rPr>
              <w:t>ՀՀ</w:t>
            </w:r>
            <w:r w:rsidRPr="0053423A">
              <w:rPr>
                <w:b/>
                <w:u w:val="single"/>
                <w:lang w:val="af-ZA"/>
              </w:rPr>
              <w:t xml:space="preserve"> </w:t>
            </w:r>
            <w:r w:rsidRPr="0053423A">
              <w:rPr>
                <w:b/>
                <w:u w:val="single"/>
              </w:rPr>
              <w:t>կառավարության</w:t>
            </w:r>
            <w:r w:rsidRPr="0053423A">
              <w:rPr>
                <w:b/>
                <w:u w:val="single"/>
                <w:lang w:val="af-ZA"/>
              </w:rPr>
              <w:t xml:space="preserve"> </w:t>
            </w:r>
            <w:r w:rsidRPr="0053423A">
              <w:rPr>
                <w:b/>
                <w:u w:val="single"/>
              </w:rPr>
              <w:t>որոշման</w:t>
            </w:r>
            <w:r w:rsidRPr="0053423A">
              <w:rPr>
                <w:b/>
                <w:u w:val="single"/>
                <w:lang w:val="af-ZA"/>
              </w:rPr>
              <w:t xml:space="preserve"> </w:t>
            </w:r>
            <w:r w:rsidRPr="0053423A">
              <w:rPr>
                <w:rFonts w:cs="Sylfaen"/>
                <w:b/>
                <w:u w:val="single"/>
                <w:lang w:val="hy-AM"/>
              </w:rPr>
              <w:t>նախա</w:t>
            </w:r>
            <w:r w:rsidRPr="0053423A">
              <w:rPr>
                <w:rFonts w:cs="Sylfaen"/>
                <w:b/>
                <w:u w:val="single"/>
                <w:lang w:val="af-ZA"/>
              </w:rPr>
              <w:softHyphen/>
            </w:r>
            <w:r w:rsidRPr="0053423A">
              <w:rPr>
                <w:rFonts w:cs="Sylfaen"/>
                <w:b/>
                <w:u w:val="single"/>
                <w:lang w:val="hy-AM"/>
              </w:rPr>
              <w:t>գծի</w:t>
            </w:r>
            <w:r w:rsidRPr="0053423A">
              <w:rPr>
                <w:rFonts w:cs="Sylfaen"/>
                <w:b/>
                <w:u w:val="single"/>
                <w:lang w:val="af-ZA"/>
              </w:rPr>
              <w:t xml:space="preserve"> </w:t>
            </w:r>
            <w:r w:rsidRPr="0053423A">
              <w:rPr>
                <w:rFonts w:cs="Sylfaen"/>
                <w:b/>
                <w:u w:val="single"/>
                <w:lang w:val="hy-AM"/>
              </w:rPr>
              <w:t>ներկայացում</w:t>
            </w:r>
            <w:r w:rsidRPr="0053423A">
              <w:rPr>
                <w:rFonts w:cs="Sylfaen"/>
                <w:b/>
                <w:u w:val="single"/>
                <w:lang w:val="af-ZA"/>
              </w:rPr>
              <w:t xml:space="preserve"> </w:t>
            </w:r>
            <w:r w:rsidRPr="0053423A">
              <w:rPr>
                <w:rFonts w:cs="Sylfaen"/>
                <w:b/>
                <w:u w:val="single"/>
                <w:lang w:val="hy-AM"/>
              </w:rPr>
              <w:t>ՀՀ</w:t>
            </w:r>
            <w:r w:rsidRPr="0053423A">
              <w:rPr>
                <w:rFonts w:cs="Sylfaen"/>
                <w:b/>
                <w:u w:val="single"/>
                <w:lang w:val="af-ZA"/>
              </w:rPr>
              <w:t xml:space="preserve"> </w:t>
            </w:r>
            <w:r w:rsidRPr="0053423A">
              <w:rPr>
                <w:rFonts w:cs="Sylfaen"/>
                <w:b/>
                <w:u w:val="single"/>
                <w:lang w:val="hy-AM"/>
              </w:rPr>
              <w:t>վարչապետի</w:t>
            </w:r>
            <w:r w:rsidRPr="0053423A">
              <w:rPr>
                <w:rFonts w:cs="Sylfaen"/>
                <w:b/>
                <w:u w:val="single"/>
                <w:lang w:val="af-ZA"/>
              </w:rPr>
              <w:t xml:space="preserve"> </w:t>
            </w:r>
            <w:r w:rsidRPr="0053423A">
              <w:rPr>
                <w:rFonts w:cs="Sylfaen"/>
                <w:b/>
                <w:u w:val="single"/>
                <w:lang w:val="hy-AM"/>
              </w:rPr>
              <w:t>աշխատա</w:t>
            </w:r>
            <w:r w:rsidRPr="0053423A">
              <w:rPr>
                <w:rFonts w:cs="Sylfaen"/>
                <w:b/>
                <w:u w:val="single"/>
                <w:lang w:val="hy-AM"/>
              </w:rPr>
              <w:softHyphen/>
              <w:t>կազմ</w:t>
            </w:r>
          </w:p>
          <w:p w:rsidR="00D75F05" w:rsidRPr="0053423A" w:rsidRDefault="00D75F05" w:rsidP="00A67858">
            <w:pPr>
              <w:tabs>
                <w:tab w:val="left" w:pos="277"/>
              </w:tabs>
              <w:spacing w:line="276" w:lineRule="auto"/>
              <w:ind w:left="72"/>
              <w:jc w:val="center"/>
              <w:rPr>
                <w:b/>
                <w:u w:val="single"/>
                <w:lang w:val="af-ZA"/>
              </w:rPr>
            </w:pPr>
          </w:p>
          <w:p w:rsidR="00D75F05" w:rsidRPr="0053423A" w:rsidRDefault="00D75F05" w:rsidP="001F6D5D">
            <w:pPr>
              <w:pStyle w:val="ListParagraph1"/>
              <w:numPr>
                <w:ilvl w:val="0"/>
                <w:numId w:val="327"/>
              </w:numPr>
              <w:tabs>
                <w:tab w:val="left" w:pos="277"/>
                <w:tab w:val="left" w:pos="540"/>
              </w:tabs>
              <w:spacing w:after="0"/>
              <w:ind w:left="72" w:firstLine="0"/>
              <w:contextualSpacing w:val="0"/>
              <w:rPr>
                <w:rFonts w:ascii="GHEA Grapalat" w:hAnsi="GHEA Grapalat"/>
                <w:b/>
                <w:lang w:val="af-ZA"/>
              </w:rPr>
            </w:pP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tabs>
                <w:tab w:val="left" w:pos="277"/>
              </w:tabs>
              <w:spacing w:line="276" w:lineRule="auto"/>
              <w:ind w:left="72"/>
              <w:jc w:val="both"/>
              <w:rPr>
                <w:lang w:val="af-ZA"/>
              </w:rPr>
            </w:pPr>
            <w:r w:rsidRPr="0053423A">
              <w:t>Միջոցառման</w:t>
            </w:r>
            <w:r w:rsidRPr="0053423A">
              <w:rPr>
                <w:lang w:val="af-ZA"/>
              </w:rPr>
              <w:t xml:space="preserve"> </w:t>
            </w:r>
            <w:r w:rsidRPr="0053423A">
              <w:t>անհրաժեշտությունը</w:t>
            </w:r>
            <w:r w:rsidRPr="0053423A">
              <w:rPr>
                <w:lang w:val="af-ZA"/>
              </w:rPr>
              <w:t xml:space="preserve"> </w:t>
            </w:r>
            <w:r w:rsidRPr="0053423A">
              <w:t>բխում</w:t>
            </w:r>
            <w:r w:rsidRPr="0053423A">
              <w:rPr>
                <w:lang w:val="af-ZA"/>
              </w:rPr>
              <w:t xml:space="preserve"> </w:t>
            </w:r>
            <w:r w:rsidRPr="0053423A">
              <w:t>է</w:t>
            </w:r>
            <w:r w:rsidRPr="0053423A">
              <w:rPr>
                <w:lang w:val="af-ZA"/>
              </w:rPr>
              <w:t xml:space="preserve"> </w:t>
            </w:r>
            <w:r w:rsidRPr="0053423A">
              <w:t>Նորմատիվ</w:t>
            </w:r>
            <w:r w:rsidRPr="0053423A">
              <w:rPr>
                <w:lang w:val="af-ZA"/>
              </w:rPr>
              <w:t xml:space="preserve"> </w:t>
            </w:r>
            <w:r w:rsidRPr="0053423A">
              <w:t>իրավական</w:t>
            </w:r>
            <w:r w:rsidRPr="0053423A">
              <w:rPr>
                <w:lang w:val="af-ZA"/>
              </w:rPr>
              <w:t xml:space="preserve"> </w:t>
            </w:r>
            <w:r w:rsidRPr="0053423A">
              <w:t>ակտերի</w:t>
            </w:r>
            <w:r w:rsidRPr="0053423A">
              <w:rPr>
                <w:lang w:val="af-ZA"/>
              </w:rPr>
              <w:t xml:space="preserve"> </w:t>
            </w:r>
            <w:r w:rsidRPr="0053423A">
              <w:t>մասին</w:t>
            </w:r>
            <w:r w:rsidRPr="0053423A">
              <w:rPr>
                <w:lang w:val="af-ZA"/>
              </w:rPr>
              <w:t xml:space="preserve">             </w:t>
            </w:r>
            <w:r w:rsidRPr="0053423A">
              <w:t>ՀՀ</w:t>
            </w:r>
            <w:r w:rsidRPr="0053423A">
              <w:rPr>
                <w:lang w:val="af-ZA"/>
              </w:rPr>
              <w:t xml:space="preserve"> </w:t>
            </w:r>
            <w:r w:rsidRPr="0053423A">
              <w:t>օրենքի</w:t>
            </w:r>
            <w:r w:rsidRPr="0053423A">
              <w:rPr>
                <w:lang w:val="af-ZA"/>
              </w:rPr>
              <w:t xml:space="preserve"> 34-</w:t>
            </w:r>
            <w:r w:rsidRPr="0053423A">
              <w:t>րդ</w:t>
            </w:r>
            <w:r w:rsidRPr="0053423A">
              <w:rPr>
                <w:lang w:val="af-ZA"/>
              </w:rPr>
              <w:t xml:space="preserve"> </w:t>
            </w:r>
            <w:r w:rsidRPr="0053423A">
              <w:t>հոդվածի</w:t>
            </w:r>
            <w:r w:rsidRPr="0053423A">
              <w:rPr>
                <w:lang w:val="af-ZA"/>
              </w:rPr>
              <w:t>, </w:t>
            </w:r>
            <w:r w:rsidRPr="0053423A">
              <w:t>Քաղաքաշինության</w:t>
            </w:r>
            <w:r w:rsidRPr="0053423A">
              <w:rPr>
                <w:lang w:val="af-ZA"/>
              </w:rPr>
              <w:t xml:space="preserve"> </w:t>
            </w:r>
            <w:r w:rsidRPr="0053423A">
              <w:t>մասին</w:t>
            </w:r>
            <w:r w:rsidRPr="0053423A">
              <w:rPr>
                <w:lang w:val="af-ZA"/>
              </w:rPr>
              <w:t xml:space="preserve"> </w:t>
            </w:r>
            <w:r w:rsidRPr="0053423A">
              <w:t>ՀՀ</w:t>
            </w:r>
            <w:r w:rsidRPr="0053423A">
              <w:rPr>
                <w:lang w:val="af-ZA"/>
              </w:rPr>
              <w:t xml:space="preserve"> </w:t>
            </w:r>
            <w:r w:rsidRPr="0053423A">
              <w:t>օրենքի</w:t>
            </w:r>
            <w:r w:rsidRPr="0053423A">
              <w:rPr>
                <w:lang w:val="hy-AM"/>
              </w:rPr>
              <w:t xml:space="preserve"> </w:t>
            </w:r>
            <w:r w:rsidRPr="0053423A">
              <w:rPr>
                <w:lang w:val="af-ZA"/>
              </w:rPr>
              <w:t>3-</w:t>
            </w:r>
            <w:r w:rsidRPr="0053423A">
              <w:t>րդ</w:t>
            </w:r>
            <w:r w:rsidRPr="0053423A">
              <w:rPr>
                <w:lang w:val="af-ZA"/>
              </w:rPr>
              <w:t xml:space="preserve"> </w:t>
            </w:r>
            <w:r w:rsidRPr="0053423A">
              <w:t>մասի</w:t>
            </w:r>
            <w:r w:rsidRPr="0053423A">
              <w:rPr>
                <w:lang w:val="af-ZA"/>
              </w:rPr>
              <w:t xml:space="preserve"> </w:t>
            </w:r>
            <w:r w:rsidRPr="0053423A">
              <w:rPr>
                <w:lang w:val="hy-AM"/>
              </w:rPr>
              <w:t xml:space="preserve">6-րդ </w:t>
            </w:r>
            <w:r w:rsidRPr="0053423A">
              <w:t>կետի</w:t>
            </w:r>
            <w:r w:rsidRPr="0053423A">
              <w:rPr>
                <w:lang w:val="af-ZA"/>
              </w:rPr>
              <w:t xml:space="preserve"> </w:t>
            </w:r>
            <w:r w:rsidRPr="0053423A">
              <w:t>դրույթներից</w:t>
            </w:r>
            <w:r w:rsidRPr="0053423A">
              <w:rPr>
                <w:lang w:val="af-ZA"/>
              </w:rPr>
              <w:t xml:space="preserve"> </w:t>
            </w:r>
            <w:r w:rsidRPr="0053423A">
              <w:t>և</w:t>
            </w:r>
            <w:r w:rsidRPr="0053423A">
              <w:rPr>
                <w:lang w:val="af-ZA"/>
              </w:rPr>
              <w:t xml:space="preserve"> </w:t>
            </w:r>
            <w:r w:rsidRPr="0053423A">
              <w:t>նպատակն</w:t>
            </w:r>
            <w:r w:rsidRPr="0053423A">
              <w:rPr>
                <w:lang w:val="af-ZA"/>
              </w:rPr>
              <w:t xml:space="preserve"> </w:t>
            </w:r>
            <w:r w:rsidRPr="0053423A">
              <w:t>է</w:t>
            </w:r>
            <w:r w:rsidRPr="0053423A">
              <w:rPr>
                <w:lang w:val="af-ZA"/>
              </w:rPr>
              <w:t xml:space="preserve"> </w:t>
            </w:r>
            <w:r w:rsidRPr="0053423A">
              <w:rPr>
                <w:lang w:val="hy-AM"/>
              </w:rPr>
              <w:t>հատուկ կարգավորման օբյեկտներում քաղաքաշինական գործունեությ</w:t>
            </w:r>
            <w:r w:rsidRPr="0053423A">
              <w:t>ա</w:t>
            </w:r>
            <w:r w:rsidRPr="0053423A">
              <w:rPr>
                <w:lang w:val="hy-AM"/>
              </w:rPr>
              <w:t>ն</w:t>
            </w:r>
            <w:r w:rsidRPr="0053423A">
              <w:rPr>
                <w:lang w:val="af-ZA"/>
              </w:rPr>
              <w:t xml:space="preserve"> </w:t>
            </w:r>
            <w:r w:rsidRPr="0053423A">
              <w:t>հստակեցումը</w:t>
            </w:r>
            <w:r w:rsidRPr="0053423A">
              <w:rPr>
                <w:lang w:val="hy-AM"/>
              </w:rPr>
              <w:t>։</w:t>
            </w:r>
            <w:r w:rsidRPr="0053423A">
              <w:rPr>
                <w:lang w:val="af-ZA"/>
              </w:rPr>
              <w:t xml:space="preserve"> </w:t>
            </w:r>
          </w:p>
          <w:p w:rsidR="00D75F05" w:rsidRPr="0053423A" w:rsidRDefault="00D75F05" w:rsidP="001F6D5D">
            <w:pPr>
              <w:pStyle w:val="ListParagraph"/>
              <w:numPr>
                <w:ilvl w:val="1"/>
                <w:numId w:val="328"/>
              </w:numPr>
              <w:tabs>
                <w:tab w:val="left" w:pos="277"/>
                <w:tab w:val="left" w:pos="360"/>
              </w:tabs>
              <w:spacing w:line="276" w:lineRule="auto"/>
              <w:ind w:left="72" w:firstLine="0"/>
              <w:jc w:val="both"/>
              <w:rPr>
                <w:b/>
                <w:lang w:val="hy-AM"/>
              </w:rPr>
            </w:pPr>
            <w:r w:rsidRPr="0053423A">
              <w:rPr>
                <w:b/>
                <w:lang w:val="hy-AM"/>
              </w:rPr>
              <w:t>Կարգավորման հարաբերությունների ներկա վիճակը և առկա խնդիրները</w:t>
            </w:r>
          </w:p>
          <w:p w:rsidR="00D75F05" w:rsidRPr="0053423A" w:rsidRDefault="00D75F05" w:rsidP="00A67858">
            <w:pPr>
              <w:pStyle w:val="ListParagraph"/>
              <w:tabs>
                <w:tab w:val="left" w:pos="277"/>
              </w:tabs>
              <w:spacing w:line="276" w:lineRule="auto"/>
              <w:ind w:left="72"/>
              <w:jc w:val="both"/>
              <w:rPr>
                <w:lang w:val="hy-AM"/>
              </w:rPr>
            </w:pPr>
            <w:r w:rsidRPr="0053423A">
              <w:rPr>
                <w:lang w:val="hy-AM"/>
              </w:rPr>
              <w:t xml:space="preserve">Քաղաքաշինական գործունեության հատուկ կարգավորման օբյեկտներում քաղաքաշինական գործունեության համակարգման փորձը և խնդիրների վերլուծությունը ցույց են տալիս, որ կան որոշակի խնդիրներ՝ կապված քաղաքաշինական գործունեության հատուկ կարգավորման օբյեկտների քաղաքաշինական փաստաթղթերի մշակման համար պատասխանատուների, փաստաթղթերի կազմին և բովանդակությանը ներկայացվող պահանջների, համաձայնեցման ներկայացվող փաստաթղթերի սպառիչ ցանկի սահմանման հետ: </w:t>
            </w:r>
          </w:p>
          <w:p w:rsidR="00D75F05" w:rsidRPr="0053423A" w:rsidRDefault="00D75F05" w:rsidP="001F6D5D">
            <w:pPr>
              <w:pStyle w:val="ListParagraph"/>
              <w:numPr>
                <w:ilvl w:val="1"/>
                <w:numId w:val="328"/>
              </w:numPr>
              <w:tabs>
                <w:tab w:val="left" w:pos="277"/>
              </w:tabs>
              <w:spacing w:line="276" w:lineRule="auto"/>
              <w:ind w:left="72" w:firstLine="0"/>
              <w:jc w:val="both"/>
              <w:rPr>
                <w:b/>
              </w:rPr>
            </w:pPr>
            <w:r w:rsidRPr="0053423A">
              <w:rPr>
                <w:b/>
                <w:lang w:val="hy-AM"/>
              </w:rPr>
              <w:t>Առկա</w:t>
            </w:r>
            <w:r w:rsidRPr="0053423A">
              <w:rPr>
                <w:b/>
                <w:lang w:val="en-US"/>
              </w:rPr>
              <w:t xml:space="preserve"> </w:t>
            </w:r>
            <w:r w:rsidRPr="0053423A">
              <w:rPr>
                <w:b/>
                <w:lang w:val="hy-AM"/>
              </w:rPr>
              <w:t>խնդիրների</w:t>
            </w:r>
            <w:r w:rsidRPr="0053423A">
              <w:rPr>
                <w:b/>
                <w:lang w:val="en-US"/>
              </w:rPr>
              <w:t xml:space="preserve"> </w:t>
            </w:r>
            <w:r w:rsidRPr="0053423A">
              <w:rPr>
                <w:b/>
                <w:lang w:val="hy-AM"/>
              </w:rPr>
              <w:t>առաջարկվող</w:t>
            </w:r>
            <w:r w:rsidRPr="0053423A">
              <w:rPr>
                <w:b/>
                <w:lang w:val="en-US"/>
              </w:rPr>
              <w:t xml:space="preserve"> </w:t>
            </w:r>
            <w:r w:rsidRPr="0053423A">
              <w:rPr>
                <w:b/>
                <w:lang w:val="hy-AM"/>
              </w:rPr>
              <w:t>լուծումները</w:t>
            </w:r>
          </w:p>
          <w:p w:rsidR="00D75F05" w:rsidRPr="0053423A" w:rsidRDefault="00D75F05" w:rsidP="00A67858">
            <w:pPr>
              <w:pStyle w:val="ListParagraph"/>
              <w:tabs>
                <w:tab w:val="left" w:pos="277"/>
              </w:tabs>
              <w:spacing w:line="276" w:lineRule="auto"/>
              <w:ind w:left="72"/>
              <w:jc w:val="both"/>
              <w:rPr>
                <w:lang w:val="hy-AM"/>
              </w:rPr>
            </w:pPr>
            <w:r w:rsidRPr="0053423A">
              <w:rPr>
                <w:lang w:val="en-US"/>
              </w:rPr>
              <w:t>Վ</w:t>
            </w:r>
            <w:r w:rsidRPr="0053423A">
              <w:rPr>
                <w:lang w:val="hy-AM"/>
              </w:rPr>
              <w:t>երանայել կամ լրաց</w:t>
            </w:r>
            <w:r w:rsidRPr="0053423A">
              <w:rPr>
                <w:lang w:val="en-US"/>
              </w:rPr>
              <w:t>ն</w:t>
            </w:r>
            <w:r w:rsidRPr="0053423A">
              <w:rPr>
                <w:lang w:val="hy-AM"/>
              </w:rPr>
              <w:t>ել քաղաքաշինական գործունեության հատուկ կարգավորման օբյեկտների քաղաքաշինական փաստաթղթերին վերաբերող դրույթները, համաձայնեցման պահանջները և համաձայնեցման ներկայացող փաստաթղթերի ցանկերը, հստակ</w:t>
            </w:r>
            <w:r w:rsidRPr="0053423A">
              <w:rPr>
                <w:lang w:val="en-US"/>
              </w:rPr>
              <w:t>եցնել</w:t>
            </w:r>
            <w:r w:rsidRPr="0053423A">
              <w:t xml:space="preserve">, </w:t>
            </w:r>
            <w:r w:rsidRPr="0053423A">
              <w:rPr>
                <w:lang w:val="en-US"/>
              </w:rPr>
              <w:t>թե</w:t>
            </w:r>
            <w:r w:rsidRPr="0053423A">
              <w:rPr>
                <w:lang w:val="hy-AM"/>
              </w:rPr>
              <w:t xml:space="preserve"> որ օբյեկտների վրա են տարածվում</w:t>
            </w:r>
            <w:r w:rsidRPr="0053423A">
              <w:t xml:space="preserve"> </w:t>
            </w:r>
            <w:r w:rsidRPr="0053423A">
              <w:rPr>
                <w:lang w:val="hy-AM"/>
              </w:rPr>
              <w:t>ՀՀ կառավարության 2009 թվականի հունիսի 26- ի N792-Ն և 2005 թվականի դեկտեմբերի 29-ի N2404-Ն որոշումները, իրականաց</w:t>
            </w:r>
            <w:r w:rsidRPr="0053423A">
              <w:rPr>
                <w:lang w:val="en-US"/>
              </w:rPr>
              <w:t>ն</w:t>
            </w:r>
            <w:r w:rsidRPr="0053423A">
              <w:rPr>
                <w:lang w:val="hy-AM"/>
              </w:rPr>
              <w:t>ել են նաև այլ</w:t>
            </w:r>
            <w:r w:rsidRPr="0053423A">
              <w:t xml:space="preserve"> </w:t>
            </w:r>
            <w:r w:rsidRPr="0053423A">
              <w:rPr>
                <w:lang w:val="en-US"/>
              </w:rPr>
              <w:t>ճշգրտումներ</w:t>
            </w:r>
            <w:r w:rsidRPr="0053423A">
              <w:rPr>
                <w:lang w:val="hy-AM"/>
              </w:rPr>
              <w:t>:</w:t>
            </w:r>
          </w:p>
          <w:p w:rsidR="00D75F05" w:rsidRPr="0053423A" w:rsidRDefault="00D75F05" w:rsidP="001F6D5D">
            <w:pPr>
              <w:pStyle w:val="ListParagraph"/>
              <w:numPr>
                <w:ilvl w:val="0"/>
                <w:numId w:val="327"/>
              </w:numPr>
              <w:tabs>
                <w:tab w:val="left" w:pos="277"/>
              </w:tabs>
              <w:spacing w:line="276" w:lineRule="auto"/>
              <w:ind w:left="72" w:firstLine="0"/>
              <w:jc w:val="both"/>
              <w:rPr>
                <w:b/>
                <w:lang w:val="hy-AM"/>
              </w:rPr>
            </w:pPr>
            <w:r w:rsidRPr="0053423A">
              <w:rPr>
                <w:b/>
                <w:lang w:val="hy-AM"/>
              </w:rPr>
              <w:t>Միջոցառման</w:t>
            </w:r>
            <w:r w:rsidRPr="0053423A">
              <w:rPr>
                <w:b/>
                <w:lang w:val="en-US"/>
              </w:rPr>
              <w:t xml:space="preserve"> </w:t>
            </w:r>
            <w:r w:rsidRPr="0053423A">
              <w:rPr>
                <w:b/>
                <w:lang w:val="hy-AM"/>
              </w:rPr>
              <w:t>իրականացումից</w:t>
            </w:r>
            <w:r w:rsidRPr="0053423A">
              <w:rPr>
                <w:b/>
                <w:lang w:val="en-US"/>
              </w:rPr>
              <w:t xml:space="preserve"> </w:t>
            </w:r>
            <w:r w:rsidRPr="0053423A">
              <w:rPr>
                <w:b/>
                <w:lang w:val="hy-AM"/>
              </w:rPr>
              <w:t>ակնկալվող</w:t>
            </w:r>
            <w:r w:rsidRPr="0053423A">
              <w:rPr>
                <w:b/>
                <w:lang w:val="en-US"/>
              </w:rPr>
              <w:t xml:space="preserve"> </w:t>
            </w:r>
            <w:r w:rsidRPr="0053423A">
              <w:rPr>
                <w:b/>
                <w:lang w:val="hy-AM"/>
              </w:rPr>
              <w:t>արդյունքը</w:t>
            </w:r>
          </w:p>
          <w:p w:rsidR="00D75F05" w:rsidRPr="0053423A" w:rsidRDefault="00D75F05" w:rsidP="00A67858">
            <w:pPr>
              <w:tabs>
                <w:tab w:val="left" w:pos="277"/>
              </w:tabs>
              <w:spacing w:line="276" w:lineRule="auto"/>
              <w:ind w:left="72"/>
              <w:jc w:val="both"/>
              <w:rPr>
                <w:lang w:val="hy-AM"/>
              </w:rPr>
            </w:pPr>
            <w:r w:rsidRPr="0053423A">
              <w:rPr>
                <w:lang w:val="hy-AM"/>
              </w:rPr>
              <w:t>Որոշման նախագծի ընդունման արդյունքում կվերացվեն իրավական ակտերում առաջացած անհամապատասխանությունները, կկանոնակարգվեն հատուկ կարգավորման գոտիներում քաղաքաշինական գործունեությանը ներկայացվող պահանջները, գործընթացը կիրականացվի հստակ սահմանված պայմանների շրջանակներում:</w:t>
            </w:r>
          </w:p>
          <w:p w:rsidR="00D75F05" w:rsidRPr="0053423A" w:rsidRDefault="00D75F05" w:rsidP="00A67858">
            <w:pPr>
              <w:pStyle w:val="ListParagraph"/>
              <w:tabs>
                <w:tab w:val="left" w:pos="0"/>
                <w:tab w:val="left" w:pos="1080"/>
              </w:tabs>
              <w:spacing w:line="276" w:lineRule="auto"/>
              <w:ind w:left="72"/>
              <w:jc w:val="center"/>
              <w:rPr>
                <w:rFonts w:cs="Sylfaen"/>
                <w:b/>
                <w:lang w:val="hy-AM"/>
              </w:rPr>
            </w:pPr>
          </w:p>
        </w:tc>
      </w:tr>
      <w:tr w:rsidR="00D75F05" w:rsidRPr="00DE2EFA" w:rsidTr="00D75F05">
        <w:tc>
          <w:tcPr>
            <w:tcW w:w="450" w:type="dxa"/>
          </w:tcPr>
          <w:p w:rsidR="00D75F05" w:rsidRPr="0053423A" w:rsidRDefault="00D75F05" w:rsidP="00A67858">
            <w:pPr>
              <w:pStyle w:val="ListParagraph"/>
              <w:spacing w:line="276" w:lineRule="auto"/>
              <w:ind w:left="0"/>
              <w:rPr>
                <w:rFonts w:cs="Sylfaen"/>
                <w:b/>
                <w:lang w:val="hy-AM"/>
              </w:rPr>
            </w:pPr>
            <w:r w:rsidRPr="0053423A">
              <w:rPr>
                <w:rFonts w:cs="Sylfaen"/>
                <w:b/>
                <w:lang w:val="hy-AM"/>
              </w:rPr>
              <w:t>3</w:t>
            </w:r>
          </w:p>
        </w:tc>
        <w:tc>
          <w:tcPr>
            <w:tcW w:w="11160" w:type="dxa"/>
          </w:tcPr>
          <w:p w:rsidR="00D75F05" w:rsidRPr="0053423A" w:rsidRDefault="00D75F05" w:rsidP="00A67858">
            <w:pPr>
              <w:spacing w:line="276" w:lineRule="auto"/>
              <w:ind w:left="7"/>
              <w:jc w:val="center"/>
              <w:rPr>
                <w:b/>
                <w:lang w:val="af-ZA"/>
              </w:rPr>
            </w:pPr>
            <w:r w:rsidRPr="0053423A">
              <w:rPr>
                <w:b/>
                <w:lang w:val="hy-AM"/>
              </w:rPr>
              <w:t>Կ</w:t>
            </w:r>
            <w:r w:rsidRPr="0053423A">
              <w:rPr>
                <w:b/>
                <w:lang w:val="af-ZA"/>
              </w:rPr>
              <w:t>առուցապատման նպատակով թույլտվությունների</w:t>
            </w:r>
          </w:p>
          <w:p w:rsidR="00D75F05" w:rsidRPr="0053423A" w:rsidRDefault="00D75F05" w:rsidP="00A67858">
            <w:pPr>
              <w:spacing w:line="276" w:lineRule="auto"/>
              <w:ind w:left="7"/>
              <w:jc w:val="center"/>
              <w:rPr>
                <w:b/>
                <w:lang w:val="af-ZA"/>
              </w:rPr>
            </w:pPr>
            <w:r w:rsidRPr="0053423A">
              <w:rPr>
                <w:b/>
                <w:lang w:val="af-ZA"/>
              </w:rPr>
              <w:t>տրամադրման գործընթացում էլեկտրոնային հարթակի  կիրառության ընդլայնում</w:t>
            </w:r>
          </w:p>
          <w:p w:rsidR="00D75F05" w:rsidRPr="0053423A" w:rsidRDefault="00D75F05" w:rsidP="00A67858">
            <w:pPr>
              <w:spacing w:line="276" w:lineRule="auto"/>
              <w:ind w:left="7"/>
              <w:jc w:val="center"/>
              <w:rPr>
                <w:b/>
                <w:lang w:val="af-ZA"/>
              </w:rPr>
            </w:pPr>
          </w:p>
          <w:p w:rsidR="00D75F05" w:rsidRPr="0053423A" w:rsidRDefault="00D75F05" w:rsidP="00A67858">
            <w:pPr>
              <w:spacing w:line="276" w:lineRule="auto"/>
              <w:ind w:left="7"/>
              <w:jc w:val="center"/>
              <w:rPr>
                <w:rFonts w:cs="Sylfaen"/>
                <w:b/>
                <w:u w:val="single"/>
                <w:lang w:val="hy-AM"/>
              </w:rPr>
            </w:pPr>
            <w:r w:rsidRPr="0053423A">
              <w:rPr>
                <w:b/>
                <w:u w:val="single"/>
                <w:lang w:val="af-ZA"/>
              </w:rPr>
              <w:t xml:space="preserve">3.1 Կառուցապատման թույլտվությունների էլեկտրոնային համակարգին անցնելու 2019-2021 թվականների ծրագիրը հաստատելու մասին ՀՀ կառավարության որոշման </w:t>
            </w:r>
            <w:r w:rsidRPr="0053423A">
              <w:rPr>
                <w:rFonts w:cs="Sylfaen"/>
                <w:b/>
                <w:u w:val="single"/>
                <w:lang w:val="hy-AM"/>
              </w:rPr>
              <w:t>նախա</w:t>
            </w:r>
            <w:r w:rsidRPr="0053423A">
              <w:rPr>
                <w:rFonts w:cs="Sylfaen"/>
                <w:b/>
                <w:u w:val="single"/>
                <w:lang w:val="af-ZA"/>
              </w:rPr>
              <w:softHyphen/>
            </w:r>
            <w:r w:rsidRPr="0053423A">
              <w:rPr>
                <w:rFonts w:cs="Sylfaen"/>
                <w:b/>
                <w:u w:val="single"/>
                <w:lang w:val="hy-AM"/>
              </w:rPr>
              <w:t>գծի</w:t>
            </w:r>
            <w:r w:rsidRPr="0053423A">
              <w:rPr>
                <w:rFonts w:cs="Sylfaen"/>
                <w:b/>
                <w:u w:val="single"/>
                <w:lang w:val="af-ZA"/>
              </w:rPr>
              <w:t xml:space="preserve"> </w:t>
            </w:r>
            <w:r w:rsidRPr="0053423A">
              <w:rPr>
                <w:rFonts w:cs="Sylfaen"/>
                <w:b/>
                <w:u w:val="single"/>
                <w:lang w:val="hy-AM"/>
              </w:rPr>
              <w:t>ներկայացում</w:t>
            </w:r>
            <w:r w:rsidRPr="0053423A">
              <w:rPr>
                <w:rFonts w:cs="Sylfaen"/>
                <w:b/>
                <w:u w:val="single"/>
                <w:lang w:val="af-ZA"/>
              </w:rPr>
              <w:t xml:space="preserve"> </w:t>
            </w:r>
            <w:r w:rsidRPr="0053423A">
              <w:rPr>
                <w:rFonts w:cs="Sylfaen"/>
                <w:b/>
                <w:u w:val="single"/>
                <w:lang w:val="hy-AM"/>
              </w:rPr>
              <w:t>ՀՀ</w:t>
            </w:r>
            <w:r w:rsidRPr="0053423A">
              <w:rPr>
                <w:rFonts w:cs="Sylfaen"/>
                <w:b/>
                <w:u w:val="single"/>
                <w:lang w:val="af-ZA"/>
              </w:rPr>
              <w:t xml:space="preserve"> </w:t>
            </w:r>
            <w:r w:rsidRPr="0053423A">
              <w:rPr>
                <w:rFonts w:cs="Sylfaen"/>
                <w:b/>
                <w:u w:val="single"/>
                <w:lang w:val="hy-AM"/>
              </w:rPr>
              <w:t>վարչապետի</w:t>
            </w:r>
            <w:r w:rsidRPr="0053423A">
              <w:rPr>
                <w:rFonts w:cs="Sylfaen"/>
                <w:b/>
                <w:u w:val="single"/>
                <w:lang w:val="af-ZA"/>
              </w:rPr>
              <w:t xml:space="preserve"> </w:t>
            </w:r>
            <w:r w:rsidRPr="0053423A">
              <w:rPr>
                <w:rFonts w:cs="Sylfaen"/>
                <w:b/>
                <w:u w:val="single"/>
                <w:lang w:val="hy-AM"/>
              </w:rPr>
              <w:t>աշխատա</w:t>
            </w:r>
            <w:r w:rsidRPr="0053423A">
              <w:rPr>
                <w:rFonts w:cs="Sylfaen"/>
                <w:b/>
                <w:u w:val="single"/>
                <w:lang w:val="hy-AM"/>
              </w:rPr>
              <w:softHyphen/>
              <w:t>կազմ</w:t>
            </w:r>
          </w:p>
          <w:p w:rsidR="00D75F05" w:rsidRPr="0053423A" w:rsidRDefault="00D75F05" w:rsidP="00A67858">
            <w:pPr>
              <w:spacing w:line="276" w:lineRule="auto"/>
              <w:ind w:left="7"/>
              <w:jc w:val="center"/>
              <w:rPr>
                <w:b/>
                <w:u w:val="single"/>
                <w:lang w:val="af-ZA"/>
              </w:rPr>
            </w:pPr>
          </w:p>
          <w:p w:rsidR="00D75F05" w:rsidRPr="0053423A" w:rsidRDefault="00D75F05" w:rsidP="00A67858">
            <w:pPr>
              <w:spacing w:line="276" w:lineRule="auto"/>
              <w:ind w:left="7"/>
              <w:rPr>
                <w:b/>
                <w:highlight w:val="yellow"/>
                <w:lang w:val="af-ZA"/>
              </w:rPr>
            </w:pPr>
          </w:p>
          <w:p w:rsidR="00D75F05" w:rsidRPr="0053423A" w:rsidRDefault="00D75F05" w:rsidP="001F6D5D">
            <w:pPr>
              <w:pStyle w:val="ListParagraph1"/>
              <w:numPr>
                <w:ilvl w:val="0"/>
                <w:numId w:val="329"/>
              </w:numPr>
              <w:tabs>
                <w:tab w:val="left" w:pos="270"/>
              </w:tabs>
              <w:spacing w:after="0"/>
              <w:ind w:left="7" w:firstLine="0"/>
              <w:contextualSpacing w:val="0"/>
              <w:rPr>
                <w:rFonts w:ascii="GHEA Grapalat" w:hAnsi="GHEA Grapalat"/>
                <w:b/>
              </w:rPr>
            </w:pP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spacing w:line="276" w:lineRule="auto"/>
              <w:ind w:left="7"/>
              <w:jc w:val="both"/>
              <w:rPr>
                <w:lang w:val="af-ZA"/>
              </w:rPr>
            </w:pPr>
            <w:r w:rsidRPr="0053423A">
              <w:rPr>
                <w:lang w:val="af-ZA"/>
              </w:rPr>
              <w:t>Միջոցառման անհրաժեշտությունը բխում է Հայաստանի Հանրապետության կառավարության ծրագրին հավանություն տալու մասին ՀՀ օրենքի (14.02.2019թ. NԱԺՈ-002-Ն) 3.2 ՀԱՆՐԱՅԻՆ ԿԱՌԱՎԱՐՈՒՄԸ բաժնի վերջին պարբերության դրույթներից և նպատակն է՝ կառուցապատման ընթացակարգերի կանոնակարգումը՝ ուղղված ամբողջ գործընթացի, իրավասու մարմինների վարչարարության, թույլտվությունների, եզրակացությունների տրամադրման կարգերի պարզեցմանը, հայեցողական լիազորությունների հստակեցմանը:</w:t>
            </w:r>
          </w:p>
          <w:p w:rsidR="00D75F05" w:rsidRPr="0053423A" w:rsidRDefault="00D75F05" w:rsidP="001F6D5D">
            <w:pPr>
              <w:pStyle w:val="ListParagraph"/>
              <w:numPr>
                <w:ilvl w:val="1"/>
                <w:numId w:val="330"/>
              </w:numPr>
              <w:tabs>
                <w:tab w:val="left" w:pos="-284"/>
                <w:tab w:val="left" w:pos="450"/>
              </w:tabs>
              <w:spacing w:line="276" w:lineRule="auto"/>
              <w:ind w:left="7" w:firstLine="0"/>
              <w:jc w:val="both"/>
              <w:rPr>
                <w:b/>
                <w:lang w:val="hy-AM"/>
              </w:rPr>
            </w:pPr>
            <w:r w:rsidRPr="0053423A">
              <w:rPr>
                <w:b/>
                <w:lang w:val="hy-AM"/>
              </w:rPr>
              <w:t>Կարգավորման հարաբերությունների ներկա վիճակը և առկա խնդիրները</w:t>
            </w:r>
          </w:p>
          <w:p w:rsidR="00D75F05" w:rsidRPr="0053423A" w:rsidRDefault="00D75F05" w:rsidP="00A67858">
            <w:pPr>
              <w:pStyle w:val="ListParagraph"/>
              <w:tabs>
                <w:tab w:val="left" w:pos="0"/>
              </w:tabs>
              <w:spacing w:line="276" w:lineRule="auto"/>
              <w:ind w:left="7"/>
              <w:jc w:val="both"/>
              <w:rPr>
                <w:lang w:val="hy-AM"/>
              </w:rPr>
            </w:pPr>
            <w:r w:rsidRPr="0053423A">
              <w:rPr>
                <w:lang w:val="hy-AM"/>
              </w:rPr>
              <w:t xml:space="preserve">Ներկայումս գործող ընթացակարգի համաձայն ճարտարապետահատակագծային առաջադրանքի (այսուհետ՝ ՃՀԱ) հետ միասին իրավասու մարմինը (համայնքի ղեկավար) կառուցապատողին պետք է տրամադրի նաև մատակարար կազմակերպություններից ստացված ինժեներական ենթակառուցվածքին միանալու տեխնիկական պայմանները: Գործնականում՝ նշվածը մեկ քայլով չի իրականացվում և ՃՀԱ ստանալուց հետո, կառուցապատողները ստիպված են լինում ինքնուրույն դիմել մատակարար կազմակերպություններ՝  տեխնիկական պայմանները հստակեցնելու, ինժեներական ենթակառուցվածքի արտաքին գծերի ուղեգծերը համաձայնեցնելու, ինչպես նաև յուրաքանչյուր ուղեգիծը նաև այլ մատակարար կազմակեպությունների և իրավասու մարմնի հետ: </w:t>
            </w:r>
          </w:p>
          <w:p w:rsidR="00D75F05" w:rsidRPr="0053423A" w:rsidRDefault="00D75F05" w:rsidP="00A67858">
            <w:pPr>
              <w:pStyle w:val="ListParagraph"/>
              <w:tabs>
                <w:tab w:val="left" w:pos="0"/>
              </w:tabs>
              <w:spacing w:line="276" w:lineRule="auto"/>
              <w:ind w:left="7"/>
              <w:jc w:val="both"/>
              <w:rPr>
                <w:lang w:val="hy-AM"/>
              </w:rPr>
            </w:pPr>
            <w:r w:rsidRPr="0053423A">
              <w:rPr>
                <w:lang w:val="hy-AM"/>
              </w:rPr>
              <w:t>2016-2017 թվականներին գործարկվել է կառուցապատման թույլտվությունների տրամադրման էլեկտրոնային e-permits համակարգը, որի ռացիոնալ, արագ և թափանցիկ գործելու, միաժամանակյա համաձայնեցումներ ստանալու և թվային միջավայրում բացվող բազմաթիվ այլ  հնարավորությունները պրակտիկորեն չեն օգտագործվում, քանի որ առցանց գործելու ընտրությունը թողնված է կառուցապատողի հայեցողությանը:</w:t>
            </w:r>
          </w:p>
          <w:p w:rsidR="00D75F05" w:rsidRPr="0053423A" w:rsidRDefault="00D75F05" w:rsidP="00A67858">
            <w:pPr>
              <w:pStyle w:val="ListParagraph"/>
              <w:tabs>
                <w:tab w:val="left" w:pos="0"/>
              </w:tabs>
              <w:spacing w:line="276" w:lineRule="auto"/>
              <w:ind w:left="7"/>
              <w:jc w:val="both"/>
              <w:rPr>
                <w:b/>
                <w:lang w:val="hy-AM"/>
              </w:rPr>
            </w:pPr>
            <w:r w:rsidRPr="0053423A">
              <w:rPr>
                <w:b/>
                <w:lang w:val="hy-AM"/>
              </w:rPr>
              <w:t>1.2 Առկա խնդիրների առաջարկվող լուծումները</w:t>
            </w:r>
          </w:p>
          <w:p w:rsidR="00D75F05" w:rsidRPr="0053423A" w:rsidRDefault="00D75F05" w:rsidP="00A67858">
            <w:pPr>
              <w:pStyle w:val="ListParagraph"/>
              <w:tabs>
                <w:tab w:val="left" w:pos="0"/>
              </w:tabs>
              <w:spacing w:line="276" w:lineRule="auto"/>
              <w:ind w:left="7"/>
              <w:jc w:val="both"/>
              <w:rPr>
                <w:lang w:val="hy-AM"/>
              </w:rPr>
            </w:pPr>
            <w:r w:rsidRPr="0053423A">
              <w:rPr>
                <w:lang w:val="hy-AM"/>
              </w:rPr>
              <w:t>Նախատեսում է գործառույթների զգալի մասը իրականացնել էլեկտրոնային եղանակով՝    e-permits միասնական համակարգի միջոցով, դիտարկելով այն որպես էլեկտրոնային Մեկ պատուհան, որում կգործեն ընթացակարգին մասնակից բոլոր մարմինները և կազմակերպությունները:</w:t>
            </w:r>
          </w:p>
          <w:p w:rsidR="00D75F05" w:rsidRPr="0053423A" w:rsidRDefault="00D75F05" w:rsidP="00A67858">
            <w:pPr>
              <w:tabs>
                <w:tab w:val="left" w:pos="0"/>
                <w:tab w:val="left" w:pos="360"/>
              </w:tabs>
              <w:spacing w:line="276" w:lineRule="auto"/>
              <w:ind w:left="7"/>
              <w:jc w:val="both"/>
              <w:rPr>
                <w:b/>
                <w:lang w:val="hy-AM" w:eastAsia="en-US"/>
              </w:rPr>
            </w:pPr>
            <w:r w:rsidRPr="0053423A">
              <w:rPr>
                <w:b/>
                <w:lang w:val="hy-AM" w:eastAsia="en-US"/>
              </w:rPr>
              <w:t>2. Միջոցառման իրականացումից ակնկալվող արդյունքը</w:t>
            </w:r>
          </w:p>
          <w:p w:rsidR="00D75F05" w:rsidRPr="0053423A" w:rsidRDefault="00D75F05" w:rsidP="00A67858">
            <w:pPr>
              <w:pStyle w:val="ListParagraph"/>
              <w:tabs>
                <w:tab w:val="left" w:pos="0"/>
              </w:tabs>
              <w:spacing w:line="276" w:lineRule="auto"/>
              <w:ind w:left="7"/>
              <w:jc w:val="both"/>
              <w:rPr>
                <w:lang w:val="hy-AM"/>
              </w:rPr>
            </w:pPr>
            <w:r w:rsidRPr="0053423A">
              <w:rPr>
                <w:lang w:val="hy-AM"/>
              </w:rPr>
              <w:t>Կառուցապատման թույլտվությունների էլեկտրոնային համակարգի անցումը կնպաստի հարմար, թափանցիկ գործելու միջավայրի (էլեկտրոնային Մեկ պատուհան) ստեղծմանը, որը հնարավորություն կտա մի կողմից ապահովել բոլոր մարմինների և կազմակերպությունների պահանջները, մյուս կողմից առցանց և միաժամանակյա գործելու շնորհիվ կկրճատի կառուցապատողների շփումները վերջիններիս հետ, կխնայի ժամանակը: Համակարգը թույլ կտա նաև իրականացնել գործընթացների մոնիթորինգը և կծառայի շինարարության բնագավառի միասնական տեղեկատվական շտեմարան:</w:t>
            </w:r>
          </w:p>
          <w:p w:rsidR="00D75F05" w:rsidRPr="0053423A" w:rsidRDefault="00D75F05" w:rsidP="00A67858">
            <w:pPr>
              <w:spacing w:line="276" w:lineRule="auto"/>
              <w:ind w:left="7"/>
              <w:rPr>
                <w:b/>
                <w:lang w:val="hy-AM"/>
              </w:rPr>
            </w:pPr>
          </w:p>
          <w:p w:rsidR="00D75F05" w:rsidRPr="0053423A" w:rsidRDefault="00D75F05" w:rsidP="00A67858">
            <w:pPr>
              <w:spacing w:line="276" w:lineRule="auto"/>
              <w:ind w:left="7"/>
              <w:jc w:val="center"/>
              <w:rPr>
                <w:b/>
                <w:u w:val="single"/>
                <w:lang w:val="af-ZA"/>
              </w:rPr>
            </w:pPr>
            <w:r w:rsidRPr="0053423A">
              <w:rPr>
                <w:b/>
                <w:u w:val="single"/>
                <w:lang w:val="af-ZA"/>
              </w:rPr>
              <w:t>3.2 ՀՀ կառավարության 2015 թվականի մարտի 19-ի N596-Ն որոշման</w:t>
            </w:r>
            <w:r w:rsidRPr="0053423A">
              <w:rPr>
                <w:b/>
                <w:u w:val="single"/>
                <w:lang w:val="hy-AM"/>
              </w:rPr>
              <w:t xml:space="preserve"> </w:t>
            </w:r>
            <w:r w:rsidRPr="0053423A">
              <w:rPr>
                <w:b/>
                <w:u w:val="single"/>
                <w:lang w:val="af-ZA"/>
              </w:rPr>
              <w:t>մեջ փոփոխություններ կատարելու մասին ՀՀ կառավարության որոշման նախագծի ներկայացում ՀՀ վարչապետի աշխատակազմ</w:t>
            </w:r>
          </w:p>
          <w:p w:rsidR="00D75F05" w:rsidRPr="0053423A" w:rsidRDefault="00D75F05" w:rsidP="00A67858">
            <w:pPr>
              <w:spacing w:line="276" w:lineRule="auto"/>
              <w:ind w:left="7"/>
              <w:jc w:val="center"/>
              <w:rPr>
                <w:b/>
                <w:u w:val="single"/>
                <w:lang w:val="af-ZA"/>
              </w:rPr>
            </w:pPr>
          </w:p>
          <w:p w:rsidR="00D75F05" w:rsidRPr="0053423A" w:rsidRDefault="00D75F05" w:rsidP="00A67858">
            <w:pPr>
              <w:spacing w:line="276" w:lineRule="auto"/>
              <w:ind w:left="7"/>
              <w:rPr>
                <w:b/>
                <w:lang w:val="af-ZA"/>
              </w:rPr>
            </w:pPr>
          </w:p>
          <w:p w:rsidR="00D75F05" w:rsidRPr="0053423A" w:rsidRDefault="00D75F05" w:rsidP="001F6D5D">
            <w:pPr>
              <w:pStyle w:val="ListParagraph1"/>
              <w:numPr>
                <w:ilvl w:val="0"/>
                <w:numId w:val="326"/>
              </w:numPr>
              <w:tabs>
                <w:tab w:val="left" w:pos="270"/>
                <w:tab w:val="left" w:pos="540"/>
                <w:tab w:val="left" w:pos="900"/>
              </w:tabs>
              <w:spacing w:after="0"/>
              <w:ind w:left="7" w:firstLine="0"/>
              <w:contextualSpacing w:val="0"/>
              <w:rPr>
                <w:rFonts w:ascii="GHEA Grapalat" w:hAnsi="GHEA Grapalat"/>
                <w:b/>
                <w:lang w:val="af-ZA"/>
              </w:rPr>
            </w:pP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spacing w:line="276" w:lineRule="auto"/>
              <w:ind w:left="7"/>
              <w:jc w:val="both"/>
              <w:rPr>
                <w:lang w:val="af-ZA"/>
              </w:rPr>
            </w:pPr>
            <w:r w:rsidRPr="0053423A">
              <w:rPr>
                <w:lang w:val="af-ZA"/>
              </w:rPr>
              <w:t>Միջոցառման անհրաժեշտությունը բխում է Հայաստանի Հանրապետության կառավարության ծրագրին հավանություն տալու մասին ՀՀ օրենքի (14.02.2019թ. NԱԺՈ-002-Ն) 3.2 ՀԱՆՐԱՅԻՆ ԿԱՌԱՎԱՐՈՒՄԸ բաժնի վերջին պարբերության, «Նորմատիվ ի</w:t>
            </w:r>
            <w:r w:rsidRPr="0053423A">
              <w:t>րավական</w:t>
            </w:r>
            <w:r w:rsidRPr="0053423A">
              <w:rPr>
                <w:lang w:val="af-ZA"/>
              </w:rPr>
              <w:t xml:space="preserve"> </w:t>
            </w:r>
            <w:r w:rsidRPr="0053423A">
              <w:t>ակտերի</w:t>
            </w:r>
            <w:r w:rsidRPr="0053423A">
              <w:rPr>
                <w:lang w:val="af-ZA"/>
              </w:rPr>
              <w:t xml:space="preserve"> </w:t>
            </w:r>
            <w:r w:rsidRPr="0053423A">
              <w:t>մասին</w:t>
            </w:r>
            <w:r w:rsidRPr="0053423A">
              <w:rPr>
                <w:lang w:val="af-ZA"/>
              </w:rPr>
              <w:t xml:space="preserve">» ՀՀ </w:t>
            </w:r>
            <w:r w:rsidRPr="0053423A">
              <w:t>օրենքի</w:t>
            </w:r>
            <w:r w:rsidRPr="0053423A">
              <w:rPr>
                <w:lang w:val="af-ZA"/>
              </w:rPr>
              <w:t xml:space="preserve"> 34-</w:t>
            </w:r>
            <w:r w:rsidRPr="0053423A">
              <w:t>րդ</w:t>
            </w:r>
            <w:r w:rsidRPr="0053423A">
              <w:rPr>
                <w:lang w:val="af-ZA"/>
              </w:rPr>
              <w:t xml:space="preserve"> </w:t>
            </w:r>
            <w:r w:rsidRPr="0053423A">
              <w:t>հոդվածի</w:t>
            </w:r>
            <w:r w:rsidRPr="0053423A">
              <w:rPr>
                <w:lang w:val="af-ZA"/>
              </w:rPr>
              <w:t xml:space="preserve"> դրույթներից </w:t>
            </w:r>
            <w:r w:rsidRPr="0053423A">
              <w:t>և</w:t>
            </w:r>
            <w:r w:rsidRPr="0053423A">
              <w:rPr>
                <w:lang w:val="af-ZA"/>
              </w:rPr>
              <w:t xml:space="preserve"> </w:t>
            </w:r>
            <w:r w:rsidRPr="0053423A">
              <w:rPr>
                <w:bCs/>
              </w:rPr>
              <w:t>նպատակն</w:t>
            </w:r>
            <w:r w:rsidRPr="0053423A">
              <w:rPr>
                <w:bCs/>
                <w:lang w:val="af-ZA"/>
              </w:rPr>
              <w:t xml:space="preserve"> </w:t>
            </w:r>
            <w:r w:rsidRPr="0053423A">
              <w:rPr>
                <w:bCs/>
              </w:rPr>
              <w:t>է</w:t>
            </w:r>
            <w:r w:rsidRPr="0053423A">
              <w:rPr>
                <w:bCs/>
                <w:lang w:val="af-ZA"/>
              </w:rPr>
              <w:t xml:space="preserve"> </w:t>
            </w:r>
            <w:r w:rsidRPr="0053423A">
              <w:t>կառուցապատման</w:t>
            </w:r>
            <w:r w:rsidRPr="0053423A">
              <w:rPr>
                <w:lang w:val="af-ZA"/>
              </w:rPr>
              <w:t xml:space="preserve"> </w:t>
            </w:r>
            <w:r w:rsidRPr="0053423A">
              <w:t>ընթացակարգերի</w:t>
            </w:r>
            <w:r w:rsidRPr="0053423A">
              <w:rPr>
                <w:lang w:val="af-ZA"/>
              </w:rPr>
              <w:t xml:space="preserve"> </w:t>
            </w:r>
            <w:r w:rsidRPr="0053423A">
              <w:t>կանոնակարգումն՝</w:t>
            </w:r>
            <w:r w:rsidRPr="0053423A">
              <w:rPr>
                <w:lang w:val="af-ZA"/>
              </w:rPr>
              <w:t xml:space="preserve"> </w:t>
            </w:r>
            <w:r w:rsidRPr="0053423A">
              <w:t>ուղղված</w:t>
            </w:r>
            <w:r w:rsidRPr="0053423A">
              <w:rPr>
                <w:lang w:val="af-ZA"/>
              </w:rPr>
              <w:t xml:space="preserve"> </w:t>
            </w:r>
            <w:r w:rsidRPr="0053423A">
              <w:t>ամբողջ</w:t>
            </w:r>
            <w:r w:rsidRPr="0053423A">
              <w:rPr>
                <w:lang w:val="af-ZA"/>
              </w:rPr>
              <w:t xml:space="preserve"> </w:t>
            </w:r>
            <w:r w:rsidRPr="0053423A">
              <w:t>գործընթացի</w:t>
            </w:r>
            <w:r w:rsidRPr="0053423A">
              <w:rPr>
                <w:lang w:val="af-ZA"/>
              </w:rPr>
              <w:t xml:space="preserve"> </w:t>
            </w:r>
            <w:r w:rsidRPr="0053423A">
              <w:t>հստակեցմանը</w:t>
            </w:r>
            <w:r w:rsidRPr="0053423A">
              <w:rPr>
                <w:lang w:val="af-ZA"/>
              </w:rPr>
              <w:t xml:space="preserve">, </w:t>
            </w:r>
            <w:r w:rsidRPr="0053423A">
              <w:t>իրավասու</w:t>
            </w:r>
            <w:r w:rsidRPr="0053423A">
              <w:rPr>
                <w:lang w:val="af-ZA"/>
              </w:rPr>
              <w:t xml:space="preserve"> </w:t>
            </w:r>
            <w:r w:rsidRPr="0053423A">
              <w:t>մարմինների</w:t>
            </w:r>
            <w:r w:rsidRPr="0053423A">
              <w:rPr>
                <w:lang w:val="af-ZA"/>
              </w:rPr>
              <w:t xml:space="preserve"> </w:t>
            </w:r>
            <w:r w:rsidRPr="0053423A">
              <w:t>վարչարարության</w:t>
            </w:r>
            <w:r w:rsidRPr="0053423A">
              <w:rPr>
                <w:lang w:val="af-ZA"/>
              </w:rPr>
              <w:t xml:space="preserve">, </w:t>
            </w:r>
            <w:r w:rsidRPr="0053423A">
              <w:t>թույլտվությունների</w:t>
            </w:r>
            <w:r w:rsidRPr="0053423A">
              <w:rPr>
                <w:lang w:val="af-ZA"/>
              </w:rPr>
              <w:t xml:space="preserve">, </w:t>
            </w:r>
            <w:r w:rsidRPr="0053423A">
              <w:t>եզրակացությունների</w:t>
            </w:r>
            <w:r w:rsidRPr="0053423A">
              <w:rPr>
                <w:lang w:val="af-ZA"/>
              </w:rPr>
              <w:t xml:space="preserve"> </w:t>
            </w:r>
            <w:r w:rsidRPr="0053423A">
              <w:t>տրամադրման</w:t>
            </w:r>
            <w:r w:rsidRPr="0053423A">
              <w:rPr>
                <w:lang w:val="af-ZA"/>
              </w:rPr>
              <w:t xml:space="preserve"> </w:t>
            </w:r>
            <w:r w:rsidRPr="0053423A">
              <w:t>կարգերի</w:t>
            </w:r>
            <w:r w:rsidRPr="0053423A">
              <w:rPr>
                <w:lang w:val="af-ZA"/>
              </w:rPr>
              <w:t xml:space="preserve"> </w:t>
            </w:r>
            <w:r w:rsidRPr="0053423A">
              <w:t>պարզեցմանը</w:t>
            </w:r>
            <w:r w:rsidRPr="0053423A">
              <w:rPr>
                <w:lang w:val="af-ZA"/>
              </w:rPr>
              <w:t xml:space="preserve">, </w:t>
            </w:r>
            <w:r w:rsidRPr="0053423A">
              <w:t>հայեցողական</w:t>
            </w:r>
            <w:r w:rsidRPr="0053423A">
              <w:rPr>
                <w:lang w:val="af-ZA"/>
              </w:rPr>
              <w:t xml:space="preserve"> </w:t>
            </w:r>
            <w:r w:rsidRPr="0053423A">
              <w:t>լիազորությունների</w:t>
            </w:r>
            <w:r w:rsidRPr="0053423A">
              <w:rPr>
                <w:lang w:val="af-ZA"/>
              </w:rPr>
              <w:t xml:space="preserve"> </w:t>
            </w:r>
            <w:r w:rsidRPr="0053423A">
              <w:t>հստակեցմանը</w:t>
            </w:r>
            <w:r w:rsidRPr="0053423A">
              <w:rPr>
                <w:lang w:val="af-ZA"/>
              </w:rPr>
              <w:t>:</w:t>
            </w:r>
          </w:p>
          <w:p w:rsidR="00D75F05" w:rsidRPr="0053423A" w:rsidRDefault="00D75F05" w:rsidP="001F6D5D">
            <w:pPr>
              <w:pStyle w:val="ListParagraph"/>
              <w:numPr>
                <w:ilvl w:val="1"/>
                <w:numId w:val="326"/>
              </w:numPr>
              <w:tabs>
                <w:tab w:val="left" w:pos="0"/>
                <w:tab w:val="left" w:pos="450"/>
              </w:tabs>
              <w:spacing w:line="276" w:lineRule="auto"/>
              <w:ind w:left="7" w:firstLine="0"/>
              <w:jc w:val="both"/>
              <w:rPr>
                <w:b/>
                <w:lang w:val="hy-AM"/>
              </w:rPr>
            </w:pPr>
            <w:r w:rsidRPr="0053423A">
              <w:rPr>
                <w:rFonts w:cs="Sylfaen"/>
                <w:b/>
                <w:lang w:val="hy-AM"/>
              </w:rPr>
              <w:t>Կարգավորման</w:t>
            </w:r>
            <w:r w:rsidRPr="0053423A">
              <w:rPr>
                <w:b/>
                <w:lang w:val="hy-AM"/>
              </w:rPr>
              <w:t xml:space="preserve"> </w:t>
            </w:r>
            <w:r w:rsidRPr="0053423A">
              <w:rPr>
                <w:rFonts w:cs="Sylfaen"/>
                <w:b/>
                <w:lang w:val="hy-AM"/>
              </w:rPr>
              <w:t>հարաբերությունների</w:t>
            </w:r>
            <w:r w:rsidRPr="0053423A">
              <w:rPr>
                <w:b/>
                <w:lang w:val="hy-AM"/>
              </w:rPr>
              <w:t xml:space="preserve"> </w:t>
            </w:r>
            <w:r w:rsidRPr="0053423A">
              <w:rPr>
                <w:rFonts w:cs="Sylfaen"/>
                <w:b/>
                <w:lang w:val="hy-AM"/>
              </w:rPr>
              <w:t>ներկա</w:t>
            </w:r>
            <w:r w:rsidRPr="0053423A">
              <w:rPr>
                <w:b/>
                <w:lang w:val="hy-AM"/>
              </w:rPr>
              <w:t xml:space="preserve"> </w:t>
            </w:r>
            <w:r w:rsidRPr="0053423A">
              <w:rPr>
                <w:rFonts w:cs="Sylfaen"/>
                <w:b/>
                <w:lang w:val="hy-AM"/>
              </w:rPr>
              <w:t>վիճակը</w:t>
            </w:r>
            <w:r w:rsidRPr="0053423A">
              <w:rPr>
                <w:b/>
                <w:lang w:val="hy-AM"/>
              </w:rPr>
              <w:t xml:space="preserve"> </w:t>
            </w:r>
            <w:r w:rsidRPr="0053423A">
              <w:rPr>
                <w:rFonts w:cs="Sylfaen"/>
                <w:b/>
                <w:lang w:val="hy-AM"/>
              </w:rPr>
              <w:t>և</w:t>
            </w:r>
            <w:r w:rsidRPr="0053423A">
              <w:rPr>
                <w:b/>
                <w:lang w:val="hy-AM"/>
              </w:rPr>
              <w:t xml:space="preserve"> </w:t>
            </w:r>
            <w:r w:rsidRPr="0053423A">
              <w:rPr>
                <w:rFonts w:cs="Sylfaen"/>
                <w:b/>
                <w:lang w:val="hy-AM"/>
              </w:rPr>
              <w:t>առկա</w:t>
            </w:r>
            <w:r w:rsidRPr="0053423A">
              <w:rPr>
                <w:b/>
                <w:lang w:val="hy-AM"/>
              </w:rPr>
              <w:t xml:space="preserve"> </w:t>
            </w:r>
            <w:r w:rsidRPr="0053423A">
              <w:rPr>
                <w:rFonts w:cs="Sylfaen"/>
                <w:b/>
                <w:lang w:val="hy-AM"/>
              </w:rPr>
              <w:t>խնդիրները</w:t>
            </w:r>
          </w:p>
          <w:p w:rsidR="00D75F05" w:rsidRPr="0053423A" w:rsidRDefault="00D75F05" w:rsidP="00A67858">
            <w:pPr>
              <w:tabs>
                <w:tab w:val="left" w:pos="-360"/>
              </w:tabs>
              <w:spacing w:line="276" w:lineRule="auto"/>
              <w:ind w:left="7"/>
              <w:jc w:val="both"/>
              <w:rPr>
                <w:rFonts w:cs="Sylfaen"/>
                <w:lang w:val="af-ZA" w:eastAsia="hy-AM"/>
              </w:rPr>
            </w:pPr>
            <w:r w:rsidRPr="0053423A">
              <w:rPr>
                <w:rFonts w:cs="Sylfaen"/>
                <w:lang w:val="af-ZA" w:eastAsia="hy-AM"/>
              </w:rPr>
              <w:t>Ներկայումս գործող ընթացակարգի համաձայն ճարտարապետահատակագծային առաջադրանքի (այսուհետ՝ ՃՀԱ) հետ միասին իրավասու մարմինը (համայնքի ղեկավար) կառուցապատողին պետք է տրամադրի նաև մատակարար կազմակերպություններից ստացված ինժեներական ենթակառուցվածքին միանալու տեխնիկական պայմանները: Գործնականում՝ նշվածը մեկ քայլով չի իրականացվում և, կառուցապատողները ստիպված են լինում ՃՀԱ ստանալուց հետո ինքնուրույն դիմել մատակարար կազմակերպություններ (</w:t>
            </w:r>
            <w:r w:rsidRPr="0053423A">
              <w:rPr>
                <w:color w:val="000000"/>
                <w:shd w:val="clear" w:color="auto" w:fill="FFFFFF"/>
                <w:lang w:val="hy-AM"/>
              </w:rPr>
              <w:t>«Հայաստանի էլեկտրական ցանցեր», «Գազպրոմ Արմենիա» և «Վեոլիա Ջուր» ՓԲԸ</w:t>
            </w:r>
            <w:r w:rsidRPr="0053423A">
              <w:rPr>
                <w:color w:val="000000"/>
                <w:shd w:val="clear" w:color="auto" w:fill="FFFFFF"/>
                <w:lang w:val="af-ZA"/>
              </w:rPr>
              <w:t>-</w:t>
            </w:r>
            <w:r w:rsidRPr="0053423A">
              <w:rPr>
                <w:color w:val="000000"/>
                <w:shd w:val="clear" w:color="auto" w:fill="FFFFFF"/>
                <w:lang w:val="hy-AM"/>
              </w:rPr>
              <w:t>ներ</w:t>
            </w:r>
            <w:r w:rsidRPr="0053423A">
              <w:rPr>
                <w:rFonts w:cs="Sylfaen"/>
                <w:lang w:val="af-ZA" w:eastAsia="hy-AM"/>
              </w:rPr>
              <w:t xml:space="preserve">)՝  տեխնիկական պայմանները հստակեցնելու, ինժեներական ենթակառուցվածքի արտաքին գծերի ուղեգծերը համաձայնեցնելու, ինչպես նաև յուրաքանչյուր ուղեգիծը նաև այլ մատակարար կազմակեպությունների և իրավասու մարմնի հետ: </w:t>
            </w:r>
          </w:p>
          <w:p w:rsidR="00D75F05" w:rsidRPr="0053423A" w:rsidRDefault="00D75F05" w:rsidP="00A67858">
            <w:pPr>
              <w:tabs>
                <w:tab w:val="left" w:pos="-360"/>
              </w:tabs>
              <w:spacing w:line="276" w:lineRule="auto"/>
              <w:ind w:left="7"/>
              <w:jc w:val="both"/>
              <w:rPr>
                <w:rFonts w:cs="Sylfaen"/>
                <w:lang w:val="af-ZA" w:eastAsia="hy-AM"/>
              </w:rPr>
            </w:pPr>
            <w:r w:rsidRPr="0053423A">
              <w:rPr>
                <w:rFonts w:cs="Sylfaen"/>
                <w:lang w:val="af-ZA" w:eastAsia="hy-AM"/>
              </w:rPr>
              <w:t>Դրա հետ մեկտեղ 2016-2017 թվականներին գործարկվել է կառուցապատման թույլտվությունների տրամադրման էլեկտրոնային e-permits համակարգը, որի ռացիոնալ, արագ և թափանցիկ գործելու, միաժամանակյա համաձայնեցումներ ստանալու և թվային միջավայրում բացվող բազմաթիվ այլ  հնարավորությունները պրակտիկորեն չեն օգտագործվում, քանի որ առցանց գործելու ընտրությունը թողնված է կառուցապատողի հայեցողությանը:</w:t>
            </w:r>
          </w:p>
          <w:p w:rsidR="00D75F05" w:rsidRPr="0053423A" w:rsidRDefault="00D75F05" w:rsidP="00A67858">
            <w:pPr>
              <w:tabs>
                <w:tab w:val="left" w:pos="-360"/>
              </w:tabs>
              <w:spacing w:line="276" w:lineRule="auto"/>
              <w:ind w:left="7"/>
              <w:jc w:val="both"/>
              <w:rPr>
                <w:rFonts w:cs="Sylfaen"/>
                <w:lang w:val="af-ZA" w:eastAsia="hy-AM"/>
              </w:rPr>
            </w:pPr>
            <w:r w:rsidRPr="0053423A">
              <w:rPr>
                <w:rFonts w:cs="Sylfaen"/>
                <w:lang w:val="af-ZA" w:eastAsia="hy-AM"/>
              </w:rPr>
              <w:t>Հաջորդ խնդիրն, որ բացահայտվել է բազմաթիվ քննարկումների և փաստացի իրավիճակի ուսումնասիրության արդյունքում հետևյալն է՝ հաճախ շինարարության թույլտվություններ են տրամադրվում ոչ լրիվ կազմով ներկայացվող նախագծերի հիման վրա, մասնավորապես՝ նախագծային փաստաթղթերը մշակվում են առանց ինժեներական ենթակառուցվածքին միանալու արտաքին գծերի նախագծային բաժինների, թողնելով նշվածը հետագայի համար՝ որպես առանձին գործընթաց յուրաքանչյուր մատակարար կազմակերպության կողմից իրականացվելու պայմանով: Վերջինս, բացի այն որ խախտում է գործող օրենսդրության պահանջները, առաջացնում է նաև բազմաթիվ խնդիրներ՝ կառուցված շենքի պահանջներին համապատասխան հզորություններ ապահովելու տեսանկյունից, ինչպես նաև մեկ կառույցի համար տրամադրվող շինարարության թույլտվությունները մեկի փոխարեն դառնում են մի քանիսը (մեկը՝ շենքի կառուցման համար, մյուսը արտաքին էլեկտրամատակարարման գծի անցկացման, մյուսը՝ ջրամատակարարման և ջրահեռացման արտաքին գծերի կառուցման համար և այլն):</w:t>
            </w:r>
          </w:p>
          <w:p w:rsidR="00D75F05" w:rsidRPr="0053423A" w:rsidRDefault="00D75F05" w:rsidP="001F6D5D">
            <w:pPr>
              <w:pStyle w:val="ListParagraph"/>
              <w:numPr>
                <w:ilvl w:val="1"/>
                <w:numId w:val="326"/>
              </w:numPr>
              <w:tabs>
                <w:tab w:val="left" w:pos="360"/>
              </w:tabs>
              <w:spacing w:line="276" w:lineRule="auto"/>
              <w:ind w:left="7" w:firstLine="0"/>
              <w:jc w:val="both"/>
              <w:rPr>
                <w:b/>
              </w:rPr>
            </w:pPr>
            <w:r w:rsidRPr="0053423A">
              <w:rPr>
                <w:b/>
                <w:lang w:val="hy-AM"/>
              </w:rPr>
              <w:t>Առկա</w:t>
            </w:r>
            <w:r w:rsidRPr="0053423A">
              <w:rPr>
                <w:b/>
                <w:lang w:val="en-US"/>
              </w:rPr>
              <w:t xml:space="preserve"> </w:t>
            </w:r>
            <w:r w:rsidRPr="0053423A">
              <w:rPr>
                <w:b/>
                <w:lang w:val="hy-AM"/>
              </w:rPr>
              <w:t>խնդիրների</w:t>
            </w:r>
            <w:r w:rsidRPr="0053423A">
              <w:rPr>
                <w:b/>
                <w:lang w:val="en-US"/>
              </w:rPr>
              <w:t xml:space="preserve"> </w:t>
            </w:r>
            <w:r w:rsidRPr="0053423A">
              <w:rPr>
                <w:b/>
                <w:lang w:val="hy-AM"/>
              </w:rPr>
              <w:t>առաջարկվող</w:t>
            </w:r>
            <w:r w:rsidRPr="0053423A">
              <w:rPr>
                <w:b/>
                <w:lang w:val="en-US"/>
              </w:rPr>
              <w:t xml:space="preserve"> </w:t>
            </w:r>
            <w:r w:rsidRPr="0053423A">
              <w:rPr>
                <w:b/>
                <w:lang w:val="hy-AM"/>
              </w:rPr>
              <w:t>լուծումները</w:t>
            </w:r>
          </w:p>
          <w:p w:rsidR="00D75F05" w:rsidRPr="0053423A" w:rsidRDefault="00D75F05" w:rsidP="00A67858">
            <w:pPr>
              <w:spacing w:line="276" w:lineRule="auto"/>
              <w:ind w:left="7"/>
              <w:jc w:val="both"/>
              <w:rPr>
                <w:rFonts w:cs="Sylfaen"/>
                <w:lang w:val="af-ZA" w:eastAsia="hy-AM"/>
              </w:rPr>
            </w:pPr>
            <w:r w:rsidRPr="0053423A">
              <w:rPr>
                <w:rFonts w:cs="Sylfaen"/>
                <w:lang w:val="af-ZA" w:eastAsia="hy-AM"/>
              </w:rPr>
              <w:t xml:space="preserve">ՀՀ կառավարության 2015 թվականի մարտի 19-ի N596-Ն որոշման մեջ փոփոխություններ կատարելու միջոցով նախատեսել նոր ընթացակարգ, որը նախատեսում է գործառույթների զգալի մասը իրականացնել էլեկտրոնային եղանակով՝ e-permits միասնական համակարգի միջոցով, դիտարկելով այն որպես էլեկտրոնային Մեկ պատուհան, որում կգործեն ընթացակարգին մասնակից բոլոր մարմինները և կազմակերպությունները: </w:t>
            </w:r>
          </w:p>
          <w:p w:rsidR="00D75F05" w:rsidRPr="0053423A" w:rsidRDefault="00D75F05" w:rsidP="001F6D5D">
            <w:pPr>
              <w:pStyle w:val="ListParagraph"/>
              <w:numPr>
                <w:ilvl w:val="0"/>
                <w:numId w:val="326"/>
              </w:numPr>
              <w:tabs>
                <w:tab w:val="left" w:pos="0"/>
                <w:tab w:val="left" w:pos="270"/>
                <w:tab w:val="left" w:pos="360"/>
              </w:tabs>
              <w:spacing w:line="276" w:lineRule="auto"/>
              <w:ind w:left="7" w:firstLine="0"/>
              <w:jc w:val="both"/>
              <w:rPr>
                <w:b/>
                <w:lang w:val="hy-AM"/>
              </w:rPr>
            </w:pPr>
            <w:r w:rsidRPr="0053423A">
              <w:rPr>
                <w:b/>
                <w:lang w:val="hy-AM"/>
              </w:rPr>
              <w:t>Միջոցառման</w:t>
            </w:r>
            <w:r w:rsidRPr="0053423A">
              <w:rPr>
                <w:b/>
                <w:lang w:val="en-US"/>
              </w:rPr>
              <w:t xml:space="preserve"> </w:t>
            </w:r>
            <w:r w:rsidRPr="0053423A">
              <w:rPr>
                <w:b/>
                <w:lang w:val="hy-AM"/>
              </w:rPr>
              <w:t>իրականացումից</w:t>
            </w:r>
            <w:r w:rsidRPr="0053423A">
              <w:rPr>
                <w:b/>
                <w:lang w:val="en-US"/>
              </w:rPr>
              <w:t xml:space="preserve"> </w:t>
            </w:r>
            <w:r w:rsidRPr="0053423A">
              <w:rPr>
                <w:b/>
                <w:lang w:val="hy-AM"/>
              </w:rPr>
              <w:t>ակնկալվող</w:t>
            </w:r>
            <w:r w:rsidRPr="0053423A">
              <w:rPr>
                <w:b/>
                <w:lang w:val="en-US"/>
              </w:rPr>
              <w:t xml:space="preserve"> </w:t>
            </w:r>
            <w:r w:rsidRPr="0053423A">
              <w:rPr>
                <w:b/>
                <w:lang w:val="hy-AM"/>
              </w:rPr>
              <w:t>արդյունքը</w:t>
            </w:r>
          </w:p>
          <w:p w:rsidR="00D75F05" w:rsidRPr="0053423A" w:rsidRDefault="00D75F05" w:rsidP="00A67858">
            <w:pPr>
              <w:spacing w:line="276" w:lineRule="auto"/>
              <w:ind w:left="7"/>
              <w:jc w:val="both"/>
              <w:rPr>
                <w:rFonts w:cs="Sylfaen"/>
                <w:b/>
                <w:lang w:val="af-ZA"/>
              </w:rPr>
            </w:pPr>
            <w:r w:rsidRPr="0053423A">
              <w:rPr>
                <w:rFonts w:cs="Sylfaen"/>
                <w:lang w:val="af-ZA" w:eastAsia="hy-AM"/>
              </w:rPr>
              <w:t>Որոշման ընդունման արդյունքում կկանոնակարգվեն կառուցապատման հիմնական փուլերի (ՃՀԱ-ի տրամադրում, նախագծի համաձայնեցում և շինարարության թույլտվության տրամադրում)  հետ կապված առկա խնդիրները, կստեղծվի հարմար, թափանցիկ գործելու միջավայր (էլեկտրոնային Մեկ պատուհան), որը հնարավորություն կտա մի կողմից ապահովել բոլոր մարմինների և կազմակերպությունների պահանջները, մյուս կողմից առցանց և միաժամանակյա գործելու շնորհիվ կկրճատի կառուցապատողների շփումները վերջիններիս հետ, կխնայի ժամանակը: Համակարգը թույլ կտա նաև իրականացնել գործընթացների մոնիթորինգը և կծառայի շինարարության բնագավառի միասնական տեղեկատվական շտեմարան:</w:t>
            </w:r>
          </w:p>
        </w:tc>
      </w:tr>
      <w:tr w:rsidR="00D75F05" w:rsidRPr="00DE2EFA" w:rsidTr="00D75F05">
        <w:tc>
          <w:tcPr>
            <w:tcW w:w="450" w:type="dxa"/>
          </w:tcPr>
          <w:p w:rsidR="00D75F05" w:rsidRPr="0053423A" w:rsidRDefault="00D75F05" w:rsidP="00A67858">
            <w:pPr>
              <w:pStyle w:val="ListParagraph"/>
              <w:spacing w:line="276" w:lineRule="auto"/>
              <w:ind w:left="0"/>
              <w:jc w:val="center"/>
              <w:rPr>
                <w:rFonts w:cs="Sylfaen"/>
                <w:b/>
                <w:lang w:val="hy-AM"/>
              </w:rPr>
            </w:pPr>
            <w:r w:rsidRPr="0053423A">
              <w:rPr>
                <w:rFonts w:cs="Sylfaen"/>
                <w:b/>
                <w:lang w:val="hy-AM"/>
              </w:rPr>
              <w:t>4</w:t>
            </w:r>
          </w:p>
        </w:tc>
        <w:tc>
          <w:tcPr>
            <w:tcW w:w="11160" w:type="dxa"/>
          </w:tcPr>
          <w:p w:rsidR="00D75F05" w:rsidRPr="0053423A" w:rsidRDefault="00D75F05" w:rsidP="00A67858">
            <w:pPr>
              <w:spacing w:line="276" w:lineRule="auto"/>
              <w:jc w:val="center"/>
              <w:rPr>
                <w:b/>
                <w:lang w:val="af-ZA"/>
              </w:rPr>
            </w:pPr>
            <w:r w:rsidRPr="0053423A">
              <w:rPr>
                <w:b/>
                <w:lang w:val="hy-AM"/>
              </w:rPr>
              <w:t>Քաղաքաշինական</w:t>
            </w:r>
            <w:r w:rsidRPr="0053423A">
              <w:rPr>
                <w:b/>
                <w:lang w:val="af-ZA"/>
              </w:rPr>
              <w:t xml:space="preserve"> ոլորտում </w:t>
            </w:r>
            <w:r w:rsidRPr="0053423A">
              <w:rPr>
                <w:b/>
                <w:lang w:val="hy-AM"/>
              </w:rPr>
              <w:t>գործունեության</w:t>
            </w:r>
            <w:r w:rsidRPr="0053423A">
              <w:rPr>
                <w:b/>
                <w:lang w:val="af-ZA"/>
              </w:rPr>
              <w:t xml:space="preserve"> </w:t>
            </w:r>
            <w:r w:rsidRPr="0053423A">
              <w:rPr>
                <w:b/>
                <w:lang w:val="hy-AM"/>
              </w:rPr>
              <w:t xml:space="preserve">լիցենզավորման </w:t>
            </w:r>
            <w:r w:rsidRPr="0053423A">
              <w:rPr>
                <w:b/>
                <w:lang w:val="af-ZA"/>
              </w:rPr>
              <w:t>տեսակների սահմանում եվ մասնագետների որակավորման գործընթացի կանոնակարգում</w:t>
            </w:r>
          </w:p>
          <w:p w:rsidR="00D75F05" w:rsidRPr="0053423A" w:rsidRDefault="00D75F05" w:rsidP="00A67858">
            <w:pPr>
              <w:spacing w:line="276" w:lineRule="auto"/>
              <w:jc w:val="center"/>
              <w:rPr>
                <w:b/>
                <w:u w:val="single"/>
                <w:lang w:val="af-ZA"/>
              </w:rPr>
            </w:pPr>
          </w:p>
          <w:p w:rsidR="00D75F05" w:rsidRPr="0053423A" w:rsidRDefault="00D75F05" w:rsidP="00A67858">
            <w:pPr>
              <w:spacing w:line="276" w:lineRule="auto"/>
              <w:jc w:val="center"/>
              <w:rPr>
                <w:b/>
                <w:u w:val="single"/>
                <w:lang w:val="af-ZA"/>
              </w:rPr>
            </w:pPr>
            <w:r w:rsidRPr="0053423A">
              <w:rPr>
                <w:b/>
                <w:u w:val="single"/>
                <w:lang w:val="af-ZA"/>
              </w:rPr>
              <w:t>4.1 Հայաստանի Հանրապետության մի շարք օրենքներում</w:t>
            </w:r>
            <w:r w:rsidRPr="0053423A">
              <w:rPr>
                <w:b/>
                <w:u w:val="single"/>
                <w:lang w:val="hy-AM"/>
              </w:rPr>
              <w:t xml:space="preserve"> </w:t>
            </w:r>
            <w:r w:rsidRPr="0053423A">
              <w:rPr>
                <w:b/>
                <w:u w:val="single"/>
                <w:lang w:val="af-ZA"/>
              </w:rPr>
              <w:t xml:space="preserve">փոփոխություններ կատարելու մասին ՀՀ օրենքի և Հայաստանի Հանրապետության կառավարության մի շարք որոշումներում փոփոխություններ կատարելու մասին ՀՀ կառավարության որոշումների </w:t>
            </w:r>
            <w:r w:rsidRPr="0053423A">
              <w:rPr>
                <w:rFonts w:cs="Sylfaen"/>
                <w:b/>
                <w:u w:val="single"/>
                <w:lang w:val="hy-AM"/>
              </w:rPr>
              <w:t>նախա</w:t>
            </w:r>
            <w:r w:rsidRPr="0053423A">
              <w:rPr>
                <w:rFonts w:cs="Sylfaen"/>
                <w:b/>
                <w:u w:val="single"/>
                <w:lang w:val="af-ZA"/>
              </w:rPr>
              <w:softHyphen/>
            </w:r>
            <w:r w:rsidRPr="0053423A">
              <w:rPr>
                <w:rFonts w:cs="Sylfaen"/>
                <w:b/>
                <w:u w:val="single"/>
                <w:lang w:val="hy-AM"/>
              </w:rPr>
              <w:t>գծ</w:t>
            </w:r>
            <w:r w:rsidRPr="0053423A">
              <w:rPr>
                <w:rFonts w:cs="Sylfaen"/>
                <w:b/>
                <w:u w:val="single"/>
              </w:rPr>
              <w:t>եր</w:t>
            </w:r>
            <w:r w:rsidRPr="0053423A">
              <w:rPr>
                <w:rFonts w:cs="Sylfaen"/>
                <w:b/>
                <w:u w:val="single"/>
                <w:lang w:val="hy-AM"/>
              </w:rPr>
              <w:t>ի</w:t>
            </w:r>
            <w:r w:rsidRPr="0053423A">
              <w:rPr>
                <w:rFonts w:cs="Sylfaen"/>
                <w:b/>
                <w:u w:val="single"/>
                <w:lang w:val="af-ZA"/>
              </w:rPr>
              <w:t xml:space="preserve"> </w:t>
            </w:r>
            <w:r w:rsidRPr="0053423A">
              <w:rPr>
                <w:rFonts w:cs="Sylfaen"/>
                <w:b/>
                <w:u w:val="single"/>
                <w:lang w:val="hy-AM"/>
              </w:rPr>
              <w:t>ներկայացում</w:t>
            </w:r>
            <w:r w:rsidRPr="0053423A">
              <w:rPr>
                <w:rFonts w:cs="Sylfaen"/>
                <w:b/>
                <w:u w:val="single"/>
                <w:lang w:val="af-ZA"/>
              </w:rPr>
              <w:t xml:space="preserve"> </w:t>
            </w:r>
            <w:r w:rsidRPr="0053423A">
              <w:rPr>
                <w:rFonts w:cs="Sylfaen"/>
                <w:b/>
                <w:u w:val="single"/>
                <w:lang w:val="hy-AM"/>
              </w:rPr>
              <w:t>ՀՀ</w:t>
            </w:r>
            <w:r w:rsidRPr="0053423A">
              <w:rPr>
                <w:rFonts w:cs="Sylfaen"/>
                <w:b/>
                <w:u w:val="single"/>
                <w:lang w:val="af-ZA"/>
              </w:rPr>
              <w:t xml:space="preserve"> </w:t>
            </w:r>
            <w:r w:rsidRPr="0053423A">
              <w:rPr>
                <w:rFonts w:cs="Sylfaen"/>
                <w:b/>
                <w:u w:val="single"/>
                <w:lang w:val="hy-AM"/>
              </w:rPr>
              <w:t>վարչապետի</w:t>
            </w:r>
            <w:r w:rsidRPr="0053423A">
              <w:rPr>
                <w:rFonts w:cs="Sylfaen"/>
                <w:b/>
                <w:u w:val="single"/>
                <w:lang w:val="af-ZA"/>
              </w:rPr>
              <w:t xml:space="preserve"> </w:t>
            </w:r>
            <w:r w:rsidRPr="0053423A">
              <w:rPr>
                <w:rFonts w:cs="Sylfaen"/>
                <w:b/>
                <w:u w:val="single"/>
                <w:lang w:val="hy-AM"/>
              </w:rPr>
              <w:t>աշխատա</w:t>
            </w:r>
            <w:r w:rsidRPr="0053423A">
              <w:rPr>
                <w:rFonts w:cs="Sylfaen"/>
                <w:b/>
                <w:u w:val="single"/>
                <w:lang w:val="hy-AM"/>
              </w:rPr>
              <w:softHyphen/>
              <w:t>կազմ</w:t>
            </w:r>
          </w:p>
          <w:p w:rsidR="00D75F05" w:rsidRPr="0053423A" w:rsidRDefault="00D75F05" w:rsidP="00A67858">
            <w:pPr>
              <w:spacing w:line="276" w:lineRule="auto"/>
              <w:rPr>
                <w:b/>
                <w:lang w:val="af-ZA"/>
              </w:rPr>
            </w:pPr>
          </w:p>
          <w:p w:rsidR="00D75F05" w:rsidRPr="0053423A" w:rsidRDefault="00D75F05" w:rsidP="00A67858">
            <w:pPr>
              <w:spacing w:line="276" w:lineRule="auto"/>
              <w:rPr>
                <w:b/>
                <w:lang w:val="af-ZA"/>
              </w:rPr>
            </w:pPr>
            <w:r w:rsidRPr="0053423A">
              <w:rPr>
                <w:b/>
                <w:lang w:val="af-ZA"/>
              </w:rPr>
              <w:t>1. Միջոցառման իրականացման անհրաժեշտությունը և նպատակը</w:t>
            </w:r>
          </w:p>
          <w:p w:rsidR="00D75F05" w:rsidRPr="0053423A" w:rsidRDefault="00D75F05" w:rsidP="00A67858">
            <w:pPr>
              <w:spacing w:line="276" w:lineRule="auto"/>
              <w:jc w:val="both"/>
              <w:rPr>
                <w:rFonts w:cs="Sylfaen"/>
                <w:lang w:val="hy-AM"/>
              </w:rPr>
            </w:pPr>
            <w:r w:rsidRPr="0053423A">
              <w:rPr>
                <w:rFonts w:cs="Sylfaen"/>
                <w:lang w:val="hy-AM"/>
              </w:rPr>
              <w:t xml:space="preserve">Միջոցառման անհրաժեշտությունը բխում է </w:t>
            </w:r>
            <w:r w:rsidRPr="0053423A">
              <w:rPr>
                <w:bCs/>
                <w:iCs/>
                <w:lang w:val="hy-AM"/>
              </w:rPr>
              <w:t xml:space="preserve">ՀՀ Սահմանադրության (06.12.2015թ. փոփոխություններով) 6-րդ հոդվածի 2-րդ մասի, 59-րդ հոդվածի, 86-րդ հոդվածի 1-ին մասի, Քաղաքաշինության մասին» ՀՀ օրենքի 10-րդ հոդվածի  բ մասի, 10.1 հոդվածի 3-րդ մասի 3-րդ և 18-րդ կետերի, 21-րդ հոդվածի, Նորմատիվ իրավական ակտերի մասին ՀՀ օրենքի  34-րդ հոդվածի 1-ին մասի դրույթների և </w:t>
            </w:r>
            <w:r w:rsidRPr="0053423A">
              <w:rPr>
                <w:rFonts w:cs="Sylfaen"/>
                <w:lang w:val="hy-AM"/>
              </w:rPr>
              <w:t>ՀՀ կառավարության ծրագրի 5-րդ գլխի 5.1 և 5.8 կետերի պահանջներից:</w:t>
            </w:r>
          </w:p>
          <w:p w:rsidR="00D75F05" w:rsidRPr="0053423A" w:rsidRDefault="00D75F05" w:rsidP="00A67858">
            <w:pPr>
              <w:spacing w:line="276" w:lineRule="auto"/>
              <w:jc w:val="both"/>
              <w:rPr>
                <w:lang w:val="af-ZA"/>
              </w:rPr>
            </w:pPr>
            <w:r w:rsidRPr="0053423A">
              <w:rPr>
                <w:bCs/>
                <w:iCs/>
                <w:lang w:val="hy-AM"/>
              </w:rPr>
              <w:t xml:space="preserve">Միջոցառման իրականացման նպատակն է </w:t>
            </w:r>
            <w:r w:rsidRPr="0053423A">
              <w:rPr>
                <w:lang w:val="af-ZA"/>
              </w:rPr>
              <w:t>հստակեցնել և առավելագույնս համապատասխանեցնել քաղաքաշինության բնագավառում լիցենզավորման խնդիրներին առնչվող իրավական ակտերի պահանջները (դրույթները)՝ ոլորտում գործունեություն ծավալող քաղաքաշինական սուբյեկտների նկատմամբ, դրանց կիրառելիությունը պարզ, մատչելի և արդար դարձնելու նպատակով:</w:t>
            </w:r>
          </w:p>
          <w:p w:rsidR="00D75F05" w:rsidRPr="0053423A" w:rsidRDefault="00D75F05" w:rsidP="00A67858">
            <w:pPr>
              <w:spacing w:line="276" w:lineRule="auto"/>
              <w:rPr>
                <w:b/>
                <w:lang w:val="af-ZA"/>
              </w:rPr>
            </w:pPr>
            <w:r w:rsidRPr="0053423A">
              <w:rPr>
                <w:b/>
                <w:lang w:val="af-ZA"/>
              </w:rPr>
              <w:t xml:space="preserve">1.1 </w:t>
            </w:r>
            <w:r w:rsidRPr="0053423A">
              <w:rPr>
                <w:b/>
                <w:lang w:val="hy-AM"/>
              </w:rPr>
              <w:t>Կարգավորման հարաբերությունների ներկա վիճակը և առկա խնդիրները</w:t>
            </w:r>
          </w:p>
          <w:p w:rsidR="00D75F05" w:rsidRPr="0053423A" w:rsidRDefault="00D75F05" w:rsidP="00A67858">
            <w:pPr>
              <w:spacing w:line="276" w:lineRule="auto"/>
              <w:jc w:val="both"/>
              <w:rPr>
                <w:lang w:val="af-ZA"/>
              </w:rPr>
            </w:pPr>
            <w:r w:rsidRPr="0053423A">
              <w:t>Ներկայումս</w:t>
            </w:r>
            <w:r w:rsidRPr="0053423A">
              <w:rPr>
                <w:lang w:val="af-ZA"/>
              </w:rPr>
              <w:t xml:space="preserve">, </w:t>
            </w:r>
            <w:r w:rsidRPr="0053423A">
              <w:rPr>
                <w:bCs/>
                <w:iCs/>
                <w:lang w:val="hy-AM"/>
              </w:rPr>
              <w:t></w:t>
            </w:r>
            <w:r w:rsidRPr="0053423A">
              <w:t>Լիցենզավորման</w:t>
            </w:r>
            <w:r w:rsidRPr="0053423A">
              <w:rPr>
                <w:lang w:val="af-ZA"/>
              </w:rPr>
              <w:t xml:space="preserve"> </w:t>
            </w:r>
            <w:r w:rsidRPr="0053423A">
              <w:t>մասին</w:t>
            </w:r>
            <w:r w:rsidRPr="0053423A">
              <w:rPr>
                <w:bCs/>
                <w:iCs/>
                <w:lang w:val="hy-AM"/>
              </w:rPr>
              <w:t></w:t>
            </w:r>
            <w:r w:rsidRPr="0053423A">
              <w:rPr>
                <w:lang w:val="af-ZA"/>
              </w:rPr>
              <w:t xml:space="preserve"> </w:t>
            </w:r>
            <w:r w:rsidRPr="0053423A">
              <w:t>ՀՀ</w:t>
            </w:r>
            <w:r w:rsidRPr="0053423A">
              <w:rPr>
                <w:lang w:val="af-ZA"/>
              </w:rPr>
              <w:t xml:space="preserve"> </w:t>
            </w:r>
            <w:r w:rsidRPr="0053423A">
              <w:t>օրենքի</w:t>
            </w:r>
            <w:r w:rsidRPr="0053423A">
              <w:rPr>
                <w:lang w:val="af-ZA"/>
              </w:rPr>
              <w:t xml:space="preserve"> </w:t>
            </w:r>
            <w:r w:rsidRPr="0053423A">
              <w:t>համաձայն</w:t>
            </w:r>
            <w:r w:rsidRPr="0053423A">
              <w:rPr>
                <w:lang w:val="af-ZA"/>
              </w:rPr>
              <w:t xml:space="preserve">, </w:t>
            </w:r>
            <w:r w:rsidRPr="0053423A">
              <w:t>քաղաքաշինության</w:t>
            </w:r>
            <w:r w:rsidRPr="0053423A">
              <w:rPr>
                <w:lang w:val="af-ZA"/>
              </w:rPr>
              <w:t xml:space="preserve"> </w:t>
            </w:r>
            <w:r w:rsidRPr="0053423A">
              <w:t>բնագավառում</w:t>
            </w:r>
            <w:r w:rsidRPr="0053423A">
              <w:rPr>
                <w:lang w:val="af-ZA"/>
              </w:rPr>
              <w:t xml:space="preserve"> (</w:t>
            </w:r>
            <w:r w:rsidRPr="0053423A">
              <w:t>ինժեներական</w:t>
            </w:r>
            <w:r w:rsidRPr="0053423A">
              <w:rPr>
                <w:lang w:val="af-ZA"/>
              </w:rPr>
              <w:t>-</w:t>
            </w:r>
            <w:r w:rsidRPr="0053423A">
              <w:t>ճարտարագիտական</w:t>
            </w:r>
            <w:r w:rsidRPr="0053423A">
              <w:rPr>
                <w:lang w:val="af-ZA"/>
              </w:rPr>
              <w:t xml:space="preserve"> </w:t>
            </w:r>
            <w:r w:rsidRPr="0053423A">
              <w:t>մասնագիտությունների</w:t>
            </w:r>
            <w:r w:rsidRPr="0053423A">
              <w:rPr>
                <w:lang w:val="af-ZA"/>
              </w:rPr>
              <w:t xml:space="preserve"> </w:t>
            </w:r>
            <w:r w:rsidRPr="0053423A">
              <w:t>մասով</w:t>
            </w:r>
            <w:r w:rsidRPr="0053423A">
              <w:rPr>
                <w:lang w:val="af-ZA"/>
              </w:rPr>
              <w:t xml:space="preserve">) </w:t>
            </w:r>
            <w:r w:rsidRPr="0053423A">
              <w:t>գործունեության</w:t>
            </w:r>
            <w:r w:rsidRPr="0053423A">
              <w:rPr>
                <w:lang w:val="af-ZA"/>
              </w:rPr>
              <w:t xml:space="preserve"> </w:t>
            </w:r>
            <w:r w:rsidRPr="0053423A">
              <w:t>առանձին</w:t>
            </w:r>
            <w:r w:rsidRPr="0053423A">
              <w:rPr>
                <w:lang w:val="af-ZA"/>
              </w:rPr>
              <w:t xml:space="preserve"> </w:t>
            </w:r>
            <w:r w:rsidRPr="0053423A">
              <w:t>տեսակների</w:t>
            </w:r>
            <w:r w:rsidRPr="0053423A">
              <w:rPr>
                <w:lang w:val="af-ZA"/>
              </w:rPr>
              <w:t xml:space="preserve"> </w:t>
            </w:r>
            <w:r w:rsidRPr="0053423A">
              <w:t>համար</w:t>
            </w:r>
            <w:r w:rsidRPr="0053423A">
              <w:rPr>
                <w:lang w:val="af-ZA"/>
              </w:rPr>
              <w:t xml:space="preserve"> </w:t>
            </w:r>
            <w:r w:rsidRPr="0053423A">
              <w:t>սահմանված</w:t>
            </w:r>
            <w:r w:rsidRPr="0053423A">
              <w:rPr>
                <w:lang w:val="af-ZA"/>
              </w:rPr>
              <w:t xml:space="preserve"> </w:t>
            </w:r>
            <w:r w:rsidRPr="0053423A">
              <w:t>են</w:t>
            </w:r>
            <w:r w:rsidRPr="0053423A">
              <w:rPr>
                <w:lang w:val="af-ZA"/>
              </w:rPr>
              <w:t xml:space="preserve"> </w:t>
            </w:r>
            <w:r w:rsidRPr="0053423A">
              <w:t>լիցենզավորման</w:t>
            </w:r>
            <w:r w:rsidRPr="0053423A">
              <w:rPr>
                <w:lang w:val="af-ZA"/>
              </w:rPr>
              <w:t xml:space="preserve">, </w:t>
            </w:r>
            <w:r w:rsidRPr="0053423A">
              <w:t>իսկ</w:t>
            </w:r>
            <w:r w:rsidRPr="0053423A">
              <w:rPr>
                <w:lang w:val="af-ZA"/>
              </w:rPr>
              <w:t xml:space="preserve"> </w:t>
            </w:r>
            <w:r w:rsidRPr="0053423A">
              <w:t>Ճարտարապետական</w:t>
            </w:r>
            <w:r w:rsidRPr="0053423A">
              <w:rPr>
                <w:lang w:val="af-ZA"/>
              </w:rPr>
              <w:t xml:space="preserve"> </w:t>
            </w:r>
            <w:r w:rsidRPr="0053423A">
              <w:t>գործունեության</w:t>
            </w:r>
            <w:r w:rsidRPr="0053423A">
              <w:rPr>
                <w:lang w:val="af-ZA"/>
              </w:rPr>
              <w:t xml:space="preserve"> </w:t>
            </w:r>
            <w:r w:rsidRPr="0053423A">
              <w:t>մասին</w:t>
            </w:r>
            <w:r w:rsidRPr="0053423A">
              <w:rPr>
                <w:lang w:val="af-ZA"/>
              </w:rPr>
              <w:t xml:space="preserve"> </w:t>
            </w:r>
            <w:r w:rsidRPr="0053423A">
              <w:t>ՀՀ</w:t>
            </w:r>
            <w:r w:rsidRPr="0053423A">
              <w:rPr>
                <w:lang w:val="af-ZA"/>
              </w:rPr>
              <w:t xml:space="preserve"> </w:t>
            </w:r>
            <w:r w:rsidRPr="0053423A">
              <w:t>օրենքի</w:t>
            </w:r>
            <w:r w:rsidRPr="0053423A">
              <w:rPr>
                <w:lang w:val="af-ZA"/>
              </w:rPr>
              <w:t xml:space="preserve"> </w:t>
            </w:r>
            <w:r w:rsidRPr="0053423A">
              <w:t>համաձայն՝</w:t>
            </w:r>
            <w:r w:rsidRPr="0053423A">
              <w:rPr>
                <w:lang w:val="af-ZA"/>
              </w:rPr>
              <w:t xml:space="preserve"> </w:t>
            </w:r>
            <w:r w:rsidRPr="0053423A">
              <w:t>քաղաքաշինության</w:t>
            </w:r>
            <w:r w:rsidRPr="0053423A">
              <w:rPr>
                <w:lang w:val="af-ZA"/>
              </w:rPr>
              <w:t xml:space="preserve"> </w:t>
            </w:r>
            <w:r w:rsidRPr="0053423A">
              <w:t>բնագավառում</w:t>
            </w:r>
            <w:r w:rsidRPr="0053423A">
              <w:rPr>
                <w:lang w:val="af-ZA"/>
              </w:rPr>
              <w:t xml:space="preserve"> </w:t>
            </w:r>
            <w:r w:rsidRPr="0053423A">
              <w:t>ճարտարապետական</w:t>
            </w:r>
            <w:r w:rsidRPr="0053423A">
              <w:rPr>
                <w:lang w:val="af-ZA"/>
              </w:rPr>
              <w:t xml:space="preserve"> </w:t>
            </w:r>
            <w:r w:rsidRPr="0053423A">
              <w:t>և</w:t>
            </w:r>
            <w:r w:rsidRPr="0053423A">
              <w:rPr>
                <w:lang w:val="af-ZA"/>
              </w:rPr>
              <w:t xml:space="preserve"> </w:t>
            </w:r>
            <w:r w:rsidRPr="0053423A">
              <w:t>կոնստրուկտորական</w:t>
            </w:r>
            <w:r w:rsidRPr="0053423A">
              <w:rPr>
                <w:lang w:val="af-ZA"/>
              </w:rPr>
              <w:t xml:space="preserve"> </w:t>
            </w:r>
            <w:r w:rsidRPr="0053423A">
              <w:t>գործունեության</w:t>
            </w:r>
            <w:r w:rsidRPr="0053423A">
              <w:rPr>
                <w:lang w:val="af-ZA"/>
              </w:rPr>
              <w:t xml:space="preserve"> </w:t>
            </w:r>
            <w:r w:rsidRPr="0053423A">
              <w:t>համար</w:t>
            </w:r>
            <w:r w:rsidRPr="0053423A">
              <w:rPr>
                <w:lang w:val="af-ZA"/>
              </w:rPr>
              <w:t xml:space="preserve"> </w:t>
            </w:r>
            <w:r w:rsidRPr="0053423A">
              <w:t>արտոնագրման</w:t>
            </w:r>
            <w:r w:rsidRPr="0053423A">
              <w:rPr>
                <w:lang w:val="af-ZA"/>
              </w:rPr>
              <w:t xml:space="preserve"> </w:t>
            </w:r>
            <w:r w:rsidRPr="0053423A">
              <w:t>պարտադիր</w:t>
            </w:r>
            <w:r w:rsidRPr="0053423A">
              <w:rPr>
                <w:lang w:val="af-ZA"/>
              </w:rPr>
              <w:t xml:space="preserve"> </w:t>
            </w:r>
            <w:r w:rsidRPr="0053423A">
              <w:t>պահանջներ</w:t>
            </w:r>
            <w:r w:rsidRPr="0053423A">
              <w:rPr>
                <w:lang w:val="af-ZA"/>
              </w:rPr>
              <w:t xml:space="preserve">: </w:t>
            </w:r>
          </w:p>
          <w:p w:rsidR="00D75F05" w:rsidRPr="0053423A" w:rsidRDefault="00D75F05" w:rsidP="00A67858">
            <w:pPr>
              <w:spacing w:line="276" w:lineRule="auto"/>
              <w:jc w:val="both"/>
              <w:rPr>
                <w:lang w:val="af-ZA"/>
              </w:rPr>
            </w:pPr>
            <w:r w:rsidRPr="0053423A">
              <w:t>Լիցենզավորման</w:t>
            </w:r>
            <w:r w:rsidRPr="0053423A">
              <w:rPr>
                <w:lang w:val="af-ZA"/>
              </w:rPr>
              <w:t xml:space="preserve"> գործող </w:t>
            </w:r>
            <w:r w:rsidRPr="0053423A">
              <w:t>կարգերը</w:t>
            </w:r>
            <w:r w:rsidRPr="0053423A">
              <w:rPr>
                <w:lang w:val="af-ZA"/>
              </w:rPr>
              <w:t xml:space="preserve"> </w:t>
            </w:r>
            <w:r w:rsidRPr="0053423A">
              <w:t>և</w:t>
            </w:r>
            <w:r w:rsidRPr="0053423A">
              <w:rPr>
                <w:lang w:val="af-ZA"/>
              </w:rPr>
              <w:t xml:space="preserve"> </w:t>
            </w:r>
            <w:r w:rsidRPr="0053423A">
              <w:t>Լիցենզավորման</w:t>
            </w:r>
            <w:r w:rsidRPr="0053423A">
              <w:rPr>
                <w:lang w:val="af-ZA"/>
              </w:rPr>
              <w:t xml:space="preserve"> </w:t>
            </w:r>
            <w:r w:rsidRPr="0053423A">
              <w:t>մասին</w:t>
            </w:r>
            <w:r w:rsidRPr="0053423A">
              <w:rPr>
                <w:lang w:val="af-ZA"/>
              </w:rPr>
              <w:t xml:space="preserve"> </w:t>
            </w:r>
            <w:r w:rsidRPr="0053423A">
              <w:t>ՀՀ</w:t>
            </w:r>
            <w:r w:rsidRPr="0053423A">
              <w:rPr>
                <w:lang w:val="af-ZA"/>
              </w:rPr>
              <w:t xml:space="preserve"> </w:t>
            </w:r>
            <w:r w:rsidRPr="0053423A">
              <w:t>օրենքը</w:t>
            </w:r>
            <w:r w:rsidRPr="0053423A">
              <w:rPr>
                <w:lang w:val="af-ZA"/>
              </w:rPr>
              <w:t xml:space="preserve"> </w:t>
            </w:r>
            <w:r w:rsidRPr="0053423A">
              <w:t>չեն</w:t>
            </w:r>
            <w:r w:rsidRPr="0053423A">
              <w:rPr>
                <w:lang w:val="af-ZA"/>
              </w:rPr>
              <w:t xml:space="preserve"> </w:t>
            </w:r>
            <w:r w:rsidRPr="0053423A">
              <w:t>նպաստում</w:t>
            </w:r>
            <w:r w:rsidRPr="0053423A">
              <w:rPr>
                <w:lang w:val="af-ZA"/>
              </w:rPr>
              <w:t xml:space="preserve"> </w:t>
            </w:r>
            <w:r w:rsidRPr="0053423A">
              <w:t>լիցենզավորման</w:t>
            </w:r>
            <w:r w:rsidRPr="0053423A">
              <w:rPr>
                <w:lang w:val="af-ZA"/>
              </w:rPr>
              <w:t xml:space="preserve"> </w:t>
            </w:r>
            <w:r w:rsidRPr="0053423A">
              <w:t>գործընթացի</w:t>
            </w:r>
            <w:r w:rsidRPr="0053423A">
              <w:rPr>
                <w:lang w:val="af-ZA"/>
              </w:rPr>
              <w:t xml:space="preserve"> </w:t>
            </w:r>
            <w:r w:rsidRPr="0053423A">
              <w:t>արդյունքում</w:t>
            </w:r>
            <w:r w:rsidRPr="0053423A">
              <w:rPr>
                <w:lang w:val="af-ZA"/>
              </w:rPr>
              <w:t xml:space="preserve"> զարգացող շուկայի </w:t>
            </w:r>
            <w:r w:rsidRPr="0053423A">
              <w:t>պահանջարկին</w:t>
            </w:r>
            <w:r w:rsidRPr="0053423A">
              <w:rPr>
                <w:lang w:val="af-ZA"/>
              </w:rPr>
              <w:t xml:space="preserve"> </w:t>
            </w:r>
            <w:r w:rsidRPr="0053423A">
              <w:t>համապատասխան</w:t>
            </w:r>
            <w:r w:rsidRPr="0053423A">
              <w:rPr>
                <w:lang w:val="af-ZA"/>
              </w:rPr>
              <w:t xml:space="preserve"> </w:t>
            </w:r>
            <w:r w:rsidRPr="0053423A">
              <w:t>և</w:t>
            </w:r>
            <w:r w:rsidRPr="0053423A">
              <w:rPr>
                <w:lang w:val="af-ZA"/>
              </w:rPr>
              <w:t xml:space="preserve"> </w:t>
            </w:r>
            <w:r w:rsidRPr="0053423A">
              <w:t>անհրաժեշտ</w:t>
            </w:r>
            <w:r w:rsidRPr="0053423A">
              <w:rPr>
                <w:lang w:val="af-ZA"/>
              </w:rPr>
              <w:t xml:space="preserve"> </w:t>
            </w:r>
            <w:r w:rsidRPr="0053423A">
              <w:t>որակավորմամբ</w:t>
            </w:r>
            <w:r w:rsidRPr="0053423A">
              <w:rPr>
                <w:lang w:val="af-ZA"/>
              </w:rPr>
              <w:t xml:space="preserve"> </w:t>
            </w:r>
            <w:r w:rsidRPr="0053423A">
              <w:t>ոլորտում</w:t>
            </w:r>
            <w:r w:rsidRPr="0053423A">
              <w:rPr>
                <w:lang w:val="af-ZA"/>
              </w:rPr>
              <w:t xml:space="preserve"> </w:t>
            </w:r>
            <w:r w:rsidRPr="0053423A">
              <w:t>տնտեսվարող</w:t>
            </w:r>
            <w:r w:rsidRPr="0053423A">
              <w:rPr>
                <w:lang w:val="af-ZA"/>
              </w:rPr>
              <w:t xml:space="preserve"> </w:t>
            </w:r>
            <w:r w:rsidRPr="0053423A">
              <w:t>սուբյեկտների</w:t>
            </w:r>
            <w:r w:rsidRPr="0053423A">
              <w:rPr>
                <w:lang w:val="af-ZA"/>
              </w:rPr>
              <w:t xml:space="preserve"> </w:t>
            </w:r>
            <w:r w:rsidRPr="0053423A">
              <w:t>ձևավորմանը</w:t>
            </w:r>
            <w:r w:rsidRPr="0053423A">
              <w:rPr>
                <w:lang w:val="af-ZA"/>
              </w:rPr>
              <w:t xml:space="preserve">, </w:t>
            </w:r>
            <w:r w:rsidRPr="0053423A">
              <w:t>հիմնականում</w:t>
            </w:r>
            <w:r w:rsidRPr="0053423A">
              <w:rPr>
                <w:lang w:val="af-ZA"/>
              </w:rPr>
              <w:t xml:space="preserve"> </w:t>
            </w:r>
            <w:r w:rsidRPr="0053423A">
              <w:t>չեն</w:t>
            </w:r>
            <w:r w:rsidRPr="0053423A">
              <w:rPr>
                <w:lang w:val="af-ZA"/>
              </w:rPr>
              <w:t xml:space="preserve"> </w:t>
            </w:r>
            <w:r w:rsidRPr="0053423A">
              <w:t>տարանջատվում</w:t>
            </w:r>
            <w:r w:rsidRPr="0053423A">
              <w:rPr>
                <w:lang w:val="af-ZA"/>
              </w:rPr>
              <w:t xml:space="preserve"> </w:t>
            </w:r>
            <w:r w:rsidRPr="0053423A">
              <w:t>տարբեր</w:t>
            </w:r>
            <w:r w:rsidRPr="0053423A">
              <w:rPr>
                <w:lang w:val="af-ZA"/>
              </w:rPr>
              <w:t xml:space="preserve"> </w:t>
            </w:r>
            <w:r w:rsidRPr="0053423A">
              <w:t>որակավորում</w:t>
            </w:r>
            <w:r w:rsidRPr="0053423A">
              <w:rPr>
                <w:lang w:val="af-ZA"/>
              </w:rPr>
              <w:t xml:space="preserve"> </w:t>
            </w:r>
            <w:r w:rsidRPr="0053423A">
              <w:t>և</w:t>
            </w:r>
            <w:r w:rsidRPr="0053423A">
              <w:rPr>
                <w:lang w:val="af-ZA"/>
              </w:rPr>
              <w:t xml:space="preserve"> </w:t>
            </w:r>
            <w:r w:rsidRPr="0053423A">
              <w:t>փորձառություն</w:t>
            </w:r>
            <w:r w:rsidRPr="0053423A">
              <w:rPr>
                <w:lang w:val="af-ZA"/>
              </w:rPr>
              <w:t xml:space="preserve"> </w:t>
            </w:r>
            <w:r w:rsidRPr="0053423A">
              <w:t>ունեցող</w:t>
            </w:r>
            <w:r w:rsidRPr="0053423A">
              <w:rPr>
                <w:lang w:val="af-ZA"/>
              </w:rPr>
              <w:t xml:space="preserve"> </w:t>
            </w:r>
            <w:r w:rsidRPr="0053423A">
              <w:t>անձանց</w:t>
            </w:r>
            <w:r w:rsidRPr="0053423A">
              <w:rPr>
                <w:lang w:val="af-ZA"/>
              </w:rPr>
              <w:t xml:space="preserve"> </w:t>
            </w:r>
            <w:r w:rsidRPr="0053423A">
              <w:t>կամ</w:t>
            </w:r>
            <w:r w:rsidRPr="0053423A">
              <w:rPr>
                <w:lang w:val="af-ZA"/>
              </w:rPr>
              <w:t xml:space="preserve"> </w:t>
            </w:r>
            <w:r w:rsidRPr="0053423A">
              <w:t>կազմակերպությունների</w:t>
            </w:r>
            <w:r w:rsidRPr="0053423A">
              <w:rPr>
                <w:lang w:val="af-ZA"/>
              </w:rPr>
              <w:t xml:space="preserve"> </w:t>
            </w:r>
            <w:r w:rsidRPr="0053423A">
              <w:t>գործունեությունները</w:t>
            </w:r>
            <w:r w:rsidRPr="0053423A">
              <w:rPr>
                <w:lang w:val="af-ZA"/>
              </w:rPr>
              <w:t xml:space="preserve">: </w:t>
            </w:r>
            <w:r w:rsidRPr="0053423A">
              <w:t>Նշվածի</w:t>
            </w:r>
            <w:r w:rsidRPr="0053423A">
              <w:rPr>
                <w:lang w:val="af-ZA"/>
              </w:rPr>
              <w:t xml:space="preserve"> </w:t>
            </w:r>
            <w:r w:rsidRPr="0053423A">
              <w:t>արդյունքում</w:t>
            </w:r>
            <w:r w:rsidRPr="0053423A">
              <w:rPr>
                <w:lang w:val="af-ZA"/>
              </w:rPr>
              <w:t xml:space="preserve"> </w:t>
            </w:r>
            <w:r w:rsidRPr="0053423A">
              <w:t>հնարավոր</w:t>
            </w:r>
            <w:r w:rsidRPr="0053423A">
              <w:rPr>
                <w:lang w:val="af-ZA"/>
              </w:rPr>
              <w:t xml:space="preserve"> </w:t>
            </w:r>
            <w:r w:rsidRPr="0053423A">
              <w:t>չէ</w:t>
            </w:r>
            <w:r w:rsidRPr="0053423A">
              <w:rPr>
                <w:lang w:val="af-ZA"/>
              </w:rPr>
              <w:t xml:space="preserve"> </w:t>
            </w:r>
            <w:r w:rsidRPr="0053423A">
              <w:t>ապահովել</w:t>
            </w:r>
            <w:r w:rsidRPr="0053423A">
              <w:rPr>
                <w:lang w:val="af-ZA"/>
              </w:rPr>
              <w:t xml:space="preserve"> </w:t>
            </w:r>
            <w:r w:rsidRPr="0053423A">
              <w:t>սպառողների</w:t>
            </w:r>
            <w:r w:rsidRPr="0053423A">
              <w:rPr>
                <w:lang w:val="af-ZA"/>
              </w:rPr>
              <w:t xml:space="preserve"> </w:t>
            </w:r>
            <w:r w:rsidRPr="0053423A">
              <w:t>իրավունքների</w:t>
            </w:r>
            <w:r w:rsidRPr="0053423A">
              <w:rPr>
                <w:lang w:val="af-ZA"/>
              </w:rPr>
              <w:t xml:space="preserve"> </w:t>
            </w:r>
            <w:r w:rsidRPr="0053423A">
              <w:t>պաշտպանությունը</w:t>
            </w:r>
            <w:r w:rsidRPr="0053423A">
              <w:rPr>
                <w:lang w:val="af-ZA"/>
              </w:rPr>
              <w:t xml:space="preserve">, </w:t>
            </w:r>
            <w:r w:rsidRPr="0053423A">
              <w:t>ապրանքների</w:t>
            </w:r>
            <w:r w:rsidRPr="0053423A">
              <w:rPr>
                <w:lang w:val="af-ZA"/>
              </w:rPr>
              <w:t xml:space="preserve"> </w:t>
            </w:r>
            <w:r w:rsidRPr="0053423A">
              <w:t>և</w:t>
            </w:r>
            <w:r w:rsidRPr="0053423A">
              <w:rPr>
                <w:lang w:val="af-ZA"/>
              </w:rPr>
              <w:t xml:space="preserve"> </w:t>
            </w:r>
            <w:r w:rsidRPr="0053423A">
              <w:t>ծառայությունների</w:t>
            </w:r>
            <w:r w:rsidRPr="0053423A">
              <w:rPr>
                <w:lang w:val="af-ZA"/>
              </w:rPr>
              <w:t xml:space="preserve"> </w:t>
            </w:r>
            <w:r w:rsidRPr="0053423A">
              <w:t>որակի</w:t>
            </w:r>
            <w:r w:rsidRPr="0053423A">
              <w:rPr>
                <w:lang w:val="af-ZA"/>
              </w:rPr>
              <w:t xml:space="preserve"> </w:t>
            </w:r>
            <w:r w:rsidRPr="0053423A">
              <w:t>բարձրացումը</w:t>
            </w:r>
            <w:r w:rsidRPr="0053423A">
              <w:rPr>
                <w:lang w:val="af-ZA"/>
              </w:rPr>
              <w:t xml:space="preserve">, </w:t>
            </w:r>
            <w:r w:rsidRPr="0053423A">
              <w:t>ինչպես</w:t>
            </w:r>
            <w:r w:rsidRPr="0053423A">
              <w:rPr>
                <w:lang w:val="af-ZA"/>
              </w:rPr>
              <w:t xml:space="preserve"> </w:t>
            </w:r>
            <w:r w:rsidRPr="0053423A">
              <w:t>նաև</w:t>
            </w:r>
            <w:r w:rsidRPr="0053423A">
              <w:rPr>
                <w:lang w:val="af-ZA"/>
              </w:rPr>
              <w:t xml:space="preserve"> </w:t>
            </w:r>
            <w:r w:rsidRPr="0053423A">
              <w:t>շուկայական</w:t>
            </w:r>
            <w:r w:rsidRPr="0053423A">
              <w:rPr>
                <w:lang w:val="af-ZA"/>
              </w:rPr>
              <w:t xml:space="preserve"> </w:t>
            </w:r>
            <w:r w:rsidRPr="0053423A">
              <w:t>հարաբերությունների</w:t>
            </w:r>
            <w:r w:rsidRPr="0053423A">
              <w:rPr>
                <w:lang w:val="af-ZA"/>
              </w:rPr>
              <w:t xml:space="preserve"> </w:t>
            </w:r>
            <w:r w:rsidRPr="0053423A">
              <w:t>կարգավորումը</w:t>
            </w:r>
            <w:r w:rsidRPr="0053423A">
              <w:rPr>
                <w:lang w:val="af-ZA"/>
              </w:rPr>
              <w:t>:</w:t>
            </w:r>
          </w:p>
          <w:p w:rsidR="00D75F05" w:rsidRPr="0053423A" w:rsidRDefault="00D75F05" w:rsidP="00A67858">
            <w:pPr>
              <w:spacing w:line="276" w:lineRule="auto"/>
              <w:jc w:val="both"/>
              <w:rPr>
                <w:lang w:val="af-ZA"/>
              </w:rPr>
            </w:pPr>
            <w:r w:rsidRPr="0053423A">
              <w:t>Լիցենզավորման</w:t>
            </w:r>
            <w:r w:rsidRPr="0053423A">
              <w:rPr>
                <w:lang w:val="af-ZA"/>
              </w:rPr>
              <w:t xml:space="preserve"> </w:t>
            </w:r>
            <w:r w:rsidRPr="0053423A">
              <w:t>ներկա</w:t>
            </w:r>
            <w:r w:rsidRPr="0053423A">
              <w:rPr>
                <w:lang w:val="af-ZA"/>
              </w:rPr>
              <w:t xml:space="preserve"> </w:t>
            </w:r>
            <w:r w:rsidRPr="0053423A">
              <w:t>կարգերը</w:t>
            </w:r>
            <w:r w:rsidRPr="0053423A">
              <w:rPr>
                <w:lang w:val="af-ZA"/>
              </w:rPr>
              <w:t xml:space="preserve"> </w:t>
            </w:r>
            <w:r w:rsidRPr="0053423A">
              <w:t>համահունչ</w:t>
            </w:r>
            <w:r w:rsidRPr="0053423A">
              <w:rPr>
                <w:lang w:val="af-ZA"/>
              </w:rPr>
              <w:t xml:space="preserve"> </w:t>
            </w:r>
            <w:r w:rsidRPr="0053423A">
              <w:t>չեն</w:t>
            </w:r>
            <w:r w:rsidRPr="0053423A">
              <w:rPr>
                <w:lang w:val="af-ZA"/>
              </w:rPr>
              <w:t xml:space="preserve"> </w:t>
            </w:r>
            <w:r w:rsidRPr="0053423A">
              <w:t>միմյանց</w:t>
            </w:r>
            <w:r w:rsidRPr="0053423A">
              <w:rPr>
                <w:lang w:val="af-ZA"/>
              </w:rPr>
              <w:t xml:space="preserve"> </w:t>
            </w:r>
            <w:r w:rsidRPr="0053423A">
              <w:t>և</w:t>
            </w:r>
            <w:r w:rsidRPr="0053423A">
              <w:rPr>
                <w:lang w:val="af-ZA"/>
              </w:rPr>
              <w:t xml:space="preserve"> </w:t>
            </w:r>
            <w:r w:rsidRPr="0053423A">
              <w:t>վերանայման</w:t>
            </w:r>
            <w:r w:rsidRPr="0053423A">
              <w:rPr>
                <w:lang w:val="af-ZA"/>
              </w:rPr>
              <w:t xml:space="preserve">, </w:t>
            </w:r>
            <w:r w:rsidRPr="0053423A">
              <w:t>միավորման</w:t>
            </w:r>
            <w:r w:rsidRPr="0053423A">
              <w:rPr>
                <w:lang w:val="af-ZA"/>
              </w:rPr>
              <w:t xml:space="preserve"> </w:t>
            </w:r>
            <w:r w:rsidRPr="0053423A">
              <w:t>և</w:t>
            </w:r>
            <w:r w:rsidRPr="0053423A">
              <w:rPr>
                <w:lang w:val="af-ZA"/>
              </w:rPr>
              <w:t xml:space="preserve"> </w:t>
            </w:r>
            <w:r w:rsidRPr="0053423A">
              <w:t>քաղաքաշինության</w:t>
            </w:r>
            <w:r w:rsidRPr="0053423A">
              <w:rPr>
                <w:lang w:val="af-ZA"/>
              </w:rPr>
              <w:t xml:space="preserve"> </w:t>
            </w:r>
            <w:r w:rsidRPr="0053423A">
              <w:t>բնագավառի</w:t>
            </w:r>
            <w:r w:rsidRPr="0053423A">
              <w:rPr>
                <w:lang w:val="af-ZA"/>
              </w:rPr>
              <w:t xml:space="preserve"> </w:t>
            </w:r>
            <w:r w:rsidRPr="0053423A">
              <w:t>լիցենզավորման</w:t>
            </w:r>
            <w:r w:rsidRPr="0053423A">
              <w:rPr>
                <w:lang w:val="af-ZA"/>
              </w:rPr>
              <w:t xml:space="preserve"> </w:t>
            </w:r>
            <w:r w:rsidRPr="0053423A">
              <w:t>բոլոր</w:t>
            </w:r>
            <w:r w:rsidRPr="0053423A">
              <w:rPr>
                <w:lang w:val="af-ZA"/>
              </w:rPr>
              <w:t xml:space="preserve"> </w:t>
            </w:r>
            <w:r w:rsidRPr="0053423A">
              <w:t>տեսակների</w:t>
            </w:r>
            <w:r w:rsidRPr="0053423A">
              <w:rPr>
                <w:lang w:val="af-ZA"/>
              </w:rPr>
              <w:t xml:space="preserve"> </w:t>
            </w:r>
            <w:r w:rsidRPr="0053423A">
              <w:t>համար</w:t>
            </w:r>
            <w:r w:rsidRPr="0053423A">
              <w:rPr>
                <w:lang w:val="af-ZA"/>
              </w:rPr>
              <w:t xml:space="preserve"> </w:t>
            </w:r>
            <w:r w:rsidRPr="0053423A">
              <w:t>միասնական</w:t>
            </w:r>
            <w:r w:rsidRPr="0053423A">
              <w:rPr>
                <w:lang w:val="af-ZA"/>
              </w:rPr>
              <w:t xml:space="preserve"> </w:t>
            </w:r>
            <w:r w:rsidRPr="0053423A">
              <w:t>կարգով</w:t>
            </w:r>
            <w:r w:rsidRPr="0053423A">
              <w:rPr>
                <w:lang w:val="af-ZA"/>
              </w:rPr>
              <w:t xml:space="preserve"> </w:t>
            </w:r>
            <w:r w:rsidRPr="0053423A">
              <w:t>սահմանելու</w:t>
            </w:r>
            <w:r w:rsidRPr="0053423A">
              <w:rPr>
                <w:lang w:val="af-ZA"/>
              </w:rPr>
              <w:t xml:space="preserve"> </w:t>
            </w:r>
            <w:r w:rsidRPr="0053423A">
              <w:t>անհրաժեշտություն</w:t>
            </w:r>
            <w:r w:rsidRPr="0053423A">
              <w:rPr>
                <w:lang w:val="af-ZA"/>
              </w:rPr>
              <w:t xml:space="preserve"> </w:t>
            </w:r>
            <w:r w:rsidRPr="0053423A">
              <w:t>կա</w:t>
            </w:r>
            <w:r w:rsidRPr="0053423A">
              <w:rPr>
                <w:lang w:val="af-ZA"/>
              </w:rPr>
              <w:t>: Հ</w:t>
            </w:r>
            <w:r w:rsidRPr="0053423A">
              <w:t>արկավոր</w:t>
            </w:r>
            <w:r w:rsidRPr="0053423A">
              <w:rPr>
                <w:lang w:val="af-ZA"/>
              </w:rPr>
              <w:t xml:space="preserve"> </w:t>
            </w:r>
            <w:r w:rsidRPr="0053423A">
              <w:t>է</w:t>
            </w:r>
            <w:r w:rsidRPr="0053423A">
              <w:rPr>
                <w:lang w:val="af-ZA"/>
              </w:rPr>
              <w:t xml:space="preserve"> </w:t>
            </w:r>
            <w:r w:rsidRPr="0053423A">
              <w:t>սահմանել</w:t>
            </w:r>
            <w:r w:rsidRPr="0053423A">
              <w:rPr>
                <w:lang w:val="af-ZA"/>
              </w:rPr>
              <w:t xml:space="preserve"> նաև </w:t>
            </w:r>
            <w:r w:rsidRPr="0053423A">
              <w:t>այնպիսի</w:t>
            </w:r>
            <w:r w:rsidRPr="0053423A">
              <w:rPr>
                <w:lang w:val="af-ZA"/>
              </w:rPr>
              <w:t xml:space="preserve"> </w:t>
            </w:r>
            <w:r w:rsidRPr="0053423A">
              <w:t>վավերապայմաններ</w:t>
            </w:r>
            <w:r w:rsidRPr="0053423A">
              <w:rPr>
                <w:lang w:val="af-ZA"/>
              </w:rPr>
              <w:t xml:space="preserve">, </w:t>
            </w:r>
            <w:r w:rsidRPr="0053423A">
              <w:t>որոնք</w:t>
            </w:r>
            <w:r w:rsidRPr="0053423A">
              <w:rPr>
                <w:lang w:val="af-ZA"/>
              </w:rPr>
              <w:t xml:space="preserve"> </w:t>
            </w:r>
            <w:r w:rsidRPr="0053423A">
              <w:t>հավասար</w:t>
            </w:r>
            <w:r w:rsidRPr="0053423A">
              <w:rPr>
                <w:lang w:val="af-ZA"/>
              </w:rPr>
              <w:t xml:space="preserve"> </w:t>
            </w:r>
            <w:r w:rsidRPr="0053423A">
              <w:t>դաշտ</w:t>
            </w:r>
            <w:r w:rsidRPr="0053423A">
              <w:rPr>
                <w:lang w:val="af-ZA"/>
              </w:rPr>
              <w:t xml:space="preserve"> </w:t>
            </w:r>
            <w:r w:rsidRPr="0053423A">
              <w:t>կստեղծեն</w:t>
            </w:r>
            <w:r w:rsidRPr="0053423A">
              <w:rPr>
                <w:lang w:val="af-ZA"/>
              </w:rPr>
              <w:t xml:space="preserve"> </w:t>
            </w:r>
            <w:r w:rsidRPr="0053423A">
              <w:t>համապատասխան</w:t>
            </w:r>
            <w:r w:rsidRPr="0053423A">
              <w:rPr>
                <w:lang w:val="af-ZA"/>
              </w:rPr>
              <w:t xml:space="preserve"> </w:t>
            </w:r>
            <w:r w:rsidRPr="0053423A">
              <w:t>կրթությամբ</w:t>
            </w:r>
            <w:r w:rsidRPr="0053423A">
              <w:rPr>
                <w:lang w:val="af-ZA"/>
              </w:rPr>
              <w:t xml:space="preserve"> </w:t>
            </w:r>
            <w:r w:rsidRPr="0053423A">
              <w:t>տարբեր</w:t>
            </w:r>
            <w:r w:rsidRPr="0053423A">
              <w:rPr>
                <w:lang w:val="af-ZA"/>
              </w:rPr>
              <w:t xml:space="preserve"> </w:t>
            </w:r>
            <w:r w:rsidRPr="0053423A">
              <w:t>մասնագետների</w:t>
            </w:r>
            <w:r w:rsidRPr="0053423A">
              <w:rPr>
                <w:lang w:val="af-ZA"/>
              </w:rPr>
              <w:t xml:space="preserve"> </w:t>
            </w:r>
            <w:r w:rsidRPr="0053423A">
              <w:t>համար</w:t>
            </w:r>
            <w:r w:rsidRPr="0053423A">
              <w:rPr>
                <w:lang w:val="af-ZA"/>
              </w:rPr>
              <w:t>:</w:t>
            </w:r>
          </w:p>
          <w:p w:rsidR="00D75F05" w:rsidRPr="0053423A" w:rsidRDefault="00D75F05" w:rsidP="001F6D5D">
            <w:pPr>
              <w:pStyle w:val="ListParagraph"/>
              <w:numPr>
                <w:ilvl w:val="1"/>
                <w:numId w:val="323"/>
              </w:numPr>
              <w:tabs>
                <w:tab w:val="left" w:pos="360"/>
              </w:tabs>
              <w:spacing w:line="276" w:lineRule="auto"/>
              <w:ind w:left="0" w:firstLine="0"/>
              <w:rPr>
                <w:b/>
                <w:lang w:val="en-US"/>
              </w:rPr>
            </w:pPr>
            <w:r w:rsidRPr="0053423A">
              <w:rPr>
                <w:b/>
                <w:lang w:val="hy-AM"/>
              </w:rPr>
              <w:t>Առկա</w:t>
            </w:r>
            <w:r w:rsidRPr="0053423A">
              <w:rPr>
                <w:b/>
                <w:lang w:val="af-ZA"/>
              </w:rPr>
              <w:t xml:space="preserve"> </w:t>
            </w:r>
            <w:r w:rsidRPr="0053423A">
              <w:rPr>
                <w:b/>
                <w:lang w:val="hy-AM"/>
              </w:rPr>
              <w:t>խնդիրների</w:t>
            </w:r>
            <w:r w:rsidRPr="0053423A">
              <w:rPr>
                <w:b/>
                <w:lang w:val="af-ZA"/>
              </w:rPr>
              <w:t xml:space="preserve"> </w:t>
            </w:r>
            <w:r w:rsidRPr="0053423A">
              <w:rPr>
                <w:b/>
                <w:lang w:val="hy-AM"/>
              </w:rPr>
              <w:t>առաջարկվող</w:t>
            </w:r>
            <w:r w:rsidRPr="0053423A">
              <w:rPr>
                <w:b/>
                <w:lang w:val="af-ZA"/>
              </w:rPr>
              <w:t xml:space="preserve"> </w:t>
            </w:r>
            <w:r w:rsidRPr="0053423A">
              <w:rPr>
                <w:b/>
                <w:lang w:val="hy-AM"/>
              </w:rPr>
              <w:t>լուծումները</w:t>
            </w:r>
          </w:p>
          <w:p w:rsidR="00D75F05" w:rsidRPr="0053423A" w:rsidRDefault="00D75F05" w:rsidP="00A67858">
            <w:pPr>
              <w:spacing w:line="276" w:lineRule="auto"/>
              <w:jc w:val="both"/>
              <w:rPr>
                <w:bCs/>
                <w:iCs/>
                <w:lang w:val="af-ZA"/>
              </w:rPr>
            </w:pPr>
            <w:r w:rsidRPr="0053423A">
              <w:rPr>
                <w:bCs/>
                <w:iCs/>
              </w:rPr>
              <w:t>Գործող</w:t>
            </w:r>
            <w:r w:rsidRPr="0053423A">
              <w:rPr>
                <w:bCs/>
                <w:iCs/>
                <w:lang w:val="af-ZA"/>
              </w:rPr>
              <w:t xml:space="preserve"> </w:t>
            </w:r>
            <w:r w:rsidRPr="0053423A">
              <w:rPr>
                <w:bCs/>
                <w:iCs/>
              </w:rPr>
              <w:t>կարգավորումներում</w:t>
            </w:r>
            <w:r w:rsidRPr="0053423A">
              <w:rPr>
                <w:bCs/>
                <w:iCs/>
                <w:lang w:val="af-ZA"/>
              </w:rPr>
              <w:t xml:space="preserve"> </w:t>
            </w:r>
            <w:r w:rsidRPr="0053423A">
              <w:rPr>
                <w:bCs/>
                <w:iCs/>
              </w:rPr>
              <w:t>առկա</w:t>
            </w:r>
            <w:r w:rsidRPr="0053423A">
              <w:rPr>
                <w:bCs/>
                <w:iCs/>
                <w:lang w:val="af-ZA"/>
              </w:rPr>
              <w:t xml:space="preserve"> </w:t>
            </w:r>
            <w:r w:rsidRPr="0053423A">
              <w:rPr>
                <w:bCs/>
                <w:iCs/>
              </w:rPr>
              <w:t>անհամապատասխանություններն</w:t>
            </w:r>
            <w:r w:rsidRPr="0053423A">
              <w:rPr>
                <w:bCs/>
                <w:iCs/>
                <w:lang w:val="af-ZA"/>
              </w:rPr>
              <w:t xml:space="preserve"> </w:t>
            </w:r>
            <w:r w:rsidRPr="0053423A">
              <w:rPr>
                <w:bCs/>
                <w:iCs/>
              </w:rPr>
              <w:t>ու</w:t>
            </w:r>
            <w:r w:rsidRPr="0053423A">
              <w:rPr>
                <w:bCs/>
                <w:iCs/>
                <w:lang w:val="af-ZA"/>
              </w:rPr>
              <w:t xml:space="preserve"> </w:t>
            </w:r>
            <w:r w:rsidRPr="0053423A">
              <w:rPr>
                <w:bCs/>
                <w:iCs/>
              </w:rPr>
              <w:t>օրենսդրական</w:t>
            </w:r>
            <w:r w:rsidRPr="0053423A">
              <w:rPr>
                <w:bCs/>
                <w:iCs/>
                <w:lang w:val="af-ZA"/>
              </w:rPr>
              <w:t xml:space="preserve"> </w:t>
            </w:r>
            <w:r w:rsidRPr="0053423A">
              <w:rPr>
                <w:bCs/>
                <w:iCs/>
              </w:rPr>
              <w:t>հակասությունները</w:t>
            </w:r>
            <w:r w:rsidRPr="0053423A">
              <w:rPr>
                <w:bCs/>
                <w:iCs/>
                <w:lang w:val="af-ZA"/>
              </w:rPr>
              <w:t xml:space="preserve"> </w:t>
            </w:r>
            <w:r w:rsidRPr="0053423A">
              <w:rPr>
                <w:bCs/>
                <w:iCs/>
              </w:rPr>
              <w:t>վերացնելու</w:t>
            </w:r>
            <w:r w:rsidRPr="0053423A">
              <w:rPr>
                <w:bCs/>
                <w:iCs/>
                <w:lang w:val="af-ZA"/>
              </w:rPr>
              <w:t xml:space="preserve"> </w:t>
            </w:r>
            <w:r w:rsidRPr="0053423A">
              <w:rPr>
                <w:bCs/>
                <w:iCs/>
              </w:rPr>
              <w:t>նպատակով</w:t>
            </w:r>
            <w:r w:rsidRPr="0053423A">
              <w:rPr>
                <w:bCs/>
                <w:iCs/>
                <w:lang w:val="en-US"/>
              </w:rPr>
              <w:t xml:space="preserve"> </w:t>
            </w:r>
            <w:r w:rsidRPr="0053423A">
              <w:rPr>
                <w:bCs/>
                <w:iCs/>
              </w:rPr>
              <w:t>գործող</w:t>
            </w:r>
            <w:r w:rsidRPr="0053423A">
              <w:rPr>
                <w:bCs/>
                <w:iCs/>
                <w:lang w:val="en-US"/>
              </w:rPr>
              <w:t xml:space="preserve"> </w:t>
            </w:r>
            <w:r w:rsidRPr="0053423A">
              <w:rPr>
                <w:bCs/>
                <w:iCs/>
              </w:rPr>
              <w:t>իրավական</w:t>
            </w:r>
            <w:r w:rsidRPr="0053423A">
              <w:rPr>
                <w:bCs/>
                <w:iCs/>
                <w:lang w:val="af-ZA"/>
              </w:rPr>
              <w:t xml:space="preserve"> </w:t>
            </w:r>
            <w:r w:rsidRPr="0053423A">
              <w:rPr>
                <w:bCs/>
                <w:iCs/>
              </w:rPr>
              <w:t>ակտերի</w:t>
            </w:r>
            <w:r w:rsidRPr="0053423A">
              <w:rPr>
                <w:bCs/>
                <w:iCs/>
                <w:lang w:val="af-ZA"/>
              </w:rPr>
              <w:t xml:space="preserve"> </w:t>
            </w:r>
            <w:r w:rsidRPr="0053423A">
              <w:rPr>
                <w:bCs/>
                <w:iCs/>
              </w:rPr>
              <w:t>համալիր</w:t>
            </w:r>
            <w:r w:rsidRPr="0053423A">
              <w:rPr>
                <w:bCs/>
                <w:iCs/>
                <w:lang w:val="af-ZA"/>
              </w:rPr>
              <w:t xml:space="preserve"> </w:t>
            </w:r>
            <w:r w:rsidRPr="0053423A">
              <w:rPr>
                <w:bCs/>
                <w:iCs/>
              </w:rPr>
              <w:t>վերանայում</w:t>
            </w:r>
            <w:r w:rsidRPr="0053423A">
              <w:rPr>
                <w:bCs/>
                <w:iCs/>
                <w:lang w:val="en-US"/>
              </w:rPr>
              <w:t xml:space="preserve"> </w:t>
            </w:r>
            <w:r w:rsidRPr="0053423A">
              <w:rPr>
                <w:bCs/>
                <w:iCs/>
              </w:rPr>
              <w:t>և</w:t>
            </w:r>
            <w:r w:rsidRPr="0053423A">
              <w:rPr>
                <w:bCs/>
                <w:iCs/>
                <w:lang w:val="af-ZA"/>
              </w:rPr>
              <w:t xml:space="preserve"> </w:t>
            </w:r>
            <w:r w:rsidRPr="0053423A">
              <w:rPr>
                <w:bCs/>
                <w:iCs/>
              </w:rPr>
              <w:t>արդիականացում</w:t>
            </w:r>
            <w:r w:rsidRPr="0053423A">
              <w:rPr>
                <w:bCs/>
                <w:iCs/>
                <w:lang w:val="en-US"/>
              </w:rPr>
              <w:t>:</w:t>
            </w:r>
          </w:p>
          <w:p w:rsidR="00D75F05" w:rsidRPr="0053423A" w:rsidRDefault="00D75F05" w:rsidP="001F6D5D">
            <w:pPr>
              <w:pStyle w:val="ListParagraph"/>
              <w:numPr>
                <w:ilvl w:val="0"/>
                <w:numId w:val="323"/>
              </w:numPr>
              <w:spacing w:line="276" w:lineRule="auto"/>
              <w:ind w:left="0" w:firstLine="0"/>
              <w:rPr>
                <w:b/>
              </w:rPr>
            </w:pPr>
            <w:r w:rsidRPr="0053423A">
              <w:rPr>
                <w:b/>
              </w:rPr>
              <w:t>Միջոցառման</w:t>
            </w:r>
            <w:r w:rsidRPr="0053423A">
              <w:rPr>
                <w:b/>
                <w:lang w:val="af-ZA"/>
              </w:rPr>
              <w:t xml:space="preserve"> </w:t>
            </w:r>
            <w:r w:rsidRPr="0053423A">
              <w:rPr>
                <w:b/>
              </w:rPr>
              <w:t>իրակա</w:t>
            </w:r>
            <w:r w:rsidRPr="0053423A">
              <w:rPr>
                <w:b/>
                <w:lang w:val="hy-AM"/>
              </w:rPr>
              <w:t>նա</w:t>
            </w:r>
            <w:r w:rsidRPr="0053423A">
              <w:rPr>
                <w:b/>
              </w:rPr>
              <w:t>ցումից</w:t>
            </w:r>
            <w:r w:rsidRPr="0053423A">
              <w:rPr>
                <w:b/>
                <w:lang w:val="af-ZA"/>
              </w:rPr>
              <w:t xml:space="preserve"> </w:t>
            </w:r>
            <w:r w:rsidRPr="0053423A">
              <w:rPr>
                <w:b/>
              </w:rPr>
              <w:t>ակնկալվող</w:t>
            </w:r>
            <w:r w:rsidRPr="0053423A">
              <w:rPr>
                <w:b/>
                <w:lang w:val="af-ZA"/>
              </w:rPr>
              <w:t xml:space="preserve"> </w:t>
            </w:r>
            <w:r w:rsidRPr="0053423A">
              <w:rPr>
                <w:b/>
              </w:rPr>
              <w:t>արդյունքը</w:t>
            </w:r>
          </w:p>
          <w:p w:rsidR="00D75F05" w:rsidRPr="0053423A" w:rsidRDefault="00D75F05" w:rsidP="00A67858">
            <w:pPr>
              <w:spacing w:line="276" w:lineRule="auto"/>
              <w:jc w:val="both"/>
              <w:rPr>
                <w:rFonts w:cs="Sylfaen"/>
                <w:b/>
                <w:u w:val="single"/>
                <w:lang w:val="af-ZA"/>
              </w:rPr>
            </w:pPr>
            <w:r w:rsidRPr="0053423A">
              <w:rPr>
                <w:lang w:val="af-ZA"/>
              </w:rPr>
              <w:t>Հ</w:t>
            </w:r>
            <w:r w:rsidRPr="0053423A">
              <w:t>ավասար</w:t>
            </w:r>
            <w:r w:rsidRPr="0053423A">
              <w:rPr>
                <w:lang w:val="af-ZA"/>
              </w:rPr>
              <w:t xml:space="preserve">, </w:t>
            </w:r>
            <w:r w:rsidRPr="0053423A">
              <w:t>մրցակցային</w:t>
            </w:r>
            <w:r w:rsidRPr="0053423A">
              <w:rPr>
                <w:lang w:val="af-ZA"/>
              </w:rPr>
              <w:t xml:space="preserve"> </w:t>
            </w:r>
            <w:r w:rsidRPr="0053423A">
              <w:t>պայմաններում</w:t>
            </w:r>
            <w:r w:rsidRPr="0053423A">
              <w:rPr>
                <w:lang w:val="af-ZA"/>
              </w:rPr>
              <w:t xml:space="preserve"> </w:t>
            </w:r>
            <w:r w:rsidRPr="0053423A">
              <w:t>գործարար</w:t>
            </w:r>
            <w:r w:rsidRPr="0053423A">
              <w:rPr>
                <w:lang w:val="af-ZA"/>
              </w:rPr>
              <w:t xml:space="preserve"> </w:t>
            </w:r>
            <w:r w:rsidRPr="0053423A">
              <w:t>հմտություններ</w:t>
            </w:r>
            <w:r w:rsidRPr="0053423A">
              <w:rPr>
                <w:lang w:val="af-ZA"/>
              </w:rPr>
              <w:t xml:space="preserve"> </w:t>
            </w:r>
            <w:r w:rsidRPr="0053423A">
              <w:t>ունեցող</w:t>
            </w:r>
            <w:r w:rsidRPr="0053423A">
              <w:rPr>
                <w:lang w:val="af-ZA"/>
              </w:rPr>
              <w:t xml:space="preserve"> </w:t>
            </w:r>
            <w:r w:rsidRPr="0053423A">
              <w:t>յուրաքանչյուր</w:t>
            </w:r>
            <w:r w:rsidRPr="0053423A">
              <w:rPr>
                <w:lang w:val="af-ZA"/>
              </w:rPr>
              <w:t xml:space="preserve"> </w:t>
            </w:r>
            <w:r w:rsidRPr="0053423A">
              <w:t>անձի</w:t>
            </w:r>
            <w:r w:rsidRPr="0053423A">
              <w:rPr>
                <w:lang w:val="af-ZA"/>
              </w:rPr>
              <w:t xml:space="preserve"> </w:t>
            </w:r>
            <w:r w:rsidRPr="0053423A">
              <w:t>համար</w:t>
            </w:r>
            <w:r w:rsidRPr="0053423A">
              <w:rPr>
                <w:lang w:val="af-ZA"/>
              </w:rPr>
              <w:t xml:space="preserve"> </w:t>
            </w:r>
            <w:r w:rsidRPr="0053423A">
              <w:t>բիզնես</w:t>
            </w:r>
            <w:r w:rsidRPr="0053423A">
              <w:rPr>
                <w:lang w:val="af-ZA"/>
              </w:rPr>
              <w:t xml:space="preserve"> </w:t>
            </w:r>
            <w:r w:rsidRPr="0053423A">
              <w:t>արդյունքի</w:t>
            </w:r>
            <w:r w:rsidRPr="0053423A">
              <w:rPr>
                <w:lang w:val="af-ZA"/>
              </w:rPr>
              <w:t xml:space="preserve"> </w:t>
            </w:r>
            <w:r w:rsidRPr="0053423A">
              <w:t>ստեղծման</w:t>
            </w:r>
            <w:r w:rsidRPr="0053423A">
              <w:rPr>
                <w:lang w:val="af-ZA"/>
              </w:rPr>
              <w:t xml:space="preserve"> </w:t>
            </w:r>
            <w:r w:rsidRPr="0053423A">
              <w:t>և</w:t>
            </w:r>
            <w:r w:rsidRPr="0053423A">
              <w:rPr>
                <w:lang w:val="af-ZA"/>
              </w:rPr>
              <w:t xml:space="preserve">  </w:t>
            </w:r>
            <w:r w:rsidRPr="0053423A">
              <w:t>բարեկեցության</w:t>
            </w:r>
            <w:r w:rsidRPr="0053423A">
              <w:rPr>
                <w:lang w:val="af-ZA"/>
              </w:rPr>
              <w:t xml:space="preserve"> պայմանների </w:t>
            </w:r>
            <w:r w:rsidRPr="0053423A">
              <w:t>ապահովում</w:t>
            </w:r>
            <w:r w:rsidRPr="0053423A">
              <w:rPr>
                <w:lang w:val="af-ZA"/>
              </w:rPr>
              <w:t xml:space="preserve"> և </w:t>
            </w:r>
            <w:r w:rsidRPr="0053423A">
              <w:t>արդի</w:t>
            </w:r>
            <w:r w:rsidRPr="0053423A">
              <w:rPr>
                <w:rFonts w:cs="Arial Armenian"/>
                <w:lang w:val="af-ZA"/>
              </w:rPr>
              <w:t xml:space="preserve"> </w:t>
            </w:r>
            <w:r w:rsidRPr="0053423A">
              <w:t>պահանջարկին</w:t>
            </w:r>
            <w:r w:rsidRPr="0053423A">
              <w:rPr>
                <w:lang w:val="af-ZA"/>
              </w:rPr>
              <w:t xml:space="preserve"> </w:t>
            </w:r>
            <w:r w:rsidRPr="0053423A">
              <w:t>համապատասխան</w:t>
            </w:r>
            <w:r w:rsidRPr="0053423A">
              <w:rPr>
                <w:lang w:val="af-ZA"/>
              </w:rPr>
              <w:t xml:space="preserve"> </w:t>
            </w:r>
            <w:r w:rsidRPr="0053423A">
              <w:t>որակավորված</w:t>
            </w:r>
            <w:r w:rsidRPr="0053423A">
              <w:rPr>
                <w:lang w:val="af-ZA"/>
              </w:rPr>
              <w:t xml:space="preserve"> </w:t>
            </w:r>
            <w:r w:rsidRPr="0053423A">
              <w:t>տնտեսվարող</w:t>
            </w:r>
            <w:r w:rsidRPr="0053423A">
              <w:rPr>
                <w:lang w:val="af-ZA"/>
              </w:rPr>
              <w:t xml:space="preserve"> </w:t>
            </w:r>
            <w:r w:rsidRPr="0053423A">
              <w:t>սուբյեկտների</w:t>
            </w:r>
            <w:r w:rsidRPr="0053423A">
              <w:rPr>
                <w:lang w:val="af-ZA"/>
              </w:rPr>
              <w:t xml:space="preserve"> </w:t>
            </w:r>
            <w:r w:rsidRPr="0053423A">
              <w:t>ձևավորում:</w:t>
            </w:r>
          </w:p>
        </w:tc>
      </w:tr>
      <w:tr w:rsidR="00D75F05" w:rsidRPr="00DE2EFA" w:rsidTr="00D75F05">
        <w:tc>
          <w:tcPr>
            <w:tcW w:w="450" w:type="dxa"/>
          </w:tcPr>
          <w:p w:rsidR="00D75F05" w:rsidRPr="0053423A" w:rsidRDefault="00D75F05" w:rsidP="00A67858">
            <w:pPr>
              <w:pStyle w:val="ListParagraph"/>
              <w:spacing w:line="276" w:lineRule="auto"/>
              <w:ind w:left="0"/>
              <w:jc w:val="center"/>
              <w:rPr>
                <w:rFonts w:cs="Sylfaen"/>
                <w:b/>
                <w:lang w:val="hy-AM"/>
              </w:rPr>
            </w:pPr>
            <w:r w:rsidRPr="0053423A">
              <w:rPr>
                <w:rFonts w:cs="Sylfaen"/>
                <w:b/>
                <w:lang w:val="hy-AM"/>
              </w:rPr>
              <w:t>5</w:t>
            </w:r>
          </w:p>
        </w:tc>
        <w:tc>
          <w:tcPr>
            <w:tcW w:w="11160" w:type="dxa"/>
          </w:tcPr>
          <w:p w:rsidR="00D75F05" w:rsidRPr="0053423A" w:rsidRDefault="00D75F05" w:rsidP="00A67858">
            <w:pPr>
              <w:spacing w:line="276" w:lineRule="auto"/>
              <w:ind w:left="7"/>
              <w:jc w:val="center"/>
              <w:rPr>
                <w:b/>
                <w:lang w:val="af-ZA"/>
              </w:rPr>
            </w:pPr>
            <w:r w:rsidRPr="0053423A">
              <w:rPr>
                <w:b/>
                <w:lang w:val="af-ZA"/>
              </w:rPr>
              <w:t xml:space="preserve">Ճարտարապետա-շինարարական նախագծերի և </w:t>
            </w:r>
            <w:r w:rsidRPr="0053423A">
              <w:rPr>
                <w:b/>
                <w:lang w:val="hy-AM"/>
              </w:rPr>
              <w:t>շինարարության որակի</w:t>
            </w:r>
            <w:r w:rsidRPr="0053423A">
              <w:rPr>
                <w:b/>
                <w:lang w:val="af-ZA"/>
              </w:rPr>
              <w:t xml:space="preserve"> բարելավում</w:t>
            </w:r>
          </w:p>
          <w:p w:rsidR="00D75F05" w:rsidRPr="0053423A" w:rsidRDefault="00D75F05" w:rsidP="00A67858">
            <w:pPr>
              <w:spacing w:line="276" w:lineRule="auto"/>
              <w:ind w:left="7"/>
              <w:jc w:val="center"/>
              <w:rPr>
                <w:b/>
                <w:lang w:val="af-ZA"/>
              </w:rPr>
            </w:pPr>
          </w:p>
          <w:p w:rsidR="00D75F05" w:rsidRPr="0053423A" w:rsidRDefault="00D75F05" w:rsidP="00A67858">
            <w:pPr>
              <w:spacing w:line="276" w:lineRule="auto"/>
              <w:ind w:left="7"/>
              <w:jc w:val="center"/>
              <w:rPr>
                <w:b/>
                <w:u w:val="single"/>
                <w:lang w:val="af-ZA"/>
              </w:rPr>
            </w:pPr>
            <w:r w:rsidRPr="0053423A">
              <w:rPr>
                <w:b/>
                <w:u w:val="single"/>
                <w:lang w:val="af-ZA"/>
              </w:rPr>
              <w:t>5.1</w:t>
            </w:r>
            <w:r w:rsidRPr="0053423A">
              <w:rPr>
                <w:u w:val="single"/>
                <w:lang w:val="af-ZA"/>
              </w:rPr>
              <w:t xml:space="preserve">  </w:t>
            </w:r>
            <w:r w:rsidRPr="0053423A">
              <w:rPr>
                <w:b/>
                <w:u w:val="single"/>
                <w:lang w:val="af-ZA"/>
              </w:rPr>
              <w:t></w:t>
            </w:r>
            <w:r w:rsidRPr="0053423A">
              <w:rPr>
                <w:b/>
                <w:u w:val="single"/>
              </w:rPr>
              <w:t>Քաղաքաշինության</w:t>
            </w:r>
            <w:r w:rsidRPr="0053423A">
              <w:rPr>
                <w:b/>
                <w:u w:val="single"/>
                <w:lang w:val="af-ZA"/>
              </w:rPr>
              <w:t xml:space="preserve"> </w:t>
            </w:r>
            <w:r w:rsidRPr="0053423A">
              <w:rPr>
                <w:b/>
                <w:u w:val="single"/>
              </w:rPr>
              <w:t>մասին</w:t>
            </w:r>
            <w:r w:rsidRPr="0053423A">
              <w:rPr>
                <w:b/>
                <w:u w:val="single"/>
                <w:lang w:val="af-ZA"/>
              </w:rPr>
              <w:t> և </w:t>
            </w:r>
            <w:r w:rsidRPr="0053423A">
              <w:rPr>
                <w:b/>
                <w:u w:val="single"/>
              </w:rPr>
              <w:t>Գնումների</w:t>
            </w:r>
            <w:r w:rsidRPr="0053423A">
              <w:rPr>
                <w:b/>
                <w:u w:val="single"/>
                <w:lang w:val="af-ZA"/>
              </w:rPr>
              <w:t xml:space="preserve"> </w:t>
            </w:r>
            <w:r w:rsidRPr="0053423A">
              <w:rPr>
                <w:b/>
                <w:u w:val="single"/>
              </w:rPr>
              <w:t>մասին</w:t>
            </w:r>
            <w:r w:rsidRPr="0053423A">
              <w:rPr>
                <w:b/>
                <w:u w:val="single"/>
                <w:lang w:val="af-ZA"/>
              </w:rPr>
              <w:t xml:space="preserve"> </w:t>
            </w:r>
            <w:r w:rsidRPr="0053423A">
              <w:rPr>
                <w:b/>
                <w:u w:val="single"/>
              </w:rPr>
              <w:t>Հայաստանի</w:t>
            </w:r>
            <w:r w:rsidRPr="0053423A">
              <w:rPr>
                <w:b/>
                <w:u w:val="single"/>
                <w:lang w:val="hy-AM"/>
              </w:rPr>
              <w:t xml:space="preserve"> </w:t>
            </w:r>
            <w:r w:rsidRPr="0053423A">
              <w:rPr>
                <w:b/>
                <w:u w:val="single"/>
              </w:rPr>
              <w:t>Հանրապետության</w:t>
            </w:r>
            <w:r w:rsidRPr="0053423A">
              <w:rPr>
                <w:b/>
                <w:u w:val="single"/>
                <w:lang w:val="af-ZA"/>
              </w:rPr>
              <w:t xml:space="preserve"> </w:t>
            </w:r>
            <w:r w:rsidRPr="0053423A">
              <w:rPr>
                <w:b/>
                <w:u w:val="single"/>
              </w:rPr>
              <w:t>օրենքներում</w:t>
            </w:r>
            <w:r w:rsidRPr="0053423A">
              <w:rPr>
                <w:b/>
                <w:u w:val="single"/>
                <w:lang w:val="af-ZA"/>
              </w:rPr>
              <w:t xml:space="preserve"> </w:t>
            </w:r>
            <w:r w:rsidRPr="0053423A">
              <w:rPr>
                <w:b/>
                <w:u w:val="single"/>
              </w:rPr>
              <w:t>փոփոխություններ</w:t>
            </w:r>
            <w:r w:rsidRPr="0053423A">
              <w:rPr>
                <w:b/>
                <w:u w:val="single"/>
                <w:lang w:val="af-ZA"/>
              </w:rPr>
              <w:t xml:space="preserve"> </w:t>
            </w:r>
            <w:r w:rsidRPr="0053423A">
              <w:rPr>
                <w:b/>
                <w:u w:val="single"/>
              </w:rPr>
              <w:t>կատարելու</w:t>
            </w:r>
            <w:r w:rsidRPr="0053423A">
              <w:rPr>
                <w:b/>
                <w:u w:val="single"/>
                <w:lang w:val="af-ZA"/>
              </w:rPr>
              <w:t xml:space="preserve"> </w:t>
            </w:r>
            <w:r w:rsidRPr="0053423A">
              <w:rPr>
                <w:b/>
                <w:u w:val="single"/>
              </w:rPr>
              <w:t>մասին</w:t>
            </w:r>
            <w:r w:rsidRPr="0053423A">
              <w:rPr>
                <w:b/>
                <w:u w:val="single"/>
                <w:lang w:val="af-ZA"/>
              </w:rPr>
              <w:t xml:space="preserve"> ՀՀ օրենքի </w:t>
            </w:r>
            <w:r w:rsidRPr="0053423A">
              <w:rPr>
                <w:rFonts w:cs="Sylfaen"/>
                <w:b/>
                <w:u w:val="single"/>
              </w:rPr>
              <w:t>նախագծի</w:t>
            </w:r>
            <w:r w:rsidRPr="0053423A">
              <w:rPr>
                <w:rFonts w:cs="Sylfaen"/>
                <w:b/>
                <w:u w:val="single"/>
                <w:lang w:val="hy-AM"/>
              </w:rPr>
              <w:t xml:space="preserve"> ներկայացում</w:t>
            </w:r>
            <w:r w:rsidRPr="0053423A">
              <w:rPr>
                <w:rFonts w:cs="Sylfaen"/>
                <w:b/>
                <w:u w:val="single"/>
                <w:lang w:val="af-ZA"/>
              </w:rPr>
              <w:t xml:space="preserve"> </w:t>
            </w:r>
            <w:r w:rsidRPr="0053423A">
              <w:rPr>
                <w:rFonts w:cs="Sylfaen"/>
                <w:b/>
                <w:u w:val="single"/>
                <w:lang w:val="hy-AM"/>
              </w:rPr>
              <w:t>ՀՀ</w:t>
            </w:r>
            <w:r w:rsidRPr="0053423A">
              <w:rPr>
                <w:rFonts w:cs="Sylfaen"/>
                <w:b/>
                <w:u w:val="single"/>
                <w:lang w:val="af-ZA"/>
              </w:rPr>
              <w:t xml:space="preserve"> </w:t>
            </w:r>
            <w:r w:rsidRPr="0053423A">
              <w:rPr>
                <w:rFonts w:cs="Sylfaen"/>
                <w:b/>
                <w:u w:val="single"/>
                <w:lang w:val="hy-AM"/>
              </w:rPr>
              <w:t>վարչապետի</w:t>
            </w:r>
            <w:r w:rsidRPr="0053423A">
              <w:rPr>
                <w:rFonts w:cs="Sylfaen"/>
                <w:b/>
                <w:u w:val="single"/>
                <w:lang w:val="af-ZA"/>
              </w:rPr>
              <w:t xml:space="preserve"> </w:t>
            </w:r>
            <w:r w:rsidRPr="0053423A">
              <w:rPr>
                <w:rFonts w:cs="Sylfaen"/>
                <w:b/>
                <w:u w:val="single"/>
                <w:lang w:val="hy-AM"/>
              </w:rPr>
              <w:t>աշխատա</w:t>
            </w:r>
            <w:r w:rsidRPr="0053423A">
              <w:rPr>
                <w:rFonts w:cs="Sylfaen"/>
                <w:b/>
                <w:u w:val="single"/>
                <w:lang w:val="hy-AM"/>
              </w:rPr>
              <w:softHyphen/>
              <w:t>կազմ</w:t>
            </w:r>
            <w:r w:rsidRPr="0053423A">
              <w:rPr>
                <w:b/>
                <w:u w:val="single"/>
                <w:lang w:val="af-ZA"/>
              </w:rPr>
              <w:t xml:space="preserve">, ՀՀ կառավարության 2015 </w:t>
            </w:r>
            <w:r w:rsidRPr="0053423A">
              <w:rPr>
                <w:b/>
                <w:u w:val="single"/>
              </w:rPr>
              <w:t>թվականի</w:t>
            </w:r>
            <w:r w:rsidRPr="0053423A">
              <w:rPr>
                <w:b/>
                <w:u w:val="single"/>
                <w:lang w:val="af-ZA"/>
              </w:rPr>
              <w:t xml:space="preserve"> </w:t>
            </w:r>
            <w:r w:rsidRPr="0053423A">
              <w:rPr>
                <w:b/>
                <w:u w:val="single"/>
              </w:rPr>
              <w:t>մարտի</w:t>
            </w:r>
            <w:r w:rsidRPr="0053423A">
              <w:rPr>
                <w:b/>
                <w:u w:val="single"/>
                <w:lang w:val="af-ZA"/>
              </w:rPr>
              <w:t xml:space="preserve"> 19-</w:t>
            </w:r>
            <w:r w:rsidRPr="0053423A">
              <w:rPr>
                <w:b/>
                <w:u w:val="single"/>
              </w:rPr>
              <w:t>ի</w:t>
            </w:r>
            <w:r w:rsidRPr="0053423A">
              <w:rPr>
                <w:b/>
                <w:u w:val="single"/>
                <w:lang w:val="af-ZA"/>
              </w:rPr>
              <w:t xml:space="preserve"> N596-</w:t>
            </w:r>
            <w:r w:rsidRPr="0053423A">
              <w:rPr>
                <w:b/>
                <w:u w:val="single"/>
              </w:rPr>
              <w:t>Ն</w:t>
            </w:r>
            <w:r w:rsidRPr="0053423A">
              <w:rPr>
                <w:b/>
                <w:u w:val="single"/>
                <w:lang w:val="af-ZA"/>
              </w:rPr>
              <w:t xml:space="preserve"> </w:t>
            </w:r>
            <w:r w:rsidRPr="0053423A">
              <w:rPr>
                <w:b/>
                <w:u w:val="single"/>
              </w:rPr>
              <w:t>և</w:t>
            </w:r>
            <w:r w:rsidRPr="0053423A">
              <w:rPr>
                <w:b/>
                <w:u w:val="single"/>
                <w:lang w:val="af-ZA"/>
              </w:rPr>
              <w:t xml:space="preserve"> 2017 </w:t>
            </w:r>
            <w:r w:rsidRPr="0053423A">
              <w:rPr>
                <w:b/>
                <w:u w:val="single"/>
              </w:rPr>
              <w:t>թվականի</w:t>
            </w:r>
            <w:r w:rsidRPr="0053423A">
              <w:rPr>
                <w:b/>
                <w:u w:val="single"/>
                <w:lang w:val="af-ZA"/>
              </w:rPr>
              <w:t xml:space="preserve"> </w:t>
            </w:r>
            <w:r w:rsidRPr="0053423A">
              <w:rPr>
                <w:b/>
                <w:u w:val="single"/>
              </w:rPr>
              <w:t>մայիսի</w:t>
            </w:r>
            <w:r w:rsidRPr="0053423A">
              <w:rPr>
                <w:b/>
                <w:u w:val="single"/>
                <w:lang w:val="af-ZA"/>
              </w:rPr>
              <w:t xml:space="preserve"> 4-</w:t>
            </w:r>
            <w:r w:rsidRPr="0053423A">
              <w:rPr>
                <w:b/>
                <w:u w:val="single"/>
              </w:rPr>
              <w:t>ի</w:t>
            </w:r>
            <w:r w:rsidRPr="0053423A">
              <w:rPr>
                <w:b/>
                <w:u w:val="single"/>
                <w:lang w:val="af-ZA"/>
              </w:rPr>
              <w:t xml:space="preserve"> N526-</w:t>
            </w:r>
            <w:r w:rsidRPr="0053423A">
              <w:rPr>
                <w:b/>
                <w:u w:val="single"/>
              </w:rPr>
              <w:t>Ն</w:t>
            </w:r>
            <w:r w:rsidRPr="0053423A">
              <w:rPr>
                <w:b/>
                <w:u w:val="single"/>
                <w:lang w:val="af-ZA"/>
              </w:rPr>
              <w:t xml:space="preserve"> </w:t>
            </w:r>
            <w:r w:rsidRPr="0053423A">
              <w:rPr>
                <w:b/>
                <w:u w:val="single"/>
              </w:rPr>
              <w:t>որոշումների</w:t>
            </w:r>
            <w:r w:rsidRPr="0053423A">
              <w:rPr>
                <w:b/>
                <w:u w:val="single"/>
                <w:lang w:val="af-ZA"/>
              </w:rPr>
              <w:t xml:space="preserve"> </w:t>
            </w:r>
            <w:r w:rsidRPr="0053423A">
              <w:rPr>
                <w:b/>
                <w:u w:val="single"/>
              </w:rPr>
              <w:t>վերանայում</w:t>
            </w:r>
          </w:p>
          <w:p w:rsidR="00D75F05" w:rsidRPr="0053423A" w:rsidRDefault="00D75F05" w:rsidP="00A67858">
            <w:pPr>
              <w:spacing w:line="276" w:lineRule="auto"/>
              <w:ind w:left="7"/>
              <w:rPr>
                <w:b/>
                <w:highlight w:val="yellow"/>
                <w:lang w:val="af-ZA"/>
              </w:rPr>
            </w:pPr>
          </w:p>
          <w:p w:rsidR="00D75F05" w:rsidRPr="0053423A" w:rsidRDefault="00D75F05" w:rsidP="00A67858">
            <w:pPr>
              <w:spacing w:line="276" w:lineRule="auto"/>
              <w:ind w:left="7"/>
              <w:rPr>
                <w:b/>
                <w:lang w:val="hy-AM"/>
              </w:rPr>
            </w:pPr>
            <w:r w:rsidRPr="0053423A">
              <w:rPr>
                <w:rFonts w:cs="Sylfaen"/>
                <w:b/>
                <w:lang w:val="af-ZA"/>
              </w:rPr>
              <w:t xml:space="preserve">1. </w:t>
            </w:r>
            <w:r w:rsidRPr="0053423A">
              <w:rPr>
                <w:rFonts w:cs="Sylfaen"/>
                <w:b/>
                <w:lang w:val="hy-AM"/>
              </w:rPr>
              <w:t>Միջոցառման</w:t>
            </w:r>
            <w:r w:rsidRPr="0053423A">
              <w:rPr>
                <w:b/>
                <w:lang w:val="hy-AM"/>
              </w:rPr>
              <w:t xml:space="preserve"> </w:t>
            </w:r>
            <w:r w:rsidRPr="0053423A">
              <w:rPr>
                <w:rFonts w:cs="Sylfaen"/>
                <w:b/>
                <w:lang w:val="hy-AM"/>
              </w:rPr>
              <w:t>իրականացման</w:t>
            </w:r>
            <w:r w:rsidRPr="0053423A">
              <w:rPr>
                <w:b/>
                <w:lang w:val="hy-AM"/>
              </w:rPr>
              <w:t xml:space="preserve"> </w:t>
            </w:r>
            <w:r w:rsidRPr="0053423A">
              <w:rPr>
                <w:rFonts w:cs="Sylfaen"/>
                <w:b/>
                <w:lang w:val="hy-AM"/>
              </w:rPr>
              <w:t>անհրաժեշ</w:t>
            </w:r>
            <w:r w:rsidRPr="0053423A">
              <w:rPr>
                <w:b/>
                <w:lang w:val="hy-AM"/>
              </w:rPr>
              <w:t>տությունը և նպատակը</w:t>
            </w:r>
          </w:p>
          <w:p w:rsidR="00D75F05" w:rsidRPr="0053423A" w:rsidRDefault="00D75F05" w:rsidP="00A67858">
            <w:pPr>
              <w:spacing w:line="276" w:lineRule="auto"/>
              <w:ind w:left="7"/>
              <w:jc w:val="both"/>
              <w:rPr>
                <w:rFonts w:cs="Sylfaen"/>
                <w:lang w:val="hy-AM"/>
              </w:rPr>
            </w:pPr>
            <w:r w:rsidRPr="0053423A">
              <w:rPr>
                <w:rFonts w:cs="Sylfaen"/>
                <w:lang w:val="hy-AM"/>
              </w:rPr>
              <w:t xml:space="preserve">Միջոցառման անհրաժեշտությունը բխում է </w:t>
            </w:r>
            <w:r w:rsidRPr="0053423A">
              <w:rPr>
                <w:bCs/>
                <w:iCs/>
                <w:lang w:val="hy-AM"/>
              </w:rPr>
              <w:t xml:space="preserve">ՀՀ Սահմանադրության 6-րդ հոդվածի 2-րդ մասի, 86-րդ հոդվածի 9-րդ մասի, Քաղաքաշինության մասին» ՀՀ օրենքի 10-րդ հոդվածի  ա մասի, 10.1 հոդվածի 3-րդ մասի 3-րդ կետի, Նորմատիվ իրավական ակտերի մասին       ՀՀ օրենքի  34-րդ հոդվածի և </w:t>
            </w:r>
            <w:r w:rsidRPr="0053423A">
              <w:rPr>
                <w:rFonts w:cs="Sylfaen"/>
                <w:lang w:val="hy-AM"/>
              </w:rPr>
              <w:t xml:space="preserve">ՀՀ կառավարության ծրագրի Կառավարության խնդիրների            5-րդ գլխի 5.3 կետի պահանջներից: </w:t>
            </w:r>
          </w:p>
          <w:p w:rsidR="00D75F05" w:rsidRPr="0053423A" w:rsidRDefault="00D75F05" w:rsidP="00A67858">
            <w:pPr>
              <w:spacing w:line="276" w:lineRule="auto"/>
              <w:ind w:left="7"/>
              <w:jc w:val="both"/>
              <w:rPr>
                <w:lang w:val="hy-AM"/>
              </w:rPr>
            </w:pPr>
            <w:r w:rsidRPr="0053423A">
              <w:rPr>
                <w:bCs/>
                <w:iCs/>
                <w:lang w:val="hy-AM"/>
              </w:rPr>
              <w:t xml:space="preserve">Միջոցառման իրականացման նպատակն է </w:t>
            </w:r>
            <w:r w:rsidRPr="0053423A">
              <w:rPr>
                <w:lang w:val="hy-AM"/>
              </w:rPr>
              <w:t xml:space="preserve">հավասար, մրցակցային պայմաններում համապատասխան որակավորում և ներուժ ունեցող կապալառուների (այդ թվում նախագծողների, տեխնիկական և հեղինակային հսկողների) ընտրությունը, շինարարական ծրագրի ընթացքի արդյունավետության և պատշաճ վերահսկողության, ծախսերի հասցեականության և որպես հետևանք վերջնական արդյունքի՝  կատարման ենթակա նախագծային և շինարարական աշխատանքների և ծառայությունների մատուցման որակական բարձր չափանիշների ապահովումը:  </w:t>
            </w:r>
          </w:p>
          <w:p w:rsidR="00D75F05" w:rsidRPr="0053423A" w:rsidRDefault="00D75F05" w:rsidP="00A67858">
            <w:pPr>
              <w:spacing w:line="276" w:lineRule="auto"/>
              <w:ind w:left="7"/>
              <w:rPr>
                <w:b/>
                <w:lang w:val="af-ZA"/>
              </w:rPr>
            </w:pPr>
            <w:r w:rsidRPr="0053423A">
              <w:rPr>
                <w:b/>
                <w:lang w:val="af-ZA"/>
              </w:rPr>
              <w:t xml:space="preserve">1.1 </w:t>
            </w:r>
            <w:r w:rsidRPr="0053423A">
              <w:rPr>
                <w:b/>
                <w:lang w:val="hy-AM"/>
              </w:rPr>
              <w:t>Կարգավորման հարաբերությունների ներկա վիճակը և առկա խնդիրները</w:t>
            </w:r>
          </w:p>
          <w:p w:rsidR="00D75F05" w:rsidRPr="0053423A" w:rsidRDefault="00D75F05" w:rsidP="00A67858">
            <w:pPr>
              <w:spacing w:line="276" w:lineRule="auto"/>
              <w:ind w:left="7"/>
              <w:jc w:val="both"/>
              <w:rPr>
                <w:lang w:val="af-ZA"/>
              </w:rPr>
            </w:pPr>
            <w:r w:rsidRPr="0053423A">
              <w:t>Ներկայումս</w:t>
            </w:r>
            <w:r w:rsidRPr="0053423A">
              <w:rPr>
                <w:lang w:val="af-ZA"/>
              </w:rPr>
              <w:t>, </w:t>
            </w:r>
            <w:r w:rsidRPr="0053423A">
              <w:t>Գնումների</w:t>
            </w:r>
            <w:r w:rsidRPr="0053423A">
              <w:rPr>
                <w:lang w:val="af-ZA"/>
              </w:rPr>
              <w:t xml:space="preserve"> </w:t>
            </w:r>
            <w:r w:rsidRPr="0053423A">
              <w:t>մասին</w:t>
            </w:r>
            <w:r w:rsidRPr="0053423A">
              <w:rPr>
                <w:lang w:val="af-ZA"/>
              </w:rPr>
              <w:t xml:space="preserve"> </w:t>
            </w:r>
            <w:r w:rsidRPr="0053423A">
              <w:t>ՀՀ</w:t>
            </w:r>
            <w:r w:rsidRPr="0053423A">
              <w:rPr>
                <w:lang w:val="af-ZA"/>
              </w:rPr>
              <w:t xml:space="preserve"> </w:t>
            </w:r>
            <w:r w:rsidRPr="0053423A">
              <w:t>օրենքի</w:t>
            </w:r>
            <w:r w:rsidRPr="0053423A">
              <w:rPr>
                <w:lang w:val="af-ZA"/>
              </w:rPr>
              <w:t xml:space="preserve"> 34-</w:t>
            </w:r>
            <w:r w:rsidRPr="0053423A">
              <w:t>րդ</w:t>
            </w:r>
            <w:r w:rsidRPr="0053423A">
              <w:rPr>
                <w:lang w:val="af-ZA"/>
              </w:rPr>
              <w:t xml:space="preserve"> </w:t>
            </w:r>
            <w:r w:rsidRPr="0053423A">
              <w:t>հոդվածի</w:t>
            </w:r>
            <w:r w:rsidRPr="0053423A">
              <w:rPr>
                <w:lang w:val="af-ZA"/>
              </w:rPr>
              <w:t xml:space="preserve"> </w:t>
            </w:r>
            <w:r w:rsidRPr="0053423A">
              <w:t>պահանջով՝</w:t>
            </w:r>
            <w:r w:rsidRPr="0053423A">
              <w:rPr>
                <w:lang w:val="af-ZA"/>
              </w:rPr>
              <w:t xml:space="preserve"> </w:t>
            </w:r>
            <w:r w:rsidRPr="0053423A">
              <w:t>հայտերի</w:t>
            </w:r>
            <w:r w:rsidRPr="0053423A">
              <w:rPr>
                <w:lang w:val="af-ZA"/>
              </w:rPr>
              <w:t xml:space="preserve"> </w:t>
            </w:r>
            <w:r w:rsidRPr="0053423A">
              <w:t>գնահատման</w:t>
            </w:r>
            <w:r w:rsidRPr="0053423A">
              <w:rPr>
                <w:lang w:val="af-ZA"/>
              </w:rPr>
              <w:t xml:space="preserve"> </w:t>
            </w:r>
            <w:r w:rsidRPr="0053423A">
              <w:t>հիմնական</w:t>
            </w:r>
            <w:r w:rsidRPr="0053423A">
              <w:rPr>
                <w:lang w:val="af-ZA"/>
              </w:rPr>
              <w:t xml:space="preserve"> </w:t>
            </w:r>
            <w:r w:rsidRPr="0053423A">
              <w:t>սկզբունքը՝</w:t>
            </w:r>
            <w:r w:rsidRPr="0053423A">
              <w:rPr>
                <w:lang w:val="af-ZA"/>
              </w:rPr>
              <w:t xml:space="preserve"> </w:t>
            </w:r>
            <w:r w:rsidRPr="0053423A">
              <w:t>նվազագույն</w:t>
            </w:r>
            <w:r w:rsidRPr="0053423A">
              <w:rPr>
                <w:lang w:val="af-ZA"/>
              </w:rPr>
              <w:t xml:space="preserve"> </w:t>
            </w:r>
            <w:r w:rsidRPr="0053423A">
              <w:t>գնային</w:t>
            </w:r>
            <w:r w:rsidRPr="0053423A">
              <w:rPr>
                <w:lang w:val="af-ZA"/>
              </w:rPr>
              <w:t xml:space="preserve"> </w:t>
            </w:r>
            <w:r w:rsidRPr="0053423A">
              <w:t>առաջարկ</w:t>
            </w:r>
            <w:r w:rsidRPr="0053423A">
              <w:rPr>
                <w:lang w:val="af-ZA"/>
              </w:rPr>
              <w:t xml:space="preserve"> </w:t>
            </w:r>
            <w:r w:rsidRPr="0053423A">
              <w:t>ներկայացրած</w:t>
            </w:r>
            <w:r w:rsidRPr="0053423A">
              <w:rPr>
                <w:lang w:val="af-ZA"/>
              </w:rPr>
              <w:t xml:space="preserve"> </w:t>
            </w:r>
            <w:r w:rsidRPr="0053423A">
              <w:t>մասնակցին</w:t>
            </w:r>
            <w:r w:rsidRPr="0053423A">
              <w:rPr>
                <w:lang w:val="af-ZA"/>
              </w:rPr>
              <w:t xml:space="preserve"> </w:t>
            </w:r>
            <w:r w:rsidRPr="0053423A">
              <w:t>նախապատվություն</w:t>
            </w:r>
            <w:r w:rsidRPr="0053423A">
              <w:rPr>
                <w:lang w:val="af-ZA"/>
              </w:rPr>
              <w:t xml:space="preserve"> </w:t>
            </w:r>
            <w:r w:rsidRPr="0053423A">
              <w:t>տալն</w:t>
            </w:r>
            <w:r w:rsidRPr="0053423A">
              <w:rPr>
                <w:lang w:val="af-ZA"/>
              </w:rPr>
              <w:t xml:space="preserve"> </w:t>
            </w:r>
            <w:r w:rsidRPr="0053423A">
              <w:t>է</w:t>
            </w:r>
            <w:r w:rsidRPr="0053423A">
              <w:rPr>
                <w:lang w:val="af-ZA"/>
              </w:rPr>
              <w:t>:</w:t>
            </w:r>
          </w:p>
          <w:p w:rsidR="00D75F05" w:rsidRPr="0053423A" w:rsidRDefault="00D75F05" w:rsidP="00A67858">
            <w:pPr>
              <w:spacing w:line="276" w:lineRule="auto"/>
              <w:ind w:left="7"/>
              <w:jc w:val="both"/>
              <w:rPr>
                <w:lang w:val="af-ZA"/>
              </w:rPr>
            </w:pPr>
            <w:r w:rsidRPr="0053423A">
              <w:rPr>
                <w:lang w:val="af-ZA"/>
              </w:rPr>
              <w:t xml:space="preserve">Ակնհայտ է, որ ծավալուն և ծախսատար շինարարական օբյեկտների գնման գործընթացի արդյունքային ցուցանիշը փոխկապակցված է մի շարք պատասխանատու և ժամանակատար գործընթացների հետ և ունի ռիսկայության բարձր գործոն: </w:t>
            </w:r>
          </w:p>
          <w:p w:rsidR="00D75F05" w:rsidRPr="0053423A" w:rsidRDefault="00D75F05" w:rsidP="00A67858">
            <w:pPr>
              <w:spacing w:line="276" w:lineRule="auto"/>
              <w:ind w:left="7"/>
              <w:jc w:val="both"/>
              <w:rPr>
                <w:lang w:val="af-ZA"/>
              </w:rPr>
            </w:pPr>
            <w:r w:rsidRPr="0053423A">
              <w:rPr>
                <w:lang w:val="af-ZA"/>
              </w:rPr>
              <w:t>Արդյունքում, հաճախ ընտրված մասնակիցների մեծ մասը չի համապատասխանում որակավորման, փորձառության, գիտելիքների, հմտությունների ակնկալվող մակարդակին, իրականացնում են աշխատանքներ կամ մատուցում ծառայություններ  ոչ համարժեք (գործող շուկայի իրական կարիքին չհամապատասխանող գնային նվազագույն (մինչև 40-45% շեղումով) առաջարկի ներկայացմամբ) ֆինանսական միջոցների ծախսմամբ, ինչը հանգեցնում է նրան, որ ծրագրի կատարման ընթացքում բախվում ենք գրեթե անլուծելի խնդիրների հետ (մշակում են թերի լրակազմով և էական բացթողումներով նախագծային փաստաթղթեր, կատարում են անորակ վերահսկողություն, շինարարական աշխատանքների ընթացքում չեն ապահովում նորմատիվ փաստաթղթերով ամրագրված շինարարության բարդ տեխնոլոգիային բնորոշ միջոցառումները):</w:t>
            </w:r>
          </w:p>
          <w:p w:rsidR="00D75F05" w:rsidRPr="0053423A" w:rsidRDefault="00D75F05" w:rsidP="00A67858">
            <w:pPr>
              <w:spacing w:line="276" w:lineRule="auto"/>
              <w:ind w:left="7"/>
              <w:jc w:val="both"/>
              <w:rPr>
                <w:lang w:val="af-ZA"/>
              </w:rPr>
            </w:pPr>
            <w:r w:rsidRPr="0053423A">
              <w:rPr>
                <w:lang w:val="af-ZA"/>
              </w:rPr>
              <w:t xml:space="preserve">Գնումների պլանավորման, </w:t>
            </w:r>
            <w:r w:rsidRPr="0053423A">
              <w:t>գնման</w:t>
            </w:r>
            <w:r w:rsidRPr="0053423A">
              <w:rPr>
                <w:lang w:val="af-ZA"/>
              </w:rPr>
              <w:t xml:space="preserve"> </w:t>
            </w:r>
            <w:r w:rsidRPr="0053423A">
              <w:t>առարկայի</w:t>
            </w:r>
            <w:r w:rsidRPr="0053423A">
              <w:rPr>
                <w:lang w:val="af-ZA"/>
              </w:rPr>
              <w:t xml:space="preserve"> </w:t>
            </w:r>
            <w:r w:rsidRPr="0053423A">
              <w:t>բնութագրերի</w:t>
            </w:r>
            <w:r w:rsidRPr="0053423A">
              <w:rPr>
                <w:lang w:val="ro-RO"/>
              </w:rPr>
              <w:t xml:space="preserve"> </w:t>
            </w:r>
            <w:r w:rsidRPr="0053423A">
              <w:t>կազմման</w:t>
            </w:r>
            <w:r w:rsidRPr="0053423A">
              <w:rPr>
                <w:lang w:val="af-ZA"/>
              </w:rPr>
              <w:t xml:space="preserve">, </w:t>
            </w:r>
            <w:r w:rsidRPr="0053423A">
              <w:t>պայմանագրերի</w:t>
            </w:r>
            <w:r w:rsidRPr="0053423A">
              <w:rPr>
                <w:lang w:val="af-ZA"/>
              </w:rPr>
              <w:t xml:space="preserve"> </w:t>
            </w:r>
            <w:r w:rsidRPr="0053423A">
              <w:t>կատարման</w:t>
            </w:r>
            <w:r w:rsidRPr="0053423A">
              <w:rPr>
                <w:lang w:val="af-ZA"/>
              </w:rPr>
              <w:t xml:space="preserve"> </w:t>
            </w:r>
            <w:r w:rsidRPr="0053423A">
              <w:t>և</w:t>
            </w:r>
            <w:r w:rsidRPr="0053423A">
              <w:rPr>
                <w:lang w:val="af-ZA"/>
              </w:rPr>
              <w:t xml:space="preserve"> </w:t>
            </w:r>
            <w:r w:rsidRPr="0053423A">
              <w:t>կառավարման</w:t>
            </w:r>
            <w:r w:rsidRPr="0053423A">
              <w:rPr>
                <w:lang w:val="ro-RO"/>
              </w:rPr>
              <w:t xml:space="preserve"> </w:t>
            </w:r>
            <w:r w:rsidRPr="0053423A">
              <w:t>գործում</w:t>
            </w:r>
            <w:r w:rsidRPr="0053423A">
              <w:rPr>
                <w:lang w:val="af-ZA"/>
              </w:rPr>
              <w:t xml:space="preserve"> </w:t>
            </w:r>
            <w:r w:rsidRPr="0053423A">
              <w:t>թերի</w:t>
            </w:r>
            <w:r w:rsidRPr="0053423A">
              <w:rPr>
                <w:lang w:val="af-ZA"/>
              </w:rPr>
              <w:t xml:space="preserve"> </w:t>
            </w:r>
            <w:r w:rsidRPr="0053423A">
              <w:t>գործիքակազմի</w:t>
            </w:r>
            <w:r w:rsidRPr="0053423A">
              <w:rPr>
                <w:lang w:val="af-ZA"/>
              </w:rPr>
              <w:t xml:space="preserve"> առկայության հետևանքներն են՝</w:t>
            </w:r>
          </w:p>
          <w:p w:rsidR="00D75F05" w:rsidRPr="0053423A" w:rsidRDefault="00D75F05" w:rsidP="001F6D5D">
            <w:pPr>
              <w:pStyle w:val="ListParagraph"/>
              <w:numPr>
                <w:ilvl w:val="0"/>
                <w:numId w:val="324"/>
              </w:numPr>
              <w:tabs>
                <w:tab w:val="left" w:pos="180"/>
                <w:tab w:val="left" w:pos="720"/>
              </w:tabs>
              <w:spacing w:line="276" w:lineRule="auto"/>
              <w:ind w:left="7" w:firstLine="0"/>
              <w:jc w:val="both"/>
              <w:rPr>
                <w:rFonts w:cs="Sylfaen"/>
                <w:lang w:val="es-ES"/>
              </w:rPr>
            </w:pPr>
            <w:r w:rsidRPr="0053423A">
              <w:rPr>
                <w:rFonts w:cs="Sylfaen"/>
                <w:lang w:val="es-ES"/>
              </w:rPr>
              <w:t>ընտրված մասնակցի (Կատարողի) բարձր ռիսկային գործոնը,</w:t>
            </w:r>
          </w:p>
          <w:p w:rsidR="00D75F05" w:rsidRPr="0053423A" w:rsidRDefault="00D75F05" w:rsidP="001F6D5D">
            <w:pPr>
              <w:pStyle w:val="ListParagraph"/>
              <w:numPr>
                <w:ilvl w:val="0"/>
                <w:numId w:val="324"/>
              </w:numPr>
              <w:tabs>
                <w:tab w:val="left" w:pos="180"/>
                <w:tab w:val="left" w:pos="720"/>
              </w:tabs>
              <w:spacing w:line="276" w:lineRule="auto"/>
              <w:ind w:left="7" w:firstLine="0"/>
              <w:jc w:val="both"/>
              <w:rPr>
                <w:rFonts w:cs="Sylfaen"/>
                <w:lang w:val="es-ES"/>
              </w:rPr>
            </w:pPr>
            <w:r w:rsidRPr="0053423A">
              <w:rPr>
                <w:rFonts w:cs="Sylfaen"/>
                <w:lang w:val="es-ES"/>
              </w:rPr>
              <w:t>ծրագրի ընթացքի լիարժեք վերահսկողության գրեթե անհնարինությունը,</w:t>
            </w:r>
          </w:p>
          <w:p w:rsidR="00D75F05" w:rsidRPr="0053423A" w:rsidRDefault="00D75F05" w:rsidP="001F6D5D">
            <w:pPr>
              <w:pStyle w:val="ListParagraph"/>
              <w:numPr>
                <w:ilvl w:val="0"/>
                <w:numId w:val="324"/>
              </w:numPr>
              <w:tabs>
                <w:tab w:val="left" w:pos="180"/>
                <w:tab w:val="left" w:pos="720"/>
              </w:tabs>
              <w:spacing w:line="276" w:lineRule="auto"/>
              <w:ind w:left="7" w:firstLine="0"/>
              <w:jc w:val="both"/>
              <w:rPr>
                <w:rFonts w:cs="Sylfaen"/>
                <w:lang w:val="es-ES"/>
              </w:rPr>
            </w:pPr>
            <w:r w:rsidRPr="0053423A">
              <w:rPr>
                <w:rFonts w:cs="Sylfaen"/>
                <w:lang w:val="es-ES"/>
              </w:rPr>
              <w:t>պայմանագրային պարտավորությունների չկատարման և դրա հիմքով պայմանագրերի լուծման հավանականության բարձր աստիճանը,</w:t>
            </w:r>
          </w:p>
          <w:p w:rsidR="00D75F05" w:rsidRPr="0053423A" w:rsidRDefault="00D75F05" w:rsidP="001F6D5D">
            <w:pPr>
              <w:pStyle w:val="ListParagraph"/>
              <w:numPr>
                <w:ilvl w:val="0"/>
                <w:numId w:val="324"/>
              </w:numPr>
              <w:tabs>
                <w:tab w:val="left" w:pos="180"/>
                <w:tab w:val="left" w:pos="720"/>
              </w:tabs>
              <w:spacing w:line="276" w:lineRule="auto"/>
              <w:ind w:left="7" w:firstLine="0"/>
              <w:jc w:val="both"/>
              <w:rPr>
                <w:rFonts w:cs="Sylfaen"/>
                <w:lang w:val="es-ES"/>
              </w:rPr>
            </w:pPr>
            <w:r w:rsidRPr="0053423A">
              <w:rPr>
                <w:rFonts w:cs="Sylfaen"/>
                <w:lang w:val="es-ES"/>
              </w:rPr>
              <w:t>ծրագրով նախատեսված ժամկետների էական խախտումները,</w:t>
            </w:r>
          </w:p>
          <w:p w:rsidR="00D75F05" w:rsidRPr="0053423A" w:rsidRDefault="00D75F05" w:rsidP="001F6D5D">
            <w:pPr>
              <w:pStyle w:val="ListParagraph"/>
              <w:numPr>
                <w:ilvl w:val="0"/>
                <w:numId w:val="324"/>
              </w:numPr>
              <w:tabs>
                <w:tab w:val="left" w:pos="180"/>
                <w:tab w:val="left" w:pos="720"/>
              </w:tabs>
              <w:spacing w:line="276" w:lineRule="auto"/>
              <w:ind w:left="7" w:firstLine="0"/>
              <w:jc w:val="both"/>
              <w:rPr>
                <w:rFonts w:cs="Sylfaen"/>
                <w:lang w:val="es-ES"/>
              </w:rPr>
            </w:pPr>
            <w:r w:rsidRPr="0053423A">
              <w:rPr>
                <w:rFonts w:cs="Sylfaen"/>
                <w:lang w:val="es-ES"/>
              </w:rPr>
              <w:t>կապիտալ ներդրումների ոչ նպատակային ծախսը և ցածրորակ արտադրանքի ձեռքբերման մեծ հավանականությունը</w:t>
            </w:r>
          </w:p>
          <w:p w:rsidR="00D75F05" w:rsidRPr="0053423A" w:rsidRDefault="00D75F05" w:rsidP="001F6D5D">
            <w:pPr>
              <w:pStyle w:val="ListParagraph"/>
              <w:numPr>
                <w:ilvl w:val="1"/>
                <w:numId w:val="330"/>
              </w:numPr>
              <w:spacing w:line="276" w:lineRule="auto"/>
              <w:ind w:left="7" w:firstLine="0"/>
              <w:rPr>
                <w:b/>
                <w:lang w:val="en-US"/>
              </w:rPr>
            </w:pPr>
            <w:r w:rsidRPr="0053423A">
              <w:rPr>
                <w:b/>
                <w:lang w:val="hy-AM"/>
              </w:rPr>
              <w:t>Առկա</w:t>
            </w:r>
            <w:r w:rsidRPr="0053423A">
              <w:rPr>
                <w:b/>
                <w:lang w:val="af-ZA"/>
              </w:rPr>
              <w:t xml:space="preserve"> </w:t>
            </w:r>
            <w:r w:rsidRPr="0053423A">
              <w:rPr>
                <w:b/>
                <w:lang w:val="hy-AM"/>
              </w:rPr>
              <w:t>խնդիրների</w:t>
            </w:r>
            <w:r w:rsidRPr="0053423A">
              <w:rPr>
                <w:b/>
                <w:lang w:val="af-ZA"/>
              </w:rPr>
              <w:t xml:space="preserve"> </w:t>
            </w:r>
            <w:r w:rsidRPr="0053423A">
              <w:rPr>
                <w:b/>
                <w:lang w:val="hy-AM"/>
              </w:rPr>
              <w:t>առաջարկվող</w:t>
            </w:r>
            <w:r w:rsidRPr="0053423A">
              <w:rPr>
                <w:b/>
                <w:lang w:val="af-ZA"/>
              </w:rPr>
              <w:t xml:space="preserve"> </w:t>
            </w:r>
            <w:r w:rsidRPr="0053423A">
              <w:rPr>
                <w:b/>
                <w:lang w:val="hy-AM"/>
              </w:rPr>
              <w:t>լուծումները</w:t>
            </w:r>
          </w:p>
          <w:p w:rsidR="00D75F05" w:rsidRPr="0053423A" w:rsidRDefault="00D75F05" w:rsidP="00A67858">
            <w:pPr>
              <w:spacing w:line="276" w:lineRule="auto"/>
              <w:ind w:left="7"/>
              <w:jc w:val="both"/>
              <w:rPr>
                <w:lang w:val="en-US"/>
              </w:rPr>
            </w:pPr>
            <w:r w:rsidRPr="0053423A">
              <w:rPr>
                <w:bCs/>
                <w:iCs/>
              </w:rPr>
              <w:t>Առաջարկվում</w:t>
            </w:r>
            <w:r w:rsidRPr="0053423A">
              <w:rPr>
                <w:bCs/>
                <w:iCs/>
                <w:lang w:val="en-US"/>
              </w:rPr>
              <w:t xml:space="preserve"> </w:t>
            </w:r>
            <w:r w:rsidRPr="0053423A">
              <w:rPr>
                <w:bCs/>
                <w:iCs/>
              </w:rPr>
              <w:t>է</w:t>
            </w:r>
            <w:r w:rsidRPr="0053423A">
              <w:rPr>
                <w:bCs/>
                <w:iCs/>
                <w:lang w:val="en-US"/>
              </w:rPr>
              <w:t xml:space="preserve"> </w:t>
            </w:r>
            <w:r w:rsidRPr="0053423A">
              <w:rPr>
                <w:bCs/>
                <w:iCs/>
              </w:rPr>
              <w:t>գնումների</w:t>
            </w:r>
            <w:r w:rsidRPr="0053423A">
              <w:rPr>
                <w:bCs/>
                <w:iCs/>
                <w:lang w:val="en-US"/>
              </w:rPr>
              <w:t xml:space="preserve"> </w:t>
            </w:r>
            <w:r w:rsidRPr="0053423A">
              <w:rPr>
                <w:bCs/>
                <w:iCs/>
              </w:rPr>
              <w:t>հրավերի</w:t>
            </w:r>
            <w:r w:rsidRPr="0053423A">
              <w:rPr>
                <w:bCs/>
                <w:iCs/>
                <w:lang w:val="en-US"/>
              </w:rPr>
              <w:t xml:space="preserve"> </w:t>
            </w:r>
            <w:r w:rsidRPr="0053423A">
              <w:rPr>
                <w:bCs/>
                <w:iCs/>
              </w:rPr>
              <w:t>պահանջներում</w:t>
            </w:r>
            <w:r w:rsidRPr="0053423A">
              <w:rPr>
                <w:bCs/>
                <w:iCs/>
                <w:lang w:val="en-US"/>
              </w:rPr>
              <w:t xml:space="preserve"> </w:t>
            </w:r>
            <w:r w:rsidRPr="0053423A">
              <w:rPr>
                <w:bCs/>
                <w:iCs/>
              </w:rPr>
              <w:t>ներդնել</w:t>
            </w:r>
            <w:r w:rsidRPr="0053423A">
              <w:rPr>
                <w:bCs/>
                <w:iCs/>
                <w:lang w:val="en-US"/>
              </w:rPr>
              <w:t xml:space="preserve"> </w:t>
            </w:r>
            <w:r w:rsidRPr="0053423A">
              <w:rPr>
                <w:bCs/>
                <w:iCs/>
              </w:rPr>
              <w:t>գնահատման</w:t>
            </w:r>
            <w:r w:rsidRPr="0053423A">
              <w:rPr>
                <w:bCs/>
                <w:iCs/>
                <w:lang w:val="en-US"/>
              </w:rPr>
              <w:t xml:space="preserve"> </w:t>
            </w:r>
            <w:r w:rsidRPr="0053423A">
              <w:rPr>
                <w:bCs/>
                <w:iCs/>
              </w:rPr>
              <w:t>նոր</w:t>
            </w:r>
            <w:r w:rsidRPr="0053423A">
              <w:rPr>
                <w:bCs/>
                <w:iCs/>
                <w:lang w:val="en-US"/>
              </w:rPr>
              <w:t xml:space="preserve"> </w:t>
            </w:r>
            <w:r w:rsidRPr="0053423A">
              <w:rPr>
                <w:bCs/>
                <w:iCs/>
              </w:rPr>
              <w:t>չափանիշներ՝</w:t>
            </w:r>
            <w:r w:rsidRPr="0053423A">
              <w:rPr>
                <w:bCs/>
                <w:iCs/>
                <w:lang w:val="en-US"/>
              </w:rPr>
              <w:t xml:space="preserve"> </w:t>
            </w:r>
            <w:r w:rsidRPr="0053423A">
              <w:rPr>
                <w:bCs/>
                <w:iCs/>
              </w:rPr>
              <w:t>Քաղաքաշինության</w:t>
            </w:r>
            <w:r w:rsidRPr="0053423A">
              <w:rPr>
                <w:bCs/>
                <w:iCs/>
                <w:lang w:val="en-US"/>
              </w:rPr>
              <w:t xml:space="preserve"> </w:t>
            </w:r>
            <w:r w:rsidRPr="0053423A">
              <w:rPr>
                <w:bCs/>
                <w:iCs/>
              </w:rPr>
              <w:t>մասին</w:t>
            </w:r>
            <w:r w:rsidRPr="0053423A">
              <w:rPr>
                <w:bCs/>
                <w:iCs/>
                <w:lang w:val="en-US"/>
              </w:rPr>
              <w:t xml:space="preserve">, </w:t>
            </w:r>
            <w:r w:rsidRPr="0053423A">
              <w:rPr>
                <w:bCs/>
                <w:iCs/>
              </w:rPr>
              <w:t>Գնումների</w:t>
            </w:r>
            <w:r w:rsidRPr="0053423A">
              <w:rPr>
                <w:bCs/>
                <w:iCs/>
                <w:lang w:val="en-US"/>
              </w:rPr>
              <w:t xml:space="preserve"> </w:t>
            </w:r>
            <w:r w:rsidRPr="0053423A">
              <w:rPr>
                <w:bCs/>
                <w:iCs/>
              </w:rPr>
              <w:t>մասին</w:t>
            </w:r>
            <w:r w:rsidRPr="0053423A">
              <w:rPr>
                <w:bCs/>
                <w:iCs/>
                <w:lang w:val="en-US"/>
              </w:rPr>
              <w:t xml:space="preserve"> </w:t>
            </w:r>
            <w:r w:rsidRPr="0053423A">
              <w:rPr>
                <w:bCs/>
                <w:iCs/>
              </w:rPr>
              <w:t>ՀՀ</w:t>
            </w:r>
            <w:r w:rsidRPr="0053423A">
              <w:rPr>
                <w:bCs/>
                <w:iCs/>
                <w:lang w:val="en-US"/>
              </w:rPr>
              <w:t xml:space="preserve"> </w:t>
            </w:r>
            <w:r w:rsidRPr="0053423A">
              <w:rPr>
                <w:bCs/>
                <w:iCs/>
              </w:rPr>
              <w:t>օրենքներում</w:t>
            </w:r>
            <w:r w:rsidRPr="0053423A">
              <w:rPr>
                <w:bCs/>
                <w:iCs/>
                <w:lang w:val="en-US"/>
              </w:rPr>
              <w:t xml:space="preserve"> </w:t>
            </w:r>
            <w:r w:rsidRPr="0053423A">
              <w:rPr>
                <w:bCs/>
                <w:iCs/>
              </w:rPr>
              <w:t>և</w:t>
            </w:r>
            <w:r w:rsidRPr="0053423A">
              <w:rPr>
                <w:bCs/>
                <w:iCs/>
                <w:lang w:val="en-US"/>
              </w:rPr>
              <w:t xml:space="preserve">                    </w:t>
            </w:r>
            <w:r w:rsidRPr="0053423A">
              <w:rPr>
                <w:bCs/>
                <w:iCs/>
              </w:rPr>
              <w:t>ՀՀ</w:t>
            </w:r>
            <w:r w:rsidRPr="0053423A">
              <w:rPr>
                <w:bCs/>
                <w:iCs/>
                <w:lang w:val="en-US"/>
              </w:rPr>
              <w:t xml:space="preserve"> </w:t>
            </w:r>
            <w:r w:rsidRPr="0053423A">
              <w:rPr>
                <w:bCs/>
                <w:iCs/>
              </w:rPr>
              <w:t>կառավարության</w:t>
            </w:r>
            <w:r w:rsidRPr="0053423A">
              <w:rPr>
                <w:bCs/>
                <w:iCs/>
                <w:lang w:val="en-US"/>
              </w:rPr>
              <w:t xml:space="preserve"> 2015 </w:t>
            </w:r>
            <w:r w:rsidRPr="0053423A">
              <w:rPr>
                <w:bCs/>
                <w:iCs/>
              </w:rPr>
              <w:t>թվականի</w:t>
            </w:r>
            <w:r w:rsidRPr="0053423A">
              <w:rPr>
                <w:bCs/>
                <w:iCs/>
                <w:lang w:val="en-US"/>
              </w:rPr>
              <w:t xml:space="preserve"> </w:t>
            </w:r>
            <w:r w:rsidRPr="0053423A">
              <w:rPr>
                <w:bCs/>
                <w:iCs/>
              </w:rPr>
              <w:t>մարտի</w:t>
            </w:r>
            <w:r w:rsidRPr="0053423A">
              <w:rPr>
                <w:bCs/>
                <w:iCs/>
                <w:lang w:val="en-US"/>
              </w:rPr>
              <w:t xml:space="preserve"> 19-</w:t>
            </w:r>
            <w:r w:rsidRPr="0053423A">
              <w:rPr>
                <w:bCs/>
                <w:iCs/>
              </w:rPr>
              <w:t>ի</w:t>
            </w:r>
            <w:r w:rsidRPr="0053423A">
              <w:rPr>
                <w:bCs/>
                <w:iCs/>
                <w:lang w:val="en-US"/>
              </w:rPr>
              <w:t xml:space="preserve"> N596-</w:t>
            </w:r>
            <w:r w:rsidRPr="0053423A">
              <w:rPr>
                <w:bCs/>
                <w:iCs/>
              </w:rPr>
              <w:t>Ն</w:t>
            </w:r>
            <w:r w:rsidRPr="0053423A">
              <w:rPr>
                <w:bCs/>
                <w:iCs/>
                <w:lang w:val="en-US"/>
              </w:rPr>
              <w:t xml:space="preserve"> </w:t>
            </w:r>
            <w:r w:rsidRPr="0053423A">
              <w:rPr>
                <w:bCs/>
                <w:iCs/>
              </w:rPr>
              <w:t>և</w:t>
            </w:r>
            <w:r w:rsidRPr="0053423A">
              <w:rPr>
                <w:bCs/>
                <w:iCs/>
                <w:lang w:val="en-US"/>
              </w:rPr>
              <w:t xml:space="preserve"> </w:t>
            </w:r>
            <w:r w:rsidRPr="0053423A">
              <w:rPr>
                <w:bCs/>
                <w:iCs/>
              </w:rPr>
              <w:t>ՀՀ</w:t>
            </w:r>
            <w:r w:rsidRPr="0053423A">
              <w:rPr>
                <w:bCs/>
                <w:iCs/>
                <w:lang w:val="en-US"/>
              </w:rPr>
              <w:t xml:space="preserve"> </w:t>
            </w:r>
            <w:r w:rsidRPr="0053423A">
              <w:rPr>
                <w:bCs/>
                <w:iCs/>
              </w:rPr>
              <w:t>կառավարության</w:t>
            </w:r>
            <w:r w:rsidRPr="0053423A">
              <w:rPr>
                <w:bCs/>
                <w:iCs/>
                <w:lang w:val="en-US"/>
              </w:rPr>
              <w:t xml:space="preserve">                      2017 </w:t>
            </w:r>
            <w:r w:rsidRPr="0053423A">
              <w:rPr>
                <w:bCs/>
                <w:iCs/>
              </w:rPr>
              <w:t>թվականի</w:t>
            </w:r>
            <w:r w:rsidRPr="0053423A">
              <w:rPr>
                <w:bCs/>
                <w:iCs/>
                <w:lang w:val="en-US"/>
              </w:rPr>
              <w:t xml:space="preserve"> </w:t>
            </w:r>
            <w:r w:rsidRPr="0053423A">
              <w:rPr>
                <w:bCs/>
                <w:iCs/>
              </w:rPr>
              <w:t>մայիսի</w:t>
            </w:r>
            <w:r w:rsidRPr="0053423A">
              <w:rPr>
                <w:bCs/>
                <w:iCs/>
                <w:lang w:val="en-US"/>
              </w:rPr>
              <w:t xml:space="preserve"> 4-</w:t>
            </w:r>
            <w:r w:rsidRPr="0053423A">
              <w:rPr>
                <w:bCs/>
                <w:iCs/>
              </w:rPr>
              <w:t>ի</w:t>
            </w:r>
            <w:r w:rsidRPr="0053423A">
              <w:rPr>
                <w:bCs/>
                <w:iCs/>
                <w:lang w:val="en-US"/>
              </w:rPr>
              <w:t xml:space="preserve"> </w:t>
            </w:r>
            <w:r w:rsidRPr="0053423A">
              <w:rPr>
                <w:lang w:val="hy-AM"/>
              </w:rPr>
              <w:t>N526-Ն որոշ</w:t>
            </w:r>
            <w:r w:rsidRPr="0053423A">
              <w:t>ու</w:t>
            </w:r>
            <w:r w:rsidRPr="0053423A">
              <w:rPr>
                <w:lang w:val="hy-AM"/>
              </w:rPr>
              <w:t>մն</w:t>
            </w:r>
            <w:r w:rsidRPr="0053423A">
              <w:t>երում</w:t>
            </w:r>
            <w:r w:rsidRPr="0053423A">
              <w:rPr>
                <w:lang w:val="hy-AM"/>
              </w:rPr>
              <w:t xml:space="preserve"> փոփոխություն կատարելու</w:t>
            </w:r>
            <w:r w:rsidRPr="0053423A">
              <w:rPr>
                <w:lang w:val="en-US"/>
              </w:rPr>
              <w:t xml:space="preserve"> </w:t>
            </w:r>
            <w:r w:rsidRPr="0053423A">
              <w:t>միջոցով</w:t>
            </w:r>
            <w:r w:rsidRPr="0053423A">
              <w:rPr>
                <w:lang w:val="en-US"/>
              </w:rPr>
              <w:t xml:space="preserve">: </w:t>
            </w:r>
          </w:p>
          <w:p w:rsidR="00D75F05" w:rsidRPr="0053423A" w:rsidRDefault="00D75F05" w:rsidP="001F6D5D">
            <w:pPr>
              <w:pStyle w:val="ListParagraph"/>
              <w:numPr>
                <w:ilvl w:val="0"/>
                <w:numId w:val="330"/>
              </w:numPr>
              <w:spacing w:line="276" w:lineRule="auto"/>
              <w:ind w:left="7" w:firstLine="0"/>
              <w:rPr>
                <w:b/>
              </w:rPr>
            </w:pPr>
            <w:r w:rsidRPr="0053423A">
              <w:rPr>
                <w:b/>
              </w:rPr>
              <w:t>Միջոցառման</w:t>
            </w:r>
            <w:r w:rsidRPr="0053423A">
              <w:rPr>
                <w:b/>
                <w:lang w:val="af-ZA"/>
              </w:rPr>
              <w:t xml:space="preserve"> </w:t>
            </w:r>
            <w:r w:rsidRPr="0053423A">
              <w:rPr>
                <w:b/>
              </w:rPr>
              <w:t>իրակա</w:t>
            </w:r>
            <w:r w:rsidRPr="0053423A">
              <w:rPr>
                <w:b/>
                <w:lang w:val="hy-AM"/>
              </w:rPr>
              <w:t>նա</w:t>
            </w:r>
            <w:r w:rsidRPr="0053423A">
              <w:rPr>
                <w:b/>
              </w:rPr>
              <w:t>ցումից</w:t>
            </w:r>
            <w:r w:rsidRPr="0053423A">
              <w:rPr>
                <w:b/>
                <w:lang w:val="af-ZA"/>
              </w:rPr>
              <w:t xml:space="preserve"> </w:t>
            </w:r>
            <w:r w:rsidRPr="0053423A">
              <w:rPr>
                <w:b/>
              </w:rPr>
              <w:t>ակնկալվող</w:t>
            </w:r>
            <w:r w:rsidRPr="0053423A">
              <w:rPr>
                <w:b/>
                <w:lang w:val="af-ZA"/>
              </w:rPr>
              <w:t xml:space="preserve"> </w:t>
            </w:r>
            <w:r w:rsidRPr="0053423A">
              <w:rPr>
                <w:b/>
              </w:rPr>
              <w:t>արդյունքը</w:t>
            </w:r>
          </w:p>
          <w:p w:rsidR="00D75F05" w:rsidRPr="0053423A" w:rsidRDefault="00D75F05" w:rsidP="00A67858">
            <w:pPr>
              <w:spacing w:line="276" w:lineRule="auto"/>
              <w:ind w:left="7"/>
              <w:jc w:val="both"/>
            </w:pPr>
            <w:r w:rsidRPr="0053423A">
              <w:rPr>
                <w:lang w:val="af-ZA"/>
              </w:rPr>
              <w:t xml:space="preserve">      Հ</w:t>
            </w:r>
            <w:r w:rsidRPr="0053423A">
              <w:t>ավասար</w:t>
            </w:r>
            <w:r w:rsidRPr="0053423A">
              <w:rPr>
                <w:lang w:val="af-ZA"/>
              </w:rPr>
              <w:t xml:space="preserve">, </w:t>
            </w:r>
            <w:r w:rsidRPr="0053423A">
              <w:t>մրցակցային</w:t>
            </w:r>
            <w:r w:rsidRPr="0053423A">
              <w:rPr>
                <w:lang w:val="af-ZA"/>
              </w:rPr>
              <w:t xml:space="preserve"> </w:t>
            </w:r>
            <w:r w:rsidRPr="0053423A">
              <w:t>պայմաններում</w:t>
            </w:r>
            <w:r w:rsidRPr="0053423A">
              <w:rPr>
                <w:lang w:val="af-ZA"/>
              </w:rPr>
              <w:t xml:space="preserve"> </w:t>
            </w:r>
            <w:r w:rsidRPr="0053423A">
              <w:t>գործարար</w:t>
            </w:r>
            <w:r w:rsidRPr="0053423A">
              <w:rPr>
                <w:lang w:val="af-ZA"/>
              </w:rPr>
              <w:t xml:space="preserve"> </w:t>
            </w:r>
            <w:r w:rsidRPr="0053423A">
              <w:t>հմտություններ</w:t>
            </w:r>
            <w:r w:rsidRPr="0053423A">
              <w:rPr>
                <w:lang w:val="af-ZA"/>
              </w:rPr>
              <w:t xml:space="preserve"> </w:t>
            </w:r>
            <w:r w:rsidRPr="0053423A">
              <w:t>ունեցող</w:t>
            </w:r>
            <w:r w:rsidRPr="0053423A">
              <w:rPr>
                <w:lang w:val="af-ZA"/>
              </w:rPr>
              <w:t xml:space="preserve"> </w:t>
            </w:r>
            <w:r w:rsidRPr="0053423A">
              <w:t>յուրաքանչյուր</w:t>
            </w:r>
            <w:r w:rsidRPr="0053423A">
              <w:rPr>
                <w:lang w:val="af-ZA"/>
              </w:rPr>
              <w:t xml:space="preserve"> </w:t>
            </w:r>
            <w:r w:rsidRPr="0053423A">
              <w:t>անձի</w:t>
            </w:r>
            <w:r w:rsidRPr="0053423A">
              <w:rPr>
                <w:lang w:val="af-ZA"/>
              </w:rPr>
              <w:t xml:space="preserve"> </w:t>
            </w:r>
            <w:r w:rsidRPr="0053423A">
              <w:t>համար</w:t>
            </w:r>
            <w:r w:rsidRPr="0053423A">
              <w:rPr>
                <w:lang w:val="af-ZA"/>
              </w:rPr>
              <w:t xml:space="preserve"> </w:t>
            </w:r>
            <w:r w:rsidRPr="0053423A">
              <w:t>բիզնես</w:t>
            </w:r>
            <w:r w:rsidRPr="0053423A">
              <w:rPr>
                <w:lang w:val="af-ZA"/>
              </w:rPr>
              <w:t xml:space="preserve"> </w:t>
            </w:r>
            <w:r w:rsidRPr="0053423A">
              <w:t>արդյունքի</w:t>
            </w:r>
            <w:r w:rsidRPr="0053423A">
              <w:rPr>
                <w:lang w:val="af-ZA"/>
              </w:rPr>
              <w:t xml:space="preserve"> </w:t>
            </w:r>
            <w:r w:rsidRPr="0053423A">
              <w:t>ստեղծման</w:t>
            </w:r>
            <w:r w:rsidRPr="0053423A">
              <w:rPr>
                <w:lang w:val="af-ZA"/>
              </w:rPr>
              <w:t xml:space="preserve"> </w:t>
            </w:r>
            <w:r w:rsidRPr="0053423A">
              <w:t>և</w:t>
            </w:r>
            <w:r w:rsidRPr="0053423A">
              <w:rPr>
                <w:lang w:val="af-ZA"/>
              </w:rPr>
              <w:t xml:space="preserve">  </w:t>
            </w:r>
            <w:r w:rsidRPr="0053423A">
              <w:t>բարեկեցության</w:t>
            </w:r>
            <w:r w:rsidRPr="0053423A">
              <w:rPr>
                <w:lang w:val="af-ZA"/>
              </w:rPr>
              <w:t xml:space="preserve"> պայմանների </w:t>
            </w:r>
            <w:r w:rsidRPr="0053423A">
              <w:t>ապահովում</w:t>
            </w:r>
            <w:r w:rsidRPr="0053423A">
              <w:rPr>
                <w:lang w:val="af-ZA"/>
              </w:rPr>
              <w:t xml:space="preserve"> և </w:t>
            </w:r>
            <w:r w:rsidRPr="0053423A">
              <w:t>արդի</w:t>
            </w:r>
            <w:r w:rsidRPr="0053423A">
              <w:rPr>
                <w:rFonts w:cs="Arial Armenian"/>
                <w:lang w:val="af-ZA"/>
              </w:rPr>
              <w:t xml:space="preserve"> </w:t>
            </w:r>
            <w:r w:rsidRPr="0053423A">
              <w:t>պահանջարկին</w:t>
            </w:r>
            <w:r w:rsidRPr="0053423A">
              <w:rPr>
                <w:lang w:val="af-ZA"/>
              </w:rPr>
              <w:t xml:space="preserve"> </w:t>
            </w:r>
            <w:r w:rsidRPr="0053423A">
              <w:t>համապատասխան</w:t>
            </w:r>
            <w:r w:rsidRPr="0053423A">
              <w:rPr>
                <w:lang w:val="af-ZA"/>
              </w:rPr>
              <w:t xml:space="preserve"> </w:t>
            </w:r>
            <w:r w:rsidRPr="0053423A">
              <w:t>որակավորված</w:t>
            </w:r>
            <w:r w:rsidRPr="0053423A">
              <w:rPr>
                <w:lang w:val="af-ZA"/>
              </w:rPr>
              <w:t xml:space="preserve"> </w:t>
            </w:r>
            <w:r w:rsidRPr="0053423A">
              <w:t>տնտեսվարող</w:t>
            </w:r>
            <w:r w:rsidRPr="0053423A">
              <w:rPr>
                <w:lang w:val="af-ZA"/>
              </w:rPr>
              <w:t xml:space="preserve"> </w:t>
            </w:r>
            <w:r w:rsidRPr="0053423A">
              <w:t>սուբյեկտների</w:t>
            </w:r>
            <w:r w:rsidRPr="0053423A">
              <w:rPr>
                <w:lang w:val="af-ZA"/>
              </w:rPr>
              <w:t xml:space="preserve"> </w:t>
            </w:r>
            <w:r w:rsidRPr="0053423A">
              <w:t>ձևավորում</w:t>
            </w:r>
            <w:r w:rsidRPr="0053423A">
              <w:rPr>
                <w:lang w:val="af-ZA"/>
              </w:rPr>
              <w:t xml:space="preserve">, իսկ շինարարական ծրագրերի դեպքում </w:t>
            </w:r>
            <w:r w:rsidRPr="0053423A">
              <w:t>պատշաճ</w:t>
            </w:r>
            <w:r w:rsidRPr="0053423A">
              <w:rPr>
                <w:lang w:val="af-ZA"/>
              </w:rPr>
              <w:t xml:space="preserve"> </w:t>
            </w:r>
            <w:r w:rsidRPr="0053423A">
              <w:t>կապալառուների</w:t>
            </w:r>
            <w:r w:rsidRPr="0053423A">
              <w:rPr>
                <w:lang w:val="af-ZA"/>
              </w:rPr>
              <w:t xml:space="preserve"> </w:t>
            </w:r>
            <w:r w:rsidRPr="0053423A">
              <w:t>և</w:t>
            </w:r>
            <w:r w:rsidRPr="0053423A">
              <w:rPr>
                <w:lang w:val="af-ZA"/>
              </w:rPr>
              <w:t xml:space="preserve"> հսկողական </w:t>
            </w:r>
            <w:r w:rsidRPr="0053423A">
              <w:t>ծառայություններ</w:t>
            </w:r>
            <w:r w:rsidRPr="0053423A">
              <w:rPr>
                <w:lang w:val="af-ZA"/>
              </w:rPr>
              <w:t xml:space="preserve"> </w:t>
            </w:r>
            <w:r w:rsidRPr="0053423A">
              <w:t>մատուցողների</w:t>
            </w:r>
            <w:r w:rsidRPr="0053423A">
              <w:rPr>
                <w:lang w:val="af-ZA"/>
              </w:rPr>
              <w:t xml:space="preserve">, նախագծային և </w:t>
            </w:r>
            <w:r w:rsidRPr="0053423A">
              <w:t>շինարարական</w:t>
            </w:r>
            <w:r w:rsidRPr="0053423A">
              <w:rPr>
                <w:lang w:val="af-ZA"/>
              </w:rPr>
              <w:t xml:space="preserve"> </w:t>
            </w:r>
            <w:r w:rsidRPr="0053423A">
              <w:t>բարձրորակ</w:t>
            </w:r>
            <w:r w:rsidRPr="0053423A">
              <w:rPr>
                <w:lang w:val="af-ZA"/>
              </w:rPr>
              <w:t xml:space="preserve"> </w:t>
            </w:r>
            <w:r w:rsidRPr="0053423A">
              <w:t>արտադրանքի</w:t>
            </w:r>
            <w:r w:rsidRPr="0053423A">
              <w:rPr>
                <w:lang w:val="af-ZA"/>
              </w:rPr>
              <w:t xml:space="preserve"> </w:t>
            </w:r>
            <w:r w:rsidRPr="0053423A">
              <w:t>ձեռքբերում:</w:t>
            </w:r>
          </w:p>
          <w:p w:rsidR="00D75F05" w:rsidRPr="0053423A" w:rsidRDefault="00D75F05" w:rsidP="00A67858">
            <w:pPr>
              <w:spacing w:line="276" w:lineRule="auto"/>
              <w:ind w:left="7"/>
              <w:jc w:val="both"/>
              <w:rPr>
                <w:lang w:val="af-ZA"/>
              </w:rPr>
            </w:pPr>
          </w:p>
          <w:p w:rsidR="00D75F05" w:rsidRPr="0053423A" w:rsidRDefault="00D75F05" w:rsidP="00A67858">
            <w:pPr>
              <w:pStyle w:val="ListParagraph"/>
              <w:spacing w:line="276" w:lineRule="auto"/>
              <w:ind w:left="7"/>
              <w:jc w:val="center"/>
              <w:rPr>
                <w:b/>
                <w:u w:val="single"/>
                <w:lang w:val="af-ZA"/>
              </w:rPr>
            </w:pPr>
            <w:r w:rsidRPr="0053423A">
              <w:rPr>
                <w:b/>
                <w:u w:val="single"/>
                <w:lang w:val="af-ZA"/>
              </w:rPr>
              <w:t>5.2 «ՀՀ կառավարության 2011 թվականի հունիսի 23-ի N879-</w:t>
            </w:r>
            <w:r w:rsidRPr="0053423A">
              <w:rPr>
                <w:b/>
                <w:u w:val="single"/>
              </w:rPr>
              <w:t>Ն</w:t>
            </w:r>
            <w:r w:rsidRPr="0053423A">
              <w:rPr>
                <w:b/>
                <w:u w:val="single"/>
                <w:lang w:val="af-ZA"/>
              </w:rPr>
              <w:t xml:space="preserve"> որոշման մեջ փոփոխություններ կատարելու մասին» ՀՀ կառավարության որոշման </w:t>
            </w:r>
            <w:r w:rsidRPr="0053423A">
              <w:rPr>
                <w:rFonts w:cs="Sylfaen"/>
                <w:b/>
                <w:u w:val="single"/>
                <w:lang w:val="hy-AM"/>
              </w:rPr>
              <w:t>նախա</w:t>
            </w:r>
            <w:r w:rsidRPr="0053423A">
              <w:rPr>
                <w:rFonts w:cs="Sylfaen"/>
                <w:b/>
                <w:u w:val="single"/>
                <w:lang w:val="af-ZA"/>
              </w:rPr>
              <w:softHyphen/>
            </w:r>
            <w:r w:rsidRPr="0053423A">
              <w:rPr>
                <w:rFonts w:cs="Sylfaen"/>
                <w:b/>
                <w:u w:val="single"/>
                <w:lang w:val="hy-AM"/>
              </w:rPr>
              <w:t>գծի</w:t>
            </w:r>
            <w:r w:rsidRPr="0053423A">
              <w:rPr>
                <w:rFonts w:cs="Sylfaen"/>
                <w:b/>
                <w:u w:val="single"/>
                <w:lang w:val="af-ZA"/>
              </w:rPr>
              <w:t xml:space="preserve"> </w:t>
            </w:r>
            <w:r w:rsidRPr="0053423A">
              <w:rPr>
                <w:rFonts w:cs="Sylfaen"/>
                <w:b/>
                <w:u w:val="single"/>
                <w:lang w:val="hy-AM"/>
              </w:rPr>
              <w:t>ներկայացում</w:t>
            </w:r>
            <w:r w:rsidRPr="0053423A">
              <w:rPr>
                <w:rFonts w:cs="Sylfaen"/>
                <w:b/>
                <w:u w:val="single"/>
                <w:lang w:val="af-ZA"/>
              </w:rPr>
              <w:t xml:space="preserve"> </w:t>
            </w:r>
            <w:r w:rsidRPr="0053423A">
              <w:rPr>
                <w:rFonts w:cs="Sylfaen"/>
                <w:b/>
                <w:u w:val="single"/>
                <w:lang w:val="hy-AM"/>
              </w:rPr>
              <w:t>ՀՀ</w:t>
            </w:r>
            <w:r w:rsidRPr="0053423A">
              <w:rPr>
                <w:rFonts w:cs="Sylfaen"/>
                <w:b/>
                <w:u w:val="single"/>
                <w:lang w:val="af-ZA"/>
              </w:rPr>
              <w:t xml:space="preserve"> </w:t>
            </w:r>
            <w:r w:rsidRPr="0053423A">
              <w:rPr>
                <w:rFonts w:cs="Sylfaen"/>
                <w:b/>
                <w:u w:val="single"/>
                <w:lang w:val="hy-AM"/>
              </w:rPr>
              <w:t>վարչապետի</w:t>
            </w:r>
            <w:r w:rsidRPr="0053423A">
              <w:rPr>
                <w:rFonts w:cs="Sylfaen"/>
                <w:b/>
                <w:u w:val="single"/>
                <w:lang w:val="af-ZA"/>
              </w:rPr>
              <w:t xml:space="preserve"> </w:t>
            </w:r>
            <w:r w:rsidRPr="0053423A">
              <w:rPr>
                <w:rFonts w:cs="Sylfaen"/>
                <w:b/>
                <w:u w:val="single"/>
                <w:lang w:val="hy-AM"/>
              </w:rPr>
              <w:t>աշխատա</w:t>
            </w:r>
            <w:r w:rsidRPr="0053423A">
              <w:rPr>
                <w:rFonts w:cs="Sylfaen"/>
                <w:b/>
                <w:u w:val="single"/>
                <w:lang w:val="hy-AM"/>
              </w:rPr>
              <w:softHyphen/>
              <w:t>կազմ</w:t>
            </w:r>
          </w:p>
          <w:p w:rsidR="00D75F05" w:rsidRPr="0053423A" w:rsidRDefault="00D75F05" w:rsidP="00A67858">
            <w:pPr>
              <w:spacing w:line="276" w:lineRule="auto"/>
              <w:ind w:left="7"/>
              <w:rPr>
                <w:b/>
                <w:lang w:val="af-ZA"/>
              </w:rPr>
            </w:pPr>
          </w:p>
          <w:p w:rsidR="00D75F05" w:rsidRPr="0053423A" w:rsidRDefault="00D75F05" w:rsidP="00A67858">
            <w:pPr>
              <w:spacing w:line="276" w:lineRule="auto"/>
              <w:ind w:left="7"/>
              <w:rPr>
                <w:b/>
                <w:lang w:val="af-ZA"/>
              </w:rPr>
            </w:pPr>
          </w:p>
          <w:p w:rsidR="00D75F05" w:rsidRPr="0053423A" w:rsidRDefault="00D75F05" w:rsidP="00A67858">
            <w:pPr>
              <w:pStyle w:val="ListParagraph1"/>
              <w:tabs>
                <w:tab w:val="left" w:pos="540"/>
                <w:tab w:val="left" w:pos="900"/>
              </w:tabs>
              <w:spacing w:after="0"/>
              <w:ind w:left="7"/>
              <w:rPr>
                <w:rFonts w:ascii="GHEA Grapalat" w:hAnsi="GHEA Grapalat"/>
                <w:b/>
                <w:lang w:val="af-ZA"/>
              </w:rPr>
            </w:pPr>
            <w:r w:rsidRPr="0053423A">
              <w:rPr>
                <w:rFonts w:ascii="GHEA Grapalat" w:hAnsi="GHEA Grapalat"/>
                <w:b/>
                <w:lang w:val="af-ZA"/>
              </w:rPr>
              <w:t xml:space="preserve">1. </w:t>
            </w: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spacing w:line="276" w:lineRule="auto"/>
              <w:ind w:left="7"/>
              <w:jc w:val="both"/>
              <w:rPr>
                <w:lang w:val="af-ZA"/>
              </w:rPr>
            </w:pPr>
            <w:r w:rsidRPr="0053423A">
              <w:rPr>
                <w:rFonts w:cs="Sylfaen"/>
                <w:lang w:val="af-ZA"/>
              </w:rPr>
              <w:tab/>
            </w:r>
            <w:r w:rsidRPr="0053423A">
              <w:rPr>
                <w:rFonts w:cs="Sylfaen"/>
              </w:rPr>
              <w:t>Շուկայական</w:t>
            </w:r>
            <w:r w:rsidRPr="0053423A">
              <w:rPr>
                <w:lang w:val="af-ZA"/>
              </w:rPr>
              <w:t xml:space="preserve"> </w:t>
            </w:r>
            <w:r w:rsidRPr="0053423A">
              <w:rPr>
                <w:rFonts w:cs="Sylfaen"/>
              </w:rPr>
              <w:t>հարաբերությունների</w:t>
            </w:r>
            <w:r w:rsidRPr="0053423A">
              <w:rPr>
                <w:lang w:val="af-ZA"/>
              </w:rPr>
              <w:t xml:space="preserve"> </w:t>
            </w:r>
            <w:r w:rsidRPr="0053423A">
              <w:rPr>
                <w:rFonts w:cs="Sylfaen"/>
              </w:rPr>
              <w:t>և</w:t>
            </w:r>
            <w:r w:rsidRPr="0053423A">
              <w:rPr>
                <w:lang w:val="af-ZA"/>
              </w:rPr>
              <w:t xml:space="preserve"> </w:t>
            </w:r>
            <w:r w:rsidRPr="0053423A">
              <w:rPr>
                <w:rFonts w:cs="Sylfaen"/>
              </w:rPr>
              <w:t>միջազգային</w:t>
            </w:r>
            <w:r w:rsidRPr="0053423A">
              <w:rPr>
                <w:lang w:val="af-ZA"/>
              </w:rPr>
              <w:t xml:space="preserve"> </w:t>
            </w:r>
            <w:r w:rsidRPr="0053423A">
              <w:rPr>
                <w:rFonts w:cs="Sylfaen"/>
              </w:rPr>
              <w:t>ինտեգրացիոն</w:t>
            </w:r>
            <w:r w:rsidRPr="0053423A">
              <w:rPr>
                <w:lang w:val="af-ZA"/>
              </w:rPr>
              <w:t xml:space="preserve"> </w:t>
            </w:r>
            <w:r w:rsidRPr="0053423A">
              <w:rPr>
                <w:rFonts w:cs="Sylfaen"/>
              </w:rPr>
              <w:t>գործընթացների</w:t>
            </w:r>
            <w:r w:rsidRPr="0053423A">
              <w:rPr>
                <w:lang w:val="af-ZA"/>
              </w:rPr>
              <w:t xml:space="preserve"> </w:t>
            </w:r>
            <w:r w:rsidRPr="0053423A">
              <w:rPr>
                <w:rFonts w:cs="Sylfaen"/>
              </w:rPr>
              <w:t>զարգացման</w:t>
            </w:r>
            <w:r w:rsidRPr="0053423A">
              <w:rPr>
                <w:lang w:val="af-ZA"/>
              </w:rPr>
              <w:t xml:space="preserve"> </w:t>
            </w:r>
            <w:r w:rsidRPr="0053423A">
              <w:rPr>
                <w:rFonts w:cs="Sylfaen"/>
              </w:rPr>
              <w:t>պայմաններում</w:t>
            </w:r>
            <w:r w:rsidRPr="0053423A">
              <w:rPr>
                <w:lang w:val="af-ZA"/>
              </w:rPr>
              <w:t xml:space="preserve"> </w:t>
            </w:r>
            <w:r w:rsidRPr="0053423A">
              <w:rPr>
                <w:rFonts w:cs="Sylfaen"/>
              </w:rPr>
              <w:t>պետական</w:t>
            </w:r>
            <w:r w:rsidRPr="0053423A">
              <w:rPr>
                <w:lang w:val="af-ZA"/>
              </w:rPr>
              <w:t xml:space="preserve"> </w:t>
            </w:r>
            <w:r w:rsidRPr="0053423A">
              <w:rPr>
                <w:rFonts w:cs="Sylfaen"/>
              </w:rPr>
              <w:t>ներդրումային</w:t>
            </w:r>
            <w:r w:rsidRPr="0053423A">
              <w:rPr>
                <w:lang w:val="af-ZA"/>
              </w:rPr>
              <w:t xml:space="preserve"> </w:t>
            </w:r>
            <w:r w:rsidRPr="0053423A">
              <w:rPr>
                <w:rFonts w:cs="Sylfaen"/>
              </w:rPr>
              <w:t>ծախսերի</w:t>
            </w:r>
            <w:r w:rsidRPr="0053423A">
              <w:rPr>
                <w:lang w:val="af-ZA"/>
              </w:rPr>
              <w:t xml:space="preserve"> </w:t>
            </w:r>
            <w:r w:rsidRPr="0053423A">
              <w:rPr>
                <w:rFonts w:cs="Sylfaen"/>
              </w:rPr>
              <w:t>արդյունավետ</w:t>
            </w:r>
            <w:r w:rsidRPr="0053423A">
              <w:rPr>
                <w:lang w:val="af-ZA"/>
              </w:rPr>
              <w:t xml:space="preserve"> </w:t>
            </w:r>
            <w:r w:rsidRPr="0053423A">
              <w:rPr>
                <w:rFonts w:cs="Sylfaen"/>
              </w:rPr>
              <w:t>պլանավորման</w:t>
            </w:r>
            <w:r w:rsidRPr="0053423A">
              <w:rPr>
                <w:lang w:val="af-ZA"/>
              </w:rPr>
              <w:t xml:space="preserve">, </w:t>
            </w:r>
            <w:r w:rsidRPr="0053423A">
              <w:rPr>
                <w:rFonts w:cs="Sylfaen"/>
              </w:rPr>
              <w:t>շինարարության</w:t>
            </w:r>
            <w:r w:rsidRPr="0053423A">
              <w:rPr>
                <w:lang w:val="af-ZA"/>
              </w:rPr>
              <w:t xml:space="preserve"> </w:t>
            </w:r>
            <w:r w:rsidRPr="0053423A">
              <w:rPr>
                <w:rFonts w:cs="Sylfaen"/>
              </w:rPr>
              <w:t>ոլորտի</w:t>
            </w:r>
            <w:r w:rsidRPr="0053423A">
              <w:rPr>
                <w:lang w:val="af-ZA"/>
              </w:rPr>
              <w:t xml:space="preserve"> </w:t>
            </w:r>
            <w:r w:rsidRPr="0053423A">
              <w:rPr>
                <w:rFonts w:cs="Sylfaen"/>
              </w:rPr>
              <w:t>զարգացման</w:t>
            </w:r>
            <w:r w:rsidRPr="0053423A">
              <w:rPr>
                <w:lang w:val="af-ZA"/>
              </w:rPr>
              <w:t xml:space="preserve"> </w:t>
            </w:r>
            <w:r w:rsidRPr="0053423A">
              <w:rPr>
                <w:rFonts w:cs="Sylfaen"/>
              </w:rPr>
              <w:t>և</w:t>
            </w:r>
            <w:r w:rsidRPr="0053423A">
              <w:rPr>
                <w:lang w:val="af-ZA"/>
              </w:rPr>
              <w:t xml:space="preserve"> </w:t>
            </w:r>
            <w:r w:rsidRPr="0053423A">
              <w:rPr>
                <w:rFonts w:cs="Sylfaen"/>
              </w:rPr>
              <w:t>բարենպաստ</w:t>
            </w:r>
            <w:r w:rsidRPr="0053423A">
              <w:rPr>
                <w:lang w:val="af-ZA"/>
              </w:rPr>
              <w:t xml:space="preserve"> </w:t>
            </w:r>
            <w:r w:rsidRPr="0053423A">
              <w:rPr>
                <w:rFonts w:cs="Sylfaen"/>
              </w:rPr>
              <w:t>ներդրումային</w:t>
            </w:r>
            <w:r w:rsidRPr="0053423A">
              <w:rPr>
                <w:lang w:val="af-ZA"/>
              </w:rPr>
              <w:t xml:space="preserve"> </w:t>
            </w:r>
            <w:r w:rsidRPr="0053423A">
              <w:rPr>
                <w:rFonts w:cs="Sylfaen"/>
              </w:rPr>
              <w:t>միջավայրի</w:t>
            </w:r>
            <w:r w:rsidRPr="0053423A">
              <w:rPr>
                <w:lang w:val="af-ZA"/>
              </w:rPr>
              <w:t xml:space="preserve"> </w:t>
            </w:r>
            <w:r w:rsidRPr="0053423A">
              <w:rPr>
                <w:rFonts w:cs="Sylfaen"/>
              </w:rPr>
              <w:t>ստեղծման</w:t>
            </w:r>
            <w:r w:rsidRPr="0053423A">
              <w:rPr>
                <w:lang w:val="af-ZA"/>
              </w:rPr>
              <w:t xml:space="preserve"> </w:t>
            </w:r>
            <w:r w:rsidRPr="0053423A">
              <w:rPr>
                <w:rFonts w:cs="Sylfaen"/>
              </w:rPr>
              <w:t>անհրաժեշտությունը</w:t>
            </w:r>
            <w:r w:rsidRPr="0053423A">
              <w:rPr>
                <w:lang w:val="af-ZA"/>
              </w:rPr>
              <w:t xml:space="preserve"> </w:t>
            </w:r>
            <w:r w:rsidRPr="0053423A">
              <w:rPr>
                <w:rFonts w:cs="Sylfaen"/>
              </w:rPr>
              <w:t>պահանջում</w:t>
            </w:r>
            <w:r w:rsidRPr="0053423A">
              <w:rPr>
                <w:lang w:val="af-ZA"/>
              </w:rPr>
              <w:t xml:space="preserve"> </w:t>
            </w:r>
            <w:r w:rsidRPr="0053423A">
              <w:rPr>
                <w:rFonts w:cs="Sylfaen"/>
              </w:rPr>
              <w:t>է</w:t>
            </w:r>
            <w:r w:rsidRPr="0053423A">
              <w:rPr>
                <w:lang w:val="af-ZA"/>
              </w:rPr>
              <w:t xml:space="preserve"> </w:t>
            </w:r>
            <w:r w:rsidRPr="0053423A">
              <w:rPr>
                <w:rFonts w:cs="Sylfaen"/>
              </w:rPr>
              <w:t>ծախսերի</w:t>
            </w:r>
            <w:r w:rsidRPr="0053423A">
              <w:rPr>
                <w:lang w:val="af-ZA"/>
              </w:rPr>
              <w:t xml:space="preserve"> </w:t>
            </w:r>
            <w:r w:rsidRPr="0053423A">
              <w:rPr>
                <w:rFonts w:cs="Sylfaen"/>
              </w:rPr>
              <w:t>գնահատման</w:t>
            </w:r>
            <w:r w:rsidRPr="0053423A">
              <w:rPr>
                <w:lang w:val="af-ZA"/>
              </w:rPr>
              <w:t xml:space="preserve"> </w:t>
            </w:r>
            <w:r w:rsidRPr="0053423A">
              <w:rPr>
                <w:rFonts w:cs="Sylfaen"/>
              </w:rPr>
              <w:t>համակարգի</w:t>
            </w:r>
            <w:r w:rsidRPr="0053423A">
              <w:rPr>
                <w:lang w:val="af-ZA"/>
              </w:rPr>
              <w:t xml:space="preserve"> </w:t>
            </w:r>
            <w:r w:rsidRPr="0053423A">
              <w:rPr>
                <w:rFonts w:cs="Sylfaen"/>
              </w:rPr>
              <w:t>բարեփոխում</w:t>
            </w:r>
            <w:r w:rsidRPr="0053423A">
              <w:rPr>
                <w:lang w:val="af-ZA"/>
              </w:rPr>
              <w:t>:</w:t>
            </w:r>
          </w:p>
          <w:p w:rsidR="00D75F05" w:rsidRPr="0053423A" w:rsidRDefault="00D75F05" w:rsidP="00A67858">
            <w:pPr>
              <w:pStyle w:val="ListParagraph"/>
              <w:tabs>
                <w:tab w:val="left" w:pos="900"/>
                <w:tab w:val="left" w:pos="990"/>
                <w:tab w:val="left" w:pos="1080"/>
                <w:tab w:val="left" w:pos="10080"/>
              </w:tabs>
              <w:spacing w:line="276" w:lineRule="auto"/>
              <w:ind w:left="7"/>
              <w:contextualSpacing w:val="0"/>
              <w:jc w:val="both"/>
              <w:rPr>
                <w:rFonts w:eastAsia="Calibri"/>
                <w:b/>
                <w:lang w:val="af-ZA"/>
              </w:rPr>
            </w:pPr>
            <w:r w:rsidRPr="0053423A">
              <w:rPr>
                <w:rFonts w:eastAsia="Calibri"/>
                <w:b/>
                <w:lang w:val="af-ZA"/>
              </w:rPr>
              <w:t xml:space="preserve">     1.1  </w:t>
            </w:r>
            <w:r w:rsidRPr="0053423A">
              <w:rPr>
                <w:rFonts w:eastAsia="Calibri"/>
                <w:b/>
                <w:lang w:val="hy-AM"/>
              </w:rPr>
              <w:t>Կարգավորման հարաբերությունների ներկա վիճակը և առկա խնդիրները</w:t>
            </w:r>
          </w:p>
          <w:p w:rsidR="00D75F05" w:rsidRPr="0053423A" w:rsidRDefault="00D75F05" w:rsidP="00A67858">
            <w:pPr>
              <w:pStyle w:val="ListParagraph"/>
              <w:tabs>
                <w:tab w:val="left" w:pos="0"/>
                <w:tab w:val="left" w:pos="990"/>
                <w:tab w:val="left" w:pos="1080"/>
                <w:tab w:val="left" w:pos="10080"/>
              </w:tabs>
              <w:spacing w:line="276" w:lineRule="auto"/>
              <w:ind w:left="7"/>
              <w:contextualSpacing w:val="0"/>
              <w:jc w:val="both"/>
              <w:rPr>
                <w:color w:val="000000"/>
                <w:lang w:val="hy-AM"/>
              </w:rPr>
            </w:pPr>
            <w:r w:rsidRPr="0053423A">
              <w:rPr>
                <w:lang w:val="af-ZA"/>
              </w:rPr>
              <w:tab/>
            </w:r>
            <w:r w:rsidRPr="0053423A">
              <w:rPr>
                <w:lang w:val="hy-AM"/>
              </w:rPr>
              <w:t xml:space="preserve">ՀՀ </w:t>
            </w:r>
            <w:r w:rsidRPr="0053423A">
              <w:rPr>
                <w:color w:val="000000"/>
                <w:lang w:val="hy-AM"/>
              </w:rPr>
              <w:t xml:space="preserve">կառավարության 2011 թվականի հունիսի 23-ի N879-Ն որոշմամբ հաստատվել է գործող գներով շինարարական աշխատանքների արժեքի հաշվարկման կարգը: Կարգը կազմվել է 1994–1995 թվականների մեթոդաբանության հիմքով, երբ դեռևս բացակայում էին շուկայական հարաբերությունները: Ներկայումս  շինարարական աշխատանքների արժեքը հաշվարկվում է` հիմք ընդունելով  1984 թվականի նորմատիվ բազան, այդ թվում աշխատավարձի և մեքենամեխանիզմների շահագործման արժեքը  հաշվարկվում է  նախկինում գոյություն ունեցող գներով` կիրառելով համապատասխան գործակիցներ, որտեղ հաշվի չեն առնված նոր տեխնոլոգիաների, նոր մեքենաների և սարքավորումների շահագործման, ինչպես նաև աշխատավարձի ներկայիս պահանջները:  Ներկայումս գործող վերոնշյալ կարգով շինմոնտաժային աշխատանքների նախահաշվով նախատեսված ծախսերի և փաստացի ծախսերի միջև առկա են անհամապատասխանություններ: </w:t>
            </w:r>
          </w:p>
          <w:p w:rsidR="00D75F05" w:rsidRPr="0053423A" w:rsidRDefault="00D75F05" w:rsidP="00A67858">
            <w:pPr>
              <w:pStyle w:val="ListParagraph"/>
              <w:tabs>
                <w:tab w:val="left" w:pos="0"/>
                <w:tab w:val="left" w:pos="990"/>
                <w:tab w:val="left" w:pos="1080"/>
                <w:tab w:val="left" w:pos="10080"/>
              </w:tabs>
              <w:spacing w:line="276" w:lineRule="auto"/>
              <w:ind w:left="7"/>
              <w:contextualSpacing w:val="0"/>
              <w:jc w:val="both"/>
              <w:rPr>
                <w:rFonts w:eastAsia="Calibri"/>
                <w:b/>
                <w:lang w:val="hy-AM"/>
              </w:rPr>
            </w:pPr>
            <w:r w:rsidRPr="0053423A">
              <w:rPr>
                <w:b/>
                <w:lang w:val="hy-AM"/>
              </w:rPr>
              <w:t>1.2 Առկա խնդիրների առաջարկվող լուծումները</w:t>
            </w:r>
          </w:p>
          <w:p w:rsidR="00D75F05" w:rsidRPr="0053423A" w:rsidRDefault="00D75F05" w:rsidP="00A67858">
            <w:pPr>
              <w:tabs>
                <w:tab w:val="left" w:pos="10080"/>
              </w:tabs>
              <w:spacing w:line="276" w:lineRule="auto"/>
              <w:ind w:left="7"/>
              <w:jc w:val="both"/>
              <w:rPr>
                <w:rFonts w:eastAsiaTheme="minorHAnsi" w:cstheme="minorBidi"/>
                <w:lang w:val="af-ZA"/>
              </w:rPr>
            </w:pPr>
            <w:r w:rsidRPr="0053423A">
              <w:rPr>
                <w:rFonts w:eastAsiaTheme="minorHAnsi" w:cstheme="minorBidi"/>
                <w:lang w:val="af-ZA"/>
              </w:rPr>
              <w:t xml:space="preserve">     Առաջարկվում է քաղաքաշինության  ոլորտում  պետական  և  համայնքային  բյուջեների հաշվին իրականացվող շինարարական աշխատանքների գնագոյացման արդիականացման հայեցակարգի մշակում՝ գնագոյացման բազիսաինդեքսային մեթոդաբանությունից անցնելով ժամանակակից, Եվրոպական և ԱՊՀ երկրներում կիրառվող ռեսուրսային մեթոդաբանությանը, պետական ներդրումային ծախսերի պլանավորման պայմաններում առավելությունը տալով խոշորացված գներով շինարարության արժեքի հաշվարկման կարգին, որն ավելի կպարզեցնի բյուջեների ծախսային ծրագրերի պլանավորման և գնման գործընթացի կազմակերպումը:</w:t>
            </w:r>
          </w:p>
          <w:p w:rsidR="00D75F05" w:rsidRPr="0053423A" w:rsidRDefault="00D75F05" w:rsidP="00A67858">
            <w:pPr>
              <w:tabs>
                <w:tab w:val="left" w:pos="10080"/>
              </w:tabs>
              <w:spacing w:line="276" w:lineRule="auto"/>
              <w:ind w:left="7"/>
              <w:jc w:val="both"/>
              <w:rPr>
                <w:rFonts w:eastAsiaTheme="minorHAnsi" w:cstheme="minorBidi"/>
                <w:lang w:val="af-ZA"/>
              </w:rPr>
            </w:pPr>
            <w:r w:rsidRPr="0053423A">
              <w:rPr>
                <w:rFonts w:eastAsiaTheme="minorHAnsi" w:cstheme="minorBidi"/>
                <w:lang w:val="af-ZA"/>
              </w:rPr>
              <w:t xml:space="preserve">     Որպես միջոցառման կատարմանն ուղղված քայլ` շինարարական աշխատանքների գնագոյացման արդիականացման հայեցակարգը հաստատելու մասին նորմատիվ իրավական ակտի ընդունման համար կմշակվի ՀՀ կառավարության որոշման նախագիծ:</w:t>
            </w:r>
          </w:p>
          <w:p w:rsidR="00D75F05" w:rsidRPr="0053423A" w:rsidRDefault="00D75F05" w:rsidP="00A67858">
            <w:pPr>
              <w:tabs>
                <w:tab w:val="left" w:pos="10080"/>
              </w:tabs>
              <w:spacing w:line="276" w:lineRule="auto"/>
              <w:ind w:left="7"/>
              <w:jc w:val="both"/>
              <w:rPr>
                <w:b/>
                <w:lang w:val="af-ZA"/>
              </w:rPr>
            </w:pPr>
            <w:r w:rsidRPr="0053423A">
              <w:rPr>
                <w:b/>
                <w:lang w:val="af-ZA"/>
              </w:rPr>
              <w:t xml:space="preserve">2.  </w:t>
            </w:r>
            <w:r w:rsidRPr="0053423A">
              <w:rPr>
                <w:b/>
                <w:lang w:val="hy-AM"/>
              </w:rPr>
              <w:t>Միջոցառման</w:t>
            </w:r>
            <w:r w:rsidRPr="0053423A">
              <w:rPr>
                <w:b/>
                <w:lang w:val="af-ZA"/>
              </w:rPr>
              <w:t xml:space="preserve"> </w:t>
            </w:r>
            <w:r w:rsidRPr="0053423A">
              <w:rPr>
                <w:b/>
                <w:lang w:val="hy-AM"/>
              </w:rPr>
              <w:t>իրականացումից</w:t>
            </w:r>
            <w:r w:rsidRPr="0053423A">
              <w:rPr>
                <w:b/>
                <w:lang w:val="af-ZA"/>
              </w:rPr>
              <w:t xml:space="preserve"> </w:t>
            </w:r>
            <w:r w:rsidRPr="0053423A">
              <w:rPr>
                <w:b/>
                <w:lang w:val="hy-AM"/>
              </w:rPr>
              <w:t>ակնկալվող</w:t>
            </w:r>
            <w:r w:rsidRPr="0053423A">
              <w:rPr>
                <w:b/>
                <w:lang w:val="af-ZA"/>
              </w:rPr>
              <w:t xml:space="preserve"> </w:t>
            </w:r>
            <w:r w:rsidRPr="0053423A">
              <w:rPr>
                <w:b/>
                <w:lang w:val="hy-AM"/>
              </w:rPr>
              <w:t>արդյունքը</w:t>
            </w:r>
          </w:p>
          <w:p w:rsidR="00D75F05" w:rsidRPr="0053423A" w:rsidRDefault="00D75F05" w:rsidP="00A67858">
            <w:pPr>
              <w:pStyle w:val="NormalWeb"/>
              <w:shd w:val="clear" w:color="auto" w:fill="FFFFFF"/>
              <w:tabs>
                <w:tab w:val="left" w:pos="10080"/>
              </w:tabs>
              <w:spacing w:before="0" w:beforeAutospacing="0" w:after="0" w:afterAutospacing="0" w:line="276" w:lineRule="auto"/>
              <w:ind w:left="7"/>
              <w:jc w:val="both"/>
              <w:rPr>
                <w:rFonts w:ascii="GHEA Grapalat" w:hAnsi="GHEA Grapalat"/>
                <w:sz w:val="20"/>
                <w:szCs w:val="20"/>
                <w:lang w:val="af-ZA" w:eastAsia="ru-RU"/>
              </w:rPr>
            </w:pPr>
            <w:r w:rsidRPr="0053423A">
              <w:rPr>
                <w:rFonts w:ascii="GHEA Grapalat" w:hAnsi="GHEA Grapalat"/>
                <w:spacing w:val="-6"/>
                <w:sz w:val="20"/>
                <w:szCs w:val="20"/>
                <w:lang w:val="af-ZA"/>
              </w:rPr>
              <w:t xml:space="preserve">     </w:t>
            </w:r>
            <w:r w:rsidRPr="0053423A">
              <w:rPr>
                <w:rFonts w:ascii="GHEA Grapalat" w:hAnsi="GHEA Grapalat"/>
                <w:sz w:val="20"/>
                <w:szCs w:val="20"/>
                <w:lang w:val="af-ZA" w:eastAsia="ru-RU"/>
              </w:rPr>
              <w:t>Քաղաքաշինության  ոլորտում պետական  և  համայնքային բյուջեների հաշվին իրականացվող շինարարական աշխատանքների գնագոյացման արդիականացմամբ շինարարական նեդրումային ծրագրերի և առանձին տեսակի շինարարական աշխատանքների գնահատման գործընթացում կխուսափենք 1984 թվականի գներից և դրանց ինդեքսավորման մեթոդներից:</w:t>
            </w:r>
          </w:p>
          <w:p w:rsidR="00D75F05" w:rsidRPr="0053423A" w:rsidRDefault="00D75F05" w:rsidP="00A67858">
            <w:pPr>
              <w:pStyle w:val="NormalWeb"/>
              <w:shd w:val="clear" w:color="auto" w:fill="FFFFFF"/>
              <w:tabs>
                <w:tab w:val="left" w:pos="10080"/>
              </w:tabs>
              <w:spacing w:before="0" w:beforeAutospacing="0" w:after="0" w:afterAutospacing="0" w:line="276" w:lineRule="auto"/>
              <w:ind w:left="7"/>
              <w:jc w:val="both"/>
              <w:rPr>
                <w:rFonts w:ascii="GHEA Grapalat" w:hAnsi="GHEA Grapalat"/>
                <w:sz w:val="20"/>
                <w:szCs w:val="20"/>
                <w:lang w:val="af-ZA" w:eastAsia="ru-RU"/>
              </w:rPr>
            </w:pPr>
            <w:r w:rsidRPr="0053423A">
              <w:rPr>
                <w:rFonts w:ascii="GHEA Grapalat" w:hAnsi="GHEA Grapalat"/>
                <w:sz w:val="20"/>
                <w:szCs w:val="20"/>
                <w:lang w:val="af-ZA" w:eastAsia="ru-RU"/>
              </w:rPr>
              <w:t xml:space="preserve">     Կունենանք շուկայական հարաբերությունների և միջազգային ինտեգրացիոն գործընթացների զարգացման պայմաններում շինարարության ոլորտում պետական ներդրումային ծախսերի արդյունավետ պլանավորում:</w:t>
            </w:r>
          </w:p>
          <w:p w:rsidR="00D75F05" w:rsidRPr="0053423A" w:rsidRDefault="00D75F05" w:rsidP="00A67858">
            <w:pPr>
              <w:pStyle w:val="NormalWeb"/>
              <w:shd w:val="clear" w:color="auto" w:fill="FFFFFF"/>
              <w:tabs>
                <w:tab w:val="left" w:pos="10080"/>
              </w:tabs>
              <w:spacing w:before="0" w:beforeAutospacing="0" w:after="0" w:afterAutospacing="0" w:line="276" w:lineRule="auto"/>
              <w:ind w:left="7"/>
              <w:jc w:val="both"/>
              <w:rPr>
                <w:rFonts w:ascii="GHEA Grapalat" w:hAnsi="GHEA Grapalat"/>
                <w:sz w:val="20"/>
                <w:szCs w:val="20"/>
                <w:lang w:val="af-ZA" w:eastAsia="ru-RU"/>
              </w:rPr>
            </w:pPr>
            <w:r w:rsidRPr="0053423A">
              <w:rPr>
                <w:rFonts w:ascii="GHEA Grapalat" w:hAnsi="GHEA Grapalat"/>
                <w:sz w:val="20"/>
                <w:szCs w:val="20"/>
                <w:lang w:val="af-ZA" w:eastAsia="ru-RU"/>
              </w:rPr>
              <w:t xml:space="preserve">     Գնագոյացման ռազմավարության արդիականացմամբ կստեղծվի բարենպաստ ներդրումային միջավայր, որը կնպաստի ոլորտի զարգացմանը:</w:t>
            </w:r>
          </w:p>
          <w:p w:rsidR="00D75F05" w:rsidRPr="0053423A" w:rsidRDefault="00D75F05" w:rsidP="00A67858">
            <w:pPr>
              <w:shd w:val="clear" w:color="auto" w:fill="FFFFFF" w:themeFill="background1"/>
              <w:spacing w:line="276" w:lineRule="auto"/>
              <w:ind w:left="7"/>
              <w:rPr>
                <w:b/>
                <w:lang w:val="af-ZA"/>
              </w:rPr>
            </w:pPr>
          </w:p>
          <w:p w:rsidR="00D75F05" w:rsidRPr="0053423A" w:rsidRDefault="00D75F05" w:rsidP="00A67858">
            <w:pPr>
              <w:shd w:val="clear" w:color="auto" w:fill="FFFFFF" w:themeFill="background1"/>
              <w:spacing w:line="276" w:lineRule="auto"/>
              <w:ind w:left="7"/>
              <w:jc w:val="center"/>
              <w:rPr>
                <w:rFonts w:eastAsia="MS Mincho"/>
                <w:b/>
                <w:u w:val="single"/>
                <w:lang w:val="hy-AM" w:eastAsia="en-US"/>
              </w:rPr>
            </w:pPr>
            <w:r w:rsidRPr="0053423A">
              <w:rPr>
                <w:b/>
                <w:u w:val="single"/>
                <w:lang w:val="af-ZA"/>
              </w:rPr>
              <w:t>5.3 «</w:t>
            </w:r>
            <w:r w:rsidRPr="0053423A">
              <w:rPr>
                <w:rFonts w:eastAsia="MS Mincho"/>
                <w:b/>
                <w:u w:val="single"/>
                <w:lang w:val="hy-AM" w:eastAsia="en-US"/>
              </w:rPr>
              <w:t xml:space="preserve">Մի շարք օրենքներում փոփոխություններ կատարելու մասին» ՀՀ օրենքի նախագծի և «Հայաստանի Հանրապետության </w:t>
            </w:r>
            <w:r w:rsidRPr="0053423A">
              <w:rPr>
                <w:rFonts w:eastAsia="MS Mincho"/>
                <w:b/>
                <w:u w:val="single"/>
                <w:lang w:eastAsia="en-US"/>
              </w:rPr>
              <w:t>կ</w:t>
            </w:r>
            <w:r w:rsidRPr="0053423A">
              <w:rPr>
                <w:rFonts w:eastAsia="MS Mincho"/>
                <w:b/>
                <w:u w:val="single"/>
                <w:lang w:val="hy-AM" w:eastAsia="en-US"/>
              </w:rPr>
              <w:t>առավարությնա 2015 թվականի մարտի 19-ի N596-Ն և 2017թվականի մայիսի 4-ի N526-Ն որոշումներում փոփոխություններ և լրացումներ կատարելու մասին» ՀՀ կառավարության որոշման նախագծի ներկայացում ՀՀ վարչապետի աշխատակազմ</w:t>
            </w:r>
          </w:p>
          <w:p w:rsidR="00D75F05" w:rsidRPr="0053423A" w:rsidRDefault="00D75F05" w:rsidP="00A67858">
            <w:pPr>
              <w:spacing w:line="276" w:lineRule="auto"/>
              <w:ind w:left="7"/>
              <w:jc w:val="center"/>
              <w:rPr>
                <w:rFonts w:eastAsia="MS Mincho"/>
                <w:b/>
                <w:u w:val="single"/>
                <w:lang w:val="hy-AM" w:eastAsia="en-US"/>
              </w:rPr>
            </w:pPr>
          </w:p>
          <w:p w:rsidR="00D75F05" w:rsidRPr="0053423A" w:rsidRDefault="00D75F05" w:rsidP="00A67858">
            <w:pPr>
              <w:pStyle w:val="ListParagraph1"/>
              <w:tabs>
                <w:tab w:val="left" w:pos="540"/>
                <w:tab w:val="left" w:pos="900"/>
              </w:tabs>
              <w:spacing w:after="0"/>
              <w:ind w:left="7"/>
              <w:rPr>
                <w:rFonts w:ascii="GHEA Grapalat" w:hAnsi="GHEA Grapalat"/>
                <w:b/>
                <w:lang w:val="af-ZA"/>
              </w:rPr>
            </w:pPr>
            <w:r w:rsidRPr="0053423A">
              <w:rPr>
                <w:rFonts w:ascii="GHEA Grapalat" w:hAnsi="GHEA Grapalat"/>
                <w:b/>
                <w:lang w:val="af-ZA"/>
              </w:rPr>
              <w:t xml:space="preserve">1. </w:t>
            </w: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spacing w:line="276" w:lineRule="auto"/>
              <w:ind w:left="7"/>
              <w:jc w:val="both"/>
              <w:rPr>
                <w:lang w:val="af-ZA"/>
              </w:rPr>
            </w:pPr>
            <w:r w:rsidRPr="0053423A">
              <w:rPr>
                <w:lang w:val="hy-AM"/>
              </w:rPr>
              <w:t xml:space="preserve">Միջոցառման անհրաժեշտությունը բխում է ՀՀ Սահմանադրության (06.12.2015թ. փոփոխություններով) 6-րդ հոդվածի 2-րդ մասի, 86-րդ հոդվածի 3-րդ, 9-րդ, 10-րդ մասերի, Քաղաքաշինության մասին» ՀՀ օրենքի 10-րդ  և 10.1 հոդվածների, Նորմատիվ իրավական ակտերի մասին ՀՀ օրենքի  34-րդ հոդվածի 1-ին մասի դրույթների և ՀՀ կառավարության ծրագրի Կառավարության խնդիրների 2-րդ գլխի  պահանջներից: </w:t>
            </w:r>
          </w:p>
          <w:p w:rsidR="00D75F05" w:rsidRPr="0053423A" w:rsidRDefault="00D75F05" w:rsidP="00A67858">
            <w:pPr>
              <w:spacing w:line="276" w:lineRule="auto"/>
              <w:ind w:left="7"/>
              <w:jc w:val="both"/>
              <w:rPr>
                <w:bCs/>
                <w:iCs/>
                <w:lang w:val="hy-AM"/>
              </w:rPr>
            </w:pPr>
            <w:r w:rsidRPr="0053423A">
              <w:rPr>
                <w:lang w:val="hy-AM"/>
              </w:rPr>
              <w:t xml:space="preserve">Միջոցառման նպատակն է ՀՀ պետական բյուջեի միջոցների՝ այդ թվում </w:t>
            </w:r>
            <w:r w:rsidRPr="0053423A">
              <w:rPr>
                <w:rFonts w:ascii="Calibri" w:hAnsi="Calibri" w:cs="Calibri"/>
                <w:lang w:val="hy-AM"/>
              </w:rPr>
              <w:t> </w:t>
            </w:r>
            <w:r w:rsidRPr="0053423A">
              <w:rPr>
                <w:rFonts w:cs="GHEA Grapalat"/>
                <w:lang w:val="hy-AM"/>
              </w:rPr>
              <w:t xml:space="preserve">վարկերի (եթե վարկային պայմանագրով այլ բան նախատեսված չէ), </w:t>
            </w:r>
            <w:r w:rsidRPr="0053423A">
              <w:rPr>
                <w:lang w:val="hy-AM"/>
              </w:rPr>
              <w:t xml:space="preserve">դրամաշնորհների, համայնքին տրամադրվող սուբվենցիաների, ինչպես նաև  արտաբյուջետային և պետական ոչ առևտրային կազմակերպությունների միջոցների </w:t>
            </w:r>
            <w:r w:rsidRPr="0053423A">
              <w:rPr>
                <w:bCs/>
                <w:iCs/>
                <w:lang w:val="hy-AM"/>
              </w:rPr>
              <w:t xml:space="preserve">հաշվին ֆինանսավորվող քաղաքաշինական ծրագրերի առաջնահերթությունների, նպատակային և արդյունավետ ծախսերի կանխատեսումը՝ միասնական </w:t>
            </w:r>
            <w:r w:rsidRPr="0053423A">
              <w:rPr>
                <w:bCs/>
                <w:iCs/>
              </w:rPr>
              <w:t>պ</w:t>
            </w:r>
            <w:r w:rsidRPr="0053423A">
              <w:rPr>
                <w:bCs/>
                <w:iCs/>
                <w:lang w:val="hy-AM"/>
              </w:rPr>
              <w:t>ատվիրատուի կողմից մշակվող քաղաքականության հիմնական սկզբունքներին և իրական պահանջարկին համապատասխանեցումը, քաղաքաշինական գործունեության օբյեկտի նկատմամբ սահմանվող նախագծման միասնական պարտադիր պայմանների, պահանջների և սահմանափակումների ապահովումը, պետական կառավարման արդյունավետության բարձրացումը և հանրային ֆինանսների ծախսարդյունավետ կառավարումը:</w:t>
            </w:r>
          </w:p>
          <w:p w:rsidR="00D75F05" w:rsidRPr="0053423A" w:rsidRDefault="00D75F05" w:rsidP="00A67858">
            <w:pPr>
              <w:spacing w:line="276" w:lineRule="auto"/>
              <w:ind w:left="7"/>
              <w:rPr>
                <w:b/>
                <w:lang w:val="af-ZA"/>
              </w:rPr>
            </w:pPr>
            <w:r w:rsidRPr="0053423A">
              <w:rPr>
                <w:b/>
                <w:lang w:val="af-ZA"/>
              </w:rPr>
              <w:t xml:space="preserve">1.1 </w:t>
            </w:r>
            <w:r w:rsidRPr="0053423A">
              <w:rPr>
                <w:b/>
                <w:lang w:val="hy-AM"/>
              </w:rPr>
              <w:t>Կարգավորման հարաբերությունների ներկա վիճակը և առկա խնդիրները</w:t>
            </w:r>
          </w:p>
          <w:p w:rsidR="00D75F05" w:rsidRPr="0053423A" w:rsidRDefault="00D75F05" w:rsidP="00A67858">
            <w:pPr>
              <w:spacing w:line="276" w:lineRule="auto"/>
              <w:ind w:left="7"/>
              <w:jc w:val="both"/>
              <w:rPr>
                <w:rFonts w:cs="GHEA Grapalat"/>
                <w:lang w:val="hy-AM"/>
              </w:rPr>
            </w:pPr>
            <w:r w:rsidRPr="0053423A">
              <w:rPr>
                <w:rFonts w:cs="GHEA Grapalat"/>
                <w:lang w:val="hy-AM"/>
              </w:rPr>
              <w:t xml:space="preserve">Ներկայումս, </w:t>
            </w:r>
            <w:r w:rsidRPr="0053423A">
              <w:rPr>
                <w:rFonts w:cs="GHEA Grapalat"/>
              </w:rPr>
              <w:t>ՀՀ</w:t>
            </w:r>
            <w:r w:rsidRPr="0053423A">
              <w:rPr>
                <w:rFonts w:cs="GHEA Grapalat"/>
                <w:lang w:val="af-ZA"/>
              </w:rPr>
              <w:t xml:space="preserve"> </w:t>
            </w:r>
            <w:r w:rsidRPr="0053423A">
              <w:rPr>
                <w:rFonts w:cs="GHEA Grapalat"/>
                <w:lang w:val="hy-AM"/>
              </w:rPr>
              <w:t xml:space="preserve">կառավարության 2017 թվականի մայիսի 4-ի N526-Ն որոշմամբ հաստատված Կարգով սահմանվում է, որ ՀՀ պետական բյուջեի միջոցների հաշվին մինչև </w:t>
            </w:r>
            <w:r w:rsidRPr="0053423A">
              <w:rPr>
                <w:rFonts w:cs="GHEA Grapalat"/>
                <w:lang w:val="af-ZA"/>
              </w:rPr>
              <w:t xml:space="preserve">          </w:t>
            </w:r>
            <w:r w:rsidRPr="0053423A">
              <w:rPr>
                <w:rFonts w:cs="GHEA Grapalat"/>
                <w:lang w:val="hy-AM"/>
              </w:rPr>
              <w:t>70 մլն</w:t>
            </w:r>
            <w:r w:rsidRPr="0053423A">
              <w:rPr>
                <w:rFonts w:cs="GHEA Grapalat"/>
                <w:lang w:val="af-ZA"/>
              </w:rPr>
              <w:t>.</w:t>
            </w:r>
            <w:r w:rsidRPr="0053423A">
              <w:rPr>
                <w:rFonts w:cs="GHEA Grapalat"/>
                <w:lang w:val="hy-AM"/>
              </w:rPr>
              <w:t xml:space="preserve"> դրամ նախահաշվային արժեք ունեցող շինարարական ծրագրերի՝ ներառյալ դրանց իրականացման համար անհրաժեշտ նախագծային փաստաթղթերի մշակման, փորձաքննության, հեղինակային և տեխնիկական հսկողության ծառայությունների գնումներն իրականացվում են պետական կառավարման այն մարմինների կողմից, որոնց կամ որոնց ենթակա կազմակերպությունների օգտագործման տակ գտնվում է տվյալ գույքը: </w:t>
            </w:r>
          </w:p>
          <w:p w:rsidR="00D75F05" w:rsidRPr="0053423A" w:rsidRDefault="00D75F05" w:rsidP="00A67858">
            <w:pPr>
              <w:spacing w:line="276" w:lineRule="auto"/>
              <w:ind w:left="7"/>
              <w:jc w:val="both"/>
              <w:rPr>
                <w:rFonts w:cs="GHEA Grapalat"/>
                <w:lang w:val="hy-AM"/>
              </w:rPr>
            </w:pPr>
            <w:r w:rsidRPr="0053423A">
              <w:rPr>
                <w:rFonts w:cs="GHEA Grapalat"/>
                <w:lang w:val="hy-AM"/>
              </w:rPr>
              <w:t>Շինարարական ծրագրերի իրականացման համար անհրաժեշտ նախագծային փաստաթղթերի մշակման, փորձաքննության, հեղինակային և տեխնիկական հսկողության ծառայությունների գնումներն իրականացվում են շինարարության ոլորտում                                ՀՀ կառավարության քաղաքականությունը մշակող և իրականացնող մարմնի (մարմինների) կողմից, իսկ շինարարական ծրագրերի (շինարարական աշխատանքների) գնումները՝ պետական կառավարման այն մարմինների կողմից, որոնց կամ որոնց ենթակա կազմակերպությունների օգտագործման տակ գտնվում է տվյալ գույքը:</w:t>
            </w:r>
          </w:p>
          <w:p w:rsidR="00D75F05" w:rsidRPr="0053423A" w:rsidRDefault="00D75F05" w:rsidP="00A67858">
            <w:pPr>
              <w:spacing w:line="276" w:lineRule="auto"/>
              <w:ind w:left="7"/>
              <w:jc w:val="both"/>
              <w:rPr>
                <w:rFonts w:cs="GHEA Grapalat"/>
                <w:lang w:val="hy-AM"/>
              </w:rPr>
            </w:pPr>
            <w:r w:rsidRPr="0053423A">
              <w:rPr>
                <w:rFonts w:cs="GHEA Grapalat"/>
                <w:lang w:val="hy-AM"/>
              </w:rPr>
              <w:t>Գործնականում, շինարարական ծրագրերի գնման գործընթացների նախապատրաստական փուլում վերը նշված պատվիրատու-կառուցապատողների (պետական կառավարման մարմինների կամ կազմակերպությունների) կողմից իրականացվում են գնումների պլանավորման (ծախսերի բաշխման և ընթացակարգերի սահմանման), գնման առարկայի բնութագրերի մշակման և հաստատման գործառույթներ, որոնք պահանջում են մասնագիտական մոտեցում:</w:t>
            </w:r>
          </w:p>
          <w:p w:rsidR="00D75F05" w:rsidRPr="0053423A" w:rsidRDefault="00D75F05" w:rsidP="00A67858">
            <w:pPr>
              <w:spacing w:line="276" w:lineRule="auto"/>
              <w:ind w:left="7"/>
              <w:jc w:val="both"/>
              <w:rPr>
                <w:rFonts w:cs="GHEA Grapalat"/>
                <w:lang w:val="hy-AM"/>
              </w:rPr>
            </w:pPr>
            <w:r w:rsidRPr="0053423A">
              <w:rPr>
                <w:rFonts w:cs="GHEA Grapalat"/>
                <w:lang w:val="hy-AM"/>
              </w:rPr>
              <w:t>Սակայն, մեկ շինարարական ծրագրի մասով երկու պատվիրատուների՝ մի կողմից շինմոնտաժային աշխատանքների, իսկ մյուս կողմից տեխնիկական և հեղինակային հսկողության ծառայությունների համար սահմանումը՝ հանգեցնում է պատվիրատուների                                       (ի դեմս ՀՀ պետական կառավարման մարմինների, ՀՀ մարզպետարանների, համայնքների) չհամաձայնեցված գործողությունների, ժամկետների անհիմն երկարաձգման, ծրագրի անարդյունավետ ընթացքի, ինչպես նաև վերահսկողության, նորմատիվ պահանջների ապահովման, մոնիտորինգի և կոնֆլիկտների կառավարելիության նվազեցման:</w:t>
            </w:r>
            <w:r w:rsidRPr="0053423A">
              <w:rPr>
                <w:bCs/>
                <w:iCs/>
                <w:lang w:val="hy-AM"/>
              </w:rPr>
              <w:t xml:space="preserve">      </w:t>
            </w:r>
          </w:p>
          <w:p w:rsidR="00D75F05" w:rsidRPr="0053423A" w:rsidRDefault="00D75F05" w:rsidP="00A67858">
            <w:pPr>
              <w:spacing w:line="276" w:lineRule="auto"/>
              <w:ind w:left="7"/>
              <w:rPr>
                <w:b/>
                <w:lang w:val="hy-AM"/>
              </w:rPr>
            </w:pPr>
            <w:r w:rsidRPr="0053423A">
              <w:rPr>
                <w:b/>
                <w:lang w:val="hy-AM"/>
              </w:rPr>
              <w:t>1.2 Առկա խնդիրների առաջարկվող լուծումները</w:t>
            </w:r>
          </w:p>
          <w:p w:rsidR="00D75F05" w:rsidRPr="0053423A" w:rsidRDefault="00D75F05" w:rsidP="00A67858">
            <w:pPr>
              <w:spacing w:line="276" w:lineRule="auto"/>
              <w:ind w:left="7"/>
              <w:jc w:val="both"/>
              <w:rPr>
                <w:bCs/>
                <w:iCs/>
                <w:lang w:val="hy-AM"/>
              </w:rPr>
            </w:pPr>
            <w:r w:rsidRPr="0053423A">
              <w:rPr>
                <w:lang w:val="hy-AM"/>
              </w:rPr>
              <w:t xml:space="preserve">Վերը նշված խնդիրները կարգավորելու համար առաջարկվում է ՀՀ պետական բյուջեների միջոցների հաշվին՝ այդ թվում </w:t>
            </w:r>
            <w:r w:rsidRPr="0053423A">
              <w:rPr>
                <w:rFonts w:cs="GHEA Grapalat"/>
                <w:lang w:val="hy-AM"/>
              </w:rPr>
              <w:t xml:space="preserve">վարկերի (եթե վարկային պայմանագրով այլ բան նախատեսված չէ), </w:t>
            </w:r>
            <w:r w:rsidRPr="0053423A">
              <w:rPr>
                <w:lang w:val="hy-AM"/>
              </w:rPr>
              <w:t xml:space="preserve">դրամաշնորհների, համայնքին տրամադրվող սուբվենցիաների, ինչպես նաև արտաբյուջետային և պետական ոչ առևտրային կազմակերպությունների միջոցների </w:t>
            </w:r>
            <w:r w:rsidRPr="0053423A">
              <w:rPr>
                <w:bCs/>
                <w:iCs/>
                <w:lang w:val="hy-AM"/>
              </w:rPr>
              <w:t xml:space="preserve">հաշվին ֆինանսավորվող քաղաքաշինական ծրագրերի իրականացման համար սահմանել միասնական պատվիրատու: </w:t>
            </w:r>
          </w:p>
          <w:p w:rsidR="00D75F05" w:rsidRPr="0053423A" w:rsidRDefault="00D75F05" w:rsidP="001F6D5D">
            <w:pPr>
              <w:pStyle w:val="ListParagraph"/>
              <w:numPr>
                <w:ilvl w:val="0"/>
                <w:numId w:val="325"/>
              </w:numPr>
              <w:tabs>
                <w:tab w:val="left" w:pos="0"/>
              </w:tabs>
              <w:spacing w:line="276" w:lineRule="auto"/>
              <w:ind w:left="7" w:firstLine="0"/>
              <w:rPr>
                <w:b/>
              </w:rPr>
            </w:pPr>
            <w:r w:rsidRPr="0053423A">
              <w:rPr>
                <w:rFonts w:cs="Sylfaen"/>
                <w:b/>
                <w:lang w:val="hy-AM"/>
              </w:rPr>
              <w:t>Միջոցառման</w:t>
            </w:r>
            <w:r w:rsidRPr="0053423A">
              <w:rPr>
                <w:b/>
                <w:lang w:val="hy-AM"/>
              </w:rPr>
              <w:t xml:space="preserve"> իրականացումից ակնկալվող արդյունքը</w:t>
            </w:r>
          </w:p>
          <w:p w:rsidR="00D75F05" w:rsidRPr="0053423A" w:rsidRDefault="00D75F05" w:rsidP="00A67858">
            <w:pPr>
              <w:tabs>
                <w:tab w:val="left" w:pos="-360"/>
              </w:tabs>
              <w:spacing w:line="276" w:lineRule="auto"/>
              <w:ind w:left="7"/>
              <w:jc w:val="both"/>
              <w:rPr>
                <w:lang w:val="af-ZA"/>
              </w:rPr>
            </w:pPr>
            <w:r w:rsidRPr="0053423A">
              <w:rPr>
                <w:rFonts w:cs="Sylfaen"/>
              </w:rPr>
              <w:tab/>
              <w:t>ՀՀ</w:t>
            </w:r>
            <w:r w:rsidRPr="0053423A">
              <w:rPr>
                <w:lang w:val="af-ZA"/>
              </w:rPr>
              <w:t xml:space="preserve"> </w:t>
            </w:r>
            <w:r w:rsidRPr="0053423A">
              <w:t>պետական</w:t>
            </w:r>
            <w:r w:rsidRPr="0053423A">
              <w:rPr>
                <w:lang w:val="af-ZA"/>
              </w:rPr>
              <w:t xml:space="preserve"> </w:t>
            </w:r>
            <w:r w:rsidRPr="0053423A">
              <w:t>բյուջեի</w:t>
            </w:r>
            <w:r w:rsidRPr="0053423A">
              <w:rPr>
                <w:lang w:val="af-ZA"/>
              </w:rPr>
              <w:t xml:space="preserve"> </w:t>
            </w:r>
            <w:r w:rsidRPr="0053423A">
              <w:t>միջոցների</w:t>
            </w:r>
            <w:r w:rsidRPr="0053423A">
              <w:rPr>
                <w:lang w:val="af-ZA"/>
              </w:rPr>
              <w:t xml:space="preserve"> (</w:t>
            </w:r>
            <w:r w:rsidRPr="0053423A">
              <w:t>այդ</w:t>
            </w:r>
            <w:r w:rsidRPr="0053423A">
              <w:rPr>
                <w:lang w:val="af-ZA"/>
              </w:rPr>
              <w:t xml:space="preserve"> </w:t>
            </w:r>
            <w:r w:rsidRPr="0053423A">
              <w:t>թվում</w:t>
            </w:r>
            <w:r w:rsidRPr="0053423A">
              <w:rPr>
                <w:lang w:val="af-ZA"/>
              </w:rPr>
              <w:t xml:space="preserve"> </w:t>
            </w:r>
            <w:r w:rsidRPr="0053423A">
              <w:t>վարկային</w:t>
            </w:r>
            <w:r w:rsidRPr="0053423A">
              <w:rPr>
                <w:lang w:val="af-ZA"/>
              </w:rPr>
              <w:t>) ի</w:t>
            </w:r>
            <w:r w:rsidRPr="0053423A">
              <w:t>րականացվող քաղաքաշինական</w:t>
            </w:r>
            <w:r w:rsidRPr="0053423A">
              <w:rPr>
                <w:lang w:val="af-ZA"/>
              </w:rPr>
              <w:t xml:space="preserve"> </w:t>
            </w:r>
            <w:r w:rsidRPr="0053423A">
              <w:t>ծրագրերի</w:t>
            </w:r>
            <w:r w:rsidRPr="0053423A">
              <w:rPr>
                <w:lang w:val="af-ZA"/>
              </w:rPr>
              <w:t xml:space="preserve"> </w:t>
            </w:r>
            <w:r w:rsidRPr="0053423A">
              <w:t>միասնական</w:t>
            </w:r>
            <w:r w:rsidRPr="0053423A">
              <w:rPr>
                <w:lang w:val="af-ZA"/>
              </w:rPr>
              <w:t xml:space="preserve"> </w:t>
            </w:r>
            <w:r w:rsidRPr="0053423A">
              <w:t>պատվիրատուի</w:t>
            </w:r>
            <w:r w:rsidRPr="0053423A">
              <w:rPr>
                <w:lang w:val="af-ZA"/>
              </w:rPr>
              <w:t xml:space="preserve"> սահմանում՝</w:t>
            </w:r>
            <w:r w:rsidRPr="0053423A">
              <w:rPr>
                <w:rFonts w:cs="Sylfaen"/>
              </w:rPr>
              <w:t xml:space="preserve"> գ</w:t>
            </w:r>
            <w:r w:rsidRPr="0053423A">
              <w:t>երատեսչությունների</w:t>
            </w:r>
            <w:r w:rsidRPr="0053423A">
              <w:rPr>
                <w:lang w:val="af-ZA"/>
              </w:rPr>
              <w:t xml:space="preserve"> </w:t>
            </w:r>
            <w:r w:rsidRPr="0053423A">
              <w:t>կրկնվող</w:t>
            </w:r>
            <w:r w:rsidRPr="0053423A">
              <w:rPr>
                <w:lang w:val="af-ZA"/>
              </w:rPr>
              <w:t xml:space="preserve"> </w:t>
            </w:r>
            <w:r w:rsidRPr="0053423A">
              <w:t>գործառույթների</w:t>
            </w:r>
            <w:r w:rsidRPr="0053423A">
              <w:rPr>
                <w:lang w:val="af-ZA"/>
              </w:rPr>
              <w:t xml:space="preserve"> </w:t>
            </w:r>
            <w:r w:rsidRPr="0053423A">
              <w:t>համախմբման</w:t>
            </w:r>
            <w:r w:rsidRPr="0053423A">
              <w:rPr>
                <w:lang w:val="af-ZA"/>
              </w:rPr>
              <w:t xml:space="preserve"> </w:t>
            </w:r>
            <w:r w:rsidRPr="0053423A">
              <w:t>արդյունքում</w:t>
            </w:r>
            <w:r w:rsidRPr="0053423A">
              <w:rPr>
                <w:lang w:val="af-ZA"/>
              </w:rPr>
              <w:t xml:space="preserve"> </w:t>
            </w:r>
            <w:r w:rsidRPr="0053423A">
              <w:t>ծախսարդյունավետության</w:t>
            </w:r>
            <w:r w:rsidRPr="0053423A">
              <w:rPr>
                <w:lang w:val="af-ZA"/>
              </w:rPr>
              <w:t xml:space="preserve"> </w:t>
            </w:r>
            <w:r w:rsidRPr="0053423A">
              <w:t>և</w:t>
            </w:r>
            <w:r w:rsidRPr="0053423A">
              <w:rPr>
                <w:lang w:val="af-ZA"/>
              </w:rPr>
              <w:t xml:space="preserve"> </w:t>
            </w:r>
            <w:r w:rsidRPr="0053423A">
              <w:t>աշխատանքի</w:t>
            </w:r>
            <w:r w:rsidRPr="0053423A">
              <w:rPr>
                <w:lang w:val="af-ZA"/>
              </w:rPr>
              <w:t xml:space="preserve"> </w:t>
            </w:r>
            <w:r w:rsidRPr="0053423A">
              <w:t>արդյունավետության</w:t>
            </w:r>
            <w:r w:rsidRPr="0053423A">
              <w:rPr>
                <w:lang w:val="af-ZA"/>
              </w:rPr>
              <w:t xml:space="preserve"> </w:t>
            </w:r>
            <w:r w:rsidRPr="0053423A">
              <w:t>բարձրացման</w:t>
            </w:r>
            <w:r w:rsidRPr="0053423A">
              <w:rPr>
                <w:lang w:val="af-ZA"/>
              </w:rPr>
              <w:t xml:space="preserve">, </w:t>
            </w:r>
            <w:r w:rsidRPr="0053423A">
              <w:t>ծրագրերի</w:t>
            </w:r>
            <w:r w:rsidRPr="0053423A">
              <w:rPr>
                <w:lang w:val="af-ZA"/>
              </w:rPr>
              <w:t xml:space="preserve"> </w:t>
            </w:r>
            <w:r w:rsidRPr="0053423A">
              <w:t>արդյունքների</w:t>
            </w:r>
            <w:r w:rsidRPr="0053423A">
              <w:rPr>
                <w:lang w:val="af-ZA"/>
              </w:rPr>
              <w:t xml:space="preserve"> </w:t>
            </w:r>
            <w:r w:rsidRPr="0053423A">
              <w:t>համար</w:t>
            </w:r>
            <w:r w:rsidRPr="0053423A">
              <w:rPr>
                <w:lang w:val="af-ZA"/>
              </w:rPr>
              <w:t xml:space="preserve"> </w:t>
            </w:r>
            <w:r w:rsidRPr="0053423A">
              <w:t>պատասխանատվության</w:t>
            </w:r>
            <w:r w:rsidRPr="0053423A">
              <w:rPr>
                <w:lang w:val="af-ZA"/>
              </w:rPr>
              <w:t xml:space="preserve"> </w:t>
            </w:r>
            <w:r w:rsidRPr="0053423A">
              <w:t>որոշակիացման</w:t>
            </w:r>
            <w:r w:rsidRPr="0053423A">
              <w:rPr>
                <w:lang w:val="af-ZA"/>
              </w:rPr>
              <w:t xml:space="preserve">, </w:t>
            </w:r>
            <w:r w:rsidRPr="0053423A">
              <w:t>նույնանման</w:t>
            </w:r>
            <w:r w:rsidRPr="0053423A">
              <w:rPr>
                <w:lang w:val="af-ZA"/>
              </w:rPr>
              <w:t xml:space="preserve"> </w:t>
            </w:r>
            <w:r w:rsidRPr="0053423A">
              <w:t>հարցերի</w:t>
            </w:r>
            <w:r w:rsidRPr="0053423A">
              <w:rPr>
                <w:lang w:val="af-ZA"/>
              </w:rPr>
              <w:t xml:space="preserve"> </w:t>
            </w:r>
            <w:r w:rsidRPr="0053423A">
              <w:t>վերաբերյալ</w:t>
            </w:r>
            <w:r w:rsidRPr="0053423A">
              <w:rPr>
                <w:lang w:val="af-ZA"/>
              </w:rPr>
              <w:t xml:space="preserve"> </w:t>
            </w:r>
            <w:r w:rsidRPr="0053423A">
              <w:t>կամայական</w:t>
            </w:r>
            <w:r w:rsidRPr="0053423A">
              <w:rPr>
                <w:lang w:val="af-ZA"/>
              </w:rPr>
              <w:t xml:space="preserve"> </w:t>
            </w:r>
            <w:r w:rsidRPr="0053423A">
              <w:t>որոշումներ</w:t>
            </w:r>
            <w:r w:rsidRPr="0053423A">
              <w:rPr>
                <w:lang w:val="af-ZA"/>
              </w:rPr>
              <w:t xml:space="preserve"> </w:t>
            </w:r>
            <w:r w:rsidRPr="0053423A">
              <w:t>ընդունելու</w:t>
            </w:r>
            <w:r w:rsidRPr="0053423A">
              <w:rPr>
                <w:lang w:val="af-ZA"/>
              </w:rPr>
              <w:t xml:space="preserve"> </w:t>
            </w:r>
            <w:r w:rsidRPr="0053423A">
              <w:t>հնարավորություն</w:t>
            </w:r>
            <w:r w:rsidRPr="0053423A">
              <w:rPr>
                <w:lang w:val="af-ZA"/>
              </w:rPr>
              <w:t xml:space="preserve"> </w:t>
            </w:r>
            <w:r w:rsidRPr="0053423A">
              <w:t>բացառելու</w:t>
            </w:r>
            <w:r w:rsidRPr="0053423A">
              <w:rPr>
                <w:lang w:val="af-ZA"/>
              </w:rPr>
              <w:t xml:space="preserve"> </w:t>
            </w:r>
            <w:r w:rsidRPr="0053423A">
              <w:t>նպատակով</w:t>
            </w:r>
            <w:r w:rsidRPr="0053423A">
              <w:rPr>
                <w:lang w:val="af-ZA"/>
              </w:rPr>
              <w:t>:</w:t>
            </w:r>
          </w:p>
          <w:p w:rsidR="00D75F05" w:rsidRPr="0053423A" w:rsidRDefault="00D75F05" w:rsidP="00A67858">
            <w:pPr>
              <w:tabs>
                <w:tab w:val="left" w:pos="-360"/>
              </w:tabs>
              <w:spacing w:line="276" w:lineRule="auto"/>
              <w:ind w:left="7"/>
              <w:jc w:val="both"/>
              <w:rPr>
                <w:b/>
              </w:rPr>
            </w:pPr>
            <w:r w:rsidRPr="0053423A">
              <w:rPr>
                <w:lang w:val="af-ZA"/>
              </w:rPr>
              <w:t xml:space="preserve">  </w:t>
            </w:r>
          </w:p>
          <w:p w:rsidR="00D75F05" w:rsidRPr="0053423A" w:rsidRDefault="00D75F05" w:rsidP="00A67858">
            <w:pPr>
              <w:spacing w:line="276" w:lineRule="auto"/>
              <w:ind w:left="7"/>
              <w:jc w:val="center"/>
              <w:rPr>
                <w:b/>
                <w:u w:val="single"/>
                <w:lang w:val="af-ZA"/>
              </w:rPr>
            </w:pPr>
            <w:r w:rsidRPr="0053423A">
              <w:rPr>
                <w:b/>
                <w:u w:val="single"/>
                <w:lang w:val="af-ZA"/>
              </w:rPr>
              <w:t>5.4</w:t>
            </w:r>
            <w:r w:rsidRPr="0053423A">
              <w:rPr>
                <w:u w:val="single"/>
                <w:lang w:val="af-ZA"/>
              </w:rPr>
              <w:t xml:space="preserve"> </w:t>
            </w:r>
            <w:r w:rsidRPr="0053423A">
              <w:rPr>
                <w:b/>
                <w:u w:val="single"/>
              </w:rPr>
              <w:t>Պետական</w:t>
            </w:r>
            <w:r w:rsidRPr="0053423A">
              <w:rPr>
                <w:b/>
                <w:u w:val="single"/>
                <w:lang w:val="af-ZA"/>
              </w:rPr>
              <w:t xml:space="preserve"> </w:t>
            </w:r>
            <w:r w:rsidRPr="0053423A">
              <w:rPr>
                <w:b/>
                <w:u w:val="single"/>
              </w:rPr>
              <w:t>մարմինների</w:t>
            </w:r>
            <w:r w:rsidRPr="0053423A">
              <w:rPr>
                <w:b/>
                <w:u w:val="single"/>
                <w:lang w:val="af-ZA"/>
              </w:rPr>
              <w:t xml:space="preserve"> </w:t>
            </w:r>
            <w:r w:rsidRPr="0053423A">
              <w:rPr>
                <w:b/>
                <w:u w:val="single"/>
              </w:rPr>
              <w:t>կողմից</w:t>
            </w:r>
            <w:r w:rsidRPr="0053423A">
              <w:rPr>
                <w:b/>
                <w:u w:val="single"/>
                <w:lang w:val="af-ZA"/>
              </w:rPr>
              <w:t xml:space="preserve"> </w:t>
            </w:r>
            <w:r w:rsidRPr="0053423A">
              <w:rPr>
                <w:b/>
                <w:u w:val="single"/>
              </w:rPr>
              <w:t>քաղաքաշինական</w:t>
            </w:r>
            <w:r w:rsidRPr="0053423A">
              <w:rPr>
                <w:b/>
                <w:u w:val="single"/>
                <w:lang w:val="af-ZA"/>
              </w:rPr>
              <w:t xml:space="preserve"> </w:t>
            </w:r>
            <w:r w:rsidRPr="0053423A">
              <w:rPr>
                <w:b/>
                <w:u w:val="single"/>
              </w:rPr>
              <w:t>ծրագրերի</w:t>
            </w:r>
            <w:r w:rsidRPr="0053423A">
              <w:rPr>
                <w:b/>
                <w:u w:val="single"/>
                <w:lang w:val="hy-AM"/>
              </w:rPr>
              <w:t xml:space="preserve"> </w:t>
            </w:r>
            <w:r w:rsidRPr="0053423A">
              <w:rPr>
                <w:b/>
                <w:u w:val="single"/>
              </w:rPr>
              <w:t>ֆինանսավորման</w:t>
            </w:r>
            <w:r w:rsidRPr="0053423A">
              <w:rPr>
                <w:b/>
                <w:u w:val="single"/>
                <w:lang w:val="af-ZA"/>
              </w:rPr>
              <w:t xml:space="preserve"> </w:t>
            </w:r>
            <w:r w:rsidRPr="0053423A">
              <w:rPr>
                <w:b/>
                <w:u w:val="single"/>
              </w:rPr>
              <w:t>հայտերի</w:t>
            </w:r>
            <w:r w:rsidRPr="0053423A">
              <w:rPr>
                <w:b/>
                <w:u w:val="single"/>
                <w:lang w:val="af-ZA"/>
              </w:rPr>
              <w:t xml:space="preserve"> </w:t>
            </w:r>
            <w:r w:rsidRPr="0053423A">
              <w:rPr>
                <w:b/>
                <w:u w:val="single"/>
              </w:rPr>
              <w:t>կազմման</w:t>
            </w:r>
            <w:r w:rsidRPr="0053423A">
              <w:rPr>
                <w:b/>
                <w:u w:val="single"/>
                <w:lang w:val="af-ZA"/>
              </w:rPr>
              <w:t xml:space="preserve"> </w:t>
            </w:r>
            <w:r w:rsidRPr="0053423A">
              <w:rPr>
                <w:b/>
                <w:u w:val="single"/>
              </w:rPr>
              <w:t>համար</w:t>
            </w:r>
            <w:r w:rsidRPr="0053423A">
              <w:rPr>
                <w:b/>
                <w:u w:val="single"/>
                <w:lang w:val="af-ZA"/>
              </w:rPr>
              <w:t xml:space="preserve"> </w:t>
            </w:r>
            <w:r w:rsidRPr="0053423A">
              <w:rPr>
                <w:b/>
                <w:u w:val="single"/>
              </w:rPr>
              <w:t>պարտադիր</w:t>
            </w:r>
            <w:r w:rsidRPr="0053423A">
              <w:rPr>
                <w:b/>
                <w:u w:val="single"/>
                <w:lang w:val="af-ZA"/>
              </w:rPr>
              <w:t xml:space="preserve"> (</w:t>
            </w:r>
            <w:r w:rsidRPr="0053423A">
              <w:rPr>
                <w:b/>
                <w:u w:val="single"/>
              </w:rPr>
              <w:t>միասնական</w:t>
            </w:r>
            <w:r w:rsidRPr="0053423A">
              <w:rPr>
                <w:b/>
                <w:u w:val="single"/>
                <w:lang w:val="af-ZA"/>
              </w:rPr>
              <w:t xml:space="preserve">) </w:t>
            </w:r>
            <w:r w:rsidRPr="0053423A">
              <w:rPr>
                <w:b/>
                <w:u w:val="single"/>
              </w:rPr>
              <w:t>պահանջների</w:t>
            </w:r>
            <w:r w:rsidRPr="0053423A">
              <w:rPr>
                <w:b/>
                <w:u w:val="single"/>
                <w:lang w:val="af-ZA"/>
              </w:rPr>
              <w:t xml:space="preserve"> </w:t>
            </w:r>
            <w:r w:rsidRPr="0053423A">
              <w:rPr>
                <w:b/>
                <w:u w:val="single"/>
              </w:rPr>
              <w:t>սահմանում՝</w:t>
            </w:r>
            <w:r w:rsidRPr="0053423A">
              <w:rPr>
                <w:b/>
                <w:u w:val="single"/>
                <w:lang w:val="af-ZA"/>
              </w:rPr>
              <w:t xml:space="preserve"> </w:t>
            </w:r>
            <w:r w:rsidRPr="0053423A">
              <w:rPr>
                <w:b/>
                <w:u w:val="single"/>
              </w:rPr>
              <w:t>օրենսդրական</w:t>
            </w:r>
            <w:r w:rsidRPr="0053423A">
              <w:rPr>
                <w:b/>
                <w:u w:val="single"/>
                <w:lang w:val="af-ZA"/>
              </w:rPr>
              <w:t xml:space="preserve"> </w:t>
            </w:r>
            <w:r w:rsidRPr="0053423A">
              <w:rPr>
                <w:b/>
                <w:u w:val="single"/>
              </w:rPr>
              <w:t>և</w:t>
            </w:r>
            <w:r w:rsidRPr="0053423A">
              <w:rPr>
                <w:b/>
                <w:u w:val="single"/>
                <w:lang w:val="af-ZA"/>
              </w:rPr>
              <w:t xml:space="preserve"> </w:t>
            </w:r>
            <w:r w:rsidRPr="0053423A">
              <w:rPr>
                <w:b/>
                <w:u w:val="single"/>
              </w:rPr>
              <w:t>ենթաօրեսդրական</w:t>
            </w:r>
            <w:r w:rsidRPr="0053423A">
              <w:rPr>
                <w:b/>
                <w:u w:val="single"/>
                <w:lang w:val="af-ZA"/>
              </w:rPr>
              <w:t xml:space="preserve"> ակտերում </w:t>
            </w:r>
            <w:r w:rsidRPr="0053423A">
              <w:rPr>
                <w:b/>
                <w:u w:val="single"/>
              </w:rPr>
              <w:t>փոփոխությունների</w:t>
            </w:r>
            <w:r w:rsidRPr="0053423A">
              <w:rPr>
                <w:b/>
                <w:u w:val="single"/>
                <w:lang w:val="af-ZA"/>
              </w:rPr>
              <w:t xml:space="preserve"> </w:t>
            </w:r>
            <w:r w:rsidRPr="0053423A">
              <w:rPr>
                <w:b/>
                <w:u w:val="single"/>
              </w:rPr>
              <w:t>միջոցով</w:t>
            </w:r>
          </w:p>
          <w:p w:rsidR="00D75F05" w:rsidRPr="0053423A" w:rsidRDefault="00D75F05" w:rsidP="00A67858">
            <w:pPr>
              <w:spacing w:line="276" w:lineRule="auto"/>
              <w:ind w:left="7"/>
              <w:rPr>
                <w:b/>
                <w:lang w:val="af-ZA"/>
              </w:rPr>
            </w:pPr>
          </w:p>
          <w:p w:rsidR="00D75F05" w:rsidRPr="0053423A" w:rsidRDefault="00D75F05" w:rsidP="001F6D5D">
            <w:pPr>
              <w:pStyle w:val="ListParagraph"/>
              <w:numPr>
                <w:ilvl w:val="0"/>
                <w:numId w:val="331"/>
              </w:numPr>
              <w:spacing w:line="276" w:lineRule="auto"/>
              <w:ind w:left="7" w:firstLine="0"/>
              <w:rPr>
                <w:b/>
                <w:lang w:val="hy-AM"/>
              </w:rPr>
            </w:pPr>
            <w:r w:rsidRPr="0053423A">
              <w:rPr>
                <w:rFonts w:cs="Sylfaen"/>
                <w:b/>
                <w:lang w:val="hy-AM"/>
              </w:rPr>
              <w:t>Միջոցառման</w:t>
            </w:r>
            <w:r w:rsidRPr="0053423A">
              <w:rPr>
                <w:b/>
                <w:lang w:val="hy-AM"/>
              </w:rPr>
              <w:t xml:space="preserve"> </w:t>
            </w:r>
            <w:r w:rsidRPr="0053423A">
              <w:rPr>
                <w:rFonts w:cs="Sylfaen"/>
                <w:b/>
                <w:lang w:val="hy-AM"/>
              </w:rPr>
              <w:t>իրականացման</w:t>
            </w:r>
            <w:r w:rsidRPr="0053423A">
              <w:rPr>
                <w:b/>
                <w:lang w:val="hy-AM"/>
              </w:rPr>
              <w:t xml:space="preserve"> </w:t>
            </w:r>
            <w:r w:rsidRPr="0053423A">
              <w:rPr>
                <w:rFonts w:cs="Sylfaen"/>
                <w:b/>
                <w:lang w:val="hy-AM"/>
              </w:rPr>
              <w:t>անհրաժեշ</w:t>
            </w:r>
            <w:r w:rsidRPr="0053423A">
              <w:rPr>
                <w:b/>
                <w:lang w:val="hy-AM"/>
              </w:rPr>
              <w:t>տությունը և նպատակը</w:t>
            </w:r>
          </w:p>
          <w:p w:rsidR="00D75F05" w:rsidRPr="0053423A" w:rsidRDefault="00D75F05" w:rsidP="00A67858">
            <w:pPr>
              <w:spacing w:line="276" w:lineRule="auto"/>
              <w:ind w:left="7"/>
              <w:jc w:val="both"/>
              <w:rPr>
                <w:lang w:val="hy-AM"/>
              </w:rPr>
            </w:pPr>
            <w:r w:rsidRPr="0053423A">
              <w:rPr>
                <w:rFonts w:cs="Sylfaen"/>
                <w:lang w:val="hy-AM"/>
              </w:rPr>
              <w:t xml:space="preserve">Միջոցառման անհրաժեշտությունը բխում է </w:t>
            </w:r>
            <w:r w:rsidRPr="0053423A">
              <w:rPr>
                <w:bCs/>
                <w:iCs/>
                <w:lang w:val="hy-AM"/>
              </w:rPr>
              <w:t xml:space="preserve">ՀՀ Սահմանադրության  6-րդ հոդվածի 2-րդ մասի, 86-րդ հոդվածի 1-ին և 9-րդ մասերի, Քաղաքաշինության մասին» ՀՀ օրենքի 2-րդ հոդվածի բ մասի, 6-րդ հոդվածի ը և թ մասերի, 10-րդ հոդվածի  ա մասի, 10.1 հոդվածի 3-րդ մասի 3-րդ կետի, 17-րդ հոդվածի 1-ին մասի, Նորմատիվ իրավական ակտերի մասին ՀՀ օրենքի 34-րդ հոդվածի և </w:t>
            </w:r>
            <w:r w:rsidRPr="0053423A">
              <w:rPr>
                <w:rFonts w:cs="Sylfaen"/>
                <w:lang w:val="hy-AM"/>
              </w:rPr>
              <w:t>ՀՀ կառավարության ծրագրի Կառավարության խնդիրների 2-րդ մասի պահանջներից:</w:t>
            </w:r>
          </w:p>
          <w:p w:rsidR="00D75F05" w:rsidRPr="0053423A" w:rsidRDefault="00D75F05" w:rsidP="00A67858">
            <w:pPr>
              <w:spacing w:line="276" w:lineRule="auto"/>
              <w:ind w:left="7"/>
              <w:jc w:val="both"/>
              <w:rPr>
                <w:bCs/>
                <w:iCs/>
                <w:lang w:val="hy-AM"/>
              </w:rPr>
            </w:pPr>
            <w:r w:rsidRPr="0053423A">
              <w:rPr>
                <w:bCs/>
                <w:iCs/>
                <w:lang w:val="hy-AM"/>
              </w:rPr>
              <w:t>Միջոցառման իրականացման նպատակն է պատվիրատու հանդիսացող մարմինների կողմից շինարարական ծրագրերի ֆինանսավորման հայտերի ներկայացման համար միասնական չափանիշների կիրառումը՝ ոլորտում գործող քաղաքականության միջոցառումներին և ռազմավարական խնդիրներին համապատասխան:</w:t>
            </w:r>
          </w:p>
          <w:p w:rsidR="00D75F05" w:rsidRPr="0053423A" w:rsidRDefault="00D75F05" w:rsidP="00A67858">
            <w:pPr>
              <w:spacing w:line="276" w:lineRule="auto"/>
              <w:ind w:left="7"/>
              <w:rPr>
                <w:b/>
                <w:bCs/>
                <w:iCs/>
                <w:lang w:val="hy-AM"/>
              </w:rPr>
            </w:pPr>
            <w:r w:rsidRPr="0053423A">
              <w:rPr>
                <w:b/>
                <w:bCs/>
                <w:iCs/>
                <w:lang w:val="hy-AM"/>
              </w:rPr>
              <w:t>1.1 Կարգավորման հարաբերությունների ներկա վիճակը և առկա խնդիրները</w:t>
            </w:r>
          </w:p>
          <w:p w:rsidR="00D75F05" w:rsidRPr="0053423A" w:rsidRDefault="00D75F05" w:rsidP="00A67858">
            <w:pPr>
              <w:spacing w:line="276" w:lineRule="auto"/>
              <w:ind w:left="7"/>
              <w:jc w:val="both"/>
              <w:rPr>
                <w:bCs/>
                <w:iCs/>
                <w:lang w:val="hy-AM"/>
              </w:rPr>
            </w:pPr>
            <w:r w:rsidRPr="0053423A">
              <w:rPr>
                <w:bCs/>
                <w:iCs/>
                <w:lang w:val="hy-AM"/>
              </w:rPr>
              <w:t>Ներկայումս, ՀՀ կառավարության  2017թվականի մայիսի 4-ի N526-Ն որոշման համաձայն հաստատված գնման հայտերը` ըստ գնման առարկայի տեխնիկական բնութագրի, քանակի, մեկ միավորի առավելագույն գնի, մատակարարման վայրի և ժամկետների, վճարման պայմանների, իսկ անհրաժեշտության դեպքում` մատակարարվելիք ապրանքի, կատարվելիք աշխատանքի կամ մատուցվելիք ծառայության որակի գնահատման նպատակով նաև փորձագիտական եզրակացություն ներկայացնելու պահանջի և այլն:</w:t>
            </w:r>
          </w:p>
          <w:p w:rsidR="00D75F05" w:rsidRPr="0053423A" w:rsidRDefault="00D75F05" w:rsidP="00A67858">
            <w:pPr>
              <w:spacing w:line="276" w:lineRule="auto"/>
              <w:ind w:left="7"/>
              <w:jc w:val="both"/>
              <w:rPr>
                <w:bCs/>
                <w:iCs/>
                <w:lang w:val="hy-AM"/>
              </w:rPr>
            </w:pPr>
            <w:r w:rsidRPr="0053423A">
              <w:rPr>
                <w:bCs/>
                <w:iCs/>
                <w:lang w:val="hy-AM"/>
              </w:rPr>
              <w:t xml:space="preserve">ՀՀ ՄԺԾԾ և ՀՀ պետական բյուջեների նախագծերով նախատեսվող  շինարարական ծրագրերի համար ներկայացվող հայտերը գնահատվում են առանձին ծախսերի հաշվարկմամբ՝ այն է՝ նախագծային աշխատանքներ և շինարարական աշխատանքներ (այդ թվում տեխնիկական և հեղինակային հսկողություններ): </w:t>
            </w:r>
          </w:p>
          <w:p w:rsidR="00D75F05" w:rsidRPr="0053423A" w:rsidRDefault="00D75F05" w:rsidP="00A67858">
            <w:pPr>
              <w:spacing w:line="276" w:lineRule="auto"/>
              <w:ind w:left="7"/>
              <w:jc w:val="both"/>
              <w:rPr>
                <w:bCs/>
                <w:iCs/>
                <w:lang w:val="hy-AM"/>
              </w:rPr>
            </w:pPr>
            <w:r w:rsidRPr="0053423A">
              <w:rPr>
                <w:bCs/>
                <w:iCs/>
                <w:lang w:val="hy-AM"/>
              </w:rPr>
              <w:t>Ոլորտի կարճաժամկետ և երկարաժամկետ խնդիրների լիարժեք գնահատման համար անհրաժեշտ է բյուջետային հայտերում՝ հատկապես նոր օբյեկտների նախագծային և շինարարական աշխատանքների ծախսերի (խոշորացված) հանրագումարի արտահայտումը՝ ծախսերի մեկ փաթեթի ներքո:</w:t>
            </w:r>
          </w:p>
          <w:p w:rsidR="00D75F05" w:rsidRPr="0053423A" w:rsidRDefault="00D75F05" w:rsidP="00A67858">
            <w:pPr>
              <w:spacing w:line="276" w:lineRule="auto"/>
              <w:ind w:left="7"/>
              <w:jc w:val="both"/>
              <w:rPr>
                <w:bCs/>
                <w:iCs/>
                <w:lang w:val="hy-AM"/>
              </w:rPr>
            </w:pPr>
            <w:r w:rsidRPr="0053423A">
              <w:rPr>
                <w:bCs/>
                <w:iCs/>
                <w:lang w:val="hy-AM"/>
              </w:rPr>
              <w:t xml:space="preserve">Հակառակ պարագայում՝ </w:t>
            </w:r>
          </w:p>
          <w:p w:rsidR="00D75F05" w:rsidRPr="0053423A" w:rsidRDefault="00D75F05" w:rsidP="00A67858">
            <w:pPr>
              <w:spacing w:line="276" w:lineRule="auto"/>
              <w:ind w:left="7"/>
              <w:jc w:val="both"/>
              <w:rPr>
                <w:bCs/>
                <w:iCs/>
                <w:lang w:val="hy-AM"/>
              </w:rPr>
            </w:pPr>
            <w:r w:rsidRPr="0053423A">
              <w:rPr>
                <w:bCs/>
                <w:iCs/>
                <w:lang w:val="hy-AM"/>
              </w:rPr>
              <w:t>- տարեկան կամ եռամյա կտրվածքով նոր օբյեկտի միայն նախագծային ծախսերը թույլ չեն տալիս կանխատեսելի դարձնել  ծրագրի իրագործումը</w:t>
            </w:r>
          </w:p>
          <w:p w:rsidR="00D75F05" w:rsidRPr="0053423A" w:rsidRDefault="00D75F05" w:rsidP="00A67858">
            <w:pPr>
              <w:spacing w:line="276" w:lineRule="auto"/>
              <w:ind w:left="7"/>
              <w:jc w:val="both"/>
              <w:rPr>
                <w:bCs/>
                <w:iCs/>
                <w:lang w:val="hy-AM"/>
              </w:rPr>
            </w:pPr>
            <w:r w:rsidRPr="0053423A">
              <w:rPr>
                <w:bCs/>
                <w:iCs/>
                <w:lang w:val="hy-AM"/>
              </w:rPr>
              <w:t xml:space="preserve">- նախօրոք մշակված և 2-3 տարվա վաղեմություն ունեցող նախագծային փաստաթղթերը մի շարք դեպքերում հանդիսանում են շինարարական ծրագրի իրագործման խոչընդոտ՝ չհամապատասխանելով արդեն իսկ արդիականցված քաղաքականության միջոցառումներին </w:t>
            </w:r>
          </w:p>
          <w:p w:rsidR="00D75F05" w:rsidRPr="0053423A" w:rsidRDefault="00D75F05" w:rsidP="001F6D5D">
            <w:pPr>
              <w:pStyle w:val="ListParagraph"/>
              <w:numPr>
                <w:ilvl w:val="1"/>
                <w:numId w:val="331"/>
              </w:numPr>
              <w:spacing w:line="276" w:lineRule="auto"/>
              <w:ind w:left="7" w:firstLine="0"/>
              <w:rPr>
                <w:b/>
                <w:bCs/>
                <w:iCs/>
                <w:lang w:val="hy-AM"/>
              </w:rPr>
            </w:pPr>
            <w:r w:rsidRPr="0053423A">
              <w:rPr>
                <w:rFonts w:cs="Sylfaen"/>
                <w:b/>
                <w:bCs/>
                <w:iCs/>
                <w:lang w:val="hy-AM"/>
              </w:rPr>
              <w:t>Առկա</w:t>
            </w:r>
            <w:r w:rsidRPr="0053423A">
              <w:rPr>
                <w:b/>
                <w:bCs/>
                <w:iCs/>
                <w:lang w:val="hy-AM"/>
              </w:rPr>
              <w:t xml:space="preserve"> խնդիրների առաջարկվող լուծումները</w:t>
            </w:r>
          </w:p>
          <w:p w:rsidR="00D75F05" w:rsidRPr="0053423A" w:rsidRDefault="00D75F05" w:rsidP="00A67858">
            <w:pPr>
              <w:spacing w:line="276" w:lineRule="auto"/>
              <w:ind w:left="7"/>
              <w:jc w:val="both"/>
              <w:rPr>
                <w:bCs/>
                <w:iCs/>
                <w:lang w:val="hy-AM"/>
              </w:rPr>
            </w:pPr>
            <w:r w:rsidRPr="0053423A">
              <w:rPr>
                <w:bCs/>
                <w:iCs/>
                <w:lang w:val="hy-AM"/>
              </w:rPr>
              <w:t>Առաջարկվում է՝ ՀՀ ՄԺԾԾ և ՀՀ պետական բյուջեների ձևավորման մեթոդաբանությունում կատարել համապատասխան փոփոխություններ և սահմանել լրացուցիչ պահանջներ շինարարական ծախսային ծրագրերի ամբողջական (այդ թվում նախագծման փուլի, ելակետային տվյալների, տեխնիկական պայմանների, փորձագիտական եզրակացությունների ձեռքբերման) խոշորացված գնահատման և ներդրման նպատակահարմարության գործընթաց՝ շինարարական ծրագրերի իրագործման ողջամիտ ժամկետների սահմանմամբ՝ մինչև 3 տարի:</w:t>
            </w:r>
          </w:p>
          <w:p w:rsidR="00D75F05" w:rsidRPr="0053423A" w:rsidRDefault="00D75F05" w:rsidP="001F6D5D">
            <w:pPr>
              <w:pStyle w:val="ListParagraph"/>
              <w:numPr>
                <w:ilvl w:val="0"/>
                <w:numId w:val="331"/>
              </w:numPr>
              <w:spacing w:line="276" w:lineRule="auto"/>
              <w:ind w:left="7" w:firstLine="0"/>
              <w:jc w:val="both"/>
              <w:rPr>
                <w:rFonts w:cs="Sylfaen"/>
                <w:b/>
                <w:bCs/>
                <w:iCs/>
                <w:lang w:val="hy-AM"/>
              </w:rPr>
            </w:pPr>
            <w:r w:rsidRPr="0053423A">
              <w:rPr>
                <w:rFonts w:cs="Sylfaen"/>
                <w:b/>
                <w:bCs/>
                <w:iCs/>
                <w:lang w:val="hy-AM"/>
              </w:rPr>
              <w:t>Միջոցառման իրականացումից ակնկալվող արդյունքը</w:t>
            </w:r>
          </w:p>
          <w:p w:rsidR="00D75F05" w:rsidRPr="0053423A" w:rsidRDefault="00D75F05" w:rsidP="00A67858">
            <w:pPr>
              <w:spacing w:line="276" w:lineRule="auto"/>
              <w:ind w:left="7"/>
              <w:jc w:val="both"/>
              <w:rPr>
                <w:rFonts w:cs="Sylfaen"/>
                <w:b/>
                <w:lang w:val="af-ZA"/>
              </w:rPr>
            </w:pPr>
            <w:r w:rsidRPr="0053423A">
              <w:rPr>
                <w:bCs/>
                <w:iCs/>
                <w:lang w:val="hy-AM"/>
              </w:rPr>
              <w:t xml:space="preserve">     ՀՀ ՄԺԾԾ և ՀՀ պետական բյուջեների ձևավորում՝ ոլորտի քաղաքականության միջոցառումներին համապատասխան, ծրագրերի արդյունավետություն, կանխատեսելիության ապահովում: </w:t>
            </w:r>
          </w:p>
        </w:tc>
      </w:tr>
      <w:tr w:rsidR="00D75F05" w:rsidRPr="00DE2EFA" w:rsidTr="00D75F05">
        <w:tc>
          <w:tcPr>
            <w:tcW w:w="450" w:type="dxa"/>
          </w:tcPr>
          <w:p w:rsidR="00D75F05" w:rsidRPr="0053423A" w:rsidRDefault="00D75F05" w:rsidP="00A67858">
            <w:pPr>
              <w:pStyle w:val="ListParagraph"/>
              <w:spacing w:line="276" w:lineRule="auto"/>
              <w:ind w:left="0"/>
              <w:jc w:val="center"/>
              <w:rPr>
                <w:rFonts w:cs="Sylfaen"/>
                <w:b/>
                <w:lang w:val="hy-AM"/>
              </w:rPr>
            </w:pPr>
            <w:r w:rsidRPr="0053423A">
              <w:rPr>
                <w:rFonts w:cs="Sylfaen"/>
                <w:b/>
                <w:lang w:val="hy-AM"/>
              </w:rPr>
              <w:t>6</w:t>
            </w:r>
          </w:p>
        </w:tc>
        <w:tc>
          <w:tcPr>
            <w:tcW w:w="11160" w:type="dxa"/>
          </w:tcPr>
          <w:p w:rsidR="00D75F05" w:rsidRPr="0053423A" w:rsidRDefault="00D75F05" w:rsidP="00A67858">
            <w:pPr>
              <w:pStyle w:val="mechtex"/>
              <w:tabs>
                <w:tab w:val="left" w:pos="180"/>
              </w:tabs>
              <w:spacing w:line="276" w:lineRule="auto"/>
              <w:rPr>
                <w:rFonts w:ascii="GHEA Grapalat" w:hAnsi="GHEA Grapalat"/>
                <w:b/>
                <w:lang w:val="hy-AM"/>
              </w:rPr>
            </w:pPr>
            <w:r w:rsidRPr="0053423A">
              <w:rPr>
                <w:rFonts w:ascii="GHEA Grapalat" w:hAnsi="GHEA Grapalat"/>
                <w:b/>
                <w:lang w:val="af-ZA"/>
              </w:rPr>
              <w:t>Քաղաքաշինության բնագառի նորմատիվ-տեխնիկական փաստաթղթերի ապահովում (մշակում, տեղայնացում,</w:t>
            </w:r>
            <w:r w:rsidRPr="0053423A">
              <w:rPr>
                <w:rFonts w:ascii="GHEA Grapalat" w:hAnsi="GHEA Grapalat"/>
                <w:b/>
                <w:lang w:val="hy-AM"/>
              </w:rPr>
              <w:t xml:space="preserve"> </w:t>
            </w:r>
            <w:r w:rsidRPr="0053423A">
              <w:rPr>
                <w:rFonts w:ascii="GHEA Grapalat" w:hAnsi="GHEA Grapalat"/>
                <w:b/>
                <w:lang w:val="af-ZA"/>
              </w:rPr>
              <w:t>արդիականացում)</w:t>
            </w:r>
          </w:p>
          <w:p w:rsidR="00D75F05" w:rsidRPr="0053423A" w:rsidRDefault="00D75F05" w:rsidP="00A67858">
            <w:pPr>
              <w:pStyle w:val="ListParagraph"/>
              <w:spacing w:line="276" w:lineRule="auto"/>
              <w:ind w:left="0"/>
              <w:jc w:val="center"/>
              <w:rPr>
                <w:rFonts w:cs="Sylfaen"/>
                <w:b/>
                <w:lang w:val="af-ZA"/>
              </w:rPr>
            </w:pPr>
          </w:p>
          <w:p w:rsidR="00D75F05" w:rsidRPr="0053423A" w:rsidRDefault="00D75F05" w:rsidP="00A67858">
            <w:pPr>
              <w:spacing w:line="276" w:lineRule="auto"/>
              <w:jc w:val="center"/>
              <w:rPr>
                <w:b/>
                <w:u w:val="single"/>
                <w:lang w:val="af-ZA" w:eastAsia="en-US"/>
              </w:rPr>
            </w:pPr>
            <w:r w:rsidRPr="0053423A">
              <w:rPr>
                <w:b/>
                <w:u w:val="single"/>
                <w:lang w:val="af-ZA"/>
              </w:rPr>
              <w:t xml:space="preserve">6.1 </w:t>
            </w:r>
            <w:r w:rsidRPr="0053423A">
              <w:rPr>
                <w:b/>
                <w:u w:val="single"/>
                <w:lang w:val="hy-AM" w:eastAsia="en-US"/>
              </w:rPr>
              <w:t xml:space="preserve">Շինարարական նորմերի, </w:t>
            </w:r>
            <w:r w:rsidRPr="0053423A">
              <w:rPr>
                <w:b/>
                <w:u w:val="single"/>
                <w:lang w:eastAsia="en-US"/>
              </w:rPr>
              <w:t>ինչպես</w:t>
            </w:r>
            <w:r w:rsidRPr="0053423A">
              <w:rPr>
                <w:b/>
                <w:u w:val="single"/>
                <w:lang w:val="af-ZA" w:eastAsia="en-US"/>
              </w:rPr>
              <w:t xml:space="preserve"> </w:t>
            </w:r>
            <w:r w:rsidRPr="0053423A">
              <w:rPr>
                <w:b/>
                <w:u w:val="single"/>
                <w:lang w:eastAsia="en-US"/>
              </w:rPr>
              <w:t>նաև</w:t>
            </w:r>
            <w:r w:rsidRPr="0053423A">
              <w:rPr>
                <w:b/>
                <w:u w:val="single"/>
                <w:lang w:val="af-ZA" w:eastAsia="en-US"/>
              </w:rPr>
              <w:t xml:space="preserve"> </w:t>
            </w:r>
            <w:r w:rsidRPr="0053423A">
              <w:rPr>
                <w:b/>
                <w:u w:val="single"/>
                <w:lang w:val="hy-AM" w:eastAsia="en-US"/>
              </w:rPr>
              <w:t xml:space="preserve">կանոնների հավաքածուների </w:t>
            </w:r>
            <w:r w:rsidRPr="0053423A">
              <w:rPr>
                <w:b/>
                <w:u w:val="single"/>
                <w:lang w:eastAsia="en-US"/>
              </w:rPr>
              <w:t>մ</w:t>
            </w:r>
            <w:r w:rsidRPr="0053423A">
              <w:rPr>
                <w:b/>
                <w:u w:val="single"/>
                <w:lang w:val="hy-AM" w:eastAsia="en-US"/>
              </w:rPr>
              <w:t>շակում</w:t>
            </w:r>
          </w:p>
          <w:p w:rsidR="00D75F05" w:rsidRPr="0053423A" w:rsidRDefault="00D75F05" w:rsidP="00A67858">
            <w:pPr>
              <w:spacing w:line="276" w:lineRule="auto"/>
              <w:rPr>
                <w:b/>
                <w:lang w:val="af-ZA" w:eastAsia="en-US"/>
              </w:rPr>
            </w:pPr>
          </w:p>
          <w:p w:rsidR="00D75F05" w:rsidRPr="0053423A" w:rsidRDefault="00D75F05" w:rsidP="001F6D5D">
            <w:pPr>
              <w:pStyle w:val="ListParagraph"/>
              <w:numPr>
                <w:ilvl w:val="0"/>
                <w:numId w:val="313"/>
              </w:numPr>
              <w:tabs>
                <w:tab w:val="clear" w:pos="720"/>
                <w:tab w:val="num" w:pos="180"/>
                <w:tab w:val="left" w:pos="450"/>
              </w:tabs>
              <w:spacing w:line="276" w:lineRule="auto"/>
              <w:ind w:left="0" w:firstLine="0"/>
              <w:contextualSpacing w:val="0"/>
              <w:jc w:val="both"/>
              <w:rPr>
                <w:b/>
                <w:lang w:val="hy-AM"/>
              </w:rPr>
            </w:pPr>
            <w:r w:rsidRPr="0053423A">
              <w:rPr>
                <w:b/>
                <w:lang w:val="hy-AM"/>
              </w:rPr>
              <w:t>Միջոցառման իրականացման անհրաժեշտությունը և նպատակը</w:t>
            </w:r>
          </w:p>
          <w:p w:rsidR="00D75F05" w:rsidRPr="0053423A" w:rsidRDefault="00D75F05" w:rsidP="00A67858">
            <w:pPr>
              <w:spacing w:line="276" w:lineRule="auto"/>
              <w:jc w:val="both"/>
              <w:rPr>
                <w:rFonts w:cs="Sylfaen"/>
                <w:lang w:val="hy-AM"/>
              </w:rPr>
            </w:pPr>
            <w:r w:rsidRPr="0053423A">
              <w:rPr>
                <w:rFonts w:cs="Sylfaen"/>
                <w:lang w:val="hy-AM"/>
              </w:rPr>
              <w:t xml:space="preserve">Միջոցառման անհրաժեշտությունը բխում է «Քաղաքաշինության մասին» ՀՀ օրենքի 10.1-րդ հոդվածի 3-րդ մասի 3-րդ և 5-րդ, «Պետական կառավարման համակարգի մարմինների մասին» ՀՀ օրենքի 4-րդ հոդվածի 1-ին մասի դրույթներից և ՀՀ կառավարության ծրագրի 2-րդ մասի «2.2» ուղղության 7-րդ, 8-րդ և 10-րդ պարբերությունների  պահանջներից: </w:t>
            </w:r>
          </w:p>
          <w:p w:rsidR="00D75F05" w:rsidRPr="0053423A" w:rsidRDefault="00D75F05" w:rsidP="00A67858">
            <w:pPr>
              <w:spacing w:line="276" w:lineRule="auto"/>
              <w:jc w:val="both"/>
              <w:rPr>
                <w:rFonts w:cs="Sylfaen"/>
                <w:lang w:val="hy-AM"/>
              </w:rPr>
            </w:pPr>
            <w:r w:rsidRPr="0053423A">
              <w:rPr>
                <w:rFonts w:cs="Sylfaen"/>
                <w:lang w:val="hy-AM"/>
              </w:rPr>
              <w:t>Միջոցառման նպատակն է քաղաքաշինական նորմատիվ փաստաթղթերի արդիականացումը, վերանայումը, մշակումը (տեղայնացումը), ԽՍՀՄ ժամանակներից գործողության մեջ մնացած նորմատիվ  փաստաթղթերը միջազգային և եվրոպական  ստանդարտներին  համապատասխանեցումը և ներդաշնակեցումը:</w:t>
            </w:r>
          </w:p>
          <w:p w:rsidR="00D75F05" w:rsidRPr="0053423A" w:rsidRDefault="00D75F05" w:rsidP="001F6D5D">
            <w:pPr>
              <w:pStyle w:val="ListParagraph"/>
              <w:numPr>
                <w:ilvl w:val="1"/>
                <w:numId w:val="312"/>
              </w:numPr>
              <w:tabs>
                <w:tab w:val="left" w:pos="360"/>
                <w:tab w:val="left" w:pos="851"/>
              </w:tabs>
              <w:spacing w:line="276" w:lineRule="auto"/>
              <w:ind w:left="0" w:firstLine="0"/>
              <w:jc w:val="both"/>
              <w:rPr>
                <w:b/>
                <w:lang w:val="hy-AM"/>
              </w:rPr>
            </w:pPr>
            <w:r w:rsidRPr="0053423A">
              <w:rPr>
                <w:rFonts w:cs="Sylfaen"/>
                <w:b/>
                <w:lang w:val="hy-AM"/>
              </w:rPr>
              <w:t>Կարգավորման</w:t>
            </w:r>
            <w:r w:rsidRPr="0053423A">
              <w:rPr>
                <w:b/>
                <w:lang w:val="hy-AM"/>
              </w:rPr>
              <w:t xml:space="preserve"> </w:t>
            </w:r>
            <w:r w:rsidRPr="0053423A">
              <w:rPr>
                <w:rFonts w:cs="Sylfaen"/>
                <w:b/>
                <w:lang w:val="hy-AM"/>
              </w:rPr>
              <w:t>հարաբերությունների</w:t>
            </w:r>
            <w:r w:rsidRPr="0053423A">
              <w:rPr>
                <w:b/>
                <w:lang w:val="hy-AM"/>
              </w:rPr>
              <w:t xml:space="preserve"> </w:t>
            </w:r>
            <w:r w:rsidRPr="0053423A">
              <w:rPr>
                <w:rFonts w:cs="Sylfaen"/>
                <w:b/>
                <w:lang w:val="hy-AM"/>
              </w:rPr>
              <w:t>ներկա</w:t>
            </w:r>
            <w:r w:rsidRPr="0053423A">
              <w:rPr>
                <w:b/>
                <w:lang w:val="hy-AM"/>
              </w:rPr>
              <w:t xml:space="preserve"> </w:t>
            </w:r>
            <w:r w:rsidRPr="0053423A">
              <w:rPr>
                <w:rFonts w:cs="Sylfaen"/>
                <w:b/>
                <w:lang w:val="hy-AM"/>
              </w:rPr>
              <w:t>վիճակը</w:t>
            </w:r>
            <w:r w:rsidRPr="0053423A">
              <w:rPr>
                <w:b/>
                <w:lang w:val="hy-AM"/>
              </w:rPr>
              <w:t xml:space="preserve"> </w:t>
            </w:r>
            <w:r w:rsidRPr="0053423A">
              <w:rPr>
                <w:rFonts w:cs="Sylfaen"/>
                <w:b/>
                <w:lang w:val="hy-AM"/>
              </w:rPr>
              <w:t>և</w:t>
            </w:r>
            <w:r w:rsidRPr="0053423A">
              <w:rPr>
                <w:b/>
                <w:lang w:val="hy-AM"/>
              </w:rPr>
              <w:t xml:space="preserve"> </w:t>
            </w:r>
            <w:r w:rsidRPr="0053423A">
              <w:rPr>
                <w:rFonts w:cs="Sylfaen"/>
                <w:b/>
                <w:lang w:val="hy-AM"/>
              </w:rPr>
              <w:t>առկա</w:t>
            </w:r>
            <w:r w:rsidRPr="0053423A">
              <w:rPr>
                <w:b/>
                <w:lang w:val="hy-AM"/>
              </w:rPr>
              <w:t xml:space="preserve"> </w:t>
            </w:r>
            <w:r w:rsidRPr="0053423A">
              <w:rPr>
                <w:rFonts w:cs="Sylfaen"/>
                <w:b/>
                <w:lang w:val="hy-AM"/>
              </w:rPr>
              <w:t>խնդիրները</w:t>
            </w:r>
          </w:p>
          <w:p w:rsidR="00D75F05" w:rsidRPr="0053423A" w:rsidRDefault="00D75F05" w:rsidP="00A67858">
            <w:pPr>
              <w:spacing w:line="276" w:lineRule="auto"/>
              <w:jc w:val="both"/>
              <w:rPr>
                <w:rFonts w:cs="Sylfaen"/>
                <w:lang w:val="hy-AM"/>
              </w:rPr>
            </w:pPr>
            <w:r w:rsidRPr="0053423A">
              <w:rPr>
                <w:rFonts w:cs="Sylfaen"/>
                <w:lang w:val="hy-AM"/>
              </w:rPr>
              <w:t>Քաղաքաշինական նորմատիվ փաստաթղթերի համակարգի արդիականացման, միջպետական (տարածաշրջանային), միջազգային և եվրոպական նորմերին ու ստանդարտներին համապատասխանեցման ու ներդաշնակեցման ուղղությամբ հանրապետությունում աշխատանքներ տարվում են սկսած 1993 թվականից և կրում են շարունակական բնույթ:</w:t>
            </w:r>
          </w:p>
          <w:p w:rsidR="00D75F05" w:rsidRPr="0053423A" w:rsidRDefault="00D75F05" w:rsidP="00A67858">
            <w:pPr>
              <w:spacing w:line="276" w:lineRule="auto"/>
              <w:jc w:val="both"/>
              <w:rPr>
                <w:rFonts w:cs="Sylfaen"/>
                <w:lang w:val="hy-AM"/>
              </w:rPr>
            </w:pPr>
            <w:r w:rsidRPr="0053423A">
              <w:rPr>
                <w:rFonts w:cs="Sylfaen"/>
                <w:lang w:val="hy-AM"/>
              </w:rPr>
              <w:t>Անցած տարիների ընթացքում, ըստ ամփոփ տվյալների, Հայաստանի Հանրապետությունում գործող ավելի քան 1000 նորմատիվ փաստաթղթերից վերանայվել, մշակվել (տեղայնացվել) և գործողության մեջ են դրվել շուրջ 436-ը:</w:t>
            </w:r>
          </w:p>
          <w:p w:rsidR="00D75F05" w:rsidRPr="0053423A" w:rsidRDefault="00D75F05" w:rsidP="00A67858">
            <w:pPr>
              <w:spacing w:line="276" w:lineRule="auto"/>
              <w:jc w:val="both"/>
              <w:rPr>
                <w:rFonts w:cs="Sylfaen"/>
                <w:lang w:val="hy-AM"/>
              </w:rPr>
            </w:pPr>
            <w:r w:rsidRPr="0053423A">
              <w:rPr>
                <w:rFonts w:cs="Sylfaen"/>
                <w:lang w:val="hy-AM"/>
              </w:rPr>
              <w:t>Այդ ուղղությամբ ՀՀ կառավարության 2017 թվականի փետրվարի 23-ի N8 նիստի արձանագրային որոշմամբ հաստատվել է «Նորմատիվատեխնիկական փաստաթղթերի մշակում (տեղայնացում) ծրագրին հավանություն տալու մասին» ծրագիրը, համաձայն որի 2017-2019 թվականների ՀՀ տարեկան պետական բյուջեներով նախատեսված 60,00 մլն դրամ (տարեկան 20,0-ական մլն ՀՀ դրամ) գումարի հաշվին իրականացվում է թվով 8 նորմատիվ փաստաթղթերի մշակում (տեղայնացում):</w:t>
            </w:r>
          </w:p>
          <w:p w:rsidR="00D75F05" w:rsidRPr="0053423A" w:rsidRDefault="00D75F05" w:rsidP="00A67858">
            <w:pPr>
              <w:spacing w:line="276" w:lineRule="auto"/>
              <w:jc w:val="both"/>
              <w:rPr>
                <w:rFonts w:cs="Sylfaen"/>
                <w:lang w:val="hy-AM"/>
              </w:rPr>
            </w:pPr>
            <w:r w:rsidRPr="0053423A">
              <w:rPr>
                <w:rFonts w:cs="Sylfaen"/>
                <w:lang w:val="hy-AM"/>
              </w:rPr>
              <w:t>Եվս 15 նորմատիվ փաստաթղթերի մշակում (տեղայնացում) էլ նախատեսվում է 2020-2022 թվականներին՝ ՀՀ օրենքով չարգելված միջոցների հաշվին (անհրաժեշտ միջոցները ներառվել են ՀՀ 2020-2022 թվականների պետական միջնաժամկետ ծախսերի ծրագրի հայտում):</w:t>
            </w:r>
          </w:p>
          <w:p w:rsidR="00D75F05" w:rsidRPr="0053423A" w:rsidRDefault="00D75F05" w:rsidP="00A67858">
            <w:pPr>
              <w:spacing w:line="276" w:lineRule="auto"/>
              <w:jc w:val="both"/>
              <w:rPr>
                <w:rFonts w:cs="Sylfaen"/>
                <w:lang w:val="hy-AM"/>
              </w:rPr>
            </w:pPr>
            <w:r w:rsidRPr="0053423A">
              <w:rPr>
                <w:rFonts w:cs="Sylfaen"/>
                <w:lang w:val="hy-AM"/>
              </w:rPr>
              <w:t>Միջոցառման իրականացման համար հիմք են ընդունվում նաև ՀՀ կառավարության 2010 թվականի մայիսի 6-ի «Քաղաքաշինական նորմատիվատեխնիկական փաստաթղթերի համակարգի հայեցակարգին հավանություն տալու մասին» N17 արձանագրային որոշումը, ինչպես նաև ԱՊՀ շրջանակներում կնքված Միջկառավարական համաձայնագրերը, ԵՄ-Հայաստան համապարփակ և ընդլայնված գործընկերության և համագործակցության համաձայնագրի դրույթները, Առևտրի Համաշխարհային Կազմակերպության «Առևտրում տեխնիկական խոչընդոտների մասին» համաձայնագիրը, Եվրասիական տնտասական միությանն (ԵԱՏՄ) անդամակցելու հետ կապված մարտահրավերները:</w:t>
            </w:r>
          </w:p>
          <w:p w:rsidR="00D75F05" w:rsidRPr="0053423A" w:rsidRDefault="00D75F05" w:rsidP="00A67858">
            <w:pPr>
              <w:spacing w:line="276" w:lineRule="auto"/>
              <w:jc w:val="both"/>
              <w:rPr>
                <w:b/>
                <w:lang w:val="hy-AM"/>
              </w:rPr>
            </w:pPr>
            <w:r w:rsidRPr="0053423A">
              <w:rPr>
                <w:b/>
                <w:lang w:val="hy-AM"/>
              </w:rPr>
              <w:t>1.2. Առկա խնդիրների առաջարկվող լուծումները</w:t>
            </w:r>
          </w:p>
          <w:p w:rsidR="00D75F05" w:rsidRPr="0053423A" w:rsidRDefault="00D75F05" w:rsidP="00A67858">
            <w:pPr>
              <w:spacing w:line="276" w:lineRule="auto"/>
              <w:jc w:val="both"/>
              <w:rPr>
                <w:rFonts w:cs="Sylfaen"/>
                <w:lang w:val="hy-AM"/>
              </w:rPr>
            </w:pPr>
            <w:r w:rsidRPr="0053423A">
              <w:rPr>
                <w:rFonts w:cs="Sylfaen"/>
                <w:lang w:val="hy-AM"/>
              </w:rPr>
              <w:t xml:space="preserve">Միջպետական (տարածաշրջանային), միջազգային և եվրոպական նորմերին ու ստանդարտներին համահունչ Հայաստանի քաղաքաշինական նորմատիվ փաստաթղթերի արդիականացում՝ </w:t>
            </w:r>
            <w:r w:rsidRPr="0053423A">
              <w:rPr>
                <w:lang w:val="hy-AM"/>
              </w:rPr>
              <w:t>համաձայնեցնելով միջոցառման համակատարող դիտարկված մարմինի հետ</w:t>
            </w:r>
            <w:r w:rsidRPr="0053423A">
              <w:rPr>
                <w:rFonts w:cs="Sylfaen"/>
                <w:lang w:val="hy-AM"/>
              </w:rPr>
              <w:t>:</w:t>
            </w:r>
          </w:p>
          <w:p w:rsidR="00D75F05" w:rsidRPr="0053423A" w:rsidRDefault="00D75F05" w:rsidP="00A67858">
            <w:pPr>
              <w:pStyle w:val="ListParagraph"/>
              <w:tabs>
                <w:tab w:val="left" w:pos="851"/>
              </w:tabs>
              <w:spacing w:line="276" w:lineRule="auto"/>
              <w:ind w:left="0"/>
              <w:jc w:val="both"/>
              <w:rPr>
                <w:b/>
                <w:lang w:val="hy-AM"/>
              </w:rPr>
            </w:pPr>
            <w:r w:rsidRPr="0053423A">
              <w:rPr>
                <w:b/>
                <w:lang w:val="hy-AM"/>
              </w:rPr>
              <w:t>2. Միջոցառման իրականացումից ակնկալվող արդյունքը</w:t>
            </w:r>
          </w:p>
          <w:p w:rsidR="00D75F05" w:rsidRPr="0053423A" w:rsidRDefault="00D75F05" w:rsidP="00A67858">
            <w:pPr>
              <w:spacing w:line="276" w:lineRule="auto"/>
              <w:jc w:val="both"/>
              <w:rPr>
                <w:rFonts w:cs="Sylfaen"/>
                <w:b/>
                <w:lang w:val="hy-AM"/>
              </w:rPr>
            </w:pPr>
            <w:r w:rsidRPr="0053423A">
              <w:rPr>
                <w:rFonts w:cs="Sylfaen"/>
                <w:lang w:val="hy-AM"/>
              </w:rPr>
              <w:t>Բնակչության առողջության և բարեկեցության բարելավման, շրջակա միջավայրի պաշտպանության, շենքերի ու շինությունների սեյսմակայունության,  հուսալիության և էներգաարդյունավետության բնութագրերի բարձրացման ուղղությամբ միջպետական (տարածաշրջանային), միջազգային և եվրոպական նորմերին ու ստանդարտներին համահունչ արդիականացված քաղաքաշինական նորմատիվ փաստաթղթեր:</w:t>
            </w:r>
          </w:p>
        </w:tc>
      </w:tr>
      <w:tr w:rsidR="00D75F05" w:rsidRPr="00DE2EFA" w:rsidTr="00D75F05">
        <w:tc>
          <w:tcPr>
            <w:tcW w:w="450" w:type="dxa"/>
          </w:tcPr>
          <w:p w:rsidR="00D75F05" w:rsidRPr="0053423A" w:rsidRDefault="00D75F05" w:rsidP="00A67858">
            <w:pPr>
              <w:pStyle w:val="ListParagraph"/>
              <w:spacing w:line="276" w:lineRule="auto"/>
              <w:ind w:left="0"/>
              <w:rPr>
                <w:rFonts w:cs="Sylfaen"/>
                <w:b/>
                <w:lang w:val="hy-AM"/>
              </w:rPr>
            </w:pPr>
            <w:r w:rsidRPr="0053423A">
              <w:rPr>
                <w:rFonts w:cs="Sylfaen"/>
                <w:b/>
                <w:lang w:val="hy-AM"/>
              </w:rPr>
              <w:t>7</w:t>
            </w:r>
          </w:p>
        </w:tc>
        <w:tc>
          <w:tcPr>
            <w:tcW w:w="11160" w:type="dxa"/>
          </w:tcPr>
          <w:p w:rsidR="00D75F05" w:rsidRPr="0053423A" w:rsidRDefault="00D75F05" w:rsidP="00A67858">
            <w:pPr>
              <w:spacing w:line="276" w:lineRule="auto"/>
              <w:jc w:val="center"/>
              <w:rPr>
                <w:b/>
                <w:lang w:val="af-ZA"/>
              </w:rPr>
            </w:pPr>
            <w:r w:rsidRPr="0053423A">
              <w:rPr>
                <w:b/>
                <w:lang w:val="af-ZA"/>
              </w:rPr>
              <w:t>«Շինարարությունում նոր տեխնոլոգիաների ներդրում եվ</w:t>
            </w:r>
            <w:r w:rsidRPr="0053423A">
              <w:rPr>
                <w:b/>
                <w:lang w:val="hy-AM"/>
              </w:rPr>
              <w:t xml:space="preserve"> </w:t>
            </w:r>
            <w:r w:rsidRPr="0053423A">
              <w:rPr>
                <w:b/>
                <w:lang w:val="af-ZA"/>
              </w:rPr>
              <w:t xml:space="preserve">տեղական հումքի կիրառության ոլորտների ընդլայնում </w:t>
            </w:r>
          </w:p>
          <w:p w:rsidR="00D75F05" w:rsidRPr="0053423A" w:rsidRDefault="00D75F05" w:rsidP="00A67858">
            <w:pPr>
              <w:spacing w:line="276" w:lineRule="auto"/>
              <w:jc w:val="center"/>
              <w:rPr>
                <w:b/>
                <w:lang w:val="af-ZA"/>
              </w:rPr>
            </w:pPr>
          </w:p>
          <w:p w:rsidR="00D75F05" w:rsidRPr="0053423A" w:rsidRDefault="00D75F05" w:rsidP="00A67858">
            <w:pPr>
              <w:pStyle w:val="ListParagraph"/>
              <w:spacing w:line="276" w:lineRule="auto"/>
              <w:ind w:left="0"/>
              <w:jc w:val="center"/>
              <w:rPr>
                <w:b/>
                <w:u w:val="single"/>
                <w:lang w:val="af-ZA"/>
              </w:rPr>
            </w:pPr>
            <w:r w:rsidRPr="0053423A">
              <w:rPr>
                <w:b/>
                <w:u w:val="single"/>
                <w:lang w:val="af-ZA"/>
              </w:rPr>
              <w:t>7.1 Շինարարությունում նոր տեխնոլոգիաների ներդրման և տեղական հումքի կիրառության ոլորտների ընդլայնման ուղղությամբ</w:t>
            </w:r>
            <w:r w:rsidRPr="0053423A">
              <w:rPr>
                <w:b/>
                <w:u w:val="single"/>
                <w:lang w:val="hy-AM"/>
              </w:rPr>
              <w:t xml:space="preserve"> </w:t>
            </w:r>
            <w:r w:rsidRPr="0053423A">
              <w:rPr>
                <w:b/>
                <w:u w:val="single"/>
                <w:lang w:val="af-ZA"/>
              </w:rPr>
              <w:t>անհրաժեշտ գիտափորձարարական հետազոտությունների</w:t>
            </w:r>
          </w:p>
          <w:p w:rsidR="00D75F05" w:rsidRPr="0053423A" w:rsidRDefault="00D75F05" w:rsidP="00A67858">
            <w:pPr>
              <w:pStyle w:val="ListParagraph"/>
              <w:spacing w:line="276" w:lineRule="auto"/>
              <w:ind w:left="0"/>
              <w:jc w:val="center"/>
              <w:rPr>
                <w:b/>
                <w:u w:val="single"/>
                <w:lang w:val="af-ZA"/>
              </w:rPr>
            </w:pPr>
            <w:r w:rsidRPr="0053423A">
              <w:rPr>
                <w:b/>
                <w:u w:val="single"/>
                <w:lang w:val="af-ZA"/>
              </w:rPr>
              <w:t>իրականացմանն աջակցության ցուցաբերում</w:t>
            </w:r>
          </w:p>
          <w:p w:rsidR="00D75F05" w:rsidRPr="0053423A" w:rsidRDefault="00D75F05" w:rsidP="00A67858">
            <w:pPr>
              <w:pStyle w:val="ListParagraph"/>
              <w:spacing w:line="276" w:lineRule="auto"/>
              <w:ind w:left="0"/>
              <w:jc w:val="center"/>
              <w:rPr>
                <w:b/>
                <w:u w:val="single"/>
                <w:lang w:val="af-ZA"/>
              </w:rPr>
            </w:pPr>
          </w:p>
          <w:p w:rsidR="00D75F05" w:rsidRPr="0053423A" w:rsidRDefault="00D75F05" w:rsidP="00A67858">
            <w:pPr>
              <w:pStyle w:val="ListParagraph"/>
              <w:spacing w:line="276" w:lineRule="auto"/>
              <w:ind w:left="0"/>
              <w:rPr>
                <w:b/>
                <w:u w:val="single"/>
                <w:lang w:val="af-ZA"/>
              </w:rPr>
            </w:pPr>
          </w:p>
          <w:p w:rsidR="00D75F05" w:rsidRPr="0053423A" w:rsidRDefault="00D75F05" w:rsidP="001F6D5D">
            <w:pPr>
              <w:pStyle w:val="ListParagraph1"/>
              <w:numPr>
                <w:ilvl w:val="0"/>
                <w:numId w:val="309"/>
              </w:numPr>
              <w:tabs>
                <w:tab w:val="left" w:pos="540"/>
                <w:tab w:val="left" w:pos="900"/>
              </w:tabs>
              <w:spacing w:after="0"/>
              <w:ind w:left="0" w:hanging="270"/>
              <w:contextualSpacing w:val="0"/>
              <w:rPr>
                <w:rFonts w:ascii="GHEA Grapalat" w:hAnsi="GHEA Grapalat"/>
                <w:b/>
                <w:lang w:val="hy-AM"/>
              </w:rPr>
            </w:pPr>
            <w:r w:rsidRPr="0053423A">
              <w:rPr>
                <w:rFonts w:ascii="GHEA Grapalat" w:hAnsi="GHEA Grapalat"/>
                <w:b/>
                <w:lang w:val="hy-AM"/>
              </w:rPr>
              <w:t xml:space="preserve">  Միջոցառման իրականացման անհրաժեշտությունը և նպատակը</w:t>
            </w:r>
          </w:p>
          <w:p w:rsidR="00D75F05" w:rsidRPr="0053423A" w:rsidRDefault="00D75F05" w:rsidP="00A67858">
            <w:pPr>
              <w:spacing w:line="276" w:lineRule="auto"/>
              <w:ind w:firstLine="360"/>
              <w:jc w:val="both"/>
              <w:rPr>
                <w:rFonts w:cs="Sylfaen"/>
                <w:lang w:val="hy-AM"/>
              </w:rPr>
            </w:pPr>
            <w:r w:rsidRPr="0053423A">
              <w:rPr>
                <w:rFonts w:cs="Sylfaen"/>
                <w:lang w:val="hy-AM"/>
              </w:rPr>
              <w:t>Միջոցառման անհրաժեշտությունը բխում է ՀՀ Սահմանադրության 86-րդ հոդվածի 1-ին մասի, «Քաղաքաշինության մասին» ՀՀ օրենքի 10-րդ հոդվածի «ե» մասի, 10.1 հոդվածի                 3-րդ մասի 19-րդ կետի, «Պետական կառավարման համակարգի մարմինների մասին»                         ՀՀ օրենքի 4-րդ հոդվածի 1-ին մասի դրույթներից և ՀՀ կառավարության ծրագրի 5-րդ մասի  «5.3» կետի 1-ին և 5-րդ պարբերությունների  պահանջներից:</w:t>
            </w:r>
          </w:p>
          <w:p w:rsidR="00D75F05" w:rsidRPr="0053423A" w:rsidRDefault="00D75F05" w:rsidP="00A67858">
            <w:pPr>
              <w:spacing w:line="276" w:lineRule="auto"/>
              <w:ind w:firstLine="360"/>
              <w:jc w:val="both"/>
              <w:rPr>
                <w:rFonts w:cs="Sylfaen"/>
                <w:lang w:val="hy-AM"/>
              </w:rPr>
            </w:pPr>
            <w:r w:rsidRPr="0053423A">
              <w:rPr>
                <w:rFonts w:cs="Sylfaen"/>
                <w:lang w:val="hy-AM"/>
              </w:rPr>
              <w:t>Նպատակն է՝ շինարարության ոլորտում նոր տեխնոլոգիաների ներդրում և տեղական հումքի կիրառության ոլորտների ընդլայնում:</w:t>
            </w:r>
          </w:p>
          <w:p w:rsidR="00D75F05" w:rsidRPr="0053423A" w:rsidRDefault="00D75F05" w:rsidP="001F6D5D">
            <w:pPr>
              <w:pStyle w:val="ListParagraph1"/>
              <w:numPr>
                <w:ilvl w:val="1"/>
                <w:numId w:val="309"/>
              </w:numPr>
              <w:tabs>
                <w:tab w:val="left" w:pos="540"/>
                <w:tab w:val="left" w:pos="900"/>
                <w:tab w:val="left" w:pos="990"/>
                <w:tab w:val="left" w:pos="1080"/>
              </w:tabs>
              <w:spacing w:after="0"/>
              <w:ind w:left="0" w:hanging="900"/>
              <w:contextualSpacing w:val="0"/>
              <w:rPr>
                <w:rFonts w:ascii="GHEA Grapalat" w:hAnsi="GHEA Grapalat"/>
                <w:b/>
                <w:lang w:val="hy-AM"/>
              </w:rPr>
            </w:pPr>
            <w:r w:rsidRPr="0053423A">
              <w:rPr>
                <w:rFonts w:ascii="GHEA Grapalat" w:hAnsi="GHEA Grapalat"/>
                <w:b/>
                <w:lang w:val="hy-AM"/>
              </w:rPr>
              <w:t>Կարգավորման հարաբերությունների ներկա վիճակը և առկա խնդիրները</w:t>
            </w:r>
          </w:p>
          <w:p w:rsidR="00D75F05" w:rsidRPr="0053423A" w:rsidRDefault="00D75F05" w:rsidP="00A67858">
            <w:pPr>
              <w:spacing w:line="276" w:lineRule="auto"/>
              <w:ind w:firstLine="540"/>
              <w:jc w:val="both"/>
              <w:rPr>
                <w:rFonts w:cs="Sylfaen"/>
                <w:lang w:val="hy-AM"/>
              </w:rPr>
            </w:pPr>
            <w:r w:rsidRPr="0053423A">
              <w:rPr>
                <w:rFonts w:cs="Sylfaen"/>
                <w:lang w:val="hy-AM"/>
              </w:rPr>
              <w:t>Ներկայումս Հայաստանի Հանրապետությունում շինարարության ոլորտում նոր տեխնոլոգիաների ներդրման ուղղությամբ աշխատանքներ են տարվում նոր կառուցվող և գոյություն ունեցող շենքերում սեյսմամեկուսացման համակարգերի կիրառության, բազալտապլաստե պոլիմերային կոմպոզիտ ամրանների արտադրության և կիրառության, բազալտե նուրբ մանրաթելերի հենքի վրա էկոլոգիապես մաքուր ջերմամեկուսիչ բամբակի և այլ անօրգանական ջերմամեկուսիչ նյութերի արտադրության տեխնոլոգիաների ներդրման, բազալտե և ապակե մանրաթելերի հենքի վրա փուլթրուզիոն եղանակով բազալտեպլաստե և ապակեպլաստե պոլիմերային կոմպոզիտներից տարբեր շինվածքների ու կոնստրուկտիվ տարրերի արտադրության տեխնոլոգիայի ներդրման և թողարկվող արտադրատեսակների կիրառության, թեթև ցինկապատ պողպատե բարակապատ տրամատներից շինարարական կոնստրուկցիաների արտադրության, ինչպես նաև  այլ նոր տեխնոլոգիայի ներդրման համար:</w:t>
            </w:r>
          </w:p>
          <w:p w:rsidR="00D75F05" w:rsidRPr="0053423A" w:rsidRDefault="00D75F05" w:rsidP="00A67858">
            <w:pPr>
              <w:spacing w:line="276" w:lineRule="auto"/>
              <w:ind w:firstLine="540"/>
              <w:jc w:val="both"/>
              <w:rPr>
                <w:rFonts w:cs="Sylfaen"/>
                <w:lang w:val="hy-AM"/>
              </w:rPr>
            </w:pPr>
            <w:r w:rsidRPr="0053423A">
              <w:rPr>
                <w:rFonts w:cs="Sylfaen"/>
                <w:lang w:val="hy-AM"/>
              </w:rPr>
              <w:t>Շինարարության ոլորտում նոր տեխնոլոգիաների ներդրման համար մշակված չեն Հայաստանի Հանրապետությունում դրանց կիրառության համար պահանջվող նորմատիվ փաստաթղթերը, լիարժեք չեն տեղական հումքի կիրառության</w:t>
            </w:r>
            <w:r w:rsidRPr="0053423A">
              <w:rPr>
                <w:lang w:val="af-ZA"/>
              </w:rPr>
              <w:t xml:space="preserve"> </w:t>
            </w:r>
            <w:r w:rsidRPr="0053423A">
              <w:rPr>
                <w:rFonts w:cs="Sylfaen"/>
                <w:lang w:val="hy-AM"/>
              </w:rPr>
              <w:t>անհրաժեշտ գիտափորձարարական հետազոտությունների տվյալները:</w:t>
            </w:r>
          </w:p>
          <w:p w:rsidR="00D75F05" w:rsidRPr="0053423A" w:rsidRDefault="00D75F05" w:rsidP="001F6D5D">
            <w:pPr>
              <w:pStyle w:val="ListParagraph"/>
              <w:numPr>
                <w:ilvl w:val="1"/>
                <w:numId w:val="309"/>
              </w:numPr>
              <w:spacing w:line="276" w:lineRule="auto"/>
              <w:ind w:left="0"/>
              <w:rPr>
                <w:b/>
                <w:lang w:val="en-US"/>
              </w:rPr>
            </w:pPr>
            <w:r w:rsidRPr="0053423A">
              <w:rPr>
                <w:b/>
                <w:lang w:val="hy-AM"/>
              </w:rPr>
              <w:t>Առկա խնդիրների առաջարկվող լուծումները</w:t>
            </w:r>
          </w:p>
          <w:p w:rsidR="00D75F05" w:rsidRPr="0053423A" w:rsidRDefault="00D75F05" w:rsidP="00A67858">
            <w:pPr>
              <w:spacing w:line="276" w:lineRule="auto"/>
              <w:ind w:firstLine="540"/>
              <w:jc w:val="both"/>
              <w:rPr>
                <w:rFonts w:cs="Sylfaen"/>
                <w:lang w:val="en-US"/>
              </w:rPr>
            </w:pPr>
            <w:r w:rsidRPr="0053423A">
              <w:rPr>
                <w:rFonts w:cs="Sylfaen"/>
                <w:lang w:val="hy-AM"/>
              </w:rPr>
              <w:t xml:space="preserve">Շինարարության ոլորտում նոր տեխնոլոգիաների ներդրման և տեղական հումքի կիրառության խնդիրների լուծման համար նախատեսվում է աջակցել դրանց կիրառության համար </w:t>
            </w:r>
            <w:r w:rsidRPr="0053423A">
              <w:rPr>
                <w:rFonts w:cs="Sylfaen"/>
              </w:rPr>
              <w:t>անհրաժեշտ</w:t>
            </w:r>
            <w:r w:rsidRPr="0053423A">
              <w:rPr>
                <w:rFonts w:cs="Sylfaen"/>
                <w:lang w:val="en-US"/>
              </w:rPr>
              <w:t xml:space="preserve"> </w:t>
            </w:r>
            <w:r w:rsidRPr="0053423A">
              <w:rPr>
                <w:rFonts w:cs="Sylfaen"/>
                <w:lang w:val="hy-AM"/>
              </w:rPr>
              <w:t>նորմատիվ</w:t>
            </w:r>
            <w:r w:rsidRPr="0053423A">
              <w:rPr>
                <w:rFonts w:cs="Sylfaen"/>
                <w:lang w:val="en-US"/>
              </w:rPr>
              <w:t xml:space="preserve"> </w:t>
            </w:r>
            <w:r w:rsidRPr="0053423A">
              <w:rPr>
                <w:rFonts w:cs="Sylfaen"/>
                <w:lang w:val="hy-AM"/>
              </w:rPr>
              <w:t>փաստաթղթերի մշակման:</w:t>
            </w:r>
          </w:p>
          <w:p w:rsidR="00D75F05" w:rsidRPr="0053423A" w:rsidRDefault="00D75F05" w:rsidP="00A67858">
            <w:pPr>
              <w:spacing w:line="276" w:lineRule="auto"/>
              <w:ind w:firstLine="180"/>
              <w:rPr>
                <w:b/>
                <w:lang w:val="hy-AM"/>
              </w:rPr>
            </w:pPr>
            <w:r w:rsidRPr="0053423A">
              <w:rPr>
                <w:b/>
                <w:lang w:val="hy-AM"/>
              </w:rPr>
              <w:t>2. Միջոցառման իրականացումից ակնկալվող արդյունքը</w:t>
            </w:r>
          </w:p>
          <w:p w:rsidR="00D75F05" w:rsidRPr="0053423A" w:rsidRDefault="00D75F05" w:rsidP="00A67858">
            <w:pPr>
              <w:spacing w:line="276" w:lineRule="auto"/>
              <w:ind w:firstLine="540"/>
              <w:jc w:val="both"/>
              <w:rPr>
                <w:rFonts w:cs="Sylfaen"/>
                <w:lang w:val="en-US"/>
              </w:rPr>
            </w:pPr>
            <w:r w:rsidRPr="0053423A">
              <w:rPr>
                <w:rFonts w:cs="Sylfaen"/>
                <w:lang w:val="hy-AM"/>
              </w:rPr>
              <w:t xml:space="preserve">Միջոցառման իրականացման արդյունքում կապահովվի շինարարության ոլորտում նոր տեխնոլոգիաների կիրառության համար պահանջվող համապատասխան նորմատիվ փաստաթղթերի առկայությունը: </w:t>
            </w:r>
          </w:p>
          <w:p w:rsidR="00D75F05" w:rsidRPr="0053423A" w:rsidRDefault="00D75F05" w:rsidP="00A67858">
            <w:pPr>
              <w:pStyle w:val="ListParagraph"/>
              <w:spacing w:line="276" w:lineRule="auto"/>
              <w:ind w:left="0"/>
              <w:jc w:val="center"/>
              <w:rPr>
                <w:b/>
                <w:u w:val="single"/>
                <w:shd w:val="clear" w:color="auto" w:fill="FFFFFF"/>
                <w:lang w:val="hy-AM"/>
              </w:rPr>
            </w:pPr>
          </w:p>
          <w:p w:rsidR="00D75F05" w:rsidRPr="0053423A" w:rsidRDefault="00D75F05" w:rsidP="00A67858">
            <w:pPr>
              <w:pStyle w:val="ListParagraph"/>
              <w:spacing w:line="276" w:lineRule="auto"/>
              <w:ind w:left="0"/>
              <w:jc w:val="center"/>
              <w:rPr>
                <w:b/>
                <w:u w:val="single"/>
                <w:lang w:val="hy-AM"/>
              </w:rPr>
            </w:pPr>
            <w:r w:rsidRPr="0053423A">
              <w:rPr>
                <w:b/>
                <w:u w:val="single"/>
                <w:shd w:val="clear" w:color="auto" w:fill="FFFFFF"/>
                <w:lang w:val="hy-AM"/>
              </w:rPr>
              <w:t xml:space="preserve">7.2 </w:t>
            </w:r>
            <w:r w:rsidRPr="0053423A">
              <w:rPr>
                <w:b/>
                <w:u w:val="single"/>
                <w:lang w:val="hy-AM"/>
              </w:rPr>
              <w:t>Քաղաքաշինական ծրագրերի փորձագիտական կենտրոնի արդիականացում և գործառույթների ընդլայնման համար իրավական հիմքերի ստեղծում</w:t>
            </w:r>
          </w:p>
          <w:p w:rsidR="00D75F05" w:rsidRPr="0053423A" w:rsidRDefault="00D75F05" w:rsidP="00A67858">
            <w:pPr>
              <w:spacing w:line="276" w:lineRule="auto"/>
              <w:ind w:firstLine="540"/>
              <w:jc w:val="both"/>
              <w:rPr>
                <w:b/>
                <w:lang w:val="hy-AM"/>
              </w:rPr>
            </w:pPr>
          </w:p>
          <w:p w:rsidR="00D75F05" w:rsidRPr="0053423A" w:rsidRDefault="00D75F05" w:rsidP="00A67858">
            <w:pPr>
              <w:spacing w:line="276" w:lineRule="auto"/>
              <w:rPr>
                <w:b/>
                <w:lang w:val="af-ZA"/>
              </w:rPr>
            </w:pPr>
            <w:r w:rsidRPr="0053423A">
              <w:rPr>
                <w:b/>
                <w:lang w:val="af-ZA"/>
              </w:rPr>
              <w:t xml:space="preserve">1. </w:t>
            </w:r>
            <w:r w:rsidRPr="0053423A">
              <w:rPr>
                <w:b/>
                <w:lang w:val="hy-AM"/>
              </w:rPr>
              <w:t>Միջոցառման</w:t>
            </w:r>
            <w:r w:rsidRPr="0053423A">
              <w:rPr>
                <w:b/>
                <w:lang w:val="af-ZA"/>
              </w:rPr>
              <w:t xml:space="preserve"> </w:t>
            </w:r>
            <w:r w:rsidRPr="0053423A">
              <w:rPr>
                <w:b/>
                <w:lang w:val="hy-AM"/>
              </w:rPr>
              <w:t>իրականացման</w:t>
            </w:r>
            <w:r w:rsidRPr="0053423A">
              <w:rPr>
                <w:b/>
                <w:lang w:val="af-ZA"/>
              </w:rPr>
              <w:t xml:space="preserve"> </w:t>
            </w:r>
            <w:r w:rsidRPr="0053423A">
              <w:rPr>
                <w:b/>
                <w:lang w:val="hy-AM"/>
              </w:rPr>
              <w:t>անհրաժեշտությունը</w:t>
            </w:r>
            <w:r w:rsidRPr="0053423A">
              <w:rPr>
                <w:b/>
                <w:lang w:val="af-ZA"/>
              </w:rPr>
              <w:t xml:space="preserve"> </w:t>
            </w:r>
            <w:r w:rsidRPr="0053423A">
              <w:rPr>
                <w:b/>
                <w:lang w:val="hy-AM"/>
              </w:rPr>
              <w:t>և</w:t>
            </w:r>
            <w:r w:rsidRPr="0053423A">
              <w:rPr>
                <w:b/>
                <w:lang w:val="af-ZA"/>
              </w:rPr>
              <w:t xml:space="preserve"> </w:t>
            </w:r>
            <w:r w:rsidRPr="0053423A">
              <w:rPr>
                <w:b/>
                <w:lang w:val="hy-AM"/>
              </w:rPr>
              <w:t>նպատակը</w:t>
            </w:r>
          </w:p>
          <w:p w:rsidR="00D75F05" w:rsidRPr="0053423A" w:rsidRDefault="00D75F05" w:rsidP="00A67858">
            <w:pPr>
              <w:spacing w:line="276" w:lineRule="auto"/>
              <w:ind w:firstLine="374"/>
              <w:jc w:val="both"/>
              <w:rPr>
                <w:lang w:val="af-ZA"/>
              </w:rPr>
            </w:pPr>
            <w:r w:rsidRPr="0053423A">
              <w:rPr>
                <w:lang w:val="af-ZA"/>
              </w:rPr>
              <w:t xml:space="preserve">Միջոցառման իրականացումը նախատեսվել է՝ հիմք ընդունելով Քաղաքաշինության մասին» ՀՀ օրենքի 10.1 հոդվածի 3-րդ մասի 20-րդ կետը և նպատակը՝ քաղաքաշինության բնագավառի գիտահետազոտական և փորձարարական  կենտրոնի ստեղծումն է: </w:t>
            </w:r>
          </w:p>
          <w:p w:rsidR="00D75F05" w:rsidRPr="0053423A" w:rsidRDefault="00D75F05" w:rsidP="00A67858">
            <w:pPr>
              <w:spacing w:line="276" w:lineRule="auto"/>
              <w:rPr>
                <w:b/>
                <w:lang w:val="hy-AM"/>
              </w:rPr>
            </w:pPr>
            <w:r w:rsidRPr="0053423A">
              <w:rPr>
                <w:b/>
                <w:lang w:val="hy-AM"/>
              </w:rPr>
              <w:t>1.1 Կարգավորման հարաբերությունների ներկա վիճակը և առկա խնդիրները</w:t>
            </w:r>
          </w:p>
          <w:p w:rsidR="00D75F05" w:rsidRPr="0053423A" w:rsidRDefault="00D75F05" w:rsidP="00A67858">
            <w:pPr>
              <w:shd w:val="clear" w:color="auto" w:fill="FFFFFF"/>
              <w:spacing w:line="276" w:lineRule="auto"/>
              <w:ind w:firstLine="375"/>
              <w:jc w:val="both"/>
              <w:rPr>
                <w:rFonts w:cs="GHEA Grapalat"/>
                <w:lang w:val="af-ZA"/>
              </w:rPr>
            </w:pPr>
            <w:r w:rsidRPr="0053423A">
              <w:rPr>
                <w:rFonts w:cs="GHEA Grapalat"/>
                <w:lang w:val="hy-AM"/>
              </w:rPr>
              <w:t>Քաղաքաշինական</w:t>
            </w:r>
            <w:r w:rsidRPr="0053423A">
              <w:rPr>
                <w:rFonts w:cs="GHEA Grapalat"/>
                <w:lang w:val="af-ZA"/>
              </w:rPr>
              <w:t xml:space="preserve"> </w:t>
            </w:r>
            <w:r w:rsidRPr="0053423A">
              <w:rPr>
                <w:rFonts w:cs="GHEA Grapalat"/>
                <w:lang w:val="hy-AM"/>
              </w:rPr>
              <w:t>ծրագրերի</w:t>
            </w:r>
            <w:r w:rsidRPr="0053423A">
              <w:rPr>
                <w:rFonts w:cs="GHEA Grapalat"/>
                <w:lang w:val="af-ZA"/>
              </w:rPr>
              <w:t xml:space="preserve"> </w:t>
            </w:r>
            <w:r w:rsidRPr="0053423A">
              <w:rPr>
                <w:rFonts w:cs="GHEA Grapalat"/>
                <w:lang w:val="hy-AM"/>
              </w:rPr>
              <w:t>փորձագիտական</w:t>
            </w:r>
            <w:r w:rsidRPr="0053423A">
              <w:rPr>
                <w:rFonts w:cs="GHEA Grapalat"/>
                <w:lang w:val="af-ZA"/>
              </w:rPr>
              <w:t xml:space="preserve"> </w:t>
            </w:r>
            <w:r w:rsidRPr="0053423A">
              <w:rPr>
                <w:rFonts w:cs="GHEA Grapalat"/>
                <w:lang w:val="hy-AM"/>
              </w:rPr>
              <w:t>կենտրոնը քաղաքաշինության</w:t>
            </w:r>
            <w:r w:rsidRPr="0053423A">
              <w:rPr>
                <w:rFonts w:cs="GHEA Grapalat"/>
                <w:lang w:val="af-ZA"/>
              </w:rPr>
              <w:t xml:space="preserve"> </w:t>
            </w:r>
            <w:r w:rsidRPr="0053423A">
              <w:rPr>
                <w:rFonts w:cs="GHEA Grapalat"/>
                <w:lang w:val="hy-AM"/>
              </w:rPr>
              <w:t>բնագավառի</w:t>
            </w:r>
            <w:r w:rsidRPr="0053423A">
              <w:rPr>
                <w:rFonts w:cs="GHEA Grapalat"/>
                <w:lang w:val="af-ZA"/>
              </w:rPr>
              <w:t xml:space="preserve"> </w:t>
            </w:r>
            <w:r w:rsidRPr="0053423A">
              <w:rPr>
                <w:rFonts w:cs="GHEA Grapalat"/>
                <w:lang w:val="hy-AM"/>
              </w:rPr>
              <w:t>միակ</w:t>
            </w:r>
            <w:r w:rsidRPr="0053423A">
              <w:rPr>
                <w:rFonts w:cs="GHEA Grapalat"/>
                <w:lang w:val="af-ZA"/>
              </w:rPr>
              <w:t xml:space="preserve"> </w:t>
            </w:r>
            <w:r w:rsidRPr="0053423A">
              <w:rPr>
                <w:rFonts w:cs="GHEA Grapalat"/>
                <w:lang w:val="hy-AM"/>
              </w:rPr>
              <w:t>գիտահետազոտական</w:t>
            </w:r>
            <w:r w:rsidRPr="0053423A">
              <w:rPr>
                <w:rFonts w:cs="GHEA Grapalat"/>
                <w:lang w:val="af-ZA"/>
              </w:rPr>
              <w:t xml:space="preserve"> </w:t>
            </w:r>
            <w:r w:rsidRPr="0053423A">
              <w:rPr>
                <w:rFonts w:cs="GHEA Grapalat"/>
                <w:lang w:val="hy-AM"/>
              </w:rPr>
              <w:t>կազմակերպությունն</w:t>
            </w:r>
            <w:r w:rsidRPr="0053423A">
              <w:rPr>
                <w:rFonts w:cs="GHEA Grapalat"/>
                <w:lang w:val="af-ZA"/>
              </w:rPr>
              <w:t xml:space="preserve"> </w:t>
            </w:r>
            <w:r w:rsidRPr="0053423A">
              <w:rPr>
                <w:rFonts w:cs="GHEA Grapalat"/>
                <w:lang w:val="hy-AM"/>
              </w:rPr>
              <w:t>է</w:t>
            </w:r>
            <w:r w:rsidRPr="0053423A">
              <w:rPr>
                <w:rFonts w:cs="GHEA Grapalat"/>
                <w:lang w:val="af-ZA"/>
              </w:rPr>
              <w:t xml:space="preserve">, </w:t>
            </w:r>
            <w:r w:rsidRPr="0053423A">
              <w:rPr>
                <w:rFonts w:cs="GHEA Grapalat"/>
                <w:lang w:val="hy-AM"/>
              </w:rPr>
              <w:t>որի</w:t>
            </w:r>
            <w:r w:rsidRPr="0053423A">
              <w:rPr>
                <w:rFonts w:cs="GHEA Grapalat"/>
                <w:lang w:val="af-ZA"/>
              </w:rPr>
              <w:t xml:space="preserve"> </w:t>
            </w:r>
            <w:r w:rsidRPr="0053423A">
              <w:rPr>
                <w:rFonts w:cs="GHEA Grapalat"/>
                <w:lang w:val="hy-AM"/>
              </w:rPr>
              <w:t>գործունեության</w:t>
            </w:r>
            <w:r w:rsidRPr="0053423A">
              <w:rPr>
                <w:rFonts w:cs="GHEA Grapalat"/>
                <w:lang w:val="af-ZA"/>
              </w:rPr>
              <w:t xml:space="preserve"> </w:t>
            </w:r>
            <w:r w:rsidRPr="0053423A">
              <w:rPr>
                <w:rFonts w:cs="GHEA Grapalat"/>
                <w:lang w:val="hy-AM"/>
              </w:rPr>
              <w:t>նպատակն</w:t>
            </w:r>
            <w:r w:rsidRPr="0053423A">
              <w:rPr>
                <w:rFonts w:cs="GHEA Grapalat"/>
                <w:lang w:val="af-ZA"/>
              </w:rPr>
              <w:t xml:space="preserve"> </w:t>
            </w:r>
            <w:r w:rsidRPr="0053423A">
              <w:rPr>
                <w:rFonts w:cs="GHEA Grapalat"/>
                <w:lang w:val="hy-AM"/>
              </w:rPr>
              <w:t>է</w:t>
            </w:r>
            <w:r w:rsidRPr="0053423A">
              <w:rPr>
                <w:rFonts w:cs="GHEA Grapalat"/>
                <w:lang w:val="af-ZA"/>
              </w:rPr>
              <w:t xml:space="preserve"> </w:t>
            </w:r>
            <w:r w:rsidRPr="0053423A">
              <w:rPr>
                <w:rFonts w:cs="GHEA Grapalat"/>
                <w:lang w:val="hy-AM"/>
              </w:rPr>
              <w:t>ապահովել</w:t>
            </w:r>
            <w:r w:rsidRPr="0053423A">
              <w:rPr>
                <w:rFonts w:cs="GHEA Grapalat"/>
                <w:lang w:val="af-ZA"/>
              </w:rPr>
              <w:t xml:space="preserve"> </w:t>
            </w:r>
            <w:r w:rsidRPr="0053423A">
              <w:rPr>
                <w:rFonts w:cs="GHEA Grapalat"/>
                <w:lang w:val="hy-AM"/>
              </w:rPr>
              <w:t>հանրապետության</w:t>
            </w:r>
            <w:r w:rsidRPr="0053423A">
              <w:rPr>
                <w:rFonts w:cs="GHEA Grapalat"/>
                <w:lang w:val="af-ZA"/>
              </w:rPr>
              <w:t xml:space="preserve"> </w:t>
            </w:r>
            <w:r w:rsidRPr="0053423A">
              <w:rPr>
                <w:rFonts w:cs="GHEA Grapalat"/>
                <w:lang w:val="hy-AM"/>
              </w:rPr>
              <w:t>շինարարական</w:t>
            </w:r>
            <w:r w:rsidRPr="0053423A">
              <w:rPr>
                <w:rFonts w:cs="GHEA Grapalat"/>
                <w:lang w:val="af-ZA"/>
              </w:rPr>
              <w:t xml:space="preserve"> </w:t>
            </w:r>
            <w:r w:rsidRPr="0053423A">
              <w:rPr>
                <w:rFonts w:cs="GHEA Grapalat"/>
                <w:lang w:val="hy-AM"/>
              </w:rPr>
              <w:t>ոլորտի</w:t>
            </w:r>
            <w:r w:rsidRPr="0053423A">
              <w:rPr>
                <w:rFonts w:cs="GHEA Grapalat"/>
                <w:lang w:val="af-ZA"/>
              </w:rPr>
              <w:t xml:space="preserve"> </w:t>
            </w:r>
            <w:r w:rsidRPr="0053423A">
              <w:rPr>
                <w:rFonts w:cs="GHEA Grapalat"/>
                <w:lang w:val="hy-AM"/>
              </w:rPr>
              <w:t>տեխնիկական</w:t>
            </w:r>
            <w:r w:rsidRPr="0053423A">
              <w:rPr>
                <w:rFonts w:cs="GHEA Grapalat"/>
                <w:lang w:val="af-ZA"/>
              </w:rPr>
              <w:t xml:space="preserve"> </w:t>
            </w:r>
            <w:r w:rsidRPr="0053423A">
              <w:rPr>
                <w:rFonts w:cs="GHEA Grapalat"/>
                <w:lang w:val="hy-AM"/>
              </w:rPr>
              <w:t>առաջընթացը</w:t>
            </w:r>
            <w:r w:rsidRPr="0053423A">
              <w:rPr>
                <w:rFonts w:cs="GHEA Grapalat"/>
                <w:lang w:val="af-ZA"/>
              </w:rPr>
              <w:t xml:space="preserve">: </w:t>
            </w:r>
            <w:r w:rsidRPr="0053423A">
              <w:rPr>
                <w:rFonts w:ascii="Calibri" w:hAnsi="Calibri" w:cs="Calibri"/>
                <w:lang w:val="af-ZA"/>
              </w:rPr>
              <w:t> </w:t>
            </w:r>
            <w:r w:rsidRPr="0053423A">
              <w:rPr>
                <w:rFonts w:cs="GHEA Grapalat"/>
                <w:lang w:val="hy-AM"/>
              </w:rPr>
              <w:t>Շինարարության</w:t>
            </w:r>
            <w:r w:rsidRPr="0053423A">
              <w:rPr>
                <w:rFonts w:cs="GHEA Grapalat"/>
                <w:lang w:val="af-ZA"/>
              </w:rPr>
              <w:t xml:space="preserve"> </w:t>
            </w:r>
            <w:r w:rsidRPr="0053423A">
              <w:rPr>
                <w:rFonts w:cs="GHEA Grapalat"/>
                <w:lang w:val="hy-AM"/>
              </w:rPr>
              <w:t>ոլորտում</w:t>
            </w:r>
            <w:r w:rsidRPr="0053423A">
              <w:rPr>
                <w:rFonts w:cs="GHEA Grapalat"/>
                <w:lang w:val="af-ZA"/>
              </w:rPr>
              <w:t xml:space="preserve"> </w:t>
            </w:r>
            <w:r w:rsidRPr="0053423A">
              <w:rPr>
                <w:rFonts w:cs="GHEA Grapalat"/>
                <w:lang w:val="hy-AM"/>
              </w:rPr>
              <w:t>կիրառվող</w:t>
            </w:r>
            <w:r w:rsidRPr="0053423A">
              <w:rPr>
                <w:rFonts w:cs="GHEA Grapalat"/>
                <w:lang w:val="af-ZA"/>
              </w:rPr>
              <w:t xml:space="preserve"> </w:t>
            </w:r>
            <w:r w:rsidRPr="0053423A">
              <w:rPr>
                <w:rFonts w:cs="GHEA Grapalat"/>
                <w:lang w:val="hy-AM"/>
              </w:rPr>
              <w:t>շինանյութերի</w:t>
            </w:r>
            <w:r w:rsidRPr="0053423A">
              <w:rPr>
                <w:rFonts w:cs="GHEA Grapalat"/>
                <w:lang w:val="af-ZA"/>
              </w:rPr>
              <w:t xml:space="preserve"> </w:t>
            </w:r>
            <w:r w:rsidRPr="0053423A">
              <w:rPr>
                <w:rFonts w:cs="GHEA Grapalat"/>
                <w:lang w:val="hy-AM"/>
              </w:rPr>
              <w:t>բնական</w:t>
            </w:r>
            <w:r w:rsidRPr="0053423A">
              <w:rPr>
                <w:rFonts w:cs="GHEA Grapalat"/>
                <w:lang w:val="af-ZA"/>
              </w:rPr>
              <w:t xml:space="preserve"> </w:t>
            </w:r>
            <w:r w:rsidRPr="0053423A">
              <w:rPr>
                <w:rFonts w:cs="GHEA Grapalat"/>
                <w:lang w:val="hy-AM"/>
              </w:rPr>
              <w:t>հումքի</w:t>
            </w:r>
            <w:r w:rsidRPr="0053423A">
              <w:rPr>
                <w:rFonts w:cs="GHEA Grapalat"/>
                <w:lang w:val="af-ZA"/>
              </w:rPr>
              <w:t xml:space="preserve">, </w:t>
            </w:r>
            <w:r w:rsidRPr="0053423A">
              <w:rPr>
                <w:rFonts w:cs="GHEA Grapalat"/>
                <w:lang w:val="hy-AM"/>
              </w:rPr>
              <w:t>դրանցից</w:t>
            </w:r>
            <w:r w:rsidRPr="0053423A">
              <w:rPr>
                <w:rFonts w:cs="GHEA Grapalat"/>
                <w:lang w:val="af-ZA"/>
              </w:rPr>
              <w:t xml:space="preserve"> </w:t>
            </w:r>
            <w:r w:rsidRPr="0053423A">
              <w:rPr>
                <w:rFonts w:cs="GHEA Grapalat"/>
                <w:lang w:val="hy-AM"/>
              </w:rPr>
              <w:t>կոնստրուկտիվ</w:t>
            </w:r>
            <w:r w:rsidRPr="0053423A">
              <w:rPr>
                <w:rFonts w:cs="GHEA Grapalat"/>
                <w:lang w:val="af-ZA"/>
              </w:rPr>
              <w:t xml:space="preserve"> </w:t>
            </w:r>
            <w:r w:rsidRPr="0053423A">
              <w:rPr>
                <w:rFonts w:cs="GHEA Grapalat"/>
                <w:lang w:val="hy-AM"/>
              </w:rPr>
              <w:t>տարրերի</w:t>
            </w:r>
            <w:r w:rsidRPr="0053423A">
              <w:rPr>
                <w:rFonts w:cs="GHEA Grapalat"/>
                <w:lang w:val="af-ZA"/>
              </w:rPr>
              <w:t xml:space="preserve"> </w:t>
            </w:r>
            <w:r w:rsidRPr="0053423A">
              <w:rPr>
                <w:rFonts w:cs="GHEA Grapalat"/>
                <w:lang w:val="hy-AM"/>
              </w:rPr>
              <w:t>ստացման</w:t>
            </w:r>
            <w:r w:rsidRPr="0053423A">
              <w:rPr>
                <w:rFonts w:cs="GHEA Grapalat"/>
                <w:lang w:val="af-ZA"/>
              </w:rPr>
              <w:t xml:space="preserve"> </w:t>
            </w:r>
            <w:r w:rsidRPr="0053423A">
              <w:rPr>
                <w:rFonts w:cs="GHEA Grapalat"/>
                <w:lang w:val="hy-AM"/>
              </w:rPr>
              <w:t>տեխնոլոգիական</w:t>
            </w:r>
            <w:r w:rsidRPr="0053423A">
              <w:rPr>
                <w:rFonts w:cs="GHEA Grapalat"/>
                <w:lang w:val="af-ZA"/>
              </w:rPr>
              <w:t xml:space="preserve"> </w:t>
            </w:r>
            <w:r w:rsidRPr="0053423A">
              <w:rPr>
                <w:rFonts w:cs="GHEA Grapalat"/>
                <w:lang w:val="hy-AM"/>
              </w:rPr>
              <w:t>առանձնահատկությունների</w:t>
            </w:r>
            <w:r w:rsidRPr="0053423A">
              <w:rPr>
                <w:rFonts w:cs="GHEA Grapalat"/>
                <w:lang w:val="af-ZA"/>
              </w:rPr>
              <w:t xml:space="preserve"> </w:t>
            </w:r>
            <w:r w:rsidRPr="0053423A">
              <w:rPr>
                <w:rFonts w:cs="GHEA Grapalat"/>
                <w:lang w:val="hy-AM"/>
              </w:rPr>
              <w:t>հետազոտությունների</w:t>
            </w:r>
            <w:r w:rsidRPr="0053423A">
              <w:rPr>
                <w:rFonts w:cs="GHEA Grapalat"/>
                <w:lang w:val="af-ZA"/>
              </w:rPr>
              <w:t xml:space="preserve"> </w:t>
            </w:r>
            <w:r w:rsidRPr="0053423A">
              <w:rPr>
                <w:rFonts w:cs="GHEA Grapalat"/>
                <w:lang w:val="hy-AM"/>
              </w:rPr>
              <w:t>արդյունքների</w:t>
            </w:r>
            <w:r w:rsidRPr="0053423A">
              <w:rPr>
                <w:rFonts w:cs="GHEA Grapalat"/>
                <w:lang w:val="af-ZA"/>
              </w:rPr>
              <w:t xml:space="preserve"> </w:t>
            </w:r>
            <w:r w:rsidRPr="0053423A">
              <w:rPr>
                <w:rFonts w:cs="GHEA Grapalat"/>
                <w:lang w:val="hy-AM"/>
              </w:rPr>
              <w:t>հիման</w:t>
            </w:r>
            <w:r w:rsidRPr="0053423A">
              <w:rPr>
                <w:rFonts w:cs="GHEA Grapalat"/>
                <w:lang w:val="af-ZA"/>
              </w:rPr>
              <w:t xml:space="preserve"> </w:t>
            </w:r>
            <w:r w:rsidRPr="0053423A">
              <w:rPr>
                <w:rFonts w:cs="GHEA Grapalat"/>
                <w:lang w:val="hy-AM"/>
              </w:rPr>
              <w:t>վրա</w:t>
            </w:r>
            <w:r w:rsidRPr="0053423A">
              <w:rPr>
                <w:rFonts w:cs="GHEA Grapalat"/>
                <w:lang w:val="af-ZA"/>
              </w:rPr>
              <w:t xml:space="preserve"> ը</w:t>
            </w:r>
            <w:r w:rsidRPr="0053423A">
              <w:rPr>
                <w:rFonts w:cs="GHEA Grapalat"/>
                <w:lang w:val="hy-AM"/>
              </w:rPr>
              <w:t>նկերության</w:t>
            </w:r>
            <w:r w:rsidRPr="0053423A">
              <w:rPr>
                <w:rFonts w:cs="GHEA Grapalat"/>
                <w:lang w:val="af-ZA"/>
              </w:rPr>
              <w:t xml:space="preserve"> </w:t>
            </w:r>
            <w:r w:rsidRPr="0053423A">
              <w:rPr>
                <w:rFonts w:cs="GHEA Grapalat"/>
                <w:lang w:val="hy-AM"/>
              </w:rPr>
              <w:t>գործունեությունն</w:t>
            </w:r>
            <w:r w:rsidRPr="0053423A">
              <w:rPr>
                <w:rFonts w:cs="GHEA Grapalat"/>
                <w:lang w:val="af-ZA"/>
              </w:rPr>
              <w:t xml:space="preserve"> </w:t>
            </w:r>
            <w:r w:rsidRPr="0053423A">
              <w:rPr>
                <w:rFonts w:cs="GHEA Grapalat"/>
                <w:lang w:val="hy-AM"/>
              </w:rPr>
              <w:t>ուղղված</w:t>
            </w:r>
            <w:r w:rsidRPr="0053423A">
              <w:rPr>
                <w:rFonts w:cs="GHEA Grapalat"/>
                <w:lang w:val="af-ZA"/>
              </w:rPr>
              <w:t xml:space="preserve"> </w:t>
            </w:r>
            <w:r w:rsidRPr="0053423A">
              <w:rPr>
                <w:rFonts w:cs="GHEA Grapalat"/>
                <w:lang w:val="hy-AM"/>
              </w:rPr>
              <w:t>է</w:t>
            </w:r>
            <w:r w:rsidRPr="0053423A">
              <w:rPr>
                <w:rFonts w:cs="GHEA Grapalat"/>
                <w:lang w:val="af-ZA"/>
              </w:rPr>
              <w:t xml:space="preserve"> </w:t>
            </w:r>
            <w:r w:rsidRPr="0053423A">
              <w:rPr>
                <w:rFonts w:cs="GHEA Grapalat"/>
                <w:lang w:val="hy-AM"/>
              </w:rPr>
              <w:t>սեյսմակայուն</w:t>
            </w:r>
            <w:r w:rsidRPr="0053423A">
              <w:rPr>
                <w:rFonts w:cs="GHEA Grapalat"/>
                <w:lang w:val="af-ZA"/>
              </w:rPr>
              <w:t xml:space="preserve"> </w:t>
            </w:r>
            <w:r w:rsidRPr="0053423A">
              <w:rPr>
                <w:rFonts w:cs="GHEA Grapalat"/>
                <w:lang w:val="hy-AM"/>
              </w:rPr>
              <w:t>համակարգերի</w:t>
            </w:r>
            <w:r w:rsidRPr="0053423A">
              <w:rPr>
                <w:rFonts w:cs="GHEA Grapalat"/>
                <w:lang w:val="af-ZA"/>
              </w:rPr>
              <w:t xml:space="preserve">, </w:t>
            </w:r>
            <w:r w:rsidRPr="0053423A">
              <w:rPr>
                <w:rFonts w:cs="GHEA Grapalat"/>
                <w:lang w:val="hy-AM"/>
              </w:rPr>
              <w:t>շինարարական</w:t>
            </w:r>
            <w:r w:rsidRPr="0053423A">
              <w:rPr>
                <w:rFonts w:cs="GHEA Grapalat"/>
                <w:lang w:val="af-ZA"/>
              </w:rPr>
              <w:t xml:space="preserve"> </w:t>
            </w:r>
            <w:r w:rsidRPr="0053423A">
              <w:rPr>
                <w:rFonts w:cs="GHEA Grapalat"/>
                <w:lang w:val="hy-AM"/>
              </w:rPr>
              <w:t>նորմերի</w:t>
            </w:r>
            <w:r w:rsidRPr="0053423A">
              <w:rPr>
                <w:rFonts w:cs="GHEA Grapalat"/>
                <w:lang w:val="af-ZA"/>
              </w:rPr>
              <w:t xml:space="preserve">, </w:t>
            </w:r>
            <w:r w:rsidRPr="0053423A">
              <w:rPr>
                <w:rFonts w:cs="GHEA Grapalat"/>
                <w:lang w:val="hy-AM"/>
              </w:rPr>
              <w:t>տեղական</w:t>
            </w:r>
            <w:r w:rsidRPr="0053423A">
              <w:rPr>
                <w:rFonts w:cs="GHEA Grapalat"/>
                <w:lang w:val="af-ZA"/>
              </w:rPr>
              <w:t xml:space="preserve"> </w:t>
            </w:r>
            <w:r w:rsidRPr="0053423A">
              <w:rPr>
                <w:rFonts w:cs="GHEA Grapalat"/>
                <w:lang w:val="hy-AM"/>
              </w:rPr>
              <w:t>հումքով</w:t>
            </w:r>
            <w:r w:rsidRPr="0053423A">
              <w:rPr>
                <w:rFonts w:cs="GHEA Grapalat"/>
                <w:lang w:val="af-ZA"/>
              </w:rPr>
              <w:t xml:space="preserve"> </w:t>
            </w:r>
            <w:r w:rsidRPr="0053423A">
              <w:rPr>
                <w:rFonts w:cs="GHEA Grapalat"/>
                <w:lang w:val="hy-AM"/>
              </w:rPr>
              <w:t>շինանյութերի</w:t>
            </w:r>
            <w:r w:rsidRPr="0053423A">
              <w:rPr>
                <w:rFonts w:cs="GHEA Grapalat"/>
                <w:lang w:val="af-ZA"/>
              </w:rPr>
              <w:t xml:space="preserve"> </w:t>
            </w:r>
            <w:r w:rsidRPr="0053423A">
              <w:rPr>
                <w:rFonts w:cs="GHEA Grapalat"/>
                <w:lang w:val="hy-AM"/>
              </w:rPr>
              <w:t>և</w:t>
            </w:r>
            <w:r w:rsidRPr="0053423A">
              <w:rPr>
                <w:rFonts w:cs="GHEA Grapalat"/>
                <w:lang w:val="af-ZA"/>
              </w:rPr>
              <w:t xml:space="preserve"> </w:t>
            </w:r>
            <w:r w:rsidRPr="0053423A">
              <w:rPr>
                <w:rFonts w:cs="GHEA Grapalat"/>
                <w:lang w:val="hy-AM"/>
              </w:rPr>
              <w:t>շինարարության</w:t>
            </w:r>
            <w:r w:rsidRPr="0053423A">
              <w:rPr>
                <w:rFonts w:cs="GHEA Grapalat"/>
                <w:lang w:val="af-ZA"/>
              </w:rPr>
              <w:t xml:space="preserve"> </w:t>
            </w:r>
            <w:r w:rsidRPr="0053423A">
              <w:rPr>
                <w:rFonts w:cs="GHEA Grapalat"/>
                <w:lang w:val="hy-AM"/>
              </w:rPr>
              <w:t>որակի</w:t>
            </w:r>
            <w:r w:rsidRPr="0053423A">
              <w:rPr>
                <w:rFonts w:cs="GHEA Grapalat"/>
                <w:lang w:val="af-ZA"/>
              </w:rPr>
              <w:t xml:space="preserve"> </w:t>
            </w:r>
            <w:r w:rsidRPr="0053423A">
              <w:rPr>
                <w:rFonts w:cs="GHEA Grapalat"/>
                <w:lang w:val="hy-AM"/>
              </w:rPr>
              <w:t>հսկման</w:t>
            </w:r>
            <w:r w:rsidRPr="0053423A">
              <w:rPr>
                <w:rFonts w:cs="GHEA Grapalat"/>
                <w:lang w:val="af-ZA"/>
              </w:rPr>
              <w:t xml:space="preserve"> </w:t>
            </w:r>
            <w:r w:rsidRPr="0053423A">
              <w:rPr>
                <w:rFonts w:cs="GHEA Grapalat"/>
                <w:lang w:val="hy-AM"/>
              </w:rPr>
              <w:t>մեթոդների</w:t>
            </w:r>
            <w:r w:rsidRPr="0053423A">
              <w:rPr>
                <w:rFonts w:cs="GHEA Grapalat"/>
                <w:lang w:val="af-ZA"/>
              </w:rPr>
              <w:t xml:space="preserve"> </w:t>
            </w:r>
            <w:r w:rsidRPr="0053423A">
              <w:rPr>
                <w:rFonts w:cs="GHEA Grapalat"/>
                <w:lang w:val="hy-AM"/>
              </w:rPr>
              <w:t>մշակմանն</w:t>
            </w:r>
            <w:r w:rsidRPr="0053423A">
              <w:rPr>
                <w:rFonts w:cs="GHEA Grapalat"/>
                <w:lang w:val="af-ZA"/>
              </w:rPr>
              <w:t xml:space="preserve"> </w:t>
            </w:r>
            <w:r w:rsidRPr="0053423A">
              <w:rPr>
                <w:rFonts w:cs="GHEA Grapalat"/>
                <w:lang w:val="hy-AM"/>
              </w:rPr>
              <w:t>ու</w:t>
            </w:r>
            <w:r w:rsidRPr="0053423A">
              <w:rPr>
                <w:rFonts w:cs="GHEA Grapalat"/>
                <w:lang w:val="af-ZA"/>
              </w:rPr>
              <w:t xml:space="preserve"> </w:t>
            </w:r>
            <w:r w:rsidRPr="0053423A">
              <w:rPr>
                <w:rFonts w:cs="GHEA Grapalat"/>
                <w:lang w:val="hy-AM"/>
              </w:rPr>
              <w:t>իրագործմանը</w:t>
            </w:r>
            <w:r w:rsidRPr="0053423A">
              <w:rPr>
                <w:rFonts w:cs="GHEA Grapalat"/>
                <w:lang w:val="af-ZA"/>
              </w:rPr>
              <w:t xml:space="preserve">: </w:t>
            </w:r>
          </w:p>
          <w:p w:rsidR="00D75F05" w:rsidRPr="0053423A" w:rsidRDefault="00D75F05" w:rsidP="00A67858">
            <w:pPr>
              <w:shd w:val="clear" w:color="auto" w:fill="FFFFFF"/>
              <w:spacing w:line="276" w:lineRule="auto"/>
              <w:ind w:firstLine="375"/>
              <w:jc w:val="both"/>
              <w:rPr>
                <w:rFonts w:cs="GHEA Grapalat"/>
                <w:lang w:val="af-ZA"/>
              </w:rPr>
            </w:pPr>
            <w:r w:rsidRPr="0053423A">
              <w:rPr>
                <w:rFonts w:cs="GHEA Grapalat"/>
                <w:lang w:val="pt-BR"/>
              </w:rPr>
              <w:t>Վերջին</w:t>
            </w:r>
            <w:r w:rsidRPr="0053423A">
              <w:rPr>
                <w:rFonts w:cs="GHEA Grapalat"/>
                <w:lang w:val="af-ZA"/>
              </w:rPr>
              <w:t xml:space="preserve"> </w:t>
            </w:r>
            <w:r w:rsidRPr="0053423A">
              <w:rPr>
                <w:rFonts w:cs="GHEA Grapalat"/>
                <w:lang w:val="pt-BR"/>
              </w:rPr>
              <w:t>շրջանում</w:t>
            </w:r>
            <w:r w:rsidRPr="0053423A">
              <w:rPr>
                <w:rFonts w:cs="GHEA Grapalat"/>
                <w:lang w:val="af-ZA"/>
              </w:rPr>
              <w:t xml:space="preserve"> </w:t>
            </w:r>
            <w:r w:rsidRPr="0053423A">
              <w:rPr>
                <w:rFonts w:cs="GHEA Grapalat"/>
                <w:lang w:val="pt-BR"/>
              </w:rPr>
              <w:t>միջոցների</w:t>
            </w:r>
            <w:r w:rsidRPr="0053423A">
              <w:rPr>
                <w:rFonts w:cs="GHEA Grapalat"/>
                <w:lang w:val="af-ZA"/>
              </w:rPr>
              <w:t xml:space="preserve"> </w:t>
            </w:r>
            <w:r w:rsidRPr="0053423A">
              <w:rPr>
                <w:rFonts w:cs="GHEA Grapalat"/>
                <w:lang w:val="pt-BR"/>
              </w:rPr>
              <w:t>սղության</w:t>
            </w:r>
            <w:r w:rsidRPr="0053423A">
              <w:rPr>
                <w:rFonts w:cs="GHEA Grapalat"/>
                <w:lang w:val="af-ZA"/>
              </w:rPr>
              <w:t xml:space="preserve"> </w:t>
            </w:r>
            <w:r w:rsidRPr="0053423A">
              <w:rPr>
                <w:rFonts w:cs="GHEA Grapalat"/>
                <w:lang w:val="pt-BR"/>
              </w:rPr>
              <w:t>պատճառով</w:t>
            </w:r>
            <w:r w:rsidRPr="0053423A">
              <w:rPr>
                <w:rFonts w:cs="GHEA Grapalat"/>
                <w:lang w:val="af-ZA"/>
              </w:rPr>
              <w:t xml:space="preserve"> ը</w:t>
            </w:r>
            <w:r w:rsidRPr="0053423A">
              <w:rPr>
                <w:rFonts w:cs="GHEA Grapalat"/>
                <w:lang w:val="pt-BR"/>
              </w:rPr>
              <w:t>նկերությունը</w:t>
            </w:r>
            <w:r w:rsidRPr="0053423A">
              <w:rPr>
                <w:rFonts w:cs="GHEA Grapalat"/>
                <w:lang w:val="af-ZA"/>
              </w:rPr>
              <w:t xml:space="preserve"> </w:t>
            </w:r>
            <w:r w:rsidRPr="0053423A">
              <w:rPr>
                <w:rFonts w:cs="GHEA Grapalat"/>
                <w:lang w:val="pt-BR"/>
              </w:rPr>
              <w:t>հնարավորություն</w:t>
            </w:r>
            <w:r w:rsidRPr="0053423A">
              <w:rPr>
                <w:rFonts w:cs="GHEA Grapalat"/>
                <w:lang w:val="af-ZA"/>
              </w:rPr>
              <w:t xml:space="preserve"> </w:t>
            </w:r>
            <w:r w:rsidRPr="0053423A">
              <w:rPr>
                <w:rFonts w:cs="GHEA Grapalat"/>
                <w:lang w:val="pt-BR"/>
              </w:rPr>
              <w:t>չի</w:t>
            </w:r>
            <w:r w:rsidRPr="0053423A">
              <w:rPr>
                <w:rFonts w:cs="GHEA Grapalat"/>
                <w:lang w:val="af-ZA"/>
              </w:rPr>
              <w:t xml:space="preserve"> </w:t>
            </w:r>
            <w:r w:rsidRPr="0053423A">
              <w:rPr>
                <w:rFonts w:cs="GHEA Grapalat"/>
                <w:lang w:val="pt-BR"/>
              </w:rPr>
              <w:t>ունեցել</w:t>
            </w:r>
            <w:r w:rsidRPr="0053423A">
              <w:rPr>
                <w:rFonts w:cs="GHEA Grapalat"/>
                <w:lang w:val="af-ZA"/>
              </w:rPr>
              <w:t xml:space="preserve"> </w:t>
            </w:r>
            <w:r w:rsidRPr="0053423A">
              <w:rPr>
                <w:rFonts w:cs="GHEA Grapalat"/>
                <w:lang w:val="pt-BR"/>
              </w:rPr>
              <w:t>արդիականացնել</w:t>
            </w:r>
            <w:r w:rsidRPr="0053423A">
              <w:rPr>
                <w:rFonts w:cs="GHEA Grapalat"/>
                <w:lang w:val="af-ZA"/>
              </w:rPr>
              <w:t xml:space="preserve"> </w:t>
            </w:r>
            <w:r w:rsidRPr="0053423A">
              <w:rPr>
                <w:rFonts w:cs="GHEA Grapalat"/>
                <w:lang w:val="pt-BR"/>
              </w:rPr>
              <w:t>լաբորատոր</w:t>
            </w:r>
            <w:r w:rsidRPr="0053423A">
              <w:rPr>
                <w:rFonts w:cs="GHEA Grapalat"/>
                <w:lang w:val="af-ZA"/>
              </w:rPr>
              <w:t xml:space="preserve"> </w:t>
            </w:r>
            <w:r w:rsidRPr="0053423A">
              <w:rPr>
                <w:rFonts w:cs="GHEA Grapalat"/>
                <w:lang w:val="pt-BR"/>
              </w:rPr>
              <w:t>սարքավորումների</w:t>
            </w:r>
            <w:r w:rsidRPr="0053423A">
              <w:rPr>
                <w:rFonts w:cs="GHEA Grapalat"/>
                <w:lang w:val="af-ZA"/>
              </w:rPr>
              <w:t xml:space="preserve"> </w:t>
            </w:r>
            <w:r w:rsidRPr="0053423A">
              <w:rPr>
                <w:rFonts w:cs="GHEA Grapalat"/>
                <w:lang w:val="pt-BR"/>
              </w:rPr>
              <w:t>բազան</w:t>
            </w:r>
            <w:r w:rsidRPr="0053423A">
              <w:rPr>
                <w:rFonts w:cs="GHEA Grapalat"/>
                <w:lang w:val="af-ZA"/>
              </w:rPr>
              <w:t xml:space="preserve"> </w:t>
            </w:r>
            <w:r w:rsidRPr="0053423A">
              <w:rPr>
                <w:rFonts w:cs="GHEA Grapalat"/>
                <w:lang w:val="pt-BR"/>
              </w:rPr>
              <w:t>և</w:t>
            </w:r>
            <w:r w:rsidRPr="0053423A">
              <w:rPr>
                <w:rFonts w:cs="GHEA Grapalat"/>
                <w:lang w:val="af-ZA"/>
              </w:rPr>
              <w:t xml:space="preserve"> ա</w:t>
            </w:r>
            <w:r w:rsidRPr="0053423A">
              <w:rPr>
                <w:rFonts w:cs="GHEA Grapalat"/>
                <w:lang w:val="pt-BR"/>
              </w:rPr>
              <w:t>պահովել</w:t>
            </w:r>
            <w:r w:rsidRPr="0053423A">
              <w:rPr>
                <w:rFonts w:cs="GHEA Grapalat"/>
                <w:lang w:val="af-ZA"/>
              </w:rPr>
              <w:t xml:space="preserve"> </w:t>
            </w:r>
            <w:r w:rsidRPr="0053423A">
              <w:rPr>
                <w:rFonts w:cs="GHEA Grapalat"/>
                <w:lang w:val="pt-BR"/>
              </w:rPr>
              <w:t>բնագավառի</w:t>
            </w:r>
            <w:r w:rsidRPr="0053423A">
              <w:rPr>
                <w:rFonts w:cs="GHEA Grapalat"/>
                <w:lang w:val="af-ZA"/>
              </w:rPr>
              <w:t xml:space="preserve"> </w:t>
            </w:r>
            <w:r w:rsidRPr="0053423A">
              <w:rPr>
                <w:rFonts w:cs="GHEA Grapalat"/>
                <w:lang w:val="pt-BR"/>
              </w:rPr>
              <w:t>զարգացումը՝</w:t>
            </w:r>
            <w:r w:rsidRPr="0053423A">
              <w:rPr>
                <w:rFonts w:cs="GHEA Grapalat"/>
                <w:lang w:val="af-ZA"/>
              </w:rPr>
              <w:t xml:space="preserve"> </w:t>
            </w:r>
            <w:r w:rsidRPr="0053423A">
              <w:rPr>
                <w:rFonts w:cs="GHEA Grapalat"/>
                <w:lang w:val="pt-BR"/>
              </w:rPr>
              <w:t>ժամանակակից</w:t>
            </w:r>
            <w:r w:rsidRPr="0053423A">
              <w:rPr>
                <w:rFonts w:cs="GHEA Grapalat"/>
                <w:lang w:val="af-ZA"/>
              </w:rPr>
              <w:t xml:space="preserve"> </w:t>
            </w:r>
            <w:r w:rsidRPr="0053423A">
              <w:rPr>
                <w:rFonts w:cs="GHEA Grapalat"/>
                <w:lang w:val="pt-BR"/>
              </w:rPr>
              <w:t>պահանջներին</w:t>
            </w:r>
            <w:r w:rsidRPr="0053423A">
              <w:rPr>
                <w:rFonts w:cs="GHEA Grapalat"/>
                <w:lang w:val="af-ZA"/>
              </w:rPr>
              <w:t xml:space="preserve"> </w:t>
            </w:r>
            <w:r w:rsidRPr="0053423A">
              <w:rPr>
                <w:rFonts w:cs="GHEA Grapalat"/>
                <w:lang w:val="pt-BR"/>
              </w:rPr>
              <w:t>համապատասխան</w:t>
            </w:r>
            <w:r w:rsidRPr="0053423A">
              <w:rPr>
                <w:rFonts w:cs="GHEA Grapalat"/>
                <w:lang w:val="af-ZA"/>
              </w:rPr>
              <w:t>:</w:t>
            </w:r>
          </w:p>
          <w:p w:rsidR="00D75F05" w:rsidRPr="0053423A" w:rsidRDefault="00D75F05" w:rsidP="00A67858">
            <w:pPr>
              <w:shd w:val="clear" w:color="auto" w:fill="FFFFFF"/>
              <w:spacing w:line="276" w:lineRule="auto"/>
              <w:ind w:firstLine="375"/>
              <w:jc w:val="both"/>
              <w:rPr>
                <w:rFonts w:cs="GHEA Grapalat"/>
                <w:lang w:val="af-ZA"/>
              </w:rPr>
            </w:pPr>
            <w:r w:rsidRPr="0053423A">
              <w:rPr>
                <w:rFonts w:cs="GHEA Grapalat"/>
                <w:lang w:val="pt-BR"/>
              </w:rPr>
              <w:t>Նշված</w:t>
            </w:r>
            <w:r w:rsidRPr="0053423A">
              <w:rPr>
                <w:rFonts w:cs="GHEA Grapalat"/>
                <w:lang w:val="af-ZA"/>
              </w:rPr>
              <w:t xml:space="preserve"> </w:t>
            </w:r>
            <w:r w:rsidRPr="0053423A">
              <w:rPr>
                <w:rFonts w:cs="GHEA Grapalat"/>
                <w:lang w:val="pt-BR"/>
              </w:rPr>
              <w:t>խնդիրները</w:t>
            </w:r>
            <w:r w:rsidRPr="0053423A">
              <w:rPr>
                <w:rFonts w:cs="GHEA Grapalat"/>
                <w:lang w:val="af-ZA"/>
              </w:rPr>
              <w:t xml:space="preserve"> </w:t>
            </w:r>
            <w:r w:rsidRPr="0053423A">
              <w:rPr>
                <w:rFonts w:cs="GHEA Grapalat"/>
                <w:lang w:val="pt-BR"/>
              </w:rPr>
              <w:t>արդիական</w:t>
            </w:r>
            <w:r w:rsidRPr="0053423A">
              <w:rPr>
                <w:rFonts w:cs="GHEA Grapalat"/>
                <w:lang w:val="af-ZA"/>
              </w:rPr>
              <w:t xml:space="preserve"> </w:t>
            </w:r>
            <w:r w:rsidRPr="0053423A">
              <w:rPr>
                <w:rFonts w:cs="GHEA Grapalat"/>
                <w:lang w:val="pt-BR"/>
              </w:rPr>
              <w:t>են</w:t>
            </w:r>
            <w:r w:rsidRPr="0053423A">
              <w:rPr>
                <w:rFonts w:cs="GHEA Grapalat"/>
                <w:lang w:val="af-ZA"/>
              </w:rPr>
              <w:t xml:space="preserve"> </w:t>
            </w:r>
            <w:r w:rsidRPr="0053423A">
              <w:rPr>
                <w:rFonts w:cs="GHEA Grapalat"/>
                <w:lang w:val="pt-BR"/>
              </w:rPr>
              <w:t>նաև</w:t>
            </w:r>
            <w:r w:rsidRPr="0053423A">
              <w:rPr>
                <w:rFonts w:cs="GHEA Grapalat"/>
                <w:lang w:val="af-ZA"/>
              </w:rPr>
              <w:t xml:space="preserve"> </w:t>
            </w:r>
            <w:r w:rsidRPr="0053423A">
              <w:rPr>
                <w:rFonts w:cs="GHEA Grapalat"/>
                <w:lang w:val="pt-BR"/>
              </w:rPr>
              <w:t>ազգային</w:t>
            </w:r>
            <w:r w:rsidRPr="0053423A">
              <w:rPr>
                <w:rFonts w:cs="GHEA Grapalat"/>
                <w:lang w:val="af-ZA"/>
              </w:rPr>
              <w:t xml:space="preserve"> </w:t>
            </w:r>
            <w:r w:rsidRPr="0053423A">
              <w:rPr>
                <w:rFonts w:cs="GHEA Grapalat"/>
                <w:lang w:val="pt-BR"/>
              </w:rPr>
              <w:t>անվտանգության</w:t>
            </w:r>
            <w:r w:rsidRPr="0053423A">
              <w:rPr>
                <w:rFonts w:cs="GHEA Grapalat"/>
                <w:lang w:val="af-ZA"/>
              </w:rPr>
              <w:t xml:space="preserve"> </w:t>
            </w:r>
            <w:r w:rsidRPr="0053423A">
              <w:rPr>
                <w:rFonts w:cs="GHEA Grapalat"/>
                <w:lang w:val="pt-BR"/>
              </w:rPr>
              <w:t>համատեքստում</w:t>
            </w:r>
            <w:r w:rsidRPr="0053423A">
              <w:rPr>
                <w:rFonts w:cs="GHEA Grapalat"/>
                <w:lang w:val="af-ZA"/>
              </w:rPr>
              <w:t xml:space="preserve">. </w:t>
            </w:r>
            <w:r w:rsidRPr="0053423A">
              <w:rPr>
                <w:rFonts w:cs="GHEA Grapalat"/>
                <w:lang w:val="pt-BR"/>
              </w:rPr>
              <w:t>դրանք</w:t>
            </w:r>
            <w:r w:rsidRPr="0053423A">
              <w:rPr>
                <w:rFonts w:cs="GHEA Grapalat"/>
                <w:lang w:val="af-ZA"/>
              </w:rPr>
              <w:t xml:space="preserve"> </w:t>
            </w:r>
            <w:r w:rsidRPr="0053423A">
              <w:rPr>
                <w:rFonts w:cs="GHEA Grapalat"/>
                <w:lang w:val="pt-BR"/>
              </w:rPr>
              <w:t>թելադրում</w:t>
            </w:r>
            <w:r w:rsidRPr="0053423A">
              <w:rPr>
                <w:rFonts w:cs="GHEA Grapalat"/>
                <w:lang w:val="af-ZA"/>
              </w:rPr>
              <w:t xml:space="preserve"> </w:t>
            </w:r>
            <w:r w:rsidRPr="0053423A">
              <w:rPr>
                <w:rFonts w:cs="GHEA Grapalat"/>
                <w:lang w:val="pt-BR"/>
              </w:rPr>
              <w:t>են</w:t>
            </w:r>
            <w:r w:rsidRPr="0053423A">
              <w:rPr>
                <w:rFonts w:cs="GHEA Grapalat"/>
                <w:lang w:val="af-ZA"/>
              </w:rPr>
              <w:t xml:space="preserve"> </w:t>
            </w:r>
            <w:r w:rsidRPr="0053423A">
              <w:rPr>
                <w:rFonts w:cs="GHEA Grapalat"/>
                <w:lang w:val="pt-BR"/>
              </w:rPr>
              <w:t>ոլորտի</w:t>
            </w:r>
            <w:r w:rsidRPr="0053423A">
              <w:rPr>
                <w:rFonts w:cs="GHEA Grapalat"/>
                <w:lang w:val="af-ZA"/>
              </w:rPr>
              <w:t xml:space="preserve"> </w:t>
            </w:r>
            <w:r w:rsidRPr="0053423A">
              <w:rPr>
                <w:rFonts w:cs="GHEA Grapalat"/>
                <w:lang w:val="pt-BR"/>
              </w:rPr>
              <w:t>նորմատիվատեխնիկական</w:t>
            </w:r>
            <w:r w:rsidRPr="0053423A">
              <w:rPr>
                <w:rFonts w:cs="GHEA Grapalat"/>
                <w:lang w:val="af-ZA"/>
              </w:rPr>
              <w:t xml:space="preserve"> </w:t>
            </w:r>
            <w:r w:rsidRPr="0053423A">
              <w:rPr>
                <w:rFonts w:cs="GHEA Grapalat"/>
                <w:lang w:val="pt-BR"/>
              </w:rPr>
              <w:t>բազայի</w:t>
            </w:r>
            <w:r w:rsidRPr="0053423A">
              <w:rPr>
                <w:rFonts w:cs="GHEA Grapalat"/>
                <w:lang w:val="af-ZA"/>
              </w:rPr>
              <w:t xml:space="preserve">, </w:t>
            </w:r>
            <w:r w:rsidRPr="0053423A">
              <w:rPr>
                <w:rFonts w:cs="GHEA Grapalat"/>
                <w:lang w:val="pt-BR"/>
              </w:rPr>
              <w:t>շինարարության</w:t>
            </w:r>
            <w:r w:rsidRPr="0053423A">
              <w:rPr>
                <w:rFonts w:cs="GHEA Grapalat"/>
                <w:lang w:val="af-ZA"/>
              </w:rPr>
              <w:t xml:space="preserve"> </w:t>
            </w:r>
            <w:r w:rsidRPr="0053423A">
              <w:rPr>
                <w:rFonts w:cs="GHEA Grapalat"/>
                <w:lang w:val="pt-BR"/>
              </w:rPr>
              <w:t>որակի</w:t>
            </w:r>
            <w:r w:rsidRPr="0053423A">
              <w:rPr>
                <w:rFonts w:cs="GHEA Grapalat"/>
                <w:lang w:val="af-ZA"/>
              </w:rPr>
              <w:t xml:space="preserve"> </w:t>
            </w:r>
            <w:r w:rsidRPr="0053423A">
              <w:rPr>
                <w:rFonts w:cs="GHEA Grapalat"/>
                <w:lang w:val="pt-BR"/>
              </w:rPr>
              <w:t>հսկման</w:t>
            </w:r>
            <w:r w:rsidRPr="0053423A">
              <w:rPr>
                <w:rFonts w:cs="GHEA Grapalat"/>
                <w:lang w:val="af-ZA"/>
              </w:rPr>
              <w:t xml:space="preserve"> </w:t>
            </w:r>
            <w:r w:rsidRPr="0053423A">
              <w:rPr>
                <w:rFonts w:cs="GHEA Grapalat"/>
                <w:lang w:val="pt-BR"/>
              </w:rPr>
              <w:t>գործընթացի</w:t>
            </w:r>
            <w:r w:rsidRPr="0053423A">
              <w:rPr>
                <w:rFonts w:cs="GHEA Grapalat"/>
                <w:lang w:val="af-ZA"/>
              </w:rPr>
              <w:t xml:space="preserve"> </w:t>
            </w:r>
            <w:r w:rsidRPr="0053423A">
              <w:rPr>
                <w:rFonts w:cs="GHEA Grapalat"/>
                <w:lang w:val="pt-BR"/>
              </w:rPr>
              <w:t>զարգացման</w:t>
            </w:r>
            <w:r w:rsidRPr="0053423A">
              <w:rPr>
                <w:rFonts w:cs="GHEA Grapalat"/>
                <w:lang w:val="af-ZA"/>
              </w:rPr>
              <w:t xml:space="preserve"> </w:t>
            </w:r>
            <w:r w:rsidRPr="0053423A">
              <w:rPr>
                <w:rFonts w:cs="GHEA Grapalat"/>
                <w:lang w:val="pt-BR"/>
              </w:rPr>
              <w:t>անհրաժեշտությունը</w:t>
            </w:r>
            <w:r w:rsidRPr="0053423A">
              <w:rPr>
                <w:rFonts w:cs="GHEA Grapalat"/>
                <w:lang w:val="af-ZA"/>
              </w:rPr>
              <w:t>` ը</w:t>
            </w:r>
            <w:r w:rsidRPr="0053423A">
              <w:rPr>
                <w:rFonts w:cs="GHEA Grapalat"/>
                <w:lang w:val="pt-BR"/>
              </w:rPr>
              <w:t>նկերությունում</w:t>
            </w:r>
            <w:r w:rsidRPr="0053423A">
              <w:rPr>
                <w:rFonts w:cs="GHEA Grapalat"/>
                <w:lang w:val="af-ZA"/>
              </w:rPr>
              <w:t xml:space="preserve"> </w:t>
            </w:r>
            <w:r w:rsidRPr="0053423A">
              <w:rPr>
                <w:rFonts w:cs="GHEA Grapalat"/>
                <w:lang w:val="pt-BR"/>
              </w:rPr>
              <w:t>գիտահետազոտական</w:t>
            </w:r>
            <w:r w:rsidRPr="0053423A">
              <w:rPr>
                <w:rFonts w:cs="GHEA Grapalat"/>
                <w:lang w:val="af-ZA"/>
              </w:rPr>
              <w:t xml:space="preserve"> </w:t>
            </w:r>
            <w:r w:rsidRPr="0053423A">
              <w:rPr>
                <w:rFonts w:cs="GHEA Grapalat"/>
                <w:lang w:val="pt-BR"/>
              </w:rPr>
              <w:t>և</w:t>
            </w:r>
            <w:r w:rsidRPr="0053423A">
              <w:rPr>
                <w:rFonts w:cs="GHEA Grapalat"/>
                <w:lang w:val="af-ZA"/>
              </w:rPr>
              <w:t xml:space="preserve"> </w:t>
            </w:r>
            <w:r w:rsidRPr="0053423A">
              <w:rPr>
                <w:rFonts w:cs="GHEA Grapalat"/>
                <w:lang w:val="pt-BR"/>
              </w:rPr>
              <w:t>փորձարարական</w:t>
            </w:r>
            <w:r w:rsidRPr="0053423A">
              <w:rPr>
                <w:rFonts w:cs="GHEA Grapalat"/>
                <w:lang w:val="af-ZA"/>
              </w:rPr>
              <w:t xml:space="preserve"> </w:t>
            </w:r>
            <w:r w:rsidRPr="0053423A">
              <w:rPr>
                <w:rFonts w:cs="GHEA Grapalat"/>
                <w:lang w:val="pt-BR"/>
              </w:rPr>
              <w:t>բազայի</w:t>
            </w:r>
            <w:r w:rsidRPr="0053423A">
              <w:rPr>
                <w:rFonts w:cs="GHEA Grapalat"/>
                <w:lang w:val="af-ZA"/>
              </w:rPr>
              <w:t xml:space="preserve">, </w:t>
            </w:r>
            <w:r w:rsidRPr="0053423A">
              <w:rPr>
                <w:rFonts w:cs="GHEA Grapalat"/>
                <w:lang w:val="pt-BR"/>
              </w:rPr>
              <w:t>գիտական</w:t>
            </w:r>
            <w:r w:rsidRPr="0053423A">
              <w:rPr>
                <w:rFonts w:cs="GHEA Grapalat"/>
                <w:lang w:val="af-ZA"/>
              </w:rPr>
              <w:t xml:space="preserve"> </w:t>
            </w:r>
            <w:r w:rsidRPr="0053423A">
              <w:rPr>
                <w:rFonts w:cs="GHEA Grapalat"/>
                <w:lang w:val="pt-BR"/>
              </w:rPr>
              <w:t>կադրերի</w:t>
            </w:r>
            <w:r w:rsidRPr="0053423A">
              <w:rPr>
                <w:rFonts w:cs="GHEA Grapalat"/>
                <w:lang w:val="af-ZA"/>
              </w:rPr>
              <w:t xml:space="preserve"> </w:t>
            </w:r>
            <w:r w:rsidRPr="0053423A">
              <w:rPr>
                <w:rFonts w:cs="GHEA Grapalat"/>
                <w:lang w:val="pt-BR"/>
              </w:rPr>
              <w:t>պատրաստման</w:t>
            </w:r>
            <w:r w:rsidRPr="0053423A">
              <w:rPr>
                <w:rFonts w:ascii="Calibri" w:hAnsi="Calibri" w:cs="Calibri"/>
                <w:lang w:val="af-ZA"/>
              </w:rPr>
              <w:t> </w:t>
            </w:r>
            <w:r w:rsidRPr="0053423A">
              <w:rPr>
                <w:rFonts w:cs="GHEA Grapalat"/>
                <w:lang w:val="af-ZA"/>
              </w:rPr>
              <w:t xml:space="preserve"> </w:t>
            </w:r>
            <w:r w:rsidRPr="0053423A">
              <w:rPr>
                <w:rFonts w:cs="GHEA Grapalat"/>
                <w:lang w:val="pt-BR"/>
              </w:rPr>
              <w:t>համակարգերի</w:t>
            </w:r>
            <w:r w:rsidRPr="0053423A">
              <w:rPr>
                <w:rFonts w:cs="GHEA Grapalat"/>
                <w:lang w:val="af-ZA"/>
              </w:rPr>
              <w:t xml:space="preserve"> </w:t>
            </w:r>
            <w:r w:rsidRPr="0053423A">
              <w:rPr>
                <w:rFonts w:cs="GHEA Grapalat"/>
                <w:lang w:val="pt-BR"/>
              </w:rPr>
              <w:t>ստեղծման</w:t>
            </w:r>
            <w:r w:rsidRPr="0053423A">
              <w:rPr>
                <w:rFonts w:cs="GHEA Grapalat"/>
                <w:lang w:val="af-ZA"/>
              </w:rPr>
              <w:t xml:space="preserve"> </w:t>
            </w:r>
            <w:r w:rsidRPr="0053423A">
              <w:rPr>
                <w:rFonts w:cs="GHEA Grapalat"/>
                <w:lang w:val="pt-BR"/>
              </w:rPr>
              <w:t>միջոցով</w:t>
            </w:r>
            <w:r w:rsidRPr="0053423A">
              <w:rPr>
                <w:rFonts w:cs="GHEA Grapalat"/>
                <w:lang w:val="af-ZA"/>
              </w:rPr>
              <w:t>:</w:t>
            </w:r>
          </w:p>
          <w:p w:rsidR="00D75F05" w:rsidRPr="0053423A" w:rsidRDefault="00D75F05" w:rsidP="00A67858">
            <w:pPr>
              <w:pStyle w:val="ListParagraph"/>
              <w:tabs>
                <w:tab w:val="left" w:pos="450"/>
                <w:tab w:val="left" w:pos="900"/>
              </w:tabs>
              <w:spacing w:line="276" w:lineRule="auto"/>
              <w:ind w:left="0" w:hanging="360"/>
              <w:jc w:val="both"/>
              <w:rPr>
                <w:b/>
                <w:lang w:val="af-ZA" w:eastAsia="en-GB"/>
              </w:rPr>
            </w:pPr>
            <w:r w:rsidRPr="0053423A">
              <w:rPr>
                <w:b/>
                <w:lang w:val="af-ZA" w:eastAsia="en-GB"/>
              </w:rPr>
              <w:t xml:space="preserve">1.2 </w:t>
            </w:r>
            <w:r w:rsidRPr="0053423A">
              <w:rPr>
                <w:b/>
                <w:lang w:eastAsia="en-GB"/>
              </w:rPr>
              <w:t>Առկա</w:t>
            </w:r>
            <w:r w:rsidRPr="0053423A">
              <w:rPr>
                <w:b/>
                <w:lang w:val="af-ZA" w:eastAsia="en-GB"/>
              </w:rPr>
              <w:t xml:space="preserve"> </w:t>
            </w:r>
            <w:r w:rsidRPr="0053423A">
              <w:rPr>
                <w:b/>
                <w:lang w:eastAsia="en-GB"/>
              </w:rPr>
              <w:t>խնդիրների</w:t>
            </w:r>
            <w:r w:rsidRPr="0053423A">
              <w:rPr>
                <w:b/>
                <w:lang w:val="af-ZA" w:eastAsia="en-GB"/>
              </w:rPr>
              <w:t xml:space="preserve"> </w:t>
            </w:r>
            <w:r w:rsidRPr="0053423A">
              <w:rPr>
                <w:b/>
                <w:lang w:eastAsia="en-GB"/>
              </w:rPr>
              <w:t>առաջարկվող</w:t>
            </w:r>
            <w:r w:rsidRPr="0053423A">
              <w:rPr>
                <w:b/>
                <w:lang w:val="af-ZA" w:eastAsia="en-GB"/>
              </w:rPr>
              <w:t xml:space="preserve"> </w:t>
            </w:r>
            <w:r w:rsidRPr="0053423A">
              <w:rPr>
                <w:b/>
                <w:lang w:eastAsia="en-GB"/>
              </w:rPr>
              <w:t>լուծումները</w:t>
            </w:r>
          </w:p>
          <w:p w:rsidR="00D75F05" w:rsidRPr="0053423A" w:rsidRDefault="00D75F05" w:rsidP="00A67858">
            <w:pPr>
              <w:pStyle w:val="ListParagraph"/>
              <w:tabs>
                <w:tab w:val="left" w:pos="720"/>
              </w:tabs>
              <w:spacing w:line="276" w:lineRule="auto"/>
              <w:ind w:left="0" w:firstLine="360"/>
              <w:jc w:val="both"/>
              <w:rPr>
                <w:lang w:val="af-ZA" w:eastAsia="en-GB"/>
              </w:rPr>
            </w:pPr>
            <w:r w:rsidRPr="0053423A">
              <w:rPr>
                <w:rFonts w:cs="GHEA Grapalat"/>
                <w:lang w:val="en-US" w:eastAsia="en-GB"/>
              </w:rPr>
              <w:t>Ք</w:t>
            </w:r>
            <w:r w:rsidRPr="0053423A">
              <w:rPr>
                <w:rFonts w:cs="GHEA Grapalat"/>
                <w:lang w:val="hy-AM" w:eastAsia="en-GB"/>
              </w:rPr>
              <w:t>աղաքաշինական</w:t>
            </w:r>
            <w:r w:rsidRPr="0053423A">
              <w:rPr>
                <w:rFonts w:cs="GHEA Grapalat"/>
                <w:lang w:val="af-ZA" w:eastAsia="en-GB"/>
              </w:rPr>
              <w:t xml:space="preserve"> </w:t>
            </w:r>
            <w:r w:rsidRPr="0053423A">
              <w:rPr>
                <w:rFonts w:cs="GHEA Grapalat"/>
                <w:lang w:val="hy-AM" w:eastAsia="en-GB"/>
              </w:rPr>
              <w:t>ծրագրերի</w:t>
            </w:r>
            <w:r w:rsidRPr="0053423A">
              <w:rPr>
                <w:rFonts w:cs="GHEA Grapalat"/>
                <w:lang w:val="af-ZA" w:eastAsia="en-GB"/>
              </w:rPr>
              <w:t xml:space="preserve"> </w:t>
            </w:r>
            <w:r w:rsidRPr="0053423A">
              <w:rPr>
                <w:rFonts w:cs="GHEA Grapalat"/>
                <w:lang w:val="hy-AM" w:eastAsia="en-GB"/>
              </w:rPr>
              <w:t>փորձագիտական</w:t>
            </w:r>
            <w:r w:rsidRPr="0053423A">
              <w:rPr>
                <w:rFonts w:cs="GHEA Grapalat"/>
                <w:lang w:val="af-ZA" w:eastAsia="en-GB"/>
              </w:rPr>
              <w:t xml:space="preserve"> </w:t>
            </w:r>
            <w:r w:rsidRPr="0053423A">
              <w:rPr>
                <w:rFonts w:cs="GHEA Grapalat"/>
                <w:lang w:val="hy-AM" w:eastAsia="en-GB"/>
              </w:rPr>
              <w:t>կենտրոն</w:t>
            </w:r>
            <w:r w:rsidRPr="0053423A">
              <w:rPr>
                <w:rFonts w:cs="GHEA Grapalat"/>
                <w:lang w:val="en-US" w:eastAsia="en-GB"/>
              </w:rPr>
              <w:t>ի</w:t>
            </w:r>
            <w:r w:rsidRPr="0053423A">
              <w:rPr>
                <w:rFonts w:cs="GHEA Grapalat"/>
                <w:lang w:val="af-ZA" w:eastAsia="en-GB"/>
              </w:rPr>
              <w:t xml:space="preserve"> </w:t>
            </w:r>
            <w:r w:rsidRPr="0053423A">
              <w:rPr>
                <w:shd w:val="clear" w:color="auto" w:fill="FFFFFF"/>
                <w:lang w:val="hy-AM" w:eastAsia="en-GB"/>
              </w:rPr>
              <w:t>վերակազմավորում՝</w:t>
            </w:r>
            <w:r w:rsidRPr="0053423A">
              <w:rPr>
                <w:shd w:val="clear" w:color="auto" w:fill="FFFFFF"/>
                <w:lang w:val="af-ZA" w:eastAsia="en-GB"/>
              </w:rPr>
              <w:t xml:space="preserve"> </w:t>
            </w:r>
            <w:r w:rsidRPr="0053423A">
              <w:rPr>
                <w:shd w:val="clear" w:color="auto" w:fill="FFFFFF"/>
                <w:lang w:val="hy-AM" w:eastAsia="en-GB"/>
              </w:rPr>
              <w:t>Քաղաքաշինական</w:t>
            </w:r>
            <w:r w:rsidRPr="0053423A">
              <w:rPr>
                <w:shd w:val="clear" w:color="auto" w:fill="FFFFFF"/>
                <w:lang w:val="af-ZA" w:eastAsia="en-GB"/>
              </w:rPr>
              <w:t xml:space="preserve"> </w:t>
            </w:r>
            <w:r w:rsidRPr="0053423A">
              <w:rPr>
                <w:shd w:val="clear" w:color="auto" w:fill="FFFFFF"/>
                <w:lang w:val="hy-AM" w:eastAsia="en-GB"/>
              </w:rPr>
              <w:t>ծրագրերի</w:t>
            </w:r>
            <w:r w:rsidRPr="0053423A">
              <w:rPr>
                <w:shd w:val="clear" w:color="auto" w:fill="FFFFFF"/>
                <w:lang w:val="af-ZA" w:eastAsia="en-GB"/>
              </w:rPr>
              <w:t xml:space="preserve"> </w:t>
            </w:r>
            <w:r w:rsidRPr="0053423A">
              <w:rPr>
                <w:shd w:val="clear" w:color="auto" w:fill="FFFFFF"/>
                <w:lang w:val="hy-AM" w:eastAsia="en-GB"/>
              </w:rPr>
              <w:t>գիտահետազոտական</w:t>
            </w:r>
            <w:r w:rsidRPr="0053423A">
              <w:rPr>
                <w:shd w:val="clear" w:color="auto" w:fill="FFFFFF"/>
                <w:lang w:val="af-ZA" w:eastAsia="en-GB"/>
              </w:rPr>
              <w:t xml:space="preserve"> </w:t>
            </w:r>
            <w:r w:rsidRPr="0053423A">
              <w:rPr>
                <w:shd w:val="clear" w:color="auto" w:fill="FFFFFF"/>
                <w:lang w:val="hy-AM" w:eastAsia="en-GB"/>
              </w:rPr>
              <w:t>և</w:t>
            </w:r>
            <w:r w:rsidRPr="0053423A">
              <w:rPr>
                <w:shd w:val="clear" w:color="auto" w:fill="FFFFFF"/>
                <w:lang w:val="af-ZA" w:eastAsia="en-GB"/>
              </w:rPr>
              <w:t xml:space="preserve"> </w:t>
            </w:r>
            <w:r w:rsidRPr="0053423A">
              <w:rPr>
                <w:shd w:val="clear" w:color="auto" w:fill="FFFFFF"/>
                <w:lang w:val="hy-AM" w:eastAsia="en-GB"/>
              </w:rPr>
              <w:t>փորձարարական</w:t>
            </w:r>
            <w:r w:rsidRPr="0053423A">
              <w:rPr>
                <w:shd w:val="clear" w:color="auto" w:fill="FFFFFF"/>
                <w:lang w:val="af-ZA" w:eastAsia="en-GB"/>
              </w:rPr>
              <w:t xml:space="preserve"> </w:t>
            </w:r>
            <w:r w:rsidRPr="0053423A">
              <w:rPr>
                <w:shd w:val="clear" w:color="auto" w:fill="FFFFFF"/>
                <w:lang w:val="hy-AM" w:eastAsia="en-GB"/>
              </w:rPr>
              <w:t>կենտրոնի</w:t>
            </w:r>
            <w:r w:rsidRPr="0053423A">
              <w:rPr>
                <w:lang w:val="af-ZA" w:eastAsia="en-GB"/>
              </w:rPr>
              <w:t>:</w:t>
            </w:r>
          </w:p>
          <w:p w:rsidR="00D75F05" w:rsidRPr="0053423A" w:rsidRDefault="00D75F05" w:rsidP="001F6D5D">
            <w:pPr>
              <w:pStyle w:val="ListParagraph"/>
              <w:numPr>
                <w:ilvl w:val="0"/>
                <w:numId w:val="309"/>
              </w:numPr>
              <w:tabs>
                <w:tab w:val="left" w:pos="360"/>
                <w:tab w:val="left" w:pos="720"/>
              </w:tabs>
              <w:spacing w:line="276" w:lineRule="auto"/>
              <w:ind w:left="0" w:hanging="720"/>
              <w:contextualSpacing w:val="0"/>
              <w:jc w:val="both"/>
              <w:rPr>
                <w:b/>
                <w:lang w:val="af-ZA" w:eastAsia="en-GB"/>
              </w:rPr>
            </w:pPr>
            <w:r w:rsidRPr="0053423A">
              <w:rPr>
                <w:b/>
                <w:lang w:eastAsia="en-GB"/>
              </w:rPr>
              <w:t>Միջոցառման իրականացումից ակնկալվող արդյունքը</w:t>
            </w:r>
          </w:p>
          <w:p w:rsidR="00D75F05" w:rsidRPr="0053423A" w:rsidRDefault="00D75F05" w:rsidP="00A67858">
            <w:pPr>
              <w:shd w:val="clear" w:color="auto" w:fill="FFFFFF"/>
              <w:spacing w:line="276" w:lineRule="auto"/>
              <w:ind w:firstLine="375"/>
              <w:jc w:val="both"/>
              <w:rPr>
                <w:rFonts w:cs="Sylfaen"/>
                <w:b/>
                <w:lang w:val="af-ZA"/>
              </w:rPr>
            </w:pPr>
            <w:r w:rsidRPr="0053423A">
              <w:rPr>
                <w:rFonts w:cs="GHEA Grapalat"/>
                <w:lang w:val="pt-BR"/>
              </w:rPr>
              <w:t>Քաղաքաշինության ոլորտում տարվող քաղաքականության ճկունության բարձրացում՝ սեյսմակայուն համակարգերի, շինարարական նորմերի, տեղական հումքով շինանյութերի և շինարարության որակի հսկման մեթոդների մշակման ու իրագործման, գիտահետազոտական և փորձարարական բազայի, գիտական կադրերի պատրաստման</w:t>
            </w:r>
            <w:r w:rsidRPr="0053423A">
              <w:rPr>
                <w:rFonts w:ascii="Calibri" w:hAnsi="Calibri" w:cs="Calibri"/>
                <w:lang w:val="pt-BR"/>
              </w:rPr>
              <w:t> </w:t>
            </w:r>
            <w:r w:rsidRPr="0053423A">
              <w:rPr>
                <w:rFonts w:cs="GHEA Grapalat"/>
                <w:lang w:val="pt-BR"/>
              </w:rPr>
              <w:t>համակարգերի ստեղծման միջոցով:</w:t>
            </w:r>
          </w:p>
        </w:tc>
      </w:tr>
      <w:tr w:rsidR="00D75F05" w:rsidRPr="00DE2EFA" w:rsidTr="00D75F05">
        <w:tc>
          <w:tcPr>
            <w:tcW w:w="450" w:type="dxa"/>
          </w:tcPr>
          <w:p w:rsidR="00D75F05" w:rsidRPr="0053423A" w:rsidRDefault="00D75F05" w:rsidP="00A67858">
            <w:pPr>
              <w:pStyle w:val="ListParagraph"/>
              <w:spacing w:line="276" w:lineRule="auto"/>
              <w:ind w:left="0"/>
              <w:jc w:val="center"/>
              <w:rPr>
                <w:rFonts w:cs="Sylfaen"/>
                <w:b/>
                <w:lang w:val="hy-AM"/>
              </w:rPr>
            </w:pPr>
            <w:r w:rsidRPr="0053423A">
              <w:rPr>
                <w:rFonts w:cs="Sylfaen"/>
                <w:b/>
                <w:lang w:val="hy-AM"/>
              </w:rPr>
              <w:t>8</w:t>
            </w:r>
          </w:p>
        </w:tc>
        <w:tc>
          <w:tcPr>
            <w:tcW w:w="11160" w:type="dxa"/>
          </w:tcPr>
          <w:p w:rsidR="00D75F05" w:rsidRPr="0053423A" w:rsidRDefault="00D75F05" w:rsidP="00A67858">
            <w:pPr>
              <w:spacing w:line="276" w:lineRule="auto"/>
              <w:jc w:val="center"/>
              <w:rPr>
                <w:b/>
                <w:lang w:val="af-ZA"/>
              </w:rPr>
            </w:pPr>
            <w:r w:rsidRPr="0053423A">
              <w:rPr>
                <w:rFonts w:cs="Sylfaen"/>
                <w:b/>
                <w:lang w:val="af-ZA"/>
              </w:rPr>
              <w:t xml:space="preserve">Շենքերի </w:t>
            </w:r>
            <w:r w:rsidRPr="0053423A">
              <w:rPr>
                <w:b/>
                <w:lang w:val="af-ZA"/>
              </w:rPr>
              <w:t>(այդ թվում՝ բազմաբնակարան շենքերի) եվ շինությունների  անձնագրավորման, ինչպես նաև անբավարար վիճակում գտնվող շենքերի եվ շինությունների հետագա շահագործման հետ կապված հարցերի կանոնակարգում</w:t>
            </w:r>
          </w:p>
          <w:p w:rsidR="00D75F05" w:rsidRPr="0053423A" w:rsidRDefault="00D75F05" w:rsidP="00A67858">
            <w:pPr>
              <w:spacing w:line="276" w:lineRule="auto"/>
              <w:jc w:val="center"/>
              <w:rPr>
                <w:b/>
                <w:lang w:val="af-ZA"/>
              </w:rPr>
            </w:pPr>
          </w:p>
          <w:p w:rsidR="00D75F05" w:rsidRPr="0053423A" w:rsidRDefault="00D75F05" w:rsidP="00A67858">
            <w:pPr>
              <w:spacing w:line="276" w:lineRule="auto"/>
              <w:jc w:val="center"/>
              <w:rPr>
                <w:b/>
                <w:u w:val="single"/>
                <w:lang w:val="af-ZA"/>
              </w:rPr>
            </w:pPr>
            <w:r w:rsidRPr="0053423A">
              <w:rPr>
                <w:b/>
                <w:bCs/>
                <w:iCs/>
                <w:u w:val="single"/>
                <w:lang w:val="af-ZA"/>
              </w:rPr>
              <w:t>8.1</w:t>
            </w:r>
            <w:r w:rsidRPr="0053423A">
              <w:rPr>
                <w:rFonts w:eastAsia="Calibri"/>
                <w:u w:val="single"/>
                <w:lang w:val="af-ZA"/>
              </w:rPr>
              <w:t xml:space="preserve"> </w:t>
            </w:r>
            <w:r w:rsidRPr="0053423A">
              <w:rPr>
                <w:b/>
                <w:u w:val="single"/>
                <w:lang w:val="af-ZA"/>
              </w:rPr>
              <w:t>«Նոր կառուցվող և գոյություն ունեցող տարբեր նշանակության</w:t>
            </w:r>
            <w:r w:rsidRPr="0053423A">
              <w:rPr>
                <w:b/>
                <w:u w:val="single"/>
                <w:lang w:val="hy-AM"/>
              </w:rPr>
              <w:t xml:space="preserve"> </w:t>
            </w:r>
            <w:r w:rsidRPr="0053423A">
              <w:rPr>
                <w:b/>
                <w:u w:val="single"/>
                <w:lang w:val="af-ZA"/>
              </w:rPr>
              <w:t>շենքերի և շինությունների անձնագրավորման կարգը հաստատելու մասին» ՀՀ կառավարության որոշման նախագծի ներկայացում ՀՀ վարչապետի աշխատակազմ</w:t>
            </w:r>
          </w:p>
          <w:p w:rsidR="00D75F05" w:rsidRPr="0053423A" w:rsidRDefault="00D75F05" w:rsidP="00A67858">
            <w:pPr>
              <w:spacing w:line="276" w:lineRule="auto"/>
              <w:rPr>
                <w:b/>
                <w:lang w:val="af-ZA"/>
              </w:rPr>
            </w:pPr>
          </w:p>
          <w:p w:rsidR="00D75F05" w:rsidRPr="0053423A" w:rsidRDefault="00D75F05" w:rsidP="001F6D5D">
            <w:pPr>
              <w:pStyle w:val="ListParagraph1"/>
              <w:numPr>
                <w:ilvl w:val="0"/>
                <w:numId w:val="310"/>
              </w:numPr>
              <w:tabs>
                <w:tab w:val="left" w:pos="270"/>
              </w:tabs>
              <w:spacing w:after="0"/>
              <w:ind w:left="0" w:firstLine="0"/>
              <w:contextualSpacing w:val="0"/>
              <w:rPr>
                <w:rFonts w:ascii="GHEA Grapalat" w:hAnsi="GHEA Grapalat"/>
                <w:b/>
                <w:lang w:val="hy-AM"/>
              </w:rPr>
            </w:pPr>
            <w:r w:rsidRPr="0053423A">
              <w:rPr>
                <w:rFonts w:ascii="GHEA Grapalat" w:hAnsi="GHEA Grapalat"/>
                <w:b/>
                <w:lang w:val="hy-AM"/>
              </w:rPr>
              <w:t>Միջոցառման իրականացման անհրաժեշտությունը և նպատակը</w:t>
            </w:r>
            <w:r w:rsidRPr="0053423A">
              <w:rPr>
                <w:rFonts w:ascii="GHEA Grapalat" w:hAnsi="GHEA Grapalat"/>
                <w:b/>
                <w:lang w:val="af-ZA"/>
              </w:rPr>
              <w:t xml:space="preserve"> </w:t>
            </w:r>
          </w:p>
          <w:p w:rsidR="00D75F05" w:rsidRPr="0053423A" w:rsidRDefault="00D75F05" w:rsidP="00A67858">
            <w:pPr>
              <w:spacing w:line="276" w:lineRule="auto"/>
              <w:ind w:firstLine="360"/>
              <w:jc w:val="both"/>
              <w:rPr>
                <w:rFonts w:cs="Sylfaen"/>
                <w:lang w:val="hy-AM"/>
              </w:rPr>
            </w:pPr>
            <w:r w:rsidRPr="0053423A">
              <w:rPr>
                <w:rFonts w:cs="Sylfaen"/>
                <w:lang w:val="hy-AM"/>
              </w:rPr>
              <w:t>Միջոցառման անհրաժեշտությունը բխում է ՀՀ Սահմանադրություն 82-րդ և 86-րդ հոդվածների, «Քաղաքացիական օրենսգրքի» 285-րդ հոդվածի 1-ին մասի, «Քաղաքաշինության մասին» ՀՀ օրենքի 10-րդ հոդվածի ա մասի, 10.1 հոդվածի 3-րդ մասի 12-րդ և 20-րդ կետերի, «Պետական կառավարման համակարգի մարմինների մասին»                    ՀՀ օրենքի 4-րդ հոդվածի 1-ին մասի դրույթներից և ՀՀ կառավարության ծրագրի Կառավարության խնդիրների 2-րդ կետի 7-րդ և 14-րդ ու Ծրագրի 2-րդ մասի «2.2» ուղղության 7-րդ, 8-րդ և 10-րդ պարբերությունների, 6-րդ մասի «6.6» ուղղության պահանջներից:</w:t>
            </w:r>
          </w:p>
          <w:p w:rsidR="00D75F05" w:rsidRPr="0053423A" w:rsidRDefault="00D75F05" w:rsidP="00A67858">
            <w:pPr>
              <w:spacing w:line="276" w:lineRule="auto"/>
              <w:ind w:firstLine="360"/>
              <w:jc w:val="both"/>
              <w:rPr>
                <w:rFonts w:cs="Sylfaen"/>
                <w:lang w:val="hy-AM"/>
              </w:rPr>
            </w:pPr>
            <w:r w:rsidRPr="0053423A">
              <w:rPr>
                <w:rFonts w:cs="Sylfaen"/>
                <w:lang w:val="hy-AM"/>
              </w:rPr>
              <w:t>Նպատակն է կարգավորել նոր կառուցվող և շահագործման մեջ գտնվող տարբեր նշանակության շենքերի ու շինությունների անձնագրավորման գործընթացը, սահմանել անձնագրերի վերաբերյալ պահանջներ:</w:t>
            </w:r>
          </w:p>
          <w:p w:rsidR="00D75F05" w:rsidRPr="0053423A" w:rsidRDefault="00D75F05" w:rsidP="00A67858">
            <w:pPr>
              <w:pStyle w:val="ListParagraph1"/>
              <w:tabs>
                <w:tab w:val="left" w:pos="540"/>
                <w:tab w:val="left" w:pos="900"/>
              </w:tabs>
              <w:spacing w:after="0"/>
              <w:ind w:left="0"/>
              <w:rPr>
                <w:rFonts w:ascii="GHEA Grapalat" w:hAnsi="GHEA Grapalat"/>
                <w:b/>
                <w:lang w:val="hy-AM"/>
              </w:rPr>
            </w:pPr>
            <w:r w:rsidRPr="0053423A">
              <w:rPr>
                <w:rFonts w:ascii="GHEA Grapalat" w:hAnsi="GHEA Grapalat"/>
                <w:b/>
                <w:lang w:val="hy-AM"/>
              </w:rPr>
              <w:t xml:space="preserve"> 1.2 Կարգավորման հարաբերությունների ներկա վիճակը և առկա խնդիրները</w:t>
            </w:r>
          </w:p>
          <w:p w:rsidR="00D75F05" w:rsidRPr="0053423A" w:rsidRDefault="00D75F05" w:rsidP="00A67858">
            <w:pPr>
              <w:spacing w:line="276" w:lineRule="auto"/>
              <w:ind w:firstLine="450"/>
              <w:jc w:val="both"/>
              <w:rPr>
                <w:rFonts w:cs="Sylfaen"/>
                <w:lang w:val="hy-AM"/>
              </w:rPr>
            </w:pPr>
            <w:r w:rsidRPr="0053423A">
              <w:rPr>
                <w:rFonts w:cs="Sylfaen"/>
                <w:lang w:val="hy-AM"/>
              </w:rPr>
              <w:t>Տարբեր նշանակության շենքերի ու շինությունների կառավարման, հուսալի և անվտանգ շահագործման գործառույթների լիարժեք իրականացման որակի ու արդյունավետության ապահովումը պայմանավորված է շենքերի նախագծային լուծումների, շինարարության կատարողական փաստաթղթերի, ինչպես նաև շենքերի փաստացի տեխնիկական վիճակի և մոնիթորինգային դիտարկումների տվյալների առկայությամբ: Մինչդեռ, շատ դեպքերում, նշված տեխնիկական փաստաթղթերը պահպանված չեն, ինչի արդյունքում շենքերի և շինությունների կառավարումն ու շահագործումն իրականացնող մարմինները, սեփականատերերը չեն կարող տիրապետել անհրաժեշտ տեխնիկական տվյալների:</w:t>
            </w:r>
          </w:p>
          <w:p w:rsidR="00D75F05" w:rsidRPr="0053423A" w:rsidRDefault="00D75F05" w:rsidP="00A67858">
            <w:pPr>
              <w:spacing w:line="276" w:lineRule="auto"/>
              <w:ind w:firstLine="450"/>
              <w:jc w:val="both"/>
              <w:rPr>
                <w:rFonts w:cs="Sylfaen"/>
                <w:lang w:val="hy-AM"/>
              </w:rPr>
            </w:pPr>
            <w:r w:rsidRPr="0053423A">
              <w:rPr>
                <w:rFonts w:cs="Sylfaen"/>
                <w:lang w:val="hy-AM"/>
              </w:rPr>
              <w:t xml:space="preserve">Ներկայումս շահագործվող տարբեր նշանակության շենքերի ու շինությունների մեծ մասի շահագործման սահմանված նորմատիվային ժամկետներն արդեն վաղուց լրացել են ու տարբեր վտանգավոր բնական երևույթների և տեխնածին ազդեցությունների հետևանքով առկա է դրանց վնասվածության և ֆիզիկական մաշվածության զգալի աճ, իսկ առանձին շինություններ շահագործվում են այլ նպատակային նշանակությամբ: Այդ պատճառով նման շենքերի ու շինությունների ըստ նպատակային նշանակության հուսալի շահագործումն ապահովելու համար անհրաժեշտ է համակարգված վերահսկողություն իրականացնել դրանց տեխնիկական վիճակի նկատմամբ: </w:t>
            </w:r>
          </w:p>
          <w:p w:rsidR="00D75F05" w:rsidRPr="0053423A" w:rsidRDefault="00D75F05" w:rsidP="00A67858">
            <w:pPr>
              <w:spacing w:line="276" w:lineRule="auto"/>
              <w:ind w:firstLine="450"/>
              <w:jc w:val="both"/>
              <w:rPr>
                <w:rFonts w:cs="Sylfaen"/>
                <w:lang w:val="hy-AM"/>
              </w:rPr>
            </w:pPr>
            <w:r w:rsidRPr="0053423A">
              <w:rPr>
                <w:rFonts w:cs="Sylfaen"/>
                <w:lang w:val="hy-AM"/>
              </w:rPr>
              <w:t xml:space="preserve">Վտանգավոր բնական երևույթների և տեխնածին ազդեցությունների նվազեցման ու չեզոքացման, ժամանակին արտակարգ իրավիճակների հայտնաբերման և սեյսմիկ ռիսկի գնահատման նպատակով անհրաժեշտ է ստեղծել բոլոր շենքերի ու շինությունների տեխնիկական վիճակի վերաբերյալ տվյալների միասնական բազա և ներդնել մոնիթորինգային դիտարկումներ համակարգ: Դրա համար անհրաժեշտ է ապահովել նոր կառուցվող և կազմակերպել գոյություն ունեցող տարբեր նպատակային նշանակության շենքերի ու շինությունների անձնագրավորում, որի արդյունքում տրվող տեխնիկական անձնագերի տվյալներն անհրաժեշտ և բավարար հիմք կհանդիսանան շենքերի ու շինությունների պահպանմանն ու անվտանգ շահագործմանը նպատակաուղղված համակարգված ծրագրային մոտեցումների մշակման, ինչպես նաև ՀՀ օրենսդրության և գործող նորմատիվատեխնիկական փաստաթղթերի պահանջներին համապատասխան սեյսմակայունության անհրաժեշտ մակարդակ ապահովելու միջոցառումներ իրականացնելու համար: </w:t>
            </w:r>
          </w:p>
          <w:p w:rsidR="00D75F05" w:rsidRPr="0053423A" w:rsidRDefault="00D75F05" w:rsidP="00A67858">
            <w:pPr>
              <w:spacing w:line="276" w:lineRule="auto"/>
              <w:ind w:firstLine="450"/>
              <w:jc w:val="both"/>
              <w:rPr>
                <w:rFonts w:cs="Sylfaen"/>
                <w:lang w:val="hy-AM"/>
              </w:rPr>
            </w:pPr>
            <w:r w:rsidRPr="0053423A">
              <w:rPr>
                <w:b/>
                <w:lang w:val="hy-AM"/>
              </w:rPr>
              <w:t xml:space="preserve">1.2. Առկա խնդիրների առաջարկվող լուծումները </w:t>
            </w:r>
          </w:p>
          <w:p w:rsidR="00D75F05" w:rsidRPr="0053423A" w:rsidRDefault="00D75F05" w:rsidP="00A67858">
            <w:pPr>
              <w:spacing w:line="276" w:lineRule="auto"/>
              <w:ind w:firstLine="450"/>
              <w:jc w:val="both"/>
              <w:rPr>
                <w:rFonts w:cs="Sylfaen"/>
                <w:lang w:val="hy-AM"/>
              </w:rPr>
            </w:pPr>
            <w:r w:rsidRPr="0053423A">
              <w:rPr>
                <w:rFonts w:cs="Sylfaen"/>
                <w:lang w:val="hy-AM"/>
              </w:rPr>
              <w:t>Տարբեր նշանակության շենքերի ու շինությունների կառավարման, հուսալի և անվտանգ շահագործման գործառույթների լիարժեք իրականացման համար նախագծով նախատեսվում է կարգավորել նոր կառուցվող և շահագործման մեջ գտնվող տարբեր նշանակության շենքերի ու շինությունների անձնագրավորման գործընթացը, սահմանել անձնագրերի վերաբերյալ պահանջներ:</w:t>
            </w:r>
          </w:p>
          <w:p w:rsidR="00D75F05" w:rsidRPr="0053423A" w:rsidRDefault="00D75F05" w:rsidP="00A67858">
            <w:pPr>
              <w:spacing w:line="276" w:lineRule="auto"/>
              <w:rPr>
                <w:b/>
                <w:lang w:val="hy-AM"/>
              </w:rPr>
            </w:pPr>
            <w:r w:rsidRPr="0053423A">
              <w:rPr>
                <w:b/>
                <w:lang w:val="hy-AM"/>
              </w:rPr>
              <w:t xml:space="preserve">  2. Միջոցառման իրականացումից ակնկալվող արդյունքը</w:t>
            </w:r>
          </w:p>
          <w:p w:rsidR="00D75F05" w:rsidRPr="0053423A" w:rsidRDefault="00D75F05" w:rsidP="00A67858">
            <w:pPr>
              <w:spacing w:line="276" w:lineRule="auto"/>
              <w:ind w:firstLine="450"/>
              <w:jc w:val="both"/>
              <w:rPr>
                <w:rFonts w:cs="Sylfaen"/>
                <w:lang w:val="hy-AM"/>
              </w:rPr>
            </w:pPr>
            <w:r w:rsidRPr="0053423A">
              <w:rPr>
                <w:rFonts w:cs="Sylfaen"/>
                <w:lang w:val="hy-AM"/>
              </w:rPr>
              <w:t>Նախագծի ընդունման արդյունքում կսահմանվեն նոր կառուցվող և գոյություն ունեցող տար</w:t>
            </w:r>
            <w:r w:rsidRPr="0053423A">
              <w:rPr>
                <w:rFonts w:cs="Sylfaen"/>
                <w:lang w:val="hy-AM"/>
              </w:rPr>
              <w:softHyphen/>
              <w:t xml:space="preserve">բեր նշանակության շենքերի ու շինությունների անձնագրավորման իրականացման, անձնագրերի ձևերի և լրացմանը ներկայացվող պահանջներ: </w:t>
            </w:r>
          </w:p>
          <w:p w:rsidR="00D75F05" w:rsidRPr="0053423A" w:rsidRDefault="00D75F05" w:rsidP="00A67858">
            <w:pPr>
              <w:spacing w:line="276" w:lineRule="auto"/>
              <w:ind w:firstLine="450"/>
              <w:jc w:val="both"/>
              <w:rPr>
                <w:rFonts w:cs="Sylfaen"/>
                <w:lang w:val="hy-AM"/>
              </w:rPr>
            </w:pPr>
            <w:r w:rsidRPr="0053423A">
              <w:rPr>
                <w:rFonts w:cs="Sylfaen"/>
                <w:lang w:val="hy-AM"/>
              </w:rPr>
              <w:t xml:space="preserve">Շենքերի ու շինությունների կառավարման, հուսալի և անվտանգ շահագործման համար կապահովվի անհրաժեշտ տվյալներ պարունակող անձնագրեր: </w:t>
            </w:r>
          </w:p>
          <w:p w:rsidR="00D75F05" w:rsidRPr="0053423A" w:rsidRDefault="00D75F05" w:rsidP="00A67858">
            <w:pPr>
              <w:spacing w:line="276" w:lineRule="auto"/>
              <w:rPr>
                <w:b/>
                <w:lang w:val="af-ZA"/>
              </w:rPr>
            </w:pPr>
          </w:p>
          <w:p w:rsidR="00D75F05" w:rsidRPr="0053423A" w:rsidRDefault="00D75F05" w:rsidP="00A67858">
            <w:pPr>
              <w:spacing w:line="276" w:lineRule="auto"/>
              <w:contextualSpacing/>
              <w:jc w:val="center"/>
              <w:rPr>
                <w:b/>
                <w:u w:val="single"/>
                <w:lang w:val="hy-AM"/>
              </w:rPr>
            </w:pPr>
            <w:r w:rsidRPr="0053423A">
              <w:rPr>
                <w:b/>
                <w:u w:val="single"/>
                <w:lang w:val="hy-AM"/>
              </w:rPr>
              <w:t>8.</w:t>
            </w:r>
            <w:r w:rsidRPr="0053423A">
              <w:rPr>
                <w:b/>
                <w:u w:val="single"/>
                <w:lang w:val="af-ZA"/>
              </w:rPr>
              <w:t>2</w:t>
            </w:r>
            <w:r w:rsidRPr="0053423A">
              <w:rPr>
                <w:b/>
                <w:u w:val="single"/>
                <w:lang w:val="hy-AM"/>
              </w:rPr>
              <w:t xml:space="preserve">. </w:t>
            </w:r>
            <w:r w:rsidRPr="0053423A">
              <w:rPr>
                <w:u w:val="single"/>
                <w:lang w:val="af-ZA"/>
              </w:rPr>
              <w:t>«</w:t>
            </w:r>
            <w:r w:rsidRPr="0053423A">
              <w:rPr>
                <w:b/>
                <w:u w:val="single"/>
                <w:lang w:val="hy-AM"/>
              </w:rPr>
              <w:t>Տարբեր նշանակության շենքերի ու շինությունների սեյսմակայունության բարձրացման մեթոդաբանությունը հաստատելու մասին» ՀՀ կառավարության որոշման նախա</w:t>
            </w:r>
            <w:r w:rsidRPr="0053423A">
              <w:rPr>
                <w:b/>
                <w:u w:val="single"/>
                <w:lang w:val="hy-AM"/>
              </w:rPr>
              <w:softHyphen/>
              <w:t>գծի ներկայացում</w:t>
            </w:r>
          </w:p>
          <w:p w:rsidR="00D75F05" w:rsidRPr="0053423A" w:rsidRDefault="00D75F05" w:rsidP="00A67858">
            <w:pPr>
              <w:spacing w:line="276" w:lineRule="auto"/>
              <w:ind w:firstLine="630"/>
              <w:contextualSpacing/>
              <w:jc w:val="center"/>
              <w:rPr>
                <w:b/>
                <w:u w:val="single"/>
                <w:lang w:val="hy-AM"/>
              </w:rPr>
            </w:pPr>
            <w:r w:rsidRPr="0053423A">
              <w:rPr>
                <w:b/>
                <w:u w:val="single"/>
                <w:lang w:val="hy-AM"/>
              </w:rPr>
              <w:t>ՀՀ վարչապետի աշխատա</w:t>
            </w:r>
            <w:r w:rsidRPr="0053423A">
              <w:rPr>
                <w:b/>
                <w:u w:val="single"/>
                <w:lang w:val="hy-AM"/>
              </w:rPr>
              <w:softHyphen/>
              <w:t>կազմ</w:t>
            </w:r>
          </w:p>
          <w:p w:rsidR="00D75F05" w:rsidRPr="0053423A" w:rsidRDefault="00D75F05" w:rsidP="00A67858">
            <w:pPr>
              <w:spacing w:line="276" w:lineRule="auto"/>
              <w:ind w:firstLine="630"/>
              <w:contextualSpacing/>
              <w:jc w:val="center"/>
              <w:rPr>
                <w:b/>
                <w:u w:val="single"/>
                <w:lang w:val="hy-AM"/>
              </w:rPr>
            </w:pPr>
          </w:p>
          <w:p w:rsidR="00D75F05" w:rsidRPr="0053423A" w:rsidRDefault="00D75F05" w:rsidP="001F6D5D">
            <w:pPr>
              <w:pStyle w:val="ListParagraph1"/>
              <w:numPr>
                <w:ilvl w:val="0"/>
                <w:numId w:val="308"/>
              </w:numPr>
              <w:tabs>
                <w:tab w:val="left" w:pos="540"/>
                <w:tab w:val="left" w:pos="900"/>
              </w:tabs>
              <w:spacing w:after="0"/>
              <w:ind w:left="0" w:hanging="540"/>
              <w:contextualSpacing w:val="0"/>
              <w:rPr>
                <w:rFonts w:ascii="GHEA Grapalat" w:hAnsi="GHEA Grapalat"/>
                <w:b/>
                <w:lang w:val="hy-AM"/>
              </w:rPr>
            </w:pPr>
            <w:r w:rsidRPr="0053423A">
              <w:rPr>
                <w:rFonts w:ascii="GHEA Grapalat" w:hAnsi="GHEA Grapalat"/>
                <w:b/>
                <w:lang w:val="hy-AM"/>
              </w:rPr>
              <w:t xml:space="preserve"> Միջոցառման իրականացման անհրաժեշտությունը և նպատակը</w:t>
            </w:r>
          </w:p>
          <w:p w:rsidR="00D75F05" w:rsidRPr="0053423A" w:rsidRDefault="00D75F05" w:rsidP="00A67858">
            <w:pPr>
              <w:spacing w:line="276" w:lineRule="auto"/>
              <w:ind w:firstLine="540"/>
              <w:jc w:val="both"/>
              <w:rPr>
                <w:rFonts w:cs="Sylfaen"/>
                <w:lang w:val="hy-AM"/>
              </w:rPr>
            </w:pPr>
            <w:r w:rsidRPr="0053423A">
              <w:rPr>
                <w:rFonts w:cs="Sylfaen"/>
                <w:lang w:val="hy-AM"/>
              </w:rPr>
              <w:t>Միջոցառման անհրաժեշտությունը բխում է «Քաղաքաշինության մասին» ՀՀ օրենքի 10-րդ հոդվածի ա, «բ» և «գ» մասերի, 10.1 հոդվածի 3-րդ մասի 3-րդ, 12-րդ և 20-րդ կետերի, «Պետական կառավարման համակարգի մարմինների մասին» ՀՀ օրենքի 4-րդ հոդվածի 1-ին մասի դրույթներից և ՀՀ կառավարության ծրագրի 2-րդ մասի «2.2» ուղղության 7-րդ, 8-րդ և 10-րդ պարբերությունների  պահանջներից:</w:t>
            </w:r>
          </w:p>
          <w:p w:rsidR="00D75F05" w:rsidRPr="0053423A" w:rsidRDefault="00D75F05" w:rsidP="00A67858">
            <w:pPr>
              <w:spacing w:line="276" w:lineRule="auto"/>
              <w:ind w:firstLine="540"/>
              <w:jc w:val="both"/>
              <w:rPr>
                <w:lang w:val="hy-AM"/>
              </w:rPr>
            </w:pPr>
            <w:r w:rsidRPr="0053423A">
              <w:rPr>
                <w:rFonts w:cs="Sylfaen"/>
                <w:lang w:val="hy-AM"/>
              </w:rPr>
              <w:t xml:space="preserve">Նպատակն է </w:t>
            </w:r>
            <w:r w:rsidRPr="0053423A">
              <w:rPr>
                <w:lang w:val="hy-AM"/>
              </w:rPr>
              <w:t xml:space="preserve">Հայաստանի Հանրապետությունում սեյսմիկ ռիսկի նվազեցման ուղղությամբ տարբեր նշանակության շենքերի ու շինությունների անվտանգ և հուսալի շահագործումն ապահովելու համար դրանց սեյսմակայունությունը բարձրացնելու նպատակով իրականացվող ծրագրերում ներառելու առաջնայնության չափորոշիչների </w:t>
            </w:r>
            <w:r w:rsidRPr="0053423A">
              <w:rPr>
                <w:rFonts w:cs="Sylfaen"/>
                <w:lang w:val="hy-AM"/>
              </w:rPr>
              <w:t>սահմանում</w:t>
            </w:r>
            <w:r w:rsidRPr="0053423A">
              <w:rPr>
                <w:lang w:val="hy-AM"/>
              </w:rPr>
              <w:t>ը:</w:t>
            </w:r>
          </w:p>
          <w:p w:rsidR="00D75F05" w:rsidRPr="0053423A" w:rsidRDefault="00D75F05" w:rsidP="00A67858">
            <w:pPr>
              <w:spacing w:line="276" w:lineRule="auto"/>
              <w:ind w:firstLine="540"/>
              <w:jc w:val="both"/>
              <w:rPr>
                <w:rFonts w:cs="Sylfaen"/>
                <w:lang w:val="hy-AM"/>
              </w:rPr>
            </w:pPr>
          </w:p>
          <w:p w:rsidR="00D75F05" w:rsidRPr="0053423A" w:rsidRDefault="00D75F05" w:rsidP="00A67858">
            <w:pPr>
              <w:pStyle w:val="ListParagraph1"/>
              <w:tabs>
                <w:tab w:val="left" w:pos="540"/>
                <w:tab w:val="left" w:pos="900"/>
              </w:tabs>
              <w:spacing w:after="0"/>
              <w:ind w:left="0"/>
              <w:rPr>
                <w:rFonts w:ascii="GHEA Grapalat" w:hAnsi="GHEA Grapalat"/>
                <w:b/>
                <w:lang w:val="hy-AM"/>
              </w:rPr>
            </w:pPr>
            <w:r w:rsidRPr="0053423A">
              <w:rPr>
                <w:rFonts w:ascii="GHEA Grapalat" w:hAnsi="GHEA Grapalat"/>
                <w:b/>
                <w:lang w:val="hy-AM"/>
              </w:rPr>
              <w:t xml:space="preserve">   1.1.Կարգավորման հարաբերությունների ներկա վիճակը և առկա խնդիրները</w:t>
            </w:r>
          </w:p>
          <w:p w:rsidR="00D75F05" w:rsidRPr="0053423A" w:rsidRDefault="00D75F05" w:rsidP="00A67858">
            <w:pPr>
              <w:spacing w:line="276" w:lineRule="auto"/>
              <w:ind w:firstLine="540"/>
              <w:jc w:val="both"/>
              <w:rPr>
                <w:rFonts w:cs="Sylfaen"/>
                <w:lang w:val="hy-AM"/>
              </w:rPr>
            </w:pPr>
            <w:r w:rsidRPr="0053423A">
              <w:rPr>
                <w:rFonts w:cs="Sylfaen"/>
                <w:lang w:val="hy-AM"/>
              </w:rPr>
              <w:t>Հայաստանում Հանրապետությունում շահագործվող շենքերի ու շինությունների մեծ մասի շահագործման սահմանված նորմատիվային ժամկետները վաղուց լրացել են: Տարբեր վտանգավոր բնական երևույթների և տեխնածին ազդեցությունների հետևանքով առկա է դրանց վնասվածության և ֆիզիկական մաշվածության զգալի աճ: Այդ պատճառով նման շենքերի ու շինությունների բնականոն և հուսալի շահագործումն ապահովելու նպատակով անհրաժեշտ է համակարգված վերահսկողություն իրականացնել դրանց սեյսմակայունության բարձրացման ուղղությամբ:</w:t>
            </w:r>
          </w:p>
          <w:p w:rsidR="00D75F05" w:rsidRPr="0053423A" w:rsidRDefault="00D75F05" w:rsidP="00A67858">
            <w:pPr>
              <w:spacing w:line="276" w:lineRule="auto"/>
              <w:ind w:firstLine="108"/>
              <w:jc w:val="both"/>
              <w:rPr>
                <w:rFonts w:cs="Sylfaen"/>
                <w:lang w:val="hy-AM"/>
              </w:rPr>
            </w:pPr>
            <w:r w:rsidRPr="0053423A">
              <w:rPr>
                <w:rFonts w:cs="Sylfaen"/>
                <w:lang w:val="hy-AM"/>
              </w:rPr>
              <w:t>Հանրապետությունում շենքերի և շինությունների պահպանման և հուսալի շահագործման համար նորմատիվ փաստաթղթերի պահանջներին համապատասխան բավարար ծավալով միջոցառումներ և համակարգված մոտեցումներ չեն ցուցաբերվել: Արդյունքում, ֆիզիկական մաշվածության, ինչպես նաև տեխնածին ու արտածին գործոնների ազդեցության հետևանքով շենքերի և շինությունների զգալի մասը հայտնվել է անբավարար կամ վթարային տեխնիկական վիճակում: Նման շենքերը սեյսմակայունության տեսանկյունից հուսալի չեն և դրանց հետագա շահագործումը վտանգավոր է բնակչության անվտանգության և շրջակա միջավայրի համար:</w:t>
            </w:r>
          </w:p>
          <w:p w:rsidR="00D75F05" w:rsidRPr="0053423A" w:rsidRDefault="00D75F05" w:rsidP="00A67858">
            <w:pPr>
              <w:spacing w:line="276" w:lineRule="auto"/>
              <w:rPr>
                <w:b/>
                <w:lang w:val="hy-AM"/>
              </w:rPr>
            </w:pPr>
            <w:r w:rsidRPr="0053423A">
              <w:rPr>
                <w:b/>
                <w:lang w:val="hy-AM"/>
              </w:rPr>
              <w:t>1.2. Առկա խնդիրների առաջարկվող լուծումները</w:t>
            </w:r>
          </w:p>
          <w:p w:rsidR="00D75F05" w:rsidRPr="0053423A" w:rsidRDefault="00D75F05" w:rsidP="00A67858">
            <w:pPr>
              <w:spacing w:line="276" w:lineRule="auto"/>
              <w:ind w:firstLine="360"/>
              <w:jc w:val="both"/>
              <w:rPr>
                <w:rFonts w:cs="Sylfaen"/>
                <w:lang w:val="hy-AM"/>
              </w:rPr>
            </w:pPr>
            <w:r w:rsidRPr="0053423A">
              <w:rPr>
                <w:rFonts w:cs="Sylfaen"/>
                <w:lang w:val="hy-AM"/>
              </w:rPr>
              <w:t>Հանրապետությունում սեյսմիկ ռիսկի նվազեցման ուղղությամբ շենքերի ու շինությունների անվտանգ և հուսալի շահագործման նպատակով գործող նորմատիվ փաստաթղթերի պահանջներին համապատասխան սեյսմակայունության անհրաժեշտ մակարդակի ապահովման միջոցառումներ իրականացնելու նպատակով իրականացվող ծրագրերում ներառելու համար նախատեսվում է սահմանել շենքերի սեյսմակայունությունը բարձրացնելու առաջնայնության չափորոշիչներ:</w:t>
            </w:r>
          </w:p>
          <w:p w:rsidR="00D75F05" w:rsidRPr="0053423A" w:rsidRDefault="00D75F05" w:rsidP="00A67858">
            <w:pPr>
              <w:spacing w:line="276" w:lineRule="auto"/>
              <w:ind w:firstLine="180"/>
              <w:rPr>
                <w:b/>
                <w:lang w:val="hy-AM"/>
              </w:rPr>
            </w:pPr>
            <w:r w:rsidRPr="0053423A">
              <w:rPr>
                <w:b/>
                <w:lang w:val="hy-AM"/>
              </w:rPr>
              <w:t>2.Միջոցառման իրականացումից ակնկալվող արդյունքը</w:t>
            </w:r>
          </w:p>
          <w:p w:rsidR="00D75F05" w:rsidRPr="0053423A" w:rsidRDefault="00D75F05" w:rsidP="00A67858">
            <w:pPr>
              <w:spacing w:line="276" w:lineRule="auto"/>
              <w:ind w:firstLine="540"/>
              <w:jc w:val="both"/>
              <w:rPr>
                <w:rFonts w:cs="Sylfaen"/>
                <w:lang w:val="hy-AM"/>
              </w:rPr>
            </w:pPr>
            <w:r w:rsidRPr="0053423A">
              <w:rPr>
                <w:rFonts w:cs="Sylfaen"/>
                <w:lang w:val="hy-AM"/>
              </w:rPr>
              <w:t>Արդյունքում սեյսմիկ ռիսկի նվազեցման նպատակով կսահմանվի տարբեր նպատակային նշանակության շենքերի ու շինությունների սեյսմակայունությունը բարձրացնելու ուղղությամբ իրականացվող ծրագրերում շենքերը ներառելու առաջնայնության չափորոշիչները:</w:t>
            </w:r>
          </w:p>
          <w:p w:rsidR="00D75F05" w:rsidRPr="0053423A" w:rsidRDefault="00D75F05" w:rsidP="00A67858">
            <w:pPr>
              <w:spacing w:line="276" w:lineRule="auto"/>
              <w:rPr>
                <w:b/>
                <w:lang w:val="hy-AM"/>
              </w:rPr>
            </w:pPr>
          </w:p>
          <w:p w:rsidR="00D75F05" w:rsidRPr="0053423A" w:rsidRDefault="00D75F05" w:rsidP="00A67858">
            <w:pPr>
              <w:spacing w:line="276" w:lineRule="auto"/>
              <w:jc w:val="center"/>
              <w:rPr>
                <w:b/>
                <w:u w:val="single"/>
                <w:lang w:val="af-ZA"/>
              </w:rPr>
            </w:pPr>
            <w:r w:rsidRPr="0053423A">
              <w:rPr>
                <w:b/>
                <w:u w:val="single"/>
                <w:lang w:val="af-ZA"/>
              </w:rPr>
              <w:t>8.3 «Հասարակական և արտադրական նշանակության վթարային շենքերը և շինությունները քանդման ենթակա ճանաչելու կարգը հաստատելու մասին» ՀՀ կառավարության որոշման նախագծի ներկայացում ՀՀ վարչապետի աշխատակազմ</w:t>
            </w:r>
          </w:p>
          <w:p w:rsidR="00D75F05" w:rsidRPr="0053423A" w:rsidRDefault="00D75F05" w:rsidP="00A67858">
            <w:pPr>
              <w:spacing w:line="276" w:lineRule="auto"/>
              <w:rPr>
                <w:b/>
                <w:lang w:val="af-ZA"/>
              </w:rPr>
            </w:pPr>
          </w:p>
          <w:p w:rsidR="00D75F05" w:rsidRPr="0053423A" w:rsidRDefault="00D75F05" w:rsidP="001F6D5D">
            <w:pPr>
              <w:pStyle w:val="ListParagraph1"/>
              <w:numPr>
                <w:ilvl w:val="0"/>
                <w:numId w:val="310"/>
              </w:numPr>
              <w:tabs>
                <w:tab w:val="left" w:pos="540"/>
              </w:tabs>
              <w:spacing w:after="0"/>
              <w:ind w:left="0"/>
              <w:contextualSpacing w:val="0"/>
              <w:rPr>
                <w:rFonts w:ascii="GHEA Grapalat" w:hAnsi="GHEA Grapalat"/>
                <w:b/>
                <w:lang w:val="hy-AM"/>
              </w:rPr>
            </w:pP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spacing w:line="276" w:lineRule="auto"/>
              <w:ind w:firstLine="360"/>
              <w:jc w:val="both"/>
              <w:rPr>
                <w:rFonts w:cs="Sylfaen"/>
                <w:lang w:val="hy-AM"/>
              </w:rPr>
            </w:pPr>
            <w:r w:rsidRPr="0053423A">
              <w:rPr>
                <w:rFonts w:cs="Sylfaen"/>
                <w:lang w:val="hy-AM"/>
              </w:rPr>
              <w:t>Միջոցառման անհրաժեշտությունը բխում է ՀՀ Սահմանադրություն 82-րդ և 86-րդ հոդվածների, «Քաղաքացիական օրենսգրքի» 285-րդ հոդվածի 1-ին մասի, «Քաղաքաշինության մասին» ՀՀ օրենքի   10-րդ հոդվածի «ա» և «ե» մասերի, 10.1 հոդվածի 3-րդ մասի 12-րդ կետի, «Պետական կառավարման համակարգի մարմինների մասին» ՀՀ օրենքի 4-րդ հոդվածի 1-ին մասի դրույթներից և ՀՀ կառավարության ծրագրի Կառավարության խնդիրների 2-րդ կետի           7-րդ և 14-րդ ու Ծրագրի 2-րդ մասի «2.2» ուղղության 7-րդ, 8-րդ և 10-րդ պարբերությունների,  6-րդ մասի  «6.6» ուղղության պահանջներից:</w:t>
            </w:r>
          </w:p>
          <w:p w:rsidR="00D75F05" w:rsidRPr="0053423A" w:rsidRDefault="00D75F05" w:rsidP="00A67858">
            <w:pPr>
              <w:spacing w:line="276" w:lineRule="auto"/>
              <w:ind w:firstLine="360"/>
              <w:jc w:val="both"/>
              <w:rPr>
                <w:rFonts w:cs="Sylfaen"/>
                <w:lang w:val="hy-AM"/>
              </w:rPr>
            </w:pPr>
            <w:r w:rsidRPr="0053423A">
              <w:rPr>
                <w:rFonts w:cs="Sylfaen"/>
                <w:lang w:val="hy-AM"/>
              </w:rPr>
              <w:t>Նպատակն է տարածքների համալիր զարգացման նպատակով կառուցապատման ծրագրերի իրականացման համար վթարային հասարակական և արտադրական նշանակության շենքերը և շինությունները քանդելու խնդրի իրավական կարգավորումը:</w:t>
            </w:r>
          </w:p>
          <w:p w:rsidR="00D75F05" w:rsidRPr="0053423A" w:rsidRDefault="00D75F05" w:rsidP="00A67858">
            <w:pPr>
              <w:pStyle w:val="ListParagraph1"/>
              <w:tabs>
                <w:tab w:val="left" w:pos="540"/>
                <w:tab w:val="left" w:pos="900"/>
              </w:tabs>
              <w:spacing w:after="0"/>
              <w:ind w:left="0"/>
              <w:rPr>
                <w:rFonts w:ascii="GHEA Grapalat" w:hAnsi="GHEA Grapalat"/>
                <w:b/>
                <w:lang w:val="hy-AM"/>
              </w:rPr>
            </w:pPr>
            <w:r w:rsidRPr="0053423A">
              <w:rPr>
                <w:rFonts w:ascii="GHEA Grapalat" w:hAnsi="GHEA Grapalat"/>
                <w:b/>
                <w:lang w:val="hy-AM"/>
              </w:rPr>
              <w:t>1.2 Կարգավորման հարաբերությունների ներկա վիճակը և առկա խնդիրները</w:t>
            </w:r>
          </w:p>
          <w:p w:rsidR="00D75F05" w:rsidRPr="0053423A" w:rsidRDefault="00D75F05" w:rsidP="00A67858">
            <w:pPr>
              <w:spacing w:line="276" w:lineRule="auto"/>
              <w:ind w:firstLine="360"/>
              <w:jc w:val="both"/>
              <w:rPr>
                <w:rFonts w:cs="Sylfaen"/>
                <w:lang w:val="hy-AM"/>
              </w:rPr>
            </w:pPr>
            <w:r w:rsidRPr="0053423A">
              <w:rPr>
                <w:rFonts w:cs="Sylfaen"/>
                <w:lang w:val="hy-AM"/>
              </w:rPr>
              <w:t>Հայաստանի Հանրապետությունում առկա են պետության, կազմակերպությունների և իրավաբանական անձանց սեփականություն իրավունքով գրանցված հասարակական և արտադրական նշանակության շենքեր ու շինություններ, որոնց պահպանման և հուսալի շահագործման համար բավարար և համակարգված մոտեցումներ չեն ցուցաբերվել, շահագործման սահմանված նորմատիվային ժամկետներն վաղուց լրացել են և տարբեր վտանգավոր բնական երևույթների ու տեխնածին ազդեցությունների և ֆիզիկական մաշվածության հետևանքով դարձել են  վթարային:</w:t>
            </w:r>
          </w:p>
          <w:p w:rsidR="00D75F05" w:rsidRPr="0053423A" w:rsidRDefault="00D75F05" w:rsidP="00A67858">
            <w:pPr>
              <w:spacing w:line="276" w:lineRule="auto"/>
              <w:ind w:firstLine="540"/>
              <w:jc w:val="both"/>
              <w:rPr>
                <w:rFonts w:cs="Sylfaen"/>
                <w:lang w:val="hy-AM"/>
              </w:rPr>
            </w:pPr>
            <w:r w:rsidRPr="0053423A">
              <w:rPr>
                <w:rFonts w:cs="Sylfaen"/>
                <w:lang w:val="hy-AM"/>
              </w:rPr>
              <w:t>Հանրապետության տարածքի սեյսմիկ ռիսկով պայմանավորված, նման շենքերը հետագա շահագործման համար հուսալի չեն, դրանց շահագործումը վտանգավոր է մարդկանց առողջության և շրջակա միջավայրի համար:</w:t>
            </w:r>
          </w:p>
          <w:p w:rsidR="00D75F05" w:rsidRPr="0053423A" w:rsidRDefault="00D75F05" w:rsidP="00A67858">
            <w:pPr>
              <w:spacing w:line="276" w:lineRule="auto"/>
              <w:rPr>
                <w:b/>
                <w:lang w:val="hy-AM"/>
              </w:rPr>
            </w:pPr>
            <w:r w:rsidRPr="0053423A">
              <w:rPr>
                <w:b/>
                <w:lang w:val="hy-AM"/>
              </w:rPr>
              <w:t>1.2. Առկա խնդիրների առաջարկվող լուծումները</w:t>
            </w:r>
          </w:p>
          <w:p w:rsidR="00D75F05" w:rsidRPr="0053423A" w:rsidRDefault="00D75F05" w:rsidP="00A67858">
            <w:pPr>
              <w:spacing w:line="276" w:lineRule="auto"/>
              <w:ind w:firstLine="360"/>
              <w:jc w:val="both"/>
              <w:rPr>
                <w:lang w:val="hy-AM"/>
              </w:rPr>
            </w:pPr>
            <w:r w:rsidRPr="0053423A">
              <w:rPr>
                <w:rFonts w:cs="Sylfaen"/>
                <w:lang w:val="hy-AM"/>
              </w:rPr>
              <w:t xml:space="preserve">Հայաստանի Հանրապետությունում, մասնավորապես քաղաքային համայնքներում անվտանգության պահանջների ապահովման և կառուցապատման ծրագրերի իրականացման նպատակով առաջարկվում է կանոնակարգել վթարային հասարակական և արտադրական նշանակության շենքերի ու շինությունների քանդման խնդիրը: </w:t>
            </w:r>
          </w:p>
          <w:p w:rsidR="00D75F05" w:rsidRPr="0053423A" w:rsidRDefault="00D75F05" w:rsidP="00A67858">
            <w:pPr>
              <w:spacing w:line="276" w:lineRule="auto"/>
              <w:rPr>
                <w:b/>
                <w:lang w:val="hy-AM"/>
              </w:rPr>
            </w:pPr>
            <w:r w:rsidRPr="0053423A">
              <w:rPr>
                <w:b/>
                <w:lang w:val="hy-AM"/>
              </w:rPr>
              <w:t>2. Միջոցառման իրականացումից ակնկալվող արդյունքը</w:t>
            </w:r>
          </w:p>
          <w:p w:rsidR="00D75F05" w:rsidRPr="0053423A" w:rsidRDefault="00D75F05" w:rsidP="00A67858">
            <w:pPr>
              <w:spacing w:line="276" w:lineRule="auto"/>
              <w:ind w:firstLine="360"/>
              <w:jc w:val="both"/>
              <w:rPr>
                <w:rFonts w:cs="Sylfaen"/>
                <w:lang w:val="hy-AM"/>
              </w:rPr>
            </w:pPr>
            <w:r w:rsidRPr="0053423A">
              <w:rPr>
                <w:rFonts w:cs="Sylfaen"/>
                <w:lang w:val="hy-AM"/>
              </w:rPr>
              <w:t xml:space="preserve">Միջոցառման իրականացման արդյունքում կապահովվի կառուցապատման ծրագրերի իրականացման համար վթարային հասարակական և արտադրական նշանակության շենքերի ու շինությունների քանդման գործընթացի իրավական կարգավորումը: </w:t>
            </w:r>
          </w:p>
          <w:p w:rsidR="00D75F05" w:rsidRPr="0053423A" w:rsidRDefault="00D75F05" w:rsidP="00A67858">
            <w:pPr>
              <w:spacing w:line="276" w:lineRule="auto"/>
              <w:rPr>
                <w:lang w:val="hy-AM"/>
              </w:rPr>
            </w:pPr>
          </w:p>
          <w:p w:rsidR="00D75F05" w:rsidRPr="0053423A" w:rsidRDefault="00D75F05" w:rsidP="00A67858">
            <w:pPr>
              <w:spacing w:line="276" w:lineRule="auto"/>
              <w:jc w:val="center"/>
              <w:rPr>
                <w:b/>
                <w:u w:val="single"/>
                <w:lang w:val="af-ZA"/>
              </w:rPr>
            </w:pPr>
            <w:r w:rsidRPr="0053423A">
              <w:rPr>
                <w:b/>
                <w:u w:val="single"/>
                <w:lang w:val="hy-AM"/>
              </w:rPr>
              <w:t>8.4 «</w:t>
            </w:r>
            <w:r w:rsidRPr="0053423A">
              <w:rPr>
                <w:b/>
                <w:u w:val="single"/>
                <w:lang w:val="af-ZA"/>
              </w:rPr>
              <w:t>Տեխնիկական վճակից ելնելով բազմաբնակարան բնակելի շենքերը, բնակարանները, անհատական բնակելի տները բնակության համար ոչ պիտանի ճանաչելու կարգը հաստատելու մասին» ՀՀ կառավարության որոշման ընդունում</w:t>
            </w:r>
            <w:r w:rsidRPr="0053423A">
              <w:rPr>
                <w:b/>
                <w:u w:val="single"/>
                <w:lang w:val="hy-AM"/>
              </w:rPr>
              <w:t xml:space="preserve">» ՀՀ կառավարության որոշման </w:t>
            </w:r>
            <w:r w:rsidRPr="0053423A">
              <w:rPr>
                <w:b/>
                <w:u w:val="single"/>
                <w:lang w:val="af-ZA"/>
              </w:rPr>
              <w:t>նախագծի ներկայացում ՀՀ վարչապետի աշխատա</w:t>
            </w:r>
            <w:r w:rsidRPr="0053423A">
              <w:rPr>
                <w:b/>
                <w:u w:val="single"/>
                <w:lang w:val="af-ZA"/>
              </w:rPr>
              <w:softHyphen/>
              <w:t>կազմ</w:t>
            </w:r>
          </w:p>
          <w:p w:rsidR="00D75F05" w:rsidRPr="0053423A" w:rsidRDefault="00D75F05" w:rsidP="00A67858">
            <w:pPr>
              <w:spacing w:line="276" w:lineRule="auto"/>
              <w:ind w:firstLine="36"/>
              <w:rPr>
                <w:b/>
                <w:lang w:val="af-ZA"/>
              </w:rPr>
            </w:pPr>
          </w:p>
          <w:p w:rsidR="00D75F05" w:rsidRPr="0053423A" w:rsidRDefault="00D75F05" w:rsidP="001F6D5D">
            <w:pPr>
              <w:pStyle w:val="ListParagraph1"/>
              <w:numPr>
                <w:ilvl w:val="0"/>
                <w:numId w:val="311"/>
              </w:numPr>
              <w:tabs>
                <w:tab w:val="left" w:pos="540"/>
                <w:tab w:val="left" w:pos="630"/>
                <w:tab w:val="left" w:pos="810"/>
              </w:tabs>
              <w:spacing w:after="0"/>
              <w:ind w:left="0" w:hanging="630"/>
              <w:contextualSpacing w:val="0"/>
              <w:rPr>
                <w:rFonts w:ascii="GHEA Grapalat" w:eastAsia="Times New Roman" w:hAnsi="GHEA Grapalat"/>
                <w:b/>
                <w:lang w:val="af-ZA" w:eastAsia="ru-RU"/>
              </w:rPr>
            </w:pPr>
            <w:r w:rsidRPr="0053423A">
              <w:rPr>
                <w:rFonts w:ascii="GHEA Grapalat" w:eastAsia="Times New Roman" w:hAnsi="GHEA Grapalat"/>
                <w:b/>
                <w:lang w:val="af-ZA" w:eastAsia="ru-RU"/>
              </w:rPr>
              <w:t>Միջոցառման իրականացման անհրաժեշտությունը և նպատակը</w:t>
            </w:r>
          </w:p>
          <w:p w:rsidR="00D75F05" w:rsidRPr="0053423A" w:rsidRDefault="00D75F05" w:rsidP="00A67858">
            <w:pPr>
              <w:spacing w:line="276" w:lineRule="auto"/>
              <w:ind w:firstLine="540"/>
              <w:jc w:val="both"/>
              <w:rPr>
                <w:rFonts w:cs="Sylfaen"/>
                <w:lang w:val="hy-AM"/>
              </w:rPr>
            </w:pPr>
            <w:r w:rsidRPr="0053423A">
              <w:rPr>
                <w:rFonts w:cs="Sylfaen"/>
                <w:lang w:val="hy-AM"/>
              </w:rPr>
              <w:t>Միջոցառման անհրաժեշտությունը բխում է ՀՀ Սահմանադրություն 82-րդ և 86-րդ հոդվածի 3-րդ և 10-րդ մասերի, «Քաղաքացիական օրենսգրքի» 285-րդ հոդվածի 1-ին մասի, «Քաղաքաշինության մասին» ՀՀ օրենքի    10-րդ հոդվածի «ա» և «ե» մասերի, 10.1 հոդվածի 3-րդ մասի 12-րդ կետի, «Պետական կառավարման համակարգի մարմինների մասին» ՀՀ օրենքի 4-րդ հոդվածի 1-ին մասի դրույթներից և ՀՀ կառավարության ծրագրի 2-րդ մասի «2.2» ուղղության 7-րդ և 10-րդ պարբերությունների պահանջներից:</w:t>
            </w:r>
          </w:p>
          <w:p w:rsidR="00D75F05" w:rsidRPr="0053423A" w:rsidRDefault="00D75F05" w:rsidP="00A67858">
            <w:pPr>
              <w:spacing w:line="276" w:lineRule="auto"/>
              <w:ind w:firstLine="540"/>
              <w:jc w:val="both"/>
              <w:rPr>
                <w:rFonts w:cs="Sylfaen"/>
                <w:lang w:val="hy-AM"/>
              </w:rPr>
            </w:pPr>
            <w:r w:rsidRPr="0053423A">
              <w:rPr>
                <w:rFonts w:cs="Sylfaen"/>
                <w:lang w:val="hy-AM"/>
              </w:rPr>
              <w:t>Միջոցառման նպատակն է մարդկանց կյանքի, առողջության և շրջակա միջավայրի անվտանգության ապահովումը:</w:t>
            </w:r>
          </w:p>
          <w:p w:rsidR="00D75F05" w:rsidRPr="0053423A" w:rsidRDefault="00D75F05" w:rsidP="00A67858">
            <w:pPr>
              <w:spacing w:line="276" w:lineRule="auto"/>
              <w:ind w:firstLine="540"/>
              <w:jc w:val="both"/>
              <w:rPr>
                <w:rFonts w:cs="Sylfaen"/>
                <w:lang w:val="hy-AM"/>
              </w:rPr>
            </w:pPr>
          </w:p>
          <w:p w:rsidR="00D75F05" w:rsidRPr="0053423A" w:rsidRDefault="00D75F05" w:rsidP="00A67858">
            <w:pPr>
              <w:spacing w:line="276" w:lineRule="auto"/>
              <w:rPr>
                <w:b/>
                <w:lang w:val="hy-AM"/>
              </w:rPr>
            </w:pPr>
            <w:r w:rsidRPr="0053423A">
              <w:rPr>
                <w:b/>
                <w:lang w:val="hy-AM"/>
              </w:rPr>
              <w:t>1.1 Կարգավորման հարաբերությունների ներկա վիճակը և առկա խնդիրները</w:t>
            </w:r>
          </w:p>
          <w:p w:rsidR="00D75F05" w:rsidRPr="0053423A" w:rsidRDefault="00D75F05" w:rsidP="00A67858">
            <w:pPr>
              <w:spacing w:line="276" w:lineRule="auto"/>
              <w:ind w:firstLine="540"/>
              <w:jc w:val="both"/>
              <w:rPr>
                <w:rFonts w:cs="Sylfaen"/>
                <w:lang w:val="hy-AM"/>
              </w:rPr>
            </w:pPr>
            <w:r w:rsidRPr="0053423A">
              <w:rPr>
                <w:rFonts w:cs="Sylfaen"/>
                <w:lang w:val="hy-AM"/>
              </w:rPr>
              <w:t>Հայաստանում Հանրապետությունում բազմաբնակարան շենքերի պահպանմանը և հուսալի շահագործմանը նպատակաուղղված բավարար և համակարգված մոտեցումներ չեն ցուցաբերվել: Անբավարար են եղել նաև շենքերի ուժեղացման, վերականգնման և սեյսմակայունության բարձրացման ուղղությամբ իրականացված աշխատանքների ծավալները: Քիչ չեն նաև այն շենքերը, որոնցում ընթացիկ վերանորոգում պահանջող առկա թերությունների (ջրամատակարարման կամ ջրահեռացման համակարգերի վնասվածքներ, տանիքի անբավարար տեխնիկական վիճակ, սալվածքի քայքայվածություն և այլն) ոչ ժամանակին վերացումը կամ բնակիչների կողմից կրող կոնստրուկցիաների ձևափոխության և ամբողջականության խախտման (բացվածքների իրականացում, կառուցվածքային կրող տարրերի կոնստրուկտիվ ձևափոխություններ և այլն) անթույլատրելի միջամտությունները շենքերի նախնական սեյսմակայունության մակարդակի նվազեցման պատճառ են դարձել՝ հանգեցնելով անբավարար տեխնիկական վիճակի, իսկ հետագայում՝ հնարավոր վթարների առաջացման:</w:t>
            </w:r>
          </w:p>
          <w:p w:rsidR="00D75F05" w:rsidRPr="0053423A" w:rsidRDefault="00D75F05" w:rsidP="00A67858">
            <w:pPr>
              <w:spacing w:line="276" w:lineRule="auto"/>
              <w:ind w:firstLine="540"/>
              <w:jc w:val="both"/>
              <w:rPr>
                <w:rFonts w:cs="Sylfaen"/>
                <w:lang w:val="hy-AM"/>
              </w:rPr>
            </w:pPr>
            <w:r w:rsidRPr="0053423A">
              <w:rPr>
                <w:rFonts w:cs="Sylfaen"/>
                <w:lang w:val="hy-AM"/>
              </w:rPr>
              <w:t>Արդյունքում, ֆիզիկական մաշվածության, ինչպես նաև զանազան տեխնածին ու արտածին գործոնների ազդեցության հետևանքով շենքերի զգալի մասը հայտնվել է անբավարար կամ վթարային տեխնիկական վիճակում: Նման շենքերը սեյսմակայունության տեսանկյունից հուսալի չեն և դրանց հետագա շահագործումը վտանգավոր է մարդկանց անվտանգության և շրջակա միջավայրի համար:</w:t>
            </w:r>
          </w:p>
          <w:p w:rsidR="00D75F05" w:rsidRPr="0053423A" w:rsidRDefault="00D75F05" w:rsidP="00A67858">
            <w:pPr>
              <w:spacing w:line="276" w:lineRule="auto"/>
              <w:ind w:firstLine="540"/>
              <w:jc w:val="both"/>
              <w:rPr>
                <w:rFonts w:cs="Sylfaen"/>
                <w:lang w:val="hy-AM"/>
              </w:rPr>
            </w:pPr>
            <w:r w:rsidRPr="0053423A">
              <w:rPr>
                <w:rFonts w:cs="Sylfaen"/>
                <w:lang w:val="hy-AM"/>
              </w:rPr>
              <w:t>Ներկայումս շահագործվող շենքերի ու շինությունների մեծ մասի շահագործման սահմանված նորմատիվային ժամկետներն վաղուց լրացել են: Տարբեր վտանգավոր բնական երևույթների և տեխնածին ազդեցությունների հետևանքով առկա է դրանց վնասվածության և ֆիզիկական մաշվածության զգալի աճ: Այդ պատճառով նման շենքերի ու շինությունների բնականոն և հուսալի շահագործումն ապահովելու նպատակով անհրաժեշտ է համակարգված վերահսկողություն իրականացնել դրանց տեխնիկական վիճակի նկատմամբ:</w:t>
            </w:r>
          </w:p>
          <w:p w:rsidR="00D75F05" w:rsidRPr="0053423A" w:rsidRDefault="00D75F05" w:rsidP="00A67858">
            <w:pPr>
              <w:spacing w:line="276" w:lineRule="auto"/>
              <w:ind w:firstLine="567"/>
              <w:rPr>
                <w:b/>
                <w:lang w:val="hy-AM"/>
              </w:rPr>
            </w:pPr>
            <w:r w:rsidRPr="0053423A">
              <w:rPr>
                <w:b/>
                <w:lang w:val="hy-AM"/>
              </w:rPr>
              <w:t>1.2. Առկա խնդիրների առաջարկվող լուծումները</w:t>
            </w:r>
          </w:p>
          <w:p w:rsidR="00D75F05" w:rsidRPr="0053423A" w:rsidRDefault="00D75F05" w:rsidP="00A67858">
            <w:pPr>
              <w:spacing w:line="276" w:lineRule="auto"/>
              <w:ind w:firstLine="540"/>
              <w:jc w:val="both"/>
              <w:rPr>
                <w:rFonts w:cs="Sylfaen"/>
                <w:lang w:val="hy-AM"/>
              </w:rPr>
            </w:pPr>
            <w:r w:rsidRPr="0053423A">
              <w:rPr>
                <w:rFonts w:cs="Sylfaen"/>
                <w:lang w:val="hy-AM"/>
              </w:rPr>
              <w:t>Կարևորելով մարդկանց կյանքի, առողջության և շրջակա միջավայրի անվտանգության ապահովումը՝ առաջարկվում է վթարային վիճակում գտնվող բազմաբնակարան բնակելի շենքերը, բնակարանները, անհատական բնակելի տները բնակության համար ոչ պիտանի ճանաչելու խնդրի իրավական կարգավորումը:</w:t>
            </w:r>
          </w:p>
          <w:p w:rsidR="00D75F05" w:rsidRPr="0053423A" w:rsidRDefault="00D75F05" w:rsidP="00A67858">
            <w:pPr>
              <w:spacing w:line="276" w:lineRule="auto"/>
              <w:ind w:firstLine="567"/>
              <w:rPr>
                <w:b/>
                <w:lang w:val="hy-AM"/>
              </w:rPr>
            </w:pPr>
            <w:r w:rsidRPr="0053423A">
              <w:rPr>
                <w:b/>
                <w:lang w:val="hy-AM"/>
              </w:rPr>
              <w:t>2. Միջոցառման իրականացումից ակնկալվող արդյունքը</w:t>
            </w:r>
          </w:p>
          <w:p w:rsidR="00D75F05" w:rsidRPr="0053423A" w:rsidRDefault="00D75F05" w:rsidP="00A67858">
            <w:pPr>
              <w:spacing w:line="276" w:lineRule="auto"/>
              <w:ind w:firstLine="540"/>
              <w:jc w:val="both"/>
              <w:rPr>
                <w:rFonts w:cs="Sylfaen"/>
                <w:b/>
                <w:lang w:val="af-ZA"/>
              </w:rPr>
            </w:pPr>
            <w:r w:rsidRPr="0053423A">
              <w:rPr>
                <w:rFonts w:cs="Sylfaen"/>
                <w:lang w:val="hy-AM"/>
              </w:rPr>
              <w:t>Միջոցառման իրականացման արդյունքում կապահովվի մարդկանց կյանքի, առողջության և շրջակա միջավայրի անվտանգության իրավական կարգավորումը:</w:t>
            </w:r>
          </w:p>
        </w:tc>
      </w:tr>
      <w:tr w:rsidR="00D75F05" w:rsidRPr="00DE2EFA" w:rsidTr="00D75F05">
        <w:tc>
          <w:tcPr>
            <w:tcW w:w="450" w:type="dxa"/>
          </w:tcPr>
          <w:p w:rsidR="00D75F05" w:rsidRPr="0053423A" w:rsidRDefault="00D75F05" w:rsidP="00A67858">
            <w:pPr>
              <w:pStyle w:val="ListParagraph"/>
              <w:spacing w:line="276" w:lineRule="auto"/>
              <w:ind w:left="0"/>
              <w:jc w:val="center"/>
              <w:rPr>
                <w:rFonts w:cs="Sylfaen"/>
                <w:b/>
                <w:lang w:val="hy-AM"/>
              </w:rPr>
            </w:pPr>
            <w:r w:rsidRPr="0053423A">
              <w:rPr>
                <w:rFonts w:cs="Sylfaen"/>
                <w:b/>
                <w:lang w:val="hy-AM"/>
              </w:rPr>
              <w:t>9</w:t>
            </w:r>
          </w:p>
        </w:tc>
        <w:tc>
          <w:tcPr>
            <w:tcW w:w="11160" w:type="dxa"/>
          </w:tcPr>
          <w:p w:rsidR="00D75F05" w:rsidRPr="0053423A" w:rsidRDefault="00D75F05" w:rsidP="00A67858">
            <w:pPr>
              <w:tabs>
                <w:tab w:val="left" w:pos="0"/>
              </w:tabs>
              <w:spacing w:line="276" w:lineRule="auto"/>
              <w:ind w:left="72" w:right="101"/>
              <w:jc w:val="center"/>
              <w:rPr>
                <w:b/>
                <w:lang w:val="af-ZA"/>
              </w:rPr>
            </w:pPr>
            <w:r w:rsidRPr="0053423A">
              <w:rPr>
                <w:b/>
                <w:lang w:val="af-ZA"/>
              </w:rPr>
              <w:t>Բազմաբնակարան շենքերի պահպանման, շահագործման, ադիականացման հետ կապված հարցերի կանոնակարգում</w:t>
            </w:r>
          </w:p>
          <w:p w:rsidR="00D75F05" w:rsidRPr="0053423A" w:rsidRDefault="00D75F05" w:rsidP="00A67858">
            <w:pPr>
              <w:tabs>
                <w:tab w:val="left" w:pos="0"/>
                <w:tab w:val="left" w:pos="72"/>
              </w:tabs>
              <w:spacing w:line="276" w:lineRule="auto"/>
              <w:ind w:left="72" w:right="101"/>
              <w:jc w:val="center"/>
              <w:rPr>
                <w:rFonts w:cs="GHEA Grapalat"/>
                <w:b/>
                <w:bCs/>
                <w:spacing w:val="-4"/>
                <w:lang w:val="af-ZA"/>
              </w:rPr>
            </w:pPr>
          </w:p>
          <w:p w:rsidR="00D75F05" w:rsidRPr="0053423A" w:rsidRDefault="00D75F05" w:rsidP="00A67858">
            <w:pPr>
              <w:pStyle w:val="ListParagraph1"/>
              <w:tabs>
                <w:tab w:val="left" w:pos="0"/>
                <w:tab w:val="left" w:pos="72"/>
                <w:tab w:val="left" w:pos="540"/>
                <w:tab w:val="left" w:pos="900"/>
                <w:tab w:val="left" w:pos="9387"/>
              </w:tabs>
              <w:spacing w:after="0"/>
              <w:ind w:left="0" w:right="101"/>
              <w:jc w:val="center"/>
              <w:rPr>
                <w:rFonts w:ascii="GHEA Grapalat" w:hAnsi="GHEA Grapalat"/>
                <w:b/>
                <w:u w:val="single"/>
                <w:lang w:val="af-ZA"/>
              </w:rPr>
            </w:pPr>
            <w:r w:rsidRPr="0053423A">
              <w:rPr>
                <w:rFonts w:ascii="GHEA Grapalat" w:hAnsi="GHEA Grapalat"/>
                <w:b/>
                <w:u w:val="single"/>
                <w:lang w:val="af-ZA"/>
              </w:rPr>
              <w:t>9.1</w:t>
            </w:r>
            <w:r w:rsidRPr="0053423A">
              <w:rPr>
                <w:rFonts w:ascii="GHEA Grapalat" w:hAnsi="GHEA Grapalat"/>
                <w:b/>
                <w:u w:val="single"/>
                <w:lang w:val="hy-AM"/>
              </w:rPr>
              <w:t xml:space="preserve"> </w:t>
            </w:r>
            <w:r w:rsidRPr="0053423A">
              <w:rPr>
                <w:rFonts w:ascii="GHEA Grapalat" w:hAnsi="GHEA Grapalat"/>
                <w:b/>
                <w:u w:val="single"/>
                <w:lang w:val="af-ZA"/>
              </w:rPr>
              <w:t>Բազմաբնակարան շենքերի պահպանման և շահագործման, արդիականացման (այդ թվում՝ էներգաարդյունավետության և էներգախնայողության բարձրացման) կանոնների մշակում</w:t>
            </w:r>
          </w:p>
          <w:p w:rsidR="00D75F05" w:rsidRPr="0053423A" w:rsidRDefault="00D75F05" w:rsidP="00A67858">
            <w:pPr>
              <w:pStyle w:val="ListParagraph1"/>
              <w:tabs>
                <w:tab w:val="left" w:pos="0"/>
                <w:tab w:val="left" w:pos="72"/>
                <w:tab w:val="left" w:pos="540"/>
                <w:tab w:val="left" w:pos="900"/>
                <w:tab w:val="left" w:pos="9387"/>
              </w:tabs>
              <w:spacing w:after="0"/>
              <w:ind w:left="0" w:right="101"/>
              <w:rPr>
                <w:rFonts w:ascii="GHEA Grapalat" w:hAnsi="GHEA Grapalat"/>
                <w:b/>
                <w:lang w:val="af-ZA"/>
              </w:rPr>
            </w:pPr>
          </w:p>
          <w:p w:rsidR="00D75F05" w:rsidRPr="0053423A" w:rsidRDefault="00D75F05" w:rsidP="00A67858">
            <w:pPr>
              <w:pStyle w:val="ListParagraph1"/>
              <w:tabs>
                <w:tab w:val="left" w:pos="0"/>
                <w:tab w:val="left" w:pos="72"/>
                <w:tab w:val="left" w:pos="540"/>
                <w:tab w:val="left" w:pos="900"/>
                <w:tab w:val="left" w:pos="9387"/>
              </w:tabs>
              <w:spacing w:after="0"/>
              <w:ind w:left="0" w:right="101"/>
              <w:rPr>
                <w:rFonts w:ascii="GHEA Grapalat" w:hAnsi="GHEA Grapalat"/>
                <w:b/>
                <w:lang w:val="af-ZA"/>
              </w:rPr>
            </w:pPr>
            <w:r w:rsidRPr="0053423A">
              <w:rPr>
                <w:rFonts w:ascii="GHEA Grapalat" w:hAnsi="GHEA Grapalat"/>
                <w:b/>
                <w:lang w:val="af-ZA"/>
              </w:rPr>
              <w:t xml:space="preserve">1. </w:t>
            </w: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tabs>
                <w:tab w:val="left" w:pos="0"/>
                <w:tab w:val="left" w:pos="72"/>
                <w:tab w:val="left" w:pos="9387"/>
              </w:tabs>
              <w:spacing w:line="276" w:lineRule="auto"/>
              <w:ind w:right="101"/>
              <w:jc w:val="both"/>
              <w:rPr>
                <w:lang w:val="af-ZA"/>
              </w:rPr>
            </w:pPr>
            <w:r w:rsidRPr="0053423A">
              <w:rPr>
                <w:lang w:val="af-ZA"/>
              </w:rPr>
              <w:tab/>
              <w:t xml:space="preserve"> </w:t>
            </w:r>
            <w:r w:rsidRPr="0053423A">
              <w:t>Միջոցառման</w:t>
            </w:r>
            <w:r w:rsidRPr="0053423A">
              <w:rPr>
                <w:lang w:val="af-ZA"/>
              </w:rPr>
              <w:t xml:space="preserve"> </w:t>
            </w:r>
            <w:r w:rsidRPr="0053423A">
              <w:t>անհրաժեշտությունը</w:t>
            </w:r>
            <w:r w:rsidRPr="0053423A">
              <w:rPr>
                <w:lang w:val="af-ZA"/>
              </w:rPr>
              <w:t xml:space="preserve"> </w:t>
            </w:r>
            <w:r w:rsidRPr="0053423A">
              <w:t>բխում</w:t>
            </w:r>
            <w:r w:rsidRPr="0053423A">
              <w:rPr>
                <w:lang w:val="af-ZA"/>
              </w:rPr>
              <w:t xml:space="preserve"> </w:t>
            </w:r>
            <w:r w:rsidRPr="0053423A">
              <w:t>է</w:t>
            </w:r>
            <w:r w:rsidRPr="0053423A">
              <w:rPr>
                <w:lang w:val="af-ZA"/>
              </w:rPr>
              <w:t xml:space="preserve"> Քաղաքաշինության մասին </w:t>
            </w:r>
            <w:r w:rsidRPr="0053423A">
              <w:t>ՀՀ</w:t>
            </w:r>
            <w:r w:rsidRPr="0053423A">
              <w:rPr>
                <w:lang w:val="af-ZA"/>
              </w:rPr>
              <w:t xml:space="preserve"> </w:t>
            </w:r>
            <w:r w:rsidRPr="0053423A">
              <w:t>օրենքի</w:t>
            </w:r>
            <w:r w:rsidRPr="0053423A">
              <w:rPr>
                <w:lang w:val="af-ZA"/>
              </w:rPr>
              <w:t xml:space="preserve"> 10-րդ հոդվածի ա և գ մասերի, 10.1 հոդվածի 3-րդ մասի 12-րդ կետի </w:t>
            </w:r>
            <w:r w:rsidRPr="0053423A">
              <w:t>դրույթներից</w:t>
            </w:r>
            <w:r w:rsidRPr="0053423A">
              <w:rPr>
                <w:lang w:val="af-ZA"/>
              </w:rPr>
              <w:t xml:space="preserve"> </w:t>
            </w:r>
            <w:r w:rsidRPr="0053423A">
              <w:t>և</w:t>
            </w:r>
            <w:r w:rsidRPr="0053423A">
              <w:rPr>
                <w:lang w:val="af-ZA"/>
              </w:rPr>
              <w:t xml:space="preserve"> </w:t>
            </w:r>
            <w:r w:rsidRPr="0053423A">
              <w:t>նպատակը՝</w:t>
            </w:r>
            <w:r w:rsidRPr="0053423A">
              <w:rPr>
                <w:lang w:val="af-ZA"/>
              </w:rPr>
              <w:t xml:space="preserve"> </w:t>
            </w:r>
            <w:r w:rsidRPr="0053423A">
              <w:t>Շենքերի</w:t>
            </w:r>
            <w:r w:rsidRPr="0053423A">
              <w:rPr>
                <w:lang w:val="af-ZA"/>
              </w:rPr>
              <w:t xml:space="preserve"> (</w:t>
            </w:r>
            <w:r w:rsidRPr="0053423A">
              <w:t>այդ</w:t>
            </w:r>
            <w:r w:rsidRPr="0053423A">
              <w:rPr>
                <w:lang w:val="af-ZA"/>
              </w:rPr>
              <w:t xml:space="preserve"> </w:t>
            </w:r>
            <w:r w:rsidRPr="0053423A">
              <w:t>թվում՝</w:t>
            </w:r>
            <w:r w:rsidRPr="0053423A">
              <w:rPr>
                <w:lang w:val="af-ZA"/>
              </w:rPr>
              <w:t xml:space="preserve"> </w:t>
            </w:r>
            <w:r w:rsidRPr="0053423A">
              <w:t>բազմաբնակարան</w:t>
            </w:r>
            <w:r w:rsidRPr="0053423A">
              <w:rPr>
                <w:lang w:val="af-ZA"/>
              </w:rPr>
              <w:t xml:space="preserve"> </w:t>
            </w:r>
            <w:r w:rsidRPr="0053423A">
              <w:t>շենքերի</w:t>
            </w:r>
            <w:r w:rsidRPr="0053423A">
              <w:rPr>
                <w:lang w:val="af-ZA"/>
              </w:rPr>
              <w:t xml:space="preserve">), </w:t>
            </w:r>
            <w:r w:rsidRPr="0053423A">
              <w:t>շինությունների</w:t>
            </w:r>
            <w:r w:rsidRPr="0053423A">
              <w:rPr>
                <w:lang w:val="af-ZA"/>
              </w:rPr>
              <w:t xml:space="preserve"> </w:t>
            </w:r>
            <w:r w:rsidRPr="0053423A">
              <w:t>պահպանման</w:t>
            </w:r>
            <w:r w:rsidRPr="0053423A">
              <w:rPr>
                <w:lang w:val="af-ZA"/>
              </w:rPr>
              <w:t xml:space="preserve"> </w:t>
            </w:r>
            <w:r w:rsidRPr="0053423A">
              <w:t>և</w:t>
            </w:r>
            <w:r w:rsidRPr="0053423A">
              <w:rPr>
                <w:lang w:val="af-ZA"/>
              </w:rPr>
              <w:t xml:space="preserve"> </w:t>
            </w:r>
            <w:r w:rsidRPr="0053423A">
              <w:t>շահագործման</w:t>
            </w:r>
            <w:r w:rsidRPr="0053423A">
              <w:rPr>
                <w:lang w:val="af-ZA"/>
              </w:rPr>
              <w:t xml:space="preserve">, </w:t>
            </w:r>
            <w:r w:rsidRPr="0053423A">
              <w:t>ինչպես</w:t>
            </w:r>
            <w:r w:rsidRPr="0053423A">
              <w:rPr>
                <w:lang w:val="af-ZA"/>
              </w:rPr>
              <w:t xml:space="preserve"> </w:t>
            </w:r>
            <w:r w:rsidRPr="0053423A">
              <w:t>նաև</w:t>
            </w:r>
            <w:r w:rsidRPr="0053423A">
              <w:rPr>
                <w:lang w:val="af-ZA"/>
              </w:rPr>
              <w:t xml:space="preserve"> </w:t>
            </w:r>
            <w:r w:rsidRPr="0053423A">
              <w:t>դրանց</w:t>
            </w:r>
            <w:r w:rsidRPr="0053423A">
              <w:rPr>
                <w:lang w:val="af-ZA"/>
              </w:rPr>
              <w:t xml:space="preserve"> </w:t>
            </w:r>
            <w:r w:rsidRPr="0053423A">
              <w:t>ադիականացման</w:t>
            </w:r>
            <w:r w:rsidRPr="0053423A">
              <w:rPr>
                <w:lang w:val="af-ZA"/>
              </w:rPr>
              <w:t xml:space="preserve"> (</w:t>
            </w:r>
            <w:r w:rsidRPr="0053423A">
              <w:t>այդ</w:t>
            </w:r>
            <w:r w:rsidRPr="0053423A">
              <w:rPr>
                <w:lang w:val="af-ZA"/>
              </w:rPr>
              <w:t xml:space="preserve"> </w:t>
            </w:r>
            <w:r w:rsidRPr="0053423A">
              <w:t>թվում՝</w:t>
            </w:r>
            <w:r w:rsidRPr="0053423A">
              <w:rPr>
                <w:lang w:val="af-ZA"/>
              </w:rPr>
              <w:t xml:space="preserve"> </w:t>
            </w:r>
            <w:r w:rsidRPr="0053423A">
              <w:t>էներգաարդյունավետության</w:t>
            </w:r>
            <w:r w:rsidRPr="0053423A">
              <w:rPr>
                <w:lang w:val="af-ZA"/>
              </w:rPr>
              <w:t xml:space="preserve"> </w:t>
            </w:r>
            <w:r w:rsidRPr="0053423A">
              <w:t>և</w:t>
            </w:r>
            <w:r w:rsidRPr="0053423A">
              <w:rPr>
                <w:lang w:val="af-ZA"/>
              </w:rPr>
              <w:t xml:space="preserve"> </w:t>
            </w:r>
            <w:r w:rsidRPr="0053423A">
              <w:t>էներգախնայողության</w:t>
            </w:r>
            <w:r w:rsidRPr="0053423A">
              <w:rPr>
                <w:lang w:val="af-ZA"/>
              </w:rPr>
              <w:t xml:space="preserve"> </w:t>
            </w:r>
            <w:r w:rsidRPr="0053423A">
              <w:t>բարձրացման</w:t>
            </w:r>
            <w:r w:rsidRPr="0053423A">
              <w:rPr>
                <w:lang w:val="af-ZA"/>
              </w:rPr>
              <w:t xml:space="preserve">) </w:t>
            </w:r>
            <w:r w:rsidRPr="0053423A">
              <w:t>հետ</w:t>
            </w:r>
            <w:r w:rsidRPr="0053423A">
              <w:rPr>
                <w:lang w:val="af-ZA"/>
              </w:rPr>
              <w:t xml:space="preserve"> </w:t>
            </w:r>
            <w:r w:rsidRPr="0053423A">
              <w:t>կապված</w:t>
            </w:r>
            <w:r w:rsidRPr="0053423A">
              <w:rPr>
                <w:lang w:val="af-ZA"/>
              </w:rPr>
              <w:t xml:space="preserve"> </w:t>
            </w:r>
            <w:r w:rsidRPr="0053423A">
              <w:t>հարցերի</w:t>
            </w:r>
            <w:r w:rsidRPr="0053423A">
              <w:rPr>
                <w:lang w:val="af-ZA"/>
              </w:rPr>
              <w:t xml:space="preserve"> </w:t>
            </w:r>
            <w:r w:rsidRPr="0053423A">
              <w:t>կանոնակարգումն</w:t>
            </w:r>
            <w:r w:rsidRPr="0053423A">
              <w:rPr>
                <w:lang w:val="af-ZA"/>
              </w:rPr>
              <w:t xml:space="preserve"> </w:t>
            </w:r>
            <w:r w:rsidRPr="0053423A">
              <w:t>է</w:t>
            </w:r>
            <w:r w:rsidRPr="0053423A">
              <w:rPr>
                <w:lang w:val="af-ZA"/>
              </w:rPr>
              <w:t>:</w:t>
            </w:r>
          </w:p>
          <w:p w:rsidR="00D75F05" w:rsidRPr="0053423A" w:rsidRDefault="00D75F05" w:rsidP="001F6D5D">
            <w:pPr>
              <w:pStyle w:val="ListParagraph"/>
              <w:numPr>
                <w:ilvl w:val="1"/>
                <w:numId w:val="308"/>
              </w:numPr>
              <w:tabs>
                <w:tab w:val="left" w:pos="0"/>
                <w:tab w:val="left" w:pos="72"/>
                <w:tab w:val="left" w:pos="9387"/>
              </w:tabs>
              <w:spacing w:line="276" w:lineRule="auto"/>
              <w:ind w:right="101"/>
              <w:jc w:val="both"/>
              <w:rPr>
                <w:b/>
                <w:lang w:val="hy-AM"/>
              </w:rPr>
            </w:pPr>
            <w:r w:rsidRPr="0053423A">
              <w:rPr>
                <w:b/>
                <w:lang w:val="hy-AM"/>
              </w:rPr>
              <w:t>Կարգավորման հարաբերությունների ներկա վիճակը և առկա խնդիրները</w:t>
            </w:r>
          </w:p>
          <w:p w:rsidR="00D75F05" w:rsidRPr="0053423A" w:rsidRDefault="00D75F05" w:rsidP="00A67858">
            <w:pPr>
              <w:tabs>
                <w:tab w:val="left" w:pos="-450"/>
                <w:tab w:val="left" w:pos="0"/>
                <w:tab w:val="left" w:pos="72"/>
                <w:tab w:val="left" w:pos="360"/>
                <w:tab w:val="left" w:pos="9387"/>
              </w:tabs>
              <w:spacing w:line="276" w:lineRule="auto"/>
              <w:ind w:right="101"/>
              <w:jc w:val="both"/>
              <w:rPr>
                <w:rFonts w:cs="GHEA Grapalat"/>
                <w:lang w:val="af-ZA"/>
              </w:rPr>
            </w:pPr>
            <w:r w:rsidRPr="0053423A">
              <w:rPr>
                <w:rFonts w:cs="GHEA Grapalat"/>
                <w:lang w:val="pt-BR"/>
              </w:rPr>
              <w:t>Հայաստանի</w:t>
            </w:r>
            <w:r w:rsidRPr="0053423A">
              <w:rPr>
                <w:rFonts w:cs="GHEA Grapalat"/>
                <w:lang w:val="af-ZA"/>
              </w:rPr>
              <w:t xml:space="preserve"> </w:t>
            </w:r>
            <w:r w:rsidRPr="0053423A">
              <w:rPr>
                <w:rFonts w:cs="GHEA Grapalat"/>
                <w:lang w:val="pt-BR"/>
              </w:rPr>
              <w:t>Հանրապետությունում</w:t>
            </w:r>
            <w:r w:rsidRPr="0053423A">
              <w:rPr>
                <w:rFonts w:cs="GHEA Grapalat"/>
                <w:lang w:val="af-ZA"/>
              </w:rPr>
              <w:t xml:space="preserve"> </w:t>
            </w:r>
            <w:r w:rsidRPr="0053423A">
              <w:rPr>
                <w:rFonts w:cs="GHEA Grapalat"/>
                <w:lang w:val="pt-BR"/>
              </w:rPr>
              <w:t>առկա</w:t>
            </w:r>
            <w:r w:rsidRPr="0053423A">
              <w:rPr>
                <w:rFonts w:cs="GHEA Grapalat"/>
                <w:lang w:val="af-ZA"/>
              </w:rPr>
              <w:t xml:space="preserve"> </w:t>
            </w:r>
            <w:r w:rsidRPr="0053423A">
              <w:rPr>
                <w:rFonts w:cs="GHEA Grapalat"/>
                <w:lang w:val="pt-BR"/>
              </w:rPr>
              <w:t>են</w:t>
            </w:r>
            <w:r w:rsidRPr="0053423A">
              <w:rPr>
                <w:rFonts w:cs="GHEA Grapalat"/>
                <w:lang w:val="af-ZA"/>
              </w:rPr>
              <w:t xml:space="preserve"> </w:t>
            </w:r>
            <w:r w:rsidRPr="0053423A">
              <w:rPr>
                <w:rFonts w:cs="GHEA Grapalat"/>
                <w:lang w:val="pt-BR"/>
              </w:rPr>
              <w:t>տարբեր</w:t>
            </w:r>
            <w:r w:rsidRPr="0053423A">
              <w:rPr>
                <w:rFonts w:cs="GHEA Grapalat"/>
                <w:lang w:val="af-ZA"/>
              </w:rPr>
              <w:t xml:space="preserve"> </w:t>
            </w:r>
            <w:r w:rsidRPr="0053423A">
              <w:rPr>
                <w:rFonts w:cs="GHEA Grapalat"/>
                <w:lang w:val="pt-BR"/>
              </w:rPr>
              <w:t>նշանակության</w:t>
            </w:r>
            <w:r w:rsidRPr="0053423A">
              <w:rPr>
                <w:rFonts w:cs="GHEA Grapalat"/>
                <w:lang w:val="af-ZA"/>
              </w:rPr>
              <w:t xml:space="preserve"> </w:t>
            </w:r>
            <w:r w:rsidRPr="0053423A">
              <w:rPr>
                <w:rFonts w:cs="GHEA Grapalat"/>
                <w:lang w:val="pt-BR"/>
              </w:rPr>
              <w:t>ավելի</w:t>
            </w:r>
            <w:r w:rsidRPr="0053423A">
              <w:rPr>
                <w:rFonts w:cs="GHEA Grapalat"/>
                <w:lang w:val="af-ZA"/>
              </w:rPr>
              <w:t xml:space="preserve"> </w:t>
            </w:r>
            <w:r w:rsidRPr="0053423A">
              <w:rPr>
                <w:rFonts w:cs="GHEA Grapalat"/>
                <w:lang w:val="pt-BR"/>
              </w:rPr>
              <w:t>քան</w:t>
            </w:r>
            <w:r w:rsidRPr="0053423A">
              <w:rPr>
                <w:rFonts w:cs="GHEA Grapalat"/>
                <w:lang w:val="af-ZA"/>
              </w:rPr>
              <w:t xml:space="preserve"> 545 </w:t>
            </w:r>
            <w:r w:rsidRPr="0053423A">
              <w:rPr>
                <w:rFonts w:cs="GHEA Grapalat"/>
                <w:lang w:val="pt-BR"/>
              </w:rPr>
              <w:t>հազար</w:t>
            </w:r>
            <w:r w:rsidRPr="0053423A">
              <w:rPr>
                <w:rFonts w:cs="GHEA Grapalat"/>
                <w:lang w:val="af-ZA"/>
              </w:rPr>
              <w:t xml:space="preserve"> </w:t>
            </w:r>
            <w:r w:rsidRPr="0053423A">
              <w:rPr>
                <w:rFonts w:cs="GHEA Grapalat"/>
                <w:lang w:val="pt-BR"/>
              </w:rPr>
              <w:t>շենքեր</w:t>
            </w:r>
            <w:r w:rsidRPr="0053423A">
              <w:rPr>
                <w:rFonts w:cs="GHEA Grapalat"/>
                <w:lang w:val="af-ZA"/>
              </w:rPr>
              <w:t xml:space="preserve"> </w:t>
            </w:r>
            <w:r w:rsidRPr="0053423A">
              <w:rPr>
                <w:rFonts w:cs="GHEA Grapalat"/>
                <w:lang w:val="pt-BR"/>
              </w:rPr>
              <w:t>և</w:t>
            </w:r>
            <w:r w:rsidRPr="0053423A">
              <w:rPr>
                <w:rFonts w:cs="GHEA Grapalat"/>
                <w:lang w:val="af-ZA"/>
              </w:rPr>
              <w:t xml:space="preserve"> </w:t>
            </w:r>
            <w:r w:rsidRPr="0053423A">
              <w:rPr>
                <w:rFonts w:cs="GHEA Grapalat"/>
                <w:lang w:val="pt-BR"/>
              </w:rPr>
              <w:t>շինություններ, որոնցից մոտ 19 հազարը՝ բազմաբնակարան շենքերն են</w:t>
            </w:r>
            <w:r w:rsidRPr="0053423A">
              <w:rPr>
                <w:rFonts w:cs="GHEA Grapalat"/>
                <w:lang w:val="af-ZA"/>
              </w:rPr>
              <w:t xml:space="preserve">: </w:t>
            </w:r>
          </w:p>
          <w:p w:rsidR="00D75F05" w:rsidRPr="0053423A" w:rsidRDefault="00D75F05" w:rsidP="00A67858">
            <w:pPr>
              <w:tabs>
                <w:tab w:val="left" w:pos="-450"/>
                <w:tab w:val="left" w:pos="0"/>
                <w:tab w:val="left" w:pos="72"/>
                <w:tab w:val="left" w:pos="360"/>
                <w:tab w:val="left" w:pos="9387"/>
              </w:tabs>
              <w:spacing w:line="276" w:lineRule="auto"/>
              <w:ind w:right="101"/>
              <w:jc w:val="both"/>
              <w:rPr>
                <w:rFonts w:cs="GHEA Grapalat"/>
                <w:lang w:val="af-ZA"/>
              </w:rPr>
            </w:pPr>
            <w:r w:rsidRPr="0053423A">
              <w:rPr>
                <w:rFonts w:cs="GHEA Grapalat"/>
                <w:lang w:val="af-ZA"/>
              </w:rPr>
              <w:t xml:space="preserve">Բազմաբնակարան շենքերի սեփականատերերի, կամ նրանց կողմից ընտրված՝ կառավարման գործառույթներ իրականացնող անձանց կողմից այդ շենքերի պահպանման և շահագործման աշխատանքները պատշաճ կարգով չեն կազմակերպվում, չեն իրականացվում արդիականացման աշխատանքներ, ինչը հանգեցնում է դրանց շահագործման ժամկետների կրճատմանը, հուսալիության և սպառողական </w:t>
            </w:r>
            <w:r w:rsidRPr="0053423A">
              <w:rPr>
                <w:rFonts w:cs="GHEA Grapalat"/>
              </w:rPr>
              <w:t>հատկանիշների</w:t>
            </w:r>
            <w:r w:rsidRPr="0053423A">
              <w:rPr>
                <w:rFonts w:cs="GHEA Grapalat"/>
                <w:lang w:val="af-ZA"/>
              </w:rPr>
              <w:t xml:space="preserve"> նվազեցմանը:</w:t>
            </w:r>
          </w:p>
          <w:p w:rsidR="00D75F05" w:rsidRPr="0053423A" w:rsidRDefault="00D75F05" w:rsidP="00A67858">
            <w:pPr>
              <w:tabs>
                <w:tab w:val="left" w:pos="-450"/>
                <w:tab w:val="left" w:pos="0"/>
                <w:tab w:val="left" w:pos="72"/>
                <w:tab w:val="left" w:pos="360"/>
                <w:tab w:val="left" w:pos="9387"/>
              </w:tabs>
              <w:spacing w:line="276" w:lineRule="auto"/>
              <w:ind w:right="101"/>
              <w:jc w:val="both"/>
              <w:rPr>
                <w:rFonts w:cs="GHEA Grapalat"/>
                <w:lang w:val="af-ZA"/>
              </w:rPr>
            </w:pPr>
            <w:r w:rsidRPr="0053423A">
              <w:rPr>
                <w:rFonts w:cs="GHEA Grapalat"/>
                <w:lang w:val="af-ZA"/>
              </w:rPr>
              <w:t xml:space="preserve">Վերը նշվածն՝ իր հերթին, հանգեցնում է այդ շենքերի տեխնիկական վիճակի վատթարացմանը, և անդառնալի հետևանքները բացառելու համար անխուսափելի է դառնում այդ դրանց անվտանգ շահագործման և հուսալիության բարձրացման աշխատանքներին պետության մասնակցությունը:  </w:t>
            </w:r>
          </w:p>
          <w:p w:rsidR="00D75F05" w:rsidRPr="0053423A" w:rsidRDefault="00D75F05" w:rsidP="00A67858">
            <w:pPr>
              <w:tabs>
                <w:tab w:val="left" w:pos="0"/>
                <w:tab w:val="left" w:pos="72"/>
                <w:tab w:val="left" w:pos="9387"/>
              </w:tabs>
              <w:spacing w:line="276" w:lineRule="auto"/>
              <w:ind w:right="101"/>
              <w:rPr>
                <w:b/>
                <w:lang w:val="hy-AM"/>
              </w:rPr>
            </w:pPr>
            <w:r w:rsidRPr="0053423A">
              <w:rPr>
                <w:b/>
                <w:lang w:val="af-ZA"/>
              </w:rPr>
              <w:t xml:space="preserve">1.2 </w:t>
            </w:r>
            <w:r w:rsidRPr="0053423A">
              <w:rPr>
                <w:b/>
                <w:lang w:val="hy-AM"/>
              </w:rPr>
              <w:t>Առկա</w:t>
            </w:r>
            <w:r w:rsidRPr="0053423A">
              <w:rPr>
                <w:b/>
                <w:lang w:val="af-ZA"/>
              </w:rPr>
              <w:t xml:space="preserve"> </w:t>
            </w:r>
            <w:r w:rsidRPr="0053423A">
              <w:rPr>
                <w:b/>
                <w:lang w:val="hy-AM"/>
              </w:rPr>
              <w:t>խնդիրների</w:t>
            </w:r>
            <w:r w:rsidRPr="0053423A">
              <w:rPr>
                <w:b/>
                <w:lang w:val="af-ZA"/>
              </w:rPr>
              <w:t xml:space="preserve"> </w:t>
            </w:r>
            <w:r w:rsidRPr="0053423A">
              <w:rPr>
                <w:b/>
                <w:lang w:val="hy-AM"/>
              </w:rPr>
              <w:t>առաջարկվող</w:t>
            </w:r>
            <w:r w:rsidRPr="0053423A">
              <w:rPr>
                <w:b/>
                <w:lang w:val="af-ZA"/>
              </w:rPr>
              <w:t xml:space="preserve"> </w:t>
            </w:r>
            <w:r w:rsidRPr="0053423A">
              <w:rPr>
                <w:b/>
                <w:lang w:val="hy-AM"/>
              </w:rPr>
              <w:t>լուծումները</w:t>
            </w:r>
          </w:p>
          <w:p w:rsidR="00D75F05" w:rsidRPr="0053423A" w:rsidRDefault="00D75F05" w:rsidP="00A67858">
            <w:pPr>
              <w:tabs>
                <w:tab w:val="left" w:pos="0"/>
                <w:tab w:val="left" w:pos="72"/>
                <w:tab w:val="left" w:pos="360"/>
                <w:tab w:val="left" w:pos="9387"/>
              </w:tabs>
              <w:spacing w:line="276" w:lineRule="auto"/>
              <w:ind w:right="101"/>
              <w:jc w:val="both"/>
              <w:rPr>
                <w:rStyle w:val="Emphasis"/>
                <w:rFonts w:cs="GHEA Grapalat"/>
                <w:i w:val="0"/>
                <w:iCs w:val="0"/>
                <w:lang w:val="af-ZA"/>
              </w:rPr>
            </w:pPr>
            <w:r w:rsidRPr="0053423A">
              <w:rPr>
                <w:lang w:val="hy-AM"/>
              </w:rPr>
              <w:t>Բազմաբնակարան</w:t>
            </w:r>
            <w:r w:rsidRPr="0053423A">
              <w:rPr>
                <w:lang w:val="af-ZA"/>
              </w:rPr>
              <w:t xml:space="preserve"> </w:t>
            </w:r>
            <w:r w:rsidRPr="0053423A">
              <w:rPr>
                <w:lang w:val="hy-AM"/>
              </w:rPr>
              <w:t>շենքերի</w:t>
            </w:r>
            <w:r w:rsidRPr="0053423A">
              <w:rPr>
                <w:lang w:val="af-ZA"/>
              </w:rPr>
              <w:t xml:space="preserve"> </w:t>
            </w:r>
            <w:r w:rsidRPr="0053423A">
              <w:rPr>
                <w:lang w:val="hy-AM"/>
              </w:rPr>
              <w:t>պահպանման և շահագործման կանոնների մշակում</w:t>
            </w:r>
            <w:r w:rsidRPr="0053423A">
              <w:rPr>
                <w:lang w:val="af-ZA"/>
              </w:rPr>
              <w:t xml:space="preserve">, </w:t>
            </w:r>
            <w:r w:rsidRPr="0053423A">
              <w:rPr>
                <w:rFonts w:cs="GHEA Grapalat"/>
                <w:lang w:val="af-ZA"/>
              </w:rPr>
              <w:t xml:space="preserve">պահպանման, շահագործման և արդիականացման </w:t>
            </w:r>
            <w:r w:rsidRPr="0053423A">
              <w:rPr>
                <w:lang w:val="af-ZA"/>
              </w:rPr>
              <w:t>(</w:t>
            </w:r>
            <w:r w:rsidRPr="0053423A">
              <w:rPr>
                <w:lang w:val="hy-AM"/>
              </w:rPr>
              <w:t>այդ</w:t>
            </w:r>
            <w:r w:rsidRPr="0053423A">
              <w:rPr>
                <w:lang w:val="af-ZA"/>
              </w:rPr>
              <w:t xml:space="preserve"> </w:t>
            </w:r>
            <w:r w:rsidRPr="0053423A">
              <w:rPr>
                <w:lang w:val="hy-AM"/>
              </w:rPr>
              <w:t>թվում՝</w:t>
            </w:r>
            <w:r w:rsidRPr="0053423A">
              <w:rPr>
                <w:lang w:val="af-ZA"/>
              </w:rPr>
              <w:t xml:space="preserve"> </w:t>
            </w:r>
            <w:r w:rsidRPr="0053423A">
              <w:rPr>
                <w:lang w:val="hy-AM"/>
              </w:rPr>
              <w:t>էներգաարդյունավետության</w:t>
            </w:r>
            <w:r w:rsidRPr="0053423A">
              <w:rPr>
                <w:lang w:val="af-ZA"/>
              </w:rPr>
              <w:t xml:space="preserve"> </w:t>
            </w:r>
            <w:r w:rsidRPr="0053423A">
              <w:rPr>
                <w:lang w:val="hy-AM"/>
              </w:rPr>
              <w:t>և</w:t>
            </w:r>
            <w:r w:rsidRPr="0053423A">
              <w:rPr>
                <w:lang w:val="af-ZA"/>
              </w:rPr>
              <w:t xml:space="preserve"> </w:t>
            </w:r>
            <w:r w:rsidRPr="0053423A">
              <w:rPr>
                <w:lang w:val="hy-AM"/>
              </w:rPr>
              <w:t>էներգախնայողության</w:t>
            </w:r>
            <w:r w:rsidRPr="0053423A">
              <w:rPr>
                <w:lang w:val="af-ZA"/>
              </w:rPr>
              <w:t xml:space="preserve"> </w:t>
            </w:r>
            <w:r w:rsidRPr="0053423A">
              <w:rPr>
                <w:lang w:val="hy-AM"/>
              </w:rPr>
              <w:t>բարձրացման</w:t>
            </w:r>
            <w:r w:rsidRPr="0053423A">
              <w:rPr>
                <w:lang w:val="af-ZA"/>
              </w:rPr>
              <w:t xml:space="preserve">) </w:t>
            </w:r>
            <w:r w:rsidRPr="0053423A">
              <w:rPr>
                <w:rFonts w:cs="GHEA Grapalat"/>
                <w:lang w:val="af-ZA"/>
              </w:rPr>
              <w:t xml:space="preserve">աշխատանքներին </w:t>
            </w:r>
            <w:r w:rsidRPr="0053423A">
              <w:rPr>
                <w:lang w:val="hy-AM"/>
              </w:rPr>
              <w:t>պետական</w:t>
            </w:r>
            <w:r w:rsidRPr="0053423A">
              <w:rPr>
                <w:lang w:val="af-ZA"/>
              </w:rPr>
              <w:t xml:space="preserve"> </w:t>
            </w:r>
            <w:r w:rsidRPr="0053423A">
              <w:rPr>
                <w:lang w:val="hy-AM"/>
              </w:rPr>
              <w:t>աջակցության</w:t>
            </w:r>
            <w:r w:rsidRPr="0053423A">
              <w:rPr>
                <w:lang w:val="af-ZA"/>
              </w:rPr>
              <w:t xml:space="preserve"> </w:t>
            </w:r>
            <w:r w:rsidRPr="0053423A">
              <w:rPr>
                <w:lang w:val="hy-AM"/>
              </w:rPr>
              <w:t>մոտեցումների</w:t>
            </w:r>
            <w:r w:rsidRPr="0053423A">
              <w:rPr>
                <w:lang w:val="af-ZA"/>
              </w:rPr>
              <w:t xml:space="preserve"> </w:t>
            </w:r>
            <w:r w:rsidRPr="0053423A">
              <w:rPr>
                <w:lang w:val="hy-AM"/>
              </w:rPr>
              <w:t>մշակում</w:t>
            </w:r>
            <w:r w:rsidRPr="0053423A">
              <w:rPr>
                <w:lang w:val="af-ZA"/>
              </w:rPr>
              <w:t xml:space="preserve">, </w:t>
            </w:r>
            <w:r w:rsidRPr="0053423A">
              <w:rPr>
                <w:rStyle w:val="Emphasis"/>
                <w:rFonts w:cs="GHEA Grapalat"/>
                <w:iCs w:val="0"/>
                <w:lang w:val="hy-AM"/>
              </w:rPr>
              <w:t>կառավարման</w:t>
            </w:r>
            <w:r w:rsidRPr="0053423A">
              <w:rPr>
                <w:rStyle w:val="Emphasis"/>
                <w:rFonts w:cs="GHEA Grapalat"/>
                <w:iCs w:val="0"/>
                <w:lang w:val="af-ZA"/>
              </w:rPr>
              <w:t xml:space="preserve"> </w:t>
            </w:r>
            <w:r w:rsidRPr="0053423A">
              <w:rPr>
                <w:rStyle w:val="Emphasis"/>
                <w:rFonts w:cs="GHEA Grapalat"/>
                <w:iCs w:val="0"/>
                <w:lang w:val="hy-AM"/>
              </w:rPr>
              <w:t>գործառույթներ</w:t>
            </w:r>
            <w:r w:rsidRPr="0053423A">
              <w:rPr>
                <w:rStyle w:val="Emphasis"/>
                <w:rFonts w:cs="GHEA Grapalat"/>
                <w:iCs w:val="0"/>
                <w:lang w:val="af-ZA"/>
              </w:rPr>
              <w:t xml:space="preserve"> </w:t>
            </w:r>
            <w:r w:rsidRPr="0053423A">
              <w:rPr>
                <w:rStyle w:val="Emphasis"/>
                <w:rFonts w:cs="GHEA Grapalat"/>
                <w:iCs w:val="0"/>
                <w:lang w:val="hy-AM"/>
              </w:rPr>
              <w:t>իրականացնող</w:t>
            </w:r>
            <w:r w:rsidRPr="0053423A">
              <w:rPr>
                <w:rStyle w:val="Emphasis"/>
                <w:rFonts w:cs="GHEA Grapalat"/>
                <w:iCs w:val="0"/>
                <w:lang w:val="af-ZA"/>
              </w:rPr>
              <w:t xml:space="preserve"> </w:t>
            </w:r>
            <w:r w:rsidRPr="0053423A">
              <w:rPr>
                <w:rStyle w:val="Emphasis"/>
                <w:rFonts w:cs="GHEA Grapalat"/>
                <w:iCs w:val="0"/>
                <w:lang w:val="hy-AM"/>
              </w:rPr>
              <w:t>անձանց</w:t>
            </w:r>
            <w:r w:rsidRPr="0053423A">
              <w:rPr>
                <w:rStyle w:val="Emphasis"/>
                <w:rFonts w:cs="GHEA Grapalat"/>
                <w:iCs w:val="0"/>
                <w:lang w:val="af-ZA"/>
              </w:rPr>
              <w:t xml:space="preserve"> </w:t>
            </w:r>
            <w:r w:rsidRPr="0053423A">
              <w:rPr>
                <w:rFonts w:cs="Sylfaen"/>
                <w:lang w:val="hy-AM"/>
              </w:rPr>
              <w:t>մասնագիտական</w:t>
            </w:r>
            <w:r w:rsidRPr="0053423A">
              <w:rPr>
                <w:rFonts w:cs="Sylfaen"/>
                <w:lang w:val="af-ZA"/>
              </w:rPr>
              <w:t xml:space="preserve"> </w:t>
            </w:r>
            <w:r w:rsidRPr="0053423A">
              <w:rPr>
                <w:rFonts w:cs="Sylfaen"/>
                <w:lang w:val="hy-AM"/>
              </w:rPr>
              <w:t>որակավորման</w:t>
            </w:r>
            <w:r w:rsidRPr="0053423A">
              <w:rPr>
                <w:rStyle w:val="Emphasis"/>
                <w:rFonts w:cs="GHEA Grapalat"/>
                <w:iCs w:val="0"/>
                <w:lang w:val="hy-AM"/>
              </w:rPr>
              <w:t>ը</w:t>
            </w:r>
            <w:r w:rsidRPr="0053423A">
              <w:rPr>
                <w:rStyle w:val="Emphasis"/>
                <w:rFonts w:cs="GHEA Grapalat"/>
                <w:iCs w:val="0"/>
                <w:lang w:val="af-ZA"/>
              </w:rPr>
              <w:t xml:space="preserve"> </w:t>
            </w:r>
            <w:r w:rsidRPr="0053423A">
              <w:rPr>
                <w:rStyle w:val="Emphasis"/>
                <w:rFonts w:cs="GHEA Grapalat"/>
                <w:iCs w:val="0"/>
                <w:lang w:val="hy-AM"/>
              </w:rPr>
              <w:t>ներկայացվող</w:t>
            </w:r>
            <w:r w:rsidRPr="0053423A">
              <w:rPr>
                <w:rStyle w:val="Emphasis"/>
                <w:rFonts w:cs="GHEA Grapalat"/>
                <w:iCs w:val="0"/>
                <w:lang w:val="af-ZA"/>
              </w:rPr>
              <w:t xml:space="preserve"> </w:t>
            </w:r>
            <w:r w:rsidRPr="0053423A">
              <w:rPr>
                <w:rStyle w:val="Emphasis"/>
                <w:rFonts w:cs="GHEA Grapalat"/>
                <w:iCs w:val="0"/>
                <w:lang w:val="hy-AM"/>
              </w:rPr>
              <w:t>պահանջների</w:t>
            </w:r>
            <w:r w:rsidRPr="0053423A">
              <w:rPr>
                <w:rStyle w:val="Emphasis"/>
                <w:rFonts w:cs="GHEA Grapalat"/>
                <w:iCs w:val="0"/>
                <w:lang w:val="af-ZA"/>
              </w:rPr>
              <w:t xml:space="preserve"> </w:t>
            </w:r>
            <w:r w:rsidRPr="0053423A">
              <w:rPr>
                <w:rStyle w:val="Emphasis"/>
                <w:rFonts w:cs="GHEA Grapalat"/>
                <w:iCs w:val="0"/>
                <w:lang w:val="hy-AM"/>
              </w:rPr>
              <w:t>մշակում</w:t>
            </w:r>
            <w:r w:rsidRPr="0053423A">
              <w:rPr>
                <w:rStyle w:val="Emphasis"/>
                <w:rFonts w:cs="GHEA Grapalat"/>
                <w:iCs w:val="0"/>
                <w:lang w:val="af-ZA"/>
              </w:rPr>
              <w:t>:</w:t>
            </w:r>
          </w:p>
          <w:p w:rsidR="00D75F05" w:rsidRPr="0053423A" w:rsidRDefault="00D75F05" w:rsidP="00A67858">
            <w:pPr>
              <w:pStyle w:val="ListParagraph"/>
              <w:tabs>
                <w:tab w:val="left" w:pos="0"/>
                <w:tab w:val="left" w:pos="72"/>
                <w:tab w:val="left" w:pos="9387"/>
              </w:tabs>
              <w:spacing w:line="276" w:lineRule="auto"/>
              <w:ind w:left="0" w:right="101"/>
              <w:jc w:val="both"/>
              <w:rPr>
                <w:b/>
                <w:lang w:val="hy-AM"/>
              </w:rPr>
            </w:pPr>
            <w:r w:rsidRPr="0053423A">
              <w:rPr>
                <w:b/>
                <w:lang w:val="af-ZA"/>
              </w:rPr>
              <w:t xml:space="preserve">2. </w:t>
            </w:r>
            <w:r w:rsidRPr="0053423A">
              <w:rPr>
                <w:b/>
                <w:lang w:val="hy-AM"/>
              </w:rPr>
              <w:t>Միջոցառման</w:t>
            </w:r>
            <w:r w:rsidRPr="0053423A">
              <w:rPr>
                <w:b/>
                <w:lang w:val="af-ZA"/>
              </w:rPr>
              <w:t xml:space="preserve"> </w:t>
            </w:r>
            <w:r w:rsidRPr="0053423A">
              <w:rPr>
                <w:b/>
                <w:lang w:val="hy-AM"/>
              </w:rPr>
              <w:t>իրականացումից</w:t>
            </w:r>
            <w:r w:rsidRPr="0053423A">
              <w:rPr>
                <w:b/>
                <w:lang w:val="af-ZA"/>
              </w:rPr>
              <w:t xml:space="preserve"> </w:t>
            </w:r>
            <w:r w:rsidRPr="0053423A">
              <w:rPr>
                <w:b/>
                <w:lang w:val="hy-AM"/>
              </w:rPr>
              <w:t>ակնկալվող</w:t>
            </w:r>
            <w:r w:rsidRPr="0053423A">
              <w:rPr>
                <w:b/>
                <w:lang w:val="af-ZA"/>
              </w:rPr>
              <w:t xml:space="preserve"> </w:t>
            </w:r>
            <w:r w:rsidRPr="0053423A">
              <w:rPr>
                <w:b/>
                <w:lang w:val="hy-AM"/>
              </w:rPr>
              <w:t>արդյունքը</w:t>
            </w:r>
          </w:p>
          <w:p w:rsidR="00D75F05" w:rsidRPr="0053423A" w:rsidRDefault="00D75F05" w:rsidP="00A67858">
            <w:pPr>
              <w:tabs>
                <w:tab w:val="left" w:pos="0"/>
                <w:tab w:val="left" w:pos="72"/>
                <w:tab w:val="left" w:pos="180"/>
                <w:tab w:val="left" w:pos="9387"/>
              </w:tabs>
              <w:spacing w:line="276" w:lineRule="auto"/>
              <w:ind w:right="101"/>
              <w:jc w:val="both"/>
              <w:rPr>
                <w:lang w:val="af-ZA"/>
              </w:rPr>
            </w:pPr>
            <w:r w:rsidRPr="0053423A">
              <w:rPr>
                <w:lang w:val="af-ZA"/>
              </w:rPr>
              <w:tab/>
              <w:t>Բ</w:t>
            </w:r>
            <w:r w:rsidRPr="0053423A">
              <w:t>ազմաբնակարան</w:t>
            </w:r>
            <w:r w:rsidRPr="0053423A">
              <w:rPr>
                <w:lang w:val="af-ZA"/>
              </w:rPr>
              <w:t xml:space="preserve"> </w:t>
            </w:r>
            <w:r w:rsidRPr="0053423A">
              <w:t>շենքերի՝</w:t>
            </w:r>
          </w:p>
          <w:p w:rsidR="00D75F05" w:rsidRPr="0053423A" w:rsidRDefault="00D75F05" w:rsidP="00A67858">
            <w:pPr>
              <w:tabs>
                <w:tab w:val="left" w:pos="0"/>
                <w:tab w:val="left" w:pos="72"/>
                <w:tab w:val="left" w:pos="180"/>
                <w:tab w:val="left" w:pos="9387"/>
              </w:tabs>
              <w:spacing w:line="276" w:lineRule="auto"/>
              <w:ind w:right="101"/>
              <w:jc w:val="both"/>
              <w:rPr>
                <w:rFonts w:cs="GHEA Grapalat"/>
                <w:lang w:val="af-ZA"/>
              </w:rPr>
            </w:pPr>
            <w:r w:rsidRPr="0053423A">
              <w:rPr>
                <w:lang w:val="af-ZA"/>
              </w:rPr>
              <w:tab/>
              <w:t xml:space="preserve">- </w:t>
            </w:r>
            <w:r w:rsidRPr="0053423A">
              <w:t>շահագործման</w:t>
            </w:r>
            <w:r w:rsidRPr="0053423A">
              <w:rPr>
                <w:rFonts w:cs="GHEA Grapalat"/>
                <w:lang w:val="af-ZA"/>
              </w:rPr>
              <w:t xml:space="preserve"> </w:t>
            </w:r>
            <w:r w:rsidRPr="0053423A">
              <w:rPr>
                <w:rFonts w:cs="GHEA Grapalat"/>
              </w:rPr>
              <w:t>ժամկետների</w:t>
            </w:r>
            <w:r w:rsidRPr="0053423A">
              <w:rPr>
                <w:rFonts w:cs="GHEA Grapalat"/>
                <w:lang w:val="af-ZA"/>
              </w:rPr>
              <w:t xml:space="preserve"> </w:t>
            </w:r>
            <w:r w:rsidRPr="0053423A">
              <w:rPr>
                <w:rFonts w:cs="GHEA Grapalat"/>
              </w:rPr>
              <w:t>երկարաձգում</w:t>
            </w:r>
            <w:r w:rsidRPr="0053423A">
              <w:rPr>
                <w:rFonts w:cs="GHEA Grapalat"/>
                <w:lang w:val="af-ZA"/>
              </w:rPr>
              <w:t xml:space="preserve">, </w:t>
            </w:r>
            <w:r w:rsidRPr="0053423A">
              <w:rPr>
                <w:rFonts w:cs="GHEA Grapalat"/>
              </w:rPr>
              <w:t>հուսալիության</w:t>
            </w:r>
            <w:r w:rsidRPr="0053423A">
              <w:rPr>
                <w:rFonts w:cs="GHEA Grapalat"/>
                <w:lang w:val="af-ZA"/>
              </w:rPr>
              <w:t xml:space="preserve">, </w:t>
            </w:r>
            <w:r w:rsidRPr="0053423A">
              <w:rPr>
                <w:rFonts w:cs="GHEA Grapalat"/>
              </w:rPr>
              <w:t>հարմարավետության</w:t>
            </w:r>
            <w:r w:rsidRPr="0053423A">
              <w:rPr>
                <w:rFonts w:cs="GHEA Grapalat"/>
                <w:lang w:val="af-ZA"/>
              </w:rPr>
              <w:t xml:space="preserve"> </w:t>
            </w:r>
            <w:r w:rsidRPr="0053423A">
              <w:rPr>
                <w:rFonts w:cs="GHEA Grapalat"/>
              </w:rPr>
              <w:t>և</w:t>
            </w:r>
            <w:r w:rsidRPr="0053423A">
              <w:rPr>
                <w:rFonts w:cs="GHEA Grapalat"/>
                <w:lang w:val="af-ZA"/>
              </w:rPr>
              <w:t xml:space="preserve"> շահագործման </w:t>
            </w:r>
            <w:r w:rsidRPr="0053423A">
              <w:rPr>
                <w:rFonts w:cs="GHEA Grapalat"/>
              </w:rPr>
              <w:t>սպառողական</w:t>
            </w:r>
            <w:r w:rsidRPr="0053423A">
              <w:rPr>
                <w:rFonts w:cs="GHEA Grapalat"/>
                <w:lang w:val="af-ZA"/>
              </w:rPr>
              <w:t xml:space="preserve"> </w:t>
            </w:r>
            <w:r w:rsidRPr="0053423A">
              <w:rPr>
                <w:rFonts w:cs="GHEA Grapalat"/>
              </w:rPr>
              <w:t>հատկանիշների</w:t>
            </w:r>
            <w:r w:rsidRPr="0053423A">
              <w:rPr>
                <w:rFonts w:cs="GHEA Grapalat"/>
                <w:lang w:val="af-ZA"/>
              </w:rPr>
              <w:t xml:space="preserve"> </w:t>
            </w:r>
            <w:r w:rsidRPr="0053423A">
              <w:rPr>
                <w:rFonts w:cs="GHEA Grapalat"/>
              </w:rPr>
              <w:t>բարձրացում</w:t>
            </w:r>
            <w:r w:rsidRPr="0053423A">
              <w:rPr>
                <w:rFonts w:cs="GHEA Grapalat"/>
                <w:lang w:val="af-ZA"/>
              </w:rPr>
              <w:t xml:space="preserve">, </w:t>
            </w:r>
            <w:r w:rsidRPr="0053423A">
              <w:rPr>
                <w:rFonts w:cs="GHEA Grapalat"/>
              </w:rPr>
              <w:t>էներգետիկ</w:t>
            </w:r>
            <w:r w:rsidRPr="0053423A">
              <w:rPr>
                <w:rFonts w:cs="GHEA Grapalat"/>
                <w:lang w:val="af-ZA"/>
              </w:rPr>
              <w:t xml:space="preserve"> </w:t>
            </w:r>
            <w:r w:rsidRPr="0053423A">
              <w:rPr>
                <w:rFonts w:cs="GHEA Grapalat"/>
              </w:rPr>
              <w:t>ռեսուրսների</w:t>
            </w:r>
            <w:r w:rsidRPr="0053423A">
              <w:rPr>
                <w:rFonts w:cs="GHEA Grapalat"/>
                <w:lang w:val="af-ZA"/>
              </w:rPr>
              <w:t xml:space="preserve"> </w:t>
            </w:r>
            <w:r w:rsidRPr="0053423A">
              <w:rPr>
                <w:rFonts w:cs="GHEA Grapalat"/>
              </w:rPr>
              <w:t>ծախսի</w:t>
            </w:r>
            <w:r w:rsidRPr="0053423A">
              <w:rPr>
                <w:rFonts w:cs="GHEA Grapalat"/>
                <w:lang w:val="af-ZA"/>
              </w:rPr>
              <w:t xml:space="preserve"> </w:t>
            </w:r>
            <w:r w:rsidRPr="0053423A">
              <w:rPr>
                <w:rFonts w:cs="GHEA Grapalat"/>
              </w:rPr>
              <w:t>նվազեցում</w:t>
            </w:r>
            <w:r w:rsidRPr="0053423A">
              <w:rPr>
                <w:rFonts w:cs="GHEA Grapalat"/>
                <w:lang w:val="af-ZA"/>
              </w:rPr>
              <w:t xml:space="preserve">, </w:t>
            </w:r>
          </w:p>
          <w:p w:rsidR="00D75F05" w:rsidRPr="0053423A" w:rsidRDefault="00D75F05" w:rsidP="00A67858">
            <w:pPr>
              <w:tabs>
                <w:tab w:val="left" w:pos="0"/>
                <w:tab w:val="left" w:pos="72"/>
                <w:tab w:val="left" w:pos="180"/>
                <w:tab w:val="left" w:pos="9387"/>
              </w:tabs>
              <w:spacing w:line="276" w:lineRule="auto"/>
              <w:ind w:right="101"/>
              <w:jc w:val="both"/>
              <w:rPr>
                <w:rFonts w:cs="GHEA Grapalat"/>
                <w:lang w:val="af-ZA"/>
              </w:rPr>
            </w:pPr>
            <w:r w:rsidRPr="0053423A">
              <w:rPr>
                <w:rFonts w:cs="GHEA Grapalat"/>
                <w:lang w:val="af-ZA"/>
              </w:rPr>
              <w:tab/>
            </w:r>
            <w:r w:rsidRPr="0053423A">
              <w:rPr>
                <w:lang w:val="af-ZA"/>
              </w:rPr>
              <w:t xml:space="preserve">- </w:t>
            </w:r>
            <w:r w:rsidRPr="0053423A">
              <w:rPr>
                <w:rFonts w:cs="GHEA Grapalat"/>
                <w:lang w:val="af-ZA"/>
              </w:rPr>
              <w:t xml:space="preserve">պահպանման, շահագործման և արդիականացման աշխատանքներին պետության մասնակցության դեպքերի, չափի և ուղղությունների հստակեցում, </w:t>
            </w:r>
          </w:p>
          <w:p w:rsidR="00D75F05" w:rsidRPr="0053423A" w:rsidRDefault="00D75F05" w:rsidP="00A67858">
            <w:pPr>
              <w:tabs>
                <w:tab w:val="left" w:pos="0"/>
                <w:tab w:val="left" w:pos="72"/>
                <w:tab w:val="left" w:pos="180"/>
                <w:tab w:val="left" w:pos="9387"/>
              </w:tabs>
              <w:spacing w:line="276" w:lineRule="auto"/>
              <w:ind w:right="101"/>
              <w:jc w:val="both"/>
              <w:rPr>
                <w:rFonts w:cs="GHEA Grapalat"/>
                <w:lang w:val="af-ZA"/>
              </w:rPr>
            </w:pPr>
            <w:r w:rsidRPr="0053423A">
              <w:rPr>
                <w:rFonts w:cs="GHEA Grapalat"/>
                <w:lang w:val="af-ZA"/>
              </w:rPr>
              <w:tab/>
              <w:t>- պահպանմանն ուղղված՝ կառավարման գործառույթի արդյունավետության բարձրացում:</w:t>
            </w:r>
          </w:p>
          <w:p w:rsidR="00D75F05" w:rsidRPr="0053423A" w:rsidRDefault="00D75F05" w:rsidP="00A67858">
            <w:pPr>
              <w:tabs>
                <w:tab w:val="left" w:pos="0"/>
                <w:tab w:val="left" w:pos="72"/>
                <w:tab w:val="left" w:pos="180"/>
                <w:tab w:val="left" w:pos="9387"/>
              </w:tabs>
              <w:spacing w:line="276" w:lineRule="auto"/>
              <w:ind w:right="101"/>
              <w:jc w:val="both"/>
              <w:rPr>
                <w:rFonts w:cs="GHEA Grapalat"/>
                <w:lang w:val="af-ZA"/>
              </w:rPr>
            </w:pPr>
          </w:p>
          <w:p w:rsidR="00D75F05" w:rsidRPr="0053423A" w:rsidRDefault="00D75F05" w:rsidP="00A67858">
            <w:pPr>
              <w:pStyle w:val="ListParagraph1"/>
              <w:tabs>
                <w:tab w:val="left" w:pos="0"/>
                <w:tab w:val="left" w:pos="72"/>
                <w:tab w:val="left" w:pos="900"/>
                <w:tab w:val="left" w:pos="9387"/>
              </w:tabs>
              <w:spacing w:after="0"/>
              <w:ind w:left="0" w:right="101"/>
              <w:jc w:val="center"/>
              <w:rPr>
                <w:rFonts w:ascii="GHEA Grapalat" w:hAnsi="GHEA Grapalat"/>
                <w:b/>
                <w:u w:val="single"/>
                <w:lang w:val="af-ZA"/>
              </w:rPr>
            </w:pPr>
            <w:r w:rsidRPr="0053423A">
              <w:rPr>
                <w:rFonts w:ascii="GHEA Grapalat" w:hAnsi="GHEA Grapalat"/>
                <w:b/>
                <w:u w:val="single"/>
                <w:lang w:val="af-ZA"/>
              </w:rPr>
              <w:t>9.2</w:t>
            </w:r>
            <w:r w:rsidRPr="0053423A">
              <w:rPr>
                <w:rFonts w:ascii="GHEA Grapalat" w:hAnsi="GHEA Grapalat"/>
                <w:b/>
                <w:u w:val="single"/>
                <w:lang w:val="hy-AM"/>
              </w:rPr>
              <w:t xml:space="preserve"> </w:t>
            </w:r>
            <w:r w:rsidRPr="0053423A">
              <w:rPr>
                <w:rFonts w:ascii="GHEA Grapalat" w:hAnsi="GHEA Grapalat" w:cs="GHEA Grapalat"/>
                <w:b/>
                <w:u w:val="single"/>
                <w:lang w:val="af-ZA"/>
              </w:rPr>
              <w:t></w:t>
            </w:r>
            <w:r w:rsidRPr="0053423A">
              <w:rPr>
                <w:rFonts w:ascii="GHEA Grapalat" w:hAnsi="GHEA Grapalat"/>
                <w:b/>
                <w:u w:val="single"/>
                <w:lang w:val="af-ZA"/>
              </w:rPr>
              <w:t>Բազմաբնակարան շենքի կառավարման մասին ՀՀ օրենքում</w:t>
            </w:r>
            <w:r w:rsidRPr="0053423A">
              <w:rPr>
                <w:rFonts w:ascii="GHEA Grapalat" w:hAnsi="GHEA Grapalat"/>
                <w:b/>
                <w:u w:val="single"/>
                <w:lang w:val="hy-AM"/>
              </w:rPr>
              <w:t xml:space="preserve"> </w:t>
            </w:r>
            <w:r w:rsidRPr="0053423A">
              <w:rPr>
                <w:rFonts w:ascii="GHEA Grapalat" w:hAnsi="GHEA Grapalat"/>
                <w:b/>
                <w:u w:val="single"/>
                <w:lang w:val="af-ZA"/>
              </w:rPr>
              <w:t>փոփոխություններ կատարելու մասին ՀՀ օրենքի նախագծի ներկայացում ՀՀ վարչապետի աշխատա</w:t>
            </w:r>
            <w:r w:rsidRPr="0053423A">
              <w:rPr>
                <w:rFonts w:ascii="GHEA Grapalat" w:hAnsi="GHEA Grapalat"/>
                <w:b/>
                <w:u w:val="single"/>
                <w:lang w:val="af-ZA"/>
              </w:rPr>
              <w:softHyphen/>
              <w:t>կազմ</w:t>
            </w:r>
          </w:p>
          <w:p w:rsidR="00D75F05" w:rsidRPr="0053423A" w:rsidRDefault="00D75F05" w:rsidP="00A67858">
            <w:pPr>
              <w:pStyle w:val="ListParagraph1"/>
              <w:tabs>
                <w:tab w:val="left" w:pos="0"/>
                <w:tab w:val="left" w:pos="72"/>
                <w:tab w:val="left" w:pos="540"/>
                <w:tab w:val="left" w:pos="900"/>
                <w:tab w:val="left" w:pos="9387"/>
              </w:tabs>
              <w:spacing w:after="0"/>
              <w:ind w:left="0" w:right="101"/>
              <w:rPr>
                <w:rFonts w:ascii="GHEA Grapalat" w:hAnsi="GHEA Grapalat"/>
                <w:b/>
                <w:lang w:val="af-ZA"/>
              </w:rPr>
            </w:pPr>
          </w:p>
          <w:p w:rsidR="00D75F05" w:rsidRPr="0053423A" w:rsidRDefault="00D75F05" w:rsidP="00A67858">
            <w:pPr>
              <w:pStyle w:val="ListParagraph1"/>
              <w:tabs>
                <w:tab w:val="left" w:pos="0"/>
                <w:tab w:val="left" w:pos="72"/>
                <w:tab w:val="left" w:pos="540"/>
                <w:tab w:val="left" w:pos="900"/>
                <w:tab w:val="left" w:pos="9387"/>
              </w:tabs>
              <w:spacing w:after="0"/>
              <w:ind w:left="0" w:right="101"/>
              <w:rPr>
                <w:rFonts w:ascii="GHEA Grapalat" w:hAnsi="GHEA Grapalat"/>
                <w:b/>
                <w:lang w:val="af-ZA"/>
              </w:rPr>
            </w:pPr>
            <w:r w:rsidRPr="0053423A">
              <w:rPr>
                <w:rFonts w:ascii="GHEA Grapalat" w:hAnsi="GHEA Grapalat"/>
                <w:b/>
                <w:lang w:val="af-ZA"/>
              </w:rPr>
              <w:t xml:space="preserve">1. </w:t>
            </w: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tabs>
                <w:tab w:val="left" w:pos="0"/>
                <w:tab w:val="left" w:pos="72"/>
                <w:tab w:val="left" w:pos="9387"/>
              </w:tabs>
              <w:spacing w:line="276" w:lineRule="auto"/>
              <w:ind w:right="101"/>
              <w:jc w:val="both"/>
              <w:rPr>
                <w:rFonts w:cs="GHEA Grapalat"/>
                <w:lang w:val="af-ZA"/>
              </w:rPr>
            </w:pPr>
            <w:r w:rsidRPr="0053423A">
              <w:rPr>
                <w:rFonts w:cs="GHEA Grapalat"/>
              </w:rPr>
              <w:t>Միջոցառման</w:t>
            </w:r>
            <w:r w:rsidRPr="0053423A">
              <w:rPr>
                <w:rFonts w:cs="GHEA Grapalat"/>
                <w:lang w:val="af-ZA"/>
              </w:rPr>
              <w:t xml:space="preserve"> </w:t>
            </w:r>
            <w:r w:rsidRPr="0053423A">
              <w:rPr>
                <w:rFonts w:cs="GHEA Grapalat"/>
              </w:rPr>
              <w:t>անհրաժեշտությունը</w:t>
            </w:r>
            <w:r w:rsidRPr="0053423A">
              <w:rPr>
                <w:rFonts w:cs="GHEA Grapalat"/>
                <w:lang w:val="af-ZA"/>
              </w:rPr>
              <w:t xml:space="preserve"> </w:t>
            </w:r>
            <w:r w:rsidRPr="0053423A">
              <w:rPr>
                <w:rFonts w:cs="GHEA Grapalat"/>
              </w:rPr>
              <w:t>բխում</w:t>
            </w:r>
            <w:r w:rsidRPr="0053423A">
              <w:rPr>
                <w:rFonts w:cs="GHEA Grapalat"/>
                <w:lang w:val="af-ZA"/>
              </w:rPr>
              <w:t xml:space="preserve"> </w:t>
            </w:r>
            <w:r w:rsidRPr="0053423A">
              <w:rPr>
                <w:rFonts w:cs="GHEA Grapalat"/>
              </w:rPr>
              <w:t>է</w:t>
            </w:r>
            <w:r w:rsidRPr="0053423A">
              <w:rPr>
                <w:rFonts w:cs="GHEA Grapalat"/>
                <w:lang w:val="af-ZA"/>
              </w:rPr>
              <w:t xml:space="preserve"> </w:t>
            </w:r>
            <w:r w:rsidRPr="0053423A">
              <w:rPr>
                <w:rFonts w:cs="GHEA Grapalat"/>
              </w:rPr>
              <w:t>Քաղաքաշինության</w:t>
            </w:r>
            <w:r w:rsidRPr="0053423A">
              <w:rPr>
                <w:rFonts w:cs="GHEA Grapalat"/>
                <w:lang w:val="af-ZA"/>
              </w:rPr>
              <w:t xml:space="preserve"> </w:t>
            </w:r>
            <w:r w:rsidRPr="0053423A">
              <w:rPr>
                <w:rFonts w:cs="GHEA Grapalat"/>
              </w:rPr>
              <w:t>մասին</w:t>
            </w:r>
            <w:r w:rsidRPr="0053423A">
              <w:rPr>
                <w:rFonts w:cs="GHEA Grapalat"/>
                <w:lang w:val="af-ZA"/>
              </w:rPr>
              <w:t xml:space="preserve"> </w:t>
            </w:r>
            <w:r w:rsidRPr="0053423A">
              <w:rPr>
                <w:rFonts w:cs="GHEA Grapalat"/>
              </w:rPr>
              <w:t>ՀՀ</w:t>
            </w:r>
            <w:r w:rsidRPr="0053423A">
              <w:rPr>
                <w:rFonts w:cs="GHEA Grapalat"/>
                <w:lang w:val="af-ZA"/>
              </w:rPr>
              <w:t xml:space="preserve"> </w:t>
            </w:r>
            <w:r w:rsidRPr="0053423A">
              <w:rPr>
                <w:rFonts w:cs="GHEA Grapalat"/>
              </w:rPr>
              <w:t>օրենքի</w:t>
            </w:r>
            <w:r w:rsidRPr="0053423A">
              <w:rPr>
                <w:rFonts w:cs="GHEA Grapalat"/>
                <w:lang w:val="af-ZA"/>
              </w:rPr>
              <w:t xml:space="preserve"> 10-</w:t>
            </w:r>
            <w:r w:rsidRPr="0053423A">
              <w:rPr>
                <w:rFonts w:cs="GHEA Grapalat"/>
              </w:rPr>
              <w:t>րդ</w:t>
            </w:r>
            <w:r w:rsidRPr="0053423A">
              <w:rPr>
                <w:rFonts w:cs="GHEA Grapalat"/>
                <w:lang w:val="af-ZA"/>
              </w:rPr>
              <w:t xml:space="preserve"> </w:t>
            </w:r>
            <w:r w:rsidRPr="0053423A">
              <w:rPr>
                <w:rFonts w:cs="GHEA Grapalat"/>
              </w:rPr>
              <w:t>հոդվածի</w:t>
            </w:r>
            <w:r w:rsidRPr="0053423A">
              <w:rPr>
                <w:rFonts w:cs="GHEA Grapalat"/>
                <w:lang w:val="af-ZA"/>
              </w:rPr>
              <w:t xml:space="preserve"> 10.1 </w:t>
            </w:r>
            <w:r w:rsidRPr="0053423A">
              <w:rPr>
                <w:rFonts w:cs="GHEA Grapalat"/>
              </w:rPr>
              <w:t>հոդվածի</w:t>
            </w:r>
            <w:r w:rsidRPr="0053423A">
              <w:rPr>
                <w:rFonts w:cs="GHEA Grapalat"/>
                <w:lang w:val="af-ZA"/>
              </w:rPr>
              <w:t xml:space="preserve"> 3-</w:t>
            </w:r>
            <w:r w:rsidRPr="0053423A">
              <w:rPr>
                <w:rFonts w:cs="GHEA Grapalat"/>
              </w:rPr>
              <w:t>րդ</w:t>
            </w:r>
            <w:r w:rsidRPr="0053423A">
              <w:rPr>
                <w:rFonts w:cs="GHEA Grapalat"/>
                <w:lang w:val="af-ZA"/>
              </w:rPr>
              <w:t xml:space="preserve"> </w:t>
            </w:r>
            <w:r w:rsidRPr="0053423A">
              <w:rPr>
                <w:rFonts w:cs="GHEA Grapalat"/>
              </w:rPr>
              <w:t>մասի</w:t>
            </w:r>
            <w:r w:rsidRPr="0053423A">
              <w:rPr>
                <w:rFonts w:cs="GHEA Grapalat"/>
                <w:lang w:val="af-ZA"/>
              </w:rPr>
              <w:t xml:space="preserve"> 12-</w:t>
            </w:r>
            <w:r w:rsidRPr="0053423A">
              <w:rPr>
                <w:rFonts w:cs="GHEA Grapalat"/>
              </w:rPr>
              <w:t>րդ</w:t>
            </w:r>
            <w:r w:rsidRPr="0053423A">
              <w:rPr>
                <w:rFonts w:cs="GHEA Grapalat"/>
                <w:lang w:val="af-ZA"/>
              </w:rPr>
              <w:t xml:space="preserve"> </w:t>
            </w:r>
            <w:r w:rsidRPr="0053423A">
              <w:rPr>
                <w:rFonts w:cs="GHEA Grapalat"/>
              </w:rPr>
              <w:t>կետի</w:t>
            </w:r>
            <w:r w:rsidRPr="0053423A">
              <w:rPr>
                <w:rFonts w:cs="GHEA Grapalat"/>
                <w:lang w:val="af-ZA"/>
              </w:rPr>
              <w:t xml:space="preserve"> </w:t>
            </w:r>
            <w:r w:rsidRPr="0053423A">
              <w:rPr>
                <w:rFonts w:cs="GHEA Grapalat"/>
              </w:rPr>
              <w:t>դրույթներից</w:t>
            </w:r>
            <w:r w:rsidRPr="0053423A">
              <w:rPr>
                <w:rFonts w:cs="GHEA Grapalat"/>
                <w:lang w:val="af-ZA"/>
              </w:rPr>
              <w:t xml:space="preserve"> </w:t>
            </w:r>
            <w:r w:rsidRPr="0053423A">
              <w:rPr>
                <w:rFonts w:cs="GHEA Grapalat"/>
              </w:rPr>
              <w:t>և</w:t>
            </w:r>
            <w:r w:rsidRPr="0053423A">
              <w:rPr>
                <w:rFonts w:cs="GHEA Grapalat"/>
                <w:lang w:val="af-ZA"/>
              </w:rPr>
              <w:t xml:space="preserve"> </w:t>
            </w:r>
            <w:r w:rsidRPr="0053423A">
              <w:rPr>
                <w:rFonts w:cs="GHEA Grapalat"/>
              </w:rPr>
              <w:t>նպատակը</w:t>
            </w:r>
            <w:r w:rsidRPr="0053423A">
              <w:rPr>
                <w:rFonts w:cs="GHEA Grapalat"/>
                <w:lang w:val="af-ZA"/>
              </w:rPr>
              <w:t xml:space="preserve"> </w:t>
            </w:r>
            <w:r w:rsidRPr="0053423A">
              <w:rPr>
                <w:rFonts w:cs="GHEA Grapalat"/>
              </w:rPr>
              <w:t>բազմաբնակարան</w:t>
            </w:r>
            <w:r w:rsidRPr="0053423A">
              <w:rPr>
                <w:rFonts w:cs="GHEA Grapalat"/>
                <w:lang w:val="af-ZA"/>
              </w:rPr>
              <w:t xml:space="preserve"> </w:t>
            </w:r>
            <w:r w:rsidRPr="0053423A">
              <w:rPr>
                <w:rFonts w:cs="GHEA Grapalat"/>
              </w:rPr>
              <w:t>շենքերի</w:t>
            </w:r>
            <w:r w:rsidRPr="0053423A">
              <w:rPr>
                <w:rFonts w:cs="GHEA Grapalat"/>
                <w:lang w:val="af-ZA"/>
              </w:rPr>
              <w:t xml:space="preserve"> </w:t>
            </w:r>
            <w:r w:rsidRPr="0053423A">
              <w:rPr>
                <w:rFonts w:cs="GHEA Grapalat"/>
              </w:rPr>
              <w:t>անվտանգ</w:t>
            </w:r>
            <w:r w:rsidRPr="0053423A">
              <w:rPr>
                <w:rFonts w:cs="GHEA Grapalat"/>
                <w:lang w:val="af-ZA"/>
              </w:rPr>
              <w:t xml:space="preserve"> </w:t>
            </w:r>
            <w:r w:rsidRPr="0053423A">
              <w:rPr>
                <w:rFonts w:cs="GHEA Grapalat"/>
              </w:rPr>
              <w:t>շահագործման</w:t>
            </w:r>
            <w:r w:rsidRPr="0053423A">
              <w:rPr>
                <w:rFonts w:cs="GHEA Grapalat"/>
                <w:lang w:val="af-ZA"/>
              </w:rPr>
              <w:t xml:space="preserve"> </w:t>
            </w:r>
            <w:r w:rsidRPr="0053423A">
              <w:rPr>
                <w:rFonts w:cs="GHEA Grapalat"/>
              </w:rPr>
              <w:t>ապահովմանն</w:t>
            </w:r>
            <w:r w:rsidRPr="0053423A">
              <w:rPr>
                <w:rFonts w:cs="GHEA Grapalat"/>
                <w:lang w:val="af-ZA"/>
              </w:rPr>
              <w:t xml:space="preserve"> </w:t>
            </w:r>
            <w:r w:rsidRPr="0053423A">
              <w:rPr>
                <w:rFonts w:cs="GHEA Grapalat"/>
              </w:rPr>
              <w:t>ուղղված</w:t>
            </w:r>
            <w:r w:rsidRPr="0053423A">
              <w:rPr>
                <w:rFonts w:cs="GHEA Grapalat"/>
                <w:lang w:val="af-ZA"/>
              </w:rPr>
              <w:t xml:space="preserve"> </w:t>
            </w:r>
            <w:r w:rsidRPr="0053423A">
              <w:rPr>
                <w:rFonts w:cs="GHEA Grapalat"/>
              </w:rPr>
              <w:t>գործառույթի՝</w:t>
            </w:r>
            <w:r w:rsidRPr="0053423A">
              <w:rPr>
                <w:rFonts w:cs="GHEA Grapalat"/>
                <w:lang w:val="af-ZA"/>
              </w:rPr>
              <w:t xml:space="preserve"> </w:t>
            </w:r>
            <w:r w:rsidRPr="0053423A">
              <w:rPr>
                <w:rFonts w:cs="GHEA Grapalat"/>
              </w:rPr>
              <w:t>բազմաբնակարան</w:t>
            </w:r>
            <w:r w:rsidRPr="0053423A">
              <w:rPr>
                <w:rFonts w:cs="GHEA Grapalat"/>
                <w:lang w:val="af-ZA"/>
              </w:rPr>
              <w:t xml:space="preserve"> </w:t>
            </w:r>
            <w:r w:rsidRPr="0053423A">
              <w:rPr>
                <w:rFonts w:cs="GHEA Grapalat"/>
              </w:rPr>
              <w:t>շենքի</w:t>
            </w:r>
            <w:r w:rsidRPr="0053423A">
              <w:rPr>
                <w:rFonts w:cs="GHEA Grapalat"/>
                <w:lang w:val="af-ZA"/>
              </w:rPr>
              <w:t xml:space="preserve"> </w:t>
            </w:r>
            <w:r w:rsidRPr="0053423A">
              <w:rPr>
                <w:rFonts w:cs="GHEA Grapalat"/>
              </w:rPr>
              <w:t>կառավարման</w:t>
            </w:r>
            <w:r w:rsidRPr="0053423A">
              <w:rPr>
                <w:rFonts w:cs="GHEA Grapalat"/>
                <w:lang w:val="af-ZA"/>
              </w:rPr>
              <w:t xml:space="preserve"> </w:t>
            </w:r>
            <w:r w:rsidRPr="0053423A">
              <w:rPr>
                <w:rFonts w:cs="GHEA Grapalat"/>
              </w:rPr>
              <w:t>հետ</w:t>
            </w:r>
            <w:r w:rsidRPr="0053423A">
              <w:rPr>
                <w:rFonts w:cs="GHEA Grapalat"/>
                <w:lang w:val="af-ZA"/>
              </w:rPr>
              <w:t xml:space="preserve"> </w:t>
            </w:r>
            <w:r w:rsidRPr="0053423A">
              <w:rPr>
                <w:rFonts w:cs="GHEA Grapalat"/>
              </w:rPr>
              <w:t>կապված</w:t>
            </w:r>
            <w:r w:rsidRPr="0053423A">
              <w:rPr>
                <w:rFonts w:cs="GHEA Grapalat"/>
                <w:lang w:val="af-ZA"/>
              </w:rPr>
              <w:t xml:space="preserve"> կարգավորումների բարելավումն է: </w:t>
            </w:r>
          </w:p>
          <w:p w:rsidR="00D75F05" w:rsidRPr="0053423A" w:rsidRDefault="00D75F05" w:rsidP="001F6D5D">
            <w:pPr>
              <w:pStyle w:val="ListParagraph"/>
              <w:numPr>
                <w:ilvl w:val="1"/>
                <w:numId w:val="308"/>
              </w:numPr>
              <w:tabs>
                <w:tab w:val="left" w:pos="0"/>
                <w:tab w:val="left" w:pos="72"/>
                <w:tab w:val="left" w:pos="450"/>
                <w:tab w:val="left" w:pos="540"/>
                <w:tab w:val="left" w:pos="9387"/>
              </w:tabs>
              <w:spacing w:line="276" w:lineRule="auto"/>
              <w:ind w:left="0" w:right="101" w:firstLine="0"/>
              <w:jc w:val="both"/>
              <w:rPr>
                <w:b/>
                <w:lang w:val="hy-AM"/>
              </w:rPr>
            </w:pPr>
            <w:r w:rsidRPr="0053423A">
              <w:rPr>
                <w:rFonts w:cs="Sylfaen"/>
                <w:b/>
                <w:lang w:val="hy-AM"/>
              </w:rPr>
              <w:t>Կարգավորման</w:t>
            </w:r>
            <w:r w:rsidRPr="0053423A">
              <w:rPr>
                <w:b/>
                <w:lang w:val="hy-AM"/>
              </w:rPr>
              <w:t xml:space="preserve"> </w:t>
            </w:r>
            <w:r w:rsidRPr="0053423A">
              <w:rPr>
                <w:rFonts w:cs="Sylfaen"/>
                <w:b/>
                <w:lang w:val="hy-AM"/>
              </w:rPr>
              <w:t>հարաբերությունների</w:t>
            </w:r>
            <w:r w:rsidRPr="0053423A">
              <w:rPr>
                <w:b/>
                <w:lang w:val="hy-AM"/>
              </w:rPr>
              <w:t xml:space="preserve"> </w:t>
            </w:r>
            <w:r w:rsidRPr="0053423A">
              <w:rPr>
                <w:rFonts w:cs="Sylfaen"/>
                <w:b/>
                <w:lang w:val="hy-AM"/>
              </w:rPr>
              <w:t>ներկա</w:t>
            </w:r>
            <w:r w:rsidRPr="0053423A">
              <w:rPr>
                <w:b/>
                <w:lang w:val="hy-AM"/>
              </w:rPr>
              <w:t xml:space="preserve"> </w:t>
            </w:r>
            <w:r w:rsidRPr="0053423A">
              <w:rPr>
                <w:rFonts w:cs="Sylfaen"/>
                <w:b/>
                <w:lang w:val="hy-AM"/>
              </w:rPr>
              <w:t>վիճակը</w:t>
            </w:r>
            <w:r w:rsidRPr="0053423A">
              <w:rPr>
                <w:b/>
                <w:lang w:val="hy-AM"/>
              </w:rPr>
              <w:t xml:space="preserve"> </w:t>
            </w:r>
            <w:r w:rsidRPr="0053423A">
              <w:rPr>
                <w:rFonts w:cs="Sylfaen"/>
                <w:b/>
                <w:lang w:val="hy-AM"/>
              </w:rPr>
              <w:t>և</w:t>
            </w:r>
            <w:r w:rsidRPr="0053423A">
              <w:rPr>
                <w:b/>
                <w:lang w:val="hy-AM"/>
              </w:rPr>
              <w:t xml:space="preserve"> </w:t>
            </w:r>
            <w:r w:rsidRPr="0053423A">
              <w:rPr>
                <w:rFonts w:cs="Sylfaen"/>
                <w:b/>
                <w:lang w:val="hy-AM"/>
              </w:rPr>
              <w:t>առկա</w:t>
            </w:r>
            <w:r w:rsidRPr="0053423A">
              <w:rPr>
                <w:b/>
                <w:lang w:val="hy-AM"/>
              </w:rPr>
              <w:t xml:space="preserve"> </w:t>
            </w:r>
            <w:r w:rsidRPr="0053423A">
              <w:rPr>
                <w:rFonts w:cs="Sylfaen"/>
                <w:b/>
                <w:lang w:val="hy-AM"/>
              </w:rPr>
              <w:t>խնդիրները</w:t>
            </w:r>
          </w:p>
          <w:p w:rsidR="00D75F05" w:rsidRPr="0053423A" w:rsidRDefault="00D75F05" w:rsidP="00A67858">
            <w:pPr>
              <w:tabs>
                <w:tab w:val="left" w:pos="0"/>
                <w:tab w:val="left" w:pos="72"/>
                <w:tab w:val="left" w:pos="9387"/>
                <w:tab w:val="left" w:pos="9953"/>
              </w:tabs>
              <w:spacing w:line="276" w:lineRule="auto"/>
              <w:ind w:right="101"/>
              <w:jc w:val="both"/>
              <w:rPr>
                <w:rFonts w:cs="GHEA Grapalat"/>
                <w:lang w:val="fr-FR"/>
              </w:rPr>
            </w:pPr>
            <w:r w:rsidRPr="0053423A">
              <w:rPr>
                <w:rFonts w:cs="GHEA Grapalat"/>
                <w:lang w:val="hy-AM"/>
              </w:rPr>
              <w:t>«Բազմաբնակարան</w:t>
            </w:r>
            <w:r w:rsidRPr="0053423A">
              <w:rPr>
                <w:rFonts w:cs="GHEA Grapalat"/>
                <w:lang w:val="fr-FR"/>
              </w:rPr>
              <w:t xml:space="preserve"> </w:t>
            </w:r>
            <w:r w:rsidRPr="0053423A">
              <w:rPr>
                <w:rFonts w:cs="GHEA Grapalat"/>
                <w:lang w:val="hy-AM"/>
              </w:rPr>
              <w:t>շենքի</w:t>
            </w:r>
            <w:r w:rsidRPr="0053423A">
              <w:rPr>
                <w:rFonts w:cs="GHEA Grapalat"/>
                <w:lang w:val="fr-FR"/>
              </w:rPr>
              <w:t xml:space="preserve"> </w:t>
            </w:r>
            <w:r w:rsidRPr="0053423A">
              <w:rPr>
                <w:rFonts w:cs="GHEA Grapalat"/>
                <w:lang w:val="hy-AM"/>
              </w:rPr>
              <w:t>կառավարման</w:t>
            </w:r>
            <w:r w:rsidRPr="0053423A">
              <w:rPr>
                <w:rFonts w:cs="GHEA Grapalat"/>
                <w:lang w:val="fr-FR"/>
              </w:rPr>
              <w:t xml:space="preserve"> </w:t>
            </w:r>
            <w:r w:rsidRPr="0053423A">
              <w:rPr>
                <w:rFonts w:cs="GHEA Grapalat"/>
                <w:lang w:val="hy-AM"/>
              </w:rPr>
              <w:t>մասին</w:t>
            </w:r>
            <w:r w:rsidRPr="0053423A">
              <w:rPr>
                <w:rFonts w:cs="GHEA Grapalat"/>
                <w:lang w:val="fr-FR"/>
              </w:rPr>
              <w:t xml:space="preserve">» </w:t>
            </w:r>
            <w:r w:rsidRPr="0053423A">
              <w:rPr>
                <w:rFonts w:cs="GHEA Grapalat"/>
                <w:lang w:val="hy-AM"/>
              </w:rPr>
              <w:t>ՀՀ</w:t>
            </w:r>
            <w:r w:rsidRPr="0053423A">
              <w:rPr>
                <w:rFonts w:cs="GHEA Grapalat"/>
                <w:lang w:val="fr-FR"/>
              </w:rPr>
              <w:t xml:space="preserve"> </w:t>
            </w:r>
            <w:r w:rsidRPr="0053423A">
              <w:rPr>
                <w:rFonts w:cs="GHEA Grapalat"/>
                <w:lang w:val="hy-AM"/>
              </w:rPr>
              <w:t>օրենքն</w:t>
            </w:r>
            <w:r w:rsidRPr="0053423A">
              <w:rPr>
                <w:rFonts w:cs="GHEA Grapalat"/>
                <w:lang w:val="fr-FR"/>
              </w:rPr>
              <w:t xml:space="preserve"> </w:t>
            </w:r>
            <w:r w:rsidRPr="0053423A">
              <w:rPr>
                <w:rFonts w:cs="GHEA Grapalat"/>
                <w:lang w:val="hy-AM"/>
              </w:rPr>
              <w:t>ընդունվել</w:t>
            </w:r>
            <w:r w:rsidRPr="0053423A">
              <w:rPr>
                <w:rFonts w:cs="GHEA Grapalat"/>
                <w:lang w:val="fr-FR"/>
              </w:rPr>
              <w:t xml:space="preserve"> </w:t>
            </w:r>
            <w:r w:rsidRPr="0053423A">
              <w:rPr>
                <w:rFonts w:cs="GHEA Grapalat"/>
                <w:lang w:val="hy-AM"/>
              </w:rPr>
              <w:t>է</w:t>
            </w:r>
            <w:r w:rsidRPr="0053423A">
              <w:rPr>
                <w:rFonts w:cs="GHEA Grapalat"/>
                <w:lang w:val="fr-FR"/>
              </w:rPr>
              <w:t xml:space="preserve"> 2002 </w:t>
            </w:r>
            <w:r w:rsidRPr="0053423A">
              <w:rPr>
                <w:rFonts w:cs="GHEA Grapalat"/>
                <w:lang w:val="hy-AM"/>
              </w:rPr>
              <w:t>թվականին</w:t>
            </w:r>
            <w:r w:rsidRPr="0053423A">
              <w:rPr>
                <w:rFonts w:cs="GHEA Grapalat"/>
                <w:lang w:val="fr-FR"/>
              </w:rPr>
              <w:t xml:space="preserve">, </w:t>
            </w:r>
            <w:r w:rsidRPr="0053423A">
              <w:rPr>
                <w:rFonts w:cs="GHEA Grapalat"/>
                <w:lang w:val="hy-AM"/>
              </w:rPr>
              <w:t>սակայն</w:t>
            </w:r>
            <w:r w:rsidRPr="0053423A">
              <w:rPr>
                <w:rFonts w:cs="GHEA Grapalat"/>
                <w:lang w:val="fr-FR"/>
              </w:rPr>
              <w:t xml:space="preserve"> </w:t>
            </w:r>
            <w:r w:rsidRPr="0053423A">
              <w:rPr>
                <w:rFonts w:cs="GHEA Grapalat"/>
                <w:lang w:val="hy-AM"/>
              </w:rPr>
              <w:t>բազմաբնակարան</w:t>
            </w:r>
            <w:r w:rsidRPr="0053423A">
              <w:rPr>
                <w:rFonts w:cs="GHEA Grapalat"/>
                <w:lang w:val="fr-FR"/>
              </w:rPr>
              <w:t xml:space="preserve"> </w:t>
            </w:r>
            <w:r w:rsidRPr="0053423A">
              <w:rPr>
                <w:rFonts w:cs="GHEA Grapalat"/>
                <w:lang w:val="hy-AM"/>
              </w:rPr>
              <w:t>բնակարանային</w:t>
            </w:r>
            <w:r w:rsidRPr="0053423A">
              <w:rPr>
                <w:rFonts w:cs="GHEA Grapalat"/>
                <w:lang w:val="fr-FR"/>
              </w:rPr>
              <w:t xml:space="preserve"> </w:t>
            </w:r>
            <w:r w:rsidRPr="0053423A">
              <w:rPr>
                <w:rFonts w:cs="GHEA Grapalat"/>
                <w:lang w:val="hy-AM"/>
              </w:rPr>
              <w:t>ֆոնդի</w:t>
            </w:r>
            <w:r w:rsidRPr="0053423A">
              <w:rPr>
                <w:rFonts w:cs="GHEA Grapalat"/>
                <w:lang w:val="fr-FR"/>
              </w:rPr>
              <w:t xml:space="preserve"> կառավարման և </w:t>
            </w:r>
            <w:r w:rsidRPr="0053423A">
              <w:rPr>
                <w:rFonts w:cs="GHEA Grapalat"/>
                <w:lang w:val="hy-AM"/>
              </w:rPr>
              <w:t>պահպանման</w:t>
            </w:r>
            <w:r w:rsidRPr="0053423A">
              <w:rPr>
                <w:rFonts w:cs="GHEA Grapalat"/>
                <w:lang w:val="fr-FR"/>
              </w:rPr>
              <w:t xml:space="preserve"> </w:t>
            </w:r>
            <w:r w:rsidRPr="0053423A">
              <w:rPr>
                <w:rFonts w:cs="GHEA Grapalat"/>
                <w:lang w:val="hy-AM"/>
              </w:rPr>
              <w:t>գործառույթները</w:t>
            </w:r>
            <w:r w:rsidRPr="0053423A">
              <w:rPr>
                <w:rFonts w:cs="GHEA Grapalat"/>
                <w:lang w:val="fr-FR"/>
              </w:rPr>
              <w:t xml:space="preserve"> </w:t>
            </w:r>
            <w:r w:rsidRPr="0053423A">
              <w:rPr>
                <w:rFonts w:cs="GHEA Grapalat"/>
                <w:lang w:val="hy-AM"/>
              </w:rPr>
              <w:t>լիովին</w:t>
            </w:r>
            <w:r w:rsidRPr="0053423A">
              <w:rPr>
                <w:rFonts w:cs="GHEA Grapalat"/>
                <w:lang w:val="fr-FR"/>
              </w:rPr>
              <w:t xml:space="preserve"> </w:t>
            </w:r>
            <w:r w:rsidRPr="0053423A">
              <w:rPr>
                <w:rFonts w:cs="GHEA Grapalat"/>
                <w:lang w:val="hy-AM"/>
              </w:rPr>
              <w:t>չեն</w:t>
            </w:r>
            <w:r w:rsidRPr="0053423A">
              <w:rPr>
                <w:rFonts w:cs="GHEA Grapalat"/>
                <w:lang w:val="fr-FR"/>
              </w:rPr>
              <w:t xml:space="preserve"> </w:t>
            </w:r>
            <w:r w:rsidRPr="0053423A">
              <w:rPr>
                <w:rFonts w:cs="GHEA Grapalat"/>
                <w:lang w:val="hy-AM"/>
              </w:rPr>
              <w:t>իրականացվել</w:t>
            </w:r>
            <w:r w:rsidRPr="0053423A">
              <w:rPr>
                <w:rFonts w:cs="GHEA Grapalat"/>
                <w:lang w:val="fr-FR"/>
              </w:rPr>
              <w:t xml:space="preserve">` </w:t>
            </w:r>
            <w:r w:rsidRPr="0053423A">
              <w:rPr>
                <w:rFonts w:cs="GHEA Grapalat"/>
                <w:lang w:val="hy-AM"/>
              </w:rPr>
              <w:t>հիմնականում</w:t>
            </w:r>
            <w:r w:rsidRPr="0053423A">
              <w:rPr>
                <w:rFonts w:cs="GHEA Grapalat"/>
                <w:lang w:val="fr-FR"/>
              </w:rPr>
              <w:t xml:space="preserve"> </w:t>
            </w:r>
            <w:r w:rsidRPr="0053423A">
              <w:rPr>
                <w:rFonts w:cs="GHEA Grapalat"/>
                <w:lang w:val="hy-AM"/>
              </w:rPr>
              <w:t>պայմանավորված</w:t>
            </w:r>
            <w:r w:rsidRPr="0053423A">
              <w:rPr>
                <w:rFonts w:cs="GHEA Grapalat"/>
                <w:lang w:val="fr-FR"/>
              </w:rPr>
              <w:t xml:space="preserve"> </w:t>
            </w:r>
            <w:r w:rsidRPr="0053423A">
              <w:rPr>
                <w:rFonts w:cs="GHEA Grapalat"/>
                <w:lang w:val="hy-AM"/>
              </w:rPr>
              <w:t>օրենսդրա</w:t>
            </w:r>
            <w:r w:rsidRPr="0053423A">
              <w:rPr>
                <w:rFonts w:cs="GHEA Grapalat"/>
                <w:lang w:val="fr-FR"/>
              </w:rPr>
              <w:softHyphen/>
            </w:r>
            <w:r w:rsidRPr="0053423A">
              <w:rPr>
                <w:rFonts w:cs="GHEA Grapalat"/>
                <w:lang w:val="hy-AM"/>
              </w:rPr>
              <w:t>կան</w:t>
            </w:r>
            <w:r w:rsidRPr="0053423A">
              <w:rPr>
                <w:rFonts w:cs="GHEA Grapalat"/>
                <w:lang w:val="fr-FR"/>
              </w:rPr>
              <w:t xml:space="preserve"> </w:t>
            </w:r>
            <w:r w:rsidRPr="0053423A">
              <w:rPr>
                <w:rFonts w:cs="GHEA Grapalat"/>
                <w:lang w:val="hy-AM"/>
              </w:rPr>
              <w:t>և</w:t>
            </w:r>
            <w:r w:rsidRPr="0053423A">
              <w:rPr>
                <w:rFonts w:cs="GHEA Grapalat"/>
                <w:lang w:val="fr-FR"/>
              </w:rPr>
              <w:t xml:space="preserve"> </w:t>
            </w:r>
            <w:r w:rsidRPr="0053423A">
              <w:rPr>
                <w:rFonts w:cs="GHEA Grapalat"/>
                <w:lang w:val="hy-AM"/>
              </w:rPr>
              <w:t>ինստիտուցիոնալ</w:t>
            </w:r>
            <w:r w:rsidRPr="0053423A">
              <w:rPr>
                <w:rFonts w:cs="GHEA Grapalat"/>
                <w:lang w:val="fr-FR"/>
              </w:rPr>
              <w:t xml:space="preserve"> </w:t>
            </w:r>
            <w:r w:rsidRPr="0053423A">
              <w:rPr>
                <w:rFonts w:cs="GHEA Grapalat"/>
                <w:lang w:val="hy-AM"/>
              </w:rPr>
              <w:t>միջավայրի</w:t>
            </w:r>
            <w:r w:rsidRPr="0053423A">
              <w:rPr>
                <w:rFonts w:cs="GHEA Grapalat"/>
                <w:lang w:val="fr-FR"/>
              </w:rPr>
              <w:t xml:space="preserve"> </w:t>
            </w:r>
            <w:r w:rsidRPr="0053423A">
              <w:rPr>
                <w:rFonts w:cs="GHEA Grapalat"/>
                <w:lang w:val="hy-AM"/>
              </w:rPr>
              <w:t>բացերով</w:t>
            </w:r>
            <w:r w:rsidRPr="0053423A">
              <w:rPr>
                <w:rFonts w:cs="GHEA Grapalat"/>
                <w:lang w:val="fr-FR"/>
              </w:rPr>
              <w:t xml:space="preserve">, </w:t>
            </w:r>
            <w:r w:rsidRPr="0053423A">
              <w:rPr>
                <w:rFonts w:cs="GHEA Grapalat"/>
                <w:lang w:val="hy-AM"/>
              </w:rPr>
              <w:t>ինչպես</w:t>
            </w:r>
            <w:r w:rsidRPr="0053423A">
              <w:rPr>
                <w:rFonts w:cs="GHEA Grapalat"/>
                <w:lang w:val="fr-FR"/>
              </w:rPr>
              <w:t xml:space="preserve"> </w:t>
            </w:r>
            <w:r w:rsidRPr="0053423A">
              <w:rPr>
                <w:rFonts w:cs="GHEA Grapalat"/>
                <w:lang w:val="hy-AM"/>
              </w:rPr>
              <w:t>նաև</w:t>
            </w:r>
            <w:r w:rsidRPr="0053423A">
              <w:rPr>
                <w:rFonts w:cs="GHEA Grapalat"/>
                <w:lang w:val="fr-FR"/>
              </w:rPr>
              <w:t xml:space="preserve"> </w:t>
            </w:r>
            <w:r w:rsidRPr="0053423A">
              <w:rPr>
                <w:rFonts w:cs="GHEA Grapalat"/>
                <w:lang w:val="hy-AM"/>
              </w:rPr>
              <w:t>ֆինանսական</w:t>
            </w:r>
            <w:r w:rsidRPr="0053423A">
              <w:rPr>
                <w:rFonts w:cs="GHEA Grapalat"/>
                <w:lang w:val="fr-FR"/>
              </w:rPr>
              <w:t xml:space="preserve"> </w:t>
            </w:r>
            <w:r w:rsidRPr="0053423A">
              <w:rPr>
                <w:rFonts w:cs="GHEA Grapalat"/>
                <w:lang w:val="hy-AM"/>
              </w:rPr>
              <w:t>ռեսուրսների</w:t>
            </w:r>
            <w:r w:rsidRPr="0053423A">
              <w:rPr>
                <w:rFonts w:cs="GHEA Grapalat"/>
                <w:lang w:val="fr-FR"/>
              </w:rPr>
              <w:t xml:space="preserve"> </w:t>
            </w:r>
            <w:r w:rsidRPr="0053423A">
              <w:rPr>
                <w:rFonts w:cs="GHEA Grapalat"/>
                <w:lang w:val="hy-AM"/>
              </w:rPr>
              <w:t>սահմանափակությամբ</w:t>
            </w:r>
            <w:r w:rsidRPr="0053423A">
              <w:rPr>
                <w:rFonts w:cs="GHEA Grapalat"/>
                <w:lang w:val="fr-FR"/>
              </w:rPr>
              <w:t xml:space="preserve">: </w:t>
            </w:r>
          </w:p>
          <w:p w:rsidR="00D75F05" w:rsidRPr="0053423A" w:rsidRDefault="00D75F05" w:rsidP="00A67858">
            <w:pPr>
              <w:tabs>
                <w:tab w:val="left" w:pos="0"/>
                <w:tab w:val="left" w:pos="72"/>
                <w:tab w:val="left" w:pos="9387"/>
                <w:tab w:val="left" w:pos="9953"/>
              </w:tabs>
              <w:spacing w:line="276" w:lineRule="auto"/>
              <w:ind w:right="101"/>
              <w:jc w:val="both"/>
              <w:rPr>
                <w:rFonts w:cs="GHEA Grapalat"/>
                <w:lang w:val="hy-AM"/>
              </w:rPr>
            </w:pPr>
            <w:r w:rsidRPr="0053423A">
              <w:rPr>
                <w:rFonts w:cs="GHEA Grapalat"/>
                <w:lang w:val="hy-AM"/>
              </w:rPr>
              <w:t>Այդ իսկ պատճառով անհրաժեշտություն է առաջանում կատարել համապատասխան փոփոխություններ և լրացումներ «Բազմաբնակարան շենքի կառավարման մասին» ՀՀ օրենքում, նպատակ ունենալով կարգավորել բնագավառում առկա խնդիրները և իրավահարաբերությունները` տարանջատելով շենքի կառավարման և պահպանման գործառույթները և ամրագրելով բնագավառում գործող բոլոր սուբյեկտների իրավասություններն ու պարտականությունները, պարզեցնել կառավարման մեխանիզը, վերանայել որոշումների կայացման համար անհրաժեշտ ձայների հարաբերակցությունը և այլն:</w:t>
            </w:r>
          </w:p>
          <w:p w:rsidR="00D75F05" w:rsidRPr="0053423A" w:rsidRDefault="00D75F05" w:rsidP="001F6D5D">
            <w:pPr>
              <w:pStyle w:val="ListParagraph"/>
              <w:numPr>
                <w:ilvl w:val="1"/>
                <w:numId w:val="308"/>
              </w:numPr>
              <w:tabs>
                <w:tab w:val="left" w:pos="0"/>
                <w:tab w:val="left" w:pos="72"/>
                <w:tab w:val="left" w:pos="9387"/>
              </w:tabs>
              <w:spacing w:line="276" w:lineRule="auto"/>
              <w:ind w:right="101"/>
              <w:rPr>
                <w:b/>
              </w:rPr>
            </w:pPr>
            <w:r w:rsidRPr="0053423A">
              <w:rPr>
                <w:b/>
                <w:lang w:val="hy-AM"/>
              </w:rPr>
              <w:t>Առկա</w:t>
            </w:r>
            <w:r w:rsidRPr="0053423A">
              <w:rPr>
                <w:b/>
                <w:lang w:val="af-ZA"/>
              </w:rPr>
              <w:t xml:space="preserve"> </w:t>
            </w:r>
            <w:r w:rsidRPr="0053423A">
              <w:rPr>
                <w:b/>
                <w:lang w:val="hy-AM"/>
              </w:rPr>
              <w:t>խնդիրների</w:t>
            </w:r>
            <w:r w:rsidRPr="0053423A">
              <w:rPr>
                <w:b/>
                <w:lang w:val="af-ZA"/>
              </w:rPr>
              <w:t xml:space="preserve"> </w:t>
            </w:r>
            <w:r w:rsidRPr="0053423A">
              <w:rPr>
                <w:b/>
                <w:lang w:val="hy-AM"/>
              </w:rPr>
              <w:t>առաջարկվող</w:t>
            </w:r>
            <w:r w:rsidRPr="0053423A">
              <w:rPr>
                <w:b/>
                <w:lang w:val="af-ZA"/>
              </w:rPr>
              <w:t xml:space="preserve"> </w:t>
            </w:r>
            <w:r w:rsidRPr="0053423A">
              <w:rPr>
                <w:b/>
                <w:lang w:val="hy-AM"/>
              </w:rPr>
              <w:t>լուծումները</w:t>
            </w:r>
          </w:p>
          <w:p w:rsidR="00D75F05" w:rsidRPr="0053423A" w:rsidRDefault="00D75F05" w:rsidP="00A67858">
            <w:pPr>
              <w:tabs>
                <w:tab w:val="left" w:pos="0"/>
                <w:tab w:val="left" w:pos="72"/>
                <w:tab w:val="left" w:pos="9387"/>
              </w:tabs>
              <w:spacing w:line="276" w:lineRule="auto"/>
              <w:ind w:right="101"/>
              <w:jc w:val="both"/>
              <w:rPr>
                <w:rFonts w:cs="GHEA Grapalat"/>
                <w:lang w:val="hy-AM"/>
              </w:rPr>
            </w:pPr>
            <w:r w:rsidRPr="0053423A">
              <w:rPr>
                <w:rFonts w:cs="GHEA Grapalat"/>
                <w:lang w:val="hy-AM"/>
              </w:rPr>
              <w:t>«Բազմաբնակարան շենքի կառավարման մասին» ՀՀ օրենքում փոփոխոթյուններ կատարելու միջոցով`</w:t>
            </w:r>
          </w:p>
          <w:p w:rsidR="00D75F05" w:rsidRPr="0053423A" w:rsidRDefault="00D75F05" w:rsidP="00A67858">
            <w:pPr>
              <w:pStyle w:val="ListParagraph"/>
              <w:tabs>
                <w:tab w:val="left" w:pos="0"/>
                <w:tab w:val="left" w:pos="72"/>
                <w:tab w:val="left" w:pos="9387"/>
              </w:tabs>
              <w:spacing w:line="276" w:lineRule="auto"/>
              <w:ind w:left="0" w:right="101"/>
              <w:jc w:val="both"/>
              <w:rPr>
                <w:rFonts w:cs="GHEA Grapalat"/>
                <w:lang w:val="hy-AM"/>
              </w:rPr>
            </w:pPr>
            <w:r w:rsidRPr="0053423A">
              <w:rPr>
                <w:rFonts w:cs="GHEA Grapalat"/>
                <w:lang w:val="hy-AM"/>
              </w:rPr>
              <w:t>-  սահմանել բազմաբնակարան շենքի կառավարման սկզբունքները.</w:t>
            </w:r>
          </w:p>
          <w:p w:rsidR="00D75F05" w:rsidRPr="0053423A" w:rsidRDefault="00D75F05" w:rsidP="00A67858">
            <w:pPr>
              <w:pStyle w:val="ListParagraph"/>
              <w:tabs>
                <w:tab w:val="left" w:pos="0"/>
                <w:tab w:val="left" w:pos="72"/>
                <w:tab w:val="left" w:pos="9387"/>
              </w:tabs>
              <w:spacing w:line="276" w:lineRule="auto"/>
              <w:ind w:left="0" w:right="101"/>
              <w:jc w:val="both"/>
              <w:rPr>
                <w:rFonts w:cs="GHEA Grapalat"/>
                <w:lang w:val="hy-AM"/>
              </w:rPr>
            </w:pPr>
            <w:r w:rsidRPr="0053423A">
              <w:rPr>
                <w:rFonts w:cs="GHEA Grapalat"/>
                <w:lang w:val="hy-AM"/>
              </w:rPr>
              <w:t>- սահմանել պետական լիազոր մարմնի, տարածքային կառավարման և տեղական ինքնակառավարման մարմինների իրավասությունները.</w:t>
            </w:r>
          </w:p>
          <w:p w:rsidR="00D75F05" w:rsidRPr="0053423A" w:rsidRDefault="00D75F05" w:rsidP="00A67858">
            <w:pPr>
              <w:pStyle w:val="ListParagraph"/>
              <w:tabs>
                <w:tab w:val="left" w:pos="0"/>
                <w:tab w:val="left" w:pos="72"/>
                <w:tab w:val="left" w:pos="9387"/>
              </w:tabs>
              <w:spacing w:line="276" w:lineRule="auto"/>
              <w:ind w:left="0" w:right="101"/>
              <w:jc w:val="both"/>
              <w:rPr>
                <w:rFonts w:cs="GHEA Grapalat"/>
                <w:lang w:val="hy-AM"/>
              </w:rPr>
            </w:pPr>
            <w:r w:rsidRPr="0053423A">
              <w:rPr>
                <w:rFonts w:cs="GHEA Grapalat"/>
                <w:lang w:val="hy-AM"/>
              </w:rPr>
              <w:t xml:space="preserve">- հստակեցնել  բազմաբնակարան շենքի կառավարման և պահպանման գործառույթները, ինչպես նաև ընդհանուր բաժնային սեփականության կառավարմանն ու պահպանմանն առնչվող դրույթները, այդ թվում շենքի կառավարման մարմնի իրավասությունները և լիազորությունները, </w:t>
            </w:r>
          </w:p>
          <w:p w:rsidR="00D75F05" w:rsidRPr="0053423A" w:rsidRDefault="00D75F05" w:rsidP="00A67858">
            <w:pPr>
              <w:pStyle w:val="norm"/>
              <w:tabs>
                <w:tab w:val="left" w:pos="0"/>
                <w:tab w:val="left" w:pos="72"/>
                <w:tab w:val="left" w:pos="900"/>
                <w:tab w:val="left" w:pos="9387"/>
              </w:tabs>
              <w:spacing w:line="276" w:lineRule="auto"/>
              <w:ind w:right="101" w:firstLine="0"/>
              <w:rPr>
                <w:rFonts w:ascii="GHEA Grapalat" w:hAnsi="GHEA Grapalat" w:cs="GHEA Grapalat"/>
                <w:lang w:val="hy-AM"/>
              </w:rPr>
            </w:pPr>
            <w:r w:rsidRPr="0053423A">
              <w:rPr>
                <w:rFonts w:ascii="GHEA Grapalat" w:hAnsi="GHEA Grapalat" w:cs="GHEA Grapalat"/>
                <w:lang w:val="hy-AM"/>
              </w:rPr>
              <w:t>- ամրագրել պարտադիր նորմերը և սահմանել դրանց իրականացման համար շենքի շինությունների սեփականատերերի կողմից վճարման ենթակա գումարների հաշվարկման և վճարման կարգը,  յուրաքանչյուր շենքի համար ընթացիկ և կուտակային հաշվեհամարներ բացելու դրույթները.</w:t>
            </w:r>
          </w:p>
          <w:p w:rsidR="00D75F05" w:rsidRPr="0053423A" w:rsidRDefault="00D75F05" w:rsidP="00A67858">
            <w:pPr>
              <w:tabs>
                <w:tab w:val="left" w:pos="0"/>
                <w:tab w:val="left" w:pos="72"/>
                <w:tab w:val="left" w:pos="3119"/>
                <w:tab w:val="left" w:pos="3402"/>
                <w:tab w:val="left" w:pos="9387"/>
              </w:tabs>
              <w:spacing w:line="276" w:lineRule="auto"/>
              <w:ind w:right="101"/>
              <w:jc w:val="both"/>
              <w:rPr>
                <w:rFonts w:cs="GHEA Grapalat"/>
                <w:lang w:val="hy-AM"/>
              </w:rPr>
            </w:pPr>
            <w:r w:rsidRPr="0053423A">
              <w:rPr>
                <w:rFonts w:cs="GHEA Grapalat"/>
                <w:lang w:val="hy-AM"/>
              </w:rPr>
              <w:t xml:space="preserve">- ամրագրել պետական աջակցության նպատակային ծրագրերի իրականացման վերաբերյալ դրույթներ:  </w:t>
            </w:r>
          </w:p>
          <w:p w:rsidR="00D75F05" w:rsidRPr="0053423A" w:rsidRDefault="00D75F05" w:rsidP="00A67858">
            <w:pPr>
              <w:tabs>
                <w:tab w:val="left" w:pos="0"/>
                <w:tab w:val="left" w:pos="72"/>
                <w:tab w:val="left" w:pos="3119"/>
                <w:tab w:val="left" w:pos="3402"/>
                <w:tab w:val="left" w:pos="9387"/>
              </w:tabs>
              <w:spacing w:line="276" w:lineRule="auto"/>
              <w:ind w:right="101"/>
              <w:jc w:val="both"/>
              <w:rPr>
                <w:rFonts w:cs="GHEA Grapalat"/>
                <w:lang w:val="hy-AM"/>
              </w:rPr>
            </w:pPr>
          </w:p>
          <w:p w:rsidR="00D75F05" w:rsidRPr="0053423A" w:rsidRDefault="00D75F05" w:rsidP="00A67858">
            <w:pPr>
              <w:pStyle w:val="ListParagraph"/>
              <w:tabs>
                <w:tab w:val="left" w:pos="0"/>
                <w:tab w:val="left" w:pos="72"/>
                <w:tab w:val="left" w:pos="9387"/>
              </w:tabs>
              <w:spacing w:line="276" w:lineRule="auto"/>
              <w:ind w:left="0" w:right="101"/>
              <w:jc w:val="both"/>
              <w:rPr>
                <w:b/>
                <w:lang w:val="hy-AM"/>
              </w:rPr>
            </w:pPr>
            <w:r w:rsidRPr="0053423A">
              <w:rPr>
                <w:b/>
                <w:lang w:val="af-ZA"/>
              </w:rPr>
              <w:t xml:space="preserve">2. </w:t>
            </w:r>
            <w:r w:rsidRPr="0053423A">
              <w:rPr>
                <w:b/>
                <w:lang w:val="hy-AM"/>
              </w:rPr>
              <w:t>Միջոցառման</w:t>
            </w:r>
            <w:r w:rsidRPr="0053423A">
              <w:rPr>
                <w:b/>
                <w:lang w:val="af-ZA"/>
              </w:rPr>
              <w:t xml:space="preserve"> </w:t>
            </w:r>
            <w:r w:rsidRPr="0053423A">
              <w:rPr>
                <w:b/>
                <w:lang w:val="hy-AM"/>
              </w:rPr>
              <w:t>իրականացումից</w:t>
            </w:r>
            <w:r w:rsidRPr="0053423A">
              <w:rPr>
                <w:b/>
                <w:lang w:val="af-ZA"/>
              </w:rPr>
              <w:t xml:space="preserve"> </w:t>
            </w:r>
            <w:r w:rsidRPr="0053423A">
              <w:rPr>
                <w:b/>
                <w:lang w:val="hy-AM"/>
              </w:rPr>
              <w:t>ակնկալվող</w:t>
            </w:r>
            <w:r w:rsidRPr="0053423A">
              <w:rPr>
                <w:b/>
                <w:lang w:val="af-ZA"/>
              </w:rPr>
              <w:t xml:space="preserve"> </w:t>
            </w:r>
            <w:r w:rsidRPr="0053423A">
              <w:rPr>
                <w:b/>
                <w:lang w:val="hy-AM"/>
              </w:rPr>
              <w:t>արդյունքը</w:t>
            </w:r>
          </w:p>
          <w:p w:rsidR="00D75F05" w:rsidRPr="0053423A" w:rsidRDefault="00D75F05" w:rsidP="00A67858">
            <w:pPr>
              <w:tabs>
                <w:tab w:val="left" w:pos="0"/>
                <w:tab w:val="left" w:pos="72"/>
                <w:tab w:val="left" w:pos="9387"/>
              </w:tabs>
              <w:spacing w:line="276" w:lineRule="auto"/>
              <w:ind w:right="101"/>
              <w:jc w:val="both"/>
              <w:rPr>
                <w:rFonts w:cs="GHEA Grapalat"/>
                <w:lang w:val="af-ZA"/>
              </w:rPr>
            </w:pPr>
            <w:r w:rsidRPr="0053423A">
              <w:rPr>
                <w:lang w:val="af-ZA"/>
              </w:rPr>
              <w:tab/>
            </w:r>
            <w:r w:rsidRPr="0053423A">
              <w:rPr>
                <w:rFonts w:cs="GHEA Grapalat"/>
                <w:lang w:val="hy-AM"/>
              </w:rPr>
              <w:t>Բազմաբնակարան</w:t>
            </w:r>
            <w:r w:rsidRPr="0053423A">
              <w:rPr>
                <w:rFonts w:cs="GHEA Grapalat"/>
                <w:lang w:val="fr-FR"/>
              </w:rPr>
              <w:t xml:space="preserve"> </w:t>
            </w:r>
            <w:r w:rsidRPr="0053423A">
              <w:rPr>
                <w:rFonts w:cs="GHEA Grapalat"/>
                <w:lang w:val="hy-AM"/>
              </w:rPr>
              <w:t>շենքի</w:t>
            </w:r>
            <w:r w:rsidRPr="0053423A">
              <w:rPr>
                <w:rFonts w:cs="GHEA Grapalat"/>
                <w:lang w:val="fr-FR"/>
              </w:rPr>
              <w:t xml:space="preserve"> </w:t>
            </w:r>
            <w:r w:rsidRPr="0053423A">
              <w:rPr>
                <w:rFonts w:cs="GHEA Grapalat"/>
                <w:lang w:val="hy-AM"/>
              </w:rPr>
              <w:t>ընդհանուր</w:t>
            </w:r>
            <w:r w:rsidRPr="0053423A">
              <w:rPr>
                <w:rFonts w:cs="GHEA Grapalat"/>
                <w:lang w:val="fr-FR"/>
              </w:rPr>
              <w:t xml:space="preserve"> </w:t>
            </w:r>
            <w:r w:rsidRPr="0053423A">
              <w:rPr>
                <w:rFonts w:cs="GHEA Grapalat"/>
                <w:lang w:val="hy-AM"/>
              </w:rPr>
              <w:t>բաժնային</w:t>
            </w:r>
            <w:r w:rsidRPr="0053423A">
              <w:rPr>
                <w:rFonts w:cs="GHEA Grapalat"/>
                <w:lang w:val="fr-FR"/>
              </w:rPr>
              <w:t xml:space="preserve"> </w:t>
            </w:r>
            <w:r w:rsidRPr="0053423A">
              <w:rPr>
                <w:rFonts w:cs="GHEA Grapalat"/>
                <w:lang w:val="hy-AM"/>
              </w:rPr>
              <w:t>սեփականության</w:t>
            </w:r>
            <w:r w:rsidRPr="0053423A">
              <w:rPr>
                <w:rFonts w:cs="GHEA Grapalat"/>
                <w:lang w:val="fr-FR"/>
              </w:rPr>
              <w:t xml:space="preserve"> </w:t>
            </w:r>
            <w:r w:rsidRPr="0053423A">
              <w:rPr>
                <w:rFonts w:cs="GHEA Grapalat"/>
                <w:lang w:val="hy-AM"/>
              </w:rPr>
              <w:t>կառավարմանը</w:t>
            </w:r>
            <w:r w:rsidRPr="0053423A">
              <w:rPr>
                <w:rFonts w:cs="GHEA Grapalat"/>
                <w:lang w:val="fr-FR"/>
              </w:rPr>
              <w:t xml:space="preserve"> </w:t>
            </w:r>
            <w:r w:rsidRPr="0053423A">
              <w:rPr>
                <w:rFonts w:cs="GHEA Grapalat"/>
                <w:lang w:val="hy-AM"/>
              </w:rPr>
              <w:t>սեփականատերերի</w:t>
            </w:r>
            <w:r w:rsidRPr="0053423A">
              <w:rPr>
                <w:rFonts w:cs="GHEA Grapalat"/>
                <w:lang w:val="fr-FR"/>
              </w:rPr>
              <w:t xml:space="preserve"> </w:t>
            </w:r>
            <w:r w:rsidRPr="0053423A">
              <w:rPr>
                <w:rFonts w:cs="GHEA Grapalat"/>
                <w:lang w:val="hy-AM"/>
              </w:rPr>
              <w:t>առավել</w:t>
            </w:r>
            <w:r w:rsidRPr="0053423A">
              <w:rPr>
                <w:rFonts w:cs="GHEA Grapalat"/>
                <w:lang w:val="fr-FR"/>
              </w:rPr>
              <w:t xml:space="preserve"> </w:t>
            </w:r>
            <w:r w:rsidRPr="0053423A">
              <w:rPr>
                <w:rFonts w:cs="GHEA Grapalat"/>
                <w:lang w:val="hy-AM"/>
              </w:rPr>
              <w:t>արդյունավետ</w:t>
            </w:r>
            <w:r w:rsidRPr="0053423A">
              <w:rPr>
                <w:rFonts w:cs="GHEA Grapalat"/>
                <w:lang w:val="fr-FR"/>
              </w:rPr>
              <w:t xml:space="preserve"> </w:t>
            </w:r>
            <w:r w:rsidRPr="0053423A">
              <w:rPr>
                <w:rFonts w:cs="GHEA Grapalat"/>
                <w:lang w:val="hy-AM"/>
              </w:rPr>
              <w:t>մասնակցության</w:t>
            </w:r>
            <w:r w:rsidRPr="0053423A">
              <w:rPr>
                <w:rFonts w:cs="GHEA Grapalat"/>
                <w:lang w:val="af-ZA"/>
              </w:rPr>
              <w:t xml:space="preserve"> </w:t>
            </w:r>
            <w:r w:rsidRPr="0053423A">
              <w:rPr>
                <w:rFonts w:cs="GHEA Grapalat"/>
                <w:lang w:val="hy-AM"/>
              </w:rPr>
              <w:t>բարձրացման</w:t>
            </w:r>
            <w:r w:rsidRPr="0053423A">
              <w:rPr>
                <w:rFonts w:cs="GHEA Grapalat"/>
                <w:lang w:val="fr-FR"/>
              </w:rPr>
              <w:t xml:space="preserve">, </w:t>
            </w:r>
            <w:r w:rsidRPr="0053423A">
              <w:rPr>
                <w:rFonts w:cs="GHEA Grapalat"/>
                <w:lang w:val="hy-AM"/>
              </w:rPr>
              <w:t>կառավարման</w:t>
            </w:r>
            <w:r w:rsidRPr="0053423A">
              <w:rPr>
                <w:rFonts w:cs="GHEA Grapalat"/>
                <w:lang w:val="fr-FR"/>
              </w:rPr>
              <w:t xml:space="preserve"> </w:t>
            </w:r>
            <w:r w:rsidRPr="0053423A">
              <w:rPr>
                <w:rFonts w:cs="GHEA Grapalat"/>
                <w:lang w:val="hy-AM"/>
              </w:rPr>
              <w:t>մարմինների</w:t>
            </w:r>
            <w:r w:rsidRPr="0053423A">
              <w:rPr>
                <w:rFonts w:cs="GHEA Grapalat"/>
                <w:lang w:val="fr-FR"/>
              </w:rPr>
              <w:t xml:space="preserve"> </w:t>
            </w:r>
            <w:r w:rsidRPr="0053423A">
              <w:rPr>
                <w:rFonts w:cs="GHEA Grapalat"/>
                <w:lang w:val="hy-AM"/>
              </w:rPr>
              <w:t>կայացումը</w:t>
            </w:r>
            <w:r w:rsidRPr="0053423A">
              <w:rPr>
                <w:rFonts w:cs="GHEA Grapalat"/>
                <w:lang w:val="fr-FR"/>
              </w:rPr>
              <w:t xml:space="preserve"> </w:t>
            </w:r>
            <w:r w:rsidRPr="0053423A">
              <w:rPr>
                <w:rFonts w:cs="GHEA Grapalat"/>
                <w:lang w:val="hy-AM"/>
              </w:rPr>
              <w:t>և</w:t>
            </w:r>
            <w:r w:rsidRPr="0053423A">
              <w:rPr>
                <w:rFonts w:cs="GHEA Grapalat"/>
                <w:lang w:val="fr-FR"/>
              </w:rPr>
              <w:t xml:space="preserve"> </w:t>
            </w:r>
            <w:r w:rsidRPr="0053423A">
              <w:rPr>
                <w:rFonts w:cs="GHEA Grapalat"/>
                <w:lang w:val="hy-AM"/>
              </w:rPr>
              <w:t>հզորացման</w:t>
            </w:r>
            <w:r w:rsidRPr="0053423A">
              <w:rPr>
                <w:rFonts w:cs="GHEA Grapalat"/>
                <w:lang w:val="fr-FR"/>
              </w:rPr>
              <w:t xml:space="preserve">, ինչպես նաև պետական աջակցության նպատակային ծրագրերի իրականացմամբ </w:t>
            </w:r>
            <w:r w:rsidRPr="0053423A">
              <w:rPr>
                <w:rFonts w:cs="GHEA Grapalat"/>
                <w:lang w:val="hy-AM"/>
              </w:rPr>
              <w:t>բազմաբնակարան</w:t>
            </w:r>
            <w:r w:rsidRPr="0053423A">
              <w:rPr>
                <w:rFonts w:cs="GHEA Grapalat"/>
                <w:lang w:val="fr-FR"/>
              </w:rPr>
              <w:t xml:space="preserve"> </w:t>
            </w:r>
            <w:r w:rsidRPr="0053423A">
              <w:rPr>
                <w:rFonts w:cs="GHEA Grapalat"/>
                <w:lang w:val="hy-AM"/>
              </w:rPr>
              <w:t>շենքերի</w:t>
            </w:r>
            <w:r w:rsidRPr="0053423A">
              <w:rPr>
                <w:rFonts w:cs="GHEA Grapalat"/>
                <w:lang w:val="fr-FR"/>
              </w:rPr>
              <w:t xml:space="preserve"> </w:t>
            </w:r>
            <w:r w:rsidRPr="0053423A">
              <w:rPr>
                <w:rFonts w:cs="GHEA Grapalat"/>
                <w:lang w:val="hy-AM"/>
              </w:rPr>
              <w:t>տեխնիակական</w:t>
            </w:r>
            <w:r w:rsidRPr="0053423A">
              <w:rPr>
                <w:rFonts w:cs="GHEA Grapalat"/>
                <w:lang w:val="fr-FR"/>
              </w:rPr>
              <w:t xml:space="preserve"> </w:t>
            </w:r>
            <w:r w:rsidRPr="0053423A">
              <w:rPr>
                <w:rFonts w:cs="GHEA Grapalat"/>
                <w:lang w:val="hy-AM"/>
              </w:rPr>
              <w:t>վիճակի</w:t>
            </w:r>
            <w:r w:rsidRPr="0053423A">
              <w:rPr>
                <w:rFonts w:cs="GHEA Grapalat"/>
                <w:lang w:val="fr-FR"/>
              </w:rPr>
              <w:t xml:space="preserve"> </w:t>
            </w:r>
            <w:r w:rsidRPr="0053423A">
              <w:rPr>
                <w:rFonts w:cs="GHEA Grapalat"/>
                <w:lang w:val="hy-AM"/>
              </w:rPr>
              <w:t>բարելավման</w:t>
            </w:r>
            <w:r w:rsidRPr="0053423A">
              <w:rPr>
                <w:rFonts w:cs="GHEA Grapalat"/>
                <w:lang w:val="af-ZA"/>
              </w:rPr>
              <w:t xml:space="preserve"> </w:t>
            </w:r>
            <w:r w:rsidRPr="0053423A">
              <w:rPr>
                <w:rFonts w:cs="GHEA Grapalat"/>
                <w:lang w:val="hy-AM"/>
              </w:rPr>
              <w:t>և</w:t>
            </w:r>
            <w:r w:rsidRPr="0053423A">
              <w:rPr>
                <w:rFonts w:cs="GHEA Grapalat"/>
                <w:lang w:val="fr-FR"/>
              </w:rPr>
              <w:t xml:space="preserve"> </w:t>
            </w:r>
            <w:r w:rsidRPr="0053423A">
              <w:rPr>
                <w:rFonts w:cs="GHEA Grapalat"/>
                <w:lang w:val="hy-AM"/>
              </w:rPr>
              <w:t>բնագավառում</w:t>
            </w:r>
            <w:r w:rsidRPr="0053423A">
              <w:rPr>
                <w:rFonts w:cs="GHEA Grapalat"/>
                <w:lang w:val="fr-FR"/>
              </w:rPr>
              <w:t xml:space="preserve"> </w:t>
            </w:r>
            <w:r w:rsidRPr="0053423A">
              <w:rPr>
                <w:rFonts w:cs="GHEA Grapalat"/>
                <w:lang w:val="hy-AM"/>
              </w:rPr>
              <w:t>ինստիտուցիոնալ</w:t>
            </w:r>
            <w:r w:rsidRPr="0053423A">
              <w:rPr>
                <w:rFonts w:cs="GHEA Grapalat"/>
                <w:lang w:val="fr-FR"/>
              </w:rPr>
              <w:t xml:space="preserve"> </w:t>
            </w:r>
            <w:r w:rsidRPr="0053423A">
              <w:rPr>
                <w:rFonts w:cs="GHEA Grapalat"/>
                <w:lang w:val="hy-AM"/>
              </w:rPr>
              <w:t>բարեփոխումների</w:t>
            </w:r>
            <w:r w:rsidRPr="0053423A">
              <w:rPr>
                <w:rFonts w:cs="GHEA Grapalat"/>
                <w:lang w:val="fr-FR"/>
              </w:rPr>
              <w:t xml:space="preserve"> </w:t>
            </w:r>
            <w:r w:rsidRPr="0053423A">
              <w:rPr>
                <w:rFonts w:cs="GHEA Grapalat"/>
                <w:lang w:val="hy-AM"/>
              </w:rPr>
              <w:t>իրականացման</w:t>
            </w:r>
            <w:r w:rsidRPr="0053423A">
              <w:rPr>
                <w:rFonts w:cs="GHEA Grapalat"/>
                <w:lang w:val="af-ZA"/>
              </w:rPr>
              <w:t xml:space="preserve"> </w:t>
            </w:r>
            <w:r w:rsidRPr="0053423A">
              <w:rPr>
                <w:rFonts w:cs="GHEA Grapalat"/>
                <w:lang w:val="hy-AM"/>
              </w:rPr>
              <w:t>համար</w:t>
            </w:r>
            <w:r w:rsidRPr="0053423A">
              <w:rPr>
                <w:rFonts w:cs="GHEA Grapalat"/>
                <w:lang w:val="af-ZA"/>
              </w:rPr>
              <w:t xml:space="preserve"> </w:t>
            </w:r>
            <w:r w:rsidRPr="0053423A">
              <w:rPr>
                <w:rFonts w:cs="GHEA Grapalat"/>
                <w:lang w:val="hy-AM"/>
              </w:rPr>
              <w:t>նախադրյալների</w:t>
            </w:r>
            <w:r w:rsidRPr="0053423A">
              <w:rPr>
                <w:rFonts w:cs="GHEA Grapalat"/>
                <w:lang w:val="af-ZA"/>
              </w:rPr>
              <w:t xml:space="preserve"> </w:t>
            </w:r>
            <w:r w:rsidRPr="0053423A">
              <w:rPr>
                <w:rFonts w:cs="GHEA Grapalat"/>
                <w:lang w:val="hy-AM"/>
              </w:rPr>
              <w:t>ստեղծում</w:t>
            </w:r>
            <w:r w:rsidRPr="0053423A">
              <w:rPr>
                <w:rFonts w:cs="GHEA Grapalat"/>
                <w:lang w:val="fr-FR"/>
              </w:rPr>
              <w:t>:</w:t>
            </w:r>
          </w:p>
          <w:p w:rsidR="00D75F05" w:rsidRPr="0053423A" w:rsidRDefault="00D75F05" w:rsidP="00A67858">
            <w:pPr>
              <w:tabs>
                <w:tab w:val="left" w:pos="0"/>
                <w:tab w:val="left" w:pos="72"/>
                <w:tab w:val="left" w:pos="9387"/>
              </w:tabs>
              <w:spacing w:line="276" w:lineRule="auto"/>
              <w:ind w:right="101"/>
              <w:jc w:val="center"/>
              <w:rPr>
                <w:u w:val="single"/>
                <w:lang w:val="af-ZA"/>
              </w:rPr>
            </w:pPr>
          </w:p>
          <w:p w:rsidR="00D75F05" w:rsidRPr="0053423A" w:rsidRDefault="00D75F05" w:rsidP="00A67858">
            <w:pPr>
              <w:tabs>
                <w:tab w:val="left" w:pos="0"/>
                <w:tab w:val="left" w:pos="72"/>
                <w:tab w:val="left" w:pos="9387"/>
              </w:tabs>
              <w:spacing w:line="276" w:lineRule="auto"/>
              <w:ind w:right="101"/>
              <w:jc w:val="center"/>
              <w:rPr>
                <w:rFonts w:cs="GHEA Grapalat"/>
                <w:b/>
                <w:bCs/>
                <w:color w:val="000000"/>
                <w:spacing w:val="-4"/>
                <w:u w:val="single"/>
                <w:lang w:val="af-ZA"/>
              </w:rPr>
            </w:pPr>
            <w:r w:rsidRPr="0053423A">
              <w:rPr>
                <w:b/>
                <w:u w:val="single"/>
                <w:lang w:val="hy-AM" w:eastAsia="en-US"/>
              </w:rPr>
              <w:t>9.</w:t>
            </w:r>
            <w:r w:rsidRPr="0053423A">
              <w:rPr>
                <w:b/>
                <w:u w:val="single"/>
                <w:lang w:val="af-ZA" w:eastAsia="en-US"/>
              </w:rPr>
              <w:t>3</w:t>
            </w:r>
            <w:r w:rsidRPr="0053423A">
              <w:rPr>
                <w:b/>
                <w:u w:val="single"/>
                <w:lang w:val="hy-AM" w:eastAsia="en-US"/>
              </w:rPr>
              <w:t xml:space="preserve"> </w:t>
            </w:r>
            <w:r w:rsidRPr="0053423A">
              <w:rPr>
                <w:rFonts w:cs="GHEA Grapalat"/>
                <w:b/>
                <w:bCs/>
                <w:color w:val="000000"/>
                <w:spacing w:val="-4"/>
                <w:u w:val="single"/>
              </w:rPr>
              <w:t>Բազմաբնակարան</w:t>
            </w:r>
            <w:r w:rsidRPr="0053423A">
              <w:rPr>
                <w:rFonts w:cs="GHEA Grapalat"/>
                <w:b/>
                <w:bCs/>
                <w:color w:val="000000"/>
                <w:spacing w:val="-4"/>
                <w:u w:val="single"/>
                <w:lang w:val="af-ZA"/>
              </w:rPr>
              <w:t xml:space="preserve"> </w:t>
            </w:r>
            <w:r w:rsidRPr="0053423A">
              <w:rPr>
                <w:rFonts w:cs="GHEA Grapalat"/>
                <w:b/>
                <w:bCs/>
                <w:color w:val="000000"/>
                <w:spacing w:val="-4"/>
                <w:u w:val="single"/>
              </w:rPr>
              <w:t>շենքերի</w:t>
            </w:r>
            <w:r w:rsidRPr="0053423A">
              <w:rPr>
                <w:rFonts w:cs="GHEA Grapalat"/>
                <w:b/>
                <w:bCs/>
                <w:color w:val="000000"/>
                <w:spacing w:val="-4"/>
                <w:u w:val="single"/>
                <w:lang w:val="af-ZA"/>
              </w:rPr>
              <w:t xml:space="preserve"> </w:t>
            </w:r>
            <w:r w:rsidRPr="0053423A">
              <w:rPr>
                <w:rFonts w:cs="GHEA Grapalat"/>
                <w:b/>
                <w:bCs/>
                <w:color w:val="000000"/>
                <w:spacing w:val="-4"/>
                <w:u w:val="single"/>
              </w:rPr>
              <w:t>կառավարման</w:t>
            </w:r>
            <w:r w:rsidRPr="0053423A">
              <w:rPr>
                <w:rFonts w:cs="GHEA Grapalat"/>
                <w:b/>
                <w:bCs/>
                <w:color w:val="000000"/>
                <w:spacing w:val="-4"/>
                <w:u w:val="single"/>
                <w:lang w:val="af-ZA"/>
              </w:rPr>
              <w:t xml:space="preserve"> </w:t>
            </w:r>
            <w:r w:rsidRPr="0053423A">
              <w:rPr>
                <w:rFonts w:cs="GHEA Grapalat"/>
                <w:b/>
                <w:bCs/>
                <w:color w:val="000000"/>
                <w:spacing w:val="-4"/>
                <w:u w:val="single"/>
              </w:rPr>
              <w:t>գործառույթներ</w:t>
            </w:r>
            <w:r w:rsidRPr="0053423A">
              <w:rPr>
                <w:rFonts w:cs="GHEA Grapalat"/>
                <w:b/>
                <w:bCs/>
                <w:color w:val="000000"/>
                <w:spacing w:val="-4"/>
                <w:u w:val="single"/>
                <w:lang w:val="hy-AM"/>
              </w:rPr>
              <w:t xml:space="preserve"> </w:t>
            </w:r>
            <w:r w:rsidRPr="0053423A">
              <w:rPr>
                <w:rFonts w:cs="GHEA Grapalat"/>
                <w:b/>
                <w:bCs/>
                <w:color w:val="000000"/>
                <w:spacing w:val="-4"/>
                <w:u w:val="single"/>
              </w:rPr>
              <w:t>իրականացնող</w:t>
            </w:r>
            <w:r w:rsidRPr="0053423A">
              <w:rPr>
                <w:rFonts w:cs="GHEA Grapalat"/>
                <w:b/>
                <w:bCs/>
                <w:color w:val="000000"/>
                <w:spacing w:val="-4"/>
                <w:u w:val="single"/>
                <w:lang w:val="af-ZA"/>
              </w:rPr>
              <w:t xml:space="preserve"> </w:t>
            </w:r>
            <w:r w:rsidRPr="0053423A">
              <w:rPr>
                <w:rFonts w:cs="GHEA Grapalat"/>
                <w:b/>
                <w:bCs/>
                <w:color w:val="000000"/>
                <w:spacing w:val="-4"/>
                <w:u w:val="single"/>
              </w:rPr>
              <w:t>անձանց</w:t>
            </w:r>
            <w:r w:rsidRPr="0053423A">
              <w:rPr>
                <w:rFonts w:cs="GHEA Grapalat"/>
                <w:b/>
                <w:bCs/>
                <w:color w:val="000000"/>
                <w:spacing w:val="-4"/>
                <w:u w:val="single"/>
                <w:lang w:val="af-ZA"/>
              </w:rPr>
              <w:t xml:space="preserve"> </w:t>
            </w:r>
            <w:r w:rsidRPr="0053423A">
              <w:rPr>
                <w:rFonts w:cs="GHEA Grapalat"/>
                <w:b/>
                <w:bCs/>
                <w:color w:val="000000"/>
                <w:spacing w:val="-4"/>
                <w:u w:val="single"/>
              </w:rPr>
              <w:t>մասնագիտական</w:t>
            </w:r>
            <w:r w:rsidRPr="0053423A">
              <w:rPr>
                <w:rFonts w:cs="GHEA Grapalat"/>
                <w:b/>
                <w:bCs/>
                <w:color w:val="000000"/>
                <w:spacing w:val="-4"/>
                <w:u w:val="single"/>
                <w:lang w:val="af-ZA"/>
              </w:rPr>
              <w:t xml:space="preserve"> </w:t>
            </w:r>
            <w:r w:rsidRPr="0053423A">
              <w:rPr>
                <w:rFonts w:cs="GHEA Grapalat"/>
                <w:b/>
                <w:bCs/>
                <w:color w:val="000000"/>
                <w:spacing w:val="-4"/>
                <w:u w:val="single"/>
              </w:rPr>
              <w:t>որակավորմանը</w:t>
            </w:r>
            <w:r w:rsidRPr="0053423A">
              <w:rPr>
                <w:rFonts w:cs="GHEA Grapalat"/>
                <w:b/>
                <w:bCs/>
                <w:color w:val="000000"/>
                <w:spacing w:val="-4"/>
                <w:u w:val="single"/>
                <w:lang w:val="af-ZA"/>
              </w:rPr>
              <w:t xml:space="preserve"> </w:t>
            </w:r>
            <w:r w:rsidRPr="0053423A">
              <w:rPr>
                <w:rFonts w:cs="GHEA Grapalat"/>
                <w:b/>
                <w:bCs/>
                <w:color w:val="000000"/>
                <w:spacing w:val="-4"/>
                <w:u w:val="single"/>
              </w:rPr>
              <w:t>ներկայացվող</w:t>
            </w:r>
            <w:r w:rsidRPr="0053423A">
              <w:rPr>
                <w:rFonts w:cs="GHEA Grapalat"/>
                <w:b/>
                <w:bCs/>
                <w:color w:val="000000"/>
                <w:spacing w:val="-4"/>
                <w:u w:val="single"/>
                <w:lang w:val="af-ZA"/>
              </w:rPr>
              <w:t xml:space="preserve"> </w:t>
            </w:r>
            <w:r w:rsidRPr="0053423A">
              <w:rPr>
                <w:rFonts w:cs="GHEA Grapalat"/>
                <w:b/>
                <w:bCs/>
                <w:color w:val="000000"/>
                <w:spacing w:val="-4"/>
                <w:u w:val="single"/>
              </w:rPr>
              <w:t>պահանջների</w:t>
            </w:r>
            <w:r w:rsidRPr="0053423A">
              <w:rPr>
                <w:rFonts w:cs="GHEA Grapalat"/>
                <w:b/>
                <w:bCs/>
                <w:color w:val="000000"/>
                <w:spacing w:val="-4"/>
                <w:u w:val="single"/>
                <w:lang w:val="af-ZA"/>
              </w:rPr>
              <w:t xml:space="preserve"> </w:t>
            </w:r>
            <w:r w:rsidRPr="0053423A">
              <w:rPr>
                <w:rFonts w:cs="GHEA Grapalat"/>
                <w:b/>
                <w:bCs/>
                <w:color w:val="000000"/>
                <w:spacing w:val="-4"/>
                <w:u w:val="single"/>
              </w:rPr>
              <w:t>սահմանում</w:t>
            </w:r>
          </w:p>
          <w:p w:rsidR="00D75F05" w:rsidRPr="0053423A" w:rsidRDefault="00D75F05" w:rsidP="00A67858">
            <w:pPr>
              <w:tabs>
                <w:tab w:val="left" w:pos="0"/>
                <w:tab w:val="left" w:pos="72"/>
                <w:tab w:val="left" w:pos="9387"/>
              </w:tabs>
              <w:spacing w:line="276" w:lineRule="auto"/>
              <w:ind w:right="101"/>
              <w:jc w:val="both"/>
              <w:rPr>
                <w:rFonts w:cs="GHEA Grapalat"/>
                <w:b/>
                <w:bCs/>
                <w:color w:val="000000"/>
                <w:spacing w:val="-4"/>
                <w:lang w:val="af-ZA"/>
              </w:rPr>
            </w:pPr>
          </w:p>
          <w:p w:rsidR="00D75F05" w:rsidRPr="0053423A" w:rsidRDefault="00D75F05" w:rsidP="001F6D5D">
            <w:pPr>
              <w:pStyle w:val="NormalWeb"/>
              <w:numPr>
                <w:ilvl w:val="0"/>
                <w:numId w:val="332"/>
              </w:numPr>
              <w:shd w:val="clear" w:color="auto" w:fill="FFFFFF"/>
              <w:tabs>
                <w:tab w:val="left" w:pos="0"/>
                <w:tab w:val="left" w:pos="72"/>
                <w:tab w:val="left" w:pos="430"/>
                <w:tab w:val="left" w:pos="9387"/>
              </w:tabs>
              <w:spacing w:before="0" w:beforeAutospacing="0" w:after="0" w:afterAutospacing="0" w:line="276" w:lineRule="auto"/>
              <w:ind w:left="0" w:right="101" w:firstLine="0"/>
              <w:jc w:val="both"/>
              <w:rPr>
                <w:rFonts w:ascii="GHEA Grapalat" w:hAnsi="GHEA Grapalat" w:cs="GHEA Grapalat"/>
                <w:b/>
                <w:sz w:val="20"/>
                <w:szCs w:val="20"/>
                <w:lang w:eastAsia="ru-RU"/>
              </w:rPr>
            </w:pPr>
            <w:r w:rsidRPr="0053423A">
              <w:rPr>
                <w:rFonts w:ascii="GHEA Grapalat" w:hAnsi="GHEA Grapalat" w:cs="GHEA Grapalat"/>
                <w:b/>
                <w:sz w:val="20"/>
                <w:szCs w:val="20"/>
                <w:lang w:eastAsia="ru-RU"/>
              </w:rPr>
              <w:t>Միջոցառման իրականացման անհրաժեշտությունը (նպատակը)</w:t>
            </w:r>
          </w:p>
          <w:p w:rsidR="00D75F05" w:rsidRPr="0053423A" w:rsidRDefault="00D75F05" w:rsidP="00A67858">
            <w:pPr>
              <w:tabs>
                <w:tab w:val="left" w:pos="0"/>
                <w:tab w:val="left" w:pos="72"/>
                <w:tab w:val="left" w:pos="9387"/>
              </w:tabs>
              <w:spacing w:line="276" w:lineRule="auto"/>
              <w:ind w:right="101"/>
              <w:jc w:val="both"/>
              <w:rPr>
                <w:rFonts w:cs="GHEA Grapalat"/>
              </w:rPr>
            </w:pPr>
            <w:r w:rsidRPr="0053423A">
              <w:rPr>
                <w:rFonts w:cs="GHEA Grapalat"/>
              </w:rPr>
              <w:t xml:space="preserve">Միջոցառման անհրաժեշտությունը բխում է Քաղաքաշինության մասին ՀՀ օրենքի    10-րդ հոդվածի ա և գ մասերի, 10.1 հոդվածի 3-րդ մասի 12-րդ կետի դրույթներից և նպատակը՝ բազմաբնակարան շենքերի պահպանմանն ուղղված՝ կառավարման գործառույթի արդյունավետության բարձրացումն է: </w:t>
            </w:r>
          </w:p>
          <w:p w:rsidR="00D75F05" w:rsidRPr="0053423A" w:rsidRDefault="00D75F05" w:rsidP="00A67858">
            <w:pPr>
              <w:tabs>
                <w:tab w:val="left" w:pos="0"/>
                <w:tab w:val="left" w:pos="72"/>
                <w:tab w:val="left" w:pos="9387"/>
              </w:tabs>
              <w:spacing w:line="276" w:lineRule="auto"/>
              <w:ind w:right="101"/>
              <w:jc w:val="both"/>
              <w:rPr>
                <w:rFonts w:cs="GHEA Grapalat"/>
                <w:b/>
                <w:lang w:val="af-ZA"/>
              </w:rPr>
            </w:pPr>
            <w:r w:rsidRPr="0053423A">
              <w:rPr>
                <w:bCs/>
                <w:lang w:val="af-ZA"/>
              </w:rPr>
              <w:tab/>
            </w:r>
            <w:r w:rsidRPr="0053423A">
              <w:rPr>
                <w:rFonts w:cs="GHEA Grapalat"/>
                <w:b/>
                <w:lang w:val="af-ZA"/>
              </w:rPr>
              <w:t xml:space="preserve">1.1. </w:t>
            </w:r>
            <w:r w:rsidRPr="0053423A">
              <w:rPr>
                <w:rFonts w:cs="GHEA Grapalat"/>
                <w:b/>
              </w:rPr>
              <w:t>Կարգավորման</w:t>
            </w:r>
            <w:r w:rsidRPr="0053423A">
              <w:rPr>
                <w:rFonts w:cs="GHEA Grapalat"/>
                <w:b/>
                <w:lang w:val="af-ZA"/>
              </w:rPr>
              <w:t xml:space="preserve"> </w:t>
            </w:r>
            <w:r w:rsidRPr="0053423A">
              <w:rPr>
                <w:rFonts w:cs="GHEA Grapalat"/>
                <w:b/>
              </w:rPr>
              <w:t>հարաբերությունների</w:t>
            </w:r>
            <w:r w:rsidRPr="0053423A">
              <w:rPr>
                <w:rFonts w:cs="GHEA Grapalat"/>
                <w:b/>
                <w:lang w:val="af-ZA"/>
              </w:rPr>
              <w:t xml:space="preserve"> </w:t>
            </w:r>
            <w:r w:rsidRPr="0053423A">
              <w:rPr>
                <w:rFonts w:cs="GHEA Grapalat"/>
                <w:b/>
              </w:rPr>
              <w:t>ներկա</w:t>
            </w:r>
            <w:r w:rsidRPr="0053423A">
              <w:rPr>
                <w:rFonts w:cs="GHEA Grapalat"/>
                <w:b/>
                <w:lang w:val="af-ZA"/>
              </w:rPr>
              <w:t xml:space="preserve"> </w:t>
            </w:r>
            <w:r w:rsidRPr="0053423A">
              <w:rPr>
                <w:rFonts w:cs="GHEA Grapalat"/>
                <w:b/>
              </w:rPr>
              <w:t>վիճակը</w:t>
            </w:r>
            <w:r w:rsidRPr="0053423A">
              <w:rPr>
                <w:rFonts w:cs="GHEA Grapalat"/>
                <w:b/>
                <w:lang w:val="af-ZA"/>
              </w:rPr>
              <w:t xml:space="preserve"> </w:t>
            </w:r>
            <w:r w:rsidRPr="0053423A">
              <w:rPr>
                <w:rFonts w:cs="GHEA Grapalat"/>
                <w:b/>
              </w:rPr>
              <w:t>և</w:t>
            </w:r>
            <w:r w:rsidRPr="0053423A">
              <w:rPr>
                <w:rFonts w:cs="GHEA Grapalat"/>
                <w:b/>
                <w:lang w:val="af-ZA"/>
              </w:rPr>
              <w:t xml:space="preserve"> </w:t>
            </w:r>
            <w:r w:rsidRPr="0053423A">
              <w:rPr>
                <w:rFonts w:cs="GHEA Grapalat"/>
                <w:b/>
              </w:rPr>
              <w:t>առկա</w:t>
            </w:r>
            <w:r w:rsidRPr="0053423A">
              <w:rPr>
                <w:rFonts w:cs="GHEA Grapalat"/>
                <w:b/>
                <w:lang w:val="af-ZA"/>
              </w:rPr>
              <w:t xml:space="preserve"> </w:t>
            </w:r>
            <w:r w:rsidRPr="0053423A">
              <w:rPr>
                <w:rFonts w:cs="GHEA Grapalat"/>
                <w:b/>
              </w:rPr>
              <w:t>խնդիրները</w:t>
            </w:r>
          </w:p>
          <w:p w:rsidR="00D75F05" w:rsidRPr="0053423A" w:rsidRDefault="00D75F05" w:rsidP="00A67858">
            <w:pPr>
              <w:tabs>
                <w:tab w:val="left" w:pos="-360"/>
                <w:tab w:val="left" w:pos="0"/>
                <w:tab w:val="left" w:pos="72"/>
                <w:tab w:val="left" w:pos="9387"/>
              </w:tabs>
              <w:spacing w:line="276" w:lineRule="auto"/>
              <w:ind w:right="101"/>
              <w:jc w:val="both"/>
              <w:rPr>
                <w:rFonts w:cs="GHEA Grapalat"/>
                <w:lang w:val="af-ZA"/>
              </w:rPr>
            </w:pPr>
            <w:r w:rsidRPr="0053423A">
              <w:rPr>
                <w:lang w:val="af-ZA"/>
              </w:rPr>
              <w:tab/>
              <w:t xml:space="preserve"> </w:t>
            </w:r>
            <w:r w:rsidRPr="0053423A">
              <w:rPr>
                <w:rFonts w:cs="GHEA Grapalat"/>
                <w:lang w:val="hy-AM"/>
              </w:rPr>
              <w:t xml:space="preserve">1991 թվականից հետո բնակարանային ոլորտում իրականացված բարեփոխումների արդյունքում ձևավորվել է ինստիտուցիոնալ նոր միջավայր, մասնավոր սեփականության գերակայությամբ` բազմաբնակարան շենքերի բնակարանների 99%-ը ներկայումս մասնավոր սեփականություն է: </w:t>
            </w:r>
          </w:p>
          <w:p w:rsidR="00D75F05" w:rsidRPr="0053423A" w:rsidRDefault="00D75F05" w:rsidP="00A67858">
            <w:pPr>
              <w:tabs>
                <w:tab w:val="left" w:pos="-360"/>
                <w:tab w:val="left" w:pos="0"/>
                <w:tab w:val="left" w:pos="72"/>
                <w:tab w:val="left" w:pos="360"/>
                <w:tab w:val="left" w:pos="9387"/>
              </w:tabs>
              <w:spacing w:line="276" w:lineRule="auto"/>
              <w:ind w:right="101"/>
              <w:jc w:val="both"/>
              <w:rPr>
                <w:rFonts w:cs="GHEA Grapalat"/>
                <w:lang w:val="hy-AM"/>
              </w:rPr>
            </w:pPr>
            <w:r w:rsidRPr="0053423A">
              <w:rPr>
                <w:rFonts w:cs="GHEA Grapalat"/>
                <w:lang w:val="hy-AM"/>
              </w:rPr>
              <w:t xml:space="preserve">Բնակարանային տնտեսության բնագավառում իրականացված բարեփոխումները անհրաժեշտություն առաջացրեցին վերակազմավորել բնակարանային ֆոնդի կառավարման ինստիտուցիոնալ համակարգը: Արդյունքում, բազմաբնակարան շենքի կառավարման առավել արդյունավետ ձև ընտրվեց շենքերի շինությունների սեփականատերերի կողմից կառավարման մարմինների, մասնավորապես, համատիրությունների ստեղծումը: Վերջիններս հիմնական խնդիրը` հավաքագրել շենքերի սեփականատերերի միջոցները ու դրանք ուղղել սահմանված պարտադիր նորմերի շրջանակներում տվյալ շենքի ընդհանուր բաժնային սեփականության պահպանման ու անվտանգ շահագործուման ապահովմանը:  </w:t>
            </w:r>
          </w:p>
          <w:p w:rsidR="00D75F05" w:rsidRPr="0053423A" w:rsidRDefault="00D75F05" w:rsidP="00A67858">
            <w:pPr>
              <w:tabs>
                <w:tab w:val="left" w:pos="-360"/>
                <w:tab w:val="left" w:pos="0"/>
                <w:tab w:val="left" w:pos="72"/>
                <w:tab w:val="left" w:pos="360"/>
                <w:tab w:val="left" w:pos="9387"/>
              </w:tabs>
              <w:spacing w:line="276" w:lineRule="auto"/>
              <w:ind w:right="101"/>
              <w:jc w:val="both"/>
              <w:rPr>
                <w:rFonts w:cs="GHEA Grapalat"/>
                <w:lang w:val="hy-AM"/>
              </w:rPr>
            </w:pPr>
            <w:r w:rsidRPr="0053423A">
              <w:rPr>
                <w:rFonts w:cs="GHEA Grapalat"/>
                <w:lang w:val="hy-AM"/>
              </w:rPr>
              <w:t>Այդուհանդերձ, բազմաբնակարան շենքերի կառավարման բնագավառում առկա են խոչընդոտներ, որոնք էապես սահմնափակում են առաջընթացի հնարավորությունները:</w:t>
            </w:r>
          </w:p>
          <w:p w:rsidR="00D75F05" w:rsidRPr="0053423A" w:rsidRDefault="00D75F05" w:rsidP="00A67858">
            <w:pPr>
              <w:tabs>
                <w:tab w:val="left" w:pos="0"/>
                <w:tab w:val="left" w:pos="72"/>
                <w:tab w:val="left" w:pos="9387"/>
              </w:tabs>
              <w:spacing w:line="276" w:lineRule="auto"/>
              <w:ind w:right="101"/>
              <w:jc w:val="both"/>
              <w:rPr>
                <w:rFonts w:cs="GHEA Grapalat"/>
                <w:b/>
                <w:bCs/>
                <w:color w:val="000000"/>
                <w:spacing w:val="-4"/>
                <w:shd w:val="clear" w:color="auto" w:fill="FFFFFF"/>
                <w:lang w:val="af-ZA"/>
              </w:rPr>
            </w:pPr>
            <w:r w:rsidRPr="0053423A">
              <w:rPr>
                <w:rFonts w:cs="GHEA Grapalat"/>
                <w:b/>
                <w:bCs/>
                <w:color w:val="000000"/>
                <w:spacing w:val="-4"/>
                <w:lang w:val="af-ZA"/>
              </w:rPr>
              <w:t xml:space="preserve">1.2. </w:t>
            </w:r>
            <w:r w:rsidRPr="0053423A">
              <w:rPr>
                <w:rFonts w:cs="GHEA Grapalat"/>
                <w:b/>
                <w:bCs/>
                <w:color w:val="000000"/>
                <w:spacing w:val="-4"/>
                <w:lang w:val="hy-AM"/>
              </w:rPr>
              <w:t>Ա</w:t>
            </w:r>
            <w:r w:rsidRPr="0053423A">
              <w:rPr>
                <w:rFonts w:cs="GHEA Grapalat"/>
                <w:b/>
                <w:bCs/>
                <w:color w:val="000000"/>
                <w:spacing w:val="-4"/>
                <w:shd w:val="clear" w:color="auto" w:fill="FFFFFF"/>
                <w:lang w:val="hy-AM"/>
              </w:rPr>
              <w:t>ռկա</w:t>
            </w:r>
            <w:r w:rsidRPr="0053423A">
              <w:rPr>
                <w:rFonts w:cs="GHEA Grapalat"/>
                <w:b/>
                <w:bCs/>
                <w:color w:val="000000"/>
                <w:spacing w:val="-4"/>
                <w:shd w:val="clear" w:color="auto" w:fill="FFFFFF"/>
                <w:lang w:val="af-ZA"/>
              </w:rPr>
              <w:t xml:space="preserve"> </w:t>
            </w:r>
            <w:r w:rsidRPr="0053423A">
              <w:rPr>
                <w:rFonts w:cs="GHEA Grapalat"/>
                <w:b/>
                <w:bCs/>
                <w:color w:val="000000"/>
                <w:spacing w:val="-4"/>
                <w:shd w:val="clear" w:color="auto" w:fill="FFFFFF"/>
                <w:lang w:val="hy-AM"/>
              </w:rPr>
              <w:t>խնդիրների</w:t>
            </w:r>
            <w:r w:rsidRPr="0053423A">
              <w:rPr>
                <w:rFonts w:cs="GHEA Grapalat"/>
                <w:b/>
                <w:bCs/>
                <w:color w:val="000000"/>
                <w:spacing w:val="-4"/>
                <w:shd w:val="clear" w:color="auto" w:fill="FFFFFF"/>
                <w:lang w:val="af-ZA"/>
              </w:rPr>
              <w:t xml:space="preserve"> </w:t>
            </w:r>
            <w:r w:rsidRPr="0053423A">
              <w:rPr>
                <w:rFonts w:cs="GHEA Grapalat"/>
                <w:b/>
                <w:bCs/>
                <w:color w:val="000000"/>
                <w:spacing w:val="-4"/>
                <w:shd w:val="clear" w:color="auto" w:fill="FFFFFF"/>
                <w:lang w:val="hy-AM"/>
              </w:rPr>
              <w:t>առաջարկվող</w:t>
            </w:r>
            <w:r w:rsidRPr="0053423A">
              <w:rPr>
                <w:rFonts w:cs="GHEA Grapalat"/>
                <w:b/>
                <w:bCs/>
                <w:color w:val="000000"/>
                <w:spacing w:val="-4"/>
                <w:shd w:val="clear" w:color="auto" w:fill="FFFFFF"/>
                <w:lang w:val="af-ZA"/>
              </w:rPr>
              <w:t xml:space="preserve"> </w:t>
            </w:r>
            <w:r w:rsidRPr="0053423A">
              <w:rPr>
                <w:rFonts w:cs="GHEA Grapalat"/>
                <w:b/>
                <w:bCs/>
                <w:color w:val="000000"/>
                <w:spacing w:val="-4"/>
                <w:shd w:val="clear" w:color="auto" w:fill="FFFFFF"/>
                <w:lang w:val="hy-AM"/>
              </w:rPr>
              <w:t>լուծումները</w:t>
            </w:r>
            <w:r w:rsidRPr="0053423A">
              <w:rPr>
                <w:rFonts w:cs="GHEA Grapalat"/>
                <w:b/>
                <w:bCs/>
                <w:color w:val="000000"/>
                <w:spacing w:val="-4"/>
                <w:shd w:val="clear" w:color="auto" w:fill="FFFFFF"/>
                <w:lang w:val="af-ZA"/>
              </w:rPr>
              <w:t xml:space="preserve"> </w:t>
            </w:r>
          </w:p>
          <w:p w:rsidR="00D75F05" w:rsidRPr="0053423A" w:rsidRDefault="00D75F05" w:rsidP="00A67858">
            <w:pPr>
              <w:tabs>
                <w:tab w:val="left" w:pos="0"/>
                <w:tab w:val="left" w:pos="72"/>
                <w:tab w:val="left" w:pos="360"/>
                <w:tab w:val="left" w:pos="9387"/>
              </w:tabs>
              <w:spacing w:line="276" w:lineRule="auto"/>
              <w:ind w:right="101"/>
              <w:jc w:val="both"/>
              <w:rPr>
                <w:rFonts w:cs="GHEA Grapalat"/>
                <w:lang w:val="hy-AM"/>
              </w:rPr>
            </w:pPr>
            <w:r w:rsidRPr="0053423A">
              <w:rPr>
                <w:rFonts w:cs="GHEA Grapalat"/>
                <w:lang w:val="hy-AM"/>
              </w:rPr>
              <w:t>Կառավարման գործառույթներ իրականացնող անձանց մասնագիտական</w:t>
            </w:r>
            <w:r w:rsidRPr="0053423A">
              <w:rPr>
                <w:rFonts w:cs="GHEA Grapalat"/>
                <w:lang w:val="af-ZA"/>
              </w:rPr>
              <w:t xml:space="preserve"> </w:t>
            </w:r>
            <w:r w:rsidRPr="0053423A">
              <w:rPr>
                <w:rFonts w:cs="GHEA Grapalat"/>
                <w:lang w:val="hy-AM"/>
              </w:rPr>
              <w:t>որակավորմանը</w:t>
            </w:r>
            <w:r w:rsidRPr="0053423A">
              <w:rPr>
                <w:rFonts w:cs="GHEA Grapalat"/>
                <w:lang w:val="af-ZA"/>
              </w:rPr>
              <w:t xml:space="preserve"> </w:t>
            </w:r>
            <w:r w:rsidRPr="0053423A">
              <w:rPr>
                <w:rFonts w:cs="GHEA Grapalat"/>
                <w:lang w:val="hy-AM"/>
              </w:rPr>
              <w:t>ներկայացվող պահանջների մշակում:</w:t>
            </w:r>
          </w:p>
          <w:p w:rsidR="00D75F05" w:rsidRPr="0053423A" w:rsidRDefault="00D75F05" w:rsidP="00A67858">
            <w:pPr>
              <w:tabs>
                <w:tab w:val="left" w:pos="0"/>
                <w:tab w:val="left" w:pos="72"/>
                <w:tab w:val="left" w:pos="9387"/>
              </w:tabs>
              <w:spacing w:line="276" w:lineRule="auto"/>
              <w:ind w:right="101"/>
              <w:jc w:val="both"/>
              <w:rPr>
                <w:rFonts w:cs="GHEA Grapalat"/>
                <w:b/>
                <w:bCs/>
                <w:color w:val="000000"/>
                <w:spacing w:val="-4"/>
                <w:lang w:val="hy-AM"/>
              </w:rPr>
            </w:pPr>
            <w:r w:rsidRPr="0053423A">
              <w:rPr>
                <w:rFonts w:cs="GHEA Grapalat"/>
                <w:b/>
                <w:bCs/>
                <w:color w:val="000000"/>
                <w:spacing w:val="-4"/>
                <w:lang w:val="hy-AM"/>
              </w:rPr>
              <w:t xml:space="preserve">2. Միջոցառման իրականացումից ակնկալվող արդյունքը </w:t>
            </w:r>
          </w:p>
          <w:p w:rsidR="00D75F05" w:rsidRPr="0053423A" w:rsidRDefault="00D75F05" w:rsidP="00A67858">
            <w:pPr>
              <w:tabs>
                <w:tab w:val="left" w:pos="0"/>
                <w:tab w:val="left" w:pos="72"/>
                <w:tab w:val="left" w:pos="462"/>
                <w:tab w:val="left" w:pos="9387"/>
              </w:tabs>
              <w:spacing w:line="276" w:lineRule="auto"/>
              <w:ind w:right="101"/>
              <w:jc w:val="both"/>
              <w:rPr>
                <w:rFonts w:cs="GHEA Grapalat"/>
                <w:lang w:val="hy-AM"/>
              </w:rPr>
            </w:pPr>
            <w:r w:rsidRPr="0053423A">
              <w:rPr>
                <w:rFonts w:cs="GHEA Grapalat"/>
                <w:lang w:val="hy-AM"/>
              </w:rPr>
              <w:t>Բազմաբնակարան շենքերի պահպանմանն ուղղված՝ կառավարման գործառույթի արդյունավետության բարձրացում:</w:t>
            </w:r>
          </w:p>
          <w:p w:rsidR="00D75F05" w:rsidRPr="0053423A" w:rsidRDefault="00D75F05" w:rsidP="00A67858">
            <w:pPr>
              <w:pStyle w:val="ListParagraph"/>
              <w:spacing w:line="276" w:lineRule="auto"/>
              <w:ind w:left="0"/>
              <w:jc w:val="center"/>
              <w:rPr>
                <w:rFonts w:cs="Sylfaen"/>
                <w:b/>
                <w:lang w:val="af-ZA"/>
              </w:rPr>
            </w:pPr>
          </w:p>
        </w:tc>
      </w:tr>
      <w:tr w:rsidR="00D75F05" w:rsidRPr="00DE2EFA" w:rsidTr="00D75F05">
        <w:tc>
          <w:tcPr>
            <w:tcW w:w="450" w:type="dxa"/>
          </w:tcPr>
          <w:p w:rsidR="00D75F05" w:rsidRPr="0053423A" w:rsidRDefault="00D75F05" w:rsidP="00A67858">
            <w:pPr>
              <w:pStyle w:val="ListParagraph"/>
              <w:spacing w:line="276" w:lineRule="auto"/>
              <w:ind w:left="0"/>
              <w:rPr>
                <w:rFonts w:cs="Sylfaen"/>
                <w:b/>
                <w:lang w:val="hy-AM"/>
              </w:rPr>
            </w:pPr>
            <w:r w:rsidRPr="0053423A">
              <w:rPr>
                <w:rFonts w:cs="Sylfaen"/>
                <w:b/>
                <w:lang w:val="hy-AM"/>
              </w:rPr>
              <w:t>10</w:t>
            </w:r>
          </w:p>
        </w:tc>
        <w:tc>
          <w:tcPr>
            <w:tcW w:w="11160" w:type="dxa"/>
          </w:tcPr>
          <w:p w:rsidR="00D75F05" w:rsidRPr="0053423A" w:rsidRDefault="00D75F05" w:rsidP="00A67858">
            <w:pPr>
              <w:pStyle w:val="ListParagraph"/>
              <w:spacing w:line="276" w:lineRule="auto"/>
              <w:ind w:left="0"/>
              <w:jc w:val="center"/>
              <w:rPr>
                <w:b/>
                <w:bCs/>
                <w:lang w:val="af-ZA"/>
              </w:rPr>
            </w:pPr>
            <w:r w:rsidRPr="0053423A">
              <w:rPr>
                <w:b/>
                <w:bCs/>
                <w:lang w:val="hy-AM"/>
              </w:rPr>
              <w:t>Աղետի</w:t>
            </w:r>
            <w:r w:rsidRPr="0053423A">
              <w:rPr>
                <w:b/>
                <w:bCs/>
                <w:lang w:val="af-ZA"/>
              </w:rPr>
              <w:t xml:space="preserve"> </w:t>
            </w:r>
            <w:r w:rsidRPr="0053423A">
              <w:rPr>
                <w:b/>
                <w:bCs/>
                <w:lang w:val="hy-AM"/>
              </w:rPr>
              <w:t>գոտու</w:t>
            </w:r>
            <w:r w:rsidRPr="0053423A">
              <w:rPr>
                <w:b/>
                <w:bCs/>
                <w:lang w:val="af-ZA"/>
              </w:rPr>
              <w:t xml:space="preserve"> հիմնախնդիրների կանոնակարգում</w:t>
            </w:r>
          </w:p>
          <w:p w:rsidR="00D75F05" w:rsidRPr="0053423A" w:rsidRDefault="00D75F05" w:rsidP="00A67858">
            <w:pPr>
              <w:pStyle w:val="ListParagraph"/>
              <w:spacing w:line="276" w:lineRule="auto"/>
              <w:ind w:left="0"/>
              <w:jc w:val="center"/>
              <w:rPr>
                <w:b/>
                <w:bCs/>
                <w:lang w:val="af-ZA"/>
              </w:rPr>
            </w:pPr>
          </w:p>
          <w:p w:rsidR="00D75F05" w:rsidRPr="0053423A" w:rsidRDefault="00D75F05" w:rsidP="00A67858">
            <w:pPr>
              <w:spacing w:line="276" w:lineRule="auto"/>
              <w:jc w:val="center"/>
              <w:rPr>
                <w:rFonts w:cs="GHEA Grapalat"/>
                <w:b/>
                <w:bCs/>
                <w:spacing w:val="-8"/>
                <w:u w:val="single"/>
                <w:lang w:val="af-ZA"/>
              </w:rPr>
            </w:pPr>
            <w:r w:rsidRPr="0053423A">
              <w:rPr>
                <w:b/>
                <w:u w:val="single"/>
                <w:lang w:val="af-ZA"/>
              </w:rPr>
              <w:t>10.</w:t>
            </w:r>
            <w:r w:rsidRPr="0053423A">
              <w:rPr>
                <w:b/>
                <w:u w:val="single"/>
                <w:lang w:val="hy-AM"/>
              </w:rPr>
              <w:t>1</w:t>
            </w:r>
            <w:r w:rsidRPr="0053423A">
              <w:rPr>
                <w:b/>
                <w:u w:val="single"/>
                <w:lang w:val="af-ZA"/>
              </w:rPr>
              <w:t xml:space="preserve"> Աղետի գոտու բնակավայրերում երկրաշարժի հետևան</w:t>
            </w:r>
            <w:r w:rsidRPr="0053423A">
              <w:rPr>
                <w:b/>
                <w:u w:val="single"/>
                <w:lang w:val="af-ZA"/>
              </w:rPr>
              <w:softHyphen/>
              <w:t>քով անօթևան մնացած ընտա</w:t>
            </w:r>
            <w:r w:rsidRPr="0053423A">
              <w:rPr>
                <w:b/>
                <w:u w:val="single"/>
                <w:lang w:val="af-ZA"/>
              </w:rPr>
              <w:softHyphen/>
              <w:t>նիքների բնակարանային ապահովմանն ուղղված պետա</w:t>
            </w:r>
            <w:r w:rsidRPr="0053423A">
              <w:rPr>
                <w:b/>
                <w:u w:val="single"/>
                <w:lang w:val="af-ZA"/>
              </w:rPr>
              <w:softHyphen/>
              <w:t>կան աջակցության ծրագրի ավարտ</w:t>
            </w:r>
          </w:p>
          <w:p w:rsidR="00D75F05" w:rsidRPr="0053423A" w:rsidRDefault="00D75F05" w:rsidP="00A67858">
            <w:pPr>
              <w:pStyle w:val="ListParagraph1"/>
              <w:tabs>
                <w:tab w:val="left" w:pos="540"/>
                <w:tab w:val="left" w:pos="900"/>
              </w:tabs>
              <w:spacing w:after="0"/>
              <w:ind w:left="0"/>
              <w:rPr>
                <w:rFonts w:ascii="GHEA Grapalat" w:hAnsi="GHEA Grapalat"/>
                <w:b/>
                <w:lang w:val="af-ZA"/>
              </w:rPr>
            </w:pPr>
          </w:p>
          <w:p w:rsidR="00D75F05" w:rsidRPr="0053423A" w:rsidRDefault="00D75F05" w:rsidP="00A67858">
            <w:pPr>
              <w:pStyle w:val="ListParagraph1"/>
              <w:tabs>
                <w:tab w:val="left" w:pos="0"/>
              </w:tabs>
              <w:spacing w:after="0"/>
              <w:ind w:left="0"/>
              <w:rPr>
                <w:rFonts w:ascii="GHEA Grapalat" w:hAnsi="GHEA Grapalat"/>
                <w:b/>
                <w:lang w:val="af-ZA"/>
              </w:rPr>
            </w:pPr>
            <w:r w:rsidRPr="0053423A">
              <w:rPr>
                <w:rFonts w:ascii="GHEA Grapalat" w:hAnsi="GHEA Grapalat"/>
                <w:b/>
                <w:lang w:val="af-ZA"/>
              </w:rPr>
              <w:t xml:space="preserve">1. </w:t>
            </w: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tabs>
                <w:tab w:val="left" w:pos="0"/>
                <w:tab w:val="left" w:pos="3119"/>
                <w:tab w:val="left" w:pos="3402"/>
              </w:tabs>
              <w:spacing w:line="276" w:lineRule="auto"/>
              <w:jc w:val="both"/>
              <w:rPr>
                <w:lang w:val="af-ZA"/>
              </w:rPr>
            </w:pPr>
            <w:r w:rsidRPr="0053423A">
              <w:rPr>
                <w:lang w:val="af-ZA"/>
              </w:rPr>
              <w:tab/>
            </w:r>
            <w:r w:rsidRPr="0053423A">
              <w:t>Միջոցառման</w:t>
            </w:r>
            <w:r w:rsidRPr="0053423A">
              <w:rPr>
                <w:lang w:val="af-ZA"/>
              </w:rPr>
              <w:t xml:space="preserve"> </w:t>
            </w:r>
            <w:r w:rsidRPr="0053423A">
              <w:t>անհրաժեշտությունը</w:t>
            </w:r>
            <w:r w:rsidRPr="0053423A">
              <w:rPr>
                <w:lang w:val="af-ZA"/>
              </w:rPr>
              <w:t xml:space="preserve"> </w:t>
            </w:r>
            <w:r w:rsidRPr="0053423A">
              <w:t>բխում</w:t>
            </w:r>
            <w:r w:rsidRPr="0053423A">
              <w:rPr>
                <w:lang w:val="af-ZA"/>
              </w:rPr>
              <w:t xml:space="preserve"> </w:t>
            </w:r>
            <w:r w:rsidRPr="0053423A">
              <w:t>է</w:t>
            </w:r>
            <w:r w:rsidRPr="0053423A">
              <w:rPr>
                <w:lang w:val="af-ZA"/>
              </w:rPr>
              <w:t xml:space="preserve"> </w:t>
            </w:r>
            <w:r w:rsidRPr="0053423A">
              <w:t>Հայաստանի</w:t>
            </w:r>
            <w:r w:rsidRPr="0053423A">
              <w:rPr>
                <w:lang w:val="af-ZA"/>
              </w:rPr>
              <w:t xml:space="preserve"> </w:t>
            </w:r>
            <w:r w:rsidRPr="0053423A">
              <w:t>Հանրապետության</w:t>
            </w:r>
            <w:r w:rsidRPr="0053423A">
              <w:rPr>
                <w:lang w:val="af-ZA"/>
              </w:rPr>
              <w:t xml:space="preserve"> </w:t>
            </w:r>
            <w:r w:rsidRPr="0053423A">
              <w:t>կառավարության</w:t>
            </w:r>
            <w:r w:rsidRPr="0053423A">
              <w:rPr>
                <w:lang w:val="af-ZA"/>
              </w:rPr>
              <w:t xml:space="preserve"> </w:t>
            </w:r>
            <w:r w:rsidRPr="0053423A">
              <w:t>ծրագրին</w:t>
            </w:r>
            <w:r w:rsidRPr="0053423A">
              <w:rPr>
                <w:lang w:val="af-ZA"/>
              </w:rPr>
              <w:t xml:space="preserve"> </w:t>
            </w:r>
            <w:r w:rsidRPr="0053423A">
              <w:t>հավանություն</w:t>
            </w:r>
            <w:r w:rsidRPr="0053423A">
              <w:rPr>
                <w:lang w:val="af-ZA"/>
              </w:rPr>
              <w:t xml:space="preserve"> </w:t>
            </w:r>
            <w:r w:rsidRPr="0053423A">
              <w:t>տալու</w:t>
            </w:r>
            <w:r w:rsidRPr="0053423A">
              <w:rPr>
                <w:lang w:val="af-ZA"/>
              </w:rPr>
              <w:t xml:space="preserve"> </w:t>
            </w:r>
            <w:r w:rsidRPr="0053423A">
              <w:t>մասին</w:t>
            </w:r>
            <w:r w:rsidRPr="0053423A">
              <w:rPr>
                <w:lang w:val="af-ZA"/>
              </w:rPr>
              <w:t xml:space="preserve"> </w:t>
            </w:r>
            <w:r w:rsidRPr="0053423A">
              <w:t>ՀՀ</w:t>
            </w:r>
            <w:r w:rsidRPr="0053423A">
              <w:rPr>
                <w:lang w:val="af-ZA"/>
              </w:rPr>
              <w:t xml:space="preserve"> </w:t>
            </w:r>
            <w:r w:rsidRPr="0053423A">
              <w:t>օրենքի</w:t>
            </w:r>
            <w:r w:rsidRPr="0053423A">
              <w:rPr>
                <w:lang w:val="af-ZA"/>
              </w:rPr>
              <w:t xml:space="preserve"> (14.02.2019</w:t>
            </w:r>
            <w:r w:rsidRPr="0053423A">
              <w:t>թ</w:t>
            </w:r>
            <w:r w:rsidRPr="0053423A">
              <w:rPr>
                <w:lang w:val="af-ZA"/>
              </w:rPr>
              <w:t>.                N</w:t>
            </w:r>
            <w:r w:rsidRPr="0053423A">
              <w:t>ԱԺՈ</w:t>
            </w:r>
            <w:r w:rsidRPr="0053423A">
              <w:rPr>
                <w:lang w:val="af-ZA"/>
              </w:rPr>
              <w:t>-002-</w:t>
            </w:r>
            <w:r w:rsidRPr="0053423A">
              <w:t>Ն</w:t>
            </w:r>
            <w:r w:rsidRPr="0053423A">
              <w:rPr>
                <w:lang w:val="af-ZA"/>
              </w:rPr>
              <w:t xml:space="preserve">) </w:t>
            </w:r>
            <w:r w:rsidRPr="0053423A">
              <w:rPr>
                <w:rFonts w:ascii="Calibri" w:hAnsi="Calibri" w:cs="Calibri"/>
                <w:lang w:val="af-ZA"/>
              </w:rPr>
              <w:t> </w:t>
            </w:r>
            <w:r w:rsidRPr="0053423A">
              <w:rPr>
                <w:lang w:val="af-ZA"/>
              </w:rPr>
              <w:t xml:space="preserve">4.2 </w:t>
            </w:r>
            <w:r w:rsidRPr="0053423A">
              <w:t>բաժնի</w:t>
            </w:r>
            <w:r w:rsidRPr="0053423A">
              <w:rPr>
                <w:lang w:val="af-ZA"/>
              </w:rPr>
              <w:t xml:space="preserve"> </w:t>
            </w:r>
            <w:r w:rsidRPr="0053423A">
              <w:t>վերջին</w:t>
            </w:r>
            <w:r w:rsidRPr="0053423A">
              <w:rPr>
                <w:lang w:val="af-ZA"/>
              </w:rPr>
              <w:t xml:space="preserve"> </w:t>
            </w:r>
            <w:r w:rsidRPr="0053423A">
              <w:t>պարբերության</w:t>
            </w:r>
            <w:r w:rsidRPr="0053423A">
              <w:rPr>
                <w:lang w:val="af-ZA"/>
              </w:rPr>
              <w:t xml:space="preserve"> </w:t>
            </w:r>
            <w:r w:rsidRPr="0053423A">
              <w:t>և</w:t>
            </w:r>
            <w:r w:rsidRPr="0053423A">
              <w:rPr>
                <w:lang w:val="af-ZA"/>
              </w:rPr>
              <w:t xml:space="preserve"> </w:t>
            </w:r>
            <w:r w:rsidRPr="0053423A">
              <w:t>Աղետի</w:t>
            </w:r>
            <w:r w:rsidRPr="0053423A">
              <w:rPr>
                <w:lang w:val="af-ZA"/>
              </w:rPr>
              <w:t xml:space="preserve"> </w:t>
            </w:r>
            <w:r w:rsidRPr="0053423A">
              <w:t>գոտու</w:t>
            </w:r>
            <w:r w:rsidRPr="0053423A">
              <w:rPr>
                <w:lang w:val="af-ZA"/>
              </w:rPr>
              <w:t xml:space="preserve"> </w:t>
            </w:r>
            <w:r w:rsidRPr="0053423A">
              <w:t>վերականգնման</w:t>
            </w:r>
            <w:r w:rsidRPr="0053423A">
              <w:rPr>
                <w:lang w:val="af-ZA"/>
              </w:rPr>
              <w:t xml:space="preserve"> </w:t>
            </w:r>
            <w:r w:rsidRPr="0053423A">
              <w:t>համալիր</w:t>
            </w:r>
            <w:r w:rsidRPr="0053423A">
              <w:rPr>
                <w:lang w:val="af-ZA"/>
              </w:rPr>
              <w:t xml:space="preserve"> </w:t>
            </w:r>
            <w:r w:rsidRPr="0053423A">
              <w:t>ծրագիրը</w:t>
            </w:r>
            <w:r w:rsidRPr="0053423A">
              <w:rPr>
                <w:lang w:val="af-ZA"/>
              </w:rPr>
              <w:t xml:space="preserve"> </w:t>
            </w:r>
            <w:r w:rsidRPr="0053423A">
              <w:t>հաստատելու</w:t>
            </w:r>
            <w:r w:rsidRPr="0053423A">
              <w:rPr>
                <w:lang w:val="af-ZA"/>
              </w:rPr>
              <w:t xml:space="preserve"> </w:t>
            </w:r>
            <w:r w:rsidRPr="0053423A">
              <w:t>մասին</w:t>
            </w:r>
            <w:r w:rsidRPr="0053423A">
              <w:rPr>
                <w:lang w:val="af-ZA"/>
              </w:rPr>
              <w:t xml:space="preserve"> </w:t>
            </w:r>
            <w:r w:rsidRPr="0053423A">
              <w:t>ՀՀ</w:t>
            </w:r>
            <w:r w:rsidRPr="0053423A">
              <w:rPr>
                <w:lang w:val="af-ZA"/>
              </w:rPr>
              <w:t xml:space="preserve"> </w:t>
            </w:r>
            <w:r w:rsidRPr="0053423A">
              <w:t>օրենքի</w:t>
            </w:r>
            <w:r w:rsidRPr="0053423A">
              <w:rPr>
                <w:lang w:val="af-ZA"/>
              </w:rPr>
              <w:t xml:space="preserve"> 4-</w:t>
            </w:r>
            <w:r w:rsidRPr="0053423A">
              <w:t>րդ</w:t>
            </w:r>
            <w:r w:rsidRPr="0053423A">
              <w:rPr>
                <w:lang w:val="af-ZA"/>
              </w:rPr>
              <w:t xml:space="preserve"> </w:t>
            </w:r>
            <w:r w:rsidRPr="0053423A">
              <w:t>և</w:t>
            </w:r>
            <w:r w:rsidRPr="0053423A">
              <w:rPr>
                <w:lang w:val="af-ZA"/>
              </w:rPr>
              <w:t xml:space="preserve"> 7-</w:t>
            </w:r>
            <w:r w:rsidRPr="0053423A">
              <w:t>րդ</w:t>
            </w:r>
            <w:r w:rsidRPr="0053423A">
              <w:rPr>
                <w:lang w:val="af-ZA"/>
              </w:rPr>
              <w:t xml:space="preserve"> </w:t>
            </w:r>
            <w:r w:rsidRPr="0053423A">
              <w:t>բաժինների</w:t>
            </w:r>
            <w:r w:rsidRPr="0053423A">
              <w:rPr>
                <w:lang w:val="af-ZA"/>
              </w:rPr>
              <w:t xml:space="preserve"> </w:t>
            </w:r>
            <w:r w:rsidRPr="0053423A">
              <w:t>դրույթներից</w:t>
            </w:r>
            <w:r w:rsidRPr="0053423A">
              <w:rPr>
                <w:lang w:val="af-ZA"/>
              </w:rPr>
              <w:t xml:space="preserve"> </w:t>
            </w:r>
            <w:r w:rsidRPr="0053423A">
              <w:t>և</w:t>
            </w:r>
            <w:r w:rsidRPr="0053423A">
              <w:rPr>
                <w:lang w:val="af-ZA"/>
              </w:rPr>
              <w:t xml:space="preserve"> </w:t>
            </w:r>
            <w:r w:rsidRPr="0053423A">
              <w:t>նպատակն</w:t>
            </w:r>
            <w:r w:rsidRPr="0053423A">
              <w:rPr>
                <w:lang w:val="af-ZA"/>
              </w:rPr>
              <w:t xml:space="preserve"> </w:t>
            </w:r>
            <w:r w:rsidRPr="0053423A">
              <w:t>է</w:t>
            </w:r>
            <w:r w:rsidRPr="0053423A">
              <w:rPr>
                <w:lang w:val="af-ZA"/>
              </w:rPr>
              <w:t xml:space="preserve"> </w:t>
            </w:r>
            <w:r w:rsidRPr="0053423A">
              <w:t>ապահովել</w:t>
            </w:r>
            <w:r w:rsidRPr="0053423A">
              <w:rPr>
                <w:lang w:val="af-ZA"/>
              </w:rPr>
              <w:t xml:space="preserve"> </w:t>
            </w:r>
            <w:r w:rsidRPr="0053423A">
              <w:t>աղետի</w:t>
            </w:r>
            <w:r w:rsidRPr="0053423A">
              <w:rPr>
                <w:lang w:val="af-ZA"/>
              </w:rPr>
              <w:t xml:space="preserve"> </w:t>
            </w:r>
            <w:r w:rsidRPr="0053423A">
              <w:t>գոտու</w:t>
            </w:r>
            <w:r w:rsidRPr="0053423A">
              <w:rPr>
                <w:lang w:val="af-ZA"/>
              </w:rPr>
              <w:t xml:space="preserve"> </w:t>
            </w:r>
            <w:r w:rsidRPr="0053423A">
              <w:t>բնակավայրերում</w:t>
            </w:r>
            <w:r w:rsidRPr="0053423A">
              <w:rPr>
                <w:lang w:val="af-ZA"/>
              </w:rPr>
              <w:t xml:space="preserve"> </w:t>
            </w:r>
            <w:r w:rsidRPr="0053423A">
              <w:t>երկրաշարժի</w:t>
            </w:r>
            <w:r w:rsidRPr="0053423A">
              <w:rPr>
                <w:lang w:val="af-ZA"/>
              </w:rPr>
              <w:t xml:space="preserve"> </w:t>
            </w:r>
            <w:r w:rsidRPr="0053423A">
              <w:t>հետևանքով</w:t>
            </w:r>
            <w:r w:rsidRPr="0053423A">
              <w:rPr>
                <w:lang w:val="af-ZA"/>
              </w:rPr>
              <w:t xml:space="preserve"> </w:t>
            </w:r>
            <w:r w:rsidRPr="0053423A">
              <w:t>անօթևան</w:t>
            </w:r>
            <w:r w:rsidRPr="0053423A">
              <w:rPr>
                <w:lang w:val="af-ZA"/>
              </w:rPr>
              <w:t xml:space="preserve"> </w:t>
            </w:r>
            <w:r w:rsidRPr="0053423A">
              <w:t>մնացած</w:t>
            </w:r>
            <w:r w:rsidRPr="0053423A">
              <w:rPr>
                <w:lang w:val="af-ZA"/>
              </w:rPr>
              <w:t xml:space="preserve"> </w:t>
            </w:r>
            <w:r w:rsidRPr="0053423A">
              <w:t>ընտանքիների</w:t>
            </w:r>
            <w:r w:rsidRPr="0053423A">
              <w:rPr>
                <w:lang w:val="af-ZA"/>
              </w:rPr>
              <w:t xml:space="preserve"> </w:t>
            </w:r>
            <w:r w:rsidRPr="0053423A">
              <w:t>բնակարանային</w:t>
            </w:r>
            <w:r w:rsidRPr="0053423A">
              <w:rPr>
                <w:lang w:val="af-ZA"/>
              </w:rPr>
              <w:t xml:space="preserve"> </w:t>
            </w:r>
            <w:r w:rsidRPr="0053423A">
              <w:t>խնդիրների</w:t>
            </w:r>
            <w:r w:rsidRPr="0053423A">
              <w:rPr>
                <w:lang w:val="af-ZA"/>
              </w:rPr>
              <w:t xml:space="preserve"> </w:t>
            </w:r>
            <w:r w:rsidRPr="0053423A">
              <w:t>լուծման</w:t>
            </w:r>
            <w:r w:rsidRPr="0053423A">
              <w:rPr>
                <w:lang w:val="af-ZA"/>
              </w:rPr>
              <w:t xml:space="preserve"> </w:t>
            </w:r>
            <w:r w:rsidRPr="0053423A">
              <w:t>նպատակով</w:t>
            </w:r>
            <w:r w:rsidRPr="0053423A">
              <w:rPr>
                <w:lang w:val="af-ZA"/>
              </w:rPr>
              <w:t xml:space="preserve"> </w:t>
            </w:r>
            <w:r w:rsidRPr="0053423A">
              <w:t>պետական</w:t>
            </w:r>
            <w:r w:rsidRPr="0053423A">
              <w:rPr>
                <w:lang w:val="af-ZA"/>
              </w:rPr>
              <w:t xml:space="preserve"> </w:t>
            </w:r>
            <w:r w:rsidRPr="0053423A">
              <w:t>աջակցությամբ</w:t>
            </w:r>
            <w:r w:rsidRPr="0053423A">
              <w:rPr>
                <w:lang w:val="af-ZA"/>
              </w:rPr>
              <w:t xml:space="preserve"> </w:t>
            </w:r>
            <w:r w:rsidRPr="0053423A">
              <w:t>իրականացվող</w:t>
            </w:r>
            <w:r w:rsidRPr="0053423A">
              <w:rPr>
                <w:lang w:val="af-ZA"/>
              </w:rPr>
              <w:t xml:space="preserve"> </w:t>
            </w:r>
            <w:r w:rsidRPr="0053423A">
              <w:t>բնակապահովման</w:t>
            </w:r>
            <w:r w:rsidRPr="0053423A">
              <w:rPr>
                <w:lang w:val="af-ZA"/>
              </w:rPr>
              <w:t xml:space="preserve"> </w:t>
            </w:r>
            <w:r w:rsidRPr="0053423A">
              <w:t>ծրագրի</w:t>
            </w:r>
            <w:r w:rsidRPr="0053423A">
              <w:rPr>
                <w:lang w:val="af-ZA"/>
              </w:rPr>
              <w:t xml:space="preserve"> </w:t>
            </w:r>
            <w:r w:rsidRPr="0053423A">
              <w:t>շահառու</w:t>
            </w:r>
            <w:r w:rsidRPr="0053423A">
              <w:rPr>
                <w:lang w:val="af-ZA"/>
              </w:rPr>
              <w:t xml:space="preserve"> </w:t>
            </w:r>
            <w:r w:rsidRPr="0053423A">
              <w:t>ճանաչված</w:t>
            </w:r>
            <w:r w:rsidRPr="0053423A">
              <w:rPr>
                <w:lang w:val="af-ZA"/>
              </w:rPr>
              <w:t xml:space="preserve"> </w:t>
            </w:r>
            <w:r w:rsidRPr="0053423A">
              <w:t>ընտանիքների</w:t>
            </w:r>
            <w:r w:rsidRPr="0053423A">
              <w:rPr>
                <w:lang w:val="af-ZA"/>
              </w:rPr>
              <w:t xml:space="preserve"> </w:t>
            </w:r>
            <w:r w:rsidRPr="0053423A">
              <w:t>բնակարանային</w:t>
            </w:r>
            <w:r w:rsidRPr="0053423A">
              <w:rPr>
                <w:lang w:val="af-ZA"/>
              </w:rPr>
              <w:t xml:space="preserve"> </w:t>
            </w:r>
            <w:r w:rsidRPr="0053423A">
              <w:t>խդիրների</w:t>
            </w:r>
            <w:r w:rsidRPr="0053423A">
              <w:rPr>
                <w:lang w:val="af-ZA"/>
              </w:rPr>
              <w:t xml:space="preserve"> </w:t>
            </w:r>
            <w:r w:rsidRPr="0053423A">
              <w:t>լուծման</w:t>
            </w:r>
            <w:r w:rsidRPr="0053423A">
              <w:rPr>
                <w:lang w:val="af-ZA"/>
              </w:rPr>
              <w:t xml:space="preserve"> </w:t>
            </w:r>
            <w:r w:rsidRPr="0053423A">
              <w:t>նկատմամբ</w:t>
            </w:r>
            <w:r w:rsidRPr="0053423A">
              <w:rPr>
                <w:lang w:val="af-ZA"/>
              </w:rPr>
              <w:t xml:space="preserve"> </w:t>
            </w:r>
            <w:r w:rsidRPr="0053423A">
              <w:t>ձևավորված</w:t>
            </w:r>
            <w:r w:rsidRPr="0053423A">
              <w:rPr>
                <w:lang w:val="af-ZA"/>
              </w:rPr>
              <w:t xml:space="preserve"> </w:t>
            </w:r>
            <w:r w:rsidRPr="0053423A">
              <w:t>պետական</w:t>
            </w:r>
            <w:r w:rsidRPr="0053423A">
              <w:rPr>
                <w:lang w:val="af-ZA"/>
              </w:rPr>
              <w:t xml:space="preserve"> </w:t>
            </w:r>
            <w:r w:rsidRPr="0053423A">
              <w:t>պարտավորությունների</w:t>
            </w:r>
            <w:r w:rsidRPr="0053423A">
              <w:rPr>
                <w:lang w:val="af-ZA"/>
              </w:rPr>
              <w:t xml:space="preserve"> </w:t>
            </w:r>
            <w:r w:rsidRPr="0053423A">
              <w:t>կատարումը</w:t>
            </w:r>
            <w:r w:rsidRPr="0053423A">
              <w:rPr>
                <w:lang w:val="af-ZA"/>
              </w:rPr>
              <w:t>:</w:t>
            </w:r>
          </w:p>
          <w:p w:rsidR="00D75F05" w:rsidRPr="0053423A" w:rsidRDefault="00D75F05" w:rsidP="001F6D5D">
            <w:pPr>
              <w:pStyle w:val="ListParagraph1"/>
              <w:numPr>
                <w:ilvl w:val="1"/>
                <w:numId w:val="315"/>
              </w:numPr>
              <w:tabs>
                <w:tab w:val="left" w:pos="540"/>
                <w:tab w:val="left" w:pos="900"/>
              </w:tabs>
              <w:spacing w:after="0"/>
              <w:ind w:left="0" w:firstLine="0"/>
              <w:contextualSpacing w:val="0"/>
              <w:rPr>
                <w:rFonts w:ascii="GHEA Grapalat" w:hAnsi="GHEA Grapalat"/>
                <w:b/>
                <w:lang w:val="af-ZA"/>
              </w:rPr>
            </w:pPr>
            <w:r w:rsidRPr="0053423A">
              <w:rPr>
                <w:rFonts w:ascii="GHEA Grapalat" w:hAnsi="GHEA Grapalat"/>
                <w:b/>
                <w:lang w:val="hy-AM"/>
              </w:rPr>
              <w:t>Կարգավորման հարաբերությունների ներկա վիճակը և առկա խնդիրները</w:t>
            </w:r>
          </w:p>
          <w:p w:rsidR="00D75F05" w:rsidRPr="0053423A" w:rsidRDefault="00D75F05" w:rsidP="00A67858">
            <w:pPr>
              <w:tabs>
                <w:tab w:val="left" w:pos="-360"/>
                <w:tab w:val="left" w:pos="360"/>
              </w:tabs>
              <w:spacing w:line="276" w:lineRule="auto"/>
              <w:jc w:val="both"/>
              <w:rPr>
                <w:rFonts w:cs="Sylfaen"/>
                <w:lang w:val="af-ZA" w:eastAsia="en-US"/>
              </w:rPr>
            </w:pPr>
            <w:r w:rsidRPr="0053423A">
              <w:rPr>
                <w:lang w:val="nb-NO"/>
              </w:rPr>
              <w:t>ՀՀ</w:t>
            </w:r>
            <w:r w:rsidRPr="0053423A">
              <w:rPr>
                <w:lang w:val="af-ZA"/>
              </w:rPr>
              <w:t xml:space="preserve"> </w:t>
            </w:r>
            <w:r w:rsidRPr="0053423A">
              <w:rPr>
                <w:lang w:val="nb-NO"/>
              </w:rPr>
              <w:t>Շիրակի</w:t>
            </w:r>
            <w:r w:rsidRPr="0053423A">
              <w:rPr>
                <w:lang w:val="af-ZA"/>
              </w:rPr>
              <w:t xml:space="preserve">, </w:t>
            </w:r>
            <w:r w:rsidRPr="0053423A">
              <w:rPr>
                <w:lang w:val="nb-NO"/>
              </w:rPr>
              <w:t>Լոռու</w:t>
            </w:r>
            <w:r w:rsidRPr="0053423A">
              <w:rPr>
                <w:lang w:val="af-ZA"/>
              </w:rPr>
              <w:t xml:space="preserve"> </w:t>
            </w:r>
            <w:r w:rsidRPr="0053423A">
              <w:rPr>
                <w:lang w:val="nb-NO"/>
              </w:rPr>
              <w:t>և</w:t>
            </w:r>
            <w:r w:rsidRPr="0053423A">
              <w:rPr>
                <w:lang w:val="af-ZA"/>
              </w:rPr>
              <w:t xml:space="preserve"> </w:t>
            </w:r>
            <w:r w:rsidRPr="0053423A">
              <w:rPr>
                <w:lang w:val="nb-NO"/>
              </w:rPr>
              <w:t>Արագածոտնի</w:t>
            </w:r>
            <w:r w:rsidRPr="0053423A">
              <w:rPr>
                <w:lang w:val="af-ZA"/>
              </w:rPr>
              <w:t xml:space="preserve"> </w:t>
            </w:r>
            <w:r w:rsidRPr="0053423A">
              <w:rPr>
                <w:lang w:val="nb-NO"/>
              </w:rPr>
              <w:t>մարզերի</w:t>
            </w:r>
            <w:r w:rsidRPr="0053423A">
              <w:rPr>
                <w:lang w:val="af-ZA"/>
              </w:rPr>
              <w:t xml:space="preserve"> </w:t>
            </w:r>
            <w:r w:rsidRPr="0053423A">
              <w:rPr>
                <w:lang w:val="nb-NO"/>
              </w:rPr>
              <w:t>բնակավայրերում</w:t>
            </w:r>
            <w:r w:rsidRPr="0053423A">
              <w:rPr>
                <w:lang w:val="af-ZA"/>
              </w:rPr>
              <w:t xml:space="preserve"> </w:t>
            </w:r>
            <w:r w:rsidRPr="0053423A">
              <w:t>երկրաշարժի</w:t>
            </w:r>
            <w:r w:rsidRPr="0053423A">
              <w:rPr>
                <w:lang w:val="af-ZA"/>
              </w:rPr>
              <w:t xml:space="preserve"> </w:t>
            </w:r>
            <w:r w:rsidRPr="0053423A">
              <w:t>հետևանքով</w:t>
            </w:r>
            <w:r w:rsidRPr="0053423A">
              <w:rPr>
                <w:lang w:val="af-ZA"/>
              </w:rPr>
              <w:t xml:space="preserve"> </w:t>
            </w:r>
            <w:r w:rsidRPr="0053423A">
              <w:t>անօթևան</w:t>
            </w:r>
            <w:r w:rsidRPr="0053423A">
              <w:rPr>
                <w:lang w:val="af-ZA"/>
              </w:rPr>
              <w:t xml:space="preserve"> </w:t>
            </w:r>
            <w:r w:rsidRPr="0053423A">
              <w:t>մնացած</w:t>
            </w:r>
            <w:r w:rsidRPr="0053423A">
              <w:rPr>
                <w:lang w:val="af-ZA"/>
              </w:rPr>
              <w:t xml:space="preserve">, սահմանված կարգով </w:t>
            </w:r>
            <w:r w:rsidRPr="0053423A">
              <w:rPr>
                <w:lang w:val="nb-NO"/>
              </w:rPr>
              <w:t>համապատասխան</w:t>
            </w:r>
            <w:r w:rsidRPr="0053423A">
              <w:rPr>
                <w:lang w:val="af-ZA"/>
              </w:rPr>
              <w:t xml:space="preserve"> </w:t>
            </w:r>
            <w:r w:rsidRPr="0053423A">
              <w:rPr>
                <w:lang w:val="nb-NO"/>
              </w:rPr>
              <w:t>համայնքների</w:t>
            </w:r>
            <w:r w:rsidRPr="0053423A">
              <w:rPr>
                <w:lang w:val="af-ZA"/>
              </w:rPr>
              <w:t xml:space="preserve"> </w:t>
            </w:r>
            <w:r w:rsidRPr="0053423A">
              <w:rPr>
                <w:lang w:val="nb-NO"/>
              </w:rPr>
              <w:t>ղեկավարների</w:t>
            </w:r>
            <w:r w:rsidRPr="0053423A">
              <w:rPr>
                <w:lang w:val="af-ZA"/>
              </w:rPr>
              <w:t xml:space="preserve"> </w:t>
            </w:r>
            <w:r w:rsidRPr="0053423A">
              <w:rPr>
                <w:lang w:val="nb-NO"/>
              </w:rPr>
              <w:t>կողմից</w:t>
            </w:r>
            <w:r w:rsidRPr="0053423A">
              <w:rPr>
                <w:lang w:val="af-ZA"/>
              </w:rPr>
              <w:t xml:space="preserve">   </w:t>
            </w:r>
            <w:r w:rsidRPr="0053423A">
              <w:rPr>
                <w:lang w:val="nb-NO"/>
              </w:rPr>
              <w:t>հաշվառված</w:t>
            </w:r>
            <w:r w:rsidRPr="0053423A">
              <w:rPr>
                <w:lang w:val="af-ZA"/>
              </w:rPr>
              <w:t xml:space="preserve"> </w:t>
            </w:r>
            <w:r w:rsidRPr="0053423A">
              <w:rPr>
                <w:lang w:val="nb-NO"/>
              </w:rPr>
              <w:t>և</w:t>
            </w:r>
            <w:r w:rsidRPr="0053423A">
              <w:rPr>
                <w:lang w:val="af-ZA"/>
              </w:rPr>
              <w:t xml:space="preserve"> </w:t>
            </w:r>
            <w:r w:rsidRPr="0053423A">
              <w:rPr>
                <w:lang w:val="nb-NO"/>
              </w:rPr>
              <w:t>աղետի</w:t>
            </w:r>
            <w:r w:rsidRPr="0053423A">
              <w:rPr>
                <w:lang w:val="af-ZA"/>
              </w:rPr>
              <w:t xml:space="preserve"> </w:t>
            </w:r>
            <w:r w:rsidRPr="0053423A">
              <w:rPr>
                <w:lang w:val="nb-NO"/>
              </w:rPr>
              <w:t>գոտու</w:t>
            </w:r>
            <w:r w:rsidRPr="0053423A">
              <w:rPr>
                <w:lang w:val="af-ZA"/>
              </w:rPr>
              <w:t xml:space="preserve"> </w:t>
            </w:r>
            <w:r w:rsidRPr="0053423A">
              <w:rPr>
                <w:lang w:val="nb-NO"/>
              </w:rPr>
              <w:t>բնակավայրերում</w:t>
            </w:r>
            <w:r w:rsidRPr="0053423A">
              <w:rPr>
                <w:lang w:val="af-ZA"/>
              </w:rPr>
              <w:t xml:space="preserve"> </w:t>
            </w:r>
            <w:r w:rsidRPr="0053423A">
              <w:rPr>
                <w:lang w:val="nb-NO"/>
              </w:rPr>
              <w:t>երկրաշարժի</w:t>
            </w:r>
            <w:r w:rsidRPr="0053423A">
              <w:rPr>
                <w:lang w:val="af-ZA"/>
              </w:rPr>
              <w:t xml:space="preserve"> </w:t>
            </w:r>
            <w:r w:rsidRPr="0053423A">
              <w:rPr>
                <w:lang w:val="nb-NO"/>
              </w:rPr>
              <w:t>հետևանքով</w:t>
            </w:r>
            <w:r w:rsidRPr="0053423A">
              <w:rPr>
                <w:lang w:val="af-ZA"/>
              </w:rPr>
              <w:t xml:space="preserve"> </w:t>
            </w:r>
            <w:r w:rsidRPr="0053423A">
              <w:rPr>
                <w:lang w:val="nb-NO"/>
              </w:rPr>
              <w:t>անօթևան</w:t>
            </w:r>
            <w:r w:rsidRPr="0053423A">
              <w:rPr>
                <w:lang w:val="af-ZA"/>
              </w:rPr>
              <w:t xml:space="preserve"> </w:t>
            </w:r>
            <w:r w:rsidRPr="0053423A">
              <w:rPr>
                <w:lang w:val="nb-NO"/>
              </w:rPr>
              <w:t>մնացած</w:t>
            </w:r>
            <w:r w:rsidRPr="0053423A">
              <w:rPr>
                <w:lang w:val="af-ZA"/>
              </w:rPr>
              <w:t xml:space="preserve"> </w:t>
            </w:r>
            <w:r w:rsidRPr="0053423A">
              <w:rPr>
                <w:lang w:val="nb-NO"/>
              </w:rPr>
              <w:t>ընտանիքների</w:t>
            </w:r>
            <w:r w:rsidRPr="0053423A">
              <w:rPr>
                <w:lang w:val="af-ZA"/>
              </w:rPr>
              <w:t xml:space="preserve"> </w:t>
            </w:r>
            <w:r w:rsidRPr="0053423A">
              <w:rPr>
                <w:lang w:val="nb-NO"/>
              </w:rPr>
              <w:t>բնակարանային</w:t>
            </w:r>
            <w:r w:rsidRPr="0053423A">
              <w:rPr>
                <w:lang w:val="af-ZA"/>
              </w:rPr>
              <w:t xml:space="preserve"> </w:t>
            </w:r>
            <w:r w:rsidRPr="0053423A">
              <w:rPr>
                <w:lang w:val="nb-NO"/>
              </w:rPr>
              <w:t>խնդիրների</w:t>
            </w:r>
            <w:r w:rsidRPr="0053423A">
              <w:rPr>
                <w:lang w:val="af-ZA"/>
              </w:rPr>
              <w:t xml:space="preserve"> </w:t>
            </w:r>
            <w:r w:rsidRPr="0053423A">
              <w:rPr>
                <w:lang w:val="nb-NO"/>
              </w:rPr>
              <w:t>լուծման</w:t>
            </w:r>
            <w:r w:rsidRPr="0053423A">
              <w:rPr>
                <w:lang w:val="af-ZA"/>
              </w:rPr>
              <w:t xml:space="preserve"> </w:t>
            </w:r>
            <w:r w:rsidRPr="0053423A">
              <w:rPr>
                <w:lang w:val="nb-NO"/>
              </w:rPr>
              <w:t>նպատակով</w:t>
            </w:r>
            <w:r w:rsidRPr="0053423A">
              <w:rPr>
                <w:lang w:val="af-ZA"/>
              </w:rPr>
              <w:t xml:space="preserve"> </w:t>
            </w:r>
            <w:r w:rsidRPr="0053423A">
              <w:rPr>
                <w:lang w:val="nb-NO"/>
              </w:rPr>
              <w:t>պետական</w:t>
            </w:r>
            <w:r w:rsidRPr="0053423A">
              <w:rPr>
                <w:lang w:val="af-ZA"/>
              </w:rPr>
              <w:t xml:space="preserve"> </w:t>
            </w:r>
            <w:r w:rsidRPr="0053423A">
              <w:rPr>
                <w:lang w:val="nb-NO"/>
              </w:rPr>
              <w:t xml:space="preserve">աջակցությամբ իրականացվող բնակապահովման ծրագրի (այսուհետ՝ ծրագիր) շրջանակներում 2008-2019 թվականների ընթացքում շահառու է ճանաչվել մոտ 5396 ընտանիք </w:t>
            </w:r>
            <w:r w:rsidRPr="0053423A">
              <w:rPr>
                <w:rFonts w:cs="Sylfaen"/>
                <w:lang w:val="af-ZA" w:eastAsia="en-US"/>
              </w:rPr>
              <w:t xml:space="preserve">(2018 թվականի նկատմամբ թիվը 5381-ից աճել է բնակապահովման իրավունքը վերականգնած ընտանիքների հաշվին): </w:t>
            </w:r>
          </w:p>
          <w:p w:rsidR="00D75F05" w:rsidRPr="0053423A" w:rsidRDefault="00D75F05" w:rsidP="00A67858">
            <w:pPr>
              <w:tabs>
                <w:tab w:val="left" w:pos="-360"/>
                <w:tab w:val="left" w:pos="360"/>
              </w:tabs>
              <w:spacing w:line="276" w:lineRule="auto"/>
              <w:jc w:val="both"/>
              <w:rPr>
                <w:rFonts w:cs="Sylfaen"/>
                <w:lang w:val="af-ZA" w:eastAsia="en-US"/>
              </w:rPr>
            </w:pPr>
            <w:r w:rsidRPr="0053423A">
              <w:rPr>
                <w:rFonts w:cs="Sylfaen"/>
                <w:lang w:val="af-ZA" w:eastAsia="en-US"/>
              </w:rPr>
              <w:t>Նշված ընտանիքներից լուծվել է 4839 ընտանիքի բնակարանային խնդիրը լուծվել է 2008-2017 թվականներին, 44 ընտանիքի բնակարանային խնդիրը կլուծվի ՀՀ 2018 թվականի պետական բյուջեով հատկացված մոտ 560.0 մլն. դրամի հաշվին՝ ՀՀ կառավարության                  2018 թվականի նոյեմբերի 22-ի N1339-Ն որոշմամբ նախատեսված կարգով:</w:t>
            </w:r>
          </w:p>
          <w:p w:rsidR="00D75F05" w:rsidRPr="0053423A" w:rsidRDefault="00D75F05" w:rsidP="00A67858">
            <w:pPr>
              <w:tabs>
                <w:tab w:val="left" w:pos="-360"/>
                <w:tab w:val="left" w:pos="360"/>
              </w:tabs>
              <w:spacing w:line="276" w:lineRule="auto"/>
              <w:jc w:val="both"/>
              <w:rPr>
                <w:rFonts w:cs="Sylfaen"/>
                <w:lang w:val="af-ZA" w:eastAsia="en-US"/>
              </w:rPr>
            </w:pPr>
            <w:r w:rsidRPr="0053423A">
              <w:rPr>
                <w:rFonts w:cs="Sylfaen"/>
                <w:lang w:val="af-ZA" w:eastAsia="en-US"/>
              </w:rPr>
              <w:t xml:space="preserve">Արդյունքում, դեռևս լուծման կարիք ունի Ծրագրի շահառու ճանաչված 513 ընտանիքի բնակարանային խնդիր (320-ը՝ ՀՀ Լոռու, 163-ը՝ ՀՀ Շիրակի և 30-ը՝ ՀՀ Արագածոտնի մարզերի բնակավայրերում), որի համար կպահանջվի մոտ 3.5 մլրդ. դրամ </w:t>
            </w:r>
            <w:r w:rsidRPr="0053423A">
              <w:rPr>
                <w:i/>
                <w:iCs/>
                <w:u w:val="single"/>
                <w:lang w:val="af-ZA"/>
              </w:rPr>
              <w:t>(գումարը հաշվարկված է ֆինանսական աջակցության տրամադրման համար և բնակարանային ապահովման ուղղությունը բնակարանային շինարարություն դիտարկելու դեպքում այն կփոփոխվի՝ աճման միտումով),</w:t>
            </w:r>
            <w:r w:rsidRPr="0053423A">
              <w:rPr>
                <w:i/>
                <w:iCs/>
                <w:lang w:val="af-ZA"/>
              </w:rPr>
              <w:t xml:space="preserve"> </w:t>
            </w:r>
            <w:r w:rsidRPr="0053423A">
              <w:rPr>
                <w:lang w:val="af-ZA"/>
              </w:rPr>
              <w:t>որ</w:t>
            </w:r>
            <w:r w:rsidRPr="0053423A">
              <w:rPr>
                <w:rFonts w:cs="GHEA Grapalat"/>
                <w:spacing w:val="-4"/>
                <w:lang w:val="af-ZA"/>
              </w:rPr>
              <w:t xml:space="preserve">ից </w:t>
            </w:r>
            <w:r w:rsidRPr="0053423A">
              <w:rPr>
                <w:rFonts w:cs="GHEA Grapalat"/>
                <w:spacing w:val="-4"/>
                <w:lang w:val="de-DE"/>
              </w:rPr>
              <w:t>ՀՀ</w:t>
            </w:r>
            <w:r w:rsidRPr="0053423A">
              <w:rPr>
                <w:rFonts w:cs="GHEA Grapalat"/>
                <w:spacing w:val="-4"/>
                <w:lang w:val="af-ZA"/>
              </w:rPr>
              <w:t xml:space="preserve"> 2019 </w:t>
            </w:r>
            <w:r w:rsidRPr="0053423A">
              <w:rPr>
                <w:rFonts w:cs="GHEA Grapalat"/>
                <w:spacing w:val="-4"/>
                <w:lang w:val="de-DE"/>
              </w:rPr>
              <w:t>թվականի</w:t>
            </w:r>
            <w:r w:rsidRPr="0053423A">
              <w:rPr>
                <w:rFonts w:cs="GHEA Grapalat"/>
                <w:spacing w:val="-4"/>
                <w:lang w:val="af-ZA"/>
              </w:rPr>
              <w:t xml:space="preserve"> բյուջեով ն</w:t>
            </w:r>
            <w:r w:rsidRPr="0053423A">
              <w:rPr>
                <w:rFonts w:cs="GHEA Grapalat"/>
                <w:spacing w:val="-4"/>
                <w:lang w:val="de-DE"/>
              </w:rPr>
              <w:t>ախատեսվել</w:t>
            </w:r>
            <w:r w:rsidRPr="0053423A">
              <w:rPr>
                <w:rFonts w:cs="GHEA Grapalat"/>
                <w:spacing w:val="-4"/>
                <w:lang w:val="af-ZA"/>
              </w:rPr>
              <w:t xml:space="preserve"> </w:t>
            </w:r>
            <w:r w:rsidRPr="0053423A">
              <w:rPr>
                <w:rFonts w:cs="GHEA Grapalat"/>
                <w:spacing w:val="-4"/>
                <w:lang w:val="de-DE"/>
              </w:rPr>
              <w:t>է</w:t>
            </w:r>
            <w:r w:rsidRPr="0053423A">
              <w:rPr>
                <w:rFonts w:cs="GHEA Grapalat"/>
                <w:spacing w:val="-4"/>
                <w:lang w:val="af-ZA"/>
              </w:rPr>
              <w:t xml:space="preserve">  560.0 մլն. ՀՀ դրամ:</w:t>
            </w:r>
          </w:p>
          <w:p w:rsidR="00D75F05" w:rsidRPr="0053423A" w:rsidRDefault="00D75F05" w:rsidP="001F6D5D">
            <w:pPr>
              <w:pStyle w:val="ListParagraph"/>
              <w:numPr>
                <w:ilvl w:val="1"/>
                <w:numId w:val="315"/>
              </w:numPr>
              <w:spacing w:line="276" w:lineRule="auto"/>
              <w:ind w:left="0" w:firstLine="0"/>
              <w:rPr>
                <w:b/>
              </w:rPr>
            </w:pPr>
            <w:r w:rsidRPr="0053423A">
              <w:rPr>
                <w:b/>
                <w:lang w:val="hy-AM"/>
              </w:rPr>
              <w:t>Առկա</w:t>
            </w:r>
            <w:r w:rsidRPr="0053423A">
              <w:rPr>
                <w:b/>
                <w:lang w:val="af-ZA"/>
              </w:rPr>
              <w:t xml:space="preserve"> </w:t>
            </w:r>
            <w:r w:rsidRPr="0053423A">
              <w:rPr>
                <w:b/>
                <w:lang w:val="hy-AM"/>
              </w:rPr>
              <w:t>խնդիրների</w:t>
            </w:r>
            <w:r w:rsidRPr="0053423A">
              <w:rPr>
                <w:b/>
                <w:lang w:val="af-ZA"/>
              </w:rPr>
              <w:t xml:space="preserve"> </w:t>
            </w:r>
            <w:r w:rsidRPr="0053423A">
              <w:rPr>
                <w:b/>
                <w:lang w:val="hy-AM"/>
              </w:rPr>
              <w:t>առաջարկվող</w:t>
            </w:r>
            <w:r w:rsidRPr="0053423A">
              <w:rPr>
                <w:b/>
                <w:lang w:val="af-ZA"/>
              </w:rPr>
              <w:t xml:space="preserve"> </w:t>
            </w:r>
            <w:r w:rsidRPr="0053423A">
              <w:rPr>
                <w:b/>
                <w:lang w:val="hy-AM"/>
              </w:rPr>
              <w:t>լուծումները</w:t>
            </w:r>
          </w:p>
          <w:p w:rsidR="00D75F05" w:rsidRPr="0053423A" w:rsidRDefault="00D75F05" w:rsidP="00A67858">
            <w:pPr>
              <w:tabs>
                <w:tab w:val="left" w:pos="-360"/>
                <w:tab w:val="left" w:pos="0"/>
              </w:tabs>
              <w:spacing w:line="276" w:lineRule="auto"/>
              <w:jc w:val="both"/>
              <w:rPr>
                <w:rFonts w:cs="Sylfaen"/>
                <w:lang w:val="af-ZA" w:eastAsia="en-US"/>
              </w:rPr>
            </w:pPr>
            <w:r w:rsidRPr="0053423A">
              <w:rPr>
                <w:rFonts w:cs="Sylfaen"/>
                <w:lang w:val="af-ZA" w:eastAsia="en-US"/>
              </w:rPr>
              <w:tab/>
              <w:t>Հաշվի առնելով, որ.</w:t>
            </w:r>
          </w:p>
          <w:p w:rsidR="00D75F05" w:rsidRPr="0053423A" w:rsidRDefault="00D75F05" w:rsidP="00A67858">
            <w:pPr>
              <w:tabs>
                <w:tab w:val="left" w:pos="-360"/>
                <w:tab w:val="left" w:pos="0"/>
              </w:tabs>
              <w:spacing w:line="276" w:lineRule="auto"/>
              <w:jc w:val="both"/>
              <w:rPr>
                <w:rFonts w:cs="Sylfaen"/>
                <w:lang w:val="af-ZA" w:eastAsia="en-US"/>
              </w:rPr>
            </w:pPr>
            <w:r w:rsidRPr="0053423A">
              <w:rPr>
                <w:rFonts w:cs="Sylfaen"/>
                <w:lang w:val="af-ZA" w:eastAsia="en-US"/>
              </w:rPr>
              <w:tab/>
              <w:t xml:space="preserve">- երկրաշարժի հետևանքով անօթևան մնացած ընտանիքներին բնակարաններով ապահովելու խնդիրն առավելագույն սեղմ ժամկետում լուծելու հարցը ներառված է, ինչպես ՀՀ կառավարության 2018 թվականի հունիսի 1-ի N581-Ա, այնպես էլ ՀՀ կառավարության 2019 թվականի փետրվարի 14-ի N65-Ա որոշումներով հավանության արժանացած՝ ՀՀ կառավարության ծրագրերում: </w:t>
            </w:r>
          </w:p>
          <w:p w:rsidR="00D75F05" w:rsidRPr="0053423A" w:rsidRDefault="00D75F05" w:rsidP="00A67858">
            <w:pPr>
              <w:tabs>
                <w:tab w:val="left" w:pos="-360"/>
                <w:tab w:val="left" w:pos="360"/>
              </w:tabs>
              <w:spacing w:line="276" w:lineRule="auto"/>
              <w:jc w:val="both"/>
              <w:rPr>
                <w:rFonts w:cs="Sylfaen"/>
                <w:lang w:val="af-ZA" w:eastAsia="en-US"/>
              </w:rPr>
            </w:pPr>
            <w:r w:rsidRPr="0053423A">
              <w:rPr>
                <w:rFonts w:cs="Sylfaen"/>
                <w:lang w:val="af-ZA" w:eastAsia="en-US"/>
              </w:rPr>
              <w:t>- ՀՀ կառավարության 2018-2022 թվականների գործունեության միջոցառումների ծրագրով Ծրագրի շահառու ճանաչված, սակայն Ծրագրի շրջանակներում բնակարանային պայմանները դեռևս չբարելաված ընտանիքների բնակարանային խնդիրների լուծման նկատմամբ ձևավորված պարտավորությունների կատարման ժամկետ էր սահմանվել 2020 թվականը,</w:t>
            </w:r>
            <w:r w:rsidRPr="0053423A">
              <w:rPr>
                <w:rFonts w:cs="Sylfaen"/>
                <w:lang w:val="hy-AM" w:eastAsia="en-US"/>
              </w:rPr>
              <w:t xml:space="preserve"> </w:t>
            </w:r>
            <w:r w:rsidRPr="0053423A">
              <w:rPr>
                <w:rFonts w:cs="Sylfaen"/>
                <w:lang w:val="af-ZA" w:eastAsia="en-US"/>
              </w:rPr>
              <w:t>Առաջարկվում է՝</w:t>
            </w:r>
          </w:p>
          <w:p w:rsidR="00D75F05" w:rsidRPr="0053423A" w:rsidRDefault="00D75F05" w:rsidP="00A67858">
            <w:pPr>
              <w:tabs>
                <w:tab w:val="left" w:pos="-360"/>
                <w:tab w:val="left" w:pos="360"/>
              </w:tabs>
              <w:spacing w:line="276" w:lineRule="auto"/>
              <w:jc w:val="both"/>
              <w:rPr>
                <w:rFonts w:cs="Sylfaen"/>
                <w:lang w:val="af-ZA" w:eastAsia="en-US"/>
              </w:rPr>
            </w:pPr>
            <w:r w:rsidRPr="0053423A">
              <w:rPr>
                <w:rFonts w:cs="Sylfaen"/>
                <w:lang w:val="af-ZA" w:eastAsia="en-US"/>
              </w:rPr>
              <w:t>- 2020 թվականին ավարտին հասցնել Ծրագրի շահառու ճանաչված, սակայն Ծրագրի շրջանակներում բնակարանային պայմանները դեռևս չբարելաված ընտանիքների բնակարանային խնդիրների լուծման նկատմամբ ձևավորված պետական պարտավորությունների կատարումը,</w:t>
            </w:r>
            <w:r w:rsidRPr="0053423A">
              <w:rPr>
                <w:rFonts w:cs="Sylfaen"/>
                <w:lang w:val="af-ZA" w:eastAsia="en-US"/>
              </w:rPr>
              <w:tab/>
            </w:r>
          </w:p>
          <w:p w:rsidR="00D75F05" w:rsidRPr="0053423A" w:rsidRDefault="00D75F05" w:rsidP="00A67858">
            <w:pPr>
              <w:pStyle w:val="ListParagraph"/>
              <w:spacing w:line="276" w:lineRule="auto"/>
              <w:ind w:left="0"/>
              <w:jc w:val="both"/>
              <w:rPr>
                <w:b/>
                <w:lang w:val="hy-AM"/>
              </w:rPr>
            </w:pPr>
            <w:r w:rsidRPr="0053423A">
              <w:rPr>
                <w:b/>
                <w:lang w:val="af-ZA"/>
              </w:rPr>
              <w:t xml:space="preserve">2. </w:t>
            </w:r>
            <w:r w:rsidRPr="0053423A">
              <w:rPr>
                <w:b/>
                <w:lang w:val="hy-AM"/>
              </w:rPr>
              <w:t>Միջոցառման</w:t>
            </w:r>
            <w:r w:rsidRPr="0053423A">
              <w:rPr>
                <w:b/>
                <w:lang w:val="af-ZA"/>
              </w:rPr>
              <w:t xml:space="preserve"> </w:t>
            </w:r>
            <w:r w:rsidRPr="0053423A">
              <w:rPr>
                <w:b/>
                <w:lang w:val="hy-AM"/>
              </w:rPr>
              <w:t>իրականացումից</w:t>
            </w:r>
            <w:r w:rsidRPr="0053423A">
              <w:rPr>
                <w:b/>
                <w:lang w:val="af-ZA"/>
              </w:rPr>
              <w:t xml:space="preserve"> </w:t>
            </w:r>
            <w:r w:rsidRPr="0053423A">
              <w:rPr>
                <w:b/>
                <w:lang w:val="hy-AM"/>
              </w:rPr>
              <w:t>ակնկալվող</w:t>
            </w:r>
            <w:r w:rsidRPr="0053423A">
              <w:rPr>
                <w:b/>
                <w:lang w:val="af-ZA"/>
              </w:rPr>
              <w:t xml:space="preserve"> </w:t>
            </w:r>
            <w:r w:rsidRPr="0053423A">
              <w:rPr>
                <w:b/>
                <w:lang w:val="hy-AM"/>
              </w:rPr>
              <w:t>արդյունքը</w:t>
            </w:r>
          </w:p>
          <w:p w:rsidR="00D75F05" w:rsidRPr="0053423A" w:rsidRDefault="00D75F05" w:rsidP="00A67858">
            <w:pPr>
              <w:pStyle w:val="ListParagraph"/>
              <w:spacing w:line="276" w:lineRule="auto"/>
              <w:ind w:left="0"/>
              <w:jc w:val="both"/>
              <w:rPr>
                <w:rFonts w:cs="GHEA Grapalat"/>
                <w:spacing w:val="-4"/>
                <w:lang w:val="af-ZA"/>
              </w:rPr>
            </w:pPr>
            <w:r w:rsidRPr="0053423A">
              <w:rPr>
                <w:rFonts w:cs="GHEA Grapalat"/>
                <w:spacing w:val="-4"/>
                <w:lang w:val="af-ZA"/>
              </w:rPr>
              <w:t>Ծրագրի շահառու ճանաչված, սակայն Ծրագրի շրջանակներում բնակարանային պայմանները դեռևս չբարելաված ընտանիքների բնակարանային խնդիրների լուծման նկատմամբ ձևավորված պետական պարտավորությունների կատարում:</w:t>
            </w:r>
          </w:p>
          <w:p w:rsidR="00D75F05" w:rsidRPr="0053423A" w:rsidRDefault="00D75F05" w:rsidP="00A67858">
            <w:pPr>
              <w:pStyle w:val="ListParagraph"/>
              <w:spacing w:line="276" w:lineRule="auto"/>
              <w:ind w:left="0"/>
              <w:jc w:val="both"/>
              <w:rPr>
                <w:rFonts w:cs="GHEA Grapalat"/>
                <w:spacing w:val="-4"/>
                <w:lang w:val="af-ZA"/>
              </w:rPr>
            </w:pPr>
          </w:p>
          <w:p w:rsidR="00D75F05" w:rsidRPr="0053423A" w:rsidRDefault="00D75F05" w:rsidP="00A67858">
            <w:pPr>
              <w:spacing w:line="276" w:lineRule="auto"/>
              <w:jc w:val="center"/>
              <w:rPr>
                <w:rFonts w:cs="GHEA Grapalat"/>
                <w:b/>
                <w:spacing w:val="-4"/>
                <w:u w:val="single"/>
                <w:lang w:val="af-ZA" w:eastAsia="en-US"/>
              </w:rPr>
            </w:pPr>
            <w:r w:rsidRPr="0053423A">
              <w:rPr>
                <w:b/>
                <w:u w:val="single"/>
                <w:lang w:val="af-ZA"/>
              </w:rPr>
              <w:t xml:space="preserve">10.2 </w:t>
            </w:r>
            <w:r w:rsidRPr="0053423A">
              <w:rPr>
                <w:rFonts w:cs="GHEA Grapalat"/>
                <w:b/>
                <w:spacing w:val="-4"/>
                <w:u w:val="single"/>
                <w:lang w:val="af-ZA" w:eastAsia="en-US"/>
              </w:rPr>
              <w:t>Ոչ հիմնական շինությունների քանդման և տարածքների ազատման, ինչպես նաև որպես ոչ հիմնական շինություն համարակալված, սակայն</w:t>
            </w:r>
            <w:r w:rsidRPr="0053423A">
              <w:rPr>
                <w:rFonts w:cs="GHEA Grapalat"/>
                <w:b/>
                <w:spacing w:val="-4"/>
                <w:u w:val="single"/>
                <w:lang w:val="hy-AM" w:eastAsia="en-US"/>
              </w:rPr>
              <w:t xml:space="preserve"> </w:t>
            </w:r>
            <w:r w:rsidRPr="0053423A">
              <w:rPr>
                <w:rFonts w:cs="GHEA Grapalat"/>
                <w:b/>
                <w:spacing w:val="-4"/>
                <w:u w:val="single"/>
                <w:lang w:val="af-ZA" w:eastAsia="en-US"/>
              </w:rPr>
              <w:t>քաղաքաշինական փաստաթղթերի պահանջներին համապատասխանող շինությունների օրինականացմանն ուղղված մոտեցումների սահմանում</w:t>
            </w:r>
          </w:p>
          <w:p w:rsidR="00D75F05" w:rsidRPr="0053423A" w:rsidRDefault="00D75F05" w:rsidP="00A67858">
            <w:pPr>
              <w:spacing w:line="276" w:lineRule="auto"/>
              <w:rPr>
                <w:rFonts w:cs="GHEA Grapalat"/>
                <w:b/>
                <w:spacing w:val="-4"/>
                <w:lang w:val="af-ZA" w:eastAsia="en-US"/>
              </w:rPr>
            </w:pPr>
          </w:p>
          <w:p w:rsidR="00D75F05" w:rsidRPr="0053423A" w:rsidRDefault="00D75F05" w:rsidP="00A67858">
            <w:pPr>
              <w:pStyle w:val="ListParagraph1"/>
              <w:tabs>
                <w:tab w:val="left" w:pos="540"/>
                <w:tab w:val="left" w:pos="900"/>
              </w:tabs>
              <w:spacing w:after="0"/>
              <w:ind w:left="0"/>
              <w:rPr>
                <w:rFonts w:ascii="GHEA Grapalat" w:hAnsi="GHEA Grapalat"/>
                <w:b/>
                <w:lang w:val="af-ZA"/>
              </w:rPr>
            </w:pPr>
            <w:r w:rsidRPr="0053423A">
              <w:rPr>
                <w:rFonts w:ascii="GHEA Grapalat" w:hAnsi="GHEA Grapalat"/>
                <w:b/>
                <w:lang w:val="af-ZA"/>
              </w:rPr>
              <w:t xml:space="preserve">1. </w:t>
            </w: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tabs>
                <w:tab w:val="left" w:pos="360"/>
                <w:tab w:val="left" w:pos="3119"/>
                <w:tab w:val="left" w:pos="3402"/>
              </w:tabs>
              <w:spacing w:line="276" w:lineRule="auto"/>
              <w:jc w:val="both"/>
              <w:rPr>
                <w:lang w:val="af-ZA"/>
              </w:rPr>
            </w:pPr>
            <w:r w:rsidRPr="0053423A">
              <w:t>Միջոցառման</w:t>
            </w:r>
            <w:r w:rsidRPr="0053423A">
              <w:rPr>
                <w:lang w:val="af-ZA"/>
              </w:rPr>
              <w:t xml:space="preserve"> </w:t>
            </w:r>
            <w:r w:rsidRPr="0053423A">
              <w:t>անհրաժեշտությունը</w:t>
            </w:r>
            <w:r w:rsidRPr="0053423A">
              <w:rPr>
                <w:lang w:val="af-ZA"/>
              </w:rPr>
              <w:t xml:space="preserve"> </w:t>
            </w:r>
            <w:r w:rsidRPr="0053423A">
              <w:t>բխում</w:t>
            </w:r>
            <w:r w:rsidRPr="0053423A">
              <w:rPr>
                <w:lang w:val="af-ZA"/>
              </w:rPr>
              <w:t xml:space="preserve"> </w:t>
            </w:r>
            <w:r w:rsidRPr="0053423A">
              <w:t>է</w:t>
            </w:r>
            <w:r w:rsidRPr="0053423A">
              <w:rPr>
                <w:lang w:val="af-ZA"/>
              </w:rPr>
              <w:t xml:space="preserve"> </w:t>
            </w:r>
            <w:r w:rsidRPr="0053423A">
              <w:t>Հայաստանի</w:t>
            </w:r>
            <w:r w:rsidRPr="0053423A">
              <w:rPr>
                <w:lang w:val="af-ZA"/>
              </w:rPr>
              <w:t xml:space="preserve"> </w:t>
            </w:r>
            <w:r w:rsidRPr="0053423A">
              <w:t>Հանրապետության</w:t>
            </w:r>
            <w:r w:rsidRPr="0053423A">
              <w:rPr>
                <w:lang w:val="af-ZA"/>
              </w:rPr>
              <w:t xml:space="preserve"> </w:t>
            </w:r>
            <w:r w:rsidRPr="0053423A">
              <w:t>կառավարության</w:t>
            </w:r>
            <w:r w:rsidRPr="0053423A">
              <w:rPr>
                <w:lang w:val="af-ZA"/>
              </w:rPr>
              <w:t xml:space="preserve"> </w:t>
            </w:r>
            <w:r w:rsidRPr="0053423A">
              <w:t>ծրագրին</w:t>
            </w:r>
            <w:r w:rsidRPr="0053423A">
              <w:rPr>
                <w:lang w:val="af-ZA"/>
              </w:rPr>
              <w:t xml:space="preserve"> </w:t>
            </w:r>
            <w:r w:rsidRPr="0053423A">
              <w:t>հավանություն</w:t>
            </w:r>
            <w:r w:rsidRPr="0053423A">
              <w:rPr>
                <w:lang w:val="af-ZA"/>
              </w:rPr>
              <w:t xml:space="preserve"> </w:t>
            </w:r>
            <w:r w:rsidRPr="0053423A">
              <w:t>տալու</w:t>
            </w:r>
            <w:r w:rsidRPr="0053423A">
              <w:rPr>
                <w:lang w:val="af-ZA"/>
              </w:rPr>
              <w:t xml:space="preserve"> </w:t>
            </w:r>
            <w:r w:rsidRPr="0053423A">
              <w:t>մասին</w:t>
            </w:r>
            <w:r w:rsidRPr="0053423A">
              <w:rPr>
                <w:lang w:val="af-ZA"/>
              </w:rPr>
              <w:t xml:space="preserve"> </w:t>
            </w:r>
            <w:r w:rsidRPr="0053423A">
              <w:t>ՀՀ</w:t>
            </w:r>
            <w:r w:rsidRPr="0053423A">
              <w:rPr>
                <w:lang w:val="af-ZA"/>
              </w:rPr>
              <w:t xml:space="preserve"> </w:t>
            </w:r>
            <w:r w:rsidRPr="0053423A">
              <w:t>օրենքի</w:t>
            </w:r>
            <w:r w:rsidRPr="0053423A">
              <w:rPr>
                <w:lang w:val="af-ZA"/>
              </w:rPr>
              <w:t xml:space="preserve"> (14.02.2019</w:t>
            </w:r>
            <w:r w:rsidRPr="0053423A">
              <w:t>թ</w:t>
            </w:r>
            <w:r w:rsidRPr="0053423A">
              <w:rPr>
                <w:lang w:val="af-ZA"/>
              </w:rPr>
              <w:t>. N</w:t>
            </w:r>
            <w:r w:rsidRPr="0053423A">
              <w:t>ԱԺՈ</w:t>
            </w:r>
            <w:r w:rsidRPr="0053423A">
              <w:rPr>
                <w:lang w:val="af-ZA"/>
              </w:rPr>
              <w:t>-002-</w:t>
            </w:r>
            <w:r w:rsidRPr="0053423A">
              <w:t>Ն</w:t>
            </w:r>
            <w:r w:rsidRPr="0053423A">
              <w:rPr>
                <w:lang w:val="af-ZA"/>
              </w:rPr>
              <w:t xml:space="preserve">) </w:t>
            </w:r>
            <w:r w:rsidRPr="0053423A">
              <w:rPr>
                <w:rFonts w:ascii="Calibri" w:hAnsi="Calibri" w:cs="Calibri"/>
                <w:lang w:val="af-ZA"/>
              </w:rPr>
              <w:t> </w:t>
            </w:r>
            <w:r w:rsidRPr="0053423A">
              <w:rPr>
                <w:rFonts w:cs="GHEA Grapalat"/>
                <w:lang w:val="af-ZA"/>
              </w:rPr>
              <w:t>4.2</w:t>
            </w:r>
            <w:r w:rsidRPr="0053423A">
              <w:rPr>
                <w:lang w:val="af-ZA"/>
              </w:rPr>
              <w:t xml:space="preserve"> </w:t>
            </w:r>
            <w:r w:rsidRPr="0053423A">
              <w:t>բաժնի</w:t>
            </w:r>
            <w:r w:rsidRPr="0053423A">
              <w:rPr>
                <w:lang w:val="af-ZA"/>
              </w:rPr>
              <w:t xml:space="preserve"> </w:t>
            </w:r>
            <w:r w:rsidRPr="0053423A">
              <w:t>վերջին</w:t>
            </w:r>
            <w:r w:rsidRPr="0053423A">
              <w:rPr>
                <w:lang w:val="af-ZA"/>
              </w:rPr>
              <w:t xml:space="preserve"> </w:t>
            </w:r>
            <w:r w:rsidRPr="0053423A">
              <w:t>պարբերության</w:t>
            </w:r>
            <w:r w:rsidRPr="0053423A">
              <w:rPr>
                <w:lang w:val="af-ZA"/>
              </w:rPr>
              <w:t xml:space="preserve"> և Աղետի գոտու վերականգնման համալիր ծրագիրը հաստատելու մասին ՀՀ օրենքի 4-րդ և 7-րդ բաժինների </w:t>
            </w:r>
            <w:r w:rsidRPr="0053423A">
              <w:t>դրույթներից</w:t>
            </w:r>
            <w:r w:rsidRPr="0053423A">
              <w:rPr>
                <w:lang w:val="af-ZA"/>
              </w:rPr>
              <w:t xml:space="preserve">: </w:t>
            </w:r>
          </w:p>
          <w:p w:rsidR="00D75F05" w:rsidRPr="0053423A" w:rsidRDefault="00D75F05" w:rsidP="00A67858">
            <w:pPr>
              <w:tabs>
                <w:tab w:val="left" w:pos="360"/>
                <w:tab w:val="left" w:pos="3119"/>
                <w:tab w:val="left" w:pos="3402"/>
              </w:tabs>
              <w:spacing w:line="276" w:lineRule="auto"/>
              <w:jc w:val="both"/>
              <w:rPr>
                <w:lang w:val="af-ZA"/>
              </w:rPr>
            </w:pPr>
            <w:r w:rsidRPr="0053423A">
              <w:rPr>
                <w:lang w:val="af-ZA"/>
              </w:rPr>
              <w:t>Միջոցառման նպատակ</w:t>
            </w:r>
            <w:r w:rsidRPr="0053423A">
              <w:t>ը՝</w:t>
            </w:r>
            <w:r w:rsidRPr="0053423A">
              <w:rPr>
                <w:lang w:val="af-ZA"/>
              </w:rPr>
              <w:t xml:space="preserve"> </w:t>
            </w:r>
            <w:r w:rsidRPr="0053423A">
              <w:t>աղետի</w:t>
            </w:r>
            <w:r w:rsidRPr="0053423A">
              <w:rPr>
                <w:lang w:val="af-ZA"/>
              </w:rPr>
              <w:t xml:space="preserve"> </w:t>
            </w:r>
            <w:r w:rsidRPr="0053423A">
              <w:t>գոտու</w:t>
            </w:r>
            <w:r w:rsidRPr="0053423A">
              <w:rPr>
                <w:lang w:val="af-ZA"/>
              </w:rPr>
              <w:t xml:space="preserve"> հետևյալ հիմնախնդիրների կանոնակարգումն է </w:t>
            </w:r>
            <w:r w:rsidRPr="0053423A">
              <w:t>Աղետի</w:t>
            </w:r>
            <w:r w:rsidRPr="0053423A">
              <w:rPr>
                <w:lang w:val="af-ZA"/>
              </w:rPr>
              <w:t xml:space="preserve"> </w:t>
            </w:r>
            <w:r w:rsidRPr="0053423A">
              <w:t>գոտու</w:t>
            </w:r>
            <w:r w:rsidRPr="0053423A">
              <w:rPr>
                <w:lang w:val="af-ZA"/>
              </w:rPr>
              <w:t xml:space="preserve"> </w:t>
            </w:r>
            <w:r w:rsidRPr="0053423A">
              <w:t>քաղաքային</w:t>
            </w:r>
            <w:r w:rsidRPr="0053423A">
              <w:rPr>
                <w:lang w:val="af-ZA"/>
              </w:rPr>
              <w:t xml:space="preserve"> </w:t>
            </w:r>
            <w:r w:rsidRPr="0053423A">
              <w:t>բնակավայրերի</w:t>
            </w:r>
            <w:r w:rsidRPr="0053423A">
              <w:rPr>
                <w:lang w:val="af-ZA"/>
              </w:rPr>
              <w:t xml:space="preserve"> </w:t>
            </w:r>
            <w:r w:rsidRPr="0053423A">
              <w:t>վարչական</w:t>
            </w:r>
            <w:r w:rsidRPr="0053423A">
              <w:rPr>
                <w:lang w:val="af-ZA"/>
              </w:rPr>
              <w:t xml:space="preserve"> </w:t>
            </w:r>
            <w:r w:rsidRPr="0053423A">
              <w:t>սահմաններում</w:t>
            </w:r>
            <w:r w:rsidRPr="0053423A">
              <w:rPr>
                <w:lang w:val="af-ZA"/>
              </w:rPr>
              <w:t xml:space="preserve"> </w:t>
            </w:r>
            <w:r w:rsidRPr="0053423A">
              <w:t>ընդգրկված՝</w:t>
            </w:r>
            <w:r w:rsidRPr="0053423A">
              <w:rPr>
                <w:lang w:val="af-ZA"/>
              </w:rPr>
              <w:t xml:space="preserve"> </w:t>
            </w:r>
            <w:r w:rsidRPr="0053423A">
              <w:t>պետական</w:t>
            </w:r>
            <w:r w:rsidRPr="0053423A">
              <w:rPr>
                <w:lang w:val="af-ZA"/>
              </w:rPr>
              <w:t xml:space="preserve"> </w:t>
            </w:r>
            <w:r w:rsidRPr="0053423A">
              <w:t>և</w:t>
            </w:r>
            <w:r w:rsidRPr="0053423A">
              <w:rPr>
                <w:lang w:val="af-ZA"/>
              </w:rPr>
              <w:t xml:space="preserve"> </w:t>
            </w:r>
            <w:r w:rsidRPr="0053423A">
              <w:t>համայնքային</w:t>
            </w:r>
            <w:r w:rsidRPr="0053423A">
              <w:rPr>
                <w:lang w:val="af-ZA"/>
              </w:rPr>
              <w:t xml:space="preserve"> </w:t>
            </w:r>
            <w:r w:rsidRPr="0053423A">
              <w:t>սեփականություն</w:t>
            </w:r>
            <w:r w:rsidRPr="0053423A">
              <w:rPr>
                <w:lang w:val="af-ZA"/>
              </w:rPr>
              <w:t xml:space="preserve"> </w:t>
            </w:r>
            <w:r w:rsidRPr="0053423A">
              <w:t>հանդիսացող</w:t>
            </w:r>
            <w:r w:rsidRPr="0053423A">
              <w:rPr>
                <w:lang w:val="af-ZA"/>
              </w:rPr>
              <w:t xml:space="preserve"> </w:t>
            </w:r>
            <w:r w:rsidRPr="0053423A">
              <w:t>տարածքները</w:t>
            </w:r>
            <w:r w:rsidRPr="0053423A">
              <w:rPr>
                <w:lang w:val="af-ZA"/>
              </w:rPr>
              <w:t xml:space="preserve"> </w:t>
            </w:r>
            <w:r w:rsidRPr="0053423A">
              <w:t>ոչ</w:t>
            </w:r>
            <w:r w:rsidRPr="0053423A">
              <w:rPr>
                <w:lang w:val="af-ZA"/>
              </w:rPr>
              <w:t xml:space="preserve"> </w:t>
            </w:r>
            <w:r w:rsidRPr="0053423A">
              <w:t>հիմնական</w:t>
            </w:r>
            <w:r w:rsidRPr="0053423A">
              <w:rPr>
                <w:lang w:val="af-ZA"/>
              </w:rPr>
              <w:t xml:space="preserve"> </w:t>
            </w:r>
            <w:r w:rsidRPr="0053423A">
              <w:t>շինություններից</w:t>
            </w:r>
            <w:r w:rsidRPr="0053423A">
              <w:rPr>
                <w:lang w:val="af-ZA"/>
              </w:rPr>
              <w:t xml:space="preserve"> </w:t>
            </w:r>
            <w:r w:rsidRPr="0053423A">
              <w:t>ազատելու</w:t>
            </w:r>
            <w:r w:rsidRPr="0053423A">
              <w:rPr>
                <w:lang w:val="af-ZA"/>
              </w:rPr>
              <w:t xml:space="preserve"> </w:t>
            </w:r>
            <w:r w:rsidRPr="0053423A">
              <w:t>և</w:t>
            </w:r>
            <w:r w:rsidRPr="0053423A">
              <w:rPr>
                <w:lang w:val="af-ZA"/>
              </w:rPr>
              <w:t xml:space="preserve"> </w:t>
            </w:r>
            <w:r w:rsidRPr="0053423A">
              <w:t>այդ</w:t>
            </w:r>
            <w:r w:rsidRPr="0053423A">
              <w:rPr>
                <w:lang w:val="af-ZA"/>
              </w:rPr>
              <w:t xml:space="preserve"> </w:t>
            </w:r>
            <w:r w:rsidRPr="0053423A">
              <w:t>շինություններում</w:t>
            </w:r>
            <w:r w:rsidRPr="0053423A">
              <w:rPr>
                <w:lang w:val="af-ZA"/>
              </w:rPr>
              <w:t xml:space="preserve"> </w:t>
            </w:r>
            <w:r w:rsidRPr="0053423A">
              <w:t>բնակվող</w:t>
            </w:r>
            <w:r w:rsidRPr="0053423A">
              <w:rPr>
                <w:lang w:val="af-ZA"/>
              </w:rPr>
              <w:t xml:space="preserve"> </w:t>
            </w:r>
            <w:r w:rsidRPr="0053423A">
              <w:t>ընտանիքների</w:t>
            </w:r>
            <w:r w:rsidRPr="0053423A">
              <w:rPr>
                <w:lang w:val="af-ZA"/>
              </w:rPr>
              <w:t xml:space="preserve"> </w:t>
            </w:r>
            <w:r w:rsidRPr="0053423A">
              <w:t>բնակարանային</w:t>
            </w:r>
            <w:r w:rsidRPr="0053423A">
              <w:rPr>
                <w:lang w:val="af-ZA"/>
              </w:rPr>
              <w:t xml:space="preserve"> </w:t>
            </w:r>
            <w:r w:rsidRPr="0053423A">
              <w:t>պայմանների</w:t>
            </w:r>
            <w:r w:rsidRPr="0053423A">
              <w:rPr>
                <w:lang w:val="af-ZA"/>
              </w:rPr>
              <w:t xml:space="preserve"> </w:t>
            </w:r>
            <w:r w:rsidRPr="0053423A">
              <w:t>բարելավման</w:t>
            </w:r>
            <w:r w:rsidRPr="0053423A">
              <w:rPr>
                <w:lang w:val="af-ZA"/>
              </w:rPr>
              <w:t xml:space="preserve"> </w:t>
            </w:r>
            <w:r w:rsidRPr="0053423A">
              <w:t>պետություն</w:t>
            </w:r>
            <w:r w:rsidRPr="0053423A">
              <w:rPr>
                <w:lang w:val="af-ZA"/>
              </w:rPr>
              <w:t>-</w:t>
            </w:r>
            <w:r w:rsidRPr="0053423A">
              <w:t>մասնավոր</w:t>
            </w:r>
            <w:r w:rsidRPr="0053423A">
              <w:rPr>
                <w:lang w:val="af-ZA"/>
              </w:rPr>
              <w:t xml:space="preserve"> </w:t>
            </w:r>
            <w:r w:rsidRPr="0053423A">
              <w:t>գործակցության</w:t>
            </w:r>
            <w:r w:rsidRPr="0053423A">
              <w:rPr>
                <w:lang w:val="af-ZA"/>
              </w:rPr>
              <w:t xml:space="preserve"> </w:t>
            </w:r>
            <w:r w:rsidRPr="0053423A">
              <w:t>ծրագրերի</w:t>
            </w:r>
            <w:r w:rsidRPr="0053423A">
              <w:rPr>
                <w:lang w:val="af-ZA"/>
              </w:rPr>
              <w:t xml:space="preserve"> </w:t>
            </w:r>
            <w:r w:rsidRPr="0053423A">
              <w:t>մշակման</w:t>
            </w:r>
            <w:r w:rsidRPr="0053423A">
              <w:rPr>
                <w:lang w:val="af-ZA"/>
              </w:rPr>
              <w:t xml:space="preserve"> </w:t>
            </w:r>
            <w:r w:rsidRPr="0053423A">
              <w:t>համար</w:t>
            </w:r>
            <w:r w:rsidRPr="0053423A">
              <w:rPr>
                <w:lang w:val="af-ZA"/>
              </w:rPr>
              <w:t xml:space="preserve"> </w:t>
            </w:r>
            <w:r w:rsidRPr="0053423A">
              <w:t>համար</w:t>
            </w:r>
            <w:r w:rsidRPr="0053423A">
              <w:rPr>
                <w:lang w:val="af-ZA"/>
              </w:rPr>
              <w:t xml:space="preserve"> </w:t>
            </w:r>
            <w:r w:rsidRPr="0053423A">
              <w:t>նախադրյալների</w:t>
            </w:r>
            <w:r w:rsidRPr="0053423A">
              <w:rPr>
                <w:lang w:val="af-ZA"/>
              </w:rPr>
              <w:t xml:space="preserve"> </w:t>
            </w:r>
            <w:r w:rsidRPr="0053423A">
              <w:t>ստեղծումը</w:t>
            </w:r>
            <w:r w:rsidRPr="0053423A">
              <w:rPr>
                <w:lang w:val="af-ZA"/>
              </w:rPr>
              <w:t>:</w:t>
            </w:r>
          </w:p>
          <w:p w:rsidR="00D75F05" w:rsidRPr="0053423A" w:rsidRDefault="00D75F05" w:rsidP="001F6D5D">
            <w:pPr>
              <w:pStyle w:val="ListParagraph1"/>
              <w:numPr>
                <w:ilvl w:val="1"/>
                <w:numId w:val="332"/>
              </w:numPr>
              <w:tabs>
                <w:tab w:val="left" w:pos="0"/>
                <w:tab w:val="left" w:pos="360"/>
                <w:tab w:val="left" w:pos="540"/>
                <w:tab w:val="left" w:pos="900"/>
              </w:tabs>
              <w:spacing w:after="0"/>
              <w:ind w:left="0" w:firstLine="0"/>
              <w:contextualSpacing w:val="0"/>
              <w:jc w:val="both"/>
              <w:rPr>
                <w:rFonts w:ascii="GHEA Grapalat" w:hAnsi="GHEA Grapalat" w:cs="GHEA Grapalat"/>
                <w:lang w:val="af-ZA"/>
              </w:rPr>
            </w:pPr>
            <w:r w:rsidRPr="0053423A">
              <w:rPr>
                <w:rFonts w:ascii="GHEA Grapalat" w:hAnsi="GHEA Grapalat"/>
                <w:b/>
                <w:lang w:val="hy-AM"/>
              </w:rPr>
              <w:t>Կարգավորման հարաբերությունների ներկա վիճակը և առկա խնդիրները</w:t>
            </w:r>
            <w:r w:rsidRPr="0053423A">
              <w:rPr>
                <w:rFonts w:ascii="GHEA Grapalat" w:hAnsi="GHEA Grapalat"/>
                <w:b/>
                <w:lang w:val="af-ZA"/>
              </w:rPr>
              <w:t xml:space="preserve"> </w:t>
            </w:r>
          </w:p>
          <w:p w:rsidR="00D75F05" w:rsidRPr="0053423A" w:rsidRDefault="00D75F05" w:rsidP="00A67858">
            <w:pPr>
              <w:pStyle w:val="ListParagraph1"/>
              <w:tabs>
                <w:tab w:val="left" w:pos="-360"/>
                <w:tab w:val="left" w:pos="360"/>
                <w:tab w:val="left" w:pos="540"/>
                <w:tab w:val="left" w:pos="900"/>
              </w:tabs>
              <w:spacing w:after="0"/>
              <w:ind w:left="0"/>
              <w:jc w:val="both"/>
              <w:rPr>
                <w:rFonts w:ascii="GHEA Grapalat" w:hAnsi="GHEA Grapalat" w:cs="GHEA Grapalat"/>
                <w:lang w:val="af-ZA"/>
              </w:rPr>
            </w:pPr>
            <w:r w:rsidRPr="0053423A">
              <w:rPr>
                <w:rFonts w:ascii="GHEA Grapalat" w:hAnsi="GHEA Grapalat" w:cs="GHEA Grapalat"/>
                <w:lang w:val="af-ZA"/>
              </w:rPr>
              <w:t>Աղետի գոտու բնակավայրերում երկրաշարժից հետո տեդադրված կամ կառուցված ոչ հիմնական շինությունների, ինչպես նաև այդ շինություններում բնակվող ընտանիքների վերաբերյալ ամբողջական և արժանահավատ տվյալներ առկա չեն, չկա նաև տեղեկատվություն ոչ հիմնական շինությունների վիճակի, տեղաբաշխման, օգտագործման նպատակի, այդ ոչ հիմնական շինություններում բնակվող ընտանիքների՝ անօթևանի կարգավիճակում հայտնվելու հիմքերի վերաբերյալ:</w:t>
            </w:r>
          </w:p>
          <w:p w:rsidR="00D75F05" w:rsidRPr="0053423A" w:rsidRDefault="00D75F05" w:rsidP="00A67858">
            <w:pPr>
              <w:pStyle w:val="ListParagraph1"/>
              <w:tabs>
                <w:tab w:val="left" w:pos="-360"/>
                <w:tab w:val="left" w:pos="360"/>
                <w:tab w:val="left" w:pos="540"/>
                <w:tab w:val="left" w:pos="900"/>
              </w:tabs>
              <w:spacing w:after="0"/>
              <w:ind w:left="0"/>
              <w:jc w:val="both"/>
              <w:rPr>
                <w:rFonts w:ascii="GHEA Grapalat" w:hAnsi="GHEA Grapalat" w:cs="GHEA Grapalat"/>
                <w:lang w:val="af-ZA"/>
              </w:rPr>
            </w:pPr>
            <w:r w:rsidRPr="0053423A">
              <w:rPr>
                <w:rFonts w:ascii="GHEA Grapalat" w:hAnsi="GHEA Grapalat" w:cs="GHEA Grapalat"/>
                <w:lang w:val="af-ZA"/>
              </w:rPr>
              <w:t xml:space="preserve">ՀՀ վարչապետի 2018 թվականի դեկտեմբերի 20-ի N1658–Ա որոշմամբ ստեղծվել է աշխատանքային խումբ (այսուհետ՝ Աշխատանքային խումբ), որին առաջադրվել են հետևյալ հիմնական խնդիրները՝ </w:t>
            </w:r>
          </w:p>
          <w:p w:rsidR="00D75F05" w:rsidRPr="0053423A" w:rsidRDefault="00D75F05" w:rsidP="00A67858">
            <w:pPr>
              <w:pStyle w:val="ListParagraph1"/>
              <w:tabs>
                <w:tab w:val="left" w:pos="-360"/>
                <w:tab w:val="left" w:pos="360"/>
                <w:tab w:val="left" w:pos="540"/>
                <w:tab w:val="left" w:pos="900"/>
              </w:tabs>
              <w:spacing w:after="0"/>
              <w:ind w:left="0"/>
              <w:jc w:val="both"/>
              <w:rPr>
                <w:rFonts w:ascii="GHEA Grapalat" w:hAnsi="GHEA Grapalat" w:cs="GHEA Grapalat"/>
                <w:lang w:val="af-ZA"/>
              </w:rPr>
            </w:pPr>
            <w:r w:rsidRPr="0053423A">
              <w:rPr>
                <w:rFonts w:ascii="GHEA Grapalat" w:hAnsi="GHEA Grapalat" w:cs="GHEA Grapalat"/>
                <w:lang w:val="af-ZA"/>
              </w:rPr>
              <w:t>- երկրաշարժից հետո աղետի գոտու բնակավայրերում տեղադրված կամ կառուցված ժամա</w:t>
            </w:r>
            <w:r w:rsidRPr="0053423A">
              <w:rPr>
                <w:rFonts w:ascii="GHEA Grapalat" w:hAnsi="GHEA Grapalat" w:cs="GHEA Grapalat"/>
                <w:lang w:val="af-ZA"/>
              </w:rPr>
              <w:softHyphen/>
              <w:t>նակավոր կացարանների՝ ըստ մարզերի և համայնքների բաշխվածության, պատկա</w:t>
            </w:r>
            <w:r w:rsidRPr="0053423A">
              <w:rPr>
                <w:rFonts w:ascii="GHEA Grapalat" w:hAnsi="GHEA Grapalat" w:cs="GHEA Grapalat"/>
                <w:lang w:val="af-ZA"/>
              </w:rPr>
              <w:softHyphen/>
              <w:t>նելության, վիճակի, դրանցում բնակվող ընտանիքների թվի, այդ պայմաններում հայտնվելու պատճառների մասին տեղեկատվության (այդ թվում՝ տեղական ինքնակառավարման մարմինների, հանրային խմբերի ուսումնասիրությունների և հետազոտությունների) հավա</w:t>
            </w:r>
            <w:r w:rsidRPr="0053423A">
              <w:rPr>
                <w:rFonts w:ascii="GHEA Grapalat" w:hAnsi="GHEA Grapalat" w:cs="GHEA Grapalat"/>
                <w:lang w:val="af-ZA"/>
              </w:rPr>
              <w:softHyphen/>
              <w:t>քա</w:t>
            </w:r>
            <w:r w:rsidRPr="0053423A">
              <w:rPr>
                <w:rFonts w:ascii="GHEA Grapalat" w:hAnsi="GHEA Grapalat" w:cs="GHEA Grapalat"/>
                <w:lang w:val="af-ZA"/>
              </w:rPr>
              <w:softHyphen/>
              <w:t xml:space="preserve">գրում և ամփոփում, </w:t>
            </w:r>
          </w:p>
          <w:p w:rsidR="00D75F05" w:rsidRPr="0053423A" w:rsidRDefault="00D75F05" w:rsidP="00A67858">
            <w:pPr>
              <w:pStyle w:val="ListParagraph1"/>
              <w:tabs>
                <w:tab w:val="left" w:pos="-360"/>
                <w:tab w:val="left" w:pos="360"/>
                <w:tab w:val="left" w:pos="540"/>
                <w:tab w:val="left" w:pos="900"/>
              </w:tabs>
              <w:spacing w:after="0"/>
              <w:ind w:left="0"/>
              <w:jc w:val="both"/>
              <w:rPr>
                <w:rFonts w:ascii="GHEA Grapalat" w:hAnsi="GHEA Grapalat" w:cs="GHEA Grapalat"/>
                <w:lang w:val="af-ZA"/>
              </w:rPr>
            </w:pPr>
            <w:r w:rsidRPr="0053423A">
              <w:rPr>
                <w:rFonts w:ascii="GHEA Grapalat" w:hAnsi="GHEA Grapalat" w:cs="GHEA Grapalat"/>
                <w:lang w:val="af-ZA"/>
              </w:rPr>
              <w:t>- հավաքագրված տեղեկատվության հիման վրա ոչ հիմնա</w:t>
            </w:r>
            <w:r w:rsidRPr="0053423A">
              <w:rPr>
                <w:rFonts w:ascii="GHEA Grapalat" w:hAnsi="GHEA Grapalat" w:cs="GHEA Grapalat"/>
                <w:lang w:val="af-ZA"/>
              </w:rPr>
              <w:softHyphen/>
              <w:t>կան շինություններում բնակվող ընտանիքների վերաբնակեցման՝ բնակարանային պայման</w:t>
            </w:r>
            <w:r w:rsidRPr="0053423A">
              <w:rPr>
                <w:rFonts w:ascii="GHEA Grapalat" w:hAnsi="GHEA Grapalat" w:cs="GHEA Grapalat"/>
                <w:lang w:val="af-ZA"/>
              </w:rPr>
              <w:softHyphen/>
              <w:t>ների բարելավման գործընթացի վերաբերյալ առաջարկությունների մշակում և այդ գործընթացում պետական պարտավո</w:t>
            </w:r>
            <w:r w:rsidRPr="0053423A">
              <w:rPr>
                <w:rFonts w:ascii="GHEA Grapalat" w:hAnsi="GHEA Grapalat" w:cs="GHEA Grapalat"/>
                <w:lang w:val="af-ZA"/>
              </w:rPr>
              <w:softHyphen/>
              <w:t>րո</w:t>
            </w:r>
            <w:r w:rsidRPr="0053423A">
              <w:rPr>
                <w:rFonts w:ascii="GHEA Grapalat" w:hAnsi="GHEA Grapalat" w:cs="GHEA Grapalat"/>
                <w:lang w:val="af-ZA"/>
              </w:rPr>
              <w:softHyphen/>
              <w:t>ւ</w:t>
            </w:r>
            <w:r w:rsidRPr="0053423A">
              <w:rPr>
                <w:rFonts w:ascii="GHEA Grapalat" w:hAnsi="GHEA Grapalat" w:cs="GHEA Grapalat"/>
                <w:lang w:val="af-ZA"/>
              </w:rPr>
              <w:softHyphen/>
              <w:t xml:space="preserve">թյան ծավալների գնահատում, </w:t>
            </w:r>
          </w:p>
          <w:p w:rsidR="00D75F05" w:rsidRPr="0053423A" w:rsidRDefault="00D75F05" w:rsidP="00A67858">
            <w:pPr>
              <w:pStyle w:val="ListParagraph1"/>
              <w:tabs>
                <w:tab w:val="left" w:pos="-360"/>
                <w:tab w:val="left" w:pos="360"/>
                <w:tab w:val="left" w:pos="540"/>
                <w:tab w:val="left" w:pos="900"/>
              </w:tabs>
              <w:spacing w:after="0"/>
              <w:ind w:left="0"/>
              <w:jc w:val="both"/>
              <w:rPr>
                <w:rFonts w:ascii="GHEA Grapalat" w:hAnsi="GHEA Grapalat" w:cs="GHEA Grapalat"/>
                <w:lang w:val="af-ZA"/>
              </w:rPr>
            </w:pPr>
            <w:r w:rsidRPr="0053423A">
              <w:rPr>
                <w:rFonts w:ascii="GHEA Grapalat" w:hAnsi="GHEA Grapalat" w:cs="GHEA Grapalat"/>
                <w:lang w:val="af-ZA"/>
              </w:rPr>
              <w:t xml:space="preserve">- տարածքները ոչ հիմնական շինություններից ազատելու և քաղաքաշինական փաստաթղթերի պահանջներին համապատասխանող շինություններն օրինականացնելու վերաբերյալ առաջարկությունների մշակում </w:t>
            </w:r>
          </w:p>
          <w:p w:rsidR="00D75F05" w:rsidRPr="0053423A" w:rsidRDefault="00D75F05" w:rsidP="00A67858">
            <w:pPr>
              <w:pStyle w:val="ListParagraph1"/>
              <w:tabs>
                <w:tab w:val="left" w:pos="-360"/>
                <w:tab w:val="left" w:pos="360"/>
                <w:tab w:val="left" w:pos="540"/>
                <w:tab w:val="left" w:pos="900"/>
              </w:tabs>
              <w:spacing w:after="0"/>
              <w:ind w:left="0"/>
              <w:jc w:val="both"/>
              <w:rPr>
                <w:rFonts w:ascii="GHEA Grapalat" w:hAnsi="GHEA Grapalat" w:cs="GHEA Grapalat"/>
                <w:lang w:val="af-ZA"/>
              </w:rPr>
            </w:pPr>
            <w:r w:rsidRPr="0053423A">
              <w:rPr>
                <w:rFonts w:ascii="GHEA Grapalat" w:hAnsi="GHEA Grapalat" w:cs="GHEA Grapalat"/>
                <w:lang w:val="af-ZA"/>
              </w:rPr>
              <w:t>- խնդրի լուծման համար անհրաժեշտ ֆինանսական միջոցների չափի հաշվարկում:</w:t>
            </w:r>
          </w:p>
          <w:p w:rsidR="00D75F05" w:rsidRPr="0053423A" w:rsidRDefault="00D75F05" w:rsidP="001F6D5D">
            <w:pPr>
              <w:pStyle w:val="ListParagraph"/>
              <w:numPr>
                <w:ilvl w:val="1"/>
                <w:numId w:val="332"/>
              </w:numPr>
              <w:spacing w:line="276" w:lineRule="auto"/>
              <w:ind w:left="0" w:firstLine="0"/>
              <w:rPr>
                <w:b/>
              </w:rPr>
            </w:pPr>
            <w:r w:rsidRPr="0053423A">
              <w:rPr>
                <w:rFonts w:cs="Sylfaen"/>
                <w:b/>
                <w:lang w:val="hy-AM"/>
              </w:rPr>
              <w:t>Առկա</w:t>
            </w:r>
            <w:r w:rsidRPr="0053423A">
              <w:rPr>
                <w:b/>
                <w:lang w:val="af-ZA"/>
              </w:rPr>
              <w:t xml:space="preserve"> </w:t>
            </w:r>
            <w:r w:rsidRPr="0053423A">
              <w:rPr>
                <w:b/>
                <w:lang w:val="hy-AM"/>
              </w:rPr>
              <w:t>խնդիրների</w:t>
            </w:r>
            <w:r w:rsidRPr="0053423A">
              <w:rPr>
                <w:b/>
                <w:lang w:val="af-ZA"/>
              </w:rPr>
              <w:t xml:space="preserve"> </w:t>
            </w:r>
            <w:r w:rsidRPr="0053423A">
              <w:rPr>
                <w:b/>
                <w:lang w:val="hy-AM"/>
              </w:rPr>
              <w:t>առաջարկվող</w:t>
            </w:r>
            <w:r w:rsidRPr="0053423A">
              <w:rPr>
                <w:b/>
                <w:lang w:val="af-ZA"/>
              </w:rPr>
              <w:t xml:space="preserve"> </w:t>
            </w:r>
            <w:r w:rsidRPr="0053423A">
              <w:rPr>
                <w:b/>
                <w:lang w:val="hy-AM"/>
              </w:rPr>
              <w:t>լուծումները</w:t>
            </w:r>
          </w:p>
          <w:p w:rsidR="00D75F05" w:rsidRPr="0053423A" w:rsidRDefault="00D75F05" w:rsidP="00A67858">
            <w:pPr>
              <w:tabs>
                <w:tab w:val="left" w:pos="-360"/>
                <w:tab w:val="left" w:pos="360"/>
              </w:tabs>
              <w:spacing w:line="276" w:lineRule="auto"/>
              <w:jc w:val="both"/>
              <w:rPr>
                <w:rFonts w:eastAsia="MS Mincho" w:cs="GHEA Grapalat"/>
                <w:lang w:val="af-ZA" w:eastAsia="en-US"/>
              </w:rPr>
            </w:pPr>
            <w:r w:rsidRPr="0053423A">
              <w:rPr>
                <w:rFonts w:eastAsia="MS Mincho" w:cs="GHEA Grapalat"/>
                <w:lang w:val="af-ZA" w:eastAsia="en-US"/>
              </w:rPr>
              <w:t>Աղետի գոտու քաղաքային բնակավայրերի վարչական սահմաններում ընդգրկված՝ պետական և համայնքային սեփականություն հանդիսացող տարածքները ոչ հիմնական շինություններից ազատելու և այդ շինություններում բնակվող ընտանիքների բնակարանային պայմանների բարելավման պետություն-մասնավոր գործակցության ծրագրերի մշակման համար համար նախադրյալների ստեղծման նպատակով իրականացնել ՀՀ վարչապետի       2018 թվականի դեկտեմբերի 20-ի N1658–Ա որոշմամբ նախատեսված միջոցառումները:</w:t>
            </w:r>
          </w:p>
          <w:p w:rsidR="00D75F05" w:rsidRPr="0053423A" w:rsidRDefault="00D75F05" w:rsidP="00A67858">
            <w:pPr>
              <w:pStyle w:val="ListParagraph"/>
              <w:spacing w:line="276" w:lineRule="auto"/>
              <w:ind w:left="0"/>
              <w:jc w:val="both"/>
              <w:rPr>
                <w:b/>
                <w:lang w:val="hy-AM"/>
              </w:rPr>
            </w:pPr>
            <w:r w:rsidRPr="0053423A">
              <w:rPr>
                <w:b/>
                <w:lang w:val="af-ZA"/>
              </w:rPr>
              <w:t xml:space="preserve">2. </w:t>
            </w:r>
            <w:r w:rsidRPr="0053423A">
              <w:rPr>
                <w:b/>
                <w:lang w:val="hy-AM"/>
              </w:rPr>
              <w:t>Միջոցառման</w:t>
            </w:r>
            <w:r w:rsidRPr="0053423A">
              <w:rPr>
                <w:b/>
                <w:lang w:val="af-ZA"/>
              </w:rPr>
              <w:t xml:space="preserve"> </w:t>
            </w:r>
            <w:r w:rsidRPr="0053423A">
              <w:rPr>
                <w:b/>
                <w:lang w:val="hy-AM"/>
              </w:rPr>
              <w:t>իրականացումից</w:t>
            </w:r>
            <w:r w:rsidRPr="0053423A">
              <w:rPr>
                <w:b/>
                <w:lang w:val="af-ZA"/>
              </w:rPr>
              <w:t xml:space="preserve"> </w:t>
            </w:r>
            <w:r w:rsidRPr="0053423A">
              <w:rPr>
                <w:b/>
                <w:lang w:val="hy-AM"/>
              </w:rPr>
              <w:t>ակնկալվող</w:t>
            </w:r>
            <w:r w:rsidRPr="0053423A">
              <w:rPr>
                <w:b/>
                <w:lang w:val="af-ZA"/>
              </w:rPr>
              <w:t xml:space="preserve"> </w:t>
            </w:r>
            <w:r w:rsidRPr="0053423A">
              <w:rPr>
                <w:b/>
                <w:lang w:val="hy-AM"/>
              </w:rPr>
              <w:t>արդյունքը</w:t>
            </w:r>
          </w:p>
          <w:p w:rsidR="00D75F05" w:rsidRPr="0053423A" w:rsidRDefault="00D75F05" w:rsidP="00A67858">
            <w:pPr>
              <w:tabs>
                <w:tab w:val="left" w:pos="-360"/>
                <w:tab w:val="left" w:pos="360"/>
              </w:tabs>
              <w:spacing w:line="276" w:lineRule="auto"/>
              <w:jc w:val="both"/>
              <w:rPr>
                <w:rFonts w:cs="Sylfaen"/>
                <w:b/>
                <w:lang w:val="af-ZA"/>
              </w:rPr>
            </w:pPr>
            <w:r w:rsidRPr="0053423A">
              <w:rPr>
                <w:rFonts w:eastAsia="MS Mincho" w:cs="GHEA Grapalat"/>
                <w:lang w:val="af-ZA" w:eastAsia="en-US"/>
              </w:rPr>
              <w:t>Երկաշարժից հետո աղետի գոտու բնակավայրերում տեղադրված/կառուցված ոչ հիմնական շինությունների փաստագրման արդյունքների ամփոփում,  դրանցում բնակվող ընտանիքների վերաբնակեցման վերաբերյալ առաջարկությունների մշակում, խնդրի լուծման համար անհրաժեշտ ֆինանսական միջոցների չափի հաշվարկում՝ պետական պարտավո</w:t>
            </w:r>
            <w:r w:rsidRPr="0053423A">
              <w:rPr>
                <w:rFonts w:eastAsia="MS Mincho" w:cs="GHEA Grapalat"/>
                <w:lang w:val="af-ZA" w:eastAsia="en-US"/>
              </w:rPr>
              <w:softHyphen/>
              <w:t>րո</w:t>
            </w:r>
            <w:r w:rsidRPr="0053423A">
              <w:rPr>
                <w:rFonts w:eastAsia="MS Mincho" w:cs="GHEA Grapalat"/>
                <w:lang w:val="af-ZA" w:eastAsia="en-US"/>
              </w:rPr>
              <w:softHyphen/>
              <w:t>ւ</w:t>
            </w:r>
            <w:r w:rsidRPr="0053423A">
              <w:rPr>
                <w:rFonts w:eastAsia="MS Mincho" w:cs="GHEA Grapalat"/>
                <w:lang w:val="af-ZA" w:eastAsia="en-US"/>
              </w:rPr>
              <w:softHyphen/>
              <w:t>թյան ծավալների գնահատում:</w:t>
            </w:r>
          </w:p>
        </w:tc>
      </w:tr>
      <w:tr w:rsidR="00D75F05" w:rsidRPr="0053423A" w:rsidTr="00D75F05">
        <w:tc>
          <w:tcPr>
            <w:tcW w:w="450" w:type="dxa"/>
          </w:tcPr>
          <w:p w:rsidR="00D75F05" w:rsidRPr="0053423A" w:rsidRDefault="00D75F05" w:rsidP="00A67858">
            <w:pPr>
              <w:pStyle w:val="ListParagraph"/>
              <w:spacing w:line="276" w:lineRule="auto"/>
              <w:ind w:left="0"/>
              <w:jc w:val="center"/>
              <w:rPr>
                <w:rFonts w:cs="Sylfaen"/>
                <w:b/>
                <w:lang w:val="hy-AM"/>
              </w:rPr>
            </w:pPr>
            <w:r w:rsidRPr="0053423A">
              <w:rPr>
                <w:rFonts w:cs="Sylfaen"/>
                <w:b/>
                <w:lang w:val="hy-AM"/>
              </w:rPr>
              <w:t>11</w:t>
            </w:r>
          </w:p>
        </w:tc>
        <w:tc>
          <w:tcPr>
            <w:tcW w:w="11160" w:type="dxa"/>
          </w:tcPr>
          <w:p w:rsidR="00D75F05" w:rsidRPr="0053423A" w:rsidRDefault="00D75F05" w:rsidP="00A67858">
            <w:pPr>
              <w:pStyle w:val="ListParagraph"/>
              <w:spacing w:line="276" w:lineRule="auto"/>
              <w:ind w:left="0"/>
              <w:jc w:val="center"/>
              <w:rPr>
                <w:b/>
                <w:lang w:val="af-ZA"/>
              </w:rPr>
            </w:pPr>
            <w:r w:rsidRPr="0053423A">
              <w:rPr>
                <w:b/>
                <w:lang w:val="hy-AM"/>
              </w:rPr>
              <w:t>Ա</w:t>
            </w:r>
            <w:r w:rsidRPr="0053423A">
              <w:rPr>
                <w:b/>
                <w:lang w:val="af-ZA"/>
              </w:rPr>
              <w:t>լ.</w:t>
            </w:r>
            <w:r w:rsidRPr="0053423A">
              <w:rPr>
                <w:b/>
                <w:lang w:val="hy-AM"/>
              </w:rPr>
              <w:t xml:space="preserve"> </w:t>
            </w:r>
            <w:r w:rsidRPr="0053423A">
              <w:rPr>
                <w:b/>
                <w:lang w:val="af-ZA"/>
              </w:rPr>
              <w:t>Թամանյանի անվան ճարտարապետության ազգային</w:t>
            </w:r>
          </w:p>
          <w:p w:rsidR="00D75F05" w:rsidRPr="0053423A" w:rsidRDefault="00D75F05" w:rsidP="00A67858">
            <w:pPr>
              <w:pStyle w:val="ListParagraph"/>
              <w:spacing w:line="276" w:lineRule="auto"/>
              <w:ind w:left="0"/>
              <w:jc w:val="center"/>
              <w:rPr>
                <w:b/>
                <w:lang w:val="af-ZA"/>
              </w:rPr>
            </w:pPr>
            <w:r w:rsidRPr="0053423A">
              <w:rPr>
                <w:b/>
                <w:lang w:val="af-ZA"/>
              </w:rPr>
              <w:t>թանգարան-ինստիտուտի արդիականացում</w:t>
            </w:r>
          </w:p>
          <w:p w:rsidR="00D75F05" w:rsidRPr="0053423A" w:rsidRDefault="00D75F05" w:rsidP="00A67858">
            <w:pPr>
              <w:pStyle w:val="ListParagraph"/>
              <w:spacing w:line="276" w:lineRule="auto"/>
              <w:ind w:left="0"/>
              <w:jc w:val="center"/>
              <w:rPr>
                <w:b/>
                <w:lang w:val="af-ZA"/>
              </w:rPr>
            </w:pPr>
          </w:p>
          <w:p w:rsidR="00D75F05" w:rsidRPr="0053423A" w:rsidRDefault="00D75F05" w:rsidP="00A67858">
            <w:pPr>
              <w:spacing w:line="276" w:lineRule="auto"/>
              <w:jc w:val="center"/>
              <w:rPr>
                <w:b/>
                <w:u w:val="single"/>
                <w:lang w:val="af-ZA"/>
              </w:rPr>
            </w:pPr>
            <w:r w:rsidRPr="0053423A">
              <w:rPr>
                <w:b/>
                <w:u w:val="single"/>
                <w:lang w:val="hy-AM"/>
              </w:rPr>
              <w:t>1</w:t>
            </w:r>
            <w:r w:rsidRPr="0053423A">
              <w:rPr>
                <w:b/>
                <w:u w:val="single"/>
                <w:lang w:val="af-ZA"/>
              </w:rPr>
              <w:t>1</w:t>
            </w:r>
            <w:r w:rsidRPr="0053423A">
              <w:rPr>
                <w:b/>
                <w:u w:val="single"/>
                <w:lang w:val="hy-AM"/>
              </w:rPr>
              <w:t>.</w:t>
            </w:r>
            <w:r w:rsidRPr="0053423A">
              <w:rPr>
                <w:b/>
                <w:u w:val="single"/>
                <w:lang w:val="af-ZA"/>
              </w:rPr>
              <w:t xml:space="preserve">1 Ալ.Թամանյանի անվան ճարտարապետության ազգային թանգարան-ինստիտուտի արդիականացման միջոցառումների ցանկ և ժամանակացույցի հաստատում՝ ՀՀ քաղաքաշինության կոմիտեի </w:t>
            </w:r>
            <w:r w:rsidRPr="0053423A">
              <w:rPr>
                <w:b/>
                <w:u w:val="single"/>
                <w:lang w:val="af-ZA"/>
              </w:rPr>
              <w:tab/>
            </w:r>
            <w:r w:rsidRPr="0053423A">
              <w:rPr>
                <w:b/>
                <w:u w:val="single"/>
                <w:lang w:val="af-ZA"/>
              </w:rPr>
              <w:tab/>
              <w:t xml:space="preserve">    նախագահի հրամանով</w:t>
            </w:r>
          </w:p>
          <w:p w:rsidR="00D75F05" w:rsidRPr="0053423A" w:rsidRDefault="00D75F05" w:rsidP="00A67858">
            <w:pPr>
              <w:spacing w:line="276" w:lineRule="auto"/>
              <w:rPr>
                <w:b/>
                <w:lang w:val="af-ZA"/>
              </w:rPr>
            </w:pPr>
          </w:p>
          <w:p w:rsidR="00D75F05" w:rsidRPr="0053423A" w:rsidRDefault="00D75F05" w:rsidP="00A67858">
            <w:pPr>
              <w:pStyle w:val="ListParagraph1"/>
              <w:tabs>
                <w:tab w:val="left" w:pos="0"/>
              </w:tabs>
              <w:spacing w:after="0"/>
              <w:ind w:left="0" w:firstLine="367"/>
              <w:rPr>
                <w:rFonts w:ascii="GHEA Grapalat" w:hAnsi="GHEA Grapalat"/>
                <w:b/>
                <w:lang w:val="af-ZA"/>
              </w:rPr>
            </w:pPr>
            <w:r w:rsidRPr="0053423A">
              <w:rPr>
                <w:rFonts w:ascii="GHEA Grapalat" w:hAnsi="GHEA Grapalat"/>
                <w:b/>
                <w:lang w:val="af-ZA"/>
              </w:rPr>
              <w:t xml:space="preserve">1. </w:t>
            </w:r>
            <w:r w:rsidRPr="0053423A">
              <w:rPr>
                <w:rFonts w:ascii="GHEA Grapalat" w:hAnsi="GHEA Grapalat"/>
                <w:b/>
                <w:lang w:val="hy-AM"/>
              </w:rPr>
              <w:t>Միջոցառման իրականացման անհրաժեշտությունը և նպատակը</w:t>
            </w:r>
          </w:p>
          <w:p w:rsidR="00D75F05" w:rsidRPr="0053423A" w:rsidRDefault="00D75F05" w:rsidP="00A67858">
            <w:pPr>
              <w:spacing w:line="276" w:lineRule="auto"/>
              <w:ind w:firstLine="360"/>
              <w:jc w:val="both"/>
              <w:rPr>
                <w:lang w:val="af-ZA"/>
              </w:rPr>
            </w:pPr>
            <w:r w:rsidRPr="0053423A">
              <w:rPr>
                <w:lang w:val="af-ZA"/>
              </w:rPr>
              <w:t>Միջոցառման իրականացումը նախատեսվել է՝ հիմք ընդունելով Քաղաքաշինության մասին ՀՀ օրենքի 10.1 հոդվածի 3-րդ մասի 3-րդ և 25-րդ կետերը, «</w:t>
            </w:r>
            <w:r w:rsidRPr="0053423A">
              <w:t>Պետական</w:t>
            </w:r>
            <w:r w:rsidRPr="0053423A">
              <w:rPr>
                <w:lang w:val="af-ZA"/>
              </w:rPr>
              <w:t xml:space="preserve"> </w:t>
            </w:r>
            <w:r w:rsidRPr="0053423A">
              <w:t>կառավարման</w:t>
            </w:r>
            <w:r w:rsidRPr="0053423A">
              <w:rPr>
                <w:lang w:val="af-ZA"/>
              </w:rPr>
              <w:t xml:space="preserve"> </w:t>
            </w:r>
            <w:r w:rsidRPr="0053423A">
              <w:t>համակարգի</w:t>
            </w:r>
            <w:r w:rsidRPr="0053423A">
              <w:rPr>
                <w:lang w:val="af-ZA"/>
              </w:rPr>
              <w:t xml:space="preserve"> </w:t>
            </w:r>
            <w:r w:rsidRPr="0053423A">
              <w:t>մարմինների</w:t>
            </w:r>
            <w:r w:rsidRPr="0053423A">
              <w:rPr>
                <w:lang w:val="af-ZA"/>
              </w:rPr>
              <w:t xml:space="preserve"> </w:t>
            </w:r>
            <w:r w:rsidRPr="0053423A">
              <w:t>մասին</w:t>
            </w:r>
            <w:r w:rsidRPr="0053423A">
              <w:rPr>
                <w:lang w:val="af-ZA"/>
              </w:rPr>
              <w:t xml:space="preserve">» </w:t>
            </w:r>
            <w:r w:rsidRPr="0053423A">
              <w:t>ՀՀ</w:t>
            </w:r>
            <w:r w:rsidRPr="0053423A">
              <w:rPr>
                <w:lang w:val="af-ZA"/>
              </w:rPr>
              <w:t xml:space="preserve"> </w:t>
            </w:r>
            <w:r w:rsidRPr="0053423A">
              <w:t>օրենքի</w:t>
            </w:r>
            <w:r w:rsidRPr="0053423A">
              <w:rPr>
                <w:lang w:val="af-ZA"/>
              </w:rPr>
              <w:t xml:space="preserve"> 4-</w:t>
            </w:r>
            <w:r w:rsidRPr="0053423A">
              <w:t>րդ</w:t>
            </w:r>
            <w:r w:rsidRPr="0053423A">
              <w:rPr>
                <w:lang w:val="af-ZA"/>
              </w:rPr>
              <w:t xml:space="preserve"> </w:t>
            </w:r>
            <w:r w:rsidRPr="0053423A">
              <w:t>հոդվածի</w:t>
            </w:r>
            <w:r w:rsidRPr="0053423A">
              <w:rPr>
                <w:lang w:val="af-ZA"/>
              </w:rPr>
              <w:t xml:space="preserve"> 1-</w:t>
            </w:r>
            <w:r w:rsidRPr="0053423A">
              <w:t>ին</w:t>
            </w:r>
            <w:r w:rsidRPr="0053423A">
              <w:rPr>
                <w:lang w:val="af-ZA"/>
              </w:rPr>
              <w:t xml:space="preserve"> </w:t>
            </w:r>
            <w:r w:rsidRPr="0053423A">
              <w:t>մասը</w:t>
            </w:r>
            <w:r w:rsidRPr="0053423A">
              <w:rPr>
                <w:lang w:val="af-ZA"/>
              </w:rPr>
              <w:t xml:space="preserve">:  </w:t>
            </w:r>
          </w:p>
          <w:p w:rsidR="00D75F05" w:rsidRPr="0053423A" w:rsidRDefault="00D75F05" w:rsidP="00A67858">
            <w:pPr>
              <w:spacing w:line="276" w:lineRule="auto"/>
              <w:ind w:firstLine="360"/>
              <w:jc w:val="both"/>
              <w:rPr>
                <w:lang w:val="af-ZA"/>
              </w:rPr>
            </w:pPr>
            <w:r w:rsidRPr="0053423A">
              <w:t>Միջոցառման</w:t>
            </w:r>
            <w:r w:rsidRPr="0053423A">
              <w:rPr>
                <w:lang w:val="af-ZA"/>
              </w:rPr>
              <w:t xml:space="preserve"> </w:t>
            </w:r>
            <w:r w:rsidRPr="0053423A">
              <w:t>նպատակն</w:t>
            </w:r>
            <w:r w:rsidRPr="0053423A">
              <w:rPr>
                <w:lang w:val="af-ZA"/>
              </w:rPr>
              <w:t xml:space="preserve"> </w:t>
            </w:r>
            <w:r w:rsidRPr="0053423A">
              <w:t>է</w:t>
            </w:r>
            <w:r w:rsidRPr="0053423A">
              <w:rPr>
                <w:lang w:val="af-ZA"/>
              </w:rPr>
              <w:t xml:space="preserve"> </w:t>
            </w:r>
            <w:r w:rsidRPr="0053423A">
              <w:rPr>
                <w:bCs/>
              </w:rPr>
              <w:t>Ալ</w:t>
            </w:r>
            <w:r w:rsidRPr="0053423A">
              <w:rPr>
                <w:bCs/>
                <w:lang w:val="af-ZA"/>
              </w:rPr>
              <w:t xml:space="preserve">եքսանդր </w:t>
            </w:r>
            <w:r w:rsidRPr="0053423A">
              <w:rPr>
                <w:bCs/>
              </w:rPr>
              <w:t>Թամանյանի</w:t>
            </w:r>
            <w:r w:rsidRPr="0053423A">
              <w:rPr>
                <w:bCs/>
                <w:lang w:val="af-ZA"/>
              </w:rPr>
              <w:t xml:space="preserve"> </w:t>
            </w:r>
            <w:r w:rsidRPr="0053423A">
              <w:rPr>
                <w:bCs/>
              </w:rPr>
              <w:t>անվան</w:t>
            </w:r>
            <w:r w:rsidRPr="0053423A">
              <w:rPr>
                <w:bCs/>
                <w:lang w:val="af-ZA"/>
              </w:rPr>
              <w:t xml:space="preserve"> </w:t>
            </w:r>
            <w:r w:rsidRPr="0053423A">
              <w:rPr>
                <w:bCs/>
              </w:rPr>
              <w:t>ճարտարապետության</w:t>
            </w:r>
            <w:r w:rsidRPr="0053423A">
              <w:rPr>
                <w:bCs/>
                <w:lang w:val="af-ZA"/>
              </w:rPr>
              <w:t xml:space="preserve"> ազգային </w:t>
            </w:r>
            <w:r w:rsidRPr="0053423A">
              <w:rPr>
                <w:bCs/>
              </w:rPr>
              <w:t>թանգարան</w:t>
            </w:r>
            <w:r w:rsidRPr="0053423A">
              <w:rPr>
                <w:bCs/>
                <w:lang w:val="af-ZA"/>
              </w:rPr>
              <w:t>-</w:t>
            </w:r>
            <w:r w:rsidRPr="0053423A">
              <w:rPr>
                <w:bCs/>
              </w:rPr>
              <w:t>ինստիտուտի</w:t>
            </w:r>
            <w:r w:rsidRPr="0053423A">
              <w:rPr>
                <w:bCs/>
                <w:lang w:val="af-ZA"/>
              </w:rPr>
              <w:t xml:space="preserve"> («</w:t>
            </w:r>
            <w:r w:rsidRPr="0053423A">
              <w:rPr>
                <w:bCs/>
              </w:rPr>
              <w:t>Ալեքսանդր</w:t>
            </w:r>
            <w:r w:rsidRPr="0053423A">
              <w:rPr>
                <w:bCs/>
                <w:lang w:val="af-ZA"/>
              </w:rPr>
              <w:t xml:space="preserve"> </w:t>
            </w:r>
            <w:r w:rsidRPr="0053423A">
              <w:rPr>
                <w:bCs/>
              </w:rPr>
              <w:t>Թամանյանի</w:t>
            </w:r>
            <w:r w:rsidRPr="0053423A">
              <w:rPr>
                <w:bCs/>
                <w:lang w:val="af-ZA"/>
              </w:rPr>
              <w:t xml:space="preserve"> </w:t>
            </w:r>
            <w:r w:rsidRPr="0053423A">
              <w:rPr>
                <w:bCs/>
              </w:rPr>
              <w:t>անվան</w:t>
            </w:r>
            <w:r w:rsidRPr="0053423A">
              <w:rPr>
                <w:bCs/>
                <w:lang w:val="af-ZA"/>
              </w:rPr>
              <w:t xml:space="preserve"> </w:t>
            </w:r>
            <w:r w:rsidRPr="0053423A">
              <w:rPr>
                <w:bCs/>
              </w:rPr>
              <w:t>ճարտարապետության</w:t>
            </w:r>
            <w:r w:rsidRPr="0053423A">
              <w:rPr>
                <w:bCs/>
                <w:lang w:val="af-ZA"/>
              </w:rPr>
              <w:t xml:space="preserve"> </w:t>
            </w:r>
            <w:r w:rsidRPr="0053423A">
              <w:rPr>
                <w:bCs/>
              </w:rPr>
              <w:t>ազգային</w:t>
            </w:r>
            <w:r w:rsidRPr="0053423A">
              <w:rPr>
                <w:bCs/>
                <w:lang w:val="af-ZA"/>
              </w:rPr>
              <w:t xml:space="preserve"> </w:t>
            </w:r>
            <w:r w:rsidRPr="0053423A">
              <w:rPr>
                <w:bCs/>
              </w:rPr>
              <w:t>թանգարան</w:t>
            </w:r>
            <w:r w:rsidRPr="0053423A">
              <w:rPr>
                <w:bCs/>
                <w:lang w:val="af-ZA"/>
              </w:rPr>
              <w:t>-</w:t>
            </w:r>
            <w:r w:rsidRPr="0053423A">
              <w:rPr>
                <w:bCs/>
              </w:rPr>
              <w:t>ինստիտուտ</w:t>
            </w:r>
            <w:r w:rsidRPr="0053423A">
              <w:rPr>
                <w:bCs/>
                <w:lang w:val="af-ZA"/>
              </w:rPr>
              <w:t xml:space="preserve">» </w:t>
            </w:r>
            <w:r w:rsidRPr="0053423A">
              <w:rPr>
                <w:bCs/>
              </w:rPr>
              <w:t>ՊՈԱԿ</w:t>
            </w:r>
            <w:r w:rsidRPr="0053423A">
              <w:rPr>
                <w:bCs/>
                <w:lang w:val="af-ZA"/>
              </w:rPr>
              <w:t xml:space="preserve">) </w:t>
            </w:r>
            <w:r w:rsidRPr="0053423A">
              <w:t>տարածքային</w:t>
            </w:r>
            <w:r w:rsidRPr="0053423A">
              <w:rPr>
                <w:lang w:val="af-ZA"/>
              </w:rPr>
              <w:t xml:space="preserve"> </w:t>
            </w:r>
            <w:r w:rsidRPr="0053423A">
              <w:t>պայմանների</w:t>
            </w:r>
            <w:r w:rsidRPr="0053423A">
              <w:rPr>
                <w:lang w:val="af-ZA"/>
              </w:rPr>
              <w:t xml:space="preserve"> </w:t>
            </w:r>
            <w:r w:rsidRPr="0053423A">
              <w:t>բարելավումը</w:t>
            </w:r>
            <w:r w:rsidRPr="0053423A">
              <w:rPr>
                <w:lang w:val="af-ZA"/>
              </w:rPr>
              <w:t xml:space="preserve"> </w:t>
            </w:r>
            <w:r w:rsidRPr="0053423A">
              <w:t>և</w:t>
            </w:r>
            <w:r w:rsidRPr="0053423A">
              <w:rPr>
                <w:lang w:val="af-ZA"/>
              </w:rPr>
              <w:t xml:space="preserve"> </w:t>
            </w:r>
            <w:r w:rsidRPr="0053423A">
              <w:t>գործառույթների</w:t>
            </w:r>
            <w:r w:rsidRPr="0053423A">
              <w:rPr>
                <w:lang w:val="af-ZA"/>
              </w:rPr>
              <w:t xml:space="preserve"> </w:t>
            </w:r>
            <w:r w:rsidRPr="0053423A">
              <w:t>իրականացման</w:t>
            </w:r>
            <w:r w:rsidRPr="0053423A">
              <w:rPr>
                <w:lang w:val="af-ZA"/>
              </w:rPr>
              <w:t xml:space="preserve"> </w:t>
            </w:r>
            <w:r w:rsidRPr="0053423A">
              <w:t>կանոնակարգումը</w:t>
            </w:r>
            <w:r w:rsidRPr="0053423A">
              <w:rPr>
                <w:lang w:val="af-ZA"/>
              </w:rPr>
              <w:t>:</w:t>
            </w:r>
          </w:p>
          <w:p w:rsidR="00D75F05" w:rsidRPr="0053423A" w:rsidRDefault="00D75F05" w:rsidP="00A67858">
            <w:pPr>
              <w:spacing w:line="276" w:lineRule="auto"/>
              <w:ind w:firstLine="360"/>
              <w:jc w:val="both"/>
              <w:rPr>
                <w:b/>
                <w:lang w:val="af-ZA"/>
              </w:rPr>
            </w:pPr>
            <w:r w:rsidRPr="0053423A">
              <w:rPr>
                <w:b/>
                <w:lang w:val="af-ZA"/>
              </w:rPr>
              <w:t xml:space="preserve">1.1 </w:t>
            </w:r>
            <w:r w:rsidRPr="0053423A">
              <w:rPr>
                <w:b/>
                <w:lang w:val="hy-AM"/>
              </w:rPr>
              <w:t>Կարգավորման հարաբերությունների ներկա վիճակը և առկա խնդիրները</w:t>
            </w:r>
          </w:p>
          <w:p w:rsidR="00D75F05" w:rsidRPr="0053423A" w:rsidRDefault="00D75F05" w:rsidP="00A67858">
            <w:pPr>
              <w:spacing w:line="276" w:lineRule="auto"/>
              <w:ind w:firstLine="360"/>
              <w:jc w:val="both"/>
              <w:rPr>
                <w:lang w:val="af-ZA"/>
              </w:rPr>
            </w:pPr>
            <w:r w:rsidRPr="0053423A">
              <w:rPr>
                <w:lang w:val="af-ZA"/>
              </w:rPr>
              <w:t>Թանգարան-ինստիտուտի տարածքը գտնվում է անբարեկարգ վիճակում, ինչպես նաև անհրաժեշտություն կա վերջինիս գործառույթների կանոնակարգման:</w:t>
            </w:r>
          </w:p>
          <w:p w:rsidR="00D75F05" w:rsidRPr="0053423A" w:rsidRDefault="00D75F05" w:rsidP="00A67858">
            <w:pPr>
              <w:spacing w:line="276" w:lineRule="auto"/>
              <w:ind w:firstLine="360"/>
              <w:jc w:val="both"/>
              <w:rPr>
                <w:b/>
                <w:lang w:val="af-ZA"/>
              </w:rPr>
            </w:pPr>
            <w:r w:rsidRPr="0053423A">
              <w:rPr>
                <w:b/>
                <w:lang w:val="af-ZA"/>
              </w:rPr>
              <w:t xml:space="preserve">1.2 </w:t>
            </w:r>
            <w:r w:rsidRPr="0053423A">
              <w:rPr>
                <w:b/>
                <w:lang w:val="hy-AM"/>
              </w:rPr>
              <w:t>Առկա</w:t>
            </w:r>
            <w:r w:rsidRPr="0053423A">
              <w:rPr>
                <w:b/>
                <w:lang w:val="af-ZA"/>
              </w:rPr>
              <w:t xml:space="preserve"> </w:t>
            </w:r>
            <w:r w:rsidRPr="0053423A">
              <w:rPr>
                <w:b/>
                <w:lang w:val="hy-AM"/>
              </w:rPr>
              <w:t>խնդիրների</w:t>
            </w:r>
            <w:r w:rsidRPr="0053423A">
              <w:rPr>
                <w:b/>
                <w:lang w:val="af-ZA"/>
              </w:rPr>
              <w:t xml:space="preserve"> </w:t>
            </w:r>
            <w:r w:rsidRPr="0053423A">
              <w:rPr>
                <w:b/>
                <w:lang w:val="hy-AM"/>
              </w:rPr>
              <w:t>առաջարկվող</w:t>
            </w:r>
            <w:r w:rsidRPr="0053423A">
              <w:rPr>
                <w:b/>
                <w:lang w:val="af-ZA"/>
              </w:rPr>
              <w:t xml:space="preserve"> </w:t>
            </w:r>
            <w:r w:rsidRPr="0053423A">
              <w:rPr>
                <w:b/>
                <w:lang w:val="hy-AM"/>
              </w:rPr>
              <w:t>լուծումները</w:t>
            </w:r>
          </w:p>
          <w:p w:rsidR="00D75F05" w:rsidRPr="0053423A" w:rsidRDefault="00D75F05" w:rsidP="00A67858">
            <w:pPr>
              <w:tabs>
                <w:tab w:val="left" w:pos="-360"/>
                <w:tab w:val="left" w:pos="0"/>
              </w:tabs>
              <w:spacing w:line="276" w:lineRule="auto"/>
              <w:jc w:val="both"/>
              <w:rPr>
                <w:rFonts w:cs="Sylfaen"/>
                <w:lang w:val="af-ZA" w:eastAsia="en-US"/>
              </w:rPr>
            </w:pPr>
            <w:r w:rsidRPr="0053423A">
              <w:rPr>
                <w:rFonts w:cs="Sylfaen"/>
                <w:lang w:val="af-ZA" w:eastAsia="en-US"/>
              </w:rPr>
              <w:tab/>
            </w:r>
            <w:r w:rsidRPr="0053423A">
              <w:rPr>
                <w:rFonts w:cs="GHEA Grapalat"/>
                <w:lang w:val="hy-AM"/>
              </w:rPr>
              <w:t xml:space="preserve">Առաջարկվում է մշակել </w:t>
            </w:r>
            <w:r w:rsidRPr="0053423A">
              <w:rPr>
                <w:bCs/>
              </w:rPr>
              <w:t>թանգարան</w:t>
            </w:r>
            <w:r w:rsidRPr="0053423A">
              <w:rPr>
                <w:bCs/>
                <w:lang w:val="af-ZA"/>
              </w:rPr>
              <w:t>-</w:t>
            </w:r>
            <w:r w:rsidRPr="0053423A">
              <w:rPr>
                <w:bCs/>
              </w:rPr>
              <w:t>ինստիտուտի</w:t>
            </w:r>
            <w:r w:rsidRPr="0053423A">
              <w:rPr>
                <w:lang w:val="af-ZA"/>
              </w:rPr>
              <w:t xml:space="preserve"> </w:t>
            </w:r>
            <w:r w:rsidRPr="0053423A">
              <w:t>տարածքային</w:t>
            </w:r>
            <w:r w:rsidRPr="0053423A">
              <w:rPr>
                <w:lang w:val="af-ZA"/>
              </w:rPr>
              <w:t xml:space="preserve"> </w:t>
            </w:r>
            <w:r w:rsidRPr="0053423A">
              <w:t>պայմանների</w:t>
            </w:r>
            <w:r w:rsidRPr="0053423A">
              <w:rPr>
                <w:lang w:val="af-ZA"/>
              </w:rPr>
              <w:t xml:space="preserve"> </w:t>
            </w:r>
            <w:r w:rsidRPr="0053423A">
              <w:t>բարելավ</w:t>
            </w:r>
            <w:r w:rsidRPr="0053423A">
              <w:rPr>
                <w:lang w:val="hy-AM"/>
              </w:rPr>
              <w:t>ման</w:t>
            </w:r>
            <w:r w:rsidRPr="0053423A">
              <w:rPr>
                <w:lang w:val="af-ZA"/>
              </w:rPr>
              <w:t xml:space="preserve"> </w:t>
            </w:r>
            <w:r w:rsidRPr="0053423A">
              <w:t>և</w:t>
            </w:r>
            <w:r w:rsidRPr="0053423A">
              <w:rPr>
                <w:lang w:val="af-ZA"/>
              </w:rPr>
              <w:t xml:space="preserve"> </w:t>
            </w:r>
            <w:r w:rsidRPr="0053423A">
              <w:t>գործառույթների</w:t>
            </w:r>
            <w:r w:rsidRPr="0053423A">
              <w:rPr>
                <w:lang w:val="af-ZA"/>
              </w:rPr>
              <w:t xml:space="preserve"> </w:t>
            </w:r>
            <w:r w:rsidRPr="0053423A">
              <w:t>իրականացման</w:t>
            </w:r>
            <w:r w:rsidRPr="0053423A">
              <w:rPr>
                <w:lang w:val="af-ZA"/>
              </w:rPr>
              <w:t xml:space="preserve"> </w:t>
            </w:r>
            <w:r w:rsidRPr="0053423A">
              <w:rPr>
                <w:lang w:val="hy-AM"/>
              </w:rPr>
              <w:t>ծրագիր</w:t>
            </w:r>
          </w:p>
          <w:p w:rsidR="00D75F05" w:rsidRPr="0053423A" w:rsidRDefault="00D75F05" w:rsidP="001F6D5D">
            <w:pPr>
              <w:pStyle w:val="ListParagraph"/>
              <w:numPr>
                <w:ilvl w:val="0"/>
                <w:numId w:val="333"/>
              </w:numPr>
              <w:spacing w:line="276" w:lineRule="auto"/>
              <w:ind w:left="0"/>
              <w:jc w:val="both"/>
              <w:rPr>
                <w:b/>
                <w:lang w:val="en-US"/>
              </w:rPr>
            </w:pPr>
            <w:r w:rsidRPr="0053423A">
              <w:rPr>
                <w:b/>
                <w:lang w:val="hy-AM"/>
              </w:rPr>
              <w:t>Միջոցառման</w:t>
            </w:r>
            <w:r w:rsidRPr="0053423A">
              <w:rPr>
                <w:b/>
                <w:lang w:val="af-ZA"/>
              </w:rPr>
              <w:t xml:space="preserve"> </w:t>
            </w:r>
            <w:r w:rsidRPr="0053423A">
              <w:rPr>
                <w:b/>
                <w:lang w:val="hy-AM"/>
              </w:rPr>
              <w:t>իրականացումից</w:t>
            </w:r>
            <w:r w:rsidRPr="0053423A">
              <w:rPr>
                <w:b/>
                <w:lang w:val="af-ZA"/>
              </w:rPr>
              <w:t xml:space="preserve"> </w:t>
            </w:r>
            <w:r w:rsidRPr="0053423A">
              <w:rPr>
                <w:b/>
                <w:lang w:val="hy-AM"/>
              </w:rPr>
              <w:t>ակնկալվող</w:t>
            </w:r>
            <w:r w:rsidRPr="0053423A">
              <w:rPr>
                <w:b/>
                <w:lang w:val="af-ZA"/>
              </w:rPr>
              <w:t xml:space="preserve"> </w:t>
            </w:r>
            <w:r w:rsidRPr="0053423A">
              <w:rPr>
                <w:b/>
                <w:lang w:val="hy-AM"/>
              </w:rPr>
              <w:t>արդյունքը</w:t>
            </w:r>
          </w:p>
          <w:p w:rsidR="00D75F05" w:rsidRPr="0053423A" w:rsidRDefault="00D75F05" w:rsidP="00A67858">
            <w:pPr>
              <w:spacing w:line="276" w:lineRule="auto"/>
              <w:ind w:firstLine="360"/>
              <w:jc w:val="both"/>
              <w:rPr>
                <w:rFonts w:cs="Sylfaen"/>
                <w:b/>
                <w:lang w:val="af-ZA"/>
              </w:rPr>
            </w:pPr>
            <w:r w:rsidRPr="0053423A">
              <w:rPr>
                <w:lang w:val="af-ZA"/>
              </w:rPr>
              <w:t>Արդի պահանջներին համապատասխան գործառույթներով հագեցած ճարտարապետության ազգային թանգարան-ինստիտուտ:</w:t>
            </w:r>
          </w:p>
        </w:tc>
      </w:tr>
    </w:tbl>
    <w:p w:rsidR="00D75F05" w:rsidRPr="0053423A" w:rsidRDefault="00D75F05" w:rsidP="00A67858">
      <w:pPr>
        <w:pStyle w:val="ListParagraph"/>
        <w:tabs>
          <w:tab w:val="left" w:pos="0"/>
          <w:tab w:val="left" w:pos="1620"/>
          <w:tab w:val="left" w:pos="1710"/>
        </w:tabs>
        <w:spacing w:after="0" w:line="276" w:lineRule="auto"/>
        <w:ind w:left="-360"/>
        <w:jc w:val="both"/>
        <w:rPr>
          <w:b/>
          <w:sz w:val="20"/>
          <w:szCs w:val="20"/>
          <w:lang w:val="af-ZA"/>
        </w:rPr>
      </w:pPr>
    </w:p>
    <w:tbl>
      <w:tblPr>
        <w:tblStyle w:val="TableGrid"/>
        <w:tblW w:w="0" w:type="auto"/>
        <w:tblInd w:w="137" w:type="dxa"/>
        <w:shd w:val="clear" w:color="auto" w:fill="FFFF00"/>
        <w:tblLayout w:type="fixed"/>
        <w:tblLook w:val="04A0" w:firstRow="1" w:lastRow="0" w:firstColumn="1" w:lastColumn="0" w:noHBand="0" w:noVBand="1"/>
      </w:tblPr>
      <w:tblGrid>
        <w:gridCol w:w="11581"/>
      </w:tblGrid>
      <w:tr w:rsidR="0053423A" w:rsidRPr="0053423A" w:rsidTr="0053423A">
        <w:tc>
          <w:tcPr>
            <w:tcW w:w="11581" w:type="dxa"/>
            <w:shd w:val="clear" w:color="auto" w:fill="FFFF00"/>
          </w:tcPr>
          <w:p w:rsidR="0053423A" w:rsidRPr="0053423A" w:rsidRDefault="0053423A" w:rsidP="00A67858">
            <w:pPr>
              <w:spacing w:line="276" w:lineRule="auto"/>
              <w:jc w:val="center"/>
              <w:rPr>
                <w:rFonts w:cs="Sylfaen"/>
                <w:b/>
                <w:lang w:val="hy-AM" w:eastAsia="en-GB"/>
              </w:rPr>
            </w:pPr>
            <w:r w:rsidRPr="0053423A">
              <w:rPr>
                <w:rFonts w:cs="Sylfaen"/>
                <w:b/>
                <w:lang w:val="hy-AM" w:eastAsia="en-GB"/>
              </w:rPr>
              <w:t>Ոստիկանություն</w:t>
            </w:r>
          </w:p>
        </w:tc>
      </w:tr>
    </w:tbl>
    <w:p w:rsidR="0053423A" w:rsidRDefault="0053423A"/>
    <w:tbl>
      <w:tblPr>
        <w:tblStyle w:val="TableGrid"/>
        <w:tblW w:w="0" w:type="auto"/>
        <w:tblInd w:w="137" w:type="dxa"/>
        <w:tblLayout w:type="fixed"/>
        <w:tblLook w:val="04A0" w:firstRow="1" w:lastRow="0" w:firstColumn="1" w:lastColumn="0" w:noHBand="0" w:noVBand="1"/>
      </w:tblPr>
      <w:tblGrid>
        <w:gridCol w:w="425"/>
        <w:gridCol w:w="11100"/>
      </w:tblGrid>
      <w:tr w:rsidR="007B71C6" w:rsidRPr="00DE2EFA" w:rsidTr="007B71C6">
        <w:tc>
          <w:tcPr>
            <w:tcW w:w="425" w:type="dxa"/>
          </w:tcPr>
          <w:p w:rsidR="007B71C6" w:rsidRPr="0053423A" w:rsidRDefault="007B71C6" w:rsidP="00A67858">
            <w:pPr>
              <w:spacing w:line="276" w:lineRule="auto"/>
              <w:ind w:left="-108" w:right="-108"/>
              <w:rPr>
                <w:lang w:val="hy-AM"/>
              </w:rPr>
            </w:pPr>
            <w:r w:rsidRPr="0053423A">
              <w:rPr>
                <w:lang w:val="hy-AM"/>
              </w:rPr>
              <w:t>1.1-1.3</w:t>
            </w:r>
          </w:p>
        </w:tc>
        <w:tc>
          <w:tcPr>
            <w:tcW w:w="11100" w:type="dxa"/>
          </w:tcPr>
          <w:p w:rsidR="007B71C6" w:rsidRPr="0053423A" w:rsidRDefault="007B71C6" w:rsidP="00A67858">
            <w:pPr>
              <w:spacing w:line="276" w:lineRule="auto"/>
              <w:jc w:val="center"/>
              <w:rPr>
                <w:b/>
                <w:lang w:val="hy-AM"/>
              </w:rPr>
            </w:pPr>
            <w:r w:rsidRPr="0053423A">
              <w:rPr>
                <w:b/>
                <w:lang w:val="hy-AM"/>
              </w:rPr>
              <w:t xml:space="preserve">Ճանապարհային երթևեկության անվտանգության ապահովման կազմակերպական նոր երաշխիքների ամրագրում </w:t>
            </w:r>
          </w:p>
          <w:p w:rsidR="007B71C6" w:rsidRPr="0053423A" w:rsidRDefault="007B71C6" w:rsidP="00A67858">
            <w:pPr>
              <w:spacing w:line="276" w:lineRule="auto"/>
              <w:ind w:firstLine="540"/>
              <w:jc w:val="center"/>
              <w:rPr>
                <w:b/>
                <w:lang w:val="hy-AM"/>
              </w:rPr>
            </w:pPr>
          </w:p>
          <w:p w:rsidR="007B71C6" w:rsidRPr="0053423A" w:rsidRDefault="007B71C6" w:rsidP="00A67858">
            <w:pPr>
              <w:pStyle w:val="NormalWeb"/>
              <w:spacing w:before="0" w:beforeAutospacing="0" w:after="0" w:afterAutospacing="0" w:line="276" w:lineRule="auto"/>
              <w:ind w:right="84" w:firstLine="540"/>
              <w:rPr>
                <w:rFonts w:ascii="GHEA Grapalat" w:hAnsi="GHEA Grapalat"/>
                <w:b/>
                <w:sz w:val="20"/>
                <w:szCs w:val="20"/>
                <w:lang w:val="ro-RO"/>
              </w:rPr>
            </w:pPr>
            <w:r w:rsidRPr="0053423A">
              <w:rPr>
                <w:rFonts w:ascii="GHEA Grapalat" w:hAnsi="GHEA Grapalat"/>
                <w:b/>
                <w:sz w:val="20"/>
                <w:szCs w:val="20"/>
                <w:lang w:val="ro-RO"/>
              </w:rPr>
              <w:t>1. Միջոցառման անհրաժեշտությունը  և նպատակը</w:t>
            </w:r>
          </w:p>
          <w:p w:rsidR="007B71C6" w:rsidRPr="0053423A" w:rsidRDefault="007B71C6" w:rsidP="00A67858">
            <w:pPr>
              <w:pStyle w:val="NormalWeb"/>
              <w:spacing w:before="0" w:beforeAutospacing="0" w:after="0" w:afterAutospacing="0" w:line="276" w:lineRule="auto"/>
              <w:ind w:right="84" w:firstLine="540"/>
              <w:jc w:val="both"/>
              <w:rPr>
                <w:rFonts w:ascii="GHEA Grapalat" w:hAnsi="GHEA Grapalat" w:cs="Sylfaen"/>
                <w:color w:val="000000"/>
                <w:sz w:val="20"/>
                <w:szCs w:val="20"/>
                <w:shd w:val="clear" w:color="auto" w:fill="FFFFFF"/>
                <w:lang w:val="ro-RO"/>
              </w:rPr>
            </w:pPr>
            <w:r w:rsidRPr="0053423A">
              <w:rPr>
                <w:rFonts w:ascii="GHEA Grapalat" w:hAnsi="GHEA Grapalat" w:cs="Sylfaen"/>
                <w:color w:val="000000"/>
                <w:sz w:val="20"/>
                <w:szCs w:val="20"/>
                <w:shd w:val="clear" w:color="auto" w:fill="FFFFFF"/>
                <w:lang w:val="ro-RO"/>
              </w:rPr>
              <w:t>Միջոցառման իրականացումը պայմանավորված է երթևեկության բնագավառում անվտանգության մակարդակը բարձրացնելու, չարամիտ և պարբերաբար կատարվող խախտումների կանխարգելման անհրաժեշտությամբ: Այն բխում է նաև ՀՀ Ազգային ժողովի 2019 թվականի ԱԺՈ-002-Ն որոշմամբ հավանության արժանացած ՀՀ կառավարության ծրագրի «2.2. Ներքին անվտանգությունը» բաժնից:</w:t>
            </w:r>
          </w:p>
          <w:p w:rsidR="007B71C6" w:rsidRPr="0053423A" w:rsidRDefault="007B71C6" w:rsidP="00A67858">
            <w:pPr>
              <w:pStyle w:val="NormalWeb"/>
              <w:spacing w:before="0" w:beforeAutospacing="0" w:after="0" w:afterAutospacing="0" w:line="276" w:lineRule="auto"/>
              <w:ind w:right="84" w:firstLine="540"/>
              <w:jc w:val="both"/>
              <w:rPr>
                <w:rFonts w:ascii="GHEA Grapalat" w:hAnsi="GHEA Grapalat" w:cs="Arial"/>
                <w:b/>
                <w:sz w:val="20"/>
                <w:szCs w:val="20"/>
                <w:lang w:val="ro-RO"/>
              </w:rPr>
            </w:pPr>
            <w:r w:rsidRPr="0053423A">
              <w:rPr>
                <w:rFonts w:ascii="GHEA Grapalat" w:hAnsi="GHEA Grapalat" w:cs="Sylfaen"/>
                <w:b/>
                <w:color w:val="000000"/>
                <w:sz w:val="20"/>
                <w:szCs w:val="20"/>
                <w:shd w:val="clear" w:color="auto" w:fill="FFFFFF"/>
                <w:lang w:val="ro-RO"/>
              </w:rPr>
              <w:t xml:space="preserve">1.1. Կարգավորման հարաբերությունների ներկա վիճակը և առկա խնդիրը </w:t>
            </w:r>
          </w:p>
          <w:p w:rsidR="007B71C6" w:rsidRPr="0053423A" w:rsidRDefault="007B71C6" w:rsidP="00A67858">
            <w:pPr>
              <w:pStyle w:val="NormalWeb"/>
              <w:spacing w:before="0" w:beforeAutospacing="0" w:after="0" w:afterAutospacing="0" w:line="276" w:lineRule="auto"/>
              <w:ind w:right="84" w:firstLine="540"/>
              <w:jc w:val="both"/>
              <w:rPr>
                <w:rFonts w:ascii="GHEA Grapalat" w:hAnsi="GHEA Grapalat" w:cs="Sylfaen"/>
                <w:color w:val="000000"/>
                <w:sz w:val="20"/>
                <w:szCs w:val="20"/>
                <w:shd w:val="clear" w:color="auto" w:fill="FFFFFF"/>
                <w:lang w:val="ro-RO"/>
              </w:rPr>
            </w:pPr>
            <w:r w:rsidRPr="0053423A">
              <w:rPr>
                <w:rFonts w:ascii="GHEA Grapalat" w:hAnsi="GHEA Grapalat" w:cs="Sylfaen"/>
                <w:color w:val="000000"/>
                <w:sz w:val="20"/>
                <w:szCs w:val="20"/>
                <w:shd w:val="clear" w:color="auto" w:fill="FFFFFF"/>
                <w:lang w:val="ro-RO"/>
              </w:rPr>
              <w:t xml:space="preserve">Վարչական իրավավախտումների վերաբերյալ ՀՀ օրենսգրքով նախատեսված՝ տրանսպորտում և ճանապարհային տնտեսության բնագավառում մի շարք վարչական իրավախախտումների համար նախատեսված տուգանքները սոցիալական տարբեր խավերի վարորդների հետագա վարքի վրա թողնում են տարբեր ազդեցություն և ոչ միշտ է, որ բարձր տուգանքները նպաստում են ճանապարհատրանսպորտային պատահարների հիմնական պատճառ հանդիսացող իրավախախտումների ընդհանուր և հատուկ կանխարգելմանը: </w:t>
            </w:r>
            <w:r w:rsidRPr="0053423A">
              <w:rPr>
                <w:rFonts w:ascii="GHEA Grapalat" w:hAnsi="GHEA Grapalat" w:cs="Sylfaen"/>
                <w:b/>
                <w:color w:val="000000"/>
                <w:sz w:val="20"/>
                <w:szCs w:val="20"/>
                <w:shd w:val="clear" w:color="auto" w:fill="FFFFFF"/>
                <w:lang w:val="ro-RO"/>
              </w:rPr>
              <w:t>Վերջին տարիների վիճակագրությունը փաստում</w:t>
            </w:r>
            <w:r w:rsidRPr="0053423A">
              <w:rPr>
                <w:rFonts w:ascii="GHEA Grapalat" w:hAnsi="GHEA Grapalat" w:cs="Sylfaen"/>
                <w:color w:val="000000"/>
                <w:sz w:val="20"/>
                <w:szCs w:val="20"/>
                <w:shd w:val="clear" w:color="auto" w:fill="FFFFFF"/>
                <w:lang w:val="ro-RO"/>
              </w:rPr>
              <w:t xml:space="preserve"> է, որ ճանապարհատրանսպորտային պատահարների արդյունքում զոհված և վնասվածքներ ստացած անձանց թիվը աճի միտում ունի: Մասնավորապես, 2016 թվականին ՃՏՊ հետևանքով զոհված և վնասվածքներ ստացած անձանց թիվը եղել է համապատասխանաբար </w:t>
            </w:r>
            <w:r w:rsidRPr="0053423A">
              <w:rPr>
                <w:rFonts w:ascii="GHEA Grapalat" w:hAnsi="GHEA Grapalat" w:cs="Sylfaen"/>
                <w:b/>
                <w:color w:val="000000"/>
                <w:sz w:val="20"/>
                <w:szCs w:val="20"/>
                <w:shd w:val="clear" w:color="auto" w:fill="FFFFFF"/>
                <w:lang w:val="ro-RO"/>
              </w:rPr>
              <w:t xml:space="preserve">267 և </w:t>
            </w:r>
            <w:r w:rsidRPr="0053423A">
              <w:rPr>
                <w:rFonts w:ascii="GHEA Grapalat" w:hAnsi="GHEA Grapalat"/>
                <w:b/>
                <w:bCs/>
                <w:sz w:val="20"/>
                <w:szCs w:val="20"/>
                <w:lang w:val="ro-RO"/>
              </w:rPr>
              <w:t>4451</w:t>
            </w:r>
            <w:r w:rsidRPr="0053423A">
              <w:rPr>
                <w:rFonts w:ascii="GHEA Grapalat" w:hAnsi="GHEA Grapalat"/>
                <w:bCs/>
                <w:sz w:val="20"/>
                <w:szCs w:val="20"/>
                <w:lang w:val="ro-RO"/>
              </w:rPr>
              <w:t xml:space="preserve">,  </w:t>
            </w:r>
            <w:r w:rsidRPr="0053423A">
              <w:rPr>
                <w:rFonts w:ascii="GHEA Grapalat" w:hAnsi="GHEA Grapalat"/>
                <w:b/>
                <w:bCs/>
                <w:sz w:val="20"/>
                <w:szCs w:val="20"/>
                <w:lang w:val="ro-RO"/>
              </w:rPr>
              <w:t>2017</w:t>
            </w:r>
            <w:r w:rsidRPr="0053423A">
              <w:rPr>
                <w:rFonts w:ascii="GHEA Grapalat" w:hAnsi="GHEA Grapalat"/>
                <w:bCs/>
                <w:sz w:val="20"/>
                <w:szCs w:val="20"/>
                <w:lang w:val="ro-RO"/>
              </w:rPr>
              <w:t xml:space="preserve"> թվականին՝ </w:t>
            </w:r>
            <w:r w:rsidRPr="0053423A">
              <w:rPr>
                <w:rFonts w:ascii="GHEA Grapalat" w:hAnsi="GHEA Grapalat"/>
                <w:b/>
                <w:bCs/>
                <w:sz w:val="20"/>
                <w:szCs w:val="20"/>
                <w:lang w:val="ro-RO"/>
              </w:rPr>
              <w:t>279 և 5179</w:t>
            </w:r>
            <w:r w:rsidRPr="0053423A">
              <w:rPr>
                <w:rFonts w:ascii="GHEA Grapalat" w:hAnsi="GHEA Grapalat"/>
                <w:bCs/>
                <w:sz w:val="20"/>
                <w:szCs w:val="20"/>
                <w:lang w:val="ro-RO"/>
              </w:rPr>
              <w:t xml:space="preserve"> , իսկ </w:t>
            </w:r>
            <w:r w:rsidRPr="0053423A">
              <w:rPr>
                <w:rFonts w:ascii="GHEA Grapalat" w:hAnsi="GHEA Grapalat"/>
                <w:b/>
                <w:bCs/>
                <w:sz w:val="20"/>
                <w:szCs w:val="20"/>
                <w:lang w:val="ro-RO"/>
              </w:rPr>
              <w:t>2018</w:t>
            </w:r>
            <w:r w:rsidRPr="0053423A">
              <w:rPr>
                <w:rFonts w:ascii="GHEA Grapalat" w:hAnsi="GHEA Grapalat"/>
                <w:bCs/>
                <w:sz w:val="20"/>
                <w:szCs w:val="20"/>
                <w:lang w:val="ro-RO"/>
              </w:rPr>
              <w:t xml:space="preserve"> թվականին արդեն այս թիվը հասել է </w:t>
            </w:r>
            <w:r w:rsidRPr="0053423A">
              <w:rPr>
                <w:rFonts w:ascii="GHEA Grapalat" w:hAnsi="GHEA Grapalat"/>
                <w:b/>
                <w:bCs/>
                <w:sz w:val="20"/>
                <w:szCs w:val="20"/>
                <w:lang w:val="ro-RO"/>
              </w:rPr>
              <w:t>343-ի և 5950</w:t>
            </w:r>
            <w:r w:rsidRPr="0053423A">
              <w:rPr>
                <w:rFonts w:ascii="GHEA Grapalat" w:hAnsi="GHEA Grapalat"/>
                <w:bCs/>
                <w:sz w:val="20"/>
                <w:szCs w:val="20"/>
                <w:lang w:val="ro-RO"/>
              </w:rPr>
              <w:t>-ի: Ճանապարհատրանսպորտային պատահարները կանխարգելելու ն</w:t>
            </w:r>
            <w:r w:rsidRPr="0053423A">
              <w:rPr>
                <w:rFonts w:ascii="GHEA Grapalat" w:hAnsi="GHEA Grapalat" w:cs="Sylfaen"/>
                <w:color w:val="000000"/>
                <w:sz w:val="20"/>
                <w:szCs w:val="20"/>
                <w:shd w:val="clear" w:color="auto" w:fill="FFFFFF"/>
                <w:lang w:val="ro-RO"/>
              </w:rPr>
              <w:t>պատակով ՀՀ ոստիկանության կողմից արդեն իսկ նախապատրաստվել է Վարչական իրավավախտումների վերաբերյալ ՀՀ օրենսգրքում փոփոխություններ և լրացումներ կատարելու մասին համապատասխան օրինագիծ և ներկայացվել ՀՀ վարչապետի աշխատակազմ: Օրինագծով առաջարկվել է վերանայել երթևեկության ոլորտում թույլ տրվող վարչական իրավախախտումների համար նախատեսված տուգանքների չափերը, միաժամանակ ներդնելով տուգանային (ոչ նյութական) միավորների համակարգ (տուգանային միավորը որպես լրացուցիչ վարչական տույժ նախատեսելու եղանակով): Օրինագծի ընդունմանը զուգահեռ անհրաժեշտ է լինելու իրականացնել տուգանային միավորների ավտոմատ հաշվարկման</w:t>
            </w:r>
            <w:r w:rsidRPr="0053423A">
              <w:rPr>
                <w:rFonts w:ascii="GHEA Grapalat" w:hAnsi="GHEA Grapalat"/>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lang w:val="ro-RO"/>
              </w:rPr>
              <w:t>համակարգի</w:t>
            </w:r>
            <w:r w:rsidRPr="0053423A">
              <w:rPr>
                <w:rFonts w:ascii="GHEA Grapalat" w:hAnsi="GHEA Grapalat"/>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lang w:val="ro-RO"/>
              </w:rPr>
              <w:t>ծրագրային</w:t>
            </w:r>
            <w:r w:rsidRPr="0053423A">
              <w:rPr>
                <w:rFonts w:ascii="GHEA Grapalat" w:hAnsi="GHEA Grapalat"/>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lang w:val="ro-RO"/>
              </w:rPr>
              <w:t xml:space="preserve">ապահովումը: Բացի այդ, քաղաքացիներին տրանսպորտային միջոցների հաշվառման ընթացքում ոստիկանության կողմից մատուցվող ծառայությունների որակը բարձրացնելու նպատակով նախատեսվում է ստեղծել այնպիսի համակարգ, որի միջոցով քաղաքացին կկարողանա տրանսպորտային միջոցը հաշվառել, ինչպես նաև </w:t>
            </w:r>
            <w:r w:rsidRPr="0053423A">
              <w:rPr>
                <w:rFonts w:ascii="GHEA Grapalat" w:hAnsi="GHEA Grapalat" w:cs="Sylfaen"/>
                <w:color w:val="000000"/>
                <w:sz w:val="20"/>
                <w:szCs w:val="20"/>
                <w:shd w:val="clear" w:color="auto" w:fill="FFFFFF"/>
              </w:rPr>
              <w:t>տրանսպորտային</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միջոցը</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շահագործող</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անձին</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ամրակցել</w:t>
            </w:r>
            <w:r w:rsidRPr="0053423A">
              <w:rPr>
                <w:rFonts w:ascii="GHEA Grapalat" w:hAnsi="GHEA Grapalat" w:cs="Sylfaen"/>
                <w:color w:val="000000"/>
                <w:sz w:val="20"/>
                <w:szCs w:val="20"/>
                <w:shd w:val="clear" w:color="auto" w:fill="FFFFFF"/>
                <w:lang w:val="ro-RO"/>
              </w:rPr>
              <w:t xml:space="preserve"> նաև էլեկտրոնային՝ առցանց եղանակով՝ առանց հաշվառման ստորաբաժանում այցելելու:</w:t>
            </w:r>
          </w:p>
          <w:p w:rsidR="007B71C6" w:rsidRPr="0053423A" w:rsidRDefault="007B71C6" w:rsidP="00A67858">
            <w:pPr>
              <w:pStyle w:val="NormalWeb"/>
              <w:spacing w:before="0" w:beforeAutospacing="0" w:after="0" w:afterAutospacing="0" w:line="276" w:lineRule="auto"/>
              <w:ind w:right="84" w:firstLine="540"/>
              <w:jc w:val="both"/>
              <w:rPr>
                <w:rFonts w:ascii="GHEA Grapalat" w:hAnsi="GHEA Grapalat" w:cs="Sylfaen"/>
                <w:color w:val="000000"/>
                <w:sz w:val="20"/>
                <w:szCs w:val="20"/>
                <w:shd w:val="clear" w:color="auto" w:fill="FFFFFF"/>
                <w:lang w:val="ro-RO"/>
              </w:rPr>
            </w:pPr>
            <w:r w:rsidRPr="0053423A">
              <w:rPr>
                <w:rFonts w:ascii="GHEA Grapalat" w:hAnsi="GHEA Grapalat" w:cs="Sylfaen"/>
                <w:color w:val="000000"/>
                <w:sz w:val="20"/>
                <w:szCs w:val="20"/>
                <w:shd w:val="clear" w:color="auto" w:fill="FFFFFF"/>
                <w:lang w:val="ro-RO"/>
              </w:rPr>
              <w:t>Կարիք է առաջանալու նաև վերապատրաստել Ոստիկանության համապատասխան ծառայողներին՝ նոր համակարգի շահագործման համար անհրաժեշտ կարողություններ և հմտություններ սովորեցնելու համար:</w:t>
            </w:r>
          </w:p>
          <w:p w:rsidR="007B71C6" w:rsidRPr="0053423A" w:rsidRDefault="007B71C6" w:rsidP="00A67858">
            <w:pPr>
              <w:pStyle w:val="NormalWeb"/>
              <w:spacing w:before="0" w:beforeAutospacing="0" w:after="0" w:afterAutospacing="0" w:line="276" w:lineRule="auto"/>
              <w:ind w:right="84" w:firstLine="540"/>
              <w:jc w:val="both"/>
              <w:rPr>
                <w:rFonts w:ascii="GHEA Grapalat" w:hAnsi="GHEA Grapalat" w:cs="Arial"/>
                <w:b/>
                <w:sz w:val="20"/>
                <w:szCs w:val="20"/>
                <w:lang w:val="ro-RO"/>
              </w:rPr>
            </w:pPr>
            <w:r w:rsidRPr="0053423A">
              <w:rPr>
                <w:rFonts w:ascii="GHEA Grapalat" w:hAnsi="GHEA Grapalat" w:cs="Sylfaen"/>
                <w:b/>
                <w:color w:val="000000"/>
                <w:sz w:val="20"/>
                <w:szCs w:val="20"/>
                <w:shd w:val="clear" w:color="auto" w:fill="FFFFFF"/>
                <w:lang w:val="ro-RO"/>
              </w:rPr>
              <w:t xml:space="preserve">1.2. Առկա խնդիրների առաջարկվող լուծումները  </w:t>
            </w:r>
          </w:p>
          <w:p w:rsidR="007B71C6" w:rsidRPr="0053423A" w:rsidRDefault="007B71C6" w:rsidP="00A67858">
            <w:pPr>
              <w:pStyle w:val="NormalWeb"/>
              <w:spacing w:before="0" w:beforeAutospacing="0" w:after="0" w:afterAutospacing="0" w:line="276" w:lineRule="auto"/>
              <w:ind w:right="84" w:firstLine="540"/>
              <w:jc w:val="both"/>
              <w:rPr>
                <w:rFonts w:ascii="GHEA Grapalat" w:hAnsi="GHEA Grapalat"/>
                <w:b/>
                <w:sz w:val="20"/>
                <w:szCs w:val="20"/>
                <w:lang w:val="ro-RO"/>
              </w:rPr>
            </w:pPr>
            <w:r w:rsidRPr="0053423A">
              <w:rPr>
                <w:rFonts w:ascii="GHEA Grapalat" w:hAnsi="GHEA Grapalat" w:cs="Sylfaen"/>
                <w:color w:val="000000"/>
                <w:sz w:val="20"/>
                <w:szCs w:val="20"/>
                <w:shd w:val="clear" w:color="auto" w:fill="FFFFFF"/>
                <w:lang w:val="ro-RO"/>
              </w:rPr>
              <w:t xml:space="preserve">Միջոցառման շրջանակում առաջարկվում է ներդնել վարորդների նկատմամբ տուգանային (ոչ նյութական) միավորների ավտոմատ հաշվարկման համակարգ՝ հիմնված Ճանապարհային ոստիկանության ճանապարհապարեկային ծառայության  գործունեության վրա: Միաժամանակ, անհրաժեշտ կլինի իրականացնել էլեկտրոնային եղանակով տրանսպորտային միջոցների հաշվառման համակարգի համար անհրաժեշտ ծրագրային ապահովում: Միջոցառման իրականացման շրջանակներում Ոստիկանության համապատասխան պարեկային տրանսպորտային միջոցները կկահավորվեն անհրաժեշտ սարքավորումներով և համակարգերով, ինչի համար (առկա 300 տրանսպորտային միջոցի հաշվարկով) կպահանջվի 1.135.500,0 հազ. դրամ: Ֆինանսավորումը նախատեսվում է հատկացնել </w:t>
            </w:r>
            <w:r w:rsidRPr="0053423A">
              <w:rPr>
                <w:rFonts w:ascii="GHEA Grapalat" w:hAnsi="GHEA Grapalat" w:cs="Sylfaen"/>
                <w:sz w:val="20"/>
                <w:szCs w:val="20"/>
              </w:rPr>
              <w:t>ՀՀ</w:t>
            </w:r>
            <w:r w:rsidRPr="0053423A">
              <w:rPr>
                <w:rFonts w:ascii="GHEA Grapalat" w:hAnsi="GHEA Grapalat" w:cs="Sylfaen"/>
                <w:sz w:val="20"/>
                <w:szCs w:val="20"/>
                <w:lang w:val="fr-FR"/>
              </w:rPr>
              <w:t xml:space="preserve"> </w:t>
            </w:r>
            <w:r w:rsidRPr="0053423A">
              <w:rPr>
                <w:rFonts w:ascii="GHEA Grapalat" w:hAnsi="GHEA Grapalat" w:cs="Sylfaen"/>
                <w:sz w:val="20"/>
                <w:szCs w:val="20"/>
              </w:rPr>
              <w:t>պետական</w:t>
            </w:r>
            <w:r w:rsidRPr="0053423A">
              <w:rPr>
                <w:rFonts w:ascii="GHEA Grapalat" w:hAnsi="GHEA Grapalat" w:cs="Sylfaen"/>
                <w:sz w:val="20"/>
                <w:szCs w:val="20"/>
                <w:lang w:val="fr-FR"/>
              </w:rPr>
              <w:t xml:space="preserve"> </w:t>
            </w:r>
            <w:r w:rsidRPr="0053423A">
              <w:rPr>
                <w:rFonts w:ascii="GHEA Grapalat" w:hAnsi="GHEA Grapalat" w:cs="Sylfaen"/>
                <w:sz w:val="20"/>
                <w:szCs w:val="20"/>
              </w:rPr>
              <w:t>բյուջեից</w:t>
            </w:r>
            <w:r w:rsidRPr="0053423A">
              <w:rPr>
                <w:rFonts w:ascii="GHEA Grapalat" w:hAnsi="GHEA Grapalat" w:cs="Sylfaen"/>
                <w:sz w:val="20"/>
                <w:szCs w:val="20"/>
                <w:lang w:val="ro-RO"/>
              </w:rPr>
              <w:t>՝ ճ</w:t>
            </w:r>
            <w:r w:rsidRPr="0053423A">
              <w:rPr>
                <w:rFonts w:ascii="GHEA Grapalat" w:hAnsi="GHEA Grapalat" w:cs="Sylfaen"/>
                <w:sz w:val="20"/>
                <w:szCs w:val="20"/>
              </w:rPr>
              <w:t>անապարհային</w:t>
            </w:r>
            <w:r w:rsidRPr="0053423A">
              <w:rPr>
                <w:rFonts w:ascii="GHEA Grapalat" w:hAnsi="GHEA Grapalat" w:cs="Sylfaen"/>
                <w:sz w:val="20"/>
                <w:szCs w:val="20"/>
                <w:lang w:val="fr-FR"/>
              </w:rPr>
              <w:t xml:space="preserve"> </w:t>
            </w:r>
            <w:r w:rsidRPr="0053423A">
              <w:rPr>
                <w:rFonts w:ascii="GHEA Grapalat" w:hAnsi="GHEA Grapalat" w:cs="Sylfaen"/>
                <w:sz w:val="20"/>
                <w:szCs w:val="20"/>
              </w:rPr>
              <w:t>երթևեկության</w:t>
            </w:r>
            <w:r w:rsidRPr="0053423A">
              <w:rPr>
                <w:rFonts w:ascii="GHEA Grapalat" w:hAnsi="GHEA Grapalat" w:cs="Sylfaen"/>
                <w:sz w:val="20"/>
                <w:szCs w:val="20"/>
                <w:lang w:val="fr-FR"/>
              </w:rPr>
              <w:t xml:space="preserve"> </w:t>
            </w:r>
            <w:r w:rsidRPr="0053423A">
              <w:rPr>
                <w:rFonts w:ascii="GHEA Grapalat" w:hAnsi="GHEA Grapalat" w:cs="Sylfaen"/>
                <w:sz w:val="20"/>
                <w:szCs w:val="20"/>
              </w:rPr>
              <w:t>անվտանգության</w:t>
            </w:r>
            <w:r w:rsidRPr="0053423A">
              <w:rPr>
                <w:rFonts w:ascii="GHEA Grapalat" w:hAnsi="GHEA Grapalat" w:cs="Sylfaen"/>
                <w:sz w:val="20"/>
                <w:szCs w:val="20"/>
                <w:lang w:val="fr-FR"/>
              </w:rPr>
              <w:t xml:space="preserve"> </w:t>
            </w:r>
            <w:r w:rsidRPr="0053423A">
              <w:rPr>
                <w:rFonts w:ascii="GHEA Grapalat" w:hAnsi="GHEA Grapalat" w:cs="Sylfaen"/>
                <w:sz w:val="20"/>
                <w:szCs w:val="20"/>
              </w:rPr>
              <w:t>ապահովման</w:t>
            </w:r>
            <w:r w:rsidRPr="0053423A">
              <w:rPr>
                <w:rFonts w:ascii="GHEA Grapalat" w:hAnsi="GHEA Grapalat" w:cs="Sylfaen"/>
                <w:sz w:val="20"/>
                <w:szCs w:val="20"/>
                <w:lang w:val="fr-FR"/>
              </w:rPr>
              <w:t xml:space="preserve"> </w:t>
            </w:r>
            <w:r w:rsidRPr="0053423A">
              <w:rPr>
                <w:rFonts w:ascii="GHEA Grapalat" w:hAnsi="GHEA Grapalat" w:cs="Sylfaen"/>
                <w:sz w:val="20"/>
                <w:szCs w:val="20"/>
              </w:rPr>
              <w:t>համար</w:t>
            </w:r>
            <w:r w:rsidRPr="0053423A">
              <w:rPr>
                <w:rFonts w:ascii="GHEA Grapalat" w:hAnsi="GHEA Grapalat" w:cs="Sylfaen"/>
                <w:sz w:val="20"/>
                <w:szCs w:val="20"/>
                <w:lang w:val="fr-FR"/>
              </w:rPr>
              <w:t xml:space="preserve"> </w:t>
            </w:r>
            <w:r w:rsidRPr="0053423A">
              <w:rPr>
                <w:rFonts w:ascii="GHEA Grapalat" w:hAnsi="GHEA Grapalat" w:cs="Sylfaen"/>
                <w:sz w:val="20"/>
                <w:szCs w:val="20"/>
              </w:rPr>
              <w:t>նախատեսվելիք</w:t>
            </w:r>
            <w:r w:rsidRPr="0053423A">
              <w:rPr>
                <w:rFonts w:ascii="GHEA Grapalat" w:hAnsi="GHEA Grapalat" w:cs="Sylfaen"/>
                <w:sz w:val="20"/>
                <w:szCs w:val="20"/>
                <w:lang w:val="fr-FR"/>
              </w:rPr>
              <w:t xml:space="preserve"> </w:t>
            </w:r>
            <w:r w:rsidRPr="0053423A">
              <w:rPr>
                <w:rFonts w:ascii="GHEA Grapalat" w:hAnsi="GHEA Grapalat" w:cs="Sylfaen"/>
                <w:sz w:val="20"/>
                <w:szCs w:val="20"/>
              </w:rPr>
              <w:t>չափաքանակների</w:t>
            </w:r>
            <w:r w:rsidRPr="0053423A">
              <w:rPr>
                <w:rFonts w:ascii="GHEA Grapalat" w:hAnsi="GHEA Grapalat" w:cs="Sylfaen"/>
                <w:sz w:val="20"/>
                <w:szCs w:val="20"/>
                <w:lang w:val="fr-FR"/>
              </w:rPr>
              <w:t xml:space="preserve"> </w:t>
            </w:r>
            <w:r w:rsidRPr="0053423A">
              <w:rPr>
                <w:rFonts w:ascii="GHEA Grapalat" w:hAnsi="GHEA Grapalat" w:cs="Sylfaen"/>
                <w:sz w:val="20"/>
                <w:szCs w:val="20"/>
              </w:rPr>
              <w:t>շրջանակներում</w:t>
            </w:r>
            <w:r w:rsidRPr="0053423A">
              <w:rPr>
                <w:rFonts w:ascii="GHEA Grapalat" w:hAnsi="GHEA Grapalat" w:cs="Sylfaen"/>
                <w:sz w:val="20"/>
                <w:szCs w:val="20"/>
                <w:lang w:val="fr-FR"/>
              </w:rPr>
              <w:t xml:space="preserve">: </w:t>
            </w:r>
            <w:r w:rsidRPr="0053423A">
              <w:rPr>
                <w:rFonts w:ascii="GHEA Grapalat" w:hAnsi="GHEA Grapalat" w:cs="Sylfaen"/>
                <w:color w:val="000000"/>
                <w:sz w:val="20"/>
                <w:szCs w:val="20"/>
                <w:shd w:val="clear" w:color="auto" w:fill="FFFFFF"/>
                <w:lang w:val="ro-RO"/>
              </w:rPr>
              <w:t xml:space="preserve">ՀՀ պետական բյուջեից լրացուցիչ ծախսերի անհրաժեշտություն չի առաջանալու: </w:t>
            </w:r>
          </w:p>
          <w:p w:rsidR="007B71C6" w:rsidRPr="0053423A" w:rsidRDefault="007B71C6" w:rsidP="00A67858">
            <w:pPr>
              <w:pStyle w:val="NormalWeb"/>
              <w:tabs>
                <w:tab w:val="left" w:pos="462"/>
              </w:tabs>
              <w:spacing w:before="0" w:beforeAutospacing="0" w:after="0" w:afterAutospacing="0" w:line="276" w:lineRule="auto"/>
              <w:ind w:right="106" w:firstLine="540"/>
              <w:rPr>
                <w:rFonts w:ascii="GHEA Grapalat" w:hAnsi="GHEA Grapalat"/>
                <w:b/>
                <w:sz w:val="20"/>
                <w:szCs w:val="20"/>
                <w:lang w:val="ro-RO"/>
              </w:rPr>
            </w:pPr>
            <w:r w:rsidRPr="0053423A">
              <w:rPr>
                <w:rFonts w:ascii="GHEA Grapalat" w:hAnsi="GHEA Grapalat"/>
                <w:b/>
                <w:sz w:val="20"/>
                <w:szCs w:val="20"/>
                <w:lang w:val="ro-RO"/>
              </w:rPr>
              <w:t>2. Միջոցառման իրականացումից ակնկալվող արդյունքը</w:t>
            </w:r>
          </w:p>
          <w:p w:rsidR="007B71C6" w:rsidRPr="0053423A" w:rsidRDefault="007B71C6" w:rsidP="00A67858">
            <w:pPr>
              <w:pStyle w:val="NormalWeb"/>
              <w:spacing w:before="0" w:beforeAutospacing="0" w:after="0" w:afterAutospacing="0" w:line="276" w:lineRule="auto"/>
              <w:ind w:right="84" w:firstLine="540"/>
              <w:jc w:val="both"/>
              <w:rPr>
                <w:rFonts w:ascii="GHEA Grapalat" w:hAnsi="GHEA Grapalat"/>
                <w:sz w:val="20"/>
                <w:szCs w:val="20"/>
                <w:lang w:val="ro-RO"/>
              </w:rPr>
            </w:pPr>
            <w:r w:rsidRPr="0053423A">
              <w:rPr>
                <w:rFonts w:ascii="GHEA Grapalat" w:hAnsi="GHEA Grapalat" w:cs="Sylfaen"/>
                <w:color w:val="000000"/>
                <w:sz w:val="20"/>
                <w:szCs w:val="20"/>
                <w:shd w:val="clear" w:color="auto" w:fill="FFFFFF"/>
              </w:rPr>
              <w:t>Միջոցառման</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իրականացման</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արդյունքում</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ՀՀ</w:t>
            </w:r>
            <w:r w:rsidRPr="0053423A">
              <w:rPr>
                <w:rFonts w:ascii="GHEA Grapalat" w:hAnsi="GHEA Grapalat" w:cs="Sylfaen"/>
                <w:color w:val="000000"/>
                <w:sz w:val="20"/>
                <w:szCs w:val="20"/>
                <w:shd w:val="clear" w:color="auto" w:fill="FFFFFF"/>
                <w:lang w:val="ro-RO"/>
              </w:rPr>
              <w:t xml:space="preserve"> ճանապարհային երթևեկության անվտանգության ապահովման բնագավառում կներդրվի նոր համակարգ, որը թույլ կտա երաշխավորել անվտանգության առավել բարձր մակարդակ առանց խիստ տուգանքներ կիրառելու: Պատժիչ ֆունկցիայի ուժեղացման փոխարեն տուգանային (ոչ նյութական) միավորների համակարգը միտված կլինի ճանապարհային երթևեկության ոլորտում թույլ տրվող իրավախախտումների կանխարգելմանն ու  </w:t>
            </w:r>
            <w:r w:rsidRPr="0053423A">
              <w:rPr>
                <w:rFonts w:ascii="GHEA Grapalat" w:hAnsi="GHEA Grapalat" w:cs="Sylfaen"/>
                <w:color w:val="000000"/>
                <w:sz w:val="20"/>
                <w:szCs w:val="20"/>
                <w:shd w:val="clear" w:color="auto" w:fill="FFFFFF"/>
              </w:rPr>
              <w:t>անվտանգության</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նոր</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երաշխիքների</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ամրագրմանը</w:t>
            </w:r>
            <w:r w:rsidRPr="0053423A">
              <w:rPr>
                <w:rFonts w:ascii="GHEA Grapalat" w:hAnsi="GHEA Grapalat" w:cs="Sylfaen"/>
                <w:color w:val="000000"/>
                <w:sz w:val="20"/>
                <w:szCs w:val="20"/>
                <w:shd w:val="clear" w:color="auto" w:fill="FFFFFF"/>
                <w:lang w:val="ro-RO"/>
              </w:rPr>
              <w:t xml:space="preserve">: Էլեկտրոնային եղանակով տրանսպորտային միջոցները հաշվառելու, ինչպես նաև </w:t>
            </w:r>
            <w:r w:rsidRPr="0053423A">
              <w:rPr>
                <w:rFonts w:ascii="GHEA Grapalat" w:hAnsi="GHEA Grapalat" w:cs="Sylfaen"/>
                <w:color w:val="000000"/>
                <w:sz w:val="20"/>
                <w:szCs w:val="20"/>
                <w:shd w:val="clear" w:color="auto" w:fill="FFFFFF"/>
              </w:rPr>
              <w:t>տրանսպորտային</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միջոցը</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շահագործող</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անձին</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էլեկտրոնային</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եղանակով</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ամրակցելու</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հնարավորության</w:t>
            </w:r>
            <w:r w:rsidRPr="0053423A">
              <w:rPr>
                <w:rFonts w:ascii="GHEA Grapalat" w:hAnsi="GHEA Grapalat" w:cs="Sylfaen"/>
                <w:color w:val="000000"/>
                <w:sz w:val="20"/>
                <w:szCs w:val="20"/>
                <w:shd w:val="clear" w:color="auto" w:fill="FFFFFF"/>
                <w:lang w:val="ro-RO"/>
              </w:rPr>
              <w:t xml:space="preserve"> </w:t>
            </w:r>
            <w:r w:rsidRPr="0053423A">
              <w:rPr>
                <w:rFonts w:ascii="GHEA Grapalat" w:hAnsi="GHEA Grapalat" w:cs="Sylfaen"/>
                <w:color w:val="000000"/>
                <w:sz w:val="20"/>
                <w:szCs w:val="20"/>
                <w:shd w:val="clear" w:color="auto" w:fill="FFFFFF"/>
              </w:rPr>
              <w:t>նախատեսում</w:t>
            </w:r>
            <w:r w:rsidRPr="0053423A">
              <w:rPr>
                <w:rFonts w:ascii="GHEA Grapalat" w:hAnsi="GHEA Grapalat" w:cs="Sylfaen"/>
                <w:color w:val="000000"/>
                <w:sz w:val="20"/>
                <w:szCs w:val="20"/>
                <w:shd w:val="clear" w:color="auto" w:fill="FFFFFF"/>
                <w:lang w:val="ro-RO"/>
              </w:rPr>
              <w:t xml:space="preserve"> թույլ կտա նվազեցնել վարչարարության ընթացքում պետական մարմնի կողմից ծախսվող ռեսուրսներն ու ժամանակը, բարձրացնել քաղաքացիներին մատուցվող ծառայությունների որակը:</w:t>
            </w:r>
          </w:p>
        </w:tc>
      </w:tr>
      <w:tr w:rsidR="007B71C6" w:rsidRPr="00DE2EFA" w:rsidTr="007B71C6">
        <w:tc>
          <w:tcPr>
            <w:tcW w:w="425" w:type="dxa"/>
          </w:tcPr>
          <w:p w:rsidR="007B71C6" w:rsidRPr="0053423A" w:rsidRDefault="007B71C6" w:rsidP="00A67858">
            <w:pPr>
              <w:spacing w:line="276" w:lineRule="auto"/>
              <w:ind w:left="-108" w:right="-108"/>
              <w:rPr>
                <w:lang w:val="hy-AM"/>
              </w:rPr>
            </w:pPr>
            <w:r w:rsidRPr="0053423A">
              <w:rPr>
                <w:lang w:val="hy-AM"/>
              </w:rPr>
              <w:t>2.1-2.3</w:t>
            </w:r>
          </w:p>
        </w:tc>
        <w:tc>
          <w:tcPr>
            <w:tcW w:w="11100" w:type="dxa"/>
          </w:tcPr>
          <w:p w:rsidR="007B71C6" w:rsidRPr="0053423A" w:rsidRDefault="007B71C6" w:rsidP="00A67858">
            <w:pPr>
              <w:pStyle w:val="NormalWeb"/>
              <w:spacing w:before="0" w:beforeAutospacing="0" w:after="0" w:afterAutospacing="0" w:line="276" w:lineRule="auto"/>
              <w:ind w:left="540" w:right="84"/>
              <w:jc w:val="center"/>
              <w:rPr>
                <w:rFonts w:ascii="GHEA Grapalat" w:hAnsi="GHEA Grapalat"/>
                <w:b/>
                <w:sz w:val="20"/>
                <w:szCs w:val="20"/>
                <w:lang w:val="ro-RO"/>
              </w:rPr>
            </w:pPr>
            <w:r w:rsidRPr="0053423A">
              <w:rPr>
                <w:rFonts w:ascii="GHEA Grapalat" w:hAnsi="GHEA Grapalat"/>
                <w:b/>
                <w:sz w:val="20"/>
                <w:szCs w:val="20"/>
                <w:lang w:val="hy-AM"/>
              </w:rPr>
              <w:t>Պարեկային ոստիկանության՝ շարժական շուրջօրյա պարեկային միասնական ստորաբաժանման</w:t>
            </w:r>
            <w:r w:rsidRPr="0053423A">
              <w:rPr>
                <w:rFonts w:ascii="GHEA Grapalat" w:hAnsi="GHEA Grapalat"/>
                <w:b/>
                <w:sz w:val="20"/>
                <w:szCs w:val="20"/>
                <w:lang w:val="ro-RO"/>
              </w:rPr>
              <w:t xml:space="preserve"> ստեղծում</w:t>
            </w:r>
          </w:p>
          <w:p w:rsidR="007B71C6" w:rsidRPr="0053423A" w:rsidRDefault="007B71C6" w:rsidP="00A67858">
            <w:pPr>
              <w:pStyle w:val="NormalWeb"/>
              <w:spacing w:before="0" w:beforeAutospacing="0" w:after="0" w:afterAutospacing="0" w:line="276" w:lineRule="auto"/>
              <w:ind w:left="540" w:right="84"/>
              <w:rPr>
                <w:rFonts w:ascii="GHEA Grapalat" w:hAnsi="GHEA Grapalat"/>
                <w:b/>
                <w:i/>
                <w:sz w:val="20"/>
                <w:szCs w:val="20"/>
                <w:highlight w:val="yellow"/>
                <w:u w:val="single"/>
                <w:lang w:val="ro-RO"/>
              </w:rPr>
            </w:pPr>
          </w:p>
          <w:p w:rsidR="007B71C6" w:rsidRPr="0053423A" w:rsidRDefault="007B71C6" w:rsidP="00A67858">
            <w:pPr>
              <w:pStyle w:val="NormalWeb"/>
              <w:spacing w:before="0" w:beforeAutospacing="0" w:after="0" w:afterAutospacing="0" w:line="276" w:lineRule="auto"/>
              <w:ind w:left="540" w:right="84"/>
              <w:rPr>
                <w:rFonts w:ascii="GHEA Grapalat" w:hAnsi="GHEA Grapalat"/>
                <w:b/>
                <w:sz w:val="20"/>
                <w:szCs w:val="20"/>
                <w:lang w:val="ro-RO"/>
              </w:rPr>
            </w:pPr>
            <w:r w:rsidRPr="0053423A">
              <w:rPr>
                <w:rFonts w:ascii="GHEA Grapalat" w:hAnsi="GHEA Grapalat"/>
                <w:b/>
                <w:sz w:val="20"/>
                <w:szCs w:val="20"/>
                <w:lang w:val="ro-RO"/>
              </w:rPr>
              <w:t>1.Միջոցառման անհրաժեշտությունը (նպատակը)</w:t>
            </w:r>
          </w:p>
          <w:p w:rsidR="007B71C6" w:rsidRPr="0053423A" w:rsidRDefault="007B71C6" w:rsidP="00A67858">
            <w:pPr>
              <w:pStyle w:val="NormalWeb"/>
              <w:spacing w:before="0" w:beforeAutospacing="0" w:after="0" w:afterAutospacing="0" w:line="276" w:lineRule="auto"/>
              <w:ind w:right="84" w:firstLine="567"/>
              <w:jc w:val="both"/>
              <w:rPr>
                <w:rFonts w:ascii="GHEA Grapalat" w:hAnsi="GHEA Grapalat"/>
                <w:sz w:val="20"/>
                <w:szCs w:val="20"/>
                <w:lang w:val="ro-RO"/>
              </w:rPr>
            </w:pPr>
            <w:r w:rsidRPr="0053423A">
              <w:rPr>
                <w:rFonts w:ascii="GHEA Grapalat" w:hAnsi="GHEA Grapalat"/>
                <w:sz w:val="20"/>
                <w:szCs w:val="20"/>
                <w:lang w:val="hy-AM"/>
              </w:rPr>
              <w:t>Պարեկային ոստիկանության՝ շարժական շուրջօրյա պարեկային միասնական ստորաբաժանման ստեղծ</w:t>
            </w:r>
            <w:r w:rsidRPr="0053423A">
              <w:rPr>
                <w:rFonts w:ascii="GHEA Grapalat" w:hAnsi="GHEA Grapalat"/>
                <w:sz w:val="20"/>
                <w:szCs w:val="20"/>
              </w:rPr>
              <w:t>ումը</w:t>
            </w:r>
            <w:r w:rsidRPr="0053423A">
              <w:rPr>
                <w:rFonts w:ascii="GHEA Grapalat" w:hAnsi="GHEA Grapalat"/>
                <w:sz w:val="20"/>
                <w:szCs w:val="20"/>
                <w:lang w:val="ro-RO"/>
              </w:rPr>
              <w:t xml:space="preserve"> </w:t>
            </w:r>
            <w:r w:rsidRPr="0053423A">
              <w:rPr>
                <w:rFonts w:ascii="GHEA Grapalat" w:hAnsi="GHEA Grapalat"/>
                <w:sz w:val="20"/>
                <w:szCs w:val="20"/>
              </w:rPr>
              <w:t>նպատակ</w:t>
            </w:r>
            <w:r w:rsidRPr="0053423A">
              <w:rPr>
                <w:rFonts w:ascii="GHEA Grapalat" w:hAnsi="GHEA Grapalat"/>
                <w:sz w:val="20"/>
                <w:szCs w:val="20"/>
                <w:lang w:val="ro-RO"/>
              </w:rPr>
              <w:t xml:space="preserve"> </w:t>
            </w:r>
            <w:r w:rsidRPr="0053423A">
              <w:rPr>
                <w:rFonts w:ascii="GHEA Grapalat" w:hAnsi="GHEA Grapalat"/>
                <w:sz w:val="20"/>
                <w:szCs w:val="20"/>
              </w:rPr>
              <w:t>ունի</w:t>
            </w:r>
            <w:r w:rsidRPr="0053423A">
              <w:rPr>
                <w:rFonts w:ascii="GHEA Grapalat" w:hAnsi="GHEA Grapalat"/>
                <w:sz w:val="20"/>
                <w:szCs w:val="20"/>
                <w:lang w:val="ro-RO"/>
              </w:rPr>
              <w:t xml:space="preserve"> </w:t>
            </w:r>
            <w:r w:rsidRPr="0053423A">
              <w:rPr>
                <w:rFonts w:ascii="GHEA Grapalat" w:hAnsi="GHEA Grapalat"/>
                <w:sz w:val="20"/>
                <w:szCs w:val="20"/>
              </w:rPr>
              <w:t>օպտիմալացնելու</w:t>
            </w:r>
            <w:r w:rsidRPr="0053423A">
              <w:rPr>
                <w:rFonts w:ascii="GHEA Grapalat" w:hAnsi="GHEA Grapalat"/>
                <w:sz w:val="20"/>
                <w:szCs w:val="20"/>
                <w:lang w:val="ro-RO"/>
              </w:rPr>
              <w:t xml:space="preserve"> </w:t>
            </w:r>
            <w:r w:rsidRPr="0053423A">
              <w:rPr>
                <w:rFonts w:ascii="GHEA Grapalat" w:hAnsi="GHEA Grapalat"/>
                <w:sz w:val="20"/>
                <w:szCs w:val="20"/>
              </w:rPr>
              <w:t>համայնքային</w:t>
            </w:r>
            <w:r w:rsidRPr="0053423A">
              <w:rPr>
                <w:rFonts w:ascii="GHEA Grapalat" w:hAnsi="GHEA Grapalat"/>
                <w:sz w:val="20"/>
                <w:szCs w:val="20"/>
                <w:lang w:val="ro-RO"/>
              </w:rPr>
              <w:t xml:space="preserve"> </w:t>
            </w:r>
            <w:r w:rsidRPr="0053423A">
              <w:rPr>
                <w:rFonts w:ascii="GHEA Grapalat" w:hAnsi="GHEA Grapalat"/>
                <w:sz w:val="20"/>
                <w:szCs w:val="20"/>
              </w:rPr>
              <w:t>ոստիկանության</w:t>
            </w:r>
            <w:r w:rsidRPr="0053423A">
              <w:rPr>
                <w:rFonts w:ascii="GHEA Grapalat" w:hAnsi="GHEA Grapalat"/>
                <w:sz w:val="20"/>
                <w:szCs w:val="20"/>
                <w:lang w:val="ro-RO"/>
              </w:rPr>
              <w:t xml:space="preserve"> </w:t>
            </w:r>
            <w:r w:rsidRPr="0053423A">
              <w:rPr>
                <w:rFonts w:ascii="GHEA Grapalat" w:hAnsi="GHEA Grapalat"/>
                <w:sz w:val="20"/>
                <w:szCs w:val="20"/>
              </w:rPr>
              <w:t>և</w:t>
            </w:r>
            <w:r w:rsidRPr="0053423A">
              <w:rPr>
                <w:rFonts w:ascii="GHEA Grapalat" w:hAnsi="GHEA Grapalat"/>
                <w:sz w:val="20"/>
                <w:szCs w:val="20"/>
                <w:lang w:val="ro-RO"/>
              </w:rPr>
              <w:t xml:space="preserve"> </w:t>
            </w:r>
            <w:r w:rsidRPr="0053423A">
              <w:rPr>
                <w:rFonts w:ascii="GHEA Grapalat" w:hAnsi="GHEA Grapalat"/>
                <w:sz w:val="20"/>
                <w:szCs w:val="20"/>
              </w:rPr>
              <w:t>օպերատիվ</w:t>
            </w:r>
            <w:r w:rsidRPr="0053423A">
              <w:rPr>
                <w:rFonts w:ascii="GHEA Grapalat" w:hAnsi="GHEA Grapalat"/>
                <w:sz w:val="20"/>
                <w:szCs w:val="20"/>
                <w:lang w:val="ro-RO"/>
              </w:rPr>
              <w:t xml:space="preserve"> </w:t>
            </w:r>
            <w:r w:rsidRPr="0053423A">
              <w:rPr>
                <w:rFonts w:ascii="GHEA Grapalat" w:hAnsi="GHEA Grapalat"/>
                <w:sz w:val="20"/>
                <w:szCs w:val="20"/>
              </w:rPr>
              <w:t>հետախուզական</w:t>
            </w:r>
            <w:r w:rsidRPr="0053423A">
              <w:rPr>
                <w:rFonts w:ascii="GHEA Grapalat" w:hAnsi="GHEA Grapalat"/>
                <w:sz w:val="20"/>
                <w:szCs w:val="20"/>
                <w:lang w:val="ro-RO"/>
              </w:rPr>
              <w:t xml:space="preserve"> </w:t>
            </w:r>
            <w:r w:rsidRPr="0053423A">
              <w:rPr>
                <w:rFonts w:ascii="GHEA Grapalat" w:hAnsi="GHEA Grapalat"/>
                <w:sz w:val="20"/>
                <w:szCs w:val="20"/>
              </w:rPr>
              <w:t>ստորաբաժանումների</w:t>
            </w:r>
            <w:r w:rsidRPr="0053423A">
              <w:rPr>
                <w:rFonts w:ascii="GHEA Grapalat" w:hAnsi="GHEA Grapalat"/>
                <w:sz w:val="20"/>
                <w:szCs w:val="20"/>
                <w:lang w:val="ro-RO"/>
              </w:rPr>
              <w:t xml:space="preserve"> </w:t>
            </w:r>
            <w:r w:rsidRPr="0053423A">
              <w:rPr>
                <w:rFonts w:ascii="GHEA Grapalat" w:hAnsi="GHEA Grapalat"/>
                <w:sz w:val="20"/>
                <w:szCs w:val="20"/>
              </w:rPr>
              <w:t>աշխատանքը</w:t>
            </w:r>
            <w:r w:rsidRPr="0053423A">
              <w:rPr>
                <w:rFonts w:ascii="GHEA Grapalat" w:hAnsi="GHEA Grapalat"/>
                <w:sz w:val="20"/>
                <w:szCs w:val="20"/>
                <w:lang w:val="ro-RO"/>
              </w:rPr>
              <w:t xml:space="preserve">, </w:t>
            </w:r>
            <w:r w:rsidRPr="0053423A">
              <w:rPr>
                <w:rFonts w:ascii="GHEA Grapalat" w:hAnsi="GHEA Grapalat"/>
                <w:sz w:val="20"/>
                <w:szCs w:val="20"/>
              </w:rPr>
              <w:t>բարձրացնելու</w:t>
            </w:r>
            <w:r w:rsidRPr="0053423A">
              <w:rPr>
                <w:rFonts w:ascii="GHEA Grapalat" w:hAnsi="GHEA Grapalat"/>
                <w:sz w:val="20"/>
                <w:szCs w:val="20"/>
                <w:lang w:val="ro-RO"/>
              </w:rPr>
              <w:t xml:space="preserve"> սեփականության դեմ ուղղված և հատկապես հանրային վայրերում </w:t>
            </w:r>
            <w:r w:rsidRPr="0053423A">
              <w:rPr>
                <w:rFonts w:ascii="GHEA Grapalat" w:hAnsi="GHEA Grapalat"/>
                <w:sz w:val="20"/>
                <w:szCs w:val="20"/>
              </w:rPr>
              <w:t>իրավախախտումների</w:t>
            </w:r>
            <w:r w:rsidRPr="0053423A">
              <w:rPr>
                <w:rFonts w:ascii="GHEA Grapalat" w:hAnsi="GHEA Grapalat"/>
                <w:sz w:val="20"/>
                <w:szCs w:val="20"/>
                <w:lang w:val="ro-RO"/>
              </w:rPr>
              <w:t xml:space="preserve"> </w:t>
            </w:r>
            <w:r w:rsidRPr="0053423A">
              <w:rPr>
                <w:rFonts w:ascii="GHEA Grapalat" w:hAnsi="GHEA Grapalat"/>
                <w:sz w:val="20"/>
                <w:szCs w:val="20"/>
              </w:rPr>
              <w:t>կանխարգելման</w:t>
            </w:r>
            <w:r w:rsidRPr="0053423A">
              <w:rPr>
                <w:rFonts w:ascii="GHEA Grapalat" w:hAnsi="GHEA Grapalat"/>
                <w:sz w:val="20"/>
                <w:szCs w:val="20"/>
                <w:lang w:val="ro-RO"/>
              </w:rPr>
              <w:t xml:space="preserve"> </w:t>
            </w:r>
            <w:r w:rsidRPr="0053423A">
              <w:rPr>
                <w:rFonts w:ascii="GHEA Grapalat" w:hAnsi="GHEA Grapalat"/>
                <w:sz w:val="20"/>
                <w:szCs w:val="20"/>
              </w:rPr>
              <w:t>արդյունավետությունը</w:t>
            </w:r>
            <w:r w:rsidRPr="0053423A">
              <w:rPr>
                <w:rFonts w:ascii="GHEA Grapalat" w:hAnsi="GHEA Grapalat"/>
                <w:sz w:val="20"/>
                <w:szCs w:val="20"/>
                <w:lang w:val="ro-RO"/>
              </w:rPr>
              <w:t xml:space="preserve">, </w:t>
            </w:r>
            <w:r w:rsidRPr="0053423A">
              <w:rPr>
                <w:rFonts w:ascii="GHEA Grapalat" w:hAnsi="GHEA Grapalat"/>
                <w:sz w:val="20"/>
                <w:szCs w:val="20"/>
              </w:rPr>
              <w:t>առավել</w:t>
            </w:r>
            <w:r w:rsidRPr="0053423A">
              <w:rPr>
                <w:rFonts w:ascii="GHEA Grapalat" w:hAnsi="GHEA Grapalat"/>
                <w:sz w:val="20"/>
                <w:szCs w:val="20"/>
                <w:lang w:val="ro-RO"/>
              </w:rPr>
              <w:t xml:space="preserve"> </w:t>
            </w:r>
            <w:r w:rsidRPr="0053423A">
              <w:rPr>
                <w:rFonts w:ascii="GHEA Grapalat" w:hAnsi="GHEA Grapalat"/>
                <w:sz w:val="20"/>
                <w:szCs w:val="20"/>
              </w:rPr>
              <w:t>օպերատիվ</w:t>
            </w:r>
            <w:r w:rsidRPr="0053423A">
              <w:rPr>
                <w:rFonts w:ascii="GHEA Grapalat" w:hAnsi="GHEA Grapalat"/>
                <w:sz w:val="20"/>
                <w:szCs w:val="20"/>
                <w:lang w:val="ro-RO"/>
              </w:rPr>
              <w:t xml:space="preserve"> արձագանքելու իրավախախտումներին և պատահարներին: Միջոցառման իրականացումը համահունչ է </w:t>
            </w:r>
            <w:r w:rsidRPr="0053423A">
              <w:rPr>
                <w:rFonts w:ascii="GHEA Grapalat" w:hAnsi="GHEA Grapalat" w:cs="Sylfaen"/>
                <w:color w:val="000000"/>
                <w:sz w:val="20"/>
                <w:szCs w:val="20"/>
                <w:shd w:val="clear" w:color="auto" w:fill="FFFFFF"/>
                <w:lang w:val="ro-RO"/>
              </w:rPr>
              <w:t>ՀՀ Ազգային ժողովի 2019 թվականի ԱԺՈ-002-Ն որոշմամբ հավանության արժանացած ՀՀ կառավարության ծրագրին և բխում է վերջինիս «2.2. Ներքին անվտանգությունը» բաժնից:</w:t>
            </w:r>
          </w:p>
          <w:p w:rsidR="007B71C6" w:rsidRPr="0053423A" w:rsidRDefault="007B71C6" w:rsidP="001F6D5D">
            <w:pPr>
              <w:pStyle w:val="NormalWeb"/>
              <w:numPr>
                <w:ilvl w:val="1"/>
                <w:numId w:val="164"/>
              </w:numPr>
              <w:spacing w:before="0" w:beforeAutospacing="0" w:after="0" w:afterAutospacing="0" w:line="276" w:lineRule="auto"/>
              <w:ind w:right="84"/>
              <w:jc w:val="both"/>
              <w:rPr>
                <w:rFonts w:ascii="GHEA Grapalat" w:hAnsi="GHEA Grapalat" w:cs="Sylfaen"/>
                <w:b/>
                <w:color w:val="000000"/>
                <w:sz w:val="20"/>
                <w:szCs w:val="20"/>
                <w:shd w:val="clear" w:color="auto" w:fill="FFFFFF"/>
                <w:lang w:val="ro-RO"/>
              </w:rPr>
            </w:pPr>
            <w:r w:rsidRPr="0053423A">
              <w:rPr>
                <w:rFonts w:ascii="GHEA Grapalat" w:hAnsi="GHEA Grapalat" w:cs="Sylfaen"/>
                <w:b/>
                <w:color w:val="000000"/>
                <w:sz w:val="20"/>
                <w:szCs w:val="20"/>
                <w:shd w:val="clear" w:color="auto" w:fill="FFFFFF"/>
                <w:lang w:val="ro-RO"/>
              </w:rPr>
              <w:t xml:space="preserve">Կարգավորման հարաբերությունների ներկա վիճակը և առկա խնդիրը </w:t>
            </w:r>
          </w:p>
          <w:p w:rsidR="007B71C6" w:rsidRPr="0053423A" w:rsidRDefault="007B71C6" w:rsidP="00A67858">
            <w:pPr>
              <w:pStyle w:val="NormalWeb"/>
              <w:spacing w:before="0" w:beforeAutospacing="0" w:after="0" w:afterAutospacing="0" w:line="276" w:lineRule="auto"/>
              <w:ind w:right="84" w:firstLine="567"/>
              <w:jc w:val="both"/>
              <w:rPr>
                <w:rFonts w:ascii="GHEA Grapalat" w:hAnsi="GHEA Grapalat" w:cs="Arial"/>
                <w:sz w:val="20"/>
                <w:szCs w:val="20"/>
                <w:lang w:val="ro-RO"/>
              </w:rPr>
            </w:pPr>
            <w:r w:rsidRPr="0053423A">
              <w:rPr>
                <w:rFonts w:ascii="GHEA Grapalat" w:hAnsi="GHEA Grapalat" w:cs="Sylfaen"/>
                <w:color w:val="000000"/>
                <w:sz w:val="20"/>
                <w:szCs w:val="20"/>
                <w:shd w:val="clear" w:color="auto" w:fill="FFFFFF"/>
                <w:lang w:val="ro-RO"/>
              </w:rPr>
              <w:t>Ներկայումս ոստիկանության պարեկային (պարեկապահակետային և ճանապարհապարեկային) ծառայությունները չունեն բավարար լիազորություններ և տեխնիկական հագեցվածություն իրավախախտումների առավել արդյունավետ կանխարգելման համար:</w:t>
            </w:r>
          </w:p>
          <w:p w:rsidR="007B71C6" w:rsidRPr="0053423A" w:rsidRDefault="007B71C6" w:rsidP="001F6D5D">
            <w:pPr>
              <w:pStyle w:val="NormalWeb"/>
              <w:numPr>
                <w:ilvl w:val="1"/>
                <w:numId w:val="164"/>
              </w:numPr>
              <w:spacing w:before="0" w:beforeAutospacing="0" w:after="0" w:afterAutospacing="0" w:line="276" w:lineRule="auto"/>
              <w:ind w:right="84"/>
              <w:jc w:val="both"/>
              <w:rPr>
                <w:rFonts w:ascii="GHEA Grapalat" w:hAnsi="GHEA Grapalat" w:cs="Sylfaen"/>
                <w:b/>
                <w:color w:val="000000"/>
                <w:sz w:val="20"/>
                <w:szCs w:val="20"/>
                <w:shd w:val="clear" w:color="auto" w:fill="FFFFFF"/>
                <w:lang w:val="ro-RO"/>
              </w:rPr>
            </w:pPr>
            <w:r w:rsidRPr="0053423A">
              <w:rPr>
                <w:rFonts w:ascii="GHEA Grapalat" w:hAnsi="GHEA Grapalat" w:cs="Sylfaen"/>
                <w:b/>
                <w:color w:val="000000"/>
                <w:sz w:val="20"/>
                <w:szCs w:val="20"/>
                <w:shd w:val="clear" w:color="auto" w:fill="FFFFFF"/>
                <w:lang w:val="ro-RO"/>
              </w:rPr>
              <w:t xml:space="preserve">Առկա խնդիրների առաջարկվող լուծումները  </w:t>
            </w:r>
          </w:p>
          <w:p w:rsidR="007B71C6" w:rsidRPr="0053423A" w:rsidRDefault="007B71C6" w:rsidP="00A67858">
            <w:pPr>
              <w:pStyle w:val="NormalWeb"/>
              <w:spacing w:before="0" w:beforeAutospacing="0" w:after="0" w:afterAutospacing="0" w:line="276" w:lineRule="auto"/>
              <w:ind w:right="84" w:firstLine="567"/>
              <w:jc w:val="both"/>
              <w:rPr>
                <w:rFonts w:ascii="GHEA Grapalat" w:hAnsi="GHEA Grapalat" w:cs="Arial"/>
                <w:sz w:val="20"/>
                <w:szCs w:val="20"/>
                <w:lang w:val="ro-RO"/>
              </w:rPr>
            </w:pPr>
            <w:r w:rsidRPr="0053423A">
              <w:rPr>
                <w:rFonts w:ascii="GHEA Grapalat" w:hAnsi="GHEA Grapalat"/>
                <w:sz w:val="20"/>
                <w:szCs w:val="20"/>
              </w:rPr>
              <w:t>Հանցագործությունների</w:t>
            </w:r>
            <w:r w:rsidRPr="0053423A">
              <w:rPr>
                <w:rFonts w:ascii="GHEA Grapalat" w:hAnsi="GHEA Grapalat"/>
                <w:sz w:val="20"/>
                <w:szCs w:val="20"/>
                <w:lang w:val="ro-RO"/>
              </w:rPr>
              <w:t xml:space="preserve"> </w:t>
            </w:r>
            <w:r w:rsidRPr="0053423A">
              <w:rPr>
                <w:rFonts w:ascii="GHEA Grapalat" w:hAnsi="GHEA Grapalat"/>
                <w:sz w:val="20"/>
                <w:szCs w:val="20"/>
              </w:rPr>
              <w:t>և</w:t>
            </w:r>
            <w:r w:rsidRPr="0053423A">
              <w:rPr>
                <w:rFonts w:ascii="GHEA Grapalat" w:hAnsi="GHEA Grapalat"/>
                <w:sz w:val="20"/>
                <w:szCs w:val="20"/>
                <w:lang w:val="ro-RO"/>
              </w:rPr>
              <w:t xml:space="preserve"> </w:t>
            </w:r>
            <w:r w:rsidRPr="0053423A">
              <w:rPr>
                <w:rFonts w:ascii="GHEA Grapalat" w:hAnsi="GHEA Grapalat"/>
                <w:sz w:val="20"/>
                <w:szCs w:val="20"/>
              </w:rPr>
              <w:t>այլ</w:t>
            </w:r>
            <w:r w:rsidRPr="0053423A">
              <w:rPr>
                <w:rFonts w:ascii="GHEA Grapalat" w:hAnsi="GHEA Grapalat"/>
                <w:sz w:val="20"/>
                <w:szCs w:val="20"/>
                <w:lang w:val="ro-RO"/>
              </w:rPr>
              <w:t xml:space="preserve"> </w:t>
            </w:r>
            <w:r w:rsidRPr="0053423A">
              <w:rPr>
                <w:rFonts w:ascii="GHEA Grapalat" w:hAnsi="GHEA Grapalat"/>
                <w:sz w:val="20"/>
                <w:szCs w:val="20"/>
              </w:rPr>
              <w:t>իրավախախտումների</w:t>
            </w:r>
            <w:r w:rsidRPr="0053423A">
              <w:rPr>
                <w:rFonts w:ascii="GHEA Grapalat" w:hAnsi="GHEA Grapalat"/>
                <w:sz w:val="20"/>
                <w:szCs w:val="20"/>
                <w:lang w:val="ro-RO"/>
              </w:rPr>
              <w:t xml:space="preserve"> </w:t>
            </w:r>
            <w:r w:rsidRPr="0053423A">
              <w:rPr>
                <w:rFonts w:ascii="GHEA Grapalat" w:hAnsi="GHEA Grapalat"/>
                <w:sz w:val="20"/>
                <w:szCs w:val="20"/>
              </w:rPr>
              <w:t>առավել</w:t>
            </w:r>
            <w:r w:rsidRPr="0053423A">
              <w:rPr>
                <w:rFonts w:ascii="GHEA Grapalat" w:hAnsi="GHEA Grapalat"/>
                <w:sz w:val="20"/>
                <w:szCs w:val="20"/>
                <w:lang w:val="ro-RO"/>
              </w:rPr>
              <w:t xml:space="preserve"> օպերատիվ ու արդյունավետ կանխարգելման համար առաջարկվում է ոստիկանությունում ստեղծել շարժական շուրջօրյա պարեկային նոր ստորաբաժանում (ծառայություն): </w:t>
            </w:r>
          </w:p>
          <w:p w:rsidR="007B71C6" w:rsidRPr="0053423A" w:rsidRDefault="007B71C6" w:rsidP="00A67858">
            <w:pPr>
              <w:pStyle w:val="NormalWeb"/>
              <w:spacing w:before="0" w:beforeAutospacing="0" w:after="0" w:afterAutospacing="0" w:line="276" w:lineRule="auto"/>
              <w:ind w:right="84" w:firstLine="567"/>
              <w:jc w:val="both"/>
              <w:rPr>
                <w:rFonts w:ascii="GHEA Grapalat" w:hAnsi="GHEA Grapalat"/>
                <w:sz w:val="20"/>
                <w:szCs w:val="20"/>
                <w:lang w:val="ro-RO"/>
              </w:rPr>
            </w:pPr>
            <w:r w:rsidRPr="0053423A">
              <w:rPr>
                <w:rFonts w:ascii="GHEA Grapalat" w:hAnsi="GHEA Grapalat"/>
                <w:sz w:val="20"/>
                <w:szCs w:val="20"/>
                <w:lang w:val="ro-RO"/>
              </w:rPr>
              <w:t xml:space="preserve">Պարեկային ծառայությունը հիմնադրելու և կազմակերպչական գործունեությունը ապահովելու համար պահանջվելու է  42.32 մլն. եվրոյի չափով ծախսեր, որից 6.44 մլն. եվրոն ոստիկանության օպերատիվ կառավարման կենտրոնի ստեղծման, կահավորման, պահպանման և տարեկան սպասարկման համար: </w:t>
            </w:r>
          </w:p>
          <w:p w:rsidR="007B71C6" w:rsidRPr="0053423A" w:rsidRDefault="007B71C6" w:rsidP="00A67858">
            <w:pPr>
              <w:pStyle w:val="NormalWeb"/>
              <w:spacing w:before="0" w:beforeAutospacing="0" w:after="0" w:afterAutospacing="0" w:line="276" w:lineRule="auto"/>
              <w:ind w:right="84" w:firstLine="567"/>
              <w:jc w:val="both"/>
              <w:rPr>
                <w:rFonts w:ascii="GHEA Grapalat" w:hAnsi="GHEA Grapalat"/>
                <w:sz w:val="20"/>
                <w:szCs w:val="20"/>
                <w:lang w:val="ro-RO"/>
              </w:rPr>
            </w:pPr>
            <w:r w:rsidRPr="0053423A">
              <w:rPr>
                <w:rFonts w:ascii="GHEA Grapalat" w:hAnsi="GHEA Grapalat"/>
                <w:sz w:val="20"/>
                <w:szCs w:val="20"/>
                <w:lang w:val="ro-RO"/>
              </w:rPr>
              <w:t xml:space="preserve">Երևան քաղաքում պարեկային ծառայության են ներգրավվելու 250 հատուկ կահավորված տրանսպորտային միջոցներ, իսկ մարզերում՝ 430, ընդհանուր՝ 680: </w:t>
            </w:r>
          </w:p>
          <w:p w:rsidR="007B71C6" w:rsidRPr="0053423A" w:rsidRDefault="007B71C6" w:rsidP="00A67858">
            <w:pPr>
              <w:pStyle w:val="NormalWeb"/>
              <w:spacing w:before="0" w:beforeAutospacing="0" w:after="0" w:afterAutospacing="0" w:line="276" w:lineRule="auto"/>
              <w:ind w:right="84" w:firstLine="567"/>
              <w:jc w:val="both"/>
              <w:rPr>
                <w:rFonts w:ascii="GHEA Grapalat" w:hAnsi="GHEA Grapalat"/>
                <w:sz w:val="20"/>
                <w:szCs w:val="20"/>
                <w:lang w:val="ro-RO"/>
              </w:rPr>
            </w:pPr>
            <w:r w:rsidRPr="0053423A">
              <w:rPr>
                <w:rFonts w:ascii="GHEA Grapalat" w:hAnsi="GHEA Grapalat"/>
                <w:sz w:val="20"/>
                <w:szCs w:val="20"/>
                <w:lang w:val="ro-RO"/>
              </w:rPr>
              <w:t>Նախատեսվում է Երևան քաղաքում պարեկային ծառայությունը կազմակերպել պարեկային ծառայության նորաստեղծ գնդի ուժերով և միջոցներով՝ 1399 ծառայող, իսկ մարզերում՝ 1248 ծառայող, ընդհանուր՝ 2647 ծառայողներ:</w:t>
            </w:r>
          </w:p>
          <w:p w:rsidR="007B71C6" w:rsidRPr="0053423A" w:rsidRDefault="007B71C6" w:rsidP="00A67858">
            <w:pPr>
              <w:pStyle w:val="NormalWeb"/>
              <w:spacing w:before="0" w:beforeAutospacing="0" w:after="0" w:afterAutospacing="0" w:line="276" w:lineRule="auto"/>
              <w:ind w:right="84" w:firstLine="567"/>
              <w:jc w:val="both"/>
              <w:rPr>
                <w:rFonts w:ascii="GHEA Grapalat" w:hAnsi="GHEA Grapalat"/>
                <w:sz w:val="20"/>
                <w:szCs w:val="20"/>
                <w:lang w:val="ro-RO"/>
              </w:rPr>
            </w:pPr>
            <w:r w:rsidRPr="0053423A">
              <w:rPr>
                <w:rFonts w:ascii="GHEA Grapalat" w:hAnsi="GHEA Grapalat"/>
                <w:sz w:val="20"/>
                <w:szCs w:val="20"/>
              </w:rPr>
              <w:t>Միջոցառման</w:t>
            </w:r>
            <w:r w:rsidRPr="0053423A">
              <w:rPr>
                <w:rFonts w:ascii="GHEA Grapalat" w:hAnsi="GHEA Grapalat"/>
                <w:sz w:val="20"/>
                <w:szCs w:val="20"/>
                <w:lang w:val="ro-RO"/>
              </w:rPr>
              <w:t xml:space="preserve"> </w:t>
            </w:r>
            <w:r w:rsidRPr="0053423A">
              <w:rPr>
                <w:rFonts w:ascii="GHEA Grapalat" w:hAnsi="GHEA Grapalat"/>
                <w:sz w:val="20"/>
                <w:szCs w:val="20"/>
              </w:rPr>
              <w:t>իրականացումը</w:t>
            </w:r>
            <w:r w:rsidRPr="0053423A">
              <w:rPr>
                <w:rFonts w:ascii="GHEA Grapalat" w:hAnsi="GHEA Grapalat"/>
                <w:sz w:val="20"/>
                <w:szCs w:val="20"/>
                <w:lang w:val="ro-RO"/>
              </w:rPr>
              <w:t xml:space="preserve"> նախևառաջ ենթադրում է Ոստիկանության պ</w:t>
            </w:r>
            <w:r w:rsidRPr="0053423A">
              <w:rPr>
                <w:rFonts w:ascii="GHEA Grapalat" w:hAnsi="GHEA Grapalat" w:cs="Sylfaen"/>
                <w:sz w:val="20"/>
                <w:szCs w:val="20"/>
                <w:lang w:val="hy-AM"/>
              </w:rPr>
              <w:t>արեկային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ծառայության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ենթակառուցվածքի՝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օպերատիվ</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կառավարման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կենտրոնի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ձևավորում</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տեխնիկական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վերազինում</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ռադիոկապի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համակարգի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արդիականացում</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պարեկային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տրանսպորտային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միջոցների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ձեռքբերում</w:t>
            </w:r>
            <w:r w:rsidRPr="0053423A">
              <w:rPr>
                <w:rFonts w:ascii="GHEA Grapalat" w:hAnsi="GHEA Grapalat"/>
                <w:sz w:val="20"/>
                <w:szCs w:val="20"/>
                <w:lang w:val="hy-AM"/>
              </w:rPr>
              <w:t xml:space="preserve"> </w:t>
            </w:r>
            <w:r w:rsidRPr="0053423A">
              <w:rPr>
                <w:rFonts w:ascii="GHEA Grapalat" w:hAnsi="GHEA Grapalat" w:cs="Sylfaen"/>
                <w:sz w:val="20"/>
                <w:szCs w:val="20"/>
                <w:lang w:val="hy-AM"/>
              </w:rPr>
              <w:t>և</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կահավորում</w:t>
            </w:r>
            <w:r w:rsidRPr="0053423A">
              <w:rPr>
                <w:rFonts w:ascii="GHEA Grapalat" w:hAnsi="GHEA Grapalat"/>
                <w:sz w:val="20"/>
                <w:szCs w:val="20"/>
                <w:lang w:val="ro-RO"/>
              </w:rPr>
              <w:t xml:space="preserve">: </w:t>
            </w:r>
            <w:r w:rsidRPr="0053423A">
              <w:rPr>
                <w:rFonts w:ascii="GHEA Grapalat" w:hAnsi="GHEA Grapalat"/>
                <w:sz w:val="20"/>
                <w:szCs w:val="20"/>
              </w:rPr>
              <w:t>Օպերատիվ</w:t>
            </w:r>
            <w:r w:rsidRPr="0053423A">
              <w:rPr>
                <w:rFonts w:ascii="GHEA Grapalat" w:hAnsi="GHEA Grapalat"/>
                <w:sz w:val="20"/>
                <w:szCs w:val="20"/>
                <w:lang w:val="ro-RO"/>
              </w:rPr>
              <w:t xml:space="preserve"> </w:t>
            </w:r>
            <w:r w:rsidRPr="0053423A">
              <w:rPr>
                <w:rFonts w:ascii="GHEA Grapalat" w:hAnsi="GHEA Grapalat"/>
                <w:sz w:val="20"/>
                <w:szCs w:val="20"/>
              </w:rPr>
              <w:t>կառավարման</w:t>
            </w:r>
            <w:r w:rsidRPr="0053423A">
              <w:rPr>
                <w:rFonts w:ascii="GHEA Grapalat" w:hAnsi="GHEA Grapalat"/>
                <w:sz w:val="20"/>
                <w:szCs w:val="20"/>
                <w:lang w:val="ro-RO"/>
              </w:rPr>
              <w:t xml:space="preserve"> ժամանակակից </w:t>
            </w:r>
            <w:r w:rsidRPr="0053423A">
              <w:rPr>
                <w:rFonts w:ascii="GHEA Grapalat" w:hAnsi="GHEA Grapalat"/>
                <w:sz w:val="20"/>
                <w:szCs w:val="20"/>
              </w:rPr>
              <w:t>կենտրոնի</w:t>
            </w:r>
            <w:r w:rsidRPr="0053423A">
              <w:rPr>
                <w:rFonts w:ascii="GHEA Grapalat" w:hAnsi="GHEA Grapalat"/>
                <w:sz w:val="20"/>
                <w:szCs w:val="20"/>
                <w:lang w:val="ro-RO"/>
              </w:rPr>
              <w:t xml:space="preserve"> </w:t>
            </w:r>
            <w:r w:rsidRPr="0053423A">
              <w:rPr>
                <w:rFonts w:ascii="GHEA Grapalat" w:hAnsi="GHEA Grapalat"/>
                <w:sz w:val="20"/>
                <w:szCs w:val="20"/>
              </w:rPr>
              <w:t>ձևավորման</w:t>
            </w:r>
            <w:r w:rsidRPr="0053423A">
              <w:rPr>
                <w:rFonts w:ascii="GHEA Grapalat" w:hAnsi="GHEA Grapalat"/>
                <w:sz w:val="20"/>
                <w:szCs w:val="20"/>
                <w:lang w:val="ro-RO"/>
              </w:rPr>
              <w:t xml:space="preserve"> </w:t>
            </w:r>
            <w:r w:rsidRPr="0053423A">
              <w:rPr>
                <w:rFonts w:ascii="GHEA Grapalat" w:hAnsi="GHEA Grapalat"/>
                <w:sz w:val="20"/>
                <w:szCs w:val="20"/>
              </w:rPr>
              <w:t>արդյունքում</w:t>
            </w:r>
            <w:r w:rsidRPr="0053423A">
              <w:rPr>
                <w:rFonts w:ascii="GHEA Grapalat" w:hAnsi="GHEA Grapalat"/>
                <w:sz w:val="20"/>
                <w:szCs w:val="20"/>
                <w:lang w:val="ro-RO"/>
              </w:rPr>
              <w:t>, մասնավորապես, հանցագործությունների և պատահարների վերաբերյալ հաղորդումների հավաքագրման ժամանակակից համակարգի ստեղծման միջոցով, կապահովվի Ոստիկանության ուժերի և միջոցների արդյունավետ կառավարում: Օպերատիվ կառավարման կենտրոնի հնարավորությունները թույլ կտան նաև հ</w:t>
            </w:r>
            <w:r w:rsidRPr="0053423A">
              <w:rPr>
                <w:rFonts w:ascii="GHEA Grapalat" w:hAnsi="GHEA Grapalat"/>
                <w:sz w:val="20"/>
                <w:szCs w:val="20"/>
              </w:rPr>
              <w:t>անցագործության</w:t>
            </w:r>
            <w:r w:rsidRPr="0053423A">
              <w:rPr>
                <w:rFonts w:ascii="GHEA Grapalat" w:hAnsi="GHEA Grapalat"/>
                <w:sz w:val="20"/>
                <w:szCs w:val="20"/>
                <w:lang w:val="ro-RO"/>
              </w:rPr>
              <w:t xml:space="preserve"> </w:t>
            </w:r>
            <w:r w:rsidRPr="0053423A">
              <w:rPr>
                <w:rFonts w:ascii="GHEA Grapalat" w:hAnsi="GHEA Grapalat"/>
                <w:sz w:val="20"/>
                <w:szCs w:val="20"/>
              </w:rPr>
              <w:t>դեպքերի</w:t>
            </w:r>
            <w:r w:rsidRPr="0053423A">
              <w:rPr>
                <w:rFonts w:ascii="GHEA Grapalat" w:hAnsi="GHEA Grapalat"/>
                <w:sz w:val="20"/>
                <w:szCs w:val="20"/>
                <w:lang w:val="ro-RO"/>
              </w:rPr>
              <w:t xml:space="preserve"> </w:t>
            </w:r>
            <w:r w:rsidRPr="0053423A">
              <w:rPr>
                <w:rFonts w:ascii="GHEA Grapalat" w:hAnsi="GHEA Grapalat"/>
                <w:sz w:val="20"/>
                <w:szCs w:val="20"/>
              </w:rPr>
              <w:t>քրեաբանական</w:t>
            </w:r>
            <w:r w:rsidRPr="0053423A">
              <w:rPr>
                <w:rFonts w:ascii="GHEA Grapalat" w:hAnsi="GHEA Grapalat"/>
                <w:sz w:val="20"/>
                <w:szCs w:val="20"/>
                <w:lang w:val="ro-RO"/>
              </w:rPr>
              <w:t xml:space="preserve"> </w:t>
            </w:r>
            <w:r w:rsidRPr="0053423A">
              <w:rPr>
                <w:rFonts w:ascii="GHEA Grapalat" w:hAnsi="GHEA Grapalat"/>
                <w:sz w:val="20"/>
                <w:szCs w:val="20"/>
              </w:rPr>
              <w:t>վերլուծության</w:t>
            </w:r>
            <w:r w:rsidRPr="0053423A">
              <w:rPr>
                <w:rFonts w:ascii="GHEA Grapalat" w:hAnsi="GHEA Grapalat"/>
                <w:sz w:val="20"/>
                <w:szCs w:val="20"/>
                <w:lang w:val="ro-RO"/>
              </w:rPr>
              <w:t xml:space="preserve"> </w:t>
            </w:r>
            <w:r w:rsidRPr="0053423A">
              <w:rPr>
                <w:rFonts w:ascii="GHEA Grapalat" w:hAnsi="GHEA Grapalat"/>
                <w:sz w:val="20"/>
                <w:szCs w:val="20"/>
              </w:rPr>
              <w:t>և</w:t>
            </w:r>
            <w:r w:rsidRPr="0053423A">
              <w:rPr>
                <w:rFonts w:ascii="GHEA Grapalat" w:hAnsi="GHEA Grapalat"/>
                <w:sz w:val="20"/>
                <w:szCs w:val="20"/>
                <w:lang w:val="ro-RO"/>
              </w:rPr>
              <w:t xml:space="preserve"> </w:t>
            </w:r>
            <w:r w:rsidRPr="0053423A">
              <w:rPr>
                <w:rFonts w:ascii="GHEA Grapalat" w:hAnsi="GHEA Grapalat"/>
                <w:sz w:val="20"/>
                <w:szCs w:val="20"/>
              </w:rPr>
              <w:t>կանխատեսման</w:t>
            </w:r>
            <w:r w:rsidRPr="0053423A">
              <w:rPr>
                <w:rFonts w:ascii="GHEA Grapalat" w:hAnsi="GHEA Grapalat"/>
                <w:sz w:val="20"/>
                <w:szCs w:val="20"/>
                <w:lang w:val="ro-RO"/>
              </w:rPr>
              <w:t xml:space="preserve"> </w:t>
            </w:r>
            <w:r w:rsidRPr="0053423A">
              <w:rPr>
                <w:rFonts w:ascii="GHEA Grapalat" w:hAnsi="GHEA Grapalat"/>
                <w:sz w:val="20"/>
                <w:szCs w:val="20"/>
              </w:rPr>
              <w:t>համար</w:t>
            </w:r>
            <w:r w:rsidRPr="0053423A">
              <w:rPr>
                <w:rFonts w:ascii="GHEA Grapalat" w:hAnsi="GHEA Grapalat"/>
                <w:sz w:val="20"/>
                <w:szCs w:val="20"/>
                <w:lang w:val="ro-RO"/>
              </w:rPr>
              <w:t xml:space="preserve"> </w:t>
            </w:r>
            <w:r w:rsidRPr="0053423A">
              <w:rPr>
                <w:rFonts w:ascii="GHEA Grapalat" w:hAnsi="GHEA Grapalat"/>
                <w:sz w:val="20"/>
                <w:szCs w:val="20"/>
              </w:rPr>
              <w:t>կիրառել</w:t>
            </w:r>
            <w:r w:rsidRPr="0053423A">
              <w:rPr>
                <w:rFonts w:ascii="GHEA Grapalat" w:hAnsi="GHEA Grapalat"/>
                <w:sz w:val="20"/>
                <w:szCs w:val="20"/>
                <w:lang w:val="ro-RO"/>
              </w:rPr>
              <w:t xml:space="preserve"> համապատասխան ծրագրային միջոցներ, ինչն նույնպես կնպաստի հանցագործությունների կանխարգելման (նախականխման) արդյունավետության բարձրացմանը:  </w:t>
            </w:r>
          </w:p>
          <w:p w:rsidR="007B71C6" w:rsidRPr="0053423A" w:rsidRDefault="007B71C6" w:rsidP="00A67858">
            <w:pPr>
              <w:pStyle w:val="NormalWeb"/>
              <w:spacing w:before="0" w:beforeAutospacing="0" w:after="0" w:afterAutospacing="0" w:line="276" w:lineRule="auto"/>
              <w:ind w:right="84" w:firstLine="567"/>
              <w:jc w:val="both"/>
              <w:rPr>
                <w:rFonts w:ascii="GHEA Grapalat" w:hAnsi="GHEA Grapalat"/>
                <w:sz w:val="20"/>
                <w:szCs w:val="20"/>
                <w:lang w:val="hy-AM"/>
              </w:rPr>
            </w:pPr>
            <w:r w:rsidRPr="0053423A">
              <w:rPr>
                <w:rFonts w:ascii="GHEA Grapalat" w:hAnsi="GHEA Grapalat"/>
                <w:sz w:val="20"/>
                <w:szCs w:val="20"/>
              </w:rPr>
              <w:t>Միջոցառման</w:t>
            </w:r>
            <w:r w:rsidRPr="0053423A">
              <w:rPr>
                <w:rFonts w:ascii="GHEA Grapalat" w:hAnsi="GHEA Grapalat"/>
                <w:sz w:val="20"/>
                <w:szCs w:val="20"/>
                <w:lang w:val="ro-RO"/>
              </w:rPr>
              <w:t xml:space="preserve"> </w:t>
            </w:r>
            <w:r w:rsidRPr="0053423A">
              <w:rPr>
                <w:rFonts w:ascii="GHEA Grapalat" w:hAnsi="GHEA Grapalat"/>
                <w:sz w:val="20"/>
                <w:szCs w:val="20"/>
              </w:rPr>
              <w:t>շրջանակներում</w:t>
            </w:r>
            <w:r w:rsidRPr="0053423A">
              <w:rPr>
                <w:rFonts w:ascii="GHEA Grapalat" w:hAnsi="GHEA Grapalat"/>
                <w:sz w:val="20"/>
                <w:szCs w:val="20"/>
                <w:lang w:val="ro-RO"/>
              </w:rPr>
              <w:t xml:space="preserve"> </w:t>
            </w:r>
            <w:r w:rsidRPr="0053423A">
              <w:rPr>
                <w:rFonts w:ascii="GHEA Grapalat" w:hAnsi="GHEA Grapalat"/>
                <w:sz w:val="20"/>
                <w:szCs w:val="20"/>
              </w:rPr>
              <w:t>պ</w:t>
            </w:r>
            <w:r w:rsidRPr="0053423A">
              <w:rPr>
                <w:rFonts w:ascii="GHEA Grapalat" w:hAnsi="GHEA Grapalat" w:cs="Sylfaen"/>
                <w:sz w:val="20"/>
                <w:szCs w:val="20"/>
                <w:lang w:val="hy-AM"/>
              </w:rPr>
              <w:t>արեկային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ոստիկանության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ծառայողներ</w:t>
            </w:r>
            <w:r w:rsidRPr="0053423A">
              <w:rPr>
                <w:rFonts w:ascii="GHEA Grapalat" w:hAnsi="GHEA Grapalat" w:cs="Sylfaen"/>
                <w:sz w:val="20"/>
                <w:szCs w:val="20"/>
              </w:rPr>
              <w:t>ը</w:t>
            </w:r>
            <w:r w:rsidRPr="0053423A">
              <w:rPr>
                <w:rFonts w:ascii="GHEA Grapalat" w:hAnsi="GHEA Grapalat" w:cs="Sylfaen"/>
                <w:sz w:val="20"/>
                <w:szCs w:val="20"/>
                <w:lang w:val="ro-RO"/>
              </w:rPr>
              <w:t xml:space="preserve"> </w:t>
            </w:r>
            <w:r w:rsidRPr="0053423A">
              <w:rPr>
                <w:rFonts w:ascii="GHEA Grapalat" w:hAnsi="GHEA Grapalat" w:cs="Sylfaen"/>
                <w:sz w:val="20"/>
                <w:szCs w:val="20"/>
              </w:rPr>
              <w:t>կապահովվեն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անհատական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պաշտպանության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միջոցներով</w:t>
            </w:r>
            <w:r w:rsidRPr="0053423A">
              <w:rPr>
                <w:rFonts w:ascii="GHEA Grapalat" w:hAnsi="GHEA Grapalat"/>
                <w:sz w:val="20"/>
                <w:szCs w:val="20"/>
                <w:lang w:val="hy-AM"/>
              </w:rPr>
              <w:t xml:space="preserve"> </w:t>
            </w:r>
            <w:r w:rsidRPr="0053423A">
              <w:rPr>
                <w:rFonts w:ascii="GHEA Grapalat" w:hAnsi="GHEA Grapalat" w:cs="Sylfaen"/>
                <w:sz w:val="20"/>
                <w:szCs w:val="20"/>
                <w:lang w:val="hy-AM"/>
              </w:rPr>
              <w:t>և</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նոր</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մոդելի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հրազենով</w:t>
            </w:r>
            <w:r w:rsidRPr="0053423A">
              <w:rPr>
                <w:rFonts w:ascii="GHEA Grapalat" w:hAnsi="GHEA Grapalat" w:cs="Sylfaen"/>
                <w:sz w:val="20"/>
                <w:szCs w:val="20"/>
                <w:lang w:val="ro-RO"/>
              </w:rPr>
              <w:t xml:space="preserve">, կստեղծվի </w:t>
            </w:r>
            <w:r w:rsidRPr="0053423A">
              <w:rPr>
                <w:rFonts w:ascii="GHEA Grapalat" w:hAnsi="GHEA Grapalat" w:cs="Sylfaen"/>
                <w:sz w:val="20"/>
                <w:szCs w:val="20"/>
                <w:lang w:val="hy-AM"/>
              </w:rPr>
              <w:t>պարեկային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մասնագիտացմամբ</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ոստիկանների</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մասնագիտական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որակավորման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համար</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նախատեսված</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ուսումնական</w:t>
            </w:r>
            <w:r w:rsidRPr="0053423A">
              <w:rPr>
                <w:rFonts w:ascii="GHEA Grapalat" w:hAnsi="GHEA Grapalat"/>
                <w:sz w:val="20"/>
                <w:szCs w:val="20"/>
                <w:lang w:val="hy-AM"/>
              </w:rPr>
              <w:t xml:space="preserve"> </w:t>
            </w:r>
            <w:r w:rsidRPr="0053423A">
              <w:rPr>
                <w:rFonts w:ascii="GHEA Grapalat" w:hAnsi="GHEA Grapalat" w:cs="Sylfaen"/>
                <w:sz w:val="20"/>
                <w:szCs w:val="20"/>
                <w:lang w:val="hy-AM"/>
              </w:rPr>
              <w:t>ծրագ</w:t>
            </w:r>
            <w:r w:rsidRPr="0053423A">
              <w:rPr>
                <w:rFonts w:ascii="GHEA Grapalat" w:hAnsi="GHEA Grapalat" w:cs="Sylfaen"/>
                <w:sz w:val="20"/>
                <w:szCs w:val="20"/>
              </w:rPr>
              <w:t>իր</w:t>
            </w:r>
            <w:r w:rsidRPr="0053423A">
              <w:rPr>
                <w:rFonts w:ascii="GHEA Grapalat" w:hAnsi="GHEA Grapalat" w:cs="Sylfaen"/>
                <w:sz w:val="20"/>
                <w:szCs w:val="20"/>
                <w:lang w:val="ro-RO"/>
              </w:rPr>
              <w:t>:</w:t>
            </w:r>
          </w:p>
          <w:p w:rsidR="007B71C6" w:rsidRPr="0053423A" w:rsidRDefault="007B71C6" w:rsidP="00A67858">
            <w:pPr>
              <w:pStyle w:val="NormalWeb"/>
              <w:tabs>
                <w:tab w:val="left" w:pos="462"/>
              </w:tabs>
              <w:spacing w:before="0" w:beforeAutospacing="0" w:after="0" w:afterAutospacing="0" w:line="276" w:lineRule="auto"/>
              <w:ind w:right="106" w:firstLine="540"/>
              <w:rPr>
                <w:rFonts w:ascii="GHEA Grapalat" w:hAnsi="GHEA Grapalat"/>
                <w:b/>
                <w:sz w:val="20"/>
                <w:szCs w:val="20"/>
                <w:lang w:val="ro-RO"/>
              </w:rPr>
            </w:pPr>
            <w:r w:rsidRPr="0053423A">
              <w:rPr>
                <w:rFonts w:ascii="GHEA Grapalat" w:hAnsi="GHEA Grapalat"/>
                <w:b/>
                <w:sz w:val="20"/>
                <w:szCs w:val="20"/>
                <w:lang w:val="ro-RO"/>
              </w:rPr>
              <w:t>2. Միջոցառման իրականացումից ակնկալվող արդյունքը</w:t>
            </w:r>
          </w:p>
          <w:p w:rsidR="007B71C6" w:rsidRPr="0053423A" w:rsidRDefault="007B71C6" w:rsidP="00A67858">
            <w:pPr>
              <w:pStyle w:val="NormalWeb"/>
              <w:tabs>
                <w:tab w:val="left" w:pos="462"/>
              </w:tabs>
              <w:spacing w:before="0" w:beforeAutospacing="0" w:after="0" w:afterAutospacing="0" w:line="276" w:lineRule="auto"/>
              <w:ind w:right="106" w:firstLine="540"/>
              <w:jc w:val="both"/>
              <w:rPr>
                <w:rFonts w:ascii="GHEA Grapalat" w:hAnsi="GHEA Grapalat"/>
                <w:b/>
                <w:sz w:val="20"/>
                <w:szCs w:val="20"/>
                <w:lang w:val="ro-RO"/>
              </w:rPr>
            </w:pPr>
            <w:r w:rsidRPr="0053423A">
              <w:rPr>
                <w:rFonts w:ascii="GHEA Grapalat" w:hAnsi="GHEA Grapalat"/>
                <w:sz w:val="20"/>
                <w:szCs w:val="20"/>
                <w:lang w:val="ro-RO"/>
              </w:rPr>
              <w:t>Պարեկային նոր ծառայության ստեղծումը կնպաստի ք</w:t>
            </w:r>
            <w:r w:rsidRPr="0053423A">
              <w:rPr>
                <w:rFonts w:ascii="GHEA Grapalat" w:hAnsi="GHEA Grapalat"/>
                <w:sz w:val="20"/>
                <w:szCs w:val="20"/>
                <w:lang w:val="hy-AM"/>
              </w:rPr>
              <w:t>աղաքացիների իրավունքների և օրինական շահերի</w:t>
            </w:r>
            <w:r w:rsidRPr="0053423A">
              <w:rPr>
                <w:rFonts w:ascii="GHEA Grapalat" w:hAnsi="GHEA Grapalat"/>
                <w:sz w:val="20"/>
                <w:szCs w:val="20"/>
                <w:lang w:val="ro-RO"/>
              </w:rPr>
              <w:t xml:space="preserve"> առավել արդյունավետ պաշտպանությանը, </w:t>
            </w:r>
            <w:r w:rsidRPr="0053423A">
              <w:rPr>
                <w:rFonts w:ascii="GHEA Grapalat" w:hAnsi="GHEA Grapalat"/>
                <w:sz w:val="20"/>
                <w:szCs w:val="20"/>
                <w:lang w:val="hy-AM"/>
              </w:rPr>
              <w:t xml:space="preserve"> իրավախախտումներին և հանրորեն վտանգավոր դեպքերին արագ </w:t>
            </w:r>
            <w:r w:rsidRPr="0053423A">
              <w:rPr>
                <w:rFonts w:ascii="GHEA Grapalat" w:hAnsi="GHEA Grapalat"/>
                <w:sz w:val="20"/>
                <w:szCs w:val="20"/>
                <w:lang w:val="ro-RO"/>
              </w:rPr>
              <w:t xml:space="preserve">(օպերատիվ) </w:t>
            </w:r>
            <w:r w:rsidRPr="0053423A">
              <w:rPr>
                <w:rFonts w:ascii="GHEA Grapalat" w:hAnsi="GHEA Grapalat"/>
                <w:sz w:val="20"/>
                <w:szCs w:val="20"/>
                <w:lang w:val="hy-AM"/>
              </w:rPr>
              <w:t>արձագանքմանը,</w:t>
            </w:r>
            <w:r w:rsidRPr="0053423A">
              <w:rPr>
                <w:rFonts w:ascii="GHEA Grapalat" w:hAnsi="GHEA Grapalat"/>
                <w:sz w:val="20"/>
                <w:szCs w:val="20"/>
                <w:lang w:val="ro-RO"/>
              </w:rPr>
              <w:t xml:space="preserve"> </w:t>
            </w:r>
            <w:r w:rsidRPr="0053423A">
              <w:rPr>
                <w:rFonts w:ascii="GHEA Grapalat" w:hAnsi="GHEA Grapalat"/>
                <w:sz w:val="20"/>
                <w:szCs w:val="20"/>
                <w:lang w:val="hy-AM"/>
              </w:rPr>
              <w:t>իրավախախտումների՝</w:t>
            </w:r>
            <w:r w:rsidRPr="0053423A">
              <w:rPr>
                <w:rFonts w:ascii="GHEA Grapalat" w:hAnsi="GHEA Grapalat"/>
                <w:sz w:val="20"/>
                <w:szCs w:val="20"/>
                <w:lang w:val="ro-RO"/>
              </w:rPr>
              <w:t xml:space="preserve"> </w:t>
            </w:r>
            <w:r w:rsidRPr="0053423A">
              <w:rPr>
                <w:rFonts w:ascii="GHEA Grapalat" w:hAnsi="GHEA Grapalat"/>
                <w:sz w:val="20"/>
                <w:szCs w:val="20"/>
                <w:lang w:val="hy-AM"/>
              </w:rPr>
              <w:t>հատկապես</w:t>
            </w:r>
            <w:r w:rsidRPr="0053423A">
              <w:rPr>
                <w:rFonts w:ascii="GHEA Grapalat" w:hAnsi="GHEA Grapalat"/>
                <w:sz w:val="20"/>
                <w:szCs w:val="20"/>
                <w:lang w:val="ro-RO"/>
              </w:rPr>
              <w:t xml:space="preserve"> սեփականության դեմ ուղղված և (կամ) հանրային վայրերում հանցագործությունների</w:t>
            </w:r>
            <w:r w:rsidRPr="0053423A">
              <w:rPr>
                <w:rFonts w:ascii="GHEA Grapalat" w:hAnsi="GHEA Grapalat"/>
                <w:sz w:val="20"/>
                <w:szCs w:val="20"/>
                <w:lang w:val="hy-AM"/>
              </w:rPr>
              <w:t xml:space="preserve"> կանխարգելմանը</w:t>
            </w:r>
            <w:r w:rsidRPr="0053423A">
              <w:rPr>
                <w:rFonts w:ascii="GHEA Grapalat" w:hAnsi="GHEA Grapalat"/>
                <w:sz w:val="20"/>
                <w:szCs w:val="20"/>
                <w:lang w:val="ro-RO"/>
              </w:rPr>
              <w:t xml:space="preserve">, </w:t>
            </w:r>
            <w:r w:rsidRPr="0053423A">
              <w:rPr>
                <w:rFonts w:ascii="GHEA Grapalat" w:hAnsi="GHEA Grapalat"/>
                <w:sz w:val="20"/>
                <w:szCs w:val="20"/>
                <w:lang w:val="hy-AM"/>
              </w:rPr>
              <w:t>երթևեկությ</w:t>
            </w:r>
            <w:r w:rsidRPr="0053423A">
              <w:rPr>
                <w:rFonts w:ascii="GHEA Grapalat" w:hAnsi="GHEA Grapalat"/>
                <w:sz w:val="20"/>
                <w:szCs w:val="20"/>
                <w:lang w:val="ro-RO"/>
              </w:rPr>
              <w:t xml:space="preserve">ան </w:t>
            </w:r>
            <w:r w:rsidRPr="0053423A">
              <w:rPr>
                <w:rFonts w:ascii="GHEA Grapalat" w:hAnsi="GHEA Grapalat"/>
                <w:sz w:val="20"/>
                <w:szCs w:val="20"/>
                <w:lang w:val="hy-AM"/>
              </w:rPr>
              <w:t xml:space="preserve"> կազմակերպմանը</w:t>
            </w:r>
            <w:r w:rsidRPr="0053423A">
              <w:rPr>
                <w:rFonts w:ascii="GHEA Grapalat" w:hAnsi="GHEA Grapalat"/>
                <w:sz w:val="20"/>
                <w:szCs w:val="20"/>
                <w:lang w:val="ro-RO"/>
              </w:rPr>
              <w:t>:</w:t>
            </w:r>
          </w:p>
        </w:tc>
      </w:tr>
      <w:tr w:rsidR="007B71C6" w:rsidRPr="00DE2EFA" w:rsidTr="007B71C6">
        <w:tc>
          <w:tcPr>
            <w:tcW w:w="425" w:type="dxa"/>
          </w:tcPr>
          <w:p w:rsidR="007B71C6" w:rsidRPr="0053423A" w:rsidRDefault="007B71C6" w:rsidP="00A67858">
            <w:pPr>
              <w:spacing w:line="276" w:lineRule="auto"/>
              <w:ind w:left="-108" w:right="-108"/>
              <w:rPr>
                <w:lang w:val="hy-AM"/>
              </w:rPr>
            </w:pPr>
            <w:r w:rsidRPr="0053423A">
              <w:rPr>
                <w:lang w:val="hy-AM"/>
              </w:rPr>
              <w:t>3.1-3.2</w:t>
            </w:r>
          </w:p>
        </w:tc>
        <w:tc>
          <w:tcPr>
            <w:tcW w:w="11100" w:type="dxa"/>
          </w:tcPr>
          <w:p w:rsidR="007B71C6" w:rsidRPr="0053423A" w:rsidRDefault="007B71C6" w:rsidP="00A67858">
            <w:pPr>
              <w:spacing w:line="276" w:lineRule="auto"/>
              <w:ind w:firstLine="540"/>
              <w:jc w:val="center"/>
              <w:rPr>
                <w:b/>
                <w:color w:val="000000"/>
                <w:lang w:val="ro-RO"/>
              </w:rPr>
            </w:pPr>
            <w:r w:rsidRPr="0053423A">
              <w:rPr>
                <w:b/>
                <w:color w:val="000000"/>
                <w:lang w:val="hy-AM"/>
              </w:rPr>
              <w:t>«Ոստիկանության մասին» նոր օրենքով ոստիկանության լիազորությունների այնպիսի շրջանակի սահմանում, որը հնարավորություն կտա առավել արդյունավետ կանխարգելել մարդու իրավունքների նկատմամբ հանցավոր և այլ ոտնձգությունները, քաղաքացիներին աջակցել իրենց խախտված իրավունքների վերականգնման գործում, խթանել համագործակցությունը քաղաքացիական հասարակության հետ</w:t>
            </w:r>
          </w:p>
          <w:p w:rsidR="007B71C6" w:rsidRPr="0053423A" w:rsidRDefault="007B71C6" w:rsidP="00A67858">
            <w:pPr>
              <w:spacing w:line="276" w:lineRule="auto"/>
              <w:ind w:firstLine="540"/>
              <w:jc w:val="center"/>
              <w:rPr>
                <w:b/>
                <w:color w:val="000000"/>
                <w:lang w:val="ro-RO"/>
              </w:rPr>
            </w:pPr>
          </w:p>
          <w:p w:rsidR="007B71C6" w:rsidRPr="0053423A" w:rsidRDefault="007B71C6" w:rsidP="001F6D5D">
            <w:pPr>
              <w:pStyle w:val="NormalWeb"/>
              <w:numPr>
                <w:ilvl w:val="0"/>
                <w:numId w:val="165"/>
              </w:numPr>
              <w:spacing w:before="0" w:beforeAutospacing="0" w:after="0" w:afterAutospacing="0" w:line="276" w:lineRule="auto"/>
              <w:ind w:right="84"/>
              <w:rPr>
                <w:rFonts w:ascii="GHEA Grapalat" w:hAnsi="GHEA Grapalat"/>
                <w:b/>
                <w:sz w:val="20"/>
                <w:szCs w:val="20"/>
                <w:lang w:val="ro-RO"/>
              </w:rPr>
            </w:pPr>
            <w:r w:rsidRPr="0053423A">
              <w:rPr>
                <w:rFonts w:ascii="GHEA Grapalat" w:hAnsi="GHEA Grapalat"/>
                <w:b/>
                <w:sz w:val="20"/>
                <w:szCs w:val="20"/>
                <w:lang w:val="hy-AM"/>
              </w:rPr>
              <w:t xml:space="preserve"> </w:t>
            </w:r>
            <w:r w:rsidRPr="0053423A">
              <w:rPr>
                <w:rFonts w:ascii="GHEA Grapalat" w:hAnsi="GHEA Grapalat"/>
                <w:b/>
                <w:sz w:val="20"/>
                <w:szCs w:val="20"/>
                <w:lang w:val="ro-RO"/>
              </w:rPr>
              <w:t>Միջոցառման անհրաժեշտությունը (նպատակը)</w:t>
            </w:r>
          </w:p>
          <w:p w:rsidR="007B71C6" w:rsidRPr="0053423A" w:rsidRDefault="007B71C6" w:rsidP="00A67858">
            <w:pPr>
              <w:spacing w:line="276" w:lineRule="auto"/>
              <w:ind w:firstLine="720"/>
              <w:rPr>
                <w:lang w:val="ro-RO"/>
              </w:rPr>
            </w:pPr>
            <w:r w:rsidRPr="0053423A">
              <w:rPr>
                <w:lang w:val="ro-RO"/>
              </w:rPr>
              <w:t xml:space="preserve">«Ոստիկանության մասին» ՀՀ գործող օրենքը գլխավորապես հանդիսանում է պետական մարմնի հիմնադիր փաստաթուղթ, որը 2001 թվականի դրությամբ խիստ արդիական էր, քանի որ ուներ համակարգաստեղծ նշանակություն: Հասարակական հարաբերությունների զարգացման ներկայիս մակարդակը  և  հակաիրավական երևույթներին հակազդելու՝ հասարակության ավանդաբար մեծ սպասելիքները ոստիկանությունից, թելադրում են ունենալ ոչ միայն հիմնադիր, այլև՝  իրավապահպան «ներուժ» ունեցող որակապես նոր իրավական ակտ: Նոր օրինագծի մշակման անհրաժեշտությունը բխում է նաև </w:t>
            </w:r>
            <w:r w:rsidRPr="0053423A">
              <w:rPr>
                <w:rFonts w:cs="Sylfaen"/>
                <w:color w:val="000000"/>
                <w:shd w:val="clear" w:color="auto" w:fill="FFFFFF"/>
                <w:lang w:val="ro-RO"/>
              </w:rPr>
              <w:t>ՀՀ Ազգային ժողովի 2019 թվականի ԱԺՈ-002-Ն որոշմամբ</w:t>
            </w:r>
            <w:r w:rsidRPr="0053423A">
              <w:rPr>
                <w:lang w:val="ro-RO"/>
              </w:rPr>
              <w:t xml:space="preserve"> հավանության արժանացած ՀՀ կառավարության ծրագրի «2.2. Ներքին անվտանգությունը» բաժնից:</w:t>
            </w:r>
          </w:p>
          <w:p w:rsidR="007B71C6" w:rsidRPr="0053423A" w:rsidRDefault="007B71C6" w:rsidP="00A67858">
            <w:pPr>
              <w:pStyle w:val="NormalWeb"/>
              <w:spacing w:before="0" w:beforeAutospacing="0" w:after="0" w:afterAutospacing="0" w:line="276" w:lineRule="auto"/>
              <w:ind w:right="84" w:firstLine="720"/>
              <w:jc w:val="both"/>
              <w:rPr>
                <w:rFonts w:ascii="GHEA Grapalat" w:hAnsi="GHEA Grapalat" w:cs="Sylfaen"/>
                <w:b/>
                <w:color w:val="000000"/>
                <w:sz w:val="20"/>
                <w:szCs w:val="20"/>
                <w:shd w:val="clear" w:color="auto" w:fill="FFFFFF"/>
                <w:lang w:val="ro-RO"/>
              </w:rPr>
            </w:pPr>
            <w:r w:rsidRPr="0053423A">
              <w:rPr>
                <w:rFonts w:ascii="GHEA Grapalat" w:hAnsi="GHEA Grapalat" w:cs="Sylfaen"/>
                <w:b/>
                <w:color w:val="000000"/>
                <w:sz w:val="20"/>
                <w:szCs w:val="20"/>
                <w:shd w:val="clear" w:color="auto" w:fill="FFFFFF"/>
                <w:lang w:val="ro-RO"/>
              </w:rPr>
              <w:t xml:space="preserve">1.1. Կարգավորման հարաբերությունների ներկա վիճակը և առկա խնդիրը </w:t>
            </w:r>
          </w:p>
          <w:p w:rsidR="007B71C6" w:rsidRPr="0053423A" w:rsidRDefault="007B71C6" w:rsidP="00A67858">
            <w:pPr>
              <w:spacing w:line="276" w:lineRule="auto"/>
              <w:ind w:firstLine="720"/>
              <w:rPr>
                <w:lang w:val="ro-RO"/>
              </w:rPr>
            </w:pPr>
            <w:r w:rsidRPr="0053423A">
              <w:rPr>
                <w:lang w:val="ro-RO"/>
              </w:rPr>
              <w:t>«Ոստիկանության մասին» գործող օրենքը, որպես ոստիկանության իրավապահ գործունեության ընթացքում ծագող որոշակի հարաբերությունների կարգավորիչ, ունի նոմինալ ֆունկցիա: Պատճառն այն է, որ իրավապահ գործունեության հիմնական ուղղությունները կարգավորվում են առանձին օրենսդրական ակտերով՝ ՀՀ քրեական դատավարության օրենսգրքով, Վարչական իրավախախտումների վերաբերյալ ՀՀ օրենսգրքով, «Օպերատիվ-հետախուզական գործունեության մասին» ՀՀ օրենքով: Բացի այդ, «Ոստիկանության մասին» օրենքը ոստիկանության հիմնական խնդիրներից է համարում հանցագործությունների նախականխումը, կանխումն ու խափանումը, սակայն այս խնդրի կենսագործումն ապահովող արդյունավետ իրավակարգավորումներն օրենքում բացակայում են: Սահմանված չեն նաև հասարակական կարգի պահպանման և հասարակական անվտանգության ապահովման ոլորտում ոստիկանության այնպիսի լիազորություններ, որոնք ինչպես ՀՀ քրեական դատավարության օրենսգրքով, Վարչական իրավախախտումների վերաբերյալ ՀՀ օրենսգրքով, այնպես էլ «Օպերատիվ-հետախուզական գործունեության մասին» ՀՀ օրենքով նույնպես չէին կարող ամրագրվել: Այսինքն՝ առկա է օրենսդրական բաց, որի հաղթահարման նպատակով անհրաժեշտ են իրավական նոր կարգավորումներ:</w:t>
            </w:r>
          </w:p>
          <w:p w:rsidR="007B71C6" w:rsidRPr="0053423A" w:rsidRDefault="007B71C6" w:rsidP="00A67858">
            <w:pPr>
              <w:spacing w:line="276" w:lineRule="auto"/>
              <w:ind w:firstLine="720"/>
              <w:rPr>
                <w:lang w:val="ro-RO"/>
              </w:rPr>
            </w:pPr>
            <w:r w:rsidRPr="0053423A">
              <w:rPr>
                <w:lang w:val="ro-RO"/>
              </w:rPr>
              <w:t>Մինչ օրս օրենքում 12 անգամ կատարվել են փոփոխություններ և լրացումներ, որոնցից ամենաէականը պայմանավորված էր 2008 թվականի մարտի 1-ի իրադարձություններից հետո «Ոստիկանության մասին» ՀՀ օրենքի մի շարք դրույթներ միջազգային իրավական փաստաթղթերի պահանջներին համապատասխանեցնելու և այդ ժամանակահատվածում հանրությանը հուզող օրակարգային մի շարք հարցերի իրավական լուծումներ տալու անհրաժեշտությամբ: Մյուս փոփոխություններն էական բնույթ չեն ունեցել և ոստիկանության գործունեության  վրա որոշիչ ազդեցություն չեն թողել:</w:t>
            </w:r>
          </w:p>
          <w:p w:rsidR="007B71C6" w:rsidRPr="0053423A" w:rsidRDefault="007B71C6" w:rsidP="00A67858">
            <w:pPr>
              <w:pStyle w:val="NormalWeb"/>
              <w:spacing w:before="0" w:beforeAutospacing="0" w:after="0" w:afterAutospacing="0" w:line="276" w:lineRule="auto"/>
              <w:ind w:right="84" w:firstLine="720"/>
              <w:jc w:val="both"/>
              <w:rPr>
                <w:rFonts w:ascii="GHEA Grapalat" w:hAnsi="GHEA Grapalat" w:cs="Sylfaen"/>
                <w:b/>
                <w:color w:val="000000"/>
                <w:sz w:val="20"/>
                <w:szCs w:val="20"/>
                <w:shd w:val="clear" w:color="auto" w:fill="FFFFFF"/>
                <w:lang w:val="ro-RO"/>
              </w:rPr>
            </w:pPr>
            <w:r w:rsidRPr="0053423A">
              <w:rPr>
                <w:rFonts w:ascii="GHEA Grapalat" w:hAnsi="GHEA Grapalat" w:cs="Sylfaen"/>
                <w:b/>
                <w:color w:val="000000"/>
                <w:sz w:val="20"/>
                <w:szCs w:val="20"/>
                <w:shd w:val="clear" w:color="auto" w:fill="FFFFFF"/>
                <w:lang w:val="ro-RO"/>
              </w:rPr>
              <w:t xml:space="preserve">1.2. Առկա խնդիրների առաջարկվող լուծումները  </w:t>
            </w:r>
          </w:p>
          <w:p w:rsidR="007B71C6" w:rsidRPr="0053423A" w:rsidRDefault="007B71C6" w:rsidP="00A67858">
            <w:pPr>
              <w:spacing w:line="276" w:lineRule="auto"/>
              <w:ind w:firstLine="720"/>
              <w:rPr>
                <w:lang w:val="ro-RO"/>
              </w:rPr>
            </w:pPr>
            <w:r w:rsidRPr="0053423A">
              <w:rPr>
                <w:lang w:val="ro-RO"/>
              </w:rPr>
              <w:t>Միջոցառման շրջանակում նախապատրաստվելիք նոր օրենքով լրացվելու են Ոստիկանության խնդիրները (գործունեության հիմնական ուղղությունները): Մասնավորապես, ամրագրվելու է անհայտ կորած անձանց, հափշտակված գույքի, ուրիշի կողմից ապօրինի տիրապետվող տրանսպորտային միջոցների, հանցանք կատարելու մեջ կասկածվող (ոչ թե կասկածյալ) և այլ կատեգորիայի անձանց որոնման (հետախուզման) գործառույթը, որպես ինքնուրույն խնդիր է սահմանվելու իրավախախտումներից և պատահարներից տուժած, անօգնական կամ կյանքի համար վտանգավոր իրավիճակներում հայտնված անձանց օգնության ցուցաբերումը և այլն:  Առաջին անգամ օրենքով ամրագրվելու են ոստիկանության լիազորությունները հանցագործությունների պրոֆիլակտիկայի և իրավախախտումների խափանման բնագավառում: Սահմանվելու է ոստիկանության բաժին բերված անձի՝ փաստաբանին զանգելու իրավունքը, հստակեցվելու են իրավաբանական օգնություն ստանալու մեխանիզմները ոստիկանության բաժիններում, նախատեսվելու են խոշտանգումների կանխարգելմանն ուղղված նոր կարգավորումներ, հստակեցվելու են ոստիկանության կողմից մշակվող անձնական տվյալների շրջանակը, սահմանվելու են հանցագործության մեջ չկասկածվող, սակայն օրենքով որոշակի պարտականությունների կատարումից խուսափող անձանց վարչական կարգով բերման ենթարկելու դեպքերը: Կատարելագործվելու են ոստիկանության գործունեության հրապարակայնության, հասարակական վստահության և քաղաքացիներից աջակցություն ստանալու իրավական մեխանիզմները, դրվելու են ժամանակակից տեխնիկական համակարգերի և տեխնոլոգիաների օգտագործման իրավական հիմքերը:</w:t>
            </w:r>
          </w:p>
          <w:p w:rsidR="007B71C6" w:rsidRPr="0053423A" w:rsidRDefault="007B71C6" w:rsidP="00A67858">
            <w:pPr>
              <w:spacing w:line="276" w:lineRule="auto"/>
              <w:ind w:firstLine="720"/>
              <w:rPr>
                <w:lang w:val="ro-RO"/>
              </w:rPr>
            </w:pPr>
            <w:r w:rsidRPr="0053423A">
              <w:rPr>
                <w:lang w:val="ro-RO"/>
              </w:rPr>
              <w:t>Նոր օրենքի շրջանակներում կլուծվի նաև Ոստիկանության զորքերի ապառազմականացման հարցը. Ոստիկանության զորքերը կգործեն որպես ոստիկանական ստորաբաժանում, որը օրենքով սահմանված կարգով կմասնակցի զանգվածային անկարգությունները կանխելու և  խափանելու գործին, հակաահաբեկչական միջոցառումներին, ռազմական և արտակարգ դրության իրավական ռեժիմն ապահովելուն, որոնողական-փրկարարական աշխատանքներին:</w:t>
            </w:r>
          </w:p>
          <w:p w:rsidR="007B71C6" w:rsidRPr="0053423A" w:rsidRDefault="007B71C6" w:rsidP="00A67858">
            <w:pPr>
              <w:pStyle w:val="NormalWeb"/>
              <w:tabs>
                <w:tab w:val="left" w:pos="462"/>
              </w:tabs>
              <w:spacing w:before="0" w:beforeAutospacing="0" w:after="0" w:afterAutospacing="0" w:line="276" w:lineRule="auto"/>
              <w:ind w:right="106" w:firstLine="720"/>
              <w:rPr>
                <w:rFonts w:ascii="GHEA Grapalat" w:hAnsi="GHEA Grapalat"/>
                <w:b/>
                <w:sz w:val="20"/>
                <w:szCs w:val="20"/>
                <w:lang w:val="ro-RO"/>
              </w:rPr>
            </w:pPr>
          </w:p>
          <w:p w:rsidR="007B71C6" w:rsidRPr="0053423A" w:rsidRDefault="007B71C6" w:rsidP="00A67858">
            <w:pPr>
              <w:pStyle w:val="NormalWeb"/>
              <w:tabs>
                <w:tab w:val="left" w:pos="462"/>
              </w:tabs>
              <w:spacing w:before="0" w:beforeAutospacing="0" w:after="0" w:afterAutospacing="0" w:line="276" w:lineRule="auto"/>
              <w:ind w:right="106" w:firstLine="720"/>
              <w:rPr>
                <w:rFonts w:ascii="GHEA Grapalat" w:hAnsi="GHEA Grapalat"/>
                <w:b/>
                <w:sz w:val="20"/>
                <w:szCs w:val="20"/>
                <w:lang w:val="ro-RO"/>
              </w:rPr>
            </w:pPr>
            <w:r w:rsidRPr="0053423A">
              <w:rPr>
                <w:rFonts w:ascii="GHEA Grapalat" w:hAnsi="GHEA Grapalat"/>
                <w:b/>
                <w:sz w:val="20"/>
                <w:szCs w:val="20"/>
                <w:lang w:val="ro-RO"/>
              </w:rPr>
              <w:t>2. Միջոցառման իրականացումից ակնկալվող արդյունքը</w:t>
            </w:r>
          </w:p>
          <w:p w:rsidR="007B71C6" w:rsidRPr="0053423A" w:rsidRDefault="007B71C6" w:rsidP="00A67858">
            <w:pPr>
              <w:spacing w:line="276" w:lineRule="auto"/>
              <w:ind w:firstLine="720"/>
              <w:rPr>
                <w:lang w:val="ro-RO"/>
              </w:rPr>
            </w:pPr>
            <w:r w:rsidRPr="0053423A">
              <w:rPr>
                <w:lang w:val="hy-AM"/>
              </w:rPr>
              <w:t>Միջոցառմա</w:t>
            </w:r>
            <w:r w:rsidRPr="0053423A">
              <w:rPr>
                <w:lang w:val="ro-RO"/>
              </w:rPr>
              <w:t>ն իրականացման շրջանակներում ն</w:t>
            </w:r>
            <w:r w:rsidRPr="0053423A">
              <w:rPr>
                <w:lang w:val="hy-AM"/>
              </w:rPr>
              <w:t>որ</w:t>
            </w:r>
            <w:r w:rsidRPr="0053423A">
              <w:rPr>
                <w:lang w:val="ro-RO"/>
              </w:rPr>
              <w:t xml:space="preserve"> </w:t>
            </w:r>
            <w:r w:rsidRPr="0053423A">
              <w:rPr>
                <w:lang w:val="hy-AM"/>
              </w:rPr>
              <w:t>օրենքի</w:t>
            </w:r>
            <w:r w:rsidRPr="0053423A">
              <w:rPr>
                <w:lang w:val="ro-RO"/>
              </w:rPr>
              <w:t xml:space="preserve"> </w:t>
            </w:r>
            <w:r w:rsidRPr="0053423A">
              <w:rPr>
                <w:lang w:val="hy-AM"/>
              </w:rPr>
              <w:t>ընդունմամբ</w:t>
            </w:r>
            <w:r w:rsidRPr="0053423A">
              <w:rPr>
                <w:lang w:val="ro-RO"/>
              </w:rPr>
              <w:t xml:space="preserve"> </w:t>
            </w:r>
            <w:r w:rsidRPr="0053423A">
              <w:rPr>
                <w:rFonts w:cs="Arial"/>
                <w:lang w:val="ro-RO"/>
              </w:rPr>
              <w:t xml:space="preserve"> կսահմանվի </w:t>
            </w:r>
            <w:r w:rsidRPr="0053423A">
              <w:rPr>
                <w:rFonts w:cs="Arial"/>
                <w:lang w:val="hy-AM"/>
              </w:rPr>
              <w:t>ոստիկանության</w:t>
            </w:r>
            <w:r w:rsidRPr="0053423A">
              <w:rPr>
                <w:rFonts w:cs="Arial"/>
                <w:lang w:val="ro-RO"/>
              </w:rPr>
              <w:t xml:space="preserve"> </w:t>
            </w:r>
            <w:r w:rsidRPr="0053423A">
              <w:rPr>
                <w:rFonts w:cs="Arial"/>
                <w:lang w:val="hy-AM"/>
              </w:rPr>
              <w:t>լիազորությունների</w:t>
            </w:r>
            <w:r w:rsidRPr="0053423A">
              <w:rPr>
                <w:rFonts w:cs="Arial"/>
                <w:lang w:val="ro-RO"/>
              </w:rPr>
              <w:t xml:space="preserve"> </w:t>
            </w:r>
            <w:r w:rsidRPr="0053423A">
              <w:rPr>
                <w:rFonts w:cs="Arial"/>
                <w:lang w:val="hy-AM"/>
              </w:rPr>
              <w:t>այնպիսի</w:t>
            </w:r>
            <w:r w:rsidRPr="0053423A">
              <w:rPr>
                <w:rFonts w:cs="Arial"/>
                <w:lang w:val="ro-RO"/>
              </w:rPr>
              <w:t xml:space="preserve"> </w:t>
            </w:r>
            <w:r w:rsidRPr="0053423A">
              <w:rPr>
                <w:rFonts w:cs="Arial"/>
                <w:lang w:val="hy-AM"/>
              </w:rPr>
              <w:t>շրջանակ</w:t>
            </w:r>
            <w:r w:rsidRPr="0053423A">
              <w:rPr>
                <w:rFonts w:cs="Arial"/>
                <w:lang w:val="ro-RO"/>
              </w:rPr>
              <w:t xml:space="preserve">, </w:t>
            </w:r>
            <w:r w:rsidRPr="0053423A">
              <w:rPr>
                <w:rFonts w:cs="Arial"/>
                <w:lang w:val="hy-AM"/>
              </w:rPr>
              <w:t>որը</w:t>
            </w:r>
            <w:r w:rsidRPr="0053423A">
              <w:rPr>
                <w:rFonts w:cs="Arial"/>
                <w:lang w:val="ro-RO"/>
              </w:rPr>
              <w:t xml:space="preserve"> </w:t>
            </w:r>
            <w:r w:rsidRPr="0053423A">
              <w:rPr>
                <w:rFonts w:cs="Arial"/>
                <w:lang w:val="hy-AM"/>
              </w:rPr>
              <w:t>հնարավորություն</w:t>
            </w:r>
            <w:r w:rsidRPr="0053423A">
              <w:rPr>
                <w:rFonts w:cs="Arial"/>
                <w:lang w:val="ro-RO"/>
              </w:rPr>
              <w:t xml:space="preserve"> </w:t>
            </w:r>
            <w:r w:rsidRPr="0053423A">
              <w:rPr>
                <w:rFonts w:cs="Arial"/>
                <w:lang w:val="hy-AM"/>
              </w:rPr>
              <w:t>կտա</w:t>
            </w:r>
            <w:r w:rsidRPr="0053423A">
              <w:rPr>
                <w:rFonts w:cs="Arial"/>
                <w:lang w:val="ro-RO"/>
              </w:rPr>
              <w:t xml:space="preserve"> </w:t>
            </w:r>
            <w:r w:rsidRPr="0053423A">
              <w:rPr>
                <w:rFonts w:cs="Arial"/>
                <w:lang w:val="hy-AM"/>
              </w:rPr>
              <w:t>առավել</w:t>
            </w:r>
            <w:r w:rsidRPr="0053423A">
              <w:rPr>
                <w:rFonts w:cs="Arial"/>
                <w:lang w:val="ro-RO"/>
              </w:rPr>
              <w:t xml:space="preserve"> </w:t>
            </w:r>
            <w:r w:rsidRPr="0053423A">
              <w:rPr>
                <w:rFonts w:cs="Arial"/>
                <w:lang w:val="hy-AM"/>
              </w:rPr>
              <w:t>արդյունավետ</w:t>
            </w:r>
            <w:r w:rsidRPr="0053423A">
              <w:rPr>
                <w:rFonts w:cs="Arial"/>
                <w:lang w:val="ro-RO"/>
              </w:rPr>
              <w:t xml:space="preserve"> </w:t>
            </w:r>
            <w:r w:rsidRPr="0053423A">
              <w:rPr>
                <w:rFonts w:cs="Arial"/>
                <w:lang w:val="hy-AM"/>
              </w:rPr>
              <w:t>կանխարգելել</w:t>
            </w:r>
            <w:r w:rsidRPr="0053423A">
              <w:rPr>
                <w:rFonts w:cs="Arial"/>
                <w:lang w:val="ro-RO"/>
              </w:rPr>
              <w:t xml:space="preserve"> </w:t>
            </w:r>
            <w:r w:rsidRPr="0053423A">
              <w:rPr>
                <w:rFonts w:cs="Arial"/>
                <w:lang w:val="hy-AM"/>
              </w:rPr>
              <w:t>մարդու</w:t>
            </w:r>
            <w:r w:rsidRPr="0053423A">
              <w:rPr>
                <w:rFonts w:cs="Arial"/>
                <w:lang w:val="ro-RO"/>
              </w:rPr>
              <w:t xml:space="preserve"> </w:t>
            </w:r>
            <w:r w:rsidRPr="0053423A">
              <w:rPr>
                <w:rFonts w:cs="Arial"/>
                <w:lang w:val="hy-AM"/>
              </w:rPr>
              <w:t>իրավունքների</w:t>
            </w:r>
            <w:r w:rsidRPr="0053423A">
              <w:rPr>
                <w:rFonts w:cs="Arial"/>
                <w:lang w:val="ro-RO"/>
              </w:rPr>
              <w:t xml:space="preserve"> </w:t>
            </w:r>
            <w:r w:rsidRPr="0053423A">
              <w:rPr>
                <w:rFonts w:cs="Arial"/>
                <w:lang w:val="hy-AM"/>
              </w:rPr>
              <w:t>նկատմամբ</w:t>
            </w:r>
            <w:r w:rsidRPr="0053423A">
              <w:rPr>
                <w:rFonts w:cs="Arial"/>
                <w:lang w:val="ro-RO"/>
              </w:rPr>
              <w:t xml:space="preserve"> </w:t>
            </w:r>
            <w:r w:rsidRPr="0053423A">
              <w:rPr>
                <w:rFonts w:cs="Arial"/>
                <w:lang w:val="hy-AM"/>
              </w:rPr>
              <w:t>հանցավոր</w:t>
            </w:r>
            <w:r w:rsidRPr="0053423A">
              <w:rPr>
                <w:rFonts w:cs="Arial"/>
                <w:lang w:val="ro-RO"/>
              </w:rPr>
              <w:t xml:space="preserve"> </w:t>
            </w:r>
            <w:r w:rsidRPr="0053423A">
              <w:rPr>
                <w:rFonts w:cs="Arial"/>
                <w:lang w:val="hy-AM"/>
              </w:rPr>
              <w:t>և</w:t>
            </w:r>
            <w:r w:rsidRPr="0053423A">
              <w:rPr>
                <w:rFonts w:cs="Arial"/>
                <w:lang w:val="ro-RO"/>
              </w:rPr>
              <w:t xml:space="preserve"> </w:t>
            </w:r>
            <w:r w:rsidRPr="0053423A">
              <w:rPr>
                <w:rFonts w:cs="Arial"/>
                <w:lang w:val="hy-AM"/>
              </w:rPr>
              <w:t>այլ</w:t>
            </w:r>
            <w:r w:rsidRPr="0053423A">
              <w:rPr>
                <w:rFonts w:cs="Arial"/>
                <w:lang w:val="ro-RO"/>
              </w:rPr>
              <w:t xml:space="preserve"> </w:t>
            </w:r>
            <w:r w:rsidRPr="0053423A">
              <w:rPr>
                <w:rFonts w:cs="Arial"/>
                <w:lang w:val="hy-AM"/>
              </w:rPr>
              <w:t>ոտնձգությունները</w:t>
            </w:r>
            <w:r w:rsidRPr="0053423A">
              <w:rPr>
                <w:rFonts w:cs="Arial"/>
                <w:lang w:val="ro-RO"/>
              </w:rPr>
              <w:t xml:space="preserve">, </w:t>
            </w:r>
            <w:r w:rsidRPr="0053423A">
              <w:rPr>
                <w:rFonts w:cs="Arial"/>
                <w:lang w:val="hy-AM"/>
              </w:rPr>
              <w:t>քաղաքացիներին</w:t>
            </w:r>
            <w:r w:rsidRPr="0053423A">
              <w:rPr>
                <w:rFonts w:cs="Arial"/>
                <w:lang w:val="ro-RO"/>
              </w:rPr>
              <w:t xml:space="preserve"> </w:t>
            </w:r>
            <w:r w:rsidRPr="0053423A">
              <w:rPr>
                <w:rFonts w:cs="Arial"/>
                <w:lang w:val="hy-AM"/>
              </w:rPr>
              <w:t>աջակցել</w:t>
            </w:r>
            <w:r w:rsidRPr="0053423A">
              <w:rPr>
                <w:rFonts w:cs="Arial"/>
                <w:lang w:val="ro-RO"/>
              </w:rPr>
              <w:t xml:space="preserve"> </w:t>
            </w:r>
            <w:r w:rsidRPr="0053423A">
              <w:rPr>
                <w:rFonts w:cs="Arial"/>
                <w:lang w:val="hy-AM"/>
              </w:rPr>
              <w:t>իրենց</w:t>
            </w:r>
            <w:r w:rsidRPr="0053423A">
              <w:rPr>
                <w:rFonts w:cs="Arial"/>
                <w:lang w:val="ro-RO"/>
              </w:rPr>
              <w:t xml:space="preserve"> </w:t>
            </w:r>
            <w:r w:rsidRPr="0053423A">
              <w:rPr>
                <w:rFonts w:cs="Arial"/>
                <w:lang w:val="hy-AM"/>
              </w:rPr>
              <w:t>խախտված</w:t>
            </w:r>
            <w:r w:rsidRPr="0053423A">
              <w:rPr>
                <w:rFonts w:cs="Arial"/>
                <w:lang w:val="ro-RO"/>
              </w:rPr>
              <w:t xml:space="preserve"> </w:t>
            </w:r>
            <w:r w:rsidRPr="0053423A">
              <w:rPr>
                <w:rFonts w:cs="Arial"/>
                <w:lang w:val="hy-AM"/>
              </w:rPr>
              <w:t>իրավունքները</w:t>
            </w:r>
            <w:r w:rsidRPr="0053423A">
              <w:rPr>
                <w:rFonts w:cs="Arial"/>
                <w:lang w:val="ro-RO"/>
              </w:rPr>
              <w:t xml:space="preserve"> </w:t>
            </w:r>
            <w:r w:rsidRPr="0053423A">
              <w:rPr>
                <w:rFonts w:cs="Arial"/>
                <w:lang w:val="hy-AM"/>
              </w:rPr>
              <w:t>վերականգնելիս</w:t>
            </w:r>
            <w:r w:rsidRPr="0053423A">
              <w:rPr>
                <w:rFonts w:cs="Arial"/>
                <w:lang w:val="ro-RO"/>
              </w:rPr>
              <w:t xml:space="preserve">, </w:t>
            </w:r>
            <w:r w:rsidRPr="0053423A">
              <w:rPr>
                <w:rFonts w:cs="Arial"/>
                <w:lang w:val="hy-AM"/>
              </w:rPr>
              <w:t>խթանել</w:t>
            </w:r>
            <w:r w:rsidRPr="0053423A">
              <w:rPr>
                <w:rFonts w:cs="Arial"/>
                <w:lang w:val="ro-RO"/>
              </w:rPr>
              <w:t xml:space="preserve"> </w:t>
            </w:r>
            <w:r w:rsidRPr="0053423A">
              <w:rPr>
                <w:rFonts w:cs="Arial"/>
                <w:lang w:val="hy-AM"/>
              </w:rPr>
              <w:t>համագործակցությունը</w:t>
            </w:r>
            <w:r w:rsidRPr="0053423A">
              <w:rPr>
                <w:rFonts w:cs="Arial"/>
                <w:lang w:val="ro-RO"/>
              </w:rPr>
              <w:t xml:space="preserve"> </w:t>
            </w:r>
            <w:r w:rsidRPr="0053423A">
              <w:rPr>
                <w:rFonts w:cs="Arial"/>
                <w:lang w:val="hy-AM"/>
              </w:rPr>
              <w:t>քաղաքացիական</w:t>
            </w:r>
            <w:r w:rsidRPr="0053423A">
              <w:rPr>
                <w:rFonts w:cs="Arial"/>
                <w:lang w:val="ro-RO"/>
              </w:rPr>
              <w:t xml:space="preserve"> </w:t>
            </w:r>
            <w:r w:rsidRPr="0053423A">
              <w:rPr>
                <w:rFonts w:cs="Arial"/>
                <w:lang w:val="hy-AM"/>
              </w:rPr>
              <w:t>հասարակության</w:t>
            </w:r>
            <w:r w:rsidRPr="0053423A">
              <w:rPr>
                <w:rFonts w:cs="Arial"/>
                <w:lang w:val="ro-RO"/>
              </w:rPr>
              <w:t xml:space="preserve"> </w:t>
            </w:r>
            <w:r w:rsidRPr="0053423A">
              <w:rPr>
                <w:rFonts w:cs="Arial"/>
                <w:lang w:val="hy-AM"/>
              </w:rPr>
              <w:t>հետ</w:t>
            </w:r>
            <w:r w:rsidRPr="0053423A">
              <w:rPr>
                <w:rFonts w:cs="Arial"/>
                <w:lang w:val="ro-RO"/>
              </w:rPr>
              <w:t>:</w:t>
            </w:r>
          </w:p>
          <w:p w:rsidR="007B71C6" w:rsidRPr="0053423A" w:rsidRDefault="007B71C6" w:rsidP="00A67858">
            <w:pPr>
              <w:spacing w:line="276" w:lineRule="auto"/>
              <w:jc w:val="center"/>
              <w:rPr>
                <w:b/>
                <w:lang w:val="ro-RO"/>
              </w:rPr>
            </w:pPr>
          </w:p>
        </w:tc>
      </w:tr>
      <w:tr w:rsidR="007B71C6" w:rsidRPr="00DE2EFA" w:rsidTr="007B71C6">
        <w:trPr>
          <w:trHeight w:val="6735"/>
        </w:trPr>
        <w:tc>
          <w:tcPr>
            <w:tcW w:w="425" w:type="dxa"/>
          </w:tcPr>
          <w:p w:rsidR="007B71C6" w:rsidRPr="0053423A" w:rsidRDefault="007B71C6" w:rsidP="00A67858">
            <w:pPr>
              <w:spacing w:line="276" w:lineRule="auto"/>
              <w:ind w:left="-108" w:right="-108"/>
              <w:rPr>
                <w:lang w:val="hy-AM"/>
              </w:rPr>
            </w:pPr>
            <w:r w:rsidRPr="0053423A">
              <w:rPr>
                <w:lang w:val="hy-AM"/>
              </w:rPr>
              <w:t>4.1-4.2</w:t>
            </w:r>
          </w:p>
        </w:tc>
        <w:tc>
          <w:tcPr>
            <w:tcW w:w="11100" w:type="dxa"/>
          </w:tcPr>
          <w:p w:rsidR="007B71C6" w:rsidRPr="0053423A" w:rsidRDefault="007B71C6" w:rsidP="00A67858">
            <w:pPr>
              <w:pStyle w:val="ListParagraph"/>
              <w:spacing w:line="276" w:lineRule="auto"/>
              <w:ind w:left="0"/>
              <w:jc w:val="center"/>
              <w:rPr>
                <w:b/>
                <w:lang w:val="ro-RO"/>
              </w:rPr>
            </w:pPr>
            <w:r w:rsidRPr="0053423A">
              <w:rPr>
                <w:b/>
                <w:lang w:val="hy-AM"/>
              </w:rPr>
              <w:t>Հայաստանի</w:t>
            </w:r>
            <w:r w:rsidRPr="0053423A">
              <w:rPr>
                <w:b/>
                <w:lang w:val="ro-RO"/>
              </w:rPr>
              <w:t xml:space="preserve"> </w:t>
            </w:r>
            <w:r w:rsidRPr="0053423A">
              <w:rPr>
                <w:b/>
                <w:lang w:val="hy-AM"/>
              </w:rPr>
              <w:t>Հանրապետության</w:t>
            </w:r>
            <w:r w:rsidRPr="0053423A">
              <w:rPr>
                <w:b/>
                <w:lang w:val="ro-RO"/>
              </w:rPr>
              <w:t xml:space="preserve"> </w:t>
            </w:r>
            <w:r w:rsidRPr="0053423A">
              <w:rPr>
                <w:b/>
                <w:lang w:val="hy-AM"/>
              </w:rPr>
              <w:t>ոստիկանության</w:t>
            </w:r>
            <w:r w:rsidRPr="0053423A">
              <w:rPr>
                <w:b/>
                <w:lang w:val="ro-RO"/>
              </w:rPr>
              <w:t xml:space="preserve"> </w:t>
            </w:r>
            <w:r w:rsidRPr="0053423A">
              <w:rPr>
                <w:b/>
                <w:lang w:val="hy-AM"/>
              </w:rPr>
              <w:t>զարգացման</w:t>
            </w:r>
            <w:r w:rsidRPr="0053423A">
              <w:rPr>
                <w:b/>
                <w:lang w:val="ro-RO"/>
              </w:rPr>
              <w:t xml:space="preserve">  </w:t>
            </w:r>
            <w:r w:rsidRPr="0053423A">
              <w:rPr>
                <w:b/>
                <w:lang w:val="hy-AM"/>
              </w:rPr>
              <w:t>ռազմավարության</w:t>
            </w:r>
            <w:r w:rsidRPr="0053423A">
              <w:rPr>
                <w:b/>
                <w:lang w:val="ro-RO"/>
              </w:rPr>
              <w:t xml:space="preserve"> </w:t>
            </w:r>
            <w:r w:rsidRPr="0053423A">
              <w:rPr>
                <w:b/>
                <w:lang w:val="hy-AM"/>
              </w:rPr>
              <w:t>մշակում</w:t>
            </w:r>
          </w:p>
          <w:p w:rsidR="007B71C6" w:rsidRPr="0053423A" w:rsidRDefault="007B71C6" w:rsidP="00A67858">
            <w:pPr>
              <w:spacing w:line="276" w:lineRule="auto"/>
              <w:ind w:firstLine="540"/>
              <w:jc w:val="center"/>
              <w:rPr>
                <w:b/>
                <w:lang w:val="ro-RO"/>
              </w:rPr>
            </w:pPr>
          </w:p>
          <w:p w:rsidR="007B71C6" w:rsidRPr="0053423A" w:rsidRDefault="007B71C6" w:rsidP="00A67858">
            <w:pPr>
              <w:pStyle w:val="NormalWeb"/>
              <w:spacing w:before="0" w:beforeAutospacing="0" w:after="0" w:afterAutospacing="0" w:line="276" w:lineRule="auto"/>
              <w:ind w:right="84" w:firstLine="540"/>
              <w:rPr>
                <w:rFonts w:ascii="GHEA Grapalat" w:hAnsi="GHEA Grapalat"/>
                <w:b/>
                <w:sz w:val="20"/>
                <w:szCs w:val="20"/>
                <w:lang w:val="ro-RO"/>
              </w:rPr>
            </w:pPr>
          </w:p>
          <w:p w:rsidR="007B71C6" w:rsidRPr="0053423A" w:rsidRDefault="007B71C6" w:rsidP="00A67858">
            <w:pPr>
              <w:pStyle w:val="NormalWeb"/>
              <w:spacing w:before="0" w:beforeAutospacing="0" w:after="0" w:afterAutospacing="0" w:line="276" w:lineRule="auto"/>
              <w:ind w:right="84" w:firstLine="540"/>
              <w:rPr>
                <w:rFonts w:ascii="GHEA Grapalat" w:hAnsi="GHEA Grapalat"/>
                <w:b/>
                <w:sz w:val="20"/>
                <w:szCs w:val="20"/>
                <w:lang w:val="ro-RO"/>
              </w:rPr>
            </w:pPr>
            <w:r w:rsidRPr="0053423A">
              <w:rPr>
                <w:rFonts w:ascii="GHEA Grapalat" w:hAnsi="GHEA Grapalat"/>
                <w:b/>
                <w:sz w:val="20"/>
                <w:szCs w:val="20"/>
                <w:lang w:val="ro-RO"/>
              </w:rPr>
              <w:t>1. Միջոցառման անհրաժեշտությունը  և նպատակը</w:t>
            </w:r>
          </w:p>
          <w:p w:rsidR="007B71C6" w:rsidRPr="0053423A" w:rsidRDefault="007B71C6" w:rsidP="00A67858">
            <w:pPr>
              <w:pStyle w:val="NormalWeb"/>
              <w:spacing w:before="0" w:beforeAutospacing="0" w:after="0" w:afterAutospacing="0" w:line="276" w:lineRule="auto"/>
              <w:ind w:firstLine="567"/>
              <w:jc w:val="both"/>
              <w:rPr>
                <w:rFonts w:ascii="GHEA Grapalat" w:hAnsi="GHEA Grapalat"/>
                <w:sz w:val="20"/>
                <w:szCs w:val="20"/>
                <w:lang w:val="ro-RO"/>
              </w:rPr>
            </w:pPr>
            <w:r w:rsidRPr="0053423A">
              <w:rPr>
                <w:rFonts w:ascii="GHEA Grapalat" w:hAnsi="GHEA Grapalat" w:cs="Sylfaen"/>
                <w:color w:val="000000"/>
                <w:sz w:val="20"/>
                <w:szCs w:val="20"/>
                <w:shd w:val="clear" w:color="auto" w:fill="FFFFFF"/>
                <w:lang w:val="ro-RO"/>
              </w:rPr>
              <w:t xml:space="preserve">Միջոցառման իրականացումը բխում ՀՀ Ազգային ժողովի 2019 թվականի ԱԺՈ-002-Ն որոշմամբ հավանության արժանացած ՀՀ կառավարության ծրագրով նախանշված Կառավարության որդեգրած քաղաքականությունից: </w:t>
            </w:r>
            <w:r w:rsidRPr="0053423A">
              <w:rPr>
                <w:rFonts w:ascii="GHEA Grapalat" w:hAnsi="GHEA Grapalat"/>
                <w:sz w:val="20"/>
                <w:szCs w:val="20"/>
                <w:lang w:val="ro-RO"/>
              </w:rPr>
              <w:t xml:space="preserve">Հայաստանի Հանրապետության  կառավարության ծրագրից բխող՝ ոստիկանության  5-ամյա միջոցառումների ծրագրում նախատեսվում են 1 իրավաստեղծ («Ոստիկանության մասին» նոր օրենքի նախագծի ընդունում) և 2 կազմակերպական միջոցառումներ (Օպերատիվ կառավարման կենտրոնի ստեղծում և Պարեկային ծառայության հիմնադրում), որոնք շրջադարձային նշանակություն են ունենալու առաջիկա հինգ տարիների ընթացքում ոստիկանության զարգացման համար: </w:t>
            </w:r>
          </w:p>
          <w:p w:rsidR="007B71C6" w:rsidRPr="0053423A" w:rsidRDefault="007B71C6" w:rsidP="00A67858">
            <w:pPr>
              <w:pStyle w:val="NormalWeb"/>
              <w:spacing w:before="0" w:beforeAutospacing="0" w:after="0" w:afterAutospacing="0" w:line="276" w:lineRule="auto"/>
              <w:ind w:firstLine="567"/>
              <w:jc w:val="both"/>
              <w:rPr>
                <w:rFonts w:ascii="GHEA Grapalat" w:hAnsi="GHEA Grapalat"/>
                <w:sz w:val="20"/>
                <w:szCs w:val="20"/>
                <w:lang w:val="ro-RO"/>
              </w:rPr>
            </w:pPr>
            <w:r w:rsidRPr="0053423A">
              <w:rPr>
                <w:rFonts w:ascii="GHEA Grapalat" w:hAnsi="GHEA Grapalat"/>
                <w:sz w:val="20"/>
                <w:szCs w:val="20"/>
                <w:lang w:val="ro-RO"/>
              </w:rPr>
              <w:t xml:space="preserve">Ոստիկանության գործունեության ոլորտը ընդգրկում է հասարակական անվտանգության առանցքային մասը, որի արդյունավետությունը պայմանավորված է նաև ոստիկանության կառավարման լիազորությունների ապակենտրոնացման, ոստիկանությանն ոչ բնորոշ լիազորությունների օտարման, արդյունավետ կառուցվածքի, օպտիմալ թվակազմի, բավարար լիազորությունների, հաշվետվողականության, թափանցիկության և վերահսկողության հիմնահարցերի լուծման հետ:    </w:t>
            </w:r>
          </w:p>
          <w:p w:rsidR="007B71C6" w:rsidRPr="0053423A" w:rsidRDefault="007B71C6" w:rsidP="00A67858">
            <w:pPr>
              <w:pStyle w:val="NormalWeb"/>
              <w:spacing w:before="0" w:beforeAutospacing="0" w:after="0" w:afterAutospacing="0" w:line="276" w:lineRule="auto"/>
              <w:ind w:right="84" w:firstLine="540"/>
              <w:jc w:val="both"/>
              <w:rPr>
                <w:rFonts w:ascii="GHEA Grapalat" w:hAnsi="GHEA Grapalat" w:cs="Arial"/>
                <w:b/>
                <w:sz w:val="20"/>
                <w:szCs w:val="20"/>
                <w:lang w:val="ro-RO"/>
              </w:rPr>
            </w:pPr>
            <w:r w:rsidRPr="0053423A">
              <w:rPr>
                <w:rFonts w:ascii="GHEA Grapalat" w:hAnsi="GHEA Grapalat" w:cs="Sylfaen"/>
                <w:b/>
                <w:color w:val="000000"/>
                <w:sz w:val="20"/>
                <w:szCs w:val="20"/>
                <w:shd w:val="clear" w:color="auto" w:fill="FFFFFF"/>
                <w:lang w:val="ro-RO"/>
              </w:rPr>
              <w:t xml:space="preserve">1.1. Կարգավորման հարաբերությունների ներկա վիճակը և առկա խնդիրը </w:t>
            </w:r>
          </w:p>
          <w:p w:rsidR="007B71C6" w:rsidRPr="0053423A" w:rsidRDefault="007B71C6" w:rsidP="00A67858">
            <w:pPr>
              <w:spacing w:line="276" w:lineRule="auto"/>
              <w:ind w:firstLine="567"/>
              <w:rPr>
                <w:rFonts w:cs="Sylfaen"/>
                <w:color w:val="000000"/>
                <w:shd w:val="clear" w:color="auto" w:fill="FFFFFF"/>
                <w:lang w:val="ro-RO"/>
              </w:rPr>
            </w:pPr>
            <w:r w:rsidRPr="0053423A">
              <w:rPr>
                <w:rFonts w:cs="Sylfaen"/>
                <w:color w:val="000000"/>
                <w:shd w:val="clear" w:color="auto" w:fill="FFFFFF"/>
                <w:lang w:val="ro-RO"/>
              </w:rPr>
              <w:t xml:space="preserve">Ոստիկանությունում բարեփոխումների անհրաժեշտության մասին հայտարարվել է բազմիցս և տարբեր ժամանակներում: Բարեփոխումները պետք է ունենան սկիզբ և ավարտ, իսկ կայուն և մշտական բնույթ պետք է կրի ոստիկանության գերատեսչական զարգացման իրավական քաղաքականությունը: Ընդ որում, քաղաքականությունը և դրանից բխող բարեփոխումները պետք է հստակ սահմանազատվեն միմյանցից, բայց նաև փոխկապակցված լինեն: </w:t>
            </w:r>
          </w:p>
          <w:p w:rsidR="007B71C6" w:rsidRPr="0053423A" w:rsidRDefault="007B71C6" w:rsidP="00A67858">
            <w:pPr>
              <w:pStyle w:val="NormalWeb"/>
              <w:spacing w:before="0" w:beforeAutospacing="0" w:after="0" w:afterAutospacing="0" w:line="276" w:lineRule="auto"/>
              <w:ind w:right="84" w:firstLine="540"/>
              <w:jc w:val="both"/>
              <w:rPr>
                <w:rFonts w:ascii="GHEA Grapalat" w:hAnsi="GHEA Grapalat" w:cs="Arial"/>
                <w:b/>
                <w:sz w:val="20"/>
                <w:szCs w:val="20"/>
                <w:lang w:val="ro-RO"/>
              </w:rPr>
            </w:pPr>
            <w:r w:rsidRPr="0053423A">
              <w:rPr>
                <w:rFonts w:ascii="GHEA Grapalat" w:hAnsi="GHEA Grapalat" w:cs="Sylfaen"/>
                <w:b/>
                <w:color w:val="000000"/>
                <w:sz w:val="20"/>
                <w:szCs w:val="20"/>
                <w:shd w:val="clear" w:color="auto" w:fill="FFFFFF"/>
                <w:lang w:val="ro-RO"/>
              </w:rPr>
              <w:t xml:space="preserve">1.2. Առկա խնդիրների առաջարկվող լուծումները  </w:t>
            </w:r>
          </w:p>
          <w:p w:rsidR="007B71C6" w:rsidRPr="0053423A" w:rsidRDefault="007B71C6" w:rsidP="00A67858">
            <w:pPr>
              <w:spacing w:line="276" w:lineRule="auto"/>
              <w:ind w:firstLine="567"/>
              <w:rPr>
                <w:rFonts w:cs="Sylfaen"/>
                <w:color w:val="000000"/>
                <w:shd w:val="clear" w:color="auto" w:fill="FFFFFF"/>
                <w:lang w:val="ro-RO"/>
              </w:rPr>
            </w:pPr>
            <w:r w:rsidRPr="0053423A">
              <w:rPr>
                <w:rFonts w:cs="Sylfaen"/>
                <w:color w:val="000000"/>
                <w:shd w:val="clear" w:color="auto" w:fill="FFFFFF"/>
                <w:lang w:val="ro-RO"/>
              </w:rPr>
              <w:t xml:space="preserve">Առաջարկվում է մշակել ոստիկանության զարգացման գերատեսչական ռազմավարություն, որի դրույթները հավանության արժանանալու դեպքում կամրագրվեն կառավարության քաղաքականության մեջ: </w:t>
            </w:r>
          </w:p>
          <w:p w:rsidR="007B71C6" w:rsidRPr="0053423A" w:rsidRDefault="007B71C6" w:rsidP="00A67858">
            <w:pPr>
              <w:pStyle w:val="NormalWeb"/>
              <w:tabs>
                <w:tab w:val="left" w:pos="462"/>
              </w:tabs>
              <w:spacing w:before="0" w:beforeAutospacing="0" w:after="0" w:afterAutospacing="0" w:line="276" w:lineRule="auto"/>
              <w:ind w:right="106" w:firstLine="540"/>
              <w:rPr>
                <w:rFonts w:ascii="GHEA Grapalat" w:hAnsi="GHEA Grapalat"/>
                <w:b/>
                <w:sz w:val="20"/>
                <w:szCs w:val="20"/>
                <w:lang w:val="ro-RO"/>
              </w:rPr>
            </w:pPr>
            <w:r w:rsidRPr="0053423A">
              <w:rPr>
                <w:rFonts w:ascii="GHEA Grapalat" w:hAnsi="GHEA Grapalat"/>
                <w:b/>
                <w:sz w:val="20"/>
                <w:szCs w:val="20"/>
                <w:lang w:val="ro-RO"/>
              </w:rPr>
              <w:t>2. Միջոցառման իրականացումից ակնկալվող արդյունքը</w:t>
            </w:r>
          </w:p>
          <w:p w:rsidR="007B71C6" w:rsidRPr="0053423A" w:rsidRDefault="007B71C6" w:rsidP="00A67858">
            <w:pPr>
              <w:spacing w:line="276" w:lineRule="auto"/>
              <w:jc w:val="center"/>
              <w:rPr>
                <w:b/>
                <w:lang w:val="hy-AM"/>
              </w:rPr>
            </w:pPr>
            <w:r w:rsidRPr="0053423A">
              <w:rPr>
                <w:lang w:val="ro-RO"/>
              </w:rPr>
              <w:t>Ոստիկանության զարգացման ռազմավարության մշակումը հնարավորություն է տալու բացառել հակասությունները և անհամապատասխանությունները տարբեր, սակայն ոստիկանության բնագավառի հետ հատվող ոլորտների հիմնադրույթների հետ, ինչպես նաև սկզբունքների և հիմնական ուղղությունների մակարդակով ամրագրել բարեփոխումների հիմնական ուղղվածությունն ու ակնկալվող արդյունքները, իրականացվելիք իրավաստեղծ և կազմակերպական միջոցառումների ընթացքը, ապահովել դրանց համակարգվածությունը, փուլայնությունը և վերահսկելիությունը:</w:t>
            </w:r>
          </w:p>
        </w:tc>
      </w:tr>
    </w:tbl>
    <w:p w:rsidR="007B71C6" w:rsidRPr="0053423A" w:rsidRDefault="007B71C6" w:rsidP="00A67858">
      <w:pPr>
        <w:spacing w:after="0" w:line="276" w:lineRule="auto"/>
        <w:rPr>
          <w:sz w:val="20"/>
          <w:szCs w:val="20"/>
          <w:lang w:val="ro-RO"/>
        </w:rPr>
      </w:pPr>
    </w:p>
    <w:p w:rsidR="007B71C6" w:rsidRPr="0053423A" w:rsidRDefault="007B71C6" w:rsidP="00A67858">
      <w:pPr>
        <w:spacing w:after="0" w:line="276" w:lineRule="auto"/>
        <w:rPr>
          <w:sz w:val="20"/>
          <w:szCs w:val="20"/>
          <w:lang w:val="ro-RO"/>
        </w:rPr>
      </w:pPr>
    </w:p>
    <w:sectPr w:rsidR="007B71C6" w:rsidRPr="0053423A" w:rsidSect="00EF392F">
      <w:pgSz w:w="12240" w:h="15840"/>
      <w:pgMar w:top="284" w:right="284" w:bottom="284" w:left="28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23A" w:rsidRDefault="0053423A" w:rsidP="00764E6F">
      <w:pPr>
        <w:spacing w:after="0" w:line="240" w:lineRule="auto"/>
      </w:pPr>
      <w:r>
        <w:separator/>
      </w:r>
    </w:p>
  </w:endnote>
  <w:endnote w:type="continuationSeparator" w:id="0">
    <w:p w:rsidR="0053423A" w:rsidRDefault="0053423A" w:rsidP="00764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GHEAMariam-Bold">
    <w:altName w:val="Arial Unicode MS"/>
    <w:charset w:val="80"/>
    <w:family w:val="auto"/>
    <w:pitch w:val="variable"/>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n AMU">
    <w:charset w:val="00"/>
    <w:family w:val="auto"/>
    <w:pitch w:val="variable"/>
    <w:sig w:usb0="A1002EA7" w:usb1="50000008" w:usb2="00000000" w:usb3="00000000" w:csb0="000101FF" w:csb1="00000000"/>
  </w:font>
  <w:font w:name="GHEAMariam">
    <w:altName w:val="Arial Unicode MS"/>
    <w:panose1 w:val="00000000000000000000"/>
    <w:charset w:val="88"/>
    <w:family w:val="auto"/>
    <w:notTrueType/>
    <w:pitch w:val="default"/>
    <w:sig w:usb0="00000001" w:usb1="08080000" w:usb2="00000010" w:usb3="00000000" w:csb0="00100000" w:csb1="00000000"/>
  </w:font>
  <w:font w:name="Times Armenian">
    <w:panose1 w:val="02020603050405020304"/>
    <w:charset w:val="00"/>
    <w:family w:val="roman"/>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 w:name="ArTarumianBakhum">
    <w:panose1 w:val="02020603050405020304"/>
    <w:charset w:val="00"/>
    <w:family w:val="roman"/>
    <w:pitch w:val="variable"/>
    <w:sig w:usb0="00000003" w:usb1="00000000" w:usb2="00000000" w:usb3="00000000" w:csb0="00000001" w:csb1="00000000"/>
  </w:font>
  <w:font w:name="TimesNewRoman">
    <w:altName w:val="Times New Roman"/>
    <w:panose1 w:val="00000000000000000000"/>
    <w:charset w:val="CC"/>
    <w:family w:val="auto"/>
    <w:notTrueType/>
    <w:pitch w:val="default"/>
    <w:sig w:usb0="00000001" w:usb1="00000000" w:usb2="00000000" w:usb3="00000000" w:csb0="00000005"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iriam">
    <w:charset w:val="B1"/>
    <w:family w:val="swiss"/>
    <w:pitch w:val="variable"/>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AK Courier">
    <w:charset w:val="00"/>
    <w:family w:val="modern"/>
    <w:pitch w:val="fixed"/>
    <w:sig w:usb0="E0002EFF" w:usb1="C0007843" w:usb2="00000009" w:usb3="00000000" w:csb0="000001FF" w:csb1="00000000"/>
  </w:font>
  <w:font w:name="Merriweather">
    <w:altName w:val="Times New Roman"/>
    <w:charset w:val="00"/>
    <w:family w:val="auto"/>
    <w:pitch w:val="default"/>
  </w:font>
  <w:font w:name="Arial AMU">
    <w:panose1 w:val="020B0604020202020204"/>
    <w:charset w:val="00"/>
    <w:family w:val="swiss"/>
    <w:pitch w:val="variable"/>
    <w:sig w:usb0="80000603" w:usb1="00000000" w:usb2="00000000" w:usb3="00000000" w:csb0="00000001" w:csb1="00000000"/>
  </w:font>
  <w:font w:name="GHEAGrapalat">
    <w:panose1 w:val="00000000000000000000"/>
    <w:charset w:val="00"/>
    <w:family w:val="auto"/>
    <w:notTrueType/>
    <w:pitch w:val="default"/>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 w:name="SylfaenRegular">
    <w:panose1 w:val="00000000000000000000"/>
    <w:charset w:val="00"/>
    <w:family w:val="auto"/>
    <w:notTrueType/>
    <w:pitch w:val="default"/>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ArianAMU">
    <w:altName w:val="Times New Roman"/>
    <w:panose1 w:val="00000000000000000000"/>
    <w:charset w:val="00"/>
    <w:family w:val="auto"/>
    <w:notTrueType/>
    <w:pitch w:val="default"/>
    <w:sig w:usb0="00000003" w:usb1="00000000" w:usb2="00000000" w:usb3="00000000" w:csb0="00000001" w:csb1="00000000"/>
  </w:font>
  <w:font w:name="Lucida Grande">
    <w:altName w:val="Arial"/>
    <w:panose1 w:val="00000000000000000000"/>
    <w:charset w:val="00"/>
    <w:family w:val="auto"/>
    <w:notTrueType/>
    <w:pitch w:val="variable"/>
    <w:sig w:usb0="00000003" w:usb1="00000000" w:usb2="00000000" w:usb3="00000000" w:csb0="00000001" w:csb1="00000000"/>
  </w:font>
  <w:font w:name="ArialArmenianMT">
    <w:altName w:val="Arial"/>
    <w:panose1 w:val="00000000000000000000"/>
    <w:charset w:val="00"/>
    <w:family w:val="swiss"/>
    <w:notTrueType/>
    <w:pitch w:val="default"/>
    <w:sig w:usb0="00000003" w:usb1="00000000" w:usb2="00000000" w:usb3="00000000" w:csb0="00000001" w:csb1="00000000"/>
  </w:font>
  <w:font w:name="ArialUnicode">
    <w:panose1 w:val="00000000000000000000"/>
    <w:charset w:val="00"/>
    <w:family w:val="auto"/>
    <w:notTrueType/>
    <w:pitch w:val="default"/>
    <w:sig w:usb0="00000003" w:usb1="00000000" w:usb2="00000000" w:usb3="00000000" w:csb0="00000001" w:csb1="00000000"/>
  </w:font>
  <w:font w:name="Arial CIT">
    <w:altName w:val="Arial"/>
    <w:charset w:val="00"/>
    <w:family w:val="swiss"/>
    <w:pitch w:val="variable"/>
    <w:sig w:usb0="00000000" w:usb1="00000000" w:usb2="00000000" w:usb3="00000000" w:csb0="000001FF" w:csb1="00000000"/>
  </w:font>
  <w:font w:name="DejaVu Sans">
    <w:altName w:val="Times New Roman"/>
    <w:charset w:val="00"/>
    <w:family w:val="auto"/>
    <w:pitch w:val="variable"/>
  </w:font>
  <w:font w:name="00GHEAGrapalat">
    <w:altName w:val="Times New Roman"/>
    <w:panose1 w:val="00000000000000000000"/>
    <w:charset w:val="00"/>
    <w:family w:val="auto"/>
    <w:notTrueType/>
    <w:pitch w:val="default"/>
    <w:sig w:usb0="00000003" w:usb1="00000000" w:usb2="00000000" w:usb3="00000000" w:csb0="00000001" w:csb1="00000000"/>
  </w:font>
  <w:font w:name="MingLiU_HKSCS">
    <w:charset w:val="88"/>
    <w:family w:val="roman"/>
    <w:pitch w:val="variable"/>
    <w:sig w:usb0="A00002FF" w:usb1="3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23A" w:rsidRDefault="0053423A" w:rsidP="00764E6F">
      <w:pPr>
        <w:spacing w:after="0" w:line="240" w:lineRule="auto"/>
      </w:pPr>
      <w:r>
        <w:separator/>
      </w:r>
    </w:p>
  </w:footnote>
  <w:footnote w:type="continuationSeparator" w:id="0">
    <w:p w:rsidR="0053423A" w:rsidRDefault="0053423A" w:rsidP="00764E6F">
      <w:pPr>
        <w:spacing w:after="0" w:line="240" w:lineRule="auto"/>
      </w:pPr>
      <w:r>
        <w:continuationSeparator/>
      </w:r>
    </w:p>
  </w:footnote>
  <w:footnote w:id="1">
    <w:p w:rsidR="0053423A" w:rsidRPr="00C3523F" w:rsidRDefault="0053423A" w:rsidP="00764E6F">
      <w:pPr>
        <w:pStyle w:val="FootnoteText"/>
        <w:rPr>
          <w:rFonts w:ascii="GHEA Grapalat" w:hAnsi="GHEA Grapalat"/>
          <w:sz w:val="16"/>
          <w:szCs w:val="16"/>
          <w:lang w:val="hy-AM"/>
        </w:rPr>
      </w:pPr>
      <w:r w:rsidRPr="00C3523F">
        <w:rPr>
          <w:rStyle w:val="FootnoteReference"/>
          <w:rFonts w:ascii="GHEA Grapalat" w:hAnsi="GHEA Grapalat"/>
        </w:rPr>
        <w:footnoteRef/>
      </w:r>
      <w:r w:rsidRPr="00C3523F">
        <w:rPr>
          <w:rFonts w:ascii="GHEA Grapalat" w:hAnsi="GHEA Grapalat"/>
          <w:sz w:val="16"/>
          <w:szCs w:val="16"/>
        </w:rPr>
        <w:t xml:space="preserve"> </w:t>
      </w:r>
      <w:r w:rsidRPr="00C3523F">
        <w:rPr>
          <w:rFonts w:ascii="GHEA Grapalat" w:eastAsia="Times New Roman" w:hAnsi="GHEA Grapalat" w:cs="Sylfaen"/>
          <w:i/>
          <w:sz w:val="16"/>
          <w:szCs w:val="16"/>
          <w:lang w:val="af-ZA" w:eastAsia="ru-RU"/>
        </w:rPr>
        <w:t xml:space="preserve">ՀՀ Կառավարության թիվ </w:t>
      </w:r>
      <w:r w:rsidRPr="00C3523F">
        <w:rPr>
          <w:rFonts w:ascii="GHEA Grapalat" w:eastAsia="Times New Roman" w:hAnsi="GHEA Grapalat"/>
          <w:i/>
          <w:sz w:val="16"/>
          <w:szCs w:val="16"/>
          <w:lang w:val="af-ZA" w:eastAsia="ru-RU"/>
        </w:rPr>
        <w:t>2006</w:t>
      </w:r>
      <w:r w:rsidRPr="00C3523F">
        <w:rPr>
          <w:rFonts w:ascii="GHEA Grapalat" w:eastAsia="Times New Roman" w:hAnsi="GHEA Grapalat"/>
          <w:i/>
          <w:sz w:val="16"/>
          <w:szCs w:val="16"/>
          <w:lang w:val="hy-AM" w:eastAsia="ru-RU"/>
        </w:rPr>
        <w:t>թ</w:t>
      </w:r>
      <w:r w:rsidRPr="00C3523F">
        <w:rPr>
          <w:rFonts w:ascii="GHEA Grapalat" w:eastAsia="Times New Roman" w:hAnsi="GHEA Grapalat"/>
          <w:i/>
          <w:sz w:val="16"/>
          <w:szCs w:val="16"/>
          <w:lang w:eastAsia="ru-RU"/>
        </w:rPr>
        <w:t xml:space="preserve">. </w:t>
      </w:r>
      <w:r w:rsidRPr="00C3523F">
        <w:rPr>
          <w:rFonts w:ascii="GHEA Grapalat" w:eastAsia="Times New Roman" w:hAnsi="GHEA Grapalat"/>
          <w:i/>
          <w:sz w:val="16"/>
          <w:szCs w:val="16"/>
          <w:lang w:val="hy-AM" w:eastAsia="ru-RU"/>
        </w:rPr>
        <w:t>նոյեմբերի</w:t>
      </w:r>
      <w:r w:rsidRPr="00C3523F">
        <w:rPr>
          <w:rFonts w:ascii="GHEA Grapalat" w:eastAsia="Times New Roman" w:hAnsi="GHEA Grapalat"/>
          <w:i/>
          <w:sz w:val="16"/>
          <w:szCs w:val="16"/>
          <w:lang w:val="af-ZA" w:eastAsia="ru-RU"/>
        </w:rPr>
        <w:t xml:space="preserve"> 2-</w:t>
      </w:r>
      <w:r w:rsidRPr="00C3523F">
        <w:rPr>
          <w:rFonts w:ascii="GHEA Grapalat" w:eastAsia="Times New Roman" w:hAnsi="GHEA Grapalat"/>
          <w:i/>
          <w:sz w:val="16"/>
          <w:szCs w:val="16"/>
          <w:lang w:val="hy-AM" w:eastAsia="ru-RU"/>
        </w:rPr>
        <w:t>ի</w:t>
      </w:r>
      <w:r w:rsidRPr="00C3523F">
        <w:rPr>
          <w:rFonts w:ascii="GHEA Grapalat" w:eastAsia="Times New Roman" w:hAnsi="GHEA Grapalat"/>
          <w:i/>
          <w:sz w:val="16"/>
          <w:szCs w:val="16"/>
          <w:lang w:val="af-ZA" w:eastAsia="ru-RU"/>
        </w:rPr>
        <w:t xml:space="preserve"> </w:t>
      </w:r>
      <w:r w:rsidRPr="00C3523F">
        <w:rPr>
          <w:rFonts w:ascii="GHEA Grapalat" w:eastAsia="Times New Roman" w:hAnsi="GHEA Grapalat"/>
          <w:i/>
          <w:sz w:val="16"/>
          <w:szCs w:val="16"/>
          <w:lang w:val="hy-AM" w:eastAsia="ru-RU"/>
        </w:rPr>
        <w:t xml:space="preserve">թիվ </w:t>
      </w:r>
      <w:r w:rsidRPr="00C3523F">
        <w:rPr>
          <w:rFonts w:ascii="GHEA Grapalat" w:eastAsia="Times New Roman" w:hAnsi="GHEA Grapalat" w:cs="Sylfaen"/>
          <w:i/>
          <w:sz w:val="16"/>
          <w:szCs w:val="16"/>
          <w:lang w:val="af-ZA" w:eastAsia="ru-RU"/>
        </w:rPr>
        <w:t>1911-Ն որոշմա</w:t>
      </w:r>
      <w:r w:rsidRPr="00C3523F">
        <w:rPr>
          <w:rFonts w:ascii="GHEA Grapalat" w:eastAsia="Times New Roman" w:hAnsi="GHEA Grapalat" w:cs="Sylfaen"/>
          <w:i/>
          <w:sz w:val="16"/>
          <w:szCs w:val="16"/>
          <w:lang w:val="hy-AM" w:eastAsia="ru-RU"/>
        </w:rPr>
        <w:t>մբ</w:t>
      </w:r>
      <w:r w:rsidRPr="00C3523F">
        <w:rPr>
          <w:rFonts w:ascii="GHEA Grapalat" w:eastAsia="Times New Roman" w:hAnsi="GHEA Grapalat" w:cs="Sylfaen"/>
          <w:i/>
          <w:sz w:val="16"/>
          <w:szCs w:val="16"/>
          <w:lang w:eastAsia="ru-RU"/>
        </w:rPr>
        <w:t xml:space="preserve"> և 2017թ. </w:t>
      </w:r>
      <w:r w:rsidRPr="00C3523F">
        <w:rPr>
          <w:rFonts w:ascii="GHEA Grapalat" w:hAnsi="GHEA Grapalat" w:cs="Sylfaen"/>
          <w:i/>
          <w:sz w:val="16"/>
          <w:szCs w:val="16"/>
          <w:lang w:val="af-ZA"/>
        </w:rPr>
        <w:t xml:space="preserve">կատարված փոփոխության համաձայն </w:t>
      </w:r>
      <w:r w:rsidRPr="00C3523F">
        <w:rPr>
          <w:rFonts w:ascii="GHEA Grapalat" w:eastAsia="Times New Roman" w:hAnsi="GHEA Grapalat" w:cs="Sylfaen"/>
          <w:i/>
          <w:sz w:val="16"/>
          <w:szCs w:val="16"/>
          <w:lang w:eastAsia="ru-RU"/>
        </w:rPr>
        <w:t>Աշտարակի</w:t>
      </w:r>
      <w:r w:rsidRPr="00C3523F">
        <w:rPr>
          <w:rFonts w:ascii="GHEA Grapalat" w:eastAsia="Times New Roman" w:hAnsi="GHEA Grapalat" w:cs="Times Armenian"/>
          <w:i/>
          <w:sz w:val="16"/>
          <w:szCs w:val="16"/>
          <w:lang w:val="af-ZA" w:eastAsia="ru-RU"/>
        </w:rPr>
        <w:t xml:space="preserve"> </w:t>
      </w:r>
      <w:r w:rsidRPr="00C3523F">
        <w:rPr>
          <w:rFonts w:ascii="GHEA Grapalat" w:eastAsia="Times New Roman" w:hAnsi="GHEA Grapalat" w:cs="Sylfaen"/>
          <w:i/>
          <w:sz w:val="16"/>
          <w:szCs w:val="16"/>
          <w:lang w:val="hy-AM" w:eastAsia="ru-RU"/>
        </w:rPr>
        <w:t>հիվանդանոցի</w:t>
      </w:r>
      <w:r w:rsidRPr="00C3523F">
        <w:rPr>
          <w:rFonts w:ascii="GHEA Grapalat" w:eastAsia="Times New Roman" w:hAnsi="GHEA Grapalat" w:cs="Times Armenian"/>
          <w:i/>
          <w:sz w:val="16"/>
          <w:szCs w:val="16"/>
          <w:lang w:val="af-ZA" w:eastAsia="ru-RU"/>
        </w:rPr>
        <w:t xml:space="preserve"> </w:t>
      </w:r>
      <w:r w:rsidRPr="00C3523F">
        <w:rPr>
          <w:rFonts w:ascii="GHEA Grapalat" w:eastAsia="Times New Roman" w:hAnsi="GHEA Grapalat" w:cs="Sylfaen"/>
          <w:i/>
          <w:sz w:val="16"/>
          <w:szCs w:val="16"/>
          <w:lang w:val="hy-AM" w:eastAsia="ru-RU"/>
        </w:rPr>
        <w:t>մահճակալների</w:t>
      </w:r>
      <w:r w:rsidRPr="00C3523F">
        <w:rPr>
          <w:rFonts w:ascii="GHEA Grapalat" w:eastAsia="Times New Roman" w:hAnsi="GHEA Grapalat" w:cs="Times Armenian"/>
          <w:i/>
          <w:sz w:val="16"/>
          <w:szCs w:val="16"/>
          <w:lang w:val="af-ZA" w:eastAsia="ru-RU"/>
        </w:rPr>
        <w:t xml:space="preserve"> </w:t>
      </w:r>
      <w:r w:rsidRPr="00C3523F">
        <w:rPr>
          <w:rFonts w:ascii="GHEA Grapalat" w:eastAsia="Times New Roman" w:hAnsi="GHEA Grapalat" w:cs="Sylfaen"/>
          <w:i/>
          <w:sz w:val="16"/>
          <w:szCs w:val="16"/>
          <w:lang w:val="hy-AM" w:eastAsia="ru-RU"/>
        </w:rPr>
        <w:t>թիվը</w:t>
      </w:r>
      <w:r w:rsidRPr="00C3523F">
        <w:rPr>
          <w:rFonts w:ascii="GHEA Grapalat" w:eastAsia="Times New Roman" w:hAnsi="GHEA Grapalat" w:cs="Times Armenian"/>
          <w:i/>
          <w:sz w:val="16"/>
          <w:szCs w:val="16"/>
          <w:lang w:val="af-ZA" w:eastAsia="ru-RU"/>
        </w:rPr>
        <w:t xml:space="preserve"> </w:t>
      </w:r>
      <w:r w:rsidRPr="00C3523F">
        <w:rPr>
          <w:rFonts w:ascii="GHEA Grapalat" w:eastAsia="Times New Roman" w:hAnsi="GHEA Grapalat" w:cs="Sylfaen"/>
          <w:i/>
          <w:sz w:val="16"/>
          <w:szCs w:val="16"/>
          <w:lang w:val="hy-AM" w:eastAsia="ru-RU"/>
        </w:rPr>
        <w:t>կրճատվել է</w:t>
      </w:r>
      <w:r w:rsidRPr="00C3523F">
        <w:rPr>
          <w:rFonts w:ascii="GHEA Grapalat" w:eastAsia="Times New Roman" w:hAnsi="GHEA Grapalat" w:cs="Times Armenian"/>
          <w:i/>
          <w:sz w:val="16"/>
          <w:szCs w:val="16"/>
          <w:lang w:val="af-ZA" w:eastAsia="ru-RU"/>
        </w:rPr>
        <w:t xml:space="preserve"> </w:t>
      </w:r>
      <w:r w:rsidRPr="00C3523F">
        <w:rPr>
          <w:rFonts w:ascii="GHEA Grapalat" w:eastAsia="Times New Roman" w:hAnsi="GHEA Grapalat" w:cs="Times Armenian"/>
          <w:b/>
          <w:i/>
          <w:sz w:val="16"/>
          <w:szCs w:val="16"/>
          <w:lang w:val="af-ZA" w:eastAsia="ru-RU"/>
        </w:rPr>
        <w:t>140-ից-70-ի-</w:t>
      </w:r>
      <w:r w:rsidRPr="00C3523F">
        <w:rPr>
          <w:rFonts w:ascii="GHEA Grapalat" w:eastAsia="Times New Roman" w:hAnsi="GHEA Grapalat" w:cs="Sylfaen"/>
          <w:b/>
          <w:i/>
          <w:sz w:val="16"/>
          <w:szCs w:val="16"/>
          <w:lang w:eastAsia="ru-RU"/>
        </w:rPr>
        <w:t>45-ի:</w:t>
      </w:r>
    </w:p>
  </w:footnote>
  <w:footnote w:id="2">
    <w:p w:rsidR="0053423A" w:rsidRPr="00C3523F" w:rsidRDefault="0053423A" w:rsidP="00764E6F">
      <w:pPr>
        <w:pStyle w:val="FootnoteText"/>
        <w:rPr>
          <w:sz w:val="16"/>
          <w:szCs w:val="16"/>
        </w:rPr>
      </w:pPr>
      <w:r w:rsidRPr="00C3523F">
        <w:rPr>
          <w:rStyle w:val="FootnoteReference"/>
        </w:rPr>
        <w:footnoteRef/>
      </w:r>
      <w:r w:rsidRPr="00C3523F">
        <w:rPr>
          <w:sz w:val="16"/>
          <w:szCs w:val="16"/>
        </w:rPr>
        <w:t xml:space="preserve"> </w:t>
      </w:r>
      <w:r w:rsidRPr="00C3523F">
        <w:rPr>
          <w:rFonts w:ascii="GHEA Grapalat" w:eastAsia="Times New Roman" w:hAnsi="GHEA Grapalat" w:cs="Sylfaen"/>
          <w:i/>
          <w:sz w:val="16"/>
          <w:szCs w:val="16"/>
          <w:lang w:val="af-ZA" w:eastAsia="ru-RU"/>
        </w:rPr>
        <w:t xml:space="preserve">ՀՀ Կառավարության թիվ </w:t>
      </w:r>
      <w:r w:rsidRPr="00C3523F">
        <w:rPr>
          <w:rFonts w:ascii="GHEA Grapalat" w:eastAsia="Times New Roman" w:hAnsi="GHEA Grapalat"/>
          <w:i/>
          <w:sz w:val="16"/>
          <w:szCs w:val="16"/>
          <w:lang w:val="af-ZA" w:eastAsia="ru-RU"/>
        </w:rPr>
        <w:t xml:space="preserve">2006 </w:t>
      </w:r>
      <w:r w:rsidRPr="00C3523F">
        <w:rPr>
          <w:rFonts w:ascii="GHEA Grapalat" w:eastAsia="Times New Roman" w:hAnsi="GHEA Grapalat"/>
          <w:i/>
          <w:sz w:val="16"/>
          <w:szCs w:val="16"/>
          <w:lang w:val="hy-AM" w:eastAsia="ru-RU"/>
        </w:rPr>
        <w:t>թվականի</w:t>
      </w:r>
      <w:r w:rsidRPr="00C3523F">
        <w:rPr>
          <w:rFonts w:ascii="GHEA Grapalat" w:eastAsia="Times New Roman" w:hAnsi="GHEA Grapalat"/>
          <w:i/>
          <w:sz w:val="16"/>
          <w:szCs w:val="16"/>
          <w:lang w:val="af-ZA" w:eastAsia="ru-RU"/>
        </w:rPr>
        <w:t xml:space="preserve"> </w:t>
      </w:r>
      <w:r w:rsidRPr="00C3523F">
        <w:rPr>
          <w:rFonts w:ascii="GHEA Grapalat" w:eastAsia="Times New Roman" w:hAnsi="GHEA Grapalat"/>
          <w:i/>
          <w:sz w:val="16"/>
          <w:szCs w:val="16"/>
          <w:lang w:val="hy-AM" w:eastAsia="ru-RU"/>
        </w:rPr>
        <w:t>նոյեմբերի</w:t>
      </w:r>
      <w:r w:rsidRPr="00C3523F">
        <w:rPr>
          <w:rFonts w:ascii="GHEA Grapalat" w:eastAsia="Times New Roman" w:hAnsi="GHEA Grapalat"/>
          <w:i/>
          <w:sz w:val="16"/>
          <w:szCs w:val="16"/>
          <w:lang w:val="af-ZA" w:eastAsia="ru-RU"/>
        </w:rPr>
        <w:t xml:space="preserve"> 2-</w:t>
      </w:r>
      <w:r w:rsidRPr="00C3523F">
        <w:rPr>
          <w:rFonts w:ascii="GHEA Grapalat" w:eastAsia="Times New Roman" w:hAnsi="GHEA Grapalat"/>
          <w:i/>
          <w:sz w:val="16"/>
          <w:szCs w:val="16"/>
          <w:lang w:val="hy-AM" w:eastAsia="ru-RU"/>
        </w:rPr>
        <w:t>ի</w:t>
      </w:r>
      <w:r w:rsidRPr="00C3523F">
        <w:rPr>
          <w:rFonts w:ascii="GHEA Grapalat" w:eastAsia="Times New Roman" w:hAnsi="GHEA Grapalat"/>
          <w:i/>
          <w:sz w:val="16"/>
          <w:szCs w:val="16"/>
          <w:lang w:val="af-ZA" w:eastAsia="ru-RU"/>
        </w:rPr>
        <w:t xml:space="preserve"> </w:t>
      </w:r>
      <w:r w:rsidRPr="00C3523F">
        <w:rPr>
          <w:rFonts w:ascii="GHEA Grapalat" w:eastAsia="Times New Roman" w:hAnsi="GHEA Grapalat"/>
          <w:i/>
          <w:sz w:val="16"/>
          <w:szCs w:val="16"/>
          <w:lang w:val="hy-AM" w:eastAsia="ru-RU"/>
        </w:rPr>
        <w:t xml:space="preserve">թիվ </w:t>
      </w:r>
      <w:r w:rsidRPr="00C3523F">
        <w:rPr>
          <w:rFonts w:ascii="GHEA Grapalat" w:eastAsia="Times New Roman" w:hAnsi="GHEA Grapalat" w:cs="Sylfaen"/>
          <w:i/>
          <w:sz w:val="16"/>
          <w:szCs w:val="16"/>
          <w:lang w:val="af-ZA" w:eastAsia="ru-RU"/>
        </w:rPr>
        <w:t>1911-Ն որոշմա</w:t>
      </w:r>
      <w:r w:rsidRPr="00C3523F">
        <w:rPr>
          <w:rFonts w:ascii="GHEA Grapalat" w:eastAsia="Times New Roman" w:hAnsi="GHEA Grapalat" w:cs="Sylfaen"/>
          <w:i/>
          <w:sz w:val="16"/>
          <w:szCs w:val="16"/>
          <w:lang w:val="hy-AM" w:eastAsia="ru-RU"/>
        </w:rPr>
        <w:t>մբ</w:t>
      </w:r>
      <w:r w:rsidRPr="00C3523F">
        <w:rPr>
          <w:rFonts w:ascii="GHEA Grapalat" w:eastAsia="Times New Roman" w:hAnsi="GHEA Grapalat" w:cs="Sylfaen"/>
          <w:i/>
          <w:sz w:val="16"/>
          <w:szCs w:val="16"/>
          <w:lang w:val="af-ZA" w:eastAsia="ru-RU"/>
        </w:rPr>
        <w:t xml:space="preserve"> </w:t>
      </w:r>
      <w:r w:rsidRPr="00C3523F">
        <w:rPr>
          <w:rFonts w:ascii="GHEA Grapalat" w:eastAsia="Times New Roman" w:hAnsi="GHEA Grapalat" w:cs="Sylfaen"/>
          <w:i/>
          <w:sz w:val="16"/>
          <w:szCs w:val="16"/>
          <w:lang w:val="hy-AM" w:eastAsia="ru-RU"/>
        </w:rPr>
        <w:t>Մասիսի</w:t>
      </w:r>
      <w:r w:rsidRPr="00C3523F">
        <w:rPr>
          <w:rFonts w:ascii="GHEA Grapalat" w:eastAsia="Times New Roman" w:hAnsi="GHEA Grapalat" w:cs="Times Armenian"/>
          <w:i/>
          <w:sz w:val="16"/>
          <w:szCs w:val="16"/>
          <w:lang w:val="af-ZA" w:eastAsia="ru-RU"/>
        </w:rPr>
        <w:t xml:space="preserve"> </w:t>
      </w:r>
      <w:r w:rsidRPr="00C3523F">
        <w:rPr>
          <w:rFonts w:ascii="GHEA Grapalat" w:eastAsia="Times New Roman" w:hAnsi="GHEA Grapalat" w:cs="Sylfaen"/>
          <w:i/>
          <w:sz w:val="16"/>
          <w:szCs w:val="16"/>
          <w:lang w:val="hy-AM" w:eastAsia="ru-RU"/>
        </w:rPr>
        <w:t>հիվանդանոցի</w:t>
      </w:r>
      <w:r w:rsidRPr="00C3523F">
        <w:rPr>
          <w:rFonts w:ascii="GHEA Grapalat" w:eastAsia="Times New Roman" w:hAnsi="GHEA Grapalat" w:cs="Times Armenian"/>
          <w:i/>
          <w:sz w:val="16"/>
          <w:szCs w:val="16"/>
          <w:lang w:val="af-ZA" w:eastAsia="ru-RU"/>
        </w:rPr>
        <w:t xml:space="preserve"> </w:t>
      </w:r>
      <w:r w:rsidRPr="00C3523F">
        <w:rPr>
          <w:rFonts w:ascii="GHEA Grapalat" w:eastAsia="Times New Roman" w:hAnsi="GHEA Grapalat" w:cs="Sylfaen"/>
          <w:i/>
          <w:sz w:val="16"/>
          <w:szCs w:val="16"/>
          <w:lang w:val="hy-AM" w:eastAsia="ru-RU"/>
        </w:rPr>
        <w:t>մահճակալների</w:t>
      </w:r>
      <w:r w:rsidRPr="00C3523F">
        <w:rPr>
          <w:rFonts w:ascii="GHEA Grapalat" w:eastAsia="Times New Roman" w:hAnsi="GHEA Grapalat" w:cs="Times Armenian"/>
          <w:i/>
          <w:sz w:val="16"/>
          <w:szCs w:val="16"/>
          <w:lang w:val="af-ZA" w:eastAsia="ru-RU"/>
        </w:rPr>
        <w:t xml:space="preserve"> </w:t>
      </w:r>
      <w:r w:rsidRPr="00C3523F">
        <w:rPr>
          <w:rFonts w:ascii="GHEA Grapalat" w:eastAsia="Times New Roman" w:hAnsi="GHEA Grapalat" w:cs="Sylfaen"/>
          <w:i/>
          <w:sz w:val="16"/>
          <w:szCs w:val="16"/>
          <w:lang w:val="hy-AM" w:eastAsia="ru-RU"/>
        </w:rPr>
        <w:t>թիվը</w:t>
      </w:r>
      <w:r w:rsidRPr="00C3523F">
        <w:rPr>
          <w:rFonts w:ascii="GHEA Grapalat" w:eastAsia="Times New Roman" w:hAnsi="GHEA Grapalat" w:cs="Times Armenian"/>
          <w:i/>
          <w:sz w:val="16"/>
          <w:szCs w:val="16"/>
          <w:lang w:val="af-ZA" w:eastAsia="ru-RU"/>
        </w:rPr>
        <w:t xml:space="preserve"> </w:t>
      </w:r>
      <w:r w:rsidRPr="00C3523F">
        <w:rPr>
          <w:rFonts w:ascii="GHEA Grapalat" w:eastAsia="Times New Roman" w:hAnsi="GHEA Grapalat" w:cs="Sylfaen"/>
          <w:i/>
          <w:sz w:val="16"/>
          <w:szCs w:val="16"/>
          <w:lang w:val="hy-AM" w:eastAsia="ru-RU"/>
        </w:rPr>
        <w:t>կրճատվել է</w:t>
      </w:r>
      <w:r w:rsidRPr="00C3523F">
        <w:rPr>
          <w:rFonts w:ascii="GHEA Grapalat" w:eastAsia="Times New Roman" w:hAnsi="GHEA Grapalat" w:cs="Times Armenian"/>
          <w:i/>
          <w:sz w:val="16"/>
          <w:szCs w:val="16"/>
          <w:lang w:val="af-ZA" w:eastAsia="ru-RU"/>
        </w:rPr>
        <w:t xml:space="preserve"> </w:t>
      </w:r>
      <w:r w:rsidRPr="00C3523F">
        <w:rPr>
          <w:rFonts w:ascii="GHEA Grapalat" w:eastAsia="Times New Roman" w:hAnsi="GHEA Grapalat" w:cs="Times Armenian"/>
          <w:b/>
          <w:i/>
          <w:sz w:val="16"/>
          <w:szCs w:val="16"/>
          <w:lang w:val="af-ZA" w:eastAsia="ru-RU"/>
        </w:rPr>
        <w:t>170-</w:t>
      </w:r>
      <w:r w:rsidRPr="00C3523F">
        <w:rPr>
          <w:rFonts w:ascii="GHEA Grapalat" w:eastAsia="Times New Roman" w:hAnsi="GHEA Grapalat" w:cs="Sylfaen"/>
          <w:b/>
          <w:i/>
          <w:sz w:val="16"/>
          <w:szCs w:val="16"/>
          <w:lang w:val="hy-AM" w:eastAsia="ru-RU"/>
        </w:rPr>
        <w:t>ից</w:t>
      </w:r>
      <w:r w:rsidRPr="00C3523F">
        <w:rPr>
          <w:rFonts w:ascii="GHEA Grapalat" w:eastAsia="Times New Roman" w:hAnsi="GHEA Grapalat" w:cs="Times Armenian"/>
          <w:b/>
          <w:i/>
          <w:sz w:val="16"/>
          <w:szCs w:val="16"/>
          <w:lang w:val="af-ZA" w:eastAsia="ru-RU"/>
        </w:rPr>
        <w:t xml:space="preserve"> 110-</w:t>
      </w:r>
      <w:r w:rsidRPr="00C3523F">
        <w:rPr>
          <w:rFonts w:ascii="GHEA Grapalat" w:eastAsia="Times New Roman" w:hAnsi="GHEA Grapalat" w:cs="Sylfaen"/>
          <w:b/>
          <w:i/>
          <w:sz w:val="16"/>
          <w:szCs w:val="16"/>
          <w:lang w:val="hy-AM" w:eastAsia="ru-RU"/>
        </w:rPr>
        <w:t>ի</w:t>
      </w:r>
      <w:r w:rsidRPr="00C3523F">
        <w:rPr>
          <w:rFonts w:ascii="GHEA Grapalat" w:eastAsia="Times New Roman" w:hAnsi="GHEA Grapalat" w:cs="Sylfaen"/>
          <w:b/>
          <w:i/>
          <w:sz w:val="16"/>
          <w:szCs w:val="16"/>
          <w:lang w:eastAsia="ru-RU"/>
        </w:rPr>
        <w:t>:</w:t>
      </w:r>
    </w:p>
  </w:footnote>
  <w:footnote w:id="3">
    <w:p w:rsidR="001F6D5D" w:rsidRPr="007D1DF3" w:rsidRDefault="001F6D5D" w:rsidP="001F6D5D">
      <w:pPr>
        <w:pStyle w:val="FootnoteText"/>
        <w:rPr>
          <w:rFonts w:ascii="Sylfaen" w:hAnsi="Sylfaen"/>
          <w:sz w:val="16"/>
          <w:szCs w:val="16"/>
        </w:rPr>
      </w:pPr>
      <w:r w:rsidRPr="007D1DF3">
        <w:rPr>
          <w:rStyle w:val="FootnoteReference"/>
          <w:sz w:val="16"/>
          <w:szCs w:val="16"/>
        </w:rPr>
        <w:footnoteRef/>
      </w:r>
      <w:r w:rsidRPr="007D1DF3">
        <w:rPr>
          <w:sz w:val="16"/>
          <w:szCs w:val="16"/>
        </w:rPr>
        <w:t xml:space="preserve"> </w:t>
      </w:r>
      <w:r w:rsidRPr="007D1DF3">
        <w:rPr>
          <w:rFonts w:ascii="GHEA Grapalat" w:eastAsia="Times New Roman" w:hAnsi="GHEA Grapalat"/>
          <w:sz w:val="16"/>
          <w:szCs w:val="16"/>
        </w:rPr>
        <w:t xml:space="preserve">Տես՝ օրինակ </w:t>
      </w:r>
      <w:r w:rsidRPr="007D1DF3">
        <w:rPr>
          <w:rFonts w:ascii="GHEA Grapalat" w:eastAsia="Times New Roman" w:hAnsi="GHEA Grapalat"/>
          <w:b/>
          <w:i/>
          <w:sz w:val="16"/>
          <w:szCs w:val="16"/>
        </w:rPr>
        <w:t xml:space="preserve">Ավաքեմյանն ընդդեմ Հայաստանի  </w:t>
      </w:r>
      <w:r w:rsidRPr="007D1DF3">
        <w:rPr>
          <w:rFonts w:ascii="GHEA Grapalat" w:eastAsia="Times New Roman" w:hAnsi="GHEA Grapalat"/>
          <w:sz w:val="16"/>
          <w:szCs w:val="16"/>
        </w:rPr>
        <w:t>(գանգատ թիվ 39563/09)</w:t>
      </w:r>
      <w:r w:rsidRPr="007D1DF3">
        <w:rPr>
          <w:rFonts w:ascii="GHEA Grapalat" w:eastAsia="Times New Roman" w:hAnsi="GHEA Grapalat"/>
          <w:b/>
          <w:i/>
          <w:sz w:val="16"/>
          <w:szCs w:val="16"/>
        </w:rPr>
        <w:t xml:space="preserve"> </w:t>
      </w:r>
      <w:r w:rsidRPr="007D1DF3">
        <w:rPr>
          <w:rFonts w:ascii="GHEA Grapalat" w:eastAsia="Times New Roman" w:hAnsi="GHEA Grapalat"/>
          <w:sz w:val="16"/>
          <w:szCs w:val="16"/>
        </w:rPr>
        <w:t xml:space="preserve">խումբ գործերը հետևալ հղումով </w:t>
      </w:r>
      <w:hyperlink r:id="rId1" w:history="1">
        <w:r w:rsidRPr="007D1DF3">
          <w:rPr>
            <w:rStyle w:val="Hyperlink"/>
            <w:rFonts w:ascii="GHEA Grapalat" w:hAnsi="GHEA Grapalat"/>
            <w:sz w:val="16"/>
            <w:szCs w:val="16"/>
          </w:rPr>
          <w:t>http://hudoc.exec.coe.int/eng?i=004-46455</w:t>
        </w:r>
      </w:hyperlink>
      <w:r w:rsidRPr="007D1DF3">
        <w:rPr>
          <w:rFonts w:ascii="GHEA Grapalat" w:eastAsia="Times New Roman" w:hAnsi="GHEA Grapalat"/>
          <w:sz w:val="16"/>
          <w:szCs w:val="16"/>
        </w:rPr>
        <w:t xml:space="preserve"> </w:t>
      </w:r>
    </w:p>
  </w:footnote>
  <w:footnote w:id="4">
    <w:p w:rsidR="001F6D5D" w:rsidRPr="00B266F7" w:rsidRDefault="001F6D5D" w:rsidP="001F6D5D">
      <w:pPr>
        <w:pStyle w:val="FootnoteText"/>
        <w:jc w:val="both"/>
        <w:rPr>
          <w:rFonts w:ascii="GHEA Grapalat" w:hAnsi="GHEA Grapalat"/>
          <w:sz w:val="16"/>
          <w:szCs w:val="16"/>
        </w:rPr>
      </w:pPr>
      <w:r w:rsidRPr="00B266F7">
        <w:rPr>
          <w:rStyle w:val="FootnoteReference"/>
          <w:rFonts w:ascii="GHEA Grapalat" w:hAnsi="GHEA Grapalat"/>
          <w:sz w:val="16"/>
          <w:szCs w:val="16"/>
        </w:rPr>
        <w:footnoteRef/>
      </w:r>
      <w:r w:rsidRPr="00B266F7">
        <w:rPr>
          <w:rFonts w:ascii="GHEA Grapalat" w:hAnsi="GHEA Grapalat"/>
          <w:sz w:val="16"/>
          <w:szCs w:val="16"/>
        </w:rPr>
        <w:t xml:space="preserve"> Օրինակ՝ Միավորված ազգերի կազմակերպության «Խոշտանգումների և այլ դաժան, անմարդկային կամ նվաստացնող վերաբերմունքի կամ պատժի դեմ» կոնվենցիա, «Քաղաքացիական և քաղաքական իրավունքների մասին» միջազգային դաշնագիր, Մարդու իրավունքների եվրոպական կոնվենցիա:</w:t>
      </w:r>
    </w:p>
  </w:footnote>
  <w:footnote w:id="5">
    <w:p w:rsidR="001F6D5D" w:rsidRPr="00B266F7" w:rsidRDefault="001F6D5D" w:rsidP="001F6D5D">
      <w:pPr>
        <w:pStyle w:val="FootnoteText"/>
        <w:jc w:val="both"/>
        <w:rPr>
          <w:rFonts w:ascii="GHEA Grapalat" w:hAnsi="GHEA Grapalat"/>
          <w:sz w:val="16"/>
          <w:szCs w:val="16"/>
        </w:rPr>
      </w:pPr>
      <w:r w:rsidRPr="00B266F7">
        <w:rPr>
          <w:rStyle w:val="FootnoteReference"/>
          <w:rFonts w:ascii="GHEA Grapalat" w:hAnsi="GHEA Grapalat"/>
          <w:sz w:val="16"/>
          <w:szCs w:val="16"/>
        </w:rPr>
        <w:footnoteRef/>
      </w:r>
      <w:r w:rsidRPr="00B266F7">
        <w:rPr>
          <w:rFonts w:ascii="GHEA Grapalat" w:hAnsi="GHEA Grapalat"/>
          <w:sz w:val="16"/>
          <w:szCs w:val="16"/>
        </w:rPr>
        <w:t xml:space="preserve"> </w:t>
      </w:r>
      <w:r w:rsidRPr="00B266F7">
        <w:rPr>
          <w:rFonts w:ascii="GHEA Grapalat" w:hAnsi="GHEA Grapalat" w:cs="Sylfaen"/>
          <w:sz w:val="16"/>
          <w:szCs w:val="16"/>
        </w:rPr>
        <w:t>Խոշտանգումների</w:t>
      </w:r>
      <w:r w:rsidRPr="00B266F7">
        <w:rPr>
          <w:rFonts w:ascii="GHEA Grapalat" w:hAnsi="GHEA Grapalat"/>
          <w:sz w:val="16"/>
          <w:szCs w:val="16"/>
        </w:rPr>
        <w:t xml:space="preserve"> </w:t>
      </w:r>
      <w:r w:rsidRPr="00B266F7">
        <w:rPr>
          <w:rFonts w:ascii="GHEA Grapalat" w:hAnsi="GHEA Grapalat" w:cs="Sylfaen"/>
          <w:sz w:val="16"/>
          <w:szCs w:val="16"/>
        </w:rPr>
        <w:t>դեմ</w:t>
      </w:r>
      <w:r w:rsidRPr="00B266F7">
        <w:rPr>
          <w:rFonts w:ascii="GHEA Grapalat" w:hAnsi="GHEA Grapalat"/>
          <w:sz w:val="16"/>
          <w:szCs w:val="16"/>
        </w:rPr>
        <w:t xml:space="preserve"> ՄԱԿ-ի </w:t>
      </w:r>
      <w:r w:rsidRPr="00B266F7">
        <w:rPr>
          <w:rFonts w:ascii="GHEA Grapalat" w:hAnsi="GHEA Grapalat" w:cs="Sylfaen"/>
          <w:sz w:val="16"/>
          <w:szCs w:val="16"/>
        </w:rPr>
        <w:t>կոնվենցիայով</w:t>
      </w:r>
      <w:r w:rsidRPr="00B266F7">
        <w:rPr>
          <w:rFonts w:ascii="GHEA Grapalat" w:hAnsi="GHEA Grapalat"/>
          <w:sz w:val="16"/>
          <w:szCs w:val="16"/>
        </w:rPr>
        <w:t xml:space="preserve"> </w:t>
      </w:r>
      <w:r w:rsidRPr="00B266F7">
        <w:rPr>
          <w:rFonts w:ascii="GHEA Grapalat" w:hAnsi="GHEA Grapalat" w:cs="Sylfaen"/>
          <w:sz w:val="16"/>
          <w:szCs w:val="16"/>
        </w:rPr>
        <w:t>նախատեսված</w:t>
      </w:r>
      <w:r w:rsidRPr="00B266F7">
        <w:rPr>
          <w:rFonts w:ascii="GHEA Grapalat" w:hAnsi="GHEA Grapalat"/>
          <w:sz w:val="16"/>
          <w:szCs w:val="16"/>
        </w:rPr>
        <w:t xml:space="preserve"> </w:t>
      </w:r>
      <w:r w:rsidRPr="00B266F7">
        <w:rPr>
          <w:rFonts w:ascii="GHEA Grapalat" w:hAnsi="GHEA Grapalat" w:cs="Sylfaen"/>
          <w:sz w:val="16"/>
          <w:szCs w:val="16"/>
        </w:rPr>
        <w:t>պարտավորությունների</w:t>
      </w:r>
      <w:r w:rsidRPr="00B266F7">
        <w:rPr>
          <w:rFonts w:ascii="GHEA Grapalat" w:hAnsi="GHEA Grapalat"/>
          <w:sz w:val="16"/>
          <w:szCs w:val="16"/>
        </w:rPr>
        <w:t xml:space="preserve"> </w:t>
      </w:r>
      <w:r w:rsidRPr="00B266F7">
        <w:rPr>
          <w:rFonts w:ascii="GHEA Grapalat" w:hAnsi="GHEA Grapalat" w:cs="Sylfaen"/>
          <w:sz w:val="16"/>
          <w:szCs w:val="16"/>
        </w:rPr>
        <w:t>կատարման</w:t>
      </w:r>
      <w:r w:rsidRPr="00B266F7">
        <w:rPr>
          <w:rFonts w:ascii="GHEA Grapalat" w:hAnsi="GHEA Grapalat"/>
          <w:sz w:val="16"/>
          <w:szCs w:val="16"/>
        </w:rPr>
        <w:t xml:space="preserve"> </w:t>
      </w:r>
      <w:r w:rsidRPr="00B266F7">
        <w:rPr>
          <w:rFonts w:ascii="GHEA Grapalat" w:hAnsi="GHEA Grapalat" w:cs="Sylfaen"/>
          <w:sz w:val="16"/>
          <w:szCs w:val="16"/>
        </w:rPr>
        <w:t>մասին</w:t>
      </w:r>
      <w:r w:rsidRPr="00B266F7">
        <w:rPr>
          <w:rFonts w:ascii="GHEA Grapalat" w:hAnsi="GHEA Grapalat"/>
          <w:sz w:val="16"/>
          <w:szCs w:val="16"/>
        </w:rPr>
        <w:t xml:space="preserve"> </w:t>
      </w:r>
      <w:r w:rsidRPr="00B266F7">
        <w:rPr>
          <w:rFonts w:ascii="GHEA Grapalat" w:hAnsi="GHEA Grapalat" w:cs="Sylfaen"/>
          <w:sz w:val="16"/>
          <w:szCs w:val="16"/>
        </w:rPr>
        <w:t>Հայաստանի</w:t>
      </w:r>
      <w:r w:rsidRPr="00B266F7">
        <w:rPr>
          <w:rFonts w:ascii="GHEA Grapalat" w:hAnsi="GHEA Grapalat"/>
          <w:sz w:val="16"/>
          <w:szCs w:val="16"/>
        </w:rPr>
        <w:t xml:space="preserve"> </w:t>
      </w:r>
      <w:r w:rsidRPr="00B266F7">
        <w:rPr>
          <w:rFonts w:ascii="GHEA Grapalat" w:hAnsi="GHEA Grapalat" w:cs="Sylfaen"/>
          <w:sz w:val="16"/>
          <w:szCs w:val="16"/>
        </w:rPr>
        <w:t>Հանրապետության</w:t>
      </w:r>
      <w:r w:rsidRPr="00B266F7">
        <w:rPr>
          <w:rFonts w:ascii="GHEA Grapalat" w:hAnsi="GHEA Grapalat"/>
          <w:sz w:val="16"/>
          <w:szCs w:val="16"/>
        </w:rPr>
        <w:t xml:space="preserve"> 4-</w:t>
      </w:r>
      <w:r w:rsidRPr="00B266F7">
        <w:rPr>
          <w:rFonts w:ascii="GHEA Grapalat" w:hAnsi="GHEA Grapalat" w:cs="Sylfaen"/>
          <w:sz w:val="16"/>
          <w:szCs w:val="16"/>
        </w:rPr>
        <w:t>րդ</w:t>
      </w:r>
      <w:r w:rsidRPr="00B266F7">
        <w:rPr>
          <w:rFonts w:ascii="GHEA Grapalat" w:hAnsi="GHEA Grapalat"/>
          <w:sz w:val="16"/>
          <w:szCs w:val="16"/>
        </w:rPr>
        <w:t xml:space="preserve"> </w:t>
      </w:r>
      <w:r w:rsidRPr="00B266F7">
        <w:rPr>
          <w:rFonts w:ascii="GHEA Grapalat" w:hAnsi="GHEA Grapalat" w:cs="Sylfaen"/>
          <w:sz w:val="16"/>
          <w:szCs w:val="16"/>
        </w:rPr>
        <w:t>պարբերական</w:t>
      </w:r>
      <w:r w:rsidRPr="00B266F7">
        <w:rPr>
          <w:rFonts w:ascii="GHEA Grapalat" w:hAnsi="GHEA Grapalat"/>
          <w:sz w:val="16"/>
          <w:szCs w:val="16"/>
        </w:rPr>
        <w:t xml:space="preserve"> </w:t>
      </w:r>
      <w:r w:rsidRPr="00B266F7">
        <w:rPr>
          <w:rFonts w:ascii="GHEA Grapalat" w:hAnsi="GHEA Grapalat" w:cs="Sylfaen"/>
          <w:sz w:val="16"/>
          <w:szCs w:val="16"/>
        </w:rPr>
        <w:t>զեկույցի</w:t>
      </w:r>
      <w:r w:rsidRPr="00B266F7">
        <w:rPr>
          <w:rFonts w:ascii="GHEA Grapalat" w:hAnsi="GHEA Grapalat"/>
          <w:sz w:val="16"/>
          <w:szCs w:val="16"/>
        </w:rPr>
        <w:t xml:space="preserve"> </w:t>
      </w:r>
      <w:r w:rsidRPr="00B266F7">
        <w:rPr>
          <w:rFonts w:ascii="GHEA Grapalat" w:hAnsi="GHEA Grapalat" w:cs="Sylfaen"/>
          <w:sz w:val="16"/>
          <w:szCs w:val="16"/>
        </w:rPr>
        <w:t>պաշտպանությունից</w:t>
      </w:r>
      <w:r w:rsidRPr="00B266F7">
        <w:rPr>
          <w:rFonts w:ascii="GHEA Grapalat" w:hAnsi="GHEA Grapalat"/>
          <w:sz w:val="16"/>
          <w:szCs w:val="16"/>
        </w:rPr>
        <w:t xml:space="preserve"> </w:t>
      </w:r>
      <w:r w:rsidRPr="00B266F7">
        <w:rPr>
          <w:rFonts w:ascii="GHEA Grapalat" w:hAnsi="GHEA Grapalat" w:cs="Sylfaen"/>
          <w:sz w:val="16"/>
          <w:szCs w:val="16"/>
        </w:rPr>
        <w:t>հետո</w:t>
      </w:r>
      <w:r w:rsidRPr="00B266F7">
        <w:rPr>
          <w:rFonts w:ascii="GHEA Grapalat" w:hAnsi="GHEA Grapalat"/>
          <w:sz w:val="16"/>
          <w:szCs w:val="16"/>
        </w:rPr>
        <w:t xml:space="preserve">, ՄԱԿ-ի Խոշտանգումների դեմ </w:t>
      </w:r>
      <w:r w:rsidRPr="00B266F7">
        <w:rPr>
          <w:rFonts w:ascii="GHEA Grapalat" w:hAnsi="GHEA Grapalat" w:cs="Sylfaen"/>
          <w:sz w:val="16"/>
          <w:szCs w:val="16"/>
        </w:rPr>
        <w:t>կոմիտեն</w:t>
      </w:r>
      <w:r w:rsidRPr="00B266F7">
        <w:rPr>
          <w:rFonts w:ascii="GHEA Grapalat" w:hAnsi="GHEA Grapalat"/>
          <w:sz w:val="16"/>
          <w:szCs w:val="16"/>
        </w:rPr>
        <w:t xml:space="preserve">, </w:t>
      </w:r>
      <w:r w:rsidRPr="00B266F7">
        <w:rPr>
          <w:rFonts w:ascii="GHEA Grapalat" w:hAnsi="GHEA Grapalat" w:cs="Sylfaen"/>
          <w:sz w:val="16"/>
          <w:szCs w:val="16"/>
        </w:rPr>
        <w:t>վերահաստատելով</w:t>
      </w:r>
      <w:r w:rsidRPr="00B266F7">
        <w:rPr>
          <w:rFonts w:ascii="GHEA Grapalat" w:hAnsi="GHEA Grapalat"/>
          <w:sz w:val="16"/>
          <w:szCs w:val="16"/>
        </w:rPr>
        <w:t xml:space="preserve"> </w:t>
      </w:r>
      <w:r w:rsidRPr="00B266F7">
        <w:rPr>
          <w:rFonts w:ascii="GHEA Grapalat" w:hAnsi="GHEA Grapalat" w:cs="Sylfaen"/>
          <w:sz w:val="16"/>
          <w:szCs w:val="16"/>
        </w:rPr>
        <w:t>իր</w:t>
      </w:r>
      <w:r w:rsidRPr="00B266F7">
        <w:rPr>
          <w:rFonts w:ascii="GHEA Grapalat" w:hAnsi="GHEA Grapalat"/>
          <w:sz w:val="16"/>
          <w:szCs w:val="16"/>
        </w:rPr>
        <w:t xml:space="preserve"> </w:t>
      </w:r>
      <w:r w:rsidRPr="00B266F7">
        <w:rPr>
          <w:rFonts w:ascii="GHEA Grapalat" w:hAnsi="GHEA Grapalat" w:cs="Sylfaen"/>
          <w:sz w:val="16"/>
          <w:szCs w:val="16"/>
        </w:rPr>
        <w:t>նախորդ</w:t>
      </w:r>
      <w:r w:rsidRPr="00B266F7">
        <w:rPr>
          <w:rFonts w:ascii="GHEA Grapalat" w:hAnsi="GHEA Grapalat"/>
          <w:sz w:val="16"/>
          <w:szCs w:val="16"/>
        </w:rPr>
        <w:t xml:space="preserve"> </w:t>
      </w:r>
      <w:r w:rsidRPr="00B266F7">
        <w:rPr>
          <w:rFonts w:ascii="GHEA Grapalat" w:hAnsi="GHEA Grapalat" w:cs="Sylfaen"/>
          <w:sz w:val="16"/>
          <w:szCs w:val="16"/>
        </w:rPr>
        <w:t>հանձնարարականները</w:t>
      </w:r>
      <w:r w:rsidRPr="00B266F7">
        <w:rPr>
          <w:rFonts w:ascii="GHEA Grapalat" w:hAnsi="GHEA Grapalat"/>
          <w:sz w:val="16"/>
          <w:szCs w:val="16"/>
        </w:rPr>
        <w:t>, ընդգծել է խոշտանգում կամ դրան հավասարեցված հանցանքներ կատարած անձանց քրեական պատասխանատվությունից կամ պատժից վաղեմության ժամկետներն անցնելու հիմքով ազատելու, նրանց նկատմամբ ներում, համաներում, ինչպես նաև այդ արարքների անպատժելիությանը հանգեցնող այլ համարժեք միջոցներ կիրառելու արգելք սահմանելու անհրաժեշտությունը</w:t>
      </w:r>
      <w:r w:rsidRPr="00B266F7">
        <w:rPr>
          <w:rFonts w:ascii="GHEA Grapalat" w:hAnsi="GHEA Grapalat" w:cs="Sylfaen"/>
          <w:sz w:val="16"/>
          <w:szCs w:val="16"/>
        </w:rPr>
        <w:t>(CAT/C/ARM/CO/4)</w:t>
      </w:r>
      <w:r w:rsidRPr="00B266F7">
        <w:rPr>
          <w:rFonts w:ascii="GHEA Grapalat" w:hAnsi="GHEA Grapalat"/>
          <w:sz w:val="16"/>
          <w:szCs w:val="16"/>
        </w:rPr>
        <w:t>:</w:t>
      </w:r>
    </w:p>
  </w:footnote>
  <w:footnote w:id="6">
    <w:p w:rsidR="001F6D5D" w:rsidRPr="00B266F7" w:rsidRDefault="001F6D5D" w:rsidP="001F6D5D">
      <w:pPr>
        <w:spacing w:after="0"/>
        <w:jc w:val="both"/>
        <w:rPr>
          <w:sz w:val="16"/>
          <w:szCs w:val="16"/>
        </w:rPr>
      </w:pPr>
      <w:r w:rsidRPr="00B266F7">
        <w:rPr>
          <w:rStyle w:val="FootnoteReference"/>
          <w:sz w:val="16"/>
          <w:szCs w:val="16"/>
        </w:rPr>
        <w:footnoteRef/>
      </w:r>
      <w:r w:rsidRPr="00B266F7">
        <w:rPr>
          <w:sz w:val="16"/>
          <w:szCs w:val="16"/>
        </w:rPr>
        <w:t xml:space="preserve"> </w:t>
      </w:r>
      <w:r w:rsidRPr="00B266F7">
        <w:rPr>
          <w:rFonts w:cs="Sylfaen"/>
          <w:sz w:val="16"/>
          <w:szCs w:val="16"/>
        </w:rPr>
        <w:t>Բարձր պայմանավորվող կողմերի կողմից Խոշտանգումների</w:t>
      </w:r>
      <w:r w:rsidRPr="00B266F7">
        <w:rPr>
          <w:sz w:val="16"/>
          <w:szCs w:val="16"/>
        </w:rPr>
        <w:t xml:space="preserve"> </w:t>
      </w:r>
      <w:r w:rsidRPr="00B266F7">
        <w:rPr>
          <w:rFonts w:cs="Sylfaen"/>
          <w:sz w:val="16"/>
          <w:szCs w:val="16"/>
        </w:rPr>
        <w:t>դեմ</w:t>
      </w:r>
      <w:r w:rsidRPr="00B266F7">
        <w:rPr>
          <w:sz w:val="16"/>
          <w:szCs w:val="16"/>
        </w:rPr>
        <w:t xml:space="preserve"> </w:t>
      </w:r>
      <w:r w:rsidRPr="00B266F7">
        <w:rPr>
          <w:rFonts w:cs="Sylfaen"/>
          <w:sz w:val="16"/>
          <w:szCs w:val="16"/>
        </w:rPr>
        <w:t>կոնվենցիայի</w:t>
      </w:r>
      <w:r w:rsidRPr="00B266F7">
        <w:rPr>
          <w:sz w:val="16"/>
          <w:szCs w:val="16"/>
        </w:rPr>
        <w:t xml:space="preserve"> 2-</w:t>
      </w:r>
      <w:r w:rsidRPr="00B266F7">
        <w:rPr>
          <w:rFonts w:cs="Sylfaen"/>
          <w:sz w:val="16"/>
          <w:szCs w:val="16"/>
        </w:rPr>
        <w:t>րդ</w:t>
      </w:r>
      <w:r w:rsidRPr="00B266F7">
        <w:rPr>
          <w:sz w:val="16"/>
          <w:szCs w:val="16"/>
        </w:rPr>
        <w:t xml:space="preserve"> </w:t>
      </w:r>
      <w:r w:rsidRPr="00B266F7">
        <w:rPr>
          <w:rFonts w:cs="Sylfaen"/>
          <w:sz w:val="16"/>
          <w:szCs w:val="16"/>
        </w:rPr>
        <w:t>հոդվածի</w:t>
      </w:r>
      <w:r w:rsidRPr="00B266F7">
        <w:rPr>
          <w:sz w:val="16"/>
          <w:szCs w:val="16"/>
        </w:rPr>
        <w:t xml:space="preserve"> </w:t>
      </w:r>
      <w:r w:rsidRPr="00B266F7">
        <w:rPr>
          <w:rFonts w:cs="Sylfaen"/>
          <w:sz w:val="16"/>
          <w:szCs w:val="16"/>
        </w:rPr>
        <w:t>կենսագործման</w:t>
      </w:r>
      <w:r w:rsidRPr="00B266F7">
        <w:rPr>
          <w:sz w:val="16"/>
          <w:szCs w:val="16"/>
        </w:rPr>
        <w:t xml:space="preserve"> </w:t>
      </w:r>
      <w:r w:rsidRPr="00B266F7">
        <w:rPr>
          <w:rFonts w:cs="Sylfaen"/>
          <w:sz w:val="16"/>
          <w:szCs w:val="16"/>
        </w:rPr>
        <w:t>վերաբերյալ</w:t>
      </w:r>
      <w:r w:rsidRPr="00B266F7">
        <w:rPr>
          <w:sz w:val="16"/>
          <w:szCs w:val="16"/>
        </w:rPr>
        <w:t xml:space="preserve"> </w:t>
      </w:r>
      <w:r w:rsidRPr="00B266F7">
        <w:rPr>
          <w:rFonts w:cs="Sylfaen"/>
          <w:sz w:val="16"/>
          <w:szCs w:val="16"/>
        </w:rPr>
        <w:t>ՄԱԿ</w:t>
      </w:r>
      <w:r w:rsidRPr="00B266F7">
        <w:rPr>
          <w:sz w:val="16"/>
          <w:szCs w:val="16"/>
        </w:rPr>
        <w:t>-</w:t>
      </w:r>
      <w:r w:rsidRPr="00B266F7">
        <w:rPr>
          <w:rFonts w:cs="Sylfaen"/>
          <w:sz w:val="16"/>
          <w:szCs w:val="16"/>
        </w:rPr>
        <w:t>ի</w:t>
      </w:r>
      <w:r w:rsidRPr="00B266F7">
        <w:rPr>
          <w:sz w:val="16"/>
          <w:szCs w:val="16"/>
        </w:rPr>
        <w:t xml:space="preserve"> </w:t>
      </w:r>
      <w:r w:rsidRPr="00B266F7">
        <w:rPr>
          <w:rFonts w:cs="Sylfaen"/>
          <w:sz w:val="16"/>
          <w:szCs w:val="16"/>
        </w:rPr>
        <w:t>Խոշտանգումների</w:t>
      </w:r>
      <w:r w:rsidRPr="00B266F7">
        <w:rPr>
          <w:sz w:val="16"/>
          <w:szCs w:val="16"/>
        </w:rPr>
        <w:t xml:space="preserve"> </w:t>
      </w:r>
      <w:r w:rsidRPr="00B266F7">
        <w:rPr>
          <w:rFonts w:cs="Sylfaen"/>
          <w:sz w:val="16"/>
          <w:szCs w:val="16"/>
        </w:rPr>
        <w:t>դեմ</w:t>
      </w:r>
      <w:r w:rsidRPr="00B266F7">
        <w:rPr>
          <w:sz w:val="16"/>
          <w:szCs w:val="16"/>
        </w:rPr>
        <w:t xml:space="preserve"> </w:t>
      </w:r>
      <w:r w:rsidRPr="00B266F7">
        <w:rPr>
          <w:rFonts w:cs="Sylfaen"/>
          <w:sz w:val="16"/>
          <w:szCs w:val="16"/>
        </w:rPr>
        <w:t>կոմիտեի</w:t>
      </w:r>
      <w:r w:rsidRPr="00B266F7">
        <w:rPr>
          <w:sz w:val="16"/>
          <w:szCs w:val="16"/>
        </w:rPr>
        <w:t xml:space="preserve"> </w:t>
      </w:r>
      <w:r w:rsidRPr="00B266F7">
        <w:rPr>
          <w:rFonts w:cs="Sylfaen"/>
          <w:sz w:val="16"/>
          <w:szCs w:val="16"/>
        </w:rPr>
        <w:t>Ընդհանուր</w:t>
      </w:r>
      <w:r w:rsidRPr="00B266F7">
        <w:rPr>
          <w:sz w:val="16"/>
          <w:szCs w:val="16"/>
        </w:rPr>
        <w:t xml:space="preserve"> </w:t>
      </w:r>
      <w:r w:rsidRPr="00B266F7">
        <w:rPr>
          <w:rFonts w:cs="Sylfaen"/>
          <w:sz w:val="16"/>
          <w:szCs w:val="16"/>
        </w:rPr>
        <w:t>մեկնաբանության (2(2007))</w:t>
      </w:r>
      <w:r w:rsidRPr="00B266F7">
        <w:rPr>
          <w:sz w:val="16"/>
          <w:szCs w:val="16"/>
        </w:rPr>
        <w:t xml:space="preserve"> 5-</w:t>
      </w:r>
      <w:r w:rsidRPr="00B266F7">
        <w:rPr>
          <w:rFonts w:cs="Sylfaen"/>
          <w:sz w:val="16"/>
          <w:szCs w:val="16"/>
        </w:rPr>
        <w:t>րդ</w:t>
      </w:r>
      <w:r w:rsidRPr="00B266F7">
        <w:rPr>
          <w:sz w:val="16"/>
          <w:szCs w:val="16"/>
        </w:rPr>
        <w:t xml:space="preserve"> </w:t>
      </w:r>
      <w:r w:rsidRPr="00B266F7">
        <w:rPr>
          <w:rFonts w:cs="Sylfaen"/>
          <w:sz w:val="16"/>
          <w:szCs w:val="16"/>
        </w:rPr>
        <w:t>պարբերությամբ</w:t>
      </w:r>
      <w:r w:rsidRPr="00B266F7">
        <w:rPr>
          <w:sz w:val="16"/>
          <w:szCs w:val="16"/>
        </w:rPr>
        <w:t xml:space="preserve"> </w:t>
      </w:r>
      <w:r w:rsidRPr="00B266F7">
        <w:rPr>
          <w:rFonts w:cs="Sylfaen"/>
          <w:sz w:val="16"/>
          <w:szCs w:val="16"/>
        </w:rPr>
        <w:t>Կոմիտեն</w:t>
      </w:r>
      <w:r w:rsidRPr="00B266F7">
        <w:rPr>
          <w:sz w:val="16"/>
          <w:szCs w:val="16"/>
        </w:rPr>
        <w:t xml:space="preserve"> </w:t>
      </w:r>
      <w:r w:rsidRPr="00B266F7">
        <w:rPr>
          <w:rFonts w:cs="Sylfaen"/>
          <w:sz w:val="16"/>
          <w:szCs w:val="16"/>
        </w:rPr>
        <w:t>մասնավորեցնում</w:t>
      </w:r>
      <w:r w:rsidRPr="00B266F7">
        <w:rPr>
          <w:sz w:val="16"/>
          <w:szCs w:val="16"/>
        </w:rPr>
        <w:t xml:space="preserve"> </w:t>
      </w:r>
      <w:r w:rsidRPr="00B266F7">
        <w:rPr>
          <w:rFonts w:cs="Sylfaen"/>
          <w:sz w:val="16"/>
          <w:szCs w:val="16"/>
        </w:rPr>
        <w:t>է</w:t>
      </w:r>
      <w:r w:rsidRPr="00B266F7">
        <w:rPr>
          <w:sz w:val="16"/>
          <w:szCs w:val="16"/>
        </w:rPr>
        <w:t xml:space="preserve">, </w:t>
      </w:r>
      <w:r w:rsidRPr="00B266F7">
        <w:rPr>
          <w:rFonts w:cs="Sylfaen"/>
          <w:sz w:val="16"/>
          <w:szCs w:val="16"/>
        </w:rPr>
        <w:t>որ</w:t>
      </w:r>
      <w:r w:rsidRPr="00B266F7">
        <w:rPr>
          <w:sz w:val="16"/>
          <w:szCs w:val="16"/>
        </w:rPr>
        <w:t xml:space="preserve"> </w:t>
      </w:r>
      <w:r w:rsidRPr="00B266F7">
        <w:rPr>
          <w:rFonts w:cs="Sylfaen"/>
          <w:sz w:val="16"/>
          <w:szCs w:val="16"/>
        </w:rPr>
        <w:t>համաներումը</w:t>
      </w:r>
      <w:r w:rsidRPr="00B266F7">
        <w:rPr>
          <w:sz w:val="16"/>
          <w:szCs w:val="16"/>
        </w:rPr>
        <w:t xml:space="preserve"> </w:t>
      </w:r>
      <w:r w:rsidRPr="00B266F7">
        <w:rPr>
          <w:rFonts w:cs="Sylfaen"/>
          <w:sz w:val="16"/>
          <w:szCs w:val="16"/>
        </w:rPr>
        <w:t>կամ</w:t>
      </w:r>
      <w:r w:rsidRPr="00B266F7">
        <w:rPr>
          <w:sz w:val="16"/>
          <w:szCs w:val="16"/>
        </w:rPr>
        <w:t xml:space="preserve"> </w:t>
      </w:r>
      <w:r w:rsidRPr="00B266F7">
        <w:rPr>
          <w:rFonts w:cs="Sylfaen"/>
          <w:sz w:val="16"/>
          <w:szCs w:val="16"/>
        </w:rPr>
        <w:t>այլ</w:t>
      </w:r>
      <w:r w:rsidRPr="00B266F7">
        <w:rPr>
          <w:sz w:val="16"/>
          <w:szCs w:val="16"/>
        </w:rPr>
        <w:t xml:space="preserve"> </w:t>
      </w:r>
      <w:r w:rsidRPr="00B266F7">
        <w:rPr>
          <w:rFonts w:cs="Sylfaen"/>
          <w:sz w:val="16"/>
          <w:szCs w:val="16"/>
        </w:rPr>
        <w:t>խոչընդոտները</w:t>
      </w:r>
      <w:r w:rsidRPr="00B266F7">
        <w:rPr>
          <w:sz w:val="16"/>
          <w:szCs w:val="16"/>
        </w:rPr>
        <w:t xml:space="preserve">, </w:t>
      </w:r>
      <w:r w:rsidRPr="00B266F7">
        <w:rPr>
          <w:rFonts w:cs="Sylfaen"/>
          <w:sz w:val="16"/>
          <w:szCs w:val="16"/>
        </w:rPr>
        <w:t>որոնք</w:t>
      </w:r>
      <w:r w:rsidRPr="00B266F7">
        <w:rPr>
          <w:sz w:val="16"/>
          <w:szCs w:val="16"/>
        </w:rPr>
        <w:t xml:space="preserve"> </w:t>
      </w:r>
      <w:r w:rsidRPr="00B266F7">
        <w:rPr>
          <w:rFonts w:cs="Sylfaen"/>
          <w:sz w:val="16"/>
          <w:szCs w:val="16"/>
        </w:rPr>
        <w:t>բացառում</w:t>
      </w:r>
      <w:r w:rsidRPr="00B266F7">
        <w:rPr>
          <w:sz w:val="16"/>
          <w:szCs w:val="16"/>
        </w:rPr>
        <w:t xml:space="preserve"> </w:t>
      </w:r>
      <w:r w:rsidRPr="00B266F7">
        <w:rPr>
          <w:rFonts w:cs="Sylfaen"/>
          <w:sz w:val="16"/>
          <w:szCs w:val="16"/>
        </w:rPr>
        <w:t>են</w:t>
      </w:r>
      <w:r w:rsidRPr="00B266F7">
        <w:rPr>
          <w:sz w:val="16"/>
          <w:szCs w:val="16"/>
        </w:rPr>
        <w:t xml:space="preserve"> </w:t>
      </w:r>
      <w:r w:rsidRPr="00B266F7">
        <w:rPr>
          <w:rFonts w:cs="Sylfaen"/>
          <w:sz w:val="16"/>
          <w:szCs w:val="16"/>
        </w:rPr>
        <w:t>խոշտանգում</w:t>
      </w:r>
      <w:r w:rsidRPr="00B266F7">
        <w:rPr>
          <w:sz w:val="16"/>
          <w:szCs w:val="16"/>
        </w:rPr>
        <w:t xml:space="preserve"> </w:t>
      </w:r>
      <w:r w:rsidRPr="00B266F7">
        <w:rPr>
          <w:rFonts w:cs="Sylfaen"/>
          <w:sz w:val="16"/>
          <w:szCs w:val="16"/>
        </w:rPr>
        <w:t>կատարած</w:t>
      </w:r>
      <w:r w:rsidRPr="00B266F7">
        <w:rPr>
          <w:sz w:val="16"/>
          <w:szCs w:val="16"/>
        </w:rPr>
        <w:t xml:space="preserve"> </w:t>
      </w:r>
      <w:r w:rsidRPr="00B266F7">
        <w:rPr>
          <w:rFonts w:cs="Sylfaen"/>
          <w:sz w:val="16"/>
          <w:szCs w:val="16"/>
        </w:rPr>
        <w:t>կամ</w:t>
      </w:r>
      <w:r w:rsidRPr="00B266F7">
        <w:rPr>
          <w:sz w:val="16"/>
          <w:szCs w:val="16"/>
        </w:rPr>
        <w:t xml:space="preserve"> </w:t>
      </w:r>
      <w:r w:rsidRPr="00B266F7">
        <w:rPr>
          <w:rFonts w:cs="Sylfaen"/>
          <w:sz w:val="16"/>
          <w:szCs w:val="16"/>
        </w:rPr>
        <w:t>վատ</w:t>
      </w:r>
      <w:r w:rsidRPr="00B266F7">
        <w:rPr>
          <w:sz w:val="16"/>
          <w:szCs w:val="16"/>
        </w:rPr>
        <w:t xml:space="preserve"> </w:t>
      </w:r>
      <w:r w:rsidRPr="00B266F7">
        <w:rPr>
          <w:rFonts w:cs="Sylfaen"/>
          <w:sz w:val="16"/>
          <w:szCs w:val="16"/>
        </w:rPr>
        <w:t>վերաբերմունք</w:t>
      </w:r>
      <w:r w:rsidRPr="00B266F7">
        <w:rPr>
          <w:sz w:val="16"/>
          <w:szCs w:val="16"/>
        </w:rPr>
        <w:t xml:space="preserve"> </w:t>
      </w:r>
      <w:r w:rsidRPr="00B266F7">
        <w:rPr>
          <w:rFonts w:cs="Sylfaen"/>
          <w:sz w:val="16"/>
          <w:szCs w:val="16"/>
        </w:rPr>
        <w:t>դրսևորած</w:t>
      </w:r>
      <w:r w:rsidRPr="00B266F7">
        <w:rPr>
          <w:sz w:val="16"/>
          <w:szCs w:val="16"/>
        </w:rPr>
        <w:t xml:space="preserve"> </w:t>
      </w:r>
      <w:r w:rsidRPr="00B266F7">
        <w:rPr>
          <w:rFonts w:cs="Sylfaen"/>
          <w:sz w:val="16"/>
          <w:szCs w:val="16"/>
        </w:rPr>
        <w:t>անձանց</w:t>
      </w:r>
      <w:r w:rsidRPr="00B266F7">
        <w:rPr>
          <w:sz w:val="16"/>
          <w:szCs w:val="16"/>
        </w:rPr>
        <w:t xml:space="preserve"> </w:t>
      </w:r>
      <w:r w:rsidRPr="00B266F7">
        <w:rPr>
          <w:rFonts w:cs="Sylfaen"/>
          <w:sz w:val="16"/>
          <w:szCs w:val="16"/>
        </w:rPr>
        <w:t>պատշաճ</w:t>
      </w:r>
      <w:r w:rsidRPr="00B266F7">
        <w:rPr>
          <w:sz w:val="16"/>
          <w:szCs w:val="16"/>
        </w:rPr>
        <w:t xml:space="preserve"> </w:t>
      </w:r>
      <w:r w:rsidRPr="00B266F7">
        <w:rPr>
          <w:rFonts w:cs="Sylfaen"/>
          <w:sz w:val="16"/>
          <w:szCs w:val="16"/>
        </w:rPr>
        <w:t>և</w:t>
      </w:r>
      <w:r w:rsidRPr="00B266F7">
        <w:rPr>
          <w:sz w:val="16"/>
          <w:szCs w:val="16"/>
        </w:rPr>
        <w:t xml:space="preserve"> </w:t>
      </w:r>
      <w:r w:rsidRPr="00B266F7">
        <w:rPr>
          <w:rFonts w:cs="Sylfaen"/>
          <w:sz w:val="16"/>
          <w:szCs w:val="16"/>
        </w:rPr>
        <w:t>արդար</w:t>
      </w:r>
      <w:r w:rsidRPr="00B266F7">
        <w:rPr>
          <w:sz w:val="16"/>
          <w:szCs w:val="16"/>
        </w:rPr>
        <w:t xml:space="preserve"> </w:t>
      </w:r>
      <w:r w:rsidRPr="00B266F7">
        <w:rPr>
          <w:rFonts w:cs="Sylfaen"/>
          <w:sz w:val="16"/>
          <w:szCs w:val="16"/>
        </w:rPr>
        <w:t>հետապնդումն</w:t>
      </w:r>
      <w:r w:rsidRPr="00B266F7">
        <w:rPr>
          <w:sz w:val="16"/>
          <w:szCs w:val="16"/>
        </w:rPr>
        <w:t xml:space="preserve"> </w:t>
      </w:r>
      <w:r w:rsidRPr="00B266F7">
        <w:rPr>
          <w:rFonts w:cs="Sylfaen"/>
          <w:sz w:val="16"/>
          <w:szCs w:val="16"/>
        </w:rPr>
        <w:t>ու</w:t>
      </w:r>
      <w:r w:rsidRPr="00B266F7">
        <w:rPr>
          <w:sz w:val="16"/>
          <w:szCs w:val="16"/>
        </w:rPr>
        <w:t xml:space="preserve"> </w:t>
      </w:r>
      <w:r w:rsidRPr="00B266F7">
        <w:rPr>
          <w:rFonts w:cs="Sylfaen"/>
          <w:sz w:val="16"/>
          <w:szCs w:val="16"/>
        </w:rPr>
        <w:t>պատիժը</w:t>
      </w:r>
      <w:r w:rsidRPr="00B266F7">
        <w:rPr>
          <w:sz w:val="16"/>
          <w:szCs w:val="16"/>
        </w:rPr>
        <w:t xml:space="preserve"> </w:t>
      </w:r>
      <w:r w:rsidRPr="00B266F7">
        <w:rPr>
          <w:rFonts w:cs="Sylfaen"/>
          <w:sz w:val="16"/>
          <w:szCs w:val="16"/>
        </w:rPr>
        <w:t>կամ</w:t>
      </w:r>
      <w:r w:rsidRPr="00B266F7">
        <w:rPr>
          <w:sz w:val="16"/>
          <w:szCs w:val="16"/>
        </w:rPr>
        <w:t xml:space="preserve"> </w:t>
      </w:r>
      <w:r w:rsidRPr="00B266F7">
        <w:rPr>
          <w:rFonts w:cs="Sylfaen"/>
          <w:sz w:val="16"/>
          <w:szCs w:val="16"/>
        </w:rPr>
        <w:t>վկայում</w:t>
      </w:r>
      <w:r w:rsidRPr="00B266F7">
        <w:rPr>
          <w:sz w:val="16"/>
          <w:szCs w:val="16"/>
        </w:rPr>
        <w:t xml:space="preserve"> </w:t>
      </w:r>
      <w:r w:rsidRPr="00B266F7">
        <w:rPr>
          <w:rFonts w:cs="Sylfaen"/>
          <w:sz w:val="16"/>
          <w:szCs w:val="16"/>
        </w:rPr>
        <w:t>են</w:t>
      </w:r>
      <w:r w:rsidRPr="00B266F7">
        <w:rPr>
          <w:sz w:val="16"/>
          <w:szCs w:val="16"/>
        </w:rPr>
        <w:t xml:space="preserve"> </w:t>
      </w:r>
      <w:r w:rsidRPr="00B266F7">
        <w:rPr>
          <w:rFonts w:cs="Sylfaen"/>
          <w:sz w:val="16"/>
          <w:szCs w:val="16"/>
        </w:rPr>
        <w:t>այդպիսի</w:t>
      </w:r>
      <w:r w:rsidRPr="00B266F7">
        <w:rPr>
          <w:sz w:val="16"/>
          <w:szCs w:val="16"/>
        </w:rPr>
        <w:t xml:space="preserve"> </w:t>
      </w:r>
      <w:r w:rsidRPr="00B266F7">
        <w:rPr>
          <w:rFonts w:cs="Sylfaen"/>
          <w:sz w:val="16"/>
          <w:szCs w:val="16"/>
        </w:rPr>
        <w:t>անձանց</w:t>
      </w:r>
      <w:r w:rsidRPr="00B266F7">
        <w:rPr>
          <w:sz w:val="16"/>
          <w:szCs w:val="16"/>
        </w:rPr>
        <w:t xml:space="preserve"> </w:t>
      </w:r>
      <w:r w:rsidRPr="00B266F7">
        <w:rPr>
          <w:rFonts w:cs="Sylfaen"/>
          <w:sz w:val="16"/>
          <w:szCs w:val="16"/>
        </w:rPr>
        <w:t>պատշաճ</w:t>
      </w:r>
      <w:r w:rsidRPr="00B266F7">
        <w:rPr>
          <w:sz w:val="16"/>
          <w:szCs w:val="16"/>
        </w:rPr>
        <w:t xml:space="preserve"> </w:t>
      </w:r>
      <w:r w:rsidRPr="00B266F7">
        <w:rPr>
          <w:rFonts w:cs="Sylfaen"/>
          <w:sz w:val="16"/>
          <w:szCs w:val="16"/>
        </w:rPr>
        <w:t>և</w:t>
      </w:r>
      <w:r w:rsidRPr="00B266F7">
        <w:rPr>
          <w:sz w:val="16"/>
          <w:szCs w:val="16"/>
        </w:rPr>
        <w:t xml:space="preserve"> </w:t>
      </w:r>
      <w:r w:rsidRPr="00B266F7">
        <w:rPr>
          <w:rFonts w:cs="Sylfaen"/>
          <w:sz w:val="16"/>
          <w:szCs w:val="16"/>
        </w:rPr>
        <w:t>արդար</w:t>
      </w:r>
      <w:r w:rsidRPr="00B266F7">
        <w:rPr>
          <w:sz w:val="16"/>
          <w:szCs w:val="16"/>
        </w:rPr>
        <w:t xml:space="preserve"> </w:t>
      </w:r>
      <w:r w:rsidRPr="00B266F7">
        <w:rPr>
          <w:rFonts w:cs="Sylfaen"/>
          <w:sz w:val="16"/>
          <w:szCs w:val="16"/>
        </w:rPr>
        <w:t>հետապնդելու</w:t>
      </w:r>
      <w:r w:rsidRPr="00B266F7">
        <w:rPr>
          <w:sz w:val="16"/>
          <w:szCs w:val="16"/>
        </w:rPr>
        <w:t xml:space="preserve"> </w:t>
      </w:r>
      <w:r w:rsidRPr="00B266F7">
        <w:rPr>
          <w:rFonts w:cs="Sylfaen"/>
          <w:sz w:val="16"/>
          <w:szCs w:val="16"/>
        </w:rPr>
        <w:t>ու</w:t>
      </w:r>
      <w:r w:rsidRPr="00B266F7">
        <w:rPr>
          <w:sz w:val="16"/>
          <w:szCs w:val="16"/>
        </w:rPr>
        <w:t xml:space="preserve"> </w:t>
      </w:r>
      <w:r w:rsidRPr="00B266F7">
        <w:rPr>
          <w:rFonts w:cs="Sylfaen"/>
          <w:sz w:val="16"/>
          <w:szCs w:val="16"/>
        </w:rPr>
        <w:t>պատժելու</w:t>
      </w:r>
      <w:r w:rsidRPr="00B266F7">
        <w:rPr>
          <w:sz w:val="16"/>
          <w:szCs w:val="16"/>
        </w:rPr>
        <w:t xml:space="preserve"> </w:t>
      </w:r>
      <w:r w:rsidRPr="00B266F7">
        <w:rPr>
          <w:rFonts w:cs="Sylfaen"/>
          <w:sz w:val="16"/>
          <w:szCs w:val="16"/>
        </w:rPr>
        <w:t>կամքի</w:t>
      </w:r>
      <w:r w:rsidRPr="00B266F7">
        <w:rPr>
          <w:sz w:val="16"/>
          <w:szCs w:val="16"/>
        </w:rPr>
        <w:t xml:space="preserve"> </w:t>
      </w:r>
      <w:r w:rsidRPr="00B266F7">
        <w:rPr>
          <w:rFonts w:cs="Sylfaen"/>
          <w:sz w:val="16"/>
          <w:szCs w:val="16"/>
        </w:rPr>
        <w:t>բացակայության</w:t>
      </w:r>
      <w:r w:rsidRPr="00B266F7">
        <w:rPr>
          <w:sz w:val="16"/>
          <w:szCs w:val="16"/>
        </w:rPr>
        <w:t xml:space="preserve"> </w:t>
      </w:r>
      <w:r w:rsidRPr="00B266F7">
        <w:rPr>
          <w:rFonts w:cs="Sylfaen"/>
          <w:sz w:val="16"/>
          <w:szCs w:val="16"/>
        </w:rPr>
        <w:t>մասին</w:t>
      </w:r>
      <w:r w:rsidRPr="00B266F7">
        <w:rPr>
          <w:sz w:val="16"/>
          <w:szCs w:val="16"/>
        </w:rPr>
        <w:t xml:space="preserve">, </w:t>
      </w:r>
      <w:r w:rsidRPr="00B266F7">
        <w:rPr>
          <w:rFonts w:cs="Sylfaen"/>
          <w:sz w:val="16"/>
          <w:szCs w:val="16"/>
        </w:rPr>
        <w:t>խախտում</w:t>
      </w:r>
      <w:r w:rsidRPr="00B266F7">
        <w:rPr>
          <w:sz w:val="16"/>
          <w:szCs w:val="16"/>
        </w:rPr>
        <w:t xml:space="preserve"> </w:t>
      </w:r>
      <w:r w:rsidRPr="00B266F7">
        <w:rPr>
          <w:rFonts w:cs="Sylfaen"/>
          <w:sz w:val="16"/>
          <w:szCs w:val="16"/>
        </w:rPr>
        <w:t>են</w:t>
      </w:r>
      <w:r w:rsidRPr="00B266F7">
        <w:rPr>
          <w:sz w:val="16"/>
          <w:szCs w:val="16"/>
        </w:rPr>
        <w:t xml:space="preserve"> </w:t>
      </w:r>
      <w:r w:rsidRPr="00B266F7">
        <w:rPr>
          <w:rFonts w:cs="Sylfaen"/>
          <w:sz w:val="16"/>
          <w:szCs w:val="16"/>
        </w:rPr>
        <w:t>խոշտանգման</w:t>
      </w:r>
      <w:r w:rsidRPr="00B266F7">
        <w:rPr>
          <w:sz w:val="16"/>
          <w:szCs w:val="16"/>
        </w:rPr>
        <w:t xml:space="preserve"> </w:t>
      </w:r>
      <w:r w:rsidRPr="00B266F7">
        <w:rPr>
          <w:rFonts w:cs="Sylfaen"/>
          <w:sz w:val="16"/>
          <w:szCs w:val="16"/>
        </w:rPr>
        <w:t>բացարձակ</w:t>
      </w:r>
      <w:r w:rsidRPr="00B266F7">
        <w:rPr>
          <w:sz w:val="16"/>
          <w:szCs w:val="16"/>
        </w:rPr>
        <w:t xml:space="preserve"> </w:t>
      </w:r>
      <w:r w:rsidRPr="00B266F7">
        <w:rPr>
          <w:rFonts w:cs="Sylfaen"/>
          <w:sz w:val="16"/>
          <w:szCs w:val="16"/>
        </w:rPr>
        <w:t>արգելքի</w:t>
      </w:r>
      <w:r w:rsidRPr="00B266F7">
        <w:rPr>
          <w:sz w:val="16"/>
          <w:szCs w:val="16"/>
        </w:rPr>
        <w:t xml:space="preserve"> </w:t>
      </w:r>
      <w:r w:rsidRPr="00B266F7">
        <w:rPr>
          <w:rFonts w:cs="Sylfaen"/>
          <w:sz w:val="16"/>
          <w:szCs w:val="16"/>
        </w:rPr>
        <w:t>սկզբունքը</w:t>
      </w:r>
      <w:r w:rsidRPr="00B266F7">
        <w:rPr>
          <w:sz w:val="16"/>
          <w:szCs w:val="16"/>
        </w:rPr>
        <w:t>:</w:t>
      </w:r>
    </w:p>
    <w:p w:rsidR="001F6D5D" w:rsidRPr="00B266F7" w:rsidRDefault="001F6D5D" w:rsidP="001F6D5D">
      <w:pPr>
        <w:spacing w:after="0"/>
        <w:jc w:val="both"/>
        <w:rPr>
          <w:color w:val="000000"/>
          <w:sz w:val="16"/>
          <w:szCs w:val="16"/>
        </w:rPr>
      </w:pPr>
      <w:r w:rsidRPr="00B266F7">
        <w:rPr>
          <w:color w:val="000000"/>
          <w:sz w:val="16"/>
          <w:szCs w:val="16"/>
        </w:rPr>
        <w:t>Միաժամանակ, բարձր պայմանավորվող կողմերի կողմից Խոշտանգումների դեմ կոնվենցիայի 14-րդ հոդվածի կենսագործման վերաբերյալ Կոմիտեի Ընդհանուր մեկնաբանության համաձայն՝ բարձր պայմանավորվող կողմերը պարտավոր են երաշխավորել փոխհատուցման իրավունքի (redress) իրացման արդյունավետությունը: Վաղեմության ժամկետները, համաներումն ու ներումը խոչընդոտում են փոխհատուցման իրավունքի (redress) և 14-րդ հոդվածի արդյունավետ իրացմանը (Ընդհանուր մեկնաբանություն 3(2012), 38-րդ պարբերություն):</w:t>
      </w:r>
    </w:p>
    <w:p w:rsidR="001F6D5D" w:rsidRPr="00B266F7" w:rsidRDefault="001F6D5D" w:rsidP="001F6D5D">
      <w:pPr>
        <w:spacing w:after="0"/>
        <w:jc w:val="both"/>
        <w:rPr>
          <w:color w:val="000000"/>
          <w:sz w:val="16"/>
          <w:szCs w:val="16"/>
        </w:rPr>
      </w:pPr>
      <w:r w:rsidRPr="00B266F7">
        <w:rPr>
          <w:color w:val="000000"/>
          <w:sz w:val="16"/>
          <w:szCs w:val="16"/>
        </w:rPr>
        <w:t>«Քաղաքացիական և քաղաքական իրավունքների մասին» միջազգային դաշնագրի 7-րդ հոդվածը սահմանում է, որ ոչ ոք չպետք է ենթարկվի խոշտանգումների կամ այլ դաժան, անմարդկային կամ իր արժանապատվությունը նվաստացնող վերաբերմունքի կամ պատժի: 7-րդ հոդվածի վերաբերյալ ՄԱԿ-ի Մարդու իրավունքների հանձնաժողովի Ընդհանուր մեկնաբանության համաձայն՝ որպես կանոն համաներումը անհամատեղելի է խոշտանգման վերաբերյալ գործերը քննելու պետության պարտավորության հետ: Պետությունը</w:t>
      </w:r>
      <w:r w:rsidRPr="00B266F7">
        <w:rPr>
          <w:color w:val="000000"/>
          <w:sz w:val="24"/>
          <w:szCs w:val="24"/>
        </w:rPr>
        <w:t xml:space="preserve"> </w:t>
      </w:r>
      <w:r w:rsidRPr="00B266F7">
        <w:rPr>
          <w:color w:val="000000"/>
          <w:sz w:val="16"/>
          <w:szCs w:val="16"/>
        </w:rPr>
        <w:t>չպետք է անձին զրկի պաշտպանության արդյունավետ միջոցի իրավունքից, ներառյալ՝ հատուցում և հնարավոր ամբողջական ռեաբիլիտացիա ստանալու իրավունքից (Ընդհանուր մեկնաբանություն No. 20, 15-րդ պարբերություն):</w:t>
      </w:r>
    </w:p>
  </w:footnote>
  <w:footnote w:id="7">
    <w:p w:rsidR="001F6D5D" w:rsidRPr="00B266F7" w:rsidRDefault="001F6D5D" w:rsidP="001F6D5D">
      <w:pPr>
        <w:pStyle w:val="FootnoteText"/>
        <w:jc w:val="both"/>
        <w:rPr>
          <w:rFonts w:ascii="GHEA Grapalat" w:hAnsi="GHEA Grapalat"/>
          <w:sz w:val="24"/>
          <w:szCs w:val="24"/>
        </w:rPr>
      </w:pPr>
      <w:r w:rsidRPr="00B266F7">
        <w:rPr>
          <w:rStyle w:val="FootnoteReference"/>
          <w:rFonts w:ascii="GHEA Grapalat" w:hAnsi="GHEA Grapalat"/>
          <w:sz w:val="16"/>
          <w:szCs w:val="16"/>
        </w:rPr>
        <w:footnoteRef/>
      </w:r>
      <w:r w:rsidRPr="00B266F7">
        <w:rPr>
          <w:rFonts w:ascii="GHEA Grapalat" w:hAnsi="GHEA Grapalat"/>
          <w:sz w:val="16"/>
          <w:szCs w:val="16"/>
        </w:rPr>
        <w:t xml:space="preserve"> </w:t>
      </w:r>
      <w:r w:rsidRPr="00B266F7">
        <w:rPr>
          <w:rFonts w:ascii="GHEA Grapalat" w:hAnsi="GHEA Grapalat"/>
          <w:i/>
          <w:sz w:val="16"/>
          <w:szCs w:val="16"/>
        </w:rPr>
        <w:t>C</w:t>
      </w:r>
      <w:r w:rsidRPr="00B266F7">
        <w:rPr>
          <w:rFonts w:ascii="GHEA Grapalat" w:hAnsi="GHEA Grapalat"/>
          <w:i/>
          <w:sz w:val="16"/>
          <w:szCs w:val="16"/>
          <w:lang w:val="hy-AM"/>
        </w:rPr>
        <w:t>ase of</w:t>
      </w:r>
      <w:r w:rsidRPr="00B266F7">
        <w:rPr>
          <w:rFonts w:ascii="GHEA Grapalat" w:hAnsi="GHEA Grapalat"/>
          <w:i/>
          <w:sz w:val="16"/>
          <w:szCs w:val="16"/>
        </w:rPr>
        <w:t xml:space="preserve"> O</w:t>
      </w:r>
      <w:r w:rsidRPr="00B266F7">
        <w:rPr>
          <w:rFonts w:ascii="GHEA Grapalat" w:hAnsi="GHEA Grapalat"/>
          <w:i/>
          <w:sz w:val="16"/>
          <w:szCs w:val="16"/>
          <w:lang w:val="hy-AM"/>
        </w:rPr>
        <w:t xml:space="preserve">kkali v </w:t>
      </w:r>
      <w:r w:rsidRPr="00B266F7">
        <w:rPr>
          <w:rFonts w:ascii="GHEA Grapalat" w:hAnsi="GHEA Grapalat"/>
          <w:i/>
          <w:sz w:val="16"/>
          <w:szCs w:val="16"/>
        </w:rPr>
        <w:t>T</w:t>
      </w:r>
      <w:r w:rsidRPr="00B266F7">
        <w:rPr>
          <w:rFonts w:ascii="GHEA Grapalat" w:hAnsi="GHEA Grapalat"/>
          <w:i/>
          <w:sz w:val="16"/>
          <w:szCs w:val="16"/>
          <w:lang w:val="hy-AM"/>
        </w:rPr>
        <w:t>urkey</w:t>
      </w:r>
      <w:r w:rsidRPr="00B266F7">
        <w:rPr>
          <w:rFonts w:ascii="GHEA Grapalat" w:hAnsi="GHEA Grapalat"/>
          <w:sz w:val="16"/>
          <w:szCs w:val="16"/>
          <w:lang w:val="hy-AM"/>
        </w:rPr>
        <w:t>,</w:t>
      </w:r>
      <w:r w:rsidRPr="00B266F7">
        <w:rPr>
          <w:rFonts w:ascii="GHEA Grapalat" w:hAnsi="GHEA Grapalat"/>
          <w:sz w:val="16"/>
          <w:szCs w:val="16"/>
        </w:rPr>
        <w:t xml:space="preserve"> </w:t>
      </w:r>
      <w:r w:rsidRPr="00B266F7">
        <w:rPr>
          <w:rFonts w:ascii="GHEA Grapalat" w:hAnsi="GHEA Grapalat"/>
          <w:sz w:val="16"/>
          <w:szCs w:val="16"/>
          <w:lang w:val="hy-AM"/>
        </w:rPr>
        <w:t xml:space="preserve">no. </w:t>
      </w:r>
      <w:r w:rsidRPr="00B266F7">
        <w:rPr>
          <w:rFonts w:ascii="GHEA Grapalat" w:hAnsi="GHEA Grapalat"/>
          <w:sz w:val="16"/>
          <w:szCs w:val="16"/>
        </w:rPr>
        <w:t xml:space="preserve">52067/99, judgment of 17 October 2006, para. 76; </w:t>
      </w:r>
      <w:r w:rsidRPr="00B266F7">
        <w:rPr>
          <w:rFonts w:ascii="GHEA Grapalat" w:hAnsi="GHEA Grapalat"/>
          <w:i/>
          <w:sz w:val="16"/>
          <w:szCs w:val="16"/>
        </w:rPr>
        <w:t>Case of Abdulsamet Yaman v. Turkey</w:t>
      </w:r>
      <w:r w:rsidRPr="00B266F7">
        <w:rPr>
          <w:rFonts w:ascii="GHEA Grapalat" w:hAnsi="GHEA Grapalat"/>
          <w:sz w:val="16"/>
          <w:szCs w:val="16"/>
        </w:rPr>
        <w:t>, no. 32446/96</w:t>
      </w:r>
      <w:r w:rsidRPr="00B266F7">
        <w:rPr>
          <w:rFonts w:ascii="GHEA Grapalat" w:hAnsi="GHEA Grapalat"/>
          <w:sz w:val="16"/>
          <w:szCs w:val="16"/>
          <w:lang w:val="hy-AM"/>
        </w:rPr>
        <w:t>,</w:t>
      </w:r>
      <w:r w:rsidRPr="00B266F7">
        <w:rPr>
          <w:rFonts w:ascii="GHEA Grapalat" w:hAnsi="GHEA Grapalat"/>
          <w:sz w:val="16"/>
          <w:szCs w:val="16"/>
        </w:rPr>
        <w:t xml:space="preserve"> judgment of </w:t>
      </w:r>
      <w:r w:rsidRPr="00B266F7">
        <w:rPr>
          <w:rFonts w:ascii="GHEA Grapalat" w:hAnsi="GHEA Grapalat"/>
          <w:sz w:val="16"/>
          <w:szCs w:val="16"/>
          <w:lang w:val="hy-AM"/>
        </w:rPr>
        <w:t>2</w:t>
      </w:r>
      <w:r w:rsidRPr="00B266F7">
        <w:rPr>
          <w:rFonts w:ascii="GHEA Grapalat" w:hAnsi="GHEA Grapalat"/>
          <w:sz w:val="16"/>
          <w:szCs w:val="16"/>
        </w:rPr>
        <w:t xml:space="preserve"> November 2004, paras 53, 55, 59; </w:t>
      </w:r>
      <w:r w:rsidRPr="00B266F7">
        <w:rPr>
          <w:rFonts w:ascii="GHEA Grapalat" w:hAnsi="GHEA Grapalat"/>
          <w:i/>
          <w:sz w:val="16"/>
          <w:szCs w:val="16"/>
        </w:rPr>
        <w:t>C</w:t>
      </w:r>
      <w:r w:rsidRPr="00B266F7">
        <w:rPr>
          <w:rFonts w:ascii="GHEA Grapalat" w:hAnsi="GHEA Grapalat"/>
          <w:i/>
          <w:sz w:val="16"/>
          <w:szCs w:val="16"/>
          <w:lang w:val="hy-AM"/>
        </w:rPr>
        <w:t xml:space="preserve">ase of </w:t>
      </w:r>
      <w:r w:rsidRPr="00B266F7">
        <w:rPr>
          <w:rFonts w:ascii="GHEA Grapalat" w:hAnsi="GHEA Grapalat"/>
          <w:i/>
          <w:sz w:val="16"/>
          <w:szCs w:val="16"/>
        </w:rPr>
        <w:t>Cestaro v Italy</w:t>
      </w:r>
      <w:r w:rsidRPr="00B266F7">
        <w:rPr>
          <w:rFonts w:ascii="GHEA Grapalat" w:hAnsi="GHEA Grapalat"/>
          <w:sz w:val="16"/>
          <w:szCs w:val="16"/>
          <w:lang w:val="hy-AM"/>
        </w:rPr>
        <w:t>, no.</w:t>
      </w:r>
      <w:r w:rsidRPr="00B266F7">
        <w:rPr>
          <w:rFonts w:ascii="GHEA Grapalat" w:hAnsi="GHEA Grapalat"/>
          <w:sz w:val="16"/>
          <w:szCs w:val="16"/>
        </w:rPr>
        <w:t xml:space="preserve"> 6884/11, judgment of 7 April 2015, paras. 206, 207, 208, 242, </w:t>
      </w:r>
      <w:r w:rsidRPr="00B266F7">
        <w:rPr>
          <w:rFonts w:ascii="GHEA Grapalat" w:hAnsi="GHEA Grapalat"/>
          <w:i/>
          <w:sz w:val="16"/>
          <w:szCs w:val="16"/>
        </w:rPr>
        <w:t>Case of Alikaj and Others v. Italy,</w:t>
      </w:r>
      <w:r w:rsidRPr="00B266F7">
        <w:rPr>
          <w:rFonts w:ascii="GHEA Grapalat" w:hAnsi="GHEA Grapalat"/>
          <w:sz w:val="16"/>
          <w:szCs w:val="16"/>
        </w:rPr>
        <w:t xml:space="preserve"> no. 47357/08, judgment of  29 March 2011, para. 108 (cited, also in</w:t>
      </w:r>
      <w:r w:rsidRPr="00B266F7">
        <w:rPr>
          <w:rFonts w:ascii="GHEA Grapalat" w:hAnsi="GHEA Grapalat"/>
          <w:i/>
          <w:sz w:val="16"/>
          <w:szCs w:val="16"/>
        </w:rPr>
        <w:t xml:space="preserve"> </w:t>
      </w:r>
      <w:r w:rsidRPr="00B266F7">
        <w:rPr>
          <w:rFonts w:ascii="GHEA Grapalat" w:hAnsi="GHEA Grapalat"/>
          <w:sz w:val="16"/>
          <w:szCs w:val="16"/>
        </w:rPr>
        <w:t xml:space="preserve">the </w:t>
      </w:r>
      <w:r w:rsidRPr="00B266F7">
        <w:rPr>
          <w:rFonts w:ascii="GHEA Grapalat" w:hAnsi="GHEA Grapalat"/>
          <w:i/>
          <w:sz w:val="16"/>
          <w:szCs w:val="16"/>
        </w:rPr>
        <w:t>C</w:t>
      </w:r>
      <w:r w:rsidRPr="00B266F7">
        <w:rPr>
          <w:rFonts w:ascii="GHEA Grapalat" w:hAnsi="GHEA Grapalat"/>
          <w:i/>
          <w:sz w:val="16"/>
          <w:szCs w:val="16"/>
          <w:lang w:val="hy-AM"/>
        </w:rPr>
        <w:t xml:space="preserve">ase of </w:t>
      </w:r>
      <w:r w:rsidRPr="00B266F7">
        <w:rPr>
          <w:rFonts w:ascii="GHEA Grapalat" w:hAnsi="GHEA Grapalat"/>
          <w:i/>
          <w:sz w:val="16"/>
          <w:szCs w:val="16"/>
        </w:rPr>
        <w:t>Cestaro v Italy</w:t>
      </w:r>
      <w:r w:rsidRPr="00B266F7">
        <w:rPr>
          <w:rFonts w:ascii="GHEA Grapalat" w:hAnsi="GHEA Grapalat"/>
          <w:sz w:val="16"/>
          <w:szCs w:val="16"/>
          <w:lang w:val="hy-AM"/>
        </w:rPr>
        <w:t xml:space="preserve">, </w:t>
      </w:r>
      <w:r w:rsidRPr="00B266F7">
        <w:rPr>
          <w:rFonts w:ascii="GHEA Grapalat" w:hAnsi="GHEA Grapalat"/>
          <w:sz w:val="16"/>
          <w:szCs w:val="16"/>
        </w:rPr>
        <w:t xml:space="preserve">app. </w:t>
      </w:r>
      <w:r w:rsidRPr="00B266F7">
        <w:rPr>
          <w:rFonts w:ascii="GHEA Grapalat" w:hAnsi="GHEA Grapalat"/>
          <w:sz w:val="16"/>
          <w:szCs w:val="16"/>
          <w:lang w:val="hy-AM"/>
        </w:rPr>
        <w:t>no.</w:t>
      </w:r>
      <w:r w:rsidRPr="00B266F7">
        <w:rPr>
          <w:rFonts w:ascii="GHEA Grapalat" w:hAnsi="GHEA Grapalat"/>
          <w:sz w:val="16"/>
          <w:szCs w:val="16"/>
        </w:rPr>
        <w:t xml:space="preserve"> 6884/11, judgment of 7 April 2015, para. 225 );</w:t>
      </w:r>
      <w:r w:rsidRPr="00B266F7">
        <w:rPr>
          <w:rFonts w:ascii="GHEA Grapalat" w:hAnsi="GHEA Grapalat"/>
          <w:i/>
          <w:sz w:val="16"/>
          <w:szCs w:val="16"/>
        </w:rPr>
        <w:t xml:space="preserve"> Dujardin v France, </w:t>
      </w:r>
      <w:r w:rsidRPr="00B266F7">
        <w:rPr>
          <w:rFonts w:ascii="GHEA Grapalat" w:hAnsi="GHEA Grapalat"/>
          <w:sz w:val="16"/>
          <w:szCs w:val="16"/>
        </w:rPr>
        <w:t xml:space="preserve">app. No. 16734/90, decision of 2 September 1991 on admissibility of the application </w:t>
      </w:r>
      <w:r w:rsidRPr="00B266F7">
        <w:rPr>
          <w:rFonts w:ascii="GHEA Grapalat" w:hAnsi="GHEA Grapalat"/>
          <w:sz w:val="16"/>
          <w:szCs w:val="16"/>
          <w:lang w:val="en-GB"/>
        </w:rPr>
        <w:t xml:space="preserve">(as referred to in </w:t>
      </w:r>
      <w:r w:rsidRPr="00B266F7">
        <w:rPr>
          <w:rFonts w:ascii="GHEA Grapalat" w:hAnsi="GHEA Grapalat"/>
          <w:sz w:val="16"/>
          <w:szCs w:val="16"/>
        </w:rPr>
        <w:t xml:space="preserve">Harris D.J., O’Boyle M., Bates E.P., and Buckley C.M., </w:t>
      </w:r>
      <w:r w:rsidRPr="00B266F7">
        <w:rPr>
          <w:rFonts w:ascii="GHEA Grapalat" w:hAnsi="GHEA Grapalat"/>
          <w:i/>
          <w:sz w:val="16"/>
          <w:szCs w:val="16"/>
        </w:rPr>
        <w:t>Law of the European Convention on Human Rights</w:t>
      </w:r>
      <w:r w:rsidRPr="00B266F7">
        <w:rPr>
          <w:rFonts w:ascii="GHEA Grapalat" w:hAnsi="GHEA Grapalat"/>
          <w:sz w:val="16"/>
          <w:szCs w:val="16"/>
        </w:rPr>
        <w:t>, Third edition, Oxford University Press, 2014, p. 205).</w:t>
      </w:r>
      <w:r w:rsidRPr="00B266F7">
        <w:rPr>
          <w:rFonts w:ascii="GHEA Grapalat" w:hAnsi="GHEA Grapalat"/>
          <w:sz w:val="24"/>
          <w:szCs w:val="24"/>
        </w:rPr>
        <w:t xml:space="preserve">  </w:t>
      </w:r>
    </w:p>
  </w:footnote>
  <w:footnote w:id="8">
    <w:p w:rsidR="001F6D5D" w:rsidRPr="00B266F7" w:rsidRDefault="001F6D5D" w:rsidP="001F6D5D">
      <w:pPr>
        <w:pStyle w:val="FootnoteText"/>
        <w:rPr>
          <w:rFonts w:ascii="GHEA Grapalat" w:hAnsi="GHEA Grapalat"/>
          <w:sz w:val="16"/>
          <w:szCs w:val="16"/>
          <w:lang w:val="hy-AM"/>
        </w:rPr>
      </w:pPr>
      <w:r w:rsidRPr="00B266F7">
        <w:rPr>
          <w:rStyle w:val="FootnoteReference"/>
          <w:rFonts w:ascii="GHEA Grapalat" w:hAnsi="GHEA Grapalat"/>
          <w:sz w:val="16"/>
          <w:szCs w:val="16"/>
        </w:rPr>
        <w:footnoteRef/>
      </w:r>
      <w:r w:rsidRPr="00B266F7">
        <w:rPr>
          <w:rFonts w:ascii="GHEA Grapalat" w:hAnsi="GHEA Grapalat"/>
          <w:sz w:val="16"/>
          <w:szCs w:val="16"/>
          <w:lang w:val="hy-AM"/>
        </w:rPr>
        <w:t xml:space="preserve"> Այսուհետ՝ Նախագիծ</w:t>
      </w:r>
    </w:p>
  </w:footnote>
  <w:footnote w:id="9">
    <w:p w:rsidR="001F6D5D" w:rsidRPr="00B266F7" w:rsidRDefault="001F6D5D" w:rsidP="001F6D5D">
      <w:pPr>
        <w:pStyle w:val="FootnoteText"/>
        <w:jc w:val="both"/>
        <w:rPr>
          <w:rFonts w:ascii="GHEA Grapalat" w:hAnsi="GHEA Grapalat"/>
          <w:sz w:val="24"/>
          <w:szCs w:val="24"/>
          <w:lang w:val="hy-AM"/>
        </w:rPr>
      </w:pPr>
      <w:r w:rsidRPr="00B266F7">
        <w:rPr>
          <w:rStyle w:val="FootnoteReference"/>
          <w:rFonts w:ascii="GHEA Grapalat" w:hAnsi="GHEA Grapalat"/>
          <w:sz w:val="16"/>
          <w:szCs w:val="16"/>
        </w:rPr>
        <w:footnoteRef/>
      </w:r>
      <w:r w:rsidRPr="00B266F7">
        <w:rPr>
          <w:rFonts w:ascii="GHEA Grapalat" w:hAnsi="GHEA Grapalat"/>
          <w:sz w:val="16"/>
          <w:szCs w:val="16"/>
          <w:lang w:val="hy-AM"/>
        </w:rPr>
        <w:t>ՄԱԿ-ի Մարդու իրավունքների հանձնակատարի գրասենյակի (OHCHR), Խոշտանգումների կանխար</w:t>
      </w:r>
      <w:r w:rsidRPr="00B266F7">
        <w:rPr>
          <w:rFonts w:ascii="GHEA Grapalat" w:hAnsi="GHEA Grapalat"/>
          <w:sz w:val="16"/>
          <w:szCs w:val="16"/>
          <w:lang w:val="hy-AM"/>
        </w:rPr>
        <w:softHyphen/>
        <w:t>գելման ընկերակցության (APT), Ասիական խաղաղօվկիանոսյան ֆորումի (APF) համահեղինակությամբ:</w:t>
      </w:r>
    </w:p>
  </w:footnote>
  <w:footnote w:id="10">
    <w:p w:rsidR="001F6D5D" w:rsidRPr="00B266F7" w:rsidRDefault="001F6D5D" w:rsidP="001F6D5D">
      <w:pPr>
        <w:pStyle w:val="FootnoteText"/>
        <w:rPr>
          <w:rFonts w:ascii="GHEA Grapalat" w:hAnsi="GHEA Grapalat"/>
          <w:sz w:val="16"/>
          <w:szCs w:val="16"/>
          <w:lang w:val="hy-AM"/>
        </w:rPr>
      </w:pPr>
      <w:r w:rsidRPr="00B266F7">
        <w:rPr>
          <w:rStyle w:val="FootnoteReference"/>
          <w:rFonts w:ascii="GHEA Grapalat" w:hAnsi="GHEA Grapalat"/>
          <w:sz w:val="16"/>
          <w:szCs w:val="16"/>
        </w:rPr>
        <w:footnoteRef/>
      </w:r>
      <w:r w:rsidRPr="00B266F7">
        <w:rPr>
          <w:rFonts w:ascii="GHEA Grapalat" w:hAnsi="GHEA Grapalat"/>
          <w:sz w:val="16"/>
          <w:szCs w:val="16"/>
          <w:lang w:val="hy-AM"/>
        </w:rPr>
        <w:t xml:space="preserve"> </w:t>
      </w:r>
      <w:hyperlink r:id="rId2" w:history="1">
        <w:r w:rsidRPr="00B266F7">
          <w:rPr>
            <w:rStyle w:val="Hyperlink"/>
            <w:rFonts w:ascii="GHEA Grapalat" w:hAnsi="GHEA Grapalat"/>
            <w:sz w:val="16"/>
            <w:szCs w:val="16"/>
            <w:lang w:val="hy-AM"/>
          </w:rPr>
          <w:t>http://www.ohchr.org/Documents/Countries/NHRI/Torture_Prevention_Guide.pdf</w:t>
        </w:r>
      </w:hyperlink>
      <w:r w:rsidRPr="00B266F7">
        <w:rPr>
          <w:rFonts w:ascii="GHEA Grapalat" w:hAnsi="GHEA Grapalat"/>
          <w:sz w:val="16"/>
          <w:szCs w:val="16"/>
          <w:lang w:val="hy-AM"/>
        </w:rPr>
        <w:t xml:space="preserve"> </w:t>
      </w:r>
    </w:p>
  </w:footnote>
  <w:footnote w:id="11">
    <w:p w:rsidR="001F6D5D" w:rsidRPr="00B266F7" w:rsidRDefault="001F6D5D" w:rsidP="001F6D5D">
      <w:pPr>
        <w:pStyle w:val="FootnoteText"/>
        <w:jc w:val="both"/>
        <w:rPr>
          <w:rFonts w:ascii="GHEA Grapalat" w:hAnsi="GHEA Grapalat"/>
          <w:sz w:val="16"/>
          <w:szCs w:val="16"/>
          <w:lang w:val="hy-AM"/>
        </w:rPr>
      </w:pPr>
      <w:r w:rsidRPr="00B266F7">
        <w:rPr>
          <w:rStyle w:val="FootnoteReference"/>
          <w:rFonts w:ascii="GHEA Grapalat" w:hAnsi="GHEA Grapalat"/>
          <w:sz w:val="16"/>
          <w:szCs w:val="16"/>
        </w:rPr>
        <w:footnoteRef/>
      </w:r>
      <w:r w:rsidRPr="00B266F7">
        <w:rPr>
          <w:rFonts w:ascii="GHEA Grapalat" w:hAnsi="GHEA Grapalat"/>
          <w:sz w:val="16"/>
          <w:szCs w:val="16"/>
          <w:lang w:val="hy-AM"/>
        </w:rPr>
        <w:t xml:space="preserve"> </w:t>
      </w:r>
      <w:hyperlink r:id="rId3" w:history="1">
        <w:r w:rsidRPr="00B266F7">
          <w:rPr>
            <w:rStyle w:val="Hyperlink"/>
            <w:rFonts w:ascii="GHEA Grapalat" w:hAnsi="GHEA Grapalat"/>
            <w:sz w:val="16"/>
            <w:szCs w:val="16"/>
            <w:lang w:val="hy-AM"/>
          </w:rPr>
          <w:t>http://www.ohchr.org/Documents/Issues/SRTorture/recommendations.pdf</w:t>
        </w:r>
      </w:hyperlink>
      <w:r w:rsidRPr="00B266F7">
        <w:rPr>
          <w:rFonts w:ascii="GHEA Grapalat" w:hAnsi="GHEA Grapalat"/>
          <w:sz w:val="16"/>
          <w:szCs w:val="16"/>
          <w:lang w:val="hy-AM"/>
        </w:rPr>
        <w:t xml:space="preserve"> </w:t>
      </w:r>
    </w:p>
  </w:footnote>
  <w:footnote w:id="12">
    <w:p w:rsidR="001F6D5D" w:rsidRPr="00B266F7" w:rsidRDefault="001F6D5D" w:rsidP="001F6D5D">
      <w:pPr>
        <w:pStyle w:val="FootnoteText"/>
        <w:jc w:val="both"/>
        <w:rPr>
          <w:rFonts w:ascii="GHEA Grapalat" w:hAnsi="GHEA Grapalat"/>
          <w:sz w:val="16"/>
          <w:szCs w:val="16"/>
          <w:lang w:val="hy-AM"/>
        </w:rPr>
      </w:pPr>
      <w:r w:rsidRPr="00B266F7">
        <w:rPr>
          <w:rStyle w:val="FootnoteReference"/>
          <w:rFonts w:ascii="GHEA Grapalat" w:hAnsi="GHEA Grapalat"/>
          <w:sz w:val="16"/>
          <w:szCs w:val="16"/>
        </w:rPr>
        <w:footnoteRef/>
      </w:r>
      <w:r w:rsidRPr="00B266F7">
        <w:rPr>
          <w:rFonts w:ascii="GHEA Grapalat" w:hAnsi="GHEA Grapalat"/>
          <w:sz w:val="16"/>
          <w:szCs w:val="16"/>
          <w:lang w:val="hy-AM"/>
        </w:rPr>
        <w:t xml:space="preserve"> Զեկույցը ներկայացվել է 2016 թվականի</w:t>
      </w:r>
      <w:r w:rsidRPr="00B266F7">
        <w:rPr>
          <w:rFonts w:ascii="GHEA Grapalat" w:hAnsi="GHEA Grapalat" w:cs="Sylfaen"/>
          <w:sz w:val="16"/>
          <w:szCs w:val="16"/>
          <w:lang w:val="hy-AM"/>
        </w:rPr>
        <w:t xml:space="preserve"> </w:t>
      </w:r>
      <w:r w:rsidRPr="00B266F7">
        <w:rPr>
          <w:rFonts w:ascii="GHEA Grapalat" w:hAnsi="GHEA Grapalat"/>
          <w:sz w:val="16"/>
          <w:szCs w:val="16"/>
          <w:lang w:val="hy-AM"/>
        </w:rPr>
        <w:t xml:space="preserve">նոյեմբերի 23-ին և 24-ին՝ </w:t>
      </w:r>
      <w:r w:rsidRPr="00B266F7">
        <w:rPr>
          <w:rFonts w:ascii="GHEA Grapalat" w:hAnsi="GHEA Grapalat" w:cs="Sylfaen"/>
          <w:sz w:val="16"/>
          <w:szCs w:val="16"/>
          <w:lang w:val="hy-AM"/>
        </w:rPr>
        <w:t xml:space="preserve">ՄԱԿ-ի Խոշտանգումների դեմ կոմիտեի </w:t>
      </w:r>
      <w:r w:rsidRPr="00B266F7">
        <w:rPr>
          <w:rFonts w:ascii="GHEA Grapalat" w:hAnsi="GHEA Grapalat"/>
          <w:sz w:val="16"/>
          <w:szCs w:val="16"/>
          <w:lang w:val="hy-AM"/>
        </w:rPr>
        <w:t>59-րդ նստաշրջանի շրջանակներում:</w:t>
      </w:r>
    </w:p>
  </w:footnote>
  <w:footnote w:id="13">
    <w:p w:rsidR="001F6D5D" w:rsidRPr="00B266F7" w:rsidRDefault="001F6D5D" w:rsidP="001F6D5D">
      <w:pPr>
        <w:pStyle w:val="FootnoteText"/>
        <w:rPr>
          <w:rFonts w:ascii="GHEA Grapalat" w:hAnsi="GHEA Grapalat"/>
          <w:sz w:val="16"/>
          <w:szCs w:val="16"/>
          <w:lang w:val="hy-AM"/>
        </w:rPr>
      </w:pPr>
      <w:r w:rsidRPr="00B266F7">
        <w:rPr>
          <w:rStyle w:val="FootnoteReference"/>
          <w:rFonts w:ascii="GHEA Grapalat" w:hAnsi="GHEA Grapalat"/>
          <w:sz w:val="16"/>
          <w:szCs w:val="16"/>
        </w:rPr>
        <w:footnoteRef/>
      </w:r>
      <w:r w:rsidRPr="00B266F7">
        <w:rPr>
          <w:rFonts w:ascii="GHEA Grapalat" w:hAnsi="GHEA Grapalat"/>
          <w:sz w:val="16"/>
          <w:szCs w:val="16"/>
        </w:rPr>
        <w:t xml:space="preserve"> CAT/C/ARM/CO/3,</w:t>
      </w:r>
      <w:r w:rsidRPr="00B266F7">
        <w:rPr>
          <w:rFonts w:ascii="GHEA Grapalat" w:hAnsi="GHEA Grapalat"/>
          <w:sz w:val="16"/>
          <w:szCs w:val="16"/>
          <w:lang w:val="hy-AM"/>
        </w:rPr>
        <w:t xml:space="preserve"> </w:t>
      </w:r>
      <w:r w:rsidRPr="00B266F7">
        <w:rPr>
          <w:rFonts w:ascii="GHEA Grapalat" w:hAnsi="GHEA Grapalat"/>
          <w:sz w:val="16"/>
          <w:szCs w:val="16"/>
        </w:rPr>
        <w:t>1</w:t>
      </w:r>
      <w:r w:rsidRPr="00B266F7">
        <w:rPr>
          <w:rFonts w:ascii="GHEA Grapalat" w:hAnsi="GHEA Grapalat"/>
          <w:sz w:val="16"/>
          <w:szCs w:val="16"/>
          <w:lang w:val="hy-AM"/>
        </w:rPr>
        <w:t>1</w:t>
      </w:r>
      <w:r w:rsidRPr="00B266F7">
        <w:rPr>
          <w:rFonts w:ascii="GHEA Grapalat" w:hAnsi="GHEA Grapalat"/>
          <w:sz w:val="16"/>
          <w:szCs w:val="16"/>
        </w:rPr>
        <w:t>-</w:t>
      </w:r>
      <w:r w:rsidRPr="00B266F7">
        <w:rPr>
          <w:rFonts w:ascii="GHEA Grapalat" w:hAnsi="GHEA Grapalat" w:cs="Sylfaen"/>
          <w:sz w:val="16"/>
          <w:szCs w:val="16"/>
        </w:rPr>
        <w:t>րդ</w:t>
      </w:r>
      <w:r w:rsidRPr="00B266F7">
        <w:rPr>
          <w:rFonts w:ascii="GHEA Grapalat" w:hAnsi="GHEA Grapalat"/>
          <w:sz w:val="16"/>
          <w:szCs w:val="16"/>
        </w:rPr>
        <w:t xml:space="preserve"> </w:t>
      </w:r>
      <w:r w:rsidRPr="00B266F7">
        <w:rPr>
          <w:rFonts w:ascii="GHEA Grapalat" w:hAnsi="GHEA Grapalat" w:cs="Sylfaen"/>
          <w:sz w:val="16"/>
          <w:szCs w:val="16"/>
        </w:rPr>
        <w:t>կետ</w:t>
      </w:r>
    </w:p>
  </w:footnote>
  <w:footnote w:id="14">
    <w:p w:rsidR="001F6D5D" w:rsidRPr="00B266F7" w:rsidRDefault="001F6D5D" w:rsidP="001F6D5D">
      <w:pPr>
        <w:pStyle w:val="FootnoteText"/>
        <w:jc w:val="both"/>
        <w:rPr>
          <w:rFonts w:ascii="GHEA Grapalat" w:hAnsi="GHEA Grapalat"/>
          <w:sz w:val="16"/>
          <w:szCs w:val="16"/>
          <w:lang w:val="hy-AM"/>
        </w:rPr>
      </w:pPr>
      <w:r w:rsidRPr="00B266F7">
        <w:rPr>
          <w:rStyle w:val="FootnoteReference"/>
          <w:rFonts w:ascii="GHEA Grapalat" w:hAnsi="GHEA Grapalat"/>
          <w:sz w:val="16"/>
          <w:szCs w:val="16"/>
        </w:rPr>
        <w:footnoteRef/>
      </w:r>
      <w:r w:rsidRPr="00B266F7">
        <w:rPr>
          <w:rFonts w:ascii="GHEA Grapalat" w:hAnsi="GHEA Grapalat"/>
          <w:sz w:val="16"/>
          <w:szCs w:val="16"/>
        </w:rPr>
        <w:t>CAT/C/ARM/CO/</w:t>
      </w:r>
      <w:r w:rsidRPr="00B266F7">
        <w:rPr>
          <w:rFonts w:ascii="GHEA Grapalat" w:hAnsi="GHEA Grapalat"/>
          <w:sz w:val="16"/>
          <w:szCs w:val="16"/>
          <w:lang w:val="hy-AM"/>
        </w:rPr>
        <w:t>4,12-րդ կետ. «The Committee reiterates its previous recommendation (see CAT/C/ARM/CO/3, para. 11). The State party should adopt the legislative and other measures necessary and allocate the proper funds to ensure the mandatory video and audio recording of all criminal interrogations and equip all interrogation rooms in police stations and other places of deprivation of liberty with video and audio recording devices. It sh</w:t>
      </w:r>
      <w:r w:rsidRPr="00B266F7">
        <w:rPr>
          <w:rFonts w:ascii="GHEA Grapalat" w:hAnsi="GHEA Grapalat"/>
          <w:sz w:val="16"/>
          <w:szCs w:val="16"/>
        </w:rPr>
        <w:t xml:space="preserve"> </w:t>
      </w:r>
      <w:r w:rsidRPr="00B266F7">
        <w:rPr>
          <w:rFonts w:ascii="GHEA Grapalat" w:hAnsi="GHEA Grapalat"/>
          <w:sz w:val="16"/>
          <w:szCs w:val="16"/>
          <w:lang w:val="hy-AM"/>
        </w:rPr>
        <w:t>ould also ensure that audiovisual footage is kept for a period sufficient for it to be used as evidence, including in court; that videotapes are reviewed to identify and investigate torture and other breaches of standards; and that tapes are made available to defendants and their counsels.»</w:t>
      </w:r>
    </w:p>
  </w:footnote>
  <w:footnote w:id="15">
    <w:p w:rsidR="001F6D5D" w:rsidRPr="00B266F7" w:rsidRDefault="001F6D5D" w:rsidP="001F6D5D">
      <w:pPr>
        <w:pStyle w:val="FootnoteText"/>
        <w:rPr>
          <w:rFonts w:ascii="GHEA Grapalat" w:hAnsi="GHEA Grapalat"/>
          <w:sz w:val="16"/>
          <w:szCs w:val="16"/>
          <w:lang w:val="hy-AM"/>
        </w:rPr>
      </w:pPr>
      <w:r w:rsidRPr="00B266F7">
        <w:rPr>
          <w:rStyle w:val="FootnoteReference"/>
          <w:rFonts w:ascii="GHEA Grapalat" w:hAnsi="GHEA Grapalat"/>
          <w:sz w:val="16"/>
          <w:szCs w:val="16"/>
        </w:rPr>
        <w:footnoteRef/>
      </w:r>
      <w:r w:rsidRPr="00B266F7">
        <w:rPr>
          <w:rFonts w:ascii="GHEA Grapalat" w:hAnsi="GHEA Grapalat"/>
          <w:sz w:val="16"/>
          <w:szCs w:val="16"/>
          <w:lang w:val="hy-AM"/>
        </w:rPr>
        <w:t xml:space="preserve"> </w:t>
      </w:r>
      <w:hyperlink r:id="rId4" w:history="1">
        <w:r w:rsidRPr="00B266F7">
          <w:rPr>
            <w:rStyle w:val="Hyperlink"/>
            <w:rFonts w:ascii="GHEA Grapalat" w:hAnsi="GHEA Grapalat"/>
            <w:sz w:val="16"/>
            <w:szCs w:val="16"/>
            <w:lang w:val="hy-AM"/>
          </w:rPr>
          <w:t>http://www.osce.org/odihr/120173?download=true</w:t>
        </w:r>
      </w:hyperlink>
      <w:r w:rsidRPr="00B266F7">
        <w:rPr>
          <w:rFonts w:ascii="GHEA Grapalat" w:hAnsi="GHEA Grapalat"/>
          <w:sz w:val="16"/>
          <w:szCs w:val="16"/>
          <w:lang w:val="hy-AM"/>
        </w:rPr>
        <w:t xml:space="preserve"> </w:t>
      </w:r>
    </w:p>
  </w:footnote>
  <w:footnote w:id="16">
    <w:p w:rsidR="001F6D5D" w:rsidRPr="00B266F7" w:rsidRDefault="001F6D5D" w:rsidP="001F6D5D">
      <w:pPr>
        <w:pStyle w:val="FootnoteText"/>
        <w:rPr>
          <w:rFonts w:ascii="GHEA Grapalat" w:hAnsi="GHEA Grapalat"/>
          <w:sz w:val="24"/>
          <w:szCs w:val="24"/>
          <w:lang w:val="hy-AM"/>
        </w:rPr>
      </w:pPr>
      <w:r w:rsidRPr="00B266F7">
        <w:rPr>
          <w:rStyle w:val="FootnoteReference"/>
          <w:rFonts w:ascii="GHEA Grapalat" w:hAnsi="GHEA Grapalat"/>
          <w:sz w:val="16"/>
          <w:szCs w:val="16"/>
        </w:rPr>
        <w:footnoteRef/>
      </w:r>
      <w:r w:rsidRPr="00B266F7">
        <w:rPr>
          <w:rFonts w:ascii="GHEA Grapalat" w:hAnsi="GHEA Grapalat"/>
          <w:sz w:val="16"/>
          <w:szCs w:val="16"/>
          <w:lang w:val="hy-AM"/>
        </w:rPr>
        <w:t xml:space="preserve"> Այսուհետ՝ ԽԿԿ</w:t>
      </w:r>
    </w:p>
  </w:footnote>
  <w:footnote w:id="17">
    <w:p w:rsidR="001F6D5D" w:rsidRPr="00B266F7" w:rsidRDefault="001F6D5D" w:rsidP="001F6D5D">
      <w:pPr>
        <w:pStyle w:val="FootnoteText"/>
        <w:contextualSpacing/>
        <w:jc w:val="both"/>
        <w:rPr>
          <w:rFonts w:ascii="GHEA Grapalat" w:hAnsi="GHEA Grapalat"/>
          <w:sz w:val="16"/>
          <w:szCs w:val="16"/>
          <w:lang w:val="hy-AM"/>
        </w:rPr>
      </w:pPr>
      <w:r w:rsidRPr="00B266F7">
        <w:rPr>
          <w:rStyle w:val="FootnoteReference"/>
          <w:rFonts w:ascii="GHEA Grapalat" w:hAnsi="GHEA Grapalat"/>
          <w:sz w:val="16"/>
          <w:szCs w:val="16"/>
        </w:rPr>
        <w:footnoteRef/>
      </w:r>
      <w:r w:rsidRPr="00B266F7">
        <w:rPr>
          <w:rFonts w:ascii="GHEA Grapalat" w:hAnsi="GHEA Grapalat"/>
          <w:sz w:val="16"/>
          <w:szCs w:val="16"/>
          <w:lang w:val="hy-AM"/>
        </w:rPr>
        <w:t xml:space="preserve"> </w:t>
      </w:r>
      <w:r w:rsidRPr="00B266F7">
        <w:rPr>
          <w:rFonts w:ascii="GHEA Grapalat" w:hAnsi="GHEA Grapalat" w:cs="Sylfaen"/>
          <w:sz w:val="16"/>
          <w:szCs w:val="16"/>
          <w:lang w:val="hy-AM"/>
        </w:rPr>
        <w:t>ԽԿԿ</w:t>
      </w:r>
      <w:r w:rsidRPr="00B266F7">
        <w:rPr>
          <w:rFonts w:ascii="GHEA Grapalat" w:hAnsi="GHEA Grapalat"/>
          <w:sz w:val="16"/>
          <w:szCs w:val="16"/>
          <w:lang w:val="hy-AM"/>
        </w:rPr>
        <w:t>-</w:t>
      </w:r>
      <w:r w:rsidRPr="00B266F7">
        <w:rPr>
          <w:rFonts w:ascii="GHEA Grapalat" w:hAnsi="GHEA Grapalat" w:cs="Sylfaen"/>
          <w:sz w:val="16"/>
          <w:szCs w:val="16"/>
          <w:lang w:val="hy-AM"/>
        </w:rPr>
        <w:t>ն</w:t>
      </w:r>
      <w:r w:rsidRPr="00B266F7">
        <w:rPr>
          <w:rFonts w:ascii="GHEA Grapalat" w:hAnsi="GHEA Grapalat"/>
          <w:sz w:val="16"/>
          <w:szCs w:val="16"/>
          <w:lang w:val="hy-AM"/>
        </w:rPr>
        <w:t xml:space="preserve">  վերահաստատել է այս </w:t>
      </w:r>
      <w:r w:rsidRPr="00B266F7">
        <w:rPr>
          <w:rFonts w:ascii="GHEA Grapalat" w:hAnsi="GHEA Grapalat" w:cs="Sylfaen"/>
          <w:sz w:val="16"/>
          <w:szCs w:val="16"/>
          <w:lang w:val="hy-AM"/>
        </w:rPr>
        <w:t>դիրքորոշումը</w:t>
      </w:r>
      <w:r w:rsidRPr="00B266F7">
        <w:rPr>
          <w:rFonts w:ascii="GHEA Grapalat" w:hAnsi="GHEA Grapalat"/>
          <w:sz w:val="16"/>
          <w:szCs w:val="16"/>
          <w:lang w:val="hy-AM"/>
        </w:rPr>
        <w:t xml:space="preserve"> </w:t>
      </w:r>
      <w:r w:rsidRPr="00B266F7">
        <w:rPr>
          <w:rFonts w:ascii="GHEA Grapalat" w:hAnsi="GHEA Grapalat" w:cs="Sylfaen"/>
          <w:sz w:val="16"/>
          <w:szCs w:val="16"/>
          <w:lang w:val="hy-AM"/>
        </w:rPr>
        <w:t>նաև</w:t>
      </w:r>
      <w:r w:rsidRPr="00B266F7">
        <w:rPr>
          <w:rFonts w:ascii="GHEA Grapalat" w:hAnsi="GHEA Grapalat"/>
          <w:sz w:val="16"/>
          <w:szCs w:val="16"/>
          <w:lang w:val="hy-AM"/>
        </w:rPr>
        <w:t xml:space="preserve"> </w:t>
      </w:r>
      <w:r w:rsidRPr="00B266F7">
        <w:rPr>
          <w:rFonts w:ascii="GHEA Grapalat" w:hAnsi="GHEA Grapalat" w:cs="Sylfaen"/>
          <w:sz w:val="16"/>
          <w:szCs w:val="16"/>
          <w:lang w:val="hy-AM"/>
        </w:rPr>
        <w:t>Հայաստանի</w:t>
      </w:r>
      <w:r w:rsidRPr="00B266F7">
        <w:rPr>
          <w:rFonts w:ascii="GHEA Grapalat" w:hAnsi="GHEA Grapalat"/>
          <w:sz w:val="16"/>
          <w:szCs w:val="16"/>
          <w:lang w:val="hy-AM"/>
        </w:rPr>
        <w:t xml:space="preserve"> </w:t>
      </w:r>
      <w:r w:rsidRPr="00B266F7">
        <w:rPr>
          <w:rFonts w:ascii="GHEA Grapalat" w:hAnsi="GHEA Grapalat" w:cs="Sylfaen"/>
          <w:sz w:val="16"/>
          <w:szCs w:val="16"/>
          <w:lang w:val="hy-AM"/>
        </w:rPr>
        <w:t>վերաբերյալ</w:t>
      </w:r>
      <w:r w:rsidRPr="00B266F7">
        <w:rPr>
          <w:rFonts w:ascii="GHEA Grapalat" w:hAnsi="GHEA Grapalat"/>
          <w:sz w:val="16"/>
          <w:szCs w:val="16"/>
          <w:lang w:val="hy-AM"/>
        </w:rPr>
        <w:t xml:space="preserve"> 2015 </w:t>
      </w:r>
      <w:r w:rsidRPr="00B266F7">
        <w:rPr>
          <w:rFonts w:ascii="GHEA Grapalat" w:hAnsi="GHEA Grapalat" w:cs="Sylfaen"/>
          <w:sz w:val="16"/>
          <w:szCs w:val="16"/>
          <w:lang w:val="hy-AM"/>
        </w:rPr>
        <w:t>թվականի</w:t>
      </w:r>
      <w:r w:rsidRPr="00B266F7">
        <w:rPr>
          <w:rFonts w:ascii="GHEA Grapalat" w:hAnsi="GHEA Grapalat"/>
          <w:sz w:val="16"/>
          <w:szCs w:val="16"/>
          <w:lang w:val="hy-AM"/>
        </w:rPr>
        <w:t xml:space="preserve"> </w:t>
      </w:r>
      <w:r w:rsidRPr="00B266F7">
        <w:rPr>
          <w:rFonts w:ascii="GHEA Grapalat" w:hAnsi="GHEA Grapalat" w:cs="Sylfaen"/>
          <w:sz w:val="16"/>
          <w:szCs w:val="16"/>
          <w:lang w:val="hy-AM"/>
        </w:rPr>
        <w:t>իր</w:t>
      </w:r>
      <w:r w:rsidRPr="00B266F7">
        <w:rPr>
          <w:rFonts w:ascii="GHEA Grapalat" w:hAnsi="GHEA Grapalat"/>
          <w:sz w:val="16"/>
          <w:szCs w:val="16"/>
          <w:lang w:val="hy-AM"/>
        </w:rPr>
        <w:t xml:space="preserve"> </w:t>
      </w:r>
      <w:r w:rsidRPr="00B266F7">
        <w:rPr>
          <w:rFonts w:ascii="GHEA Grapalat" w:hAnsi="GHEA Grapalat" w:cs="Sylfaen"/>
          <w:sz w:val="16"/>
          <w:szCs w:val="16"/>
          <w:lang w:val="hy-AM"/>
        </w:rPr>
        <w:t>զեկույցում:</w:t>
      </w:r>
    </w:p>
  </w:footnote>
  <w:footnote w:id="18">
    <w:p w:rsidR="001F6D5D" w:rsidRPr="00B266F7" w:rsidRDefault="001F6D5D" w:rsidP="001F6D5D">
      <w:pPr>
        <w:pStyle w:val="NormalWeb"/>
        <w:tabs>
          <w:tab w:val="left" w:pos="1134"/>
          <w:tab w:val="left" w:pos="9498"/>
        </w:tabs>
        <w:spacing w:before="0" w:beforeAutospacing="0" w:after="0" w:afterAutospacing="0"/>
        <w:ind w:right="191"/>
        <w:contextualSpacing/>
        <w:rPr>
          <w:rFonts w:ascii="GHEA Grapalat" w:hAnsi="GHEA Grapalat"/>
          <w:sz w:val="16"/>
          <w:szCs w:val="16"/>
          <w:lang w:val="hy-AM"/>
        </w:rPr>
      </w:pPr>
      <w:r w:rsidRPr="00B266F7">
        <w:rPr>
          <w:rStyle w:val="FootnoteReference"/>
          <w:rFonts w:ascii="GHEA Grapalat" w:hAnsi="GHEA Grapalat"/>
          <w:sz w:val="16"/>
          <w:szCs w:val="16"/>
        </w:rPr>
        <w:footnoteRef/>
      </w:r>
      <w:hyperlink r:id="rId5" w:history="1">
        <w:r w:rsidRPr="00B266F7">
          <w:rPr>
            <w:rStyle w:val="Hyperlink"/>
            <w:rFonts w:ascii="GHEA Grapalat" w:hAnsi="GHEA Grapalat"/>
            <w:sz w:val="16"/>
            <w:szCs w:val="16"/>
            <w:lang w:val="hy-AM"/>
          </w:rPr>
          <w:t>https://wcd.coe.int/com.instranet.InstraServlet?command=com.instranet.CmdBlobGet&amp;InstranetImage=2790589&amp;SecMode=1&amp;DocId=2243332&amp;Usage=2</w:t>
        </w:r>
      </w:hyperlink>
      <w:r w:rsidRPr="00B266F7">
        <w:rPr>
          <w:rFonts w:ascii="GHEA Grapalat" w:hAnsi="GHEA Grapalat"/>
          <w:sz w:val="16"/>
          <w:szCs w:val="16"/>
          <w:lang w:val="hy-AM"/>
        </w:rPr>
        <w:t xml:space="preserve"> </w:t>
      </w:r>
    </w:p>
  </w:footnote>
  <w:footnote w:id="19">
    <w:p w:rsidR="001F6D5D" w:rsidRPr="00B266F7" w:rsidRDefault="001F6D5D" w:rsidP="001F6D5D">
      <w:pPr>
        <w:pStyle w:val="FootnoteText"/>
        <w:contextualSpacing/>
        <w:rPr>
          <w:rFonts w:ascii="GHEA Grapalat" w:hAnsi="GHEA Grapalat"/>
          <w:sz w:val="24"/>
          <w:szCs w:val="24"/>
          <w:lang w:val="hy-AM"/>
        </w:rPr>
      </w:pPr>
      <w:r w:rsidRPr="00B266F7">
        <w:rPr>
          <w:rStyle w:val="FootnoteReference"/>
          <w:rFonts w:ascii="GHEA Grapalat" w:hAnsi="GHEA Grapalat"/>
          <w:sz w:val="16"/>
          <w:szCs w:val="16"/>
        </w:rPr>
        <w:footnoteRef/>
      </w:r>
      <w:r w:rsidRPr="00B266F7">
        <w:rPr>
          <w:rFonts w:ascii="GHEA Grapalat" w:hAnsi="GHEA Grapalat"/>
          <w:sz w:val="16"/>
          <w:szCs w:val="16"/>
          <w:lang w:val="hy-AM"/>
        </w:rPr>
        <w:t xml:space="preserve"> Այսուհետ՝ Եվրոպական դատարան</w:t>
      </w:r>
    </w:p>
  </w:footnote>
  <w:footnote w:id="20">
    <w:p w:rsidR="001F6D5D" w:rsidRPr="00B266F7" w:rsidRDefault="001F6D5D" w:rsidP="001F6D5D">
      <w:pPr>
        <w:pStyle w:val="FootnoteText"/>
        <w:ind w:left="720" w:hanging="720"/>
        <w:rPr>
          <w:rFonts w:ascii="GHEA Grapalat" w:hAnsi="GHEA Grapalat"/>
          <w:sz w:val="16"/>
          <w:szCs w:val="16"/>
          <w:lang w:val="hy-AM"/>
        </w:rPr>
      </w:pPr>
      <w:r w:rsidRPr="00B266F7">
        <w:rPr>
          <w:rStyle w:val="FootnoteReference"/>
          <w:rFonts w:ascii="GHEA Grapalat" w:hAnsi="GHEA Grapalat"/>
          <w:sz w:val="16"/>
          <w:szCs w:val="16"/>
        </w:rPr>
        <w:footnoteRef/>
      </w:r>
      <w:r w:rsidRPr="00B266F7">
        <w:rPr>
          <w:rFonts w:ascii="GHEA Grapalat" w:hAnsi="GHEA Grapalat"/>
          <w:sz w:val="16"/>
          <w:szCs w:val="16"/>
          <w:lang w:val="hy-AM"/>
        </w:rPr>
        <w:t xml:space="preserve"> Տե՛ս օրինակ՝ «</w:t>
      </w:r>
      <w:r w:rsidRPr="00B266F7">
        <w:rPr>
          <w:rFonts w:ascii="GHEA Grapalat" w:hAnsi="GHEA Grapalat"/>
          <w:b/>
          <w:i/>
          <w:sz w:val="16"/>
          <w:szCs w:val="16"/>
          <w:lang w:val="hy-AM"/>
        </w:rPr>
        <w:t xml:space="preserve">Պողոսյանն ընդդեմ Հայաստանի» </w:t>
      </w:r>
      <w:r w:rsidRPr="00B266F7">
        <w:rPr>
          <w:rFonts w:ascii="GHEA Grapalat" w:hAnsi="GHEA Grapalat"/>
          <w:sz w:val="16"/>
          <w:szCs w:val="16"/>
          <w:lang w:val="hy-AM"/>
        </w:rPr>
        <w:t>(գանգատ թիվ 44068/07)</w:t>
      </w:r>
      <w:r w:rsidRPr="00B266F7">
        <w:rPr>
          <w:rFonts w:ascii="GHEA Grapalat" w:hAnsi="GHEA Grapalat"/>
          <w:b/>
          <w:i/>
          <w:sz w:val="16"/>
          <w:szCs w:val="16"/>
          <w:lang w:val="hy-AM"/>
        </w:rPr>
        <w:t xml:space="preserve"> </w:t>
      </w:r>
      <w:r w:rsidRPr="00B266F7">
        <w:rPr>
          <w:rFonts w:ascii="GHEA Grapalat" w:hAnsi="GHEA Grapalat"/>
          <w:sz w:val="16"/>
          <w:szCs w:val="16"/>
          <w:lang w:val="hy-AM"/>
        </w:rPr>
        <w:t xml:space="preserve">խումբ գործերը հետևյալ հղումով </w:t>
      </w:r>
      <w:hyperlink r:id="rId6" w:history="1">
        <w:r w:rsidRPr="00B266F7">
          <w:rPr>
            <w:rStyle w:val="Hyperlink"/>
            <w:rFonts w:ascii="GHEA Grapalat" w:hAnsi="GHEA Grapalat"/>
            <w:sz w:val="16"/>
            <w:szCs w:val="16"/>
            <w:lang w:val="hy-AM"/>
          </w:rPr>
          <w:t>http://hudoc.exec.coe.int/eng?i=004-365</w:t>
        </w:r>
      </w:hyperlink>
      <w:r w:rsidRPr="00B266F7">
        <w:rPr>
          <w:rFonts w:ascii="GHEA Grapalat" w:hAnsi="GHEA Grapalat"/>
          <w:sz w:val="16"/>
          <w:szCs w:val="16"/>
          <w:lang w:val="hy-AM"/>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00833C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B72266"/>
    <w:multiLevelType w:val="multilevel"/>
    <w:tmpl w:val="B6D2433A"/>
    <w:lvl w:ilvl="0">
      <w:start w:val="1"/>
      <w:numFmt w:val="decimal"/>
      <w:lvlText w:val="%1."/>
      <w:lvlJc w:val="left"/>
      <w:pPr>
        <w:ind w:left="734" w:hanging="360"/>
      </w:pPr>
      <w:rPr>
        <w:rFonts w:hint="default"/>
        <w:b/>
      </w:rPr>
    </w:lvl>
    <w:lvl w:ilvl="1">
      <w:start w:val="1"/>
      <w:numFmt w:val="decimal"/>
      <w:isLgl/>
      <w:lvlText w:val="%1.%2."/>
      <w:lvlJc w:val="left"/>
      <w:pPr>
        <w:ind w:left="1280" w:hanging="360"/>
      </w:pPr>
      <w:rPr>
        <w:rFonts w:hint="default"/>
        <w:b/>
      </w:rPr>
    </w:lvl>
    <w:lvl w:ilvl="2">
      <w:start w:val="1"/>
      <w:numFmt w:val="decimal"/>
      <w:isLgl/>
      <w:lvlText w:val="%1.%2.%3."/>
      <w:lvlJc w:val="left"/>
      <w:pPr>
        <w:ind w:left="2186" w:hanging="720"/>
      </w:pPr>
      <w:rPr>
        <w:rFonts w:hint="default"/>
        <w:b/>
      </w:rPr>
    </w:lvl>
    <w:lvl w:ilvl="3">
      <w:start w:val="1"/>
      <w:numFmt w:val="decimal"/>
      <w:isLgl/>
      <w:lvlText w:val="%1.%2.%3.%4."/>
      <w:lvlJc w:val="left"/>
      <w:pPr>
        <w:ind w:left="2732" w:hanging="720"/>
      </w:pPr>
      <w:rPr>
        <w:rFonts w:hint="default"/>
        <w:b/>
      </w:rPr>
    </w:lvl>
    <w:lvl w:ilvl="4">
      <w:start w:val="1"/>
      <w:numFmt w:val="decimal"/>
      <w:isLgl/>
      <w:lvlText w:val="%1.%2.%3.%4.%5."/>
      <w:lvlJc w:val="left"/>
      <w:pPr>
        <w:ind w:left="3638" w:hanging="1080"/>
      </w:pPr>
      <w:rPr>
        <w:rFonts w:hint="default"/>
        <w:b/>
      </w:rPr>
    </w:lvl>
    <w:lvl w:ilvl="5">
      <w:start w:val="1"/>
      <w:numFmt w:val="decimal"/>
      <w:isLgl/>
      <w:lvlText w:val="%1.%2.%3.%4.%5.%6."/>
      <w:lvlJc w:val="left"/>
      <w:pPr>
        <w:ind w:left="4184" w:hanging="1080"/>
      </w:pPr>
      <w:rPr>
        <w:rFonts w:hint="default"/>
        <w:b/>
      </w:rPr>
    </w:lvl>
    <w:lvl w:ilvl="6">
      <w:start w:val="1"/>
      <w:numFmt w:val="decimal"/>
      <w:isLgl/>
      <w:lvlText w:val="%1.%2.%3.%4.%5.%6.%7."/>
      <w:lvlJc w:val="left"/>
      <w:pPr>
        <w:ind w:left="5090" w:hanging="1440"/>
      </w:pPr>
      <w:rPr>
        <w:rFonts w:hint="default"/>
        <w:b/>
      </w:rPr>
    </w:lvl>
    <w:lvl w:ilvl="7">
      <w:start w:val="1"/>
      <w:numFmt w:val="decimal"/>
      <w:isLgl/>
      <w:lvlText w:val="%1.%2.%3.%4.%5.%6.%7.%8."/>
      <w:lvlJc w:val="left"/>
      <w:pPr>
        <w:ind w:left="5636" w:hanging="1440"/>
      </w:pPr>
      <w:rPr>
        <w:rFonts w:hint="default"/>
        <w:b/>
      </w:rPr>
    </w:lvl>
    <w:lvl w:ilvl="8">
      <w:start w:val="1"/>
      <w:numFmt w:val="decimal"/>
      <w:isLgl/>
      <w:lvlText w:val="%1.%2.%3.%4.%5.%6.%7.%8.%9."/>
      <w:lvlJc w:val="left"/>
      <w:pPr>
        <w:ind w:left="6542" w:hanging="1800"/>
      </w:pPr>
      <w:rPr>
        <w:rFonts w:hint="default"/>
        <w:b/>
      </w:rPr>
    </w:lvl>
  </w:abstractNum>
  <w:abstractNum w:abstractNumId="2" w15:restartNumberingAfterBreak="0">
    <w:nsid w:val="00DD40E8"/>
    <w:multiLevelType w:val="multilevel"/>
    <w:tmpl w:val="F2287D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0DD4C22"/>
    <w:multiLevelType w:val="hybridMultilevel"/>
    <w:tmpl w:val="FE405FDE"/>
    <w:lvl w:ilvl="0" w:tplc="50C4C682">
      <w:start w:val="1"/>
      <w:numFmt w:val="decimal"/>
      <w:lvlText w:val="%1."/>
      <w:lvlJc w:val="left"/>
      <w:pPr>
        <w:ind w:left="1095" w:hanging="360"/>
      </w:pPr>
    </w:lvl>
    <w:lvl w:ilvl="1" w:tplc="042B0019">
      <w:start w:val="1"/>
      <w:numFmt w:val="lowerLetter"/>
      <w:lvlText w:val="%2."/>
      <w:lvlJc w:val="left"/>
      <w:pPr>
        <w:ind w:left="1815" w:hanging="360"/>
      </w:pPr>
    </w:lvl>
    <w:lvl w:ilvl="2" w:tplc="042B001B">
      <w:start w:val="1"/>
      <w:numFmt w:val="lowerRoman"/>
      <w:lvlText w:val="%3."/>
      <w:lvlJc w:val="right"/>
      <w:pPr>
        <w:ind w:left="2535" w:hanging="180"/>
      </w:pPr>
    </w:lvl>
    <w:lvl w:ilvl="3" w:tplc="042B000F">
      <w:start w:val="1"/>
      <w:numFmt w:val="decimal"/>
      <w:lvlText w:val="%4."/>
      <w:lvlJc w:val="left"/>
      <w:pPr>
        <w:ind w:left="3255" w:hanging="360"/>
      </w:pPr>
    </w:lvl>
    <w:lvl w:ilvl="4" w:tplc="042B0019">
      <w:start w:val="1"/>
      <w:numFmt w:val="lowerLetter"/>
      <w:lvlText w:val="%5."/>
      <w:lvlJc w:val="left"/>
      <w:pPr>
        <w:ind w:left="3975" w:hanging="360"/>
      </w:pPr>
    </w:lvl>
    <w:lvl w:ilvl="5" w:tplc="042B001B">
      <w:start w:val="1"/>
      <w:numFmt w:val="lowerRoman"/>
      <w:lvlText w:val="%6."/>
      <w:lvlJc w:val="right"/>
      <w:pPr>
        <w:ind w:left="4695" w:hanging="180"/>
      </w:pPr>
    </w:lvl>
    <w:lvl w:ilvl="6" w:tplc="042B000F">
      <w:start w:val="1"/>
      <w:numFmt w:val="decimal"/>
      <w:lvlText w:val="%7."/>
      <w:lvlJc w:val="left"/>
      <w:pPr>
        <w:ind w:left="5415" w:hanging="360"/>
      </w:pPr>
    </w:lvl>
    <w:lvl w:ilvl="7" w:tplc="042B0019">
      <w:start w:val="1"/>
      <w:numFmt w:val="lowerLetter"/>
      <w:lvlText w:val="%8."/>
      <w:lvlJc w:val="left"/>
      <w:pPr>
        <w:ind w:left="6135" w:hanging="360"/>
      </w:pPr>
    </w:lvl>
    <w:lvl w:ilvl="8" w:tplc="042B001B">
      <w:start w:val="1"/>
      <w:numFmt w:val="lowerRoman"/>
      <w:lvlText w:val="%9."/>
      <w:lvlJc w:val="right"/>
      <w:pPr>
        <w:ind w:left="6855" w:hanging="180"/>
      </w:pPr>
    </w:lvl>
  </w:abstractNum>
  <w:abstractNum w:abstractNumId="4" w15:restartNumberingAfterBreak="0">
    <w:nsid w:val="01623309"/>
    <w:multiLevelType w:val="hybridMultilevel"/>
    <w:tmpl w:val="1A767DD6"/>
    <w:lvl w:ilvl="0" w:tplc="30D839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D97F8E"/>
    <w:multiLevelType w:val="multilevel"/>
    <w:tmpl w:val="C13803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cs="Times New Roman" w:hint="default"/>
        <w:b/>
      </w:rPr>
    </w:lvl>
    <w:lvl w:ilvl="2">
      <w:start w:val="1"/>
      <w:numFmt w:val="decimal"/>
      <w:isLgl/>
      <w:lvlText w:val="%1.%2.%3"/>
      <w:lvlJc w:val="left"/>
      <w:pPr>
        <w:ind w:left="1080" w:hanging="720"/>
      </w:pPr>
      <w:rPr>
        <w:rFonts w:eastAsia="Times New Roman" w:cs="Times New Roman" w:hint="default"/>
        <w:b/>
      </w:rPr>
    </w:lvl>
    <w:lvl w:ilvl="3">
      <w:start w:val="1"/>
      <w:numFmt w:val="decimal"/>
      <w:isLgl/>
      <w:lvlText w:val="%1.%2.%3.%4"/>
      <w:lvlJc w:val="left"/>
      <w:pPr>
        <w:ind w:left="1440" w:hanging="1080"/>
      </w:pPr>
      <w:rPr>
        <w:rFonts w:eastAsia="Times New Roman" w:cs="Times New Roman" w:hint="default"/>
        <w:b/>
      </w:rPr>
    </w:lvl>
    <w:lvl w:ilvl="4">
      <w:start w:val="1"/>
      <w:numFmt w:val="decimal"/>
      <w:isLgl/>
      <w:lvlText w:val="%1.%2.%3.%4.%5"/>
      <w:lvlJc w:val="left"/>
      <w:pPr>
        <w:ind w:left="1440" w:hanging="1080"/>
      </w:pPr>
      <w:rPr>
        <w:rFonts w:eastAsia="Times New Roman" w:cs="Times New Roman" w:hint="default"/>
        <w:b/>
      </w:rPr>
    </w:lvl>
    <w:lvl w:ilvl="5">
      <w:start w:val="1"/>
      <w:numFmt w:val="decimal"/>
      <w:isLgl/>
      <w:lvlText w:val="%1.%2.%3.%4.%5.%6"/>
      <w:lvlJc w:val="left"/>
      <w:pPr>
        <w:ind w:left="1800" w:hanging="1440"/>
      </w:pPr>
      <w:rPr>
        <w:rFonts w:eastAsia="Times New Roman" w:cs="Times New Roman" w:hint="default"/>
        <w:b/>
      </w:rPr>
    </w:lvl>
    <w:lvl w:ilvl="6">
      <w:start w:val="1"/>
      <w:numFmt w:val="decimal"/>
      <w:isLgl/>
      <w:lvlText w:val="%1.%2.%3.%4.%5.%6.%7"/>
      <w:lvlJc w:val="left"/>
      <w:pPr>
        <w:ind w:left="1800" w:hanging="1440"/>
      </w:pPr>
      <w:rPr>
        <w:rFonts w:eastAsia="Times New Roman" w:cs="Times New Roman" w:hint="default"/>
        <w:b/>
      </w:rPr>
    </w:lvl>
    <w:lvl w:ilvl="7">
      <w:start w:val="1"/>
      <w:numFmt w:val="decimal"/>
      <w:isLgl/>
      <w:lvlText w:val="%1.%2.%3.%4.%5.%6.%7.%8"/>
      <w:lvlJc w:val="left"/>
      <w:pPr>
        <w:ind w:left="2160" w:hanging="1800"/>
      </w:pPr>
      <w:rPr>
        <w:rFonts w:eastAsia="Times New Roman" w:cs="Times New Roman" w:hint="default"/>
        <w:b/>
      </w:rPr>
    </w:lvl>
    <w:lvl w:ilvl="8">
      <w:start w:val="1"/>
      <w:numFmt w:val="decimal"/>
      <w:isLgl/>
      <w:lvlText w:val="%1.%2.%3.%4.%5.%6.%7.%8.%9"/>
      <w:lvlJc w:val="left"/>
      <w:pPr>
        <w:ind w:left="2520" w:hanging="2160"/>
      </w:pPr>
      <w:rPr>
        <w:rFonts w:eastAsia="Times New Roman" w:cs="Times New Roman" w:hint="default"/>
        <w:b/>
      </w:rPr>
    </w:lvl>
  </w:abstractNum>
  <w:abstractNum w:abstractNumId="6" w15:restartNumberingAfterBreak="0">
    <w:nsid w:val="01E14D55"/>
    <w:multiLevelType w:val="multilevel"/>
    <w:tmpl w:val="EC56204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21A47C8"/>
    <w:multiLevelType w:val="hybridMultilevel"/>
    <w:tmpl w:val="08DC5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7836C1"/>
    <w:multiLevelType w:val="hybridMultilevel"/>
    <w:tmpl w:val="512A1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7E3406"/>
    <w:multiLevelType w:val="hybridMultilevel"/>
    <w:tmpl w:val="0B9CA1EE"/>
    <w:lvl w:ilvl="0" w:tplc="0AAA9D54">
      <w:start w:val="1"/>
      <w:numFmt w:val="decimal"/>
      <w:lvlText w:val="%1."/>
      <w:lvlJc w:val="left"/>
      <w:pPr>
        <w:ind w:left="810" w:hanging="360"/>
      </w:pPr>
      <w:rPr>
        <w:rFonts w:cs="Times New Roman"/>
      </w:rPr>
    </w:lvl>
    <w:lvl w:ilvl="1" w:tplc="04090019">
      <w:start w:val="1"/>
      <w:numFmt w:val="lowerLetter"/>
      <w:lvlText w:val="%2."/>
      <w:lvlJc w:val="left"/>
      <w:pPr>
        <w:ind w:left="1530" w:hanging="360"/>
      </w:pPr>
      <w:rPr>
        <w:rFonts w:cs="Times New Roman"/>
      </w:rPr>
    </w:lvl>
    <w:lvl w:ilvl="2" w:tplc="0409001B">
      <w:start w:val="1"/>
      <w:numFmt w:val="lowerRoman"/>
      <w:lvlText w:val="%3."/>
      <w:lvlJc w:val="right"/>
      <w:pPr>
        <w:ind w:left="2250" w:hanging="180"/>
      </w:pPr>
      <w:rPr>
        <w:rFonts w:cs="Times New Roman"/>
      </w:rPr>
    </w:lvl>
    <w:lvl w:ilvl="3" w:tplc="0409000F">
      <w:start w:val="1"/>
      <w:numFmt w:val="decimal"/>
      <w:lvlText w:val="%4."/>
      <w:lvlJc w:val="left"/>
      <w:pPr>
        <w:ind w:left="2970" w:hanging="360"/>
      </w:pPr>
      <w:rPr>
        <w:rFonts w:cs="Times New Roman"/>
      </w:rPr>
    </w:lvl>
    <w:lvl w:ilvl="4" w:tplc="04090019">
      <w:start w:val="1"/>
      <w:numFmt w:val="lowerLetter"/>
      <w:lvlText w:val="%5."/>
      <w:lvlJc w:val="left"/>
      <w:pPr>
        <w:ind w:left="3690" w:hanging="360"/>
      </w:pPr>
      <w:rPr>
        <w:rFonts w:cs="Times New Roman"/>
      </w:rPr>
    </w:lvl>
    <w:lvl w:ilvl="5" w:tplc="0409001B">
      <w:start w:val="1"/>
      <w:numFmt w:val="lowerRoman"/>
      <w:lvlText w:val="%6."/>
      <w:lvlJc w:val="right"/>
      <w:pPr>
        <w:ind w:left="4410" w:hanging="180"/>
      </w:pPr>
      <w:rPr>
        <w:rFonts w:cs="Times New Roman"/>
      </w:rPr>
    </w:lvl>
    <w:lvl w:ilvl="6" w:tplc="0409000F">
      <w:start w:val="1"/>
      <w:numFmt w:val="decimal"/>
      <w:lvlText w:val="%7."/>
      <w:lvlJc w:val="left"/>
      <w:pPr>
        <w:ind w:left="5130" w:hanging="360"/>
      </w:pPr>
      <w:rPr>
        <w:rFonts w:cs="Times New Roman"/>
      </w:rPr>
    </w:lvl>
    <w:lvl w:ilvl="7" w:tplc="04090019">
      <w:start w:val="1"/>
      <w:numFmt w:val="lowerLetter"/>
      <w:lvlText w:val="%8."/>
      <w:lvlJc w:val="left"/>
      <w:pPr>
        <w:ind w:left="5850" w:hanging="360"/>
      </w:pPr>
      <w:rPr>
        <w:rFonts w:cs="Times New Roman"/>
      </w:rPr>
    </w:lvl>
    <w:lvl w:ilvl="8" w:tplc="0409001B">
      <w:start w:val="1"/>
      <w:numFmt w:val="lowerRoman"/>
      <w:lvlText w:val="%9."/>
      <w:lvlJc w:val="right"/>
      <w:pPr>
        <w:ind w:left="6570" w:hanging="180"/>
      </w:pPr>
      <w:rPr>
        <w:rFonts w:cs="Times New Roman"/>
      </w:rPr>
    </w:lvl>
  </w:abstractNum>
  <w:abstractNum w:abstractNumId="10" w15:restartNumberingAfterBreak="0">
    <w:nsid w:val="03852AC0"/>
    <w:multiLevelType w:val="multilevel"/>
    <w:tmpl w:val="86E0BE44"/>
    <w:lvl w:ilvl="0">
      <w:start w:val="1"/>
      <w:numFmt w:val="decimal"/>
      <w:lvlText w:val="%1."/>
      <w:lvlJc w:val="left"/>
      <w:pPr>
        <w:ind w:left="390" w:hanging="390"/>
      </w:pPr>
      <w:rPr>
        <w:rFonts w:ascii="Arial" w:hAnsi="Arial" w:hint="default"/>
      </w:rPr>
    </w:lvl>
    <w:lvl w:ilvl="1">
      <w:start w:val="1"/>
      <w:numFmt w:val="decimal"/>
      <w:lvlText w:val="%1.%2."/>
      <w:lvlJc w:val="left"/>
      <w:pPr>
        <w:ind w:left="1299" w:hanging="720"/>
      </w:pPr>
      <w:rPr>
        <w:rFonts w:ascii="Arial" w:hAnsi="Arial" w:hint="default"/>
      </w:rPr>
    </w:lvl>
    <w:lvl w:ilvl="2">
      <w:start w:val="1"/>
      <w:numFmt w:val="decimal"/>
      <w:lvlText w:val="%1.%2.%3."/>
      <w:lvlJc w:val="left"/>
      <w:pPr>
        <w:ind w:left="1878" w:hanging="720"/>
      </w:pPr>
      <w:rPr>
        <w:rFonts w:ascii="Arial" w:hAnsi="Arial" w:hint="default"/>
      </w:rPr>
    </w:lvl>
    <w:lvl w:ilvl="3">
      <w:start w:val="1"/>
      <w:numFmt w:val="decimal"/>
      <w:lvlText w:val="%1.%2.%3.%4."/>
      <w:lvlJc w:val="left"/>
      <w:pPr>
        <w:ind w:left="2817" w:hanging="1080"/>
      </w:pPr>
      <w:rPr>
        <w:rFonts w:ascii="Arial" w:hAnsi="Arial" w:hint="default"/>
      </w:rPr>
    </w:lvl>
    <w:lvl w:ilvl="4">
      <w:start w:val="1"/>
      <w:numFmt w:val="decimal"/>
      <w:lvlText w:val="%1.%2.%3.%4.%5."/>
      <w:lvlJc w:val="left"/>
      <w:pPr>
        <w:ind w:left="3396" w:hanging="1080"/>
      </w:pPr>
      <w:rPr>
        <w:rFonts w:ascii="Arial" w:hAnsi="Arial" w:hint="default"/>
      </w:rPr>
    </w:lvl>
    <w:lvl w:ilvl="5">
      <w:start w:val="1"/>
      <w:numFmt w:val="decimal"/>
      <w:lvlText w:val="%1.%2.%3.%4.%5.%6."/>
      <w:lvlJc w:val="left"/>
      <w:pPr>
        <w:ind w:left="4335" w:hanging="1440"/>
      </w:pPr>
      <w:rPr>
        <w:rFonts w:ascii="Arial" w:hAnsi="Arial" w:hint="default"/>
      </w:rPr>
    </w:lvl>
    <w:lvl w:ilvl="6">
      <w:start w:val="1"/>
      <w:numFmt w:val="decimal"/>
      <w:lvlText w:val="%1.%2.%3.%4.%5.%6.%7."/>
      <w:lvlJc w:val="left"/>
      <w:pPr>
        <w:ind w:left="5274" w:hanging="1800"/>
      </w:pPr>
      <w:rPr>
        <w:rFonts w:ascii="Arial" w:hAnsi="Arial" w:hint="default"/>
      </w:rPr>
    </w:lvl>
    <w:lvl w:ilvl="7">
      <w:start w:val="1"/>
      <w:numFmt w:val="decimal"/>
      <w:lvlText w:val="%1.%2.%3.%4.%5.%6.%7.%8."/>
      <w:lvlJc w:val="left"/>
      <w:pPr>
        <w:ind w:left="5853" w:hanging="1800"/>
      </w:pPr>
      <w:rPr>
        <w:rFonts w:ascii="Arial" w:hAnsi="Arial" w:hint="default"/>
      </w:rPr>
    </w:lvl>
    <w:lvl w:ilvl="8">
      <w:start w:val="1"/>
      <w:numFmt w:val="decimal"/>
      <w:lvlText w:val="%1.%2.%3.%4.%5.%6.%7.%8.%9."/>
      <w:lvlJc w:val="left"/>
      <w:pPr>
        <w:ind w:left="6792" w:hanging="2160"/>
      </w:pPr>
      <w:rPr>
        <w:rFonts w:ascii="Arial" w:hAnsi="Arial" w:hint="default"/>
      </w:rPr>
    </w:lvl>
  </w:abstractNum>
  <w:abstractNum w:abstractNumId="11" w15:restartNumberingAfterBreak="0">
    <w:nsid w:val="042C3F38"/>
    <w:multiLevelType w:val="multilevel"/>
    <w:tmpl w:val="24A8A35A"/>
    <w:lvl w:ilvl="0">
      <w:start w:val="1"/>
      <w:numFmt w:val="decimal"/>
      <w:lvlText w:val="%1."/>
      <w:lvlJc w:val="left"/>
      <w:pPr>
        <w:ind w:left="720" w:hanging="360"/>
      </w:pPr>
      <w:rPr>
        <w:rFonts w:hint="default"/>
      </w:rPr>
    </w:lvl>
    <w:lvl w:ilvl="1">
      <w:start w:val="1"/>
      <w:numFmt w:val="decimal"/>
      <w:isLgl/>
      <w:lvlText w:val="%1.%2"/>
      <w:lvlJc w:val="left"/>
      <w:pPr>
        <w:ind w:left="99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800" w:hanging="144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2160" w:hanging="1800"/>
      </w:pPr>
      <w:rPr>
        <w:rFonts w:cs="Sylfaen" w:hint="default"/>
      </w:rPr>
    </w:lvl>
  </w:abstractNum>
  <w:abstractNum w:abstractNumId="12" w15:restartNumberingAfterBreak="0">
    <w:nsid w:val="04375E59"/>
    <w:multiLevelType w:val="hybridMultilevel"/>
    <w:tmpl w:val="CB7A7AD8"/>
    <w:lvl w:ilvl="0" w:tplc="0409000F">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04B2556C"/>
    <w:multiLevelType w:val="multilevel"/>
    <w:tmpl w:val="4C3634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04C946D1"/>
    <w:multiLevelType w:val="hybridMultilevel"/>
    <w:tmpl w:val="F5E88ABE"/>
    <w:lvl w:ilvl="0" w:tplc="91B8C32E">
      <w:start w:val="22"/>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4E44C02"/>
    <w:multiLevelType w:val="hybridMultilevel"/>
    <w:tmpl w:val="F4365B08"/>
    <w:lvl w:ilvl="0" w:tplc="ED1843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530333C"/>
    <w:multiLevelType w:val="hybridMultilevel"/>
    <w:tmpl w:val="68B42FA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053621E5"/>
    <w:multiLevelType w:val="hybridMultilevel"/>
    <w:tmpl w:val="0C1E46BC"/>
    <w:styleLink w:val="WW8Num241"/>
    <w:lvl w:ilvl="0" w:tplc="305CC0B6">
      <w:start w:val="1"/>
      <w:numFmt w:val="decimal"/>
      <w:pStyle w:val="Bullet"/>
      <w:lvlText w:val="%1)"/>
      <w:lvlJc w:val="left"/>
      <w:pPr>
        <w:ind w:left="360" w:hanging="360"/>
      </w:pPr>
      <w:rPr>
        <w:rFonts w:ascii="GHEA Mariam" w:eastAsia="Times New Roman" w:hAnsi="GHEA Mariam" w:cs="Times New Roman"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54C6FF5"/>
    <w:multiLevelType w:val="hybridMultilevel"/>
    <w:tmpl w:val="49A26204"/>
    <w:lvl w:ilvl="0" w:tplc="04190001">
      <w:start w:val="1"/>
      <w:numFmt w:val="bullet"/>
      <w:lvlText w:val=""/>
      <w:lvlJc w:val="left"/>
      <w:pPr>
        <w:tabs>
          <w:tab w:val="num" w:pos="795"/>
        </w:tabs>
        <w:ind w:left="795" w:hanging="360"/>
      </w:pPr>
      <w:rPr>
        <w:rFonts w:ascii="Symbol" w:hAnsi="Symbol" w:hint="default"/>
      </w:rPr>
    </w:lvl>
    <w:lvl w:ilvl="1" w:tplc="0CC2F41C">
      <w:start w:val="1"/>
      <w:numFmt w:val="decimal"/>
      <w:lvlText w:val="%2)"/>
      <w:lvlJc w:val="left"/>
      <w:pPr>
        <w:tabs>
          <w:tab w:val="num" w:pos="1515"/>
        </w:tabs>
        <w:ind w:left="1515" w:hanging="360"/>
      </w:pPr>
      <w:rPr>
        <w:rFonts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059966CE"/>
    <w:multiLevelType w:val="multilevel"/>
    <w:tmpl w:val="8C18F93A"/>
    <w:lvl w:ilvl="0">
      <w:start w:val="1"/>
      <w:numFmt w:val="decimal"/>
      <w:lvlText w:val="%1."/>
      <w:lvlJc w:val="left"/>
      <w:pPr>
        <w:ind w:left="720" w:hanging="360"/>
      </w:pPr>
      <w:rPr>
        <w:rFonts w:ascii="GHEA Grapalat" w:eastAsia="Times New Roman" w:hAnsi="GHEA Grapalat" w:hint="default"/>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06354F80"/>
    <w:multiLevelType w:val="hybridMultilevel"/>
    <w:tmpl w:val="3FA2B07E"/>
    <w:lvl w:ilvl="0" w:tplc="044C4CB6">
      <w:start w:val="1"/>
      <w:numFmt w:val="decimal"/>
      <w:lvlText w:val="%1."/>
      <w:lvlJc w:val="left"/>
      <w:pPr>
        <w:ind w:left="502" w:hanging="360"/>
      </w:pPr>
      <w:rPr>
        <w:rFonts w:hint="default"/>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1" w15:restartNumberingAfterBreak="0">
    <w:nsid w:val="069B1F48"/>
    <w:multiLevelType w:val="hybridMultilevel"/>
    <w:tmpl w:val="665C3066"/>
    <w:lvl w:ilvl="0" w:tplc="98100E96">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6A7689A"/>
    <w:multiLevelType w:val="hybridMultilevel"/>
    <w:tmpl w:val="5C0218EA"/>
    <w:lvl w:ilvl="0" w:tplc="BFF22CE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073065ED"/>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24" w15:restartNumberingAfterBreak="0">
    <w:nsid w:val="075D24B7"/>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25" w15:restartNumberingAfterBreak="0">
    <w:nsid w:val="07795077"/>
    <w:multiLevelType w:val="multilevel"/>
    <w:tmpl w:val="50E83C4A"/>
    <w:lvl w:ilvl="0">
      <w:start w:val="1"/>
      <w:numFmt w:val="decimal"/>
      <w:lvlText w:val="%1."/>
      <w:lvlJc w:val="left"/>
      <w:pPr>
        <w:ind w:left="360" w:hanging="36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6" w15:restartNumberingAfterBreak="0">
    <w:nsid w:val="07C30348"/>
    <w:multiLevelType w:val="multilevel"/>
    <w:tmpl w:val="1E2A727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7" w15:restartNumberingAfterBreak="0">
    <w:nsid w:val="07DC356E"/>
    <w:multiLevelType w:val="hybridMultilevel"/>
    <w:tmpl w:val="DBB42D90"/>
    <w:lvl w:ilvl="0" w:tplc="91200256">
      <w:start w:val="1"/>
      <w:numFmt w:val="decimal"/>
      <w:lvlText w:val="%1)"/>
      <w:lvlJc w:val="left"/>
      <w:pPr>
        <w:ind w:left="728" w:hanging="360"/>
      </w:pPr>
      <w:rPr>
        <w:rFonts w:cs="Wingding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8" w15:restartNumberingAfterBreak="0">
    <w:nsid w:val="07E228D2"/>
    <w:multiLevelType w:val="multilevel"/>
    <w:tmpl w:val="AF96BBB4"/>
    <w:lvl w:ilvl="0">
      <w:start w:val="1"/>
      <w:numFmt w:val="decimal"/>
      <w:lvlText w:val="%1"/>
      <w:lvlJc w:val="left"/>
      <w:pPr>
        <w:ind w:left="90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780" w:hanging="1800"/>
      </w:pPr>
      <w:rPr>
        <w:rFonts w:hint="default"/>
      </w:rPr>
    </w:lvl>
  </w:abstractNum>
  <w:abstractNum w:abstractNumId="29" w15:restartNumberingAfterBreak="0">
    <w:nsid w:val="07E341EB"/>
    <w:multiLevelType w:val="multilevel"/>
    <w:tmpl w:val="18143B08"/>
    <w:lvl w:ilvl="0">
      <w:start w:val="1"/>
      <w:numFmt w:val="decimal"/>
      <w:lvlText w:val="%1."/>
      <w:lvlJc w:val="left"/>
      <w:pPr>
        <w:ind w:left="360" w:hanging="360"/>
      </w:pPr>
      <w:rPr>
        <w:rFonts w:cs="Times New Roman" w:hint="default"/>
        <w:b/>
      </w:rPr>
    </w:lvl>
    <w:lvl w:ilvl="1">
      <w:start w:val="2"/>
      <w:numFmt w:val="decimal"/>
      <w:lvlText w:val="%1.%2."/>
      <w:lvlJc w:val="left"/>
      <w:pPr>
        <w:ind w:left="2160" w:hanging="720"/>
      </w:pPr>
      <w:rPr>
        <w:rFonts w:cs="Times New Roman" w:hint="default"/>
        <w:b/>
      </w:rPr>
    </w:lvl>
    <w:lvl w:ilvl="2">
      <w:start w:val="1"/>
      <w:numFmt w:val="decimal"/>
      <w:lvlText w:val="%1.%2.%3."/>
      <w:lvlJc w:val="left"/>
      <w:pPr>
        <w:ind w:left="3600" w:hanging="720"/>
      </w:pPr>
      <w:rPr>
        <w:rFonts w:cs="Times New Roman" w:hint="default"/>
        <w:b/>
      </w:rPr>
    </w:lvl>
    <w:lvl w:ilvl="3">
      <w:start w:val="1"/>
      <w:numFmt w:val="decimal"/>
      <w:lvlText w:val="%1.%2.%3.%4."/>
      <w:lvlJc w:val="left"/>
      <w:pPr>
        <w:ind w:left="5400" w:hanging="1080"/>
      </w:pPr>
      <w:rPr>
        <w:rFonts w:cs="Times New Roman" w:hint="default"/>
        <w:b/>
      </w:rPr>
    </w:lvl>
    <w:lvl w:ilvl="4">
      <w:start w:val="1"/>
      <w:numFmt w:val="decimal"/>
      <w:lvlText w:val="%1.%2.%3.%4.%5."/>
      <w:lvlJc w:val="left"/>
      <w:pPr>
        <w:ind w:left="6840" w:hanging="1080"/>
      </w:pPr>
      <w:rPr>
        <w:rFonts w:cs="Times New Roman" w:hint="default"/>
        <w:b/>
      </w:rPr>
    </w:lvl>
    <w:lvl w:ilvl="5">
      <w:start w:val="1"/>
      <w:numFmt w:val="decimal"/>
      <w:lvlText w:val="%1.%2.%3.%4.%5.%6."/>
      <w:lvlJc w:val="left"/>
      <w:pPr>
        <w:ind w:left="8640" w:hanging="1440"/>
      </w:pPr>
      <w:rPr>
        <w:rFonts w:cs="Times New Roman" w:hint="default"/>
        <w:b/>
      </w:rPr>
    </w:lvl>
    <w:lvl w:ilvl="6">
      <w:start w:val="1"/>
      <w:numFmt w:val="decimal"/>
      <w:lvlText w:val="%1.%2.%3.%4.%5.%6.%7."/>
      <w:lvlJc w:val="left"/>
      <w:pPr>
        <w:ind w:left="10080" w:hanging="1440"/>
      </w:pPr>
      <w:rPr>
        <w:rFonts w:cs="Times New Roman" w:hint="default"/>
        <w:b/>
      </w:rPr>
    </w:lvl>
    <w:lvl w:ilvl="7">
      <w:start w:val="1"/>
      <w:numFmt w:val="decimal"/>
      <w:lvlText w:val="%1.%2.%3.%4.%5.%6.%7.%8."/>
      <w:lvlJc w:val="left"/>
      <w:pPr>
        <w:ind w:left="11880" w:hanging="1800"/>
      </w:pPr>
      <w:rPr>
        <w:rFonts w:cs="Times New Roman" w:hint="default"/>
        <w:b/>
      </w:rPr>
    </w:lvl>
    <w:lvl w:ilvl="8">
      <w:start w:val="1"/>
      <w:numFmt w:val="decimal"/>
      <w:lvlText w:val="%1.%2.%3.%4.%5.%6.%7.%8.%9."/>
      <w:lvlJc w:val="left"/>
      <w:pPr>
        <w:ind w:left="13320" w:hanging="1800"/>
      </w:pPr>
      <w:rPr>
        <w:rFonts w:cs="Times New Roman" w:hint="default"/>
        <w:b/>
      </w:rPr>
    </w:lvl>
  </w:abstractNum>
  <w:abstractNum w:abstractNumId="30" w15:restartNumberingAfterBreak="0">
    <w:nsid w:val="07F900B4"/>
    <w:multiLevelType w:val="hybridMultilevel"/>
    <w:tmpl w:val="DF185C0C"/>
    <w:lvl w:ilvl="0" w:tplc="551688B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1" w15:restartNumberingAfterBreak="0">
    <w:nsid w:val="083166D8"/>
    <w:multiLevelType w:val="multilevel"/>
    <w:tmpl w:val="8A44B89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08403A56"/>
    <w:multiLevelType w:val="multilevel"/>
    <w:tmpl w:val="06A65FC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cs="Sylfaen" w:hint="default"/>
      </w:rPr>
    </w:lvl>
    <w:lvl w:ilvl="2">
      <w:start w:val="1"/>
      <w:numFmt w:val="decimal"/>
      <w:isLgl/>
      <w:lvlText w:val="%1.%2.%3"/>
      <w:lvlJc w:val="left"/>
      <w:pPr>
        <w:ind w:left="1440" w:hanging="720"/>
      </w:pPr>
      <w:rPr>
        <w:rFonts w:cs="Sylfaen" w:hint="default"/>
      </w:rPr>
    </w:lvl>
    <w:lvl w:ilvl="3">
      <w:start w:val="1"/>
      <w:numFmt w:val="decimal"/>
      <w:isLgl/>
      <w:lvlText w:val="%1.%2.%3.%4"/>
      <w:lvlJc w:val="left"/>
      <w:pPr>
        <w:ind w:left="1440" w:hanging="720"/>
      </w:pPr>
      <w:rPr>
        <w:rFonts w:cs="Sylfaen" w:hint="default"/>
      </w:rPr>
    </w:lvl>
    <w:lvl w:ilvl="4">
      <w:start w:val="1"/>
      <w:numFmt w:val="decimal"/>
      <w:isLgl/>
      <w:lvlText w:val="%1.%2.%3.%4.%5"/>
      <w:lvlJc w:val="left"/>
      <w:pPr>
        <w:ind w:left="1800" w:hanging="1080"/>
      </w:pPr>
      <w:rPr>
        <w:rFonts w:cs="Sylfaen" w:hint="default"/>
      </w:rPr>
    </w:lvl>
    <w:lvl w:ilvl="5">
      <w:start w:val="1"/>
      <w:numFmt w:val="decimal"/>
      <w:isLgl/>
      <w:lvlText w:val="%1.%2.%3.%4.%5.%6"/>
      <w:lvlJc w:val="left"/>
      <w:pPr>
        <w:ind w:left="2160" w:hanging="1440"/>
      </w:pPr>
      <w:rPr>
        <w:rFonts w:cs="Sylfaen" w:hint="default"/>
      </w:rPr>
    </w:lvl>
    <w:lvl w:ilvl="6">
      <w:start w:val="1"/>
      <w:numFmt w:val="decimal"/>
      <w:isLgl/>
      <w:lvlText w:val="%1.%2.%3.%4.%5.%6.%7"/>
      <w:lvlJc w:val="left"/>
      <w:pPr>
        <w:ind w:left="2160" w:hanging="1440"/>
      </w:pPr>
      <w:rPr>
        <w:rFonts w:cs="Sylfaen" w:hint="default"/>
      </w:rPr>
    </w:lvl>
    <w:lvl w:ilvl="7">
      <w:start w:val="1"/>
      <w:numFmt w:val="decimal"/>
      <w:isLgl/>
      <w:lvlText w:val="%1.%2.%3.%4.%5.%6.%7.%8"/>
      <w:lvlJc w:val="left"/>
      <w:pPr>
        <w:ind w:left="2520" w:hanging="1800"/>
      </w:pPr>
      <w:rPr>
        <w:rFonts w:cs="Sylfaen" w:hint="default"/>
      </w:rPr>
    </w:lvl>
    <w:lvl w:ilvl="8">
      <w:start w:val="1"/>
      <w:numFmt w:val="decimal"/>
      <w:isLgl/>
      <w:lvlText w:val="%1.%2.%3.%4.%5.%6.%7.%8.%9"/>
      <w:lvlJc w:val="left"/>
      <w:pPr>
        <w:ind w:left="2520" w:hanging="1800"/>
      </w:pPr>
      <w:rPr>
        <w:rFonts w:cs="Sylfaen" w:hint="default"/>
      </w:rPr>
    </w:lvl>
  </w:abstractNum>
  <w:abstractNum w:abstractNumId="33" w15:restartNumberingAfterBreak="0">
    <w:nsid w:val="08444593"/>
    <w:multiLevelType w:val="multilevel"/>
    <w:tmpl w:val="E9503502"/>
    <w:lvl w:ilvl="0">
      <w:start w:val="1"/>
      <w:numFmt w:val="decimal"/>
      <w:lvlText w:val="%1."/>
      <w:lvlJc w:val="left"/>
      <w:pPr>
        <w:ind w:left="735" w:hanging="360"/>
      </w:pPr>
      <w:rPr>
        <w:rFonts w:hint="default"/>
      </w:rPr>
    </w:lvl>
    <w:lvl w:ilvl="1">
      <w:start w:val="1"/>
      <w:numFmt w:val="decimal"/>
      <w:isLgl/>
      <w:lvlText w:val="%1.%2."/>
      <w:lvlJc w:val="left"/>
      <w:pPr>
        <w:ind w:left="1140" w:hanging="765"/>
      </w:pPr>
      <w:rPr>
        <w:rFonts w:hint="default"/>
      </w:rPr>
    </w:lvl>
    <w:lvl w:ilvl="2">
      <w:start w:val="1"/>
      <w:numFmt w:val="decimal"/>
      <w:isLgl/>
      <w:lvlText w:val="%1.%2.%3."/>
      <w:lvlJc w:val="left"/>
      <w:pPr>
        <w:ind w:left="1140" w:hanging="765"/>
      </w:pPr>
      <w:rPr>
        <w:rFonts w:hint="default"/>
      </w:rPr>
    </w:lvl>
    <w:lvl w:ilvl="3">
      <w:start w:val="1"/>
      <w:numFmt w:val="decimal"/>
      <w:isLgl/>
      <w:lvlText w:val="%1.%2.%3.%4."/>
      <w:lvlJc w:val="left"/>
      <w:pPr>
        <w:ind w:left="1455" w:hanging="108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35" w:hanging="2160"/>
      </w:pPr>
      <w:rPr>
        <w:rFonts w:hint="default"/>
      </w:rPr>
    </w:lvl>
  </w:abstractNum>
  <w:abstractNum w:abstractNumId="34" w15:restartNumberingAfterBreak="0">
    <w:nsid w:val="08585032"/>
    <w:multiLevelType w:val="hybridMultilevel"/>
    <w:tmpl w:val="0F7672F6"/>
    <w:lvl w:ilvl="0" w:tplc="2A766AC2">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5" w15:restartNumberingAfterBreak="0">
    <w:nsid w:val="0863640D"/>
    <w:multiLevelType w:val="multilevel"/>
    <w:tmpl w:val="23A03512"/>
    <w:lvl w:ilvl="0">
      <w:start w:val="2021"/>
      <w:numFmt w:val="decimal"/>
      <w:lvlText w:val="%1"/>
      <w:lvlJc w:val="left"/>
      <w:pPr>
        <w:ind w:left="1110" w:hanging="1110"/>
      </w:pPr>
      <w:rPr>
        <w:rFonts w:hint="default"/>
      </w:rPr>
    </w:lvl>
    <w:lvl w:ilvl="1">
      <w:start w:val="2030"/>
      <w:numFmt w:val="decimal"/>
      <w:lvlText w:val="%1-%2"/>
      <w:lvlJc w:val="left"/>
      <w:pPr>
        <w:ind w:left="1110" w:hanging="1110"/>
      </w:pPr>
      <w:rPr>
        <w:rFonts w:hint="default"/>
      </w:rPr>
    </w:lvl>
    <w:lvl w:ilvl="2">
      <w:start w:val="1"/>
      <w:numFmt w:val="decimal"/>
      <w:lvlText w:val="%1-%2.%3"/>
      <w:lvlJc w:val="left"/>
      <w:pPr>
        <w:ind w:left="1110" w:hanging="1110"/>
      </w:pPr>
      <w:rPr>
        <w:rFonts w:hint="default"/>
      </w:rPr>
    </w:lvl>
    <w:lvl w:ilvl="3">
      <w:start w:val="1"/>
      <w:numFmt w:val="decimal"/>
      <w:lvlText w:val="%1-%2.%3.%4"/>
      <w:lvlJc w:val="left"/>
      <w:pPr>
        <w:ind w:left="1110" w:hanging="1110"/>
      </w:pPr>
      <w:rPr>
        <w:rFonts w:hint="default"/>
      </w:rPr>
    </w:lvl>
    <w:lvl w:ilvl="4">
      <w:start w:val="1"/>
      <w:numFmt w:val="decimal"/>
      <w:lvlText w:val="%1-%2.%3.%4.%5"/>
      <w:lvlJc w:val="left"/>
      <w:pPr>
        <w:ind w:left="1110" w:hanging="111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08A31819"/>
    <w:multiLevelType w:val="hybridMultilevel"/>
    <w:tmpl w:val="56B017DE"/>
    <w:lvl w:ilvl="0" w:tplc="0D4A4AC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8AE2B8C"/>
    <w:multiLevelType w:val="multilevel"/>
    <w:tmpl w:val="B352E79E"/>
    <w:lvl w:ilvl="0">
      <w:start w:val="1"/>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1080" w:hanging="108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440" w:hanging="144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800" w:hanging="1800"/>
      </w:pPr>
      <w:rPr>
        <w:rFonts w:cs="Sylfaen" w:hint="default"/>
      </w:rPr>
    </w:lvl>
    <w:lvl w:ilvl="8">
      <w:start w:val="1"/>
      <w:numFmt w:val="decimal"/>
      <w:lvlText w:val="%1.%2.%3.%4.%5.%6.%7.%8.%9"/>
      <w:lvlJc w:val="left"/>
      <w:pPr>
        <w:ind w:left="2160" w:hanging="2160"/>
      </w:pPr>
      <w:rPr>
        <w:rFonts w:cs="Sylfaen" w:hint="default"/>
      </w:rPr>
    </w:lvl>
  </w:abstractNum>
  <w:abstractNum w:abstractNumId="38" w15:restartNumberingAfterBreak="0">
    <w:nsid w:val="08DE5FF5"/>
    <w:multiLevelType w:val="multilevel"/>
    <w:tmpl w:val="EF0AD85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098B55D6"/>
    <w:multiLevelType w:val="multilevel"/>
    <w:tmpl w:val="7EA61BDE"/>
    <w:lvl w:ilvl="0">
      <w:start w:val="12"/>
      <w:numFmt w:val="decimal"/>
      <w:lvlText w:val="%1"/>
      <w:lvlJc w:val="left"/>
      <w:pPr>
        <w:ind w:left="375" w:hanging="375"/>
      </w:pPr>
      <w:rPr>
        <w:rFonts w:hint="default"/>
      </w:rPr>
    </w:lvl>
    <w:lvl w:ilvl="1">
      <w:start w:val="5"/>
      <w:numFmt w:val="decimal"/>
      <w:lvlText w:val="%1.%2"/>
      <w:lvlJc w:val="left"/>
      <w:pPr>
        <w:ind w:left="435" w:hanging="37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40" w15:restartNumberingAfterBreak="0">
    <w:nsid w:val="099D0E36"/>
    <w:multiLevelType w:val="hybridMultilevel"/>
    <w:tmpl w:val="E1F048B0"/>
    <w:styleLink w:val="WW8Num242"/>
    <w:lvl w:ilvl="0" w:tplc="04190001">
      <w:start w:val="1"/>
      <w:numFmt w:val="bullet"/>
      <w:lvlText w:val=""/>
      <w:lvlJc w:val="left"/>
      <w:pPr>
        <w:ind w:left="937" w:hanging="360"/>
      </w:pPr>
      <w:rPr>
        <w:rFonts w:ascii="Symbol" w:hAnsi="Symbol" w:hint="default"/>
      </w:rPr>
    </w:lvl>
    <w:lvl w:ilvl="1" w:tplc="04190003" w:tentative="1">
      <w:start w:val="1"/>
      <w:numFmt w:val="bullet"/>
      <w:lvlText w:val="o"/>
      <w:lvlJc w:val="left"/>
      <w:pPr>
        <w:ind w:left="1657" w:hanging="360"/>
      </w:pPr>
      <w:rPr>
        <w:rFonts w:ascii="Courier New" w:hAnsi="Courier New" w:cs="Courier New" w:hint="default"/>
      </w:rPr>
    </w:lvl>
    <w:lvl w:ilvl="2" w:tplc="04190005" w:tentative="1">
      <w:start w:val="1"/>
      <w:numFmt w:val="bullet"/>
      <w:lvlText w:val=""/>
      <w:lvlJc w:val="left"/>
      <w:pPr>
        <w:ind w:left="2377" w:hanging="360"/>
      </w:pPr>
      <w:rPr>
        <w:rFonts w:ascii="Wingdings" w:hAnsi="Wingdings" w:hint="default"/>
      </w:rPr>
    </w:lvl>
    <w:lvl w:ilvl="3" w:tplc="04190001" w:tentative="1">
      <w:start w:val="1"/>
      <w:numFmt w:val="bullet"/>
      <w:lvlText w:val=""/>
      <w:lvlJc w:val="left"/>
      <w:pPr>
        <w:ind w:left="3097" w:hanging="360"/>
      </w:pPr>
      <w:rPr>
        <w:rFonts w:ascii="Symbol" w:hAnsi="Symbol" w:hint="default"/>
      </w:rPr>
    </w:lvl>
    <w:lvl w:ilvl="4" w:tplc="04190003" w:tentative="1">
      <w:start w:val="1"/>
      <w:numFmt w:val="bullet"/>
      <w:lvlText w:val="o"/>
      <w:lvlJc w:val="left"/>
      <w:pPr>
        <w:ind w:left="3817" w:hanging="360"/>
      </w:pPr>
      <w:rPr>
        <w:rFonts w:ascii="Courier New" w:hAnsi="Courier New" w:cs="Courier New" w:hint="default"/>
      </w:rPr>
    </w:lvl>
    <w:lvl w:ilvl="5" w:tplc="04190005" w:tentative="1">
      <w:start w:val="1"/>
      <w:numFmt w:val="bullet"/>
      <w:lvlText w:val=""/>
      <w:lvlJc w:val="left"/>
      <w:pPr>
        <w:ind w:left="4537" w:hanging="360"/>
      </w:pPr>
      <w:rPr>
        <w:rFonts w:ascii="Wingdings" w:hAnsi="Wingdings" w:hint="default"/>
      </w:rPr>
    </w:lvl>
    <w:lvl w:ilvl="6" w:tplc="04190001" w:tentative="1">
      <w:start w:val="1"/>
      <w:numFmt w:val="bullet"/>
      <w:lvlText w:val=""/>
      <w:lvlJc w:val="left"/>
      <w:pPr>
        <w:ind w:left="5257" w:hanging="360"/>
      </w:pPr>
      <w:rPr>
        <w:rFonts w:ascii="Symbol" w:hAnsi="Symbol" w:hint="default"/>
      </w:rPr>
    </w:lvl>
    <w:lvl w:ilvl="7" w:tplc="04190003" w:tentative="1">
      <w:start w:val="1"/>
      <w:numFmt w:val="bullet"/>
      <w:lvlText w:val="o"/>
      <w:lvlJc w:val="left"/>
      <w:pPr>
        <w:ind w:left="5977" w:hanging="360"/>
      </w:pPr>
      <w:rPr>
        <w:rFonts w:ascii="Courier New" w:hAnsi="Courier New" w:cs="Courier New" w:hint="default"/>
      </w:rPr>
    </w:lvl>
    <w:lvl w:ilvl="8" w:tplc="04190005" w:tentative="1">
      <w:start w:val="1"/>
      <w:numFmt w:val="bullet"/>
      <w:lvlText w:val=""/>
      <w:lvlJc w:val="left"/>
      <w:pPr>
        <w:ind w:left="6697" w:hanging="360"/>
      </w:pPr>
      <w:rPr>
        <w:rFonts w:ascii="Wingdings" w:hAnsi="Wingdings" w:hint="default"/>
      </w:rPr>
    </w:lvl>
  </w:abstractNum>
  <w:abstractNum w:abstractNumId="41" w15:restartNumberingAfterBreak="0">
    <w:nsid w:val="09C91D60"/>
    <w:multiLevelType w:val="multilevel"/>
    <w:tmpl w:val="9878C44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15:restartNumberingAfterBreak="0">
    <w:nsid w:val="0A0343C1"/>
    <w:multiLevelType w:val="multilevel"/>
    <w:tmpl w:val="9586C2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0A174BB6"/>
    <w:multiLevelType w:val="multilevel"/>
    <w:tmpl w:val="8DAEC8A2"/>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44" w15:restartNumberingAfterBreak="0">
    <w:nsid w:val="0A477613"/>
    <w:multiLevelType w:val="multilevel"/>
    <w:tmpl w:val="DE82C48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800" w:hanging="1440"/>
      </w:pPr>
      <w:rPr>
        <w:rFonts w:cs="Sylfaen" w:hint="default"/>
      </w:rPr>
    </w:lvl>
    <w:lvl w:ilvl="6">
      <w:start w:val="1"/>
      <w:numFmt w:val="decimal"/>
      <w:isLgl/>
      <w:lvlText w:val="%1.%2.%3.%4.%5.%6.%7"/>
      <w:lvlJc w:val="left"/>
      <w:pPr>
        <w:ind w:left="1800" w:hanging="1440"/>
      </w:pPr>
      <w:rPr>
        <w:rFonts w:cs="Sylfaen" w:hint="default"/>
      </w:rPr>
    </w:lvl>
    <w:lvl w:ilvl="7">
      <w:start w:val="1"/>
      <w:numFmt w:val="decimal"/>
      <w:isLgl/>
      <w:lvlText w:val="%1.%2.%3.%4.%5.%6.%7.%8"/>
      <w:lvlJc w:val="left"/>
      <w:pPr>
        <w:ind w:left="2160" w:hanging="1800"/>
      </w:pPr>
      <w:rPr>
        <w:rFonts w:cs="Sylfaen" w:hint="default"/>
      </w:rPr>
    </w:lvl>
    <w:lvl w:ilvl="8">
      <w:start w:val="1"/>
      <w:numFmt w:val="decimal"/>
      <w:isLgl/>
      <w:lvlText w:val="%1.%2.%3.%4.%5.%6.%7.%8.%9"/>
      <w:lvlJc w:val="left"/>
      <w:pPr>
        <w:ind w:left="2160" w:hanging="1800"/>
      </w:pPr>
      <w:rPr>
        <w:rFonts w:cs="Sylfaen" w:hint="default"/>
      </w:rPr>
    </w:lvl>
  </w:abstractNum>
  <w:abstractNum w:abstractNumId="45" w15:restartNumberingAfterBreak="0">
    <w:nsid w:val="0A8700E8"/>
    <w:multiLevelType w:val="multilevel"/>
    <w:tmpl w:val="92D8D37C"/>
    <w:lvl w:ilvl="0">
      <w:start w:val="1"/>
      <w:numFmt w:val="decimal"/>
      <w:lvlText w:val="%1."/>
      <w:lvlJc w:val="left"/>
      <w:pPr>
        <w:ind w:left="735" w:hanging="360"/>
      </w:pPr>
      <w:rPr>
        <w:rFonts w:cs="Times New Roman"/>
      </w:rPr>
    </w:lvl>
    <w:lvl w:ilvl="1">
      <w:start w:val="1"/>
      <w:numFmt w:val="decimal"/>
      <w:isLgl/>
      <w:suff w:val="space"/>
      <w:lvlText w:val="%1.%2."/>
      <w:lvlJc w:val="left"/>
      <w:pPr>
        <w:ind w:left="1095" w:hanging="720"/>
      </w:pPr>
      <w:rPr>
        <w:rFonts w:ascii="GHEA Grapalat" w:hAnsi="GHEA Grapalat" w:cs="Times New Roman" w:hint="default"/>
        <w:b/>
      </w:rPr>
    </w:lvl>
    <w:lvl w:ilvl="2">
      <w:start w:val="1"/>
      <w:numFmt w:val="decimal"/>
      <w:isLgl/>
      <w:lvlText w:val="%1.%2.%3."/>
      <w:lvlJc w:val="left"/>
      <w:pPr>
        <w:ind w:left="1095" w:hanging="720"/>
      </w:pPr>
      <w:rPr>
        <w:rFonts w:cs="Times New Roman"/>
      </w:rPr>
    </w:lvl>
    <w:lvl w:ilvl="3">
      <w:start w:val="1"/>
      <w:numFmt w:val="decimal"/>
      <w:isLgl/>
      <w:lvlText w:val="%1.%2.%3.%4."/>
      <w:lvlJc w:val="left"/>
      <w:pPr>
        <w:ind w:left="1455" w:hanging="1080"/>
      </w:pPr>
      <w:rPr>
        <w:rFonts w:cs="Times New Roman"/>
      </w:rPr>
    </w:lvl>
    <w:lvl w:ilvl="4">
      <w:start w:val="1"/>
      <w:numFmt w:val="decimal"/>
      <w:isLgl/>
      <w:lvlText w:val="%1.%2.%3.%4.%5."/>
      <w:lvlJc w:val="left"/>
      <w:pPr>
        <w:ind w:left="1455" w:hanging="1080"/>
      </w:pPr>
      <w:rPr>
        <w:rFonts w:cs="Times New Roman"/>
      </w:rPr>
    </w:lvl>
    <w:lvl w:ilvl="5">
      <w:start w:val="1"/>
      <w:numFmt w:val="decimal"/>
      <w:isLgl/>
      <w:lvlText w:val="%1.%2.%3.%4.%5.%6."/>
      <w:lvlJc w:val="left"/>
      <w:pPr>
        <w:ind w:left="1815" w:hanging="1440"/>
      </w:pPr>
      <w:rPr>
        <w:rFonts w:cs="Times New Roman"/>
      </w:rPr>
    </w:lvl>
    <w:lvl w:ilvl="6">
      <w:start w:val="1"/>
      <w:numFmt w:val="decimal"/>
      <w:isLgl/>
      <w:lvlText w:val="%1.%2.%3.%4.%5.%6.%7."/>
      <w:lvlJc w:val="left"/>
      <w:pPr>
        <w:ind w:left="2175" w:hanging="1800"/>
      </w:pPr>
      <w:rPr>
        <w:rFonts w:cs="Times New Roman"/>
      </w:rPr>
    </w:lvl>
    <w:lvl w:ilvl="7">
      <w:start w:val="1"/>
      <w:numFmt w:val="decimal"/>
      <w:isLgl/>
      <w:lvlText w:val="%1.%2.%3.%4.%5.%6.%7.%8."/>
      <w:lvlJc w:val="left"/>
      <w:pPr>
        <w:ind w:left="2175" w:hanging="1800"/>
      </w:pPr>
      <w:rPr>
        <w:rFonts w:cs="Times New Roman"/>
      </w:rPr>
    </w:lvl>
    <w:lvl w:ilvl="8">
      <w:start w:val="1"/>
      <w:numFmt w:val="decimal"/>
      <w:isLgl/>
      <w:lvlText w:val="%1.%2.%3.%4.%5.%6.%7.%8.%9."/>
      <w:lvlJc w:val="left"/>
      <w:pPr>
        <w:ind w:left="2535" w:hanging="2160"/>
      </w:pPr>
      <w:rPr>
        <w:rFonts w:cs="Times New Roman"/>
      </w:rPr>
    </w:lvl>
  </w:abstractNum>
  <w:abstractNum w:abstractNumId="46" w15:restartNumberingAfterBreak="0">
    <w:nsid w:val="0ABD24FC"/>
    <w:multiLevelType w:val="multilevel"/>
    <w:tmpl w:val="32229DC8"/>
    <w:lvl w:ilvl="0">
      <w:start w:val="1"/>
      <w:numFmt w:val="decimal"/>
      <w:lvlText w:val="%1."/>
      <w:lvlJc w:val="left"/>
      <w:pPr>
        <w:ind w:left="420" w:hanging="420"/>
      </w:pPr>
      <w:rPr>
        <w:rFonts w:hint="default"/>
        <w:b/>
      </w:rPr>
    </w:lvl>
    <w:lvl w:ilvl="1">
      <w:start w:val="1"/>
      <w:numFmt w:val="decimal"/>
      <w:lvlText w:val="%1.%2."/>
      <w:lvlJc w:val="left"/>
      <w:pPr>
        <w:ind w:left="1094" w:hanging="720"/>
      </w:pPr>
      <w:rPr>
        <w:rFonts w:hint="default"/>
        <w:b/>
      </w:rPr>
    </w:lvl>
    <w:lvl w:ilvl="2">
      <w:start w:val="1"/>
      <w:numFmt w:val="decimal"/>
      <w:lvlText w:val="%1.%2.%3."/>
      <w:lvlJc w:val="left"/>
      <w:pPr>
        <w:ind w:left="1468" w:hanging="720"/>
      </w:pPr>
      <w:rPr>
        <w:rFonts w:hint="default"/>
        <w:b/>
      </w:rPr>
    </w:lvl>
    <w:lvl w:ilvl="3">
      <w:start w:val="1"/>
      <w:numFmt w:val="decimal"/>
      <w:lvlText w:val="%1.%2.%3.%4."/>
      <w:lvlJc w:val="left"/>
      <w:pPr>
        <w:ind w:left="2202" w:hanging="1080"/>
      </w:pPr>
      <w:rPr>
        <w:rFonts w:hint="default"/>
        <w:b/>
      </w:rPr>
    </w:lvl>
    <w:lvl w:ilvl="4">
      <w:start w:val="1"/>
      <w:numFmt w:val="decimal"/>
      <w:lvlText w:val="%1.%2.%3.%4.%5."/>
      <w:lvlJc w:val="left"/>
      <w:pPr>
        <w:ind w:left="2576" w:hanging="1080"/>
      </w:pPr>
      <w:rPr>
        <w:rFonts w:hint="default"/>
        <w:b/>
      </w:rPr>
    </w:lvl>
    <w:lvl w:ilvl="5">
      <w:start w:val="1"/>
      <w:numFmt w:val="decimal"/>
      <w:lvlText w:val="%1.%2.%3.%4.%5.%6."/>
      <w:lvlJc w:val="left"/>
      <w:pPr>
        <w:ind w:left="3310" w:hanging="1440"/>
      </w:pPr>
      <w:rPr>
        <w:rFonts w:hint="default"/>
        <w:b/>
      </w:rPr>
    </w:lvl>
    <w:lvl w:ilvl="6">
      <w:start w:val="1"/>
      <w:numFmt w:val="decimal"/>
      <w:lvlText w:val="%1.%2.%3.%4.%5.%6.%7."/>
      <w:lvlJc w:val="left"/>
      <w:pPr>
        <w:ind w:left="4044" w:hanging="1800"/>
      </w:pPr>
      <w:rPr>
        <w:rFonts w:hint="default"/>
        <w:b/>
      </w:rPr>
    </w:lvl>
    <w:lvl w:ilvl="7">
      <w:start w:val="1"/>
      <w:numFmt w:val="decimal"/>
      <w:lvlText w:val="%1.%2.%3.%4.%5.%6.%7.%8."/>
      <w:lvlJc w:val="left"/>
      <w:pPr>
        <w:ind w:left="4418" w:hanging="1800"/>
      </w:pPr>
      <w:rPr>
        <w:rFonts w:hint="default"/>
        <w:b/>
      </w:rPr>
    </w:lvl>
    <w:lvl w:ilvl="8">
      <w:start w:val="1"/>
      <w:numFmt w:val="decimal"/>
      <w:lvlText w:val="%1.%2.%3.%4.%5.%6.%7.%8.%9."/>
      <w:lvlJc w:val="left"/>
      <w:pPr>
        <w:ind w:left="5152" w:hanging="2160"/>
      </w:pPr>
      <w:rPr>
        <w:rFonts w:hint="default"/>
        <w:b/>
      </w:rPr>
    </w:lvl>
  </w:abstractNum>
  <w:abstractNum w:abstractNumId="47" w15:restartNumberingAfterBreak="0">
    <w:nsid w:val="0B735F28"/>
    <w:multiLevelType w:val="hybridMultilevel"/>
    <w:tmpl w:val="98E655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0C4C0259"/>
    <w:multiLevelType w:val="multilevel"/>
    <w:tmpl w:val="7644A6D4"/>
    <w:lvl w:ilvl="0">
      <w:start w:val="1"/>
      <w:numFmt w:val="decimal"/>
      <w:lvlText w:val="%1."/>
      <w:lvlJc w:val="left"/>
      <w:pPr>
        <w:ind w:left="1440" w:hanging="360"/>
      </w:pPr>
      <w:rPr>
        <w:rFonts w:hint="default"/>
      </w:rPr>
    </w:lvl>
    <w:lvl w:ilvl="1">
      <w:start w:val="1"/>
      <w:numFmt w:val="decimal"/>
      <w:isLgl/>
      <w:lvlText w:val="%1.%2"/>
      <w:lvlJc w:val="left"/>
      <w:pPr>
        <w:ind w:left="8730" w:hanging="360"/>
      </w:pPr>
      <w:rPr>
        <w:rFonts w:cs="Sylfaen" w:hint="default"/>
        <w:sz w:val="22"/>
      </w:rPr>
    </w:lvl>
    <w:lvl w:ilvl="2">
      <w:start w:val="1"/>
      <w:numFmt w:val="decimal"/>
      <w:isLgl/>
      <w:lvlText w:val="%1.%2.%3"/>
      <w:lvlJc w:val="left"/>
      <w:pPr>
        <w:ind w:left="1800" w:hanging="720"/>
      </w:pPr>
      <w:rPr>
        <w:rFonts w:cs="Sylfaen" w:hint="default"/>
        <w:sz w:val="22"/>
      </w:rPr>
    </w:lvl>
    <w:lvl w:ilvl="3">
      <w:start w:val="1"/>
      <w:numFmt w:val="decimal"/>
      <w:isLgl/>
      <w:lvlText w:val="%1.%2.%3.%4"/>
      <w:lvlJc w:val="left"/>
      <w:pPr>
        <w:ind w:left="1800" w:hanging="720"/>
      </w:pPr>
      <w:rPr>
        <w:rFonts w:cs="Sylfaen" w:hint="default"/>
        <w:sz w:val="22"/>
      </w:rPr>
    </w:lvl>
    <w:lvl w:ilvl="4">
      <w:start w:val="1"/>
      <w:numFmt w:val="decimal"/>
      <w:isLgl/>
      <w:lvlText w:val="%1.%2.%3.%4.%5"/>
      <w:lvlJc w:val="left"/>
      <w:pPr>
        <w:ind w:left="2160" w:hanging="1080"/>
      </w:pPr>
      <w:rPr>
        <w:rFonts w:cs="Sylfaen" w:hint="default"/>
        <w:sz w:val="22"/>
      </w:rPr>
    </w:lvl>
    <w:lvl w:ilvl="5">
      <w:start w:val="1"/>
      <w:numFmt w:val="decimal"/>
      <w:isLgl/>
      <w:lvlText w:val="%1.%2.%3.%4.%5.%6"/>
      <w:lvlJc w:val="left"/>
      <w:pPr>
        <w:ind w:left="2160" w:hanging="1080"/>
      </w:pPr>
      <w:rPr>
        <w:rFonts w:cs="Sylfaen" w:hint="default"/>
        <w:sz w:val="22"/>
      </w:rPr>
    </w:lvl>
    <w:lvl w:ilvl="6">
      <w:start w:val="1"/>
      <w:numFmt w:val="decimal"/>
      <w:isLgl/>
      <w:lvlText w:val="%1.%2.%3.%4.%5.%6.%7"/>
      <w:lvlJc w:val="left"/>
      <w:pPr>
        <w:ind w:left="2520" w:hanging="1440"/>
      </w:pPr>
      <w:rPr>
        <w:rFonts w:cs="Sylfaen" w:hint="default"/>
        <w:sz w:val="22"/>
      </w:rPr>
    </w:lvl>
    <w:lvl w:ilvl="7">
      <w:start w:val="1"/>
      <w:numFmt w:val="decimal"/>
      <w:isLgl/>
      <w:lvlText w:val="%1.%2.%3.%4.%5.%6.%7.%8"/>
      <w:lvlJc w:val="left"/>
      <w:pPr>
        <w:ind w:left="2520" w:hanging="1440"/>
      </w:pPr>
      <w:rPr>
        <w:rFonts w:cs="Sylfaen" w:hint="default"/>
        <w:sz w:val="22"/>
      </w:rPr>
    </w:lvl>
    <w:lvl w:ilvl="8">
      <w:start w:val="1"/>
      <w:numFmt w:val="decimal"/>
      <w:isLgl/>
      <w:lvlText w:val="%1.%2.%3.%4.%5.%6.%7.%8.%9"/>
      <w:lvlJc w:val="left"/>
      <w:pPr>
        <w:ind w:left="2880" w:hanging="1800"/>
      </w:pPr>
      <w:rPr>
        <w:rFonts w:cs="Sylfaen" w:hint="default"/>
        <w:sz w:val="22"/>
      </w:rPr>
    </w:lvl>
  </w:abstractNum>
  <w:abstractNum w:abstractNumId="49" w15:restartNumberingAfterBreak="0">
    <w:nsid w:val="0C652057"/>
    <w:multiLevelType w:val="multilevel"/>
    <w:tmpl w:val="92AC49F4"/>
    <w:lvl w:ilvl="0">
      <w:start w:val="1"/>
      <w:numFmt w:val="decimal"/>
      <w:lvlText w:val="%1."/>
      <w:lvlJc w:val="left"/>
      <w:pPr>
        <w:ind w:left="1800" w:hanging="360"/>
      </w:pPr>
      <w:rPr>
        <w:rFonts w:cs="Sylfaen"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50" w15:restartNumberingAfterBreak="0">
    <w:nsid w:val="0C8A2B82"/>
    <w:multiLevelType w:val="multilevel"/>
    <w:tmpl w:val="929E467C"/>
    <w:lvl w:ilvl="0">
      <w:start w:val="1"/>
      <w:numFmt w:val="decimal"/>
      <w:lvlText w:val="%1."/>
      <w:lvlJc w:val="left"/>
      <w:pPr>
        <w:ind w:left="1170" w:hanging="360"/>
      </w:pPr>
      <w:rPr>
        <w:rFonts w:eastAsia="GHEAMariam-Bold" w:cs="GHEAMariam-Bold" w:hint="default"/>
        <w:b/>
      </w:rPr>
    </w:lvl>
    <w:lvl w:ilvl="1">
      <w:start w:val="1"/>
      <w:numFmt w:val="decimal"/>
      <w:isLgl/>
      <w:lvlText w:val="%1.%2"/>
      <w:lvlJc w:val="left"/>
      <w:pPr>
        <w:ind w:left="900" w:hanging="360"/>
      </w:pPr>
      <w:rPr>
        <w:rFonts w:hint="default"/>
        <w:b/>
      </w:rPr>
    </w:lvl>
    <w:lvl w:ilvl="2">
      <w:start w:val="1"/>
      <w:numFmt w:val="decimal"/>
      <w:isLgl/>
      <w:lvlText w:val="%1.%2.%3"/>
      <w:lvlJc w:val="left"/>
      <w:pPr>
        <w:ind w:left="1530" w:hanging="720"/>
      </w:pPr>
      <w:rPr>
        <w:rFonts w:hint="default"/>
        <w:b/>
      </w:rPr>
    </w:lvl>
    <w:lvl w:ilvl="3">
      <w:start w:val="1"/>
      <w:numFmt w:val="decimal"/>
      <w:isLgl/>
      <w:lvlText w:val="%1.%2.%3.%4"/>
      <w:lvlJc w:val="left"/>
      <w:pPr>
        <w:ind w:left="1890" w:hanging="1080"/>
      </w:pPr>
      <w:rPr>
        <w:rFonts w:hint="default"/>
        <w:b/>
      </w:rPr>
    </w:lvl>
    <w:lvl w:ilvl="4">
      <w:start w:val="1"/>
      <w:numFmt w:val="decimal"/>
      <w:isLgl/>
      <w:lvlText w:val="%1.%2.%3.%4.%5"/>
      <w:lvlJc w:val="left"/>
      <w:pPr>
        <w:ind w:left="1890" w:hanging="1080"/>
      </w:pPr>
      <w:rPr>
        <w:rFonts w:hint="default"/>
        <w:b/>
      </w:rPr>
    </w:lvl>
    <w:lvl w:ilvl="5">
      <w:start w:val="1"/>
      <w:numFmt w:val="decimal"/>
      <w:isLgl/>
      <w:lvlText w:val="%1.%2.%3.%4.%5.%6"/>
      <w:lvlJc w:val="left"/>
      <w:pPr>
        <w:ind w:left="2250" w:hanging="1440"/>
      </w:pPr>
      <w:rPr>
        <w:rFonts w:hint="default"/>
        <w:b/>
      </w:rPr>
    </w:lvl>
    <w:lvl w:ilvl="6">
      <w:start w:val="1"/>
      <w:numFmt w:val="decimal"/>
      <w:isLgl/>
      <w:lvlText w:val="%1.%2.%3.%4.%5.%6.%7"/>
      <w:lvlJc w:val="left"/>
      <w:pPr>
        <w:ind w:left="2250" w:hanging="1440"/>
      </w:pPr>
      <w:rPr>
        <w:rFonts w:hint="default"/>
        <w:b/>
      </w:rPr>
    </w:lvl>
    <w:lvl w:ilvl="7">
      <w:start w:val="1"/>
      <w:numFmt w:val="decimal"/>
      <w:isLgl/>
      <w:lvlText w:val="%1.%2.%3.%4.%5.%6.%7.%8"/>
      <w:lvlJc w:val="left"/>
      <w:pPr>
        <w:ind w:left="2610" w:hanging="1800"/>
      </w:pPr>
      <w:rPr>
        <w:rFonts w:hint="default"/>
        <w:b/>
      </w:rPr>
    </w:lvl>
    <w:lvl w:ilvl="8">
      <w:start w:val="1"/>
      <w:numFmt w:val="decimal"/>
      <w:isLgl/>
      <w:lvlText w:val="%1.%2.%3.%4.%5.%6.%7.%8.%9"/>
      <w:lvlJc w:val="left"/>
      <w:pPr>
        <w:ind w:left="2970" w:hanging="2160"/>
      </w:pPr>
      <w:rPr>
        <w:rFonts w:hint="default"/>
        <w:b/>
      </w:rPr>
    </w:lvl>
  </w:abstractNum>
  <w:abstractNum w:abstractNumId="51" w15:restartNumberingAfterBreak="0">
    <w:nsid w:val="0CCF1313"/>
    <w:multiLevelType w:val="multilevel"/>
    <w:tmpl w:val="EBE682C2"/>
    <w:lvl w:ilvl="0">
      <w:start w:val="1"/>
      <w:numFmt w:val="decimal"/>
      <w:lvlText w:val="%1."/>
      <w:lvlJc w:val="left"/>
      <w:pPr>
        <w:ind w:left="1440" w:hanging="360"/>
      </w:pPr>
      <w:rPr>
        <w:rFonts w:cs="Sylfaen" w:hint="default"/>
      </w:rPr>
    </w:lvl>
    <w:lvl w:ilvl="1">
      <w:start w:val="1"/>
      <w:numFmt w:val="decimal"/>
      <w:isLgl/>
      <w:lvlText w:val="%1.%2."/>
      <w:lvlJc w:val="left"/>
      <w:pPr>
        <w:ind w:left="180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52" w15:restartNumberingAfterBreak="0">
    <w:nsid w:val="0D2D194D"/>
    <w:multiLevelType w:val="hybridMultilevel"/>
    <w:tmpl w:val="0172C868"/>
    <w:lvl w:ilvl="0" w:tplc="A5846AEA">
      <w:numFmt w:val="bullet"/>
      <w:lvlText w:val="-"/>
      <w:lvlJc w:val="left"/>
      <w:pPr>
        <w:ind w:left="810" w:hanging="360"/>
      </w:pPr>
      <w:rPr>
        <w:rFonts w:ascii="GHEA Grapalat" w:eastAsiaTheme="minorHAnsi" w:hAnsi="GHEA Grapalat" w:cstheme="minorBid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3" w15:restartNumberingAfterBreak="0">
    <w:nsid w:val="0E4D60E4"/>
    <w:multiLevelType w:val="multilevel"/>
    <w:tmpl w:val="B956AC4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0E4E6D41"/>
    <w:multiLevelType w:val="hybridMultilevel"/>
    <w:tmpl w:val="39642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0EC54CA6"/>
    <w:multiLevelType w:val="multilevel"/>
    <w:tmpl w:val="7F3A5BB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0ED66AED"/>
    <w:multiLevelType w:val="multilevel"/>
    <w:tmpl w:val="08F4F91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7" w15:restartNumberingAfterBreak="0">
    <w:nsid w:val="0F137F4D"/>
    <w:multiLevelType w:val="hybridMultilevel"/>
    <w:tmpl w:val="B1408DB2"/>
    <w:lvl w:ilvl="0" w:tplc="131683FA">
      <w:start w:val="1"/>
      <w:numFmt w:val="decimal"/>
      <w:lvlText w:val="%1)"/>
      <w:lvlJc w:val="left"/>
      <w:pPr>
        <w:ind w:left="735" w:hanging="36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58" w15:restartNumberingAfterBreak="0">
    <w:nsid w:val="0F270664"/>
    <w:multiLevelType w:val="multilevel"/>
    <w:tmpl w:val="54A84812"/>
    <w:lvl w:ilvl="0">
      <w:start w:val="1"/>
      <w:numFmt w:val="decimal"/>
      <w:lvlText w:val="%1."/>
      <w:lvlJc w:val="left"/>
      <w:pPr>
        <w:ind w:left="405" w:hanging="405"/>
      </w:pPr>
      <w:rPr>
        <w:rFonts w:hint="default"/>
        <w:b/>
      </w:rPr>
    </w:lvl>
    <w:lvl w:ilvl="1">
      <w:start w:val="1"/>
      <w:numFmt w:val="decimal"/>
      <w:lvlText w:val="%1.%2."/>
      <w:lvlJc w:val="left"/>
      <w:pPr>
        <w:ind w:left="1520" w:hanging="720"/>
      </w:pPr>
      <w:rPr>
        <w:rFonts w:hint="default"/>
        <w:b/>
      </w:rPr>
    </w:lvl>
    <w:lvl w:ilvl="2">
      <w:start w:val="1"/>
      <w:numFmt w:val="decimal"/>
      <w:lvlText w:val="%1.%2.%3."/>
      <w:lvlJc w:val="left"/>
      <w:pPr>
        <w:ind w:left="2320" w:hanging="720"/>
      </w:pPr>
      <w:rPr>
        <w:rFonts w:hint="default"/>
        <w:b/>
      </w:rPr>
    </w:lvl>
    <w:lvl w:ilvl="3">
      <w:start w:val="1"/>
      <w:numFmt w:val="decimal"/>
      <w:lvlText w:val="%1.%2.%3.%4."/>
      <w:lvlJc w:val="left"/>
      <w:pPr>
        <w:ind w:left="3480" w:hanging="1080"/>
      </w:pPr>
      <w:rPr>
        <w:rFonts w:hint="default"/>
        <w:b/>
      </w:rPr>
    </w:lvl>
    <w:lvl w:ilvl="4">
      <w:start w:val="1"/>
      <w:numFmt w:val="decimal"/>
      <w:lvlText w:val="%1.%2.%3.%4.%5."/>
      <w:lvlJc w:val="left"/>
      <w:pPr>
        <w:ind w:left="4280" w:hanging="1080"/>
      </w:pPr>
      <w:rPr>
        <w:rFonts w:hint="default"/>
        <w:b/>
      </w:rPr>
    </w:lvl>
    <w:lvl w:ilvl="5">
      <w:start w:val="1"/>
      <w:numFmt w:val="decimal"/>
      <w:lvlText w:val="%1.%2.%3.%4.%5.%6."/>
      <w:lvlJc w:val="left"/>
      <w:pPr>
        <w:ind w:left="5440" w:hanging="1440"/>
      </w:pPr>
      <w:rPr>
        <w:rFonts w:hint="default"/>
        <w:b/>
      </w:rPr>
    </w:lvl>
    <w:lvl w:ilvl="6">
      <w:start w:val="1"/>
      <w:numFmt w:val="decimal"/>
      <w:lvlText w:val="%1.%2.%3.%4.%5.%6.%7."/>
      <w:lvlJc w:val="left"/>
      <w:pPr>
        <w:ind w:left="6600" w:hanging="1800"/>
      </w:pPr>
      <w:rPr>
        <w:rFonts w:hint="default"/>
        <w:b/>
      </w:rPr>
    </w:lvl>
    <w:lvl w:ilvl="7">
      <w:start w:val="1"/>
      <w:numFmt w:val="decimal"/>
      <w:lvlText w:val="%1.%2.%3.%4.%5.%6.%7.%8."/>
      <w:lvlJc w:val="left"/>
      <w:pPr>
        <w:ind w:left="7400" w:hanging="1800"/>
      </w:pPr>
      <w:rPr>
        <w:rFonts w:hint="default"/>
        <w:b/>
      </w:rPr>
    </w:lvl>
    <w:lvl w:ilvl="8">
      <w:start w:val="1"/>
      <w:numFmt w:val="decimal"/>
      <w:lvlText w:val="%1.%2.%3.%4.%5.%6.%7.%8.%9."/>
      <w:lvlJc w:val="left"/>
      <w:pPr>
        <w:ind w:left="8560" w:hanging="2160"/>
      </w:pPr>
      <w:rPr>
        <w:rFonts w:hint="default"/>
        <w:b/>
      </w:rPr>
    </w:lvl>
  </w:abstractNum>
  <w:abstractNum w:abstractNumId="59" w15:restartNumberingAfterBreak="0">
    <w:nsid w:val="0F475420"/>
    <w:multiLevelType w:val="hybridMultilevel"/>
    <w:tmpl w:val="098A2DB2"/>
    <w:lvl w:ilvl="0" w:tplc="D0A28432">
      <w:start w:val="16"/>
      <w:numFmt w:val="bullet"/>
      <w:lvlText w:val="-"/>
      <w:lvlJc w:val="left"/>
      <w:pPr>
        <w:ind w:left="180" w:hanging="360"/>
      </w:pPr>
      <w:rPr>
        <w:rFonts w:ascii="GHEA Grapalat" w:eastAsia="Times New Roman" w:hAnsi="GHEA Grapalat" w:cs="Sylfae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60" w15:restartNumberingAfterBreak="0">
    <w:nsid w:val="0F4E6865"/>
    <w:multiLevelType w:val="multilevel"/>
    <w:tmpl w:val="6CB4C75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15:restartNumberingAfterBreak="0">
    <w:nsid w:val="0F560547"/>
    <w:multiLevelType w:val="multilevel"/>
    <w:tmpl w:val="3DB483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440" w:hanging="108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800" w:hanging="1440"/>
      </w:pPr>
      <w:rPr>
        <w:rFonts w:cs="Sylfaen" w:hint="default"/>
      </w:rPr>
    </w:lvl>
    <w:lvl w:ilvl="6">
      <w:start w:val="1"/>
      <w:numFmt w:val="decimal"/>
      <w:isLgl/>
      <w:lvlText w:val="%1.%2.%3.%4.%5.%6.%7"/>
      <w:lvlJc w:val="left"/>
      <w:pPr>
        <w:ind w:left="1800" w:hanging="1440"/>
      </w:pPr>
      <w:rPr>
        <w:rFonts w:cs="Sylfaen" w:hint="default"/>
      </w:rPr>
    </w:lvl>
    <w:lvl w:ilvl="7">
      <w:start w:val="1"/>
      <w:numFmt w:val="decimal"/>
      <w:isLgl/>
      <w:lvlText w:val="%1.%2.%3.%4.%5.%6.%7.%8"/>
      <w:lvlJc w:val="left"/>
      <w:pPr>
        <w:ind w:left="2160" w:hanging="1800"/>
      </w:pPr>
      <w:rPr>
        <w:rFonts w:cs="Sylfaen" w:hint="default"/>
      </w:rPr>
    </w:lvl>
    <w:lvl w:ilvl="8">
      <w:start w:val="1"/>
      <w:numFmt w:val="decimal"/>
      <w:isLgl/>
      <w:lvlText w:val="%1.%2.%3.%4.%5.%6.%7.%8.%9"/>
      <w:lvlJc w:val="left"/>
      <w:pPr>
        <w:ind w:left="2520" w:hanging="2160"/>
      </w:pPr>
      <w:rPr>
        <w:rFonts w:cs="Sylfaen" w:hint="default"/>
      </w:rPr>
    </w:lvl>
  </w:abstractNum>
  <w:abstractNum w:abstractNumId="62" w15:restartNumberingAfterBreak="0">
    <w:nsid w:val="0F5B3D84"/>
    <w:multiLevelType w:val="multilevel"/>
    <w:tmpl w:val="04662790"/>
    <w:lvl w:ilvl="0">
      <w:start w:val="1"/>
      <w:numFmt w:val="decimal"/>
      <w:lvlText w:val="%1."/>
      <w:lvlJc w:val="left"/>
      <w:pPr>
        <w:ind w:left="735" w:hanging="360"/>
      </w:pPr>
      <w:rPr>
        <w:rFonts w:hint="default"/>
      </w:rPr>
    </w:lvl>
    <w:lvl w:ilvl="1">
      <w:start w:val="2"/>
      <w:numFmt w:val="decimal"/>
      <w:isLgl/>
      <w:lvlText w:val="%1.%2."/>
      <w:lvlJc w:val="left"/>
      <w:pPr>
        <w:ind w:left="1095" w:hanging="72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455" w:hanging="108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35" w:hanging="2160"/>
      </w:pPr>
      <w:rPr>
        <w:rFonts w:hint="default"/>
      </w:rPr>
    </w:lvl>
  </w:abstractNum>
  <w:abstractNum w:abstractNumId="63" w15:restartNumberingAfterBreak="0">
    <w:nsid w:val="0F6E10C8"/>
    <w:multiLevelType w:val="hybridMultilevel"/>
    <w:tmpl w:val="E24E7C6A"/>
    <w:lvl w:ilvl="0" w:tplc="2F5668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0FA14E19"/>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65" w15:restartNumberingAfterBreak="0">
    <w:nsid w:val="102D4469"/>
    <w:multiLevelType w:val="multilevel"/>
    <w:tmpl w:val="0E3ECE7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GHEA Grapalat" w:hAnsi="GHEA Grapalat" w:cs="Sylfaen" w:hint="default"/>
        <w:b/>
      </w:rPr>
    </w:lvl>
    <w:lvl w:ilvl="2">
      <w:start w:val="1"/>
      <w:numFmt w:val="decimal"/>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66" w15:restartNumberingAfterBreak="0">
    <w:nsid w:val="108F00C7"/>
    <w:multiLevelType w:val="multilevel"/>
    <w:tmpl w:val="E25684D0"/>
    <w:lvl w:ilvl="0">
      <w:start w:val="1"/>
      <w:numFmt w:val="decimal"/>
      <w:lvlText w:val="%1."/>
      <w:lvlJc w:val="left"/>
      <w:pPr>
        <w:ind w:left="734" w:hanging="360"/>
      </w:pPr>
      <w:rPr>
        <w:rFonts w:hint="default"/>
        <w:b/>
      </w:rPr>
    </w:lvl>
    <w:lvl w:ilvl="1">
      <w:start w:val="1"/>
      <w:numFmt w:val="decimal"/>
      <w:isLgl/>
      <w:lvlText w:val="%1.%2."/>
      <w:lvlJc w:val="left"/>
      <w:pPr>
        <w:ind w:left="990" w:hanging="360"/>
      </w:pPr>
      <w:rPr>
        <w:rFonts w:hint="default"/>
        <w:b/>
      </w:rPr>
    </w:lvl>
    <w:lvl w:ilvl="2">
      <w:start w:val="1"/>
      <w:numFmt w:val="decimal"/>
      <w:isLgl/>
      <w:lvlText w:val="%1.%2.%3."/>
      <w:lvlJc w:val="left"/>
      <w:pPr>
        <w:ind w:left="1606" w:hanging="720"/>
      </w:pPr>
      <w:rPr>
        <w:rFonts w:hint="default"/>
        <w:b/>
      </w:rPr>
    </w:lvl>
    <w:lvl w:ilvl="3">
      <w:start w:val="1"/>
      <w:numFmt w:val="decimal"/>
      <w:isLgl/>
      <w:lvlText w:val="%1.%2.%3.%4."/>
      <w:lvlJc w:val="left"/>
      <w:pPr>
        <w:ind w:left="1862" w:hanging="720"/>
      </w:pPr>
      <w:rPr>
        <w:rFonts w:hint="default"/>
        <w:b/>
      </w:rPr>
    </w:lvl>
    <w:lvl w:ilvl="4">
      <w:start w:val="1"/>
      <w:numFmt w:val="decimal"/>
      <w:isLgl/>
      <w:lvlText w:val="%1.%2.%3.%4.%5."/>
      <w:lvlJc w:val="left"/>
      <w:pPr>
        <w:ind w:left="2478" w:hanging="1080"/>
      </w:pPr>
      <w:rPr>
        <w:rFonts w:hint="default"/>
        <w:b/>
      </w:rPr>
    </w:lvl>
    <w:lvl w:ilvl="5">
      <w:start w:val="1"/>
      <w:numFmt w:val="decimal"/>
      <w:isLgl/>
      <w:lvlText w:val="%1.%2.%3.%4.%5.%6."/>
      <w:lvlJc w:val="left"/>
      <w:pPr>
        <w:ind w:left="2734" w:hanging="1080"/>
      </w:pPr>
      <w:rPr>
        <w:rFonts w:hint="default"/>
        <w:b/>
      </w:rPr>
    </w:lvl>
    <w:lvl w:ilvl="6">
      <w:start w:val="1"/>
      <w:numFmt w:val="decimal"/>
      <w:isLgl/>
      <w:lvlText w:val="%1.%2.%3.%4.%5.%6.%7."/>
      <w:lvlJc w:val="left"/>
      <w:pPr>
        <w:ind w:left="3350" w:hanging="1440"/>
      </w:pPr>
      <w:rPr>
        <w:rFonts w:hint="default"/>
        <w:b/>
      </w:rPr>
    </w:lvl>
    <w:lvl w:ilvl="7">
      <w:start w:val="1"/>
      <w:numFmt w:val="decimal"/>
      <w:isLgl/>
      <w:lvlText w:val="%1.%2.%3.%4.%5.%6.%7.%8."/>
      <w:lvlJc w:val="left"/>
      <w:pPr>
        <w:ind w:left="3606" w:hanging="1440"/>
      </w:pPr>
      <w:rPr>
        <w:rFonts w:hint="default"/>
        <w:b/>
      </w:rPr>
    </w:lvl>
    <w:lvl w:ilvl="8">
      <w:start w:val="1"/>
      <w:numFmt w:val="decimal"/>
      <w:isLgl/>
      <w:lvlText w:val="%1.%2.%3.%4.%5.%6.%7.%8.%9."/>
      <w:lvlJc w:val="left"/>
      <w:pPr>
        <w:ind w:left="4222" w:hanging="1800"/>
      </w:pPr>
      <w:rPr>
        <w:rFonts w:hint="default"/>
        <w:b/>
      </w:rPr>
    </w:lvl>
  </w:abstractNum>
  <w:abstractNum w:abstractNumId="67" w15:restartNumberingAfterBreak="0">
    <w:nsid w:val="11312C6A"/>
    <w:multiLevelType w:val="multilevel"/>
    <w:tmpl w:val="AFE6898E"/>
    <w:lvl w:ilvl="0">
      <w:start w:val="1"/>
      <w:numFmt w:val="decimal"/>
      <w:lvlText w:val="%1."/>
      <w:lvlJc w:val="left"/>
      <w:pPr>
        <w:ind w:left="360" w:hanging="360"/>
      </w:pPr>
      <w:rPr>
        <w:rFonts w:hint="default"/>
        <w:b/>
      </w:rPr>
    </w:lvl>
    <w:lvl w:ilvl="1">
      <w:start w:val="1"/>
      <w:numFmt w:val="decimal"/>
      <w:isLgl/>
      <w:suff w:val="space"/>
      <w:lvlText w:val="%1.%2."/>
      <w:lvlJc w:val="left"/>
      <w:pPr>
        <w:ind w:left="1148" w:hanging="720"/>
      </w:pPr>
      <w:rPr>
        <w:rFonts w:hint="default"/>
        <w:b/>
      </w:rPr>
    </w:lvl>
    <w:lvl w:ilvl="2">
      <w:start w:val="1"/>
      <w:numFmt w:val="decimal"/>
      <w:isLgl/>
      <w:lvlText w:val="%1.%2.%3."/>
      <w:lvlJc w:val="left"/>
      <w:pPr>
        <w:ind w:left="1148" w:hanging="720"/>
      </w:pPr>
      <w:rPr>
        <w:rFonts w:hint="default"/>
        <w:b/>
      </w:rPr>
    </w:lvl>
    <w:lvl w:ilvl="3">
      <w:start w:val="1"/>
      <w:numFmt w:val="decimal"/>
      <w:isLgl/>
      <w:lvlText w:val="%1.%2.%3.%4."/>
      <w:lvlJc w:val="left"/>
      <w:pPr>
        <w:ind w:left="1508" w:hanging="1080"/>
      </w:pPr>
      <w:rPr>
        <w:rFonts w:hint="default"/>
        <w:b/>
      </w:rPr>
    </w:lvl>
    <w:lvl w:ilvl="4">
      <w:start w:val="1"/>
      <w:numFmt w:val="decimal"/>
      <w:isLgl/>
      <w:lvlText w:val="%1.%2.%3.%4.%5."/>
      <w:lvlJc w:val="left"/>
      <w:pPr>
        <w:ind w:left="1508" w:hanging="1080"/>
      </w:pPr>
      <w:rPr>
        <w:rFonts w:hint="default"/>
        <w:b/>
      </w:rPr>
    </w:lvl>
    <w:lvl w:ilvl="5">
      <w:start w:val="1"/>
      <w:numFmt w:val="decimal"/>
      <w:isLgl/>
      <w:lvlText w:val="%1.%2.%3.%4.%5.%6."/>
      <w:lvlJc w:val="left"/>
      <w:pPr>
        <w:ind w:left="1868" w:hanging="1440"/>
      </w:pPr>
      <w:rPr>
        <w:rFonts w:hint="default"/>
        <w:b/>
      </w:rPr>
    </w:lvl>
    <w:lvl w:ilvl="6">
      <w:start w:val="1"/>
      <w:numFmt w:val="decimal"/>
      <w:isLgl/>
      <w:lvlText w:val="%1.%2.%3.%4.%5.%6.%7."/>
      <w:lvlJc w:val="left"/>
      <w:pPr>
        <w:ind w:left="1868" w:hanging="1440"/>
      </w:pPr>
      <w:rPr>
        <w:rFonts w:hint="default"/>
        <w:b/>
      </w:rPr>
    </w:lvl>
    <w:lvl w:ilvl="7">
      <w:start w:val="1"/>
      <w:numFmt w:val="decimal"/>
      <w:isLgl/>
      <w:lvlText w:val="%1.%2.%3.%4.%5.%6.%7.%8."/>
      <w:lvlJc w:val="left"/>
      <w:pPr>
        <w:ind w:left="2228" w:hanging="1800"/>
      </w:pPr>
      <w:rPr>
        <w:rFonts w:hint="default"/>
        <w:b/>
      </w:rPr>
    </w:lvl>
    <w:lvl w:ilvl="8">
      <w:start w:val="1"/>
      <w:numFmt w:val="decimal"/>
      <w:isLgl/>
      <w:lvlText w:val="%1.%2.%3.%4.%5.%6.%7.%8.%9."/>
      <w:lvlJc w:val="left"/>
      <w:pPr>
        <w:ind w:left="2228" w:hanging="1800"/>
      </w:pPr>
      <w:rPr>
        <w:rFonts w:hint="default"/>
        <w:b/>
      </w:rPr>
    </w:lvl>
  </w:abstractNum>
  <w:abstractNum w:abstractNumId="68" w15:restartNumberingAfterBreak="0">
    <w:nsid w:val="11CB5D92"/>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69" w15:restartNumberingAfterBreak="0">
    <w:nsid w:val="11D01F40"/>
    <w:multiLevelType w:val="multilevel"/>
    <w:tmpl w:val="929E467C"/>
    <w:lvl w:ilvl="0">
      <w:start w:val="1"/>
      <w:numFmt w:val="decimal"/>
      <w:lvlText w:val="%1."/>
      <w:lvlJc w:val="left"/>
      <w:pPr>
        <w:ind w:left="1170" w:hanging="360"/>
      </w:pPr>
      <w:rPr>
        <w:rFonts w:eastAsia="GHEAMariam-Bold" w:cs="GHEAMariam-Bold"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530" w:hanging="720"/>
      </w:pPr>
      <w:rPr>
        <w:rFonts w:hint="default"/>
        <w:b/>
      </w:rPr>
    </w:lvl>
    <w:lvl w:ilvl="3">
      <w:start w:val="1"/>
      <w:numFmt w:val="decimal"/>
      <w:isLgl/>
      <w:lvlText w:val="%1.%2.%3.%4"/>
      <w:lvlJc w:val="left"/>
      <w:pPr>
        <w:ind w:left="1890" w:hanging="1080"/>
      </w:pPr>
      <w:rPr>
        <w:rFonts w:hint="default"/>
        <w:b/>
      </w:rPr>
    </w:lvl>
    <w:lvl w:ilvl="4">
      <w:start w:val="1"/>
      <w:numFmt w:val="decimal"/>
      <w:isLgl/>
      <w:lvlText w:val="%1.%2.%3.%4.%5"/>
      <w:lvlJc w:val="left"/>
      <w:pPr>
        <w:ind w:left="1890" w:hanging="1080"/>
      </w:pPr>
      <w:rPr>
        <w:rFonts w:hint="default"/>
        <w:b/>
      </w:rPr>
    </w:lvl>
    <w:lvl w:ilvl="5">
      <w:start w:val="1"/>
      <w:numFmt w:val="decimal"/>
      <w:isLgl/>
      <w:lvlText w:val="%1.%2.%3.%4.%5.%6"/>
      <w:lvlJc w:val="left"/>
      <w:pPr>
        <w:ind w:left="2250" w:hanging="1440"/>
      </w:pPr>
      <w:rPr>
        <w:rFonts w:hint="default"/>
        <w:b/>
      </w:rPr>
    </w:lvl>
    <w:lvl w:ilvl="6">
      <w:start w:val="1"/>
      <w:numFmt w:val="decimal"/>
      <w:isLgl/>
      <w:lvlText w:val="%1.%2.%3.%4.%5.%6.%7"/>
      <w:lvlJc w:val="left"/>
      <w:pPr>
        <w:ind w:left="2250" w:hanging="1440"/>
      </w:pPr>
      <w:rPr>
        <w:rFonts w:hint="default"/>
        <w:b/>
      </w:rPr>
    </w:lvl>
    <w:lvl w:ilvl="7">
      <w:start w:val="1"/>
      <w:numFmt w:val="decimal"/>
      <w:isLgl/>
      <w:lvlText w:val="%1.%2.%3.%4.%5.%6.%7.%8"/>
      <w:lvlJc w:val="left"/>
      <w:pPr>
        <w:ind w:left="2610" w:hanging="1800"/>
      </w:pPr>
      <w:rPr>
        <w:rFonts w:hint="default"/>
        <w:b/>
      </w:rPr>
    </w:lvl>
    <w:lvl w:ilvl="8">
      <w:start w:val="1"/>
      <w:numFmt w:val="decimal"/>
      <w:isLgl/>
      <w:lvlText w:val="%1.%2.%3.%4.%5.%6.%7.%8.%9"/>
      <w:lvlJc w:val="left"/>
      <w:pPr>
        <w:ind w:left="2970" w:hanging="2160"/>
      </w:pPr>
      <w:rPr>
        <w:rFonts w:hint="default"/>
        <w:b/>
      </w:rPr>
    </w:lvl>
  </w:abstractNum>
  <w:abstractNum w:abstractNumId="70" w15:restartNumberingAfterBreak="0">
    <w:nsid w:val="11FD5B3F"/>
    <w:multiLevelType w:val="hybridMultilevel"/>
    <w:tmpl w:val="B40CA5AA"/>
    <w:lvl w:ilvl="0" w:tplc="E0FA6C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2E04FA9"/>
    <w:multiLevelType w:val="multilevel"/>
    <w:tmpl w:val="ABC406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12EE626C"/>
    <w:multiLevelType w:val="hybridMultilevel"/>
    <w:tmpl w:val="9E547632"/>
    <w:lvl w:ilvl="0" w:tplc="23A837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12FB5026"/>
    <w:multiLevelType w:val="multilevel"/>
    <w:tmpl w:val="C9E4B354"/>
    <w:lvl w:ilvl="0">
      <w:start w:val="1"/>
      <w:numFmt w:val="decimal"/>
      <w:lvlText w:val="%1."/>
      <w:lvlJc w:val="left"/>
      <w:pPr>
        <w:ind w:left="735" w:hanging="360"/>
      </w:pPr>
      <w:rPr>
        <w:rFonts w:hint="default"/>
      </w:rPr>
    </w:lvl>
    <w:lvl w:ilvl="1">
      <w:start w:val="1"/>
      <w:numFmt w:val="decimal"/>
      <w:isLgl/>
      <w:lvlText w:val="%1.%2."/>
      <w:lvlJc w:val="left"/>
      <w:pPr>
        <w:ind w:left="1095" w:hanging="72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455" w:hanging="108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35" w:hanging="2160"/>
      </w:pPr>
      <w:rPr>
        <w:rFonts w:hint="default"/>
      </w:rPr>
    </w:lvl>
  </w:abstractNum>
  <w:abstractNum w:abstractNumId="74" w15:restartNumberingAfterBreak="0">
    <w:nsid w:val="13567A09"/>
    <w:multiLevelType w:val="multilevel"/>
    <w:tmpl w:val="B6D2433A"/>
    <w:lvl w:ilvl="0">
      <w:start w:val="1"/>
      <w:numFmt w:val="decimal"/>
      <w:lvlText w:val="%1."/>
      <w:lvlJc w:val="left"/>
      <w:pPr>
        <w:ind w:left="734" w:hanging="360"/>
      </w:pPr>
      <w:rPr>
        <w:rFonts w:hint="default"/>
        <w:b/>
      </w:rPr>
    </w:lvl>
    <w:lvl w:ilvl="1">
      <w:start w:val="1"/>
      <w:numFmt w:val="decimal"/>
      <w:isLgl/>
      <w:lvlText w:val="%1.%2."/>
      <w:lvlJc w:val="left"/>
      <w:pPr>
        <w:ind w:left="1280" w:hanging="360"/>
      </w:pPr>
      <w:rPr>
        <w:rFonts w:hint="default"/>
        <w:b/>
      </w:rPr>
    </w:lvl>
    <w:lvl w:ilvl="2">
      <w:start w:val="1"/>
      <w:numFmt w:val="decimal"/>
      <w:isLgl/>
      <w:lvlText w:val="%1.%2.%3."/>
      <w:lvlJc w:val="left"/>
      <w:pPr>
        <w:ind w:left="2186" w:hanging="720"/>
      </w:pPr>
      <w:rPr>
        <w:rFonts w:hint="default"/>
        <w:b/>
      </w:rPr>
    </w:lvl>
    <w:lvl w:ilvl="3">
      <w:start w:val="1"/>
      <w:numFmt w:val="decimal"/>
      <w:isLgl/>
      <w:lvlText w:val="%1.%2.%3.%4."/>
      <w:lvlJc w:val="left"/>
      <w:pPr>
        <w:ind w:left="2732" w:hanging="720"/>
      </w:pPr>
      <w:rPr>
        <w:rFonts w:hint="default"/>
        <w:b/>
      </w:rPr>
    </w:lvl>
    <w:lvl w:ilvl="4">
      <w:start w:val="1"/>
      <w:numFmt w:val="decimal"/>
      <w:isLgl/>
      <w:lvlText w:val="%1.%2.%3.%4.%5."/>
      <w:lvlJc w:val="left"/>
      <w:pPr>
        <w:ind w:left="3638" w:hanging="1080"/>
      </w:pPr>
      <w:rPr>
        <w:rFonts w:hint="default"/>
        <w:b/>
      </w:rPr>
    </w:lvl>
    <w:lvl w:ilvl="5">
      <w:start w:val="1"/>
      <w:numFmt w:val="decimal"/>
      <w:isLgl/>
      <w:lvlText w:val="%1.%2.%3.%4.%5.%6."/>
      <w:lvlJc w:val="left"/>
      <w:pPr>
        <w:ind w:left="4184" w:hanging="1080"/>
      </w:pPr>
      <w:rPr>
        <w:rFonts w:hint="default"/>
        <w:b/>
      </w:rPr>
    </w:lvl>
    <w:lvl w:ilvl="6">
      <w:start w:val="1"/>
      <w:numFmt w:val="decimal"/>
      <w:isLgl/>
      <w:lvlText w:val="%1.%2.%3.%4.%5.%6.%7."/>
      <w:lvlJc w:val="left"/>
      <w:pPr>
        <w:ind w:left="5090" w:hanging="1440"/>
      </w:pPr>
      <w:rPr>
        <w:rFonts w:hint="default"/>
        <w:b/>
      </w:rPr>
    </w:lvl>
    <w:lvl w:ilvl="7">
      <w:start w:val="1"/>
      <w:numFmt w:val="decimal"/>
      <w:isLgl/>
      <w:lvlText w:val="%1.%2.%3.%4.%5.%6.%7.%8."/>
      <w:lvlJc w:val="left"/>
      <w:pPr>
        <w:ind w:left="5636" w:hanging="1440"/>
      </w:pPr>
      <w:rPr>
        <w:rFonts w:hint="default"/>
        <w:b/>
      </w:rPr>
    </w:lvl>
    <w:lvl w:ilvl="8">
      <w:start w:val="1"/>
      <w:numFmt w:val="decimal"/>
      <w:isLgl/>
      <w:lvlText w:val="%1.%2.%3.%4.%5.%6.%7.%8.%9."/>
      <w:lvlJc w:val="left"/>
      <w:pPr>
        <w:ind w:left="6542" w:hanging="1800"/>
      </w:pPr>
      <w:rPr>
        <w:rFonts w:hint="default"/>
        <w:b/>
      </w:rPr>
    </w:lvl>
  </w:abstractNum>
  <w:abstractNum w:abstractNumId="75" w15:restartNumberingAfterBreak="0">
    <w:nsid w:val="13891572"/>
    <w:multiLevelType w:val="multilevel"/>
    <w:tmpl w:val="DF9A94D8"/>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13955E0D"/>
    <w:multiLevelType w:val="multilevel"/>
    <w:tmpl w:val="3826988A"/>
    <w:lvl w:ilvl="0">
      <w:start w:val="1"/>
      <w:numFmt w:val="decimal"/>
      <w:lvlText w:val="%1."/>
      <w:lvlJc w:val="left"/>
      <w:pPr>
        <w:ind w:left="450" w:hanging="360"/>
      </w:pPr>
      <w:rPr>
        <w:rFonts w:hint="default"/>
        <w:b/>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77" w15:restartNumberingAfterBreak="0">
    <w:nsid w:val="15354F33"/>
    <w:multiLevelType w:val="hybridMultilevel"/>
    <w:tmpl w:val="10FAC0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55C1576"/>
    <w:multiLevelType w:val="multilevel"/>
    <w:tmpl w:val="566CBEE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15B4446F"/>
    <w:multiLevelType w:val="hybridMultilevel"/>
    <w:tmpl w:val="4820738C"/>
    <w:lvl w:ilvl="0" w:tplc="91B8C32E">
      <w:start w:val="22"/>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15D23B20"/>
    <w:multiLevelType w:val="multilevel"/>
    <w:tmpl w:val="D7B0326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1" w15:restartNumberingAfterBreak="0">
    <w:nsid w:val="15D54A8E"/>
    <w:multiLevelType w:val="multilevel"/>
    <w:tmpl w:val="E432E328"/>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ascii="GHEA Grapalat" w:hAnsi="GHEA Grapalat" w:cs="Sylfaen" w:hint="default"/>
      </w:rPr>
    </w:lvl>
    <w:lvl w:ilvl="2">
      <w:start w:val="1"/>
      <w:numFmt w:val="decimal"/>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82" w15:restartNumberingAfterBreak="0">
    <w:nsid w:val="161028F2"/>
    <w:multiLevelType w:val="hybridMultilevel"/>
    <w:tmpl w:val="02BEABFC"/>
    <w:lvl w:ilvl="0" w:tplc="89109BCA">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3" w15:restartNumberingAfterBreak="0">
    <w:nsid w:val="167826A2"/>
    <w:multiLevelType w:val="multilevel"/>
    <w:tmpl w:val="7FBE1C42"/>
    <w:lvl w:ilvl="0">
      <w:start w:val="1"/>
      <w:numFmt w:val="decimal"/>
      <w:lvlText w:val="%1."/>
      <w:lvlJc w:val="left"/>
      <w:pPr>
        <w:ind w:left="1080" w:hanging="360"/>
      </w:pPr>
      <w:rPr>
        <w:rFonts w:eastAsiaTheme="minorHAnsi" w:cstheme="minorBidi" w:hint="default"/>
        <w:sz w:val="22"/>
      </w:rPr>
    </w:lvl>
    <w:lvl w:ilvl="1">
      <w:start w:val="1"/>
      <w:numFmt w:val="decimal"/>
      <w:isLgl/>
      <w:lvlText w:val="%1.%2"/>
      <w:lvlJc w:val="left"/>
      <w:pPr>
        <w:ind w:left="1230" w:hanging="510"/>
      </w:pPr>
      <w:rPr>
        <w:rFonts w:eastAsia="Times New Roman" w:cs="Times New Roman" w:hint="default"/>
        <w:sz w:val="20"/>
        <w:szCs w:val="20"/>
      </w:rPr>
    </w:lvl>
    <w:lvl w:ilvl="2">
      <w:start w:val="1"/>
      <w:numFmt w:val="decimal"/>
      <w:isLgl/>
      <w:lvlText w:val="%1.%2.%3"/>
      <w:lvlJc w:val="left"/>
      <w:pPr>
        <w:ind w:left="1440" w:hanging="720"/>
      </w:pPr>
      <w:rPr>
        <w:rFonts w:eastAsia="Times New Roman" w:cs="Times New Roman" w:hint="default"/>
        <w:sz w:val="24"/>
      </w:rPr>
    </w:lvl>
    <w:lvl w:ilvl="3">
      <w:start w:val="1"/>
      <w:numFmt w:val="decimal"/>
      <w:isLgl/>
      <w:lvlText w:val="%1.%2.%3.%4"/>
      <w:lvlJc w:val="left"/>
      <w:pPr>
        <w:ind w:left="1440" w:hanging="720"/>
      </w:pPr>
      <w:rPr>
        <w:rFonts w:eastAsia="Times New Roman" w:cs="Times New Roman" w:hint="default"/>
        <w:sz w:val="24"/>
      </w:rPr>
    </w:lvl>
    <w:lvl w:ilvl="4">
      <w:start w:val="1"/>
      <w:numFmt w:val="decimal"/>
      <w:isLgl/>
      <w:lvlText w:val="%1.%2.%3.%4.%5"/>
      <w:lvlJc w:val="left"/>
      <w:pPr>
        <w:ind w:left="1800" w:hanging="1080"/>
      </w:pPr>
      <w:rPr>
        <w:rFonts w:eastAsia="Times New Roman" w:cs="Times New Roman" w:hint="default"/>
        <w:sz w:val="24"/>
      </w:rPr>
    </w:lvl>
    <w:lvl w:ilvl="5">
      <w:start w:val="1"/>
      <w:numFmt w:val="decimal"/>
      <w:isLgl/>
      <w:lvlText w:val="%1.%2.%3.%4.%5.%6"/>
      <w:lvlJc w:val="left"/>
      <w:pPr>
        <w:ind w:left="1800" w:hanging="1080"/>
      </w:pPr>
      <w:rPr>
        <w:rFonts w:eastAsia="Times New Roman" w:cs="Times New Roman" w:hint="default"/>
        <w:sz w:val="24"/>
      </w:rPr>
    </w:lvl>
    <w:lvl w:ilvl="6">
      <w:start w:val="1"/>
      <w:numFmt w:val="decimal"/>
      <w:isLgl/>
      <w:lvlText w:val="%1.%2.%3.%4.%5.%6.%7"/>
      <w:lvlJc w:val="left"/>
      <w:pPr>
        <w:ind w:left="2160" w:hanging="1440"/>
      </w:pPr>
      <w:rPr>
        <w:rFonts w:eastAsia="Times New Roman" w:cs="Times New Roman" w:hint="default"/>
        <w:sz w:val="24"/>
      </w:rPr>
    </w:lvl>
    <w:lvl w:ilvl="7">
      <w:start w:val="1"/>
      <w:numFmt w:val="decimal"/>
      <w:isLgl/>
      <w:lvlText w:val="%1.%2.%3.%4.%5.%6.%7.%8"/>
      <w:lvlJc w:val="left"/>
      <w:pPr>
        <w:ind w:left="2160" w:hanging="1440"/>
      </w:pPr>
      <w:rPr>
        <w:rFonts w:eastAsia="Times New Roman" w:cs="Times New Roman" w:hint="default"/>
        <w:sz w:val="24"/>
      </w:rPr>
    </w:lvl>
    <w:lvl w:ilvl="8">
      <w:start w:val="1"/>
      <w:numFmt w:val="decimal"/>
      <w:isLgl/>
      <w:lvlText w:val="%1.%2.%3.%4.%5.%6.%7.%8.%9"/>
      <w:lvlJc w:val="left"/>
      <w:pPr>
        <w:ind w:left="2520" w:hanging="1800"/>
      </w:pPr>
      <w:rPr>
        <w:rFonts w:eastAsia="Times New Roman" w:cs="Times New Roman" w:hint="default"/>
        <w:sz w:val="24"/>
      </w:rPr>
    </w:lvl>
  </w:abstractNum>
  <w:abstractNum w:abstractNumId="84" w15:restartNumberingAfterBreak="0">
    <w:nsid w:val="16B677FF"/>
    <w:multiLevelType w:val="multilevel"/>
    <w:tmpl w:val="9954DBBE"/>
    <w:lvl w:ilvl="0">
      <w:start w:val="1"/>
      <w:numFmt w:val="decimal"/>
      <w:lvlText w:val="%1."/>
      <w:lvlJc w:val="left"/>
      <w:pPr>
        <w:ind w:left="780" w:hanging="360"/>
      </w:pPr>
      <w:rPr>
        <w:rFonts w:cs="Courier New" w:hint="default"/>
      </w:rPr>
    </w:lvl>
    <w:lvl w:ilvl="1">
      <w:start w:val="4"/>
      <w:numFmt w:val="decimal"/>
      <w:isLgl/>
      <w:lvlText w:val="%1.%2"/>
      <w:lvlJc w:val="left"/>
      <w:pPr>
        <w:ind w:left="780" w:hanging="360"/>
      </w:pPr>
      <w:rPr>
        <w:rFonts w:cs="Sylfaen" w:hint="default"/>
      </w:rPr>
    </w:lvl>
    <w:lvl w:ilvl="2">
      <w:start w:val="1"/>
      <w:numFmt w:val="decimal"/>
      <w:isLgl/>
      <w:lvlText w:val="%1.%2.%3"/>
      <w:lvlJc w:val="left"/>
      <w:pPr>
        <w:ind w:left="1140" w:hanging="720"/>
      </w:pPr>
      <w:rPr>
        <w:rFonts w:cs="Sylfaen" w:hint="default"/>
      </w:rPr>
    </w:lvl>
    <w:lvl w:ilvl="3">
      <w:start w:val="1"/>
      <w:numFmt w:val="decimal"/>
      <w:isLgl/>
      <w:lvlText w:val="%1.%2.%3.%4"/>
      <w:lvlJc w:val="left"/>
      <w:pPr>
        <w:ind w:left="1140" w:hanging="720"/>
      </w:pPr>
      <w:rPr>
        <w:rFonts w:cs="Sylfaen" w:hint="default"/>
      </w:rPr>
    </w:lvl>
    <w:lvl w:ilvl="4">
      <w:start w:val="1"/>
      <w:numFmt w:val="decimal"/>
      <w:isLgl/>
      <w:lvlText w:val="%1.%2.%3.%4.%5"/>
      <w:lvlJc w:val="left"/>
      <w:pPr>
        <w:ind w:left="1500" w:hanging="1080"/>
      </w:pPr>
      <w:rPr>
        <w:rFonts w:cs="Sylfaen" w:hint="default"/>
      </w:rPr>
    </w:lvl>
    <w:lvl w:ilvl="5">
      <w:start w:val="1"/>
      <w:numFmt w:val="decimal"/>
      <w:isLgl/>
      <w:lvlText w:val="%1.%2.%3.%4.%5.%6"/>
      <w:lvlJc w:val="left"/>
      <w:pPr>
        <w:ind w:left="1500" w:hanging="1080"/>
      </w:pPr>
      <w:rPr>
        <w:rFonts w:cs="Sylfaen" w:hint="default"/>
      </w:rPr>
    </w:lvl>
    <w:lvl w:ilvl="6">
      <w:start w:val="1"/>
      <w:numFmt w:val="decimal"/>
      <w:isLgl/>
      <w:lvlText w:val="%1.%2.%3.%4.%5.%6.%7"/>
      <w:lvlJc w:val="left"/>
      <w:pPr>
        <w:ind w:left="1860" w:hanging="1440"/>
      </w:pPr>
      <w:rPr>
        <w:rFonts w:cs="Sylfaen" w:hint="default"/>
      </w:rPr>
    </w:lvl>
    <w:lvl w:ilvl="7">
      <w:start w:val="1"/>
      <w:numFmt w:val="decimal"/>
      <w:isLgl/>
      <w:lvlText w:val="%1.%2.%3.%4.%5.%6.%7.%8"/>
      <w:lvlJc w:val="left"/>
      <w:pPr>
        <w:ind w:left="1860" w:hanging="1440"/>
      </w:pPr>
      <w:rPr>
        <w:rFonts w:cs="Sylfaen" w:hint="default"/>
      </w:rPr>
    </w:lvl>
    <w:lvl w:ilvl="8">
      <w:start w:val="1"/>
      <w:numFmt w:val="decimal"/>
      <w:isLgl/>
      <w:lvlText w:val="%1.%2.%3.%4.%5.%6.%7.%8.%9"/>
      <w:lvlJc w:val="left"/>
      <w:pPr>
        <w:ind w:left="2220" w:hanging="1800"/>
      </w:pPr>
      <w:rPr>
        <w:rFonts w:cs="Sylfaen" w:hint="default"/>
      </w:rPr>
    </w:lvl>
  </w:abstractNum>
  <w:abstractNum w:abstractNumId="85" w15:restartNumberingAfterBreak="0">
    <w:nsid w:val="16DE00B2"/>
    <w:multiLevelType w:val="multilevel"/>
    <w:tmpl w:val="8A44B89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6" w15:restartNumberingAfterBreak="0">
    <w:nsid w:val="170D7E7A"/>
    <w:multiLevelType w:val="multilevel"/>
    <w:tmpl w:val="E9C4A732"/>
    <w:lvl w:ilvl="0">
      <w:start w:val="1"/>
      <w:numFmt w:val="decimal"/>
      <w:lvlText w:val="%1"/>
      <w:lvlJc w:val="left"/>
      <w:pPr>
        <w:ind w:left="360" w:hanging="360"/>
      </w:pPr>
      <w:rPr>
        <w:rFonts w:hint="default"/>
      </w:rPr>
    </w:lvl>
    <w:lvl w:ilvl="1">
      <w:start w:val="1"/>
      <w:numFmt w:val="decimal"/>
      <w:lvlText w:val="%1.%2"/>
      <w:lvlJc w:val="left"/>
      <w:pPr>
        <w:ind w:left="806" w:hanging="360"/>
      </w:pPr>
      <w:rPr>
        <w:rFonts w:hint="default"/>
      </w:rPr>
    </w:lvl>
    <w:lvl w:ilvl="2">
      <w:start w:val="1"/>
      <w:numFmt w:val="decimal"/>
      <w:lvlText w:val="%1.%2.%3"/>
      <w:lvlJc w:val="left"/>
      <w:pPr>
        <w:ind w:left="1612" w:hanging="720"/>
      </w:pPr>
      <w:rPr>
        <w:rFonts w:hint="default"/>
      </w:rPr>
    </w:lvl>
    <w:lvl w:ilvl="3">
      <w:start w:val="1"/>
      <w:numFmt w:val="decimal"/>
      <w:lvlText w:val="%1.%2.%3.%4"/>
      <w:lvlJc w:val="left"/>
      <w:pPr>
        <w:ind w:left="2058" w:hanging="720"/>
      </w:pPr>
      <w:rPr>
        <w:rFonts w:hint="default"/>
      </w:rPr>
    </w:lvl>
    <w:lvl w:ilvl="4">
      <w:start w:val="1"/>
      <w:numFmt w:val="decimal"/>
      <w:lvlText w:val="%1.%2.%3.%4.%5"/>
      <w:lvlJc w:val="left"/>
      <w:pPr>
        <w:ind w:left="2864" w:hanging="1080"/>
      </w:pPr>
      <w:rPr>
        <w:rFonts w:hint="default"/>
      </w:rPr>
    </w:lvl>
    <w:lvl w:ilvl="5">
      <w:start w:val="1"/>
      <w:numFmt w:val="decimal"/>
      <w:lvlText w:val="%1.%2.%3.%4.%5.%6"/>
      <w:lvlJc w:val="left"/>
      <w:pPr>
        <w:ind w:left="3670" w:hanging="1440"/>
      </w:pPr>
      <w:rPr>
        <w:rFonts w:hint="default"/>
      </w:rPr>
    </w:lvl>
    <w:lvl w:ilvl="6">
      <w:start w:val="1"/>
      <w:numFmt w:val="decimal"/>
      <w:lvlText w:val="%1.%2.%3.%4.%5.%6.%7"/>
      <w:lvlJc w:val="left"/>
      <w:pPr>
        <w:ind w:left="4116" w:hanging="1440"/>
      </w:pPr>
      <w:rPr>
        <w:rFonts w:hint="default"/>
      </w:rPr>
    </w:lvl>
    <w:lvl w:ilvl="7">
      <w:start w:val="1"/>
      <w:numFmt w:val="decimal"/>
      <w:lvlText w:val="%1.%2.%3.%4.%5.%6.%7.%8"/>
      <w:lvlJc w:val="left"/>
      <w:pPr>
        <w:ind w:left="4922" w:hanging="1800"/>
      </w:pPr>
      <w:rPr>
        <w:rFonts w:hint="default"/>
      </w:rPr>
    </w:lvl>
    <w:lvl w:ilvl="8">
      <w:start w:val="1"/>
      <w:numFmt w:val="decimal"/>
      <w:lvlText w:val="%1.%2.%3.%4.%5.%6.%7.%8.%9"/>
      <w:lvlJc w:val="left"/>
      <w:pPr>
        <w:ind w:left="5368" w:hanging="1800"/>
      </w:pPr>
      <w:rPr>
        <w:rFonts w:hint="default"/>
      </w:rPr>
    </w:lvl>
  </w:abstractNum>
  <w:abstractNum w:abstractNumId="87" w15:restartNumberingAfterBreak="0">
    <w:nsid w:val="17670AEB"/>
    <w:multiLevelType w:val="multilevel"/>
    <w:tmpl w:val="2F729A8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8" w15:restartNumberingAfterBreak="0">
    <w:nsid w:val="17710C0D"/>
    <w:multiLevelType w:val="multilevel"/>
    <w:tmpl w:val="66D4292C"/>
    <w:lvl w:ilvl="0">
      <w:start w:val="1"/>
      <w:numFmt w:val="decimal"/>
      <w:lvlText w:val="%1."/>
      <w:lvlJc w:val="left"/>
      <w:pPr>
        <w:ind w:left="735" w:hanging="360"/>
      </w:pPr>
      <w:rPr>
        <w:rFonts w:cs="Times New Roman" w:hint="default"/>
      </w:rPr>
    </w:lvl>
    <w:lvl w:ilvl="1">
      <w:start w:val="1"/>
      <w:numFmt w:val="decimal"/>
      <w:isLgl/>
      <w:lvlText w:val="%1.%2."/>
      <w:lvlJc w:val="left"/>
      <w:pPr>
        <w:ind w:left="1095" w:hanging="720"/>
      </w:pPr>
      <w:rPr>
        <w:rFonts w:cs="Times New Roman" w:hint="default"/>
      </w:rPr>
    </w:lvl>
    <w:lvl w:ilvl="2">
      <w:start w:val="1"/>
      <w:numFmt w:val="decimal"/>
      <w:isLgl/>
      <w:lvlText w:val="%1.%2.%3."/>
      <w:lvlJc w:val="left"/>
      <w:pPr>
        <w:ind w:left="1095" w:hanging="720"/>
      </w:pPr>
      <w:rPr>
        <w:rFonts w:cs="Times New Roman" w:hint="default"/>
      </w:rPr>
    </w:lvl>
    <w:lvl w:ilvl="3">
      <w:start w:val="1"/>
      <w:numFmt w:val="decimal"/>
      <w:isLgl/>
      <w:lvlText w:val="%1.%2.%3.%4."/>
      <w:lvlJc w:val="left"/>
      <w:pPr>
        <w:ind w:left="1455" w:hanging="1080"/>
      </w:pPr>
      <w:rPr>
        <w:rFonts w:cs="Times New Roman" w:hint="default"/>
      </w:rPr>
    </w:lvl>
    <w:lvl w:ilvl="4">
      <w:start w:val="1"/>
      <w:numFmt w:val="decimal"/>
      <w:isLgl/>
      <w:lvlText w:val="%1.%2.%3.%4.%5."/>
      <w:lvlJc w:val="left"/>
      <w:pPr>
        <w:ind w:left="1455" w:hanging="1080"/>
      </w:pPr>
      <w:rPr>
        <w:rFonts w:cs="Times New Roman" w:hint="default"/>
      </w:rPr>
    </w:lvl>
    <w:lvl w:ilvl="5">
      <w:start w:val="1"/>
      <w:numFmt w:val="decimal"/>
      <w:isLgl/>
      <w:lvlText w:val="%1.%2.%3.%4.%5.%6."/>
      <w:lvlJc w:val="left"/>
      <w:pPr>
        <w:ind w:left="1815" w:hanging="1440"/>
      </w:pPr>
      <w:rPr>
        <w:rFonts w:cs="Times New Roman" w:hint="default"/>
      </w:rPr>
    </w:lvl>
    <w:lvl w:ilvl="6">
      <w:start w:val="1"/>
      <w:numFmt w:val="decimal"/>
      <w:isLgl/>
      <w:lvlText w:val="%1.%2.%3.%4.%5.%6.%7."/>
      <w:lvlJc w:val="left"/>
      <w:pPr>
        <w:ind w:left="1815" w:hanging="1440"/>
      </w:pPr>
      <w:rPr>
        <w:rFonts w:cs="Times New Roman" w:hint="default"/>
      </w:rPr>
    </w:lvl>
    <w:lvl w:ilvl="7">
      <w:start w:val="1"/>
      <w:numFmt w:val="decimal"/>
      <w:isLgl/>
      <w:lvlText w:val="%1.%2.%3.%4.%5.%6.%7.%8."/>
      <w:lvlJc w:val="left"/>
      <w:pPr>
        <w:ind w:left="2175" w:hanging="1800"/>
      </w:pPr>
      <w:rPr>
        <w:rFonts w:cs="Times New Roman" w:hint="default"/>
      </w:rPr>
    </w:lvl>
    <w:lvl w:ilvl="8">
      <w:start w:val="1"/>
      <w:numFmt w:val="decimal"/>
      <w:isLgl/>
      <w:lvlText w:val="%1.%2.%3.%4.%5.%6.%7.%8.%9."/>
      <w:lvlJc w:val="left"/>
      <w:pPr>
        <w:ind w:left="2175" w:hanging="1800"/>
      </w:pPr>
      <w:rPr>
        <w:rFonts w:cs="Times New Roman" w:hint="default"/>
      </w:rPr>
    </w:lvl>
  </w:abstractNum>
  <w:abstractNum w:abstractNumId="89" w15:restartNumberingAfterBreak="0">
    <w:nsid w:val="17C75C98"/>
    <w:multiLevelType w:val="multilevel"/>
    <w:tmpl w:val="7CE866E4"/>
    <w:lvl w:ilvl="0">
      <w:start w:val="1"/>
      <w:numFmt w:val="decimal"/>
      <w:lvlText w:val="%1."/>
      <w:lvlJc w:val="left"/>
      <w:pPr>
        <w:ind w:left="734" w:hanging="360"/>
      </w:pPr>
      <w:rPr>
        <w:rFonts w:hint="default"/>
        <w:b w:val="0"/>
      </w:rPr>
    </w:lvl>
    <w:lvl w:ilvl="1">
      <w:start w:val="2"/>
      <w:numFmt w:val="decimal"/>
      <w:isLgl/>
      <w:lvlText w:val="%1.%2."/>
      <w:lvlJc w:val="left"/>
      <w:pPr>
        <w:ind w:left="1094" w:hanging="720"/>
      </w:pPr>
      <w:rPr>
        <w:rFonts w:eastAsia="Times New Roman" w:cs="Times New Roman" w:hint="default"/>
        <w:b/>
      </w:rPr>
    </w:lvl>
    <w:lvl w:ilvl="2">
      <w:start w:val="1"/>
      <w:numFmt w:val="decimal"/>
      <w:isLgl/>
      <w:lvlText w:val="%1.%2.%3."/>
      <w:lvlJc w:val="left"/>
      <w:pPr>
        <w:ind w:left="1094" w:hanging="720"/>
      </w:pPr>
      <w:rPr>
        <w:rFonts w:eastAsia="Times New Roman" w:cs="Times New Roman" w:hint="default"/>
        <w:b/>
      </w:rPr>
    </w:lvl>
    <w:lvl w:ilvl="3">
      <w:start w:val="1"/>
      <w:numFmt w:val="decimal"/>
      <w:isLgl/>
      <w:lvlText w:val="%1.%2.%3.%4."/>
      <w:lvlJc w:val="left"/>
      <w:pPr>
        <w:ind w:left="1454" w:hanging="1080"/>
      </w:pPr>
      <w:rPr>
        <w:rFonts w:eastAsia="Times New Roman" w:cs="Times New Roman" w:hint="default"/>
        <w:b/>
      </w:rPr>
    </w:lvl>
    <w:lvl w:ilvl="4">
      <w:start w:val="1"/>
      <w:numFmt w:val="decimal"/>
      <w:isLgl/>
      <w:lvlText w:val="%1.%2.%3.%4.%5."/>
      <w:lvlJc w:val="left"/>
      <w:pPr>
        <w:ind w:left="1454" w:hanging="1080"/>
      </w:pPr>
      <w:rPr>
        <w:rFonts w:eastAsia="Times New Roman" w:cs="Times New Roman" w:hint="default"/>
        <w:b/>
      </w:rPr>
    </w:lvl>
    <w:lvl w:ilvl="5">
      <w:start w:val="1"/>
      <w:numFmt w:val="decimal"/>
      <w:isLgl/>
      <w:lvlText w:val="%1.%2.%3.%4.%5.%6."/>
      <w:lvlJc w:val="left"/>
      <w:pPr>
        <w:ind w:left="1814" w:hanging="1440"/>
      </w:pPr>
      <w:rPr>
        <w:rFonts w:eastAsia="Times New Roman" w:cs="Times New Roman" w:hint="default"/>
        <w:b/>
      </w:rPr>
    </w:lvl>
    <w:lvl w:ilvl="6">
      <w:start w:val="1"/>
      <w:numFmt w:val="decimal"/>
      <w:isLgl/>
      <w:lvlText w:val="%1.%2.%3.%4.%5.%6.%7."/>
      <w:lvlJc w:val="left"/>
      <w:pPr>
        <w:ind w:left="2174" w:hanging="1800"/>
      </w:pPr>
      <w:rPr>
        <w:rFonts w:eastAsia="Times New Roman" w:cs="Times New Roman" w:hint="default"/>
        <w:b/>
      </w:rPr>
    </w:lvl>
    <w:lvl w:ilvl="7">
      <w:start w:val="1"/>
      <w:numFmt w:val="decimal"/>
      <w:isLgl/>
      <w:lvlText w:val="%1.%2.%3.%4.%5.%6.%7.%8."/>
      <w:lvlJc w:val="left"/>
      <w:pPr>
        <w:ind w:left="2174" w:hanging="1800"/>
      </w:pPr>
      <w:rPr>
        <w:rFonts w:eastAsia="Times New Roman" w:cs="Times New Roman" w:hint="default"/>
        <w:b/>
      </w:rPr>
    </w:lvl>
    <w:lvl w:ilvl="8">
      <w:start w:val="1"/>
      <w:numFmt w:val="decimal"/>
      <w:isLgl/>
      <w:lvlText w:val="%1.%2.%3.%4.%5.%6.%7.%8.%9."/>
      <w:lvlJc w:val="left"/>
      <w:pPr>
        <w:ind w:left="2534" w:hanging="2160"/>
      </w:pPr>
      <w:rPr>
        <w:rFonts w:eastAsia="Times New Roman" w:cs="Times New Roman" w:hint="default"/>
        <w:b/>
      </w:rPr>
    </w:lvl>
  </w:abstractNum>
  <w:abstractNum w:abstractNumId="90" w15:restartNumberingAfterBreak="0">
    <w:nsid w:val="17CA5BC5"/>
    <w:multiLevelType w:val="multilevel"/>
    <w:tmpl w:val="BF74542A"/>
    <w:lvl w:ilvl="0">
      <w:start w:val="1"/>
      <w:numFmt w:val="decimal"/>
      <w:lvlText w:val="%1"/>
      <w:lvlJc w:val="left"/>
      <w:pPr>
        <w:ind w:left="360" w:hanging="360"/>
      </w:pPr>
      <w:rPr>
        <w:rFonts w:hint="default"/>
        <w:b/>
      </w:rPr>
    </w:lvl>
    <w:lvl w:ilvl="1">
      <w:start w:val="2"/>
      <w:numFmt w:val="decimal"/>
      <w:lvlText w:val="%1.%2"/>
      <w:lvlJc w:val="left"/>
      <w:pPr>
        <w:ind w:left="660" w:hanging="360"/>
      </w:pPr>
      <w:rPr>
        <w:rFonts w:hint="default"/>
        <w:b/>
      </w:rPr>
    </w:lvl>
    <w:lvl w:ilvl="2">
      <w:start w:val="1"/>
      <w:numFmt w:val="decimal"/>
      <w:lvlText w:val="%1.%2.%3"/>
      <w:lvlJc w:val="left"/>
      <w:pPr>
        <w:ind w:left="1320" w:hanging="720"/>
      </w:pPr>
      <w:rPr>
        <w:rFonts w:hint="default"/>
        <w:b/>
      </w:rPr>
    </w:lvl>
    <w:lvl w:ilvl="3">
      <w:start w:val="1"/>
      <w:numFmt w:val="decimal"/>
      <w:lvlText w:val="%1.%2.%3.%4"/>
      <w:lvlJc w:val="left"/>
      <w:pPr>
        <w:ind w:left="1980" w:hanging="1080"/>
      </w:pPr>
      <w:rPr>
        <w:rFonts w:hint="default"/>
        <w:b/>
      </w:rPr>
    </w:lvl>
    <w:lvl w:ilvl="4">
      <w:start w:val="1"/>
      <w:numFmt w:val="decimal"/>
      <w:lvlText w:val="%1.%2.%3.%4.%5"/>
      <w:lvlJc w:val="left"/>
      <w:pPr>
        <w:ind w:left="2280" w:hanging="1080"/>
      </w:pPr>
      <w:rPr>
        <w:rFonts w:hint="default"/>
        <w:b/>
      </w:rPr>
    </w:lvl>
    <w:lvl w:ilvl="5">
      <w:start w:val="1"/>
      <w:numFmt w:val="decimal"/>
      <w:lvlText w:val="%1.%2.%3.%4.%5.%6"/>
      <w:lvlJc w:val="left"/>
      <w:pPr>
        <w:ind w:left="2940" w:hanging="1440"/>
      </w:pPr>
      <w:rPr>
        <w:rFonts w:hint="default"/>
        <w:b/>
      </w:rPr>
    </w:lvl>
    <w:lvl w:ilvl="6">
      <w:start w:val="1"/>
      <w:numFmt w:val="decimal"/>
      <w:lvlText w:val="%1.%2.%3.%4.%5.%6.%7"/>
      <w:lvlJc w:val="left"/>
      <w:pPr>
        <w:ind w:left="3240" w:hanging="1440"/>
      </w:pPr>
      <w:rPr>
        <w:rFonts w:hint="default"/>
        <w:b/>
      </w:rPr>
    </w:lvl>
    <w:lvl w:ilvl="7">
      <w:start w:val="1"/>
      <w:numFmt w:val="decimal"/>
      <w:lvlText w:val="%1.%2.%3.%4.%5.%6.%7.%8"/>
      <w:lvlJc w:val="left"/>
      <w:pPr>
        <w:ind w:left="3900" w:hanging="1800"/>
      </w:pPr>
      <w:rPr>
        <w:rFonts w:hint="default"/>
        <w:b/>
      </w:rPr>
    </w:lvl>
    <w:lvl w:ilvl="8">
      <w:start w:val="1"/>
      <w:numFmt w:val="decimal"/>
      <w:lvlText w:val="%1.%2.%3.%4.%5.%6.%7.%8.%9"/>
      <w:lvlJc w:val="left"/>
      <w:pPr>
        <w:ind w:left="4560" w:hanging="2160"/>
      </w:pPr>
      <w:rPr>
        <w:rFonts w:hint="default"/>
        <w:b/>
      </w:rPr>
    </w:lvl>
  </w:abstractNum>
  <w:abstractNum w:abstractNumId="91" w15:restartNumberingAfterBreak="0">
    <w:nsid w:val="187E52C7"/>
    <w:multiLevelType w:val="multilevel"/>
    <w:tmpl w:val="9F3A05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2" w15:restartNumberingAfterBreak="0">
    <w:nsid w:val="18AE0A53"/>
    <w:multiLevelType w:val="multilevel"/>
    <w:tmpl w:val="9EB87A88"/>
    <w:lvl w:ilvl="0">
      <w:start w:val="1"/>
      <w:numFmt w:val="decimal"/>
      <w:lvlText w:val="%1."/>
      <w:lvlJc w:val="left"/>
      <w:pPr>
        <w:ind w:left="450" w:hanging="360"/>
      </w:pPr>
      <w:rPr>
        <w:rFonts w:hint="default"/>
        <w:lang w:val="hy-AM"/>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93" w15:restartNumberingAfterBreak="0">
    <w:nsid w:val="190B653C"/>
    <w:multiLevelType w:val="multilevel"/>
    <w:tmpl w:val="3B0A4B6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4" w15:restartNumberingAfterBreak="0">
    <w:nsid w:val="190F18C8"/>
    <w:multiLevelType w:val="multilevel"/>
    <w:tmpl w:val="BEA43266"/>
    <w:lvl w:ilvl="0">
      <w:start w:val="1"/>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2160" w:hanging="2160"/>
      </w:pPr>
      <w:rPr>
        <w:rFonts w:hint="default"/>
        <w:b/>
        <w:i w:val="0"/>
      </w:rPr>
    </w:lvl>
  </w:abstractNum>
  <w:abstractNum w:abstractNumId="95" w15:restartNumberingAfterBreak="0">
    <w:nsid w:val="192D764A"/>
    <w:multiLevelType w:val="hybridMultilevel"/>
    <w:tmpl w:val="5CE8CA54"/>
    <w:lvl w:ilvl="0" w:tplc="0E9AAB8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194C320A"/>
    <w:multiLevelType w:val="hybridMultilevel"/>
    <w:tmpl w:val="E9446CD8"/>
    <w:lvl w:ilvl="0" w:tplc="33C6A6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19AD30C8"/>
    <w:multiLevelType w:val="multilevel"/>
    <w:tmpl w:val="2FDA252A"/>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8" w15:restartNumberingAfterBreak="0">
    <w:nsid w:val="19FB6899"/>
    <w:multiLevelType w:val="multilevel"/>
    <w:tmpl w:val="4C9EA110"/>
    <w:lvl w:ilvl="0">
      <w:start w:val="1"/>
      <w:numFmt w:val="decimal"/>
      <w:lvlText w:val="%1."/>
      <w:lvlJc w:val="left"/>
      <w:pPr>
        <w:ind w:left="735" w:hanging="360"/>
      </w:pPr>
      <w:rPr>
        <w:rFonts w:ascii="GHEA Grapalat" w:eastAsia="Times New Roman" w:hAnsi="GHEA Grapalat" w:cs="Times New Roman"/>
      </w:rPr>
    </w:lvl>
    <w:lvl w:ilvl="1">
      <w:start w:val="1"/>
      <w:numFmt w:val="decimal"/>
      <w:isLgl/>
      <w:lvlText w:val="%1.%2"/>
      <w:lvlJc w:val="left"/>
      <w:pPr>
        <w:ind w:left="735" w:hanging="360"/>
      </w:pPr>
      <w:rPr>
        <w:rFonts w:cs="Arial" w:hint="default"/>
        <w:b/>
      </w:rPr>
    </w:lvl>
    <w:lvl w:ilvl="2">
      <w:start w:val="1"/>
      <w:numFmt w:val="decimal"/>
      <w:isLgl/>
      <w:lvlText w:val="%1.%2.%3"/>
      <w:lvlJc w:val="left"/>
      <w:pPr>
        <w:ind w:left="1095" w:hanging="720"/>
      </w:pPr>
      <w:rPr>
        <w:rFonts w:cs="Arial" w:hint="default"/>
        <w:b/>
      </w:rPr>
    </w:lvl>
    <w:lvl w:ilvl="3">
      <w:start w:val="1"/>
      <w:numFmt w:val="decimal"/>
      <w:isLgl/>
      <w:lvlText w:val="%1.%2.%3.%4"/>
      <w:lvlJc w:val="left"/>
      <w:pPr>
        <w:ind w:left="1095" w:hanging="720"/>
      </w:pPr>
      <w:rPr>
        <w:rFonts w:cs="Arial" w:hint="default"/>
        <w:b/>
      </w:rPr>
    </w:lvl>
    <w:lvl w:ilvl="4">
      <w:start w:val="1"/>
      <w:numFmt w:val="decimal"/>
      <w:isLgl/>
      <w:lvlText w:val="%1.%2.%3.%4.%5"/>
      <w:lvlJc w:val="left"/>
      <w:pPr>
        <w:ind w:left="1455" w:hanging="1080"/>
      </w:pPr>
      <w:rPr>
        <w:rFonts w:cs="Arial" w:hint="default"/>
        <w:b/>
      </w:rPr>
    </w:lvl>
    <w:lvl w:ilvl="5">
      <w:start w:val="1"/>
      <w:numFmt w:val="decimal"/>
      <w:isLgl/>
      <w:lvlText w:val="%1.%2.%3.%4.%5.%6"/>
      <w:lvlJc w:val="left"/>
      <w:pPr>
        <w:ind w:left="1455" w:hanging="1080"/>
      </w:pPr>
      <w:rPr>
        <w:rFonts w:cs="Arial" w:hint="default"/>
        <w:b/>
      </w:rPr>
    </w:lvl>
    <w:lvl w:ilvl="6">
      <w:start w:val="1"/>
      <w:numFmt w:val="decimal"/>
      <w:isLgl/>
      <w:lvlText w:val="%1.%2.%3.%4.%5.%6.%7"/>
      <w:lvlJc w:val="left"/>
      <w:pPr>
        <w:ind w:left="1815" w:hanging="1440"/>
      </w:pPr>
      <w:rPr>
        <w:rFonts w:cs="Arial" w:hint="default"/>
        <w:b/>
      </w:rPr>
    </w:lvl>
    <w:lvl w:ilvl="7">
      <w:start w:val="1"/>
      <w:numFmt w:val="decimal"/>
      <w:isLgl/>
      <w:lvlText w:val="%1.%2.%3.%4.%5.%6.%7.%8"/>
      <w:lvlJc w:val="left"/>
      <w:pPr>
        <w:ind w:left="1815" w:hanging="1440"/>
      </w:pPr>
      <w:rPr>
        <w:rFonts w:cs="Arial" w:hint="default"/>
        <w:b/>
      </w:rPr>
    </w:lvl>
    <w:lvl w:ilvl="8">
      <w:start w:val="1"/>
      <w:numFmt w:val="decimal"/>
      <w:isLgl/>
      <w:lvlText w:val="%1.%2.%3.%4.%5.%6.%7.%8.%9"/>
      <w:lvlJc w:val="left"/>
      <w:pPr>
        <w:ind w:left="2175" w:hanging="1800"/>
      </w:pPr>
      <w:rPr>
        <w:rFonts w:cs="Arial" w:hint="default"/>
        <w:b/>
      </w:rPr>
    </w:lvl>
  </w:abstractNum>
  <w:abstractNum w:abstractNumId="99" w15:restartNumberingAfterBreak="0">
    <w:nsid w:val="1A2F3BED"/>
    <w:multiLevelType w:val="multilevel"/>
    <w:tmpl w:val="B9F44E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1A446B36"/>
    <w:multiLevelType w:val="multilevel"/>
    <w:tmpl w:val="F10CE51C"/>
    <w:lvl w:ilvl="0">
      <w:start w:val="1"/>
      <w:numFmt w:val="decimal"/>
      <w:lvlText w:val="%1."/>
      <w:lvlJc w:val="left"/>
      <w:pPr>
        <w:ind w:left="735" w:hanging="360"/>
      </w:pPr>
      <w:rPr>
        <w:rFonts w:cs="Times New Roman"/>
        <w:b/>
      </w:rPr>
    </w:lvl>
    <w:lvl w:ilvl="1">
      <w:start w:val="1"/>
      <w:numFmt w:val="decimal"/>
      <w:isLgl/>
      <w:lvlText w:val="%1.%2"/>
      <w:lvlJc w:val="left"/>
      <w:pPr>
        <w:ind w:left="735" w:hanging="360"/>
      </w:pPr>
      <w:rPr>
        <w:rFonts w:cs="Times New Roman"/>
        <w:i w:val="0"/>
      </w:rPr>
    </w:lvl>
    <w:lvl w:ilvl="2">
      <w:start w:val="1"/>
      <w:numFmt w:val="decimal"/>
      <w:isLgl/>
      <w:lvlText w:val="%1.%2.%3"/>
      <w:lvlJc w:val="left"/>
      <w:pPr>
        <w:ind w:left="1095" w:hanging="720"/>
      </w:pPr>
      <w:rPr>
        <w:rFonts w:cs="Times New Roman"/>
      </w:rPr>
    </w:lvl>
    <w:lvl w:ilvl="3">
      <w:start w:val="1"/>
      <w:numFmt w:val="decimal"/>
      <w:isLgl/>
      <w:lvlText w:val="%1.%2.%3.%4"/>
      <w:lvlJc w:val="left"/>
      <w:pPr>
        <w:ind w:left="1455" w:hanging="1080"/>
      </w:pPr>
      <w:rPr>
        <w:rFonts w:cs="Times New Roman"/>
      </w:rPr>
    </w:lvl>
    <w:lvl w:ilvl="4">
      <w:start w:val="1"/>
      <w:numFmt w:val="decimal"/>
      <w:isLgl/>
      <w:lvlText w:val="%1.%2.%3.%4.%5"/>
      <w:lvlJc w:val="left"/>
      <w:pPr>
        <w:ind w:left="1455" w:hanging="1080"/>
      </w:pPr>
      <w:rPr>
        <w:rFonts w:cs="Times New Roman"/>
      </w:rPr>
    </w:lvl>
    <w:lvl w:ilvl="5">
      <w:start w:val="1"/>
      <w:numFmt w:val="decimal"/>
      <w:isLgl/>
      <w:lvlText w:val="%1.%2.%3.%4.%5.%6"/>
      <w:lvlJc w:val="left"/>
      <w:pPr>
        <w:ind w:left="1815" w:hanging="1440"/>
      </w:pPr>
      <w:rPr>
        <w:rFonts w:cs="Times New Roman"/>
      </w:rPr>
    </w:lvl>
    <w:lvl w:ilvl="6">
      <w:start w:val="1"/>
      <w:numFmt w:val="decimal"/>
      <w:isLgl/>
      <w:lvlText w:val="%1.%2.%3.%4.%5.%6.%7"/>
      <w:lvlJc w:val="left"/>
      <w:pPr>
        <w:ind w:left="1815" w:hanging="1440"/>
      </w:pPr>
      <w:rPr>
        <w:rFonts w:cs="Times New Roman"/>
      </w:rPr>
    </w:lvl>
    <w:lvl w:ilvl="7">
      <w:start w:val="1"/>
      <w:numFmt w:val="decimal"/>
      <w:isLgl/>
      <w:lvlText w:val="%1.%2.%3.%4.%5.%6.%7.%8"/>
      <w:lvlJc w:val="left"/>
      <w:pPr>
        <w:ind w:left="2175" w:hanging="1800"/>
      </w:pPr>
      <w:rPr>
        <w:rFonts w:cs="Times New Roman"/>
      </w:rPr>
    </w:lvl>
    <w:lvl w:ilvl="8">
      <w:start w:val="1"/>
      <w:numFmt w:val="decimal"/>
      <w:isLgl/>
      <w:lvlText w:val="%1.%2.%3.%4.%5.%6.%7.%8.%9"/>
      <w:lvlJc w:val="left"/>
      <w:pPr>
        <w:ind w:left="2535" w:hanging="2160"/>
      </w:pPr>
      <w:rPr>
        <w:rFonts w:cs="Times New Roman"/>
      </w:rPr>
    </w:lvl>
  </w:abstractNum>
  <w:abstractNum w:abstractNumId="101" w15:restartNumberingAfterBreak="0">
    <w:nsid w:val="1A6C4DE8"/>
    <w:multiLevelType w:val="multilevel"/>
    <w:tmpl w:val="2B82942E"/>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2" w15:restartNumberingAfterBreak="0">
    <w:nsid w:val="1A7126C0"/>
    <w:multiLevelType w:val="hybridMultilevel"/>
    <w:tmpl w:val="B9E4027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3" w15:restartNumberingAfterBreak="0">
    <w:nsid w:val="1AA4383D"/>
    <w:multiLevelType w:val="multilevel"/>
    <w:tmpl w:val="64F8E1D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1AD75D1A"/>
    <w:multiLevelType w:val="hybridMultilevel"/>
    <w:tmpl w:val="0B26EB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5" w15:restartNumberingAfterBreak="0">
    <w:nsid w:val="1AF145F5"/>
    <w:multiLevelType w:val="multilevel"/>
    <w:tmpl w:val="B58C3C5C"/>
    <w:lvl w:ilvl="0">
      <w:start w:val="1"/>
      <w:numFmt w:val="decimal"/>
      <w:lvlText w:val="%1."/>
      <w:lvlJc w:val="left"/>
      <w:pPr>
        <w:ind w:left="975" w:hanging="600"/>
      </w:pPr>
      <w:rPr>
        <w:rFonts w:hint="default"/>
      </w:rPr>
    </w:lvl>
    <w:lvl w:ilvl="1">
      <w:start w:val="1"/>
      <w:numFmt w:val="decimal"/>
      <w:isLgl/>
      <w:lvlText w:val="%1.%2."/>
      <w:lvlJc w:val="left"/>
      <w:pPr>
        <w:ind w:left="1140" w:hanging="765"/>
      </w:pPr>
      <w:rPr>
        <w:rFonts w:hint="default"/>
      </w:rPr>
    </w:lvl>
    <w:lvl w:ilvl="2">
      <w:start w:val="1"/>
      <w:numFmt w:val="decimal"/>
      <w:isLgl/>
      <w:lvlText w:val="%1.%2.%3."/>
      <w:lvlJc w:val="left"/>
      <w:pPr>
        <w:ind w:left="1140" w:hanging="765"/>
      </w:pPr>
      <w:rPr>
        <w:rFonts w:hint="default"/>
      </w:rPr>
    </w:lvl>
    <w:lvl w:ilvl="3">
      <w:start w:val="1"/>
      <w:numFmt w:val="decimal"/>
      <w:isLgl/>
      <w:lvlText w:val="%1.%2.%3.%4."/>
      <w:lvlJc w:val="left"/>
      <w:pPr>
        <w:ind w:left="1455" w:hanging="108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35" w:hanging="2160"/>
      </w:pPr>
      <w:rPr>
        <w:rFonts w:hint="default"/>
      </w:rPr>
    </w:lvl>
  </w:abstractNum>
  <w:abstractNum w:abstractNumId="106" w15:restartNumberingAfterBreak="0">
    <w:nsid w:val="1B4A0E19"/>
    <w:multiLevelType w:val="multilevel"/>
    <w:tmpl w:val="2F52C150"/>
    <w:lvl w:ilvl="0">
      <w:start w:val="1"/>
      <w:numFmt w:val="decimal"/>
      <w:lvlText w:val="%1."/>
      <w:lvlJc w:val="left"/>
      <w:pPr>
        <w:ind w:left="435" w:hanging="435"/>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107" w15:restartNumberingAfterBreak="0">
    <w:nsid w:val="1B64779F"/>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108" w15:restartNumberingAfterBreak="0">
    <w:nsid w:val="1B8E446C"/>
    <w:multiLevelType w:val="hybridMultilevel"/>
    <w:tmpl w:val="F59E71BE"/>
    <w:lvl w:ilvl="0" w:tplc="04090011">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1BFE0B4D"/>
    <w:multiLevelType w:val="multilevel"/>
    <w:tmpl w:val="99E8E36E"/>
    <w:lvl w:ilvl="0">
      <w:start w:val="1"/>
      <w:numFmt w:val="decimal"/>
      <w:lvlText w:val="%1."/>
      <w:lvlJc w:val="left"/>
      <w:pPr>
        <w:ind w:left="405" w:hanging="405"/>
      </w:pPr>
      <w:rPr>
        <w:rFonts w:ascii="Sylfaen" w:hAnsi="Sylfaen" w:cs="Sylfaen" w:hint="default"/>
      </w:rPr>
    </w:lvl>
    <w:lvl w:ilvl="1">
      <w:start w:val="1"/>
      <w:numFmt w:val="decimal"/>
      <w:lvlText w:val="%1.%2."/>
      <w:lvlJc w:val="left"/>
      <w:pPr>
        <w:ind w:left="2880" w:hanging="720"/>
      </w:pPr>
      <w:rPr>
        <w:rFonts w:ascii="Sylfaen" w:hAnsi="Sylfaen" w:cs="Sylfaen" w:hint="default"/>
      </w:rPr>
    </w:lvl>
    <w:lvl w:ilvl="2">
      <w:start w:val="1"/>
      <w:numFmt w:val="decimal"/>
      <w:lvlText w:val="%1.%2.%3."/>
      <w:lvlJc w:val="left"/>
      <w:pPr>
        <w:ind w:left="5040" w:hanging="720"/>
      </w:pPr>
      <w:rPr>
        <w:rFonts w:ascii="Sylfaen" w:hAnsi="Sylfaen" w:cs="Sylfaen" w:hint="default"/>
      </w:rPr>
    </w:lvl>
    <w:lvl w:ilvl="3">
      <w:start w:val="1"/>
      <w:numFmt w:val="decimal"/>
      <w:lvlText w:val="%1.%2.%3.%4."/>
      <w:lvlJc w:val="left"/>
      <w:pPr>
        <w:ind w:left="7560" w:hanging="1080"/>
      </w:pPr>
      <w:rPr>
        <w:rFonts w:ascii="Sylfaen" w:hAnsi="Sylfaen" w:cs="Sylfaen" w:hint="default"/>
      </w:rPr>
    </w:lvl>
    <w:lvl w:ilvl="4">
      <w:start w:val="1"/>
      <w:numFmt w:val="decimal"/>
      <w:lvlText w:val="%1.%2.%3.%4.%5."/>
      <w:lvlJc w:val="left"/>
      <w:pPr>
        <w:ind w:left="9720" w:hanging="1080"/>
      </w:pPr>
      <w:rPr>
        <w:rFonts w:ascii="Sylfaen" w:hAnsi="Sylfaen" w:cs="Sylfaen" w:hint="default"/>
      </w:rPr>
    </w:lvl>
    <w:lvl w:ilvl="5">
      <w:start w:val="1"/>
      <w:numFmt w:val="decimal"/>
      <w:lvlText w:val="%1.%2.%3.%4.%5.%6."/>
      <w:lvlJc w:val="left"/>
      <w:pPr>
        <w:ind w:left="12240" w:hanging="1440"/>
      </w:pPr>
      <w:rPr>
        <w:rFonts w:ascii="Sylfaen" w:hAnsi="Sylfaen" w:cs="Sylfaen" w:hint="default"/>
      </w:rPr>
    </w:lvl>
    <w:lvl w:ilvl="6">
      <w:start w:val="1"/>
      <w:numFmt w:val="decimal"/>
      <w:lvlText w:val="%1.%2.%3.%4.%5.%6.%7."/>
      <w:lvlJc w:val="left"/>
      <w:pPr>
        <w:ind w:left="14760" w:hanging="1800"/>
      </w:pPr>
      <w:rPr>
        <w:rFonts w:ascii="Sylfaen" w:hAnsi="Sylfaen" w:cs="Sylfaen" w:hint="default"/>
      </w:rPr>
    </w:lvl>
    <w:lvl w:ilvl="7">
      <w:start w:val="1"/>
      <w:numFmt w:val="decimal"/>
      <w:lvlText w:val="%1.%2.%3.%4.%5.%6.%7.%8."/>
      <w:lvlJc w:val="left"/>
      <w:pPr>
        <w:ind w:left="16920" w:hanging="1800"/>
      </w:pPr>
      <w:rPr>
        <w:rFonts w:ascii="Sylfaen" w:hAnsi="Sylfaen" w:cs="Sylfaen" w:hint="default"/>
      </w:rPr>
    </w:lvl>
    <w:lvl w:ilvl="8">
      <w:start w:val="1"/>
      <w:numFmt w:val="decimal"/>
      <w:lvlText w:val="%1.%2.%3.%4.%5.%6.%7.%8.%9."/>
      <w:lvlJc w:val="left"/>
      <w:pPr>
        <w:ind w:left="19440" w:hanging="2160"/>
      </w:pPr>
      <w:rPr>
        <w:rFonts w:ascii="Sylfaen" w:hAnsi="Sylfaen" w:cs="Sylfaen" w:hint="default"/>
      </w:rPr>
    </w:lvl>
  </w:abstractNum>
  <w:abstractNum w:abstractNumId="110" w15:restartNumberingAfterBreak="0">
    <w:nsid w:val="1C286D32"/>
    <w:multiLevelType w:val="multilevel"/>
    <w:tmpl w:val="7D42DD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15:restartNumberingAfterBreak="0">
    <w:nsid w:val="1C2F7A70"/>
    <w:multiLevelType w:val="multilevel"/>
    <w:tmpl w:val="BE24E780"/>
    <w:lvl w:ilvl="0">
      <w:start w:val="1"/>
      <w:numFmt w:val="decimal"/>
      <w:lvlText w:val="%1."/>
      <w:lvlJc w:val="left"/>
      <w:pPr>
        <w:ind w:left="720" w:hanging="360"/>
      </w:pPr>
      <w:rPr>
        <w:rFonts w:cs="Arial Armeni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2" w15:restartNumberingAfterBreak="0">
    <w:nsid w:val="1C4B1142"/>
    <w:multiLevelType w:val="multilevel"/>
    <w:tmpl w:val="1190121A"/>
    <w:lvl w:ilvl="0">
      <w:start w:val="1"/>
      <w:numFmt w:val="decimal"/>
      <w:lvlText w:val="%1."/>
      <w:lvlJc w:val="left"/>
      <w:pPr>
        <w:ind w:left="735" w:hanging="360"/>
      </w:pPr>
      <w:rPr>
        <w:rFonts w:hint="default"/>
      </w:rPr>
    </w:lvl>
    <w:lvl w:ilvl="1">
      <w:start w:val="1"/>
      <w:numFmt w:val="decimal"/>
      <w:isLgl/>
      <w:lvlText w:val="%1.%2."/>
      <w:lvlJc w:val="left"/>
      <w:pPr>
        <w:ind w:left="1095" w:hanging="72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455" w:hanging="108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35" w:hanging="2160"/>
      </w:pPr>
      <w:rPr>
        <w:rFonts w:hint="default"/>
      </w:rPr>
    </w:lvl>
  </w:abstractNum>
  <w:abstractNum w:abstractNumId="113" w15:restartNumberingAfterBreak="0">
    <w:nsid w:val="1C83777A"/>
    <w:multiLevelType w:val="multilevel"/>
    <w:tmpl w:val="A3EAC7E2"/>
    <w:lvl w:ilvl="0">
      <w:start w:val="1"/>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14" w15:restartNumberingAfterBreak="0">
    <w:nsid w:val="1C923C90"/>
    <w:multiLevelType w:val="multilevel"/>
    <w:tmpl w:val="5BD43BC2"/>
    <w:lvl w:ilvl="0">
      <w:start w:val="1"/>
      <w:numFmt w:val="decimal"/>
      <w:lvlText w:val="%1"/>
      <w:lvlJc w:val="left"/>
      <w:pPr>
        <w:ind w:left="360" w:hanging="360"/>
      </w:pPr>
      <w:rPr>
        <w:rFonts w:eastAsia="Times New Roman" w:cs="Times New Roman" w:hint="default"/>
      </w:rPr>
    </w:lvl>
    <w:lvl w:ilvl="1">
      <w:start w:val="1"/>
      <w:numFmt w:val="decimal"/>
      <w:lvlText w:val="%1.%2"/>
      <w:lvlJc w:val="left"/>
      <w:pPr>
        <w:ind w:left="735" w:hanging="360"/>
      </w:pPr>
      <w:rPr>
        <w:rFonts w:eastAsia="Times New Roman" w:cs="Times New Roman" w:hint="default"/>
      </w:rPr>
    </w:lvl>
    <w:lvl w:ilvl="2">
      <w:start w:val="1"/>
      <w:numFmt w:val="decimal"/>
      <w:lvlText w:val="%1.%2.%3"/>
      <w:lvlJc w:val="left"/>
      <w:pPr>
        <w:ind w:left="1470" w:hanging="720"/>
      </w:pPr>
      <w:rPr>
        <w:rFonts w:eastAsia="Times New Roman" w:cs="Times New Roman" w:hint="default"/>
      </w:rPr>
    </w:lvl>
    <w:lvl w:ilvl="3">
      <w:start w:val="1"/>
      <w:numFmt w:val="decimal"/>
      <w:lvlText w:val="%1.%2.%3.%4"/>
      <w:lvlJc w:val="left"/>
      <w:pPr>
        <w:ind w:left="2205" w:hanging="1080"/>
      </w:pPr>
      <w:rPr>
        <w:rFonts w:eastAsia="Times New Roman" w:cs="Times New Roman" w:hint="default"/>
      </w:rPr>
    </w:lvl>
    <w:lvl w:ilvl="4">
      <w:start w:val="1"/>
      <w:numFmt w:val="decimal"/>
      <w:lvlText w:val="%1.%2.%3.%4.%5"/>
      <w:lvlJc w:val="left"/>
      <w:pPr>
        <w:ind w:left="2580" w:hanging="1080"/>
      </w:pPr>
      <w:rPr>
        <w:rFonts w:eastAsia="Times New Roman" w:cs="Times New Roman" w:hint="default"/>
      </w:rPr>
    </w:lvl>
    <w:lvl w:ilvl="5">
      <w:start w:val="1"/>
      <w:numFmt w:val="decimal"/>
      <w:lvlText w:val="%1.%2.%3.%4.%5.%6"/>
      <w:lvlJc w:val="left"/>
      <w:pPr>
        <w:ind w:left="3315" w:hanging="1440"/>
      </w:pPr>
      <w:rPr>
        <w:rFonts w:eastAsia="Times New Roman" w:cs="Times New Roman" w:hint="default"/>
      </w:rPr>
    </w:lvl>
    <w:lvl w:ilvl="6">
      <w:start w:val="1"/>
      <w:numFmt w:val="decimal"/>
      <w:lvlText w:val="%1.%2.%3.%4.%5.%6.%7"/>
      <w:lvlJc w:val="left"/>
      <w:pPr>
        <w:ind w:left="3690" w:hanging="1440"/>
      </w:pPr>
      <w:rPr>
        <w:rFonts w:eastAsia="Times New Roman" w:cs="Times New Roman" w:hint="default"/>
      </w:rPr>
    </w:lvl>
    <w:lvl w:ilvl="7">
      <w:start w:val="1"/>
      <w:numFmt w:val="decimal"/>
      <w:lvlText w:val="%1.%2.%3.%4.%5.%6.%7.%8"/>
      <w:lvlJc w:val="left"/>
      <w:pPr>
        <w:ind w:left="4425" w:hanging="1800"/>
      </w:pPr>
      <w:rPr>
        <w:rFonts w:eastAsia="Times New Roman" w:cs="Times New Roman" w:hint="default"/>
      </w:rPr>
    </w:lvl>
    <w:lvl w:ilvl="8">
      <w:start w:val="1"/>
      <w:numFmt w:val="decimal"/>
      <w:lvlText w:val="%1.%2.%3.%4.%5.%6.%7.%8.%9"/>
      <w:lvlJc w:val="left"/>
      <w:pPr>
        <w:ind w:left="5160" w:hanging="2160"/>
      </w:pPr>
      <w:rPr>
        <w:rFonts w:eastAsia="Times New Roman" w:cs="Times New Roman" w:hint="default"/>
      </w:rPr>
    </w:lvl>
  </w:abstractNum>
  <w:abstractNum w:abstractNumId="115" w15:restartNumberingAfterBreak="0">
    <w:nsid w:val="1D1867DE"/>
    <w:multiLevelType w:val="multilevel"/>
    <w:tmpl w:val="92AC630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16" w15:restartNumberingAfterBreak="0">
    <w:nsid w:val="1D254B98"/>
    <w:multiLevelType w:val="hybridMultilevel"/>
    <w:tmpl w:val="0BA40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1D4B0F2A"/>
    <w:multiLevelType w:val="hybridMultilevel"/>
    <w:tmpl w:val="A3DA7AFA"/>
    <w:lvl w:ilvl="0" w:tplc="F1DACA3A">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8" w15:restartNumberingAfterBreak="0">
    <w:nsid w:val="1D741779"/>
    <w:multiLevelType w:val="multilevel"/>
    <w:tmpl w:val="48F4282A"/>
    <w:lvl w:ilvl="0">
      <w:start w:val="1"/>
      <w:numFmt w:val="decimal"/>
      <w:lvlText w:val="%1"/>
      <w:lvlJc w:val="left"/>
      <w:pPr>
        <w:ind w:left="360" w:hanging="360"/>
      </w:pPr>
      <w:rPr>
        <w:rFonts w:hint="default"/>
        <w:b w:val="0"/>
      </w:rPr>
    </w:lvl>
    <w:lvl w:ilvl="1">
      <w:start w:val="1"/>
      <w:numFmt w:val="decimal"/>
      <w:lvlText w:val="%1.%2"/>
      <w:lvlJc w:val="left"/>
      <w:pPr>
        <w:ind w:left="401" w:hanging="360"/>
      </w:pPr>
      <w:rPr>
        <w:rFonts w:hint="default"/>
        <w:b w:val="0"/>
      </w:rPr>
    </w:lvl>
    <w:lvl w:ilvl="2">
      <w:start w:val="1"/>
      <w:numFmt w:val="decimal"/>
      <w:lvlText w:val="%1.%2.%3"/>
      <w:lvlJc w:val="left"/>
      <w:pPr>
        <w:ind w:left="802" w:hanging="720"/>
      </w:pPr>
      <w:rPr>
        <w:rFonts w:hint="default"/>
        <w:b w:val="0"/>
      </w:rPr>
    </w:lvl>
    <w:lvl w:ilvl="3">
      <w:start w:val="1"/>
      <w:numFmt w:val="decimal"/>
      <w:lvlText w:val="%1.%2.%3.%4"/>
      <w:lvlJc w:val="left"/>
      <w:pPr>
        <w:ind w:left="843" w:hanging="720"/>
      </w:pPr>
      <w:rPr>
        <w:rFonts w:hint="default"/>
        <w:b w:val="0"/>
      </w:rPr>
    </w:lvl>
    <w:lvl w:ilvl="4">
      <w:start w:val="1"/>
      <w:numFmt w:val="decimal"/>
      <w:lvlText w:val="%1.%2.%3.%4.%5"/>
      <w:lvlJc w:val="left"/>
      <w:pPr>
        <w:ind w:left="1244" w:hanging="1080"/>
      </w:pPr>
      <w:rPr>
        <w:rFonts w:hint="default"/>
        <w:b w:val="0"/>
      </w:rPr>
    </w:lvl>
    <w:lvl w:ilvl="5">
      <w:start w:val="1"/>
      <w:numFmt w:val="decimal"/>
      <w:lvlText w:val="%1.%2.%3.%4.%5.%6"/>
      <w:lvlJc w:val="left"/>
      <w:pPr>
        <w:ind w:left="1285" w:hanging="1080"/>
      </w:pPr>
      <w:rPr>
        <w:rFonts w:hint="default"/>
        <w:b w:val="0"/>
      </w:rPr>
    </w:lvl>
    <w:lvl w:ilvl="6">
      <w:start w:val="1"/>
      <w:numFmt w:val="decimal"/>
      <w:lvlText w:val="%1.%2.%3.%4.%5.%6.%7"/>
      <w:lvlJc w:val="left"/>
      <w:pPr>
        <w:ind w:left="1686" w:hanging="1440"/>
      </w:pPr>
      <w:rPr>
        <w:rFonts w:hint="default"/>
        <w:b w:val="0"/>
      </w:rPr>
    </w:lvl>
    <w:lvl w:ilvl="7">
      <w:start w:val="1"/>
      <w:numFmt w:val="decimal"/>
      <w:lvlText w:val="%1.%2.%3.%4.%5.%6.%7.%8"/>
      <w:lvlJc w:val="left"/>
      <w:pPr>
        <w:ind w:left="1727" w:hanging="1440"/>
      </w:pPr>
      <w:rPr>
        <w:rFonts w:hint="default"/>
        <w:b w:val="0"/>
      </w:rPr>
    </w:lvl>
    <w:lvl w:ilvl="8">
      <w:start w:val="1"/>
      <w:numFmt w:val="decimal"/>
      <w:lvlText w:val="%1.%2.%3.%4.%5.%6.%7.%8.%9"/>
      <w:lvlJc w:val="left"/>
      <w:pPr>
        <w:ind w:left="2128" w:hanging="1800"/>
      </w:pPr>
      <w:rPr>
        <w:rFonts w:hint="default"/>
        <w:b w:val="0"/>
      </w:rPr>
    </w:lvl>
  </w:abstractNum>
  <w:abstractNum w:abstractNumId="119" w15:restartNumberingAfterBreak="0">
    <w:nsid w:val="1DB0141C"/>
    <w:multiLevelType w:val="hybridMultilevel"/>
    <w:tmpl w:val="71B484FC"/>
    <w:lvl w:ilvl="0" w:tplc="8C621448">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20" w15:restartNumberingAfterBreak="0">
    <w:nsid w:val="1E1F36E3"/>
    <w:multiLevelType w:val="multilevel"/>
    <w:tmpl w:val="7B82CBF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cs="Arial" w:hint="default"/>
        <w:b/>
      </w:rPr>
    </w:lvl>
    <w:lvl w:ilvl="2">
      <w:start w:val="1"/>
      <w:numFmt w:val="decimal"/>
      <w:isLgl/>
      <w:lvlText w:val="%1.%2.%3."/>
      <w:lvlJc w:val="left"/>
      <w:pPr>
        <w:ind w:left="1080" w:hanging="720"/>
      </w:pPr>
      <w:rPr>
        <w:rFonts w:cs="Arial" w:hint="default"/>
        <w:b/>
      </w:rPr>
    </w:lvl>
    <w:lvl w:ilvl="3">
      <w:start w:val="1"/>
      <w:numFmt w:val="decimal"/>
      <w:isLgl/>
      <w:lvlText w:val="%1.%2.%3.%4."/>
      <w:lvlJc w:val="left"/>
      <w:pPr>
        <w:ind w:left="1440" w:hanging="1080"/>
      </w:pPr>
      <w:rPr>
        <w:rFonts w:cs="Arial" w:hint="default"/>
        <w:b/>
      </w:rPr>
    </w:lvl>
    <w:lvl w:ilvl="4">
      <w:start w:val="1"/>
      <w:numFmt w:val="decimal"/>
      <w:isLgl/>
      <w:lvlText w:val="%1.%2.%3.%4.%5."/>
      <w:lvlJc w:val="left"/>
      <w:pPr>
        <w:ind w:left="1440" w:hanging="1080"/>
      </w:pPr>
      <w:rPr>
        <w:rFonts w:cs="Arial" w:hint="default"/>
        <w:b/>
      </w:rPr>
    </w:lvl>
    <w:lvl w:ilvl="5">
      <w:start w:val="1"/>
      <w:numFmt w:val="decimal"/>
      <w:isLgl/>
      <w:lvlText w:val="%1.%2.%3.%4.%5.%6."/>
      <w:lvlJc w:val="left"/>
      <w:pPr>
        <w:ind w:left="1800" w:hanging="1440"/>
      </w:pPr>
      <w:rPr>
        <w:rFonts w:cs="Arial" w:hint="default"/>
        <w:b/>
      </w:rPr>
    </w:lvl>
    <w:lvl w:ilvl="6">
      <w:start w:val="1"/>
      <w:numFmt w:val="decimal"/>
      <w:isLgl/>
      <w:lvlText w:val="%1.%2.%3.%4.%5.%6.%7."/>
      <w:lvlJc w:val="left"/>
      <w:pPr>
        <w:ind w:left="2160" w:hanging="1800"/>
      </w:pPr>
      <w:rPr>
        <w:rFonts w:cs="Arial" w:hint="default"/>
        <w:b/>
      </w:rPr>
    </w:lvl>
    <w:lvl w:ilvl="7">
      <w:start w:val="1"/>
      <w:numFmt w:val="decimal"/>
      <w:isLgl/>
      <w:lvlText w:val="%1.%2.%3.%4.%5.%6.%7.%8."/>
      <w:lvlJc w:val="left"/>
      <w:pPr>
        <w:ind w:left="2160" w:hanging="1800"/>
      </w:pPr>
      <w:rPr>
        <w:rFonts w:cs="Arial" w:hint="default"/>
        <w:b/>
      </w:rPr>
    </w:lvl>
    <w:lvl w:ilvl="8">
      <w:start w:val="1"/>
      <w:numFmt w:val="decimal"/>
      <w:isLgl/>
      <w:lvlText w:val="%1.%2.%3.%4.%5.%6.%7.%8.%9."/>
      <w:lvlJc w:val="left"/>
      <w:pPr>
        <w:ind w:left="2520" w:hanging="2160"/>
      </w:pPr>
      <w:rPr>
        <w:rFonts w:cs="Arial" w:hint="default"/>
        <w:b/>
      </w:rPr>
    </w:lvl>
  </w:abstractNum>
  <w:abstractNum w:abstractNumId="121" w15:restartNumberingAfterBreak="0">
    <w:nsid w:val="1F2464E6"/>
    <w:multiLevelType w:val="hybridMultilevel"/>
    <w:tmpl w:val="2F44C0F4"/>
    <w:lvl w:ilvl="0" w:tplc="33C6A68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1F566CD1"/>
    <w:multiLevelType w:val="multilevel"/>
    <w:tmpl w:val="BCA0F0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23" w15:restartNumberingAfterBreak="0">
    <w:nsid w:val="1F9C623C"/>
    <w:multiLevelType w:val="multilevel"/>
    <w:tmpl w:val="4C188A78"/>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lang w:val="pt-BR"/>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24" w15:restartNumberingAfterBreak="0">
    <w:nsid w:val="1FC615BF"/>
    <w:multiLevelType w:val="hybridMultilevel"/>
    <w:tmpl w:val="8E06F7BE"/>
    <w:lvl w:ilvl="0" w:tplc="04090011">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5" w15:restartNumberingAfterBreak="0">
    <w:nsid w:val="1FC73AE1"/>
    <w:multiLevelType w:val="hybridMultilevel"/>
    <w:tmpl w:val="E1E0DD3A"/>
    <w:lvl w:ilvl="0" w:tplc="2F5668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1FDF5648"/>
    <w:multiLevelType w:val="multilevel"/>
    <w:tmpl w:val="A3B294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7" w15:restartNumberingAfterBreak="0">
    <w:nsid w:val="2007744F"/>
    <w:multiLevelType w:val="multilevel"/>
    <w:tmpl w:val="8A44B89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8" w15:restartNumberingAfterBreak="0">
    <w:nsid w:val="212827A6"/>
    <w:multiLevelType w:val="multilevel"/>
    <w:tmpl w:val="CDBE6958"/>
    <w:lvl w:ilvl="0">
      <w:start w:val="1"/>
      <w:numFmt w:val="decimal"/>
      <w:lvlText w:val="%1."/>
      <w:lvlJc w:val="left"/>
      <w:pPr>
        <w:ind w:left="1094" w:hanging="360"/>
      </w:pPr>
      <w:rPr>
        <w:rFonts w:hint="default"/>
        <w:b/>
      </w:rPr>
    </w:lvl>
    <w:lvl w:ilvl="1">
      <w:start w:val="1"/>
      <w:numFmt w:val="decimal"/>
      <w:isLgl/>
      <w:lvlText w:val="%1.%2"/>
      <w:lvlJc w:val="left"/>
      <w:pPr>
        <w:ind w:left="1094" w:hanging="360"/>
      </w:pPr>
      <w:rPr>
        <w:rFonts w:hint="default"/>
      </w:rPr>
    </w:lvl>
    <w:lvl w:ilvl="2">
      <w:start w:val="1"/>
      <w:numFmt w:val="decimal"/>
      <w:isLgl/>
      <w:lvlText w:val="%1.%2.%3"/>
      <w:lvlJc w:val="left"/>
      <w:pPr>
        <w:ind w:left="1454" w:hanging="720"/>
      </w:pPr>
      <w:rPr>
        <w:rFonts w:hint="default"/>
      </w:rPr>
    </w:lvl>
    <w:lvl w:ilvl="3">
      <w:start w:val="1"/>
      <w:numFmt w:val="decimal"/>
      <w:isLgl/>
      <w:lvlText w:val="%1.%2.%3.%4"/>
      <w:lvlJc w:val="left"/>
      <w:pPr>
        <w:ind w:left="1454" w:hanging="720"/>
      </w:pPr>
      <w:rPr>
        <w:rFonts w:hint="default"/>
      </w:rPr>
    </w:lvl>
    <w:lvl w:ilvl="4">
      <w:start w:val="1"/>
      <w:numFmt w:val="decimal"/>
      <w:isLgl/>
      <w:lvlText w:val="%1.%2.%3.%4.%5"/>
      <w:lvlJc w:val="left"/>
      <w:pPr>
        <w:ind w:left="1814"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174" w:hanging="1440"/>
      </w:pPr>
      <w:rPr>
        <w:rFonts w:hint="default"/>
      </w:rPr>
    </w:lvl>
    <w:lvl w:ilvl="7">
      <w:start w:val="1"/>
      <w:numFmt w:val="decimal"/>
      <w:isLgl/>
      <w:lvlText w:val="%1.%2.%3.%4.%5.%6.%7.%8"/>
      <w:lvlJc w:val="left"/>
      <w:pPr>
        <w:ind w:left="2534" w:hanging="1800"/>
      </w:pPr>
      <w:rPr>
        <w:rFonts w:hint="default"/>
      </w:rPr>
    </w:lvl>
    <w:lvl w:ilvl="8">
      <w:start w:val="1"/>
      <w:numFmt w:val="decimal"/>
      <w:isLgl/>
      <w:lvlText w:val="%1.%2.%3.%4.%5.%6.%7.%8.%9"/>
      <w:lvlJc w:val="left"/>
      <w:pPr>
        <w:ind w:left="2534" w:hanging="1800"/>
      </w:pPr>
      <w:rPr>
        <w:rFonts w:hint="default"/>
      </w:rPr>
    </w:lvl>
  </w:abstractNum>
  <w:abstractNum w:abstractNumId="129" w15:restartNumberingAfterBreak="0">
    <w:nsid w:val="217C5BB4"/>
    <w:multiLevelType w:val="multilevel"/>
    <w:tmpl w:val="5178BD2C"/>
    <w:lvl w:ilvl="0">
      <w:start w:val="1"/>
      <w:numFmt w:val="decimal"/>
      <w:lvlText w:val="%1."/>
      <w:lvlJc w:val="left"/>
      <w:pPr>
        <w:ind w:left="735" w:hanging="360"/>
      </w:pPr>
      <w:rPr>
        <w:rFonts w:hint="default"/>
      </w:rPr>
    </w:lvl>
    <w:lvl w:ilvl="1">
      <w:start w:val="1"/>
      <w:numFmt w:val="decimal"/>
      <w:isLgl/>
      <w:lvlText w:val="%1.%2"/>
      <w:lvlJc w:val="left"/>
      <w:pPr>
        <w:ind w:left="735" w:hanging="36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095" w:hanging="72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175" w:hanging="1800"/>
      </w:pPr>
      <w:rPr>
        <w:rFonts w:hint="default"/>
      </w:rPr>
    </w:lvl>
  </w:abstractNum>
  <w:abstractNum w:abstractNumId="130" w15:restartNumberingAfterBreak="0">
    <w:nsid w:val="21BB3684"/>
    <w:multiLevelType w:val="multilevel"/>
    <w:tmpl w:val="40381120"/>
    <w:lvl w:ilvl="0">
      <w:start w:val="1"/>
      <w:numFmt w:val="decimal"/>
      <w:lvlText w:val="%1."/>
      <w:lvlJc w:val="left"/>
      <w:pPr>
        <w:ind w:left="390" w:hanging="390"/>
      </w:pPr>
      <w:rPr>
        <w:rFonts w:hint="default"/>
      </w:rPr>
    </w:lvl>
    <w:lvl w:ilvl="1">
      <w:start w:val="2"/>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31" w15:restartNumberingAfterBreak="0">
    <w:nsid w:val="21CE1FD2"/>
    <w:multiLevelType w:val="hybridMultilevel"/>
    <w:tmpl w:val="BFFEF67A"/>
    <w:lvl w:ilvl="0" w:tplc="7548ECCA">
      <w:start w:val="1"/>
      <w:numFmt w:val="decimal"/>
      <w:lvlText w:val="%1."/>
      <w:lvlJc w:val="left"/>
      <w:pPr>
        <w:ind w:left="720" w:hanging="360"/>
      </w:pPr>
      <w:rPr>
        <w:rFonts w:eastAsia="GHEAMariam-Bold" w:cs="GHEAMariam-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221D60A1"/>
    <w:multiLevelType w:val="hybridMultilevel"/>
    <w:tmpl w:val="1A12906E"/>
    <w:lvl w:ilvl="0" w:tplc="17149B52">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33" w15:restartNumberingAfterBreak="0">
    <w:nsid w:val="22B82ED3"/>
    <w:multiLevelType w:val="multilevel"/>
    <w:tmpl w:val="44168940"/>
    <w:lvl w:ilvl="0">
      <w:start w:val="1"/>
      <w:numFmt w:val="decimal"/>
      <w:lvlText w:val="%1."/>
      <w:lvlJc w:val="left"/>
      <w:pPr>
        <w:ind w:left="720" w:hanging="360"/>
      </w:pPr>
      <w:rPr>
        <w:rFonts w:hint="default"/>
        <w:b/>
        <w:i w:val="0"/>
      </w:rPr>
    </w:lvl>
    <w:lvl w:ilvl="1">
      <w:start w:val="1"/>
      <w:numFmt w:val="decimal"/>
      <w:isLgl/>
      <w:lvlText w:val="%1.%2"/>
      <w:lvlJc w:val="left"/>
      <w:pPr>
        <w:ind w:left="2700" w:hanging="36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50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940" w:hanging="1800"/>
      </w:pPr>
      <w:rPr>
        <w:rFonts w:hint="default"/>
      </w:rPr>
    </w:lvl>
    <w:lvl w:ilvl="8">
      <w:start w:val="1"/>
      <w:numFmt w:val="decimal"/>
      <w:isLgl/>
      <w:lvlText w:val="%1.%2.%3.%4.%5.%6.%7.%8.%9"/>
      <w:lvlJc w:val="left"/>
      <w:pPr>
        <w:ind w:left="6840" w:hanging="2160"/>
      </w:pPr>
      <w:rPr>
        <w:rFonts w:hint="default"/>
      </w:rPr>
    </w:lvl>
  </w:abstractNum>
  <w:abstractNum w:abstractNumId="134" w15:restartNumberingAfterBreak="0">
    <w:nsid w:val="22DC0E37"/>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135" w15:restartNumberingAfterBreak="0">
    <w:nsid w:val="22FF5092"/>
    <w:multiLevelType w:val="multilevel"/>
    <w:tmpl w:val="42A08A78"/>
    <w:lvl w:ilvl="0">
      <w:start w:val="1"/>
      <w:numFmt w:val="decimal"/>
      <w:lvlText w:val="%1."/>
      <w:lvlJc w:val="left"/>
      <w:pPr>
        <w:ind w:left="735" w:hanging="360"/>
      </w:pPr>
      <w:rPr>
        <w:rFonts w:hint="default"/>
      </w:rPr>
    </w:lvl>
    <w:lvl w:ilvl="1">
      <w:start w:val="1"/>
      <w:numFmt w:val="decimal"/>
      <w:isLgl/>
      <w:lvlText w:val="%1.%2."/>
      <w:lvlJc w:val="left"/>
      <w:pPr>
        <w:ind w:left="735" w:hanging="36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095" w:hanging="72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455" w:hanging="108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1815" w:hanging="1440"/>
      </w:pPr>
      <w:rPr>
        <w:rFonts w:hint="default"/>
      </w:rPr>
    </w:lvl>
    <w:lvl w:ilvl="8">
      <w:start w:val="1"/>
      <w:numFmt w:val="decimal"/>
      <w:isLgl/>
      <w:lvlText w:val="%1.%2.%3.%4.%5.%6.%7.%8.%9."/>
      <w:lvlJc w:val="left"/>
      <w:pPr>
        <w:ind w:left="2175" w:hanging="1800"/>
      </w:pPr>
      <w:rPr>
        <w:rFonts w:hint="default"/>
      </w:rPr>
    </w:lvl>
  </w:abstractNum>
  <w:abstractNum w:abstractNumId="136" w15:restartNumberingAfterBreak="0">
    <w:nsid w:val="23162917"/>
    <w:multiLevelType w:val="multilevel"/>
    <w:tmpl w:val="38AC816A"/>
    <w:lvl w:ilvl="0">
      <w:start w:val="1"/>
      <w:numFmt w:val="decimal"/>
      <w:lvlText w:val="%1."/>
      <w:lvlJc w:val="left"/>
      <w:pPr>
        <w:ind w:left="450" w:hanging="360"/>
      </w:pPr>
      <w:rPr>
        <w:rFonts w:hint="default"/>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137" w15:restartNumberingAfterBreak="0">
    <w:nsid w:val="23472076"/>
    <w:multiLevelType w:val="hybridMultilevel"/>
    <w:tmpl w:val="54EC3406"/>
    <w:lvl w:ilvl="0" w:tplc="04090001">
      <w:start w:val="1"/>
      <w:numFmt w:val="bullet"/>
      <w:lvlText w:val=""/>
      <w:lvlJc w:val="left"/>
      <w:pPr>
        <w:ind w:left="720" w:hanging="360"/>
      </w:pPr>
      <w:rPr>
        <w:rFonts w:ascii="Symbol" w:hAnsi="Symbol" w:hint="default"/>
      </w:rPr>
    </w:lvl>
    <w:lvl w:ilvl="1" w:tplc="1C902CEC">
      <w:start w:val="1"/>
      <w:numFmt w:val="decimal"/>
      <w:lvlText w:val="%2."/>
      <w:lvlJc w:val="left"/>
      <w:pPr>
        <w:tabs>
          <w:tab w:val="num" w:pos="1440"/>
        </w:tabs>
        <w:ind w:left="1440" w:hanging="360"/>
      </w:pPr>
      <w:rPr>
        <w:lang w:val="af-ZA"/>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8" w15:restartNumberingAfterBreak="0">
    <w:nsid w:val="235D5D05"/>
    <w:multiLevelType w:val="multilevel"/>
    <w:tmpl w:val="A3B294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9" w15:restartNumberingAfterBreak="0">
    <w:nsid w:val="235E7795"/>
    <w:multiLevelType w:val="multilevel"/>
    <w:tmpl w:val="1EDC497E"/>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0" w15:restartNumberingAfterBreak="0">
    <w:nsid w:val="23C14B48"/>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141" w15:restartNumberingAfterBreak="0">
    <w:nsid w:val="2417336B"/>
    <w:multiLevelType w:val="hybridMultilevel"/>
    <w:tmpl w:val="B7B081FC"/>
    <w:lvl w:ilvl="0" w:tplc="33C6A680">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2" w15:restartNumberingAfterBreak="0">
    <w:nsid w:val="24173F98"/>
    <w:multiLevelType w:val="multilevel"/>
    <w:tmpl w:val="645C73D4"/>
    <w:lvl w:ilvl="0">
      <w:start w:val="1"/>
      <w:numFmt w:val="decimal"/>
      <w:lvlText w:val="%1."/>
      <w:lvlJc w:val="left"/>
      <w:pPr>
        <w:ind w:left="735" w:hanging="360"/>
      </w:pPr>
      <w:rPr>
        <w:rFonts w:hint="default"/>
      </w:rPr>
    </w:lvl>
    <w:lvl w:ilvl="1">
      <w:start w:val="2"/>
      <w:numFmt w:val="decimal"/>
      <w:isLgl/>
      <w:lvlText w:val="%1.%2."/>
      <w:lvlJc w:val="left"/>
      <w:pPr>
        <w:ind w:left="1605" w:hanging="720"/>
      </w:pPr>
      <w:rPr>
        <w:rFonts w:hint="default"/>
      </w:rPr>
    </w:lvl>
    <w:lvl w:ilvl="2">
      <w:start w:val="1"/>
      <w:numFmt w:val="decimal"/>
      <w:isLgl/>
      <w:lvlText w:val="%1.%2.%3."/>
      <w:lvlJc w:val="left"/>
      <w:pPr>
        <w:ind w:left="2115" w:hanging="720"/>
      </w:pPr>
      <w:rPr>
        <w:rFonts w:hint="default"/>
      </w:rPr>
    </w:lvl>
    <w:lvl w:ilvl="3">
      <w:start w:val="1"/>
      <w:numFmt w:val="decimal"/>
      <w:isLgl/>
      <w:lvlText w:val="%1.%2.%3.%4."/>
      <w:lvlJc w:val="left"/>
      <w:pPr>
        <w:ind w:left="2985" w:hanging="1080"/>
      </w:pPr>
      <w:rPr>
        <w:rFonts w:hint="default"/>
      </w:rPr>
    </w:lvl>
    <w:lvl w:ilvl="4">
      <w:start w:val="1"/>
      <w:numFmt w:val="decimal"/>
      <w:isLgl/>
      <w:lvlText w:val="%1.%2.%3.%4.%5."/>
      <w:lvlJc w:val="left"/>
      <w:pPr>
        <w:ind w:left="3495" w:hanging="1080"/>
      </w:pPr>
      <w:rPr>
        <w:rFonts w:hint="default"/>
      </w:rPr>
    </w:lvl>
    <w:lvl w:ilvl="5">
      <w:start w:val="1"/>
      <w:numFmt w:val="decimal"/>
      <w:isLgl/>
      <w:lvlText w:val="%1.%2.%3.%4.%5.%6."/>
      <w:lvlJc w:val="left"/>
      <w:pPr>
        <w:ind w:left="4365" w:hanging="1440"/>
      </w:pPr>
      <w:rPr>
        <w:rFonts w:hint="default"/>
      </w:rPr>
    </w:lvl>
    <w:lvl w:ilvl="6">
      <w:start w:val="1"/>
      <w:numFmt w:val="decimal"/>
      <w:isLgl/>
      <w:lvlText w:val="%1.%2.%3.%4.%5.%6.%7."/>
      <w:lvlJc w:val="left"/>
      <w:pPr>
        <w:ind w:left="5235" w:hanging="1800"/>
      </w:pPr>
      <w:rPr>
        <w:rFonts w:hint="default"/>
      </w:rPr>
    </w:lvl>
    <w:lvl w:ilvl="7">
      <w:start w:val="1"/>
      <w:numFmt w:val="decimal"/>
      <w:isLgl/>
      <w:lvlText w:val="%1.%2.%3.%4.%5.%6.%7.%8."/>
      <w:lvlJc w:val="left"/>
      <w:pPr>
        <w:ind w:left="5745" w:hanging="1800"/>
      </w:pPr>
      <w:rPr>
        <w:rFonts w:hint="default"/>
      </w:rPr>
    </w:lvl>
    <w:lvl w:ilvl="8">
      <w:start w:val="1"/>
      <w:numFmt w:val="decimal"/>
      <w:isLgl/>
      <w:lvlText w:val="%1.%2.%3.%4.%5.%6.%7.%8.%9."/>
      <w:lvlJc w:val="left"/>
      <w:pPr>
        <w:ind w:left="6615" w:hanging="2160"/>
      </w:pPr>
      <w:rPr>
        <w:rFonts w:hint="default"/>
      </w:rPr>
    </w:lvl>
  </w:abstractNum>
  <w:abstractNum w:abstractNumId="143" w15:restartNumberingAfterBreak="0">
    <w:nsid w:val="24342023"/>
    <w:multiLevelType w:val="multilevel"/>
    <w:tmpl w:val="1EECBB62"/>
    <w:lvl w:ilvl="0">
      <w:start w:val="1"/>
      <w:numFmt w:val="decimal"/>
      <w:lvlText w:val="%1"/>
      <w:lvlJc w:val="left"/>
      <w:pPr>
        <w:ind w:left="360" w:hanging="360"/>
      </w:pPr>
      <w:rPr>
        <w:rFonts w:cs="Sylfaen" w:hint="default"/>
      </w:rPr>
    </w:lvl>
    <w:lvl w:ilvl="1">
      <w:start w:val="2"/>
      <w:numFmt w:val="decimal"/>
      <w:lvlText w:val="%1.%2"/>
      <w:lvlJc w:val="left"/>
      <w:pPr>
        <w:ind w:left="1260" w:hanging="360"/>
      </w:pPr>
      <w:rPr>
        <w:rFonts w:cs="Sylfaen" w:hint="default"/>
      </w:rPr>
    </w:lvl>
    <w:lvl w:ilvl="2">
      <w:start w:val="1"/>
      <w:numFmt w:val="decimal"/>
      <w:lvlText w:val="%1.%2.%3"/>
      <w:lvlJc w:val="left"/>
      <w:pPr>
        <w:ind w:left="2520" w:hanging="720"/>
      </w:pPr>
      <w:rPr>
        <w:rFonts w:cs="Sylfaen" w:hint="default"/>
      </w:rPr>
    </w:lvl>
    <w:lvl w:ilvl="3">
      <w:start w:val="1"/>
      <w:numFmt w:val="decimal"/>
      <w:lvlText w:val="%1.%2.%3.%4"/>
      <w:lvlJc w:val="left"/>
      <w:pPr>
        <w:ind w:left="3780" w:hanging="1080"/>
      </w:pPr>
      <w:rPr>
        <w:rFonts w:cs="Sylfaen" w:hint="default"/>
      </w:rPr>
    </w:lvl>
    <w:lvl w:ilvl="4">
      <w:start w:val="1"/>
      <w:numFmt w:val="decimal"/>
      <w:lvlText w:val="%1.%2.%3.%4.%5"/>
      <w:lvlJc w:val="left"/>
      <w:pPr>
        <w:ind w:left="4680" w:hanging="1080"/>
      </w:pPr>
      <w:rPr>
        <w:rFonts w:cs="Sylfaen" w:hint="default"/>
      </w:rPr>
    </w:lvl>
    <w:lvl w:ilvl="5">
      <w:start w:val="1"/>
      <w:numFmt w:val="decimal"/>
      <w:lvlText w:val="%1.%2.%3.%4.%5.%6"/>
      <w:lvlJc w:val="left"/>
      <w:pPr>
        <w:ind w:left="5940" w:hanging="1440"/>
      </w:pPr>
      <w:rPr>
        <w:rFonts w:cs="Sylfaen" w:hint="default"/>
      </w:rPr>
    </w:lvl>
    <w:lvl w:ilvl="6">
      <w:start w:val="1"/>
      <w:numFmt w:val="decimal"/>
      <w:lvlText w:val="%1.%2.%3.%4.%5.%6.%7"/>
      <w:lvlJc w:val="left"/>
      <w:pPr>
        <w:ind w:left="6840" w:hanging="1440"/>
      </w:pPr>
      <w:rPr>
        <w:rFonts w:cs="Sylfaen" w:hint="default"/>
      </w:rPr>
    </w:lvl>
    <w:lvl w:ilvl="7">
      <w:start w:val="1"/>
      <w:numFmt w:val="decimal"/>
      <w:lvlText w:val="%1.%2.%3.%4.%5.%6.%7.%8"/>
      <w:lvlJc w:val="left"/>
      <w:pPr>
        <w:ind w:left="8100" w:hanging="1800"/>
      </w:pPr>
      <w:rPr>
        <w:rFonts w:cs="Sylfaen" w:hint="default"/>
      </w:rPr>
    </w:lvl>
    <w:lvl w:ilvl="8">
      <w:start w:val="1"/>
      <w:numFmt w:val="decimal"/>
      <w:lvlText w:val="%1.%2.%3.%4.%5.%6.%7.%8.%9"/>
      <w:lvlJc w:val="left"/>
      <w:pPr>
        <w:ind w:left="9360" w:hanging="2160"/>
      </w:pPr>
      <w:rPr>
        <w:rFonts w:cs="Sylfaen" w:hint="default"/>
      </w:rPr>
    </w:lvl>
  </w:abstractNum>
  <w:abstractNum w:abstractNumId="144" w15:restartNumberingAfterBreak="0">
    <w:nsid w:val="24615EAA"/>
    <w:multiLevelType w:val="hybridMultilevel"/>
    <w:tmpl w:val="7BC01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248D775D"/>
    <w:multiLevelType w:val="hybridMultilevel"/>
    <w:tmpl w:val="D5024C74"/>
    <w:lvl w:ilvl="0" w:tplc="F7DC3482">
      <w:start w:val="1"/>
      <w:numFmt w:val="decimal"/>
      <w:lvlText w:val="%1."/>
      <w:lvlJc w:val="left"/>
      <w:pPr>
        <w:ind w:left="798" w:hanging="360"/>
      </w:pPr>
      <w:rPr>
        <w:rFonts w:hint="default"/>
      </w:rPr>
    </w:lvl>
    <w:lvl w:ilvl="1" w:tplc="04190019">
      <w:start w:val="1"/>
      <w:numFmt w:val="lowerLetter"/>
      <w:lvlText w:val="%2."/>
      <w:lvlJc w:val="left"/>
      <w:pPr>
        <w:ind w:left="1518" w:hanging="360"/>
      </w:pPr>
    </w:lvl>
    <w:lvl w:ilvl="2" w:tplc="0419001B" w:tentative="1">
      <w:start w:val="1"/>
      <w:numFmt w:val="lowerRoman"/>
      <w:lvlText w:val="%3."/>
      <w:lvlJc w:val="right"/>
      <w:pPr>
        <w:ind w:left="2238" w:hanging="180"/>
      </w:pPr>
    </w:lvl>
    <w:lvl w:ilvl="3" w:tplc="0419000F" w:tentative="1">
      <w:start w:val="1"/>
      <w:numFmt w:val="decimal"/>
      <w:lvlText w:val="%4."/>
      <w:lvlJc w:val="left"/>
      <w:pPr>
        <w:ind w:left="2958" w:hanging="360"/>
      </w:pPr>
    </w:lvl>
    <w:lvl w:ilvl="4" w:tplc="04190019" w:tentative="1">
      <w:start w:val="1"/>
      <w:numFmt w:val="lowerLetter"/>
      <w:lvlText w:val="%5."/>
      <w:lvlJc w:val="left"/>
      <w:pPr>
        <w:ind w:left="3678" w:hanging="360"/>
      </w:pPr>
    </w:lvl>
    <w:lvl w:ilvl="5" w:tplc="0419001B" w:tentative="1">
      <w:start w:val="1"/>
      <w:numFmt w:val="lowerRoman"/>
      <w:lvlText w:val="%6."/>
      <w:lvlJc w:val="right"/>
      <w:pPr>
        <w:ind w:left="4398" w:hanging="180"/>
      </w:pPr>
    </w:lvl>
    <w:lvl w:ilvl="6" w:tplc="0419000F" w:tentative="1">
      <w:start w:val="1"/>
      <w:numFmt w:val="decimal"/>
      <w:lvlText w:val="%7."/>
      <w:lvlJc w:val="left"/>
      <w:pPr>
        <w:ind w:left="5118" w:hanging="360"/>
      </w:pPr>
    </w:lvl>
    <w:lvl w:ilvl="7" w:tplc="04190019" w:tentative="1">
      <w:start w:val="1"/>
      <w:numFmt w:val="lowerLetter"/>
      <w:lvlText w:val="%8."/>
      <w:lvlJc w:val="left"/>
      <w:pPr>
        <w:ind w:left="5838" w:hanging="360"/>
      </w:pPr>
    </w:lvl>
    <w:lvl w:ilvl="8" w:tplc="0419001B" w:tentative="1">
      <w:start w:val="1"/>
      <w:numFmt w:val="lowerRoman"/>
      <w:lvlText w:val="%9."/>
      <w:lvlJc w:val="right"/>
      <w:pPr>
        <w:ind w:left="6558" w:hanging="180"/>
      </w:pPr>
    </w:lvl>
  </w:abstractNum>
  <w:abstractNum w:abstractNumId="146" w15:restartNumberingAfterBreak="0">
    <w:nsid w:val="24D5274A"/>
    <w:multiLevelType w:val="multilevel"/>
    <w:tmpl w:val="D32CE3B4"/>
    <w:lvl w:ilvl="0">
      <w:start w:val="1"/>
      <w:numFmt w:val="decimal"/>
      <w:lvlText w:val="%1"/>
      <w:lvlJc w:val="left"/>
      <w:pPr>
        <w:ind w:left="360" w:hanging="360"/>
      </w:pPr>
      <w:rPr>
        <w:rFonts w:cs="Arial" w:hint="default"/>
        <w:b/>
      </w:rPr>
    </w:lvl>
    <w:lvl w:ilvl="1">
      <w:start w:val="2"/>
      <w:numFmt w:val="decimal"/>
      <w:lvlText w:val="%1.%2"/>
      <w:lvlJc w:val="left"/>
      <w:pPr>
        <w:ind w:left="994" w:hanging="360"/>
      </w:pPr>
      <w:rPr>
        <w:rFonts w:cs="Arial" w:hint="default"/>
        <w:b/>
      </w:rPr>
    </w:lvl>
    <w:lvl w:ilvl="2">
      <w:start w:val="1"/>
      <w:numFmt w:val="decimal"/>
      <w:lvlText w:val="%1.%2.%3"/>
      <w:lvlJc w:val="left"/>
      <w:pPr>
        <w:ind w:left="1988" w:hanging="720"/>
      </w:pPr>
      <w:rPr>
        <w:rFonts w:cs="Arial" w:hint="default"/>
        <w:b/>
      </w:rPr>
    </w:lvl>
    <w:lvl w:ilvl="3">
      <w:start w:val="1"/>
      <w:numFmt w:val="decimal"/>
      <w:lvlText w:val="%1.%2.%3.%4"/>
      <w:lvlJc w:val="left"/>
      <w:pPr>
        <w:ind w:left="2982" w:hanging="1080"/>
      </w:pPr>
      <w:rPr>
        <w:rFonts w:cs="Arial" w:hint="default"/>
        <w:b/>
      </w:rPr>
    </w:lvl>
    <w:lvl w:ilvl="4">
      <w:start w:val="1"/>
      <w:numFmt w:val="decimal"/>
      <w:lvlText w:val="%1.%2.%3.%4.%5"/>
      <w:lvlJc w:val="left"/>
      <w:pPr>
        <w:ind w:left="3616" w:hanging="1080"/>
      </w:pPr>
      <w:rPr>
        <w:rFonts w:cs="Arial" w:hint="default"/>
        <w:b/>
      </w:rPr>
    </w:lvl>
    <w:lvl w:ilvl="5">
      <w:start w:val="1"/>
      <w:numFmt w:val="decimal"/>
      <w:lvlText w:val="%1.%2.%3.%4.%5.%6"/>
      <w:lvlJc w:val="left"/>
      <w:pPr>
        <w:ind w:left="4610" w:hanging="1440"/>
      </w:pPr>
      <w:rPr>
        <w:rFonts w:cs="Arial" w:hint="default"/>
        <w:b/>
      </w:rPr>
    </w:lvl>
    <w:lvl w:ilvl="6">
      <w:start w:val="1"/>
      <w:numFmt w:val="decimal"/>
      <w:lvlText w:val="%1.%2.%3.%4.%5.%6.%7"/>
      <w:lvlJc w:val="left"/>
      <w:pPr>
        <w:ind w:left="5244" w:hanging="1440"/>
      </w:pPr>
      <w:rPr>
        <w:rFonts w:cs="Arial" w:hint="default"/>
        <w:b/>
      </w:rPr>
    </w:lvl>
    <w:lvl w:ilvl="7">
      <w:start w:val="1"/>
      <w:numFmt w:val="decimal"/>
      <w:lvlText w:val="%1.%2.%3.%4.%5.%6.%7.%8"/>
      <w:lvlJc w:val="left"/>
      <w:pPr>
        <w:ind w:left="6238" w:hanging="1800"/>
      </w:pPr>
      <w:rPr>
        <w:rFonts w:cs="Arial" w:hint="default"/>
        <w:b/>
      </w:rPr>
    </w:lvl>
    <w:lvl w:ilvl="8">
      <w:start w:val="1"/>
      <w:numFmt w:val="decimal"/>
      <w:lvlText w:val="%1.%2.%3.%4.%5.%6.%7.%8.%9"/>
      <w:lvlJc w:val="left"/>
      <w:pPr>
        <w:ind w:left="7232" w:hanging="2160"/>
      </w:pPr>
      <w:rPr>
        <w:rFonts w:cs="Arial" w:hint="default"/>
        <w:b/>
      </w:rPr>
    </w:lvl>
  </w:abstractNum>
  <w:abstractNum w:abstractNumId="147" w15:restartNumberingAfterBreak="0">
    <w:nsid w:val="24DD6E41"/>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148" w15:restartNumberingAfterBreak="0">
    <w:nsid w:val="254511F9"/>
    <w:multiLevelType w:val="multilevel"/>
    <w:tmpl w:val="CEA2DBDA"/>
    <w:lvl w:ilvl="0">
      <w:start w:val="1"/>
      <w:numFmt w:val="decimal"/>
      <w:lvlText w:val="%1."/>
      <w:lvlJc w:val="left"/>
      <w:pPr>
        <w:ind w:left="735" w:hanging="360"/>
      </w:pPr>
      <w:rPr>
        <w:rFonts w:hint="default"/>
      </w:rPr>
    </w:lvl>
    <w:lvl w:ilvl="1">
      <w:start w:val="1"/>
      <w:numFmt w:val="decimal"/>
      <w:isLgl/>
      <w:lvlText w:val="%1.%2."/>
      <w:lvlJc w:val="left"/>
      <w:pPr>
        <w:ind w:left="735" w:hanging="360"/>
      </w:pPr>
      <w:rPr>
        <w:rFonts w:cs="Arial Armenian" w:hint="default"/>
      </w:rPr>
    </w:lvl>
    <w:lvl w:ilvl="2">
      <w:start w:val="1"/>
      <w:numFmt w:val="decimal"/>
      <w:isLgl/>
      <w:lvlText w:val="%1.%2.%3."/>
      <w:lvlJc w:val="left"/>
      <w:pPr>
        <w:ind w:left="1095" w:hanging="720"/>
      </w:pPr>
      <w:rPr>
        <w:rFonts w:cs="Arial Armenian" w:hint="default"/>
      </w:rPr>
    </w:lvl>
    <w:lvl w:ilvl="3">
      <w:start w:val="1"/>
      <w:numFmt w:val="decimal"/>
      <w:isLgl/>
      <w:lvlText w:val="%1.%2.%3.%4."/>
      <w:lvlJc w:val="left"/>
      <w:pPr>
        <w:ind w:left="1095" w:hanging="720"/>
      </w:pPr>
      <w:rPr>
        <w:rFonts w:cs="Arial Armenian" w:hint="default"/>
      </w:rPr>
    </w:lvl>
    <w:lvl w:ilvl="4">
      <w:start w:val="1"/>
      <w:numFmt w:val="decimal"/>
      <w:isLgl/>
      <w:lvlText w:val="%1.%2.%3.%4.%5."/>
      <w:lvlJc w:val="left"/>
      <w:pPr>
        <w:ind w:left="1455" w:hanging="1080"/>
      </w:pPr>
      <w:rPr>
        <w:rFonts w:cs="Arial Armenian" w:hint="default"/>
      </w:rPr>
    </w:lvl>
    <w:lvl w:ilvl="5">
      <w:start w:val="1"/>
      <w:numFmt w:val="decimal"/>
      <w:isLgl/>
      <w:lvlText w:val="%1.%2.%3.%4.%5.%6."/>
      <w:lvlJc w:val="left"/>
      <w:pPr>
        <w:ind w:left="1455" w:hanging="1080"/>
      </w:pPr>
      <w:rPr>
        <w:rFonts w:cs="Arial Armenian" w:hint="default"/>
      </w:rPr>
    </w:lvl>
    <w:lvl w:ilvl="6">
      <w:start w:val="1"/>
      <w:numFmt w:val="decimal"/>
      <w:isLgl/>
      <w:lvlText w:val="%1.%2.%3.%4.%5.%6.%7."/>
      <w:lvlJc w:val="left"/>
      <w:pPr>
        <w:ind w:left="1815" w:hanging="1440"/>
      </w:pPr>
      <w:rPr>
        <w:rFonts w:cs="Arial Armenian" w:hint="default"/>
      </w:rPr>
    </w:lvl>
    <w:lvl w:ilvl="7">
      <w:start w:val="1"/>
      <w:numFmt w:val="decimal"/>
      <w:isLgl/>
      <w:lvlText w:val="%1.%2.%3.%4.%5.%6.%7.%8."/>
      <w:lvlJc w:val="left"/>
      <w:pPr>
        <w:ind w:left="1815" w:hanging="1440"/>
      </w:pPr>
      <w:rPr>
        <w:rFonts w:cs="Arial Armenian" w:hint="default"/>
      </w:rPr>
    </w:lvl>
    <w:lvl w:ilvl="8">
      <w:start w:val="1"/>
      <w:numFmt w:val="decimal"/>
      <w:isLgl/>
      <w:lvlText w:val="%1.%2.%3.%4.%5.%6.%7.%8.%9."/>
      <w:lvlJc w:val="left"/>
      <w:pPr>
        <w:ind w:left="2175" w:hanging="1800"/>
      </w:pPr>
      <w:rPr>
        <w:rFonts w:cs="Arial Armenian" w:hint="default"/>
      </w:rPr>
    </w:lvl>
  </w:abstractNum>
  <w:abstractNum w:abstractNumId="149" w15:restartNumberingAfterBreak="0">
    <w:nsid w:val="25567AF1"/>
    <w:multiLevelType w:val="multilevel"/>
    <w:tmpl w:val="0F06CD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GHEA Grapalat" w:hAnsi="GHEA Grapalat" w:cs="Sylfaen" w:hint="default"/>
      </w:rPr>
    </w:lvl>
    <w:lvl w:ilvl="2">
      <w:start w:val="1"/>
      <w:numFmt w:val="decimal"/>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50" w15:restartNumberingAfterBreak="0">
    <w:nsid w:val="259205A9"/>
    <w:multiLevelType w:val="hybridMultilevel"/>
    <w:tmpl w:val="A2262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26A53D9F"/>
    <w:multiLevelType w:val="hybridMultilevel"/>
    <w:tmpl w:val="EF74CE4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2" w15:restartNumberingAfterBreak="0">
    <w:nsid w:val="26B36133"/>
    <w:multiLevelType w:val="hybridMultilevel"/>
    <w:tmpl w:val="53E272AA"/>
    <w:lvl w:ilvl="0" w:tplc="E0FA6C88">
      <w:start w:val="1"/>
      <w:numFmt w:val="bullet"/>
      <w:lvlText w:val=""/>
      <w:lvlJc w:val="left"/>
      <w:pPr>
        <w:ind w:left="720" w:hanging="360"/>
      </w:pPr>
      <w:rPr>
        <w:rFonts w:ascii="Symbol" w:hAnsi="Symbol" w:hint="default"/>
      </w:rPr>
    </w:lvl>
    <w:lvl w:ilvl="1" w:tplc="5852D72A">
      <w:numFmt w:val="bullet"/>
      <w:lvlText w:val="-"/>
      <w:lvlJc w:val="left"/>
      <w:pPr>
        <w:ind w:left="1440" w:hanging="360"/>
      </w:pPr>
      <w:rPr>
        <w:rFonts w:ascii="GHEA Grapalat" w:eastAsia="Times New Roman" w:hAnsi="GHEA Grapalat"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27703DEF"/>
    <w:multiLevelType w:val="multilevel"/>
    <w:tmpl w:val="2AFC729A"/>
    <w:lvl w:ilvl="0">
      <w:start w:val="1"/>
      <w:numFmt w:val="decimal"/>
      <w:lvlText w:val="%1."/>
      <w:lvlJc w:val="left"/>
      <w:pPr>
        <w:ind w:left="1069" w:hanging="360"/>
      </w:pPr>
      <w:rPr>
        <w:rFonts w:cs="Arial" w:hint="default"/>
      </w:rPr>
    </w:lvl>
    <w:lvl w:ilvl="1">
      <w:start w:val="2"/>
      <w:numFmt w:val="decimal"/>
      <w:isLgl/>
      <w:lvlText w:val="%1.%2"/>
      <w:lvlJc w:val="left"/>
      <w:pPr>
        <w:ind w:left="1069" w:hanging="360"/>
      </w:pPr>
      <w:rPr>
        <w:rFonts w:cs="Arial Armenian" w:hint="default"/>
      </w:rPr>
    </w:lvl>
    <w:lvl w:ilvl="2">
      <w:start w:val="1"/>
      <w:numFmt w:val="decimal"/>
      <w:isLgl/>
      <w:lvlText w:val="%1.%2.%3"/>
      <w:lvlJc w:val="left"/>
      <w:pPr>
        <w:ind w:left="1429" w:hanging="720"/>
      </w:pPr>
      <w:rPr>
        <w:rFonts w:cs="Arial Armenian" w:hint="default"/>
      </w:rPr>
    </w:lvl>
    <w:lvl w:ilvl="3">
      <w:start w:val="1"/>
      <w:numFmt w:val="decimal"/>
      <w:isLgl/>
      <w:lvlText w:val="%1.%2.%3.%4"/>
      <w:lvlJc w:val="left"/>
      <w:pPr>
        <w:ind w:left="1429" w:hanging="720"/>
      </w:pPr>
      <w:rPr>
        <w:rFonts w:cs="Arial Armenian" w:hint="default"/>
      </w:rPr>
    </w:lvl>
    <w:lvl w:ilvl="4">
      <w:start w:val="1"/>
      <w:numFmt w:val="decimal"/>
      <w:isLgl/>
      <w:lvlText w:val="%1.%2.%3.%4.%5"/>
      <w:lvlJc w:val="left"/>
      <w:pPr>
        <w:ind w:left="1789" w:hanging="1080"/>
      </w:pPr>
      <w:rPr>
        <w:rFonts w:cs="Arial Armenian" w:hint="default"/>
      </w:rPr>
    </w:lvl>
    <w:lvl w:ilvl="5">
      <w:start w:val="1"/>
      <w:numFmt w:val="decimal"/>
      <w:isLgl/>
      <w:lvlText w:val="%1.%2.%3.%4.%5.%6"/>
      <w:lvlJc w:val="left"/>
      <w:pPr>
        <w:ind w:left="1789" w:hanging="1080"/>
      </w:pPr>
      <w:rPr>
        <w:rFonts w:cs="Arial Armenian" w:hint="default"/>
      </w:rPr>
    </w:lvl>
    <w:lvl w:ilvl="6">
      <w:start w:val="1"/>
      <w:numFmt w:val="decimal"/>
      <w:isLgl/>
      <w:lvlText w:val="%1.%2.%3.%4.%5.%6.%7"/>
      <w:lvlJc w:val="left"/>
      <w:pPr>
        <w:ind w:left="2149" w:hanging="1440"/>
      </w:pPr>
      <w:rPr>
        <w:rFonts w:cs="Arial Armenian" w:hint="default"/>
      </w:rPr>
    </w:lvl>
    <w:lvl w:ilvl="7">
      <w:start w:val="1"/>
      <w:numFmt w:val="decimal"/>
      <w:isLgl/>
      <w:lvlText w:val="%1.%2.%3.%4.%5.%6.%7.%8"/>
      <w:lvlJc w:val="left"/>
      <w:pPr>
        <w:ind w:left="2149" w:hanging="1440"/>
      </w:pPr>
      <w:rPr>
        <w:rFonts w:cs="Arial Armenian" w:hint="default"/>
      </w:rPr>
    </w:lvl>
    <w:lvl w:ilvl="8">
      <w:start w:val="1"/>
      <w:numFmt w:val="decimal"/>
      <w:isLgl/>
      <w:lvlText w:val="%1.%2.%3.%4.%5.%6.%7.%8.%9"/>
      <w:lvlJc w:val="left"/>
      <w:pPr>
        <w:ind w:left="2509" w:hanging="1800"/>
      </w:pPr>
      <w:rPr>
        <w:rFonts w:cs="Arial Armenian" w:hint="default"/>
      </w:rPr>
    </w:lvl>
  </w:abstractNum>
  <w:abstractNum w:abstractNumId="154" w15:restartNumberingAfterBreak="0">
    <w:nsid w:val="278C579E"/>
    <w:multiLevelType w:val="multilevel"/>
    <w:tmpl w:val="0FB286D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5" w15:restartNumberingAfterBreak="0">
    <w:nsid w:val="27AF0DE8"/>
    <w:multiLevelType w:val="hybridMultilevel"/>
    <w:tmpl w:val="E3C46D8E"/>
    <w:lvl w:ilvl="0" w:tplc="8232282E">
      <w:start w:val="1"/>
      <w:numFmt w:val="decimal"/>
      <w:lvlText w:val="%1)"/>
      <w:lvlJc w:val="left"/>
      <w:pPr>
        <w:ind w:left="1070" w:hanging="360"/>
      </w:pPr>
      <w:rPr>
        <w:b w:val="0"/>
      </w:rPr>
    </w:lvl>
    <w:lvl w:ilvl="1" w:tplc="04190019" w:tentative="1">
      <w:start w:val="1"/>
      <w:numFmt w:val="lowerLetter"/>
      <w:lvlText w:val="%2."/>
      <w:lvlJc w:val="left"/>
      <w:pPr>
        <w:ind w:left="2707" w:hanging="360"/>
      </w:pPr>
    </w:lvl>
    <w:lvl w:ilvl="2" w:tplc="0419001B" w:tentative="1">
      <w:start w:val="1"/>
      <w:numFmt w:val="lowerRoman"/>
      <w:lvlText w:val="%3."/>
      <w:lvlJc w:val="right"/>
      <w:pPr>
        <w:ind w:left="3427" w:hanging="180"/>
      </w:pPr>
    </w:lvl>
    <w:lvl w:ilvl="3" w:tplc="0419000F" w:tentative="1">
      <w:start w:val="1"/>
      <w:numFmt w:val="decimal"/>
      <w:lvlText w:val="%4."/>
      <w:lvlJc w:val="left"/>
      <w:pPr>
        <w:ind w:left="4147" w:hanging="360"/>
      </w:pPr>
    </w:lvl>
    <w:lvl w:ilvl="4" w:tplc="04190019" w:tentative="1">
      <w:start w:val="1"/>
      <w:numFmt w:val="lowerLetter"/>
      <w:lvlText w:val="%5."/>
      <w:lvlJc w:val="left"/>
      <w:pPr>
        <w:ind w:left="4867" w:hanging="360"/>
      </w:pPr>
    </w:lvl>
    <w:lvl w:ilvl="5" w:tplc="0419001B" w:tentative="1">
      <w:start w:val="1"/>
      <w:numFmt w:val="lowerRoman"/>
      <w:lvlText w:val="%6."/>
      <w:lvlJc w:val="right"/>
      <w:pPr>
        <w:ind w:left="5587" w:hanging="180"/>
      </w:pPr>
    </w:lvl>
    <w:lvl w:ilvl="6" w:tplc="0419000F" w:tentative="1">
      <w:start w:val="1"/>
      <w:numFmt w:val="decimal"/>
      <w:lvlText w:val="%7."/>
      <w:lvlJc w:val="left"/>
      <w:pPr>
        <w:ind w:left="6307" w:hanging="360"/>
      </w:pPr>
    </w:lvl>
    <w:lvl w:ilvl="7" w:tplc="04190019" w:tentative="1">
      <w:start w:val="1"/>
      <w:numFmt w:val="lowerLetter"/>
      <w:lvlText w:val="%8."/>
      <w:lvlJc w:val="left"/>
      <w:pPr>
        <w:ind w:left="7027" w:hanging="360"/>
      </w:pPr>
    </w:lvl>
    <w:lvl w:ilvl="8" w:tplc="0419001B" w:tentative="1">
      <w:start w:val="1"/>
      <w:numFmt w:val="lowerRoman"/>
      <w:lvlText w:val="%9."/>
      <w:lvlJc w:val="right"/>
      <w:pPr>
        <w:ind w:left="7747" w:hanging="180"/>
      </w:pPr>
    </w:lvl>
  </w:abstractNum>
  <w:abstractNum w:abstractNumId="156" w15:restartNumberingAfterBreak="0">
    <w:nsid w:val="27C7417C"/>
    <w:multiLevelType w:val="multilevel"/>
    <w:tmpl w:val="72C44D6A"/>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7" w15:restartNumberingAfterBreak="0">
    <w:nsid w:val="281019CB"/>
    <w:multiLevelType w:val="hybridMultilevel"/>
    <w:tmpl w:val="63FA0024"/>
    <w:lvl w:ilvl="0" w:tplc="2F66C944">
      <w:numFmt w:val="bullet"/>
      <w:lvlText w:val="-"/>
      <w:lvlJc w:val="left"/>
      <w:pPr>
        <w:ind w:left="720" w:hanging="360"/>
      </w:pPr>
      <w:rPr>
        <w:rFonts w:ascii="Sylfaen" w:eastAsiaTheme="minorHAnsi" w:hAnsi="Sylfaen" w:cs="Arial" w:hint="default"/>
        <w:b/>
        <w:color w:val="44546A" w:themeColor="text2"/>
      </w:rPr>
    </w:lvl>
    <w:lvl w:ilvl="1" w:tplc="2F66C944">
      <w:numFmt w:val="bullet"/>
      <w:lvlText w:val="-"/>
      <w:lvlJc w:val="left"/>
      <w:pPr>
        <w:ind w:left="1440" w:hanging="360"/>
      </w:pPr>
      <w:rPr>
        <w:rFonts w:ascii="Sylfaen" w:eastAsiaTheme="minorHAnsi" w:hAnsi="Sylfaen" w:cs="Arial" w:hint="default"/>
        <w:b/>
        <w:i w:val="0"/>
        <w:color w:val="833C0B" w:themeColor="accent2" w:themeShade="80"/>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283B1B3D"/>
    <w:multiLevelType w:val="multilevel"/>
    <w:tmpl w:val="60203F7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9" w15:restartNumberingAfterBreak="0">
    <w:nsid w:val="287F40EB"/>
    <w:multiLevelType w:val="multilevel"/>
    <w:tmpl w:val="A318424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GHEA Grapalat" w:hAnsi="GHEA Grapalat" w:cs="Sylfaen" w:hint="default"/>
        <w:b/>
      </w:rPr>
    </w:lvl>
    <w:lvl w:ilvl="2">
      <w:start w:val="1"/>
      <w:numFmt w:val="decimal"/>
      <w:isLgl/>
      <w:lvlText w:val="%1.%2.%3."/>
      <w:lvlJc w:val="left"/>
      <w:pPr>
        <w:ind w:left="1080" w:hanging="720"/>
      </w:pPr>
      <w:rPr>
        <w:rFonts w:ascii="Sylfaen" w:hAnsi="Sylfaen" w:cs="Sylfaen" w:hint="default"/>
        <w:b/>
      </w:rPr>
    </w:lvl>
    <w:lvl w:ilvl="3">
      <w:start w:val="1"/>
      <w:numFmt w:val="decimal"/>
      <w:isLgl/>
      <w:lvlText w:val="%1.%2.%3.%4."/>
      <w:lvlJc w:val="left"/>
      <w:pPr>
        <w:ind w:left="1440" w:hanging="1080"/>
      </w:pPr>
      <w:rPr>
        <w:rFonts w:ascii="Sylfaen" w:hAnsi="Sylfaen" w:cs="Sylfaen" w:hint="default"/>
        <w:b/>
      </w:rPr>
    </w:lvl>
    <w:lvl w:ilvl="4">
      <w:start w:val="1"/>
      <w:numFmt w:val="decimal"/>
      <w:isLgl/>
      <w:lvlText w:val="%1.%2.%3.%4.%5."/>
      <w:lvlJc w:val="left"/>
      <w:pPr>
        <w:ind w:left="1440" w:hanging="1080"/>
      </w:pPr>
      <w:rPr>
        <w:rFonts w:ascii="Sylfaen" w:hAnsi="Sylfaen" w:cs="Sylfaen" w:hint="default"/>
        <w:b/>
      </w:rPr>
    </w:lvl>
    <w:lvl w:ilvl="5">
      <w:start w:val="1"/>
      <w:numFmt w:val="decimal"/>
      <w:isLgl/>
      <w:lvlText w:val="%1.%2.%3.%4.%5.%6."/>
      <w:lvlJc w:val="left"/>
      <w:pPr>
        <w:ind w:left="1800" w:hanging="1440"/>
      </w:pPr>
      <w:rPr>
        <w:rFonts w:ascii="Sylfaen" w:hAnsi="Sylfaen" w:cs="Sylfaen" w:hint="default"/>
        <w:b/>
      </w:rPr>
    </w:lvl>
    <w:lvl w:ilvl="6">
      <w:start w:val="1"/>
      <w:numFmt w:val="decimal"/>
      <w:isLgl/>
      <w:lvlText w:val="%1.%2.%3.%4.%5.%6.%7."/>
      <w:lvlJc w:val="left"/>
      <w:pPr>
        <w:ind w:left="2160" w:hanging="1800"/>
      </w:pPr>
      <w:rPr>
        <w:rFonts w:ascii="Sylfaen" w:hAnsi="Sylfaen" w:cs="Sylfaen" w:hint="default"/>
        <w:b/>
      </w:rPr>
    </w:lvl>
    <w:lvl w:ilvl="7">
      <w:start w:val="1"/>
      <w:numFmt w:val="decimal"/>
      <w:isLgl/>
      <w:lvlText w:val="%1.%2.%3.%4.%5.%6.%7.%8."/>
      <w:lvlJc w:val="left"/>
      <w:pPr>
        <w:ind w:left="2160" w:hanging="1800"/>
      </w:pPr>
      <w:rPr>
        <w:rFonts w:ascii="Sylfaen" w:hAnsi="Sylfaen" w:cs="Sylfaen" w:hint="default"/>
        <w:b/>
      </w:rPr>
    </w:lvl>
    <w:lvl w:ilvl="8">
      <w:start w:val="1"/>
      <w:numFmt w:val="decimal"/>
      <w:isLgl/>
      <w:lvlText w:val="%1.%2.%3.%4.%5.%6.%7.%8.%9."/>
      <w:lvlJc w:val="left"/>
      <w:pPr>
        <w:ind w:left="2520" w:hanging="2160"/>
      </w:pPr>
      <w:rPr>
        <w:rFonts w:ascii="Sylfaen" w:hAnsi="Sylfaen" w:cs="Sylfaen" w:hint="default"/>
        <w:b/>
      </w:rPr>
    </w:lvl>
  </w:abstractNum>
  <w:abstractNum w:abstractNumId="160" w15:restartNumberingAfterBreak="0">
    <w:nsid w:val="28A50B26"/>
    <w:multiLevelType w:val="multilevel"/>
    <w:tmpl w:val="8A44B89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1" w15:restartNumberingAfterBreak="0">
    <w:nsid w:val="28C14095"/>
    <w:multiLevelType w:val="hybridMultilevel"/>
    <w:tmpl w:val="3BB0385E"/>
    <w:lvl w:ilvl="0" w:tplc="A7364248">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62" w15:restartNumberingAfterBreak="0">
    <w:nsid w:val="2908414F"/>
    <w:multiLevelType w:val="multilevel"/>
    <w:tmpl w:val="AFE6898E"/>
    <w:lvl w:ilvl="0">
      <w:start w:val="1"/>
      <w:numFmt w:val="decimal"/>
      <w:lvlText w:val="%1."/>
      <w:lvlJc w:val="left"/>
      <w:pPr>
        <w:ind w:left="360" w:hanging="360"/>
      </w:pPr>
      <w:rPr>
        <w:b/>
      </w:rPr>
    </w:lvl>
    <w:lvl w:ilvl="1">
      <w:start w:val="1"/>
      <w:numFmt w:val="decimal"/>
      <w:isLgl/>
      <w:suff w:val="space"/>
      <w:lvlText w:val="%1.%2."/>
      <w:lvlJc w:val="left"/>
      <w:pPr>
        <w:ind w:left="1148" w:hanging="720"/>
      </w:pPr>
      <w:rPr>
        <w:b/>
      </w:rPr>
    </w:lvl>
    <w:lvl w:ilvl="2">
      <w:start w:val="1"/>
      <w:numFmt w:val="decimal"/>
      <w:isLgl/>
      <w:lvlText w:val="%1.%2.%3."/>
      <w:lvlJc w:val="left"/>
      <w:pPr>
        <w:ind w:left="1148" w:hanging="720"/>
      </w:pPr>
      <w:rPr>
        <w:b/>
      </w:rPr>
    </w:lvl>
    <w:lvl w:ilvl="3">
      <w:start w:val="1"/>
      <w:numFmt w:val="decimal"/>
      <w:isLgl/>
      <w:lvlText w:val="%1.%2.%3.%4."/>
      <w:lvlJc w:val="left"/>
      <w:pPr>
        <w:ind w:left="1508" w:hanging="1080"/>
      </w:pPr>
      <w:rPr>
        <w:b/>
      </w:rPr>
    </w:lvl>
    <w:lvl w:ilvl="4">
      <w:start w:val="1"/>
      <w:numFmt w:val="decimal"/>
      <w:isLgl/>
      <w:lvlText w:val="%1.%2.%3.%4.%5."/>
      <w:lvlJc w:val="left"/>
      <w:pPr>
        <w:ind w:left="1508" w:hanging="1080"/>
      </w:pPr>
      <w:rPr>
        <w:b/>
      </w:rPr>
    </w:lvl>
    <w:lvl w:ilvl="5">
      <w:start w:val="1"/>
      <w:numFmt w:val="decimal"/>
      <w:isLgl/>
      <w:lvlText w:val="%1.%2.%3.%4.%5.%6."/>
      <w:lvlJc w:val="left"/>
      <w:pPr>
        <w:ind w:left="1868" w:hanging="1440"/>
      </w:pPr>
      <w:rPr>
        <w:b/>
      </w:rPr>
    </w:lvl>
    <w:lvl w:ilvl="6">
      <w:start w:val="1"/>
      <w:numFmt w:val="decimal"/>
      <w:isLgl/>
      <w:lvlText w:val="%1.%2.%3.%4.%5.%6.%7."/>
      <w:lvlJc w:val="left"/>
      <w:pPr>
        <w:ind w:left="1868" w:hanging="1440"/>
      </w:pPr>
      <w:rPr>
        <w:b/>
      </w:rPr>
    </w:lvl>
    <w:lvl w:ilvl="7">
      <w:start w:val="1"/>
      <w:numFmt w:val="decimal"/>
      <w:isLgl/>
      <w:lvlText w:val="%1.%2.%3.%4.%5.%6.%7.%8."/>
      <w:lvlJc w:val="left"/>
      <w:pPr>
        <w:ind w:left="2228" w:hanging="1800"/>
      </w:pPr>
      <w:rPr>
        <w:b/>
      </w:rPr>
    </w:lvl>
    <w:lvl w:ilvl="8">
      <w:start w:val="1"/>
      <w:numFmt w:val="decimal"/>
      <w:isLgl/>
      <w:lvlText w:val="%1.%2.%3.%4.%5.%6.%7.%8.%9."/>
      <w:lvlJc w:val="left"/>
      <w:pPr>
        <w:ind w:left="2228" w:hanging="1800"/>
      </w:pPr>
      <w:rPr>
        <w:b/>
      </w:rPr>
    </w:lvl>
  </w:abstractNum>
  <w:abstractNum w:abstractNumId="163" w15:restartNumberingAfterBreak="0">
    <w:nsid w:val="29641B81"/>
    <w:multiLevelType w:val="hybridMultilevel"/>
    <w:tmpl w:val="86F0227A"/>
    <w:lvl w:ilvl="0" w:tplc="98100E96">
      <w:numFmt w:val="bullet"/>
      <w:lvlText w:val="-"/>
      <w:lvlJc w:val="left"/>
      <w:pPr>
        <w:ind w:left="720" w:hanging="360"/>
      </w:pPr>
      <w:rPr>
        <w:rFonts w:ascii="GHEA Grapalat" w:eastAsia="Times New Roman" w:hAnsi="GHEA Grapalat" w:cs="Times New Roman" w:hint="default"/>
      </w:rPr>
    </w:lvl>
    <w:lvl w:ilvl="1" w:tplc="98100E96">
      <w:numFmt w:val="bullet"/>
      <w:lvlText w:val="-"/>
      <w:lvlJc w:val="left"/>
      <w:pPr>
        <w:ind w:left="1440" w:hanging="360"/>
      </w:pPr>
      <w:rPr>
        <w:rFonts w:ascii="GHEA Grapalat" w:eastAsia="Times New Roman" w:hAnsi="GHEA Grapalat"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296A0EE1"/>
    <w:multiLevelType w:val="hybridMultilevel"/>
    <w:tmpl w:val="A0AC8DFC"/>
    <w:lvl w:ilvl="0" w:tplc="3A6CCCC0">
      <w:start w:val="1"/>
      <w:numFmt w:val="decimal"/>
      <w:lvlText w:val="%1)"/>
      <w:lvlJc w:val="left"/>
      <w:pPr>
        <w:ind w:left="735" w:hanging="36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165" w15:restartNumberingAfterBreak="0">
    <w:nsid w:val="296A12AC"/>
    <w:multiLevelType w:val="hybridMultilevel"/>
    <w:tmpl w:val="00309F6E"/>
    <w:lvl w:ilvl="0" w:tplc="33C6A680">
      <w:start w:val="1"/>
      <w:numFmt w:val="bullet"/>
      <w:lvlText w:val="-"/>
      <w:lvlJc w:val="left"/>
      <w:pPr>
        <w:ind w:left="810" w:hanging="360"/>
      </w:pPr>
      <w:rPr>
        <w:rFonts w:ascii="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6" w15:restartNumberingAfterBreak="0">
    <w:nsid w:val="29782BA3"/>
    <w:multiLevelType w:val="multilevel"/>
    <w:tmpl w:val="DCF414A2"/>
    <w:lvl w:ilvl="0">
      <w:start w:val="1"/>
      <w:numFmt w:val="decimal"/>
      <w:lvlText w:val="%1."/>
      <w:lvlJc w:val="left"/>
      <w:pPr>
        <w:ind w:left="735" w:hanging="360"/>
      </w:pPr>
    </w:lvl>
    <w:lvl w:ilvl="1">
      <w:start w:val="2"/>
      <w:numFmt w:val="decimal"/>
      <w:isLgl/>
      <w:lvlText w:val="%1.%2."/>
      <w:lvlJc w:val="left"/>
      <w:pPr>
        <w:ind w:left="1429" w:hanging="720"/>
      </w:pPr>
      <w:rPr>
        <w:rFonts w:cs="Sylfaen"/>
        <w:color w:val="auto"/>
      </w:rPr>
    </w:lvl>
    <w:lvl w:ilvl="2">
      <w:start w:val="1"/>
      <w:numFmt w:val="decimal"/>
      <w:isLgl/>
      <w:lvlText w:val="%1.%2.%3."/>
      <w:lvlJc w:val="left"/>
      <w:pPr>
        <w:ind w:left="1763" w:hanging="720"/>
      </w:pPr>
      <w:rPr>
        <w:rFonts w:cs="Sylfaen"/>
        <w:color w:val="auto"/>
      </w:rPr>
    </w:lvl>
    <w:lvl w:ilvl="3">
      <w:start w:val="1"/>
      <w:numFmt w:val="decimal"/>
      <w:isLgl/>
      <w:lvlText w:val="%1.%2.%3.%4."/>
      <w:lvlJc w:val="left"/>
      <w:pPr>
        <w:ind w:left="2457" w:hanging="1080"/>
      </w:pPr>
      <w:rPr>
        <w:rFonts w:cs="Sylfaen"/>
        <w:color w:val="auto"/>
      </w:rPr>
    </w:lvl>
    <w:lvl w:ilvl="4">
      <w:start w:val="1"/>
      <w:numFmt w:val="decimal"/>
      <w:isLgl/>
      <w:lvlText w:val="%1.%2.%3.%4.%5."/>
      <w:lvlJc w:val="left"/>
      <w:pPr>
        <w:ind w:left="2791" w:hanging="1080"/>
      </w:pPr>
      <w:rPr>
        <w:rFonts w:cs="Sylfaen"/>
        <w:color w:val="auto"/>
      </w:rPr>
    </w:lvl>
    <w:lvl w:ilvl="5">
      <w:start w:val="1"/>
      <w:numFmt w:val="decimal"/>
      <w:isLgl/>
      <w:lvlText w:val="%1.%2.%3.%4.%5.%6."/>
      <w:lvlJc w:val="left"/>
      <w:pPr>
        <w:ind w:left="3485" w:hanging="1440"/>
      </w:pPr>
      <w:rPr>
        <w:rFonts w:cs="Sylfaen"/>
        <w:color w:val="auto"/>
      </w:rPr>
    </w:lvl>
    <w:lvl w:ilvl="6">
      <w:start w:val="1"/>
      <w:numFmt w:val="decimal"/>
      <w:isLgl/>
      <w:lvlText w:val="%1.%2.%3.%4.%5.%6.%7."/>
      <w:lvlJc w:val="left"/>
      <w:pPr>
        <w:ind w:left="4179" w:hanging="1800"/>
      </w:pPr>
      <w:rPr>
        <w:rFonts w:cs="Sylfaen"/>
        <w:color w:val="auto"/>
      </w:rPr>
    </w:lvl>
    <w:lvl w:ilvl="7">
      <w:start w:val="1"/>
      <w:numFmt w:val="decimal"/>
      <w:isLgl/>
      <w:lvlText w:val="%1.%2.%3.%4.%5.%6.%7.%8."/>
      <w:lvlJc w:val="left"/>
      <w:pPr>
        <w:ind w:left="4513" w:hanging="1800"/>
      </w:pPr>
      <w:rPr>
        <w:rFonts w:cs="Sylfaen"/>
        <w:color w:val="auto"/>
      </w:rPr>
    </w:lvl>
    <w:lvl w:ilvl="8">
      <w:start w:val="1"/>
      <w:numFmt w:val="decimal"/>
      <w:isLgl/>
      <w:lvlText w:val="%1.%2.%3.%4.%5.%6.%7.%8.%9."/>
      <w:lvlJc w:val="left"/>
      <w:pPr>
        <w:ind w:left="5207" w:hanging="2160"/>
      </w:pPr>
      <w:rPr>
        <w:rFonts w:cs="Sylfaen"/>
        <w:color w:val="auto"/>
      </w:rPr>
    </w:lvl>
  </w:abstractNum>
  <w:abstractNum w:abstractNumId="167" w15:restartNumberingAfterBreak="0">
    <w:nsid w:val="299C7DC5"/>
    <w:multiLevelType w:val="multilevel"/>
    <w:tmpl w:val="8C8652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800" w:hanging="1440"/>
      </w:pPr>
      <w:rPr>
        <w:rFonts w:cs="Sylfaen" w:hint="default"/>
      </w:rPr>
    </w:lvl>
    <w:lvl w:ilvl="6">
      <w:start w:val="1"/>
      <w:numFmt w:val="decimal"/>
      <w:isLgl/>
      <w:lvlText w:val="%1.%2.%3.%4.%5.%6.%7"/>
      <w:lvlJc w:val="left"/>
      <w:pPr>
        <w:ind w:left="1800" w:hanging="1440"/>
      </w:pPr>
      <w:rPr>
        <w:rFonts w:cs="Sylfaen" w:hint="default"/>
      </w:rPr>
    </w:lvl>
    <w:lvl w:ilvl="7">
      <w:start w:val="1"/>
      <w:numFmt w:val="decimal"/>
      <w:isLgl/>
      <w:lvlText w:val="%1.%2.%3.%4.%5.%6.%7.%8"/>
      <w:lvlJc w:val="left"/>
      <w:pPr>
        <w:ind w:left="2160" w:hanging="1800"/>
      </w:pPr>
      <w:rPr>
        <w:rFonts w:cs="Sylfaen" w:hint="default"/>
      </w:rPr>
    </w:lvl>
    <w:lvl w:ilvl="8">
      <w:start w:val="1"/>
      <w:numFmt w:val="decimal"/>
      <w:isLgl/>
      <w:lvlText w:val="%1.%2.%3.%4.%5.%6.%7.%8.%9"/>
      <w:lvlJc w:val="left"/>
      <w:pPr>
        <w:ind w:left="2160" w:hanging="1800"/>
      </w:pPr>
      <w:rPr>
        <w:rFonts w:cs="Sylfaen" w:hint="default"/>
      </w:rPr>
    </w:lvl>
  </w:abstractNum>
  <w:abstractNum w:abstractNumId="168" w15:restartNumberingAfterBreak="0">
    <w:nsid w:val="2A1F18CE"/>
    <w:multiLevelType w:val="hybridMultilevel"/>
    <w:tmpl w:val="5FC45B60"/>
    <w:lvl w:ilvl="0" w:tplc="1C7C0D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15:restartNumberingAfterBreak="0">
    <w:nsid w:val="2A3F65A4"/>
    <w:multiLevelType w:val="multilevel"/>
    <w:tmpl w:val="9CD40B2E"/>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0" w15:restartNumberingAfterBreak="0">
    <w:nsid w:val="2A681E99"/>
    <w:multiLevelType w:val="multilevel"/>
    <w:tmpl w:val="7AA6D692"/>
    <w:lvl w:ilvl="0">
      <w:start w:val="1"/>
      <w:numFmt w:val="decimal"/>
      <w:lvlText w:val="%1."/>
      <w:lvlJc w:val="left"/>
      <w:pPr>
        <w:ind w:left="240" w:hanging="360"/>
      </w:pPr>
      <w:rPr>
        <w:rFonts w:hint="default"/>
        <w:b/>
      </w:rPr>
    </w:lvl>
    <w:lvl w:ilvl="1">
      <w:start w:val="1"/>
      <w:numFmt w:val="decimal"/>
      <w:isLgl/>
      <w:lvlText w:val="%1.%2"/>
      <w:lvlJc w:val="left"/>
      <w:pPr>
        <w:ind w:left="240" w:hanging="360"/>
      </w:pPr>
      <w:rPr>
        <w:rFonts w:hint="default"/>
        <w:b/>
      </w:rPr>
    </w:lvl>
    <w:lvl w:ilvl="2">
      <w:start w:val="1"/>
      <w:numFmt w:val="decimal"/>
      <w:isLgl/>
      <w:lvlText w:val="%1.%2.%3"/>
      <w:lvlJc w:val="left"/>
      <w:pPr>
        <w:ind w:left="600" w:hanging="720"/>
      </w:pPr>
      <w:rPr>
        <w:rFonts w:hint="default"/>
      </w:rPr>
    </w:lvl>
    <w:lvl w:ilvl="3">
      <w:start w:val="1"/>
      <w:numFmt w:val="decimal"/>
      <w:isLgl/>
      <w:lvlText w:val="%1.%2.%3.%4"/>
      <w:lvlJc w:val="left"/>
      <w:pPr>
        <w:ind w:left="600" w:hanging="720"/>
      </w:pPr>
      <w:rPr>
        <w:rFonts w:hint="default"/>
      </w:rPr>
    </w:lvl>
    <w:lvl w:ilvl="4">
      <w:start w:val="1"/>
      <w:numFmt w:val="decimal"/>
      <w:isLgl/>
      <w:lvlText w:val="%1.%2.%3.%4.%5"/>
      <w:lvlJc w:val="left"/>
      <w:pPr>
        <w:ind w:left="960" w:hanging="1080"/>
      </w:pPr>
      <w:rPr>
        <w:rFonts w:hint="default"/>
      </w:rPr>
    </w:lvl>
    <w:lvl w:ilvl="5">
      <w:start w:val="1"/>
      <w:numFmt w:val="decimal"/>
      <w:isLgl/>
      <w:lvlText w:val="%1.%2.%3.%4.%5.%6"/>
      <w:lvlJc w:val="left"/>
      <w:pPr>
        <w:ind w:left="960" w:hanging="1080"/>
      </w:pPr>
      <w:rPr>
        <w:rFonts w:hint="default"/>
      </w:rPr>
    </w:lvl>
    <w:lvl w:ilvl="6">
      <w:start w:val="1"/>
      <w:numFmt w:val="decimal"/>
      <w:isLgl/>
      <w:lvlText w:val="%1.%2.%3.%4.%5.%6.%7"/>
      <w:lvlJc w:val="left"/>
      <w:pPr>
        <w:ind w:left="1320" w:hanging="1440"/>
      </w:pPr>
      <w:rPr>
        <w:rFonts w:hint="default"/>
      </w:rPr>
    </w:lvl>
    <w:lvl w:ilvl="7">
      <w:start w:val="1"/>
      <w:numFmt w:val="decimal"/>
      <w:isLgl/>
      <w:lvlText w:val="%1.%2.%3.%4.%5.%6.%7.%8"/>
      <w:lvlJc w:val="left"/>
      <w:pPr>
        <w:ind w:left="1320" w:hanging="1440"/>
      </w:pPr>
      <w:rPr>
        <w:rFonts w:hint="default"/>
      </w:rPr>
    </w:lvl>
    <w:lvl w:ilvl="8">
      <w:start w:val="1"/>
      <w:numFmt w:val="decimal"/>
      <w:isLgl/>
      <w:lvlText w:val="%1.%2.%3.%4.%5.%6.%7.%8.%9"/>
      <w:lvlJc w:val="left"/>
      <w:pPr>
        <w:ind w:left="1680" w:hanging="1800"/>
      </w:pPr>
      <w:rPr>
        <w:rFonts w:hint="default"/>
      </w:rPr>
    </w:lvl>
  </w:abstractNum>
  <w:abstractNum w:abstractNumId="171" w15:restartNumberingAfterBreak="0">
    <w:nsid w:val="2AC74F2E"/>
    <w:multiLevelType w:val="hybridMultilevel"/>
    <w:tmpl w:val="7096A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2ACE4DB3"/>
    <w:multiLevelType w:val="multilevel"/>
    <w:tmpl w:val="88D4A914"/>
    <w:lvl w:ilvl="0">
      <w:start w:val="1"/>
      <w:numFmt w:val="decimal"/>
      <w:lvlText w:val="%1."/>
      <w:lvlJc w:val="left"/>
      <w:pPr>
        <w:ind w:left="435" w:hanging="360"/>
      </w:pPr>
      <w:rPr>
        <w:rFonts w:hint="default"/>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2085" w:hanging="720"/>
      </w:pPr>
      <w:rPr>
        <w:rFonts w:cs="Times New Roman" w:hint="default"/>
        <w:b/>
      </w:rPr>
    </w:lvl>
    <w:lvl w:ilvl="3">
      <w:start w:val="1"/>
      <w:numFmt w:val="decimal"/>
      <w:isLgl/>
      <w:lvlText w:val="%1.%2.%3.%4"/>
      <w:lvlJc w:val="left"/>
      <w:pPr>
        <w:ind w:left="3090" w:hanging="1080"/>
      </w:pPr>
      <w:rPr>
        <w:rFonts w:cs="Times New Roman" w:hint="default"/>
        <w:b/>
      </w:rPr>
    </w:lvl>
    <w:lvl w:ilvl="4">
      <w:start w:val="1"/>
      <w:numFmt w:val="decimal"/>
      <w:isLgl/>
      <w:lvlText w:val="%1.%2.%3.%4.%5"/>
      <w:lvlJc w:val="left"/>
      <w:pPr>
        <w:ind w:left="3735" w:hanging="1080"/>
      </w:pPr>
      <w:rPr>
        <w:rFonts w:cs="Times New Roman" w:hint="default"/>
        <w:b/>
      </w:rPr>
    </w:lvl>
    <w:lvl w:ilvl="5">
      <w:start w:val="1"/>
      <w:numFmt w:val="decimal"/>
      <w:isLgl/>
      <w:lvlText w:val="%1.%2.%3.%4.%5.%6"/>
      <w:lvlJc w:val="left"/>
      <w:pPr>
        <w:ind w:left="4740" w:hanging="1440"/>
      </w:pPr>
      <w:rPr>
        <w:rFonts w:cs="Times New Roman" w:hint="default"/>
        <w:b/>
      </w:rPr>
    </w:lvl>
    <w:lvl w:ilvl="6">
      <w:start w:val="1"/>
      <w:numFmt w:val="decimal"/>
      <w:isLgl/>
      <w:lvlText w:val="%1.%2.%3.%4.%5.%6.%7"/>
      <w:lvlJc w:val="left"/>
      <w:pPr>
        <w:ind w:left="5385" w:hanging="1440"/>
      </w:pPr>
      <w:rPr>
        <w:rFonts w:cs="Times New Roman" w:hint="default"/>
        <w:b/>
      </w:rPr>
    </w:lvl>
    <w:lvl w:ilvl="7">
      <w:start w:val="1"/>
      <w:numFmt w:val="decimal"/>
      <w:isLgl/>
      <w:lvlText w:val="%1.%2.%3.%4.%5.%6.%7.%8"/>
      <w:lvlJc w:val="left"/>
      <w:pPr>
        <w:ind w:left="6390" w:hanging="1800"/>
      </w:pPr>
      <w:rPr>
        <w:rFonts w:cs="Times New Roman" w:hint="default"/>
        <w:b/>
      </w:rPr>
    </w:lvl>
    <w:lvl w:ilvl="8">
      <w:start w:val="1"/>
      <w:numFmt w:val="decimal"/>
      <w:isLgl/>
      <w:lvlText w:val="%1.%2.%3.%4.%5.%6.%7.%8.%9"/>
      <w:lvlJc w:val="left"/>
      <w:pPr>
        <w:ind w:left="7395" w:hanging="2160"/>
      </w:pPr>
      <w:rPr>
        <w:rFonts w:cs="Times New Roman" w:hint="default"/>
        <w:b/>
      </w:rPr>
    </w:lvl>
  </w:abstractNum>
  <w:abstractNum w:abstractNumId="173" w15:restartNumberingAfterBreak="0">
    <w:nsid w:val="2B284CAB"/>
    <w:multiLevelType w:val="multilevel"/>
    <w:tmpl w:val="B7A2695C"/>
    <w:lvl w:ilvl="0">
      <w:start w:val="1"/>
      <w:numFmt w:val="decimal"/>
      <w:lvlText w:val="%1."/>
      <w:lvlJc w:val="left"/>
      <w:pPr>
        <w:ind w:left="720" w:hanging="360"/>
      </w:pPr>
      <w:rPr>
        <w:rFonts w:hint="default"/>
        <w:b w:val="0"/>
      </w:rPr>
    </w:lvl>
    <w:lvl w:ilvl="1">
      <w:start w:val="2"/>
      <w:numFmt w:val="decimal"/>
      <w:isLgl/>
      <w:lvlText w:val="%1.%2."/>
      <w:lvlJc w:val="left"/>
      <w:pPr>
        <w:ind w:left="1080" w:hanging="720"/>
      </w:pPr>
      <w:rPr>
        <w:rFonts w:eastAsia="Times New Roman" w:cs="Times New Roman" w:hint="default"/>
        <w:b w:val="0"/>
      </w:rPr>
    </w:lvl>
    <w:lvl w:ilvl="2">
      <w:start w:val="1"/>
      <w:numFmt w:val="decimal"/>
      <w:isLgl/>
      <w:lvlText w:val="%1.%2.%3."/>
      <w:lvlJc w:val="left"/>
      <w:pPr>
        <w:ind w:left="1080" w:hanging="720"/>
      </w:pPr>
      <w:rPr>
        <w:rFonts w:eastAsia="Times New Roman" w:cs="Times New Roman" w:hint="default"/>
        <w:b/>
      </w:rPr>
    </w:lvl>
    <w:lvl w:ilvl="3">
      <w:start w:val="1"/>
      <w:numFmt w:val="decimal"/>
      <w:isLgl/>
      <w:lvlText w:val="%1.%2.%3.%4."/>
      <w:lvlJc w:val="left"/>
      <w:pPr>
        <w:ind w:left="1440" w:hanging="1080"/>
      </w:pPr>
      <w:rPr>
        <w:rFonts w:eastAsia="Times New Roman" w:cs="Times New Roman" w:hint="default"/>
        <w:b/>
      </w:rPr>
    </w:lvl>
    <w:lvl w:ilvl="4">
      <w:start w:val="1"/>
      <w:numFmt w:val="decimal"/>
      <w:isLgl/>
      <w:lvlText w:val="%1.%2.%3.%4.%5."/>
      <w:lvlJc w:val="left"/>
      <w:pPr>
        <w:ind w:left="1440" w:hanging="1080"/>
      </w:pPr>
      <w:rPr>
        <w:rFonts w:eastAsia="Times New Roman" w:cs="Times New Roman" w:hint="default"/>
        <w:b/>
      </w:rPr>
    </w:lvl>
    <w:lvl w:ilvl="5">
      <w:start w:val="1"/>
      <w:numFmt w:val="decimal"/>
      <w:isLgl/>
      <w:lvlText w:val="%1.%2.%3.%4.%5.%6."/>
      <w:lvlJc w:val="left"/>
      <w:pPr>
        <w:ind w:left="1800" w:hanging="1440"/>
      </w:pPr>
      <w:rPr>
        <w:rFonts w:eastAsia="Times New Roman" w:cs="Times New Roman" w:hint="default"/>
        <w:b/>
      </w:rPr>
    </w:lvl>
    <w:lvl w:ilvl="6">
      <w:start w:val="1"/>
      <w:numFmt w:val="decimal"/>
      <w:isLgl/>
      <w:lvlText w:val="%1.%2.%3.%4.%5.%6.%7."/>
      <w:lvlJc w:val="left"/>
      <w:pPr>
        <w:ind w:left="2160" w:hanging="1800"/>
      </w:pPr>
      <w:rPr>
        <w:rFonts w:eastAsia="Times New Roman" w:cs="Times New Roman" w:hint="default"/>
        <w:b/>
      </w:rPr>
    </w:lvl>
    <w:lvl w:ilvl="7">
      <w:start w:val="1"/>
      <w:numFmt w:val="decimal"/>
      <w:isLgl/>
      <w:lvlText w:val="%1.%2.%3.%4.%5.%6.%7.%8."/>
      <w:lvlJc w:val="left"/>
      <w:pPr>
        <w:ind w:left="2160" w:hanging="1800"/>
      </w:pPr>
      <w:rPr>
        <w:rFonts w:eastAsia="Times New Roman" w:cs="Times New Roman" w:hint="default"/>
        <w:b/>
      </w:rPr>
    </w:lvl>
    <w:lvl w:ilvl="8">
      <w:start w:val="1"/>
      <w:numFmt w:val="decimal"/>
      <w:isLgl/>
      <w:lvlText w:val="%1.%2.%3.%4.%5.%6.%7.%8.%9."/>
      <w:lvlJc w:val="left"/>
      <w:pPr>
        <w:ind w:left="2520" w:hanging="2160"/>
      </w:pPr>
      <w:rPr>
        <w:rFonts w:eastAsia="Times New Roman" w:cs="Times New Roman" w:hint="default"/>
        <w:b/>
      </w:rPr>
    </w:lvl>
  </w:abstractNum>
  <w:abstractNum w:abstractNumId="174" w15:restartNumberingAfterBreak="0">
    <w:nsid w:val="2B993A09"/>
    <w:multiLevelType w:val="hybridMultilevel"/>
    <w:tmpl w:val="EFCAB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2BC43ADB"/>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176" w15:restartNumberingAfterBreak="0">
    <w:nsid w:val="2BCA25AC"/>
    <w:multiLevelType w:val="multilevel"/>
    <w:tmpl w:val="D6FAE56E"/>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77" w15:restartNumberingAfterBreak="0">
    <w:nsid w:val="2C37642B"/>
    <w:multiLevelType w:val="hybridMultilevel"/>
    <w:tmpl w:val="CE7C0770"/>
    <w:lvl w:ilvl="0" w:tplc="658C481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8" w15:restartNumberingAfterBreak="0">
    <w:nsid w:val="2C95068D"/>
    <w:multiLevelType w:val="multilevel"/>
    <w:tmpl w:val="8A44B89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9" w15:restartNumberingAfterBreak="0">
    <w:nsid w:val="2CA3283B"/>
    <w:multiLevelType w:val="multilevel"/>
    <w:tmpl w:val="92C28CEE"/>
    <w:lvl w:ilvl="0">
      <w:start w:val="1"/>
      <w:numFmt w:val="decimal"/>
      <w:lvlText w:val="%1."/>
      <w:lvlJc w:val="left"/>
      <w:pPr>
        <w:ind w:left="720" w:hanging="360"/>
      </w:pPr>
      <w:rPr>
        <w:rFonts w:hint="default"/>
        <w:b/>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0" w15:restartNumberingAfterBreak="0">
    <w:nsid w:val="2CA43A25"/>
    <w:multiLevelType w:val="multilevel"/>
    <w:tmpl w:val="9F60BC22"/>
    <w:lvl w:ilvl="0">
      <w:start w:val="1"/>
      <w:numFmt w:val="decimal"/>
      <w:lvlText w:val="%1."/>
      <w:lvlJc w:val="left"/>
      <w:pPr>
        <w:ind w:left="360" w:hanging="360"/>
      </w:pPr>
      <w:rPr>
        <w:rFonts w:cs="Sylfae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81" w15:restartNumberingAfterBreak="0">
    <w:nsid w:val="2CC5326D"/>
    <w:multiLevelType w:val="multilevel"/>
    <w:tmpl w:val="EBE682C2"/>
    <w:lvl w:ilvl="0">
      <w:start w:val="1"/>
      <w:numFmt w:val="decimal"/>
      <w:lvlText w:val="%1."/>
      <w:lvlJc w:val="left"/>
      <w:pPr>
        <w:ind w:left="1440" w:hanging="360"/>
      </w:pPr>
      <w:rPr>
        <w:rFonts w:cs="Sylfaen" w:hint="default"/>
      </w:rPr>
    </w:lvl>
    <w:lvl w:ilvl="1">
      <w:start w:val="1"/>
      <w:numFmt w:val="decimal"/>
      <w:isLgl/>
      <w:lvlText w:val="%1.%2."/>
      <w:lvlJc w:val="left"/>
      <w:pPr>
        <w:ind w:left="180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82" w15:restartNumberingAfterBreak="0">
    <w:nsid w:val="2D0A0F0A"/>
    <w:multiLevelType w:val="multilevel"/>
    <w:tmpl w:val="A48C32C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3" w15:restartNumberingAfterBreak="0">
    <w:nsid w:val="2D13696B"/>
    <w:multiLevelType w:val="hybridMultilevel"/>
    <w:tmpl w:val="DF4846D6"/>
    <w:lvl w:ilvl="0" w:tplc="51164F70">
      <w:start w:val="1"/>
      <w:numFmt w:val="decimal"/>
      <w:lvlText w:val="%1)"/>
      <w:lvlJc w:val="left"/>
      <w:pPr>
        <w:ind w:left="1035" w:hanging="66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184" w15:restartNumberingAfterBreak="0">
    <w:nsid w:val="2D3E6235"/>
    <w:multiLevelType w:val="multilevel"/>
    <w:tmpl w:val="5E34859E"/>
    <w:lvl w:ilvl="0">
      <w:start w:val="1"/>
      <w:numFmt w:val="decimal"/>
      <w:lvlText w:val="%1."/>
      <w:lvlJc w:val="left"/>
      <w:pPr>
        <w:ind w:left="720" w:hanging="360"/>
      </w:pPr>
      <w:rPr>
        <w:rFonts w:cs="Sylfaen" w:hint="default"/>
      </w:rPr>
    </w:lvl>
    <w:lvl w:ilvl="1">
      <w:start w:val="2"/>
      <w:numFmt w:val="decimal"/>
      <w:isLgl/>
      <w:lvlText w:val="%1.%2"/>
      <w:lvlJc w:val="left"/>
      <w:pPr>
        <w:ind w:left="630" w:hanging="360"/>
      </w:pPr>
      <w:rPr>
        <w:rFonts w:cs="Sylfaen" w:hint="default"/>
      </w:rPr>
    </w:lvl>
    <w:lvl w:ilvl="2">
      <w:start w:val="1"/>
      <w:numFmt w:val="decimal"/>
      <w:isLgl/>
      <w:lvlText w:val="%1.%2.%3"/>
      <w:lvlJc w:val="left"/>
      <w:pPr>
        <w:ind w:left="2520" w:hanging="720"/>
      </w:pPr>
      <w:rPr>
        <w:rFonts w:cs="Sylfaen" w:hint="default"/>
      </w:rPr>
    </w:lvl>
    <w:lvl w:ilvl="3">
      <w:start w:val="1"/>
      <w:numFmt w:val="decimal"/>
      <w:isLgl/>
      <w:lvlText w:val="%1.%2.%3.%4"/>
      <w:lvlJc w:val="left"/>
      <w:pPr>
        <w:ind w:left="3600" w:hanging="1080"/>
      </w:pPr>
      <w:rPr>
        <w:rFonts w:cs="Sylfaen" w:hint="default"/>
      </w:rPr>
    </w:lvl>
    <w:lvl w:ilvl="4">
      <w:start w:val="1"/>
      <w:numFmt w:val="decimal"/>
      <w:isLgl/>
      <w:lvlText w:val="%1.%2.%3.%4.%5"/>
      <w:lvlJc w:val="left"/>
      <w:pPr>
        <w:ind w:left="4320" w:hanging="1080"/>
      </w:pPr>
      <w:rPr>
        <w:rFonts w:cs="Sylfaen" w:hint="default"/>
      </w:rPr>
    </w:lvl>
    <w:lvl w:ilvl="5">
      <w:start w:val="1"/>
      <w:numFmt w:val="decimal"/>
      <w:isLgl/>
      <w:lvlText w:val="%1.%2.%3.%4.%5.%6"/>
      <w:lvlJc w:val="left"/>
      <w:pPr>
        <w:ind w:left="5400" w:hanging="1440"/>
      </w:pPr>
      <w:rPr>
        <w:rFonts w:cs="Sylfaen" w:hint="default"/>
      </w:rPr>
    </w:lvl>
    <w:lvl w:ilvl="6">
      <w:start w:val="1"/>
      <w:numFmt w:val="decimal"/>
      <w:isLgl/>
      <w:lvlText w:val="%1.%2.%3.%4.%5.%6.%7"/>
      <w:lvlJc w:val="left"/>
      <w:pPr>
        <w:ind w:left="6120" w:hanging="1440"/>
      </w:pPr>
      <w:rPr>
        <w:rFonts w:cs="Sylfaen" w:hint="default"/>
      </w:rPr>
    </w:lvl>
    <w:lvl w:ilvl="7">
      <w:start w:val="1"/>
      <w:numFmt w:val="decimal"/>
      <w:isLgl/>
      <w:lvlText w:val="%1.%2.%3.%4.%5.%6.%7.%8"/>
      <w:lvlJc w:val="left"/>
      <w:pPr>
        <w:ind w:left="7200" w:hanging="1800"/>
      </w:pPr>
      <w:rPr>
        <w:rFonts w:cs="Sylfaen" w:hint="default"/>
      </w:rPr>
    </w:lvl>
    <w:lvl w:ilvl="8">
      <w:start w:val="1"/>
      <w:numFmt w:val="decimal"/>
      <w:isLgl/>
      <w:lvlText w:val="%1.%2.%3.%4.%5.%6.%7.%8.%9"/>
      <w:lvlJc w:val="left"/>
      <w:pPr>
        <w:ind w:left="8280" w:hanging="2160"/>
      </w:pPr>
      <w:rPr>
        <w:rFonts w:cs="Sylfaen" w:hint="default"/>
      </w:rPr>
    </w:lvl>
  </w:abstractNum>
  <w:abstractNum w:abstractNumId="185" w15:restartNumberingAfterBreak="0">
    <w:nsid w:val="2D432EC1"/>
    <w:multiLevelType w:val="multilevel"/>
    <w:tmpl w:val="9BEC47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6" w15:restartNumberingAfterBreak="0">
    <w:nsid w:val="2D611643"/>
    <w:multiLevelType w:val="multilevel"/>
    <w:tmpl w:val="96C0D45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7" w15:restartNumberingAfterBreak="0">
    <w:nsid w:val="2D7F171B"/>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188" w15:restartNumberingAfterBreak="0">
    <w:nsid w:val="2D8D3C11"/>
    <w:multiLevelType w:val="multilevel"/>
    <w:tmpl w:val="1BE43D74"/>
    <w:lvl w:ilvl="0">
      <w:start w:val="1"/>
      <w:numFmt w:val="decimal"/>
      <w:lvlText w:val="%1."/>
      <w:lvlJc w:val="left"/>
      <w:pPr>
        <w:ind w:left="405" w:hanging="405"/>
      </w:pPr>
      <w:rPr>
        <w:rFonts w:cs="Times New Roman"/>
      </w:rPr>
    </w:lvl>
    <w:lvl w:ilvl="1">
      <w:start w:val="1"/>
      <w:numFmt w:val="decimal"/>
      <w:lvlText w:val="%1.%2."/>
      <w:lvlJc w:val="left"/>
      <w:pPr>
        <w:ind w:left="1095" w:hanging="720"/>
      </w:pPr>
      <w:rPr>
        <w:rFonts w:cs="Times New Roman"/>
      </w:rPr>
    </w:lvl>
    <w:lvl w:ilvl="2">
      <w:start w:val="1"/>
      <w:numFmt w:val="decimal"/>
      <w:lvlText w:val="%1.%2.%3."/>
      <w:lvlJc w:val="left"/>
      <w:pPr>
        <w:ind w:left="1470" w:hanging="720"/>
      </w:pPr>
      <w:rPr>
        <w:rFonts w:cs="Times New Roman"/>
      </w:rPr>
    </w:lvl>
    <w:lvl w:ilvl="3">
      <w:start w:val="1"/>
      <w:numFmt w:val="decimal"/>
      <w:lvlText w:val="%1.%2.%3.%4."/>
      <w:lvlJc w:val="left"/>
      <w:pPr>
        <w:ind w:left="2205" w:hanging="1080"/>
      </w:pPr>
      <w:rPr>
        <w:rFonts w:cs="Times New Roman"/>
      </w:rPr>
    </w:lvl>
    <w:lvl w:ilvl="4">
      <w:start w:val="1"/>
      <w:numFmt w:val="decimal"/>
      <w:lvlText w:val="%1.%2.%3.%4.%5."/>
      <w:lvlJc w:val="left"/>
      <w:pPr>
        <w:ind w:left="2580" w:hanging="1080"/>
      </w:pPr>
      <w:rPr>
        <w:rFonts w:cs="Times New Roman"/>
      </w:rPr>
    </w:lvl>
    <w:lvl w:ilvl="5">
      <w:start w:val="1"/>
      <w:numFmt w:val="decimal"/>
      <w:lvlText w:val="%1.%2.%3.%4.%5.%6."/>
      <w:lvlJc w:val="left"/>
      <w:pPr>
        <w:ind w:left="3315" w:hanging="1440"/>
      </w:pPr>
      <w:rPr>
        <w:rFonts w:cs="Times New Roman"/>
      </w:rPr>
    </w:lvl>
    <w:lvl w:ilvl="6">
      <w:start w:val="1"/>
      <w:numFmt w:val="decimal"/>
      <w:lvlText w:val="%1.%2.%3.%4.%5.%6.%7."/>
      <w:lvlJc w:val="left"/>
      <w:pPr>
        <w:ind w:left="4050" w:hanging="1800"/>
      </w:pPr>
      <w:rPr>
        <w:rFonts w:cs="Times New Roman"/>
      </w:rPr>
    </w:lvl>
    <w:lvl w:ilvl="7">
      <w:start w:val="1"/>
      <w:numFmt w:val="decimal"/>
      <w:lvlText w:val="%1.%2.%3.%4.%5.%6.%7.%8."/>
      <w:lvlJc w:val="left"/>
      <w:pPr>
        <w:ind w:left="4425" w:hanging="1800"/>
      </w:pPr>
      <w:rPr>
        <w:rFonts w:cs="Times New Roman"/>
      </w:rPr>
    </w:lvl>
    <w:lvl w:ilvl="8">
      <w:start w:val="1"/>
      <w:numFmt w:val="decimal"/>
      <w:lvlText w:val="%1.%2.%3.%4.%5.%6.%7.%8.%9."/>
      <w:lvlJc w:val="left"/>
      <w:pPr>
        <w:ind w:left="5160" w:hanging="2160"/>
      </w:pPr>
      <w:rPr>
        <w:rFonts w:cs="Times New Roman"/>
      </w:rPr>
    </w:lvl>
  </w:abstractNum>
  <w:abstractNum w:abstractNumId="189" w15:restartNumberingAfterBreak="0">
    <w:nsid w:val="2DE85100"/>
    <w:multiLevelType w:val="multilevel"/>
    <w:tmpl w:val="64C8DE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0" w15:restartNumberingAfterBreak="0">
    <w:nsid w:val="2DEF7862"/>
    <w:multiLevelType w:val="multilevel"/>
    <w:tmpl w:val="6E08ADCC"/>
    <w:lvl w:ilvl="0">
      <w:start w:val="1"/>
      <w:numFmt w:val="decimal"/>
      <w:lvlText w:val="%1"/>
      <w:lvlJc w:val="left"/>
      <w:pPr>
        <w:ind w:left="360" w:hanging="360"/>
      </w:pPr>
      <w:rPr>
        <w:rFonts w:eastAsia="Calibri" w:cs="Times New Roman" w:hint="default"/>
        <w:b/>
      </w:rPr>
    </w:lvl>
    <w:lvl w:ilvl="1">
      <w:start w:val="1"/>
      <w:numFmt w:val="decimal"/>
      <w:lvlText w:val="%1.%2"/>
      <w:lvlJc w:val="left"/>
      <w:pPr>
        <w:ind w:left="735" w:hanging="360"/>
      </w:pPr>
      <w:rPr>
        <w:rFonts w:eastAsia="Calibri" w:cs="Times New Roman" w:hint="default"/>
        <w:b/>
        <w:i w:val="0"/>
      </w:rPr>
    </w:lvl>
    <w:lvl w:ilvl="2">
      <w:start w:val="1"/>
      <w:numFmt w:val="decimal"/>
      <w:lvlText w:val="%1.%2.%3"/>
      <w:lvlJc w:val="left"/>
      <w:pPr>
        <w:ind w:left="1470" w:hanging="720"/>
      </w:pPr>
      <w:rPr>
        <w:rFonts w:eastAsia="Calibri" w:cs="Times New Roman" w:hint="default"/>
        <w:b/>
      </w:rPr>
    </w:lvl>
    <w:lvl w:ilvl="3">
      <w:start w:val="1"/>
      <w:numFmt w:val="decimal"/>
      <w:lvlText w:val="%1.%2.%3.%4"/>
      <w:lvlJc w:val="left"/>
      <w:pPr>
        <w:ind w:left="2205" w:hanging="1080"/>
      </w:pPr>
      <w:rPr>
        <w:rFonts w:eastAsia="Calibri" w:cs="Times New Roman" w:hint="default"/>
        <w:b/>
      </w:rPr>
    </w:lvl>
    <w:lvl w:ilvl="4">
      <w:start w:val="1"/>
      <w:numFmt w:val="decimal"/>
      <w:lvlText w:val="%1.%2.%3.%4.%5"/>
      <w:lvlJc w:val="left"/>
      <w:pPr>
        <w:ind w:left="2580" w:hanging="1080"/>
      </w:pPr>
      <w:rPr>
        <w:rFonts w:eastAsia="Calibri" w:cs="Times New Roman" w:hint="default"/>
        <w:b/>
      </w:rPr>
    </w:lvl>
    <w:lvl w:ilvl="5">
      <w:start w:val="1"/>
      <w:numFmt w:val="decimal"/>
      <w:lvlText w:val="%1.%2.%3.%4.%5.%6"/>
      <w:lvlJc w:val="left"/>
      <w:pPr>
        <w:ind w:left="3315" w:hanging="1440"/>
      </w:pPr>
      <w:rPr>
        <w:rFonts w:eastAsia="Calibri" w:cs="Times New Roman" w:hint="default"/>
        <w:b/>
      </w:rPr>
    </w:lvl>
    <w:lvl w:ilvl="6">
      <w:start w:val="1"/>
      <w:numFmt w:val="decimal"/>
      <w:lvlText w:val="%1.%2.%3.%4.%5.%6.%7"/>
      <w:lvlJc w:val="left"/>
      <w:pPr>
        <w:ind w:left="3690" w:hanging="1440"/>
      </w:pPr>
      <w:rPr>
        <w:rFonts w:eastAsia="Calibri" w:cs="Times New Roman" w:hint="default"/>
        <w:b/>
      </w:rPr>
    </w:lvl>
    <w:lvl w:ilvl="7">
      <w:start w:val="1"/>
      <w:numFmt w:val="decimal"/>
      <w:lvlText w:val="%1.%2.%3.%4.%5.%6.%7.%8"/>
      <w:lvlJc w:val="left"/>
      <w:pPr>
        <w:ind w:left="4425" w:hanging="1800"/>
      </w:pPr>
      <w:rPr>
        <w:rFonts w:eastAsia="Calibri" w:cs="Times New Roman" w:hint="default"/>
        <w:b/>
      </w:rPr>
    </w:lvl>
    <w:lvl w:ilvl="8">
      <w:start w:val="1"/>
      <w:numFmt w:val="decimal"/>
      <w:lvlText w:val="%1.%2.%3.%4.%5.%6.%7.%8.%9"/>
      <w:lvlJc w:val="left"/>
      <w:pPr>
        <w:ind w:left="5160" w:hanging="2160"/>
      </w:pPr>
      <w:rPr>
        <w:rFonts w:eastAsia="Calibri" w:cs="Times New Roman" w:hint="default"/>
        <w:b/>
      </w:rPr>
    </w:lvl>
  </w:abstractNum>
  <w:abstractNum w:abstractNumId="191" w15:restartNumberingAfterBreak="0">
    <w:nsid w:val="2EB92CFA"/>
    <w:multiLevelType w:val="multilevel"/>
    <w:tmpl w:val="144AB03A"/>
    <w:lvl w:ilvl="0">
      <w:start w:val="1"/>
      <w:numFmt w:val="decimal"/>
      <w:lvlText w:val="%1."/>
      <w:lvlJc w:val="left"/>
      <w:pPr>
        <w:ind w:left="644" w:hanging="360"/>
      </w:pPr>
    </w:lvl>
    <w:lvl w:ilvl="1">
      <w:start w:val="1"/>
      <w:numFmt w:val="decimal"/>
      <w:isLgl/>
      <w:lvlText w:val="%1.%2"/>
      <w:lvlJc w:val="left"/>
      <w:pPr>
        <w:ind w:left="752" w:hanging="360"/>
      </w:pPr>
      <w:rPr>
        <w:rFonts w:cs="Sylfaen" w:hint="default"/>
      </w:rPr>
    </w:lvl>
    <w:lvl w:ilvl="2">
      <w:start w:val="1"/>
      <w:numFmt w:val="decimal"/>
      <w:isLgl/>
      <w:lvlText w:val="%1.%2.%3"/>
      <w:lvlJc w:val="left"/>
      <w:pPr>
        <w:ind w:left="862" w:hanging="720"/>
      </w:pPr>
      <w:rPr>
        <w:rFonts w:cs="Sylfaen" w:hint="default"/>
      </w:rPr>
    </w:lvl>
    <w:lvl w:ilvl="3">
      <w:start w:val="1"/>
      <w:numFmt w:val="decimal"/>
      <w:isLgl/>
      <w:lvlText w:val="%1.%2.%3.%4"/>
      <w:lvlJc w:val="left"/>
      <w:pPr>
        <w:ind w:left="862" w:hanging="720"/>
      </w:pPr>
      <w:rPr>
        <w:rFonts w:cs="Sylfaen" w:hint="default"/>
      </w:rPr>
    </w:lvl>
    <w:lvl w:ilvl="4">
      <w:start w:val="1"/>
      <w:numFmt w:val="decimal"/>
      <w:isLgl/>
      <w:lvlText w:val="%1.%2.%3.%4.%5"/>
      <w:lvlJc w:val="left"/>
      <w:pPr>
        <w:ind w:left="1222" w:hanging="1080"/>
      </w:pPr>
      <w:rPr>
        <w:rFonts w:cs="Sylfaen" w:hint="default"/>
      </w:rPr>
    </w:lvl>
    <w:lvl w:ilvl="5">
      <w:start w:val="1"/>
      <w:numFmt w:val="decimal"/>
      <w:isLgl/>
      <w:lvlText w:val="%1.%2.%3.%4.%5.%6"/>
      <w:lvlJc w:val="left"/>
      <w:pPr>
        <w:ind w:left="1582" w:hanging="1440"/>
      </w:pPr>
      <w:rPr>
        <w:rFonts w:cs="Sylfaen" w:hint="default"/>
      </w:rPr>
    </w:lvl>
    <w:lvl w:ilvl="6">
      <w:start w:val="1"/>
      <w:numFmt w:val="decimal"/>
      <w:isLgl/>
      <w:lvlText w:val="%1.%2.%3.%4.%5.%6.%7"/>
      <w:lvlJc w:val="left"/>
      <w:pPr>
        <w:ind w:left="1582" w:hanging="1440"/>
      </w:pPr>
      <w:rPr>
        <w:rFonts w:cs="Sylfaen" w:hint="default"/>
      </w:rPr>
    </w:lvl>
    <w:lvl w:ilvl="7">
      <w:start w:val="1"/>
      <w:numFmt w:val="decimal"/>
      <w:isLgl/>
      <w:lvlText w:val="%1.%2.%3.%4.%5.%6.%7.%8"/>
      <w:lvlJc w:val="left"/>
      <w:pPr>
        <w:ind w:left="1942" w:hanging="1800"/>
      </w:pPr>
      <w:rPr>
        <w:rFonts w:cs="Sylfaen" w:hint="default"/>
      </w:rPr>
    </w:lvl>
    <w:lvl w:ilvl="8">
      <w:start w:val="1"/>
      <w:numFmt w:val="decimal"/>
      <w:isLgl/>
      <w:lvlText w:val="%1.%2.%3.%4.%5.%6.%7.%8.%9"/>
      <w:lvlJc w:val="left"/>
      <w:pPr>
        <w:ind w:left="1942" w:hanging="1800"/>
      </w:pPr>
      <w:rPr>
        <w:rFonts w:cs="Sylfaen" w:hint="default"/>
      </w:rPr>
    </w:lvl>
  </w:abstractNum>
  <w:abstractNum w:abstractNumId="192" w15:restartNumberingAfterBreak="0">
    <w:nsid w:val="2F06453C"/>
    <w:multiLevelType w:val="hybridMultilevel"/>
    <w:tmpl w:val="20048B0A"/>
    <w:lvl w:ilvl="0" w:tplc="82D6F3D0">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2F354A02"/>
    <w:multiLevelType w:val="multilevel"/>
    <w:tmpl w:val="24A8A35A"/>
    <w:lvl w:ilvl="0">
      <w:start w:val="1"/>
      <w:numFmt w:val="decimal"/>
      <w:lvlText w:val="%1."/>
      <w:lvlJc w:val="left"/>
      <w:pPr>
        <w:ind w:left="720" w:hanging="360"/>
      </w:pPr>
      <w:rPr>
        <w:rFonts w:hint="default"/>
      </w:rPr>
    </w:lvl>
    <w:lvl w:ilvl="1">
      <w:start w:val="1"/>
      <w:numFmt w:val="decimal"/>
      <w:isLgl/>
      <w:lvlText w:val="%1.%2"/>
      <w:lvlJc w:val="left"/>
      <w:pPr>
        <w:ind w:left="99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800" w:hanging="144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2160" w:hanging="1800"/>
      </w:pPr>
      <w:rPr>
        <w:rFonts w:cs="Sylfaen" w:hint="default"/>
      </w:rPr>
    </w:lvl>
  </w:abstractNum>
  <w:abstractNum w:abstractNumId="194" w15:restartNumberingAfterBreak="0">
    <w:nsid w:val="2FE637FA"/>
    <w:multiLevelType w:val="hybridMultilevel"/>
    <w:tmpl w:val="A0AC8DFC"/>
    <w:lvl w:ilvl="0" w:tplc="3A6CCCC0">
      <w:start w:val="1"/>
      <w:numFmt w:val="decimal"/>
      <w:lvlText w:val="%1)"/>
      <w:lvlJc w:val="left"/>
      <w:pPr>
        <w:ind w:left="735" w:hanging="36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195" w15:restartNumberingAfterBreak="0">
    <w:nsid w:val="2FF762C4"/>
    <w:multiLevelType w:val="multilevel"/>
    <w:tmpl w:val="10EA5176"/>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cs="Times New Roman" w:hint="default"/>
        <w:b/>
        <w:color w:val="auto"/>
      </w:rPr>
    </w:lvl>
    <w:lvl w:ilvl="2">
      <w:start w:val="1"/>
      <w:numFmt w:val="decimal"/>
      <w:isLgl/>
      <w:lvlText w:val="%1.%2.%3"/>
      <w:lvlJc w:val="left"/>
      <w:pPr>
        <w:ind w:left="1080" w:hanging="720"/>
      </w:pPr>
      <w:rPr>
        <w:rFonts w:cs="Times New Roman" w:hint="default"/>
        <w:b/>
        <w:color w:val="auto"/>
      </w:rPr>
    </w:lvl>
    <w:lvl w:ilvl="3">
      <w:start w:val="1"/>
      <w:numFmt w:val="decimal"/>
      <w:isLgl/>
      <w:lvlText w:val="%1.%2.%3.%4"/>
      <w:lvlJc w:val="left"/>
      <w:pPr>
        <w:ind w:left="1440" w:hanging="1080"/>
      </w:pPr>
      <w:rPr>
        <w:rFonts w:cs="Times New Roman" w:hint="default"/>
        <w:b/>
        <w:color w:val="auto"/>
      </w:rPr>
    </w:lvl>
    <w:lvl w:ilvl="4">
      <w:start w:val="1"/>
      <w:numFmt w:val="decimal"/>
      <w:isLgl/>
      <w:lvlText w:val="%1.%2.%3.%4.%5"/>
      <w:lvlJc w:val="left"/>
      <w:pPr>
        <w:ind w:left="1440" w:hanging="1080"/>
      </w:pPr>
      <w:rPr>
        <w:rFonts w:cs="Times New Roman" w:hint="default"/>
        <w:b/>
        <w:color w:val="auto"/>
      </w:rPr>
    </w:lvl>
    <w:lvl w:ilvl="5">
      <w:start w:val="1"/>
      <w:numFmt w:val="decimal"/>
      <w:isLgl/>
      <w:lvlText w:val="%1.%2.%3.%4.%5.%6"/>
      <w:lvlJc w:val="left"/>
      <w:pPr>
        <w:ind w:left="1800" w:hanging="1440"/>
      </w:pPr>
      <w:rPr>
        <w:rFonts w:cs="Times New Roman" w:hint="default"/>
        <w:b/>
        <w:color w:val="auto"/>
      </w:rPr>
    </w:lvl>
    <w:lvl w:ilvl="6">
      <w:start w:val="1"/>
      <w:numFmt w:val="decimal"/>
      <w:isLgl/>
      <w:lvlText w:val="%1.%2.%3.%4.%5.%6.%7"/>
      <w:lvlJc w:val="left"/>
      <w:pPr>
        <w:ind w:left="1800" w:hanging="1440"/>
      </w:pPr>
      <w:rPr>
        <w:rFonts w:cs="Times New Roman" w:hint="default"/>
        <w:b/>
        <w:color w:val="auto"/>
      </w:rPr>
    </w:lvl>
    <w:lvl w:ilvl="7">
      <w:start w:val="1"/>
      <w:numFmt w:val="decimal"/>
      <w:isLgl/>
      <w:lvlText w:val="%1.%2.%3.%4.%5.%6.%7.%8"/>
      <w:lvlJc w:val="left"/>
      <w:pPr>
        <w:ind w:left="2160" w:hanging="1800"/>
      </w:pPr>
      <w:rPr>
        <w:rFonts w:cs="Times New Roman" w:hint="default"/>
        <w:b/>
        <w:color w:val="auto"/>
      </w:rPr>
    </w:lvl>
    <w:lvl w:ilvl="8">
      <w:start w:val="1"/>
      <w:numFmt w:val="decimal"/>
      <w:isLgl/>
      <w:lvlText w:val="%1.%2.%3.%4.%5.%6.%7.%8.%9"/>
      <w:lvlJc w:val="left"/>
      <w:pPr>
        <w:ind w:left="2520" w:hanging="2160"/>
      </w:pPr>
      <w:rPr>
        <w:rFonts w:cs="Times New Roman" w:hint="default"/>
        <w:b/>
        <w:color w:val="auto"/>
      </w:rPr>
    </w:lvl>
  </w:abstractNum>
  <w:abstractNum w:abstractNumId="196" w15:restartNumberingAfterBreak="0">
    <w:nsid w:val="2FFC2603"/>
    <w:multiLevelType w:val="multilevel"/>
    <w:tmpl w:val="F384B8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7" w15:restartNumberingAfterBreak="0">
    <w:nsid w:val="300F67C3"/>
    <w:multiLevelType w:val="hybridMultilevel"/>
    <w:tmpl w:val="1F1CE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30C12745"/>
    <w:multiLevelType w:val="multilevel"/>
    <w:tmpl w:val="7200C49E"/>
    <w:lvl w:ilvl="0">
      <w:start w:val="1"/>
      <w:numFmt w:val="decimal"/>
      <w:lvlText w:val="%1."/>
      <w:lvlJc w:val="left"/>
      <w:pPr>
        <w:ind w:left="390" w:hanging="39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99" w15:restartNumberingAfterBreak="0">
    <w:nsid w:val="30EE64E3"/>
    <w:multiLevelType w:val="hybridMultilevel"/>
    <w:tmpl w:val="505E7618"/>
    <w:lvl w:ilvl="0" w:tplc="1C902CEC">
      <w:start w:val="1"/>
      <w:numFmt w:val="decimal"/>
      <w:lvlText w:val="%1."/>
      <w:lvlJc w:val="left"/>
      <w:pPr>
        <w:tabs>
          <w:tab w:val="num" w:pos="1440"/>
        </w:tabs>
        <w:ind w:left="1440" w:hanging="360"/>
      </w:pPr>
      <w:rPr>
        <w:lang w:val="af-Z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15:restartNumberingAfterBreak="0">
    <w:nsid w:val="311B03CB"/>
    <w:multiLevelType w:val="hybridMultilevel"/>
    <w:tmpl w:val="5C0218EA"/>
    <w:lvl w:ilvl="0" w:tplc="BFF22CE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1" w15:restartNumberingAfterBreak="0">
    <w:nsid w:val="31A962BB"/>
    <w:multiLevelType w:val="multilevel"/>
    <w:tmpl w:val="B78E5C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2" w15:restartNumberingAfterBreak="0">
    <w:nsid w:val="31F07C3A"/>
    <w:multiLevelType w:val="multilevel"/>
    <w:tmpl w:val="302A17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3" w15:restartNumberingAfterBreak="0">
    <w:nsid w:val="320471B3"/>
    <w:multiLevelType w:val="hybridMultilevel"/>
    <w:tmpl w:val="7B1A296E"/>
    <w:lvl w:ilvl="0" w:tplc="A6C20D3A">
      <w:numFmt w:val="bullet"/>
      <w:lvlText w:val="-"/>
      <w:lvlJc w:val="left"/>
      <w:pPr>
        <w:ind w:left="720" w:hanging="360"/>
      </w:pPr>
      <w:rPr>
        <w:rFonts w:ascii="GHEA Grapalat" w:eastAsia="Times New Roman" w:hAnsi="GHEA Grapalat" w:cs="Times New Roman" w:hint="default"/>
        <w:lang w:val="hy-AM"/>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4" w15:restartNumberingAfterBreak="0">
    <w:nsid w:val="32E001C3"/>
    <w:multiLevelType w:val="multilevel"/>
    <w:tmpl w:val="2B049B04"/>
    <w:lvl w:ilvl="0">
      <w:start w:val="1"/>
      <w:numFmt w:val="decimal"/>
      <w:lvlText w:val="%1."/>
      <w:lvlJc w:val="left"/>
      <w:pPr>
        <w:ind w:left="1087" w:hanging="360"/>
      </w:pPr>
      <w:rPr>
        <w:rFonts w:hint="default"/>
      </w:rPr>
    </w:lvl>
    <w:lvl w:ilvl="1">
      <w:start w:val="2"/>
      <w:numFmt w:val="decimal"/>
      <w:isLgl/>
      <w:lvlText w:val="%1.%2."/>
      <w:lvlJc w:val="left"/>
      <w:pPr>
        <w:ind w:left="1102" w:hanging="375"/>
      </w:pPr>
      <w:rPr>
        <w:rFonts w:hint="default"/>
      </w:rPr>
    </w:lvl>
    <w:lvl w:ilvl="2">
      <w:start w:val="1"/>
      <w:numFmt w:val="decimal"/>
      <w:isLgl/>
      <w:lvlText w:val="%1.%2.%3."/>
      <w:lvlJc w:val="left"/>
      <w:pPr>
        <w:ind w:left="1447" w:hanging="720"/>
      </w:pPr>
      <w:rPr>
        <w:rFonts w:hint="default"/>
      </w:rPr>
    </w:lvl>
    <w:lvl w:ilvl="3">
      <w:start w:val="1"/>
      <w:numFmt w:val="decimal"/>
      <w:isLgl/>
      <w:lvlText w:val="%1.%2.%3.%4."/>
      <w:lvlJc w:val="left"/>
      <w:pPr>
        <w:ind w:left="1447" w:hanging="720"/>
      </w:pPr>
      <w:rPr>
        <w:rFonts w:hint="default"/>
      </w:rPr>
    </w:lvl>
    <w:lvl w:ilvl="4">
      <w:start w:val="1"/>
      <w:numFmt w:val="decimal"/>
      <w:isLgl/>
      <w:lvlText w:val="%1.%2.%3.%4.%5."/>
      <w:lvlJc w:val="left"/>
      <w:pPr>
        <w:ind w:left="1807" w:hanging="1080"/>
      </w:pPr>
      <w:rPr>
        <w:rFonts w:hint="default"/>
      </w:rPr>
    </w:lvl>
    <w:lvl w:ilvl="5">
      <w:start w:val="1"/>
      <w:numFmt w:val="decimal"/>
      <w:isLgl/>
      <w:lvlText w:val="%1.%2.%3.%4.%5.%6."/>
      <w:lvlJc w:val="left"/>
      <w:pPr>
        <w:ind w:left="1807" w:hanging="1080"/>
      </w:pPr>
      <w:rPr>
        <w:rFonts w:hint="default"/>
      </w:rPr>
    </w:lvl>
    <w:lvl w:ilvl="6">
      <w:start w:val="1"/>
      <w:numFmt w:val="decimal"/>
      <w:isLgl/>
      <w:lvlText w:val="%1.%2.%3.%4.%5.%6.%7."/>
      <w:lvlJc w:val="left"/>
      <w:pPr>
        <w:ind w:left="2167" w:hanging="1440"/>
      </w:pPr>
      <w:rPr>
        <w:rFonts w:hint="default"/>
      </w:rPr>
    </w:lvl>
    <w:lvl w:ilvl="7">
      <w:start w:val="1"/>
      <w:numFmt w:val="decimal"/>
      <w:isLgl/>
      <w:lvlText w:val="%1.%2.%3.%4.%5.%6.%7.%8."/>
      <w:lvlJc w:val="left"/>
      <w:pPr>
        <w:ind w:left="2167" w:hanging="1440"/>
      </w:pPr>
      <w:rPr>
        <w:rFonts w:hint="default"/>
      </w:rPr>
    </w:lvl>
    <w:lvl w:ilvl="8">
      <w:start w:val="1"/>
      <w:numFmt w:val="decimal"/>
      <w:isLgl/>
      <w:lvlText w:val="%1.%2.%3.%4.%5.%6.%7.%8.%9."/>
      <w:lvlJc w:val="left"/>
      <w:pPr>
        <w:ind w:left="2527" w:hanging="1800"/>
      </w:pPr>
      <w:rPr>
        <w:rFonts w:hint="default"/>
      </w:rPr>
    </w:lvl>
  </w:abstractNum>
  <w:abstractNum w:abstractNumId="205" w15:restartNumberingAfterBreak="0">
    <w:nsid w:val="332A0576"/>
    <w:multiLevelType w:val="multilevel"/>
    <w:tmpl w:val="4E2EBF14"/>
    <w:lvl w:ilvl="0">
      <w:start w:val="1"/>
      <w:numFmt w:val="decimal"/>
      <w:lvlText w:val="%1."/>
      <w:lvlJc w:val="left"/>
      <w:pPr>
        <w:ind w:left="450" w:hanging="360"/>
      </w:pPr>
      <w:rPr>
        <w:rFonts w:hint="default"/>
        <w:b/>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206" w15:restartNumberingAfterBreak="0">
    <w:nsid w:val="33655432"/>
    <w:multiLevelType w:val="multilevel"/>
    <w:tmpl w:val="833864D6"/>
    <w:lvl w:ilvl="0">
      <w:start w:val="1"/>
      <w:numFmt w:val="decimal"/>
      <w:lvlText w:val="%1."/>
      <w:lvlJc w:val="left"/>
      <w:pPr>
        <w:ind w:left="720" w:hanging="360"/>
      </w:pPr>
      <w:rPr>
        <w:rFonts w:cs="Sylfae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7" w15:restartNumberingAfterBreak="0">
    <w:nsid w:val="33D07CD9"/>
    <w:multiLevelType w:val="multilevel"/>
    <w:tmpl w:val="19DED588"/>
    <w:lvl w:ilvl="0">
      <w:start w:val="1"/>
      <w:numFmt w:val="decimal"/>
      <w:lvlText w:val="%1."/>
      <w:lvlJc w:val="left"/>
      <w:pPr>
        <w:ind w:left="360" w:hanging="360"/>
      </w:pPr>
      <w:rPr>
        <w:rFonts w:cstheme="minorBidi" w:hint="default"/>
        <w:b/>
        <w:color w:val="000000"/>
      </w:rPr>
    </w:lvl>
    <w:lvl w:ilvl="1">
      <w:start w:val="1"/>
      <w:numFmt w:val="decimal"/>
      <w:lvlText w:val="%1.%2."/>
      <w:lvlJc w:val="left"/>
      <w:pPr>
        <w:ind w:left="720" w:hanging="720"/>
      </w:pPr>
      <w:rPr>
        <w:rFonts w:cstheme="minorBidi" w:hint="default"/>
        <w:b/>
        <w:color w:val="000000"/>
      </w:rPr>
    </w:lvl>
    <w:lvl w:ilvl="2">
      <w:start w:val="1"/>
      <w:numFmt w:val="decimal"/>
      <w:lvlText w:val="%1.%2.%3."/>
      <w:lvlJc w:val="left"/>
      <w:pPr>
        <w:ind w:left="720" w:hanging="720"/>
      </w:pPr>
      <w:rPr>
        <w:rFonts w:cstheme="minorBidi" w:hint="default"/>
        <w:b w:val="0"/>
        <w:color w:val="000000"/>
      </w:rPr>
    </w:lvl>
    <w:lvl w:ilvl="3">
      <w:start w:val="1"/>
      <w:numFmt w:val="decimal"/>
      <w:lvlText w:val="%1.%2.%3.%4."/>
      <w:lvlJc w:val="left"/>
      <w:pPr>
        <w:ind w:left="1080" w:hanging="1080"/>
      </w:pPr>
      <w:rPr>
        <w:rFonts w:cstheme="minorBidi" w:hint="default"/>
        <w:b w:val="0"/>
        <w:color w:val="000000"/>
      </w:rPr>
    </w:lvl>
    <w:lvl w:ilvl="4">
      <w:start w:val="1"/>
      <w:numFmt w:val="decimal"/>
      <w:lvlText w:val="%1.%2.%3.%4.%5."/>
      <w:lvlJc w:val="left"/>
      <w:pPr>
        <w:ind w:left="1080" w:hanging="1080"/>
      </w:pPr>
      <w:rPr>
        <w:rFonts w:cstheme="minorBidi" w:hint="default"/>
        <w:b w:val="0"/>
        <w:color w:val="000000"/>
      </w:rPr>
    </w:lvl>
    <w:lvl w:ilvl="5">
      <w:start w:val="1"/>
      <w:numFmt w:val="decimal"/>
      <w:lvlText w:val="%1.%2.%3.%4.%5.%6."/>
      <w:lvlJc w:val="left"/>
      <w:pPr>
        <w:ind w:left="1440" w:hanging="1440"/>
      </w:pPr>
      <w:rPr>
        <w:rFonts w:cstheme="minorBidi" w:hint="default"/>
        <w:b w:val="0"/>
        <w:color w:val="000000"/>
      </w:rPr>
    </w:lvl>
    <w:lvl w:ilvl="6">
      <w:start w:val="1"/>
      <w:numFmt w:val="decimal"/>
      <w:lvlText w:val="%1.%2.%3.%4.%5.%6.%7."/>
      <w:lvlJc w:val="left"/>
      <w:pPr>
        <w:ind w:left="1800" w:hanging="1800"/>
      </w:pPr>
      <w:rPr>
        <w:rFonts w:cstheme="minorBidi" w:hint="default"/>
        <w:b w:val="0"/>
        <w:color w:val="000000"/>
      </w:rPr>
    </w:lvl>
    <w:lvl w:ilvl="7">
      <w:start w:val="1"/>
      <w:numFmt w:val="decimal"/>
      <w:lvlText w:val="%1.%2.%3.%4.%5.%6.%7.%8."/>
      <w:lvlJc w:val="left"/>
      <w:pPr>
        <w:ind w:left="1800" w:hanging="1800"/>
      </w:pPr>
      <w:rPr>
        <w:rFonts w:cstheme="minorBidi" w:hint="default"/>
        <w:b w:val="0"/>
        <w:color w:val="000000"/>
      </w:rPr>
    </w:lvl>
    <w:lvl w:ilvl="8">
      <w:start w:val="1"/>
      <w:numFmt w:val="decimal"/>
      <w:lvlText w:val="%1.%2.%3.%4.%5.%6.%7.%8.%9."/>
      <w:lvlJc w:val="left"/>
      <w:pPr>
        <w:ind w:left="2160" w:hanging="2160"/>
      </w:pPr>
      <w:rPr>
        <w:rFonts w:cstheme="minorBidi" w:hint="default"/>
        <w:b w:val="0"/>
        <w:color w:val="000000"/>
      </w:rPr>
    </w:lvl>
  </w:abstractNum>
  <w:abstractNum w:abstractNumId="208" w15:restartNumberingAfterBreak="0">
    <w:nsid w:val="344865A3"/>
    <w:multiLevelType w:val="multilevel"/>
    <w:tmpl w:val="929E467C"/>
    <w:lvl w:ilvl="0">
      <w:start w:val="1"/>
      <w:numFmt w:val="decimal"/>
      <w:lvlText w:val="%1."/>
      <w:lvlJc w:val="left"/>
      <w:pPr>
        <w:ind w:left="1170" w:hanging="360"/>
      </w:pPr>
      <w:rPr>
        <w:rFonts w:eastAsia="GHEAMariam-Bold" w:cs="GHEAMariam-Bold" w:hint="default"/>
        <w:b/>
      </w:rPr>
    </w:lvl>
    <w:lvl w:ilvl="1">
      <w:start w:val="1"/>
      <w:numFmt w:val="decimal"/>
      <w:isLgl/>
      <w:lvlText w:val="%1.%2"/>
      <w:lvlJc w:val="left"/>
      <w:pPr>
        <w:ind w:left="900" w:hanging="360"/>
      </w:pPr>
      <w:rPr>
        <w:rFonts w:hint="default"/>
        <w:b/>
      </w:rPr>
    </w:lvl>
    <w:lvl w:ilvl="2">
      <w:start w:val="1"/>
      <w:numFmt w:val="decimal"/>
      <w:isLgl/>
      <w:lvlText w:val="%1.%2.%3"/>
      <w:lvlJc w:val="left"/>
      <w:pPr>
        <w:ind w:left="1530" w:hanging="720"/>
      </w:pPr>
      <w:rPr>
        <w:rFonts w:hint="default"/>
        <w:b/>
      </w:rPr>
    </w:lvl>
    <w:lvl w:ilvl="3">
      <w:start w:val="1"/>
      <w:numFmt w:val="decimal"/>
      <w:isLgl/>
      <w:lvlText w:val="%1.%2.%3.%4"/>
      <w:lvlJc w:val="left"/>
      <w:pPr>
        <w:ind w:left="1890" w:hanging="1080"/>
      </w:pPr>
      <w:rPr>
        <w:rFonts w:hint="default"/>
        <w:b/>
      </w:rPr>
    </w:lvl>
    <w:lvl w:ilvl="4">
      <w:start w:val="1"/>
      <w:numFmt w:val="decimal"/>
      <w:isLgl/>
      <w:lvlText w:val="%1.%2.%3.%4.%5"/>
      <w:lvlJc w:val="left"/>
      <w:pPr>
        <w:ind w:left="1890" w:hanging="1080"/>
      </w:pPr>
      <w:rPr>
        <w:rFonts w:hint="default"/>
        <w:b/>
      </w:rPr>
    </w:lvl>
    <w:lvl w:ilvl="5">
      <w:start w:val="1"/>
      <w:numFmt w:val="decimal"/>
      <w:isLgl/>
      <w:lvlText w:val="%1.%2.%3.%4.%5.%6"/>
      <w:lvlJc w:val="left"/>
      <w:pPr>
        <w:ind w:left="2250" w:hanging="1440"/>
      </w:pPr>
      <w:rPr>
        <w:rFonts w:hint="default"/>
        <w:b/>
      </w:rPr>
    </w:lvl>
    <w:lvl w:ilvl="6">
      <w:start w:val="1"/>
      <w:numFmt w:val="decimal"/>
      <w:isLgl/>
      <w:lvlText w:val="%1.%2.%3.%4.%5.%6.%7"/>
      <w:lvlJc w:val="left"/>
      <w:pPr>
        <w:ind w:left="2250" w:hanging="1440"/>
      </w:pPr>
      <w:rPr>
        <w:rFonts w:hint="default"/>
        <w:b/>
      </w:rPr>
    </w:lvl>
    <w:lvl w:ilvl="7">
      <w:start w:val="1"/>
      <w:numFmt w:val="decimal"/>
      <w:isLgl/>
      <w:lvlText w:val="%1.%2.%3.%4.%5.%6.%7.%8"/>
      <w:lvlJc w:val="left"/>
      <w:pPr>
        <w:ind w:left="2610" w:hanging="1800"/>
      </w:pPr>
      <w:rPr>
        <w:rFonts w:hint="default"/>
        <w:b/>
      </w:rPr>
    </w:lvl>
    <w:lvl w:ilvl="8">
      <w:start w:val="1"/>
      <w:numFmt w:val="decimal"/>
      <w:isLgl/>
      <w:lvlText w:val="%1.%2.%3.%4.%5.%6.%7.%8.%9"/>
      <w:lvlJc w:val="left"/>
      <w:pPr>
        <w:ind w:left="2970" w:hanging="2160"/>
      </w:pPr>
      <w:rPr>
        <w:rFonts w:hint="default"/>
        <w:b/>
      </w:rPr>
    </w:lvl>
  </w:abstractNum>
  <w:abstractNum w:abstractNumId="209" w15:restartNumberingAfterBreak="0">
    <w:nsid w:val="34724A61"/>
    <w:multiLevelType w:val="hybridMultilevel"/>
    <w:tmpl w:val="061A9250"/>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210" w15:restartNumberingAfterBreak="0">
    <w:nsid w:val="347707FA"/>
    <w:multiLevelType w:val="multilevel"/>
    <w:tmpl w:val="8A44B89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1" w15:restartNumberingAfterBreak="0">
    <w:nsid w:val="347C3A28"/>
    <w:multiLevelType w:val="hybridMultilevel"/>
    <w:tmpl w:val="BBA8D6D4"/>
    <w:lvl w:ilvl="0" w:tplc="C3284652">
      <w:start w:val="12"/>
      <w:numFmt w:val="bullet"/>
      <w:lvlText w:val="-"/>
      <w:lvlJc w:val="left"/>
      <w:pPr>
        <w:ind w:left="1571" w:hanging="360"/>
      </w:pPr>
      <w:rPr>
        <w:rFonts w:ascii="Sylfaen" w:eastAsia="Times New Roman" w:hAnsi="Sylfae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2" w15:restartNumberingAfterBreak="0">
    <w:nsid w:val="34DE685F"/>
    <w:multiLevelType w:val="hybridMultilevel"/>
    <w:tmpl w:val="A0AC8DFC"/>
    <w:lvl w:ilvl="0" w:tplc="3A6CCCC0">
      <w:start w:val="1"/>
      <w:numFmt w:val="decimal"/>
      <w:lvlText w:val="%1)"/>
      <w:lvlJc w:val="left"/>
      <w:pPr>
        <w:ind w:left="735" w:hanging="36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213" w15:restartNumberingAfterBreak="0">
    <w:nsid w:val="350257C0"/>
    <w:multiLevelType w:val="multilevel"/>
    <w:tmpl w:val="6B9258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4" w15:restartNumberingAfterBreak="0">
    <w:nsid w:val="35D02506"/>
    <w:multiLevelType w:val="multilevel"/>
    <w:tmpl w:val="2902A55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15" w15:restartNumberingAfterBreak="0">
    <w:nsid w:val="35D73FAB"/>
    <w:multiLevelType w:val="multilevel"/>
    <w:tmpl w:val="6896BC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6" w15:restartNumberingAfterBreak="0">
    <w:nsid w:val="36337B73"/>
    <w:multiLevelType w:val="multilevel"/>
    <w:tmpl w:val="F5401B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7" w15:restartNumberingAfterBreak="0">
    <w:nsid w:val="36506A22"/>
    <w:multiLevelType w:val="hybridMultilevel"/>
    <w:tmpl w:val="373A3A1C"/>
    <w:lvl w:ilvl="0" w:tplc="C8723F48">
      <w:start w:val="1"/>
      <w:numFmt w:val="decimal"/>
      <w:lvlText w:val="%1)"/>
      <w:lvlJc w:val="left"/>
      <w:pPr>
        <w:ind w:left="735" w:hanging="360"/>
      </w:pPr>
      <w:rPr>
        <w:rFonts w:cs="GHEA Grapalat"/>
      </w:r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218" w15:restartNumberingAfterBreak="0">
    <w:nsid w:val="3693751B"/>
    <w:multiLevelType w:val="multilevel"/>
    <w:tmpl w:val="9B720B2A"/>
    <w:lvl w:ilvl="0">
      <w:start w:val="1"/>
      <w:numFmt w:val="decimal"/>
      <w:lvlText w:val="%1."/>
      <w:lvlJc w:val="left"/>
      <w:pPr>
        <w:ind w:left="375" w:hanging="375"/>
      </w:pPr>
    </w:lvl>
    <w:lvl w:ilvl="1">
      <w:start w:val="1"/>
      <w:numFmt w:val="decimal"/>
      <w:lvlText w:val="%1.%2."/>
      <w:lvlJc w:val="left"/>
      <w:pPr>
        <w:ind w:left="1170" w:hanging="720"/>
      </w:pPr>
    </w:lvl>
    <w:lvl w:ilvl="2">
      <w:start w:val="1"/>
      <w:numFmt w:val="decimal"/>
      <w:lvlText w:val="%1.%2.%3."/>
      <w:lvlJc w:val="left"/>
      <w:pPr>
        <w:ind w:left="1620" w:hanging="720"/>
      </w:pPr>
    </w:lvl>
    <w:lvl w:ilvl="3">
      <w:start w:val="1"/>
      <w:numFmt w:val="decimal"/>
      <w:lvlText w:val="%1.%2.%3.%4."/>
      <w:lvlJc w:val="left"/>
      <w:pPr>
        <w:ind w:left="2430" w:hanging="1080"/>
      </w:pPr>
    </w:lvl>
    <w:lvl w:ilvl="4">
      <w:start w:val="1"/>
      <w:numFmt w:val="decimal"/>
      <w:lvlText w:val="%1.%2.%3.%4.%5."/>
      <w:lvlJc w:val="left"/>
      <w:pPr>
        <w:ind w:left="2880" w:hanging="1080"/>
      </w:pPr>
    </w:lvl>
    <w:lvl w:ilvl="5">
      <w:start w:val="1"/>
      <w:numFmt w:val="decimal"/>
      <w:lvlText w:val="%1.%2.%3.%4.%5.%6."/>
      <w:lvlJc w:val="left"/>
      <w:pPr>
        <w:ind w:left="3690" w:hanging="1440"/>
      </w:pPr>
    </w:lvl>
    <w:lvl w:ilvl="6">
      <w:start w:val="1"/>
      <w:numFmt w:val="decimal"/>
      <w:lvlText w:val="%1.%2.%3.%4.%5.%6.%7."/>
      <w:lvlJc w:val="left"/>
      <w:pPr>
        <w:ind w:left="4140" w:hanging="1440"/>
      </w:pPr>
    </w:lvl>
    <w:lvl w:ilvl="7">
      <w:start w:val="1"/>
      <w:numFmt w:val="decimal"/>
      <w:lvlText w:val="%1.%2.%3.%4.%5.%6.%7.%8."/>
      <w:lvlJc w:val="left"/>
      <w:pPr>
        <w:ind w:left="4950" w:hanging="1800"/>
      </w:pPr>
    </w:lvl>
    <w:lvl w:ilvl="8">
      <w:start w:val="1"/>
      <w:numFmt w:val="decimal"/>
      <w:lvlText w:val="%1.%2.%3.%4.%5.%6.%7.%8.%9."/>
      <w:lvlJc w:val="left"/>
      <w:pPr>
        <w:ind w:left="5400" w:hanging="1800"/>
      </w:pPr>
    </w:lvl>
  </w:abstractNum>
  <w:abstractNum w:abstractNumId="219" w15:restartNumberingAfterBreak="0">
    <w:nsid w:val="36977B0D"/>
    <w:multiLevelType w:val="multilevel"/>
    <w:tmpl w:val="AB9889D0"/>
    <w:styleLink w:val="WW8Num1921"/>
    <w:lvl w:ilvl="0">
      <w:start w:val="1"/>
      <w:numFmt w:val="decimal"/>
      <w:lvlText w:val="%1."/>
      <w:lvlJc w:val="left"/>
      <w:pPr>
        <w:tabs>
          <w:tab w:val="num" w:pos="1440"/>
        </w:tabs>
        <w:ind w:left="1440" w:hanging="360"/>
      </w:pPr>
      <w:rPr>
        <w:lang w:val="af-ZA"/>
      </w:rPr>
    </w:lvl>
    <w:lvl w:ilvl="1">
      <w:start w:val="1"/>
      <w:numFmt w:val="decimal"/>
      <w:isLgl/>
      <w:lvlText w:val="%1.%2."/>
      <w:lvlJc w:val="left"/>
      <w:pPr>
        <w:ind w:left="2880" w:hanging="720"/>
      </w:pPr>
      <w:rPr>
        <w:rFonts w:cs="Sylfaen" w:hint="default"/>
      </w:rPr>
    </w:lvl>
    <w:lvl w:ilvl="2">
      <w:start w:val="1"/>
      <w:numFmt w:val="decimal"/>
      <w:isLgl/>
      <w:lvlText w:val="%1.%2.%3."/>
      <w:lvlJc w:val="left"/>
      <w:pPr>
        <w:ind w:left="3960" w:hanging="720"/>
      </w:pPr>
      <w:rPr>
        <w:rFonts w:cs="Sylfaen" w:hint="default"/>
      </w:rPr>
    </w:lvl>
    <w:lvl w:ilvl="3">
      <w:start w:val="1"/>
      <w:numFmt w:val="decimal"/>
      <w:isLgl/>
      <w:lvlText w:val="%1.%2.%3.%4."/>
      <w:lvlJc w:val="left"/>
      <w:pPr>
        <w:ind w:left="5400" w:hanging="1080"/>
      </w:pPr>
      <w:rPr>
        <w:rFonts w:cs="Sylfaen" w:hint="default"/>
      </w:rPr>
    </w:lvl>
    <w:lvl w:ilvl="4">
      <w:start w:val="1"/>
      <w:numFmt w:val="decimal"/>
      <w:isLgl/>
      <w:lvlText w:val="%1.%2.%3.%4.%5."/>
      <w:lvlJc w:val="left"/>
      <w:pPr>
        <w:ind w:left="6480" w:hanging="1080"/>
      </w:pPr>
      <w:rPr>
        <w:rFonts w:cs="Sylfaen" w:hint="default"/>
      </w:rPr>
    </w:lvl>
    <w:lvl w:ilvl="5">
      <w:start w:val="1"/>
      <w:numFmt w:val="decimal"/>
      <w:isLgl/>
      <w:lvlText w:val="%1.%2.%3.%4.%5.%6."/>
      <w:lvlJc w:val="left"/>
      <w:pPr>
        <w:ind w:left="7920" w:hanging="1440"/>
      </w:pPr>
      <w:rPr>
        <w:rFonts w:cs="Sylfaen" w:hint="default"/>
      </w:rPr>
    </w:lvl>
    <w:lvl w:ilvl="6">
      <w:start w:val="1"/>
      <w:numFmt w:val="decimal"/>
      <w:isLgl/>
      <w:lvlText w:val="%1.%2.%3.%4.%5.%6.%7."/>
      <w:lvlJc w:val="left"/>
      <w:pPr>
        <w:ind w:left="9360" w:hanging="1800"/>
      </w:pPr>
      <w:rPr>
        <w:rFonts w:cs="Sylfaen" w:hint="default"/>
      </w:rPr>
    </w:lvl>
    <w:lvl w:ilvl="7">
      <w:start w:val="1"/>
      <w:numFmt w:val="decimal"/>
      <w:isLgl/>
      <w:lvlText w:val="%1.%2.%3.%4.%5.%6.%7.%8."/>
      <w:lvlJc w:val="left"/>
      <w:pPr>
        <w:ind w:left="10440" w:hanging="1800"/>
      </w:pPr>
      <w:rPr>
        <w:rFonts w:cs="Sylfaen" w:hint="default"/>
      </w:rPr>
    </w:lvl>
    <w:lvl w:ilvl="8">
      <w:start w:val="1"/>
      <w:numFmt w:val="decimal"/>
      <w:isLgl/>
      <w:lvlText w:val="%1.%2.%3.%4.%5.%6.%7.%8.%9."/>
      <w:lvlJc w:val="left"/>
      <w:pPr>
        <w:ind w:left="11880" w:hanging="2160"/>
      </w:pPr>
      <w:rPr>
        <w:rFonts w:cs="Sylfaen" w:hint="default"/>
      </w:rPr>
    </w:lvl>
  </w:abstractNum>
  <w:abstractNum w:abstractNumId="220" w15:restartNumberingAfterBreak="0">
    <w:nsid w:val="374F7E93"/>
    <w:multiLevelType w:val="multilevel"/>
    <w:tmpl w:val="ACEC4DD8"/>
    <w:lvl w:ilvl="0">
      <w:start w:val="1"/>
      <w:numFmt w:val="decimal"/>
      <w:lvlText w:val="%1."/>
      <w:lvlJc w:val="left"/>
      <w:pPr>
        <w:ind w:left="734" w:hanging="360"/>
      </w:pPr>
      <w:rPr>
        <w:rFonts w:hint="default"/>
        <w:b/>
      </w:rPr>
    </w:lvl>
    <w:lvl w:ilvl="1">
      <w:start w:val="1"/>
      <w:numFmt w:val="decimal"/>
      <w:isLgl/>
      <w:lvlText w:val="%1.%2."/>
      <w:lvlJc w:val="left"/>
      <w:pPr>
        <w:ind w:left="734" w:hanging="360"/>
      </w:pPr>
      <w:rPr>
        <w:rFonts w:hint="default"/>
        <w:b/>
      </w:rPr>
    </w:lvl>
    <w:lvl w:ilvl="2">
      <w:start w:val="1"/>
      <w:numFmt w:val="decimal"/>
      <w:isLgl/>
      <w:lvlText w:val="%1.%2.%3."/>
      <w:lvlJc w:val="left"/>
      <w:pPr>
        <w:ind w:left="1094" w:hanging="720"/>
      </w:pPr>
      <w:rPr>
        <w:rFonts w:hint="default"/>
        <w:b/>
      </w:rPr>
    </w:lvl>
    <w:lvl w:ilvl="3">
      <w:start w:val="1"/>
      <w:numFmt w:val="decimal"/>
      <w:isLgl/>
      <w:lvlText w:val="%1.%2.%3.%4."/>
      <w:lvlJc w:val="left"/>
      <w:pPr>
        <w:ind w:left="1094" w:hanging="720"/>
      </w:pPr>
      <w:rPr>
        <w:rFonts w:hint="default"/>
        <w:b/>
      </w:rPr>
    </w:lvl>
    <w:lvl w:ilvl="4">
      <w:start w:val="1"/>
      <w:numFmt w:val="decimal"/>
      <w:isLgl/>
      <w:lvlText w:val="%1.%2.%3.%4.%5."/>
      <w:lvlJc w:val="left"/>
      <w:pPr>
        <w:ind w:left="1454" w:hanging="1080"/>
      </w:pPr>
      <w:rPr>
        <w:rFonts w:hint="default"/>
        <w:b/>
      </w:rPr>
    </w:lvl>
    <w:lvl w:ilvl="5">
      <w:start w:val="1"/>
      <w:numFmt w:val="decimal"/>
      <w:isLgl/>
      <w:lvlText w:val="%1.%2.%3.%4.%5.%6."/>
      <w:lvlJc w:val="left"/>
      <w:pPr>
        <w:ind w:left="1454" w:hanging="1080"/>
      </w:pPr>
      <w:rPr>
        <w:rFonts w:hint="default"/>
        <w:b/>
      </w:rPr>
    </w:lvl>
    <w:lvl w:ilvl="6">
      <w:start w:val="1"/>
      <w:numFmt w:val="decimal"/>
      <w:isLgl/>
      <w:lvlText w:val="%1.%2.%3.%4.%5.%6.%7."/>
      <w:lvlJc w:val="left"/>
      <w:pPr>
        <w:ind w:left="1814" w:hanging="1440"/>
      </w:pPr>
      <w:rPr>
        <w:rFonts w:hint="default"/>
        <w:b/>
      </w:rPr>
    </w:lvl>
    <w:lvl w:ilvl="7">
      <w:start w:val="1"/>
      <w:numFmt w:val="decimal"/>
      <w:isLgl/>
      <w:lvlText w:val="%1.%2.%3.%4.%5.%6.%7.%8."/>
      <w:lvlJc w:val="left"/>
      <w:pPr>
        <w:ind w:left="1814" w:hanging="1440"/>
      </w:pPr>
      <w:rPr>
        <w:rFonts w:hint="default"/>
        <w:b/>
      </w:rPr>
    </w:lvl>
    <w:lvl w:ilvl="8">
      <w:start w:val="1"/>
      <w:numFmt w:val="decimal"/>
      <w:isLgl/>
      <w:lvlText w:val="%1.%2.%3.%4.%5.%6.%7.%8.%9."/>
      <w:lvlJc w:val="left"/>
      <w:pPr>
        <w:ind w:left="2174" w:hanging="1800"/>
      </w:pPr>
      <w:rPr>
        <w:rFonts w:hint="default"/>
        <w:b/>
      </w:rPr>
    </w:lvl>
  </w:abstractNum>
  <w:abstractNum w:abstractNumId="221" w15:restartNumberingAfterBreak="0">
    <w:nsid w:val="3783547C"/>
    <w:multiLevelType w:val="multilevel"/>
    <w:tmpl w:val="EBE682C2"/>
    <w:lvl w:ilvl="0">
      <w:start w:val="1"/>
      <w:numFmt w:val="decimal"/>
      <w:lvlText w:val="%1."/>
      <w:lvlJc w:val="left"/>
      <w:pPr>
        <w:ind w:left="1440" w:hanging="360"/>
      </w:pPr>
      <w:rPr>
        <w:rFonts w:cs="Sylfaen" w:hint="default"/>
      </w:rPr>
    </w:lvl>
    <w:lvl w:ilvl="1">
      <w:start w:val="1"/>
      <w:numFmt w:val="decimal"/>
      <w:isLgl/>
      <w:lvlText w:val="%1.%2."/>
      <w:lvlJc w:val="left"/>
      <w:pPr>
        <w:ind w:left="180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22" w15:restartNumberingAfterBreak="0">
    <w:nsid w:val="37D240ED"/>
    <w:multiLevelType w:val="multilevel"/>
    <w:tmpl w:val="AFE6898E"/>
    <w:lvl w:ilvl="0">
      <w:start w:val="1"/>
      <w:numFmt w:val="decimal"/>
      <w:lvlText w:val="%1."/>
      <w:lvlJc w:val="left"/>
      <w:pPr>
        <w:ind w:left="450" w:hanging="360"/>
      </w:pPr>
      <w:rPr>
        <w:rFonts w:hint="default"/>
        <w:b/>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223" w15:restartNumberingAfterBreak="0">
    <w:nsid w:val="38125163"/>
    <w:multiLevelType w:val="multilevel"/>
    <w:tmpl w:val="F1B2C88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440" w:hanging="108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800" w:hanging="1440"/>
      </w:pPr>
      <w:rPr>
        <w:rFonts w:cs="Sylfaen" w:hint="default"/>
      </w:rPr>
    </w:lvl>
    <w:lvl w:ilvl="6">
      <w:start w:val="1"/>
      <w:numFmt w:val="decimal"/>
      <w:isLgl/>
      <w:lvlText w:val="%1.%2.%3.%4.%5.%6.%7."/>
      <w:lvlJc w:val="left"/>
      <w:pPr>
        <w:ind w:left="2160" w:hanging="1800"/>
      </w:pPr>
      <w:rPr>
        <w:rFonts w:cs="Sylfaen" w:hint="default"/>
      </w:rPr>
    </w:lvl>
    <w:lvl w:ilvl="7">
      <w:start w:val="1"/>
      <w:numFmt w:val="decimal"/>
      <w:isLgl/>
      <w:lvlText w:val="%1.%2.%3.%4.%5.%6.%7.%8."/>
      <w:lvlJc w:val="left"/>
      <w:pPr>
        <w:ind w:left="2160" w:hanging="1800"/>
      </w:pPr>
      <w:rPr>
        <w:rFonts w:cs="Sylfaen" w:hint="default"/>
      </w:rPr>
    </w:lvl>
    <w:lvl w:ilvl="8">
      <w:start w:val="1"/>
      <w:numFmt w:val="decimal"/>
      <w:isLgl/>
      <w:lvlText w:val="%1.%2.%3.%4.%5.%6.%7.%8.%9."/>
      <w:lvlJc w:val="left"/>
      <w:pPr>
        <w:ind w:left="2520" w:hanging="2160"/>
      </w:pPr>
      <w:rPr>
        <w:rFonts w:cs="Sylfaen" w:hint="default"/>
      </w:rPr>
    </w:lvl>
  </w:abstractNum>
  <w:abstractNum w:abstractNumId="224" w15:restartNumberingAfterBreak="0">
    <w:nsid w:val="38276CE3"/>
    <w:multiLevelType w:val="hybridMultilevel"/>
    <w:tmpl w:val="0BA40DB2"/>
    <w:lvl w:ilvl="0" w:tplc="0409000F">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25" w15:restartNumberingAfterBreak="0">
    <w:nsid w:val="389E4FA2"/>
    <w:multiLevelType w:val="multilevel"/>
    <w:tmpl w:val="06928C4A"/>
    <w:lvl w:ilvl="0">
      <w:start w:val="1"/>
      <w:numFmt w:val="decimal"/>
      <w:lvlText w:val="%1."/>
      <w:lvlJc w:val="left"/>
      <w:pPr>
        <w:ind w:left="540" w:hanging="360"/>
      </w:pPr>
      <w:rPr>
        <w:rFonts w:cs="Times New Roman" w:hint="default"/>
      </w:rPr>
    </w:lvl>
    <w:lvl w:ilvl="1">
      <w:start w:val="1"/>
      <w:numFmt w:val="decimal"/>
      <w:isLgl/>
      <w:lvlText w:val="%1.%2."/>
      <w:lvlJc w:val="left"/>
      <w:pPr>
        <w:ind w:left="81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710" w:hanging="720"/>
      </w:pPr>
      <w:rPr>
        <w:rFonts w:cs="Times New Roman" w:hint="default"/>
      </w:rPr>
    </w:lvl>
    <w:lvl w:ilvl="4">
      <w:start w:val="1"/>
      <w:numFmt w:val="decimal"/>
      <w:isLgl/>
      <w:lvlText w:val="%1.%2.%3.%4.%5."/>
      <w:lvlJc w:val="left"/>
      <w:pPr>
        <w:ind w:left="2340" w:hanging="1080"/>
      </w:pPr>
      <w:rPr>
        <w:rFonts w:cs="Times New Roman" w:hint="default"/>
      </w:rPr>
    </w:lvl>
    <w:lvl w:ilvl="5">
      <w:start w:val="1"/>
      <w:numFmt w:val="decimal"/>
      <w:isLgl/>
      <w:lvlText w:val="%1.%2.%3.%4.%5.%6."/>
      <w:lvlJc w:val="left"/>
      <w:pPr>
        <w:ind w:left="2610" w:hanging="1080"/>
      </w:pPr>
      <w:rPr>
        <w:rFonts w:cs="Times New Roman" w:hint="default"/>
      </w:rPr>
    </w:lvl>
    <w:lvl w:ilvl="6">
      <w:start w:val="1"/>
      <w:numFmt w:val="decimal"/>
      <w:isLgl/>
      <w:lvlText w:val="%1.%2.%3.%4.%5.%6.%7."/>
      <w:lvlJc w:val="left"/>
      <w:pPr>
        <w:ind w:left="3240" w:hanging="1440"/>
      </w:pPr>
      <w:rPr>
        <w:rFonts w:cs="Times New Roman" w:hint="default"/>
      </w:rPr>
    </w:lvl>
    <w:lvl w:ilvl="7">
      <w:start w:val="1"/>
      <w:numFmt w:val="decimal"/>
      <w:isLgl/>
      <w:lvlText w:val="%1.%2.%3.%4.%5.%6.%7.%8."/>
      <w:lvlJc w:val="left"/>
      <w:pPr>
        <w:ind w:left="3510" w:hanging="1440"/>
      </w:pPr>
      <w:rPr>
        <w:rFonts w:cs="Times New Roman" w:hint="default"/>
      </w:rPr>
    </w:lvl>
    <w:lvl w:ilvl="8">
      <w:start w:val="1"/>
      <w:numFmt w:val="decimal"/>
      <w:isLgl/>
      <w:lvlText w:val="%1.%2.%3.%4.%5.%6.%7.%8.%9."/>
      <w:lvlJc w:val="left"/>
      <w:pPr>
        <w:ind w:left="4140" w:hanging="1800"/>
      </w:pPr>
      <w:rPr>
        <w:rFonts w:cs="Times New Roman" w:hint="default"/>
      </w:rPr>
    </w:lvl>
  </w:abstractNum>
  <w:abstractNum w:abstractNumId="226" w15:restartNumberingAfterBreak="0">
    <w:nsid w:val="38DD28DC"/>
    <w:multiLevelType w:val="multilevel"/>
    <w:tmpl w:val="DFCC55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7" w15:restartNumberingAfterBreak="0">
    <w:nsid w:val="39257219"/>
    <w:multiLevelType w:val="multilevel"/>
    <w:tmpl w:val="AA40D77A"/>
    <w:styleLink w:val="WW8Num19"/>
    <w:lvl w:ilvl="0">
      <w:start w:val="1"/>
      <w:numFmt w:val="decimal"/>
      <w:lvlText w:val="%1."/>
      <w:lvlJc w:val="left"/>
      <w:pPr>
        <w:ind w:left="0" w:firstLine="0"/>
      </w:pPr>
      <w:rPr>
        <w:rFonts w:ascii="GHEA Grapalat" w:hAnsi="GHEA Grapalat" w:cs="GHEA Grapalat"/>
        <w:b/>
        <w:bCs/>
        <w:lang w:val="ru-RU"/>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28" w15:restartNumberingAfterBreak="0">
    <w:nsid w:val="39332224"/>
    <w:multiLevelType w:val="hybridMultilevel"/>
    <w:tmpl w:val="C1C41368"/>
    <w:lvl w:ilvl="0" w:tplc="F536A318">
      <w:start w:val="1"/>
      <w:numFmt w:val="decimal"/>
      <w:lvlText w:val="%1."/>
      <w:lvlJc w:val="left"/>
      <w:pPr>
        <w:ind w:left="720" w:hanging="360"/>
      </w:pPr>
      <w:rPr>
        <w:rFonts w:cs="Sylfae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39681952"/>
    <w:multiLevelType w:val="multilevel"/>
    <w:tmpl w:val="3376B584"/>
    <w:lvl w:ilvl="0">
      <w:start w:val="1"/>
      <w:numFmt w:val="decimal"/>
      <w:lvlText w:val="%1."/>
      <w:lvlJc w:val="left"/>
      <w:pPr>
        <w:ind w:left="360" w:hanging="36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230" w15:restartNumberingAfterBreak="0">
    <w:nsid w:val="397164F7"/>
    <w:multiLevelType w:val="multilevel"/>
    <w:tmpl w:val="9608211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GHEA Grapalat" w:hAnsi="GHEA Grapalat" w:cs="Sylfaen" w:hint="default"/>
      </w:rPr>
    </w:lvl>
    <w:lvl w:ilvl="2">
      <w:start w:val="1"/>
      <w:numFmt w:val="decimal"/>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231" w15:restartNumberingAfterBreak="0">
    <w:nsid w:val="397907E1"/>
    <w:multiLevelType w:val="hybridMultilevel"/>
    <w:tmpl w:val="74BE2E5A"/>
    <w:lvl w:ilvl="0" w:tplc="D13A27AC">
      <w:start w:val="1"/>
      <w:numFmt w:val="decimal"/>
      <w:lvlText w:val="%1."/>
      <w:lvlJc w:val="left"/>
      <w:pPr>
        <w:ind w:left="1079" w:hanging="360"/>
      </w:pPr>
      <w:rPr>
        <w:rFonts w:cs="Sylfaen" w:hint="default"/>
      </w:rPr>
    </w:lvl>
    <w:lvl w:ilvl="1" w:tplc="04090019">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232" w15:restartNumberingAfterBreak="0">
    <w:nsid w:val="397B6B67"/>
    <w:multiLevelType w:val="multilevel"/>
    <w:tmpl w:val="C810C1EC"/>
    <w:lvl w:ilvl="0">
      <w:start w:val="1"/>
      <w:numFmt w:val="decimal"/>
      <w:lvlText w:val="%1."/>
      <w:lvlJc w:val="left"/>
      <w:pPr>
        <w:ind w:left="1095" w:hanging="360"/>
      </w:pPr>
      <w:rPr>
        <w:rFonts w:hint="default"/>
        <w:b/>
      </w:rPr>
    </w:lvl>
    <w:lvl w:ilvl="1">
      <w:start w:val="1"/>
      <w:numFmt w:val="decimal"/>
      <w:isLgl/>
      <w:lvlText w:val="%1.%2"/>
      <w:lvlJc w:val="left"/>
      <w:pPr>
        <w:ind w:left="1287" w:hanging="360"/>
      </w:pPr>
      <w:rPr>
        <w:rFonts w:hint="default"/>
      </w:rPr>
    </w:lvl>
    <w:lvl w:ilvl="2">
      <w:start w:val="1"/>
      <w:numFmt w:val="decimal"/>
      <w:isLgl/>
      <w:lvlText w:val="%1.%2.%3"/>
      <w:lvlJc w:val="left"/>
      <w:pPr>
        <w:ind w:left="1839" w:hanging="720"/>
      </w:pPr>
      <w:rPr>
        <w:rFonts w:hint="default"/>
      </w:rPr>
    </w:lvl>
    <w:lvl w:ilvl="3">
      <w:start w:val="1"/>
      <w:numFmt w:val="decimal"/>
      <w:isLgl/>
      <w:lvlText w:val="%1.%2.%3.%4"/>
      <w:lvlJc w:val="left"/>
      <w:pPr>
        <w:ind w:left="2391" w:hanging="1080"/>
      </w:pPr>
      <w:rPr>
        <w:rFonts w:hint="default"/>
      </w:rPr>
    </w:lvl>
    <w:lvl w:ilvl="4">
      <w:start w:val="1"/>
      <w:numFmt w:val="decimal"/>
      <w:isLgl/>
      <w:lvlText w:val="%1.%2.%3.%4.%5"/>
      <w:lvlJc w:val="left"/>
      <w:pPr>
        <w:ind w:left="2583" w:hanging="1080"/>
      </w:pPr>
      <w:rPr>
        <w:rFonts w:hint="default"/>
      </w:rPr>
    </w:lvl>
    <w:lvl w:ilvl="5">
      <w:start w:val="1"/>
      <w:numFmt w:val="decimal"/>
      <w:isLgl/>
      <w:lvlText w:val="%1.%2.%3.%4.%5.%6"/>
      <w:lvlJc w:val="left"/>
      <w:pPr>
        <w:ind w:left="3135" w:hanging="1440"/>
      </w:pPr>
      <w:rPr>
        <w:rFonts w:hint="default"/>
      </w:rPr>
    </w:lvl>
    <w:lvl w:ilvl="6">
      <w:start w:val="1"/>
      <w:numFmt w:val="decimal"/>
      <w:isLgl/>
      <w:lvlText w:val="%1.%2.%3.%4.%5.%6.%7"/>
      <w:lvlJc w:val="left"/>
      <w:pPr>
        <w:ind w:left="3327" w:hanging="1440"/>
      </w:pPr>
      <w:rPr>
        <w:rFonts w:hint="default"/>
      </w:rPr>
    </w:lvl>
    <w:lvl w:ilvl="7">
      <w:start w:val="1"/>
      <w:numFmt w:val="decimal"/>
      <w:isLgl/>
      <w:lvlText w:val="%1.%2.%3.%4.%5.%6.%7.%8"/>
      <w:lvlJc w:val="left"/>
      <w:pPr>
        <w:ind w:left="3879" w:hanging="1800"/>
      </w:pPr>
      <w:rPr>
        <w:rFonts w:hint="default"/>
      </w:rPr>
    </w:lvl>
    <w:lvl w:ilvl="8">
      <w:start w:val="1"/>
      <w:numFmt w:val="decimal"/>
      <w:isLgl/>
      <w:lvlText w:val="%1.%2.%3.%4.%5.%6.%7.%8.%9"/>
      <w:lvlJc w:val="left"/>
      <w:pPr>
        <w:ind w:left="4431" w:hanging="2160"/>
      </w:pPr>
      <w:rPr>
        <w:rFonts w:hint="default"/>
      </w:rPr>
    </w:lvl>
  </w:abstractNum>
  <w:abstractNum w:abstractNumId="233" w15:restartNumberingAfterBreak="0">
    <w:nsid w:val="397C0502"/>
    <w:multiLevelType w:val="multilevel"/>
    <w:tmpl w:val="A87077BE"/>
    <w:lvl w:ilvl="0">
      <w:start w:val="1"/>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4" w15:restartNumberingAfterBreak="0">
    <w:nsid w:val="3991226F"/>
    <w:multiLevelType w:val="multilevel"/>
    <w:tmpl w:val="AF1A129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5" w15:restartNumberingAfterBreak="0">
    <w:nsid w:val="39CB52AC"/>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236" w15:restartNumberingAfterBreak="0">
    <w:nsid w:val="3A60326B"/>
    <w:multiLevelType w:val="multilevel"/>
    <w:tmpl w:val="13806D16"/>
    <w:lvl w:ilvl="0">
      <w:start w:val="1"/>
      <w:numFmt w:val="decimal"/>
      <w:lvlText w:val="%1."/>
      <w:lvlJc w:val="left"/>
      <w:pPr>
        <w:ind w:left="1080" w:hanging="360"/>
      </w:pPr>
      <w:rPr>
        <w:rFonts w:cs="Arial"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7" w15:restartNumberingAfterBreak="0">
    <w:nsid w:val="3AA80BFB"/>
    <w:multiLevelType w:val="multilevel"/>
    <w:tmpl w:val="E900695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238" w15:restartNumberingAfterBreak="0">
    <w:nsid w:val="3B0205A6"/>
    <w:multiLevelType w:val="multilevel"/>
    <w:tmpl w:val="35D0B6A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9" w15:restartNumberingAfterBreak="0">
    <w:nsid w:val="3B3233A4"/>
    <w:multiLevelType w:val="hybridMultilevel"/>
    <w:tmpl w:val="C6902E64"/>
    <w:lvl w:ilvl="0" w:tplc="FE12AC20">
      <w:start w:val="1"/>
      <w:numFmt w:val="decimal"/>
      <w:lvlText w:val="%1."/>
      <w:lvlJc w:val="left"/>
      <w:pPr>
        <w:ind w:left="735" w:hanging="360"/>
      </w:pPr>
      <w:rPr>
        <w:rFonts w:hint="default"/>
      </w:rPr>
    </w:lvl>
    <w:lvl w:ilvl="1" w:tplc="04190019">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40" w15:restartNumberingAfterBreak="0">
    <w:nsid w:val="3BAC79DB"/>
    <w:multiLevelType w:val="hybridMultilevel"/>
    <w:tmpl w:val="D0807E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1" w15:restartNumberingAfterBreak="0">
    <w:nsid w:val="3BE62A08"/>
    <w:multiLevelType w:val="hybridMultilevel"/>
    <w:tmpl w:val="2FA2D822"/>
    <w:lvl w:ilvl="0" w:tplc="33C6A680">
      <w:start w:val="1"/>
      <w:numFmt w:val="bullet"/>
      <w:lvlText w:val="-"/>
      <w:lvlJc w:val="left"/>
      <w:pPr>
        <w:ind w:left="1287" w:hanging="360"/>
      </w:pPr>
      <w:rPr>
        <w:rFonts w:ascii="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42" w15:restartNumberingAfterBreak="0">
    <w:nsid w:val="3C11205B"/>
    <w:multiLevelType w:val="multilevel"/>
    <w:tmpl w:val="DBB67C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3" w15:restartNumberingAfterBreak="0">
    <w:nsid w:val="3CA53CE3"/>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244" w15:restartNumberingAfterBreak="0">
    <w:nsid w:val="3E4F2628"/>
    <w:multiLevelType w:val="multilevel"/>
    <w:tmpl w:val="C8948C12"/>
    <w:lvl w:ilvl="0">
      <w:start w:val="1"/>
      <w:numFmt w:val="decimal"/>
      <w:lvlText w:val="%1."/>
      <w:lvlJc w:val="left"/>
      <w:pPr>
        <w:ind w:left="150" w:hanging="360"/>
      </w:pPr>
      <w:rPr>
        <w:rFonts w:cs="Arial Armenian" w:hint="default"/>
      </w:rPr>
    </w:lvl>
    <w:lvl w:ilvl="1">
      <w:start w:val="1"/>
      <w:numFmt w:val="decimal"/>
      <w:isLgl/>
      <w:lvlText w:val="%1.%2"/>
      <w:lvlJc w:val="left"/>
      <w:pPr>
        <w:ind w:left="570" w:hanging="360"/>
      </w:pPr>
      <w:rPr>
        <w:rFonts w:cs="Arial Armenian" w:hint="default"/>
      </w:rPr>
    </w:lvl>
    <w:lvl w:ilvl="2">
      <w:start w:val="1"/>
      <w:numFmt w:val="decimal"/>
      <w:isLgl/>
      <w:lvlText w:val="%1.%2.%3"/>
      <w:lvlJc w:val="left"/>
      <w:pPr>
        <w:ind w:left="1350" w:hanging="720"/>
      </w:pPr>
      <w:rPr>
        <w:rFonts w:cs="Arial Armenian" w:hint="default"/>
      </w:rPr>
    </w:lvl>
    <w:lvl w:ilvl="3">
      <w:start w:val="1"/>
      <w:numFmt w:val="decimal"/>
      <w:isLgl/>
      <w:lvlText w:val="%1.%2.%3.%4"/>
      <w:lvlJc w:val="left"/>
      <w:pPr>
        <w:ind w:left="1770" w:hanging="720"/>
      </w:pPr>
      <w:rPr>
        <w:rFonts w:cs="Arial Armenian" w:hint="default"/>
      </w:rPr>
    </w:lvl>
    <w:lvl w:ilvl="4">
      <w:start w:val="1"/>
      <w:numFmt w:val="decimal"/>
      <w:isLgl/>
      <w:lvlText w:val="%1.%2.%3.%4.%5"/>
      <w:lvlJc w:val="left"/>
      <w:pPr>
        <w:ind w:left="2550" w:hanging="1080"/>
      </w:pPr>
      <w:rPr>
        <w:rFonts w:cs="Arial Armenian" w:hint="default"/>
      </w:rPr>
    </w:lvl>
    <w:lvl w:ilvl="5">
      <w:start w:val="1"/>
      <w:numFmt w:val="decimal"/>
      <w:isLgl/>
      <w:lvlText w:val="%1.%2.%3.%4.%5.%6"/>
      <w:lvlJc w:val="left"/>
      <w:pPr>
        <w:ind w:left="2970" w:hanging="1080"/>
      </w:pPr>
      <w:rPr>
        <w:rFonts w:cs="Arial Armenian" w:hint="default"/>
      </w:rPr>
    </w:lvl>
    <w:lvl w:ilvl="6">
      <w:start w:val="1"/>
      <w:numFmt w:val="decimal"/>
      <w:isLgl/>
      <w:lvlText w:val="%1.%2.%3.%4.%5.%6.%7"/>
      <w:lvlJc w:val="left"/>
      <w:pPr>
        <w:ind w:left="3750" w:hanging="1440"/>
      </w:pPr>
      <w:rPr>
        <w:rFonts w:cs="Arial Armenian" w:hint="default"/>
      </w:rPr>
    </w:lvl>
    <w:lvl w:ilvl="7">
      <w:start w:val="1"/>
      <w:numFmt w:val="decimal"/>
      <w:isLgl/>
      <w:lvlText w:val="%1.%2.%3.%4.%5.%6.%7.%8"/>
      <w:lvlJc w:val="left"/>
      <w:pPr>
        <w:ind w:left="4170" w:hanging="1440"/>
      </w:pPr>
      <w:rPr>
        <w:rFonts w:cs="Arial Armenian" w:hint="default"/>
      </w:rPr>
    </w:lvl>
    <w:lvl w:ilvl="8">
      <w:start w:val="1"/>
      <w:numFmt w:val="decimal"/>
      <w:isLgl/>
      <w:lvlText w:val="%1.%2.%3.%4.%5.%6.%7.%8.%9"/>
      <w:lvlJc w:val="left"/>
      <w:pPr>
        <w:ind w:left="4950" w:hanging="1800"/>
      </w:pPr>
      <w:rPr>
        <w:rFonts w:cs="Arial Armenian" w:hint="default"/>
      </w:rPr>
    </w:lvl>
  </w:abstractNum>
  <w:abstractNum w:abstractNumId="245" w15:restartNumberingAfterBreak="0">
    <w:nsid w:val="3FB25631"/>
    <w:multiLevelType w:val="multilevel"/>
    <w:tmpl w:val="0F06CD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GHEA Grapalat" w:hAnsi="GHEA Grapalat" w:cs="Sylfaen" w:hint="default"/>
      </w:rPr>
    </w:lvl>
    <w:lvl w:ilvl="2">
      <w:start w:val="1"/>
      <w:numFmt w:val="decimal"/>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246" w15:restartNumberingAfterBreak="0">
    <w:nsid w:val="40042655"/>
    <w:multiLevelType w:val="multilevel"/>
    <w:tmpl w:val="A9CC986E"/>
    <w:lvl w:ilvl="0">
      <w:start w:val="1"/>
      <w:numFmt w:val="decimal"/>
      <w:lvlText w:val="%1."/>
      <w:lvlJc w:val="left"/>
      <w:pPr>
        <w:ind w:left="734" w:hanging="360"/>
      </w:pPr>
      <w:rPr>
        <w:rFonts w:hint="default"/>
        <w:b/>
      </w:rPr>
    </w:lvl>
    <w:lvl w:ilvl="1">
      <w:start w:val="2"/>
      <w:numFmt w:val="decimal"/>
      <w:isLgl/>
      <w:lvlText w:val="%1.%2."/>
      <w:lvlJc w:val="left"/>
      <w:pPr>
        <w:ind w:left="749" w:hanging="375"/>
      </w:pPr>
      <w:rPr>
        <w:rFonts w:hint="default"/>
        <w:b/>
      </w:rPr>
    </w:lvl>
    <w:lvl w:ilvl="2">
      <w:start w:val="1"/>
      <w:numFmt w:val="decimal"/>
      <w:isLgl/>
      <w:lvlText w:val="%1.%2.%3."/>
      <w:lvlJc w:val="left"/>
      <w:pPr>
        <w:ind w:left="1094" w:hanging="720"/>
      </w:pPr>
      <w:rPr>
        <w:rFonts w:hint="default"/>
        <w:b/>
      </w:rPr>
    </w:lvl>
    <w:lvl w:ilvl="3">
      <w:start w:val="1"/>
      <w:numFmt w:val="decimal"/>
      <w:isLgl/>
      <w:lvlText w:val="%1.%2.%3.%4."/>
      <w:lvlJc w:val="left"/>
      <w:pPr>
        <w:ind w:left="1094" w:hanging="720"/>
      </w:pPr>
      <w:rPr>
        <w:rFonts w:hint="default"/>
        <w:b/>
      </w:rPr>
    </w:lvl>
    <w:lvl w:ilvl="4">
      <w:start w:val="1"/>
      <w:numFmt w:val="decimal"/>
      <w:isLgl/>
      <w:lvlText w:val="%1.%2.%3.%4.%5."/>
      <w:lvlJc w:val="left"/>
      <w:pPr>
        <w:ind w:left="1454" w:hanging="1080"/>
      </w:pPr>
      <w:rPr>
        <w:rFonts w:hint="default"/>
        <w:b/>
      </w:rPr>
    </w:lvl>
    <w:lvl w:ilvl="5">
      <w:start w:val="1"/>
      <w:numFmt w:val="decimal"/>
      <w:isLgl/>
      <w:lvlText w:val="%1.%2.%3.%4.%5.%6."/>
      <w:lvlJc w:val="left"/>
      <w:pPr>
        <w:ind w:left="1454" w:hanging="1080"/>
      </w:pPr>
      <w:rPr>
        <w:rFonts w:hint="default"/>
        <w:b/>
      </w:rPr>
    </w:lvl>
    <w:lvl w:ilvl="6">
      <w:start w:val="1"/>
      <w:numFmt w:val="decimal"/>
      <w:isLgl/>
      <w:lvlText w:val="%1.%2.%3.%4.%5.%6.%7."/>
      <w:lvlJc w:val="left"/>
      <w:pPr>
        <w:ind w:left="1814" w:hanging="1440"/>
      </w:pPr>
      <w:rPr>
        <w:rFonts w:hint="default"/>
        <w:b/>
      </w:rPr>
    </w:lvl>
    <w:lvl w:ilvl="7">
      <w:start w:val="1"/>
      <w:numFmt w:val="decimal"/>
      <w:isLgl/>
      <w:lvlText w:val="%1.%2.%3.%4.%5.%6.%7.%8."/>
      <w:lvlJc w:val="left"/>
      <w:pPr>
        <w:ind w:left="1814" w:hanging="1440"/>
      </w:pPr>
      <w:rPr>
        <w:rFonts w:hint="default"/>
        <w:b/>
      </w:rPr>
    </w:lvl>
    <w:lvl w:ilvl="8">
      <w:start w:val="1"/>
      <w:numFmt w:val="decimal"/>
      <w:isLgl/>
      <w:lvlText w:val="%1.%2.%3.%4.%5.%6.%7.%8.%9."/>
      <w:lvlJc w:val="left"/>
      <w:pPr>
        <w:ind w:left="2174" w:hanging="1800"/>
      </w:pPr>
      <w:rPr>
        <w:rFonts w:hint="default"/>
        <w:b/>
      </w:rPr>
    </w:lvl>
  </w:abstractNum>
  <w:abstractNum w:abstractNumId="247" w15:restartNumberingAfterBreak="0">
    <w:nsid w:val="401C2DCD"/>
    <w:multiLevelType w:val="multilevel"/>
    <w:tmpl w:val="9EB87A88"/>
    <w:lvl w:ilvl="0">
      <w:start w:val="1"/>
      <w:numFmt w:val="decimal"/>
      <w:lvlText w:val="%1."/>
      <w:lvlJc w:val="left"/>
      <w:pPr>
        <w:ind w:left="450" w:hanging="360"/>
      </w:pPr>
      <w:rPr>
        <w:rFonts w:hint="default"/>
        <w:lang w:val="hy-AM"/>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248" w15:restartNumberingAfterBreak="0">
    <w:nsid w:val="408024D0"/>
    <w:multiLevelType w:val="hybridMultilevel"/>
    <w:tmpl w:val="0AEC74D8"/>
    <w:lvl w:ilvl="0" w:tplc="9FB21690">
      <w:start w:val="1"/>
      <w:numFmt w:val="bullet"/>
      <w:lvlText w:val="-"/>
      <w:lvlJc w:val="left"/>
      <w:pPr>
        <w:ind w:left="1080" w:hanging="360"/>
      </w:pPr>
      <w:rPr>
        <w:rFonts w:ascii="GHEA Grapalat" w:eastAsia="Times New Roman" w:hAnsi="GHEA Grapala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9" w15:restartNumberingAfterBreak="0">
    <w:nsid w:val="4083277C"/>
    <w:multiLevelType w:val="multilevel"/>
    <w:tmpl w:val="929E467C"/>
    <w:lvl w:ilvl="0">
      <w:start w:val="1"/>
      <w:numFmt w:val="decimal"/>
      <w:lvlText w:val="%1."/>
      <w:lvlJc w:val="left"/>
      <w:pPr>
        <w:ind w:left="1170" w:hanging="360"/>
      </w:pPr>
      <w:rPr>
        <w:rFonts w:eastAsia="GHEAMariam-Bold" w:cs="GHEAMariam-Bold" w:hint="default"/>
        <w:b/>
      </w:rPr>
    </w:lvl>
    <w:lvl w:ilvl="1">
      <w:start w:val="1"/>
      <w:numFmt w:val="decimal"/>
      <w:isLgl/>
      <w:lvlText w:val="%1.%2"/>
      <w:lvlJc w:val="left"/>
      <w:pPr>
        <w:ind w:left="900" w:hanging="360"/>
      </w:pPr>
      <w:rPr>
        <w:rFonts w:hint="default"/>
        <w:b/>
      </w:rPr>
    </w:lvl>
    <w:lvl w:ilvl="2">
      <w:start w:val="1"/>
      <w:numFmt w:val="decimal"/>
      <w:isLgl/>
      <w:lvlText w:val="%1.%2.%3"/>
      <w:lvlJc w:val="left"/>
      <w:pPr>
        <w:ind w:left="1530" w:hanging="720"/>
      </w:pPr>
      <w:rPr>
        <w:rFonts w:hint="default"/>
        <w:b/>
      </w:rPr>
    </w:lvl>
    <w:lvl w:ilvl="3">
      <w:start w:val="1"/>
      <w:numFmt w:val="decimal"/>
      <w:isLgl/>
      <w:lvlText w:val="%1.%2.%3.%4"/>
      <w:lvlJc w:val="left"/>
      <w:pPr>
        <w:ind w:left="1890" w:hanging="1080"/>
      </w:pPr>
      <w:rPr>
        <w:rFonts w:hint="default"/>
        <w:b/>
      </w:rPr>
    </w:lvl>
    <w:lvl w:ilvl="4">
      <w:start w:val="1"/>
      <w:numFmt w:val="decimal"/>
      <w:isLgl/>
      <w:lvlText w:val="%1.%2.%3.%4.%5"/>
      <w:lvlJc w:val="left"/>
      <w:pPr>
        <w:ind w:left="1890" w:hanging="1080"/>
      </w:pPr>
      <w:rPr>
        <w:rFonts w:hint="default"/>
        <w:b/>
      </w:rPr>
    </w:lvl>
    <w:lvl w:ilvl="5">
      <w:start w:val="1"/>
      <w:numFmt w:val="decimal"/>
      <w:isLgl/>
      <w:lvlText w:val="%1.%2.%3.%4.%5.%6"/>
      <w:lvlJc w:val="left"/>
      <w:pPr>
        <w:ind w:left="2250" w:hanging="1440"/>
      </w:pPr>
      <w:rPr>
        <w:rFonts w:hint="default"/>
        <w:b/>
      </w:rPr>
    </w:lvl>
    <w:lvl w:ilvl="6">
      <w:start w:val="1"/>
      <w:numFmt w:val="decimal"/>
      <w:isLgl/>
      <w:lvlText w:val="%1.%2.%3.%4.%5.%6.%7"/>
      <w:lvlJc w:val="left"/>
      <w:pPr>
        <w:ind w:left="2250" w:hanging="1440"/>
      </w:pPr>
      <w:rPr>
        <w:rFonts w:hint="default"/>
        <w:b/>
      </w:rPr>
    </w:lvl>
    <w:lvl w:ilvl="7">
      <w:start w:val="1"/>
      <w:numFmt w:val="decimal"/>
      <w:isLgl/>
      <w:lvlText w:val="%1.%2.%3.%4.%5.%6.%7.%8"/>
      <w:lvlJc w:val="left"/>
      <w:pPr>
        <w:ind w:left="2610" w:hanging="1800"/>
      </w:pPr>
      <w:rPr>
        <w:rFonts w:hint="default"/>
        <w:b/>
      </w:rPr>
    </w:lvl>
    <w:lvl w:ilvl="8">
      <w:start w:val="1"/>
      <w:numFmt w:val="decimal"/>
      <w:isLgl/>
      <w:lvlText w:val="%1.%2.%3.%4.%5.%6.%7.%8.%9"/>
      <w:lvlJc w:val="left"/>
      <w:pPr>
        <w:ind w:left="2970" w:hanging="2160"/>
      </w:pPr>
      <w:rPr>
        <w:rFonts w:hint="default"/>
        <w:b/>
      </w:rPr>
    </w:lvl>
  </w:abstractNum>
  <w:abstractNum w:abstractNumId="250" w15:restartNumberingAfterBreak="0">
    <w:nsid w:val="409D07C7"/>
    <w:multiLevelType w:val="multilevel"/>
    <w:tmpl w:val="22187646"/>
    <w:lvl w:ilvl="0">
      <w:start w:val="1"/>
      <w:numFmt w:val="decimal"/>
      <w:lvlText w:val="%1."/>
      <w:lvlJc w:val="left"/>
      <w:pPr>
        <w:ind w:left="450" w:hanging="360"/>
      </w:pPr>
      <w:rPr>
        <w:rFonts w:hint="default"/>
      </w:rPr>
    </w:lvl>
    <w:lvl w:ilvl="1">
      <w:start w:val="1"/>
      <w:numFmt w:val="decimal"/>
      <w:isLgl/>
      <w:suff w:val="space"/>
      <w:lvlText w:val="%1.%2."/>
      <w:lvlJc w:val="left"/>
      <w:pPr>
        <w:ind w:left="1440"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251" w15:restartNumberingAfterBreak="0">
    <w:nsid w:val="40D7374B"/>
    <w:multiLevelType w:val="multilevel"/>
    <w:tmpl w:val="61B4A5D8"/>
    <w:lvl w:ilvl="0">
      <w:start w:val="1"/>
      <w:numFmt w:val="decimal"/>
      <w:lvlText w:val="%1."/>
      <w:lvlJc w:val="left"/>
      <w:pPr>
        <w:ind w:left="1170" w:hanging="360"/>
      </w:pPr>
      <w:rPr>
        <w:rFonts w:hint="default"/>
        <w:b/>
      </w:rPr>
    </w:lvl>
    <w:lvl w:ilvl="1">
      <w:start w:val="1"/>
      <w:numFmt w:val="decimal"/>
      <w:isLgl/>
      <w:lvlText w:val="%1.%2"/>
      <w:lvlJc w:val="left"/>
      <w:pPr>
        <w:ind w:left="1170" w:hanging="360"/>
      </w:pPr>
      <w:rPr>
        <w:rFonts w:hint="default"/>
        <w:sz w:val="24"/>
        <w:szCs w:val="24"/>
      </w:rPr>
    </w:lvl>
    <w:lvl w:ilvl="2">
      <w:start w:val="1"/>
      <w:numFmt w:val="decimal"/>
      <w:isLgl/>
      <w:lvlText w:val="%1.%2.%3"/>
      <w:lvlJc w:val="left"/>
      <w:pPr>
        <w:ind w:left="1454" w:hanging="720"/>
      </w:pPr>
      <w:rPr>
        <w:rFonts w:hint="default"/>
      </w:rPr>
    </w:lvl>
    <w:lvl w:ilvl="3">
      <w:start w:val="1"/>
      <w:numFmt w:val="decimal"/>
      <w:isLgl/>
      <w:lvlText w:val="%1.%2.%3.%4"/>
      <w:lvlJc w:val="left"/>
      <w:pPr>
        <w:ind w:left="1454" w:hanging="720"/>
      </w:pPr>
      <w:rPr>
        <w:rFonts w:hint="default"/>
      </w:rPr>
    </w:lvl>
    <w:lvl w:ilvl="4">
      <w:start w:val="1"/>
      <w:numFmt w:val="decimal"/>
      <w:isLgl/>
      <w:lvlText w:val="%1.%2.%3.%4.%5"/>
      <w:lvlJc w:val="left"/>
      <w:pPr>
        <w:ind w:left="1814"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174" w:hanging="1440"/>
      </w:pPr>
      <w:rPr>
        <w:rFonts w:hint="default"/>
      </w:rPr>
    </w:lvl>
    <w:lvl w:ilvl="7">
      <w:start w:val="1"/>
      <w:numFmt w:val="decimal"/>
      <w:isLgl/>
      <w:lvlText w:val="%1.%2.%3.%4.%5.%6.%7.%8"/>
      <w:lvlJc w:val="left"/>
      <w:pPr>
        <w:ind w:left="2534" w:hanging="1800"/>
      </w:pPr>
      <w:rPr>
        <w:rFonts w:hint="default"/>
      </w:rPr>
    </w:lvl>
    <w:lvl w:ilvl="8">
      <w:start w:val="1"/>
      <w:numFmt w:val="decimal"/>
      <w:isLgl/>
      <w:lvlText w:val="%1.%2.%3.%4.%5.%6.%7.%8.%9"/>
      <w:lvlJc w:val="left"/>
      <w:pPr>
        <w:ind w:left="2534" w:hanging="1800"/>
      </w:pPr>
      <w:rPr>
        <w:rFonts w:hint="default"/>
      </w:rPr>
    </w:lvl>
  </w:abstractNum>
  <w:abstractNum w:abstractNumId="252" w15:restartNumberingAfterBreak="0">
    <w:nsid w:val="40E60239"/>
    <w:multiLevelType w:val="multilevel"/>
    <w:tmpl w:val="6F1E33EE"/>
    <w:lvl w:ilvl="0">
      <w:start w:val="1"/>
      <w:numFmt w:val="decimal"/>
      <w:lvlText w:val="%1."/>
      <w:lvlJc w:val="left"/>
      <w:pPr>
        <w:ind w:left="1800" w:hanging="360"/>
      </w:pPr>
      <w:rPr>
        <w:rFonts w:ascii="Arial" w:hAnsi="Arial" w:cs="Sylfaen" w:hint="default"/>
      </w:rPr>
    </w:lvl>
    <w:lvl w:ilvl="1">
      <w:start w:val="1"/>
      <w:numFmt w:val="decimal"/>
      <w:isLgl/>
      <w:lvlText w:val="%1.%2."/>
      <w:lvlJc w:val="left"/>
      <w:pPr>
        <w:ind w:left="2880" w:hanging="720"/>
      </w:pPr>
      <w:rPr>
        <w:rFonts w:eastAsia="Calibri" w:hint="default"/>
        <w:color w:val="auto"/>
      </w:rPr>
    </w:lvl>
    <w:lvl w:ilvl="2">
      <w:start w:val="1"/>
      <w:numFmt w:val="decimal"/>
      <w:isLgl/>
      <w:lvlText w:val="%1.%2.%3."/>
      <w:lvlJc w:val="left"/>
      <w:pPr>
        <w:ind w:left="3600" w:hanging="720"/>
      </w:pPr>
      <w:rPr>
        <w:rFonts w:eastAsia="Calibri" w:hint="default"/>
        <w:color w:val="auto"/>
      </w:rPr>
    </w:lvl>
    <w:lvl w:ilvl="3">
      <w:start w:val="1"/>
      <w:numFmt w:val="decimal"/>
      <w:isLgl/>
      <w:lvlText w:val="%1.%2.%3.%4."/>
      <w:lvlJc w:val="left"/>
      <w:pPr>
        <w:ind w:left="4680" w:hanging="1080"/>
      </w:pPr>
      <w:rPr>
        <w:rFonts w:eastAsia="Calibri" w:hint="default"/>
        <w:color w:val="auto"/>
      </w:rPr>
    </w:lvl>
    <w:lvl w:ilvl="4">
      <w:start w:val="1"/>
      <w:numFmt w:val="decimal"/>
      <w:isLgl/>
      <w:lvlText w:val="%1.%2.%3.%4.%5."/>
      <w:lvlJc w:val="left"/>
      <w:pPr>
        <w:ind w:left="5400" w:hanging="1080"/>
      </w:pPr>
      <w:rPr>
        <w:rFonts w:eastAsia="Calibri" w:hint="default"/>
        <w:color w:val="auto"/>
      </w:rPr>
    </w:lvl>
    <w:lvl w:ilvl="5">
      <w:start w:val="1"/>
      <w:numFmt w:val="decimal"/>
      <w:isLgl/>
      <w:lvlText w:val="%1.%2.%3.%4.%5.%6."/>
      <w:lvlJc w:val="left"/>
      <w:pPr>
        <w:ind w:left="6480" w:hanging="1440"/>
      </w:pPr>
      <w:rPr>
        <w:rFonts w:eastAsia="Calibri" w:hint="default"/>
        <w:color w:val="auto"/>
      </w:rPr>
    </w:lvl>
    <w:lvl w:ilvl="6">
      <w:start w:val="1"/>
      <w:numFmt w:val="decimal"/>
      <w:isLgl/>
      <w:lvlText w:val="%1.%2.%3.%4.%5.%6.%7."/>
      <w:lvlJc w:val="left"/>
      <w:pPr>
        <w:ind w:left="7560" w:hanging="1800"/>
      </w:pPr>
      <w:rPr>
        <w:rFonts w:eastAsia="Calibri" w:hint="default"/>
        <w:color w:val="auto"/>
      </w:rPr>
    </w:lvl>
    <w:lvl w:ilvl="7">
      <w:start w:val="1"/>
      <w:numFmt w:val="decimal"/>
      <w:isLgl/>
      <w:lvlText w:val="%1.%2.%3.%4.%5.%6.%7.%8."/>
      <w:lvlJc w:val="left"/>
      <w:pPr>
        <w:ind w:left="8280" w:hanging="1800"/>
      </w:pPr>
      <w:rPr>
        <w:rFonts w:eastAsia="Calibri" w:hint="default"/>
        <w:color w:val="auto"/>
      </w:rPr>
    </w:lvl>
    <w:lvl w:ilvl="8">
      <w:start w:val="1"/>
      <w:numFmt w:val="decimal"/>
      <w:isLgl/>
      <w:lvlText w:val="%1.%2.%3.%4.%5.%6.%7.%8.%9."/>
      <w:lvlJc w:val="left"/>
      <w:pPr>
        <w:ind w:left="9360" w:hanging="2160"/>
      </w:pPr>
      <w:rPr>
        <w:rFonts w:eastAsia="Calibri" w:hint="default"/>
        <w:color w:val="auto"/>
      </w:rPr>
    </w:lvl>
  </w:abstractNum>
  <w:abstractNum w:abstractNumId="253" w15:restartNumberingAfterBreak="0">
    <w:nsid w:val="410F2EEF"/>
    <w:multiLevelType w:val="hybridMultilevel"/>
    <w:tmpl w:val="B420E7E0"/>
    <w:lvl w:ilvl="0" w:tplc="B83A2DDC">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54" w15:restartNumberingAfterBreak="0">
    <w:nsid w:val="411A548F"/>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255" w15:restartNumberingAfterBreak="0">
    <w:nsid w:val="41435EAB"/>
    <w:multiLevelType w:val="hybridMultilevel"/>
    <w:tmpl w:val="3DA07ED2"/>
    <w:lvl w:ilvl="0" w:tplc="74204C2A">
      <w:start w:val="1"/>
      <w:numFmt w:val="decimal"/>
      <w:lvlText w:val="%1."/>
      <w:lvlJc w:val="left"/>
      <w:pPr>
        <w:ind w:left="1094" w:hanging="360"/>
      </w:pPr>
      <w:rPr>
        <w:rFonts w:hint="default"/>
        <w:b/>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256" w15:restartNumberingAfterBreak="0">
    <w:nsid w:val="41C557AA"/>
    <w:multiLevelType w:val="multilevel"/>
    <w:tmpl w:val="9EB87A88"/>
    <w:lvl w:ilvl="0">
      <w:start w:val="1"/>
      <w:numFmt w:val="decimal"/>
      <w:lvlText w:val="%1."/>
      <w:lvlJc w:val="left"/>
      <w:pPr>
        <w:ind w:left="450" w:hanging="360"/>
      </w:pPr>
      <w:rPr>
        <w:rFonts w:hint="default"/>
        <w:lang w:val="hy-AM"/>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257" w15:restartNumberingAfterBreak="0">
    <w:nsid w:val="41F7536A"/>
    <w:multiLevelType w:val="multilevel"/>
    <w:tmpl w:val="A9107D70"/>
    <w:lvl w:ilvl="0">
      <w:start w:val="1"/>
      <w:numFmt w:val="decimal"/>
      <w:lvlText w:val="%1."/>
      <w:lvlJc w:val="left"/>
      <w:pPr>
        <w:ind w:left="735" w:hanging="360"/>
      </w:pPr>
      <w:rPr>
        <w:rFonts w:cs="Times New Roman" w:hint="default"/>
      </w:rPr>
    </w:lvl>
    <w:lvl w:ilvl="1">
      <w:start w:val="1"/>
      <w:numFmt w:val="decimal"/>
      <w:isLgl/>
      <w:lvlText w:val="%1.%2."/>
      <w:lvlJc w:val="left"/>
      <w:pPr>
        <w:ind w:left="1095" w:hanging="720"/>
      </w:pPr>
      <w:rPr>
        <w:rFonts w:cs="Times New Roman" w:hint="default"/>
      </w:rPr>
    </w:lvl>
    <w:lvl w:ilvl="2">
      <w:start w:val="1"/>
      <w:numFmt w:val="decimal"/>
      <w:isLgl/>
      <w:lvlText w:val="%1.%2.%3."/>
      <w:lvlJc w:val="left"/>
      <w:pPr>
        <w:ind w:left="1095" w:hanging="720"/>
      </w:pPr>
      <w:rPr>
        <w:rFonts w:cs="Times New Roman" w:hint="default"/>
      </w:rPr>
    </w:lvl>
    <w:lvl w:ilvl="3">
      <w:start w:val="1"/>
      <w:numFmt w:val="decimal"/>
      <w:isLgl/>
      <w:lvlText w:val="%1.%2.%3.%4."/>
      <w:lvlJc w:val="left"/>
      <w:pPr>
        <w:ind w:left="1455" w:hanging="1080"/>
      </w:pPr>
      <w:rPr>
        <w:rFonts w:cs="Times New Roman" w:hint="default"/>
      </w:rPr>
    </w:lvl>
    <w:lvl w:ilvl="4">
      <w:start w:val="1"/>
      <w:numFmt w:val="decimal"/>
      <w:isLgl/>
      <w:lvlText w:val="%1.%2.%3.%4.%5."/>
      <w:lvlJc w:val="left"/>
      <w:pPr>
        <w:ind w:left="1455" w:hanging="1080"/>
      </w:pPr>
      <w:rPr>
        <w:rFonts w:cs="Times New Roman" w:hint="default"/>
      </w:rPr>
    </w:lvl>
    <w:lvl w:ilvl="5">
      <w:start w:val="1"/>
      <w:numFmt w:val="decimal"/>
      <w:isLgl/>
      <w:lvlText w:val="%1.%2.%3.%4.%5.%6."/>
      <w:lvlJc w:val="left"/>
      <w:pPr>
        <w:ind w:left="1815" w:hanging="1440"/>
      </w:pPr>
      <w:rPr>
        <w:rFonts w:cs="Times New Roman" w:hint="default"/>
      </w:rPr>
    </w:lvl>
    <w:lvl w:ilvl="6">
      <w:start w:val="1"/>
      <w:numFmt w:val="decimal"/>
      <w:isLgl/>
      <w:lvlText w:val="%1.%2.%3.%4.%5.%6.%7."/>
      <w:lvlJc w:val="left"/>
      <w:pPr>
        <w:ind w:left="2175" w:hanging="1800"/>
      </w:pPr>
      <w:rPr>
        <w:rFonts w:cs="Times New Roman" w:hint="default"/>
      </w:rPr>
    </w:lvl>
    <w:lvl w:ilvl="7">
      <w:start w:val="1"/>
      <w:numFmt w:val="decimal"/>
      <w:isLgl/>
      <w:lvlText w:val="%1.%2.%3.%4.%5.%6.%7.%8."/>
      <w:lvlJc w:val="left"/>
      <w:pPr>
        <w:ind w:left="2175" w:hanging="1800"/>
      </w:pPr>
      <w:rPr>
        <w:rFonts w:cs="Times New Roman" w:hint="default"/>
      </w:rPr>
    </w:lvl>
    <w:lvl w:ilvl="8">
      <w:start w:val="1"/>
      <w:numFmt w:val="decimal"/>
      <w:isLgl/>
      <w:lvlText w:val="%1.%2.%3.%4.%5.%6.%7.%8.%9."/>
      <w:lvlJc w:val="left"/>
      <w:pPr>
        <w:ind w:left="2535" w:hanging="2160"/>
      </w:pPr>
      <w:rPr>
        <w:rFonts w:cs="Times New Roman" w:hint="default"/>
      </w:rPr>
    </w:lvl>
  </w:abstractNum>
  <w:abstractNum w:abstractNumId="258" w15:restartNumberingAfterBreak="0">
    <w:nsid w:val="42004560"/>
    <w:multiLevelType w:val="hybridMultilevel"/>
    <w:tmpl w:val="502406BC"/>
    <w:lvl w:ilvl="0" w:tplc="01382DAE">
      <w:start w:val="1"/>
      <w:numFmt w:val="bullet"/>
      <w:lvlText w:val="-"/>
      <w:lvlJc w:val="left"/>
      <w:pPr>
        <w:ind w:left="720" w:hanging="360"/>
      </w:pPr>
      <w:rPr>
        <w:rFonts w:ascii="GHEA Grapalat" w:eastAsiaTheme="minorHAnsi" w:hAnsi="GHEA Grapalat"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15:restartNumberingAfterBreak="0">
    <w:nsid w:val="420A469F"/>
    <w:multiLevelType w:val="multilevel"/>
    <w:tmpl w:val="E8080314"/>
    <w:lvl w:ilvl="0">
      <w:start w:val="6"/>
      <w:numFmt w:val="decimal"/>
      <w:lvlText w:val="%1"/>
      <w:lvlJc w:val="left"/>
      <w:pPr>
        <w:ind w:left="360" w:hanging="360"/>
      </w:pPr>
      <w:rPr>
        <w:rFonts w:hint="default"/>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60" w15:restartNumberingAfterBreak="0">
    <w:nsid w:val="42307F6F"/>
    <w:multiLevelType w:val="multilevel"/>
    <w:tmpl w:val="0A803E9A"/>
    <w:lvl w:ilvl="0">
      <w:start w:val="1"/>
      <w:numFmt w:val="decimal"/>
      <w:lvlText w:val="%1."/>
      <w:lvlJc w:val="left"/>
      <w:pPr>
        <w:ind w:left="720" w:hanging="360"/>
      </w:pPr>
      <w:rPr>
        <w:rFonts w:cs="Arial" w:hint="default"/>
        <w:b/>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1" w15:restartNumberingAfterBreak="0">
    <w:nsid w:val="42592591"/>
    <w:multiLevelType w:val="multilevel"/>
    <w:tmpl w:val="CDE67552"/>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62" w15:restartNumberingAfterBreak="0">
    <w:nsid w:val="42976003"/>
    <w:multiLevelType w:val="multilevel"/>
    <w:tmpl w:val="24A8A35A"/>
    <w:lvl w:ilvl="0">
      <w:start w:val="1"/>
      <w:numFmt w:val="decimal"/>
      <w:lvlText w:val="%1."/>
      <w:lvlJc w:val="left"/>
      <w:pPr>
        <w:ind w:left="720" w:hanging="360"/>
      </w:pPr>
      <w:rPr>
        <w:rFonts w:hint="default"/>
      </w:rPr>
    </w:lvl>
    <w:lvl w:ilvl="1">
      <w:start w:val="1"/>
      <w:numFmt w:val="decimal"/>
      <w:isLgl/>
      <w:lvlText w:val="%1.%2"/>
      <w:lvlJc w:val="left"/>
      <w:pPr>
        <w:ind w:left="99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800" w:hanging="144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2160" w:hanging="1800"/>
      </w:pPr>
      <w:rPr>
        <w:rFonts w:cs="Sylfaen" w:hint="default"/>
      </w:rPr>
    </w:lvl>
  </w:abstractNum>
  <w:abstractNum w:abstractNumId="263" w15:restartNumberingAfterBreak="0">
    <w:nsid w:val="42E50F7C"/>
    <w:multiLevelType w:val="hybridMultilevel"/>
    <w:tmpl w:val="5C0218EA"/>
    <w:lvl w:ilvl="0" w:tplc="BFF22CE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4" w15:restartNumberingAfterBreak="0">
    <w:nsid w:val="42F27338"/>
    <w:multiLevelType w:val="hybridMultilevel"/>
    <w:tmpl w:val="7A4C4102"/>
    <w:styleLink w:val="WW8Num2421"/>
    <w:lvl w:ilvl="0" w:tplc="04090011">
      <w:start w:val="1"/>
      <w:numFmt w:val="decimal"/>
      <w:lvlText w:val="%1)"/>
      <w:lvlJc w:val="left"/>
      <w:pPr>
        <w:ind w:left="720" w:hanging="360"/>
      </w:pPr>
      <w:rPr>
        <w:rFonts w:cs="Times New Roman"/>
      </w:rPr>
    </w:lvl>
    <w:lvl w:ilvl="1" w:tplc="04090011">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5" w15:restartNumberingAfterBreak="0">
    <w:nsid w:val="431A7F1C"/>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266" w15:restartNumberingAfterBreak="0">
    <w:nsid w:val="43445405"/>
    <w:multiLevelType w:val="multilevel"/>
    <w:tmpl w:val="DFCC55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7" w15:restartNumberingAfterBreak="0">
    <w:nsid w:val="439C6ECB"/>
    <w:multiLevelType w:val="hybridMultilevel"/>
    <w:tmpl w:val="7EC4C3FE"/>
    <w:lvl w:ilvl="0" w:tplc="30D839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44047F76"/>
    <w:multiLevelType w:val="hybridMultilevel"/>
    <w:tmpl w:val="8B10909E"/>
    <w:lvl w:ilvl="0" w:tplc="D0641F50">
      <w:start w:val="5"/>
      <w:numFmt w:val="bullet"/>
      <w:lvlText w:val="-"/>
      <w:lvlJc w:val="left"/>
      <w:pPr>
        <w:ind w:left="720" w:hanging="360"/>
      </w:pPr>
      <w:rPr>
        <w:rFonts w:ascii="GHEA Grapalat" w:eastAsia="Calibri"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442921BD"/>
    <w:multiLevelType w:val="multilevel"/>
    <w:tmpl w:val="34B20A02"/>
    <w:lvl w:ilvl="0">
      <w:start w:val="1"/>
      <w:numFmt w:val="decimal"/>
      <w:pStyle w:val="StyleGHEAGrapalatJustifiedBefore12pt"/>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70" w15:restartNumberingAfterBreak="0">
    <w:nsid w:val="442D45A4"/>
    <w:multiLevelType w:val="multilevel"/>
    <w:tmpl w:val="B86A40B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1" w15:restartNumberingAfterBreak="0">
    <w:nsid w:val="44B87AA7"/>
    <w:multiLevelType w:val="multilevel"/>
    <w:tmpl w:val="8F42782E"/>
    <w:lvl w:ilvl="0">
      <w:start w:val="1"/>
      <w:numFmt w:val="decimal"/>
      <w:lvlText w:val="%1."/>
      <w:lvlJc w:val="left"/>
      <w:pPr>
        <w:ind w:left="735" w:hanging="360"/>
      </w:pPr>
      <w:rPr>
        <w:rFonts w:hint="default"/>
      </w:rPr>
    </w:lvl>
    <w:lvl w:ilvl="1">
      <w:start w:val="1"/>
      <w:numFmt w:val="decimal"/>
      <w:isLgl/>
      <w:lvlText w:val="%1.%2."/>
      <w:lvlJc w:val="left"/>
      <w:pPr>
        <w:ind w:left="1095" w:hanging="72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455" w:hanging="108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35" w:hanging="2160"/>
      </w:pPr>
      <w:rPr>
        <w:rFonts w:hint="default"/>
      </w:rPr>
    </w:lvl>
  </w:abstractNum>
  <w:abstractNum w:abstractNumId="272" w15:restartNumberingAfterBreak="0">
    <w:nsid w:val="45050453"/>
    <w:multiLevelType w:val="multilevel"/>
    <w:tmpl w:val="22BCE992"/>
    <w:lvl w:ilvl="0">
      <w:start w:val="1"/>
      <w:numFmt w:val="decimal"/>
      <w:lvlText w:val="%1."/>
      <w:lvlJc w:val="left"/>
      <w:pPr>
        <w:ind w:left="420" w:hanging="420"/>
      </w:pPr>
      <w:rPr>
        <w:rFonts w:cs="GHEA Grapalat" w:hint="default"/>
      </w:rPr>
    </w:lvl>
    <w:lvl w:ilvl="1">
      <w:start w:val="1"/>
      <w:numFmt w:val="decimal"/>
      <w:lvlText w:val="%1.%2."/>
      <w:lvlJc w:val="left"/>
      <w:pPr>
        <w:ind w:left="1155" w:hanging="420"/>
      </w:pPr>
      <w:rPr>
        <w:rFonts w:cs="GHEA Grapalat" w:hint="default"/>
      </w:rPr>
    </w:lvl>
    <w:lvl w:ilvl="2">
      <w:start w:val="1"/>
      <w:numFmt w:val="decimal"/>
      <w:lvlText w:val="%1.%2.%3."/>
      <w:lvlJc w:val="left"/>
      <w:pPr>
        <w:ind w:left="2190" w:hanging="720"/>
      </w:pPr>
      <w:rPr>
        <w:rFonts w:cs="GHEA Grapalat" w:hint="default"/>
      </w:rPr>
    </w:lvl>
    <w:lvl w:ilvl="3">
      <w:start w:val="1"/>
      <w:numFmt w:val="decimal"/>
      <w:lvlText w:val="%1.%2.%3.%4."/>
      <w:lvlJc w:val="left"/>
      <w:pPr>
        <w:ind w:left="2925" w:hanging="720"/>
      </w:pPr>
      <w:rPr>
        <w:rFonts w:cs="GHEA Grapalat" w:hint="default"/>
      </w:rPr>
    </w:lvl>
    <w:lvl w:ilvl="4">
      <w:start w:val="1"/>
      <w:numFmt w:val="decimal"/>
      <w:lvlText w:val="%1.%2.%3.%4.%5."/>
      <w:lvlJc w:val="left"/>
      <w:pPr>
        <w:ind w:left="4020" w:hanging="1080"/>
      </w:pPr>
      <w:rPr>
        <w:rFonts w:cs="GHEA Grapalat" w:hint="default"/>
      </w:rPr>
    </w:lvl>
    <w:lvl w:ilvl="5">
      <w:start w:val="1"/>
      <w:numFmt w:val="decimal"/>
      <w:lvlText w:val="%1.%2.%3.%4.%5.%6."/>
      <w:lvlJc w:val="left"/>
      <w:pPr>
        <w:ind w:left="4755" w:hanging="1080"/>
      </w:pPr>
      <w:rPr>
        <w:rFonts w:cs="GHEA Grapalat" w:hint="default"/>
      </w:rPr>
    </w:lvl>
    <w:lvl w:ilvl="6">
      <w:start w:val="1"/>
      <w:numFmt w:val="decimal"/>
      <w:lvlText w:val="%1.%2.%3.%4.%5.%6.%7."/>
      <w:lvlJc w:val="left"/>
      <w:pPr>
        <w:ind w:left="5850" w:hanging="1440"/>
      </w:pPr>
      <w:rPr>
        <w:rFonts w:cs="GHEA Grapalat" w:hint="default"/>
      </w:rPr>
    </w:lvl>
    <w:lvl w:ilvl="7">
      <w:start w:val="1"/>
      <w:numFmt w:val="decimal"/>
      <w:lvlText w:val="%1.%2.%3.%4.%5.%6.%7.%8."/>
      <w:lvlJc w:val="left"/>
      <w:pPr>
        <w:ind w:left="6585" w:hanging="1440"/>
      </w:pPr>
      <w:rPr>
        <w:rFonts w:cs="GHEA Grapalat" w:hint="default"/>
      </w:rPr>
    </w:lvl>
    <w:lvl w:ilvl="8">
      <w:start w:val="1"/>
      <w:numFmt w:val="decimal"/>
      <w:lvlText w:val="%1.%2.%3.%4.%5.%6.%7.%8.%9."/>
      <w:lvlJc w:val="left"/>
      <w:pPr>
        <w:ind w:left="7680" w:hanging="1800"/>
      </w:pPr>
      <w:rPr>
        <w:rFonts w:cs="GHEA Grapalat" w:hint="default"/>
      </w:rPr>
    </w:lvl>
  </w:abstractNum>
  <w:abstractNum w:abstractNumId="273" w15:restartNumberingAfterBreak="0">
    <w:nsid w:val="455D483E"/>
    <w:multiLevelType w:val="hybridMultilevel"/>
    <w:tmpl w:val="29947796"/>
    <w:lvl w:ilvl="0" w:tplc="C6485C74">
      <w:start w:val="1"/>
      <w:numFmt w:val="decimal"/>
      <w:lvlText w:val="%1)"/>
      <w:lvlJc w:val="left"/>
      <w:pPr>
        <w:ind w:left="735" w:hanging="36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274" w15:restartNumberingAfterBreak="0">
    <w:nsid w:val="4566287E"/>
    <w:multiLevelType w:val="multilevel"/>
    <w:tmpl w:val="24BA72F0"/>
    <w:lvl w:ilvl="0">
      <w:start w:val="1"/>
      <w:numFmt w:val="decimal"/>
      <w:lvlText w:val="%1."/>
      <w:lvlJc w:val="left"/>
      <w:pPr>
        <w:ind w:left="360" w:hanging="360"/>
      </w:pPr>
      <w:rPr>
        <w:rFonts w:cs="Arial" w:hint="default"/>
      </w:rPr>
    </w:lvl>
    <w:lvl w:ilvl="1">
      <w:start w:val="1"/>
      <w:numFmt w:val="decimal"/>
      <w:lvlText w:val="%1.%2."/>
      <w:lvlJc w:val="left"/>
      <w:pPr>
        <w:ind w:left="525" w:hanging="360"/>
      </w:pPr>
      <w:rPr>
        <w:rFonts w:cs="Arial" w:hint="default"/>
      </w:rPr>
    </w:lvl>
    <w:lvl w:ilvl="2">
      <w:start w:val="1"/>
      <w:numFmt w:val="decimal"/>
      <w:lvlText w:val="%1.%2.%3."/>
      <w:lvlJc w:val="left"/>
      <w:pPr>
        <w:ind w:left="1050" w:hanging="720"/>
      </w:pPr>
      <w:rPr>
        <w:rFonts w:cs="Arial" w:hint="default"/>
      </w:rPr>
    </w:lvl>
    <w:lvl w:ilvl="3">
      <w:start w:val="1"/>
      <w:numFmt w:val="decimal"/>
      <w:lvlText w:val="%1.%2.%3.%4."/>
      <w:lvlJc w:val="left"/>
      <w:pPr>
        <w:ind w:left="1215" w:hanging="720"/>
      </w:pPr>
      <w:rPr>
        <w:rFonts w:cs="Arial" w:hint="default"/>
      </w:rPr>
    </w:lvl>
    <w:lvl w:ilvl="4">
      <w:start w:val="1"/>
      <w:numFmt w:val="decimal"/>
      <w:lvlText w:val="%1.%2.%3.%4.%5."/>
      <w:lvlJc w:val="left"/>
      <w:pPr>
        <w:ind w:left="1740" w:hanging="1080"/>
      </w:pPr>
      <w:rPr>
        <w:rFonts w:cs="Arial" w:hint="default"/>
      </w:rPr>
    </w:lvl>
    <w:lvl w:ilvl="5">
      <w:start w:val="1"/>
      <w:numFmt w:val="decimal"/>
      <w:lvlText w:val="%1.%2.%3.%4.%5.%6."/>
      <w:lvlJc w:val="left"/>
      <w:pPr>
        <w:ind w:left="1905" w:hanging="1080"/>
      </w:pPr>
      <w:rPr>
        <w:rFonts w:cs="Arial" w:hint="default"/>
      </w:rPr>
    </w:lvl>
    <w:lvl w:ilvl="6">
      <w:start w:val="1"/>
      <w:numFmt w:val="decimal"/>
      <w:lvlText w:val="%1.%2.%3.%4.%5.%6.%7."/>
      <w:lvlJc w:val="left"/>
      <w:pPr>
        <w:ind w:left="2430" w:hanging="1440"/>
      </w:pPr>
      <w:rPr>
        <w:rFonts w:cs="Arial" w:hint="default"/>
      </w:rPr>
    </w:lvl>
    <w:lvl w:ilvl="7">
      <w:start w:val="1"/>
      <w:numFmt w:val="decimal"/>
      <w:lvlText w:val="%1.%2.%3.%4.%5.%6.%7.%8."/>
      <w:lvlJc w:val="left"/>
      <w:pPr>
        <w:ind w:left="2595" w:hanging="1440"/>
      </w:pPr>
      <w:rPr>
        <w:rFonts w:cs="Arial" w:hint="default"/>
      </w:rPr>
    </w:lvl>
    <w:lvl w:ilvl="8">
      <w:start w:val="1"/>
      <w:numFmt w:val="decimal"/>
      <w:lvlText w:val="%1.%2.%3.%4.%5.%6.%7.%8.%9."/>
      <w:lvlJc w:val="left"/>
      <w:pPr>
        <w:ind w:left="3120" w:hanging="1800"/>
      </w:pPr>
      <w:rPr>
        <w:rFonts w:cs="Arial" w:hint="default"/>
      </w:rPr>
    </w:lvl>
  </w:abstractNum>
  <w:abstractNum w:abstractNumId="275" w15:restartNumberingAfterBreak="0">
    <w:nsid w:val="45E92C17"/>
    <w:multiLevelType w:val="multilevel"/>
    <w:tmpl w:val="8A44B89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6" w15:restartNumberingAfterBreak="0">
    <w:nsid w:val="463363CF"/>
    <w:multiLevelType w:val="multilevel"/>
    <w:tmpl w:val="AFE6898E"/>
    <w:lvl w:ilvl="0">
      <w:start w:val="1"/>
      <w:numFmt w:val="decimal"/>
      <w:lvlText w:val="%1."/>
      <w:lvlJc w:val="left"/>
      <w:pPr>
        <w:ind w:left="360" w:hanging="360"/>
      </w:pPr>
      <w:rPr>
        <w:rFonts w:hint="default"/>
        <w:b/>
      </w:rPr>
    </w:lvl>
    <w:lvl w:ilvl="1">
      <w:start w:val="1"/>
      <w:numFmt w:val="decimal"/>
      <w:isLgl/>
      <w:suff w:val="space"/>
      <w:lvlText w:val="%1.%2."/>
      <w:lvlJc w:val="left"/>
      <w:pPr>
        <w:ind w:left="1148" w:hanging="720"/>
      </w:pPr>
      <w:rPr>
        <w:rFonts w:hint="default"/>
        <w:b/>
      </w:rPr>
    </w:lvl>
    <w:lvl w:ilvl="2">
      <w:start w:val="1"/>
      <w:numFmt w:val="decimal"/>
      <w:isLgl/>
      <w:lvlText w:val="%1.%2.%3."/>
      <w:lvlJc w:val="left"/>
      <w:pPr>
        <w:ind w:left="1148" w:hanging="720"/>
      </w:pPr>
      <w:rPr>
        <w:rFonts w:hint="default"/>
        <w:b/>
      </w:rPr>
    </w:lvl>
    <w:lvl w:ilvl="3">
      <w:start w:val="1"/>
      <w:numFmt w:val="decimal"/>
      <w:isLgl/>
      <w:lvlText w:val="%1.%2.%3.%4."/>
      <w:lvlJc w:val="left"/>
      <w:pPr>
        <w:ind w:left="1508" w:hanging="1080"/>
      </w:pPr>
      <w:rPr>
        <w:rFonts w:hint="default"/>
        <w:b/>
      </w:rPr>
    </w:lvl>
    <w:lvl w:ilvl="4">
      <w:start w:val="1"/>
      <w:numFmt w:val="decimal"/>
      <w:isLgl/>
      <w:lvlText w:val="%1.%2.%3.%4.%5."/>
      <w:lvlJc w:val="left"/>
      <w:pPr>
        <w:ind w:left="1508" w:hanging="1080"/>
      </w:pPr>
      <w:rPr>
        <w:rFonts w:hint="default"/>
        <w:b/>
      </w:rPr>
    </w:lvl>
    <w:lvl w:ilvl="5">
      <w:start w:val="1"/>
      <w:numFmt w:val="decimal"/>
      <w:isLgl/>
      <w:lvlText w:val="%1.%2.%3.%4.%5.%6."/>
      <w:lvlJc w:val="left"/>
      <w:pPr>
        <w:ind w:left="1868" w:hanging="1440"/>
      </w:pPr>
      <w:rPr>
        <w:rFonts w:hint="default"/>
        <w:b/>
      </w:rPr>
    </w:lvl>
    <w:lvl w:ilvl="6">
      <w:start w:val="1"/>
      <w:numFmt w:val="decimal"/>
      <w:isLgl/>
      <w:lvlText w:val="%1.%2.%3.%4.%5.%6.%7."/>
      <w:lvlJc w:val="left"/>
      <w:pPr>
        <w:ind w:left="1868" w:hanging="1440"/>
      </w:pPr>
      <w:rPr>
        <w:rFonts w:hint="default"/>
        <w:b/>
      </w:rPr>
    </w:lvl>
    <w:lvl w:ilvl="7">
      <w:start w:val="1"/>
      <w:numFmt w:val="decimal"/>
      <w:isLgl/>
      <w:lvlText w:val="%1.%2.%3.%4.%5.%6.%7.%8."/>
      <w:lvlJc w:val="left"/>
      <w:pPr>
        <w:ind w:left="2228" w:hanging="1800"/>
      </w:pPr>
      <w:rPr>
        <w:rFonts w:hint="default"/>
        <w:b/>
      </w:rPr>
    </w:lvl>
    <w:lvl w:ilvl="8">
      <w:start w:val="1"/>
      <w:numFmt w:val="decimal"/>
      <w:isLgl/>
      <w:lvlText w:val="%1.%2.%3.%4.%5.%6.%7.%8.%9."/>
      <w:lvlJc w:val="left"/>
      <w:pPr>
        <w:ind w:left="2228" w:hanging="1800"/>
      </w:pPr>
      <w:rPr>
        <w:rFonts w:hint="default"/>
        <w:b/>
      </w:rPr>
    </w:lvl>
  </w:abstractNum>
  <w:abstractNum w:abstractNumId="277" w15:restartNumberingAfterBreak="0">
    <w:nsid w:val="46B54D9F"/>
    <w:multiLevelType w:val="hybridMultilevel"/>
    <w:tmpl w:val="459E2A68"/>
    <w:lvl w:ilvl="0" w:tplc="91B8C32E">
      <w:start w:val="22"/>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15:restartNumberingAfterBreak="0">
    <w:nsid w:val="46C35850"/>
    <w:multiLevelType w:val="multilevel"/>
    <w:tmpl w:val="02001110"/>
    <w:lvl w:ilvl="0">
      <w:start w:val="1"/>
      <w:numFmt w:val="decimal"/>
      <w:lvlText w:val="%1."/>
      <w:lvlJc w:val="left"/>
      <w:pPr>
        <w:ind w:left="720" w:hanging="360"/>
      </w:pPr>
      <w:rPr>
        <w:rFonts w:cs="Sylfaen"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9" w15:restartNumberingAfterBreak="0">
    <w:nsid w:val="470A1E2E"/>
    <w:multiLevelType w:val="multilevel"/>
    <w:tmpl w:val="869A4E5E"/>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0" w15:restartNumberingAfterBreak="0">
    <w:nsid w:val="47391FBB"/>
    <w:multiLevelType w:val="multilevel"/>
    <w:tmpl w:val="9E5249DA"/>
    <w:lvl w:ilvl="0">
      <w:start w:val="1"/>
      <w:numFmt w:val="decimal"/>
      <w:lvlText w:val="%1."/>
      <w:lvlJc w:val="left"/>
      <w:pPr>
        <w:ind w:left="450" w:hanging="360"/>
      </w:pPr>
      <w:rPr>
        <w:rFonts w:hint="default"/>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281" w15:restartNumberingAfterBreak="0">
    <w:nsid w:val="474974C5"/>
    <w:multiLevelType w:val="multilevel"/>
    <w:tmpl w:val="2FDA252A"/>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2" w15:restartNumberingAfterBreak="0">
    <w:nsid w:val="47722CD3"/>
    <w:multiLevelType w:val="multilevel"/>
    <w:tmpl w:val="645C73D4"/>
    <w:lvl w:ilvl="0">
      <w:start w:val="1"/>
      <w:numFmt w:val="decimal"/>
      <w:lvlText w:val="%1."/>
      <w:lvlJc w:val="left"/>
      <w:pPr>
        <w:ind w:left="735" w:hanging="360"/>
      </w:pPr>
      <w:rPr>
        <w:rFonts w:hint="default"/>
      </w:rPr>
    </w:lvl>
    <w:lvl w:ilvl="1">
      <w:start w:val="2"/>
      <w:numFmt w:val="decimal"/>
      <w:isLgl/>
      <w:lvlText w:val="%1.%2."/>
      <w:lvlJc w:val="left"/>
      <w:pPr>
        <w:ind w:left="1605" w:hanging="720"/>
      </w:pPr>
      <w:rPr>
        <w:rFonts w:hint="default"/>
      </w:rPr>
    </w:lvl>
    <w:lvl w:ilvl="2">
      <w:start w:val="1"/>
      <w:numFmt w:val="decimal"/>
      <w:isLgl/>
      <w:lvlText w:val="%1.%2.%3."/>
      <w:lvlJc w:val="left"/>
      <w:pPr>
        <w:ind w:left="2115" w:hanging="720"/>
      </w:pPr>
      <w:rPr>
        <w:rFonts w:hint="default"/>
      </w:rPr>
    </w:lvl>
    <w:lvl w:ilvl="3">
      <w:start w:val="1"/>
      <w:numFmt w:val="decimal"/>
      <w:isLgl/>
      <w:lvlText w:val="%1.%2.%3.%4."/>
      <w:lvlJc w:val="left"/>
      <w:pPr>
        <w:ind w:left="2985" w:hanging="1080"/>
      </w:pPr>
      <w:rPr>
        <w:rFonts w:hint="default"/>
      </w:rPr>
    </w:lvl>
    <w:lvl w:ilvl="4">
      <w:start w:val="1"/>
      <w:numFmt w:val="decimal"/>
      <w:isLgl/>
      <w:lvlText w:val="%1.%2.%3.%4.%5."/>
      <w:lvlJc w:val="left"/>
      <w:pPr>
        <w:ind w:left="3495" w:hanging="1080"/>
      </w:pPr>
      <w:rPr>
        <w:rFonts w:hint="default"/>
      </w:rPr>
    </w:lvl>
    <w:lvl w:ilvl="5">
      <w:start w:val="1"/>
      <w:numFmt w:val="decimal"/>
      <w:isLgl/>
      <w:lvlText w:val="%1.%2.%3.%4.%5.%6."/>
      <w:lvlJc w:val="left"/>
      <w:pPr>
        <w:ind w:left="4365" w:hanging="1440"/>
      </w:pPr>
      <w:rPr>
        <w:rFonts w:hint="default"/>
      </w:rPr>
    </w:lvl>
    <w:lvl w:ilvl="6">
      <w:start w:val="1"/>
      <w:numFmt w:val="decimal"/>
      <w:isLgl/>
      <w:lvlText w:val="%1.%2.%3.%4.%5.%6.%7."/>
      <w:lvlJc w:val="left"/>
      <w:pPr>
        <w:ind w:left="5235" w:hanging="1800"/>
      </w:pPr>
      <w:rPr>
        <w:rFonts w:hint="default"/>
      </w:rPr>
    </w:lvl>
    <w:lvl w:ilvl="7">
      <w:start w:val="1"/>
      <w:numFmt w:val="decimal"/>
      <w:isLgl/>
      <w:lvlText w:val="%1.%2.%3.%4.%5.%6.%7.%8."/>
      <w:lvlJc w:val="left"/>
      <w:pPr>
        <w:ind w:left="5745" w:hanging="1800"/>
      </w:pPr>
      <w:rPr>
        <w:rFonts w:hint="default"/>
      </w:rPr>
    </w:lvl>
    <w:lvl w:ilvl="8">
      <w:start w:val="1"/>
      <w:numFmt w:val="decimal"/>
      <w:isLgl/>
      <w:lvlText w:val="%1.%2.%3.%4.%5.%6.%7.%8.%9."/>
      <w:lvlJc w:val="left"/>
      <w:pPr>
        <w:ind w:left="6615" w:hanging="2160"/>
      </w:pPr>
      <w:rPr>
        <w:rFonts w:hint="default"/>
      </w:rPr>
    </w:lvl>
  </w:abstractNum>
  <w:abstractNum w:abstractNumId="283" w15:restartNumberingAfterBreak="0">
    <w:nsid w:val="47845260"/>
    <w:multiLevelType w:val="hybridMultilevel"/>
    <w:tmpl w:val="810AC286"/>
    <w:lvl w:ilvl="0" w:tplc="D11CB56C">
      <w:start w:val="2"/>
      <w:numFmt w:val="decimal"/>
      <w:lvlText w:val="%1."/>
      <w:lvlJc w:val="left"/>
      <w:pPr>
        <w:ind w:left="634" w:hanging="360"/>
      </w:pPr>
      <w:rPr>
        <w:rFonts w:hint="default"/>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284" w15:restartNumberingAfterBreak="0">
    <w:nsid w:val="47A36C2C"/>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285" w15:restartNumberingAfterBreak="0">
    <w:nsid w:val="48011306"/>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286" w15:restartNumberingAfterBreak="0">
    <w:nsid w:val="48175676"/>
    <w:multiLevelType w:val="multilevel"/>
    <w:tmpl w:val="B4C8CD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287" w15:restartNumberingAfterBreak="0">
    <w:nsid w:val="4877464D"/>
    <w:multiLevelType w:val="multilevel"/>
    <w:tmpl w:val="8E606D80"/>
    <w:lvl w:ilvl="0">
      <w:start w:val="1"/>
      <w:numFmt w:val="decimal"/>
      <w:lvlText w:val="%1."/>
      <w:lvlJc w:val="left"/>
      <w:pPr>
        <w:ind w:left="405" w:hanging="405"/>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88" w15:restartNumberingAfterBreak="0">
    <w:nsid w:val="48897CE9"/>
    <w:multiLevelType w:val="multilevel"/>
    <w:tmpl w:val="9EB87A88"/>
    <w:lvl w:ilvl="0">
      <w:start w:val="1"/>
      <w:numFmt w:val="decimal"/>
      <w:lvlText w:val="%1."/>
      <w:lvlJc w:val="left"/>
      <w:pPr>
        <w:ind w:left="450" w:hanging="360"/>
      </w:pPr>
      <w:rPr>
        <w:rFonts w:hint="default"/>
        <w:lang w:val="hy-AM"/>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289" w15:restartNumberingAfterBreak="0">
    <w:nsid w:val="49D65DD9"/>
    <w:multiLevelType w:val="multilevel"/>
    <w:tmpl w:val="1CD2171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0" w15:restartNumberingAfterBreak="0">
    <w:nsid w:val="49D71474"/>
    <w:multiLevelType w:val="multilevel"/>
    <w:tmpl w:val="A860F0E8"/>
    <w:lvl w:ilvl="0">
      <w:start w:val="1"/>
      <w:numFmt w:val="decimal"/>
      <w:lvlText w:val="%1."/>
      <w:lvlJc w:val="left"/>
      <w:pPr>
        <w:ind w:left="735" w:hanging="360"/>
      </w:pPr>
      <w:rPr>
        <w:rFonts w:cs="Times New Roman" w:hint="default"/>
        <w:b/>
      </w:rPr>
    </w:lvl>
    <w:lvl w:ilvl="1">
      <w:start w:val="1"/>
      <w:numFmt w:val="decimal"/>
      <w:isLgl/>
      <w:lvlText w:val="%1.%2."/>
      <w:lvlJc w:val="left"/>
      <w:pPr>
        <w:ind w:left="1620" w:hanging="720"/>
      </w:pPr>
      <w:rPr>
        <w:rFonts w:cs="Times New Roman" w:hint="default"/>
      </w:rPr>
    </w:lvl>
    <w:lvl w:ilvl="2">
      <w:start w:val="1"/>
      <w:numFmt w:val="decimal"/>
      <w:isLgl/>
      <w:lvlText w:val="%1.%2.%3."/>
      <w:lvlJc w:val="left"/>
      <w:pPr>
        <w:ind w:left="1095" w:hanging="720"/>
      </w:pPr>
      <w:rPr>
        <w:rFonts w:cs="Times New Roman" w:hint="default"/>
      </w:rPr>
    </w:lvl>
    <w:lvl w:ilvl="3">
      <w:start w:val="1"/>
      <w:numFmt w:val="decimal"/>
      <w:isLgl/>
      <w:lvlText w:val="%1.%2.%3.%4."/>
      <w:lvlJc w:val="left"/>
      <w:pPr>
        <w:ind w:left="1455" w:hanging="1080"/>
      </w:pPr>
      <w:rPr>
        <w:rFonts w:cs="Times New Roman" w:hint="default"/>
      </w:rPr>
    </w:lvl>
    <w:lvl w:ilvl="4">
      <w:start w:val="1"/>
      <w:numFmt w:val="decimal"/>
      <w:isLgl/>
      <w:lvlText w:val="%1.%2.%3.%4.%5."/>
      <w:lvlJc w:val="left"/>
      <w:pPr>
        <w:ind w:left="1455" w:hanging="1080"/>
      </w:pPr>
      <w:rPr>
        <w:rFonts w:cs="Times New Roman" w:hint="default"/>
      </w:rPr>
    </w:lvl>
    <w:lvl w:ilvl="5">
      <w:start w:val="1"/>
      <w:numFmt w:val="decimal"/>
      <w:isLgl/>
      <w:lvlText w:val="%1.%2.%3.%4.%5.%6."/>
      <w:lvlJc w:val="left"/>
      <w:pPr>
        <w:ind w:left="1815" w:hanging="1440"/>
      </w:pPr>
      <w:rPr>
        <w:rFonts w:cs="Times New Roman" w:hint="default"/>
      </w:rPr>
    </w:lvl>
    <w:lvl w:ilvl="6">
      <w:start w:val="1"/>
      <w:numFmt w:val="decimal"/>
      <w:isLgl/>
      <w:lvlText w:val="%1.%2.%3.%4.%5.%6.%7."/>
      <w:lvlJc w:val="left"/>
      <w:pPr>
        <w:ind w:left="2175" w:hanging="1800"/>
      </w:pPr>
      <w:rPr>
        <w:rFonts w:cs="Times New Roman" w:hint="default"/>
      </w:rPr>
    </w:lvl>
    <w:lvl w:ilvl="7">
      <w:start w:val="1"/>
      <w:numFmt w:val="decimal"/>
      <w:isLgl/>
      <w:lvlText w:val="%1.%2.%3.%4.%5.%6.%7.%8."/>
      <w:lvlJc w:val="left"/>
      <w:pPr>
        <w:ind w:left="2175" w:hanging="1800"/>
      </w:pPr>
      <w:rPr>
        <w:rFonts w:cs="Times New Roman" w:hint="default"/>
      </w:rPr>
    </w:lvl>
    <w:lvl w:ilvl="8">
      <w:start w:val="1"/>
      <w:numFmt w:val="decimal"/>
      <w:isLgl/>
      <w:lvlText w:val="%1.%2.%3.%4.%5.%6.%7.%8.%9."/>
      <w:lvlJc w:val="left"/>
      <w:pPr>
        <w:ind w:left="2535" w:hanging="2160"/>
      </w:pPr>
      <w:rPr>
        <w:rFonts w:cs="Times New Roman" w:hint="default"/>
      </w:rPr>
    </w:lvl>
  </w:abstractNum>
  <w:abstractNum w:abstractNumId="291" w15:restartNumberingAfterBreak="0">
    <w:nsid w:val="4A5854EE"/>
    <w:multiLevelType w:val="hybridMultilevel"/>
    <w:tmpl w:val="019C1C6E"/>
    <w:lvl w:ilvl="0" w:tplc="137A762C">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92" w15:restartNumberingAfterBreak="0">
    <w:nsid w:val="4AC65D3B"/>
    <w:multiLevelType w:val="multilevel"/>
    <w:tmpl w:val="EA0A13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3" w15:restartNumberingAfterBreak="0">
    <w:nsid w:val="4B165BD9"/>
    <w:multiLevelType w:val="multilevel"/>
    <w:tmpl w:val="0F8CC998"/>
    <w:lvl w:ilvl="0">
      <w:start w:val="1"/>
      <w:numFmt w:val="decimal"/>
      <w:lvlText w:val="%1."/>
      <w:lvlJc w:val="left"/>
      <w:pPr>
        <w:ind w:left="1095" w:hanging="360"/>
      </w:pPr>
    </w:lvl>
    <w:lvl w:ilvl="1">
      <w:start w:val="2"/>
      <w:numFmt w:val="decimal"/>
      <w:isLgl/>
      <w:lvlText w:val="%1.%2"/>
      <w:lvlJc w:val="left"/>
      <w:pPr>
        <w:ind w:left="1095" w:hanging="360"/>
      </w:pPr>
    </w:lvl>
    <w:lvl w:ilvl="2">
      <w:start w:val="1"/>
      <w:numFmt w:val="decimal"/>
      <w:isLgl/>
      <w:lvlText w:val="%1.%2.%3"/>
      <w:lvlJc w:val="left"/>
      <w:pPr>
        <w:ind w:left="1455" w:hanging="720"/>
      </w:pPr>
    </w:lvl>
    <w:lvl w:ilvl="3">
      <w:start w:val="1"/>
      <w:numFmt w:val="decimal"/>
      <w:isLgl/>
      <w:lvlText w:val="%1.%2.%3.%4"/>
      <w:lvlJc w:val="left"/>
      <w:pPr>
        <w:ind w:left="1815" w:hanging="1080"/>
      </w:pPr>
    </w:lvl>
    <w:lvl w:ilvl="4">
      <w:start w:val="1"/>
      <w:numFmt w:val="decimal"/>
      <w:isLgl/>
      <w:lvlText w:val="%1.%2.%3.%4.%5"/>
      <w:lvlJc w:val="left"/>
      <w:pPr>
        <w:ind w:left="1815" w:hanging="1080"/>
      </w:pPr>
    </w:lvl>
    <w:lvl w:ilvl="5">
      <w:start w:val="1"/>
      <w:numFmt w:val="decimal"/>
      <w:isLgl/>
      <w:lvlText w:val="%1.%2.%3.%4.%5.%6"/>
      <w:lvlJc w:val="left"/>
      <w:pPr>
        <w:ind w:left="2175" w:hanging="1440"/>
      </w:pPr>
    </w:lvl>
    <w:lvl w:ilvl="6">
      <w:start w:val="1"/>
      <w:numFmt w:val="decimal"/>
      <w:isLgl/>
      <w:lvlText w:val="%1.%2.%3.%4.%5.%6.%7"/>
      <w:lvlJc w:val="left"/>
      <w:pPr>
        <w:ind w:left="2175" w:hanging="1440"/>
      </w:pPr>
    </w:lvl>
    <w:lvl w:ilvl="7">
      <w:start w:val="1"/>
      <w:numFmt w:val="decimal"/>
      <w:isLgl/>
      <w:lvlText w:val="%1.%2.%3.%4.%5.%6.%7.%8"/>
      <w:lvlJc w:val="left"/>
      <w:pPr>
        <w:ind w:left="2535" w:hanging="1800"/>
      </w:pPr>
    </w:lvl>
    <w:lvl w:ilvl="8">
      <w:start w:val="1"/>
      <w:numFmt w:val="decimal"/>
      <w:isLgl/>
      <w:lvlText w:val="%1.%2.%3.%4.%5.%6.%7.%8.%9"/>
      <w:lvlJc w:val="left"/>
      <w:pPr>
        <w:ind w:left="2895" w:hanging="2160"/>
      </w:pPr>
    </w:lvl>
  </w:abstractNum>
  <w:abstractNum w:abstractNumId="294" w15:restartNumberingAfterBreak="0">
    <w:nsid w:val="4B467409"/>
    <w:multiLevelType w:val="hybridMultilevel"/>
    <w:tmpl w:val="BD144BE6"/>
    <w:lvl w:ilvl="0" w:tplc="5C708998">
      <w:start w:val="1"/>
      <w:numFmt w:val="bullet"/>
      <w:lvlText w:val="-"/>
      <w:lvlJc w:val="left"/>
      <w:pPr>
        <w:ind w:left="1080" w:hanging="360"/>
      </w:pPr>
      <w:rPr>
        <w:rFonts w:ascii="GHEA Grapalat" w:eastAsiaTheme="minorHAnsi" w:hAnsi="GHEA Grapalat" w:cs="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5" w15:restartNumberingAfterBreak="0">
    <w:nsid w:val="4B86161F"/>
    <w:multiLevelType w:val="hybridMultilevel"/>
    <w:tmpl w:val="F5AA38F4"/>
    <w:lvl w:ilvl="0" w:tplc="04090011">
      <w:start w:val="1"/>
      <w:numFmt w:val="decimal"/>
      <w:lvlText w:val="%1)"/>
      <w:lvlJc w:val="left"/>
      <w:pPr>
        <w:ind w:left="1080" w:hanging="360"/>
      </w:pPr>
      <w:rPr>
        <w:rFonts w:hint="default"/>
        <w:color w:val="000000"/>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6" w15:restartNumberingAfterBreak="0">
    <w:nsid w:val="4BAA0F70"/>
    <w:multiLevelType w:val="hybridMultilevel"/>
    <w:tmpl w:val="E83E1EB4"/>
    <w:lvl w:ilvl="0" w:tplc="00C613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7" w15:restartNumberingAfterBreak="0">
    <w:nsid w:val="4C55311E"/>
    <w:multiLevelType w:val="hybridMultilevel"/>
    <w:tmpl w:val="5C0218EA"/>
    <w:lvl w:ilvl="0" w:tplc="BFF22CE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8" w15:restartNumberingAfterBreak="0">
    <w:nsid w:val="4CF060FC"/>
    <w:multiLevelType w:val="multilevel"/>
    <w:tmpl w:val="D98460D2"/>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4D2C60A1"/>
    <w:multiLevelType w:val="multilevel"/>
    <w:tmpl w:val="AFE6898E"/>
    <w:lvl w:ilvl="0">
      <w:start w:val="1"/>
      <w:numFmt w:val="decimal"/>
      <w:lvlText w:val="%1."/>
      <w:lvlJc w:val="left"/>
      <w:pPr>
        <w:ind w:left="360" w:hanging="360"/>
      </w:pPr>
      <w:rPr>
        <w:rFonts w:hint="default"/>
        <w:b/>
      </w:rPr>
    </w:lvl>
    <w:lvl w:ilvl="1">
      <w:start w:val="1"/>
      <w:numFmt w:val="decimal"/>
      <w:isLgl/>
      <w:suff w:val="space"/>
      <w:lvlText w:val="%1.%2."/>
      <w:lvlJc w:val="left"/>
      <w:pPr>
        <w:ind w:left="1148" w:hanging="720"/>
      </w:pPr>
      <w:rPr>
        <w:rFonts w:hint="default"/>
        <w:b/>
      </w:rPr>
    </w:lvl>
    <w:lvl w:ilvl="2">
      <w:start w:val="1"/>
      <w:numFmt w:val="decimal"/>
      <w:isLgl/>
      <w:lvlText w:val="%1.%2.%3."/>
      <w:lvlJc w:val="left"/>
      <w:pPr>
        <w:ind w:left="1148" w:hanging="720"/>
      </w:pPr>
      <w:rPr>
        <w:rFonts w:hint="default"/>
        <w:b/>
      </w:rPr>
    </w:lvl>
    <w:lvl w:ilvl="3">
      <w:start w:val="1"/>
      <w:numFmt w:val="decimal"/>
      <w:isLgl/>
      <w:lvlText w:val="%1.%2.%3.%4."/>
      <w:lvlJc w:val="left"/>
      <w:pPr>
        <w:ind w:left="1508" w:hanging="1080"/>
      </w:pPr>
      <w:rPr>
        <w:rFonts w:hint="default"/>
        <w:b/>
      </w:rPr>
    </w:lvl>
    <w:lvl w:ilvl="4">
      <w:start w:val="1"/>
      <w:numFmt w:val="decimal"/>
      <w:isLgl/>
      <w:lvlText w:val="%1.%2.%3.%4.%5."/>
      <w:lvlJc w:val="left"/>
      <w:pPr>
        <w:ind w:left="1508" w:hanging="1080"/>
      </w:pPr>
      <w:rPr>
        <w:rFonts w:hint="default"/>
        <w:b/>
      </w:rPr>
    </w:lvl>
    <w:lvl w:ilvl="5">
      <w:start w:val="1"/>
      <w:numFmt w:val="decimal"/>
      <w:isLgl/>
      <w:lvlText w:val="%1.%2.%3.%4.%5.%6."/>
      <w:lvlJc w:val="left"/>
      <w:pPr>
        <w:ind w:left="1868" w:hanging="1440"/>
      </w:pPr>
      <w:rPr>
        <w:rFonts w:hint="default"/>
        <w:b/>
      </w:rPr>
    </w:lvl>
    <w:lvl w:ilvl="6">
      <w:start w:val="1"/>
      <w:numFmt w:val="decimal"/>
      <w:isLgl/>
      <w:lvlText w:val="%1.%2.%3.%4.%5.%6.%7."/>
      <w:lvlJc w:val="left"/>
      <w:pPr>
        <w:ind w:left="1868" w:hanging="1440"/>
      </w:pPr>
      <w:rPr>
        <w:rFonts w:hint="default"/>
        <w:b/>
      </w:rPr>
    </w:lvl>
    <w:lvl w:ilvl="7">
      <w:start w:val="1"/>
      <w:numFmt w:val="decimal"/>
      <w:isLgl/>
      <w:lvlText w:val="%1.%2.%3.%4.%5.%6.%7.%8."/>
      <w:lvlJc w:val="left"/>
      <w:pPr>
        <w:ind w:left="2228" w:hanging="1800"/>
      </w:pPr>
      <w:rPr>
        <w:rFonts w:hint="default"/>
        <w:b/>
      </w:rPr>
    </w:lvl>
    <w:lvl w:ilvl="8">
      <w:start w:val="1"/>
      <w:numFmt w:val="decimal"/>
      <w:isLgl/>
      <w:lvlText w:val="%1.%2.%3.%4.%5.%6.%7.%8.%9."/>
      <w:lvlJc w:val="left"/>
      <w:pPr>
        <w:ind w:left="2228" w:hanging="1800"/>
      </w:pPr>
      <w:rPr>
        <w:rFonts w:hint="default"/>
        <w:b/>
      </w:rPr>
    </w:lvl>
  </w:abstractNum>
  <w:abstractNum w:abstractNumId="300" w15:restartNumberingAfterBreak="0">
    <w:nsid w:val="4DF035CF"/>
    <w:multiLevelType w:val="multilevel"/>
    <w:tmpl w:val="D98460D2"/>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1" w15:restartNumberingAfterBreak="0">
    <w:nsid w:val="4DF741F0"/>
    <w:multiLevelType w:val="multilevel"/>
    <w:tmpl w:val="BF74542A"/>
    <w:lvl w:ilvl="0">
      <w:start w:val="1"/>
      <w:numFmt w:val="decimal"/>
      <w:lvlText w:val="%1"/>
      <w:lvlJc w:val="left"/>
      <w:pPr>
        <w:ind w:left="360" w:hanging="360"/>
      </w:pPr>
      <w:rPr>
        <w:rFonts w:hint="default"/>
        <w:b/>
      </w:rPr>
    </w:lvl>
    <w:lvl w:ilvl="1">
      <w:start w:val="2"/>
      <w:numFmt w:val="decimal"/>
      <w:lvlText w:val="%1.%2"/>
      <w:lvlJc w:val="left"/>
      <w:pPr>
        <w:ind w:left="660" w:hanging="360"/>
      </w:pPr>
      <w:rPr>
        <w:rFonts w:hint="default"/>
        <w:b/>
      </w:rPr>
    </w:lvl>
    <w:lvl w:ilvl="2">
      <w:start w:val="1"/>
      <w:numFmt w:val="decimal"/>
      <w:lvlText w:val="%1.%2.%3"/>
      <w:lvlJc w:val="left"/>
      <w:pPr>
        <w:ind w:left="1320" w:hanging="720"/>
      </w:pPr>
      <w:rPr>
        <w:rFonts w:hint="default"/>
        <w:b/>
      </w:rPr>
    </w:lvl>
    <w:lvl w:ilvl="3">
      <w:start w:val="1"/>
      <w:numFmt w:val="decimal"/>
      <w:lvlText w:val="%1.%2.%3.%4"/>
      <w:lvlJc w:val="left"/>
      <w:pPr>
        <w:ind w:left="1980" w:hanging="1080"/>
      </w:pPr>
      <w:rPr>
        <w:rFonts w:hint="default"/>
        <w:b/>
      </w:rPr>
    </w:lvl>
    <w:lvl w:ilvl="4">
      <w:start w:val="1"/>
      <w:numFmt w:val="decimal"/>
      <w:lvlText w:val="%1.%2.%3.%4.%5"/>
      <w:lvlJc w:val="left"/>
      <w:pPr>
        <w:ind w:left="2280" w:hanging="1080"/>
      </w:pPr>
      <w:rPr>
        <w:rFonts w:hint="default"/>
        <w:b/>
      </w:rPr>
    </w:lvl>
    <w:lvl w:ilvl="5">
      <w:start w:val="1"/>
      <w:numFmt w:val="decimal"/>
      <w:lvlText w:val="%1.%2.%3.%4.%5.%6"/>
      <w:lvlJc w:val="left"/>
      <w:pPr>
        <w:ind w:left="2940" w:hanging="1440"/>
      </w:pPr>
      <w:rPr>
        <w:rFonts w:hint="default"/>
        <w:b/>
      </w:rPr>
    </w:lvl>
    <w:lvl w:ilvl="6">
      <w:start w:val="1"/>
      <w:numFmt w:val="decimal"/>
      <w:lvlText w:val="%1.%2.%3.%4.%5.%6.%7"/>
      <w:lvlJc w:val="left"/>
      <w:pPr>
        <w:ind w:left="3240" w:hanging="1440"/>
      </w:pPr>
      <w:rPr>
        <w:rFonts w:hint="default"/>
        <w:b/>
      </w:rPr>
    </w:lvl>
    <w:lvl w:ilvl="7">
      <w:start w:val="1"/>
      <w:numFmt w:val="decimal"/>
      <w:lvlText w:val="%1.%2.%3.%4.%5.%6.%7.%8"/>
      <w:lvlJc w:val="left"/>
      <w:pPr>
        <w:ind w:left="3900" w:hanging="1800"/>
      </w:pPr>
      <w:rPr>
        <w:rFonts w:hint="default"/>
        <w:b/>
      </w:rPr>
    </w:lvl>
    <w:lvl w:ilvl="8">
      <w:start w:val="1"/>
      <w:numFmt w:val="decimal"/>
      <w:lvlText w:val="%1.%2.%3.%4.%5.%6.%7.%8.%9"/>
      <w:lvlJc w:val="left"/>
      <w:pPr>
        <w:ind w:left="4560" w:hanging="2160"/>
      </w:pPr>
      <w:rPr>
        <w:rFonts w:hint="default"/>
        <w:b/>
      </w:rPr>
    </w:lvl>
  </w:abstractNum>
  <w:abstractNum w:abstractNumId="302" w15:restartNumberingAfterBreak="0">
    <w:nsid w:val="4E32105B"/>
    <w:multiLevelType w:val="multilevel"/>
    <w:tmpl w:val="A938491E"/>
    <w:lvl w:ilvl="0">
      <w:start w:val="1"/>
      <w:numFmt w:val="decimal"/>
      <w:lvlText w:val="%1."/>
      <w:lvlJc w:val="left"/>
      <w:pPr>
        <w:ind w:left="735" w:hanging="360"/>
      </w:pPr>
      <w:rPr>
        <w:rFonts w:hint="default"/>
      </w:rPr>
    </w:lvl>
    <w:lvl w:ilvl="1">
      <w:start w:val="1"/>
      <w:numFmt w:val="decimal"/>
      <w:isLgl/>
      <w:lvlText w:val="%1.%2."/>
      <w:lvlJc w:val="left"/>
      <w:pPr>
        <w:ind w:left="735" w:hanging="36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095" w:hanging="72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455" w:hanging="108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1815" w:hanging="1440"/>
      </w:pPr>
      <w:rPr>
        <w:rFonts w:hint="default"/>
      </w:rPr>
    </w:lvl>
    <w:lvl w:ilvl="8">
      <w:start w:val="1"/>
      <w:numFmt w:val="decimal"/>
      <w:isLgl/>
      <w:lvlText w:val="%1.%2.%3.%4.%5.%6.%7.%8.%9."/>
      <w:lvlJc w:val="left"/>
      <w:pPr>
        <w:ind w:left="2175" w:hanging="1800"/>
      </w:pPr>
      <w:rPr>
        <w:rFonts w:hint="default"/>
      </w:rPr>
    </w:lvl>
  </w:abstractNum>
  <w:abstractNum w:abstractNumId="303" w15:restartNumberingAfterBreak="0">
    <w:nsid w:val="4E9B5C8F"/>
    <w:multiLevelType w:val="hybridMultilevel"/>
    <w:tmpl w:val="2A6CC2F2"/>
    <w:styleLink w:val="WW8Num192"/>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304" w15:restartNumberingAfterBreak="0">
    <w:nsid w:val="4ED46227"/>
    <w:multiLevelType w:val="multilevel"/>
    <w:tmpl w:val="FF9E06C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5" w15:restartNumberingAfterBreak="0">
    <w:nsid w:val="4EE910E2"/>
    <w:multiLevelType w:val="hybridMultilevel"/>
    <w:tmpl w:val="D054C18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6" w15:restartNumberingAfterBreak="0">
    <w:nsid w:val="4F3C68AD"/>
    <w:multiLevelType w:val="multilevel"/>
    <w:tmpl w:val="D6FE64A6"/>
    <w:lvl w:ilvl="0">
      <w:start w:val="1"/>
      <w:numFmt w:val="decimal"/>
      <w:lvlText w:val="%1."/>
      <w:lvlJc w:val="left"/>
      <w:pPr>
        <w:ind w:left="1495" w:hanging="360"/>
      </w:pPr>
    </w:lvl>
    <w:lvl w:ilvl="1">
      <w:start w:val="1"/>
      <w:numFmt w:val="decimal"/>
      <w:isLgl/>
      <w:lvlText w:val="%1.%2."/>
      <w:lvlJc w:val="left"/>
      <w:pPr>
        <w:ind w:left="1095" w:hanging="720"/>
      </w:pPr>
    </w:lvl>
    <w:lvl w:ilvl="2">
      <w:start w:val="1"/>
      <w:numFmt w:val="decimal"/>
      <w:isLgl/>
      <w:lvlText w:val="%1.%2.%3."/>
      <w:lvlJc w:val="left"/>
      <w:pPr>
        <w:ind w:left="1095" w:hanging="720"/>
      </w:pPr>
    </w:lvl>
    <w:lvl w:ilvl="3">
      <w:start w:val="1"/>
      <w:numFmt w:val="decimal"/>
      <w:isLgl/>
      <w:lvlText w:val="%1.%2.%3.%4."/>
      <w:lvlJc w:val="left"/>
      <w:pPr>
        <w:ind w:left="1455" w:hanging="1080"/>
      </w:pPr>
    </w:lvl>
    <w:lvl w:ilvl="4">
      <w:start w:val="1"/>
      <w:numFmt w:val="decimal"/>
      <w:isLgl/>
      <w:lvlText w:val="%1.%2.%3.%4.%5."/>
      <w:lvlJc w:val="left"/>
      <w:pPr>
        <w:ind w:left="1455" w:hanging="1080"/>
      </w:pPr>
    </w:lvl>
    <w:lvl w:ilvl="5">
      <w:start w:val="1"/>
      <w:numFmt w:val="decimal"/>
      <w:isLgl/>
      <w:lvlText w:val="%1.%2.%3.%4.%5.%6."/>
      <w:lvlJc w:val="left"/>
      <w:pPr>
        <w:ind w:left="1815" w:hanging="1440"/>
      </w:pPr>
    </w:lvl>
    <w:lvl w:ilvl="6">
      <w:start w:val="1"/>
      <w:numFmt w:val="decimal"/>
      <w:isLgl/>
      <w:lvlText w:val="%1.%2.%3.%4.%5.%6.%7."/>
      <w:lvlJc w:val="left"/>
      <w:pPr>
        <w:ind w:left="2175" w:hanging="1800"/>
      </w:pPr>
    </w:lvl>
    <w:lvl w:ilvl="7">
      <w:start w:val="1"/>
      <w:numFmt w:val="decimal"/>
      <w:isLgl/>
      <w:lvlText w:val="%1.%2.%3.%4.%5.%6.%7.%8."/>
      <w:lvlJc w:val="left"/>
      <w:pPr>
        <w:ind w:left="2175" w:hanging="1800"/>
      </w:pPr>
    </w:lvl>
    <w:lvl w:ilvl="8">
      <w:start w:val="1"/>
      <w:numFmt w:val="decimal"/>
      <w:isLgl/>
      <w:lvlText w:val="%1.%2.%3.%4.%5.%6.%7.%8.%9."/>
      <w:lvlJc w:val="left"/>
      <w:pPr>
        <w:ind w:left="2535" w:hanging="2160"/>
      </w:pPr>
    </w:lvl>
  </w:abstractNum>
  <w:abstractNum w:abstractNumId="307" w15:restartNumberingAfterBreak="0">
    <w:nsid w:val="4F4F4609"/>
    <w:multiLevelType w:val="hybridMultilevel"/>
    <w:tmpl w:val="0D76D258"/>
    <w:lvl w:ilvl="0" w:tplc="FB34B4F0">
      <w:start w:val="1"/>
      <w:numFmt w:val="decimal"/>
      <w:lvlText w:val="%1."/>
      <w:lvlJc w:val="left"/>
      <w:pPr>
        <w:ind w:left="1776" w:hanging="360"/>
      </w:pPr>
      <w:rPr>
        <w:rFonts w:eastAsia="Times New Roman" w:hint="default"/>
        <w:b/>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308" w15:restartNumberingAfterBreak="0">
    <w:nsid w:val="4F8146F6"/>
    <w:multiLevelType w:val="multilevel"/>
    <w:tmpl w:val="EE083D2C"/>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09" w15:restartNumberingAfterBreak="0">
    <w:nsid w:val="4FC32852"/>
    <w:multiLevelType w:val="hybridMultilevel"/>
    <w:tmpl w:val="01627F16"/>
    <w:lvl w:ilvl="0" w:tplc="6EF88AF2">
      <w:start w:val="1"/>
      <w:numFmt w:val="decimal"/>
      <w:lvlText w:val="%1)"/>
      <w:lvlJc w:val="left"/>
      <w:pPr>
        <w:ind w:left="735" w:hanging="36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310" w15:restartNumberingAfterBreak="0">
    <w:nsid w:val="4FD60D2C"/>
    <w:multiLevelType w:val="multilevel"/>
    <w:tmpl w:val="9EB87A88"/>
    <w:lvl w:ilvl="0">
      <w:start w:val="1"/>
      <w:numFmt w:val="decimal"/>
      <w:lvlText w:val="%1."/>
      <w:lvlJc w:val="left"/>
      <w:pPr>
        <w:ind w:left="450" w:hanging="360"/>
      </w:pPr>
      <w:rPr>
        <w:rFonts w:hint="default"/>
        <w:lang w:val="hy-AM"/>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311" w15:restartNumberingAfterBreak="0">
    <w:nsid w:val="4FF95565"/>
    <w:multiLevelType w:val="hybridMultilevel"/>
    <w:tmpl w:val="A0CEA1BE"/>
    <w:lvl w:ilvl="0" w:tplc="33C6A6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15:restartNumberingAfterBreak="0">
    <w:nsid w:val="500767FB"/>
    <w:multiLevelType w:val="hybridMultilevel"/>
    <w:tmpl w:val="BBD6B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500C1AC8"/>
    <w:multiLevelType w:val="multilevel"/>
    <w:tmpl w:val="6040DE1E"/>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14" w15:restartNumberingAfterBreak="0">
    <w:nsid w:val="50BD328F"/>
    <w:multiLevelType w:val="hybridMultilevel"/>
    <w:tmpl w:val="9FAC25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5" w15:restartNumberingAfterBreak="0">
    <w:nsid w:val="50E817DF"/>
    <w:multiLevelType w:val="multilevel"/>
    <w:tmpl w:val="572A75C8"/>
    <w:lvl w:ilvl="0">
      <w:start w:val="1"/>
      <w:numFmt w:val="decimal"/>
      <w:lvlText w:val="%1."/>
      <w:lvlJc w:val="left"/>
      <w:pPr>
        <w:ind w:left="72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50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940" w:hanging="1800"/>
      </w:pPr>
      <w:rPr>
        <w:rFonts w:hint="default"/>
      </w:rPr>
    </w:lvl>
    <w:lvl w:ilvl="8">
      <w:start w:val="1"/>
      <w:numFmt w:val="decimal"/>
      <w:isLgl/>
      <w:lvlText w:val="%1.%2.%3.%4.%5.%6.%7.%8.%9"/>
      <w:lvlJc w:val="left"/>
      <w:pPr>
        <w:ind w:left="6840" w:hanging="2160"/>
      </w:pPr>
      <w:rPr>
        <w:rFonts w:hint="default"/>
      </w:rPr>
    </w:lvl>
  </w:abstractNum>
  <w:abstractNum w:abstractNumId="316" w15:restartNumberingAfterBreak="0">
    <w:nsid w:val="513E6EBA"/>
    <w:multiLevelType w:val="multilevel"/>
    <w:tmpl w:val="922634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7" w15:restartNumberingAfterBreak="0">
    <w:nsid w:val="515C7637"/>
    <w:multiLevelType w:val="multilevel"/>
    <w:tmpl w:val="D8E0A8CE"/>
    <w:lvl w:ilvl="0">
      <w:start w:val="1"/>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318" w15:restartNumberingAfterBreak="0">
    <w:nsid w:val="51794FC5"/>
    <w:multiLevelType w:val="multilevel"/>
    <w:tmpl w:val="E9C4A732"/>
    <w:lvl w:ilvl="0">
      <w:start w:val="1"/>
      <w:numFmt w:val="decimal"/>
      <w:lvlText w:val="%1"/>
      <w:lvlJc w:val="left"/>
      <w:pPr>
        <w:ind w:left="360" w:hanging="360"/>
      </w:pPr>
      <w:rPr>
        <w:rFonts w:hint="default"/>
      </w:rPr>
    </w:lvl>
    <w:lvl w:ilvl="1">
      <w:start w:val="1"/>
      <w:numFmt w:val="decimal"/>
      <w:lvlText w:val="%1.%2"/>
      <w:lvlJc w:val="left"/>
      <w:pPr>
        <w:ind w:left="806" w:hanging="360"/>
      </w:pPr>
      <w:rPr>
        <w:rFonts w:hint="default"/>
      </w:rPr>
    </w:lvl>
    <w:lvl w:ilvl="2">
      <w:start w:val="1"/>
      <w:numFmt w:val="decimal"/>
      <w:lvlText w:val="%1.%2.%3"/>
      <w:lvlJc w:val="left"/>
      <w:pPr>
        <w:ind w:left="1612" w:hanging="720"/>
      </w:pPr>
      <w:rPr>
        <w:rFonts w:hint="default"/>
      </w:rPr>
    </w:lvl>
    <w:lvl w:ilvl="3">
      <w:start w:val="1"/>
      <w:numFmt w:val="decimal"/>
      <w:lvlText w:val="%1.%2.%3.%4"/>
      <w:lvlJc w:val="left"/>
      <w:pPr>
        <w:ind w:left="2058" w:hanging="720"/>
      </w:pPr>
      <w:rPr>
        <w:rFonts w:hint="default"/>
      </w:rPr>
    </w:lvl>
    <w:lvl w:ilvl="4">
      <w:start w:val="1"/>
      <w:numFmt w:val="decimal"/>
      <w:lvlText w:val="%1.%2.%3.%4.%5"/>
      <w:lvlJc w:val="left"/>
      <w:pPr>
        <w:ind w:left="2864" w:hanging="1080"/>
      </w:pPr>
      <w:rPr>
        <w:rFonts w:hint="default"/>
      </w:rPr>
    </w:lvl>
    <w:lvl w:ilvl="5">
      <w:start w:val="1"/>
      <w:numFmt w:val="decimal"/>
      <w:lvlText w:val="%1.%2.%3.%4.%5.%6"/>
      <w:lvlJc w:val="left"/>
      <w:pPr>
        <w:ind w:left="3670" w:hanging="1440"/>
      </w:pPr>
      <w:rPr>
        <w:rFonts w:hint="default"/>
      </w:rPr>
    </w:lvl>
    <w:lvl w:ilvl="6">
      <w:start w:val="1"/>
      <w:numFmt w:val="decimal"/>
      <w:lvlText w:val="%1.%2.%3.%4.%5.%6.%7"/>
      <w:lvlJc w:val="left"/>
      <w:pPr>
        <w:ind w:left="4116" w:hanging="1440"/>
      </w:pPr>
      <w:rPr>
        <w:rFonts w:hint="default"/>
      </w:rPr>
    </w:lvl>
    <w:lvl w:ilvl="7">
      <w:start w:val="1"/>
      <w:numFmt w:val="decimal"/>
      <w:lvlText w:val="%1.%2.%3.%4.%5.%6.%7.%8"/>
      <w:lvlJc w:val="left"/>
      <w:pPr>
        <w:ind w:left="4922" w:hanging="1800"/>
      </w:pPr>
      <w:rPr>
        <w:rFonts w:hint="default"/>
      </w:rPr>
    </w:lvl>
    <w:lvl w:ilvl="8">
      <w:start w:val="1"/>
      <w:numFmt w:val="decimal"/>
      <w:lvlText w:val="%1.%2.%3.%4.%5.%6.%7.%8.%9"/>
      <w:lvlJc w:val="left"/>
      <w:pPr>
        <w:ind w:left="5368" w:hanging="1800"/>
      </w:pPr>
      <w:rPr>
        <w:rFonts w:hint="default"/>
      </w:rPr>
    </w:lvl>
  </w:abstractNum>
  <w:abstractNum w:abstractNumId="319" w15:restartNumberingAfterBreak="0">
    <w:nsid w:val="51CD6B60"/>
    <w:multiLevelType w:val="multilevel"/>
    <w:tmpl w:val="1E2A727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20" w15:restartNumberingAfterBreak="0">
    <w:nsid w:val="51D65814"/>
    <w:multiLevelType w:val="multilevel"/>
    <w:tmpl w:val="A93852A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1" w15:restartNumberingAfterBreak="0">
    <w:nsid w:val="51F30CC7"/>
    <w:multiLevelType w:val="multilevel"/>
    <w:tmpl w:val="A4E210DC"/>
    <w:lvl w:ilvl="0">
      <w:start w:val="1"/>
      <w:numFmt w:val="decimal"/>
      <w:lvlText w:val="%1"/>
      <w:lvlJc w:val="left"/>
      <w:pPr>
        <w:ind w:left="360" w:hanging="360"/>
      </w:pPr>
      <w:rPr>
        <w:rFonts w:cs="Sylfaen" w:hint="default"/>
      </w:rPr>
    </w:lvl>
    <w:lvl w:ilvl="1">
      <w:start w:val="2"/>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440" w:hanging="144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800" w:hanging="1800"/>
      </w:pPr>
      <w:rPr>
        <w:rFonts w:cs="Sylfaen" w:hint="default"/>
      </w:rPr>
    </w:lvl>
    <w:lvl w:ilvl="8">
      <w:start w:val="1"/>
      <w:numFmt w:val="decimal"/>
      <w:lvlText w:val="%1.%2.%3.%4.%5.%6.%7.%8.%9"/>
      <w:lvlJc w:val="left"/>
      <w:pPr>
        <w:ind w:left="1800" w:hanging="1800"/>
      </w:pPr>
      <w:rPr>
        <w:rFonts w:cs="Sylfaen" w:hint="default"/>
      </w:rPr>
    </w:lvl>
  </w:abstractNum>
  <w:abstractNum w:abstractNumId="322" w15:restartNumberingAfterBreak="0">
    <w:nsid w:val="521A02C4"/>
    <w:multiLevelType w:val="multilevel"/>
    <w:tmpl w:val="095416BE"/>
    <w:lvl w:ilvl="0">
      <w:start w:val="1"/>
      <w:numFmt w:val="decimal"/>
      <w:lvlText w:val="%1."/>
      <w:lvlJc w:val="left"/>
      <w:pPr>
        <w:ind w:left="45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510" w:hanging="1800"/>
      </w:pPr>
      <w:rPr>
        <w:rFonts w:hint="default"/>
      </w:rPr>
    </w:lvl>
    <w:lvl w:ilvl="7">
      <w:start w:val="1"/>
      <w:numFmt w:val="decimal"/>
      <w:isLgl/>
      <w:lvlText w:val="%1.%2.%3.%4.%5.%6.%7.%8."/>
      <w:lvlJc w:val="left"/>
      <w:pPr>
        <w:ind w:left="3780" w:hanging="1800"/>
      </w:pPr>
      <w:rPr>
        <w:rFonts w:hint="default"/>
      </w:rPr>
    </w:lvl>
    <w:lvl w:ilvl="8">
      <w:start w:val="1"/>
      <w:numFmt w:val="decimal"/>
      <w:isLgl/>
      <w:lvlText w:val="%1.%2.%3.%4.%5.%6.%7.%8.%9."/>
      <w:lvlJc w:val="left"/>
      <w:pPr>
        <w:ind w:left="4410" w:hanging="2160"/>
      </w:pPr>
      <w:rPr>
        <w:rFonts w:hint="default"/>
      </w:rPr>
    </w:lvl>
  </w:abstractNum>
  <w:abstractNum w:abstractNumId="323" w15:restartNumberingAfterBreak="0">
    <w:nsid w:val="522D4DC9"/>
    <w:multiLevelType w:val="multilevel"/>
    <w:tmpl w:val="86E47E80"/>
    <w:lvl w:ilvl="0">
      <w:start w:val="1"/>
      <w:numFmt w:val="decimal"/>
      <w:lvlText w:val="%1."/>
      <w:lvlJc w:val="left"/>
      <w:pPr>
        <w:ind w:left="1440" w:hanging="360"/>
      </w:pPr>
      <w:rPr>
        <w:rFonts w:ascii="Arial" w:hAnsi="Arial" w:hint="default"/>
      </w:rPr>
    </w:lvl>
    <w:lvl w:ilvl="1">
      <w:start w:val="1"/>
      <w:numFmt w:val="decimal"/>
      <w:isLgl/>
      <w:lvlText w:val="%1.%2."/>
      <w:lvlJc w:val="left"/>
      <w:pPr>
        <w:ind w:left="2880" w:hanging="72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480" w:hanging="1080"/>
      </w:pPr>
      <w:rPr>
        <w:rFonts w:hint="default"/>
      </w:rPr>
    </w:lvl>
    <w:lvl w:ilvl="5">
      <w:start w:val="1"/>
      <w:numFmt w:val="decimal"/>
      <w:isLgl/>
      <w:lvlText w:val="%1.%2.%3.%4.%5.%6."/>
      <w:lvlJc w:val="left"/>
      <w:pPr>
        <w:ind w:left="7920" w:hanging="144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440" w:hanging="1800"/>
      </w:pPr>
      <w:rPr>
        <w:rFonts w:hint="default"/>
      </w:rPr>
    </w:lvl>
    <w:lvl w:ilvl="8">
      <w:start w:val="1"/>
      <w:numFmt w:val="decimal"/>
      <w:isLgl/>
      <w:lvlText w:val="%1.%2.%3.%4.%5.%6.%7.%8.%9."/>
      <w:lvlJc w:val="left"/>
      <w:pPr>
        <w:ind w:left="11880" w:hanging="2160"/>
      </w:pPr>
      <w:rPr>
        <w:rFonts w:hint="default"/>
      </w:rPr>
    </w:lvl>
  </w:abstractNum>
  <w:abstractNum w:abstractNumId="324" w15:restartNumberingAfterBreak="0">
    <w:nsid w:val="52316C4C"/>
    <w:multiLevelType w:val="hybridMultilevel"/>
    <w:tmpl w:val="68888D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15:restartNumberingAfterBreak="0">
    <w:nsid w:val="523F7A2F"/>
    <w:multiLevelType w:val="multilevel"/>
    <w:tmpl w:val="D7346520"/>
    <w:lvl w:ilvl="0">
      <w:start w:val="1"/>
      <w:numFmt w:val="decimal"/>
      <w:lvlText w:val="%1."/>
      <w:lvlJc w:val="left"/>
      <w:pPr>
        <w:ind w:left="1094" w:hanging="360"/>
      </w:pPr>
      <w:rPr>
        <w:rFonts w:hint="default"/>
        <w:b/>
      </w:rPr>
    </w:lvl>
    <w:lvl w:ilvl="1">
      <w:start w:val="1"/>
      <w:numFmt w:val="decimal"/>
      <w:isLgl/>
      <w:lvlText w:val="%1.%2"/>
      <w:lvlJc w:val="left"/>
      <w:pPr>
        <w:ind w:left="1094" w:hanging="360"/>
      </w:pPr>
      <w:rPr>
        <w:rFonts w:cs="Sylfaen" w:hint="default"/>
      </w:rPr>
    </w:lvl>
    <w:lvl w:ilvl="2">
      <w:start w:val="1"/>
      <w:numFmt w:val="decimal"/>
      <w:isLgl/>
      <w:lvlText w:val="%1.%2.%3"/>
      <w:lvlJc w:val="left"/>
      <w:pPr>
        <w:ind w:left="1454" w:hanging="720"/>
      </w:pPr>
      <w:rPr>
        <w:rFonts w:cs="Sylfaen" w:hint="default"/>
      </w:rPr>
    </w:lvl>
    <w:lvl w:ilvl="3">
      <w:start w:val="1"/>
      <w:numFmt w:val="decimal"/>
      <w:isLgl/>
      <w:lvlText w:val="%1.%2.%3.%4"/>
      <w:lvlJc w:val="left"/>
      <w:pPr>
        <w:ind w:left="1454" w:hanging="720"/>
      </w:pPr>
      <w:rPr>
        <w:rFonts w:cs="Sylfaen" w:hint="default"/>
      </w:rPr>
    </w:lvl>
    <w:lvl w:ilvl="4">
      <w:start w:val="1"/>
      <w:numFmt w:val="decimal"/>
      <w:isLgl/>
      <w:lvlText w:val="%1.%2.%3.%4.%5"/>
      <w:lvlJc w:val="left"/>
      <w:pPr>
        <w:ind w:left="1814" w:hanging="1080"/>
      </w:pPr>
      <w:rPr>
        <w:rFonts w:cs="Sylfaen" w:hint="default"/>
      </w:rPr>
    </w:lvl>
    <w:lvl w:ilvl="5">
      <w:start w:val="1"/>
      <w:numFmt w:val="decimal"/>
      <w:isLgl/>
      <w:lvlText w:val="%1.%2.%3.%4.%5.%6"/>
      <w:lvlJc w:val="left"/>
      <w:pPr>
        <w:ind w:left="2174" w:hanging="1440"/>
      </w:pPr>
      <w:rPr>
        <w:rFonts w:cs="Sylfaen" w:hint="default"/>
      </w:rPr>
    </w:lvl>
    <w:lvl w:ilvl="6">
      <w:start w:val="1"/>
      <w:numFmt w:val="decimal"/>
      <w:isLgl/>
      <w:lvlText w:val="%1.%2.%3.%4.%5.%6.%7"/>
      <w:lvlJc w:val="left"/>
      <w:pPr>
        <w:ind w:left="2174" w:hanging="1440"/>
      </w:pPr>
      <w:rPr>
        <w:rFonts w:cs="Sylfaen" w:hint="default"/>
      </w:rPr>
    </w:lvl>
    <w:lvl w:ilvl="7">
      <w:start w:val="1"/>
      <w:numFmt w:val="decimal"/>
      <w:isLgl/>
      <w:lvlText w:val="%1.%2.%3.%4.%5.%6.%7.%8"/>
      <w:lvlJc w:val="left"/>
      <w:pPr>
        <w:ind w:left="2534" w:hanging="1800"/>
      </w:pPr>
      <w:rPr>
        <w:rFonts w:cs="Sylfaen" w:hint="default"/>
      </w:rPr>
    </w:lvl>
    <w:lvl w:ilvl="8">
      <w:start w:val="1"/>
      <w:numFmt w:val="decimal"/>
      <w:isLgl/>
      <w:lvlText w:val="%1.%2.%3.%4.%5.%6.%7.%8.%9"/>
      <w:lvlJc w:val="left"/>
      <w:pPr>
        <w:ind w:left="2534" w:hanging="1800"/>
      </w:pPr>
      <w:rPr>
        <w:rFonts w:cs="Sylfaen" w:hint="default"/>
      </w:rPr>
    </w:lvl>
  </w:abstractNum>
  <w:abstractNum w:abstractNumId="326" w15:restartNumberingAfterBreak="0">
    <w:nsid w:val="52610725"/>
    <w:multiLevelType w:val="multilevel"/>
    <w:tmpl w:val="9EB87A88"/>
    <w:lvl w:ilvl="0">
      <w:start w:val="1"/>
      <w:numFmt w:val="decimal"/>
      <w:lvlText w:val="%1."/>
      <w:lvlJc w:val="left"/>
      <w:pPr>
        <w:ind w:left="450" w:hanging="360"/>
      </w:pPr>
      <w:rPr>
        <w:rFonts w:hint="default"/>
        <w:lang w:val="hy-AM"/>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327" w15:restartNumberingAfterBreak="0">
    <w:nsid w:val="52956211"/>
    <w:multiLevelType w:val="hybridMultilevel"/>
    <w:tmpl w:val="810E7950"/>
    <w:lvl w:ilvl="0" w:tplc="883ABC68">
      <w:start w:val="1"/>
      <w:numFmt w:val="decimal"/>
      <w:lvlText w:val="%1."/>
      <w:lvlJc w:val="left"/>
      <w:pPr>
        <w:ind w:left="450" w:hanging="360"/>
      </w:pPr>
      <w:rPr>
        <w:rFonts w:hint="default"/>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28" w15:restartNumberingAfterBreak="0">
    <w:nsid w:val="52A7188B"/>
    <w:multiLevelType w:val="multilevel"/>
    <w:tmpl w:val="22BCE992"/>
    <w:lvl w:ilvl="0">
      <w:start w:val="1"/>
      <w:numFmt w:val="decimal"/>
      <w:lvlText w:val="%1."/>
      <w:lvlJc w:val="left"/>
      <w:pPr>
        <w:ind w:left="420" w:hanging="420"/>
      </w:pPr>
      <w:rPr>
        <w:rFonts w:cs="GHEA Grapalat" w:hint="default"/>
      </w:rPr>
    </w:lvl>
    <w:lvl w:ilvl="1">
      <w:start w:val="1"/>
      <w:numFmt w:val="decimal"/>
      <w:lvlText w:val="%1.%2."/>
      <w:lvlJc w:val="left"/>
      <w:pPr>
        <w:ind w:left="1155" w:hanging="420"/>
      </w:pPr>
      <w:rPr>
        <w:rFonts w:cs="GHEA Grapalat" w:hint="default"/>
      </w:rPr>
    </w:lvl>
    <w:lvl w:ilvl="2">
      <w:start w:val="1"/>
      <w:numFmt w:val="decimal"/>
      <w:lvlText w:val="%1.%2.%3."/>
      <w:lvlJc w:val="left"/>
      <w:pPr>
        <w:ind w:left="2190" w:hanging="720"/>
      </w:pPr>
      <w:rPr>
        <w:rFonts w:cs="GHEA Grapalat" w:hint="default"/>
      </w:rPr>
    </w:lvl>
    <w:lvl w:ilvl="3">
      <w:start w:val="1"/>
      <w:numFmt w:val="decimal"/>
      <w:lvlText w:val="%1.%2.%3.%4."/>
      <w:lvlJc w:val="left"/>
      <w:pPr>
        <w:ind w:left="2925" w:hanging="720"/>
      </w:pPr>
      <w:rPr>
        <w:rFonts w:cs="GHEA Grapalat" w:hint="default"/>
      </w:rPr>
    </w:lvl>
    <w:lvl w:ilvl="4">
      <w:start w:val="1"/>
      <w:numFmt w:val="decimal"/>
      <w:lvlText w:val="%1.%2.%3.%4.%5."/>
      <w:lvlJc w:val="left"/>
      <w:pPr>
        <w:ind w:left="4020" w:hanging="1080"/>
      </w:pPr>
      <w:rPr>
        <w:rFonts w:cs="GHEA Grapalat" w:hint="default"/>
      </w:rPr>
    </w:lvl>
    <w:lvl w:ilvl="5">
      <w:start w:val="1"/>
      <w:numFmt w:val="decimal"/>
      <w:lvlText w:val="%1.%2.%3.%4.%5.%6."/>
      <w:lvlJc w:val="left"/>
      <w:pPr>
        <w:ind w:left="4755" w:hanging="1080"/>
      </w:pPr>
      <w:rPr>
        <w:rFonts w:cs="GHEA Grapalat" w:hint="default"/>
      </w:rPr>
    </w:lvl>
    <w:lvl w:ilvl="6">
      <w:start w:val="1"/>
      <w:numFmt w:val="decimal"/>
      <w:lvlText w:val="%1.%2.%3.%4.%5.%6.%7."/>
      <w:lvlJc w:val="left"/>
      <w:pPr>
        <w:ind w:left="5850" w:hanging="1440"/>
      </w:pPr>
      <w:rPr>
        <w:rFonts w:cs="GHEA Grapalat" w:hint="default"/>
      </w:rPr>
    </w:lvl>
    <w:lvl w:ilvl="7">
      <w:start w:val="1"/>
      <w:numFmt w:val="decimal"/>
      <w:lvlText w:val="%1.%2.%3.%4.%5.%6.%7.%8."/>
      <w:lvlJc w:val="left"/>
      <w:pPr>
        <w:ind w:left="6585" w:hanging="1440"/>
      </w:pPr>
      <w:rPr>
        <w:rFonts w:cs="GHEA Grapalat" w:hint="default"/>
      </w:rPr>
    </w:lvl>
    <w:lvl w:ilvl="8">
      <w:start w:val="1"/>
      <w:numFmt w:val="decimal"/>
      <w:lvlText w:val="%1.%2.%3.%4.%5.%6.%7.%8.%9."/>
      <w:lvlJc w:val="left"/>
      <w:pPr>
        <w:ind w:left="7680" w:hanging="1800"/>
      </w:pPr>
      <w:rPr>
        <w:rFonts w:cs="GHEA Grapalat" w:hint="default"/>
      </w:rPr>
    </w:lvl>
  </w:abstractNum>
  <w:abstractNum w:abstractNumId="329" w15:restartNumberingAfterBreak="0">
    <w:nsid w:val="53506B98"/>
    <w:multiLevelType w:val="multilevel"/>
    <w:tmpl w:val="D928738C"/>
    <w:lvl w:ilvl="0">
      <w:start w:val="1"/>
      <w:numFmt w:val="decimal"/>
      <w:lvlText w:val="%1"/>
      <w:lvlJc w:val="left"/>
      <w:pPr>
        <w:ind w:left="360" w:hanging="360"/>
      </w:pPr>
      <w:rPr>
        <w:rFonts w:eastAsia="Times New Roman" w:cs="Times New Roman" w:hint="default"/>
      </w:rPr>
    </w:lvl>
    <w:lvl w:ilvl="1">
      <w:start w:val="1"/>
      <w:numFmt w:val="decimal"/>
      <w:lvlText w:val="%1.%2"/>
      <w:lvlJc w:val="left"/>
      <w:pPr>
        <w:ind w:left="927" w:hanging="360"/>
      </w:pPr>
      <w:rPr>
        <w:rFonts w:eastAsia="Times New Roman" w:cs="Times New Roman" w:hint="default"/>
      </w:rPr>
    </w:lvl>
    <w:lvl w:ilvl="2">
      <w:start w:val="1"/>
      <w:numFmt w:val="decimal"/>
      <w:lvlText w:val="%1.%2.%3"/>
      <w:lvlJc w:val="left"/>
      <w:pPr>
        <w:ind w:left="1854" w:hanging="720"/>
      </w:pPr>
      <w:rPr>
        <w:rFonts w:eastAsia="Times New Roman" w:cs="Times New Roman" w:hint="default"/>
      </w:rPr>
    </w:lvl>
    <w:lvl w:ilvl="3">
      <w:start w:val="1"/>
      <w:numFmt w:val="decimal"/>
      <w:lvlText w:val="%1.%2.%3.%4"/>
      <w:lvlJc w:val="left"/>
      <w:pPr>
        <w:ind w:left="2781" w:hanging="1080"/>
      </w:pPr>
      <w:rPr>
        <w:rFonts w:eastAsia="Times New Roman" w:cs="Times New Roman" w:hint="default"/>
      </w:rPr>
    </w:lvl>
    <w:lvl w:ilvl="4">
      <w:start w:val="1"/>
      <w:numFmt w:val="decimal"/>
      <w:lvlText w:val="%1.%2.%3.%4.%5"/>
      <w:lvlJc w:val="left"/>
      <w:pPr>
        <w:ind w:left="3348" w:hanging="1080"/>
      </w:pPr>
      <w:rPr>
        <w:rFonts w:eastAsia="Times New Roman" w:cs="Times New Roman" w:hint="default"/>
      </w:rPr>
    </w:lvl>
    <w:lvl w:ilvl="5">
      <w:start w:val="1"/>
      <w:numFmt w:val="decimal"/>
      <w:lvlText w:val="%1.%2.%3.%4.%5.%6"/>
      <w:lvlJc w:val="left"/>
      <w:pPr>
        <w:ind w:left="4275" w:hanging="1440"/>
      </w:pPr>
      <w:rPr>
        <w:rFonts w:eastAsia="Times New Roman" w:cs="Times New Roman" w:hint="default"/>
      </w:rPr>
    </w:lvl>
    <w:lvl w:ilvl="6">
      <w:start w:val="1"/>
      <w:numFmt w:val="decimal"/>
      <w:lvlText w:val="%1.%2.%3.%4.%5.%6.%7"/>
      <w:lvlJc w:val="left"/>
      <w:pPr>
        <w:ind w:left="4842" w:hanging="1440"/>
      </w:pPr>
      <w:rPr>
        <w:rFonts w:eastAsia="Times New Roman" w:cs="Times New Roman" w:hint="default"/>
      </w:rPr>
    </w:lvl>
    <w:lvl w:ilvl="7">
      <w:start w:val="1"/>
      <w:numFmt w:val="decimal"/>
      <w:lvlText w:val="%1.%2.%3.%4.%5.%6.%7.%8"/>
      <w:lvlJc w:val="left"/>
      <w:pPr>
        <w:ind w:left="5769" w:hanging="1800"/>
      </w:pPr>
      <w:rPr>
        <w:rFonts w:eastAsia="Times New Roman" w:cs="Times New Roman" w:hint="default"/>
      </w:rPr>
    </w:lvl>
    <w:lvl w:ilvl="8">
      <w:start w:val="1"/>
      <w:numFmt w:val="decimal"/>
      <w:lvlText w:val="%1.%2.%3.%4.%5.%6.%7.%8.%9"/>
      <w:lvlJc w:val="left"/>
      <w:pPr>
        <w:ind w:left="6336" w:hanging="1800"/>
      </w:pPr>
      <w:rPr>
        <w:rFonts w:eastAsia="Times New Roman" w:cs="Times New Roman" w:hint="default"/>
      </w:rPr>
    </w:lvl>
  </w:abstractNum>
  <w:abstractNum w:abstractNumId="330" w15:restartNumberingAfterBreak="0">
    <w:nsid w:val="53787923"/>
    <w:multiLevelType w:val="multilevel"/>
    <w:tmpl w:val="B78E5C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1" w15:restartNumberingAfterBreak="0">
    <w:nsid w:val="539127B4"/>
    <w:multiLevelType w:val="hybridMultilevel"/>
    <w:tmpl w:val="F5D80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53B339D1"/>
    <w:multiLevelType w:val="multilevel"/>
    <w:tmpl w:val="1B6443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3" w15:restartNumberingAfterBreak="0">
    <w:nsid w:val="53ED60E5"/>
    <w:multiLevelType w:val="hybridMultilevel"/>
    <w:tmpl w:val="D78CAAD8"/>
    <w:lvl w:ilvl="0" w:tplc="D8D609F8">
      <w:start w:val="1"/>
      <w:numFmt w:val="decimal"/>
      <w:lvlText w:val="%1)"/>
      <w:lvlJc w:val="left"/>
      <w:pPr>
        <w:ind w:left="1195" w:hanging="495"/>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334" w15:restartNumberingAfterBreak="0">
    <w:nsid w:val="54075F35"/>
    <w:multiLevelType w:val="multilevel"/>
    <w:tmpl w:val="54A84812"/>
    <w:lvl w:ilvl="0">
      <w:start w:val="1"/>
      <w:numFmt w:val="decimal"/>
      <w:lvlText w:val="%1."/>
      <w:lvlJc w:val="left"/>
      <w:pPr>
        <w:ind w:left="405" w:hanging="405"/>
      </w:pPr>
      <w:rPr>
        <w:rFonts w:hint="default"/>
        <w:b/>
      </w:rPr>
    </w:lvl>
    <w:lvl w:ilvl="1">
      <w:start w:val="1"/>
      <w:numFmt w:val="decimal"/>
      <w:lvlText w:val="%1.%2."/>
      <w:lvlJc w:val="left"/>
      <w:pPr>
        <w:ind w:left="1520" w:hanging="720"/>
      </w:pPr>
      <w:rPr>
        <w:rFonts w:hint="default"/>
        <w:b/>
      </w:rPr>
    </w:lvl>
    <w:lvl w:ilvl="2">
      <w:start w:val="1"/>
      <w:numFmt w:val="decimal"/>
      <w:lvlText w:val="%1.%2.%3."/>
      <w:lvlJc w:val="left"/>
      <w:pPr>
        <w:ind w:left="2320" w:hanging="720"/>
      </w:pPr>
      <w:rPr>
        <w:rFonts w:hint="default"/>
        <w:b/>
      </w:rPr>
    </w:lvl>
    <w:lvl w:ilvl="3">
      <w:start w:val="1"/>
      <w:numFmt w:val="decimal"/>
      <w:lvlText w:val="%1.%2.%3.%4."/>
      <w:lvlJc w:val="left"/>
      <w:pPr>
        <w:ind w:left="3480" w:hanging="1080"/>
      </w:pPr>
      <w:rPr>
        <w:rFonts w:hint="default"/>
        <w:b/>
      </w:rPr>
    </w:lvl>
    <w:lvl w:ilvl="4">
      <w:start w:val="1"/>
      <w:numFmt w:val="decimal"/>
      <w:lvlText w:val="%1.%2.%3.%4.%5."/>
      <w:lvlJc w:val="left"/>
      <w:pPr>
        <w:ind w:left="4280" w:hanging="1080"/>
      </w:pPr>
      <w:rPr>
        <w:rFonts w:hint="default"/>
        <w:b/>
      </w:rPr>
    </w:lvl>
    <w:lvl w:ilvl="5">
      <w:start w:val="1"/>
      <w:numFmt w:val="decimal"/>
      <w:lvlText w:val="%1.%2.%3.%4.%5.%6."/>
      <w:lvlJc w:val="left"/>
      <w:pPr>
        <w:ind w:left="5440" w:hanging="1440"/>
      </w:pPr>
      <w:rPr>
        <w:rFonts w:hint="default"/>
        <w:b/>
      </w:rPr>
    </w:lvl>
    <w:lvl w:ilvl="6">
      <w:start w:val="1"/>
      <w:numFmt w:val="decimal"/>
      <w:lvlText w:val="%1.%2.%3.%4.%5.%6.%7."/>
      <w:lvlJc w:val="left"/>
      <w:pPr>
        <w:ind w:left="6600" w:hanging="1800"/>
      </w:pPr>
      <w:rPr>
        <w:rFonts w:hint="default"/>
        <w:b/>
      </w:rPr>
    </w:lvl>
    <w:lvl w:ilvl="7">
      <w:start w:val="1"/>
      <w:numFmt w:val="decimal"/>
      <w:lvlText w:val="%1.%2.%3.%4.%5.%6.%7.%8."/>
      <w:lvlJc w:val="left"/>
      <w:pPr>
        <w:ind w:left="7400" w:hanging="1800"/>
      </w:pPr>
      <w:rPr>
        <w:rFonts w:hint="default"/>
        <w:b/>
      </w:rPr>
    </w:lvl>
    <w:lvl w:ilvl="8">
      <w:start w:val="1"/>
      <w:numFmt w:val="decimal"/>
      <w:lvlText w:val="%1.%2.%3.%4.%5.%6.%7.%8.%9."/>
      <w:lvlJc w:val="left"/>
      <w:pPr>
        <w:ind w:left="8560" w:hanging="2160"/>
      </w:pPr>
      <w:rPr>
        <w:rFonts w:hint="default"/>
        <w:b/>
      </w:rPr>
    </w:lvl>
  </w:abstractNum>
  <w:abstractNum w:abstractNumId="335" w15:restartNumberingAfterBreak="0">
    <w:nsid w:val="54340BAB"/>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336" w15:restartNumberingAfterBreak="0">
    <w:nsid w:val="547A047F"/>
    <w:multiLevelType w:val="multilevel"/>
    <w:tmpl w:val="C16E0C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7" w15:restartNumberingAfterBreak="0">
    <w:nsid w:val="54A17AAB"/>
    <w:multiLevelType w:val="hybridMultilevel"/>
    <w:tmpl w:val="6AF6C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15:restartNumberingAfterBreak="0">
    <w:nsid w:val="54BD17BC"/>
    <w:multiLevelType w:val="multilevel"/>
    <w:tmpl w:val="AFE6898E"/>
    <w:lvl w:ilvl="0">
      <w:start w:val="1"/>
      <w:numFmt w:val="decimal"/>
      <w:lvlText w:val="%1."/>
      <w:lvlJc w:val="left"/>
      <w:pPr>
        <w:ind w:left="360" w:hanging="360"/>
      </w:pPr>
      <w:rPr>
        <w:rFonts w:hint="default"/>
        <w:b/>
      </w:rPr>
    </w:lvl>
    <w:lvl w:ilvl="1">
      <w:start w:val="1"/>
      <w:numFmt w:val="decimal"/>
      <w:isLgl/>
      <w:suff w:val="space"/>
      <w:lvlText w:val="%1.%2."/>
      <w:lvlJc w:val="left"/>
      <w:pPr>
        <w:ind w:left="1148" w:hanging="720"/>
      </w:pPr>
      <w:rPr>
        <w:rFonts w:hint="default"/>
        <w:b/>
      </w:rPr>
    </w:lvl>
    <w:lvl w:ilvl="2">
      <w:start w:val="1"/>
      <w:numFmt w:val="decimal"/>
      <w:isLgl/>
      <w:lvlText w:val="%1.%2.%3."/>
      <w:lvlJc w:val="left"/>
      <w:pPr>
        <w:ind w:left="1148" w:hanging="720"/>
      </w:pPr>
      <w:rPr>
        <w:rFonts w:hint="default"/>
        <w:b/>
      </w:rPr>
    </w:lvl>
    <w:lvl w:ilvl="3">
      <w:start w:val="1"/>
      <w:numFmt w:val="decimal"/>
      <w:isLgl/>
      <w:lvlText w:val="%1.%2.%3.%4."/>
      <w:lvlJc w:val="left"/>
      <w:pPr>
        <w:ind w:left="1508" w:hanging="1080"/>
      </w:pPr>
      <w:rPr>
        <w:rFonts w:hint="default"/>
        <w:b/>
      </w:rPr>
    </w:lvl>
    <w:lvl w:ilvl="4">
      <w:start w:val="1"/>
      <w:numFmt w:val="decimal"/>
      <w:isLgl/>
      <w:lvlText w:val="%1.%2.%3.%4.%5."/>
      <w:lvlJc w:val="left"/>
      <w:pPr>
        <w:ind w:left="1508" w:hanging="1080"/>
      </w:pPr>
      <w:rPr>
        <w:rFonts w:hint="default"/>
        <w:b/>
      </w:rPr>
    </w:lvl>
    <w:lvl w:ilvl="5">
      <w:start w:val="1"/>
      <w:numFmt w:val="decimal"/>
      <w:isLgl/>
      <w:lvlText w:val="%1.%2.%3.%4.%5.%6."/>
      <w:lvlJc w:val="left"/>
      <w:pPr>
        <w:ind w:left="1868" w:hanging="1440"/>
      </w:pPr>
      <w:rPr>
        <w:rFonts w:hint="default"/>
        <w:b/>
      </w:rPr>
    </w:lvl>
    <w:lvl w:ilvl="6">
      <w:start w:val="1"/>
      <w:numFmt w:val="decimal"/>
      <w:isLgl/>
      <w:lvlText w:val="%1.%2.%3.%4.%5.%6.%7."/>
      <w:lvlJc w:val="left"/>
      <w:pPr>
        <w:ind w:left="1868" w:hanging="1440"/>
      </w:pPr>
      <w:rPr>
        <w:rFonts w:hint="default"/>
        <w:b/>
      </w:rPr>
    </w:lvl>
    <w:lvl w:ilvl="7">
      <w:start w:val="1"/>
      <w:numFmt w:val="decimal"/>
      <w:isLgl/>
      <w:lvlText w:val="%1.%2.%3.%4.%5.%6.%7.%8."/>
      <w:lvlJc w:val="left"/>
      <w:pPr>
        <w:ind w:left="2228" w:hanging="1800"/>
      </w:pPr>
      <w:rPr>
        <w:rFonts w:hint="default"/>
        <w:b/>
      </w:rPr>
    </w:lvl>
    <w:lvl w:ilvl="8">
      <w:start w:val="1"/>
      <w:numFmt w:val="decimal"/>
      <w:isLgl/>
      <w:lvlText w:val="%1.%2.%3.%4.%5.%6.%7.%8.%9."/>
      <w:lvlJc w:val="left"/>
      <w:pPr>
        <w:ind w:left="2228" w:hanging="1800"/>
      </w:pPr>
      <w:rPr>
        <w:rFonts w:hint="default"/>
        <w:b/>
      </w:rPr>
    </w:lvl>
  </w:abstractNum>
  <w:abstractNum w:abstractNumId="339" w15:restartNumberingAfterBreak="0">
    <w:nsid w:val="54F876D3"/>
    <w:multiLevelType w:val="multilevel"/>
    <w:tmpl w:val="C2A60DF0"/>
    <w:lvl w:ilvl="0">
      <w:start w:val="6"/>
      <w:numFmt w:val="decimal"/>
      <w:lvlText w:val="%1"/>
      <w:lvlJc w:val="left"/>
      <w:pPr>
        <w:ind w:left="360" w:hanging="360"/>
      </w:pPr>
      <w:rPr>
        <w:rFonts w:hint="default"/>
      </w:rPr>
    </w:lvl>
    <w:lvl w:ilvl="1">
      <w:start w:val="1"/>
      <w:numFmt w:val="decimal"/>
      <w:lvlText w:val="%1.%2"/>
      <w:lvlJc w:val="left"/>
      <w:pPr>
        <w:ind w:left="4950"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560" w:hanging="1800"/>
      </w:pPr>
      <w:rPr>
        <w:rFonts w:hint="default"/>
      </w:rPr>
    </w:lvl>
  </w:abstractNum>
  <w:abstractNum w:abstractNumId="340" w15:restartNumberingAfterBreak="0">
    <w:nsid w:val="55560C5D"/>
    <w:multiLevelType w:val="multilevel"/>
    <w:tmpl w:val="9EB87A88"/>
    <w:lvl w:ilvl="0">
      <w:start w:val="1"/>
      <w:numFmt w:val="decimal"/>
      <w:lvlText w:val="%1."/>
      <w:lvlJc w:val="left"/>
      <w:pPr>
        <w:ind w:left="450" w:hanging="360"/>
      </w:pPr>
      <w:rPr>
        <w:rFonts w:hint="default"/>
        <w:lang w:val="hy-AM"/>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341" w15:restartNumberingAfterBreak="0">
    <w:nsid w:val="55770826"/>
    <w:multiLevelType w:val="hybridMultilevel"/>
    <w:tmpl w:val="8C1470B8"/>
    <w:lvl w:ilvl="0" w:tplc="00308D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2" w15:restartNumberingAfterBreak="0">
    <w:nsid w:val="55F729E5"/>
    <w:multiLevelType w:val="multilevel"/>
    <w:tmpl w:val="8DBCCE9E"/>
    <w:lvl w:ilvl="0">
      <w:start w:val="1"/>
      <w:numFmt w:val="decimal"/>
      <w:lvlText w:val="%1."/>
      <w:lvlJc w:val="left"/>
      <w:pPr>
        <w:ind w:left="975" w:hanging="615"/>
      </w:pPr>
      <w:rPr>
        <w:rFonts w:hint="default"/>
        <w:b/>
        <w:i/>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43" w15:restartNumberingAfterBreak="0">
    <w:nsid w:val="56791509"/>
    <w:multiLevelType w:val="multilevel"/>
    <w:tmpl w:val="0F06CD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GHEA Grapalat" w:hAnsi="GHEA Grapalat" w:cs="Sylfaen" w:hint="default"/>
      </w:rPr>
    </w:lvl>
    <w:lvl w:ilvl="2">
      <w:start w:val="1"/>
      <w:numFmt w:val="decimal"/>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344" w15:restartNumberingAfterBreak="0">
    <w:nsid w:val="56C7526F"/>
    <w:multiLevelType w:val="hybridMultilevel"/>
    <w:tmpl w:val="E37CB09C"/>
    <w:lvl w:ilvl="0" w:tplc="0C090001">
      <w:start w:val="1"/>
      <w:numFmt w:val="bullet"/>
      <w:pStyle w:val="gpmbullet"/>
      <w:lvlText w:val=""/>
      <w:lvlJc w:val="left"/>
      <w:pPr>
        <w:tabs>
          <w:tab w:val="num" w:pos="567"/>
        </w:tabs>
        <w:ind w:left="567" w:hanging="567"/>
      </w:pPr>
      <w:rPr>
        <w:rFonts w:ascii="Symbol" w:hAnsi="Symbol" w:hint="default"/>
        <w:b/>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5" w15:restartNumberingAfterBreak="0">
    <w:nsid w:val="56C91330"/>
    <w:multiLevelType w:val="multilevel"/>
    <w:tmpl w:val="880CC2CC"/>
    <w:lvl w:ilvl="0">
      <w:start w:val="1"/>
      <w:numFmt w:val="decimal"/>
      <w:lvlText w:val="%1."/>
      <w:lvlJc w:val="left"/>
      <w:pPr>
        <w:ind w:left="450" w:hanging="360"/>
      </w:pPr>
      <w:rPr>
        <w:rFonts w:hint="default"/>
        <w:lang w:val="hy-AM"/>
      </w:rPr>
    </w:lvl>
    <w:lvl w:ilvl="1">
      <w:start w:val="1"/>
      <w:numFmt w:val="decimal"/>
      <w:isLgl/>
      <w:suff w:val="space"/>
      <w:lvlText w:val="%1.%2."/>
      <w:lvlJc w:val="left"/>
      <w:pPr>
        <w:ind w:left="1238" w:hanging="720"/>
      </w:pPr>
      <w:rPr>
        <w:rFonts w:hint="default"/>
        <w:b/>
        <w:i w:val="0"/>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346" w15:restartNumberingAfterBreak="0">
    <w:nsid w:val="56DF022A"/>
    <w:multiLevelType w:val="hybridMultilevel"/>
    <w:tmpl w:val="575AA942"/>
    <w:lvl w:ilvl="0" w:tplc="0C58DDE6">
      <w:start w:val="1"/>
      <w:numFmt w:val="decimal"/>
      <w:lvlText w:val="%1."/>
      <w:lvlJc w:val="left"/>
      <w:pPr>
        <w:ind w:left="720" w:hanging="360"/>
      </w:pPr>
      <w:rPr>
        <w:rFonts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7" w15:restartNumberingAfterBreak="0">
    <w:nsid w:val="57081453"/>
    <w:multiLevelType w:val="multilevel"/>
    <w:tmpl w:val="BFE43F68"/>
    <w:lvl w:ilvl="0">
      <w:start w:val="1"/>
      <w:numFmt w:val="decimal"/>
      <w:lvlText w:val="%1"/>
      <w:lvlJc w:val="left"/>
      <w:pPr>
        <w:ind w:left="360" w:hanging="360"/>
      </w:pPr>
      <w:rPr>
        <w:rFonts w:cs="Sylfaen" w:hint="default"/>
      </w:rPr>
    </w:lvl>
    <w:lvl w:ilvl="1">
      <w:start w:val="1"/>
      <w:numFmt w:val="decimal"/>
      <w:lvlText w:val="%1.%2"/>
      <w:lvlJc w:val="left"/>
      <w:pPr>
        <w:ind w:left="1080" w:hanging="360"/>
      </w:pPr>
      <w:rPr>
        <w:rFonts w:cs="Sylfaen" w:hint="default"/>
      </w:rPr>
    </w:lvl>
    <w:lvl w:ilvl="2">
      <w:start w:val="1"/>
      <w:numFmt w:val="decimal"/>
      <w:lvlText w:val="%1.%2.%3"/>
      <w:lvlJc w:val="left"/>
      <w:pPr>
        <w:ind w:left="2160" w:hanging="720"/>
      </w:pPr>
      <w:rPr>
        <w:rFonts w:cs="Sylfaen" w:hint="default"/>
      </w:rPr>
    </w:lvl>
    <w:lvl w:ilvl="3">
      <w:start w:val="1"/>
      <w:numFmt w:val="decimal"/>
      <w:lvlText w:val="%1.%2.%3.%4"/>
      <w:lvlJc w:val="left"/>
      <w:pPr>
        <w:ind w:left="2880" w:hanging="720"/>
      </w:pPr>
      <w:rPr>
        <w:rFonts w:cs="Sylfaen" w:hint="default"/>
      </w:rPr>
    </w:lvl>
    <w:lvl w:ilvl="4">
      <w:start w:val="1"/>
      <w:numFmt w:val="decimal"/>
      <w:lvlText w:val="%1.%2.%3.%4.%5"/>
      <w:lvlJc w:val="left"/>
      <w:pPr>
        <w:ind w:left="3960" w:hanging="1080"/>
      </w:pPr>
      <w:rPr>
        <w:rFonts w:cs="Sylfaen" w:hint="default"/>
      </w:rPr>
    </w:lvl>
    <w:lvl w:ilvl="5">
      <w:start w:val="1"/>
      <w:numFmt w:val="decimal"/>
      <w:lvlText w:val="%1.%2.%3.%4.%5.%6"/>
      <w:lvlJc w:val="left"/>
      <w:pPr>
        <w:ind w:left="5040" w:hanging="1440"/>
      </w:pPr>
      <w:rPr>
        <w:rFonts w:cs="Sylfaen" w:hint="default"/>
      </w:rPr>
    </w:lvl>
    <w:lvl w:ilvl="6">
      <w:start w:val="1"/>
      <w:numFmt w:val="decimal"/>
      <w:lvlText w:val="%1.%2.%3.%4.%5.%6.%7"/>
      <w:lvlJc w:val="left"/>
      <w:pPr>
        <w:ind w:left="5760" w:hanging="1440"/>
      </w:pPr>
      <w:rPr>
        <w:rFonts w:cs="Sylfaen" w:hint="default"/>
      </w:rPr>
    </w:lvl>
    <w:lvl w:ilvl="7">
      <w:start w:val="1"/>
      <w:numFmt w:val="decimal"/>
      <w:lvlText w:val="%1.%2.%3.%4.%5.%6.%7.%8"/>
      <w:lvlJc w:val="left"/>
      <w:pPr>
        <w:ind w:left="6840" w:hanging="1800"/>
      </w:pPr>
      <w:rPr>
        <w:rFonts w:cs="Sylfaen" w:hint="default"/>
      </w:rPr>
    </w:lvl>
    <w:lvl w:ilvl="8">
      <w:start w:val="1"/>
      <w:numFmt w:val="decimal"/>
      <w:lvlText w:val="%1.%2.%3.%4.%5.%6.%7.%8.%9"/>
      <w:lvlJc w:val="left"/>
      <w:pPr>
        <w:ind w:left="7560" w:hanging="1800"/>
      </w:pPr>
      <w:rPr>
        <w:rFonts w:cs="Sylfaen" w:hint="default"/>
      </w:rPr>
    </w:lvl>
  </w:abstractNum>
  <w:abstractNum w:abstractNumId="348" w15:restartNumberingAfterBreak="0">
    <w:nsid w:val="5715087E"/>
    <w:multiLevelType w:val="multilevel"/>
    <w:tmpl w:val="9EA465E2"/>
    <w:lvl w:ilvl="0">
      <w:start w:val="1"/>
      <w:numFmt w:val="decimal"/>
      <w:lvlText w:val="%1."/>
      <w:lvlJc w:val="left"/>
      <w:pPr>
        <w:ind w:left="1440" w:hanging="360"/>
      </w:pPr>
      <w:rPr>
        <w:rFonts w:eastAsia="Calibri" w:cs="Courier New"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49" w15:restartNumberingAfterBreak="0">
    <w:nsid w:val="57301563"/>
    <w:multiLevelType w:val="hybridMultilevel"/>
    <w:tmpl w:val="815ADFD8"/>
    <w:lvl w:ilvl="0" w:tplc="AF40B5E4">
      <w:start w:val="1"/>
      <w:numFmt w:val="decimal"/>
      <w:lvlText w:val="%1)"/>
      <w:lvlJc w:val="left"/>
      <w:pPr>
        <w:ind w:left="735" w:hanging="36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350" w15:restartNumberingAfterBreak="0">
    <w:nsid w:val="574A6A10"/>
    <w:multiLevelType w:val="multilevel"/>
    <w:tmpl w:val="2FDA252A"/>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1" w15:restartNumberingAfterBreak="0">
    <w:nsid w:val="5753437B"/>
    <w:multiLevelType w:val="multilevel"/>
    <w:tmpl w:val="B0F67FB8"/>
    <w:lvl w:ilvl="0">
      <w:start w:val="1"/>
      <w:numFmt w:val="decimal"/>
      <w:lvlText w:val="%1."/>
      <w:lvlJc w:val="left"/>
      <w:pPr>
        <w:ind w:left="1440" w:hanging="360"/>
      </w:pPr>
      <w:rPr>
        <w:rFonts w:hint="default"/>
      </w:rPr>
    </w:lvl>
    <w:lvl w:ilvl="1">
      <w:start w:val="2"/>
      <w:numFmt w:val="decimal"/>
      <w:isLgl/>
      <w:lvlText w:val="%1.%2"/>
      <w:lvlJc w:val="left"/>
      <w:pPr>
        <w:ind w:left="1455" w:hanging="36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205" w:hanging="108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595"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985" w:hanging="1800"/>
      </w:pPr>
      <w:rPr>
        <w:rFonts w:hint="default"/>
      </w:rPr>
    </w:lvl>
    <w:lvl w:ilvl="8">
      <w:start w:val="1"/>
      <w:numFmt w:val="decimal"/>
      <w:isLgl/>
      <w:lvlText w:val="%1.%2.%3.%4.%5.%6.%7.%8.%9"/>
      <w:lvlJc w:val="left"/>
      <w:pPr>
        <w:ind w:left="3360" w:hanging="2160"/>
      </w:pPr>
      <w:rPr>
        <w:rFonts w:hint="default"/>
      </w:rPr>
    </w:lvl>
  </w:abstractNum>
  <w:abstractNum w:abstractNumId="352" w15:restartNumberingAfterBreak="0">
    <w:nsid w:val="57C20747"/>
    <w:multiLevelType w:val="multilevel"/>
    <w:tmpl w:val="24A8A3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800" w:hanging="144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2160" w:hanging="1800"/>
      </w:pPr>
      <w:rPr>
        <w:rFonts w:cs="Sylfaen" w:hint="default"/>
      </w:rPr>
    </w:lvl>
  </w:abstractNum>
  <w:abstractNum w:abstractNumId="353" w15:restartNumberingAfterBreak="0">
    <w:nsid w:val="57D675B9"/>
    <w:multiLevelType w:val="multilevel"/>
    <w:tmpl w:val="929E467C"/>
    <w:lvl w:ilvl="0">
      <w:start w:val="1"/>
      <w:numFmt w:val="decimal"/>
      <w:lvlText w:val="%1."/>
      <w:lvlJc w:val="left"/>
      <w:pPr>
        <w:ind w:left="1170" w:hanging="360"/>
      </w:pPr>
      <w:rPr>
        <w:rFonts w:eastAsia="GHEAMariam-Bold" w:cs="GHEAMariam-Bold" w:hint="default"/>
        <w:b/>
      </w:rPr>
    </w:lvl>
    <w:lvl w:ilvl="1">
      <w:start w:val="1"/>
      <w:numFmt w:val="decimal"/>
      <w:isLgl/>
      <w:lvlText w:val="%1.%2"/>
      <w:lvlJc w:val="left"/>
      <w:pPr>
        <w:ind w:left="900" w:hanging="360"/>
      </w:pPr>
      <w:rPr>
        <w:rFonts w:hint="default"/>
        <w:b/>
      </w:rPr>
    </w:lvl>
    <w:lvl w:ilvl="2">
      <w:start w:val="1"/>
      <w:numFmt w:val="decimal"/>
      <w:isLgl/>
      <w:lvlText w:val="%1.%2.%3"/>
      <w:lvlJc w:val="left"/>
      <w:pPr>
        <w:ind w:left="1530" w:hanging="720"/>
      </w:pPr>
      <w:rPr>
        <w:rFonts w:hint="default"/>
        <w:b/>
      </w:rPr>
    </w:lvl>
    <w:lvl w:ilvl="3">
      <w:start w:val="1"/>
      <w:numFmt w:val="decimal"/>
      <w:isLgl/>
      <w:lvlText w:val="%1.%2.%3.%4"/>
      <w:lvlJc w:val="left"/>
      <w:pPr>
        <w:ind w:left="1890" w:hanging="1080"/>
      </w:pPr>
      <w:rPr>
        <w:rFonts w:hint="default"/>
        <w:b/>
      </w:rPr>
    </w:lvl>
    <w:lvl w:ilvl="4">
      <w:start w:val="1"/>
      <w:numFmt w:val="decimal"/>
      <w:isLgl/>
      <w:lvlText w:val="%1.%2.%3.%4.%5"/>
      <w:lvlJc w:val="left"/>
      <w:pPr>
        <w:ind w:left="1890" w:hanging="1080"/>
      </w:pPr>
      <w:rPr>
        <w:rFonts w:hint="default"/>
        <w:b/>
      </w:rPr>
    </w:lvl>
    <w:lvl w:ilvl="5">
      <w:start w:val="1"/>
      <w:numFmt w:val="decimal"/>
      <w:isLgl/>
      <w:lvlText w:val="%1.%2.%3.%4.%5.%6"/>
      <w:lvlJc w:val="left"/>
      <w:pPr>
        <w:ind w:left="2250" w:hanging="1440"/>
      </w:pPr>
      <w:rPr>
        <w:rFonts w:hint="default"/>
        <w:b/>
      </w:rPr>
    </w:lvl>
    <w:lvl w:ilvl="6">
      <w:start w:val="1"/>
      <w:numFmt w:val="decimal"/>
      <w:isLgl/>
      <w:lvlText w:val="%1.%2.%3.%4.%5.%6.%7"/>
      <w:lvlJc w:val="left"/>
      <w:pPr>
        <w:ind w:left="2250" w:hanging="1440"/>
      </w:pPr>
      <w:rPr>
        <w:rFonts w:hint="default"/>
        <w:b/>
      </w:rPr>
    </w:lvl>
    <w:lvl w:ilvl="7">
      <w:start w:val="1"/>
      <w:numFmt w:val="decimal"/>
      <w:isLgl/>
      <w:lvlText w:val="%1.%2.%3.%4.%5.%6.%7.%8"/>
      <w:lvlJc w:val="left"/>
      <w:pPr>
        <w:ind w:left="2610" w:hanging="1800"/>
      </w:pPr>
      <w:rPr>
        <w:rFonts w:hint="default"/>
        <w:b/>
      </w:rPr>
    </w:lvl>
    <w:lvl w:ilvl="8">
      <w:start w:val="1"/>
      <w:numFmt w:val="decimal"/>
      <w:isLgl/>
      <w:lvlText w:val="%1.%2.%3.%4.%5.%6.%7.%8.%9"/>
      <w:lvlJc w:val="left"/>
      <w:pPr>
        <w:ind w:left="2970" w:hanging="2160"/>
      </w:pPr>
      <w:rPr>
        <w:rFonts w:hint="default"/>
        <w:b/>
      </w:rPr>
    </w:lvl>
  </w:abstractNum>
  <w:abstractNum w:abstractNumId="354" w15:restartNumberingAfterBreak="0">
    <w:nsid w:val="587A1A39"/>
    <w:multiLevelType w:val="hybridMultilevel"/>
    <w:tmpl w:val="6180E2B6"/>
    <w:styleLink w:val="WW8Num1911"/>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589D3BA6"/>
    <w:multiLevelType w:val="multilevel"/>
    <w:tmpl w:val="DB8C46D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6" w15:restartNumberingAfterBreak="0">
    <w:nsid w:val="589E76A4"/>
    <w:multiLevelType w:val="multilevel"/>
    <w:tmpl w:val="0382016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GHEA Grapalat" w:hAnsi="GHEA Grapalat" w:cs="Sylfaen" w:hint="default"/>
      </w:rPr>
    </w:lvl>
    <w:lvl w:ilvl="2">
      <w:start w:val="1"/>
      <w:numFmt w:val="decimal"/>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357" w15:restartNumberingAfterBreak="0">
    <w:nsid w:val="58A73A15"/>
    <w:multiLevelType w:val="multilevel"/>
    <w:tmpl w:val="4C188A78"/>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lang w:val="pt-BR"/>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58" w15:restartNumberingAfterBreak="0">
    <w:nsid w:val="58C70899"/>
    <w:multiLevelType w:val="multilevel"/>
    <w:tmpl w:val="AAC0F20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9" w15:restartNumberingAfterBreak="0">
    <w:nsid w:val="58D524C5"/>
    <w:multiLevelType w:val="multilevel"/>
    <w:tmpl w:val="9EB87A88"/>
    <w:lvl w:ilvl="0">
      <w:start w:val="1"/>
      <w:numFmt w:val="decimal"/>
      <w:lvlText w:val="%1."/>
      <w:lvlJc w:val="left"/>
      <w:pPr>
        <w:ind w:left="450" w:hanging="360"/>
      </w:pPr>
      <w:rPr>
        <w:rFonts w:hint="default"/>
        <w:lang w:val="hy-AM"/>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360" w15:restartNumberingAfterBreak="0">
    <w:nsid w:val="598870C9"/>
    <w:multiLevelType w:val="multilevel"/>
    <w:tmpl w:val="8C0E76FA"/>
    <w:lvl w:ilvl="0">
      <w:start w:val="1"/>
      <w:numFmt w:val="decimal"/>
      <w:lvlText w:val="%1."/>
      <w:lvlJc w:val="left"/>
      <w:pPr>
        <w:ind w:left="735" w:hanging="360"/>
      </w:pPr>
      <w:rPr>
        <w:rFonts w:hint="default"/>
      </w:rPr>
    </w:lvl>
    <w:lvl w:ilvl="1">
      <w:start w:val="1"/>
      <w:numFmt w:val="decimal"/>
      <w:isLgl/>
      <w:lvlText w:val="%1.%2."/>
      <w:lvlJc w:val="left"/>
      <w:pPr>
        <w:ind w:left="1815" w:hanging="720"/>
      </w:pPr>
      <w:rPr>
        <w:rFonts w:hint="default"/>
      </w:rPr>
    </w:lvl>
    <w:lvl w:ilvl="2">
      <w:start w:val="1"/>
      <w:numFmt w:val="decimal"/>
      <w:isLgl/>
      <w:lvlText w:val="%1.%2.%3."/>
      <w:lvlJc w:val="left"/>
      <w:pPr>
        <w:ind w:left="2535" w:hanging="720"/>
      </w:pPr>
      <w:rPr>
        <w:rFonts w:hint="default"/>
      </w:rPr>
    </w:lvl>
    <w:lvl w:ilvl="3">
      <w:start w:val="1"/>
      <w:numFmt w:val="decimal"/>
      <w:isLgl/>
      <w:lvlText w:val="%1.%2.%3.%4."/>
      <w:lvlJc w:val="left"/>
      <w:pPr>
        <w:ind w:left="3615" w:hanging="1080"/>
      </w:pPr>
      <w:rPr>
        <w:rFonts w:hint="default"/>
      </w:rPr>
    </w:lvl>
    <w:lvl w:ilvl="4">
      <w:start w:val="1"/>
      <w:numFmt w:val="decimal"/>
      <w:isLgl/>
      <w:lvlText w:val="%1.%2.%3.%4.%5."/>
      <w:lvlJc w:val="left"/>
      <w:pPr>
        <w:ind w:left="4335" w:hanging="1080"/>
      </w:pPr>
      <w:rPr>
        <w:rFonts w:hint="default"/>
      </w:rPr>
    </w:lvl>
    <w:lvl w:ilvl="5">
      <w:start w:val="1"/>
      <w:numFmt w:val="decimal"/>
      <w:isLgl/>
      <w:lvlText w:val="%1.%2.%3.%4.%5.%6."/>
      <w:lvlJc w:val="left"/>
      <w:pPr>
        <w:ind w:left="5415" w:hanging="1440"/>
      </w:pPr>
      <w:rPr>
        <w:rFonts w:hint="default"/>
      </w:rPr>
    </w:lvl>
    <w:lvl w:ilvl="6">
      <w:start w:val="1"/>
      <w:numFmt w:val="decimal"/>
      <w:isLgl/>
      <w:lvlText w:val="%1.%2.%3.%4.%5.%6.%7."/>
      <w:lvlJc w:val="left"/>
      <w:pPr>
        <w:ind w:left="6495" w:hanging="1800"/>
      </w:pPr>
      <w:rPr>
        <w:rFonts w:hint="default"/>
      </w:rPr>
    </w:lvl>
    <w:lvl w:ilvl="7">
      <w:start w:val="1"/>
      <w:numFmt w:val="decimal"/>
      <w:isLgl/>
      <w:lvlText w:val="%1.%2.%3.%4.%5.%6.%7.%8."/>
      <w:lvlJc w:val="left"/>
      <w:pPr>
        <w:ind w:left="7215" w:hanging="1800"/>
      </w:pPr>
      <w:rPr>
        <w:rFonts w:hint="default"/>
      </w:rPr>
    </w:lvl>
    <w:lvl w:ilvl="8">
      <w:start w:val="1"/>
      <w:numFmt w:val="decimal"/>
      <w:isLgl/>
      <w:lvlText w:val="%1.%2.%3.%4.%5.%6.%7.%8.%9."/>
      <w:lvlJc w:val="left"/>
      <w:pPr>
        <w:ind w:left="8295" w:hanging="2160"/>
      </w:pPr>
      <w:rPr>
        <w:rFonts w:hint="default"/>
      </w:rPr>
    </w:lvl>
  </w:abstractNum>
  <w:abstractNum w:abstractNumId="361" w15:restartNumberingAfterBreak="0">
    <w:nsid w:val="5A983370"/>
    <w:multiLevelType w:val="hybridMultilevel"/>
    <w:tmpl w:val="263C10F0"/>
    <w:lvl w:ilvl="0" w:tplc="2F8097DA">
      <w:start w:val="1"/>
      <w:numFmt w:val="bullet"/>
      <w:lvlText w:val="-"/>
      <w:lvlJc w:val="left"/>
      <w:pPr>
        <w:ind w:left="644" w:hanging="360"/>
      </w:pPr>
      <w:rPr>
        <w:rFonts w:ascii="GHEA Grapalat" w:eastAsia="Times New Roman" w:hAnsi="GHEA Grapalat"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62" w15:restartNumberingAfterBreak="0">
    <w:nsid w:val="5A9F4B5A"/>
    <w:multiLevelType w:val="multilevel"/>
    <w:tmpl w:val="44004B08"/>
    <w:lvl w:ilvl="0">
      <w:start w:val="1"/>
      <w:numFmt w:val="decimal"/>
      <w:lvlText w:val="%1."/>
      <w:lvlJc w:val="left"/>
      <w:pPr>
        <w:ind w:left="1080" w:hanging="360"/>
      </w:pPr>
      <w:rPr>
        <w:rFonts w:hint="default"/>
      </w:rPr>
    </w:lvl>
    <w:lvl w:ilvl="1">
      <w:start w:val="1"/>
      <w:numFmt w:val="decimal"/>
      <w:isLgl/>
      <w:lvlText w:val="%1.%2."/>
      <w:lvlJc w:val="left"/>
      <w:pPr>
        <w:ind w:left="1785" w:hanging="72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2835" w:hanging="108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885" w:hanging="1440"/>
      </w:pPr>
      <w:rPr>
        <w:rFonts w:hint="default"/>
      </w:rPr>
    </w:lvl>
    <w:lvl w:ilvl="6">
      <w:start w:val="1"/>
      <w:numFmt w:val="decimal"/>
      <w:isLgl/>
      <w:lvlText w:val="%1.%2.%3.%4.%5.%6.%7."/>
      <w:lvlJc w:val="left"/>
      <w:pPr>
        <w:ind w:left="4590" w:hanging="1800"/>
      </w:pPr>
      <w:rPr>
        <w:rFonts w:hint="default"/>
      </w:rPr>
    </w:lvl>
    <w:lvl w:ilvl="7">
      <w:start w:val="1"/>
      <w:numFmt w:val="decimal"/>
      <w:isLgl/>
      <w:lvlText w:val="%1.%2.%3.%4.%5.%6.%7.%8."/>
      <w:lvlJc w:val="left"/>
      <w:pPr>
        <w:ind w:left="4935" w:hanging="1800"/>
      </w:pPr>
      <w:rPr>
        <w:rFonts w:hint="default"/>
      </w:rPr>
    </w:lvl>
    <w:lvl w:ilvl="8">
      <w:start w:val="1"/>
      <w:numFmt w:val="decimal"/>
      <w:isLgl/>
      <w:lvlText w:val="%1.%2.%3.%4.%5.%6.%7.%8.%9."/>
      <w:lvlJc w:val="left"/>
      <w:pPr>
        <w:ind w:left="5640" w:hanging="2160"/>
      </w:pPr>
      <w:rPr>
        <w:rFonts w:hint="default"/>
      </w:rPr>
    </w:lvl>
  </w:abstractNum>
  <w:abstractNum w:abstractNumId="363" w15:restartNumberingAfterBreak="0">
    <w:nsid w:val="5AB04E7D"/>
    <w:multiLevelType w:val="multilevel"/>
    <w:tmpl w:val="07A003CA"/>
    <w:lvl w:ilvl="0">
      <w:start w:val="1"/>
      <w:numFmt w:val="decimal"/>
      <w:lvlText w:val="%1."/>
      <w:lvlJc w:val="left"/>
      <w:pPr>
        <w:ind w:left="735" w:hanging="360"/>
      </w:pPr>
      <w:rPr>
        <w:rFonts w:ascii="GHEA Grapalat" w:hAnsi="GHEA Grapalat" w:cs="Times New Roman" w:hint="default"/>
      </w:rPr>
    </w:lvl>
    <w:lvl w:ilvl="1">
      <w:start w:val="1"/>
      <w:numFmt w:val="decimal"/>
      <w:isLgl/>
      <w:lvlText w:val="%1.%2."/>
      <w:lvlJc w:val="left"/>
      <w:pPr>
        <w:ind w:left="1095" w:hanging="720"/>
      </w:pPr>
      <w:rPr>
        <w:rFonts w:cs="Times New Roman"/>
      </w:rPr>
    </w:lvl>
    <w:lvl w:ilvl="2">
      <w:start w:val="1"/>
      <w:numFmt w:val="decimal"/>
      <w:isLgl/>
      <w:lvlText w:val="%1.%2.%3."/>
      <w:lvlJc w:val="left"/>
      <w:pPr>
        <w:ind w:left="1095" w:hanging="720"/>
      </w:pPr>
      <w:rPr>
        <w:rFonts w:cs="Times New Roman"/>
      </w:rPr>
    </w:lvl>
    <w:lvl w:ilvl="3">
      <w:start w:val="1"/>
      <w:numFmt w:val="decimal"/>
      <w:isLgl/>
      <w:lvlText w:val="%1.%2.%3.%4."/>
      <w:lvlJc w:val="left"/>
      <w:pPr>
        <w:ind w:left="1455" w:hanging="1080"/>
      </w:pPr>
      <w:rPr>
        <w:rFonts w:cs="Times New Roman"/>
      </w:rPr>
    </w:lvl>
    <w:lvl w:ilvl="4">
      <w:start w:val="1"/>
      <w:numFmt w:val="decimal"/>
      <w:isLgl/>
      <w:lvlText w:val="%1.%2.%3.%4.%5."/>
      <w:lvlJc w:val="left"/>
      <w:pPr>
        <w:ind w:left="1455" w:hanging="1080"/>
      </w:pPr>
      <w:rPr>
        <w:rFonts w:cs="Times New Roman"/>
      </w:rPr>
    </w:lvl>
    <w:lvl w:ilvl="5">
      <w:start w:val="1"/>
      <w:numFmt w:val="decimal"/>
      <w:isLgl/>
      <w:lvlText w:val="%1.%2.%3.%4.%5.%6."/>
      <w:lvlJc w:val="left"/>
      <w:pPr>
        <w:ind w:left="1815" w:hanging="1440"/>
      </w:pPr>
      <w:rPr>
        <w:rFonts w:cs="Times New Roman"/>
      </w:rPr>
    </w:lvl>
    <w:lvl w:ilvl="6">
      <w:start w:val="1"/>
      <w:numFmt w:val="decimal"/>
      <w:isLgl/>
      <w:lvlText w:val="%1.%2.%3.%4.%5.%6.%7."/>
      <w:lvlJc w:val="left"/>
      <w:pPr>
        <w:ind w:left="2175" w:hanging="1800"/>
      </w:pPr>
      <w:rPr>
        <w:rFonts w:cs="Times New Roman"/>
      </w:rPr>
    </w:lvl>
    <w:lvl w:ilvl="7">
      <w:start w:val="1"/>
      <w:numFmt w:val="decimal"/>
      <w:isLgl/>
      <w:lvlText w:val="%1.%2.%3.%4.%5.%6.%7.%8."/>
      <w:lvlJc w:val="left"/>
      <w:pPr>
        <w:ind w:left="2175" w:hanging="1800"/>
      </w:pPr>
      <w:rPr>
        <w:rFonts w:cs="Times New Roman"/>
      </w:rPr>
    </w:lvl>
    <w:lvl w:ilvl="8">
      <w:start w:val="1"/>
      <w:numFmt w:val="decimal"/>
      <w:isLgl/>
      <w:lvlText w:val="%1.%2.%3.%4.%5.%6.%7.%8.%9."/>
      <w:lvlJc w:val="left"/>
      <w:pPr>
        <w:ind w:left="2535" w:hanging="2160"/>
      </w:pPr>
      <w:rPr>
        <w:rFonts w:cs="Times New Roman"/>
      </w:rPr>
    </w:lvl>
  </w:abstractNum>
  <w:abstractNum w:abstractNumId="364" w15:restartNumberingAfterBreak="0">
    <w:nsid w:val="5ABD5D11"/>
    <w:multiLevelType w:val="multilevel"/>
    <w:tmpl w:val="77E4D2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GHEA Grapalat" w:hAnsi="GHEA Grapalat" w:hint="default"/>
        <w:sz w:val="24"/>
      </w:rPr>
    </w:lvl>
    <w:lvl w:ilvl="2">
      <w:start w:val="1"/>
      <w:numFmt w:val="decimal"/>
      <w:isLgl/>
      <w:lvlText w:val="%1.%2.%3."/>
      <w:lvlJc w:val="left"/>
      <w:pPr>
        <w:ind w:left="1080" w:hanging="720"/>
      </w:pPr>
      <w:rPr>
        <w:rFonts w:ascii="GHEA Grapalat" w:hAnsi="GHEA Grapalat" w:hint="default"/>
        <w:sz w:val="24"/>
      </w:rPr>
    </w:lvl>
    <w:lvl w:ilvl="3">
      <w:start w:val="1"/>
      <w:numFmt w:val="decimal"/>
      <w:isLgl/>
      <w:lvlText w:val="%1.%2.%3.%4."/>
      <w:lvlJc w:val="left"/>
      <w:pPr>
        <w:ind w:left="1080" w:hanging="720"/>
      </w:pPr>
      <w:rPr>
        <w:rFonts w:ascii="GHEA Grapalat" w:hAnsi="GHEA Grapalat" w:hint="default"/>
        <w:sz w:val="24"/>
      </w:rPr>
    </w:lvl>
    <w:lvl w:ilvl="4">
      <w:start w:val="1"/>
      <w:numFmt w:val="decimal"/>
      <w:isLgl/>
      <w:lvlText w:val="%1.%2.%3.%4.%5."/>
      <w:lvlJc w:val="left"/>
      <w:pPr>
        <w:ind w:left="1440" w:hanging="1080"/>
      </w:pPr>
      <w:rPr>
        <w:rFonts w:ascii="GHEA Grapalat" w:hAnsi="GHEA Grapalat" w:hint="default"/>
        <w:sz w:val="24"/>
      </w:rPr>
    </w:lvl>
    <w:lvl w:ilvl="5">
      <w:start w:val="1"/>
      <w:numFmt w:val="decimal"/>
      <w:isLgl/>
      <w:lvlText w:val="%1.%2.%3.%4.%5.%6."/>
      <w:lvlJc w:val="left"/>
      <w:pPr>
        <w:ind w:left="1440" w:hanging="1080"/>
      </w:pPr>
      <w:rPr>
        <w:rFonts w:ascii="GHEA Grapalat" w:hAnsi="GHEA Grapalat" w:hint="default"/>
        <w:sz w:val="24"/>
      </w:rPr>
    </w:lvl>
    <w:lvl w:ilvl="6">
      <w:start w:val="1"/>
      <w:numFmt w:val="decimal"/>
      <w:isLgl/>
      <w:lvlText w:val="%1.%2.%3.%4.%5.%6.%7."/>
      <w:lvlJc w:val="left"/>
      <w:pPr>
        <w:ind w:left="1800" w:hanging="1440"/>
      </w:pPr>
      <w:rPr>
        <w:rFonts w:ascii="GHEA Grapalat" w:hAnsi="GHEA Grapalat" w:hint="default"/>
        <w:sz w:val="24"/>
      </w:rPr>
    </w:lvl>
    <w:lvl w:ilvl="7">
      <w:start w:val="1"/>
      <w:numFmt w:val="decimal"/>
      <w:isLgl/>
      <w:lvlText w:val="%1.%2.%3.%4.%5.%6.%7.%8."/>
      <w:lvlJc w:val="left"/>
      <w:pPr>
        <w:ind w:left="1800" w:hanging="1440"/>
      </w:pPr>
      <w:rPr>
        <w:rFonts w:ascii="GHEA Grapalat" w:hAnsi="GHEA Grapalat" w:hint="default"/>
        <w:sz w:val="24"/>
      </w:rPr>
    </w:lvl>
    <w:lvl w:ilvl="8">
      <w:start w:val="1"/>
      <w:numFmt w:val="decimal"/>
      <w:isLgl/>
      <w:lvlText w:val="%1.%2.%3.%4.%5.%6.%7.%8.%9."/>
      <w:lvlJc w:val="left"/>
      <w:pPr>
        <w:ind w:left="2160" w:hanging="1800"/>
      </w:pPr>
      <w:rPr>
        <w:rFonts w:ascii="GHEA Grapalat" w:hAnsi="GHEA Grapalat" w:hint="default"/>
        <w:sz w:val="24"/>
      </w:rPr>
    </w:lvl>
  </w:abstractNum>
  <w:abstractNum w:abstractNumId="365" w15:restartNumberingAfterBreak="0">
    <w:nsid w:val="5B2F6AC7"/>
    <w:multiLevelType w:val="hybridMultilevel"/>
    <w:tmpl w:val="57B4E4F2"/>
    <w:styleLink w:val="WW8Num2411"/>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66" w15:restartNumberingAfterBreak="0">
    <w:nsid w:val="5C155FCF"/>
    <w:multiLevelType w:val="multilevel"/>
    <w:tmpl w:val="B3B84EBC"/>
    <w:lvl w:ilvl="0">
      <w:start w:val="1"/>
      <w:numFmt w:val="decimal"/>
      <w:lvlText w:val="%1."/>
      <w:lvlJc w:val="left"/>
      <w:pPr>
        <w:ind w:left="644" w:hanging="360"/>
      </w:pPr>
      <w:rPr>
        <w:rFonts w:cs="Times New Roman" w:hint="default"/>
      </w:rPr>
    </w:lvl>
    <w:lvl w:ilvl="1">
      <w:start w:val="1"/>
      <w:numFmt w:val="decimal"/>
      <w:isLgl/>
      <w:lvlText w:val="%1.%2."/>
      <w:lvlJc w:val="left"/>
      <w:pPr>
        <w:ind w:left="1004" w:hanging="72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364" w:hanging="108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724" w:hanging="1440"/>
      </w:pPr>
      <w:rPr>
        <w:rFonts w:cs="Times New Roman" w:hint="default"/>
      </w:rPr>
    </w:lvl>
    <w:lvl w:ilvl="6">
      <w:start w:val="1"/>
      <w:numFmt w:val="decimal"/>
      <w:isLgl/>
      <w:lvlText w:val="%1.%2.%3.%4.%5.%6.%7."/>
      <w:lvlJc w:val="left"/>
      <w:pPr>
        <w:ind w:left="2084" w:hanging="1800"/>
      </w:pPr>
      <w:rPr>
        <w:rFonts w:cs="Times New Roman" w:hint="default"/>
      </w:rPr>
    </w:lvl>
    <w:lvl w:ilvl="7">
      <w:start w:val="1"/>
      <w:numFmt w:val="decimal"/>
      <w:isLgl/>
      <w:lvlText w:val="%1.%2.%3.%4.%5.%6.%7.%8."/>
      <w:lvlJc w:val="left"/>
      <w:pPr>
        <w:ind w:left="2084" w:hanging="1800"/>
      </w:pPr>
      <w:rPr>
        <w:rFonts w:cs="Times New Roman" w:hint="default"/>
      </w:rPr>
    </w:lvl>
    <w:lvl w:ilvl="8">
      <w:start w:val="1"/>
      <w:numFmt w:val="decimal"/>
      <w:isLgl/>
      <w:lvlText w:val="%1.%2.%3.%4.%5.%6.%7.%8.%9."/>
      <w:lvlJc w:val="left"/>
      <w:pPr>
        <w:ind w:left="2444" w:hanging="2160"/>
      </w:pPr>
      <w:rPr>
        <w:rFonts w:cs="Times New Roman" w:hint="default"/>
      </w:rPr>
    </w:lvl>
  </w:abstractNum>
  <w:abstractNum w:abstractNumId="367" w15:restartNumberingAfterBreak="0">
    <w:nsid w:val="5CA91871"/>
    <w:multiLevelType w:val="hybridMultilevel"/>
    <w:tmpl w:val="B19A011C"/>
    <w:lvl w:ilvl="0" w:tplc="98100E96">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8" w15:restartNumberingAfterBreak="0">
    <w:nsid w:val="5CC547B1"/>
    <w:multiLevelType w:val="multilevel"/>
    <w:tmpl w:val="42A08A78"/>
    <w:lvl w:ilvl="0">
      <w:start w:val="1"/>
      <w:numFmt w:val="decimal"/>
      <w:lvlText w:val="%1."/>
      <w:lvlJc w:val="left"/>
      <w:pPr>
        <w:ind w:left="735" w:hanging="360"/>
      </w:pPr>
      <w:rPr>
        <w:rFonts w:hint="default"/>
      </w:rPr>
    </w:lvl>
    <w:lvl w:ilvl="1">
      <w:start w:val="1"/>
      <w:numFmt w:val="decimal"/>
      <w:isLgl/>
      <w:lvlText w:val="%1.%2."/>
      <w:lvlJc w:val="left"/>
      <w:pPr>
        <w:ind w:left="735" w:hanging="36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095" w:hanging="72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455" w:hanging="108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1815" w:hanging="1440"/>
      </w:pPr>
      <w:rPr>
        <w:rFonts w:hint="default"/>
      </w:rPr>
    </w:lvl>
    <w:lvl w:ilvl="8">
      <w:start w:val="1"/>
      <w:numFmt w:val="decimal"/>
      <w:isLgl/>
      <w:lvlText w:val="%1.%2.%3.%4.%5.%6.%7.%8.%9."/>
      <w:lvlJc w:val="left"/>
      <w:pPr>
        <w:ind w:left="2175" w:hanging="1800"/>
      </w:pPr>
      <w:rPr>
        <w:rFonts w:hint="default"/>
      </w:rPr>
    </w:lvl>
  </w:abstractNum>
  <w:abstractNum w:abstractNumId="369" w15:restartNumberingAfterBreak="0">
    <w:nsid w:val="5DDE4B11"/>
    <w:multiLevelType w:val="multilevel"/>
    <w:tmpl w:val="8A44B89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0" w15:restartNumberingAfterBreak="0">
    <w:nsid w:val="5DE61962"/>
    <w:multiLevelType w:val="multilevel"/>
    <w:tmpl w:val="5A06F1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800" w:hanging="1440"/>
      </w:pPr>
      <w:rPr>
        <w:rFonts w:cs="Sylfaen" w:hint="default"/>
      </w:rPr>
    </w:lvl>
    <w:lvl w:ilvl="6">
      <w:start w:val="1"/>
      <w:numFmt w:val="decimal"/>
      <w:isLgl/>
      <w:lvlText w:val="%1.%2.%3.%4.%5.%6.%7"/>
      <w:lvlJc w:val="left"/>
      <w:pPr>
        <w:ind w:left="1800" w:hanging="1440"/>
      </w:pPr>
      <w:rPr>
        <w:rFonts w:cs="Sylfaen" w:hint="default"/>
      </w:rPr>
    </w:lvl>
    <w:lvl w:ilvl="7">
      <w:start w:val="1"/>
      <w:numFmt w:val="decimal"/>
      <w:isLgl/>
      <w:lvlText w:val="%1.%2.%3.%4.%5.%6.%7.%8"/>
      <w:lvlJc w:val="left"/>
      <w:pPr>
        <w:ind w:left="2160" w:hanging="1800"/>
      </w:pPr>
      <w:rPr>
        <w:rFonts w:cs="Sylfaen" w:hint="default"/>
      </w:rPr>
    </w:lvl>
    <w:lvl w:ilvl="8">
      <w:start w:val="1"/>
      <w:numFmt w:val="decimal"/>
      <w:isLgl/>
      <w:lvlText w:val="%1.%2.%3.%4.%5.%6.%7.%8.%9"/>
      <w:lvlJc w:val="left"/>
      <w:pPr>
        <w:ind w:left="2160" w:hanging="1800"/>
      </w:pPr>
      <w:rPr>
        <w:rFonts w:cs="Sylfaen" w:hint="default"/>
      </w:rPr>
    </w:lvl>
  </w:abstractNum>
  <w:abstractNum w:abstractNumId="371" w15:restartNumberingAfterBreak="0">
    <w:nsid w:val="5E065A01"/>
    <w:multiLevelType w:val="multilevel"/>
    <w:tmpl w:val="026E73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2" w15:restartNumberingAfterBreak="0">
    <w:nsid w:val="5E181697"/>
    <w:multiLevelType w:val="multilevel"/>
    <w:tmpl w:val="C55A92EC"/>
    <w:lvl w:ilvl="0">
      <w:start w:val="1"/>
      <w:numFmt w:val="decimal"/>
      <w:lvlText w:val="%1."/>
      <w:lvlJc w:val="left"/>
      <w:pPr>
        <w:ind w:left="420" w:hanging="4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373" w15:restartNumberingAfterBreak="0">
    <w:nsid w:val="5E216D56"/>
    <w:multiLevelType w:val="multilevel"/>
    <w:tmpl w:val="07A003CA"/>
    <w:lvl w:ilvl="0">
      <w:start w:val="1"/>
      <w:numFmt w:val="decimal"/>
      <w:lvlText w:val="%1."/>
      <w:lvlJc w:val="left"/>
      <w:pPr>
        <w:ind w:left="735" w:hanging="360"/>
      </w:pPr>
      <w:rPr>
        <w:rFonts w:ascii="GHEA Grapalat" w:hAnsi="GHEA Grapalat" w:cs="Times New Roman" w:hint="default"/>
      </w:rPr>
    </w:lvl>
    <w:lvl w:ilvl="1">
      <w:start w:val="1"/>
      <w:numFmt w:val="decimal"/>
      <w:isLgl/>
      <w:lvlText w:val="%1.%2."/>
      <w:lvlJc w:val="left"/>
      <w:pPr>
        <w:ind w:left="1095" w:hanging="720"/>
      </w:pPr>
      <w:rPr>
        <w:rFonts w:cs="Times New Roman"/>
      </w:rPr>
    </w:lvl>
    <w:lvl w:ilvl="2">
      <w:start w:val="1"/>
      <w:numFmt w:val="decimal"/>
      <w:isLgl/>
      <w:lvlText w:val="%1.%2.%3."/>
      <w:lvlJc w:val="left"/>
      <w:pPr>
        <w:ind w:left="1095" w:hanging="720"/>
      </w:pPr>
      <w:rPr>
        <w:rFonts w:cs="Times New Roman"/>
      </w:rPr>
    </w:lvl>
    <w:lvl w:ilvl="3">
      <w:start w:val="1"/>
      <w:numFmt w:val="decimal"/>
      <w:isLgl/>
      <w:lvlText w:val="%1.%2.%3.%4."/>
      <w:lvlJc w:val="left"/>
      <w:pPr>
        <w:ind w:left="1455" w:hanging="1080"/>
      </w:pPr>
      <w:rPr>
        <w:rFonts w:cs="Times New Roman"/>
      </w:rPr>
    </w:lvl>
    <w:lvl w:ilvl="4">
      <w:start w:val="1"/>
      <w:numFmt w:val="decimal"/>
      <w:isLgl/>
      <w:lvlText w:val="%1.%2.%3.%4.%5."/>
      <w:lvlJc w:val="left"/>
      <w:pPr>
        <w:ind w:left="1455" w:hanging="1080"/>
      </w:pPr>
      <w:rPr>
        <w:rFonts w:cs="Times New Roman"/>
      </w:rPr>
    </w:lvl>
    <w:lvl w:ilvl="5">
      <w:start w:val="1"/>
      <w:numFmt w:val="decimal"/>
      <w:isLgl/>
      <w:lvlText w:val="%1.%2.%3.%4.%5.%6."/>
      <w:lvlJc w:val="left"/>
      <w:pPr>
        <w:ind w:left="1815" w:hanging="1440"/>
      </w:pPr>
      <w:rPr>
        <w:rFonts w:cs="Times New Roman"/>
      </w:rPr>
    </w:lvl>
    <w:lvl w:ilvl="6">
      <w:start w:val="1"/>
      <w:numFmt w:val="decimal"/>
      <w:isLgl/>
      <w:lvlText w:val="%1.%2.%3.%4.%5.%6.%7."/>
      <w:lvlJc w:val="left"/>
      <w:pPr>
        <w:ind w:left="2175" w:hanging="1800"/>
      </w:pPr>
      <w:rPr>
        <w:rFonts w:cs="Times New Roman"/>
      </w:rPr>
    </w:lvl>
    <w:lvl w:ilvl="7">
      <w:start w:val="1"/>
      <w:numFmt w:val="decimal"/>
      <w:isLgl/>
      <w:lvlText w:val="%1.%2.%3.%4.%5.%6.%7.%8."/>
      <w:lvlJc w:val="left"/>
      <w:pPr>
        <w:ind w:left="2175" w:hanging="1800"/>
      </w:pPr>
      <w:rPr>
        <w:rFonts w:cs="Times New Roman"/>
      </w:rPr>
    </w:lvl>
    <w:lvl w:ilvl="8">
      <w:start w:val="1"/>
      <w:numFmt w:val="decimal"/>
      <w:isLgl/>
      <w:lvlText w:val="%1.%2.%3.%4.%5.%6.%7.%8.%9."/>
      <w:lvlJc w:val="left"/>
      <w:pPr>
        <w:ind w:left="2535" w:hanging="2160"/>
      </w:pPr>
      <w:rPr>
        <w:rFonts w:cs="Times New Roman"/>
      </w:rPr>
    </w:lvl>
  </w:abstractNum>
  <w:abstractNum w:abstractNumId="374" w15:restartNumberingAfterBreak="0">
    <w:nsid w:val="5E4D0237"/>
    <w:multiLevelType w:val="hybridMultilevel"/>
    <w:tmpl w:val="73CA7476"/>
    <w:lvl w:ilvl="0" w:tplc="E0FA6C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5" w15:restartNumberingAfterBreak="0">
    <w:nsid w:val="5E7E4C1B"/>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376" w15:restartNumberingAfterBreak="0">
    <w:nsid w:val="5E860EFD"/>
    <w:multiLevelType w:val="multilevel"/>
    <w:tmpl w:val="431859C4"/>
    <w:lvl w:ilvl="0">
      <w:start w:val="1"/>
      <w:numFmt w:val="decimal"/>
      <w:lvlText w:val="%1"/>
      <w:lvlJc w:val="left"/>
      <w:pPr>
        <w:ind w:left="360" w:hanging="360"/>
      </w:pPr>
      <w:rPr>
        <w:rFonts w:hint="default"/>
      </w:rPr>
    </w:lvl>
    <w:lvl w:ilvl="1">
      <w:start w:val="2"/>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377" w15:restartNumberingAfterBreak="0">
    <w:nsid w:val="5E9B328C"/>
    <w:multiLevelType w:val="hybridMultilevel"/>
    <w:tmpl w:val="02561062"/>
    <w:lvl w:ilvl="0" w:tplc="BAD27D7A">
      <w:start w:val="1"/>
      <w:numFmt w:val="decimal"/>
      <w:lvlText w:val="%1)"/>
      <w:lvlJc w:val="left"/>
      <w:pPr>
        <w:ind w:left="735" w:hanging="360"/>
      </w:pPr>
      <w:rPr>
        <w:b w:val="0"/>
      </w:r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378" w15:restartNumberingAfterBreak="0">
    <w:nsid w:val="5EC866BC"/>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379" w15:restartNumberingAfterBreak="0">
    <w:nsid w:val="5ECE41DB"/>
    <w:multiLevelType w:val="hybridMultilevel"/>
    <w:tmpl w:val="D1183B20"/>
    <w:lvl w:ilvl="0" w:tplc="8E96A1AC">
      <w:start w:val="1"/>
      <w:numFmt w:val="decimal"/>
      <w:lvlText w:val="%1."/>
      <w:lvlJc w:val="left"/>
      <w:pPr>
        <w:ind w:left="1080" w:hanging="360"/>
      </w:pPr>
      <w:rPr>
        <w:rFonts w:ascii="GHEA Grapalat" w:eastAsia="Times New Roman" w:hAnsi="GHEA Grapalat"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0" w15:restartNumberingAfterBreak="0">
    <w:nsid w:val="5ED842FD"/>
    <w:multiLevelType w:val="multilevel"/>
    <w:tmpl w:val="05722E7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1" w15:restartNumberingAfterBreak="0">
    <w:nsid w:val="5F022142"/>
    <w:multiLevelType w:val="hybridMultilevel"/>
    <w:tmpl w:val="71E6065E"/>
    <w:lvl w:ilvl="0" w:tplc="B280515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82" w15:restartNumberingAfterBreak="0">
    <w:nsid w:val="5FAB6C78"/>
    <w:multiLevelType w:val="multilevel"/>
    <w:tmpl w:val="B6D2433A"/>
    <w:lvl w:ilvl="0">
      <w:start w:val="1"/>
      <w:numFmt w:val="decimal"/>
      <w:lvlText w:val="%1."/>
      <w:lvlJc w:val="left"/>
      <w:pPr>
        <w:ind w:left="734" w:hanging="360"/>
      </w:pPr>
      <w:rPr>
        <w:rFonts w:hint="default"/>
        <w:b/>
      </w:rPr>
    </w:lvl>
    <w:lvl w:ilvl="1">
      <w:start w:val="1"/>
      <w:numFmt w:val="decimal"/>
      <w:isLgl/>
      <w:lvlText w:val="%1.%2."/>
      <w:lvlJc w:val="left"/>
      <w:pPr>
        <w:ind w:left="1280" w:hanging="360"/>
      </w:pPr>
      <w:rPr>
        <w:rFonts w:hint="default"/>
        <w:b/>
      </w:rPr>
    </w:lvl>
    <w:lvl w:ilvl="2">
      <w:start w:val="1"/>
      <w:numFmt w:val="decimal"/>
      <w:isLgl/>
      <w:lvlText w:val="%1.%2.%3."/>
      <w:lvlJc w:val="left"/>
      <w:pPr>
        <w:ind w:left="2186" w:hanging="720"/>
      </w:pPr>
      <w:rPr>
        <w:rFonts w:hint="default"/>
        <w:b/>
      </w:rPr>
    </w:lvl>
    <w:lvl w:ilvl="3">
      <w:start w:val="1"/>
      <w:numFmt w:val="decimal"/>
      <w:isLgl/>
      <w:lvlText w:val="%1.%2.%3.%4."/>
      <w:lvlJc w:val="left"/>
      <w:pPr>
        <w:ind w:left="2732" w:hanging="720"/>
      </w:pPr>
      <w:rPr>
        <w:rFonts w:hint="default"/>
        <w:b/>
      </w:rPr>
    </w:lvl>
    <w:lvl w:ilvl="4">
      <w:start w:val="1"/>
      <w:numFmt w:val="decimal"/>
      <w:isLgl/>
      <w:lvlText w:val="%1.%2.%3.%4.%5."/>
      <w:lvlJc w:val="left"/>
      <w:pPr>
        <w:ind w:left="3638" w:hanging="1080"/>
      </w:pPr>
      <w:rPr>
        <w:rFonts w:hint="default"/>
        <w:b/>
      </w:rPr>
    </w:lvl>
    <w:lvl w:ilvl="5">
      <w:start w:val="1"/>
      <w:numFmt w:val="decimal"/>
      <w:isLgl/>
      <w:lvlText w:val="%1.%2.%3.%4.%5.%6."/>
      <w:lvlJc w:val="left"/>
      <w:pPr>
        <w:ind w:left="4184" w:hanging="1080"/>
      </w:pPr>
      <w:rPr>
        <w:rFonts w:hint="default"/>
        <w:b/>
      </w:rPr>
    </w:lvl>
    <w:lvl w:ilvl="6">
      <w:start w:val="1"/>
      <w:numFmt w:val="decimal"/>
      <w:isLgl/>
      <w:lvlText w:val="%1.%2.%3.%4.%5.%6.%7."/>
      <w:lvlJc w:val="left"/>
      <w:pPr>
        <w:ind w:left="5090" w:hanging="1440"/>
      </w:pPr>
      <w:rPr>
        <w:rFonts w:hint="default"/>
        <w:b/>
      </w:rPr>
    </w:lvl>
    <w:lvl w:ilvl="7">
      <w:start w:val="1"/>
      <w:numFmt w:val="decimal"/>
      <w:isLgl/>
      <w:lvlText w:val="%1.%2.%3.%4.%5.%6.%7.%8."/>
      <w:lvlJc w:val="left"/>
      <w:pPr>
        <w:ind w:left="5636" w:hanging="1440"/>
      </w:pPr>
      <w:rPr>
        <w:rFonts w:hint="default"/>
        <w:b/>
      </w:rPr>
    </w:lvl>
    <w:lvl w:ilvl="8">
      <w:start w:val="1"/>
      <w:numFmt w:val="decimal"/>
      <w:isLgl/>
      <w:lvlText w:val="%1.%2.%3.%4.%5.%6.%7.%8.%9."/>
      <w:lvlJc w:val="left"/>
      <w:pPr>
        <w:ind w:left="6542" w:hanging="1800"/>
      </w:pPr>
      <w:rPr>
        <w:rFonts w:hint="default"/>
        <w:b/>
      </w:rPr>
    </w:lvl>
  </w:abstractNum>
  <w:abstractNum w:abstractNumId="383" w15:restartNumberingAfterBreak="0">
    <w:nsid w:val="5FDE23E7"/>
    <w:multiLevelType w:val="multilevel"/>
    <w:tmpl w:val="06E83BE4"/>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384" w15:restartNumberingAfterBreak="0">
    <w:nsid w:val="5FE766E7"/>
    <w:multiLevelType w:val="hybridMultilevel"/>
    <w:tmpl w:val="066CAF2E"/>
    <w:lvl w:ilvl="0" w:tplc="98100E96">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5" w15:restartNumberingAfterBreak="0">
    <w:nsid w:val="601B356B"/>
    <w:multiLevelType w:val="hybridMultilevel"/>
    <w:tmpl w:val="1DB87F0A"/>
    <w:lvl w:ilvl="0" w:tplc="98100E96">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6" w15:restartNumberingAfterBreak="0">
    <w:nsid w:val="60283146"/>
    <w:multiLevelType w:val="multilevel"/>
    <w:tmpl w:val="426EF07E"/>
    <w:lvl w:ilvl="0">
      <w:start w:val="1"/>
      <w:numFmt w:val="decimal"/>
      <w:lvlText w:val="%1."/>
      <w:lvlJc w:val="left"/>
      <w:pPr>
        <w:ind w:left="735" w:hanging="360"/>
      </w:pPr>
      <w:rPr>
        <w:rFonts w:hint="default"/>
      </w:rPr>
    </w:lvl>
    <w:lvl w:ilvl="1">
      <w:start w:val="2"/>
      <w:numFmt w:val="decimal"/>
      <w:isLgl/>
      <w:lvlText w:val="%1.%2"/>
      <w:lvlJc w:val="left"/>
      <w:pPr>
        <w:ind w:left="735" w:hanging="36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095" w:hanging="72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455" w:hanging="108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1815" w:hanging="1440"/>
      </w:pPr>
      <w:rPr>
        <w:rFonts w:hint="default"/>
      </w:rPr>
    </w:lvl>
    <w:lvl w:ilvl="8">
      <w:start w:val="1"/>
      <w:numFmt w:val="decimal"/>
      <w:isLgl/>
      <w:lvlText w:val="%1.%2.%3.%4.%5.%6.%7.%8.%9"/>
      <w:lvlJc w:val="left"/>
      <w:pPr>
        <w:ind w:left="2175" w:hanging="1800"/>
      </w:pPr>
      <w:rPr>
        <w:rFonts w:hint="default"/>
      </w:rPr>
    </w:lvl>
  </w:abstractNum>
  <w:abstractNum w:abstractNumId="387" w15:restartNumberingAfterBreak="0">
    <w:nsid w:val="603F1C2D"/>
    <w:multiLevelType w:val="multilevel"/>
    <w:tmpl w:val="AFE6898E"/>
    <w:lvl w:ilvl="0">
      <w:start w:val="1"/>
      <w:numFmt w:val="decimal"/>
      <w:lvlText w:val="%1."/>
      <w:lvlJc w:val="left"/>
      <w:pPr>
        <w:ind w:left="360" w:hanging="360"/>
      </w:pPr>
      <w:rPr>
        <w:b/>
      </w:rPr>
    </w:lvl>
    <w:lvl w:ilvl="1">
      <w:start w:val="1"/>
      <w:numFmt w:val="decimal"/>
      <w:isLgl/>
      <w:suff w:val="space"/>
      <w:lvlText w:val="%1.%2."/>
      <w:lvlJc w:val="left"/>
      <w:pPr>
        <w:ind w:left="1148" w:hanging="720"/>
      </w:pPr>
      <w:rPr>
        <w:b/>
      </w:rPr>
    </w:lvl>
    <w:lvl w:ilvl="2">
      <w:start w:val="1"/>
      <w:numFmt w:val="decimal"/>
      <w:isLgl/>
      <w:lvlText w:val="%1.%2.%3."/>
      <w:lvlJc w:val="left"/>
      <w:pPr>
        <w:ind w:left="1148" w:hanging="720"/>
      </w:pPr>
      <w:rPr>
        <w:b/>
      </w:rPr>
    </w:lvl>
    <w:lvl w:ilvl="3">
      <w:start w:val="1"/>
      <w:numFmt w:val="decimal"/>
      <w:isLgl/>
      <w:lvlText w:val="%1.%2.%3.%4."/>
      <w:lvlJc w:val="left"/>
      <w:pPr>
        <w:ind w:left="1508" w:hanging="1080"/>
      </w:pPr>
      <w:rPr>
        <w:b/>
      </w:rPr>
    </w:lvl>
    <w:lvl w:ilvl="4">
      <w:start w:val="1"/>
      <w:numFmt w:val="decimal"/>
      <w:isLgl/>
      <w:lvlText w:val="%1.%2.%3.%4.%5."/>
      <w:lvlJc w:val="left"/>
      <w:pPr>
        <w:ind w:left="1508" w:hanging="1080"/>
      </w:pPr>
      <w:rPr>
        <w:b/>
      </w:rPr>
    </w:lvl>
    <w:lvl w:ilvl="5">
      <w:start w:val="1"/>
      <w:numFmt w:val="decimal"/>
      <w:isLgl/>
      <w:lvlText w:val="%1.%2.%3.%4.%5.%6."/>
      <w:lvlJc w:val="left"/>
      <w:pPr>
        <w:ind w:left="1868" w:hanging="1440"/>
      </w:pPr>
      <w:rPr>
        <w:b/>
      </w:rPr>
    </w:lvl>
    <w:lvl w:ilvl="6">
      <w:start w:val="1"/>
      <w:numFmt w:val="decimal"/>
      <w:isLgl/>
      <w:lvlText w:val="%1.%2.%3.%4.%5.%6.%7."/>
      <w:lvlJc w:val="left"/>
      <w:pPr>
        <w:ind w:left="1868" w:hanging="1440"/>
      </w:pPr>
      <w:rPr>
        <w:b/>
      </w:rPr>
    </w:lvl>
    <w:lvl w:ilvl="7">
      <w:start w:val="1"/>
      <w:numFmt w:val="decimal"/>
      <w:isLgl/>
      <w:lvlText w:val="%1.%2.%3.%4.%5.%6.%7.%8."/>
      <w:lvlJc w:val="left"/>
      <w:pPr>
        <w:ind w:left="2228" w:hanging="1800"/>
      </w:pPr>
      <w:rPr>
        <w:b/>
      </w:rPr>
    </w:lvl>
    <w:lvl w:ilvl="8">
      <w:start w:val="1"/>
      <w:numFmt w:val="decimal"/>
      <w:isLgl/>
      <w:lvlText w:val="%1.%2.%3.%4.%5.%6.%7.%8.%9."/>
      <w:lvlJc w:val="left"/>
      <w:pPr>
        <w:ind w:left="2228" w:hanging="1800"/>
      </w:pPr>
      <w:rPr>
        <w:b/>
      </w:rPr>
    </w:lvl>
  </w:abstractNum>
  <w:abstractNum w:abstractNumId="388" w15:restartNumberingAfterBreak="0">
    <w:nsid w:val="60986247"/>
    <w:multiLevelType w:val="multilevel"/>
    <w:tmpl w:val="17D4739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9" w15:restartNumberingAfterBreak="0">
    <w:nsid w:val="610371E4"/>
    <w:multiLevelType w:val="hybridMultilevel"/>
    <w:tmpl w:val="0DB66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0" w15:restartNumberingAfterBreak="0">
    <w:nsid w:val="61426053"/>
    <w:multiLevelType w:val="multilevel"/>
    <w:tmpl w:val="04662790"/>
    <w:lvl w:ilvl="0">
      <w:start w:val="1"/>
      <w:numFmt w:val="decimal"/>
      <w:lvlText w:val="%1."/>
      <w:lvlJc w:val="left"/>
      <w:pPr>
        <w:ind w:left="735" w:hanging="360"/>
      </w:pPr>
      <w:rPr>
        <w:rFonts w:hint="default"/>
      </w:rPr>
    </w:lvl>
    <w:lvl w:ilvl="1">
      <w:start w:val="2"/>
      <w:numFmt w:val="decimal"/>
      <w:isLgl/>
      <w:lvlText w:val="%1.%2."/>
      <w:lvlJc w:val="left"/>
      <w:pPr>
        <w:ind w:left="1095" w:hanging="72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455" w:hanging="108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35" w:hanging="2160"/>
      </w:pPr>
      <w:rPr>
        <w:rFonts w:hint="default"/>
      </w:rPr>
    </w:lvl>
  </w:abstractNum>
  <w:abstractNum w:abstractNumId="391" w15:restartNumberingAfterBreak="0">
    <w:nsid w:val="61540EEA"/>
    <w:multiLevelType w:val="multilevel"/>
    <w:tmpl w:val="CE6C993C"/>
    <w:lvl w:ilvl="0">
      <w:start w:val="1"/>
      <w:numFmt w:val="decimal"/>
      <w:lvlText w:val="%1"/>
      <w:lvlJc w:val="left"/>
      <w:pPr>
        <w:ind w:left="360" w:hanging="360"/>
      </w:pPr>
      <w:rPr>
        <w:rFonts w:hint="default"/>
        <w:b/>
      </w:rPr>
    </w:lvl>
    <w:lvl w:ilvl="1">
      <w:start w:val="1"/>
      <w:numFmt w:val="decimal"/>
      <w:lvlText w:val="%1.%2"/>
      <w:lvlJc w:val="left"/>
      <w:pPr>
        <w:ind w:left="1160" w:hanging="360"/>
      </w:pPr>
      <w:rPr>
        <w:rFonts w:hint="default"/>
        <w:b/>
      </w:rPr>
    </w:lvl>
    <w:lvl w:ilvl="2">
      <w:start w:val="1"/>
      <w:numFmt w:val="decimal"/>
      <w:lvlText w:val="%1.%2.%3"/>
      <w:lvlJc w:val="left"/>
      <w:pPr>
        <w:ind w:left="2320" w:hanging="720"/>
      </w:pPr>
      <w:rPr>
        <w:rFonts w:hint="default"/>
        <w:b/>
      </w:rPr>
    </w:lvl>
    <w:lvl w:ilvl="3">
      <w:start w:val="1"/>
      <w:numFmt w:val="decimal"/>
      <w:lvlText w:val="%1.%2.%3.%4"/>
      <w:lvlJc w:val="left"/>
      <w:pPr>
        <w:ind w:left="3480" w:hanging="1080"/>
      </w:pPr>
      <w:rPr>
        <w:rFonts w:hint="default"/>
        <w:b/>
      </w:rPr>
    </w:lvl>
    <w:lvl w:ilvl="4">
      <w:start w:val="1"/>
      <w:numFmt w:val="decimal"/>
      <w:lvlText w:val="%1.%2.%3.%4.%5"/>
      <w:lvlJc w:val="left"/>
      <w:pPr>
        <w:ind w:left="4280" w:hanging="1080"/>
      </w:pPr>
      <w:rPr>
        <w:rFonts w:hint="default"/>
        <w:b/>
      </w:rPr>
    </w:lvl>
    <w:lvl w:ilvl="5">
      <w:start w:val="1"/>
      <w:numFmt w:val="decimal"/>
      <w:lvlText w:val="%1.%2.%3.%4.%5.%6"/>
      <w:lvlJc w:val="left"/>
      <w:pPr>
        <w:ind w:left="5440" w:hanging="1440"/>
      </w:pPr>
      <w:rPr>
        <w:rFonts w:hint="default"/>
        <w:b/>
      </w:rPr>
    </w:lvl>
    <w:lvl w:ilvl="6">
      <w:start w:val="1"/>
      <w:numFmt w:val="decimal"/>
      <w:lvlText w:val="%1.%2.%3.%4.%5.%6.%7"/>
      <w:lvlJc w:val="left"/>
      <w:pPr>
        <w:ind w:left="6240" w:hanging="1440"/>
      </w:pPr>
      <w:rPr>
        <w:rFonts w:hint="default"/>
        <w:b/>
      </w:rPr>
    </w:lvl>
    <w:lvl w:ilvl="7">
      <w:start w:val="1"/>
      <w:numFmt w:val="decimal"/>
      <w:lvlText w:val="%1.%2.%3.%4.%5.%6.%7.%8"/>
      <w:lvlJc w:val="left"/>
      <w:pPr>
        <w:ind w:left="7400" w:hanging="1800"/>
      </w:pPr>
      <w:rPr>
        <w:rFonts w:hint="default"/>
        <w:b/>
      </w:rPr>
    </w:lvl>
    <w:lvl w:ilvl="8">
      <w:start w:val="1"/>
      <w:numFmt w:val="decimal"/>
      <w:lvlText w:val="%1.%2.%3.%4.%5.%6.%7.%8.%9"/>
      <w:lvlJc w:val="left"/>
      <w:pPr>
        <w:ind w:left="8560" w:hanging="2160"/>
      </w:pPr>
      <w:rPr>
        <w:rFonts w:hint="default"/>
        <w:b/>
      </w:rPr>
    </w:lvl>
  </w:abstractNum>
  <w:abstractNum w:abstractNumId="392" w15:restartNumberingAfterBreak="0">
    <w:nsid w:val="61971DE6"/>
    <w:multiLevelType w:val="hybridMultilevel"/>
    <w:tmpl w:val="006C7CA8"/>
    <w:lvl w:ilvl="0" w:tplc="85023CE2">
      <w:start w:val="1"/>
      <w:numFmt w:val="decimal"/>
      <w:lvlText w:val="%1."/>
      <w:lvlJc w:val="left"/>
      <w:pPr>
        <w:ind w:left="1170" w:hanging="360"/>
      </w:pPr>
      <w:rPr>
        <w:rFonts w:cs="Sylfaen"/>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393" w15:restartNumberingAfterBreak="0">
    <w:nsid w:val="62720C32"/>
    <w:multiLevelType w:val="hybridMultilevel"/>
    <w:tmpl w:val="40F8D40A"/>
    <w:lvl w:ilvl="0" w:tplc="08CCCD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4" w15:restartNumberingAfterBreak="0">
    <w:nsid w:val="62F64972"/>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395" w15:restartNumberingAfterBreak="0">
    <w:nsid w:val="63114251"/>
    <w:multiLevelType w:val="multilevel"/>
    <w:tmpl w:val="0A803E9A"/>
    <w:lvl w:ilvl="0">
      <w:start w:val="1"/>
      <w:numFmt w:val="decimal"/>
      <w:lvlText w:val="%1."/>
      <w:lvlJc w:val="left"/>
      <w:pPr>
        <w:ind w:left="720" w:hanging="360"/>
      </w:pPr>
      <w:rPr>
        <w:rFonts w:cs="Arial" w:hint="default"/>
        <w:b/>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6" w15:restartNumberingAfterBreak="0">
    <w:nsid w:val="631F5DBE"/>
    <w:multiLevelType w:val="multilevel"/>
    <w:tmpl w:val="F604ADFC"/>
    <w:styleLink w:val="WW8Num24"/>
    <w:lvl w:ilvl="0">
      <w:numFmt w:val="bullet"/>
      <w:lvlText w:val=""/>
      <w:lvlJc w:val="left"/>
      <w:pPr>
        <w:ind w:left="0" w:firstLine="0"/>
      </w:pPr>
      <w:rPr>
        <w:rFonts w:ascii="Symbol" w:hAnsi="Symbol" w:cs="Symbol"/>
        <w:sz w:val="24"/>
        <w:szCs w:val="24"/>
        <w:lang w:val="ru-RU"/>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97" w15:restartNumberingAfterBreak="0">
    <w:nsid w:val="63B01486"/>
    <w:multiLevelType w:val="multilevel"/>
    <w:tmpl w:val="B6D2433A"/>
    <w:lvl w:ilvl="0">
      <w:start w:val="1"/>
      <w:numFmt w:val="decimal"/>
      <w:lvlText w:val="%1."/>
      <w:lvlJc w:val="left"/>
      <w:pPr>
        <w:ind w:left="734" w:hanging="360"/>
      </w:pPr>
      <w:rPr>
        <w:rFonts w:hint="default"/>
        <w:b/>
      </w:rPr>
    </w:lvl>
    <w:lvl w:ilvl="1">
      <w:start w:val="1"/>
      <w:numFmt w:val="decimal"/>
      <w:isLgl/>
      <w:lvlText w:val="%1.%2."/>
      <w:lvlJc w:val="left"/>
      <w:pPr>
        <w:ind w:left="1280" w:hanging="360"/>
      </w:pPr>
      <w:rPr>
        <w:rFonts w:hint="default"/>
        <w:b/>
      </w:rPr>
    </w:lvl>
    <w:lvl w:ilvl="2">
      <w:start w:val="1"/>
      <w:numFmt w:val="decimal"/>
      <w:isLgl/>
      <w:lvlText w:val="%1.%2.%3."/>
      <w:lvlJc w:val="left"/>
      <w:pPr>
        <w:ind w:left="2186" w:hanging="720"/>
      </w:pPr>
      <w:rPr>
        <w:rFonts w:hint="default"/>
        <w:b/>
      </w:rPr>
    </w:lvl>
    <w:lvl w:ilvl="3">
      <w:start w:val="1"/>
      <w:numFmt w:val="decimal"/>
      <w:isLgl/>
      <w:lvlText w:val="%1.%2.%3.%4."/>
      <w:lvlJc w:val="left"/>
      <w:pPr>
        <w:ind w:left="2732" w:hanging="720"/>
      </w:pPr>
      <w:rPr>
        <w:rFonts w:hint="default"/>
        <w:b/>
      </w:rPr>
    </w:lvl>
    <w:lvl w:ilvl="4">
      <w:start w:val="1"/>
      <w:numFmt w:val="decimal"/>
      <w:isLgl/>
      <w:lvlText w:val="%1.%2.%3.%4.%5."/>
      <w:lvlJc w:val="left"/>
      <w:pPr>
        <w:ind w:left="3638" w:hanging="1080"/>
      </w:pPr>
      <w:rPr>
        <w:rFonts w:hint="default"/>
        <w:b/>
      </w:rPr>
    </w:lvl>
    <w:lvl w:ilvl="5">
      <w:start w:val="1"/>
      <w:numFmt w:val="decimal"/>
      <w:isLgl/>
      <w:lvlText w:val="%1.%2.%3.%4.%5.%6."/>
      <w:lvlJc w:val="left"/>
      <w:pPr>
        <w:ind w:left="4184" w:hanging="1080"/>
      </w:pPr>
      <w:rPr>
        <w:rFonts w:hint="default"/>
        <w:b/>
      </w:rPr>
    </w:lvl>
    <w:lvl w:ilvl="6">
      <w:start w:val="1"/>
      <w:numFmt w:val="decimal"/>
      <w:isLgl/>
      <w:lvlText w:val="%1.%2.%3.%4.%5.%6.%7."/>
      <w:lvlJc w:val="left"/>
      <w:pPr>
        <w:ind w:left="5090" w:hanging="1440"/>
      </w:pPr>
      <w:rPr>
        <w:rFonts w:hint="default"/>
        <w:b/>
      </w:rPr>
    </w:lvl>
    <w:lvl w:ilvl="7">
      <w:start w:val="1"/>
      <w:numFmt w:val="decimal"/>
      <w:isLgl/>
      <w:lvlText w:val="%1.%2.%3.%4.%5.%6.%7.%8."/>
      <w:lvlJc w:val="left"/>
      <w:pPr>
        <w:ind w:left="5636" w:hanging="1440"/>
      </w:pPr>
      <w:rPr>
        <w:rFonts w:hint="default"/>
        <w:b/>
      </w:rPr>
    </w:lvl>
    <w:lvl w:ilvl="8">
      <w:start w:val="1"/>
      <w:numFmt w:val="decimal"/>
      <w:isLgl/>
      <w:lvlText w:val="%1.%2.%3.%4.%5.%6.%7.%8.%9."/>
      <w:lvlJc w:val="left"/>
      <w:pPr>
        <w:ind w:left="6542" w:hanging="1800"/>
      </w:pPr>
      <w:rPr>
        <w:rFonts w:hint="default"/>
        <w:b/>
      </w:rPr>
    </w:lvl>
  </w:abstractNum>
  <w:abstractNum w:abstractNumId="398" w15:restartNumberingAfterBreak="0">
    <w:nsid w:val="63C54204"/>
    <w:multiLevelType w:val="hybridMultilevel"/>
    <w:tmpl w:val="0F7672F6"/>
    <w:lvl w:ilvl="0" w:tplc="2A766AC2">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99" w15:restartNumberingAfterBreak="0">
    <w:nsid w:val="63EC3134"/>
    <w:multiLevelType w:val="hybridMultilevel"/>
    <w:tmpl w:val="70724956"/>
    <w:lvl w:ilvl="0" w:tplc="264807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0" w15:restartNumberingAfterBreak="0">
    <w:nsid w:val="644456D7"/>
    <w:multiLevelType w:val="multilevel"/>
    <w:tmpl w:val="728CEBA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GHEA Grapalat" w:hAnsi="GHEA Grapalat" w:cs="Sylfaen" w:hint="default"/>
        <w:b/>
      </w:rPr>
    </w:lvl>
    <w:lvl w:ilvl="2">
      <w:start w:val="1"/>
      <w:numFmt w:val="decimal"/>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401" w15:restartNumberingAfterBreak="0">
    <w:nsid w:val="64487B97"/>
    <w:multiLevelType w:val="multilevel"/>
    <w:tmpl w:val="9EB87A88"/>
    <w:lvl w:ilvl="0">
      <w:start w:val="1"/>
      <w:numFmt w:val="decimal"/>
      <w:lvlText w:val="%1."/>
      <w:lvlJc w:val="left"/>
      <w:pPr>
        <w:ind w:left="450" w:hanging="360"/>
      </w:pPr>
      <w:rPr>
        <w:rFonts w:hint="default"/>
        <w:lang w:val="hy-AM"/>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402" w15:restartNumberingAfterBreak="0">
    <w:nsid w:val="648E630A"/>
    <w:multiLevelType w:val="multilevel"/>
    <w:tmpl w:val="8A44B89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3" w15:restartNumberingAfterBreak="0">
    <w:nsid w:val="649738DC"/>
    <w:multiLevelType w:val="multilevel"/>
    <w:tmpl w:val="9EB87A88"/>
    <w:lvl w:ilvl="0">
      <w:start w:val="1"/>
      <w:numFmt w:val="decimal"/>
      <w:lvlText w:val="%1."/>
      <w:lvlJc w:val="left"/>
      <w:pPr>
        <w:ind w:left="450" w:hanging="360"/>
      </w:pPr>
      <w:rPr>
        <w:rFonts w:hint="default"/>
        <w:lang w:val="hy-AM"/>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404" w15:restartNumberingAfterBreak="0">
    <w:nsid w:val="64A556CD"/>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405" w15:restartNumberingAfterBreak="0">
    <w:nsid w:val="652C24B9"/>
    <w:multiLevelType w:val="hybridMultilevel"/>
    <w:tmpl w:val="E7CAE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6" w15:restartNumberingAfterBreak="0">
    <w:nsid w:val="65523A96"/>
    <w:multiLevelType w:val="multilevel"/>
    <w:tmpl w:val="AF1A129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07" w15:restartNumberingAfterBreak="0">
    <w:nsid w:val="656112DE"/>
    <w:multiLevelType w:val="multilevel"/>
    <w:tmpl w:val="B6D2433A"/>
    <w:lvl w:ilvl="0">
      <w:start w:val="1"/>
      <w:numFmt w:val="decimal"/>
      <w:lvlText w:val="%1."/>
      <w:lvlJc w:val="left"/>
      <w:pPr>
        <w:ind w:left="734" w:hanging="360"/>
      </w:pPr>
      <w:rPr>
        <w:rFonts w:hint="default"/>
        <w:b/>
      </w:rPr>
    </w:lvl>
    <w:lvl w:ilvl="1">
      <w:start w:val="1"/>
      <w:numFmt w:val="decimal"/>
      <w:isLgl/>
      <w:lvlText w:val="%1.%2."/>
      <w:lvlJc w:val="left"/>
      <w:pPr>
        <w:ind w:left="1280" w:hanging="360"/>
      </w:pPr>
      <w:rPr>
        <w:rFonts w:hint="default"/>
        <w:b/>
      </w:rPr>
    </w:lvl>
    <w:lvl w:ilvl="2">
      <w:start w:val="1"/>
      <w:numFmt w:val="decimal"/>
      <w:isLgl/>
      <w:lvlText w:val="%1.%2.%3."/>
      <w:lvlJc w:val="left"/>
      <w:pPr>
        <w:ind w:left="2186" w:hanging="720"/>
      </w:pPr>
      <w:rPr>
        <w:rFonts w:hint="default"/>
        <w:b/>
      </w:rPr>
    </w:lvl>
    <w:lvl w:ilvl="3">
      <w:start w:val="1"/>
      <w:numFmt w:val="decimal"/>
      <w:isLgl/>
      <w:lvlText w:val="%1.%2.%3.%4."/>
      <w:lvlJc w:val="left"/>
      <w:pPr>
        <w:ind w:left="2732" w:hanging="720"/>
      </w:pPr>
      <w:rPr>
        <w:rFonts w:hint="default"/>
        <w:b/>
      </w:rPr>
    </w:lvl>
    <w:lvl w:ilvl="4">
      <w:start w:val="1"/>
      <w:numFmt w:val="decimal"/>
      <w:isLgl/>
      <w:lvlText w:val="%1.%2.%3.%4.%5."/>
      <w:lvlJc w:val="left"/>
      <w:pPr>
        <w:ind w:left="3638" w:hanging="1080"/>
      </w:pPr>
      <w:rPr>
        <w:rFonts w:hint="default"/>
        <w:b/>
      </w:rPr>
    </w:lvl>
    <w:lvl w:ilvl="5">
      <w:start w:val="1"/>
      <w:numFmt w:val="decimal"/>
      <w:isLgl/>
      <w:lvlText w:val="%1.%2.%3.%4.%5.%6."/>
      <w:lvlJc w:val="left"/>
      <w:pPr>
        <w:ind w:left="4184" w:hanging="1080"/>
      </w:pPr>
      <w:rPr>
        <w:rFonts w:hint="default"/>
        <w:b/>
      </w:rPr>
    </w:lvl>
    <w:lvl w:ilvl="6">
      <w:start w:val="1"/>
      <w:numFmt w:val="decimal"/>
      <w:isLgl/>
      <w:lvlText w:val="%1.%2.%3.%4.%5.%6.%7."/>
      <w:lvlJc w:val="left"/>
      <w:pPr>
        <w:ind w:left="5090" w:hanging="1440"/>
      </w:pPr>
      <w:rPr>
        <w:rFonts w:hint="default"/>
        <w:b/>
      </w:rPr>
    </w:lvl>
    <w:lvl w:ilvl="7">
      <w:start w:val="1"/>
      <w:numFmt w:val="decimal"/>
      <w:isLgl/>
      <w:lvlText w:val="%1.%2.%3.%4.%5.%6.%7.%8."/>
      <w:lvlJc w:val="left"/>
      <w:pPr>
        <w:ind w:left="5636" w:hanging="1440"/>
      </w:pPr>
      <w:rPr>
        <w:rFonts w:hint="default"/>
        <w:b/>
      </w:rPr>
    </w:lvl>
    <w:lvl w:ilvl="8">
      <w:start w:val="1"/>
      <w:numFmt w:val="decimal"/>
      <w:isLgl/>
      <w:lvlText w:val="%1.%2.%3.%4.%5.%6.%7.%8.%9."/>
      <w:lvlJc w:val="left"/>
      <w:pPr>
        <w:ind w:left="6542" w:hanging="1800"/>
      </w:pPr>
      <w:rPr>
        <w:rFonts w:hint="default"/>
        <w:b/>
      </w:rPr>
    </w:lvl>
  </w:abstractNum>
  <w:abstractNum w:abstractNumId="408" w15:restartNumberingAfterBreak="0">
    <w:nsid w:val="65942D2A"/>
    <w:multiLevelType w:val="multilevel"/>
    <w:tmpl w:val="C6ECDA46"/>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9" w15:restartNumberingAfterBreak="0">
    <w:nsid w:val="65C05105"/>
    <w:multiLevelType w:val="multilevel"/>
    <w:tmpl w:val="F454D174"/>
    <w:lvl w:ilvl="0">
      <w:start w:val="1"/>
      <w:numFmt w:val="decimal"/>
      <w:lvlText w:val="%1."/>
      <w:lvlJc w:val="left"/>
      <w:pPr>
        <w:ind w:left="735" w:hanging="360"/>
      </w:pPr>
      <w:rPr>
        <w:rFonts w:eastAsiaTheme="minorHAnsi" w:cstheme="minorBidi" w:hint="default"/>
        <w:b w:val="0"/>
      </w:rPr>
    </w:lvl>
    <w:lvl w:ilvl="1">
      <w:start w:val="1"/>
      <w:numFmt w:val="decimal"/>
      <w:isLgl/>
      <w:lvlText w:val="%1.%2."/>
      <w:lvlJc w:val="left"/>
      <w:pPr>
        <w:ind w:left="735" w:hanging="36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095" w:hanging="72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455" w:hanging="108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1815" w:hanging="1440"/>
      </w:pPr>
      <w:rPr>
        <w:rFonts w:hint="default"/>
      </w:rPr>
    </w:lvl>
    <w:lvl w:ilvl="8">
      <w:start w:val="1"/>
      <w:numFmt w:val="decimal"/>
      <w:isLgl/>
      <w:lvlText w:val="%1.%2.%3.%4.%5.%6.%7.%8.%9."/>
      <w:lvlJc w:val="left"/>
      <w:pPr>
        <w:ind w:left="2175" w:hanging="1800"/>
      </w:pPr>
      <w:rPr>
        <w:rFonts w:hint="default"/>
      </w:rPr>
    </w:lvl>
  </w:abstractNum>
  <w:abstractNum w:abstractNumId="410" w15:restartNumberingAfterBreak="0">
    <w:nsid w:val="65E71E59"/>
    <w:multiLevelType w:val="multilevel"/>
    <w:tmpl w:val="AAC4AB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1" w15:restartNumberingAfterBreak="0">
    <w:nsid w:val="66156D4A"/>
    <w:multiLevelType w:val="multilevel"/>
    <w:tmpl w:val="2986426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2" w15:restartNumberingAfterBreak="0">
    <w:nsid w:val="662853BD"/>
    <w:multiLevelType w:val="hybridMultilevel"/>
    <w:tmpl w:val="815ADFD8"/>
    <w:lvl w:ilvl="0" w:tplc="AF40B5E4">
      <w:start w:val="1"/>
      <w:numFmt w:val="decimal"/>
      <w:lvlText w:val="%1)"/>
      <w:lvlJc w:val="left"/>
      <w:pPr>
        <w:ind w:left="735" w:hanging="36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413" w15:restartNumberingAfterBreak="0">
    <w:nsid w:val="66300820"/>
    <w:multiLevelType w:val="multilevel"/>
    <w:tmpl w:val="209C644E"/>
    <w:lvl w:ilvl="0">
      <w:start w:val="1"/>
      <w:numFmt w:val="decimal"/>
      <w:lvlText w:val="%1."/>
      <w:lvlJc w:val="left"/>
      <w:pPr>
        <w:ind w:left="735" w:hanging="360"/>
      </w:pPr>
      <w:rPr>
        <w:rFonts w:hint="default"/>
      </w:rPr>
    </w:lvl>
    <w:lvl w:ilvl="1">
      <w:start w:val="1"/>
      <w:numFmt w:val="decimal"/>
      <w:isLgl/>
      <w:lvlText w:val="%1.%2."/>
      <w:lvlJc w:val="left"/>
      <w:pPr>
        <w:ind w:left="1095" w:hanging="72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455" w:hanging="108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35" w:hanging="2160"/>
      </w:pPr>
      <w:rPr>
        <w:rFonts w:hint="default"/>
      </w:rPr>
    </w:lvl>
  </w:abstractNum>
  <w:abstractNum w:abstractNumId="414" w15:restartNumberingAfterBreak="0">
    <w:nsid w:val="669818A3"/>
    <w:multiLevelType w:val="multilevel"/>
    <w:tmpl w:val="04160A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415" w15:restartNumberingAfterBreak="0">
    <w:nsid w:val="672D6D31"/>
    <w:multiLevelType w:val="multilevel"/>
    <w:tmpl w:val="F97A889E"/>
    <w:lvl w:ilvl="0">
      <w:start w:val="1"/>
      <w:numFmt w:val="decimal"/>
      <w:lvlText w:val="%1."/>
      <w:lvlJc w:val="left"/>
      <w:pPr>
        <w:ind w:left="735" w:hanging="360"/>
      </w:pPr>
      <w:rPr>
        <w:rFonts w:cs="Times New Roman" w:hint="default"/>
      </w:rPr>
    </w:lvl>
    <w:lvl w:ilvl="1">
      <w:start w:val="1"/>
      <w:numFmt w:val="decimal"/>
      <w:isLgl/>
      <w:lvlText w:val="%1.%2"/>
      <w:lvlJc w:val="left"/>
      <w:pPr>
        <w:ind w:left="735" w:hanging="360"/>
      </w:pPr>
      <w:rPr>
        <w:rFonts w:cs="Times New Roman" w:hint="default"/>
      </w:rPr>
    </w:lvl>
    <w:lvl w:ilvl="2">
      <w:start w:val="1"/>
      <w:numFmt w:val="decimal"/>
      <w:isLgl/>
      <w:lvlText w:val="%1.%2.%3"/>
      <w:lvlJc w:val="left"/>
      <w:pPr>
        <w:ind w:left="1095" w:hanging="720"/>
      </w:pPr>
      <w:rPr>
        <w:rFonts w:cs="Times New Roman" w:hint="default"/>
      </w:rPr>
    </w:lvl>
    <w:lvl w:ilvl="3">
      <w:start w:val="1"/>
      <w:numFmt w:val="decimal"/>
      <w:isLgl/>
      <w:lvlText w:val="%1.%2.%3.%4"/>
      <w:lvlJc w:val="left"/>
      <w:pPr>
        <w:ind w:left="1455" w:hanging="1080"/>
      </w:pPr>
      <w:rPr>
        <w:rFonts w:cs="Times New Roman" w:hint="default"/>
      </w:rPr>
    </w:lvl>
    <w:lvl w:ilvl="4">
      <w:start w:val="1"/>
      <w:numFmt w:val="decimal"/>
      <w:isLgl/>
      <w:lvlText w:val="%1.%2.%3.%4.%5"/>
      <w:lvlJc w:val="left"/>
      <w:pPr>
        <w:ind w:left="1455" w:hanging="1080"/>
      </w:pPr>
      <w:rPr>
        <w:rFonts w:cs="Times New Roman" w:hint="default"/>
      </w:rPr>
    </w:lvl>
    <w:lvl w:ilvl="5">
      <w:start w:val="1"/>
      <w:numFmt w:val="decimal"/>
      <w:isLgl/>
      <w:lvlText w:val="%1.%2.%3.%4.%5.%6"/>
      <w:lvlJc w:val="left"/>
      <w:pPr>
        <w:ind w:left="1815" w:hanging="1440"/>
      </w:pPr>
      <w:rPr>
        <w:rFonts w:cs="Times New Roman" w:hint="default"/>
      </w:rPr>
    </w:lvl>
    <w:lvl w:ilvl="6">
      <w:start w:val="1"/>
      <w:numFmt w:val="decimal"/>
      <w:isLgl/>
      <w:lvlText w:val="%1.%2.%3.%4.%5.%6.%7"/>
      <w:lvlJc w:val="left"/>
      <w:pPr>
        <w:ind w:left="1815" w:hanging="1440"/>
      </w:pPr>
      <w:rPr>
        <w:rFonts w:cs="Times New Roman" w:hint="default"/>
      </w:rPr>
    </w:lvl>
    <w:lvl w:ilvl="7">
      <w:start w:val="1"/>
      <w:numFmt w:val="decimal"/>
      <w:isLgl/>
      <w:lvlText w:val="%1.%2.%3.%4.%5.%6.%7.%8"/>
      <w:lvlJc w:val="left"/>
      <w:pPr>
        <w:ind w:left="2175" w:hanging="1800"/>
      </w:pPr>
      <w:rPr>
        <w:rFonts w:cs="Times New Roman" w:hint="default"/>
      </w:rPr>
    </w:lvl>
    <w:lvl w:ilvl="8">
      <w:start w:val="1"/>
      <w:numFmt w:val="decimal"/>
      <w:isLgl/>
      <w:lvlText w:val="%1.%2.%3.%4.%5.%6.%7.%8.%9"/>
      <w:lvlJc w:val="left"/>
      <w:pPr>
        <w:ind w:left="2535" w:hanging="2160"/>
      </w:pPr>
      <w:rPr>
        <w:rFonts w:cs="Times New Roman" w:hint="default"/>
      </w:rPr>
    </w:lvl>
  </w:abstractNum>
  <w:abstractNum w:abstractNumId="416" w15:restartNumberingAfterBreak="0">
    <w:nsid w:val="67352D0E"/>
    <w:multiLevelType w:val="multilevel"/>
    <w:tmpl w:val="B9F44E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7" w15:restartNumberingAfterBreak="0">
    <w:nsid w:val="680F6599"/>
    <w:multiLevelType w:val="multilevel"/>
    <w:tmpl w:val="E62E0744"/>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18" w15:restartNumberingAfterBreak="0">
    <w:nsid w:val="68141B38"/>
    <w:multiLevelType w:val="multilevel"/>
    <w:tmpl w:val="566E22D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9" w15:restartNumberingAfterBreak="0">
    <w:nsid w:val="683210A5"/>
    <w:multiLevelType w:val="multilevel"/>
    <w:tmpl w:val="509A970E"/>
    <w:lvl w:ilvl="0">
      <w:start w:val="1"/>
      <w:numFmt w:val="decimal"/>
      <w:lvlText w:val="%1."/>
      <w:lvlJc w:val="left"/>
      <w:pPr>
        <w:ind w:left="994" w:hanging="360"/>
      </w:pPr>
      <w:rPr>
        <w:rFonts w:hint="default"/>
        <w:u w:val="none"/>
      </w:rPr>
    </w:lvl>
    <w:lvl w:ilvl="1">
      <w:start w:val="1"/>
      <w:numFmt w:val="decimal"/>
      <w:isLgl/>
      <w:lvlText w:val="%1.%2"/>
      <w:lvlJc w:val="left"/>
      <w:pPr>
        <w:ind w:left="994" w:hanging="360"/>
      </w:pPr>
      <w:rPr>
        <w:rFonts w:hint="default"/>
      </w:rPr>
    </w:lvl>
    <w:lvl w:ilvl="2">
      <w:start w:val="1"/>
      <w:numFmt w:val="decimal"/>
      <w:isLgl/>
      <w:lvlText w:val="%1.%2.%3"/>
      <w:lvlJc w:val="left"/>
      <w:pPr>
        <w:ind w:left="1354" w:hanging="720"/>
      </w:pPr>
      <w:rPr>
        <w:rFonts w:hint="default"/>
      </w:rPr>
    </w:lvl>
    <w:lvl w:ilvl="3">
      <w:start w:val="1"/>
      <w:numFmt w:val="decimal"/>
      <w:isLgl/>
      <w:lvlText w:val="%1.%2.%3.%4"/>
      <w:lvlJc w:val="left"/>
      <w:pPr>
        <w:ind w:left="1714" w:hanging="1080"/>
      </w:pPr>
      <w:rPr>
        <w:rFonts w:hint="default"/>
      </w:rPr>
    </w:lvl>
    <w:lvl w:ilvl="4">
      <w:start w:val="1"/>
      <w:numFmt w:val="decimal"/>
      <w:isLgl/>
      <w:lvlText w:val="%1.%2.%3.%4.%5"/>
      <w:lvlJc w:val="left"/>
      <w:pPr>
        <w:ind w:left="1714" w:hanging="1080"/>
      </w:pPr>
      <w:rPr>
        <w:rFonts w:hint="default"/>
      </w:rPr>
    </w:lvl>
    <w:lvl w:ilvl="5">
      <w:start w:val="1"/>
      <w:numFmt w:val="decimal"/>
      <w:isLgl/>
      <w:lvlText w:val="%1.%2.%3.%4.%5.%6"/>
      <w:lvlJc w:val="left"/>
      <w:pPr>
        <w:ind w:left="2074" w:hanging="1440"/>
      </w:pPr>
      <w:rPr>
        <w:rFonts w:hint="default"/>
      </w:rPr>
    </w:lvl>
    <w:lvl w:ilvl="6">
      <w:start w:val="1"/>
      <w:numFmt w:val="decimal"/>
      <w:isLgl/>
      <w:lvlText w:val="%1.%2.%3.%4.%5.%6.%7"/>
      <w:lvlJc w:val="left"/>
      <w:pPr>
        <w:ind w:left="2074" w:hanging="1440"/>
      </w:pPr>
      <w:rPr>
        <w:rFonts w:hint="default"/>
      </w:rPr>
    </w:lvl>
    <w:lvl w:ilvl="7">
      <w:start w:val="1"/>
      <w:numFmt w:val="decimal"/>
      <w:isLgl/>
      <w:lvlText w:val="%1.%2.%3.%4.%5.%6.%7.%8"/>
      <w:lvlJc w:val="left"/>
      <w:pPr>
        <w:ind w:left="2434" w:hanging="1800"/>
      </w:pPr>
      <w:rPr>
        <w:rFonts w:hint="default"/>
      </w:rPr>
    </w:lvl>
    <w:lvl w:ilvl="8">
      <w:start w:val="1"/>
      <w:numFmt w:val="decimal"/>
      <w:isLgl/>
      <w:lvlText w:val="%1.%2.%3.%4.%5.%6.%7.%8.%9"/>
      <w:lvlJc w:val="left"/>
      <w:pPr>
        <w:ind w:left="2434" w:hanging="1800"/>
      </w:pPr>
      <w:rPr>
        <w:rFonts w:hint="default"/>
      </w:rPr>
    </w:lvl>
  </w:abstractNum>
  <w:abstractNum w:abstractNumId="420" w15:restartNumberingAfterBreak="0">
    <w:nsid w:val="6873545C"/>
    <w:multiLevelType w:val="hybridMultilevel"/>
    <w:tmpl w:val="3DA07ED2"/>
    <w:lvl w:ilvl="0" w:tplc="74204C2A">
      <w:start w:val="1"/>
      <w:numFmt w:val="decimal"/>
      <w:lvlText w:val="%1."/>
      <w:lvlJc w:val="left"/>
      <w:pPr>
        <w:ind w:left="1094" w:hanging="360"/>
      </w:pPr>
      <w:rPr>
        <w:rFonts w:hint="default"/>
        <w:b/>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421" w15:restartNumberingAfterBreak="0">
    <w:nsid w:val="690A7CD8"/>
    <w:multiLevelType w:val="multilevel"/>
    <w:tmpl w:val="BC965064"/>
    <w:lvl w:ilvl="0">
      <w:start w:val="1"/>
      <w:numFmt w:val="decimal"/>
      <w:lvlText w:val="%1."/>
      <w:lvlJc w:val="left"/>
      <w:pPr>
        <w:ind w:left="735" w:hanging="360"/>
      </w:pPr>
      <w:rPr>
        <w:rFonts w:hint="default"/>
      </w:rPr>
    </w:lvl>
    <w:lvl w:ilvl="1">
      <w:start w:val="1"/>
      <w:numFmt w:val="decimal"/>
      <w:isLgl/>
      <w:lvlText w:val="%1.%2."/>
      <w:lvlJc w:val="left"/>
      <w:pPr>
        <w:ind w:left="1095" w:hanging="72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455" w:hanging="108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35" w:hanging="2160"/>
      </w:pPr>
      <w:rPr>
        <w:rFonts w:hint="default"/>
      </w:rPr>
    </w:lvl>
  </w:abstractNum>
  <w:abstractNum w:abstractNumId="422" w15:restartNumberingAfterBreak="0">
    <w:nsid w:val="691F2824"/>
    <w:multiLevelType w:val="multilevel"/>
    <w:tmpl w:val="2AD8E4E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3" w15:restartNumberingAfterBreak="0">
    <w:nsid w:val="692C1A8A"/>
    <w:multiLevelType w:val="multilevel"/>
    <w:tmpl w:val="7638DDE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4" w15:restartNumberingAfterBreak="0">
    <w:nsid w:val="697174E3"/>
    <w:multiLevelType w:val="multilevel"/>
    <w:tmpl w:val="9EB87A88"/>
    <w:lvl w:ilvl="0">
      <w:start w:val="1"/>
      <w:numFmt w:val="decimal"/>
      <w:lvlText w:val="%1."/>
      <w:lvlJc w:val="left"/>
      <w:pPr>
        <w:ind w:left="450" w:hanging="360"/>
      </w:pPr>
      <w:rPr>
        <w:rFonts w:hint="default"/>
        <w:lang w:val="hy-AM"/>
      </w:rPr>
    </w:lvl>
    <w:lvl w:ilvl="1">
      <w:start w:val="1"/>
      <w:numFmt w:val="decimal"/>
      <w:isLgl/>
      <w:suff w:val="space"/>
      <w:lvlText w:val="%1.%2."/>
      <w:lvlJc w:val="left"/>
      <w:pPr>
        <w:ind w:left="7560"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425" w15:restartNumberingAfterBreak="0">
    <w:nsid w:val="6989786C"/>
    <w:multiLevelType w:val="multilevel"/>
    <w:tmpl w:val="26DC4DF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6" w15:restartNumberingAfterBreak="0">
    <w:nsid w:val="6A0B64B7"/>
    <w:multiLevelType w:val="multilevel"/>
    <w:tmpl w:val="2E0260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7" w15:restartNumberingAfterBreak="0">
    <w:nsid w:val="6A3B1FF3"/>
    <w:multiLevelType w:val="multilevel"/>
    <w:tmpl w:val="A860F0E8"/>
    <w:lvl w:ilvl="0">
      <w:start w:val="1"/>
      <w:numFmt w:val="decimal"/>
      <w:lvlText w:val="%1."/>
      <w:lvlJc w:val="left"/>
      <w:pPr>
        <w:ind w:left="735" w:hanging="360"/>
      </w:pPr>
      <w:rPr>
        <w:rFonts w:cs="Times New Roman" w:hint="default"/>
        <w:b/>
      </w:rPr>
    </w:lvl>
    <w:lvl w:ilvl="1">
      <w:start w:val="1"/>
      <w:numFmt w:val="decimal"/>
      <w:isLgl/>
      <w:lvlText w:val="%1.%2."/>
      <w:lvlJc w:val="left"/>
      <w:pPr>
        <w:ind w:left="1095" w:hanging="720"/>
      </w:pPr>
      <w:rPr>
        <w:rFonts w:cs="Times New Roman" w:hint="default"/>
      </w:rPr>
    </w:lvl>
    <w:lvl w:ilvl="2">
      <w:start w:val="1"/>
      <w:numFmt w:val="decimal"/>
      <w:isLgl/>
      <w:lvlText w:val="%1.%2.%3."/>
      <w:lvlJc w:val="left"/>
      <w:pPr>
        <w:ind w:left="1095" w:hanging="720"/>
      </w:pPr>
      <w:rPr>
        <w:rFonts w:cs="Times New Roman" w:hint="default"/>
      </w:rPr>
    </w:lvl>
    <w:lvl w:ilvl="3">
      <w:start w:val="1"/>
      <w:numFmt w:val="decimal"/>
      <w:isLgl/>
      <w:lvlText w:val="%1.%2.%3.%4."/>
      <w:lvlJc w:val="left"/>
      <w:pPr>
        <w:ind w:left="1455" w:hanging="1080"/>
      </w:pPr>
      <w:rPr>
        <w:rFonts w:cs="Times New Roman" w:hint="default"/>
      </w:rPr>
    </w:lvl>
    <w:lvl w:ilvl="4">
      <w:start w:val="1"/>
      <w:numFmt w:val="decimal"/>
      <w:isLgl/>
      <w:lvlText w:val="%1.%2.%3.%4.%5."/>
      <w:lvlJc w:val="left"/>
      <w:pPr>
        <w:ind w:left="1455" w:hanging="1080"/>
      </w:pPr>
      <w:rPr>
        <w:rFonts w:cs="Times New Roman" w:hint="default"/>
      </w:rPr>
    </w:lvl>
    <w:lvl w:ilvl="5">
      <w:start w:val="1"/>
      <w:numFmt w:val="decimal"/>
      <w:isLgl/>
      <w:lvlText w:val="%1.%2.%3.%4.%5.%6."/>
      <w:lvlJc w:val="left"/>
      <w:pPr>
        <w:ind w:left="1815" w:hanging="1440"/>
      </w:pPr>
      <w:rPr>
        <w:rFonts w:cs="Times New Roman" w:hint="default"/>
      </w:rPr>
    </w:lvl>
    <w:lvl w:ilvl="6">
      <w:start w:val="1"/>
      <w:numFmt w:val="decimal"/>
      <w:isLgl/>
      <w:lvlText w:val="%1.%2.%3.%4.%5.%6.%7."/>
      <w:lvlJc w:val="left"/>
      <w:pPr>
        <w:ind w:left="2175" w:hanging="1800"/>
      </w:pPr>
      <w:rPr>
        <w:rFonts w:cs="Times New Roman" w:hint="default"/>
      </w:rPr>
    </w:lvl>
    <w:lvl w:ilvl="7">
      <w:start w:val="1"/>
      <w:numFmt w:val="decimal"/>
      <w:isLgl/>
      <w:lvlText w:val="%1.%2.%3.%4.%5.%6.%7.%8."/>
      <w:lvlJc w:val="left"/>
      <w:pPr>
        <w:ind w:left="2175" w:hanging="1800"/>
      </w:pPr>
      <w:rPr>
        <w:rFonts w:cs="Times New Roman" w:hint="default"/>
      </w:rPr>
    </w:lvl>
    <w:lvl w:ilvl="8">
      <w:start w:val="1"/>
      <w:numFmt w:val="decimal"/>
      <w:isLgl/>
      <w:lvlText w:val="%1.%2.%3.%4.%5.%6.%7.%8.%9."/>
      <w:lvlJc w:val="left"/>
      <w:pPr>
        <w:ind w:left="2535" w:hanging="2160"/>
      </w:pPr>
      <w:rPr>
        <w:rFonts w:cs="Times New Roman" w:hint="default"/>
      </w:rPr>
    </w:lvl>
  </w:abstractNum>
  <w:abstractNum w:abstractNumId="428" w15:restartNumberingAfterBreak="0">
    <w:nsid w:val="6A5A3CE7"/>
    <w:multiLevelType w:val="multilevel"/>
    <w:tmpl w:val="92AC49F4"/>
    <w:lvl w:ilvl="0">
      <w:start w:val="1"/>
      <w:numFmt w:val="decimal"/>
      <w:lvlText w:val="%1."/>
      <w:lvlJc w:val="left"/>
      <w:pPr>
        <w:ind w:left="1800" w:hanging="360"/>
      </w:pPr>
      <w:rPr>
        <w:rFonts w:cs="Sylfaen"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429" w15:restartNumberingAfterBreak="0">
    <w:nsid w:val="6AC30B65"/>
    <w:multiLevelType w:val="hybridMultilevel"/>
    <w:tmpl w:val="F000E970"/>
    <w:lvl w:ilvl="0" w:tplc="A0126902">
      <w:start w:val="1"/>
      <w:numFmt w:val="decimal"/>
      <w:lvlText w:val="%1."/>
      <w:lvlJc w:val="left"/>
      <w:pPr>
        <w:ind w:left="734" w:hanging="360"/>
      </w:pPr>
      <w:rPr>
        <w:rFonts w:hint="default"/>
        <w:b/>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430" w15:restartNumberingAfterBreak="0">
    <w:nsid w:val="6AEE05DB"/>
    <w:multiLevelType w:val="multilevel"/>
    <w:tmpl w:val="9CE6ADA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31" w15:restartNumberingAfterBreak="0">
    <w:nsid w:val="6B9D31D5"/>
    <w:multiLevelType w:val="multilevel"/>
    <w:tmpl w:val="9EB87A88"/>
    <w:lvl w:ilvl="0">
      <w:start w:val="1"/>
      <w:numFmt w:val="decimal"/>
      <w:lvlText w:val="%1."/>
      <w:lvlJc w:val="left"/>
      <w:pPr>
        <w:ind w:left="450" w:hanging="360"/>
      </w:pPr>
      <w:rPr>
        <w:rFonts w:hint="default"/>
        <w:lang w:val="hy-AM"/>
      </w:rPr>
    </w:lvl>
    <w:lvl w:ilvl="1">
      <w:start w:val="1"/>
      <w:numFmt w:val="decimal"/>
      <w:isLgl/>
      <w:suff w:val="space"/>
      <w:lvlText w:val="%1.%2."/>
      <w:lvlJc w:val="left"/>
      <w:pPr>
        <w:ind w:left="7560"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432" w15:restartNumberingAfterBreak="0">
    <w:nsid w:val="6BDD3DB2"/>
    <w:multiLevelType w:val="multilevel"/>
    <w:tmpl w:val="9998FF2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3" w15:restartNumberingAfterBreak="0">
    <w:nsid w:val="6C513318"/>
    <w:multiLevelType w:val="multilevel"/>
    <w:tmpl w:val="B78E5C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4" w15:restartNumberingAfterBreak="0">
    <w:nsid w:val="6C526556"/>
    <w:multiLevelType w:val="hybridMultilevel"/>
    <w:tmpl w:val="9BB2919A"/>
    <w:lvl w:ilvl="0" w:tplc="428678B8">
      <w:start w:val="1"/>
      <w:numFmt w:val="decimal"/>
      <w:lvlText w:val="%1."/>
      <w:lvlJc w:val="left"/>
      <w:pPr>
        <w:ind w:left="990" w:hanging="360"/>
      </w:pPr>
      <w:rPr>
        <w:rFonts w:ascii="Sylfaen" w:eastAsia="Times New Roman" w:hAnsi="Sylfaen" w:cs="Sylfaen"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5" w15:restartNumberingAfterBreak="0">
    <w:nsid w:val="6C9A2F27"/>
    <w:multiLevelType w:val="hybridMultilevel"/>
    <w:tmpl w:val="30D6FF1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6" w15:restartNumberingAfterBreak="0">
    <w:nsid w:val="6CE6718C"/>
    <w:multiLevelType w:val="multilevel"/>
    <w:tmpl w:val="8A86C488"/>
    <w:lvl w:ilvl="0">
      <w:start w:val="1"/>
      <w:numFmt w:val="decimal"/>
      <w:lvlText w:val="%1."/>
      <w:lvlJc w:val="left"/>
      <w:pPr>
        <w:ind w:left="1080" w:hanging="360"/>
      </w:pPr>
      <w:rPr>
        <w:rFonts w:hint="default"/>
        <w:sz w:val="24"/>
        <w:szCs w:val="24"/>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437" w15:restartNumberingAfterBreak="0">
    <w:nsid w:val="6D995A72"/>
    <w:multiLevelType w:val="hybridMultilevel"/>
    <w:tmpl w:val="12F0D746"/>
    <w:lvl w:ilvl="0" w:tplc="F9E2115A">
      <w:start w:val="1"/>
      <w:numFmt w:val="decimal"/>
      <w:lvlText w:val="%1."/>
      <w:lvlJc w:val="left"/>
      <w:pPr>
        <w:ind w:left="639" w:hanging="360"/>
      </w:pPr>
      <w:rPr>
        <w:rFonts w:eastAsia="Calibri" w:cstheme="minorBidi" w:hint="default"/>
      </w:rPr>
    </w:lvl>
    <w:lvl w:ilvl="1" w:tplc="04090019" w:tentative="1">
      <w:start w:val="1"/>
      <w:numFmt w:val="lowerLetter"/>
      <w:lvlText w:val="%2."/>
      <w:lvlJc w:val="left"/>
      <w:pPr>
        <w:ind w:left="1359" w:hanging="360"/>
      </w:pPr>
    </w:lvl>
    <w:lvl w:ilvl="2" w:tplc="0409001B" w:tentative="1">
      <w:start w:val="1"/>
      <w:numFmt w:val="lowerRoman"/>
      <w:lvlText w:val="%3."/>
      <w:lvlJc w:val="right"/>
      <w:pPr>
        <w:ind w:left="2079" w:hanging="180"/>
      </w:pPr>
    </w:lvl>
    <w:lvl w:ilvl="3" w:tplc="0409000F" w:tentative="1">
      <w:start w:val="1"/>
      <w:numFmt w:val="decimal"/>
      <w:lvlText w:val="%4."/>
      <w:lvlJc w:val="left"/>
      <w:pPr>
        <w:ind w:left="2799" w:hanging="360"/>
      </w:pPr>
    </w:lvl>
    <w:lvl w:ilvl="4" w:tplc="04090019" w:tentative="1">
      <w:start w:val="1"/>
      <w:numFmt w:val="lowerLetter"/>
      <w:lvlText w:val="%5."/>
      <w:lvlJc w:val="left"/>
      <w:pPr>
        <w:ind w:left="3519" w:hanging="360"/>
      </w:pPr>
    </w:lvl>
    <w:lvl w:ilvl="5" w:tplc="0409001B" w:tentative="1">
      <w:start w:val="1"/>
      <w:numFmt w:val="lowerRoman"/>
      <w:lvlText w:val="%6."/>
      <w:lvlJc w:val="right"/>
      <w:pPr>
        <w:ind w:left="4239" w:hanging="180"/>
      </w:pPr>
    </w:lvl>
    <w:lvl w:ilvl="6" w:tplc="0409000F" w:tentative="1">
      <w:start w:val="1"/>
      <w:numFmt w:val="decimal"/>
      <w:lvlText w:val="%7."/>
      <w:lvlJc w:val="left"/>
      <w:pPr>
        <w:ind w:left="4959" w:hanging="360"/>
      </w:pPr>
    </w:lvl>
    <w:lvl w:ilvl="7" w:tplc="04090019" w:tentative="1">
      <w:start w:val="1"/>
      <w:numFmt w:val="lowerLetter"/>
      <w:lvlText w:val="%8."/>
      <w:lvlJc w:val="left"/>
      <w:pPr>
        <w:ind w:left="5679" w:hanging="360"/>
      </w:pPr>
    </w:lvl>
    <w:lvl w:ilvl="8" w:tplc="0409001B" w:tentative="1">
      <w:start w:val="1"/>
      <w:numFmt w:val="lowerRoman"/>
      <w:lvlText w:val="%9."/>
      <w:lvlJc w:val="right"/>
      <w:pPr>
        <w:ind w:left="6399" w:hanging="180"/>
      </w:pPr>
    </w:lvl>
  </w:abstractNum>
  <w:abstractNum w:abstractNumId="438" w15:restartNumberingAfterBreak="0">
    <w:nsid w:val="6E1601A3"/>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439" w15:restartNumberingAfterBreak="0">
    <w:nsid w:val="6E9B04BE"/>
    <w:multiLevelType w:val="multilevel"/>
    <w:tmpl w:val="929E467C"/>
    <w:lvl w:ilvl="0">
      <w:start w:val="1"/>
      <w:numFmt w:val="decimal"/>
      <w:lvlText w:val="%1."/>
      <w:lvlJc w:val="left"/>
      <w:pPr>
        <w:ind w:left="1170" w:hanging="360"/>
      </w:pPr>
      <w:rPr>
        <w:rFonts w:eastAsia="GHEAMariam-Bold" w:cs="GHEAMariam-Bold" w:hint="default"/>
        <w:b/>
      </w:rPr>
    </w:lvl>
    <w:lvl w:ilvl="1">
      <w:start w:val="1"/>
      <w:numFmt w:val="decimal"/>
      <w:isLgl/>
      <w:lvlText w:val="%1.%2"/>
      <w:lvlJc w:val="left"/>
      <w:pPr>
        <w:ind w:left="900" w:hanging="360"/>
      </w:pPr>
      <w:rPr>
        <w:rFonts w:hint="default"/>
        <w:b/>
      </w:rPr>
    </w:lvl>
    <w:lvl w:ilvl="2">
      <w:start w:val="1"/>
      <w:numFmt w:val="decimal"/>
      <w:isLgl/>
      <w:lvlText w:val="%1.%2.%3"/>
      <w:lvlJc w:val="left"/>
      <w:pPr>
        <w:ind w:left="1530" w:hanging="720"/>
      </w:pPr>
      <w:rPr>
        <w:rFonts w:hint="default"/>
        <w:b/>
      </w:rPr>
    </w:lvl>
    <w:lvl w:ilvl="3">
      <w:start w:val="1"/>
      <w:numFmt w:val="decimal"/>
      <w:isLgl/>
      <w:lvlText w:val="%1.%2.%3.%4"/>
      <w:lvlJc w:val="left"/>
      <w:pPr>
        <w:ind w:left="1890" w:hanging="1080"/>
      </w:pPr>
      <w:rPr>
        <w:rFonts w:hint="default"/>
        <w:b/>
      </w:rPr>
    </w:lvl>
    <w:lvl w:ilvl="4">
      <w:start w:val="1"/>
      <w:numFmt w:val="decimal"/>
      <w:isLgl/>
      <w:lvlText w:val="%1.%2.%3.%4.%5"/>
      <w:lvlJc w:val="left"/>
      <w:pPr>
        <w:ind w:left="1890" w:hanging="1080"/>
      </w:pPr>
      <w:rPr>
        <w:rFonts w:hint="default"/>
        <w:b/>
      </w:rPr>
    </w:lvl>
    <w:lvl w:ilvl="5">
      <w:start w:val="1"/>
      <w:numFmt w:val="decimal"/>
      <w:isLgl/>
      <w:lvlText w:val="%1.%2.%3.%4.%5.%6"/>
      <w:lvlJc w:val="left"/>
      <w:pPr>
        <w:ind w:left="2250" w:hanging="1440"/>
      </w:pPr>
      <w:rPr>
        <w:rFonts w:hint="default"/>
        <w:b/>
      </w:rPr>
    </w:lvl>
    <w:lvl w:ilvl="6">
      <w:start w:val="1"/>
      <w:numFmt w:val="decimal"/>
      <w:isLgl/>
      <w:lvlText w:val="%1.%2.%3.%4.%5.%6.%7"/>
      <w:lvlJc w:val="left"/>
      <w:pPr>
        <w:ind w:left="2250" w:hanging="1440"/>
      </w:pPr>
      <w:rPr>
        <w:rFonts w:hint="default"/>
        <w:b/>
      </w:rPr>
    </w:lvl>
    <w:lvl w:ilvl="7">
      <w:start w:val="1"/>
      <w:numFmt w:val="decimal"/>
      <w:isLgl/>
      <w:lvlText w:val="%1.%2.%3.%4.%5.%6.%7.%8"/>
      <w:lvlJc w:val="left"/>
      <w:pPr>
        <w:ind w:left="2610" w:hanging="1800"/>
      </w:pPr>
      <w:rPr>
        <w:rFonts w:hint="default"/>
        <w:b/>
      </w:rPr>
    </w:lvl>
    <w:lvl w:ilvl="8">
      <w:start w:val="1"/>
      <w:numFmt w:val="decimal"/>
      <w:isLgl/>
      <w:lvlText w:val="%1.%2.%3.%4.%5.%6.%7.%8.%9"/>
      <w:lvlJc w:val="left"/>
      <w:pPr>
        <w:ind w:left="2970" w:hanging="2160"/>
      </w:pPr>
      <w:rPr>
        <w:rFonts w:hint="default"/>
        <w:b/>
      </w:rPr>
    </w:lvl>
  </w:abstractNum>
  <w:abstractNum w:abstractNumId="440" w15:restartNumberingAfterBreak="0">
    <w:nsid w:val="6EAE5A49"/>
    <w:multiLevelType w:val="hybridMultilevel"/>
    <w:tmpl w:val="545A70A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1" w15:restartNumberingAfterBreak="0">
    <w:nsid w:val="6F15450B"/>
    <w:multiLevelType w:val="multilevel"/>
    <w:tmpl w:val="F0B6F7EA"/>
    <w:lvl w:ilvl="0">
      <w:start w:val="1"/>
      <w:numFmt w:val="decimal"/>
      <w:lvlText w:val="%1."/>
      <w:lvlJc w:val="left"/>
      <w:pPr>
        <w:ind w:left="360" w:hanging="360"/>
      </w:pPr>
      <w:rPr>
        <w:rFonts w:cs="Sylfaen" w:hint="default"/>
      </w:rPr>
    </w:lvl>
    <w:lvl w:ilvl="1">
      <w:start w:val="1"/>
      <w:numFmt w:val="decimal"/>
      <w:lvlText w:val="%1.%2."/>
      <w:lvlJc w:val="left"/>
      <w:pPr>
        <w:ind w:left="720" w:hanging="72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1080" w:hanging="108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440" w:hanging="144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800" w:hanging="1800"/>
      </w:pPr>
      <w:rPr>
        <w:rFonts w:cs="Sylfaen" w:hint="default"/>
      </w:rPr>
    </w:lvl>
    <w:lvl w:ilvl="8">
      <w:start w:val="1"/>
      <w:numFmt w:val="decimal"/>
      <w:lvlText w:val="%1.%2.%3.%4.%5.%6.%7.%8.%9."/>
      <w:lvlJc w:val="left"/>
      <w:pPr>
        <w:ind w:left="1800" w:hanging="1800"/>
      </w:pPr>
      <w:rPr>
        <w:rFonts w:cs="Sylfaen" w:hint="default"/>
      </w:rPr>
    </w:lvl>
  </w:abstractNum>
  <w:abstractNum w:abstractNumId="442" w15:restartNumberingAfterBreak="0">
    <w:nsid w:val="6F933818"/>
    <w:multiLevelType w:val="multilevel"/>
    <w:tmpl w:val="3B8CE8B4"/>
    <w:lvl w:ilvl="0">
      <w:start w:val="1"/>
      <w:numFmt w:val="decimal"/>
      <w:lvlText w:val="%1."/>
      <w:lvlJc w:val="left"/>
      <w:pPr>
        <w:ind w:left="375" w:hanging="375"/>
      </w:pPr>
      <w:rPr>
        <w:rFonts w:eastAsia="Times New Roman" w:hint="default"/>
        <w:b/>
        <w:color w:val="auto"/>
      </w:rPr>
    </w:lvl>
    <w:lvl w:ilvl="1">
      <w:start w:val="1"/>
      <w:numFmt w:val="decimal"/>
      <w:lvlText w:val="%1.%2."/>
      <w:lvlJc w:val="left"/>
      <w:pPr>
        <w:ind w:left="720" w:hanging="720"/>
      </w:pPr>
      <w:rPr>
        <w:rFonts w:eastAsia="Times New Roman" w:hint="default"/>
        <w:b/>
        <w:color w:val="auto"/>
      </w:rPr>
    </w:lvl>
    <w:lvl w:ilvl="2">
      <w:start w:val="1"/>
      <w:numFmt w:val="decimal"/>
      <w:lvlText w:val="%1.%2.%3."/>
      <w:lvlJc w:val="left"/>
      <w:pPr>
        <w:ind w:left="720" w:hanging="720"/>
      </w:pPr>
      <w:rPr>
        <w:rFonts w:eastAsia="Times New Roman" w:hint="default"/>
        <w:b/>
        <w:color w:val="auto"/>
      </w:rPr>
    </w:lvl>
    <w:lvl w:ilvl="3">
      <w:start w:val="1"/>
      <w:numFmt w:val="decimal"/>
      <w:lvlText w:val="%1.%2.%3.%4."/>
      <w:lvlJc w:val="left"/>
      <w:pPr>
        <w:ind w:left="1080" w:hanging="1080"/>
      </w:pPr>
      <w:rPr>
        <w:rFonts w:eastAsia="Times New Roman" w:hint="default"/>
        <w:b/>
        <w:color w:val="auto"/>
      </w:rPr>
    </w:lvl>
    <w:lvl w:ilvl="4">
      <w:start w:val="1"/>
      <w:numFmt w:val="decimal"/>
      <w:lvlText w:val="%1.%2.%3.%4.%5."/>
      <w:lvlJc w:val="left"/>
      <w:pPr>
        <w:ind w:left="1080" w:hanging="1080"/>
      </w:pPr>
      <w:rPr>
        <w:rFonts w:eastAsia="Times New Roman" w:hint="default"/>
        <w:b/>
        <w:color w:val="auto"/>
      </w:rPr>
    </w:lvl>
    <w:lvl w:ilvl="5">
      <w:start w:val="1"/>
      <w:numFmt w:val="decimal"/>
      <w:lvlText w:val="%1.%2.%3.%4.%5.%6."/>
      <w:lvlJc w:val="left"/>
      <w:pPr>
        <w:ind w:left="1440" w:hanging="1440"/>
      </w:pPr>
      <w:rPr>
        <w:rFonts w:eastAsia="Times New Roman" w:hint="default"/>
        <w:b/>
        <w:color w:val="auto"/>
      </w:rPr>
    </w:lvl>
    <w:lvl w:ilvl="6">
      <w:start w:val="1"/>
      <w:numFmt w:val="decimal"/>
      <w:lvlText w:val="%1.%2.%3.%4.%5.%6.%7."/>
      <w:lvlJc w:val="left"/>
      <w:pPr>
        <w:ind w:left="1440" w:hanging="1440"/>
      </w:pPr>
      <w:rPr>
        <w:rFonts w:eastAsia="Times New Roman" w:hint="default"/>
        <w:b/>
        <w:color w:val="auto"/>
      </w:rPr>
    </w:lvl>
    <w:lvl w:ilvl="7">
      <w:start w:val="1"/>
      <w:numFmt w:val="decimal"/>
      <w:lvlText w:val="%1.%2.%3.%4.%5.%6.%7.%8."/>
      <w:lvlJc w:val="left"/>
      <w:pPr>
        <w:ind w:left="1800" w:hanging="1800"/>
      </w:pPr>
      <w:rPr>
        <w:rFonts w:eastAsia="Times New Roman" w:hint="default"/>
        <w:b/>
        <w:color w:val="auto"/>
      </w:rPr>
    </w:lvl>
    <w:lvl w:ilvl="8">
      <w:start w:val="1"/>
      <w:numFmt w:val="decimal"/>
      <w:lvlText w:val="%1.%2.%3.%4.%5.%6.%7.%8.%9."/>
      <w:lvlJc w:val="left"/>
      <w:pPr>
        <w:ind w:left="1800" w:hanging="1800"/>
      </w:pPr>
      <w:rPr>
        <w:rFonts w:eastAsia="Times New Roman" w:hint="default"/>
        <w:b/>
        <w:color w:val="auto"/>
      </w:rPr>
    </w:lvl>
  </w:abstractNum>
  <w:abstractNum w:abstractNumId="443" w15:restartNumberingAfterBreak="0">
    <w:nsid w:val="6FB23F00"/>
    <w:multiLevelType w:val="hybridMultilevel"/>
    <w:tmpl w:val="F5D23E10"/>
    <w:lvl w:ilvl="0" w:tplc="10D4FDF2">
      <w:start w:val="1"/>
      <w:numFmt w:val="decimal"/>
      <w:lvlText w:val="%1."/>
      <w:lvlJc w:val="left"/>
      <w:pPr>
        <w:ind w:left="644" w:hanging="360"/>
      </w:pPr>
      <w:rPr>
        <w:rFonts w:ascii="Sylfaen" w:hAnsi="Sylfaen"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4" w15:restartNumberingAfterBreak="0">
    <w:nsid w:val="6FCB7D08"/>
    <w:multiLevelType w:val="multilevel"/>
    <w:tmpl w:val="6818EF88"/>
    <w:lvl w:ilvl="0">
      <w:start w:val="1"/>
      <w:numFmt w:val="decimal"/>
      <w:lvlText w:val="%1."/>
      <w:lvlJc w:val="left"/>
      <w:pPr>
        <w:ind w:left="1080" w:hanging="360"/>
      </w:pPr>
    </w:lvl>
    <w:lvl w:ilvl="1">
      <w:start w:val="2"/>
      <w:numFmt w:val="decimal"/>
      <w:isLgl/>
      <w:lvlText w:val="%1.%2"/>
      <w:lvlJc w:val="left"/>
      <w:pPr>
        <w:ind w:left="1095" w:hanging="375"/>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445" w15:restartNumberingAfterBreak="0">
    <w:nsid w:val="70177D3B"/>
    <w:multiLevelType w:val="multilevel"/>
    <w:tmpl w:val="3FDEB9BC"/>
    <w:lvl w:ilvl="0">
      <w:start w:val="1"/>
      <w:numFmt w:val="decimal"/>
      <w:lvlText w:val="%1."/>
      <w:lvlJc w:val="left"/>
      <w:pPr>
        <w:ind w:left="1095" w:hanging="360"/>
      </w:pPr>
    </w:lvl>
    <w:lvl w:ilvl="1">
      <w:start w:val="1"/>
      <w:numFmt w:val="decimal"/>
      <w:isLgl/>
      <w:lvlText w:val="%1.%2."/>
      <w:lvlJc w:val="left"/>
      <w:pPr>
        <w:ind w:left="1455" w:hanging="720"/>
      </w:pPr>
      <w:rPr>
        <w:rFonts w:hint="default"/>
      </w:rPr>
    </w:lvl>
    <w:lvl w:ilvl="2">
      <w:start w:val="1"/>
      <w:numFmt w:val="decimal"/>
      <w:isLgl/>
      <w:lvlText w:val="%1.%2.%3."/>
      <w:lvlJc w:val="left"/>
      <w:pPr>
        <w:ind w:left="1455" w:hanging="720"/>
      </w:pPr>
      <w:rPr>
        <w:rFonts w:hint="default"/>
      </w:rPr>
    </w:lvl>
    <w:lvl w:ilvl="3">
      <w:start w:val="1"/>
      <w:numFmt w:val="decimal"/>
      <w:isLgl/>
      <w:lvlText w:val="%1.%2.%3.%4."/>
      <w:lvlJc w:val="left"/>
      <w:pPr>
        <w:ind w:left="1815" w:hanging="1080"/>
      </w:pPr>
      <w:rPr>
        <w:rFonts w:hint="default"/>
      </w:rPr>
    </w:lvl>
    <w:lvl w:ilvl="4">
      <w:start w:val="1"/>
      <w:numFmt w:val="decimal"/>
      <w:isLgl/>
      <w:lvlText w:val="%1.%2.%3.%4.%5."/>
      <w:lvlJc w:val="left"/>
      <w:pPr>
        <w:ind w:left="1815" w:hanging="1080"/>
      </w:pPr>
      <w:rPr>
        <w:rFonts w:hint="default"/>
      </w:rPr>
    </w:lvl>
    <w:lvl w:ilvl="5">
      <w:start w:val="1"/>
      <w:numFmt w:val="decimal"/>
      <w:isLgl/>
      <w:lvlText w:val="%1.%2.%3.%4.%5.%6."/>
      <w:lvlJc w:val="left"/>
      <w:pPr>
        <w:ind w:left="2175" w:hanging="1440"/>
      </w:pPr>
      <w:rPr>
        <w:rFonts w:hint="default"/>
      </w:rPr>
    </w:lvl>
    <w:lvl w:ilvl="6">
      <w:start w:val="1"/>
      <w:numFmt w:val="decimal"/>
      <w:isLgl/>
      <w:lvlText w:val="%1.%2.%3.%4.%5.%6.%7."/>
      <w:lvlJc w:val="left"/>
      <w:pPr>
        <w:ind w:left="2535" w:hanging="1800"/>
      </w:pPr>
      <w:rPr>
        <w:rFonts w:hint="default"/>
      </w:rPr>
    </w:lvl>
    <w:lvl w:ilvl="7">
      <w:start w:val="1"/>
      <w:numFmt w:val="decimal"/>
      <w:isLgl/>
      <w:lvlText w:val="%1.%2.%3.%4.%5.%6.%7.%8."/>
      <w:lvlJc w:val="left"/>
      <w:pPr>
        <w:ind w:left="2535" w:hanging="1800"/>
      </w:pPr>
      <w:rPr>
        <w:rFonts w:hint="default"/>
      </w:rPr>
    </w:lvl>
    <w:lvl w:ilvl="8">
      <w:start w:val="1"/>
      <w:numFmt w:val="decimal"/>
      <w:isLgl/>
      <w:lvlText w:val="%1.%2.%3.%4.%5.%6.%7.%8.%9."/>
      <w:lvlJc w:val="left"/>
      <w:pPr>
        <w:ind w:left="2895" w:hanging="2160"/>
      </w:pPr>
      <w:rPr>
        <w:rFonts w:hint="default"/>
      </w:rPr>
    </w:lvl>
  </w:abstractNum>
  <w:abstractNum w:abstractNumId="446" w15:restartNumberingAfterBreak="0">
    <w:nsid w:val="705537A7"/>
    <w:multiLevelType w:val="multilevel"/>
    <w:tmpl w:val="12C2EB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7" w15:restartNumberingAfterBreak="0">
    <w:nsid w:val="70596884"/>
    <w:multiLevelType w:val="hybridMultilevel"/>
    <w:tmpl w:val="5C0218EA"/>
    <w:lvl w:ilvl="0" w:tplc="BFF22CE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8" w15:restartNumberingAfterBreak="0">
    <w:nsid w:val="7067712D"/>
    <w:multiLevelType w:val="multilevel"/>
    <w:tmpl w:val="1B58455A"/>
    <w:lvl w:ilvl="0">
      <w:start w:val="1"/>
      <w:numFmt w:val="decimal"/>
      <w:lvlText w:val="%1."/>
      <w:lvlJc w:val="left"/>
      <w:pPr>
        <w:ind w:left="720" w:hanging="360"/>
      </w:pPr>
      <w:rPr>
        <w:rFonts w:cs="Sylfaen" w:hint="default"/>
      </w:rPr>
    </w:lvl>
    <w:lvl w:ilvl="1">
      <w:start w:val="2"/>
      <w:numFmt w:val="decimal"/>
      <w:isLgl/>
      <w:lvlText w:val="%1.%2"/>
      <w:lvlJc w:val="left"/>
      <w:pPr>
        <w:ind w:left="72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440" w:hanging="108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800" w:hanging="1440"/>
      </w:pPr>
      <w:rPr>
        <w:rFonts w:cs="Sylfaen" w:hint="default"/>
      </w:rPr>
    </w:lvl>
    <w:lvl w:ilvl="6">
      <w:start w:val="1"/>
      <w:numFmt w:val="decimal"/>
      <w:isLgl/>
      <w:lvlText w:val="%1.%2.%3.%4.%5.%6.%7"/>
      <w:lvlJc w:val="left"/>
      <w:pPr>
        <w:ind w:left="1800" w:hanging="1440"/>
      </w:pPr>
      <w:rPr>
        <w:rFonts w:cs="Sylfaen" w:hint="default"/>
      </w:rPr>
    </w:lvl>
    <w:lvl w:ilvl="7">
      <w:start w:val="1"/>
      <w:numFmt w:val="decimal"/>
      <w:isLgl/>
      <w:lvlText w:val="%1.%2.%3.%4.%5.%6.%7.%8"/>
      <w:lvlJc w:val="left"/>
      <w:pPr>
        <w:ind w:left="2160" w:hanging="1800"/>
      </w:pPr>
      <w:rPr>
        <w:rFonts w:cs="Sylfaen" w:hint="default"/>
      </w:rPr>
    </w:lvl>
    <w:lvl w:ilvl="8">
      <w:start w:val="1"/>
      <w:numFmt w:val="decimal"/>
      <w:isLgl/>
      <w:lvlText w:val="%1.%2.%3.%4.%5.%6.%7.%8.%9"/>
      <w:lvlJc w:val="left"/>
      <w:pPr>
        <w:ind w:left="2520" w:hanging="2160"/>
      </w:pPr>
      <w:rPr>
        <w:rFonts w:cs="Sylfaen" w:hint="default"/>
      </w:rPr>
    </w:lvl>
  </w:abstractNum>
  <w:abstractNum w:abstractNumId="449" w15:restartNumberingAfterBreak="0">
    <w:nsid w:val="707341E0"/>
    <w:multiLevelType w:val="multilevel"/>
    <w:tmpl w:val="02525D3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50" w15:restartNumberingAfterBreak="0">
    <w:nsid w:val="70BB7690"/>
    <w:multiLevelType w:val="multilevel"/>
    <w:tmpl w:val="832837A2"/>
    <w:styleLink w:val="WW8Num191"/>
    <w:lvl w:ilvl="0">
      <w:start w:val="1"/>
      <w:numFmt w:val="decimal"/>
      <w:lvlText w:val="%1."/>
      <w:lvlJc w:val="left"/>
      <w:pPr>
        <w:ind w:left="735" w:hanging="360"/>
      </w:pPr>
      <w:rPr>
        <w:rFonts w:hint="default"/>
      </w:rPr>
    </w:lvl>
    <w:lvl w:ilvl="1">
      <w:start w:val="2"/>
      <w:numFmt w:val="decimal"/>
      <w:isLgl/>
      <w:lvlText w:val="%1.%2."/>
      <w:lvlJc w:val="left"/>
      <w:pPr>
        <w:ind w:left="1095" w:hanging="72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455" w:hanging="108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35" w:hanging="2160"/>
      </w:pPr>
      <w:rPr>
        <w:rFonts w:hint="default"/>
      </w:rPr>
    </w:lvl>
  </w:abstractNum>
  <w:abstractNum w:abstractNumId="451" w15:restartNumberingAfterBreak="0">
    <w:nsid w:val="70FD5763"/>
    <w:multiLevelType w:val="multilevel"/>
    <w:tmpl w:val="9EB87A88"/>
    <w:lvl w:ilvl="0">
      <w:start w:val="1"/>
      <w:numFmt w:val="decimal"/>
      <w:lvlText w:val="%1."/>
      <w:lvlJc w:val="left"/>
      <w:pPr>
        <w:ind w:left="450" w:hanging="360"/>
      </w:pPr>
      <w:rPr>
        <w:rFonts w:hint="default"/>
        <w:lang w:val="hy-AM"/>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452" w15:restartNumberingAfterBreak="0">
    <w:nsid w:val="710A52F9"/>
    <w:multiLevelType w:val="multilevel"/>
    <w:tmpl w:val="B1049418"/>
    <w:lvl w:ilvl="0">
      <w:start w:val="1"/>
      <w:numFmt w:val="decimal"/>
      <w:lvlText w:val="%1."/>
      <w:lvlJc w:val="left"/>
      <w:pPr>
        <w:ind w:left="360" w:hanging="360"/>
      </w:pPr>
      <w:rPr>
        <w:rFonts w:cs="Times New Roman" w:hint="default"/>
        <w:b/>
        <w:color w:val="auto"/>
      </w:rPr>
    </w:lvl>
    <w:lvl w:ilvl="1">
      <w:start w:val="1"/>
      <w:numFmt w:val="decimal"/>
      <w:lvlText w:val="%1.%2."/>
      <w:lvlJc w:val="left"/>
      <w:pPr>
        <w:ind w:left="720" w:hanging="720"/>
      </w:pPr>
      <w:rPr>
        <w:rFonts w:cs="Times New Roman" w:hint="default"/>
        <w:b/>
        <w:color w:val="auto"/>
      </w:rPr>
    </w:lvl>
    <w:lvl w:ilvl="2">
      <w:start w:val="1"/>
      <w:numFmt w:val="decimal"/>
      <w:lvlText w:val="%1.%2.%3."/>
      <w:lvlJc w:val="left"/>
      <w:pPr>
        <w:ind w:left="720" w:hanging="720"/>
      </w:pPr>
      <w:rPr>
        <w:rFonts w:cs="Times New Roman" w:hint="default"/>
        <w:b/>
        <w:color w:val="auto"/>
      </w:rPr>
    </w:lvl>
    <w:lvl w:ilvl="3">
      <w:start w:val="1"/>
      <w:numFmt w:val="decimal"/>
      <w:lvlText w:val="%1.%2.%3.%4."/>
      <w:lvlJc w:val="left"/>
      <w:pPr>
        <w:ind w:left="1080" w:hanging="1080"/>
      </w:pPr>
      <w:rPr>
        <w:rFonts w:cs="Times New Roman" w:hint="default"/>
        <w:b/>
        <w:color w:val="auto"/>
      </w:rPr>
    </w:lvl>
    <w:lvl w:ilvl="4">
      <w:start w:val="1"/>
      <w:numFmt w:val="decimal"/>
      <w:lvlText w:val="%1.%2.%3.%4.%5."/>
      <w:lvlJc w:val="left"/>
      <w:pPr>
        <w:ind w:left="1080" w:hanging="1080"/>
      </w:pPr>
      <w:rPr>
        <w:rFonts w:cs="Times New Roman" w:hint="default"/>
        <w:b/>
        <w:color w:val="auto"/>
      </w:rPr>
    </w:lvl>
    <w:lvl w:ilvl="5">
      <w:start w:val="1"/>
      <w:numFmt w:val="decimal"/>
      <w:lvlText w:val="%1.%2.%3.%4.%5.%6."/>
      <w:lvlJc w:val="left"/>
      <w:pPr>
        <w:ind w:left="1440" w:hanging="1440"/>
      </w:pPr>
      <w:rPr>
        <w:rFonts w:cs="Times New Roman" w:hint="default"/>
        <w:b/>
        <w:color w:val="auto"/>
      </w:rPr>
    </w:lvl>
    <w:lvl w:ilvl="6">
      <w:start w:val="1"/>
      <w:numFmt w:val="decimal"/>
      <w:lvlText w:val="%1.%2.%3.%4.%5.%6.%7."/>
      <w:lvlJc w:val="left"/>
      <w:pPr>
        <w:ind w:left="1800" w:hanging="1800"/>
      </w:pPr>
      <w:rPr>
        <w:rFonts w:cs="Times New Roman" w:hint="default"/>
        <w:b/>
        <w:color w:val="auto"/>
      </w:rPr>
    </w:lvl>
    <w:lvl w:ilvl="7">
      <w:start w:val="1"/>
      <w:numFmt w:val="decimal"/>
      <w:lvlText w:val="%1.%2.%3.%4.%5.%6.%7.%8."/>
      <w:lvlJc w:val="left"/>
      <w:pPr>
        <w:ind w:left="1800" w:hanging="1800"/>
      </w:pPr>
      <w:rPr>
        <w:rFonts w:cs="Times New Roman" w:hint="default"/>
        <w:b/>
        <w:color w:val="auto"/>
      </w:rPr>
    </w:lvl>
    <w:lvl w:ilvl="8">
      <w:start w:val="1"/>
      <w:numFmt w:val="decimal"/>
      <w:lvlText w:val="%1.%2.%3.%4.%5.%6.%7.%8.%9."/>
      <w:lvlJc w:val="left"/>
      <w:pPr>
        <w:ind w:left="2160" w:hanging="2160"/>
      </w:pPr>
      <w:rPr>
        <w:rFonts w:cs="Times New Roman" w:hint="default"/>
        <w:b/>
        <w:color w:val="auto"/>
      </w:rPr>
    </w:lvl>
  </w:abstractNum>
  <w:abstractNum w:abstractNumId="453" w15:restartNumberingAfterBreak="0">
    <w:nsid w:val="71162947"/>
    <w:multiLevelType w:val="multilevel"/>
    <w:tmpl w:val="11BCA6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800" w:hanging="144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2160" w:hanging="1800"/>
      </w:pPr>
      <w:rPr>
        <w:rFonts w:cs="Sylfaen" w:hint="default"/>
      </w:rPr>
    </w:lvl>
  </w:abstractNum>
  <w:abstractNum w:abstractNumId="454" w15:restartNumberingAfterBreak="0">
    <w:nsid w:val="71970F49"/>
    <w:multiLevelType w:val="multilevel"/>
    <w:tmpl w:val="929E467C"/>
    <w:lvl w:ilvl="0">
      <w:start w:val="1"/>
      <w:numFmt w:val="decimal"/>
      <w:lvlText w:val="%1."/>
      <w:lvlJc w:val="left"/>
      <w:pPr>
        <w:ind w:left="1170" w:hanging="360"/>
      </w:pPr>
      <w:rPr>
        <w:rFonts w:eastAsia="GHEAMariam-Bold" w:cs="GHEAMariam-Bold" w:hint="default"/>
        <w:b/>
      </w:rPr>
    </w:lvl>
    <w:lvl w:ilvl="1">
      <w:start w:val="1"/>
      <w:numFmt w:val="decimal"/>
      <w:isLgl/>
      <w:lvlText w:val="%1.%2"/>
      <w:lvlJc w:val="left"/>
      <w:pPr>
        <w:ind w:left="900" w:hanging="360"/>
      </w:pPr>
      <w:rPr>
        <w:rFonts w:hint="default"/>
        <w:b/>
      </w:rPr>
    </w:lvl>
    <w:lvl w:ilvl="2">
      <w:start w:val="1"/>
      <w:numFmt w:val="decimal"/>
      <w:isLgl/>
      <w:lvlText w:val="%1.%2.%3"/>
      <w:lvlJc w:val="left"/>
      <w:pPr>
        <w:ind w:left="1530" w:hanging="720"/>
      </w:pPr>
      <w:rPr>
        <w:rFonts w:hint="default"/>
        <w:b/>
      </w:rPr>
    </w:lvl>
    <w:lvl w:ilvl="3">
      <w:start w:val="1"/>
      <w:numFmt w:val="decimal"/>
      <w:isLgl/>
      <w:lvlText w:val="%1.%2.%3.%4"/>
      <w:lvlJc w:val="left"/>
      <w:pPr>
        <w:ind w:left="1890" w:hanging="1080"/>
      </w:pPr>
      <w:rPr>
        <w:rFonts w:hint="default"/>
        <w:b/>
      </w:rPr>
    </w:lvl>
    <w:lvl w:ilvl="4">
      <w:start w:val="1"/>
      <w:numFmt w:val="decimal"/>
      <w:isLgl/>
      <w:lvlText w:val="%1.%2.%3.%4.%5"/>
      <w:lvlJc w:val="left"/>
      <w:pPr>
        <w:ind w:left="1890" w:hanging="1080"/>
      </w:pPr>
      <w:rPr>
        <w:rFonts w:hint="default"/>
        <w:b/>
      </w:rPr>
    </w:lvl>
    <w:lvl w:ilvl="5">
      <w:start w:val="1"/>
      <w:numFmt w:val="decimal"/>
      <w:isLgl/>
      <w:lvlText w:val="%1.%2.%3.%4.%5.%6"/>
      <w:lvlJc w:val="left"/>
      <w:pPr>
        <w:ind w:left="2250" w:hanging="1440"/>
      </w:pPr>
      <w:rPr>
        <w:rFonts w:hint="default"/>
        <w:b/>
      </w:rPr>
    </w:lvl>
    <w:lvl w:ilvl="6">
      <w:start w:val="1"/>
      <w:numFmt w:val="decimal"/>
      <w:isLgl/>
      <w:lvlText w:val="%1.%2.%3.%4.%5.%6.%7"/>
      <w:lvlJc w:val="left"/>
      <w:pPr>
        <w:ind w:left="2250" w:hanging="1440"/>
      </w:pPr>
      <w:rPr>
        <w:rFonts w:hint="default"/>
        <w:b/>
      </w:rPr>
    </w:lvl>
    <w:lvl w:ilvl="7">
      <w:start w:val="1"/>
      <w:numFmt w:val="decimal"/>
      <w:isLgl/>
      <w:lvlText w:val="%1.%2.%3.%4.%5.%6.%7.%8"/>
      <w:lvlJc w:val="left"/>
      <w:pPr>
        <w:ind w:left="2610" w:hanging="1800"/>
      </w:pPr>
      <w:rPr>
        <w:rFonts w:hint="default"/>
        <w:b/>
      </w:rPr>
    </w:lvl>
    <w:lvl w:ilvl="8">
      <w:start w:val="1"/>
      <w:numFmt w:val="decimal"/>
      <w:isLgl/>
      <w:lvlText w:val="%1.%2.%3.%4.%5.%6.%7.%8.%9"/>
      <w:lvlJc w:val="left"/>
      <w:pPr>
        <w:ind w:left="2970" w:hanging="2160"/>
      </w:pPr>
      <w:rPr>
        <w:rFonts w:hint="default"/>
        <w:b/>
      </w:rPr>
    </w:lvl>
  </w:abstractNum>
  <w:abstractNum w:abstractNumId="455" w15:restartNumberingAfterBreak="0">
    <w:nsid w:val="71D60070"/>
    <w:multiLevelType w:val="multilevel"/>
    <w:tmpl w:val="1E2A727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6" w15:restartNumberingAfterBreak="0">
    <w:nsid w:val="71FC2757"/>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457" w15:restartNumberingAfterBreak="0">
    <w:nsid w:val="721A3222"/>
    <w:multiLevelType w:val="multilevel"/>
    <w:tmpl w:val="92D8D37C"/>
    <w:lvl w:ilvl="0">
      <w:start w:val="1"/>
      <w:numFmt w:val="decimal"/>
      <w:lvlText w:val="%1."/>
      <w:lvlJc w:val="left"/>
      <w:pPr>
        <w:ind w:left="735" w:hanging="360"/>
      </w:pPr>
      <w:rPr>
        <w:rFonts w:hint="default"/>
      </w:rPr>
    </w:lvl>
    <w:lvl w:ilvl="1">
      <w:start w:val="1"/>
      <w:numFmt w:val="decimal"/>
      <w:isLgl/>
      <w:suff w:val="space"/>
      <w:lvlText w:val="%1.%2."/>
      <w:lvlJc w:val="left"/>
      <w:pPr>
        <w:ind w:left="1095" w:hanging="720"/>
      </w:pPr>
      <w:rPr>
        <w:rFonts w:ascii="GHEA Grapalat" w:hAnsi="GHEA Grapalat" w:hint="default"/>
        <w:b/>
      </w:rPr>
    </w:lvl>
    <w:lvl w:ilvl="2">
      <w:start w:val="1"/>
      <w:numFmt w:val="decimal"/>
      <w:isLgl/>
      <w:lvlText w:val="%1.%2.%3."/>
      <w:lvlJc w:val="left"/>
      <w:pPr>
        <w:ind w:left="1095" w:hanging="720"/>
      </w:pPr>
      <w:rPr>
        <w:rFonts w:hint="default"/>
      </w:rPr>
    </w:lvl>
    <w:lvl w:ilvl="3">
      <w:start w:val="1"/>
      <w:numFmt w:val="decimal"/>
      <w:isLgl/>
      <w:lvlText w:val="%1.%2.%3.%4."/>
      <w:lvlJc w:val="left"/>
      <w:pPr>
        <w:ind w:left="1455" w:hanging="108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35" w:hanging="2160"/>
      </w:pPr>
      <w:rPr>
        <w:rFonts w:hint="default"/>
      </w:rPr>
    </w:lvl>
  </w:abstractNum>
  <w:abstractNum w:abstractNumId="458" w15:restartNumberingAfterBreak="0">
    <w:nsid w:val="72824736"/>
    <w:multiLevelType w:val="multilevel"/>
    <w:tmpl w:val="DFCC55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9" w15:restartNumberingAfterBreak="0">
    <w:nsid w:val="72BF51B1"/>
    <w:multiLevelType w:val="hybridMultilevel"/>
    <w:tmpl w:val="89DC2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0" w15:restartNumberingAfterBreak="0">
    <w:nsid w:val="72C24247"/>
    <w:multiLevelType w:val="multilevel"/>
    <w:tmpl w:val="37CE39D4"/>
    <w:lvl w:ilvl="0">
      <w:start w:val="1"/>
      <w:numFmt w:val="decimal"/>
      <w:lvlText w:val="%1."/>
      <w:lvlJc w:val="left"/>
      <w:pPr>
        <w:ind w:left="735" w:hanging="360"/>
      </w:pPr>
      <w:rPr>
        <w:rFonts w:ascii="Sylfaen" w:hAnsi="Sylfae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785"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35"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5" w:hanging="1800"/>
      </w:pPr>
      <w:rPr>
        <w:rFonts w:hint="default"/>
      </w:rPr>
    </w:lvl>
    <w:lvl w:ilvl="7">
      <w:start w:val="1"/>
      <w:numFmt w:val="decimal"/>
      <w:isLgl/>
      <w:lvlText w:val="%1.%2.%3.%4.%5.%6.%7.%8."/>
      <w:lvlJc w:val="left"/>
      <w:pPr>
        <w:ind w:left="4590" w:hanging="1800"/>
      </w:pPr>
      <w:rPr>
        <w:rFonts w:hint="default"/>
      </w:rPr>
    </w:lvl>
    <w:lvl w:ilvl="8">
      <w:start w:val="1"/>
      <w:numFmt w:val="decimal"/>
      <w:isLgl/>
      <w:lvlText w:val="%1.%2.%3.%4.%5.%6.%7.%8.%9."/>
      <w:lvlJc w:val="left"/>
      <w:pPr>
        <w:ind w:left="5295" w:hanging="2160"/>
      </w:pPr>
      <w:rPr>
        <w:rFonts w:hint="default"/>
      </w:rPr>
    </w:lvl>
  </w:abstractNum>
  <w:abstractNum w:abstractNumId="461" w15:restartNumberingAfterBreak="0">
    <w:nsid w:val="73751723"/>
    <w:multiLevelType w:val="hybridMultilevel"/>
    <w:tmpl w:val="889AFF1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462" w15:restartNumberingAfterBreak="0">
    <w:nsid w:val="741C38F8"/>
    <w:multiLevelType w:val="hybridMultilevel"/>
    <w:tmpl w:val="95DCB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3" w15:restartNumberingAfterBreak="0">
    <w:nsid w:val="743A2FE1"/>
    <w:multiLevelType w:val="multilevel"/>
    <w:tmpl w:val="A08460C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4" w15:restartNumberingAfterBreak="0">
    <w:nsid w:val="74454688"/>
    <w:multiLevelType w:val="hybridMultilevel"/>
    <w:tmpl w:val="43E4068E"/>
    <w:lvl w:ilvl="0" w:tplc="A238D094">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5" w15:restartNumberingAfterBreak="0">
    <w:nsid w:val="7464744E"/>
    <w:multiLevelType w:val="hybridMultilevel"/>
    <w:tmpl w:val="593E1CD8"/>
    <w:lvl w:ilvl="0" w:tplc="E0FA6C88">
      <w:start w:val="1"/>
      <w:numFmt w:val="bullet"/>
      <w:lvlText w:val=""/>
      <w:lvlJc w:val="left"/>
      <w:pPr>
        <w:ind w:left="720" w:hanging="360"/>
      </w:pPr>
      <w:rPr>
        <w:rFonts w:ascii="Symbol" w:hAnsi="Symbol" w:hint="default"/>
      </w:rPr>
    </w:lvl>
    <w:lvl w:ilvl="1" w:tplc="E0FA6C8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6" w15:restartNumberingAfterBreak="0">
    <w:nsid w:val="749250CF"/>
    <w:multiLevelType w:val="hybridMultilevel"/>
    <w:tmpl w:val="1BCE162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67" w15:restartNumberingAfterBreak="0">
    <w:nsid w:val="74A47842"/>
    <w:multiLevelType w:val="multilevel"/>
    <w:tmpl w:val="51EA0C80"/>
    <w:lvl w:ilvl="0">
      <w:start w:val="1"/>
      <w:numFmt w:val="decimal"/>
      <w:lvlText w:val="%1."/>
      <w:lvlJc w:val="left"/>
      <w:pPr>
        <w:ind w:left="360" w:hanging="360"/>
      </w:pPr>
      <w:rPr>
        <w:rFonts w:cs="Times New Roman" w:hint="default"/>
        <w:b w:val="0"/>
      </w:rPr>
    </w:lvl>
    <w:lvl w:ilvl="1">
      <w:start w:val="1"/>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2847" w:hanging="720"/>
      </w:pPr>
      <w:rPr>
        <w:rFonts w:cs="Times New Roman" w:hint="default"/>
        <w:b w:val="0"/>
      </w:rPr>
    </w:lvl>
    <w:lvl w:ilvl="4">
      <w:start w:val="1"/>
      <w:numFmt w:val="decimal"/>
      <w:lvlText w:val="%1.%2.%3.%4.%5."/>
      <w:lvlJc w:val="left"/>
      <w:pPr>
        <w:ind w:left="3916" w:hanging="1080"/>
      </w:pPr>
      <w:rPr>
        <w:rFonts w:cs="Times New Roman" w:hint="default"/>
        <w:b w:val="0"/>
      </w:rPr>
    </w:lvl>
    <w:lvl w:ilvl="5">
      <w:start w:val="1"/>
      <w:numFmt w:val="decimal"/>
      <w:lvlText w:val="%1.%2.%3.%4.%5.%6."/>
      <w:lvlJc w:val="left"/>
      <w:pPr>
        <w:ind w:left="4625" w:hanging="1080"/>
      </w:pPr>
      <w:rPr>
        <w:rFonts w:cs="Times New Roman" w:hint="default"/>
        <w:b w:val="0"/>
      </w:rPr>
    </w:lvl>
    <w:lvl w:ilvl="6">
      <w:start w:val="1"/>
      <w:numFmt w:val="decimal"/>
      <w:lvlText w:val="%1.%2.%3.%4.%5.%6.%7."/>
      <w:lvlJc w:val="left"/>
      <w:pPr>
        <w:ind w:left="5694" w:hanging="1440"/>
      </w:pPr>
      <w:rPr>
        <w:rFonts w:cs="Times New Roman" w:hint="default"/>
        <w:b w:val="0"/>
      </w:rPr>
    </w:lvl>
    <w:lvl w:ilvl="7">
      <w:start w:val="1"/>
      <w:numFmt w:val="decimal"/>
      <w:lvlText w:val="%1.%2.%3.%4.%5.%6.%7.%8."/>
      <w:lvlJc w:val="left"/>
      <w:pPr>
        <w:ind w:left="6403" w:hanging="1440"/>
      </w:pPr>
      <w:rPr>
        <w:rFonts w:cs="Times New Roman" w:hint="default"/>
        <w:b w:val="0"/>
      </w:rPr>
    </w:lvl>
    <w:lvl w:ilvl="8">
      <w:start w:val="1"/>
      <w:numFmt w:val="decimal"/>
      <w:lvlText w:val="%1.%2.%3.%4.%5.%6.%7.%8.%9."/>
      <w:lvlJc w:val="left"/>
      <w:pPr>
        <w:ind w:left="7472" w:hanging="1800"/>
      </w:pPr>
      <w:rPr>
        <w:rFonts w:cs="Times New Roman" w:hint="default"/>
        <w:b w:val="0"/>
      </w:rPr>
    </w:lvl>
  </w:abstractNum>
  <w:abstractNum w:abstractNumId="468" w15:restartNumberingAfterBreak="0">
    <w:nsid w:val="750933D9"/>
    <w:multiLevelType w:val="hybridMultilevel"/>
    <w:tmpl w:val="0F7672F6"/>
    <w:lvl w:ilvl="0" w:tplc="2A766AC2">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69" w15:restartNumberingAfterBreak="0">
    <w:nsid w:val="752F4BA4"/>
    <w:multiLevelType w:val="multilevel"/>
    <w:tmpl w:val="A938491E"/>
    <w:lvl w:ilvl="0">
      <w:start w:val="1"/>
      <w:numFmt w:val="decimal"/>
      <w:lvlText w:val="%1."/>
      <w:lvlJc w:val="left"/>
      <w:pPr>
        <w:ind w:left="735" w:hanging="360"/>
      </w:pPr>
      <w:rPr>
        <w:rFonts w:hint="default"/>
      </w:rPr>
    </w:lvl>
    <w:lvl w:ilvl="1">
      <w:start w:val="1"/>
      <w:numFmt w:val="decimal"/>
      <w:isLgl/>
      <w:lvlText w:val="%1.%2."/>
      <w:lvlJc w:val="left"/>
      <w:pPr>
        <w:ind w:left="735" w:hanging="36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095" w:hanging="72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455" w:hanging="108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1815" w:hanging="1440"/>
      </w:pPr>
      <w:rPr>
        <w:rFonts w:hint="default"/>
      </w:rPr>
    </w:lvl>
    <w:lvl w:ilvl="8">
      <w:start w:val="1"/>
      <w:numFmt w:val="decimal"/>
      <w:isLgl/>
      <w:lvlText w:val="%1.%2.%3.%4.%5.%6.%7.%8.%9."/>
      <w:lvlJc w:val="left"/>
      <w:pPr>
        <w:ind w:left="2175" w:hanging="1800"/>
      </w:pPr>
      <w:rPr>
        <w:rFonts w:hint="default"/>
      </w:rPr>
    </w:lvl>
  </w:abstractNum>
  <w:abstractNum w:abstractNumId="470" w15:restartNumberingAfterBreak="0">
    <w:nsid w:val="7557602D"/>
    <w:multiLevelType w:val="multilevel"/>
    <w:tmpl w:val="FF5ADE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71" w15:restartNumberingAfterBreak="0">
    <w:nsid w:val="758F4765"/>
    <w:multiLevelType w:val="hybridMultilevel"/>
    <w:tmpl w:val="683051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2" w15:restartNumberingAfterBreak="0">
    <w:nsid w:val="76060EA2"/>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473" w15:restartNumberingAfterBreak="0">
    <w:nsid w:val="7607419F"/>
    <w:multiLevelType w:val="hybridMultilevel"/>
    <w:tmpl w:val="74A69CC8"/>
    <w:lvl w:ilvl="0" w:tplc="FB768D9E">
      <w:start w:val="2005"/>
      <w:numFmt w:val="bullet"/>
      <w:lvlText w:val="-"/>
      <w:lvlJc w:val="left"/>
      <w:pPr>
        <w:ind w:left="785" w:hanging="360"/>
      </w:pPr>
      <w:rPr>
        <w:rFonts w:ascii="GHEA Grapalat" w:eastAsiaTheme="minorHAnsi" w:hAnsi="GHEA Grapalat" w:cstheme="minorBidi"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74" w15:restartNumberingAfterBreak="0">
    <w:nsid w:val="76170FF1"/>
    <w:multiLevelType w:val="hybridMultilevel"/>
    <w:tmpl w:val="08921E2E"/>
    <w:lvl w:ilvl="0" w:tplc="A6C20D3A">
      <w:numFmt w:val="bullet"/>
      <w:lvlText w:val="-"/>
      <w:lvlJc w:val="left"/>
      <w:pPr>
        <w:ind w:left="720" w:hanging="360"/>
      </w:pPr>
      <w:rPr>
        <w:rFonts w:ascii="GHEA Grapalat" w:eastAsia="Times New Roman" w:hAnsi="GHEA Grapalat" w:cs="Times New Roman" w:hint="default"/>
        <w:lang w:val="hy-AM"/>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5" w15:restartNumberingAfterBreak="0">
    <w:nsid w:val="766C4EBE"/>
    <w:multiLevelType w:val="hybridMultilevel"/>
    <w:tmpl w:val="810AC286"/>
    <w:lvl w:ilvl="0" w:tplc="D11CB56C">
      <w:start w:val="2"/>
      <w:numFmt w:val="decimal"/>
      <w:lvlText w:val="%1."/>
      <w:lvlJc w:val="left"/>
      <w:pPr>
        <w:ind w:left="634" w:hanging="360"/>
      </w:pPr>
      <w:rPr>
        <w:rFonts w:hint="default"/>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476" w15:restartNumberingAfterBreak="0">
    <w:nsid w:val="76932BF3"/>
    <w:multiLevelType w:val="multilevel"/>
    <w:tmpl w:val="7C90355C"/>
    <w:lvl w:ilvl="0">
      <w:start w:val="1"/>
      <w:numFmt w:val="decimal"/>
      <w:lvlText w:val="%1"/>
      <w:lvlJc w:val="left"/>
      <w:pPr>
        <w:ind w:left="360" w:hanging="360"/>
      </w:pPr>
      <w:rPr>
        <w:color w:val="auto"/>
      </w:rPr>
    </w:lvl>
    <w:lvl w:ilvl="1">
      <w:start w:val="2"/>
      <w:numFmt w:val="decimal"/>
      <w:lvlText w:val="%1.%2"/>
      <w:lvlJc w:val="left"/>
      <w:pPr>
        <w:ind w:left="1069" w:hanging="360"/>
      </w:pPr>
      <w:rPr>
        <w:color w:val="auto"/>
      </w:rPr>
    </w:lvl>
    <w:lvl w:ilvl="2">
      <w:start w:val="1"/>
      <w:numFmt w:val="decimal"/>
      <w:lvlText w:val="%1.%2.%3"/>
      <w:lvlJc w:val="left"/>
      <w:pPr>
        <w:ind w:left="2138" w:hanging="720"/>
      </w:pPr>
      <w:rPr>
        <w:color w:val="auto"/>
      </w:rPr>
    </w:lvl>
    <w:lvl w:ilvl="3">
      <w:start w:val="1"/>
      <w:numFmt w:val="decimal"/>
      <w:lvlText w:val="%1.%2.%3.%4"/>
      <w:lvlJc w:val="left"/>
      <w:pPr>
        <w:ind w:left="3207" w:hanging="1080"/>
      </w:pPr>
      <w:rPr>
        <w:color w:val="auto"/>
      </w:rPr>
    </w:lvl>
    <w:lvl w:ilvl="4">
      <w:start w:val="1"/>
      <w:numFmt w:val="decimal"/>
      <w:lvlText w:val="%1.%2.%3.%4.%5"/>
      <w:lvlJc w:val="left"/>
      <w:pPr>
        <w:ind w:left="3916" w:hanging="1080"/>
      </w:pPr>
      <w:rPr>
        <w:color w:val="auto"/>
      </w:rPr>
    </w:lvl>
    <w:lvl w:ilvl="5">
      <w:start w:val="1"/>
      <w:numFmt w:val="decimal"/>
      <w:lvlText w:val="%1.%2.%3.%4.%5.%6"/>
      <w:lvlJc w:val="left"/>
      <w:pPr>
        <w:ind w:left="4985" w:hanging="1440"/>
      </w:pPr>
      <w:rPr>
        <w:color w:val="auto"/>
      </w:rPr>
    </w:lvl>
    <w:lvl w:ilvl="6">
      <w:start w:val="1"/>
      <w:numFmt w:val="decimal"/>
      <w:lvlText w:val="%1.%2.%3.%4.%5.%6.%7"/>
      <w:lvlJc w:val="left"/>
      <w:pPr>
        <w:ind w:left="5694" w:hanging="1440"/>
      </w:pPr>
      <w:rPr>
        <w:color w:val="auto"/>
      </w:rPr>
    </w:lvl>
    <w:lvl w:ilvl="7">
      <w:start w:val="1"/>
      <w:numFmt w:val="decimal"/>
      <w:lvlText w:val="%1.%2.%3.%4.%5.%6.%7.%8"/>
      <w:lvlJc w:val="left"/>
      <w:pPr>
        <w:ind w:left="6763" w:hanging="1800"/>
      </w:pPr>
      <w:rPr>
        <w:color w:val="auto"/>
      </w:rPr>
    </w:lvl>
    <w:lvl w:ilvl="8">
      <w:start w:val="1"/>
      <w:numFmt w:val="decimal"/>
      <w:lvlText w:val="%1.%2.%3.%4.%5.%6.%7.%8.%9"/>
      <w:lvlJc w:val="left"/>
      <w:pPr>
        <w:ind w:left="7832" w:hanging="2160"/>
      </w:pPr>
      <w:rPr>
        <w:color w:val="auto"/>
      </w:rPr>
    </w:lvl>
  </w:abstractNum>
  <w:abstractNum w:abstractNumId="477" w15:restartNumberingAfterBreak="0">
    <w:nsid w:val="77233CBA"/>
    <w:multiLevelType w:val="multilevel"/>
    <w:tmpl w:val="AFE6898E"/>
    <w:lvl w:ilvl="0">
      <w:start w:val="1"/>
      <w:numFmt w:val="decimal"/>
      <w:lvlText w:val="%1."/>
      <w:lvlJc w:val="left"/>
      <w:pPr>
        <w:ind w:left="360" w:hanging="360"/>
      </w:pPr>
      <w:rPr>
        <w:rFonts w:hint="default"/>
        <w:b/>
      </w:rPr>
    </w:lvl>
    <w:lvl w:ilvl="1">
      <w:start w:val="1"/>
      <w:numFmt w:val="decimal"/>
      <w:isLgl/>
      <w:suff w:val="space"/>
      <w:lvlText w:val="%1.%2."/>
      <w:lvlJc w:val="left"/>
      <w:pPr>
        <w:ind w:left="1148" w:hanging="720"/>
      </w:pPr>
      <w:rPr>
        <w:rFonts w:hint="default"/>
        <w:b/>
      </w:rPr>
    </w:lvl>
    <w:lvl w:ilvl="2">
      <w:start w:val="1"/>
      <w:numFmt w:val="decimal"/>
      <w:isLgl/>
      <w:lvlText w:val="%1.%2.%3."/>
      <w:lvlJc w:val="left"/>
      <w:pPr>
        <w:ind w:left="1148" w:hanging="720"/>
      </w:pPr>
      <w:rPr>
        <w:rFonts w:hint="default"/>
        <w:b/>
      </w:rPr>
    </w:lvl>
    <w:lvl w:ilvl="3">
      <w:start w:val="1"/>
      <w:numFmt w:val="decimal"/>
      <w:isLgl/>
      <w:lvlText w:val="%1.%2.%3.%4."/>
      <w:lvlJc w:val="left"/>
      <w:pPr>
        <w:ind w:left="1508" w:hanging="1080"/>
      </w:pPr>
      <w:rPr>
        <w:rFonts w:hint="default"/>
        <w:b/>
      </w:rPr>
    </w:lvl>
    <w:lvl w:ilvl="4">
      <w:start w:val="1"/>
      <w:numFmt w:val="decimal"/>
      <w:isLgl/>
      <w:lvlText w:val="%1.%2.%3.%4.%5."/>
      <w:lvlJc w:val="left"/>
      <w:pPr>
        <w:ind w:left="1508" w:hanging="1080"/>
      </w:pPr>
      <w:rPr>
        <w:rFonts w:hint="default"/>
        <w:b/>
      </w:rPr>
    </w:lvl>
    <w:lvl w:ilvl="5">
      <w:start w:val="1"/>
      <w:numFmt w:val="decimal"/>
      <w:isLgl/>
      <w:lvlText w:val="%1.%2.%3.%4.%5.%6."/>
      <w:lvlJc w:val="left"/>
      <w:pPr>
        <w:ind w:left="1868" w:hanging="1440"/>
      </w:pPr>
      <w:rPr>
        <w:rFonts w:hint="default"/>
        <w:b/>
      </w:rPr>
    </w:lvl>
    <w:lvl w:ilvl="6">
      <w:start w:val="1"/>
      <w:numFmt w:val="decimal"/>
      <w:isLgl/>
      <w:lvlText w:val="%1.%2.%3.%4.%5.%6.%7."/>
      <w:lvlJc w:val="left"/>
      <w:pPr>
        <w:ind w:left="1868" w:hanging="1440"/>
      </w:pPr>
      <w:rPr>
        <w:rFonts w:hint="default"/>
        <w:b/>
      </w:rPr>
    </w:lvl>
    <w:lvl w:ilvl="7">
      <w:start w:val="1"/>
      <w:numFmt w:val="decimal"/>
      <w:isLgl/>
      <w:lvlText w:val="%1.%2.%3.%4.%5.%6.%7.%8."/>
      <w:lvlJc w:val="left"/>
      <w:pPr>
        <w:ind w:left="2228" w:hanging="1800"/>
      </w:pPr>
      <w:rPr>
        <w:rFonts w:hint="default"/>
        <w:b/>
      </w:rPr>
    </w:lvl>
    <w:lvl w:ilvl="8">
      <w:start w:val="1"/>
      <w:numFmt w:val="decimal"/>
      <w:isLgl/>
      <w:lvlText w:val="%1.%2.%3.%4.%5.%6.%7.%8.%9."/>
      <w:lvlJc w:val="left"/>
      <w:pPr>
        <w:ind w:left="2228" w:hanging="1800"/>
      </w:pPr>
      <w:rPr>
        <w:rFonts w:hint="default"/>
        <w:b/>
      </w:rPr>
    </w:lvl>
  </w:abstractNum>
  <w:abstractNum w:abstractNumId="478" w15:restartNumberingAfterBreak="0">
    <w:nsid w:val="773A4F3D"/>
    <w:multiLevelType w:val="multilevel"/>
    <w:tmpl w:val="4DB820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9" w15:restartNumberingAfterBreak="0">
    <w:nsid w:val="776A7D0A"/>
    <w:multiLevelType w:val="multilevel"/>
    <w:tmpl w:val="CCA212C8"/>
    <w:lvl w:ilvl="0">
      <w:start w:val="1"/>
      <w:numFmt w:val="decimal"/>
      <w:lvlText w:val="%1."/>
      <w:lvlJc w:val="left"/>
      <w:pPr>
        <w:ind w:left="450" w:hanging="360"/>
      </w:pPr>
      <w:rPr>
        <w:rFonts w:hint="default"/>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480" w15:restartNumberingAfterBreak="0">
    <w:nsid w:val="776D6DE8"/>
    <w:multiLevelType w:val="multilevel"/>
    <w:tmpl w:val="0388BEE2"/>
    <w:lvl w:ilvl="0">
      <w:start w:val="1"/>
      <w:numFmt w:val="decimal"/>
      <w:lvlText w:val="%1."/>
      <w:lvlJc w:val="left"/>
      <w:pPr>
        <w:ind w:left="1211" w:hanging="360"/>
      </w:pPr>
      <w:rPr>
        <w:rFonts w:hint="default"/>
      </w:rPr>
    </w:lvl>
    <w:lvl w:ilvl="1">
      <w:start w:val="2"/>
      <w:numFmt w:val="decimal"/>
      <w:isLgl/>
      <w:lvlText w:val="%1.%2."/>
      <w:lvlJc w:val="left"/>
      <w:pPr>
        <w:ind w:left="1226" w:hanging="375"/>
      </w:pPr>
      <w:rPr>
        <w:rFonts w:cs="Sylfaen" w:hint="default"/>
      </w:rPr>
    </w:lvl>
    <w:lvl w:ilvl="2">
      <w:start w:val="1"/>
      <w:numFmt w:val="decimal"/>
      <w:isLgl/>
      <w:lvlText w:val="%1.%2.%3."/>
      <w:lvlJc w:val="left"/>
      <w:pPr>
        <w:ind w:left="1571" w:hanging="720"/>
      </w:pPr>
      <w:rPr>
        <w:rFonts w:cs="Sylfaen" w:hint="default"/>
      </w:rPr>
    </w:lvl>
    <w:lvl w:ilvl="3">
      <w:start w:val="1"/>
      <w:numFmt w:val="decimal"/>
      <w:isLgl/>
      <w:lvlText w:val="%1.%2.%3.%4."/>
      <w:lvlJc w:val="left"/>
      <w:pPr>
        <w:ind w:left="1571" w:hanging="720"/>
      </w:pPr>
      <w:rPr>
        <w:rFonts w:cs="Sylfaen" w:hint="default"/>
      </w:rPr>
    </w:lvl>
    <w:lvl w:ilvl="4">
      <w:start w:val="1"/>
      <w:numFmt w:val="decimal"/>
      <w:isLgl/>
      <w:lvlText w:val="%1.%2.%3.%4.%5."/>
      <w:lvlJc w:val="left"/>
      <w:pPr>
        <w:ind w:left="1931" w:hanging="1080"/>
      </w:pPr>
      <w:rPr>
        <w:rFonts w:cs="Sylfaen" w:hint="default"/>
      </w:rPr>
    </w:lvl>
    <w:lvl w:ilvl="5">
      <w:start w:val="1"/>
      <w:numFmt w:val="decimal"/>
      <w:isLgl/>
      <w:lvlText w:val="%1.%2.%3.%4.%5.%6."/>
      <w:lvlJc w:val="left"/>
      <w:pPr>
        <w:ind w:left="1931" w:hanging="1080"/>
      </w:pPr>
      <w:rPr>
        <w:rFonts w:cs="Sylfaen" w:hint="default"/>
      </w:rPr>
    </w:lvl>
    <w:lvl w:ilvl="6">
      <w:start w:val="1"/>
      <w:numFmt w:val="decimal"/>
      <w:isLgl/>
      <w:lvlText w:val="%1.%2.%3.%4.%5.%6.%7."/>
      <w:lvlJc w:val="left"/>
      <w:pPr>
        <w:ind w:left="2291" w:hanging="1440"/>
      </w:pPr>
      <w:rPr>
        <w:rFonts w:cs="Sylfaen" w:hint="default"/>
      </w:rPr>
    </w:lvl>
    <w:lvl w:ilvl="7">
      <w:start w:val="1"/>
      <w:numFmt w:val="decimal"/>
      <w:isLgl/>
      <w:lvlText w:val="%1.%2.%3.%4.%5.%6.%7.%8."/>
      <w:lvlJc w:val="left"/>
      <w:pPr>
        <w:ind w:left="2291" w:hanging="1440"/>
      </w:pPr>
      <w:rPr>
        <w:rFonts w:cs="Sylfaen" w:hint="default"/>
      </w:rPr>
    </w:lvl>
    <w:lvl w:ilvl="8">
      <w:start w:val="1"/>
      <w:numFmt w:val="decimal"/>
      <w:isLgl/>
      <w:lvlText w:val="%1.%2.%3.%4.%5.%6.%7.%8.%9."/>
      <w:lvlJc w:val="left"/>
      <w:pPr>
        <w:ind w:left="2651" w:hanging="1800"/>
      </w:pPr>
      <w:rPr>
        <w:rFonts w:cs="Sylfaen" w:hint="default"/>
      </w:rPr>
    </w:lvl>
  </w:abstractNum>
  <w:abstractNum w:abstractNumId="481" w15:restartNumberingAfterBreak="0">
    <w:nsid w:val="777771C3"/>
    <w:multiLevelType w:val="multilevel"/>
    <w:tmpl w:val="B3B84EBC"/>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482" w15:restartNumberingAfterBreak="0">
    <w:nsid w:val="77C16D5E"/>
    <w:multiLevelType w:val="hybridMultilevel"/>
    <w:tmpl w:val="2018AD4A"/>
    <w:lvl w:ilvl="0" w:tplc="B07875D0">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483" w15:restartNumberingAfterBreak="0">
    <w:nsid w:val="781D4A0E"/>
    <w:multiLevelType w:val="multilevel"/>
    <w:tmpl w:val="9F0ADB9E"/>
    <w:lvl w:ilvl="0">
      <w:start w:val="1"/>
      <w:numFmt w:val="decimal"/>
      <w:lvlText w:val="%1"/>
      <w:lvlJc w:val="left"/>
      <w:pPr>
        <w:ind w:left="360" w:hanging="360"/>
      </w:pPr>
      <w:rPr>
        <w:rFonts w:cs="Sylfaen" w:hint="default"/>
      </w:rPr>
    </w:lvl>
    <w:lvl w:ilvl="1">
      <w:start w:val="1"/>
      <w:numFmt w:val="decimal"/>
      <w:lvlText w:val="%1.%2"/>
      <w:lvlJc w:val="left"/>
      <w:pPr>
        <w:ind w:left="1080" w:hanging="360"/>
      </w:pPr>
      <w:rPr>
        <w:rFonts w:cs="Sylfaen" w:hint="default"/>
      </w:rPr>
    </w:lvl>
    <w:lvl w:ilvl="2">
      <w:start w:val="1"/>
      <w:numFmt w:val="decimal"/>
      <w:lvlText w:val="%1.%2.%3"/>
      <w:lvlJc w:val="left"/>
      <w:pPr>
        <w:ind w:left="2160" w:hanging="720"/>
      </w:pPr>
      <w:rPr>
        <w:rFonts w:cs="Sylfaen" w:hint="default"/>
      </w:rPr>
    </w:lvl>
    <w:lvl w:ilvl="3">
      <w:start w:val="1"/>
      <w:numFmt w:val="decimal"/>
      <w:lvlText w:val="%1.%2.%3.%4"/>
      <w:lvlJc w:val="left"/>
      <w:pPr>
        <w:ind w:left="3240" w:hanging="1080"/>
      </w:pPr>
      <w:rPr>
        <w:rFonts w:cs="Sylfaen" w:hint="default"/>
      </w:rPr>
    </w:lvl>
    <w:lvl w:ilvl="4">
      <w:start w:val="1"/>
      <w:numFmt w:val="decimal"/>
      <w:lvlText w:val="%1.%2.%3.%4.%5"/>
      <w:lvlJc w:val="left"/>
      <w:pPr>
        <w:ind w:left="3960" w:hanging="1080"/>
      </w:pPr>
      <w:rPr>
        <w:rFonts w:cs="Sylfaen" w:hint="default"/>
      </w:rPr>
    </w:lvl>
    <w:lvl w:ilvl="5">
      <w:start w:val="1"/>
      <w:numFmt w:val="decimal"/>
      <w:lvlText w:val="%1.%2.%3.%4.%5.%6"/>
      <w:lvlJc w:val="left"/>
      <w:pPr>
        <w:ind w:left="5040" w:hanging="1440"/>
      </w:pPr>
      <w:rPr>
        <w:rFonts w:cs="Sylfaen" w:hint="default"/>
      </w:rPr>
    </w:lvl>
    <w:lvl w:ilvl="6">
      <w:start w:val="1"/>
      <w:numFmt w:val="decimal"/>
      <w:lvlText w:val="%1.%2.%3.%4.%5.%6.%7"/>
      <w:lvlJc w:val="left"/>
      <w:pPr>
        <w:ind w:left="5760" w:hanging="1440"/>
      </w:pPr>
      <w:rPr>
        <w:rFonts w:cs="Sylfaen" w:hint="default"/>
      </w:rPr>
    </w:lvl>
    <w:lvl w:ilvl="7">
      <w:start w:val="1"/>
      <w:numFmt w:val="decimal"/>
      <w:lvlText w:val="%1.%2.%3.%4.%5.%6.%7.%8"/>
      <w:lvlJc w:val="left"/>
      <w:pPr>
        <w:ind w:left="6840" w:hanging="1800"/>
      </w:pPr>
      <w:rPr>
        <w:rFonts w:cs="Sylfaen" w:hint="default"/>
      </w:rPr>
    </w:lvl>
    <w:lvl w:ilvl="8">
      <w:start w:val="1"/>
      <w:numFmt w:val="decimal"/>
      <w:lvlText w:val="%1.%2.%3.%4.%5.%6.%7.%8.%9"/>
      <w:lvlJc w:val="left"/>
      <w:pPr>
        <w:ind w:left="7920" w:hanging="2160"/>
      </w:pPr>
      <w:rPr>
        <w:rFonts w:cs="Sylfaen" w:hint="default"/>
      </w:rPr>
    </w:lvl>
  </w:abstractNum>
  <w:abstractNum w:abstractNumId="484" w15:restartNumberingAfterBreak="0">
    <w:nsid w:val="78367F48"/>
    <w:multiLevelType w:val="multilevel"/>
    <w:tmpl w:val="2FDA252A"/>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85" w15:restartNumberingAfterBreak="0">
    <w:nsid w:val="783D167A"/>
    <w:multiLevelType w:val="hybridMultilevel"/>
    <w:tmpl w:val="21541EB0"/>
    <w:lvl w:ilvl="0" w:tplc="6654FAB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6" w15:restartNumberingAfterBreak="0">
    <w:nsid w:val="78A1006A"/>
    <w:multiLevelType w:val="hybridMultilevel"/>
    <w:tmpl w:val="9918CA44"/>
    <w:lvl w:ilvl="0" w:tplc="361C220C">
      <w:start w:val="1"/>
      <w:numFmt w:val="decimal"/>
      <w:lvlText w:val="%1."/>
      <w:lvlJc w:val="left"/>
      <w:pPr>
        <w:ind w:left="735" w:hanging="360"/>
      </w:pPr>
    </w:lvl>
    <w:lvl w:ilvl="1" w:tplc="04190019">
      <w:start w:val="1"/>
      <w:numFmt w:val="lowerLetter"/>
      <w:lvlText w:val="%2."/>
      <w:lvlJc w:val="left"/>
      <w:pPr>
        <w:ind w:left="1455" w:hanging="360"/>
      </w:pPr>
    </w:lvl>
    <w:lvl w:ilvl="2" w:tplc="0419001B">
      <w:start w:val="1"/>
      <w:numFmt w:val="lowerRoman"/>
      <w:lvlText w:val="%3."/>
      <w:lvlJc w:val="right"/>
      <w:pPr>
        <w:ind w:left="2175" w:hanging="180"/>
      </w:pPr>
    </w:lvl>
    <w:lvl w:ilvl="3" w:tplc="0419000F">
      <w:start w:val="1"/>
      <w:numFmt w:val="decimal"/>
      <w:lvlText w:val="%4."/>
      <w:lvlJc w:val="left"/>
      <w:pPr>
        <w:ind w:left="2895" w:hanging="360"/>
      </w:pPr>
    </w:lvl>
    <w:lvl w:ilvl="4" w:tplc="04190019">
      <w:start w:val="1"/>
      <w:numFmt w:val="lowerLetter"/>
      <w:lvlText w:val="%5."/>
      <w:lvlJc w:val="left"/>
      <w:pPr>
        <w:ind w:left="3615" w:hanging="360"/>
      </w:pPr>
    </w:lvl>
    <w:lvl w:ilvl="5" w:tplc="0419001B">
      <w:start w:val="1"/>
      <w:numFmt w:val="lowerRoman"/>
      <w:lvlText w:val="%6."/>
      <w:lvlJc w:val="right"/>
      <w:pPr>
        <w:ind w:left="4335" w:hanging="180"/>
      </w:pPr>
    </w:lvl>
    <w:lvl w:ilvl="6" w:tplc="0419000F">
      <w:start w:val="1"/>
      <w:numFmt w:val="decimal"/>
      <w:lvlText w:val="%7."/>
      <w:lvlJc w:val="left"/>
      <w:pPr>
        <w:ind w:left="5055" w:hanging="360"/>
      </w:pPr>
    </w:lvl>
    <w:lvl w:ilvl="7" w:tplc="04190019">
      <w:start w:val="1"/>
      <w:numFmt w:val="lowerLetter"/>
      <w:lvlText w:val="%8."/>
      <w:lvlJc w:val="left"/>
      <w:pPr>
        <w:ind w:left="5775" w:hanging="360"/>
      </w:pPr>
    </w:lvl>
    <w:lvl w:ilvl="8" w:tplc="0419001B">
      <w:start w:val="1"/>
      <w:numFmt w:val="lowerRoman"/>
      <w:lvlText w:val="%9."/>
      <w:lvlJc w:val="right"/>
      <w:pPr>
        <w:ind w:left="6495" w:hanging="180"/>
      </w:pPr>
    </w:lvl>
  </w:abstractNum>
  <w:abstractNum w:abstractNumId="487" w15:restartNumberingAfterBreak="0">
    <w:nsid w:val="78CA34A8"/>
    <w:multiLevelType w:val="hybridMultilevel"/>
    <w:tmpl w:val="006C7CA8"/>
    <w:lvl w:ilvl="0" w:tplc="85023CE2">
      <w:start w:val="1"/>
      <w:numFmt w:val="decimal"/>
      <w:lvlText w:val="%1."/>
      <w:lvlJc w:val="left"/>
      <w:pPr>
        <w:ind w:left="360" w:hanging="360"/>
      </w:pPr>
      <w:rPr>
        <w:rFonts w:cs="Sylfae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88" w15:restartNumberingAfterBreak="0">
    <w:nsid w:val="78D31C41"/>
    <w:multiLevelType w:val="multilevel"/>
    <w:tmpl w:val="2D208286"/>
    <w:lvl w:ilvl="0">
      <w:start w:val="2"/>
      <w:numFmt w:val="decimal"/>
      <w:lvlText w:val="%1."/>
      <w:lvlJc w:val="left"/>
      <w:pPr>
        <w:ind w:left="450" w:hanging="360"/>
      </w:pPr>
      <w:rPr>
        <w:rFonts w:hint="default"/>
      </w:rPr>
    </w:lvl>
    <w:lvl w:ilvl="1">
      <w:start w:val="1"/>
      <w:numFmt w:val="decimal"/>
      <w:isLgl/>
      <w:suff w:val="space"/>
      <w:lvlText w:val="%1.%2."/>
      <w:lvlJc w:val="left"/>
      <w:pPr>
        <w:ind w:left="1238" w:hanging="720"/>
      </w:pPr>
      <w:rPr>
        <w:rFonts w:hint="default"/>
        <w:b/>
      </w:rPr>
    </w:lvl>
    <w:lvl w:ilvl="2">
      <w:start w:val="1"/>
      <w:numFmt w:val="decimal"/>
      <w:isLgl/>
      <w:lvlText w:val="%1.%2.%3."/>
      <w:lvlJc w:val="left"/>
      <w:pPr>
        <w:ind w:left="1238" w:hanging="720"/>
      </w:pPr>
      <w:rPr>
        <w:rFonts w:hint="default"/>
        <w:b/>
      </w:rPr>
    </w:lvl>
    <w:lvl w:ilvl="3">
      <w:start w:val="1"/>
      <w:numFmt w:val="decimal"/>
      <w:isLgl/>
      <w:lvlText w:val="%1.%2.%3.%4."/>
      <w:lvlJc w:val="left"/>
      <w:pPr>
        <w:ind w:left="1598" w:hanging="1080"/>
      </w:pPr>
      <w:rPr>
        <w:rFonts w:hint="default"/>
        <w:b/>
      </w:rPr>
    </w:lvl>
    <w:lvl w:ilvl="4">
      <w:start w:val="1"/>
      <w:numFmt w:val="decimal"/>
      <w:isLgl/>
      <w:lvlText w:val="%1.%2.%3.%4.%5."/>
      <w:lvlJc w:val="left"/>
      <w:pPr>
        <w:ind w:left="1598" w:hanging="1080"/>
      </w:pPr>
      <w:rPr>
        <w:rFonts w:hint="default"/>
        <w:b/>
      </w:rPr>
    </w:lvl>
    <w:lvl w:ilvl="5">
      <w:start w:val="1"/>
      <w:numFmt w:val="decimal"/>
      <w:isLgl/>
      <w:lvlText w:val="%1.%2.%3.%4.%5.%6."/>
      <w:lvlJc w:val="left"/>
      <w:pPr>
        <w:ind w:left="1958" w:hanging="1440"/>
      </w:pPr>
      <w:rPr>
        <w:rFonts w:hint="default"/>
        <w:b/>
      </w:rPr>
    </w:lvl>
    <w:lvl w:ilvl="6">
      <w:start w:val="1"/>
      <w:numFmt w:val="decimal"/>
      <w:isLgl/>
      <w:lvlText w:val="%1.%2.%3.%4.%5.%6.%7."/>
      <w:lvlJc w:val="left"/>
      <w:pPr>
        <w:ind w:left="1958" w:hanging="1440"/>
      </w:pPr>
      <w:rPr>
        <w:rFonts w:hint="default"/>
        <w:b/>
      </w:rPr>
    </w:lvl>
    <w:lvl w:ilvl="7">
      <w:start w:val="1"/>
      <w:numFmt w:val="decimal"/>
      <w:isLgl/>
      <w:lvlText w:val="%1.%2.%3.%4.%5.%6.%7.%8."/>
      <w:lvlJc w:val="left"/>
      <w:pPr>
        <w:ind w:left="2318" w:hanging="1800"/>
      </w:pPr>
      <w:rPr>
        <w:rFonts w:hint="default"/>
        <w:b/>
      </w:rPr>
    </w:lvl>
    <w:lvl w:ilvl="8">
      <w:start w:val="1"/>
      <w:numFmt w:val="decimal"/>
      <w:isLgl/>
      <w:lvlText w:val="%1.%2.%3.%4.%5.%6.%7.%8.%9."/>
      <w:lvlJc w:val="left"/>
      <w:pPr>
        <w:ind w:left="2318" w:hanging="1800"/>
      </w:pPr>
      <w:rPr>
        <w:rFonts w:hint="default"/>
        <w:b/>
      </w:rPr>
    </w:lvl>
  </w:abstractNum>
  <w:abstractNum w:abstractNumId="489" w15:restartNumberingAfterBreak="0">
    <w:nsid w:val="78F4720B"/>
    <w:multiLevelType w:val="hybridMultilevel"/>
    <w:tmpl w:val="BF907E14"/>
    <w:lvl w:ilvl="0" w:tplc="77E4C406">
      <w:start w:val="1"/>
      <w:numFmt w:val="decimal"/>
      <w:lvlText w:val="%1."/>
      <w:lvlJc w:val="left"/>
      <w:pPr>
        <w:ind w:left="36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0" w15:restartNumberingAfterBreak="0">
    <w:nsid w:val="797D0FFF"/>
    <w:multiLevelType w:val="multilevel"/>
    <w:tmpl w:val="20B06D0A"/>
    <w:lvl w:ilvl="0">
      <w:start w:val="1"/>
      <w:numFmt w:val="decimal"/>
      <w:lvlText w:val="%1."/>
      <w:lvlJc w:val="left"/>
      <w:pPr>
        <w:ind w:left="720" w:hanging="360"/>
      </w:pPr>
      <w:rPr>
        <w:rFonts w:hint="default"/>
        <w:b/>
        <w:i/>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91" w15:restartNumberingAfterBreak="0">
    <w:nsid w:val="799769E7"/>
    <w:multiLevelType w:val="multilevel"/>
    <w:tmpl w:val="4462B9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2" w15:restartNumberingAfterBreak="0">
    <w:nsid w:val="79C41762"/>
    <w:multiLevelType w:val="multilevel"/>
    <w:tmpl w:val="BD5615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3" w15:restartNumberingAfterBreak="0">
    <w:nsid w:val="79C71B60"/>
    <w:multiLevelType w:val="multilevel"/>
    <w:tmpl w:val="BB2C1A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55"/>
        </w:tabs>
        <w:ind w:left="1455" w:hanging="36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920"/>
        </w:tabs>
        <w:ind w:left="10920" w:hanging="2160"/>
      </w:pPr>
      <w:rPr>
        <w:rFonts w:hint="default"/>
      </w:rPr>
    </w:lvl>
  </w:abstractNum>
  <w:abstractNum w:abstractNumId="494" w15:restartNumberingAfterBreak="0">
    <w:nsid w:val="7A7829DA"/>
    <w:multiLevelType w:val="multilevel"/>
    <w:tmpl w:val="65421E6C"/>
    <w:lvl w:ilvl="0">
      <w:start w:val="1"/>
      <w:numFmt w:val="decimal"/>
      <w:lvlText w:val="%1."/>
      <w:lvlJc w:val="left"/>
      <w:pPr>
        <w:ind w:left="108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95" w15:restartNumberingAfterBreak="0">
    <w:nsid w:val="7A793493"/>
    <w:multiLevelType w:val="hybridMultilevel"/>
    <w:tmpl w:val="3C9468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6" w15:restartNumberingAfterBreak="0">
    <w:nsid w:val="7AEA26FA"/>
    <w:multiLevelType w:val="hybridMultilevel"/>
    <w:tmpl w:val="2018AD4A"/>
    <w:lvl w:ilvl="0" w:tplc="B07875D0">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497" w15:restartNumberingAfterBreak="0">
    <w:nsid w:val="7AF300A1"/>
    <w:multiLevelType w:val="hybridMultilevel"/>
    <w:tmpl w:val="8938B63A"/>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498" w15:restartNumberingAfterBreak="0">
    <w:nsid w:val="7B827CC5"/>
    <w:multiLevelType w:val="hybridMultilevel"/>
    <w:tmpl w:val="B8EA9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9" w15:restartNumberingAfterBreak="0">
    <w:nsid w:val="7B8C6E34"/>
    <w:multiLevelType w:val="multilevel"/>
    <w:tmpl w:val="DFCC55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0" w15:restartNumberingAfterBreak="0">
    <w:nsid w:val="7C162C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1" w15:restartNumberingAfterBreak="0">
    <w:nsid w:val="7C441FFD"/>
    <w:multiLevelType w:val="multilevel"/>
    <w:tmpl w:val="92BCA0E8"/>
    <w:lvl w:ilvl="0">
      <w:start w:val="1"/>
      <w:numFmt w:val="decimal"/>
      <w:lvlText w:val="%1."/>
      <w:lvlJc w:val="left"/>
      <w:pPr>
        <w:ind w:left="735" w:hanging="360"/>
      </w:pPr>
      <w:rPr>
        <w:rFonts w:hint="default"/>
        <w:b/>
      </w:rPr>
    </w:lvl>
    <w:lvl w:ilvl="1">
      <w:start w:val="1"/>
      <w:numFmt w:val="decimal"/>
      <w:isLgl/>
      <w:lvlText w:val="%1.%2."/>
      <w:lvlJc w:val="left"/>
      <w:pPr>
        <w:ind w:left="765" w:hanging="390"/>
      </w:pPr>
      <w:rPr>
        <w:rFonts w:cs="GHEA Grapalat" w:hint="default"/>
      </w:rPr>
    </w:lvl>
    <w:lvl w:ilvl="2">
      <w:start w:val="1"/>
      <w:numFmt w:val="decimal"/>
      <w:isLgl/>
      <w:lvlText w:val="%1.%2.%3."/>
      <w:lvlJc w:val="left"/>
      <w:pPr>
        <w:ind w:left="1095" w:hanging="720"/>
      </w:pPr>
      <w:rPr>
        <w:rFonts w:cs="GHEA Grapalat" w:hint="default"/>
      </w:rPr>
    </w:lvl>
    <w:lvl w:ilvl="3">
      <w:start w:val="1"/>
      <w:numFmt w:val="decimal"/>
      <w:isLgl/>
      <w:lvlText w:val="%1.%2.%3.%4."/>
      <w:lvlJc w:val="left"/>
      <w:pPr>
        <w:ind w:left="1095" w:hanging="720"/>
      </w:pPr>
      <w:rPr>
        <w:rFonts w:cs="GHEA Grapalat" w:hint="default"/>
      </w:rPr>
    </w:lvl>
    <w:lvl w:ilvl="4">
      <w:start w:val="1"/>
      <w:numFmt w:val="decimal"/>
      <w:isLgl/>
      <w:lvlText w:val="%1.%2.%3.%4.%5."/>
      <w:lvlJc w:val="left"/>
      <w:pPr>
        <w:ind w:left="1455" w:hanging="1080"/>
      </w:pPr>
      <w:rPr>
        <w:rFonts w:cs="GHEA Grapalat" w:hint="default"/>
      </w:rPr>
    </w:lvl>
    <w:lvl w:ilvl="5">
      <w:start w:val="1"/>
      <w:numFmt w:val="decimal"/>
      <w:isLgl/>
      <w:lvlText w:val="%1.%2.%3.%4.%5.%6."/>
      <w:lvlJc w:val="left"/>
      <w:pPr>
        <w:ind w:left="1455" w:hanging="1080"/>
      </w:pPr>
      <w:rPr>
        <w:rFonts w:cs="GHEA Grapalat" w:hint="default"/>
      </w:rPr>
    </w:lvl>
    <w:lvl w:ilvl="6">
      <w:start w:val="1"/>
      <w:numFmt w:val="decimal"/>
      <w:isLgl/>
      <w:lvlText w:val="%1.%2.%3.%4.%5.%6.%7."/>
      <w:lvlJc w:val="left"/>
      <w:pPr>
        <w:ind w:left="1815" w:hanging="1440"/>
      </w:pPr>
      <w:rPr>
        <w:rFonts w:cs="GHEA Grapalat" w:hint="default"/>
      </w:rPr>
    </w:lvl>
    <w:lvl w:ilvl="7">
      <w:start w:val="1"/>
      <w:numFmt w:val="decimal"/>
      <w:isLgl/>
      <w:lvlText w:val="%1.%2.%3.%4.%5.%6.%7.%8."/>
      <w:lvlJc w:val="left"/>
      <w:pPr>
        <w:ind w:left="1815" w:hanging="1440"/>
      </w:pPr>
      <w:rPr>
        <w:rFonts w:cs="GHEA Grapalat" w:hint="default"/>
      </w:rPr>
    </w:lvl>
    <w:lvl w:ilvl="8">
      <w:start w:val="1"/>
      <w:numFmt w:val="decimal"/>
      <w:isLgl/>
      <w:lvlText w:val="%1.%2.%3.%4.%5.%6.%7.%8.%9."/>
      <w:lvlJc w:val="left"/>
      <w:pPr>
        <w:ind w:left="2175" w:hanging="1800"/>
      </w:pPr>
      <w:rPr>
        <w:rFonts w:cs="GHEA Grapalat" w:hint="default"/>
      </w:rPr>
    </w:lvl>
  </w:abstractNum>
  <w:abstractNum w:abstractNumId="502" w15:restartNumberingAfterBreak="0">
    <w:nsid w:val="7C55261B"/>
    <w:multiLevelType w:val="hybridMultilevel"/>
    <w:tmpl w:val="23B40A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3" w15:restartNumberingAfterBreak="0">
    <w:nsid w:val="7C7B42FA"/>
    <w:multiLevelType w:val="multilevel"/>
    <w:tmpl w:val="F830CC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4" w15:restartNumberingAfterBreak="0">
    <w:nsid w:val="7CC86088"/>
    <w:multiLevelType w:val="multilevel"/>
    <w:tmpl w:val="035AFD50"/>
    <w:lvl w:ilvl="0">
      <w:start w:val="1"/>
      <w:numFmt w:val="decimal"/>
      <w:lvlText w:val="%1."/>
      <w:lvlJc w:val="left"/>
      <w:pPr>
        <w:ind w:left="360" w:hanging="360"/>
      </w:pPr>
      <w:rPr>
        <w:rFonts w:cs="Sylfaen" w:hint="default"/>
      </w:rPr>
    </w:lvl>
    <w:lvl w:ilvl="1">
      <w:start w:val="1"/>
      <w:numFmt w:val="decimal"/>
      <w:lvlText w:val="%1.%2."/>
      <w:lvlJc w:val="left"/>
      <w:pPr>
        <w:ind w:left="1996" w:hanging="720"/>
      </w:pPr>
      <w:rPr>
        <w:rFonts w:cs="Sylfaen" w:hint="default"/>
      </w:rPr>
    </w:lvl>
    <w:lvl w:ilvl="2">
      <w:start w:val="1"/>
      <w:numFmt w:val="decimal"/>
      <w:lvlText w:val="%1.%2.%3."/>
      <w:lvlJc w:val="left"/>
      <w:pPr>
        <w:ind w:left="3272" w:hanging="720"/>
      </w:pPr>
      <w:rPr>
        <w:rFonts w:cs="Sylfaen" w:hint="default"/>
      </w:rPr>
    </w:lvl>
    <w:lvl w:ilvl="3">
      <w:start w:val="1"/>
      <w:numFmt w:val="decimal"/>
      <w:lvlText w:val="%1.%2.%3.%4."/>
      <w:lvlJc w:val="left"/>
      <w:pPr>
        <w:ind w:left="4908" w:hanging="1080"/>
      </w:pPr>
      <w:rPr>
        <w:rFonts w:cs="Sylfaen" w:hint="default"/>
      </w:rPr>
    </w:lvl>
    <w:lvl w:ilvl="4">
      <w:start w:val="1"/>
      <w:numFmt w:val="decimal"/>
      <w:lvlText w:val="%1.%2.%3.%4.%5."/>
      <w:lvlJc w:val="left"/>
      <w:pPr>
        <w:ind w:left="6184" w:hanging="1080"/>
      </w:pPr>
      <w:rPr>
        <w:rFonts w:cs="Sylfaen" w:hint="default"/>
      </w:rPr>
    </w:lvl>
    <w:lvl w:ilvl="5">
      <w:start w:val="1"/>
      <w:numFmt w:val="decimal"/>
      <w:lvlText w:val="%1.%2.%3.%4.%5.%6."/>
      <w:lvlJc w:val="left"/>
      <w:pPr>
        <w:ind w:left="7820" w:hanging="1440"/>
      </w:pPr>
      <w:rPr>
        <w:rFonts w:cs="Sylfaen" w:hint="default"/>
      </w:rPr>
    </w:lvl>
    <w:lvl w:ilvl="6">
      <w:start w:val="1"/>
      <w:numFmt w:val="decimal"/>
      <w:lvlText w:val="%1.%2.%3.%4.%5.%6.%7."/>
      <w:lvlJc w:val="left"/>
      <w:pPr>
        <w:ind w:left="9456" w:hanging="1800"/>
      </w:pPr>
      <w:rPr>
        <w:rFonts w:cs="Sylfaen" w:hint="default"/>
      </w:rPr>
    </w:lvl>
    <w:lvl w:ilvl="7">
      <w:start w:val="1"/>
      <w:numFmt w:val="decimal"/>
      <w:lvlText w:val="%1.%2.%3.%4.%5.%6.%7.%8."/>
      <w:lvlJc w:val="left"/>
      <w:pPr>
        <w:ind w:left="10732" w:hanging="1800"/>
      </w:pPr>
      <w:rPr>
        <w:rFonts w:cs="Sylfaen" w:hint="default"/>
      </w:rPr>
    </w:lvl>
    <w:lvl w:ilvl="8">
      <w:start w:val="1"/>
      <w:numFmt w:val="decimal"/>
      <w:lvlText w:val="%1.%2.%3.%4.%5.%6.%7.%8.%9."/>
      <w:lvlJc w:val="left"/>
      <w:pPr>
        <w:ind w:left="12368" w:hanging="2160"/>
      </w:pPr>
      <w:rPr>
        <w:rFonts w:cs="Sylfaen" w:hint="default"/>
      </w:rPr>
    </w:lvl>
  </w:abstractNum>
  <w:abstractNum w:abstractNumId="505" w15:restartNumberingAfterBreak="0">
    <w:nsid w:val="7CDE347C"/>
    <w:multiLevelType w:val="hybridMultilevel"/>
    <w:tmpl w:val="826E2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6" w15:restartNumberingAfterBreak="0">
    <w:nsid w:val="7DA32145"/>
    <w:multiLevelType w:val="hybridMultilevel"/>
    <w:tmpl w:val="5C0218EA"/>
    <w:lvl w:ilvl="0" w:tplc="BFF22CE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7" w15:restartNumberingAfterBreak="0">
    <w:nsid w:val="7DC66965"/>
    <w:multiLevelType w:val="hybridMultilevel"/>
    <w:tmpl w:val="5C0218EA"/>
    <w:lvl w:ilvl="0" w:tplc="BFF22CE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8" w15:restartNumberingAfterBreak="0">
    <w:nsid w:val="7E0E2E37"/>
    <w:multiLevelType w:val="hybridMultilevel"/>
    <w:tmpl w:val="5B925298"/>
    <w:lvl w:ilvl="0" w:tplc="25348BE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9" w15:restartNumberingAfterBreak="0">
    <w:nsid w:val="7E415DF3"/>
    <w:multiLevelType w:val="hybridMultilevel"/>
    <w:tmpl w:val="9BF81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0" w15:restartNumberingAfterBreak="0">
    <w:nsid w:val="7E513CD6"/>
    <w:multiLevelType w:val="multilevel"/>
    <w:tmpl w:val="B9101078"/>
    <w:lvl w:ilvl="0">
      <w:start w:val="1"/>
      <w:numFmt w:val="decimal"/>
      <w:lvlText w:val="%1"/>
      <w:lvlJc w:val="left"/>
      <w:pPr>
        <w:tabs>
          <w:tab w:val="num" w:pos="0"/>
        </w:tabs>
        <w:ind w:left="36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5040" w:hanging="2160"/>
      </w:pPr>
    </w:lvl>
  </w:abstractNum>
  <w:abstractNum w:abstractNumId="511" w15:restartNumberingAfterBreak="0">
    <w:nsid w:val="7E8212B4"/>
    <w:multiLevelType w:val="hybridMultilevel"/>
    <w:tmpl w:val="B8426D04"/>
    <w:lvl w:ilvl="0" w:tplc="CA0E1048">
      <w:numFmt w:val="bullet"/>
      <w:lvlText w:val="•"/>
      <w:lvlJc w:val="left"/>
      <w:pPr>
        <w:ind w:left="1080" w:hanging="360"/>
      </w:pPr>
      <w:rPr>
        <w:rFonts w:ascii="Calibri" w:eastAsia="Calibri" w:hAnsi="Calibri" w:cs="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2" w15:restartNumberingAfterBreak="0">
    <w:nsid w:val="7ED506E0"/>
    <w:multiLevelType w:val="multilevel"/>
    <w:tmpl w:val="11E85DFA"/>
    <w:lvl w:ilvl="0">
      <w:start w:val="1"/>
      <w:numFmt w:val="decimal"/>
      <w:lvlText w:val="%1."/>
      <w:lvlJc w:val="left"/>
      <w:pPr>
        <w:ind w:left="360" w:hanging="360"/>
      </w:pPr>
      <w:rPr>
        <w:rFonts w:cs="Times New Roman" w:hint="default"/>
        <w:b/>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13" w15:restartNumberingAfterBreak="0">
    <w:nsid w:val="7F733F5C"/>
    <w:multiLevelType w:val="multilevel"/>
    <w:tmpl w:val="DCA65A84"/>
    <w:lvl w:ilvl="0">
      <w:start w:val="3"/>
      <w:numFmt w:val="decimal"/>
      <w:lvlText w:val="%1"/>
      <w:lvlJc w:val="left"/>
      <w:pPr>
        <w:ind w:left="360" w:hanging="360"/>
      </w:pPr>
      <w:rPr>
        <w:rFonts w:eastAsiaTheme="minorHAnsi" w:cstheme="minorBidi" w:hint="default"/>
      </w:rPr>
    </w:lvl>
    <w:lvl w:ilvl="1">
      <w:start w:val="1"/>
      <w:numFmt w:val="decimal"/>
      <w:lvlText w:val="%1.%2"/>
      <w:lvlJc w:val="left"/>
      <w:pPr>
        <w:ind w:left="1170" w:hanging="360"/>
      </w:pPr>
      <w:rPr>
        <w:rFonts w:eastAsiaTheme="minorHAnsi" w:cstheme="minorBidi" w:hint="default"/>
      </w:rPr>
    </w:lvl>
    <w:lvl w:ilvl="2">
      <w:start w:val="1"/>
      <w:numFmt w:val="decimal"/>
      <w:lvlText w:val="%1.%2.%3"/>
      <w:lvlJc w:val="left"/>
      <w:pPr>
        <w:ind w:left="2340" w:hanging="720"/>
      </w:pPr>
      <w:rPr>
        <w:rFonts w:eastAsiaTheme="minorHAnsi" w:cstheme="minorBidi" w:hint="default"/>
      </w:rPr>
    </w:lvl>
    <w:lvl w:ilvl="3">
      <w:start w:val="1"/>
      <w:numFmt w:val="decimal"/>
      <w:lvlText w:val="%1.%2.%3.%4"/>
      <w:lvlJc w:val="left"/>
      <w:pPr>
        <w:ind w:left="3510" w:hanging="1080"/>
      </w:pPr>
      <w:rPr>
        <w:rFonts w:eastAsiaTheme="minorHAnsi" w:cstheme="minorBidi" w:hint="default"/>
      </w:rPr>
    </w:lvl>
    <w:lvl w:ilvl="4">
      <w:start w:val="1"/>
      <w:numFmt w:val="decimal"/>
      <w:lvlText w:val="%1.%2.%3.%4.%5"/>
      <w:lvlJc w:val="left"/>
      <w:pPr>
        <w:ind w:left="4320" w:hanging="1080"/>
      </w:pPr>
      <w:rPr>
        <w:rFonts w:eastAsiaTheme="minorHAnsi" w:cstheme="minorBidi" w:hint="default"/>
      </w:rPr>
    </w:lvl>
    <w:lvl w:ilvl="5">
      <w:start w:val="1"/>
      <w:numFmt w:val="decimal"/>
      <w:lvlText w:val="%1.%2.%3.%4.%5.%6"/>
      <w:lvlJc w:val="left"/>
      <w:pPr>
        <w:ind w:left="5490" w:hanging="1440"/>
      </w:pPr>
      <w:rPr>
        <w:rFonts w:eastAsiaTheme="minorHAnsi" w:cstheme="minorBidi" w:hint="default"/>
      </w:rPr>
    </w:lvl>
    <w:lvl w:ilvl="6">
      <w:start w:val="1"/>
      <w:numFmt w:val="decimal"/>
      <w:lvlText w:val="%1.%2.%3.%4.%5.%6.%7"/>
      <w:lvlJc w:val="left"/>
      <w:pPr>
        <w:ind w:left="6300" w:hanging="1440"/>
      </w:pPr>
      <w:rPr>
        <w:rFonts w:eastAsiaTheme="minorHAnsi" w:cstheme="minorBidi" w:hint="default"/>
      </w:rPr>
    </w:lvl>
    <w:lvl w:ilvl="7">
      <w:start w:val="1"/>
      <w:numFmt w:val="decimal"/>
      <w:lvlText w:val="%1.%2.%3.%4.%5.%6.%7.%8"/>
      <w:lvlJc w:val="left"/>
      <w:pPr>
        <w:ind w:left="7470" w:hanging="1800"/>
      </w:pPr>
      <w:rPr>
        <w:rFonts w:eastAsiaTheme="minorHAnsi" w:cstheme="minorBidi" w:hint="default"/>
      </w:rPr>
    </w:lvl>
    <w:lvl w:ilvl="8">
      <w:start w:val="1"/>
      <w:numFmt w:val="decimal"/>
      <w:lvlText w:val="%1.%2.%3.%4.%5.%6.%7.%8.%9"/>
      <w:lvlJc w:val="left"/>
      <w:pPr>
        <w:ind w:left="8640" w:hanging="2160"/>
      </w:pPr>
      <w:rPr>
        <w:rFonts w:eastAsiaTheme="minorHAnsi" w:cstheme="minorBidi" w:hint="default"/>
      </w:rPr>
    </w:lvl>
  </w:abstractNum>
  <w:abstractNum w:abstractNumId="514" w15:restartNumberingAfterBreak="0">
    <w:nsid w:val="7FB935AC"/>
    <w:multiLevelType w:val="multilevel"/>
    <w:tmpl w:val="829AC936"/>
    <w:lvl w:ilvl="0">
      <w:start w:val="1"/>
      <w:numFmt w:val="decimal"/>
      <w:lvlText w:val="%1."/>
      <w:lvlJc w:val="left"/>
      <w:pPr>
        <w:ind w:left="735" w:hanging="360"/>
      </w:pPr>
      <w:rPr>
        <w:rFonts w:hint="default"/>
      </w:rPr>
    </w:lvl>
    <w:lvl w:ilvl="1">
      <w:start w:val="1"/>
      <w:numFmt w:val="decimal"/>
      <w:isLgl/>
      <w:lvlText w:val="%1.%2."/>
      <w:lvlJc w:val="left"/>
      <w:pPr>
        <w:ind w:left="1095" w:hanging="72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455" w:hanging="108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35" w:hanging="2160"/>
      </w:pPr>
      <w:rPr>
        <w:rFonts w:hint="default"/>
      </w:rPr>
    </w:lvl>
  </w:abstractNum>
  <w:num w:numId="1">
    <w:abstractNumId w:val="396"/>
  </w:num>
  <w:num w:numId="2">
    <w:abstractNumId w:val="17"/>
  </w:num>
  <w:num w:numId="3">
    <w:abstractNumId w:val="0"/>
  </w:num>
  <w:num w:numId="4">
    <w:abstractNumId w:val="227"/>
  </w:num>
  <w:num w:numId="5">
    <w:abstractNumId w:val="3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5"/>
  </w:num>
  <w:num w:numId="7">
    <w:abstractNumId w:val="502"/>
  </w:num>
  <w:num w:numId="8">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1"/>
  </w:num>
  <w:num w:numId="10">
    <w:abstractNumId w:val="105"/>
  </w:num>
  <w:num w:numId="11">
    <w:abstractNumId w:val="132"/>
  </w:num>
  <w:num w:numId="12">
    <w:abstractNumId w:val="271"/>
  </w:num>
  <w:num w:numId="13">
    <w:abstractNumId w:val="468"/>
  </w:num>
  <w:num w:numId="14">
    <w:abstractNumId w:val="398"/>
  </w:num>
  <w:num w:numId="15">
    <w:abstractNumId w:val="34"/>
  </w:num>
  <w:num w:numId="16">
    <w:abstractNumId w:val="62"/>
  </w:num>
  <w:num w:numId="17">
    <w:abstractNumId w:val="390"/>
  </w:num>
  <w:num w:numId="18">
    <w:abstractNumId w:val="445"/>
  </w:num>
  <w:num w:numId="19">
    <w:abstractNumId w:val="4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2"/>
  </w:num>
  <w:num w:numId="21">
    <w:abstractNumId w:val="142"/>
  </w:num>
  <w:num w:numId="22">
    <w:abstractNumId w:val="430"/>
  </w:num>
  <w:num w:numId="23">
    <w:abstractNumId w:val="450"/>
  </w:num>
  <w:num w:numId="24">
    <w:abstractNumId w:val="287"/>
  </w:num>
  <w:num w:numId="25">
    <w:abstractNumId w:val="206"/>
  </w:num>
  <w:num w:numId="26">
    <w:abstractNumId w:val="490"/>
  </w:num>
  <w:num w:numId="27">
    <w:abstractNumId w:val="342"/>
  </w:num>
  <w:num w:numId="28">
    <w:abstractNumId w:val="381"/>
  </w:num>
  <w:num w:numId="29">
    <w:abstractNumId w:val="443"/>
  </w:num>
  <w:num w:numId="30">
    <w:abstractNumId w:val="4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2"/>
  </w:num>
  <w:num w:numId="32">
    <w:abstractNumId w:val="236"/>
  </w:num>
  <w:num w:numId="33">
    <w:abstractNumId w:val="168"/>
  </w:num>
  <w:num w:numId="34">
    <w:abstractNumId w:val="422"/>
  </w:num>
  <w:num w:numId="35">
    <w:abstractNumId w:val="461"/>
  </w:num>
  <w:num w:numId="36">
    <w:abstractNumId w:val="43"/>
  </w:num>
  <w:num w:numId="37">
    <w:abstractNumId w:val="4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7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0"/>
  </w:num>
  <w:num w:numId="42">
    <w:abstractNumId w:val="505"/>
  </w:num>
  <w:num w:numId="43">
    <w:abstractNumId w:val="305"/>
  </w:num>
  <w:num w:numId="44">
    <w:abstractNumId w:val="3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6"/>
  </w:num>
  <w:num w:numId="47">
    <w:abstractNumId w:val="2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num>
  <w:num w:numId="49">
    <w:abstractNumId w:val="157"/>
  </w:num>
  <w:num w:numId="50">
    <w:abstractNumId w:val="18"/>
  </w:num>
  <w:num w:numId="51">
    <w:abstractNumId w:val="102"/>
  </w:num>
  <w:num w:numId="52">
    <w:abstractNumId w:val="119"/>
  </w:num>
  <w:num w:numId="53">
    <w:abstractNumId w:val="239"/>
  </w:num>
  <w:num w:numId="54">
    <w:abstractNumId w:val="130"/>
  </w:num>
  <w:num w:numId="55">
    <w:abstractNumId w:val="392"/>
  </w:num>
  <w:num w:numId="56">
    <w:abstractNumId w:val="282"/>
  </w:num>
  <w:num w:numId="57">
    <w:abstractNumId w:val="8"/>
  </w:num>
  <w:num w:numId="58">
    <w:abstractNumId w:val="53"/>
  </w:num>
  <w:num w:numId="59">
    <w:abstractNumId w:val="52"/>
  </w:num>
  <w:num w:numId="60">
    <w:abstractNumId w:val="337"/>
  </w:num>
  <w:num w:numId="61">
    <w:abstractNumId w:val="118"/>
  </w:num>
  <w:num w:numId="62">
    <w:abstractNumId w:val="84"/>
  </w:num>
  <w:num w:numId="63">
    <w:abstractNumId w:val="95"/>
  </w:num>
  <w:num w:numId="64">
    <w:abstractNumId w:val="171"/>
  </w:num>
  <w:num w:numId="65">
    <w:abstractNumId w:val="296"/>
  </w:num>
  <w:num w:numId="66">
    <w:abstractNumId w:val="459"/>
  </w:num>
  <w:num w:numId="67">
    <w:abstractNumId w:val="15"/>
  </w:num>
  <w:num w:numId="68">
    <w:abstractNumId w:val="509"/>
  </w:num>
  <w:num w:numId="69">
    <w:abstractNumId w:val="421"/>
  </w:num>
  <w:num w:numId="70">
    <w:abstractNumId w:val="333"/>
  </w:num>
  <w:num w:numId="71">
    <w:abstractNumId w:val="170"/>
  </w:num>
  <w:num w:numId="72">
    <w:abstractNumId w:val="233"/>
  </w:num>
  <w:num w:numId="73">
    <w:abstractNumId w:val="324"/>
  </w:num>
  <w:num w:numId="74">
    <w:abstractNumId w:val="13"/>
  </w:num>
  <w:num w:numId="75">
    <w:abstractNumId w:val="98"/>
  </w:num>
  <w:num w:numId="76">
    <w:abstractNumId w:val="386"/>
  </w:num>
  <w:num w:numId="77">
    <w:abstractNumId w:val="153"/>
  </w:num>
  <w:num w:numId="78">
    <w:abstractNumId w:val="148"/>
  </w:num>
  <w:num w:numId="79">
    <w:abstractNumId w:val="244"/>
  </w:num>
  <w:num w:numId="80">
    <w:abstractNumId w:val="111"/>
  </w:num>
  <w:num w:numId="81">
    <w:abstractNumId w:val="379"/>
  </w:num>
  <w:num w:numId="82">
    <w:abstractNumId w:val="489"/>
  </w:num>
  <w:num w:numId="83">
    <w:abstractNumId w:val="225"/>
  </w:num>
  <w:num w:numId="84">
    <w:abstractNumId w:val="59"/>
  </w:num>
  <w:num w:numId="85">
    <w:abstractNumId w:val="158"/>
  </w:num>
  <w:num w:numId="86">
    <w:abstractNumId w:val="226"/>
  </w:num>
  <w:num w:numId="87">
    <w:abstractNumId w:val="266"/>
  </w:num>
  <w:num w:numId="88">
    <w:abstractNumId w:val="458"/>
  </w:num>
  <w:num w:numId="89">
    <w:abstractNumId w:val="499"/>
  </w:num>
  <w:num w:numId="90">
    <w:abstractNumId w:val="241"/>
  </w:num>
  <w:num w:numId="91">
    <w:abstractNumId w:val="55"/>
  </w:num>
  <w:num w:numId="92">
    <w:abstractNumId w:val="26"/>
  </w:num>
  <w:num w:numId="93">
    <w:abstractNumId w:val="311"/>
  </w:num>
  <w:num w:numId="94">
    <w:abstractNumId w:val="319"/>
  </w:num>
  <w:num w:numId="95">
    <w:abstractNumId w:val="321"/>
  </w:num>
  <w:num w:numId="96">
    <w:abstractNumId w:val="474"/>
  </w:num>
  <w:num w:numId="97">
    <w:abstractNumId w:val="203"/>
  </w:num>
  <w:num w:numId="98">
    <w:abstractNumId w:val="410"/>
  </w:num>
  <w:num w:numId="99">
    <w:abstractNumId w:val="361"/>
  </w:num>
  <w:num w:numId="100">
    <w:abstractNumId w:val="298"/>
  </w:num>
  <w:num w:numId="101">
    <w:abstractNumId w:val="380"/>
  </w:num>
  <w:num w:numId="102">
    <w:abstractNumId w:val="44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55"/>
  </w:num>
  <w:num w:numId="106">
    <w:abstractNumId w:val="483"/>
  </w:num>
  <w:num w:numId="107">
    <w:abstractNumId w:val="385"/>
  </w:num>
  <w:num w:numId="1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1"/>
  </w:num>
  <w:num w:numId="110">
    <w:abstractNumId w:val="367"/>
  </w:num>
  <w:num w:numId="111">
    <w:abstractNumId w:val="300"/>
  </w:num>
  <w:num w:numId="112">
    <w:abstractNumId w:val="94"/>
  </w:num>
  <w:num w:numId="113">
    <w:abstractNumId w:val="121"/>
  </w:num>
  <w:num w:numId="114">
    <w:abstractNumId w:val="165"/>
  </w:num>
  <w:num w:numId="115">
    <w:abstractNumId w:val="96"/>
  </w:num>
  <w:num w:numId="116">
    <w:abstractNumId w:val="351"/>
  </w:num>
  <w:num w:numId="117">
    <w:abstractNumId w:val="291"/>
  </w:num>
  <w:num w:numId="118">
    <w:abstractNumId w:val="4"/>
  </w:num>
  <w:num w:numId="119">
    <w:abstractNumId w:val="141"/>
  </w:num>
  <w:num w:numId="120">
    <w:abstractNumId w:val="267"/>
  </w:num>
  <w:num w:numId="121">
    <w:abstractNumId w:val="196"/>
  </w:num>
  <w:num w:numId="122">
    <w:abstractNumId w:val="189"/>
  </w:num>
  <w:num w:numId="123">
    <w:abstractNumId w:val="304"/>
  </w:num>
  <w:num w:numId="124">
    <w:abstractNumId w:val="384"/>
  </w:num>
  <w:num w:numId="125">
    <w:abstractNumId w:val="3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54"/>
  </w:num>
  <w:num w:numId="127">
    <w:abstractNumId w:val="358"/>
  </w:num>
  <w:num w:numId="128">
    <w:abstractNumId w:val="437"/>
  </w:num>
  <w:num w:numId="129">
    <w:abstractNumId w:val="318"/>
  </w:num>
  <w:num w:numId="130">
    <w:abstractNumId w:val="399"/>
  </w:num>
  <w:num w:numId="131">
    <w:abstractNumId w:val="240"/>
  </w:num>
  <w:num w:numId="132">
    <w:abstractNumId w:val="30"/>
  </w:num>
  <w:num w:numId="133">
    <w:abstractNumId w:val="419"/>
  </w:num>
  <w:num w:numId="134">
    <w:abstractNumId w:val="120"/>
  </w:num>
  <w:num w:numId="135">
    <w:abstractNumId w:val="90"/>
  </w:num>
  <w:num w:numId="136">
    <w:abstractNumId w:val="475"/>
  </w:num>
  <w:num w:numId="137">
    <w:abstractNumId w:val="146"/>
  </w:num>
  <w:num w:numId="138">
    <w:abstractNumId w:val="301"/>
  </w:num>
  <w:num w:numId="139">
    <w:abstractNumId w:val="283"/>
  </w:num>
  <w:num w:numId="140">
    <w:abstractNumId w:val="440"/>
  </w:num>
  <w:num w:numId="141">
    <w:abstractNumId w:val="73"/>
  </w:num>
  <w:num w:numId="142">
    <w:abstractNumId w:val="20"/>
  </w:num>
  <w:num w:numId="143">
    <w:abstractNumId w:val="253"/>
  </w:num>
  <w:num w:numId="144">
    <w:abstractNumId w:val="514"/>
  </w:num>
  <w:num w:numId="145">
    <w:abstractNumId w:val="114"/>
  </w:num>
  <w:num w:numId="146">
    <w:abstractNumId w:val="295"/>
  </w:num>
  <w:num w:numId="147">
    <w:abstractNumId w:val="485"/>
  </w:num>
  <w:num w:numId="148">
    <w:abstractNumId w:val="232"/>
  </w:num>
  <w:num w:numId="149">
    <w:abstractNumId w:val="124"/>
  </w:num>
  <w:num w:numId="150">
    <w:abstractNumId w:val="161"/>
  </w:num>
  <w:num w:numId="151">
    <w:abstractNumId w:val="513"/>
  </w:num>
  <w:num w:numId="152">
    <w:abstractNumId w:val="108"/>
  </w:num>
  <w:num w:numId="153">
    <w:abstractNumId w:val="508"/>
  </w:num>
  <w:num w:numId="154">
    <w:abstractNumId w:val="491"/>
  </w:num>
  <w:num w:numId="155">
    <w:abstractNumId w:val="259"/>
  </w:num>
  <w:num w:numId="156">
    <w:abstractNumId w:val="4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449"/>
  </w:num>
  <w:num w:numId="158">
    <w:abstractNumId w:val="115"/>
  </w:num>
  <w:num w:numId="159">
    <w:abstractNumId w:val="274"/>
  </w:num>
  <w:num w:numId="160">
    <w:abstractNumId w:val="155"/>
  </w:num>
  <w:num w:numId="161">
    <w:abstractNumId w:val="211"/>
  </w:num>
  <w:num w:numId="162">
    <w:abstractNumId w:val="383"/>
  </w:num>
  <w:num w:numId="163">
    <w:abstractNumId w:val="480"/>
  </w:num>
  <w:num w:numId="164">
    <w:abstractNumId w:val="308"/>
  </w:num>
  <w:num w:numId="165">
    <w:abstractNumId w:val="177"/>
  </w:num>
  <w:num w:numId="166">
    <w:abstractNumId w:val="462"/>
  </w:num>
  <w:num w:numId="167">
    <w:abstractNumId w:val="471"/>
  </w:num>
  <w:num w:numId="168">
    <w:abstractNumId w:val="498"/>
  </w:num>
  <w:num w:numId="169">
    <w:abstractNumId w:val="511"/>
  </w:num>
  <w:num w:numId="170">
    <w:abstractNumId w:val="327"/>
  </w:num>
  <w:num w:numId="171">
    <w:abstractNumId w:val="129"/>
  </w:num>
  <w:num w:numId="172">
    <w:abstractNumId w:val="54"/>
  </w:num>
  <w:num w:numId="173">
    <w:abstractNumId w:val="435"/>
  </w:num>
  <w:num w:numId="174">
    <w:abstractNumId w:val="7"/>
  </w:num>
  <w:num w:numId="175">
    <w:abstractNumId w:val="5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71"/>
  </w:num>
  <w:num w:numId="177">
    <w:abstractNumId w:val="213"/>
  </w:num>
  <w:num w:numId="178">
    <w:abstractNumId w:val="417"/>
  </w:num>
  <w:num w:numId="179">
    <w:abstractNumId w:val="3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4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3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3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2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223"/>
  </w:num>
  <w:num w:numId="191">
    <w:abstractNumId w:val="101"/>
  </w:num>
  <w:num w:numId="192">
    <w:abstractNumId w:val="4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446"/>
  </w:num>
  <w:num w:numId="194">
    <w:abstractNumId w:val="123"/>
  </w:num>
  <w:num w:numId="195">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09"/>
  </w:num>
  <w:num w:numId="197">
    <w:abstractNumId w:val="323"/>
  </w:num>
  <w:num w:numId="198">
    <w:abstractNumId w:val="3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252"/>
  </w:num>
  <w:num w:numId="200">
    <w:abstractNumId w:val="219"/>
  </w:num>
  <w:num w:numId="201">
    <w:abstractNumId w:val="40"/>
  </w:num>
  <w:num w:numId="202">
    <w:abstractNumId w:val="10"/>
  </w:num>
  <w:num w:numId="203">
    <w:abstractNumId w:val="32"/>
  </w:num>
  <w:num w:numId="204">
    <w:abstractNumId w:val="481"/>
  </w:num>
  <w:num w:numId="205">
    <w:abstractNumId w:val="199"/>
  </w:num>
  <w:num w:numId="206">
    <w:abstractNumId w:val="307"/>
  </w:num>
  <w:num w:numId="207">
    <w:abstractNumId w:val="117"/>
  </w:num>
  <w:num w:numId="208">
    <w:abstractNumId w:val="106"/>
  </w:num>
  <w:num w:numId="209">
    <w:abstractNumId w:val="191"/>
  </w:num>
  <w:num w:numId="210">
    <w:abstractNumId w:val="167"/>
  </w:num>
  <w:num w:numId="211">
    <w:abstractNumId w:val="103"/>
  </w:num>
  <w:num w:numId="212">
    <w:abstractNumId w:val="89"/>
  </w:num>
  <w:num w:numId="213">
    <w:abstractNumId w:val="173"/>
  </w:num>
  <w:num w:numId="214">
    <w:abstractNumId w:val="504"/>
  </w:num>
  <w:num w:numId="215">
    <w:abstractNumId w:val="72"/>
  </w:num>
  <w:num w:numId="216">
    <w:abstractNumId w:val="420"/>
  </w:num>
  <w:num w:numId="217">
    <w:abstractNumId w:val="255"/>
  </w:num>
  <w:num w:numId="218">
    <w:abstractNumId w:val="325"/>
  </w:num>
  <w:num w:numId="219">
    <w:abstractNumId w:val="251"/>
  </w:num>
  <w:num w:numId="220">
    <w:abstractNumId w:val="44"/>
  </w:num>
  <w:num w:numId="221">
    <w:abstractNumId w:val="122"/>
  </w:num>
  <w:num w:numId="222">
    <w:abstractNumId w:val="61"/>
  </w:num>
  <w:num w:numId="223">
    <w:abstractNumId w:val="366"/>
  </w:num>
  <w:num w:numId="224">
    <w:abstractNumId w:val="128"/>
  </w:num>
  <w:num w:numId="225">
    <w:abstractNumId w:val="2"/>
  </w:num>
  <w:num w:numId="226">
    <w:abstractNumId w:val="6"/>
  </w:num>
  <w:num w:numId="227">
    <w:abstractNumId w:val="42"/>
  </w:num>
  <w:num w:numId="228">
    <w:abstractNumId w:val="238"/>
  </w:num>
  <w:num w:numId="229">
    <w:abstractNumId w:val="185"/>
  </w:num>
  <w:num w:numId="230">
    <w:abstractNumId w:val="336"/>
  </w:num>
  <w:num w:numId="231">
    <w:abstractNumId w:val="93"/>
  </w:num>
  <w:num w:numId="232">
    <w:abstractNumId w:val="270"/>
  </w:num>
  <w:num w:numId="233">
    <w:abstractNumId w:val="503"/>
  </w:num>
  <w:num w:numId="234">
    <w:abstractNumId w:val="320"/>
  </w:num>
  <w:num w:numId="235">
    <w:abstractNumId w:val="411"/>
  </w:num>
  <w:num w:numId="236">
    <w:abstractNumId w:val="376"/>
  </w:num>
  <w:num w:numId="237">
    <w:abstractNumId w:val="448"/>
  </w:num>
  <w:num w:numId="238">
    <w:abstractNumId w:val="150"/>
  </w:num>
  <w:num w:numId="239">
    <w:abstractNumId w:val="497"/>
  </w:num>
  <w:num w:numId="240">
    <w:abstractNumId w:val="370"/>
  </w:num>
  <w:num w:numId="241">
    <w:abstractNumId w:val="357"/>
  </w:num>
  <w:num w:numId="242">
    <w:abstractNumId w:val="453"/>
  </w:num>
  <w:num w:numId="243">
    <w:abstractNumId w:val="145"/>
  </w:num>
  <w:num w:numId="244">
    <w:abstractNumId w:val="441"/>
  </w:num>
  <w:num w:numId="245">
    <w:abstractNumId w:val="303"/>
  </w:num>
  <w:num w:numId="246">
    <w:abstractNumId w:val="91"/>
  </w:num>
  <w:num w:numId="247">
    <w:abstractNumId w:val="48"/>
  </w:num>
  <w:num w:numId="248">
    <w:abstractNumId w:val="389"/>
  </w:num>
  <w:num w:numId="249">
    <w:abstractNumId w:val="339"/>
  </w:num>
  <w:num w:numId="250">
    <w:abstractNumId w:val="176"/>
  </w:num>
  <w:num w:numId="251">
    <w:abstractNumId w:val="214"/>
  </w:num>
  <w:num w:numId="252">
    <w:abstractNumId w:val="257"/>
  </w:num>
  <w:num w:numId="253">
    <w:abstractNumId w:val="290"/>
  </w:num>
  <w:num w:numId="254">
    <w:abstractNumId w:val="237"/>
  </w:num>
  <w:num w:numId="255">
    <w:abstractNumId w:val="186"/>
  </w:num>
  <w:num w:numId="256">
    <w:abstractNumId w:val="512"/>
  </w:num>
  <w:num w:numId="257">
    <w:abstractNumId w:val="190"/>
  </w:num>
  <w:num w:numId="258">
    <w:abstractNumId w:val="427"/>
  </w:num>
  <w:num w:numId="259">
    <w:abstractNumId w:val="202"/>
  </w:num>
  <w:num w:numId="260">
    <w:abstractNumId w:val="133"/>
  </w:num>
  <w:num w:numId="261">
    <w:abstractNumId w:val="315"/>
  </w:num>
  <w:num w:numId="262">
    <w:abstractNumId w:val="143"/>
  </w:num>
  <w:num w:numId="263">
    <w:abstractNumId w:val="87"/>
  </w:num>
  <w:num w:numId="264">
    <w:abstractNumId w:val="394"/>
  </w:num>
  <w:num w:numId="265">
    <w:abstractNumId w:val="187"/>
  </w:num>
  <w:num w:numId="266">
    <w:abstractNumId w:val="493"/>
  </w:num>
  <w:num w:numId="267">
    <w:abstractNumId w:val="35"/>
  </w:num>
  <w:num w:numId="268">
    <w:abstractNumId w:val="434"/>
  </w:num>
  <w:num w:numId="269">
    <w:abstractNumId w:val="235"/>
  </w:num>
  <w:num w:numId="270">
    <w:abstractNumId w:val="494"/>
  </w:num>
  <w:num w:numId="271">
    <w:abstractNumId w:val="80"/>
  </w:num>
  <w:num w:numId="272">
    <w:abstractNumId w:val="28"/>
  </w:num>
  <w:num w:numId="273">
    <w:abstractNumId w:val="134"/>
  </w:num>
  <w:num w:numId="274">
    <w:abstractNumId w:val="243"/>
  </w:num>
  <w:num w:numId="275">
    <w:abstractNumId w:val="378"/>
  </w:num>
  <w:num w:numId="276">
    <w:abstractNumId w:val="438"/>
  </w:num>
  <w:num w:numId="277">
    <w:abstractNumId w:val="175"/>
  </w:num>
  <w:num w:numId="278">
    <w:abstractNumId w:val="284"/>
  </w:num>
  <w:num w:numId="279">
    <w:abstractNumId w:val="335"/>
  </w:num>
  <w:num w:numId="280">
    <w:abstractNumId w:val="404"/>
  </w:num>
  <w:num w:numId="281">
    <w:abstractNumId w:val="265"/>
  </w:num>
  <w:num w:numId="282">
    <w:abstractNumId w:val="329"/>
  </w:num>
  <w:num w:numId="283">
    <w:abstractNumId w:val="107"/>
  </w:num>
  <w:num w:numId="284">
    <w:abstractNumId w:val="472"/>
  </w:num>
  <w:num w:numId="285">
    <w:abstractNumId w:val="348"/>
  </w:num>
  <w:num w:numId="286">
    <w:abstractNumId w:val="268"/>
  </w:num>
  <w:num w:numId="287">
    <w:abstractNumId w:val="347"/>
  </w:num>
  <w:num w:numId="288">
    <w:abstractNumId w:val="68"/>
  </w:num>
  <w:num w:numId="289">
    <w:abstractNumId w:val="24"/>
  </w:num>
  <w:num w:numId="290">
    <w:abstractNumId w:val="285"/>
  </w:num>
  <w:num w:numId="291">
    <w:abstractNumId w:val="254"/>
  </w:num>
  <w:num w:numId="292">
    <w:abstractNumId w:val="23"/>
  </w:num>
  <w:num w:numId="293">
    <w:abstractNumId w:val="64"/>
  </w:num>
  <w:num w:numId="294">
    <w:abstractNumId w:val="286"/>
  </w:num>
  <w:num w:numId="295">
    <w:abstractNumId w:val="140"/>
  </w:num>
  <w:num w:numId="296">
    <w:abstractNumId w:val="375"/>
  </w:num>
  <w:num w:numId="297">
    <w:abstractNumId w:val="456"/>
  </w:num>
  <w:num w:numId="298">
    <w:abstractNumId w:val="147"/>
  </w:num>
  <w:num w:numId="299">
    <w:abstractNumId w:val="331"/>
  </w:num>
  <w:num w:numId="300">
    <w:abstractNumId w:val="312"/>
  </w:num>
  <w:num w:numId="301">
    <w:abstractNumId w:val="197"/>
  </w:num>
  <w:num w:numId="302">
    <w:abstractNumId w:val="192"/>
  </w:num>
  <w:num w:numId="303">
    <w:abstractNumId w:val="442"/>
  </w:num>
  <w:num w:numId="304">
    <w:abstractNumId w:val="75"/>
  </w:num>
  <w:num w:numId="305">
    <w:abstractNumId w:val="408"/>
  </w:num>
  <w:num w:numId="306">
    <w:abstractNumId w:val="425"/>
  </w:num>
  <w:num w:numId="307">
    <w:abstractNumId w:val="169"/>
  </w:num>
  <w:num w:numId="308">
    <w:abstractNumId w:val="99"/>
  </w:num>
  <w:num w:numId="309">
    <w:abstractNumId w:val="38"/>
  </w:num>
  <w:num w:numId="310">
    <w:abstractNumId w:val="482"/>
  </w:num>
  <w:num w:numId="311">
    <w:abstractNumId w:val="496"/>
  </w:num>
  <w:num w:numId="312">
    <w:abstractNumId w:val="261"/>
  </w:num>
  <w:num w:numId="313">
    <w:abstractNumId w:val="16"/>
  </w:num>
  <w:num w:numId="314">
    <w:abstractNumId w:val="37"/>
  </w:num>
  <w:num w:numId="315">
    <w:abstractNumId w:val="242"/>
  </w:num>
  <w:num w:numId="316">
    <w:abstractNumId w:val="201"/>
  </w:num>
  <w:num w:numId="317">
    <w:abstractNumId w:val="12"/>
  </w:num>
  <w:num w:numId="318">
    <w:abstractNumId w:val="433"/>
  </w:num>
  <w:num w:numId="319">
    <w:abstractNumId w:val="144"/>
  </w:num>
  <w:num w:numId="320">
    <w:abstractNumId w:val="330"/>
  </w:num>
  <w:num w:numId="321">
    <w:abstractNumId w:val="174"/>
  </w:num>
  <w:num w:numId="322">
    <w:abstractNumId w:val="278"/>
  </w:num>
  <w:num w:numId="323">
    <w:abstractNumId w:val="41"/>
  </w:num>
  <w:num w:numId="324">
    <w:abstractNumId w:val="248"/>
  </w:num>
  <w:num w:numId="325">
    <w:abstractNumId w:val="82"/>
  </w:num>
  <w:num w:numId="326">
    <w:abstractNumId w:val="110"/>
  </w:num>
  <w:num w:numId="327">
    <w:abstractNumId w:val="116"/>
  </w:num>
  <w:num w:numId="328">
    <w:abstractNumId w:val="470"/>
  </w:num>
  <w:num w:numId="329">
    <w:abstractNumId w:val="224"/>
  </w:num>
  <w:num w:numId="330">
    <w:abstractNumId w:val="355"/>
  </w:num>
  <w:num w:numId="331">
    <w:abstractNumId w:val="184"/>
  </w:num>
  <w:num w:numId="332">
    <w:abstractNumId w:val="172"/>
  </w:num>
  <w:num w:numId="333">
    <w:abstractNumId w:val="416"/>
  </w:num>
  <w:num w:numId="334">
    <w:abstractNumId w:val="466"/>
  </w:num>
  <w:num w:numId="335">
    <w:abstractNumId w:val="310"/>
  </w:num>
  <w:num w:numId="336">
    <w:abstractNumId w:val="488"/>
  </w:num>
  <w:num w:numId="337">
    <w:abstractNumId w:val="70"/>
  </w:num>
  <w:num w:numId="338">
    <w:abstractNumId w:val="76"/>
  </w:num>
  <w:num w:numId="339">
    <w:abstractNumId w:val="403"/>
  </w:num>
  <w:num w:numId="340">
    <w:abstractNumId w:val="69"/>
  </w:num>
  <w:num w:numId="341">
    <w:abstractNumId w:val="139"/>
  </w:num>
  <w:num w:numId="342">
    <w:abstractNumId w:val="200"/>
  </w:num>
  <w:num w:numId="343">
    <w:abstractNumId w:val="439"/>
  </w:num>
  <w:num w:numId="344">
    <w:abstractNumId w:val="263"/>
  </w:num>
  <w:num w:numId="345">
    <w:abstractNumId w:val="454"/>
  </w:num>
  <w:num w:numId="346">
    <w:abstractNumId w:val="507"/>
  </w:num>
  <w:num w:numId="347">
    <w:abstractNumId w:val="50"/>
  </w:num>
  <w:num w:numId="348">
    <w:abstractNumId w:val="22"/>
  </w:num>
  <w:num w:numId="349">
    <w:abstractNumId w:val="353"/>
  </w:num>
  <w:num w:numId="350">
    <w:abstractNumId w:val="447"/>
  </w:num>
  <w:num w:numId="351">
    <w:abstractNumId w:val="208"/>
  </w:num>
  <w:num w:numId="352">
    <w:abstractNumId w:val="506"/>
  </w:num>
  <w:num w:numId="353">
    <w:abstractNumId w:val="249"/>
  </w:num>
  <w:num w:numId="354">
    <w:abstractNumId w:val="280"/>
  </w:num>
  <w:num w:numId="355">
    <w:abstractNumId w:val="374"/>
  </w:num>
  <w:num w:numId="356">
    <w:abstractNumId w:val="288"/>
  </w:num>
  <w:num w:numId="357">
    <w:abstractNumId w:val="152"/>
  </w:num>
  <w:num w:numId="358">
    <w:abstractNumId w:val="136"/>
  </w:num>
  <w:num w:numId="359">
    <w:abstractNumId w:val="205"/>
  </w:num>
  <w:num w:numId="360">
    <w:abstractNumId w:val="250"/>
  </w:num>
  <w:num w:numId="361">
    <w:abstractNumId w:val="222"/>
  </w:num>
  <w:num w:numId="362">
    <w:abstractNumId w:val="451"/>
  </w:num>
  <w:num w:numId="363">
    <w:abstractNumId w:val="338"/>
  </w:num>
  <w:num w:numId="364">
    <w:abstractNumId w:val="326"/>
  </w:num>
  <w:num w:numId="365">
    <w:abstractNumId w:val="465"/>
  </w:num>
  <w:num w:numId="366">
    <w:abstractNumId w:val="299"/>
  </w:num>
  <w:num w:numId="367">
    <w:abstractNumId w:val="247"/>
  </w:num>
  <w:num w:numId="368">
    <w:abstractNumId w:val="67"/>
  </w:num>
  <w:num w:numId="369">
    <w:abstractNumId w:val="340"/>
  </w:num>
  <w:num w:numId="370">
    <w:abstractNumId w:val="477"/>
  </w:num>
  <w:num w:numId="371">
    <w:abstractNumId w:val="92"/>
  </w:num>
  <w:num w:numId="372">
    <w:abstractNumId w:val="276"/>
  </w:num>
  <w:num w:numId="373">
    <w:abstractNumId w:val="457"/>
  </w:num>
  <w:num w:numId="374">
    <w:abstractNumId w:val="297"/>
  </w:num>
  <w:num w:numId="375">
    <w:abstractNumId w:val="279"/>
  </w:num>
  <w:num w:numId="376">
    <w:abstractNumId w:val="463"/>
  </w:num>
  <w:num w:numId="377">
    <w:abstractNumId w:val="413"/>
  </w:num>
  <w:num w:numId="378">
    <w:abstractNumId w:val="423"/>
  </w:num>
  <w:num w:numId="379">
    <w:abstractNumId w:val="182"/>
  </w:num>
  <w:num w:numId="380">
    <w:abstractNumId w:val="195"/>
  </w:num>
  <w:num w:numId="381">
    <w:abstractNumId w:val="156"/>
  </w:num>
  <w:num w:numId="382">
    <w:abstractNumId w:val="406"/>
  </w:num>
  <w:num w:numId="383">
    <w:abstractNumId w:val="77"/>
  </w:num>
  <w:num w:numId="384">
    <w:abstractNumId w:val="234"/>
  </w:num>
  <w:num w:numId="385">
    <w:abstractNumId w:val="138"/>
  </w:num>
  <w:num w:numId="386">
    <w:abstractNumId w:val="418"/>
  </w:num>
  <w:num w:numId="387">
    <w:abstractNumId w:val="159"/>
  </w:num>
  <w:num w:numId="388">
    <w:abstractNumId w:val="432"/>
  </w:num>
  <w:num w:numId="389">
    <w:abstractNumId w:val="277"/>
  </w:num>
  <w:num w:numId="390">
    <w:abstractNumId w:val="19"/>
  </w:num>
  <w:num w:numId="391">
    <w:abstractNumId w:val="316"/>
  </w:num>
  <w:num w:numId="392">
    <w:abstractNumId w:val="126"/>
  </w:num>
  <w:num w:numId="393">
    <w:abstractNumId w:val="289"/>
  </w:num>
  <w:num w:numId="394">
    <w:abstractNumId w:val="3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79"/>
  </w:num>
  <w:num w:numId="397">
    <w:abstractNumId w:val="14"/>
  </w:num>
  <w:num w:numId="398">
    <w:abstractNumId w:val="363"/>
  </w:num>
  <w:num w:numId="399">
    <w:abstractNumId w:val="343"/>
  </w:num>
  <w:num w:numId="400">
    <w:abstractNumId w:val="256"/>
  </w:num>
  <w:num w:numId="401">
    <w:abstractNumId w:val="245"/>
  </w:num>
  <w:num w:numId="402">
    <w:abstractNumId w:val="401"/>
  </w:num>
  <w:num w:numId="403">
    <w:abstractNumId w:val="149"/>
  </w:num>
  <w:num w:numId="404">
    <w:abstractNumId w:val="345"/>
  </w:num>
  <w:num w:numId="405">
    <w:abstractNumId w:val="230"/>
  </w:num>
  <w:num w:numId="406">
    <w:abstractNumId w:val="228"/>
  </w:num>
  <w:num w:numId="407">
    <w:abstractNumId w:val="65"/>
  </w:num>
  <w:num w:numId="408">
    <w:abstractNumId w:val="36"/>
  </w:num>
  <w:num w:numId="409">
    <w:abstractNumId w:val="215"/>
  </w:num>
  <w:num w:numId="410">
    <w:abstractNumId w:val="356"/>
  </w:num>
  <w:num w:numId="411">
    <w:abstractNumId w:val="81"/>
  </w:num>
  <w:num w:numId="412">
    <w:abstractNumId w:val="400"/>
  </w:num>
  <w:num w:numId="413">
    <w:abstractNumId w:val="313"/>
  </w:num>
  <w:num w:numId="414">
    <w:abstractNumId w:val="371"/>
  </w:num>
  <w:num w:numId="415">
    <w:abstractNumId w:val="63"/>
  </w:num>
  <w:num w:numId="416">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3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125"/>
  </w:num>
  <w:num w:numId="420">
    <w:abstractNumId w:val="479"/>
  </w:num>
  <w:num w:numId="421">
    <w:abstractNumId w:val="332"/>
  </w:num>
  <w:num w:numId="422">
    <w:abstractNumId w:val="322"/>
  </w:num>
  <w:num w:numId="423">
    <w:abstractNumId w:val="258"/>
  </w:num>
  <w:num w:numId="424">
    <w:abstractNumId w:val="5"/>
  </w:num>
  <w:num w:numId="425">
    <w:abstractNumId w:val="78"/>
  </w:num>
  <w:num w:numId="426">
    <w:abstractNumId w:val="393"/>
  </w:num>
  <w:num w:numId="427">
    <w:abstractNumId w:val="478"/>
  </w:num>
  <w:num w:numId="428">
    <w:abstractNumId w:val="492"/>
  </w:num>
  <w:num w:numId="429">
    <w:abstractNumId w:val="500"/>
  </w:num>
  <w:num w:numId="430">
    <w:abstractNumId w:val="388"/>
  </w:num>
  <w:num w:numId="431">
    <w:abstractNumId w:val="60"/>
  </w:num>
  <w:num w:numId="432">
    <w:abstractNumId w:val="414"/>
  </w:num>
  <w:num w:numId="433">
    <w:abstractNumId w:val="495"/>
  </w:num>
  <w:num w:numId="434">
    <w:abstractNumId w:val="452"/>
  </w:num>
  <w:num w:numId="435">
    <w:abstractNumId w:val="294"/>
  </w:num>
  <w:num w:numId="436">
    <w:abstractNumId w:val="47"/>
  </w:num>
  <w:num w:numId="437">
    <w:abstractNumId w:val="207"/>
  </w:num>
  <w:num w:numId="438">
    <w:abstractNumId w:val="216"/>
  </w:num>
  <w:num w:numId="439">
    <w:abstractNumId w:val="424"/>
  </w:num>
  <w:num w:numId="440">
    <w:abstractNumId w:val="431"/>
  </w:num>
  <w:num w:numId="441">
    <w:abstractNumId w:val="364"/>
  </w:num>
  <w:num w:numId="442">
    <w:abstractNumId w:val="39"/>
  </w:num>
  <w:num w:numId="443">
    <w:abstractNumId w:val="86"/>
  </w:num>
  <w:num w:numId="444">
    <w:abstractNumId w:val="264"/>
  </w:num>
  <w:num w:numId="445">
    <w:abstractNumId w:val="181"/>
  </w:num>
  <w:num w:numId="446">
    <w:abstractNumId w:val="198"/>
  </w:num>
  <w:num w:numId="447">
    <w:abstractNumId w:val="269"/>
  </w:num>
  <w:num w:numId="448">
    <w:abstractNumId w:val="344"/>
  </w:num>
  <w:num w:numId="449">
    <w:abstractNumId w:val="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abstractNumId w:val="231"/>
  </w:num>
  <w:num w:numId="451">
    <w:abstractNumId w:val="49"/>
  </w:num>
  <w:num w:numId="452">
    <w:abstractNumId w:val="29"/>
  </w:num>
  <w:num w:numId="453">
    <w:abstractNumId w:val="395"/>
  </w:num>
  <w:num w:numId="454">
    <w:abstractNumId w:val="104"/>
  </w:num>
  <w:num w:numId="455">
    <w:abstractNumId w:val="346"/>
  </w:num>
  <w:num w:numId="456">
    <w:abstractNumId w:val="97"/>
  </w:num>
  <w:num w:numId="457">
    <w:abstractNumId w:val="135"/>
  </w:num>
  <w:num w:numId="458">
    <w:abstractNumId w:val="272"/>
  </w:num>
  <w:num w:numId="459">
    <w:abstractNumId w:val="46"/>
  </w:num>
  <w:num w:numId="460">
    <w:abstractNumId w:val="352"/>
  </w:num>
  <w:num w:numId="461">
    <w:abstractNumId w:val="27"/>
  </w:num>
  <w:num w:numId="462">
    <w:abstractNumId w:val="58"/>
  </w:num>
  <w:num w:numId="463">
    <w:abstractNumId w:val="334"/>
  </w:num>
  <w:num w:numId="464">
    <w:abstractNumId w:val="56"/>
  </w:num>
  <w:num w:numId="465">
    <w:abstractNumId w:val="391"/>
  </w:num>
  <w:num w:numId="466">
    <w:abstractNumId w:val="83"/>
  </w:num>
  <w:num w:numId="467">
    <w:abstractNumId w:val="204"/>
  </w:num>
  <w:num w:numId="468">
    <w:abstractNumId w:val="467"/>
  </w:num>
  <w:num w:numId="469">
    <w:abstractNumId w:val="302"/>
  </w:num>
  <w:num w:numId="470">
    <w:abstractNumId w:val="409"/>
  </w:num>
  <w:num w:numId="471">
    <w:abstractNumId w:val="397"/>
  </w:num>
  <w:num w:numId="472">
    <w:abstractNumId w:val="11"/>
  </w:num>
  <w:num w:numId="473">
    <w:abstractNumId w:val="193"/>
  </w:num>
  <w:num w:numId="474">
    <w:abstractNumId w:val="262"/>
  </w:num>
  <w:num w:numId="475">
    <w:abstractNumId w:val="328"/>
  </w:num>
  <w:num w:numId="476">
    <w:abstractNumId w:val="350"/>
  </w:num>
  <w:num w:numId="477">
    <w:abstractNumId w:val="281"/>
  </w:num>
  <w:num w:numId="478">
    <w:abstractNumId w:val="484"/>
  </w:num>
  <w:num w:numId="479">
    <w:abstractNumId w:val="74"/>
  </w:num>
  <w:num w:numId="480">
    <w:abstractNumId w:val="1"/>
  </w:num>
  <w:num w:numId="481">
    <w:abstractNumId w:val="382"/>
  </w:num>
  <w:num w:numId="482">
    <w:abstractNumId w:val="407"/>
  </w:num>
  <w:num w:numId="483">
    <w:abstractNumId w:val="260"/>
  </w:num>
  <w:num w:numId="484">
    <w:abstractNumId w:val="368"/>
  </w:num>
  <w:num w:numId="485">
    <w:abstractNumId w:val="221"/>
  </w:num>
  <w:num w:numId="486">
    <w:abstractNumId w:val="51"/>
  </w:num>
  <w:num w:numId="487">
    <w:abstractNumId w:val="469"/>
  </w:num>
  <w:num w:numId="488">
    <w:abstractNumId w:val="178"/>
  </w:num>
  <w:num w:numId="489">
    <w:abstractNumId w:val="127"/>
  </w:num>
  <w:num w:numId="490">
    <w:abstractNumId w:val="210"/>
  </w:num>
  <w:num w:numId="491">
    <w:abstractNumId w:val="402"/>
  </w:num>
  <w:num w:numId="492">
    <w:abstractNumId w:val="275"/>
  </w:num>
  <w:num w:numId="493">
    <w:abstractNumId w:val="369"/>
  </w:num>
  <w:num w:numId="494">
    <w:abstractNumId w:val="160"/>
  </w:num>
  <w:num w:numId="495">
    <w:abstractNumId w:val="31"/>
  </w:num>
  <w:num w:numId="496">
    <w:abstractNumId w:val="428"/>
  </w:num>
  <w:num w:numId="497">
    <w:abstractNumId w:val="85"/>
  </w:num>
  <w:num w:numId="498">
    <w:abstractNumId w:val="25"/>
  </w:num>
  <w:num w:numId="499">
    <w:abstractNumId w:val="246"/>
  </w:num>
  <w:num w:numId="500">
    <w:abstractNumId w:val="341"/>
  </w:num>
  <w:num w:numId="501">
    <w:abstractNumId w:val="66"/>
  </w:num>
  <w:num w:numId="502">
    <w:abstractNumId w:val="429"/>
  </w:num>
  <w:num w:numId="503">
    <w:abstractNumId w:val="220"/>
  </w:num>
  <w:num w:numId="504">
    <w:abstractNumId w:val="354"/>
  </w:num>
  <w:num w:numId="505">
    <w:abstractNumId w:val="131"/>
  </w:num>
  <w:num w:numId="506">
    <w:abstractNumId w:val="9"/>
  </w:num>
  <w:num w:numId="507">
    <w:abstractNumId w:val="188"/>
  </w:num>
  <w:num w:numId="508">
    <w:abstractNumId w:val="317"/>
  </w:num>
  <w:num w:numId="509">
    <w:abstractNumId w:val="88"/>
  </w:num>
  <w:num w:numId="510">
    <w:abstractNumId w:val="229"/>
  </w:num>
  <w:num w:numId="511">
    <w:abstractNumId w:val="405"/>
  </w:num>
  <w:num w:numId="512">
    <w:abstractNumId w:val="314"/>
  </w:num>
  <w:num w:numId="513">
    <w:abstractNumId w:val="362"/>
  </w:num>
  <w:num w:numId="514">
    <w:abstractNumId w:val="473"/>
  </w:num>
  <w:num w:numId="515">
    <w:abstractNumId w:val="163"/>
  </w:num>
  <w:num w:numId="516">
    <w:abstractNumId w:val="179"/>
  </w:num>
  <w:num w:numId="51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abstractNumId w:val="360"/>
  </w:num>
  <w:num w:numId="519">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abstractNumId w:val="4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AD6"/>
    <w:rsid w:val="00015077"/>
    <w:rsid w:val="000326CA"/>
    <w:rsid w:val="000B3115"/>
    <w:rsid w:val="000C3F90"/>
    <w:rsid w:val="000C79FF"/>
    <w:rsid w:val="00107E2A"/>
    <w:rsid w:val="00143C73"/>
    <w:rsid w:val="00154773"/>
    <w:rsid w:val="00160F10"/>
    <w:rsid w:val="0017146B"/>
    <w:rsid w:val="00172B65"/>
    <w:rsid w:val="00192301"/>
    <w:rsid w:val="001F6D5D"/>
    <w:rsid w:val="00232EB0"/>
    <w:rsid w:val="00235879"/>
    <w:rsid w:val="0026110E"/>
    <w:rsid w:val="002858FC"/>
    <w:rsid w:val="002A5DA6"/>
    <w:rsid w:val="002B2CAB"/>
    <w:rsid w:val="002F62E8"/>
    <w:rsid w:val="00365399"/>
    <w:rsid w:val="003715AF"/>
    <w:rsid w:val="003F5E5F"/>
    <w:rsid w:val="00430AD6"/>
    <w:rsid w:val="004440EB"/>
    <w:rsid w:val="0047116E"/>
    <w:rsid w:val="004B3CF2"/>
    <w:rsid w:val="004F78EE"/>
    <w:rsid w:val="00514E01"/>
    <w:rsid w:val="00530B14"/>
    <w:rsid w:val="0053423A"/>
    <w:rsid w:val="00615BBB"/>
    <w:rsid w:val="00626D24"/>
    <w:rsid w:val="0068680D"/>
    <w:rsid w:val="00696743"/>
    <w:rsid w:val="006B0618"/>
    <w:rsid w:val="006B390D"/>
    <w:rsid w:val="006D2AD6"/>
    <w:rsid w:val="006E4A0D"/>
    <w:rsid w:val="0073408B"/>
    <w:rsid w:val="0075771A"/>
    <w:rsid w:val="00764E6F"/>
    <w:rsid w:val="007847C1"/>
    <w:rsid w:val="00795500"/>
    <w:rsid w:val="007B71C6"/>
    <w:rsid w:val="007F04C4"/>
    <w:rsid w:val="00810C98"/>
    <w:rsid w:val="00844C90"/>
    <w:rsid w:val="0084615D"/>
    <w:rsid w:val="00855F3D"/>
    <w:rsid w:val="008A3C69"/>
    <w:rsid w:val="008A5F9D"/>
    <w:rsid w:val="008B3845"/>
    <w:rsid w:val="008F7453"/>
    <w:rsid w:val="0092791F"/>
    <w:rsid w:val="00955F0E"/>
    <w:rsid w:val="00967373"/>
    <w:rsid w:val="00976405"/>
    <w:rsid w:val="00980B4B"/>
    <w:rsid w:val="009843B0"/>
    <w:rsid w:val="00A41113"/>
    <w:rsid w:val="00A67858"/>
    <w:rsid w:val="00A67B6B"/>
    <w:rsid w:val="00AA3B20"/>
    <w:rsid w:val="00B009C2"/>
    <w:rsid w:val="00B15656"/>
    <w:rsid w:val="00B770E8"/>
    <w:rsid w:val="00BB45FD"/>
    <w:rsid w:val="00BC61ED"/>
    <w:rsid w:val="00BD179D"/>
    <w:rsid w:val="00BD3F8A"/>
    <w:rsid w:val="00C26C87"/>
    <w:rsid w:val="00CA7621"/>
    <w:rsid w:val="00CB7463"/>
    <w:rsid w:val="00CE4992"/>
    <w:rsid w:val="00CE551D"/>
    <w:rsid w:val="00CF7D0F"/>
    <w:rsid w:val="00D127B2"/>
    <w:rsid w:val="00D54135"/>
    <w:rsid w:val="00D67A7D"/>
    <w:rsid w:val="00D75F05"/>
    <w:rsid w:val="00DE2EFA"/>
    <w:rsid w:val="00E03CA1"/>
    <w:rsid w:val="00E84AE9"/>
    <w:rsid w:val="00E85F40"/>
    <w:rsid w:val="00EA04A5"/>
    <w:rsid w:val="00EF392F"/>
    <w:rsid w:val="00F134F6"/>
    <w:rsid w:val="00F617D5"/>
    <w:rsid w:val="00FD1D5C"/>
    <w:rsid w:val="00FD31F7"/>
    <w:rsid w:val="00FF6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792ED3-55AC-4B46-8470-A1072F2F8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1F7"/>
    <w:rPr>
      <w:rFonts w:ascii="GHEA Grapalat" w:hAnsi="GHEA Grapalat"/>
    </w:rPr>
  </w:style>
  <w:style w:type="paragraph" w:styleId="Heading1">
    <w:name w:val="heading 1"/>
    <w:basedOn w:val="Normal"/>
    <w:link w:val="Heading1Char"/>
    <w:qFormat/>
    <w:rsid w:val="00764E6F"/>
    <w:pPr>
      <w:spacing w:before="100" w:beforeAutospacing="1" w:after="100" w:afterAutospacing="1" w:line="240" w:lineRule="auto"/>
      <w:jc w:val="center"/>
      <w:outlineLvl w:val="0"/>
    </w:pPr>
    <w:rPr>
      <w:rFonts w:ascii="Times New Roman" w:eastAsia="Times New Roman" w:hAnsi="Times New Roman" w:cs="Times New Roman"/>
      <w:b/>
      <w:bCs/>
      <w:kern w:val="36"/>
      <w:sz w:val="36"/>
      <w:szCs w:val="36"/>
      <w:lang w:val="x-none" w:eastAsia="x-none"/>
    </w:rPr>
  </w:style>
  <w:style w:type="paragraph" w:styleId="Heading2">
    <w:name w:val="heading 2"/>
    <w:basedOn w:val="Normal"/>
    <w:link w:val="Heading2Char"/>
    <w:qFormat/>
    <w:rsid w:val="00764E6F"/>
    <w:pPr>
      <w:spacing w:before="100" w:beforeAutospacing="1" w:after="100" w:afterAutospacing="1" w:line="240" w:lineRule="auto"/>
      <w:jc w:val="center"/>
      <w:outlineLvl w:val="1"/>
    </w:pPr>
    <w:rPr>
      <w:rFonts w:ascii="Times New Roman" w:eastAsia="Times New Roman" w:hAnsi="Times New Roman" w:cs="Times New Roman"/>
      <w:b/>
      <w:bCs/>
      <w:i/>
      <w:iCs/>
      <w:sz w:val="27"/>
      <w:szCs w:val="27"/>
      <w:lang w:val="x-none" w:eastAsia="x-none"/>
    </w:rPr>
  </w:style>
  <w:style w:type="paragraph" w:styleId="Heading3">
    <w:name w:val="heading 3"/>
    <w:basedOn w:val="Normal"/>
    <w:link w:val="Heading3Char"/>
    <w:qFormat/>
    <w:rsid w:val="00764E6F"/>
    <w:pPr>
      <w:spacing w:before="100" w:beforeAutospacing="1" w:after="100" w:afterAutospacing="1" w:line="240" w:lineRule="auto"/>
      <w:outlineLvl w:val="2"/>
    </w:pPr>
    <w:rPr>
      <w:rFonts w:ascii="Times New Roman" w:eastAsia="Times New Roman" w:hAnsi="Times New Roman" w:cs="Times New Roman"/>
      <w:b/>
      <w:bCs/>
      <w:i/>
      <w:iCs/>
      <w:sz w:val="27"/>
      <w:szCs w:val="27"/>
      <w:lang w:val="x-none" w:eastAsia="x-none"/>
    </w:rPr>
  </w:style>
  <w:style w:type="paragraph" w:styleId="Heading4">
    <w:name w:val="heading 4"/>
    <w:basedOn w:val="Normal"/>
    <w:link w:val="Heading4Char"/>
    <w:qFormat/>
    <w:rsid w:val="00764E6F"/>
    <w:pPr>
      <w:spacing w:before="100" w:beforeAutospacing="1" w:after="100" w:afterAutospacing="1" w:line="240" w:lineRule="auto"/>
      <w:outlineLvl w:val="3"/>
    </w:pPr>
    <w:rPr>
      <w:rFonts w:ascii="Times New Roman" w:eastAsia="Times New Roman" w:hAnsi="Times New Roman" w:cs="Times New Roman"/>
      <w:b/>
      <w:bCs/>
      <w:caps/>
      <w:sz w:val="24"/>
      <w:szCs w:val="24"/>
      <w:lang w:val="x-none" w:eastAsia="x-none"/>
    </w:rPr>
  </w:style>
  <w:style w:type="paragraph" w:styleId="Heading5">
    <w:name w:val="heading 5"/>
    <w:basedOn w:val="Normal"/>
    <w:next w:val="Normal"/>
    <w:link w:val="Heading5Char"/>
    <w:semiHidden/>
    <w:unhideWhenUsed/>
    <w:qFormat/>
    <w:rsid w:val="00154773"/>
    <w:pPr>
      <w:spacing w:before="240" w:after="60" w:line="240" w:lineRule="auto"/>
      <w:outlineLvl w:val="4"/>
    </w:pPr>
    <w:rPr>
      <w:rFonts w:ascii="Calibri" w:eastAsia="Times New Roman" w:hAnsi="Calibri" w:cs="Times New Roman"/>
      <w:b/>
      <w:bCs/>
      <w:i/>
      <w:iCs/>
      <w:sz w:val="26"/>
      <w:szCs w:val="2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4E6F"/>
    <w:rPr>
      <w:rFonts w:ascii="Times New Roman" w:eastAsia="Times New Roman" w:hAnsi="Times New Roman" w:cs="Times New Roman"/>
      <w:b/>
      <w:bCs/>
      <w:kern w:val="36"/>
      <w:sz w:val="36"/>
      <w:szCs w:val="36"/>
      <w:lang w:val="x-none" w:eastAsia="x-none"/>
    </w:rPr>
  </w:style>
  <w:style w:type="character" w:customStyle="1" w:styleId="Heading2Char">
    <w:name w:val="Heading 2 Char"/>
    <w:basedOn w:val="DefaultParagraphFont"/>
    <w:link w:val="Heading2"/>
    <w:rsid w:val="00764E6F"/>
    <w:rPr>
      <w:rFonts w:ascii="Times New Roman" w:eastAsia="Times New Roman" w:hAnsi="Times New Roman" w:cs="Times New Roman"/>
      <w:b/>
      <w:bCs/>
      <w:i/>
      <w:iCs/>
      <w:sz w:val="27"/>
      <w:szCs w:val="27"/>
      <w:lang w:val="x-none" w:eastAsia="x-none"/>
    </w:rPr>
  </w:style>
  <w:style w:type="character" w:customStyle="1" w:styleId="Heading3Char">
    <w:name w:val="Heading 3 Char"/>
    <w:basedOn w:val="DefaultParagraphFont"/>
    <w:link w:val="Heading3"/>
    <w:rsid w:val="00764E6F"/>
    <w:rPr>
      <w:rFonts w:ascii="Times New Roman" w:eastAsia="Times New Roman" w:hAnsi="Times New Roman" w:cs="Times New Roman"/>
      <w:b/>
      <w:bCs/>
      <w:i/>
      <w:iCs/>
      <w:sz w:val="27"/>
      <w:szCs w:val="27"/>
      <w:lang w:val="x-none" w:eastAsia="x-none"/>
    </w:rPr>
  </w:style>
  <w:style w:type="character" w:customStyle="1" w:styleId="Heading4Char">
    <w:name w:val="Heading 4 Char"/>
    <w:basedOn w:val="DefaultParagraphFont"/>
    <w:link w:val="Heading4"/>
    <w:rsid w:val="00764E6F"/>
    <w:rPr>
      <w:rFonts w:ascii="Times New Roman" w:eastAsia="Times New Roman" w:hAnsi="Times New Roman" w:cs="Times New Roman"/>
      <w:b/>
      <w:bCs/>
      <w:caps/>
      <w:sz w:val="24"/>
      <w:szCs w:val="24"/>
      <w:lang w:val="x-none" w:eastAsia="x-none"/>
    </w:rPr>
  </w:style>
  <w:style w:type="numbering" w:customStyle="1" w:styleId="NoList1">
    <w:name w:val="No List1"/>
    <w:next w:val="NoList"/>
    <w:uiPriority w:val="99"/>
    <w:semiHidden/>
    <w:unhideWhenUsed/>
    <w:rsid w:val="00764E6F"/>
  </w:style>
  <w:style w:type="paragraph" w:styleId="Header">
    <w:name w:val="header"/>
    <w:aliases w:val="h,Header Char Char Char Char,Header Char Char Char,Header Char Char"/>
    <w:basedOn w:val="Normal"/>
    <w:link w:val="HeaderChar"/>
    <w:rsid w:val="00764E6F"/>
    <w:pPr>
      <w:tabs>
        <w:tab w:val="center" w:pos="4320"/>
        <w:tab w:val="right" w:pos="8640"/>
      </w:tabs>
      <w:spacing w:after="0" w:line="240" w:lineRule="auto"/>
    </w:pPr>
    <w:rPr>
      <w:rFonts w:ascii="Arial Armenian" w:eastAsia="Times New Roman" w:hAnsi="Arial Armenian" w:cs="Times New Roman"/>
      <w:sz w:val="20"/>
      <w:szCs w:val="20"/>
      <w:lang w:eastAsia="ru-RU"/>
    </w:rPr>
  </w:style>
  <w:style w:type="character" w:customStyle="1" w:styleId="HeaderChar">
    <w:name w:val="Header Char"/>
    <w:aliases w:val="h Char,Header Char Char Char Char Char,Header Char Char Char Char1,Header Char Char Char1"/>
    <w:basedOn w:val="DefaultParagraphFont"/>
    <w:link w:val="Header"/>
    <w:rsid w:val="00764E6F"/>
    <w:rPr>
      <w:rFonts w:ascii="Arial Armenian" w:eastAsia="Times New Roman" w:hAnsi="Arial Armenian" w:cs="Times New Roman"/>
      <w:sz w:val="20"/>
      <w:szCs w:val="20"/>
      <w:lang w:eastAsia="ru-RU"/>
    </w:rPr>
  </w:style>
  <w:style w:type="paragraph" w:styleId="Footer">
    <w:name w:val="footer"/>
    <w:basedOn w:val="Normal"/>
    <w:link w:val="FooterChar"/>
    <w:rsid w:val="00764E6F"/>
    <w:pPr>
      <w:tabs>
        <w:tab w:val="center" w:pos="4320"/>
        <w:tab w:val="right" w:pos="8640"/>
      </w:tabs>
      <w:spacing w:after="0" w:line="240" w:lineRule="auto"/>
    </w:pPr>
    <w:rPr>
      <w:rFonts w:ascii="Arial Armenian" w:eastAsia="Times New Roman" w:hAnsi="Arial Armenian" w:cs="Times New Roman"/>
      <w:sz w:val="20"/>
      <w:szCs w:val="20"/>
      <w:lang w:eastAsia="ru-RU"/>
    </w:rPr>
  </w:style>
  <w:style w:type="character" w:customStyle="1" w:styleId="FooterChar">
    <w:name w:val="Footer Char"/>
    <w:basedOn w:val="DefaultParagraphFont"/>
    <w:link w:val="Footer"/>
    <w:rsid w:val="00764E6F"/>
    <w:rPr>
      <w:rFonts w:ascii="Arial Armenian" w:eastAsia="Times New Roman" w:hAnsi="Arial Armenian" w:cs="Times New Roman"/>
      <w:sz w:val="20"/>
      <w:szCs w:val="20"/>
      <w:lang w:eastAsia="ru-RU"/>
    </w:rPr>
  </w:style>
  <w:style w:type="character" w:styleId="PageNumber">
    <w:name w:val="page number"/>
    <w:basedOn w:val="DefaultParagraphFont"/>
    <w:rsid w:val="00764E6F"/>
  </w:style>
  <w:style w:type="paragraph" w:customStyle="1" w:styleId="norm">
    <w:name w:val="norm"/>
    <w:basedOn w:val="Normal"/>
    <w:link w:val="normChar"/>
    <w:qFormat/>
    <w:rsid w:val="00764E6F"/>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link w:val="norm"/>
    <w:locked/>
    <w:rsid w:val="00764E6F"/>
    <w:rPr>
      <w:rFonts w:ascii="Arial Armenian" w:eastAsia="Times New Roman" w:hAnsi="Arial Armenian" w:cs="Times New Roman"/>
      <w:szCs w:val="20"/>
      <w:lang w:eastAsia="ru-RU"/>
    </w:rPr>
  </w:style>
  <w:style w:type="paragraph" w:customStyle="1" w:styleId="mechtex">
    <w:name w:val="mechtex"/>
    <w:basedOn w:val="Normal"/>
    <w:link w:val="mechtexChar"/>
    <w:qFormat/>
    <w:rsid w:val="00764E6F"/>
    <w:pPr>
      <w:spacing w:after="0" w:line="240" w:lineRule="auto"/>
      <w:jc w:val="center"/>
    </w:pPr>
    <w:rPr>
      <w:rFonts w:ascii="Arial Armenian" w:eastAsia="Times New Roman" w:hAnsi="Arial Armenian" w:cs="Times New Roman"/>
      <w:szCs w:val="20"/>
      <w:lang w:eastAsia="ru-RU"/>
    </w:rPr>
  </w:style>
  <w:style w:type="character" w:customStyle="1" w:styleId="mechtexChar">
    <w:name w:val="mechtex Char"/>
    <w:link w:val="mechtex"/>
    <w:rsid w:val="00764E6F"/>
    <w:rPr>
      <w:rFonts w:ascii="Arial Armenian" w:eastAsia="Times New Roman" w:hAnsi="Arial Armenian" w:cs="Times New Roman"/>
      <w:szCs w:val="20"/>
      <w:lang w:eastAsia="ru-RU"/>
    </w:rPr>
  </w:style>
  <w:style w:type="paragraph" w:customStyle="1" w:styleId="Style15">
    <w:name w:val="Style1.5"/>
    <w:basedOn w:val="Normal"/>
    <w:rsid w:val="00764E6F"/>
    <w:pPr>
      <w:spacing w:after="0" w:line="360" w:lineRule="auto"/>
      <w:ind w:firstLine="709"/>
      <w:jc w:val="both"/>
    </w:pPr>
    <w:rPr>
      <w:rFonts w:ascii="Arial Armenian" w:eastAsia="Times New Roman" w:hAnsi="Arial Armenian" w:cs="Times New Roman"/>
      <w:szCs w:val="20"/>
      <w:lang w:eastAsia="ru-RU"/>
    </w:rPr>
  </w:style>
  <w:style w:type="paragraph" w:customStyle="1" w:styleId="Style1">
    <w:name w:val="Style1"/>
    <w:basedOn w:val="mechtex"/>
    <w:rsid w:val="00764E6F"/>
    <w:pPr>
      <w:jc w:val="both"/>
    </w:pPr>
  </w:style>
  <w:style w:type="paragraph" w:customStyle="1" w:styleId="russtyle">
    <w:name w:val="russtyle"/>
    <w:basedOn w:val="Normal"/>
    <w:rsid w:val="00764E6F"/>
    <w:pPr>
      <w:spacing w:after="0" w:line="240" w:lineRule="auto"/>
    </w:pPr>
    <w:rPr>
      <w:rFonts w:ascii="Russian Baltica" w:eastAsia="Times New Roman" w:hAnsi="Russian Baltica" w:cs="Times New Roman"/>
      <w:szCs w:val="20"/>
      <w:lang w:eastAsia="ru-RU"/>
    </w:rPr>
  </w:style>
  <w:style w:type="paragraph" w:customStyle="1" w:styleId="Style2">
    <w:name w:val="Style2"/>
    <w:basedOn w:val="mechtex"/>
    <w:rsid w:val="00764E6F"/>
    <w:rPr>
      <w:w w:val="90"/>
    </w:rPr>
  </w:style>
  <w:style w:type="paragraph" w:customStyle="1" w:styleId="Style3">
    <w:name w:val="Style3"/>
    <w:basedOn w:val="mechtex"/>
    <w:rsid w:val="00764E6F"/>
    <w:rPr>
      <w:w w:val="90"/>
    </w:rPr>
  </w:style>
  <w:style w:type="paragraph" w:customStyle="1" w:styleId="Style6">
    <w:name w:val="Style6"/>
    <w:basedOn w:val="mechtex"/>
    <w:rsid w:val="00764E6F"/>
  </w:style>
  <w:style w:type="character" w:styleId="Hyperlink">
    <w:name w:val="Hyperlink"/>
    <w:uiPriority w:val="99"/>
    <w:unhideWhenUsed/>
    <w:rsid w:val="00764E6F"/>
    <w:rPr>
      <w:color w:val="0000FF"/>
      <w:u w:val="single"/>
    </w:rPr>
  </w:style>
  <w:style w:type="paragraph" w:styleId="HTMLPreformatted">
    <w:name w:val="HTML Preformatted"/>
    <w:basedOn w:val="Normal"/>
    <w:link w:val="HTMLPreformattedChar"/>
    <w:unhideWhenUsed/>
    <w:rsid w:val="0076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Times New Roman"/>
      <w:sz w:val="20"/>
      <w:szCs w:val="20"/>
      <w:lang w:val="x-none" w:eastAsia="x-none"/>
    </w:rPr>
  </w:style>
  <w:style w:type="character" w:customStyle="1" w:styleId="HTMLPreformattedChar">
    <w:name w:val="HTML Preformatted Char"/>
    <w:basedOn w:val="DefaultParagraphFont"/>
    <w:link w:val="HTMLPreformatted"/>
    <w:rsid w:val="00764E6F"/>
    <w:rPr>
      <w:rFonts w:ascii="Arial Unicode" w:eastAsia="Times New Roman" w:hAnsi="Arial Unicode" w:cs="Times New Roman"/>
      <w:sz w:val="20"/>
      <w:szCs w:val="20"/>
      <w:lang w:val="x-none" w:eastAsia="x-none"/>
    </w:rPr>
  </w:style>
  <w:style w:type="paragraph" w:customStyle="1" w:styleId="design">
    <w:name w:val="design"/>
    <w:basedOn w:val="Normal"/>
    <w:rsid w:val="00764E6F"/>
    <w:pPr>
      <w:shd w:val="clear" w:color="auto" w:fill="F6F6F6"/>
      <w:spacing w:before="100" w:beforeAutospacing="1" w:after="100" w:afterAutospacing="1" w:line="240" w:lineRule="auto"/>
    </w:pPr>
    <w:rPr>
      <w:rFonts w:ascii="Times New Roman" w:eastAsia="Times New Roman" w:hAnsi="Times New Roman" w:cs="Times New Roman"/>
      <w:b/>
      <w:bCs/>
      <w:i/>
      <w:iCs/>
      <w:color w:val="545454"/>
      <w:sz w:val="21"/>
      <w:szCs w:val="21"/>
    </w:rPr>
  </w:style>
  <w:style w:type="paragraph" w:customStyle="1" w:styleId="diz">
    <w:name w:val="diz"/>
    <w:basedOn w:val="Normal"/>
    <w:rsid w:val="00764E6F"/>
    <w:pPr>
      <w:shd w:val="clear" w:color="auto" w:fill="F6F6F6"/>
      <w:spacing w:before="100" w:beforeAutospacing="1" w:after="100" w:afterAutospacing="1" w:line="240" w:lineRule="auto"/>
    </w:pPr>
    <w:rPr>
      <w:rFonts w:ascii="Times New Roman" w:eastAsia="Times New Roman" w:hAnsi="Times New Roman" w:cs="Times New Roman"/>
      <w:b/>
      <w:bCs/>
      <w:color w:val="545454"/>
      <w:sz w:val="21"/>
      <w:szCs w:val="21"/>
    </w:rPr>
  </w:style>
  <w:style w:type="paragraph" w:customStyle="1" w:styleId="diz1">
    <w:name w:val="diz1"/>
    <w:basedOn w:val="Normal"/>
    <w:rsid w:val="00764E6F"/>
    <w:pPr>
      <w:shd w:val="clear" w:color="auto" w:fill="F6F6F6"/>
      <w:spacing w:before="100" w:beforeAutospacing="1" w:after="100" w:afterAutospacing="1" w:line="240" w:lineRule="auto"/>
    </w:pPr>
    <w:rPr>
      <w:rFonts w:ascii="Times New Roman" w:eastAsia="Times New Roman" w:hAnsi="Times New Roman" w:cs="Times New Roman"/>
      <w:b/>
      <w:bCs/>
      <w:color w:val="545454"/>
      <w:sz w:val="24"/>
      <w:szCs w:val="24"/>
    </w:rPr>
  </w:style>
  <w:style w:type="paragraph" w:customStyle="1" w:styleId="diz2">
    <w:name w:val="diz2"/>
    <w:basedOn w:val="Normal"/>
    <w:rsid w:val="00764E6F"/>
    <w:pPr>
      <w:shd w:val="clear" w:color="auto" w:fill="F6F6F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hide">
    <w:name w:val="showhide"/>
    <w:basedOn w:val="Normal"/>
    <w:rsid w:val="00764E6F"/>
    <w:pPr>
      <w:spacing w:before="100" w:beforeAutospacing="1" w:after="100" w:afterAutospacing="1" w:line="240" w:lineRule="auto"/>
    </w:pPr>
    <w:rPr>
      <w:rFonts w:ascii="Times New Roman" w:eastAsia="Times New Roman" w:hAnsi="Times New Roman" w:cs="Times New Roman"/>
      <w:b/>
      <w:bCs/>
      <w:color w:val="000000"/>
      <w:sz w:val="21"/>
      <w:szCs w:val="21"/>
      <w:u w:val="single"/>
    </w:rPr>
  </w:style>
  <w:style w:type="paragraph" w:customStyle="1" w:styleId="hilite">
    <w:name w:val="hilite"/>
    <w:basedOn w:val="Normal"/>
    <w:rsid w:val="00764E6F"/>
    <w:pPr>
      <w:shd w:val="clear" w:color="auto" w:fill="0A246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argin">
    <w:name w:val="margin"/>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ding">
    <w:name w:val="nopadding"/>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rsid w:val="00764E6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doubleborder">
    <w:name w:val="doubleborder"/>
    <w:basedOn w:val="Normal"/>
    <w:rsid w:val="00764E6F"/>
    <w:pPr>
      <w:spacing w:before="750" w:after="100" w:afterAutospacing="1" w:line="240" w:lineRule="auto"/>
    </w:pPr>
    <w:rPr>
      <w:rFonts w:ascii="Times New Roman" w:eastAsia="Times New Roman" w:hAnsi="Times New Roman" w:cs="Times New Roman"/>
      <w:sz w:val="24"/>
      <w:szCs w:val="24"/>
    </w:rPr>
  </w:style>
  <w:style w:type="paragraph" w:customStyle="1" w:styleId="quantity">
    <w:name w:val="quantity"/>
    <w:basedOn w:val="Normal"/>
    <w:rsid w:val="00764E6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ame">
    <w:name w:val="frame"/>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body">
    <w:name w:val="framebody"/>
    <w:basedOn w:val="Normal"/>
    <w:rsid w:val="00764E6F"/>
    <w:pPr>
      <w:spacing w:before="100" w:beforeAutospacing="1" w:after="100" w:afterAutospacing="1" w:line="240" w:lineRule="auto"/>
      <w:ind w:right="-15"/>
    </w:pPr>
    <w:rPr>
      <w:rFonts w:ascii="Times New Roman" w:eastAsia="Times New Roman" w:hAnsi="Times New Roman" w:cs="Times New Roman"/>
      <w:sz w:val="24"/>
      <w:szCs w:val="24"/>
    </w:rPr>
  </w:style>
  <w:style w:type="paragraph" w:customStyle="1" w:styleId="frametitle">
    <w:name w:val="frametitle"/>
    <w:basedOn w:val="Normal"/>
    <w:rsid w:val="00764E6F"/>
    <w:pPr>
      <w:spacing w:after="0" w:line="240" w:lineRule="auto"/>
      <w:ind w:left="15" w:right="15"/>
      <w:jc w:val="center"/>
    </w:pPr>
    <w:rPr>
      <w:rFonts w:ascii="Times New Roman" w:eastAsia="Times New Roman" w:hAnsi="Times New Roman" w:cs="Times New Roman"/>
      <w:b/>
      <w:bCs/>
      <w:spacing w:val="45"/>
      <w:sz w:val="23"/>
      <w:szCs w:val="23"/>
    </w:rPr>
  </w:style>
  <w:style w:type="paragraph" w:customStyle="1" w:styleId="main">
    <w:name w:val="main"/>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width">
    <w:name w:val="min-width"/>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Normal"/>
    <w:rsid w:val="00764E6F"/>
    <w:pPr>
      <w:spacing w:before="300" w:after="300" w:line="240" w:lineRule="auto"/>
      <w:ind w:left="1224" w:right="1224"/>
    </w:pPr>
    <w:rPr>
      <w:rFonts w:ascii="Times New Roman" w:eastAsia="Times New Roman" w:hAnsi="Times New Roman" w:cs="Times New Roman"/>
      <w:sz w:val="24"/>
      <w:szCs w:val="24"/>
    </w:rPr>
  </w:style>
  <w:style w:type="paragraph" w:customStyle="1" w:styleId="logobar">
    <w:name w:val="logobar"/>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rsid w:val="00764E6F"/>
    <w:pPr>
      <w:shd w:val="clear" w:color="auto" w:fill="507DA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head">
    <w:name w:val="mainhead"/>
    <w:basedOn w:val="Normal"/>
    <w:rsid w:val="00764E6F"/>
    <w:pPr>
      <w:spacing w:before="100" w:beforeAutospacing="1" w:after="100" w:afterAutospacing="1" w:line="240" w:lineRule="auto"/>
    </w:pPr>
    <w:rPr>
      <w:rFonts w:ascii="Sylfaen" w:eastAsia="Times New Roman" w:hAnsi="Sylfaen" w:cs="Times New Roman"/>
      <w:b/>
      <w:bCs/>
      <w:caps/>
      <w:color w:val="FFFFFF"/>
      <w:sz w:val="33"/>
      <w:szCs w:val="33"/>
    </w:rPr>
  </w:style>
  <w:style w:type="paragraph" w:customStyle="1" w:styleId="navbar">
    <w:name w:val="navbar"/>
    <w:basedOn w:val="Normal"/>
    <w:rsid w:val="00764E6F"/>
    <w:pPr>
      <w:pBdr>
        <w:bottom w:val="single" w:sz="6" w:space="0" w:color="507D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
    <w:name w:val="content"/>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
    <w:name w:val="contentwrapper"/>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column">
    <w:name w:val="contentcolumn"/>
    <w:basedOn w:val="Normal"/>
    <w:rsid w:val="00764E6F"/>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leftcolumn">
    <w:name w:val="leftcolumn"/>
    <w:basedOn w:val="Normal"/>
    <w:rsid w:val="00764E6F"/>
    <w:pPr>
      <w:spacing w:before="100" w:beforeAutospacing="1" w:after="100" w:afterAutospacing="1" w:line="240" w:lineRule="auto"/>
      <w:ind w:left="-12240"/>
    </w:pPr>
    <w:rPr>
      <w:rFonts w:ascii="Times New Roman" w:eastAsia="Times New Roman" w:hAnsi="Times New Roman" w:cs="Times New Roman"/>
      <w:sz w:val="24"/>
      <w:szCs w:val="24"/>
    </w:rPr>
  </w:style>
  <w:style w:type="paragraph" w:customStyle="1" w:styleId="rightcolumn">
    <w:name w:val="rightcolumn"/>
    <w:basedOn w:val="Normal"/>
    <w:rsid w:val="00764E6F"/>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inner">
    <w:name w:val="inner"/>
    <w:basedOn w:val="Normal"/>
    <w:rsid w:val="00764E6F"/>
    <w:pPr>
      <w:spacing w:before="300" w:after="300" w:line="240" w:lineRule="auto"/>
    </w:pPr>
    <w:rPr>
      <w:rFonts w:ascii="Times New Roman" w:eastAsia="Times New Roman" w:hAnsi="Times New Roman" w:cs="Times New Roman"/>
      <w:sz w:val="24"/>
      <w:szCs w:val="24"/>
    </w:rPr>
  </w:style>
  <w:style w:type="paragraph" w:customStyle="1" w:styleId="booksthumbs">
    <w:name w:val="booksthumbs"/>
    <w:basedOn w:val="Normal"/>
    <w:rsid w:val="00764E6F"/>
    <w:pPr>
      <w:spacing w:before="100" w:beforeAutospacing="1" w:after="100" w:afterAutospacing="1" w:line="240" w:lineRule="auto"/>
    </w:pPr>
    <w:rPr>
      <w:rFonts w:ascii="Times New Roman" w:eastAsia="Times New Roman" w:hAnsi="Times New Roman" w:cs="Times New Roman"/>
      <w:sz w:val="15"/>
      <w:szCs w:val="15"/>
    </w:rPr>
  </w:style>
  <w:style w:type="paragraph" w:customStyle="1" w:styleId="bannersblock">
    <w:name w:val="bannersblock"/>
    <w:basedOn w:val="Normal"/>
    <w:rsid w:val="00764E6F"/>
    <w:pPr>
      <w:spacing w:before="150" w:after="150" w:line="240" w:lineRule="auto"/>
      <w:ind w:left="75" w:right="75"/>
    </w:pPr>
    <w:rPr>
      <w:rFonts w:ascii="Times New Roman" w:eastAsia="Times New Roman" w:hAnsi="Times New Roman" w:cs="Times New Roman"/>
      <w:sz w:val="24"/>
      <w:szCs w:val="24"/>
    </w:rPr>
  </w:style>
  <w:style w:type="paragraph" w:customStyle="1" w:styleId="row">
    <w:name w:val="row"/>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s">
    <w:name w:val="buttons"/>
    <w:basedOn w:val="Normal"/>
    <w:rsid w:val="00764E6F"/>
    <w:pPr>
      <w:spacing w:before="300" w:after="100" w:afterAutospacing="1" w:line="240" w:lineRule="auto"/>
    </w:pPr>
    <w:rPr>
      <w:rFonts w:ascii="Times New Roman" w:eastAsia="Times New Roman" w:hAnsi="Times New Roman" w:cs="Times New Roman"/>
      <w:sz w:val="24"/>
      <w:szCs w:val="24"/>
    </w:rPr>
  </w:style>
  <w:style w:type="paragraph" w:customStyle="1" w:styleId="halfrow">
    <w:name w:val="halfrow"/>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ll">
    <w:name w:val="cell"/>
    <w:basedOn w:val="Normal"/>
    <w:rsid w:val="00764E6F"/>
    <w:pPr>
      <w:spacing w:after="75" w:line="240" w:lineRule="auto"/>
      <w:ind w:left="75" w:right="75"/>
      <w:jc w:val="center"/>
    </w:pPr>
    <w:rPr>
      <w:rFonts w:ascii="Times New Roman" w:eastAsia="Times New Roman" w:hAnsi="Times New Roman" w:cs="Times New Roman"/>
      <w:sz w:val="24"/>
      <w:szCs w:val="24"/>
    </w:rPr>
  </w:style>
  <w:style w:type="paragraph" w:customStyle="1" w:styleId="resultstable">
    <w:name w:val="resultstable"/>
    <w:basedOn w:val="Normal"/>
    <w:rsid w:val="00764E6F"/>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ocumentwrapper">
    <w:name w:val="documentwrapper"/>
    <w:basedOn w:val="Normal"/>
    <w:rsid w:val="00764E6F"/>
    <w:pPr>
      <w:spacing w:after="0" w:line="240" w:lineRule="auto"/>
    </w:pPr>
    <w:rPr>
      <w:rFonts w:ascii="Times New Roman" w:eastAsia="Times New Roman" w:hAnsi="Times New Roman" w:cs="Times New Roman"/>
      <w:sz w:val="24"/>
      <w:szCs w:val="24"/>
    </w:rPr>
  </w:style>
  <w:style w:type="paragraph" w:customStyle="1" w:styleId="documentheader">
    <w:name w:val="documentheader"/>
    <w:basedOn w:val="Normal"/>
    <w:rsid w:val="00764E6F"/>
    <w:pPr>
      <w:spacing w:before="100" w:beforeAutospacing="1" w:after="150" w:line="240" w:lineRule="auto"/>
    </w:pPr>
    <w:rPr>
      <w:rFonts w:ascii="Times New Roman" w:eastAsia="Times New Roman" w:hAnsi="Times New Roman" w:cs="Times New Roman"/>
      <w:sz w:val="24"/>
      <w:szCs w:val="24"/>
    </w:rPr>
  </w:style>
  <w:style w:type="paragraph" w:customStyle="1" w:styleId="documentbody">
    <w:name w:val="documentbody"/>
    <w:basedOn w:val="Normal"/>
    <w:rsid w:val="00764E6F"/>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tube">
    <w:name w:val="innertube"/>
    <w:basedOn w:val="Normal"/>
    <w:rsid w:val="00764E6F"/>
    <w:pPr>
      <w:spacing w:before="300" w:after="300" w:line="240" w:lineRule="auto"/>
    </w:pPr>
    <w:rPr>
      <w:rFonts w:ascii="Arial" w:eastAsia="Times New Roman" w:hAnsi="Arial" w:cs="Arial"/>
      <w:sz w:val="24"/>
      <w:szCs w:val="24"/>
    </w:rPr>
  </w:style>
  <w:style w:type="paragraph" w:customStyle="1" w:styleId="watermarkon">
    <w:name w:val="watermarkon"/>
    <w:basedOn w:val="Normal"/>
    <w:rsid w:val="00764E6F"/>
    <w:pPr>
      <w:pBdr>
        <w:top w:val="single" w:sz="6" w:space="0" w:color="BEBEBE"/>
        <w:left w:val="single" w:sz="6" w:space="0" w:color="BEBEBE"/>
        <w:bottom w:val="single" w:sz="6" w:space="0" w:color="BEBEBE"/>
        <w:right w:val="single" w:sz="6" w:space="0" w:color="BEBEBE"/>
      </w:pBdr>
      <w:spacing w:before="100" w:beforeAutospacing="1" w:after="100" w:afterAutospacing="1" w:line="240" w:lineRule="auto"/>
    </w:pPr>
    <w:rPr>
      <w:rFonts w:ascii="Times New Roman" w:eastAsia="Times New Roman" w:hAnsi="Times New Roman" w:cs="Times New Roman"/>
      <w:i/>
      <w:iCs/>
      <w:color w:val="BBBBBB"/>
      <w:sz w:val="18"/>
      <w:szCs w:val="18"/>
    </w:rPr>
  </w:style>
  <w:style w:type="paragraph" w:customStyle="1" w:styleId="framelawlist">
    <w:name w:val="framelawlist"/>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rsid w:val="00764E6F"/>
    <w:pPr>
      <w:spacing w:before="45" w:after="100" w:afterAutospacing="1" w:line="240" w:lineRule="auto"/>
    </w:pPr>
    <w:rPr>
      <w:rFonts w:ascii="Times New Roman" w:eastAsia="Times New Roman" w:hAnsi="Times New Roman" w:cs="Times New Roman"/>
      <w:color w:val="1C5180"/>
      <w:sz w:val="15"/>
      <w:szCs w:val="15"/>
    </w:rPr>
  </w:style>
  <w:style w:type="paragraph" w:customStyle="1" w:styleId="framewrapper">
    <w:name w:val="framewrapper"/>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selected">
    <w:name w:val="tabwndselected"/>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
    <w:name w:val="tabwnd"/>
    <w:basedOn w:val="Normal"/>
    <w:rsid w:val="00764E6F"/>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rameborder">
    <w:name w:val="frameborder"/>
    <w:basedOn w:val="Normal"/>
    <w:rsid w:val="00764E6F"/>
    <w:pPr>
      <w:pBdr>
        <w:top w:val="single" w:sz="6" w:space="0" w:color="7F9DB9"/>
        <w:left w:val="single" w:sz="6" w:space="0" w:color="7F9DB9"/>
        <w:bottom w:val="single" w:sz="6" w:space="0" w:color="7F9DB9"/>
        <w:right w:val="single" w:sz="6" w:space="0" w:color="7F9DB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button">
    <w:name w:val="language_button"/>
    <w:basedOn w:val="Normal"/>
    <w:rsid w:val="00764E6F"/>
    <w:pPr>
      <w:pBdr>
        <w:top w:val="single" w:sz="6" w:space="0" w:color="FFFFFF"/>
        <w:left w:val="single" w:sz="6" w:space="0" w:color="FFFFFF"/>
        <w:bottom w:val="single" w:sz="6" w:space="0" w:color="507DA5"/>
        <w:right w:val="single" w:sz="6" w:space="0" w:color="507DA5"/>
      </w:pBd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languagebuttonselected">
    <w:name w:val="language_button_selected"/>
    <w:basedOn w:val="Normal"/>
    <w:rsid w:val="00764E6F"/>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switches">
    <w:name w:val="langswitches"/>
    <w:basedOn w:val="Normal"/>
    <w:rsid w:val="00764E6F"/>
    <w:pPr>
      <w:spacing w:before="60" w:after="100" w:afterAutospacing="1" w:line="240" w:lineRule="auto"/>
    </w:pPr>
    <w:rPr>
      <w:rFonts w:ascii="Times New Roman" w:eastAsia="Times New Roman" w:hAnsi="Times New Roman" w:cs="Times New Roman"/>
      <w:sz w:val="24"/>
      <w:szCs w:val="24"/>
    </w:rPr>
  </w:style>
  <w:style w:type="paragraph" w:customStyle="1" w:styleId="labelmarkwords">
    <w:name w:val="labelmarkwords"/>
    <w:basedOn w:val="Normal"/>
    <w:rsid w:val="00764E6F"/>
    <w:pPr>
      <w:spacing w:before="100" w:beforeAutospacing="1" w:after="100" w:afterAutospacing="1" w:line="240" w:lineRule="auto"/>
      <w:ind w:right="150"/>
    </w:pPr>
    <w:rPr>
      <w:rFonts w:ascii="Times New Roman" w:eastAsia="Times New Roman" w:hAnsi="Times New Roman" w:cs="Times New Roman"/>
      <w:spacing w:val="15"/>
      <w:sz w:val="15"/>
      <w:szCs w:val="15"/>
      <w:vertAlign w:val="superscript"/>
    </w:rPr>
  </w:style>
  <w:style w:type="paragraph" w:customStyle="1" w:styleId="modalbg">
    <w:name w:val="modal_bg"/>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
    <w:name w:val="pl_popup"/>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op">
    <w:name w:val="pl_popup_top"/>
    <w:basedOn w:val="Normal"/>
    <w:rsid w:val="00764E6F"/>
    <w:pPr>
      <w:shd w:val="clear" w:color="auto" w:fill="FFFFFF"/>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plpopupbottom">
    <w:name w:val="pl_popup_bottom"/>
    <w:basedOn w:val="Normal"/>
    <w:rsid w:val="00764E6F"/>
    <w:pPr>
      <w:pBdr>
        <w:top w:val="single" w:sz="6" w:space="8" w:color="BAD492"/>
      </w:pBdr>
      <w:shd w:val="clear" w:color="auto" w:fill="E2E8ED"/>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lear">
    <w:name w:val="clear"/>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licationsyearselector">
    <w:name w:val="publicationsyearselector"/>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
    <w:name w:val="logo"/>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ext">
    <w:name w:val="pl_popup_text"/>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olor">
    <w:name w:val="bcolor"/>
    <w:basedOn w:val="Normal"/>
    <w:rsid w:val="00764E6F"/>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1">
    <w:name w:val="frame1"/>
    <w:basedOn w:val="Normal"/>
    <w:rsid w:val="00764E6F"/>
    <w:pPr>
      <w:spacing w:before="150" w:after="150" w:line="240" w:lineRule="auto"/>
      <w:ind w:left="1468" w:right="1468"/>
      <w:jc w:val="center"/>
    </w:pPr>
    <w:rPr>
      <w:rFonts w:ascii="Times New Roman" w:eastAsia="Times New Roman" w:hAnsi="Times New Roman" w:cs="Times New Roman"/>
      <w:sz w:val="24"/>
      <w:szCs w:val="24"/>
    </w:rPr>
  </w:style>
  <w:style w:type="paragraph" w:customStyle="1" w:styleId="logo1">
    <w:name w:val="logo1"/>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bar1">
    <w:name w:val="logobar1"/>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2">
    <w:name w:val="logo2"/>
    <w:basedOn w:val="Normal"/>
    <w:rsid w:val="00764E6F"/>
    <w:pPr>
      <w:spacing w:after="0" w:line="240" w:lineRule="auto"/>
      <w:ind w:left="450" w:right="450"/>
    </w:pPr>
    <w:rPr>
      <w:rFonts w:ascii="Times New Roman" w:eastAsia="Times New Roman" w:hAnsi="Times New Roman" w:cs="Times New Roman"/>
      <w:sz w:val="24"/>
      <w:szCs w:val="24"/>
    </w:rPr>
  </w:style>
  <w:style w:type="paragraph" w:customStyle="1" w:styleId="langswitches1">
    <w:name w:val="langswitches1"/>
    <w:basedOn w:val="Normal"/>
    <w:rsid w:val="00764E6F"/>
    <w:pPr>
      <w:spacing w:after="0" w:line="240" w:lineRule="auto"/>
      <w:ind w:left="450" w:right="450"/>
    </w:pPr>
    <w:rPr>
      <w:rFonts w:ascii="Times New Roman" w:eastAsia="Times New Roman" w:hAnsi="Times New Roman" w:cs="Times New Roman"/>
      <w:sz w:val="24"/>
      <w:szCs w:val="24"/>
    </w:rPr>
  </w:style>
  <w:style w:type="paragraph" w:customStyle="1" w:styleId="plpopuptext1">
    <w:name w:val="pl_popup_text1"/>
    <w:basedOn w:val="Normal"/>
    <w:rsid w:val="00764E6F"/>
    <w:pPr>
      <w:spacing w:before="75" w:after="100" w:afterAutospacing="1" w:line="240" w:lineRule="auto"/>
      <w:ind w:left="150"/>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nhideWhenUsed/>
    <w:rsid w:val="00764E6F"/>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rsid w:val="00764E6F"/>
    <w:rPr>
      <w:rFonts w:ascii="Arial" w:eastAsia="Times New Roman" w:hAnsi="Arial" w:cs="Times New Roman"/>
      <w:vanish/>
      <w:sz w:val="16"/>
      <w:szCs w:val="16"/>
      <w:lang w:val="x-none" w:eastAsia="x-none"/>
    </w:rPr>
  </w:style>
  <w:style w:type="character" w:styleId="Strong">
    <w:name w:val="Strong"/>
    <w:uiPriority w:val="22"/>
    <w:qFormat/>
    <w:rsid w:val="00764E6F"/>
    <w:rPr>
      <w:b/>
      <w:bCs/>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webb,Char Char Char,Char Char Char Char"/>
    <w:basedOn w:val="Normal"/>
    <w:link w:val="NormalWebChar"/>
    <w:uiPriority w:val="99"/>
    <w:unhideWhenUsed/>
    <w:qFormat/>
    <w:rsid w:val="00764E6F"/>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styleId="Emphasis">
    <w:name w:val="Emphasis"/>
    <w:uiPriority w:val="20"/>
    <w:qFormat/>
    <w:rsid w:val="00764E6F"/>
    <w:rPr>
      <w:i/>
      <w:iCs/>
    </w:rPr>
  </w:style>
  <w:style w:type="paragraph" w:styleId="z-BottomofForm">
    <w:name w:val="HTML Bottom of Form"/>
    <w:basedOn w:val="Normal"/>
    <w:next w:val="Normal"/>
    <w:link w:val="z-BottomofFormChar"/>
    <w:hidden/>
    <w:unhideWhenUsed/>
    <w:rsid w:val="00764E6F"/>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rsid w:val="00764E6F"/>
    <w:rPr>
      <w:rFonts w:ascii="Arial" w:eastAsia="Times New Roman" w:hAnsi="Arial" w:cs="Times New Roman"/>
      <w:vanish/>
      <w:sz w:val="16"/>
      <w:szCs w:val="16"/>
      <w:lang w:val="x-none" w:eastAsia="x-none"/>
    </w:rPr>
  </w:style>
  <w:style w:type="paragraph" w:styleId="BalloonText">
    <w:name w:val="Balloon Text"/>
    <w:basedOn w:val="Normal"/>
    <w:link w:val="BalloonTextChar"/>
    <w:uiPriority w:val="99"/>
    <w:unhideWhenUsed/>
    <w:rsid w:val="00764E6F"/>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rsid w:val="00764E6F"/>
    <w:rPr>
      <w:rFonts w:ascii="Tahoma" w:eastAsia="Calibri" w:hAnsi="Tahoma" w:cs="Times New Roman"/>
      <w:sz w:val="16"/>
      <w:szCs w:val="16"/>
      <w:lang w:val="x-none" w:eastAsia="x-none"/>
    </w:rPr>
  </w:style>
  <w:style w:type="paragraph" w:customStyle="1" w:styleId="ListParagraph1">
    <w:name w:val="List Paragraph1"/>
    <w:aliases w:val="Akapit z listą BS,List Paragraph 1,List_Paragraph,Multilevel para_II,List Paragraph (numbered (a)),OBC Bullet,List Paragraph11,Normal numbered,Абзац списка,Paragraphe de liste PBLH,Bullets,References,IBL List Paragraph,Bullet paras"/>
    <w:basedOn w:val="Normal"/>
    <w:link w:val="ListParagraphChar"/>
    <w:uiPriority w:val="34"/>
    <w:qFormat/>
    <w:rsid w:val="00764E6F"/>
    <w:pPr>
      <w:spacing w:after="200" w:line="276" w:lineRule="auto"/>
      <w:ind w:left="720"/>
      <w:contextualSpacing/>
    </w:pPr>
    <w:rPr>
      <w:rFonts w:ascii="Calibri" w:eastAsia="Calibri" w:hAnsi="Calibri" w:cs="Times New Roman"/>
      <w:lang w:val="x-none" w:eastAsia="x-none"/>
    </w:rPr>
  </w:style>
  <w:style w:type="paragraph" w:styleId="CommentText">
    <w:name w:val="annotation text"/>
    <w:basedOn w:val="Normal"/>
    <w:link w:val="CommentTextChar"/>
    <w:uiPriority w:val="99"/>
    <w:unhideWhenUsed/>
    <w:rsid w:val="00764E6F"/>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764E6F"/>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iPriority w:val="99"/>
    <w:unhideWhenUsed/>
    <w:rsid w:val="00764E6F"/>
    <w:rPr>
      <w:b/>
      <w:bCs/>
    </w:rPr>
  </w:style>
  <w:style w:type="character" w:customStyle="1" w:styleId="CommentSubjectChar">
    <w:name w:val="Comment Subject Char"/>
    <w:basedOn w:val="CommentTextChar"/>
    <w:link w:val="CommentSubject"/>
    <w:uiPriority w:val="99"/>
    <w:rsid w:val="00764E6F"/>
    <w:rPr>
      <w:rFonts w:ascii="Calibri" w:eastAsia="Calibri" w:hAnsi="Calibri" w:cs="Times New Roman"/>
      <w:b/>
      <w:bCs/>
      <w:sz w:val="20"/>
      <w:szCs w:val="20"/>
      <w:lang w:val="x-none" w:eastAsia="x-none"/>
    </w:rPr>
  </w:style>
  <w:style w:type="paragraph" w:styleId="FootnoteText">
    <w:name w:val="footnote text"/>
    <w:aliases w:val="single space,footnote text,fn,FOOTNOTES,ADB,ADB Char,single space Char Char,footnote text Char,fn Char"/>
    <w:basedOn w:val="Normal"/>
    <w:link w:val="FootnoteTextChar"/>
    <w:uiPriority w:val="99"/>
    <w:unhideWhenUsed/>
    <w:rsid w:val="00764E6F"/>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aliases w:val="single space Char1,footnote text Char2,fn Char2,FOOTNOTES Char1,ADB Char2,ADB Char Char1,single space Char Char Char1,footnote text Char Char1,fn Char Char1"/>
    <w:basedOn w:val="DefaultParagraphFont"/>
    <w:link w:val="FootnoteText"/>
    <w:uiPriority w:val="99"/>
    <w:rsid w:val="00764E6F"/>
    <w:rPr>
      <w:rFonts w:ascii="Calibri" w:eastAsia="Calibri" w:hAnsi="Calibri" w:cs="Times New Roman"/>
      <w:sz w:val="20"/>
      <w:szCs w:val="20"/>
      <w:lang w:val="x-none" w:eastAsia="x-none"/>
    </w:rPr>
  </w:style>
  <w:style w:type="character" w:customStyle="1" w:styleId="BodyTextChar">
    <w:name w:val="Body Text Char"/>
    <w:aliases w:val="(Main Text) Char,date Char,Body Text (Main text) Char"/>
    <w:link w:val="BodyText"/>
    <w:uiPriority w:val="99"/>
    <w:locked/>
    <w:rsid w:val="00764E6F"/>
    <w:rPr>
      <w:sz w:val="24"/>
      <w:szCs w:val="24"/>
    </w:rPr>
  </w:style>
  <w:style w:type="paragraph" w:styleId="BodyText">
    <w:name w:val="Body Text"/>
    <w:aliases w:val="(Main Text),date,Body Text (Main text)"/>
    <w:basedOn w:val="Normal"/>
    <w:link w:val="BodyTextChar"/>
    <w:uiPriority w:val="99"/>
    <w:unhideWhenUsed/>
    <w:rsid w:val="00764E6F"/>
    <w:pPr>
      <w:spacing w:after="120" w:line="240" w:lineRule="auto"/>
    </w:pPr>
    <w:rPr>
      <w:rFonts w:asciiTheme="minorHAnsi" w:hAnsiTheme="minorHAnsi"/>
      <w:sz w:val="24"/>
      <w:szCs w:val="24"/>
    </w:rPr>
  </w:style>
  <w:style w:type="character" w:customStyle="1" w:styleId="BodyTextChar1">
    <w:name w:val="Body Text Char1"/>
    <w:basedOn w:val="DefaultParagraphFont"/>
    <w:uiPriority w:val="99"/>
    <w:rsid w:val="00764E6F"/>
    <w:rPr>
      <w:rFonts w:ascii="GHEA Grapalat" w:hAnsi="GHEA Grapalat"/>
    </w:rPr>
  </w:style>
  <w:style w:type="paragraph" w:styleId="BodyText2">
    <w:name w:val="Body Text 2"/>
    <w:basedOn w:val="Normal"/>
    <w:link w:val="BodyText2Char"/>
    <w:unhideWhenUsed/>
    <w:rsid w:val="00764E6F"/>
    <w:pPr>
      <w:spacing w:after="120" w:line="480" w:lineRule="auto"/>
    </w:pPr>
    <w:rPr>
      <w:rFonts w:ascii="Arial Armenian" w:eastAsia="Times New Roman" w:hAnsi="Arial Armenian" w:cs="Times New Roman"/>
      <w:sz w:val="24"/>
      <w:szCs w:val="24"/>
      <w:lang w:val="x-none" w:eastAsia="x-none"/>
    </w:rPr>
  </w:style>
  <w:style w:type="character" w:customStyle="1" w:styleId="BodyText2Char">
    <w:name w:val="Body Text 2 Char"/>
    <w:basedOn w:val="DefaultParagraphFont"/>
    <w:link w:val="BodyText2"/>
    <w:rsid w:val="00764E6F"/>
    <w:rPr>
      <w:rFonts w:ascii="Arial Armenian" w:eastAsia="Times New Roman" w:hAnsi="Arial Armenian" w:cs="Times New Roman"/>
      <w:sz w:val="24"/>
      <w:szCs w:val="24"/>
      <w:lang w:val="x-none" w:eastAsia="x-none"/>
    </w:rPr>
  </w:style>
  <w:style w:type="character" w:customStyle="1" w:styleId="apple-style-span">
    <w:name w:val="apple-style-span"/>
    <w:basedOn w:val="DefaultParagraphFont"/>
    <w:rsid w:val="00764E6F"/>
  </w:style>
  <w:style w:type="character" w:customStyle="1" w:styleId="apple-converted-space">
    <w:name w:val="apple-converted-space"/>
    <w:rsid w:val="00764E6F"/>
  </w:style>
  <w:style w:type="character" w:customStyle="1" w:styleId="FontStyle22">
    <w:name w:val="Font Style22"/>
    <w:rsid w:val="00764E6F"/>
    <w:rPr>
      <w:rFonts w:ascii="Sylfaen" w:hAnsi="Sylfaen" w:cs="Sylfaen" w:hint="default"/>
      <w:sz w:val="22"/>
      <w:szCs w:val="22"/>
    </w:rPr>
  </w:style>
  <w:style w:type="paragraph" w:customStyle="1" w:styleId="CharCharCharCharCharCharCharCharCharCharCharChar">
    <w:name w:val="Char Char Char Char Char Char Char Char Char Char Char Char"/>
    <w:basedOn w:val="Normal"/>
    <w:rsid w:val="00764E6F"/>
    <w:pPr>
      <w:spacing w:line="240" w:lineRule="exact"/>
    </w:pPr>
    <w:rPr>
      <w:rFonts w:ascii="Arial" w:eastAsia="Times New Roman" w:hAnsi="Arial" w:cs="Arial"/>
      <w:sz w:val="20"/>
      <w:szCs w:val="20"/>
    </w:rPr>
  </w:style>
  <w:style w:type="paragraph" w:styleId="BodyTextIndent2">
    <w:name w:val="Body Text Indent 2"/>
    <w:basedOn w:val="Normal"/>
    <w:link w:val="BodyTextIndent2Char"/>
    <w:unhideWhenUsed/>
    <w:rsid w:val="00764E6F"/>
    <w:pPr>
      <w:spacing w:after="120" w:line="480" w:lineRule="auto"/>
      <w:ind w:left="283"/>
    </w:pPr>
    <w:rPr>
      <w:rFonts w:ascii="Calibri" w:eastAsia="Calibri" w:hAnsi="Calibri" w:cs="Times New Roman"/>
      <w:lang w:val="x-none" w:eastAsia="x-none"/>
    </w:rPr>
  </w:style>
  <w:style w:type="character" w:customStyle="1" w:styleId="BodyTextIndent2Char">
    <w:name w:val="Body Text Indent 2 Char"/>
    <w:basedOn w:val="DefaultParagraphFont"/>
    <w:link w:val="BodyTextIndent2"/>
    <w:rsid w:val="00764E6F"/>
    <w:rPr>
      <w:rFonts w:ascii="Calibri" w:eastAsia="Calibri" w:hAnsi="Calibri" w:cs="Times New Roman"/>
      <w:lang w:val="x-none" w:eastAsia="x-none"/>
    </w:rPr>
  </w:style>
  <w:style w:type="paragraph" w:styleId="BodyTextIndent">
    <w:name w:val="Body Text Indent"/>
    <w:basedOn w:val="Normal"/>
    <w:link w:val="BodyTextIndentChar"/>
    <w:unhideWhenUsed/>
    <w:rsid w:val="00764E6F"/>
    <w:pPr>
      <w:spacing w:after="120" w:line="240" w:lineRule="auto"/>
      <w:ind w:left="283"/>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rsid w:val="00764E6F"/>
    <w:rPr>
      <w:rFonts w:ascii="Times New Roman" w:eastAsia="Times New Roman" w:hAnsi="Times New Roman" w:cs="Times New Roman"/>
      <w:sz w:val="24"/>
      <w:szCs w:val="24"/>
      <w:lang w:val="x-none" w:eastAsia="x-none"/>
    </w:rPr>
  </w:style>
  <w:style w:type="paragraph" w:styleId="Title">
    <w:name w:val="Title"/>
    <w:basedOn w:val="Normal"/>
    <w:link w:val="TitleChar"/>
    <w:qFormat/>
    <w:rsid w:val="00764E6F"/>
    <w:pPr>
      <w:spacing w:after="0" w:line="240" w:lineRule="auto"/>
      <w:ind w:right="-432" w:firstLine="567"/>
      <w:jc w:val="center"/>
    </w:pPr>
    <w:rPr>
      <w:rFonts w:ascii="Arial LatArm" w:eastAsia="Times New Roman" w:hAnsi="Arial LatArm" w:cs="Times New Roman"/>
      <w:b/>
      <w:sz w:val="24"/>
      <w:szCs w:val="20"/>
      <w:lang w:val="x-none" w:eastAsia="x-none"/>
    </w:rPr>
  </w:style>
  <w:style w:type="character" w:customStyle="1" w:styleId="TitleChar">
    <w:name w:val="Title Char"/>
    <w:basedOn w:val="DefaultParagraphFont"/>
    <w:link w:val="Title"/>
    <w:rsid w:val="00764E6F"/>
    <w:rPr>
      <w:rFonts w:ascii="Arial LatArm" w:eastAsia="Times New Roman" w:hAnsi="Arial LatArm" w:cs="Times New Roman"/>
      <w:b/>
      <w:sz w:val="24"/>
      <w:szCs w:val="20"/>
      <w:lang w:val="x-none" w:eastAsia="x-none"/>
    </w:rPr>
  </w:style>
  <w:style w:type="paragraph" w:styleId="BodyTextIndent3">
    <w:name w:val="Body Text Indent 3"/>
    <w:basedOn w:val="Normal"/>
    <w:link w:val="BodyTextIndent3Char"/>
    <w:unhideWhenUsed/>
    <w:rsid w:val="00764E6F"/>
    <w:pPr>
      <w:spacing w:after="120" w:line="276" w:lineRule="auto"/>
      <w:ind w:left="283"/>
    </w:pPr>
    <w:rPr>
      <w:rFonts w:ascii="Calibri" w:eastAsia="Calibri" w:hAnsi="Calibri" w:cs="Times New Roman"/>
      <w:sz w:val="16"/>
      <w:szCs w:val="16"/>
      <w:lang w:val="x-none" w:eastAsia="x-none"/>
    </w:rPr>
  </w:style>
  <w:style w:type="character" w:customStyle="1" w:styleId="BodyTextIndent3Char">
    <w:name w:val="Body Text Indent 3 Char"/>
    <w:basedOn w:val="DefaultParagraphFont"/>
    <w:link w:val="BodyTextIndent3"/>
    <w:rsid w:val="00764E6F"/>
    <w:rPr>
      <w:rFonts w:ascii="Calibri" w:eastAsia="Calibri" w:hAnsi="Calibri" w:cs="Times New Roman"/>
      <w:sz w:val="16"/>
      <w:szCs w:val="16"/>
      <w:lang w:val="x-none" w:eastAsia="x-none"/>
    </w:rPr>
  </w:style>
  <w:style w:type="paragraph" w:customStyle="1" w:styleId="2">
    <w:name w:val="Абзац списка2"/>
    <w:basedOn w:val="Normal"/>
    <w:qFormat/>
    <w:rsid w:val="00764E6F"/>
    <w:pPr>
      <w:spacing w:after="200" w:line="276" w:lineRule="auto"/>
      <w:ind w:left="720"/>
      <w:contextualSpacing/>
    </w:pPr>
    <w:rPr>
      <w:rFonts w:ascii="Calibri" w:eastAsia="Calibri" w:hAnsi="Calibri" w:cs="Times New Roman"/>
      <w:lang w:val="ru-RU"/>
    </w:rPr>
  </w:style>
  <w:style w:type="paragraph" w:customStyle="1" w:styleId="20">
    <w:name w:val="Знак Знак2"/>
    <w:basedOn w:val="Normal"/>
    <w:rsid w:val="00764E6F"/>
    <w:pPr>
      <w:spacing w:line="240" w:lineRule="exact"/>
    </w:pPr>
    <w:rPr>
      <w:rFonts w:ascii="Verdana" w:eastAsia="Times New Roman" w:hAnsi="Verdana" w:cs="Verdana"/>
      <w:noProof/>
      <w:sz w:val="20"/>
      <w:szCs w:val="20"/>
    </w:rPr>
  </w:style>
  <w:style w:type="paragraph" w:styleId="NoSpacing">
    <w:name w:val="No Spacing"/>
    <w:link w:val="NoSpacingChar"/>
    <w:uiPriority w:val="99"/>
    <w:qFormat/>
    <w:rsid w:val="00764E6F"/>
    <w:pPr>
      <w:spacing w:after="0" w:line="240" w:lineRule="auto"/>
    </w:pPr>
    <w:rPr>
      <w:rFonts w:ascii="Calibri" w:eastAsia="Times New Roman" w:hAnsi="Calibri" w:cs="Times New Roman"/>
      <w:lang w:val="ru-RU" w:eastAsia="ru-RU"/>
    </w:rPr>
  </w:style>
  <w:style w:type="paragraph" w:customStyle="1" w:styleId="Text">
    <w:name w:val="Text"/>
    <w:basedOn w:val="Normal"/>
    <w:rsid w:val="00764E6F"/>
    <w:pPr>
      <w:overflowPunct w:val="0"/>
      <w:autoSpaceDE w:val="0"/>
      <w:autoSpaceDN w:val="0"/>
      <w:adjustRightInd w:val="0"/>
      <w:spacing w:after="220" w:line="240" w:lineRule="auto"/>
      <w:jc w:val="both"/>
      <w:textAlignment w:val="baseline"/>
    </w:pPr>
    <w:rPr>
      <w:rFonts w:ascii="Times New Roman" w:eastAsia="Times New Roman" w:hAnsi="Times New Roman" w:cs="Times New Roman"/>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764E6F"/>
    <w:pPr>
      <w:spacing w:line="240" w:lineRule="exact"/>
    </w:pPr>
    <w:rPr>
      <w:rFonts w:ascii="Arial" w:eastAsia="Times New Roman" w:hAnsi="Arial" w:cs="Arial"/>
      <w:sz w:val="20"/>
      <w:szCs w:val="20"/>
    </w:rPr>
  </w:style>
  <w:style w:type="table" w:styleId="TableGrid">
    <w:name w:val="Table Grid"/>
    <w:basedOn w:val="TableNormal"/>
    <w:uiPriority w:val="39"/>
    <w:rsid w:val="00764E6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Знак Знак"/>
    <w:basedOn w:val="Normal"/>
    <w:rsid w:val="00764E6F"/>
    <w:pPr>
      <w:spacing w:line="240" w:lineRule="exact"/>
    </w:pPr>
    <w:rPr>
      <w:rFonts w:ascii="Arial" w:eastAsia="Times New Roman" w:hAnsi="Arial" w:cs="Arial"/>
      <w:sz w:val="20"/>
      <w:szCs w:val="20"/>
    </w:rPr>
  </w:style>
  <w:style w:type="paragraph" w:customStyle="1" w:styleId="Char">
    <w:name w:val="Char"/>
    <w:basedOn w:val="Normal"/>
    <w:rsid w:val="00764E6F"/>
    <w:pPr>
      <w:spacing w:line="240" w:lineRule="exact"/>
    </w:pPr>
    <w:rPr>
      <w:rFonts w:ascii="Arial" w:eastAsia="Times New Roman" w:hAnsi="Arial" w:cs="Arial"/>
      <w:sz w:val="20"/>
      <w:szCs w:val="20"/>
    </w:rPr>
  </w:style>
  <w:style w:type="paragraph" w:customStyle="1" w:styleId="1">
    <w:name w:val="Абзац списка1"/>
    <w:basedOn w:val="Normal"/>
    <w:qFormat/>
    <w:rsid w:val="00764E6F"/>
    <w:pPr>
      <w:spacing w:after="0" w:line="360" w:lineRule="auto"/>
      <w:ind w:left="720"/>
      <w:contextualSpacing/>
    </w:pPr>
    <w:rPr>
      <w:rFonts w:ascii="Arial Armenian" w:eastAsia="Times New Roman" w:hAnsi="Arial Armenian" w:cs="Times New Roman"/>
      <w:sz w:val="24"/>
      <w:szCs w:val="24"/>
    </w:rPr>
  </w:style>
  <w:style w:type="character" w:customStyle="1" w:styleId="TitleChar1">
    <w:name w:val="Title Char1"/>
    <w:locked/>
    <w:rsid w:val="00764E6F"/>
    <w:rPr>
      <w:rFonts w:ascii="Arial Armenian" w:hAnsi="Arial Armenian"/>
      <w:b/>
      <w:bCs/>
      <w:u w:val="single"/>
      <w:lang w:val="en-US" w:eastAsia="en-US" w:bidi="ar-SA"/>
    </w:rPr>
  </w:style>
  <w:style w:type="paragraph" w:customStyle="1" w:styleId="CharCharCharCharCharChar1CharCharCharCharCharCharCharCharChar">
    <w:name w:val="Char Char Char Char Char Char1 Char Char Char Char Char Char Char Char Char Знак Знак"/>
    <w:basedOn w:val="Normal"/>
    <w:rsid w:val="00764E6F"/>
    <w:pPr>
      <w:spacing w:line="240" w:lineRule="exact"/>
    </w:pPr>
    <w:rPr>
      <w:rFonts w:ascii="Arial" w:eastAsia="Times New Roman" w:hAnsi="Arial" w:cs="Arial"/>
      <w:sz w:val="20"/>
      <w:szCs w:val="20"/>
    </w:rPr>
  </w:style>
  <w:style w:type="paragraph" w:customStyle="1" w:styleId="dec-name">
    <w:name w:val="dec-name"/>
    <w:basedOn w:val="Normal"/>
    <w:rsid w:val="00764E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0">
    <w:name w:val="Body text_"/>
    <w:link w:val="BodyText1"/>
    <w:uiPriority w:val="99"/>
    <w:locked/>
    <w:rsid w:val="00764E6F"/>
    <w:rPr>
      <w:sz w:val="21"/>
      <w:szCs w:val="21"/>
      <w:shd w:val="clear" w:color="auto" w:fill="FFFFFF"/>
    </w:rPr>
  </w:style>
  <w:style w:type="character" w:customStyle="1" w:styleId="Bodytext6">
    <w:name w:val="Body text (6)_"/>
    <w:link w:val="Bodytext61"/>
    <w:uiPriority w:val="99"/>
    <w:locked/>
    <w:rsid w:val="00764E6F"/>
    <w:rPr>
      <w:b/>
      <w:bCs/>
      <w:shd w:val="clear" w:color="auto" w:fill="FFFFFF"/>
    </w:rPr>
  </w:style>
  <w:style w:type="paragraph" w:customStyle="1" w:styleId="BodyText1">
    <w:name w:val="Body Text1"/>
    <w:basedOn w:val="Normal"/>
    <w:link w:val="Bodytext0"/>
    <w:uiPriority w:val="99"/>
    <w:rsid w:val="00764E6F"/>
    <w:pPr>
      <w:shd w:val="clear" w:color="auto" w:fill="FFFFFF"/>
      <w:spacing w:before="60" w:after="0" w:line="245" w:lineRule="exact"/>
      <w:jc w:val="right"/>
    </w:pPr>
    <w:rPr>
      <w:rFonts w:asciiTheme="minorHAnsi" w:hAnsiTheme="minorHAnsi"/>
      <w:sz w:val="21"/>
      <w:szCs w:val="21"/>
    </w:rPr>
  </w:style>
  <w:style w:type="paragraph" w:customStyle="1" w:styleId="Bodytext61">
    <w:name w:val="Body text (6)1"/>
    <w:basedOn w:val="Normal"/>
    <w:link w:val="Bodytext6"/>
    <w:uiPriority w:val="99"/>
    <w:rsid w:val="00764E6F"/>
    <w:pPr>
      <w:shd w:val="clear" w:color="auto" w:fill="FFFFFF"/>
      <w:spacing w:after="0" w:line="240" w:lineRule="atLeast"/>
    </w:pPr>
    <w:rPr>
      <w:rFonts w:asciiTheme="minorHAnsi" w:hAnsiTheme="minorHAnsi"/>
      <w:b/>
      <w:bCs/>
    </w:rPr>
  </w:style>
  <w:style w:type="character" w:customStyle="1" w:styleId="Heading20">
    <w:name w:val="Heading #2_"/>
    <w:link w:val="Heading21"/>
    <w:uiPriority w:val="99"/>
    <w:locked/>
    <w:rsid w:val="00764E6F"/>
    <w:rPr>
      <w:b/>
      <w:bCs/>
      <w:shd w:val="clear" w:color="auto" w:fill="FFFFFF"/>
    </w:rPr>
  </w:style>
  <w:style w:type="character" w:customStyle="1" w:styleId="BodytextItalic">
    <w:name w:val="Body text + Italic"/>
    <w:aliases w:val="Scaling 120%"/>
    <w:uiPriority w:val="99"/>
    <w:rsid w:val="00764E6F"/>
    <w:rPr>
      <w:rFonts w:cs="Times New Roman"/>
      <w:i/>
      <w:iCs/>
      <w:spacing w:val="0"/>
      <w:w w:val="120"/>
      <w:sz w:val="21"/>
      <w:szCs w:val="21"/>
      <w:shd w:val="clear" w:color="auto" w:fill="FFFFFF"/>
    </w:rPr>
  </w:style>
  <w:style w:type="character" w:customStyle="1" w:styleId="Bodytext8pt">
    <w:name w:val="Body text + 8 pt"/>
    <w:aliases w:val="Bold"/>
    <w:uiPriority w:val="99"/>
    <w:rsid w:val="00764E6F"/>
    <w:rPr>
      <w:rFonts w:cs="Times New Roman"/>
      <w:b/>
      <w:bCs/>
      <w:spacing w:val="0"/>
      <w:sz w:val="16"/>
      <w:szCs w:val="16"/>
      <w:shd w:val="clear" w:color="auto" w:fill="FFFFFF"/>
    </w:rPr>
  </w:style>
  <w:style w:type="paragraph" w:customStyle="1" w:styleId="Heading21">
    <w:name w:val="Heading #2"/>
    <w:basedOn w:val="Normal"/>
    <w:link w:val="Heading20"/>
    <w:uiPriority w:val="99"/>
    <w:rsid w:val="00764E6F"/>
    <w:pPr>
      <w:shd w:val="clear" w:color="auto" w:fill="FFFFFF"/>
      <w:spacing w:before="240" w:after="360" w:line="240" w:lineRule="atLeast"/>
      <w:ind w:firstLine="400"/>
      <w:outlineLvl w:val="1"/>
    </w:pPr>
    <w:rPr>
      <w:rFonts w:asciiTheme="minorHAnsi" w:hAnsiTheme="minorHAnsi"/>
      <w:b/>
      <w:bCs/>
    </w:rPr>
  </w:style>
  <w:style w:type="character" w:customStyle="1" w:styleId="Bodytext10pt">
    <w:name w:val="Body text + 10 pt"/>
    <w:uiPriority w:val="99"/>
    <w:rsid w:val="00764E6F"/>
    <w:rPr>
      <w:rFonts w:cs="Times New Roman"/>
      <w:spacing w:val="0"/>
      <w:sz w:val="20"/>
      <w:szCs w:val="20"/>
      <w:shd w:val="clear" w:color="auto" w:fill="FFFFFF"/>
    </w:rPr>
  </w:style>
  <w:style w:type="character" w:customStyle="1" w:styleId="Bodytext60">
    <w:name w:val="Body text (6)"/>
    <w:uiPriority w:val="99"/>
    <w:rsid w:val="00764E6F"/>
    <w:rPr>
      <w:rFonts w:cs="Times New Roman"/>
      <w:b w:val="0"/>
      <w:bCs w:val="0"/>
      <w:spacing w:val="0"/>
      <w:sz w:val="20"/>
      <w:szCs w:val="20"/>
      <w:shd w:val="clear" w:color="auto" w:fill="FFFFFF"/>
    </w:rPr>
  </w:style>
  <w:style w:type="character" w:customStyle="1" w:styleId="Bodytext6Spacing6pt">
    <w:name w:val="Body text (6) + Spacing 6 pt"/>
    <w:uiPriority w:val="99"/>
    <w:rsid w:val="00764E6F"/>
    <w:rPr>
      <w:rFonts w:cs="Times New Roman"/>
      <w:b w:val="0"/>
      <w:bCs w:val="0"/>
      <w:spacing w:val="120"/>
      <w:sz w:val="20"/>
      <w:szCs w:val="20"/>
      <w:shd w:val="clear" w:color="auto" w:fill="FFFFFF"/>
    </w:rPr>
  </w:style>
  <w:style w:type="paragraph" w:customStyle="1" w:styleId="Default">
    <w:name w:val="Default"/>
    <w:rsid w:val="00764E6F"/>
    <w:pPr>
      <w:autoSpaceDE w:val="0"/>
      <w:autoSpaceDN w:val="0"/>
      <w:adjustRightInd w:val="0"/>
      <w:spacing w:after="0" w:line="240" w:lineRule="auto"/>
    </w:pPr>
    <w:rPr>
      <w:rFonts w:ascii="Sylfaen" w:eastAsia="Calibri" w:hAnsi="Sylfaen" w:cs="Sylfaen"/>
      <w:color w:val="000000"/>
      <w:sz w:val="24"/>
      <w:szCs w:val="24"/>
      <w:lang w:val="ru-RU" w:eastAsia="ru-RU"/>
    </w:rPr>
  </w:style>
  <w:style w:type="character" w:customStyle="1" w:styleId="yiv4145141429">
    <w:name w:val="yiv4145141429"/>
    <w:basedOn w:val="DefaultParagraphFont"/>
    <w:rsid w:val="00764E6F"/>
  </w:style>
  <w:style w:type="character" w:customStyle="1" w:styleId="hps">
    <w:name w:val="hps"/>
    <w:rsid w:val="00764E6F"/>
    <w:rPr>
      <w:rFonts w:cs="Times New Roman"/>
    </w:rPr>
  </w:style>
  <w:style w:type="paragraph" w:customStyle="1" w:styleId="10">
    <w:name w:val="Знак Знак1"/>
    <w:basedOn w:val="Normal"/>
    <w:rsid w:val="00764E6F"/>
    <w:pPr>
      <w:spacing w:line="240" w:lineRule="exact"/>
    </w:pPr>
    <w:rPr>
      <w:rFonts w:ascii="Arial" w:eastAsia="Times New Roman" w:hAnsi="Arial" w:cs="Arial"/>
      <w:sz w:val="20"/>
      <w:szCs w:val="20"/>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 webb Char,Char Char Char Char1,Char Char Char Char Char"/>
    <w:link w:val="NormalWeb"/>
    <w:uiPriority w:val="99"/>
    <w:locked/>
    <w:rsid w:val="00764E6F"/>
    <w:rPr>
      <w:rFonts w:ascii="Times New Roman" w:eastAsia="Times New Roman" w:hAnsi="Times New Roman" w:cs="Times New Roman"/>
      <w:sz w:val="24"/>
      <w:szCs w:val="24"/>
      <w:lang w:val="x-none" w:eastAsia="x-none"/>
    </w:rPr>
  </w:style>
  <w:style w:type="character" w:customStyle="1" w:styleId="ListParagraphChar">
    <w:name w:val="List Paragraph Char"/>
    <w:aliases w:val="Akapit z listą BS Char,List Paragraph 1 Char,List_Paragraph Char,Multilevel para_II Char,List Paragraph1 Char,List Paragraph (numbered (a)) Char,OBC Bullet Char,List Paragraph11 Char,Normal numbered Char,Абзац списка Char"/>
    <w:link w:val="ListParagraph1"/>
    <w:uiPriority w:val="34"/>
    <w:qFormat/>
    <w:rsid w:val="00764E6F"/>
    <w:rPr>
      <w:rFonts w:ascii="Calibri" w:eastAsia="Calibri" w:hAnsi="Calibri" w:cs="Times New Roman"/>
      <w:lang w:val="x-none" w:eastAsia="x-none"/>
    </w:rPr>
  </w:style>
  <w:style w:type="character" w:customStyle="1" w:styleId="BodyTextIndent3Char1">
    <w:name w:val="Body Text Indent 3 Char1"/>
    <w:uiPriority w:val="99"/>
    <w:locked/>
    <w:rsid w:val="00764E6F"/>
    <w:rPr>
      <w:rFonts w:cs="Calibri"/>
      <w:sz w:val="16"/>
      <w:szCs w:val="16"/>
    </w:rPr>
  </w:style>
  <w:style w:type="paragraph" w:customStyle="1" w:styleId="Standard">
    <w:name w:val="Standard"/>
    <w:rsid w:val="00764E6F"/>
    <w:pPr>
      <w:suppressAutoHyphens/>
      <w:autoSpaceDN w:val="0"/>
      <w:spacing w:after="0" w:line="240" w:lineRule="auto"/>
    </w:pPr>
    <w:rPr>
      <w:rFonts w:ascii="Arial Armenian" w:eastAsia="Times New Roman" w:hAnsi="Arial Armenian" w:cs="Arial Armenian"/>
      <w:kern w:val="3"/>
      <w:sz w:val="20"/>
      <w:szCs w:val="20"/>
      <w:lang w:eastAsia="zh-CN"/>
    </w:rPr>
  </w:style>
  <w:style w:type="character" w:customStyle="1" w:styleId="StrongEmphasis">
    <w:name w:val="Strong Emphasis"/>
    <w:rsid w:val="00764E6F"/>
    <w:rPr>
      <w:b/>
      <w:bCs/>
    </w:rPr>
  </w:style>
  <w:style w:type="numbering" w:customStyle="1" w:styleId="WW8Num19">
    <w:name w:val="WW8Num19"/>
    <w:rsid w:val="00764E6F"/>
    <w:pPr>
      <w:numPr>
        <w:numId w:val="4"/>
      </w:numPr>
    </w:pPr>
  </w:style>
  <w:style w:type="numbering" w:customStyle="1" w:styleId="WW8Num24">
    <w:name w:val="WW8Num24"/>
    <w:rsid w:val="00764E6F"/>
    <w:pPr>
      <w:numPr>
        <w:numId w:val="1"/>
      </w:numPr>
    </w:pPr>
  </w:style>
  <w:style w:type="paragraph" w:customStyle="1" w:styleId="a">
    <w:name w:val="Знак Знак"/>
    <w:basedOn w:val="Normal"/>
    <w:rsid w:val="00764E6F"/>
    <w:pPr>
      <w:spacing w:after="0" w:line="240" w:lineRule="auto"/>
    </w:pPr>
    <w:rPr>
      <w:rFonts w:ascii="Times New Roman" w:eastAsia="Times New Roman" w:hAnsi="Times New Roman" w:cs="Times New Roman"/>
      <w:sz w:val="24"/>
      <w:szCs w:val="24"/>
      <w:lang w:val="pl-PL" w:eastAsia="pl-PL"/>
    </w:rPr>
  </w:style>
  <w:style w:type="character" w:customStyle="1" w:styleId="FontStyle37">
    <w:name w:val="Font Style37"/>
    <w:rsid w:val="00764E6F"/>
    <w:rPr>
      <w:rFonts w:ascii="Sylfaen" w:hAnsi="Sylfaen" w:cs="Sylfaen"/>
      <w:sz w:val="22"/>
      <w:szCs w:val="22"/>
    </w:rPr>
  </w:style>
  <w:style w:type="character" w:customStyle="1" w:styleId="NoSpacingChar">
    <w:name w:val="No Spacing Char"/>
    <w:link w:val="NoSpacing"/>
    <w:uiPriority w:val="99"/>
    <w:rsid w:val="00764E6F"/>
    <w:rPr>
      <w:rFonts w:ascii="Calibri" w:eastAsia="Times New Roman" w:hAnsi="Calibri" w:cs="Times New Roman"/>
      <w:lang w:val="ru-RU" w:eastAsia="ru-RU"/>
    </w:rPr>
  </w:style>
  <w:style w:type="character" w:customStyle="1" w:styleId="zw-portion">
    <w:name w:val="zw-portion"/>
    <w:rsid w:val="00764E6F"/>
    <w:rPr>
      <w:rFonts w:cs="Times New Roman"/>
    </w:rPr>
  </w:style>
  <w:style w:type="character" w:customStyle="1" w:styleId="shorttext">
    <w:name w:val="short_text"/>
    <w:rsid w:val="00764E6F"/>
  </w:style>
  <w:style w:type="character" w:styleId="SubtleEmphasis">
    <w:name w:val="Subtle Emphasis"/>
    <w:uiPriority w:val="19"/>
    <w:qFormat/>
    <w:rsid w:val="00764E6F"/>
    <w:rPr>
      <w:i/>
      <w:iCs/>
      <w:color w:val="404040"/>
    </w:rPr>
  </w:style>
  <w:style w:type="character" w:customStyle="1" w:styleId="longtext">
    <w:name w:val="long_text"/>
    <w:basedOn w:val="DefaultParagraphFont"/>
    <w:rsid w:val="00764E6F"/>
  </w:style>
  <w:style w:type="character" w:customStyle="1" w:styleId="BodytextChar0">
    <w:name w:val="Body text Char"/>
    <w:rsid w:val="00764E6F"/>
    <w:rPr>
      <w:rFonts w:ascii="Calibri" w:eastAsia="Calibri" w:hAnsi="Calibri"/>
      <w:sz w:val="22"/>
      <w:szCs w:val="22"/>
      <w:lang w:val="en-GB"/>
    </w:rPr>
  </w:style>
  <w:style w:type="paragraph" w:customStyle="1" w:styleId="Bullet">
    <w:name w:val="Bullet"/>
    <w:basedOn w:val="ListParagraph1"/>
    <w:link w:val="BulletChar"/>
    <w:qFormat/>
    <w:rsid w:val="00764E6F"/>
    <w:pPr>
      <w:numPr>
        <w:numId w:val="2"/>
      </w:numPr>
      <w:spacing w:before="80" w:after="80" w:line="259" w:lineRule="auto"/>
    </w:pPr>
    <w:rPr>
      <w:lang w:val="en-GB"/>
    </w:rPr>
  </w:style>
  <w:style w:type="character" w:customStyle="1" w:styleId="BulletChar">
    <w:name w:val="Bullet Char"/>
    <w:link w:val="Bullet"/>
    <w:rsid w:val="00764E6F"/>
    <w:rPr>
      <w:rFonts w:ascii="Calibri" w:eastAsia="Calibri" w:hAnsi="Calibri" w:cs="Times New Roman"/>
      <w:lang w:val="en-GB" w:eastAsia="x-none"/>
    </w:rPr>
  </w:style>
  <w:style w:type="paragraph" w:styleId="ListBullet">
    <w:name w:val="List Bullet"/>
    <w:basedOn w:val="Normal"/>
    <w:rsid w:val="00764E6F"/>
    <w:pPr>
      <w:numPr>
        <w:numId w:val="3"/>
      </w:numPr>
      <w:spacing w:after="0" w:line="240" w:lineRule="auto"/>
    </w:pPr>
    <w:rPr>
      <w:rFonts w:ascii="Arial Armenian" w:eastAsia="Times New Roman" w:hAnsi="Arial Armenian" w:cs="Times New Roman"/>
      <w:sz w:val="20"/>
      <w:szCs w:val="20"/>
      <w:lang w:eastAsia="ru-RU"/>
    </w:rPr>
  </w:style>
  <w:style w:type="character" w:styleId="FootnoteReference">
    <w:name w:val="footnote reference"/>
    <w:uiPriority w:val="99"/>
    <w:unhideWhenUsed/>
    <w:rsid w:val="00764E6F"/>
    <w:rPr>
      <w:vertAlign w:val="superscript"/>
    </w:rPr>
  </w:style>
  <w:style w:type="character" w:styleId="CommentReference">
    <w:name w:val="annotation reference"/>
    <w:uiPriority w:val="99"/>
    <w:unhideWhenUsed/>
    <w:rsid w:val="00764E6F"/>
    <w:rPr>
      <w:sz w:val="16"/>
      <w:szCs w:val="16"/>
    </w:rPr>
  </w:style>
  <w:style w:type="paragraph" w:customStyle="1" w:styleId="ListParagraph2">
    <w:name w:val="List Paragraph2"/>
    <w:basedOn w:val="Normal"/>
    <w:next w:val="ListParagraph"/>
    <w:uiPriority w:val="99"/>
    <w:qFormat/>
    <w:rsid w:val="00764E6F"/>
    <w:pPr>
      <w:spacing w:after="200" w:line="276" w:lineRule="auto"/>
      <w:ind w:left="720"/>
      <w:contextualSpacing/>
    </w:pPr>
    <w:rPr>
      <w:rFonts w:ascii="Calibri" w:hAnsi="Calibri"/>
    </w:rPr>
  </w:style>
  <w:style w:type="character" w:customStyle="1" w:styleId="FootnoteTextChar1">
    <w:name w:val="Footnote Text Char1"/>
    <w:aliases w:val="single space Char,footnote text Char1,fn Char1,FOOTNOTES Char,ADB Char1,ADB Char Char,single space Char Char Char,footnote text Char Char,Footnote Text Char Char,fn Char Char"/>
    <w:basedOn w:val="DefaultParagraphFont"/>
    <w:rsid w:val="00764E6F"/>
    <w:rPr>
      <w:rFonts w:ascii="Calibri" w:eastAsia="Calibri" w:hAnsi="Calibri"/>
      <w:lang w:val="x-none" w:eastAsia="x-none"/>
    </w:rPr>
  </w:style>
  <w:style w:type="paragraph" w:styleId="ListParagraph">
    <w:name w:val="List Paragraph"/>
    <w:aliases w:val="List Paragraph-ExecSummary,Table no. List Paragraph,Bullet1,List Paragraph nowy,Numbered List Paragraph,Ha,Referenc,lp1,3"/>
    <w:basedOn w:val="Normal"/>
    <w:link w:val="ListParagraphChar1"/>
    <w:uiPriority w:val="99"/>
    <w:qFormat/>
    <w:rsid w:val="00764E6F"/>
    <w:pPr>
      <w:ind w:left="720"/>
      <w:contextualSpacing/>
    </w:pPr>
  </w:style>
  <w:style w:type="character" w:customStyle="1" w:styleId="user-name">
    <w:name w:val="user-name"/>
    <w:basedOn w:val="DefaultParagraphFont"/>
    <w:rsid w:val="00EF392F"/>
  </w:style>
  <w:style w:type="character" w:customStyle="1" w:styleId="Other">
    <w:name w:val="Other_"/>
    <w:link w:val="Other0"/>
    <w:locked/>
    <w:rsid w:val="00EF392F"/>
    <w:rPr>
      <w:color w:val="5A595D"/>
      <w:sz w:val="15"/>
      <w:shd w:val="clear" w:color="auto" w:fill="FFFFFF"/>
    </w:rPr>
  </w:style>
  <w:style w:type="paragraph" w:customStyle="1" w:styleId="Other0">
    <w:name w:val="Other"/>
    <w:basedOn w:val="Normal"/>
    <w:link w:val="Other"/>
    <w:rsid w:val="00EF392F"/>
    <w:pPr>
      <w:widowControl w:val="0"/>
      <w:shd w:val="clear" w:color="auto" w:fill="FFFFFF"/>
      <w:spacing w:after="0" w:line="286" w:lineRule="auto"/>
    </w:pPr>
    <w:rPr>
      <w:rFonts w:asciiTheme="minorHAnsi" w:hAnsiTheme="minorHAnsi"/>
      <w:color w:val="5A595D"/>
      <w:sz w:val="15"/>
    </w:rPr>
  </w:style>
  <w:style w:type="character" w:customStyle="1" w:styleId="opennewstext">
    <w:name w:val="opennewstext"/>
    <w:basedOn w:val="DefaultParagraphFont"/>
    <w:rsid w:val="00EF392F"/>
  </w:style>
  <w:style w:type="character" w:customStyle="1" w:styleId="Bodytext20">
    <w:name w:val="Body text (2)_"/>
    <w:basedOn w:val="DefaultParagraphFont"/>
    <w:link w:val="Bodytext21"/>
    <w:rsid w:val="00EF392F"/>
    <w:rPr>
      <w:shd w:val="clear" w:color="auto" w:fill="FFFFFF"/>
    </w:rPr>
  </w:style>
  <w:style w:type="paragraph" w:customStyle="1" w:styleId="Bodytext21">
    <w:name w:val="Body text (2)"/>
    <w:basedOn w:val="Normal"/>
    <w:link w:val="Bodytext20"/>
    <w:rsid w:val="00EF392F"/>
    <w:pPr>
      <w:widowControl w:val="0"/>
      <w:shd w:val="clear" w:color="auto" w:fill="FFFFFF"/>
      <w:spacing w:before="420" w:after="1200" w:line="0" w:lineRule="atLeast"/>
      <w:ind w:hanging="1780"/>
      <w:jc w:val="center"/>
    </w:pPr>
    <w:rPr>
      <w:rFonts w:asciiTheme="minorHAnsi" w:hAnsiTheme="minorHAnsi"/>
    </w:rPr>
  </w:style>
  <w:style w:type="character" w:customStyle="1" w:styleId="Bodytext295pt">
    <w:name w:val="Body text (2) + 9.5 pt"/>
    <w:rsid w:val="00EF392F"/>
    <w:rPr>
      <w:rFonts w:ascii="Tahoma" w:eastAsia="Tahoma" w:hAnsi="Tahoma" w:cs="Tahoma"/>
      <w:b w:val="0"/>
      <w:bCs w:val="0"/>
      <w:i w:val="0"/>
      <w:iCs w:val="0"/>
      <w:smallCaps w:val="0"/>
      <w:strike w:val="0"/>
      <w:color w:val="000000"/>
      <w:spacing w:val="0"/>
      <w:w w:val="100"/>
      <w:position w:val="0"/>
      <w:sz w:val="19"/>
      <w:szCs w:val="19"/>
      <w:u w:val="none"/>
      <w:lang w:val="hy-AM" w:eastAsia="hy-AM" w:bidi="hy-AM"/>
    </w:rPr>
  </w:style>
  <w:style w:type="paragraph" w:customStyle="1" w:styleId="a0">
    <w:name w:val="???????"/>
    <w:rsid w:val="00530B14"/>
    <w:pPr>
      <w:spacing w:after="0" w:line="240" w:lineRule="auto"/>
    </w:pPr>
    <w:rPr>
      <w:rFonts w:ascii="Times New Roman" w:eastAsia="Times New Roman" w:hAnsi="Times New Roman" w:cs="Times New Roman"/>
      <w:sz w:val="24"/>
      <w:szCs w:val="20"/>
      <w:lang w:eastAsia="ru-RU"/>
    </w:rPr>
  </w:style>
  <w:style w:type="paragraph" w:styleId="BlockText">
    <w:name w:val="Block Text"/>
    <w:basedOn w:val="Normal"/>
    <w:uiPriority w:val="99"/>
    <w:unhideWhenUsed/>
    <w:rsid w:val="00530B14"/>
    <w:pPr>
      <w:spacing w:after="0" w:line="360" w:lineRule="auto"/>
      <w:ind w:left="-540" w:right="-185" w:firstLine="900"/>
      <w:jc w:val="both"/>
    </w:pPr>
    <w:rPr>
      <w:rFonts w:ascii="Arial Armenian" w:eastAsia="Times New Roman" w:hAnsi="Arial Armenian" w:cs="Times New Roman"/>
      <w:sz w:val="24"/>
      <w:szCs w:val="24"/>
    </w:rPr>
  </w:style>
  <w:style w:type="paragraph" w:styleId="BodyText3">
    <w:name w:val="Body Text 3"/>
    <w:basedOn w:val="Normal"/>
    <w:link w:val="BodyText3Char"/>
    <w:uiPriority w:val="99"/>
    <w:rsid w:val="00530B14"/>
    <w:pPr>
      <w:spacing w:after="120" w:line="240" w:lineRule="auto"/>
    </w:pPr>
    <w:rPr>
      <w:rFonts w:ascii="Arial Armenian" w:eastAsia="Times New Roman" w:hAnsi="Arial Armenian" w:cs="Times New Roman"/>
      <w:sz w:val="16"/>
      <w:szCs w:val="16"/>
      <w:lang w:eastAsia="ru-RU"/>
    </w:rPr>
  </w:style>
  <w:style w:type="character" w:customStyle="1" w:styleId="BodyText3Char">
    <w:name w:val="Body Text 3 Char"/>
    <w:basedOn w:val="DefaultParagraphFont"/>
    <w:link w:val="BodyText3"/>
    <w:uiPriority w:val="99"/>
    <w:rsid w:val="00530B14"/>
    <w:rPr>
      <w:rFonts w:ascii="Arial Armenian" w:eastAsia="Times New Roman" w:hAnsi="Arial Armenian" w:cs="Times New Roman"/>
      <w:sz w:val="16"/>
      <w:szCs w:val="16"/>
      <w:lang w:eastAsia="ru-RU"/>
    </w:rPr>
  </w:style>
  <w:style w:type="numbering" w:customStyle="1" w:styleId="NoList2">
    <w:name w:val="No List2"/>
    <w:next w:val="NoList"/>
    <w:uiPriority w:val="99"/>
    <w:semiHidden/>
    <w:unhideWhenUsed/>
    <w:rsid w:val="00530B14"/>
  </w:style>
  <w:style w:type="table" w:customStyle="1" w:styleId="TableGrid1">
    <w:name w:val="Table Grid1"/>
    <w:basedOn w:val="TableNormal"/>
    <w:next w:val="TableGrid"/>
    <w:uiPriority w:val="59"/>
    <w:rsid w:val="00530B14"/>
    <w:pPr>
      <w:spacing w:after="0" w:line="240" w:lineRule="auto"/>
    </w:pPr>
    <w:rPr>
      <w:rFonts w:ascii="Sylfaen" w:eastAsia="Calibri"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B45FD"/>
  </w:style>
  <w:style w:type="paragraph" w:customStyle="1" w:styleId="a1">
    <w:name w:val="Без интервала"/>
    <w:qFormat/>
    <w:rsid w:val="00BB45FD"/>
    <w:pPr>
      <w:spacing w:after="0" w:line="240" w:lineRule="auto"/>
      <w:ind w:firstLine="709"/>
      <w:jc w:val="both"/>
    </w:pPr>
    <w:rPr>
      <w:rFonts w:ascii="Arial Armenian" w:eastAsia="Times New Roman" w:hAnsi="Arial Armenian" w:cs="Times New Roman"/>
      <w:sz w:val="24"/>
      <w:szCs w:val="24"/>
      <w:lang w:val="ru-RU" w:eastAsia="ru-RU"/>
    </w:rPr>
  </w:style>
  <w:style w:type="table" w:customStyle="1" w:styleId="TableGrid2">
    <w:name w:val="Table Grid2"/>
    <w:basedOn w:val="TableNormal"/>
    <w:next w:val="TableGrid"/>
    <w:uiPriority w:val="39"/>
    <w:rsid w:val="00BB45FD"/>
    <w:pPr>
      <w:spacing w:after="0" w:line="240" w:lineRule="auto"/>
    </w:pPr>
    <w:rPr>
      <w:rFonts w:ascii="GHEA Mariam" w:hAnsi="GHEA Mariam"/>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514E01"/>
    <w:rPr>
      <w:color w:val="0000FF"/>
      <w:u w:val="single"/>
    </w:rPr>
  </w:style>
  <w:style w:type="table" w:customStyle="1" w:styleId="TableGrid3">
    <w:name w:val="Table Grid3"/>
    <w:basedOn w:val="TableNormal"/>
    <w:next w:val="TableGrid"/>
    <w:uiPriority w:val="39"/>
    <w:rsid w:val="00514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basedOn w:val="DefaultParagraphFont"/>
    <w:uiPriority w:val="99"/>
    <w:semiHidden/>
    <w:rsid w:val="00514E01"/>
    <w:rPr>
      <w:rFonts w:ascii="Segoe UI" w:hAnsi="Segoe UI" w:cs="Segoe UI"/>
      <w:sz w:val="18"/>
      <w:szCs w:val="18"/>
    </w:rPr>
  </w:style>
  <w:style w:type="character" w:customStyle="1" w:styleId="CommentSubjectChar1">
    <w:name w:val="Comment Subject Char1"/>
    <w:basedOn w:val="CommentTextChar"/>
    <w:uiPriority w:val="99"/>
    <w:semiHidden/>
    <w:rsid w:val="00514E01"/>
    <w:rPr>
      <w:rFonts w:ascii="Calibri" w:eastAsia="Calibri" w:hAnsi="Calibri" w:cs="Times New Roman"/>
      <w:b/>
      <w:bCs/>
      <w:sz w:val="20"/>
      <w:szCs w:val="20"/>
      <w:lang w:val="x-none" w:eastAsia="x-none"/>
    </w:rPr>
  </w:style>
  <w:style w:type="numbering" w:customStyle="1" w:styleId="NoList4">
    <w:name w:val="No List4"/>
    <w:next w:val="NoList"/>
    <w:uiPriority w:val="99"/>
    <w:semiHidden/>
    <w:unhideWhenUsed/>
    <w:rsid w:val="00A67B6B"/>
  </w:style>
  <w:style w:type="table" w:customStyle="1" w:styleId="TableGrid4">
    <w:name w:val="Table Grid4"/>
    <w:basedOn w:val="TableNormal"/>
    <w:next w:val="TableGrid"/>
    <w:uiPriority w:val="39"/>
    <w:rsid w:val="00A67B6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ext">
    <w:name w:val="formtext"/>
    <w:basedOn w:val="Normal"/>
    <w:rsid w:val="00A67B6B"/>
    <w:pPr>
      <w:spacing w:before="120" w:after="120" w:line="240" w:lineRule="exact"/>
    </w:pPr>
    <w:rPr>
      <w:rFonts w:ascii="Arial" w:eastAsia="SimSun" w:hAnsi="Arial" w:cs="Times New Roman"/>
      <w:lang w:eastAsia="fr-FR"/>
    </w:rPr>
  </w:style>
  <w:style w:type="numbering" w:customStyle="1" w:styleId="WW8Num1921">
    <w:name w:val="WW8Num1921"/>
    <w:rsid w:val="00A67B6B"/>
    <w:pPr>
      <w:numPr>
        <w:numId w:val="200"/>
      </w:numPr>
    </w:pPr>
  </w:style>
  <w:style w:type="numbering" w:customStyle="1" w:styleId="WW8Num192">
    <w:name w:val="WW8Num192"/>
    <w:rsid w:val="00A67B6B"/>
    <w:pPr>
      <w:numPr>
        <w:numId w:val="245"/>
      </w:numPr>
    </w:pPr>
  </w:style>
  <w:style w:type="numbering" w:customStyle="1" w:styleId="WW8Num242">
    <w:name w:val="WW8Num242"/>
    <w:rsid w:val="00A67B6B"/>
    <w:pPr>
      <w:numPr>
        <w:numId w:val="201"/>
      </w:numPr>
    </w:pPr>
  </w:style>
  <w:style w:type="table" w:customStyle="1" w:styleId="TableGrid5">
    <w:name w:val="Table Grid5"/>
    <w:basedOn w:val="TableNormal"/>
    <w:next w:val="TableGrid"/>
    <w:rsid w:val="00784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5771A"/>
  </w:style>
  <w:style w:type="table" w:customStyle="1" w:styleId="TableGrid6">
    <w:name w:val="Table Grid6"/>
    <w:basedOn w:val="TableNormal"/>
    <w:next w:val="TableGrid"/>
    <w:uiPriority w:val="59"/>
    <w:rsid w:val="0075771A"/>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2">
    <w:name w:val="Font Style12"/>
    <w:basedOn w:val="DefaultParagraphFont"/>
    <w:rsid w:val="0075771A"/>
    <w:rPr>
      <w:rFonts w:ascii="Sylfaen" w:hAnsi="Sylfaen" w:cs="Sylfaen"/>
      <w:sz w:val="22"/>
      <w:szCs w:val="22"/>
    </w:rPr>
  </w:style>
  <w:style w:type="numbering" w:customStyle="1" w:styleId="NoList6">
    <w:name w:val="No List6"/>
    <w:next w:val="NoList"/>
    <w:uiPriority w:val="99"/>
    <w:semiHidden/>
    <w:unhideWhenUsed/>
    <w:rsid w:val="0075771A"/>
  </w:style>
  <w:style w:type="table" w:customStyle="1" w:styleId="TableGrid7">
    <w:name w:val="Table Grid7"/>
    <w:basedOn w:val="TableNormal"/>
    <w:next w:val="TableGrid"/>
    <w:uiPriority w:val="59"/>
    <w:rsid w:val="0075771A"/>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sid w:val="004440EB"/>
    <w:pPr>
      <w:spacing w:after="0" w:line="240" w:lineRule="auto"/>
    </w:pPr>
    <w:rPr>
      <w:rFonts w:ascii="Times New Roman" w:eastAsia="Calibri" w:hAnsi="Times New Roman" w:cs="Times New Roman"/>
      <w:sz w:val="24"/>
      <w:szCs w:val="24"/>
      <w:lang w:val="x-none" w:eastAsia="hy-AM"/>
    </w:rPr>
  </w:style>
  <w:style w:type="character" w:customStyle="1" w:styleId="PlainTextChar">
    <w:name w:val="Plain Text Char"/>
    <w:basedOn w:val="DefaultParagraphFont"/>
    <w:link w:val="PlainText"/>
    <w:uiPriority w:val="99"/>
    <w:rsid w:val="004440EB"/>
    <w:rPr>
      <w:rFonts w:ascii="Times New Roman" w:eastAsia="Calibri" w:hAnsi="Times New Roman" w:cs="Times New Roman"/>
      <w:sz w:val="24"/>
      <w:szCs w:val="24"/>
      <w:lang w:val="x-none" w:eastAsia="hy-AM"/>
    </w:rPr>
  </w:style>
  <w:style w:type="paragraph" w:styleId="Revision">
    <w:name w:val="Revision"/>
    <w:hidden/>
    <w:uiPriority w:val="99"/>
    <w:semiHidden/>
    <w:rsid w:val="004440EB"/>
    <w:pPr>
      <w:spacing w:after="0" w:line="240" w:lineRule="auto"/>
    </w:pPr>
    <w:rPr>
      <w:rFonts w:ascii="Calibri" w:eastAsia="Calibri" w:hAnsi="Calibri" w:cs="Times New Roman"/>
    </w:rPr>
  </w:style>
  <w:style w:type="numbering" w:customStyle="1" w:styleId="NoList7">
    <w:name w:val="No List7"/>
    <w:next w:val="NoList"/>
    <w:uiPriority w:val="99"/>
    <w:semiHidden/>
    <w:unhideWhenUsed/>
    <w:rsid w:val="002B2CAB"/>
  </w:style>
  <w:style w:type="table" w:customStyle="1" w:styleId="TableGrid8">
    <w:name w:val="Table Grid8"/>
    <w:basedOn w:val="TableNormal"/>
    <w:next w:val="TableGrid"/>
    <w:uiPriority w:val="59"/>
    <w:rsid w:val="002B2CA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7">
    <w:name w:val="Style17"/>
    <w:basedOn w:val="Normal"/>
    <w:uiPriority w:val="99"/>
    <w:rsid w:val="00D75F05"/>
    <w:pPr>
      <w:widowControl w:val="0"/>
      <w:autoSpaceDE w:val="0"/>
      <w:autoSpaceDN w:val="0"/>
      <w:adjustRightInd w:val="0"/>
      <w:spacing w:after="0" w:line="418" w:lineRule="exact"/>
      <w:ind w:firstLine="677"/>
      <w:jc w:val="both"/>
    </w:pPr>
    <w:rPr>
      <w:rFonts w:ascii="Sylfaen" w:eastAsiaTheme="minorEastAsia" w:hAnsi="Sylfaen"/>
      <w:sz w:val="24"/>
      <w:szCs w:val="24"/>
    </w:rPr>
  </w:style>
  <w:style w:type="character" w:customStyle="1" w:styleId="FontStyle23">
    <w:name w:val="Font Style23"/>
    <w:basedOn w:val="DefaultParagraphFont"/>
    <w:rsid w:val="00D75F05"/>
    <w:rPr>
      <w:rFonts w:ascii="Sylfaen" w:hAnsi="Sylfaen" w:cs="Sylfaen"/>
      <w:b/>
      <w:bCs/>
      <w:sz w:val="22"/>
      <w:szCs w:val="22"/>
    </w:rPr>
  </w:style>
  <w:style w:type="character" w:customStyle="1" w:styleId="FontStyle31">
    <w:name w:val="Font Style31"/>
    <w:basedOn w:val="DefaultParagraphFont"/>
    <w:rsid w:val="00D75F05"/>
    <w:rPr>
      <w:rFonts w:ascii="Sylfaen" w:hAnsi="Sylfaen" w:cs="Sylfaen"/>
      <w:b/>
      <w:bCs/>
      <w:i/>
      <w:iCs/>
      <w:sz w:val="26"/>
      <w:szCs w:val="26"/>
    </w:rPr>
  </w:style>
  <w:style w:type="character" w:customStyle="1" w:styleId="ListParagraphChar1">
    <w:name w:val="List Paragraph Char1"/>
    <w:aliases w:val="List Paragraph-ExecSummary Char,Table no. List Paragraph Char,Bullet1 Char,List Paragraph nowy Char,Numbered List Paragraph Char,Ha Char,Referenc Char,lp1 Char,3 Char,Akapit z listą BS Char1,List Paragraph 1 Char1,List_Paragraph Char1"/>
    <w:link w:val="ListParagraph"/>
    <w:uiPriority w:val="99"/>
    <w:locked/>
    <w:rsid w:val="00D75F05"/>
    <w:rPr>
      <w:rFonts w:ascii="GHEA Grapalat" w:hAnsi="GHEA Grapalat"/>
    </w:rPr>
  </w:style>
  <w:style w:type="paragraph" w:customStyle="1" w:styleId="BodyText30">
    <w:name w:val="Body Text30"/>
    <w:basedOn w:val="Normal"/>
    <w:rsid w:val="00A67858"/>
    <w:pPr>
      <w:widowControl w:val="0"/>
      <w:shd w:val="clear" w:color="auto" w:fill="FFFFFF"/>
      <w:spacing w:before="900" w:after="0" w:line="0" w:lineRule="atLeast"/>
      <w:ind w:hanging="720"/>
    </w:pPr>
    <w:rPr>
      <w:rFonts w:ascii="Sylfaen" w:eastAsia="Sylfaen" w:hAnsi="Sylfaen" w:cs="Sylfaen"/>
    </w:rPr>
  </w:style>
  <w:style w:type="character" w:customStyle="1" w:styleId="normaltextrun">
    <w:name w:val="normaltextrun"/>
    <w:rsid w:val="00A67858"/>
  </w:style>
  <w:style w:type="character" w:customStyle="1" w:styleId="Heading5Char">
    <w:name w:val="Heading 5 Char"/>
    <w:basedOn w:val="DefaultParagraphFont"/>
    <w:link w:val="Heading5"/>
    <w:semiHidden/>
    <w:rsid w:val="00154773"/>
    <w:rPr>
      <w:rFonts w:ascii="Calibri" w:eastAsia="Times New Roman" w:hAnsi="Calibri" w:cs="Times New Roman"/>
      <w:b/>
      <w:bCs/>
      <w:i/>
      <w:iCs/>
      <w:sz w:val="26"/>
      <w:szCs w:val="26"/>
      <w:lang w:eastAsia="ru-RU"/>
    </w:rPr>
  </w:style>
  <w:style w:type="table" w:customStyle="1" w:styleId="TableGrid9">
    <w:name w:val="Table Grid9"/>
    <w:basedOn w:val="TableNormal"/>
    <w:next w:val="TableGrid"/>
    <w:rsid w:val="00154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aliases w:val="Normal 1"/>
    <w:rsid w:val="00154773"/>
    <w:pPr>
      <w:spacing w:after="200" w:line="276" w:lineRule="auto"/>
    </w:pPr>
    <w:rPr>
      <w:rFonts w:ascii="Calibri" w:eastAsia="Calibri" w:hAnsi="Calibri" w:cs="Calibri"/>
      <w:lang w:val="hy-AM" w:eastAsia="ru-RU"/>
    </w:rPr>
  </w:style>
  <w:style w:type="numbering" w:customStyle="1" w:styleId="WW8Num2421">
    <w:name w:val="WW8Num2421"/>
    <w:rsid w:val="00154773"/>
    <w:pPr>
      <w:numPr>
        <w:numId w:val="444"/>
      </w:numPr>
    </w:pPr>
  </w:style>
  <w:style w:type="paragraph" w:customStyle="1" w:styleId="Normal2">
    <w:name w:val="Normal2"/>
    <w:rsid w:val="00154773"/>
    <w:pPr>
      <w:spacing w:after="200" w:line="276" w:lineRule="auto"/>
    </w:pPr>
    <w:rPr>
      <w:rFonts w:ascii="Calibri" w:eastAsia="Calibri" w:hAnsi="Calibri" w:cs="Calibri"/>
      <w:lang w:val="hy-AM" w:eastAsia="ru-RU"/>
    </w:rPr>
  </w:style>
  <w:style w:type="character" w:styleId="PlaceholderText">
    <w:name w:val="Placeholder Text"/>
    <w:basedOn w:val="DefaultParagraphFont"/>
    <w:uiPriority w:val="99"/>
    <w:semiHidden/>
    <w:rsid w:val="00154773"/>
    <w:rPr>
      <w:color w:val="808080"/>
    </w:rPr>
  </w:style>
  <w:style w:type="numbering" w:customStyle="1" w:styleId="WW8Num191">
    <w:name w:val="WW8Num191"/>
    <w:rsid w:val="00154773"/>
    <w:pPr>
      <w:numPr>
        <w:numId w:val="23"/>
      </w:numPr>
    </w:pPr>
  </w:style>
  <w:style w:type="numbering" w:customStyle="1" w:styleId="WW8Num241">
    <w:name w:val="WW8Num241"/>
    <w:rsid w:val="00154773"/>
    <w:pPr>
      <w:numPr>
        <w:numId w:val="2"/>
      </w:numPr>
    </w:pPr>
  </w:style>
  <w:style w:type="character" w:customStyle="1" w:styleId="s4">
    <w:name w:val="s4"/>
    <w:rsid w:val="00154773"/>
  </w:style>
  <w:style w:type="paragraph" w:customStyle="1" w:styleId="p3">
    <w:name w:val="p3"/>
    <w:basedOn w:val="Normal"/>
    <w:rsid w:val="001547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2">
    <w:name w:val="Основной текст"/>
    <w:rsid w:val="00154773"/>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character" w:customStyle="1" w:styleId="Heading4Char1">
    <w:name w:val="Heading 4 Char1"/>
    <w:rsid w:val="00154773"/>
    <w:rPr>
      <w:b/>
      <w:bCs/>
      <w:caps/>
      <w:sz w:val="24"/>
      <w:szCs w:val="24"/>
      <w:lang w:bidi="ar-SA"/>
    </w:rPr>
  </w:style>
  <w:style w:type="character" w:customStyle="1" w:styleId="11">
    <w:name w:val="Основной текст Знак1"/>
    <w:semiHidden/>
    <w:locked/>
    <w:rsid w:val="00154773"/>
    <w:rPr>
      <w:rFonts w:cs="Times New Roman"/>
    </w:rPr>
  </w:style>
  <w:style w:type="paragraph" w:customStyle="1" w:styleId="CharCharChar1CharCharCharCharCharCharCharCharCharCharCharCharCharCharChar">
    <w:name w:val="Char Char Char1 Char Char Char Char Char Char Char Char Char Char Char Char Char Char Char"/>
    <w:basedOn w:val="Normal"/>
    <w:rsid w:val="00154773"/>
    <w:pPr>
      <w:spacing w:line="240" w:lineRule="exact"/>
    </w:pPr>
    <w:rPr>
      <w:rFonts w:ascii="Verdana" w:eastAsia="MS Mincho" w:hAnsi="Verdana" w:cs="Times New Roman"/>
      <w:sz w:val="20"/>
      <w:szCs w:val="20"/>
      <w:lang w:val="en-GB"/>
    </w:rPr>
  </w:style>
  <w:style w:type="character" w:customStyle="1" w:styleId="user-name1">
    <w:name w:val="user-name1"/>
    <w:rsid w:val="00154773"/>
    <w:rPr>
      <w:color w:val="999999"/>
    </w:rPr>
  </w:style>
  <w:style w:type="paragraph" w:customStyle="1" w:styleId="CharCharCharCharCharCharCharCharCharCharChar">
    <w:name w:val="Char Char Char Знак Char Char Char Char Char Знак Char Char Char"/>
    <w:basedOn w:val="Normal"/>
    <w:rsid w:val="00154773"/>
    <w:pPr>
      <w:spacing w:line="240" w:lineRule="exact"/>
    </w:pPr>
    <w:rPr>
      <w:rFonts w:ascii="Arial" w:eastAsia="Times New Roman" w:hAnsi="Arial" w:cs="Arial"/>
      <w:sz w:val="20"/>
      <w:szCs w:val="20"/>
    </w:rPr>
  </w:style>
  <w:style w:type="character" w:customStyle="1" w:styleId="12">
    <w:name w:val="Основной текст1"/>
    <w:rsid w:val="00154773"/>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paragraph" w:customStyle="1" w:styleId="CharChar0">
    <w:name w:val="Char Char"/>
    <w:basedOn w:val="Normal"/>
    <w:next w:val="Normal"/>
    <w:rsid w:val="00154773"/>
    <w:pPr>
      <w:spacing w:line="240" w:lineRule="exact"/>
    </w:pPr>
    <w:rPr>
      <w:rFonts w:ascii="Tahoma" w:eastAsia="Times New Roman" w:hAnsi="Tahoma" w:cs="Times New Roman"/>
      <w:sz w:val="24"/>
      <w:szCs w:val="20"/>
    </w:rPr>
  </w:style>
  <w:style w:type="paragraph" w:customStyle="1" w:styleId="CharCharCharCharCharCharChar">
    <w:name w:val="Char Char Char Char Char Char Char"/>
    <w:basedOn w:val="Normal"/>
    <w:next w:val="Normal"/>
    <w:rsid w:val="00154773"/>
    <w:pPr>
      <w:spacing w:line="240" w:lineRule="exact"/>
    </w:pPr>
    <w:rPr>
      <w:rFonts w:ascii="Tahoma" w:eastAsia="Times New Roman" w:hAnsi="Tahoma" w:cs="Times New Roman"/>
      <w:sz w:val="24"/>
      <w:szCs w:val="20"/>
    </w:rPr>
  </w:style>
  <w:style w:type="paragraph" w:customStyle="1" w:styleId="CharCharCharCharCharCharChar1">
    <w:name w:val="Char Char Char Char Char Char Char1"/>
    <w:basedOn w:val="Normal"/>
    <w:next w:val="Normal"/>
    <w:rsid w:val="00154773"/>
    <w:pPr>
      <w:spacing w:line="240" w:lineRule="exact"/>
    </w:pPr>
    <w:rPr>
      <w:rFonts w:ascii="Tahoma" w:eastAsia="Times New Roman" w:hAnsi="Tahoma" w:cs="Times New Roman"/>
      <w:sz w:val="24"/>
      <w:szCs w:val="20"/>
    </w:rPr>
  </w:style>
  <w:style w:type="paragraph" w:customStyle="1" w:styleId="CharChar1">
    <w:name w:val="Char Char1"/>
    <w:basedOn w:val="Normal"/>
    <w:next w:val="Normal"/>
    <w:rsid w:val="00154773"/>
    <w:pPr>
      <w:spacing w:line="240" w:lineRule="exact"/>
    </w:pPr>
    <w:rPr>
      <w:rFonts w:ascii="Tahoma" w:eastAsia="Times New Roman" w:hAnsi="Tahoma" w:cs="Times New Roman"/>
      <w:sz w:val="24"/>
      <w:szCs w:val="20"/>
    </w:rPr>
  </w:style>
  <w:style w:type="paragraph" w:customStyle="1" w:styleId="StyleGHEAGrapalatJustifiedBefore12pt">
    <w:name w:val="Style GHEA Grapalat Justified Before:  12 pt"/>
    <w:basedOn w:val="Normal"/>
    <w:link w:val="StyleGHEAGrapalatJustifiedBefore12ptChar"/>
    <w:rsid w:val="00154773"/>
    <w:pPr>
      <w:numPr>
        <w:numId w:val="447"/>
      </w:numPr>
      <w:spacing w:before="240" w:after="240" w:line="240" w:lineRule="auto"/>
      <w:jc w:val="both"/>
    </w:pPr>
    <w:rPr>
      <w:rFonts w:eastAsia="Calibri" w:cs="Times New Roman"/>
      <w:sz w:val="24"/>
      <w:szCs w:val="20"/>
      <w:lang w:eastAsia="ru-RU"/>
    </w:rPr>
  </w:style>
  <w:style w:type="character" w:customStyle="1" w:styleId="StyleGHEAGrapalatJustifiedBefore12ptChar">
    <w:name w:val="Style GHEA Grapalat Justified Before:  12 pt Char"/>
    <w:link w:val="StyleGHEAGrapalatJustifiedBefore12pt"/>
    <w:locked/>
    <w:rsid w:val="00154773"/>
    <w:rPr>
      <w:rFonts w:ascii="GHEA Grapalat" w:eastAsia="Calibri" w:hAnsi="GHEA Grapalat" w:cs="Times New Roman"/>
      <w:sz w:val="24"/>
      <w:szCs w:val="20"/>
      <w:lang w:eastAsia="ru-RU"/>
    </w:rPr>
  </w:style>
  <w:style w:type="paragraph" w:styleId="TOC1">
    <w:name w:val="toc 1"/>
    <w:basedOn w:val="Normal"/>
    <w:next w:val="Normal"/>
    <w:autoRedefine/>
    <w:rsid w:val="00154773"/>
    <w:pPr>
      <w:tabs>
        <w:tab w:val="right" w:leader="dot" w:pos="8640"/>
      </w:tabs>
      <w:spacing w:before="120" w:after="120" w:line="240" w:lineRule="auto"/>
      <w:ind w:left="482" w:right="720" w:hanging="482"/>
      <w:jc w:val="both"/>
    </w:pPr>
    <w:rPr>
      <w:rFonts w:ascii="Times New Roman" w:eastAsia="Calibri" w:hAnsi="Times New Roman" w:cs="Times New Roman"/>
      <w:caps/>
      <w:sz w:val="24"/>
      <w:szCs w:val="20"/>
      <w:lang w:val="en-GB"/>
    </w:rPr>
  </w:style>
  <w:style w:type="character" w:customStyle="1" w:styleId="FontStyle16">
    <w:name w:val="Font Style16"/>
    <w:rsid w:val="00154773"/>
    <w:rPr>
      <w:rFonts w:ascii="Tahoma" w:hAnsi="Tahoma" w:cs="Tahoma"/>
      <w:sz w:val="18"/>
      <w:szCs w:val="18"/>
    </w:rPr>
  </w:style>
  <w:style w:type="paragraph" w:styleId="Subtitle">
    <w:name w:val="Subtitle"/>
    <w:basedOn w:val="Normal"/>
    <w:next w:val="Normal"/>
    <w:link w:val="SubtitleChar"/>
    <w:uiPriority w:val="11"/>
    <w:qFormat/>
    <w:rsid w:val="00154773"/>
    <w:pPr>
      <w:numPr>
        <w:ilvl w:val="1"/>
      </w:numPr>
      <w:spacing w:after="0" w:line="240" w:lineRule="auto"/>
      <w:ind w:firstLine="709"/>
    </w:pPr>
    <w:rPr>
      <w:rFonts w:ascii="Cambria" w:eastAsia="Times New Roman" w:hAnsi="Cambria" w:cs="Times New Roman"/>
      <w:i/>
      <w:iCs/>
      <w:color w:val="4F81BD"/>
      <w:spacing w:val="15"/>
      <w:sz w:val="24"/>
      <w:szCs w:val="24"/>
      <w:lang w:val="en-GB" w:eastAsia="en-GB"/>
    </w:rPr>
  </w:style>
  <w:style w:type="character" w:customStyle="1" w:styleId="SubtitleChar">
    <w:name w:val="Subtitle Char"/>
    <w:basedOn w:val="DefaultParagraphFont"/>
    <w:link w:val="Subtitle"/>
    <w:uiPriority w:val="11"/>
    <w:rsid w:val="00154773"/>
    <w:rPr>
      <w:rFonts w:ascii="Cambria" w:eastAsia="Times New Roman" w:hAnsi="Cambria" w:cs="Times New Roman"/>
      <w:i/>
      <w:iCs/>
      <w:color w:val="4F81BD"/>
      <w:spacing w:val="15"/>
      <w:sz w:val="24"/>
      <w:szCs w:val="24"/>
      <w:lang w:val="en-GB" w:eastAsia="en-GB"/>
    </w:rPr>
  </w:style>
  <w:style w:type="character" w:customStyle="1" w:styleId="a3">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к"/>
    <w:uiPriority w:val="99"/>
    <w:locked/>
    <w:rsid w:val="00154773"/>
    <w:rPr>
      <w:lang w:val="en-GB" w:eastAsia="ru-RU"/>
    </w:rPr>
  </w:style>
  <w:style w:type="character" w:customStyle="1" w:styleId="fontstyle01">
    <w:name w:val="fontstyle01"/>
    <w:rsid w:val="00154773"/>
    <w:rPr>
      <w:rFonts w:ascii="Sylfaen" w:hAnsi="Sylfaen" w:hint="default"/>
      <w:b w:val="0"/>
      <w:bCs w:val="0"/>
      <w:i w:val="0"/>
      <w:iCs w:val="0"/>
      <w:color w:val="000000"/>
      <w:sz w:val="24"/>
      <w:szCs w:val="24"/>
    </w:rPr>
  </w:style>
  <w:style w:type="character" w:customStyle="1" w:styleId="st">
    <w:name w:val="st"/>
    <w:rsid w:val="00154773"/>
  </w:style>
  <w:style w:type="paragraph" w:customStyle="1" w:styleId="Normal20">
    <w:name w:val="Normal 2"/>
    <w:basedOn w:val="NoSpacing"/>
    <w:autoRedefine/>
    <w:uiPriority w:val="99"/>
    <w:qFormat/>
    <w:rsid w:val="00154773"/>
    <w:pPr>
      <w:widowControl w:val="0"/>
      <w:tabs>
        <w:tab w:val="left" w:pos="-426"/>
      </w:tabs>
      <w:adjustRightInd w:val="0"/>
      <w:spacing w:before="120" w:line="360" w:lineRule="atLeast"/>
      <w:jc w:val="center"/>
      <w:textAlignment w:val="baseline"/>
    </w:pPr>
    <w:rPr>
      <w:rFonts w:ascii="GHEA Grapalat" w:hAnsi="GHEA Grapalat" w:cs="Sylfaen"/>
      <w:b/>
      <w:bCs/>
      <w:color w:val="000000"/>
      <w:sz w:val="24"/>
      <w:szCs w:val="24"/>
      <w:lang w:val="lt-LT" w:eastAsia="en-US"/>
    </w:rPr>
  </w:style>
  <w:style w:type="paragraph" w:customStyle="1" w:styleId="SingleTxtG">
    <w:name w:val="_ Single Txt_G"/>
    <w:basedOn w:val="Normal"/>
    <w:link w:val="SingleTxtGChar"/>
    <w:rsid w:val="00154773"/>
    <w:pPr>
      <w:suppressAutoHyphens/>
      <w:spacing w:after="120" w:line="240" w:lineRule="atLeast"/>
      <w:ind w:left="1134" w:right="1134"/>
      <w:jc w:val="both"/>
    </w:pPr>
    <w:rPr>
      <w:rFonts w:ascii="Times New Roman" w:eastAsia="SimSun" w:hAnsi="Times New Roman" w:cs="Times New Roman"/>
      <w:sz w:val="20"/>
      <w:szCs w:val="20"/>
      <w:lang w:val="hy-AM" w:eastAsia="hy-AM" w:bidi="hy-AM"/>
    </w:rPr>
  </w:style>
  <w:style w:type="character" w:customStyle="1" w:styleId="SingleTxtGChar">
    <w:name w:val="_ Single Txt_G Char"/>
    <w:link w:val="SingleTxtG"/>
    <w:locked/>
    <w:rsid w:val="00154773"/>
    <w:rPr>
      <w:rFonts w:ascii="Times New Roman" w:eastAsia="SimSun" w:hAnsi="Times New Roman" w:cs="Times New Roman"/>
      <w:sz w:val="20"/>
      <w:szCs w:val="20"/>
      <w:lang w:val="hy-AM" w:eastAsia="hy-AM" w:bidi="hy-AM"/>
    </w:rPr>
  </w:style>
  <w:style w:type="paragraph" w:customStyle="1" w:styleId="gpmbullet">
    <w:name w:val="gpmbullet"/>
    <w:basedOn w:val="Normal"/>
    <w:qFormat/>
    <w:rsid w:val="00154773"/>
    <w:pPr>
      <w:numPr>
        <w:numId w:val="448"/>
      </w:numPr>
      <w:spacing w:before="120" w:after="0" w:line="240" w:lineRule="auto"/>
      <w:jc w:val="both"/>
    </w:pPr>
    <w:rPr>
      <w:rFonts w:ascii="Times New Roman" w:eastAsia="Times New Roman" w:hAnsi="Times New Roman" w:cs="Times New Roman"/>
      <w:szCs w:val="20"/>
      <w:lang w:val="en-GB"/>
    </w:rPr>
  </w:style>
  <w:style w:type="paragraph" w:customStyle="1" w:styleId="BodyText22">
    <w:name w:val="Body Text2"/>
    <w:basedOn w:val="Normal"/>
    <w:uiPriority w:val="99"/>
    <w:rsid w:val="00154773"/>
    <w:pPr>
      <w:shd w:val="clear" w:color="auto" w:fill="FFFFFF"/>
      <w:spacing w:before="60" w:after="0" w:line="245" w:lineRule="exact"/>
      <w:jc w:val="right"/>
    </w:pPr>
    <w:rPr>
      <w:rFonts w:ascii="Times New Roman" w:eastAsia="Times New Roman" w:hAnsi="Times New Roman" w:cs="Times New Roman"/>
      <w:sz w:val="21"/>
      <w:szCs w:val="21"/>
    </w:rPr>
  </w:style>
  <w:style w:type="numbering" w:customStyle="1" w:styleId="NoList11">
    <w:name w:val="No List11"/>
    <w:next w:val="NoList"/>
    <w:uiPriority w:val="99"/>
    <w:semiHidden/>
    <w:unhideWhenUsed/>
    <w:rsid w:val="00154773"/>
  </w:style>
  <w:style w:type="table" w:customStyle="1" w:styleId="TableGrid11">
    <w:name w:val="Table Grid11"/>
    <w:basedOn w:val="TableNormal"/>
    <w:next w:val="TableGrid"/>
    <w:rsid w:val="0015477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1547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547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547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547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1547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1547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1547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1547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
    <w:name w:val="WW8Num1911"/>
    <w:rsid w:val="00154773"/>
    <w:pPr>
      <w:numPr>
        <w:numId w:val="504"/>
      </w:numPr>
    </w:pPr>
  </w:style>
  <w:style w:type="numbering" w:customStyle="1" w:styleId="WW8Num2411">
    <w:name w:val="WW8Num2411"/>
    <w:rsid w:val="00154773"/>
    <w:pPr>
      <w:numPr>
        <w:numId w:val="6"/>
      </w:numPr>
    </w:pPr>
  </w:style>
  <w:style w:type="numbering" w:customStyle="1" w:styleId="NoList111">
    <w:name w:val="No List111"/>
    <w:next w:val="NoList"/>
    <w:uiPriority w:val="99"/>
    <w:semiHidden/>
    <w:unhideWhenUsed/>
    <w:rsid w:val="00154773"/>
  </w:style>
  <w:style w:type="paragraph" w:customStyle="1" w:styleId="bc6k">
    <w:name w:val="bc6k"/>
    <w:basedOn w:val="Normal"/>
    <w:rsid w:val="001547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ablestyle">
    <w:name w:val="tablestyle"/>
    <w:basedOn w:val="Normal"/>
    <w:rsid w:val="001547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
    <w:name w:val="Основной текст5"/>
    <w:rsid w:val="00154773"/>
    <w:rPr>
      <w:rFonts w:ascii="Sylfaen" w:eastAsia="Sylfaen" w:hAnsi="Sylfaen" w:cs="Sylfaen" w:hint="default"/>
      <w:b w:val="0"/>
      <w:bCs w:val="0"/>
      <w:i w:val="0"/>
      <w:iCs w:val="0"/>
      <w:smallCaps w:val="0"/>
      <w:strike w:val="0"/>
      <w:dstrike w:val="0"/>
      <w:spacing w:val="0"/>
      <w:u w:val="none"/>
      <w:effect w:val="none"/>
      <w:shd w:val="clear" w:color="auto" w:fill="FFFFFF"/>
      <w:lang w:bidi="ar-SA"/>
    </w:rPr>
  </w:style>
  <w:style w:type="paragraph" w:customStyle="1" w:styleId="yiv1579796125msonormal">
    <w:name w:val="yiv1579796125msonormal"/>
    <w:basedOn w:val="Normal"/>
    <w:rsid w:val="0015477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91">
    <w:name w:val="Table Grid91"/>
    <w:basedOn w:val="TableNormal"/>
    <w:next w:val="TableGrid"/>
    <w:uiPriority w:val="59"/>
    <w:rsid w:val="0015477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day">
    <w:name w:val="bday"/>
    <w:basedOn w:val="Normal"/>
    <w:rsid w:val="001547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byear">
    <w:name w:val="byear"/>
    <w:basedOn w:val="Normal"/>
    <w:rsid w:val="001547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FollowedHyperlink">
    <w:name w:val="FollowedHyperlink"/>
    <w:basedOn w:val="DefaultParagraphFont"/>
    <w:uiPriority w:val="99"/>
    <w:semiHidden/>
    <w:unhideWhenUsed/>
    <w:rsid w:val="00154773"/>
    <w:rPr>
      <w:color w:val="954F72" w:themeColor="followedHyperlink"/>
      <w:u w:val="single"/>
    </w:rPr>
  </w:style>
  <w:style w:type="character" w:customStyle="1" w:styleId="newstext">
    <w:name w:val="news_text"/>
    <w:basedOn w:val="DefaultParagraphFont"/>
    <w:rsid w:val="00154773"/>
  </w:style>
  <w:style w:type="paragraph" w:customStyle="1" w:styleId="Normal3">
    <w:name w:val="Normal3"/>
    <w:rsid w:val="00154773"/>
    <w:pPr>
      <w:spacing w:after="200" w:line="276" w:lineRule="auto"/>
    </w:pPr>
    <w:rPr>
      <w:rFonts w:ascii="Calibri" w:eastAsia="Calibri" w:hAnsi="Calibri" w:cs="Calibri"/>
      <w:lang w:val="hy-AM" w:eastAsia="ru-RU"/>
    </w:rPr>
  </w:style>
  <w:style w:type="paragraph" w:customStyle="1" w:styleId="13">
    <w:name w:val="Обычный1"/>
    <w:rsid w:val="00154773"/>
    <w:pPr>
      <w:spacing w:after="0" w:line="276" w:lineRule="auto"/>
    </w:pPr>
    <w:rPr>
      <w:rFonts w:ascii="Arial" w:eastAsia="Arial" w:hAnsi="Arial" w:cs="Arial"/>
      <w:lang w:val="ru-RU" w:eastAsia="ru-RU"/>
    </w:rPr>
  </w:style>
  <w:style w:type="numbering" w:customStyle="1" w:styleId="NoList8">
    <w:name w:val="No List8"/>
    <w:next w:val="NoList"/>
    <w:uiPriority w:val="99"/>
    <w:semiHidden/>
    <w:unhideWhenUsed/>
    <w:rsid w:val="001F6D5D"/>
  </w:style>
  <w:style w:type="numbering" w:customStyle="1" w:styleId="NoList12">
    <w:name w:val="No List12"/>
    <w:next w:val="NoList"/>
    <w:uiPriority w:val="99"/>
    <w:semiHidden/>
    <w:unhideWhenUsed/>
    <w:rsid w:val="001F6D5D"/>
  </w:style>
  <w:style w:type="table" w:customStyle="1" w:styleId="TableGrid10">
    <w:name w:val="Table Grid10"/>
    <w:basedOn w:val="TableNormal"/>
    <w:next w:val="TableGrid"/>
    <w:uiPriority w:val="39"/>
    <w:rsid w:val="001F6D5D"/>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F6D5D"/>
  </w:style>
  <w:style w:type="table" w:customStyle="1" w:styleId="TableGrid12">
    <w:name w:val="Table Grid12"/>
    <w:basedOn w:val="TableNormal"/>
    <w:next w:val="TableGrid"/>
    <w:uiPriority w:val="59"/>
    <w:rsid w:val="001F6D5D"/>
    <w:pPr>
      <w:spacing w:after="0" w:line="240" w:lineRule="auto"/>
    </w:pPr>
    <w:rPr>
      <w:rFonts w:ascii="Sylfaen" w:eastAsia="Calibri"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1F6D5D"/>
  </w:style>
  <w:style w:type="table" w:customStyle="1" w:styleId="TableGrid22">
    <w:name w:val="Table Grid22"/>
    <w:basedOn w:val="TableNormal"/>
    <w:next w:val="TableGrid"/>
    <w:uiPriority w:val="39"/>
    <w:rsid w:val="001F6D5D"/>
    <w:pPr>
      <w:spacing w:after="0" w:line="240" w:lineRule="auto"/>
    </w:pPr>
    <w:rPr>
      <w:rFonts w:ascii="GHEA Mariam" w:hAnsi="GHEA Mariam"/>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1F6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1F6D5D"/>
  </w:style>
  <w:style w:type="table" w:customStyle="1" w:styleId="TableGrid42">
    <w:name w:val="Table Grid42"/>
    <w:basedOn w:val="TableNormal"/>
    <w:next w:val="TableGrid"/>
    <w:uiPriority w:val="39"/>
    <w:rsid w:val="001F6D5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1F6D5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1F6D5D"/>
  </w:style>
  <w:style w:type="table" w:customStyle="1" w:styleId="TableGrid62">
    <w:name w:val="Table Grid62"/>
    <w:basedOn w:val="TableNormal"/>
    <w:next w:val="TableGrid"/>
    <w:uiPriority w:val="59"/>
    <w:rsid w:val="001F6D5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
    <w:name w:val="No List61"/>
    <w:next w:val="NoList"/>
    <w:uiPriority w:val="99"/>
    <w:semiHidden/>
    <w:unhideWhenUsed/>
    <w:rsid w:val="001F6D5D"/>
  </w:style>
  <w:style w:type="table" w:customStyle="1" w:styleId="TableGrid72">
    <w:name w:val="Table Grid72"/>
    <w:basedOn w:val="TableNormal"/>
    <w:next w:val="TableGrid"/>
    <w:uiPriority w:val="59"/>
    <w:rsid w:val="001F6D5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
    <w:name w:val="No List71"/>
    <w:next w:val="NoList"/>
    <w:uiPriority w:val="99"/>
    <w:semiHidden/>
    <w:unhideWhenUsed/>
    <w:rsid w:val="001F6D5D"/>
  </w:style>
  <w:style w:type="table" w:customStyle="1" w:styleId="TableGrid82">
    <w:name w:val="Table Grid82"/>
    <w:basedOn w:val="TableNormal"/>
    <w:next w:val="TableGrid"/>
    <w:uiPriority w:val="59"/>
    <w:rsid w:val="001F6D5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2">
    <w:name w:val="Table Grid92"/>
    <w:basedOn w:val="TableNormal"/>
    <w:next w:val="TableGrid"/>
    <w:rsid w:val="001F6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1F6D5D"/>
  </w:style>
  <w:style w:type="table" w:customStyle="1" w:styleId="TableGrid112">
    <w:name w:val="Table Grid112"/>
    <w:basedOn w:val="TableNormal"/>
    <w:next w:val="TableGrid"/>
    <w:rsid w:val="001F6D5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1F6D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1F6D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1F6D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1F6D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1F6D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1F6D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1F6D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1F6D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1F6D5D"/>
  </w:style>
  <w:style w:type="table" w:customStyle="1" w:styleId="TableGrid911">
    <w:name w:val="Table Grid911"/>
    <w:basedOn w:val="TableNormal"/>
    <w:next w:val="TableGrid"/>
    <w:uiPriority w:val="59"/>
    <w:rsid w:val="001F6D5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074649">
      <w:bodyDiv w:val="1"/>
      <w:marLeft w:val="0"/>
      <w:marRight w:val="0"/>
      <w:marTop w:val="0"/>
      <w:marBottom w:val="0"/>
      <w:divBdr>
        <w:top w:val="none" w:sz="0" w:space="0" w:color="auto"/>
        <w:left w:val="none" w:sz="0" w:space="0" w:color="auto"/>
        <w:bottom w:val="none" w:sz="0" w:space="0" w:color="auto"/>
        <w:right w:val="none" w:sz="0" w:space="0" w:color="auto"/>
      </w:divBdr>
    </w:div>
    <w:div w:id="212503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darar.am" TargetMode="External"/><Relationship Id="rId13" Type="http://schemas.openxmlformats.org/officeDocument/2006/relationships/hyperlink" Target="http://www.gov.am/am/structure/233/" TargetMode="External"/><Relationship Id="rId18" Type="http://schemas.openxmlformats.org/officeDocument/2006/relationships/hyperlink" Target="http://www.arlis.am/DocumentView.aspx?DocID=7523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enarmenia.am/" TargetMode="External"/><Relationship Id="rId17" Type="http://schemas.openxmlformats.org/officeDocument/2006/relationships/hyperlink" Target="http://www.arlis.am/DocumentView.aspx?DocID=75235" TargetMode="External"/><Relationship Id="rId2" Type="http://schemas.openxmlformats.org/officeDocument/2006/relationships/numbering" Target="numbering.xml"/><Relationship Id="rId16" Type="http://schemas.openxmlformats.org/officeDocument/2006/relationships/hyperlink" Target="http://www.arlis.am/DocumentView.aspx?DocID=75235" TargetMode="External"/><Relationship Id="rId20" Type="http://schemas.openxmlformats.org/officeDocument/2006/relationships/hyperlink" Target="http://www.cadastre.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en.ec.europa.eu/" TargetMode="External"/><Relationship Id="rId5" Type="http://schemas.openxmlformats.org/officeDocument/2006/relationships/webSettings" Target="webSettings.xml"/><Relationship Id="rId15" Type="http://schemas.openxmlformats.org/officeDocument/2006/relationships/hyperlink" Target="http://www.arlis.am/DocumentView.aspx?DocID=75235" TargetMode="External"/><Relationship Id="rId10" Type="http://schemas.openxmlformats.org/officeDocument/2006/relationships/hyperlink" Target="http://www.int-heritage.am" TargetMode="External"/><Relationship Id="rId19" Type="http://schemas.openxmlformats.org/officeDocument/2006/relationships/hyperlink" Target="http://www.arlis.am/DocumentView.aspx?DocID=75235" TargetMode="External"/><Relationship Id="rId4" Type="http://schemas.openxmlformats.org/officeDocument/2006/relationships/settings" Target="settings.xml"/><Relationship Id="rId9" Type="http://schemas.openxmlformats.org/officeDocument/2006/relationships/hyperlink" Target="http://www.mlsa.am" TargetMode="External"/><Relationship Id="rId14" Type="http://schemas.openxmlformats.org/officeDocument/2006/relationships/hyperlink" Target="http://www.arlis.am/DocumentView.aspx?DocID=75235"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ohchr.org/Documents/Issues/SRTorture/recommendations.pdf" TargetMode="External"/><Relationship Id="rId2" Type="http://schemas.openxmlformats.org/officeDocument/2006/relationships/hyperlink" Target="http://www.ohchr.org/Documents/Countries/NHRI/Torture_Prevention_Guide.pdf" TargetMode="External"/><Relationship Id="rId1" Type="http://schemas.openxmlformats.org/officeDocument/2006/relationships/hyperlink" Target="http://hudoc.exec.coe.int/eng?i=004-46455" TargetMode="External"/><Relationship Id="rId6" Type="http://schemas.openxmlformats.org/officeDocument/2006/relationships/hyperlink" Target="http://hudoc.exec.coe.int/eng?i=004-365" TargetMode="External"/><Relationship Id="rId5" Type="http://schemas.openxmlformats.org/officeDocument/2006/relationships/hyperlink" Target="https://wcd.coe.int/com.instranet.InstraServlet?command=com.instranet.CmdBlobGet&amp;InstranetImage=2790589&amp;SecMode=1&amp;DocId=2243332&amp;Usage=2" TargetMode="External"/><Relationship Id="rId4" Type="http://schemas.openxmlformats.org/officeDocument/2006/relationships/hyperlink" Target="http://www.osce.org/odihr/120173?downloa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75B19-E312-4330-8DE4-7A4EA66A4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466</Pages>
  <Words>243597</Words>
  <Characters>1388507</Characters>
  <Application>Microsoft Office Word</Application>
  <DocSecurity>0</DocSecurity>
  <Lines>11570</Lines>
  <Paragraphs>3257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Tigran Harutyunyan</dc:creator>
  <cp:keywords>Mulberry 2.0</cp:keywords>
  <dc:description/>
  <cp:lastModifiedBy>Hamlet Gasparyan</cp:lastModifiedBy>
  <cp:revision>67</cp:revision>
  <dcterms:created xsi:type="dcterms:W3CDTF">2019-05-10T13:15:00Z</dcterms:created>
  <dcterms:modified xsi:type="dcterms:W3CDTF">2019-05-16T05:44:00Z</dcterms:modified>
</cp:coreProperties>
</file>